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ECE9" w14:textId="77777777" w:rsidR="00A90D5A" w:rsidRDefault="00A90D5A" w:rsidP="00A90D5A">
      <w:pPr>
        <w:spacing w:after="240"/>
        <w:jc w:val="center"/>
        <w:rPr>
          <w:rFonts w:asciiTheme="minorHAnsi" w:hAnsiTheme="minorHAnsi" w:cstheme="minorHAnsi"/>
          <w:b/>
          <w:sz w:val="52"/>
          <w:szCs w:val="52"/>
        </w:rPr>
      </w:pPr>
      <w:bookmarkStart w:id="0" w:name="_Hlk108003564"/>
    </w:p>
    <w:p w14:paraId="591C8451" w14:textId="77777777" w:rsidR="00A90D5A" w:rsidRDefault="00A90D5A" w:rsidP="00A90D5A">
      <w:pPr>
        <w:spacing w:after="240"/>
        <w:jc w:val="center"/>
        <w:rPr>
          <w:rFonts w:asciiTheme="minorHAnsi" w:hAnsiTheme="minorHAnsi" w:cstheme="minorHAnsi"/>
          <w:b/>
          <w:sz w:val="52"/>
          <w:szCs w:val="52"/>
        </w:rPr>
      </w:pPr>
    </w:p>
    <w:p w14:paraId="2BF1F3F6" w14:textId="77777777" w:rsidR="00A90D5A" w:rsidRDefault="00A90D5A" w:rsidP="00A90D5A">
      <w:pPr>
        <w:spacing w:after="240"/>
        <w:jc w:val="center"/>
        <w:rPr>
          <w:rFonts w:asciiTheme="minorHAnsi" w:hAnsiTheme="minorHAnsi" w:cstheme="minorHAnsi"/>
          <w:b/>
          <w:sz w:val="52"/>
          <w:szCs w:val="52"/>
        </w:rPr>
      </w:pPr>
    </w:p>
    <w:p w14:paraId="47297CEA" w14:textId="77777777" w:rsidR="00A90D5A" w:rsidRDefault="00A90D5A" w:rsidP="00A90D5A">
      <w:pPr>
        <w:spacing w:after="240"/>
        <w:jc w:val="center"/>
        <w:rPr>
          <w:rFonts w:asciiTheme="minorHAnsi" w:hAnsiTheme="minorHAnsi" w:cstheme="minorHAnsi"/>
          <w:b/>
          <w:sz w:val="52"/>
          <w:szCs w:val="52"/>
        </w:rPr>
      </w:pPr>
    </w:p>
    <w:p w14:paraId="1B9968CB" w14:textId="7C28E015" w:rsidR="00A90D5A" w:rsidRPr="00A90D5A" w:rsidRDefault="00A90D5A" w:rsidP="00A90D5A">
      <w:pPr>
        <w:spacing w:after="240"/>
        <w:jc w:val="center"/>
        <w:rPr>
          <w:rFonts w:asciiTheme="minorHAnsi" w:hAnsiTheme="minorHAnsi" w:cstheme="minorHAnsi"/>
          <w:b/>
          <w:sz w:val="52"/>
          <w:szCs w:val="52"/>
        </w:rPr>
      </w:pPr>
      <w:r w:rsidRPr="00A90D5A">
        <w:rPr>
          <w:rFonts w:asciiTheme="minorHAnsi" w:hAnsiTheme="minorHAnsi" w:cstheme="minorHAnsi"/>
          <w:b/>
          <w:sz w:val="52"/>
          <w:szCs w:val="52"/>
        </w:rPr>
        <w:t>Pharmaceutical Benefits Scheme</w:t>
      </w:r>
    </w:p>
    <w:p w14:paraId="6755E605" w14:textId="77777777" w:rsidR="00A90D5A" w:rsidRPr="00A90D5A" w:rsidRDefault="00A90D5A" w:rsidP="00A90D5A">
      <w:pPr>
        <w:spacing w:before="480" w:after="240"/>
        <w:jc w:val="center"/>
        <w:rPr>
          <w:rFonts w:asciiTheme="minorHAnsi" w:hAnsiTheme="minorHAnsi" w:cstheme="minorHAnsi"/>
          <w:b/>
          <w:sz w:val="40"/>
          <w:szCs w:val="40"/>
        </w:rPr>
      </w:pPr>
      <w:r w:rsidRPr="00A90D5A">
        <w:rPr>
          <w:rFonts w:asciiTheme="minorHAnsi" w:hAnsiTheme="minorHAnsi" w:cstheme="minorHAnsi"/>
          <w:b/>
          <w:sz w:val="40"/>
          <w:szCs w:val="40"/>
        </w:rPr>
        <w:t>Post-market Review</w:t>
      </w:r>
    </w:p>
    <w:p w14:paraId="65664972" w14:textId="77777777" w:rsidR="00A90D5A" w:rsidRPr="00A90D5A" w:rsidRDefault="00A90D5A" w:rsidP="00A90D5A">
      <w:pPr>
        <w:spacing w:before="480" w:after="240"/>
        <w:jc w:val="center"/>
        <w:rPr>
          <w:rFonts w:asciiTheme="minorHAnsi" w:hAnsiTheme="minorHAnsi" w:cstheme="minorHAnsi"/>
          <w:b/>
          <w:color w:val="365F91" w:themeColor="accent1" w:themeShade="BF"/>
          <w:sz w:val="32"/>
          <w:szCs w:val="32"/>
        </w:rPr>
      </w:pPr>
      <w:r w:rsidRPr="00A90D5A">
        <w:rPr>
          <w:rFonts w:asciiTheme="minorHAnsi" w:hAnsiTheme="minorHAnsi" w:cstheme="minorHAnsi"/>
          <w:b/>
          <w:color w:val="365F91" w:themeColor="accent1" w:themeShade="BF"/>
          <w:sz w:val="32"/>
          <w:szCs w:val="32"/>
        </w:rPr>
        <w:t xml:space="preserve">Post-market Review of medicines for smoking cessation </w:t>
      </w:r>
    </w:p>
    <w:p w14:paraId="201C8F61" w14:textId="77777777" w:rsidR="00A90D5A" w:rsidRPr="00A90D5A" w:rsidRDefault="00A90D5A" w:rsidP="00A90D5A">
      <w:pPr>
        <w:spacing w:before="240"/>
        <w:jc w:val="center"/>
        <w:rPr>
          <w:rFonts w:asciiTheme="minorHAnsi" w:hAnsiTheme="minorHAnsi" w:cstheme="minorHAnsi"/>
          <w:b/>
          <w:i/>
          <w:color w:val="365F91" w:themeColor="accent1" w:themeShade="BF"/>
          <w:sz w:val="28"/>
          <w:szCs w:val="28"/>
        </w:rPr>
      </w:pPr>
    </w:p>
    <w:p w14:paraId="02B54479" w14:textId="77777777" w:rsidR="00A90D5A" w:rsidRPr="00A90D5A" w:rsidRDefault="00A90D5A" w:rsidP="00A90D5A">
      <w:pPr>
        <w:spacing w:before="240"/>
        <w:jc w:val="center"/>
        <w:rPr>
          <w:rFonts w:asciiTheme="minorHAnsi" w:hAnsiTheme="minorHAnsi" w:cstheme="minorHAnsi"/>
          <w:b/>
          <w:i/>
          <w:color w:val="365F91" w:themeColor="accent1" w:themeShade="BF"/>
          <w:sz w:val="28"/>
          <w:szCs w:val="28"/>
        </w:rPr>
      </w:pPr>
      <w:r w:rsidRPr="00A90D5A">
        <w:rPr>
          <w:rFonts w:asciiTheme="minorHAnsi" w:hAnsiTheme="minorHAnsi" w:cstheme="minorHAnsi"/>
          <w:b/>
          <w:i/>
          <w:color w:val="365F91" w:themeColor="accent1" w:themeShade="BF"/>
          <w:sz w:val="28"/>
          <w:szCs w:val="28"/>
        </w:rPr>
        <w:t>Report to the PBAC</w:t>
      </w:r>
    </w:p>
    <w:p w14:paraId="7F108D53" w14:textId="77777777" w:rsidR="00A90D5A" w:rsidRPr="00A90D5A" w:rsidRDefault="00A90D5A" w:rsidP="00A90D5A">
      <w:pPr>
        <w:spacing w:before="240"/>
        <w:rPr>
          <w:rFonts w:asciiTheme="minorHAnsi" w:hAnsiTheme="minorHAnsi" w:cstheme="minorHAnsi"/>
          <w:b/>
          <w:i/>
          <w:color w:val="365F91" w:themeColor="accent1" w:themeShade="BF"/>
          <w:sz w:val="28"/>
          <w:szCs w:val="28"/>
        </w:rPr>
      </w:pPr>
    </w:p>
    <w:p w14:paraId="5C5743BC" w14:textId="318D494B" w:rsidR="00A90D5A" w:rsidRPr="003A542C" w:rsidRDefault="00A90D5A" w:rsidP="00A90D5A">
      <w:pPr>
        <w:spacing w:before="240"/>
        <w:jc w:val="center"/>
        <w:rPr>
          <w:rFonts w:asciiTheme="minorHAnsi" w:hAnsiTheme="minorHAnsi" w:cstheme="minorHAnsi"/>
          <w:b/>
          <w:i/>
          <w:color w:val="365F91" w:themeColor="accent1" w:themeShade="BF"/>
          <w:sz w:val="28"/>
          <w:szCs w:val="28"/>
        </w:rPr>
      </w:pPr>
      <w:r w:rsidRPr="003A542C">
        <w:rPr>
          <w:rFonts w:asciiTheme="minorHAnsi" w:hAnsiTheme="minorHAnsi" w:cstheme="minorHAnsi"/>
          <w:b/>
          <w:i/>
          <w:color w:val="365F91" w:themeColor="accent1" w:themeShade="BF"/>
          <w:sz w:val="28"/>
          <w:szCs w:val="28"/>
        </w:rPr>
        <w:t>ToR</w:t>
      </w:r>
      <w:r w:rsidR="00AF4031">
        <w:rPr>
          <w:rFonts w:asciiTheme="minorHAnsi" w:hAnsiTheme="minorHAnsi" w:cstheme="minorHAnsi"/>
          <w:b/>
          <w:i/>
          <w:color w:val="365F91" w:themeColor="accent1" w:themeShade="BF"/>
          <w:sz w:val="28"/>
          <w:szCs w:val="28"/>
        </w:rPr>
        <w:t xml:space="preserve"> </w:t>
      </w:r>
      <w:r w:rsidRPr="003A542C">
        <w:rPr>
          <w:rFonts w:asciiTheme="minorHAnsi" w:hAnsiTheme="minorHAnsi" w:cstheme="minorHAnsi"/>
          <w:b/>
          <w:i/>
          <w:color w:val="365F91" w:themeColor="accent1" w:themeShade="BF"/>
          <w:sz w:val="28"/>
          <w:szCs w:val="28"/>
        </w:rPr>
        <w:t xml:space="preserve">3: Systematic </w:t>
      </w:r>
      <w:r>
        <w:rPr>
          <w:rFonts w:asciiTheme="minorHAnsi" w:hAnsiTheme="minorHAnsi" w:cstheme="minorHAnsi"/>
          <w:b/>
          <w:i/>
          <w:color w:val="365F91" w:themeColor="accent1" w:themeShade="BF"/>
          <w:sz w:val="28"/>
          <w:szCs w:val="28"/>
        </w:rPr>
        <w:t>r</w:t>
      </w:r>
      <w:r w:rsidRPr="003A542C">
        <w:rPr>
          <w:rFonts w:asciiTheme="minorHAnsi" w:hAnsiTheme="minorHAnsi" w:cstheme="minorHAnsi"/>
          <w:b/>
          <w:i/>
          <w:color w:val="365F91" w:themeColor="accent1" w:themeShade="BF"/>
          <w:sz w:val="28"/>
          <w:szCs w:val="28"/>
        </w:rPr>
        <w:t xml:space="preserve">eview of </w:t>
      </w:r>
      <w:r>
        <w:rPr>
          <w:rFonts w:asciiTheme="minorHAnsi" w:hAnsiTheme="minorHAnsi" w:cstheme="minorHAnsi"/>
          <w:b/>
          <w:i/>
          <w:color w:val="365F91" w:themeColor="accent1" w:themeShade="BF"/>
          <w:sz w:val="28"/>
          <w:szCs w:val="28"/>
        </w:rPr>
        <w:t>c</w:t>
      </w:r>
      <w:r w:rsidRPr="003A542C">
        <w:rPr>
          <w:rFonts w:asciiTheme="minorHAnsi" w:hAnsiTheme="minorHAnsi" w:cstheme="minorHAnsi"/>
          <w:b/>
          <w:i/>
          <w:color w:val="365F91" w:themeColor="accent1" w:themeShade="BF"/>
          <w:sz w:val="28"/>
          <w:szCs w:val="28"/>
        </w:rPr>
        <w:t xml:space="preserve">omparative </w:t>
      </w:r>
      <w:r>
        <w:rPr>
          <w:rFonts w:asciiTheme="minorHAnsi" w:hAnsiTheme="minorHAnsi" w:cstheme="minorHAnsi"/>
          <w:b/>
          <w:i/>
          <w:color w:val="365F91" w:themeColor="accent1" w:themeShade="BF"/>
          <w:sz w:val="28"/>
          <w:szCs w:val="28"/>
        </w:rPr>
        <w:t>e</w:t>
      </w:r>
      <w:r w:rsidRPr="003A542C">
        <w:rPr>
          <w:rFonts w:asciiTheme="minorHAnsi" w:hAnsiTheme="minorHAnsi" w:cstheme="minorHAnsi"/>
          <w:b/>
          <w:i/>
          <w:color w:val="365F91" w:themeColor="accent1" w:themeShade="BF"/>
          <w:sz w:val="28"/>
          <w:szCs w:val="28"/>
        </w:rPr>
        <w:t xml:space="preserve">fficacy and </w:t>
      </w:r>
      <w:r>
        <w:rPr>
          <w:rFonts w:asciiTheme="minorHAnsi" w:hAnsiTheme="minorHAnsi" w:cstheme="minorHAnsi"/>
          <w:b/>
          <w:i/>
          <w:color w:val="365F91" w:themeColor="accent1" w:themeShade="BF"/>
          <w:sz w:val="28"/>
          <w:szCs w:val="28"/>
        </w:rPr>
        <w:t>s</w:t>
      </w:r>
      <w:r w:rsidRPr="003A542C">
        <w:rPr>
          <w:rFonts w:asciiTheme="minorHAnsi" w:hAnsiTheme="minorHAnsi" w:cstheme="minorHAnsi"/>
          <w:b/>
          <w:i/>
          <w:color w:val="365F91" w:themeColor="accent1" w:themeShade="BF"/>
          <w:sz w:val="28"/>
          <w:szCs w:val="28"/>
        </w:rPr>
        <w:t>afety</w:t>
      </w:r>
    </w:p>
    <w:p w14:paraId="390AB246" w14:textId="1ACE62C2" w:rsidR="00A90D5A" w:rsidRPr="00A90D5A" w:rsidRDefault="00A90D5A" w:rsidP="00A90D5A">
      <w:pPr>
        <w:spacing w:before="240"/>
        <w:jc w:val="center"/>
        <w:rPr>
          <w:rFonts w:asciiTheme="minorHAnsi" w:hAnsiTheme="minorHAnsi" w:cstheme="minorHAnsi"/>
          <w:b/>
          <w:i/>
          <w:color w:val="365F91" w:themeColor="accent1" w:themeShade="BF"/>
          <w:sz w:val="28"/>
          <w:szCs w:val="28"/>
        </w:rPr>
      </w:pPr>
    </w:p>
    <w:bookmarkEnd w:id="0"/>
    <w:p w14:paraId="57E59539" w14:textId="77777777" w:rsidR="00904FDA" w:rsidRPr="004B11B2" w:rsidRDefault="00904FDA" w:rsidP="00904FDA">
      <w:pPr>
        <w:rPr>
          <w:rFonts w:asciiTheme="majorHAnsi" w:hAnsiTheme="majorHAnsi"/>
          <w:b/>
          <w:bCs/>
        </w:rPr>
      </w:pPr>
      <w:r w:rsidRPr="004B11B2">
        <w:rPr>
          <w:rFonts w:asciiTheme="majorHAnsi" w:hAnsiTheme="majorHAnsi"/>
        </w:rPr>
        <w:br w:type="page"/>
      </w:r>
    </w:p>
    <w:sdt>
      <w:sdtPr>
        <w:rPr>
          <w:rFonts w:ascii="Cambria" w:eastAsiaTheme="minorHAnsi" w:hAnsi="Cambria" w:cstheme="minorBidi"/>
          <w:b w:val="0"/>
          <w:bCs w:val="0"/>
          <w:color w:val="auto"/>
          <w:sz w:val="24"/>
          <w:szCs w:val="22"/>
          <w:lang w:val="en-AU" w:eastAsia="en-AU"/>
        </w:rPr>
        <w:id w:val="253712644"/>
        <w:docPartObj>
          <w:docPartGallery w:val="Table of Contents"/>
          <w:docPartUnique/>
        </w:docPartObj>
      </w:sdtPr>
      <w:sdtEndPr>
        <w:rPr>
          <w:rFonts w:ascii="Calibri" w:hAnsi="Calibri"/>
          <w:noProof/>
        </w:rPr>
      </w:sdtEndPr>
      <w:sdtContent>
        <w:p w14:paraId="4F663679" w14:textId="77777777" w:rsidR="004C215E" w:rsidRDefault="004C215E" w:rsidP="00447340">
          <w:pPr>
            <w:pStyle w:val="TOCHeading"/>
          </w:pPr>
          <w:r>
            <w:t>Contents</w:t>
          </w:r>
        </w:p>
        <w:p w14:paraId="263654B2" w14:textId="39755F69" w:rsidR="00464416" w:rsidRDefault="004C215E">
          <w:pPr>
            <w:pStyle w:val="TOC1"/>
            <w:tabs>
              <w:tab w:val="right" w:leader="dot" w:pos="9016"/>
            </w:tabs>
            <w:rPr>
              <w:rFonts w:asciiTheme="minorHAnsi" w:eastAsiaTheme="minorEastAsia" w:hAnsiTheme="minorHAnsi"/>
              <w:noProof/>
              <w:sz w:val="22"/>
            </w:rPr>
          </w:pPr>
          <w:r>
            <w:fldChar w:fldCharType="begin"/>
          </w:r>
          <w:r>
            <w:instrText xml:space="preserve"> TOC \o "1-3" \h \z \u </w:instrText>
          </w:r>
          <w:r>
            <w:fldChar w:fldCharType="separate"/>
          </w:r>
          <w:hyperlink w:anchor="_Toc115254497" w:history="1">
            <w:r w:rsidR="00464416" w:rsidRPr="002C3FD7">
              <w:rPr>
                <w:rStyle w:val="Hyperlink"/>
                <w:noProof/>
              </w:rPr>
              <w:t>Abbreviations</w:t>
            </w:r>
            <w:r w:rsidR="00464416">
              <w:rPr>
                <w:noProof/>
                <w:webHidden/>
              </w:rPr>
              <w:tab/>
            </w:r>
            <w:r w:rsidR="00464416">
              <w:rPr>
                <w:noProof/>
                <w:webHidden/>
              </w:rPr>
              <w:fldChar w:fldCharType="begin"/>
            </w:r>
            <w:r w:rsidR="00464416">
              <w:rPr>
                <w:noProof/>
                <w:webHidden/>
              </w:rPr>
              <w:instrText xml:space="preserve"> PAGEREF _Toc115254497 \h </w:instrText>
            </w:r>
            <w:r w:rsidR="00464416">
              <w:rPr>
                <w:noProof/>
                <w:webHidden/>
              </w:rPr>
            </w:r>
            <w:r w:rsidR="00464416">
              <w:rPr>
                <w:noProof/>
                <w:webHidden/>
              </w:rPr>
              <w:fldChar w:fldCharType="separate"/>
            </w:r>
            <w:r w:rsidR="003639CB">
              <w:rPr>
                <w:noProof/>
                <w:webHidden/>
              </w:rPr>
              <w:t>4</w:t>
            </w:r>
            <w:r w:rsidR="00464416">
              <w:rPr>
                <w:noProof/>
                <w:webHidden/>
              </w:rPr>
              <w:fldChar w:fldCharType="end"/>
            </w:r>
          </w:hyperlink>
        </w:p>
        <w:p w14:paraId="0D5BF620" w14:textId="4D90F351" w:rsidR="00464416" w:rsidRDefault="00BF3F75">
          <w:pPr>
            <w:pStyle w:val="TOC1"/>
            <w:tabs>
              <w:tab w:val="right" w:leader="dot" w:pos="9016"/>
            </w:tabs>
            <w:rPr>
              <w:rFonts w:asciiTheme="minorHAnsi" w:eastAsiaTheme="minorEastAsia" w:hAnsiTheme="minorHAnsi"/>
              <w:noProof/>
              <w:sz w:val="22"/>
            </w:rPr>
          </w:pPr>
          <w:hyperlink w:anchor="_Toc115254498" w:history="1">
            <w:r w:rsidR="00464416" w:rsidRPr="002C3FD7">
              <w:rPr>
                <w:rStyle w:val="Hyperlink"/>
                <w:noProof/>
              </w:rPr>
              <w:t>Section 3: ToR 3 Efficacy and safety of nicotine replacement therapy, varenicline and bupropion for smoking cessation including combination therapies</w:t>
            </w:r>
            <w:r w:rsidR="00464416">
              <w:rPr>
                <w:noProof/>
                <w:webHidden/>
              </w:rPr>
              <w:tab/>
            </w:r>
            <w:r w:rsidR="00464416">
              <w:rPr>
                <w:noProof/>
                <w:webHidden/>
              </w:rPr>
              <w:fldChar w:fldCharType="begin"/>
            </w:r>
            <w:r w:rsidR="00464416">
              <w:rPr>
                <w:noProof/>
                <w:webHidden/>
              </w:rPr>
              <w:instrText xml:space="preserve"> PAGEREF _Toc115254498 \h </w:instrText>
            </w:r>
            <w:r w:rsidR="00464416">
              <w:rPr>
                <w:noProof/>
                <w:webHidden/>
              </w:rPr>
            </w:r>
            <w:r w:rsidR="00464416">
              <w:rPr>
                <w:noProof/>
                <w:webHidden/>
              </w:rPr>
              <w:fldChar w:fldCharType="separate"/>
            </w:r>
            <w:r w:rsidR="003639CB">
              <w:rPr>
                <w:noProof/>
                <w:webHidden/>
              </w:rPr>
              <w:t>6</w:t>
            </w:r>
            <w:r w:rsidR="00464416">
              <w:rPr>
                <w:noProof/>
                <w:webHidden/>
              </w:rPr>
              <w:fldChar w:fldCharType="end"/>
            </w:r>
          </w:hyperlink>
        </w:p>
        <w:p w14:paraId="1BFDEBB7" w14:textId="6FDC442E" w:rsidR="00464416" w:rsidRDefault="00BF3F75">
          <w:pPr>
            <w:pStyle w:val="TOC2"/>
            <w:tabs>
              <w:tab w:val="left" w:pos="880"/>
              <w:tab w:val="right" w:leader="dot" w:pos="9016"/>
            </w:tabs>
            <w:rPr>
              <w:rFonts w:asciiTheme="minorHAnsi" w:eastAsiaTheme="minorEastAsia" w:hAnsiTheme="minorHAnsi"/>
              <w:noProof/>
              <w:sz w:val="22"/>
            </w:rPr>
          </w:pPr>
          <w:hyperlink w:anchor="_Toc115254499" w:history="1">
            <w:r w:rsidR="00464416" w:rsidRPr="002C3FD7">
              <w:rPr>
                <w:rStyle w:val="Hyperlink"/>
                <w:noProof/>
              </w:rPr>
              <w:t>3.1</w:t>
            </w:r>
            <w:r w:rsidR="00464416">
              <w:rPr>
                <w:rFonts w:asciiTheme="minorHAnsi" w:eastAsiaTheme="minorEastAsia" w:hAnsiTheme="minorHAnsi"/>
                <w:noProof/>
                <w:sz w:val="22"/>
              </w:rPr>
              <w:tab/>
            </w:r>
            <w:r w:rsidR="00464416" w:rsidRPr="002C3FD7">
              <w:rPr>
                <w:rStyle w:val="Hyperlink"/>
                <w:noProof/>
              </w:rPr>
              <w:t>Key findings for ToR 3</w:t>
            </w:r>
            <w:r w:rsidR="00464416">
              <w:rPr>
                <w:noProof/>
                <w:webHidden/>
              </w:rPr>
              <w:tab/>
            </w:r>
            <w:r w:rsidR="00464416">
              <w:rPr>
                <w:noProof/>
                <w:webHidden/>
              </w:rPr>
              <w:fldChar w:fldCharType="begin"/>
            </w:r>
            <w:r w:rsidR="00464416">
              <w:rPr>
                <w:noProof/>
                <w:webHidden/>
              </w:rPr>
              <w:instrText xml:space="preserve"> PAGEREF _Toc115254499 \h </w:instrText>
            </w:r>
            <w:r w:rsidR="00464416">
              <w:rPr>
                <w:noProof/>
                <w:webHidden/>
              </w:rPr>
            </w:r>
            <w:r w:rsidR="00464416">
              <w:rPr>
                <w:noProof/>
                <w:webHidden/>
              </w:rPr>
              <w:fldChar w:fldCharType="separate"/>
            </w:r>
            <w:r w:rsidR="003639CB">
              <w:rPr>
                <w:noProof/>
                <w:webHidden/>
              </w:rPr>
              <w:t>6</w:t>
            </w:r>
            <w:r w:rsidR="00464416">
              <w:rPr>
                <w:noProof/>
                <w:webHidden/>
              </w:rPr>
              <w:fldChar w:fldCharType="end"/>
            </w:r>
          </w:hyperlink>
        </w:p>
        <w:p w14:paraId="774886E5" w14:textId="79C47B19" w:rsidR="00464416" w:rsidRDefault="00BF3F75">
          <w:pPr>
            <w:pStyle w:val="TOC3"/>
            <w:tabs>
              <w:tab w:val="left" w:pos="1320"/>
              <w:tab w:val="right" w:leader="dot" w:pos="9016"/>
            </w:tabs>
            <w:rPr>
              <w:rFonts w:asciiTheme="minorHAnsi" w:eastAsiaTheme="minorEastAsia" w:hAnsiTheme="minorHAnsi"/>
              <w:noProof/>
              <w:sz w:val="22"/>
            </w:rPr>
          </w:pPr>
          <w:hyperlink w:anchor="_Toc115254500" w:history="1">
            <w:r w:rsidR="00464416" w:rsidRPr="002C3FD7">
              <w:rPr>
                <w:rStyle w:val="Hyperlink"/>
                <w:noProof/>
              </w:rPr>
              <w:t>3.1.1</w:t>
            </w:r>
            <w:r w:rsidR="00464416">
              <w:rPr>
                <w:rFonts w:asciiTheme="minorHAnsi" w:eastAsiaTheme="minorEastAsia" w:hAnsiTheme="minorHAnsi"/>
                <w:noProof/>
                <w:sz w:val="22"/>
              </w:rPr>
              <w:tab/>
            </w:r>
            <w:r w:rsidR="00464416" w:rsidRPr="002C3FD7">
              <w:rPr>
                <w:rStyle w:val="Hyperlink"/>
                <w:noProof/>
              </w:rPr>
              <w:t>Monotherapy in the general population</w:t>
            </w:r>
            <w:r w:rsidR="00464416">
              <w:rPr>
                <w:noProof/>
                <w:webHidden/>
              </w:rPr>
              <w:tab/>
            </w:r>
            <w:r w:rsidR="00464416">
              <w:rPr>
                <w:noProof/>
                <w:webHidden/>
              </w:rPr>
              <w:fldChar w:fldCharType="begin"/>
            </w:r>
            <w:r w:rsidR="00464416">
              <w:rPr>
                <w:noProof/>
                <w:webHidden/>
              </w:rPr>
              <w:instrText xml:space="preserve"> PAGEREF _Toc115254500 \h </w:instrText>
            </w:r>
            <w:r w:rsidR="00464416">
              <w:rPr>
                <w:noProof/>
                <w:webHidden/>
              </w:rPr>
            </w:r>
            <w:r w:rsidR="00464416">
              <w:rPr>
                <w:noProof/>
                <w:webHidden/>
              </w:rPr>
              <w:fldChar w:fldCharType="separate"/>
            </w:r>
            <w:r w:rsidR="003639CB">
              <w:rPr>
                <w:noProof/>
                <w:webHidden/>
              </w:rPr>
              <w:t>6</w:t>
            </w:r>
            <w:r w:rsidR="00464416">
              <w:rPr>
                <w:noProof/>
                <w:webHidden/>
              </w:rPr>
              <w:fldChar w:fldCharType="end"/>
            </w:r>
          </w:hyperlink>
        </w:p>
        <w:p w14:paraId="346C00F8" w14:textId="228B228B" w:rsidR="00464416" w:rsidRDefault="00BF3F75">
          <w:pPr>
            <w:pStyle w:val="TOC3"/>
            <w:tabs>
              <w:tab w:val="left" w:pos="1320"/>
              <w:tab w:val="right" w:leader="dot" w:pos="9016"/>
            </w:tabs>
            <w:rPr>
              <w:rFonts w:asciiTheme="minorHAnsi" w:eastAsiaTheme="minorEastAsia" w:hAnsiTheme="minorHAnsi"/>
              <w:noProof/>
              <w:sz w:val="22"/>
            </w:rPr>
          </w:pPr>
          <w:hyperlink w:anchor="_Toc115254501" w:history="1">
            <w:r w:rsidR="00464416" w:rsidRPr="002C3FD7">
              <w:rPr>
                <w:rStyle w:val="Hyperlink"/>
                <w:noProof/>
              </w:rPr>
              <w:t>3.1.2</w:t>
            </w:r>
            <w:r w:rsidR="00464416">
              <w:rPr>
                <w:rFonts w:asciiTheme="minorHAnsi" w:eastAsiaTheme="minorEastAsia" w:hAnsiTheme="minorHAnsi"/>
                <w:noProof/>
                <w:sz w:val="22"/>
              </w:rPr>
              <w:tab/>
            </w:r>
            <w:r w:rsidR="00464416" w:rsidRPr="002C3FD7">
              <w:rPr>
                <w:rStyle w:val="Hyperlink"/>
                <w:noProof/>
              </w:rPr>
              <w:t>Combination therapy in the general population</w:t>
            </w:r>
            <w:r w:rsidR="00464416">
              <w:rPr>
                <w:noProof/>
                <w:webHidden/>
              </w:rPr>
              <w:tab/>
            </w:r>
            <w:r w:rsidR="00464416">
              <w:rPr>
                <w:noProof/>
                <w:webHidden/>
              </w:rPr>
              <w:fldChar w:fldCharType="begin"/>
            </w:r>
            <w:r w:rsidR="00464416">
              <w:rPr>
                <w:noProof/>
                <w:webHidden/>
              </w:rPr>
              <w:instrText xml:space="preserve"> PAGEREF _Toc115254501 \h </w:instrText>
            </w:r>
            <w:r w:rsidR="00464416">
              <w:rPr>
                <w:noProof/>
                <w:webHidden/>
              </w:rPr>
            </w:r>
            <w:r w:rsidR="00464416">
              <w:rPr>
                <w:noProof/>
                <w:webHidden/>
              </w:rPr>
              <w:fldChar w:fldCharType="separate"/>
            </w:r>
            <w:r w:rsidR="003639CB">
              <w:rPr>
                <w:noProof/>
                <w:webHidden/>
              </w:rPr>
              <w:t>12</w:t>
            </w:r>
            <w:r w:rsidR="00464416">
              <w:rPr>
                <w:noProof/>
                <w:webHidden/>
              </w:rPr>
              <w:fldChar w:fldCharType="end"/>
            </w:r>
          </w:hyperlink>
        </w:p>
        <w:p w14:paraId="2E6DF4A6" w14:textId="2A98B5D9" w:rsidR="00464416" w:rsidRDefault="00BF3F75">
          <w:pPr>
            <w:pStyle w:val="TOC3"/>
            <w:tabs>
              <w:tab w:val="left" w:pos="1320"/>
              <w:tab w:val="right" w:leader="dot" w:pos="9016"/>
            </w:tabs>
            <w:rPr>
              <w:rFonts w:asciiTheme="minorHAnsi" w:eastAsiaTheme="minorEastAsia" w:hAnsiTheme="minorHAnsi"/>
              <w:noProof/>
              <w:sz w:val="22"/>
            </w:rPr>
          </w:pPr>
          <w:hyperlink w:anchor="_Toc115254502" w:history="1">
            <w:r w:rsidR="00464416" w:rsidRPr="002C3FD7">
              <w:rPr>
                <w:rStyle w:val="Hyperlink"/>
                <w:noProof/>
              </w:rPr>
              <w:t>3.1.3</w:t>
            </w:r>
            <w:r w:rsidR="00464416">
              <w:rPr>
                <w:rFonts w:asciiTheme="minorHAnsi" w:eastAsiaTheme="minorEastAsia" w:hAnsiTheme="minorHAnsi"/>
                <w:noProof/>
                <w:sz w:val="22"/>
              </w:rPr>
              <w:tab/>
            </w:r>
            <w:r w:rsidR="00464416" w:rsidRPr="002C3FD7">
              <w:rPr>
                <w:rStyle w:val="Hyperlink"/>
                <w:noProof/>
              </w:rPr>
              <w:t>NRT dose, dosage form and length of therapy</w:t>
            </w:r>
            <w:r w:rsidR="00464416">
              <w:rPr>
                <w:noProof/>
                <w:webHidden/>
              </w:rPr>
              <w:tab/>
            </w:r>
            <w:r w:rsidR="00464416">
              <w:rPr>
                <w:noProof/>
                <w:webHidden/>
              </w:rPr>
              <w:fldChar w:fldCharType="begin"/>
            </w:r>
            <w:r w:rsidR="00464416">
              <w:rPr>
                <w:noProof/>
                <w:webHidden/>
              </w:rPr>
              <w:instrText xml:space="preserve"> PAGEREF _Toc115254502 \h </w:instrText>
            </w:r>
            <w:r w:rsidR="00464416">
              <w:rPr>
                <w:noProof/>
                <w:webHidden/>
              </w:rPr>
            </w:r>
            <w:r w:rsidR="00464416">
              <w:rPr>
                <w:noProof/>
                <w:webHidden/>
              </w:rPr>
              <w:fldChar w:fldCharType="separate"/>
            </w:r>
            <w:r w:rsidR="003639CB">
              <w:rPr>
                <w:noProof/>
                <w:webHidden/>
              </w:rPr>
              <w:t>16</w:t>
            </w:r>
            <w:r w:rsidR="00464416">
              <w:rPr>
                <w:noProof/>
                <w:webHidden/>
              </w:rPr>
              <w:fldChar w:fldCharType="end"/>
            </w:r>
          </w:hyperlink>
        </w:p>
        <w:p w14:paraId="4B4F53E1" w14:textId="5819AF21" w:rsidR="00464416" w:rsidRDefault="00BF3F75">
          <w:pPr>
            <w:pStyle w:val="TOC3"/>
            <w:tabs>
              <w:tab w:val="left" w:pos="1320"/>
              <w:tab w:val="right" w:leader="dot" w:pos="9016"/>
            </w:tabs>
            <w:rPr>
              <w:rFonts w:asciiTheme="minorHAnsi" w:eastAsiaTheme="minorEastAsia" w:hAnsiTheme="minorHAnsi"/>
              <w:noProof/>
              <w:sz w:val="22"/>
            </w:rPr>
          </w:pPr>
          <w:hyperlink w:anchor="_Toc115254503" w:history="1">
            <w:r w:rsidR="00464416" w:rsidRPr="002C3FD7">
              <w:rPr>
                <w:rStyle w:val="Hyperlink"/>
                <w:noProof/>
              </w:rPr>
              <w:t>3.1.4</w:t>
            </w:r>
            <w:r w:rsidR="00464416">
              <w:rPr>
                <w:rFonts w:asciiTheme="minorHAnsi" w:eastAsiaTheme="minorEastAsia" w:hAnsiTheme="minorHAnsi"/>
                <w:noProof/>
                <w:sz w:val="22"/>
              </w:rPr>
              <w:tab/>
            </w:r>
            <w:r w:rsidR="00464416" w:rsidRPr="002C3FD7">
              <w:rPr>
                <w:rStyle w:val="Hyperlink"/>
                <w:noProof/>
              </w:rPr>
              <w:t>Behavioural interventions in combination with pharmacotherapies</w:t>
            </w:r>
            <w:r w:rsidR="00464416">
              <w:rPr>
                <w:noProof/>
                <w:webHidden/>
              </w:rPr>
              <w:tab/>
            </w:r>
            <w:r w:rsidR="00464416">
              <w:rPr>
                <w:noProof/>
                <w:webHidden/>
              </w:rPr>
              <w:fldChar w:fldCharType="begin"/>
            </w:r>
            <w:r w:rsidR="00464416">
              <w:rPr>
                <w:noProof/>
                <w:webHidden/>
              </w:rPr>
              <w:instrText xml:space="preserve"> PAGEREF _Toc115254503 \h </w:instrText>
            </w:r>
            <w:r w:rsidR="00464416">
              <w:rPr>
                <w:noProof/>
                <w:webHidden/>
              </w:rPr>
            </w:r>
            <w:r w:rsidR="00464416">
              <w:rPr>
                <w:noProof/>
                <w:webHidden/>
              </w:rPr>
              <w:fldChar w:fldCharType="separate"/>
            </w:r>
            <w:r w:rsidR="003639CB">
              <w:rPr>
                <w:noProof/>
                <w:webHidden/>
              </w:rPr>
              <w:t>21</w:t>
            </w:r>
            <w:r w:rsidR="00464416">
              <w:rPr>
                <w:noProof/>
                <w:webHidden/>
              </w:rPr>
              <w:fldChar w:fldCharType="end"/>
            </w:r>
          </w:hyperlink>
        </w:p>
        <w:p w14:paraId="3D51B4D5" w14:textId="18FB936C" w:rsidR="00464416" w:rsidRDefault="00BF3F75">
          <w:pPr>
            <w:pStyle w:val="TOC3"/>
            <w:tabs>
              <w:tab w:val="left" w:pos="1320"/>
              <w:tab w:val="right" w:leader="dot" w:pos="9016"/>
            </w:tabs>
            <w:rPr>
              <w:rFonts w:asciiTheme="minorHAnsi" w:eastAsiaTheme="minorEastAsia" w:hAnsiTheme="minorHAnsi"/>
              <w:noProof/>
              <w:sz w:val="22"/>
            </w:rPr>
          </w:pPr>
          <w:hyperlink w:anchor="_Toc115254504" w:history="1">
            <w:r w:rsidR="00464416" w:rsidRPr="002C3FD7">
              <w:rPr>
                <w:rStyle w:val="Hyperlink"/>
                <w:noProof/>
              </w:rPr>
              <w:t>3.1.5</w:t>
            </w:r>
            <w:r w:rsidR="00464416">
              <w:rPr>
                <w:rFonts w:asciiTheme="minorHAnsi" w:eastAsiaTheme="minorEastAsia" w:hAnsiTheme="minorHAnsi"/>
                <w:noProof/>
                <w:sz w:val="22"/>
              </w:rPr>
              <w:tab/>
            </w:r>
            <w:r w:rsidR="00464416" w:rsidRPr="002C3FD7">
              <w:rPr>
                <w:rStyle w:val="Hyperlink"/>
                <w:noProof/>
              </w:rPr>
              <w:t>Use in populations with specific needs</w:t>
            </w:r>
            <w:r w:rsidR="00464416">
              <w:rPr>
                <w:noProof/>
                <w:webHidden/>
              </w:rPr>
              <w:tab/>
            </w:r>
            <w:r w:rsidR="00464416">
              <w:rPr>
                <w:noProof/>
                <w:webHidden/>
              </w:rPr>
              <w:fldChar w:fldCharType="begin"/>
            </w:r>
            <w:r w:rsidR="00464416">
              <w:rPr>
                <w:noProof/>
                <w:webHidden/>
              </w:rPr>
              <w:instrText xml:space="preserve"> PAGEREF _Toc115254504 \h </w:instrText>
            </w:r>
            <w:r w:rsidR="00464416">
              <w:rPr>
                <w:noProof/>
                <w:webHidden/>
              </w:rPr>
            </w:r>
            <w:r w:rsidR="00464416">
              <w:rPr>
                <w:noProof/>
                <w:webHidden/>
              </w:rPr>
              <w:fldChar w:fldCharType="separate"/>
            </w:r>
            <w:r w:rsidR="003639CB">
              <w:rPr>
                <w:noProof/>
                <w:webHidden/>
              </w:rPr>
              <w:t>22</w:t>
            </w:r>
            <w:r w:rsidR="00464416">
              <w:rPr>
                <w:noProof/>
                <w:webHidden/>
              </w:rPr>
              <w:fldChar w:fldCharType="end"/>
            </w:r>
          </w:hyperlink>
        </w:p>
        <w:p w14:paraId="02931DE8" w14:textId="4BA81B11" w:rsidR="00464416" w:rsidRDefault="00BF3F75">
          <w:pPr>
            <w:pStyle w:val="TOC3"/>
            <w:tabs>
              <w:tab w:val="left" w:pos="1320"/>
              <w:tab w:val="right" w:leader="dot" w:pos="9016"/>
            </w:tabs>
            <w:rPr>
              <w:rFonts w:asciiTheme="minorHAnsi" w:eastAsiaTheme="minorEastAsia" w:hAnsiTheme="minorHAnsi"/>
              <w:noProof/>
              <w:sz w:val="22"/>
            </w:rPr>
          </w:pPr>
          <w:hyperlink w:anchor="_Toc115254505" w:history="1">
            <w:r w:rsidR="00464416" w:rsidRPr="002C3FD7">
              <w:rPr>
                <w:rStyle w:val="Hyperlink"/>
                <w:noProof/>
              </w:rPr>
              <w:t>3.1.6</w:t>
            </w:r>
            <w:r w:rsidR="00464416">
              <w:rPr>
                <w:rFonts w:asciiTheme="minorHAnsi" w:eastAsiaTheme="minorEastAsia" w:hAnsiTheme="minorHAnsi"/>
                <w:noProof/>
                <w:sz w:val="22"/>
              </w:rPr>
              <w:tab/>
            </w:r>
            <w:r w:rsidR="00464416" w:rsidRPr="002C3FD7">
              <w:rPr>
                <w:rStyle w:val="Hyperlink"/>
                <w:noProof/>
              </w:rPr>
              <w:t>Stakeholder views (Forum and public consultations)</w:t>
            </w:r>
            <w:r w:rsidR="00464416">
              <w:rPr>
                <w:noProof/>
                <w:webHidden/>
              </w:rPr>
              <w:tab/>
            </w:r>
            <w:r w:rsidR="00464416">
              <w:rPr>
                <w:noProof/>
                <w:webHidden/>
              </w:rPr>
              <w:fldChar w:fldCharType="begin"/>
            </w:r>
            <w:r w:rsidR="00464416">
              <w:rPr>
                <w:noProof/>
                <w:webHidden/>
              </w:rPr>
              <w:instrText xml:space="preserve"> PAGEREF _Toc115254505 \h </w:instrText>
            </w:r>
            <w:r w:rsidR="00464416">
              <w:rPr>
                <w:noProof/>
                <w:webHidden/>
              </w:rPr>
            </w:r>
            <w:r w:rsidR="00464416">
              <w:rPr>
                <w:noProof/>
                <w:webHidden/>
              </w:rPr>
              <w:fldChar w:fldCharType="separate"/>
            </w:r>
            <w:r w:rsidR="003639CB">
              <w:rPr>
                <w:noProof/>
                <w:webHidden/>
              </w:rPr>
              <w:t>24</w:t>
            </w:r>
            <w:r w:rsidR="00464416">
              <w:rPr>
                <w:noProof/>
                <w:webHidden/>
              </w:rPr>
              <w:fldChar w:fldCharType="end"/>
            </w:r>
          </w:hyperlink>
        </w:p>
        <w:p w14:paraId="60EF0E8B" w14:textId="41E95D76" w:rsidR="00464416" w:rsidRDefault="00BF3F75">
          <w:pPr>
            <w:pStyle w:val="TOC2"/>
            <w:tabs>
              <w:tab w:val="right" w:leader="dot" w:pos="9016"/>
            </w:tabs>
            <w:rPr>
              <w:rFonts w:asciiTheme="minorHAnsi" w:eastAsiaTheme="minorEastAsia" w:hAnsiTheme="minorHAnsi"/>
              <w:noProof/>
              <w:sz w:val="22"/>
            </w:rPr>
          </w:pPr>
          <w:hyperlink w:anchor="_Toc115254506" w:history="1">
            <w:r w:rsidR="00464416" w:rsidRPr="002C3FD7">
              <w:rPr>
                <w:rStyle w:val="Hyperlink"/>
                <w:noProof/>
              </w:rPr>
              <w:t>Methodology and identification of relevant studies</w:t>
            </w:r>
            <w:r w:rsidR="00464416">
              <w:rPr>
                <w:noProof/>
                <w:webHidden/>
              </w:rPr>
              <w:tab/>
            </w:r>
            <w:r w:rsidR="00464416">
              <w:rPr>
                <w:noProof/>
                <w:webHidden/>
              </w:rPr>
              <w:fldChar w:fldCharType="begin"/>
            </w:r>
            <w:r w:rsidR="00464416">
              <w:rPr>
                <w:noProof/>
                <w:webHidden/>
              </w:rPr>
              <w:instrText xml:space="preserve"> PAGEREF _Toc115254506 \h </w:instrText>
            </w:r>
            <w:r w:rsidR="00464416">
              <w:rPr>
                <w:noProof/>
                <w:webHidden/>
              </w:rPr>
            </w:r>
            <w:r w:rsidR="00464416">
              <w:rPr>
                <w:noProof/>
                <w:webHidden/>
              </w:rPr>
              <w:fldChar w:fldCharType="separate"/>
            </w:r>
            <w:r w:rsidR="003639CB">
              <w:rPr>
                <w:noProof/>
                <w:webHidden/>
              </w:rPr>
              <w:t>25</w:t>
            </w:r>
            <w:r w:rsidR="00464416">
              <w:rPr>
                <w:noProof/>
                <w:webHidden/>
              </w:rPr>
              <w:fldChar w:fldCharType="end"/>
            </w:r>
          </w:hyperlink>
        </w:p>
        <w:p w14:paraId="4E0DCC5B" w14:textId="5944D621" w:rsidR="00464416" w:rsidRDefault="00BF3F75">
          <w:pPr>
            <w:pStyle w:val="TOC3"/>
            <w:tabs>
              <w:tab w:val="left" w:pos="1320"/>
              <w:tab w:val="right" w:leader="dot" w:pos="9016"/>
            </w:tabs>
            <w:rPr>
              <w:rFonts w:asciiTheme="minorHAnsi" w:eastAsiaTheme="minorEastAsia" w:hAnsiTheme="minorHAnsi"/>
              <w:noProof/>
              <w:sz w:val="22"/>
            </w:rPr>
          </w:pPr>
          <w:hyperlink w:anchor="_Toc115254507" w:history="1">
            <w:r w:rsidR="00464416" w:rsidRPr="002C3FD7">
              <w:rPr>
                <w:rStyle w:val="Hyperlink"/>
                <w:noProof/>
              </w:rPr>
              <w:t>3.1.7</w:t>
            </w:r>
            <w:r w:rsidR="00464416">
              <w:rPr>
                <w:rFonts w:asciiTheme="minorHAnsi" w:eastAsiaTheme="minorEastAsia" w:hAnsiTheme="minorHAnsi"/>
                <w:noProof/>
                <w:sz w:val="22"/>
              </w:rPr>
              <w:tab/>
            </w:r>
            <w:r w:rsidR="00464416" w:rsidRPr="002C3FD7">
              <w:rPr>
                <w:rStyle w:val="Hyperlink"/>
                <w:noProof/>
              </w:rPr>
              <w:t>PICO</w:t>
            </w:r>
            <w:r w:rsidR="00464416">
              <w:rPr>
                <w:noProof/>
                <w:webHidden/>
              </w:rPr>
              <w:tab/>
            </w:r>
            <w:r w:rsidR="00464416">
              <w:rPr>
                <w:noProof/>
                <w:webHidden/>
              </w:rPr>
              <w:fldChar w:fldCharType="begin"/>
            </w:r>
            <w:r w:rsidR="00464416">
              <w:rPr>
                <w:noProof/>
                <w:webHidden/>
              </w:rPr>
              <w:instrText xml:space="preserve"> PAGEREF _Toc115254507 \h </w:instrText>
            </w:r>
            <w:r w:rsidR="00464416">
              <w:rPr>
                <w:noProof/>
                <w:webHidden/>
              </w:rPr>
            </w:r>
            <w:r w:rsidR="00464416">
              <w:rPr>
                <w:noProof/>
                <w:webHidden/>
              </w:rPr>
              <w:fldChar w:fldCharType="separate"/>
            </w:r>
            <w:r w:rsidR="003639CB">
              <w:rPr>
                <w:noProof/>
                <w:webHidden/>
              </w:rPr>
              <w:t>25</w:t>
            </w:r>
            <w:r w:rsidR="00464416">
              <w:rPr>
                <w:noProof/>
                <w:webHidden/>
              </w:rPr>
              <w:fldChar w:fldCharType="end"/>
            </w:r>
          </w:hyperlink>
        </w:p>
        <w:p w14:paraId="02659215" w14:textId="664D84C6" w:rsidR="00464416" w:rsidRDefault="00BF3F75">
          <w:pPr>
            <w:pStyle w:val="TOC3"/>
            <w:tabs>
              <w:tab w:val="left" w:pos="1320"/>
              <w:tab w:val="right" w:leader="dot" w:pos="9016"/>
            </w:tabs>
            <w:rPr>
              <w:rFonts w:asciiTheme="minorHAnsi" w:eastAsiaTheme="minorEastAsia" w:hAnsiTheme="minorHAnsi"/>
              <w:noProof/>
              <w:sz w:val="22"/>
            </w:rPr>
          </w:pPr>
          <w:hyperlink w:anchor="_Toc115254508" w:history="1">
            <w:r w:rsidR="00464416" w:rsidRPr="002C3FD7">
              <w:rPr>
                <w:rStyle w:val="Hyperlink"/>
                <w:iCs/>
                <w:noProof/>
              </w:rPr>
              <w:t>3.1.8</w:t>
            </w:r>
            <w:r w:rsidR="00464416">
              <w:rPr>
                <w:rFonts w:asciiTheme="minorHAnsi" w:eastAsiaTheme="minorEastAsia" w:hAnsiTheme="minorHAnsi"/>
                <w:noProof/>
                <w:sz w:val="22"/>
              </w:rPr>
              <w:tab/>
            </w:r>
            <w:r w:rsidR="00464416" w:rsidRPr="002C3FD7">
              <w:rPr>
                <w:rStyle w:val="Hyperlink"/>
                <w:noProof/>
              </w:rPr>
              <w:t>General approach</w:t>
            </w:r>
            <w:r w:rsidR="00464416">
              <w:rPr>
                <w:noProof/>
                <w:webHidden/>
              </w:rPr>
              <w:tab/>
            </w:r>
            <w:r w:rsidR="00464416">
              <w:rPr>
                <w:noProof/>
                <w:webHidden/>
              </w:rPr>
              <w:fldChar w:fldCharType="begin"/>
            </w:r>
            <w:r w:rsidR="00464416">
              <w:rPr>
                <w:noProof/>
                <w:webHidden/>
              </w:rPr>
              <w:instrText xml:space="preserve"> PAGEREF _Toc115254508 \h </w:instrText>
            </w:r>
            <w:r w:rsidR="00464416">
              <w:rPr>
                <w:noProof/>
                <w:webHidden/>
              </w:rPr>
            </w:r>
            <w:r w:rsidR="00464416">
              <w:rPr>
                <w:noProof/>
                <w:webHidden/>
              </w:rPr>
              <w:fldChar w:fldCharType="separate"/>
            </w:r>
            <w:r w:rsidR="003639CB">
              <w:rPr>
                <w:noProof/>
                <w:webHidden/>
              </w:rPr>
              <w:t>26</w:t>
            </w:r>
            <w:r w:rsidR="00464416">
              <w:rPr>
                <w:noProof/>
                <w:webHidden/>
              </w:rPr>
              <w:fldChar w:fldCharType="end"/>
            </w:r>
          </w:hyperlink>
        </w:p>
        <w:p w14:paraId="0DA1ED00" w14:textId="74E01AB1" w:rsidR="00464416" w:rsidRDefault="00BF3F75">
          <w:pPr>
            <w:pStyle w:val="TOC3"/>
            <w:tabs>
              <w:tab w:val="left" w:pos="1320"/>
              <w:tab w:val="right" w:leader="dot" w:pos="9016"/>
            </w:tabs>
            <w:rPr>
              <w:rFonts w:asciiTheme="minorHAnsi" w:eastAsiaTheme="minorEastAsia" w:hAnsiTheme="minorHAnsi"/>
              <w:noProof/>
              <w:sz w:val="22"/>
            </w:rPr>
          </w:pPr>
          <w:hyperlink w:anchor="_Toc115254509" w:history="1">
            <w:r w:rsidR="00464416" w:rsidRPr="002C3FD7">
              <w:rPr>
                <w:rStyle w:val="Hyperlink"/>
                <w:noProof/>
              </w:rPr>
              <w:t>3.1.9</w:t>
            </w:r>
            <w:r w:rsidR="00464416">
              <w:rPr>
                <w:rFonts w:asciiTheme="minorHAnsi" w:eastAsiaTheme="minorEastAsia" w:hAnsiTheme="minorHAnsi"/>
                <w:noProof/>
                <w:sz w:val="22"/>
              </w:rPr>
              <w:tab/>
            </w:r>
            <w:r w:rsidR="00464416" w:rsidRPr="002C3FD7">
              <w:rPr>
                <w:rStyle w:val="Hyperlink"/>
                <w:noProof/>
              </w:rPr>
              <w:t>Search results and selection of evidence</w:t>
            </w:r>
            <w:r w:rsidR="00464416">
              <w:rPr>
                <w:noProof/>
                <w:webHidden/>
              </w:rPr>
              <w:tab/>
            </w:r>
            <w:r w:rsidR="00464416">
              <w:rPr>
                <w:noProof/>
                <w:webHidden/>
              </w:rPr>
              <w:fldChar w:fldCharType="begin"/>
            </w:r>
            <w:r w:rsidR="00464416">
              <w:rPr>
                <w:noProof/>
                <w:webHidden/>
              </w:rPr>
              <w:instrText xml:space="preserve"> PAGEREF _Toc115254509 \h </w:instrText>
            </w:r>
            <w:r w:rsidR="00464416">
              <w:rPr>
                <w:noProof/>
                <w:webHidden/>
              </w:rPr>
            </w:r>
            <w:r w:rsidR="00464416">
              <w:rPr>
                <w:noProof/>
                <w:webHidden/>
              </w:rPr>
              <w:fldChar w:fldCharType="separate"/>
            </w:r>
            <w:r w:rsidR="003639CB">
              <w:rPr>
                <w:noProof/>
                <w:webHidden/>
              </w:rPr>
              <w:t>28</w:t>
            </w:r>
            <w:r w:rsidR="00464416">
              <w:rPr>
                <w:noProof/>
                <w:webHidden/>
              </w:rPr>
              <w:fldChar w:fldCharType="end"/>
            </w:r>
          </w:hyperlink>
        </w:p>
        <w:p w14:paraId="180DC36A" w14:textId="240C67AE" w:rsidR="00464416" w:rsidRDefault="00BF3F75">
          <w:pPr>
            <w:pStyle w:val="TOC2"/>
            <w:tabs>
              <w:tab w:val="right" w:leader="dot" w:pos="9016"/>
            </w:tabs>
            <w:rPr>
              <w:rFonts w:asciiTheme="minorHAnsi" w:eastAsiaTheme="minorEastAsia" w:hAnsiTheme="minorHAnsi"/>
              <w:noProof/>
              <w:sz w:val="22"/>
            </w:rPr>
          </w:pPr>
          <w:hyperlink w:anchor="_Toc115254510" w:history="1">
            <w:r w:rsidR="00464416" w:rsidRPr="002C3FD7">
              <w:rPr>
                <w:rStyle w:val="Hyperlink"/>
                <w:noProof/>
              </w:rPr>
              <w:t>Summary of evidence</w:t>
            </w:r>
            <w:r w:rsidR="00464416">
              <w:rPr>
                <w:noProof/>
                <w:webHidden/>
              </w:rPr>
              <w:tab/>
            </w:r>
            <w:r w:rsidR="00464416">
              <w:rPr>
                <w:noProof/>
                <w:webHidden/>
              </w:rPr>
              <w:fldChar w:fldCharType="begin"/>
            </w:r>
            <w:r w:rsidR="00464416">
              <w:rPr>
                <w:noProof/>
                <w:webHidden/>
              </w:rPr>
              <w:instrText xml:space="preserve"> PAGEREF _Toc115254510 \h </w:instrText>
            </w:r>
            <w:r w:rsidR="00464416">
              <w:rPr>
                <w:noProof/>
                <w:webHidden/>
              </w:rPr>
            </w:r>
            <w:r w:rsidR="00464416">
              <w:rPr>
                <w:noProof/>
                <w:webHidden/>
              </w:rPr>
              <w:fldChar w:fldCharType="separate"/>
            </w:r>
            <w:r w:rsidR="003639CB">
              <w:rPr>
                <w:noProof/>
                <w:webHidden/>
              </w:rPr>
              <w:t>32</w:t>
            </w:r>
            <w:r w:rsidR="00464416">
              <w:rPr>
                <w:noProof/>
                <w:webHidden/>
              </w:rPr>
              <w:fldChar w:fldCharType="end"/>
            </w:r>
          </w:hyperlink>
        </w:p>
        <w:p w14:paraId="630E7CA4" w14:textId="23631E50" w:rsidR="00464416" w:rsidRDefault="00BF3F75">
          <w:pPr>
            <w:pStyle w:val="TOC3"/>
            <w:tabs>
              <w:tab w:val="left" w:pos="1320"/>
              <w:tab w:val="right" w:leader="dot" w:pos="9016"/>
            </w:tabs>
            <w:rPr>
              <w:rFonts w:asciiTheme="minorHAnsi" w:eastAsiaTheme="minorEastAsia" w:hAnsiTheme="minorHAnsi"/>
              <w:noProof/>
              <w:sz w:val="22"/>
            </w:rPr>
          </w:pPr>
          <w:hyperlink w:anchor="_Toc115254511" w:history="1">
            <w:r w:rsidR="00464416" w:rsidRPr="002C3FD7">
              <w:rPr>
                <w:rStyle w:val="Hyperlink"/>
                <w:noProof/>
              </w:rPr>
              <w:t>3.1.10</w:t>
            </w:r>
            <w:r w:rsidR="00464416">
              <w:rPr>
                <w:rFonts w:asciiTheme="minorHAnsi" w:eastAsiaTheme="minorEastAsia" w:hAnsiTheme="minorHAnsi"/>
                <w:noProof/>
                <w:sz w:val="22"/>
              </w:rPr>
              <w:tab/>
            </w:r>
            <w:r w:rsidR="00464416" w:rsidRPr="002C3FD7">
              <w:rPr>
                <w:rStyle w:val="Hyperlink"/>
                <w:noProof/>
              </w:rPr>
              <w:t>Monotherapy in the general population</w:t>
            </w:r>
            <w:r w:rsidR="00464416">
              <w:rPr>
                <w:noProof/>
                <w:webHidden/>
              </w:rPr>
              <w:tab/>
            </w:r>
            <w:r w:rsidR="00464416">
              <w:rPr>
                <w:noProof/>
                <w:webHidden/>
              </w:rPr>
              <w:fldChar w:fldCharType="begin"/>
            </w:r>
            <w:r w:rsidR="00464416">
              <w:rPr>
                <w:noProof/>
                <w:webHidden/>
              </w:rPr>
              <w:instrText xml:space="preserve"> PAGEREF _Toc115254511 \h </w:instrText>
            </w:r>
            <w:r w:rsidR="00464416">
              <w:rPr>
                <w:noProof/>
                <w:webHidden/>
              </w:rPr>
            </w:r>
            <w:r w:rsidR="00464416">
              <w:rPr>
                <w:noProof/>
                <w:webHidden/>
              </w:rPr>
              <w:fldChar w:fldCharType="separate"/>
            </w:r>
            <w:r w:rsidR="003639CB">
              <w:rPr>
                <w:noProof/>
                <w:webHidden/>
              </w:rPr>
              <w:t>32</w:t>
            </w:r>
            <w:r w:rsidR="00464416">
              <w:rPr>
                <w:noProof/>
                <w:webHidden/>
              </w:rPr>
              <w:fldChar w:fldCharType="end"/>
            </w:r>
          </w:hyperlink>
        </w:p>
        <w:p w14:paraId="3DD09631" w14:textId="58156372" w:rsidR="00464416" w:rsidRDefault="00BF3F75">
          <w:pPr>
            <w:pStyle w:val="TOC3"/>
            <w:tabs>
              <w:tab w:val="left" w:pos="1320"/>
              <w:tab w:val="right" w:leader="dot" w:pos="9016"/>
            </w:tabs>
            <w:rPr>
              <w:rFonts w:asciiTheme="minorHAnsi" w:eastAsiaTheme="minorEastAsia" w:hAnsiTheme="minorHAnsi"/>
              <w:noProof/>
              <w:sz w:val="22"/>
            </w:rPr>
          </w:pPr>
          <w:hyperlink w:anchor="_Toc115254512" w:history="1">
            <w:r w:rsidR="00464416" w:rsidRPr="002C3FD7">
              <w:rPr>
                <w:rStyle w:val="Hyperlink"/>
                <w:noProof/>
              </w:rPr>
              <w:t>3.1.11</w:t>
            </w:r>
            <w:r w:rsidR="00464416">
              <w:rPr>
                <w:rFonts w:asciiTheme="minorHAnsi" w:eastAsiaTheme="minorEastAsia" w:hAnsiTheme="minorHAnsi"/>
                <w:noProof/>
                <w:sz w:val="22"/>
              </w:rPr>
              <w:tab/>
            </w:r>
            <w:r w:rsidR="00464416" w:rsidRPr="002C3FD7">
              <w:rPr>
                <w:rStyle w:val="Hyperlink"/>
                <w:noProof/>
              </w:rPr>
              <w:t>Combination therapy in the general population</w:t>
            </w:r>
            <w:r w:rsidR="00464416">
              <w:rPr>
                <w:noProof/>
                <w:webHidden/>
              </w:rPr>
              <w:tab/>
            </w:r>
            <w:r w:rsidR="00464416">
              <w:rPr>
                <w:noProof/>
                <w:webHidden/>
              </w:rPr>
              <w:fldChar w:fldCharType="begin"/>
            </w:r>
            <w:r w:rsidR="00464416">
              <w:rPr>
                <w:noProof/>
                <w:webHidden/>
              </w:rPr>
              <w:instrText xml:space="preserve"> PAGEREF _Toc115254512 \h </w:instrText>
            </w:r>
            <w:r w:rsidR="00464416">
              <w:rPr>
                <w:noProof/>
                <w:webHidden/>
              </w:rPr>
            </w:r>
            <w:r w:rsidR="00464416">
              <w:rPr>
                <w:noProof/>
                <w:webHidden/>
              </w:rPr>
              <w:fldChar w:fldCharType="separate"/>
            </w:r>
            <w:r w:rsidR="003639CB">
              <w:rPr>
                <w:noProof/>
                <w:webHidden/>
              </w:rPr>
              <w:t>121</w:t>
            </w:r>
            <w:r w:rsidR="00464416">
              <w:rPr>
                <w:noProof/>
                <w:webHidden/>
              </w:rPr>
              <w:fldChar w:fldCharType="end"/>
            </w:r>
          </w:hyperlink>
        </w:p>
        <w:p w14:paraId="061E9DE3" w14:textId="22D3B4A9" w:rsidR="00464416" w:rsidRDefault="00BF3F75">
          <w:pPr>
            <w:pStyle w:val="TOC3"/>
            <w:tabs>
              <w:tab w:val="left" w:pos="1320"/>
              <w:tab w:val="right" w:leader="dot" w:pos="9016"/>
            </w:tabs>
            <w:rPr>
              <w:rFonts w:asciiTheme="minorHAnsi" w:eastAsiaTheme="minorEastAsia" w:hAnsiTheme="minorHAnsi"/>
              <w:noProof/>
              <w:sz w:val="22"/>
            </w:rPr>
          </w:pPr>
          <w:hyperlink w:anchor="_Toc115254513" w:history="1">
            <w:r w:rsidR="00464416" w:rsidRPr="002C3FD7">
              <w:rPr>
                <w:rStyle w:val="Hyperlink"/>
                <w:noProof/>
              </w:rPr>
              <w:t>3.1.12</w:t>
            </w:r>
            <w:r w:rsidR="00464416">
              <w:rPr>
                <w:rFonts w:asciiTheme="minorHAnsi" w:eastAsiaTheme="minorEastAsia" w:hAnsiTheme="minorHAnsi"/>
                <w:noProof/>
                <w:sz w:val="22"/>
              </w:rPr>
              <w:tab/>
            </w:r>
            <w:r w:rsidR="00464416" w:rsidRPr="002C3FD7">
              <w:rPr>
                <w:rStyle w:val="Hyperlink"/>
                <w:noProof/>
              </w:rPr>
              <w:t>NRT dose, dosage form and length of therapy</w:t>
            </w:r>
            <w:r w:rsidR="00464416">
              <w:rPr>
                <w:noProof/>
                <w:webHidden/>
              </w:rPr>
              <w:tab/>
            </w:r>
            <w:r w:rsidR="00464416">
              <w:rPr>
                <w:noProof/>
                <w:webHidden/>
              </w:rPr>
              <w:fldChar w:fldCharType="begin"/>
            </w:r>
            <w:r w:rsidR="00464416">
              <w:rPr>
                <w:noProof/>
                <w:webHidden/>
              </w:rPr>
              <w:instrText xml:space="preserve"> PAGEREF _Toc115254513 \h </w:instrText>
            </w:r>
            <w:r w:rsidR="00464416">
              <w:rPr>
                <w:noProof/>
                <w:webHidden/>
              </w:rPr>
            </w:r>
            <w:r w:rsidR="00464416">
              <w:rPr>
                <w:noProof/>
                <w:webHidden/>
              </w:rPr>
              <w:fldChar w:fldCharType="separate"/>
            </w:r>
            <w:r w:rsidR="003639CB">
              <w:rPr>
                <w:noProof/>
                <w:webHidden/>
              </w:rPr>
              <w:t>154</w:t>
            </w:r>
            <w:r w:rsidR="00464416">
              <w:rPr>
                <w:noProof/>
                <w:webHidden/>
              </w:rPr>
              <w:fldChar w:fldCharType="end"/>
            </w:r>
          </w:hyperlink>
        </w:p>
        <w:p w14:paraId="5F9BB6E6" w14:textId="7616ACAD" w:rsidR="00464416" w:rsidRDefault="00BF3F75">
          <w:pPr>
            <w:pStyle w:val="TOC3"/>
            <w:tabs>
              <w:tab w:val="left" w:pos="1320"/>
              <w:tab w:val="right" w:leader="dot" w:pos="9016"/>
            </w:tabs>
            <w:rPr>
              <w:rFonts w:asciiTheme="minorHAnsi" w:eastAsiaTheme="minorEastAsia" w:hAnsiTheme="minorHAnsi"/>
              <w:noProof/>
              <w:sz w:val="22"/>
            </w:rPr>
          </w:pPr>
          <w:hyperlink w:anchor="_Toc115254514" w:history="1">
            <w:r w:rsidR="00464416" w:rsidRPr="002C3FD7">
              <w:rPr>
                <w:rStyle w:val="Hyperlink"/>
                <w:noProof/>
              </w:rPr>
              <w:t>3.1.13</w:t>
            </w:r>
            <w:r w:rsidR="00464416">
              <w:rPr>
                <w:rFonts w:asciiTheme="minorHAnsi" w:eastAsiaTheme="minorEastAsia" w:hAnsiTheme="minorHAnsi"/>
                <w:noProof/>
                <w:sz w:val="22"/>
              </w:rPr>
              <w:tab/>
            </w:r>
            <w:r w:rsidR="00464416" w:rsidRPr="002C3FD7">
              <w:rPr>
                <w:rStyle w:val="Hyperlink"/>
                <w:noProof/>
              </w:rPr>
              <w:t>Behavioural interventions in combination with pharmacotherapies</w:t>
            </w:r>
            <w:r w:rsidR="00464416">
              <w:rPr>
                <w:noProof/>
                <w:webHidden/>
              </w:rPr>
              <w:tab/>
            </w:r>
            <w:r w:rsidR="00464416">
              <w:rPr>
                <w:noProof/>
                <w:webHidden/>
              </w:rPr>
              <w:fldChar w:fldCharType="begin"/>
            </w:r>
            <w:r w:rsidR="00464416">
              <w:rPr>
                <w:noProof/>
                <w:webHidden/>
              </w:rPr>
              <w:instrText xml:space="preserve"> PAGEREF _Toc115254514 \h </w:instrText>
            </w:r>
            <w:r w:rsidR="00464416">
              <w:rPr>
                <w:noProof/>
                <w:webHidden/>
              </w:rPr>
            </w:r>
            <w:r w:rsidR="00464416">
              <w:rPr>
                <w:noProof/>
                <w:webHidden/>
              </w:rPr>
              <w:fldChar w:fldCharType="separate"/>
            </w:r>
            <w:r w:rsidR="003639CB">
              <w:rPr>
                <w:noProof/>
                <w:webHidden/>
              </w:rPr>
              <w:t>197</w:t>
            </w:r>
            <w:r w:rsidR="00464416">
              <w:rPr>
                <w:noProof/>
                <w:webHidden/>
              </w:rPr>
              <w:fldChar w:fldCharType="end"/>
            </w:r>
          </w:hyperlink>
        </w:p>
        <w:p w14:paraId="73C4808D" w14:textId="7AC3EE68" w:rsidR="00464416" w:rsidRDefault="00BF3F75">
          <w:pPr>
            <w:pStyle w:val="TOC3"/>
            <w:tabs>
              <w:tab w:val="left" w:pos="1320"/>
              <w:tab w:val="right" w:leader="dot" w:pos="9016"/>
            </w:tabs>
            <w:rPr>
              <w:rFonts w:asciiTheme="minorHAnsi" w:eastAsiaTheme="minorEastAsia" w:hAnsiTheme="minorHAnsi"/>
              <w:noProof/>
              <w:sz w:val="22"/>
            </w:rPr>
          </w:pPr>
          <w:hyperlink w:anchor="_Toc115254515" w:history="1">
            <w:r w:rsidR="00464416" w:rsidRPr="002C3FD7">
              <w:rPr>
                <w:rStyle w:val="Hyperlink"/>
                <w:noProof/>
              </w:rPr>
              <w:t>3.1.14</w:t>
            </w:r>
            <w:r w:rsidR="00464416">
              <w:rPr>
                <w:rFonts w:asciiTheme="minorHAnsi" w:eastAsiaTheme="minorEastAsia" w:hAnsiTheme="minorHAnsi"/>
                <w:noProof/>
                <w:sz w:val="22"/>
              </w:rPr>
              <w:tab/>
            </w:r>
            <w:r w:rsidR="00464416" w:rsidRPr="002C3FD7">
              <w:rPr>
                <w:rStyle w:val="Hyperlink"/>
                <w:noProof/>
              </w:rPr>
              <w:t>Populations who have specific needs</w:t>
            </w:r>
            <w:r w:rsidR="00464416">
              <w:rPr>
                <w:noProof/>
                <w:webHidden/>
              </w:rPr>
              <w:tab/>
            </w:r>
            <w:r w:rsidR="00464416">
              <w:rPr>
                <w:noProof/>
                <w:webHidden/>
              </w:rPr>
              <w:fldChar w:fldCharType="begin"/>
            </w:r>
            <w:r w:rsidR="00464416">
              <w:rPr>
                <w:noProof/>
                <w:webHidden/>
              </w:rPr>
              <w:instrText xml:space="preserve"> PAGEREF _Toc115254515 \h </w:instrText>
            </w:r>
            <w:r w:rsidR="00464416">
              <w:rPr>
                <w:noProof/>
                <w:webHidden/>
              </w:rPr>
            </w:r>
            <w:r w:rsidR="00464416">
              <w:rPr>
                <w:noProof/>
                <w:webHidden/>
              </w:rPr>
              <w:fldChar w:fldCharType="separate"/>
            </w:r>
            <w:r w:rsidR="003639CB">
              <w:rPr>
                <w:noProof/>
                <w:webHidden/>
              </w:rPr>
              <w:t>208</w:t>
            </w:r>
            <w:r w:rsidR="00464416">
              <w:rPr>
                <w:noProof/>
                <w:webHidden/>
              </w:rPr>
              <w:fldChar w:fldCharType="end"/>
            </w:r>
          </w:hyperlink>
        </w:p>
        <w:p w14:paraId="548489BF" w14:textId="4EAF7FE8" w:rsidR="00464416" w:rsidRDefault="00BF3F75">
          <w:pPr>
            <w:pStyle w:val="TOC1"/>
            <w:tabs>
              <w:tab w:val="right" w:leader="dot" w:pos="9016"/>
            </w:tabs>
            <w:rPr>
              <w:rFonts w:asciiTheme="minorHAnsi" w:eastAsiaTheme="minorEastAsia" w:hAnsiTheme="minorHAnsi"/>
              <w:noProof/>
              <w:sz w:val="22"/>
            </w:rPr>
          </w:pPr>
          <w:hyperlink w:anchor="_Toc115254516" w:history="1">
            <w:r w:rsidR="00464416" w:rsidRPr="002C3FD7">
              <w:rPr>
                <w:rStyle w:val="Hyperlink"/>
                <w:noProof/>
              </w:rPr>
              <w:t>References</w:t>
            </w:r>
            <w:r w:rsidR="00464416">
              <w:rPr>
                <w:noProof/>
                <w:webHidden/>
              </w:rPr>
              <w:tab/>
            </w:r>
            <w:r w:rsidR="00464416">
              <w:rPr>
                <w:noProof/>
                <w:webHidden/>
              </w:rPr>
              <w:fldChar w:fldCharType="begin"/>
            </w:r>
            <w:r w:rsidR="00464416">
              <w:rPr>
                <w:noProof/>
                <w:webHidden/>
              </w:rPr>
              <w:instrText xml:space="preserve"> PAGEREF _Toc115254516 \h </w:instrText>
            </w:r>
            <w:r w:rsidR="00464416">
              <w:rPr>
                <w:noProof/>
                <w:webHidden/>
              </w:rPr>
            </w:r>
            <w:r w:rsidR="00464416">
              <w:rPr>
                <w:noProof/>
                <w:webHidden/>
              </w:rPr>
              <w:fldChar w:fldCharType="separate"/>
            </w:r>
            <w:r w:rsidR="003639CB">
              <w:rPr>
                <w:noProof/>
                <w:webHidden/>
              </w:rPr>
              <w:t>221</w:t>
            </w:r>
            <w:r w:rsidR="00464416">
              <w:rPr>
                <w:noProof/>
                <w:webHidden/>
              </w:rPr>
              <w:fldChar w:fldCharType="end"/>
            </w:r>
          </w:hyperlink>
        </w:p>
        <w:p w14:paraId="7BA54D35" w14:textId="0BE5A3C3" w:rsidR="00464416" w:rsidRDefault="00BF3F75">
          <w:pPr>
            <w:pStyle w:val="TOC1"/>
            <w:tabs>
              <w:tab w:val="right" w:leader="dot" w:pos="9016"/>
            </w:tabs>
            <w:rPr>
              <w:rFonts w:asciiTheme="minorHAnsi" w:eastAsiaTheme="minorEastAsia" w:hAnsiTheme="minorHAnsi"/>
              <w:noProof/>
              <w:sz w:val="22"/>
            </w:rPr>
          </w:pPr>
          <w:hyperlink w:anchor="_Toc115254517" w:history="1">
            <w:r w:rsidR="00464416" w:rsidRPr="002C3FD7">
              <w:rPr>
                <w:rStyle w:val="Hyperlink"/>
                <w:noProof/>
              </w:rPr>
              <w:t>Appendix</w:t>
            </w:r>
            <w:r w:rsidR="00464416">
              <w:rPr>
                <w:noProof/>
                <w:webHidden/>
              </w:rPr>
              <w:tab/>
            </w:r>
            <w:r w:rsidR="00464416">
              <w:rPr>
                <w:noProof/>
                <w:webHidden/>
              </w:rPr>
              <w:fldChar w:fldCharType="begin"/>
            </w:r>
            <w:r w:rsidR="00464416">
              <w:rPr>
                <w:noProof/>
                <w:webHidden/>
              </w:rPr>
              <w:instrText xml:space="preserve"> PAGEREF _Toc115254517 \h </w:instrText>
            </w:r>
            <w:r w:rsidR="00464416">
              <w:rPr>
                <w:noProof/>
                <w:webHidden/>
              </w:rPr>
            </w:r>
            <w:r w:rsidR="00464416">
              <w:rPr>
                <w:noProof/>
                <w:webHidden/>
              </w:rPr>
              <w:fldChar w:fldCharType="separate"/>
            </w:r>
            <w:r w:rsidR="003639CB">
              <w:rPr>
                <w:noProof/>
                <w:webHidden/>
              </w:rPr>
              <w:t>225</w:t>
            </w:r>
            <w:r w:rsidR="00464416">
              <w:rPr>
                <w:noProof/>
                <w:webHidden/>
              </w:rPr>
              <w:fldChar w:fldCharType="end"/>
            </w:r>
          </w:hyperlink>
        </w:p>
        <w:p w14:paraId="0F8FEEE1" w14:textId="24317C14" w:rsidR="00464416" w:rsidRDefault="00BF3F75">
          <w:pPr>
            <w:pStyle w:val="TOC2"/>
            <w:tabs>
              <w:tab w:val="right" w:leader="dot" w:pos="9016"/>
            </w:tabs>
            <w:rPr>
              <w:rFonts w:asciiTheme="minorHAnsi" w:eastAsiaTheme="minorEastAsia" w:hAnsiTheme="minorHAnsi"/>
              <w:noProof/>
              <w:sz w:val="22"/>
            </w:rPr>
          </w:pPr>
          <w:hyperlink w:anchor="_Toc115254518" w:history="1">
            <w:r w:rsidR="00464416" w:rsidRPr="002C3FD7">
              <w:rPr>
                <w:rStyle w:val="Hyperlink"/>
                <w:noProof/>
              </w:rPr>
              <w:t>A Methodology and identification of relevant studies</w:t>
            </w:r>
            <w:r w:rsidR="00464416">
              <w:rPr>
                <w:noProof/>
                <w:webHidden/>
              </w:rPr>
              <w:tab/>
            </w:r>
            <w:r w:rsidR="00464416">
              <w:rPr>
                <w:noProof/>
                <w:webHidden/>
              </w:rPr>
              <w:fldChar w:fldCharType="begin"/>
            </w:r>
            <w:r w:rsidR="00464416">
              <w:rPr>
                <w:noProof/>
                <w:webHidden/>
              </w:rPr>
              <w:instrText xml:space="preserve"> PAGEREF _Toc115254518 \h </w:instrText>
            </w:r>
            <w:r w:rsidR="00464416">
              <w:rPr>
                <w:noProof/>
                <w:webHidden/>
              </w:rPr>
            </w:r>
            <w:r w:rsidR="00464416">
              <w:rPr>
                <w:noProof/>
                <w:webHidden/>
              </w:rPr>
              <w:fldChar w:fldCharType="separate"/>
            </w:r>
            <w:r w:rsidR="003639CB">
              <w:rPr>
                <w:noProof/>
                <w:webHidden/>
              </w:rPr>
              <w:t>225</w:t>
            </w:r>
            <w:r w:rsidR="00464416">
              <w:rPr>
                <w:noProof/>
                <w:webHidden/>
              </w:rPr>
              <w:fldChar w:fldCharType="end"/>
            </w:r>
          </w:hyperlink>
        </w:p>
        <w:p w14:paraId="1FCBF4B3" w14:textId="61520F0E" w:rsidR="00464416" w:rsidRDefault="00BF3F75">
          <w:pPr>
            <w:pStyle w:val="TOC3"/>
            <w:tabs>
              <w:tab w:val="right" w:leader="dot" w:pos="9016"/>
            </w:tabs>
            <w:rPr>
              <w:rFonts w:asciiTheme="minorHAnsi" w:eastAsiaTheme="minorEastAsia" w:hAnsiTheme="minorHAnsi"/>
              <w:noProof/>
              <w:sz w:val="22"/>
            </w:rPr>
          </w:pPr>
          <w:hyperlink w:anchor="_Toc115254519" w:history="1">
            <w:r w:rsidR="00464416" w:rsidRPr="002C3FD7">
              <w:rPr>
                <w:rStyle w:val="Hyperlink"/>
                <w:noProof/>
              </w:rPr>
              <w:t>A.1 Key outcomes previously considered by the PBAC</w:t>
            </w:r>
            <w:r w:rsidR="00464416">
              <w:rPr>
                <w:noProof/>
                <w:webHidden/>
              </w:rPr>
              <w:tab/>
            </w:r>
            <w:r w:rsidR="00464416">
              <w:rPr>
                <w:noProof/>
                <w:webHidden/>
              </w:rPr>
              <w:fldChar w:fldCharType="begin"/>
            </w:r>
            <w:r w:rsidR="00464416">
              <w:rPr>
                <w:noProof/>
                <w:webHidden/>
              </w:rPr>
              <w:instrText xml:space="preserve"> PAGEREF _Toc115254519 \h </w:instrText>
            </w:r>
            <w:r w:rsidR="00464416">
              <w:rPr>
                <w:noProof/>
                <w:webHidden/>
              </w:rPr>
            </w:r>
            <w:r w:rsidR="00464416">
              <w:rPr>
                <w:noProof/>
                <w:webHidden/>
              </w:rPr>
              <w:fldChar w:fldCharType="separate"/>
            </w:r>
            <w:r w:rsidR="003639CB">
              <w:rPr>
                <w:noProof/>
                <w:webHidden/>
              </w:rPr>
              <w:t>225</w:t>
            </w:r>
            <w:r w:rsidR="00464416">
              <w:rPr>
                <w:noProof/>
                <w:webHidden/>
              </w:rPr>
              <w:fldChar w:fldCharType="end"/>
            </w:r>
          </w:hyperlink>
        </w:p>
        <w:p w14:paraId="6E772B06" w14:textId="7071CCEA" w:rsidR="00464416" w:rsidRDefault="00BF3F75">
          <w:pPr>
            <w:pStyle w:val="TOC3"/>
            <w:tabs>
              <w:tab w:val="right" w:leader="dot" w:pos="9016"/>
            </w:tabs>
            <w:rPr>
              <w:rFonts w:asciiTheme="minorHAnsi" w:eastAsiaTheme="minorEastAsia" w:hAnsiTheme="minorHAnsi"/>
              <w:noProof/>
              <w:sz w:val="22"/>
            </w:rPr>
          </w:pPr>
          <w:hyperlink w:anchor="_Toc115254520" w:history="1">
            <w:r w:rsidR="00464416" w:rsidRPr="002C3FD7">
              <w:rPr>
                <w:rStyle w:val="Hyperlink"/>
                <w:noProof/>
              </w:rPr>
              <w:t>A.2 Search Strategy</w:t>
            </w:r>
            <w:r w:rsidR="00464416">
              <w:rPr>
                <w:noProof/>
                <w:webHidden/>
              </w:rPr>
              <w:tab/>
            </w:r>
            <w:r w:rsidR="00464416">
              <w:rPr>
                <w:noProof/>
                <w:webHidden/>
              </w:rPr>
              <w:fldChar w:fldCharType="begin"/>
            </w:r>
            <w:r w:rsidR="00464416">
              <w:rPr>
                <w:noProof/>
                <w:webHidden/>
              </w:rPr>
              <w:instrText xml:space="preserve"> PAGEREF _Toc115254520 \h </w:instrText>
            </w:r>
            <w:r w:rsidR="00464416">
              <w:rPr>
                <w:noProof/>
                <w:webHidden/>
              </w:rPr>
            </w:r>
            <w:r w:rsidR="00464416">
              <w:rPr>
                <w:noProof/>
                <w:webHidden/>
              </w:rPr>
              <w:fldChar w:fldCharType="separate"/>
            </w:r>
            <w:r w:rsidR="003639CB">
              <w:rPr>
                <w:noProof/>
                <w:webHidden/>
              </w:rPr>
              <w:t>226</w:t>
            </w:r>
            <w:r w:rsidR="00464416">
              <w:rPr>
                <w:noProof/>
                <w:webHidden/>
              </w:rPr>
              <w:fldChar w:fldCharType="end"/>
            </w:r>
          </w:hyperlink>
        </w:p>
        <w:p w14:paraId="6CBA87A1" w14:textId="50CE5CD9" w:rsidR="00464416" w:rsidRDefault="00BF3F75">
          <w:pPr>
            <w:pStyle w:val="TOC3"/>
            <w:tabs>
              <w:tab w:val="right" w:leader="dot" w:pos="9016"/>
            </w:tabs>
            <w:rPr>
              <w:rFonts w:asciiTheme="minorHAnsi" w:eastAsiaTheme="minorEastAsia" w:hAnsiTheme="minorHAnsi"/>
              <w:noProof/>
              <w:sz w:val="22"/>
            </w:rPr>
          </w:pPr>
          <w:hyperlink w:anchor="_Toc115254521" w:history="1">
            <w:r w:rsidR="00464416" w:rsidRPr="002C3FD7">
              <w:rPr>
                <w:rStyle w:val="Hyperlink"/>
                <w:noProof/>
              </w:rPr>
              <w:t>A.3 PRISMA flow diagram</w:t>
            </w:r>
            <w:r w:rsidR="00464416">
              <w:rPr>
                <w:noProof/>
                <w:webHidden/>
              </w:rPr>
              <w:tab/>
            </w:r>
            <w:r w:rsidR="00464416">
              <w:rPr>
                <w:noProof/>
                <w:webHidden/>
              </w:rPr>
              <w:fldChar w:fldCharType="begin"/>
            </w:r>
            <w:r w:rsidR="00464416">
              <w:rPr>
                <w:noProof/>
                <w:webHidden/>
              </w:rPr>
              <w:instrText xml:space="preserve"> PAGEREF _Toc115254521 \h </w:instrText>
            </w:r>
            <w:r w:rsidR="00464416">
              <w:rPr>
                <w:noProof/>
                <w:webHidden/>
              </w:rPr>
            </w:r>
            <w:r w:rsidR="00464416">
              <w:rPr>
                <w:noProof/>
                <w:webHidden/>
              </w:rPr>
              <w:fldChar w:fldCharType="separate"/>
            </w:r>
            <w:r w:rsidR="003639CB">
              <w:rPr>
                <w:noProof/>
                <w:webHidden/>
              </w:rPr>
              <w:t>227</w:t>
            </w:r>
            <w:r w:rsidR="00464416">
              <w:rPr>
                <w:noProof/>
                <w:webHidden/>
              </w:rPr>
              <w:fldChar w:fldCharType="end"/>
            </w:r>
          </w:hyperlink>
        </w:p>
        <w:p w14:paraId="4AF20E78" w14:textId="1448CA7D" w:rsidR="00464416" w:rsidRDefault="00BF3F75">
          <w:pPr>
            <w:pStyle w:val="TOC3"/>
            <w:tabs>
              <w:tab w:val="right" w:leader="dot" w:pos="9016"/>
            </w:tabs>
            <w:rPr>
              <w:rFonts w:asciiTheme="minorHAnsi" w:eastAsiaTheme="minorEastAsia" w:hAnsiTheme="minorHAnsi"/>
              <w:noProof/>
              <w:sz w:val="22"/>
            </w:rPr>
          </w:pPr>
          <w:hyperlink w:anchor="_Toc115254522" w:history="1">
            <w:r w:rsidR="00464416" w:rsidRPr="002C3FD7">
              <w:rPr>
                <w:rStyle w:val="Hyperlink"/>
                <w:noProof/>
              </w:rPr>
              <w:t>A.4 Characteristics of Cochrane systematic reviews</w:t>
            </w:r>
            <w:r w:rsidR="00464416">
              <w:rPr>
                <w:noProof/>
                <w:webHidden/>
              </w:rPr>
              <w:tab/>
            </w:r>
            <w:r w:rsidR="00464416">
              <w:rPr>
                <w:noProof/>
                <w:webHidden/>
              </w:rPr>
              <w:fldChar w:fldCharType="begin"/>
            </w:r>
            <w:r w:rsidR="00464416">
              <w:rPr>
                <w:noProof/>
                <w:webHidden/>
              </w:rPr>
              <w:instrText xml:space="preserve"> PAGEREF _Toc115254522 \h </w:instrText>
            </w:r>
            <w:r w:rsidR="00464416">
              <w:rPr>
                <w:noProof/>
                <w:webHidden/>
              </w:rPr>
            </w:r>
            <w:r w:rsidR="00464416">
              <w:rPr>
                <w:noProof/>
                <w:webHidden/>
              </w:rPr>
              <w:fldChar w:fldCharType="separate"/>
            </w:r>
            <w:r w:rsidR="003639CB">
              <w:rPr>
                <w:noProof/>
                <w:webHidden/>
              </w:rPr>
              <w:t>229</w:t>
            </w:r>
            <w:r w:rsidR="00464416">
              <w:rPr>
                <w:noProof/>
                <w:webHidden/>
              </w:rPr>
              <w:fldChar w:fldCharType="end"/>
            </w:r>
          </w:hyperlink>
        </w:p>
        <w:p w14:paraId="4321E97C" w14:textId="72DBABE0" w:rsidR="00464416" w:rsidRDefault="00BF3F75">
          <w:pPr>
            <w:pStyle w:val="TOC3"/>
            <w:tabs>
              <w:tab w:val="right" w:leader="dot" w:pos="9016"/>
            </w:tabs>
            <w:rPr>
              <w:rFonts w:asciiTheme="minorHAnsi" w:eastAsiaTheme="minorEastAsia" w:hAnsiTheme="minorHAnsi"/>
              <w:noProof/>
              <w:sz w:val="22"/>
            </w:rPr>
          </w:pPr>
          <w:hyperlink w:anchor="_Toc115254523" w:history="1">
            <w:r w:rsidR="00464416" w:rsidRPr="002C3FD7">
              <w:rPr>
                <w:rStyle w:val="Hyperlink"/>
                <w:noProof/>
              </w:rPr>
              <w:t>A.5 Risk of bias assessment for included Cochrane reviews</w:t>
            </w:r>
            <w:r w:rsidR="00464416">
              <w:rPr>
                <w:noProof/>
                <w:webHidden/>
              </w:rPr>
              <w:tab/>
            </w:r>
            <w:r w:rsidR="00464416">
              <w:rPr>
                <w:noProof/>
                <w:webHidden/>
              </w:rPr>
              <w:fldChar w:fldCharType="begin"/>
            </w:r>
            <w:r w:rsidR="00464416">
              <w:rPr>
                <w:noProof/>
                <w:webHidden/>
              </w:rPr>
              <w:instrText xml:space="preserve"> PAGEREF _Toc115254523 \h </w:instrText>
            </w:r>
            <w:r w:rsidR="00464416">
              <w:rPr>
                <w:noProof/>
                <w:webHidden/>
              </w:rPr>
            </w:r>
            <w:r w:rsidR="00464416">
              <w:rPr>
                <w:noProof/>
                <w:webHidden/>
              </w:rPr>
              <w:fldChar w:fldCharType="separate"/>
            </w:r>
            <w:r w:rsidR="003639CB">
              <w:rPr>
                <w:noProof/>
                <w:webHidden/>
              </w:rPr>
              <w:t>237</w:t>
            </w:r>
            <w:r w:rsidR="00464416">
              <w:rPr>
                <w:noProof/>
                <w:webHidden/>
              </w:rPr>
              <w:fldChar w:fldCharType="end"/>
            </w:r>
          </w:hyperlink>
        </w:p>
        <w:p w14:paraId="0707165D" w14:textId="76C2DD38" w:rsidR="00464416" w:rsidRDefault="00BF3F75">
          <w:pPr>
            <w:pStyle w:val="TOC3"/>
            <w:tabs>
              <w:tab w:val="right" w:leader="dot" w:pos="9016"/>
            </w:tabs>
            <w:rPr>
              <w:rFonts w:asciiTheme="minorHAnsi" w:eastAsiaTheme="minorEastAsia" w:hAnsiTheme="minorHAnsi"/>
              <w:noProof/>
              <w:sz w:val="22"/>
            </w:rPr>
          </w:pPr>
          <w:hyperlink w:anchor="_Toc115254524" w:history="1">
            <w:r w:rsidR="00464416" w:rsidRPr="002C3FD7">
              <w:rPr>
                <w:rStyle w:val="Hyperlink"/>
                <w:noProof/>
              </w:rPr>
              <w:t>A.6 Characteristics of non-Cochrane systematic reviews</w:t>
            </w:r>
            <w:r w:rsidR="00464416">
              <w:rPr>
                <w:noProof/>
                <w:webHidden/>
              </w:rPr>
              <w:tab/>
            </w:r>
            <w:r w:rsidR="00464416">
              <w:rPr>
                <w:noProof/>
                <w:webHidden/>
              </w:rPr>
              <w:fldChar w:fldCharType="begin"/>
            </w:r>
            <w:r w:rsidR="00464416">
              <w:rPr>
                <w:noProof/>
                <w:webHidden/>
              </w:rPr>
              <w:instrText xml:space="preserve"> PAGEREF _Toc115254524 \h </w:instrText>
            </w:r>
            <w:r w:rsidR="00464416">
              <w:rPr>
                <w:noProof/>
                <w:webHidden/>
              </w:rPr>
            </w:r>
            <w:r w:rsidR="00464416">
              <w:rPr>
                <w:noProof/>
                <w:webHidden/>
              </w:rPr>
              <w:fldChar w:fldCharType="separate"/>
            </w:r>
            <w:r w:rsidR="003639CB">
              <w:rPr>
                <w:noProof/>
                <w:webHidden/>
              </w:rPr>
              <w:t>241</w:t>
            </w:r>
            <w:r w:rsidR="00464416">
              <w:rPr>
                <w:noProof/>
                <w:webHidden/>
              </w:rPr>
              <w:fldChar w:fldCharType="end"/>
            </w:r>
          </w:hyperlink>
        </w:p>
        <w:p w14:paraId="35F198DF" w14:textId="6B1B1202" w:rsidR="00464416" w:rsidRDefault="00BF3F75">
          <w:pPr>
            <w:pStyle w:val="TOC3"/>
            <w:tabs>
              <w:tab w:val="right" w:leader="dot" w:pos="9016"/>
            </w:tabs>
            <w:rPr>
              <w:rFonts w:asciiTheme="minorHAnsi" w:eastAsiaTheme="minorEastAsia" w:hAnsiTheme="minorHAnsi"/>
              <w:noProof/>
              <w:sz w:val="22"/>
            </w:rPr>
          </w:pPr>
          <w:hyperlink w:anchor="_Toc115254525" w:history="1">
            <w:r w:rsidR="00464416" w:rsidRPr="002C3FD7">
              <w:rPr>
                <w:rStyle w:val="Hyperlink"/>
                <w:noProof/>
              </w:rPr>
              <w:t>A.7 Risk of bias assessment for non-Cochrane evidence</w:t>
            </w:r>
            <w:r w:rsidR="00464416">
              <w:rPr>
                <w:noProof/>
                <w:webHidden/>
              </w:rPr>
              <w:tab/>
            </w:r>
            <w:r w:rsidR="00464416">
              <w:rPr>
                <w:noProof/>
                <w:webHidden/>
              </w:rPr>
              <w:fldChar w:fldCharType="begin"/>
            </w:r>
            <w:r w:rsidR="00464416">
              <w:rPr>
                <w:noProof/>
                <w:webHidden/>
              </w:rPr>
              <w:instrText xml:space="preserve"> PAGEREF _Toc115254525 \h </w:instrText>
            </w:r>
            <w:r w:rsidR="00464416">
              <w:rPr>
                <w:noProof/>
                <w:webHidden/>
              </w:rPr>
            </w:r>
            <w:r w:rsidR="00464416">
              <w:rPr>
                <w:noProof/>
                <w:webHidden/>
              </w:rPr>
              <w:fldChar w:fldCharType="separate"/>
            </w:r>
            <w:r w:rsidR="003639CB">
              <w:rPr>
                <w:noProof/>
                <w:webHidden/>
              </w:rPr>
              <w:t>243</w:t>
            </w:r>
            <w:r w:rsidR="00464416">
              <w:rPr>
                <w:noProof/>
                <w:webHidden/>
              </w:rPr>
              <w:fldChar w:fldCharType="end"/>
            </w:r>
          </w:hyperlink>
        </w:p>
        <w:p w14:paraId="10826780" w14:textId="55615F02" w:rsidR="00464416" w:rsidRDefault="00BF3F75">
          <w:pPr>
            <w:pStyle w:val="TOC3"/>
            <w:tabs>
              <w:tab w:val="right" w:leader="dot" w:pos="9016"/>
            </w:tabs>
            <w:rPr>
              <w:rFonts w:asciiTheme="minorHAnsi" w:eastAsiaTheme="minorEastAsia" w:hAnsiTheme="minorHAnsi"/>
              <w:noProof/>
              <w:sz w:val="22"/>
            </w:rPr>
          </w:pPr>
          <w:hyperlink w:anchor="_Toc115254526" w:history="1">
            <w:r w:rsidR="00464416" w:rsidRPr="002C3FD7">
              <w:rPr>
                <w:rStyle w:val="Hyperlink"/>
                <w:noProof/>
              </w:rPr>
              <w:t>A.8 Characteristics of Supplemental RCT evidence</w:t>
            </w:r>
            <w:r w:rsidR="00464416">
              <w:rPr>
                <w:noProof/>
                <w:webHidden/>
              </w:rPr>
              <w:tab/>
            </w:r>
            <w:r w:rsidR="00464416">
              <w:rPr>
                <w:noProof/>
                <w:webHidden/>
              </w:rPr>
              <w:fldChar w:fldCharType="begin"/>
            </w:r>
            <w:r w:rsidR="00464416">
              <w:rPr>
                <w:noProof/>
                <w:webHidden/>
              </w:rPr>
              <w:instrText xml:space="preserve"> PAGEREF _Toc115254526 \h </w:instrText>
            </w:r>
            <w:r w:rsidR="00464416">
              <w:rPr>
                <w:noProof/>
                <w:webHidden/>
              </w:rPr>
            </w:r>
            <w:r w:rsidR="00464416">
              <w:rPr>
                <w:noProof/>
                <w:webHidden/>
              </w:rPr>
              <w:fldChar w:fldCharType="separate"/>
            </w:r>
            <w:r w:rsidR="003639CB">
              <w:rPr>
                <w:noProof/>
                <w:webHidden/>
              </w:rPr>
              <w:t>244</w:t>
            </w:r>
            <w:r w:rsidR="00464416">
              <w:rPr>
                <w:noProof/>
                <w:webHidden/>
              </w:rPr>
              <w:fldChar w:fldCharType="end"/>
            </w:r>
          </w:hyperlink>
        </w:p>
        <w:p w14:paraId="75C94DB9" w14:textId="3458A0BB" w:rsidR="00464416" w:rsidRDefault="00BF3F75">
          <w:pPr>
            <w:pStyle w:val="TOC3"/>
            <w:tabs>
              <w:tab w:val="right" w:leader="dot" w:pos="9016"/>
            </w:tabs>
            <w:rPr>
              <w:rFonts w:asciiTheme="minorHAnsi" w:eastAsiaTheme="minorEastAsia" w:hAnsiTheme="minorHAnsi"/>
              <w:noProof/>
              <w:sz w:val="22"/>
            </w:rPr>
          </w:pPr>
          <w:hyperlink w:anchor="_Toc115254527" w:history="1">
            <w:r w:rsidR="00464416" w:rsidRPr="002C3FD7">
              <w:rPr>
                <w:rStyle w:val="Hyperlink"/>
                <w:noProof/>
              </w:rPr>
              <w:t>A.9 Risk of bias assessment for supplemental evidence</w:t>
            </w:r>
            <w:r w:rsidR="00464416">
              <w:rPr>
                <w:noProof/>
                <w:webHidden/>
              </w:rPr>
              <w:tab/>
            </w:r>
            <w:r w:rsidR="00464416">
              <w:rPr>
                <w:noProof/>
                <w:webHidden/>
              </w:rPr>
              <w:fldChar w:fldCharType="begin"/>
            </w:r>
            <w:r w:rsidR="00464416">
              <w:rPr>
                <w:noProof/>
                <w:webHidden/>
              </w:rPr>
              <w:instrText xml:space="preserve"> PAGEREF _Toc115254527 \h </w:instrText>
            </w:r>
            <w:r w:rsidR="00464416">
              <w:rPr>
                <w:noProof/>
                <w:webHidden/>
              </w:rPr>
            </w:r>
            <w:r w:rsidR="00464416">
              <w:rPr>
                <w:noProof/>
                <w:webHidden/>
              </w:rPr>
              <w:fldChar w:fldCharType="separate"/>
            </w:r>
            <w:r w:rsidR="003639CB">
              <w:rPr>
                <w:noProof/>
                <w:webHidden/>
              </w:rPr>
              <w:t>262</w:t>
            </w:r>
            <w:r w:rsidR="00464416">
              <w:rPr>
                <w:noProof/>
                <w:webHidden/>
              </w:rPr>
              <w:fldChar w:fldCharType="end"/>
            </w:r>
          </w:hyperlink>
        </w:p>
        <w:p w14:paraId="46B7A333" w14:textId="4D5E544B" w:rsidR="00464416" w:rsidRDefault="00BF3F75">
          <w:pPr>
            <w:pStyle w:val="TOC2"/>
            <w:tabs>
              <w:tab w:val="right" w:leader="dot" w:pos="9016"/>
            </w:tabs>
            <w:rPr>
              <w:rFonts w:asciiTheme="minorHAnsi" w:eastAsiaTheme="minorEastAsia" w:hAnsiTheme="minorHAnsi"/>
              <w:noProof/>
              <w:sz w:val="22"/>
            </w:rPr>
          </w:pPr>
          <w:hyperlink w:anchor="_Toc115254528" w:history="1">
            <w:r w:rsidR="00464416" w:rsidRPr="002C3FD7">
              <w:rPr>
                <w:rStyle w:val="Hyperlink"/>
                <w:noProof/>
              </w:rPr>
              <w:t>B Summary of evidence</w:t>
            </w:r>
            <w:r w:rsidR="00464416">
              <w:rPr>
                <w:noProof/>
                <w:webHidden/>
              </w:rPr>
              <w:tab/>
            </w:r>
            <w:r w:rsidR="00464416">
              <w:rPr>
                <w:noProof/>
                <w:webHidden/>
              </w:rPr>
              <w:fldChar w:fldCharType="begin"/>
            </w:r>
            <w:r w:rsidR="00464416">
              <w:rPr>
                <w:noProof/>
                <w:webHidden/>
              </w:rPr>
              <w:instrText xml:space="preserve"> PAGEREF _Toc115254528 \h </w:instrText>
            </w:r>
            <w:r w:rsidR="00464416">
              <w:rPr>
                <w:noProof/>
                <w:webHidden/>
              </w:rPr>
            </w:r>
            <w:r w:rsidR="00464416">
              <w:rPr>
                <w:noProof/>
                <w:webHidden/>
              </w:rPr>
              <w:fldChar w:fldCharType="separate"/>
            </w:r>
            <w:r w:rsidR="003639CB">
              <w:rPr>
                <w:noProof/>
                <w:webHidden/>
              </w:rPr>
              <w:t>263</w:t>
            </w:r>
            <w:r w:rsidR="00464416">
              <w:rPr>
                <w:noProof/>
                <w:webHidden/>
              </w:rPr>
              <w:fldChar w:fldCharType="end"/>
            </w:r>
          </w:hyperlink>
        </w:p>
        <w:p w14:paraId="0DFCB213" w14:textId="10A960A5" w:rsidR="00464416" w:rsidRDefault="00BF3F75">
          <w:pPr>
            <w:pStyle w:val="TOC3"/>
            <w:tabs>
              <w:tab w:val="right" w:leader="dot" w:pos="9016"/>
            </w:tabs>
            <w:rPr>
              <w:rFonts w:asciiTheme="minorHAnsi" w:eastAsiaTheme="minorEastAsia" w:hAnsiTheme="minorHAnsi"/>
              <w:noProof/>
              <w:sz w:val="22"/>
            </w:rPr>
          </w:pPr>
          <w:hyperlink w:anchor="_Toc115254529" w:history="1">
            <w:r w:rsidR="00464416" w:rsidRPr="002C3FD7">
              <w:rPr>
                <w:rStyle w:val="Hyperlink"/>
                <w:noProof/>
              </w:rPr>
              <w:t>B.1 Evidence previously considered by the PBAC</w:t>
            </w:r>
            <w:r w:rsidR="00464416">
              <w:rPr>
                <w:noProof/>
                <w:webHidden/>
              </w:rPr>
              <w:tab/>
            </w:r>
            <w:r w:rsidR="00464416">
              <w:rPr>
                <w:noProof/>
                <w:webHidden/>
              </w:rPr>
              <w:fldChar w:fldCharType="begin"/>
            </w:r>
            <w:r w:rsidR="00464416">
              <w:rPr>
                <w:noProof/>
                <w:webHidden/>
              </w:rPr>
              <w:instrText xml:space="preserve"> PAGEREF _Toc115254529 \h </w:instrText>
            </w:r>
            <w:r w:rsidR="00464416">
              <w:rPr>
                <w:noProof/>
                <w:webHidden/>
              </w:rPr>
            </w:r>
            <w:r w:rsidR="00464416">
              <w:rPr>
                <w:noProof/>
                <w:webHidden/>
              </w:rPr>
              <w:fldChar w:fldCharType="separate"/>
            </w:r>
            <w:r w:rsidR="003639CB">
              <w:rPr>
                <w:noProof/>
                <w:webHidden/>
              </w:rPr>
              <w:t>263</w:t>
            </w:r>
            <w:r w:rsidR="00464416">
              <w:rPr>
                <w:noProof/>
                <w:webHidden/>
              </w:rPr>
              <w:fldChar w:fldCharType="end"/>
            </w:r>
          </w:hyperlink>
        </w:p>
        <w:p w14:paraId="32482E83" w14:textId="011DDF58" w:rsidR="00464416" w:rsidRDefault="00BF3F75">
          <w:pPr>
            <w:pStyle w:val="TOC3"/>
            <w:tabs>
              <w:tab w:val="right" w:leader="dot" w:pos="9016"/>
            </w:tabs>
            <w:rPr>
              <w:rFonts w:asciiTheme="minorHAnsi" w:eastAsiaTheme="minorEastAsia" w:hAnsiTheme="minorHAnsi"/>
              <w:noProof/>
              <w:sz w:val="22"/>
            </w:rPr>
          </w:pPr>
          <w:hyperlink w:anchor="_Toc115254530" w:history="1">
            <w:r w:rsidR="00464416" w:rsidRPr="002C3FD7">
              <w:rPr>
                <w:rStyle w:val="Hyperlink"/>
                <w:noProof/>
              </w:rPr>
              <w:t>B.2 Characteristics of individual studies</w:t>
            </w:r>
            <w:r w:rsidR="00464416">
              <w:rPr>
                <w:noProof/>
                <w:webHidden/>
              </w:rPr>
              <w:tab/>
            </w:r>
            <w:r w:rsidR="00464416">
              <w:rPr>
                <w:noProof/>
                <w:webHidden/>
              </w:rPr>
              <w:fldChar w:fldCharType="begin"/>
            </w:r>
            <w:r w:rsidR="00464416">
              <w:rPr>
                <w:noProof/>
                <w:webHidden/>
              </w:rPr>
              <w:instrText xml:space="preserve"> PAGEREF _Toc115254530 \h </w:instrText>
            </w:r>
            <w:r w:rsidR="00464416">
              <w:rPr>
                <w:noProof/>
                <w:webHidden/>
              </w:rPr>
            </w:r>
            <w:r w:rsidR="00464416">
              <w:rPr>
                <w:noProof/>
                <w:webHidden/>
              </w:rPr>
              <w:fldChar w:fldCharType="separate"/>
            </w:r>
            <w:r w:rsidR="003639CB">
              <w:rPr>
                <w:noProof/>
                <w:webHidden/>
              </w:rPr>
              <w:t>267</w:t>
            </w:r>
            <w:r w:rsidR="00464416">
              <w:rPr>
                <w:noProof/>
                <w:webHidden/>
              </w:rPr>
              <w:fldChar w:fldCharType="end"/>
            </w:r>
          </w:hyperlink>
        </w:p>
        <w:p w14:paraId="162D267E" w14:textId="27314926" w:rsidR="00464416" w:rsidRDefault="00BF3F75">
          <w:pPr>
            <w:pStyle w:val="TOC3"/>
            <w:tabs>
              <w:tab w:val="right" w:leader="dot" w:pos="9016"/>
            </w:tabs>
            <w:rPr>
              <w:rFonts w:asciiTheme="minorHAnsi" w:eastAsiaTheme="minorEastAsia" w:hAnsiTheme="minorHAnsi"/>
              <w:noProof/>
              <w:sz w:val="22"/>
            </w:rPr>
          </w:pPr>
          <w:hyperlink w:anchor="_Toc115254531" w:history="1">
            <w:r w:rsidR="00464416" w:rsidRPr="002C3FD7">
              <w:rPr>
                <w:rStyle w:val="Hyperlink"/>
                <w:noProof/>
              </w:rPr>
              <w:t>B.3 Results</w:t>
            </w:r>
            <w:r w:rsidR="00464416">
              <w:rPr>
                <w:noProof/>
                <w:webHidden/>
              </w:rPr>
              <w:tab/>
            </w:r>
            <w:r w:rsidR="00464416">
              <w:rPr>
                <w:noProof/>
                <w:webHidden/>
              </w:rPr>
              <w:fldChar w:fldCharType="begin"/>
            </w:r>
            <w:r w:rsidR="00464416">
              <w:rPr>
                <w:noProof/>
                <w:webHidden/>
              </w:rPr>
              <w:instrText xml:space="preserve"> PAGEREF _Toc115254531 \h </w:instrText>
            </w:r>
            <w:r w:rsidR="00464416">
              <w:rPr>
                <w:noProof/>
                <w:webHidden/>
              </w:rPr>
            </w:r>
            <w:r w:rsidR="00464416">
              <w:rPr>
                <w:noProof/>
                <w:webHidden/>
              </w:rPr>
              <w:fldChar w:fldCharType="separate"/>
            </w:r>
            <w:r w:rsidR="003639CB">
              <w:rPr>
                <w:noProof/>
                <w:webHidden/>
              </w:rPr>
              <w:t>419</w:t>
            </w:r>
            <w:r w:rsidR="00464416">
              <w:rPr>
                <w:noProof/>
                <w:webHidden/>
              </w:rPr>
              <w:fldChar w:fldCharType="end"/>
            </w:r>
          </w:hyperlink>
        </w:p>
        <w:p w14:paraId="27ADD677" w14:textId="5D2A6D83" w:rsidR="004C215E" w:rsidRDefault="004C215E">
          <w:r>
            <w:rPr>
              <w:b/>
              <w:bCs/>
              <w:noProof/>
            </w:rPr>
            <w:fldChar w:fldCharType="end"/>
          </w:r>
        </w:p>
      </w:sdtContent>
    </w:sdt>
    <w:p w14:paraId="53094F8C" w14:textId="77777777" w:rsidR="00236763" w:rsidRPr="004B11B2" w:rsidRDefault="00236763">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14:paraId="273D902B" w14:textId="77777777" w:rsidR="00D73E11" w:rsidRPr="008370B4" w:rsidRDefault="00D73E11" w:rsidP="00A90D5A">
      <w:pPr>
        <w:pStyle w:val="Heading1"/>
        <w:spacing w:before="0"/>
      </w:pPr>
      <w:bookmarkStart w:id="1" w:name="_Toc481076737"/>
      <w:bookmarkStart w:id="2" w:name="_Toc115254497"/>
      <w:r w:rsidRPr="00A90D5A">
        <w:rPr>
          <w:rFonts w:asciiTheme="minorHAnsi" w:hAnsiTheme="minorHAnsi"/>
          <w:color w:val="548DD4" w:themeColor="text2" w:themeTint="99"/>
          <w:szCs w:val="40"/>
        </w:rPr>
        <w:lastRenderedPageBreak/>
        <w:t>Abbreviations</w:t>
      </w:r>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6950"/>
      </w:tblGrid>
      <w:tr w:rsidR="004B0B26" w:rsidRPr="004B11B2" w14:paraId="2C060FD8" w14:textId="77777777" w:rsidTr="00BF3F75">
        <w:trPr>
          <w:trHeight w:val="411"/>
        </w:trPr>
        <w:tc>
          <w:tcPr>
            <w:tcW w:w="1146" w:type="pct"/>
            <w:shd w:val="clear" w:color="auto" w:fill="auto"/>
            <w:vAlign w:val="center"/>
          </w:tcPr>
          <w:p w14:paraId="4C700E49" w14:textId="77777777" w:rsidR="004B0B26" w:rsidRPr="00A90D5A" w:rsidRDefault="004B0B26" w:rsidP="00A90D5A">
            <w:pPr>
              <w:pStyle w:val="TableTextDusc"/>
              <w:rPr>
                <w:b/>
              </w:rPr>
            </w:pPr>
            <w:r w:rsidRPr="00A90D5A">
              <w:rPr>
                <w:b/>
              </w:rPr>
              <w:t>Abbreviation</w:t>
            </w:r>
          </w:p>
        </w:tc>
        <w:tc>
          <w:tcPr>
            <w:tcW w:w="3854" w:type="pct"/>
            <w:shd w:val="clear" w:color="auto" w:fill="auto"/>
            <w:vAlign w:val="center"/>
          </w:tcPr>
          <w:p w14:paraId="01E0E6E2" w14:textId="77777777" w:rsidR="004B0B26" w:rsidRPr="00A90D5A" w:rsidRDefault="004B0B26" w:rsidP="00A90D5A">
            <w:pPr>
              <w:pStyle w:val="TableTextDusc"/>
              <w:rPr>
                <w:b/>
              </w:rPr>
            </w:pPr>
            <w:r w:rsidRPr="00A90D5A">
              <w:rPr>
                <w:b/>
              </w:rPr>
              <w:t xml:space="preserve">Full Name / Wording </w:t>
            </w:r>
          </w:p>
        </w:tc>
      </w:tr>
      <w:tr w:rsidR="00D6656B" w:rsidRPr="004B11B2" w14:paraId="45D05F09" w14:textId="77777777" w:rsidTr="00BF3F75">
        <w:trPr>
          <w:trHeight w:val="411"/>
        </w:trPr>
        <w:tc>
          <w:tcPr>
            <w:tcW w:w="1146" w:type="pct"/>
            <w:shd w:val="clear" w:color="auto" w:fill="auto"/>
          </w:tcPr>
          <w:p w14:paraId="6CDFDC87" w14:textId="3048BE45" w:rsidR="00D6656B" w:rsidRDefault="00D6656B" w:rsidP="00550A97">
            <w:pPr>
              <w:spacing w:before="60" w:after="60"/>
              <w:rPr>
                <w:rFonts w:asciiTheme="minorHAnsi" w:hAnsiTheme="minorHAnsi" w:cs="Arial"/>
                <w:bCs/>
                <w:sz w:val="20"/>
                <w:szCs w:val="20"/>
              </w:rPr>
            </w:pPr>
            <w:r>
              <w:rPr>
                <w:rFonts w:asciiTheme="minorHAnsi" w:hAnsiTheme="minorHAnsi" w:cs="Arial"/>
                <w:bCs/>
                <w:sz w:val="20"/>
                <w:szCs w:val="20"/>
              </w:rPr>
              <w:t>AE</w:t>
            </w:r>
          </w:p>
        </w:tc>
        <w:tc>
          <w:tcPr>
            <w:tcW w:w="3854" w:type="pct"/>
            <w:shd w:val="clear" w:color="auto" w:fill="auto"/>
            <w:vAlign w:val="bottom"/>
          </w:tcPr>
          <w:p w14:paraId="631C0A9F" w14:textId="287DAB09" w:rsidR="00D6656B" w:rsidRDefault="00D6656B" w:rsidP="00550A97">
            <w:pPr>
              <w:spacing w:before="60" w:after="60"/>
              <w:rPr>
                <w:rFonts w:asciiTheme="minorHAnsi" w:hAnsiTheme="minorHAnsi" w:cs="Arial"/>
                <w:bCs/>
                <w:sz w:val="20"/>
                <w:szCs w:val="20"/>
              </w:rPr>
            </w:pPr>
            <w:r>
              <w:rPr>
                <w:rFonts w:asciiTheme="minorHAnsi" w:hAnsiTheme="minorHAnsi" w:cs="Arial"/>
                <w:bCs/>
                <w:sz w:val="20"/>
                <w:szCs w:val="20"/>
              </w:rPr>
              <w:t>A</w:t>
            </w:r>
            <w:r w:rsidRPr="00D6656B">
              <w:rPr>
                <w:rFonts w:asciiTheme="minorHAnsi" w:hAnsiTheme="minorHAnsi" w:cs="Arial"/>
                <w:bCs/>
                <w:sz w:val="20"/>
                <w:szCs w:val="20"/>
              </w:rPr>
              <w:t>dverse event</w:t>
            </w:r>
          </w:p>
        </w:tc>
      </w:tr>
      <w:tr w:rsidR="00160070" w:rsidRPr="004B11B2" w14:paraId="61CF2FBA" w14:textId="77777777" w:rsidTr="00BF3F75">
        <w:trPr>
          <w:trHeight w:val="411"/>
        </w:trPr>
        <w:tc>
          <w:tcPr>
            <w:tcW w:w="1146" w:type="pct"/>
            <w:shd w:val="clear" w:color="auto" w:fill="auto"/>
          </w:tcPr>
          <w:p w14:paraId="582CFB94" w14:textId="32A1A6F1" w:rsidR="00160070" w:rsidRDefault="00160070" w:rsidP="00550A97">
            <w:pPr>
              <w:spacing w:before="60" w:after="60"/>
              <w:rPr>
                <w:rFonts w:asciiTheme="minorHAnsi" w:hAnsiTheme="minorHAnsi" w:cs="Arial"/>
                <w:bCs/>
                <w:sz w:val="20"/>
                <w:szCs w:val="20"/>
              </w:rPr>
            </w:pPr>
            <w:r>
              <w:rPr>
                <w:rFonts w:asciiTheme="minorHAnsi" w:hAnsiTheme="minorHAnsi" w:cs="Arial"/>
                <w:bCs/>
                <w:sz w:val="20"/>
                <w:szCs w:val="20"/>
              </w:rPr>
              <w:t>AMSTAR</w:t>
            </w:r>
          </w:p>
        </w:tc>
        <w:tc>
          <w:tcPr>
            <w:tcW w:w="3854" w:type="pct"/>
            <w:shd w:val="clear" w:color="auto" w:fill="auto"/>
            <w:vAlign w:val="bottom"/>
          </w:tcPr>
          <w:p w14:paraId="50BC45D0" w14:textId="01ACA95C" w:rsidR="00160070" w:rsidRDefault="00160070" w:rsidP="00550A97">
            <w:pPr>
              <w:spacing w:before="60" w:after="60"/>
              <w:rPr>
                <w:rFonts w:asciiTheme="minorHAnsi" w:hAnsiTheme="minorHAnsi" w:cs="Arial"/>
                <w:bCs/>
                <w:sz w:val="20"/>
                <w:szCs w:val="20"/>
              </w:rPr>
            </w:pPr>
            <w:r>
              <w:rPr>
                <w:rFonts w:asciiTheme="minorHAnsi" w:hAnsiTheme="minorHAnsi" w:cs="Arial"/>
                <w:bCs/>
                <w:sz w:val="20"/>
                <w:szCs w:val="20"/>
              </w:rPr>
              <w:t>Assessing the Methodological Quality of Systematic Reviews</w:t>
            </w:r>
          </w:p>
        </w:tc>
      </w:tr>
      <w:tr w:rsidR="00187C8C" w:rsidRPr="004B11B2" w14:paraId="7C9DA010" w14:textId="77777777" w:rsidTr="00BF3F75">
        <w:trPr>
          <w:trHeight w:val="170"/>
        </w:trPr>
        <w:tc>
          <w:tcPr>
            <w:tcW w:w="1146" w:type="pct"/>
            <w:shd w:val="clear" w:color="auto" w:fill="auto"/>
          </w:tcPr>
          <w:p w14:paraId="25D120FE" w14:textId="4F606068"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CAR</w:t>
            </w:r>
          </w:p>
        </w:tc>
        <w:tc>
          <w:tcPr>
            <w:tcW w:w="3854" w:type="pct"/>
            <w:shd w:val="clear" w:color="auto" w:fill="auto"/>
            <w:vAlign w:val="bottom"/>
          </w:tcPr>
          <w:p w14:paraId="62EB6C10" w14:textId="456385D2" w:rsidR="00187C8C" w:rsidRPr="00EB3507"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Continuous abstinence rate</w:t>
            </w:r>
          </w:p>
        </w:tc>
      </w:tr>
      <w:tr w:rsidR="004B0B26" w:rsidRPr="004B11B2" w14:paraId="2132452D" w14:textId="77777777" w:rsidTr="00BF3F75">
        <w:trPr>
          <w:trHeight w:val="170"/>
        </w:trPr>
        <w:tc>
          <w:tcPr>
            <w:tcW w:w="1146" w:type="pct"/>
            <w:shd w:val="clear" w:color="auto" w:fill="auto"/>
            <w:vAlign w:val="bottom"/>
          </w:tcPr>
          <w:p w14:paraId="671362C5" w14:textId="77777777"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CBT</w:t>
            </w:r>
          </w:p>
        </w:tc>
        <w:tc>
          <w:tcPr>
            <w:tcW w:w="3854" w:type="pct"/>
            <w:shd w:val="clear" w:color="auto" w:fill="auto"/>
            <w:vAlign w:val="bottom"/>
          </w:tcPr>
          <w:p w14:paraId="6DC106E4" w14:textId="77777777"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Cognitive Behavioural Therapy</w:t>
            </w:r>
          </w:p>
        </w:tc>
      </w:tr>
      <w:tr w:rsidR="00187C8C" w:rsidRPr="004B11B2" w14:paraId="52147200" w14:textId="77777777" w:rsidTr="00BF3F75">
        <w:trPr>
          <w:trHeight w:val="170"/>
        </w:trPr>
        <w:tc>
          <w:tcPr>
            <w:tcW w:w="1146" w:type="pct"/>
            <w:shd w:val="clear" w:color="auto" w:fill="auto"/>
            <w:vAlign w:val="bottom"/>
          </w:tcPr>
          <w:p w14:paraId="6748715D" w14:textId="708D1208"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CI</w:t>
            </w:r>
          </w:p>
        </w:tc>
        <w:tc>
          <w:tcPr>
            <w:tcW w:w="3854" w:type="pct"/>
            <w:shd w:val="clear" w:color="auto" w:fill="auto"/>
            <w:vAlign w:val="bottom"/>
          </w:tcPr>
          <w:p w14:paraId="6131E469" w14:textId="161DDCCD" w:rsidR="00187C8C" w:rsidRDefault="00187C8C"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Confidence interval</w:t>
            </w:r>
          </w:p>
        </w:tc>
      </w:tr>
      <w:tr w:rsidR="004B0B26" w:rsidRPr="004B11B2" w14:paraId="05DD06CF" w14:textId="77777777" w:rsidTr="00BF3F75">
        <w:trPr>
          <w:trHeight w:val="170"/>
        </w:trPr>
        <w:tc>
          <w:tcPr>
            <w:tcW w:w="1146" w:type="pct"/>
            <w:shd w:val="clear" w:color="auto" w:fill="auto"/>
            <w:vAlign w:val="bottom"/>
          </w:tcPr>
          <w:p w14:paraId="20949C00" w14:textId="77777777"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CLO</w:t>
            </w:r>
          </w:p>
        </w:tc>
        <w:tc>
          <w:tcPr>
            <w:tcW w:w="3854" w:type="pct"/>
            <w:shd w:val="clear" w:color="auto" w:fill="auto"/>
            <w:vAlign w:val="bottom"/>
          </w:tcPr>
          <w:p w14:paraId="00317EE0" w14:textId="77777777"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Clonidine</w:t>
            </w:r>
          </w:p>
        </w:tc>
      </w:tr>
      <w:tr w:rsidR="00104ECB" w:rsidRPr="004B11B2" w14:paraId="587520D3" w14:textId="77777777" w:rsidTr="00BF3F75">
        <w:trPr>
          <w:trHeight w:val="170"/>
        </w:trPr>
        <w:tc>
          <w:tcPr>
            <w:tcW w:w="1146" w:type="pct"/>
            <w:shd w:val="clear" w:color="auto" w:fill="auto"/>
            <w:vAlign w:val="bottom"/>
          </w:tcPr>
          <w:p w14:paraId="1485C7E6" w14:textId="60686E8C" w:rsidR="00104ECB" w:rsidRDefault="00104ECB"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w:t>
            </w:r>
          </w:p>
        </w:tc>
        <w:tc>
          <w:tcPr>
            <w:tcW w:w="3854" w:type="pct"/>
            <w:shd w:val="clear" w:color="auto" w:fill="auto"/>
            <w:vAlign w:val="bottom"/>
          </w:tcPr>
          <w:p w14:paraId="6B528996" w14:textId="1758B910" w:rsidR="00104ECB" w:rsidRDefault="00104ECB"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Carbon monoxide</w:t>
            </w:r>
          </w:p>
        </w:tc>
      </w:tr>
      <w:tr w:rsidR="004B0B26" w:rsidRPr="004B11B2" w14:paraId="1DB5341A" w14:textId="77777777" w:rsidTr="00BF3F75">
        <w:trPr>
          <w:trHeight w:val="170"/>
        </w:trPr>
        <w:tc>
          <w:tcPr>
            <w:tcW w:w="1146" w:type="pct"/>
            <w:shd w:val="clear" w:color="auto" w:fill="auto"/>
            <w:vAlign w:val="bottom"/>
          </w:tcPr>
          <w:p w14:paraId="0B5AE5DB" w14:textId="77777777"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COPD</w:t>
            </w:r>
          </w:p>
        </w:tc>
        <w:tc>
          <w:tcPr>
            <w:tcW w:w="3854" w:type="pct"/>
            <w:shd w:val="clear" w:color="auto" w:fill="auto"/>
            <w:vAlign w:val="bottom"/>
          </w:tcPr>
          <w:p w14:paraId="3930BC51" w14:textId="2219FEA2" w:rsidR="004B0B26" w:rsidRDefault="004B0B26" w:rsidP="00550A97">
            <w:pPr>
              <w:spacing w:before="60" w:after="60"/>
              <w:rPr>
                <w:rFonts w:asciiTheme="minorHAnsi" w:hAnsiTheme="minorHAnsi" w:cs="Arial"/>
                <w:color w:val="000000"/>
                <w:sz w:val="20"/>
                <w:szCs w:val="20"/>
              </w:rPr>
            </w:pPr>
            <w:r>
              <w:rPr>
                <w:rFonts w:asciiTheme="minorHAnsi" w:hAnsiTheme="minorHAnsi" w:cs="Arial"/>
                <w:color w:val="000000"/>
                <w:sz w:val="20"/>
                <w:szCs w:val="20"/>
              </w:rPr>
              <w:t xml:space="preserve">Chronic </w:t>
            </w:r>
            <w:r w:rsidR="00A90D5A">
              <w:rPr>
                <w:rFonts w:asciiTheme="minorHAnsi" w:hAnsiTheme="minorHAnsi" w:cs="Arial"/>
                <w:color w:val="000000"/>
                <w:sz w:val="20"/>
                <w:szCs w:val="20"/>
              </w:rPr>
              <w:t>o</w:t>
            </w:r>
            <w:r>
              <w:rPr>
                <w:rFonts w:asciiTheme="minorHAnsi" w:hAnsiTheme="minorHAnsi" w:cs="Arial"/>
                <w:color w:val="000000"/>
                <w:sz w:val="20"/>
                <w:szCs w:val="20"/>
              </w:rPr>
              <w:t xml:space="preserve">bstructive </w:t>
            </w:r>
            <w:r w:rsidR="00A90D5A">
              <w:rPr>
                <w:rFonts w:asciiTheme="minorHAnsi" w:hAnsiTheme="minorHAnsi" w:cs="Arial"/>
                <w:color w:val="000000"/>
                <w:sz w:val="20"/>
                <w:szCs w:val="20"/>
              </w:rPr>
              <w:t>p</w:t>
            </w:r>
            <w:r>
              <w:rPr>
                <w:rFonts w:asciiTheme="minorHAnsi" w:hAnsiTheme="minorHAnsi" w:cs="Arial"/>
                <w:color w:val="000000"/>
                <w:sz w:val="20"/>
                <w:szCs w:val="20"/>
              </w:rPr>
              <w:t xml:space="preserve">ulmonary </w:t>
            </w:r>
            <w:r w:rsidR="00A90D5A">
              <w:rPr>
                <w:rFonts w:asciiTheme="minorHAnsi" w:hAnsiTheme="minorHAnsi" w:cs="Arial"/>
                <w:color w:val="000000"/>
                <w:sz w:val="20"/>
                <w:szCs w:val="20"/>
              </w:rPr>
              <w:t>d</w:t>
            </w:r>
            <w:r>
              <w:rPr>
                <w:rFonts w:asciiTheme="minorHAnsi" w:hAnsiTheme="minorHAnsi" w:cs="Arial"/>
                <w:color w:val="000000"/>
                <w:sz w:val="20"/>
                <w:szCs w:val="20"/>
              </w:rPr>
              <w:t>isease</w:t>
            </w:r>
          </w:p>
        </w:tc>
      </w:tr>
      <w:tr w:rsidR="004B0B26" w:rsidRPr="004B11B2" w14:paraId="726D7D97" w14:textId="77777777" w:rsidTr="00BF3F75">
        <w:trPr>
          <w:trHeight w:val="170"/>
        </w:trPr>
        <w:tc>
          <w:tcPr>
            <w:tcW w:w="1146" w:type="pct"/>
            <w:shd w:val="clear" w:color="auto" w:fill="auto"/>
            <w:vAlign w:val="bottom"/>
          </w:tcPr>
          <w:p w14:paraId="4B9C7BF2" w14:textId="77777777"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CPD</w:t>
            </w:r>
          </w:p>
        </w:tc>
        <w:tc>
          <w:tcPr>
            <w:tcW w:w="3854" w:type="pct"/>
            <w:shd w:val="clear" w:color="auto" w:fill="auto"/>
            <w:vAlign w:val="bottom"/>
          </w:tcPr>
          <w:p w14:paraId="4D4BDD16" w14:textId="77777777"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Cigarettes Per Day</w:t>
            </w:r>
          </w:p>
        </w:tc>
      </w:tr>
      <w:tr w:rsidR="004B0B26" w:rsidRPr="004B11B2" w14:paraId="703265A6" w14:textId="77777777" w:rsidTr="00BF3F75">
        <w:trPr>
          <w:trHeight w:val="170"/>
        </w:trPr>
        <w:tc>
          <w:tcPr>
            <w:tcW w:w="1146" w:type="pct"/>
            <w:shd w:val="clear" w:color="auto" w:fill="auto"/>
            <w:vAlign w:val="bottom"/>
          </w:tcPr>
          <w:p w14:paraId="6D77F992" w14:textId="77777777"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CVD</w:t>
            </w:r>
          </w:p>
        </w:tc>
        <w:tc>
          <w:tcPr>
            <w:tcW w:w="3854" w:type="pct"/>
            <w:shd w:val="clear" w:color="auto" w:fill="auto"/>
            <w:vAlign w:val="bottom"/>
          </w:tcPr>
          <w:p w14:paraId="2EAE4FA6" w14:textId="72AE8D57"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Cardiovascular </w:t>
            </w:r>
            <w:r w:rsidR="00A90D5A">
              <w:rPr>
                <w:rFonts w:asciiTheme="minorHAnsi" w:hAnsiTheme="minorHAnsi" w:cs="Arial"/>
                <w:bCs/>
                <w:iCs/>
                <w:color w:val="000000"/>
                <w:sz w:val="20"/>
                <w:szCs w:val="20"/>
              </w:rPr>
              <w:t>d</w:t>
            </w:r>
            <w:r>
              <w:rPr>
                <w:rFonts w:asciiTheme="minorHAnsi" w:hAnsiTheme="minorHAnsi" w:cs="Arial"/>
                <w:bCs/>
                <w:iCs/>
                <w:color w:val="000000"/>
                <w:sz w:val="20"/>
                <w:szCs w:val="20"/>
              </w:rPr>
              <w:t>isease</w:t>
            </w:r>
          </w:p>
        </w:tc>
      </w:tr>
      <w:tr w:rsidR="004B0B26" w:rsidRPr="004B11B2" w14:paraId="5423B0C9" w14:textId="77777777" w:rsidTr="00BF3F75">
        <w:trPr>
          <w:trHeight w:val="170"/>
        </w:trPr>
        <w:tc>
          <w:tcPr>
            <w:tcW w:w="1146" w:type="pct"/>
            <w:shd w:val="clear" w:color="auto" w:fill="auto"/>
            <w:vAlign w:val="bottom"/>
          </w:tcPr>
          <w:p w14:paraId="5872830B"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CYT</w:t>
            </w:r>
          </w:p>
        </w:tc>
        <w:tc>
          <w:tcPr>
            <w:tcW w:w="3854" w:type="pct"/>
            <w:shd w:val="clear" w:color="auto" w:fill="auto"/>
            <w:vAlign w:val="bottom"/>
          </w:tcPr>
          <w:p w14:paraId="3C1A3302"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Cytisine</w:t>
            </w:r>
          </w:p>
        </w:tc>
      </w:tr>
      <w:tr w:rsidR="00D6694A" w:rsidRPr="004B11B2" w14:paraId="33A4FB45" w14:textId="77777777" w:rsidTr="00BF3F75">
        <w:trPr>
          <w:trHeight w:val="170"/>
        </w:trPr>
        <w:tc>
          <w:tcPr>
            <w:tcW w:w="1146" w:type="pct"/>
            <w:shd w:val="clear" w:color="auto" w:fill="auto"/>
            <w:vAlign w:val="bottom"/>
          </w:tcPr>
          <w:p w14:paraId="5FC4B7AD" w14:textId="3E46C6CD" w:rsidR="00D6694A" w:rsidRDefault="00D6694A"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DUSC</w:t>
            </w:r>
          </w:p>
        </w:tc>
        <w:tc>
          <w:tcPr>
            <w:tcW w:w="3854" w:type="pct"/>
            <w:shd w:val="clear" w:color="auto" w:fill="auto"/>
            <w:vAlign w:val="bottom"/>
          </w:tcPr>
          <w:p w14:paraId="18C75F70" w14:textId="7D414041" w:rsidR="00D6694A" w:rsidRDefault="00D6694A"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Drug Utilisation Sub-Committee</w:t>
            </w:r>
          </w:p>
        </w:tc>
      </w:tr>
      <w:tr w:rsidR="00992B24" w:rsidRPr="004B11B2" w14:paraId="21DFCB6B" w14:textId="77777777" w:rsidTr="00BF3F75">
        <w:trPr>
          <w:trHeight w:val="170"/>
        </w:trPr>
        <w:tc>
          <w:tcPr>
            <w:tcW w:w="1146" w:type="pct"/>
            <w:shd w:val="clear" w:color="auto" w:fill="auto"/>
            <w:vAlign w:val="bottom"/>
          </w:tcPr>
          <w:p w14:paraId="23EBFDA1" w14:textId="75E8F4D9" w:rsidR="00992B24" w:rsidRDefault="00992B24"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EC</w:t>
            </w:r>
          </w:p>
        </w:tc>
        <w:tc>
          <w:tcPr>
            <w:tcW w:w="3854" w:type="pct"/>
            <w:shd w:val="clear" w:color="auto" w:fill="auto"/>
            <w:vAlign w:val="bottom"/>
          </w:tcPr>
          <w:p w14:paraId="2F6DC9B4" w14:textId="07B1B120" w:rsidR="00992B24" w:rsidRDefault="00992B24" w:rsidP="00550A97">
            <w:pPr>
              <w:spacing w:before="60" w:after="60"/>
              <w:rPr>
                <w:rFonts w:asciiTheme="minorHAnsi" w:hAnsiTheme="minorHAnsi" w:cs="Arial"/>
                <w:bCs/>
                <w:iCs/>
                <w:color w:val="000000"/>
                <w:sz w:val="20"/>
                <w:szCs w:val="20"/>
              </w:rPr>
            </w:pPr>
            <w:r w:rsidRPr="00992B24">
              <w:rPr>
                <w:rFonts w:asciiTheme="minorHAnsi" w:hAnsiTheme="minorHAnsi" w:cs="Arial"/>
                <w:bCs/>
                <w:iCs/>
                <w:color w:val="000000"/>
                <w:sz w:val="20"/>
                <w:szCs w:val="20"/>
              </w:rPr>
              <w:t>Electronic cigarettes</w:t>
            </w:r>
          </w:p>
        </w:tc>
      </w:tr>
      <w:tr w:rsidR="004B0B26" w:rsidRPr="004B11B2" w14:paraId="42CD6027" w14:textId="77777777" w:rsidTr="00BF3F75">
        <w:trPr>
          <w:trHeight w:val="170"/>
        </w:trPr>
        <w:tc>
          <w:tcPr>
            <w:tcW w:w="1146" w:type="pct"/>
            <w:shd w:val="clear" w:color="auto" w:fill="auto"/>
            <w:vAlign w:val="bottom"/>
          </w:tcPr>
          <w:p w14:paraId="7841FFC9"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eTG</w:t>
            </w:r>
          </w:p>
        </w:tc>
        <w:tc>
          <w:tcPr>
            <w:tcW w:w="3854" w:type="pct"/>
            <w:shd w:val="clear" w:color="auto" w:fill="auto"/>
            <w:vAlign w:val="bottom"/>
          </w:tcPr>
          <w:p w14:paraId="16FEAA06"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Electronic Therapeutic Guidelines</w:t>
            </w:r>
          </w:p>
        </w:tc>
      </w:tr>
      <w:tr w:rsidR="004B0B26" w:rsidRPr="004B11B2" w14:paraId="4526120C" w14:textId="77777777" w:rsidTr="00BF3F75">
        <w:trPr>
          <w:trHeight w:val="170"/>
        </w:trPr>
        <w:tc>
          <w:tcPr>
            <w:tcW w:w="1146" w:type="pct"/>
            <w:shd w:val="clear" w:color="auto" w:fill="auto"/>
            <w:vAlign w:val="bottom"/>
          </w:tcPr>
          <w:p w14:paraId="5BEE85F1"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GRADE</w:t>
            </w:r>
          </w:p>
        </w:tc>
        <w:tc>
          <w:tcPr>
            <w:tcW w:w="3854" w:type="pct"/>
            <w:shd w:val="clear" w:color="auto" w:fill="auto"/>
            <w:vAlign w:val="bottom"/>
          </w:tcPr>
          <w:p w14:paraId="68955D38" w14:textId="77777777" w:rsidR="004B0B26" w:rsidRDefault="004B0B26" w:rsidP="00550A97">
            <w:pPr>
              <w:spacing w:before="60" w:after="60"/>
              <w:rPr>
                <w:rFonts w:asciiTheme="minorHAnsi" w:hAnsiTheme="minorHAnsi" w:cs="Arial"/>
                <w:bCs/>
                <w:iCs/>
                <w:color w:val="000000"/>
                <w:sz w:val="20"/>
                <w:szCs w:val="20"/>
              </w:rPr>
            </w:pPr>
            <w:r w:rsidRPr="0043776C">
              <w:rPr>
                <w:rFonts w:asciiTheme="minorHAnsi" w:hAnsiTheme="minorHAnsi" w:cs="Arial"/>
                <w:bCs/>
                <w:iCs/>
                <w:color w:val="000000"/>
                <w:sz w:val="20"/>
                <w:szCs w:val="20"/>
              </w:rPr>
              <w:t>Grading of Recommendations, Assessment, Development and Evaluations</w:t>
            </w:r>
          </w:p>
        </w:tc>
      </w:tr>
      <w:tr w:rsidR="0070341B" w:rsidRPr="004B11B2" w14:paraId="1E5100E0" w14:textId="77777777" w:rsidTr="00BF3F75">
        <w:trPr>
          <w:trHeight w:val="170"/>
        </w:trPr>
        <w:tc>
          <w:tcPr>
            <w:tcW w:w="1146" w:type="pct"/>
            <w:shd w:val="clear" w:color="auto" w:fill="auto"/>
            <w:vAlign w:val="bottom"/>
          </w:tcPr>
          <w:p w14:paraId="796EB054" w14:textId="73D7F0F5" w:rsidR="0070341B" w:rsidRDefault="0070341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ITT</w:t>
            </w:r>
          </w:p>
        </w:tc>
        <w:tc>
          <w:tcPr>
            <w:tcW w:w="3854" w:type="pct"/>
            <w:shd w:val="clear" w:color="auto" w:fill="auto"/>
            <w:vAlign w:val="bottom"/>
          </w:tcPr>
          <w:p w14:paraId="266F7E67" w14:textId="122D05E9" w:rsidR="0070341B" w:rsidRPr="0043776C" w:rsidRDefault="0070341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Intention-to-treat</w:t>
            </w:r>
          </w:p>
        </w:tc>
      </w:tr>
      <w:tr w:rsidR="002811B2" w:rsidRPr="004B11B2" w14:paraId="2A9477B8" w14:textId="77777777" w:rsidTr="00BF3F75">
        <w:trPr>
          <w:trHeight w:val="170"/>
        </w:trPr>
        <w:tc>
          <w:tcPr>
            <w:tcW w:w="1146" w:type="pct"/>
            <w:shd w:val="clear" w:color="auto" w:fill="auto"/>
            <w:vAlign w:val="bottom"/>
          </w:tcPr>
          <w:p w14:paraId="486C93FB" w14:textId="1FB6A346" w:rsidR="002811B2" w:rsidRDefault="002811B2"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MA</w:t>
            </w:r>
          </w:p>
        </w:tc>
        <w:tc>
          <w:tcPr>
            <w:tcW w:w="3854" w:type="pct"/>
            <w:shd w:val="clear" w:color="auto" w:fill="auto"/>
            <w:vAlign w:val="bottom"/>
          </w:tcPr>
          <w:p w14:paraId="0875CF0A" w14:textId="342D8412" w:rsidR="002811B2" w:rsidRDefault="002811B2" w:rsidP="00550A97">
            <w:pPr>
              <w:spacing w:before="60" w:after="60"/>
              <w:rPr>
                <w:rFonts w:asciiTheme="minorHAnsi" w:hAnsiTheme="minorHAnsi" w:cs="Arial"/>
                <w:bCs/>
                <w:iCs/>
                <w:color w:val="000000"/>
                <w:sz w:val="20"/>
                <w:szCs w:val="20"/>
              </w:rPr>
            </w:pPr>
            <w:r w:rsidRPr="002811B2">
              <w:rPr>
                <w:rFonts w:asciiTheme="minorHAnsi" w:hAnsiTheme="minorHAnsi" w:cs="Arial"/>
                <w:bCs/>
                <w:iCs/>
                <w:color w:val="000000"/>
                <w:sz w:val="20"/>
                <w:szCs w:val="20"/>
              </w:rPr>
              <w:t>Meta-analysis</w:t>
            </w:r>
          </w:p>
        </w:tc>
      </w:tr>
      <w:tr w:rsidR="004B0B26" w:rsidRPr="004B11B2" w14:paraId="26D22C20" w14:textId="77777777" w:rsidTr="00BF3F75">
        <w:trPr>
          <w:trHeight w:val="170"/>
        </w:trPr>
        <w:tc>
          <w:tcPr>
            <w:tcW w:w="1146" w:type="pct"/>
            <w:shd w:val="clear" w:color="auto" w:fill="auto"/>
            <w:vAlign w:val="bottom"/>
          </w:tcPr>
          <w:p w14:paraId="07BE11A7"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MI</w:t>
            </w:r>
          </w:p>
        </w:tc>
        <w:tc>
          <w:tcPr>
            <w:tcW w:w="3854" w:type="pct"/>
            <w:shd w:val="clear" w:color="auto" w:fill="auto"/>
            <w:vAlign w:val="bottom"/>
          </w:tcPr>
          <w:p w14:paraId="21B7E4D3"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Motivational Interviewing</w:t>
            </w:r>
          </w:p>
        </w:tc>
      </w:tr>
      <w:tr w:rsidR="00187C8C" w:rsidRPr="004B11B2" w14:paraId="52777FF6" w14:textId="77777777" w:rsidTr="00BF3F75">
        <w:trPr>
          <w:trHeight w:val="170"/>
        </w:trPr>
        <w:tc>
          <w:tcPr>
            <w:tcW w:w="1146" w:type="pct"/>
            <w:shd w:val="clear" w:color="auto" w:fill="auto"/>
            <w:vAlign w:val="bottom"/>
          </w:tcPr>
          <w:p w14:paraId="16BC766E" w14:textId="162BFD35"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t>
            </w:r>
          </w:p>
        </w:tc>
        <w:tc>
          <w:tcPr>
            <w:tcW w:w="3854" w:type="pct"/>
            <w:shd w:val="clear" w:color="auto" w:fill="auto"/>
            <w:vAlign w:val="bottom"/>
          </w:tcPr>
          <w:p w14:paraId="571818AD" w14:textId="500D7F6A"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Not estimable</w:t>
            </w:r>
          </w:p>
        </w:tc>
      </w:tr>
      <w:tr w:rsidR="004B0B26" w:rsidRPr="004B11B2" w14:paraId="333970D3" w14:textId="77777777" w:rsidTr="00BF3F75">
        <w:trPr>
          <w:trHeight w:val="170"/>
        </w:trPr>
        <w:tc>
          <w:tcPr>
            <w:tcW w:w="1146" w:type="pct"/>
            <w:shd w:val="clear" w:color="auto" w:fill="auto"/>
            <w:vAlign w:val="bottom"/>
          </w:tcPr>
          <w:p w14:paraId="315786F6"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w:t>
            </w:r>
          </w:p>
        </w:tc>
        <w:tc>
          <w:tcPr>
            <w:tcW w:w="3854" w:type="pct"/>
            <w:shd w:val="clear" w:color="auto" w:fill="auto"/>
            <w:vAlign w:val="bottom"/>
          </w:tcPr>
          <w:p w14:paraId="05E16702"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Nortriptyline</w:t>
            </w:r>
          </w:p>
        </w:tc>
      </w:tr>
      <w:tr w:rsidR="004B0B26" w:rsidRPr="004B11B2" w14:paraId="754472D2" w14:textId="77777777" w:rsidTr="00BF3F75">
        <w:trPr>
          <w:trHeight w:val="170"/>
        </w:trPr>
        <w:tc>
          <w:tcPr>
            <w:tcW w:w="1146" w:type="pct"/>
            <w:shd w:val="clear" w:color="auto" w:fill="auto"/>
            <w:vAlign w:val="bottom"/>
          </w:tcPr>
          <w:p w14:paraId="3DAA11DD"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NRT</w:t>
            </w:r>
          </w:p>
        </w:tc>
        <w:tc>
          <w:tcPr>
            <w:tcW w:w="3854" w:type="pct"/>
            <w:shd w:val="clear" w:color="auto" w:fill="auto"/>
            <w:vAlign w:val="bottom"/>
          </w:tcPr>
          <w:p w14:paraId="407C2281" w14:textId="7D99314D"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Nicotine </w:t>
            </w:r>
            <w:r w:rsidR="004A39EC">
              <w:rPr>
                <w:rFonts w:asciiTheme="minorHAnsi" w:hAnsiTheme="minorHAnsi" w:cs="Arial"/>
                <w:bCs/>
                <w:iCs/>
                <w:color w:val="000000"/>
                <w:sz w:val="20"/>
                <w:szCs w:val="20"/>
              </w:rPr>
              <w:t>r</w:t>
            </w:r>
            <w:r>
              <w:rPr>
                <w:rFonts w:asciiTheme="minorHAnsi" w:hAnsiTheme="minorHAnsi" w:cs="Arial"/>
                <w:bCs/>
                <w:iCs/>
                <w:color w:val="000000"/>
                <w:sz w:val="20"/>
                <w:szCs w:val="20"/>
              </w:rPr>
              <w:t xml:space="preserve">eplacement </w:t>
            </w:r>
            <w:r w:rsidR="004A39EC">
              <w:rPr>
                <w:rFonts w:asciiTheme="minorHAnsi" w:hAnsiTheme="minorHAnsi" w:cs="Arial"/>
                <w:bCs/>
                <w:iCs/>
                <w:color w:val="000000"/>
                <w:sz w:val="20"/>
                <w:szCs w:val="20"/>
              </w:rPr>
              <w:t>t</w:t>
            </w:r>
            <w:r>
              <w:rPr>
                <w:rFonts w:asciiTheme="minorHAnsi" w:hAnsiTheme="minorHAnsi" w:cs="Arial"/>
                <w:bCs/>
                <w:iCs/>
                <w:color w:val="000000"/>
                <w:sz w:val="20"/>
                <w:szCs w:val="20"/>
              </w:rPr>
              <w:t>herapy</w:t>
            </w:r>
          </w:p>
        </w:tc>
      </w:tr>
      <w:tr w:rsidR="00187C8C" w:rsidRPr="004B11B2" w14:paraId="05A455F7" w14:textId="77777777" w:rsidTr="00BF3F75">
        <w:trPr>
          <w:trHeight w:val="170"/>
        </w:trPr>
        <w:tc>
          <w:tcPr>
            <w:tcW w:w="1146" w:type="pct"/>
            <w:shd w:val="clear" w:color="auto" w:fill="auto"/>
            <w:vAlign w:val="bottom"/>
          </w:tcPr>
          <w:p w14:paraId="6A35B7CC" w14:textId="07F687DD"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w:t>
            </w:r>
          </w:p>
        </w:tc>
        <w:tc>
          <w:tcPr>
            <w:tcW w:w="3854" w:type="pct"/>
            <w:shd w:val="clear" w:color="auto" w:fill="auto"/>
            <w:vAlign w:val="bottom"/>
          </w:tcPr>
          <w:p w14:paraId="29D90512" w14:textId="61096EE7"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Not reported</w:t>
            </w:r>
          </w:p>
        </w:tc>
      </w:tr>
      <w:tr w:rsidR="00A20749" w:rsidRPr="004B11B2" w14:paraId="6C1CD828" w14:textId="77777777" w:rsidTr="00BF3F75">
        <w:trPr>
          <w:trHeight w:val="170"/>
        </w:trPr>
        <w:tc>
          <w:tcPr>
            <w:tcW w:w="1146" w:type="pct"/>
            <w:shd w:val="clear" w:color="auto" w:fill="auto"/>
            <w:vAlign w:val="bottom"/>
          </w:tcPr>
          <w:p w14:paraId="3D358FD5" w14:textId="17EC871D" w:rsidR="00A20749" w:rsidRDefault="00A20749"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OR</w:t>
            </w:r>
          </w:p>
        </w:tc>
        <w:tc>
          <w:tcPr>
            <w:tcW w:w="3854" w:type="pct"/>
            <w:shd w:val="clear" w:color="auto" w:fill="auto"/>
            <w:vAlign w:val="bottom"/>
          </w:tcPr>
          <w:p w14:paraId="4ADBC4E1" w14:textId="58705CCE" w:rsidR="00A20749" w:rsidRDefault="00A20749"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Odds ratio</w:t>
            </w:r>
          </w:p>
        </w:tc>
      </w:tr>
      <w:tr w:rsidR="004B0B26" w:rsidRPr="004B11B2" w14:paraId="4BEBD355" w14:textId="77777777" w:rsidTr="00BF3F75">
        <w:trPr>
          <w:trHeight w:val="170"/>
        </w:trPr>
        <w:tc>
          <w:tcPr>
            <w:tcW w:w="1146" w:type="pct"/>
            <w:shd w:val="clear" w:color="auto" w:fill="auto"/>
            <w:vAlign w:val="bottom"/>
          </w:tcPr>
          <w:p w14:paraId="3FAA3870"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PBAC</w:t>
            </w:r>
          </w:p>
        </w:tc>
        <w:tc>
          <w:tcPr>
            <w:tcW w:w="3854" w:type="pct"/>
            <w:shd w:val="clear" w:color="auto" w:fill="auto"/>
            <w:vAlign w:val="bottom"/>
          </w:tcPr>
          <w:p w14:paraId="00440120"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Advisory Committee</w:t>
            </w:r>
          </w:p>
        </w:tc>
      </w:tr>
      <w:tr w:rsidR="004B0B26" w:rsidRPr="004B11B2" w14:paraId="3772178E" w14:textId="77777777" w:rsidTr="00BF3F75">
        <w:trPr>
          <w:trHeight w:val="170"/>
        </w:trPr>
        <w:tc>
          <w:tcPr>
            <w:tcW w:w="1146" w:type="pct"/>
            <w:shd w:val="clear" w:color="auto" w:fill="auto"/>
            <w:vAlign w:val="bottom"/>
          </w:tcPr>
          <w:p w14:paraId="31175240"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PBS</w:t>
            </w:r>
          </w:p>
        </w:tc>
        <w:tc>
          <w:tcPr>
            <w:tcW w:w="3854" w:type="pct"/>
            <w:shd w:val="clear" w:color="auto" w:fill="auto"/>
            <w:vAlign w:val="bottom"/>
          </w:tcPr>
          <w:p w14:paraId="66BB3877"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Scheme</w:t>
            </w:r>
          </w:p>
        </w:tc>
      </w:tr>
      <w:tr w:rsidR="003B53DE" w:rsidRPr="004B11B2" w14:paraId="5FEB9907" w14:textId="77777777" w:rsidTr="00BF3F75">
        <w:trPr>
          <w:trHeight w:val="170"/>
        </w:trPr>
        <w:tc>
          <w:tcPr>
            <w:tcW w:w="1146" w:type="pct"/>
            <w:shd w:val="clear" w:color="auto" w:fill="auto"/>
            <w:vAlign w:val="bottom"/>
          </w:tcPr>
          <w:p w14:paraId="1562689D" w14:textId="4DEE1422" w:rsidR="003B53DE" w:rsidRDefault="003B53DE"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PMR</w:t>
            </w:r>
          </w:p>
        </w:tc>
        <w:tc>
          <w:tcPr>
            <w:tcW w:w="3854" w:type="pct"/>
            <w:shd w:val="clear" w:color="auto" w:fill="auto"/>
            <w:vAlign w:val="bottom"/>
          </w:tcPr>
          <w:p w14:paraId="7B53FBB0" w14:textId="6F178EC6" w:rsidR="003B53DE" w:rsidRDefault="003B53DE" w:rsidP="00550A97">
            <w:pPr>
              <w:spacing w:before="60" w:after="60"/>
              <w:rPr>
                <w:rFonts w:asciiTheme="minorHAnsi" w:hAnsiTheme="minorHAnsi" w:cs="Arial"/>
                <w:bCs/>
                <w:iCs/>
                <w:color w:val="000000"/>
                <w:sz w:val="20"/>
                <w:szCs w:val="20"/>
              </w:rPr>
            </w:pPr>
            <w:r w:rsidRPr="003B53DE">
              <w:rPr>
                <w:rFonts w:asciiTheme="minorHAnsi" w:hAnsiTheme="minorHAnsi" w:cs="Arial"/>
                <w:bCs/>
                <w:iCs/>
                <w:color w:val="000000"/>
                <w:sz w:val="20"/>
                <w:szCs w:val="20"/>
              </w:rPr>
              <w:t>Post-market Review</w:t>
            </w:r>
          </w:p>
        </w:tc>
      </w:tr>
      <w:tr w:rsidR="00187C8C" w:rsidRPr="004B11B2" w14:paraId="225817A5" w14:textId="77777777" w:rsidTr="00BF3F75">
        <w:trPr>
          <w:trHeight w:val="170"/>
        </w:trPr>
        <w:tc>
          <w:tcPr>
            <w:tcW w:w="1146" w:type="pct"/>
            <w:shd w:val="clear" w:color="auto" w:fill="auto"/>
            <w:vAlign w:val="bottom"/>
          </w:tcPr>
          <w:p w14:paraId="360DB1FD" w14:textId="28D7DE78"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PPA</w:t>
            </w:r>
          </w:p>
        </w:tc>
        <w:tc>
          <w:tcPr>
            <w:tcW w:w="3854" w:type="pct"/>
            <w:shd w:val="clear" w:color="auto" w:fill="auto"/>
            <w:vAlign w:val="bottom"/>
          </w:tcPr>
          <w:p w14:paraId="467219E4" w14:textId="65D03D65" w:rsidR="00187C8C" w:rsidRDefault="00187C8C"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Point prevalence abstinence</w:t>
            </w:r>
          </w:p>
        </w:tc>
      </w:tr>
      <w:tr w:rsidR="00160070" w:rsidRPr="004B11B2" w14:paraId="15BBA53E" w14:textId="77777777" w:rsidTr="00BF3F75">
        <w:trPr>
          <w:trHeight w:val="170"/>
        </w:trPr>
        <w:tc>
          <w:tcPr>
            <w:tcW w:w="1146" w:type="pct"/>
            <w:shd w:val="clear" w:color="auto" w:fill="auto"/>
            <w:vAlign w:val="bottom"/>
          </w:tcPr>
          <w:p w14:paraId="75F6EB2C" w14:textId="6B37D980"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PRISMA</w:t>
            </w:r>
          </w:p>
        </w:tc>
        <w:tc>
          <w:tcPr>
            <w:tcW w:w="3854" w:type="pct"/>
            <w:shd w:val="clear" w:color="auto" w:fill="auto"/>
            <w:vAlign w:val="bottom"/>
          </w:tcPr>
          <w:p w14:paraId="1CA8E090" w14:textId="3BE0D8EB"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Preferred Reporting Items for Systematic Reviews and Meta-analyses</w:t>
            </w:r>
          </w:p>
        </w:tc>
      </w:tr>
      <w:tr w:rsidR="00104ECB" w:rsidRPr="004B11B2" w14:paraId="704762AE" w14:textId="77777777" w:rsidTr="00BF3F75">
        <w:trPr>
          <w:trHeight w:val="170"/>
        </w:trPr>
        <w:tc>
          <w:tcPr>
            <w:tcW w:w="1146" w:type="pct"/>
            <w:shd w:val="clear" w:color="auto" w:fill="auto"/>
            <w:vAlign w:val="bottom"/>
          </w:tcPr>
          <w:p w14:paraId="233CBF47" w14:textId="03FF7E9D" w:rsidR="00104ECB" w:rsidRDefault="00104EC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RCT</w:t>
            </w:r>
          </w:p>
        </w:tc>
        <w:tc>
          <w:tcPr>
            <w:tcW w:w="3854" w:type="pct"/>
            <w:shd w:val="clear" w:color="auto" w:fill="auto"/>
            <w:vAlign w:val="bottom"/>
          </w:tcPr>
          <w:p w14:paraId="6C82C834" w14:textId="2A047125" w:rsidR="00104ECB" w:rsidRDefault="00104ECB"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Randomised controlled trial</w:t>
            </w:r>
          </w:p>
        </w:tc>
      </w:tr>
      <w:tr w:rsidR="008D216E" w:rsidRPr="004B11B2" w14:paraId="211B08B7" w14:textId="77777777" w:rsidTr="00BF3F75">
        <w:trPr>
          <w:trHeight w:val="170"/>
        </w:trPr>
        <w:tc>
          <w:tcPr>
            <w:tcW w:w="1146" w:type="pct"/>
            <w:shd w:val="clear" w:color="auto" w:fill="auto"/>
            <w:vAlign w:val="bottom"/>
          </w:tcPr>
          <w:p w14:paraId="739947C3" w14:textId="06D585F4"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RD</w:t>
            </w:r>
          </w:p>
        </w:tc>
        <w:tc>
          <w:tcPr>
            <w:tcW w:w="3854" w:type="pct"/>
            <w:shd w:val="clear" w:color="auto" w:fill="auto"/>
            <w:vAlign w:val="bottom"/>
          </w:tcPr>
          <w:p w14:paraId="5A62F342" w14:textId="48809C02"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difference</w:t>
            </w:r>
          </w:p>
        </w:tc>
      </w:tr>
      <w:tr w:rsidR="00160070" w:rsidRPr="004B11B2" w14:paraId="312D03D9" w14:textId="77777777" w:rsidTr="00BF3F75">
        <w:trPr>
          <w:trHeight w:val="170"/>
        </w:trPr>
        <w:tc>
          <w:tcPr>
            <w:tcW w:w="1146" w:type="pct"/>
            <w:shd w:val="clear" w:color="auto" w:fill="auto"/>
            <w:vAlign w:val="bottom"/>
          </w:tcPr>
          <w:p w14:paraId="17472A4C" w14:textId="29336F3D"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RoB</w:t>
            </w:r>
          </w:p>
        </w:tc>
        <w:tc>
          <w:tcPr>
            <w:tcW w:w="3854" w:type="pct"/>
            <w:shd w:val="clear" w:color="auto" w:fill="auto"/>
            <w:vAlign w:val="bottom"/>
          </w:tcPr>
          <w:p w14:paraId="202E7436" w14:textId="6CE29E07" w:rsidR="00160070" w:rsidRDefault="00160070"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of bias</w:t>
            </w:r>
          </w:p>
        </w:tc>
      </w:tr>
      <w:tr w:rsidR="004B0B26" w:rsidRPr="004B11B2" w14:paraId="05BE4B99" w14:textId="77777777" w:rsidTr="00BF3F75">
        <w:trPr>
          <w:trHeight w:val="170"/>
        </w:trPr>
        <w:tc>
          <w:tcPr>
            <w:tcW w:w="1146" w:type="pct"/>
            <w:shd w:val="clear" w:color="auto" w:fill="auto"/>
            <w:vAlign w:val="bottom"/>
          </w:tcPr>
          <w:p w14:paraId="0AD10ADB" w14:textId="77777777"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RQ</w:t>
            </w:r>
          </w:p>
        </w:tc>
        <w:tc>
          <w:tcPr>
            <w:tcW w:w="3854" w:type="pct"/>
            <w:shd w:val="clear" w:color="auto" w:fill="auto"/>
            <w:vAlign w:val="bottom"/>
          </w:tcPr>
          <w:p w14:paraId="109A2D08" w14:textId="667821FD" w:rsidR="004B0B26"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Research </w:t>
            </w:r>
            <w:r w:rsidR="004A39EC">
              <w:rPr>
                <w:rFonts w:asciiTheme="minorHAnsi" w:hAnsiTheme="minorHAnsi" w:cs="Arial"/>
                <w:bCs/>
                <w:iCs/>
                <w:color w:val="000000"/>
                <w:sz w:val="20"/>
                <w:szCs w:val="20"/>
              </w:rPr>
              <w:t>q</w:t>
            </w:r>
            <w:r>
              <w:rPr>
                <w:rFonts w:asciiTheme="minorHAnsi" w:hAnsiTheme="minorHAnsi" w:cs="Arial"/>
                <w:bCs/>
                <w:iCs/>
                <w:color w:val="000000"/>
                <w:sz w:val="20"/>
                <w:szCs w:val="20"/>
              </w:rPr>
              <w:t>uestion</w:t>
            </w:r>
          </w:p>
        </w:tc>
      </w:tr>
      <w:tr w:rsidR="008D216E" w:rsidRPr="004B11B2" w14:paraId="670C152B" w14:textId="77777777" w:rsidTr="00BF3F75">
        <w:trPr>
          <w:trHeight w:val="170"/>
        </w:trPr>
        <w:tc>
          <w:tcPr>
            <w:tcW w:w="1146" w:type="pct"/>
            <w:shd w:val="clear" w:color="auto" w:fill="auto"/>
            <w:vAlign w:val="bottom"/>
          </w:tcPr>
          <w:p w14:paraId="345667D7" w14:textId="5D0C273E"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RR</w:t>
            </w:r>
          </w:p>
        </w:tc>
        <w:tc>
          <w:tcPr>
            <w:tcW w:w="3854" w:type="pct"/>
            <w:shd w:val="clear" w:color="auto" w:fill="auto"/>
            <w:vAlign w:val="bottom"/>
          </w:tcPr>
          <w:p w14:paraId="71DA8423" w14:textId="364A56B5" w:rsidR="008D216E" w:rsidRDefault="008D216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Risk ratio</w:t>
            </w:r>
          </w:p>
        </w:tc>
      </w:tr>
      <w:tr w:rsidR="00DE253E" w:rsidRPr="004B11B2" w14:paraId="58AB67E6" w14:textId="77777777" w:rsidTr="00BF3F75">
        <w:trPr>
          <w:trHeight w:val="170"/>
        </w:trPr>
        <w:tc>
          <w:tcPr>
            <w:tcW w:w="1146" w:type="pct"/>
            <w:shd w:val="clear" w:color="auto" w:fill="auto"/>
            <w:vAlign w:val="bottom"/>
          </w:tcPr>
          <w:p w14:paraId="56118E9D" w14:textId="66C361B9" w:rsidR="00DE253E" w:rsidRDefault="00DE253E"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lastRenderedPageBreak/>
              <w:t>SAE</w:t>
            </w:r>
          </w:p>
        </w:tc>
        <w:tc>
          <w:tcPr>
            <w:tcW w:w="3854" w:type="pct"/>
            <w:shd w:val="clear" w:color="auto" w:fill="auto"/>
            <w:vAlign w:val="bottom"/>
          </w:tcPr>
          <w:p w14:paraId="7A98F2E6" w14:textId="5A01F331" w:rsidR="00DE253E" w:rsidRDefault="00DE253E" w:rsidP="008D216E">
            <w:pPr>
              <w:spacing w:before="60" w:after="60"/>
              <w:rPr>
                <w:rFonts w:asciiTheme="minorHAnsi" w:hAnsiTheme="minorHAnsi" w:cs="Arial"/>
                <w:bCs/>
                <w:iCs/>
                <w:color w:val="000000"/>
                <w:sz w:val="20"/>
                <w:szCs w:val="20"/>
              </w:rPr>
            </w:pPr>
            <w:r w:rsidRPr="00DE253E">
              <w:rPr>
                <w:rFonts w:asciiTheme="minorHAnsi" w:hAnsiTheme="minorHAnsi" w:cs="Arial"/>
                <w:bCs/>
                <w:iCs/>
                <w:color w:val="000000"/>
                <w:sz w:val="20"/>
                <w:szCs w:val="20"/>
              </w:rPr>
              <w:t>Serious adverse event</w:t>
            </w:r>
          </w:p>
        </w:tc>
      </w:tr>
      <w:tr w:rsidR="002811B2" w:rsidRPr="004B11B2" w14:paraId="17E1730B" w14:textId="77777777" w:rsidTr="00BF3F75">
        <w:trPr>
          <w:trHeight w:val="170"/>
        </w:trPr>
        <w:tc>
          <w:tcPr>
            <w:tcW w:w="1146" w:type="pct"/>
            <w:shd w:val="clear" w:color="auto" w:fill="auto"/>
          </w:tcPr>
          <w:p w14:paraId="6EDFA584" w14:textId="123B93B0" w:rsidR="002811B2" w:rsidRDefault="002811B2"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SR</w:t>
            </w:r>
          </w:p>
        </w:tc>
        <w:tc>
          <w:tcPr>
            <w:tcW w:w="3854" w:type="pct"/>
            <w:shd w:val="clear" w:color="auto" w:fill="auto"/>
            <w:vAlign w:val="bottom"/>
          </w:tcPr>
          <w:p w14:paraId="2B8F260E" w14:textId="77777777" w:rsidR="002811B2" w:rsidRDefault="002811B2"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Sustained release</w:t>
            </w:r>
          </w:p>
          <w:p w14:paraId="14DDB124" w14:textId="579DD2B5" w:rsidR="002811B2" w:rsidRPr="00DE253E" w:rsidRDefault="002811B2" w:rsidP="008D216E">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Systematic review</w:t>
            </w:r>
          </w:p>
        </w:tc>
      </w:tr>
      <w:tr w:rsidR="004B0B26" w:rsidRPr="004B11B2" w14:paraId="03C61992" w14:textId="77777777" w:rsidTr="00BF3F75">
        <w:trPr>
          <w:trHeight w:val="170"/>
        </w:trPr>
        <w:tc>
          <w:tcPr>
            <w:tcW w:w="1146" w:type="pct"/>
            <w:shd w:val="clear" w:color="auto" w:fill="auto"/>
            <w:vAlign w:val="bottom"/>
          </w:tcPr>
          <w:p w14:paraId="7066EF31" w14:textId="77777777" w:rsidR="004B0B26" w:rsidRPr="003717F1" w:rsidRDefault="004B0B26"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TGA</w:t>
            </w:r>
          </w:p>
        </w:tc>
        <w:tc>
          <w:tcPr>
            <w:tcW w:w="3854" w:type="pct"/>
            <w:shd w:val="clear" w:color="auto" w:fill="auto"/>
            <w:vAlign w:val="bottom"/>
          </w:tcPr>
          <w:p w14:paraId="37F31700" w14:textId="77777777" w:rsidR="004B0B26" w:rsidRPr="004A45ED" w:rsidRDefault="004B0B26" w:rsidP="00550A97">
            <w:pPr>
              <w:spacing w:before="60" w:after="60"/>
              <w:rPr>
                <w:rFonts w:asciiTheme="minorHAnsi" w:hAnsiTheme="minorHAnsi" w:cs="Arial"/>
                <w:bCs/>
                <w:iCs/>
                <w:color w:val="000000"/>
                <w:sz w:val="20"/>
                <w:szCs w:val="20"/>
              </w:rPr>
            </w:pPr>
            <w:r w:rsidRPr="004A45ED">
              <w:rPr>
                <w:rFonts w:asciiTheme="minorHAnsi" w:hAnsiTheme="minorHAnsi" w:cs="Arial"/>
                <w:bCs/>
                <w:iCs/>
                <w:color w:val="000000"/>
                <w:sz w:val="20"/>
                <w:szCs w:val="20"/>
              </w:rPr>
              <w:t>Therapeutic Goods Administration</w:t>
            </w:r>
          </w:p>
        </w:tc>
      </w:tr>
      <w:tr w:rsidR="004B0B26" w:rsidRPr="004B11B2" w14:paraId="330731FE" w14:textId="77777777" w:rsidTr="00BF3F75">
        <w:trPr>
          <w:trHeight w:val="170"/>
        </w:trPr>
        <w:tc>
          <w:tcPr>
            <w:tcW w:w="1146" w:type="pct"/>
            <w:shd w:val="clear" w:color="auto" w:fill="auto"/>
            <w:vAlign w:val="bottom"/>
          </w:tcPr>
          <w:p w14:paraId="61CF9CDA" w14:textId="77777777"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ToR</w:t>
            </w:r>
          </w:p>
        </w:tc>
        <w:tc>
          <w:tcPr>
            <w:tcW w:w="3854" w:type="pct"/>
            <w:shd w:val="clear" w:color="auto" w:fill="auto"/>
            <w:vAlign w:val="bottom"/>
          </w:tcPr>
          <w:p w14:paraId="74C1347A" w14:textId="57FC1CF1"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Term</w:t>
            </w:r>
            <w:r w:rsidR="004A39EC">
              <w:rPr>
                <w:rFonts w:asciiTheme="minorHAnsi" w:hAnsiTheme="minorHAnsi" w:cs="Arial"/>
                <w:bCs/>
                <w:iCs/>
                <w:color w:val="000000"/>
                <w:sz w:val="20"/>
                <w:szCs w:val="20"/>
              </w:rPr>
              <w:t xml:space="preserve"> </w:t>
            </w:r>
            <w:r w:rsidRPr="009566E4">
              <w:rPr>
                <w:rFonts w:asciiTheme="minorHAnsi" w:hAnsiTheme="minorHAnsi" w:cs="Arial"/>
                <w:bCs/>
                <w:iCs/>
                <w:color w:val="000000"/>
                <w:sz w:val="20"/>
                <w:szCs w:val="20"/>
              </w:rPr>
              <w:t xml:space="preserve">of </w:t>
            </w:r>
            <w:r w:rsidR="004A39EC">
              <w:rPr>
                <w:rFonts w:asciiTheme="minorHAnsi" w:hAnsiTheme="minorHAnsi" w:cs="Arial"/>
                <w:bCs/>
                <w:iCs/>
                <w:color w:val="000000"/>
                <w:sz w:val="20"/>
                <w:szCs w:val="20"/>
              </w:rPr>
              <w:t>r</w:t>
            </w:r>
            <w:r w:rsidRPr="009566E4">
              <w:rPr>
                <w:rFonts w:asciiTheme="minorHAnsi" w:hAnsiTheme="minorHAnsi" w:cs="Arial"/>
                <w:bCs/>
                <w:iCs/>
                <w:color w:val="000000"/>
                <w:sz w:val="20"/>
                <w:szCs w:val="20"/>
              </w:rPr>
              <w:t>eference</w:t>
            </w:r>
          </w:p>
        </w:tc>
      </w:tr>
      <w:tr w:rsidR="002811B2" w:rsidRPr="004B11B2" w14:paraId="2C44C2E6" w14:textId="77777777" w:rsidTr="00BF3F75">
        <w:trPr>
          <w:trHeight w:val="170"/>
        </w:trPr>
        <w:tc>
          <w:tcPr>
            <w:tcW w:w="1146" w:type="pct"/>
            <w:shd w:val="clear" w:color="auto" w:fill="auto"/>
            <w:vAlign w:val="bottom"/>
          </w:tcPr>
          <w:p w14:paraId="7EBBC509" w14:textId="10FA24D2" w:rsidR="002811B2" w:rsidRPr="009566E4" w:rsidRDefault="002811B2" w:rsidP="00550A97">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TQD</w:t>
            </w:r>
          </w:p>
        </w:tc>
        <w:tc>
          <w:tcPr>
            <w:tcW w:w="3854" w:type="pct"/>
            <w:shd w:val="clear" w:color="auto" w:fill="auto"/>
            <w:vAlign w:val="bottom"/>
          </w:tcPr>
          <w:p w14:paraId="0482E2D5" w14:textId="06AA665C" w:rsidR="002811B2" w:rsidRPr="009566E4" w:rsidRDefault="002811B2" w:rsidP="00550A97">
            <w:pPr>
              <w:spacing w:before="60" w:after="60"/>
              <w:rPr>
                <w:rFonts w:asciiTheme="minorHAnsi" w:hAnsiTheme="minorHAnsi" w:cs="Arial"/>
                <w:bCs/>
                <w:iCs/>
                <w:color w:val="000000"/>
                <w:sz w:val="20"/>
                <w:szCs w:val="20"/>
              </w:rPr>
            </w:pPr>
            <w:r w:rsidRPr="002811B2">
              <w:rPr>
                <w:rFonts w:asciiTheme="minorHAnsi" w:hAnsiTheme="minorHAnsi" w:cs="Arial"/>
                <w:bCs/>
                <w:iCs/>
                <w:color w:val="000000"/>
                <w:sz w:val="20"/>
                <w:szCs w:val="20"/>
              </w:rPr>
              <w:t>Target quit date</w:t>
            </w:r>
          </w:p>
        </w:tc>
      </w:tr>
      <w:tr w:rsidR="004B0B26" w:rsidRPr="004B11B2" w14:paraId="5B4EA905" w14:textId="77777777" w:rsidTr="00BF3F75">
        <w:trPr>
          <w:trHeight w:val="170"/>
        </w:trPr>
        <w:tc>
          <w:tcPr>
            <w:tcW w:w="1146" w:type="pct"/>
            <w:shd w:val="clear" w:color="auto" w:fill="auto"/>
            <w:vAlign w:val="bottom"/>
          </w:tcPr>
          <w:p w14:paraId="3615B8E9" w14:textId="77777777"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UK</w:t>
            </w:r>
          </w:p>
        </w:tc>
        <w:tc>
          <w:tcPr>
            <w:tcW w:w="3854" w:type="pct"/>
            <w:shd w:val="clear" w:color="auto" w:fill="auto"/>
            <w:vAlign w:val="bottom"/>
          </w:tcPr>
          <w:p w14:paraId="7A63A21A" w14:textId="77777777"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Kingdom</w:t>
            </w:r>
          </w:p>
        </w:tc>
      </w:tr>
      <w:tr w:rsidR="004B0B26" w:rsidRPr="004B11B2" w14:paraId="6C82767F" w14:textId="77777777" w:rsidTr="00BF3F75">
        <w:trPr>
          <w:trHeight w:val="170"/>
        </w:trPr>
        <w:tc>
          <w:tcPr>
            <w:tcW w:w="1146" w:type="pct"/>
            <w:shd w:val="clear" w:color="auto" w:fill="auto"/>
            <w:vAlign w:val="bottom"/>
          </w:tcPr>
          <w:p w14:paraId="73B6FC1B" w14:textId="77777777"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w:t>
            </w:r>
          </w:p>
        </w:tc>
        <w:tc>
          <w:tcPr>
            <w:tcW w:w="3854" w:type="pct"/>
            <w:shd w:val="clear" w:color="auto" w:fill="auto"/>
            <w:vAlign w:val="bottom"/>
          </w:tcPr>
          <w:p w14:paraId="4DF2891A" w14:textId="77777777" w:rsidR="004B0B26" w:rsidRPr="009566E4" w:rsidRDefault="004B0B26" w:rsidP="00550A97">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States</w:t>
            </w:r>
          </w:p>
        </w:tc>
      </w:tr>
    </w:tbl>
    <w:p w14:paraId="020DADF5" w14:textId="77777777" w:rsidR="00D73E11" w:rsidRDefault="00D73E11" w:rsidP="004960F6"/>
    <w:p w14:paraId="5F045D5F" w14:textId="77777777" w:rsidR="003B53DE" w:rsidRDefault="003B53DE">
      <w:pPr>
        <w:spacing w:line="276" w:lineRule="auto"/>
        <w:rPr>
          <w:rFonts w:eastAsiaTheme="majorEastAsia" w:cstheme="majorBidi"/>
          <w:b/>
          <w:bCs/>
          <w:color w:val="4F81BD" w:themeColor="accent1"/>
          <w:sz w:val="40"/>
          <w:szCs w:val="26"/>
        </w:rPr>
      </w:pPr>
      <w:bookmarkStart w:id="3" w:name="_Toc388453112"/>
      <w:r>
        <w:br w:type="page"/>
      </w:r>
    </w:p>
    <w:p w14:paraId="7A2E5860" w14:textId="75CD4606" w:rsidR="0057325D" w:rsidRPr="00317D31" w:rsidRDefault="00904208" w:rsidP="00A20749">
      <w:pPr>
        <w:pStyle w:val="Heading1"/>
        <w:spacing w:before="0"/>
      </w:pPr>
      <w:bookmarkStart w:id="4" w:name="_Toc115254498"/>
      <w:r w:rsidRPr="00317D31">
        <w:lastRenderedPageBreak/>
        <w:t>Section</w:t>
      </w:r>
      <w:r w:rsidR="00CB6352" w:rsidRPr="00317D31">
        <w:t xml:space="preserve"> </w:t>
      </w:r>
      <w:r w:rsidR="00A74774">
        <w:t>3</w:t>
      </w:r>
      <w:r w:rsidR="00343A91" w:rsidRPr="00317D31">
        <w:t xml:space="preserve">: </w:t>
      </w:r>
      <w:r w:rsidR="0057325D" w:rsidRPr="000B686F">
        <w:t>ToR</w:t>
      </w:r>
      <w:r w:rsidR="0057325D" w:rsidRPr="00317D31">
        <w:t xml:space="preserve"> </w:t>
      </w:r>
      <w:r w:rsidR="006A7BA0">
        <w:t>3</w:t>
      </w:r>
      <w:r w:rsidR="0057325D" w:rsidRPr="00317D31">
        <w:br/>
      </w:r>
      <w:bookmarkEnd w:id="3"/>
      <w:r w:rsidR="00A74774">
        <w:t xml:space="preserve">Efficacy and </w:t>
      </w:r>
      <w:r w:rsidR="00886697">
        <w:t>s</w:t>
      </w:r>
      <w:r w:rsidR="00A74774">
        <w:t>afety</w:t>
      </w:r>
      <w:r w:rsidR="009E0BF8" w:rsidRPr="009E0BF8">
        <w:t xml:space="preserve"> of nicotine replacement therapy, varenicline and bupropion for smoking cessation including combination therapies</w:t>
      </w:r>
      <w:bookmarkEnd w:id="4"/>
    </w:p>
    <w:p w14:paraId="5F015348" w14:textId="7890ABAF" w:rsidR="006505A7" w:rsidRPr="00317D31" w:rsidRDefault="00650127" w:rsidP="00317D31">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olor w:val="365F91" w:themeColor="accent1" w:themeShade="BF"/>
        </w:rPr>
      </w:pPr>
      <w:r w:rsidRPr="00650127">
        <w:rPr>
          <w:rFonts w:asciiTheme="minorHAnsi" w:hAnsiTheme="minorHAnsi"/>
          <w:i/>
          <w:iCs/>
          <w:color w:val="365F91" w:themeColor="accent1" w:themeShade="BF"/>
        </w:rPr>
        <w:t xml:space="preserve">Review the efficacy and safety of nicotine replacement therapy, varenicline and bupropion for smoking cessation including combination therapies not currently </w:t>
      </w:r>
      <w:r w:rsidR="004A39EC">
        <w:rPr>
          <w:rFonts w:asciiTheme="minorHAnsi" w:hAnsiTheme="minorHAnsi"/>
          <w:i/>
          <w:iCs/>
          <w:color w:val="365F91" w:themeColor="accent1" w:themeShade="BF"/>
        </w:rPr>
        <w:t>Pharmaceutical Benefits Scheme (</w:t>
      </w:r>
      <w:r w:rsidRPr="00650127">
        <w:rPr>
          <w:rFonts w:asciiTheme="minorHAnsi" w:hAnsiTheme="minorHAnsi"/>
          <w:i/>
          <w:iCs/>
          <w:color w:val="365F91" w:themeColor="accent1" w:themeShade="BF"/>
        </w:rPr>
        <w:t>PBS</w:t>
      </w:r>
      <w:r w:rsidR="004A39EC">
        <w:rPr>
          <w:rFonts w:asciiTheme="minorHAnsi" w:hAnsiTheme="minorHAnsi"/>
          <w:i/>
          <w:iCs/>
          <w:color w:val="365F91" w:themeColor="accent1" w:themeShade="BF"/>
        </w:rPr>
        <w:t>)-</w:t>
      </w:r>
      <w:r w:rsidRPr="00650127">
        <w:rPr>
          <w:rFonts w:asciiTheme="minorHAnsi" w:hAnsiTheme="minorHAnsi"/>
          <w:i/>
          <w:iCs/>
          <w:color w:val="365F91" w:themeColor="accent1" w:themeShade="BF"/>
        </w:rPr>
        <w:t>subsidised.</w:t>
      </w:r>
    </w:p>
    <w:p w14:paraId="75BBBA49" w14:textId="69B7FC1F" w:rsidR="00963B62" w:rsidRDefault="006505A7" w:rsidP="00AF4031">
      <w:pPr>
        <w:pStyle w:val="Heading2"/>
        <w:numPr>
          <w:ilvl w:val="1"/>
          <w:numId w:val="191"/>
        </w:numPr>
        <w:spacing w:after="120"/>
        <w:ind w:left="0" w:firstLine="0"/>
        <w:jc w:val="both"/>
      </w:pPr>
      <w:bookmarkStart w:id="5" w:name="_Toc372542358"/>
      <w:bookmarkStart w:id="6" w:name="_Toc381090932"/>
      <w:bookmarkStart w:id="7" w:name="_Toc388453113"/>
      <w:bookmarkStart w:id="8" w:name="_Toc115254499"/>
      <w:r w:rsidRPr="00317D31">
        <w:t xml:space="preserve">Key findings for ToR </w:t>
      </w:r>
      <w:bookmarkEnd w:id="5"/>
      <w:bookmarkEnd w:id="6"/>
      <w:bookmarkEnd w:id="7"/>
      <w:r w:rsidR="00D556C9">
        <w:t>3</w:t>
      </w:r>
      <w:bookmarkEnd w:id="8"/>
    </w:p>
    <w:p w14:paraId="10D10A90" w14:textId="0988E7BA" w:rsidR="00C324F3" w:rsidRPr="003E606C" w:rsidRDefault="00C324F3" w:rsidP="00D6656B">
      <w:pPr>
        <w:spacing w:after="120"/>
        <w:jc w:val="both"/>
      </w:pPr>
      <w:bookmarkStart w:id="9" w:name="_Toc388453114"/>
      <w:r w:rsidRPr="003E606C">
        <w:t>In the evidence reviewed, the efficacy of smoking cessation therapies was based on long-term (</w:t>
      </w:r>
      <w:r w:rsidR="008260A0" w:rsidRPr="003E606C">
        <w:t>i.e.,</w:t>
      </w:r>
      <w:r w:rsidRPr="003E606C">
        <w:t xml:space="preserve"> </w:t>
      </w:r>
      <w:r w:rsidR="00A84213">
        <w:t>six</w:t>
      </w:r>
      <w:r w:rsidRPr="003E606C">
        <w:t xml:space="preserve"> months or more) smoking cessation rates</w:t>
      </w:r>
      <w:r>
        <w:t xml:space="preserve"> unless otherwise indicated</w:t>
      </w:r>
      <w:r w:rsidRPr="003E606C">
        <w:t>. Biochemically validated and continuous abstinence rates were prioritised over other measures.</w:t>
      </w:r>
      <w:r w:rsidRPr="00413F91">
        <w:t xml:space="preserve"> For safety and tolerability outcomes, key adverse events from studies with follow-up of any length are presented, where reported. </w:t>
      </w:r>
      <w:r w:rsidRPr="00F02E99">
        <w:t>A qualitative or narrative synthesis of the data from the literature review was conducted along with quantitative analysis if possible. Where supplemental evidence was found, the meta-analysis reported in the Cochrane Reviews</w:t>
      </w:r>
      <w:r>
        <w:t xml:space="preserve"> (relative risk using fixed-effect models)</w:t>
      </w:r>
      <w:r w:rsidRPr="00F02E99">
        <w:t xml:space="preserve"> was re-analysed</w:t>
      </w:r>
      <w:r>
        <w:t xml:space="preserve"> where possible</w:t>
      </w:r>
      <w:r w:rsidRPr="00F02E99">
        <w:t xml:space="preserve"> using Review Manager 5.4 software and updated using random-effect model</w:t>
      </w:r>
      <w:r>
        <w:t>s</w:t>
      </w:r>
      <w:r w:rsidRPr="00F02E99">
        <w:t>, with outcomes reported as both absolute and relative effects.</w:t>
      </w:r>
    </w:p>
    <w:p w14:paraId="3E8EDE79" w14:textId="77777777" w:rsidR="00C324F3" w:rsidRDefault="00C324F3" w:rsidP="00D6656B">
      <w:pPr>
        <w:pStyle w:val="Heading3"/>
        <w:spacing w:before="120" w:after="120"/>
        <w:jc w:val="both"/>
      </w:pPr>
      <w:bookmarkStart w:id="10" w:name="_Toc69976539"/>
      <w:bookmarkStart w:id="11" w:name="_Toc115254500"/>
      <w:r>
        <w:t>Monotherapy in the general population</w:t>
      </w:r>
      <w:bookmarkEnd w:id="10"/>
      <w:bookmarkEnd w:id="11"/>
    </w:p>
    <w:p w14:paraId="09F9AF96" w14:textId="1BD3FD0E" w:rsidR="00C324F3" w:rsidRPr="00317D31" w:rsidRDefault="00C324F3" w:rsidP="00D6656B">
      <w:pPr>
        <w:spacing w:after="120"/>
        <w:jc w:val="both"/>
        <w:rPr>
          <w:rFonts w:eastAsiaTheme="minorEastAsia"/>
          <w:b/>
          <w:i/>
          <w:sz w:val="28"/>
          <w:szCs w:val="28"/>
        </w:rPr>
      </w:pPr>
      <w:r w:rsidRPr="007456C3">
        <w:rPr>
          <w:rFonts w:eastAsiaTheme="minorEastAsia"/>
          <w:b/>
          <w:i/>
          <w:sz w:val="28"/>
          <w:szCs w:val="28"/>
        </w:rPr>
        <w:t xml:space="preserve">Summarise the comparative efficacy and safety of all PBS-listed smoking cessation therapies as monotherapy and compare this to </w:t>
      </w:r>
      <w:r w:rsidR="00D6656B">
        <w:rPr>
          <w:rFonts w:eastAsiaTheme="minorEastAsia"/>
          <w:b/>
          <w:i/>
          <w:sz w:val="28"/>
          <w:szCs w:val="28"/>
        </w:rPr>
        <w:t xml:space="preserve">the </w:t>
      </w:r>
      <w:r w:rsidRPr="007456C3">
        <w:rPr>
          <w:rFonts w:eastAsiaTheme="minorEastAsia"/>
          <w:b/>
          <w:i/>
          <w:sz w:val="28"/>
          <w:szCs w:val="28"/>
        </w:rPr>
        <w:t xml:space="preserve">evidence already considered by </w:t>
      </w:r>
      <w:r w:rsidR="00D6656B">
        <w:rPr>
          <w:rFonts w:eastAsiaTheme="minorEastAsia"/>
          <w:b/>
          <w:i/>
          <w:sz w:val="28"/>
          <w:szCs w:val="28"/>
        </w:rPr>
        <w:t xml:space="preserve">the </w:t>
      </w:r>
      <w:r w:rsidRPr="007456C3">
        <w:rPr>
          <w:rFonts w:eastAsiaTheme="minorEastAsia"/>
          <w:b/>
          <w:i/>
          <w:sz w:val="28"/>
          <w:szCs w:val="28"/>
        </w:rPr>
        <w:t>PBAC for each smoking cessation therapy</w:t>
      </w:r>
    </w:p>
    <w:p w14:paraId="4AD1C8FC" w14:textId="77777777" w:rsidR="00C324F3" w:rsidRPr="00AD75D2" w:rsidRDefault="00C324F3" w:rsidP="00D6656B">
      <w:pPr>
        <w:spacing w:after="120"/>
        <w:jc w:val="both"/>
        <w:rPr>
          <w:b/>
          <w:bCs/>
        </w:rPr>
      </w:pPr>
      <w:r w:rsidRPr="00AD75D2">
        <w:rPr>
          <w:b/>
          <w:bCs/>
        </w:rPr>
        <w:t>Bupropion</w:t>
      </w:r>
    </w:p>
    <w:p w14:paraId="6D184DED" w14:textId="77777777" w:rsidR="00C324F3" w:rsidRPr="00941DA2" w:rsidRDefault="00C324F3" w:rsidP="00D6656B">
      <w:pPr>
        <w:spacing w:after="120"/>
        <w:jc w:val="both"/>
      </w:pPr>
      <w:r w:rsidRPr="00941DA2">
        <w:t xml:space="preserve">Treatment-naïve population </w:t>
      </w:r>
    </w:p>
    <w:p w14:paraId="587269E4" w14:textId="04E59CDC" w:rsidR="00C324F3" w:rsidRDefault="00C324F3" w:rsidP="00D6656B">
      <w:pPr>
        <w:pStyle w:val="ListParagraph"/>
        <w:numPr>
          <w:ilvl w:val="0"/>
          <w:numId w:val="257"/>
        </w:numPr>
        <w:spacing w:after="0"/>
        <w:ind w:left="357" w:hanging="357"/>
        <w:contextualSpacing w:val="0"/>
        <w:jc w:val="both"/>
      </w:pPr>
      <w:r w:rsidRPr="00941DA2">
        <w:t>Bupropion was</w:t>
      </w:r>
      <w:r>
        <w:t xml:space="preserve"> superior to placebo in terms of efficacy</w:t>
      </w:r>
      <w:r w:rsidRPr="00941DA2">
        <w:t xml:space="preserve">, </w:t>
      </w:r>
      <w:r>
        <w:t>with a</w:t>
      </w:r>
      <w:r w:rsidRPr="00941DA2">
        <w:t xml:space="preserve"> significantly higher incidence of adverse events, psychiatric adverse </w:t>
      </w:r>
      <w:r w:rsidR="008260A0" w:rsidRPr="00941DA2">
        <w:t>events,</w:t>
      </w:r>
      <w:r w:rsidRPr="00941DA2">
        <w:t xml:space="preserve"> and discontinuation due to adverse events in the bupropion arm. This </w:t>
      </w:r>
      <w:r>
        <w:t>i</w:t>
      </w:r>
      <w:r w:rsidRPr="00941DA2">
        <w:t xml:space="preserve">s consistent with the evidence previously considered by the </w:t>
      </w:r>
      <w:r w:rsidR="004A39EC">
        <w:t>Pharmaceutical Benefits Advisory Committee (</w:t>
      </w:r>
      <w:r w:rsidRPr="00941DA2">
        <w:t>PBAC</w:t>
      </w:r>
      <w:r w:rsidR="004A39EC">
        <w:t>)</w:t>
      </w:r>
      <w:r w:rsidRPr="00941DA2">
        <w:t xml:space="preserve">. </w:t>
      </w:r>
    </w:p>
    <w:p w14:paraId="38554624" w14:textId="7D923017" w:rsidR="003C4A1C" w:rsidRDefault="00C324F3" w:rsidP="00D6656B">
      <w:pPr>
        <w:pStyle w:val="ListParagraph"/>
        <w:numPr>
          <w:ilvl w:val="0"/>
          <w:numId w:val="257"/>
        </w:numPr>
        <w:spacing w:after="120"/>
        <w:ind w:left="357" w:hanging="357"/>
        <w:contextualSpacing w:val="0"/>
        <w:jc w:val="both"/>
      </w:pPr>
      <w:r>
        <w:t>N</w:t>
      </w:r>
      <w:r w:rsidRPr="002E6C2F">
        <w:t xml:space="preserve">o statistically significant differences in smoking cessation rates, adverse events, serious adverse </w:t>
      </w:r>
      <w:r w:rsidR="008260A0" w:rsidRPr="002E6C2F">
        <w:t>events,</w:t>
      </w:r>
      <w:r w:rsidRPr="002E6C2F">
        <w:t xml:space="preserve"> and discontinuation due to adverse events </w:t>
      </w:r>
      <w:r>
        <w:t xml:space="preserve">were shown </w:t>
      </w:r>
      <w:r w:rsidRPr="002E6C2F">
        <w:t xml:space="preserve">between </w:t>
      </w:r>
      <w:r>
        <w:t>bupropion and</w:t>
      </w:r>
      <w:r w:rsidRPr="002E6C2F">
        <w:t xml:space="preserve"> </w:t>
      </w:r>
      <w:r>
        <w:t>nicotine replacement therapy (</w:t>
      </w:r>
      <w:r w:rsidRPr="002E6C2F">
        <w:t>NRT</w:t>
      </w:r>
      <w:r>
        <w:t xml:space="preserve">; either as patch, </w:t>
      </w:r>
      <w:r w:rsidR="008260A0">
        <w:t>lozenge,</w:t>
      </w:r>
      <w:r>
        <w:t xml:space="preserve"> or choice of NRT).</w:t>
      </w:r>
      <w:r w:rsidRPr="002E6C2F">
        <w:t xml:space="preserve"> This is consistent with the evidence previously considered by the PBAC</w:t>
      </w:r>
      <w:r>
        <w:t xml:space="preserve"> to support non-inferiority</w:t>
      </w:r>
      <w:r w:rsidRPr="002E6C2F">
        <w:t>.</w:t>
      </w:r>
    </w:p>
    <w:p w14:paraId="59A08BFF" w14:textId="653282D9" w:rsidR="00C324F3" w:rsidRDefault="003C4A1C" w:rsidP="003C4A1C">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832"/>
        <w:gridCol w:w="2216"/>
        <w:gridCol w:w="4968"/>
      </w:tblGrid>
      <w:tr w:rsidR="00C324F3" w:rsidRPr="00D37D1E" w14:paraId="4B3ED085" w14:textId="77777777" w:rsidTr="00B1127A">
        <w:trPr>
          <w:trHeight w:val="311"/>
        </w:trPr>
        <w:tc>
          <w:tcPr>
            <w:tcW w:w="1016" w:type="pct"/>
            <w:shd w:val="clear" w:color="auto" w:fill="F2F2F2" w:themeFill="background1" w:themeFillShade="F2"/>
            <w:vAlign w:val="center"/>
            <w:hideMark/>
          </w:tcPr>
          <w:p w14:paraId="3A70A5A6" w14:textId="77777777" w:rsidR="00C324F3" w:rsidRPr="00D37D1E" w:rsidRDefault="00C324F3" w:rsidP="00777459">
            <w:pPr>
              <w:rPr>
                <w:szCs w:val="18"/>
              </w:rPr>
            </w:pPr>
            <w:r>
              <w:rPr>
                <w:b/>
                <w:bCs/>
                <w:szCs w:val="18"/>
              </w:rPr>
              <w:lastRenderedPageBreak/>
              <w:t>Comparison</w:t>
            </w:r>
          </w:p>
        </w:tc>
        <w:tc>
          <w:tcPr>
            <w:tcW w:w="1229" w:type="pct"/>
            <w:shd w:val="clear" w:color="auto" w:fill="F2F2F2" w:themeFill="background1" w:themeFillShade="F2"/>
            <w:vAlign w:val="center"/>
            <w:hideMark/>
          </w:tcPr>
          <w:p w14:paraId="0E8FB197" w14:textId="77777777" w:rsidR="00C324F3" w:rsidRPr="00D37D1E" w:rsidRDefault="00C324F3" w:rsidP="00777459">
            <w:pPr>
              <w:jc w:val="center"/>
              <w:rPr>
                <w:szCs w:val="18"/>
              </w:rPr>
            </w:pPr>
            <w:r>
              <w:rPr>
                <w:b/>
                <w:bCs/>
                <w:szCs w:val="18"/>
              </w:rPr>
              <w:t>Included studies</w:t>
            </w:r>
          </w:p>
        </w:tc>
        <w:tc>
          <w:tcPr>
            <w:tcW w:w="2755" w:type="pct"/>
            <w:shd w:val="clear" w:color="auto" w:fill="F2F2F2" w:themeFill="background1" w:themeFillShade="F2"/>
            <w:vAlign w:val="center"/>
            <w:hideMark/>
          </w:tcPr>
          <w:p w14:paraId="399CB0FE" w14:textId="77777777" w:rsidR="00C324F3" w:rsidRPr="00D37D1E" w:rsidRDefault="00C324F3" w:rsidP="00777459">
            <w:pPr>
              <w:jc w:val="center"/>
              <w:rPr>
                <w:b/>
                <w:bCs/>
                <w:szCs w:val="18"/>
              </w:rPr>
            </w:pPr>
            <w:r>
              <w:rPr>
                <w:b/>
                <w:bCs/>
                <w:szCs w:val="18"/>
              </w:rPr>
              <w:t>Summary of evidence</w:t>
            </w:r>
          </w:p>
        </w:tc>
      </w:tr>
      <w:tr w:rsidR="00C324F3" w:rsidRPr="00D37D1E" w14:paraId="7AA344A3" w14:textId="77777777" w:rsidTr="00B1127A">
        <w:trPr>
          <w:trHeight w:val="275"/>
        </w:trPr>
        <w:tc>
          <w:tcPr>
            <w:tcW w:w="5000" w:type="pct"/>
            <w:gridSpan w:val="3"/>
            <w:shd w:val="clear" w:color="auto" w:fill="F2F2F2" w:themeFill="background1" w:themeFillShade="F2"/>
            <w:vAlign w:val="center"/>
            <w:hideMark/>
          </w:tcPr>
          <w:p w14:paraId="43D26CC3" w14:textId="77777777" w:rsidR="00C324F3" w:rsidRPr="00D37D1E" w:rsidRDefault="00C324F3" w:rsidP="00777459">
            <w:pPr>
              <w:rPr>
                <w:b/>
                <w:bCs/>
                <w:szCs w:val="18"/>
              </w:rPr>
            </w:pPr>
            <w:r w:rsidRPr="00D37D1E">
              <w:rPr>
                <w:b/>
                <w:bCs/>
                <w:szCs w:val="18"/>
              </w:rPr>
              <w:t>Treatment-naïve population</w:t>
            </w:r>
          </w:p>
        </w:tc>
      </w:tr>
      <w:tr w:rsidR="00C324F3" w:rsidRPr="00C30A65" w14:paraId="713C828A" w14:textId="77777777" w:rsidTr="00B1127A">
        <w:trPr>
          <w:trHeight w:val="1340"/>
        </w:trPr>
        <w:tc>
          <w:tcPr>
            <w:tcW w:w="1016" w:type="pct"/>
            <w:shd w:val="clear" w:color="auto" w:fill="F2F2F2" w:themeFill="background1" w:themeFillShade="F2"/>
            <w:hideMark/>
          </w:tcPr>
          <w:p w14:paraId="648D0C36" w14:textId="77777777" w:rsidR="00C324F3" w:rsidRPr="00D37D1E" w:rsidRDefault="00C324F3" w:rsidP="00777459">
            <w:pPr>
              <w:rPr>
                <w:szCs w:val="18"/>
              </w:rPr>
            </w:pPr>
            <w:r>
              <w:rPr>
                <w:szCs w:val="18"/>
              </w:rPr>
              <w:t>Bupropion vs p</w:t>
            </w:r>
            <w:r w:rsidRPr="00D37D1E">
              <w:rPr>
                <w:szCs w:val="18"/>
              </w:rPr>
              <w:t>lacebo</w:t>
            </w:r>
          </w:p>
        </w:tc>
        <w:tc>
          <w:tcPr>
            <w:tcW w:w="1229" w:type="pct"/>
            <w:shd w:val="clear" w:color="auto" w:fill="F2F2F2" w:themeFill="background1" w:themeFillShade="F2"/>
            <w:hideMark/>
          </w:tcPr>
          <w:p w14:paraId="121A5C25" w14:textId="77777777" w:rsidR="00C324F3" w:rsidRPr="00C30A65"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14:paraId="184DB9D5" w14:textId="77777777" w:rsidR="00C324F3" w:rsidRPr="00A17F4F"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14:paraId="78DED14E" w14:textId="77777777" w:rsidR="00C324F3" w:rsidRPr="00397B2B" w:rsidRDefault="00C324F3" w:rsidP="00C324F3">
            <w:pPr>
              <w:pStyle w:val="ListParagraph"/>
              <w:numPr>
                <w:ilvl w:val="0"/>
                <w:numId w:val="310"/>
              </w:numPr>
              <w:rPr>
                <w:szCs w:val="18"/>
              </w:rPr>
            </w:pPr>
            <w:r w:rsidRPr="00A84141">
              <w:rPr>
                <w:szCs w:val="18"/>
                <w:u w:val="single"/>
              </w:rPr>
              <w:t>Efficacy:</w:t>
            </w:r>
            <w:r w:rsidRPr="00A84141">
              <w:rPr>
                <w:szCs w:val="18"/>
              </w:rPr>
              <w:t xml:space="preserve"> Statistically significant based on RR</w:t>
            </w:r>
            <w:r>
              <w:rPr>
                <w:szCs w:val="18"/>
              </w:rPr>
              <w:t xml:space="preserve"> </w:t>
            </w:r>
            <w:r w:rsidRPr="00397B2B">
              <w:rPr>
                <w:szCs w:val="18"/>
              </w:rPr>
              <w:t>(in favour of bupropion)</w:t>
            </w:r>
            <w:r>
              <w:rPr>
                <w:szCs w:val="18"/>
              </w:rPr>
              <w:t>.</w:t>
            </w:r>
          </w:p>
          <w:p w14:paraId="17108EA1" w14:textId="77777777" w:rsidR="00C324F3" w:rsidRPr="00C30A65" w:rsidRDefault="00C324F3" w:rsidP="00C324F3">
            <w:pPr>
              <w:pStyle w:val="ListParagraph"/>
              <w:numPr>
                <w:ilvl w:val="0"/>
                <w:numId w:val="310"/>
              </w:numPr>
            </w:pPr>
            <w:r w:rsidRPr="00A84141">
              <w:rPr>
                <w:szCs w:val="18"/>
                <w:u w:val="single"/>
              </w:rPr>
              <w:t>Safety:</w:t>
            </w:r>
            <w:r w:rsidRPr="00A84141">
              <w:rPr>
                <w:szCs w:val="18"/>
              </w:rPr>
              <w:t xml:space="preserve"> Statistically significant based on RR</w:t>
            </w:r>
            <w:r>
              <w:rPr>
                <w:szCs w:val="18"/>
              </w:rPr>
              <w:t xml:space="preserve"> </w:t>
            </w:r>
            <w:r w:rsidRPr="00397B2B">
              <w:rPr>
                <w:szCs w:val="18"/>
              </w:rPr>
              <w:t>(any AEs, psychiatric AEs, discontinuation due to AEs; higher in bupropion)</w:t>
            </w:r>
            <w:r>
              <w:rPr>
                <w:szCs w:val="18"/>
              </w:rPr>
              <w:t xml:space="preserve">; </w:t>
            </w:r>
            <w:r w:rsidRPr="00D37D1E">
              <w:rPr>
                <w:szCs w:val="18"/>
              </w:rPr>
              <w:t>not statistically significant</w:t>
            </w:r>
            <w:r>
              <w:rPr>
                <w:szCs w:val="18"/>
              </w:rPr>
              <w:t xml:space="preserve"> based on RR </w:t>
            </w:r>
            <w:r w:rsidRPr="00D37D1E">
              <w:rPr>
                <w:szCs w:val="18"/>
              </w:rPr>
              <w:t>(</w:t>
            </w:r>
            <w:r>
              <w:rPr>
                <w:szCs w:val="18"/>
              </w:rPr>
              <w:t>S</w:t>
            </w:r>
            <w:r w:rsidRPr="00D37D1E">
              <w:rPr>
                <w:szCs w:val="18"/>
              </w:rPr>
              <w:t>AEs)</w:t>
            </w:r>
            <w:r>
              <w:rPr>
                <w:szCs w:val="18"/>
              </w:rPr>
              <w:t>.</w:t>
            </w:r>
          </w:p>
        </w:tc>
      </w:tr>
      <w:tr w:rsidR="00C324F3" w:rsidRPr="00DF3495" w14:paraId="71FCF2C4" w14:textId="77777777" w:rsidTr="00B1127A">
        <w:trPr>
          <w:trHeight w:val="669"/>
        </w:trPr>
        <w:tc>
          <w:tcPr>
            <w:tcW w:w="1016" w:type="pct"/>
            <w:shd w:val="clear" w:color="auto" w:fill="F2F2F2" w:themeFill="background1" w:themeFillShade="F2"/>
            <w:hideMark/>
          </w:tcPr>
          <w:p w14:paraId="3968CFFC" w14:textId="7C05DF04" w:rsidR="00C324F3" w:rsidRPr="00D37D1E" w:rsidRDefault="00C324F3" w:rsidP="00777459">
            <w:pPr>
              <w:rPr>
                <w:szCs w:val="18"/>
              </w:rPr>
            </w:pPr>
            <w:r>
              <w:rPr>
                <w:szCs w:val="18"/>
              </w:rPr>
              <w:t xml:space="preserve">Bupropion vs </w:t>
            </w:r>
            <w:r w:rsidRPr="00D37D1E">
              <w:rPr>
                <w:szCs w:val="18"/>
              </w:rPr>
              <w:t xml:space="preserve">NRT (either as patch, </w:t>
            </w:r>
            <w:r w:rsidR="008260A0" w:rsidRPr="00D37D1E">
              <w:rPr>
                <w:szCs w:val="18"/>
              </w:rPr>
              <w:t>lozenge,</w:t>
            </w:r>
            <w:r w:rsidRPr="00D37D1E">
              <w:rPr>
                <w:szCs w:val="18"/>
              </w:rPr>
              <w:t xml:space="preserve"> or choice of NRT)</w:t>
            </w:r>
          </w:p>
        </w:tc>
        <w:tc>
          <w:tcPr>
            <w:tcW w:w="1229" w:type="pct"/>
            <w:shd w:val="clear" w:color="auto" w:fill="F2F2F2" w:themeFill="background1" w:themeFillShade="F2"/>
            <w:hideMark/>
          </w:tcPr>
          <w:p w14:paraId="04FFC719" w14:textId="77777777" w:rsidR="00C324F3"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14:paraId="6385C7AC" w14:textId="77777777" w:rsidR="00C324F3" w:rsidRPr="00A17F4F"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755" w:type="pct"/>
            <w:shd w:val="clear" w:color="auto" w:fill="F2F2F2" w:themeFill="background1" w:themeFillShade="F2"/>
            <w:hideMark/>
          </w:tcPr>
          <w:p w14:paraId="1E49F72A" w14:textId="77777777" w:rsidR="00C324F3" w:rsidRPr="00A84141" w:rsidRDefault="00C324F3" w:rsidP="00C324F3">
            <w:pPr>
              <w:pStyle w:val="ListParagraph"/>
              <w:numPr>
                <w:ilvl w:val="0"/>
                <w:numId w:val="310"/>
              </w:numPr>
              <w:rPr>
                <w:szCs w:val="18"/>
              </w:rPr>
            </w:pPr>
            <w:r w:rsidRPr="00E320E0">
              <w:rPr>
                <w:szCs w:val="18"/>
                <w:u w:val="single"/>
              </w:rPr>
              <w:t>Efficacy:</w:t>
            </w:r>
            <w:r w:rsidRPr="00A84141">
              <w:rPr>
                <w:szCs w:val="18"/>
              </w:rPr>
              <w:t xml:space="preserve"> Not statistically significant </w:t>
            </w:r>
            <w:r>
              <w:rPr>
                <w:szCs w:val="18"/>
              </w:rPr>
              <w:t>based on</w:t>
            </w:r>
            <w:r w:rsidRPr="00A84141">
              <w:rPr>
                <w:szCs w:val="18"/>
              </w:rPr>
              <w:t xml:space="preserve"> RR</w:t>
            </w:r>
            <w:r>
              <w:rPr>
                <w:szCs w:val="18"/>
              </w:rPr>
              <w:t>.</w:t>
            </w:r>
          </w:p>
          <w:p w14:paraId="169BCC65" w14:textId="77777777" w:rsidR="00C324F3" w:rsidRPr="00DF3495" w:rsidRDefault="00C324F3" w:rsidP="00C324F3">
            <w:pPr>
              <w:pStyle w:val="ListParagraph"/>
              <w:numPr>
                <w:ilvl w:val="0"/>
                <w:numId w:val="310"/>
              </w:numPr>
            </w:pPr>
            <w:r w:rsidRPr="00E320E0">
              <w:rPr>
                <w:szCs w:val="18"/>
                <w:u w:val="single"/>
              </w:rPr>
              <w:t>Safety:</w:t>
            </w:r>
            <w:r>
              <w:rPr>
                <w:szCs w:val="18"/>
              </w:rPr>
              <w:t xml:space="preserve"> </w:t>
            </w:r>
            <w:r w:rsidRPr="00A84141">
              <w:rPr>
                <w:szCs w:val="18"/>
              </w:rPr>
              <w:t xml:space="preserve">Not statistically significant </w:t>
            </w:r>
            <w:r>
              <w:rPr>
                <w:szCs w:val="18"/>
              </w:rPr>
              <w:t>based on</w:t>
            </w:r>
            <w:r w:rsidRPr="00A84141">
              <w:rPr>
                <w:szCs w:val="18"/>
              </w:rPr>
              <w:t xml:space="preserve"> RR</w:t>
            </w:r>
            <w:r>
              <w:rPr>
                <w:szCs w:val="18"/>
              </w:rPr>
              <w:t xml:space="preserve"> </w:t>
            </w:r>
            <w:r w:rsidRPr="00A84141">
              <w:rPr>
                <w:szCs w:val="18"/>
              </w:rPr>
              <w:t>(any AEs, SAEs, discontinuation due to AEs)</w:t>
            </w:r>
            <w:r>
              <w:rPr>
                <w:szCs w:val="18"/>
              </w:rPr>
              <w:t>.</w:t>
            </w:r>
            <w:r w:rsidRPr="00A84141">
              <w:rPr>
                <w:szCs w:val="18"/>
              </w:rPr>
              <w:t> </w:t>
            </w:r>
          </w:p>
        </w:tc>
      </w:tr>
    </w:tbl>
    <w:p w14:paraId="0FFA2C43" w14:textId="77777777" w:rsidR="00C324F3" w:rsidRDefault="00C324F3" w:rsidP="00DE253E">
      <w:pPr>
        <w:pStyle w:val="TableFooter"/>
        <w:keepNext/>
        <w:jc w:val="both"/>
      </w:pPr>
      <w:r>
        <w:t>Abbreviations: AEs = adverse events; NRT = nicotine replacement therapy; RR = risk ratio, RD = risk difference; SAEs = serious adverse events.</w:t>
      </w:r>
    </w:p>
    <w:p w14:paraId="0B80BEEA" w14:textId="77777777" w:rsidR="00C324F3" w:rsidRDefault="00C324F3" w:rsidP="00DE253E">
      <w:pPr>
        <w:pStyle w:val="TableFooter"/>
        <w:keepNext/>
        <w:jc w:val="both"/>
      </w:pPr>
      <w:r w:rsidRPr="00BE36E8">
        <w:t xml:space="preserve">Notes: </w:t>
      </w:r>
    </w:p>
    <w:p w14:paraId="6528CFCD" w14:textId="77777777" w:rsidR="00C324F3" w:rsidRDefault="00C324F3" w:rsidP="00DE253E">
      <w:pPr>
        <w:pStyle w:val="TableFooter"/>
        <w:keepNext/>
        <w:jc w:val="both"/>
      </w:pPr>
      <w:r w:rsidRPr="00BE36E8">
        <w:t>1 Cochrane Review</w:t>
      </w:r>
      <w:r>
        <w:t>.</w:t>
      </w:r>
    </w:p>
    <w:p w14:paraId="69B8DF89" w14:textId="77777777" w:rsidR="00C324F3" w:rsidRPr="00374C80" w:rsidRDefault="00C324F3" w:rsidP="00DE253E">
      <w:pPr>
        <w:pStyle w:val="TableFooter"/>
        <w:keepNext/>
        <w:spacing w:after="120"/>
        <w:contextualSpacing w:val="0"/>
        <w:jc w:val="both"/>
      </w:pPr>
      <w:r>
        <w:t>2 Supplemental evidence (RCT).</w:t>
      </w:r>
    </w:p>
    <w:p w14:paraId="74647278" w14:textId="77777777" w:rsidR="00C324F3" w:rsidRPr="002E6C2F" w:rsidRDefault="00C324F3" w:rsidP="00DE253E">
      <w:pPr>
        <w:spacing w:after="120"/>
        <w:jc w:val="both"/>
      </w:pPr>
      <w:r w:rsidRPr="002E6C2F">
        <w:t xml:space="preserve">Treatment-experienced population </w:t>
      </w:r>
    </w:p>
    <w:p w14:paraId="4C884E6B" w14:textId="77777777" w:rsidR="00C324F3" w:rsidRDefault="00C324F3" w:rsidP="00DE253E">
      <w:pPr>
        <w:pStyle w:val="ListParagraph"/>
        <w:numPr>
          <w:ilvl w:val="0"/>
          <w:numId w:val="258"/>
        </w:numPr>
        <w:jc w:val="both"/>
      </w:pPr>
      <w:r w:rsidRPr="002E6C2F">
        <w:t xml:space="preserve">Bupropion </w:t>
      </w:r>
      <w:r>
        <w:t>has not previously been considered by the PBAC for treatment-experienced patients.</w:t>
      </w:r>
    </w:p>
    <w:p w14:paraId="24353D35" w14:textId="052DA84B" w:rsidR="00C324F3" w:rsidRDefault="00C324F3" w:rsidP="00DE253E">
      <w:pPr>
        <w:pStyle w:val="ListParagraph"/>
        <w:numPr>
          <w:ilvl w:val="0"/>
          <w:numId w:val="258"/>
        </w:numPr>
        <w:jc w:val="both"/>
      </w:pPr>
      <w:r w:rsidRPr="00851965">
        <w:t xml:space="preserve">No evidence was identified comparing bupropion with placebo as relapse prevention in abstainers who completed a </w:t>
      </w:r>
      <w:r w:rsidR="00A84213">
        <w:t>nine</w:t>
      </w:r>
      <w:r w:rsidRPr="00851965">
        <w:t>-week course of initial bupropion monotherapy treatment</w:t>
      </w:r>
      <w:r>
        <w:t xml:space="preserve"> (PBS-listed treatment duration).</w:t>
      </w:r>
      <w:r w:rsidRPr="002E6C2F">
        <w:t xml:space="preserve"> </w:t>
      </w:r>
      <w:r>
        <w:t>In other studies, irrespective of treatment duration, there were no statistically significant differences between b</w:t>
      </w:r>
      <w:r w:rsidRPr="002E6C2F">
        <w:t xml:space="preserve">upropion </w:t>
      </w:r>
      <w:r>
        <w:t>and</w:t>
      </w:r>
      <w:r w:rsidRPr="002E6C2F">
        <w:t xml:space="preserve"> placebo in terms of efficacy as a relapse prevention treatment in abstainers.</w:t>
      </w:r>
      <w:r w:rsidRPr="00A31766">
        <w:t xml:space="preserve"> The adverse events reported were consistent with those expected of </w:t>
      </w:r>
      <w:r>
        <w:t>bupropion</w:t>
      </w:r>
      <w:r w:rsidRPr="004D1CE1">
        <w:t>.</w:t>
      </w:r>
      <w:r w:rsidRPr="00851965">
        <w:t xml:space="preserve"> </w:t>
      </w:r>
    </w:p>
    <w:p w14:paraId="2979E808" w14:textId="5589751D" w:rsidR="00A20749" w:rsidRDefault="00C324F3" w:rsidP="00A20749">
      <w:pPr>
        <w:pStyle w:val="ListParagraph"/>
        <w:numPr>
          <w:ilvl w:val="0"/>
          <w:numId w:val="258"/>
        </w:numPr>
        <w:spacing w:after="240"/>
        <w:ind w:left="357" w:hanging="357"/>
        <w:contextualSpacing w:val="0"/>
        <w:jc w:val="both"/>
      </w:pPr>
      <w:r>
        <w:t>There were no statistically significant differences between b</w:t>
      </w:r>
      <w:r w:rsidRPr="002E6C2F">
        <w:t xml:space="preserve">upropion </w:t>
      </w:r>
      <w:r>
        <w:t>and</w:t>
      </w:r>
      <w:r w:rsidRPr="002E6C2F">
        <w:t xml:space="preserve"> placebo in terms of efficacy for use as retreatment in non-abstainers</w:t>
      </w:r>
      <w:r>
        <w:t xml:space="preserve"> when based on risk ratio, </w:t>
      </w:r>
      <w:r w:rsidRPr="002E6C2F">
        <w:t xml:space="preserve">noting that the results were significant </w:t>
      </w:r>
      <w:r>
        <w:t xml:space="preserve">when </w:t>
      </w:r>
      <w:r w:rsidRPr="002E6C2F">
        <w:t xml:space="preserve">based on risk difference. </w:t>
      </w:r>
      <w:r>
        <w:t>While</w:t>
      </w:r>
      <w:r w:rsidRPr="002E6C2F">
        <w:t xml:space="preserve"> a significantly higher proportion of patients in the bupropion arm experienced adverse events compared to patients in the placebo arm</w:t>
      </w:r>
      <w:r>
        <w:t>,</w:t>
      </w:r>
      <w:r w:rsidRPr="002E6C2F">
        <w:t xml:space="preserve"> there were no statistically significant differences in serious adverse events </w:t>
      </w:r>
      <w:r>
        <w:t>or</w:t>
      </w:r>
      <w:r w:rsidRPr="002E6C2F">
        <w:t xml:space="preserve"> discontinuation due to adverse events.</w:t>
      </w:r>
    </w:p>
    <w:p w14:paraId="35749BCA" w14:textId="7E5BF401" w:rsidR="00C324F3" w:rsidRDefault="00A20749" w:rsidP="00A20749">
      <w:pPr>
        <w:spacing w:line="276" w:lineRule="auto"/>
      </w:pPr>
      <w:r>
        <w:br w:type="page"/>
      </w:r>
    </w:p>
    <w:tbl>
      <w:tblPr>
        <w:tblStyle w:val="TableGrid6"/>
        <w:tblW w:w="5000" w:type="pct"/>
        <w:shd w:val="clear" w:color="auto" w:fill="F2F2F2" w:themeFill="background1" w:themeFillShade="F2"/>
        <w:tblLook w:val="04A0" w:firstRow="1" w:lastRow="0" w:firstColumn="1" w:lastColumn="0" w:noHBand="0" w:noVBand="1"/>
      </w:tblPr>
      <w:tblGrid>
        <w:gridCol w:w="1599"/>
        <w:gridCol w:w="2806"/>
        <w:gridCol w:w="4611"/>
      </w:tblGrid>
      <w:tr w:rsidR="00C324F3" w:rsidRPr="00956775" w14:paraId="31F2CBE2" w14:textId="77777777" w:rsidTr="00B1127A">
        <w:trPr>
          <w:trHeight w:val="311"/>
        </w:trPr>
        <w:tc>
          <w:tcPr>
            <w:tcW w:w="887" w:type="pct"/>
            <w:shd w:val="clear" w:color="auto" w:fill="F2F2F2" w:themeFill="background1" w:themeFillShade="F2"/>
            <w:vAlign w:val="center"/>
            <w:hideMark/>
          </w:tcPr>
          <w:p w14:paraId="44C74336" w14:textId="77777777" w:rsidR="00C324F3" w:rsidRPr="00D37D1E" w:rsidRDefault="00C324F3" w:rsidP="00777459">
            <w:pPr>
              <w:rPr>
                <w:szCs w:val="18"/>
              </w:rPr>
            </w:pPr>
            <w:r>
              <w:rPr>
                <w:b/>
                <w:bCs/>
                <w:szCs w:val="18"/>
              </w:rPr>
              <w:lastRenderedPageBreak/>
              <w:t>Comparison</w:t>
            </w:r>
          </w:p>
        </w:tc>
        <w:tc>
          <w:tcPr>
            <w:tcW w:w="1556" w:type="pct"/>
            <w:shd w:val="clear" w:color="auto" w:fill="F2F2F2" w:themeFill="background1" w:themeFillShade="F2"/>
            <w:vAlign w:val="center"/>
            <w:hideMark/>
          </w:tcPr>
          <w:p w14:paraId="2B6A5353" w14:textId="77777777" w:rsidR="00C324F3" w:rsidRPr="00D37D1E" w:rsidRDefault="00C324F3" w:rsidP="00777459">
            <w:pPr>
              <w:jc w:val="center"/>
              <w:rPr>
                <w:szCs w:val="18"/>
              </w:rPr>
            </w:pPr>
            <w:r>
              <w:rPr>
                <w:b/>
                <w:bCs/>
                <w:szCs w:val="18"/>
              </w:rPr>
              <w:t>Included studies</w:t>
            </w:r>
          </w:p>
        </w:tc>
        <w:tc>
          <w:tcPr>
            <w:tcW w:w="2557" w:type="pct"/>
            <w:shd w:val="clear" w:color="auto" w:fill="F2F2F2" w:themeFill="background1" w:themeFillShade="F2"/>
            <w:vAlign w:val="center"/>
            <w:hideMark/>
          </w:tcPr>
          <w:p w14:paraId="290B4F6D" w14:textId="77777777" w:rsidR="00C324F3" w:rsidRPr="00D37D1E" w:rsidRDefault="00C324F3" w:rsidP="00777459">
            <w:pPr>
              <w:jc w:val="center"/>
              <w:rPr>
                <w:b/>
                <w:bCs/>
                <w:szCs w:val="18"/>
              </w:rPr>
            </w:pPr>
            <w:r>
              <w:rPr>
                <w:b/>
                <w:bCs/>
                <w:szCs w:val="18"/>
              </w:rPr>
              <w:t>Summary of evidence</w:t>
            </w:r>
          </w:p>
        </w:tc>
      </w:tr>
      <w:tr w:rsidR="00C324F3" w:rsidRPr="00956775" w14:paraId="577A85B8" w14:textId="77777777" w:rsidTr="00B1127A">
        <w:trPr>
          <w:trHeight w:val="67"/>
        </w:trPr>
        <w:tc>
          <w:tcPr>
            <w:tcW w:w="5000" w:type="pct"/>
            <w:gridSpan w:val="3"/>
            <w:shd w:val="clear" w:color="auto" w:fill="F2F2F2" w:themeFill="background1" w:themeFillShade="F2"/>
            <w:hideMark/>
          </w:tcPr>
          <w:p w14:paraId="4A847B49" w14:textId="77777777" w:rsidR="00C324F3" w:rsidRPr="00D37D1E" w:rsidRDefault="00C324F3" w:rsidP="00777459">
            <w:pPr>
              <w:rPr>
                <w:b/>
                <w:bCs/>
                <w:szCs w:val="18"/>
              </w:rPr>
            </w:pPr>
            <w:r w:rsidRPr="00D37D1E">
              <w:rPr>
                <w:b/>
                <w:bCs/>
                <w:szCs w:val="18"/>
              </w:rPr>
              <w:t>Treatment-experienced population (relapse prevention treatment in abstainers)</w:t>
            </w:r>
          </w:p>
        </w:tc>
      </w:tr>
      <w:tr w:rsidR="00C324F3" w:rsidRPr="00956775" w14:paraId="6A8F7BB7" w14:textId="77777777" w:rsidTr="00B1127A">
        <w:trPr>
          <w:trHeight w:val="851"/>
        </w:trPr>
        <w:tc>
          <w:tcPr>
            <w:tcW w:w="887" w:type="pct"/>
            <w:shd w:val="clear" w:color="auto" w:fill="F2F2F2" w:themeFill="background1" w:themeFillShade="F2"/>
            <w:hideMark/>
          </w:tcPr>
          <w:p w14:paraId="1268DAC2" w14:textId="77777777" w:rsidR="00C324F3" w:rsidRPr="00D37D1E" w:rsidRDefault="00C324F3" w:rsidP="00777459">
            <w:pPr>
              <w:rPr>
                <w:szCs w:val="18"/>
              </w:rPr>
            </w:pPr>
            <w:r w:rsidRPr="00A84141">
              <w:rPr>
                <w:szCs w:val="18"/>
              </w:rPr>
              <w:t>Bupropion</w:t>
            </w:r>
            <w:r w:rsidRPr="00534027">
              <w:rPr>
                <w:rFonts w:eastAsia="Calibri"/>
                <w:szCs w:val="18"/>
              </w:rPr>
              <w:t xml:space="preserve"> vs </w:t>
            </w:r>
            <w:r>
              <w:rPr>
                <w:rFonts w:eastAsia="Calibri"/>
                <w:szCs w:val="18"/>
              </w:rPr>
              <w:t>p</w:t>
            </w:r>
            <w:r w:rsidRPr="00695872">
              <w:rPr>
                <w:rFonts w:eastAsia="Calibri"/>
                <w:szCs w:val="18"/>
              </w:rPr>
              <w:t>lacebo</w:t>
            </w:r>
          </w:p>
        </w:tc>
        <w:tc>
          <w:tcPr>
            <w:tcW w:w="1556" w:type="pct"/>
            <w:shd w:val="clear" w:color="auto" w:fill="F2F2F2" w:themeFill="background1" w:themeFillShade="F2"/>
            <w:hideMark/>
          </w:tcPr>
          <w:p w14:paraId="5B9D0211" w14:textId="77777777" w:rsidR="00C324F3" w:rsidRPr="00A84141" w:rsidRDefault="00C324F3" w:rsidP="00C324F3">
            <w:pPr>
              <w:pStyle w:val="ListParagraph"/>
              <w:numPr>
                <w:ilvl w:val="0"/>
                <w:numId w:val="310"/>
              </w:numPr>
              <w:rPr>
                <w:szCs w:val="18"/>
              </w:rPr>
            </w:pPr>
            <w:r w:rsidRPr="00A84141">
              <w:rPr>
                <w:szCs w:val="18"/>
              </w:rPr>
              <w:t>Livingstone-Banks (2019)</w:t>
            </w:r>
            <w:r w:rsidRPr="00A84141">
              <w:rPr>
                <w:szCs w:val="18"/>
                <w:vertAlign w:val="superscript"/>
              </w:rPr>
              <w:t>1</w:t>
            </w:r>
          </w:p>
        </w:tc>
        <w:tc>
          <w:tcPr>
            <w:tcW w:w="2557" w:type="pct"/>
            <w:shd w:val="clear" w:color="auto" w:fill="F2F2F2" w:themeFill="background1" w:themeFillShade="F2"/>
            <w:hideMark/>
          </w:tcPr>
          <w:p w14:paraId="31652BDB" w14:textId="77777777" w:rsidR="00C324F3" w:rsidRPr="00A84141" w:rsidRDefault="00C324F3" w:rsidP="00C324F3">
            <w:pPr>
              <w:pStyle w:val="ListParagraph"/>
              <w:numPr>
                <w:ilvl w:val="0"/>
                <w:numId w:val="310"/>
              </w:numPr>
              <w:rPr>
                <w:rFonts w:eastAsia="Calibri"/>
                <w:szCs w:val="18"/>
              </w:rPr>
            </w:pPr>
            <w:r w:rsidRPr="00A84141">
              <w:rPr>
                <w:rFonts w:eastAsia="Calibri"/>
                <w:szCs w:val="18"/>
                <w:u w:val="single"/>
              </w:rPr>
              <w:t>Effica</w:t>
            </w:r>
            <w:r>
              <w:rPr>
                <w:rFonts w:eastAsia="Calibri"/>
                <w:szCs w:val="18"/>
                <w:u w:val="single"/>
              </w:rPr>
              <w:t>c</w:t>
            </w:r>
            <w:r w:rsidRPr="00A84141">
              <w:rPr>
                <w:rFonts w:eastAsia="Calibri"/>
                <w:szCs w:val="18"/>
                <w:u w:val="single"/>
              </w:rPr>
              <w:t>y</w:t>
            </w:r>
            <w:r w:rsidRPr="00A84141">
              <w:rPr>
                <w:rFonts w:eastAsia="Calibri"/>
                <w:szCs w:val="18"/>
              </w:rPr>
              <w:t xml:space="preserve">: </w:t>
            </w:r>
            <w:r w:rsidRPr="00A84141">
              <w:rPr>
                <w:szCs w:val="18"/>
              </w:rPr>
              <w:t>Not statistically significant based on RR</w:t>
            </w:r>
            <w:r>
              <w:rPr>
                <w:szCs w:val="18"/>
              </w:rPr>
              <w:t>.</w:t>
            </w:r>
          </w:p>
          <w:p w14:paraId="115036B2" w14:textId="77777777" w:rsidR="00C324F3" w:rsidRPr="00A84141" w:rsidRDefault="00C324F3" w:rsidP="00C324F3">
            <w:pPr>
              <w:pStyle w:val="ListParagraph"/>
              <w:numPr>
                <w:ilvl w:val="0"/>
                <w:numId w:val="310"/>
              </w:numPr>
              <w:rPr>
                <w:szCs w:val="18"/>
              </w:rPr>
            </w:pPr>
            <w:r w:rsidRPr="00A84141">
              <w:rPr>
                <w:rFonts w:eastAsia="Calibri"/>
                <w:szCs w:val="18"/>
                <w:u w:val="single"/>
              </w:rPr>
              <w:t>Safety:</w:t>
            </w:r>
            <w:r w:rsidRPr="00A84141">
              <w:rPr>
                <w:rFonts w:eastAsia="Calibri"/>
                <w:szCs w:val="18"/>
              </w:rPr>
              <w:t xml:space="preserve"> AEs reported were consistent with those expected of bupropion</w:t>
            </w:r>
            <w:r>
              <w:rPr>
                <w:rFonts w:eastAsia="Calibri"/>
                <w:szCs w:val="18"/>
              </w:rPr>
              <w:t>.</w:t>
            </w:r>
          </w:p>
          <w:p w14:paraId="4D4EFEBD" w14:textId="77777777" w:rsidR="00C324F3" w:rsidRPr="00A84141" w:rsidRDefault="00C324F3" w:rsidP="00777459">
            <w:pPr>
              <w:rPr>
                <w:szCs w:val="18"/>
              </w:rPr>
            </w:pPr>
          </w:p>
        </w:tc>
      </w:tr>
      <w:tr w:rsidR="00C324F3" w:rsidRPr="00956775" w14:paraId="5152D3ED" w14:textId="77777777" w:rsidTr="00B1127A">
        <w:trPr>
          <w:trHeight w:val="67"/>
        </w:trPr>
        <w:tc>
          <w:tcPr>
            <w:tcW w:w="5000" w:type="pct"/>
            <w:gridSpan w:val="3"/>
            <w:shd w:val="clear" w:color="auto" w:fill="F2F2F2" w:themeFill="background1" w:themeFillShade="F2"/>
            <w:hideMark/>
          </w:tcPr>
          <w:p w14:paraId="1D89FA44" w14:textId="77777777" w:rsidR="00C324F3" w:rsidRPr="00D37D1E" w:rsidRDefault="00C324F3" w:rsidP="00777459">
            <w:pPr>
              <w:rPr>
                <w:b/>
                <w:bCs/>
                <w:szCs w:val="18"/>
              </w:rPr>
            </w:pPr>
            <w:r w:rsidRPr="00D37D1E">
              <w:rPr>
                <w:b/>
                <w:bCs/>
                <w:szCs w:val="18"/>
              </w:rPr>
              <w:t>Treatment-experienced population (retreatment in non-abstainers)</w:t>
            </w:r>
          </w:p>
        </w:tc>
      </w:tr>
      <w:tr w:rsidR="00C324F3" w:rsidRPr="00956775" w14:paraId="049E9035" w14:textId="77777777" w:rsidTr="00B1127A">
        <w:trPr>
          <w:trHeight w:val="851"/>
        </w:trPr>
        <w:tc>
          <w:tcPr>
            <w:tcW w:w="887" w:type="pct"/>
            <w:shd w:val="clear" w:color="auto" w:fill="F2F2F2" w:themeFill="background1" w:themeFillShade="F2"/>
            <w:hideMark/>
          </w:tcPr>
          <w:p w14:paraId="7199010A" w14:textId="77777777" w:rsidR="00C324F3" w:rsidRPr="00D37D1E" w:rsidRDefault="00C324F3" w:rsidP="00777459">
            <w:pPr>
              <w:rPr>
                <w:szCs w:val="18"/>
              </w:rPr>
            </w:pPr>
            <w:r w:rsidRPr="00A84141">
              <w:rPr>
                <w:szCs w:val="18"/>
              </w:rPr>
              <w:t>Bupropion</w:t>
            </w:r>
            <w:r w:rsidRPr="00534027">
              <w:rPr>
                <w:rFonts w:eastAsia="Calibri"/>
                <w:szCs w:val="18"/>
              </w:rPr>
              <w:t xml:space="preserve"> vs </w:t>
            </w:r>
            <w:r>
              <w:rPr>
                <w:rFonts w:eastAsia="Calibri"/>
                <w:szCs w:val="18"/>
              </w:rPr>
              <w:t>p</w:t>
            </w:r>
            <w:r w:rsidRPr="00534027">
              <w:rPr>
                <w:rFonts w:eastAsia="Calibri"/>
                <w:szCs w:val="18"/>
              </w:rPr>
              <w:t>lacebo</w:t>
            </w:r>
          </w:p>
        </w:tc>
        <w:tc>
          <w:tcPr>
            <w:tcW w:w="1556" w:type="pct"/>
            <w:shd w:val="clear" w:color="auto" w:fill="F2F2F2" w:themeFill="background1" w:themeFillShade="F2"/>
            <w:hideMark/>
          </w:tcPr>
          <w:p w14:paraId="15C9C396" w14:textId="77777777" w:rsidR="00C324F3" w:rsidRPr="00A84141" w:rsidRDefault="00C324F3" w:rsidP="00C324F3">
            <w:pPr>
              <w:pStyle w:val="ListParagraph"/>
              <w:numPr>
                <w:ilvl w:val="0"/>
                <w:numId w:val="312"/>
              </w:numPr>
              <w:rPr>
                <w:szCs w:val="18"/>
              </w:rPr>
            </w:pPr>
            <w:r w:rsidRPr="00713CB0">
              <w:rPr>
                <w:szCs w:val="18"/>
              </w:rPr>
              <w:t>Gonzales</w:t>
            </w:r>
            <w:r>
              <w:rPr>
                <w:szCs w:val="18"/>
              </w:rPr>
              <w:t xml:space="preserve"> </w:t>
            </w:r>
            <w:r w:rsidRPr="00BE2D5A">
              <w:rPr>
                <w:szCs w:val="18"/>
              </w:rPr>
              <w:t>(2001)</w:t>
            </w:r>
            <w:r>
              <w:rPr>
                <w:szCs w:val="18"/>
                <w:vertAlign w:val="superscript"/>
              </w:rPr>
              <w:t>2</w:t>
            </w:r>
          </w:p>
          <w:p w14:paraId="78611B25" w14:textId="77777777" w:rsidR="00C324F3" w:rsidRPr="00A84141" w:rsidRDefault="00C324F3" w:rsidP="00C324F3">
            <w:pPr>
              <w:pStyle w:val="ListParagraph"/>
              <w:numPr>
                <w:ilvl w:val="0"/>
                <w:numId w:val="312"/>
              </w:numPr>
              <w:rPr>
                <w:szCs w:val="18"/>
              </w:rPr>
            </w:pPr>
            <w:r w:rsidRPr="00695872">
              <w:rPr>
                <w:rFonts w:eastAsia="MS Mincho"/>
              </w:rPr>
              <w:t>Selby (2003)</w:t>
            </w:r>
            <w:r>
              <w:rPr>
                <w:rFonts w:eastAsia="MS Mincho"/>
                <w:vertAlign w:val="superscript"/>
              </w:rPr>
              <w:t>2</w:t>
            </w:r>
          </w:p>
        </w:tc>
        <w:tc>
          <w:tcPr>
            <w:tcW w:w="2557" w:type="pct"/>
            <w:shd w:val="clear" w:color="auto" w:fill="F2F2F2" w:themeFill="background1" w:themeFillShade="F2"/>
            <w:hideMark/>
          </w:tcPr>
          <w:p w14:paraId="405B497C" w14:textId="77777777" w:rsidR="00C324F3" w:rsidRPr="00A84141" w:rsidRDefault="00C324F3" w:rsidP="00C324F3">
            <w:pPr>
              <w:pStyle w:val="ListParagraph"/>
              <w:numPr>
                <w:ilvl w:val="0"/>
                <w:numId w:val="312"/>
              </w:numPr>
              <w:rPr>
                <w:szCs w:val="18"/>
              </w:rPr>
            </w:pPr>
            <w:r w:rsidRPr="00A84141">
              <w:rPr>
                <w:szCs w:val="18"/>
                <w:u w:val="single"/>
              </w:rPr>
              <w:t>Efficacy:</w:t>
            </w:r>
            <w:r w:rsidRPr="00A84141">
              <w:rPr>
                <w:szCs w:val="18"/>
              </w:rPr>
              <w:t xml:space="preserve"> Not statistically significant </w:t>
            </w:r>
            <w:r w:rsidRPr="00746010">
              <w:rPr>
                <w:szCs w:val="18"/>
              </w:rPr>
              <w:t>based on</w:t>
            </w:r>
            <w:r w:rsidRPr="00A84141">
              <w:rPr>
                <w:szCs w:val="18"/>
              </w:rPr>
              <w:t xml:space="preserve"> RR </w:t>
            </w:r>
            <w:r>
              <w:rPr>
                <w:szCs w:val="18"/>
              </w:rPr>
              <w:t>but</w:t>
            </w:r>
            <w:r w:rsidRPr="00A84141">
              <w:rPr>
                <w:szCs w:val="18"/>
              </w:rPr>
              <w:t xml:space="preserve"> significant </w:t>
            </w:r>
            <w:r w:rsidRPr="00746010">
              <w:rPr>
                <w:szCs w:val="18"/>
              </w:rPr>
              <w:t>based on</w:t>
            </w:r>
            <w:r w:rsidRPr="00A84141">
              <w:rPr>
                <w:szCs w:val="18"/>
              </w:rPr>
              <w:t xml:space="preserve"> RD</w:t>
            </w:r>
            <w:r>
              <w:rPr>
                <w:szCs w:val="18"/>
                <w:vertAlign w:val="superscript"/>
              </w:rPr>
              <w:t>3</w:t>
            </w:r>
            <w:r>
              <w:rPr>
                <w:szCs w:val="18"/>
              </w:rPr>
              <w:t>.</w:t>
            </w:r>
          </w:p>
          <w:p w14:paraId="091EFB62" w14:textId="77777777" w:rsidR="00C324F3" w:rsidRPr="00713CB0" w:rsidRDefault="00C324F3" w:rsidP="00C324F3">
            <w:pPr>
              <w:pStyle w:val="ListParagraph"/>
              <w:numPr>
                <w:ilvl w:val="0"/>
                <w:numId w:val="312"/>
              </w:numPr>
              <w:rPr>
                <w:rFonts w:eastAsia="MS Mincho"/>
              </w:rPr>
            </w:pPr>
            <w:r w:rsidRPr="00A84141">
              <w:rPr>
                <w:szCs w:val="18"/>
                <w:u w:val="single"/>
              </w:rPr>
              <w:t xml:space="preserve">Safety: </w:t>
            </w:r>
            <w:r w:rsidRPr="00A84141">
              <w:rPr>
                <w:szCs w:val="18"/>
              </w:rPr>
              <w:t xml:space="preserve">Statistically significant </w:t>
            </w:r>
            <w:r w:rsidRPr="00746010">
              <w:rPr>
                <w:szCs w:val="18"/>
              </w:rPr>
              <w:t>based on</w:t>
            </w:r>
            <w:r w:rsidRPr="00A84141">
              <w:rPr>
                <w:szCs w:val="18"/>
              </w:rPr>
              <w:t xml:space="preserve"> RR and RD</w:t>
            </w:r>
            <w:r>
              <w:rPr>
                <w:szCs w:val="18"/>
              </w:rPr>
              <w:t xml:space="preserve"> </w:t>
            </w:r>
            <w:r w:rsidRPr="00A84141">
              <w:rPr>
                <w:szCs w:val="18"/>
              </w:rPr>
              <w:t>(any AEs; higher in bupropion)</w:t>
            </w:r>
            <w:r>
              <w:rPr>
                <w:szCs w:val="18"/>
              </w:rPr>
              <w:t xml:space="preserve">; </w:t>
            </w:r>
            <w:r w:rsidRPr="00D37D1E">
              <w:rPr>
                <w:szCs w:val="18"/>
              </w:rPr>
              <w:t xml:space="preserve">Not statistically significant </w:t>
            </w:r>
            <w:r w:rsidRPr="00746010">
              <w:rPr>
                <w:szCs w:val="18"/>
              </w:rPr>
              <w:t>based on</w:t>
            </w:r>
            <w:r>
              <w:rPr>
                <w:szCs w:val="18"/>
              </w:rPr>
              <w:t xml:space="preserve"> RR and RD </w:t>
            </w:r>
            <w:r w:rsidRPr="00D37D1E">
              <w:rPr>
                <w:szCs w:val="18"/>
              </w:rPr>
              <w:t>(</w:t>
            </w:r>
            <w:r>
              <w:rPr>
                <w:szCs w:val="18"/>
              </w:rPr>
              <w:t>S</w:t>
            </w:r>
            <w:r w:rsidRPr="00D37D1E">
              <w:rPr>
                <w:szCs w:val="18"/>
              </w:rPr>
              <w:t>AEs, discontinuation due to AEs</w:t>
            </w:r>
            <w:r>
              <w:rPr>
                <w:szCs w:val="18"/>
              </w:rPr>
              <w:t>).</w:t>
            </w:r>
          </w:p>
        </w:tc>
      </w:tr>
    </w:tbl>
    <w:p w14:paraId="520EFE2B" w14:textId="77777777" w:rsidR="00C324F3" w:rsidRDefault="00C324F3" w:rsidP="00B1127A">
      <w:pPr>
        <w:pStyle w:val="TableFooter"/>
        <w:keepNext/>
        <w:jc w:val="both"/>
      </w:pPr>
      <w:r>
        <w:t>Abbreviations: AEs = adverse events; RR = risk ratio, RD = risk difference; SAEs = serious adverse events.</w:t>
      </w:r>
    </w:p>
    <w:p w14:paraId="2439AB50" w14:textId="77777777" w:rsidR="00C324F3" w:rsidRDefault="00C324F3" w:rsidP="00B1127A">
      <w:pPr>
        <w:pStyle w:val="TableFooter"/>
        <w:keepNext/>
        <w:jc w:val="both"/>
      </w:pPr>
      <w:r w:rsidRPr="00BE36E8">
        <w:t xml:space="preserve">Notes: </w:t>
      </w:r>
    </w:p>
    <w:p w14:paraId="536DE0EC" w14:textId="73C805D0" w:rsidR="00C324F3" w:rsidRPr="008557C2" w:rsidRDefault="00C324F3" w:rsidP="00B1127A">
      <w:pPr>
        <w:pStyle w:val="TableFooter"/>
        <w:keepNext/>
        <w:jc w:val="both"/>
      </w:pPr>
      <w:r w:rsidRPr="00BE36E8">
        <w:t>1 Cochrane Review</w:t>
      </w:r>
      <w:r>
        <w:t xml:space="preserve">. </w:t>
      </w:r>
      <w:r w:rsidRPr="005A47D9">
        <w:t>Of the studies identified by Livingstone-Banks et al. (2019), Croghan et al. (2007) was the only study that compared bupropion with placebo in patients who achieved abstinence after initial treatment with bupropion monotherapy; the other studies provided either NRT patches or bupropion plus NRT patches in the initial treatment phase. The key limitation of Croghan et al. (2007) was related to the duration of bupropion monotherapy administered in the initial treatment phase (3 months versus 9 weeks on the PBS) and the relapse prevention phase (</w:t>
      </w:r>
      <w:r w:rsidR="00A84213">
        <w:t>nine</w:t>
      </w:r>
      <w:r w:rsidRPr="005A47D9">
        <w:t xml:space="preserve"> months).</w:t>
      </w:r>
    </w:p>
    <w:p w14:paraId="395A94CD" w14:textId="77777777" w:rsidR="00C324F3" w:rsidRDefault="00C324F3" w:rsidP="00B1127A">
      <w:pPr>
        <w:pStyle w:val="TableFooter"/>
        <w:keepNext/>
        <w:jc w:val="both"/>
      </w:pPr>
      <w:r>
        <w:t>2 Included in Cochrane Review by Howes et al. (2020).</w:t>
      </w:r>
    </w:p>
    <w:p w14:paraId="630B58DC" w14:textId="77777777" w:rsidR="00C324F3" w:rsidRPr="008557C2" w:rsidRDefault="00C324F3" w:rsidP="00B1127A">
      <w:pPr>
        <w:pStyle w:val="TableFooter"/>
        <w:keepNext/>
        <w:spacing w:after="120"/>
        <w:contextualSpacing w:val="0"/>
        <w:jc w:val="both"/>
      </w:pPr>
      <w:r>
        <w:t>3 Not statistically significant based on risk ratio but significant based on risk difference (RR = 2.31, 95%CI: 0.90, 5.92; RD = 0.06, 95%CI: 0.02, 0.10).</w:t>
      </w:r>
    </w:p>
    <w:p w14:paraId="455CC856" w14:textId="77777777" w:rsidR="00C324F3" w:rsidRPr="005C60FE" w:rsidRDefault="00C324F3" w:rsidP="00B1127A">
      <w:pPr>
        <w:spacing w:after="120"/>
        <w:jc w:val="both"/>
        <w:rPr>
          <w:b/>
          <w:bCs/>
        </w:rPr>
      </w:pPr>
      <w:r w:rsidRPr="005C60FE">
        <w:rPr>
          <w:b/>
          <w:bCs/>
        </w:rPr>
        <w:t>Varenicline</w:t>
      </w:r>
    </w:p>
    <w:p w14:paraId="137E71F9" w14:textId="77777777" w:rsidR="00C324F3" w:rsidRPr="00AD3824" w:rsidRDefault="00C324F3" w:rsidP="00B1127A">
      <w:pPr>
        <w:spacing w:after="120"/>
        <w:jc w:val="both"/>
      </w:pPr>
      <w:r w:rsidRPr="00AD3824">
        <w:t xml:space="preserve">Treatment-naïve population </w:t>
      </w:r>
    </w:p>
    <w:p w14:paraId="74E7120E" w14:textId="0D39FAD7" w:rsidR="00C324F3" w:rsidRPr="00B32A72" w:rsidRDefault="00C324F3" w:rsidP="00B1127A">
      <w:pPr>
        <w:pStyle w:val="ListParagraph"/>
        <w:numPr>
          <w:ilvl w:val="0"/>
          <w:numId w:val="271"/>
        </w:numPr>
        <w:spacing w:after="0"/>
        <w:ind w:left="357" w:hanging="357"/>
        <w:contextualSpacing w:val="0"/>
        <w:jc w:val="both"/>
      </w:pPr>
      <w:r>
        <w:t>V</w:t>
      </w:r>
      <w:r w:rsidRPr="00AD3824">
        <w:t xml:space="preserve">arenicline was shown to </w:t>
      </w:r>
      <w:r>
        <w:t>be superior to placebo in terms of efficacy based on</w:t>
      </w:r>
      <w:r w:rsidRPr="00AD3824">
        <w:t xml:space="preserve"> long-term smoking cessation rates. In terms of safety, a significantly higher incidence rate of adverse events (nausea, insomnia, abnormal dreams, headache) and serious adverse </w:t>
      </w:r>
      <w:r w:rsidRPr="00EE7128">
        <w:t xml:space="preserve">events was observed </w:t>
      </w:r>
      <w:r>
        <w:t>for</w:t>
      </w:r>
      <w:r w:rsidRPr="00EE7128">
        <w:t xml:space="preserve"> varenicline, </w:t>
      </w:r>
      <w:r>
        <w:t>but</w:t>
      </w:r>
      <w:r w:rsidRPr="00EE7128">
        <w:t xml:space="preserve"> the results for headache and serious adverse events were no longer statistically significant in the updated re-analysis </w:t>
      </w:r>
      <w:r>
        <w:t>of</w:t>
      </w:r>
      <w:r w:rsidRPr="00EE7128">
        <w:t xml:space="preserve"> this review</w:t>
      </w:r>
      <w:r>
        <w:t xml:space="preserve"> (based on risk ratio)</w:t>
      </w:r>
      <w:r w:rsidRPr="00EE7128">
        <w:t xml:space="preserve">. There were no statistically significant differences between </w:t>
      </w:r>
      <w:r>
        <w:t>varenicline and placebo</w:t>
      </w:r>
      <w:r w:rsidRPr="00AD3824">
        <w:t xml:space="preserve"> </w:t>
      </w:r>
      <w:r w:rsidRPr="00B32A72">
        <w:t xml:space="preserve">for depression, suicidal ideation, neuropsychiatric serious adverse </w:t>
      </w:r>
      <w:r w:rsidR="008260A0" w:rsidRPr="00B32A72">
        <w:t>events,</w:t>
      </w:r>
      <w:r w:rsidRPr="00B32A72">
        <w:t xml:space="preserve"> and cardiac serious adverse events. This is consistent with the evidence previously considered by the PBAC, noting the updated safety data for headache and serious adverse events</w:t>
      </w:r>
      <w:r w:rsidR="008260A0" w:rsidRPr="00B32A72">
        <w:t xml:space="preserve">. </w:t>
      </w:r>
    </w:p>
    <w:p w14:paraId="5FAC908E" w14:textId="00270D92" w:rsidR="00A20749" w:rsidRDefault="00C324F3" w:rsidP="00B1127A">
      <w:pPr>
        <w:pStyle w:val="ListParagraph"/>
        <w:numPr>
          <w:ilvl w:val="0"/>
          <w:numId w:val="271"/>
        </w:numPr>
        <w:spacing w:after="240"/>
        <w:ind w:left="357" w:hanging="357"/>
        <w:contextualSpacing w:val="0"/>
        <w:jc w:val="both"/>
      </w:pPr>
      <w:r w:rsidRPr="00AD3824">
        <w:t>Varenicline was shown to be superior to bupropion in terms of efficacy</w:t>
      </w:r>
      <w:r w:rsidR="008260A0">
        <w:t xml:space="preserve">. </w:t>
      </w:r>
      <w:r>
        <w:t>No</w:t>
      </w:r>
      <w:r w:rsidRPr="00AD3824">
        <w:t xml:space="preserve"> statistically significant differences </w:t>
      </w:r>
      <w:r>
        <w:t xml:space="preserve">were found </w:t>
      </w:r>
      <w:r w:rsidRPr="00AD3824">
        <w:t xml:space="preserve">in adverse events, psychiatric adverse events, serious adverse </w:t>
      </w:r>
      <w:r w:rsidR="008260A0" w:rsidRPr="00AD3824">
        <w:t>events,</w:t>
      </w:r>
      <w:r w:rsidRPr="00AD3824">
        <w:t xml:space="preserve"> and discontinuation due to adverse events between </w:t>
      </w:r>
      <w:r>
        <w:t>varenicline and bupropion</w:t>
      </w:r>
      <w:r w:rsidRPr="00AD3824">
        <w:t>. This is consistent with the evidence previously considered by the PBAC.</w:t>
      </w:r>
    </w:p>
    <w:p w14:paraId="06DB7A53" w14:textId="1EAA9352" w:rsidR="00C324F3" w:rsidRDefault="00A20749" w:rsidP="00A20749">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5"/>
        <w:gridCol w:w="2339"/>
        <w:gridCol w:w="5062"/>
      </w:tblGrid>
      <w:tr w:rsidR="00C324F3" w:rsidRPr="00DA1A94" w14:paraId="3A726224" w14:textId="77777777" w:rsidTr="00B1127A">
        <w:trPr>
          <w:trHeight w:val="112"/>
        </w:trPr>
        <w:tc>
          <w:tcPr>
            <w:tcW w:w="896" w:type="pct"/>
            <w:shd w:val="clear" w:color="auto" w:fill="F2F2F2" w:themeFill="background1" w:themeFillShade="F2"/>
            <w:hideMark/>
          </w:tcPr>
          <w:p w14:paraId="7A327FF5" w14:textId="77777777" w:rsidR="00C324F3" w:rsidRPr="00DA1A94" w:rsidRDefault="00C324F3" w:rsidP="00777459">
            <w:pPr>
              <w:rPr>
                <w:szCs w:val="18"/>
              </w:rPr>
            </w:pPr>
            <w:r w:rsidRPr="00DA1A94">
              <w:rPr>
                <w:b/>
                <w:bCs/>
                <w:szCs w:val="18"/>
              </w:rPr>
              <w:lastRenderedPageBreak/>
              <w:t>Compar</w:t>
            </w:r>
            <w:r>
              <w:rPr>
                <w:b/>
                <w:bCs/>
                <w:szCs w:val="18"/>
              </w:rPr>
              <w:t>ison</w:t>
            </w:r>
          </w:p>
        </w:tc>
        <w:tc>
          <w:tcPr>
            <w:tcW w:w="1297" w:type="pct"/>
            <w:shd w:val="clear" w:color="auto" w:fill="F2F2F2" w:themeFill="background1" w:themeFillShade="F2"/>
            <w:hideMark/>
          </w:tcPr>
          <w:p w14:paraId="7E63DB2D" w14:textId="77777777" w:rsidR="00C324F3" w:rsidRPr="0010753D" w:rsidRDefault="00C324F3" w:rsidP="00777459">
            <w:pPr>
              <w:jc w:val="center"/>
              <w:rPr>
                <w:b/>
                <w:bCs/>
                <w:szCs w:val="18"/>
              </w:rPr>
            </w:pPr>
            <w:r w:rsidRPr="0010753D">
              <w:rPr>
                <w:b/>
                <w:bCs/>
                <w:szCs w:val="18"/>
              </w:rPr>
              <w:t>Included studies</w:t>
            </w:r>
          </w:p>
        </w:tc>
        <w:tc>
          <w:tcPr>
            <w:tcW w:w="2807" w:type="pct"/>
            <w:shd w:val="clear" w:color="auto" w:fill="F2F2F2" w:themeFill="background1" w:themeFillShade="F2"/>
            <w:hideMark/>
          </w:tcPr>
          <w:p w14:paraId="57DC533E" w14:textId="77777777" w:rsidR="00C324F3" w:rsidRPr="00DA1A94" w:rsidRDefault="00C324F3" w:rsidP="00777459">
            <w:pPr>
              <w:jc w:val="center"/>
              <w:rPr>
                <w:b/>
                <w:bCs/>
                <w:szCs w:val="18"/>
              </w:rPr>
            </w:pPr>
            <w:r w:rsidRPr="00DA1A94">
              <w:rPr>
                <w:b/>
                <w:bCs/>
                <w:szCs w:val="18"/>
              </w:rPr>
              <w:t>S</w:t>
            </w:r>
            <w:r>
              <w:rPr>
                <w:b/>
                <w:bCs/>
                <w:szCs w:val="18"/>
              </w:rPr>
              <w:t>ummary of evidence</w:t>
            </w:r>
          </w:p>
        </w:tc>
      </w:tr>
      <w:tr w:rsidR="00C324F3" w:rsidRPr="00DA1A94" w14:paraId="1A3620A8" w14:textId="77777777" w:rsidTr="00B1127A">
        <w:trPr>
          <w:trHeight w:val="67"/>
        </w:trPr>
        <w:tc>
          <w:tcPr>
            <w:tcW w:w="5000" w:type="pct"/>
            <w:gridSpan w:val="3"/>
            <w:shd w:val="clear" w:color="auto" w:fill="F2F2F2" w:themeFill="background1" w:themeFillShade="F2"/>
            <w:hideMark/>
          </w:tcPr>
          <w:p w14:paraId="512BD924" w14:textId="77777777" w:rsidR="00C324F3" w:rsidRPr="00DA1A94" w:rsidRDefault="00C324F3" w:rsidP="00777459">
            <w:pPr>
              <w:rPr>
                <w:b/>
                <w:bCs/>
                <w:szCs w:val="18"/>
              </w:rPr>
            </w:pPr>
            <w:r w:rsidRPr="00DA1A94">
              <w:rPr>
                <w:b/>
                <w:bCs/>
                <w:szCs w:val="18"/>
              </w:rPr>
              <w:t>Treatment-naïve population</w:t>
            </w:r>
          </w:p>
        </w:tc>
      </w:tr>
      <w:tr w:rsidR="00C324F3" w:rsidRPr="00DA1A94" w14:paraId="0A14DAA2" w14:textId="77777777" w:rsidTr="00B1127A">
        <w:trPr>
          <w:trHeight w:val="2267"/>
        </w:trPr>
        <w:tc>
          <w:tcPr>
            <w:tcW w:w="896" w:type="pct"/>
            <w:shd w:val="clear" w:color="auto" w:fill="F2F2F2" w:themeFill="background1" w:themeFillShade="F2"/>
            <w:hideMark/>
          </w:tcPr>
          <w:p w14:paraId="298F9A0F" w14:textId="77777777" w:rsidR="00C324F3" w:rsidRPr="0010753D" w:rsidRDefault="00C324F3" w:rsidP="00777459">
            <w:pPr>
              <w:rPr>
                <w:szCs w:val="18"/>
              </w:rPr>
            </w:pPr>
            <w:r w:rsidRPr="0010753D">
              <w:rPr>
                <w:szCs w:val="18"/>
              </w:rPr>
              <w:t xml:space="preserve">Varenicline vs </w:t>
            </w:r>
            <w:r>
              <w:rPr>
                <w:szCs w:val="18"/>
              </w:rPr>
              <w:t>p</w:t>
            </w:r>
            <w:r w:rsidRPr="0010753D">
              <w:rPr>
                <w:szCs w:val="18"/>
              </w:rPr>
              <w:t>lacebo</w:t>
            </w:r>
          </w:p>
        </w:tc>
        <w:tc>
          <w:tcPr>
            <w:tcW w:w="1297" w:type="pct"/>
            <w:shd w:val="clear" w:color="auto" w:fill="F2F2F2" w:themeFill="background1" w:themeFillShade="F2"/>
            <w:hideMark/>
          </w:tcPr>
          <w:p w14:paraId="051600CD" w14:textId="77777777" w:rsidR="00C324F3" w:rsidRPr="00E320E0" w:rsidRDefault="00C324F3" w:rsidP="00C324F3">
            <w:pPr>
              <w:pStyle w:val="ListParagraph"/>
              <w:numPr>
                <w:ilvl w:val="0"/>
                <w:numId w:val="311"/>
              </w:numPr>
              <w:rPr>
                <w:szCs w:val="18"/>
              </w:rPr>
            </w:pPr>
            <w:r w:rsidRPr="00166FDD">
              <w:rPr>
                <w:szCs w:val="18"/>
              </w:rPr>
              <w:t>Cahill</w:t>
            </w:r>
            <w:r>
              <w:rPr>
                <w:szCs w:val="18"/>
              </w:rPr>
              <w:t xml:space="preserve"> </w:t>
            </w:r>
            <w:r w:rsidRPr="00846CB6">
              <w:rPr>
                <w:szCs w:val="18"/>
              </w:rPr>
              <w:t>(2016)</w:t>
            </w:r>
            <w:r w:rsidRPr="00E320E0">
              <w:rPr>
                <w:szCs w:val="18"/>
                <w:vertAlign w:val="superscript"/>
              </w:rPr>
              <w:t>1</w:t>
            </w:r>
          </w:p>
          <w:p w14:paraId="382979A9" w14:textId="77777777" w:rsidR="00C324F3" w:rsidRPr="00166FDD" w:rsidRDefault="00C324F3" w:rsidP="00C324F3">
            <w:pPr>
              <w:pStyle w:val="ListParagraph"/>
              <w:numPr>
                <w:ilvl w:val="0"/>
                <w:numId w:val="311"/>
              </w:numPr>
              <w:rPr>
                <w:szCs w:val="18"/>
              </w:rPr>
            </w:pPr>
            <w:r w:rsidRPr="00166FDD">
              <w:rPr>
                <w:rFonts w:eastAsia="MS Mincho"/>
              </w:rPr>
              <w:t>Lerman (2015)</w:t>
            </w:r>
            <w:r w:rsidRPr="00166FDD">
              <w:rPr>
                <w:rFonts w:eastAsia="MS Mincho"/>
                <w:vertAlign w:val="superscript"/>
              </w:rPr>
              <w:t>2</w:t>
            </w:r>
          </w:p>
          <w:p w14:paraId="2A2D2349" w14:textId="77777777" w:rsidR="00C324F3" w:rsidRPr="00166FDD" w:rsidRDefault="00C324F3" w:rsidP="00C324F3">
            <w:pPr>
              <w:pStyle w:val="ListParagraph"/>
              <w:numPr>
                <w:ilvl w:val="0"/>
                <w:numId w:val="311"/>
              </w:numPr>
              <w:rPr>
                <w:szCs w:val="18"/>
              </w:rPr>
            </w:pPr>
            <w:r w:rsidRPr="00166FDD">
              <w:rPr>
                <w:rFonts w:eastAsia="MS Mincho"/>
              </w:rPr>
              <w:t>Littlewood (2017)</w:t>
            </w:r>
            <w:r w:rsidRPr="00746010">
              <w:rPr>
                <w:rFonts w:eastAsia="MS Mincho"/>
                <w:vertAlign w:val="superscript"/>
              </w:rPr>
              <w:t>2</w:t>
            </w:r>
          </w:p>
          <w:p w14:paraId="20AF67A9" w14:textId="77777777" w:rsidR="00C324F3" w:rsidRPr="00166FDD" w:rsidRDefault="00C324F3" w:rsidP="00C324F3">
            <w:pPr>
              <w:pStyle w:val="ListParagraph"/>
              <w:numPr>
                <w:ilvl w:val="0"/>
                <w:numId w:val="311"/>
              </w:numPr>
              <w:rPr>
                <w:szCs w:val="18"/>
              </w:rPr>
            </w:pPr>
            <w:r w:rsidRPr="00166FDD">
              <w:rPr>
                <w:rFonts w:eastAsia="MS Mincho"/>
              </w:rPr>
              <w:t>Benowitz (2018)</w:t>
            </w:r>
            <w:r w:rsidRPr="00746010">
              <w:rPr>
                <w:rFonts w:eastAsia="MS Mincho"/>
                <w:vertAlign w:val="superscript"/>
              </w:rPr>
              <w:t>2</w:t>
            </w:r>
          </w:p>
          <w:p w14:paraId="04288475" w14:textId="77777777" w:rsidR="00C324F3" w:rsidRPr="00166FDD" w:rsidRDefault="00C324F3" w:rsidP="00C324F3">
            <w:pPr>
              <w:pStyle w:val="ListParagraph"/>
              <w:numPr>
                <w:ilvl w:val="0"/>
                <w:numId w:val="311"/>
              </w:numPr>
              <w:rPr>
                <w:szCs w:val="18"/>
              </w:rPr>
            </w:pPr>
            <w:r w:rsidRPr="00166FDD">
              <w:rPr>
                <w:rFonts w:eastAsia="MS Mincho"/>
              </w:rPr>
              <w:t>Hurt (2018)</w:t>
            </w:r>
            <w:r w:rsidRPr="00746010">
              <w:rPr>
                <w:rFonts w:eastAsia="MS Mincho"/>
                <w:vertAlign w:val="superscript"/>
              </w:rPr>
              <w:t>2</w:t>
            </w:r>
          </w:p>
          <w:p w14:paraId="216E299D" w14:textId="77777777" w:rsidR="00C324F3" w:rsidRPr="00166FDD" w:rsidRDefault="00C324F3" w:rsidP="00C324F3">
            <w:pPr>
              <w:pStyle w:val="ListParagraph"/>
              <w:numPr>
                <w:ilvl w:val="0"/>
                <w:numId w:val="311"/>
              </w:numPr>
              <w:rPr>
                <w:szCs w:val="18"/>
              </w:rPr>
            </w:pPr>
            <w:r w:rsidRPr="00166FDD">
              <w:rPr>
                <w:rFonts w:eastAsia="MS Mincho"/>
              </w:rPr>
              <w:t>Mercie (2018)</w:t>
            </w:r>
            <w:r w:rsidRPr="00746010">
              <w:rPr>
                <w:rFonts w:eastAsia="MS Mincho"/>
                <w:vertAlign w:val="superscript"/>
              </w:rPr>
              <w:t>2</w:t>
            </w:r>
          </w:p>
          <w:p w14:paraId="1A3F2CDA" w14:textId="77777777" w:rsidR="00C324F3" w:rsidRPr="00166FDD" w:rsidRDefault="00C324F3" w:rsidP="00C324F3">
            <w:pPr>
              <w:pStyle w:val="ListParagraph"/>
              <w:numPr>
                <w:ilvl w:val="0"/>
                <w:numId w:val="311"/>
              </w:numPr>
              <w:rPr>
                <w:szCs w:val="18"/>
              </w:rPr>
            </w:pPr>
            <w:r w:rsidRPr="00166FDD">
              <w:rPr>
                <w:rFonts w:eastAsia="MS Mincho"/>
              </w:rPr>
              <w:t>Windle (2018)</w:t>
            </w:r>
            <w:r w:rsidRPr="00746010">
              <w:rPr>
                <w:rFonts w:eastAsia="MS Mincho"/>
                <w:vertAlign w:val="superscript"/>
              </w:rPr>
              <w:t>2</w:t>
            </w:r>
          </w:p>
          <w:p w14:paraId="04A85F3F" w14:textId="77777777" w:rsidR="00C324F3" w:rsidRPr="00166FDD" w:rsidRDefault="00C324F3" w:rsidP="00C324F3">
            <w:pPr>
              <w:pStyle w:val="ListParagraph"/>
              <w:numPr>
                <w:ilvl w:val="0"/>
                <w:numId w:val="311"/>
              </w:numPr>
              <w:rPr>
                <w:szCs w:val="18"/>
              </w:rPr>
            </w:pPr>
            <w:r w:rsidRPr="00166FDD">
              <w:rPr>
                <w:rFonts w:eastAsia="MS Mincho"/>
              </w:rPr>
              <w:t>Ashare (2019)</w:t>
            </w:r>
            <w:r w:rsidRPr="00746010">
              <w:rPr>
                <w:rFonts w:eastAsia="MS Mincho"/>
                <w:vertAlign w:val="superscript"/>
              </w:rPr>
              <w:t>2</w:t>
            </w:r>
          </w:p>
          <w:p w14:paraId="4A5AA244" w14:textId="77777777" w:rsidR="00C324F3" w:rsidRPr="00DA1A94" w:rsidRDefault="00C324F3" w:rsidP="00C324F3">
            <w:pPr>
              <w:pStyle w:val="ListParagraph"/>
              <w:numPr>
                <w:ilvl w:val="0"/>
                <w:numId w:val="311"/>
              </w:numPr>
              <w:rPr>
                <w:szCs w:val="18"/>
              </w:rPr>
            </w:pPr>
            <w:r w:rsidRPr="00166FDD">
              <w:rPr>
                <w:rFonts w:eastAsia="MS Mincho"/>
              </w:rPr>
              <w:t>Chen (2020)</w:t>
            </w:r>
            <w:r w:rsidRPr="00746010">
              <w:rPr>
                <w:rFonts w:eastAsia="MS Mincho"/>
                <w:vertAlign w:val="superscript"/>
              </w:rPr>
              <w:t>2</w:t>
            </w:r>
          </w:p>
        </w:tc>
        <w:tc>
          <w:tcPr>
            <w:tcW w:w="2807" w:type="pct"/>
            <w:shd w:val="clear" w:color="auto" w:fill="F2F2F2" w:themeFill="background1" w:themeFillShade="F2"/>
            <w:hideMark/>
          </w:tcPr>
          <w:p w14:paraId="120FF541" w14:textId="77777777" w:rsidR="00C324F3" w:rsidRPr="0010753D" w:rsidRDefault="00C324F3" w:rsidP="00C324F3">
            <w:pPr>
              <w:pStyle w:val="ListParagraph"/>
              <w:numPr>
                <w:ilvl w:val="0"/>
                <w:numId w:val="311"/>
              </w:numPr>
              <w:rPr>
                <w:szCs w:val="18"/>
              </w:rPr>
            </w:pPr>
            <w:r w:rsidRPr="0010753D">
              <w:rPr>
                <w:szCs w:val="18"/>
                <w:u w:val="single"/>
              </w:rPr>
              <w:t>Efficacy:</w:t>
            </w:r>
            <w:r w:rsidRPr="0010753D">
              <w:rPr>
                <w:szCs w:val="18"/>
              </w:rPr>
              <w:t xml:space="preserve"> Statistically significant </w:t>
            </w:r>
            <w:r>
              <w:rPr>
                <w:szCs w:val="18"/>
              </w:rPr>
              <w:t xml:space="preserve">based on RR and RD </w:t>
            </w:r>
            <w:r w:rsidRPr="0010753D">
              <w:rPr>
                <w:szCs w:val="18"/>
              </w:rPr>
              <w:t>(in favour of varenicline)</w:t>
            </w:r>
            <w:r>
              <w:rPr>
                <w:szCs w:val="18"/>
              </w:rPr>
              <w:t>.</w:t>
            </w:r>
          </w:p>
          <w:p w14:paraId="09407D55" w14:textId="77777777" w:rsidR="00C324F3" w:rsidRPr="00846CB6" w:rsidRDefault="00C324F3" w:rsidP="00777459">
            <w:pPr>
              <w:pStyle w:val="ListParagraph"/>
              <w:ind w:left="360"/>
              <w:rPr>
                <w:szCs w:val="18"/>
              </w:rPr>
            </w:pPr>
            <w:r w:rsidRPr="0010753D">
              <w:rPr>
                <w:szCs w:val="18"/>
                <w:u w:val="single"/>
              </w:rPr>
              <w:t>Safety:</w:t>
            </w:r>
            <w:r w:rsidRPr="0010753D">
              <w:rPr>
                <w:szCs w:val="18"/>
              </w:rPr>
              <w:t xml:space="preserve"> Statistically significant </w:t>
            </w:r>
            <w:r>
              <w:rPr>
                <w:szCs w:val="18"/>
              </w:rPr>
              <w:t>based on RR and RD</w:t>
            </w:r>
            <w:r w:rsidRPr="0010753D">
              <w:rPr>
                <w:szCs w:val="18"/>
              </w:rPr>
              <w:t xml:space="preserve"> (nausea, insomnia, abnormal dreams; higher in varenicline)</w:t>
            </w:r>
            <w:r>
              <w:rPr>
                <w:szCs w:val="18"/>
              </w:rPr>
              <w:t xml:space="preserve">; </w:t>
            </w:r>
            <w:r w:rsidRPr="00846CB6">
              <w:rPr>
                <w:szCs w:val="18"/>
              </w:rPr>
              <w:t xml:space="preserve">Not statistically significant based on RR </w:t>
            </w:r>
            <w:r w:rsidRPr="00E320E0">
              <w:rPr>
                <w:szCs w:val="18"/>
              </w:rPr>
              <w:t>(</w:t>
            </w:r>
            <w:r>
              <w:rPr>
                <w:szCs w:val="18"/>
              </w:rPr>
              <w:t>d</w:t>
            </w:r>
            <w:r w:rsidRPr="00846CB6">
              <w:rPr>
                <w:szCs w:val="18"/>
              </w:rPr>
              <w:t>epression, suicidal ideation, serious AEs incl</w:t>
            </w:r>
            <w:r>
              <w:rPr>
                <w:szCs w:val="18"/>
              </w:rPr>
              <w:t xml:space="preserve">uding </w:t>
            </w:r>
            <w:r w:rsidRPr="00846CB6">
              <w:rPr>
                <w:szCs w:val="18"/>
              </w:rPr>
              <w:t>neuropsychiatric and cardiac)</w:t>
            </w:r>
            <w:r>
              <w:rPr>
                <w:szCs w:val="18"/>
              </w:rPr>
              <w:t xml:space="preserve">, </w:t>
            </w:r>
            <w:r>
              <w:t>but significant based on RD (headache).</w:t>
            </w:r>
            <w:r w:rsidRPr="00E320E0">
              <w:rPr>
                <w:szCs w:val="18"/>
              </w:rPr>
              <w:t xml:space="preserve"> </w:t>
            </w:r>
          </w:p>
        </w:tc>
      </w:tr>
      <w:tr w:rsidR="00C324F3" w:rsidRPr="0010753D" w14:paraId="351DF4C2" w14:textId="77777777" w:rsidTr="00B1127A">
        <w:trPr>
          <w:trHeight w:val="851"/>
        </w:trPr>
        <w:tc>
          <w:tcPr>
            <w:tcW w:w="896" w:type="pct"/>
            <w:shd w:val="clear" w:color="auto" w:fill="F2F2F2" w:themeFill="background1" w:themeFillShade="F2"/>
            <w:hideMark/>
          </w:tcPr>
          <w:p w14:paraId="5D142788" w14:textId="77777777" w:rsidR="00C324F3" w:rsidRPr="0010753D" w:rsidRDefault="00C324F3" w:rsidP="00777459">
            <w:pPr>
              <w:rPr>
                <w:szCs w:val="18"/>
              </w:rPr>
            </w:pPr>
            <w:r w:rsidRPr="0010753D">
              <w:rPr>
                <w:szCs w:val="18"/>
              </w:rPr>
              <w:t xml:space="preserve">Varenicline vs </w:t>
            </w:r>
            <w:r>
              <w:rPr>
                <w:szCs w:val="18"/>
              </w:rPr>
              <w:t>b</w:t>
            </w:r>
            <w:r w:rsidRPr="0010753D">
              <w:rPr>
                <w:szCs w:val="18"/>
              </w:rPr>
              <w:t>upropion</w:t>
            </w:r>
          </w:p>
        </w:tc>
        <w:tc>
          <w:tcPr>
            <w:tcW w:w="1297" w:type="pct"/>
            <w:shd w:val="clear" w:color="auto" w:fill="F2F2F2" w:themeFill="background1" w:themeFillShade="F2"/>
            <w:hideMark/>
          </w:tcPr>
          <w:p w14:paraId="693D6C76" w14:textId="77777777" w:rsidR="00C324F3" w:rsidRPr="00C30A65" w:rsidRDefault="00C324F3" w:rsidP="00C324F3">
            <w:pPr>
              <w:pStyle w:val="ListParagraph"/>
              <w:numPr>
                <w:ilvl w:val="0"/>
                <w:numId w:val="310"/>
              </w:numPr>
              <w:rPr>
                <w:szCs w:val="18"/>
              </w:rPr>
            </w:pPr>
            <w:r w:rsidRPr="003F5807">
              <w:rPr>
                <w:szCs w:val="18"/>
              </w:rPr>
              <w:t>Howes (2020)</w:t>
            </w:r>
            <w:r w:rsidRPr="00C30A65">
              <w:rPr>
                <w:szCs w:val="18"/>
                <w:vertAlign w:val="superscript"/>
              </w:rPr>
              <w:t>1</w:t>
            </w:r>
          </w:p>
          <w:p w14:paraId="7476E5D2" w14:textId="77777777" w:rsidR="00C324F3" w:rsidRPr="00DA1A94" w:rsidRDefault="00C324F3" w:rsidP="00C324F3">
            <w:pPr>
              <w:pStyle w:val="ListParagraph"/>
              <w:numPr>
                <w:ilvl w:val="0"/>
                <w:numId w:val="310"/>
              </w:numPr>
              <w:rPr>
                <w:szCs w:val="18"/>
              </w:rPr>
            </w:pPr>
            <w:r w:rsidRPr="00A17F4F">
              <w:rPr>
                <w:rFonts w:eastAsia="MS Mincho"/>
              </w:rPr>
              <w:t>Benowitz (2018)</w:t>
            </w:r>
            <w:r w:rsidRPr="00A17F4F">
              <w:rPr>
                <w:rFonts w:eastAsia="MS Mincho"/>
                <w:vertAlign w:val="superscript"/>
              </w:rPr>
              <w:t>2</w:t>
            </w:r>
          </w:p>
        </w:tc>
        <w:tc>
          <w:tcPr>
            <w:tcW w:w="2807" w:type="pct"/>
            <w:shd w:val="clear" w:color="auto" w:fill="F2F2F2" w:themeFill="background1" w:themeFillShade="F2"/>
            <w:hideMark/>
          </w:tcPr>
          <w:p w14:paraId="105BAC44" w14:textId="77777777" w:rsidR="00C324F3" w:rsidRPr="0010753D" w:rsidRDefault="00C324F3" w:rsidP="00C324F3">
            <w:pPr>
              <w:pStyle w:val="ListParagraph"/>
              <w:numPr>
                <w:ilvl w:val="0"/>
                <w:numId w:val="313"/>
              </w:numPr>
              <w:rPr>
                <w:szCs w:val="18"/>
              </w:rPr>
            </w:pPr>
            <w:r w:rsidRPr="0010753D">
              <w:rPr>
                <w:szCs w:val="18"/>
                <w:u w:val="single"/>
              </w:rPr>
              <w:t>Efficacy:</w:t>
            </w:r>
            <w:r w:rsidRPr="0010753D">
              <w:rPr>
                <w:szCs w:val="18"/>
              </w:rPr>
              <w:t xml:space="preserve"> Statistically significant </w:t>
            </w:r>
            <w:r>
              <w:rPr>
                <w:szCs w:val="18"/>
              </w:rPr>
              <w:t>based on RR and RD</w:t>
            </w:r>
            <w:r w:rsidRPr="00DA1A94">
              <w:rPr>
                <w:szCs w:val="18"/>
              </w:rPr>
              <w:t xml:space="preserve"> </w:t>
            </w:r>
            <w:r w:rsidRPr="0010753D">
              <w:rPr>
                <w:szCs w:val="18"/>
              </w:rPr>
              <w:t>(in favour of varenicline)</w:t>
            </w:r>
            <w:r>
              <w:rPr>
                <w:szCs w:val="18"/>
              </w:rPr>
              <w:t>.</w:t>
            </w:r>
          </w:p>
          <w:p w14:paraId="27EC73A9" w14:textId="77777777" w:rsidR="00C324F3" w:rsidRPr="0010753D" w:rsidRDefault="00C324F3" w:rsidP="00C324F3">
            <w:pPr>
              <w:pStyle w:val="ListParagraph"/>
              <w:numPr>
                <w:ilvl w:val="0"/>
                <w:numId w:val="313"/>
              </w:numPr>
              <w:rPr>
                <w:szCs w:val="18"/>
              </w:rPr>
            </w:pPr>
            <w:r w:rsidRPr="0010753D">
              <w:rPr>
                <w:szCs w:val="18"/>
                <w:u w:val="single"/>
              </w:rPr>
              <w:t xml:space="preserve">Safety: </w:t>
            </w:r>
            <w:r w:rsidRPr="0010753D">
              <w:rPr>
                <w:szCs w:val="18"/>
              </w:rPr>
              <w:t xml:space="preserve">Not statistically significant </w:t>
            </w:r>
            <w:r>
              <w:rPr>
                <w:szCs w:val="18"/>
              </w:rPr>
              <w:t>based on RR and RD</w:t>
            </w:r>
            <w:r w:rsidRPr="00DA1A94">
              <w:rPr>
                <w:szCs w:val="18"/>
              </w:rPr>
              <w:t xml:space="preserve"> </w:t>
            </w:r>
            <w:r w:rsidRPr="0010753D">
              <w:rPr>
                <w:szCs w:val="18"/>
              </w:rPr>
              <w:t>(any AEs, psychiatric AEs, SAEs, discontinuation due to AEs)</w:t>
            </w:r>
            <w:r>
              <w:rPr>
                <w:szCs w:val="18"/>
              </w:rPr>
              <w:t>.</w:t>
            </w:r>
            <w:r w:rsidRPr="0010753D">
              <w:rPr>
                <w:szCs w:val="18"/>
              </w:rPr>
              <w:t> </w:t>
            </w:r>
          </w:p>
        </w:tc>
      </w:tr>
    </w:tbl>
    <w:p w14:paraId="59439290" w14:textId="77777777" w:rsidR="00C324F3" w:rsidRDefault="00C324F3" w:rsidP="00B1127A">
      <w:pPr>
        <w:pStyle w:val="TableFooter"/>
        <w:keepNext/>
        <w:jc w:val="both"/>
      </w:pPr>
      <w:r>
        <w:t>Abbreviations: AEs = adverse events; RR = risk ratio, RD = risk difference; SAEs = serious adverse events.</w:t>
      </w:r>
    </w:p>
    <w:p w14:paraId="105A8139" w14:textId="77777777" w:rsidR="00C324F3" w:rsidRDefault="00C324F3" w:rsidP="00B1127A">
      <w:pPr>
        <w:pStyle w:val="TableFooter"/>
        <w:keepNext/>
        <w:jc w:val="both"/>
      </w:pPr>
      <w:r w:rsidRPr="00BE36E8">
        <w:t xml:space="preserve">Notes: </w:t>
      </w:r>
    </w:p>
    <w:p w14:paraId="7B1C1230" w14:textId="77777777" w:rsidR="00C324F3" w:rsidRDefault="00C324F3" w:rsidP="00B1127A">
      <w:pPr>
        <w:pStyle w:val="TableFooter"/>
        <w:keepNext/>
        <w:jc w:val="both"/>
      </w:pPr>
      <w:r w:rsidRPr="00BE36E8">
        <w:t>1 Cochrane Review</w:t>
      </w:r>
      <w:r>
        <w:t>.</w:t>
      </w:r>
    </w:p>
    <w:p w14:paraId="7EF2BB43" w14:textId="77777777" w:rsidR="00C324F3" w:rsidRPr="005410D6" w:rsidRDefault="00C324F3" w:rsidP="00B1127A">
      <w:pPr>
        <w:pStyle w:val="TableFooter"/>
        <w:keepNext/>
        <w:spacing w:after="120"/>
        <w:contextualSpacing w:val="0"/>
        <w:jc w:val="both"/>
      </w:pPr>
      <w:r>
        <w:t>2 Supplemental evidence (RCT).</w:t>
      </w:r>
    </w:p>
    <w:p w14:paraId="4106F50C" w14:textId="77777777" w:rsidR="00C324F3" w:rsidRPr="00356EA8" w:rsidRDefault="00C324F3" w:rsidP="00B1127A">
      <w:pPr>
        <w:spacing w:after="120"/>
        <w:jc w:val="both"/>
      </w:pPr>
      <w:r w:rsidRPr="00356EA8">
        <w:t xml:space="preserve">Treatment-experienced population </w:t>
      </w:r>
    </w:p>
    <w:p w14:paraId="42F3A301" w14:textId="779C3680" w:rsidR="00C324F3" w:rsidRDefault="00C324F3" w:rsidP="00B1127A">
      <w:pPr>
        <w:pStyle w:val="ListParagraph"/>
        <w:numPr>
          <w:ilvl w:val="0"/>
          <w:numId w:val="272"/>
        </w:numPr>
        <w:spacing w:after="0"/>
        <w:ind w:left="357" w:hanging="357"/>
        <w:contextualSpacing w:val="0"/>
        <w:jc w:val="both"/>
      </w:pPr>
      <w:r>
        <w:t>V</w:t>
      </w:r>
      <w:r w:rsidRPr="00356EA8">
        <w:t xml:space="preserve">arenicline was shown to provide a statistically significant improvement in </w:t>
      </w:r>
      <w:r>
        <w:t>efficacy</w:t>
      </w:r>
      <w:r w:rsidRPr="00356EA8">
        <w:t xml:space="preserve"> compared with placebo as a relapse prevention treatment in abstainers. This is </w:t>
      </w:r>
      <w:r>
        <w:t>largely based on</w:t>
      </w:r>
      <w:r w:rsidR="00B1127A">
        <w:t>,</w:t>
      </w:r>
      <w:r>
        <w:t xml:space="preserve"> and thus is </w:t>
      </w:r>
      <w:r w:rsidRPr="00356EA8">
        <w:t>consistent with</w:t>
      </w:r>
      <w:r w:rsidR="00B1127A">
        <w:t>,</w:t>
      </w:r>
      <w:r w:rsidRPr="00356EA8">
        <w:t xml:space="preserve"> the evidence previously considered by the PBAC</w:t>
      </w:r>
      <w:r>
        <w:t xml:space="preserve">. </w:t>
      </w:r>
      <w:r w:rsidRPr="004D1CE1">
        <w:t xml:space="preserve">The </w:t>
      </w:r>
      <w:r>
        <w:t>adverse events reported were consistent with those expected of varenicline.</w:t>
      </w:r>
    </w:p>
    <w:p w14:paraId="17C12872" w14:textId="2B313255" w:rsidR="00A20749" w:rsidRDefault="00C324F3" w:rsidP="00B1127A">
      <w:pPr>
        <w:pStyle w:val="ListParagraph"/>
        <w:numPr>
          <w:ilvl w:val="0"/>
          <w:numId w:val="272"/>
        </w:numPr>
        <w:spacing w:after="240"/>
        <w:ind w:left="357" w:hanging="357"/>
        <w:contextualSpacing w:val="0"/>
        <w:jc w:val="both"/>
      </w:pPr>
      <w:r w:rsidRPr="00356EA8">
        <w:t xml:space="preserve">Varenicline was shown </w:t>
      </w:r>
      <w:r>
        <w:t>to</w:t>
      </w:r>
      <w:r w:rsidRPr="00356EA8">
        <w:t xml:space="preserve"> be superior to placebo in terms of efficacy as retreatment in non-abstainers.</w:t>
      </w:r>
      <w:r>
        <w:t xml:space="preserve"> </w:t>
      </w:r>
      <w:r w:rsidRPr="00356EA8">
        <w:t xml:space="preserve">A significantly higher proportion of patients in the varenicline arm experienced nausea and abnormal dreams compared to patients in the placebo arm, while there were no statistically significant differences between the two treatment arms for insomnia, headache, depression, serious adverse </w:t>
      </w:r>
      <w:r w:rsidR="008260A0" w:rsidRPr="00356EA8">
        <w:t>events,</w:t>
      </w:r>
      <w:r w:rsidRPr="00356EA8">
        <w:t xml:space="preserve"> and cardiac serious adverse events</w:t>
      </w:r>
      <w:r>
        <w:t>.</w:t>
      </w:r>
      <w:r w:rsidRPr="00356EA8">
        <w:t xml:space="preserve"> This is consistent with the evidence previously considered by the PBAC. It was noted th</w:t>
      </w:r>
      <w:r w:rsidR="00B1127A">
        <w:t>at</w:t>
      </w:r>
      <w:r w:rsidRPr="00356EA8">
        <w:t xml:space="preserve"> one </w:t>
      </w:r>
      <w:r>
        <w:t>study</w:t>
      </w:r>
      <w:r w:rsidRPr="00356EA8">
        <w:t xml:space="preserve"> </w:t>
      </w:r>
      <w:r>
        <w:t>identified</w:t>
      </w:r>
      <w:r w:rsidRPr="00356EA8">
        <w:t xml:space="preserve"> required patients to have had previously taken varenicline for two or more weeks, with the last dose taken ≥3 months before screening.</w:t>
      </w:r>
    </w:p>
    <w:p w14:paraId="5A7A9BDD" w14:textId="2DBC565D" w:rsidR="00C324F3" w:rsidRDefault="00A20749" w:rsidP="00A20749">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699"/>
        <w:gridCol w:w="4701"/>
      </w:tblGrid>
      <w:tr w:rsidR="00C324F3" w:rsidRPr="00DA1A94" w14:paraId="0902908A" w14:textId="77777777" w:rsidTr="00BF10A4">
        <w:trPr>
          <w:trHeight w:val="112"/>
        </w:trPr>
        <w:tc>
          <w:tcPr>
            <w:tcW w:w="896" w:type="pct"/>
            <w:shd w:val="clear" w:color="auto" w:fill="F2F2F2" w:themeFill="background1" w:themeFillShade="F2"/>
            <w:hideMark/>
          </w:tcPr>
          <w:p w14:paraId="6839510A" w14:textId="77777777" w:rsidR="00C324F3" w:rsidRPr="00DA1A94" w:rsidRDefault="00C324F3" w:rsidP="00777459">
            <w:pPr>
              <w:rPr>
                <w:szCs w:val="18"/>
              </w:rPr>
            </w:pPr>
            <w:r w:rsidRPr="00DA1A94">
              <w:rPr>
                <w:b/>
                <w:bCs/>
                <w:szCs w:val="18"/>
              </w:rPr>
              <w:lastRenderedPageBreak/>
              <w:t>Compar</w:t>
            </w:r>
            <w:r>
              <w:rPr>
                <w:b/>
                <w:bCs/>
                <w:szCs w:val="18"/>
              </w:rPr>
              <w:t>ison</w:t>
            </w:r>
          </w:p>
        </w:tc>
        <w:tc>
          <w:tcPr>
            <w:tcW w:w="1497" w:type="pct"/>
            <w:shd w:val="clear" w:color="auto" w:fill="F2F2F2" w:themeFill="background1" w:themeFillShade="F2"/>
            <w:hideMark/>
          </w:tcPr>
          <w:p w14:paraId="79E6CC3D" w14:textId="77777777" w:rsidR="00C324F3" w:rsidRPr="0010753D" w:rsidRDefault="00C324F3" w:rsidP="00777459">
            <w:pPr>
              <w:jc w:val="center"/>
              <w:rPr>
                <w:b/>
                <w:bCs/>
                <w:szCs w:val="18"/>
              </w:rPr>
            </w:pPr>
            <w:r w:rsidRPr="0010753D">
              <w:rPr>
                <w:b/>
                <w:bCs/>
                <w:szCs w:val="18"/>
              </w:rPr>
              <w:t>Included studies</w:t>
            </w:r>
          </w:p>
        </w:tc>
        <w:tc>
          <w:tcPr>
            <w:tcW w:w="2607" w:type="pct"/>
            <w:shd w:val="clear" w:color="auto" w:fill="F2F2F2" w:themeFill="background1" w:themeFillShade="F2"/>
            <w:hideMark/>
          </w:tcPr>
          <w:p w14:paraId="263637AC" w14:textId="77777777" w:rsidR="00C324F3" w:rsidRPr="00DA1A94" w:rsidRDefault="00C324F3" w:rsidP="00777459">
            <w:pPr>
              <w:jc w:val="center"/>
              <w:rPr>
                <w:b/>
                <w:bCs/>
                <w:szCs w:val="18"/>
              </w:rPr>
            </w:pPr>
            <w:r w:rsidRPr="00DA1A94">
              <w:rPr>
                <w:b/>
                <w:bCs/>
                <w:szCs w:val="18"/>
              </w:rPr>
              <w:t>S</w:t>
            </w:r>
            <w:r>
              <w:rPr>
                <w:b/>
                <w:bCs/>
                <w:szCs w:val="18"/>
              </w:rPr>
              <w:t>ummary of evidence</w:t>
            </w:r>
          </w:p>
        </w:tc>
      </w:tr>
      <w:tr w:rsidR="00C324F3" w:rsidRPr="00DA1A94" w14:paraId="4FDE37C9" w14:textId="77777777" w:rsidTr="00BF10A4">
        <w:trPr>
          <w:trHeight w:val="67"/>
        </w:trPr>
        <w:tc>
          <w:tcPr>
            <w:tcW w:w="5000" w:type="pct"/>
            <w:gridSpan w:val="3"/>
            <w:shd w:val="clear" w:color="auto" w:fill="F2F2F2" w:themeFill="background1" w:themeFillShade="F2"/>
            <w:hideMark/>
          </w:tcPr>
          <w:p w14:paraId="426FA373" w14:textId="77777777" w:rsidR="00C324F3" w:rsidRPr="00DA1A94" w:rsidRDefault="00C324F3" w:rsidP="00777459">
            <w:pPr>
              <w:rPr>
                <w:b/>
                <w:bCs/>
                <w:szCs w:val="18"/>
              </w:rPr>
            </w:pPr>
            <w:r w:rsidRPr="00DA1A94">
              <w:rPr>
                <w:b/>
                <w:bCs/>
                <w:szCs w:val="18"/>
              </w:rPr>
              <w:t>Treatment-experienced population (relapse prevention treatment in abstainers)</w:t>
            </w:r>
          </w:p>
        </w:tc>
      </w:tr>
      <w:tr w:rsidR="00C324F3" w:rsidRPr="00DA1A94" w14:paraId="245638BD" w14:textId="77777777" w:rsidTr="00BF10A4">
        <w:trPr>
          <w:trHeight w:val="1464"/>
        </w:trPr>
        <w:tc>
          <w:tcPr>
            <w:tcW w:w="896" w:type="pct"/>
            <w:shd w:val="clear" w:color="auto" w:fill="F2F2F2" w:themeFill="background1" w:themeFillShade="F2"/>
            <w:hideMark/>
          </w:tcPr>
          <w:p w14:paraId="1B0EFF07" w14:textId="77777777" w:rsidR="00C324F3" w:rsidRPr="0010753D" w:rsidRDefault="00C324F3" w:rsidP="00777459">
            <w:pPr>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14:paraId="295A5D53" w14:textId="77777777" w:rsidR="00C324F3" w:rsidRPr="00B05D82" w:rsidRDefault="00C324F3" w:rsidP="00C324F3">
            <w:pPr>
              <w:pStyle w:val="ListParagraph"/>
              <w:numPr>
                <w:ilvl w:val="0"/>
                <w:numId w:val="316"/>
              </w:numPr>
              <w:rPr>
                <w:szCs w:val="18"/>
              </w:rPr>
            </w:pPr>
            <w:r w:rsidRPr="00B05D82">
              <w:rPr>
                <w:szCs w:val="18"/>
              </w:rPr>
              <w:t>Livingstone-Banks (2019)</w:t>
            </w:r>
            <w:r w:rsidRPr="00B05D82">
              <w:rPr>
                <w:szCs w:val="18"/>
                <w:vertAlign w:val="superscript"/>
              </w:rPr>
              <w:t>1</w:t>
            </w:r>
          </w:p>
          <w:p w14:paraId="0ABB1252" w14:textId="77777777" w:rsidR="00C324F3" w:rsidRPr="00B05D82" w:rsidRDefault="00C324F3" w:rsidP="00C324F3">
            <w:pPr>
              <w:pStyle w:val="ListParagraph"/>
              <w:numPr>
                <w:ilvl w:val="0"/>
                <w:numId w:val="316"/>
              </w:numPr>
              <w:rPr>
                <w:szCs w:val="18"/>
              </w:rPr>
            </w:pPr>
            <w:r w:rsidRPr="00B05D82">
              <w:rPr>
                <w:rFonts w:eastAsia="MS Mincho"/>
              </w:rPr>
              <w:t>Schnoll (2019)</w:t>
            </w:r>
            <w:r w:rsidRPr="00B05D82">
              <w:rPr>
                <w:rFonts w:eastAsia="MS Mincho"/>
                <w:vertAlign w:val="superscript"/>
              </w:rPr>
              <w:t>2</w:t>
            </w:r>
          </w:p>
        </w:tc>
        <w:tc>
          <w:tcPr>
            <w:tcW w:w="2607" w:type="pct"/>
            <w:shd w:val="clear" w:color="auto" w:fill="F2F2F2" w:themeFill="background1" w:themeFillShade="F2"/>
            <w:hideMark/>
          </w:tcPr>
          <w:p w14:paraId="45BA8D1C" w14:textId="77777777" w:rsidR="00C324F3" w:rsidRPr="0010753D" w:rsidRDefault="00C324F3" w:rsidP="00C324F3">
            <w:pPr>
              <w:pStyle w:val="ListParagraph"/>
              <w:numPr>
                <w:ilvl w:val="0"/>
                <w:numId w:val="314"/>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14:paraId="20C4434A" w14:textId="77777777" w:rsidR="00C324F3" w:rsidRPr="00DA1A94" w:rsidRDefault="00C324F3" w:rsidP="00777459">
            <w:pPr>
              <w:ind w:left="360"/>
              <w:rPr>
                <w:rFonts w:eastAsia="Calibri"/>
                <w:szCs w:val="18"/>
              </w:rPr>
            </w:pPr>
            <w:r w:rsidRPr="0010753D">
              <w:rPr>
                <w:szCs w:val="18"/>
                <w:u w:val="single"/>
              </w:rPr>
              <w:t>Safety:</w:t>
            </w:r>
            <w:r w:rsidRPr="004D4E66">
              <w:rPr>
                <w:szCs w:val="18"/>
              </w:rPr>
              <w:t xml:space="preserve"> </w:t>
            </w:r>
            <w:r w:rsidRPr="0010753D">
              <w:rPr>
                <w:rFonts w:eastAsia="Calibri"/>
                <w:szCs w:val="18"/>
              </w:rPr>
              <w:t>AEs reported were consistent with those expected of varenicline</w:t>
            </w:r>
            <w:r>
              <w:rPr>
                <w:rFonts w:eastAsia="Calibri"/>
                <w:szCs w:val="18"/>
              </w:rPr>
              <w:t>.</w:t>
            </w:r>
          </w:p>
        </w:tc>
      </w:tr>
      <w:tr w:rsidR="00C324F3" w:rsidRPr="00DA1A94" w14:paraId="098AB800" w14:textId="77777777" w:rsidTr="00BF10A4">
        <w:trPr>
          <w:trHeight w:val="67"/>
        </w:trPr>
        <w:tc>
          <w:tcPr>
            <w:tcW w:w="5000" w:type="pct"/>
            <w:gridSpan w:val="3"/>
            <w:shd w:val="clear" w:color="auto" w:fill="F2F2F2" w:themeFill="background1" w:themeFillShade="F2"/>
            <w:hideMark/>
          </w:tcPr>
          <w:p w14:paraId="1ACB6FBF" w14:textId="77777777" w:rsidR="00C324F3" w:rsidRPr="00DA1A94" w:rsidRDefault="00C324F3" w:rsidP="00777459">
            <w:pPr>
              <w:rPr>
                <w:b/>
                <w:bCs/>
                <w:szCs w:val="18"/>
              </w:rPr>
            </w:pPr>
            <w:r w:rsidRPr="00DA1A94">
              <w:rPr>
                <w:b/>
                <w:bCs/>
                <w:szCs w:val="18"/>
              </w:rPr>
              <w:t>Treatment-experienced population (retreatment in non-abstainers)</w:t>
            </w:r>
          </w:p>
        </w:tc>
      </w:tr>
      <w:tr w:rsidR="00C324F3" w:rsidRPr="00DA1A94" w14:paraId="4E6CCDB4" w14:textId="77777777" w:rsidTr="00BF10A4">
        <w:trPr>
          <w:trHeight w:val="851"/>
        </w:trPr>
        <w:tc>
          <w:tcPr>
            <w:tcW w:w="896" w:type="pct"/>
            <w:shd w:val="clear" w:color="auto" w:fill="F2F2F2" w:themeFill="background1" w:themeFillShade="F2"/>
            <w:hideMark/>
          </w:tcPr>
          <w:p w14:paraId="29C181A9" w14:textId="77777777" w:rsidR="00C324F3" w:rsidRPr="0010753D" w:rsidRDefault="00C324F3" w:rsidP="00777459">
            <w:pPr>
              <w:rPr>
                <w:szCs w:val="18"/>
              </w:rPr>
            </w:pPr>
            <w:r w:rsidRPr="0010753D">
              <w:rPr>
                <w:szCs w:val="18"/>
              </w:rPr>
              <w:t xml:space="preserve">Varenicline vs </w:t>
            </w:r>
            <w:r>
              <w:rPr>
                <w:szCs w:val="18"/>
              </w:rPr>
              <w:t>p</w:t>
            </w:r>
            <w:r w:rsidRPr="0010753D">
              <w:rPr>
                <w:rFonts w:eastAsia="Calibri"/>
                <w:szCs w:val="18"/>
              </w:rPr>
              <w:t>lacebo</w:t>
            </w:r>
          </w:p>
        </w:tc>
        <w:tc>
          <w:tcPr>
            <w:tcW w:w="1497" w:type="pct"/>
            <w:shd w:val="clear" w:color="auto" w:fill="F2F2F2" w:themeFill="background1" w:themeFillShade="F2"/>
            <w:hideMark/>
          </w:tcPr>
          <w:p w14:paraId="7F9809EE" w14:textId="77777777" w:rsidR="00C324F3" w:rsidRPr="00B05D82" w:rsidRDefault="00C324F3" w:rsidP="00C324F3">
            <w:pPr>
              <w:pStyle w:val="ListParagraph"/>
              <w:numPr>
                <w:ilvl w:val="0"/>
                <w:numId w:val="314"/>
              </w:numPr>
              <w:rPr>
                <w:szCs w:val="18"/>
              </w:rPr>
            </w:pPr>
            <w:r>
              <w:rPr>
                <w:rFonts w:eastAsia="MS Mincho"/>
              </w:rPr>
              <w:t>Cahill (2016)</w:t>
            </w:r>
            <w:r w:rsidRPr="00B05D82">
              <w:rPr>
                <w:rFonts w:eastAsia="MS Mincho"/>
                <w:vertAlign w:val="superscript"/>
              </w:rPr>
              <w:t>1</w:t>
            </w:r>
          </w:p>
        </w:tc>
        <w:tc>
          <w:tcPr>
            <w:tcW w:w="2607" w:type="pct"/>
            <w:shd w:val="clear" w:color="auto" w:fill="F2F2F2" w:themeFill="background1" w:themeFillShade="F2"/>
            <w:hideMark/>
          </w:tcPr>
          <w:p w14:paraId="06C1F1FD" w14:textId="77777777" w:rsidR="00C324F3" w:rsidRPr="0010753D" w:rsidRDefault="00C324F3" w:rsidP="00C324F3">
            <w:pPr>
              <w:pStyle w:val="ListParagraph"/>
              <w:numPr>
                <w:ilvl w:val="0"/>
                <w:numId w:val="315"/>
              </w:numPr>
              <w:rPr>
                <w:szCs w:val="18"/>
              </w:rPr>
            </w:pPr>
            <w:r w:rsidRPr="0010753D">
              <w:rPr>
                <w:szCs w:val="18"/>
                <w:u w:val="single"/>
              </w:rPr>
              <w:t>Efficacy:</w:t>
            </w:r>
            <w:r w:rsidRPr="0010753D">
              <w:rPr>
                <w:szCs w:val="18"/>
              </w:rPr>
              <w:t xml:space="preserve"> Statistically significant</w:t>
            </w:r>
            <w:r>
              <w:rPr>
                <w:szCs w:val="18"/>
              </w:rPr>
              <w:t xml:space="preserve"> based on RR </w:t>
            </w:r>
            <w:r w:rsidRPr="0010753D">
              <w:rPr>
                <w:szCs w:val="18"/>
              </w:rPr>
              <w:t>(in favour of varenicline)</w:t>
            </w:r>
            <w:r>
              <w:rPr>
                <w:szCs w:val="18"/>
              </w:rPr>
              <w:t>.</w:t>
            </w:r>
          </w:p>
          <w:p w14:paraId="596D3A92" w14:textId="77777777" w:rsidR="00C324F3" w:rsidRPr="00642321" w:rsidRDefault="00C324F3" w:rsidP="00C324F3">
            <w:pPr>
              <w:pStyle w:val="ListParagraph"/>
              <w:numPr>
                <w:ilvl w:val="0"/>
                <w:numId w:val="315"/>
              </w:numPr>
              <w:rPr>
                <w:szCs w:val="18"/>
              </w:rPr>
            </w:pPr>
            <w:r w:rsidRPr="0010753D">
              <w:rPr>
                <w:szCs w:val="18"/>
                <w:u w:val="single"/>
              </w:rPr>
              <w:t>Safety:</w:t>
            </w:r>
            <w:r w:rsidRPr="004D4E66">
              <w:rPr>
                <w:szCs w:val="18"/>
              </w:rPr>
              <w:t xml:space="preserve"> </w:t>
            </w:r>
            <w:r w:rsidRPr="0010753D">
              <w:rPr>
                <w:szCs w:val="18"/>
              </w:rPr>
              <w:t>Statistically significant</w:t>
            </w:r>
            <w:r>
              <w:rPr>
                <w:szCs w:val="18"/>
              </w:rPr>
              <w:t xml:space="preserve"> based on RR</w:t>
            </w:r>
            <w:r w:rsidRPr="0010753D">
              <w:rPr>
                <w:szCs w:val="18"/>
              </w:rPr>
              <w:t xml:space="preserve"> (nausea, abnormal dreams; higher in varenicline)</w:t>
            </w:r>
            <w:r>
              <w:rPr>
                <w:szCs w:val="18"/>
              </w:rPr>
              <w:t xml:space="preserve">; </w:t>
            </w:r>
            <w:r w:rsidRPr="00846CB6">
              <w:rPr>
                <w:szCs w:val="18"/>
              </w:rPr>
              <w:t>Not statistically significant based on RR</w:t>
            </w:r>
            <w:r w:rsidRPr="00E320E0">
              <w:rPr>
                <w:szCs w:val="18"/>
              </w:rPr>
              <w:t xml:space="preserve"> (insomnia, headache, depression, </w:t>
            </w:r>
            <w:r>
              <w:rPr>
                <w:szCs w:val="18"/>
              </w:rPr>
              <w:t>S</w:t>
            </w:r>
            <w:r w:rsidRPr="00E320E0">
              <w:rPr>
                <w:szCs w:val="18"/>
              </w:rPr>
              <w:t>AEs incl</w:t>
            </w:r>
            <w:r>
              <w:rPr>
                <w:szCs w:val="18"/>
              </w:rPr>
              <w:t>uding</w:t>
            </w:r>
            <w:r w:rsidRPr="00E320E0">
              <w:rPr>
                <w:szCs w:val="18"/>
              </w:rPr>
              <w:t xml:space="preserve"> cardiac)</w:t>
            </w:r>
            <w:r>
              <w:rPr>
                <w:szCs w:val="18"/>
              </w:rPr>
              <w:t>.</w:t>
            </w:r>
          </w:p>
        </w:tc>
      </w:tr>
    </w:tbl>
    <w:p w14:paraId="3F1C43FD" w14:textId="77777777" w:rsidR="00C324F3" w:rsidRDefault="00C324F3" w:rsidP="00BF10A4">
      <w:pPr>
        <w:pStyle w:val="TableFooter"/>
        <w:keepNext/>
        <w:jc w:val="both"/>
      </w:pPr>
      <w:r>
        <w:t>Abbreviations: AEs = adverse events; RR = risk ratio, RD = risk difference; SAEs = serious adverse events.</w:t>
      </w:r>
    </w:p>
    <w:p w14:paraId="3A691355" w14:textId="77777777" w:rsidR="00C324F3" w:rsidRDefault="00C324F3" w:rsidP="00BF10A4">
      <w:pPr>
        <w:pStyle w:val="TableFooter"/>
        <w:keepNext/>
        <w:jc w:val="both"/>
      </w:pPr>
      <w:r w:rsidRPr="00BE36E8">
        <w:t xml:space="preserve">Notes: </w:t>
      </w:r>
    </w:p>
    <w:p w14:paraId="6C177639" w14:textId="77777777" w:rsidR="00C324F3" w:rsidRDefault="00C324F3" w:rsidP="00BF10A4">
      <w:pPr>
        <w:pStyle w:val="TableFooter"/>
        <w:keepNext/>
        <w:jc w:val="both"/>
      </w:pPr>
      <w:r w:rsidRPr="00BE36E8">
        <w:t>1 Cochrane Review</w:t>
      </w:r>
      <w:r>
        <w:t>.</w:t>
      </w:r>
    </w:p>
    <w:p w14:paraId="5B1F5A72" w14:textId="77777777" w:rsidR="00C324F3" w:rsidRPr="00FF3B9B" w:rsidRDefault="00C324F3" w:rsidP="00A20749">
      <w:pPr>
        <w:pStyle w:val="TableFooter"/>
        <w:keepNext/>
        <w:spacing w:after="120"/>
        <w:contextualSpacing w:val="0"/>
        <w:jc w:val="both"/>
      </w:pPr>
      <w:r>
        <w:t>2 Supplemental evidence (RCT).</w:t>
      </w:r>
    </w:p>
    <w:p w14:paraId="5CDDBD6D" w14:textId="1EFE4830" w:rsidR="00C324F3" w:rsidRPr="005C60FE" w:rsidRDefault="00C324F3" w:rsidP="00A20749">
      <w:pPr>
        <w:spacing w:after="120"/>
        <w:jc w:val="both"/>
        <w:rPr>
          <w:b/>
          <w:bCs/>
        </w:rPr>
      </w:pPr>
      <w:r w:rsidRPr="003B2E85">
        <w:rPr>
          <w:b/>
          <w:bCs/>
        </w:rPr>
        <w:t>N</w:t>
      </w:r>
      <w:r>
        <w:rPr>
          <w:b/>
          <w:bCs/>
        </w:rPr>
        <w:t xml:space="preserve">icotine </w:t>
      </w:r>
      <w:r w:rsidR="00A20749">
        <w:rPr>
          <w:b/>
          <w:bCs/>
        </w:rPr>
        <w:t>r</w:t>
      </w:r>
      <w:r>
        <w:rPr>
          <w:b/>
          <w:bCs/>
        </w:rPr>
        <w:t xml:space="preserve">eplacement </w:t>
      </w:r>
      <w:r w:rsidR="00A20749">
        <w:rPr>
          <w:b/>
          <w:bCs/>
        </w:rPr>
        <w:t>t</w:t>
      </w:r>
      <w:r>
        <w:rPr>
          <w:b/>
          <w:bCs/>
        </w:rPr>
        <w:t>herapy</w:t>
      </w:r>
    </w:p>
    <w:p w14:paraId="41B8DBA9" w14:textId="77777777" w:rsidR="00C324F3" w:rsidRPr="001B6663" w:rsidRDefault="00C324F3" w:rsidP="00A20749">
      <w:pPr>
        <w:spacing w:after="120"/>
        <w:jc w:val="both"/>
      </w:pPr>
      <w:r w:rsidRPr="001B6663">
        <w:t>Treatment-naïve population</w:t>
      </w:r>
    </w:p>
    <w:p w14:paraId="6BCFACCC" w14:textId="656426C9" w:rsidR="00C324F3" w:rsidRPr="007D7171" w:rsidRDefault="00C324F3" w:rsidP="00A20749">
      <w:pPr>
        <w:pStyle w:val="ListParagraph"/>
        <w:numPr>
          <w:ilvl w:val="0"/>
          <w:numId w:val="273"/>
        </w:numPr>
        <w:jc w:val="both"/>
      </w:pPr>
      <w:r w:rsidRPr="001B6663">
        <w:t>NRT patch</w:t>
      </w:r>
      <w:r>
        <w:t>es</w:t>
      </w:r>
      <w:r w:rsidRPr="001B6663">
        <w:t xml:space="preserve"> w</w:t>
      </w:r>
      <w:r>
        <w:t>ere</w:t>
      </w:r>
      <w:r w:rsidRPr="001B6663">
        <w:t xml:space="preserve"> shown </w:t>
      </w:r>
      <w:r w:rsidRPr="00AD3824">
        <w:t xml:space="preserve">to </w:t>
      </w:r>
      <w:r>
        <w:t>be superior to placebo in terms of efficacy</w:t>
      </w:r>
      <w:r w:rsidRPr="001B6663">
        <w:t xml:space="preserve">, noting that similar results were observed for </w:t>
      </w:r>
      <w:r w:rsidRPr="003B2E85">
        <w:t>NRT gum or lozenges</w:t>
      </w:r>
      <w:r>
        <w:t xml:space="preserve"> (as monotherapy)</w:t>
      </w:r>
      <w:r w:rsidRPr="003B2E85">
        <w:t xml:space="preserve"> versus placebo. </w:t>
      </w:r>
      <w:r w:rsidRPr="007D7171">
        <w:t xml:space="preserve">There </w:t>
      </w:r>
      <w:r w:rsidRPr="001B6663">
        <w:t>w</w:t>
      </w:r>
      <w:r>
        <w:t>as</w:t>
      </w:r>
      <w:r w:rsidRPr="007D7171">
        <w:t xml:space="preserve"> </w:t>
      </w:r>
      <w:r>
        <w:t xml:space="preserve">a </w:t>
      </w:r>
      <w:r w:rsidRPr="007D7171">
        <w:t xml:space="preserve">significantly higher incidence of palpitations, </w:t>
      </w:r>
      <w:r w:rsidR="008260A0">
        <w:t>t</w:t>
      </w:r>
      <w:r w:rsidR="008260A0" w:rsidRPr="007D7171">
        <w:t>achycardia,</w:t>
      </w:r>
      <w:r w:rsidRPr="007D7171">
        <w:t xml:space="preserve"> or chest pains with NRT (various formulations) compared with placebo. This is consistent with the evidence previously considered by the PBAC. </w:t>
      </w:r>
    </w:p>
    <w:p w14:paraId="1924F61D" w14:textId="77777777" w:rsidR="00C324F3" w:rsidRDefault="00C324F3" w:rsidP="00A20749">
      <w:pPr>
        <w:pStyle w:val="ListParagraph"/>
        <w:numPr>
          <w:ilvl w:val="0"/>
          <w:numId w:val="273"/>
        </w:numPr>
        <w:jc w:val="both"/>
      </w:pPr>
      <w:r w:rsidRPr="00440406">
        <w:t>NRT patch</w:t>
      </w:r>
      <w:r>
        <w:t>es</w:t>
      </w:r>
      <w:r w:rsidRPr="00440406">
        <w:t xml:space="preserve"> w</w:t>
      </w:r>
      <w:r>
        <w:t>ere</w:t>
      </w:r>
      <w:r w:rsidRPr="00440406">
        <w:t xml:space="preserve"> shown to be inferior to varenicline in terms of efficacy </w:t>
      </w:r>
      <w:r>
        <w:t xml:space="preserve">based on </w:t>
      </w:r>
      <w:r w:rsidRPr="00440406">
        <w:t>a statistically significant difference in point prevalence abstinence at 24 weeks, in favour of varenicline</w:t>
      </w:r>
      <w:r>
        <w:t>.</w:t>
      </w:r>
      <w:r w:rsidRPr="00440406">
        <w:t xml:space="preserve"> </w:t>
      </w:r>
      <w:r>
        <w:t xml:space="preserve">In terms of safety, </w:t>
      </w:r>
      <w:r w:rsidRPr="00440406">
        <w:t>there were no statistically significant differences in side effects (including neuropsychiatric and cardiovascular safety profile) between the two treatment arms. This is consistent with the evidence previously considered by the PBAC.</w:t>
      </w:r>
    </w:p>
    <w:p w14:paraId="16377AF8" w14:textId="238016E0" w:rsidR="00A20749" w:rsidRDefault="00C324F3" w:rsidP="007B466C">
      <w:pPr>
        <w:pStyle w:val="ListParagraph"/>
        <w:numPr>
          <w:ilvl w:val="0"/>
          <w:numId w:val="273"/>
        </w:numPr>
        <w:jc w:val="both"/>
      </w:pPr>
      <w:r>
        <w:t>N</w:t>
      </w:r>
      <w:r w:rsidRPr="001268B2">
        <w:t xml:space="preserve">o statistically significant differences in smoking cessation rates, serious adverse </w:t>
      </w:r>
      <w:r w:rsidR="008260A0" w:rsidRPr="001268B2">
        <w:t>events,</w:t>
      </w:r>
      <w:r w:rsidRPr="001268B2">
        <w:t xml:space="preserve"> and withdrawals due to treatment </w:t>
      </w:r>
      <w:r>
        <w:t xml:space="preserve">were shown between </w:t>
      </w:r>
      <w:r w:rsidRPr="001268B2">
        <w:t>NRT lozenge</w:t>
      </w:r>
      <w:r>
        <w:t>s</w:t>
      </w:r>
      <w:r w:rsidRPr="001268B2">
        <w:t xml:space="preserve"> or </w:t>
      </w:r>
      <w:r>
        <w:t>gum and</w:t>
      </w:r>
      <w:r w:rsidRPr="001268B2">
        <w:t xml:space="preserve"> NRT </w:t>
      </w:r>
      <w:r>
        <w:t>patches</w:t>
      </w:r>
      <w:r w:rsidRPr="001268B2">
        <w:t xml:space="preserve">. This is </w:t>
      </w:r>
      <w:r>
        <w:t xml:space="preserve">largely based on, and thus is </w:t>
      </w:r>
      <w:r w:rsidRPr="001268B2">
        <w:t>consistent with</w:t>
      </w:r>
      <w:r w:rsidR="00A20749">
        <w:t>,</w:t>
      </w:r>
      <w:r w:rsidRPr="001268B2">
        <w:t xml:space="preserve"> the evidence previously considered by the PBAC</w:t>
      </w:r>
      <w:r>
        <w:t xml:space="preserve"> to support non-inferiority</w:t>
      </w:r>
      <w:r w:rsidRPr="001268B2">
        <w:t>.</w:t>
      </w:r>
    </w:p>
    <w:p w14:paraId="2DA53410" w14:textId="40B6CCF2" w:rsidR="00A20749" w:rsidRDefault="00A20749" w:rsidP="00A20749">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2784"/>
        <w:gridCol w:w="2341"/>
        <w:gridCol w:w="3891"/>
      </w:tblGrid>
      <w:tr w:rsidR="00C324F3" w:rsidRPr="00916516" w14:paraId="0C868A4A" w14:textId="77777777" w:rsidTr="00A20749">
        <w:trPr>
          <w:trHeight w:val="67"/>
        </w:trPr>
        <w:tc>
          <w:tcPr>
            <w:tcW w:w="1544" w:type="pct"/>
            <w:shd w:val="clear" w:color="auto" w:fill="F2F2F2" w:themeFill="background1" w:themeFillShade="F2"/>
            <w:hideMark/>
          </w:tcPr>
          <w:p w14:paraId="0A563F01"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298" w:type="pct"/>
            <w:shd w:val="clear" w:color="auto" w:fill="F2F2F2" w:themeFill="background1" w:themeFillShade="F2"/>
            <w:hideMark/>
          </w:tcPr>
          <w:p w14:paraId="29BBD1AC" w14:textId="77777777" w:rsidR="00C324F3" w:rsidRPr="00916516" w:rsidRDefault="00C324F3" w:rsidP="00777459">
            <w:pPr>
              <w:jc w:val="center"/>
              <w:rPr>
                <w:szCs w:val="18"/>
              </w:rPr>
            </w:pPr>
            <w:r>
              <w:rPr>
                <w:b/>
                <w:bCs/>
                <w:szCs w:val="18"/>
              </w:rPr>
              <w:t>Included studies</w:t>
            </w:r>
          </w:p>
        </w:tc>
        <w:tc>
          <w:tcPr>
            <w:tcW w:w="2158" w:type="pct"/>
            <w:shd w:val="clear" w:color="auto" w:fill="F2F2F2" w:themeFill="background1" w:themeFillShade="F2"/>
            <w:hideMark/>
          </w:tcPr>
          <w:p w14:paraId="256771D4" w14:textId="77777777" w:rsidR="00C324F3" w:rsidRPr="00916516" w:rsidRDefault="00C324F3" w:rsidP="00777459">
            <w:pPr>
              <w:jc w:val="center"/>
              <w:rPr>
                <w:szCs w:val="18"/>
              </w:rPr>
            </w:pPr>
            <w:r>
              <w:rPr>
                <w:b/>
                <w:bCs/>
                <w:szCs w:val="18"/>
              </w:rPr>
              <w:t>Summary of evidence</w:t>
            </w:r>
          </w:p>
        </w:tc>
      </w:tr>
      <w:tr w:rsidR="00C324F3" w:rsidRPr="00916516" w14:paraId="1C9DDBCF" w14:textId="77777777" w:rsidTr="00A20749">
        <w:trPr>
          <w:trHeight w:val="260"/>
        </w:trPr>
        <w:tc>
          <w:tcPr>
            <w:tcW w:w="5000" w:type="pct"/>
            <w:gridSpan w:val="3"/>
            <w:shd w:val="clear" w:color="auto" w:fill="F2F2F2" w:themeFill="background1" w:themeFillShade="F2"/>
            <w:hideMark/>
          </w:tcPr>
          <w:p w14:paraId="2073FC2C" w14:textId="77777777"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14:paraId="1A9328D1" w14:textId="77777777" w:rsidTr="00A20749">
        <w:trPr>
          <w:trHeight w:val="345"/>
        </w:trPr>
        <w:tc>
          <w:tcPr>
            <w:tcW w:w="1544" w:type="pct"/>
            <w:shd w:val="clear" w:color="auto" w:fill="F2F2F2" w:themeFill="background1" w:themeFillShade="F2"/>
            <w:hideMark/>
          </w:tcPr>
          <w:p w14:paraId="6F065409" w14:textId="1E4D6F3E" w:rsidR="00C324F3" w:rsidRPr="00360862" w:rsidRDefault="00C324F3" w:rsidP="00777459">
            <w:pPr>
              <w:rPr>
                <w:szCs w:val="18"/>
              </w:rPr>
            </w:pPr>
            <w:r w:rsidRPr="00360862">
              <w:rPr>
                <w:szCs w:val="18"/>
              </w:rPr>
              <w:t xml:space="preserve">NRT (patch, </w:t>
            </w:r>
            <w:r w:rsidR="008260A0" w:rsidRPr="00360862">
              <w:rPr>
                <w:szCs w:val="18"/>
              </w:rPr>
              <w:t>gum,</w:t>
            </w:r>
            <w:r w:rsidRPr="00360862">
              <w:rPr>
                <w:szCs w:val="18"/>
              </w:rPr>
              <w:t xml:space="preserve"> or lozenge) vs placebo</w:t>
            </w:r>
          </w:p>
        </w:tc>
        <w:tc>
          <w:tcPr>
            <w:tcW w:w="1298" w:type="pct"/>
            <w:shd w:val="clear" w:color="auto" w:fill="F2F2F2" w:themeFill="background1" w:themeFillShade="F2"/>
            <w:hideMark/>
          </w:tcPr>
          <w:p w14:paraId="60D2D42E" w14:textId="77777777" w:rsidR="00C324F3" w:rsidRPr="0063070A" w:rsidRDefault="00C324F3" w:rsidP="00C324F3">
            <w:pPr>
              <w:pStyle w:val="ListParagraph"/>
              <w:numPr>
                <w:ilvl w:val="0"/>
                <w:numId w:val="318"/>
              </w:numPr>
              <w:rPr>
                <w:szCs w:val="18"/>
              </w:rPr>
            </w:pPr>
            <w:r w:rsidRPr="0063070A">
              <w:rPr>
                <w:szCs w:val="18"/>
              </w:rPr>
              <w:t xml:space="preserve">Hartmann-Boyce </w:t>
            </w:r>
          </w:p>
          <w:p w14:paraId="1322CCBE" w14:textId="77777777" w:rsidR="00C324F3" w:rsidRDefault="00C324F3" w:rsidP="00777459">
            <w:pPr>
              <w:ind w:left="360"/>
              <w:rPr>
                <w:szCs w:val="18"/>
              </w:rPr>
            </w:pPr>
            <w:r w:rsidRPr="0063070A">
              <w:rPr>
                <w:szCs w:val="18"/>
              </w:rPr>
              <w:t>(2018)</w:t>
            </w:r>
            <w:r w:rsidRPr="0063070A">
              <w:rPr>
                <w:szCs w:val="18"/>
                <w:vertAlign w:val="superscript"/>
              </w:rPr>
              <w:t>1</w:t>
            </w:r>
          </w:p>
          <w:p w14:paraId="39155B4F" w14:textId="77777777" w:rsidR="00C324F3" w:rsidRPr="0063070A" w:rsidRDefault="00C324F3" w:rsidP="00C324F3">
            <w:pPr>
              <w:pStyle w:val="ListParagraph"/>
              <w:numPr>
                <w:ilvl w:val="0"/>
                <w:numId w:val="318"/>
              </w:numPr>
              <w:rPr>
                <w:szCs w:val="18"/>
              </w:rPr>
            </w:pPr>
            <w:r w:rsidRPr="0063070A">
              <w:rPr>
                <w:szCs w:val="18"/>
              </w:rPr>
              <w:t xml:space="preserve">Benowitz </w:t>
            </w:r>
          </w:p>
          <w:p w14:paraId="035CA7B7" w14:textId="77777777" w:rsidR="00C324F3" w:rsidRPr="00916516" w:rsidRDefault="00C324F3" w:rsidP="00777459">
            <w:pPr>
              <w:ind w:left="360"/>
              <w:rPr>
                <w:szCs w:val="18"/>
              </w:rPr>
            </w:pPr>
            <w:r w:rsidRPr="0063070A">
              <w:rPr>
                <w:szCs w:val="18"/>
              </w:rPr>
              <w:t>(2018)</w:t>
            </w:r>
            <w:r w:rsidRPr="0063070A">
              <w:rPr>
                <w:szCs w:val="18"/>
                <w:vertAlign w:val="superscript"/>
              </w:rPr>
              <w:t>2</w:t>
            </w:r>
          </w:p>
        </w:tc>
        <w:tc>
          <w:tcPr>
            <w:tcW w:w="2158" w:type="pct"/>
            <w:shd w:val="clear" w:color="auto" w:fill="F2F2F2" w:themeFill="background1" w:themeFillShade="F2"/>
            <w:hideMark/>
          </w:tcPr>
          <w:p w14:paraId="149ACBEF" w14:textId="77777777" w:rsidR="00C324F3" w:rsidRPr="0063070A" w:rsidRDefault="00C324F3" w:rsidP="00C324F3">
            <w:pPr>
              <w:pStyle w:val="ListParagraph"/>
              <w:numPr>
                <w:ilvl w:val="0"/>
                <w:numId w:val="317"/>
              </w:numPr>
              <w:rPr>
                <w:szCs w:val="18"/>
              </w:rPr>
            </w:pPr>
            <w:r w:rsidRPr="00360862">
              <w:rPr>
                <w:szCs w:val="18"/>
                <w:u w:val="single"/>
              </w:rPr>
              <w:t>Efficacy</w:t>
            </w:r>
            <w:r w:rsidRPr="00360862">
              <w:rPr>
                <w:szCs w:val="18"/>
              </w:rPr>
              <w:t>: Statistically significant</w:t>
            </w:r>
            <w:r>
              <w:rPr>
                <w:szCs w:val="18"/>
              </w:rPr>
              <w:t xml:space="preserve"> based on RR and RD </w:t>
            </w:r>
            <w:r w:rsidRPr="0063070A">
              <w:rPr>
                <w:szCs w:val="18"/>
              </w:rPr>
              <w:t>(in favour of NRT)</w:t>
            </w:r>
            <w:r>
              <w:rPr>
                <w:szCs w:val="18"/>
              </w:rPr>
              <w:t>.</w:t>
            </w:r>
          </w:p>
          <w:p w14:paraId="118E48FF" w14:textId="77777777" w:rsidR="00C324F3" w:rsidRPr="0063070A" w:rsidRDefault="00C324F3" w:rsidP="00C324F3">
            <w:pPr>
              <w:pStyle w:val="ListParagraph"/>
              <w:numPr>
                <w:ilvl w:val="0"/>
                <w:numId w:val="317"/>
              </w:numPr>
              <w:rPr>
                <w:szCs w:val="18"/>
              </w:rPr>
            </w:pPr>
            <w:r w:rsidRPr="00360862">
              <w:rPr>
                <w:szCs w:val="18"/>
                <w:u w:val="single"/>
              </w:rPr>
              <w:t>Safety:</w:t>
            </w:r>
            <w:r w:rsidRPr="00360862">
              <w:rPr>
                <w:szCs w:val="18"/>
              </w:rPr>
              <w:t xml:space="preserve"> Statistically significant</w:t>
            </w:r>
            <w:r>
              <w:rPr>
                <w:szCs w:val="18"/>
              </w:rPr>
              <w:t xml:space="preserve"> based on OR </w:t>
            </w:r>
            <w:r w:rsidRPr="0063070A">
              <w:rPr>
                <w:szCs w:val="18"/>
              </w:rPr>
              <w:t>(palpitations, tachycardia, chest pains; higher in NRT)</w:t>
            </w:r>
            <w:r>
              <w:rPr>
                <w:szCs w:val="18"/>
              </w:rPr>
              <w:t>.</w:t>
            </w:r>
          </w:p>
        </w:tc>
      </w:tr>
      <w:tr w:rsidR="00C324F3" w:rsidRPr="00360862" w14:paraId="4B19F77E" w14:textId="77777777" w:rsidTr="00A20749">
        <w:trPr>
          <w:trHeight w:val="617"/>
        </w:trPr>
        <w:tc>
          <w:tcPr>
            <w:tcW w:w="1544" w:type="pct"/>
            <w:shd w:val="clear" w:color="auto" w:fill="F2F2F2" w:themeFill="background1" w:themeFillShade="F2"/>
            <w:hideMark/>
          </w:tcPr>
          <w:p w14:paraId="1A91AD06" w14:textId="77777777" w:rsidR="00C324F3" w:rsidRPr="00360862" w:rsidRDefault="00C324F3" w:rsidP="00777459">
            <w:pPr>
              <w:rPr>
                <w:szCs w:val="18"/>
              </w:rPr>
            </w:pPr>
            <w:r w:rsidRPr="00360862">
              <w:rPr>
                <w:rFonts w:eastAsia="Calibri"/>
                <w:szCs w:val="18"/>
              </w:rPr>
              <w:t>NRT patch vs v</w:t>
            </w:r>
            <w:r w:rsidRPr="00360862">
              <w:rPr>
                <w:szCs w:val="18"/>
              </w:rPr>
              <w:t>arenicline</w:t>
            </w:r>
          </w:p>
        </w:tc>
        <w:tc>
          <w:tcPr>
            <w:tcW w:w="1298" w:type="pct"/>
            <w:shd w:val="clear" w:color="auto" w:fill="F2F2F2" w:themeFill="background1" w:themeFillShade="F2"/>
            <w:hideMark/>
          </w:tcPr>
          <w:p w14:paraId="61A78383" w14:textId="77777777" w:rsidR="00C324F3" w:rsidRDefault="00C324F3" w:rsidP="00C324F3">
            <w:pPr>
              <w:pStyle w:val="ListParagraph"/>
              <w:numPr>
                <w:ilvl w:val="0"/>
                <w:numId w:val="319"/>
              </w:numPr>
              <w:rPr>
                <w:szCs w:val="18"/>
              </w:rPr>
            </w:pPr>
            <w:r w:rsidRPr="006C1DAD">
              <w:rPr>
                <w:szCs w:val="18"/>
              </w:rPr>
              <w:t>Cahill (2016)</w:t>
            </w:r>
            <w:r w:rsidRPr="006C1DAD">
              <w:rPr>
                <w:szCs w:val="18"/>
                <w:vertAlign w:val="superscript"/>
              </w:rPr>
              <w:t>1</w:t>
            </w:r>
          </w:p>
          <w:p w14:paraId="726D2B9A" w14:textId="77777777" w:rsidR="00C324F3" w:rsidRDefault="00C324F3" w:rsidP="00C324F3">
            <w:pPr>
              <w:pStyle w:val="ListParagraph"/>
              <w:numPr>
                <w:ilvl w:val="0"/>
                <w:numId w:val="319"/>
              </w:numPr>
              <w:rPr>
                <w:szCs w:val="18"/>
              </w:rPr>
            </w:pPr>
            <w:r w:rsidRPr="006C1DAD">
              <w:rPr>
                <w:szCs w:val="18"/>
              </w:rPr>
              <w:t>Lerman (2015)</w:t>
            </w:r>
            <w:r w:rsidRPr="006C1DAD">
              <w:rPr>
                <w:szCs w:val="18"/>
                <w:vertAlign w:val="superscript"/>
              </w:rPr>
              <w:t>2</w:t>
            </w:r>
          </w:p>
          <w:p w14:paraId="612EAC2D" w14:textId="77777777" w:rsidR="00C324F3" w:rsidRDefault="00C324F3" w:rsidP="00C324F3">
            <w:pPr>
              <w:pStyle w:val="ListParagraph"/>
              <w:numPr>
                <w:ilvl w:val="0"/>
                <w:numId w:val="319"/>
              </w:numPr>
              <w:rPr>
                <w:szCs w:val="18"/>
              </w:rPr>
            </w:pPr>
            <w:r w:rsidRPr="006C1DAD">
              <w:rPr>
                <w:szCs w:val="18"/>
              </w:rPr>
              <w:t>Tulloch (2016)</w:t>
            </w:r>
            <w:r w:rsidRPr="006C1DAD">
              <w:rPr>
                <w:szCs w:val="18"/>
                <w:vertAlign w:val="superscript"/>
              </w:rPr>
              <w:t>2</w:t>
            </w:r>
          </w:p>
          <w:p w14:paraId="569036A7" w14:textId="77777777" w:rsidR="00C324F3" w:rsidRPr="006C1DAD" w:rsidRDefault="00C324F3" w:rsidP="00C324F3">
            <w:pPr>
              <w:pStyle w:val="ListParagraph"/>
              <w:numPr>
                <w:ilvl w:val="0"/>
                <w:numId w:val="319"/>
              </w:numPr>
              <w:rPr>
                <w:szCs w:val="18"/>
              </w:rPr>
            </w:pPr>
            <w:r w:rsidRPr="006C1DAD">
              <w:rPr>
                <w:rFonts w:eastAsia="MS Mincho"/>
              </w:rPr>
              <w:t>Rohsenow (2017)</w:t>
            </w:r>
            <w:r w:rsidRPr="006C1DAD">
              <w:rPr>
                <w:rFonts w:eastAsia="MS Mincho"/>
                <w:vertAlign w:val="superscript"/>
              </w:rPr>
              <w:t>2</w:t>
            </w:r>
          </w:p>
          <w:p w14:paraId="758D8B9E" w14:textId="77777777" w:rsidR="00C324F3" w:rsidRPr="006C1DAD" w:rsidRDefault="00C324F3" w:rsidP="00C324F3">
            <w:pPr>
              <w:pStyle w:val="ListParagraph"/>
              <w:numPr>
                <w:ilvl w:val="0"/>
                <w:numId w:val="319"/>
              </w:numPr>
              <w:rPr>
                <w:szCs w:val="18"/>
              </w:rPr>
            </w:pPr>
            <w:r w:rsidRPr="006C1DAD">
              <w:rPr>
                <w:rFonts w:eastAsia="MS Mincho"/>
              </w:rPr>
              <w:t>Benowitz (2018)</w:t>
            </w:r>
            <w:r w:rsidRPr="006C1DAD">
              <w:rPr>
                <w:rFonts w:eastAsia="MS Mincho"/>
                <w:vertAlign w:val="superscript"/>
              </w:rPr>
              <w:t>2</w:t>
            </w:r>
          </w:p>
        </w:tc>
        <w:tc>
          <w:tcPr>
            <w:tcW w:w="2158" w:type="pct"/>
            <w:shd w:val="clear" w:color="auto" w:fill="F2F2F2" w:themeFill="background1" w:themeFillShade="F2"/>
            <w:hideMark/>
          </w:tcPr>
          <w:p w14:paraId="52321C44" w14:textId="77777777" w:rsidR="00C324F3" w:rsidRPr="006C1DAD" w:rsidRDefault="00C324F3" w:rsidP="00C324F3">
            <w:pPr>
              <w:pStyle w:val="ListParagraph"/>
              <w:numPr>
                <w:ilvl w:val="0"/>
                <w:numId w:val="317"/>
              </w:numPr>
              <w:rPr>
                <w:szCs w:val="18"/>
              </w:rPr>
            </w:pPr>
            <w:r w:rsidRPr="00360862">
              <w:rPr>
                <w:szCs w:val="18"/>
                <w:u w:val="single"/>
              </w:rPr>
              <w:t>Efficacy</w:t>
            </w:r>
            <w:r w:rsidRPr="00360862">
              <w:rPr>
                <w:szCs w:val="18"/>
              </w:rPr>
              <w:t>: Statistically significant</w:t>
            </w:r>
            <w:r>
              <w:rPr>
                <w:szCs w:val="18"/>
              </w:rPr>
              <w:t xml:space="preserve"> based on RR and RD </w:t>
            </w:r>
            <w:r w:rsidRPr="006C1DAD">
              <w:rPr>
                <w:szCs w:val="18"/>
              </w:rPr>
              <w:t>(in favour of varenicline)</w:t>
            </w:r>
            <w:r>
              <w:rPr>
                <w:szCs w:val="18"/>
              </w:rPr>
              <w:t>.</w:t>
            </w:r>
          </w:p>
          <w:p w14:paraId="67733DE2" w14:textId="77777777" w:rsidR="00C324F3" w:rsidRPr="00360862" w:rsidRDefault="00C324F3" w:rsidP="00C324F3">
            <w:pPr>
              <w:pStyle w:val="ListParagraph"/>
              <w:numPr>
                <w:ilvl w:val="0"/>
                <w:numId w:val="317"/>
              </w:numPr>
              <w:rPr>
                <w:szCs w:val="18"/>
              </w:rPr>
            </w:pPr>
            <w:r w:rsidRPr="00360862">
              <w:rPr>
                <w:szCs w:val="18"/>
                <w:u w:val="single"/>
              </w:rPr>
              <w:t>Safety:</w:t>
            </w:r>
            <w:r w:rsidRPr="00360862">
              <w:rPr>
                <w:szCs w:val="18"/>
              </w:rPr>
              <w:t xml:space="preserve"> Not statistically significant</w:t>
            </w:r>
            <w:r>
              <w:rPr>
                <w:szCs w:val="18"/>
              </w:rPr>
              <w:t xml:space="preserve"> </w:t>
            </w:r>
            <w:r w:rsidRPr="00360862">
              <w:rPr>
                <w:szCs w:val="18"/>
              </w:rPr>
              <w:t>(AEs incl. neuropsychiatric and cardiovascular safety)</w:t>
            </w:r>
            <w:r>
              <w:rPr>
                <w:szCs w:val="18"/>
                <w:vertAlign w:val="superscript"/>
              </w:rPr>
              <w:t>3</w:t>
            </w:r>
            <w:r>
              <w:rPr>
                <w:szCs w:val="18"/>
              </w:rPr>
              <w:t>.</w:t>
            </w:r>
            <w:r w:rsidRPr="00360862">
              <w:rPr>
                <w:szCs w:val="18"/>
              </w:rPr>
              <w:t> </w:t>
            </w:r>
          </w:p>
        </w:tc>
      </w:tr>
      <w:tr w:rsidR="00C324F3" w:rsidRPr="00360862" w14:paraId="1A8CDAF6" w14:textId="77777777" w:rsidTr="00A20749">
        <w:trPr>
          <w:trHeight w:val="523"/>
        </w:trPr>
        <w:tc>
          <w:tcPr>
            <w:tcW w:w="1544" w:type="pct"/>
            <w:shd w:val="clear" w:color="auto" w:fill="F2F2F2" w:themeFill="background1" w:themeFillShade="F2"/>
            <w:hideMark/>
          </w:tcPr>
          <w:p w14:paraId="3E38884C" w14:textId="77777777" w:rsidR="00C324F3" w:rsidRPr="00360862" w:rsidRDefault="00C324F3" w:rsidP="00777459">
            <w:pPr>
              <w:rPr>
                <w:szCs w:val="18"/>
              </w:rPr>
            </w:pPr>
            <w:r w:rsidRPr="00360862">
              <w:rPr>
                <w:rFonts w:eastAsia="Calibri"/>
                <w:szCs w:val="18"/>
              </w:rPr>
              <w:t xml:space="preserve">NRT (gum or lozenge) vs </w:t>
            </w:r>
            <w:r w:rsidRPr="00360862">
              <w:rPr>
                <w:szCs w:val="18"/>
              </w:rPr>
              <w:t>NRT patch</w:t>
            </w:r>
          </w:p>
        </w:tc>
        <w:tc>
          <w:tcPr>
            <w:tcW w:w="1298" w:type="pct"/>
            <w:shd w:val="clear" w:color="auto" w:fill="F2F2F2" w:themeFill="background1" w:themeFillShade="F2"/>
            <w:hideMark/>
          </w:tcPr>
          <w:p w14:paraId="19D19830" w14:textId="77777777" w:rsidR="00C324F3" w:rsidRPr="006C1DAD" w:rsidRDefault="00C324F3" w:rsidP="00C324F3">
            <w:pPr>
              <w:pStyle w:val="ListParagraph"/>
              <w:numPr>
                <w:ilvl w:val="0"/>
                <w:numId w:val="320"/>
              </w:numPr>
              <w:rPr>
                <w:szCs w:val="18"/>
              </w:rPr>
            </w:pPr>
            <w:r w:rsidRPr="006C1DAD">
              <w:rPr>
                <w:szCs w:val="18"/>
              </w:rPr>
              <w:t>Lindson (2019)</w:t>
            </w:r>
            <w:r w:rsidRPr="006C1DAD">
              <w:rPr>
                <w:szCs w:val="18"/>
                <w:vertAlign w:val="superscript"/>
              </w:rPr>
              <w:t>1</w:t>
            </w:r>
          </w:p>
        </w:tc>
        <w:tc>
          <w:tcPr>
            <w:tcW w:w="2158" w:type="pct"/>
            <w:shd w:val="clear" w:color="auto" w:fill="F2F2F2" w:themeFill="background1" w:themeFillShade="F2"/>
            <w:hideMark/>
          </w:tcPr>
          <w:p w14:paraId="18C83558" w14:textId="77777777" w:rsidR="00C324F3" w:rsidRPr="00360862" w:rsidRDefault="00C324F3" w:rsidP="00C324F3">
            <w:pPr>
              <w:pStyle w:val="ListParagraph"/>
              <w:numPr>
                <w:ilvl w:val="0"/>
                <w:numId w:val="317"/>
              </w:numPr>
              <w:rPr>
                <w:szCs w:val="18"/>
              </w:rPr>
            </w:pPr>
            <w:r w:rsidRPr="00360862">
              <w:rPr>
                <w:szCs w:val="18"/>
                <w:u w:val="single"/>
              </w:rPr>
              <w:t>Efficacy:</w:t>
            </w:r>
            <w:r w:rsidRPr="00360862">
              <w:rPr>
                <w:szCs w:val="18"/>
              </w:rPr>
              <w:t xml:space="preserve"> Not statistically significant</w:t>
            </w:r>
            <w:r>
              <w:rPr>
                <w:szCs w:val="18"/>
              </w:rPr>
              <w:t xml:space="preserve"> based on RR.</w:t>
            </w:r>
          </w:p>
          <w:p w14:paraId="53B32485" w14:textId="77777777" w:rsidR="00C324F3" w:rsidRPr="00360862" w:rsidRDefault="00C324F3" w:rsidP="00C324F3">
            <w:pPr>
              <w:pStyle w:val="ListParagraph"/>
              <w:numPr>
                <w:ilvl w:val="0"/>
                <w:numId w:val="317"/>
              </w:numPr>
              <w:rPr>
                <w:szCs w:val="18"/>
              </w:rPr>
            </w:pPr>
            <w:r w:rsidRPr="00360862">
              <w:rPr>
                <w:szCs w:val="18"/>
                <w:u w:val="single"/>
              </w:rPr>
              <w:t>Safety</w:t>
            </w:r>
            <w:r w:rsidRPr="00360862">
              <w:rPr>
                <w:szCs w:val="18"/>
              </w:rPr>
              <w:t>: Not statistically significant</w:t>
            </w:r>
            <w:r>
              <w:rPr>
                <w:szCs w:val="18"/>
              </w:rPr>
              <w:t xml:space="preserve"> based on RR</w:t>
            </w:r>
            <w:r w:rsidRPr="00360862">
              <w:rPr>
                <w:szCs w:val="18"/>
              </w:rPr>
              <w:t xml:space="preserve"> (</w:t>
            </w:r>
            <w:r>
              <w:rPr>
                <w:szCs w:val="18"/>
              </w:rPr>
              <w:t>S</w:t>
            </w:r>
            <w:r w:rsidRPr="00360862">
              <w:rPr>
                <w:szCs w:val="18"/>
              </w:rPr>
              <w:t>AEs, withdrawal due to treatment)</w:t>
            </w:r>
            <w:r>
              <w:rPr>
                <w:szCs w:val="18"/>
              </w:rPr>
              <w:t>.</w:t>
            </w:r>
          </w:p>
        </w:tc>
      </w:tr>
    </w:tbl>
    <w:p w14:paraId="28B8BE46" w14:textId="77777777" w:rsidR="00C324F3" w:rsidRDefault="00C324F3" w:rsidP="00A20749">
      <w:pPr>
        <w:pStyle w:val="TableFooter"/>
        <w:keepNext/>
        <w:jc w:val="both"/>
      </w:pPr>
      <w:r>
        <w:t>Abbreviations: AEs = adverse events; NRT = nicotine replacement therapy; OR = odds ratio; RR = risk ratio, RD = risk difference; SAEs = serious adverse events.</w:t>
      </w:r>
    </w:p>
    <w:p w14:paraId="52685207" w14:textId="77777777" w:rsidR="00C324F3" w:rsidRDefault="00C324F3" w:rsidP="00A20749">
      <w:pPr>
        <w:pStyle w:val="TableFooter"/>
        <w:keepNext/>
        <w:jc w:val="both"/>
      </w:pPr>
      <w:r w:rsidRPr="00BE36E8">
        <w:t xml:space="preserve">Notes: </w:t>
      </w:r>
    </w:p>
    <w:p w14:paraId="071FC524" w14:textId="77777777" w:rsidR="00C324F3" w:rsidRDefault="00C324F3" w:rsidP="00A20749">
      <w:pPr>
        <w:pStyle w:val="TableFooter"/>
        <w:keepNext/>
        <w:jc w:val="both"/>
      </w:pPr>
      <w:r w:rsidRPr="00BE36E8">
        <w:t>1 Cochrane Review</w:t>
      </w:r>
      <w:r>
        <w:t>.</w:t>
      </w:r>
    </w:p>
    <w:p w14:paraId="68DAAD73" w14:textId="77777777" w:rsidR="00C324F3" w:rsidRPr="00FD279D" w:rsidRDefault="00C324F3" w:rsidP="00A20749">
      <w:pPr>
        <w:pStyle w:val="TableFooter"/>
        <w:keepNext/>
        <w:jc w:val="both"/>
      </w:pPr>
      <w:r>
        <w:t>2 Supplemental evidence (RCT).</w:t>
      </w:r>
    </w:p>
    <w:p w14:paraId="283CF789" w14:textId="77777777" w:rsidR="00C324F3" w:rsidRPr="00FD279D" w:rsidRDefault="00C324F3" w:rsidP="00A20749">
      <w:pPr>
        <w:pStyle w:val="TableFooter"/>
        <w:keepNext/>
        <w:spacing w:after="120"/>
        <w:contextualSpacing w:val="0"/>
        <w:jc w:val="both"/>
      </w:pPr>
      <w:r>
        <w:t>3 Qualitative synthesis.</w:t>
      </w:r>
    </w:p>
    <w:p w14:paraId="45F105AE" w14:textId="77777777" w:rsidR="00C324F3" w:rsidRPr="007F3B6D" w:rsidRDefault="00C324F3" w:rsidP="00A20749">
      <w:pPr>
        <w:spacing w:after="120"/>
        <w:jc w:val="both"/>
      </w:pPr>
      <w:r w:rsidRPr="007F3B6D">
        <w:t>Treatment-experienced population</w:t>
      </w:r>
    </w:p>
    <w:p w14:paraId="4A73C5EB" w14:textId="77777777" w:rsidR="00C324F3" w:rsidRDefault="00C324F3" w:rsidP="00A20749">
      <w:pPr>
        <w:pStyle w:val="ListParagraph"/>
        <w:numPr>
          <w:ilvl w:val="0"/>
          <w:numId w:val="274"/>
        </w:numPr>
        <w:jc w:val="both"/>
      </w:pPr>
      <w:r w:rsidRPr="007F3B6D">
        <w:t xml:space="preserve">NRT </w:t>
      </w:r>
      <w:r>
        <w:t>has not previously been considered by the PBAC for treatment-experienced patients.</w:t>
      </w:r>
    </w:p>
    <w:p w14:paraId="567C9CD0" w14:textId="02EB10DC" w:rsidR="00C324F3" w:rsidRDefault="00C324F3" w:rsidP="00A20749">
      <w:pPr>
        <w:pStyle w:val="ListParagraph"/>
        <w:numPr>
          <w:ilvl w:val="0"/>
          <w:numId w:val="274"/>
        </w:numPr>
        <w:jc w:val="both"/>
      </w:pPr>
      <w:r>
        <w:t xml:space="preserve">There were no statistically significant differences between </w:t>
      </w:r>
      <w:r w:rsidRPr="007F3B6D">
        <w:t xml:space="preserve">NRT </w:t>
      </w:r>
      <w:r>
        <w:t>(either as gum or inhaler)</w:t>
      </w:r>
      <w:r w:rsidRPr="007F3B6D">
        <w:t xml:space="preserve"> </w:t>
      </w:r>
      <w:r>
        <w:t>and</w:t>
      </w:r>
      <w:r w:rsidRPr="007F3B6D">
        <w:t xml:space="preserve"> placebo in terms of efficacy as a relapse prevention treatment in abstainers.</w:t>
      </w:r>
      <w:r w:rsidRPr="001810E2">
        <w:t xml:space="preserve"> The adverse events reported were consistent with those expected of </w:t>
      </w:r>
      <w:r>
        <w:t>NRT</w:t>
      </w:r>
      <w:r w:rsidRPr="00663D67">
        <w:t>.</w:t>
      </w:r>
      <w:r w:rsidRPr="00280BDB">
        <w:t xml:space="preserve"> No evidence was identified comparing NRT monotherapy (either as patch, </w:t>
      </w:r>
      <w:r w:rsidR="008260A0" w:rsidRPr="00280BDB">
        <w:t>gum,</w:t>
      </w:r>
      <w:r w:rsidRPr="00280BDB">
        <w:t xml:space="preserve"> or lozenge) with placebo in patients who achieved abstinence after initial treatment with NRT monotherapy using the same formulation.</w:t>
      </w:r>
    </w:p>
    <w:p w14:paraId="0598CC9B" w14:textId="359FAEC2" w:rsidR="003C4A1C" w:rsidRDefault="00C324F3" w:rsidP="00A20749">
      <w:pPr>
        <w:pStyle w:val="ListParagraph"/>
        <w:numPr>
          <w:ilvl w:val="0"/>
          <w:numId w:val="274"/>
        </w:numPr>
        <w:jc w:val="both"/>
      </w:pPr>
      <w:r w:rsidRPr="00455537">
        <w:t xml:space="preserve">The results of Gourlay et al. (1995), based on continuous abstinence rate, demonstrated no statistically significant difference between NRT patches and placebo in non-abstainers as retreatment at </w:t>
      </w:r>
      <w:r w:rsidR="00A84213">
        <w:t>six</w:t>
      </w:r>
      <w:r w:rsidRPr="00455537">
        <w:t xml:space="preserve"> months. However, there was a statistically significant improvement in smoking cessation rates using NRT patches based on 28-day point prevalence abstinence (RR: 2.49; 95% CI: 1.11, 5.57) at this point in the study by Gourlay et al. (1995) only. In terms of safety, there were no statistically significant differences between the two treatment arms for palpitations, </w:t>
      </w:r>
      <w:r w:rsidR="008260A0" w:rsidRPr="00455537">
        <w:t>tachycardia,</w:t>
      </w:r>
      <w:r w:rsidRPr="00455537">
        <w:t xml:space="preserve"> or chest pains. It was noted that the quit rates were low in both groups with either definition of abstinence. In terms of safety, there were no statistically significant differences between the two treatment arms for palpitations, </w:t>
      </w:r>
      <w:r w:rsidR="008260A0" w:rsidRPr="00455537">
        <w:t>tachycardia,</w:t>
      </w:r>
      <w:r w:rsidRPr="00455537">
        <w:t xml:space="preserve"> or chest pains.</w:t>
      </w:r>
    </w:p>
    <w:p w14:paraId="4F26A829" w14:textId="64F50181"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2336"/>
        <w:gridCol w:w="2699"/>
        <w:gridCol w:w="3981"/>
      </w:tblGrid>
      <w:tr w:rsidR="00C324F3" w:rsidRPr="00916516" w14:paraId="0FCEF7BD" w14:textId="77777777" w:rsidTr="00A20749">
        <w:trPr>
          <w:trHeight w:val="67"/>
        </w:trPr>
        <w:tc>
          <w:tcPr>
            <w:tcW w:w="1295" w:type="pct"/>
            <w:shd w:val="clear" w:color="auto" w:fill="F2F2F2" w:themeFill="background1" w:themeFillShade="F2"/>
            <w:hideMark/>
          </w:tcPr>
          <w:p w14:paraId="51EDFF25"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14:paraId="3262080F" w14:textId="77777777" w:rsidR="00C324F3" w:rsidRPr="00916516" w:rsidRDefault="00C324F3" w:rsidP="00777459">
            <w:pPr>
              <w:jc w:val="center"/>
              <w:rPr>
                <w:szCs w:val="18"/>
              </w:rPr>
            </w:pPr>
            <w:r>
              <w:rPr>
                <w:b/>
                <w:bCs/>
                <w:szCs w:val="18"/>
              </w:rPr>
              <w:t>Included studies</w:t>
            </w:r>
          </w:p>
        </w:tc>
        <w:tc>
          <w:tcPr>
            <w:tcW w:w="2208" w:type="pct"/>
            <w:shd w:val="clear" w:color="auto" w:fill="F2F2F2" w:themeFill="background1" w:themeFillShade="F2"/>
            <w:hideMark/>
          </w:tcPr>
          <w:p w14:paraId="75DBE437" w14:textId="77777777" w:rsidR="00C324F3" w:rsidRPr="00916516" w:rsidRDefault="00C324F3" w:rsidP="00777459">
            <w:pPr>
              <w:jc w:val="center"/>
              <w:rPr>
                <w:szCs w:val="18"/>
              </w:rPr>
            </w:pPr>
            <w:r>
              <w:rPr>
                <w:b/>
                <w:bCs/>
                <w:szCs w:val="18"/>
              </w:rPr>
              <w:t>Summary of evidence</w:t>
            </w:r>
          </w:p>
        </w:tc>
      </w:tr>
      <w:tr w:rsidR="00C324F3" w:rsidRPr="00916516" w14:paraId="0CD5431E" w14:textId="77777777" w:rsidTr="00A20749">
        <w:trPr>
          <w:trHeight w:val="67"/>
        </w:trPr>
        <w:tc>
          <w:tcPr>
            <w:tcW w:w="5000" w:type="pct"/>
            <w:gridSpan w:val="3"/>
            <w:shd w:val="clear" w:color="auto" w:fill="F2F2F2" w:themeFill="background1" w:themeFillShade="F2"/>
            <w:hideMark/>
          </w:tcPr>
          <w:p w14:paraId="1202B48D" w14:textId="77777777" w:rsidR="00C324F3" w:rsidRPr="00916516" w:rsidRDefault="00C324F3" w:rsidP="00777459">
            <w:pPr>
              <w:rPr>
                <w:szCs w:val="18"/>
              </w:rPr>
            </w:pPr>
            <w:r w:rsidRPr="00916516">
              <w:rPr>
                <w:b/>
                <w:bCs/>
                <w:szCs w:val="18"/>
              </w:rPr>
              <w:t>Treatment-experienced population (relapse prevention treatment in abstainers)</w:t>
            </w:r>
          </w:p>
        </w:tc>
      </w:tr>
      <w:tr w:rsidR="00C324F3" w:rsidRPr="00916516" w14:paraId="20954638" w14:textId="77777777" w:rsidTr="00A20749">
        <w:trPr>
          <w:trHeight w:val="333"/>
        </w:trPr>
        <w:tc>
          <w:tcPr>
            <w:tcW w:w="1295" w:type="pct"/>
            <w:shd w:val="clear" w:color="auto" w:fill="F2F2F2" w:themeFill="background1" w:themeFillShade="F2"/>
            <w:hideMark/>
          </w:tcPr>
          <w:p w14:paraId="6C7C8AB8" w14:textId="77777777" w:rsidR="00C324F3" w:rsidRPr="00360862" w:rsidRDefault="00C324F3" w:rsidP="00777459">
            <w:pPr>
              <w:rPr>
                <w:szCs w:val="18"/>
              </w:rPr>
            </w:pPr>
            <w:r w:rsidRPr="00360862">
              <w:rPr>
                <w:szCs w:val="18"/>
              </w:rPr>
              <w:t>NRT (gum or inhaler) vs p</w:t>
            </w:r>
            <w:r w:rsidRPr="00360862">
              <w:rPr>
                <w:rFonts w:eastAsia="Calibri"/>
                <w:szCs w:val="18"/>
              </w:rPr>
              <w:t>lacebo</w:t>
            </w:r>
          </w:p>
        </w:tc>
        <w:tc>
          <w:tcPr>
            <w:tcW w:w="1497" w:type="pct"/>
            <w:shd w:val="clear" w:color="auto" w:fill="F2F2F2" w:themeFill="background1" w:themeFillShade="F2"/>
            <w:hideMark/>
          </w:tcPr>
          <w:p w14:paraId="00E2B739" w14:textId="77777777" w:rsidR="00C324F3" w:rsidRPr="0081007D" w:rsidRDefault="00C324F3" w:rsidP="00C324F3">
            <w:pPr>
              <w:pStyle w:val="ListParagraph"/>
              <w:numPr>
                <w:ilvl w:val="0"/>
                <w:numId w:val="323"/>
              </w:numPr>
              <w:rPr>
                <w:szCs w:val="18"/>
              </w:rPr>
            </w:pPr>
            <w:r w:rsidRPr="0081007D">
              <w:rPr>
                <w:szCs w:val="18"/>
              </w:rPr>
              <w:t>Livingstone-Banks (2019)</w:t>
            </w:r>
            <w:r w:rsidRPr="0081007D">
              <w:rPr>
                <w:szCs w:val="18"/>
                <w:vertAlign w:val="superscript"/>
              </w:rPr>
              <w:t>1</w:t>
            </w:r>
          </w:p>
        </w:tc>
        <w:tc>
          <w:tcPr>
            <w:tcW w:w="2208" w:type="pct"/>
            <w:shd w:val="clear" w:color="auto" w:fill="F2F2F2" w:themeFill="background1" w:themeFillShade="F2"/>
            <w:hideMark/>
          </w:tcPr>
          <w:p w14:paraId="149BBB49" w14:textId="77777777" w:rsidR="00C324F3" w:rsidRPr="00360862" w:rsidRDefault="00C324F3" w:rsidP="00C324F3">
            <w:pPr>
              <w:pStyle w:val="ListParagraph"/>
              <w:numPr>
                <w:ilvl w:val="0"/>
                <w:numId w:val="321"/>
              </w:numPr>
              <w:rPr>
                <w:szCs w:val="18"/>
              </w:rPr>
            </w:pPr>
            <w:r w:rsidRPr="00360862">
              <w:rPr>
                <w:szCs w:val="18"/>
              </w:rPr>
              <w:t>Efficacy: Not statistically significant</w:t>
            </w:r>
            <w:r>
              <w:rPr>
                <w:szCs w:val="18"/>
              </w:rPr>
              <w:t xml:space="preserve"> based on RR.</w:t>
            </w:r>
          </w:p>
          <w:p w14:paraId="356C8E21" w14:textId="77777777" w:rsidR="00C324F3" w:rsidRPr="00360862" w:rsidRDefault="00C324F3" w:rsidP="00C324F3">
            <w:pPr>
              <w:pStyle w:val="ListParagraph"/>
              <w:numPr>
                <w:ilvl w:val="0"/>
                <w:numId w:val="321"/>
              </w:numPr>
              <w:rPr>
                <w:szCs w:val="18"/>
              </w:rPr>
            </w:pPr>
            <w:r w:rsidRPr="00360862">
              <w:rPr>
                <w:szCs w:val="18"/>
              </w:rPr>
              <w:t xml:space="preserve">Safety: </w:t>
            </w:r>
            <w:r w:rsidRPr="00360862">
              <w:rPr>
                <w:rFonts w:eastAsia="Calibri"/>
                <w:szCs w:val="18"/>
              </w:rPr>
              <w:t>AEs reported were consistent with those expected of NRT</w:t>
            </w:r>
            <w:r>
              <w:rPr>
                <w:rFonts w:eastAsia="Calibri"/>
                <w:szCs w:val="18"/>
              </w:rPr>
              <w:t>.</w:t>
            </w:r>
          </w:p>
        </w:tc>
      </w:tr>
      <w:tr w:rsidR="00C324F3" w:rsidRPr="00916516" w14:paraId="1929E38E" w14:textId="77777777" w:rsidTr="00A20749">
        <w:trPr>
          <w:trHeight w:val="67"/>
        </w:trPr>
        <w:tc>
          <w:tcPr>
            <w:tcW w:w="5000" w:type="pct"/>
            <w:gridSpan w:val="3"/>
            <w:shd w:val="clear" w:color="auto" w:fill="F2F2F2" w:themeFill="background1" w:themeFillShade="F2"/>
            <w:hideMark/>
          </w:tcPr>
          <w:p w14:paraId="19B39362" w14:textId="77777777" w:rsidR="00C324F3" w:rsidRPr="00916516" w:rsidRDefault="00C324F3" w:rsidP="00777459">
            <w:pPr>
              <w:rPr>
                <w:szCs w:val="18"/>
              </w:rPr>
            </w:pPr>
            <w:r w:rsidRPr="00916516">
              <w:rPr>
                <w:b/>
                <w:bCs/>
                <w:szCs w:val="18"/>
              </w:rPr>
              <w:t>Treatment-experienced population (retreatment in non-abstainers)</w:t>
            </w:r>
          </w:p>
        </w:tc>
      </w:tr>
      <w:tr w:rsidR="00C324F3" w:rsidRPr="00916516" w14:paraId="5D21FF99" w14:textId="77777777" w:rsidTr="00A20749">
        <w:trPr>
          <w:trHeight w:val="441"/>
        </w:trPr>
        <w:tc>
          <w:tcPr>
            <w:tcW w:w="1295" w:type="pct"/>
            <w:shd w:val="clear" w:color="auto" w:fill="F2F2F2" w:themeFill="background1" w:themeFillShade="F2"/>
            <w:hideMark/>
          </w:tcPr>
          <w:p w14:paraId="770B86F7" w14:textId="77777777" w:rsidR="00C324F3" w:rsidRPr="00360862" w:rsidRDefault="00C324F3" w:rsidP="00777459">
            <w:pPr>
              <w:rPr>
                <w:szCs w:val="18"/>
              </w:rPr>
            </w:pPr>
            <w:r w:rsidRPr="00360862">
              <w:rPr>
                <w:szCs w:val="18"/>
              </w:rPr>
              <w:t>NRT (patch) vs p</w:t>
            </w:r>
            <w:r w:rsidRPr="00360862">
              <w:rPr>
                <w:rFonts w:eastAsia="Calibri"/>
                <w:szCs w:val="18"/>
              </w:rPr>
              <w:t>lacebo</w:t>
            </w:r>
          </w:p>
        </w:tc>
        <w:tc>
          <w:tcPr>
            <w:tcW w:w="1497" w:type="pct"/>
            <w:shd w:val="clear" w:color="auto" w:fill="F2F2F2" w:themeFill="background1" w:themeFillShade="F2"/>
            <w:hideMark/>
          </w:tcPr>
          <w:p w14:paraId="10459D68" w14:textId="77777777" w:rsidR="00C324F3" w:rsidRPr="0081007D" w:rsidRDefault="00C324F3" w:rsidP="00C324F3">
            <w:pPr>
              <w:pStyle w:val="ListParagraph"/>
              <w:numPr>
                <w:ilvl w:val="0"/>
                <w:numId w:val="324"/>
              </w:numPr>
              <w:rPr>
                <w:szCs w:val="18"/>
              </w:rPr>
            </w:pPr>
            <w:r w:rsidRPr="0081007D">
              <w:rPr>
                <w:szCs w:val="18"/>
              </w:rPr>
              <w:t>Gourlay</w:t>
            </w:r>
            <w:r>
              <w:rPr>
                <w:szCs w:val="18"/>
              </w:rPr>
              <w:t xml:space="preserve"> </w:t>
            </w:r>
            <w:r w:rsidRPr="0081007D">
              <w:rPr>
                <w:szCs w:val="18"/>
              </w:rPr>
              <w:t>(1995</w:t>
            </w:r>
            <w:r>
              <w:rPr>
                <w:szCs w:val="18"/>
              </w:rPr>
              <w:t>)</w:t>
            </w:r>
            <w:r>
              <w:rPr>
                <w:szCs w:val="18"/>
                <w:vertAlign w:val="superscript"/>
              </w:rPr>
              <w:t>2</w:t>
            </w:r>
          </w:p>
        </w:tc>
        <w:tc>
          <w:tcPr>
            <w:tcW w:w="2208" w:type="pct"/>
            <w:shd w:val="clear" w:color="auto" w:fill="F2F2F2" w:themeFill="background1" w:themeFillShade="F2"/>
            <w:hideMark/>
          </w:tcPr>
          <w:p w14:paraId="59B45301" w14:textId="77777777" w:rsidR="00C324F3" w:rsidRPr="00360862" w:rsidRDefault="00C324F3" w:rsidP="00C324F3">
            <w:pPr>
              <w:pStyle w:val="ListParagraph"/>
              <w:numPr>
                <w:ilvl w:val="0"/>
                <w:numId w:val="322"/>
              </w:numPr>
              <w:rPr>
                <w:szCs w:val="18"/>
              </w:rPr>
            </w:pPr>
            <w:r w:rsidRPr="00360862">
              <w:rPr>
                <w:szCs w:val="18"/>
              </w:rPr>
              <w:t>Efficacy: Not statistically significant</w:t>
            </w:r>
            <w:r>
              <w:rPr>
                <w:szCs w:val="18"/>
              </w:rPr>
              <w:t xml:space="preserve"> based on RR and RD.</w:t>
            </w:r>
          </w:p>
          <w:p w14:paraId="75E13E5A" w14:textId="77777777" w:rsidR="00C324F3" w:rsidRPr="00A303FF" w:rsidRDefault="00C324F3" w:rsidP="00C324F3">
            <w:pPr>
              <w:pStyle w:val="ListParagraph"/>
              <w:numPr>
                <w:ilvl w:val="0"/>
                <w:numId w:val="322"/>
              </w:numPr>
              <w:rPr>
                <w:szCs w:val="18"/>
              </w:rPr>
            </w:pPr>
            <w:r w:rsidRPr="00360862">
              <w:rPr>
                <w:szCs w:val="18"/>
              </w:rPr>
              <w:t xml:space="preserve">Safety: Not statistically significant </w:t>
            </w:r>
            <w:r>
              <w:rPr>
                <w:szCs w:val="18"/>
              </w:rPr>
              <w:t xml:space="preserve">based on RR and RD </w:t>
            </w:r>
            <w:r w:rsidRPr="00A303FF">
              <w:rPr>
                <w:szCs w:val="18"/>
              </w:rPr>
              <w:t>(palpitations, tachycardia, chest pains)</w:t>
            </w:r>
            <w:r>
              <w:rPr>
                <w:szCs w:val="18"/>
              </w:rPr>
              <w:t>.</w:t>
            </w:r>
          </w:p>
        </w:tc>
      </w:tr>
    </w:tbl>
    <w:p w14:paraId="7C5788FD" w14:textId="77777777" w:rsidR="00C324F3" w:rsidRDefault="00C324F3" w:rsidP="00A20749">
      <w:pPr>
        <w:pStyle w:val="TableFooter"/>
        <w:keepNext/>
        <w:jc w:val="both"/>
      </w:pPr>
      <w:r>
        <w:t>Abbreviations: AEs = adverse events; OR = odds ratio; RR = risk ratio, RD = risk difference.</w:t>
      </w:r>
    </w:p>
    <w:p w14:paraId="452F4E24" w14:textId="77777777" w:rsidR="00C324F3" w:rsidRDefault="00C324F3" w:rsidP="00A20749">
      <w:pPr>
        <w:pStyle w:val="TableFooter"/>
        <w:keepNext/>
        <w:jc w:val="both"/>
      </w:pPr>
      <w:r w:rsidRPr="00BE36E8">
        <w:t xml:space="preserve">Notes: </w:t>
      </w:r>
    </w:p>
    <w:p w14:paraId="42D59B36" w14:textId="25AF4B75" w:rsidR="00C324F3" w:rsidRPr="00487DD4" w:rsidRDefault="00C324F3" w:rsidP="00A20749">
      <w:pPr>
        <w:pStyle w:val="TableFooter"/>
        <w:keepNext/>
        <w:jc w:val="both"/>
      </w:pPr>
      <w:r w:rsidRPr="00BE36E8">
        <w:t>1 Cochrane Review</w:t>
      </w:r>
      <w:r>
        <w:t xml:space="preserve">. </w:t>
      </w:r>
      <w:r w:rsidRPr="006635AD">
        <w:t xml:space="preserve">None of the studies identified by Livingstone-Banks et al. (2019) compared NRT monotherapy (either as patch, </w:t>
      </w:r>
      <w:r w:rsidR="008260A0" w:rsidRPr="006635AD">
        <w:t>gum,</w:t>
      </w:r>
      <w:r w:rsidRPr="006635AD">
        <w:t xml:space="preserve"> or lozenge) with placebo in patients who achieved abstinence after initial treatment with NRT monotherapy using the same formulation. In Covey et al. (2007), patients were provided bupropion plus NRT patches in the initial treatment phase while patients were provided NRT inhaler in Croghan et al. (2007)</w:t>
      </w:r>
      <w:r>
        <w:t>.</w:t>
      </w:r>
    </w:p>
    <w:p w14:paraId="17B0422F" w14:textId="77777777" w:rsidR="00C324F3" w:rsidRPr="00487DD4" w:rsidRDefault="00C324F3" w:rsidP="00A20749">
      <w:pPr>
        <w:pStyle w:val="TableFooter"/>
        <w:keepNext/>
        <w:spacing w:after="120"/>
        <w:contextualSpacing w:val="0"/>
        <w:jc w:val="both"/>
      </w:pPr>
      <w:r>
        <w:t>2 Included in Cochrane Review by Hartmann-Boyce et al. (2018).</w:t>
      </w:r>
    </w:p>
    <w:p w14:paraId="5FE7B733" w14:textId="77777777" w:rsidR="00C324F3" w:rsidRDefault="00C324F3" w:rsidP="00A20749">
      <w:pPr>
        <w:pStyle w:val="Heading3"/>
        <w:spacing w:before="120" w:after="120"/>
        <w:jc w:val="both"/>
      </w:pPr>
      <w:bookmarkStart w:id="12" w:name="_Toc69976540"/>
      <w:bookmarkStart w:id="13" w:name="_Toc115254501"/>
      <w:r>
        <w:t>Combination therapy in the general population</w:t>
      </w:r>
      <w:bookmarkEnd w:id="12"/>
      <w:bookmarkEnd w:id="13"/>
    </w:p>
    <w:p w14:paraId="576C0D39" w14:textId="77777777" w:rsidR="00C324F3" w:rsidRDefault="00C324F3" w:rsidP="00A20749">
      <w:pPr>
        <w:spacing w:after="120"/>
        <w:jc w:val="both"/>
        <w:rPr>
          <w:rFonts w:eastAsiaTheme="minorEastAsia"/>
          <w:b/>
          <w:i/>
          <w:sz w:val="28"/>
          <w:szCs w:val="28"/>
        </w:rPr>
      </w:pPr>
      <w:r w:rsidRPr="009F485D">
        <w:rPr>
          <w:rFonts w:eastAsiaTheme="minorEastAsia"/>
          <w:b/>
          <w:i/>
          <w:sz w:val="28"/>
          <w:szCs w:val="28"/>
        </w:rPr>
        <w:t>Summarise the comparative efficacy and safety of PBS-listed treatments when used as combination therapy</w:t>
      </w:r>
    </w:p>
    <w:p w14:paraId="67441A8C" w14:textId="17439E08" w:rsidR="00C324F3" w:rsidRPr="00663D67" w:rsidRDefault="00C324F3" w:rsidP="007E2BB3">
      <w:pPr>
        <w:spacing w:after="120"/>
        <w:jc w:val="both"/>
      </w:pPr>
      <w:r w:rsidRPr="00541990">
        <w:t>Combination therapies for smoking cessation have not been previously considered by the PBAC. In March 2018, the PBAC noted that the latest clinical guidelines encouraged health professionals to consider recommending the use of combination NRT (</w:t>
      </w:r>
      <w:r w:rsidR="008260A0" w:rsidRPr="00541990">
        <w:t>e.g.,</w:t>
      </w:r>
      <w:r w:rsidRPr="00541990">
        <w:t xml:space="preserve"> NRT patch with NRT gum or lozenges)</w:t>
      </w:r>
      <w:r>
        <w:t>.</w:t>
      </w:r>
    </w:p>
    <w:p w14:paraId="3ABB5AB4" w14:textId="77777777" w:rsidR="00C324F3" w:rsidRPr="003C0301" w:rsidRDefault="00C324F3" w:rsidP="007E2BB3">
      <w:pPr>
        <w:spacing w:after="120"/>
        <w:jc w:val="both"/>
        <w:rPr>
          <w:b/>
          <w:bCs/>
        </w:rPr>
      </w:pPr>
      <w:r w:rsidRPr="003C0301">
        <w:rPr>
          <w:b/>
          <w:bCs/>
        </w:rPr>
        <w:t>Combination NRT</w:t>
      </w:r>
    </w:p>
    <w:p w14:paraId="4093902B" w14:textId="77777777" w:rsidR="00C324F3" w:rsidRPr="007F3B6D" w:rsidRDefault="00C324F3" w:rsidP="007E2BB3">
      <w:pPr>
        <w:spacing w:after="120"/>
        <w:jc w:val="both"/>
      </w:pPr>
      <w:r w:rsidRPr="007F3B6D">
        <w:t>Treatment-naïve population</w:t>
      </w:r>
    </w:p>
    <w:p w14:paraId="780EA739" w14:textId="2380985D" w:rsidR="00C324F3" w:rsidRDefault="00C324F3" w:rsidP="00A20749">
      <w:pPr>
        <w:pStyle w:val="ListParagraph"/>
        <w:numPr>
          <w:ilvl w:val="0"/>
          <w:numId w:val="275"/>
        </w:numPr>
        <w:jc w:val="both"/>
      </w:pPr>
      <w:r w:rsidRPr="0076496A">
        <w:t xml:space="preserve">Combination NRT (patch + lozenge, patch + lozenge and gum) was shown to be superior to placebo in terms of efficacy, noting the results of the updated re-analysis for NRT patch + lozenge were statistically significant based on risk ratio but not risk difference. There were no statistically significant differences in smoking cessation rates between NRT patch + gum or NRT patch + inhalator and placebo. The non-significant result of NRT patch + gum was likely due to study design issues, such as </w:t>
      </w:r>
      <w:r w:rsidR="007E2BB3">
        <w:t xml:space="preserve">a </w:t>
      </w:r>
      <w:r w:rsidRPr="0076496A">
        <w:t xml:space="preserve">small sample size, leading to insufficient power to detect a modest treatment effect with reasonable certainty. The incidence of adverse events comparing combination NRT with placebo was not synthesised quantitatively. However, based on one </w:t>
      </w:r>
      <w:r w:rsidR="004A39EC">
        <w:t>randomised controlled trial (</w:t>
      </w:r>
      <w:r w:rsidRPr="0076496A">
        <w:t>RCT</w:t>
      </w:r>
      <w:r w:rsidR="004A39EC">
        <w:t>)</w:t>
      </w:r>
      <w:r w:rsidRPr="0076496A">
        <w:t>, which did not detect a statistically significant difference in efficacy, no statistically significant differences between NRT patch + lozenge and placebo were reported in terms of any adverse events and serious adverse events.</w:t>
      </w:r>
    </w:p>
    <w:p w14:paraId="65321B3C" w14:textId="0DAB0BFD" w:rsidR="00C324F3" w:rsidRPr="0076496A" w:rsidRDefault="00C324F3" w:rsidP="00A20749">
      <w:pPr>
        <w:pStyle w:val="ListParagraph"/>
        <w:numPr>
          <w:ilvl w:val="0"/>
          <w:numId w:val="275"/>
        </w:numPr>
        <w:jc w:val="both"/>
      </w:pPr>
      <w:r w:rsidRPr="0076496A">
        <w:t xml:space="preserve">Combination NRT was shown to be superior to NRT monotherapy (patch or fast-acting) in terms of efficacy. In terms of safety, there were no statistically significant differences in cardiac adverse events, serious adverse </w:t>
      </w:r>
      <w:r w:rsidR="008260A0" w:rsidRPr="0076496A">
        <w:t>events,</w:t>
      </w:r>
      <w:r w:rsidRPr="0076496A">
        <w:t xml:space="preserve"> or withdrawals due to treatment. Additional subgroup analyses were conducted during the review to determine the comparative effectiveness of the different types of combination NRT formulations:</w:t>
      </w:r>
    </w:p>
    <w:p w14:paraId="4E4BAB6E" w14:textId="77777777" w:rsidR="00C324F3" w:rsidRPr="003C0301" w:rsidRDefault="00C324F3" w:rsidP="00A20749">
      <w:pPr>
        <w:pStyle w:val="ListParagraph"/>
        <w:numPr>
          <w:ilvl w:val="0"/>
          <w:numId w:val="276"/>
        </w:numPr>
        <w:jc w:val="both"/>
      </w:pPr>
      <w:r>
        <w:lastRenderedPageBreak/>
        <w:t>C</w:t>
      </w:r>
      <w:r w:rsidRPr="003C0301">
        <w:t xml:space="preserve">ombination NRT versus NRT </w:t>
      </w:r>
      <w:r>
        <w:t>patches: for this comparison</w:t>
      </w:r>
      <w:r w:rsidRPr="003C0301">
        <w:t xml:space="preserve"> NRT patch + lozenge and NRT patch + gum were shown to provide a significantly higher rate of smoking cessation compared to NRT </w:t>
      </w:r>
      <w:r>
        <w:t>patches</w:t>
      </w:r>
      <w:r w:rsidRPr="003C0301">
        <w:t xml:space="preserve"> alone. There were no statistically significant differences observed for the other types of combination NRT formulations (patch + nasal spray, patch + inhaler, patch + oral spray)</w:t>
      </w:r>
      <w:r>
        <w:t xml:space="preserve"> when compared to NRT patches alone</w:t>
      </w:r>
      <w:r w:rsidRPr="003C0301">
        <w:t>.</w:t>
      </w:r>
    </w:p>
    <w:p w14:paraId="47FC849C" w14:textId="77777777" w:rsidR="00C324F3" w:rsidRPr="003C0301" w:rsidRDefault="00C324F3" w:rsidP="00A20749">
      <w:pPr>
        <w:pStyle w:val="ListParagraph"/>
        <w:numPr>
          <w:ilvl w:val="0"/>
          <w:numId w:val="276"/>
        </w:numPr>
        <w:jc w:val="both"/>
      </w:pPr>
      <w:r>
        <w:t>C</w:t>
      </w:r>
      <w:r w:rsidRPr="003C0301">
        <w:t>ombination NRT versus fast-acting NRT</w:t>
      </w:r>
      <w:r>
        <w:t>; for this comparison</w:t>
      </w:r>
      <w:r w:rsidRPr="003C0301">
        <w:t xml:space="preserve"> only NRT patch + lozenge was shown to provide a significantly higher rate of smoking cessation compared to fast-acting NRT alone. There were no statistically significant differences observed for the other types of combination NRT formulations (patch + gum, patch + nasal spray, patch + inhaler)</w:t>
      </w:r>
      <w:r>
        <w:t xml:space="preserve"> when compared to fast-acting NRT alone</w:t>
      </w:r>
      <w:r w:rsidRPr="003C0301">
        <w:t>.</w:t>
      </w:r>
    </w:p>
    <w:p w14:paraId="3D7832DB" w14:textId="41902653" w:rsidR="00C324F3" w:rsidRDefault="00C324F3" w:rsidP="00A20749">
      <w:pPr>
        <w:pStyle w:val="ListParagraph"/>
        <w:numPr>
          <w:ilvl w:val="0"/>
          <w:numId w:val="277"/>
        </w:numPr>
        <w:jc w:val="both"/>
      </w:pPr>
      <w:r w:rsidRPr="00816F20">
        <w:t xml:space="preserve">Combination NRT (patch + lozenge) was shown to be inferior to varenicline in terms of efficacy </w:t>
      </w:r>
      <w:r>
        <w:t>with no statistically significant differences</w:t>
      </w:r>
      <w:r w:rsidRPr="00816F20">
        <w:t xml:space="preserve"> in terms of safety based on one direct</w:t>
      </w:r>
      <w:r w:rsidR="007E2BB3">
        <w:t xml:space="preserve"> </w:t>
      </w:r>
      <w:r w:rsidRPr="00816F20">
        <w:t xml:space="preserve">RCT. There was a statistically significant difference in point prevalence abstinence at </w:t>
      </w:r>
      <w:r w:rsidR="00A84213">
        <w:t>six</w:t>
      </w:r>
      <w:r w:rsidRPr="00816F20">
        <w:t xml:space="preserve"> months, in favour of varenicline, while there were no statistically significant differences across the key adverse events between the two treatment arms, except for nausea and vivid dreams which were significantly higher in the varenicline arm. However, the results of the network meta-analysis by Cahill et al. (2013) demonstrated no statistically significant difference in smoking cessation rates between combination NRT and varenicline, although the results numerically favoured varenicline</w:t>
      </w:r>
      <w:r>
        <w:t>.</w:t>
      </w:r>
      <w:r w:rsidRPr="00816F20">
        <w:t xml:space="preserve"> </w:t>
      </w:r>
      <w:r>
        <w:t>T</w:t>
      </w:r>
      <w:r w:rsidRPr="00816F20">
        <w:t>he type</w:t>
      </w:r>
      <w:r>
        <w:t>s</w:t>
      </w:r>
      <w:r w:rsidRPr="00816F20">
        <w:t xml:space="preserve"> of formulation</w:t>
      </w:r>
      <w:r>
        <w:t>s</w:t>
      </w:r>
      <w:r w:rsidRPr="00816F20">
        <w:t xml:space="preserve"> used in the combination NRT treatment arm w</w:t>
      </w:r>
      <w:r>
        <w:t>ere</w:t>
      </w:r>
      <w:r w:rsidRPr="00816F20">
        <w:t xml:space="preserve"> </w:t>
      </w:r>
      <w:r>
        <w:t>clinically heterogeneous and t</w:t>
      </w:r>
      <w:r w:rsidRPr="00E44386">
        <w:t>he results of the network meta-analysis should be interpreted with caution due to potential biases and uncertainties arising from heterogeneity and inconsistent outcomes between studies</w:t>
      </w:r>
      <w:r>
        <w:t>.</w:t>
      </w:r>
      <w:r w:rsidR="007B466C">
        <w:rPr>
          <w:rFonts w:ascii="ZWAdobeF" w:hAnsi="ZWAdobeF" w:cs="ZWAdobeF"/>
          <w:sz w:val="2"/>
          <w:szCs w:val="2"/>
        </w:rPr>
        <w:t>0F</w:t>
      </w:r>
      <w:r w:rsidR="00E77A7D">
        <w:rPr>
          <w:rStyle w:val="FootnoteReference"/>
        </w:rPr>
        <w:footnoteReference w:id="2"/>
      </w:r>
    </w:p>
    <w:p w14:paraId="4743E1C3" w14:textId="1B335DE8" w:rsidR="003C4A1C" w:rsidRDefault="00C324F3" w:rsidP="00A20749">
      <w:pPr>
        <w:pStyle w:val="ListParagraph"/>
        <w:numPr>
          <w:ilvl w:val="0"/>
          <w:numId w:val="277"/>
        </w:numPr>
        <w:jc w:val="both"/>
      </w:pPr>
      <w:r w:rsidRPr="00925038">
        <w:t xml:space="preserve">Combination NRT was shown to be superior to bupropion in terms of efficacy based on the results of the network meta-analysis by Cahill et al. (2013) (no direct RCT was identified for this comparison). Similarly, </w:t>
      </w:r>
      <w:r w:rsidRPr="00070196">
        <w:t>this result should be interpreted with caution due to the general limitation</w:t>
      </w:r>
      <w:r>
        <w:t>s</w:t>
      </w:r>
      <w:r w:rsidRPr="00070196">
        <w:t xml:space="preserve"> of network meta-analyses and</w:t>
      </w:r>
      <w:r w:rsidRPr="00925038">
        <w:t xml:space="preserve"> the type</w:t>
      </w:r>
      <w:r>
        <w:t>s</w:t>
      </w:r>
      <w:r w:rsidRPr="00925038">
        <w:t xml:space="preserve"> of formulation</w:t>
      </w:r>
      <w:r>
        <w:t>s</w:t>
      </w:r>
      <w:r w:rsidRPr="00925038">
        <w:t xml:space="preserve"> used in the combination NRT treatment arm w</w:t>
      </w:r>
      <w:r>
        <w:t>ere clinically heterogeneous</w:t>
      </w:r>
      <w:r w:rsidRPr="00925038">
        <w:t>.</w:t>
      </w:r>
    </w:p>
    <w:p w14:paraId="0AB9F687" w14:textId="3485D9F6"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611"/>
        <w:gridCol w:w="4430"/>
      </w:tblGrid>
      <w:tr w:rsidR="00C324F3" w:rsidRPr="00916516" w14:paraId="4EFC60DB" w14:textId="77777777" w:rsidTr="007E2BB3">
        <w:trPr>
          <w:trHeight w:val="215"/>
        </w:trPr>
        <w:tc>
          <w:tcPr>
            <w:tcW w:w="1095" w:type="pct"/>
            <w:shd w:val="clear" w:color="auto" w:fill="F2F2F2" w:themeFill="background1" w:themeFillShade="F2"/>
            <w:hideMark/>
          </w:tcPr>
          <w:p w14:paraId="1238C664"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448" w:type="pct"/>
            <w:shd w:val="clear" w:color="auto" w:fill="F2F2F2" w:themeFill="background1" w:themeFillShade="F2"/>
            <w:hideMark/>
          </w:tcPr>
          <w:p w14:paraId="271FA7EC" w14:textId="77777777" w:rsidR="00C324F3" w:rsidRPr="00916516" w:rsidRDefault="00C324F3" w:rsidP="00777459">
            <w:pPr>
              <w:jc w:val="center"/>
              <w:rPr>
                <w:szCs w:val="18"/>
              </w:rPr>
            </w:pPr>
            <w:r>
              <w:rPr>
                <w:b/>
                <w:bCs/>
                <w:szCs w:val="18"/>
              </w:rPr>
              <w:t>Included studies</w:t>
            </w:r>
          </w:p>
        </w:tc>
        <w:tc>
          <w:tcPr>
            <w:tcW w:w="2457" w:type="pct"/>
            <w:shd w:val="clear" w:color="auto" w:fill="F2F2F2" w:themeFill="background1" w:themeFillShade="F2"/>
            <w:hideMark/>
          </w:tcPr>
          <w:p w14:paraId="0479C80E" w14:textId="77777777" w:rsidR="00C324F3" w:rsidRPr="00916516" w:rsidRDefault="00C324F3" w:rsidP="00777459">
            <w:pPr>
              <w:jc w:val="center"/>
              <w:rPr>
                <w:szCs w:val="18"/>
              </w:rPr>
            </w:pPr>
            <w:r>
              <w:rPr>
                <w:b/>
                <w:bCs/>
                <w:szCs w:val="18"/>
              </w:rPr>
              <w:t>Summary of evidence</w:t>
            </w:r>
          </w:p>
        </w:tc>
      </w:tr>
      <w:tr w:rsidR="00C324F3" w:rsidRPr="00916516" w14:paraId="393398B1" w14:textId="77777777" w:rsidTr="007E2BB3">
        <w:trPr>
          <w:trHeight w:val="164"/>
        </w:trPr>
        <w:tc>
          <w:tcPr>
            <w:tcW w:w="5000" w:type="pct"/>
            <w:gridSpan w:val="3"/>
            <w:shd w:val="clear" w:color="auto" w:fill="F2F2F2" w:themeFill="background1" w:themeFillShade="F2"/>
            <w:hideMark/>
          </w:tcPr>
          <w:p w14:paraId="431C8BFF" w14:textId="77777777"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14:paraId="0BC97E29" w14:textId="77777777" w:rsidTr="007E2BB3">
        <w:trPr>
          <w:trHeight w:val="345"/>
        </w:trPr>
        <w:tc>
          <w:tcPr>
            <w:tcW w:w="1095" w:type="pct"/>
            <w:shd w:val="clear" w:color="auto" w:fill="F2F2F2" w:themeFill="background1" w:themeFillShade="F2"/>
            <w:hideMark/>
          </w:tcPr>
          <w:p w14:paraId="0B759D17" w14:textId="77777777" w:rsidR="00C324F3" w:rsidRPr="00360862" w:rsidRDefault="00C324F3" w:rsidP="00777459">
            <w:pPr>
              <w:rPr>
                <w:szCs w:val="18"/>
              </w:rPr>
            </w:pPr>
            <w:r>
              <w:rPr>
                <w:szCs w:val="18"/>
              </w:rPr>
              <w:t>Combination NRT</w:t>
            </w:r>
            <w:r w:rsidRPr="007B1E27">
              <w:rPr>
                <w:szCs w:val="18"/>
                <w:vertAlign w:val="superscript"/>
              </w:rPr>
              <w:t>1</w:t>
            </w:r>
            <w:r>
              <w:rPr>
                <w:szCs w:val="18"/>
              </w:rPr>
              <w:t xml:space="preserve"> vs placebo</w:t>
            </w:r>
          </w:p>
        </w:tc>
        <w:tc>
          <w:tcPr>
            <w:tcW w:w="1448" w:type="pct"/>
            <w:shd w:val="clear" w:color="auto" w:fill="F2F2F2" w:themeFill="background1" w:themeFillShade="F2"/>
            <w:hideMark/>
          </w:tcPr>
          <w:p w14:paraId="3A182637" w14:textId="77777777" w:rsidR="00C324F3" w:rsidRPr="002A5E9C" w:rsidRDefault="00C324F3" w:rsidP="00C324F3">
            <w:pPr>
              <w:pStyle w:val="ListParagraph"/>
              <w:numPr>
                <w:ilvl w:val="0"/>
                <w:numId w:val="318"/>
              </w:numPr>
              <w:rPr>
                <w:szCs w:val="18"/>
              </w:rPr>
            </w:pPr>
            <w:r w:rsidRPr="00AA0389">
              <w:rPr>
                <w:szCs w:val="18"/>
              </w:rPr>
              <w:t>Hartmann-Boyce (2018)</w:t>
            </w:r>
            <w:r w:rsidRPr="00AA0389">
              <w:rPr>
                <w:szCs w:val="18"/>
                <w:vertAlign w:val="superscript"/>
              </w:rPr>
              <w:t>6</w:t>
            </w:r>
          </w:p>
          <w:p w14:paraId="4B7EE1EC" w14:textId="77777777" w:rsidR="00C324F3" w:rsidRPr="00AA0389" w:rsidRDefault="00C324F3" w:rsidP="00C324F3">
            <w:pPr>
              <w:pStyle w:val="ListParagraph"/>
              <w:numPr>
                <w:ilvl w:val="0"/>
                <w:numId w:val="318"/>
              </w:numPr>
              <w:rPr>
                <w:szCs w:val="18"/>
              </w:rPr>
            </w:pPr>
            <w:r w:rsidRPr="00AA0389">
              <w:rPr>
                <w:szCs w:val="18"/>
              </w:rPr>
              <w:t>Chen</w:t>
            </w:r>
            <w:r>
              <w:rPr>
                <w:szCs w:val="18"/>
              </w:rPr>
              <w:t xml:space="preserve"> </w:t>
            </w:r>
            <w:r w:rsidRPr="00AA0389">
              <w:rPr>
                <w:szCs w:val="18"/>
              </w:rPr>
              <w:t>(2020)</w:t>
            </w:r>
            <w:r w:rsidRPr="00AA0389">
              <w:rPr>
                <w:szCs w:val="18"/>
                <w:vertAlign w:val="superscript"/>
              </w:rPr>
              <w:t>7</w:t>
            </w:r>
          </w:p>
        </w:tc>
        <w:tc>
          <w:tcPr>
            <w:tcW w:w="2457" w:type="pct"/>
            <w:shd w:val="clear" w:color="auto" w:fill="F2F2F2" w:themeFill="background1" w:themeFillShade="F2"/>
            <w:hideMark/>
          </w:tcPr>
          <w:p w14:paraId="5DAE01AF" w14:textId="77777777" w:rsidR="00C324F3" w:rsidRPr="00D601CB" w:rsidRDefault="00C324F3" w:rsidP="00C324F3">
            <w:pPr>
              <w:pStyle w:val="ListParagraph"/>
              <w:numPr>
                <w:ilvl w:val="0"/>
                <w:numId w:val="317"/>
              </w:numPr>
              <w:rPr>
                <w:szCs w:val="18"/>
              </w:rPr>
            </w:pPr>
            <w:r w:rsidRPr="008C25A6">
              <w:rPr>
                <w:szCs w:val="18"/>
                <w:u w:val="single"/>
              </w:rPr>
              <w:t>Efficacy</w:t>
            </w:r>
            <w:r w:rsidRPr="008C25A6">
              <w:rPr>
                <w:szCs w:val="18"/>
              </w:rPr>
              <w:t xml:space="preserve">: Statistically significant based on RR </w:t>
            </w:r>
            <w:r w:rsidRPr="00DE6EAF">
              <w:rPr>
                <w:szCs w:val="18"/>
              </w:rPr>
              <w:t xml:space="preserve">(in favour of </w:t>
            </w:r>
            <w:r w:rsidRPr="00607958">
              <w:rPr>
                <w:szCs w:val="18"/>
              </w:rPr>
              <w:t>patch+lozenge</w:t>
            </w:r>
            <w:r w:rsidRPr="00531AAD">
              <w:rPr>
                <w:szCs w:val="18"/>
                <w:vertAlign w:val="superscript"/>
              </w:rPr>
              <w:t>8</w:t>
            </w:r>
            <w:r w:rsidRPr="000B398D">
              <w:rPr>
                <w:szCs w:val="18"/>
              </w:rPr>
              <w:t xml:space="preserve"> and patch+lozenge and gum</w:t>
            </w:r>
            <w:r w:rsidRPr="0042217E">
              <w:rPr>
                <w:szCs w:val="18"/>
              </w:rPr>
              <w:t>)</w:t>
            </w:r>
            <w:r>
              <w:rPr>
                <w:szCs w:val="18"/>
              </w:rPr>
              <w:t xml:space="preserve"> but not RD (patch+lozenge</w:t>
            </w:r>
            <w:r>
              <w:rPr>
                <w:szCs w:val="18"/>
                <w:vertAlign w:val="superscript"/>
              </w:rPr>
              <w:t>8</w:t>
            </w:r>
            <w:r w:rsidRPr="00607958">
              <w:rPr>
                <w:szCs w:val="18"/>
              </w:rPr>
              <w:t>);</w:t>
            </w:r>
            <w:r>
              <w:rPr>
                <w:szCs w:val="18"/>
              </w:rPr>
              <w:t xml:space="preserve"> </w:t>
            </w:r>
            <w:r w:rsidRPr="008C25A6">
              <w:rPr>
                <w:szCs w:val="18"/>
              </w:rPr>
              <w:t>not statistically significant based o</w:t>
            </w:r>
            <w:r w:rsidRPr="00DE6EAF">
              <w:rPr>
                <w:szCs w:val="18"/>
              </w:rPr>
              <w:t xml:space="preserve">n RR </w:t>
            </w:r>
            <w:r w:rsidRPr="00A62C1A">
              <w:rPr>
                <w:szCs w:val="18"/>
              </w:rPr>
              <w:t>(patch+gum and patch+inhaler)</w:t>
            </w:r>
            <w:r>
              <w:rPr>
                <w:szCs w:val="18"/>
              </w:rPr>
              <w:t>.</w:t>
            </w:r>
          </w:p>
          <w:p w14:paraId="77838670" w14:textId="77777777" w:rsidR="00C324F3" w:rsidRPr="007B1E27"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and RD </w:t>
            </w:r>
            <w:r w:rsidRPr="007B1E27">
              <w:rPr>
                <w:szCs w:val="18"/>
              </w:rPr>
              <w:t xml:space="preserve">(any AEs, </w:t>
            </w:r>
            <w:r>
              <w:rPr>
                <w:szCs w:val="18"/>
              </w:rPr>
              <w:t>S</w:t>
            </w:r>
            <w:r w:rsidRPr="007B1E27">
              <w:rPr>
                <w:szCs w:val="18"/>
              </w:rPr>
              <w:t>AEs; NRT patch+lozenge)</w:t>
            </w:r>
            <w:r>
              <w:rPr>
                <w:szCs w:val="18"/>
              </w:rPr>
              <w:t>.</w:t>
            </w:r>
          </w:p>
        </w:tc>
      </w:tr>
      <w:tr w:rsidR="00C324F3" w:rsidRPr="00360862" w14:paraId="6417DD49" w14:textId="77777777" w:rsidTr="007E2BB3">
        <w:trPr>
          <w:trHeight w:val="617"/>
        </w:trPr>
        <w:tc>
          <w:tcPr>
            <w:tcW w:w="1095" w:type="pct"/>
            <w:shd w:val="clear" w:color="auto" w:fill="F2F2F2" w:themeFill="background1" w:themeFillShade="F2"/>
            <w:hideMark/>
          </w:tcPr>
          <w:p w14:paraId="4BF9ADF4" w14:textId="77777777" w:rsidR="00C324F3" w:rsidRPr="00360862" w:rsidRDefault="00C324F3" w:rsidP="00777459">
            <w:pPr>
              <w:rPr>
                <w:szCs w:val="18"/>
              </w:rPr>
            </w:pPr>
            <w:r>
              <w:rPr>
                <w:szCs w:val="18"/>
              </w:rPr>
              <w:t>Combination NRT</w:t>
            </w:r>
            <w:r w:rsidRPr="007B1E27">
              <w:rPr>
                <w:szCs w:val="18"/>
                <w:vertAlign w:val="superscript"/>
              </w:rPr>
              <w:t>2</w:t>
            </w:r>
            <w:r>
              <w:rPr>
                <w:szCs w:val="18"/>
              </w:rPr>
              <w:t xml:space="preserve"> vs NRT monotherapy (patch)</w:t>
            </w:r>
          </w:p>
        </w:tc>
        <w:tc>
          <w:tcPr>
            <w:tcW w:w="1448" w:type="pct"/>
            <w:shd w:val="clear" w:color="auto" w:fill="F2F2F2" w:themeFill="background1" w:themeFillShade="F2"/>
            <w:hideMark/>
          </w:tcPr>
          <w:p w14:paraId="44935949" w14:textId="77777777" w:rsidR="00C324F3" w:rsidRDefault="00C324F3" w:rsidP="00C324F3">
            <w:pPr>
              <w:pStyle w:val="ListParagraph"/>
              <w:numPr>
                <w:ilvl w:val="0"/>
                <w:numId w:val="319"/>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p w14:paraId="63D511B8" w14:textId="77777777" w:rsidR="00C324F3" w:rsidRPr="00AA0389" w:rsidRDefault="00C324F3" w:rsidP="00C324F3">
            <w:pPr>
              <w:pStyle w:val="ListParagraph"/>
              <w:numPr>
                <w:ilvl w:val="0"/>
                <w:numId w:val="319"/>
              </w:numPr>
              <w:rPr>
                <w:szCs w:val="18"/>
              </w:rPr>
            </w:pPr>
            <w:r w:rsidRPr="00AA0389">
              <w:rPr>
                <w:szCs w:val="18"/>
              </w:rPr>
              <w:t>Leung</w:t>
            </w:r>
            <w:r>
              <w:rPr>
                <w:szCs w:val="18"/>
              </w:rPr>
              <w:t xml:space="preserve"> </w:t>
            </w:r>
            <w:r w:rsidRPr="00AA0389">
              <w:rPr>
                <w:szCs w:val="18"/>
              </w:rPr>
              <w:t>(2019)</w:t>
            </w:r>
            <w:r w:rsidRPr="00AA0389">
              <w:rPr>
                <w:szCs w:val="18"/>
                <w:vertAlign w:val="superscript"/>
              </w:rPr>
              <w:t>7</w:t>
            </w:r>
          </w:p>
        </w:tc>
        <w:tc>
          <w:tcPr>
            <w:tcW w:w="2457" w:type="pct"/>
            <w:shd w:val="clear" w:color="auto" w:fill="F2F2F2" w:themeFill="background1" w:themeFillShade="F2"/>
            <w:hideMark/>
          </w:tcPr>
          <w:p w14:paraId="0015B5A3" w14:textId="77777777" w:rsidR="00C324F3" w:rsidRPr="008C25A6" w:rsidRDefault="00C324F3" w:rsidP="00C324F3">
            <w:pPr>
              <w:pStyle w:val="ListParagraph"/>
              <w:numPr>
                <w:ilvl w:val="0"/>
                <w:numId w:val="317"/>
              </w:numPr>
              <w:rPr>
                <w:szCs w:val="18"/>
              </w:rPr>
            </w:pPr>
            <w:r w:rsidRPr="008C25A6">
              <w:rPr>
                <w:szCs w:val="18"/>
                <w:u w:val="single"/>
              </w:rPr>
              <w:t>Efficacy</w:t>
            </w:r>
            <w:r w:rsidRPr="008C25A6">
              <w:rPr>
                <w:szCs w:val="18"/>
              </w:rPr>
              <w:t>: Statistically significant based on R</w:t>
            </w:r>
            <w:r w:rsidRPr="00DE6EAF">
              <w:rPr>
                <w:szCs w:val="18"/>
              </w:rPr>
              <w:t>R and RD (in favour of patch+lozenge and patch+gum);</w:t>
            </w:r>
            <w:r>
              <w:rPr>
                <w:szCs w:val="18"/>
              </w:rPr>
              <w:t xml:space="preserve"> </w:t>
            </w:r>
            <w:r w:rsidRPr="008C25A6">
              <w:rPr>
                <w:szCs w:val="18"/>
              </w:rPr>
              <w:t>Not statistically significant</w:t>
            </w:r>
          </w:p>
          <w:p w14:paraId="5BE5D002" w14:textId="77777777" w:rsidR="00C324F3" w:rsidRPr="007B1E27" w:rsidRDefault="00C324F3" w:rsidP="00777459">
            <w:pPr>
              <w:pStyle w:val="ListParagraph"/>
              <w:ind w:left="360"/>
              <w:rPr>
                <w:szCs w:val="18"/>
              </w:rPr>
            </w:pPr>
            <w:r w:rsidRPr="007B1E27">
              <w:rPr>
                <w:szCs w:val="18"/>
              </w:rPr>
              <w:t>(patch+nasal spray, patch+inhaler and patch+oral spray)</w:t>
            </w:r>
            <w:r>
              <w:rPr>
                <w:szCs w:val="18"/>
              </w:rPr>
              <w:t>.</w:t>
            </w:r>
          </w:p>
          <w:p w14:paraId="1A69B37F" w14:textId="77777777" w:rsidR="00C324F3" w:rsidRPr="007B1E27"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 and RD (cardiac AEs).</w:t>
            </w:r>
          </w:p>
        </w:tc>
      </w:tr>
      <w:tr w:rsidR="00C324F3" w:rsidRPr="00360862" w14:paraId="2EC51E08" w14:textId="77777777" w:rsidTr="007E2BB3">
        <w:trPr>
          <w:trHeight w:val="523"/>
        </w:trPr>
        <w:tc>
          <w:tcPr>
            <w:tcW w:w="1095" w:type="pct"/>
            <w:shd w:val="clear" w:color="auto" w:fill="F2F2F2" w:themeFill="background1" w:themeFillShade="F2"/>
            <w:hideMark/>
          </w:tcPr>
          <w:p w14:paraId="029124AC" w14:textId="77777777" w:rsidR="00C324F3" w:rsidRPr="00360862" w:rsidRDefault="00C324F3" w:rsidP="00777459">
            <w:pPr>
              <w:rPr>
                <w:szCs w:val="18"/>
              </w:rPr>
            </w:pPr>
            <w:r>
              <w:rPr>
                <w:szCs w:val="18"/>
              </w:rPr>
              <w:t>Combination NRT</w:t>
            </w:r>
            <w:r w:rsidRPr="007B1E27">
              <w:rPr>
                <w:szCs w:val="18"/>
                <w:vertAlign w:val="superscript"/>
              </w:rPr>
              <w:t>3</w:t>
            </w:r>
            <w:r>
              <w:rPr>
                <w:szCs w:val="18"/>
              </w:rPr>
              <w:t xml:space="preserve"> vs NRT monotherapy (fast-acting)</w:t>
            </w:r>
          </w:p>
        </w:tc>
        <w:tc>
          <w:tcPr>
            <w:tcW w:w="1448" w:type="pct"/>
            <w:shd w:val="clear" w:color="auto" w:fill="F2F2F2" w:themeFill="background1" w:themeFillShade="F2"/>
            <w:hideMark/>
          </w:tcPr>
          <w:p w14:paraId="15388439" w14:textId="77777777" w:rsidR="00C324F3" w:rsidRPr="00AA0389" w:rsidRDefault="00C324F3" w:rsidP="00C324F3">
            <w:pPr>
              <w:pStyle w:val="ListParagraph"/>
              <w:numPr>
                <w:ilvl w:val="0"/>
                <w:numId w:val="320"/>
              </w:numPr>
              <w:rPr>
                <w:szCs w:val="18"/>
              </w:rPr>
            </w:pPr>
            <w:r w:rsidRPr="00AA0389">
              <w:rPr>
                <w:szCs w:val="18"/>
              </w:rPr>
              <w:t>Lindson</w:t>
            </w:r>
            <w:r>
              <w:rPr>
                <w:szCs w:val="18"/>
              </w:rPr>
              <w:t xml:space="preserve"> </w:t>
            </w:r>
            <w:r w:rsidRPr="00AA0389">
              <w:rPr>
                <w:szCs w:val="18"/>
              </w:rPr>
              <w:t>(2019)</w:t>
            </w:r>
            <w:r w:rsidRPr="00AA0389">
              <w:rPr>
                <w:szCs w:val="18"/>
                <w:vertAlign w:val="superscript"/>
              </w:rPr>
              <w:t>6</w:t>
            </w:r>
          </w:p>
        </w:tc>
        <w:tc>
          <w:tcPr>
            <w:tcW w:w="2457" w:type="pct"/>
            <w:shd w:val="clear" w:color="auto" w:fill="F2F2F2" w:themeFill="background1" w:themeFillShade="F2"/>
            <w:hideMark/>
          </w:tcPr>
          <w:p w14:paraId="343538DB" w14:textId="77777777" w:rsidR="00C324F3" w:rsidRPr="00DE6EAF" w:rsidRDefault="00C324F3" w:rsidP="00C324F3">
            <w:pPr>
              <w:pStyle w:val="ListParagraph"/>
              <w:numPr>
                <w:ilvl w:val="0"/>
                <w:numId w:val="317"/>
              </w:numPr>
              <w:rPr>
                <w:szCs w:val="18"/>
              </w:rPr>
            </w:pPr>
            <w:r w:rsidRPr="008C25A6">
              <w:rPr>
                <w:szCs w:val="18"/>
                <w:u w:val="single"/>
              </w:rPr>
              <w:t>Efficacy:</w:t>
            </w:r>
            <w:r w:rsidRPr="008C25A6">
              <w:rPr>
                <w:szCs w:val="18"/>
              </w:rPr>
              <w:t xml:space="preserve"> Statistically significant based on RR</w:t>
            </w:r>
          </w:p>
          <w:p w14:paraId="78D2F23C" w14:textId="77777777" w:rsidR="00C324F3" w:rsidRPr="00AA0389" w:rsidRDefault="00C324F3" w:rsidP="00777459">
            <w:pPr>
              <w:pStyle w:val="ListParagraph"/>
              <w:ind w:left="360"/>
              <w:rPr>
                <w:szCs w:val="18"/>
              </w:rPr>
            </w:pPr>
            <w:r w:rsidRPr="007B1E27">
              <w:rPr>
                <w:szCs w:val="18"/>
              </w:rPr>
              <w:t>(in favour of patch+lozenge)</w:t>
            </w:r>
            <w:r>
              <w:rPr>
                <w:szCs w:val="18"/>
              </w:rPr>
              <w:t xml:space="preserve">; </w:t>
            </w:r>
            <w:r w:rsidRPr="007B1E27">
              <w:rPr>
                <w:szCs w:val="18"/>
              </w:rPr>
              <w:t>Not statistically significant</w:t>
            </w:r>
            <w:r>
              <w:rPr>
                <w:szCs w:val="18"/>
              </w:rPr>
              <w:t xml:space="preserve"> based on RR </w:t>
            </w:r>
            <w:r w:rsidRPr="00AA0389">
              <w:rPr>
                <w:szCs w:val="18"/>
              </w:rPr>
              <w:t>(patch+gum, patch+nasal spray and patch+inhaler).</w:t>
            </w:r>
          </w:p>
          <w:p w14:paraId="4FA3EF57" w14:textId="77777777"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7B1E27">
              <w:rPr>
                <w:szCs w:val="18"/>
              </w:rPr>
              <w:t>Not statistically significant</w:t>
            </w:r>
            <w:r>
              <w:rPr>
                <w:szCs w:val="18"/>
              </w:rPr>
              <w:t xml:space="preserve"> based on RR </w:t>
            </w:r>
            <w:r w:rsidRPr="007B1E27">
              <w:rPr>
                <w:szCs w:val="18"/>
              </w:rPr>
              <w:t>(</w:t>
            </w:r>
            <w:r>
              <w:rPr>
                <w:szCs w:val="18"/>
              </w:rPr>
              <w:t>S</w:t>
            </w:r>
            <w:r w:rsidRPr="007B1E27">
              <w:rPr>
                <w:szCs w:val="18"/>
              </w:rPr>
              <w:t>AEs, withdrawal due to treatment)</w:t>
            </w:r>
            <w:r>
              <w:rPr>
                <w:szCs w:val="18"/>
              </w:rPr>
              <w:t>.</w:t>
            </w:r>
          </w:p>
          <w:p w14:paraId="5F21CD12" w14:textId="77777777" w:rsidR="00C324F3" w:rsidRPr="00334A64" w:rsidRDefault="00C324F3" w:rsidP="00777459">
            <w:pPr>
              <w:rPr>
                <w:szCs w:val="18"/>
              </w:rPr>
            </w:pPr>
          </w:p>
        </w:tc>
      </w:tr>
      <w:tr w:rsidR="00C324F3" w:rsidRPr="00360862" w14:paraId="2E0F2807" w14:textId="77777777" w:rsidTr="007E2BB3">
        <w:trPr>
          <w:trHeight w:val="523"/>
        </w:trPr>
        <w:tc>
          <w:tcPr>
            <w:tcW w:w="1095" w:type="pct"/>
            <w:shd w:val="clear" w:color="auto" w:fill="F2F2F2" w:themeFill="background1" w:themeFillShade="F2"/>
          </w:tcPr>
          <w:p w14:paraId="5B1DE15C" w14:textId="77777777" w:rsidR="00C324F3" w:rsidRDefault="00C324F3" w:rsidP="00777459">
            <w:pPr>
              <w:rPr>
                <w:szCs w:val="18"/>
              </w:rPr>
            </w:pPr>
            <w:r>
              <w:rPr>
                <w:szCs w:val="18"/>
              </w:rPr>
              <w:t>Combination NRT</w:t>
            </w:r>
            <w:r>
              <w:rPr>
                <w:szCs w:val="18"/>
                <w:vertAlign w:val="superscript"/>
              </w:rPr>
              <w:t>4</w:t>
            </w:r>
            <w:r>
              <w:rPr>
                <w:szCs w:val="18"/>
              </w:rPr>
              <w:t xml:space="preserve"> vs varenicline</w:t>
            </w:r>
          </w:p>
        </w:tc>
        <w:tc>
          <w:tcPr>
            <w:tcW w:w="1448" w:type="pct"/>
            <w:shd w:val="clear" w:color="auto" w:fill="F2F2F2" w:themeFill="background1" w:themeFillShade="F2"/>
          </w:tcPr>
          <w:p w14:paraId="245B7910" w14:textId="77777777" w:rsidR="00C324F3" w:rsidRPr="00583050" w:rsidRDefault="00C324F3" w:rsidP="00C324F3">
            <w:pPr>
              <w:pStyle w:val="ListParagraph"/>
              <w:numPr>
                <w:ilvl w:val="0"/>
                <w:numId w:val="320"/>
              </w:numPr>
              <w:rPr>
                <w:szCs w:val="18"/>
              </w:rPr>
            </w:pPr>
            <w:r w:rsidRPr="00583050">
              <w:rPr>
                <w:szCs w:val="18"/>
              </w:rPr>
              <w:t>Chen (2020)</w:t>
            </w:r>
            <w:r w:rsidRPr="00583050">
              <w:rPr>
                <w:szCs w:val="18"/>
                <w:vertAlign w:val="superscript"/>
              </w:rPr>
              <w:t>7</w:t>
            </w:r>
          </w:p>
        </w:tc>
        <w:tc>
          <w:tcPr>
            <w:tcW w:w="2457" w:type="pct"/>
            <w:shd w:val="clear" w:color="auto" w:fill="F2F2F2" w:themeFill="background1" w:themeFillShade="F2"/>
          </w:tcPr>
          <w:p w14:paraId="64403134" w14:textId="77777777" w:rsidR="00C324F3" w:rsidRPr="00583050" w:rsidRDefault="00C324F3" w:rsidP="00C324F3">
            <w:pPr>
              <w:pStyle w:val="ListParagraph"/>
              <w:numPr>
                <w:ilvl w:val="0"/>
                <w:numId w:val="320"/>
              </w:numPr>
              <w:rPr>
                <w:szCs w:val="18"/>
              </w:rPr>
            </w:pPr>
            <w:r w:rsidRPr="00A44ADB">
              <w:rPr>
                <w:szCs w:val="18"/>
                <w:u w:val="single"/>
              </w:rPr>
              <w:t xml:space="preserve">Efficacy: </w:t>
            </w:r>
            <w:r w:rsidRPr="00A44ADB">
              <w:rPr>
                <w:szCs w:val="18"/>
              </w:rPr>
              <w:t>Statistically significant</w:t>
            </w:r>
            <w:r>
              <w:rPr>
                <w:szCs w:val="18"/>
                <w:vertAlign w:val="superscript"/>
              </w:rPr>
              <w:t xml:space="preserve"> </w:t>
            </w:r>
            <w:r>
              <w:rPr>
                <w:szCs w:val="18"/>
              </w:rPr>
              <w:t>b</w:t>
            </w:r>
            <w:r w:rsidRPr="00583050">
              <w:rPr>
                <w:szCs w:val="18"/>
              </w:rPr>
              <w:t>ased on RR and RD (in favour of varenicline)</w:t>
            </w:r>
            <w:r>
              <w:rPr>
                <w:szCs w:val="18"/>
              </w:rPr>
              <w:t>.</w:t>
            </w:r>
          </w:p>
          <w:p w14:paraId="0DAC824B" w14:textId="77777777" w:rsidR="00C324F3" w:rsidRPr="002030E6" w:rsidRDefault="00C324F3" w:rsidP="00C324F3">
            <w:pPr>
              <w:pStyle w:val="ListParagraph"/>
              <w:numPr>
                <w:ilvl w:val="0"/>
                <w:numId w:val="320"/>
              </w:numPr>
              <w:rPr>
                <w:szCs w:val="18"/>
                <w:u w:val="single"/>
              </w:rPr>
            </w:pPr>
            <w:r w:rsidRPr="00A44ADB">
              <w:rPr>
                <w:szCs w:val="18"/>
                <w:u w:val="single"/>
              </w:rPr>
              <w:t xml:space="preserve">Safety: </w:t>
            </w:r>
            <w:r w:rsidRPr="002030E6">
              <w:rPr>
                <w:szCs w:val="18"/>
              </w:rPr>
              <w:t>Statistically significant</w:t>
            </w:r>
            <w:r>
              <w:rPr>
                <w:szCs w:val="18"/>
              </w:rPr>
              <w:t xml:space="preserve"> based on RR and RD </w:t>
            </w:r>
            <w:r w:rsidRPr="00A44ADB">
              <w:rPr>
                <w:szCs w:val="18"/>
              </w:rPr>
              <w:t>(nausea, vivid dreams; higher in varenicline</w:t>
            </w:r>
            <w:r w:rsidRPr="00DE6EAF">
              <w:rPr>
                <w:szCs w:val="18"/>
              </w:rPr>
              <w:t>)</w:t>
            </w:r>
            <w:r>
              <w:rPr>
                <w:szCs w:val="18"/>
              </w:rPr>
              <w:t xml:space="preserve">; </w:t>
            </w:r>
            <w:r w:rsidRPr="00A44ADB">
              <w:rPr>
                <w:szCs w:val="18"/>
              </w:rPr>
              <w:t>Not statistically significant</w:t>
            </w:r>
            <w:r>
              <w:rPr>
                <w:szCs w:val="18"/>
              </w:rPr>
              <w:t xml:space="preserve"> based on RR and RD </w:t>
            </w:r>
            <w:r w:rsidRPr="00A44ADB">
              <w:rPr>
                <w:szCs w:val="18"/>
              </w:rPr>
              <w:t xml:space="preserve">(vomiting, headache, insomnia, irregular heartbeat, </w:t>
            </w:r>
            <w:r>
              <w:rPr>
                <w:szCs w:val="18"/>
              </w:rPr>
              <w:t>S</w:t>
            </w:r>
            <w:r w:rsidRPr="00A44ADB">
              <w:rPr>
                <w:szCs w:val="18"/>
              </w:rPr>
              <w:t>AEs)</w:t>
            </w:r>
            <w:r>
              <w:rPr>
                <w:szCs w:val="18"/>
              </w:rPr>
              <w:t>.</w:t>
            </w:r>
          </w:p>
        </w:tc>
      </w:tr>
      <w:tr w:rsidR="00C324F3" w:rsidRPr="00360862" w14:paraId="7922F5A4" w14:textId="77777777" w:rsidTr="007E2BB3">
        <w:trPr>
          <w:trHeight w:val="523"/>
        </w:trPr>
        <w:tc>
          <w:tcPr>
            <w:tcW w:w="1095" w:type="pct"/>
            <w:shd w:val="clear" w:color="auto" w:fill="F2F2F2" w:themeFill="background1" w:themeFillShade="F2"/>
          </w:tcPr>
          <w:p w14:paraId="167F518A" w14:textId="77777777" w:rsidR="00C324F3" w:rsidRDefault="00C324F3" w:rsidP="00777459">
            <w:pPr>
              <w:rPr>
                <w:szCs w:val="18"/>
              </w:rPr>
            </w:pPr>
            <w:r>
              <w:rPr>
                <w:szCs w:val="18"/>
              </w:rPr>
              <w:t>Combination NRT</w:t>
            </w:r>
            <w:r>
              <w:rPr>
                <w:szCs w:val="18"/>
                <w:vertAlign w:val="superscript"/>
              </w:rPr>
              <w:t>5</w:t>
            </w:r>
            <w:r>
              <w:rPr>
                <w:szCs w:val="18"/>
              </w:rPr>
              <w:t xml:space="preserve"> vs varenicline</w:t>
            </w:r>
          </w:p>
        </w:tc>
        <w:tc>
          <w:tcPr>
            <w:tcW w:w="1448" w:type="pct"/>
            <w:shd w:val="clear" w:color="auto" w:fill="F2F2F2" w:themeFill="background1" w:themeFillShade="F2"/>
          </w:tcPr>
          <w:p w14:paraId="2D67C911" w14:textId="77777777" w:rsidR="00C324F3" w:rsidRPr="006C1DAD" w:rsidRDefault="00C324F3" w:rsidP="00C324F3">
            <w:pPr>
              <w:pStyle w:val="ListParagraph"/>
              <w:numPr>
                <w:ilvl w:val="0"/>
                <w:numId w:val="320"/>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14:paraId="019951EB" w14:textId="77777777" w:rsidR="00C324F3" w:rsidRPr="00876252" w:rsidRDefault="00C324F3" w:rsidP="00C324F3">
            <w:pPr>
              <w:pStyle w:val="ListParagraph"/>
              <w:numPr>
                <w:ilvl w:val="0"/>
                <w:numId w:val="320"/>
              </w:numPr>
              <w:rPr>
                <w:szCs w:val="18"/>
              </w:rPr>
            </w:pPr>
            <w:r w:rsidRPr="00876252">
              <w:rPr>
                <w:szCs w:val="18"/>
                <w:u w:val="single"/>
              </w:rPr>
              <w:t xml:space="preserve">Efficacy: </w:t>
            </w:r>
            <w:r w:rsidRPr="00876252">
              <w:rPr>
                <w:szCs w:val="18"/>
              </w:rPr>
              <w:t>Not statistically significant</w:t>
            </w:r>
            <w:r>
              <w:rPr>
                <w:szCs w:val="18"/>
              </w:rPr>
              <w:t xml:space="preserve"> based on OR.</w:t>
            </w:r>
          </w:p>
          <w:p w14:paraId="71E85572" w14:textId="77777777" w:rsidR="00C324F3" w:rsidRPr="00876252" w:rsidRDefault="00C324F3" w:rsidP="00C324F3">
            <w:pPr>
              <w:pStyle w:val="ListParagraph"/>
              <w:numPr>
                <w:ilvl w:val="0"/>
                <w:numId w:val="320"/>
              </w:numPr>
              <w:rPr>
                <w:szCs w:val="18"/>
                <w:u w:val="single"/>
              </w:rPr>
            </w:pPr>
            <w:r w:rsidRPr="00876252">
              <w:rPr>
                <w:szCs w:val="18"/>
                <w:u w:val="single"/>
              </w:rPr>
              <w:t>Safety:</w:t>
            </w:r>
            <w:r w:rsidRPr="00876252">
              <w:rPr>
                <w:szCs w:val="18"/>
              </w:rPr>
              <w:t xml:space="preserve"> No safety comparison was conducted by the authors</w:t>
            </w:r>
            <w:r>
              <w:rPr>
                <w:szCs w:val="18"/>
              </w:rPr>
              <w:t>.</w:t>
            </w:r>
          </w:p>
        </w:tc>
      </w:tr>
      <w:tr w:rsidR="00C324F3" w:rsidRPr="00360862" w14:paraId="4016C686" w14:textId="77777777" w:rsidTr="007E2BB3">
        <w:trPr>
          <w:trHeight w:val="523"/>
        </w:trPr>
        <w:tc>
          <w:tcPr>
            <w:tcW w:w="1095" w:type="pct"/>
            <w:shd w:val="clear" w:color="auto" w:fill="F2F2F2" w:themeFill="background1" w:themeFillShade="F2"/>
          </w:tcPr>
          <w:p w14:paraId="4D368A4A" w14:textId="77777777" w:rsidR="00C324F3" w:rsidRDefault="00C324F3" w:rsidP="00777459">
            <w:pPr>
              <w:rPr>
                <w:szCs w:val="18"/>
              </w:rPr>
            </w:pPr>
            <w:r>
              <w:rPr>
                <w:szCs w:val="18"/>
              </w:rPr>
              <w:t>Combination NRT</w:t>
            </w:r>
            <w:r>
              <w:rPr>
                <w:szCs w:val="18"/>
                <w:vertAlign w:val="superscript"/>
              </w:rPr>
              <w:t>5</w:t>
            </w:r>
            <w:r>
              <w:rPr>
                <w:szCs w:val="18"/>
              </w:rPr>
              <w:t xml:space="preserve"> vs bupropion</w:t>
            </w:r>
          </w:p>
        </w:tc>
        <w:tc>
          <w:tcPr>
            <w:tcW w:w="1448" w:type="pct"/>
            <w:shd w:val="clear" w:color="auto" w:fill="F2F2F2" w:themeFill="background1" w:themeFillShade="F2"/>
          </w:tcPr>
          <w:p w14:paraId="40642082" w14:textId="77777777" w:rsidR="00C324F3" w:rsidRPr="006C1DAD" w:rsidRDefault="00C324F3" w:rsidP="00C324F3">
            <w:pPr>
              <w:pStyle w:val="ListParagraph"/>
              <w:numPr>
                <w:ilvl w:val="0"/>
                <w:numId w:val="320"/>
              </w:numPr>
              <w:rPr>
                <w:szCs w:val="18"/>
              </w:rPr>
            </w:pPr>
            <w:r w:rsidRPr="00583050">
              <w:rPr>
                <w:szCs w:val="18"/>
              </w:rPr>
              <w:t>Cahill (2013)</w:t>
            </w:r>
            <w:r w:rsidRPr="00583050">
              <w:rPr>
                <w:szCs w:val="18"/>
                <w:vertAlign w:val="superscript"/>
              </w:rPr>
              <w:t>6</w:t>
            </w:r>
          </w:p>
        </w:tc>
        <w:tc>
          <w:tcPr>
            <w:tcW w:w="2457" w:type="pct"/>
            <w:shd w:val="clear" w:color="auto" w:fill="F2F2F2" w:themeFill="background1" w:themeFillShade="F2"/>
          </w:tcPr>
          <w:p w14:paraId="5C3FFD15" w14:textId="77777777" w:rsidR="00C324F3" w:rsidRPr="00583050" w:rsidRDefault="00C324F3" w:rsidP="00C324F3">
            <w:pPr>
              <w:pStyle w:val="ListParagraph"/>
              <w:numPr>
                <w:ilvl w:val="0"/>
                <w:numId w:val="320"/>
              </w:numPr>
              <w:rPr>
                <w:szCs w:val="18"/>
              </w:rPr>
            </w:pPr>
            <w:r w:rsidRPr="00876252">
              <w:rPr>
                <w:szCs w:val="18"/>
                <w:u w:val="single"/>
              </w:rPr>
              <w:t xml:space="preserve">Efficacy: </w:t>
            </w:r>
            <w:r w:rsidRPr="00876252">
              <w:rPr>
                <w:szCs w:val="18"/>
              </w:rPr>
              <w:t>Statistically significant</w:t>
            </w:r>
            <w:r>
              <w:rPr>
                <w:szCs w:val="18"/>
              </w:rPr>
              <w:t xml:space="preserve"> based on OR </w:t>
            </w:r>
            <w:r w:rsidRPr="00583050">
              <w:rPr>
                <w:szCs w:val="18"/>
              </w:rPr>
              <w:t>(in favour of combination NRT)</w:t>
            </w:r>
            <w:r>
              <w:rPr>
                <w:szCs w:val="18"/>
              </w:rPr>
              <w:t>.</w:t>
            </w:r>
          </w:p>
          <w:p w14:paraId="1DDCF103" w14:textId="77777777" w:rsidR="00C324F3" w:rsidRPr="00876252" w:rsidRDefault="00C324F3" w:rsidP="00C324F3">
            <w:pPr>
              <w:pStyle w:val="ListParagraph"/>
              <w:numPr>
                <w:ilvl w:val="0"/>
                <w:numId w:val="320"/>
              </w:numPr>
              <w:rPr>
                <w:szCs w:val="18"/>
                <w:u w:val="single"/>
              </w:rPr>
            </w:pPr>
            <w:r w:rsidRPr="00876252">
              <w:rPr>
                <w:szCs w:val="18"/>
                <w:u w:val="single"/>
              </w:rPr>
              <w:t xml:space="preserve">Safety: </w:t>
            </w:r>
            <w:r w:rsidRPr="00876252">
              <w:rPr>
                <w:szCs w:val="18"/>
              </w:rPr>
              <w:t>No safety comparison was conducted by the authors.</w:t>
            </w:r>
          </w:p>
        </w:tc>
      </w:tr>
    </w:tbl>
    <w:p w14:paraId="44CAD2A1" w14:textId="77777777" w:rsidR="00C324F3" w:rsidRDefault="00C324F3" w:rsidP="007E2BB3">
      <w:pPr>
        <w:pStyle w:val="TableFooter"/>
        <w:jc w:val="both"/>
      </w:pPr>
      <w:r>
        <w:t>Abbreviations: AEs = adverse events; NRT = nicotine replacement therapy; OR = odds ratio; RR = risk ratio, RD = risk difference; SAEs = serious adverse events.</w:t>
      </w:r>
    </w:p>
    <w:p w14:paraId="33FF3D0F" w14:textId="77777777" w:rsidR="00C324F3" w:rsidRDefault="00C324F3" w:rsidP="007E2BB3">
      <w:pPr>
        <w:pStyle w:val="TableFooter"/>
        <w:jc w:val="both"/>
      </w:pPr>
      <w:r w:rsidRPr="00BE36E8">
        <w:t xml:space="preserve">Notes: </w:t>
      </w:r>
    </w:p>
    <w:p w14:paraId="61D648BB" w14:textId="77777777" w:rsidR="00C324F3" w:rsidRPr="007B1E27" w:rsidRDefault="00C324F3" w:rsidP="007E2BB3">
      <w:pPr>
        <w:pStyle w:val="TableFooter"/>
        <w:jc w:val="both"/>
      </w:pPr>
      <w:r>
        <w:t xml:space="preserve">1 </w:t>
      </w:r>
      <w:r w:rsidRPr="007B1E27">
        <w:t>Combination NRT administered either as patch+lozenge, patch+gum, patch+inhaler, or patch+lozenge and gum.</w:t>
      </w:r>
    </w:p>
    <w:p w14:paraId="74B1176E" w14:textId="77777777" w:rsidR="00C324F3" w:rsidRPr="007B1E27" w:rsidRDefault="00C324F3" w:rsidP="007E2BB3">
      <w:pPr>
        <w:pStyle w:val="TableFooter"/>
        <w:jc w:val="both"/>
      </w:pPr>
      <w:r>
        <w:t xml:space="preserve">2 </w:t>
      </w:r>
      <w:r w:rsidRPr="007B1E27">
        <w:t>Combination NRT administered either as patch+lozenge, patch+gum, patch+inhaler, patch+nasal spray, or patch+oral spray.</w:t>
      </w:r>
    </w:p>
    <w:p w14:paraId="48DCCD92" w14:textId="77777777" w:rsidR="00C324F3" w:rsidRPr="007B1E27" w:rsidRDefault="00C324F3" w:rsidP="007E2BB3">
      <w:pPr>
        <w:pStyle w:val="TableFooter"/>
        <w:jc w:val="both"/>
      </w:pPr>
      <w:r>
        <w:t xml:space="preserve">3 </w:t>
      </w:r>
      <w:r w:rsidRPr="007B1E27">
        <w:t>Combination NRT administered either as patch+lozenge, patch+gum, patch+inhaler, or patch+nasal spray.</w:t>
      </w:r>
    </w:p>
    <w:p w14:paraId="59C7488F" w14:textId="77777777" w:rsidR="00C324F3" w:rsidRPr="00A44ADB" w:rsidRDefault="00C324F3" w:rsidP="007E2BB3">
      <w:pPr>
        <w:pStyle w:val="TableFooter"/>
        <w:jc w:val="both"/>
      </w:pPr>
      <w:r>
        <w:t>4</w:t>
      </w:r>
      <w:r w:rsidRPr="00BE36E8">
        <w:t xml:space="preserve"> </w:t>
      </w:r>
      <w:r w:rsidRPr="00A44ADB">
        <w:t>Combination of NRT patches and lozenges.</w:t>
      </w:r>
    </w:p>
    <w:p w14:paraId="4D376CB7" w14:textId="77777777" w:rsidR="00C324F3" w:rsidRPr="00A44ADB" w:rsidRDefault="00C324F3" w:rsidP="007E2BB3">
      <w:pPr>
        <w:pStyle w:val="TableFooter"/>
        <w:jc w:val="both"/>
      </w:pPr>
      <w:r>
        <w:t xml:space="preserve">5 </w:t>
      </w:r>
      <w:r w:rsidRPr="00A44ADB">
        <w:t>The types of formulations used in the combination NRT treatment arm were clinically heterogeneous.</w:t>
      </w:r>
    </w:p>
    <w:p w14:paraId="62528F5B" w14:textId="77777777" w:rsidR="00C324F3" w:rsidRDefault="00C324F3" w:rsidP="007E2BB3">
      <w:pPr>
        <w:pStyle w:val="TableFooter"/>
        <w:jc w:val="both"/>
      </w:pPr>
      <w:r>
        <w:t xml:space="preserve">6 </w:t>
      </w:r>
      <w:r w:rsidRPr="00BE36E8">
        <w:t>Cochrane Review</w:t>
      </w:r>
      <w:r>
        <w:t>.</w:t>
      </w:r>
    </w:p>
    <w:p w14:paraId="14527EF6" w14:textId="77777777" w:rsidR="00C324F3" w:rsidRPr="007F4C6A" w:rsidRDefault="00C324F3" w:rsidP="007E2BB3">
      <w:pPr>
        <w:pStyle w:val="TableFooter"/>
        <w:jc w:val="both"/>
      </w:pPr>
      <w:r>
        <w:t>7 Supplemental evidence (RCT).</w:t>
      </w:r>
    </w:p>
    <w:p w14:paraId="370E5A7C" w14:textId="7B146E2D" w:rsidR="00C324F3" w:rsidRPr="0043205F" w:rsidRDefault="00C324F3" w:rsidP="007E2BB3">
      <w:pPr>
        <w:pStyle w:val="TableFooter"/>
        <w:keepNext/>
        <w:spacing w:after="120"/>
        <w:contextualSpacing w:val="0"/>
        <w:jc w:val="both"/>
      </w:pPr>
      <w:r>
        <w:t xml:space="preserve">8 </w:t>
      </w:r>
      <w:r w:rsidRPr="007B1E27">
        <w:t>Statistically significant based on risk ratio but not significant based on risk difference (RR = 1.60, 95% CI: 1.10, 2.32; RD = 0.10, 95% CI: 0.10, -0.04, 0.23).</w:t>
      </w:r>
    </w:p>
    <w:p w14:paraId="4DC6F419" w14:textId="77777777" w:rsidR="007E2BB3" w:rsidRDefault="007E2BB3">
      <w:pPr>
        <w:spacing w:line="276" w:lineRule="auto"/>
        <w:rPr>
          <w:b/>
          <w:bCs/>
        </w:rPr>
      </w:pPr>
      <w:r>
        <w:rPr>
          <w:b/>
          <w:bCs/>
        </w:rPr>
        <w:br w:type="page"/>
      </w:r>
    </w:p>
    <w:p w14:paraId="3CB213D9" w14:textId="233545E4" w:rsidR="00C324F3" w:rsidRPr="003C0301" w:rsidRDefault="00C324F3" w:rsidP="007E2BB3">
      <w:pPr>
        <w:spacing w:after="120"/>
        <w:jc w:val="both"/>
        <w:rPr>
          <w:b/>
          <w:bCs/>
        </w:rPr>
      </w:pPr>
      <w:r w:rsidRPr="003C0301">
        <w:rPr>
          <w:b/>
          <w:bCs/>
        </w:rPr>
        <w:lastRenderedPageBreak/>
        <w:t>Combination varenicline</w:t>
      </w:r>
    </w:p>
    <w:p w14:paraId="16B04CA4" w14:textId="77777777" w:rsidR="00C324F3" w:rsidRPr="00925038" w:rsidRDefault="00C324F3" w:rsidP="007E2BB3">
      <w:pPr>
        <w:spacing w:after="120"/>
        <w:jc w:val="both"/>
      </w:pPr>
      <w:r w:rsidRPr="00925038">
        <w:t>Treatment-naïve population</w:t>
      </w:r>
    </w:p>
    <w:p w14:paraId="0478FD22" w14:textId="0A159D6A" w:rsidR="00C324F3" w:rsidRPr="00A81526" w:rsidRDefault="00C324F3" w:rsidP="007E2BB3">
      <w:pPr>
        <w:pStyle w:val="ListParagraph"/>
        <w:numPr>
          <w:ilvl w:val="0"/>
          <w:numId w:val="278"/>
        </w:numPr>
        <w:jc w:val="both"/>
      </w:pPr>
      <w:r w:rsidRPr="00925038">
        <w:t xml:space="preserve">Varenicline in combination with NRT patch was shown to be superior to varenicline alone in terms of efficacy, </w:t>
      </w:r>
      <w:r>
        <w:t>but</w:t>
      </w:r>
      <w:r w:rsidRPr="00A81526">
        <w:t xml:space="preserve"> the results were no longer significant after excluding one RCT identified to be different in study design (pre-cessation treatment with patch) and participant characteristics (more females than males). There were no statistically significant differences between varenicline plus NRT patch and varenicline alone in terms of nausea, insomnia, abnormal </w:t>
      </w:r>
      <w:r w:rsidR="008260A0" w:rsidRPr="00A81526">
        <w:t>dreams,</w:t>
      </w:r>
      <w:r w:rsidRPr="00A81526">
        <w:t xml:space="preserve"> or headache.</w:t>
      </w:r>
    </w:p>
    <w:p w14:paraId="3093B4C1" w14:textId="77777777" w:rsidR="00C324F3" w:rsidRDefault="00C324F3" w:rsidP="007E2BB3">
      <w:pPr>
        <w:pStyle w:val="ListParagraph"/>
        <w:numPr>
          <w:ilvl w:val="0"/>
          <w:numId w:val="278"/>
        </w:numPr>
        <w:spacing w:after="240"/>
        <w:ind w:left="357" w:hanging="357"/>
        <w:contextualSpacing w:val="0"/>
        <w:jc w:val="both"/>
      </w:pPr>
      <w:r>
        <w:t>There were no statistically significant differences between v</w:t>
      </w:r>
      <w:r w:rsidRPr="00734F63">
        <w:t xml:space="preserve">arenicline plus bupropion </w:t>
      </w:r>
      <w:r>
        <w:t xml:space="preserve">compared </w:t>
      </w:r>
      <w:r w:rsidRPr="00734F63">
        <w:t xml:space="preserve">to varenicline alone in terms of efficacy. </w:t>
      </w:r>
      <w:r>
        <w:t>While</w:t>
      </w:r>
      <w:r w:rsidRPr="00734F63">
        <w:t xml:space="preserve"> a significantly higher proportion of patients in the varenicline plus bupropion arm experienc</w:t>
      </w:r>
      <w:r>
        <w:t>ed</w:t>
      </w:r>
      <w:r w:rsidRPr="00734F63">
        <w:t xml:space="preserve"> any adverse events and psychiatric adverse events compared with patients in the varenicline alone arm, there were no statistically significant differences in serious adverse events and discontinuation due to adverse events.</w:t>
      </w:r>
    </w:p>
    <w:tbl>
      <w:tblPr>
        <w:tblStyle w:val="TableGrid3"/>
        <w:tblW w:w="5000" w:type="pct"/>
        <w:shd w:val="clear" w:color="auto" w:fill="F2F2F2" w:themeFill="background1" w:themeFillShade="F2"/>
        <w:tblLook w:val="04A0" w:firstRow="1" w:lastRow="0" w:firstColumn="1" w:lastColumn="0" w:noHBand="0" w:noVBand="1"/>
      </w:tblPr>
      <w:tblGrid>
        <w:gridCol w:w="2154"/>
        <w:gridCol w:w="1800"/>
        <w:gridCol w:w="5062"/>
      </w:tblGrid>
      <w:tr w:rsidR="00C324F3" w:rsidRPr="00916516" w14:paraId="148B6469" w14:textId="77777777" w:rsidTr="007E2BB3">
        <w:trPr>
          <w:trHeight w:val="67"/>
        </w:trPr>
        <w:tc>
          <w:tcPr>
            <w:tcW w:w="1195" w:type="pct"/>
            <w:shd w:val="clear" w:color="auto" w:fill="F2F2F2" w:themeFill="background1" w:themeFillShade="F2"/>
            <w:hideMark/>
          </w:tcPr>
          <w:p w14:paraId="2D8A1AD1" w14:textId="77777777" w:rsidR="00C324F3" w:rsidRPr="00916516" w:rsidRDefault="00C324F3" w:rsidP="00777459">
            <w:pPr>
              <w:rPr>
                <w:szCs w:val="18"/>
              </w:rPr>
            </w:pPr>
            <w:r w:rsidRPr="00916516">
              <w:rPr>
                <w:b/>
                <w:bCs/>
                <w:szCs w:val="18"/>
              </w:rPr>
              <w:t>Compar</w:t>
            </w:r>
            <w:r>
              <w:rPr>
                <w:b/>
                <w:bCs/>
                <w:szCs w:val="18"/>
              </w:rPr>
              <w:t>ison</w:t>
            </w:r>
          </w:p>
        </w:tc>
        <w:tc>
          <w:tcPr>
            <w:tcW w:w="998" w:type="pct"/>
            <w:shd w:val="clear" w:color="auto" w:fill="F2F2F2" w:themeFill="background1" w:themeFillShade="F2"/>
            <w:hideMark/>
          </w:tcPr>
          <w:p w14:paraId="2633A170" w14:textId="77777777"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14:paraId="25C5138A" w14:textId="77777777" w:rsidR="00C324F3" w:rsidRPr="00916516" w:rsidRDefault="00C324F3" w:rsidP="00777459">
            <w:pPr>
              <w:jc w:val="center"/>
              <w:rPr>
                <w:szCs w:val="18"/>
              </w:rPr>
            </w:pPr>
            <w:r>
              <w:rPr>
                <w:b/>
                <w:bCs/>
                <w:szCs w:val="18"/>
              </w:rPr>
              <w:t>Summary of evidence</w:t>
            </w:r>
          </w:p>
        </w:tc>
      </w:tr>
      <w:tr w:rsidR="00C324F3" w:rsidRPr="00916516" w14:paraId="543B30CB" w14:textId="77777777" w:rsidTr="007E2BB3">
        <w:trPr>
          <w:trHeight w:val="164"/>
        </w:trPr>
        <w:tc>
          <w:tcPr>
            <w:tcW w:w="5000" w:type="pct"/>
            <w:gridSpan w:val="3"/>
            <w:shd w:val="clear" w:color="auto" w:fill="F2F2F2" w:themeFill="background1" w:themeFillShade="F2"/>
            <w:hideMark/>
          </w:tcPr>
          <w:p w14:paraId="4297CA5D" w14:textId="77777777"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63070A" w14:paraId="7309B474" w14:textId="77777777" w:rsidTr="007E2BB3">
        <w:trPr>
          <w:trHeight w:val="345"/>
        </w:trPr>
        <w:tc>
          <w:tcPr>
            <w:tcW w:w="1195" w:type="pct"/>
            <w:shd w:val="clear" w:color="auto" w:fill="F2F2F2" w:themeFill="background1" w:themeFillShade="F2"/>
            <w:hideMark/>
          </w:tcPr>
          <w:p w14:paraId="7DCBC1DF" w14:textId="77777777" w:rsidR="00C324F3" w:rsidRPr="00360862" w:rsidRDefault="00C324F3" w:rsidP="00777459">
            <w:pPr>
              <w:tabs>
                <w:tab w:val="left" w:pos="1198"/>
              </w:tabs>
              <w:rPr>
                <w:szCs w:val="18"/>
              </w:rPr>
            </w:pPr>
            <w:r w:rsidRPr="00552AFA">
              <w:rPr>
                <w:szCs w:val="18"/>
              </w:rPr>
              <w:t>Varenicline + NRT patch</w:t>
            </w:r>
            <w:r>
              <w:rPr>
                <w:szCs w:val="18"/>
              </w:rPr>
              <w:t xml:space="preserve"> vs varenicline alone</w:t>
            </w:r>
          </w:p>
        </w:tc>
        <w:tc>
          <w:tcPr>
            <w:tcW w:w="998" w:type="pct"/>
            <w:shd w:val="clear" w:color="auto" w:fill="F2F2F2" w:themeFill="background1" w:themeFillShade="F2"/>
            <w:hideMark/>
          </w:tcPr>
          <w:p w14:paraId="0CD977F5" w14:textId="77777777" w:rsidR="00C324F3" w:rsidRPr="00614418" w:rsidRDefault="00C324F3" w:rsidP="00C324F3">
            <w:pPr>
              <w:pStyle w:val="ListParagraph"/>
              <w:numPr>
                <w:ilvl w:val="0"/>
                <w:numId w:val="318"/>
              </w:numPr>
              <w:rPr>
                <w:szCs w:val="18"/>
              </w:rPr>
            </w:pPr>
            <w:r w:rsidRPr="00614418">
              <w:rPr>
                <w:szCs w:val="18"/>
              </w:rPr>
              <w:t>Chang</w:t>
            </w:r>
            <w:r>
              <w:rPr>
                <w:szCs w:val="18"/>
              </w:rPr>
              <w:t xml:space="preserve"> </w:t>
            </w:r>
            <w:r w:rsidRPr="00614418">
              <w:rPr>
                <w:szCs w:val="18"/>
              </w:rPr>
              <w:t>(2015</w:t>
            </w:r>
            <w:r>
              <w:rPr>
                <w:szCs w:val="18"/>
              </w:rPr>
              <w:t>)</w:t>
            </w:r>
            <w:r w:rsidRPr="00614418">
              <w:rPr>
                <w:szCs w:val="18"/>
                <w:vertAlign w:val="superscript"/>
              </w:rPr>
              <w:t>2</w:t>
            </w:r>
          </w:p>
        </w:tc>
        <w:tc>
          <w:tcPr>
            <w:tcW w:w="2807" w:type="pct"/>
            <w:shd w:val="clear" w:color="auto" w:fill="F2F2F2" w:themeFill="background1" w:themeFillShade="F2"/>
            <w:hideMark/>
          </w:tcPr>
          <w:p w14:paraId="0DDBB3DF" w14:textId="77777777" w:rsidR="00C324F3" w:rsidRPr="00552AFA"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52AFA">
              <w:rPr>
                <w:szCs w:val="18"/>
              </w:rPr>
              <w:t>Statistically significant</w:t>
            </w:r>
            <w:r>
              <w:rPr>
                <w:szCs w:val="18"/>
                <w:vertAlign w:val="superscript"/>
              </w:rPr>
              <w:t xml:space="preserve">3 </w:t>
            </w:r>
            <w:r>
              <w:rPr>
                <w:szCs w:val="18"/>
              </w:rPr>
              <w:t xml:space="preserve">based on OR </w:t>
            </w:r>
            <w:r w:rsidRPr="00552AFA">
              <w:rPr>
                <w:szCs w:val="18"/>
              </w:rPr>
              <w:t>(in favour of varenicline+NRT patch)</w:t>
            </w:r>
            <w:r>
              <w:rPr>
                <w:szCs w:val="18"/>
              </w:rPr>
              <w:t>.</w:t>
            </w:r>
          </w:p>
          <w:p w14:paraId="40901886" w14:textId="77777777" w:rsidR="00C324F3" w:rsidRPr="00552AFA"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552AFA">
              <w:rPr>
                <w:szCs w:val="18"/>
              </w:rPr>
              <w:t>Not statistically significant</w:t>
            </w:r>
            <w:r>
              <w:rPr>
                <w:szCs w:val="18"/>
              </w:rPr>
              <w:t xml:space="preserve"> based on OR </w:t>
            </w:r>
            <w:r w:rsidRPr="00552AFA">
              <w:rPr>
                <w:szCs w:val="18"/>
              </w:rPr>
              <w:t>(nausea, insomnia, abnormal dreams, headache)</w:t>
            </w:r>
            <w:r>
              <w:rPr>
                <w:szCs w:val="18"/>
              </w:rPr>
              <w:t>.</w:t>
            </w:r>
          </w:p>
        </w:tc>
      </w:tr>
      <w:tr w:rsidR="00C324F3" w:rsidRPr="00360862" w14:paraId="2B3D036E" w14:textId="77777777" w:rsidTr="007E2BB3">
        <w:trPr>
          <w:trHeight w:val="617"/>
        </w:trPr>
        <w:tc>
          <w:tcPr>
            <w:tcW w:w="1195" w:type="pct"/>
            <w:shd w:val="clear" w:color="auto" w:fill="F2F2F2" w:themeFill="background1" w:themeFillShade="F2"/>
            <w:hideMark/>
          </w:tcPr>
          <w:p w14:paraId="565CB5EF" w14:textId="693A1EB7" w:rsidR="00C324F3" w:rsidRPr="00360862" w:rsidRDefault="00C324F3" w:rsidP="00777459">
            <w:pPr>
              <w:rPr>
                <w:szCs w:val="18"/>
              </w:rPr>
            </w:pPr>
            <w:r w:rsidRPr="00552AFA">
              <w:rPr>
                <w:szCs w:val="18"/>
              </w:rPr>
              <w:t>Varenicline + bupropion</w:t>
            </w:r>
            <w:r>
              <w:rPr>
                <w:szCs w:val="18"/>
              </w:rPr>
              <w:t xml:space="preserve"> vs varenicline alone</w:t>
            </w:r>
          </w:p>
        </w:tc>
        <w:tc>
          <w:tcPr>
            <w:tcW w:w="998" w:type="pct"/>
            <w:shd w:val="clear" w:color="auto" w:fill="F2F2F2" w:themeFill="background1" w:themeFillShade="F2"/>
            <w:hideMark/>
          </w:tcPr>
          <w:p w14:paraId="3DBC6BF7" w14:textId="77777777" w:rsidR="00C324F3" w:rsidRPr="002A5E9C" w:rsidRDefault="00C324F3" w:rsidP="00C324F3">
            <w:pPr>
              <w:pStyle w:val="ListParagraph"/>
              <w:numPr>
                <w:ilvl w:val="0"/>
                <w:numId w:val="319"/>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sidRPr="00614418">
              <w:rPr>
                <w:rFonts w:eastAsia="MS Mincho"/>
                <w:vertAlign w:val="superscript"/>
              </w:rPr>
              <w:t>1</w:t>
            </w:r>
          </w:p>
        </w:tc>
        <w:tc>
          <w:tcPr>
            <w:tcW w:w="2807" w:type="pct"/>
            <w:shd w:val="clear" w:color="auto" w:fill="F2F2F2" w:themeFill="background1" w:themeFillShade="F2"/>
            <w:hideMark/>
          </w:tcPr>
          <w:p w14:paraId="0086A9EB" w14:textId="77777777" w:rsidR="00C324F3" w:rsidRPr="00552AFA"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52AFA">
              <w:rPr>
                <w:szCs w:val="18"/>
              </w:rPr>
              <w:t>Not statistically significant</w:t>
            </w:r>
            <w:r>
              <w:rPr>
                <w:szCs w:val="18"/>
              </w:rPr>
              <w:t xml:space="preserve"> based on RR. </w:t>
            </w:r>
          </w:p>
          <w:p w14:paraId="49313EEA" w14:textId="77777777"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552AFA">
              <w:rPr>
                <w:szCs w:val="18"/>
              </w:rPr>
              <w:t>Statistically significant</w:t>
            </w:r>
            <w:r>
              <w:rPr>
                <w:szCs w:val="18"/>
              </w:rPr>
              <w:t xml:space="preserve"> based on RR </w:t>
            </w:r>
            <w:r w:rsidRPr="00552AFA">
              <w:rPr>
                <w:szCs w:val="18"/>
              </w:rPr>
              <w:t>(any AEs, psychiatric AEs; higher in varenicline+bupropion)</w:t>
            </w:r>
            <w:r>
              <w:rPr>
                <w:szCs w:val="18"/>
              </w:rPr>
              <w:t>;</w:t>
            </w:r>
          </w:p>
          <w:p w14:paraId="014766BD" w14:textId="77777777" w:rsidR="00C324F3" w:rsidRPr="00552AFA" w:rsidRDefault="00C324F3" w:rsidP="00777459">
            <w:pPr>
              <w:pStyle w:val="ListParagraph"/>
              <w:ind w:left="360"/>
              <w:rPr>
                <w:szCs w:val="18"/>
              </w:rPr>
            </w:pPr>
            <w:r w:rsidRPr="00552AFA">
              <w:rPr>
                <w:szCs w:val="18"/>
              </w:rPr>
              <w:t xml:space="preserve">Not statistically significant </w:t>
            </w:r>
            <w:r>
              <w:rPr>
                <w:szCs w:val="18"/>
              </w:rPr>
              <w:t xml:space="preserve">based on RR </w:t>
            </w:r>
            <w:r w:rsidRPr="00552AFA">
              <w:rPr>
                <w:szCs w:val="18"/>
              </w:rPr>
              <w:t>(</w:t>
            </w:r>
            <w:r>
              <w:rPr>
                <w:szCs w:val="18"/>
              </w:rPr>
              <w:t>S</w:t>
            </w:r>
            <w:r w:rsidRPr="00552AFA">
              <w:rPr>
                <w:szCs w:val="18"/>
              </w:rPr>
              <w:t>AEs, discontinuation due to AEs)</w:t>
            </w:r>
            <w:r>
              <w:rPr>
                <w:szCs w:val="18"/>
              </w:rPr>
              <w:t>.</w:t>
            </w:r>
          </w:p>
        </w:tc>
      </w:tr>
    </w:tbl>
    <w:p w14:paraId="5EB9513A" w14:textId="77777777" w:rsidR="00C324F3" w:rsidRDefault="00C324F3" w:rsidP="007E2BB3">
      <w:pPr>
        <w:pStyle w:val="TableFooter"/>
        <w:keepNext/>
        <w:jc w:val="both"/>
      </w:pPr>
      <w:r>
        <w:t xml:space="preserve">Abbreviations: AEs = adverse events; NRT = nicotine replacement therapy; OR = odds ratio; RR = risk ratio, RD = risk difference; SAEs = serious adverse events. </w:t>
      </w:r>
    </w:p>
    <w:p w14:paraId="066E013E" w14:textId="77777777" w:rsidR="00C324F3" w:rsidRDefault="00C324F3" w:rsidP="007E2BB3">
      <w:pPr>
        <w:pStyle w:val="TableFooter"/>
        <w:keepNext/>
        <w:jc w:val="both"/>
      </w:pPr>
      <w:r w:rsidRPr="00BE36E8">
        <w:t xml:space="preserve">Notes: </w:t>
      </w:r>
    </w:p>
    <w:p w14:paraId="4532572E" w14:textId="77777777" w:rsidR="00C324F3" w:rsidRDefault="00C324F3" w:rsidP="007E2BB3">
      <w:pPr>
        <w:pStyle w:val="TableFooter"/>
        <w:keepNext/>
        <w:jc w:val="both"/>
      </w:pPr>
      <w:r w:rsidRPr="00BE36E8">
        <w:t>1 Cochrane Review</w:t>
      </w:r>
      <w:r>
        <w:t>.</w:t>
      </w:r>
    </w:p>
    <w:p w14:paraId="37474745" w14:textId="77777777" w:rsidR="00C324F3" w:rsidRPr="007F4C6A" w:rsidRDefault="00C324F3" w:rsidP="007E2BB3">
      <w:pPr>
        <w:pStyle w:val="TableFooter"/>
        <w:keepNext/>
        <w:jc w:val="both"/>
      </w:pPr>
      <w:r>
        <w:t xml:space="preserve">2 Non-Cochrane systematic review. </w:t>
      </w:r>
    </w:p>
    <w:p w14:paraId="4485E773" w14:textId="77777777" w:rsidR="00C324F3" w:rsidRPr="00B51756" w:rsidRDefault="00C324F3" w:rsidP="007E2BB3">
      <w:pPr>
        <w:pStyle w:val="TableFooter"/>
        <w:keepNext/>
        <w:spacing w:after="120"/>
        <w:contextualSpacing w:val="0"/>
        <w:jc w:val="both"/>
      </w:pPr>
      <w:r>
        <w:t xml:space="preserve">3 </w:t>
      </w:r>
      <w:r w:rsidRPr="00552AFA">
        <w:t>The results were no longer significant after excluding one RCT identified to be different in study design (pre-cessation treatment with patch) and participant characteristics (more females than males).</w:t>
      </w:r>
    </w:p>
    <w:p w14:paraId="600D0842" w14:textId="77777777" w:rsidR="00C324F3" w:rsidRPr="003C0301" w:rsidRDefault="00C324F3" w:rsidP="007E2BB3">
      <w:pPr>
        <w:spacing w:after="120"/>
        <w:jc w:val="both"/>
        <w:rPr>
          <w:b/>
          <w:bCs/>
        </w:rPr>
      </w:pPr>
      <w:r w:rsidRPr="003C0301">
        <w:rPr>
          <w:b/>
          <w:bCs/>
        </w:rPr>
        <w:t>Combination bupropion</w:t>
      </w:r>
    </w:p>
    <w:p w14:paraId="6F02B1E0" w14:textId="77777777" w:rsidR="00C324F3" w:rsidRPr="00B71EA5" w:rsidRDefault="00C324F3" w:rsidP="005F3E50">
      <w:pPr>
        <w:spacing w:after="120"/>
        <w:jc w:val="both"/>
      </w:pPr>
      <w:r w:rsidRPr="00B71EA5">
        <w:t>Treatment-naïve population</w:t>
      </w:r>
    </w:p>
    <w:p w14:paraId="556EDFC6" w14:textId="30797E43" w:rsidR="005F3E50" w:rsidRDefault="00C324F3" w:rsidP="005F3E50">
      <w:pPr>
        <w:pStyle w:val="ListParagraph"/>
        <w:numPr>
          <w:ilvl w:val="0"/>
          <w:numId w:val="279"/>
        </w:numPr>
        <w:spacing w:after="120"/>
        <w:ind w:left="357" w:hanging="357"/>
        <w:contextualSpacing w:val="0"/>
        <w:jc w:val="both"/>
      </w:pPr>
      <w:r>
        <w:t>There were no statistically significant differences between b</w:t>
      </w:r>
      <w:r w:rsidRPr="00B71EA5">
        <w:t xml:space="preserve">upropion in combination with NRT </w:t>
      </w:r>
      <w:r>
        <w:t xml:space="preserve">compared </w:t>
      </w:r>
      <w:r w:rsidRPr="00B71EA5">
        <w:t xml:space="preserve">to NRT alone (either as patch, </w:t>
      </w:r>
      <w:r w:rsidR="008260A0" w:rsidRPr="00B71EA5">
        <w:t>lozenge,</w:t>
      </w:r>
      <w:r w:rsidRPr="00B71EA5">
        <w:t xml:space="preserve"> or choice of NRT) in terms of efficacy. </w:t>
      </w:r>
      <w:r>
        <w:t>While</w:t>
      </w:r>
      <w:r w:rsidRPr="00B71EA5">
        <w:t xml:space="preserve"> a significantly higher proportion of patients in the bupropion plus NRT arm experienc</w:t>
      </w:r>
      <w:r>
        <w:t>ed</w:t>
      </w:r>
      <w:r w:rsidRPr="00B71EA5">
        <w:t xml:space="preserve"> any adverse events compared with patients in the NRT alone arm, there were no statistically significant differences in serious adverse events and discontinuation due to adverse events.</w:t>
      </w:r>
    </w:p>
    <w:p w14:paraId="1CF9ACB3" w14:textId="6EC8B412" w:rsidR="00C324F3" w:rsidRDefault="005F3E50" w:rsidP="005F3E50">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C324F3" w:rsidRPr="00916516" w14:paraId="653F57A1" w14:textId="77777777" w:rsidTr="00A8607D">
        <w:trPr>
          <w:trHeight w:val="67"/>
        </w:trPr>
        <w:tc>
          <w:tcPr>
            <w:tcW w:w="1095" w:type="pct"/>
            <w:shd w:val="clear" w:color="auto" w:fill="F2F2F2" w:themeFill="background1" w:themeFillShade="F2"/>
            <w:hideMark/>
          </w:tcPr>
          <w:p w14:paraId="198BA372"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098" w:type="pct"/>
            <w:shd w:val="clear" w:color="auto" w:fill="F2F2F2" w:themeFill="background1" w:themeFillShade="F2"/>
            <w:hideMark/>
          </w:tcPr>
          <w:p w14:paraId="1D0A1133" w14:textId="77777777"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14:paraId="2642A1A1" w14:textId="77777777" w:rsidR="00C324F3" w:rsidRPr="00916516" w:rsidRDefault="00C324F3" w:rsidP="00777459">
            <w:pPr>
              <w:jc w:val="center"/>
              <w:rPr>
                <w:szCs w:val="18"/>
              </w:rPr>
            </w:pPr>
            <w:r>
              <w:rPr>
                <w:b/>
                <w:bCs/>
                <w:szCs w:val="18"/>
              </w:rPr>
              <w:t>Summary of evidence</w:t>
            </w:r>
          </w:p>
        </w:tc>
      </w:tr>
      <w:tr w:rsidR="00C324F3" w:rsidRPr="00916516" w14:paraId="25154A14" w14:textId="77777777" w:rsidTr="00A8607D">
        <w:trPr>
          <w:trHeight w:val="164"/>
        </w:trPr>
        <w:tc>
          <w:tcPr>
            <w:tcW w:w="5000" w:type="pct"/>
            <w:gridSpan w:val="3"/>
            <w:shd w:val="clear" w:color="auto" w:fill="F2F2F2" w:themeFill="background1" w:themeFillShade="F2"/>
            <w:hideMark/>
          </w:tcPr>
          <w:p w14:paraId="4A11B9E4" w14:textId="77777777" w:rsidR="00C324F3" w:rsidRPr="00916516" w:rsidRDefault="00C324F3" w:rsidP="00777459">
            <w:pPr>
              <w:tabs>
                <w:tab w:val="left" w:pos="3037"/>
              </w:tabs>
              <w:rPr>
                <w:szCs w:val="18"/>
              </w:rPr>
            </w:pPr>
            <w:r w:rsidRPr="00916516">
              <w:rPr>
                <w:b/>
                <w:bCs/>
                <w:szCs w:val="18"/>
              </w:rPr>
              <w:t>Treatment-naïve populatio</w:t>
            </w:r>
            <w:r>
              <w:rPr>
                <w:b/>
                <w:bCs/>
                <w:szCs w:val="18"/>
              </w:rPr>
              <w:t>n</w:t>
            </w:r>
          </w:p>
        </w:tc>
      </w:tr>
      <w:tr w:rsidR="00C324F3" w:rsidRPr="00552AFA" w14:paraId="551128D3" w14:textId="77777777" w:rsidTr="00A8607D">
        <w:trPr>
          <w:trHeight w:val="345"/>
        </w:trPr>
        <w:tc>
          <w:tcPr>
            <w:tcW w:w="1095" w:type="pct"/>
            <w:shd w:val="clear" w:color="auto" w:fill="F2F2F2" w:themeFill="background1" w:themeFillShade="F2"/>
            <w:hideMark/>
          </w:tcPr>
          <w:p w14:paraId="3CC7AA79" w14:textId="65BDB796" w:rsidR="00C324F3" w:rsidRPr="00C370DF" w:rsidRDefault="00C324F3" w:rsidP="00777459">
            <w:pPr>
              <w:tabs>
                <w:tab w:val="left" w:pos="1198"/>
              </w:tabs>
              <w:rPr>
                <w:szCs w:val="18"/>
              </w:rPr>
            </w:pPr>
            <w:r w:rsidRPr="00C370DF">
              <w:rPr>
                <w:szCs w:val="18"/>
              </w:rPr>
              <w:t>Bupropion + NRT</w:t>
            </w:r>
            <w:r w:rsidR="002871E9" w:rsidRPr="00C370DF">
              <w:rPr>
                <w:szCs w:val="18"/>
                <w:vertAlign w:val="superscript"/>
              </w:rPr>
              <w:t>1</w:t>
            </w:r>
            <w:r w:rsidR="002871E9">
              <w:rPr>
                <w:szCs w:val="18"/>
                <w:vertAlign w:val="superscript"/>
              </w:rPr>
              <w:t xml:space="preserve"> vs</w:t>
            </w:r>
            <w:r>
              <w:rPr>
                <w:szCs w:val="18"/>
              </w:rPr>
              <w:t xml:space="preserve"> NRT monotherapy</w:t>
            </w:r>
          </w:p>
        </w:tc>
        <w:tc>
          <w:tcPr>
            <w:tcW w:w="1098" w:type="pct"/>
            <w:shd w:val="clear" w:color="auto" w:fill="F2F2F2" w:themeFill="background1" w:themeFillShade="F2"/>
            <w:hideMark/>
          </w:tcPr>
          <w:p w14:paraId="52E3A931" w14:textId="77777777" w:rsidR="00C324F3" w:rsidRPr="009A0D52" w:rsidRDefault="00C324F3" w:rsidP="00C324F3">
            <w:pPr>
              <w:pStyle w:val="ListParagraph"/>
              <w:numPr>
                <w:ilvl w:val="0"/>
                <w:numId w:val="318"/>
              </w:numPr>
              <w:rPr>
                <w:szCs w:val="18"/>
              </w:rPr>
            </w:pPr>
            <w:r>
              <w:rPr>
                <w:rFonts w:eastAsia="MS Mincho"/>
              </w:rPr>
              <w:t>Howes</w:t>
            </w:r>
            <w:r w:rsidRPr="00061F78">
              <w:rPr>
                <w:rFonts w:eastAsia="MS Mincho"/>
              </w:rPr>
              <w:t xml:space="preserve"> (20</w:t>
            </w:r>
            <w:r>
              <w:rPr>
                <w:rFonts w:eastAsia="MS Mincho"/>
              </w:rPr>
              <w:t>20</w:t>
            </w:r>
            <w:r w:rsidRPr="00061F78">
              <w:rPr>
                <w:rFonts w:eastAsia="MS Mincho"/>
              </w:rPr>
              <w:t>)</w:t>
            </w:r>
            <w:r>
              <w:rPr>
                <w:rFonts w:eastAsia="MS Mincho"/>
                <w:vertAlign w:val="superscript"/>
              </w:rPr>
              <w:t>2</w:t>
            </w:r>
          </w:p>
        </w:tc>
        <w:tc>
          <w:tcPr>
            <w:tcW w:w="2807" w:type="pct"/>
            <w:shd w:val="clear" w:color="auto" w:fill="F2F2F2" w:themeFill="background1" w:themeFillShade="F2"/>
            <w:hideMark/>
          </w:tcPr>
          <w:p w14:paraId="02DE905A" w14:textId="77777777" w:rsidR="00C324F3" w:rsidRPr="00C370DF" w:rsidRDefault="00C324F3" w:rsidP="00C324F3">
            <w:pPr>
              <w:pStyle w:val="ListParagraph"/>
              <w:numPr>
                <w:ilvl w:val="0"/>
                <w:numId w:val="317"/>
              </w:numPr>
              <w:rPr>
                <w:szCs w:val="18"/>
              </w:rPr>
            </w:pPr>
            <w:r w:rsidRPr="00360862">
              <w:rPr>
                <w:szCs w:val="18"/>
                <w:u w:val="single"/>
              </w:rPr>
              <w:t>Efficacy</w:t>
            </w:r>
            <w:r w:rsidRPr="00360862">
              <w:rPr>
                <w:szCs w:val="18"/>
              </w:rPr>
              <w:t>:</w:t>
            </w:r>
            <w:r>
              <w:rPr>
                <w:szCs w:val="18"/>
              </w:rPr>
              <w:t xml:space="preserve"> </w:t>
            </w:r>
            <w:r w:rsidRPr="00C370DF">
              <w:rPr>
                <w:szCs w:val="18"/>
              </w:rPr>
              <w:t>Not statistically significant</w:t>
            </w:r>
            <w:r>
              <w:rPr>
                <w:szCs w:val="18"/>
              </w:rPr>
              <w:t xml:space="preserve"> based on RR.</w:t>
            </w:r>
            <w:r w:rsidRPr="00C370DF">
              <w:rPr>
                <w:szCs w:val="18"/>
              </w:rPr>
              <w:t xml:space="preserve"> </w:t>
            </w:r>
          </w:p>
          <w:p w14:paraId="2F546E1D" w14:textId="77777777" w:rsidR="00C324F3" w:rsidRPr="00C370DF"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C370DF">
              <w:rPr>
                <w:szCs w:val="18"/>
              </w:rPr>
              <w:t>Statistically significant</w:t>
            </w:r>
            <w:r>
              <w:rPr>
                <w:szCs w:val="18"/>
              </w:rPr>
              <w:t xml:space="preserve"> based on RR </w:t>
            </w:r>
            <w:r w:rsidRPr="00C370DF">
              <w:rPr>
                <w:szCs w:val="18"/>
              </w:rPr>
              <w:t>(any AEs; higher in bupropion+NRT)</w:t>
            </w:r>
            <w:r>
              <w:rPr>
                <w:szCs w:val="18"/>
              </w:rPr>
              <w:t xml:space="preserve">; </w:t>
            </w:r>
            <w:r w:rsidRPr="00C370DF">
              <w:rPr>
                <w:szCs w:val="18"/>
              </w:rPr>
              <w:t>Not statistically significant</w:t>
            </w:r>
            <w:r>
              <w:rPr>
                <w:szCs w:val="18"/>
              </w:rPr>
              <w:t xml:space="preserve"> based on RR </w:t>
            </w:r>
            <w:r w:rsidRPr="00C370DF">
              <w:rPr>
                <w:szCs w:val="18"/>
              </w:rPr>
              <w:t>(</w:t>
            </w:r>
            <w:r>
              <w:rPr>
                <w:szCs w:val="18"/>
              </w:rPr>
              <w:t>S</w:t>
            </w:r>
            <w:r w:rsidRPr="00C370DF">
              <w:rPr>
                <w:szCs w:val="18"/>
              </w:rPr>
              <w:t>AEs, discontinuation due to AEs)</w:t>
            </w:r>
            <w:r>
              <w:rPr>
                <w:szCs w:val="18"/>
              </w:rPr>
              <w:t>.</w:t>
            </w:r>
          </w:p>
        </w:tc>
      </w:tr>
    </w:tbl>
    <w:p w14:paraId="0E5812C7" w14:textId="77777777" w:rsidR="00C324F3" w:rsidRDefault="00C324F3" w:rsidP="005F3E50">
      <w:pPr>
        <w:pStyle w:val="TableFooter"/>
        <w:keepNext/>
        <w:jc w:val="both"/>
      </w:pPr>
      <w:r>
        <w:t>Abbreviations: AEs = adverse events; NRT = nicotine replacement therapy; RR = risk ratio; SAEs = serious adverse events.</w:t>
      </w:r>
    </w:p>
    <w:p w14:paraId="63D513E3" w14:textId="77777777" w:rsidR="00C324F3" w:rsidRDefault="00C324F3" w:rsidP="005F3E50">
      <w:pPr>
        <w:pStyle w:val="TableFooter"/>
        <w:keepNext/>
        <w:jc w:val="both"/>
      </w:pPr>
      <w:r w:rsidRPr="00BE36E8">
        <w:t xml:space="preserve">Notes: </w:t>
      </w:r>
    </w:p>
    <w:p w14:paraId="0068E321" w14:textId="6C37D309" w:rsidR="00C324F3" w:rsidRDefault="00C324F3" w:rsidP="005F3E50">
      <w:pPr>
        <w:pStyle w:val="TableFooter"/>
        <w:keepNext/>
        <w:jc w:val="both"/>
      </w:pPr>
      <w:r w:rsidRPr="00BE36E8">
        <w:t xml:space="preserve">1 </w:t>
      </w:r>
      <w:r w:rsidRPr="00C370DF">
        <w:t xml:space="preserve">NRT administered either as patch, </w:t>
      </w:r>
      <w:r w:rsidR="008260A0" w:rsidRPr="00C370DF">
        <w:t>lozenge,</w:t>
      </w:r>
      <w:r w:rsidRPr="00C370DF">
        <w:t xml:space="preserve"> or choice of NRT.</w:t>
      </w:r>
    </w:p>
    <w:p w14:paraId="52DE1F89" w14:textId="77777777" w:rsidR="00C324F3" w:rsidRPr="00210F5E" w:rsidRDefault="00C324F3" w:rsidP="00A8607D">
      <w:pPr>
        <w:pStyle w:val="TableFooter"/>
        <w:keepNext/>
        <w:spacing w:after="120"/>
        <w:contextualSpacing w:val="0"/>
        <w:jc w:val="both"/>
      </w:pPr>
      <w:r>
        <w:t xml:space="preserve">2 </w:t>
      </w:r>
      <w:r w:rsidRPr="00BE36E8">
        <w:t>Cochrane Review</w:t>
      </w:r>
      <w:r>
        <w:t>.</w:t>
      </w:r>
    </w:p>
    <w:p w14:paraId="2E6CAD9A" w14:textId="77777777" w:rsidR="00C324F3" w:rsidRPr="00B71EA5" w:rsidRDefault="00C324F3" w:rsidP="00A8607D">
      <w:pPr>
        <w:spacing w:after="120"/>
        <w:jc w:val="both"/>
      </w:pPr>
      <w:r w:rsidRPr="00B71EA5">
        <w:t>Treatment-experienced population</w:t>
      </w:r>
    </w:p>
    <w:p w14:paraId="1A4CC537" w14:textId="77777777" w:rsidR="00C324F3" w:rsidRDefault="00C324F3" w:rsidP="00A8607D">
      <w:pPr>
        <w:pStyle w:val="ListParagraph"/>
        <w:numPr>
          <w:ilvl w:val="0"/>
          <w:numId w:val="279"/>
        </w:numPr>
        <w:spacing w:after="240"/>
        <w:ind w:left="357" w:hanging="357"/>
        <w:contextualSpacing w:val="0"/>
        <w:jc w:val="both"/>
      </w:pPr>
      <w:r>
        <w:t>There were no statistically significant differences between b</w:t>
      </w:r>
      <w:r w:rsidRPr="00B71EA5">
        <w:t xml:space="preserve">upropion in combination with NRT </w:t>
      </w:r>
      <w:r>
        <w:t xml:space="preserve">(either as gum or inhaler) compared </w:t>
      </w:r>
      <w:r w:rsidRPr="00B71EA5">
        <w:t>to placebo as a relapse prevention treatment in abstainers.</w:t>
      </w:r>
      <w:r>
        <w:t xml:space="preserve"> </w:t>
      </w:r>
      <w:r w:rsidRPr="00663D67">
        <w:t>The adverse events reported were consistent with those expected of bupropion and NRT.</w:t>
      </w:r>
    </w:p>
    <w:tbl>
      <w:tblPr>
        <w:tblStyle w:val="TableGrid3"/>
        <w:tblW w:w="5000" w:type="pct"/>
        <w:shd w:val="clear" w:color="auto" w:fill="F2F2F2" w:themeFill="background1" w:themeFillShade="F2"/>
        <w:tblLook w:val="04A0" w:firstRow="1" w:lastRow="0" w:firstColumn="1" w:lastColumn="0" w:noHBand="0" w:noVBand="1"/>
      </w:tblPr>
      <w:tblGrid>
        <w:gridCol w:w="2065"/>
        <w:gridCol w:w="2699"/>
        <w:gridCol w:w="4252"/>
      </w:tblGrid>
      <w:tr w:rsidR="00C324F3" w:rsidRPr="00916516" w14:paraId="076BCD0D" w14:textId="77777777" w:rsidTr="00A8607D">
        <w:trPr>
          <w:trHeight w:val="67"/>
        </w:trPr>
        <w:tc>
          <w:tcPr>
            <w:tcW w:w="1145" w:type="pct"/>
            <w:shd w:val="clear" w:color="auto" w:fill="F2F2F2" w:themeFill="background1" w:themeFillShade="F2"/>
            <w:hideMark/>
          </w:tcPr>
          <w:p w14:paraId="0E368169" w14:textId="77777777" w:rsidR="00C324F3" w:rsidRPr="00916516" w:rsidRDefault="00C324F3" w:rsidP="00777459">
            <w:pPr>
              <w:rPr>
                <w:szCs w:val="18"/>
              </w:rPr>
            </w:pPr>
            <w:r w:rsidRPr="00916516">
              <w:rPr>
                <w:b/>
                <w:bCs/>
                <w:szCs w:val="18"/>
              </w:rPr>
              <w:t>Compar</w:t>
            </w:r>
            <w:r>
              <w:rPr>
                <w:b/>
                <w:bCs/>
                <w:szCs w:val="18"/>
              </w:rPr>
              <w:t>ison</w:t>
            </w:r>
          </w:p>
        </w:tc>
        <w:tc>
          <w:tcPr>
            <w:tcW w:w="1497" w:type="pct"/>
            <w:shd w:val="clear" w:color="auto" w:fill="F2F2F2" w:themeFill="background1" w:themeFillShade="F2"/>
            <w:hideMark/>
          </w:tcPr>
          <w:p w14:paraId="5C0F55FC" w14:textId="77777777" w:rsidR="00C324F3" w:rsidRPr="00916516" w:rsidRDefault="00C324F3" w:rsidP="00777459">
            <w:pPr>
              <w:jc w:val="center"/>
              <w:rPr>
                <w:szCs w:val="18"/>
              </w:rPr>
            </w:pPr>
            <w:r>
              <w:rPr>
                <w:b/>
                <w:bCs/>
                <w:szCs w:val="18"/>
              </w:rPr>
              <w:t>Included studies</w:t>
            </w:r>
          </w:p>
        </w:tc>
        <w:tc>
          <w:tcPr>
            <w:tcW w:w="2358" w:type="pct"/>
            <w:shd w:val="clear" w:color="auto" w:fill="F2F2F2" w:themeFill="background1" w:themeFillShade="F2"/>
            <w:hideMark/>
          </w:tcPr>
          <w:p w14:paraId="53629144" w14:textId="77777777" w:rsidR="00C324F3" w:rsidRPr="00916516" w:rsidRDefault="00C324F3" w:rsidP="00777459">
            <w:pPr>
              <w:jc w:val="center"/>
              <w:rPr>
                <w:szCs w:val="18"/>
              </w:rPr>
            </w:pPr>
            <w:r>
              <w:rPr>
                <w:b/>
                <w:bCs/>
                <w:szCs w:val="18"/>
              </w:rPr>
              <w:t>Summary of evidence</w:t>
            </w:r>
          </w:p>
        </w:tc>
      </w:tr>
      <w:tr w:rsidR="00C324F3" w:rsidRPr="00916516" w14:paraId="788EFEA1" w14:textId="77777777" w:rsidTr="00A8607D">
        <w:trPr>
          <w:trHeight w:val="164"/>
        </w:trPr>
        <w:tc>
          <w:tcPr>
            <w:tcW w:w="5000" w:type="pct"/>
            <w:gridSpan w:val="3"/>
            <w:shd w:val="clear" w:color="auto" w:fill="F2F2F2" w:themeFill="background1" w:themeFillShade="F2"/>
            <w:hideMark/>
          </w:tcPr>
          <w:p w14:paraId="4DA61C0D" w14:textId="77777777" w:rsidR="00C324F3" w:rsidRPr="00916516" w:rsidRDefault="00C324F3" w:rsidP="00777459">
            <w:pPr>
              <w:tabs>
                <w:tab w:val="left" w:pos="3037"/>
              </w:tabs>
              <w:rPr>
                <w:szCs w:val="18"/>
              </w:rPr>
            </w:pPr>
            <w:r w:rsidRPr="00C370DF">
              <w:rPr>
                <w:b/>
                <w:bCs/>
                <w:szCs w:val="18"/>
              </w:rPr>
              <w:t>Treatment-experienced population (relapse prevention treatment in abstainers)</w:t>
            </w:r>
          </w:p>
        </w:tc>
      </w:tr>
      <w:tr w:rsidR="00C324F3" w:rsidRPr="00552AFA" w14:paraId="65C94DF1" w14:textId="77777777" w:rsidTr="00A8607D">
        <w:trPr>
          <w:trHeight w:val="345"/>
        </w:trPr>
        <w:tc>
          <w:tcPr>
            <w:tcW w:w="1145" w:type="pct"/>
            <w:shd w:val="clear" w:color="auto" w:fill="F2F2F2" w:themeFill="background1" w:themeFillShade="F2"/>
            <w:hideMark/>
          </w:tcPr>
          <w:p w14:paraId="20CB5383" w14:textId="77777777" w:rsidR="00C324F3" w:rsidRPr="00360862" w:rsidRDefault="00C324F3" w:rsidP="00777459">
            <w:pPr>
              <w:tabs>
                <w:tab w:val="left" w:pos="1198"/>
              </w:tabs>
              <w:rPr>
                <w:szCs w:val="18"/>
              </w:rPr>
            </w:pPr>
            <w:r w:rsidRPr="00C370DF">
              <w:rPr>
                <w:szCs w:val="18"/>
              </w:rPr>
              <w:t>Bupropion + NRT</w:t>
            </w:r>
            <w:r w:rsidRPr="00C370DF">
              <w:rPr>
                <w:szCs w:val="18"/>
                <w:vertAlign w:val="superscript"/>
              </w:rPr>
              <w:t>1</w:t>
            </w:r>
            <w:r>
              <w:rPr>
                <w:szCs w:val="18"/>
              </w:rPr>
              <w:t xml:space="preserve"> vs placebo</w:t>
            </w:r>
          </w:p>
        </w:tc>
        <w:tc>
          <w:tcPr>
            <w:tcW w:w="1497" w:type="pct"/>
            <w:shd w:val="clear" w:color="auto" w:fill="F2F2F2" w:themeFill="background1" w:themeFillShade="F2"/>
            <w:hideMark/>
          </w:tcPr>
          <w:p w14:paraId="334F8728" w14:textId="77777777" w:rsidR="00C324F3" w:rsidRPr="009A0D52" w:rsidRDefault="00C324F3" w:rsidP="00C324F3">
            <w:pPr>
              <w:pStyle w:val="ListParagraph"/>
              <w:numPr>
                <w:ilvl w:val="0"/>
                <w:numId w:val="318"/>
              </w:numPr>
              <w:rPr>
                <w:szCs w:val="18"/>
              </w:rPr>
            </w:pPr>
            <w:r>
              <w:rPr>
                <w:rFonts w:eastAsia="MS Mincho"/>
              </w:rPr>
              <w:t>Livingstone-Banks (2019)</w:t>
            </w:r>
            <w:r w:rsidRPr="009A0D52">
              <w:rPr>
                <w:rFonts w:eastAsia="MS Mincho"/>
                <w:vertAlign w:val="superscript"/>
              </w:rPr>
              <w:t>2</w:t>
            </w:r>
          </w:p>
        </w:tc>
        <w:tc>
          <w:tcPr>
            <w:tcW w:w="2358" w:type="pct"/>
            <w:shd w:val="clear" w:color="auto" w:fill="F2F2F2" w:themeFill="background1" w:themeFillShade="F2"/>
            <w:hideMark/>
          </w:tcPr>
          <w:p w14:paraId="0D00D6B6" w14:textId="77777777" w:rsidR="00C324F3" w:rsidRPr="00E338EF"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E338EF">
              <w:rPr>
                <w:szCs w:val="18"/>
              </w:rPr>
              <w:t>Not statistically significant</w:t>
            </w:r>
            <w:r>
              <w:rPr>
                <w:szCs w:val="18"/>
              </w:rPr>
              <w:t xml:space="preserve"> based on RR.</w:t>
            </w:r>
          </w:p>
          <w:p w14:paraId="7439BB09" w14:textId="77777777" w:rsidR="00C324F3" w:rsidRPr="00E338EF"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E338EF">
              <w:rPr>
                <w:szCs w:val="18"/>
              </w:rPr>
              <w:t>AEs reported were consistent with those expected of bupropion and NRT</w:t>
            </w:r>
            <w:r>
              <w:rPr>
                <w:szCs w:val="18"/>
              </w:rPr>
              <w:t>.</w:t>
            </w:r>
          </w:p>
        </w:tc>
      </w:tr>
    </w:tbl>
    <w:p w14:paraId="76BFF22F" w14:textId="77777777" w:rsidR="00C324F3" w:rsidRDefault="00C324F3" w:rsidP="00A8607D">
      <w:pPr>
        <w:pStyle w:val="TableFooter"/>
        <w:keepNext/>
        <w:jc w:val="both"/>
      </w:pPr>
      <w:r>
        <w:t>Abbreviations: AEs = adverse events; NRT = nicotine replacement therapy; RR = risk ratio.</w:t>
      </w:r>
    </w:p>
    <w:p w14:paraId="3CBAFAE6" w14:textId="77777777" w:rsidR="00C324F3" w:rsidRDefault="00C324F3" w:rsidP="00A8607D">
      <w:pPr>
        <w:pStyle w:val="TableFooter"/>
        <w:keepNext/>
        <w:jc w:val="both"/>
      </w:pPr>
      <w:r w:rsidRPr="00BE36E8">
        <w:t xml:space="preserve">Notes: </w:t>
      </w:r>
    </w:p>
    <w:p w14:paraId="6C380CEA" w14:textId="77777777" w:rsidR="00C324F3" w:rsidRDefault="00C324F3" w:rsidP="00A8607D">
      <w:pPr>
        <w:pStyle w:val="TableFooter"/>
        <w:keepNext/>
        <w:jc w:val="both"/>
      </w:pPr>
      <w:r w:rsidRPr="00BE36E8">
        <w:t xml:space="preserve">1 </w:t>
      </w:r>
      <w:r w:rsidRPr="00C370DF">
        <w:t>NRT administered either as gum or inhaler.</w:t>
      </w:r>
    </w:p>
    <w:p w14:paraId="3D545229" w14:textId="77777777" w:rsidR="00C324F3" w:rsidRPr="002C3186" w:rsidRDefault="00C324F3" w:rsidP="00A8607D">
      <w:pPr>
        <w:pStyle w:val="TableFooter"/>
        <w:keepNext/>
        <w:spacing w:after="120"/>
        <w:contextualSpacing w:val="0"/>
        <w:jc w:val="both"/>
      </w:pPr>
      <w:r>
        <w:t xml:space="preserve">2 </w:t>
      </w:r>
      <w:r w:rsidRPr="00BE36E8">
        <w:t>Cochrane Review</w:t>
      </w:r>
      <w:r>
        <w:t>.</w:t>
      </w:r>
    </w:p>
    <w:p w14:paraId="66E0D120" w14:textId="77777777" w:rsidR="00C324F3" w:rsidRDefault="00C324F3" w:rsidP="00A8607D">
      <w:pPr>
        <w:pStyle w:val="Heading3"/>
        <w:spacing w:before="0" w:after="120"/>
        <w:jc w:val="both"/>
      </w:pPr>
      <w:bookmarkStart w:id="14" w:name="_Toc69976541"/>
      <w:bookmarkStart w:id="15" w:name="_Toc115254502"/>
      <w:r>
        <w:t>NRT dose, dosage form and length of therapy</w:t>
      </w:r>
      <w:bookmarkEnd w:id="14"/>
      <w:bookmarkEnd w:id="15"/>
    </w:p>
    <w:p w14:paraId="59C3977C" w14:textId="77777777" w:rsidR="00C324F3" w:rsidRDefault="00C324F3" w:rsidP="00A8607D">
      <w:pPr>
        <w:spacing w:after="120"/>
        <w:jc w:val="both"/>
        <w:rPr>
          <w:rFonts w:eastAsiaTheme="minorEastAsia"/>
          <w:b/>
          <w:i/>
          <w:sz w:val="28"/>
          <w:szCs w:val="28"/>
        </w:rPr>
      </w:pPr>
      <w:r w:rsidRPr="00DA1566">
        <w:rPr>
          <w:rFonts w:eastAsiaTheme="minorEastAsia"/>
          <w:b/>
          <w:i/>
          <w:sz w:val="28"/>
          <w:szCs w:val="28"/>
        </w:rPr>
        <w:t>Examine the efficacy and safety of NRT with respect to dose, dosage form, length of therapy and combination thera</w:t>
      </w:r>
      <w:r>
        <w:rPr>
          <w:rFonts w:eastAsiaTheme="minorEastAsia"/>
          <w:b/>
          <w:i/>
          <w:sz w:val="28"/>
          <w:szCs w:val="28"/>
        </w:rPr>
        <w:t>py</w:t>
      </w:r>
    </w:p>
    <w:p w14:paraId="3F97483D" w14:textId="77777777" w:rsidR="00C324F3" w:rsidRPr="00A61CF6" w:rsidRDefault="00C324F3" w:rsidP="00A8607D">
      <w:pPr>
        <w:spacing w:after="120"/>
        <w:jc w:val="both"/>
        <w:rPr>
          <w:b/>
          <w:bCs/>
        </w:rPr>
      </w:pPr>
      <w:r w:rsidRPr="00A61CF6">
        <w:rPr>
          <w:b/>
          <w:bCs/>
        </w:rPr>
        <w:t>NRT dose</w:t>
      </w:r>
    </w:p>
    <w:p w14:paraId="29BB1DFC" w14:textId="77777777" w:rsidR="00C324F3" w:rsidRDefault="00C324F3" w:rsidP="00A8607D">
      <w:pPr>
        <w:pStyle w:val="ListParagraph"/>
        <w:numPr>
          <w:ilvl w:val="0"/>
          <w:numId w:val="279"/>
        </w:numPr>
        <w:spacing w:after="0"/>
        <w:ind w:left="357" w:hanging="357"/>
        <w:contextualSpacing w:val="0"/>
        <w:jc w:val="both"/>
      </w:pPr>
      <w:r w:rsidRPr="002B518E">
        <w:t>Higher strength NRT patch</w:t>
      </w:r>
      <w:r>
        <w:t>es</w:t>
      </w:r>
      <w:r w:rsidRPr="002B518E">
        <w:t xml:space="preserve"> (21 mg/24-hour) w</w:t>
      </w:r>
      <w:r>
        <w:t>ere</w:t>
      </w:r>
      <w:r w:rsidRPr="002B518E">
        <w:t xml:space="preserve"> shown to </w:t>
      </w:r>
      <w:r>
        <w:t xml:space="preserve">be superior to </w:t>
      </w:r>
      <w:r w:rsidRPr="002B518E">
        <w:t>lower strength patch</w:t>
      </w:r>
      <w:r>
        <w:t>es</w:t>
      </w:r>
      <w:r w:rsidRPr="002B518E">
        <w:t xml:space="preserve"> (14 mg/24-hour</w:t>
      </w:r>
      <w:r>
        <w:t>) in terms of efficacy based on</w:t>
      </w:r>
      <w:r w:rsidRPr="002B518E">
        <w:t xml:space="preserve"> </w:t>
      </w:r>
      <w:r>
        <w:t>trials that primarily involved participants who smoked 20 or more cigarettes a day</w:t>
      </w:r>
      <w:r w:rsidRPr="002B518E">
        <w:t xml:space="preserve">. There were no statistically significant differences in smoking cessation rates for the other comparisons (25 mg/16-hour versus 15 mg/16-hour </w:t>
      </w:r>
      <w:r>
        <w:t>patches</w:t>
      </w:r>
      <w:r w:rsidRPr="002B518E">
        <w:t xml:space="preserve">; 42/44 mg/24-hour versus 21/22 mg/24-hour </w:t>
      </w:r>
      <w:r>
        <w:t>patches</w:t>
      </w:r>
      <w:r w:rsidRPr="002B518E">
        <w:t xml:space="preserve">). </w:t>
      </w:r>
      <w:r>
        <w:t xml:space="preserve">In Lindson et al. (2019), </w:t>
      </w:r>
      <w:r w:rsidRPr="002A2CAA">
        <w:t>studies comparing 42 mg/24-hour versus 21 mg/24-hour and 44 mg/24-hour versus 22 mg/24-hour patches</w:t>
      </w:r>
      <w:r>
        <w:t xml:space="preserve"> were pooled.</w:t>
      </w:r>
      <w:r w:rsidRPr="002B518E">
        <w:t xml:space="preserve"> For safety, there were no statistically significant differences in the key adverse events between higher strength and lower strength NRT patches for all comparisons except for treatment withdrawals comparing the 42/44 mg with 21/22 mg (24-hour) patches</w:t>
      </w:r>
      <w:r>
        <w:t>, with</w:t>
      </w:r>
      <w:r w:rsidRPr="002B518E">
        <w:t xml:space="preserve"> a significantly higher treatment withdrawal rate observed in patients treated with 42/44 mg (24-hour) patch</w:t>
      </w:r>
      <w:r>
        <w:t>es</w:t>
      </w:r>
      <w:r w:rsidRPr="002B518E">
        <w:t xml:space="preserve">. </w:t>
      </w:r>
    </w:p>
    <w:p w14:paraId="0A7A0D83" w14:textId="1C5A815C" w:rsidR="003C4A1C" w:rsidRDefault="00C324F3" w:rsidP="00A8607D">
      <w:pPr>
        <w:pStyle w:val="ListParagraph"/>
        <w:numPr>
          <w:ilvl w:val="0"/>
          <w:numId w:val="279"/>
        </w:numPr>
        <w:spacing w:after="240"/>
        <w:ind w:left="357" w:hanging="357"/>
        <w:contextualSpacing w:val="0"/>
        <w:jc w:val="both"/>
      </w:pPr>
      <w:r w:rsidRPr="002B518E">
        <w:t xml:space="preserve">Higher strength NRT gum (4 mg) </w:t>
      </w:r>
      <w:r>
        <w:t>was shown to be superior to</w:t>
      </w:r>
      <w:r w:rsidRPr="002B518E">
        <w:t xml:space="preserve"> lower strength gum (2 mg)</w:t>
      </w:r>
      <w:r>
        <w:t xml:space="preserve"> in terms of efficacy</w:t>
      </w:r>
      <w:r w:rsidRPr="002B518E">
        <w:t xml:space="preserve"> based on the pooled results of high-dependency and low-dependency smokers. However, the results of the subgroup analysis suggest that only smokers who are highly dependent may benefit from the higher strength NRT gum</w:t>
      </w:r>
      <w:r>
        <w:t>.</w:t>
      </w:r>
      <w:r w:rsidRPr="002B518E">
        <w:t xml:space="preserve"> There were no </w:t>
      </w:r>
      <w:r w:rsidRPr="002B518E">
        <w:lastRenderedPageBreak/>
        <w:t xml:space="preserve">statistically significant differences in palpitations and treatment withdrawals between the two treatment arms. </w:t>
      </w:r>
    </w:p>
    <w:tbl>
      <w:tblPr>
        <w:tblStyle w:val="TableGrid3"/>
        <w:tblW w:w="5000" w:type="pct"/>
        <w:shd w:val="clear" w:color="auto" w:fill="F2F2F2" w:themeFill="background1" w:themeFillShade="F2"/>
        <w:tblLook w:val="04A0" w:firstRow="1" w:lastRow="0" w:firstColumn="1" w:lastColumn="0" w:noHBand="0" w:noVBand="1"/>
      </w:tblPr>
      <w:tblGrid>
        <w:gridCol w:w="1884"/>
        <w:gridCol w:w="1892"/>
        <w:gridCol w:w="5240"/>
      </w:tblGrid>
      <w:tr w:rsidR="00C324F3" w:rsidRPr="00916516" w14:paraId="00C82C05" w14:textId="77777777" w:rsidTr="00A8607D">
        <w:trPr>
          <w:trHeight w:val="67"/>
        </w:trPr>
        <w:tc>
          <w:tcPr>
            <w:tcW w:w="1045" w:type="pct"/>
            <w:shd w:val="clear" w:color="auto" w:fill="F2F2F2" w:themeFill="background1" w:themeFillShade="F2"/>
            <w:hideMark/>
          </w:tcPr>
          <w:p w14:paraId="07652094" w14:textId="05337706" w:rsidR="00C324F3" w:rsidRPr="00916516" w:rsidRDefault="003C4A1C" w:rsidP="00777459">
            <w:pPr>
              <w:rPr>
                <w:szCs w:val="18"/>
              </w:rPr>
            </w:pPr>
            <w:r>
              <w:br w:type="page"/>
            </w:r>
            <w:r w:rsidR="00C324F3" w:rsidRPr="00916516">
              <w:rPr>
                <w:b/>
                <w:bCs/>
                <w:szCs w:val="18"/>
              </w:rPr>
              <w:t>Compar</w:t>
            </w:r>
            <w:r w:rsidR="00C324F3">
              <w:rPr>
                <w:b/>
                <w:bCs/>
                <w:szCs w:val="18"/>
              </w:rPr>
              <w:t>ison</w:t>
            </w:r>
          </w:p>
        </w:tc>
        <w:tc>
          <w:tcPr>
            <w:tcW w:w="1049" w:type="pct"/>
            <w:shd w:val="clear" w:color="auto" w:fill="F2F2F2" w:themeFill="background1" w:themeFillShade="F2"/>
            <w:hideMark/>
          </w:tcPr>
          <w:p w14:paraId="4D9F73E7" w14:textId="77777777" w:rsidR="00C324F3" w:rsidRPr="00916516" w:rsidRDefault="00C324F3" w:rsidP="00777459">
            <w:pPr>
              <w:jc w:val="center"/>
              <w:rPr>
                <w:szCs w:val="18"/>
              </w:rPr>
            </w:pPr>
            <w:r>
              <w:rPr>
                <w:b/>
                <w:bCs/>
                <w:szCs w:val="18"/>
              </w:rPr>
              <w:t>Included studies</w:t>
            </w:r>
          </w:p>
        </w:tc>
        <w:tc>
          <w:tcPr>
            <w:tcW w:w="2906" w:type="pct"/>
            <w:shd w:val="clear" w:color="auto" w:fill="F2F2F2" w:themeFill="background1" w:themeFillShade="F2"/>
            <w:hideMark/>
          </w:tcPr>
          <w:p w14:paraId="792E5036" w14:textId="77777777" w:rsidR="00C324F3" w:rsidRPr="00916516" w:rsidRDefault="00C324F3" w:rsidP="00777459">
            <w:pPr>
              <w:jc w:val="center"/>
              <w:rPr>
                <w:szCs w:val="18"/>
              </w:rPr>
            </w:pPr>
            <w:r>
              <w:rPr>
                <w:b/>
                <w:bCs/>
                <w:szCs w:val="18"/>
              </w:rPr>
              <w:t>Summary of evidence</w:t>
            </w:r>
          </w:p>
        </w:tc>
      </w:tr>
      <w:tr w:rsidR="00C324F3" w:rsidRPr="0063070A" w14:paraId="199A66B6" w14:textId="77777777" w:rsidTr="00A8607D">
        <w:trPr>
          <w:trHeight w:val="345"/>
        </w:trPr>
        <w:tc>
          <w:tcPr>
            <w:tcW w:w="1045" w:type="pct"/>
            <w:shd w:val="clear" w:color="auto" w:fill="F2F2F2" w:themeFill="background1" w:themeFillShade="F2"/>
            <w:hideMark/>
          </w:tcPr>
          <w:p w14:paraId="1A4D6DCC" w14:textId="77777777" w:rsidR="00C324F3" w:rsidRPr="00182A8F" w:rsidRDefault="00C324F3" w:rsidP="00777459">
            <w:pPr>
              <w:tabs>
                <w:tab w:val="left" w:pos="1198"/>
              </w:tabs>
              <w:rPr>
                <w:szCs w:val="18"/>
              </w:rPr>
            </w:pPr>
            <w:r w:rsidRPr="00182A8F">
              <w:rPr>
                <w:szCs w:val="18"/>
              </w:rPr>
              <w:t>Higher strength NRT patch</w:t>
            </w:r>
            <w:r w:rsidRPr="00182A8F">
              <w:rPr>
                <w:szCs w:val="18"/>
                <w:vertAlign w:val="superscript"/>
              </w:rPr>
              <w:t>1</w:t>
            </w:r>
            <w:r>
              <w:rPr>
                <w:szCs w:val="18"/>
              </w:rPr>
              <w:t xml:space="preserve"> vs l</w:t>
            </w:r>
            <w:r w:rsidRPr="00182A8F">
              <w:rPr>
                <w:szCs w:val="18"/>
              </w:rPr>
              <w:t>ower strength NRT patch</w:t>
            </w:r>
          </w:p>
        </w:tc>
        <w:tc>
          <w:tcPr>
            <w:tcW w:w="1049" w:type="pct"/>
            <w:shd w:val="clear" w:color="auto" w:fill="F2F2F2" w:themeFill="background1" w:themeFillShade="F2"/>
            <w:hideMark/>
          </w:tcPr>
          <w:p w14:paraId="2779E482" w14:textId="77777777" w:rsidR="00C324F3" w:rsidRPr="00614418" w:rsidRDefault="00C324F3" w:rsidP="00C324F3">
            <w:pPr>
              <w:pStyle w:val="ListParagraph"/>
              <w:numPr>
                <w:ilvl w:val="0"/>
                <w:numId w:val="318"/>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14:paraId="0A401374" w14:textId="77777777" w:rsidR="00C324F3"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182A8F">
              <w:rPr>
                <w:szCs w:val="18"/>
              </w:rPr>
              <w:t xml:space="preserve">Statistically significant </w:t>
            </w:r>
            <w:r>
              <w:rPr>
                <w:szCs w:val="18"/>
              </w:rPr>
              <w:t xml:space="preserve">based on RR </w:t>
            </w:r>
            <w:r w:rsidRPr="00182A8F">
              <w:rPr>
                <w:szCs w:val="18"/>
              </w:rPr>
              <w:t>(in favour of higher strength, 21 mg/24-hour versus 14 mg/24-hour)</w:t>
            </w:r>
            <w:r>
              <w:rPr>
                <w:szCs w:val="18"/>
              </w:rPr>
              <w:t>;</w:t>
            </w:r>
          </w:p>
          <w:p w14:paraId="5736F828" w14:textId="77777777" w:rsidR="00C324F3" w:rsidRPr="00182A8F" w:rsidRDefault="00C324F3" w:rsidP="00777459">
            <w:pPr>
              <w:pStyle w:val="ListParagraph"/>
              <w:ind w:left="360"/>
              <w:rPr>
                <w:szCs w:val="18"/>
              </w:rPr>
            </w:pPr>
            <w:r w:rsidRPr="00182A8F">
              <w:rPr>
                <w:szCs w:val="18"/>
              </w:rPr>
              <w:t xml:space="preserve">Not statistically significant </w:t>
            </w:r>
            <w:r>
              <w:rPr>
                <w:szCs w:val="18"/>
              </w:rPr>
              <w:t xml:space="preserve">based on RR </w:t>
            </w:r>
            <w:r w:rsidRPr="00182A8F">
              <w:rPr>
                <w:szCs w:val="18"/>
              </w:rPr>
              <w:t>(other comparisons)</w:t>
            </w:r>
            <w:r>
              <w:rPr>
                <w:szCs w:val="18"/>
              </w:rPr>
              <w:t xml:space="preserve">. </w:t>
            </w:r>
          </w:p>
          <w:p w14:paraId="72DB02C3" w14:textId="77777777" w:rsidR="00C324F3"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182A8F">
              <w:rPr>
                <w:szCs w:val="18"/>
              </w:rPr>
              <w:t>Statistically significant</w:t>
            </w:r>
            <w:r>
              <w:rPr>
                <w:szCs w:val="18"/>
              </w:rPr>
              <w:t xml:space="preserve"> based on RR </w:t>
            </w:r>
            <w:r w:rsidRPr="00182A8F">
              <w:rPr>
                <w:szCs w:val="18"/>
              </w:rPr>
              <w:t>(treatment withdrawals; higher in 42/44 mg/24-hour patch)</w:t>
            </w:r>
            <w:r>
              <w:rPr>
                <w:szCs w:val="18"/>
              </w:rPr>
              <w:t>;</w:t>
            </w:r>
          </w:p>
          <w:p w14:paraId="5705EE78" w14:textId="77777777" w:rsidR="00C324F3" w:rsidRPr="003C3714" w:rsidRDefault="00C324F3" w:rsidP="00777459">
            <w:pPr>
              <w:pStyle w:val="ListParagraph"/>
              <w:ind w:left="360"/>
              <w:rPr>
                <w:szCs w:val="18"/>
              </w:rPr>
            </w:pPr>
            <w:r w:rsidRPr="00182A8F">
              <w:rPr>
                <w:szCs w:val="18"/>
              </w:rPr>
              <w:t>Not statistically significant</w:t>
            </w:r>
            <w:r>
              <w:rPr>
                <w:szCs w:val="18"/>
              </w:rPr>
              <w:t xml:space="preserve"> based on RR </w:t>
            </w:r>
            <w:r w:rsidRPr="003C3714">
              <w:rPr>
                <w:szCs w:val="18"/>
              </w:rPr>
              <w:t>(AEs incl. treatment withdrawals for other comparisons)</w:t>
            </w:r>
            <w:r>
              <w:rPr>
                <w:szCs w:val="18"/>
              </w:rPr>
              <w:t>.</w:t>
            </w:r>
          </w:p>
        </w:tc>
      </w:tr>
      <w:tr w:rsidR="00C324F3" w:rsidRPr="00360862" w14:paraId="467270C9" w14:textId="77777777" w:rsidTr="00A8607D">
        <w:trPr>
          <w:trHeight w:val="617"/>
        </w:trPr>
        <w:tc>
          <w:tcPr>
            <w:tcW w:w="1045" w:type="pct"/>
            <w:shd w:val="clear" w:color="auto" w:fill="F2F2F2" w:themeFill="background1" w:themeFillShade="F2"/>
            <w:hideMark/>
          </w:tcPr>
          <w:p w14:paraId="536303EC" w14:textId="77777777" w:rsidR="00C324F3" w:rsidRPr="00360862" w:rsidRDefault="00C324F3" w:rsidP="00777459">
            <w:pPr>
              <w:rPr>
                <w:szCs w:val="18"/>
              </w:rPr>
            </w:pPr>
            <w:r w:rsidRPr="00182A8F">
              <w:rPr>
                <w:szCs w:val="18"/>
              </w:rPr>
              <w:t xml:space="preserve">Higher strength NRT </w:t>
            </w:r>
            <w:r>
              <w:rPr>
                <w:szCs w:val="18"/>
              </w:rPr>
              <w:t>gum</w:t>
            </w:r>
            <w:r>
              <w:rPr>
                <w:szCs w:val="18"/>
                <w:vertAlign w:val="superscript"/>
              </w:rPr>
              <w:t>2</w:t>
            </w:r>
            <w:r>
              <w:rPr>
                <w:szCs w:val="18"/>
              </w:rPr>
              <w:t xml:space="preserve"> vs l</w:t>
            </w:r>
            <w:r w:rsidRPr="00182A8F">
              <w:rPr>
                <w:szCs w:val="18"/>
              </w:rPr>
              <w:t xml:space="preserve">ower strength NRT </w:t>
            </w:r>
            <w:r>
              <w:rPr>
                <w:szCs w:val="18"/>
              </w:rPr>
              <w:t>gum</w:t>
            </w:r>
          </w:p>
        </w:tc>
        <w:tc>
          <w:tcPr>
            <w:tcW w:w="1049" w:type="pct"/>
            <w:shd w:val="clear" w:color="auto" w:fill="F2F2F2" w:themeFill="background1" w:themeFillShade="F2"/>
            <w:hideMark/>
          </w:tcPr>
          <w:p w14:paraId="189A4A3B" w14:textId="77777777" w:rsidR="00C324F3" w:rsidRPr="002A5E9C" w:rsidRDefault="00C324F3" w:rsidP="00C324F3">
            <w:pPr>
              <w:pStyle w:val="ListParagraph"/>
              <w:numPr>
                <w:ilvl w:val="0"/>
                <w:numId w:val="319"/>
              </w:numPr>
              <w:rPr>
                <w:szCs w:val="18"/>
              </w:rPr>
            </w:pPr>
            <w:r w:rsidRPr="004834D2">
              <w:rPr>
                <w:szCs w:val="18"/>
              </w:rPr>
              <w:t>Lindson (2019)</w:t>
            </w:r>
            <w:r w:rsidRPr="00E15A6E">
              <w:rPr>
                <w:szCs w:val="18"/>
                <w:vertAlign w:val="superscript"/>
              </w:rPr>
              <w:t>3</w:t>
            </w:r>
          </w:p>
        </w:tc>
        <w:tc>
          <w:tcPr>
            <w:tcW w:w="2906" w:type="pct"/>
            <w:shd w:val="clear" w:color="auto" w:fill="F2F2F2" w:themeFill="background1" w:themeFillShade="F2"/>
            <w:hideMark/>
          </w:tcPr>
          <w:p w14:paraId="721E7693" w14:textId="77777777" w:rsidR="00C324F3" w:rsidRPr="00182A8F"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182A8F">
              <w:rPr>
                <w:szCs w:val="18"/>
              </w:rPr>
              <w:t>Statistically significant</w:t>
            </w:r>
            <w:r w:rsidRPr="00182A8F">
              <w:rPr>
                <w:szCs w:val="18"/>
                <w:vertAlign w:val="superscript"/>
              </w:rPr>
              <w:t>2</w:t>
            </w:r>
            <w:r>
              <w:rPr>
                <w:szCs w:val="18"/>
                <w:vertAlign w:val="superscript"/>
              </w:rPr>
              <w:t xml:space="preserve"> </w:t>
            </w:r>
            <w:r>
              <w:rPr>
                <w:szCs w:val="18"/>
              </w:rPr>
              <w:t xml:space="preserve">based on RR </w:t>
            </w:r>
            <w:r w:rsidRPr="00182A8F">
              <w:rPr>
                <w:szCs w:val="18"/>
              </w:rPr>
              <w:t>(in favour of higher strength)</w:t>
            </w:r>
            <w:r>
              <w:rPr>
                <w:szCs w:val="18"/>
              </w:rPr>
              <w:t>.</w:t>
            </w:r>
          </w:p>
          <w:p w14:paraId="15B7C7A3" w14:textId="77777777" w:rsidR="00C324F3" w:rsidRPr="00E15A6E"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182A8F">
              <w:rPr>
                <w:szCs w:val="18"/>
              </w:rPr>
              <w:t>Not statistically significant</w:t>
            </w:r>
            <w:r>
              <w:rPr>
                <w:szCs w:val="18"/>
              </w:rPr>
              <w:t xml:space="preserve"> based on RR </w:t>
            </w:r>
            <w:r w:rsidRPr="00182A8F">
              <w:rPr>
                <w:szCs w:val="18"/>
              </w:rPr>
              <w:t>(palpitations, treatment withdrawals)</w:t>
            </w:r>
            <w:r>
              <w:rPr>
                <w:szCs w:val="18"/>
              </w:rPr>
              <w:t xml:space="preserve">. </w:t>
            </w:r>
          </w:p>
        </w:tc>
      </w:tr>
    </w:tbl>
    <w:p w14:paraId="2F5DAE2E" w14:textId="77777777" w:rsidR="00C324F3" w:rsidRDefault="00C324F3" w:rsidP="00A8607D">
      <w:pPr>
        <w:pStyle w:val="TableFooter"/>
        <w:keepNext/>
        <w:jc w:val="both"/>
      </w:pPr>
      <w:r>
        <w:t xml:space="preserve">Abbreviations: AEs = adverse events; NRT = nicotine replacement therapy; RR = risk ratio. </w:t>
      </w:r>
    </w:p>
    <w:p w14:paraId="37EFE86A" w14:textId="77777777" w:rsidR="00C324F3" w:rsidRDefault="00C324F3" w:rsidP="00A8607D">
      <w:pPr>
        <w:pStyle w:val="TableFooter"/>
        <w:keepNext/>
        <w:jc w:val="both"/>
      </w:pPr>
      <w:r w:rsidRPr="00BE36E8">
        <w:t xml:space="preserve">Notes: </w:t>
      </w:r>
    </w:p>
    <w:p w14:paraId="09B3EBD9" w14:textId="77777777" w:rsidR="00C324F3" w:rsidRPr="00182A8F" w:rsidRDefault="00C324F3" w:rsidP="00A8607D">
      <w:pPr>
        <w:pStyle w:val="TableFooter"/>
        <w:keepNext/>
        <w:jc w:val="both"/>
      </w:pPr>
      <w:r>
        <w:t xml:space="preserve">1 </w:t>
      </w:r>
      <w:r w:rsidRPr="00182A8F">
        <w:t>Comparisons include 21 mg/24-hour versus 14 mg/24-hour patches, 25 mg/16-hour versus 15 mg/16-hour patches, and 42/44 mg/24-hour versus 21/22 mg/24-hour patches. Studies comparing 42 mg/24-hour versus 21 mg/24-hour and 44 mg/24-hour versus 22 mg/24-hour patches were pooled.</w:t>
      </w:r>
    </w:p>
    <w:p w14:paraId="566BA64B" w14:textId="77777777" w:rsidR="00C324F3" w:rsidRDefault="00C324F3" w:rsidP="00A8607D">
      <w:pPr>
        <w:pStyle w:val="TableFooter"/>
        <w:keepNext/>
        <w:jc w:val="both"/>
      </w:pPr>
      <w:r>
        <w:t xml:space="preserve">2 </w:t>
      </w:r>
      <w:r w:rsidRPr="00182A8F">
        <w:t>Comparisons include 4 mg versus 2 mg gum. Based on the pooled results of high-dependency and low-dependency smokers. The results of the subgroup analysis suggest that only smokers who are highly dependent may benefit from the higher strength NRT gum.</w:t>
      </w:r>
    </w:p>
    <w:p w14:paraId="7AD76981" w14:textId="77777777" w:rsidR="00C324F3" w:rsidRPr="003603EB" w:rsidRDefault="00C324F3" w:rsidP="00A8607D">
      <w:pPr>
        <w:pStyle w:val="TableFooter"/>
        <w:keepNext/>
        <w:spacing w:after="120"/>
        <w:contextualSpacing w:val="0"/>
        <w:jc w:val="both"/>
      </w:pPr>
      <w:r>
        <w:t xml:space="preserve">3 </w:t>
      </w:r>
      <w:r w:rsidRPr="00BE36E8">
        <w:t>Cochrane Review</w:t>
      </w:r>
      <w:r>
        <w:t>.</w:t>
      </w:r>
    </w:p>
    <w:p w14:paraId="34F76709" w14:textId="77777777" w:rsidR="00C324F3" w:rsidRPr="00A61CF6" w:rsidRDefault="00C324F3" w:rsidP="00A8607D">
      <w:pPr>
        <w:spacing w:after="120"/>
        <w:jc w:val="both"/>
        <w:rPr>
          <w:b/>
          <w:bCs/>
        </w:rPr>
      </w:pPr>
      <w:r w:rsidRPr="00A61CF6">
        <w:rPr>
          <w:b/>
          <w:bCs/>
        </w:rPr>
        <w:t>Length of therapy</w:t>
      </w:r>
    </w:p>
    <w:p w14:paraId="123890C6" w14:textId="77777777" w:rsidR="00C324F3" w:rsidRPr="0054703E" w:rsidRDefault="00C324F3" w:rsidP="00A8607D">
      <w:pPr>
        <w:pStyle w:val="ListParagraph"/>
        <w:numPr>
          <w:ilvl w:val="0"/>
          <w:numId w:val="280"/>
        </w:numPr>
        <w:jc w:val="both"/>
      </w:pPr>
      <w:r>
        <w:t>There were no statistically significant differences between l</w:t>
      </w:r>
      <w:r w:rsidRPr="008C5C68">
        <w:t>onger duration</w:t>
      </w:r>
      <w:r>
        <w:t xml:space="preserve"> NRT and</w:t>
      </w:r>
      <w:r w:rsidRPr="009B4E2F">
        <w:t xml:space="preserve"> </w:t>
      </w:r>
      <w:r w:rsidDel="009B4E2F">
        <w:t>shorter duration</w:t>
      </w:r>
      <w:r w:rsidRPr="008C5C68" w:rsidDel="009B4E2F">
        <w:t xml:space="preserve"> </w:t>
      </w:r>
      <w:r w:rsidRPr="009B4E2F">
        <w:t>NRT</w:t>
      </w:r>
      <w:r>
        <w:t xml:space="preserve"> in terms of efficacy and safety (serious adverse events and treatment withdrawals)</w:t>
      </w:r>
      <w:r w:rsidRPr="000D166B">
        <w:t xml:space="preserve">. </w:t>
      </w:r>
      <w:r>
        <w:t>For this comparison, NRT was administered</w:t>
      </w:r>
      <w:r w:rsidRPr="0054703E">
        <w:t xml:space="preserve"> </w:t>
      </w:r>
      <w:r w:rsidRPr="001E4395">
        <w:t>either as monotherapy (patch or gum) or combination therapy</w:t>
      </w:r>
      <w:r>
        <w:t xml:space="preserve">. </w:t>
      </w:r>
      <w:r w:rsidRPr="007A7EFF">
        <w:t xml:space="preserve">Of note, the CEASE (1999) </w:t>
      </w:r>
      <w:r>
        <w:t>study</w:t>
      </w:r>
      <w:r w:rsidRPr="007A7EFF">
        <w:t xml:space="preserve"> compared 28 weeks with 12 weeks of NRT patches, with two patch doses (25 mg and 15 mg) examined in each duration</w:t>
      </w:r>
      <w:r>
        <w:t xml:space="preserve"> showed no statistically significant differences consistent with the other studies identified</w:t>
      </w:r>
      <w:r w:rsidRPr="007A7EFF">
        <w:t>.</w:t>
      </w:r>
    </w:p>
    <w:p w14:paraId="1F16C0DE" w14:textId="25C56F13" w:rsidR="00A8607D" w:rsidRDefault="00C324F3" w:rsidP="00A8607D">
      <w:pPr>
        <w:pStyle w:val="ListParagraph"/>
        <w:numPr>
          <w:ilvl w:val="0"/>
          <w:numId w:val="280"/>
        </w:numPr>
        <w:spacing w:after="120"/>
        <w:ind w:left="357" w:hanging="357"/>
        <w:contextualSpacing w:val="0"/>
        <w:jc w:val="both"/>
      </w:pPr>
      <w:r w:rsidRPr="001F4D1B">
        <w:t xml:space="preserve">For other variations in NRT use (24-hour versus 16-hour </w:t>
      </w:r>
      <w:r>
        <w:t>patches</w:t>
      </w:r>
      <w:r w:rsidRPr="001F4D1B">
        <w:t xml:space="preserve">, continue versus stop patch use on </w:t>
      </w:r>
      <w:r>
        <w:t>re</w:t>
      </w:r>
      <w:r w:rsidRPr="001F4D1B">
        <w:t xml:space="preserve">lapse, and 22 weeks of </w:t>
      </w:r>
      <w:r>
        <w:t xml:space="preserve">a </w:t>
      </w:r>
      <w:r w:rsidRPr="001F4D1B">
        <w:t xml:space="preserve">combination of 35 mg </w:t>
      </w:r>
      <w:r>
        <w:t>patches</w:t>
      </w:r>
      <w:r w:rsidRPr="001F4D1B">
        <w:t xml:space="preserve"> and fast-acting</w:t>
      </w:r>
      <w:r>
        <w:t xml:space="preserve"> NRT</w:t>
      </w:r>
      <w:r w:rsidRPr="001F4D1B">
        <w:t xml:space="preserve"> versus 10 weeks of 21 mg</w:t>
      </w:r>
      <w:r>
        <w:t xml:space="preserve"> patches</w:t>
      </w:r>
      <w:r w:rsidRPr="001F4D1B">
        <w:t>), there were no statistically significant differences in smoking cessation rates, serious adverse events, treatment withdrawals and cardiac events in all comparisons.</w:t>
      </w:r>
    </w:p>
    <w:p w14:paraId="125A1ADE" w14:textId="62534BC2" w:rsidR="00C324F3" w:rsidRDefault="00A8607D" w:rsidP="00A8607D">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5"/>
        <w:gridCol w:w="2070"/>
        <w:gridCol w:w="4971"/>
      </w:tblGrid>
      <w:tr w:rsidR="00C324F3" w:rsidRPr="00916516" w14:paraId="0BD05F95" w14:textId="77777777" w:rsidTr="00A8607D">
        <w:trPr>
          <w:trHeight w:val="67"/>
        </w:trPr>
        <w:tc>
          <w:tcPr>
            <w:tcW w:w="1095" w:type="pct"/>
            <w:shd w:val="clear" w:color="auto" w:fill="F2F2F2" w:themeFill="background1" w:themeFillShade="F2"/>
            <w:hideMark/>
          </w:tcPr>
          <w:p w14:paraId="46F1BC52"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148" w:type="pct"/>
            <w:shd w:val="clear" w:color="auto" w:fill="F2F2F2" w:themeFill="background1" w:themeFillShade="F2"/>
            <w:hideMark/>
          </w:tcPr>
          <w:p w14:paraId="42D26E0E" w14:textId="77777777" w:rsidR="00C324F3" w:rsidRPr="00916516" w:rsidRDefault="00C324F3" w:rsidP="00777459">
            <w:pPr>
              <w:jc w:val="center"/>
              <w:rPr>
                <w:szCs w:val="18"/>
              </w:rPr>
            </w:pPr>
            <w:r>
              <w:rPr>
                <w:b/>
                <w:bCs/>
                <w:szCs w:val="18"/>
              </w:rPr>
              <w:t>Included studies</w:t>
            </w:r>
          </w:p>
        </w:tc>
        <w:tc>
          <w:tcPr>
            <w:tcW w:w="2757" w:type="pct"/>
            <w:shd w:val="clear" w:color="auto" w:fill="F2F2F2" w:themeFill="background1" w:themeFillShade="F2"/>
            <w:hideMark/>
          </w:tcPr>
          <w:p w14:paraId="1DD4E7E1" w14:textId="77777777" w:rsidR="00C324F3" w:rsidRPr="00916516" w:rsidRDefault="00C324F3" w:rsidP="00777459">
            <w:pPr>
              <w:jc w:val="center"/>
              <w:rPr>
                <w:szCs w:val="18"/>
              </w:rPr>
            </w:pPr>
            <w:r>
              <w:rPr>
                <w:b/>
                <w:bCs/>
                <w:szCs w:val="18"/>
              </w:rPr>
              <w:t>Summary of evidence</w:t>
            </w:r>
          </w:p>
        </w:tc>
      </w:tr>
      <w:tr w:rsidR="00C324F3" w:rsidRPr="0063070A" w14:paraId="2C4A99BF" w14:textId="77777777" w:rsidTr="00A8607D">
        <w:trPr>
          <w:trHeight w:val="345"/>
        </w:trPr>
        <w:tc>
          <w:tcPr>
            <w:tcW w:w="1095" w:type="pct"/>
            <w:shd w:val="clear" w:color="auto" w:fill="F2F2F2" w:themeFill="background1" w:themeFillShade="F2"/>
            <w:hideMark/>
          </w:tcPr>
          <w:p w14:paraId="53EF9D7C" w14:textId="77777777" w:rsidR="00C324F3" w:rsidRPr="00237D04" w:rsidRDefault="00C324F3" w:rsidP="00777459">
            <w:pPr>
              <w:tabs>
                <w:tab w:val="left" w:pos="1198"/>
              </w:tabs>
              <w:rPr>
                <w:szCs w:val="18"/>
              </w:rPr>
            </w:pPr>
            <w:r w:rsidRPr="00237D04">
              <w:rPr>
                <w:szCs w:val="18"/>
              </w:rPr>
              <w:t>Longer duration NRT</w:t>
            </w:r>
            <w:r>
              <w:rPr>
                <w:szCs w:val="18"/>
                <w:vertAlign w:val="superscript"/>
              </w:rPr>
              <w:t>1</w:t>
            </w:r>
            <w:r>
              <w:rPr>
                <w:szCs w:val="18"/>
              </w:rPr>
              <w:t xml:space="preserve"> vs s</w:t>
            </w:r>
            <w:r w:rsidRPr="00237D04">
              <w:rPr>
                <w:szCs w:val="18"/>
              </w:rPr>
              <w:t>horter duration NRT</w:t>
            </w:r>
          </w:p>
          <w:p w14:paraId="2A798D64" w14:textId="77777777" w:rsidR="00C324F3" w:rsidRPr="00237D04" w:rsidRDefault="00C324F3" w:rsidP="00777459">
            <w:pPr>
              <w:tabs>
                <w:tab w:val="left" w:pos="1198"/>
              </w:tabs>
              <w:rPr>
                <w:szCs w:val="18"/>
              </w:rPr>
            </w:pPr>
          </w:p>
        </w:tc>
        <w:tc>
          <w:tcPr>
            <w:tcW w:w="1148" w:type="pct"/>
            <w:shd w:val="clear" w:color="auto" w:fill="F2F2F2" w:themeFill="background1" w:themeFillShade="F2"/>
            <w:hideMark/>
          </w:tcPr>
          <w:p w14:paraId="14320C06" w14:textId="77777777" w:rsidR="00C324F3" w:rsidRPr="00B6521D" w:rsidRDefault="00C324F3" w:rsidP="00C324F3">
            <w:pPr>
              <w:pStyle w:val="ListParagraph"/>
              <w:numPr>
                <w:ilvl w:val="0"/>
                <w:numId w:val="318"/>
              </w:numPr>
              <w:rPr>
                <w:szCs w:val="18"/>
              </w:rPr>
            </w:pPr>
            <w:r>
              <w:t>Lindson</w:t>
            </w:r>
            <w:r w:rsidRPr="00713891">
              <w:t xml:space="preserve"> (201</w:t>
            </w:r>
            <w:r>
              <w:t>9</w:t>
            </w:r>
            <w:r w:rsidRPr="00713891">
              <w:t>)</w:t>
            </w:r>
            <w:r w:rsidRPr="00B6521D">
              <w:rPr>
                <w:vertAlign w:val="superscript"/>
              </w:rPr>
              <w:t>3</w:t>
            </w:r>
          </w:p>
          <w:p w14:paraId="5F03FBB9" w14:textId="77777777" w:rsidR="00C324F3" w:rsidRPr="00614418" w:rsidRDefault="00C324F3" w:rsidP="00C324F3">
            <w:pPr>
              <w:pStyle w:val="ListParagraph"/>
              <w:numPr>
                <w:ilvl w:val="0"/>
                <w:numId w:val="318"/>
              </w:numPr>
              <w:rPr>
                <w:szCs w:val="18"/>
              </w:rPr>
            </w:pPr>
            <w:r w:rsidRPr="003158F5">
              <w:rPr>
                <w:rFonts w:eastAsia="MS Mincho"/>
              </w:rPr>
              <w:t>Ellerbeck (2018)</w:t>
            </w:r>
            <w:r w:rsidRPr="00076C24">
              <w:rPr>
                <w:rFonts w:eastAsia="MS Mincho"/>
                <w:vertAlign w:val="superscript"/>
              </w:rPr>
              <w:t>4</w:t>
            </w:r>
          </w:p>
        </w:tc>
        <w:tc>
          <w:tcPr>
            <w:tcW w:w="2757" w:type="pct"/>
            <w:shd w:val="clear" w:color="auto" w:fill="F2F2F2" w:themeFill="background1" w:themeFillShade="F2"/>
            <w:hideMark/>
          </w:tcPr>
          <w:p w14:paraId="36DCD53B" w14:textId="77777777" w:rsidR="00C324F3" w:rsidRPr="00237D04"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w:t>
            </w:r>
          </w:p>
          <w:p w14:paraId="50ECF6EC" w14:textId="77777777" w:rsidR="00C324F3" w:rsidRPr="00237D04"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w:t>
            </w:r>
            <w:r w:rsidRPr="0018309C">
              <w:rPr>
                <w:szCs w:val="18"/>
              </w:rPr>
              <w:t>overall SAEs, treatment withdrawals</w:t>
            </w:r>
            <w:r>
              <w:rPr>
                <w:szCs w:val="18"/>
              </w:rPr>
              <w:t>, and m</w:t>
            </w:r>
            <w:r w:rsidRPr="0018309C">
              <w:rPr>
                <w:szCs w:val="18"/>
              </w:rPr>
              <w:t>idsternal pressure</w:t>
            </w:r>
            <w:r w:rsidRPr="00237D04">
              <w:rPr>
                <w:szCs w:val="18"/>
              </w:rPr>
              <w:t>)</w:t>
            </w:r>
            <w:r>
              <w:rPr>
                <w:szCs w:val="18"/>
              </w:rPr>
              <w:t>.</w:t>
            </w:r>
          </w:p>
          <w:p w14:paraId="2DC9A84F" w14:textId="77777777" w:rsidR="00C324F3" w:rsidRPr="00182A8F" w:rsidRDefault="00C324F3" w:rsidP="00777459">
            <w:pPr>
              <w:pStyle w:val="ListParagraph"/>
              <w:ind w:left="360"/>
              <w:rPr>
                <w:szCs w:val="18"/>
              </w:rPr>
            </w:pPr>
          </w:p>
        </w:tc>
      </w:tr>
      <w:tr w:rsidR="00C324F3" w:rsidRPr="00360862" w14:paraId="67DC2746" w14:textId="77777777" w:rsidTr="00A8607D">
        <w:trPr>
          <w:trHeight w:val="617"/>
        </w:trPr>
        <w:tc>
          <w:tcPr>
            <w:tcW w:w="1095" w:type="pct"/>
            <w:shd w:val="clear" w:color="auto" w:fill="F2F2F2" w:themeFill="background1" w:themeFillShade="F2"/>
            <w:hideMark/>
          </w:tcPr>
          <w:p w14:paraId="44F8ECF5" w14:textId="77777777" w:rsidR="00C324F3" w:rsidRPr="00237D04" w:rsidRDefault="00C324F3" w:rsidP="00777459">
            <w:pPr>
              <w:rPr>
                <w:szCs w:val="18"/>
              </w:rPr>
            </w:pPr>
            <w:r w:rsidRPr="00237D04">
              <w:rPr>
                <w:szCs w:val="18"/>
              </w:rPr>
              <w:t>Other variations in NRT use</w:t>
            </w:r>
            <w:r>
              <w:rPr>
                <w:szCs w:val="18"/>
                <w:vertAlign w:val="superscript"/>
              </w:rPr>
              <w:t>2</w:t>
            </w:r>
            <w:r>
              <w:rPr>
                <w:szCs w:val="18"/>
              </w:rPr>
              <w:t xml:space="preserve"> vs o</w:t>
            </w:r>
            <w:r w:rsidRPr="00237D04">
              <w:rPr>
                <w:szCs w:val="18"/>
              </w:rPr>
              <w:t>ther variations in NRT use</w:t>
            </w:r>
          </w:p>
          <w:p w14:paraId="1CA7522A" w14:textId="77777777" w:rsidR="00C324F3" w:rsidRPr="00237D04" w:rsidRDefault="00C324F3" w:rsidP="00777459">
            <w:pPr>
              <w:rPr>
                <w:szCs w:val="18"/>
              </w:rPr>
            </w:pPr>
          </w:p>
        </w:tc>
        <w:tc>
          <w:tcPr>
            <w:tcW w:w="1148" w:type="pct"/>
            <w:shd w:val="clear" w:color="auto" w:fill="F2F2F2" w:themeFill="background1" w:themeFillShade="F2"/>
            <w:hideMark/>
          </w:tcPr>
          <w:p w14:paraId="5A07E2F5" w14:textId="77777777" w:rsidR="00C324F3" w:rsidRPr="002A5E9C" w:rsidRDefault="00C324F3" w:rsidP="00C324F3">
            <w:pPr>
              <w:pStyle w:val="ListParagraph"/>
              <w:numPr>
                <w:ilvl w:val="0"/>
                <w:numId w:val="319"/>
              </w:numPr>
              <w:rPr>
                <w:szCs w:val="18"/>
              </w:rPr>
            </w:pPr>
            <w:r>
              <w:t>Lindson</w:t>
            </w:r>
            <w:r w:rsidRPr="00713891">
              <w:t xml:space="preserve"> (201</w:t>
            </w:r>
            <w:r>
              <w:t>9</w:t>
            </w:r>
            <w:r w:rsidRPr="00713891">
              <w:t>)</w:t>
            </w:r>
            <w:r w:rsidRPr="00B6521D">
              <w:rPr>
                <w:vertAlign w:val="superscript"/>
              </w:rPr>
              <w:t>3</w:t>
            </w:r>
          </w:p>
        </w:tc>
        <w:tc>
          <w:tcPr>
            <w:tcW w:w="2757" w:type="pct"/>
            <w:shd w:val="clear" w:color="auto" w:fill="F2F2F2" w:themeFill="background1" w:themeFillShade="F2"/>
            <w:hideMark/>
          </w:tcPr>
          <w:p w14:paraId="7B9AB8B4" w14:textId="77777777" w:rsidR="00C324F3" w:rsidRPr="00237D04"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237D04">
              <w:rPr>
                <w:szCs w:val="18"/>
              </w:rPr>
              <w:t>Not statistically significant</w:t>
            </w:r>
            <w:r>
              <w:rPr>
                <w:szCs w:val="18"/>
              </w:rPr>
              <w:t xml:space="preserve"> based on RR. </w:t>
            </w:r>
          </w:p>
          <w:p w14:paraId="79ACBA36" w14:textId="77777777" w:rsidR="00C324F3" w:rsidRPr="00237D04"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237D04">
              <w:rPr>
                <w:szCs w:val="18"/>
              </w:rPr>
              <w:t>Not statistically significant</w:t>
            </w:r>
            <w:r>
              <w:rPr>
                <w:szCs w:val="18"/>
              </w:rPr>
              <w:t xml:space="preserve"> based on RR </w:t>
            </w:r>
            <w:r w:rsidRPr="00237D04">
              <w:rPr>
                <w:szCs w:val="18"/>
              </w:rPr>
              <w:t xml:space="preserve">(cardiac AEs, </w:t>
            </w:r>
            <w:r>
              <w:rPr>
                <w:szCs w:val="18"/>
              </w:rPr>
              <w:t>S</w:t>
            </w:r>
            <w:r w:rsidRPr="00237D04">
              <w:rPr>
                <w:szCs w:val="18"/>
              </w:rPr>
              <w:t>AEs, treatment withdrawals)</w:t>
            </w:r>
            <w:r>
              <w:rPr>
                <w:szCs w:val="18"/>
              </w:rPr>
              <w:t>.</w:t>
            </w:r>
          </w:p>
          <w:p w14:paraId="7270AE50" w14:textId="77777777" w:rsidR="00C324F3" w:rsidRPr="00552AFA" w:rsidRDefault="00C324F3" w:rsidP="00777459">
            <w:pPr>
              <w:pStyle w:val="ListParagraph"/>
              <w:ind w:left="360"/>
              <w:rPr>
                <w:szCs w:val="18"/>
              </w:rPr>
            </w:pPr>
          </w:p>
        </w:tc>
      </w:tr>
    </w:tbl>
    <w:p w14:paraId="03DB9E25" w14:textId="77777777" w:rsidR="00C324F3" w:rsidRDefault="00C324F3" w:rsidP="00A8607D">
      <w:pPr>
        <w:pStyle w:val="TableFooter"/>
        <w:jc w:val="both"/>
      </w:pPr>
      <w:r>
        <w:t>Abbreviations: AEs = adverse events; NRT = nicotine replacement therapy; RR = risk ratio; SAEs = serious adverse events</w:t>
      </w:r>
    </w:p>
    <w:p w14:paraId="1B4EB2A2" w14:textId="77777777" w:rsidR="00C324F3" w:rsidRDefault="00C324F3" w:rsidP="00A8607D">
      <w:pPr>
        <w:pStyle w:val="TableFooter"/>
        <w:jc w:val="both"/>
      </w:pPr>
      <w:r w:rsidRPr="00BE36E8">
        <w:t xml:space="preserve">Notes: </w:t>
      </w:r>
    </w:p>
    <w:p w14:paraId="3527A561" w14:textId="77DB7DEB" w:rsidR="00C324F3" w:rsidRPr="00237D04" w:rsidRDefault="00C324F3" w:rsidP="00A8607D">
      <w:pPr>
        <w:pStyle w:val="TableFooter"/>
        <w:jc w:val="both"/>
      </w:pPr>
      <w:r>
        <w:t xml:space="preserve">1 </w:t>
      </w:r>
      <w:r w:rsidRPr="00237D04">
        <w:t xml:space="preserve">Comparisons include various durations of longer duration NRT versus shorter duration NRT (either as patch, </w:t>
      </w:r>
      <w:r w:rsidR="008260A0" w:rsidRPr="00237D04">
        <w:t>gum,</w:t>
      </w:r>
      <w:r w:rsidRPr="00237D04">
        <w:t xml:space="preserve"> or combination therapy).</w:t>
      </w:r>
    </w:p>
    <w:p w14:paraId="4D003A60" w14:textId="77777777" w:rsidR="00C324F3" w:rsidRDefault="00C324F3" w:rsidP="00A8607D">
      <w:pPr>
        <w:pStyle w:val="TableFooter"/>
        <w:jc w:val="both"/>
      </w:pPr>
      <w:r>
        <w:t xml:space="preserve">2 </w:t>
      </w:r>
      <w:r w:rsidRPr="00237D04">
        <w:t xml:space="preserve">Comparisons include 24-hour versus 16-hour patches, continue versus stop patch use on relapse, and 22 weeks of a combination of 35 mg patches and fast-acting NRT </w:t>
      </w:r>
      <w:r>
        <w:t xml:space="preserve">(gum or inhaler) </w:t>
      </w:r>
      <w:r w:rsidRPr="00237D04">
        <w:t>versus 10 weeks of 21 mg patches.</w:t>
      </w:r>
    </w:p>
    <w:p w14:paraId="1CCC614C" w14:textId="77777777" w:rsidR="00C324F3" w:rsidRDefault="00C324F3" w:rsidP="00A8607D">
      <w:pPr>
        <w:pStyle w:val="TableFooter"/>
        <w:jc w:val="both"/>
      </w:pPr>
      <w:r>
        <w:t xml:space="preserve">3 </w:t>
      </w:r>
      <w:r w:rsidRPr="00BE36E8">
        <w:t>Cochrane Review</w:t>
      </w:r>
      <w:r>
        <w:t>.</w:t>
      </w:r>
    </w:p>
    <w:p w14:paraId="6A1B0A71" w14:textId="38A8B2DE" w:rsidR="00C324F3" w:rsidRPr="00E66B17" w:rsidRDefault="00C324F3" w:rsidP="00A8607D">
      <w:pPr>
        <w:pStyle w:val="TableFooter"/>
        <w:spacing w:after="120"/>
        <w:contextualSpacing w:val="0"/>
        <w:jc w:val="both"/>
      </w:pPr>
      <w:r>
        <w:t xml:space="preserve">4 Supplemental evidence (RCT). </w:t>
      </w:r>
    </w:p>
    <w:p w14:paraId="2A6C6F76" w14:textId="77777777" w:rsidR="00C324F3" w:rsidRPr="00A61CF6" w:rsidRDefault="00C324F3" w:rsidP="00A8607D">
      <w:pPr>
        <w:spacing w:after="120"/>
        <w:jc w:val="both"/>
        <w:rPr>
          <w:b/>
          <w:bCs/>
        </w:rPr>
      </w:pPr>
      <w:r w:rsidRPr="00A61CF6">
        <w:rPr>
          <w:b/>
          <w:bCs/>
        </w:rPr>
        <w:t>Dosing schedule</w:t>
      </w:r>
    </w:p>
    <w:p w14:paraId="1CFCD69D" w14:textId="77777777" w:rsidR="00C324F3" w:rsidRDefault="00C324F3" w:rsidP="00A8607D">
      <w:pPr>
        <w:pStyle w:val="ListParagraph"/>
        <w:numPr>
          <w:ilvl w:val="0"/>
          <w:numId w:val="281"/>
        </w:numPr>
        <w:jc w:val="both"/>
      </w:pPr>
      <w:r>
        <w:t>There were no statistically significant differences between a</w:t>
      </w:r>
      <w:r w:rsidRPr="001F4D1B">
        <w:t xml:space="preserve">brupt withdrawal </w:t>
      </w:r>
      <w:r>
        <w:t>of NRT patches compared to</w:t>
      </w:r>
      <w:r w:rsidRPr="001F4D1B">
        <w:t xml:space="preserve"> tapering patch dose</w:t>
      </w:r>
      <w:r>
        <w:t xml:space="preserve"> in terms of efficacy and safety (treatment withdrawal)</w:t>
      </w:r>
      <w:r w:rsidRPr="001F4D1B">
        <w:t>. This is consistent with previous PBAC consideration</w:t>
      </w:r>
      <w:r>
        <w:t>s</w:t>
      </w:r>
      <w:r w:rsidRPr="001F4D1B">
        <w:t>, whereby gradual tapering compared with abrupt withdrawal w</w:t>
      </w:r>
      <w:r>
        <w:t>as expected</w:t>
      </w:r>
      <w:r w:rsidRPr="001F4D1B">
        <w:t xml:space="preserve"> to result in minimal changes in clinical outcomes.</w:t>
      </w:r>
    </w:p>
    <w:p w14:paraId="2AC20939" w14:textId="674E1C12" w:rsidR="00C324F3" w:rsidRDefault="00C324F3" w:rsidP="00A8607D">
      <w:pPr>
        <w:pStyle w:val="ListParagraph"/>
        <w:numPr>
          <w:ilvl w:val="0"/>
          <w:numId w:val="281"/>
        </w:numPr>
        <w:jc w:val="both"/>
      </w:pPr>
      <w:r>
        <w:t>There were no statistically significant differences between f</w:t>
      </w:r>
      <w:r w:rsidRPr="00111074">
        <w:t xml:space="preserve">ixed </w:t>
      </w:r>
      <w:r>
        <w:t>dosing schedules for fast-acting NRT compared to</w:t>
      </w:r>
      <w:r w:rsidRPr="00111074">
        <w:t xml:space="preserve"> </w:t>
      </w:r>
      <w:r w:rsidR="00A8607D">
        <w:t xml:space="preserve">an </w:t>
      </w:r>
      <w:r w:rsidRPr="00111074">
        <w:t>ad lib dosing schedule</w:t>
      </w:r>
      <w:r>
        <w:t xml:space="preserve"> in terms of efficacy and safety</w:t>
      </w:r>
      <w:r w:rsidRPr="00111074">
        <w:t xml:space="preserve"> </w:t>
      </w:r>
      <w:r>
        <w:t xml:space="preserve">(serious adverse events and treatment withdrawals) </w:t>
      </w:r>
      <w:r w:rsidRPr="00111074">
        <w:t xml:space="preserve">for all comparisons (gum, nasal </w:t>
      </w:r>
      <w:r w:rsidR="008260A0" w:rsidRPr="00111074">
        <w:t>spray,</w:t>
      </w:r>
      <w:r w:rsidRPr="00111074">
        <w:t xml:space="preserve"> and pooled analysis). </w:t>
      </w:r>
    </w:p>
    <w:p w14:paraId="70E88E6B" w14:textId="1379798E" w:rsidR="00C324F3" w:rsidRDefault="00C324F3" w:rsidP="00A8607D">
      <w:pPr>
        <w:pStyle w:val="ListParagraph"/>
        <w:numPr>
          <w:ilvl w:val="0"/>
          <w:numId w:val="281"/>
        </w:numPr>
        <w:jc w:val="both"/>
      </w:pPr>
      <w:r w:rsidRPr="009C2F54">
        <w:t xml:space="preserve">Preloading use of NRT </w:t>
      </w:r>
      <w:r>
        <w:t xml:space="preserve">(prior to smoking cessation) </w:t>
      </w:r>
      <w:r w:rsidRPr="009C2F54">
        <w:t xml:space="preserve">was </w:t>
      </w:r>
      <w:r>
        <w:t>shown to be superior to</w:t>
      </w:r>
      <w:r w:rsidRPr="009C2F54">
        <w:t xml:space="preserve"> standard use of NRT </w:t>
      </w:r>
      <w:r>
        <w:t>(commencing at the time of smoking cessation) in terms of efficacy</w:t>
      </w:r>
      <w:r w:rsidRPr="009C2F54">
        <w:t xml:space="preserve">. However, the results were only statistically significant in the NRT </w:t>
      </w:r>
      <w:r>
        <w:t>patches</w:t>
      </w:r>
      <w:r w:rsidRPr="009C2F54">
        <w:t xml:space="preserve"> subgroup and not in the NRT gum or </w:t>
      </w:r>
      <w:r>
        <w:t xml:space="preserve">NRT </w:t>
      </w:r>
      <w:r w:rsidRPr="009C2F54">
        <w:t>patch in combination with gum subgroups. For safety, there was a significantly higher proportion of patients in the preloading arm experiencing palpitations compared with patients in the standard use arm</w:t>
      </w:r>
      <w:r>
        <w:t>, however,</w:t>
      </w:r>
      <w:r w:rsidRPr="009C2F54">
        <w:t xml:space="preserve"> there were no statistically significant differences in cardiac adverse events, cardiac serious adverse events, overall serious adverse </w:t>
      </w:r>
      <w:r w:rsidR="008260A0" w:rsidRPr="009C2F54">
        <w:t>events,</w:t>
      </w:r>
      <w:r w:rsidRPr="009C2F54">
        <w:t xml:space="preserve"> and treatment withdrawals.</w:t>
      </w:r>
    </w:p>
    <w:p w14:paraId="24ACA059" w14:textId="0B0C7410" w:rsidR="003C4A1C" w:rsidRDefault="00C324F3" w:rsidP="00A8607D">
      <w:pPr>
        <w:pStyle w:val="ListParagraph"/>
        <w:numPr>
          <w:ilvl w:val="0"/>
          <w:numId w:val="281"/>
        </w:numPr>
        <w:spacing w:after="120"/>
        <w:ind w:left="357" w:hanging="357"/>
        <w:contextualSpacing w:val="0"/>
        <w:jc w:val="both"/>
      </w:pPr>
      <w:r w:rsidRPr="009C2F54">
        <w:t xml:space="preserve">Reduction </w:t>
      </w:r>
      <w:r>
        <w:t>in cigarettes per day (‘cutting down to quit’)</w:t>
      </w:r>
      <w:r w:rsidRPr="009C2F54">
        <w:t xml:space="preserve"> with pharmacotherapy </w:t>
      </w:r>
      <w:r>
        <w:t>was shown to be superior to</w:t>
      </w:r>
      <w:r w:rsidRPr="009C2F54">
        <w:t xml:space="preserve"> reduction alone in </w:t>
      </w:r>
      <w:r>
        <w:t xml:space="preserve">terms of efficacy in the </w:t>
      </w:r>
      <w:r w:rsidRPr="009C2F54">
        <w:t>fast</w:t>
      </w:r>
      <w:r>
        <w:t>-</w:t>
      </w:r>
      <w:r w:rsidRPr="009C2F54">
        <w:t xml:space="preserve">acting NRT subgroup, noting that there were no statistically significant differences between the two treatment arms in either combination NRT or NRT </w:t>
      </w:r>
      <w:r>
        <w:t>patches</w:t>
      </w:r>
      <w:r w:rsidRPr="009C2F54">
        <w:t xml:space="preserve"> subgroups. There w</w:t>
      </w:r>
      <w:r>
        <w:t>ere</w:t>
      </w:r>
      <w:r w:rsidRPr="009C2F54">
        <w:t xml:space="preserve"> no statistically significant difference</w:t>
      </w:r>
      <w:r>
        <w:t>s</w:t>
      </w:r>
      <w:r w:rsidRPr="009C2F54">
        <w:t xml:space="preserve"> in pre-quit adverse events and pre-quit serious adverse events</w:t>
      </w:r>
      <w:r>
        <w:t xml:space="preserve"> between </w:t>
      </w:r>
      <w:r w:rsidRPr="001D3FF6">
        <w:t>cutting down to quit with pharmacotherapy</w:t>
      </w:r>
      <w:r>
        <w:t xml:space="preserve"> and cutting down alone</w:t>
      </w:r>
      <w:r w:rsidR="008260A0" w:rsidRPr="009C2F54">
        <w:t xml:space="preserve">. </w:t>
      </w:r>
    </w:p>
    <w:p w14:paraId="7B0D7E70" w14:textId="0AC79F14"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974"/>
        <w:gridCol w:w="1980"/>
        <w:gridCol w:w="5062"/>
      </w:tblGrid>
      <w:tr w:rsidR="00C324F3" w:rsidRPr="00916516" w14:paraId="29D11F8F" w14:textId="77777777" w:rsidTr="00A8607D">
        <w:trPr>
          <w:trHeight w:val="67"/>
        </w:trPr>
        <w:tc>
          <w:tcPr>
            <w:tcW w:w="1095" w:type="pct"/>
            <w:shd w:val="clear" w:color="auto" w:fill="F2F2F2" w:themeFill="background1" w:themeFillShade="F2"/>
            <w:hideMark/>
          </w:tcPr>
          <w:p w14:paraId="0D904B61"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098" w:type="pct"/>
            <w:shd w:val="clear" w:color="auto" w:fill="F2F2F2" w:themeFill="background1" w:themeFillShade="F2"/>
            <w:hideMark/>
          </w:tcPr>
          <w:p w14:paraId="73A881EE" w14:textId="77777777" w:rsidR="00C324F3" w:rsidRPr="00916516" w:rsidRDefault="00C324F3" w:rsidP="00777459">
            <w:pPr>
              <w:jc w:val="center"/>
              <w:rPr>
                <w:szCs w:val="18"/>
              </w:rPr>
            </w:pPr>
            <w:r>
              <w:rPr>
                <w:b/>
                <w:bCs/>
                <w:szCs w:val="18"/>
              </w:rPr>
              <w:t>Included studies</w:t>
            </w:r>
          </w:p>
        </w:tc>
        <w:tc>
          <w:tcPr>
            <w:tcW w:w="2807" w:type="pct"/>
            <w:shd w:val="clear" w:color="auto" w:fill="F2F2F2" w:themeFill="background1" w:themeFillShade="F2"/>
            <w:hideMark/>
          </w:tcPr>
          <w:p w14:paraId="228D826C" w14:textId="77777777" w:rsidR="00C324F3" w:rsidRPr="00916516" w:rsidRDefault="00C324F3" w:rsidP="00777459">
            <w:pPr>
              <w:jc w:val="center"/>
              <w:rPr>
                <w:szCs w:val="18"/>
              </w:rPr>
            </w:pPr>
            <w:r>
              <w:rPr>
                <w:b/>
                <w:bCs/>
                <w:szCs w:val="18"/>
              </w:rPr>
              <w:t>Summary of evidence</w:t>
            </w:r>
          </w:p>
        </w:tc>
      </w:tr>
      <w:tr w:rsidR="00C324F3" w:rsidRPr="0063070A" w14:paraId="1DEB1FF2" w14:textId="77777777" w:rsidTr="00A8607D">
        <w:trPr>
          <w:trHeight w:val="345"/>
        </w:trPr>
        <w:tc>
          <w:tcPr>
            <w:tcW w:w="1095" w:type="pct"/>
            <w:shd w:val="clear" w:color="auto" w:fill="F2F2F2" w:themeFill="background1" w:themeFillShade="F2"/>
            <w:hideMark/>
          </w:tcPr>
          <w:p w14:paraId="56B47EE0" w14:textId="77777777" w:rsidR="00C324F3" w:rsidRPr="00237D04" w:rsidRDefault="00C324F3" w:rsidP="00777459">
            <w:pPr>
              <w:tabs>
                <w:tab w:val="left" w:pos="1198"/>
              </w:tabs>
              <w:rPr>
                <w:szCs w:val="18"/>
              </w:rPr>
            </w:pPr>
            <w:r w:rsidRPr="00581533">
              <w:rPr>
                <w:szCs w:val="18"/>
              </w:rPr>
              <w:t>Abrupt withdrawal of NRT patch</w:t>
            </w:r>
            <w:r>
              <w:rPr>
                <w:szCs w:val="18"/>
              </w:rPr>
              <w:t xml:space="preserve"> vs g</w:t>
            </w:r>
            <w:r w:rsidRPr="00581533">
              <w:rPr>
                <w:szCs w:val="18"/>
              </w:rPr>
              <w:t>radual tapering of NRT patch</w:t>
            </w:r>
          </w:p>
        </w:tc>
        <w:tc>
          <w:tcPr>
            <w:tcW w:w="1098" w:type="pct"/>
            <w:shd w:val="clear" w:color="auto" w:fill="F2F2F2" w:themeFill="background1" w:themeFillShade="F2"/>
            <w:hideMark/>
          </w:tcPr>
          <w:p w14:paraId="65742D9E" w14:textId="77777777" w:rsidR="00C324F3" w:rsidRPr="00614418" w:rsidRDefault="00C324F3" w:rsidP="00C324F3">
            <w:pPr>
              <w:pStyle w:val="ListParagraph"/>
              <w:numPr>
                <w:ilvl w:val="0"/>
                <w:numId w:val="318"/>
              </w:numPr>
              <w:rPr>
                <w:szCs w:val="18"/>
              </w:rPr>
            </w:pPr>
            <w:r w:rsidRPr="00687B43">
              <w:t>Lindson (2019)</w:t>
            </w:r>
            <w:r w:rsidRPr="00CE108D">
              <w:rPr>
                <w:vertAlign w:val="superscript"/>
              </w:rPr>
              <w:t>4</w:t>
            </w:r>
          </w:p>
        </w:tc>
        <w:tc>
          <w:tcPr>
            <w:tcW w:w="2807" w:type="pct"/>
            <w:shd w:val="clear" w:color="auto" w:fill="F2F2F2" w:themeFill="background1" w:themeFillShade="F2"/>
            <w:hideMark/>
          </w:tcPr>
          <w:p w14:paraId="3506E2DC" w14:textId="77777777" w:rsidR="00C324F3" w:rsidRPr="00581533"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14:paraId="6439F14E" w14:textId="77777777" w:rsidR="00C324F3" w:rsidRPr="009068BC"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(treatment withdrawals)</w:t>
            </w:r>
            <w:r>
              <w:rPr>
                <w:szCs w:val="18"/>
              </w:rPr>
              <w:t>.</w:t>
            </w:r>
          </w:p>
        </w:tc>
      </w:tr>
      <w:tr w:rsidR="00C324F3" w:rsidRPr="00360862" w14:paraId="2FC0179B" w14:textId="77777777" w:rsidTr="00A8607D">
        <w:trPr>
          <w:trHeight w:val="617"/>
        </w:trPr>
        <w:tc>
          <w:tcPr>
            <w:tcW w:w="1095" w:type="pct"/>
            <w:shd w:val="clear" w:color="auto" w:fill="F2F2F2" w:themeFill="background1" w:themeFillShade="F2"/>
            <w:hideMark/>
          </w:tcPr>
          <w:p w14:paraId="60353BE3" w14:textId="77777777" w:rsidR="00C324F3" w:rsidRPr="00581533" w:rsidRDefault="00C324F3" w:rsidP="00777459">
            <w:pPr>
              <w:rPr>
                <w:szCs w:val="18"/>
              </w:rPr>
            </w:pPr>
            <w:r w:rsidRPr="00581533">
              <w:rPr>
                <w:szCs w:val="18"/>
              </w:rPr>
              <w:t>Fixed dosing schedule</w:t>
            </w:r>
            <w:r w:rsidRPr="00581533">
              <w:rPr>
                <w:szCs w:val="18"/>
                <w:vertAlign w:val="superscript"/>
              </w:rPr>
              <w:t>1</w:t>
            </w:r>
            <w:r>
              <w:rPr>
                <w:szCs w:val="18"/>
              </w:rPr>
              <w:t xml:space="preserve"> vs a</w:t>
            </w:r>
            <w:r w:rsidRPr="00581533">
              <w:rPr>
                <w:szCs w:val="18"/>
              </w:rPr>
              <w:t>d lib dosing schedule</w:t>
            </w:r>
          </w:p>
          <w:p w14:paraId="75475D69" w14:textId="77777777" w:rsidR="00C324F3" w:rsidRPr="00581533" w:rsidRDefault="00C324F3" w:rsidP="00777459">
            <w:pPr>
              <w:rPr>
                <w:szCs w:val="18"/>
              </w:rPr>
            </w:pPr>
          </w:p>
        </w:tc>
        <w:tc>
          <w:tcPr>
            <w:tcW w:w="1098" w:type="pct"/>
            <w:shd w:val="clear" w:color="auto" w:fill="F2F2F2" w:themeFill="background1" w:themeFillShade="F2"/>
            <w:hideMark/>
          </w:tcPr>
          <w:p w14:paraId="4DD77F34" w14:textId="77777777" w:rsidR="00C324F3" w:rsidRPr="002A5E9C" w:rsidRDefault="00C324F3" w:rsidP="00C324F3">
            <w:pPr>
              <w:pStyle w:val="ListParagraph"/>
              <w:numPr>
                <w:ilvl w:val="0"/>
                <w:numId w:val="319"/>
              </w:numPr>
              <w:rPr>
                <w:szCs w:val="18"/>
              </w:rPr>
            </w:pPr>
            <w:r w:rsidRPr="00687B43">
              <w:t>Lindson (2019)</w:t>
            </w:r>
            <w:r w:rsidRPr="00CE108D">
              <w:rPr>
                <w:vertAlign w:val="superscript"/>
              </w:rPr>
              <w:t>4</w:t>
            </w:r>
          </w:p>
        </w:tc>
        <w:tc>
          <w:tcPr>
            <w:tcW w:w="2807" w:type="pct"/>
            <w:shd w:val="clear" w:color="auto" w:fill="F2F2F2" w:themeFill="background1" w:themeFillShade="F2"/>
            <w:hideMark/>
          </w:tcPr>
          <w:p w14:paraId="5F37C3AF" w14:textId="77777777" w:rsidR="00C324F3" w:rsidRPr="00581533"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581533">
              <w:rPr>
                <w:szCs w:val="18"/>
              </w:rPr>
              <w:t>Not statistically significant</w:t>
            </w:r>
            <w:r>
              <w:rPr>
                <w:szCs w:val="18"/>
              </w:rPr>
              <w:t xml:space="preserve"> based on RR.</w:t>
            </w:r>
          </w:p>
          <w:p w14:paraId="795AE996" w14:textId="77777777" w:rsidR="00C324F3" w:rsidRPr="009068BC"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9068BC">
              <w:rPr>
                <w:szCs w:val="18"/>
              </w:rPr>
              <w:t>Not statistically significant</w:t>
            </w:r>
            <w:r>
              <w:rPr>
                <w:szCs w:val="18"/>
              </w:rPr>
              <w:t xml:space="preserve"> based on RR </w:t>
            </w:r>
            <w:r w:rsidRPr="009068BC">
              <w:rPr>
                <w:szCs w:val="18"/>
              </w:rPr>
              <w:t>(</w:t>
            </w:r>
            <w:r>
              <w:rPr>
                <w:szCs w:val="18"/>
              </w:rPr>
              <w:t>S</w:t>
            </w:r>
            <w:r w:rsidRPr="009068BC">
              <w:rPr>
                <w:szCs w:val="18"/>
              </w:rPr>
              <w:t>AEs, treatment withdrawals)</w:t>
            </w:r>
            <w:r>
              <w:rPr>
                <w:szCs w:val="18"/>
              </w:rPr>
              <w:t>.</w:t>
            </w:r>
          </w:p>
        </w:tc>
      </w:tr>
      <w:tr w:rsidR="00C324F3" w:rsidRPr="00360862" w14:paraId="47343034" w14:textId="77777777" w:rsidTr="00A8607D">
        <w:trPr>
          <w:trHeight w:val="440"/>
        </w:trPr>
        <w:tc>
          <w:tcPr>
            <w:tcW w:w="1095" w:type="pct"/>
            <w:shd w:val="clear" w:color="auto" w:fill="F2F2F2" w:themeFill="background1" w:themeFillShade="F2"/>
          </w:tcPr>
          <w:p w14:paraId="77564F60" w14:textId="77777777" w:rsidR="00C324F3" w:rsidRPr="00581533" w:rsidRDefault="00C324F3" w:rsidP="00777459">
            <w:pPr>
              <w:rPr>
                <w:szCs w:val="18"/>
              </w:rPr>
            </w:pPr>
            <w:r w:rsidRPr="00581533">
              <w:rPr>
                <w:szCs w:val="18"/>
              </w:rPr>
              <w:t>Preloading use of NRT</w:t>
            </w:r>
            <w:r w:rsidRPr="00581533">
              <w:rPr>
                <w:szCs w:val="18"/>
                <w:vertAlign w:val="superscript"/>
              </w:rPr>
              <w:t>2</w:t>
            </w:r>
            <w:r>
              <w:rPr>
                <w:szCs w:val="18"/>
              </w:rPr>
              <w:t xml:space="preserve"> vs s</w:t>
            </w:r>
            <w:r w:rsidRPr="00581533">
              <w:rPr>
                <w:szCs w:val="18"/>
              </w:rPr>
              <w:t>tandard use of NRT</w:t>
            </w:r>
          </w:p>
          <w:p w14:paraId="45300D50" w14:textId="77777777" w:rsidR="00C324F3" w:rsidRPr="00581533" w:rsidRDefault="00C324F3" w:rsidP="00777459">
            <w:pPr>
              <w:rPr>
                <w:szCs w:val="18"/>
              </w:rPr>
            </w:pPr>
          </w:p>
        </w:tc>
        <w:tc>
          <w:tcPr>
            <w:tcW w:w="1098" w:type="pct"/>
            <w:shd w:val="clear" w:color="auto" w:fill="F2F2F2" w:themeFill="background1" w:themeFillShade="F2"/>
          </w:tcPr>
          <w:p w14:paraId="5F7B7E38" w14:textId="77777777" w:rsidR="00C324F3" w:rsidRPr="00CE108D" w:rsidRDefault="00C324F3" w:rsidP="00C324F3">
            <w:pPr>
              <w:pStyle w:val="ListParagraph"/>
              <w:numPr>
                <w:ilvl w:val="0"/>
                <w:numId w:val="319"/>
              </w:numPr>
              <w:rPr>
                <w:szCs w:val="18"/>
              </w:rPr>
            </w:pPr>
            <w:r w:rsidRPr="00687B43">
              <w:t>Lindson (2019)</w:t>
            </w:r>
            <w:r w:rsidRPr="00CE108D">
              <w:rPr>
                <w:vertAlign w:val="superscript"/>
              </w:rPr>
              <w:t>4</w:t>
            </w:r>
          </w:p>
          <w:p w14:paraId="1FA6011D" w14:textId="77777777" w:rsidR="00C324F3" w:rsidRPr="00CE108D" w:rsidRDefault="00C324F3" w:rsidP="00C324F3">
            <w:pPr>
              <w:pStyle w:val="ListParagraph"/>
              <w:numPr>
                <w:ilvl w:val="0"/>
                <w:numId w:val="319"/>
              </w:numPr>
              <w:rPr>
                <w:szCs w:val="18"/>
              </w:rPr>
            </w:pPr>
            <w:r w:rsidRPr="00CE108D">
              <w:rPr>
                <w:szCs w:val="18"/>
              </w:rPr>
              <w:t>Dedert</w:t>
            </w:r>
            <w:r>
              <w:rPr>
                <w:szCs w:val="18"/>
              </w:rPr>
              <w:t xml:space="preserve"> </w:t>
            </w:r>
            <w:r w:rsidRPr="00CE108D">
              <w:rPr>
                <w:szCs w:val="18"/>
              </w:rPr>
              <w:t>(2018)</w:t>
            </w:r>
            <w:r w:rsidRPr="00CE108D">
              <w:rPr>
                <w:szCs w:val="18"/>
                <w:vertAlign w:val="superscript"/>
              </w:rPr>
              <w:t>5</w:t>
            </w:r>
          </w:p>
        </w:tc>
        <w:tc>
          <w:tcPr>
            <w:tcW w:w="2807" w:type="pct"/>
            <w:shd w:val="clear" w:color="auto" w:fill="F2F2F2" w:themeFill="background1" w:themeFillShade="F2"/>
          </w:tcPr>
          <w:p w14:paraId="3E85760D" w14:textId="77777777" w:rsidR="00C324F3" w:rsidRPr="00A62C1A" w:rsidRDefault="00C324F3" w:rsidP="00C324F3">
            <w:pPr>
              <w:pStyle w:val="ListParagraph"/>
              <w:numPr>
                <w:ilvl w:val="0"/>
                <w:numId w:val="318"/>
              </w:numPr>
              <w:rPr>
                <w:szCs w:val="18"/>
              </w:rPr>
            </w:pPr>
            <w:r w:rsidRPr="00531AAD">
              <w:rPr>
                <w:szCs w:val="18"/>
                <w:u w:val="single"/>
              </w:rPr>
              <w:t>Efficacy</w:t>
            </w:r>
            <w:r w:rsidRPr="00531AAD">
              <w:rPr>
                <w:szCs w:val="18"/>
              </w:rPr>
              <w:t xml:space="preserve">: </w:t>
            </w:r>
            <w:r w:rsidRPr="004819C7">
              <w:rPr>
                <w:szCs w:val="18"/>
              </w:rPr>
              <w:t xml:space="preserve">Statistically significant based on RR and RD </w:t>
            </w:r>
            <w:r w:rsidRPr="0042217E">
              <w:rPr>
                <w:szCs w:val="18"/>
              </w:rPr>
              <w:t xml:space="preserve">(in favour of preloading use for NRT </w:t>
            </w:r>
            <w:r w:rsidRPr="00A62C1A">
              <w:rPr>
                <w:szCs w:val="18"/>
              </w:rPr>
              <w:t>patch</w:t>
            </w:r>
            <w:r w:rsidRPr="00547BB4">
              <w:rPr>
                <w:szCs w:val="18"/>
              </w:rPr>
              <w:t>);</w:t>
            </w:r>
            <w:r>
              <w:rPr>
                <w:szCs w:val="18"/>
              </w:rPr>
              <w:t xml:space="preserve"> </w:t>
            </w:r>
            <w:r w:rsidRPr="00531AAD">
              <w:rPr>
                <w:szCs w:val="18"/>
              </w:rPr>
              <w:t xml:space="preserve">not statistically significant based on RR </w:t>
            </w:r>
            <w:r w:rsidRPr="004819C7">
              <w:rPr>
                <w:szCs w:val="18"/>
              </w:rPr>
              <w:t>(other comparisons)</w:t>
            </w:r>
            <w:r>
              <w:rPr>
                <w:szCs w:val="18"/>
              </w:rPr>
              <w:t>.</w:t>
            </w:r>
          </w:p>
          <w:p w14:paraId="210E9343" w14:textId="77777777" w:rsidR="00C324F3" w:rsidRPr="009068BC" w:rsidRDefault="00C324F3" w:rsidP="00C324F3">
            <w:pPr>
              <w:pStyle w:val="ListParagraph"/>
              <w:numPr>
                <w:ilvl w:val="0"/>
                <w:numId w:val="318"/>
              </w:numPr>
              <w:rPr>
                <w:szCs w:val="18"/>
              </w:rPr>
            </w:pPr>
            <w:r w:rsidRPr="00581533">
              <w:rPr>
                <w:szCs w:val="18"/>
                <w:u w:val="single"/>
              </w:rPr>
              <w:t>Safety:</w:t>
            </w:r>
            <w:r w:rsidRPr="00581533">
              <w:rPr>
                <w:szCs w:val="18"/>
              </w:rPr>
              <w:t xml:space="preserve"> </w:t>
            </w:r>
            <w:r w:rsidRPr="009068BC">
              <w:rPr>
                <w:szCs w:val="18"/>
              </w:rPr>
              <w:t>Statistically significant</w:t>
            </w:r>
            <w:r>
              <w:rPr>
                <w:szCs w:val="18"/>
              </w:rPr>
              <w:t xml:space="preserve"> based on RR </w:t>
            </w:r>
            <w:r w:rsidRPr="009068BC">
              <w:rPr>
                <w:szCs w:val="18"/>
              </w:rPr>
              <w:t>(palpitations; higher in preloading use)</w:t>
            </w:r>
            <w:r>
              <w:rPr>
                <w:szCs w:val="18"/>
              </w:rPr>
              <w:t xml:space="preserve">; </w:t>
            </w:r>
            <w:r w:rsidRPr="009068BC">
              <w:rPr>
                <w:szCs w:val="18"/>
              </w:rPr>
              <w:t>Not statistically significant</w:t>
            </w:r>
            <w:r>
              <w:rPr>
                <w:szCs w:val="18"/>
              </w:rPr>
              <w:t xml:space="preserve"> based on RR </w:t>
            </w:r>
            <w:r w:rsidRPr="009068BC">
              <w:rPr>
                <w:szCs w:val="18"/>
              </w:rPr>
              <w:t>(cardiac AEs, cardiac</w:t>
            </w:r>
            <w:r w:rsidRPr="009068BC" w:rsidDel="000C561C">
              <w:rPr>
                <w:szCs w:val="18"/>
              </w:rPr>
              <w:t xml:space="preserve"> </w:t>
            </w:r>
            <w:r>
              <w:rPr>
                <w:szCs w:val="18"/>
              </w:rPr>
              <w:t>S</w:t>
            </w:r>
            <w:r w:rsidRPr="009068BC">
              <w:rPr>
                <w:szCs w:val="18"/>
              </w:rPr>
              <w:t>AEs, treatment withdrawals)</w:t>
            </w:r>
            <w:r>
              <w:rPr>
                <w:szCs w:val="18"/>
              </w:rPr>
              <w:t>, and RD (overall SAEs).</w:t>
            </w:r>
          </w:p>
        </w:tc>
      </w:tr>
      <w:tr w:rsidR="00C324F3" w:rsidRPr="00360862" w14:paraId="27714046" w14:textId="77777777" w:rsidTr="00A8607D">
        <w:trPr>
          <w:trHeight w:val="617"/>
        </w:trPr>
        <w:tc>
          <w:tcPr>
            <w:tcW w:w="1095" w:type="pct"/>
            <w:shd w:val="clear" w:color="auto" w:fill="F2F2F2" w:themeFill="background1" w:themeFillShade="F2"/>
          </w:tcPr>
          <w:p w14:paraId="382A23F1" w14:textId="77777777" w:rsidR="00C324F3" w:rsidRPr="00581533" w:rsidRDefault="00C324F3" w:rsidP="00777459">
            <w:pPr>
              <w:rPr>
                <w:szCs w:val="18"/>
              </w:rPr>
            </w:pPr>
            <w:r w:rsidRPr="00581533">
              <w:rPr>
                <w:szCs w:val="18"/>
              </w:rPr>
              <w:t>Reduction with pharmacotherapy (pre-quit)</w:t>
            </w:r>
            <w:r w:rsidRPr="00581533">
              <w:rPr>
                <w:szCs w:val="18"/>
                <w:vertAlign w:val="superscript"/>
              </w:rPr>
              <w:t>3</w:t>
            </w:r>
            <w:r>
              <w:rPr>
                <w:szCs w:val="18"/>
              </w:rPr>
              <w:t xml:space="preserve"> vs r</w:t>
            </w:r>
            <w:r w:rsidRPr="00581533">
              <w:rPr>
                <w:szCs w:val="18"/>
              </w:rPr>
              <w:t>eduction alone</w:t>
            </w:r>
          </w:p>
        </w:tc>
        <w:tc>
          <w:tcPr>
            <w:tcW w:w="1098" w:type="pct"/>
            <w:shd w:val="clear" w:color="auto" w:fill="F2F2F2" w:themeFill="background1" w:themeFillShade="F2"/>
          </w:tcPr>
          <w:p w14:paraId="43B1A15A" w14:textId="77777777" w:rsidR="00C324F3" w:rsidRPr="002A5E9C" w:rsidRDefault="00C324F3" w:rsidP="00C324F3">
            <w:pPr>
              <w:pStyle w:val="ListParagraph"/>
              <w:numPr>
                <w:ilvl w:val="0"/>
                <w:numId w:val="319"/>
              </w:numPr>
              <w:rPr>
                <w:szCs w:val="18"/>
              </w:rPr>
            </w:pPr>
            <w:r>
              <w:t>Lindson</w:t>
            </w:r>
            <w:r w:rsidRPr="00713891">
              <w:t xml:space="preserve"> (</w:t>
            </w:r>
            <w:r w:rsidRPr="00A938BB">
              <w:t>2019b</w:t>
            </w:r>
            <w:r w:rsidRPr="00713891">
              <w:t>)</w:t>
            </w:r>
            <w:r w:rsidRPr="00CE108D">
              <w:rPr>
                <w:vertAlign w:val="superscript"/>
              </w:rPr>
              <w:t>4</w:t>
            </w:r>
          </w:p>
        </w:tc>
        <w:tc>
          <w:tcPr>
            <w:tcW w:w="2807" w:type="pct"/>
            <w:shd w:val="clear" w:color="auto" w:fill="F2F2F2" w:themeFill="background1" w:themeFillShade="F2"/>
          </w:tcPr>
          <w:p w14:paraId="1087DA82" w14:textId="77777777" w:rsidR="00C324F3" w:rsidRPr="00A62C1A" w:rsidRDefault="00C324F3" w:rsidP="00C324F3">
            <w:pPr>
              <w:pStyle w:val="ListParagraph"/>
              <w:numPr>
                <w:ilvl w:val="0"/>
                <w:numId w:val="318"/>
              </w:numPr>
              <w:rPr>
                <w:szCs w:val="18"/>
              </w:rPr>
            </w:pPr>
            <w:r w:rsidRPr="00531AAD">
              <w:rPr>
                <w:szCs w:val="18"/>
                <w:u w:val="single"/>
              </w:rPr>
              <w:t>Efficacy</w:t>
            </w:r>
            <w:r w:rsidRPr="00531AAD">
              <w:rPr>
                <w:szCs w:val="18"/>
              </w:rPr>
              <w:t xml:space="preserve">: </w:t>
            </w:r>
            <w:r w:rsidRPr="004819C7">
              <w:rPr>
                <w:szCs w:val="18"/>
              </w:rPr>
              <w:t xml:space="preserve">Statistically significant based on RR </w:t>
            </w:r>
            <w:r w:rsidRPr="0042217E">
              <w:rPr>
                <w:szCs w:val="18"/>
              </w:rPr>
              <w:t>(in favour of reduction with pharmacotherapy for fast-acting NRT)</w:t>
            </w:r>
            <w:r w:rsidRPr="00A62C1A">
              <w:rPr>
                <w:szCs w:val="18"/>
              </w:rPr>
              <w:t>;</w:t>
            </w:r>
            <w:r>
              <w:rPr>
                <w:szCs w:val="18"/>
              </w:rPr>
              <w:t xml:space="preserve"> </w:t>
            </w:r>
            <w:r w:rsidRPr="00531AAD">
              <w:rPr>
                <w:szCs w:val="18"/>
              </w:rPr>
              <w:t xml:space="preserve">not statistically significant based on RR </w:t>
            </w:r>
            <w:r w:rsidRPr="004819C7">
              <w:rPr>
                <w:szCs w:val="18"/>
              </w:rPr>
              <w:t>(other comparisons)</w:t>
            </w:r>
            <w:r>
              <w:rPr>
                <w:szCs w:val="18"/>
              </w:rPr>
              <w:t>.</w:t>
            </w:r>
          </w:p>
          <w:p w14:paraId="46D6546A" w14:textId="77777777" w:rsidR="00C324F3" w:rsidRPr="004E53B4" w:rsidRDefault="00C324F3" w:rsidP="00C324F3">
            <w:pPr>
              <w:pStyle w:val="ListParagraph"/>
              <w:numPr>
                <w:ilvl w:val="0"/>
                <w:numId w:val="318"/>
              </w:numPr>
              <w:rPr>
                <w:szCs w:val="18"/>
              </w:rPr>
            </w:pPr>
            <w:r w:rsidRPr="00581533">
              <w:rPr>
                <w:szCs w:val="18"/>
                <w:u w:val="single"/>
              </w:rPr>
              <w:t>Safety:</w:t>
            </w:r>
            <w:r w:rsidRPr="00581533">
              <w:rPr>
                <w:szCs w:val="18"/>
              </w:rPr>
              <w:t xml:space="preserve"> </w:t>
            </w:r>
            <w:r w:rsidRPr="004E53B4">
              <w:rPr>
                <w:szCs w:val="18"/>
              </w:rPr>
              <w:t>Not statistically significant</w:t>
            </w:r>
            <w:r>
              <w:rPr>
                <w:szCs w:val="18"/>
              </w:rPr>
              <w:t xml:space="preserve"> based on RR </w:t>
            </w:r>
            <w:r w:rsidRPr="004E53B4">
              <w:rPr>
                <w:szCs w:val="18"/>
              </w:rPr>
              <w:t>(pre-quit SAEs)</w:t>
            </w:r>
            <w:r>
              <w:rPr>
                <w:szCs w:val="18"/>
              </w:rPr>
              <w:t>; I</w:t>
            </w:r>
            <w:r w:rsidRPr="004E53B4">
              <w:rPr>
                <w:szCs w:val="18"/>
              </w:rPr>
              <w:t>nconclusive for pre-quit AEs (statistically significant in one RCT but not statistically significant in another RCT)</w:t>
            </w:r>
            <w:r>
              <w:rPr>
                <w:szCs w:val="18"/>
              </w:rPr>
              <w:t>.</w:t>
            </w:r>
            <w:r w:rsidRPr="004E53B4">
              <w:rPr>
                <w:szCs w:val="18"/>
              </w:rPr>
              <w:t xml:space="preserve"> </w:t>
            </w:r>
          </w:p>
        </w:tc>
      </w:tr>
    </w:tbl>
    <w:p w14:paraId="3EBB8822" w14:textId="77777777" w:rsidR="00C324F3" w:rsidRDefault="00C324F3" w:rsidP="00A8607D">
      <w:pPr>
        <w:pStyle w:val="TableFooter"/>
        <w:keepNext/>
        <w:jc w:val="both"/>
      </w:pPr>
      <w:r>
        <w:t>Abbreviations: AEs = adverse events; NRT = nicotine replacement therapy; RR = risk ratio, RD = risk difference; SAEs = serious adverse events.</w:t>
      </w:r>
    </w:p>
    <w:p w14:paraId="3B625DDD" w14:textId="77777777" w:rsidR="00C324F3" w:rsidRDefault="00C324F3" w:rsidP="00A8607D">
      <w:pPr>
        <w:pStyle w:val="TableFooter"/>
        <w:keepNext/>
        <w:jc w:val="both"/>
      </w:pPr>
      <w:r w:rsidRPr="00BE36E8">
        <w:t xml:space="preserve">Notes: </w:t>
      </w:r>
    </w:p>
    <w:p w14:paraId="47B7B523" w14:textId="64CC1863" w:rsidR="00C324F3" w:rsidRPr="004E53B4" w:rsidRDefault="00C324F3" w:rsidP="00A8607D">
      <w:pPr>
        <w:pStyle w:val="TableFooter"/>
        <w:keepNext/>
        <w:jc w:val="both"/>
      </w:pPr>
      <w:r>
        <w:t xml:space="preserve">1 </w:t>
      </w:r>
      <w:r w:rsidRPr="004E53B4">
        <w:t xml:space="preserve">Comparisons include gum, nasal </w:t>
      </w:r>
      <w:r w:rsidR="008260A0" w:rsidRPr="004E53B4">
        <w:t>spray,</w:t>
      </w:r>
      <w:r w:rsidRPr="004E53B4">
        <w:t xml:space="preserve"> and pooled analysis.</w:t>
      </w:r>
    </w:p>
    <w:p w14:paraId="6DACCEFD" w14:textId="77777777" w:rsidR="00C324F3" w:rsidRPr="004E53B4" w:rsidRDefault="00C324F3" w:rsidP="00A8607D">
      <w:pPr>
        <w:pStyle w:val="TableFooter"/>
        <w:keepNext/>
        <w:jc w:val="both"/>
      </w:pPr>
      <w:r>
        <w:t xml:space="preserve">2 </w:t>
      </w:r>
      <w:r w:rsidRPr="004E53B4">
        <w:t>Comparisons include preloading use (prior to smoking cessation) versus standard use (commencing at the time of smoking cessation) of NRT patches, NRT gum or NRT patch in combination with gum. Pooled analysis of efficacy was statistically significant, in favour of preloading use.</w:t>
      </w:r>
    </w:p>
    <w:p w14:paraId="198DA07F" w14:textId="77777777" w:rsidR="00C324F3" w:rsidRDefault="00C324F3" w:rsidP="00A8607D">
      <w:pPr>
        <w:pStyle w:val="TableFooter"/>
        <w:keepNext/>
        <w:jc w:val="both"/>
      </w:pPr>
      <w:r>
        <w:t xml:space="preserve">3 </w:t>
      </w:r>
      <w:r w:rsidRPr="004E53B4">
        <w:t>Comparisons include NRT patches, fast-acting NRT, and combination NRT. Reduction in cigarettes per day refers to ‘cutting down to quit’.</w:t>
      </w:r>
    </w:p>
    <w:p w14:paraId="6952E0DB" w14:textId="77777777" w:rsidR="00C324F3" w:rsidRDefault="00C324F3" w:rsidP="00A8607D">
      <w:pPr>
        <w:pStyle w:val="TableFooter"/>
        <w:keepNext/>
        <w:jc w:val="both"/>
      </w:pPr>
      <w:r>
        <w:t xml:space="preserve">4 </w:t>
      </w:r>
      <w:r w:rsidRPr="00BE36E8">
        <w:t>Cochrane Review</w:t>
      </w:r>
      <w:r>
        <w:t>.</w:t>
      </w:r>
    </w:p>
    <w:p w14:paraId="2B891EA8" w14:textId="77777777" w:rsidR="00C324F3" w:rsidRPr="00AC7527" w:rsidRDefault="00C324F3" w:rsidP="00A8607D">
      <w:pPr>
        <w:pStyle w:val="TableFooter"/>
        <w:keepNext/>
        <w:spacing w:after="120"/>
        <w:contextualSpacing w:val="0"/>
        <w:jc w:val="both"/>
      </w:pPr>
      <w:r>
        <w:t xml:space="preserve">5 Supplemental evidence (RCT). </w:t>
      </w:r>
    </w:p>
    <w:p w14:paraId="4669D87D" w14:textId="77777777" w:rsidR="00C324F3" w:rsidRPr="00A61CF6" w:rsidRDefault="00C324F3" w:rsidP="00A8607D">
      <w:pPr>
        <w:spacing w:after="120"/>
        <w:jc w:val="both"/>
        <w:rPr>
          <w:b/>
          <w:bCs/>
        </w:rPr>
      </w:pPr>
      <w:r w:rsidRPr="00A61CF6">
        <w:rPr>
          <w:b/>
          <w:bCs/>
        </w:rPr>
        <w:t>Non-PBS listed NRT dosage forms</w:t>
      </w:r>
    </w:p>
    <w:p w14:paraId="65A31BDC" w14:textId="77777777" w:rsidR="00C324F3" w:rsidRPr="00C66757" w:rsidRDefault="00C324F3" w:rsidP="00A8607D">
      <w:pPr>
        <w:spacing w:after="120"/>
        <w:jc w:val="both"/>
      </w:pPr>
      <w:r w:rsidRPr="00C66757">
        <w:t>Inhalator</w:t>
      </w:r>
    </w:p>
    <w:p w14:paraId="3D70A8B4" w14:textId="77777777" w:rsidR="00C324F3" w:rsidRPr="00C746D6" w:rsidRDefault="00C324F3" w:rsidP="00A8607D">
      <w:pPr>
        <w:pStyle w:val="ListParagraph"/>
        <w:numPr>
          <w:ilvl w:val="0"/>
          <w:numId w:val="282"/>
        </w:numPr>
        <w:jc w:val="both"/>
      </w:pPr>
      <w:r>
        <w:t>There were no statistically significant differences between NRT i</w:t>
      </w:r>
      <w:r w:rsidRPr="00C66757">
        <w:t>nhalator</w:t>
      </w:r>
      <w:r>
        <w:t>s</w:t>
      </w:r>
      <w:r w:rsidRPr="00C66757">
        <w:t xml:space="preserve"> </w:t>
      </w:r>
      <w:r>
        <w:t>and placebo in terms of efficacy</w:t>
      </w:r>
      <w:r w:rsidRPr="00C746D6">
        <w:t xml:space="preserve"> based on the results of the updated re-analysis after including the study identified in the supplemental literature search (Oncken et al. 2019), noting that the results were statistically significant in Hartmann-Boyce et al. (2018). For safety, there were no statistically significant difference in adverse events between the two treatment arms (risk ratio), noting that the results were statistically significant based on risk difference.</w:t>
      </w:r>
    </w:p>
    <w:p w14:paraId="2604DCCE" w14:textId="1C940038" w:rsidR="003C4A1C" w:rsidRDefault="00C324F3" w:rsidP="00A8607D">
      <w:pPr>
        <w:pStyle w:val="ListParagraph"/>
        <w:numPr>
          <w:ilvl w:val="0"/>
          <w:numId w:val="282"/>
        </w:numPr>
        <w:jc w:val="both"/>
      </w:pPr>
      <w:r>
        <w:t xml:space="preserve">There were no statistically significant differences between </w:t>
      </w:r>
      <w:r w:rsidRPr="00EB6867">
        <w:t>NRT inhal</w:t>
      </w:r>
      <w:r>
        <w:t>ators</w:t>
      </w:r>
      <w:r w:rsidRPr="00EB6867">
        <w:t xml:space="preserve"> </w:t>
      </w:r>
      <w:r>
        <w:t xml:space="preserve">compared to </w:t>
      </w:r>
      <w:r w:rsidRPr="00EB6867">
        <w:t xml:space="preserve">patches in terms of </w:t>
      </w:r>
      <w:r>
        <w:t>efficacy</w:t>
      </w:r>
      <w:r w:rsidRPr="00EB6867">
        <w:t>. For safety, the</w:t>
      </w:r>
      <w:r>
        <w:t>re were no serious adverse events reported in either treatment arm</w:t>
      </w:r>
      <w:r w:rsidRPr="00EB6867">
        <w:t xml:space="preserve">. </w:t>
      </w:r>
    </w:p>
    <w:p w14:paraId="646F4AC3" w14:textId="38514CF5"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2699"/>
        <w:gridCol w:w="4791"/>
      </w:tblGrid>
      <w:tr w:rsidR="00C324F3" w:rsidRPr="00916516" w14:paraId="3691B19E" w14:textId="77777777" w:rsidTr="00240971">
        <w:trPr>
          <w:trHeight w:val="67"/>
        </w:trPr>
        <w:tc>
          <w:tcPr>
            <w:tcW w:w="846" w:type="pct"/>
            <w:shd w:val="clear" w:color="auto" w:fill="F2F2F2" w:themeFill="background1" w:themeFillShade="F2"/>
            <w:hideMark/>
          </w:tcPr>
          <w:p w14:paraId="23979564"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497" w:type="pct"/>
            <w:shd w:val="clear" w:color="auto" w:fill="F2F2F2" w:themeFill="background1" w:themeFillShade="F2"/>
            <w:hideMark/>
          </w:tcPr>
          <w:p w14:paraId="094AECE8" w14:textId="77777777" w:rsidR="00C324F3" w:rsidRPr="00916516" w:rsidRDefault="00C324F3" w:rsidP="00777459">
            <w:pPr>
              <w:jc w:val="center"/>
              <w:rPr>
                <w:szCs w:val="18"/>
              </w:rPr>
            </w:pPr>
            <w:r>
              <w:rPr>
                <w:b/>
                <w:bCs/>
                <w:szCs w:val="18"/>
              </w:rPr>
              <w:t>Included studies</w:t>
            </w:r>
          </w:p>
        </w:tc>
        <w:tc>
          <w:tcPr>
            <w:tcW w:w="2657" w:type="pct"/>
            <w:shd w:val="clear" w:color="auto" w:fill="F2F2F2" w:themeFill="background1" w:themeFillShade="F2"/>
            <w:hideMark/>
          </w:tcPr>
          <w:p w14:paraId="1A6F3003" w14:textId="77777777" w:rsidR="00C324F3" w:rsidRPr="00916516" w:rsidRDefault="00C324F3" w:rsidP="00777459">
            <w:pPr>
              <w:jc w:val="center"/>
              <w:rPr>
                <w:szCs w:val="18"/>
              </w:rPr>
            </w:pPr>
            <w:r>
              <w:rPr>
                <w:b/>
                <w:bCs/>
                <w:szCs w:val="18"/>
              </w:rPr>
              <w:t>Summary of evidence</w:t>
            </w:r>
          </w:p>
        </w:tc>
      </w:tr>
      <w:tr w:rsidR="00C324F3" w:rsidRPr="009068BC" w14:paraId="1FF8842B" w14:textId="77777777" w:rsidTr="00240971">
        <w:trPr>
          <w:trHeight w:val="345"/>
        </w:trPr>
        <w:tc>
          <w:tcPr>
            <w:tcW w:w="846" w:type="pct"/>
            <w:shd w:val="clear" w:color="auto" w:fill="F2F2F2" w:themeFill="background1" w:themeFillShade="F2"/>
            <w:hideMark/>
          </w:tcPr>
          <w:p w14:paraId="0E57BBAA" w14:textId="77777777" w:rsidR="00C324F3" w:rsidRPr="00237D04" w:rsidRDefault="00C324F3" w:rsidP="00777459">
            <w:pPr>
              <w:tabs>
                <w:tab w:val="left" w:pos="1198"/>
              </w:tabs>
              <w:rPr>
                <w:szCs w:val="18"/>
              </w:rPr>
            </w:pPr>
            <w:r w:rsidRPr="004537F9">
              <w:rPr>
                <w:szCs w:val="18"/>
              </w:rPr>
              <w:t>NRT inhalator</w:t>
            </w:r>
            <w:r>
              <w:rPr>
                <w:szCs w:val="18"/>
              </w:rPr>
              <w:t xml:space="preserve"> vs p</w:t>
            </w:r>
            <w:r w:rsidRPr="004537F9">
              <w:rPr>
                <w:szCs w:val="18"/>
              </w:rPr>
              <w:t>lacebo</w:t>
            </w:r>
          </w:p>
        </w:tc>
        <w:tc>
          <w:tcPr>
            <w:tcW w:w="1497" w:type="pct"/>
            <w:shd w:val="clear" w:color="auto" w:fill="F2F2F2" w:themeFill="background1" w:themeFillShade="F2"/>
            <w:hideMark/>
          </w:tcPr>
          <w:p w14:paraId="56C72440" w14:textId="4FD0FA75" w:rsidR="00C324F3" w:rsidRPr="00CE108D" w:rsidRDefault="00C324F3" w:rsidP="00C324F3">
            <w:pPr>
              <w:pStyle w:val="ListParagraph"/>
              <w:numPr>
                <w:ilvl w:val="0"/>
                <w:numId w:val="318"/>
              </w:numPr>
              <w:rPr>
                <w:szCs w:val="18"/>
              </w:rPr>
            </w:pPr>
            <w:r w:rsidRPr="004110FF">
              <w:t>Hartmann-</w:t>
            </w:r>
            <w:r w:rsidR="008260A0" w:rsidRPr="004110FF">
              <w:t>Boyce (</w:t>
            </w:r>
            <w:r w:rsidRPr="004110FF">
              <w:t>2018</w:t>
            </w:r>
            <w:r>
              <w:t>)</w:t>
            </w:r>
            <w:r w:rsidRPr="00CE108D">
              <w:rPr>
                <w:vertAlign w:val="superscript"/>
              </w:rPr>
              <w:t>1</w:t>
            </w:r>
          </w:p>
          <w:p w14:paraId="30C68DA2" w14:textId="77777777" w:rsidR="00C324F3" w:rsidRPr="00CE108D" w:rsidRDefault="00C324F3" w:rsidP="00C324F3">
            <w:pPr>
              <w:pStyle w:val="ListParagraph"/>
              <w:numPr>
                <w:ilvl w:val="0"/>
                <w:numId w:val="318"/>
              </w:numPr>
              <w:rPr>
                <w:szCs w:val="18"/>
              </w:rPr>
            </w:pPr>
            <w:r w:rsidRPr="003018A2">
              <w:t>Oncken (2019)</w:t>
            </w:r>
            <w:r w:rsidRPr="00CE108D">
              <w:rPr>
                <w:vertAlign w:val="superscript"/>
              </w:rPr>
              <w:t>2</w:t>
            </w:r>
          </w:p>
        </w:tc>
        <w:tc>
          <w:tcPr>
            <w:tcW w:w="2657" w:type="pct"/>
            <w:shd w:val="clear" w:color="auto" w:fill="F2F2F2" w:themeFill="background1" w:themeFillShade="F2"/>
            <w:hideMark/>
          </w:tcPr>
          <w:p w14:paraId="4C344649" w14:textId="77777777" w:rsidR="00C324F3" w:rsidRPr="004537F9"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and RD.</w:t>
            </w:r>
          </w:p>
          <w:p w14:paraId="0C792E79" w14:textId="1F041A7C" w:rsidR="00C324F3" w:rsidRPr="004537F9"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4537F9">
              <w:rPr>
                <w:szCs w:val="18"/>
              </w:rPr>
              <w:t>Not statistically significant</w:t>
            </w:r>
            <w:r w:rsidR="008260A0">
              <w:rPr>
                <w:szCs w:val="18"/>
                <w:vertAlign w:val="superscript"/>
              </w:rPr>
              <w:t xml:space="preserve">3 </w:t>
            </w:r>
            <w:r w:rsidR="008260A0">
              <w:rPr>
                <w:szCs w:val="18"/>
              </w:rPr>
              <w:t>based</w:t>
            </w:r>
            <w:r>
              <w:rPr>
                <w:szCs w:val="18"/>
              </w:rPr>
              <w:t xml:space="preserve"> on RR and RD </w:t>
            </w:r>
            <w:r w:rsidRPr="004537F9">
              <w:rPr>
                <w:szCs w:val="18"/>
              </w:rPr>
              <w:t>(any AEs)</w:t>
            </w:r>
            <w:r>
              <w:rPr>
                <w:szCs w:val="18"/>
              </w:rPr>
              <w:t>.</w:t>
            </w:r>
          </w:p>
        </w:tc>
      </w:tr>
      <w:tr w:rsidR="00C324F3" w:rsidRPr="009068BC" w14:paraId="028D34D8" w14:textId="77777777" w:rsidTr="00240971">
        <w:trPr>
          <w:trHeight w:val="617"/>
        </w:trPr>
        <w:tc>
          <w:tcPr>
            <w:tcW w:w="846" w:type="pct"/>
            <w:shd w:val="clear" w:color="auto" w:fill="F2F2F2" w:themeFill="background1" w:themeFillShade="F2"/>
            <w:hideMark/>
          </w:tcPr>
          <w:p w14:paraId="1BF31F8B" w14:textId="77777777" w:rsidR="00C324F3" w:rsidRPr="00581533" w:rsidRDefault="00C324F3" w:rsidP="00777459">
            <w:pPr>
              <w:rPr>
                <w:szCs w:val="18"/>
              </w:rPr>
            </w:pPr>
            <w:r w:rsidRPr="004537F9">
              <w:rPr>
                <w:szCs w:val="18"/>
              </w:rPr>
              <w:t>NRT inhalator</w:t>
            </w:r>
            <w:r>
              <w:rPr>
                <w:szCs w:val="18"/>
              </w:rPr>
              <w:t xml:space="preserve"> vs </w:t>
            </w:r>
            <w:r w:rsidRPr="004537F9">
              <w:rPr>
                <w:szCs w:val="18"/>
              </w:rPr>
              <w:t>NRT patch</w:t>
            </w:r>
          </w:p>
        </w:tc>
        <w:tc>
          <w:tcPr>
            <w:tcW w:w="1497" w:type="pct"/>
            <w:shd w:val="clear" w:color="auto" w:fill="F2F2F2" w:themeFill="background1" w:themeFillShade="F2"/>
            <w:hideMark/>
          </w:tcPr>
          <w:p w14:paraId="590DDAA1" w14:textId="4C6ADB8E" w:rsidR="00C324F3" w:rsidRPr="002A5E9C" w:rsidRDefault="008260A0" w:rsidP="00C324F3">
            <w:pPr>
              <w:pStyle w:val="ListParagraph"/>
              <w:numPr>
                <w:ilvl w:val="0"/>
                <w:numId w:val="319"/>
              </w:numPr>
              <w:rPr>
                <w:szCs w:val="18"/>
              </w:rPr>
            </w:pPr>
            <w:r>
              <w:t>Lindson</w:t>
            </w:r>
            <w:r w:rsidRPr="00713891">
              <w:t xml:space="preserve"> (</w:t>
            </w:r>
            <w:r w:rsidR="00C324F3" w:rsidRPr="00713891">
              <w:t>201</w:t>
            </w:r>
            <w:r w:rsidR="00C324F3">
              <w:t>9</w:t>
            </w:r>
            <w:r w:rsidR="00C324F3" w:rsidRPr="00713891">
              <w:t>)</w:t>
            </w:r>
            <w:r w:rsidR="00C324F3" w:rsidRPr="00CE108D">
              <w:rPr>
                <w:vertAlign w:val="superscript"/>
              </w:rPr>
              <w:t>1</w:t>
            </w:r>
          </w:p>
        </w:tc>
        <w:tc>
          <w:tcPr>
            <w:tcW w:w="2657" w:type="pct"/>
            <w:shd w:val="clear" w:color="auto" w:fill="F2F2F2" w:themeFill="background1" w:themeFillShade="F2"/>
            <w:hideMark/>
          </w:tcPr>
          <w:p w14:paraId="0389491B" w14:textId="77777777" w:rsidR="00C324F3" w:rsidRPr="004537F9"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4537F9">
              <w:rPr>
                <w:szCs w:val="18"/>
              </w:rPr>
              <w:t>Not statistically significant</w:t>
            </w:r>
            <w:r>
              <w:rPr>
                <w:szCs w:val="18"/>
              </w:rPr>
              <w:t xml:space="preserve"> based on RR. </w:t>
            </w:r>
          </w:p>
          <w:p w14:paraId="44C63287" w14:textId="77777777" w:rsidR="00C324F3" w:rsidRPr="004537F9"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4537F9">
              <w:rPr>
                <w:szCs w:val="18"/>
              </w:rPr>
              <w:t xml:space="preserve">No </w:t>
            </w:r>
            <w:r>
              <w:rPr>
                <w:szCs w:val="18"/>
              </w:rPr>
              <w:t>S</w:t>
            </w:r>
            <w:r w:rsidRPr="004537F9">
              <w:rPr>
                <w:szCs w:val="18"/>
              </w:rPr>
              <w:t>AEs reported in either arm</w:t>
            </w:r>
            <w:r>
              <w:rPr>
                <w:szCs w:val="18"/>
              </w:rPr>
              <w:t>.</w:t>
            </w:r>
          </w:p>
        </w:tc>
      </w:tr>
    </w:tbl>
    <w:p w14:paraId="7E310719" w14:textId="77777777" w:rsidR="00C324F3" w:rsidRDefault="00C324F3" w:rsidP="00240971">
      <w:pPr>
        <w:pStyle w:val="TableFooter"/>
        <w:keepNext/>
        <w:jc w:val="both"/>
      </w:pPr>
      <w:r>
        <w:t>Abbreviations: AEs = adverse events; NRT = nicotine replacement therapy; RR = risk ratio, RD = risk difference; SAEs = serious adverse events.</w:t>
      </w:r>
    </w:p>
    <w:p w14:paraId="39EA58F9" w14:textId="77777777" w:rsidR="00C324F3" w:rsidRDefault="00C324F3" w:rsidP="00240971">
      <w:pPr>
        <w:pStyle w:val="TableFooter"/>
        <w:keepNext/>
        <w:jc w:val="both"/>
      </w:pPr>
      <w:r w:rsidRPr="00BE36E8">
        <w:t xml:space="preserve">Notes: </w:t>
      </w:r>
    </w:p>
    <w:p w14:paraId="6E6421D8" w14:textId="77777777" w:rsidR="00C324F3" w:rsidRDefault="00C324F3" w:rsidP="00240971">
      <w:pPr>
        <w:pStyle w:val="TableFooter"/>
        <w:keepNext/>
        <w:jc w:val="both"/>
      </w:pPr>
      <w:r>
        <w:t xml:space="preserve">1 </w:t>
      </w:r>
      <w:r w:rsidRPr="00BE36E8">
        <w:t>Cochrane Review</w:t>
      </w:r>
      <w:r>
        <w:t>.</w:t>
      </w:r>
    </w:p>
    <w:p w14:paraId="1273500F" w14:textId="77777777" w:rsidR="00C324F3" w:rsidRDefault="00C324F3" w:rsidP="00240971">
      <w:pPr>
        <w:pStyle w:val="TableFooter"/>
        <w:keepNext/>
        <w:jc w:val="both"/>
      </w:pPr>
      <w:r>
        <w:t xml:space="preserve">2 Supplemental evidence (RCT). </w:t>
      </w:r>
    </w:p>
    <w:p w14:paraId="6CD31B33" w14:textId="77777777" w:rsidR="00C324F3" w:rsidRPr="00C518F7" w:rsidRDefault="00C324F3" w:rsidP="00240971">
      <w:pPr>
        <w:pStyle w:val="TableFooter"/>
        <w:keepNext/>
        <w:spacing w:after="120"/>
        <w:contextualSpacing w:val="0"/>
        <w:jc w:val="both"/>
      </w:pPr>
      <w:r>
        <w:t xml:space="preserve">3 </w:t>
      </w:r>
      <w:r w:rsidRPr="004537F9">
        <w:t>Not statistically significant based on risk ratio but significant based on risk difference (RR = 16.28, 95%CI: 0.96, 276.65; RD = 0.11, 95%CI: 0.04, 0.19).</w:t>
      </w:r>
    </w:p>
    <w:p w14:paraId="79C765DD" w14:textId="77777777" w:rsidR="00C324F3" w:rsidRPr="00A25C81" w:rsidRDefault="00C324F3" w:rsidP="00240971">
      <w:pPr>
        <w:spacing w:after="120"/>
        <w:jc w:val="both"/>
      </w:pPr>
      <w:r w:rsidRPr="00A25C81">
        <w:t>Nasal spray</w:t>
      </w:r>
    </w:p>
    <w:p w14:paraId="719BD6AE" w14:textId="77777777" w:rsidR="00C324F3" w:rsidRDefault="00C324F3" w:rsidP="00240971">
      <w:pPr>
        <w:pStyle w:val="ListParagraph"/>
        <w:numPr>
          <w:ilvl w:val="0"/>
          <w:numId w:val="283"/>
        </w:numPr>
        <w:jc w:val="both"/>
      </w:pPr>
      <w:r>
        <w:t>NRT</w:t>
      </w:r>
      <w:r w:rsidRPr="00EC786E" w:rsidDel="003C2903">
        <w:t xml:space="preserve"> </w:t>
      </w:r>
      <w:r>
        <w:t>nasal</w:t>
      </w:r>
      <w:r w:rsidRPr="00EC786E">
        <w:t xml:space="preserve"> spray was shown to be superior to placebo in terms of efficacy</w:t>
      </w:r>
      <w:r>
        <w:t>. In terms of safety, t</w:t>
      </w:r>
      <w:r w:rsidRPr="00134E10">
        <w:t>he results of the meta-analysis comprising three RCTs demonstrated a significantly higher incidence of palpitations/chest pains adverse events in the nasal spray arm compared to placebo</w:t>
      </w:r>
      <w:r w:rsidRPr="00EC786E">
        <w:t>.</w:t>
      </w:r>
    </w:p>
    <w:p w14:paraId="0287B3BF" w14:textId="77777777" w:rsidR="00C324F3" w:rsidRDefault="00C324F3" w:rsidP="00240971">
      <w:pPr>
        <w:pStyle w:val="ListParagraph"/>
        <w:numPr>
          <w:ilvl w:val="0"/>
          <w:numId w:val="283"/>
        </w:numPr>
        <w:spacing w:after="240"/>
        <w:ind w:left="357" w:hanging="357"/>
        <w:contextualSpacing w:val="0"/>
        <w:jc w:val="both"/>
      </w:pPr>
      <w:r>
        <w:t xml:space="preserve">There were no statistically significant differences between </w:t>
      </w:r>
      <w:r w:rsidRPr="00A25C81">
        <w:t xml:space="preserve">NRT nasal spray </w:t>
      </w:r>
      <w:r>
        <w:t>and NRT</w:t>
      </w:r>
      <w:r w:rsidRPr="00A25C81">
        <w:t xml:space="preserve"> </w:t>
      </w:r>
      <w:r>
        <w:t>patches</w:t>
      </w:r>
      <w:r w:rsidRPr="00A25C81">
        <w:t xml:space="preserve"> in terms of efficacy. Among </w:t>
      </w:r>
      <w:r>
        <w:t xml:space="preserve">the </w:t>
      </w:r>
      <w:r w:rsidRPr="00A25C81">
        <w:t xml:space="preserve">studies comparing nasal spray </w:t>
      </w:r>
      <w:r>
        <w:t>with</w:t>
      </w:r>
      <w:r w:rsidRPr="00A25C81">
        <w:t xml:space="preserve"> </w:t>
      </w:r>
      <w:r>
        <w:t>patches</w:t>
      </w:r>
      <w:r w:rsidRPr="00A25C81">
        <w:t xml:space="preserve">, Lerman et al. (2004) reported no serious adverse events in </w:t>
      </w:r>
      <w:r>
        <w:t>either</w:t>
      </w:r>
      <w:r w:rsidRPr="00A25C81">
        <w:t xml:space="preserve"> tr</w:t>
      </w:r>
      <w:r>
        <w:t>eatment</w:t>
      </w:r>
      <w:r w:rsidRPr="00A25C81">
        <w:t xml:space="preserve"> arms, while Croghan</w:t>
      </w:r>
      <w:r>
        <w:t xml:space="preserve"> et al.</w:t>
      </w:r>
      <w:r w:rsidRPr="00A25C81">
        <w:t xml:space="preserve"> </w:t>
      </w:r>
      <w:r>
        <w:t>(</w:t>
      </w:r>
      <w:r w:rsidRPr="00A25C81">
        <w:t>2003</w:t>
      </w:r>
      <w:r>
        <w:t>)</w:t>
      </w:r>
      <w:r w:rsidRPr="00A25C81">
        <w:t xml:space="preserve"> showed </w:t>
      </w:r>
      <w:r>
        <w:t xml:space="preserve">a </w:t>
      </w:r>
      <w:r w:rsidRPr="00A25C81">
        <w:t>significant</w:t>
      </w:r>
      <w:r>
        <w:t>ly higher</w:t>
      </w:r>
      <w:r w:rsidRPr="00A25C81">
        <w:t xml:space="preserve"> </w:t>
      </w:r>
      <w:r>
        <w:t>rate</w:t>
      </w:r>
      <w:r w:rsidRPr="00A25C81">
        <w:t xml:space="preserve"> of treatment withdrawals in </w:t>
      </w:r>
      <w:r>
        <w:t>the nasal spray treatment arm</w:t>
      </w:r>
      <w:r w:rsidRPr="00A25C81">
        <w:t>.</w:t>
      </w:r>
    </w:p>
    <w:tbl>
      <w:tblPr>
        <w:tblStyle w:val="TableGrid3"/>
        <w:tblW w:w="5000" w:type="pct"/>
        <w:shd w:val="clear" w:color="auto" w:fill="F2F2F2" w:themeFill="background1" w:themeFillShade="F2"/>
        <w:tblLook w:val="04A0" w:firstRow="1" w:lastRow="0" w:firstColumn="1" w:lastColumn="0" w:noHBand="0" w:noVBand="1"/>
      </w:tblPr>
      <w:tblGrid>
        <w:gridCol w:w="1616"/>
        <w:gridCol w:w="2158"/>
        <w:gridCol w:w="5242"/>
      </w:tblGrid>
      <w:tr w:rsidR="00C324F3" w:rsidRPr="00916516" w14:paraId="6EA98E9D" w14:textId="77777777" w:rsidTr="00240971">
        <w:trPr>
          <w:trHeight w:val="67"/>
        </w:trPr>
        <w:tc>
          <w:tcPr>
            <w:tcW w:w="896" w:type="pct"/>
            <w:shd w:val="clear" w:color="auto" w:fill="F2F2F2" w:themeFill="background1" w:themeFillShade="F2"/>
            <w:hideMark/>
          </w:tcPr>
          <w:p w14:paraId="2B075478" w14:textId="77777777" w:rsidR="00C324F3" w:rsidRPr="00916516" w:rsidRDefault="00C324F3" w:rsidP="00777459">
            <w:pPr>
              <w:rPr>
                <w:szCs w:val="18"/>
              </w:rPr>
            </w:pPr>
            <w:r w:rsidRPr="00916516">
              <w:rPr>
                <w:b/>
                <w:bCs/>
                <w:szCs w:val="18"/>
              </w:rPr>
              <w:t>Compar</w:t>
            </w:r>
            <w:r>
              <w:rPr>
                <w:b/>
                <w:bCs/>
                <w:szCs w:val="18"/>
              </w:rPr>
              <w:t>ison</w:t>
            </w:r>
          </w:p>
        </w:tc>
        <w:tc>
          <w:tcPr>
            <w:tcW w:w="1197" w:type="pct"/>
            <w:shd w:val="clear" w:color="auto" w:fill="F2F2F2" w:themeFill="background1" w:themeFillShade="F2"/>
            <w:hideMark/>
          </w:tcPr>
          <w:p w14:paraId="53404E45" w14:textId="77777777" w:rsidR="00C324F3" w:rsidRPr="00916516" w:rsidRDefault="00C324F3" w:rsidP="00777459">
            <w:pPr>
              <w:jc w:val="center"/>
              <w:rPr>
                <w:szCs w:val="18"/>
              </w:rPr>
            </w:pPr>
            <w:r>
              <w:rPr>
                <w:b/>
                <w:bCs/>
                <w:szCs w:val="18"/>
              </w:rPr>
              <w:t>Included studies</w:t>
            </w:r>
          </w:p>
        </w:tc>
        <w:tc>
          <w:tcPr>
            <w:tcW w:w="2907" w:type="pct"/>
            <w:shd w:val="clear" w:color="auto" w:fill="F2F2F2" w:themeFill="background1" w:themeFillShade="F2"/>
            <w:hideMark/>
          </w:tcPr>
          <w:p w14:paraId="65079344" w14:textId="77777777" w:rsidR="00C324F3" w:rsidRPr="00916516" w:rsidRDefault="00C324F3" w:rsidP="00777459">
            <w:pPr>
              <w:jc w:val="center"/>
              <w:rPr>
                <w:szCs w:val="18"/>
              </w:rPr>
            </w:pPr>
            <w:r>
              <w:rPr>
                <w:b/>
                <w:bCs/>
                <w:szCs w:val="18"/>
              </w:rPr>
              <w:t>Summary of evidence</w:t>
            </w:r>
          </w:p>
        </w:tc>
      </w:tr>
      <w:tr w:rsidR="00C324F3" w:rsidRPr="009068BC" w14:paraId="66F298D5" w14:textId="77777777" w:rsidTr="00240971">
        <w:trPr>
          <w:trHeight w:val="345"/>
        </w:trPr>
        <w:tc>
          <w:tcPr>
            <w:tcW w:w="896" w:type="pct"/>
            <w:shd w:val="clear" w:color="auto" w:fill="F2F2F2" w:themeFill="background1" w:themeFillShade="F2"/>
            <w:hideMark/>
          </w:tcPr>
          <w:p w14:paraId="79D100FC" w14:textId="77777777" w:rsidR="00C324F3" w:rsidRPr="00237D04" w:rsidRDefault="00C324F3" w:rsidP="00777459">
            <w:pPr>
              <w:tabs>
                <w:tab w:val="left" w:pos="986"/>
              </w:tabs>
              <w:rPr>
                <w:szCs w:val="18"/>
              </w:rPr>
            </w:pPr>
            <w:r w:rsidRPr="00A45B4B">
              <w:rPr>
                <w:szCs w:val="18"/>
              </w:rPr>
              <w:t>NRT nasal spray</w:t>
            </w:r>
            <w:r>
              <w:rPr>
                <w:szCs w:val="18"/>
              </w:rPr>
              <w:t xml:space="preserve"> vs p</w:t>
            </w:r>
            <w:r w:rsidRPr="00A45B4B">
              <w:rPr>
                <w:szCs w:val="18"/>
              </w:rPr>
              <w:t>lacebo</w:t>
            </w:r>
          </w:p>
        </w:tc>
        <w:tc>
          <w:tcPr>
            <w:tcW w:w="1197" w:type="pct"/>
            <w:shd w:val="clear" w:color="auto" w:fill="F2F2F2" w:themeFill="background1" w:themeFillShade="F2"/>
            <w:hideMark/>
          </w:tcPr>
          <w:p w14:paraId="621FCFBC" w14:textId="528A99E9" w:rsidR="00C324F3" w:rsidRPr="00614418" w:rsidRDefault="00C324F3" w:rsidP="00C324F3">
            <w:pPr>
              <w:pStyle w:val="ListParagraph"/>
              <w:numPr>
                <w:ilvl w:val="0"/>
                <w:numId w:val="318"/>
              </w:numPr>
              <w:rPr>
                <w:szCs w:val="18"/>
              </w:rPr>
            </w:pPr>
            <w:r w:rsidRPr="004110FF">
              <w:t>Hartmann-</w:t>
            </w:r>
            <w:r w:rsidR="008260A0" w:rsidRPr="004110FF">
              <w:t>Boyce (</w:t>
            </w:r>
            <w:r w:rsidRPr="004110FF">
              <w:t>2018</w:t>
            </w:r>
            <w:r>
              <w:t>)</w:t>
            </w:r>
            <w:r w:rsidRPr="00CE108D">
              <w:rPr>
                <w:vertAlign w:val="superscript"/>
              </w:rPr>
              <w:t>1</w:t>
            </w:r>
          </w:p>
        </w:tc>
        <w:tc>
          <w:tcPr>
            <w:tcW w:w="2907" w:type="pct"/>
            <w:shd w:val="clear" w:color="auto" w:fill="F2F2F2" w:themeFill="background1" w:themeFillShade="F2"/>
            <w:hideMark/>
          </w:tcPr>
          <w:p w14:paraId="797159CD" w14:textId="77777777"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based on RR </w:t>
            </w:r>
            <w:r w:rsidRPr="00A45B4B">
              <w:rPr>
                <w:szCs w:val="18"/>
              </w:rPr>
              <w:t>(in favour of NRT nasal spray)</w:t>
            </w:r>
            <w:r>
              <w:rPr>
                <w:szCs w:val="18"/>
              </w:rPr>
              <w:t>.</w:t>
            </w:r>
          </w:p>
          <w:p w14:paraId="0C8F0D01" w14:textId="77777777"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(palpitations/chest pains; higher in NRT nasal spray)</w:t>
            </w:r>
            <w:r>
              <w:rPr>
                <w:szCs w:val="18"/>
              </w:rPr>
              <w:t>.</w:t>
            </w:r>
          </w:p>
        </w:tc>
      </w:tr>
      <w:tr w:rsidR="00C324F3" w:rsidRPr="009068BC" w14:paraId="54DAB2A3" w14:textId="77777777" w:rsidTr="00240971">
        <w:trPr>
          <w:trHeight w:val="617"/>
        </w:trPr>
        <w:tc>
          <w:tcPr>
            <w:tcW w:w="896" w:type="pct"/>
            <w:shd w:val="clear" w:color="auto" w:fill="F2F2F2" w:themeFill="background1" w:themeFillShade="F2"/>
            <w:hideMark/>
          </w:tcPr>
          <w:p w14:paraId="03DE096F" w14:textId="77777777" w:rsidR="00C324F3" w:rsidRPr="00581533" w:rsidRDefault="00C324F3" w:rsidP="00777459">
            <w:pPr>
              <w:rPr>
                <w:szCs w:val="18"/>
              </w:rPr>
            </w:pPr>
            <w:r w:rsidRPr="00A45B4B">
              <w:rPr>
                <w:szCs w:val="18"/>
              </w:rPr>
              <w:t>NRT nasal spray</w:t>
            </w:r>
            <w:r>
              <w:rPr>
                <w:szCs w:val="18"/>
              </w:rPr>
              <w:t xml:space="preserve"> vs </w:t>
            </w:r>
            <w:r w:rsidRPr="00A45B4B">
              <w:rPr>
                <w:szCs w:val="18"/>
              </w:rPr>
              <w:t>NRT patch</w:t>
            </w:r>
          </w:p>
        </w:tc>
        <w:tc>
          <w:tcPr>
            <w:tcW w:w="1197" w:type="pct"/>
            <w:shd w:val="clear" w:color="auto" w:fill="F2F2F2" w:themeFill="background1" w:themeFillShade="F2"/>
            <w:hideMark/>
          </w:tcPr>
          <w:p w14:paraId="781CA9EF" w14:textId="77777777" w:rsidR="00C324F3" w:rsidRPr="002A5E9C" w:rsidRDefault="00C324F3" w:rsidP="00C324F3">
            <w:pPr>
              <w:pStyle w:val="ListParagraph"/>
              <w:numPr>
                <w:ilvl w:val="0"/>
                <w:numId w:val="319"/>
              </w:numPr>
              <w:rPr>
                <w:szCs w:val="18"/>
              </w:rPr>
            </w:pPr>
            <w:r>
              <w:t>Lindson</w:t>
            </w:r>
            <w:r w:rsidRPr="00713891">
              <w:t xml:space="preserve"> (201</w:t>
            </w:r>
            <w:r>
              <w:t>9</w:t>
            </w:r>
            <w:r w:rsidRPr="00713891">
              <w:t>)</w:t>
            </w:r>
            <w:r w:rsidRPr="00CE108D">
              <w:rPr>
                <w:vertAlign w:val="superscript"/>
              </w:rPr>
              <w:t>1</w:t>
            </w:r>
          </w:p>
        </w:tc>
        <w:tc>
          <w:tcPr>
            <w:tcW w:w="2907" w:type="pct"/>
            <w:shd w:val="clear" w:color="auto" w:fill="F2F2F2" w:themeFill="background1" w:themeFillShade="F2"/>
            <w:hideMark/>
          </w:tcPr>
          <w:p w14:paraId="7EB02204" w14:textId="77777777" w:rsidR="00C324F3" w:rsidRPr="00A45B4B" w:rsidRDefault="00C324F3" w:rsidP="00C324F3">
            <w:pPr>
              <w:pStyle w:val="ListParagraph"/>
              <w:numPr>
                <w:ilvl w:val="0"/>
                <w:numId w:val="317"/>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14:paraId="4615FEBF" w14:textId="77777777" w:rsidR="00C324F3" w:rsidRPr="00A45B4B" w:rsidRDefault="00C324F3" w:rsidP="00C324F3">
            <w:pPr>
              <w:pStyle w:val="ListParagraph"/>
              <w:numPr>
                <w:ilvl w:val="0"/>
                <w:numId w:val="317"/>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w:t>
            </w:r>
            <w:r w:rsidRPr="00A45B4B">
              <w:rPr>
                <w:szCs w:val="18"/>
              </w:rPr>
              <w:t>(treatment withdrawals; higher in NRT nasal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14:paraId="6503FB78" w14:textId="77777777" w:rsidR="00C324F3" w:rsidRDefault="00C324F3" w:rsidP="00240971">
      <w:pPr>
        <w:pStyle w:val="TableFooter"/>
        <w:keepNext/>
        <w:jc w:val="both"/>
      </w:pPr>
      <w:r>
        <w:t>Abbreviations: NRT = nicotine replacement therapy; RR = risk ratio;</w:t>
      </w:r>
      <w:r w:rsidRPr="005C3486">
        <w:t xml:space="preserve"> </w:t>
      </w:r>
      <w:r>
        <w:t xml:space="preserve">SAEs = adverse events. </w:t>
      </w:r>
    </w:p>
    <w:p w14:paraId="64D305C8" w14:textId="77777777" w:rsidR="00C324F3" w:rsidRDefault="00C324F3" w:rsidP="00240971">
      <w:pPr>
        <w:pStyle w:val="TableFooter"/>
        <w:keepNext/>
        <w:jc w:val="both"/>
      </w:pPr>
      <w:r w:rsidRPr="00BE36E8">
        <w:t xml:space="preserve">Notes: </w:t>
      </w:r>
    </w:p>
    <w:p w14:paraId="0E91A5AC" w14:textId="77777777" w:rsidR="00C324F3" w:rsidRPr="00355B8A" w:rsidRDefault="00C324F3" w:rsidP="00240971">
      <w:pPr>
        <w:pStyle w:val="TableFooter"/>
        <w:keepNext/>
        <w:spacing w:after="120"/>
        <w:contextualSpacing w:val="0"/>
        <w:jc w:val="both"/>
      </w:pPr>
      <w:r>
        <w:t xml:space="preserve">1 </w:t>
      </w:r>
      <w:r w:rsidRPr="00BE36E8">
        <w:t>Cochrane Review</w:t>
      </w:r>
      <w:r>
        <w:t>.</w:t>
      </w:r>
    </w:p>
    <w:p w14:paraId="048D6D10" w14:textId="77777777" w:rsidR="00C324F3" w:rsidRDefault="00C324F3" w:rsidP="00240971">
      <w:pPr>
        <w:spacing w:after="120"/>
        <w:jc w:val="both"/>
      </w:pPr>
      <w:r w:rsidRPr="00A25C81">
        <w:t>Oral spray</w:t>
      </w:r>
    </w:p>
    <w:p w14:paraId="409DAD6B" w14:textId="5572E2A6" w:rsidR="003C4A1C" w:rsidRDefault="00C324F3" w:rsidP="00240971">
      <w:pPr>
        <w:pStyle w:val="ListParagraph"/>
        <w:numPr>
          <w:ilvl w:val="0"/>
          <w:numId w:val="284"/>
        </w:numPr>
        <w:jc w:val="both"/>
      </w:pPr>
      <w:r w:rsidRPr="00A25C81">
        <w:t xml:space="preserve">NRT oral spray </w:t>
      </w:r>
      <w:r>
        <w:t>was shown to be superior</w:t>
      </w:r>
      <w:r w:rsidRPr="00A25C81">
        <w:t xml:space="preserve"> to placebo</w:t>
      </w:r>
      <w:r>
        <w:t xml:space="preserve"> in terms of efficacy, </w:t>
      </w:r>
      <w:r w:rsidRPr="00A25C81">
        <w:t>not</w:t>
      </w:r>
      <w:r>
        <w:t>ing</w:t>
      </w:r>
      <w:r w:rsidRPr="00A25C81">
        <w:t xml:space="preserve"> that the results of the updated re-analysis were not statistically significant based on risk difference (absolute effect).</w:t>
      </w:r>
      <w:r>
        <w:t xml:space="preserve"> A </w:t>
      </w:r>
      <w:r w:rsidRPr="001B111D">
        <w:t xml:space="preserve">significantly higher proportion of patients in the oral spray arm experienced any adverse events and discontinuation due to adverse events compared with patients in the placebo arm. </w:t>
      </w:r>
      <w:r>
        <w:t>N</w:t>
      </w:r>
      <w:r w:rsidRPr="001B111D">
        <w:t>o patients in either arm experienc</w:t>
      </w:r>
      <w:r>
        <w:t>ed</w:t>
      </w:r>
      <w:r w:rsidRPr="001B111D">
        <w:t xml:space="preserve"> treatment-related serious adverse event</w:t>
      </w:r>
      <w:r>
        <w:t>s</w:t>
      </w:r>
      <w:r w:rsidRPr="001B111D">
        <w:t>.</w:t>
      </w:r>
    </w:p>
    <w:p w14:paraId="45E74C9C" w14:textId="0FD6B4B4"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436"/>
        <w:gridCol w:w="2609"/>
        <w:gridCol w:w="4971"/>
      </w:tblGrid>
      <w:tr w:rsidR="00C324F3" w:rsidRPr="00916516" w14:paraId="0337F435" w14:textId="77777777" w:rsidTr="00240971">
        <w:trPr>
          <w:trHeight w:val="67"/>
        </w:trPr>
        <w:tc>
          <w:tcPr>
            <w:tcW w:w="796" w:type="pct"/>
            <w:shd w:val="clear" w:color="auto" w:fill="F2F2F2" w:themeFill="background1" w:themeFillShade="F2"/>
            <w:hideMark/>
          </w:tcPr>
          <w:p w14:paraId="7C12BAF5"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447" w:type="pct"/>
            <w:shd w:val="clear" w:color="auto" w:fill="F2F2F2" w:themeFill="background1" w:themeFillShade="F2"/>
            <w:hideMark/>
          </w:tcPr>
          <w:p w14:paraId="759B4814" w14:textId="77777777" w:rsidR="00C324F3" w:rsidRPr="00916516" w:rsidRDefault="00C324F3" w:rsidP="00777459">
            <w:pPr>
              <w:jc w:val="center"/>
              <w:rPr>
                <w:szCs w:val="18"/>
              </w:rPr>
            </w:pPr>
            <w:r>
              <w:rPr>
                <w:b/>
                <w:bCs/>
                <w:szCs w:val="18"/>
              </w:rPr>
              <w:t>Included studies</w:t>
            </w:r>
          </w:p>
        </w:tc>
        <w:tc>
          <w:tcPr>
            <w:tcW w:w="2757" w:type="pct"/>
            <w:shd w:val="clear" w:color="auto" w:fill="F2F2F2" w:themeFill="background1" w:themeFillShade="F2"/>
            <w:hideMark/>
          </w:tcPr>
          <w:p w14:paraId="612929DD" w14:textId="77777777" w:rsidR="00C324F3" w:rsidRPr="00916516" w:rsidRDefault="00C324F3" w:rsidP="00777459">
            <w:pPr>
              <w:jc w:val="center"/>
              <w:rPr>
                <w:szCs w:val="18"/>
              </w:rPr>
            </w:pPr>
            <w:r>
              <w:rPr>
                <w:b/>
                <w:bCs/>
                <w:szCs w:val="18"/>
              </w:rPr>
              <w:t>Summary of evidence</w:t>
            </w:r>
          </w:p>
        </w:tc>
      </w:tr>
      <w:tr w:rsidR="00C324F3" w:rsidRPr="009068BC" w14:paraId="4B0CFE44" w14:textId="77777777" w:rsidTr="00240971">
        <w:trPr>
          <w:trHeight w:val="345"/>
        </w:trPr>
        <w:tc>
          <w:tcPr>
            <w:tcW w:w="796" w:type="pct"/>
            <w:shd w:val="clear" w:color="auto" w:fill="F2F2F2" w:themeFill="background1" w:themeFillShade="F2"/>
            <w:hideMark/>
          </w:tcPr>
          <w:p w14:paraId="14A03E78" w14:textId="77777777" w:rsidR="00C324F3" w:rsidRPr="00237D04" w:rsidRDefault="00C324F3" w:rsidP="00777459">
            <w:pPr>
              <w:tabs>
                <w:tab w:val="left" w:pos="1198"/>
              </w:tabs>
              <w:rPr>
                <w:szCs w:val="18"/>
              </w:rPr>
            </w:pPr>
            <w:r w:rsidRPr="00A45B4B">
              <w:rPr>
                <w:szCs w:val="18"/>
              </w:rPr>
              <w:t>NRT oral spray</w:t>
            </w:r>
            <w:r>
              <w:rPr>
                <w:szCs w:val="18"/>
              </w:rPr>
              <w:t xml:space="preserve"> vs placebo</w:t>
            </w:r>
          </w:p>
        </w:tc>
        <w:tc>
          <w:tcPr>
            <w:tcW w:w="1447" w:type="pct"/>
            <w:shd w:val="clear" w:color="auto" w:fill="F2F2F2" w:themeFill="background1" w:themeFillShade="F2"/>
            <w:hideMark/>
          </w:tcPr>
          <w:p w14:paraId="62893153" w14:textId="77777777" w:rsidR="00C324F3" w:rsidRPr="00CE108D"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p w14:paraId="443622AE" w14:textId="77777777" w:rsidR="00C324F3" w:rsidRPr="00614418" w:rsidRDefault="00C324F3" w:rsidP="00C324F3">
            <w:pPr>
              <w:pStyle w:val="ListParagraph"/>
              <w:numPr>
                <w:ilvl w:val="0"/>
                <w:numId w:val="318"/>
              </w:numPr>
              <w:rPr>
                <w:szCs w:val="18"/>
              </w:rPr>
            </w:pPr>
            <w:r w:rsidRPr="00AA142B">
              <w:t>Nides (2020)</w:t>
            </w:r>
            <w:r w:rsidRPr="00CE108D">
              <w:rPr>
                <w:vertAlign w:val="superscript"/>
              </w:rPr>
              <w:t>2</w:t>
            </w:r>
          </w:p>
        </w:tc>
        <w:tc>
          <w:tcPr>
            <w:tcW w:w="2757" w:type="pct"/>
            <w:shd w:val="clear" w:color="auto" w:fill="F2F2F2" w:themeFill="background1" w:themeFillShade="F2"/>
            <w:hideMark/>
          </w:tcPr>
          <w:p w14:paraId="6BDD4BC5" w14:textId="77777777"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Statistically significant</w:t>
            </w:r>
            <w:r>
              <w:rPr>
                <w:szCs w:val="18"/>
              </w:rPr>
              <w:t xml:space="preserve"> </w:t>
            </w:r>
            <w:r>
              <w:rPr>
                <w:szCs w:val="18"/>
                <w:vertAlign w:val="superscript"/>
              </w:rPr>
              <w:t>based</w:t>
            </w:r>
            <w:r>
              <w:rPr>
                <w:szCs w:val="18"/>
              </w:rPr>
              <w:t xml:space="preserve"> on RR </w:t>
            </w:r>
            <w:r w:rsidRPr="00A45B4B">
              <w:rPr>
                <w:szCs w:val="18"/>
              </w:rPr>
              <w:t>(in favour of NRT oral spray)</w:t>
            </w:r>
            <w:r>
              <w:rPr>
                <w:szCs w:val="18"/>
              </w:rPr>
              <w:t>, but not statistically significant for RD</w:t>
            </w:r>
            <w:r>
              <w:rPr>
                <w:szCs w:val="18"/>
                <w:vertAlign w:val="superscript"/>
              </w:rPr>
              <w:t>3</w:t>
            </w:r>
            <w:r>
              <w:rPr>
                <w:szCs w:val="18"/>
              </w:rPr>
              <w:t xml:space="preserve">. </w:t>
            </w:r>
          </w:p>
          <w:p w14:paraId="23B0A740" w14:textId="77777777"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Statistically significant</w:t>
            </w:r>
            <w:r>
              <w:rPr>
                <w:szCs w:val="18"/>
              </w:rPr>
              <w:t xml:space="preserve"> based on RR and RD </w:t>
            </w:r>
            <w:r w:rsidRPr="00A45B4B">
              <w:rPr>
                <w:szCs w:val="18"/>
              </w:rPr>
              <w:t>(any AEs, discontinuation due to AEs; higher in NRT oral spray)</w:t>
            </w:r>
            <w:r>
              <w:rPr>
                <w:szCs w:val="18"/>
              </w:rPr>
              <w:t xml:space="preserve">; </w:t>
            </w:r>
            <w:r w:rsidRPr="00A45B4B">
              <w:rPr>
                <w:szCs w:val="18"/>
              </w:rPr>
              <w:t xml:space="preserve">No </w:t>
            </w:r>
            <w:r>
              <w:rPr>
                <w:szCs w:val="18"/>
              </w:rPr>
              <w:t>S</w:t>
            </w:r>
            <w:r w:rsidRPr="00A45B4B">
              <w:rPr>
                <w:szCs w:val="18"/>
              </w:rPr>
              <w:t>AEs reported in either arm</w:t>
            </w:r>
            <w:r>
              <w:rPr>
                <w:szCs w:val="18"/>
              </w:rPr>
              <w:t>.</w:t>
            </w:r>
          </w:p>
        </w:tc>
      </w:tr>
    </w:tbl>
    <w:p w14:paraId="4C836380" w14:textId="77777777" w:rsidR="00C324F3" w:rsidRDefault="00C324F3" w:rsidP="00240971">
      <w:pPr>
        <w:pStyle w:val="TableFooter"/>
        <w:keepNext/>
        <w:jc w:val="both"/>
      </w:pPr>
      <w:r>
        <w:t>Abbreviations: AEs = adverse events; NRT = nicotine replacement therapy; RR = risk ratio, RD = risk difference; SAEs = serious adverse events.</w:t>
      </w:r>
    </w:p>
    <w:p w14:paraId="678CF572" w14:textId="77777777" w:rsidR="00C324F3" w:rsidRDefault="00C324F3" w:rsidP="00240971">
      <w:pPr>
        <w:pStyle w:val="TableFooter"/>
        <w:keepNext/>
        <w:jc w:val="both"/>
      </w:pPr>
      <w:r w:rsidRPr="00BE36E8">
        <w:t xml:space="preserve">Notes: </w:t>
      </w:r>
    </w:p>
    <w:p w14:paraId="25B10F5A" w14:textId="77777777" w:rsidR="00C324F3" w:rsidRDefault="00C324F3" w:rsidP="00240971">
      <w:pPr>
        <w:pStyle w:val="TableFooter"/>
        <w:keepNext/>
        <w:jc w:val="both"/>
      </w:pPr>
      <w:r>
        <w:t xml:space="preserve">1 </w:t>
      </w:r>
      <w:r w:rsidRPr="00BE36E8">
        <w:t>Cochrane Review</w:t>
      </w:r>
      <w:r>
        <w:t>.</w:t>
      </w:r>
    </w:p>
    <w:p w14:paraId="14A6A99E" w14:textId="77777777" w:rsidR="00C324F3" w:rsidRPr="00415419" w:rsidRDefault="00C324F3" w:rsidP="00240971">
      <w:pPr>
        <w:pStyle w:val="TableFooter"/>
        <w:keepNext/>
        <w:jc w:val="both"/>
      </w:pPr>
      <w:r>
        <w:t>2 Supplemental evidence (RCT).</w:t>
      </w:r>
    </w:p>
    <w:p w14:paraId="58C5D588" w14:textId="77777777" w:rsidR="00C324F3" w:rsidRPr="00415419" w:rsidRDefault="00C324F3" w:rsidP="00240971">
      <w:pPr>
        <w:pStyle w:val="TableFooter"/>
        <w:keepNext/>
        <w:spacing w:after="120"/>
        <w:contextualSpacing w:val="0"/>
        <w:jc w:val="both"/>
      </w:pPr>
      <w:r>
        <w:t>3 Statistically significant based on risk ratio but not significant based on risk difference (RR = 2.63, 95% CI: 1.54, 4.50; RD = 0.05, 95%CI: -0.02, 0.12).</w:t>
      </w:r>
    </w:p>
    <w:p w14:paraId="389DB905" w14:textId="77777777" w:rsidR="00C324F3" w:rsidRPr="001B111D" w:rsidRDefault="00C324F3" w:rsidP="00240971">
      <w:pPr>
        <w:spacing w:after="120"/>
        <w:jc w:val="both"/>
      </w:pPr>
      <w:r w:rsidRPr="001B111D">
        <w:t>Inhalator and patch</w:t>
      </w:r>
    </w:p>
    <w:p w14:paraId="15CFBCE6" w14:textId="77777777" w:rsidR="00C324F3" w:rsidRPr="00AB6DA0" w:rsidRDefault="00C324F3" w:rsidP="00240971">
      <w:pPr>
        <w:pStyle w:val="ListParagraph"/>
        <w:numPr>
          <w:ilvl w:val="0"/>
          <w:numId w:val="284"/>
        </w:numPr>
        <w:spacing w:after="240"/>
        <w:ind w:left="357" w:hanging="357"/>
        <w:contextualSpacing w:val="0"/>
        <w:jc w:val="both"/>
        <w:rPr>
          <w:rFonts w:eastAsiaTheme="minorEastAsia"/>
          <w:b/>
          <w:i/>
          <w:sz w:val="28"/>
          <w:szCs w:val="28"/>
        </w:rPr>
      </w:pPr>
      <w:r>
        <w:t>There were no statistically significant differences between i</w:t>
      </w:r>
      <w:r w:rsidRPr="001B111D">
        <w:t xml:space="preserve">nhalator + patch </w:t>
      </w:r>
      <w:r>
        <w:t xml:space="preserve">and placebo in terms of efficacy based on long-term smoking cessation rates. </w:t>
      </w:r>
      <w:r w:rsidRPr="007C0870">
        <w:t xml:space="preserve">The </w:t>
      </w:r>
      <w:r>
        <w:t>one study identified</w:t>
      </w:r>
      <w:r w:rsidRPr="007C0870">
        <w:t xml:space="preserve"> by Hartmann-Boyce et al. (2018)</w:t>
      </w:r>
      <w:r>
        <w:t xml:space="preserve"> did not assess the comparative</w:t>
      </w:r>
      <w:r w:rsidRPr="00121538">
        <w:t xml:space="preserve"> safety of </w:t>
      </w:r>
      <w:r>
        <w:t>NRT inhalator + patch versus placebo</w:t>
      </w:r>
      <w:r w:rsidRPr="007C0870">
        <w:t>.</w:t>
      </w:r>
    </w:p>
    <w:tbl>
      <w:tblPr>
        <w:tblStyle w:val="TableGrid3"/>
        <w:tblW w:w="5000" w:type="pct"/>
        <w:shd w:val="clear" w:color="auto" w:fill="F2F2F2" w:themeFill="background1" w:themeFillShade="F2"/>
        <w:tblLook w:val="04A0" w:firstRow="1" w:lastRow="0" w:firstColumn="1" w:lastColumn="0" w:noHBand="0" w:noVBand="1"/>
      </w:tblPr>
      <w:tblGrid>
        <w:gridCol w:w="1616"/>
        <w:gridCol w:w="2609"/>
        <w:gridCol w:w="4791"/>
      </w:tblGrid>
      <w:tr w:rsidR="00C324F3" w:rsidRPr="00916516" w14:paraId="513A3B67" w14:textId="77777777" w:rsidTr="00240971">
        <w:trPr>
          <w:trHeight w:val="67"/>
        </w:trPr>
        <w:tc>
          <w:tcPr>
            <w:tcW w:w="896" w:type="pct"/>
            <w:shd w:val="clear" w:color="auto" w:fill="F2F2F2" w:themeFill="background1" w:themeFillShade="F2"/>
            <w:hideMark/>
          </w:tcPr>
          <w:p w14:paraId="5D8E935A" w14:textId="77777777" w:rsidR="00C324F3" w:rsidRPr="00916516" w:rsidRDefault="00C324F3" w:rsidP="00777459">
            <w:pPr>
              <w:rPr>
                <w:szCs w:val="18"/>
              </w:rPr>
            </w:pPr>
            <w:r w:rsidRPr="00916516">
              <w:rPr>
                <w:b/>
                <w:bCs/>
                <w:szCs w:val="18"/>
              </w:rPr>
              <w:t>Compar</w:t>
            </w:r>
            <w:r>
              <w:rPr>
                <w:b/>
                <w:bCs/>
                <w:szCs w:val="18"/>
              </w:rPr>
              <w:t>ison</w:t>
            </w:r>
          </w:p>
        </w:tc>
        <w:tc>
          <w:tcPr>
            <w:tcW w:w="1447" w:type="pct"/>
            <w:shd w:val="clear" w:color="auto" w:fill="F2F2F2" w:themeFill="background1" w:themeFillShade="F2"/>
            <w:hideMark/>
          </w:tcPr>
          <w:p w14:paraId="41B7CEB1" w14:textId="77777777" w:rsidR="00C324F3" w:rsidRPr="00916516" w:rsidRDefault="00C324F3" w:rsidP="00777459">
            <w:pPr>
              <w:jc w:val="center"/>
              <w:rPr>
                <w:szCs w:val="18"/>
              </w:rPr>
            </w:pPr>
            <w:r>
              <w:rPr>
                <w:b/>
                <w:bCs/>
                <w:szCs w:val="18"/>
              </w:rPr>
              <w:t>Included studies</w:t>
            </w:r>
          </w:p>
        </w:tc>
        <w:tc>
          <w:tcPr>
            <w:tcW w:w="2657" w:type="pct"/>
            <w:shd w:val="clear" w:color="auto" w:fill="F2F2F2" w:themeFill="background1" w:themeFillShade="F2"/>
            <w:hideMark/>
          </w:tcPr>
          <w:p w14:paraId="438144D3" w14:textId="77777777" w:rsidR="00C324F3" w:rsidRPr="00916516" w:rsidRDefault="00C324F3" w:rsidP="00777459">
            <w:pPr>
              <w:jc w:val="center"/>
              <w:rPr>
                <w:szCs w:val="18"/>
              </w:rPr>
            </w:pPr>
            <w:r>
              <w:rPr>
                <w:b/>
                <w:bCs/>
                <w:szCs w:val="18"/>
              </w:rPr>
              <w:t>Summary of evidence</w:t>
            </w:r>
          </w:p>
        </w:tc>
      </w:tr>
      <w:tr w:rsidR="00C324F3" w:rsidRPr="009068BC" w14:paraId="4C088FE8" w14:textId="77777777" w:rsidTr="00240971">
        <w:trPr>
          <w:trHeight w:val="345"/>
        </w:trPr>
        <w:tc>
          <w:tcPr>
            <w:tcW w:w="896" w:type="pct"/>
            <w:shd w:val="clear" w:color="auto" w:fill="F2F2F2" w:themeFill="background1" w:themeFillShade="F2"/>
            <w:hideMark/>
          </w:tcPr>
          <w:p w14:paraId="4205B5B6" w14:textId="77777777" w:rsidR="00C324F3" w:rsidRPr="00237D04" w:rsidRDefault="00C324F3" w:rsidP="00777459">
            <w:pPr>
              <w:tabs>
                <w:tab w:val="left" w:pos="1198"/>
              </w:tabs>
              <w:rPr>
                <w:szCs w:val="18"/>
              </w:rPr>
            </w:pPr>
            <w:r w:rsidRPr="00A45B4B">
              <w:rPr>
                <w:szCs w:val="18"/>
              </w:rPr>
              <w:t>NRT inhalator and patch</w:t>
            </w:r>
            <w:r>
              <w:rPr>
                <w:szCs w:val="18"/>
              </w:rPr>
              <w:t xml:space="preserve"> vs placebo</w:t>
            </w:r>
          </w:p>
        </w:tc>
        <w:tc>
          <w:tcPr>
            <w:tcW w:w="1447" w:type="pct"/>
            <w:shd w:val="clear" w:color="auto" w:fill="F2F2F2" w:themeFill="background1" w:themeFillShade="F2"/>
            <w:hideMark/>
          </w:tcPr>
          <w:p w14:paraId="7018D20B" w14:textId="77777777" w:rsidR="00C324F3" w:rsidRPr="00614418" w:rsidRDefault="00C324F3" w:rsidP="00C324F3">
            <w:pPr>
              <w:pStyle w:val="ListParagraph"/>
              <w:numPr>
                <w:ilvl w:val="0"/>
                <w:numId w:val="318"/>
              </w:numPr>
              <w:rPr>
                <w:szCs w:val="18"/>
              </w:rPr>
            </w:pPr>
            <w:r w:rsidRPr="004110FF">
              <w:t xml:space="preserve">Hartmann-Boyce </w:t>
            </w:r>
            <w:r>
              <w:t>(</w:t>
            </w:r>
            <w:r w:rsidRPr="004110FF">
              <w:t>2018</w:t>
            </w:r>
            <w:r>
              <w:t>)</w:t>
            </w:r>
            <w:r w:rsidRPr="00CE108D">
              <w:rPr>
                <w:vertAlign w:val="superscript"/>
              </w:rPr>
              <w:t>1</w:t>
            </w:r>
          </w:p>
        </w:tc>
        <w:tc>
          <w:tcPr>
            <w:tcW w:w="2657" w:type="pct"/>
            <w:shd w:val="clear" w:color="auto" w:fill="F2F2F2" w:themeFill="background1" w:themeFillShade="F2"/>
            <w:hideMark/>
          </w:tcPr>
          <w:p w14:paraId="033EE26A" w14:textId="77777777" w:rsidR="00C324F3" w:rsidRPr="00A45B4B"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A45B4B">
              <w:rPr>
                <w:szCs w:val="18"/>
              </w:rPr>
              <w:t>Not statistically significant</w:t>
            </w:r>
            <w:r>
              <w:rPr>
                <w:szCs w:val="18"/>
              </w:rPr>
              <w:t xml:space="preserve"> based on RR. </w:t>
            </w:r>
          </w:p>
          <w:p w14:paraId="1E80BE13" w14:textId="77777777" w:rsidR="00C324F3" w:rsidRPr="00A45B4B"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A45B4B">
              <w:rPr>
                <w:szCs w:val="18"/>
              </w:rPr>
              <w:t>Safety outcomes were not assessed by the study</w:t>
            </w:r>
            <w:r>
              <w:rPr>
                <w:szCs w:val="18"/>
              </w:rPr>
              <w:t>.</w:t>
            </w:r>
          </w:p>
        </w:tc>
      </w:tr>
    </w:tbl>
    <w:p w14:paraId="7F85A02D" w14:textId="77777777" w:rsidR="00C324F3" w:rsidRDefault="00C324F3" w:rsidP="00240971">
      <w:pPr>
        <w:pStyle w:val="TableFooter"/>
        <w:keepNext/>
        <w:jc w:val="both"/>
      </w:pPr>
      <w:r>
        <w:t>Abbreviations: NRT = nicotine replacement therapy; RR = risk ratio.</w:t>
      </w:r>
    </w:p>
    <w:p w14:paraId="445EE9F0" w14:textId="77777777" w:rsidR="00C324F3" w:rsidRDefault="00C324F3" w:rsidP="00240971">
      <w:pPr>
        <w:pStyle w:val="TableFooter"/>
        <w:keepNext/>
        <w:jc w:val="both"/>
      </w:pPr>
      <w:r w:rsidRPr="00BE36E8">
        <w:t xml:space="preserve">Notes: </w:t>
      </w:r>
    </w:p>
    <w:p w14:paraId="08418551" w14:textId="77777777" w:rsidR="00C324F3" w:rsidRPr="00AB6DA0" w:rsidRDefault="00C324F3" w:rsidP="00240971">
      <w:pPr>
        <w:pStyle w:val="TableFooter"/>
        <w:keepNext/>
        <w:spacing w:after="120"/>
        <w:contextualSpacing w:val="0"/>
        <w:jc w:val="both"/>
      </w:pPr>
      <w:r>
        <w:t xml:space="preserve">1 </w:t>
      </w:r>
      <w:r w:rsidRPr="00BE36E8">
        <w:t>Cochrane Review</w:t>
      </w:r>
      <w:r>
        <w:t>.</w:t>
      </w:r>
    </w:p>
    <w:p w14:paraId="54A421D5" w14:textId="77777777" w:rsidR="00C324F3" w:rsidRDefault="00C324F3" w:rsidP="00240971">
      <w:pPr>
        <w:pStyle w:val="Heading3"/>
        <w:spacing w:before="0" w:after="120"/>
        <w:jc w:val="both"/>
      </w:pPr>
      <w:bookmarkStart w:id="16" w:name="_Toc69976542"/>
      <w:bookmarkStart w:id="17" w:name="_Toc115254503"/>
      <w:r>
        <w:t>Behavioural interventions in combination with pharmacotherapies</w:t>
      </w:r>
      <w:bookmarkEnd w:id="16"/>
      <w:bookmarkEnd w:id="17"/>
    </w:p>
    <w:p w14:paraId="37B2C511" w14:textId="77777777" w:rsidR="00C324F3" w:rsidRDefault="00C324F3" w:rsidP="00240971">
      <w:pPr>
        <w:spacing w:after="120"/>
        <w:jc w:val="both"/>
        <w:rPr>
          <w:rFonts w:eastAsiaTheme="minorEastAsia"/>
          <w:b/>
          <w:i/>
          <w:sz w:val="28"/>
          <w:szCs w:val="28"/>
        </w:rPr>
      </w:pPr>
      <w:r w:rsidRPr="00F54DA7">
        <w:rPr>
          <w:rFonts w:eastAsiaTheme="minorEastAsia"/>
          <w:b/>
          <w:i/>
          <w:sz w:val="28"/>
          <w:szCs w:val="28"/>
        </w:rPr>
        <w:t>Examine the importance of comprehensive support and counselling in combination with pharmacotherapies</w:t>
      </w:r>
    </w:p>
    <w:p w14:paraId="603EEB19" w14:textId="77777777" w:rsidR="00C324F3" w:rsidRDefault="00C324F3" w:rsidP="00240971">
      <w:pPr>
        <w:pStyle w:val="ListParagraph"/>
        <w:numPr>
          <w:ilvl w:val="0"/>
          <w:numId w:val="284"/>
        </w:numPr>
        <w:jc w:val="both"/>
      </w:pPr>
      <w:r w:rsidRPr="002A7DCF">
        <w:t xml:space="preserve">The evidence presented from six </w:t>
      </w:r>
      <w:r>
        <w:t>identified</w:t>
      </w:r>
      <w:r w:rsidRPr="002A7DCF">
        <w:t xml:space="preserve"> Cochrane Reviews comparing the efficacy of </w:t>
      </w:r>
      <w:r>
        <w:t xml:space="preserve">specific </w:t>
      </w:r>
      <w:r w:rsidRPr="002A7DCF">
        <w:t>behavioural support with minimal or no behavioural interventions (both in combination with pharmacotherapies) w</w:t>
      </w:r>
      <w:r>
        <w:t>as</w:t>
      </w:r>
      <w:r w:rsidRPr="002A7DCF">
        <w:t xml:space="preserve"> inconclusive</w:t>
      </w:r>
      <w:r>
        <w:t>. T</w:t>
      </w:r>
      <w:r w:rsidRPr="002A7DCF">
        <w:t xml:space="preserve">he type of behavioural interventions </w:t>
      </w:r>
      <w:r>
        <w:t>examined were different for each</w:t>
      </w:r>
      <w:r w:rsidRPr="002A7DCF">
        <w:t xml:space="preserve"> review. </w:t>
      </w:r>
    </w:p>
    <w:p w14:paraId="68CE1AB0" w14:textId="77777777" w:rsidR="00C324F3" w:rsidRDefault="00C324F3" w:rsidP="00240971">
      <w:pPr>
        <w:pStyle w:val="ListParagraph"/>
        <w:numPr>
          <w:ilvl w:val="0"/>
          <w:numId w:val="284"/>
        </w:numPr>
        <w:jc w:val="both"/>
      </w:pPr>
      <w:r w:rsidRPr="005E3E2E">
        <w:t xml:space="preserve">The results of smoking cessation rates from three Cochrane Reviews (Lancaster 2017, Carson-Chahhoud 2019, and Matkin 2019) were statistically significantly different, in favour of behavioural intervention when used in combination with pharmacotherapies. </w:t>
      </w:r>
      <w:r w:rsidRPr="00017CAF">
        <w:t xml:space="preserve">The behavioural interventions </w:t>
      </w:r>
      <w:r>
        <w:t xml:space="preserve">examined </w:t>
      </w:r>
      <w:r w:rsidRPr="00017CAF">
        <w:t>were proactive telephone counselling, more intensive face-to-face behavioural interventions delivered by community pharmacy personnel, and individual face-to-face counselling by a trained smoking cessation counsellor</w:t>
      </w:r>
      <w:r>
        <w:t xml:space="preserve">. </w:t>
      </w:r>
      <w:r w:rsidRPr="0074717F">
        <w:t>The primary evidence previously considered by the PBAC for bup</w:t>
      </w:r>
      <w:r>
        <w:t>ropion</w:t>
      </w:r>
      <w:r w:rsidRPr="0074717F">
        <w:t>, var</w:t>
      </w:r>
      <w:r>
        <w:t>enicline</w:t>
      </w:r>
      <w:r w:rsidRPr="0074717F">
        <w:t>, and NRT patches included the provision of individual counselling sessions in addition to pharmacotherapy</w:t>
      </w:r>
      <w:r>
        <w:t>.</w:t>
      </w:r>
    </w:p>
    <w:p w14:paraId="45E2AE66" w14:textId="77777777" w:rsidR="00C324F3" w:rsidRDefault="00C324F3" w:rsidP="00240971">
      <w:pPr>
        <w:pStyle w:val="ListParagraph"/>
        <w:numPr>
          <w:ilvl w:val="0"/>
          <w:numId w:val="284"/>
        </w:numPr>
        <w:jc w:val="both"/>
      </w:pPr>
      <w:r w:rsidRPr="005E3E2E">
        <w:t xml:space="preserve">In contrast, two of the Cochrane Reviews (Stead 2017, Livingstone-Banks 2019b) </w:t>
      </w:r>
      <w:r w:rsidRPr="00D85AB2">
        <w:t>that examined group therapy and print-based self-help materials respectively</w:t>
      </w:r>
      <w:r>
        <w:t xml:space="preserve"> </w:t>
      </w:r>
      <w:r w:rsidRPr="005E3E2E">
        <w:t xml:space="preserve">demonstrated no statistically significant difference in smoking cessation rates between the two treatment arms, noting that the results numerically favoured the behavioural intervention in combination with pharmacotherapy treatment arm. </w:t>
      </w:r>
    </w:p>
    <w:p w14:paraId="24495E71" w14:textId="77777777" w:rsidR="00C324F3" w:rsidRPr="003F01F5" w:rsidRDefault="00C324F3" w:rsidP="00240971">
      <w:pPr>
        <w:pStyle w:val="ListParagraph"/>
        <w:numPr>
          <w:ilvl w:val="0"/>
          <w:numId w:val="284"/>
        </w:numPr>
        <w:spacing w:after="120"/>
        <w:ind w:left="357" w:hanging="357"/>
        <w:contextualSpacing w:val="0"/>
        <w:jc w:val="both"/>
      </w:pPr>
      <w:r w:rsidRPr="005E3E2E">
        <w:lastRenderedPageBreak/>
        <w:t xml:space="preserve">In Hartmann-Boyce et al. (2019), </w:t>
      </w:r>
      <w:r>
        <w:t>comparing more intensive with less intensive behavioural therapy,</w:t>
      </w:r>
      <w:r w:rsidRPr="005E3E2E">
        <w:t xml:space="preserve"> a statistically significant improvement in smoking cessation rates was observed in patients receiving more intensive behavioural intervention when used in combination with NRT or bupropion. There were no statistically significant differences in smoking cessation rates between the more intensive and the less intensive arms when used in combination with varenicline or NRT plus bupropion</w:t>
      </w:r>
      <w:r>
        <w:t>, which</w:t>
      </w:r>
      <w:r w:rsidRPr="00382159">
        <w:t xml:space="preserve"> was likely due to the smaller number of studies leading to lower precision rather than a true difference in effect</w:t>
      </w:r>
      <w:r w:rsidRPr="005E3E2E">
        <w:t>. The results of the overall estimated pooled risk ratio irrespective of the type of pharmacotherapy (PBS-listed and non-PBS listed) were statistically significantly different, in favour of the more intensive behavioural intervention.</w:t>
      </w:r>
    </w:p>
    <w:p w14:paraId="2DB8D14B" w14:textId="77777777" w:rsidR="00C324F3" w:rsidRDefault="00C324F3" w:rsidP="00240971">
      <w:pPr>
        <w:pStyle w:val="Heading3"/>
        <w:spacing w:before="0" w:after="120"/>
        <w:jc w:val="both"/>
      </w:pPr>
      <w:bookmarkStart w:id="18" w:name="_Toc69976543"/>
      <w:bookmarkStart w:id="19" w:name="_Toc115254504"/>
      <w:r>
        <w:t>Use in populations with specific needs</w:t>
      </w:r>
      <w:bookmarkEnd w:id="18"/>
      <w:bookmarkEnd w:id="19"/>
    </w:p>
    <w:p w14:paraId="26420596" w14:textId="3416BF5E" w:rsidR="00C324F3" w:rsidRPr="0067591A" w:rsidRDefault="00C324F3" w:rsidP="00240971">
      <w:pPr>
        <w:spacing w:after="120"/>
        <w:jc w:val="both"/>
      </w:pPr>
      <w:r>
        <w:t xml:space="preserve">The evidence reviewed focused on populations in which the clinical guideline recommendations differed from the general population. Term of </w:t>
      </w:r>
      <w:r w:rsidR="00240971">
        <w:t>r</w:t>
      </w:r>
      <w:r>
        <w:t xml:space="preserve">eference </w:t>
      </w:r>
      <w:r w:rsidR="00240971">
        <w:t xml:space="preserve">(ToR) </w:t>
      </w:r>
      <w:r>
        <w:t>1 presents the review of clinical guidelines and includes Aboriginal and Torres Strait Islander people and incarcerated persons amongst other populations</w:t>
      </w:r>
      <w:r w:rsidR="00240971">
        <w:t xml:space="preserve"> </w:t>
      </w:r>
      <w:r>
        <w:t>however</w:t>
      </w:r>
      <w:r w:rsidR="00240971">
        <w:t>,</w:t>
      </w:r>
      <w:r>
        <w:t xml:space="preserve"> the guidelines did not recommend any differential use of smoking cessation therapies or indicate any differential effect of these therapies in any populations other than pregnancy and adolescents. This analysis excluded </w:t>
      </w:r>
      <w:r w:rsidRPr="004061C9">
        <w:t>prescribing contraindications</w:t>
      </w:r>
      <w:r>
        <w:t xml:space="preserve"> and </w:t>
      </w:r>
      <w:r w:rsidRPr="004773C9">
        <w:t>precautions,</w:t>
      </w:r>
      <w:r w:rsidRPr="004061C9">
        <w:t xml:space="preserve"> </w:t>
      </w:r>
      <w:r>
        <w:t>as they</w:t>
      </w:r>
      <w:r w:rsidRPr="004061C9">
        <w:t xml:space="preserve"> are not typically handled via a PBS restriction</w:t>
      </w:r>
      <w:r>
        <w:t>.</w:t>
      </w:r>
    </w:p>
    <w:p w14:paraId="4DDD0F14" w14:textId="2098BB2C" w:rsidR="00C324F3" w:rsidRPr="00893E06" w:rsidRDefault="00C324F3" w:rsidP="00240971">
      <w:pPr>
        <w:spacing w:after="120"/>
        <w:jc w:val="both"/>
        <w:rPr>
          <w:rFonts w:eastAsiaTheme="minorEastAsia"/>
          <w:b/>
          <w:i/>
          <w:szCs w:val="24"/>
        </w:rPr>
      </w:pPr>
      <w:r w:rsidRPr="00893E06">
        <w:rPr>
          <w:rFonts w:eastAsiaTheme="minorEastAsia"/>
          <w:b/>
          <w:i/>
          <w:sz w:val="28"/>
          <w:szCs w:val="28"/>
        </w:rPr>
        <w:t xml:space="preserve">Examine the evidence of efficacy and safety of smoking cessation medicines </w:t>
      </w:r>
      <w:r>
        <w:rPr>
          <w:rFonts w:eastAsiaTheme="minorEastAsia"/>
          <w:b/>
          <w:i/>
          <w:sz w:val="28"/>
          <w:szCs w:val="28"/>
        </w:rPr>
        <w:t xml:space="preserve">during pregnancy and </w:t>
      </w:r>
      <w:r w:rsidRPr="00893E06">
        <w:rPr>
          <w:rFonts w:eastAsiaTheme="minorEastAsia"/>
          <w:b/>
          <w:i/>
          <w:sz w:val="28"/>
          <w:szCs w:val="28"/>
        </w:rPr>
        <w:t xml:space="preserve">for </w:t>
      </w:r>
      <w:r>
        <w:rPr>
          <w:rFonts w:eastAsiaTheme="minorEastAsia"/>
          <w:b/>
          <w:i/>
          <w:sz w:val="28"/>
          <w:szCs w:val="28"/>
        </w:rPr>
        <w:t>adolescents</w:t>
      </w:r>
    </w:p>
    <w:p w14:paraId="349845F6" w14:textId="77777777" w:rsidR="00C324F3" w:rsidRPr="00B23AF3" w:rsidRDefault="00C324F3" w:rsidP="00240971">
      <w:pPr>
        <w:spacing w:after="120"/>
        <w:jc w:val="both"/>
        <w:rPr>
          <w:b/>
          <w:bCs/>
        </w:rPr>
      </w:pPr>
      <w:r w:rsidRPr="00B23AF3">
        <w:rPr>
          <w:b/>
          <w:bCs/>
        </w:rPr>
        <w:t>Pregnancy and lactation</w:t>
      </w:r>
    </w:p>
    <w:p w14:paraId="50C0C416" w14:textId="77777777" w:rsidR="00C324F3" w:rsidRDefault="00C324F3" w:rsidP="00240971">
      <w:pPr>
        <w:pStyle w:val="ListParagraph"/>
        <w:numPr>
          <w:ilvl w:val="0"/>
          <w:numId w:val="285"/>
        </w:numPr>
        <w:jc w:val="both"/>
      </w:pPr>
      <w:r w:rsidRPr="005E3E2E">
        <w:t xml:space="preserve">NRT was shown </w:t>
      </w:r>
      <w:r>
        <w:t>to be superior to</w:t>
      </w:r>
      <w:r w:rsidRPr="005E3E2E">
        <w:t xml:space="preserve"> placebo/control</w:t>
      </w:r>
      <w:r>
        <w:t xml:space="preserve"> in terms of efficacy based on </w:t>
      </w:r>
      <w:r w:rsidRPr="007C0434">
        <w:t>self-reported abstinence from smoking at the latest time point in pregnancy</w:t>
      </w:r>
      <w:r>
        <w:t xml:space="preserve"> (biochemically validated where available)</w:t>
      </w:r>
      <w:r w:rsidRPr="005E3E2E">
        <w:t>, noting the results were statistically significant in the long-acting NRT subgroup but not the fast-acting NRT subgroup. In terms of safety, there were no statistically significant differences in rates of preterm births, neonatal intensive care unit admissions, neonatal deaths, congenital abnormalities, caesarean birth, mean birthweight and risk of miscarriage/spontaneous abortion between the two treatment arms.</w:t>
      </w:r>
    </w:p>
    <w:p w14:paraId="0E2F520B" w14:textId="11242B74" w:rsidR="003C4A1C" w:rsidRDefault="00C324F3" w:rsidP="00240971">
      <w:pPr>
        <w:pStyle w:val="ListParagraph"/>
        <w:numPr>
          <w:ilvl w:val="0"/>
          <w:numId w:val="285"/>
        </w:numPr>
        <w:jc w:val="both"/>
      </w:pPr>
      <w:r>
        <w:t>There were no statistically significant differences between b</w:t>
      </w:r>
      <w:r w:rsidRPr="005E3E2E">
        <w:t xml:space="preserve">upropion </w:t>
      </w:r>
      <w:r>
        <w:t>and placebo in terms of efficacy</w:t>
      </w:r>
      <w:r w:rsidRPr="00161E40">
        <w:t xml:space="preserve"> </w:t>
      </w:r>
      <w:r>
        <w:t xml:space="preserve">based on </w:t>
      </w:r>
      <w:r w:rsidRPr="00161E40">
        <w:t>self-reported abstinence from smoking at the latest time point in pregnancy (biochemically validated where available)</w:t>
      </w:r>
      <w:r w:rsidRPr="005E3E2E">
        <w:t>, noting the relatively small sample size</w:t>
      </w:r>
      <w:r>
        <w:t xml:space="preserve"> of the individual studies</w:t>
      </w:r>
      <w:r w:rsidRPr="005E3E2E">
        <w:t>. It was noted that women across all studies reported known adverse effects of bupropion (</w:t>
      </w:r>
      <w:r w:rsidR="008260A0" w:rsidRPr="005E3E2E">
        <w:t>i.e.,</w:t>
      </w:r>
      <w:r w:rsidRPr="005E3E2E">
        <w:t xml:space="preserve"> vomiting, headache, difficulty sleeping).</w:t>
      </w:r>
    </w:p>
    <w:p w14:paraId="6A37DF22" w14:textId="6749FEB0"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526"/>
        <w:gridCol w:w="1978"/>
        <w:gridCol w:w="5512"/>
      </w:tblGrid>
      <w:tr w:rsidR="00C324F3" w:rsidRPr="00916516" w14:paraId="2DE9DA38" w14:textId="77777777" w:rsidTr="00AF4031">
        <w:trPr>
          <w:trHeight w:val="67"/>
        </w:trPr>
        <w:tc>
          <w:tcPr>
            <w:tcW w:w="846" w:type="pct"/>
            <w:shd w:val="clear" w:color="auto" w:fill="F2F2F2" w:themeFill="background1" w:themeFillShade="F2"/>
            <w:hideMark/>
          </w:tcPr>
          <w:p w14:paraId="486B1F80" w14:textId="77777777" w:rsidR="00C324F3" w:rsidRPr="00916516" w:rsidRDefault="00C324F3" w:rsidP="00777459">
            <w:pPr>
              <w:rPr>
                <w:szCs w:val="18"/>
              </w:rPr>
            </w:pPr>
            <w:r w:rsidRPr="00916516">
              <w:rPr>
                <w:b/>
                <w:bCs/>
                <w:szCs w:val="18"/>
              </w:rPr>
              <w:lastRenderedPageBreak/>
              <w:t>Compar</w:t>
            </w:r>
            <w:r>
              <w:rPr>
                <w:b/>
                <w:bCs/>
                <w:szCs w:val="18"/>
              </w:rPr>
              <w:t>ison</w:t>
            </w:r>
          </w:p>
        </w:tc>
        <w:tc>
          <w:tcPr>
            <w:tcW w:w="1097" w:type="pct"/>
            <w:shd w:val="clear" w:color="auto" w:fill="F2F2F2" w:themeFill="background1" w:themeFillShade="F2"/>
            <w:hideMark/>
          </w:tcPr>
          <w:p w14:paraId="50A4517C" w14:textId="77777777" w:rsidR="00C324F3" w:rsidRPr="00916516" w:rsidRDefault="00C324F3" w:rsidP="00777459">
            <w:pPr>
              <w:jc w:val="center"/>
              <w:rPr>
                <w:szCs w:val="18"/>
              </w:rPr>
            </w:pPr>
            <w:r>
              <w:rPr>
                <w:b/>
                <w:bCs/>
                <w:szCs w:val="18"/>
              </w:rPr>
              <w:t>Included studies</w:t>
            </w:r>
          </w:p>
        </w:tc>
        <w:tc>
          <w:tcPr>
            <w:tcW w:w="3057" w:type="pct"/>
            <w:shd w:val="clear" w:color="auto" w:fill="F2F2F2" w:themeFill="background1" w:themeFillShade="F2"/>
            <w:hideMark/>
          </w:tcPr>
          <w:p w14:paraId="4AD6CFAC" w14:textId="77777777" w:rsidR="00C324F3" w:rsidRPr="00916516" w:rsidRDefault="00C324F3" w:rsidP="00777459">
            <w:pPr>
              <w:jc w:val="center"/>
              <w:rPr>
                <w:szCs w:val="18"/>
              </w:rPr>
            </w:pPr>
            <w:r>
              <w:rPr>
                <w:b/>
                <w:bCs/>
                <w:szCs w:val="18"/>
              </w:rPr>
              <w:t>Summary of evidence</w:t>
            </w:r>
          </w:p>
        </w:tc>
      </w:tr>
      <w:tr w:rsidR="00C324F3" w:rsidRPr="009068BC" w14:paraId="3E78E200" w14:textId="77777777" w:rsidTr="00AF4031">
        <w:trPr>
          <w:trHeight w:val="345"/>
        </w:trPr>
        <w:tc>
          <w:tcPr>
            <w:tcW w:w="846" w:type="pct"/>
            <w:shd w:val="clear" w:color="auto" w:fill="F2F2F2" w:themeFill="background1" w:themeFillShade="F2"/>
            <w:hideMark/>
          </w:tcPr>
          <w:p w14:paraId="7F655CEC" w14:textId="77777777" w:rsidR="00C324F3" w:rsidRPr="00237D04" w:rsidRDefault="00C324F3" w:rsidP="00777459">
            <w:pPr>
              <w:tabs>
                <w:tab w:val="left" w:pos="1198"/>
              </w:tabs>
              <w:rPr>
                <w:szCs w:val="18"/>
              </w:rPr>
            </w:pPr>
            <w:r>
              <w:rPr>
                <w:szCs w:val="18"/>
              </w:rPr>
              <w:t>NRT vs placebo/control</w:t>
            </w:r>
          </w:p>
        </w:tc>
        <w:tc>
          <w:tcPr>
            <w:tcW w:w="1097" w:type="pct"/>
            <w:shd w:val="clear" w:color="auto" w:fill="F2F2F2" w:themeFill="background1" w:themeFillShade="F2"/>
            <w:hideMark/>
          </w:tcPr>
          <w:p w14:paraId="6EAACDFB" w14:textId="77777777" w:rsidR="00C324F3" w:rsidRPr="00A5409B" w:rsidRDefault="00C324F3" w:rsidP="00C324F3">
            <w:pPr>
              <w:pStyle w:val="ListParagraph"/>
              <w:numPr>
                <w:ilvl w:val="0"/>
                <w:numId w:val="318"/>
              </w:numPr>
              <w:rPr>
                <w:szCs w:val="18"/>
              </w:rPr>
            </w:pPr>
            <w:r w:rsidRPr="00A5409B">
              <w:rPr>
                <w:szCs w:val="18"/>
              </w:rPr>
              <w:t>Claire (2020</w:t>
            </w:r>
            <w:r>
              <w:rPr>
                <w:szCs w:val="18"/>
              </w:rPr>
              <w:t>)</w:t>
            </w:r>
            <w:r>
              <w:rPr>
                <w:szCs w:val="18"/>
                <w:vertAlign w:val="superscript"/>
              </w:rPr>
              <w:t>1</w:t>
            </w:r>
          </w:p>
        </w:tc>
        <w:tc>
          <w:tcPr>
            <w:tcW w:w="3057" w:type="pct"/>
            <w:shd w:val="clear" w:color="auto" w:fill="F2F2F2" w:themeFill="background1" w:themeFillShade="F2"/>
            <w:hideMark/>
          </w:tcPr>
          <w:p w14:paraId="29AD06F4" w14:textId="316F9EE5" w:rsidR="00C324F3" w:rsidRPr="00655AEE"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655AEE">
              <w:rPr>
                <w:szCs w:val="18"/>
              </w:rPr>
              <w:t>Statistically significant</w:t>
            </w:r>
            <w:r>
              <w:rPr>
                <w:szCs w:val="18"/>
                <w:vertAlign w:val="superscript"/>
              </w:rPr>
              <w:t>2</w:t>
            </w:r>
            <w:r w:rsidRPr="00655AEE">
              <w:rPr>
                <w:szCs w:val="18"/>
                <w:vertAlign w:val="superscript"/>
              </w:rPr>
              <w:t>,</w:t>
            </w:r>
            <w:r w:rsidR="008260A0">
              <w:rPr>
                <w:szCs w:val="18"/>
                <w:vertAlign w:val="superscript"/>
              </w:rPr>
              <w:t xml:space="preserve">3 </w:t>
            </w:r>
            <w:r w:rsidR="008260A0">
              <w:rPr>
                <w:szCs w:val="18"/>
              </w:rPr>
              <w:t>based</w:t>
            </w:r>
            <w:r>
              <w:rPr>
                <w:szCs w:val="18"/>
              </w:rPr>
              <w:t xml:space="preserve"> on RR </w:t>
            </w:r>
            <w:r w:rsidRPr="00655AEE">
              <w:rPr>
                <w:szCs w:val="18"/>
              </w:rPr>
              <w:t>(in favour of NRT)</w:t>
            </w:r>
            <w:r>
              <w:rPr>
                <w:szCs w:val="18"/>
              </w:rPr>
              <w:t>.</w:t>
            </w:r>
          </w:p>
          <w:p w14:paraId="6DF0805A" w14:textId="77777777" w:rsidR="00C324F3" w:rsidRPr="00655AEE" w:rsidRDefault="00C324F3" w:rsidP="00C324F3">
            <w:pPr>
              <w:pStyle w:val="ListParagraph"/>
              <w:numPr>
                <w:ilvl w:val="0"/>
                <w:numId w:val="318"/>
              </w:numPr>
              <w:rPr>
                <w:szCs w:val="18"/>
              </w:rPr>
            </w:pPr>
            <w:r w:rsidRPr="00360862">
              <w:rPr>
                <w:szCs w:val="18"/>
                <w:u w:val="single"/>
              </w:rPr>
              <w:t>Safety:</w:t>
            </w:r>
            <w:r w:rsidRPr="00360862">
              <w:rPr>
                <w:szCs w:val="18"/>
              </w:rPr>
              <w:t xml:space="preserve"> </w:t>
            </w:r>
            <w:r w:rsidRPr="00655AEE">
              <w:rPr>
                <w:szCs w:val="18"/>
              </w:rPr>
              <w:t>Not statistically significant</w:t>
            </w:r>
            <w:r>
              <w:rPr>
                <w:szCs w:val="18"/>
              </w:rPr>
              <w:t xml:space="preserve"> based on RR </w:t>
            </w:r>
            <w:r w:rsidRPr="00655AEE">
              <w:rPr>
                <w:szCs w:val="18"/>
              </w:rPr>
              <w:t>(</w:t>
            </w:r>
            <w:r w:rsidRPr="00655AEE">
              <w:rPr>
                <w:szCs w:val="18"/>
                <w:lang w:val="en-US"/>
              </w:rPr>
              <w:t>preterm births, neonatal intensive care unit admissions, neonatal deaths, congenital abnormalities, caesarean birth, mean birthweight, risk of miscarriage/spontaneous abortion</w:t>
            </w:r>
            <w:r w:rsidRPr="00655AEE">
              <w:rPr>
                <w:szCs w:val="18"/>
              </w:rPr>
              <w:t>).</w:t>
            </w:r>
          </w:p>
        </w:tc>
      </w:tr>
      <w:tr w:rsidR="00C324F3" w:rsidRPr="009068BC" w14:paraId="50032A85" w14:textId="77777777" w:rsidTr="00AF4031">
        <w:trPr>
          <w:trHeight w:val="345"/>
        </w:trPr>
        <w:tc>
          <w:tcPr>
            <w:tcW w:w="846" w:type="pct"/>
            <w:shd w:val="clear" w:color="auto" w:fill="F2F2F2" w:themeFill="background1" w:themeFillShade="F2"/>
          </w:tcPr>
          <w:p w14:paraId="3E82E3A8" w14:textId="77777777" w:rsidR="00C324F3" w:rsidRPr="00237D04" w:rsidRDefault="00C324F3" w:rsidP="00777459">
            <w:pPr>
              <w:tabs>
                <w:tab w:val="left" w:pos="1198"/>
              </w:tabs>
              <w:rPr>
                <w:szCs w:val="18"/>
              </w:rPr>
            </w:pPr>
            <w:r>
              <w:rPr>
                <w:szCs w:val="18"/>
              </w:rPr>
              <w:t>Bupropion vs placebo</w:t>
            </w:r>
          </w:p>
        </w:tc>
        <w:tc>
          <w:tcPr>
            <w:tcW w:w="1097" w:type="pct"/>
            <w:shd w:val="clear" w:color="auto" w:fill="F2F2F2" w:themeFill="background1" w:themeFillShade="F2"/>
          </w:tcPr>
          <w:p w14:paraId="3E646CB6" w14:textId="77777777" w:rsidR="00C324F3" w:rsidRPr="004110FF" w:rsidRDefault="00C324F3" w:rsidP="00C324F3">
            <w:pPr>
              <w:pStyle w:val="ListParagraph"/>
              <w:numPr>
                <w:ilvl w:val="0"/>
                <w:numId w:val="318"/>
              </w:numPr>
            </w:pPr>
            <w:r w:rsidRPr="00A5409B">
              <w:rPr>
                <w:szCs w:val="18"/>
              </w:rPr>
              <w:t>Claire (2020</w:t>
            </w:r>
            <w:r>
              <w:rPr>
                <w:szCs w:val="18"/>
              </w:rPr>
              <w:t>)</w:t>
            </w:r>
            <w:r>
              <w:rPr>
                <w:szCs w:val="18"/>
                <w:vertAlign w:val="superscript"/>
              </w:rPr>
              <w:t>1</w:t>
            </w:r>
          </w:p>
        </w:tc>
        <w:tc>
          <w:tcPr>
            <w:tcW w:w="3057" w:type="pct"/>
            <w:shd w:val="clear" w:color="auto" w:fill="F2F2F2" w:themeFill="background1" w:themeFillShade="F2"/>
          </w:tcPr>
          <w:p w14:paraId="2DAB634D" w14:textId="77777777" w:rsidR="00C324F3" w:rsidRPr="00655AEE" w:rsidRDefault="00C324F3" w:rsidP="00C324F3">
            <w:pPr>
              <w:pStyle w:val="ListParagraph"/>
              <w:numPr>
                <w:ilvl w:val="0"/>
                <w:numId w:val="318"/>
              </w:numPr>
              <w:rPr>
                <w:szCs w:val="18"/>
              </w:rPr>
            </w:pPr>
            <w:r w:rsidRPr="00360862">
              <w:rPr>
                <w:szCs w:val="18"/>
                <w:u w:val="single"/>
              </w:rPr>
              <w:t>Efficacy</w:t>
            </w:r>
            <w:r w:rsidRPr="00360862">
              <w:rPr>
                <w:szCs w:val="18"/>
              </w:rPr>
              <w:t xml:space="preserve">: </w:t>
            </w:r>
            <w:r w:rsidRPr="00655AEE">
              <w:rPr>
                <w:szCs w:val="18"/>
              </w:rPr>
              <w:t>Not statistically significant</w:t>
            </w:r>
            <w:r>
              <w:rPr>
                <w:szCs w:val="18"/>
                <w:vertAlign w:val="superscript"/>
              </w:rPr>
              <w:t>3</w:t>
            </w:r>
            <w:r>
              <w:rPr>
                <w:szCs w:val="18"/>
              </w:rPr>
              <w:t xml:space="preserve"> based on RR.</w:t>
            </w:r>
          </w:p>
          <w:p w14:paraId="230D4B01" w14:textId="77777777" w:rsidR="00C324F3" w:rsidRPr="00655AEE" w:rsidRDefault="00C324F3" w:rsidP="00C324F3">
            <w:pPr>
              <w:pStyle w:val="ListParagraph"/>
              <w:numPr>
                <w:ilvl w:val="0"/>
                <w:numId w:val="318"/>
              </w:numPr>
              <w:rPr>
                <w:szCs w:val="18"/>
              </w:rPr>
            </w:pPr>
            <w:r w:rsidRPr="00360862">
              <w:rPr>
                <w:szCs w:val="18"/>
                <w:u w:val="single"/>
              </w:rPr>
              <w:t>Safety:</w:t>
            </w:r>
            <w:r>
              <w:rPr>
                <w:szCs w:val="18"/>
                <w:u w:val="single"/>
              </w:rPr>
              <w:t xml:space="preserve"> </w:t>
            </w:r>
            <w:r w:rsidRPr="00655AEE">
              <w:rPr>
                <w:szCs w:val="18"/>
              </w:rPr>
              <w:t>Not statistically significant</w:t>
            </w:r>
            <w:r>
              <w:rPr>
                <w:szCs w:val="18"/>
              </w:rPr>
              <w:t xml:space="preserve"> </w:t>
            </w:r>
            <w:r w:rsidRPr="00655AEE">
              <w:rPr>
                <w:szCs w:val="18"/>
              </w:rPr>
              <w:t>(</w:t>
            </w:r>
            <w:r w:rsidRPr="00655AEE">
              <w:rPr>
                <w:szCs w:val="18"/>
                <w:lang w:val="en-US"/>
              </w:rPr>
              <w:t>mean birthweight, mean length of infants and systolic of diastolic blood pressure at the end of pregnancy</w:t>
            </w:r>
            <w:r w:rsidRPr="00655AEE">
              <w:rPr>
                <w:szCs w:val="18"/>
              </w:rPr>
              <w:t>)</w:t>
            </w:r>
            <w:r>
              <w:rPr>
                <w:szCs w:val="18"/>
                <w:vertAlign w:val="superscript"/>
              </w:rPr>
              <w:t>4</w:t>
            </w:r>
            <w:r w:rsidRPr="00655AEE">
              <w:rPr>
                <w:szCs w:val="18"/>
              </w:rPr>
              <w:t>.</w:t>
            </w:r>
          </w:p>
        </w:tc>
      </w:tr>
    </w:tbl>
    <w:p w14:paraId="24832342" w14:textId="77777777" w:rsidR="00C324F3" w:rsidRDefault="00C324F3" w:rsidP="00AF4031">
      <w:pPr>
        <w:pStyle w:val="TableFooter"/>
        <w:keepNext/>
        <w:jc w:val="both"/>
      </w:pPr>
      <w:r>
        <w:t>Abbreviations: NRT = nicotine replacement therapy; RR = risk ratio.</w:t>
      </w:r>
    </w:p>
    <w:p w14:paraId="55EC66E1" w14:textId="77777777" w:rsidR="00C324F3" w:rsidRDefault="00C324F3" w:rsidP="00AF4031">
      <w:pPr>
        <w:pStyle w:val="TableFooter"/>
        <w:keepNext/>
        <w:jc w:val="both"/>
      </w:pPr>
      <w:r w:rsidRPr="00BE36E8">
        <w:t xml:space="preserve">Notes: </w:t>
      </w:r>
    </w:p>
    <w:p w14:paraId="69339FA6" w14:textId="77777777" w:rsidR="00C324F3" w:rsidRDefault="00C324F3" w:rsidP="00AF4031">
      <w:pPr>
        <w:pStyle w:val="TableFooter"/>
        <w:keepNext/>
        <w:jc w:val="both"/>
      </w:pPr>
      <w:r>
        <w:t xml:space="preserve">1 </w:t>
      </w:r>
      <w:r w:rsidRPr="00BE36E8">
        <w:t>Cochrane Review</w:t>
      </w:r>
      <w:r>
        <w:t>.</w:t>
      </w:r>
    </w:p>
    <w:p w14:paraId="7C80A24E" w14:textId="77777777" w:rsidR="00C324F3" w:rsidRPr="00655AEE" w:rsidRDefault="00C324F3" w:rsidP="00AF4031">
      <w:pPr>
        <w:pStyle w:val="TableFooter"/>
        <w:keepNext/>
        <w:jc w:val="both"/>
      </w:pPr>
      <w:r>
        <w:t xml:space="preserve">2 </w:t>
      </w:r>
      <w:r w:rsidRPr="00655AEE">
        <w:t>Statistically significant in overall pooled analysis (RR = 1.37, 95%CI: 1.08, 1.74). Statistically significant in the long-acting NRT subgroup (RR = 1.53, 95%CI: 1.16, 2.01) but not the fast-acting NRT subgroup (RR = 0.91, 95%CI: 0.55, 1.51).</w:t>
      </w:r>
    </w:p>
    <w:p w14:paraId="6DDF85F7" w14:textId="77777777" w:rsidR="00C324F3" w:rsidRPr="000E4C3B" w:rsidRDefault="00C324F3" w:rsidP="00AF4031">
      <w:pPr>
        <w:pStyle w:val="TableFooter"/>
        <w:keepNext/>
        <w:jc w:val="both"/>
      </w:pPr>
      <w:r>
        <w:t xml:space="preserve">3 </w:t>
      </w:r>
      <w:r w:rsidRPr="00655AEE">
        <w:t>Based on self-reported abstinence from smoking at the latest time point in pregnancy (biochemically validated where available).</w:t>
      </w:r>
    </w:p>
    <w:p w14:paraId="332349D8" w14:textId="77777777" w:rsidR="00C324F3" w:rsidRPr="000E4C3B" w:rsidRDefault="00C324F3" w:rsidP="00AF4031">
      <w:pPr>
        <w:pStyle w:val="TableFooter"/>
        <w:keepNext/>
        <w:spacing w:after="120"/>
        <w:contextualSpacing w:val="0"/>
        <w:jc w:val="both"/>
      </w:pPr>
      <w:r>
        <w:t>4 Qualitative synthesis.</w:t>
      </w:r>
    </w:p>
    <w:p w14:paraId="6BD4B9B5" w14:textId="77777777" w:rsidR="00C324F3" w:rsidRPr="00B23AF3" w:rsidRDefault="00C324F3" w:rsidP="00AF4031">
      <w:pPr>
        <w:spacing w:after="120"/>
        <w:jc w:val="both"/>
        <w:rPr>
          <w:b/>
          <w:bCs/>
        </w:rPr>
      </w:pPr>
      <w:r w:rsidRPr="00B23AF3">
        <w:rPr>
          <w:b/>
          <w:bCs/>
        </w:rPr>
        <w:t>Adolescents</w:t>
      </w:r>
    </w:p>
    <w:p w14:paraId="5AE55794" w14:textId="77777777" w:rsidR="00C324F3" w:rsidRDefault="00C324F3" w:rsidP="00AF4031">
      <w:pPr>
        <w:pStyle w:val="ListParagraph"/>
        <w:numPr>
          <w:ilvl w:val="0"/>
          <w:numId w:val="286"/>
        </w:numPr>
        <w:ind w:left="357" w:hanging="357"/>
        <w:jc w:val="both"/>
      </w:pPr>
      <w:r>
        <w:t>S</w:t>
      </w:r>
      <w:r w:rsidRPr="00996101">
        <w:t xml:space="preserve">tudies which assessed the use of pharmacotherapy for smoking cessation in adolescents </w:t>
      </w:r>
      <w:r>
        <w:t>may be</w:t>
      </w:r>
      <w:r w:rsidRPr="00996101">
        <w:t xml:space="preserve"> underpowered given the small number of individuals in both the intervention </w:t>
      </w:r>
      <w:r>
        <w:t>and</w:t>
      </w:r>
      <w:r w:rsidRPr="00996101">
        <w:t xml:space="preserve"> control groups who achieved smoking cessation at any point during follow-up. As such, the results from these studies should be interpreted with caution.</w:t>
      </w:r>
    </w:p>
    <w:p w14:paraId="2B5DA84D" w14:textId="105A7D2F" w:rsidR="00C324F3" w:rsidRDefault="00C324F3" w:rsidP="00AF4031">
      <w:pPr>
        <w:pStyle w:val="ListParagraph"/>
        <w:numPr>
          <w:ilvl w:val="0"/>
          <w:numId w:val="286"/>
        </w:numPr>
        <w:jc w:val="both"/>
      </w:pPr>
      <w:r>
        <w:t xml:space="preserve">There were no statistically significant differences between </w:t>
      </w:r>
      <w:r w:rsidRPr="0054787D">
        <w:t xml:space="preserve">NRT </w:t>
      </w:r>
      <w:r>
        <w:t xml:space="preserve">(either as patch, </w:t>
      </w:r>
      <w:r w:rsidR="008260A0">
        <w:t>gum,</w:t>
      </w:r>
      <w:r>
        <w:t xml:space="preserve"> or nasal spray)</w:t>
      </w:r>
      <w:r w:rsidRPr="0054787D">
        <w:t xml:space="preserve"> </w:t>
      </w:r>
      <w:r>
        <w:t>and</w:t>
      </w:r>
      <w:r w:rsidRPr="0054787D">
        <w:t xml:space="preserve"> placebo in terms of ef</w:t>
      </w:r>
      <w:r>
        <w:t>f</w:t>
      </w:r>
      <w:r w:rsidRPr="0054787D">
        <w:t>icacy</w:t>
      </w:r>
      <w:r>
        <w:t xml:space="preserve"> based on smoking cessation rates (short-term and long-term)</w:t>
      </w:r>
      <w:r w:rsidRPr="0054787D">
        <w:t xml:space="preserve">. </w:t>
      </w:r>
      <w:r>
        <w:t>For</w:t>
      </w:r>
      <w:r w:rsidRPr="0054787D">
        <w:t xml:space="preserve"> safety, the studies reported a</w:t>
      </w:r>
      <w:r>
        <w:t xml:space="preserve"> significa</w:t>
      </w:r>
      <w:r w:rsidRPr="0054787D">
        <w:t>n</w:t>
      </w:r>
      <w:r>
        <w:t>tly</w:t>
      </w:r>
      <w:r w:rsidRPr="0054787D">
        <w:t xml:space="preserve"> </w:t>
      </w:r>
      <w:r>
        <w:t xml:space="preserve">higher </w:t>
      </w:r>
      <w:r w:rsidRPr="0054787D">
        <w:t>inc</w:t>
      </w:r>
      <w:r>
        <w:t>idence</w:t>
      </w:r>
      <w:r w:rsidRPr="0054787D">
        <w:t xml:space="preserve"> </w:t>
      </w:r>
      <w:r>
        <w:t>of</w:t>
      </w:r>
      <w:r w:rsidRPr="0054787D">
        <w:t xml:space="preserve"> adverse events in the NRT arm compared to placebo arm, specifically sore throat, hiccups, erythema, pruritus</w:t>
      </w:r>
      <w:r>
        <w:t>,</w:t>
      </w:r>
      <w:r w:rsidRPr="0054787D">
        <w:t xml:space="preserve"> </w:t>
      </w:r>
      <w:r w:rsidRPr="008B7D58">
        <w:t xml:space="preserve">shoulder/arm pain, headache, cough, abnormal </w:t>
      </w:r>
      <w:r w:rsidR="008260A0" w:rsidRPr="008B7D58">
        <w:t>dreams,</w:t>
      </w:r>
      <w:r w:rsidRPr="008B7D58">
        <w:t xml:space="preserve"> </w:t>
      </w:r>
      <w:r w:rsidRPr="0054787D">
        <w:t>and muscle pain.</w:t>
      </w:r>
    </w:p>
    <w:p w14:paraId="430E5C27" w14:textId="7B61BF3B" w:rsidR="00C324F3" w:rsidRDefault="00C324F3" w:rsidP="00AF4031">
      <w:pPr>
        <w:pStyle w:val="ListParagraph"/>
        <w:numPr>
          <w:ilvl w:val="0"/>
          <w:numId w:val="286"/>
        </w:numPr>
        <w:jc w:val="both"/>
      </w:pPr>
      <w:r>
        <w:t>There were no statistically significant differences between b</w:t>
      </w:r>
      <w:r w:rsidRPr="0054787D">
        <w:t xml:space="preserve">upropion </w:t>
      </w:r>
      <w:r>
        <w:t>and</w:t>
      </w:r>
      <w:r w:rsidRPr="0054787D">
        <w:t xml:space="preserve"> placebo in terms of </w:t>
      </w:r>
      <w:r>
        <w:t xml:space="preserve">long-term </w:t>
      </w:r>
      <w:r w:rsidRPr="0054787D">
        <w:t>efficacy</w:t>
      </w:r>
      <w:r w:rsidRPr="00414FAB">
        <w:t xml:space="preserve"> based on the one study</w:t>
      </w:r>
      <w:r>
        <w:t xml:space="preserve"> </w:t>
      </w:r>
      <w:r w:rsidRPr="00414FAB">
        <w:t xml:space="preserve">identified by Fanshawe et al. (2017). However, bupropion was shown to significantly improve smoking cessation rates compared with placebo based on the meta-analysis conducted by Myung et al. (2019), noting that the two additional studies included in the meta-analysis measured smoking cessation outcomes at </w:t>
      </w:r>
      <w:r>
        <w:t>three</w:t>
      </w:r>
      <w:r w:rsidRPr="00414FAB">
        <w:t xml:space="preserve"> months, had a relatively small sample size and wide confidence intervals</w:t>
      </w:r>
      <w:r>
        <w:t xml:space="preserve">. </w:t>
      </w:r>
      <w:r w:rsidRPr="0054787D">
        <w:t>For safety, the</w:t>
      </w:r>
      <w:r>
        <w:t>re were no significant differences between</w:t>
      </w:r>
      <w:r w:rsidRPr="0054787D">
        <w:t xml:space="preserve"> bupropion </w:t>
      </w:r>
      <w:r>
        <w:t>and placebo (</w:t>
      </w:r>
      <w:r w:rsidR="008260A0">
        <w:t>i.e.,</w:t>
      </w:r>
      <w:r>
        <w:t xml:space="preserve"> headache, irritability, insomnia),</w:t>
      </w:r>
      <w:r w:rsidRPr="0054787D">
        <w:t xml:space="preserve"> </w:t>
      </w:r>
      <w:r>
        <w:t xml:space="preserve">except for </w:t>
      </w:r>
      <w:r w:rsidRPr="0054787D">
        <w:t>dream disturbances</w:t>
      </w:r>
      <w:r>
        <w:t xml:space="preserve"> which was significantly higher in the bupropion arm</w:t>
      </w:r>
      <w:r w:rsidRPr="0054787D">
        <w:t>.</w:t>
      </w:r>
    </w:p>
    <w:p w14:paraId="18F21744" w14:textId="7B7AD5D0" w:rsidR="003C4A1C" w:rsidRDefault="00C324F3" w:rsidP="00AF4031">
      <w:pPr>
        <w:pStyle w:val="ListParagraph"/>
        <w:numPr>
          <w:ilvl w:val="0"/>
          <w:numId w:val="286"/>
        </w:numPr>
        <w:jc w:val="both"/>
      </w:pPr>
      <w:r>
        <w:t>There were no statistically significant differences between b</w:t>
      </w:r>
      <w:r w:rsidRPr="00996101">
        <w:t xml:space="preserve">upropion plus NRT patch </w:t>
      </w:r>
      <w:r>
        <w:t>and</w:t>
      </w:r>
      <w:r w:rsidRPr="00996101">
        <w:t xml:space="preserve"> placebo plus NRT patch in terms of efficacy</w:t>
      </w:r>
      <w:r>
        <w:t xml:space="preserve"> based on long-term smoking cessation rates</w:t>
      </w:r>
      <w:r w:rsidRPr="00996101">
        <w:t>. For safety, none of the 47 self-reported adverse events in the study (nausea being the most common) were classified as severe</w:t>
      </w:r>
      <w:r>
        <w:t>; no statistical comparison was conducted by the authors of the study</w:t>
      </w:r>
      <w:r w:rsidRPr="00996101">
        <w:t>.</w:t>
      </w:r>
    </w:p>
    <w:p w14:paraId="7339623E" w14:textId="3C1D252E" w:rsidR="00C324F3" w:rsidRDefault="003C4A1C" w:rsidP="003C4A1C">
      <w:pPr>
        <w:spacing w:line="276" w:lineRule="auto"/>
      </w:pPr>
      <w:r>
        <w:br w:type="page"/>
      </w:r>
    </w:p>
    <w:tbl>
      <w:tblPr>
        <w:tblStyle w:val="TableGrid3"/>
        <w:tblW w:w="5000" w:type="pct"/>
        <w:shd w:val="clear" w:color="auto" w:fill="F2F2F2" w:themeFill="background1" w:themeFillShade="F2"/>
        <w:tblLook w:val="04A0" w:firstRow="1" w:lastRow="0" w:firstColumn="1" w:lastColumn="0" w:noHBand="0" w:noVBand="1"/>
      </w:tblPr>
      <w:tblGrid>
        <w:gridCol w:w="1616"/>
        <w:gridCol w:w="2068"/>
        <w:gridCol w:w="5332"/>
      </w:tblGrid>
      <w:tr w:rsidR="00C324F3" w:rsidRPr="00916516" w14:paraId="04C5E520" w14:textId="77777777" w:rsidTr="00AF4031">
        <w:trPr>
          <w:trHeight w:val="67"/>
        </w:trPr>
        <w:tc>
          <w:tcPr>
            <w:tcW w:w="896" w:type="pct"/>
            <w:shd w:val="clear" w:color="auto" w:fill="F2F2F2" w:themeFill="background1" w:themeFillShade="F2"/>
            <w:hideMark/>
          </w:tcPr>
          <w:p w14:paraId="1A73500A" w14:textId="77777777" w:rsidR="00C324F3" w:rsidRPr="00916516" w:rsidRDefault="00C324F3" w:rsidP="00777459">
            <w:pPr>
              <w:shd w:val="clear" w:color="auto" w:fill="F2F2F2" w:themeFill="background1" w:themeFillShade="F2"/>
              <w:rPr>
                <w:szCs w:val="18"/>
              </w:rPr>
            </w:pPr>
            <w:r w:rsidRPr="00916516">
              <w:rPr>
                <w:b/>
                <w:bCs/>
                <w:szCs w:val="18"/>
              </w:rPr>
              <w:lastRenderedPageBreak/>
              <w:t>Compar</w:t>
            </w:r>
            <w:r>
              <w:rPr>
                <w:b/>
                <w:bCs/>
                <w:szCs w:val="18"/>
              </w:rPr>
              <w:t>ison</w:t>
            </w:r>
          </w:p>
        </w:tc>
        <w:tc>
          <w:tcPr>
            <w:tcW w:w="1147" w:type="pct"/>
            <w:shd w:val="clear" w:color="auto" w:fill="F2F2F2" w:themeFill="background1" w:themeFillShade="F2"/>
            <w:hideMark/>
          </w:tcPr>
          <w:p w14:paraId="54D25C49" w14:textId="77777777" w:rsidR="00C324F3" w:rsidRPr="00916516" w:rsidRDefault="00C324F3" w:rsidP="00777459">
            <w:pPr>
              <w:shd w:val="clear" w:color="auto" w:fill="F2F2F2" w:themeFill="background1" w:themeFillShade="F2"/>
              <w:jc w:val="center"/>
              <w:rPr>
                <w:szCs w:val="18"/>
              </w:rPr>
            </w:pPr>
            <w:r>
              <w:rPr>
                <w:b/>
                <w:bCs/>
                <w:szCs w:val="18"/>
              </w:rPr>
              <w:t>Included studies</w:t>
            </w:r>
          </w:p>
        </w:tc>
        <w:tc>
          <w:tcPr>
            <w:tcW w:w="2957" w:type="pct"/>
            <w:shd w:val="clear" w:color="auto" w:fill="F2F2F2" w:themeFill="background1" w:themeFillShade="F2"/>
            <w:hideMark/>
          </w:tcPr>
          <w:p w14:paraId="252B2F64" w14:textId="77777777" w:rsidR="00C324F3" w:rsidRPr="00916516" w:rsidRDefault="00C324F3" w:rsidP="00777459">
            <w:pPr>
              <w:shd w:val="clear" w:color="auto" w:fill="F2F2F2" w:themeFill="background1" w:themeFillShade="F2"/>
              <w:jc w:val="center"/>
              <w:rPr>
                <w:szCs w:val="18"/>
              </w:rPr>
            </w:pPr>
            <w:r>
              <w:rPr>
                <w:b/>
                <w:bCs/>
                <w:szCs w:val="18"/>
              </w:rPr>
              <w:t>Summary of evidence</w:t>
            </w:r>
          </w:p>
        </w:tc>
      </w:tr>
      <w:tr w:rsidR="00C324F3" w:rsidRPr="009068BC" w14:paraId="74521915" w14:textId="77777777" w:rsidTr="00AF4031">
        <w:trPr>
          <w:trHeight w:val="345"/>
        </w:trPr>
        <w:tc>
          <w:tcPr>
            <w:tcW w:w="896" w:type="pct"/>
            <w:shd w:val="clear" w:color="auto" w:fill="F2F2F2" w:themeFill="background1" w:themeFillShade="F2"/>
            <w:hideMark/>
          </w:tcPr>
          <w:p w14:paraId="36F3AF47" w14:textId="77777777" w:rsidR="00C324F3" w:rsidRPr="00237D04" w:rsidRDefault="00C324F3" w:rsidP="00777459">
            <w:pPr>
              <w:shd w:val="clear" w:color="auto" w:fill="F2F2F2" w:themeFill="background1" w:themeFillShade="F2"/>
              <w:tabs>
                <w:tab w:val="left" w:pos="1198"/>
              </w:tabs>
              <w:rPr>
                <w:szCs w:val="18"/>
              </w:rPr>
            </w:pPr>
            <w:r>
              <w:rPr>
                <w:szCs w:val="18"/>
              </w:rPr>
              <w:t>NRT</w:t>
            </w:r>
            <w:r w:rsidRPr="0008458D">
              <w:rPr>
                <w:szCs w:val="18"/>
                <w:vertAlign w:val="superscript"/>
              </w:rPr>
              <w:t>1</w:t>
            </w:r>
            <w:r>
              <w:rPr>
                <w:szCs w:val="18"/>
              </w:rPr>
              <w:t xml:space="preserve"> vs placebo</w:t>
            </w:r>
          </w:p>
        </w:tc>
        <w:tc>
          <w:tcPr>
            <w:tcW w:w="1147" w:type="pct"/>
            <w:shd w:val="clear" w:color="auto" w:fill="F2F2F2" w:themeFill="background1" w:themeFillShade="F2"/>
            <w:hideMark/>
          </w:tcPr>
          <w:p w14:paraId="3D98088A" w14:textId="77777777" w:rsidR="00C324F3" w:rsidRPr="006B31D6"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p w14:paraId="0C8C767E" w14:textId="77777777" w:rsidR="00C324F3" w:rsidRDefault="00C324F3" w:rsidP="00C324F3">
            <w:pPr>
              <w:pStyle w:val="ListParagraph"/>
              <w:numPr>
                <w:ilvl w:val="0"/>
                <w:numId w:val="318"/>
              </w:numPr>
              <w:shd w:val="clear" w:color="auto" w:fill="F2F2F2" w:themeFill="background1" w:themeFillShade="F2"/>
              <w:rPr>
                <w:szCs w:val="18"/>
              </w:rPr>
            </w:pPr>
            <w:r w:rsidRPr="006B31D6">
              <w:rPr>
                <w:szCs w:val="18"/>
              </w:rPr>
              <w:t>Myung (2019)</w:t>
            </w:r>
            <w:r>
              <w:rPr>
                <w:szCs w:val="18"/>
                <w:vertAlign w:val="superscript"/>
              </w:rPr>
              <w:t>3</w:t>
            </w:r>
          </w:p>
          <w:p w14:paraId="03AA89E2" w14:textId="77777777" w:rsidR="00C324F3" w:rsidRPr="006B31D6" w:rsidRDefault="00C324F3" w:rsidP="00C324F3">
            <w:pPr>
              <w:pStyle w:val="ListParagraph"/>
              <w:numPr>
                <w:ilvl w:val="0"/>
                <w:numId w:val="318"/>
              </w:numPr>
              <w:shd w:val="clear" w:color="auto" w:fill="F2F2F2" w:themeFill="background1" w:themeFillShade="F2"/>
              <w:rPr>
                <w:szCs w:val="18"/>
              </w:rPr>
            </w:pPr>
            <w:r w:rsidRPr="006B31D6">
              <w:rPr>
                <w:szCs w:val="18"/>
              </w:rPr>
              <w:t>Selph (2020)</w:t>
            </w:r>
            <w:r>
              <w:rPr>
                <w:szCs w:val="18"/>
                <w:vertAlign w:val="superscript"/>
              </w:rPr>
              <w:t>3</w:t>
            </w:r>
          </w:p>
        </w:tc>
        <w:tc>
          <w:tcPr>
            <w:tcW w:w="2957" w:type="pct"/>
            <w:shd w:val="clear" w:color="auto" w:fill="F2F2F2" w:themeFill="background1" w:themeFillShade="F2"/>
            <w:hideMark/>
          </w:tcPr>
          <w:p w14:paraId="407848DE" w14:textId="77777777"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4</w:t>
            </w:r>
            <w:r>
              <w:rPr>
                <w:szCs w:val="18"/>
              </w:rPr>
              <w:t xml:space="preserve"> based on RR. </w:t>
            </w:r>
          </w:p>
          <w:p w14:paraId="6190351A" w14:textId="02DE92E9"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Statistically significant</w:t>
            </w:r>
            <w:r>
              <w:rPr>
                <w:szCs w:val="18"/>
              </w:rPr>
              <w:t xml:space="preserve"> </w:t>
            </w:r>
            <w:r w:rsidRPr="001213A4">
              <w:rPr>
                <w:szCs w:val="18"/>
              </w:rPr>
              <w:t>(</w:t>
            </w:r>
            <w:r w:rsidRPr="001213A4">
              <w:rPr>
                <w:szCs w:val="18"/>
                <w:lang w:val="en-US"/>
              </w:rPr>
              <w:t>sore th</w:t>
            </w:r>
            <w:r>
              <w:rPr>
                <w:szCs w:val="18"/>
                <w:lang w:val="en-US"/>
              </w:rPr>
              <w:t>roat, hiccups, erythema, pruritu</w:t>
            </w:r>
            <w:r w:rsidRPr="001213A4">
              <w:rPr>
                <w:szCs w:val="18"/>
                <w:lang w:val="en-US"/>
              </w:rPr>
              <w:t xml:space="preserve">s, shoulder/arm pain, headache, cough, abnormal </w:t>
            </w:r>
            <w:r w:rsidR="008260A0" w:rsidRPr="001213A4">
              <w:rPr>
                <w:szCs w:val="18"/>
                <w:lang w:val="en-US"/>
              </w:rPr>
              <w:t>dreams,</w:t>
            </w:r>
            <w:r w:rsidRPr="001213A4">
              <w:rPr>
                <w:szCs w:val="18"/>
                <w:lang w:val="en-US"/>
              </w:rPr>
              <w:t xml:space="preserve"> and muscle pain; higher in NRT</w:t>
            </w:r>
            <w:r w:rsidRPr="001213A4">
              <w:rPr>
                <w:szCs w:val="18"/>
              </w:rPr>
              <w:t>)</w:t>
            </w:r>
            <w:r>
              <w:rPr>
                <w:szCs w:val="18"/>
                <w:vertAlign w:val="superscript"/>
              </w:rPr>
              <w:t>5</w:t>
            </w:r>
            <w:r>
              <w:rPr>
                <w:szCs w:val="18"/>
              </w:rPr>
              <w:t>.</w:t>
            </w:r>
          </w:p>
        </w:tc>
      </w:tr>
      <w:tr w:rsidR="00C324F3" w:rsidRPr="009068BC" w14:paraId="5DEB92D9" w14:textId="77777777" w:rsidTr="00AF4031">
        <w:trPr>
          <w:trHeight w:val="345"/>
        </w:trPr>
        <w:tc>
          <w:tcPr>
            <w:tcW w:w="896" w:type="pct"/>
            <w:shd w:val="clear" w:color="auto" w:fill="F2F2F2" w:themeFill="background1" w:themeFillShade="F2"/>
          </w:tcPr>
          <w:p w14:paraId="0C993763" w14:textId="77777777" w:rsidR="00C324F3" w:rsidRPr="00237D04" w:rsidRDefault="00C324F3" w:rsidP="00777459">
            <w:pPr>
              <w:shd w:val="clear" w:color="auto" w:fill="F2F2F2" w:themeFill="background1" w:themeFillShade="F2"/>
              <w:tabs>
                <w:tab w:val="left" w:pos="1198"/>
              </w:tabs>
              <w:rPr>
                <w:szCs w:val="18"/>
              </w:rPr>
            </w:pPr>
            <w:r>
              <w:rPr>
                <w:szCs w:val="18"/>
              </w:rPr>
              <w:t>Bupropion vs placebo</w:t>
            </w:r>
          </w:p>
        </w:tc>
        <w:tc>
          <w:tcPr>
            <w:tcW w:w="1147" w:type="pct"/>
            <w:shd w:val="clear" w:color="auto" w:fill="F2F2F2" w:themeFill="background1" w:themeFillShade="F2"/>
          </w:tcPr>
          <w:p w14:paraId="6CEE9512" w14:textId="77777777" w:rsidR="00C324F3" w:rsidRPr="00253376"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p w14:paraId="17D9D804" w14:textId="77777777" w:rsidR="00C324F3" w:rsidRDefault="00C324F3" w:rsidP="00C324F3">
            <w:pPr>
              <w:pStyle w:val="ListParagraph"/>
              <w:numPr>
                <w:ilvl w:val="0"/>
                <w:numId w:val="318"/>
              </w:numPr>
              <w:shd w:val="clear" w:color="auto" w:fill="F2F2F2" w:themeFill="background1" w:themeFillShade="F2"/>
              <w:rPr>
                <w:szCs w:val="18"/>
              </w:rPr>
            </w:pPr>
            <w:r w:rsidRPr="006B31D6">
              <w:rPr>
                <w:szCs w:val="18"/>
              </w:rPr>
              <w:t>Myung (2019)</w:t>
            </w:r>
            <w:r>
              <w:rPr>
                <w:szCs w:val="18"/>
                <w:vertAlign w:val="superscript"/>
              </w:rPr>
              <w:t>3</w:t>
            </w:r>
          </w:p>
          <w:p w14:paraId="1B40CA54" w14:textId="77777777" w:rsidR="00C324F3" w:rsidRPr="00614418" w:rsidRDefault="00C324F3" w:rsidP="00C324F3">
            <w:pPr>
              <w:pStyle w:val="ListParagraph"/>
              <w:numPr>
                <w:ilvl w:val="0"/>
                <w:numId w:val="318"/>
              </w:numPr>
              <w:shd w:val="clear" w:color="auto" w:fill="F2F2F2" w:themeFill="background1" w:themeFillShade="F2"/>
              <w:rPr>
                <w:szCs w:val="18"/>
              </w:rPr>
            </w:pPr>
            <w:r w:rsidRPr="006B31D6">
              <w:rPr>
                <w:szCs w:val="18"/>
              </w:rPr>
              <w:t>Selph (2020)</w:t>
            </w:r>
            <w:r>
              <w:rPr>
                <w:szCs w:val="18"/>
                <w:vertAlign w:val="superscript"/>
              </w:rPr>
              <w:t>3</w:t>
            </w:r>
          </w:p>
        </w:tc>
        <w:tc>
          <w:tcPr>
            <w:tcW w:w="2957" w:type="pct"/>
            <w:shd w:val="clear" w:color="auto" w:fill="F2F2F2" w:themeFill="background1" w:themeFillShade="F2"/>
          </w:tcPr>
          <w:p w14:paraId="1F9EA6D3" w14:textId="77777777"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vertAlign w:val="superscript"/>
              </w:rPr>
              <w:t>6</w:t>
            </w:r>
            <w:r>
              <w:rPr>
                <w:szCs w:val="18"/>
              </w:rPr>
              <w:t xml:space="preserve"> based on RR. </w:t>
            </w:r>
          </w:p>
          <w:p w14:paraId="2472A9DF" w14:textId="77777777" w:rsidR="00C324F3" w:rsidRPr="001213A4" w:rsidRDefault="00C324F3" w:rsidP="00C324F3">
            <w:pPr>
              <w:pStyle w:val="ListParagraph"/>
              <w:numPr>
                <w:ilvl w:val="0"/>
                <w:numId w:val="318"/>
              </w:numPr>
              <w:shd w:val="clear" w:color="auto" w:fill="F2F2F2" w:themeFill="background1" w:themeFillShade="F2"/>
              <w:rPr>
                <w:szCs w:val="18"/>
              </w:rPr>
            </w:pPr>
            <w:r w:rsidRPr="00A867C4">
              <w:rPr>
                <w:szCs w:val="18"/>
                <w:u w:val="single"/>
              </w:rPr>
              <w:t>Safety:</w:t>
            </w:r>
            <w:r w:rsidRPr="002A2981">
              <w:rPr>
                <w:szCs w:val="18"/>
              </w:rPr>
              <w:t xml:space="preserve"> </w:t>
            </w:r>
            <w:r w:rsidRPr="00382159">
              <w:rPr>
                <w:szCs w:val="18"/>
              </w:rPr>
              <w:t xml:space="preserve">Statistically significant </w:t>
            </w:r>
            <w:r w:rsidRPr="00A867C4">
              <w:rPr>
                <w:szCs w:val="18"/>
              </w:rPr>
              <w:t>(</w:t>
            </w:r>
            <w:r w:rsidRPr="002A2981">
              <w:rPr>
                <w:szCs w:val="18"/>
                <w:lang w:val="en-US"/>
              </w:rPr>
              <w:t xml:space="preserve">dream </w:t>
            </w:r>
            <w:r w:rsidRPr="00382159">
              <w:rPr>
                <w:szCs w:val="18"/>
                <w:lang w:val="en-US"/>
              </w:rPr>
              <w:t>disturbances; higher in bupropion);</w:t>
            </w:r>
            <w:r>
              <w:rPr>
                <w:szCs w:val="18"/>
              </w:rPr>
              <w:t xml:space="preserve"> </w:t>
            </w:r>
            <w:r w:rsidRPr="00A867C4">
              <w:rPr>
                <w:szCs w:val="18"/>
              </w:rPr>
              <w:t>Not statistically significant</w:t>
            </w:r>
            <w:r>
              <w:rPr>
                <w:szCs w:val="18"/>
              </w:rPr>
              <w:t xml:space="preserve"> </w:t>
            </w:r>
            <w:r w:rsidRPr="001213A4">
              <w:rPr>
                <w:szCs w:val="18"/>
              </w:rPr>
              <w:t>(headache, irritability, insomnia)</w:t>
            </w:r>
            <w:r>
              <w:rPr>
                <w:szCs w:val="18"/>
                <w:vertAlign w:val="superscript"/>
              </w:rPr>
              <w:t>5</w:t>
            </w:r>
            <w:r>
              <w:rPr>
                <w:szCs w:val="18"/>
              </w:rPr>
              <w:t>.</w:t>
            </w:r>
          </w:p>
        </w:tc>
      </w:tr>
      <w:tr w:rsidR="00C324F3" w:rsidRPr="009068BC" w14:paraId="5ACE0F8C" w14:textId="77777777" w:rsidTr="00AF4031">
        <w:trPr>
          <w:trHeight w:val="345"/>
        </w:trPr>
        <w:tc>
          <w:tcPr>
            <w:tcW w:w="896" w:type="pct"/>
            <w:shd w:val="clear" w:color="auto" w:fill="F2F2F2" w:themeFill="background1" w:themeFillShade="F2"/>
          </w:tcPr>
          <w:p w14:paraId="316D6992" w14:textId="77777777" w:rsidR="00C324F3" w:rsidRPr="00237D04" w:rsidRDefault="00C324F3" w:rsidP="00777459">
            <w:pPr>
              <w:shd w:val="clear" w:color="auto" w:fill="F2F2F2" w:themeFill="background1" w:themeFillShade="F2"/>
              <w:tabs>
                <w:tab w:val="left" w:pos="1198"/>
              </w:tabs>
              <w:rPr>
                <w:szCs w:val="18"/>
              </w:rPr>
            </w:pPr>
            <w:r>
              <w:rPr>
                <w:szCs w:val="18"/>
              </w:rPr>
              <w:t>Bupropion+ NRT patch vs placebo + NRT patch</w:t>
            </w:r>
          </w:p>
        </w:tc>
        <w:tc>
          <w:tcPr>
            <w:tcW w:w="1147" w:type="pct"/>
            <w:shd w:val="clear" w:color="auto" w:fill="F2F2F2" w:themeFill="background1" w:themeFillShade="F2"/>
          </w:tcPr>
          <w:p w14:paraId="4D77DE9B" w14:textId="77777777" w:rsidR="00C324F3" w:rsidRPr="00614418" w:rsidRDefault="00C324F3" w:rsidP="00C324F3">
            <w:pPr>
              <w:pStyle w:val="ListParagraph"/>
              <w:numPr>
                <w:ilvl w:val="0"/>
                <w:numId w:val="318"/>
              </w:numPr>
              <w:shd w:val="clear" w:color="auto" w:fill="F2F2F2" w:themeFill="background1" w:themeFillShade="F2"/>
              <w:rPr>
                <w:szCs w:val="18"/>
              </w:rPr>
            </w:pPr>
            <w:r w:rsidRPr="0008458D">
              <w:rPr>
                <w:szCs w:val="18"/>
              </w:rPr>
              <w:t>Fanshawe (2017)</w:t>
            </w:r>
            <w:r>
              <w:rPr>
                <w:szCs w:val="18"/>
                <w:vertAlign w:val="superscript"/>
              </w:rPr>
              <w:t>2</w:t>
            </w:r>
          </w:p>
        </w:tc>
        <w:tc>
          <w:tcPr>
            <w:tcW w:w="2957" w:type="pct"/>
            <w:shd w:val="clear" w:color="auto" w:fill="F2F2F2" w:themeFill="background1" w:themeFillShade="F2"/>
          </w:tcPr>
          <w:p w14:paraId="0AA3AE9D" w14:textId="77777777"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Efficacy</w:t>
            </w:r>
            <w:r w:rsidRPr="00360862">
              <w:rPr>
                <w:szCs w:val="18"/>
              </w:rPr>
              <w:t xml:space="preserve">: </w:t>
            </w:r>
            <w:r w:rsidRPr="001213A4">
              <w:rPr>
                <w:szCs w:val="18"/>
              </w:rPr>
              <w:t>Not statistically significant</w:t>
            </w:r>
            <w:r>
              <w:rPr>
                <w:szCs w:val="18"/>
              </w:rPr>
              <w:t xml:space="preserve"> based on RR.</w:t>
            </w:r>
          </w:p>
          <w:p w14:paraId="446E6965" w14:textId="77777777" w:rsidR="00C324F3" w:rsidRPr="001213A4" w:rsidRDefault="00C324F3" w:rsidP="00C324F3">
            <w:pPr>
              <w:pStyle w:val="ListParagraph"/>
              <w:numPr>
                <w:ilvl w:val="0"/>
                <w:numId w:val="318"/>
              </w:numPr>
              <w:shd w:val="clear" w:color="auto" w:fill="F2F2F2" w:themeFill="background1" w:themeFillShade="F2"/>
              <w:rPr>
                <w:szCs w:val="18"/>
              </w:rPr>
            </w:pPr>
            <w:r w:rsidRPr="00360862">
              <w:rPr>
                <w:szCs w:val="18"/>
                <w:u w:val="single"/>
              </w:rPr>
              <w:t>Safety:</w:t>
            </w:r>
            <w:r w:rsidRPr="00360862">
              <w:rPr>
                <w:szCs w:val="18"/>
              </w:rPr>
              <w:t xml:space="preserve"> </w:t>
            </w:r>
            <w:r w:rsidRPr="001213A4">
              <w:rPr>
                <w:szCs w:val="18"/>
              </w:rPr>
              <w:t>No statistical comparison was conducted by the authors</w:t>
            </w:r>
            <w:r>
              <w:rPr>
                <w:szCs w:val="18"/>
              </w:rPr>
              <w:t xml:space="preserve">. </w:t>
            </w:r>
          </w:p>
        </w:tc>
      </w:tr>
    </w:tbl>
    <w:p w14:paraId="2E374F1E" w14:textId="77777777" w:rsidR="00C324F3" w:rsidRDefault="00C324F3" w:rsidP="00AF4031">
      <w:pPr>
        <w:pStyle w:val="TableFooter"/>
        <w:keepNext/>
        <w:jc w:val="both"/>
      </w:pPr>
      <w:r>
        <w:t>Abbreviations: NRT = nicotine replacement therapy; RR = risk ratio.</w:t>
      </w:r>
    </w:p>
    <w:p w14:paraId="1AE302E6" w14:textId="77777777" w:rsidR="00C324F3" w:rsidRDefault="00C324F3" w:rsidP="00AF4031">
      <w:pPr>
        <w:pStyle w:val="TableFooter"/>
        <w:keepNext/>
        <w:jc w:val="both"/>
      </w:pPr>
      <w:r w:rsidRPr="00BE36E8">
        <w:t xml:space="preserve">Notes: </w:t>
      </w:r>
    </w:p>
    <w:p w14:paraId="11F2F298" w14:textId="2CCFDC33" w:rsidR="00C324F3" w:rsidRPr="00C85BD4" w:rsidRDefault="00C324F3" w:rsidP="00AF4031">
      <w:pPr>
        <w:pStyle w:val="TableFooter"/>
        <w:keepNext/>
        <w:jc w:val="both"/>
      </w:pPr>
      <w:r>
        <w:t xml:space="preserve">1 </w:t>
      </w:r>
      <w:r w:rsidRPr="00C85BD4">
        <w:t xml:space="preserve">NRT administered either as patch, </w:t>
      </w:r>
      <w:r w:rsidR="008260A0" w:rsidRPr="00C85BD4">
        <w:t>gum,</w:t>
      </w:r>
      <w:r w:rsidRPr="00C85BD4">
        <w:t xml:space="preserve"> or nasal spray.</w:t>
      </w:r>
    </w:p>
    <w:p w14:paraId="30517E2C" w14:textId="77777777" w:rsidR="00C324F3" w:rsidRDefault="00C324F3" w:rsidP="00AF4031">
      <w:pPr>
        <w:pStyle w:val="TableFooter"/>
        <w:keepNext/>
        <w:jc w:val="both"/>
      </w:pPr>
      <w:r>
        <w:t xml:space="preserve">2 Cochrane Review. </w:t>
      </w:r>
    </w:p>
    <w:p w14:paraId="4162265E" w14:textId="77777777" w:rsidR="00C324F3" w:rsidRDefault="00C324F3" w:rsidP="00AF4031">
      <w:pPr>
        <w:pStyle w:val="TableFooter"/>
        <w:keepNext/>
        <w:jc w:val="both"/>
      </w:pPr>
      <w:r>
        <w:t xml:space="preserve">3 Non-Cochrane systematic review. </w:t>
      </w:r>
    </w:p>
    <w:p w14:paraId="6D66A974" w14:textId="77777777" w:rsidR="00C324F3" w:rsidRPr="00C85BD4" w:rsidRDefault="00C324F3" w:rsidP="00AF4031">
      <w:pPr>
        <w:pStyle w:val="TableFooter"/>
        <w:keepNext/>
        <w:jc w:val="both"/>
      </w:pPr>
      <w:r>
        <w:t xml:space="preserve">4 </w:t>
      </w:r>
      <w:r w:rsidRPr="00C85BD4">
        <w:t xml:space="preserve">Based on short-term and long-term smoking cessation rates. </w:t>
      </w:r>
    </w:p>
    <w:p w14:paraId="167FC805" w14:textId="77777777" w:rsidR="00C324F3" w:rsidRDefault="00C324F3" w:rsidP="00AF4031">
      <w:pPr>
        <w:pStyle w:val="TableFooter"/>
        <w:keepNext/>
        <w:jc w:val="both"/>
      </w:pPr>
      <w:r>
        <w:t>5 Qualitative synthesis.</w:t>
      </w:r>
    </w:p>
    <w:p w14:paraId="3F292B7A" w14:textId="77777777" w:rsidR="00C324F3" w:rsidRPr="004A0622" w:rsidRDefault="00C324F3" w:rsidP="00AF4031">
      <w:pPr>
        <w:pStyle w:val="TableFooter"/>
        <w:keepNext/>
        <w:spacing w:after="120"/>
        <w:contextualSpacing w:val="0"/>
        <w:jc w:val="both"/>
      </w:pPr>
      <w:r>
        <w:t xml:space="preserve">6 </w:t>
      </w:r>
      <w:r w:rsidRPr="00C85BD4">
        <w:t>Based on long-term smoking cessation rates. In Myung et al. (2019), the results were statistically significant based on a meta-analysis which included two additional studies, noting these studies measured smoking cessation outcomes at three months, had a relatively small sample size and wide confidence intervals.</w:t>
      </w:r>
    </w:p>
    <w:p w14:paraId="2975C1FC" w14:textId="77777777" w:rsidR="00C324F3" w:rsidRPr="004960F6" w:rsidRDefault="00C324F3" w:rsidP="00AF4031">
      <w:pPr>
        <w:pStyle w:val="Heading3"/>
        <w:spacing w:before="0" w:after="120"/>
        <w:jc w:val="both"/>
      </w:pPr>
      <w:bookmarkStart w:id="20" w:name="_Toc69976544"/>
      <w:bookmarkStart w:id="21" w:name="_Toc115254505"/>
      <w:r>
        <w:t>Stakeholder views (Forum and public consultations</w:t>
      </w:r>
      <w:r w:rsidRPr="000711C1">
        <w:t>)</w:t>
      </w:r>
      <w:bookmarkEnd w:id="20"/>
      <w:bookmarkEnd w:id="21"/>
    </w:p>
    <w:p w14:paraId="259FB225" w14:textId="77777777" w:rsidR="00C324F3" w:rsidRDefault="00C324F3" w:rsidP="00AF4031">
      <w:pPr>
        <w:spacing w:after="120"/>
        <w:jc w:val="both"/>
      </w:pPr>
      <w:r w:rsidRPr="00E06C2B">
        <w:t>Clinicians indicated that they rout</w:t>
      </w:r>
      <w:r>
        <w:t xml:space="preserve">inely prescribe combination NRT. </w:t>
      </w:r>
    </w:p>
    <w:p w14:paraId="7A8207DC" w14:textId="77777777" w:rsidR="00C324F3" w:rsidRPr="00E06C2B" w:rsidRDefault="00C324F3" w:rsidP="00AF4031">
      <w:pPr>
        <w:spacing w:after="120"/>
        <w:jc w:val="both"/>
      </w:pPr>
      <w:r w:rsidRPr="00E06C2B">
        <w:t xml:space="preserve">Stakeholders considered that the effectiveness of PBS-listed smoking cessation medicines could be improved by allowing: </w:t>
      </w:r>
    </w:p>
    <w:p w14:paraId="69747BA1" w14:textId="77777777" w:rsidR="00C324F3" w:rsidRPr="00E06C2B" w:rsidRDefault="00C324F3" w:rsidP="00AF4031">
      <w:pPr>
        <w:numPr>
          <w:ilvl w:val="0"/>
          <w:numId w:val="286"/>
        </w:numPr>
        <w:spacing w:after="0"/>
        <w:ind w:left="357" w:hanging="357"/>
        <w:jc w:val="both"/>
      </w:pPr>
      <w:r w:rsidRPr="00E06C2B">
        <w:t>Combination therapy</w:t>
      </w:r>
      <w:r>
        <w:t>;</w:t>
      </w:r>
      <w:r w:rsidRPr="00E06C2B">
        <w:t xml:space="preserve"> </w:t>
      </w:r>
    </w:p>
    <w:p w14:paraId="34B7C14E" w14:textId="73BA8AA4" w:rsidR="00C324F3" w:rsidRPr="00E06C2B" w:rsidRDefault="00C324F3" w:rsidP="00AF4031">
      <w:pPr>
        <w:numPr>
          <w:ilvl w:val="0"/>
          <w:numId w:val="286"/>
        </w:numPr>
        <w:spacing w:after="0"/>
        <w:ind w:left="357" w:hanging="357"/>
        <w:jc w:val="both"/>
      </w:pPr>
      <w:r w:rsidRPr="00E06C2B">
        <w:t>Longer durations of NRT</w:t>
      </w:r>
      <w:r>
        <w:t>;</w:t>
      </w:r>
    </w:p>
    <w:p w14:paraId="087FA3CF" w14:textId="77777777" w:rsidR="00C324F3" w:rsidRPr="00E06C2B" w:rsidRDefault="00C324F3" w:rsidP="00AF4031">
      <w:pPr>
        <w:numPr>
          <w:ilvl w:val="0"/>
          <w:numId w:val="286"/>
        </w:numPr>
        <w:spacing w:after="0"/>
        <w:ind w:left="357" w:hanging="357"/>
        <w:jc w:val="both"/>
      </w:pPr>
      <w:r w:rsidRPr="00E06C2B">
        <w:t>Multiple courses per year</w:t>
      </w:r>
      <w:r>
        <w:t>; and</w:t>
      </w:r>
    </w:p>
    <w:p w14:paraId="23BBE0D7" w14:textId="77777777" w:rsidR="00C324F3" w:rsidRPr="00E06C2B" w:rsidRDefault="00C324F3" w:rsidP="00AF4031">
      <w:pPr>
        <w:numPr>
          <w:ilvl w:val="0"/>
          <w:numId w:val="286"/>
        </w:numPr>
        <w:spacing w:after="120"/>
        <w:ind w:left="357" w:hanging="357"/>
        <w:jc w:val="both"/>
      </w:pPr>
      <w:r w:rsidRPr="00E06C2B">
        <w:t>Higher doses (increased quantities) of NRT.</w:t>
      </w:r>
    </w:p>
    <w:p w14:paraId="79AD6B1F" w14:textId="2A1FD178" w:rsidR="00C324F3" w:rsidRPr="00E06C2B" w:rsidRDefault="00C324F3" w:rsidP="00AF4031">
      <w:pPr>
        <w:spacing w:after="120"/>
        <w:jc w:val="both"/>
      </w:pPr>
      <w:r w:rsidRPr="00E06C2B">
        <w:t xml:space="preserve">Stakeholders also considered that </w:t>
      </w:r>
      <w:r w:rsidR="00AF4031">
        <w:t>s</w:t>
      </w:r>
      <w:r w:rsidRPr="00E06C2B">
        <w:t>moking cessation medicines combined with behavioural intervention is the most effective way to quit.</w:t>
      </w:r>
    </w:p>
    <w:p w14:paraId="0CF38E5C" w14:textId="36D3B13D" w:rsidR="00C324F3" w:rsidRPr="00E06C2B" w:rsidRDefault="00C324F3" w:rsidP="00AF4031">
      <w:pPr>
        <w:spacing w:after="120"/>
        <w:jc w:val="both"/>
      </w:pPr>
      <w:r w:rsidRPr="00E06C2B">
        <w:t xml:space="preserve">Stakeholders identified common causes of </w:t>
      </w:r>
      <w:r w:rsidR="000E1409">
        <w:t>unsuccessful quit attempts</w:t>
      </w:r>
      <w:r w:rsidRPr="00E06C2B">
        <w:t xml:space="preserve"> as:</w:t>
      </w:r>
    </w:p>
    <w:p w14:paraId="76A909E7" w14:textId="77777777" w:rsidR="00C324F3" w:rsidRPr="00E06C2B" w:rsidRDefault="00C324F3" w:rsidP="00AF4031">
      <w:pPr>
        <w:numPr>
          <w:ilvl w:val="0"/>
          <w:numId w:val="286"/>
        </w:numPr>
        <w:spacing w:after="0"/>
        <w:ind w:left="357" w:hanging="357"/>
        <w:jc w:val="both"/>
      </w:pPr>
      <w:r w:rsidRPr="00E06C2B">
        <w:t>under dosing (dose and/or duration) of NRT</w:t>
      </w:r>
    </w:p>
    <w:p w14:paraId="4DEDE2BF" w14:textId="06C8BDC6" w:rsidR="00C324F3" w:rsidRPr="00E06C2B" w:rsidRDefault="00C324F3" w:rsidP="00AF4031">
      <w:pPr>
        <w:numPr>
          <w:ilvl w:val="0"/>
          <w:numId w:val="286"/>
        </w:numPr>
        <w:spacing w:after="0"/>
        <w:ind w:left="357" w:hanging="357"/>
        <w:jc w:val="both"/>
      </w:pPr>
      <w:r w:rsidRPr="00E06C2B">
        <w:t xml:space="preserve">insufficient management, </w:t>
      </w:r>
      <w:r w:rsidR="008260A0" w:rsidRPr="00E06C2B">
        <w:t>follow-up,</w:t>
      </w:r>
      <w:r w:rsidRPr="00E06C2B">
        <w:t xml:space="preserve"> and support</w:t>
      </w:r>
    </w:p>
    <w:p w14:paraId="3A208EBB" w14:textId="77777777" w:rsidR="00C324F3" w:rsidRPr="00E06C2B" w:rsidRDefault="00C324F3" w:rsidP="00AF4031">
      <w:pPr>
        <w:numPr>
          <w:ilvl w:val="0"/>
          <w:numId w:val="286"/>
        </w:numPr>
        <w:spacing w:after="120"/>
        <w:ind w:left="357" w:hanging="357"/>
        <w:jc w:val="both"/>
      </w:pPr>
      <w:r w:rsidRPr="00E06C2B">
        <w:t>access issues, especially for people in rural and remote areas</w:t>
      </w:r>
    </w:p>
    <w:p w14:paraId="0E107181" w14:textId="77777777" w:rsidR="00C324F3" w:rsidRPr="00E06C2B" w:rsidRDefault="00C324F3" w:rsidP="00AF4031">
      <w:pPr>
        <w:spacing w:after="120"/>
        <w:jc w:val="both"/>
      </w:pPr>
      <w:r w:rsidRPr="00E06C2B">
        <w:t>Stakeholders noted several issues with study populations, including:</w:t>
      </w:r>
    </w:p>
    <w:p w14:paraId="27DF25FA" w14:textId="77777777" w:rsidR="00C324F3" w:rsidRPr="00E06C2B" w:rsidRDefault="00C324F3" w:rsidP="00AF4031">
      <w:pPr>
        <w:numPr>
          <w:ilvl w:val="0"/>
          <w:numId w:val="286"/>
        </w:numPr>
        <w:spacing w:after="0"/>
        <w:ind w:left="357" w:hanging="357"/>
        <w:jc w:val="both"/>
      </w:pPr>
      <w:r w:rsidRPr="00E06C2B">
        <w:t xml:space="preserve">Priority populations (such as people with mental illness and pregnant women) are usually excluded from studies, which may bias results in favour of the smoking cessation medicine. </w:t>
      </w:r>
    </w:p>
    <w:p w14:paraId="36C09F91" w14:textId="77777777" w:rsidR="00C324F3" w:rsidRPr="00E06C2B" w:rsidRDefault="00C324F3" w:rsidP="00AF4031">
      <w:pPr>
        <w:numPr>
          <w:ilvl w:val="0"/>
          <w:numId w:val="286"/>
        </w:numPr>
        <w:spacing w:after="0"/>
        <w:ind w:left="357" w:hanging="357"/>
        <w:jc w:val="both"/>
      </w:pPr>
      <w:r w:rsidRPr="00E06C2B">
        <w:t xml:space="preserve">Study participants may not represent the broader community of smokers in terms of health literacy and willingness to engage in treatment, and the monitoring and follow-up built into the trial may serve as motivation. </w:t>
      </w:r>
    </w:p>
    <w:p w14:paraId="16B65CEA" w14:textId="77777777" w:rsidR="00C324F3" w:rsidRDefault="00C324F3" w:rsidP="00AF4031">
      <w:pPr>
        <w:numPr>
          <w:ilvl w:val="0"/>
          <w:numId w:val="286"/>
        </w:numPr>
        <w:spacing w:after="0"/>
        <w:ind w:left="357" w:hanging="357"/>
        <w:jc w:val="both"/>
      </w:pPr>
      <w:r w:rsidRPr="00E06C2B">
        <w:t>Health benefits are not usually a primary or secondary outcome that is measured in clinical studies, and studies focus on quit attempts.</w:t>
      </w:r>
    </w:p>
    <w:p w14:paraId="26766320" w14:textId="4F8C3AC3" w:rsidR="00177E6E" w:rsidRPr="00AF4031" w:rsidRDefault="00C324F3" w:rsidP="00AF4031">
      <w:pPr>
        <w:numPr>
          <w:ilvl w:val="0"/>
          <w:numId w:val="286"/>
        </w:numPr>
        <w:spacing w:after="240"/>
        <w:ind w:left="357" w:hanging="357"/>
        <w:jc w:val="both"/>
        <w:rPr>
          <w:i/>
        </w:rPr>
      </w:pPr>
      <w:r w:rsidRPr="00E06C2B">
        <w:lastRenderedPageBreak/>
        <w:t xml:space="preserve">The time frame for </w:t>
      </w:r>
      <w:r>
        <w:t xml:space="preserve">study </w:t>
      </w:r>
      <w:r w:rsidRPr="00E06C2B">
        <w:t xml:space="preserve">follow-up does not allow long-term monitoring of abstinence or subsequent relapse </w:t>
      </w:r>
      <w:r w:rsidR="008260A0" w:rsidRPr="00E06C2B">
        <w:t>treatment and</w:t>
      </w:r>
      <w:r w:rsidRPr="00E06C2B">
        <w:t xml:space="preserve"> does not allow long-term health benefits (such as cardiovascular benefits) to be captured.</w:t>
      </w:r>
    </w:p>
    <w:p w14:paraId="0ED56500" w14:textId="30269221" w:rsidR="00672269" w:rsidRDefault="00021ACB" w:rsidP="00AF4031">
      <w:pPr>
        <w:pStyle w:val="Heading2"/>
        <w:spacing w:after="120"/>
        <w:jc w:val="both"/>
        <w:rPr>
          <w:rFonts w:asciiTheme="minorHAnsi" w:hAnsiTheme="minorHAnsi"/>
          <w:szCs w:val="32"/>
        </w:rPr>
      </w:pPr>
      <w:bookmarkStart w:id="22" w:name="_Toc115254506"/>
      <w:bookmarkEnd w:id="9"/>
      <w:r>
        <w:rPr>
          <w:rFonts w:asciiTheme="minorHAnsi" w:hAnsiTheme="minorHAnsi"/>
          <w:szCs w:val="32"/>
        </w:rPr>
        <w:t xml:space="preserve">Methodology and identification of relevant </w:t>
      </w:r>
      <w:r w:rsidR="00AE7D4B">
        <w:rPr>
          <w:rFonts w:asciiTheme="minorHAnsi" w:hAnsiTheme="minorHAnsi"/>
          <w:szCs w:val="32"/>
        </w:rPr>
        <w:t>studies</w:t>
      </w:r>
      <w:bookmarkEnd w:id="22"/>
    </w:p>
    <w:p w14:paraId="69307F7D" w14:textId="30367A7B" w:rsidR="00216527" w:rsidRDefault="00672269" w:rsidP="008411C6">
      <w:pPr>
        <w:spacing w:after="120"/>
        <w:jc w:val="both"/>
      </w:pPr>
      <w:r>
        <w:t>This section outlines the methodology that underpinned the evidence review undertaken to address ToR</w:t>
      </w:r>
      <w:r w:rsidR="00AF4031">
        <w:t xml:space="preserve"> </w:t>
      </w:r>
      <w:r>
        <w:t xml:space="preserve">3. </w:t>
      </w:r>
      <w:r w:rsidR="00600FD8">
        <w:t>N</w:t>
      </w:r>
      <w:r>
        <w:t xml:space="preserve">ewer studies that add to the existing evidence base are discussed in light of findings previously submitted to the PBAC, with consideration of whether the newer evidence </w:t>
      </w:r>
      <w:r w:rsidR="00B836E1">
        <w:t>aligns with evidence</w:t>
      </w:r>
      <w:r w:rsidR="00850E36">
        <w:t xml:space="preserve"> previously considered by the </w:t>
      </w:r>
      <w:r>
        <w:t>PBAC.</w:t>
      </w:r>
    </w:p>
    <w:p w14:paraId="6E4FEA72" w14:textId="350590B5" w:rsidR="000B3509" w:rsidRDefault="004A4666" w:rsidP="008411C6">
      <w:pPr>
        <w:spacing w:after="120"/>
        <w:jc w:val="both"/>
      </w:pPr>
      <w:r>
        <w:t xml:space="preserve">The </w:t>
      </w:r>
      <w:r w:rsidR="00DC6B1C">
        <w:t>research questions</w:t>
      </w:r>
      <w:r w:rsidR="002E4A5F">
        <w:t xml:space="preserve"> for ToR</w:t>
      </w:r>
      <w:r w:rsidR="00AF4031">
        <w:t xml:space="preserve"> </w:t>
      </w:r>
      <w:r w:rsidR="002E4A5F">
        <w:t>3 and the corresponding sections</w:t>
      </w:r>
      <w:r w:rsidR="00DC6B1C">
        <w:t xml:space="preserve"> </w:t>
      </w:r>
      <w:r w:rsidR="002E4A5F">
        <w:t xml:space="preserve">are presented </w:t>
      </w:r>
      <w:r w:rsidR="000B3509">
        <w:t>in the following order:</w:t>
      </w:r>
    </w:p>
    <w:p w14:paraId="58AE00E7" w14:textId="53D2424F" w:rsidR="00EE5C31" w:rsidRDefault="000B3509" w:rsidP="008411C6">
      <w:pPr>
        <w:pStyle w:val="ListParagraph"/>
        <w:numPr>
          <w:ilvl w:val="0"/>
          <w:numId w:val="4"/>
        </w:numPr>
        <w:jc w:val="both"/>
      </w:pPr>
      <w:r w:rsidRPr="00EE5C31">
        <w:rPr>
          <w:u w:val="single"/>
        </w:rPr>
        <w:t xml:space="preserve">Research </w:t>
      </w:r>
      <w:r w:rsidR="008411C6">
        <w:rPr>
          <w:u w:val="single"/>
        </w:rPr>
        <w:t>q</w:t>
      </w:r>
      <w:r w:rsidRPr="00EE5C31">
        <w:rPr>
          <w:u w:val="single"/>
        </w:rPr>
        <w:t>uestion 1</w:t>
      </w:r>
      <w:r>
        <w:t xml:space="preserve">: </w:t>
      </w:r>
      <w:r w:rsidRPr="000B3509">
        <w:t xml:space="preserve">Summarise the comparative efficacy and safety of all PBS-listed smoking cessation therapies as monotherapy and compare this to </w:t>
      </w:r>
      <w:r w:rsidR="008411C6">
        <w:t xml:space="preserve">the </w:t>
      </w:r>
      <w:r w:rsidRPr="000B3509">
        <w:t xml:space="preserve">evidence already considered by </w:t>
      </w:r>
      <w:r w:rsidR="008411C6">
        <w:t xml:space="preserve">the </w:t>
      </w:r>
      <w:r w:rsidRPr="000B3509">
        <w:t>PBAC for each smoking cessation therapy</w:t>
      </w:r>
      <w:r w:rsidR="00EE5C31">
        <w:t xml:space="preserve"> (Section</w:t>
      </w:r>
      <w:r w:rsidR="008411C6">
        <w:t xml:space="preserve"> 3.1.10</w:t>
      </w:r>
      <w:r w:rsidR="00EE5C31">
        <w:t>)</w:t>
      </w:r>
      <w:r w:rsidR="008411C6">
        <w:t>.</w:t>
      </w:r>
    </w:p>
    <w:p w14:paraId="79CF419A" w14:textId="4446A179" w:rsidR="004A4666" w:rsidRDefault="00EE5C31" w:rsidP="008411C6">
      <w:pPr>
        <w:pStyle w:val="ListParagraph"/>
        <w:numPr>
          <w:ilvl w:val="0"/>
          <w:numId w:val="4"/>
        </w:numPr>
        <w:jc w:val="both"/>
      </w:pPr>
      <w:r w:rsidRPr="00EE5C31">
        <w:rPr>
          <w:u w:val="single"/>
        </w:rPr>
        <w:t xml:space="preserve">Research </w:t>
      </w:r>
      <w:r w:rsidR="008411C6">
        <w:rPr>
          <w:u w:val="single"/>
        </w:rPr>
        <w:t>q</w:t>
      </w:r>
      <w:r w:rsidRPr="00EE5C31">
        <w:rPr>
          <w:u w:val="single"/>
        </w:rPr>
        <w:t>uestion 2</w:t>
      </w:r>
      <w:r w:rsidRPr="00EE5C31">
        <w:t>: Summarise the comparative efficacy and safety of PBS-listed treatments when used as combination therapy</w:t>
      </w:r>
      <w:r>
        <w:t xml:space="preserve"> (Sectio</w:t>
      </w:r>
      <w:r w:rsidR="008411C6">
        <w:t>n 3.1.11</w:t>
      </w:r>
      <w:r>
        <w:t>)</w:t>
      </w:r>
      <w:r w:rsidR="008411C6">
        <w:t>.</w:t>
      </w:r>
    </w:p>
    <w:p w14:paraId="14F3FD34" w14:textId="64AD7173" w:rsidR="00EE5C31" w:rsidRDefault="00EE5C31" w:rsidP="008411C6">
      <w:pPr>
        <w:pStyle w:val="ListParagraph"/>
        <w:numPr>
          <w:ilvl w:val="0"/>
          <w:numId w:val="4"/>
        </w:numPr>
        <w:jc w:val="both"/>
      </w:pPr>
      <w:r w:rsidRPr="00EE5C31">
        <w:rPr>
          <w:u w:val="single"/>
        </w:rPr>
        <w:t xml:space="preserve">Research </w:t>
      </w:r>
      <w:r w:rsidR="008411C6">
        <w:rPr>
          <w:u w:val="single"/>
        </w:rPr>
        <w:t>q</w:t>
      </w:r>
      <w:r w:rsidRPr="00EE5C31">
        <w:rPr>
          <w:u w:val="single"/>
        </w:rPr>
        <w:t>uestion 3</w:t>
      </w:r>
      <w:r w:rsidRPr="00EE5C31">
        <w:t>: Examine the efficacy and safety of NRT with respect to dose, dosage form</w:t>
      </w:r>
      <w:r w:rsidR="009E6D4E">
        <w:t xml:space="preserve"> and</w:t>
      </w:r>
      <w:r w:rsidRPr="00EE5C31">
        <w:t xml:space="preserve"> length of therapy </w:t>
      </w:r>
      <w:r w:rsidR="009E6D4E">
        <w:t>(Section</w:t>
      </w:r>
      <w:r w:rsidR="008411C6">
        <w:t xml:space="preserve"> 3.1.12</w:t>
      </w:r>
      <w:r w:rsidR="009E6D4E">
        <w:t>)</w:t>
      </w:r>
      <w:r w:rsidR="008411C6">
        <w:t>.</w:t>
      </w:r>
    </w:p>
    <w:p w14:paraId="2721433D" w14:textId="6CE64874" w:rsidR="00B51B89" w:rsidRDefault="00B51B89" w:rsidP="008411C6">
      <w:pPr>
        <w:pStyle w:val="ListParagraph"/>
        <w:numPr>
          <w:ilvl w:val="0"/>
          <w:numId w:val="4"/>
        </w:numPr>
        <w:jc w:val="both"/>
      </w:pPr>
      <w:r w:rsidRPr="00B51B89">
        <w:rPr>
          <w:u w:val="single"/>
        </w:rPr>
        <w:t xml:space="preserve">Research </w:t>
      </w:r>
      <w:r w:rsidR="008411C6">
        <w:rPr>
          <w:u w:val="single"/>
        </w:rPr>
        <w:t>q</w:t>
      </w:r>
      <w:r w:rsidRPr="00B51B89">
        <w:rPr>
          <w:u w:val="single"/>
        </w:rPr>
        <w:t>uestion 4:</w:t>
      </w:r>
      <w:r>
        <w:t xml:space="preserve"> </w:t>
      </w:r>
      <w:r w:rsidRPr="00B51B89">
        <w:t>Examine the importance of comprehensive support and counselling in combination with pharmacotherapies</w:t>
      </w:r>
      <w:r>
        <w:t xml:space="preserve"> (Section</w:t>
      </w:r>
      <w:r w:rsidR="008411C6">
        <w:t xml:space="preserve"> 3.1.13</w:t>
      </w:r>
      <w:r>
        <w:t>)</w:t>
      </w:r>
      <w:r w:rsidR="008411C6">
        <w:t>.</w:t>
      </w:r>
    </w:p>
    <w:p w14:paraId="05DB7684" w14:textId="597677C2" w:rsidR="00B51B89" w:rsidRPr="00F73F7C" w:rsidRDefault="00B51B89" w:rsidP="008411C6">
      <w:pPr>
        <w:pStyle w:val="ListParagraph"/>
        <w:numPr>
          <w:ilvl w:val="0"/>
          <w:numId w:val="4"/>
        </w:numPr>
        <w:spacing w:after="120"/>
        <w:ind w:left="357" w:hanging="357"/>
        <w:contextualSpacing w:val="0"/>
        <w:jc w:val="both"/>
      </w:pPr>
      <w:r>
        <w:rPr>
          <w:u w:val="single"/>
        </w:rPr>
        <w:t xml:space="preserve">Research </w:t>
      </w:r>
      <w:r w:rsidR="008411C6">
        <w:rPr>
          <w:u w:val="single"/>
        </w:rPr>
        <w:t>q</w:t>
      </w:r>
      <w:r>
        <w:rPr>
          <w:u w:val="single"/>
        </w:rPr>
        <w:t>uestion 5:</w:t>
      </w:r>
      <w:r>
        <w:t xml:space="preserve"> </w:t>
      </w:r>
      <w:r w:rsidRPr="00B51B89">
        <w:t>Examine the evidence of efficacy and safety of smoking cessation medicines for adolescents and during pregnancy</w:t>
      </w:r>
      <w:r>
        <w:t xml:space="preserve"> (Section</w:t>
      </w:r>
      <w:r w:rsidR="008411C6">
        <w:t xml:space="preserve"> 3.1.14</w:t>
      </w:r>
      <w:r>
        <w:t>)</w:t>
      </w:r>
      <w:r w:rsidR="008411C6">
        <w:t>.</w:t>
      </w:r>
    </w:p>
    <w:p w14:paraId="4A0E5561" w14:textId="61DEC34F" w:rsidR="000B5CDF" w:rsidRDefault="000B5CDF" w:rsidP="008411C6">
      <w:pPr>
        <w:pStyle w:val="Heading3"/>
        <w:spacing w:before="0" w:after="120"/>
        <w:jc w:val="both"/>
      </w:pPr>
      <w:bookmarkStart w:id="23" w:name="_Toc115254507"/>
      <w:r w:rsidRPr="00B94368">
        <w:t>PICO</w:t>
      </w:r>
      <w:bookmarkEnd w:id="23"/>
    </w:p>
    <w:p w14:paraId="22EE4C9F" w14:textId="5C24ED71" w:rsidR="000B5CDF" w:rsidRDefault="00300863" w:rsidP="008411C6">
      <w:pPr>
        <w:spacing w:after="120"/>
        <w:jc w:val="both"/>
      </w:pPr>
      <w:r>
        <w:t xml:space="preserve">A summary of the PICO (population, intervention, comparator, </w:t>
      </w:r>
      <w:r w:rsidR="00777459">
        <w:t>and outcome</w:t>
      </w:r>
      <w:r>
        <w:t xml:space="preserve">) is presented in </w:t>
      </w:r>
      <w:r>
        <w:fldChar w:fldCharType="begin" w:fldLock="1"/>
      </w:r>
      <w:r>
        <w:instrText xml:space="preserve"> REF _Ref52886314 \h </w:instrText>
      </w:r>
      <w:r w:rsidR="00CB337B">
        <w:instrText xml:space="preserve"> \* MERGEFORMAT </w:instrText>
      </w:r>
      <w:r>
        <w:fldChar w:fldCharType="separate"/>
      </w:r>
      <w:r w:rsidR="00EC5CC7">
        <w:t xml:space="preserve">Table </w:t>
      </w:r>
      <w:r w:rsidR="00EC5CC7">
        <w:rPr>
          <w:noProof/>
        </w:rPr>
        <w:t>1</w:t>
      </w:r>
      <w:r>
        <w:fldChar w:fldCharType="end"/>
      </w:r>
      <w:r>
        <w:t>.</w:t>
      </w:r>
    </w:p>
    <w:p w14:paraId="26732A34" w14:textId="59685EC5" w:rsidR="00300863" w:rsidRDefault="00300863" w:rsidP="008411C6">
      <w:pPr>
        <w:pStyle w:val="Caption"/>
        <w:keepNext/>
        <w:spacing w:before="120" w:after="120"/>
        <w:jc w:val="both"/>
      </w:pPr>
      <w:bookmarkStart w:id="24" w:name="_Ref52886314"/>
      <w:r>
        <w:t xml:space="preserve">Table </w:t>
      </w:r>
      <w:r>
        <w:fldChar w:fldCharType="begin"/>
      </w:r>
      <w:r>
        <w:instrText>SEQ Table \* ARABIC</w:instrText>
      </w:r>
      <w:r>
        <w:fldChar w:fldCharType="separate"/>
      </w:r>
      <w:r w:rsidR="00EC5CC7">
        <w:rPr>
          <w:noProof/>
        </w:rPr>
        <w:t>1</w:t>
      </w:r>
      <w:r>
        <w:fldChar w:fldCharType="end"/>
      </w:r>
      <w:bookmarkEnd w:id="24"/>
      <w:r>
        <w:t xml:space="preserve">: PICO </w:t>
      </w:r>
      <w:r w:rsidR="009903DD">
        <w:t>criteria</w:t>
      </w:r>
    </w:p>
    <w:tbl>
      <w:tblPr>
        <w:tblStyle w:val="TableGrid"/>
        <w:tblW w:w="5000" w:type="pct"/>
        <w:tblLook w:val="04A0" w:firstRow="1" w:lastRow="0" w:firstColumn="1" w:lastColumn="0" w:noHBand="0" w:noVBand="1"/>
      </w:tblPr>
      <w:tblGrid>
        <w:gridCol w:w="1410"/>
        <w:gridCol w:w="7606"/>
      </w:tblGrid>
      <w:tr w:rsidR="000B5CDF" w14:paraId="2E7BE71C" w14:textId="77777777" w:rsidTr="002C2315">
        <w:tc>
          <w:tcPr>
            <w:tcW w:w="782" w:type="pct"/>
          </w:tcPr>
          <w:p w14:paraId="2AFE3632" w14:textId="19176E6D" w:rsidR="00300863" w:rsidRPr="00300863" w:rsidRDefault="000B5CDF" w:rsidP="002C2315">
            <w:pPr>
              <w:pStyle w:val="Tablewriting"/>
              <w:spacing w:before="0"/>
              <w:jc w:val="both"/>
              <w:rPr>
                <w:b/>
                <w:bCs/>
              </w:rPr>
            </w:pPr>
            <w:r w:rsidRPr="00300863">
              <w:rPr>
                <w:b/>
                <w:bCs/>
              </w:rPr>
              <w:t>Population</w:t>
            </w:r>
          </w:p>
        </w:tc>
        <w:tc>
          <w:tcPr>
            <w:tcW w:w="4218" w:type="pct"/>
          </w:tcPr>
          <w:p w14:paraId="7571EC1C" w14:textId="77777777" w:rsidR="000B5CDF" w:rsidRDefault="000B5CDF" w:rsidP="00CB337B">
            <w:pPr>
              <w:pStyle w:val="Tablewriting"/>
              <w:jc w:val="both"/>
            </w:pPr>
            <w:r>
              <w:t>Smokers</w:t>
            </w:r>
          </w:p>
        </w:tc>
      </w:tr>
      <w:tr w:rsidR="000B5CDF" w14:paraId="26965397" w14:textId="77777777" w:rsidTr="002C2315">
        <w:tc>
          <w:tcPr>
            <w:tcW w:w="782" w:type="pct"/>
          </w:tcPr>
          <w:p w14:paraId="625DD73D" w14:textId="77777777" w:rsidR="000B5CDF" w:rsidRPr="00300863" w:rsidRDefault="000B5CDF" w:rsidP="00CB337B">
            <w:pPr>
              <w:pStyle w:val="Tablewriting"/>
              <w:jc w:val="both"/>
              <w:rPr>
                <w:b/>
                <w:bCs/>
              </w:rPr>
            </w:pPr>
            <w:r w:rsidRPr="00300863">
              <w:rPr>
                <w:b/>
                <w:bCs/>
              </w:rPr>
              <w:t>Intervention</w:t>
            </w:r>
          </w:p>
        </w:tc>
        <w:tc>
          <w:tcPr>
            <w:tcW w:w="4218" w:type="pct"/>
          </w:tcPr>
          <w:p w14:paraId="45173699" w14:textId="363246C7" w:rsidR="000B5CDF" w:rsidRDefault="000B5CDF" w:rsidP="00CB337B">
            <w:pPr>
              <w:pStyle w:val="Tablewriting"/>
              <w:jc w:val="both"/>
            </w:pPr>
            <w:r>
              <w:t>PBS-listed therapies (v</w:t>
            </w:r>
            <w:r w:rsidRPr="00E03CB6">
              <w:t xml:space="preserve">arenicline, </w:t>
            </w:r>
            <w:r>
              <w:t>b</w:t>
            </w:r>
            <w:r w:rsidRPr="00E03CB6">
              <w:t xml:space="preserve">upropion, </w:t>
            </w:r>
            <w:r w:rsidR="00FB3A11">
              <w:t>NRT</w:t>
            </w:r>
            <w:r w:rsidRPr="00E03CB6">
              <w:t>)</w:t>
            </w:r>
            <w:r w:rsidR="003D0D17">
              <w:t>,</w:t>
            </w:r>
            <w:r w:rsidR="0096717E">
              <w:t xml:space="preserve"> administered either</w:t>
            </w:r>
            <w:r w:rsidRPr="00E03CB6">
              <w:t xml:space="preserve"> as monotherapy, combination therapy, or with </w:t>
            </w:r>
            <w:r w:rsidR="00C2106D">
              <w:t>concomitant</w:t>
            </w:r>
            <w:r w:rsidRPr="00E03CB6">
              <w:t xml:space="preserve"> behavioural therapy/counselling.</w:t>
            </w:r>
          </w:p>
        </w:tc>
      </w:tr>
      <w:tr w:rsidR="000B5CDF" w14:paraId="2D6B0687" w14:textId="77777777" w:rsidTr="002C2315">
        <w:tc>
          <w:tcPr>
            <w:tcW w:w="782" w:type="pct"/>
          </w:tcPr>
          <w:p w14:paraId="701190AF" w14:textId="77777777" w:rsidR="000B5CDF" w:rsidRPr="00300863" w:rsidRDefault="000B5CDF" w:rsidP="002C2315">
            <w:pPr>
              <w:pStyle w:val="Tablewriting"/>
              <w:spacing w:before="0"/>
              <w:jc w:val="both"/>
              <w:rPr>
                <w:b/>
                <w:bCs/>
              </w:rPr>
            </w:pPr>
            <w:r w:rsidRPr="00300863">
              <w:rPr>
                <w:b/>
                <w:bCs/>
              </w:rPr>
              <w:t>Comparator</w:t>
            </w:r>
          </w:p>
        </w:tc>
        <w:tc>
          <w:tcPr>
            <w:tcW w:w="4218" w:type="pct"/>
          </w:tcPr>
          <w:p w14:paraId="6CE878B1" w14:textId="434D8C07" w:rsidR="000B5CDF" w:rsidRPr="00300863" w:rsidRDefault="000B5CDF" w:rsidP="00CB337B">
            <w:pPr>
              <w:pStyle w:val="Tablewriting"/>
              <w:jc w:val="both"/>
            </w:pPr>
            <w:r w:rsidRPr="00300863">
              <w:rPr>
                <w:rStyle w:val="normaltextrun"/>
                <w:rFonts w:eastAsiaTheme="majorEastAsia"/>
              </w:rPr>
              <w:t>PBS-listed monotherapy (or placebo where appropriate), with or without behavioural therapy/counselling</w:t>
            </w:r>
            <w:r w:rsidR="003D0D17">
              <w:rPr>
                <w:rStyle w:val="normaltextrun"/>
                <w:rFonts w:eastAsiaTheme="majorEastAsia"/>
              </w:rPr>
              <w:t>.</w:t>
            </w:r>
            <w:r w:rsidRPr="00300863">
              <w:rPr>
                <w:rStyle w:val="eop"/>
              </w:rPr>
              <w:t> </w:t>
            </w:r>
          </w:p>
        </w:tc>
      </w:tr>
      <w:tr w:rsidR="000B5CDF" w14:paraId="73F5F784" w14:textId="77777777" w:rsidTr="002C2315">
        <w:tc>
          <w:tcPr>
            <w:tcW w:w="782" w:type="pct"/>
          </w:tcPr>
          <w:p w14:paraId="7DE635FE" w14:textId="577ED7C6" w:rsidR="000B5CDF" w:rsidRPr="001D323F" w:rsidRDefault="000B5CDF" w:rsidP="002C2315">
            <w:pPr>
              <w:pStyle w:val="Tablewriting"/>
              <w:spacing w:before="0"/>
              <w:jc w:val="both"/>
              <w:rPr>
                <w:b/>
                <w:vertAlign w:val="superscript"/>
              </w:rPr>
            </w:pPr>
            <w:r w:rsidRPr="00300863">
              <w:rPr>
                <w:b/>
                <w:bCs/>
              </w:rPr>
              <w:t>Outcomes</w:t>
            </w:r>
            <w:r w:rsidR="001D323F">
              <w:rPr>
                <w:b/>
                <w:bCs/>
                <w:vertAlign w:val="superscript"/>
              </w:rPr>
              <w:t>1</w:t>
            </w:r>
          </w:p>
        </w:tc>
        <w:tc>
          <w:tcPr>
            <w:tcW w:w="4218" w:type="pct"/>
          </w:tcPr>
          <w:p w14:paraId="03B24005" w14:textId="41D21B08" w:rsidR="000B5CDF" w:rsidRPr="000272A1" w:rsidRDefault="000B7309" w:rsidP="00CB337B">
            <w:pPr>
              <w:pStyle w:val="Tablewriting"/>
              <w:jc w:val="both"/>
              <w:rPr>
                <w:i/>
                <w:iCs/>
              </w:rPr>
            </w:pPr>
            <w:r w:rsidRPr="00116BEB">
              <w:rPr>
                <w:u w:val="single"/>
              </w:rPr>
              <w:t>Efficacy</w:t>
            </w:r>
            <w:r w:rsidR="000B5CDF">
              <w:t xml:space="preserve">: </w:t>
            </w:r>
            <w:r w:rsidR="000B5CDF" w:rsidRPr="00DC1F64">
              <w:t xml:space="preserve">smoking cessation defined as sustained or continuous abstinence </w:t>
            </w:r>
            <w:r w:rsidR="000B5CDF" w:rsidRPr="005170CC">
              <w:t xml:space="preserve">and/or the relevant point prevalence </w:t>
            </w:r>
            <w:r w:rsidR="00666DE4">
              <w:t xml:space="preserve">abstinence </w:t>
            </w:r>
            <w:r w:rsidR="000B5CDF" w:rsidRPr="005170CC">
              <w:t>as described by the authors.</w:t>
            </w:r>
            <w:r w:rsidR="000B5CDF" w:rsidRPr="00DC1F64">
              <w:rPr>
                <w:i/>
                <w:iCs/>
              </w:rPr>
              <w:t xml:space="preserve"> </w:t>
            </w:r>
          </w:p>
          <w:p w14:paraId="30F2F6E2" w14:textId="08789EA6" w:rsidR="000B5CDF" w:rsidRDefault="000B5CDF" w:rsidP="00CB337B">
            <w:pPr>
              <w:pStyle w:val="Tablewriting"/>
              <w:jc w:val="both"/>
            </w:pPr>
            <w:r w:rsidRPr="00116BEB">
              <w:rPr>
                <w:u w:val="single"/>
              </w:rPr>
              <w:t>Safety</w:t>
            </w:r>
            <w:r>
              <w:t>: adverse events of interventions</w:t>
            </w:r>
            <w:r w:rsidR="00DD1D31">
              <w:t xml:space="preserve"> </w:t>
            </w:r>
            <w:r w:rsidR="00DD1D31" w:rsidRPr="00DD1D31">
              <w:t xml:space="preserve">including any adverse events, psychiatric adverse events, serious adverse </w:t>
            </w:r>
            <w:r w:rsidR="008260A0" w:rsidRPr="00DD1D31">
              <w:t>events,</w:t>
            </w:r>
            <w:r w:rsidR="00DD1D31" w:rsidRPr="00DD1D31">
              <w:t xml:space="preserve"> and dropouts due to adverse events</w:t>
            </w:r>
            <w:r w:rsidR="0083519B">
              <w:t>.</w:t>
            </w:r>
          </w:p>
        </w:tc>
      </w:tr>
    </w:tbl>
    <w:p w14:paraId="7417795C" w14:textId="44D73366" w:rsidR="00FB3A11" w:rsidRDefault="00FB3A11" w:rsidP="002C2315">
      <w:pPr>
        <w:pStyle w:val="TableFooter"/>
        <w:jc w:val="both"/>
      </w:pPr>
      <w:r>
        <w:t xml:space="preserve">Abbreviations: </w:t>
      </w:r>
      <w:r w:rsidR="00C178C9">
        <w:t>NRT = nicotine replacement therapy; PBS = Pharmaceutical Benefits Scheme</w:t>
      </w:r>
    </w:p>
    <w:p w14:paraId="1C8275A7" w14:textId="49AE0CE5" w:rsidR="00B22D1D" w:rsidRDefault="001D323F" w:rsidP="002C2315">
      <w:pPr>
        <w:pStyle w:val="TableFooter"/>
        <w:spacing w:after="120"/>
        <w:contextualSpacing w:val="0"/>
        <w:jc w:val="both"/>
      </w:pPr>
      <w:r w:rsidRPr="00556465">
        <w:t>1</w:t>
      </w:r>
      <w:r>
        <w:t xml:space="preserve"> </w:t>
      </w:r>
      <w:r w:rsidR="00040E35">
        <w:t>A summary of key o</w:t>
      </w:r>
      <w:r>
        <w:t>utcomes previously assessed by the PBAC</w:t>
      </w:r>
      <w:r w:rsidR="00040E35">
        <w:t xml:space="preserve"> is presented in Appendix </w:t>
      </w:r>
      <w:r w:rsidR="00040E35">
        <w:fldChar w:fldCharType="begin" w:fldLock="1"/>
      </w:r>
      <w:r w:rsidR="00040E35">
        <w:instrText xml:space="preserve"> REF _Ref60648875 \h </w:instrText>
      </w:r>
      <w:r w:rsidR="00CB337B">
        <w:instrText xml:space="preserve"> \* MERGEFORMAT </w:instrText>
      </w:r>
      <w:r w:rsidR="00040E35">
        <w:fldChar w:fldCharType="separate"/>
      </w:r>
      <w:r w:rsidR="00EC5CC7">
        <w:t xml:space="preserve">Table </w:t>
      </w:r>
      <w:r w:rsidR="00EC5CC7">
        <w:rPr>
          <w:noProof/>
        </w:rPr>
        <w:t>135</w:t>
      </w:r>
      <w:r w:rsidR="00040E35">
        <w:fldChar w:fldCharType="end"/>
      </w:r>
      <w:r w:rsidR="00040E35">
        <w:t>.</w:t>
      </w:r>
    </w:p>
    <w:p w14:paraId="6FA2D1B5" w14:textId="6BD04A80" w:rsidR="00F2483E" w:rsidRDefault="00B22D1D" w:rsidP="002C2315">
      <w:pPr>
        <w:spacing w:after="120"/>
        <w:jc w:val="both"/>
      </w:pPr>
      <w:r>
        <w:t xml:space="preserve">The population, intervention and comparator presented </w:t>
      </w:r>
      <w:r w:rsidR="005D54C1">
        <w:t xml:space="preserve">in this report </w:t>
      </w:r>
      <w:r>
        <w:t>are informed by t</w:t>
      </w:r>
      <w:r w:rsidR="00D319C7">
        <w:t xml:space="preserve">he research questions and the evidence identified in the </w:t>
      </w:r>
      <w:r w:rsidR="00BC7AA5">
        <w:t>literature search.</w:t>
      </w:r>
      <w:r w:rsidR="00DA0F49" w:rsidRPr="00DA0F49">
        <w:t xml:space="preserve"> </w:t>
      </w:r>
      <w:r w:rsidR="00AF2041">
        <w:t>Evidence for e</w:t>
      </w:r>
      <w:r w:rsidR="00EF574C" w:rsidRPr="00EF574C">
        <w:rPr>
          <w:rFonts w:ascii="Cambria Math" w:hAnsi="Cambria Math" w:cs="Cambria Math"/>
        </w:rPr>
        <w:t>‑</w:t>
      </w:r>
      <w:r w:rsidR="00EF574C" w:rsidRPr="00EF574C">
        <w:t>cigarette devices and nicotine liquids are out of scope of this</w:t>
      </w:r>
      <w:r w:rsidR="00EF574C">
        <w:t xml:space="preserve"> </w:t>
      </w:r>
      <w:r w:rsidR="003B53DE">
        <w:t>Post-market Review (PMR)</w:t>
      </w:r>
      <w:r w:rsidR="005D144E">
        <w:t xml:space="preserve"> and were not included </w:t>
      </w:r>
      <w:r w:rsidR="00AF2041">
        <w:t>in this report</w:t>
      </w:r>
      <w:r w:rsidR="00EF574C" w:rsidRPr="00EF574C">
        <w:t>.</w:t>
      </w:r>
    </w:p>
    <w:p w14:paraId="2A7B5ADF" w14:textId="34A47386" w:rsidR="00D30209" w:rsidRDefault="00F02367" w:rsidP="002C2315">
      <w:pPr>
        <w:spacing w:after="120"/>
        <w:jc w:val="both"/>
      </w:pPr>
      <w:r>
        <w:t xml:space="preserve">The primary outcome </w:t>
      </w:r>
      <w:r w:rsidR="00D92CB6">
        <w:t>presented</w:t>
      </w:r>
      <w:r>
        <w:t xml:space="preserve"> f</w:t>
      </w:r>
      <w:r w:rsidR="000B3480">
        <w:t>or efficacy</w:t>
      </w:r>
      <w:r>
        <w:t xml:space="preserve"> is </w:t>
      </w:r>
      <w:r w:rsidR="000B3480">
        <w:t xml:space="preserve">smoking cessation rates </w:t>
      </w:r>
      <w:r w:rsidR="00D92CB6">
        <w:t>based on the longest follow-up</w:t>
      </w:r>
      <w:r w:rsidR="00B8066C">
        <w:t xml:space="preserve"> data</w:t>
      </w:r>
      <w:r w:rsidR="00D92CB6">
        <w:t xml:space="preserve">, where reported. </w:t>
      </w:r>
      <w:r w:rsidR="0025085D" w:rsidRPr="0025085D">
        <w:t>The two most common outcome measures in clinical trials of smoking cessation are prolonged abstinence (</w:t>
      </w:r>
      <w:r w:rsidR="00CE0033">
        <w:t xml:space="preserve">also known as sustained or continuous </w:t>
      </w:r>
      <w:r w:rsidR="00CE0033">
        <w:lastRenderedPageBreak/>
        <w:t>abstinence</w:t>
      </w:r>
      <w:r w:rsidR="0025085D" w:rsidRPr="0025085D">
        <w:t>) and point prevalence abstinence</w:t>
      </w:r>
      <w:r w:rsidR="00CE0033">
        <w:t xml:space="preserve"> (Hughes et al. 2003). </w:t>
      </w:r>
      <w:r w:rsidR="00980B64" w:rsidRPr="00980B64">
        <w:t>P</w:t>
      </w:r>
      <w:r w:rsidR="00980B64">
        <w:t xml:space="preserve">rolonged abstinence </w:t>
      </w:r>
      <w:r w:rsidR="00980B64" w:rsidRPr="00980B64">
        <w:t>is typically defined as not smoking for a period of several months after a quit attempt. Point prevalence abstinence is typically defined as not smoking on the day of follow-up or for a few days before a follow-up.</w:t>
      </w:r>
      <w:r w:rsidR="00CD3BD1">
        <w:t xml:space="preserve"> The</w:t>
      </w:r>
      <w:r w:rsidR="002E1320">
        <w:t>se</w:t>
      </w:r>
      <w:r w:rsidR="00CD3BD1">
        <w:t xml:space="preserve"> two outcomes were considered closely related</w:t>
      </w:r>
      <w:r w:rsidR="00922676">
        <w:t xml:space="preserve"> and were shown to </w:t>
      </w:r>
      <w:r w:rsidR="00922676" w:rsidRPr="00922676">
        <w:t xml:space="preserve">produce similar effect sizes when odds ratio and relative risk </w:t>
      </w:r>
      <w:r w:rsidR="00E04BBF">
        <w:t>we</w:t>
      </w:r>
      <w:r w:rsidR="00922676" w:rsidRPr="00922676">
        <w:t>re used as effect sizes</w:t>
      </w:r>
      <w:r w:rsidR="0030362B">
        <w:t xml:space="preserve"> (Hughes et al. 2003)</w:t>
      </w:r>
      <w:r w:rsidR="00922676">
        <w:t>.</w:t>
      </w:r>
      <w:r w:rsidR="0030362B">
        <w:t xml:space="preserve"> In this report, </w:t>
      </w:r>
      <w:r w:rsidR="0030362B" w:rsidRPr="0030362B">
        <w:t>the strictest of these definitions were used</w:t>
      </w:r>
      <w:r w:rsidR="0030362B">
        <w:t xml:space="preserve"> whe</w:t>
      </w:r>
      <w:r w:rsidR="004A17F4">
        <w:t>n possible</w:t>
      </w:r>
      <w:r w:rsidR="0030362B" w:rsidRPr="0030362B">
        <w:t xml:space="preserve"> (</w:t>
      </w:r>
      <w:r w:rsidR="008260A0" w:rsidRPr="0030362B">
        <w:t>e.g.,</w:t>
      </w:r>
      <w:r w:rsidR="0030362B" w:rsidRPr="0030362B">
        <w:t xml:space="preserve"> prolonged</w:t>
      </w:r>
      <w:r w:rsidR="004A17F4">
        <w:t>/continuous</w:t>
      </w:r>
      <w:r w:rsidR="0030362B" w:rsidRPr="0030362B">
        <w:t xml:space="preserve"> abstinence over point prevalence abstinence</w:t>
      </w:r>
      <w:r w:rsidR="00DB6AEF">
        <w:t xml:space="preserve"> </w:t>
      </w:r>
      <w:r w:rsidR="00E03082">
        <w:t>and biochemical validation of abstinence over self-reported abstinence</w:t>
      </w:r>
      <w:r w:rsidR="004A17F4">
        <w:t>).</w:t>
      </w:r>
      <w:r w:rsidR="009111D5" w:rsidRPr="009111D5">
        <w:t xml:space="preserve"> The PBAC has previously considered continuous abstinence rate </w:t>
      </w:r>
      <w:r w:rsidR="00AA48DE">
        <w:t>(at the longest follow-up)</w:t>
      </w:r>
      <w:r w:rsidR="009111D5" w:rsidRPr="009111D5">
        <w:t xml:space="preserve"> to be the most relevant patient outcome</w:t>
      </w:r>
      <w:r w:rsidR="00AA48DE">
        <w:t>.</w:t>
      </w:r>
    </w:p>
    <w:p w14:paraId="284600CE" w14:textId="19DFBCF0" w:rsidR="00926D1A" w:rsidRPr="004B16DD" w:rsidRDefault="00D30209" w:rsidP="002C2315">
      <w:pPr>
        <w:spacing w:after="120"/>
        <w:jc w:val="both"/>
      </w:pPr>
      <w:r>
        <w:t>For safety and tolerability outcomes,</w:t>
      </w:r>
      <w:r w:rsidR="00EC4361">
        <w:t xml:space="preserve"> key adverse events </w:t>
      </w:r>
      <w:r w:rsidR="00A67C9B">
        <w:t xml:space="preserve">from studies with follow-up of any length </w:t>
      </w:r>
      <w:r w:rsidR="00EC4361">
        <w:t>are presented</w:t>
      </w:r>
      <w:r w:rsidR="00AC7D1C">
        <w:t>,</w:t>
      </w:r>
      <w:r w:rsidR="00EC4361">
        <w:t xml:space="preserve"> where reported.</w:t>
      </w:r>
      <w:r>
        <w:t xml:space="preserve"> </w:t>
      </w:r>
      <w:r w:rsidR="00B66E59">
        <w:t xml:space="preserve">The </w:t>
      </w:r>
      <w:r w:rsidR="00D4114A">
        <w:t>main safety</w:t>
      </w:r>
      <w:r w:rsidR="00B66E59">
        <w:t xml:space="preserve"> outcome measures include</w:t>
      </w:r>
      <w:r w:rsidR="00D4114A">
        <w:t xml:space="preserve"> </w:t>
      </w:r>
      <w:r w:rsidR="00D4114A" w:rsidRPr="00DD1D31">
        <w:t xml:space="preserve">adverse events, psychiatric adverse events, serious adverse </w:t>
      </w:r>
      <w:r w:rsidR="008260A0" w:rsidRPr="00DD1D31">
        <w:t>events,</w:t>
      </w:r>
      <w:r w:rsidR="00D4114A" w:rsidRPr="00DD1D31">
        <w:t xml:space="preserve"> and dropouts due to adverse events</w:t>
      </w:r>
      <w:r w:rsidR="008260A0">
        <w:t xml:space="preserve">. </w:t>
      </w:r>
    </w:p>
    <w:p w14:paraId="76DB7469" w14:textId="0F223B8F" w:rsidR="00E81524" w:rsidRPr="00E81524" w:rsidRDefault="00E81524" w:rsidP="00B00198">
      <w:pPr>
        <w:pStyle w:val="Heading3"/>
        <w:spacing w:before="0" w:after="120"/>
        <w:jc w:val="both"/>
        <w:rPr>
          <w:iCs/>
          <w:szCs w:val="28"/>
        </w:rPr>
      </w:pPr>
      <w:bookmarkStart w:id="25" w:name="_Toc115254508"/>
      <w:r w:rsidRPr="00DC0B46">
        <w:t>General approach</w:t>
      </w:r>
      <w:bookmarkEnd w:id="25"/>
    </w:p>
    <w:p w14:paraId="70DE0D32" w14:textId="520E19C8" w:rsidR="00896345" w:rsidRDefault="00896345" w:rsidP="00B00198">
      <w:pPr>
        <w:spacing w:after="120"/>
        <w:jc w:val="both"/>
      </w:pPr>
      <w:r>
        <w:t>The following approach</w:t>
      </w:r>
      <w:r w:rsidR="001B33ED">
        <w:t xml:space="preserve">, as agreed at the second </w:t>
      </w:r>
      <w:r w:rsidR="00B00198">
        <w:t>r</w:t>
      </w:r>
      <w:r w:rsidR="001B33ED">
        <w:t xml:space="preserve">eference </w:t>
      </w:r>
      <w:r w:rsidR="00B00198">
        <w:t>g</w:t>
      </w:r>
      <w:r w:rsidR="001B33ED">
        <w:t>roup meeting</w:t>
      </w:r>
      <w:r w:rsidR="00D022BC">
        <w:t>,</w:t>
      </w:r>
      <w:r>
        <w:t xml:space="preserve"> was used to address ToR</w:t>
      </w:r>
      <w:r w:rsidR="00B00198">
        <w:t xml:space="preserve"> </w:t>
      </w:r>
      <w:r>
        <w:t>3:</w:t>
      </w:r>
    </w:p>
    <w:p w14:paraId="11AD2862" w14:textId="774F67D5" w:rsidR="00896345" w:rsidRDefault="00896345" w:rsidP="00C324F3">
      <w:pPr>
        <w:pStyle w:val="ListParagraph"/>
        <w:numPr>
          <w:ilvl w:val="0"/>
          <w:numId w:val="7"/>
        </w:numPr>
        <w:jc w:val="both"/>
      </w:pPr>
      <w:r>
        <w:t>Identify the most recent updated Cochrane systematic reviews from the published literature that address</w:t>
      </w:r>
      <w:r w:rsidR="007D7537">
        <w:t>ed</w:t>
      </w:r>
      <w:r>
        <w:t xml:space="preserve"> the research questions. </w:t>
      </w:r>
    </w:p>
    <w:p w14:paraId="3AF2FCC3" w14:textId="6A38BC68" w:rsidR="00896345" w:rsidRDefault="00896345" w:rsidP="00C324F3">
      <w:pPr>
        <w:pStyle w:val="ListParagraph"/>
        <w:numPr>
          <w:ilvl w:val="0"/>
          <w:numId w:val="7"/>
        </w:numPr>
        <w:jc w:val="both"/>
      </w:pPr>
      <w:r>
        <w:t>Identify systematic reviews (non-Cochrane) from the published literature that address</w:t>
      </w:r>
      <w:r w:rsidR="007D7537">
        <w:t>ed</w:t>
      </w:r>
      <w:r>
        <w:t xml:space="preserve"> any research questions that ha</w:t>
      </w:r>
      <w:r w:rsidR="00F15668">
        <w:t>d</w:t>
      </w:r>
      <w:r>
        <w:t xml:space="preserve"> not been adequately answered within the Cochrane </w:t>
      </w:r>
      <w:r w:rsidR="009D1585">
        <w:t>R</w:t>
      </w:r>
      <w:r>
        <w:t>eviews identified in 1</w:t>
      </w:r>
      <w:r w:rsidR="00B34A0C">
        <w:t>, or which had been published subsequent to the most recent Cochrane Review and included additional evidence.</w:t>
      </w:r>
    </w:p>
    <w:p w14:paraId="16D7916B" w14:textId="44321AEE" w:rsidR="00896345" w:rsidRPr="00D60AAD" w:rsidRDefault="00896345" w:rsidP="00C324F3">
      <w:pPr>
        <w:pStyle w:val="ListParagraph"/>
        <w:numPr>
          <w:ilvl w:val="0"/>
          <w:numId w:val="7"/>
        </w:numPr>
        <w:jc w:val="both"/>
      </w:pPr>
      <w:r w:rsidRPr="00D60AAD">
        <w:t>Where needed and as agreed with the Department, supplement the evidence base from 1 and 2 with the most recent primary evidence.</w:t>
      </w:r>
    </w:p>
    <w:p w14:paraId="66F281C5" w14:textId="7C443F91" w:rsidR="00896345" w:rsidRDefault="00896345" w:rsidP="00B00198">
      <w:pPr>
        <w:pStyle w:val="ListParagraph"/>
        <w:numPr>
          <w:ilvl w:val="0"/>
          <w:numId w:val="7"/>
        </w:numPr>
        <w:spacing w:after="120"/>
        <w:ind w:left="357" w:hanging="357"/>
        <w:contextualSpacing w:val="0"/>
        <w:jc w:val="both"/>
      </w:pPr>
      <w:r>
        <w:t>Compare the evidence base from</w:t>
      </w:r>
      <w:r w:rsidR="00D60AAD">
        <w:t xml:space="preserve"> </w:t>
      </w:r>
      <w:r>
        <w:t>1-3 with the evidence previously reviewed by the PBAC.</w:t>
      </w:r>
    </w:p>
    <w:p w14:paraId="1E13CCFC" w14:textId="3A6971F6" w:rsidR="006B7279" w:rsidRPr="00EB531B" w:rsidRDefault="00303E6B" w:rsidP="00B00198">
      <w:pPr>
        <w:pStyle w:val="Heading4"/>
        <w:numPr>
          <w:ilvl w:val="0"/>
          <w:numId w:val="0"/>
        </w:numPr>
        <w:spacing w:after="120"/>
        <w:jc w:val="both"/>
        <w:rPr>
          <w:rFonts w:cs="Calibri"/>
          <w:iCs w:val="0"/>
          <w:szCs w:val="28"/>
        </w:rPr>
      </w:pPr>
      <w:r>
        <w:t>Literature search methods</w:t>
      </w:r>
    </w:p>
    <w:p w14:paraId="790881AE" w14:textId="6F588E55" w:rsidR="00991F00" w:rsidRDefault="009B6695" w:rsidP="00B00198">
      <w:pPr>
        <w:spacing w:after="120"/>
        <w:jc w:val="both"/>
      </w:pPr>
      <w:r>
        <w:t xml:space="preserve">A systematic literature review was conducted </w:t>
      </w:r>
      <w:r w:rsidR="00090FD2">
        <w:t xml:space="preserve">in July 2020 to identify relevant </w:t>
      </w:r>
      <w:r w:rsidR="00A01BF2">
        <w:t>publications</w:t>
      </w:r>
      <w:r w:rsidR="00090FD2">
        <w:t xml:space="preserve"> </w:t>
      </w:r>
      <w:r w:rsidR="00AD0D33">
        <w:t xml:space="preserve">based on the PICO criteria. </w:t>
      </w:r>
      <w:r w:rsidR="003508B6" w:rsidRPr="003508B6">
        <w:t>Systematic searches</w:t>
      </w:r>
      <w:r w:rsidR="00B0041F">
        <w:t xml:space="preserve"> </w:t>
      </w:r>
      <w:r w:rsidR="00991F00">
        <w:t xml:space="preserve">were </w:t>
      </w:r>
      <w:r w:rsidR="003508B6" w:rsidRPr="003508B6">
        <w:t>conducted in the following electronic databases:</w:t>
      </w:r>
      <w:r w:rsidR="00991F00">
        <w:t xml:space="preserve"> </w:t>
      </w:r>
      <w:r w:rsidR="00991F00" w:rsidRPr="001B1E24">
        <w:t>Ovid Embase + MEDLINE + Epub Ahead of Print, In-Process &amp; Other Non-Indexed Citations</w:t>
      </w:r>
      <w:r w:rsidR="00356A8B">
        <w:t>,</w:t>
      </w:r>
      <w:r w:rsidR="004C6C10">
        <w:t xml:space="preserve"> and</w:t>
      </w:r>
      <w:r w:rsidR="00991F00" w:rsidRPr="001B1E24">
        <w:t xml:space="preserve"> </w:t>
      </w:r>
      <w:r w:rsidR="00F27F95">
        <w:t>t</w:t>
      </w:r>
      <w:r w:rsidR="00991F00" w:rsidRPr="001B1E24">
        <w:t>he Cochrane Library databases</w:t>
      </w:r>
      <w:r w:rsidR="00356A8B">
        <w:t xml:space="preserve">; using the search strategies outlined </w:t>
      </w:r>
      <w:r w:rsidR="00991F00">
        <w:t xml:space="preserve">in </w:t>
      </w:r>
      <w:r w:rsidR="00991F00" w:rsidRPr="00664A05">
        <w:t>Appendix</w:t>
      </w:r>
      <w:r w:rsidR="009027D2">
        <w:t xml:space="preserve"> </w:t>
      </w:r>
      <w:r w:rsidR="009027D2">
        <w:fldChar w:fldCharType="begin" w:fldLock="1"/>
      </w:r>
      <w:r w:rsidR="009027D2">
        <w:instrText xml:space="preserve"> REF _Ref49755631 \h </w:instrText>
      </w:r>
      <w:r w:rsidR="00CB337B">
        <w:instrText xml:space="preserve"> \* MERGEFORMAT </w:instrText>
      </w:r>
      <w:r w:rsidR="009027D2">
        <w:fldChar w:fldCharType="separate"/>
      </w:r>
      <w:r w:rsidR="00EC5CC7" w:rsidRPr="00EC5CC7">
        <w:t xml:space="preserve">Table </w:t>
      </w:r>
      <w:r w:rsidR="00EC5CC7" w:rsidRPr="00EC5CC7">
        <w:rPr>
          <w:noProof/>
        </w:rPr>
        <w:t>136</w:t>
      </w:r>
      <w:r w:rsidR="009027D2">
        <w:fldChar w:fldCharType="end"/>
      </w:r>
      <w:r w:rsidR="00991F00" w:rsidRPr="00664A05">
        <w:t>.</w:t>
      </w:r>
      <w:r w:rsidR="00991F00" w:rsidRPr="001B1E24">
        <w:t xml:space="preserve"> The search </w:t>
      </w:r>
      <w:r w:rsidR="00991F00">
        <w:t>was</w:t>
      </w:r>
      <w:r w:rsidR="00991F00" w:rsidRPr="001B1E24">
        <w:t xml:space="preserve"> not limited by date but </w:t>
      </w:r>
      <w:r w:rsidR="00991F00">
        <w:t>was</w:t>
      </w:r>
      <w:r w:rsidR="00991F00" w:rsidRPr="001B1E24">
        <w:t xml:space="preserve"> restricted to English language.</w:t>
      </w:r>
      <w:r w:rsidR="00991F00">
        <w:t xml:space="preserve"> S</w:t>
      </w:r>
      <w:r w:rsidR="00991F00" w:rsidRPr="001F367B">
        <w:t>earch terms comprising indexed keywords (subject headings) and free text terms appearing in titles and/or abstracts of records w</w:t>
      </w:r>
      <w:r w:rsidR="00991F00">
        <w:t>ere us</w:t>
      </w:r>
      <w:r w:rsidR="00991F00" w:rsidRPr="001F367B">
        <w:t xml:space="preserve">ed to filter the search retrieval in the first instance to meta-analyses, pooled </w:t>
      </w:r>
      <w:r w:rsidR="008260A0" w:rsidRPr="001F367B">
        <w:t>analyses,</w:t>
      </w:r>
      <w:r w:rsidR="00991F00" w:rsidRPr="001F367B">
        <w:t xml:space="preserve"> and systematic reviews.</w:t>
      </w:r>
    </w:p>
    <w:p w14:paraId="0A0E96D8" w14:textId="51C8E86A" w:rsidR="00836D08" w:rsidRPr="00C47240" w:rsidRDefault="004749FA" w:rsidP="00B00198">
      <w:pPr>
        <w:spacing w:after="120"/>
        <w:jc w:val="both"/>
        <w:rPr>
          <w:strike/>
        </w:rPr>
      </w:pPr>
      <w:r>
        <w:t>As requested by the Department, a</w:t>
      </w:r>
      <w:r w:rsidR="00CC7E96">
        <w:t xml:space="preserve"> supplemental search was </w:t>
      </w:r>
      <w:r w:rsidR="003C1ECC">
        <w:t>conducted to update the primary evidence base for the syst</w:t>
      </w:r>
      <w:r w:rsidR="00AC5DA2">
        <w:t>ematic reviews that provided comparative efficacy and</w:t>
      </w:r>
      <w:r w:rsidR="00A24AD1">
        <w:t>/or</w:t>
      </w:r>
      <w:r w:rsidR="00AC5DA2">
        <w:t xml:space="preserve"> safety </w:t>
      </w:r>
      <w:r w:rsidR="00A24AD1">
        <w:t>of</w:t>
      </w:r>
      <w:r w:rsidR="00AC5DA2">
        <w:t xml:space="preserve"> PBS-listed </w:t>
      </w:r>
      <w:r w:rsidR="00A24AD1">
        <w:t>m</w:t>
      </w:r>
      <w:r w:rsidR="00AA39B6">
        <w:t>ono</w:t>
      </w:r>
      <w:r w:rsidR="00FE1BEF">
        <w:t>therapies</w:t>
      </w:r>
      <w:r w:rsidR="00AA39B6">
        <w:t xml:space="preserve"> </w:t>
      </w:r>
      <w:r w:rsidR="00BC19B0">
        <w:t xml:space="preserve">used alone or in combination </w:t>
      </w:r>
      <w:r w:rsidR="00AA39B6">
        <w:t>for smoking cessation</w:t>
      </w:r>
      <w:r w:rsidR="00C34343">
        <w:t xml:space="preserve"> or that </w:t>
      </w:r>
      <w:r w:rsidR="0092514B">
        <w:t xml:space="preserve">compared NRT combinations, </w:t>
      </w:r>
      <w:r w:rsidR="008260A0">
        <w:t>forms,</w:t>
      </w:r>
      <w:r w:rsidR="0092514B">
        <w:t xml:space="preserve"> and dosing. </w:t>
      </w:r>
      <w:r w:rsidR="00CA6A98">
        <w:t>Th</w:t>
      </w:r>
      <w:r w:rsidR="006E51C0">
        <w:t xml:space="preserve">e search strategy </w:t>
      </w:r>
      <w:r w:rsidR="007C6C18">
        <w:t>replicated</w:t>
      </w:r>
      <w:r w:rsidR="00260340">
        <w:t xml:space="preserve"> </w:t>
      </w:r>
      <w:r w:rsidR="006E51C0">
        <w:t xml:space="preserve">the original search </w:t>
      </w:r>
      <w:r w:rsidR="00260340">
        <w:t xml:space="preserve">without the limitation to systematic </w:t>
      </w:r>
      <w:r w:rsidR="00260340" w:rsidRPr="006130D4">
        <w:t>reviews</w:t>
      </w:r>
      <w:r w:rsidR="00B02624" w:rsidRPr="006130D4">
        <w:t>/meta-analyses</w:t>
      </w:r>
      <w:r w:rsidR="00590C09" w:rsidRPr="005855B3">
        <w:t>. The date limitations</w:t>
      </w:r>
      <w:r w:rsidR="00A72169" w:rsidRPr="0039640E">
        <w:t xml:space="preserve"> </w:t>
      </w:r>
      <w:r w:rsidR="002025D5" w:rsidRPr="0039640E">
        <w:t xml:space="preserve">for each comparison outlined </w:t>
      </w:r>
      <w:r w:rsidR="009262C4" w:rsidRPr="006130D4">
        <w:t>in</w:t>
      </w:r>
      <w:r w:rsidR="002025D5" w:rsidRPr="006130D4">
        <w:t xml:space="preserve"> </w:t>
      </w:r>
      <w:r w:rsidR="006130D4" w:rsidRPr="00C47240">
        <w:fldChar w:fldCharType="begin" w:fldLock="1"/>
      </w:r>
      <w:r w:rsidR="006130D4" w:rsidRPr="006130D4">
        <w:instrText xml:space="preserve"> REF _Ref61474499 \h </w:instrText>
      </w:r>
      <w:r w:rsidR="006130D4">
        <w:instrText xml:space="preserve"> \* MERGEFORMAT </w:instrText>
      </w:r>
      <w:r w:rsidR="006130D4" w:rsidRPr="00C47240">
        <w:fldChar w:fldCharType="separate"/>
      </w:r>
      <w:r w:rsidR="00EC5CC7">
        <w:t xml:space="preserve">Table </w:t>
      </w:r>
      <w:r w:rsidR="00EC5CC7">
        <w:rPr>
          <w:noProof/>
        </w:rPr>
        <w:t>2</w:t>
      </w:r>
      <w:r w:rsidR="006130D4" w:rsidRPr="00C47240">
        <w:fldChar w:fldCharType="end"/>
      </w:r>
      <w:r w:rsidR="006130D4" w:rsidRPr="00C47240">
        <w:t xml:space="preserve"> </w:t>
      </w:r>
      <w:r w:rsidR="00A72169" w:rsidRPr="006130D4">
        <w:t>w</w:t>
      </w:r>
      <w:r w:rsidR="00A72169">
        <w:t>ere based on the</w:t>
      </w:r>
      <w:r w:rsidR="009461E6">
        <w:t xml:space="preserve"> upper date of the search limit in the relevant Cochrane review.</w:t>
      </w:r>
    </w:p>
    <w:p w14:paraId="2EE1034C" w14:textId="5AE95A97" w:rsidR="006B7279" w:rsidRDefault="006B7279" w:rsidP="00B00198">
      <w:pPr>
        <w:pStyle w:val="Heading4"/>
        <w:numPr>
          <w:ilvl w:val="0"/>
          <w:numId w:val="0"/>
        </w:numPr>
        <w:spacing w:after="120"/>
        <w:jc w:val="both"/>
      </w:pPr>
      <w:r w:rsidRPr="00EB531B">
        <w:lastRenderedPageBreak/>
        <w:t>Inclusion/Exclusion Criteria</w:t>
      </w:r>
    </w:p>
    <w:p w14:paraId="6F07284B" w14:textId="0D643336" w:rsidR="00380264" w:rsidRDefault="006D6BFD" w:rsidP="00B00198">
      <w:pPr>
        <w:spacing w:after="120"/>
        <w:jc w:val="both"/>
      </w:pPr>
      <w:r>
        <w:t xml:space="preserve">A summary of the </w:t>
      </w:r>
      <w:r w:rsidR="00573888">
        <w:t xml:space="preserve">study inclusion criteria is presented below. </w:t>
      </w:r>
      <w:r w:rsidR="00C7583E">
        <w:t>Papers</w:t>
      </w:r>
      <w:r w:rsidR="00365A78">
        <w:t xml:space="preserve"> not meeting the</w:t>
      </w:r>
      <w:r w:rsidR="00573888">
        <w:t>se</w:t>
      </w:r>
      <w:r w:rsidR="00365A78">
        <w:t xml:space="preserve"> criteria were excluded from further review. </w:t>
      </w:r>
      <w:r w:rsidR="000C0ADF" w:rsidRPr="000C0ADF">
        <w:t>Citations deemed potentially relevant were further assessed against these criteria upon review of full text publications.</w:t>
      </w:r>
    </w:p>
    <w:p w14:paraId="13495967" w14:textId="5E1B783F" w:rsidR="00696FA2" w:rsidRDefault="00696FA2" w:rsidP="00B00198">
      <w:pPr>
        <w:spacing w:after="120"/>
        <w:jc w:val="both"/>
      </w:pPr>
      <w:r>
        <w:t>Prim</w:t>
      </w:r>
      <w:r w:rsidR="00C334CC">
        <w:t>ary literature search</w:t>
      </w:r>
      <w:r w:rsidR="00173FC3">
        <w:t>:</w:t>
      </w:r>
    </w:p>
    <w:p w14:paraId="00A1B964" w14:textId="77777777" w:rsidR="00380264" w:rsidRDefault="00380264" w:rsidP="00B00198">
      <w:pPr>
        <w:pStyle w:val="ListParagraph"/>
        <w:numPr>
          <w:ilvl w:val="0"/>
          <w:numId w:val="5"/>
        </w:numPr>
        <w:spacing w:after="0"/>
        <w:ind w:left="357" w:hanging="357"/>
        <w:contextualSpacing w:val="0"/>
        <w:jc w:val="both"/>
      </w:pPr>
      <w:r>
        <w:t>Systematic review</w:t>
      </w:r>
    </w:p>
    <w:p w14:paraId="5751D36B" w14:textId="77777777" w:rsidR="00365A78" w:rsidRDefault="00365A78" w:rsidP="00C324F3">
      <w:pPr>
        <w:pStyle w:val="ListParagraph"/>
        <w:numPr>
          <w:ilvl w:val="0"/>
          <w:numId w:val="5"/>
        </w:numPr>
        <w:jc w:val="both"/>
      </w:pPr>
      <w:r>
        <w:t xml:space="preserve">Meta-analysis </w:t>
      </w:r>
    </w:p>
    <w:p w14:paraId="7928A282" w14:textId="77777777" w:rsidR="00365A78" w:rsidRDefault="00365A78" w:rsidP="00C324F3">
      <w:pPr>
        <w:pStyle w:val="ListParagraph"/>
        <w:numPr>
          <w:ilvl w:val="0"/>
          <w:numId w:val="5"/>
        </w:numPr>
        <w:jc w:val="both"/>
      </w:pPr>
      <w:r>
        <w:t xml:space="preserve">Human </w:t>
      </w:r>
    </w:p>
    <w:p w14:paraId="26EF5D73" w14:textId="77777777" w:rsidR="00365A78" w:rsidRDefault="00365A78" w:rsidP="00C324F3">
      <w:pPr>
        <w:pStyle w:val="ListParagraph"/>
        <w:numPr>
          <w:ilvl w:val="0"/>
          <w:numId w:val="5"/>
        </w:numPr>
        <w:jc w:val="both"/>
      </w:pPr>
      <w:r>
        <w:t>English language</w:t>
      </w:r>
    </w:p>
    <w:p w14:paraId="0AA8A30B" w14:textId="56CB3E42" w:rsidR="00C334CC" w:rsidRDefault="00365A78" w:rsidP="00C324F3">
      <w:pPr>
        <w:pStyle w:val="ListParagraph"/>
        <w:numPr>
          <w:ilvl w:val="0"/>
          <w:numId w:val="5"/>
        </w:numPr>
        <w:jc w:val="both"/>
      </w:pPr>
      <w:r>
        <w:t>Providing data that can answer one or more of the research questions</w:t>
      </w:r>
      <w:r w:rsidR="00F8094A">
        <w:t xml:space="preserve">. For research question </w:t>
      </w:r>
      <w:r w:rsidR="001C5025">
        <w:t>five</w:t>
      </w:r>
      <w:r w:rsidR="00F8094A">
        <w:t>,</w:t>
      </w:r>
      <w:r w:rsidR="00EC2A8D">
        <w:t xml:space="preserve"> the populations of interest identified from T</w:t>
      </w:r>
      <w:r w:rsidR="00D10766">
        <w:t>o</w:t>
      </w:r>
      <w:r w:rsidR="00EC2A8D">
        <w:t>R</w:t>
      </w:r>
      <w:r w:rsidR="00B00198">
        <w:t xml:space="preserve"> </w:t>
      </w:r>
      <w:r w:rsidR="00EC2A8D">
        <w:t xml:space="preserve">1 for review were pregnancy and </w:t>
      </w:r>
      <w:r w:rsidR="00E75C27">
        <w:t>adolescents.</w:t>
      </w:r>
    </w:p>
    <w:p w14:paraId="06A0F6B5" w14:textId="35F94B37" w:rsidR="00C3105E" w:rsidRDefault="0082251E" w:rsidP="00B00198">
      <w:pPr>
        <w:pStyle w:val="ListParagraph"/>
        <w:numPr>
          <w:ilvl w:val="0"/>
          <w:numId w:val="5"/>
        </w:numPr>
        <w:spacing w:after="120"/>
        <w:ind w:left="357" w:hanging="357"/>
        <w:contextualSpacing w:val="0"/>
        <w:jc w:val="both"/>
      </w:pPr>
      <w:r>
        <w:t>For non-Cochrane systematic reviews</w:t>
      </w:r>
      <w:r w:rsidR="00783E94">
        <w:t xml:space="preserve">: </w:t>
      </w:r>
      <w:r>
        <w:t>published after the uppe</w:t>
      </w:r>
      <w:r w:rsidR="00F4531A">
        <w:t>r search date limit of the relevant Cochrane review</w:t>
      </w:r>
      <w:r w:rsidR="00783E94">
        <w:t>.</w:t>
      </w:r>
    </w:p>
    <w:p w14:paraId="2C220775" w14:textId="55AAA1BA" w:rsidR="00B629FA" w:rsidRDefault="00C334CC" w:rsidP="00B00198">
      <w:pPr>
        <w:spacing w:after="120"/>
        <w:jc w:val="both"/>
      </w:pPr>
      <w:r>
        <w:t>Supplem</w:t>
      </w:r>
      <w:r w:rsidR="004749FA">
        <w:t xml:space="preserve">ental </w:t>
      </w:r>
      <w:r w:rsidR="00173FC3">
        <w:t>l</w:t>
      </w:r>
      <w:r w:rsidR="00B629FA">
        <w:t>iterature search</w:t>
      </w:r>
      <w:r w:rsidR="00173FC3">
        <w:t>:</w:t>
      </w:r>
    </w:p>
    <w:p w14:paraId="5BC261CF" w14:textId="0E5A12CA" w:rsidR="002B1F54" w:rsidRDefault="002B1F54" w:rsidP="00C324F3">
      <w:pPr>
        <w:pStyle w:val="ListParagraph"/>
        <w:numPr>
          <w:ilvl w:val="0"/>
          <w:numId w:val="5"/>
        </w:numPr>
        <w:jc w:val="both"/>
      </w:pPr>
      <w:r>
        <w:t>Phase 3+ randomised controlled trials</w:t>
      </w:r>
    </w:p>
    <w:p w14:paraId="697E9B5D" w14:textId="77777777" w:rsidR="002B1F54" w:rsidRDefault="002B1F54" w:rsidP="00C324F3">
      <w:pPr>
        <w:pStyle w:val="ListParagraph"/>
        <w:numPr>
          <w:ilvl w:val="0"/>
          <w:numId w:val="5"/>
        </w:numPr>
        <w:jc w:val="both"/>
      </w:pPr>
      <w:r>
        <w:t xml:space="preserve">Human </w:t>
      </w:r>
    </w:p>
    <w:p w14:paraId="391B2716" w14:textId="77777777" w:rsidR="002B1F54" w:rsidRDefault="002B1F54" w:rsidP="00C324F3">
      <w:pPr>
        <w:pStyle w:val="ListParagraph"/>
        <w:numPr>
          <w:ilvl w:val="0"/>
          <w:numId w:val="5"/>
        </w:numPr>
        <w:jc w:val="both"/>
      </w:pPr>
      <w:r>
        <w:t>English language</w:t>
      </w:r>
    </w:p>
    <w:p w14:paraId="61B74AD6" w14:textId="73BA1926" w:rsidR="002B1F54" w:rsidRDefault="00D46381" w:rsidP="00C324F3">
      <w:pPr>
        <w:pStyle w:val="ListParagraph"/>
        <w:numPr>
          <w:ilvl w:val="0"/>
          <w:numId w:val="5"/>
        </w:numPr>
        <w:jc w:val="both"/>
      </w:pPr>
      <w:r>
        <w:t xml:space="preserve">Efficacy, measured as smoking cessation </w:t>
      </w:r>
      <w:r w:rsidR="00436940">
        <w:t>rates</w:t>
      </w:r>
      <w:r>
        <w:t xml:space="preserve">, intended to be reported at least </w:t>
      </w:r>
      <w:r w:rsidR="001C5025">
        <w:t>six</w:t>
      </w:r>
      <w:r>
        <w:t xml:space="preserve"> months after baseline</w:t>
      </w:r>
    </w:p>
    <w:p w14:paraId="7E69C75E" w14:textId="05835C5E" w:rsidR="00E22106" w:rsidRDefault="00E22106" w:rsidP="00C324F3">
      <w:pPr>
        <w:pStyle w:val="ListParagraph"/>
        <w:numPr>
          <w:ilvl w:val="0"/>
          <w:numId w:val="5"/>
        </w:numPr>
        <w:jc w:val="both"/>
      </w:pPr>
      <w:r>
        <w:t>Adult smokers (bupropion or varenicline</w:t>
      </w:r>
      <w:r w:rsidR="001C3790">
        <w:t xml:space="preserve">). No age restriction was </w:t>
      </w:r>
      <w:r w:rsidR="003744B5">
        <w:t>placed on trials testing NRT.</w:t>
      </w:r>
    </w:p>
    <w:p w14:paraId="1B7B2BA9" w14:textId="3D658661" w:rsidR="00270FEF" w:rsidRDefault="00270FEF" w:rsidP="00AE6476">
      <w:pPr>
        <w:pStyle w:val="ListParagraph"/>
        <w:numPr>
          <w:ilvl w:val="0"/>
          <w:numId w:val="5"/>
        </w:numPr>
        <w:spacing w:after="120"/>
        <w:ind w:left="357" w:hanging="357"/>
        <w:contextualSpacing w:val="0"/>
        <w:jc w:val="both"/>
      </w:pPr>
      <w:r>
        <w:t>For studies comparing</w:t>
      </w:r>
      <w:r w:rsidR="001B7773">
        <w:t xml:space="preserve"> different NRT</w:t>
      </w:r>
      <w:r w:rsidR="001F553C">
        <w:t xml:space="preserve"> </w:t>
      </w:r>
      <w:r w:rsidR="009A7051">
        <w:t>regimes</w:t>
      </w:r>
      <w:r w:rsidR="007B219C">
        <w:t xml:space="preserve"> </w:t>
      </w:r>
      <w:r w:rsidR="00D516C0">
        <w:t>in which</w:t>
      </w:r>
      <w:r w:rsidR="001F553C">
        <w:t xml:space="preserve"> an additional intervention component</w:t>
      </w:r>
      <w:r w:rsidR="002C3317">
        <w:t xml:space="preserve"> </w:t>
      </w:r>
      <w:r w:rsidR="00553CC1">
        <w:t>was</w:t>
      </w:r>
      <w:r w:rsidR="002C3317">
        <w:t xml:space="preserve"> </w:t>
      </w:r>
      <w:r w:rsidR="00D516C0">
        <w:t>received in one study arm</w:t>
      </w:r>
      <w:r w:rsidR="00AE2818">
        <w:t xml:space="preserve">, the effect </w:t>
      </w:r>
      <w:r w:rsidR="00F4531A">
        <w:t>resulting from</w:t>
      </w:r>
      <w:r w:rsidR="0046038D">
        <w:t xml:space="preserve"> the difference in NRT</w:t>
      </w:r>
      <w:r w:rsidR="00422C72">
        <w:t xml:space="preserve"> use must be discernible from </w:t>
      </w:r>
      <w:r w:rsidR="002C3317">
        <w:t xml:space="preserve">that </w:t>
      </w:r>
      <w:r w:rsidR="00422C72">
        <w:t>additional component</w:t>
      </w:r>
      <w:r w:rsidR="00D516C0">
        <w:t>.</w:t>
      </w:r>
    </w:p>
    <w:p w14:paraId="6316AFA7" w14:textId="1AAEF9C2" w:rsidR="006B7279" w:rsidRPr="00EB531B" w:rsidRDefault="006B7279" w:rsidP="00AE6476">
      <w:pPr>
        <w:pStyle w:val="Heading4"/>
        <w:numPr>
          <w:ilvl w:val="0"/>
          <w:numId w:val="0"/>
        </w:numPr>
        <w:spacing w:after="120"/>
        <w:jc w:val="both"/>
        <w:rPr>
          <w:rFonts w:cs="Calibri"/>
          <w:iCs w:val="0"/>
          <w:szCs w:val="28"/>
        </w:rPr>
      </w:pPr>
      <w:r w:rsidRPr="00EB531B">
        <w:t>S</w:t>
      </w:r>
      <w:r w:rsidR="007F6236">
        <w:t>tudy selection and screening</w:t>
      </w:r>
    </w:p>
    <w:p w14:paraId="5BFF01F0" w14:textId="55E1401D" w:rsidR="006B7279" w:rsidRPr="00EB531B" w:rsidRDefault="003063AD" w:rsidP="00AE6476">
      <w:pPr>
        <w:spacing w:after="120"/>
        <w:jc w:val="both"/>
        <w:rPr>
          <w:rFonts w:cs="Calibri"/>
          <w:i/>
        </w:rPr>
      </w:pPr>
      <w:r w:rsidRPr="003063AD">
        <w:rPr>
          <w:rFonts w:cs="Calibri"/>
        </w:rPr>
        <w:t xml:space="preserve">The screening and selection phases were conducted by two reviewers using Endnote. Following the removal of duplicates, articles were reviewed by title and abstract to identify potentially relevant reviews. All reviews that clearly did not meet the inclusion criteria in terms of study type, population or interventions were excluded. Full-text articles were retrieved and further reviewed against the inclusion/exclusion criteria. </w:t>
      </w:r>
      <w:r w:rsidR="00B12764" w:rsidRPr="003063AD">
        <w:rPr>
          <w:rFonts w:cs="Calibri"/>
        </w:rPr>
        <w:t xml:space="preserve">Any publications </w:t>
      </w:r>
      <w:r w:rsidR="00B12764">
        <w:rPr>
          <w:rFonts w:cs="Calibri"/>
        </w:rPr>
        <w:t>for which the full</w:t>
      </w:r>
      <w:r w:rsidR="00C9048D">
        <w:rPr>
          <w:rFonts w:cs="Calibri"/>
        </w:rPr>
        <w:t>-</w:t>
      </w:r>
      <w:r w:rsidR="00B12764">
        <w:rPr>
          <w:rFonts w:cs="Calibri"/>
        </w:rPr>
        <w:t>text</w:t>
      </w:r>
      <w:r w:rsidR="00B12764" w:rsidRPr="003063AD">
        <w:rPr>
          <w:rFonts w:cs="Calibri"/>
        </w:rPr>
        <w:t xml:space="preserve"> </w:t>
      </w:r>
      <w:r w:rsidR="00B12764">
        <w:rPr>
          <w:rFonts w:cs="Calibri"/>
        </w:rPr>
        <w:t xml:space="preserve">articles </w:t>
      </w:r>
      <w:r w:rsidR="00B12764" w:rsidRPr="003063AD">
        <w:rPr>
          <w:rFonts w:cs="Calibri"/>
        </w:rPr>
        <w:t xml:space="preserve">were </w:t>
      </w:r>
      <w:r w:rsidR="00B12764">
        <w:rPr>
          <w:rFonts w:cs="Calibri"/>
        </w:rPr>
        <w:t>not</w:t>
      </w:r>
      <w:r w:rsidR="00B12764" w:rsidRPr="003063AD">
        <w:rPr>
          <w:rFonts w:cs="Calibri"/>
        </w:rPr>
        <w:t xml:space="preserve"> access</w:t>
      </w:r>
      <w:r w:rsidR="00B12764">
        <w:rPr>
          <w:rFonts w:cs="Calibri"/>
        </w:rPr>
        <w:t>ible</w:t>
      </w:r>
      <w:r w:rsidR="00B12764" w:rsidRPr="003063AD">
        <w:rPr>
          <w:rFonts w:cs="Calibri"/>
        </w:rPr>
        <w:t xml:space="preserve"> were also excluded. </w:t>
      </w:r>
      <w:r w:rsidRPr="003063AD">
        <w:rPr>
          <w:rFonts w:cs="Calibri"/>
        </w:rPr>
        <w:t>Discrepancies were resolved by consensus with a third reviewer.</w:t>
      </w:r>
    </w:p>
    <w:p w14:paraId="3663FA09" w14:textId="6FF2A10D" w:rsidR="006B7279" w:rsidRPr="00EB531B" w:rsidRDefault="003063AD" w:rsidP="00AE6476">
      <w:pPr>
        <w:pStyle w:val="Heading4"/>
        <w:numPr>
          <w:ilvl w:val="0"/>
          <w:numId w:val="0"/>
        </w:numPr>
        <w:spacing w:after="120"/>
        <w:jc w:val="both"/>
        <w:rPr>
          <w:rFonts w:cs="Calibri"/>
          <w:iCs w:val="0"/>
          <w:szCs w:val="28"/>
        </w:rPr>
      </w:pPr>
      <w:r>
        <w:t>Data extraction</w:t>
      </w:r>
    </w:p>
    <w:p w14:paraId="347BF23A" w14:textId="76E7AC15" w:rsidR="006B7279" w:rsidRPr="00EB531B" w:rsidRDefault="0040344B" w:rsidP="00AE6476">
      <w:pPr>
        <w:spacing w:after="120"/>
        <w:jc w:val="both"/>
        <w:rPr>
          <w:rFonts w:cs="Calibri"/>
        </w:rPr>
      </w:pPr>
      <w:r w:rsidRPr="0040344B">
        <w:rPr>
          <w:rFonts w:cs="Calibri"/>
        </w:rPr>
        <w:t>Data w</w:t>
      </w:r>
      <w:r w:rsidR="00B12764">
        <w:rPr>
          <w:rFonts w:cs="Calibri"/>
        </w:rPr>
        <w:t>ere</w:t>
      </w:r>
      <w:r w:rsidRPr="0040344B">
        <w:rPr>
          <w:rFonts w:cs="Calibri"/>
        </w:rPr>
        <w:t xml:space="preserve"> extracted using pre-determined data extraction form</w:t>
      </w:r>
      <w:r w:rsidR="001F0927">
        <w:rPr>
          <w:rFonts w:cs="Calibri"/>
        </w:rPr>
        <w:t>s</w:t>
      </w:r>
      <w:r w:rsidRPr="0040344B">
        <w:rPr>
          <w:rFonts w:cs="Calibri"/>
        </w:rPr>
        <w:t xml:space="preserve"> developed in </w:t>
      </w:r>
      <w:r w:rsidR="00CF1242">
        <w:rPr>
          <w:rFonts w:cs="Calibri"/>
        </w:rPr>
        <w:t>M</w:t>
      </w:r>
      <w:r w:rsidR="00CB337B">
        <w:rPr>
          <w:rFonts w:cs="Calibri"/>
        </w:rPr>
        <w:t xml:space="preserve">icrosoft </w:t>
      </w:r>
      <w:r w:rsidRPr="0040344B">
        <w:rPr>
          <w:rFonts w:cs="Calibri"/>
        </w:rPr>
        <w:t xml:space="preserve">Excel. Data points included (but were not limited to): author, year of review, method, review question, database used, inclusion criteria and exclusion criteria, total number of participants (n-values) studied, at risk population, total number of included studies, description of </w:t>
      </w:r>
      <w:r w:rsidR="00B63CEA" w:rsidRPr="0040344B">
        <w:rPr>
          <w:rFonts w:cs="Calibri"/>
        </w:rPr>
        <w:t>i</w:t>
      </w:r>
      <w:r w:rsidRPr="0040344B">
        <w:rPr>
          <w:rFonts w:cs="Calibri"/>
        </w:rPr>
        <w:t>ntervention and comparator used, duration of treatment, dose, formulation, combination of pharmacotherapy studied, outcomes, and key conclusions.</w:t>
      </w:r>
    </w:p>
    <w:p w14:paraId="12087570" w14:textId="51E457F3" w:rsidR="006B7279" w:rsidRPr="00EB531B" w:rsidRDefault="0040344B" w:rsidP="00AE6476">
      <w:pPr>
        <w:pStyle w:val="Heading4"/>
        <w:numPr>
          <w:ilvl w:val="0"/>
          <w:numId w:val="0"/>
        </w:numPr>
        <w:spacing w:after="120"/>
        <w:jc w:val="both"/>
        <w:rPr>
          <w:rFonts w:cs="Calibri"/>
          <w:iCs w:val="0"/>
          <w:szCs w:val="28"/>
        </w:rPr>
      </w:pPr>
      <w:r>
        <w:lastRenderedPageBreak/>
        <w:t>Quality assessment</w:t>
      </w:r>
    </w:p>
    <w:p w14:paraId="698DFF69" w14:textId="6DCD703D" w:rsidR="006B7279" w:rsidRDefault="00727F3C" w:rsidP="00AE6476">
      <w:pPr>
        <w:spacing w:after="120"/>
        <w:jc w:val="both"/>
        <w:rPr>
          <w:rFonts w:cs="Calibri"/>
        </w:rPr>
      </w:pPr>
      <w:r w:rsidRPr="00727F3C">
        <w:rPr>
          <w:rFonts w:cs="Calibri"/>
        </w:rPr>
        <w:t>Two reviewers assessed the quality of the included systematic reviews as per the</w:t>
      </w:r>
      <w:r w:rsidR="00A90D5A" w:rsidRPr="00A90D5A">
        <w:rPr>
          <w:rFonts w:asciiTheme="minorHAnsi" w:hAnsiTheme="minorHAnsi" w:cs="Arial"/>
          <w:bCs/>
          <w:sz w:val="20"/>
          <w:szCs w:val="20"/>
        </w:rPr>
        <w:t xml:space="preserve"> </w:t>
      </w:r>
      <w:r w:rsidR="00A90D5A" w:rsidRPr="00A90D5A">
        <w:rPr>
          <w:rFonts w:cs="Calibri"/>
          <w:bCs/>
        </w:rPr>
        <w:t>Assessing the Methodological Quality of Systematic Reviews</w:t>
      </w:r>
      <w:r w:rsidRPr="00727F3C">
        <w:rPr>
          <w:rFonts w:cs="Calibri"/>
        </w:rPr>
        <w:t xml:space="preserve"> </w:t>
      </w:r>
      <w:r w:rsidR="00A90D5A">
        <w:rPr>
          <w:rFonts w:cs="Calibri"/>
        </w:rPr>
        <w:t>(</w:t>
      </w:r>
      <w:r w:rsidRPr="00727F3C">
        <w:rPr>
          <w:rFonts w:cs="Calibri"/>
        </w:rPr>
        <w:t>AMSTAR</w:t>
      </w:r>
      <w:r w:rsidR="00A90D5A">
        <w:rPr>
          <w:rFonts w:cs="Calibri"/>
        </w:rPr>
        <w:t>)</w:t>
      </w:r>
      <w:r w:rsidRPr="00727F3C">
        <w:rPr>
          <w:rFonts w:cs="Calibri"/>
        </w:rPr>
        <w:t xml:space="preserve"> 2 instrument with a corresponding summary measure of quality produced</w:t>
      </w:r>
      <w:r w:rsidR="006B7279" w:rsidRPr="00EB531B">
        <w:rPr>
          <w:rFonts w:cs="Calibri"/>
        </w:rPr>
        <w:t>.</w:t>
      </w:r>
    </w:p>
    <w:p w14:paraId="2F8A7D96" w14:textId="36EB0112" w:rsidR="006B2AA9" w:rsidRPr="00EB531B" w:rsidRDefault="006B2AA9" w:rsidP="00AE6476">
      <w:pPr>
        <w:spacing w:after="120"/>
        <w:jc w:val="both"/>
        <w:rPr>
          <w:rFonts w:cs="Calibri"/>
        </w:rPr>
      </w:pPr>
      <w:r>
        <w:rPr>
          <w:rFonts w:cs="Calibri"/>
        </w:rPr>
        <w:t xml:space="preserve">The </w:t>
      </w:r>
      <w:r w:rsidR="00E314F9">
        <w:rPr>
          <w:rFonts w:cs="Calibri"/>
        </w:rPr>
        <w:t>risk of bias</w:t>
      </w:r>
      <w:r w:rsidR="00632023">
        <w:rPr>
          <w:rFonts w:cs="Calibri"/>
        </w:rPr>
        <w:t xml:space="preserve"> of</w:t>
      </w:r>
      <w:r w:rsidR="00AE6476">
        <w:rPr>
          <w:rFonts w:cs="Calibri"/>
        </w:rPr>
        <w:t xml:space="preserve"> </w:t>
      </w:r>
      <w:r w:rsidR="00632023">
        <w:rPr>
          <w:rFonts w:cs="Calibri"/>
        </w:rPr>
        <w:t>RCTs included in the supple</w:t>
      </w:r>
      <w:r w:rsidR="003E214A">
        <w:rPr>
          <w:rFonts w:cs="Calibri"/>
        </w:rPr>
        <w:t xml:space="preserve">mental search was assessed using the </w:t>
      </w:r>
      <w:r w:rsidR="00E70F11">
        <w:rPr>
          <w:rFonts w:cs="Calibri"/>
        </w:rPr>
        <w:t xml:space="preserve">Cochrane Risk of Bias 2.0 Tool and the </w:t>
      </w:r>
      <w:r w:rsidR="003E214A">
        <w:rPr>
          <w:rFonts w:cs="Calibri"/>
        </w:rPr>
        <w:t xml:space="preserve">Cochrane Tobacco </w:t>
      </w:r>
      <w:r w:rsidR="00E70F11">
        <w:rPr>
          <w:rFonts w:cs="Calibri"/>
        </w:rPr>
        <w:t xml:space="preserve">Addiction Group </w:t>
      </w:r>
      <w:r w:rsidR="009C669F">
        <w:rPr>
          <w:rFonts w:cs="Calibri"/>
        </w:rPr>
        <w:t>guidelines on assessing risk of bias.</w:t>
      </w:r>
    </w:p>
    <w:p w14:paraId="078C420E" w14:textId="7243C30F" w:rsidR="006B7279" w:rsidRPr="00EB531B" w:rsidRDefault="0040344B" w:rsidP="00AE6476">
      <w:pPr>
        <w:pStyle w:val="Heading4"/>
        <w:numPr>
          <w:ilvl w:val="0"/>
          <w:numId w:val="0"/>
        </w:numPr>
        <w:spacing w:after="120"/>
        <w:jc w:val="both"/>
        <w:rPr>
          <w:rFonts w:cs="Calibri"/>
          <w:iCs w:val="0"/>
          <w:szCs w:val="28"/>
        </w:rPr>
      </w:pPr>
      <w:r>
        <w:t>Data synthesis</w:t>
      </w:r>
    </w:p>
    <w:p w14:paraId="026CFCCF" w14:textId="11614D88" w:rsidR="00177E6E" w:rsidRDefault="00BE7FF3" w:rsidP="00AE6476">
      <w:pPr>
        <w:spacing w:after="120"/>
        <w:jc w:val="both"/>
        <w:rPr>
          <w:rFonts w:asciiTheme="minorHAnsi" w:eastAsiaTheme="majorEastAsia" w:hAnsiTheme="minorHAnsi" w:cstheme="majorBidi"/>
          <w:b/>
          <w:bCs/>
          <w:color w:val="4F81BD" w:themeColor="accent1"/>
          <w:sz w:val="32"/>
          <w:szCs w:val="32"/>
        </w:rPr>
      </w:pPr>
      <w:r w:rsidRPr="00BE7FF3">
        <w:rPr>
          <w:rFonts w:cs="Calibri"/>
        </w:rPr>
        <w:t xml:space="preserve">A qualitative or narrative synthesis of the data from the literature review was conducted along with quantitative analysis if possible. </w:t>
      </w:r>
      <w:r w:rsidR="00691E78">
        <w:rPr>
          <w:rFonts w:cs="Calibri"/>
        </w:rPr>
        <w:t xml:space="preserve">Where supplemental evidence was found, the meta-analysis reported in the Cochrane reviews </w:t>
      </w:r>
      <w:r w:rsidR="00925B1B">
        <w:rPr>
          <w:rFonts w:cs="Calibri"/>
        </w:rPr>
        <w:t xml:space="preserve">was </w:t>
      </w:r>
      <w:r w:rsidR="00691E78">
        <w:rPr>
          <w:rFonts w:cs="Calibri"/>
        </w:rPr>
        <w:t>re</w:t>
      </w:r>
      <w:r w:rsidR="0069172C">
        <w:rPr>
          <w:rFonts w:cs="Calibri"/>
        </w:rPr>
        <w:t xml:space="preserve">-analysed </w:t>
      </w:r>
      <w:r w:rsidR="0081365C">
        <w:rPr>
          <w:rFonts w:cs="Calibri"/>
        </w:rPr>
        <w:t>using Rev</w:t>
      </w:r>
      <w:r w:rsidR="00237CE9">
        <w:rPr>
          <w:rFonts w:cs="Calibri"/>
        </w:rPr>
        <w:t xml:space="preserve">iew </w:t>
      </w:r>
      <w:r w:rsidR="0081365C">
        <w:rPr>
          <w:rFonts w:cs="Calibri"/>
        </w:rPr>
        <w:t>Man</w:t>
      </w:r>
      <w:r w:rsidR="00237CE9">
        <w:rPr>
          <w:rFonts w:cs="Calibri"/>
        </w:rPr>
        <w:t>ager</w:t>
      </w:r>
      <w:r w:rsidR="0081365C">
        <w:rPr>
          <w:rFonts w:cs="Calibri"/>
        </w:rPr>
        <w:t xml:space="preserve"> </w:t>
      </w:r>
      <w:r w:rsidR="00237CE9">
        <w:rPr>
          <w:rFonts w:cs="Calibri"/>
        </w:rPr>
        <w:t xml:space="preserve">5.4 software </w:t>
      </w:r>
      <w:r w:rsidR="0069172C">
        <w:rPr>
          <w:rFonts w:cs="Calibri"/>
        </w:rPr>
        <w:t xml:space="preserve">and updated using </w:t>
      </w:r>
      <w:r w:rsidR="00F61036">
        <w:rPr>
          <w:rFonts w:cs="Calibri"/>
        </w:rPr>
        <w:t>random-</w:t>
      </w:r>
      <w:r w:rsidR="00AE342A">
        <w:rPr>
          <w:rFonts w:cs="Calibri"/>
        </w:rPr>
        <w:t xml:space="preserve">effect </w:t>
      </w:r>
      <w:r w:rsidR="001D086D">
        <w:rPr>
          <w:rFonts w:cs="Calibri"/>
        </w:rPr>
        <w:t>models</w:t>
      </w:r>
      <w:r w:rsidR="00150AC9">
        <w:rPr>
          <w:rFonts w:cs="Calibri"/>
        </w:rPr>
        <w:t>, with</w:t>
      </w:r>
      <w:r w:rsidR="00453B6F">
        <w:rPr>
          <w:rFonts w:cs="Calibri"/>
        </w:rPr>
        <w:t xml:space="preserve"> outcomes</w:t>
      </w:r>
      <w:r w:rsidR="001D086D">
        <w:rPr>
          <w:rFonts w:cs="Calibri"/>
        </w:rPr>
        <w:t xml:space="preserve"> reported as both </w:t>
      </w:r>
      <w:r w:rsidR="00453B6F">
        <w:rPr>
          <w:rFonts w:cs="Calibri"/>
        </w:rPr>
        <w:t xml:space="preserve">absolute and relative effects. </w:t>
      </w:r>
      <w:r w:rsidRPr="00BE7FF3">
        <w:rPr>
          <w:rFonts w:cs="Calibri"/>
        </w:rPr>
        <w:t xml:space="preserve">Findings </w:t>
      </w:r>
      <w:r w:rsidR="00925B1B">
        <w:rPr>
          <w:rFonts w:cs="Calibri"/>
        </w:rPr>
        <w:t>were</w:t>
      </w:r>
      <w:r w:rsidRPr="00BE7FF3">
        <w:rPr>
          <w:rFonts w:cs="Calibri"/>
        </w:rPr>
        <w:t xml:space="preserve"> presented in summary tables and then compared to the clinical evidence previously reviewed by </w:t>
      </w:r>
      <w:r w:rsidR="00AE6476">
        <w:rPr>
          <w:rFonts w:cs="Calibri"/>
        </w:rPr>
        <w:t xml:space="preserve">the </w:t>
      </w:r>
      <w:r w:rsidRPr="00BE7FF3">
        <w:rPr>
          <w:rFonts w:cs="Calibri"/>
        </w:rPr>
        <w:t>PBAC</w:t>
      </w:r>
      <w:r w:rsidR="006B7279" w:rsidRPr="00EB531B">
        <w:rPr>
          <w:rFonts w:cs="Calibri"/>
        </w:rPr>
        <w:t xml:space="preserve">. </w:t>
      </w:r>
      <w:bookmarkStart w:id="26" w:name="_Toc388453120"/>
    </w:p>
    <w:p w14:paraId="4410DEA6" w14:textId="67287F9B" w:rsidR="000B5CDF" w:rsidRDefault="000B5CDF" w:rsidP="00AE6476">
      <w:pPr>
        <w:pStyle w:val="Heading3"/>
        <w:spacing w:before="0" w:after="120"/>
        <w:jc w:val="both"/>
      </w:pPr>
      <w:bookmarkStart w:id="27" w:name="_Toc115254509"/>
      <w:r>
        <w:t>Search results and selection of evidence</w:t>
      </w:r>
      <w:bookmarkEnd w:id="27"/>
    </w:p>
    <w:p w14:paraId="563A544E" w14:textId="1E83D915" w:rsidR="000B5CDF" w:rsidRDefault="009466D1" w:rsidP="00AE6476">
      <w:pPr>
        <w:spacing w:after="120"/>
        <w:jc w:val="both"/>
      </w:pPr>
      <w:r>
        <w:t xml:space="preserve">A total of </w:t>
      </w:r>
      <w:r w:rsidR="000B5CDF">
        <w:t>1</w:t>
      </w:r>
      <w:r w:rsidR="00F4612B">
        <w:t>,</w:t>
      </w:r>
      <w:r w:rsidR="000B5CDF">
        <w:t>052 records were identified through database searching</w:t>
      </w:r>
      <w:r w:rsidR="004C16F0">
        <w:t xml:space="preserve"> for systematic reviews/meta-analyses</w:t>
      </w:r>
      <w:r w:rsidR="000B5CDF">
        <w:t xml:space="preserve">, resulting in 778 abstracts for review after duplicates were removed. Of these, 137 abstracts were Cochrane systematic reviews. Following abstract screening, 30 Cochrane </w:t>
      </w:r>
      <w:r w:rsidR="00D67242">
        <w:t>R</w:t>
      </w:r>
      <w:r w:rsidR="000B5CDF">
        <w:t xml:space="preserve">eviews were eligible for full-text review. </w:t>
      </w:r>
      <w:r w:rsidR="00DB7415">
        <w:t>F</w:t>
      </w:r>
      <w:r w:rsidR="00B243B3">
        <w:t>ifteen</w:t>
      </w:r>
      <w:r w:rsidR="000B5CDF" w:rsidDel="00DD72AF">
        <w:t xml:space="preserve"> </w:t>
      </w:r>
      <w:r w:rsidR="000B5CDF">
        <w:t>studies were removed upon full-text review due to</w:t>
      </w:r>
      <w:r w:rsidR="009E02B0">
        <w:t>:</w:t>
      </w:r>
      <w:r w:rsidR="000B5CDF">
        <w:t xml:space="preserve"> incorrect intervention</w:t>
      </w:r>
      <w:r w:rsidR="009030B4">
        <w:t xml:space="preserve"> (</w:t>
      </w:r>
      <w:r w:rsidR="00CC18C2">
        <w:t>n=</w:t>
      </w:r>
      <w:r w:rsidR="000C3139">
        <w:t>2</w:t>
      </w:r>
      <w:r w:rsidR="009030B4">
        <w:t>),</w:t>
      </w:r>
      <w:r w:rsidR="000B5CDF" w:rsidDel="009030B4">
        <w:t xml:space="preserve"> </w:t>
      </w:r>
      <w:r w:rsidR="003F6210">
        <w:t>incorrect</w:t>
      </w:r>
      <w:r w:rsidR="009030B4">
        <w:t xml:space="preserve"> </w:t>
      </w:r>
      <w:r w:rsidR="000B5CDF">
        <w:t>comparator</w:t>
      </w:r>
      <w:r w:rsidR="009030B4">
        <w:t xml:space="preserve"> (</w:t>
      </w:r>
      <w:r w:rsidR="00CC18C2">
        <w:t>n=</w:t>
      </w:r>
      <w:r w:rsidR="001F6141">
        <w:t>2</w:t>
      </w:r>
      <w:r w:rsidR="00E32658">
        <w:t xml:space="preserve">), </w:t>
      </w:r>
      <w:r w:rsidR="00F8094A">
        <w:t xml:space="preserve">special </w:t>
      </w:r>
      <w:r w:rsidR="00100377">
        <w:t>population</w:t>
      </w:r>
      <w:r w:rsidR="00B243B3">
        <w:t>/s</w:t>
      </w:r>
      <w:r w:rsidR="00100377">
        <w:t xml:space="preserve"> not identified in T</w:t>
      </w:r>
      <w:r w:rsidR="00AE6476">
        <w:t>o</w:t>
      </w:r>
      <w:r w:rsidR="00100377">
        <w:t>R</w:t>
      </w:r>
      <w:r w:rsidR="00AE6476">
        <w:t xml:space="preserve"> </w:t>
      </w:r>
      <w:r w:rsidR="00100377">
        <w:t xml:space="preserve">1 </w:t>
      </w:r>
      <w:r w:rsidR="00B243B3">
        <w:t xml:space="preserve">as a priority </w:t>
      </w:r>
      <w:r w:rsidR="00F8094A">
        <w:t>for review</w:t>
      </w:r>
      <w:r w:rsidR="009E02B0">
        <w:t xml:space="preserve"> (</w:t>
      </w:r>
      <w:r w:rsidR="00CC18C2">
        <w:t>n=</w:t>
      </w:r>
      <w:r w:rsidR="00B804CE">
        <w:t>1</w:t>
      </w:r>
      <w:r w:rsidR="00B243B3">
        <w:t>1</w:t>
      </w:r>
      <w:r w:rsidR="009E02B0">
        <w:t>)</w:t>
      </w:r>
      <w:r w:rsidR="000B5CDF">
        <w:t>, resulting in</w:t>
      </w:r>
      <w:r w:rsidR="000B5CDF" w:rsidDel="000A1B03">
        <w:t xml:space="preserve"> </w:t>
      </w:r>
      <w:r w:rsidR="000A1B03">
        <w:t>1</w:t>
      </w:r>
      <w:r w:rsidR="00B243B3">
        <w:t>5</w:t>
      </w:r>
      <w:r w:rsidR="000B5CDF">
        <w:t xml:space="preserve"> Cochrane </w:t>
      </w:r>
      <w:r w:rsidR="00280155">
        <w:t>R</w:t>
      </w:r>
      <w:r w:rsidR="000B5CDF">
        <w:t xml:space="preserve">eviews eligible for qualitative synthesis. </w:t>
      </w:r>
    </w:p>
    <w:p w14:paraId="47C56192" w14:textId="1CF7C51C" w:rsidR="00EC0DAD" w:rsidRDefault="000B5CDF" w:rsidP="003B53DE">
      <w:pPr>
        <w:spacing w:after="120"/>
        <w:jc w:val="both"/>
      </w:pPr>
      <w:r>
        <w:t xml:space="preserve">641 of the 778 abstracts identified were not Cochrane </w:t>
      </w:r>
      <w:r w:rsidR="00280155">
        <w:t>R</w:t>
      </w:r>
      <w:r>
        <w:t xml:space="preserve">eviews and, after initial abstract screening, 157 abstracts </w:t>
      </w:r>
      <w:r w:rsidR="00786A9D">
        <w:t xml:space="preserve">were </w:t>
      </w:r>
      <w:r>
        <w:t xml:space="preserve">eligible for </w:t>
      </w:r>
      <w:r w:rsidRPr="00D83325">
        <w:t>review</w:t>
      </w:r>
      <w:r>
        <w:t>.</w:t>
      </w:r>
      <w:r w:rsidDel="00F21BE9">
        <w:t xml:space="preserve"> </w:t>
      </w:r>
      <w:r w:rsidR="00DD69C7">
        <w:t xml:space="preserve">Upon comparison with the included Cochrane reviews, </w:t>
      </w:r>
      <w:r w:rsidR="00F21BE9">
        <w:t>14</w:t>
      </w:r>
      <w:r w:rsidR="00677DE2">
        <w:t>8</w:t>
      </w:r>
      <w:r w:rsidR="00F21BE9">
        <w:t xml:space="preserve"> </w:t>
      </w:r>
      <w:r>
        <w:t xml:space="preserve">of these </w:t>
      </w:r>
      <w:r w:rsidR="00460A39">
        <w:t>were</w:t>
      </w:r>
      <w:r>
        <w:t xml:space="preserve"> </w:t>
      </w:r>
      <w:r w:rsidR="00205183">
        <w:t xml:space="preserve">subsequently </w:t>
      </w:r>
      <w:r w:rsidR="007B096C">
        <w:t xml:space="preserve">excluded as they </w:t>
      </w:r>
      <w:r w:rsidR="00AC2397">
        <w:t>were published before the most</w:t>
      </w:r>
      <w:r w:rsidR="007B096C">
        <w:t xml:space="preserve"> </w:t>
      </w:r>
      <w:r w:rsidR="00D372CA">
        <w:t>recent</w:t>
      </w:r>
      <w:r w:rsidR="009B505D">
        <w:t xml:space="preserve"> Cochrane systematic review </w:t>
      </w:r>
      <w:r w:rsidR="00C72F58">
        <w:t xml:space="preserve">that was already </w:t>
      </w:r>
      <w:r w:rsidR="00843850">
        <w:t>included</w:t>
      </w:r>
      <w:r w:rsidR="006F1B90">
        <w:t xml:space="preserve"> or</w:t>
      </w:r>
      <w:r w:rsidR="00E7178A">
        <w:t xml:space="preserve"> </w:t>
      </w:r>
      <w:r w:rsidR="009928C5">
        <w:t>provided information about smoking cessation therapy in population</w:t>
      </w:r>
      <w:r w:rsidR="00E7178A">
        <w:t>s</w:t>
      </w:r>
      <w:r w:rsidR="009928C5">
        <w:t xml:space="preserve"> that w</w:t>
      </w:r>
      <w:r w:rsidR="00E7178A">
        <w:t>ere</w:t>
      </w:r>
      <w:r w:rsidR="009928C5">
        <w:t xml:space="preserve"> not </w:t>
      </w:r>
      <w:r w:rsidR="00CE5B4B">
        <w:t>prioritised for review in this P</w:t>
      </w:r>
      <w:r w:rsidR="00C03581">
        <w:t>MR</w:t>
      </w:r>
      <w:r w:rsidR="00CE5B4B">
        <w:t>.</w:t>
      </w:r>
      <w:r w:rsidR="009D7A72">
        <w:t xml:space="preserve"> Upon full-text review, </w:t>
      </w:r>
      <w:r w:rsidR="001C5025">
        <w:t>six</w:t>
      </w:r>
      <w:r w:rsidR="009D7A72">
        <w:t xml:space="preserve"> w</w:t>
      </w:r>
      <w:r w:rsidR="00010371">
        <w:t>ere</w:t>
      </w:r>
      <w:r w:rsidR="009D7A72">
        <w:t xml:space="preserve"> removed </w:t>
      </w:r>
      <w:r w:rsidR="00010371">
        <w:t>as they did</w:t>
      </w:r>
      <w:r w:rsidR="009D7A72">
        <w:t xml:space="preserve"> </w:t>
      </w:r>
      <w:r w:rsidR="006B1458">
        <w:t>not provid</w:t>
      </w:r>
      <w:r w:rsidR="00010371">
        <w:t>e</w:t>
      </w:r>
      <w:r w:rsidR="006B1458">
        <w:t xml:space="preserve"> additional data to the </w:t>
      </w:r>
      <w:r w:rsidR="00010371">
        <w:t xml:space="preserve">evidence base from the included </w:t>
      </w:r>
      <w:r w:rsidR="006B1458">
        <w:t xml:space="preserve">Cochrane </w:t>
      </w:r>
      <w:r w:rsidR="00EC0DAD">
        <w:t>R</w:t>
      </w:r>
      <w:r w:rsidR="006B1458">
        <w:t>eview</w:t>
      </w:r>
      <w:r w:rsidR="00010371">
        <w:t>s</w:t>
      </w:r>
      <w:r w:rsidR="0066459D">
        <w:t>, resulting in</w:t>
      </w:r>
      <w:r w:rsidR="004E253D">
        <w:t xml:space="preserve"> </w:t>
      </w:r>
      <w:r w:rsidR="001C5025">
        <w:t>three</w:t>
      </w:r>
      <w:r w:rsidR="005307EA">
        <w:t xml:space="preserve"> </w:t>
      </w:r>
      <w:r w:rsidR="00C35829">
        <w:t xml:space="preserve">non-Cochrane reviews for inclusion. </w:t>
      </w:r>
    </w:p>
    <w:p w14:paraId="10EFA279" w14:textId="17E79F3E" w:rsidR="00BD08CE" w:rsidRDefault="00B555AB" w:rsidP="003B53DE">
      <w:pPr>
        <w:spacing w:after="120"/>
        <w:jc w:val="both"/>
      </w:pPr>
      <w:r>
        <w:t xml:space="preserve">For the supplemental literature search, </w:t>
      </w:r>
      <w:r w:rsidR="0039738B">
        <w:t>3</w:t>
      </w:r>
      <w:r w:rsidR="00EC0DAD">
        <w:t>,</w:t>
      </w:r>
      <w:r w:rsidR="0039738B">
        <w:t>093 records were identified through database searching, resulting in 1</w:t>
      </w:r>
      <w:r w:rsidR="007B143F">
        <w:t>,</w:t>
      </w:r>
      <w:r w:rsidR="0039738B">
        <w:t>124 abstracts for review after</w:t>
      </w:r>
      <w:r w:rsidR="00E90178">
        <w:t xml:space="preserve"> duplicates were removed. </w:t>
      </w:r>
      <w:r w:rsidR="0037220E">
        <w:t xml:space="preserve">Following abstract screening, </w:t>
      </w:r>
      <w:r w:rsidR="00E9558C">
        <w:t>79</w:t>
      </w:r>
      <w:r w:rsidR="00BD540B">
        <w:t xml:space="preserve"> were eligible for full-text review.</w:t>
      </w:r>
      <w:r w:rsidR="00C003F8">
        <w:t xml:space="preserve"> </w:t>
      </w:r>
      <w:r w:rsidR="00595F73">
        <w:t>Fifty-</w:t>
      </w:r>
      <w:r w:rsidR="00B77921">
        <w:t>eight</w:t>
      </w:r>
      <w:r w:rsidR="007608D7">
        <w:t xml:space="preserve"> studies were removed upon full-text review</w:t>
      </w:r>
      <w:r w:rsidR="00ED4C1C">
        <w:t xml:space="preserve"> </w:t>
      </w:r>
      <w:r w:rsidR="00ED4C1C" w:rsidRPr="0069658D">
        <w:t xml:space="preserve">due to: </w:t>
      </w:r>
      <w:r w:rsidR="00AF3E9A" w:rsidRPr="0069658D">
        <w:t>incorrect population</w:t>
      </w:r>
      <w:r w:rsidR="003D524A" w:rsidRPr="0069658D">
        <w:t xml:space="preserve"> (</w:t>
      </w:r>
      <w:r w:rsidR="00455B07" w:rsidRPr="0069658D">
        <w:t>n=</w:t>
      </w:r>
      <w:r w:rsidR="00FB342F" w:rsidRPr="0069658D">
        <w:t>5</w:t>
      </w:r>
      <w:r w:rsidR="003D524A" w:rsidRPr="0069658D">
        <w:t xml:space="preserve">), </w:t>
      </w:r>
      <w:r w:rsidR="00492DF3" w:rsidRPr="0069658D">
        <w:t>incorrect intervention (</w:t>
      </w:r>
      <w:r w:rsidR="00455B07" w:rsidRPr="0069658D">
        <w:t>n=</w:t>
      </w:r>
      <w:r w:rsidR="00492DF3" w:rsidRPr="0069658D">
        <w:t xml:space="preserve">9), </w:t>
      </w:r>
      <w:r w:rsidR="00AF3E9A" w:rsidRPr="0069658D">
        <w:t xml:space="preserve">incorrect </w:t>
      </w:r>
      <w:r w:rsidR="005C5A0F" w:rsidRPr="0069658D">
        <w:t>comparator (</w:t>
      </w:r>
      <w:r w:rsidR="00455B07" w:rsidRPr="0069658D">
        <w:t>n=</w:t>
      </w:r>
      <w:r w:rsidR="005D6831" w:rsidRPr="0069658D">
        <w:t>8</w:t>
      </w:r>
      <w:r w:rsidR="005C5A0F" w:rsidRPr="0069658D">
        <w:t>)</w:t>
      </w:r>
      <w:r w:rsidR="00F65FBB" w:rsidRPr="0069658D">
        <w:t xml:space="preserve">, </w:t>
      </w:r>
      <w:r w:rsidR="00AF3E9A" w:rsidRPr="0069658D">
        <w:t xml:space="preserve">irrelevant </w:t>
      </w:r>
      <w:r w:rsidR="00F65FBB" w:rsidRPr="0069658D">
        <w:t>outcome (</w:t>
      </w:r>
      <w:r w:rsidR="00455B07" w:rsidRPr="0069658D">
        <w:t>n=</w:t>
      </w:r>
      <w:r w:rsidR="003C1C43" w:rsidRPr="0069658D">
        <w:t>1</w:t>
      </w:r>
      <w:r w:rsidR="00B52D82" w:rsidRPr="0069658D">
        <w:t>9</w:t>
      </w:r>
      <w:r w:rsidR="00F65FBB" w:rsidRPr="0069658D">
        <w:t>)</w:t>
      </w:r>
      <w:r w:rsidR="00D0796D" w:rsidRPr="0069658D">
        <w:t xml:space="preserve">, </w:t>
      </w:r>
      <w:r w:rsidR="00FC2ED0" w:rsidRPr="0069658D">
        <w:t>incorrect</w:t>
      </w:r>
      <w:r w:rsidR="003C433D" w:rsidRPr="0069658D">
        <w:t xml:space="preserve"> </w:t>
      </w:r>
      <w:r w:rsidR="00C25238" w:rsidRPr="0069658D">
        <w:t>study design (</w:t>
      </w:r>
      <w:r w:rsidR="003B53DE">
        <w:t>n</w:t>
      </w:r>
      <w:r w:rsidR="00455B07" w:rsidRPr="0069658D">
        <w:t>=</w:t>
      </w:r>
      <w:r w:rsidR="00B02AD5" w:rsidRPr="0069658D">
        <w:t>2</w:t>
      </w:r>
      <w:r w:rsidR="00C25238" w:rsidRPr="0069658D">
        <w:t>)</w:t>
      </w:r>
      <w:r w:rsidR="009A7974" w:rsidRPr="0069658D">
        <w:t>,</w:t>
      </w:r>
      <w:r w:rsidR="009A7974">
        <w:t xml:space="preserve"> included in Cochrane systematic review (</w:t>
      </w:r>
      <w:r w:rsidR="003D1749">
        <w:t>n=</w:t>
      </w:r>
      <w:r w:rsidR="007415EF">
        <w:t>1</w:t>
      </w:r>
      <w:r w:rsidR="00BF1D6D">
        <w:t>5</w:t>
      </w:r>
      <w:r w:rsidR="009A7974">
        <w:t>)</w:t>
      </w:r>
      <w:r w:rsidR="009B4449">
        <w:t xml:space="preserve">, resulting in </w:t>
      </w:r>
      <w:r w:rsidR="00BB2AA4">
        <w:t>1</w:t>
      </w:r>
      <w:r w:rsidR="00F50592">
        <w:t>9</w:t>
      </w:r>
      <w:r w:rsidR="00AE3E29">
        <w:t xml:space="preserve"> RCTs </w:t>
      </w:r>
      <w:r w:rsidR="00BB2AA4">
        <w:t xml:space="preserve">with data to update </w:t>
      </w:r>
      <w:r w:rsidR="003B53DE">
        <w:t xml:space="preserve">the </w:t>
      </w:r>
      <w:r w:rsidR="00737A13">
        <w:t xml:space="preserve">primary evidence base </w:t>
      </w:r>
      <w:r w:rsidR="00C229A9">
        <w:t>with t</w:t>
      </w:r>
      <w:r w:rsidR="00737A13">
        <w:t xml:space="preserve">he remaining </w:t>
      </w:r>
      <w:r w:rsidR="00F658C3">
        <w:t>two</w:t>
      </w:r>
      <w:r w:rsidR="00D52C93">
        <w:t xml:space="preserve"> studies </w:t>
      </w:r>
      <w:r w:rsidR="00C229A9">
        <w:t xml:space="preserve">being </w:t>
      </w:r>
      <w:r w:rsidR="00F81B17">
        <w:t>ongoing</w:t>
      </w:r>
      <w:r w:rsidR="00D52C93">
        <w:t xml:space="preserve">. </w:t>
      </w:r>
    </w:p>
    <w:p w14:paraId="07CB0034" w14:textId="573B8462" w:rsidR="000B5CDF" w:rsidRDefault="000B5CDF" w:rsidP="003B53DE">
      <w:pPr>
        <w:spacing w:after="120"/>
        <w:jc w:val="both"/>
      </w:pPr>
      <w:r>
        <w:t xml:space="preserve">The </w:t>
      </w:r>
      <w:r w:rsidR="003B53DE" w:rsidRPr="003B53DE">
        <w:t>Preferred Reporting Items for Systematic Reviews and Meta-analyses</w:t>
      </w:r>
      <w:r w:rsidR="003B53DE">
        <w:t xml:space="preserve"> (</w:t>
      </w:r>
      <w:r>
        <w:t>PRISMA</w:t>
      </w:r>
      <w:r w:rsidR="003B53DE">
        <w:t>)</w:t>
      </w:r>
      <w:r>
        <w:t xml:space="preserve"> diagram</w:t>
      </w:r>
      <w:r w:rsidR="00350E52">
        <w:t>s</w:t>
      </w:r>
      <w:r>
        <w:t xml:space="preserve"> </w:t>
      </w:r>
      <w:r w:rsidR="00BD08CE">
        <w:t xml:space="preserve">for the primary literature search and the supplemental literature search </w:t>
      </w:r>
      <w:r w:rsidR="00CD2571">
        <w:t xml:space="preserve">are </w:t>
      </w:r>
      <w:r>
        <w:t xml:space="preserve">presented in </w:t>
      </w:r>
      <w:r w:rsidRPr="00EA6EC3">
        <w:t>Appendix</w:t>
      </w:r>
      <w:r w:rsidR="00CC79BD">
        <w:t xml:space="preserve"> A.3, </w:t>
      </w:r>
      <w:r w:rsidR="00114959">
        <w:fldChar w:fldCharType="begin" w:fldLock="1"/>
      </w:r>
      <w:r w:rsidR="00114959">
        <w:instrText xml:space="preserve"> REF _Ref62818086 \h </w:instrText>
      </w:r>
      <w:r w:rsidR="00114959">
        <w:fldChar w:fldCharType="separate"/>
      </w:r>
      <w:r w:rsidR="00EC5CC7">
        <w:t xml:space="preserve">Figure </w:t>
      </w:r>
      <w:r w:rsidR="00EC5CC7">
        <w:rPr>
          <w:noProof/>
        </w:rPr>
        <w:t>46</w:t>
      </w:r>
      <w:r w:rsidR="00114959">
        <w:fldChar w:fldCharType="end"/>
      </w:r>
      <w:r w:rsidR="00114959">
        <w:t xml:space="preserve"> </w:t>
      </w:r>
      <w:r w:rsidR="00CC79BD">
        <w:t xml:space="preserve">and </w:t>
      </w:r>
      <w:r w:rsidR="00CC79BD">
        <w:fldChar w:fldCharType="begin" w:fldLock="1"/>
      </w:r>
      <w:r w:rsidR="00CC79BD">
        <w:instrText xml:space="preserve"> REF _Ref61471739 \h </w:instrText>
      </w:r>
      <w:r w:rsidR="00CB337B">
        <w:instrText xml:space="preserve"> \* MERGEFORMAT </w:instrText>
      </w:r>
      <w:r w:rsidR="00CC79BD">
        <w:fldChar w:fldCharType="separate"/>
      </w:r>
      <w:r w:rsidR="00EC5CC7">
        <w:t xml:space="preserve">Figure </w:t>
      </w:r>
      <w:r w:rsidR="00EC5CC7">
        <w:rPr>
          <w:noProof/>
        </w:rPr>
        <w:t>47</w:t>
      </w:r>
      <w:r w:rsidR="00CC79BD">
        <w:fldChar w:fldCharType="end"/>
      </w:r>
      <w:r w:rsidR="00CC79BD">
        <w:t>.</w:t>
      </w:r>
    </w:p>
    <w:p w14:paraId="691EAAC5" w14:textId="566882BA" w:rsidR="002941F9" w:rsidRDefault="002941F9" w:rsidP="003B53DE">
      <w:pPr>
        <w:pStyle w:val="Caption"/>
        <w:keepNext/>
        <w:spacing w:before="0" w:after="120"/>
        <w:jc w:val="both"/>
      </w:pPr>
      <w:bookmarkStart w:id="28" w:name="_Ref61474499"/>
      <w:r>
        <w:lastRenderedPageBreak/>
        <w:t xml:space="preserve">Table </w:t>
      </w:r>
      <w:r w:rsidR="00BF3F75">
        <w:fldChar w:fldCharType="begin"/>
      </w:r>
      <w:r w:rsidR="00BF3F75">
        <w:instrText xml:space="preserve"> SEQ Table \* ARABIC </w:instrText>
      </w:r>
      <w:r w:rsidR="00BF3F75">
        <w:fldChar w:fldCharType="separate"/>
      </w:r>
      <w:r w:rsidR="00EC5CC7">
        <w:rPr>
          <w:noProof/>
        </w:rPr>
        <w:t>2</w:t>
      </w:r>
      <w:r w:rsidR="00BF3F75">
        <w:rPr>
          <w:noProof/>
        </w:rPr>
        <w:fldChar w:fldCharType="end"/>
      </w:r>
      <w:bookmarkEnd w:id="28"/>
      <w:r>
        <w:t>: Search limits for PBS-listed therapy comparisons</w:t>
      </w:r>
    </w:p>
    <w:tbl>
      <w:tblPr>
        <w:tblStyle w:val="TableGrid1"/>
        <w:tblW w:w="0" w:type="auto"/>
        <w:tblLook w:val="04A0" w:firstRow="1" w:lastRow="0" w:firstColumn="1" w:lastColumn="0" w:noHBand="0" w:noVBand="1"/>
      </w:tblPr>
      <w:tblGrid>
        <w:gridCol w:w="988"/>
        <w:gridCol w:w="1984"/>
        <w:gridCol w:w="3790"/>
        <w:gridCol w:w="2254"/>
      </w:tblGrid>
      <w:tr w:rsidR="002941F9" w:rsidRPr="004A2567" w14:paraId="4CF5DC02" w14:textId="77777777" w:rsidTr="0071686D">
        <w:trPr>
          <w:tblHeader/>
        </w:trPr>
        <w:tc>
          <w:tcPr>
            <w:tcW w:w="988" w:type="dxa"/>
            <w:shd w:val="clear" w:color="auto" w:fill="BFBFBF" w:themeFill="background1" w:themeFillShade="BF"/>
          </w:tcPr>
          <w:p w14:paraId="588A41C6" w14:textId="77777777" w:rsidR="002941F9" w:rsidRPr="00545E9D" w:rsidRDefault="002941F9" w:rsidP="00975395">
            <w:pPr>
              <w:pStyle w:val="Tablewriting"/>
              <w:keepNext/>
              <w:rPr>
                <w:b/>
                <w:bCs/>
              </w:rPr>
            </w:pPr>
            <w:r w:rsidRPr="0027681B">
              <w:rPr>
                <w:b/>
              </w:rPr>
              <w:t>Search</w:t>
            </w:r>
          </w:p>
        </w:tc>
        <w:tc>
          <w:tcPr>
            <w:tcW w:w="1984" w:type="dxa"/>
            <w:shd w:val="clear" w:color="auto" w:fill="BFBFBF" w:themeFill="background1" w:themeFillShade="BF"/>
          </w:tcPr>
          <w:p w14:paraId="4B0A2C95" w14:textId="77777777" w:rsidR="002941F9" w:rsidRPr="00545E9D" w:rsidRDefault="002941F9" w:rsidP="00975395">
            <w:pPr>
              <w:pStyle w:val="Tablewriting"/>
              <w:keepNext/>
              <w:jc w:val="center"/>
              <w:rPr>
                <w:b/>
                <w:bCs/>
              </w:rPr>
            </w:pPr>
            <w:r w:rsidRPr="00545E9D">
              <w:rPr>
                <w:b/>
                <w:bCs/>
              </w:rPr>
              <w:t>PBS-listed therapy</w:t>
            </w:r>
          </w:p>
        </w:tc>
        <w:tc>
          <w:tcPr>
            <w:tcW w:w="3790" w:type="dxa"/>
            <w:shd w:val="clear" w:color="auto" w:fill="BFBFBF" w:themeFill="background1" w:themeFillShade="BF"/>
          </w:tcPr>
          <w:p w14:paraId="605D404B" w14:textId="77777777" w:rsidR="002941F9" w:rsidRPr="00545E9D" w:rsidRDefault="002941F9" w:rsidP="00975395">
            <w:pPr>
              <w:pStyle w:val="Tablewriting"/>
              <w:keepNext/>
              <w:jc w:val="center"/>
              <w:rPr>
                <w:b/>
                <w:bCs/>
              </w:rPr>
            </w:pPr>
            <w:r w:rsidRPr="00545E9D">
              <w:rPr>
                <w:b/>
                <w:bCs/>
              </w:rPr>
              <w:t>Comparators</w:t>
            </w:r>
          </w:p>
        </w:tc>
        <w:tc>
          <w:tcPr>
            <w:tcW w:w="2254" w:type="dxa"/>
            <w:shd w:val="clear" w:color="auto" w:fill="BFBFBF" w:themeFill="background1" w:themeFillShade="BF"/>
          </w:tcPr>
          <w:p w14:paraId="74787A39" w14:textId="77777777" w:rsidR="002941F9" w:rsidRPr="00545E9D" w:rsidRDefault="002941F9" w:rsidP="00975395">
            <w:pPr>
              <w:pStyle w:val="Tablewriting"/>
              <w:keepNext/>
              <w:jc w:val="center"/>
              <w:rPr>
                <w:b/>
                <w:bCs/>
              </w:rPr>
            </w:pPr>
            <w:r w:rsidRPr="00545E9D">
              <w:rPr>
                <w:b/>
                <w:bCs/>
              </w:rPr>
              <w:t>Search limits</w:t>
            </w:r>
          </w:p>
        </w:tc>
      </w:tr>
      <w:tr w:rsidR="002941F9" w:rsidRPr="004A2567" w14:paraId="1C6B2914" w14:textId="77777777" w:rsidTr="005A3F39">
        <w:tc>
          <w:tcPr>
            <w:tcW w:w="988" w:type="dxa"/>
          </w:tcPr>
          <w:p w14:paraId="0F0629F2" w14:textId="77777777" w:rsidR="002941F9" w:rsidRPr="004A2567" w:rsidRDefault="002941F9" w:rsidP="00975395">
            <w:pPr>
              <w:pStyle w:val="Tablewriting"/>
              <w:keepNext/>
            </w:pPr>
            <w:r w:rsidRPr="004A2567">
              <w:t>1</w:t>
            </w:r>
          </w:p>
        </w:tc>
        <w:tc>
          <w:tcPr>
            <w:tcW w:w="1984" w:type="dxa"/>
          </w:tcPr>
          <w:p w14:paraId="7A83EDFF" w14:textId="77777777" w:rsidR="002941F9" w:rsidRPr="004A2567" w:rsidRDefault="002941F9" w:rsidP="00975395">
            <w:pPr>
              <w:pStyle w:val="Tablewriting"/>
              <w:keepNext/>
            </w:pPr>
            <w:r w:rsidRPr="004A2567">
              <w:t>Bupropion</w:t>
            </w:r>
          </w:p>
        </w:tc>
        <w:tc>
          <w:tcPr>
            <w:tcW w:w="3790" w:type="dxa"/>
          </w:tcPr>
          <w:p w14:paraId="324E3B9C" w14:textId="77777777" w:rsidR="002941F9" w:rsidRPr="004A2567" w:rsidRDefault="002941F9" w:rsidP="00975395">
            <w:pPr>
              <w:pStyle w:val="Tablewriting"/>
              <w:keepNext/>
            </w:pPr>
            <w:r w:rsidRPr="004A2567">
              <w:t>Placebo, NRT, Varenicline</w:t>
            </w:r>
          </w:p>
        </w:tc>
        <w:tc>
          <w:tcPr>
            <w:tcW w:w="2254" w:type="dxa"/>
          </w:tcPr>
          <w:p w14:paraId="7E519FC4" w14:textId="77777777" w:rsidR="002941F9" w:rsidRPr="004A2567" w:rsidRDefault="002941F9" w:rsidP="00975395">
            <w:pPr>
              <w:pStyle w:val="Tablewriting"/>
              <w:keepNext/>
            </w:pPr>
            <w:r w:rsidRPr="004A2567">
              <w:t>May 2019 to current</w:t>
            </w:r>
          </w:p>
        </w:tc>
      </w:tr>
      <w:tr w:rsidR="002941F9" w:rsidRPr="004A2567" w14:paraId="500C71F5" w14:textId="77777777" w:rsidTr="005A3F39">
        <w:tc>
          <w:tcPr>
            <w:tcW w:w="988" w:type="dxa"/>
          </w:tcPr>
          <w:p w14:paraId="561395F1" w14:textId="77777777" w:rsidR="002941F9" w:rsidRPr="004A2567" w:rsidRDefault="002941F9" w:rsidP="00975395">
            <w:pPr>
              <w:pStyle w:val="Tablewriting"/>
              <w:keepNext/>
            </w:pPr>
            <w:r w:rsidRPr="004A2567">
              <w:t>2</w:t>
            </w:r>
          </w:p>
        </w:tc>
        <w:tc>
          <w:tcPr>
            <w:tcW w:w="1984" w:type="dxa"/>
          </w:tcPr>
          <w:p w14:paraId="486C28CD" w14:textId="77777777" w:rsidR="002941F9" w:rsidRPr="004A2567" w:rsidRDefault="002941F9" w:rsidP="00975395">
            <w:pPr>
              <w:pStyle w:val="Tablewriting"/>
              <w:keepNext/>
            </w:pPr>
            <w:r w:rsidRPr="004A2567">
              <w:t>Varenicline</w:t>
            </w:r>
          </w:p>
        </w:tc>
        <w:tc>
          <w:tcPr>
            <w:tcW w:w="3790" w:type="dxa"/>
          </w:tcPr>
          <w:p w14:paraId="786609AD" w14:textId="77777777" w:rsidR="002941F9" w:rsidRPr="004A2567" w:rsidRDefault="002941F9" w:rsidP="00975395">
            <w:pPr>
              <w:pStyle w:val="Tablewriting"/>
              <w:keepNext/>
            </w:pPr>
            <w:r w:rsidRPr="004A2567">
              <w:t>Placebo, NRT, Bupropion</w:t>
            </w:r>
          </w:p>
        </w:tc>
        <w:tc>
          <w:tcPr>
            <w:tcW w:w="2254" w:type="dxa"/>
          </w:tcPr>
          <w:p w14:paraId="7D8E1D71" w14:textId="77777777" w:rsidR="002941F9" w:rsidRPr="004A2567" w:rsidRDefault="002941F9" w:rsidP="00975395">
            <w:pPr>
              <w:pStyle w:val="Tablewriting"/>
              <w:keepNext/>
            </w:pPr>
            <w:r w:rsidRPr="004A2567">
              <w:t>May 2015 to current</w:t>
            </w:r>
          </w:p>
        </w:tc>
      </w:tr>
      <w:tr w:rsidR="002941F9" w:rsidRPr="004A2567" w14:paraId="2377E869" w14:textId="77777777" w:rsidTr="005A3F39">
        <w:tc>
          <w:tcPr>
            <w:tcW w:w="988" w:type="dxa"/>
          </w:tcPr>
          <w:p w14:paraId="087CB23A" w14:textId="77777777" w:rsidR="002941F9" w:rsidRPr="004A2567" w:rsidRDefault="002941F9" w:rsidP="00975395">
            <w:pPr>
              <w:pStyle w:val="Tablewriting"/>
              <w:keepNext/>
            </w:pPr>
            <w:r w:rsidRPr="004A2567">
              <w:t>3</w:t>
            </w:r>
          </w:p>
        </w:tc>
        <w:tc>
          <w:tcPr>
            <w:tcW w:w="1984" w:type="dxa"/>
          </w:tcPr>
          <w:p w14:paraId="32CE15F7" w14:textId="77777777" w:rsidR="002941F9" w:rsidRPr="004A2567" w:rsidRDefault="002941F9" w:rsidP="00975395">
            <w:pPr>
              <w:pStyle w:val="Tablewriting"/>
              <w:keepNext/>
            </w:pPr>
            <w:r w:rsidRPr="004A2567">
              <w:t>NRT (patch, lozenge, gum)</w:t>
            </w:r>
          </w:p>
        </w:tc>
        <w:tc>
          <w:tcPr>
            <w:tcW w:w="3790" w:type="dxa"/>
          </w:tcPr>
          <w:p w14:paraId="272D75BB" w14:textId="77777777" w:rsidR="002941F9" w:rsidRPr="004A2567" w:rsidRDefault="002941F9" w:rsidP="00975395">
            <w:pPr>
              <w:pStyle w:val="Tablewriting"/>
              <w:keepNext/>
            </w:pPr>
            <w:r w:rsidRPr="004A2567">
              <w:t>Placebo</w:t>
            </w:r>
          </w:p>
        </w:tc>
        <w:tc>
          <w:tcPr>
            <w:tcW w:w="2254" w:type="dxa"/>
          </w:tcPr>
          <w:p w14:paraId="160A47F9" w14:textId="77777777" w:rsidR="002941F9" w:rsidRPr="004A2567" w:rsidRDefault="002941F9" w:rsidP="00975395">
            <w:pPr>
              <w:pStyle w:val="Tablewriting"/>
              <w:keepNext/>
            </w:pPr>
            <w:r w:rsidRPr="004A2567">
              <w:t>July 2017 to current</w:t>
            </w:r>
          </w:p>
        </w:tc>
      </w:tr>
      <w:tr w:rsidR="002941F9" w:rsidRPr="004A2567" w14:paraId="2C80E875" w14:textId="77777777" w:rsidTr="005A3F39">
        <w:tc>
          <w:tcPr>
            <w:tcW w:w="988" w:type="dxa"/>
          </w:tcPr>
          <w:p w14:paraId="4A1BCC86" w14:textId="77777777" w:rsidR="002941F9" w:rsidRPr="004A2567" w:rsidRDefault="002941F9" w:rsidP="00975395">
            <w:pPr>
              <w:pStyle w:val="Tablewriting"/>
              <w:keepNext/>
            </w:pPr>
            <w:r w:rsidRPr="004A2567">
              <w:t>4</w:t>
            </w:r>
          </w:p>
        </w:tc>
        <w:tc>
          <w:tcPr>
            <w:tcW w:w="1984" w:type="dxa"/>
          </w:tcPr>
          <w:p w14:paraId="27821C5A" w14:textId="77777777" w:rsidR="002941F9" w:rsidRPr="004A2567" w:rsidRDefault="002941F9" w:rsidP="00975395">
            <w:pPr>
              <w:pStyle w:val="Tablewriting"/>
              <w:keepNext/>
            </w:pPr>
            <w:r w:rsidRPr="004A2567">
              <w:t>NRT (any dose, form, duration, schedule)</w:t>
            </w:r>
          </w:p>
        </w:tc>
        <w:tc>
          <w:tcPr>
            <w:tcW w:w="3790" w:type="dxa"/>
          </w:tcPr>
          <w:p w14:paraId="45868335" w14:textId="77777777" w:rsidR="002941F9" w:rsidRPr="004A2567" w:rsidRDefault="002941F9" w:rsidP="00975395">
            <w:pPr>
              <w:pStyle w:val="Tablewriting"/>
              <w:keepNext/>
            </w:pPr>
            <w:r w:rsidRPr="004A2567">
              <w:t>Other NRT dose, form, duration, schedule</w:t>
            </w:r>
          </w:p>
        </w:tc>
        <w:tc>
          <w:tcPr>
            <w:tcW w:w="2254" w:type="dxa"/>
          </w:tcPr>
          <w:p w14:paraId="54647247" w14:textId="77777777" w:rsidR="002941F9" w:rsidRPr="004A2567" w:rsidRDefault="002941F9" w:rsidP="00975395">
            <w:pPr>
              <w:pStyle w:val="Tablewriting"/>
              <w:keepNext/>
            </w:pPr>
            <w:r w:rsidRPr="004A2567">
              <w:t>April 2018 to current</w:t>
            </w:r>
          </w:p>
        </w:tc>
      </w:tr>
    </w:tbl>
    <w:p w14:paraId="6862A219" w14:textId="77777777" w:rsidR="002941F9" w:rsidRPr="00C47240" w:rsidRDefault="002941F9" w:rsidP="003B53DE">
      <w:pPr>
        <w:spacing w:after="120"/>
        <w:jc w:val="both"/>
        <w:rPr>
          <w:sz w:val="20"/>
          <w:szCs w:val="18"/>
        </w:rPr>
      </w:pPr>
      <w:r w:rsidRPr="00C47240">
        <w:rPr>
          <w:sz w:val="20"/>
          <w:szCs w:val="18"/>
        </w:rPr>
        <w:t>Abbreviations: NRT = nicotine replacement therapy</w:t>
      </w:r>
      <w:r>
        <w:rPr>
          <w:sz w:val="20"/>
          <w:szCs w:val="18"/>
        </w:rPr>
        <w:t xml:space="preserve">. </w:t>
      </w:r>
    </w:p>
    <w:p w14:paraId="6B57856A" w14:textId="7BD3B703" w:rsidR="000B5CDF" w:rsidRDefault="000B5CDF" w:rsidP="003B53DE">
      <w:pPr>
        <w:pStyle w:val="Heading4"/>
        <w:numPr>
          <w:ilvl w:val="0"/>
          <w:numId w:val="0"/>
        </w:numPr>
        <w:spacing w:after="120"/>
        <w:jc w:val="both"/>
      </w:pPr>
      <w:r>
        <w:t>Cochrane systematic reviews</w:t>
      </w:r>
    </w:p>
    <w:p w14:paraId="6F712B94" w14:textId="1FC5AF71" w:rsidR="00C211D7" w:rsidRDefault="000B5CDF" w:rsidP="00C211D7">
      <w:pPr>
        <w:spacing w:after="120"/>
        <w:jc w:val="both"/>
      </w:pPr>
      <w:r>
        <w:t>The characteristics of the included Cochrane systematic reviews (n=</w:t>
      </w:r>
      <w:r w:rsidR="00805945">
        <w:t>1</w:t>
      </w:r>
      <w:r w:rsidR="001E523C">
        <w:t>5</w:t>
      </w:r>
      <w:r>
        <w:t>) are presented in</w:t>
      </w:r>
      <w:r w:rsidR="00616410">
        <w:t xml:space="preserve"> </w:t>
      </w:r>
      <w:r>
        <w:t xml:space="preserve">Appendix </w:t>
      </w:r>
      <w:r w:rsidR="00616410">
        <w:t>A.</w:t>
      </w:r>
      <w:r w:rsidR="00E56EDC">
        <w:t>4</w:t>
      </w:r>
      <w:r w:rsidR="00616410">
        <w:t xml:space="preserve">, </w:t>
      </w:r>
      <w:r>
        <w:rPr>
          <w:highlight w:val="yellow"/>
        </w:rPr>
        <w:fldChar w:fldCharType="begin" w:fldLock="1"/>
      </w:r>
      <w:r>
        <w:rPr>
          <w:highlight w:val="yellow"/>
        </w:rPr>
        <w:instrText xml:space="preserve"> REF _Ref49755288 \h </w:instrText>
      </w:r>
      <w:r w:rsidR="00CB337B">
        <w:rPr>
          <w:highlight w:val="yellow"/>
        </w:rPr>
        <w:instrText xml:space="preserve"> \* MERGEFORMAT </w:instrText>
      </w:r>
      <w:r>
        <w:rPr>
          <w:highlight w:val="yellow"/>
        </w:rPr>
      </w:r>
      <w:r>
        <w:rPr>
          <w:highlight w:val="yellow"/>
        </w:rPr>
        <w:fldChar w:fldCharType="separate"/>
      </w:r>
      <w:r w:rsidR="00EC5CC7">
        <w:t xml:space="preserve">Table </w:t>
      </w:r>
      <w:r w:rsidR="00EC5CC7">
        <w:rPr>
          <w:noProof/>
        </w:rPr>
        <w:t>137</w:t>
      </w:r>
      <w:r>
        <w:rPr>
          <w:highlight w:val="yellow"/>
        </w:rPr>
        <w:fldChar w:fldCharType="end"/>
      </w:r>
      <w:r>
        <w:t xml:space="preserve">. </w:t>
      </w:r>
      <w:r w:rsidR="000378CA">
        <w:t>A m</w:t>
      </w:r>
      <w:r w:rsidR="000378CA" w:rsidRPr="000378CA">
        <w:t xml:space="preserve">atrix of included Cochrane reviews </w:t>
      </w:r>
      <w:r w:rsidR="0026655A">
        <w:t xml:space="preserve">which </w:t>
      </w:r>
      <w:r w:rsidR="00B53CFC">
        <w:t>indicat</w:t>
      </w:r>
      <w:r w:rsidR="0026655A">
        <w:t>es</w:t>
      </w:r>
      <w:r w:rsidR="00B53CFC">
        <w:t xml:space="preserve"> </w:t>
      </w:r>
      <w:r w:rsidR="000378CA" w:rsidRPr="000378CA">
        <w:t>research questions addressed</w:t>
      </w:r>
      <w:r w:rsidR="005043B4">
        <w:t xml:space="preserve"> </w:t>
      </w:r>
      <w:r w:rsidR="00B53CFC">
        <w:t xml:space="preserve">by each review </w:t>
      </w:r>
      <w:r w:rsidR="005043B4">
        <w:t>is presented in</w:t>
      </w:r>
      <w:r w:rsidR="00793D5C">
        <w:t xml:space="preserve"> </w:t>
      </w:r>
      <w:r w:rsidR="000817E0">
        <w:rPr>
          <w:highlight w:val="yellow"/>
        </w:rPr>
        <w:fldChar w:fldCharType="begin" w:fldLock="1"/>
      </w:r>
      <w:r w:rsidR="000817E0">
        <w:instrText xml:space="preserve"> REF _Ref49755251 \h </w:instrText>
      </w:r>
      <w:r w:rsidR="00CB337B">
        <w:rPr>
          <w:highlight w:val="yellow"/>
        </w:rPr>
        <w:instrText xml:space="preserve"> \* MERGEFORMAT </w:instrText>
      </w:r>
      <w:r w:rsidR="000817E0">
        <w:rPr>
          <w:highlight w:val="yellow"/>
        </w:rPr>
      </w:r>
      <w:r w:rsidR="000817E0">
        <w:rPr>
          <w:highlight w:val="yellow"/>
        </w:rPr>
        <w:fldChar w:fldCharType="separate"/>
      </w:r>
      <w:r w:rsidR="00EC5CC7">
        <w:t xml:space="preserve">Table </w:t>
      </w:r>
      <w:r w:rsidR="00EC5CC7">
        <w:rPr>
          <w:noProof/>
        </w:rPr>
        <w:t>3</w:t>
      </w:r>
      <w:r w:rsidR="000817E0">
        <w:rPr>
          <w:highlight w:val="yellow"/>
        </w:rPr>
        <w:fldChar w:fldCharType="end"/>
      </w:r>
      <w:r w:rsidR="00C63660">
        <w:t>.</w:t>
      </w:r>
      <w:r w:rsidR="005E0CF7">
        <w:t xml:space="preserve"> If multiple reviews </w:t>
      </w:r>
      <w:r w:rsidR="00A160AC">
        <w:t>provided estimates for the same comparison, the most recent review was used.</w:t>
      </w:r>
      <w:r w:rsidR="009358AB">
        <w:t xml:space="preserve"> </w:t>
      </w:r>
      <w:r w:rsidR="00C75F3F">
        <w:t>The</w:t>
      </w:r>
      <w:r w:rsidR="009358AB">
        <w:t xml:space="preserve"> risk of bias assessment </w:t>
      </w:r>
      <w:r w:rsidR="00FA3AD6">
        <w:t>for</w:t>
      </w:r>
      <w:r w:rsidR="00CD4601">
        <w:t xml:space="preserve"> the</w:t>
      </w:r>
      <w:r w:rsidR="00FA3AD6" w:rsidRPr="00FA3AD6">
        <w:t xml:space="preserve"> Cochrane systematic reviews</w:t>
      </w:r>
      <w:r w:rsidR="00CD4601">
        <w:t xml:space="preserve"> is</w:t>
      </w:r>
      <w:r w:rsidR="00FA3AD6">
        <w:t xml:space="preserve"> </w:t>
      </w:r>
      <w:r w:rsidR="009358AB">
        <w:t xml:space="preserve">presented in </w:t>
      </w:r>
      <w:r w:rsidR="00EE28B9">
        <w:t xml:space="preserve">Appendix </w:t>
      </w:r>
      <w:r w:rsidR="009358AB">
        <w:t>A</w:t>
      </w:r>
      <w:r w:rsidR="00EE28B9">
        <w:t>.</w:t>
      </w:r>
      <w:r w:rsidR="00B16FFF">
        <w:t>5</w:t>
      </w:r>
      <w:r w:rsidR="00EE28B9">
        <w:t>,</w:t>
      </w:r>
      <w:r w:rsidR="00E55595">
        <w:t xml:space="preserve"> </w:t>
      </w:r>
      <w:r w:rsidR="00624825" w:rsidRPr="000C799F">
        <w:fldChar w:fldCharType="begin" w:fldLock="1"/>
      </w:r>
      <w:r w:rsidR="00624825" w:rsidRPr="00E55595">
        <w:instrText xml:space="preserve"> REF _Ref62651210 \h </w:instrText>
      </w:r>
      <w:r w:rsidR="00624825">
        <w:instrText xml:space="preserve"> \* MERGEFORMAT </w:instrText>
      </w:r>
      <w:r w:rsidR="00624825" w:rsidRPr="000C799F">
        <w:fldChar w:fldCharType="separate"/>
      </w:r>
      <w:r w:rsidR="00EC5CC7">
        <w:t xml:space="preserve">Table </w:t>
      </w:r>
      <w:r w:rsidR="00EC5CC7">
        <w:rPr>
          <w:noProof/>
        </w:rPr>
        <w:t>138</w:t>
      </w:r>
      <w:r w:rsidR="00624825" w:rsidRPr="000C799F">
        <w:fldChar w:fldCharType="end"/>
      </w:r>
      <w:r w:rsidR="00624825" w:rsidRPr="000C799F">
        <w:t xml:space="preserve"> and</w:t>
      </w:r>
      <w:r w:rsidR="00C211D7">
        <w:t xml:space="preserve"> Table 139.</w:t>
      </w:r>
    </w:p>
    <w:p w14:paraId="522FF2D3" w14:textId="622446D3" w:rsidR="00323E15" w:rsidRDefault="001504DF" w:rsidP="003B53DE">
      <w:pPr>
        <w:spacing w:after="120"/>
        <w:jc w:val="both"/>
      </w:pPr>
      <w:r>
        <w:t>Overall, the</w:t>
      </w:r>
      <w:r w:rsidR="00F807EC">
        <w:t xml:space="preserve"> included</w:t>
      </w:r>
      <w:r>
        <w:t xml:space="preserve"> </w:t>
      </w:r>
      <w:r w:rsidR="00AA5869">
        <w:t xml:space="preserve">Cochrane systematic reviews were assessed to be of </w:t>
      </w:r>
      <w:r w:rsidR="00F04A44">
        <w:t>high quality</w:t>
      </w:r>
      <w:r w:rsidR="000A7B84">
        <w:t>.</w:t>
      </w:r>
      <w:r>
        <w:t xml:space="preserve"> </w:t>
      </w:r>
      <w:r w:rsidR="0095125F">
        <w:t>There were no critical flaws identified in any of the reviews.</w:t>
      </w:r>
      <w:r>
        <w:t xml:space="preserve"> </w:t>
      </w:r>
    </w:p>
    <w:p w14:paraId="50385265" w14:textId="6AE5C4DC" w:rsidR="00FC20FA" w:rsidRPr="00087719" w:rsidRDefault="00FC20FA" w:rsidP="003B53DE">
      <w:pPr>
        <w:pStyle w:val="Heading4"/>
        <w:numPr>
          <w:ilvl w:val="0"/>
          <w:numId w:val="0"/>
        </w:numPr>
        <w:spacing w:after="120"/>
        <w:jc w:val="both"/>
      </w:pPr>
      <w:r w:rsidRPr="00087719">
        <w:t>Non-Cochrane evidence</w:t>
      </w:r>
    </w:p>
    <w:p w14:paraId="1BBDCDBA" w14:textId="50077FCF" w:rsidR="00FC20FA" w:rsidRDefault="00FC20FA" w:rsidP="003B53DE">
      <w:pPr>
        <w:spacing w:after="120"/>
        <w:jc w:val="both"/>
      </w:pPr>
      <w:r>
        <w:t xml:space="preserve">The characteristics of the included non-Cochrane systematic reviews (n=3) are presented in Appendix A.6, </w:t>
      </w:r>
      <w:r>
        <w:fldChar w:fldCharType="begin" w:fldLock="1"/>
      </w:r>
      <w:r>
        <w:instrText xml:space="preserve"> REF _Ref61472324 \h </w:instrText>
      </w:r>
      <w:r>
        <w:fldChar w:fldCharType="separate"/>
      </w:r>
      <w:r w:rsidR="00EC5CC7">
        <w:t xml:space="preserve">Table </w:t>
      </w:r>
      <w:r w:rsidR="00EC5CC7">
        <w:rPr>
          <w:noProof/>
        </w:rPr>
        <w:t>140</w:t>
      </w:r>
      <w:r>
        <w:fldChar w:fldCharType="end"/>
      </w:r>
      <w:r>
        <w:t xml:space="preserve">. </w:t>
      </w:r>
      <w:r w:rsidR="00C75F3F">
        <w:t xml:space="preserve">The risk of bias assessment </w:t>
      </w:r>
      <w:r w:rsidR="00CD4601">
        <w:t xml:space="preserve">for the </w:t>
      </w:r>
      <w:r w:rsidR="00CD4601" w:rsidRPr="00CD4601">
        <w:t>non-Cochrane systematic reviews</w:t>
      </w:r>
      <w:r w:rsidR="00CD4601">
        <w:t xml:space="preserve"> is</w:t>
      </w:r>
      <w:r w:rsidR="00CD4601" w:rsidRPr="00CD4601">
        <w:t xml:space="preserve"> </w:t>
      </w:r>
      <w:r w:rsidR="00C75F3F">
        <w:t xml:space="preserve">presented in </w:t>
      </w:r>
      <w:r w:rsidR="00EE28B9">
        <w:t xml:space="preserve">Appendix </w:t>
      </w:r>
      <w:r w:rsidR="00C75F3F">
        <w:t>A</w:t>
      </w:r>
      <w:r w:rsidR="00EE28B9">
        <w:t>.</w:t>
      </w:r>
      <w:r w:rsidR="00460ADA">
        <w:t>7</w:t>
      </w:r>
      <w:r w:rsidR="00EE28B9">
        <w:t xml:space="preserve">, </w:t>
      </w:r>
      <w:r w:rsidR="00891A03">
        <w:rPr>
          <w:highlight w:val="yellow"/>
        </w:rPr>
        <w:fldChar w:fldCharType="begin" w:fldLock="1"/>
      </w:r>
      <w:r w:rsidR="00891A03">
        <w:instrText xml:space="preserve"> REF _Ref62720989 \h </w:instrText>
      </w:r>
      <w:r w:rsidR="00891A03">
        <w:rPr>
          <w:highlight w:val="yellow"/>
        </w:rPr>
      </w:r>
      <w:r w:rsidR="00891A03">
        <w:rPr>
          <w:highlight w:val="yellow"/>
        </w:rPr>
        <w:fldChar w:fldCharType="separate"/>
      </w:r>
      <w:r w:rsidR="00EC5CC7">
        <w:t xml:space="preserve">Table </w:t>
      </w:r>
      <w:r w:rsidR="00EC5CC7">
        <w:rPr>
          <w:noProof/>
        </w:rPr>
        <w:t>141</w:t>
      </w:r>
      <w:r w:rsidR="00891A03">
        <w:rPr>
          <w:highlight w:val="yellow"/>
        </w:rPr>
        <w:fldChar w:fldCharType="end"/>
      </w:r>
      <w:r w:rsidR="00C75F3F">
        <w:t>.</w:t>
      </w:r>
    </w:p>
    <w:p w14:paraId="24D61440" w14:textId="60FA2E9F" w:rsidR="00323E15" w:rsidRDefault="00F807EC" w:rsidP="00C03581">
      <w:pPr>
        <w:spacing w:after="120"/>
        <w:jc w:val="both"/>
      </w:pPr>
      <w:r>
        <w:t xml:space="preserve">The </w:t>
      </w:r>
      <w:r w:rsidR="00D4149F">
        <w:t>three non-Cochrane systematic reviews</w:t>
      </w:r>
      <w:r w:rsidR="00C63BFE">
        <w:t xml:space="preserve"> (Chang 2015, Myung 2019, </w:t>
      </w:r>
      <w:r w:rsidR="00777459">
        <w:t>and Selph</w:t>
      </w:r>
      <w:r w:rsidR="00C63BFE">
        <w:t xml:space="preserve"> 2020)</w:t>
      </w:r>
      <w:r w:rsidR="008C0A6E">
        <w:t xml:space="preserve"> were assessed to be of low </w:t>
      </w:r>
      <w:r w:rsidR="00B43A01">
        <w:t xml:space="preserve">to moderate </w:t>
      </w:r>
      <w:r w:rsidR="003B34A2">
        <w:t>quality</w:t>
      </w:r>
      <w:r w:rsidR="00652F64">
        <w:t xml:space="preserve"> due to flaw</w:t>
      </w:r>
      <w:r w:rsidR="000A48AE">
        <w:t>s</w:t>
      </w:r>
      <w:r w:rsidR="00652F64">
        <w:t xml:space="preserve"> identified</w:t>
      </w:r>
      <w:r w:rsidR="001350DF">
        <w:t xml:space="preserve"> </w:t>
      </w:r>
      <w:r w:rsidR="002C1E8F">
        <w:t>in</w:t>
      </w:r>
      <w:r w:rsidR="001350DF">
        <w:t xml:space="preserve"> the</w:t>
      </w:r>
      <w:r w:rsidR="00652F64">
        <w:t xml:space="preserve"> AMSTAR 2 critical domains. </w:t>
      </w:r>
      <w:r w:rsidR="002C23BF">
        <w:t xml:space="preserve">None of the </w:t>
      </w:r>
      <w:r w:rsidR="00464AFA">
        <w:t>studies</w:t>
      </w:r>
      <w:r w:rsidR="002C23BF">
        <w:t xml:space="preserve"> </w:t>
      </w:r>
      <w:r w:rsidR="00464AFA">
        <w:t>stated whether a protocol was registered before commencement of the review.</w:t>
      </w:r>
      <w:r w:rsidR="00D4149F">
        <w:t xml:space="preserve"> </w:t>
      </w:r>
      <w:r w:rsidR="00007BF6">
        <w:t xml:space="preserve">Chang et al. (2015) did not </w:t>
      </w:r>
      <w:r w:rsidR="00007BF6" w:rsidRPr="00007BF6">
        <w:t>provide a list</w:t>
      </w:r>
      <w:r w:rsidR="007C199D">
        <w:t xml:space="preserve"> and justification</w:t>
      </w:r>
      <w:r w:rsidR="00007BF6" w:rsidRPr="00007BF6">
        <w:t xml:space="preserve"> of excluded studies</w:t>
      </w:r>
      <w:r w:rsidR="005B2ED4">
        <w:t>.</w:t>
      </w:r>
      <w:r w:rsidR="00181B29">
        <w:t xml:space="preserve"> Selph</w:t>
      </w:r>
      <w:r w:rsidR="00B43A01">
        <w:t xml:space="preserve"> et al.</w:t>
      </w:r>
      <w:r w:rsidR="000A48AE">
        <w:t xml:space="preserve"> (2020)</w:t>
      </w:r>
      <w:r w:rsidR="00BE445D">
        <w:t xml:space="preserve"> did not assess the presence and likely impact of publication bias.</w:t>
      </w:r>
    </w:p>
    <w:p w14:paraId="5B8A14A9" w14:textId="0C65731B" w:rsidR="00FC20FA" w:rsidRPr="00087719" w:rsidRDefault="00FC20FA" w:rsidP="00C03581">
      <w:pPr>
        <w:pStyle w:val="Heading4"/>
        <w:numPr>
          <w:ilvl w:val="0"/>
          <w:numId w:val="0"/>
        </w:numPr>
        <w:spacing w:after="120"/>
        <w:jc w:val="both"/>
      </w:pPr>
      <w:r w:rsidRPr="00087719">
        <w:t>Supplemental literature search</w:t>
      </w:r>
    </w:p>
    <w:p w14:paraId="0CEAF0CB" w14:textId="6C663559" w:rsidR="00C75F3F" w:rsidRDefault="00FC20FA" w:rsidP="00C03581">
      <w:pPr>
        <w:spacing w:after="120"/>
        <w:jc w:val="both"/>
      </w:pPr>
      <w:r>
        <w:t>The characteristics of the RCTs (n=21) included in the supplemental literature search are presented in Appendix A.</w:t>
      </w:r>
      <w:r w:rsidR="002162C0">
        <w:t>8</w:t>
      </w:r>
      <w:r>
        <w:t xml:space="preserve">, </w:t>
      </w:r>
      <w:r>
        <w:fldChar w:fldCharType="begin" w:fldLock="1"/>
      </w:r>
      <w:r>
        <w:instrText xml:space="preserve"> REF _Ref61472406 \h </w:instrText>
      </w:r>
      <w:r>
        <w:fldChar w:fldCharType="separate"/>
      </w:r>
      <w:r w:rsidR="00EC5CC7">
        <w:t xml:space="preserve">Table </w:t>
      </w:r>
      <w:r w:rsidR="00EC5CC7">
        <w:rPr>
          <w:noProof/>
        </w:rPr>
        <w:t>142</w:t>
      </w:r>
      <w:r>
        <w:fldChar w:fldCharType="end"/>
      </w:r>
      <w:r>
        <w:t xml:space="preserve">. </w:t>
      </w:r>
      <w:r w:rsidR="00C75F3F">
        <w:t xml:space="preserve">The risk of bias assessment </w:t>
      </w:r>
      <w:r w:rsidR="00EE28B9">
        <w:t xml:space="preserve">for the additional evidence </w:t>
      </w:r>
      <w:r w:rsidR="000C2C7D">
        <w:t>(completed studies, n=19)</w:t>
      </w:r>
      <w:r w:rsidR="00EE28B9">
        <w:t xml:space="preserve"> </w:t>
      </w:r>
      <w:r w:rsidR="00EE28B9" w:rsidDel="00EB2FD0">
        <w:t>identified in the supplemental literature search</w:t>
      </w:r>
      <w:r w:rsidR="00EE28B9">
        <w:t xml:space="preserve"> is </w:t>
      </w:r>
      <w:r w:rsidR="00C75F3F">
        <w:t xml:space="preserve">presented in </w:t>
      </w:r>
      <w:r w:rsidR="00EE28B9">
        <w:t xml:space="preserve">Appendix </w:t>
      </w:r>
      <w:r w:rsidR="00C75F3F">
        <w:t>A</w:t>
      </w:r>
      <w:r w:rsidR="00EE28B9">
        <w:t>.</w:t>
      </w:r>
      <w:r w:rsidR="000932DA">
        <w:t>9</w:t>
      </w:r>
      <w:r w:rsidR="00EE28B9">
        <w:t xml:space="preserve">, </w:t>
      </w:r>
      <w:r w:rsidR="005B09FF">
        <w:rPr>
          <w:highlight w:val="yellow"/>
        </w:rPr>
        <w:fldChar w:fldCharType="begin" w:fldLock="1"/>
      </w:r>
      <w:r w:rsidR="005B09FF">
        <w:rPr>
          <w:highlight w:val="yellow"/>
        </w:rPr>
        <w:instrText xml:space="preserve"> REF _Ref62648339 \h </w:instrText>
      </w:r>
      <w:r w:rsidR="005B09FF">
        <w:rPr>
          <w:highlight w:val="yellow"/>
        </w:rPr>
      </w:r>
      <w:r w:rsidR="005B09FF">
        <w:rPr>
          <w:highlight w:val="yellow"/>
        </w:rPr>
        <w:fldChar w:fldCharType="separate"/>
      </w:r>
      <w:r w:rsidR="00EC5CC7">
        <w:t xml:space="preserve">Figure </w:t>
      </w:r>
      <w:r w:rsidR="00EC5CC7">
        <w:rPr>
          <w:noProof/>
        </w:rPr>
        <w:t>48</w:t>
      </w:r>
      <w:r w:rsidR="005B09FF">
        <w:rPr>
          <w:highlight w:val="yellow"/>
        </w:rPr>
        <w:fldChar w:fldCharType="end"/>
      </w:r>
      <w:r w:rsidR="00C75F3F">
        <w:t>.</w:t>
      </w:r>
    </w:p>
    <w:p w14:paraId="3F582137" w14:textId="4DE836DD" w:rsidR="00CE1D54" w:rsidRDefault="0033245F" w:rsidP="00C03581">
      <w:pPr>
        <w:spacing w:after="120"/>
        <w:jc w:val="both"/>
      </w:pPr>
      <w:r>
        <w:t xml:space="preserve">The majority of RCTs </w:t>
      </w:r>
      <w:r w:rsidR="00C4522E">
        <w:t xml:space="preserve">(n=12) </w:t>
      </w:r>
      <w:r>
        <w:t xml:space="preserve">included </w:t>
      </w:r>
      <w:r w:rsidR="00D61D0B">
        <w:t>from the supplemental literature search had a low risk of bias</w:t>
      </w:r>
      <w:r w:rsidR="00246E26">
        <w:t>. Four studies</w:t>
      </w:r>
      <w:r w:rsidR="006E2872">
        <w:t xml:space="preserve"> were assessed to have </w:t>
      </w:r>
      <w:r w:rsidR="00821824">
        <w:t>some concerns</w:t>
      </w:r>
      <w:r w:rsidR="009000FE">
        <w:t xml:space="preserve"> (Deder</w:t>
      </w:r>
      <w:r w:rsidR="00EB2FD0">
        <w:t>t</w:t>
      </w:r>
      <w:r w:rsidR="009000FE">
        <w:t xml:space="preserve"> 2018, Leung 2019, Schnoll 2019, Nides 2020) while </w:t>
      </w:r>
      <w:r w:rsidR="007A05AB">
        <w:t>three studies were assessed to have a high risk of bias (Tuisku 2016, Benowitz 2018, Ellerbeck 2018).</w:t>
      </w:r>
    </w:p>
    <w:p w14:paraId="04054841" w14:textId="0839CADD" w:rsidR="00323E15" w:rsidRDefault="00CE1D54" w:rsidP="00C03581">
      <w:pPr>
        <w:spacing w:after="120"/>
        <w:jc w:val="both"/>
      </w:pPr>
      <w:r>
        <w:t xml:space="preserve">In </w:t>
      </w:r>
      <w:r w:rsidR="006B59D2">
        <w:t>Dedert</w:t>
      </w:r>
      <w:r w:rsidR="007054E1">
        <w:t xml:space="preserve"> et al.</w:t>
      </w:r>
      <w:r w:rsidR="006B59D2">
        <w:t xml:space="preserve"> (2018) and </w:t>
      </w:r>
      <w:r>
        <w:t>Nides</w:t>
      </w:r>
      <w:r w:rsidR="007054E1">
        <w:t xml:space="preserve"> et al.</w:t>
      </w:r>
      <w:r w:rsidR="00F20B1E">
        <w:t xml:space="preserve"> (2020), </w:t>
      </w:r>
      <w:r w:rsidR="004D4D6E">
        <w:t>the concealment of the allocation sequence was not reported.</w:t>
      </w:r>
      <w:r w:rsidR="007A05AB">
        <w:t xml:space="preserve"> </w:t>
      </w:r>
      <w:r w:rsidR="00145446">
        <w:t>In Leung</w:t>
      </w:r>
      <w:r w:rsidR="007054E1">
        <w:t xml:space="preserve"> et al.</w:t>
      </w:r>
      <w:r w:rsidR="00145446">
        <w:t xml:space="preserve"> (2019), </w:t>
      </w:r>
      <w:r w:rsidR="00AC355D">
        <w:t xml:space="preserve">both the patients and </w:t>
      </w:r>
      <w:r w:rsidR="003C2731">
        <w:t>counsellors</w:t>
      </w:r>
      <w:r w:rsidR="00AC355D">
        <w:t xml:space="preserve"> were aware </w:t>
      </w:r>
      <w:r w:rsidR="001F3D86">
        <w:t>of treatment allocation (</w:t>
      </w:r>
      <w:r w:rsidR="008260A0">
        <w:t>i.e.,</w:t>
      </w:r>
      <w:r w:rsidR="001F3D86">
        <w:t xml:space="preserve"> open-label study) while there w</w:t>
      </w:r>
      <w:r w:rsidR="00C03581">
        <w:t>as</w:t>
      </w:r>
      <w:r w:rsidR="001F3D86">
        <w:t xml:space="preserve"> no information reported in Schnoll</w:t>
      </w:r>
      <w:r w:rsidR="007054E1">
        <w:t xml:space="preserve"> et al.</w:t>
      </w:r>
      <w:r w:rsidR="001F3D86">
        <w:t xml:space="preserve"> (2019) </w:t>
      </w:r>
      <w:r w:rsidR="00383ED6">
        <w:t>for</w:t>
      </w:r>
      <w:r w:rsidR="0044561B">
        <w:t xml:space="preserve"> blinding </w:t>
      </w:r>
      <w:r w:rsidR="00A45D90">
        <w:t>of patients.</w:t>
      </w:r>
      <w:r w:rsidR="000706FA">
        <w:t xml:space="preserve"> </w:t>
      </w:r>
      <w:r w:rsidR="007277B3">
        <w:t xml:space="preserve">Notwithstanding the limitations of </w:t>
      </w:r>
      <w:r w:rsidR="004D7173">
        <w:t>the</w:t>
      </w:r>
      <w:r w:rsidR="00A81C4B">
        <w:t>se</w:t>
      </w:r>
      <w:r w:rsidR="004D7173">
        <w:t xml:space="preserve"> studies,</w:t>
      </w:r>
      <w:r w:rsidR="000706FA">
        <w:t xml:space="preserve"> the smoking </w:t>
      </w:r>
      <w:r w:rsidR="00F34CA4">
        <w:t>cessation</w:t>
      </w:r>
      <w:r w:rsidR="00B04A74">
        <w:t xml:space="preserve"> rates </w:t>
      </w:r>
      <w:r w:rsidR="00EC3582">
        <w:t xml:space="preserve">measured in these studies were </w:t>
      </w:r>
      <w:r w:rsidR="00B04A74">
        <w:t>biochemically validated</w:t>
      </w:r>
      <w:r w:rsidR="00905A26">
        <w:t xml:space="preserve"> (objective measurement)</w:t>
      </w:r>
      <w:r w:rsidR="00095CF0">
        <w:t>.</w:t>
      </w:r>
    </w:p>
    <w:p w14:paraId="22D30847" w14:textId="6CE458AA" w:rsidR="00A45D90" w:rsidRDefault="00A56283" w:rsidP="00C03581">
      <w:pPr>
        <w:spacing w:after="120"/>
        <w:jc w:val="both"/>
      </w:pPr>
      <w:r>
        <w:lastRenderedPageBreak/>
        <w:t xml:space="preserve">In Tuisku </w:t>
      </w:r>
      <w:r w:rsidR="007054E1">
        <w:t xml:space="preserve">et al. </w:t>
      </w:r>
      <w:r>
        <w:t xml:space="preserve">(2016), long-term smoking cessation rates were </w:t>
      </w:r>
      <w:r w:rsidR="007054E1">
        <w:t xml:space="preserve">self-reported and not biochemically validated. Benowitz et al. (2018) was a </w:t>
      </w:r>
      <w:r w:rsidR="007054E1" w:rsidRPr="007054E1">
        <w:t>non-treatment extension of EAGLES (Anthenelli et al. 2016)</w:t>
      </w:r>
      <w:r w:rsidR="00322C48">
        <w:t xml:space="preserve"> with a </w:t>
      </w:r>
      <w:r w:rsidR="004C6EB0">
        <w:t>considerabl</w:t>
      </w:r>
      <w:r w:rsidR="00FA1DDC">
        <w:t>e</w:t>
      </w:r>
      <w:r w:rsidR="004C6EB0">
        <w:t xml:space="preserve"> amount of missing data due</w:t>
      </w:r>
      <w:r w:rsidR="004C6EB0" w:rsidRPr="004C6EB0">
        <w:t xml:space="preserve"> to lost to follow-up, extension study nonenrollees</w:t>
      </w:r>
      <w:r w:rsidR="00F24333">
        <w:t>,</w:t>
      </w:r>
      <w:r w:rsidR="004C6EB0" w:rsidRPr="004C6EB0">
        <w:t xml:space="preserve"> no longer willing to participate and death.</w:t>
      </w:r>
      <w:r w:rsidR="00F24333">
        <w:t xml:space="preserve"> Ellerbeck et al. (2018) </w:t>
      </w:r>
      <w:r w:rsidR="00270CB3">
        <w:t xml:space="preserve">was an </w:t>
      </w:r>
      <w:r w:rsidR="00574F8A">
        <w:t>open-label study</w:t>
      </w:r>
      <w:r w:rsidR="00A07843">
        <w:t xml:space="preserve"> and outcome assessor</w:t>
      </w:r>
      <w:r w:rsidR="009D1889">
        <w:t>s</w:t>
      </w:r>
      <w:r w:rsidR="00A07843">
        <w:t xml:space="preserve"> were likel</w:t>
      </w:r>
      <w:r w:rsidR="00117062">
        <w:t>y aware of the inte</w:t>
      </w:r>
      <w:r w:rsidR="00400659">
        <w:t>rventions receive</w:t>
      </w:r>
      <w:r w:rsidR="00804D6A">
        <w:t>d by the patients.</w:t>
      </w:r>
      <w:r w:rsidR="00FC6693">
        <w:t xml:space="preserve"> Tuisku et al. (2016) was </w:t>
      </w:r>
      <w:r w:rsidR="003A5A6F">
        <w:t xml:space="preserve">excluded </w:t>
      </w:r>
      <w:r w:rsidR="00863AC4">
        <w:t xml:space="preserve">from data synthesis </w:t>
      </w:r>
      <w:r w:rsidR="000C2C7D">
        <w:t xml:space="preserve">due </w:t>
      </w:r>
      <w:r w:rsidR="00863AC4">
        <w:t xml:space="preserve">to </w:t>
      </w:r>
      <w:r w:rsidR="00E55354">
        <w:t>non-biochemically validated outcome</w:t>
      </w:r>
      <w:r w:rsidR="00D20EF6">
        <w:t>s</w:t>
      </w:r>
      <w:r w:rsidR="00E55354">
        <w:t xml:space="preserve"> while Benowitz </w:t>
      </w:r>
      <w:r w:rsidR="00503EBE">
        <w:t xml:space="preserve">et al. (2018) was summarised qualitatively. </w:t>
      </w:r>
      <w:r w:rsidR="005324DF">
        <w:t xml:space="preserve">Ellerbeck et al. </w:t>
      </w:r>
      <w:r w:rsidR="00713272">
        <w:t>(2018)</w:t>
      </w:r>
      <w:r w:rsidR="00863AC4">
        <w:t xml:space="preserve"> </w:t>
      </w:r>
      <w:r w:rsidR="00373C0F">
        <w:t xml:space="preserve">was </w:t>
      </w:r>
      <w:r w:rsidR="00D103CA">
        <w:t>presented as a separate analysis and was not meta-analysed with the other studies.</w:t>
      </w:r>
    </w:p>
    <w:p w14:paraId="5B478B28" w14:textId="2C245332" w:rsidR="00FC20FA" w:rsidRDefault="00FC20FA" w:rsidP="00FC20FA"/>
    <w:p w14:paraId="17A61D89" w14:textId="62B26FB8" w:rsidR="000B5CDF" w:rsidRDefault="000B5CDF" w:rsidP="00CB337B">
      <w:pPr>
        <w:jc w:val="both"/>
      </w:pPr>
    </w:p>
    <w:p w14:paraId="63080A34" w14:textId="77777777" w:rsidR="000B5CDF" w:rsidRDefault="000B5CDF" w:rsidP="006677E9"/>
    <w:p w14:paraId="467C6467" w14:textId="77777777" w:rsidR="000B5CDF" w:rsidRPr="00B77464" w:rsidRDefault="000B5CDF" w:rsidP="006677E9">
      <w:pPr>
        <w:sectPr w:rsidR="000B5CDF" w:rsidRPr="00B77464" w:rsidSect="004138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8944379" w14:textId="316208D3" w:rsidR="00EA2135" w:rsidRDefault="000B5CDF" w:rsidP="00C03581">
      <w:pPr>
        <w:pStyle w:val="Caption"/>
        <w:keepNext/>
        <w:spacing w:before="0" w:after="120"/>
        <w:jc w:val="both"/>
      </w:pPr>
      <w:bookmarkStart w:id="29" w:name="_Ref49755251"/>
      <w:bookmarkStart w:id="30" w:name="_Toc388453130"/>
      <w:r>
        <w:lastRenderedPageBreak/>
        <w:t xml:space="preserve">Table </w:t>
      </w:r>
      <w:r>
        <w:fldChar w:fldCharType="begin"/>
      </w:r>
      <w:r>
        <w:instrText>SEQ Table \* ARABIC</w:instrText>
      </w:r>
      <w:r>
        <w:fldChar w:fldCharType="separate"/>
      </w:r>
      <w:r w:rsidR="00EC5CC7">
        <w:rPr>
          <w:noProof/>
        </w:rPr>
        <w:t>3</w:t>
      </w:r>
      <w:r>
        <w:fldChar w:fldCharType="end"/>
      </w:r>
      <w:bookmarkEnd w:id="29"/>
      <w:r>
        <w:t xml:space="preserve">: </w:t>
      </w:r>
      <w:r w:rsidRPr="00091919">
        <w:t>Matrix of included Cochrane reviews by research questions addressed</w:t>
      </w:r>
    </w:p>
    <w:tbl>
      <w:tblPr>
        <w:tblStyle w:val="TableGrid"/>
        <w:tblW w:w="5000" w:type="pct"/>
        <w:tblLook w:val="0420" w:firstRow="1" w:lastRow="0" w:firstColumn="0" w:lastColumn="0" w:noHBand="0" w:noVBand="1"/>
      </w:tblPr>
      <w:tblGrid>
        <w:gridCol w:w="570"/>
        <w:gridCol w:w="2745"/>
        <w:gridCol w:w="1420"/>
        <w:gridCol w:w="1593"/>
        <w:gridCol w:w="1562"/>
        <w:gridCol w:w="1506"/>
        <w:gridCol w:w="1506"/>
        <w:gridCol w:w="1548"/>
        <w:gridCol w:w="1498"/>
      </w:tblGrid>
      <w:tr w:rsidR="005A338C" w:rsidRPr="00CF77CE" w14:paraId="4DAE117C" w14:textId="77777777" w:rsidTr="00C03581">
        <w:trPr>
          <w:trHeight w:val="364"/>
          <w:tblHeader/>
        </w:trPr>
        <w:tc>
          <w:tcPr>
            <w:tcW w:w="204" w:type="pct"/>
            <w:vMerge w:val="restart"/>
            <w:shd w:val="clear" w:color="auto" w:fill="BFBFBF" w:themeFill="background1" w:themeFillShade="BF"/>
            <w:noWrap/>
            <w:vAlign w:val="center"/>
          </w:tcPr>
          <w:p w14:paraId="0B26DA2C" w14:textId="22B2F4C0" w:rsidR="0064575B" w:rsidRPr="00CF77CE" w:rsidRDefault="0064575B" w:rsidP="001423A2">
            <w:pPr>
              <w:pStyle w:val="Tableheading"/>
            </w:pPr>
            <w:r>
              <w:t>No.</w:t>
            </w:r>
          </w:p>
        </w:tc>
        <w:tc>
          <w:tcPr>
            <w:tcW w:w="984" w:type="pct"/>
            <w:vMerge w:val="restart"/>
            <w:shd w:val="clear" w:color="auto" w:fill="BFBFBF" w:themeFill="background1" w:themeFillShade="BF"/>
            <w:noWrap/>
            <w:vAlign w:val="center"/>
          </w:tcPr>
          <w:p w14:paraId="6C8C82B4" w14:textId="6C719655" w:rsidR="0064575B" w:rsidRPr="00CF77CE" w:rsidRDefault="0016379A" w:rsidP="00B96D1B">
            <w:pPr>
              <w:pStyle w:val="Tableheading"/>
              <w:jc w:val="center"/>
            </w:pPr>
            <w:r>
              <w:t xml:space="preserve">Cochrane </w:t>
            </w:r>
            <w:r w:rsidR="0064575B" w:rsidRPr="00CF77CE">
              <w:t>Review</w:t>
            </w:r>
          </w:p>
        </w:tc>
        <w:tc>
          <w:tcPr>
            <w:tcW w:w="509" w:type="pct"/>
            <w:vMerge w:val="restart"/>
            <w:shd w:val="clear" w:color="auto" w:fill="BFBFBF" w:themeFill="background1" w:themeFillShade="BF"/>
            <w:vAlign w:val="center"/>
          </w:tcPr>
          <w:p w14:paraId="657F207C" w14:textId="395C0707" w:rsidR="0064575B" w:rsidRPr="00CF77CE" w:rsidRDefault="0064575B" w:rsidP="00B96D1B">
            <w:pPr>
              <w:pStyle w:val="Tableheading"/>
              <w:jc w:val="center"/>
            </w:pPr>
            <w:r w:rsidRPr="00CF77CE">
              <w:t>Date</w:t>
            </w:r>
            <w:r>
              <w:t xml:space="preserve"> </w:t>
            </w:r>
            <w:r w:rsidR="002871E9" w:rsidRPr="00CF77CE">
              <w:t xml:space="preserve">of </w:t>
            </w:r>
            <w:r w:rsidR="002871E9">
              <w:t>search</w:t>
            </w:r>
            <w:r>
              <w:t xml:space="preserve"> limit</w:t>
            </w:r>
          </w:p>
        </w:tc>
        <w:tc>
          <w:tcPr>
            <w:tcW w:w="571" w:type="pct"/>
            <w:vMerge w:val="restart"/>
            <w:shd w:val="clear" w:color="auto" w:fill="BFBFBF" w:themeFill="background1" w:themeFillShade="BF"/>
            <w:vAlign w:val="center"/>
          </w:tcPr>
          <w:p w14:paraId="590E20DE" w14:textId="45549262" w:rsidR="0064575B" w:rsidRPr="00CF77CE" w:rsidRDefault="0064575B" w:rsidP="00B96D1B">
            <w:pPr>
              <w:pStyle w:val="Tableheading"/>
              <w:jc w:val="center"/>
            </w:pPr>
            <w:r w:rsidRPr="00CF77CE">
              <w:t xml:space="preserve">RQ1: </w:t>
            </w:r>
            <w:r w:rsidR="0073262D" w:rsidRPr="00CF77CE">
              <w:t>Monotherapy</w:t>
            </w:r>
            <w:r w:rsidR="00AD3089">
              <w:rPr>
                <w:vertAlign w:val="superscript"/>
              </w:rPr>
              <w:t>3</w:t>
            </w:r>
          </w:p>
        </w:tc>
        <w:tc>
          <w:tcPr>
            <w:tcW w:w="560" w:type="pct"/>
            <w:vMerge w:val="restart"/>
            <w:shd w:val="clear" w:color="auto" w:fill="BFBFBF" w:themeFill="background1" w:themeFillShade="BF"/>
            <w:vAlign w:val="center"/>
          </w:tcPr>
          <w:p w14:paraId="0E0FCD1A" w14:textId="77777777" w:rsidR="0064575B" w:rsidRPr="00CF77CE" w:rsidRDefault="0064575B" w:rsidP="00B96D1B">
            <w:pPr>
              <w:pStyle w:val="Tableheading"/>
              <w:jc w:val="center"/>
            </w:pPr>
            <w:r w:rsidRPr="00CF77CE">
              <w:t>RQ2: Combination therapy</w:t>
            </w:r>
          </w:p>
        </w:tc>
        <w:tc>
          <w:tcPr>
            <w:tcW w:w="540" w:type="pct"/>
            <w:vMerge w:val="restart"/>
            <w:shd w:val="clear" w:color="auto" w:fill="BFBFBF" w:themeFill="background1" w:themeFillShade="BF"/>
            <w:vAlign w:val="center"/>
          </w:tcPr>
          <w:p w14:paraId="015233CC" w14:textId="0C283614" w:rsidR="0019054A" w:rsidRPr="00CF77CE" w:rsidRDefault="0019054A" w:rsidP="00B96D1B">
            <w:pPr>
              <w:pStyle w:val="Tableheading"/>
              <w:jc w:val="center"/>
            </w:pPr>
            <w:r w:rsidRPr="00CF77CE">
              <w:t>RQ</w:t>
            </w:r>
            <w:r w:rsidR="001E78B2">
              <w:t>3</w:t>
            </w:r>
            <w:r w:rsidRPr="00CF77CE">
              <w:t xml:space="preserve">: </w:t>
            </w:r>
            <w:r w:rsidR="00B96D1B">
              <w:t xml:space="preserve">           </w:t>
            </w:r>
            <w:r w:rsidRPr="00CF77CE">
              <w:t>NRT dose</w:t>
            </w:r>
            <w:r>
              <w:t xml:space="preserve">, </w:t>
            </w:r>
            <w:r w:rsidRPr="00CF77CE">
              <w:t>form, length</w:t>
            </w:r>
          </w:p>
        </w:tc>
        <w:tc>
          <w:tcPr>
            <w:tcW w:w="540" w:type="pct"/>
            <w:vMerge w:val="restart"/>
            <w:shd w:val="clear" w:color="auto" w:fill="BFBFBF" w:themeFill="background1" w:themeFillShade="BF"/>
            <w:vAlign w:val="center"/>
          </w:tcPr>
          <w:p w14:paraId="0F3C19DE" w14:textId="7439DAB4" w:rsidR="0064575B" w:rsidRPr="00CF77CE" w:rsidRDefault="0019054A" w:rsidP="00B96D1B">
            <w:pPr>
              <w:pStyle w:val="Tableheading"/>
              <w:jc w:val="center"/>
            </w:pPr>
            <w:r w:rsidRPr="00CF77CE">
              <w:t>RQ</w:t>
            </w:r>
            <w:r w:rsidR="001E78B2">
              <w:t>4</w:t>
            </w:r>
            <w:r w:rsidR="0064575B" w:rsidRPr="00CF77CE">
              <w:t>: Behavioural strategies</w:t>
            </w:r>
          </w:p>
        </w:tc>
        <w:tc>
          <w:tcPr>
            <w:tcW w:w="1092" w:type="pct"/>
            <w:gridSpan w:val="2"/>
            <w:shd w:val="clear" w:color="auto" w:fill="BFBFBF" w:themeFill="background1" w:themeFillShade="BF"/>
            <w:vAlign w:val="center"/>
          </w:tcPr>
          <w:p w14:paraId="43772AB4" w14:textId="29A15C20" w:rsidR="0064575B" w:rsidRPr="00CF77CE" w:rsidRDefault="00BE3630" w:rsidP="00B96D1B">
            <w:pPr>
              <w:pStyle w:val="Tableheading"/>
              <w:jc w:val="center"/>
            </w:pPr>
            <w:r>
              <w:t>RQ</w:t>
            </w:r>
            <w:r w:rsidR="00220C3D">
              <w:t xml:space="preserve">5: </w:t>
            </w:r>
            <w:r w:rsidR="00B96D1B">
              <w:t xml:space="preserve">                                 </w:t>
            </w:r>
            <w:r w:rsidR="00030039">
              <w:t>P</w:t>
            </w:r>
            <w:r w:rsidR="0064575B">
              <w:t>opulations</w:t>
            </w:r>
            <w:r w:rsidR="00030039">
              <w:t xml:space="preserve"> with specific needs</w:t>
            </w:r>
          </w:p>
        </w:tc>
      </w:tr>
      <w:tr w:rsidR="005A338C" w:rsidRPr="00501885" w14:paraId="5F97E1B5" w14:textId="77777777" w:rsidTr="00C03581">
        <w:trPr>
          <w:trHeight w:val="364"/>
          <w:tblHeader/>
        </w:trPr>
        <w:tc>
          <w:tcPr>
            <w:tcW w:w="204" w:type="pct"/>
            <w:vMerge/>
            <w:shd w:val="clear" w:color="auto" w:fill="BFBFBF" w:themeFill="background1" w:themeFillShade="BF"/>
            <w:noWrap/>
            <w:vAlign w:val="center"/>
          </w:tcPr>
          <w:p w14:paraId="29E19093" w14:textId="77777777" w:rsidR="00291235" w:rsidRPr="00501885" w:rsidRDefault="00291235" w:rsidP="001423A2">
            <w:pPr>
              <w:pStyle w:val="Tableheading"/>
            </w:pPr>
          </w:p>
        </w:tc>
        <w:tc>
          <w:tcPr>
            <w:tcW w:w="984" w:type="pct"/>
            <w:vMerge/>
            <w:shd w:val="clear" w:color="auto" w:fill="BFBFBF" w:themeFill="background1" w:themeFillShade="BF"/>
            <w:noWrap/>
            <w:vAlign w:val="center"/>
          </w:tcPr>
          <w:p w14:paraId="4D7418AA" w14:textId="77777777" w:rsidR="00291235" w:rsidRPr="00501885" w:rsidRDefault="00291235" w:rsidP="00B96D1B">
            <w:pPr>
              <w:pStyle w:val="Tableheading"/>
              <w:jc w:val="center"/>
            </w:pPr>
          </w:p>
        </w:tc>
        <w:tc>
          <w:tcPr>
            <w:tcW w:w="509" w:type="pct"/>
            <w:vMerge/>
            <w:shd w:val="clear" w:color="auto" w:fill="BFBFBF" w:themeFill="background1" w:themeFillShade="BF"/>
            <w:noWrap/>
            <w:vAlign w:val="center"/>
          </w:tcPr>
          <w:p w14:paraId="79E3139C" w14:textId="77777777" w:rsidR="00291235" w:rsidRPr="00501885" w:rsidRDefault="00291235" w:rsidP="00B96D1B">
            <w:pPr>
              <w:pStyle w:val="Tableheading"/>
              <w:jc w:val="center"/>
            </w:pPr>
          </w:p>
        </w:tc>
        <w:tc>
          <w:tcPr>
            <w:tcW w:w="571" w:type="pct"/>
            <w:vMerge/>
            <w:shd w:val="clear" w:color="auto" w:fill="BFBFBF" w:themeFill="background1" w:themeFillShade="BF"/>
            <w:noWrap/>
            <w:vAlign w:val="center"/>
          </w:tcPr>
          <w:p w14:paraId="1774506B" w14:textId="77777777" w:rsidR="00291235" w:rsidRPr="00501885" w:rsidRDefault="00291235" w:rsidP="00B96D1B">
            <w:pPr>
              <w:pStyle w:val="Tableheading"/>
              <w:jc w:val="center"/>
            </w:pPr>
          </w:p>
        </w:tc>
        <w:tc>
          <w:tcPr>
            <w:tcW w:w="560" w:type="pct"/>
            <w:vMerge/>
            <w:shd w:val="clear" w:color="auto" w:fill="BFBFBF" w:themeFill="background1" w:themeFillShade="BF"/>
            <w:noWrap/>
            <w:vAlign w:val="center"/>
          </w:tcPr>
          <w:p w14:paraId="643DDF60" w14:textId="77777777" w:rsidR="00291235" w:rsidRPr="00501885" w:rsidRDefault="00291235" w:rsidP="00B96D1B">
            <w:pPr>
              <w:pStyle w:val="Tableheading"/>
              <w:jc w:val="center"/>
            </w:pPr>
          </w:p>
        </w:tc>
        <w:tc>
          <w:tcPr>
            <w:tcW w:w="540" w:type="pct"/>
            <w:vMerge/>
            <w:shd w:val="clear" w:color="auto" w:fill="BFBFBF" w:themeFill="background1" w:themeFillShade="BF"/>
            <w:vAlign w:val="center"/>
          </w:tcPr>
          <w:p w14:paraId="793965AC" w14:textId="77777777" w:rsidR="0019054A" w:rsidRPr="00501885" w:rsidRDefault="0019054A" w:rsidP="00B96D1B">
            <w:pPr>
              <w:pStyle w:val="Tableheading"/>
              <w:jc w:val="center"/>
            </w:pPr>
          </w:p>
        </w:tc>
        <w:tc>
          <w:tcPr>
            <w:tcW w:w="540" w:type="pct"/>
            <w:vMerge/>
            <w:shd w:val="clear" w:color="auto" w:fill="BFBFBF" w:themeFill="background1" w:themeFillShade="BF"/>
            <w:noWrap/>
            <w:vAlign w:val="center"/>
          </w:tcPr>
          <w:p w14:paraId="34AF6328" w14:textId="7EFADE91" w:rsidR="00291235" w:rsidRPr="00501885" w:rsidRDefault="00291235" w:rsidP="00B96D1B">
            <w:pPr>
              <w:pStyle w:val="Tableheading"/>
              <w:jc w:val="center"/>
            </w:pPr>
          </w:p>
        </w:tc>
        <w:tc>
          <w:tcPr>
            <w:tcW w:w="555" w:type="pct"/>
            <w:shd w:val="clear" w:color="auto" w:fill="BFBFBF" w:themeFill="background1" w:themeFillShade="BF"/>
            <w:vAlign w:val="center"/>
          </w:tcPr>
          <w:p w14:paraId="721A54D7" w14:textId="77777777" w:rsidR="00291235" w:rsidRPr="00501885" w:rsidRDefault="00291235" w:rsidP="00B96D1B">
            <w:pPr>
              <w:pStyle w:val="Tableheading"/>
              <w:jc w:val="center"/>
            </w:pPr>
            <w:r>
              <w:t>Pregnancy</w:t>
            </w:r>
          </w:p>
        </w:tc>
        <w:tc>
          <w:tcPr>
            <w:tcW w:w="537" w:type="pct"/>
            <w:shd w:val="clear" w:color="auto" w:fill="BFBFBF" w:themeFill="background1" w:themeFillShade="BF"/>
            <w:vAlign w:val="center"/>
          </w:tcPr>
          <w:p w14:paraId="7735A214" w14:textId="77777777" w:rsidR="00291235" w:rsidRPr="00501885" w:rsidRDefault="00291235" w:rsidP="00B96D1B">
            <w:pPr>
              <w:pStyle w:val="Tableheading"/>
              <w:jc w:val="center"/>
            </w:pPr>
            <w:r>
              <w:t>Adolescents</w:t>
            </w:r>
          </w:p>
        </w:tc>
      </w:tr>
      <w:tr w:rsidR="008501D2" w:rsidRPr="00501885" w14:paraId="415918E1" w14:textId="77777777" w:rsidTr="00C03581">
        <w:tc>
          <w:tcPr>
            <w:tcW w:w="204" w:type="pct"/>
            <w:noWrap/>
            <w:vAlign w:val="center"/>
          </w:tcPr>
          <w:p w14:paraId="6EDED6B2" w14:textId="78BC78A5" w:rsidR="008501D2" w:rsidRDefault="00BC27C1" w:rsidP="008501D2">
            <w:pPr>
              <w:pStyle w:val="Tablewriting"/>
            </w:pPr>
            <w:r>
              <w:t>1</w:t>
            </w:r>
          </w:p>
        </w:tc>
        <w:tc>
          <w:tcPr>
            <w:tcW w:w="984" w:type="pct"/>
            <w:noWrap/>
            <w:vAlign w:val="center"/>
          </w:tcPr>
          <w:p w14:paraId="75DF6CE3" w14:textId="0D8D0E25" w:rsidR="008501D2" w:rsidRDefault="008501D2" w:rsidP="008501D2">
            <w:pPr>
              <w:pStyle w:val="Tablewriting"/>
            </w:pPr>
            <w:r w:rsidRPr="00501885">
              <w:t>Howes 2020</w:t>
            </w:r>
          </w:p>
        </w:tc>
        <w:tc>
          <w:tcPr>
            <w:tcW w:w="509" w:type="pct"/>
            <w:noWrap/>
            <w:vAlign w:val="center"/>
          </w:tcPr>
          <w:p w14:paraId="176134FB" w14:textId="77645896" w:rsidR="008501D2" w:rsidRDefault="008501D2" w:rsidP="008501D2">
            <w:pPr>
              <w:pStyle w:val="Tablewriting"/>
            </w:pPr>
            <w:r w:rsidRPr="00501885">
              <w:t>May 2019</w:t>
            </w:r>
          </w:p>
        </w:tc>
        <w:tc>
          <w:tcPr>
            <w:tcW w:w="571" w:type="pct"/>
            <w:noWrap/>
            <w:vAlign w:val="center"/>
          </w:tcPr>
          <w:p w14:paraId="073A460C" w14:textId="5FA766B4" w:rsidR="008501D2" w:rsidRPr="00F20C7E" w:rsidRDefault="008501D2" w:rsidP="008501D2">
            <w:pPr>
              <w:pStyle w:val="Tablewriting"/>
              <w:jc w:val="center"/>
              <w:rPr>
                <w:b/>
                <w:bCs/>
              </w:rPr>
            </w:pPr>
            <w:r>
              <w:rPr>
                <w:b/>
                <w:bCs/>
              </w:rPr>
              <w:t>X</w:t>
            </w:r>
          </w:p>
        </w:tc>
        <w:tc>
          <w:tcPr>
            <w:tcW w:w="560" w:type="pct"/>
            <w:noWrap/>
            <w:vAlign w:val="center"/>
          </w:tcPr>
          <w:p w14:paraId="619DEB10" w14:textId="341BFD1B" w:rsidR="008501D2" w:rsidRDefault="008501D2" w:rsidP="008501D2">
            <w:pPr>
              <w:pStyle w:val="Tablewriting"/>
              <w:jc w:val="center"/>
              <w:rPr>
                <w:b/>
                <w:bCs/>
              </w:rPr>
            </w:pPr>
            <w:r>
              <w:rPr>
                <w:b/>
                <w:bCs/>
              </w:rPr>
              <w:t>X</w:t>
            </w:r>
          </w:p>
        </w:tc>
        <w:tc>
          <w:tcPr>
            <w:tcW w:w="540" w:type="pct"/>
          </w:tcPr>
          <w:p w14:paraId="024FA134" w14:textId="77777777" w:rsidR="008501D2" w:rsidRPr="00F20C7E" w:rsidRDefault="008501D2" w:rsidP="008501D2">
            <w:pPr>
              <w:pStyle w:val="Tablewriting"/>
              <w:jc w:val="center"/>
              <w:rPr>
                <w:b/>
                <w:bCs/>
              </w:rPr>
            </w:pPr>
          </w:p>
        </w:tc>
        <w:tc>
          <w:tcPr>
            <w:tcW w:w="540" w:type="pct"/>
            <w:noWrap/>
            <w:vAlign w:val="center"/>
          </w:tcPr>
          <w:p w14:paraId="43E7F9F1" w14:textId="77777777" w:rsidR="008501D2" w:rsidRPr="00F20C7E" w:rsidRDefault="008501D2" w:rsidP="008501D2">
            <w:pPr>
              <w:pStyle w:val="Tablewriting"/>
              <w:jc w:val="center"/>
              <w:rPr>
                <w:b/>
                <w:bCs/>
              </w:rPr>
            </w:pPr>
          </w:p>
        </w:tc>
        <w:tc>
          <w:tcPr>
            <w:tcW w:w="555" w:type="pct"/>
            <w:vAlign w:val="center"/>
          </w:tcPr>
          <w:p w14:paraId="356C7948" w14:textId="77777777" w:rsidR="008501D2" w:rsidRPr="00F20C7E" w:rsidRDefault="008501D2" w:rsidP="008501D2">
            <w:pPr>
              <w:pStyle w:val="Tablewriting"/>
              <w:jc w:val="center"/>
              <w:rPr>
                <w:b/>
                <w:bCs/>
              </w:rPr>
            </w:pPr>
          </w:p>
        </w:tc>
        <w:tc>
          <w:tcPr>
            <w:tcW w:w="537" w:type="pct"/>
            <w:vAlign w:val="center"/>
          </w:tcPr>
          <w:p w14:paraId="1D758AC3" w14:textId="77777777" w:rsidR="008501D2" w:rsidRPr="00F20C7E" w:rsidRDefault="008501D2" w:rsidP="008501D2">
            <w:pPr>
              <w:pStyle w:val="Tablewriting"/>
              <w:jc w:val="center"/>
              <w:rPr>
                <w:b/>
                <w:bCs/>
              </w:rPr>
            </w:pPr>
          </w:p>
        </w:tc>
      </w:tr>
      <w:tr w:rsidR="008501D2" w:rsidRPr="00501885" w14:paraId="169358A4" w14:textId="77777777" w:rsidTr="00C03581">
        <w:tc>
          <w:tcPr>
            <w:tcW w:w="204" w:type="pct"/>
            <w:noWrap/>
            <w:vAlign w:val="center"/>
          </w:tcPr>
          <w:p w14:paraId="121C58DE" w14:textId="716D3931" w:rsidR="008501D2" w:rsidRDefault="00BC27C1" w:rsidP="008501D2">
            <w:pPr>
              <w:pStyle w:val="Tablewriting"/>
            </w:pPr>
            <w:r>
              <w:t>2</w:t>
            </w:r>
          </w:p>
        </w:tc>
        <w:tc>
          <w:tcPr>
            <w:tcW w:w="984" w:type="pct"/>
            <w:noWrap/>
            <w:vAlign w:val="center"/>
          </w:tcPr>
          <w:p w14:paraId="6489EA0E" w14:textId="2B39D247" w:rsidR="008501D2" w:rsidRDefault="008501D2" w:rsidP="008501D2">
            <w:pPr>
              <w:pStyle w:val="Tablewriting"/>
            </w:pPr>
            <w:r>
              <w:t>Claire 2020</w:t>
            </w:r>
          </w:p>
        </w:tc>
        <w:tc>
          <w:tcPr>
            <w:tcW w:w="509" w:type="pct"/>
            <w:noWrap/>
            <w:vAlign w:val="center"/>
          </w:tcPr>
          <w:p w14:paraId="19E4F7C6" w14:textId="6444BDE4" w:rsidR="008501D2" w:rsidRDefault="008501D2" w:rsidP="008501D2">
            <w:pPr>
              <w:pStyle w:val="Tablewriting"/>
            </w:pPr>
            <w:r>
              <w:t>May 2019</w:t>
            </w:r>
          </w:p>
        </w:tc>
        <w:tc>
          <w:tcPr>
            <w:tcW w:w="571" w:type="pct"/>
            <w:noWrap/>
            <w:vAlign w:val="center"/>
          </w:tcPr>
          <w:p w14:paraId="000234DC" w14:textId="77777777" w:rsidR="008501D2" w:rsidRPr="00F20C7E" w:rsidRDefault="008501D2" w:rsidP="008501D2">
            <w:pPr>
              <w:pStyle w:val="Tablewriting"/>
              <w:jc w:val="center"/>
              <w:rPr>
                <w:b/>
                <w:bCs/>
              </w:rPr>
            </w:pPr>
          </w:p>
        </w:tc>
        <w:tc>
          <w:tcPr>
            <w:tcW w:w="560" w:type="pct"/>
            <w:noWrap/>
            <w:vAlign w:val="center"/>
          </w:tcPr>
          <w:p w14:paraId="6FB28BCC" w14:textId="77777777" w:rsidR="008501D2" w:rsidRDefault="008501D2" w:rsidP="008501D2">
            <w:pPr>
              <w:pStyle w:val="Tablewriting"/>
              <w:jc w:val="center"/>
              <w:rPr>
                <w:b/>
                <w:bCs/>
              </w:rPr>
            </w:pPr>
          </w:p>
        </w:tc>
        <w:tc>
          <w:tcPr>
            <w:tcW w:w="540" w:type="pct"/>
          </w:tcPr>
          <w:p w14:paraId="2FAA13F0" w14:textId="77777777" w:rsidR="008501D2" w:rsidRPr="00F20C7E" w:rsidRDefault="008501D2" w:rsidP="008501D2">
            <w:pPr>
              <w:pStyle w:val="Tablewriting"/>
              <w:jc w:val="center"/>
              <w:rPr>
                <w:b/>
                <w:bCs/>
              </w:rPr>
            </w:pPr>
          </w:p>
        </w:tc>
        <w:tc>
          <w:tcPr>
            <w:tcW w:w="540" w:type="pct"/>
            <w:noWrap/>
            <w:vAlign w:val="center"/>
          </w:tcPr>
          <w:p w14:paraId="2ACBA525" w14:textId="77777777" w:rsidR="008501D2" w:rsidRPr="00F20C7E" w:rsidRDefault="008501D2" w:rsidP="008501D2">
            <w:pPr>
              <w:pStyle w:val="Tablewriting"/>
              <w:jc w:val="center"/>
              <w:rPr>
                <w:b/>
                <w:bCs/>
              </w:rPr>
            </w:pPr>
          </w:p>
        </w:tc>
        <w:tc>
          <w:tcPr>
            <w:tcW w:w="555" w:type="pct"/>
            <w:vAlign w:val="center"/>
          </w:tcPr>
          <w:p w14:paraId="618B56CE" w14:textId="3C35B456" w:rsidR="008501D2" w:rsidRPr="00F20C7E" w:rsidRDefault="008501D2" w:rsidP="008501D2">
            <w:pPr>
              <w:pStyle w:val="Tablewriting"/>
              <w:jc w:val="center"/>
              <w:rPr>
                <w:b/>
                <w:bCs/>
              </w:rPr>
            </w:pPr>
            <w:r>
              <w:rPr>
                <w:b/>
                <w:bCs/>
              </w:rPr>
              <w:t>X</w:t>
            </w:r>
          </w:p>
        </w:tc>
        <w:tc>
          <w:tcPr>
            <w:tcW w:w="537" w:type="pct"/>
            <w:vAlign w:val="center"/>
          </w:tcPr>
          <w:p w14:paraId="398DF8EC" w14:textId="77777777" w:rsidR="008501D2" w:rsidRPr="00F20C7E" w:rsidRDefault="008501D2" w:rsidP="008501D2">
            <w:pPr>
              <w:pStyle w:val="Tablewriting"/>
              <w:jc w:val="center"/>
              <w:rPr>
                <w:b/>
                <w:bCs/>
              </w:rPr>
            </w:pPr>
          </w:p>
        </w:tc>
      </w:tr>
      <w:tr w:rsidR="008501D2" w:rsidRPr="00501885" w14:paraId="55C8401C" w14:textId="77777777" w:rsidTr="00C03581">
        <w:tc>
          <w:tcPr>
            <w:tcW w:w="204" w:type="pct"/>
            <w:noWrap/>
            <w:vAlign w:val="center"/>
          </w:tcPr>
          <w:p w14:paraId="2DBC5C6D" w14:textId="0637F255" w:rsidR="008501D2" w:rsidRDefault="00BC27C1" w:rsidP="008501D2">
            <w:pPr>
              <w:pStyle w:val="Tablewriting"/>
            </w:pPr>
            <w:r>
              <w:t>3</w:t>
            </w:r>
          </w:p>
        </w:tc>
        <w:tc>
          <w:tcPr>
            <w:tcW w:w="984" w:type="pct"/>
            <w:noWrap/>
            <w:vAlign w:val="center"/>
          </w:tcPr>
          <w:p w14:paraId="2E329B10" w14:textId="3A00E26B" w:rsidR="008501D2" w:rsidRDefault="008501D2" w:rsidP="008501D2">
            <w:pPr>
              <w:pStyle w:val="Tablewriting"/>
            </w:pPr>
            <w:r>
              <w:t>Matkin 2019</w:t>
            </w:r>
          </w:p>
        </w:tc>
        <w:tc>
          <w:tcPr>
            <w:tcW w:w="509" w:type="pct"/>
            <w:noWrap/>
            <w:vAlign w:val="center"/>
          </w:tcPr>
          <w:p w14:paraId="66738A01" w14:textId="4EFAFE48" w:rsidR="008501D2" w:rsidRDefault="008501D2" w:rsidP="008501D2">
            <w:pPr>
              <w:pStyle w:val="Tablewriting"/>
            </w:pPr>
            <w:r>
              <w:t>May 2018</w:t>
            </w:r>
          </w:p>
        </w:tc>
        <w:tc>
          <w:tcPr>
            <w:tcW w:w="571" w:type="pct"/>
            <w:noWrap/>
            <w:vAlign w:val="center"/>
          </w:tcPr>
          <w:p w14:paraId="7982365B" w14:textId="77777777" w:rsidR="008501D2" w:rsidRPr="00F20C7E" w:rsidRDefault="008501D2" w:rsidP="008501D2">
            <w:pPr>
              <w:pStyle w:val="Tablewriting"/>
              <w:jc w:val="center"/>
              <w:rPr>
                <w:b/>
                <w:bCs/>
              </w:rPr>
            </w:pPr>
          </w:p>
        </w:tc>
        <w:tc>
          <w:tcPr>
            <w:tcW w:w="560" w:type="pct"/>
            <w:noWrap/>
            <w:vAlign w:val="center"/>
          </w:tcPr>
          <w:p w14:paraId="136C33C7" w14:textId="77777777" w:rsidR="008501D2" w:rsidRDefault="008501D2" w:rsidP="008501D2">
            <w:pPr>
              <w:pStyle w:val="Tablewriting"/>
              <w:jc w:val="center"/>
              <w:rPr>
                <w:b/>
                <w:bCs/>
              </w:rPr>
            </w:pPr>
          </w:p>
        </w:tc>
        <w:tc>
          <w:tcPr>
            <w:tcW w:w="540" w:type="pct"/>
          </w:tcPr>
          <w:p w14:paraId="390B105E" w14:textId="77777777" w:rsidR="008501D2" w:rsidRPr="00F20C7E" w:rsidRDefault="008501D2" w:rsidP="008501D2">
            <w:pPr>
              <w:pStyle w:val="Tablewriting"/>
              <w:jc w:val="center"/>
              <w:rPr>
                <w:b/>
                <w:bCs/>
              </w:rPr>
            </w:pPr>
          </w:p>
        </w:tc>
        <w:tc>
          <w:tcPr>
            <w:tcW w:w="540" w:type="pct"/>
            <w:noWrap/>
            <w:vAlign w:val="center"/>
          </w:tcPr>
          <w:p w14:paraId="787FAD07" w14:textId="58A4A3FF" w:rsidR="008501D2" w:rsidRPr="00F20C7E" w:rsidRDefault="008501D2" w:rsidP="008501D2">
            <w:pPr>
              <w:pStyle w:val="Tablewriting"/>
              <w:jc w:val="center"/>
              <w:rPr>
                <w:b/>
                <w:bCs/>
              </w:rPr>
            </w:pPr>
            <w:r>
              <w:rPr>
                <w:b/>
                <w:bCs/>
              </w:rPr>
              <w:t>X</w:t>
            </w:r>
            <w:r w:rsidR="0028378A">
              <w:rPr>
                <w:vertAlign w:val="superscript"/>
              </w:rPr>
              <w:t>4</w:t>
            </w:r>
          </w:p>
        </w:tc>
        <w:tc>
          <w:tcPr>
            <w:tcW w:w="555" w:type="pct"/>
            <w:vAlign w:val="center"/>
          </w:tcPr>
          <w:p w14:paraId="551DDF4D" w14:textId="77777777" w:rsidR="008501D2" w:rsidRPr="00F20C7E" w:rsidRDefault="008501D2" w:rsidP="008501D2">
            <w:pPr>
              <w:pStyle w:val="Tablewriting"/>
              <w:jc w:val="center"/>
              <w:rPr>
                <w:b/>
                <w:bCs/>
              </w:rPr>
            </w:pPr>
          </w:p>
        </w:tc>
        <w:tc>
          <w:tcPr>
            <w:tcW w:w="537" w:type="pct"/>
            <w:vAlign w:val="center"/>
          </w:tcPr>
          <w:p w14:paraId="760C6D41" w14:textId="77777777" w:rsidR="008501D2" w:rsidRPr="00F20C7E" w:rsidRDefault="008501D2" w:rsidP="008501D2">
            <w:pPr>
              <w:pStyle w:val="Tablewriting"/>
              <w:jc w:val="center"/>
              <w:rPr>
                <w:b/>
                <w:bCs/>
              </w:rPr>
            </w:pPr>
          </w:p>
        </w:tc>
      </w:tr>
      <w:tr w:rsidR="008501D2" w:rsidRPr="00501885" w14:paraId="1D234D9C" w14:textId="77777777" w:rsidTr="00C03581">
        <w:tc>
          <w:tcPr>
            <w:tcW w:w="204" w:type="pct"/>
            <w:noWrap/>
            <w:vAlign w:val="center"/>
          </w:tcPr>
          <w:p w14:paraId="7E5068C8" w14:textId="2B585F27" w:rsidR="008501D2" w:rsidRDefault="00BC27C1" w:rsidP="008501D2">
            <w:pPr>
              <w:pStyle w:val="Tablewriting"/>
            </w:pPr>
            <w:r>
              <w:t>4</w:t>
            </w:r>
          </w:p>
        </w:tc>
        <w:tc>
          <w:tcPr>
            <w:tcW w:w="984" w:type="pct"/>
            <w:noWrap/>
            <w:vAlign w:val="center"/>
          </w:tcPr>
          <w:p w14:paraId="6DD0AF19" w14:textId="666F67FD" w:rsidR="008501D2" w:rsidRDefault="008501D2" w:rsidP="008501D2">
            <w:pPr>
              <w:pStyle w:val="Tablewriting"/>
            </w:pPr>
            <w:r>
              <w:t>Livingstone-Banks 2019 (a)</w:t>
            </w:r>
            <w:r w:rsidR="00AB4C6B">
              <w:rPr>
                <w:vertAlign w:val="superscript"/>
              </w:rPr>
              <w:t>1</w:t>
            </w:r>
          </w:p>
        </w:tc>
        <w:tc>
          <w:tcPr>
            <w:tcW w:w="509" w:type="pct"/>
            <w:noWrap/>
            <w:vAlign w:val="center"/>
          </w:tcPr>
          <w:p w14:paraId="79DA4864" w14:textId="798620DC" w:rsidR="008501D2" w:rsidRDefault="008501D2" w:rsidP="008501D2">
            <w:pPr>
              <w:pStyle w:val="Tablewriting"/>
            </w:pPr>
            <w:r>
              <w:t>May 2019</w:t>
            </w:r>
          </w:p>
        </w:tc>
        <w:tc>
          <w:tcPr>
            <w:tcW w:w="571" w:type="pct"/>
            <w:noWrap/>
            <w:vAlign w:val="center"/>
          </w:tcPr>
          <w:p w14:paraId="46181D56" w14:textId="29A79B59" w:rsidR="008501D2" w:rsidRPr="00F20C7E" w:rsidRDefault="008501D2" w:rsidP="008501D2">
            <w:pPr>
              <w:pStyle w:val="Tablewriting"/>
              <w:jc w:val="center"/>
              <w:rPr>
                <w:b/>
                <w:bCs/>
              </w:rPr>
            </w:pPr>
            <w:r>
              <w:rPr>
                <w:b/>
                <w:bCs/>
              </w:rPr>
              <w:t>X</w:t>
            </w:r>
          </w:p>
        </w:tc>
        <w:tc>
          <w:tcPr>
            <w:tcW w:w="560" w:type="pct"/>
            <w:noWrap/>
            <w:vAlign w:val="center"/>
          </w:tcPr>
          <w:p w14:paraId="262A5392" w14:textId="1DFF6FE3" w:rsidR="008501D2" w:rsidRDefault="008501D2" w:rsidP="008501D2">
            <w:pPr>
              <w:pStyle w:val="Tablewriting"/>
              <w:jc w:val="center"/>
              <w:rPr>
                <w:b/>
                <w:bCs/>
              </w:rPr>
            </w:pPr>
            <w:r>
              <w:rPr>
                <w:b/>
                <w:bCs/>
              </w:rPr>
              <w:t>X</w:t>
            </w:r>
          </w:p>
        </w:tc>
        <w:tc>
          <w:tcPr>
            <w:tcW w:w="540" w:type="pct"/>
          </w:tcPr>
          <w:p w14:paraId="40D4CE06" w14:textId="77777777" w:rsidR="008501D2" w:rsidRPr="00F20C7E" w:rsidRDefault="008501D2" w:rsidP="008501D2">
            <w:pPr>
              <w:pStyle w:val="Tablewriting"/>
              <w:jc w:val="center"/>
              <w:rPr>
                <w:b/>
                <w:bCs/>
              </w:rPr>
            </w:pPr>
          </w:p>
        </w:tc>
        <w:tc>
          <w:tcPr>
            <w:tcW w:w="540" w:type="pct"/>
            <w:noWrap/>
            <w:vAlign w:val="center"/>
          </w:tcPr>
          <w:p w14:paraId="3EF088AF" w14:textId="77777777" w:rsidR="008501D2" w:rsidRPr="00F20C7E" w:rsidRDefault="008501D2" w:rsidP="008501D2">
            <w:pPr>
              <w:pStyle w:val="Tablewriting"/>
              <w:jc w:val="center"/>
              <w:rPr>
                <w:b/>
                <w:bCs/>
              </w:rPr>
            </w:pPr>
          </w:p>
        </w:tc>
        <w:tc>
          <w:tcPr>
            <w:tcW w:w="555" w:type="pct"/>
            <w:vAlign w:val="center"/>
          </w:tcPr>
          <w:p w14:paraId="2CB86682" w14:textId="77777777" w:rsidR="008501D2" w:rsidRPr="00F20C7E" w:rsidRDefault="008501D2" w:rsidP="008501D2">
            <w:pPr>
              <w:pStyle w:val="Tablewriting"/>
              <w:jc w:val="center"/>
              <w:rPr>
                <w:b/>
                <w:bCs/>
              </w:rPr>
            </w:pPr>
          </w:p>
        </w:tc>
        <w:tc>
          <w:tcPr>
            <w:tcW w:w="537" w:type="pct"/>
            <w:vAlign w:val="center"/>
          </w:tcPr>
          <w:p w14:paraId="39416743" w14:textId="77777777" w:rsidR="008501D2" w:rsidRPr="00F20C7E" w:rsidRDefault="008501D2" w:rsidP="008501D2">
            <w:pPr>
              <w:pStyle w:val="Tablewriting"/>
              <w:jc w:val="center"/>
              <w:rPr>
                <w:b/>
                <w:bCs/>
              </w:rPr>
            </w:pPr>
          </w:p>
        </w:tc>
      </w:tr>
      <w:tr w:rsidR="008501D2" w:rsidRPr="00501885" w14:paraId="0266E152" w14:textId="77777777" w:rsidTr="00C03581">
        <w:tc>
          <w:tcPr>
            <w:tcW w:w="204" w:type="pct"/>
            <w:noWrap/>
            <w:vAlign w:val="center"/>
          </w:tcPr>
          <w:p w14:paraId="6E650C19" w14:textId="78471E73" w:rsidR="008501D2" w:rsidRDefault="00BC27C1" w:rsidP="008501D2">
            <w:pPr>
              <w:pStyle w:val="Tablewriting"/>
            </w:pPr>
            <w:r>
              <w:t>5</w:t>
            </w:r>
          </w:p>
        </w:tc>
        <w:tc>
          <w:tcPr>
            <w:tcW w:w="984" w:type="pct"/>
            <w:noWrap/>
            <w:vAlign w:val="center"/>
          </w:tcPr>
          <w:p w14:paraId="358DFE4A" w14:textId="6B742709" w:rsidR="008501D2" w:rsidRDefault="008501D2" w:rsidP="008501D2">
            <w:pPr>
              <w:pStyle w:val="Tablewriting"/>
            </w:pPr>
            <w:r w:rsidRPr="00673DED">
              <w:t>Livingstone-Banks 2019 (b)</w:t>
            </w:r>
          </w:p>
        </w:tc>
        <w:tc>
          <w:tcPr>
            <w:tcW w:w="509" w:type="pct"/>
            <w:noWrap/>
            <w:vAlign w:val="center"/>
          </w:tcPr>
          <w:p w14:paraId="2361233E" w14:textId="620A80B9" w:rsidR="008501D2" w:rsidRDefault="008501D2" w:rsidP="008501D2">
            <w:pPr>
              <w:pStyle w:val="Tablewriting"/>
            </w:pPr>
            <w:r>
              <w:t>May 2018</w:t>
            </w:r>
          </w:p>
        </w:tc>
        <w:tc>
          <w:tcPr>
            <w:tcW w:w="571" w:type="pct"/>
            <w:noWrap/>
            <w:vAlign w:val="center"/>
          </w:tcPr>
          <w:p w14:paraId="6091CA80" w14:textId="77777777" w:rsidR="008501D2" w:rsidRPr="00F20C7E" w:rsidRDefault="008501D2" w:rsidP="008501D2">
            <w:pPr>
              <w:pStyle w:val="Tablewriting"/>
              <w:jc w:val="center"/>
              <w:rPr>
                <w:b/>
                <w:bCs/>
              </w:rPr>
            </w:pPr>
          </w:p>
        </w:tc>
        <w:tc>
          <w:tcPr>
            <w:tcW w:w="560" w:type="pct"/>
            <w:noWrap/>
            <w:vAlign w:val="center"/>
          </w:tcPr>
          <w:p w14:paraId="54128D8E" w14:textId="77777777" w:rsidR="008501D2" w:rsidRDefault="008501D2" w:rsidP="008501D2">
            <w:pPr>
              <w:pStyle w:val="Tablewriting"/>
              <w:jc w:val="center"/>
              <w:rPr>
                <w:b/>
                <w:bCs/>
              </w:rPr>
            </w:pPr>
          </w:p>
        </w:tc>
        <w:tc>
          <w:tcPr>
            <w:tcW w:w="540" w:type="pct"/>
          </w:tcPr>
          <w:p w14:paraId="66CD607E" w14:textId="77777777" w:rsidR="008501D2" w:rsidRPr="00F20C7E" w:rsidRDefault="008501D2" w:rsidP="008501D2">
            <w:pPr>
              <w:pStyle w:val="Tablewriting"/>
              <w:jc w:val="center"/>
              <w:rPr>
                <w:b/>
                <w:bCs/>
              </w:rPr>
            </w:pPr>
          </w:p>
        </w:tc>
        <w:tc>
          <w:tcPr>
            <w:tcW w:w="540" w:type="pct"/>
            <w:noWrap/>
            <w:vAlign w:val="center"/>
          </w:tcPr>
          <w:p w14:paraId="6FFBAECB" w14:textId="18B623EE" w:rsidR="008501D2" w:rsidRPr="00F20C7E" w:rsidRDefault="008501D2" w:rsidP="008501D2">
            <w:pPr>
              <w:pStyle w:val="Tablewriting"/>
              <w:jc w:val="center"/>
              <w:rPr>
                <w:b/>
                <w:bCs/>
              </w:rPr>
            </w:pPr>
            <w:r>
              <w:rPr>
                <w:b/>
                <w:bCs/>
              </w:rPr>
              <w:t>X</w:t>
            </w:r>
            <w:r w:rsidR="0028378A">
              <w:rPr>
                <w:vertAlign w:val="superscript"/>
              </w:rPr>
              <w:t>5</w:t>
            </w:r>
          </w:p>
        </w:tc>
        <w:tc>
          <w:tcPr>
            <w:tcW w:w="555" w:type="pct"/>
            <w:vAlign w:val="center"/>
          </w:tcPr>
          <w:p w14:paraId="256D869A" w14:textId="77777777" w:rsidR="008501D2" w:rsidRPr="00F20C7E" w:rsidRDefault="008501D2" w:rsidP="008501D2">
            <w:pPr>
              <w:pStyle w:val="Tablewriting"/>
              <w:jc w:val="center"/>
              <w:rPr>
                <w:b/>
                <w:bCs/>
              </w:rPr>
            </w:pPr>
          </w:p>
        </w:tc>
        <w:tc>
          <w:tcPr>
            <w:tcW w:w="537" w:type="pct"/>
            <w:vAlign w:val="center"/>
          </w:tcPr>
          <w:p w14:paraId="75D1884D" w14:textId="77777777" w:rsidR="008501D2" w:rsidRPr="00F20C7E" w:rsidRDefault="008501D2" w:rsidP="008501D2">
            <w:pPr>
              <w:pStyle w:val="Tablewriting"/>
              <w:jc w:val="center"/>
              <w:rPr>
                <w:b/>
                <w:bCs/>
              </w:rPr>
            </w:pPr>
          </w:p>
        </w:tc>
      </w:tr>
      <w:tr w:rsidR="008501D2" w:rsidRPr="00501885" w14:paraId="263E573D" w14:textId="77777777" w:rsidTr="00C03581">
        <w:tc>
          <w:tcPr>
            <w:tcW w:w="204" w:type="pct"/>
            <w:noWrap/>
            <w:vAlign w:val="center"/>
          </w:tcPr>
          <w:p w14:paraId="3FDEB745" w14:textId="5B682653" w:rsidR="008501D2" w:rsidRDefault="00BC27C1" w:rsidP="008501D2">
            <w:pPr>
              <w:pStyle w:val="Tablewriting"/>
            </w:pPr>
            <w:r>
              <w:t>6</w:t>
            </w:r>
          </w:p>
        </w:tc>
        <w:tc>
          <w:tcPr>
            <w:tcW w:w="984" w:type="pct"/>
            <w:noWrap/>
            <w:vAlign w:val="center"/>
          </w:tcPr>
          <w:p w14:paraId="5E29998C" w14:textId="6B4FB31C" w:rsidR="008501D2" w:rsidRDefault="008501D2" w:rsidP="008501D2">
            <w:pPr>
              <w:pStyle w:val="Tablewriting"/>
            </w:pPr>
            <w:r>
              <w:t>Lindson 2019 (a)</w:t>
            </w:r>
          </w:p>
        </w:tc>
        <w:tc>
          <w:tcPr>
            <w:tcW w:w="509" w:type="pct"/>
            <w:noWrap/>
            <w:vAlign w:val="center"/>
          </w:tcPr>
          <w:p w14:paraId="7CF48BA3" w14:textId="6B973075" w:rsidR="008501D2" w:rsidRDefault="008501D2" w:rsidP="008501D2">
            <w:pPr>
              <w:pStyle w:val="Tablewriting"/>
            </w:pPr>
            <w:r>
              <w:t>April 2018</w:t>
            </w:r>
          </w:p>
        </w:tc>
        <w:tc>
          <w:tcPr>
            <w:tcW w:w="571" w:type="pct"/>
            <w:noWrap/>
            <w:vAlign w:val="center"/>
          </w:tcPr>
          <w:p w14:paraId="4C9DEF1D" w14:textId="222AD8F0" w:rsidR="008501D2" w:rsidRPr="00F20C7E" w:rsidRDefault="008501D2" w:rsidP="008501D2">
            <w:pPr>
              <w:pStyle w:val="Tablewriting"/>
              <w:jc w:val="center"/>
              <w:rPr>
                <w:b/>
                <w:bCs/>
              </w:rPr>
            </w:pPr>
            <w:r>
              <w:rPr>
                <w:b/>
                <w:bCs/>
              </w:rPr>
              <w:t>X</w:t>
            </w:r>
          </w:p>
        </w:tc>
        <w:tc>
          <w:tcPr>
            <w:tcW w:w="560" w:type="pct"/>
            <w:noWrap/>
            <w:vAlign w:val="center"/>
          </w:tcPr>
          <w:p w14:paraId="61EB11F6" w14:textId="77777777" w:rsidR="008501D2" w:rsidRDefault="008501D2" w:rsidP="008501D2">
            <w:pPr>
              <w:pStyle w:val="Tablewriting"/>
              <w:jc w:val="center"/>
              <w:rPr>
                <w:b/>
                <w:bCs/>
              </w:rPr>
            </w:pPr>
          </w:p>
        </w:tc>
        <w:tc>
          <w:tcPr>
            <w:tcW w:w="540" w:type="pct"/>
          </w:tcPr>
          <w:p w14:paraId="121CEFD3" w14:textId="60D14055" w:rsidR="008501D2" w:rsidRPr="00F20C7E" w:rsidRDefault="008501D2" w:rsidP="008501D2">
            <w:pPr>
              <w:pStyle w:val="Tablewriting"/>
              <w:jc w:val="center"/>
              <w:rPr>
                <w:b/>
                <w:bCs/>
              </w:rPr>
            </w:pPr>
            <w:r>
              <w:rPr>
                <w:b/>
                <w:bCs/>
              </w:rPr>
              <w:t>X</w:t>
            </w:r>
          </w:p>
        </w:tc>
        <w:tc>
          <w:tcPr>
            <w:tcW w:w="540" w:type="pct"/>
            <w:noWrap/>
            <w:vAlign w:val="center"/>
          </w:tcPr>
          <w:p w14:paraId="7B2922E0" w14:textId="77777777" w:rsidR="008501D2" w:rsidRPr="00F20C7E" w:rsidRDefault="008501D2" w:rsidP="008501D2">
            <w:pPr>
              <w:pStyle w:val="Tablewriting"/>
              <w:jc w:val="center"/>
              <w:rPr>
                <w:b/>
                <w:bCs/>
              </w:rPr>
            </w:pPr>
          </w:p>
        </w:tc>
        <w:tc>
          <w:tcPr>
            <w:tcW w:w="555" w:type="pct"/>
            <w:vAlign w:val="center"/>
          </w:tcPr>
          <w:p w14:paraId="742BF889" w14:textId="77777777" w:rsidR="008501D2" w:rsidRPr="00F20C7E" w:rsidRDefault="008501D2" w:rsidP="008501D2">
            <w:pPr>
              <w:pStyle w:val="Tablewriting"/>
              <w:jc w:val="center"/>
              <w:rPr>
                <w:b/>
                <w:bCs/>
              </w:rPr>
            </w:pPr>
          </w:p>
        </w:tc>
        <w:tc>
          <w:tcPr>
            <w:tcW w:w="537" w:type="pct"/>
            <w:vAlign w:val="center"/>
          </w:tcPr>
          <w:p w14:paraId="55EAA810" w14:textId="77777777" w:rsidR="008501D2" w:rsidRPr="00F20C7E" w:rsidRDefault="008501D2" w:rsidP="008501D2">
            <w:pPr>
              <w:pStyle w:val="Tablewriting"/>
              <w:jc w:val="center"/>
              <w:rPr>
                <w:b/>
                <w:bCs/>
              </w:rPr>
            </w:pPr>
          </w:p>
        </w:tc>
      </w:tr>
      <w:tr w:rsidR="008501D2" w:rsidRPr="00501885" w14:paraId="735ED4E3" w14:textId="77777777" w:rsidTr="00C03581">
        <w:tc>
          <w:tcPr>
            <w:tcW w:w="204" w:type="pct"/>
            <w:noWrap/>
            <w:vAlign w:val="center"/>
          </w:tcPr>
          <w:p w14:paraId="40A58871" w14:textId="4593246E" w:rsidR="008501D2" w:rsidRDefault="00BC27C1" w:rsidP="008501D2">
            <w:pPr>
              <w:pStyle w:val="Tablewriting"/>
            </w:pPr>
            <w:r>
              <w:t>7</w:t>
            </w:r>
          </w:p>
        </w:tc>
        <w:tc>
          <w:tcPr>
            <w:tcW w:w="984" w:type="pct"/>
            <w:noWrap/>
            <w:vAlign w:val="center"/>
          </w:tcPr>
          <w:p w14:paraId="29702341" w14:textId="1F8F4545" w:rsidR="008501D2" w:rsidRDefault="008501D2" w:rsidP="008501D2">
            <w:pPr>
              <w:pStyle w:val="Tablewriting"/>
            </w:pPr>
            <w:r w:rsidRPr="00884FD4">
              <w:t>Lindson 2019 (</w:t>
            </w:r>
            <w:r>
              <w:t>b</w:t>
            </w:r>
            <w:r w:rsidRPr="00884FD4">
              <w:t>)</w:t>
            </w:r>
            <w:r w:rsidR="0048499B">
              <w:rPr>
                <w:vertAlign w:val="superscript"/>
              </w:rPr>
              <w:t>2</w:t>
            </w:r>
          </w:p>
        </w:tc>
        <w:tc>
          <w:tcPr>
            <w:tcW w:w="509" w:type="pct"/>
            <w:noWrap/>
            <w:vAlign w:val="center"/>
          </w:tcPr>
          <w:p w14:paraId="4E054409" w14:textId="0462130F" w:rsidR="008501D2" w:rsidRDefault="008501D2" w:rsidP="008501D2">
            <w:pPr>
              <w:pStyle w:val="Tablewriting"/>
            </w:pPr>
            <w:r w:rsidRPr="00884FD4">
              <w:t>Oct 2018</w:t>
            </w:r>
          </w:p>
        </w:tc>
        <w:tc>
          <w:tcPr>
            <w:tcW w:w="571" w:type="pct"/>
            <w:noWrap/>
            <w:vAlign w:val="center"/>
          </w:tcPr>
          <w:p w14:paraId="3B0FFBCA" w14:textId="77777777" w:rsidR="008501D2" w:rsidRPr="00F20C7E" w:rsidRDefault="008501D2" w:rsidP="008501D2">
            <w:pPr>
              <w:pStyle w:val="Tablewriting"/>
              <w:jc w:val="center"/>
              <w:rPr>
                <w:b/>
                <w:bCs/>
              </w:rPr>
            </w:pPr>
          </w:p>
        </w:tc>
        <w:tc>
          <w:tcPr>
            <w:tcW w:w="560" w:type="pct"/>
            <w:noWrap/>
            <w:vAlign w:val="center"/>
          </w:tcPr>
          <w:p w14:paraId="6F3B4B26" w14:textId="77777777" w:rsidR="008501D2" w:rsidRDefault="008501D2" w:rsidP="008501D2">
            <w:pPr>
              <w:pStyle w:val="Tablewriting"/>
              <w:jc w:val="center"/>
              <w:rPr>
                <w:b/>
                <w:bCs/>
              </w:rPr>
            </w:pPr>
          </w:p>
        </w:tc>
        <w:tc>
          <w:tcPr>
            <w:tcW w:w="540" w:type="pct"/>
          </w:tcPr>
          <w:p w14:paraId="50BED7AE" w14:textId="4181C937" w:rsidR="008501D2" w:rsidRPr="00F20C7E" w:rsidRDefault="008501D2" w:rsidP="008501D2">
            <w:pPr>
              <w:pStyle w:val="Tablewriting"/>
              <w:jc w:val="center"/>
              <w:rPr>
                <w:b/>
                <w:bCs/>
              </w:rPr>
            </w:pPr>
            <w:r>
              <w:rPr>
                <w:b/>
                <w:bCs/>
              </w:rPr>
              <w:t>X</w:t>
            </w:r>
          </w:p>
        </w:tc>
        <w:tc>
          <w:tcPr>
            <w:tcW w:w="540" w:type="pct"/>
            <w:noWrap/>
            <w:vAlign w:val="center"/>
          </w:tcPr>
          <w:p w14:paraId="4465172F" w14:textId="77777777" w:rsidR="008501D2" w:rsidRPr="00F20C7E" w:rsidRDefault="008501D2" w:rsidP="008501D2">
            <w:pPr>
              <w:pStyle w:val="Tablewriting"/>
              <w:jc w:val="center"/>
              <w:rPr>
                <w:b/>
                <w:bCs/>
              </w:rPr>
            </w:pPr>
          </w:p>
        </w:tc>
        <w:tc>
          <w:tcPr>
            <w:tcW w:w="555" w:type="pct"/>
            <w:vAlign w:val="center"/>
          </w:tcPr>
          <w:p w14:paraId="75375245" w14:textId="77777777" w:rsidR="008501D2" w:rsidRPr="00F20C7E" w:rsidRDefault="008501D2" w:rsidP="008501D2">
            <w:pPr>
              <w:pStyle w:val="Tablewriting"/>
              <w:jc w:val="center"/>
              <w:rPr>
                <w:b/>
                <w:bCs/>
              </w:rPr>
            </w:pPr>
          </w:p>
        </w:tc>
        <w:tc>
          <w:tcPr>
            <w:tcW w:w="537" w:type="pct"/>
            <w:vAlign w:val="center"/>
          </w:tcPr>
          <w:p w14:paraId="665C05FE" w14:textId="77777777" w:rsidR="008501D2" w:rsidRPr="00F20C7E" w:rsidRDefault="008501D2" w:rsidP="008501D2">
            <w:pPr>
              <w:pStyle w:val="Tablewriting"/>
              <w:jc w:val="center"/>
              <w:rPr>
                <w:b/>
                <w:bCs/>
              </w:rPr>
            </w:pPr>
          </w:p>
        </w:tc>
      </w:tr>
      <w:tr w:rsidR="008501D2" w:rsidRPr="00501885" w14:paraId="4C0BF670" w14:textId="77777777" w:rsidTr="00C03581">
        <w:tc>
          <w:tcPr>
            <w:tcW w:w="204" w:type="pct"/>
            <w:noWrap/>
            <w:vAlign w:val="center"/>
          </w:tcPr>
          <w:p w14:paraId="1819ECB9" w14:textId="38E9677A" w:rsidR="008501D2" w:rsidRDefault="00BC27C1" w:rsidP="008501D2">
            <w:pPr>
              <w:pStyle w:val="Tablewriting"/>
            </w:pPr>
            <w:r>
              <w:t>8</w:t>
            </w:r>
          </w:p>
        </w:tc>
        <w:tc>
          <w:tcPr>
            <w:tcW w:w="984" w:type="pct"/>
            <w:noWrap/>
            <w:vAlign w:val="center"/>
          </w:tcPr>
          <w:p w14:paraId="359B2A2F" w14:textId="267CC9F9" w:rsidR="008501D2" w:rsidRDefault="008501D2" w:rsidP="008501D2">
            <w:pPr>
              <w:pStyle w:val="Tablewriting"/>
            </w:pPr>
            <w:r>
              <w:t>Hartmann-Boyce 2019</w:t>
            </w:r>
          </w:p>
        </w:tc>
        <w:tc>
          <w:tcPr>
            <w:tcW w:w="509" w:type="pct"/>
            <w:noWrap/>
            <w:vAlign w:val="center"/>
          </w:tcPr>
          <w:p w14:paraId="1CAE10A9" w14:textId="1C5D1034" w:rsidR="008501D2" w:rsidRDefault="008501D2" w:rsidP="008501D2">
            <w:pPr>
              <w:pStyle w:val="Tablewriting"/>
            </w:pPr>
            <w:r>
              <w:t>Jun 2018</w:t>
            </w:r>
          </w:p>
        </w:tc>
        <w:tc>
          <w:tcPr>
            <w:tcW w:w="571" w:type="pct"/>
            <w:noWrap/>
            <w:vAlign w:val="center"/>
          </w:tcPr>
          <w:p w14:paraId="5CC1F717" w14:textId="77777777" w:rsidR="008501D2" w:rsidRPr="00F20C7E" w:rsidRDefault="008501D2" w:rsidP="008501D2">
            <w:pPr>
              <w:pStyle w:val="Tablewriting"/>
              <w:jc w:val="center"/>
              <w:rPr>
                <w:b/>
                <w:bCs/>
              </w:rPr>
            </w:pPr>
          </w:p>
        </w:tc>
        <w:tc>
          <w:tcPr>
            <w:tcW w:w="560" w:type="pct"/>
            <w:noWrap/>
            <w:vAlign w:val="center"/>
          </w:tcPr>
          <w:p w14:paraId="18310314" w14:textId="77777777" w:rsidR="008501D2" w:rsidRDefault="008501D2" w:rsidP="008501D2">
            <w:pPr>
              <w:pStyle w:val="Tablewriting"/>
              <w:jc w:val="center"/>
              <w:rPr>
                <w:b/>
                <w:bCs/>
              </w:rPr>
            </w:pPr>
          </w:p>
        </w:tc>
        <w:tc>
          <w:tcPr>
            <w:tcW w:w="540" w:type="pct"/>
          </w:tcPr>
          <w:p w14:paraId="2B4FC1F3" w14:textId="77777777" w:rsidR="008501D2" w:rsidRPr="00F20C7E" w:rsidRDefault="008501D2" w:rsidP="008501D2">
            <w:pPr>
              <w:pStyle w:val="Tablewriting"/>
              <w:jc w:val="center"/>
              <w:rPr>
                <w:b/>
                <w:bCs/>
              </w:rPr>
            </w:pPr>
          </w:p>
        </w:tc>
        <w:tc>
          <w:tcPr>
            <w:tcW w:w="540" w:type="pct"/>
            <w:noWrap/>
            <w:vAlign w:val="center"/>
          </w:tcPr>
          <w:p w14:paraId="2DD05D26" w14:textId="3F24A17C" w:rsidR="008501D2" w:rsidRPr="00F20C7E" w:rsidRDefault="008501D2" w:rsidP="008501D2">
            <w:pPr>
              <w:pStyle w:val="Tablewriting"/>
              <w:jc w:val="center"/>
              <w:rPr>
                <w:b/>
                <w:bCs/>
              </w:rPr>
            </w:pPr>
            <w:r>
              <w:rPr>
                <w:b/>
                <w:bCs/>
              </w:rPr>
              <w:t>X</w:t>
            </w:r>
            <w:r w:rsidR="0028378A">
              <w:rPr>
                <w:vertAlign w:val="superscript"/>
              </w:rPr>
              <w:t>6</w:t>
            </w:r>
          </w:p>
        </w:tc>
        <w:tc>
          <w:tcPr>
            <w:tcW w:w="555" w:type="pct"/>
            <w:vAlign w:val="center"/>
          </w:tcPr>
          <w:p w14:paraId="2D92346D" w14:textId="77777777" w:rsidR="008501D2" w:rsidRPr="00F20C7E" w:rsidRDefault="008501D2" w:rsidP="008501D2">
            <w:pPr>
              <w:pStyle w:val="Tablewriting"/>
              <w:jc w:val="center"/>
              <w:rPr>
                <w:b/>
                <w:bCs/>
              </w:rPr>
            </w:pPr>
          </w:p>
        </w:tc>
        <w:tc>
          <w:tcPr>
            <w:tcW w:w="537" w:type="pct"/>
            <w:vAlign w:val="center"/>
          </w:tcPr>
          <w:p w14:paraId="5CF20739" w14:textId="77777777" w:rsidR="008501D2" w:rsidRPr="00F20C7E" w:rsidRDefault="008501D2" w:rsidP="008501D2">
            <w:pPr>
              <w:pStyle w:val="Tablewriting"/>
              <w:jc w:val="center"/>
              <w:rPr>
                <w:b/>
                <w:bCs/>
              </w:rPr>
            </w:pPr>
          </w:p>
        </w:tc>
      </w:tr>
      <w:tr w:rsidR="008501D2" w:rsidRPr="00501885" w14:paraId="5FC1EB99" w14:textId="77777777" w:rsidTr="00C03581">
        <w:tc>
          <w:tcPr>
            <w:tcW w:w="204" w:type="pct"/>
            <w:noWrap/>
            <w:vAlign w:val="center"/>
          </w:tcPr>
          <w:p w14:paraId="01FA13A3" w14:textId="6D339327" w:rsidR="008501D2" w:rsidRDefault="00BC27C1" w:rsidP="008501D2">
            <w:pPr>
              <w:pStyle w:val="Tablewriting"/>
            </w:pPr>
            <w:r>
              <w:t>9</w:t>
            </w:r>
          </w:p>
        </w:tc>
        <w:tc>
          <w:tcPr>
            <w:tcW w:w="984" w:type="pct"/>
            <w:noWrap/>
            <w:vAlign w:val="center"/>
          </w:tcPr>
          <w:p w14:paraId="71D00BBC" w14:textId="385D87D5" w:rsidR="008501D2" w:rsidRDefault="008501D2" w:rsidP="008501D2">
            <w:pPr>
              <w:pStyle w:val="Tablewriting"/>
            </w:pPr>
            <w:r w:rsidRPr="00935B04">
              <w:t>Carson-Chahhoud 2019</w:t>
            </w:r>
          </w:p>
        </w:tc>
        <w:tc>
          <w:tcPr>
            <w:tcW w:w="509" w:type="pct"/>
            <w:noWrap/>
            <w:vAlign w:val="center"/>
          </w:tcPr>
          <w:p w14:paraId="555F1BFE" w14:textId="7730B551" w:rsidR="008501D2" w:rsidRDefault="008501D2" w:rsidP="008501D2">
            <w:pPr>
              <w:pStyle w:val="Tablewriting"/>
            </w:pPr>
            <w:r>
              <w:t>Jan 2019</w:t>
            </w:r>
          </w:p>
        </w:tc>
        <w:tc>
          <w:tcPr>
            <w:tcW w:w="571" w:type="pct"/>
            <w:noWrap/>
            <w:vAlign w:val="center"/>
          </w:tcPr>
          <w:p w14:paraId="3CC1B105" w14:textId="77777777" w:rsidR="008501D2" w:rsidRPr="00F20C7E" w:rsidRDefault="008501D2" w:rsidP="008501D2">
            <w:pPr>
              <w:pStyle w:val="Tablewriting"/>
              <w:jc w:val="center"/>
              <w:rPr>
                <w:b/>
                <w:bCs/>
              </w:rPr>
            </w:pPr>
          </w:p>
        </w:tc>
        <w:tc>
          <w:tcPr>
            <w:tcW w:w="560" w:type="pct"/>
            <w:noWrap/>
            <w:vAlign w:val="center"/>
          </w:tcPr>
          <w:p w14:paraId="6DB0ED2C" w14:textId="77777777" w:rsidR="008501D2" w:rsidRDefault="008501D2" w:rsidP="008501D2">
            <w:pPr>
              <w:pStyle w:val="Tablewriting"/>
              <w:jc w:val="center"/>
              <w:rPr>
                <w:b/>
                <w:bCs/>
              </w:rPr>
            </w:pPr>
          </w:p>
        </w:tc>
        <w:tc>
          <w:tcPr>
            <w:tcW w:w="540" w:type="pct"/>
          </w:tcPr>
          <w:p w14:paraId="3787A174" w14:textId="77777777" w:rsidR="008501D2" w:rsidRPr="00F20C7E" w:rsidRDefault="008501D2" w:rsidP="008501D2">
            <w:pPr>
              <w:pStyle w:val="Tablewriting"/>
              <w:jc w:val="center"/>
              <w:rPr>
                <w:b/>
                <w:bCs/>
              </w:rPr>
            </w:pPr>
          </w:p>
        </w:tc>
        <w:tc>
          <w:tcPr>
            <w:tcW w:w="540" w:type="pct"/>
            <w:noWrap/>
            <w:vAlign w:val="center"/>
          </w:tcPr>
          <w:p w14:paraId="6949AB57" w14:textId="5A543A40" w:rsidR="008501D2" w:rsidRPr="00F20C7E" w:rsidRDefault="008501D2" w:rsidP="008501D2">
            <w:pPr>
              <w:pStyle w:val="Tablewriting"/>
              <w:jc w:val="center"/>
              <w:rPr>
                <w:b/>
                <w:bCs/>
              </w:rPr>
            </w:pPr>
            <w:r>
              <w:rPr>
                <w:b/>
                <w:bCs/>
              </w:rPr>
              <w:t>X</w:t>
            </w:r>
            <w:r w:rsidR="0028378A">
              <w:rPr>
                <w:vertAlign w:val="superscript"/>
              </w:rPr>
              <w:t>7</w:t>
            </w:r>
          </w:p>
        </w:tc>
        <w:tc>
          <w:tcPr>
            <w:tcW w:w="555" w:type="pct"/>
            <w:vAlign w:val="center"/>
          </w:tcPr>
          <w:p w14:paraId="4A3F1E64" w14:textId="77777777" w:rsidR="008501D2" w:rsidRPr="00F20C7E" w:rsidRDefault="008501D2" w:rsidP="008501D2">
            <w:pPr>
              <w:pStyle w:val="Tablewriting"/>
              <w:jc w:val="center"/>
              <w:rPr>
                <w:b/>
                <w:bCs/>
              </w:rPr>
            </w:pPr>
          </w:p>
        </w:tc>
        <w:tc>
          <w:tcPr>
            <w:tcW w:w="537" w:type="pct"/>
            <w:vAlign w:val="center"/>
          </w:tcPr>
          <w:p w14:paraId="727DD0D8" w14:textId="77777777" w:rsidR="008501D2" w:rsidRPr="00F20C7E" w:rsidRDefault="008501D2" w:rsidP="008501D2">
            <w:pPr>
              <w:pStyle w:val="Tablewriting"/>
              <w:jc w:val="center"/>
              <w:rPr>
                <w:b/>
                <w:bCs/>
              </w:rPr>
            </w:pPr>
          </w:p>
        </w:tc>
      </w:tr>
      <w:tr w:rsidR="00BC27C1" w:rsidRPr="00501885" w14:paraId="3AFB5F05" w14:textId="77777777" w:rsidTr="00C03581">
        <w:tc>
          <w:tcPr>
            <w:tcW w:w="204" w:type="pct"/>
            <w:noWrap/>
            <w:vAlign w:val="center"/>
          </w:tcPr>
          <w:p w14:paraId="2D78339C" w14:textId="371DBE78" w:rsidR="00BC27C1" w:rsidRDefault="00BC27C1" w:rsidP="00BC27C1">
            <w:pPr>
              <w:pStyle w:val="Tablewriting"/>
            </w:pPr>
            <w:r>
              <w:t>10</w:t>
            </w:r>
          </w:p>
        </w:tc>
        <w:tc>
          <w:tcPr>
            <w:tcW w:w="984" w:type="pct"/>
            <w:noWrap/>
            <w:vAlign w:val="center"/>
          </w:tcPr>
          <w:p w14:paraId="7760B824" w14:textId="0D1D471D" w:rsidR="00BC27C1" w:rsidRDefault="00BC27C1" w:rsidP="00BC27C1">
            <w:pPr>
              <w:pStyle w:val="Tablewriting"/>
            </w:pPr>
            <w:r w:rsidRPr="00A1323F">
              <w:t>Hartmann-Boyce 2018</w:t>
            </w:r>
          </w:p>
        </w:tc>
        <w:tc>
          <w:tcPr>
            <w:tcW w:w="509" w:type="pct"/>
            <w:noWrap/>
            <w:vAlign w:val="center"/>
          </w:tcPr>
          <w:p w14:paraId="5485406D" w14:textId="373DC94D" w:rsidR="00BC27C1" w:rsidRDefault="00BC27C1" w:rsidP="00BC27C1">
            <w:pPr>
              <w:pStyle w:val="Tablewriting"/>
            </w:pPr>
            <w:r>
              <w:t>Jul 2017</w:t>
            </w:r>
          </w:p>
        </w:tc>
        <w:tc>
          <w:tcPr>
            <w:tcW w:w="571" w:type="pct"/>
            <w:noWrap/>
            <w:vAlign w:val="center"/>
          </w:tcPr>
          <w:p w14:paraId="17057F79" w14:textId="5860576D" w:rsidR="00BC27C1" w:rsidRPr="00F20C7E" w:rsidRDefault="00BC27C1" w:rsidP="00BC27C1">
            <w:pPr>
              <w:pStyle w:val="Tablewriting"/>
              <w:jc w:val="center"/>
              <w:rPr>
                <w:b/>
                <w:bCs/>
              </w:rPr>
            </w:pPr>
            <w:r>
              <w:rPr>
                <w:b/>
                <w:bCs/>
              </w:rPr>
              <w:t>X</w:t>
            </w:r>
          </w:p>
        </w:tc>
        <w:tc>
          <w:tcPr>
            <w:tcW w:w="560" w:type="pct"/>
            <w:noWrap/>
            <w:vAlign w:val="center"/>
          </w:tcPr>
          <w:p w14:paraId="48F811AF" w14:textId="77777777" w:rsidR="00BC27C1" w:rsidRDefault="00BC27C1" w:rsidP="00BC27C1">
            <w:pPr>
              <w:pStyle w:val="Tablewriting"/>
              <w:jc w:val="center"/>
              <w:rPr>
                <w:b/>
                <w:bCs/>
              </w:rPr>
            </w:pPr>
          </w:p>
        </w:tc>
        <w:tc>
          <w:tcPr>
            <w:tcW w:w="540" w:type="pct"/>
          </w:tcPr>
          <w:p w14:paraId="6FCB4069" w14:textId="77777777" w:rsidR="00BC27C1" w:rsidRPr="00F20C7E" w:rsidRDefault="00BC27C1" w:rsidP="00BC27C1">
            <w:pPr>
              <w:pStyle w:val="Tablewriting"/>
              <w:jc w:val="center"/>
              <w:rPr>
                <w:b/>
                <w:bCs/>
              </w:rPr>
            </w:pPr>
          </w:p>
        </w:tc>
        <w:tc>
          <w:tcPr>
            <w:tcW w:w="540" w:type="pct"/>
            <w:noWrap/>
            <w:vAlign w:val="center"/>
          </w:tcPr>
          <w:p w14:paraId="6372F42E" w14:textId="77777777" w:rsidR="00BC27C1" w:rsidRPr="00F20C7E" w:rsidRDefault="00BC27C1" w:rsidP="00BC27C1">
            <w:pPr>
              <w:pStyle w:val="Tablewriting"/>
              <w:jc w:val="center"/>
              <w:rPr>
                <w:b/>
                <w:bCs/>
              </w:rPr>
            </w:pPr>
          </w:p>
        </w:tc>
        <w:tc>
          <w:tcPr>
            <w:tcW w:w="555" w:type="pct"/>
            <w:vAlign w:val="center"/>
          </w:tcPr>
          <w:p w14:paraId="4C0E6240" w14:textId="77777777" w:rsidR="00BC27C1" w:rsidRPr="00F20C7E" w:rsidRDefault="00BC27C1" w:rsidP="00BC27C1">
            <w:pPr>
              <w:pStyle w:val="Tablewriting"/>
              <w:jc w:val="center"/>
              <w:rPr>
                <w:b/>
                <w:bCs/>
              </w:rPr>
            </w:pPr>
          </w:p>
        </w:tc>
        <w:tc>
          <w:tcPr>
            <w:tcW w:w="537" w:type="pct"/>
            <w:vAlign w:val="center"/>
          </w:tcPr>
          <w:p w14:paraId="5EDC0D69" w14:textId="77777777" w:rsidR="00BC27C1" w:rsidRPr="00F20C7E" w:rsidRDefault="00BC27C1" w:rsidP="00BC27C1">
            <w:pPr>
              <w:pStyle w:val="Tablewriting"/>
              <w:jc w:val="center"/>
              <w:rPr>
                <w:b/>
                <w:bCs/>
              </w:rPr>
            </w:pPr>
          </w:p>
        </w:tc>
      </w:tr>
      <w:tr w:rsidR="00BC27C1" w:rsidRPr="00501885" w14:paraId="374365C9" w14:textId="77777777" w:rsidTr="00C03581">
        <w:tc>
          <w:tcPr>
            <w:tcW w:w="204" w:type="pct"/>
            <w:noWrap/>
            <w:vAlign w:val="center"/>
          </w:tcPr>
          <w:p w14:paraId="58790F8B" w14:textId="05A90D59" w:rsidR="00BC27C1" w:rsidRDefault="00BC27C1" w:rsidP="00BC27C1">
            <w:pPr>
              <w:pStyle w:val="Tablewriting"/>
            </w:pPr>
            <w:r>
              <w:t>11</w:t>
            </w:r>
          </w:p>
        </w:tc>
        <w:tc>
          <w:tcPr>
            <w:tcW w:w="984" w:type="pct"/>
            <w:noWrap/>
            <w:vAlign w:val="center"/>
          </w:tcPr>
          <w:p w14:paraId="37562156" w14:textId="39E2E158" w:rsidR="00BC27C1" w:rsidRDefault="00BC27C1" w:rsidP="00BC27C1">
            <w:pPr>
              <w:pStyle w:val="Tablewriting"/>
            </w:pPr>
            <w:r>
              <w:t>Stead 2017</w:t>
            </w:r>
          </w:p>
        </w:tc>
        <w:tc>
          <w:tcPr>
            <w:tcW w:w="509" w:type="pct"/>
            <w:noWrap/>
            <w:vAlign w:val="center"/>
          </w:tcPr>
          <w:p w14:paraId="7E49B1E9" w14:textId="4FEBC4B6" w:rsidR="00BC27C1" w:rsidRDefault="00BC27C1" w:rsidP="00BC27C1">
            <w:pPr>
              <w:pStyle w:val="Tablewriting"/>
            </w:pPr>
            <w:r>
              <w:t>May 2018</w:t>
            </w:r>
          </w:p>
        </w:tc>
        <w:tc>
          <w:tcPr>
            <w:tcW w:w="571" w:type="pct"/>
            <w:noWrap/>
            <w:vAlign w:val="center"/>
          </w:tcPr>
          <w:p w14:paraId="6C3B3765" w14:textId="77777777" w:rsidR="00BC27C1" w:rsidRPr="00F20C7E" w:rsidRDefault="00BC27C1" w:rsidP="00BC27C1">
            <w:pPr>
              <w:pStyle w:val="Tablewriting"/>
              <w:jc w:val="center"/>
              <w:rPr>
                <w:b/>
                <w:bCs/>
              </w:rPr>
            </w:pPr>
          </w:p>
        </w:tc>
        <w:tc>
          <w:tcPr>
            <w:tcW w:w="560" w:type="pct"/>
            <w:noWrap/>
            <w:vAlign w:val="center"/>
          </w:tcPr>
          <w:p w14:paraId="36C9125B" w14:textId="77777777" w:rsidR="00BC27C1" w:rsidRDefault="00BC27C1" w:rsidP="00BC27C1">
            <w:pPr>
              <w:pStyle w:val="Tablewriting"/>
              <w:jc w:val="center"/>
              <w:rPr>
                <w:b/>
                <w:bCs/>
              </w:rPr>
            </w:pPr>
          </w:p>
        </w:tc>
        <w:tc>
          <w:tcPr>
            <w:tcW w:w="540" w:type="pct"/>
          </w:tcPr>
          <w:p w14:paraId="5AD1FFDA" w14:textId="77777777" w:rsidR="00BC27C1" w:rsidRPr="00F20C7E" w:rsidRDefault="00BC27C1" w:rsidP="00BC27C1">
            <w:pPr>
              <w:pStyle w:val="Tablewriting"/>
              <w:jc w:val="center"/>
              <w:rPr>
                <w:b/>
                <w:bCs/>
              </w:rPr>
            </w:pPr>
          </w:p>
        </w:tc>
        <w:tc>
          <w:tcPr>
            <w:tcW w:w="540" w:type="pct"/>
            <w:noWrap/>
            <w:vAlign w:val="center"/>
          </w:tcPr>
          <w:p w14:paraId="45514362" w14:textId="6C013CE0" w:rsidR="00BC27C1" w:rsidRPr="00F20C7E" w:rsidRDefault="00BC27C1" w:rsidP="00BC27C1">
            <w:pPr>
              <w:pStyle w:val="Tablewriting"/>
              <w:jc w:val="center"/>
              <w:rPr>
                <w:b/>
                <w:bCs/>
              </w:rPr>
            </w:pPr>
            <w:r>
              <w:rPr>
                <w:b/>
                <w:bCs/>
              </w:rPr>
              <w:t>X</w:t>
            </w:r>
            <w:r w:rsidR="0028378A">
              <w:rPr>
                <w:vertAlign w:val="superscript"/>
              </w:rPr>
              <w:t>8</w:t>
            </w:r>
          </w:p>
        </w:tc>
        <w:tc>
          <w:tcPr>
            <w:tcW w:w="555" w:type="pct"/>
            <w:vAlign w:val="center"/>
          </w:tcPr>
          <w:p w14:paraId="5992E3BC" w14:textId="77777777" w:rsidR="00BC27C1" w:rsidRPr="00F20C7E" w:rsidRDefault="00BC27C1" w:rsidP="00BC27C1">
            <w:pPr>
              <w:pStyle w:val="Tablewriting"/>
              <w:jc w:val="center"/>
              <w:rPr>
                <w:b/>
                <w:bCs/>
              </w:rPr>
            </w:pPr>
          </w:p>
        </w:tc>
        <w:tc>
          <w:tcPr>
            <w:tcW w:w="537" w:type="pct"/>
            <w:vAlign w:val="center"/>
          </w:tcPr>
          <w:p w14:paraId="73379B08" w14:textId="77777777" w:rsidR="00BC27C1" w:rsidRPr="00F20C7E" w:rsidRDefault="00BC27C1" w:rsidP="00BC27C1">
            <w:pPr>
              <w:pStyle w:val="Tablewriting"/>
              <w:jc w:val="center"/>
              <w:rPr>
                <w:b/>
                <w:bCs/>
              </w:rPr>
            </w:pPr>
          </w:p>
        </w:tc>
      </w:tr>
      <w:tr w:rsidR="00BC27C1" w:rsidRPr="00501885" w14:paraId="227E9C7A" w14:textId="77777777" w:rsidTr="00C03581">
        <w:tc>
          <w:tcPr>
            <w:tcW w:w="204" w:type="pct"/>
            <w:noWrap/>
            <w:vAlign w:val="center"/>
          </w:tcPr>
          <w:p w14:paraId="2FA4AECE" w14:textId="41E42C8C" w:rsidR="00BC27C1" w:rsidRDefault="00BC27C1" w:rsidP="00BC27C1">
            <w:pPr>
              <w:pStyle w:val="Tablewriting"/>
            </w:pPr>
            <w:r>
              <w:t>12</w:t>
            </w:r>
          </w:p>
        </w:tc>
        <w:tc>
          <w:tcPr>
            <w:tcW w:w="984" w:type="pct"/>
            <w:noWrap/>
            <w:vAlign w:val="center"/>
          </w:tcPr>
          <w:p w14:paraId="5BD2E60F" w14:textId="509F8D74" w:rsidR="00BC27C1" w:rsidRDefault="00BC27C1" w:rsidP="00BC27C1">
            <w:pPr>
              <w:pStyle w:val="Tablewriting"/>
            </w:pPr>
            <w:r>
              <w:t>Lancaster 2017</w:t>
            </w:r>
          </w:p>
        </w:tc>
        <w:tc>
          <w:tcPr>
            <w:tcW w:w="509" w:type="pct"/>
            <w:noWrap/>
            <w:vAlign w:val="center"/>
          </w:tcPr>
          <w:p w14:paraId="44D0A364" w14:textId="14027F06" w:rsidR="00BC27C1" w:rsidRDefault="00BC27C1" w:rsidP="00BC27C1">
            <w:pPr>
              <w:pStyle w:val="Tablewriting"/>
            </w:pPr>
            <w:r>
              <w:t>May 2016</w:t>
            </w:r>
          </w:p>
        </w:tc>
        <w:tc>
          <w:tcPr>
            <w:tcW w:w="571" w:type="pct"/>
            <w:noWrap/>
            <w:vAlign w:val="center"/>
          </w:tcPr>
          <w:p w14:paraId="13191A48" w14:textId="77777777" w:rsidR="00BC27C1" w:rsidRPr="00F20C7E" w:rsidRDefault="00BC27C1" w:rsidP="00BC27C1">
            <w:pPr>
              <w:pStyle w:val="Tablewriting"/>
              <w:jc w:val="center"/>
              <w:rPr>
                <w:b/>
                <w:bCs/>
              </w:rPr>
            </w:pPr>
          </w:p>
        </w:tc>
        <w:tc>
          <w:tcPr>
            <w:tcW w:w="560" w:type="pct"/>
            <w:noWrap/>
            <w:vAlign w:val="center"/>
          </w:tcPr>
          <w:p w14:paraId="451205A9" w14:textId="77777777" w:rsidR="00BC27C1" w:rsidRDefault="00BC27C1" w:rsidP="00BC27C1">
            <w:pPr>
              <w:pStyle w:val="Tablewriting"/>
              <w:jc w:val="center"/>
              <w:rPr>
                <w:b/>
                <w:bCs/>
              </w:rPr>
            </w:pPr>
          </w:p>
        </w:tc>
        <w:tc>
          <w:tcPr>
            <w:tcW w:w="540" w:type="pct"/>
          </w:tcPr>
          <w:p w14:paraId="5F700580" w14:textId="77777777" w:rsidR="00BC27C1" w:rsidRPr="00F20C7E" w:rsidRDefault="00BC27C1" w:rsidP="00BC27C1">
            <w:pPr>
              <w:pStyle w:val="Tablewriting"/>
              <w:jc w:val="center"/>
              <w:rPr>
                <w:b/>
                <w:bCs/>
              </w:rPr>
            </w:pPr>
          </w:p>
        </w:tc>
        <w:tc>
          <w:tcPr>
            <w:tcW w:w="540" w:type="pct"/>
            <w:noWrap/>
            <w:vAlign w:val="center"/>
          </w:tcPr>
          <w:p w14:paraId="678FE8EC" w14:textId="59A3285F" w:rsidR="00BC27C1" w:rsidRPr="00F20C7E" w:rsidRDefault="00BC27C1" w:rsidP="00BC27C1">
            <w:pPr>
              <w:pStyle w:val="Tablewriting"/>
              <w:jc w:val="center"/>
              <w:rPr>
                <w:b/>
                <w:bCs/>
              </w:rPr>
            </w:pPr>
            <w:r>
              <w:rPr>
                <w:b/>
                <w:bCs/>
              </w:rPr>
              <w:t>X</w:t>
            </w:r>
            <w:r w:rsidR="0028378A">
              <w:rPr>
                <w:vertAlign w:val="superscript"/>
              </w:rPr>
              <w:t>9</w:t>
            </w:r>
          </w:p>
        </w:tc>
        <w:tc>
          <w:tcPr>
            <w:tcW w:w="555" w:type="pct"/>
            <w:vAlign w:val="center"/>
          </w:tcPr>
          <w:p w14:paraId="16E79561" w14:textId="77777777" w:rsidR="00BC27C1" w:rsidRPr="00F20C7E" w:rsidRDefault="00BC27C1" w:rsidP="00BC27C1">
            <w:pPr>
              <w:pStyle w:val="Tablewriting"/>
              <w:jc w:val="center"/>
              <w:rPr>
                <w:b/>
                <w:bCs/>
              </w:rPr>
            </w:pPr>
          </w:p>
        </w:tc>
        <w:tc>
          <w:tcPr>
            <w:tcW w:w="537" w:type="pct"/>
            <w:vAlign w:val="center"/>
          </w:tcPr>
          <w:p w14:paraId="4D5A7671" w14:textId="77777777" w:rsidR="00BC27C1" w:rsidRPr="00F20C7E" w:rsidRDefault="00BC27C1" w:rsidP="00BC27C1">
            <w:pPr>
              <w:pStyle w:val="Tablewriting"/>
              <w:jc w:val="center"/>
              <w:rPr>
                <w:b/>
                <w:bCs/>
              </w:rPr>
            </w:pPr>
          </w:p>
        </w:tc>
      </w:tr>
      <w:tr w:rsidR="00BC27C1" w:rsidRPr="00501885" w14:paraId="1B9E306C" w14:textId="77777777" w:rsidTr="00C03581">
        <w:tc>
          <w:tcPr>
            <w:tcW w:w="204" w:type="pct"/>
            <w:noWrap/>
            <w:vAlign w:val="center"/>
          </w:tcPr>
          <w:p w14:paraId="6E45BC79" w14:textId="0069B641" w:rsidR="00BC27C1" w:rsidRDefault="00BC27C1" w:rsidP="00BC27C1">
            <w:pPr>
              <w:pStyle w:val="Tablewriting"/>
            </w:pPr>
            <w:r>
              <w:t>13</w:t>
            </w:r>
          </w:p>
        </w:tc>
        <w:tc>
          <w:tcPr>
            <w:tcW w:w="984" w:type="pct"/>
            <w:noWrap/>
            <w:vAlign w:val="center"/>
          </w:tcPr>
          <w:p w14:paraId="045C6B17" w14:textId="2FAA8A20" w:rsidR="00BC27C1" w:rsidRDefault="00BC27C1" w:rsidP="00BC27C1">
            <w:pPr>
              <w:pStyle w:val="Tablewriting"/>
            </w:pPr>
            <w:r>
              <w:t>Fanshawe 2017</w:t>
            </w:r>
          </w:p>
        </w:tc>
        <w:tc>
          <w:tcPr>
            <w:tcW w:w="509" w:type="pct"/>
            <w:noWrap/>
            <w:vAlign w:val="center"/>
          </w:tcPr>
          <w:p w14:paraId="68851204" w14:textId="3C81AC6A" w:rsidR="00BC27C1" w:rsidRDefault="00BC27C1" w:rsidP="00BC27C1">
            <w:pPr>
              <w:pStyle w:val="Tablewriting"/>
            </w:pPr>
            <w:r>
              <w:t>Jun 2017</w:t>
            </w:r>
          </w:p>
        </w:tc>
        <w:tc>
          <w:tcPr>
            <w:tcW w:w="571" w:type="pct"/>
            <w:noWrap/>
            <w:vAlign w:val="center"/>
          </w:tcPr>
          <w:p w14:paraId="54111A4A" w14:textId="77777777" w:rsidR="00BC27C1" w:rsidRPr="00F20C7E" w:rsidRDefault="00BC27C1" w:rsidP="00BC27C1">
            <w:pPr>
              <w:pStyle w:val="Tablewriting"/>
              <w:jc w:val="center"/>
              <w:rPr>
                <w:b/>
                <w:bCs/>
              </w:rPr>
            </w:pPr>
          </w:p>
        </w:tc>
        <w:tc>
          <w:tcPr>
            <w:tcW w:w="560" w:type="pct"/>
            <w:noWrap/>
            <w:vAlign w:val="center"/>
          </w:tcPr>
          <w:p w14:paraId="2F2A65DF" w14:textId="77777777" w:rsidR="00BC27C1" w:rsidRDefault="00BC27C1" w:rsidP="00BC27C1">
            <w:pPr>
              <w:pStyle w:val="Tablewriting"/>
              <w:jc w:val="center"/>
              <w:rPr>
                <w:b/>
                <w:bCs/>
              </w:rPr>
            </w:pPr>
          </w:p>
        </w:tc>
        <w:tc>
          <w:tcPr>
            <w:tcW w:w="540" w:type="pct"/>
          </w:tcPr>
          <w:p w14:paraId="0892DF73" w14:textId="77777777" w:rsidR="00BC27C1" w:rsidRPr="00F20C7E" w:rsidRDefault="00BC27C1" w:rsidP="00BC27C1">
            <w:pPr>
              <w:pStyle w:val="Tablewriting"/>
              <w:jc w:val="center"/>
              <w:rPr>
                <w:b/>
                <w:bCs/>
              </w:rPr>
            </w:pPr>
          </w:p>
        </w:tc>
        <w:tc>
          <w:tcPr>
            <w:tcW w:w="540" w:type="pct"/>
            <w:noWrap/>
            <w:vAlign w:val="center"/>
          </w:tcPr>
          <w:p w14:paraId="0593048A" w14:textId="77777777" w:rsidR="00BC27C1" w:rsidRPr="00F20C7E" w:rsidRDefault="00BC27C1" w:rsidP="00BC27C1">
            <w:pPr>
              <w:pStyle w:val="Tablewriting"/>
              <w:jc w:val="center"/>
              <w:rPr>
                <w:b/>
                <w:bCs/>
              </w:rPr>
            </w:pPr>
          </w:p>
        </w:tc>
        <w:tc>
          <w:tcPr>
            <w:tcW w:w="555" w:type="pct"/>
            <w:vAlign w:val="center"/>
          </w:tcPr>
          <w:p w14:paraId="7421D9BA" w14:textId="77777777" w:rsidR="00BC27C1" w:rsidRPr="00F20C7E" w:rsidRDefault="00BC27C1" w:rsidP="00BC27C1">
            <w:pPr>
              <w:pStyle w:val="Tablewriting"/>
              <w:jc w:val="center"/>
              <w:rPr>
                <w:b/>
                <w:bCs/>
              </w:rPr>
            </w:pPr>
          </w:p>
        </w:tc>
        <w:tc>
          <w:tcPr>
            <w:tcW w:w="537" w:type="pct"/>
            <w:vAlign w:val="center"/>
          </w:tcPr>
          <w:p w14:paraId="51AAAC3B" w14:textId="55C04097" w:rsidR="00BC27C1" w:rsidRPr="00F20C7E" w:rsidRDefault="00BC27C1" w:rsidP="00BC27C1">
            <w:pPr>
              <w:pStyle w:val="Tablewriting"/>
              <w:jc w:val="center"/>
              <w:rPr>
                <w:b/>
                <w:bCs/>
              </w:rPr>
            </w:pPr>
            <w:r>
              <w:rPr>
                <w:b/>
                <w:bCs/>
              </w:rPr>
              <w:t>X</w:t>
            </w:r>
          </w:p>
        </w:tc>
      </w:tr>
      <w:tr w:rsidR="00BC27C1" w:rsidRPr="00501885" w14:paraId="64A04181" w14:textId="77777777" w:rsidTr="00C03581">
        <w:tc>
          <w:tcPr>
            <w:tcW w:w="204" w:type="pct"/>
            <w:noWrap/>
            <w:vAlign w:val="center"/>
          </w:tcPr>
          <w:p w14:paraId="35B0CB47" w14:textId="70F364A9" w:rsidR="00BC27C1" w:rsidRDefault="00BC27C1" w:rsidP="00BC27C1">
            <w:pPr>
              <w:pStyle w:val="Tablewriting"/>
            </w:pPr>
            <w:r>
              <w:t>14</w:t>
            </w:r>
          </w:p>
        </w:tc>
        <w:tc>
          <w:tcPr>
            <w:tcW w:w="984" w:type="pct"/>
            <w:noWrap/>
            <w:vAlign w:val="center"/>
          </w:tcPr>
          <w:p w14:paraId="5A733417" w14:textId="16F7A1A2" w:rsidR="00BC27C1" w:rsidRDefault="00BC27C1" w:rsidP="00BC27C1">
            <w:pPr>
              <w:pStyle w:val="Tablewriting"/>
            </w:pPr>
            <w:r>
              <w:t>Cahill 2016</w:t>
            </w:r>
          </w:p>
        </w:tc>
        <w:tc>
          <w:tcPr>
            <w:tcW w:w="509" w:type="pct"/>
            <w:noWrap/>
            <w:vAlign w:val="center"/>
          </w:tcPr>
          <w:p w14:paraId="10A23345" w14:textId="350093CD" w:rsidR="00BC27C1" w:rsidRDefault="00BC27C1" w:rsidP="00BC27C1">
            <w:pPr>
              <w:pStyle w:val="Tablewriting"/>
            </w:pPr>
            <w:r>
              <w:t>May 2015</w:t>
            </w:r>
          </w:p>
        </w:tc>
        <w:tc>
          <w:tcPr>
            <w:tcW w:w="571" w:type="pct"/>
            <w:noWrap/>
            <w:vAlign w:val="center"/>
          </w:tcPr>
          <w:p w14:paraId="39959A89" w14:textId="7232F20A" w:rsidR="00BC27C1" w:rsidRPr="00F20C7E" w:rsidRDefault="00BC27C1" w:rsidP="00BC27C1">
            <w:pPr>
              <w:pStyle w:val="Tablewriting"/>
              <w:jc w:val="center"/>
              <w:rPr>
                <w:b/>
                <w:bCs/>
              </w:rPr>
            </w:pPr>
            <w:r>
              <w:rPr>
                <w:b/>
                <w:bCs/>
              </w:rPr>
              <w:t>X</w:t>
            </w:r>
          </w:p>
        </w:tc>
        <w:tc>
          <w:tcPr>
            <w:tcW w:w="560" w:type="pct"/>
            <w:noWrap/>
            <w:vAlign w:val="center"/>
          </w:tcPr>
          <w:p w14:paraId="3B5643A6" w14:textId="77777777" w:rsidR="00BC27C1" w:rsidRDefault="00BC27C1" w:rsidP="00BC27C1">
            <w:pPr>
              <w:pStyle w:val="Tablewriting"/>
              <w:jc w:val="center"/>
              <w:rPr>
                <w:b/>
                <w:bCs/>
              </w:rPr>
            </w:pPr>
          </w:p>
        </w:tc>
        <w:tc>
          <w:tcPr>
            <w:tcW w:w="540" w:type="pct"/>
          </w:tcPr>
          <w:p w14:paraId="776E14E3" w14:textId="77777777" w:rsidR="00BC27C1" w:rsidRPr="00F20C7E" w:rsidRDefault="00BC27C1" w:rsidP="00BC27C1">
            <w:pPr>
              <w:pStyle w:val="Tablewriting"/>
              <w:jc w:val="center"/>
              <w:rPr>
                <w:b/>
                <w:bCs/>
              </w:rPr>
            </w:pPr>
          </w:p>
        </w:tc>
        <w:tc>
          <w:tcPr>
            <w:tcW w:w="540" w:type="pct"/>
            <w:noWrap/>
            <w:vAlign w:val="center"/>
          </w:tcPr>
          <w:p w14:paraId="552443A5" w14:textId="77777777" w:rsidR="00BC27C1" w:rsidRPr="00F20C7E" w:rsidRDefault="00BC27C1" w:rsidP="00BC27C1">
            <w:pPr>
              <w:pStyle w:val="Tablewriting"/>
              <w:jc w:val="center"/>
              <w:rPr>
                <w:b/>
                <w:bCs/>
              </w:rPr>
            </w:pPr>
          </w:p>
        </w:tc>
        <w:tc>
          <w:tcPr>
            <w:tcW w:w="555" w:type="pct"/>
            <w:vAlign w:val="center"/>
          </w:tcPr>
          <w:p w14:paraId="6B440275" w14:textId="77777777" w:rsidR="00BC27C1" w:rsidRPr="00F20C7E" w:rsidRDefault="00BC27C1" w:rsidP="00BC27C1">
            <w:pPr>
              <w:pStyle w:val="Tablewriting"/>
              <w:jc w:val="center"/>
              <w:rPr>
                <w:b/>
                <w:bCs/>
              </w:rPr>
            </w:pPr>
          </w:p>
        </w:tc>
        <w:tc>
          <w:tcPr>
            <w:tcW w:w="537" w:type="pct"/>
            <w:vAlign w:val="center"/>
          </w:tcPr>
          <w:p w14:paraId="2B1F2376" w14:textId="77777777" w:rsidR="00BC27C1" w:rsidRPr="00F20C7E" w:rsidRDefault="00BC27C1" w:rsidP="00BC27C1">
            <w:pPr>
              <w:pStyle w:val="Tablewriting"/>
              <w:jc w:val="center"/>
              <w:rPr>
                <w:b/>
                <w:bCs/>
              </w:rPr>
            </w:pPr>
          </w:p>
        </w:tc>
      </w:tr>
      <w:tr w:rsidR="00BC27C1" w:rsidRPr="00501885" w14:paraId="6D2E4025" w14:textId="77777777" w:rsidTr="00C03581">
        <w:tc>
          <w:tcPr>
            <w:tcW w:w="204" w:type="pct"/>
            <w:noWrap/>
            <w:vAlign w:val="center"/>
          </w:tcPr>
          <w:p w14:paraId="72FDD152" w14:textId="24F06317" w:rsidR="00BC27C1" w:rsidRDefault="00BC27C1" w:rsidP="00BC27C1">
            <w:pPr>
              <w:pStyle w:val="Tablewriting"/>
            </w:pPr>
            <w:r>
              <w:t>15</w:t>
            </w:r>
          </w:p>
        </w:tc>
        <w:tc>
          <w:tcPr>
            <w:tcW w:w="984" w:type="pct"/>
            <w:noWrap/>
            <w:vAlign w:val="center"/>
          </w:tcPr>
          <w:p w14:paraId="0E54205E" w14:textId="79361E9B" w:rsidR="00BC27C1" w:rsidRDefault="00BC27C1" w:rsidP="00BC27C1">
            <w:pPr>
              <w:pStyle w:val="Tablewriting"/>
            </w:pPr>
            <w:r>
              <w:t>Cahill 2013</w:t>
            </w:r>
          </w:p>
        </w:tc>
        <w:tc>
          <w:tcPr>
            <w:tcW w:w="509" w:type="pct"/>
            <w:noWrap/>
            <w:vAlign w:val="center"/>
          </w:tcPr>
          <w:p w14:paraId="4C6A6714" w14:textId="2C411A85" w:rsidR="00BC27C1" w:rsidRDefault="00BC27C1" w:rsidP="00BC27C1">
            <w:pPr>
              <w:pStyle w:val="Tablewriting"/>
            </w:pPr>
            <w:r>
              <w:t>Nov 2012</w:t>
            </w:r>
          </w:p>
        </w:tc>
        <w:tc>
          <w:tcPr>
            <w:tcW w:w="571" w:type="pct"/>
            <w:noWrap/>
            <w:vAlign w:val="center"/>
          </w:tcPr>
          <w:p w14:paraId="29013532" w14:textId="77777777" w:rsidR="00BC27C1" w:rsidRPr="00F20C7E" w:rsidRDefault="00BC27C1" w:rsidP="00BC27C1">
            <w:pPr>
              <w:pStyle w:val="Tablewriting"/>
              <w:jc w:val="center"/>
              <w:rPr>
                <w:b/>
                <w:bCs/>
              </w:rPr>
            </w:pPr>
          </w:p>
        </w:tc>
        <w:tc>
          <w:tcPr>
            <w:tcW w:w="560" w:type="pct"/>
            <w:noWrap/>
            <w:vAlign w:val="center"/>
          </w:tcPr>
          <w:p w14:paraId="2E628B38" w14:textId="58A31DAE" w:rsidR="00BC27C1" w:rsidRDefault="00BC27C1" w:rsidP="00BC27C1">
            <w:pPr>
              <w:pStyle w:val="Tablewriting"/>
              <w:jc w:val="center"/>
              <w:rPr>
                <w:b/>
                <w:bCs/>
              </w:rPr>
            </w:pPr>
            <w:r>
              <w:rPr>
                <w:b/>
                <w:bCs/>
              </w:rPr>
              <w:t>X</w:t>
            </w:r>
          </w:p>
        </w:tc>
        <w:tc>
          <w:tcPr>
            <w:tcW w:w="540" w:type="pct"/>
          </w:tcPr>
          <w:p w14:paraId="1583A4D6" w14:textId="77777777" w:rsidR="00BC27C1" w:rsidRPr="00F20C7E" w:rsidRDefault="00BC27C1" w:rsidP="00BC27C1">
            <w:pPr>
              <w:pStyle w:val="Tablewriting"/>
              <w:jc w:val="center"/>
              <w:rPr>
                <w:b/>
                <w:bCs/>
              </w:rPr>
            </w:pPr>
          </w:p>
        </w:tc>
        <w:tc>
          <w:tcPr>
            <w:tcW w:w="540" w:type="pct"/>
            <w:noWrap/>
            <w:vAlign w:val="center"/>
          </w:tcPr>
          <w:p w14:paraId="76574FC6" w14:textId="77777777" w:rsidR="00BC27C1" w:rsidRPr="00F20C7E" w:rsidRDefault="00BC27C1" w:rsidP="00BC27C1">
            <w:pPr>
              <w:pStyle w:val="Tablewriting"/>
              <w:jc w:val="center"/>
              <w:rPr>
                <w:b/>
                <w:bCs/>
              </w:rPr>
            </w:pPr>
          </w:p>
        </w:tc>
        <w:tc>
          <w:tcPr>
            <w:tcW w:w="555" w:type="pct"/>
            <w:vAlign w:val="center"/>
          </w:tcPr>
          <w:p w14:paraId="0E9C5B50" w14:textId="77777777" w:rsidR="00BC27C1" w:rsidRPr="00F20C7E" w:rsidRDefault="00BC27C1" w:rsidP="00BC27C1">
            <w:pPr>
              <w:pStyle w:val="Tablewriting"/>
              <w:jc w:val="center"/>
              <w:rPr>
                <w:b/>
                <w:bCs/>
              </w:rPr>
            </w:pPr>
          </w:p>
        </w:tc>
        <w:tc>
          <w:tcPr>
            <w:tcW w:w="537" w:type="pct"/>
            <w:vAlign w:val="center"/>
          </w:tcPr>
          <w:p w14:paraId="1F67D39F" w14:textId="77777777" w:rsidR="00BC27C1" w:rsidRPr="00F20C7E" w:rsidRDefault="00BC27C1" w:rsidP="00BC27C1">
            <w:pPr>
              <w:pStyle w:val="Tablewriting"/>
              <w:jc w:val="center"/>
              <w:rPr>
                <w:b/>
                <w:bCs/>
              </w:rPr>
            </w:pPr>
          </w:p>
        </w:tc>
      </w:tr>
    </w:tbl>
    <w:p w14:paraId="6EBEA37D" w14:textId="742C80E5" w:rsidR="00B96D1B" w:rsidRPr="00C03581" w:rsidRDefault="00B96D1B" w:rsidP="00C03581">
      <w:pPr>
        <w:pStyle w:val="TableFooter"/>
        <w:jc w:val="both"/>
        <w:rPr>
          <w:sz w:val="18"/>
          <w:szCs w:val="18"/>
        </w:rPr>
      </w:pPr>
      <w:r w:rsidRPr="00C03581">
        <w:rPr>
          <w:sz w:val="18"/>
          <w:szCs w:val="18"/>
        </w:rPr>
        <w:t>Abbreviations: RQ = research question</w:t>
      </w:r>
    </w:p>
    <w:p w14:paraId="58E4F9E2" w14:textId="0CC7F996" w:rsidR="003822A3" w:rsidRPr="00C03581" w:rsidRDefault="003822A3" w:rsidP="00C03581">
      <w:pPr>
        <w:pStyle w:val="TableFooter"/>
        <w:jc w:val="both"/>
        <w:rPr>
          <w:sz w:val="18"/>
          <w:szCs w:val="18"/>
        </w:rPr>
      </w:pPr>
      <w:r w:rsidRPr="00C03581">
        <w:rPr>
          <w:sz w:val="18"/>
          <w:szCs w:val="18"/>
        </w:rPr>
        <w:t xml:space="preserve">Notes: </w:t>
      </w:r>
    </w:p>
    <w:p w14:paraId="28E713E7" w14:textId="42543878" w:rsidR="00BC27C1" w:rsidRPr="00C03581" w:rsidRDefault="00AB4C6B" w:rsidP="00C03581">
      <w:pPr>
        <w:pStyle w:val="TableFooter"/>
        <w:jc w:val="both"/>
        <w:rPr>
          <w:sz w:val="18"/>
          <w:szCs w:val="18"/>
        </w:rPr>
      </w:pPr>
      <w:r w:rsidRPr="00C03581">
        <w:rPr>
          <w:sz w:val="18"/>
          <w:szCs w:val="18"/>
        </w:rPr>
        <w:t>1</w:t>
      </w:r>
      <w:r w:rsidR="00BC27C1" w:rsidRPr="00C03581">
        <w:rPr>
          <w:sz w:val="18"/>
          <w:szCs w:val="18"/>
        </w:rPr>
        <w:t xml:space="preserve"> Relapse prevention intervention</w:t>
      </w:r>
      <w:r w:rsidR="0083519B" w:rsidRPr="00C03581">
        <w:rPr>
          <w:sz w:val="18"/>
          <w:szCs w:val="18"/>
        </w:rPr>
        <w:t>.</w:t>
      </w:r>
      <w:r w:rsidR="00BC27C1" w:rsidRPr="00C03581">
        <w:rPr>
          <w:sz w:val="18"/>
          <w:szCs w:val="18"/>
        </w:rPr>
        <w:t xml:space="preserve"> </w:t>
      </w:r>
    </w:p>
    <w:p w14:paraId="37DEDFEE" w14:textId="7384C047" w:rsidR="00EB415F" w:rsidRPr="00C03581" w:rsidRDefault="00AB4C6B" w:rsidP="00C03581">
      <w:pPr>
        <w:pStyle w:val="TableFooter"/>
        <w:jc w:val="both"/>
        <w:rPr>
          <w:sz w:val="18"/>
          <w:szCs w:val="18"/>
        </w:rPr>
      </w:pPr>
      <w:r w:rsidRPr="00C03581">
        <w:rPr>
          <w:sz w:val="18"/>
          <w:szCs w:val="18"/>
        </w:rPr>
        <w:t>2</w:t>
      </w:r>
      <w:r w:rsidR="00EB415F" w:rsidRPr="00C03581">
        <w:rPr>
          <w:sz w:val="18"/>
          <w:szCs w:val="18"/>
        </w:rPr>
        <w:t xml:space="preserve"> Reduction to quit intervention.</w:t>
      </w:r>
    </w:p>
    <w:p w14:paraId="7B128E3F" w14:textId="1FCA2054" w:rsidR="00383103" w:rsidRPr="00C03581" w:rsidRDefault="00AD3089" w:rsidP="00C03581">
      <w:pPr>
        <w:pStyle w:val="TableFooter"/>
        <w:jc w:val="both"/>
        <w:rPr>
          <w:sz w:val="18"/>
          <w:szCs w:val="18"/>
        </w:rPr>
      </w:pPr>
      <w:r w:rsidRPr="00C03581">
        <w:rPr>
          <w:sz w:val="18"/>
          <w:szCs w:val="18"/>
        </w:rPr>
        <w:t>3 Against placebo or usual care unless otherwise specified.</w:t>
      </w:r>
    </w:p>
    <w:p w14:paraId="2C16A005" w14:textId="0243B94D" w:rsidR="0028378A" w:rsidRPr="00C03581" w:rsidRDefault="0028378A" w:rsidP="00C03581">
      <w:pPr>
        <w:pStyle w:val="TableFooter"/>
        <w:jc w:val="both"/>
        <w:rPr>
          <w:sz w:val="18"/>
          <w:szCs w:val="18"/>
        </w:rPr>
      </w:pPr>
      <w:r w:rsidRPr="00C03581">
        <w:rPr>
          <w:sz w:val="18"/>
          <w:szCs w:val="18"/>
        </w:rPr>
        <w:t xml:space="preserve">4 Telephone counselling + pharmacotherapy versus pharmacotherapy alone. </w:t>
      </w:r>
    </w:p>
    <w:p w14:paraId="76D22E2D" w14:textId="79881CC6" w:rsidR="0028378A" w:rsidRPr="00C03581" w:rsidRDefault="0028378A" w:rsidP="00C03581">
      <w:pPr>
        <w:pStyle w:val="TableFooter"/>
        <w:jc w:val="both"/>
        <w:rPr>
          <w:sz w:val="18"/>
          <w:szCs w:val="18"/>
        </w:rPr>
      </w:pPr>
      <w:r w:rsidRPr="00C03581">
        <w:rPr>
          <w:sz w:val="18"/>
          <w:szCs w:val="18"/>
        </w:rPr>
        <w:t>5 NRT + self-help versus NRT.</w:t>
      </w:r>
    </w:p>
    <w:p w14:paraId="18973870" w14:textId="625C9CC4" w:rsidR="0028378A" w:rsidRPr="00C03581" w:rsidRDefault="0028378A" w:rsidP="00C03581">
      <w:pPr>
        <w:pStyle w:val="TableFooter"/>
        <w:jc w:val="both"/>
        <w:rPr>
          <w:sz w:val="18"/>
          <w:szCs w:val="18"/>
        </w:rPr>
      </w:pPr>
      <w:r w:rsidRPr="00C03581">
        <w:rPr>
          <w:sz w:val="18"/>
          <w:szCs w:val="18"/>
        </w:rPr>
        <w:t>6</w:t>
      </w:r>
      <w:r w:rsidR="00A2042E" w:rsidRPr="00C03581">
        <w:rPr>
          <w:sz w:val="18"/>
          <w:szCs w:val="18"/>
        </w:rPr>
        <w:t xml:space="preserve"> Adding behavioural support to pharmacotherapy (primary evidence).</w:t>
      </w:r>
    </w:p>
    <w:p w14:paraId="6930B1DE" w14:textId="2CA824B6" w:rsidR="00040166" w:rsidRPr="00C03581" w:rsidRDefault="0028378A" w:rsidP="00C03581">
      <w:pPr>
        <w:pStyle w:val="TableFooter"/>
        <w:jc w:val="both"/>
        <w:rPr>
          <w:sz w:val="18"/>
          <w:szCs w:val="18"/>
        </w:rPr>
      </w:pPr>
      <w:r w:rsidRPr="00C03581">
        <w:rPr>
          <w:sz w:val="18"/>
          <w:szCs w:val="18"/>
        </w:rPr>
        <w:t>7 Provision of behavioural support by community pharmacists in addition to pharmacotherapy (Note: removal of one study which did not provide pharmacotherapy to each arm didn’t impact on the findings).</w:t>
      </w:r>
      <w:r w:rsidR="00A2042E" w:rsidRPr="00C03581">
        <w:rPr>
          <w:sz w:val="18"/>
          <w:szCs w:val="18"/>
        </w:rPr>
        <w:t xml:space="preserve"> </w:t>
      </w:r>
    </w:p>
    <w:p w14:paraId="68E0AAB3" w14:textId="1D24F4C3" w:rsidR="0028378A" w:rsidRPr="00C03581" w:rsidRDefault="0028378A" w:rsidP="00C03581">
      <w:pPr>
        <w:pStyle w:val="TableFooter"/>
        <w:jc w:val="both"/>
        <w:rPr>
          <w:sz w:val="18"/>
          <w:szCs w:val="18"/>
        </w:rPr>
      </w:pPr>
      <w:r w:rsidRPr="00C03581">
        <w:rPr>
          <w:sz w:val="18"/>
          <w:szCs w:val="18"/>
        </w:rPr>
        <w:t>8</w:t>
      </w:r>
      <w:r w:rsidR="00C87458" w:rsidRPr="00C03581">
        <w:rPr>
          <w:sz w:val="18"/>
          <w:szCs w:val="18"/>
        </w:rPr>
        <w:t xml:space="preserve"> </w:t>
      </w:r>
      <w:r w:rsidR="00383103" w:rsidRPr="00C03581">
        <w:rPr>
          <w:sz w:val="18"/>
          <w:szCs w:val="18"/>
        </w:rPr>
        <w:t>Group therapy + pharm</w:t>
      </w:r>
      <w:r w:rsidR="00A72A51" w:rsidRPr="00C03581">
        <w:rPr>
          <w:sz w:val="18"/>
          <w:szCs w:val="18"/>
        </w:rPr>
        <w:t>acotherapy</w:t>
      </w:r>
      <w:r w:rsidR="00383103" w:rsidRPr="00C03581">
        <w:rPr>
          <w:sz w:val="18"/>
          <w:szCs w:val="18"/>
        </w:rPr>
        <w:t xml:space="preserve"> v</w:t>
      </w:r>
      <w:r w:rsidR="00A72A51" w:rsidRPr="00C03581">
        <w:rPr>
          <w:sz w:val="18"/>
          <w:szCs w:val="18"/>
        </w:rPr>
        <w:t>ersus</w:t>
      </w:r>
      <w:r w:rsidR="00383103" w:rsidRPr="00C03581">
        <w:rPr>
          <w:sz w:val="18"/>
          <w:szCs w:val="18"/>
        </w:rPr>
        <w:t xml:space="preserve"> brief support + pharm</w:t>
      </w:r>
      <w:r w:rsidR="00A72A51" w:rsidRPr="00C03581">
        <w:rPr>
          <w:sz w:val="18"/>
          <w:szCs w:val="18"/>
        </w:rPr>
        <w:t>acotherapy.</w:t>
      </w:r>
    </w:p>
    <w:p w14:paraId="7A76EB6F" w14:textId="409F9AD0" w:rsidR="00C87458" w:rsidRPr="00C03581" w:rsidRDefault="0028378A" w:rsidP="00C03581">
      <w:pPr>
        <w:pStyle w:val="TableFooter"/>
        <w:jc w:val="both"/>
        <w:rPr>
          <w:sz w:val="18"/>
          <w:szCs w:val="18"/>
        </w:rPr>
        <w:sectPr w:rsidR="00C87458" w:rsidRPr="00C03581" w:rsidSect="009C4A9F">
          <w:pgSz w:w="16838" w:h="11906" w:orient="landscape"/>
          <w:pgMar w:top="1440" w:right="1440" w:bottom="1440" w:left="1440" w:header="708" w:footer="708" w:gutter="0"/>
          <w:cols w:space="708"/>
          <w:titlePg/>
          <w:docGrid w:linePitch="360"/>
        </w:sectPr>
      </w:pPr>
      <w:r w:rsidRPr="00C03581">
        <w:rPr>
          <w:sz w:val="18"/>
          <w:szCs w:val="18"/>
        </w:rPr>
        <w:t>9 Individual counselling adjunct/intensity of individual counselling</w:t>
      </w:r>
      <w:bookmarkEnd w:id="30"/>
      <w:r w:rsidR="008260A0" w:rsidRPr="00C03581">
        <w:rPr>
          <w:sz w:val="18"/>
          <w:szCs w:val="18"/>
        </w:rPr>
        <w:t xml:space="preserve">. </w:t>
      </w:r>
    </w:p>
    <w:p w14:paraId="56C4DBFF" w14:textId="11B1DEF5" w:rsidR="006935B7" w:rsidRDefault="00AA3CB0" w:rsidP="00C03581">
      <w:pPr>
        <w:pStyle w:val="Heading2"/>
        <w:spacing w:before="0" w:after="120"/>
        <w:jc w:val="both"/>
        <w:rPr>
          <w:rFonts w:asciiTheme="minorHAnsi" w:hAnsiTheme="minorHAnsi"/>
          <w:szCs w:val="32"/>
        </w:rPr>
      </w:pPr>
      <w:bookmarkStart w:id="31" w:name="_Toc115254510"/>
      <w:r>
        <w:rPr>
          <w:rFonts w:asciiTheme="minorHAnsi" w:hAnsiTheme="minorHAnsi"/>
          <w:szCs w:val="32"/>
        </w:rPr>
        <w:lastRenderedPageBreak/>
        <w:t>S</w:t>
      </w:r>
      <w:r w:rsidR="00BE7FF3">
        <w:rPr>
          <w:rFonts w:asciiTheme="minorHAnsi" w:hAnsiTheme="minorHAnsi"/>
          <w:szCs w:val="32"/>
        </w:rPr>
        <w:t xml:space="preserve">ummary </w:t>
      </w:r>
      <w:r w:rsidR="006C2018">
        <w:rPr>
          <w:rFonts w:asciiTheme="minorHAnsi" w:hAnsiTheme="minorHAnsi"/>
          <w:szCs w:val="32"/>
        </w:rPr>
        <w:t xml:space="preserve">of </w:t>
      </w:r>
      <w:r w:rsidR="000B5CDF">
        <w:rPr>
          <w:rFonts w:asciiTheme="minorHAnsi" w:hAnsiTheme="minorHAnsi"/>
          <w:szCs w:val="32"/>
        </w:rPr>
        <w:t>evidence</w:t>
      </w:r>
      <w:bookmarkEnd w:id="31"/>
    </w:p>
    <w:p w14:paraId="74395102" w14:textId="58A13607" w:rsidR="008A440C" w:rsidRPr="008A440C" w:rsidRDefault="00361531" w:rsidP="00C03581">
      <w:pPr>
        <w:spacing w:after="120"/>
        <w:jc w:val="both"/>
      </w:pPr>
      <w:r>
        <w:t xml:space="preserve">The following sections summarise the </w:t>
      </w:r>
      <w:r w:rsidR="006F0B59">
        <w:t xml:space="preserve">identified </w:t>
      </w:r>
      <w:r>
        <w:t>evidence compar</w:t>
      </w:r>
      <w:r w:rsidR="006F0B59">
        <w:t>ing</w:t>
      </w:r>
      <w:r>
        <w:t xml:space="preserve"> the efficacy and</w:t>
      </w:r>
      <w:r w:rsidR="006F0B59">
        <w:t xml:space="preserve"> </w:t>
      </w:r>
      <w:r>
        <w:t xml:space="preserve">safety of </w:t>
      </w:r>
      <w:r w:rsidR="003D5DB2">
        <w:t xml:space="preserve">pharmacological interventions </w:t>
      </w:r>
      <w:r w:rsidR="00FE453D">
        <w:t>for smoking cessation</w:t>
      </w:r>
      <w:r w:rsidR="00F1596C">
        <w:t xml:space="preserve"> an</w:t>
      </w:r>
      <w:r w:rsidR="008B63BD">
        <w:t xml:space="preserve">d are presented </w:t>
      </w:r>
      <w:r w:rsidR="0089123F">
        <w:t>based on five categories:</w:t>
      </w:r>
    </w:p>
    <w:p w14:paraId="4A06A95B" w14:textId="23DC1347" w:rsidR="001771D1" w:rsidRDefault="001771D1" w:rsidP="00C03581">
      <w:pPr>
        <w:pStyle w:val="ListParagraph"/>
        <w:numPr>
          <w:ilvl w:val="0"/>
          <w:numId w:val="188"/>
        </w:numPr>
        <w:jc w:val="both"/>
      </w:pPr>
      <w:r>
        <w:t>Section</w:t>
      </w:r>
      <w:r w:rsidR="00C03581">
        <w:t xml:space="preserve"> 3.1.10</w:t>
      </w:r>
      <w:r>
        <w:t xml:space="preserve">: Monotherapy in </w:t>
      </w:r>
      <w:r w:rsidR="00C03581">
        <w:t xml:space="preserve">the </w:t>
      </w:r>
      <w:r>
        <w:t>general population</w:t>
      </w:r>
    </w:p>
    <w:p w14:paraId="782D7F3A" w14:textId="24AA1FFE" w:rsidR="001771D1" w:rsidRDefault="001771D1" w:rsidP="00C03581">
      <w:pPr>
        <w:pStyle w:val="ListParagraph"/>
        <w:numPr>
          <w:ilvl w:val="0"/>
          <w:numId w:val="188"/>
        </w:numPr>
        <w:jc w:val="both"/>
      </w:pPr>
      <w:r>
        <w:t>Section</w:t>
      </w:r>
      <w:r w:rsidR="00C03581">
        <w:t xml:space="preserve"> 3.1.11</w:t>
      </w:r>
      <w:r>
        <w:t>: Combination therapies</w:t>
      </w:r>
      <w:r w:rsidR="00E7615B">
        <w:t xml:space="preserve"> in </w:t>
      </w:r>
      <w:r w:rsidR="00C03581">
        <w:t xml:space="preserve">the </w:t>
      </w:r>
      <w:r w:rsidR="00E7615B">
        <w:t>general population</w:t>
      </w:r>
    </w:p>
    <w:p w14:paraId="61507DC4" w14:textId="6DF9C82A" w:rsidR="00E7615B" w:rsidRDefault="00E7615B" w:rsidP="00C03581">
      <w:pPr>
        <w:pStyle w:val="ListParagraph"/>
        <w:numPr>
          <w:ilvl w:val="0"/>
          <w:numId w:val="188"/>
        </w:numPr>
        <w:jc w:val="both"/>
      </w:pPr>
      <w:r>
        <w:t>Section</w:t>
      </w:r>
      <w:r w:rsidR="00C03581">
        <w:t xml:space="preserve"> 3.1.12</w:t>
      </w:r>
      <w:r>
        <w:t>: NRT dose, dosage form and length of therapy</w:t>
      </w:r>
    </w:p>
    <w:p w14:paraId="68481729" w14:textId="2D9A2B8A" w:rsidR="00E7615B" w:rsidRDefault="00E7615B" w:rsidP="00C03581">
      <w:pPr>
        <w:pStyle w:val="ListParagraph"/>
        <w:numPr>
          <w:ilvl w:val="0"/>
          <w:numId w:val="188"/>
        </w:numPr>
        <w:jc w:val="both"/>
      </w:pPr>
      <w:r>
        <w:t>Section</w:t>
      </w:r>
      <w:r w:rsidR="00C03581">
        <w:t xml:space="preserve"> 3.1.13</w:t>
      </w:r>
      <w:r>
        <w:t xml:space="preserve">: </w:t>
      </w:r>
      <w:r w:rsidR="006A7E7E">
        <w:t>Behavioural intervention</w:t>
      </w:r>
      <w:r w:rsidR="00C03581">
        <w:t>s</w:t>
      </w:r>
      <w:r w:rsidR="006A7E7E">
        <w:t xml:space="preserve"> in combination with pharmacotherapies</w:t>
      </w:r>
    </w:p>
    <w:p w14:paraId="1DC265DA" w14:textId="47808B7D" w:rsidR="00BF58AB" w:rsidRPr="008A440C" w:rsidRDefault="006A7E7E" w:rsidP="00C03581">
      <w:pPr>
        <w:pStyle w:val="ListParagraph"/>
        <w:numPr>
          <w:ilvl w:val="0"/>
          <w:numId w:val="188"/>
        </w:numPr>
        <w:spacing w:after="120"/>
        <w:ind w:left="357" w:hanging="357"/>
        <w:contextualSpacing w:val="0"/>
        <w:jc w:val="both"/>
      </w:pPr>
      <w:r>
        <w:t>Section</w:t>
      </w:r>
      <w:r w:rsidR="00C03581">
        <w:t xml:space="preserve"> 3.1.14</w:t>
      </w:r>
      <w:r>
        <w:t xml:space="preserve">: </w:t>
      </w:r>
      <w:r w:rsidR="00CD475C">
        <w:t>P</w:t>
      </w:r>
      <w:r>
        <w:t>opulations</w:t>
      </w:r>
      <w:r w:rsidR="00CD475C">
        <w:t xml:space="preserve"> who have specific needs</w:t>
      </w:r>
    </w:p>
    <w:p w14:paraId="374B5037" w14:textId="41B4A88E" w:rsidR="00F238A2" w:rsidRDefault="00C25808" w:rsidP="00C03581">
      <w:pPr>
        <w:pStyle w:val="Heading3"/>
        <w:spacing w:before="0" w:after="120"/>
        <w:jc w:val="both"/>
      </w:pPr>
      <w:bookmarkStart w:id="32" w:name="_Ref61964613"/>
      <w:bookmarkStart w:id="33" w:name="_Ref61964624"/>
      <w:bookmarkStart w:id="34" w:name="_Toc115254511"/>
      <w:r>
        <w:t xml:space="preserve"> </w:t>
      </w:r>
      <w:r w:rsidR="00F238A2">
        <w:t xml:space="preserve">Monotherapy in </w:t>
      </w:r>
      <w:r w:rsidR="009741B4">
        <w:t xml:space="preserve">the </w:t>
      </w:r>
      <w:r w:rsidR="00F238A2">
        <w:t>general population</w:t>
      </w:r>
      <w:bookmarkEnd w:id="32"/>
      <w:bookmarkEnd w:id="33"/>
      <w:bookmarkEnd w:id="34"/>
    </w:p>
    <w:p w14:paraId="75370D7D" w14:textId="254627C0" w:rsidR="002C1C20" w:rsidRDefault="002C1C20" w:rsidP="00C03581">
      <w:pPr>
        <w:spacing w:after="120"/>
        <w:jc w:val="both"/>
      </w:pPr>
      <w:r>
        <w:t xml:space="preserve">The aim of this section was to summarise </w:t>
      </w:r>
      <w:r w:rsidRPr="002C1C20">
        <w:t xml:space="preserve">the comparative efficacy and safety of all PBS-listed smoking cessation therapies as monotherapy and compare this to </w:t>
      </w:r>
      <w:r w:rsidR="00C03581">
        <w:t xml:space="preserve">the </w:t>
      </w:r>
      <w:r w:rsidRPr="002C1C20">
        <w:t xml:space="preserve">evidence already considered by </w:t>
      </w:r>
      <w:r w:rsidR="00C03581">
        <w:t xml:space="preserve">the </w:t>
      </w:r>
      <w:r w:rsidRPr="002C1C20">
        <w:t>PBAC for each smoking cessation therapy</w:t>
      </w:r>
      <w:r>
        <w:t>.</w:t>
      </w:r>
    </w:p>
    <w:p w14:paraId="46A4600D" w14:textId="125AEFD4" w:rsidR="00DC7616" w:rsidRDefault="00992B97" w:rsidP="00C03581">
      <w:pPr>
        <w:spacing w:after="120"/>
        <w:jc w:val="both"/>
      </w:pPr>
      <w:r>
        <w:t>A summary of n</w:t>
      </w:r>
      <w:r w:rsidRPr="00992B97">
        <w:t>ew evidence identified comparing monotherapy intervention</w:t>
      </w:r>
      <w:r w:rsidR="004A46DE">
        <w:t>s</w:t>
      </w:r>
      <w:r w:rsidRPr="00992B97">
        <w:t xml:space="preserve"> </w:t>
      </w:r>
      <w:r w:rsidR="001F58AE">
        <w:t>for</w:t>
      </w:r>
      <w:r w:rsidRPr="00992B97">
        <w:t xml:space="preserve"> smoking cessation</w:t>
      </w:r>
      <w:r>
        <w:t xml:space="preserve"> is presented in </w:t>
      </w:r>
      <w:r>
        <w:fldChar w:fldCharType="begin" w:fldLock="1"/>
      </w:r>
      <w:r>
        <w:instrText xml:space="preserve"> REF _Ref53396906 \h </w:instrText>
      </w:r>
      <w:r w:rsidR="00C03581">
        <w:instrText xml:space="preserve"> \* MERGEFORMAT </w:instrText>
      </w:r>
      <w:r>
        <w:fldChar w:fldCharType="separate"/>
      </w:r>
      <w:r w:rsidR="00EC5CC7">
        <w:t xml:space="preserve">Table </w:t>
      </w:r>
      <w:r w:rsidR="00EC5CC7">
        <w:rPr>
          <w:noProof/>
        </w:rPr>
        <w:t>4</w:t>
      </w:r>
      <w:r>
        <w:fldChar w:fldCharType="end"/>
      </w:r>
      <w:r>
        <w:t>.</w:t>
      </w:r>
      <w:r w:rsidR="009648B7">
        <w:t xml:space="preserve"> The evidence </w:t>
      </w:r>
      <w:r w:rsidR="004818D2">
        <w:t>is</w:t>
      </w:r>
      <w:r w:rsidR="009648B7">
        <w:t xml:space="preserve"> presented</w:t>
      </w:r>
      <w:r w:rsidR="004818D2">
        <w:t xml:space="preserve"> </w:t>
      </w:r>
      <w:r w:rsidR="00DB1DC9">
        <w:t>according to</w:t>
      </w:r>
      <w:r w:rsidR="00384FDD">
        <w:t xml:space="preserve"> the population type (treatment-naïve or treatment-experienced) and </w:t>
      </w:r>
      <w:r w:rsidR="00F15232">
        <w:t>in chronological order</w:t>
      </w:r>
      <w:r w:rsidR="00384FDD">
        <w:t xml:space="preserve"> (</w:t>
      </w:r>
      <w:r w:rsidR="001C1408">
        <w:t xml:space="preserve">date </w:t>
      </w:r>
      <w:r w:rsidR="00E54A81">
        <w:t>of listing</w:t>
      </w:r>
      <w:r w:rsidR="001C1408">
        <w:t>).</w:t>
      </w:r>
      <w:r w:rsidR="008C7DED">
        <w:t xml:space="preserve"> </w:t>
      </w:r>
      <w:r w:rsidR="00DC7616">
        <w:t xml:space="preserve">Treatment-naïve was defined as patients who have never been treated before with the </w:t>
      </w:r>
      <w:r w:rsidR="00892CDF">
        <w:t xml:space="preserve">intervention of interest. Treatment-experienced was defined as patients who </w:t>
      </w:r>
      <w:r w:rsidR="00021585">
        <w:t>were previously</w:t>
      </w:r>
      <w:r w:rsidR="00F37FB0">
        <w:t xml:space="preserve"> treated with</w:t>
      </w:r>
      <w:r w:rsidR="00332D2E">
        <w:t xml:space="preserve"> the intervention of interest</w:t>
      </w:r>
      <w:r w:rsidR="00A8532A">
        <w:t xml:space="preserve"> irrespective of </w:t>
      </w:r>
      <w:r w:rsidR="00490A82">
        <w:t>prior treatment duration</w:t>
      </w:r>
      <w:r w:rsidR="00332D2E">
        <w:t>.</w:t>
      </w:r>
      <w:r w:rsidR="00DC7616">
        <w:t xml:space="preserve"> </w:t>
      </w:r>
    </w:p>
    <w:p w14:paraId="17073570" w14:textId="2BA6A93E" w:rsidR="00D4300E" w:rsidRDefault="008C7DED" w:rsidP="00C03581">
      <w:pPr>
        <w:spacing w:after="120"/>
        <w:jc w:val="both"/>
        <w:sectPr w:rsidR="00D4300E" w:rsidSect="006356D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r>
        <w:t>The choice of comparison</w:t>
      </w:r>
      <w:r w:rsidR="00351B1E">
        <w:t xml:space="preserve"> is presented according to the evidence reviewed by the PBAC. For example, varenicline versus bupropion was </w:t>
      </w:r>
      <w:r w:rsidR="000A076C">
        <w:t>previously considered</w:t>
      </w:r>
      <w:r w:rsidR="00351B1E">
        <w:t xml:space="preserve"> in the varenicline submission</w:t>
      </w:r>
      <w:r w:rsidR="0029340B">
        <w:t xml:space="preserve">. As such, </w:t>
      </w:r>
      <w:r w:rsidR="00EF3FB0">
        <w:t xml:space="preserve">this comparison is presented under </w:t>
      </w:r>
      <w:r w:rsidR="00861687">
        <w:t xml:space="preserve">the </w:t>
      </w:r>
      <w:r w:rsidR="00EF3FB0">
        <w:t>varenicline section instead of</w:t>
      </w:r>
      <w:r w:rsidR="009741B4">
        <w:t xml:space="preserve"> the</w:t>
      </w:r>
      <w:r w:rsidR="00EF3FB0">
        <w:t xml:space="preserve"> bupropion section.</w:t>
      </w:r>
      <w:r w:rsidR="00325534">
        <w:t xml:space="preserve"> </w:t>
      </w:r>
      <w:r w:rsidR="00293D23">
        <w:t>If the comparison was considered more than once</w:t>
      </w:r>
      <w:r w:rsidR="00A06372">
        <w:t xml:space="preserve"> (</w:t>
      </w:r>
      <w:r w:rsidR="008260A0">
        <w:t>e.g.,</w:t>
      </w:r>
      <w:r w:rsidR="00A06372">
        <w:t xml:space="preserve"> bupropion versus NRT)</w:t>
      </w:r>
      <w:r w:rsidR="00A35A9E">
        <w:t xml:space="preserve">, </w:t>
      </w:r>
      <w:r w:rsidR="00A935D4">
        <w:t xml:space="preserve">the </w:t>
      </w:r>
      <w:r w:rsidR="000324C8">
        <w:t xml:space="preserve">comparison with the earliest date </w:t>
      </w:r>
      <w:r w:rsidR="00272312">
        <w:t>wa</w:t>
      </w:r>
      <w:r w:rsidR="000324C8">
        <w:t>s selected as the base case</w:t>
      </w:r>
      <w:r w:rsidR="00FF1842">
        <w:t xml:space="preserve"> and </w:t>
      </w:r>
      <w:r w:rsidR="00033187">
        <w:t xml:space="preserve">the </w:t>
      </w:r>
      <w:r w:rsidR="00F84183" w:rsidRPr="00F84183">
        <w:t>additional</w:t>
      </w:r>
      <w:r w:rsidR="00033187">
        <w:t xml:space="preserve"> evidence </w:t>
      </w:r>
      <w:r w:rsidR="00F84183" w:rsidRPr="00F84183">
        <w:t xml:space="preserve">presented at a later date </w:t>
      </w:r>
      <w:r w:rsidR="00033187">
        <w:t xml:space="preserve">was checked to ensure </w:t>
      </w:r>
      <w:r w:rsidR="00036ABB">
        <w:t xml:space="preserve">that </w:t>
      </w:r>
      <w:r w:rsidR="00C32448">
        <w:t>the</w:t>
      </w:r>
      <w:r w:rsidR="000A076C">
        <w:t xml:space="preserve"> additional</w:t>
      </w:r>
      <w:r w:rsidR="00C32448">
        <w:t xml:space="preserve"> studies</w:t>
      </w:r>
      <w:r w:rsidR="00647911">
        <w:t xml:space="preserve"> w</w:t>
      </w:r>
      <w:r w:rsidR="00D870B7">
        <w:t>ere</w:t>
      </w:r>
      <w:r w:rsidR="00647911">
        <w:t xml:space="preserve"> included.</w:t>
      </w:r>
    </w:p>
    <w:p w14:paraId="626E6E40" w14:textId="125D17E4" w:rsidR="00722F16" w:rsidRDefault="00722F16" w:rsidP="009741B4">
      <w:pPr>
        <w:pStyle w:val="Caption"/>
        <w:keepNext/>
        <w:spacing w:before="0" w:after="120"/>
        <w:jc w:val="both"/>
      </w:pPr>
      <w:bookmarkStart w:id="35" w:name="_Ref53396906"/>
      <w:r>
        <w:lastRenderedPageBreak/>
        <w:t xml:space="preserve">Table </w:t>
      </w:r>
      <w:r>
        <w:fldChar w:fldCharType="begin"/>
      </w:r>
      <w:r>
        <w:instrText>SEQ Table \* ARABIC</w:instrText>
      </w:r>
      <w:r>
        <w:fldChar w:fldCharType="separate"/>
      </w:r>
      <w:r w:rsidR="00EC5CC7">
        <w:rPr>
          <w:noProof/>
        </w:rPr>
        <w:t>4</w:t>
      </w:r>
      <w:r>
        <w:fldChar w:fldCharType="end"/>
      </w:r>
      <w:bookmarkEnd w:id="35"/>
      <w:r>
        <w:t>: New evidence identified comparing monotherapy intervention</w:t>
      </w:r>
      <w:r w:rsidR="00B470A7">
        <w:t>s</w:t>
      </w:r>
      <w:r>
        <w:t xml:space="preserve"> </w:t>
      </w:r>
      <w:r w:rsidR="006E681E">
        <w:t>for</w:t>
      </w:r>
      <w:r>
        <w:t xml:space="preserve"> smoking cessation</w:t>
      </w:r>
    </w:p>
    <w:tbl>
      <w:tblPr>
        <w:tblStyle w:val="TableGrid"/>
        <w:tblW w:w="5000" w:type="pct"/>
        <w:tblLook w:val="04A0" w:firstRow="1" w:lastRow="0" w:firstColumn="1" w:lastColumn="0" w:noHBand="0" w:noVBand="1"/>
      </w:tblPr>
      <w:tblGrid>
        <w:gridCol w:w="1501"/>
        <w:gridCol w:w="2650"/>
        <w:gridCol w:w="4776"/>
        <w:gridCol w:w="2268"/>
        <w:gridCol w:w="2753"/>
      </w:tblGrid>
      <w:tr w:rsidR="00482CC0" w14:paraId="75D0A737" w14:textId="6D6AE6DD" w:rsidTr="009741B4">
        <w:trPr>
          <w:trHeight w:val="697"/>
          <w:tblHeader/>
        </w:trPr>
        <w:tc>
          <w:tcPr>
            <w:tcW w:w="538" w:type="pct"/>
            <w:tcBorders>
              <w:tl2br w:val="nil"/>
            </w:tcBorders>
            <w:shd w:val="clear" w:color="auto" w:fill="BFBFBF" w:themeFill="background1" w:themeFillShade="BF"/>
          </w:tcPr>
          <w:p w14:paraId="133880F0" w14:textId="77777777" w:rsidR="00D4300E" w:rsidRDefault="00D4300E" w:rsidP="00BB4AB9">
            <w:pPr>
              <w:pStyle w:val="Tableheading"/>
            </w:pPr>
            <w:r>
              <w:t>Intervention</w:t>
            </w:r>
          </w:p>
          <w:p w14:paraId="3DBDCD83" w14:textId="7F76B286" w:rsidR="00D4300E" w:rsidRDefault="00D4300E" w:rsidP="00BB4AB9">
            <w:pPr>
              <w:pStyle w:val="Tableheading"/>
            </w:pPr>
            <w:r>
              <w:t>(Date of listing)</w:t>
            </w:r>
          </w:p>
        </w:tc>
        <w:tc>
          <w:tcPr>
            <w:tcW w:w="950" w:type="pct"/>
            <w:shd w:val="clear" w:color="auto" w:fill="BFBFBF" w:themeFill="background1" w:themeFillShade="BF"/>
          </w:tcPr>
          <w:p w14:paraId="2FB624C1" w14:textId="0E616F58" w:rsidR="00D4300E" w:rsidRDefault="00D4300E" w:rsidP="00BB4AB9">
            <w:pPr>
              <w:pStyle w:val="Tableheading"/>
              <w:jc w:val="center"/>
            </w:pPr>
            <w:r>
              <w:t>Intervention and comparator</w:t>
            </w:r>
          </w:p>
        </w:tc>
        <w:tc>
          <w:tcPr>
            <w:tcW w:w="1712" w:type="pct"/>
            <w:shd w:val="clear" w:color="auto" w:fill="BFBFBF" w:themeFill="background1" w:themeFillShade="BF"/>
          </w:tcPr>
          <w:p w14:paraId="79ACD0BC" w14:textId="3F11A986" w:rsidR="00D4300E" w:rsidRDefault="00D4300E" w:rsidP="00BB4AB9">
            <w:pPr>
              <w:pStyle w:val="Tableheading"/>
              <w:jc w:val="center"/>
            </w:pPr>
            <w:r>
              <w:t>Evidence seen by the PBAC</w:t>
            </w:r>
          </w:p>
        </w:tc>
        <w:tc>
          <w:tcPr>
            <w:tcW w:w="813" w:type="pct"/>
            <w:shd w:val="clear" w:color="auto" w:fill="BFBFBF" w:themeFill="background1" w:themeFillShade="BF"/>
          </w:tcPr>
          <w:p w14:paraId="2108F9F9" w14:textId="77777777" w:rsidR="00D4300E" w:rsidRDefault="00D4300E" w:rsidP="00BB4AB9">
            <w:pPr>
              <w:pStyle w:val="Tableheading"/>
              <w:jc w:val="center"/>
            </w:pPr>
            <w:r>
              <w:t>New evidence identified</w:t>
            </w:r>
          </w:p>
          <w:p w14:paraId="22DF36D4" w14:textId="302B089F" w:rsidR="00D4300E" w:rsidRDefault="00D4300E" w:rsidP="00BB4AB9">
            <w:pPr>
              <w:pStyle w:val="Tableheading"/>
              <w:jc w:val="center"/>
            </w:pPr>
            <w:r>
              <w:t>(Cochrane Review)</w:t>
            </w:r>
          </w:p>
        </w:tc>
        <w:tc>
          <w:tcPr>
            <w:tcW w:w="987" w:type="pct"/>
            <w:shd w:val="clear" w:color="auto" w:fill="BFBFBF" w:themeFill="background1" w:themeFillShade="BF"/>
          </w:tcPr>
          <w:p w14:paraId="392790EA" w14:textId="741E99C7" w:rsidR="00D4300E" w:rsidRDefault="00482CC0" w:rsidP="00BB4AB9">
            <w:pPr>
              <w:pStyle w:val="Tableheading"/>
              <w:jc w:val="center"/>
            </w:pPr>
            <w:r w:rsidRPr="00482CC0">
              <w:t>Additional empirical evidence identified</w:t>
            </w:r>
          </w:p>
        </w:tc>
      </w:tr>
      <w:tr w:rsidR="00D4300E" w14:paraId="5745EE2B" w14:textId="2A4F6151" w:rsidTr="009741B4">
        <w:tc>
          <w:tcPr>
            <w:tcW w:w="5000" w:type="pct"/>
            <w:gridSpan w:val="5"/>
            <w:shd w:val="clear" w:color="auto" w:fill="auto"/>
          </w:tcPr>
          <w:p w14:paraId="42552429" w14:textId="7C5CD8F7" w:rsidR="00D4300E" w:rsidRDefault="00D4300E" w:rsidP="00BB4AB9">
            <w:pPr>
              <w:pStyle w:val="Tablewriting"/>
              <w:rPr>
                <w:b/>
              </w:rPr>
            </w:pPr>
            <w:r>
              <w:rPr>
                <w:b/>
                <w:bCs/>
              </w:rPr>
              <w:t>Treatment-naïve population</w:t>
            </w:r>
          </w:p>
        </w:tc>
      </w:tr>
      <w:tr w:rsidR="00482CC0" w14:paraId="6CF2CF91" w14:textId="2078131D" w:rsidTr="00DA4D1E">
        <w:tc>
          <w:tcPr>
            <w:tcW w:w="538" w:type="pct"/>
            <w:vMerge w:val="restart"/>
          </w:tcPr>
          <w:p w14:paraId="60ABF0F9" w14:textId="77777777" w:rsidR="00D4300E" w:rsidRDefault="00D4300E" w:rsidP="00BB4AB9">
            <w:pPr>
              <w:pStyle w:val="Tablewriting"/>
              <w:rPr>
                <w:b/>
                <w:bCs/>
              </w:rPr>
            </w:pPr>
            <w:r w:rsidRPr="00512781">
              <w:rPr>
                <w:b/>
                <w:bCs/>
              </w:rPr>
              <w:t>Bupropion</w:t>
            </w:r>
          </w:p>
          <w:p w14:paraId="3F48745F" w14:textId="74B49D58" w:rsidR="00D4300E" w:rsidRPr="00512781" w:rsidRDefault="00D4300E" w:rsidP="00BB4AB9">
            <w:pPr>
              <w:pStyle w:val="Tablewriting"/>
              <w:rPr>
                <w:b/>
                <w:bCs/>
              </w:rPr>
            </w:pPr>
            <w:r>
              <w:rPr>
                <w:b/>
                <w:bCs/>
              </w:rPr>
              <w:t>(1 Feb 2001)</w:t>
            </w:r>
          </w:p>
        </w:tc>
        <w:tc>
          <w:tcPr>
            <w:tcW w:w="950" w:type="pct"/>
          </w:tcPr>
          <w:p w14:paraId="78DF5F27" w14:textId="02CE68AD" w:rsidR="00D4300E" w:rsidRDefault="00D4300E" w:rsidP="00BB4AB9">
            <w:pPr>
              <w:pStyle w:val="Tablewriting"/>
            </w:pPr>
            <w:r>
              <w:t>Bupropion versus placebo</w:t>
            </w:r>
          </w:p>
        </w:tc>
        <w:tc>
          <w:tcPr>
            <w:tcW w:w="1712" w:type="pct"/>
            <w:shd w:val="clear" w:color="auto" w:fill="000000" w:themeFill="text1"/>
          </w:tcPr>
          <w:p w14:paraId="2C5250CF" w14:textId="432EC8E9" w:rsidR="00D4300E" w:rsidRPr="00DA4D1E" w:rsidRDefault="00DA4D1E" w:rsidP="00BB4AB9">
            <w:pPr>
              <w:pStyle w:val="Tablewriting"/>
            </w:pPr>
            <w:r w:rsidRPr="00BF3F75">
              <w:rPr>
                <w:color w:val="000000"/>
                <w:w w:val="70"/>
                <w:highlight w:val="black"/>
                <w:shd w:val="clear" w:color="auto" w:fill="C0C0C1"/>
                <w:fitText w:val="1941" w:id="-1402786816"/>
                <w14:textFill>
                  <w14:solidFill>
                    <w14:srgbClr w14:val="000000">
                      <w14:alpha w14:val="100000"/>
                    </w14:srgbClr>
                  </w14:solidFill>
                </w14:textFill>
              </w:rPr>
              <w:t>|||||||||||||||||||||||||||||</w:t>
            </w:r>
            <w:r w:rsidRPr="00BF3F75">
              <w:rPr>
                <w:color w:val="000000"/>
                <w:spacing w:val="21"/>
                <w:w w:val="70"/>
                <w:highlight w:val="black"/>
                <w:shd w:val="clear" w:color="auto" w:fill="C0C0C1"/>
                <w:fitText w:val="1941" w:id="-1402786816"/>
                <w14:textFill>
                  <w14:solidFill>
                    <w14:srgbClr w14:val="000000">
                      <w14:alpha w14:val="100000"/>
                    </w14:srgbClr>
                  </w14:solidFill>
                </w14:textFill>
              </w:rPr>
              <w:t>|</w:t>
            </w:r>
          </w:p>
        </w:tc>
        <w:tc>
          <w:tcPr>
            <w:tcW w:w="813" w:type="pct"/>
          </w:tcPr>
          <w:p w14:paraId="0C0B3C5E" w14:textId="2D15DEB9" w:rsidR="00D4300E" w:rsidRDefault="00D4300E" w:rsidP="00BB4AB9">
            <w:pPr>
              <w:pStyle w:val="Tablewriting"/>
            </w:pPr>
            <w:r>
              <w:t>Howes 2020</w:t>
            </w:r>
          </w:p>
        </w:tc>
        <w:tc>
          <w:tcPr>
            <w:tcW w:w="987" w:type="pct"/>
          </w:tcPr>
          <w:p w14:paraId="39820E5C" w14:textId="4DC8DA2B" w:rsidR="00D4300E" w:rsidRDefault="00DF2BCF" w:rsidP="00BB4AB9">
            <w:pPr>
              <w:pStyle w:val="Tablewriting"/>
            </w:pPr>
            <w:r w:rsidRPr="001E6534">
              <w:t>Benowitz</w:t>
            </w:r>
            <w:r>
              <w:t xml:space="preserve"> 2018</w:t>
            </w:r>
          </w:p>
        </w:tc>
      </w:tr>
      <w:tr w:rsidR="00482CC0" w14:paraId="6A9FB667" w14:textId="1ED8ACAC" w:rsidTr="009741B4">
        <w:tc>
          <w:tcPr>
            <w:tcW w:w="538" w:type="pct"/>
            <w:vMerge/>
          </w:tcPr>
          <w:p w14:paraId="5DEAA47D" w14:textId="77777777" w:rsidR="00D4300E" w:rsidRPr="00512781" w:rsidRDefault="00D4300E" w:rsidP="00BB4AB9">
            <w:pPr>
              <w:pStyle w:val="Tablewriting"/>
              <w:rPr>
                <w:b/>
                <w:bCs/>
              </w:rPr>
            </w:pPr>
          </w:p>
        </w:tc>
        <w:tc>
          <w:tcPr>
            <w:tcW w:w="950" w:type="pct"/>
          </w:tcPr>
          <w:p w14:paraId="0DB527FB" w14:textId="719D00D7" w:rsidR="00D4300E" w:rsidRDefault="00D4300E" w:rsidP="00BB4AB9">
            <w:pPr>
              <w:pStyle w:val="Tablewriting"/>
            </w:pPr>
            <w:r>
              <w:t>Bupropion versus NRT</w:t>
            </w:r>
          </w:p>
        </w:tc>
        <w:tc>
          <w:tcPr>
            <w:tcW w:w="1712" w:type="pct"/>
          </w:tcPr>
          <w:p w14:paraId="79CB701E" w14:textId="539BA562" w:rsidR="00D4300E" w:rsidRDefault="00D4300E" w:rsidP="00BB4AB9">
            <w:pPr>
              <w:pStyle w:val="Tablewriting"/>
            </w:pPr>
            <w:r>
              <w:t xml:space="preserve">Jorenby 1999, </w:t>
            </w:r>
            <w:r w:rsidRPr="001C5576">
              <w:t>Gorecka 2003, Uyar 2007, Piper 2009</w:t>
            </w:r>
          </w:p>
        </w:tc>
        <w:tc>
          <w:tcPr>
            <w:tcW w:w="813" w:type="pct"/>
          </w:tcPr>
          <w:p w14:paraId="0C9927FC" w14:textId="6C6F4226" w:rsidR="00D4300E" w:rsidRDefault="00D4300E" w:rsidP="00BB4AB9">
            <w:pPr>
              <w:pStyle w:val="Tablewriting"/>
            </w:pPr>
            <w:r>
              <w:t>Howes 2020</w:t>
            </w:r>
          </w:p>
        </w:tc>
        <w:tc>
          <w:tcPr>
            <w:tcW w:w="987" w:type="pct"/>
          </w:tcPr>
          <w:p w14:paraId="7964FAD4" w14:textId="5365E151" w:rsidR="00D4300E" w:rsidRDefault="00DF2BCF" w:rsidP="00BB4AB9">
            <w:pPr>
              <w:pStyle w:val="Tablewriting"/>
            </w:pPr>
            <w:r w:rsidRPr="001E6534">
              <w:t>Benowitz</w:t>
            </w:r>
            <w:r>
              <w:t xml:space="preserve"> 2018</w:t>
            </w:r>
          </w:p>
        </w:tc>
      </w:tr>
      <w:tr w:rsidR="00482CC0" w14:paraId="3ABE0716" w14:textId="2D737675" w:rsidTr="009741B4">
        <w:trPr>
          <w:trHeight w:val="333"/>
        </w:trPr>
        <w:tc>
          <w:tcPr>
            <w:tcW w:w="538" w:type="pct"/>
            <w:vMerge w:val="restart"/>
          </w:tcPr>
          <w:p w14:paraId="3A11DA9F" w14:textId="6266AB86" w:rsidR="00D4300E" w:rsidRDefault="00D4300E" w:rsidP="00BB4AB9">
            <w:pPr>
              <w:pStyle w:val="Tablewriting"/>
              <w:rPr>
                <w:b/>
                <w:bCs/>
              </w:rPr>
            </w:pPr>
            <w:r w:rsidRPr="00512781">
              <w:rPr>
                <w:b/>
                <w:bCs/>
              </w:rPr>
              <w:t>Varenicline</w:t>
            </w:r>
          </w:p>
          <w:p w14:paraId="59FCE3CC" w14:textId="03C8F5B8" w:rsidR="00D4300E" w:rsidRPr="00512781" w:rsidRDefault="00D4300E" w:rsidP="00BB4AB9">
            <w:pPr>
              <w:pStyle w:val="Tablewriting"/>
              <w:rPr>
                <w:b/>
                <w:bCs/>
              </w:rPr>
            </w:pPr>
            <w:r>
              <w:rPr>
                <w:b/>
                <w:bCs/>
              </w:rPr>
              <w:t>(1 Jan 2008)</w:t>
            </w:r>
          </w:p>
        </w:tc>
        <w:tc>
          <w:tcPr>
            <w:tcW w:w="950" w:type="pct"/>
          </w:tcPr>
          <w:p w14:paraId="792CEE16" w14:textId="1DBCE6B0" w:rsidR="00D4300E" w:rsidRDefault="00D4300E" w:rsidP="00BB4AB9">
            <w:pPr>
              <w:pStyle w:val="Tablewriting"/>
            </w:pPr>
            <w:r>
              <w:t>Varenicline versus placebo</w:t>
            </w:r>
          </w:p>
        </w:tc>
        <w:tc>
          <w:tcPr>
            <w:tcW w:w="1712" w:type="pct"/>
          </w:tcPr>
          <w:p w14:paraId="4BB6B156" w14:textId="535A9710" w:rsidR="00D4300E" w:rsidRDefault="00D4300E" w:rsidP="00BB4AB9">
            <w:pPr>
              <w:pStyle w:val="Tablewriting"/>
            </w:pPr>
            <w:r>
              <w:t>Anthenelli 2016</w:t>
            </w:r>
          </w:p>
        </w:tc>
        <w:tc>
          <w:tcPr>
            <w:tcW w:w="813" w:type="pct"/>
          </w:tcPr>
          <w:p w14:paraId="74942D1C" w14:textId="1B92516A" w:rsidR="00D4300E" w:rsidRDefault="00D4300E" w:rsidP="00BB4AB9">
            <w:pPr>
              <w:pStyle w:val="Tablewriting"/>
            </w:pPr>
            <w:r>
              <w:t>Cahill 2016</w:t>
            </w:r>
          </w:p>
        </w:tc>
        <w:tc>
          <w:tcPr>
            <w:tcW w:w="987" w:type="pct"/>
          </w:tcPr>
          <w:p w14:paraId="41942F69" w14:textId="50CFC86E" w:rsidR="00D4300E" w:rsidRDefault="00260084" w:rsidP="00BB4AB9">
            <w:pPr>
              <w:pStyle w:val="Tablewriting"/>
            </w:pPr>
            <w:r>
              <w:t>Lerman 2015</w:t>
            </w:r>
            <w:r w:rsidR="009D2EDE">
              <w:t xml:space="preserve">, </w:t>
            </w:r>
            <w:r w:rsidR="00F30063">
              <w:t xml:space="preserve">Littlewood 2017, </w:t>
            </w:r>
            <w:r w:rsidR="008C02FE">
              <w:t xml:space="preserve">Benowitz 2018, </w:t>
            </w:r>
            <w:r w:rsidR="009D2EDE">
              <w:t xml:space="preserve">Hurt 2018, </w:t>
            </w:r>
            <w:r w:rsidR="00DF2BCF">
              <w:t>Mercie 2018,</w:t>
            </w:r>
            <w:r w:rsidR="009D2EDE">
              <w:t xml:space="preserve"> Windle 201</w:t>
            </w:r>
            <w:r w:rsidR="00122F46">
              <w:t>8</w:t>
            </w:r>
            <w:r w:rsidR="009D2EDE">
              <w:t>, Ashare 2019, Chen 2020</w:t>
            </w:r>
          </w:p>
        </w:tc>
      </w:tr>
      <w:tr w:rsidR="00482CC0" w14:paraId="6961335B" w14:textId="644FDA93" w:rsidTr="009741B4">
        <w:trPr>
          <w:trHeight w:val="70"/>
        </w:trPr>
        <w:tc>
          <w:tcPr>
            <w:tcW w:w="538" w:type="pct"/>
            <w:vMerge/>
          </w:tcPr>
          <w:p w14:paraId="37C4C989" w14:textId="77777777" w:rsidR="00D4300E" w:rsidRPr="00512781" w:rsidRDefault="00D4300E" w:rsidP="00BB4AB9">
            <w:pPr>
              <w:pStyle w:val="Tablewriting"/>
              <w:rPr>
                <w:b/>
                <w:bCs/>
              </w:rPr>
            </w:pPr>
          </w:p>
        </w:tc>
        <w:tc>
          <w:tcPr>
            <w:tcW w:w="950" w:type="pct"/>
          </w:tcPr>
          <w:p w14:paraId="13745754" w14:textId="57C1E802" w:rsidR="00D4300E" w:rsidRDefault="00D4300E" w:rsidP="00BB4AB9">
            <w:pPr>
              <w:pStyle w:val="Tablewriting"/>
            </w:pPr>
            <w:r>
              <w:t>Varenicline versus bupropion</w:t>
            </w:r>
          </w:p>
        </w:tc>
        <w:tc>
          <w:tcPr>
            <w:tcW w:w="1712" w:type="pct"/>
          </w:tcPr>
          <w:p w14:paraId="7146DAB9" w14:textId="3DE3A9E5" w:rsidR="00D4300E" w:rsidRDefault="00D4300E" w:rsidP="00BB4AB9">
            <w:pPr>
              <w:pStyle w:val="Tablewriting"/>
            </w:pPr>
            <w:r>
              <w:t>Gonzales 2006, Jorenby 2006,</w:t>
            </w:r>
            <w:r w:rsidR="001C1E15">
              <w:t xml:space="preserve"> </w:t>
            </w:r>
            <w:r>
              <w:t>Anthenelli 2016</w:t>
            </w:r>
          </w:p>
        </w:tc>
        <w:tc>
          <w:tcPr>
            <w:tcW w:w="813" w:type="pct"/>
          </w:tcPr>
          <w:p w14:paraId="4641E7AA" w14:textId="6FCB3C66" w:rsidR="00D4300E" w:rsidRDefault="00D4300E" w:rsidP="00BB4AB9">
            <w:pPr>
              <w:pStyle w:val="Tablewriting"/>
            </w:pPr>
            <w:r>
              <w:t>Howes 2020</w:t>
            </w:r>
          </w:p>
        </w:tc>
        <w:tc>
          <w:tcPr>
            <w:tcW w:w="987" w:type="pct"/>
          </w:tcPr>
          <w:p w14:paraId="668123F3" w14:textId="66D2E09F" w:rsidR="00D4300E" w:rsidRDefault="00DF2BCF" w:rsidP="00BB4AB9">
            <w:pPr>
              <w:pStyle w:val="Tablewriting"/>
            </w:pPr>
            <w:r w:rsidRPr="001E6534">
              <w:t>Benowitz</w:t>
            </w:r>
            <w:r>
              <w:t xml:space="preserve"> 2018</w:t>
            </w:r>
          </w:p>
        </w:tc>
      </w:tr>
      <w:tr w:rsidR="00482CC0" w14:paraId="75D9EBB7" w14:textId="514EE908" w:rsidTr="009741B4">
        <w:tc>
          <w:tcPr>
            <w:tcW w:w="538" w:type="pct"/>
            <w:vMerge w:val="restart"/>
          </w:tcPr>
          <w:p w14:paraId="4ACFDCFE" w14:textId="2A13023E" w:rsidR="00D4300E" w:rsidRPr="00362CFE" w:rsidRDefault="00D4300E" w:rsidP="00BB4AB9">
            <w:pPr>
              <w:pStyle w:val="Tablewriting"/>
              <w:rPr>
                <w:b/>
                <w:bCs/>
                <w:vertAlign w:val="superscript"/>
              </w:rPr>
            </w:pPr>
            <w:r w:rsidRPr="00512781">
              <w:rPr>
                <w:b/>
                <w:bCs/>
              </w:rPr>
              <w:t>NRT patch</w:t>
            </w:r>
            <w:r>
              <w:rPr>
                <w:b/>
                <w:bCs/>
                <w:vertAlign w:val="superscript"/>
              </w:rPr>
              <w:t>1</w:t>
            </w:r>
          </w:p>
          <w:p w14:paraId="2EC2BA7D" w14:textId="0CDDE14C" w:rsidR="00D4300E" w:rsidRDefault="00D4300E" w:rsidP="00BB4AB9">
            <w:pPr>
              <w:pStyle w:val="Tablewriting"/>
              <w:rPr>
                <w:b/>
                <w:bCs/>
              </w:rPr>
            </w:pPr>
            <w:r>
              <w:rPr>
                <w:b/>
                <w:bCs/>
              </w:rPr>
              <w:t>(1 Dec 2008</w:t>
            </w:r>
            <w:r w:rsidR="009E2F90">
              <w:rPr>
                <w:b/>
                <w:bCs/>
                <w:vertAlign w:val="superscript"/>
              </w:rPr>
              <w:t>2</w:t>
            </w:r>
            <w:r>
              <w:rPr>
                <w:b/>
                <w:bCs/>
              </w:rPr>
              <w:t>/</w:t>
            </w:r>
          </w:p>
          <w:p w14:paraId="76266CBC" w14:textId="3718C77F" w:rsidR="00D4300E" w:rsidRPr="00B97ECE" w:rsidRDefault="00D4300E" w:rsidP="00BB4AB9">
            <w:pPr>
              <w:pStyle w:val="Tablewriting"/>
              <w:rPr>
                <w:b/>
                <w:vertAlign w:val="superscript"/>
              </w:rPr>
            </w:pPr>
            <w:r>
              <w:rPr>
                <w:b/>
                <w:bCs/>
              </w:rPr>
              <w:t>1 Feb 2011</w:t>
            </w:r>
            <w:r w:rsidR="009E2F90">
              <w:rPr>
                <w:b/>
                <w:bCs/>
                <w:vertAlign w:val="superscript"/>
              </w:rPr>
              <w:t>3</w:t>
            </w:r>
            <w:r>
              <w:rPr>
                <w:b/>
                <w:bCs/>
              </w:rPr>
              <w:t>)</w:t>
            </w:r>
          </w:p>
        </w:tc>
        <w:tc>
          <w:tcPr>
            <w:tcW w:w="950" w:type="pct"/>
            <w:vMerge w:val="restart"/>
          </w:tcPr>
          <w:p w14:paraId="0E3E0E1F" w14:textId="61A5E15F" w:rsidR="00D4300E" w:rsidRDefault="00D4300E" w:rsidP="00BB4AB9">
            <w:pPr>
              <w:pStyle w:val="Tablewriting"/>
            </w:pPr>
            <w:r>
              <w:t>NRT versus placebo</w:t>
            </w:r>
          </w:p>
        </w:tc>
        <w:tc>
          <w:tcPr>
            <w:tcW w:w="1712" w:type="pct"/>
          </w:tcPr>
          <w:p w14:paraId="7DB07733" w14:textId="4A147342" w:rsidR="00D4300E" w:rsidRPr="00482CC0" w:rsidRDefault="00DA4D1E" w:rsidP="00BB4AB9">
            <w:pPr>
              <w:pStyle w:val="Tablewriting"/>
              <w:rPr>
                <w:u w:val="single"/>
              </w:rPr>
            </w:pPr>
            <w:r w:rsidRPr="00BF3F75">
              <w:rPr>
                <w:color w:val="000000"/>
                <w:spacing w:val="1"/>
                <w:w w:val="67"/>
                <w:u w:val="single"/>
                <w:shd w:val="solid" w:color="000000" w:fill="000000"/>
                <w:fitText w:val="4220" w:id="-1402786560"/>
                <w14:textFill>
                  <w14:solidFill>
                    <w14:srgbClr w14:val="000000">
                      <w14:alpha w14:val="100000"/>
                    </w14:srgbClr>
                  </w14:solidFill>
                </w14:textFill>
              </w:rPr>
              <w:t>|||||||||||||||||||||||||||||||||||||||||||||||||||||||||||||||||||</w:t>
            </w:r>
            <w:r w:rsidRPr="00BF3F75">
              <w:rPr>
                <w:color w:val="000000"/>
                <w:spacing w:val="5"/>
                <w:w w:val="67"/>
                <w:u w:val="single"/>
                <w:shd w:val="solid" w:color="000000" w:fill="000000"/>
                <w:fitText w:val="4220" w:id="-1402786560"/>
                <w14:textFill>
                  <w14:solidFill>
                    <w14:srgbClr w14:val="000000">
                      <w14:alpha w14:val="100000"/>
                    </w14:srgbClr>
                  </w14:solidFill>
                </w14:textFill>
              </w:rPr>
              <w:t>|</w:t>
            </w:r>
            <w:r>
              <w:rPr>
                <w:highlight w:val="red"/>
                <w:u w:val="single"/>
                <w:shd w:val="clear" w:color="auto" w:fill="C0C0C1"/>
              </w:rPr>
              <w:t xml:space="preserve"> </w:t>
            </w:r>
            <w:r w:rsidRPr="00BF3F75">
              <w:rPr>
                <w:color w:val="000000"/>
                <w:w w:val="68"/>
                <w:u w:val="single"/>
                <w:shd w:val="solid" w:color="000000" w:fill="000000"/>
                <w:fitText w:val="3390" w:id="-1402786559"/>
                <w14:textFill>
                  <w14:solidFill>
                    <w14:srgbClr w14:val="000000">
                      <w14:alpha w14:val="100000"/>
                    </w14:srgbClr>
                  </w14:solidFill>
                </w14:textFill>
              </w:rPr>
              <w:t>|||||||||||||||||||||||||||||||||||||||||||||||||||||</w:t>
            </w:r>
            <w:r w:rsidRPr="00BF3F75">
              <w:rPr>
                <w:color w:val="000000"/>
                <w:spacing w:val="42"/>
                <w:w w:val="68"/>
                <w:u w:val="single"/>
                <w:shd w:val="solid" w:color="000000" w:fill="000000"/>
                <w:fitText w:val="3390" w:id="-1402786559"/>
                <w14:textFill>
                  <w14:solidFill>
                    <w14:srgbClr w14:val="000000">
                      <w14:alpha w14:val="100000"/>
                    </w14:srgbClr>
                  </w14:solidFill>
                </w14:textFill>
              </w:rPr>
              <w:t>|</w:t>
            </w:r>
          </w:p>
        </w:tc>
        <w:tc>
          <w:tcPr>
            <w:tcW w:w="813" w:type="pct"/>
            <w:vMerge w:val="restart"/>
          </w:tcPr>
          <w:p w14:paraId="7C70E98D" w14:textId="2596CDBD" w:rsidR="00D4300E" w:rsidRDefault="00D4300E" w:rsidP="00BB4AB9">
            <w:pPr>
              <w:pStyle w:val="Tablewriting"/>
            </w:pPr>
            <w:r>
              <w:t>Hartmann-Boyce 2018</w:t>
            </w:r>
          </w:p>
        </w:tc>
        <w:tc>
          <w:tcPr>
            <w:tcW w:w="987" w:type="pct"/>
            <w:vMerge w:val="restart"/>
          </w:tcPr>
          <w:p w14:paraId="5B4EA89A" w14:textId="4A9736FD" w:rsidR="00D4300E" w:rsidRDefault="00FD1419" w:rsidP="00BB4AB9">
            <w:pPr>
              <w:pStyle w:val="Tablewriting"/>
            </w:pPr>
            <w:r w:rsidRPr="001E6534">
              <w:t>Benowitz</w:t>
            </w:r>
            <w:r>
              <w:t xml:space="preserve"> 2018, </w:t>
            </w:r>
            <w:r w:rsidR="00E017A9">
              <w:t>Shiffman 2020 (</w:t>
            </w:r>
            <w:r w:rsidR="00444B21">
              <w:t>gum)</w:t>
            </w:r>
            <w:r w:rsidR="00E017A9">
              <w:t>, Xiao 2020</w:t>
            </w:r>
            <w:r w:rsidR="00444B21">
              <w:t xml:space="preserve"> (lozenge)</w:t>
            </w:r>
          </w:p>
        </w:tc>
      </w:tr>
      <w:tr w:rsidR="00482CC0" w14:paraId="0BBC0FDA" w14:textId="7BA2B3AA" w:rsidTr="009741B4">
        <w:tc>
          <w:tcPr>
            <w:tcW w:w="538" w:type="pct"/>
            <w:vMerge/>
          </w:tcPr>
          <w:p w14:paraId="7B141273" w14:textId="77777777" w:rsidR="00D4300E" w:rsidRPr="00512781" w:rsidRDefault="00D4300E" w:rsidP="00BB4AB9">
            <w:pPr>
              <w:pStyle w:val="Tablewriting"/>
              <w:rPr>
                <w:b/>
                <w:bCs/>
              </w:rPr>
            </w:pPr>
          </w:p>
        </w:tc>
        <w:tc>
          <w:tcPr>
            <w:tcW w:w="950" w:type="pct"/>
            <w:vMerge/>
          </w:tcPr>
          <w:p w14:paraId="4C14CFCB" w14:textId="77777777" w:rsidR="00D4300E" w:rsidRDefault="00D4300E" w:rsidP="00BB4AB9">
            <w:pPr>
              <w:pStyle w:val="Tablewriting"/>
            </w:pPr>
          </w:p>
        </w:tc>
        <w:tc>
          <w:tcPr>
            <w:tcW w:w="1712" w:type="pct"/>
          </w:tcPr>
          <w:p w14:paraId="55748F10" w14:textId="71114C28" w:rsidR="00D4300E" w:rsidRDefault="00D4300E" w:rsidP="00BB4AB9">
            <w:pPr>
              <w:pStyle w:val="Tablewriting"/>
            </w:pPr>
            <w:r>
              <w:t xml:space="preserve">Stead 2008, </w:t>
            </w:r>
            <w:r w:rsidR="00DA4D1E" w:rsidRPr="00CC424B">
              <w:rPr>
                <w:color w:val="000000"/>
                <w:w w:val="69"/>
                <w:shd w:val="solid" w:color="000000" w:fill="000000"/>
                <w:fitText w:val="1148" w:id="-1402786558"/>
                <w14:textFill>
                  <w14:solidFill>
                    <w14:srgbClr w14:val="000000">
                      <w14:alpha w14:val="100000"/>
                    </w14:srgbClr>
                  </w14:solidFill>
                </w14:textFill>
              </w:rPr>
              <w:t>|||||||||||||||||</w:t>
            </w:r>
            <w:r w:rsidR="00DA4D1E" w:rsidRPr="00CC424B">
              <w:rPr>
                <w:color w:val="000000"/>
                <w:spacing w:val="14"/>
                <w:w w:val="69"/>
                <w:shd w:val="solid" w:color="000000" w:fill="000000"/>
                <w:fitText w:val="1148" w:id="-1402786558"/>
                <w14:textFill>
                  <w14:solidFill>
                    <w14:srgbClr w14:val="000000">
                      <w14:alpha w14:val="100000"/>
                    </w14:srgbClr>
                  </w14:solidFill>
                </w14:textFill>
              </w:rPr>
              <w:t>|</w:t>
            </w:r>
          </w:p>
        </w:tc>
        <w:tc>
          <w:tcPr>
            <w:tcW w:w="813" w:type="pct"/>
            <w:vMerge/>
          </w:tcPr>
          <w:p w14:paraId="73A13D5D" w14:textId="0592B6D8" w:rsidR="00D4300E" w:rsidRDefault="00D4300E" w:rsidP="00BB4AB9">
            <w:pPr>
              <w:pStyle w:val="Tablewriting"/>
            </w:pPr>
          </w:p>
        </w:tc>
        <w:tc>
          <w:tcPr>
            <w:tcW w:w="987" w:type="pct"/>
            <w:vMerge/>
          </w:tcPr>
          <w:p w14:paraId="2BD38190" w14:textId="77777777" w:rsidR="00D4300E" w:rsidRDefault="00D4300E" w:rsidP="00BB4AB9">
            <w:pPr>
              <w:pStyle w:val="Tablewriting"/>
            </w:pPr>
          </w:p>
        </w:tc>
      </w:tr>
      <w:tr w:rsidR="00482CC0" w14:paraId="692F535C" w14:textId="4979DC11" w:rsidTr="009741B4">
        <w:tc>
          <w:tcPr>
            <w:tcW w:w="538" w:type="pct"/>
            <w:vMerge/>
          </w:tcPr>
          <w:p w14:paraId="1E0A2E0A" w14:textId="77777777" w:rsidR="00D4300E" w:rsidRDefault="00D4300E" w:rsidP="00BB4AB9">
            <w:pPr>
              <w:pStyle w:val="Tablewriting"/>
              <w:rPr>
                <w:b/>
                <w:bCs/>
              </w:rPr>
            </w:pPr>
          </w:p>
        </w:tc>
        <w:tc>
          <w:tcPr>
            <w:tcW w:w="950" w:type="pct"/>
          </w:tcPr>
          <w:p w14:paraId="0794ECDC" w14:textId="28754F81" w:rsidR="00D4300E" w:rsidRDefault="00D4300E" w:rsidP="00BB4AB9">
            <w:pPr>
              <w:pStyle w:val="Tablewriting"/>
            </w:pPr>
            <w:r>
              <w:t>NRT versus varenicline</w:t>
            </w:r>
          </w:p>
        </w:tc>
        <w:tc>
          <w:tcPr>
            <w:tcW w:w="1712" w:type="pct"/>
          </w:tcPr>
          <w:p w14:paraId="774F6260" w14:textId="3FA65CEF" w:rsidR="00D4300E" w:rsidRDefault="00D4300E" w:rsidP="00BB4AB9">
            <w:pPr>
              <w:pStyle w:val="Tablewriting"/>
            </w:pPr>
            <w:r>
              <w:t>Aubin 2008, Anthenelli 2016</w:t>
            </w:r>
          </w:p>
        </w:tc>
        <w:tc>
          <w:tcPr>
            <w:tcW w:w="813" w:type="pct"/>
          </w:tcPr>
          <w:p w14:paraId="3B7DEE64" w14:textId="0F38BCA6" w:rsidR="00D4300E" w:rsidRDefault="00D4300E" w:rsidP="00BB4AB9">
            <w:pPr>
              <w:pStyle w:val="Tablewriting"/>
            </w:pPr>
            <w:r>
              <w:t>Cahill 2016</w:t>
            </w:r>
          </w:p>
        </w:tc>
        <w:tc>
          <w:tcPr>
            <w:tcW w:w="987" w:type="pct"/>
          </w:tcPr>
          <w:p w14:paraId="62FC5C6E" w14:textId="119FB760" w:rsidR="00D4300E" w:rsidRDefault="00444B21" w:rsidP="00BB4AB9">
            <w:pPr>
              <w:pStyle w:val="Tablewriting"/>
            </w:pPr>
            <w:r w:rsidRPr="00444B21">
              <w:t>Lerman 2015, Tulloch 2016, Rohsenow 2017, Benowitz 2018</w:t>
            </w:r>
          </w:p>
        </w:tc>
      </w:tr>
      <w:tr w:rsidR="00482CC0" w14:paraId="7AC4B415" w14:textId="78E981DC" w:rsidTr="009741B4">
        <w:tc>
          <w:tcPr>
            <w:tcW w:w="538" w:type="pct"/>
          </w:tcPr>
          <w:p w14:paraId="4CE82770" w14:textId="77777777" w:rsidR="00D4300E" w:rsidRDefault="00D4300E" w:rsidP="00BB4AB9">
            <w:pPr>
              <w:pStyle w:val="Tablewriting"/>
              <w:rPr>
                <w:b/>
                <w:bCs/>
              </w:rPr>
            </w:pPr>
            <w:r>
              <w:rPr>
                <w:b/>
                <w:bCs/>
              </w:rPr>
              <w:t>NRT lozenge</w:t>
            </w:r>
          </w:p>
          <w:p w14:paraId="379C5427" w14:textId="5101310A" w:rsidR="00D4300E" w:rsidRPr="00512781" w:rsidRDefault="00D4300E" w:rsidP="00BB4AB9">
            <w:pPr>
              <w:pStyle w:val="Tablewriting"/>
              <w:rPr>
                <w:b/>
                <w:bCs/>
              </w:rPr>
            </w:pPr>
            <w:r>
              <w:rPr>
                <w:b/>
                <w:bCs/>
              </w:rPr>
              <w:t xml:space="preserve">(1 Feb 2019) </w:t>
            </w:r>
          </w:p>
        </w:tc>
        <w:tc>
          <w:tcPr>
            <w:tcW w:w="950" w:type="pct"/>
          </w:tcPr>
          <w:p w14:paraId="30081B93" w14:textId="2C453398" w:rsidR="00D4300E" w:rsidRDefault="00D4300E" w:rsidP="00BB4AB9">
            <w:pPr>
              <w:pStyle w:val="Tablewriting"/>
            </w:pPr>
            <w:r>
              <w:t>NRT lozenge versus NRT patch</w:t>
            </w:r>
          </w:p>
        </w:tc>
        <w:tc>
          <w:tcPr>
            <w:tcW w:w="1712" w:type="pct"/>
          </w:tcPr>
          <w:p w14:paraId="4216ABAC" w14:textId="0BB7DDC6" w:rsidR="00D4300E" w:rsidRDefault="00D4300E" w:rsidP="00BB4AB9">
            <w:pPr>
              <w:pStyle w:val="Tablewriting"/>
            </w:pPr>
            <w:r>
              <w:t>Piper 2009, Smith 2009, Schnoll 2010</w:t>
            </w:r>
          </w:p>
        </w:tc>
        <w:tc>
          <w:tcPr>
            <w:tcW w:w="813" w:type="pct"/>
          </w:tcPr>
          <w:p w14:paraId="6C40B5EF" w14:textId="4A0A86D2" w:rsidR="00D4300E" w:rsidRDefault="00D4300E" w:rsidP="00BB4AB9">
            <w:pPr>
              <w:pStyle w:val="Tablewriting"/>
            </w:pPr>
            <w:r>
              <w:t>Lindson 2019</w:t>
            </w:r>
          </w:p>
        </w:tc>
        <w:tc>
          <w:tcPr>
            <w:tcW w:w="987" w:type="pct"/>
          </w:tcPr>
          <w:p w14:paraId="3127D054" w14:textId="2B7E7A30" w:rsidR="00D4300E" w:rsidRDefault="00F77297" w:rsidP="00BB4AB9">
            <w:pPr>
              <w:pStyle w:val="Tablewriting"/>
            </w:pPr>
            <w:r>
              <w:t>N</w:t>
            </w:r>
            <w:r w:rsidR="005E1DB6">
              <w:t>one identified</w:t>
            </w:r>
          </w:p>
        </w:tc>
      </w:tr>
      <w:tr w:rsidR="00482CC0" w14:paraId="540B0BC6" w14:textId="2F07C224" w:rsidTr="009741B4">
        <w:tc>
          <w:tcPr>
            <w:tcW w:w="538" w:type="pct"/>
            <w:vMerge w:val="restart"/>
          </w:tcPr>
          <w:p w14:paraId="19041483" w14:textId="77777777" w:rsidR="00D4300E" w:rsidRDefault="00D4300E" w:rsidP="00BB4AB9">
            <w:pPr>
              <w:pStyle w:val="Tablewriting"/>
              <w:rPr>
                <w:b/>
                <w:bCs/>
              </w:rPr>
            </w:pPr>
            <w:r>
              <w:rPr>
                <w:b/>
                <w:bCs/>
              </w:rPr>
              <w:t>NRT gum</w:t>
            </w:r>
          </w:p>
          <w:p w14:paraId="64F912B6" w14:textId="49286AF3" w:rsidR="00D4300E" w:rsidRDefault="00D4300E" w:rsidP="00BB4AB9">
            <w:pPr>
              <w:pStyle w:val="Tablewriting"/>
              <w:rPr>
                <w:b/>
                <w:bCs/>
              </w:rPr>
            </w:pPr>
            <w:r>
              <w:rPr>
                <w:b/>
                <w:bCs/>
              </w:rPr>
              <w:t>(1 Feb 2019)</w:t>
            </w:r>
          </w:p>
        </w:tc>
        <w:tc>
          <w:tcPr>
            <w:tcW w:w="950" w:type="pct"/>
            <w:vMerge w:val="restart"/>
          </w:tcPr>
          <w:p w14:paraId="424FB38D" w14:textId="713565B7" w:rsidR="00D4300E" w:rsidRDefault="00D4300E" w:rsidP="00BB4AB9">
            <w:pPr>
              <w:pStyle w:val="Tablewriting"/>
            </w:pPr>
            <w:r>
              <w:t>NRT gum versus NRT patch</w:t>
            </w:r>
          </w:p>
        </w:tc>
        <w:tc>
          <w:tcPr>
            <w:tcW w:w="1712" w:type="pct"/>
          </w:tcPr>
          <w:p w14:paraId="06A7F421" w14:textId="206DC129" w:rsidR="00D4300E" w:rsidRPr="00461BD5" w:rsidRDefault="00D4300E" w:rsidP="00BB4AB9">
            <w:pPr>
              <w:pStyle w:val="Tablewriting"/>
              <w:rPr>
                <w:u w:val="single"/>
              </w:rPr>
            </w:pPr>
            <w:r w:rsidRPr="00470EC3">
              <w:rPr>
                <w:u w:val="single"/>
              </w:rPr>
              <w:t>Indirect comparison via placebo</w:t>
            </w:r>
            <w:r w:rsidR="00461BD5" w:rsidRPr="00461BD5">
              <w:t xml:space="preserve">: </w:t>
            </w:r>
            <w:r>
              <w:t>Moolchan 2005, Stead 2012</w:t>
            </w:r>
          </w:p>
        </w:tc>
        <w:tc>
          <w:tcPr>
            <w:tcW w:w="813" w:type="pct"/>
            <w:vMerge w:val="restart"/>
          </w:tcPr>
          <w:p w14:paraId="744D4989" w14:textId="0D7BB141" w:rsidR="00D4300E" w:rsidRDefault="00D4300E" w:rsidP="00BB4AB9">
            <w:pPr>
              <w:pStyle w:val="Tablewriting"/>
            </w:pPr>
            <w:r>
              <w:t>Lindson 2019</w:t>
            </w:r>
          </w:p>
        </w:tc>
        <w:tc>
          <w:tcPr>
            <w:tcW w:w="987" w:type="pct"/>
            <w:vMerge w:val="restart"/>
          </w:tcPr>
          <w:p w14:paraId="57AFA669" w14:textId="0E9BC92E" w:rsidR="00D4300E" w:rsidRDefault="003F591F" w:rsidP="00BB4AB9">
            <w:pPr>
              <w:pStyle w:val="Tablewriting"/>
            </w:pPr>
            <w:r>
              <w:t>N</w:t>
            </w:r>
            <w:r w:rsidR="005E1DB6">
              <w:t>one identified</w:t>
            </w:r>
          </w:p>
        </w:tc>
      </w:tr>
      <w:tr w:rsidR="00482CC0" w14:paraId="4DBB72A7" w14:textId="14230E1C" w:rsidTr="009741B4">
        <w:tc>
          <w:tcPr>
            <w:tcW w:w="538" w:type="pct"/>
            <w:vMerge/>
          </w:tcPr>
          <w:p w14:paraId="54515699" w14:textId="77777777" w:rsidR="00D4300E" w:rsidRDefault="00D4300E" w:rsidP="00BB4AB9">
            <w:pPr>
              <w:pStyle w:val="Tablewriting"/>
              <w:rPr>
                <w:b/>
                <w:bCs/>
              </w:rPr>
            </w:pPr>
          </w:p>
        </w:tc>
        <w:tc>
          <w:tcPr>
            <w:tcW w:w="950" w:type="pct"/>
            <w:vMerge/>
          </w:tcPr>
          <w:p w14:paraId="4F7403EC" w14:textId="77777777" w:rsidR="00D4300E" w:rsidRDefault="00D4300E" w:rsidP="00BB4AB9">
            <w:pPr>
              <w:pStyle w:val="Tablewriting"/>
            </w:pPr>
          </w:p>
        </w:tc>
        <w:tc>
          <w:tcPr>
            <w:tcW w:w="1712" w:type="pct"/>
          </w:tcPr>
          <w:p w14:paraId="30C7547E" w14:textId="1725FAAE" w:rsidR="00D4300E" w:rsidRPr="00461BD5" w:rsidRDefault="00D4300E" w:rsidP="00BB4AB9">
            <w:pPr>
              <w:pStyle w:val="Tablewriting"/>
              <w:rPr>
                <w:u w:val="single"/>
              </w:rPr>
            </w:pPr>
            <w:r w:rsidRPr="00470EC3">
              <w:rPr>
                <w:u w:val="single"/>
              </w:rPr>
              <w:t xml:space="preserve">Indirect comparison via </w:t>
            </w:r>
            <w:r>
              <w:rPr>
                <w:u w:val="single"/>
              </w:rPr>
              <w:t>lozenge</w:t>
            </w:r>
            <w:r w:rsidR="00461BD5" w:rsidRPr="00461BD5">
              <w:t xml:space="preserve">: </w:t>
            </w:r>
            <w:r w:rsidR="00DA4D1E" w:rsidRPr="00BF3F75">
              <w:rPr>
                <w:color w:val="000000"/>
                <w:spacing w:val="1"/>
                <w:w w:val="74"/>
                <w:shd w:val="solid" w:color="000000" w:fill="000000"/>
                <w:fitText w:val="820" w:id="-1402786304"/>
                <w14:textFill>
                  <w14:solidFill>
                    <w14:srgbClr w14:val="000000">
                      <w14:alpha w14:val="100000"/>
                    </w14:srgbClr>
                  </w14:solidFill>
                </w14:textFill>
              </w:rPr>
              <w:t>|||||||||||</w:t>
            </w:r>
            <w:r w:rsidR="00DA4D1E" w:rsidRPr="00BF3F75">
              <w:rPr>
                <w:color w:val="000000"/>
                <w:spacing w:val="5"/>
                <w:w w:val="74"/>
                <w:shd w:val="solid" w:color="000000" w:fill="000000"/>
                <w:fitText w:val="820" w:id="-1402786304"/>
                <w14:textFill>
                  <w14:solidFill>
                    <w14:srgbClr w14:val="000000">
                      <w14:alpha w14:val="100000"/>
                    </w14:srgbClr>
                  </w14:solidFill>
                </w14:textFill>
              </w:rPr>
              <w:t>|</w:t>
            </w:r>
            <w:r>
              <w:t>, Piper 2009</w:t>
            </w:r>
          </w:p>
        </w:tc>
        <w:tc>
          <w:tcPr>
            <w:tcW w:w="813" w:type="pct"/>
            <w:vMerge/>
          </w:tcPr>
          <w:p w14:paraId="6A0144DB" w14:textId="4A0F4B3F" w:rsidR="00D4300E" w:rsidRDefault="00D4300E" w:rsidP="00BB4AB9">
            <w:pPr>
              <w:pStyle w:val="Tablewriting"/>
            </w:pPr>
          </w:p>
        </w:tc>
        <w:tc>
          <w:tcPr>
            <w:tcW w:w="987" w:type="pct"/>
            <w:vMerge/>
          </w:tcPr>
          <w:p w14:paraId="1FE1076A" w14:textId="77777777" w:rsidR="00D4300E" w:rsidRDefault="00D4300E" w:rsidP="00BB4AB9">
            <w:pPr>
              <w:pStyle w:val="Tablewriting"/>
            </w:pPr>
          </w:p>
        </w:tc>
      </w:tr>
      <w:tr w:rsidR="00D4300E" w14:paraId="4638C9A4" w14:textId="71CB05AD" w:rsidTr="009741B4">
        <w:tc>
          <w:tcPr>
            <w:tcW w:w="5000" w:type="pct"/>
            <w:gridSpan w:val="5"/>
            <w:shd w:val="clear" w:color="auto" w:fill="auto"/>
          </w:tcPr>
          <w:p w14:paraId="14A5A028" w14:textId="4DC8BD5C" w:rsidR="00D4300E" w:rsidRDefault="00D4300E" w:rsidP="00BB4AB9">
            <w:pPr>
              <w:pStyle w:val="Tablewriting"/>
              <w:rPr>
                <w:b/>
              </w:rPr>
            </w:pPr>
            <w:r>
              <w:rPr>
                <w:b/>
                <w:bCs/>
              </w:rPr>
              <w:t>Treatment-experienced population</w:t>
            </w:r>
          </w:p>
        </w:tc>
      </w:tr>
      <w:tr w:rsidR="00482CC0" w14:paraId="754D7E9D" w14:textId="56AA18F3" w:rsidTr="009741B4">
        <w:trPr>
          <w:trHeight w:val="528"/>
        </w:trPr>
        <w:tc>
          <w:tcPr>
            <w:tcW w:w="538" w:type="pct"/>
            <w:vMerge w:val="restart"/>
          </w:tcPr>
          <w:p w14:paraId="150196B6" w14:textId="1963D731" w:rsidR="00D4300E" w:rsidRDefault="00D4300E" w:rsidP="00BB4AB9">
            <w:pPr>
              <w:pStyle w:val="Tablewriting"/>
              <w:rPr>
                <w:b/>
                <w:bCs/>
              </w:rPr>
            </w:pPr>
            <w:r w:rsidRPr="00512781">
              <w:rPr>
                <w:b/>
                <w:bCs/>
              </w:rPr>
              <w:t>Varenicline</w:t>
            </w:r>
          </w:p>
          <w:p w14:paraId="3C1C7702" w14:textId="4CAA3764" w:rsidR="00D4300E" w:rsidRDefault="00D4300E" w:rsidP="00BB4AB9">
            <w:pPr>
              <w:pStyle w:val="Tablewriting"/>
              <w:rPr>
                <w:b/>
                <w:bCs/>
              </w:rPr>
            </w:pPr>
            <w:r>
              <w:rPr>
                <w:b/>
                <w:bCs/>
              </w:rPr>
              <w:t>(1 Feb 2011</w:t>
            </w:r>
            <w:r w:rsidR="009E2F90">
              <w:rPr>
                <w:b/>
                <w:bCs/>
                <w:vertAlign w:val="superscript"/>
              </w:rPr>
              <w:t>4</w:t>
            </w:r>
            <w:r>
              <w:rPr>
                <w:b/>
                <w:bCs/>
              </w:rPr>
              <w:t xml:space="preserve">/ </w:t>
            </w:r>
          </w:p>
          <w:p w14:paraId="26433830" w14:textId="391BD284" w:rsidR="00D4300E" w:rsidRDefault="00D4300E" w:rsidP="00BB4AB9">
            <w:pPr>
              <w:pStyle w:val="Tablewriting"/>
              <w:rPr>
                <w:b/>
                <w:bCs/>
              </w:rPr>
            </w:pPr>
            <w:r>
              <w:rPr>
                <w:b/>
                <w:bCs/>
              </w:rPr>
              <w:t>1 Oct 2014</w:t>
            </w:r>
            <w:r w:rsidR="009E2F90">
              <w:rPr>
                <w:b/>
                <w:bCs/>
                <w:vertAlign w:val="superscript"/>
              </w:rPr>
              <w:t>5</w:t>
            </w:r>
            <w:r>
              <w:rPr>
                <w:b/>
                <w:bCs/>
              </w:rPr>
              <w:t>)</w:t>
            </w:r>
          </w:p>
          <w:p w14:paraId="62989EEE" w14:textId="77777777" w:rsidR="00D4300E" w:rsidRDefault="00D4300E" w:rsidP="00BB4AB9">
            <w:pPr>
              <w:pStyle w:val="Tablewriting"/>
              <w:rPr>
                <w:b/>
                <w:bCs/>
              </w:rPr>
            </w:pPr>
          </w:p>
        </w:tc>
        <w:tc>
          <w:tcPr>
            <w:tcW w:w="950" w:type="pct"/>
            <w:vMerge w:val="restart"/>
          </w:tcPr>
          <w:p w14:paraId="1415F16C" w14:textId="78FF6ED3" w:rsidR="00D4300E" w:rsidRDefault="00D4300E" w:rsidP="00BB4AB9">
            <w:pPr>
              <w:pStyle w:val="Tablewriting"/>
            </w:pPr>
            <w:r>
              <w:t>Varenicline versus placebo</w:t>
            </w:r>
          </w:p>
        </w:tc>
        <w:tc>
          <w:tcPr>
            <w:tcW w:w="1712" w:type="pct"/>
          </w:tcPr>
          <w:p w14:paraId="18ED48CA" w14:textId="77777777" w:rsidR="00D4300E" w:rsidRPr="00EF5538" w:rsidRDefault="00D4300E" w:rsidP="00BB4AB9">
            <w:pPr>
              <w:pStyle w:val="Tablewriting"/>
              <w:rPr>
                <w:u w:val="single"/>
              </w:rPr>
            </w:pPr>
            <w:r w:rsidRPr="00EF5538">
              <w:rPr>
                <w:u w:val="single"/>
              </w:rPr>
              <w:t xml:space="preserve">Abstainer </w:t>
            </w:r>
          </w:p>
          <w:p w14:paraId="0598A7F3" w14:textId="59D7F875" w:rsidR="00D4300E" w:rsidRDefault="00D4300E" w:rsidP="00BB4AB9">
            <w:pPr>
              <w:pStyle w:val="Tablewriting"/>
            </w:pPr>
            <w:r>
              <w:t>Tonstad 2006</w:t>
            </w:r>
          </w:p>
        </w:tc>
        <w:tc>
          <w:tcPr>
            <w:tcW w:w="813" w:type="pct"/>
          </w:tcPr>
          <w:p w14:paraId="4C6FBA5E" w14:textId="790389CA" w:rsidR="00D4300E" w:rsidRDefault="00D4300E" w:rsidP="00BB4AB9">
            <w:pPr>
              <w:pStyle w:val="Tablewriting"/>
            </w:pPr>
            <w:r>
              <w:t>Livingstone-Banks 2019</w:t>
            </w:r>
          </w:p>
        </w:tc>
        <w:tc>
          <w:tcPr>
            <w:tcW w:w="987" w:type="pct"/>
          </w:tcPr>
          <w:p w14:paraId="568C0615" w14:textId="7D3E65BB" w:rsidR="00D4300E" w:rsidRDefault="003F591F" w:rsidP="00BB4AB9">
            <w:pPr>
              <w:pStyle w:val="Tablewriting"/>
            </w:pPr>
            <w:r>
              <w:t>Schnoll 2019</w:t>
            </w:r>
          </w:p>
        </w:tc>
      </w:tr>
      <w:tr w:rsidR="00482CC0" w14:paraId="01BAF016" w14:textId="4F404327" w:rsidTr="009741B4">
        <w:tc>
          <w:tcPr>
            <w:tcW w:w="538" w:type="pct"/>
            <w:vMerge/>
          </w:tcPr>
          <w:p w14:paraId="56201C3A" w14:textId="77777777" w:rsidR="00D4300E" w:rsidRDefault="00D4300E" w:rsidP="00BB4AB9">
            <w:pPr>
              <w:pStyle w:val="Tablewriting"/>
              <w:rPr>
                <w:b/>
                <w:bCs/>
              </w:rPr>
            </w:pPr>
          </w:p>
        </w:tc>
        <w:tc>
          <w:tcPr>
            <w:tcW w:w="950" w:type="pct"/>
            <w:vMerge/>
          </w:tcPr>
          <w:p w14:paraId="28E7B44A" w14:textId="77777777" w:rsidR="00D4300E" w:rsidRDefault="00D4300E" w:rsidP="00BB4AB9">
            <w:pPr>
              <w:pStyle w:val="Tablewriting"/>
            </w:pPr>
          </w:p>
        </w:tc>
        <w:tc>
          <w:tcPr>
            <w:tcW w:w="1712" w:type="pct"/>
          </w:tcPr>
          <w:p w14:paraId="5DF3F78B" w14:textId="77777777" w:rsidR="00D4300E" w:rsidRPr="00EF5538" w:rsidRDefault="00D4300E" w:rsidP="00BB4AB9">
            <w:pPr>
              <w:pStyle w:val="Tablewriting"/>
              <w:rPr>
                <w:u w:val="single"/>
              </w:rPr>
            </w:pPr>
            <w:r w:rsidRPr="00EF5538">
              <w:rPr>
                <w:u w:val="single"/>
              </w:rPr>
              <w:t>Non-abstainer</w:t>
            </w:r>
          </w:p>
          <w:p w14:paraId="7703B4A4" w14:textId="4473288B" w:rsidR="00D4300E" w:rsidRPr="00C06F41" w:rsidRDefault="00D4300E" w:rsidP="00BB4AB9">
            <w:pPr>
              <w:pStyle w:val="Tablewriting"/>
            </w:pPr>
            <w:r>
              <w:t>Gonzales 2014</w:t>
            </w:r>
            <w:r w:rsidR="001B58C7">
              <w:rPr>
                <w:vertAlign w:val="superscript"/>
              </w:rPr>
              <w:t>7</w:t>
            </w:r>
            <w:r>
              <w:t>, G</w:t>
            </w:r>
            <w:r w:rsidRPr="00EF5538">
              <w:t>onzales 2006</w:t>
            </w:r>
            <w:r w:rsidR="001B58C7">
              <w:rPr>
                <w:vertAlign w:val="superscript"/>
              </w:rPr>
              <w:t>8</w:t>
            </w:r>
            <w:r w:rsidRPr="00EF5538">
              <w:t>, Jorenby 2006</w:t>
            </w:r>
            <w:r w:rsidR="001B58C7">
              <w:rPr>
                <w:vertAlign w:val="superscript"/>
              </w:rPr>
              <w:t>8</w:t>
            </w:r>
            <w:r>
              <w:t xml:space="preserve">, </w:t>
            </w:r>
            <w:r w:rsidRPr="00EF5538">
              <w:t>Nakamura 2007</w:t>
            </w:r>
            <w:r w:rsidR="001B58C7">
              <w:rPr>
                <w:vertAlign w:val="superscript"/>
              </w:rPr>
              <w:t>8</w:t>
            </w:r>
            <w:r>
              <w:t xml:space="preserve">, </w:t>
            </w:r>
            <w:r w:rsidRPr="00EF5538">
              <w:t xml:space="preserve">Rigotti </w:t>
            </w:r>
            <w:r w:rsidRPr="00C06F41">
              <w:t>201</w:t>
            </w:r>
            <w:r>
              <w:t>0</w:t>
            </w:r>
            <w:r w:rsidR="001B58C7">
              <w:rPr>
                <w:vertAlign w:val="superscript"/>
              </w:rPr>
              <w:t>8</w:t>
            </w:r>
            <w:r>
              <w:t xml:space="preserve">, </w:t>
            </w:r>
            <w:r w:rsidRPr="00C06F41">
              <w:t>Tashkin</w:t>
            </w:r>
            <w:r>
              <w:t xml:space="preserve"> </w:t>
            </w:r>
            <w:r w:rsidR="002871E9" w:rsidRPr="00EF5538">
              <w:t>2011</w:t>
            </w:r>
            <w:r w:rsidR="002871E9">
              <w:rPr>
                <w:vertAlign w:val="superscript"/>
              </w:rPr>
              <w:t>8,</w:t>
            </w:r>
            <w:r>
              <w:t xml:space="preserve"> T</w:t>
            </w:r>
            <w:r w:rsidRPr="00882DC2">
              <w:t>sai 2007</w:t>
            </w:r>
            <w:r w:rsidR="001B58C7">
              <w:rPr>
                <w:vertAlign w:val="superscript"/>
              </w:rPr>
              <w:t>8</w:t>
            </w:r>
            <w:r w:rsidRPr="00882DC2">
              <w:t>, Wang 2009</w:t>
            </w:r>
            <w:r w:rsidR="001B58C7">
              <w:rPr>
                <w:vertAlign w:val="superscript"/>
              </w:rPr>
              <w:t>8</w:t>
            </w:r>
            <w:r w:rsidRPr="00882DC2">
              <w:t>, Bolliger 2011</w:t>
            </w:r>
            <w:r w:rsidR="001B58C7">
              <w:rPr>
                <w:vertAlign w:val="superscript"/>
              </w:rPr>
              <w:t>8</w:t>
            </w:r>
            <w:r w:rsidRPr="00882DC2">
              <w:t xml:space="preserve"> and Rennard 2012</w:t>
            </w:r>
            <w:r w:rsidR="001B58C7">
              <w:rPr>
                <w:vertAlign w:val="superscript"/>
              </w:rPr>
              <w:t>8</w:t>
            </w:r>
          </w:p>
        </w:tc>
        <w:tc>
          <w:tcPr>
            <w:tcW w:w="813" w:type="pct"/>
          </w:tcPr>
          <w:p w14:paraId="6435DF0D" w14:textId="195A8B98" w:rsidR="00D4300E" w:rsidRDefault="00D4300E" w:rsidP="00BB4AB9">
            <w:pPr>
              <w:pStyle w:val="Tablewriting"/>
            </w:pPr>
            <w:r>
              <w:t>Cahill 2016</w:t>
            </w:r>
          </w:p>
        </w:tc>
        <w:tc>
          <w:tcPr>
            <w:tcW w:w="987" w:type="pct"/>
          </w:tcPr>
          <w:p w14:paraId="6F5D1944" w14:textId="6126C12D" w:rsidR="00D4300E" w:rsidRDefault="003F591F" w:rsidP="00BB4AB9">
            <w:pPr>
              <w:pStyle w:val="Tablewriting"/>
            </w:pPr>
            <w:r>
              <w:t>N</w:t>
            </w:r>
            <w:r w:rsidR="005E1DB6">
              <w:t>one identified</w:t>
            </w:r>
          </w:p>
        </w:tc>
      </w:tr>
      <w:tr w:rsidR="00482CC0" w14:paraId="491172F1" w14:textId="0260D484" w:rsidTr="009741B4">
        <w:tc>
          <w:tcPr>
            <w:tcW w:w="538" w:type="pct"/>
            <w:vMerge/>
          </w:tcPr>
          <w:p w14:paraId="53383E97" w14:textId="77777777" w:rsidR="00D4300E" w:rsidRDefault="00D4300E" w:rsidP="00BB4AB9">
            <w:pPr>
              <w:pStyle w:val="Tablewriting"/>
              <w:rPr>
                <w:b/>
                <w:bCs/>
              </w:rPr>
            </w:pPr>
          </w:p>
        </w:tc>
        <w:tc>
          <w:tcPr>
            <w:tcW w:w="950" w:type="pct"/>
          </w:tcPr>
          <w:p w14:paraId="2FC61321" w14:textId="41A9F726" w:rsidR="00D4300E" w:rsidRDefault="00D4300E" w:rsidP="00BB4AB9">
            <w:pPr>
              <w:pStyle w:val="Tablewriting"/>
            </w:pPr>
            <w:r>
              <w:t>Varenicline versus bupropion</w:t>
            </w:r>
          </w:p>
        </w:tc>
        <w:tc>
          <w:tcPr>
            <w:tcW w:w="1712" w:type="pct"/>
          </w:tcPr>
          <w:p w14:paraId="3E39EEEC" w14:textId="77777777" w:rsidR="00D4300E" w:rsidRPr="00EF5538" w:rsidRDefault="00D4300E" w:rsidP="00BB4AB9">
            <w:pPr>
              <w:pStyle w:val="Tablewriting"/>
              <w:rPr>
                <w:u w:val="single"/>
              </w:rPr>
            </w:pPr>
            <w:r w:rsidRPr="00EF5538">
              <w:rPr>
                <w:u w:val="single"/>
              </w:rPr>
              <w:t>Non-abstainer</w:t>
            </w:r>
          </w:p>
          <w:p w14:paraId="7D4643BB" w14:textId="337A500D" w:rsidR="00D4300E" w:rsidRPr="00E00788" w:rsidRDefault="00D4300E" w:rsidP="00BB4AB9">
            <w:pPr>
              <w:pStyle w:val="Tablewriting"/>
              <w:rPr>
                <w:vertAlign w:val="superscript"/>
              </w:rPr>
            </w:pPr>
            <w:r>
              <w:t>Gonzales 2006</w:t>
            </w:r>
            <w:r>
              <w:rPr>
                <w:vertAlign w:val="superscript"/>
              </w:rPr>
              <w:t>2</w:t>
            </w:r>
            <w:r>
              <w:t>, Jorenby 2006</w:t>
            </w:r>
            <w:r>
              <w:rPr>
                <w:vertAlign w:val="superscript"/>
              </w:rPr>
              <w:t>2</w:t>
            </w:r>
          </w:p>
        </w:tc>
        <w:tc>
          <w:tcPr>
            <w:tcW w:w="1800" w:type="pct"/>
            <w:gridSpan w:val="2"/>
          </w:tcPr>
          <w:p w14:paraId="57C5704B" w14:textId="36922A95" w:rsidR="00D4300E" w:rsidRDefault="003A15AC" w:rsidP="00BB4AB9">
            <w:pPr>
              <w:pStyle w:val="Tablewriting"/>
            </w:pPr>
            <w:r>
              <w:t>See treatment-naïve population</w:t>
            </w:r>
          </w:p>
        </w:tc>
      </w:tr>
      <w:tr w:rsidR="00482CC0" w14:paraId="7FA95D35" w14:textId="717BD816" w:rsidTr="009741B4">
        <w:tc>
          <w:tcPr>
            <w:tcW w:w="538" w:type="pct"/>
            <w:vMerge/>
          </w:tcPr>
          <w:p w14:paraId="7B580F0D" w14:textId="77777777" w:rsidR="00D4300E" w:rsidRDefault="00D4300E" w:rsidP="00BB4AB9">
            <w:pPr>
              <w:pStyle w:val="Tablewriting"/>
              <w:rPr>
                <w:b/>
                <w:bCs/>
              </w:rPr>
            </w:pPr>
          </w:p>
        </w:tc>
        <w:tc>
          <w:tcPr>
            <w:tcW w:w="950" w:type="pct"/>
          </w:tcPr>
          <w:p w14:paraId="7C4663AC" w14:textId="7F881EA6" w:rsidR="00D4300E" w:rsidRDefault="00D4300E" w:rsidP="00BB4AB9">
            <w:pPr>
              <w:pStyle w:val="Tablewriting"/>
            </w:pPr>
            <w:r>
              <w:t>Varenicline versus NRT</w:t>
            </w:r>
          </w:p>
        </w:tc>
        <w:tc>
          <w:tcPr>
            <w:tcW w:w="1712" w:type="pct"/>
          </w:tcPr>
          <w:p w14:paraId="1D4D94DD" w14:textId="77777777" w:rsidR="00D4300E" w:rsidRPr="00D84291" w:rsidRDefault="00D4300E" w:rsidP="00BB4AB9">
            <w:pPr>
              <w:pStyle w:val="Tablewriting"/>
              <w:rPr>
                <w:u w:val="single"/>
              </w:rPr>
            </w:pPr>
            <w:r w:rsidRPr="00D84291">
              <w:rPr>
                <w:u w:val="single"/>
              </w:rPr>
              <w:t>Non-abstainer</w:t>
            </w:r>
          </w:p>
          <w:p w14:paraId="22F0042F" w14:textId="08FD5C56" w:rsidR="00D4300E" w:rsidRDefault="00D4300E" w:rsidP="00BB4AB9">
            <w:pPr>
              <w:pStyle w:val="Tablewriting"/>
            </w:pPr>
            <w:r w:rsidRPr="00574107">
              <w:t>Aubin 2008</w:t>
            </w:r>
            <w:r>
              <w:rPr>
                <w:vertAlign w:val="superscript"/>
              </w:rPr>
              <w:t>2</w:t>
            </w:r>
            <w:r w:rsidRPr="00574107">
              <w:t> </w:t>
            </w:r>
          </w:p>
        </w:tc>
        <w:tc>
          <w:tcPr>
            <w:tcW w:w="1800" w:type="pct"/>
            <w:gridSpan w:val="2"/>
          </w:tcPr>
          <w:p w14:paraId="371DA566" w14:textId="67E28BC6" w:rsidR="00D4300E" w:rsidRDefault="003A15AC" w:rsidP="00BB4AB9">
            <w:pPr>
              <w:pStyle w:val="Tablewriting"/>
            </w:pPr>
            <w:r>
              <w:t>See treatment-naïve population</w:t>
            </w:r>
          </w:p>
        </w:tc>
      </w:tr>
      <w:tr w:rsidR="00482CC0" w14:paraId="7E8952FB" w14:textId="6CBA5D3D" w:rsidTr="009741B4">
        <w:tc>
          <w:tcPr>
            <w:tcW w:w="538" w:type="pct"/>
          </w:tcPr>
          <w:p w14:paraId="7BBDC3CD" w14:textId="4499135B" w:rsidR="00D4300E" w:rsidRDefault="00D4300E" w:rsidP="00BB4AB9">
            <w:pPr>
              <w:pStyle w:val="Tablewriting"/>
              <w:rPr>
                <w:b/>
                <w:bCs/>
              </w:rPr>
            </w:pPr>
            <w:r>
              <w:rPr>
                <w:b/>
                <w:bCs/>
              </w:rPr>
              <w:t>Bupropion</w:t>
            </w:r>
          </w:p>
        </w:tc>
        <w:tc>
          <w:tcPr>
            <w:tcW w:w="950" w:type="pct"/>
          </w:tcPr>
          <w:p w14:paraId="3A0D9838" w14:textId="5EEE3D79" w:rsidR="00D4300E" w:rsidRDefault="00D4300E" w:rsidP="00BB4AB9">
            <w:pPr>
              <w:pStyle w:val="Tablewriting"/>
            </w:pPr>
            <w:r>
              <w:t>Bupropion versus placebo</w:t>
            </w:r>
          </w:p>
        </w:tc>
        <w:tc>
          <w:tcPr>
            <w:tcW w:w="1712" w:type="pct"/>
          </w:tcPr>
          <w:p w14:paraId="369562DA" w14:textId="4B89764E" w:rsidR="00D4300E" w:rsidRPr="004C7759" w:rsidRDefault="00D4300E" w:rsidP="00BB4AB9">
            <w:pPr>
              <w:pStyle w:val="Tablewriting"/>
            </w:pPr>
            <w:r>
              <w:t>Not previously considered</w:t>
            </w:r>
          </w:p>
        </w:tc>
        <w:tc>
          <w:tcPr>
            <w:tcW w:w="813" w:type="pct"/>
          </w:tcPr>
          <w:p w14:paraId="1BFE1C1D" w14:textId="2A02D792" w:rsidR="00D4300E" w:rsidRDefault="00D4300E" w:rsidP="00BB4AB9">
            <w:pPr>
              <w:pStyle w:val="Tablewriting"/>
            </w:pPr>
            <w:r>
              <w:t>Livingstone-Banks 2019</w:t>
            </w:r>
            <w:r w:rsidR="00FD1419">
              <w:t>,</w:t>
            </w:r>
            <w:r>
              <w:t xml:space="preserve"> Howes 2020</w:t>
            </w:r>
          </w:p>
        </w:tc>
        <w:tc>
          <w:tcPr>
            <w:tcW w:w="987" w:type="pct"/>
          </w:tcPr>
          <w:p w14:paraId="4497D4DC" w14:textId="2D99C9CB" w:rsidR="00D4300E" w:rsidRDefault="00741C77" w:rsidP="00BB4AB9">
            <w:pPr>
              <w:pStyle w:val="Tablewriting"/>
            </w:pPr>
            <w:r>
              <w:t>N</w:t>
            </w:r>
            <w:r w:rsidR="005E1DB6">
              <w:t>one identified</w:t>
            </w:r>
          </w:p>
        </w:tc>
      </w:tr>
      <w:tr w:rsidR="00482CC0" w14:paraId="114ECA08" w14:textId="27C2141D" w:rsidTr="009741B4">
        <w:tc>
          <w:tcPr>
            <w:tcW w:w="538" w:type="pct"/>
          </w:tcPr>
          <w:p w14:paraId="613E248C" w14:textId="1276428F" w:rsidR="00D4300E" w:rsidRDefault="00D4300E" w:rsidP="00BB4AB9">
            <w:pPr>
              <w:pStyle w:val="Tablewriting"/>
              <w:rPr>
                <w:b/>
                <w:bCs/>
              </w:rPr>
            </w:pPr>
            <w:r>
              <w:rPr>
                <w:b/>
                <w:bCs/>
              </w:rPr>
              <w:t>NRT</w:t>
            </w:r>
          </w:p>
        </w:tc>
        <w:tc>
          <w:tcPr>
            <w:tcW w:w="950" w:type="pct"/>
          </w:tcPr>
          <w:p w14:paraId="280CE6D4" w14:textId="0967535B" w:rsidR="00D4300E" w:rsidRDefault="00D4300E" w:rsidP="00BB4AB9">
            <w:pPr>
              <w:pStyle w:val="Tablewriting"/>
            </w:pPr>
            <w:r>
              <w:t>NRT versus placebo</w:t>
            </w:r>
          </w:p>
        </w:tc>
        <w:tc>
          <w:tcPr>
            <w:tcW w:w="1712" w:type="pct"/>
          </w:tcPr>
          <w:p w14:paraId="12000FEF" w14:textId="6AABE05D" w:rsidR="00D4300E" w:rsidRPr="00D84291" w:rsidRDefault="00D4300E" w:rsidP="00BB4AB9">
            <w:pPr>
              <w:pStyle w:val="Tablewriting"/>
              <w:rPr>
                <w:u w:val="single"/>
              </w:rPr>
            </w:pPr>
            <w:r>
              <w:t>Not previously considered</w:t>
            </w:r>
          </w:p>
        </w:tc>
        <w:tc>
          <w:tcPr>
            <w:tcW w:w="813" w:type="pct"/>
          </w:tcPr>
          <w:p w14:paraId="3F9B1C5A" w14:textId="4A14BE0D" w:rsidR="00D4300E" w:rsidRDefault="00D4300E" w:rsidP="00BB4AB9">
            <w:pPr>
              <w:pStyle w:val="Tablewriting"/>
            </w:pPr>
            <w:r>
              <w:t>Livingstone-Banks 2019</w:t>
            </w:r>
            <w:r w:rsidR="00FD1419">
              <w:t>,</w:t>
            </w:r>
          </w:p>
          <w:p w14:paraId="27701127" w14:textId="60BE5BA3" w:rsidR="00D4300E" w:rsidRDefault="00D4300E" w:rsidP="00BB4AB9">
            <w:pPr>
              <w:pStyle w:val="Tablewriting"/>
            </w:pPr>
            <w:r>
              <w:t>Hartmann-Boyce 2018</w:t>
            </w:r>
          </w:p>
        </w:tc>
        <w:tc>
          <w:tcPr>
            <w:tcW w:w="987" w:type="pct"/>
          </w:tcPr>
          <w:p w14:paraId="5B8A68F6" w14:textId="08CCE8D9" w:rsidR="00D4300E" w:rsidRDefault="004F53C9" w:rsidP="00BB4AB9">
            <w:pPr>
              <w:pStyle w:val="Tablewriting"/>
            </w:pPr>
            <w:r>
              <w:t>N</w:t>
            </w:r>
            <w:r w:rsidR="005E1DB6">
              <w:t>one identified</w:t>
            </w:r>
          </w:p>
        </w:tc>
      </w:tr>
    </w:tbl>
    <w:p w14:paraId="22D3B461" w14:textId="6509D7CA" w:rsidR="00722F16" w:rsidRDefault="00722F16" w:rsidP="009741B4">
      <w:pPr>
        <w:pStyle w:val="TableFooter"/>
        <w:keepNext/>
        <w:jc w:val="both"/>
      </w:pPr>
      <w:r>
        <w:t>Abbreviations: NRT = nicotine replacement therapy</w:t>
      </w:r>
    </w:p>
    <w:p w14:paraId="11204023" w14:textId="64E32F83" w:rsidR="005E3E9B" w:rsidRDefault="005E3E9B" w:rsidP="009741B4">
      <w:pPr>
        <w:pStyle w:val="TableFooter"/>
        <w:keepNext/>
        <w:jc w:val="both"/>
      </w:pPr>
      <w:r>
        <w:t>Notes: Additional details on the evi</w:t>
      </w:r>
      <w:r w:rsidR="003439DA">
        <w:t xml:space="preserve">dence previously considered by the PBAC in </w:t>
      </w:r>
      <w:r w:rsidR="003439DA" w:rsidRPr="005E1DB6">
        <w:t>Appendix</w:t>
      </w:r>
      <w:r w:rsidR="003439DA">
        <w:t xml:space="preserve"> </w:t>
      </w:r>
      <w:r w:rsidR="003439DA">
        <w:fldChar w:fldCharType="begin" w:fldLock="1"/>
      </w:r>
      <w:r w:rsidR="003439DA">
        <w:instrText xml:space="preserve"> REF _Ref54768636 \h </w:instrText>
      </w:r>
      <w:r w:rsidR="009741B4">
        <w:instrText xml:space="preserve"> \* MERGEFORMAT </w:instrText>
      </w:r>
      <w:r w:rsidR="003439DA">
        <w:fldChar w:fldCharType="separate"/>
      </w:r>
      <w:r w:rsidR="00EC5CC7">
        <w:t xml:space="preserve">Table </w:t>
      </w:r>
      <w:r w:rsidR="00EC5CC7">
        <w:rPr>
          <w:noProof/>
        </w:rPr>
        <w:t>143</w:t>
      </w:r>
      <w:r w:rsidR="003439DA">
        <w:fldChar w:fldCharType="end"/>
      </w:r>
      <w:r w:rsidR="003439DA">
        <w:t>.</w:t>
      </w:r>
    </w:p>
    <w:p w14:paraId="004A8771" w14:textId="6C944713" w:rsidR="00362CFE" w:rsidRDefault="001C5576" w:rsidP="009741B4">
      <w:pPr>
        <w:pStyle w:val="TableFooter"/>
        <w:keepNext/>
        <w:jc w:val="both"/>
      </w:pPr>
      <w:r w:rsidRPr="006001E1">
        <w:t>1</w:t>
      </w:r>
      <w:r w:rsidR="009F77A1">
        <w:t xml:space="preserve"> </w:t>
      </w:r>
      <w:r w:rsidR="00362CFE">
        <w:t xml:space="preserve">NRT </w:t>
      </w:r>
      <w:r w:rsidR="00E36B51">
        <w:t xml:space="preserve">patch was listed on the Repatriation Schedule </w:t>
      </w:r>
      <w:r w:rsidR="00FF2299">
        <w:t>on 1</w:t>
      </w:r>
      <w:r w:rsidR="00963A03">
        <w:t xml:space="preserve"> May 2000</w:t>
      </w:r>
      <w:r w:rsidR="001D4233">
        <w:t>.</w:t>
      </w:r>
    </w:p>
    <w:p w14:paraId="67E55DED" w14:textId="45A84EAD" w:rsidR="00667C20" w:rsidRDefault="009E2F90" w:rsidP="009741B4">
      <w:pPr>
        <w:pStyle w:val="TableFooter"/>
        <w:keepNext/>
        <w:jc w:val="both"/>
      </w:pPr>
      <w:r>
        <w:t>2</w:t>
      </w:r>
      <w:r w:rsidR="00667C20">
        <w:t xml:space="preserve"> </w:t>
      </w:r>
      <w:r w:rsidR="000272C2" w:rsidRPr="000272C2">
        <w:t>Aboriginal and Torres Strait Islander</w:t>
      </w:r>
      <w:r w:rsidR="00667C20">
        <w:t xml:space="preserve"> population</w:t>
      </w:r>
      <w:r w:rsidR="001D4233">
        <w:t>.</w:t>
      </w:r>
    </w:p>
    <w:p w14:paraId="4F793194" w14:textId="7F7D054A" w:rsidR="001B6387" w:rsidRDefault="009E2F90" w:rsidP="009741B4">
      <w:pPr>
        <w:pStyle w:val="TableFooter"/>
        <w:keepNext/>
        <w:jc w:val="both"/>
      </w:pPr>
      <w:r>
        <w:t>3</w:t>
      </w:r>
      <w:r w:rsidR="00667C20">
        <w:t xml:space="preserve"> </w:t>
      </w:r>
      <w:r w:rsidR="00B97ECE">
        <w:t>G</w:t>
      </w:r>
      <w:r w:rsidR="00667C20">
        <w:t>eneral population</w:t>
      </w:r>
      <w:r w:rsidR="001D4233">
        <w:t>.</w:t>
      </w:r>
      <w:r w:rsidR="003F751E">
        <w:t xml:space="preserve"> </w:t>
      </w:r>
    </w:p>
    <w:p w14:paraId="6E580C59" w14:textId="7A40EA2E" w:rsidR="001B6387" w:rsidRDefault="009E2F90" w:rsidP="009741B4">
      <w:pPr>
        <w:pStyle w:val="TableFooter"/>
        <w:keepNext/>
        <w:jc w:val="both"/>
      </w:pPr>
      <w:r>
        <w:t>4</w:t>
      </w:r>
      <w:r w:rsidR="001B6387">
        <w:t xml:space="preserve"> Additional 12-week treatment</w:t>
      </w:r>
      <w:r w:rsidR="00E81CAB">
        <w:t xml:space="preserve"> of varenicline</w:t>
      </w:r>
      <w:r w:rsidR="001B6387">
        <w:t xml:space="preserve"> for abstainers</w:t>
      </w:r>
      <w:r w:rsidR="001D4233">
        <w:t>.</w:t>
      </w:r>
    </w:p>
    <w:p w14:paraId="6673983E" w14:textId="60775936" w:rsidR="001B6387" w:rsidRDefault="009E2F90" w:rsidP="009741B4">
      <w:pPr>
        <w:pStyle w:val="TableFooter"/>
        <w:keepNext/>
        <w:jc w:val="both"/>
      </w:pPr>
      <w:r>
        <w:t>5</w:t>
      </w:r>
      <w:r w:rsidR="001B6387">
        <w:t xml:space="preserve"> </w:t>
      </w:r>
      <w:r w:rsidR="00693265">
        <w:t xml:space="preserve">Retreatment with varenicline for non-abstainers reduced from 12 months to </w:t>
      </w:r>
      <w:r w:rsidR="001C5025">
        <w:t>six</w:t>
      </w:r>
      <w:r w:rsidR="00693265">
        <w:t xml:space="preserve"> months</w:t>
      </w:r>
      <w:r w:rsidR="001D4233">
        <w:t>.</w:t>
      </w:r>
    </w:p>
    <w:p w14:paraId="78B01238" w14:textId="1016F30D" w:rsidR="00DA4D1E" w:rsidRDefault="009E2F90" w:rsidP="009741B4">
      <w:pPr>
        <w:pStyle w:val="TableFooter"/>
        <w:keepNext/>
        <w:jc w:val="both"/>
        <w:rPr>
          <w:highlight w:val="lightGray"/>
          <w:shd w:val="clear" w:color="auto" w:fill="C0C0C1"/>
        </w:rPr>
      </w:pPr>
      <w:r>
        <w:t xml:space="preserve">6 </w:t>
      </w:r>
      <w:r w:rsidR="00DA4D1E" w:rsidRPr="00DA4D1E">
        <w:rPr>
          <w:color w:val="000000"/>
          <w:w w:val="65"/>
          <w:shd w:val="solid" w:color="000000" w:fill="000000"/>
          <w:fitText w:val="13752" w:id="-1402786048"/>
          <w14:textFill>
            <w14:solidFill>
              <w14:srgbClr w14:val="000000">
                <w14:alpha w14:val="100000"/>
              </w14:srgbClr>
            </w14:solidFill>
          </w14:textFill>
        </w:rPr>
        <w:t>||||||||||||||||||||||||||||||||||||||||||||||||||||||||||||||||||||||||||||||||||||||||||||||||||||||||||||||||||  |||||||||||||||||||||||||||||||||||||||||||||||||||||||||||||||||||||||||||||||||||||||||||||||||||||||||||||||||</w:t>
      </w:r>
      <w:r w:rsidR="00DA4D1E" w:rsidRPr="00DA4D1E">
        <w:rPr>
          <w:color w:val="000000"/>
          <w:spacing w:val="66"/>
          <w:w w:val="65"/>
          <w:shd w:val="solid" w:color="000000" w:fill="000000"/>
          <w:fitText w:val="13752" w:id="-1402786048"/>
          <w14:textFill>
            <w14:solidFill>
              <w14:srgbClr w14:val="000000">
                <w14:alpha w14:val="100000"/>
              </w14:srgbClr>
            </w14:solidFill>
          </w14:textFill>
        </w:rPr>
        <w:t>|</w:t>
      </w:r>
      <w:r w:rsidR="00DA4D1E">
        <w:rPr>
          <w:highlight w:val="lightGray"/>
          <w:shd w:val="clear" w:color="auto" w:fill="C0C0C1"/>
        </w:rPr>
        <w:t xml:space="preserve"> </w:t>
      </w:r>
      <w:r w:rsidR="00DA4D1E" w:rsidRPr="00DA4D1E">
        <w:rPr>
          <w:color w:val="000000"/>
          <w:w w:val="65"/>
          <w:shd w:val="solid" w:color="000000" w:fill="000000"/>
          <w:fitText w:val="5967" w:id="-1402786047"/>
          <w14:textFill>
            <w14:solidFill>
              <w14:srgbClr w14:val="000000">
                <w14:alpha w14:val="100000"/>
              </w14:srgbClr>
            </w14:solidFill>
          </w14:textFill>
        </w:rPr>
        <w:t>|||||||||||||||||||||||||||||||||||||||||||||||||  ||||||||||||||||||||||||||||||||||||||||||||||||</w:t>
      </w:r>
      <w:r w:rsidR="00DA4D1E" w:rsidRPr="00DA4D1E">
        <w:rPr>
          <w:color w:val="000000"/>
          <w:spacing w:val="51"/>
          <w:w w:val="65"/>
          <w:shd w:val="solid" w:color="000000" w:fill="000000"/>
          <w:fitText w:val="5967" w:id="-1402786047"/>
          <w14:textFill>
            <w14:solidFill>
              <w14:srgbClr w14:val="000000">
                <w14:alpha w14:val="100000"/>
              </w14:srgbClr>
            </w14:solidFill>
          </w14:textFill>
        </w:rPr>
        <w:t>|</w:t>
      </w:r>
    </w:p>
    <w:p w14:paraId="5787FA58" w14:textId="77BF15B1" w:rsidR="00A37E3E" w:rsidRDefault="00BC1055" w:rsidP="009741B4">
      <w:pPr>
        <w:pStyle w:val="TableFooter"/>
        <w:keepNext/>
        <w:jc w:val="both"/>
      </w:pPr>
      <w:r>
        <w:t>7</w:t>
      </w:r>
      <w:r w:rsidR="009E2F90">
        <w:t xml:space="preserve"> </w:t>
      </w:r>
      <w:r w:rsidR="007B2A24">
        <w:t xml:space="preserve">Referred to as Trial A3051139 in </w:t>
      </w:r>
      <w:r w:rsidR="003460EF">
        <w:t>March 2014 PBAC meeting.</w:t>
      </w:r>
    </w:p>
    <w:p w14:paraId="33C14BE3" w14:textId="3FBD7CAC" w:rsidR="009E2F90" w:rsidRPr="00F3027C" w:rsidRDefault="00BC1055" w:rsidP="009741B4">
      <w:pPr>
        <w:pStyle w:val="TableFooter"/>
        <w:keepNext/>
        <w:jc w:val="both"/>
        <w:rPr>
          <w:shd w:val="clear" w:color="auto" w:fill="C0C0C1"/>
        </w:rPr>
      </w:pPr>
      <w:r>
        <w:t>8</w:t>
      </w:r>
      <w:r w:rsidR="009E2F90">
        <w:t xml:space="preserve"> </w:t>
      </w:r>
      <w:r w:rsidR="00DA4D1E" w:rsidRPr="00DA4D1E">
        <w:rPr>
          <w:color w:val="000000"/>
          <w:w w:val="65"/>
          <w:shd w:val="solid" w:color="000000" w:fill="000000"/>
          <w:fitText w:val="13670" w:id="-1402786046"/>
          <w14:textFill>
            <w14:solidFill>
              <w14:srgbClr w14:val="000000">
                <w14:alpha w14:val="100000"/>
              </w14:srgbClr>
            </w14:solidFill>
          </w14:textFill>
        </w:rPr>
        <w:t>|||||||||||||||||||||||||||||||||||||||||||||||||||||||||||||||||||||||||||||||||||||||||||||||||||||||||||||||||  ||||||||||||||||||||||||||||||||||||||||||||||||||||||||||||||||||||||||||||||||||||||||||||||||||||||||||||||||</w:t>
      </w:r>
      <w:r w:rsidR="00DA4D1E" w:rsidRPr="00DA4D1E">
        <w:rPr>
          <w:color w:val="000000"/>
          <w:spacing w:val="104"/>
          <w:w w:val="65"/>
          <w:shd w:val="solid" w:color="000000" w:fill="000000"/>
          <w:fitText w:val="13670" w:id="-1402786046"/>
          <w14:textFill>
            <w14:solidFill>
              <w14:srgbClr w14:val="000000">
                <w14:alpha w14:val="100000"/>
              </w14:srgbClr>
            </w14:solidFill>
          </w14:textFill>
        </w:rPr>
        <w:t>|</w:t>
      </w:r>
      <w:r w:rsidR="00DA4D1E">
        <w:rPr>
          <w:highlight w:val="yellow"/>
          <w:shd w:val="clear" w:color="auto" w:fill="C0C0C1"/>
        </w:rPr>
        <w:t xml:space="preserve"> </w:t>
      </w:r>
      <w:r w:rsidR="00DA4D1E" w:rsidRPr="00DA4D1E">
        <w:rPr>
          <w:color w:val="000000"/>
          <w:spacing w:val="1"/>
          <w:w w:val="65"/>
          <w:shd w:val="solid" w:color="000000" w:fill="000000"/>
          <w:fitText w:val="11318" w:id="-1402786045"/>
          <w14:textFill>
            <w14:solidFill>
              <w14:srgbClr w14:val="000000">
                <w14:alpha w14:val="100000"/>
              </w14:srgbClr>
            </w14:solidFill>
          </w14:textFill>
        </w:rPr>
        <w:t>|||||||||||||||||||||||||||||||||||||||||||||||||||||||||||||||||||||||||||||||||||||||||||||  ||||||||||||||||||||||||||||||||||||||||||||||||||||||||||||||||||||||||||||||||||||||||||||</w:t>
      </w:r>
      <w:r w:rsidR="00DA4D1E" w:rsidRPr="00DA4D1E">
        <w:rPr>
          <w:color w:val="000000"/>
          <w:spacing w:val="-44"/>
          <w:w w:val="65"/>
          <w:shd w:val="solid" w:color="000000" w:fill="000000"/>
          <w:fitText w:val="11318" w:id="-1402786045"/>
          <w14:textFill>
            <w14:solidFill>
              <w14:srgbClr w14:val="000000">
                <w14:alpha w14:val="100000"/>
              </w14:srgbClr>
            </w14:solidFill>
          </w14:textFill>
        </w:rPr>
        <w:t>|</w:t>
      </w:r>
    </w:p>
    <w:p w14:paraId="1B6CB0A4" w14:textId="77777777" w:rsidR="009E2F90" w:rsidRDefault="009E2F90" w:rsidP="00755F7C">
      <w:pPr>
        <w:pStyle w:val="TableFooter"/>
        <w:keepNext/>
      </w:pPr>
    </w:p>
    <w:p w14:paraId="4B2DD590" w14:textId="77777777" w:rsidR="00D4300E" w:rsidRDefault="00D4300E" w:rsidP="00755F7C">
      <w:pPr>
        <w:pStyle w:val="TableFooter"/>
        <w:keepNext/>
      </w:pPr>
    </w:p>
    <w:p w14:paraId="13D37433" w14:textId="6D90C8C8" w:rsidR="001B6387" w:rsidRDefault="001B6387" w:rsidP="00755F7C">
      <w:pPr>
        <w:pStyle w:val="TableFooter"/>
        <w:keepNext/>
        <w:sectPr w:rsidR="001B6387" w:rsidSect="00D4300E">
          <w:pgSz w:w="16838" w:h="11906" w:orient="landscape"/>
          <w:pgMar w:top="1440" w:right="1440" w:bottom="1440" w:left="1440" w:header="708" w:footer="708" w:gutter="0"/>
          <w:cols w:space="708"/>
          <w:titlePg/>
          <w:docGrid w:linePitch="360"/>
        </w:sectPr>
      </w:pPr>
    </w:p>
    <w:p w14:paraId="56216B98" w14:textId="3F369829" w:rsidR="00470EC3" w:rsidRDefault="00470EC3" w:rsidP="009741B4">
      <w:pPr>
        <w:pStyle w:val="Heading4"/>
        <w:numPr>
          <w:ilvl w:val="0"/>
          <w:numId w:val="0"/>
        </w:numPr>
        <w:spacing w:after="120"/>
        <w:jc w:val="both"/>
      </w:pPr>
      <w:r>
        <w:lastRenderedPageBreak/>
        <w:t>Treatment-naïve population</w:t>
      </w:r>
    </w:p>
    <w:p w14:paraId="38776E26" w14:textId="48D23077" w:rsidR="00C83EDA" w:rsidRDefault="00C83EDA" w:rsidP="009741B4">
      <w:pPr>
        <w:pStyle w:val="Heading5"/>
        <w:numPr>
          <w:ilvl w:val="0"/>
          <w:numId w:val="0"/>
        </w:numPr>
        <w:spacing w:after="120"/>
        <w:jc w:val="both"/>
      </w:pPr>
      <w:r w:rsidRPr="00470EC3">
        <w:t>Bupropion</w:t>
      </w:r>
    </w:p>
    <w:p w14:paraId="6EA931BC" w14:textId="6ACAA40A" w:rsidR="00D6787F" w:rsidRPr="00523DBD" w:rsidRDefault="00DC5BAE" w:rsidP="009741B4">
      <w:pPr>
        <w:spacing w:after="120"/>
        <w:jc w:val="both"/>
        <w:rPr>
          <w:highlight w:val="green"/>
        </w:rPr>
      </w:pPr>
      <w:r>
        <w:t xml:space="preserve">Bupropion was recommended for listing </w:t>
      </w:r>
      <w:r w:rsidR="00EE5F19">
        <w:t xml:space="preserve">on the PBS </w:t>
      </w:r>
      <w:r w:rsidR="003B230D">
        <w:t xml:space="preserve">in </w:t>
      </w:r>
      <w:r w:rsidR="00ED5529">
        <w:t>Septe</w:t>
      </w:r>
      <w:r w:rsidR="003B230D" w:rsidRPr="00BE05A8">
        <w:t>m</w:t>
      </w:r>
      <w:r w:rsidR="00ED5529" w:rsidRPr="00BE05A8">
        <w:t>ber</w:t>
      </w:r>
      <w:r w:rsidR="003B230D">
        <w:t xml:space="preserve"> 2000 </w:t>
      </w:r>
      <w:r w:rsidR="00DA4D1E" w:rsidRPr="007B466C">
        <w:rPr>
          <w:color w:val="000000"/>
          <w:w w:val="56"/>
          <w:shd w:val="solid" w:color="000000" w:fill="000000"/>
          <w:fitText w:val="1685" w:id="-1402785792"/>
          <w14:textFill>
            <w14:solidFill>
              <w14:srgbClr w14:val="000000">
                <w14:alpha w14:val="100000"/>
              </w14:srgbClr>
            </w14:solidFill>
          </w14:textFill>
        </w:rPr>
        <w:t>|||||||||||||  ||||||||||||</w:t>
      </w:r>
      <w:r w:rsidR="00DA4D1E" w:rsidRPr="007B466C">
        <w:rPr>
          <w:color w:val="000000"/>
          <w:spacing w:val="15"/>
          <w:w w:val="56"/>
          <w:shd w:val="solid" w:color="000000" w:fill="000000"/>
          <w:fitText w:val="1685" w:id="-1402785792"/>
          <w14:textFill>
            <w14:solidFill>
              <w14:srgbClr w14:val="000000">
                <w14:alpha w14:val="100000"/>
              </w14:srgbClr>
            </w14:solidFill>
          </w14:textFill>
        </w:rPr>
        <w:t>|</w:t>
      </w:r>
      <w:r w:rsidR="00DA4D1E">
        <w:rPr>
          <w:highlight w:val="green"/>
          <w:shd w:val="clear" w:color="auto" w:fill="C0C0C1"/>
        </w:rPr>
        <w:t xml:space="preserve"> </w:t>
      </w:r>
      <w:r w:rsidR="00DA4D1E" w:rsidRPr="007B466C">
        <w:rPr>
          <w:color w:val="000000"/>
          <w:w w:val="54"/>
          <w:shd w:val="solid" w:color="000000" w:fill="000000"/>
          <w:fitText w:val="8912" w:id="-1402785791"/>
          <w14:textFill>
            <w14:solidFill>
              <w14:srgbClr w14:val="000000">
                <w14:alpha w14:val="100000"/>
              </w14:srgbClr>
            </w14:solidFill>
          </w14:textFill>
        </w:rPr>
        <w:t>|||||||||||||||||||||||||||||||||||||||||||||||||||||||||||||||||||||||||  ||||||||||||||||||||||||||||||||||||||||||||||||||||||||||||||||||||||||</w:t>
      </w:r>
      <w:r w:rsidR="00DA4D1E" w:rsidRPr="007B466C">
        <w:rPr>
          <w:color w:val="000000"/>
          <w:spacing w:val="144"/>
          <w:w w:val="54"/>
          <w:shd w:val="solid" w:color="000000" w:fill="000000"/>
          <w:fitText w:val="8912" w:id="-1402785791"/>
          <w14:textFill>
            <w14:solidFill>
              <w14:srgbClr w14:val="000000">
                <w14:alpha w14:val="100000"/>
              </w14:srgbClr>
            </w14:solidFill>
          </w14:textFill>
        </w:rPr>
        <w:t>|</w:t>
      </w:r>
      <w:r w:rsidR="00DA4D1E">
        <w:rPr>
          <w:highlight w:val="green"/>
          <w:shd w:val="clear" w:color="auto" w:fill="C0C0C1"/>
        </w:rPr>
        <w:t xml:space="preserve"> </w:t>
      </w:r>
      <w:r w:rsidR="00DA4D1E" w:rsidRPr="007B466C">
        <w:rPr>
          <w:color w:val="000000"/>
          <w:spacing w:val="1"/>
          <w:w w:val="54"/>
          <w:shd w:val="solid" w:color="000000" w:fill="000000"/>
          <w:fitText w:val="8885" w:id="-1402785790"/>
          <w14:textFill>
            <w14:solidFill>
              <w14:srgbClr w14:val="000000">
                <w14:alpha w14:val="100000"/>
              </w14:srgbClr>
            </w14:solidFill>
          </w14:textFill>
        </w:rPr>
        <w:t>|||||||||||||||||||||||||||||||||||||||||||||||||||||||||||||||||||||||||  ||||||||||||||||||||||||||||||||||||||||||||||||||||||||||||||||||||||||</w:t>
      </w:r>
      <w:r w:rsidR="00DA4D1E" w:rsidRPr="007B466C">
        <w:rPr>
          <w:color w:val="000000"/>
          <w:spacing w:val="-29"/>
          <w:w w:val="54"/>
          <w:shd w:val="solid" w:color="000000" w:fill="000000"/>
          <w:fitText w:val="8885" w:id="-1402785790"/>
          <w14:textFill>
            <w14:solidFill>
              <w14:srgbClr w14:val="000000">
                <w14:alpha w14:val="100000"/>
              </w14:srgbClr>
            </w14:solidFill>
          </w14:textFill>
        </w:rPr>
        <w:t>|</w:t>
      </w:r>
      <w:r w:rsidR="00DA4D1E">
        <w:rPr>
          <w:highlight w:val="green"/>
          <w:shd w:val="clear" w:color="auto" w:fill="C0C0C1"/>
        </w:rPr>
        <w:t xml:space="preserve"> </w:t>
      </w:r>
      <w:r w:rsidR="00DA4D1E" w:rsidRPr="007B466C">
        <w:rPr>
          <w:color w:val="000000"/>
          <w:spacing w:val="1"/>
          <w:w w:val="54"/>
          <w:shd w:val="solid" w:color="000000" w:fill="000000"/>
          <w:fitText w:val="8875" w:id="-1402785789"/>
          <w14:textFill>
            <w14:solidFill>
              <w14:srgbClr w14:val="000000">
                <w14:alpha w14:val="100000"/>
              </w14:srgbClr>
            </w14:solidFill>
          </w14:textFill>
        </w:rPr>
        <w:t>|||||||||||||||||||||||||||||||||||||||||||||||||||||||||||||||||||||||||  ||||||||||||||||||||||||||||||||||||||||||||||||||||||||||||||||||||||||</w:t>
      </w:r>
      <w:r w:rsidR="00DA4D1E" w:rsidRPr="007B466C">
        <w:rPr>
          <w:color w:val="000000"/>
          <w:spacing w:val="-39"/>
          <w:w w:val="54"/>
          <w:shd w:val="solid" w:color="000000" w:fill="000000"/>
          <w:fitText w:val="8875" w:id="-1402785789"/>
          <w14:textFill>
            <w14:solidFill>
              <w14:srgbClr w14:val="000000">
                <w14:alpha w14:val="100000"/>
              </w14:srgbClr>
            </w14:solidFill>
          </w14:textFill>
        </w:rPr>
        <w:t>|</w:t>
      </w:r>
      <w:r w:rsidR="00DA4D1E">
        <w:rPr>
          <w:highlight w:val="green"/>
          <w:shd w:val="clear" w:color="auto" w:fill="C0C0C1"/>
        </w:rPr>
        <w:t xml:space="preserve"> </w:t>
      </w:r>
      <w:r w:rsidR="00DA4D1E" w:rsidRPr="007B466C">
        <w:rPr>
          <w:color w:val="000000"/>
          <w:w w:val="54"/>
          <w:shd w:val="solid" w:color="000000" w:fill="000000"/>
          <w:fitText w:val="8857" w:id="-1402785788"/>
          <w14:textFill>
            <w14:solidFill>
              <w14:srgbClr w14:val="000000">
                <w14:alpha w14:val="100000"/>
              </w14:srgbClr>
            </w14:solidFill>
          </w14:textFill>
        </w:rPr>
        <w:t>|||||||||||||||||||||||||||||||||||||||||||||||||||||||||||||||||||||||||  ||||||||||||||||||||||||||||||||||||||||||||||||||||||||||||||||||||||||</w:t>
      </w:r>
      <w:r w:rsidR="00DA4D1E" w:rsidRPr="007B466C">
        <w:rPr>
          <w:color w:val="000000"/>
          <w:spacing w:val="89"/>
          <w:w w:val="54"/>
          <w:shd w:val="solid" w:color="000000" w:fill="000000"/>
          <w:fitText w:val="8857" w:id="-1402785788"/>
          <w14:textFill>
            <w14:solidFill>
              <w14:srgbClr w14:val="000000">
                <w14:alpha w14:val="100000"/>
              </w14:srgbClr>
            </w14:solidFill>
          </w14:textFill>
        </w:rPr>
        <w:t>|</w:t>
      </w:r>
      <w:r w:rsidR="00DA4D1E">
        <w:rPr>
          <w:highlight w:val="green"/>
          <w:shd w:val="clear" w:color="auto" w:fill="C0C0C1"/>
        </w:rPr>
        <w:t xml:space="preserve"> </w:t>
      </w:r>
      <w:r w:rsidR="00DA4D1E" w:rsidRPr="007B466C">
        <w:rPr>
          <w:color w:val="000000"/>
          <w:w w:val="53"/>
          <w:shd w:val="solid" w:color="000000" w:fill="000000"/>
          <w:fitText w:val="2085" w:id="-1402785787"/>
          <w14:textFill>
            <w14:solidFill>
              <w14:srgbClr w14:val="000000">
                <w14:alpha w14:val="100000"/>
              </w14:srgbClr>
            </w14:solidFill>
          </w14:textFill>
        </w:rPr>
        <w:t>|||||||||||||||||  ||||||||||||||||</w:t>
      </w:r>
      <w:r w:rsidR="00DA4D1E" w:rsidRPr="007B466C">
        <w:rPr>
          <w:color w:val="000000"/>
          <w:spacing w:val="39"/>
          <w:w w:val="53"/>
          <w:shd w:val="solid" w:color="000000" w:fill="000000"/>
          <w:fitText w:val="2085" w:id="-1402785787"/>
          <w14:textFill>
            <w14:solidFill>
              <w14:srgbClr w14:val="000000">
                <w14:alpha w14:val="100000"/>
              </w14:srgbClr>
            </w14:solidFill>
          </w14:textFill>
        </w:rPr>
        <w:t>|</w:t>
      </w:r>
    </w:p>
    <w:p w14:paraId="48F8FB1D" w14:textId="3C787F31" w:rsidR="00C2289D" w:rsidRDefault="00DA4D1E" w:rsidP="009E0703">
      <w:pPr>
        <w:spacing w:after="120"/>
        <w:jc w:val="both"/>
      </w:pPr>
      <w:r w:rsidRPr="007B466C">
        <w:rPr>
          <w:color w:val="000000"/>
          <w:spacing w:val="1"/>
          <w:w w:val="54"/>
          <w:shd w:val="solid" w:color="000000" w:fill="000000"/>
          <w:fitText w:val="8875" w:id="-1402785536"/>
          <w14:textFill>
            <w14:solidFill>
              <w14:srgbClr w14:val="000000">
                <w14:alpha w14:val="100000"/>
              </w14:srgbClr>
            </w14:solidFill>
          </w14:textFill>
        </w:rPr>
        <w:t>|||||||||||||||||||||||||||||||||||||||||||||||||||||||||||||||||||||||||  ||||||||||||||||||||||||||||||||||||||||||||||||||||||||||||||||||||||||</w:t>
      </w:r>
      <w:r w:rsidRPr="007B466C">
        <w:rPr>
          <w:color w:val="000000"/>
          <w:spacing w:val="-39"/>
          <w:w w:val="54"/>
          <w:shd w:val="solid" w:color="000000" w:fill="000000"/>
          <w:fitText w:val="8875" w:id="-1402785536"/>
          <w14:textFill>
            <w14:solidFill>
              <w14:srgbClr w14:val="000000">
                <w14:alpha w14:val="100000"/>
              </w14:srgbClr>
            </w14:solidFill>
          </w14:textFill>
        </w:rPr>
        <w:t>|</w:t>
      </w:r>
      <w:r>
        <w:rPr>
          <w:highlight w:val="green"/>
          <w:shd w:val="clear" w:color="auto" w:fill="C0C0C1"/>
        </w:rPr>
        <w:t xml:space="preserve"> </w:t>
      </w:r>
      <w:r w:rsidRPr="007B466C">
        <w:rPr>
          <w:color w:val="000000"/>
          <w:spacing w:val="1"/>
          <w:w w:val="54"/>
          <w:shd w:val="solid" w:color="000000" w:fill="000000"/>
          <w:fitText w:val="8885" w:id="-1402785535"/>
          <w14:textFill>
            <w14:solidFill>
              <w14:srgbClr w14:val="000000">
                <w14:alpha w14:val="100000"/>
              </w14:srgbClr>
            </w14:solidFill>
          </w14:textFill>
        </w:rPr>
        <w:t>|||||||||||||||||||||||||||||||||||||||||||||||||||||||||||||||||||||||||  ||||||||||||||||||||||||||||||||||||||||||||||||||||||||||||||||||||||||</w:t>
      </w:r>
      <w:r w:rsidRPr="007B466C">
        <w:rPr>
          <w:color w:val="000000"/>
          <w:spacing w:val="-29"/>
          <w:w w:val="54"/>
          <w:shd w:val="solid" w:color="000000" w:fill="000000"/>
          <w:fitText w:val="8885" w:id="-1402785535"/>
          <w14:textFill>
            <w14:solidFill>
              <w14:srgbClr w14:val="000000">
                <w14:alpha w14:val="100000"/>
              </w14:srgbClr>
            </w14:solidFill>
          </w14:textFill>
        </w:rPr>
        <w:t>|</w:t>
      </w:r>
      <w:r>
        <w:rPr>
          <w:highlight w:val="green"/>
          <w:shd w:val="clear" w:color="auto" w:fill="C0C0C1"/>
        </w:rPr>
        <w:t xml:space="preserve"> </w:t>
      </w:r>
      <w:r w:rsidRPr="007B466C">
        <w:rPr>
          <w:color w:val="000000"/>
          <w:w w:val="54"/>
          <w:shd w:val="solid" w:color="000000" w:fill="000000"/>
          <w:fitText w:val="8903" w:id="-1402785534"/>
          <w14:textFill>
            <w14:solidFill>
              <w14:srgbClr w14:val="000000">
                <w14:alpha w14:val="100000"/>
              </w14:srgbClr>
            </w14:solidFill>
          </w14:textFill>
        </w:rPr>
        <w:t>|||||||||||||||||||||||||||||||||||||||||||||||||||||||||||||||||||||||||  ||||||||||||||||||||||||||||||||||||||||||||||||||||||||||||||||||||||||</w:t>
      </w:r>
      <w:r w:rsidRPr="007B466C">
        <w:rPr>
          <w:color w:val="000000"/>
          <w:spacing w:val="135"/>
          <w:w w:val="54"/>
          <w:shd w:val="solid" w:color="000000" w:fill="000000"/>
          <w:fitText w:val="8903" w:id="-1402785534"/>
          <w14:textFill>
            <w14:solidFill>
              <w14:srgbClr w14:val="000000">
                <w14:alpha w14:val="100000"/>
              </w14:srgbClr>
            </w14:solidFill>
          </w14:textFill>
        </w:rPr>
        <w:t>|</w:t>
      </w:r>
      <w:r>
        <w:rPr>
          <w:highlight w:val="green"/>
          <w:shd w:val="clear" w:color="auto" w:fill="C0C0C1"/>
        </w:rPr>
        <w:t xml:space="preserve"> </w:t>
      </w:r>
      <w:r w:rsidRPr="007B466C">
        <w:rPr>
          <w:color w:val="000000"/>
          <w:spacing w:val="1"/>
          <w:w w:val="54"/>
          <w:shd w:val="solid" w:color="000000" w:fill="000000"/>
          <w:fitText w:val="8885" w:id="-1402785533"/>
          <w14:textFill>
            <w14:solidFill>
              <w14:srgbClr w14:val="000000">
                <w14:alpha w14:val="100000"/>
              </w14:srgbClr>
            </w14:solidFill>
          </w14:textFill>
        </w:rPr>
        <w:t>|||||||||||||||||||||||||||||||||||||||||||||||||||||||||||||||||||||||||  ||||||||||||||||||||||||||||||||||||||||||||||||||||||||||||||||||||||||</w:t>
      </w:r>
      <w:r w:rsidRPr="007B466C">
        <w:rPr>
          <w:color w:val="000000"/>
          <w:spacing w:val="-29"/>
          <w:w w:val="54"/>
          <w:shd w:val="solid" w:color="000000" w:fill="000000"/>
          <w:fitText w:val="8885" w:id="-1402785533"/>
          <w14:textFill>
            <w14:solidFill>
              <w14:srgbClr w14:val="000000">
                <w14:alpha w14:val="100000"/>
              </w14:srgbClr>
            </w14:solidFill>
          </w14:textFill>
        </w:rPr>
        <w:t>|</w:t>
      </w:r>
      <w:r>
        <w:rPr>
          <w:highlight w:val="green"/>
          <w:shd w:val="clear" w:color="auto" w:fill="C0C0C1"/>
        </w:rPr>
        <w:t xml:space="preserve"> </w:t>
      </w:r>
      <w:r w:rsidRPr="007B466C">
        <w:rPr>
          <w:color w:val="000000"/>
          <w:w w:val="54"/>
          <w:shd w:val="solid" w:color="000000" w:fill="000000"/>
          <w:fitText w:val="5257" w:id="-1402785532"/>
          <w14:textFill>
            <w14:solidFill>
              <w14:srgbClr w14:val="000000">
                <w14:alpha w14:val="100000"/>
              </w14:srgbClr>
            </w14:solidFill>
          </w14:textFill>
        </w:rPr>
        <w:t>|||||||||||||||||||||||||||||||||||||||||||  ||||||||||||||||||||||||||||||||||||||||||</w:t>
      </w:r>
      <w:r w:rsidRPr="007B466C">
        <w:rPr>
          <w:color w:val="000000"/>
          <w:spacing w:val="68"/>
          <w:w w:val="54"/>
          <w:shd w:val="solid" w:color="000000" w:fill="000000"/>
          <w:fitText w:val="5257" w:id="-1402785532"/>
          <w14:textFill>
            <w14:solidFill>
              <w14:srgbClr w14:val="000000">
                <w14:alpha w14:val="100000"/>
              </w14:srgbClr>
            </w14:solidFill>
          </w14:textFill>
        </w:rPr>
        <w:t>|</w:t>
      </w:r>
      <w:r>
        <w:rPr>
          <w:color w:val="000000"/>
          <w:shd w:val="solid" w:color="000000" w:fill="000000"/>
          <w14:textFill>
            <w14:solidFill>
              <w14:srgbClr w14:val="000000">
                <w14:alpha w14:val="100000"/>
              </w14:srgbClr>
            </w14:solidFill>
          </w14:textFill>
        </w:rPr>
        <w:t xml:space="preserve">  </w:t>
      </w:r>
      <w:r w:rsidR="002B7BE6" w:rsidRPr="00DA4D1E">
        <w:t>The listing</w:t>
      </w:r>
      <w:r w:rsidR="002B7BE6" w:rsidRPr="002B7BE6">
        <w:t xml:space="preserve"> allowed for a maximum of </w:t>
      </w:r>
      <w:r w:rsidR="001C5025">
        <w:t>nine</w:t>
      </w:r>
      <w:r w:rsidR="002B7BE6" w:rsidRPr="002B7BE6">
        <w:t xml:space="preserve"> weeks </w:t>
      </w:r>
      <w:r w:rsidR="00992D93">
        <w:t xml:space="preserve">of </w:t>
      </w:r>
      <w:r w:rsidR="002B7BE6" w:rsidRPr="002B7BE6">
        <w:t xml:space="preserve">PBS-subsidised </w:t>
      </w:r>
      <w:r w:rsidR="00992D93">
        <w:t>bupropion t</w:t>
      </w:r>
      <w:r w:rsidR="002B7BE6" w:rsidRPr="002B7BE6">
        <w:t>reatment per year.</w:t>
      </w:r>
    </w:p>
    <w:p w14:paraId="6803EDA5" w14:textId="455B29AE" w:rsidR="00C63428" w:rsidRPr="00DC5BAE" w:rsidRDefault="00EA1D99" w:rsidP="00C450E8">
      <w:pPr>
        <w:spacing w:after="120"/>
        <w:jc w:val="both"/>
      </w:pPr>
      <w:r>
        <w:t xml:space="preserve">In </w:t>
      </w:r>
      <w:r w:rsidR="00E466E5">
        <w:t xml:space="preserve">March </w:t>
      </w:r>
      <w:r>
        <w:t>2010</w:t>
      </w:r>
      <w:r w:rsidR="00AD3364">
        <w:t>,</w:t>
      </w:r>
      <w:r w:rsidR="00E466E5">
        <w:t xml:space="preserve"> the PBAC</w:t>
      </w:r>
      <w:r w:rsidR="00C274D8">
        <w:t xml:space="preserve"> </w:t>
      </w:r>
      <w:r w:rsidR="002717E9">
        <w:t>recommended</w:t>
      </w:r>
      <w:r w:rsidR="00C274D8">
        <w:t xml:space="preserve"> extend</w:t>
      </w:r>
      <w:r w:rsidR="00C450E8">
        <w:t>ing</w:t>
      </w:r>
      <w:r w:rsidR="00C274D8">
        <w:t xml:space="preserve"> the PBS listing</w:t>
      </w:r>
      <w:r w:rsidR="007433C4">
        <w:t xml:space="preserve"> of NRT </w:t>
      </w:r>
      <w:r w:rsidR="00573F59">
        <w:t>patches</w:t>
      </w:r>
      <w:r w:rsidR="00C274D8">
        <w:t xml:space="preserve"> to include patients in the general</w:t>
      </w:r>
      <w:r w:rsidR="00482187">
        <w:t xml:space="preserve"> </w:t>
      </w:r>
      <w:r w:rsidR="00C274D8">
        <w:t>community</w:t>
      </w:r>
      <w:r w:rsidR="002A25E6">
        <w:t xml:space="preserve">. </w:t>
      </w:r>
      <w:r w:rsidR="007E4C44">
        <w:t>Four</w:t>
      </w:r>
      <w:r w:rsidR="009A17F5">
        <w:t xml:space="preserve"> studies comparing bupropion with NRT </w:t>
      </w:r>
      <w:r w:rsidR="00573F59">
        <w:t>patches</w:t>
      </w:r>
      <w:r w:rsidR="009A17F5">
        <w:t xml:space="preserve"> were considered by the PBAC at this meeting</w:t>
      </w:r>
      <w:r w:rsidR="005F5E7F">
        <w:t xml:space="preserve"> (</w:t>
      </w:r>
      <w:r w:rsidR="0056469B">
        <w:t>Jorenby et al. 1999</w:t>
      </w:r>
      <w:r w:rsidR="00D95E05">
        <w:t>, Gorecka et al. 2003, Uyar et al. 2007</w:t>
      </w:r>
      <w:r w:rsidR="00DA57C7">
        <w:t xml:space="preserve"> and</w:t>
      </w:r>
      <w:r w:rsidR="00D95E05">
        <w:t xml:space="preserve"> Piper et al. 2009</w:t>
      </w:r>
      <w:r w:rsidR="00630AF1">
        <w:t>)</w:t>
      </w:r>
      <w:r w:rsidR="009C3971">
        <w:t>.</w:t>
      </w:r>
      <w:r w:rsidR="0056469B">
        <w:t xml:space="preserve"> </w:t>
      </w:r>
      <w:r w:rsidR="00341FBD" w:rsidRPr="007B466C">
        <w:rPr>
          <w:color w:val="000000"/>
          <w:spacing w:val="1"/>
          <w:w w:val="54"/>
          <w:shd w:val="solid" w:color="000000" w:fill="000000"/>
          <w:fitText w:val="6232" w:id="-1402784768"/>
          <w14:textFill>
            <w14:solidFill>
              <w14:srgbClr w14:val="000000">
                <w14:alpha w14:val="100000"/>
              </w14:srgbClr>
            </w14:solidFill>
          </w14:textFill>
        </w:rPr>
        <w:t>|||||||||||||||||||||||||||||||||||||||||||||||||||  ||||||||||||||||||||||||||||||||||||||||||||||||||</w:t>
      </w:r>
      <w:r w:rsidR="00341FBD" w:rsidRPr="007B466C">
        <w:rPr>
          <w:color w:val="000000"/>
          <w:spacing w:val="-13"/>
          <w:w w:val="54"/>
          <w:shd w:val="solid" w:color="000000" w:fill="000000"/>
          <w:fitText w:val="6232" w:id="-1402784768"/>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spacing w:val="1"/>
          <w:w w:val="54"/>
          <w:shd w:val="solid" w:color="000000" w:fill="000000"/>
          <w:fitText w:val="8885" w:id="-1402784767"/>
          <w14:textFill>
            <w14:solidFill>
              <w14:srgbClr w14:val="000000">
                <w14:alpha w14:val="100000"/>
              </w14:srgbClr>
            </w14:solidFill>
          </w14:textFill>
        </w:rPr>
        <w:t>|||||||||||||||||||||||||||||||||||||||||||||||||||||||||||||||||||||||||  ||||||||||||||||||||||||||||||||||||||||||||||||||||||||||||||||||||||||</w:t>
      </w:r>
      <w:r w:rsidR="00341FBD" w:rsidRPr="007B466C">
        <w:rPr>
          <w:color w:val="000000"/>
          <w:spacing w:val="-29"/>
          <w:w w:val="54"/>
          <w:shd w:val="solid" w:color="000000" w:fill="000000"/>
          <w:fitText w:val="8885" w:id="-1402784767"/>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spacing w:val="1"/>
          <w:w w:val="54"/>
          <w:shd w:val="solid" w:color="000000" w:fill="000000"/>
          <w:fitText w:val="7808" w:id="-1402784766"/>
          <w14:textFill>
            <w14:solidFill>
              <w14:srgbClr w14:val="000000">
                <w14:alpha w14:val="100000"/>
              </w14:srgbClr>
            </w14:solidFill>
          </w14:textFill>
        </w:rPr>
        <w:t>||||||||||||||||||||||||||||||||||||||||||||||||||||||||||||||||  |||||||||||||||||||||||||||||||||||||||||||||||||||||||||||||||</w:t>
      </w:r>
      <w:r w:rsidR="00341FBD" w:rsidRPr="007B466C">
        <w:rPr>
          <w:color w:val="000000"/>
          <w:spacing w:val="-14"/>
          <w:w w:val="54"/>
          <w:shd w:val="solid" w:color="000000" w:fill="000000"/>
          <w:fitText w:val="7808" w:id="-1402784766"/>
          <w14:textFill>
            <w14:solidFill>
              <w14:srgbClr w14:val="000000">
                <w14:alpha w14:val="100000"/>
              </w14:srgbClr>
            </w14:solidFill>
          </w14:textFill>
        </w:rPr>
        <w:t>|</w:t>
      </w:r>
      <w:r w:rsidR="001F2BBB">
        <w:t>the meta-analysis of t</w:t>
      </w:r>
      <w:r w:rsidR="00A60293">
        <w:t xml:space="preserve">he four studies demonstrated </w:t>
      </w:r>
      <w:r w:rsidR="003F62C3">
        <w:t xml:space="preserve">bupropion to be non-inferior to NRT </w:t>
      </w:r>
      <w:r w:rsidR="00573F59">
        <w:t>patches</w:t>
      </w:r>
      <w:r w:rsidR="00F15548">
        <w:t xml:space="preserve"> for sustained abstinence</w:t>
      </w:r>
      <w:r w:rsidR="00E110E1">
        <w:t xml:space="preserve"> at six months or greater</w:t>
      </w:r>
      <w:r w:rsidR="00FA7730">
        <w:t xml:space="preserve"> (</w:t>
      </w:r>
      <w:r w:rsidR="00FA7730" w:rsidRPr="0002630D">
        <w:t>NRT PSD</w:t>
      </w:r>
      <w:r w:rsidR="00D3062A" w:rsidRPr="0002630D">
        <w:t>,</w:t>
      </w:r>
      <w:r w:rsidR="000D4834" w:rsidRPr="0002630D">
        <w:t xml:space="preserve"> March</w:t>
      </w:r>
      <w:r w:rsidR="00D3062A" w:rsidRPr="0002630D">
        <w:t xml:space="preserve"> 2010</w:t>
      </w:r>
      <w:r w:rsidR="000D4834" w:rsidRPr="0002630D">
        <w:t xml:space="preserve"> PBAC meeting</w:t>
      </w:r>
      <w:r w:rsidR="00D3062A">
        <w:t>)</w:t>
      </w:r>
      <w:r w:rsidR="00E110E1">
        <w:t>.</w:t>
      </w:r>
      <w:r w:rsidR="00F15548">
        <w:t xml:space="preserve"> </w:t>
      </w:r>
    </w:p>
    <w:p w14:paraId="264D7446" w14:textId="0B6F8E55" w:rsidR="00C83EDA" w:rsidRPr="001A7D76" w:rsidRDefault="00C83EDA" w:rsidP="00C450E8">
      <w:pPr>
        <w:spacing w:after="120"/>
        <w:jc w:val="both"/>
        <w:rPr>
          <w:b/>
          <w:bCs/>
        </w:rPr>
      </w:pPr>
      <w:r w:rsidRPr="001A7D76">
        <w:rPr>
          <w:b/>
          <w:bCs/>
        </w:rPr>
        <w:t>Bupropion versus placebo</w:t>
      </w:r>
    </w:p>
    <w:p w14:paraId="2137304A" w14:textId="4249B0AC" w:rsidR="001E6534" w:rsidRDefault="00BC1C8A" w:rsidP="00C450E8">
      <w:pPr>
        <w:spacing w:after="120"/>
        <w:jc w:val="both"/>
      </w:pPr>
      <w:r>
        <w:t xml:space="preserve">A summary of the citation details for the studies </w:t>
      </w:r>
      <w:r w:rsidR="00626312">
        <w:t xml:space="preserve">comparing bupropion with placebo </w:t>
      </w:r>
      <w:r>
        <w:t xml:space="preserve">is presented in </w:t>
      </w:r>
      <w:r>
        <w:fldChar w:fldCharType="begin" w:fldLock="1"/>
      </w:r>
      <w:r>
        <w:instrText xml:space="preserve"> REF _Ref52962904 \h </w:instrText>
      </w:r>
      <w:r>
        <w:fldChar w:fldCharType="separate"/>
      </w:r>
      <w:r w:rsidR="00EC5CC7">
        <w:t xml:space="preserve">Table </w:t>
      </w:r>
      <w:r w:rsidR="00EC5CC7">
        <w:rPr>
          <w:noProof/>
        </w:rPr>
        <w:t>5</w:t>
      </w:r>
      <w:r>
        <w:fldChar w:fldCharType="end"/>
      </w:r>
      <w:r>
        <w:t>.</w:t>
      </w:r>
      <w:r w:rsidR="00626312">
        <w:t xml:space="preserve"> </w:t>
      </w:r>
      <w:r w:rsidR="00341FBD" w:rsidRPr="00341FBD">
        <w:rPr>
          <w:color w:val="000000"/>
          <w:spacing w:val="1"/>
          <w:w w:val="54"/>
          <w:shd w:val="solid" w:color="000000" w:fill="000000"/>
          <w:fitText w:val="6743" w:id="-1402784765"/>
          <w14:textFill>
            <w14:solidFill>
              <w14:srgbClr w14:val="000000">
                <w14:alpha w14:val="100000"/>
              </w14:srgbClr>
            </w14:solidFill>
          </w14:textFill>
        </w:rPr>
        <w:t>|||||||||||||||||||||||||||||||||||||||||||||||||||||||  ||||||||||||||||||||||||||||||||||||||||||||||||||||||</w:t>
      </w:r>
      <w:r w:rsidR="00341FBD" w:rsidRPr="00341FBD">
        <w:rPr>
          <w:color w:val="000000"/>
          <w:spacing w:val="11"/>
          <w:w w:val="54"/>
          <w:shd w:val="solid" w:color="000000" w:fill="000000"/>
          <w:fitText w:val="6743" w:id="-1402784765"/>
          <w14:textFill>
            <w14:solidFill>
              <w14:srgbClr w14:val="000000">
                <w14:alpha w14:val="100000"/>
              </w14:srgbClr>
            </w14:solidFill>
          </w14:textFill>
        </w:rPr>
        <w:t>|</w:t>
      </w:r>
      <w:r w:rsidR="00341FBD">
        <w:rPr>
          <w:highlight w:val="green"/>
          <w:shd w:val="clear" w:color="auto" w:fill="C0C0C1"/>
        </w:rPr>
        <w:t xml:space="preserve"> </w:t>
      </w:r>
      <w:r w:rsidR="00341FBD" w:rsidRPr="00341FBD">
        <w:rPr>
          <w:color w:val="000000"/>
          <w:spacing w:val="1"/>
          <w:w w:val="55"/>
          <w:shd w:val="solid" w:color="000000" w:fill="000000"/>
          <w:fitText w:val="2286" w:id="-1402784764"/>
          <w14:textFill>
            <w14:solidFill>
              <w14:srgbClr w14:val="000000">
                <w14:alpha w14:val="100000"/>
              </w14:srgbClr>
            </w14:solidFill>
          </w14:textFill>
        </w:rPr>
        <w:t>||||||||||||||||||  |||||||||||||||||</w:t>
      </w:r>
      <w:r w:rsidR="00341FBD" w:rsidRPr="00341FBD">
        <w:rPr>
          <w:color w:val="000000"/>
          <w:spacing w:val="4"/>
          <w:w w:val="55"/>
          <w:shd w:val="solid" w:color="000000" w:fill="000000"/>
          <w:fitText w:val="2286" w:id="-1402784764"/>
          <w14:textFill>
            <w14:solidFill>
              <w14:srgbClr w14:val="000000">
                <w14:alpha w14:val="100000"/>
              </w14:srgbClr>
            </w14:solidFill>
          </w14:textFill>
        </w:rPr>
        <w:t>|</w:t>
      </w:r>
      <w:r w:rsidR="00626312" w:rsidRPr="00626312">
        <w:t xml:space="preserve">A recently conducted Cochrane </w:t>
      </w:r>
      <w:r w:rsidR="000A7768">
        <w:t>R</w:t>
      </w:r>
      <w:r w:rsidR="00626312" w:rsidRPr="00626312">
        <w:t xml:space="preserve">eview by Howes et al. (2020) was identified </w:t>
      </w:r>
      <w:r w:rsidR="003C101B">
        <w:t>as well as o</w:t>
      </w:r>
      <w:r w:rsidR="001E6534">
        <w:t xml:space="preserve">ne new </w:t>
      </w:r>
      <w:r w:rsidR="00AE2B90">
        <w:t>RCT</w:t>
      </w:r>
      <w:r w:rsidR="00AE2B90" w:rsidRPr="001E6534">
        <w:t xml:space="preserve"> </w:t>
      </w:r>
      <w:r w:rsidR="001E6534" w:rsidRPr="001E6534">
        <w:t>in the supplemental literature search (Benowitz et al. 2018)</w:t>
      </w:r>
      <w:r w:rsidR="008A045A">
        <w:t xml:space="preserve"> both of which were</w:t>
      </w:r>
      <w:r w:rsidR="008A045A" w:rsidRPr="001E6534">
        <w:t xml:space="preserve"> included </w:t>
      </w:r>
      <w:r w:rsidR="008A045A">
        <w:t>in this report</w:t>
      </w:r>
      <w:r w:rsidR="008260A0" w:rsidRPr="001E6534">
        <w:t xml:space="preserve">. </w:t>
      </w:r>
    </w:p>
    <w:p w14:paraId="021FC787" w14:textId="1D56BF7A" w:rsidR="002764E0" w:rsidRDefault="002764E0" w:rsidP="00C450E8">
      <w:pPr>
        <w:pStyle w:val="Caption"/>
        <w:keepNext/>
        <w:spacing w:before="0" w:after="120"/>
        <w:jc w:val="both"/>
      </w:pPr>
      <w:bookmarkStart w:id="36" w:name="_Ref52962904"/>
      <w:r>
        <w:t xml:space="preserve">Table </w:t>
      </w:r>
      <w:r>
        <w:fldChar w:fldCharType="begin"/>
      </w:r>
      <w:r>
        <w:instrText>SEQ Table \* ARABIC</w:instrText>
      </w:r>
      <w:r>
        <w:fldChar w:fldCharType="separate"/>
      </w:r>
      <w:r w:rsidR="00EC5CC7">
        <w:rPr>
          <w:noProof/>
        </w:rPr>
        <w:t>5</w:t>
      </w:r>
      <w:r>
        <w:fldChar w:fldCharType="end"/>
      </w:r>
      <w:bookmarkEnd w:id="36"/>
      <w:r>
        <w:t>: List of studies comparing bupropion with placebo</w:t>
      </w:r>
    </w:p>
    <w:tbl>
      <w:tblPr>
        <w:tblStyle w:val="TableGrid"/>
        <w:tblW w:w="5000" w:type="pct"/>
        <w:tblLook w:val="04A0" w:firstRow="1" w:lastRow="0" w:firstColumn="1" w:lastColumn="0" w:noHBand="0" w:noVBand="1"/>
        <w:tblCaption w:val="Efficacy results of adalimumab trials (PASI 75 and DLQI)"/>
      </w:tblPr>
      <w:tblGrid>
        <w:gridCol w:w="846"/>
        <w:gridCol w:w="8170"/>
      </w:tblGrid>
      <w:tr w:rsidR="00324959" w:rsidRPr="00061F78" w14:paraId="2F2900F2" w14:textId="77777777" w:rsidTr="00DD3E34">
        <w:trPr>
          <w:cantSplit/>
          <w:trHeight w:val="329"/>
          <w:tblHeader/>
        </w:trPr>
        <w:tc>
          <w:tcPr>
            <w:tcW w:w="469" w:type="pct"/>
            <w:shd w:val="clear" w:color="auto" w:fill="BFBFBF" w:themeFill="background1" w:themeFillShade="BF"/>
            <w:tcMar>
              <w:left w:w="28" w:type="dxa"/>
              <w:right w:w="28" w:type="dxa"/>
            </w:tcMar>
          </w:tcPr>
          <w:p w14:paraId="04C7F771" w14:textId="30844EA3" w:rsidR="005879DD" w:rsidRPr="00061F78" w:rsidRDefault="00126B7B" w:rsidP="00944A49">
            <w:pPr>
              <w:pStyle w:val="Tableheading"/>
              <w:rPr>
                <w:rFonts w:eastAsia="MS Mincho"/>
              </w:rPr>
            </w:pPr>
            <w:r>
              <w:rPr>
                <w:rFonts w:eastAsia="MS Mincho"/>
              </w:rPr>
              <w:t>Study</w:t>
            </w:r>
          </w:p>
        </w:tc>
        <w:tc>
          <w:tcPr>
            <w:tcW w:w="4531" w:type="pct"/>
            <w:shd w:val="clear" w:color="auto" w:fill="BFBFBF" w:themeFill="background1" w:themeFillShade="BF"/>
          </w:tcPr>
          <w:p w14:paraId="066C512B" w14:textId="47EB02D2" w:rsidR="005879DD" w:rsidRDefault="005879DD" w:rsidP="00280114">
            <w:pPr>
              <w:pStyle w:val="Tableheading"/>
              <w:jc w:val="center"/>
              <w:rPr>
                <w:rFonts w:eastAsia="MS Mincho"/>
              </w:rPr>
            </w:pPr>
            <w:r>
              <w:rPr>
                <w:rFonts w:eastAsia="MS Mincho"/>
              </w:rPr>
              <w:t>Citation</w:t>
            </w:r>
          </w:p>
        </w:tc>
      </w:tr>
      <w:tr w:rsidR="00324959" w:rsidRPr="00061F78" w14:paraId="3D87FBD4" w14:textId="77777777" w:rsidTr="00813BCB">
        <w:trPr>
          <w:cantSplit/>
          <w:trHeight w:val="109"/>
        </w:trPr>
        <w:tc>
          <w:tcPr>
            <w:tcW w:w="469" w:type="pct"/>
            <w:shd w:val="clear" w:color="auto" w:fill="FFFFFF" w:themeFill="background1"/>
            <w:tcMar>
              <w:left w:w="28" w:type="dxa"/>
              <w:right w:w="28" w:type="dxa"/>
            </w:tcMar>
          </w:tcPr>
          <w:p w14:paraId="71618D1D" w14:textId="1BE4BF71" w:rsidR="003B6CC8" w:rsidRPr="00813BCB" w:rsidRDefault="003B6CC8" w:rsidP="00944A49">
            <w:pPr>
              <w:pStyle w:val="Tablewriting"/>
              <w:rPr>
                <w:rFonts w:eastAsia="MS Mincho"/>
              </w:rPr>
            </w:pPr>
            <w:r w:rsidRPr="00813BCB">
              <w:rPr>
                <w:rFonts w:eastAsia="MS Mincho"/>
              </w:rPr>
              <w:t>Hurt (1997)</w:t>
            </w:r>
            <w:hyperlink w:anchor="_ENREF_1" w:tooltip="Hurt, 1997 #531" w:history="1">
              <w:r w:rsidR="0039468B" w:rsidRPr="00813BCB">
                <w:rPr>
                  <w:rFonts w:eastAsia="MS Mincho"/>
                </w:rPr>
                <w:fldChar w:fldCharType="begin">
                  <w:fldData xml:space="preserve">PEVuZE5vdGU+PENpdGU+PEF1dGhvcj5IdXJ0PC9BdXRob3I+PFllYXI+MTk5NzwvWWVhcj48UmVj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==
</w:fldData>
                </w:fldChar>
              </w:r>
              <w:r w:rsidR="0039468B" w:rsidRPr="00813BCB">
                <w:rPr>
                  <w:rFonts w:eastAsia="MS Mincho"/>
                </w:rPr>
                <w:instrText xml:space="preserve"> ADDIN EN.CITE </w:instrText>
              </w:r>
              <w:r w:rsidR="0039468B" w:rsidRPr="00813BCB">
                <w:rPr>
                  <w:rFonts w:eastAsia="MS Mincho"/>
                </w:rPr>
                <w:fldChar w:fldCharType="begin">
                  <w:fldData xml:space="preserve">PEVuZE5vdGU+PENpdGU+PEF1dGhvcj5IdXJ0PC9BdXRob3I+PFllYXI+MTk5NzwvWWVhcj48UmVj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==
</w:fldData>
                </w:fldChar>
              </w:r>
              <w:r w:rsidR="0039468B" w:rsidRPr="00813BCB">
                <w:rPr>
                  <w:rFonts w:eastAsia="MS Mincho"/>
                </w:rPr>
                <w:instrText xml:space="preserve"> ADDIN EN.CITE.DATA </w:instrText>
              </w:r>
              <w:r w:rsidR="0039468B" w:rsidRPr="00813BCB">
                <w:rPr>
                  <w:rFonts w:eastAsia="MS Mincho"/>
                </w:rPr>
              </w:r>
              <w:r w:rsidR="0039468B" w:rsidRPr="00813BCB">
                <w:rPr>
                  <w:rFonts w:eastAsia="MS Mincho"/>
                </w:rPr>
                <w:fldChar w:fldCharType="end"/>
              </w:r>
              <w:r w:rsidR="0039468B" w:rsidRPr="00813BCB">
                <w:rPr>
                  <w:rFonts w:eastAsia="MS Mincho"/>
                </w:rPr>
              </w:r>
              <w:r w:rsidR="0039468B" w:rsidRPr="00813BCB">
                <w:rPr>
                  <w:rFonts w:eastAsia="MS Mincho"/>
                </w:rPr>
                <w:fldChar w:fldCharType="separate"/>
              </w:r>
              <w:r w:rsidR="0039468B" w:rsidRPr="00813BCB">
                <w:rPr>
                  <w:rFonts w:eastAsia="MS Mincho"/>
                  <w:vertAlign w:val="superscript"/>
                </w:rPr>
                <w:t>1</w:t>
              </w:r>
              <w:r w:rsidR="0039468B" w:rsidRPr="00813BCB">
                <w:rPr>
                  <w:rFonts w:eastAsia="MS Mincho"/>
                </w:rPr>
                <w:fldChar w:fldCharType="end"/>
              </w:r>
            </w:hyperlink>
          </w:p>
        </w:tc>
        <w:tc>
          <w:tcPr>
            <w:tcW w:w="4531" w:type="pct"/>
            <w:shd w:val="clear" w:color="auto" w:fill="FFFFFF" w:themeFill="background1"/>
          </w:tcPr>
          <w:p w14:paraId="466F7929" w14:textId="4AA5675D" w:rsidR="003B6CC8" w:rsidRPr="00813BCB" w:rsidRDefault="003B6CC8" w:rsidP="00944A49">
            <w:pPr>
              <w:pStyle w:val="Tablewriting"/>
              <w:rPr>
                <w:rFonts w:eastAsia="MS Mincho"/>
              </w:rPr>
            </w:pPr>
            <w:r w:rsidRPr="00813BCB">
              <w:rPr>
                <w:rFonts w:eastAsia="MS Mincho"/>
              </w:rPr>
              <w:t>Hurt RD, Sachs DP, Glover ED, Offord KP, Johnston JA, Dale LC, Khayrallah MA, Schroeder DR, Glover PN, Sullivan CR, Croghan IT, Sullivan PM. A comparison of sustained-release bupropion and placebo for smoking cessation. N Engl J Med. 1997 Oct 23;337(17):1195-202.</w:t>
            </w:r>
          </w:p>
        </w:tc>
      </w:tr>
      <w:tr w:rsidR="00324959" w:rsidRPr="00061F78" w14:paraId="4AB2AD4F" w14:textId="77777777" w:rsidTr="00813BCB">
        <w:trPr>
          <w:cantSplit/>
          <w:trHeight w:val="109"/>
        </w:trPr>
        <w:tc>
          <w:tcPr>
            <w:tcW w:w="469" w:type="pct"/>
            <w:shd w:val="clear" w:color="auto" w:fill="FFFFFF" w:themeFill="background1"/>
            <w:tcMar>
              <w:left w:w="28" w:type="dxa"/>
              <w:right w:w="28" w:type="dxa"/>
            </w:tcMar>
          </w:tcPr>
          <w:p w14:paraId="53160E2B" w14:textId="31910D05" w:rsidR="005879DD" w:rsidRPr="00813BCB" w:rsidRDefault="005879DD" w:rsidP="00944A49">
            <w:pPr>
              <w:pStyle w:val="Tablewriting"/>
              <w:rPr>
                <w:rFonts w:eastAsia="MS Mincho"/>
              </w:rPr>
            </w:pPr>
            <w:r w:rsidRPr="00813BCB">
              <w:rPr>
                <w:rFonts w:eastAsia="MS Mincho"/>
              </w:rPr>
              <w:t>Jorenby (1999)</w:t>
            </w:r>
            <w:hyperlink w:anchor="_ENREF_2" w:tooltip="Jorenby, 1999 #545" w:history="1">
              <w:r w:rsidR="0039468B" w:rsidRPr="00813BCB">
                <w:rPr>
                  <w:rFonts w:eastAsia="MS Mincho"/>
                </w:rPr>
                <w:fldChar w:fldCharType="begin">
                  <w:fldData xml:space="preserve">PEVuZE5vdGU+PENpdGU+PEF1dGhvcj5Kb3JlbmJ5PC9BdXRob3I+PFllYXI+MTk5OTwvWWVhcj48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==
</w:fldData>
                </w:fldChar>
              </w:r>
              <w:r w:rsidR="0039468B" w:rsidRPr="00813BCB">
                <w:rPr>
                  <w:rFonts w:eastAsia="MS Mincho"/>
                </w:rPr>
                <w:instrText xml:space="preserve"> ADDIN EN.CITE </w:instrText>
              </w:r>
              <w:r w:rsidR="0039468B" w:rsidRPr="00813BCB">
                <w:rPr>
                  <w:rFonts w:eastAsia="MS Mincho"/>
                </w:rPr>
                <w:fldChar w:fldCharType="begin">
                  <w:fldData xml:space="preserve">PEVuZE5vdGU+PENpdGU+PEF1dGhvcj5Kb3JlbmJ5PC9BdXRob3I+PFllYXI+MTk5OTwvWWVhcj48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==
</w:fldData>
                </w:fldChar>
              </w:r>
              <w:r w:rsidR="0039468B" w:rsidRPr="00813BCB">
                <w:rPr>
                  <w:rFonts w:eastAsia="MS Mincho"/>
                </w:rPr>
                <w:instrText xml:space="preserve"> ADDIN EN.CITE.DATA </w:instrText>
              </w:r>
              <w:r w:rsidR="0039468B" w:rsidRPr="00813BCB">
                <w:rPr>
                  <w:rFonts w:eastAsia="MS Mincho"/>
                </w:rPr>
              </w:r>
              <w:r w:rsidR="0039468B" w:rsidRPr="00813BCB">
                <w:rPr>
                  <w:rFonts w:eastAsia="MS Mincho"/>
                </w:rPr>
                <w:fldChar w:fldCharType="end"/>
              </w:r>
              <w:r w:rsidR="0039468B" w:rsidRPr="00813BCB">
                <w:rPr>
                  <w:rFonts w:eastAsia="MS Mincho"/>
                </w:rPr>
              </w:r>
              <w:r w:rsidR="0039468B" w:rsidRPr="00813BCB">
                <w:rPr>
                  <w:rFonts w:eastAsia="MS Mincho"/>
                </w:rPr>
                <w:fldChar w:fldCharType="separate"/>
              </w:r>
              <w:r w:rsidR="0039468B" w:rsidRPr="00813BCB">
                <w:rPr>
                  <w:rFonts w:eastAsia="MS Mincho"/>
                  <w:vertAlign w:val="superscript"/>
                </w:rPr>
                <w:t>2</w:t>
              </w:r>
              <w:r w:rsidR="0039468B" w:rsidRPr="00813BCB">
                <w:rPr>
                  <w:rFonts w:eastAsia="MS Mincho"/>
                </w:rPr>
                <w:fldChar w:fldCharType="end"/>
              </w:r>
            </w:hyperlink>
          </w:p>
        </w:tc>
        <w:tc>
          <w:tcPr>
            <w:tcW w:w="4531" w:type="pct"/>
            <w:shd w:val="clear" w:color="auto" w:fill="FFFFFF" w:themeFill="background1"/>
          </w:tcPr>
          <w:p w14:paraId="102A61B0" w14:textId="5DFD757E" w:rsidR="005879DD" w:rsidRPr="00813BCB" w:rsidRDefault="002764E0" w:rsidP="00944A49">
            <w:pPr>
              <w:pStyle w:val="Tablewriting"/>
              <w:rPr>
                <w:rFonts w:eastAsia="MS Mincho"/>
              </w:rPr>
            </w:pPr>
            <w:r w:rsidRPr="00813BCB">
              <w:rPr>
                <w:rFonts w:eastAsia="MS Mincho"/>
              </w:rPr>
              <w:t>Jorenby DE, Leischow SJ, Nides MA, Rennard SI, Johnston JA, Hughes AR, Smith SS, Muramoto ML, Daughton DM, Doan K, Fiore MC, Baker TB. A controlled trial of sustained-release bupropion, a nicotine patch, or both for smoking cessation. N Engl J Med. 1999 Mar 4;340(9):685-91.</w:t>
            </w:r>
          </w:p>
        </w:tc>
      </w:tr>
      <w:tr w:rsidR="00324959" w:rsidRPr="00061F78" w14:paraId="5DB66182" w14:textId="77777777" w:rsidTr="00DD3E34">
        <w:trPr>
          <w:cantSplit/>
          <w:trHeight w:val="164"/>
        </w:trPr>
        <w:tc>
          <w:tcPr>
            <w:tcW w:w="469" w:type="pct"/>
            <w:tcMar>
              <w:left w:w="28" w:type="dxa"/>
              <w:right w:w="28" w:type="dxa"/>
            </w:tcMar>
          </w:tcPr>
          <w:p w14:paraId="43AF7CBA" w14:textId="24AD50C9" w:rsidR="005879DD" w:rsidRPr="00D07303" w:rsidRDefault="005879DD" w:rsidP="00944A49">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hyperlink w:anchor="_ENREF_3" w:tooltip="Howes, 2020 #530" w:history="1">
              <w:r w:rsidR="0039468B">
                <w:rPr>
                  <w:rFonts w:eastAsia="MS Mincho"/>
                </w:rPr>
                <w:fldChar w:fldCharType="begin"/>
              </w:r>
              <w:r w:rsidR="0039468B">
                <w:rPr>
                  <w:rFonts w:eastAsia="MS Mincho"/>
                </w:rPr>
                <w:instrText xml:space="preserve"> ADDIN EN.CITE &lt;EndNote&gt;&lt;Cite&gt;&lt;Author&gt;Howes&lt;/Author&gt;&lt;Year&gt;2020&lt;/Year&gt;&lt;RecNum&gt;530&lt;/RecNum&gt;&lt;DisplayText&gt;&lt;style face="superscript"&gt;3&lt;/style&gt;&lt;/DisplayText&gt;&lt;record&gt;&lt;rec-number&gt;530&lt;/rec-number&gt;&lt;foreign-keys&gt;&lt;key app="EN" db-id="2xwa055rhevv2yef5v75fepy2azsv0xvx</w:instrText>
              </w:r>
              <w:r w:rsidR="0039468B">
                <w:rPr>
                  <w:rFonts w:eastAsia="MS Mincho" w:hint="eastAsia"/>
                </w:rPr>
                <w:instrText>9w9" timestamp="1602031206"&gt;530&lt;/key&gt;&lt;/foreign-keys&gt;&lt;ref-type name="Journal Article"&gt;17&lt;/ref-type&gt;&lt;contributors&gt;&lt;authors&gt;&lt;author&gt;Howes, S.&lt;/author&gt;&lt;author&gt;Hartmann</w:instrText>
              </w:r>
              <w:r w:rsidR="0039468B">
                <w:rPr>
                  <w:rFonts w:eastAsia="MS Mincho" w:hint="eastAsia"/>
                </w:rPr>
                <w:instrText>‐</w:instrText>
              </w:r>
              <w:r w:rsidR="0039468B">
                <w:rPr>
                  <w:rFonts w:eastAsia="MS Mincho" w:hint="eastAsia"/>
                </w:rPr>
                <w:instrText>Boyce, J.&lt;/author&gt;&lt;author&gt;Livingstone</w:instrText>
              </w:r>
              <w:r w:rsidR="0039468B">
                <w:rPr>
                  <w:rFonts w:eastAsia="MS Mincho" w:hint="eastAsia"/>
                </w:rPr>
                <w:instrText>‐</w:instrText>
              </w:r>
              <w:r w:rsidR="0039468B">
                <w:rPr>
                  <w:rFonts w:eastAsia="MS Mincho" w:hint="eastAsia"/>
                </w:rPr>
                <w:instrText>Banks, J.&lt;/author&gt;&lt;author&gt;Hong, B.&lt;/author&gt;&lt;author&gt;Li</w:instrText>
              </w:r>
              <w:r w:rsidR="0039468B">
                <w:rPr>
                  <w:rFonts w:eastAsia="MS Mincho"/>
                </w:rPr>
                <w:instrText>ndson, N.&lt;/author&gt;&lt;/authors&gt;&lt;/contributors&gt;&lt;titles&gt;&lt;title&gt;Antidepressants for smoking cessation&lt;/title&gt;&lt;secondary-title&gt;Cochrane Database of Systematic Reviews&lt;/secondary-title&gt;&lt;/titles&gt;&lt;periodical&gt;&lt;full-title&gt;Cochrane Database of Systematic Reviews&lt;/full</w:instrText>
              </w:r>
              <w:r w:rsidR="0039468B">
                <w:rPr>
                  <w:rFonts w:eastAsia="MS Mincho" w:hint="eastAsia"/>
                </w:rPr>
                <w:instrText>-title&gt;&lt;/periodical&gt;&lt;number&gt;4&lt;/number&gt;&lt;keywords&gt;&lt;keyword&gt;Antidepressive Agents [adverse effects, *therapeutic use]&lt;/keyword&gt;&lt;keyword&gt;Anti</w:instrText>
              </w:r>
              <w:r w:rsidR="0039468B">
                <w:rPr>
                  <w:rFonts w:eastAsia="MS Mincho" w:hint="eastAsia"/>
                </w:rPr>
                <w:instrText>‐</w:instrText>
              </w:r>
              <w:r w:rsidR="0039468B">
                <w:rPr>
                  <w:rFonts w:eastAsia="MS Mincho" w:hint="eastAsia"/>
                </w:rPr>
                <w:instrText>Anxiety Agents [adverse effects, *therapeutic use]&lt;/keyword&gt;&lt;keyword&gt;Bupropion [adverse effects, therapeutic use]&lt;/ke</w:instrText>
              </w:r>
              <w:r w:rsidR="0039468B">
                <w:rPr>
                  <w:rFonts w:eastAsia="MS Mincho"/>
                </w:rPr>
                <w:instrText>yword&gt;&lt;keyword&gt;Humans&lt;/keyword&gt;&lt;keyword&gt;Nortriptyline [therapeutic use]&lt;/keyword&gt;&lt;keyword&gt;Randomized Controlled Trials as Topic&lt;/keyword&gt;&lt;keyword&gt;Serotonin Uptake Inhibitors [therapeutic use]&lt;/keyword&gt;&lt;keyword&gt;Smoking Cessation [*methods, psychology]&lt;/keyword&gt;&lt;keyword&gt;Smoking [*drug therapy, psychology]&lt;/keyword&gt;&lt;keyword&gt;Tobacco Use Cessation Devices&lt;/keyword&gt;&lt;keyword&gt;Varenicline [adverse effects, therapeutic use]&lt;/keyword&gt;&lt;/keywords&gt;&lt;dates&gt;&lt;year&gt;2020&lt;/year&gt;&lt;/dates&gt;&lt;publisher&gt;John Wiley &amp;amp; Sons, Ltd&lt;/publisher&gt;&lt;isbn&gt;1465-1858&lt;/isbn&gt;&lt;accession-num&gt;CD000031&lt;/accession-num&gt;&lt;urls&gt;&lt;related-urls&gt;&lt;url&gt;https://doi.org//10.1002/14651858.CD000031.pub5&lt;/url&gt;&lt;/related-urls&gt;&lt;/urls&gt;&lt;electronic-resource-num&gt;10.1002/14651858.CD000031.pub5&lt;/electronic-resource-num&gt;&lt;/record&gt;&lt;/Cite&gt;&lt;/EndNote&gt;</w:instrText>
              </w:r>
              <w:r w:rsidR="0039468B">
                <w:rPr>
                  <w:rFonts w:eastAsia="MS Mincho"/>
                </w:rPr>
                <w:fldChar w:fldCharType="separate"/>
              </w:r>
              <w:r w:rsidR="0039468B" w:rsidRPr="007A3AB0">
                <w:rPr>
                  <w:rFonts w:eastAsia="MS Mincho"/>
                  <w:noProof/>
                  <w:vertAlign w:val="superscript"/>
                </w:rPr>
                <w:t>3</w:t>
              </w:r>
              <w:r w:rsidR="0039468B">
                <w:rPr>
                  <w:rFonts w:eastAsia="MS Mincho"/>
                </w:rPr>
                <w:fldChar w:fldCharType="end"/>
              </w:r>
            </w:hyperlink>
            <w:r w:rsidR="00440C74" w:rsidRPr="00D07303">
              <w:rPr>
                <w:rFonts w:eastAsia="MS Mincho"/>
                <w:vertAlign w:val="superscript"/>
              </w:rPr>
              <w:t xml:space="preserve"> </w:t>
            </w:r>
          </w:p>
        </w:tc>
        <w:tc>
          <w:tcPr>
            <w:tcW w:w="4531" w:type="pct"/>
          </w:tcPr>
          <w:p w14:paraId="3E50C662" w14:textId="1E91CB09" w:rsidR="005879DD" w:rsidRDefault="008260A0" w:rsidP="00944A49">
            <w:pPr>
              <w:pStyle w:val="Tablewriting"/>
              <w:rPr>
                <w:rFonts w:eastAsia="MS Mincho"/>
              </w:rPr>
            </w:pPr>
            <w:r w:rsidRPr="002764E0">
              <w:rPr>
                <w:rFonts w:eastAsia="MS Mincho"/>
              </w:rPr>
              <w:t>Howes S</w:t>
            </w:r>
            <w:r w:rsidR="002764E0" w:rsidRPr="002764E0">
              <w:rPr>
                <w:rFonts w:eastAsia="MS Mincho"/>
              </w:rPr>
              <w:t>, Hartmann‐</w:t>
            </w:r>
            <w:r w:rsidRPr="002764E0">
              <w:rPr>
                <w:rFonts w:eastAsia="MS Mincho"/>
              </w:rPr>
              <w:t>Boyce J</w:t>
            </w:r>
            <w:r w:rsidR="002764E0" w:rsidRPr="002764E0">
              <w:rPr>
                <w:rFonts w:eastAsia="MS Mincho"/>
              </w:rPr>
              <w:t>, Livingstone‐</w:t>
            </w:r>
            <w:r w:rsidR="004C4EA7" w:rsidRPr="002764E0">
              <w:rPr>
                <w:rFonts w:eastAsia="MS Mincho"/>
              </w:rPr>
              <w:t>Banks J</w:t>
            </w:r>
            <w:r w:rsidR="002764E0" w:rsidRPr="002764E0">
              <w:rPr>
                <w:rFonts w:eastAsia="MS Mincho"/>
              </w:rPr>
              <w:t xml:space="preserve">, </w:t>
            </w:r>
            <w:r w:rsidR="004C4EA7" w:rsidRPr="002764E0">
              <w:rPr>
                <w:rFonts w:eastAsia="MS Mincho"/>
              </w:rPr>
              <w:t>Hong B</w:t>
            </w:r>
            <w:r w:rsidR="002764E0" w:rsidRPr="002764E0">
              <w:rPr>
                <w:rFonts w:eastAsia="MS Mincho"/>
              </w:rPr>
              <w:t xml:space="preserve">, </w:t>
            </w:r>
            <w:r w:rsidR="004C4EA7" w:rsidRPr="002764E0">
              <w:rPr>
                <w:rFonts w:eastAsia="MS Mincho"/>
              </w:rPr>
              <w:t>Lindson N.</w:t>
            </w:r>
            <w:r w:rsidR="002764E0" w:rsidRPr="002764E0">
              <w:rPr>
                <w:rFonts w:eastAsia="MS Mincho"/>
              </w:rPr>
              <w:t xml:space="preserve"> Antidepressants for smoking cessation. Cochrane Database of Systematic Reviews 2020, Issue 4. Art. No.: CD000031.</w:t>
            </w:r>
          </w:p>
        </w:tc>
      </w:tr>
      <w:tr w:rsidR="00324959" w:rsidRPr="00061F78" w14:paraId="2D146E8F" w14:textId="77777777" w:rsidTr="00DD3E34">
        <w:trPr>
          <w:cantSplit/>
          <w:trHeight w:val="164"/>
        </w:trPr>
        <w:tc>
          <w:tcPr>
            <w:tcW w:w="469" w:type="pct"/>
            <w:tcMar>
              <w:left w:w="28" w:type="dxa"/>
              <w:right w:w="28" w:type="dxa"/>
            </w:tcMar>
          </w:tcPr>
          <w:p w14:paraId="4C8521EE" w14:textId="2800EBF0" w:rsidR="007B1C3B" w:rsidRDefault="007B1C3B" w:rsidP="007B1C3B">
            <w:pPr>
              <w:pStyle w:val="Tablewriting"/>
              <w:rPr>
                <w:rFonts w:eastAsia="MS Mincho"/>
              </w:rPr>
            </w:pPr>
            <w:r>
              <w:rPr>
                <w:rFonts w:eastAsia="MS Mincho"/>
              </w:rPr>
              <w:t>Benowitz (2018)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531" w:type="pct"/>
          </w:tcPr>
          <w:p w14:paraId="2A738725" w14:textId="645D8898" w:rsidR="007B1C3B" w:rsidRPr="002764E0" w:rsidRDefault="007B1C3B" w:rsidP="007B1C3B">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14:paraId="0CD79A44" w14:textId="01764706" w:rsidR="00F84183" w:rsidRDefault="00F84183" w:rsidP="00C450E8">
      <w:pPr>
        <w:pStyle w:val="TableFooter"/>
        <w:spacing w:after="120"/>
        <w:contextualSpacing w:val="0"/>
        <w:jc w:val="both"/>
      </w:pPr>
      <w:r w:rsidRPr="00F84183">
        <w:t xml:space="preserve">Notes: </w:t>
      </w:r>
      <w:r w:rsidR="00341FBD" w:rsidRPr="00341FBD">
        <w:rPr>
          <w:color w:val="000000"/>
          <w:w w:val="65"/>
          <w:shd w:val="solid" w:color="000000" w:fill="000000"/>
          <w:fitText w:val="7863" w:id="-1402784512"/>
          <w14:textFill>
            <w14:solidFill>
              <w14:srgbClr w14:val="000000">
                <w14:alpha w14:val="100000"/>
              </w14:srgbClr>
            </w14:solidFill>
          </w14:textFill>
        </w:rPr>
        <w:t>|||||||||||||||||||||||||||||||||||||||||||||||||||||||||||||||||  ||||||||||||||||||||||||||||||||||||||||||||||||||||||||||||||||</w:t>
      </w:r>
      <w:r w:rsidR="00341FBD" w:rsidRPr="00341FBD">
        <w:rPr>
          <w:color w:val="000000"/>
          <w:spacing w:val="34"/>
          <w:w w:val="65"/>
          <w:shd w:val="solid" w:color="000000" w:fill="000000"/>
          <w:fitText w:val="7863" w:id="-1402784512"/>
          <w14:textFill>
            <w14:solidFill>
              <w14:srgbClr w14:val="000000">
                <w14:alpha w14:val="100000"/>
              </w14:srgbClr>
            </w14:solidFill>
          </w14:textFill>
        </w:rPr>
        <w:t>|</w:t>
      </w:r>
    </w:p>
    <w:p w14:paraId="3F6F1190" w14:textId="598ECC14" w:rsidR="006F73B5" w:rsidRDefault="006F67A4" w:rsidP="00C450E8">
      <w:pPr>
        <w:spacing w:before="120" w:after="120"/>
        <w:jc w:val="both"/>
      </w:pPr>
      <w:r>
        <w:t xml:space="preserve">A summary of the characteristics of the studies comparing bupropion with placebo is presented in </w:t>
      </w:r>
      <w:r>
        <w:fldChar w:fldCharType="begin" w:fldLock="1"/>
      </w:r>
      <w:r>
        <w:instrText xml:space="preserve"> REF _Ref52968204 \h </w:instrText>
      </w:r>
      <w:r w:rsidR="0026016E">
        <w:instrText xml:space="preserve"> \* MERGEFORMAT </w:instrText>
      </w:r>
      <w:r>
        <w:fldChar w:fldCharType="separate"/>
      </w:r>
      <w:r w:rsidR="00EC5CC7">
        <w:t xml:space="preserve">Table </w:t>
      </w:r>
      <w:r w:rsidR="00EC5CC7">
        <w:rPr>
          <w:noProof/>
        </w:rPr>
        <w:t>6</w:t>
      </w:r>
      <w:r>
        <w:fldChar w:fldCharType="end"/>
      </w:r>
      <w:r>
        <w:t xml:space="preserve">. </w:t>
      </w:r>
      <w:r w:rsidR="00FB6FEB">
        <w:t>A total of 46 randomised controlled trials</w:t>
      </w:r>
      <w:r w:rsidR="00B576FE">
        <w:t xml:space="preserve"> (RCTs)</w:t>
      </w:r>
      <w:r w:rsidR="00FB6FEB">
        <w:t xml:space="preserve"> comparing bupropion </w:t>
      </w:r>
      <w:r w:rsidR="00FB6FEB">
        <w:lastRenderedPageBreak/>
        <w:t xml:space="preserve">with placebo were identified by Howes et al. (2020). </w:t>
      </w:r>
      <w:r w:rsidR="00341FBD" w:rsidRPr="00341FBD">
        <w:rPr>
          <w:color w:val="000000"/>
          <w:w w:val="54"/>
          <w:shd w:val="solid" w:color="000000" w:fill="000000"/>
          <w:fitText w:val="3571" w:id="-1402784511"/>
          <w14:textFill>
            <w14:solidFill>
              <w14:srgbClr w14:val="000000">
                <w14:alpha w14:val="100000"/>
              </w14:srgbClr>
            </w14:solidFill>
          </w14:textFill>
        </w:rPr>
        <w:t>|||||||||||||||||||||||||||||  ||||||||||||||||||||||||||||</w:t>
      </w:r>
      <w:r w:rsidR="00341FBD" w:rsidRPr="00341FBD">
        <w:rPr>
          <w:color w:val="000000"/>
          <w:spacing w:val="52"/>
          <w:w w:val="54"/>
          <w:shd w:val="solid" w:color="000000" w:fill="000000"/>
          <w:fitText w:val="3571" w:id="-1402784511"/>
          <w14:textFill>
            <w14:solidFill>
              <w14:srgbClr w14:val="000000">
                <w14:alpha w14:val="100000"/>
              </w14:srgbClr>
            </w14:solidFill>
          </w14:textFill>
        </w:rPr>
        <w:t>|</w:t>
      </w:r>
      <w:r w:rsidR="00341FBD">
        <w:rPr>
          <w:highlight w:val="green"/>
          <w:shd w:val="clear" w:color="auto" w:fill="C0C0C1"/>
        </w:rPr>
        <w:t xml:space="preserve"> </w:t>
      </w:r>
      <w:r w:rsidR="00341FBD" w:rsidRPr="00341FBD">
        <w:rPr>
          <w:color w:val="000000"/>
          <w:w w:val="54"/>
          <w:shd w:val="solid" w:color="000000" w:fill="000000"/>
          <w:fitText w:val="3051" w:id="-1402784510"/>
          <w14:textFill>
            <w14:solidFill>
              <w14:srgbClr w14:val="000000">
                <w14:alpha w14:val="100000"/>
              </w14:srgbClr>
            </w14:solidFill>
          </w14:textFill>
        </w:rPr>
        <w:t>|||||||||||||||||||||||||  |||||||||||||||||||||||||</w:t>
      </w:r>
      <w:r>
        <w:t xml:space="preserve">The characteristics of the individual studies are presented in </w:t>
      </w:r>
      <w:r w:rsidRPr="00AE796D">
        <w:t xml:space="preserve">Appendix </w:t>
      </w:r>
      <w:r w:rsidR="00AA7796">
        <w:rPr>
          <w:highlight w:val="yellow"/>
        </w:rPr>
        <w:fldChar w:fldCharType="begin" w:fldLock="1"/>
      </w:r>
      <w:r w:rsidR="00AA7796">
        <w:rPr>
          <w:highlight w:val="yellow"/>
        </w:rPr>
        <w:instrText xml:space="preserve"> REF _Ref55118117 \h </w:instrText>
      </w:r>
      <w:r w:rsidR="00C450E8">
        <w:rPr>
          <w:highlight w:val="yellow"/>
        </w:rPr>
        <w:instrText xml:space="preserve"> \* MERGEFORMAT </w:instrText>
      </w:r>
      <w:r w:rsidR="00AA7796">
        <w:rPr>
          <w:highlight w:val="yellow"/>
        </w:rPr>
      </w:r>
      <w:r w:rsidR="00AA7796">
        <w:rPr>
          <w:highlight w:val="yellow"/>
        </w:rPr>
        <w:fldChar w:fldCharType="separate"/>
      </w:r>
      <w:r w:rsidR="00EC5CC7">
        <w:t xml:space="preserve">Table </w:t>
      </w:r>
      <w:r w:rsidR="00EC5CC7">
        <w:rPr>
          <w:noProof/>
        </w:rPr>
        <w:t>144</w:t>
      </w:r>
      <w:r w:rsidR="00AA7796">
        <w:rPr>
          <w:highlight w:val="yellow"/>
        </w:rPr>
        <w:fldChar w:fldCharType="end"/>
      </w:r>
      <w:r w:rsidR="00AA7796">
        <w:t>.</w:t>
      </w:r>
    </w:p>
    <w:p w14:paraId="4131C617" w14:textId="1E578511" w:rsidR="003E1BF9" w:rsidRDefault="003E1BF9" w:rsidP="00C450E8">
      <w:pPr>
        <w:spacing w:before="120" w:after="120"/>
        <w:jc w:val="both"/>
      </w:pPr>
      <w:r>
        <w:t xml:space="preserve">Benowitz et al. (2018) was a safety study </w:t>
      </w:r>
      <w:r w:rsidR="00F467E4">
        <w:t>(</w:t>
      </w:r>
      <w:r w:rsidR="00A95E3C">
        <w:t>n</w:t>
      </w:r>
      <w:r w:rsidR="00A95E3C" w:rsidRPr="00A95E3C">
        <w:t>on-treatment extension</w:t>
      </w:r>
      <w:r w:rsidR="00F467E4">
        <w:t>)</w:t>
      </w:r>
      <w:r w:rsidR="00A95E3C" w:rsidRPr="00A95E3C">
        <w:t xml:space="preserve"> </w:t>
      </w:r>
      <w:r w:rsidR="00F467E4">
        <w:t>of</w:t>
      </w:r>
      <w:r w:rsidR="00A95E3C" w:rsidRPr="00A95E3C">
        <w:t xml:space="preserve"> </w:t>
      </w:r>
      <w:r w:rsidR="00F467E4">
        <w:t>EAGLES (Anthenelli et al. 2016)</w:t>
      </w:r>
      <w:r w:rsidR="00F42E00">
        <w:t xml:space="preserve"> </w:t>
      </w:r>
      <w:r w:rsidR="007B1843">
        <w:t xml:space="preserve">comparing </w:t>
      </w:r>
      <w:r w:rsidR="00F70EDE">
        <w:t>NRT</w:t>
      </w:r>
      <w:r w:rsidR="00F42E00" w:rsidRPr="00F42E00">
        <w:t xml:space="preserve"> </w:t>
      </w:r>
      <w:r w:rsidR="00573F59">
        <w:t>patches</w:t>
      </w:r>
      <w:r w:rsidR="00A85E1F">
        <w:t xml:space="preserve"> (</w:t>
      </w:r>
      <w:r w:rsidR="00F42E00" w:rsidRPr="00F42E00">
        <w:t>21 mg per day with taper)</w:t>
      </w:r>
      <w:r w:rsidR="00A85E1F">
        <w:t xml:space="preserve">, </w:t>
      </w:r>
      <w:r w:rsidR="00F42E00" w:rsidRPr="00F42E00">
        <w:t>varenicline (1 mg twice a day)</w:t>
      </w:r>
      <w:r w:rsidR="00EE2F13">
        <w:t xml:space="preserve">, </w:t>
      </w:r>
      <w:r w:rsidR="00F42E00" w:rsidRPr="00F42E00">
        <w:t>bupropion (150 mg twice a day)</w:t>
      </w:r>
      <w:r w:rsidR="00DF2A84">
        <w:t xml:space="preserve"> </w:t>
      </w:r>
      <w:r w:rsidR="00CF1E1A">
        <w:t>and</w:t>
      </w:r>
      <w:r w:rsidR="00DF2A84">
        <w:t xml:space="preserve"> placebo</w:t>
      </w:r>
      <w:r w:rsidR="00F467E4">
        <w:t>. The study</w:t>
      </w:r>
      <w:r w:rsidR="00A95E3C" w:rsidRPr="00A95E3C">
        <w:t xml:space="preserve"> aimed </w:t>
      </w:r>
      <w:r w:rsidR="00F467E4">
        <w:t>to collect</w:t>
      </w:r>
      <w:r w:rsidR="00A95E3C" w:rsidRPr="00A95E3C">
        <w:t xml:space="preserve"> data on cardiovascular safety for all participants in </w:t>
      </w:r>
      <w:r w:rsidR="0062206C">
        <w:t>EAGLES</w:t>
      </w:r>
      <w:r w:rsidR="00A95E3C" w:rsidRPr="00A95E3C">
        <w:t xml:space="preserve"> </w:t>
      </w:r>
      <w:r w:rsidR="0062206C">
        <w:t xml:space="preserve">(2016) </w:t>
      </w:r>
      <w:r w:rsidR="00A95E3C" w:rsidRPr="00A95E3C">
        <w:t>for an additional 28 weeks, allowing for a total of 52 weeks of cardiovascular safety data collection</w:t>
      </w:r>
      <w:r w:rsidR="004C4EA7">
        <w:t xml:space="preserve">. </w:t>
      </w:r>
    </w:p>
    <w:p w14:paraId="07096616" w14:textId="77777777" w:rsidR="003E1BF9" w:rsidRDefault="003E1BF9" w:rsidP="00AA7796"/>
    <w:p w14:paraId="26774D4F" w14:textId="77777777" w:rsidR="00280114" w:rsidRDefault="00280114" w:rsidP="006F73B5">
      <w:pPr>
        <w:sectPr w:rsidR="00280114" w:rsidSect="006356D2">
          <w:pgSz w:w="11906" w:h="16838"/>
          <w:pgMar w:top="1440" w:right="1440" w:bottom="1440" w:left="1440" w:header="708" w:footer="708" w:gutter="0"/>
          <w:cols w:space="708"/>
          <w:titlePg/>
          <w:docGrid w:linePitch="360"/>
        </w:sectPr>
      </w:pPr>
    </w:p>
    <w:p w14:paraId="095AF44E" w14:textId="7CA3C818" w:rsidR="006F67A4" w:rsidRDefault="006F67A4" w:rsidP="00C450E8">
      <w:pPr>
        <w:pStyle w:val="Caption"/>
        <w:keepNext/>
        <w:spacing w:before="120" w:after="120"/>
        <w:jc w:val="both"/>
      </w:pPr>
      <w:bookmarkStart w:id="37" w:name="_Ref52968204"/>
      <w:r>
        <w:lastRenderedPageBreak/>
        <w:t xml:space="preserve">Table </w:t>
      </w:r>
      <w:r>
        <w:fldChar w:fldCharType="begin"/>
      </w:r>
      <w:r>
        <w:instrText>SEQ Table \* ARABIC</w:instrText>
      </w:r>
      <w:r>
        <w:fldChar w:fldCharType="separate"/>
      </w:r>
      <w:r w:rsidR="00EC5CC7">
        <w:rPr>
          <w:noProof/>
        </w:rPr>
        <w:t>6</w:t>
      </w:r>
      <w:r>
        <w:fldChar w:fldCharType="end"/>
      </w:r>
      <w:bookmarkEnd w:id="37"/>
      <w:r>
        <w:t>: Characteristics of the studies comparing bupropion with placebo</w:t>
      </w:r>
    </w:p>
    <w:tbl>
      <w:tblPr>
        <w:tblStyle w:val="TableGrid"/>
        <w:tblW w:w="5000" w:type="pct"/>
        <w:tblLook w:val="04A0" w:firstRow="1" w:lastRow="0" w:firstColumn="1" w:lastColumn="0" w:noHBand="0" w:noVBand="1"/>
        <w:tblCaption w:val="Efficacy results of adalimumab trials (PASI 75 and DLQI)"/>
      </w:tblPr>
      <w:tblGrid>
        <w:gridCol w:w="810"/>
        <w:gridCol w:w="1129"/>
        <w:gridCol w:w="981"/>
        <w:gridCol w:w="5231"/>
        <w:gridCol w:w="2357"/>
        <w:gridCol w:w="3440"/>
      </w:tblGrid>
      <w:tr w:rsidR="002D3FD2" w:rsidRPr="00061F78" w14:paraId="30BE04F2" w14:textId="77777777" w:rsidTr="008F4C0A">
        <w:trPr>
          <w:trHeight w:val="299"/>
          <w:tblHeader/>
        </w:trPr>
        <w:tc>
          <w:tcPr>
            <w:tcW w:w="290" w:type="pct"/>
            <w:shd w:val="clear" w:color="auto" w:fill="BFBFBF" w:themeFill="background1" w:themeFillShade="BF"/>
            <w:tcMar>
              <w:left w:w="28" w:type="dxa"/>
              <w:right w:w="28" w:type="dxa"/>
            </w:tcMar>
          </w:tcPr>
          <w:p w14:paraId="0098EE43" w14:textId="0D889C20" w:rsidR="00A34E7B" w:rsidRPr="00061F78" w:rsidRDefault="00126B7B" w:rsidP="00BC1C13">
            <w:pPr>
              <w:pStyle w:val="Tableheading"/>
              <w:rPr>
                <w:rFonts w:eastAsia="MS Mincho"/>
              </w:rPr>
            </w:pPr>
            <w:bookmarkStart w:id="38" w:name="_Hlk58246447"/>
            <w:r>
              <w:rPr>
                <w:rFonts w:eastAsia="MS Mincho"/>
              </w:rPr>
              <w:t>Study</w:t>
            </w:r>
          </w:p>
        </w:tc>
        <w:tc>
          <w:tcPr>
            <w:tcW w:w="405" w:type="pct"/>
            <w:shd w:val="clear" w:color="auto" w:fill="BFBFBF" w:themeFill="background1" w:themeFillShade="BF"/>
          </w:tcPr>
          <w:p w14:paraId="05F92B5A" w14:textId="77777777" w:rsidR="00A34E7B" w:rsidRDefault="00A34E7B" w:rsidP="00BC1C13">
            <w:pPr>
              <w:pStyle w:val="Tableheading"/>
              <w:jc w:val="center"/>
              <w:rPr>
                <w:rFonts w:eastAsia="MS Mincho"/>
              </w:rPr>
            </w:pPr>
            <w:r>
              <w:rPr>
                <w:rFonts w:eastAsia="MS Mincho"/>
              </w:rPr>
              <w:t>Study type</w:t>
            </w:r>
          </w:p>
        </w:tc>
        <w:tc>
          <w:tcPr>
            <w:tcW w:w="352" w:type="pct"/>
            <w:shd w:val="clear" w:color="auto" w:fill="BFBFBF" w:themeFill="background1" w:themeFillShade="BF"/>
            <w:tcMar>
              <w:left w:w="28" w:type="dxa"/>
              <w:right w:w="28" w:type="dxa"/>
            </w:tcMar>
          </w:tcPr>
          <w:p w14:paraId="4300D936" w14:textId="22CD5327" w:rsidR="00A34E7B" w:rsidRPr="00AB145F" w:rsidRDefault="00A34E7B" w:rsidP="00BC1C13">
            <w:pPr>
              <w:pStyle w:val="Tableheading"/>
              <w:jc w:val="center"/>
              <w:rPr>
                <w:rFonts w:eastAsia="MS Mincho"/>
                <w:vertAlign w:val="superscript"/>
              </w:rPr>
            </w:pPr>
            <w:r>
              <w:rPr>
                <w:rFonts w:eastAsia="MS Mincho"/>
              </w:rPr>
              <w:t>N</w:t>
            </w:r>
            <w:r w:rsidR="00AB145F">
              <w:rPr>
                <w:rFonts w:eastAsia="MS Mincho"/>
                <w:vertAlign w:val="superscript"/>
              </w:rPr>
              <w:t>1</w:t>
            </w:r>
          </w:p>
        </w:tc>
        <w:tc>
          <w:tcPr>
            <w:tcW w:w="1875" w:type="pct"/>
            <w:shd w:val="clear" w:color="auto" w:fill="BFBFBF" w:themeFill="background1" w:themeFillShade="BF"/>
            <w:tcMar>
              <w:left w:w="28" w:type="dxa"/>
              <w:right w:w="28" w:type="dxa"/>
            </w:tcMar>
          </w:tcPr>
          <w:p w14:paraId="1299D6D4" w14:textId="5D075456" w:rsidR="00A34E7B" w:rsidRPr="00061F78" w:rsidRDefault="00A34E7B" w:rsidP="00BC1C13">
            <w:pPr>
              <w:pStyle w:val="Tableheading"/>
              <w:jc w:val="center"/>
              <w:rPr>
                <w:rFonts w:eastAsia="MS Mincho"/>
              </w:rPr>
            </w:pPr>
            <w:r w:rsidRPr="00061F78">
              <w:rPr>
                <w:rFonts w:eastAsia="MS Mincho"/>
              </w:rPr>
              <w:t>P</w:t>
            </w:r>
            <w:r>
              <w:rPr>
                <w:rFonts w:eastAsia="MS Mincho"/>
              </w:rPr>
              <w:t>opulation</w:t>
            </w:r>
          </w:p>
        </w:tc>
        <w:tc>
          <w:tcPr>
            <w:tcW w:w="845" w:type="pct"/>
            <w:shd w:val="clear" w:color="auto" w:fill="BFBFBF" w:themeFill="background1" w:themeFillShade="BF"/>
          </w:tcPr>
          <w:p w14:paraId="5B21CB87" w14:textId="5D4E82C7" w:rsidR="00A34E7B" w:rsidRDefault="00A34E7B" w:rsidP="00BC1C13">
            <w:pPr>
              <w:pStyle w:val="Tableheading"/>
              <w:jc w:val="center"/>
              <w:rPr>
                <w:rFonts w:eastAsia="MS Mincho"/>
              </w:rPr>
            </w:pPr>
            <w:r>
              <w:rPr>
                <w:rFonts w:eastAsia="MS Mincho"/>
              </w:rPr>
              <w:t>Intervention and comparator</w:t>
            </w:r>
          </w:p>
        </w:tc>
        <w:tc>
          <w:tcPr>
            <w:tcW w:w="1233" w:type="pct"/>
            <w:shd w:val="clear" w:color="auto" w:fill="BFBFBF" w:themeFill="background1" w:themeFillShade="BF"/>
            <w:tcMar>
              <w:left w:w="28" w:type="dxa"/>
              <w:right w:w="28" w:type="dxa"/>
            </w:tcMar>
          </w:tcPr>
          <w:p w14:paraId="32D32DF3" w14:textId="4A9BEEB7" w:rsidR="00A34E7B" w:rsidRPr="00061F78" w:rsidRDefault="00A34E7B" w:rsidP="00BC1C13">
            <w:pPr>
              <w:pStyle w:val="Tableheading"/>
              <w:jc w:val="center"/>
              <w:rPr>
                <w:rFonts w:eastAsia="MS Mincho"/>
              </w:rPr>
            </w:pPr>
            <w:r>
              <w:rPr>
                <w:rFonts w:eastAsia="MS Mincho"/>
              </w:rPr>
              <w:t>Outcomes</w:t>
            </w:r>
          </w:p>
        </w:tc>
      </w:tr>
      <w:bookmarkEnd w:id="38"/>
      <w:tr w:rsidR="002D3FD2" w:rsidRPr="00061F78" w14:paraId="3344E0C6" w14:textId="77777777" w:rsidTr="008F4C0A">
        <w:trPr>
          <w:trHeight w:val="99"/>
        </w:trPr>
        <w:tc>
          <w:tcPr>
            <w:tcW w:w="290" w:type="pct"/>
            <w:shd w:val="clear" w:color="auto" w:fill="FFFFFF" w:themeFill="background1"/>
            <w:tcMar>
              <w:left w:w="28" w:type="dxa"/>
              <w:right w:w="28" w:type="dxa"/>
            </w:tcMar>
          </w:tcPr>
          <w:p w14:paraId="643B6097" w14:textId="095C393A" w:rsidR="00A34E7B" w:rsidRPr="00813BCB" w:rsidRDefault="00A34E7B" w:rsidP="00BC1C13">
            <w:pPr>
              <w:pStyle w:val="Tablewriting"/>
              <w:rPr>
                <w:rFonts w:eastAsia="MS Mincho"/>
              </w:rPr>
            </w:pPr>
            <w:r w:rsidRPr="00813BCB">
              <w:rPr>
                <w:rFonts w:eastAsia="MS Mincho"/>
              </w:rPr>
              <w:t>Hurt (1997)</w:t>
            </w:r>
            <w:r w:rsidR="00195BC4" w:rsidRPr="00813BCB">
              <w:rPr>
                <w:rFonts w:eastAsia="MS Mincho"/>
              </w:rPr>
              <w:t xml:space="preserve"> </w:t>
            </w:r>
          </w:p>
        </w:tc>
        <w:tc>
          <w:tcPr>
            <w:tcW w:w="405" w:type="pct"/>
            <w:shd w:val="clear" w:color="auto" w:fill="FFFFFF" w:themeFill="background1"/>
          </w:tcPr>
          <w:p w14:paraId="54F55DEA" w14:textId="46499BB7" w:rsidR="00A34E7B" w:rsidRPr="00813BCB" w:rsidRDefault="00A34E7B" w:rsidP="00BC1C13">
            <w:pPr>
              <w:pStyle w:val="Tablewriting"/>
              <w:rPr>
                <w:rFonts w:eastAsia="MS Mincho"/>
              </w:rPr>
            </w:pPr>
            <w:r w:rsidRPr="00813BCB">
              <w:rPr>
                <w:rFonts w:eastAsia="MS Mincho"/>
              </w:rPr>
              <w:t>RCT</w:t>
            </w:r>
          </w:p>
        </w:tc>
        <w:tc>
          <w:tcPr>
            <w:tcW w:w="352" w:type="pct"/>
            <w:shd w:val="clear" w:color="auto" w:fill="FFFFFF" w:themeFill="background1"/>
            <w:tcMar>
              <w:left w:w="28" w:type="dxa"/>
              <w:right w:w="28" w:type="dxa"/>
            </w:tcMar>
          </w:tcPr>
          <w:p w14:paraId="689073CF" w14:textId="77777777" w:rsidR="00A34E7B" w:rsidRPr="00813BCB" w:rsidRDefault="00A34E7B" w:rsidP="00BC1C13">
            <w:pPr>
              <w:pStyle w:val="Tablewriting"/>
              <w:rPr>
                <w:rFonts w:eastAsia="MS Mincho"/>
              </w:rPr>
            </w:pPr>
            <w:r w:rsidRPr="00813BCB">
              <w:rPr>
                <w:rFonts w:eastAsia="MS Mincho"/>
              </w:rPr>
              <w:t>N=</w:t>
            </w:r>
            <w:r w:rsidR="007F28D7" w:rsidRPr="00813BCB">
              <w:rPr>
                <w:rFonts w:eastAsia="MS Mincho"/>
              </w:rPr>
              <w:t>615</w:t>
            </w:r>
          </w:p>
          <w:p w14:paraId="6420CAC6" w14:textId="7351A253" w:rsidR="007F28D7" w:rsidRPr="00813BCB" w:rsidRDefault="007F28D7" w:rsidP="00BC1C13">
            <w:pPr>
              <w:pStyle w:val="Tablewriting"/>
              <w:rPr>
                <w:rFonts w:eastAsia="MS Mincho"/>
              </w:rPr>
            </w:pPr>
            <w:r w:rsidRPr="00813BCB">
              <w:rPr>
                <w:rFonts w:eastAsia="MS Mincho"/>
              </w:rPr>
              <w:t>Bupropion (n=156), Placebo (n=153)</w:t>
            </w:r>
          </w:p>
        </w:tc>
        <w:tc>
          <w:tcPr>
            <w:tcW w:w="1875" w:type="pct"/>
            <w:shd w:val="clear" w:color="auto" w:fill="FFFFFF" w:themeFill="background1"/>
            <w:tcMar>
              <w:left w:w="28" w:type="dxa"/>
              <w:right w:w="28" w:type="dxa"/>
            </w:tcMar>
          </w:tcPr>
          <w:p w14:paraId="24B6C9EF" w14:textId="0AE86D1C" w:rsidR="00A34E7B" w:rsidRPr="00813BCB" w:rsidRDefault="007F28D7" w:rsidP="00BC1C13">
            <w:pPr>
              <w:pStyle w:val="Tablewriting"/>
              <w:rPr>
                <w:rFonts w:eastAsia="MS Mincho"/>
              </w:rPr>
            </w:pPr>
            <w:r w:rsidRPr="00813BCB">
              <w:rPr>
                <w:rFonts w:eastAsia="MS Mincho"/>
                <w:u w:val="single"/>
              </w:rPr>
              <w:t>Inclusion</w:t>
            </w:r>
            <w:r w:rsidRPr="00813BCB">
              <w:rPr>
                <w:rFonts w:eastAsia="MS Mincho"/>
              </w:rPr>
              <w:t xml:space="preserve">: </w:t>
            </w:r>
            <w:r w:rsidR="002C19B4" w:rsidRPr="00813BCB">
              <w:rPr>
                <w:rFonts w:eastAsia="MS Mincho"/>
              </w:rPr>
              <w:t>≥</w:t>
            </w:r>
            <w:r w:rsidRPr="00813BCB">
              <w:rPr>
                <w:rFonts w:eastAsia="MS Mincho"/>
              </w:rPr>
              <w:t xml:space="preserve">18 years old, </w:t>
            </w:r>
            <w:r w:rsidR="00BC110D" w:rsidRPr="00813BCB">
              <w:rPr>
                <w:rFonts w:eastAsia="MS Mincho"/>
              </w:rPr>
              <w:t>≥</w:t>
            </w:r>
            <w:r w:rsidRPr="00813BCB">
              <w:rPr>
                <w:rFonts w:eastAsia="MS Mincho"/>
              </w:rPr>
              <w:t>15 cigarettes per day for the past year, motivated to stop smoking</w:t>
            </w:r>
            <w:r w:rsidR="00D15684" w:rsidRPr="00813BCB">
              <w:rPr>
                <w:rFonts w:eastAsia="MS Mincho"/>
              </w:rPr>
              <w:t>.</w:t>
            </w:r>
          </w:p>
          <w:p w14:paraId="590FF5EE" w14:textId="4BFFCD99" w:rsidR="007F28D7" w:rsidRPr="00813BCB" w:rsidRDefault="007F28D7" w:rsidP="00BC1C13">
            <w:pPr>
              <w:pStyle w:val="Tablewriting"/>
              <w:rPr>
                <w:rFonts w:eastAsia="MS Mincho"/>
              </w:rPr>
            </w:pPr>
            <w:r w:rsidRPr="00813BCB">
              <w:rPr>
                <w:rFonts w:eastAsia="MS Mincho"/>
                <w:u w:val="single"/>
              </w:rPr>
              <w:t>Exclusion</w:t>
            </w:r>
            <w:r w:rsidRPr="00813BCB">
              <w:rPr>
                <w:rFonts w:eastAsia="MS Mincho"/>
              </w:rPr>
              <w:t xml:space="preserve">: family history of a seizure disorder, a history of severe head trauma, predisposition to seizures, a history or current diagnosis of anorexia nervosa or bulimia, the presence of an unstable medical or psychiatric condition, pregnancy, lactation, </w:t>
            </w:r>
            <w:r w:rsidR="00E51730" w:rsidRPr="00813BCB">
              <w:rPr>
                <w:rFonts w:eastAsia="MS Mincho"/>
              </w:rPr>
              <w:t xml:space="preserve">depression, </w:t>
            </w:r>
            <w:r w:rsidRPr="00813BCB">
              <w:rPr>
                <w:rFonts w:eastAsia="MS Mincho"/>
              </w:rPr>
              <w:t xml:space="preserve">a history of dependence on alcohol or a non-nicotine substance within the past year, current use of psychotropic medications, previous use of bupropion, current use of tobacco products other than cigarettes, and current use of any </w:t>
            </w:r>
            <w:r w:rsidR="0006053F" w:rsidRPr="00813BCB">
              <w:rPr>
                <w:rFonts w:eastAsia="MS Mincho"/>
              </w:rPr>
              <w:t>NRT</w:t>
            </w:r>
            <w:r w:rsidRPr="00813BCB">
              <w:rPr>
                <w:rFonts w:eastAsia="MS Mincho"/>
              </w:rPr>
              <w:t>, fluoxetine, clonidine, buspirone, or doxepin.</w:t>
            </w:r>
          </w:p>
        </w:tc>
        <w:tc>
          <w:tcPr>
            <w:tcW w:w="845" w:type="pct"/>
            <w:shd w:val="clear" w:color="auto" w:fill="FFFFFF" w:themeFill="background1"/>
          </w:tcPr>
          <w:p w14:paraId="31348B1A" w14:textId="7730C4FD" w:rsidR="00A34E7B" w:rsidRPr="00813BCB" w:rsidRDefault="007F28D7" w:rsidP="00BC1C13">
            <w:pPr>
              <w:pStyle w:val="Tablewriting"/>
              <w:rPr>
                <w:rFonts w:eastAsia="MS Mincho"/>
              </w:rPr>
            </w:pPr>
            <w:r w:rsidRPr="00813BCB">
              <w:rPr>
                <w:rFonts w:eastAsia="MS Mincho"/>
              </w:rPr>
              <w:t>Bupropion: 150</w:t>
            </w:r>
            <w:r w:rsidR="00A13509" w:rsidRPr="00813BCB">
              <w:rPr>
                <w:rFonts w:eastAsia="MS Mincho"/>
              </w:rPr>
              <w:t xml:space="preserve"> </w:t>
            </w:r>
            <w:r w:rsidRPr="00813BCB">
              <w:rPr>
                <w:rFonts w:eastAsia="MS Mincho"/>
              </w:rPr>
              <w:t xml:space="preserve">mg </w:t>
            </w:r>
            <w:r w:rsidR="001B0165" w:rsidRPr="00813BCB">
              <w:rPr>
                <w:rFonts w:eastAsia="MS Mincho"/>
              </w:rPr>
              <w:t>once daily</w:t>
            </w:r>
            <w:r w:rsidRPr="00813BCB">
              <w:rPr>
                <w:rFonts w:eastAsia="MS Mincho"/>
              </w:rPr>
              <w:t xml:space="preserve"> Day 1-3, followed by </w:t>
            </w:r>
            <w:r w:rsidR="001B0165" w:rsidRPr="00813BCB">
              <w:rPr>
                <w:rFonts w:eastAsia="MS Mincho"/>
              </w:rPr>
              <w:t>150</w:t>
            </w:r>
            <w:r w:rsidR="00A13509" w:rsidRPr="00813BCB">
              <w:rPr>
                <w:rFonts w:eastAsia="MS Mincho"/>
              </w:rPr>
              <w:t xml:space="preserve"> </w:t>
            </w:r>
            <w:r w:rsidRPr="00813BCB">
              <w:rPr>
                <w:rFonts w:eastAsia="MS Mincho"/>
              </w:rPr>
              <w:t>mg</w:t>
            </w:r>
            <w:r w:rsidR="001B0165" w:rsidRPr="00813BCB">
              <w:rPr>
                <w:rFonts w:eastAsia="MS Mincho"/>
              </w:rPr>
              <w:t xml:space="preserve"> twice</w:t>
            </w:r>
            <w:r w:rsidRPr="00813BCB">
              <w:rPr>
                <w:rFonts w:eastAsia="MS Mincho"/>
              </w:rPr>
              <w:t xml:space="preserve"> daily </w:t>
            </w:r>
            <w:r w:rsidR="008C39E4" w:rsidRPr="00813BCB">
              <w:rPr>
                <w:rFonts w:eastAsia="MS Mincho"/>
              </w:rPr>
              <w:t xml:space="preserve">for </w:t>
            </w:r>
            <w:r w:rsidRPr="00813BCB">
              <w:rPr>
                <w:rFonts w:eastAsia="MS Mincho"/>
              </w:rPr>
              <w:t>7 weeks</w:t>
            </w:r>
            <w:r w:rsidR="00C54FC4" w:rsidRPr="00813BCB">
              <w:rPr>
                <w:rFonts w:eastAsia="MS Mincho"/>
              </w:rPr>
              <w:t xml:space="preserve">; </w:t>
            </w:r>
            <w:r w:rsidRPr="00813BCB">
              <w:rPr>
                <w:rFonts w:eastAsia="MS Mincho"/>
              </w:rPr>
              <w:t>Placebo: placebo tablet for 7 weeks</w:t>
            </w:r>
            <w:r w:rsidR="0097788D" w:rsidRPr="00813BCB">
              <w:rPr>
                <w:rFonts w:eastAsia="MS Mincho"/>
              </w:rPr>
              <w:t>.</w:t>
            </w:r>
          </w:p>
          <w:p w14:paraId="0F27DF88" w14:textId="77777777" w:rsidR="007818BC" w:rsidRPr="00813BCB" w:rsidRDefault="007818BC" w:rsidP="00BC1C13">
            <w:pPr>
              <w:pStyle w:val="Tablewriting"/>
              <w:rPr>
                <w:rFonts w:eastAsia="MS Mincho"/>
              </w:rPr>
            </w:pPr>
          </w:p>
          <w:p w14:paraId="585DEB0F" w14:textId="3FC97A0B" w:rsidR="007818BC" w:rsidRPr="00813BCB" w:rsidRDefault="007818BC" w:rsidP="00BC1C13">
            <w:pPr>
              <w:pStyle w:val="Tablewriting"/>
              <w:rPr>
                <w:rFonts w:eastAsia="MS Mincho"/>
              </w:rPr>
            </w:pPr>
            <w:r w:rsidRPr="00813BCB">
              <w:rPr>
                <w:rFonts w:eastAsia="MS Mincho"/>
              </w:rPr>
              <w:t>Behavioural support provided in both arms.</w:t>
            </w:r>
          </w:p>
        </w:tc>
        <w:tc>
          <w:tcPr>
            <w:tcW w:w="1233" w:type="pct"/>
            <w:shd w:val="clear" w:color="auto" w:fill="FFFFFF" w:themeFill="background1"/>
            <w:tcMar>
              <w:left w:w="28" w:type="dxa"/>
              <w:right w:w="28" w:type="dxa"/>
            </w:tcMar>
          </w:tcPr>
          <w:p w14:paraId="0F0C7F94" w14:textId="48C200FF" w:rsidR="00A34E7B" w:rsidRPr="00813BCB" w:rsidRDefault="008C39E4" w:rsidP="00BC1C13">
            <w:pPr>
              <w:pStyle w:val="Tablewriting"/>
              <w:rPr>
                <w:rFonts w:eastAsia="MS Mincho"/>
              </w:rPr>
            </w:pPr>
            <w:r w:rsidRPr="00813BCB">
              <w:rPr>
                <w:rFonts w:eastAsia="MS Mincho"/>
                <w:u w:val="single"/>
              </w:rPr>
              <w:t>Primary</w:t>
            </w:r>
            <w:r w:rsidRPr="00813BCB">
              <w:rPr>
                <w:rFonts w:eastAsia="MS Mincho"/>
              </w:rPr>
              <w:t xml:space="preserve">: </w:t>
            </w:r>
            <w:r w:rsidR="00533B8C" w:rsidRPr="00813BCB">
              <w:rPr>
                <w:rFonts w:eastAsia="MS Mincho"/>
              </w:rPr>
              <w:t xml:space="preserve">7-day </w:t>
            </w:r>
            <w:r w:rsidR="00065C5F" w:rsidRPr="00813BCB">
              <w:rPr>
                <w:rFonts w:eastAsia="MS Mincho"/>
              </w:rPr>
              <w:t>PPA</w:t>
            </w:r>
            <w:r w:rsidRPr="00813BCB">
              <w:rPr>
                <w:rFonts w:eastAsia="MS Mincho"/>
              </w:rPr>
              <w:t xml:space="preserve"> and </w:t>
            </w:r>
            <w:r w:rsidR="00065C5F" w:rsidRPr="00813BCB">
              <w:rPr>
                <w:rFonts w:eastAsia="MS Mincho"/>
              </w:rPr>
              <w:t>CAR</w:t>
            </w:r>
            <w:r w:rsidRPr="00813BCB">
              <w:rPr>
                <w:rFonts w:eastAsia="MS Mincho"/>
              </w:rPr>
              <w:t xml:space="preserve"> at </w:t>
            </w:r>
            <w:r w:rsidR="005134FB">
              <w:rPr>
                <w:rFonts w:eastAsia="MS Mincho"/>
              </w:rPr>
              <w:t>w</w:t>
            </w:r>
            <w:r w:rsidRPr="00813BCB">
              <w:rPr>
                <w:rFonts w:eastAsia="MS Mincho"/>
              </w:rPr>
              <w:t xml:space="preserve">eek 6, 3 months, 6 </w:t>
            </w:r>
            <w:r w:rsidR="004C4EA7" w:rsidRPr="00813BCB">
              <w:rPr>
                <w:rFonts w:eastAsia="MS Mincho"/>
              </w:rPr>
              <w:t>months,</w:t>
            </w:r>
            <w:r w:rsidRPr="00813BCB">
              <w:rPr>
                <w:rFonts w:eastAsia="MS Mincho"/>
              </w:rPr>
              <w:t xml:space="preserve"> and 12 months.</w:t>
            </w:r>
            <w:r w:rsidR="008948D6" w:rsidRPr="00813BCB">
              <w:rPr>
                <w:rFonts w:eastAsia="MS Mincho"/>
              </w:rPr>
              <w:t xml:space="preserve"> Validated by CO</w:t>
            </w:r>
            <w:r w:rsidR="0092547F" w:rsidRPr="00813BCB">
              <w:rPr>
                <w:rFonts w:eastAsia="MS Mincho"/>
              </w:rPr>
              <w:t xml:space="preserve"> </w:t>
            </w:r>
            <w:r w:rsidR="008948D6" w:rsidRPr="00813BCB">
              <w:rPr>
                <w:rFonts w:eastAsia="MS Mincho"/>
              </w:rPr>
              <w:t>≤10</w:t>
            </w:r>
            <w:r w:rsidR="00621153" w:rsidRPr="00813BCB">
              <w:rPr>
                <w:rFonts w:eastAsia="MS Mincho"/>
              </w:rPr>
              <w:t xml:space="preserve"> </w:t>
            </w:r>
            <w:r w:rsidR="008948D6" w:rsidRPr="00813BCB">
              <w:rPr>
                <w:rFonts w:eastAsia="MS Mincho"/>
              </w:rPr>
              <w:t>ppm.</w:t>
            </w:r>
          </w:p>
          <w:p w14:paraId="545A89CB" w14:textId="33042CA5" w:rsidR="008C39E4" w:rsidRPr="00813BCB" w:rsidRDefault="008C39E4" w:rsidP="00BC1C13">
            <w:pPr>
              <w:pStyle w:val="Tablewriting"/>
              <w:rPr>
                <w:rFonts w:eastAsia="MS Mincho"/>
              </w:rPr>
            </w:pPr>
            <w:r w:rsidRPr="00813BCB">
              <w:rPr>
                <w:rFonts w:eastAsia="MS Mincho"/>
                <w:u w:val="single"/>
              </w:rPr>
              <w:t>Secondary</w:t>
            </w:r>
            <w:r w:rsidRPr="00813BCB">
              <w:rPr>
                <w:rFonts w:eastAsia="MS Mincho"/>
              </w:rPr>
              <w:t>: withdrawal symptoms, body weight, and B</w:t>
            </w:r>
            <w:r w:rsidR="00BC110D" w:rsidRPr="00813BCB">
              <w:rPr>
                <w:rFonts w:eastAsia="MS Mincho"/>
              </w:rPr>
              <w:t>DI</w:t>
            </w:r>
            <w:r w:rsidRPr="00813BCB">
              <w:rPr>
                <w:rFonts w:eastAsia="MS Mincho"/>
              </w:rPr>
              <w:t xml:space="preserve"> scores.</w:t>
            </w:r>
          </w:p>
        </w:tc>
      </w:tr>
      <w:tr w:rsidR="002D3FD2" w:rsidRPr="00061F78" w14:paraId="0E967765" w14:textId="77777777" w:rsidTr="008F4C0A">
        <w:trPr>
          <w:trHeight w:val="99"/>
        </w:trPr>
        <w:tc>
          <w:tcPr>
            <w:tcW w:w="290" w:type="pct"/>
            <w:shd w:val="clear" w:color="auto" w:fill="FFFFFF" w:themeFill="background1"/>
            <w:tcMar>
              <w:left w:w="28" w:type="dxa"/>
              <w:right w:w="28" w:type="dxa"/>
            </w:tcMar>
          </w:tcPr>
          <w:p w14:paraId="04D09581" w14:textId="7602B2FE" w:rsidR="00A34E7B" w:rsidRPr="00813BCB" w:rsidRDefault="00A34E7B" w:rsidP="00BC1C13">
            <w:pPr>
              <w:pStyle w:val="Tablewriting"/>
              <w:rPr>
                <w:rFonts w:eastAsia="MS Mincho"/>
              </w:rPr>
            </w:pPr>
            <w:r w:rsidRPr="00813BCB">
              <w:rPr>
                <w:rFonts w:eastAsia="MS Mincho"/>
              </w:rPr>
              <w:t>Jorenby (1999)</w:t>
            </w:r>
            <w:r w:rsidR="002D3FD2" w:rsidRPr="00813BCB">
              <w:rPr>
                <w:rFonts w:eastAsia="MS Mincho"/>
              </w:rPr>
              <w:t xml:space="preserve"> </w:t>
            </w:r>
          </w:p>
        </w:tc>
        <w:tc>
          <w:tcPr>
            <w:tcW w:w="405" w:type="pct"/>
            <w:shd w:val="clear" w:color="auto" w:fill="FFFFFF" w:themeFill="background1"/>
          </w:tcPr>
          <w:p w14:paraId="51042451" w14:textId="77777777" w:rsidR="00A34E7B" w:rsidRPr="00813BCB" w:rsidRDefault="00A34E7B" w:rsidP="00BC1C13">
            <w:pPr>
              <w:pStyle w:val="Tablewriting"/>
              <w:rPr>
                <w:rFonts w:eastAsia="MS Mincho"/>
              </w:rPr>
            </w:pPr>
            <w:r w:rsidRPr="00813BCB">
              <w:rPr>
                <w:rFonts w:eastAsia="MS Mincho"/>
              </w:rPr>
              <w:t>RCT</w:t>
            </w:r>
          </w:p>
        </w:tc>
        <w:tc>
          <w:tcPr>
            <w:tcW w:w="352" w:type="pct"/>
            <w:shd w:val="clear" w:color="auto" w:fill="FFFFFF" w:themeFill="background1"/>
            <w:tcMar>
              <w:left w:w="28" w:type="dxa"/>
              <w:right w:w="28" w:type="dxa"/>
            </w:tcMar>
          </w:tcPr>
          <w:p w14:paraId="17741280" w14:textId="6E759B53" w:rsidR="00A34E7B" w:rsidRPr="00813BCB" w:rsidRDefault="00A34E7B" w:rsidP="00BC1C13">
            <w:pPr>
              <w:pStyle w:val="Tablewriting"/>
              <w:rPr>
                <w:rFonts w:eastAsia="MS Mincho"/>
              </w:rPr>
            </w:pPr>
            <w:r w:rsidRPr="00813BCB">
              <w:rPr>
                <w:rFonts w:eastAsia="MS Mincho"/>
              </w:rPr>
              <w:t>N=893</w:t>
            </w:r>
          </w:p>
          <w:p w14:paraId="6E44879A" w14:textId="1DCD4E8E" w:rsidR="00A34E7B" w:rsidRPr="00813BCB" w:rsidRDefault="00A34E7B" w:rsidP="00BC1C13">
            <w:pPr>
              <w:pStyle w:val="Tablewriting"/>
              <w:rPr>
                <w:rFonts w:eastAsia="MS Mincho"/>
              </w:rPr>
            </w:pPr>
            <w:r w:rsidRPr="00813BCB">
              <w:rPr>
                <w:rFonts w:eastAsia="MS Mincho"/>
              </w:rPr>
              <w:t>Bupropion (n=244)</w:t>
            </w:r>
            <w:r w:rsidR="007F28D7" w:rsidRPr="00813BCB">
              <w:rPr>
                <w:rFonts w:eastAsia="MS Mincho"/>
              </w:rPr>
              <w:t>,</w:t>
            </w:r>
          </w:p>
          <w:p w14:paraId="26F228F2" w14:textId="5710E0A3" w:rsidR="00A34E7B" w:rsidRPr="00813BCB" w:rsidRDefault="00A34E7B" w:rsidP="00BC1C13">
            <w:pPr>
              <w:pStyle w:val="Tablewriting"/>
              <w:rPr>
                <w:rFonts w:eastAsia="MS Mincho"/>
              </w:rPr>
            </w:pPr>
            <w:r w:rsidRPr="00813BCB">
              <w:rPr>
                <w:rFonts w:eastAsia="MS Mincho"/>
              </w:rPr>
              <w:t>Placebo (n=16</w:t>
            </w:r>
            <w:r w:rsidR="007F28D7" w:rsidRPr="00813BCB">
              <w:rPr>
                <w:rFonts w:eastAsia="MS Mincho"/>
              </w:rPr>
              <w:t>0</w:t>
            </w:r>
            <w:r w:rsidRPr="00813BCB">
              <w:rPr>
                <w:rFonts w:eastAsia="MS Mincho"/>
              </w:rPr>
              <w:t>)</w:t>
            </w:r>
          </w:p>
        </w:tc>
        <w:tc>
          <w:tcPr>
            <w:tcW w:w="1875" w:type="pct"/>
            <w:shd w:val="clear" w:color="auto" w:fill="FFFFFF" w:themeFill="background1"/>
            <w:tcMar>
              <w:left w:w="28" w:type="dxa"/>
              <w:right w:w="28" w:type="dxa"/>
            </w:tcMar>
          </w:tcPr>
          <w:p w14:paraId="6399B729" w14:textId="496894AF" w:rsidR="00A34E7B" w:rsidRPr="00813BCB" w:rsidRDefault="00A34E7B" w:rsidP="00BC1C13">
            <w:pPr>
              <w:pStyle w:val="Tablewriting"/>
              <w:rPr>
                <w:rFonts w:eastAsia="MS Mincho"/>
              </w:rPr>
            </w:pPr>
            <w:r w:rsidRPr="00813BCB">
              <w:rPr>
                <w:rFonts w:eastAsia="MS Mincho"/>
                <w:u w:val="single"/>
              </w:rPr>
              <w:t>Inclusion</w:t>
            </w:r>
            <w:r w:rsidRPr="00813BCB">
              <w:rPr>
                <w:rFonts w:eastAsia="MS Mincho"/>
              </w:rPr>
              <w:t xml:space="preserve">: ≥18 years old, </w:t>
            </w:r>
            <w:r w:rsidR="009D5CD5" w:rsidRPr="00813BCB">
              <w:rPr>
                <w:rFonts w:eastAsia="MS Mincho"/>
              </w:rPr>
              <w:t>≥</w:t>
            </w:r>
            <w:r w:rsidRPr="00813BCB">
              <w:rPr>
                <w:rFonts w:eastAsia="MS Mincho"/>
              </w:rPr>
              <w:t>15 cigarettes per day, weigh at least 45.4 kg, motivated to quit smoking</w:t>
            </w:r>
            <w:r w:rsidR="002C19B4" w:rsidRPr="00813BCB">
              <w:rPr>
                <w:rFonts w:eastAsia="MS Mincho"/>
              </w:rPr>
              <w:t>.</w:t>
            </w:r>
          </w:p>
          <w:p w14:paraId="33198682" w14:textId="46B58346" w:rsidR="00A34E7B" w:rsidRPr="00813BCB" w:rsidRDefault="00A34E7B" w:rsidP="00BC1C13">
            <w:pPr>
              <w:pStyle w:val="Tablewriting"/>
              <w:rPr>
                <w:rFonts w:eastAsia="MS Mincho"/>
              </w:rPr>
            </w:pPr>
            <w:r w:rsidRPr="00813BCB">
              <w:rPr>
                <w:rFonts w:eastAsia="MS Mincho"/>
                <w:u w:val="single"/>
              </w:rPr>
              <w:t>Exclusion</w:t>
            </w:r>
            <w:r w:rsidRPr="00813BCB">
              <w:rPr>
                <w:rFonts w:eastAsia="MS Mincho"/>
              </w:rPr>
              <w:t xml:space="preserve">: serious or unstable cardiac, renal, hypertensive, pulmonary, endocrine, or neurologic disorders; ulcers; seizure or dermatologic disorders; a current diagnosis of major depressive episode or a history of panic disorder, psychosis, bipolar disorder, or eating disorders; use of a </w:t>
            </w:r>
            <w:r w:rsidR="0006053F" w:rsidRPr="00813BCB">
              <w:rPr>
                <w:rFonts w:eastAsia="MS Mincho"/>
              </w:rPr>
              <w:t>NRT</w:t>
            </w:r>
            <w:r w:rsidRPr="00813BCB">
              <w:rPr>
                <w:rFonts w:eastAsia="MS Mincho"/>
              </w:rPr>
              <w:t xml:space="preserve"> within six months before study enrolment; pregnancy or lactation; abuse of alcohol or a non–nicotine-containing drug within the preceding year; use of a psychoactive drug within the week before enrolment; use of an investigational drug within the month before enrolment; prior use of bupropion; current use of other smoking-cessation treatments; and regular use of any non-cigarette tobacco product.</w:t>
            </w:r>
          </w:p>
        </w:tc>
        <w:tc>
          <w:tcPr>
            <w:tcW w:w="845" w:type="pct"/>
            <w:shd w:val="clear" w:color="auto" w:fill="FFFFFF" w:themeFill="background1"/>
          </w:tcPr>
          <w:p w14:paraId="057D7ED3" w14:textId="3C1FF2F8" w:rsidR="00A34E7B" w:rsidRPr="00813BCB" w:rsidRDefault="00A34E7B" w:rsidP="00BC1C13">
            <w:pPr>
              <w:pStyle w:val="Tablewriting"/>
              <w:rPr>
                <w:rFonts w:eastAsia="MS Mincho"/>
              </w:rPr>
            </w:pPr>
            <w:r w:rsidRPr="00813BCB">
              <w:rPr>
                <w:rFonts w:eastAsia="MS Mincho"/>
              </w:rPr>
              <w:t>Bupropion: 150</w:t>
            </w:r>
            <w:r w:rsidR="00A13509" w:rsidRPr="00813BCB">
              <w:rPr>
                <w:rFonts w:eastAsia="MS Mincho"/>
              </w:rPr>
              <w:t xml:space="preserve"> </w:t>
            </w:r>
            <w:r w:rsidRPr="00813BCB">
              <w:rPr>
                <w:rFonts w:eastAsia="MS Mincho"/>
              </w:rPr>
              <w:t xml:space="preserve">mg </w:t>
            </w:r>
            <w:r w:rsidR="001B0165" w:rsidRPr="00813BCB">
              <w:rPr>
                <w:rFonts w:eastAsia="MS Mincho"/>
              </w:rPr>
              <w:t xml:space="preserve">once daily </w:t>
            </w:r>
            <w:r w:rsidRPr="00813BCB">
              <w:rPr>
                <w:rFonts w:eastAsia="MS Mincho"/>
              </w:rPr>
              <w:t>Day 1-3</w:t>
            </w:r>
            <w:r w:rsidR="001B0165" w:rsidRPr="00813BCB">
              <w:rPr>
                <w:rFonts w:eastAsia="MS Mincho"/>
              </w:rPr>
              <w:t>, followed by 150</w:t>
            </w:r>
            <w:r w:rsidR="00A13509" w:rsidRPr="00813BCB">
              <w:rPr>
                <w:rFonts w:eastAsia="MS Mincho"/>
              </w:rPr>
              <w:t xml:space="preserve"> </w:t>
            </w:r>
            <w:r w:rsidR="001B0165" w:rsidRPr="00813BCB">
              <w:rPr>
                <w:rFonts w:eastAsia="MS Mincho"/>
              </w:rPr>
              <w:t>mg twice daily</w:t>
            </w:r>
            <w:r w:rsidRPr="00813BCB">
              <w:rPr>
                <w:rFonts w:eastAsia="MS Mincho"/>
              </w:rPr>
              <w:t xml:space="preserve"> Day 4-63</w:t>
            </w:r>
            <w:r w:rsidR="00452CD3" w:rsidRPr="00813BCB">
              <w:rPr>
                <w:rFonts w:eastAsia="MS Mincho"/>
              </w:rPr>
              <w:t xml:space="preserve"> (9 weeks)</w:t>
            </w:r>
            <w:r w:rsidR="00631447" w:rsidRPr="00813BCB">
              <w:rPr>
                <w:rFonts w:eastAsia="MS Mincho"/>
              </w:rPr>
              <w:t xml:space="preserve">; </w:t>
            </w:r>
            <w:r w:rsidRPr="00813BCB">
              <w:rPr>
                <w:rFonts w:eastAsia="MS Mincho"/>
              </w:rPr>
              <w:t>Placebo: placebo tablet Day 1-63</w:t>
            </w:r>
            <w:r w:rsidR="00452CD3" w:rsidRPr="00813BCB">
              <w:rPr>
                <w:rFonts w:eastAsia="MS Mincho"/>
              </w:rPr>
              <w:t xml:space="preserve"> (9 weeks)</w:t>
            </w:r>
            <w:r w:rsidR="0097788D" w:rsidRPr="00813BCB">
              <w:rPr>
                <w:rFonts w:eastAsia="MS Mincho"/>
              </w:rPr>
              <w:t>.</w:t>
            </w:r>
          </w:p>
          <w:p w14:paraId="034D798A" w14:textId="77777777" w:rsidR="00BF38EB" w:rsidRPr="00813BCB" w:rsidRDefault="00BF38EB" w:rsidP="00BC1C13">
            <w:pPr>
              <w:pStyle w:val="Tablewriting"/>
              <w:rPr>
                <w:rFonts w:eastAsia="MS Mincho"/>
              </w:rPr>
            </w:pPr>
          </w:p>
          <w:p w14:paraId="3E6ED38D" w14:textId="6CFD96D1" w:rsidR="00BF38EB" w:rsidRPr="00813BCB" w:rsidRDefault="00BF38EB" w:rsidP="00BC1C13">
            <w:pPr>
              <w:pStyle w:val="Tablewriting"/>
              <w:rPr>
                <w:rFonts w:eastAsia="MS Mincho"/>
              </w:rPr>
            </w:pPr>
            <w:r w:rsidRPr="00813BCB">
              <w:rPr>
                <w:rFonts w:eastAsia="MS Mincho"/>
              </w:rPr>
              <w:t>Behavioural support provided in both arms.</w:t>
            </w:r>
          </w:p>
        </w:tc>
        <w:tc>
          <w:tcPr>
            <w:tcW w:w="1233" w:type="pct"/>
            <w:shd w:val="clear" w:color="auto" w:fill="FFFFFF" w:themeFill="background1"/>
            <w:tcMar>
              <w:left w:w="28" w:type="dxa"/>
              <w:right w:w="28" w:type="dxa"/>
            </w:tcMar>
          </w:tcPr>
          <w:p w14:paraId="0E177C2E" w14:textId="4E091E1B" w:rsidR="00A34E7B" w:rsidRPr="00813BCB" w:rsidRDefault="00A34E7B" w:rsidP="00BC1C13">
            <w:pPr>
              <w:pStyle w:val="Tablewriting"/>
              <w:rPr>
                <w:rFonts w:eastAsia="MS Mincho"/>
              </w:rPr>
            </w:pPr>
            <w:r w:rsidRPr="00813BCB">
              <w:rPr>
                <w:rFonts w:eastAsia="MS Mincho"/>
                <w:u w:val="single"/>
              </w:rPr>
              <w:t>Primary</w:t>
            </w:r>
            <w:r w:rsidRPr="00813BCB">
              <w:rPr>
                <w:rFonts w:eastAsia="MS Mincho"/>
              </w:rPr>
              <w:t xml:space="preserve">: </w:t>
            </w:r>
            <w:r w:rsidR="00533B8C" w:rsidRPr="00813BCB">
              <w:rPr>
                <w:rFonts w:eastAsia="MS Mincho"/>
              </w:rPr>
              <w:t xml:space="preserve">7-day </w:t>
            </w:r>
            <w:r w:rsidR="00B772D2" w:rsidRPr="00813BCB">
              <w:rPr>
                <w:rFonts w:eastAsia="MS Mincho"/>
              </w:rPr>
              <w:t>PPA</w:t>
            </w:r>
            <w:r w:rsidRPr="00813BCB">
              <w:rPr>
                <w:rFonts w:eastAsia="MS Mincho"/>
              </w:rPr>
              <w:t xml:space="preserve"> at 6 and 12 months of follow-up.</w:t>
            </w:r>
            <w:r w:rsidR="007E2A23" w:rsidRPr="00813BCB">
              <w:rPr>
                <w:rFonts w:eastAsia="MS Mincho"/>
              </w:rPr>
              <w:t xml:space="preserve"> </w:t>
            </w:r>
            <w:r w:rsidR="004416EF" w:rsidRPr="00813BCB">
              <w:rPr>
                <w:rFonts w:eastAsia="MS Mincho"/>
              </w:rPr>
              <w:t xml:space="preserve">CAR at all clinic visits over 12 months. </w:t>
            </w:r>
            <w:r w:rsidR="007E2A23" w:rsidRPr="00813BCB">
              <w:rPr>
                <w:rFonts w:eastAsia="MS Mincho"/>
              </w:rPr>
              <w:t>Validated by CO</w:t>
            </w:r>
            <w:r w:rsidR="0092547F" w:rsidRPr="00813BCB">
              <w:rPr>
                <w:rFonts w:eastAsia="MS Mincho"/>
              </w:rPr>
              <w:t xml:space="preserve"> </w:t>
            </w:r>
            <w:r w:rsidR="00C42C93" w:rsidRPr="00813BCB">
              <w:rPr>
                <w:rFonts w:eastAsia="MS Mincho"/>
              </w:rPr>
              <w:t>≤</w:t>
            </w:r>
            <w:r w:rsidR="007E2A23" w:rsidRPr="00813BCB">
              <w:rPr>
                <w:rFonts w:eastAsia="MS Mincho"/>
              </w:rPr>
              <w:t>10</w:t>
            </w:r>
            <w:r w:rsidR="008C5D20" w:rsidRPr="00813BCB">
              <w:rPr>
                <w:rFonts w:eastAsia="MS Mincho"/>
              </w:rPr>
              <w:t xml:space="preserve"> </w:t>
            </w:r>
            <w:r w:rsidR="007E2A23" w:rsidRPr="00813BCB">
              <w:rPr>
                <w:rFonts w:eastAsia="MS Mincho"/>
              </w:rPr>
              <w:t>ppm.</w:t>
            </w:r>
          </w:p>
          <w:p w14:paraId="754A04B6" w14:textId="63E9C723" w:rsidR="00A34E7B" w:rsidRPr="00813BCB" w:rsidRDefault="00A34E7B" w:rsidP="00BC1C13">
            <w:pPr>
              <w:pStyle w:val="Tablewriting"/>
              <w:rPr>
                <w:rFonts w:eastAsia="MS Mincho"/>
              </w:rPr>
            </w:pPr>
            <w:r w:rsidRPr="00813BCB">
              <w:rPr>
                <w:rFonts w:eastAsia="MS Mincho"/>
                <w:u w:val="single"/>
              </w:rPr>
              <w:t>Secondary</w:t>
            </w:r>
            <w:r w:rsidRPr="00813BCB">
              <w:rPr>
                <w:rFonts w:eastAsia="MS Mincho"/>
              </w:rPr>
              <w:t>: withdrawal symptoms, body weight, and B</w:t>
            </w:r>
            <w:r w:rsidR="004416EF" w:rsidRPr="00813BCB">
              <w:rPr>
                <w:rFonts w:eastAsia="MS Mincho"/>
              </w:rPr>
              <w:t>DI</w:t>
            </w:r>
            <w:r w:rsidRPr="00813BCB">
              <w:rPr>
                <w:rFonts w:eastAsia="MS Mincho"/>
              </w:rPr>
              <w:t xml:space="preserve"> scores.</w:t>
            </w:r>
          </w:p>
        </w:tc>
      </w:tr>
      <w:tr w:rsidR="002D3FD2" w:rsidRPr="00061F78" w14:paraId="3E001C5C" w14:textId="77777777" w:rsidTr="008F4C0A">
        <w:trPr>
          <w:trHeight w:val="149"/>
        </w:trPr>
        <w:tc>
          <w:tcPr>
            <w:tcW w:w="290" w:type="pct"/>
            <w:tcMar>
              <w:left w:w="28" w:type="dxa"/>
              <w:right w:w="28" w:type="dxa"/>
            </w:tcMar>
          </w:tcPr>
          <w:p w14:paraId="3D6F28B2" w14:textId="4C150484" w:rsidR="00A34E7B" w:rsidRPr="00D07303" w:rsidRDefault="00A34E7B" w:rsidP="00BC1C13">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2D3FD2" w:rsidRPr="00D07303">
              <w:rPr>
                <w:rFonts w:eastAsia="MS Mincho"/>
                <w:vertAlign w:val="superscript"/>
              </w:rPr>
              <w:t xml:space="preserve"> </w:t>
            </w:r>
          </w:p>
        </w:tc>
        <w:tc>
          <w:tcPr>
            <w:tcW w:w="405" w:type="pct"/>
          </w:tcPr>
          <w:p w14:paraId="6C7907AF" w14:textId="5BB225AC" w:rsidR="00A34E7B" w:rsidRDefault="00A34E7B" w:rsidP="00BC1C13">
            <w:pPr>
              <w:pStyle w:val="Tablewriting"/>
              <w:rPr>
                <w:rFonts w:eastAsia="MS Mincho"/>
              </w:rPr>
            </w:pPr>
            <w:r>
              <w:rPr>
                <w:rFonts w:eastAsia="MS Mincho"/>
              </w:rPr>
              <w:t xml:space="preserve">Cochrane </w:t>
            </w:r>
            <w:r w:rsidR="004C4EA7">
              <w:rPr>
                <w:rFonts w:eastAsia="MS Mincho"/>
              </w:rPr>
              <w:t>Review (</w:t>
            </w:r>
            <w:r>
              <w:rPr>
                <w:rFonts w:eastAsia="MS Mincho"/>
              </w:rPr>
              <w:t>46 RCTs</w:t>
            </w:r>
            <w:r w:rsidR="00AB145F" w:rsidRPr="00AB145F">
              <w:rPr>
                <w:rFonts w:eastAsia="MS Mincho"/>
                <w:vertAlign w:val="superscript"/>
              </w:rPr>
              <w:t>2</w:t>
            </w:r>
            <w:r>
              <w:rPr>
                <w:rFonts w:eastAsia="MS Mincho"/>
              </w:rPr>
              <w:t>)</w:t>
            </w:r>
          </w:p>
        </w:tc>
        <w:tc>
          <w:tcPr>
            <w:tcW w:w="352" w:type="pct"/>
            <w:tcMar>
              <w:left w:w="28" w:type="dxa"/>
              <w:right w:w="28" w:type="dxa"/>
            </w:tcMar>
          </w:tcPr>
          <w:p w14:paraId="2D74F7B5" w14:textId="494D0E87" w:rsidR="008C39E4" w:rsidRDefault="008C39E4" w:rsidP="00BC1C13">
            <w:pPr>
              <w:pStyle w:val="Tablewriting"/>
              <w:rPr>
                <w:rFonts w:eastAsia="MS Mincho"/>
              </w:rPr>
            </w:pPr>
            <w:r>
              <w:rPr>
                <w:rFonts w:eastAsia="MS Mincho"/>
              </w:rPr>
              <w:t>N=17,866</w:t>
            </w:r>
          </w:p>
          <w:p w14:paraId="7B4FA767" w14:textId="3CBC0036" w:rsidR="008C39E4" w:rsidRDefault="008C39E4" w:rsidP="00BC1C13">
            <w:pPr>
              <w:pStyle w:val="Tablewriting"/>
              <w:rPr>
                <w:rFonts w:eastAsia="MS Mincho"/>
              </w:rPr>
            </w:pPr>
            <w:r>
              <w:rPr>
                <w:rFonts w:eastAsia="MS Mincho"/>
              </w:rPr>
              <w:t>Bupropion (n=9,714),</w:t>
            </w:r>
          </w:p>
          <w:p w14:paraId="7A28A84D" w14:textId="1FA5A772" w:rsidR="00A34E7B" w:rsidRPr="00061F78" w:rsidRDefault="008C39E4" w:rsidP="00BC1C13">
            <w:pPr>
              <w:pStyle w:val="Tablewriting"/>
              <w:rPr>
                <w:rFonts w:eastAsia="MS Mincho"/>
              </w:rPr>
            </w:pPr>
            <w:r>
              <w:rPr>
                <w:rFonts w:eastAsia="MS Mincho"/>
              </w:rPr>
              <w:t>Placebo (n=8,152)</w:t>
            </w:r>
          </w:p>
        </w:tc>
        <w:tc>
          <w:tcPr>
            <w:tcW w:w="1875" w:type="pct"/>
            <w:tcMar>
              <w:left w:w="28" w:type="dxa"/>
              <w:right w:w="28" w:type="dxa"/>
            </w:tcMar>
          </w:tcPr>
          <w:p w14:paraId="57AD4BDE" w14:textId="4420BD24" w:rsidR="002C19B4" w:rsidRDefault="002C19B4" w:rsidP="00BC1C13">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14:paraId="04CD8930" w14:textId="677393A7" w:rsidR="00A34E7B" w:rsidRPr="00061F78" w:rsidRDefault="002C19B4" w:rsidP="00BC1C13">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sidR="00593CA5">
              <w:rPr>
                <w:rFonts w:eastAsia="MS Mincho"/>
              </w:rPr>
              <w:t xml:space="preserve"> and</w:t>
            </w:r>
            <w:r w:rsidR="00593CA5">
              <w:t xml:space="preserve"> </w:t>
            </w:r>
            <w:r w:rsidR="00593CA5" w:rsidRPr="00593CA5">
              <w:rPr>
                <w:rFonts w:eastAsia="MS Mincho"/>
              </w:rPr>
              <w:t>trials investigating use for smoking harm reduction</w:t>
            </w:r>
            <w:r w:rsidR="00593CA5">
              <w:rPr>
                <w:rFonts w:eastAsia="MS Mincho"/>
              </w:rPr>
              <w:t xml:space="preserve"> </w:t>
            </w:r>
            <w:r w:rsidR="00593CA5" w:rsidRPr="00593CA5">
              <w:rPr>
                <w:rFonts w:eastAsia="MS Mincho"/>
              </w:rPr>
              <w:t>or relapse prevention</w:t>
            </w:r>
            <w:r w:rsidR="00593CA5">
              <w:rPr>
                <w:rFonts w:eastAsia="MS Mincho"/>
              </w:rPr>
              <w:t>.</w:t>
            </w:r>
          </w:p>
        </w:tc>
        <w:tc>
          <w:tcPr>
            <w:tcW w:w="845" w:type="pct"/>
          </w:tcPr>
          <w:p w14:paraId="432F6B9C" w14:textId="2AF3FE3F" w:rsidR="005B2A6C" w:rsidRPr="00061F78" w:rsidRDefault="006E61FA" w:rsidP="00BC1C13">
            <w:pPr>
              <w:pStyle w:val="Tablewriting"/>
              <w:rPr>
                <w:rFonts w:eastAsia="MS Mincho"/>
              </w:rPr>
            </w:pPr>
            <w:r>
              <w:rPr>
                <w:rFonts w:eastAsia="MS Mincho"/>
              </w:rPr>
              <w:t>Bupropion: 150</w:t>
            </w:r>
            <w:r w:rsidR="00A13509">
              <w:rPr>
                <w:rFonts w:eastAsia="MS Mincho"/>
              </w:rPr>
              <w:t xml:space="preserve"> </w:t>
            </w:r>
            <w:r>
              <w:rPr>
                <w:rFonts w:eastAsia="MS Mincho"/>
              </w:rPr>
              <w:t>mg twice daily including titration (</w:t>
            </w:r>
            <w:r w:rsidR="004C4EA7">
              <w:rPr>
                <w:rFonts w:eastAsia="MS Mincho"/>
              </w:rPr>
              <w:t>i.e.,</w:t>
            </w:r>
            <w:r>
              <w:rPr>
                <w:rFonts w:eastAsia="MS Mincho"/>
              </w:rPr>
              <w:t xml:space="preserve"> 150</w:t>
            </w:r>
            <w:r w:rsidR="00A13509">
              <w:rPr>
                <w:rFonts w:eastAsia="MS Mincho"/>
              </w:rPr>
              <w:t xml:space="preserve"> </w:t>
            </w:r>
            <w:r>
              <w:rPr>
                <w:rFonts w:eastAsia="MS Mincho"/>
              </w:rPr>
              <w:t>mg once daily for 3 days, then 150</w:t>
            </w:r>
            <w:r w:rsidR="00A13509">
              <w:rPr>
                <w:rFonts w:eastAsia="MS Mincho"/>
              </w:rPr>
              <w:t xml:space="preserve"> </w:t>
            </w:r>
            <w:r>
              <w:rPr>
                <w:rFonts w:eastAsia="MS Mincho"/>
              </w:rPr>
              <w:t>mg twice daily)</w:t>
            </w:r>
            <w:r w:rsidR="00631447">
              <w:rPr>
                <w:rFonts w:eastAsia="MS Mincho"/>
              </w:rPr>
              <w:t xml:space="preserve">; </w:t>
            </w:r>
            <w:r w:rsidR="005B2A6C">
              <w:rPr>
                <w:rFonts w:eastAsia="MS Mincho"/>
              </w:rPr>
              <w:t>Placebo: placebo tablets</w:t>
            </w:r>
            <w:r w:rsidR="001B0165">
              <w:rPr>
                <w:rFonts w:eastAsia="MS Mincho"/>
              </w:rPr>
              <w:t>, same regimen</w:t>
            </w:r>
            <w:r w:rsidR="0097788D">
              <w:rPr>
                <w:rFonts w:eastAsia="MS Mincho"/>
              </w:rPr>
              <w:t>.</w:t>
            </w:r>
          </w:p>
        </w:tc>
        <w:tc>
          <w:tcPr>
            <w:tcW w:w="1233" w:type="pct"/>
            <w:tcMar>
              <w:left w:w="28" w:type="dxa"/>
              <w:right w:w="28" w:type="dxa"/>
            </w:tcMar>
          </w:tcPr>
          <w:p w14:paraId="4A1CDCC3" w14:textId="7CA6E6B8" w:rsidR="00A34E7B" w:rsidRDefault="002C19B4" w:rsidP="00BC1C13">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sidR="00817821">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97788D">
              <w:rPr>
                <w:rFonts w:eastAsia="MS Mincho"/>
              </w:rPr>
              <w:t>.</w:t>
            </w:r>
          </w:p>
          <w:p w14:paraId="5C14A99D" w14:textId="462214DD" w:rsidR="002C19B4" w:rsidRPr="00061F78" w:rsidRDefault="002C19B4" w:rsidP="00BC1C13">
            <w:pPr>
              <w:pStyle w:val="Tablewriting"/>
              <w:rPr>
                <w:rFonts w:eastAsia="MS Mincho"/>
              </w:rPr>
            </w:pPr>
            <w:r w:rsidRPr="0036499C">
              <w:rPr>
                <w:rFonts w:eastAsia="MS Mincho"/>
                <w:u w:val="single"/>
              </w:rPr>
              <w:t>Secondary</w:t>
            </w:r>
            <w:r>
              <w:rPr>
                <w:rFonts w:eastAsia="MS Mincho"/>
              </w:rPr>
              <w:t xml:space="preserve">: safety including any adverse events, psychiatric adverse events, serious adverse </w:t>
            </w:r>
            <w:r w:rsidR="004C4EA7">
              <w:rPr>
                <w:rFonts w:eastAsia="MS Mincho"/>
              </w:rPr>
              <w:t>events,</w:t>
            </w:r>
            <w:r>
              <w:rPr>
                <w:rFonts w:eastAsia="MS Mincho"/>
              </w:rPr>
              <w:t xml:space="preserve"> and dropouts due to adverse events</w:t>
            </w:r>
            <w:r w:rsidR="0097788D">
              <w:rPr>
                <w:rFonts w:eastAsia="MS Mincho"/>
              </w:rPr>
              <w:t>.</w:t>
            </w:r>
          </w:p>
        </w:tc>
      </w:tr>
      <w:tr w:rsidR="002D3FD2" w:rsidRPr="00061F78" w14:paraId="468A796B" w14:textId="77777777" w:rsidTr="008F4C0A">
        <w:trPr>
          <w:trHeight w:val="149"/>
        </w:trPr>
        <w:tc>
          <w:tcPr>
            <w:tcW w:w="290" w:type="pct"/>
            <w:tcMar>
              <w:left w:w="28" w:type="dxa"/>
              <w:right w:w="28" w:type="dxa"/>
            </w:tcMar>
          </w:tcPr>
          <w:p w14:paraId="2C3E055D" w14:textId="12C663C8" w:rsidR="0062206C" w:rsidRDefault="0062206C" w:rsidP="00BC1C13">
            <w:pPr>
              <w:pStyle w:val="Tablewriting"/>
              <w:rPr>
                <w:rFonts w:eastAsia="MS Mincho"/>
              </w:rPr>
            </w:pPr>
            <w:r>
              <w:rPr>
                <w:rFonts w:eastAsia="MS Mincho"/>
              </w:rPr>
              <w:lastRenderedPageBreak/>
              <w:t>Benowitz (2018)</w:t>
            </w:r>
            <w:r w:rsidR="00F25F34">
              <w:rPr>
                <w:rFonts w:eastAsia="MS Mincho"/>
              </w:rPr>
              <w:t xml:space="preserve"> </w:t>
            </w:r>
          </w:p>
        </w:tc>
        <w:tc>
          <w:tcPr>
            <w:tcW w:w="405" w:type="pct"/>
          </w:tcPr>
          <w:p w14:paraId="626078C1" w14:textId="38822E5B" w:rsidR="0062206C" w:rsidRPr="00B537F7" w:rsidRDefault="0062206C" w:rsidP="00BC1C13">
            <w:pPr>
              <w:pStyle w:val="Tablewriting"/>
              <w:rPr>
                <w:rFonts w:eastAsia="MS Mincho"/>
                <w:vertAlign w:val="superscript"/>
              </w:rPr>
            </w:pPr>
            <w:r>
              <w:rPr>
                <w:rFonts w:eastAsia="MS Mincho"/>
              </w:rPr>
              <w:t>Non-treatment extension safety study of EAGLES (2016)</w:t>
            </w:r>
            <w:r w:rsidR="00411BD4">
              <w:rPr>
                <w:rFonts w:eastAsia="MS Mincho"/>
                <w:vertAlign w:val="superscript"/>
              </w:rPr>
              <w:t>3</w:t>
            </w:r>
          </w:p>
        </w:tc>
        <w:tc>
          <w:tcPr>
            <w:tcW w:w="352" w:type="pct"/>
            <w:tcMar>
              <w:left w:w="28" w:type="dxa"/>
              <w:right w:w="28" w:type="dxa"/>
            </w:tcMar>
          </w:tcPr>
          <w:p w14:paraId="4D087AC5" w14:textId="77777777" w:rsidR="0062206C" w:rsidRDefault="0062206C" w:rsidP="00BC1C13">
            <w:pPr>
              <w:pStyle w:val="Tablewriting"/>
              <w:rPr>
                <w:rFonts w:eastAsia="MS Mincho"/>
              </w:rPr>
            </w:pPr>
            <w:r>
              <w:rPr>
                <w:rFonts w:eastAsia="MS Mincho"/>
              </w:rPr>
              <w:t>N=4,595</w:t>
            </w:r>
          </w:p>
          <w:p w14:paraId="2A057841" w14:textId="34F9E036" w:rsidR="0062206C" w:rsidRPr="000C14F2" w:rsidRDefault="008A5BD0" w:rsidP="00BC1C13">
            <w:pPr>
              <w:pStyle w:val="Tablewriting"/>
              <w:rPr>
                <w:rFonts w:eastAsia="MS Mincho"/>
                <w:u w:val="single"/>
              </w:rPr>
            </w:pPr>
            <w:r>
              <w:rPr>
                <w:rFonts w:eastAsia="MS Mincho"/>
              </w:rPr>
              <w:t>Bupropion</w:t>
            </w:r>
            <w:r w:rsidR="0062206C">
              <w:rPr>
                <w:rFonts w:eastAsia="MS Mincho"/>
              </w:rPr>
              <w:t xml:space="preserve"> (n=</w:t>
            </w:r>
            <w:r w:rsidR="003C522C">
              <w:rPr>
                <w:rFonts w:eastAsia="MS Mincho"/>
              </w:rPr>
              <w:t>1,166</w:t>
            </w:r>
            <w:r w:rsidR="0062206C">
              <w:rPr>
                <w:rFonts w:eastAsia="MS Mincho"/>
              </w:rPr>
              <w:t>), Placebo (n=1,121)</w:t>
            </w:r>
          </w:p>
        </w:tc>
        <w:tc>
          <w:tcPr>
            <w:tcW w:w="1875" w:type="pct"/>
            <w:tcMar>
              <w:left w:w="28" w:type="dxa"/>
              <w:right w:w="28" w:type="dxa"/>
            </w:tcMar>
          </w:tcPr>
          <w:p w14:paraId="061B628E" w14:textId="722CEA2E" w:rsidR="0062206C" w:rsidRDefault="0062206C" w:rsidP="00BC1C13">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97788D">
              <w:rPr>
                <w:rFonts w:eastAsia="MS Mincho" w:cstheme="minorHAnsi"/>
              </w:rPr>
              <w:t>.</w:t>
            </w:r>
          </w:p>
          <w:p w14:paraId="2EE31DEC" w14:textId="63A08972" w:rsidR="0062206C" w:rsidRPr="002C19B4" w:rsidRDefault="0062206C" w:rsidP="00BC1C13">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845" w:type="pct"/>
          </w:tcPr>
          <w:p w14:paraId="59FFA513" w14:textId="2AC1E735" w:rsidR="0062206C" w:rsidRDefault="0062206C" w:rsidP="00BC1C13">
            <w:pPr>
              <w:pStyle w:val="Tablewriting"/>
              <w:rPr>
                <w:rFonts w:eastAsia="MS Mincho"/>
              </w:rPr>
            </w:pPr>
            <w:r>
              <w:rPr>
                <w:rFonts w:eastAsia="MS Mincho"/>
              </w:rPr>
              <w:t xml:space="preserve">No treatment was provided during this study. Prior </w:t>
            </w:r>
            <w:r w:rsidR="0094021E">
              <w:rPr>
                <w:rFonts w:eastAsia="MS Mincho"/>
              </w:rPr>
              <w:t>bupropion</w:t>
            </w:r>
            <w:r>
              <w:rPr>
                <w:rFonts w:eastAsia="MS Mincho"/>
              </w:rPr>
              <w:t xml:space="preserve"> and placebo treatments were administered in EAGLES (2016).</w:t>
            </w:r>
          </w:p>
        </w:tc>
        <w:tc>
          <w:tcPr>
            <w:tcW w:w="1233" w:type="pct"/>
            <w:tcMar>
              <w:left w:w="28" w:type="dxa"/>
              <w:right w:w="28" w:type="dxa"/>
            </w:tcMar>
          </w:tcPr>
          <w:p w14:paraId="5F444962" w14:textId="77777777" w:rsidR="0062206C" w:rsidRDefault="0062206C" w:rsidP="00BC1C13">
            <w:pPr>
              <w:pStyle w:val="Tablewriting"/>
              <w:rPr>
                <w:rFonts w:eastAsia="MS Mincho"/>
              </w:rPr>
            </w:pPr>
            <w:r w:rsidRPr="008C39E4">
              <w:rPr>
                <w:rFonts w:eastAsia="MS Mincho"/>
                <w:u w:val="single"/>
              </w:rPr>
              <w:t>Primary</w:t>
            </w:r>
            <w:r>
              <w:rPr>
                <w:rFonts w:eastAsia="MS Mincho"/>
              </w:rPr>
              <w:t>: Time to major adverse cardiovascular event</w:t>
            </w:r>
          </w:p>
          <w:p w14:paraId="3F6CA88A" w14:textId="59C0157C" w:rsidR="0062206C" w:rsidRPr="0036499C" w:rsidRDefault="0062206C" w:rsidP="00BC1C13">
            <w:pPr>
              <w:pStyle w:val="Tablewriting"/>
              <w:rPr>
                <w:rFonts w:eastAsia="MS Mincho"/>
                <w:u w:val="single"/>
              </w:rPr>
            </w:pPr>
            <w:r w:rsidRPr="008C39E4">
              <w:rPr>
                <w:rFonts w:eastAsia="MS Mincho"/>
                <w:u w:val="single"/>
              </w:rPr>
              <w:t>Secondary</w:t>
            </w:r>
            <w:r>
              <w:rPr>
                <w:rFonts w:eastAsia="MS Mincho"/>
              </w:rPr>
              <w:t>: Occurrence of major adverse cardiovascular event</w:t>
            </w:r>
          </w:p>
        </w:tc>
      </w:tr>
    </w:tbl>
    <w:p w14:paraId="0EB82605" w14:textId="47D4C8FE" w:rsidR="005879DD" w:rsidRPr="00813BCB" w:rsidRDefault="005879DD" w:rsidP="008F4C0A">
      <w:pPr>
        <w:pStyle w:val="TableFooter"/>
        <w:keepNext/>
        <w:jc w:val="both"/>
        <w:rPr>
          <w:i/>
        </w:rPr>
      </w:pPr>
      <w:r>
        <w:t>Abbreviation</w:t>
      </w:r>
      <w:r w:rsidR="005B2A6C">
        <w:t xml:space="preserve">s: </w:t>
      </w:r>
      <w:r w:rsidR="00BC110D">
        <w:t xml:space="preserve">BDI = Beck Depression Inventory; </w:t>
      </w:r>
      <w:r w:rsidR="00065C5F">
        <w:t xml:space="preserve">CAR = continuous abstinence rate; </w:t>
      </w:r>
      <w:r w:rsidR="008948D6">
        <w:t xml:space="preserve">CO = carbon monoxide; </w:t>
      </w:r>
      <w:r w:rsidR="006948B9">
        <w:t xml:space="preserve">NRT = nicotine replacement therapy; </w:t>
      </w:r>
      <w:r w:rsidR="00065C5F">
        <w:t xml:space="preserve">PPA = point prevalence abstinence; </w:t>
      </w:r>
      <w:r w:rsidR="005B2A6C">
        <w:t>RCT = randomised controlled trial</w:t>
      </w:r>
    </w:p>
    <w:p w14:paraId="744A6FB6" w14:textId="4DFA127D" w:rsidR="00AB145F" w:rsidRDefault="00AB145F" w:rsidP="008F4C0A">
      <w:pPr>
        <w:pStyle w:val="TableFooter"/>
        <w:keepNext/>
        <w:jc w:val="both"/>
      </w:pPr>
      <w:r>
        <w:t xml:space="preserve">1 </w:t>
      </w:r>
      <w:r w:rsidR="00C417F4">
        <w:t>Only t</w:t>
      </w:r>
      <w:r>
        <w:t xml:space="preserve">he number </w:t>
      </w:r>
      <w:r w:rsidR="00290683">
        <w:t>of patients</w:t>
      </w:r>
      <w:r w:rsidR="00C417F4">
        <w:t xml:space="preserve"> (n) in the relevant arms were included</w:t>
      </w:r>
      <w:r w:rsidR="0003189C">
        <w:t>.</w:t>
      </w:r>
      <w:r w:rsidR="00290683">
        <w:t xml:space="preserve"> </w:t>
      </w:r>
    </w:p>
    <w:p w14:paraId="499737C7" w14:textId="431B8956" w:rsidR="005879DD" w:rsidRPr="00F3027C" w:rsidRDefault="00AB145F" w:rsidP="008F4C0A">
      <w:pPr>
        <w:pStyle w:val="TableFooter"/>
        <w:jc w:val="both"/>
        <w:rPr>
          <w:shd w:val="clear" w:color="auto" w:fill="C0C0C1"/>
        </w:rPr>
      </w:pPr>
      <w:r>
        <w:t>2</w:t>
      </w:r>
      <w:r w:rsidR="005879DD">
        <w:t xml:space="preserve"> The characteristics of the individual studies</w:t>
      </w:r>
      <w:r w:rsidR="001B4869">
        <w:t xml:space="preserve"> comparing bupropion with placebo</w:t>
      </w:r>
      <w:r w:rsidR="005879DD">
        <w:t xml:space="preserve"> included in </w:t>
      </w:r>
      <w:r w:rsidR="001B4869">
        <w:t>Howes et al. (2020)</w:t>
      </w:r>
      <w:r w:rsidR="005879DD">
        <w:t xml:space="preserve"> are presented in </w:t>
      </w:r>
      <w:r w:rsidR="005879DD" w:rsidRPr="00AE796D">
        <w:t>Appendix</w:t>
      </w:r>
      <w:r w:rsidR="00943599">
        <w:t xml:space="preserve"> </w:t>
      </w:r>
      <w:r w:rsidR="00943599">
        <w:rPr>
          <w:highlight w:val="yellow"/>
        </w:rPr>
        <w:fldChar w:fldCharType="begin" w:fldLock="1"/>
      </w:r>
      <w:r w:rsidR="00943599">
        <w:instrText xml:space="preserve"> REF _Ref55118117 \h </w:instrText>
      </w:r>
      <w:r w:rsidR="008F4C0A">
        <w:rPr>
          <w:highlight w:val="yellow"/>
        </w:rPr>
        <w:instrText xml:space="preserve"> \* MERGEFORMAT </w:instrText>
      </w:r>
      <w:r w:rsidR="00943599">
        <w:rPr>
          <w:highlight w:val="yellow"/>
        </w:rPr>
      </w:r>
      <w:r w:rsidR="00943599">
        <w:rPr>
          <w:highlight w:val="yellow"/>
        </w:rPr>
        <w:fldChar w:fldCharType="separate"/>
      </w:r>
      <w:r w:rsidR="00EC5CC7">
        <w:t xml:space="preserve">Table </w:t>
      </w:r>
      <w:r w:rsidR="00EC5CC7">
        <w:rPr>
          <w:noProof/>
        </w:rPr>
        <w:t>144</w:t>
      </w:r>
      <w:r w:rsidR="00943599">
        <w:rPr>
          <w:highlight w:val="yellow"/>
        </w:rPr>
        <w:fldChar w:fldCharType="end"/>
      </w:r>
      <w:r w:rsidR="00943599">
        <w:t>.</w:t>
      </w:r>
      <w:r w:rsidR="00944A49">
        <w:t xml:space="preserve"> </w:t>
      </w:r>
      <w:r w:rsidR="00341FBD" w:rsidRPr="00341FBD">
        <w:rPr>
          <w:color w:val="000000"/>
          <w:w w:val="64"/>
          <w:shd w:val="solid" w:color="000000" w:fill="000000"/>
          <w:fitText w:val="1730" w:id="-1402784256"/>
          <w14:textFill>
            <w14:solidFill>
              <w14:srgbClr w14:val="000000">
                <w14:alpha w14:val="100000"/>
              </w14:srgbClr>
            </w14:solidFill>
          </w14:textFill>
        </w:rPr>
        <w:t>||||||||||||||  |||||||||||||</w:t>
      </w:r>
      <w:r w:rsidR="00341FBD" w:rsidRPr="00341FBD">
        <w:rPr>
          <w:color w:val="000000"/>
          <w:spacing w:val="23"/>
          <w:w w:val="64"/>
          <w:shd w:val="solid" w:color="000000" w:fill="000000"/>
          <w:fitText w:val="1730" w:id="-1402784256"/>
          <w14:textFill>
            <w14:solidFill>
              <w14:srgbClr w14:val="000000">
                <w14:alpha w14:val="100000"/>
              </w14:srgbClr>
            </w14:solidFill>
          </w14:textFill>
        </w:rPr>
        <w:t>|</w:t>
      </w:r>
      <w:r w:rsidR="00341FBD">
        <w:rPr>
          <w:highlight w:val="green"/>
          <w:shd w:val="clear" w:color="auto" w:fill="C0C0C1"/>
        </w:rPr>
        <w:t xml:space="preserve"> </w:t>
      </w:r>
      <w:r w:rsidR="00341FBD" w:rsidRPr="00341FBD">
        <w:rPr>
          <w:color w:val="000000"/>
          <w:spacing w:val="1"/>
          <w:w w:val="65"/>
          <w:shd w:val="solid" w:color="000000" w:fill="000000"/>
          <w:fitText w:val="10826" w:id="-1402784255"/>
          <w14:textFill>
            <w14:solidFill>
              <w14:srgbClr w14:val="000000">
                <w14:alpha w14:val="100000"/>
              </w14:srgbClr>
            </w14:solidFill>
          </w14:textFill>
        </w:rPr>
        <w:t>|||||||||||||||||||||||||||||||||||||||||||||||||||||||||||||||||||||||||||||||||||||||||  ||||||||||||||||||||||||||||||||||||||||||||||||||||||||||||||||||||||||||||||||||||||||</w:t>
      </w:r>
      <w:r w:rsidR="00341FBD" w:rsidRPr="00341FBD">
        <w:rPr>
          <w:color w:val="000000"/>
          <w:spacing w:val="-50"/>
          <w:w w:val="65"/>
          <w:shd w:val="solid" w:color="000000" w:fill="000000"/>
          <w:fitText w:val="10826" w:id="-1402784255"/>
          <w14:textFill>
            <w14:solidFill>
              <w14:srgbClr w14:val="000000">
                <w14:alpha w14:val="100000"/>
              </w14:srgbClr>
            </w14:solidFill>
          </w14:textFill>
        </w:rPr>
        <w:t>|</w:t>
      </w:r>
    </w:p>
    <w:p w14:paraId="0CCBA02E" w14:textId="02FCD130" w:rsidR="000228C8" w:rsidRPr="00061F78" w:rsidRDefault="000228C8" w:rsidP="008F4C0A">
      <w:pPr>
        <w:pStyle w:val="TableFooter"/>
        <w:jc w:val="both"/>
      </w:pPr>
      <w:r>
        <w:t xml:space="preserve">3 </w:t>
      </w:r>
      <w:r w:rsidRPr="000228C8">
        <w:t>Benowitz et al. (2018) was a non-treatment extension of EAGLES (Anthenelli et al. 2016) with a considerable amount of missing data due to lost to follow-up, extension study nonenrollees, no longer willing to participate and death.</w:t>
      </w:r>
    </w:p>
    <w:p w14:paraId="21560105" w14:textId="77777777" w:rsidR="00280114" w:rsidRDefault="00280114" w:rsidP="00C83EDA">
      <w:pPr>
        <w:rPr>
          <w:highlight w:val="yellow"/>
        </w:rPr>
        <w:sectPr w:rsidR="00280114" w:rsidSect="00280114">
          <w:pgSz w:w="16838" w:h="11906" w:orient="landscape"/>
          <w:pgMar w:top="1440" w:right="1440" w:bottom="1440" w:left="1440" w:header="708" w:footer="708" w:gutter="0"/>
          <w:cols w:space="708"/>
          <w:titlePg/>
          <w:docGrid w:linePitch="360"/>
        </w:sectPr>
      </w:pPr>
    </w:p>
    <w:p w14:paraId="64B92727" w14:textId="3BB84923" w:rsidR="00944A49" w:rsidRPr="0073597F" w:rsidRDefault="00817821" w:rsidP="008F4C0A">
      <w:pPr>
        <w:spacing w:after="120"/>
        <w:jc w:val="both"/>
        <w:rPr>
          <w:u w:val="single"/>
        </w:rPr>
      </w:pPr>
      <w:r w:rsidRPr="0073597F">
        <w:rPr>
          <w:u w:val="single"/>
        </w:rPr>
        <w:lastRenderedPageBreak/>
        <w:t>Efficacy</w:t>
      </w:r>
    </w:p>
    <w:p w14:paraId="7915840D" w14:textId="57CF3DA2" w:rsidR="00C01C08" w:rsidRDefault="00817821" w:rsidP="008F4C0A">
      <w:pPr>
        <w:spacing w:after="120"/>
        <w:jc w:val="both"/>
      </w:pPr>
      <w:r>
        <w:t>A summary of the smoking cessation rates</w:t>
      </w:r>
      <w:r w:rsidDel="00F52FCD">
        <w:t xml:space="preserve"> </w:t>
      </w:r>
      <w:r w:rsidR="00F52FCD">
        <w:t>for</w:t>
      </w:r>
      <w:r>
        <w:t xml:space="preserve"> at least six months follow-up </w:t>
      </w:r>
      <w:r w:rsidR="00827DC0">
        <w:t>comparing</w:t>
      </w:r>
      <w:r w:rsidR="009E3B13">
        <w:t xml:space="preserve"> bupropion </w:t>
      </w:r>
      <w:r w:rsidR="00827DC0">
        <w:t>with</w:t>
      </w:r>
      <w:r w:rsidR="009E3B13">
        <w:t xml:space="preserve"> placebo </w:t>
      </w:r>
      <w:r>
        <w:t xml:space="preserve">is presented in </w:t>
      </w:r>
      <w:r>
        <w:fldChar w:fldCharType="begin" w:fldLock="1"/>
      </w:r>
      <w:r>
        <w:instrText xml:space="preserve"> REF _Ref53051633 \h </w:instrText>
      </w:r>
      <w:r w:rsidR="008F4C0A">
        <w:instrText xml:space="preserve"> \* MERGEFORMAT </w:instrText>
      </w:r>
      <w:r>
        <w:fldChar w:fldCharType="separate"/>
      </w:r>
      <w:r w:rsidR="00EC5CC7">
        <w:t xml:space="preserve">Table </w:t>
      </w:r>
      <w:r w:rsidR="00EC5CC7">
        <w:rPr>
          <w:noProof/>
        </w:rPr>
        <w:t>7</w:t>
      </w:r>
      <w:r>
        <w:fldChar w:fldCharType="end"/>
      </w:r>
      <w:r>
        <w:t xml:space="preserve">. </w:t>
      </w:r>
      <w:r w:rsidRPr="000F3331">
        <w:t xml:space="preserve">The results </w:t>
      </w:r>
      <w:r w:rsidR="009C60FE" w:rsidRPr="000F3331">
        <w:t xml:space="preserve">of Jorenby et al. (1999) </w:t>
      </w:r>
      <w:r w:rsidRPr="000F3331">
        <w:t>demonstrated a statistically significant difference</w:t>
      </w:r>
      <w:r w:rsidR="00121D29" w:rsidRPr="000F3331">
        <w:t xml:space="preserve"> in continuous abstinence rate, in favour of bupropion</w:t>
      </w:r>
      <w:r w:rsidR="009C60FE" w:rsidRPr="000F3331">
        <w:t xml:space="preserve">. In contrast, no statistically significant difference was observed </w:t>
      </w:r>
      <w:r w:rsidR="00C01C08" w:rsidRPr="000F3331">
        <w:t xml:space="preserve">between the two treatment arms </w:t>
      </w:r>
      <w:r w:rsidR="009C60FE" w:rsidRPr="000F3331">
        <w:t>in</w:t>
      </w:r>
      <w:r w:rsidR="00121D29" w:rsidRPr="000F3331">
        <w:t xml:space="preserve"> Hurt et al. (1997)</w:t>
      </w:r>
      <w:r w:rsidR="00E524F6" w:rsidRPr="000F3331">
        <w:t>, although the results numerically favoured bupropion. The non-significant results in Hurt et al. (1997) could be attributed to the</w:t>
      </w:r>
      <w:r w:rsidR="005A032A" w:rsidRPr="000F3331">
        <w:t xml:space="preserve"> small</w:t>
      </w:r>
      <w:r w:rsidR="00E524F6" w:rsidRPr="000F3331">
        <w:t xml:space="preserve"> sample size as the study was only powered to detect a difference at the end of treatment (</w:t>
      </w:r>
      <w:r w:rsidR="004C4EA7" w:rsidRPr="000F3331">
        <w:t>i.e.,</w:t>
      </w:r>
      <w:r w:rsidR="00E524F6" w:rsidRPr="000F3331">
        <w:t xml:space="preserve"> at </w:t>
      </w:r>
      <w:r w:rsidR="005134FB">
        <w:t>w</w:t>
      </w:r>
      <w:r w:rsidR="00E524F6" w:rsidRPr="000F3331">
        <w:t>eek 6) instead of 12 months.</w:t>
      </w:r>
      <w:r w:rsidR="00121D29" w:rsidRPr="000F3331">
        <w:t xml:space="preserve"> </w:t>
      </w:r>
      <w:r w:rsidR="0037676D" w:rsidRPr="000F3331">
        <w:t>At</w:t>
      </w:r>
      <w:r w:rsidR="007D0AF0" w:rsidRPr="000F3331">
        <w:t xml:space="preserve"> </w:t>
      </w:r>
      <w:r w:rsidR="005134FB">
        <w:t>w</w:t>
      </w:r>
      <w:r w:rsidR="00310EFC" w:rsidRPr="000F3331">
        <w:t xml:space="preserve">eek </w:t>
      </w:r>
      <w:r w:rsidR="00EC7F43">
        <w:t>six</w:t>
      </w:r>
      <w:r w:rsidR="007D0AF0" w:rsidRPr="000F3331">
        <w:t xml:space="preserve">, </w:t>
      </w:r>
      <w:r w:rsidR="00DF52C0" w:rsidRPr="000F3331">
        <w:t>the continuous abstinence</w:t>
      </w:r>
      <w:r w:rsidR="003328FB" w:rsidRPr="000F3331">
        <w:t xml:space="preserve"> rate</w:t>
      </w:r>
      <w:r w:rsidR="00DF52C0" w:rsidRPr="000F3331">
        <w:t xml:space="preserve"> was significantly </w:t>
      </w:r>
      <w:r w:rsidR="00962FAE" w:rsidRPr="000F3331">
        <w:t>higher</w:t>
      </w:r>
      <w:r w:rsidR="00DF52C0" w:rsidRPr="000F3331">
        <w:t xml:space="preserve"> in the bupropion</w:t>
      </w:r>
      <w:r w:rsidR="003328FB" w:rsidRPr="000F3331">
        <w:t xml:space="preserve"> group </w:t>
      </w:r>
      <w:r w:rsidR="006E4134" w:rsidRPr="000F3331">
        <w:t xml:space="preserve">(24.4%) </w:t>
      </w:r>
      <w:r w:rsidR="003328FB" w:rsidRPr="000F3331">
        <w:t>compared with</w:t>
      </w:r>
      <w:r w:rsidR="00DF52C0" w:rsidRPr="000F3331">
        <w:t xml:space="preserve"> the placebo group (</w:t>
      </w:r>
      <w:r w:rsidR="006E4134" w:rsidRPr="000F3331">
        <w:t xml:space="preserve">10.5%, </w:t>
      </w:r>
      <w:r w:rsidR="00DF52C0" w:rsidRPr="000F3331">
        <w:t>P</w:t>
      </w:r>
      <w:r w:rsidR="00404975" w:rsidRPr="000F3331">
        <w:t>=</w:t>
      </w:r>
      <w:r w:rsidR="00DF52C0" w:rsidRPr="000F3331">
        <w:t>0.001</w:t>
      </w:r>
      <w:r w:rsidR="00404975" w:rsidRPr="000F3331">
        <w:t>).</w:t>
      </w:r>
    </w:p>
    <w:p w14:paraId="27DAA44D" w14:textId="1C73A953" w:rsidR="00817821" w:rsidRPr="00817821" w:rsidRDefault="00C01C08" w:rsidP="008F4C0A">
      <w:pPr>
        <w:spacing w:after="120"/>
        <w:jc w:val="both"/>
      </w:pPr>
      <w:r>
        <w:t xml:space="preserve">Based on the Cochrane </w:t>
      </w:r>
      <w:r w:rsidR="000A7768">
        <w:t>R</w:t>
      </w:r>
      <w:r>
        <w:t>eview by Howes et al. (2020), t</w:t>
      </w:r>
      <w:r w:rsidR="00121D29">
        <w:t>he results of the meta-analysis comprising 46 RCTs</w:t>
      </w:r>
      <w:r w:rsidR="008D64FB">
        <w:t xml:space="preserve"> </w:t>
      </w:r>
      <w:r w:rsidR="00121D29">
        <w:t xml:space="preserve">demonstrated </w:t>
      </w:r>
      <w:r w:rsidR="00121D29" w:rsidRPr="00121D29">
        <w:t xml:space="preserve">a statistically significant difference in </w:t>
      </w:r>
      <w:r w:rsidR="000569B3">
        <w:t xml:space="preserve">long-term </w:t>
      </w:r>
      <w:r w:rsidR="00121D29">
        <w:t>smoking cessation</w:t>
      </w:r>
      <w:r w:rsidR="00121D29" w:rsidRPr="00121D29">
        <w:t xml:space="preserve"> rate</w:t>
      </w:r>
      <w:r w:rsidR="00121D29">
        <w:t>s</w:t>
      </w:r>
      <w:r w:rsidR="00121D29" w:rsidRPr="00121D29">
        <w:t>, in favour of bupropion</w:t>
      </w:r>
      <w:r w:rsidR="00121D29">
        <w:t>.</w:t>
      </w:r>
      <w:r w:rsidR="00F37D66">
        <w:t xml:space="preserve"> </w:t>
      </w:r>
    </w:p>
    <w:p w14:paraId="1C96C461" w14:textId="68FDFFD6" w:rsidR="005B2A6C" w:rsidRDefault="005B2A6C" w:rsidP="008F4C0A">
      <w:pPr>
        <w:pStyle w:val="Caption"/>
        <w:keepNext/>
        <w:spacing w:before="120" w:after="120"/>
        <w:jc w:val="both"/>
      </w:pPr>
      <w:bookmarkStart w:id="39" w:name="_Ref53051633"/>
      <w:r>
        <w:t xml:space="preserve">Table </w:t>
      </w:r>
      <w:r>
        <w:fldChar w:fldCharType="begin"/>
      </w:r>
      <w:r>
        <w:instrText>SEQ Table \* ARABIC</w:instrText>
      </w:r>
      <w:r>
        <w:fldChar w:fldCharType="separate"/>
      </w:r>
      <w:r w:rsidR="00EC5CC7">
        <w:rPr>
          <w:noProof/>
        </w:rPr>
        <w:t>7</w:t>
      </w:r>
      <w:r>
        <w:fldChar w:fldCharType="end"/>
      </w:r>
      <w:bookmarkEnd w:id="39"/>
      <w:r>
        <w:t>: Results of smoking cessation f</w:t>
      </w:r>
      <w:r w:rsidR="00FD165D">
        <w:t>or</w:t>
      </w:r>
      <w:r>
        <w:t xml:space="preserve"> at least six months follow-up, bupropion versus placebo</w:t>
      </w:r>
    </w:p>
    <w:tbl>
      <w:tblPr>
        <w:tblStyle w:val="TableGrid"/>
        <w:tblW w:w="5000" w:type="pct"/>
        <w:tblLook w:val="04A0" w:firstRow="1" w:lastRow="0" w:firstColumn="1" w:lastColumn="0" w:noHBand="0" w:noVBand="1"/>
        <w:tblCaption w:val="Efficacy results of adalimumab trials (PASI 75 and DLQI)"/>
      </w:tblPr>
      <w:tblGrid>
        <w:gridCol w:w="1154"/>
        <w:gridCol w:w="2438"/>
        <w:gridCol w:w="2056"/>
        <w:gridCol w:w="1684"/>
        <w:gridCol w:w="1684"/>
      </w:tblGrid>
      <w:tr w:rsidR="00DA5940" w:rsidRPr="00061F78" w14:paraId="1C7F6E44" w14:textId="63577001" w:rsidTr="00C1061C">
        <w:trPr>
          <w:cantSplit/>
          <w:trHeight w:val="299"/>
          <w:tblHeader/>
        </w:trPr>
        <w:tc>
          <w:tcPr>
            <w:tcW w:w="640" w:type="pct"/>
            <w:shd w:val="clear" w:color="auto" w:fill="BFBFBF" w:themeFill="background1" w:themeFillShade="BF"/>
            <w:tcMar>
              <w:left w:w="28" w:type="dxa"/>
              <w:right w:w="28" w:type="dxa"/>
            </w:tcMar>
          </w:tcPr>
          <w:p w14:paraId="3390D79A" w14:textId="63D03675" w:rsidR="00DA5940" w:rsidRPr="00061F78" w:rsidRDefault="00DA5940" w:rsidP="00944A49">
            <w:pPr>
              <w:pStyle w:val="Tableheading"/>
              <w:rPr>
                <w:rFonts w:eastAsia="MS Mincho"/>
              </w:rPr>
            </w:pPr>
            <w:r>
              <w:rPr>
                <w:rFonts w:eastAsia="MS Mincho"/>
              </w:rPr>
              <w:t>Study</w:t>
            </w:r>
          </w:p>
        </w:tc>
        <w:tc>
          <w:tcPr>
            <w:tcW w:w="1352" w:type="pct"/>
            <w:shd w:val="clear" w:color="auto" w:fill="BFBFBF" w:themeFill="background1" w:themeFillShade="BF"/>
            <w:vAlign w:val="center"/>
          </w:tcPr>
          <w:p w14:paraId="2969DC76" w14:textId="7287B6B8" w:rsidR="00DA5940" w:rsidRDefault="00DA5940" w:rsidP="00C66CEE">
            <w:pPr>
              <w:pStyle w:val="Tableheading"/>
              <w:jc w:val="center"/>
              <w:rPr>
                <w:rFonts w:eastAsia="MS Mincho"/>
              </w:rPr>
            </w:pPr>
            <w:r>
              <w:rPr>
                <w:rFonts w:eastAsia="MS Mincho"/>
              </w:rPr>
              <w:t>Study type</w:t>
            </w:r>
          </w:p>
        </w:tc>
        <w:tc>
          <w:tcPr>
            <w:tcW w:w="1140" w:type="pct"/>
            <w:shd w:val="clear" w:color="auto" w:fill="BFBFBF" w:themeFill="background1" w:themeFillShade="BF"/>
            <w:tcMar>
              <w:left w:w="28" w:type="dxa"/>
              <w:right w:w="28" w:type="dxa"/>
            </w:tcMar>
            <w:vAlign w:val="center"/>
          </w:tcPr>
          <w:p w14:paraId="1CA10952" w14:textId="1E9A8841" w:rsidR="00DA5940" w:rsidRPr="00061F78" w:rsidRDefault="00DA5940" w:rsidP="00C66CEE">
            <w:pPr>
              <w:pStyle w:val="Tableheading"/>
              <w:jc w:val="center"/>
              <w:rPr>
                <w:rFonts w:eastAsia="MS Mincho"/>
              </w:rPr>
            </w:pPr>
            <w:r>
              <w:rPr>
                <w:rFonts w:eastAsia="MS Mincho"/>
              </w:rPr>
              <w:t>Bupropion</w:t>
            </w:r>
          </w:p>
        </w:tc>
        <w:tc>
          <w:tcPr>
            <w:tcW w:w="934" w:type="pct"/>
            <w:shd w:val="clear" w:color="auto" w:fill="BFBFBF" w:themeFill="background1" w:themeFillShade="BF"/>
            <w:tcMar>
              <w:left w:w="28" w:type="dxa"/>
              <w:right w:w="28" w:type="dxa"/>
            </w:tcMar>
            <w:vAlign w:val="center"/>
          </w:tcPr>
          <w:p w14:paraId="68EF50CC" w14:textId="77777777" w:rsidR="00DA5940" w:rsidRPr="00061F78" w:rsidRDefault="00DA5940" w:rsidP="00C66CEE">
            <w:pPr>
              <w:pStyle w:val="Tableheading"/>
              <w:jc w:val="center"/>
              <w:rPr>
                <w:rFonts w:eastAsia="MS Mincho"/>
              </w:rPr>
            </w:pPr>
            <w:r w:rsidRPr="00061F78">
              <w:rPr>
                <w:rFonts w:eastAsia="MS Mincho"/>
              </w:rPr>
              <w:t>Placebo</w:t>
            </w:r>
          </w:p>
        </w:tc>
        <w:tc>
          <w:tcPr>
            <w:tcW w:w="934" w:type="pct"/>
            <w:shd w:val="clear" w:color="auto" w:fill="BFBFBF" w:themeFill="background1" w:themeFillShade="BF"/>
            <w:tcMar>
              <w:left w:w="28" w:type="dxa"/>
              <w:right w:w="28" w:type="dxa"/>
            </w:tcMar>
            <w:vAlign w:val="center"/>
          </w:tcPr>
          <w:p w14:paraId="33B4070E" w14:textId="7B9059FE" w:rsidR="00DA5940" w:rsidRPr="00D468CF" w:rsidRDefault="00DA5940" w:rsidP="00C66CEE">
            <w:pPr>
              <w:pStyle w:val="Tableheading"/>
              <w:jc w:val="center"/>
              <w:rPr>
                <w:rFonts w:eastAsia="MS Mincho"/>
                <w:vertAlign w:val="superscript"/>
              </w:rPr>
            </w:pPr>
            <w:r>
              <w:rPr>
                <w:rFonts w:eastAsia="MS Mincho"/>
              </w:rPr>
              <w:t>RR (95% CI)</w:t>
            </w:r>
            <w:r>
              <w:rPr>
                <w:rFonts w:eastAsia="MS Mincho"/>
                <w:vertAlign w:val="superscript"/>
              </w:rPr>
              <w:t>3</w:t>
            </w:r>
          </w:p>
        </w:tc>
      </w:tr>
      <w:tr w:rsidR="00DA5940" w:rsidRPr="00061F78" w14:paraId="15943A90" w14:textId="77777777" w:rsidTr="00813BCB">
        <w:trPr>
          <w:cantSplit/>
          <w:trHeight w:val="99"/>
        </w:trPr>
        <w:tc>
          <w:tcPr>
            <w:tcW w:w="640" w:type="pct"/>
            <w:shd w:val="clear" w:color="auto" w:fill="FFFFFF" w:themeFill="background1"/>
            <w:tcMar>
              <w:left w:w="28" w:type="dxa"/>
              <w:right w:w="28" w:type="dxa"/>
            </w:tcMar>
          </w:tcPr>
          <w:p w14:paraId="095065DA" w14:textId="77777777" w:rsidR="00DA5940" w:rsidRPr="00813BCB" w:rsidRDefault="00DA5940" w:rsidP="00944A49">
            <w:pPr>
              <w:pStyle w:val="Tablewriting"/>
              <w:rPr>
                <w:rFonts w:eastAsia="MS Mincho"/>
              </w:rPr>
            </w:pPr>
            <w:r w:rsidRPr="00813BCB">
              <w:rPr>
                <w:rFonts w:eastAsia="MS Mincho"/>
              </w:rPr>
              <w:t xml:space="preserve">Hurt </w:t>
            </w:r>
          </w:p>
          <w:p w14:paraId="39236B13" w14:textId="56C316D0" w:rsidR="00DA5940" w:rsidRPr="00813BCB" w:rsidRDefault="00DA5940" w:rsidP="00944A49">
            <w:pPr>
              <w:pStyle w:val="Tablewriting"/>
              <w:rPr>
                <w:rFonts w:eastAsia="MS Mincho"/>
                <w:vertAlign w:val="superscript"/>
              </w:rPr>
            </w:pPr>
            <w:r w:rsidRPr="00813BCB">
              <w:rPr>
                <w:rFonts w:eastAsia="MS Mincho"/>
              </w:rPr>
              <w:t>(1997)</w:t>
            </w:r>
            <w:r w:rsidRPr="00813BCB">
              <w:rPr>
                <w:rFonts w:eastAsia="MS Mincho"/>
                <w:vertAlign w:val="superscript"/>
              </w:rPr>
              <w:t>1</w:t>
            </w:r>
          </w:p>
        </w:tc>
        <w:tc>
          <w:tcPr>
            <w:tcW w:w="1352" w:type="pct"/>
            <w:shd w:val="clear" w:color="auto" w:fill="FFFFFF" w:themeFill="background1"/>
            <w:vAlign w:val="center"/>
          </w:tcPr>
          <w:p w14:paraId="1ECF7DBD" w14:textId="1885E456" w:rsidR="00DA5940" w:rsidRPr="00813BCB" w:rsidRDefault="00DA5940" w:rsidP="00C66CEE">
            <w:pPr>
              <w:pStyle w:val="Tablewriting"/>
              <w:jc w:val="center"/>
              <w:rPr>
                <w:rFonts w:eastAsia="MS Mincho"/>
              </w:rPr>
            </w:pPr>
            <w:r w:rsidRPr="00813BCB">
              <w:rPr>
                <w:rFonts w:eastAsia="MS Mincho"/>
              </w:rPr>
              <w:t>RCT</w:t>
            </w:r>
          </w:p>
        </w:tc>
        <w:tc>
          <w:tcPr>
            <w:tcW w:w="1140" w:type="pct"/>
            <w:shd w:val="clear" w:color="auto" w:fill="FFFFFF" w:themeFill="background1"/>
            <w:tcMar>
              <w:left w:w="28" w:type="dxa"/>
              <w:right w:w="28" w:type="dxa"/>
            </w:tcMar>
            <w:vAlign w:val="center"/>
          </w:tcPr>
          <w:p w14:paraId="1DD9A683" w14:textId="77777777" w:rsidR="00DA5940" w:rsidRPr="00813BCB" w:rsidRDefault="00DA5940" w:rsidP="00C66CEE">
            <w:pPr>
              <w:pStyle w:val="Tablewriting"/>
              <w:jc w:val="center"/>
              <w:rPr>
                <w:rFonts w:eastAsia="MS Mincho"/>
              </w:rPr>
            </w:pPr>
            <w:r w:rsidRPr="00813BCB">
              <w:rPr>
                <w:rFonts w:eastAsia="MS Mincho"/>
              </w:rPr>
              <w:t>21/156</w:t>
            </w:r>
          </w:p>
          <w:p w14:paraId="19177A3A" w14:textId="1062641C" w:rsidR="00DA5940" w:rsidRPr="00813BCB" w:rsidRDefault="00DA5940" w:rsidP="00C66CEE">
            <w:pPr>
              <w:pStyle w:val="Tablewriting"/>
              <w:jc w:val="center"/>
              <w:rPr>
                <w:rFonts w:eastAsia="MS Mincho"/>
              </w:rPr>
            </w:pPr>
            <w:r w:rsidRPr="00813BCB">
              <w:rPr>
                <w:rFonts w:eastAsia="MS Mincho"/>
              </w:rPr>
              <w:t>(13.5%)</w:t>
            </w:r>
          </w:p>
        </w:tc>
        <w:tc>
          <w:tcPr>
            <w:tcW w:w="934" w:type="pct"/>
            <w:shd w:val="clear" w:color="auto" w:fill="FFFFFF" w:themeFill="background1"/>
            <w:tcMar>
              <w:left w:w="28" w:type="dxa"/>
              <w:right w:w="28" w:type="dxa"/>
            </w:tcMar>
            <w:vAlign w:val="center"/>
          </w:tcPr>
          <w:p w14:paraId="11F4DB41" w14:textId="77777777" w:rsidR="00DA5940" w:rsidRPr="00813BCB" w:rsidRDefault="00DA5940" w:rsidP="00C66CEE">
            <w:pPr>
              <w:pStyle w:val="Tablewriting"/>
              <w:jc w:val="center"/>
              <w:rPr>
                <w:rFonts w:eastAsia="MS Mincho"/>
              </w:rPr>
            </w:pPr>
            <w:r w:rsidRPr="00813BCB">
              <w:rPr>
                <w:rFonts w:eastAsia="MS Mincho"/>
              </w:rPr>
              <w:t>15/153</w:t>
            </w:r>
          </w:p>
          <w:p w14:paraId="34B8D03F" w14:textId="277B5F45" w:rsidR="00DA5940" w:rsidRPr="00813BCB" w:rsidRDefault="00DA5940" w:rsidP="00C66CEE">
            <w:pPr>
              <w:pStyle w:val="Tablewriting"/>
              <w:jc w:val="center"/>
              <w:rPr>
                <w:rFonts w:eastAsia="MS Mincho"/>
              </w:rPr>
            </w:pPr>
            <w:r w:rsidRPr="00813BCB">
              <w:rPr>
                <w:rFonts w:eastAsia="MS Mincho"/>
              </w:rPr>
              <w:t>(9.8%)</w:t>
            </w:r>
          </w:p>
        </w:tc>
        <w:tc>
          <w:tcPr>
            <w:tcW w:w="934" w:type="pct"/>
            <w:shd w:val="clear" w:color="auto" w:fill="FFFFFF" w:themeFill="background1"/>
            <w:tcMar>
              <w:left w:w="28" w:type="dxa"/>
              <w:right w:w="28" w:type="dxa"/>
            </w:tcMar>
            <w:vAlign w:val="center"/>
          </w:tcPr>
          <w:p w14:paraId="12AFF014" w14:textId="77777777" w:rsidR="00DA5940" w:rsidRPr="00813BCB" w:rsidRDefault="00DA5940" w:rsidP="00C66CEE">
            <w:pPr>
              <w:pStyle w:val="Tablewriting"/>
              <w:jc w:val="center"/>
              <w:rPr>
                <w:rFonts w:eastAsia="MS Mincho"/>
              </w:rPr>
            </w:pPr>
            <w:r w:rsidRPr="00813BCB">
              <w:rPr>
                <w:rFonts w:eastAsia="MS Mincho"/>
              </w:rPr>
              <w:t>1.37</w:t>
            </w:r>
          </w:p>
          <w:p w14:paraId="486D1D4B" w14:textId="3E2C020C" w:rsidR="00DA5940" w:rsidRPr="00813BCB" w:rsidRDefault="00DA5940" w:rsidP="00C66CEE">
            <w:pPr>
              <w:pStyle w:val="Tablewriting"/>
              <w:jc w:val="center"/>
              <w:rPr>
                <w:rFonts w:eastAsia="MS Mincho"/>
              </w:rPr>
            </w:pPr>
            <w:r w:rsidRPr="00813BCB">
              <w:rPr>
                <w:rFonts w:eastAsia="MS Mincho"/>
              </w:rPr>
              <w:t>(0.74, 2.56)</w:t>
            </w:r>
          </w:p>
        </w:tc>
      </w:tr>
      <w:tr w:rsidR="00DA5940" w:rsidRPr="00061F78" w14:paraId="24A09A0A" w14:textId="7A698975" w:rsidTr="00813BCB">
        <w:trPr>
          <w:cantSplit/>
          <w:trHeight w:val="99"/>
        </w:trPr>
        <w:tc>
          <w:tcPr>
            <w:tcW w:w="640" w:type="pct"/>
            <w:shd w:val="clear" w:color="auto" w:fill="FFFFFF" w:themeFill="background1"/>
            <w:tcMar>
              <w:left w:w="28" w:type="dxa"/>
              <w:right w:w="28" w:type="dxa"/>
            </w:tcMar>
          </w:tcPr>
          <w:p w14:paraId="34155EDA" w14:textId="154F002F" w:rsidR="00DA5940" w:rsidRPr="00813BCB" w:rsidRDefault="00DA5940" w:rsidP="00944A49">
            <w:pPr>
              <w:pStyle w:val="Tablewriting"/>
              <w:rPr>
                <w:rFonts w:eastAsia="MS Mincho"/>
                <w:vertAlign w:val="superscript"/>
              </w:rPr>
            </w:pPr>
            <w:r w:rsidRPr="00813BCB">
              <w:rPr>
                <w:rFonts w:eastAsia="MS Mincho"/>
              </w:rPr>
              <w:t>Jorenby (1999)</w:t>
            </w:r>
            <w:r w:rsidRPr="00813BCB">
              <w:rPr>
                <w:rFonts w:eastAsia="MS Mincho"/>
                <w:vertAlign w:val="superscript"/>
              </w:rPr>
              <w:t>1</w:t>
            </w:r>
          </w:p>
        </w:tc>
        <w:tc>
          <w:tcPr>
            <w:tcW w:w="1352" w:type="pct"/>
            <w:shd w:val="clear" w:color="auto" w:fill="FFFFFF" w:themeFill="background1"/>
            <w:vAlign w:val="center"/>
          </w:tcPr>
          <w:p w14:paraId="4CBF9803" w14:textId="69F200B9" w:rsidR="00DA5940" w:rsidRPr="00813BCB" w:rsidRDefault="00DA5940" w:rsidP="00C66CEE">
            <w:pPr>
              <w:pStyle w:val="Tablewriting"/>
              <w:jc w:val="center"/>
              <w:rPr>
                <w:rFonts w:eastAsia="MS Mincho"/>
              </w:rPr>
            </w:pPr>
            <w:r w:rsidRPr="00813BCB">
              <w:rPr>
                <w:rFonts w:eastAsia="MS Mincho"/>
              </w:rPr>
              <w:t>RCT</w:t>
            </w:r>
          </w:p>
        </w:tc>
        <w:tc>
          <w:tcPr>
            <w:tcW w:w="1140" w:type="pct"/>
            <w:shd w:val="clear" w:color="auto" w:fill="FFFFFF" w:themeFill="background1"/>
            <w:tcMar>
              <w:left w:w="28" w:type="dxa"/>
              <w:right w:w="28" w:type="dxa"/>
            </w:tcMar>
            <w:vAlign w:val="center"/>
          </w:tcPr>
          <w:p w14:paraId="1035DD27" w14:textId="77777777" w:rsidR="00DA5940" w:rsidRPr="00813BCB" w:rsidRDefault="00DA5940" w:rsidP="00C66CEE">
            <w:pPr>
              <w:pStyle w:val="Tablewriting"/>
              <w:jc w:val="center"/>
              <w:rPr>
                <w:rFonts w:eastAsia="MS Mincho"/>
              </w:rPr>
            </w:pPr>
            <w:r w:rsidRPr="00813BCB">
              <w:rPr>
                <w:rFonts w:eastAsia="MS Mincho"/>
              </w:rPr>
              <w:t xml:space="preserve">45/244 </w:t>
            </w:r>
          </w:p>
          <w:p w14:paraId="0876F5F9" w14:textId="29A73F58" w:rsidR="00DA5940" w:rsidRPr="00813BCB" w:rsidRDefault="00DA5940" w:rsidP="00C66CEE">
            <w:pPr>
              <w:pStyle w:val="Tablewriting"/>
              <w:jc w:val="center"/>
              <w:rPr>
                <w:rFonts w:eastAsia="MS Mincho"/>
              </w:rPr>
            </w:pPr>
            <w:r w:rsidRPr="00813BCB">
              <w:rPr>
                <w:rFonts w:eastAsia="MS Mincho"/>
              </w:rPr>
              <w:t>(18.4%)</w:t>
            </w:r>
          </w:p>
        </w:tc>
        <w:tc>
          <w:tcPr>
            <w:tcW w:w="934" w:type="pct"/>
            <w:shd w:val="clear" w:color="auto" w:fill="FFFFFF" w:themeFill="background1"/>
            <w:tcMar>
              <w:left w:w="28" w:type="dxa"/>
              <w:right w:w="28" w:type="dxa"/>
            </w:tcMar>
            <w:vAlign w:val="center"/>
          </w:tcPr>
          <w:p w14:paraId="6641DAC4" w14:textId="77777777" w:rsidR="00DA5940" w:rsidRPr="00813BCB" w:rsidRDefault="00DA5940" w:rsidP="00C66CEE">
            <w:pPr>
              <w:pStyle w:val="Tablewriting"/>
              <w:jc w:val="center"/>
              <w:rPr>
                <w:rFonts w:eastAsia="MS Mincho"/>
              </w:rPr>
            </w:pPr>
            <w:r w:rsidRPr="00813BCB">
              <w:rPr>
                <w:rFonts w:eastAsia="MS Mincho"/>
              </w:rPr>
              <w:t xml:space="preserve">9/160 </w:t>
            </w:r>
          </w:p>
          <w:p w14:paraId="56C7041C" w14:textId="4641D2D4" w:rsidR="00DA5940" w:rsidRPr="00813BCB" w:rsidRDefault="00DA5940" w:rsidP="00C66CEE">
            <w:pPr>
              <w:pStyle w:val="Tablewriting"/>
              <w:jc w:val="center"/>
              <w:rPr>
                <w:rFonts w:eastAsia="MS Mincho"/>
              </w:rPr>
            </w:pPr>
            <w:r w:rsidRPr="00813BCB">
              <w:rPr>
                <w:rFonts w:eastAsia="MS Mincho"/>
              </w:rPr>
              <w:t>(5.6%)</w:t>
            </w:r>
          </w:p>
        </w:tc>
        <w:tc>
          <w:tcPr>
            <w:tcW w:w="934" w:type="pct"/>
            <w:shd w:val="clear" w:color="auto" w:fill="FFFFFF" w:themeFill="background1"/>
            <w:tcMar>
              <w:left w:w="28" w:type="dxa"/>
              <w:right w:w="28" w:type="dxa"/>
            </w:tcMar>
            <w:vAlign w:val="center"/>
          </w:tcPr>
          <w:p w14:paraId="1A05CBB1" w14:textId="77777777" w:rsidR="00DA5940" w:rsidRPr="00813BCB" w:rsidRDefault="00DA5940" w:rsidP="00C66CEE">
            <w:pPr>
              <w:pStyle w:val="Tablewriting"/>
              <w:jc w:val="center"/>
              <w:rPr>
                <w:rFonts w:eastAsia="MS Mincho"/>
                <w:b/>
              </w:rPr>
            </w:pPr>
            <w:r w:rsidRPr="00813BCB">
              <w:rPr>
                <w:rFonts w:eastAsia="MS Mincho"/>
                <w:b/>
              </w:rPr>
              <w:t xml:space="preserve">3.28 </w:t>
            </w:r>
          </w:p>
          <w:p w14:paraId="030652BC" w14:textId="2607B2B1" w:rsidR="00DA5940" w:rsidRPr="00813BCB" w:rsidRDefault="00DA5940" w:rsidP="00C66CEE">
            <w:pPr>
              <w:pStyle w:val="Tablewriting"/>
              <w:jc w:val="center"/>
              <w:rPr>
                <w:rFonts w:eastAsia="MS Mincho"/>
              </w:rPr>
            </w:pPr>
            <w:r w:rsidRPr="00813BCB">
              <w:rPr>
                <w:rFonts w:eastAsia="MS Mincho"/>
                <w:b/>
              </w:rPr>
              <w:t>(1.65, 6.52)</w:t>
            </w:r>
          </w:p>
        </w:tc>
      </w:tr>
      <w:tr w:rsidR="00DA5940" w:rsidRPr="00061F78" w14:paraId="579ABE6B" w14:textId="4B3BFD69" w:rsidTr="00C1061C">
        <w:trPr>
          <w:cantSplit/>
          <w:trHeight w:val="149"/>
        </w:trPr>
        <w:tc>
          <w:tcPr>
            <w:tcW w:w="640" w:type="pct"/>
            <w:tcMar>
              <w:left w:w="28" w:type="dxa"/>
              <w:right w:w="28" w:type="dxa"/>
            </w:tcMar>
          </w:tcPr>
          <w:p w14:paraId="3E4E53C0" w14:textId="77777777" w:rsidR="00DA5940" w:rsidRDefault="00DA5940" w:rsidP="00944A49">
            <w:pPr>
              <w:pStyle w:val="Tablewriting"/>
              <w:rPr>
                <w:rFonts w:eastAsia="MS Mincho"/>
              </w:rPr>
            </w:pPr>
            <w:r>
              <w:rPr>
                <w:rFonts w:eastAsia="MS Mincho"/>
              </w:rPr>
              <w:t>Howes</w:t>
            </w:r>
            <w:r w:rsidRPr="00061F78">
              <w:rPr>
                <w:rFonts w:eastAsia="MS Mincho"/>
              </w:rPr>
              <w:t xml:space="preserve"> </w:t>
            </w:r>
          </w:p>
          <w:p w14:paraId="50515254" w14:textId="6D667A72" w:rsidR="00DA5940" w:rsidRPr="00D468CF" w:rsidRDefault="00DA5940" w:rsidP="00944A49">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Pr>
                <w:rFonts w:eastAsia="MS Mincho"/>
                <w:vertAlign w:val="superscript"/>
              </w:rPr>
              <w:t>2</w:t>
            </w:r>
          </w:p>
        </w:tc>
        <w:tc>
          <w:tcPr>
            <w:tcW w:w="1352" w:type="pct"/>
            <w:vAlign w:val="center"/>
          </w:tcPr>
          <w:p w14:paraId="04B106D0" w14:textId="77777777" w:rsidR="00C27E55" w:rsidRDefault="00DA5940" w:rsidP="00C66CEE">
            <w:pPr>
              <w:pStyle w:val="Tablewriting"/>
              <w:jc w:val="center"/>
              <w:rPr>
                <w:rFonts w:eastAsia="MS Mincho"/>
              </w:rPr>
            </w:pPr>
            <w:r>
              <w:rPr>
                <w:rFonts w:eastAsia="MS Mincho"/>
              </w:rPr>
              <w:t xml:space="preserve">Cochrane Review </w:t>
            </w:r>
          </w:p>
          <w:p w14:paraId="06BCA715" w14:textId="54FCE383" w:rsidR="00DA5940" w:rsidRDefault="00DA5940" w:rsidP="00C66CEE">
            <w:pPr>
              <w:pStyle w:val="Tablewriting"/>
              <w:jc w:val="center"/>
              <w:rPr>
                <w:rFonts w:eastAsia="MS Mincho"/>
              </w:rPr>
            </w:pPr>
            <w:r>
              <w:rPr>
                <w:rFonts w:eastAsia="MS Mincho"/>
              </w:rPr>
              <w:t>(46 RCTs)</w:t>
            </w:r>
          </w:p>
        </w:tc>
        <w:tc>
          <w:tcPr>
            <w:tcW w:w="1140" w:type="pct"/>
            <w:tcMar>
              <w:left w:w="28" w:type="dxa"/>
              <w:right w:w="28" w:type="dxa"/>
            </w:tcMar>
            <w:vAlign w:val="center"/>
          </w:tcPr>
          <w:p w14:paraId="06FCB9BC" w14:textId="2DC5B24D" w:rsidR="00DA5940" w:rsidRDefault="00DA5940" w:rsidP="00C66CEE">
            <w:pPr>
              <w:pStyle w:val="Tablewriting"/>
              <w:jc w:val="center"/>
              <w:rPr>
                <w:rFonts w:eastAsia="MS Mincho"/>
              </w:rPr>
            </w:pPr>
            <w:r>
              <w:rPr>
                <w:rFonts w:eastAsia="MS Mincho"/>
              </w:rPr>
              <w:t>1,846</w:t>
            </w:r>
            <w:r w:rsidRPr="00061F78">
              <w:rPr>
                <w:rFonts w:eastAsia="MS Mincho"/>
              </w:rPr>
              <w:t>/</w:t>
            </w:r>
            <w:r>
              <w:rPr>
                <w:rFonts w:eastAsia="MS Mincho"/>
              </w:rPr>
              <w:t>9,714</w:t>
            </w:r>
            <w:r w:rsidRPr="00061F78">
              <w:rPr>
                <w:rFonts w:eastAsia="MS Mincho"/>
              </w:rPr>
              <w:t xml:space="preserve"> </w:t>
            </w:r>
          </w:p>
          <w:p w14:paraId="030D9335" w14:textId="3DBBB470" w:rsidR="00DA5940" w:rsidRPr="00061F78" w:rsidRDefault="00DA5940" w:rsidP="00C66CEE">
            <w:pPr>
              <w:pStyle w:val="Tablewriting"/>
              <w:jc w:val="center"/>
              <w:rPr>
                <w:rFonts w:eastAsia="MS Mincho"/>
              </w:rPr>
            </w:pPr>
            <w:r w:rsidRPr="00061F78">
              <w:rPr>
                <w:rFonts w:eastAsia="MS Mincho"/>
              </w:rPr>
              <w:t>(</w:t>
            </w:r>
            <w:r>
              <w:rPr>
                <w:rFonts w:eastAsia="MS Mincho"/>
              </w:rPr>
              <w:t>19.0</w:t>
            </w:r>
            <w:r w:rsidRPr="00061F78">
              <w:rPr>
                <w:rFonts w:eastAsia="MS Mincho"/>
              </w:rPr>
              <w:t>%)</w:t>
            </w:r>
          </w:p>
        </w:tc>
        <w:tc>
          <w:tcPr>
            <w:tcW w:w="934" w:type="pct"/>
            <w:tcMar>
              <w:left w:w="28" w:type="dxa"/>
              <w:right w:w="28" w:type="dxa"/>
            </w:tcMar>
            <w:vAlign w:val="center"/>
          </w:tcPr>
          <w:p w14:paraId="080C7C4F" w14:textId="14560725" w:rsidR="00DA5940" w:rsidRDefault="00DA5940" w:rsidP="00C66CEE">
            <w:pPr>
              <w:pStyle w:val="Tablewriting"/>
              <w:jc w:val="center"/>
              <w:rPr>
                <w:rFonts w:eastAsia="MS Mincho"/>
              </w:rPr>
            </w:pPr>
            <w:r>
              <w:rPr>
                <w:rFonts w:eastAsia="MS Mincho"/>
              </w:rPr>
              <w:t>900</w:t>
            </w:r>
            <w:r w:rsidRPr="00061F78">
              <w:rPr>
                <w:rFonts w:eastAsia="MS Mincho"/>
              </w:rPr>
              <w:t>/</w:t>
            </w:r>
            <w:r>
              <w:rPr>
                <w:rFonts w:eastAsia="MS Mincho"/>
              </w:rPr>
              <w:t>8,152</w:t>
            </w:r>
            <w:r w:rsidRPr="00061F78">
              <w:rPr>
                <w:rFonts w:eastAsia="MS Mincho"/>
              </w:rPr>
              <w:t xml:space="preserve"> </w:t>
            </w:r>
          </w:p>
          <w:p w14:paraId="3AD502D0" w14:textId="33DCA467" w:rsidR="00DA5940" w:rsidRPr="00061F78" w:rsidRDefault="00DA5940" w:rsidP="00C66CEE">
            <w:pPr>
              <w:pStyle w:val="Tablewriting"/>
              <w:jc w:val="center"/>
              <w:rPr>
                <w:rFonts w:eastAsia="MS Mincho"/>
              </w:rPr>
            </w:pPr>
            <w:r w:rsidRPr="00061F78">
              <w:rPr>
                <w:rFonts w:eastAsia="MS Mincho"/>
              </w:rPr>
              <w:t>(1</w:t>
            </w:r>
            <w:r>
              <w:rPr>
                <w:rFonts w:eastAsia="MS Mincho"/>
              </w:rPr>
              <w:t>1.0</w:t>
            </w:r>
            <w:r w:rsidRPr="00061F78">
              <w:rPr>
                <w:rFonts w:eastAsia="MS Mincho"/>
              </w:rPr>
              <w:t>%)</w:t>
            </w:r>
          </w:p>
        </w:tc>
        <w:tc>
          <w:tcPr>
            <w:tcW w:w="934" w:type="pct"/>
            <w:tcMar>
              <w:left w:w="28" w:type="dxa"/>
              <w:right w:w="28" w:type="dxa"/>
            </w:tcMar>
            <w:vAlign w:val="center"/>
          </w:tcPr>
          <w:p w14:paraId="21A1EF81" w14:textId="77777777" w:rsidR="00DA5940" w:rsidRPr="00D468CF" w:rsidRDefault="00DA5940" w:rsidP="00C66CEE">
            <w:pPr>
              <w:pStyle w:val="Tablewriting"/>
              <w:jc w:val="center"/>
              <w:rPr>
                <w:rFonts w:eastAsia="MS Mincho"/>
                <w:b/>
                <w:bCs/>
              </w:rPr>
            </w:pPr>
            <w:r w:rsidRPr="00D468CF">
              <w:rPr>
                <w:rFonts w:eastAsia="MS Mincho"/>
                <w:b/>
                <w:bCs/>
              </w:rPr>
              <w:t>1.64</w:t>
            </w:r>
          </w:p>
          <w:p w14:paraId="758DAFB6" w14:textId="7801DB0A" w:rsidR="00DA5940" w:rsidRPr="00061F78" w:rsidRDefault="00DA5940" w:rsidP="00C66CEE">
            <w:pPr>
              <w:pStyle w:val="Tablewriting"/>
              <w:jc w:val="center"/>
              <w:rPr>
                <w:rFonts w:eastAsia="MS Mincho"/>
              </w:rPr>
            </w:pPr>
            <w:r w:rsidRPr="00D468CF">
              <w:rPr>
                <w:rFonts w:eastAsia="MS Mincho"/>
                <w:b/>
                <w:bCs/>
              </w:rPr>
              <w:t>(1.52, 1.77)</w:t>
            </w:r>
          </w:p>
        </w:tc>
      </w:tr>
    </w:tbl>
    <w:p w14:paraId="71ECBCE1" w14:textId="77777777" w:rsidR="00F8327E" w:rsidRDefault="00F8327E" w:rsidP="00944A49">
      <w:pPr>
        <w:pStyle w:val="TableFooter"/>
      </w:pPr>
      <w:r>
        <w:t>Source: Howes et al. (2020)</w:t>
      </w:r>
    </w:p>
    <w:p w14:paraId="102796AA" w14:textId="68E42561" w:rsidR="00D468CF" w:rsidRPr="00813BCB" w:rsidRDefault="00D07303" w:rsidP="00944A49">
      <w:pPr>
        <w:pStyle w:val="TableFooter"/>
        <w:rPr>
          <w:i/>
        </w:rPr>
      </w:pPr>
      <w:r>
        <w:t>Abbreviation</w:t>
      </w:r>
      <w:r w:rsidR="00D468CF">
        <w:t xml:space="preserve">s: </w:t>
      </w:r>
      <w:r w:rsidR="00FD4061">
        <w:t xml:space="preserve">CI = confidence interval; </w:t>
      </w:r>
      <w:r w:rsidR="00D468CF">
        <w:t>RCT = randomised controlled trial</w:t>
      </w:r>
      <w:r w:rsidR="00FD4061">
        <w:t>;</w:t>
      </w:r>
      <w:r w:rsidR="00D468CF">
        <w:t xml:space="preserve"> RR = risk ratio</w:t>
      </w:r>
    </w:p>
    <w:p w14:paraId="091753C7" w14:textId="0DA432E2" w:rsidR="00061F78" w:rsidRDefault="00D468CF" w:rsidP="00052194">
      <w:pPr>
        <w:pStyle w:val="TableFooter"/>
      </w:pPr>
      <w:r w:rsidRPr="00D468CF">
        <w:t>Note</w:t>
      </w:r>
      <w:r w:rsidR="002550E0">
        <w:t>s</w:t>
      </w:r>
      <w:r w:rsidRPr="00D468CF">
        <w:t>: Bold indicates statistically significant difference.</w:t>
      </w:r>
      <w:r>
        <w:br/>
      </w:r>
      <w:r w:rsidRPr="000F3331">
        <w:t>1 Continuous abstinence rate at 12 months</w:t>
      </w:r>
      <w:r w:rsidR="0003189C" w:rsidRPr="00D549B5">
        <w:t>.</w:t>
      </w:r>
    </w:p>
    <w:p w14:paraId="407C4705" w14:textId="2BF398C2" w:rsidR="00D468CF" w:rsidRDefault="00D468CF" w:rsidP="008F4C0A">
      <w:pPr>
        <w:pStyle w:val="TableFooter"/>
        <w:jc w:val="both"/>
      </w:pPr>
      <w:r>
        <w:t xml:space="preserve">2 </w:t>
      </w:r>
      <w:r w:rsidR="00817821">
        <w:t>Where cessation was assessed at multiple intervals, the longest follow-up data were used. Where multiple definitions of abstinence were assessed, the strictest of these definitions was used (</w:t>
      </w:r>
      <w:r w:rsidR="004C4EA7">
        <w:t>e.g.,</w:t>
      </w:r>
      <w:r w:rsidR="00817821">
        <w:t xml:space="preserve"> continuous/prolonged abstinence over point prevalence abstinence). See </w:t>
      </w:r>
      <w:r w:rsidR="00817821" w:rsidRPr="00CB77B5">
        <w:t>Appendix</w:t>
      </w:r>
      <w:r w:rsidR="00FA64DE">
        <w:t xml:space="preserve"> </w:t>
      </w:r>
      <w:r w:rsidR="00365631">
        <w:rPr>
          <w:highlight w:val="yellow"/>
        </w:rPr>
        <w:fldChar w:fldCharType="begin" w:fldLock="1"/>
      </w:r>
      <w:r w:rsidR="00365631">
        <w:rPr>
          <w:highlight w:val="yellow"/>
        </w:rPr>
        <w:instrText xml:space="preserve"> REF _Ref55118117 \h </w:instrText>
      </w:r>
      <w:r w:rsidR="008F4C0A">
        <w:rPr>
          <w:highlight w:val="yellow"/>
        </w:rPr>
        <w:instrText xml:space="preserve"> \* MERGEFORMAT </w:instrText>
      </w:r>
      <w:r w:rsidR="00365631">
        <w:rPr>
          <w:highlight w:val="yellow"/>
        </w:rPr>
      </w:r>
      <w:r w:rsidR="00365631">
        <w:rPr>
          <w:highlight w:val="yellow"/>
        </w:rPr>
        <w:fldChar w:fldCharType="separate"/>
      </w:r>
      <w:r w:rsidR="00EC5CC7">
        <w:t xml:space="preserve">Table </w:t>
      </w:r>
      <w:r w:rsidR="00EC5CC7">
        <w:rPr>
          <w:noProof/>
        </w:rPr>
        <w:t>144</w:t>
      </w:r>
      <w:r w:rsidR="00365631">
        <w:rPr>
          <w:highlight w:val="yellow"/>
        </w:rPr>
        <w:fldChar w:fldCharType="end"/>
      </w:r>
      <w:r w:rsidR="00365631">
        <w:t xml:space="preserve"> </w:t>
      </w:r>
      <w:r w:rsidR="00817821">
        <w:t xml:space="preserve">for the definition used </w:t>
      </w:r>
      <w:r w:rsidR="00771C66">
        <w:t>in</w:t>
      </w:r>
      <w:r w:rsidR="00817821">
        <w:t xml:space="preserve"> each study.</w:t>
      </w:r>
      <w:r w:rsidR="008D2B80">
        <w:t xml:space="preserve"> </w:t>
      </w:r>
      <w:r w:rsidR="002C2A52" w:rsidRPr="002C2A52">
        <w:t xml:space="preserve">Studies previously considered by the PBAC were included in the meta-analysis </w:t>
      </w:r>
      <w:r w:rsidR="008D2B80" w:rsidRPr="008D2B80">
        <w:t>of Howes et al. (2020).</w:t>
      </w:r>
    </w:p>
    <w:p w14:paraId="399969B0" w14:textId="6F40CA09" w:rsidR="00D468CF" w:rsidRDefault="00D468CF" w:rsidP="008F4C0A">
      <w:pPr>
        <w:pStyle w:val="TableFooter"/>
        <w:keepNext/>
        <w:spacing w:after="120"/>
        <w:contextualSpacing w:val="0"/>
        <w:jc w:val="both"/>
      </w:pPr>
      <w:r w:rsidRPr="00CB77B5">
        <w:t xml:space="preserve">3 </w:t>
      </w:r>
      <w:r w:rsidR="002550E0" w:rsidRPr="00CB77B5">
        <w:t xml:space="preserve">Calculated </w:t>
      </w:r>
      <w:r w:rsidR="002C5D1C" w:rsidRPr="00CB77B5">
        <w:t xml:space="preserve">by Cochrane Review authors </w:t>
      </w:r>
      <w:r w:rsidR="002550E0" w:rsidRPr="00CB77B5">
        <w:t>using a f</w:t>
      </w:r>
      <w:r w:rsidRPr="00CB77B5">
        <w:t>ixed-effect model</w:t>
      </w:r>
      <w:r w:rsidR="0003189C">
        <w:t>.</w:t>
      </w:r>
    </w:p>
    <w:p w14:paraId="6516C1B4" w14:textId="314A01AC" w:rsidR="00E524F6" w:rsidRDefault="00E524F6" w:rsidP="008F4C0A">
      <w:pPr>
        <w:spacing w:after="120"/>
        <w:jc w:val="both"/>
      </w:pPr>
      <w:r>
        <w:t xml:space="preserve">The results of the individual studies included in Howes et al. (2020) are presented using a forest plot in </w:t>
      </w:r>
      <w:r>
        <w:fldChar w:fldCharType="begin" w:fldLock="1"/>
      </w:r>
      <w:r>
        <w:instrText xml:space="preserve"> REF _Ref53054757 \h </w:instrText>
      </w:r>
      <w:r w:rsidR="008F4C0A">
        <w:instrText xml:space="preserve"> \* MERGEFORMAT </w:instrText>
      </w:r>
      <w:r>
        <w:fldChar w:fldCharType="separate"/>
      </w:r>
      <w:r w:rsidR="00EC5CC7" w:rsidRPr="008306A2">
        <w:t xml:space="preserve">Figure </w:t>
      </w:r>
      <w:r w:rsidR="00EC5CC7">
        <w:rPr>
          <w:noProof/>
        </w:rPr>
        <w:t>1</w:t>
      </w:r>
      <w:r>
        <w:fldChar w:fldCharType="end"/>
      </w:r>
      <w:r>
        <w:t>.</w:t>
      </w:r>
    </w:p>
    <w:p w14:paraId="599C5FA9" w14:textId="77777777" w:rsidR="009C60FE" w:rsidRDefault="00CF2745" w:rsidP="009C60FE">
      <w:pPr>
        <w:keepNext/>
      </w:pPr>
      <w:r>
        <w:rPr>
          <w:noProof/>
        </w:rPr>
        <w:lastRenderedPageBreak/>
        <w:drawing>
          <wp:inline distT="0" distB="0" distL="0" distR="0" wp14:anchorId="5BA089D5" wp14:editId="7F699D1D">
            <wp:extent cx="5731510" cy="7261858"/>
            <wp:effectExtent l="0" t="0" r="2540" b="0"/>
            <wp:docPr id="3" name="Picture 3" descr="P13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1323#yIS1"/>
                    <pic:cNvPicPr/>
                  </pic:nvPicPr>
                  <pic:blipFill>
                    <a:blip r:embed="rId20">
                      <a:extLst>
                        <a:ext uri="{28A0092B-C50C-407E-A947-70E740481C1C}">
                          <a14:useLocalDpi xmlns:a14="http://schemas.microsoft.com/office/drawing/2010/main" val="0"/>
                        </a:ext>
                      </a:extLst>
                    </a:blip>
                    <a:stretch>
                      <a:fillRect/>
                    </a:stretch>
                  </pic:blipFill>
                  <pic:spPr>
                    <a:xfrm>
                      <a:off x="0" y="0"/>
                      <a:ext cx="5731510" cy="7261858"/>
                    </a:xfrm>
                    <a:prstGeom prst="rect">
                      <a:avLst/>
                    </a:prstGeom>
                  </pic:spPr>
                </pic:pic>
              </a:graphicData>
            </a:graphic>
          </wp:inline>
        </w:drawing>
      </w:r>
    </w:p>
    <w:p w14:paraId="2401887E" w14:textId="2A28C3C9" w:rsidR="00061F78" w:rsidRPr="008306A2" w:rsidRDefault="009C60FE" w:rsidP="004A3185">
      <w:pPr>
        <w:pStyle w:val="FigureCaption"/>
        <w:spacing w:before="120"/>
        <w:jc w:val="both"/>
      </w:pPr>
      <w:bookmarkStart w:id="40" w:name="_Ref53054757"/>
      <w:r w:rsidRPr="008306A2">
        <w:t xml:space="preserve">Figure </w:t>
      </w:r>
      <w:r w:rsidR="00ED3594">
        <w:fldChar w:fldCharType="begin"/>
      </w:r>
      <w:r w:rsidR="00ED3594">
        <w:instrText xml:space="preserve"> SEQ Figure \* ARABIC </w:instrText>
      </w:r>
      <w:r w:rsidR="00ED3594">
        <w:fldChar w:fldCharType="separate"/>
      </w:r>
      <w:r w:rsidR="00EC5CC7">
        <w:t>1</w:t>
      </w:r>
      <w:r w:rsidR="00ED3594">
        <w:fldChar w:fldCharType="end"/>
      </w:r>
      <w:bookmarkEnd w:id="40"/>
      <w:r w:rsidRPr="008306A2">
        <w:t xml:space="preserve">: </w:t>
      </w:r>
      <w:r w:rsidR="00E524F6" w:rsidRPr="008306A2">
        <w:t>Results of smoking cessation f</w:t>
      </w:r>
      <w:r w:rsidR="00FD165D">
        <w:t>or</w:t>
      </w:r>
      <w:r w:rsidR="00E524F6" w:rsidRPr="008306A2">
        <w:t xml:space="preserve"> at least six months follow-up in Howes et al. (2020), bupropion versus placebo</w:t>
      </w:r>
    </w:p>
    <w:p w14:paraId="6AA2461E" w14:textId="77777777" w:rsidR="0084362A" w:rsidRDefault="006D7C6D" w:rsidP="008F4C0A">
      <w:pPr>
        <w:pStyle w:val="FigureFooter"/>
        <w:jc w:val="both"/>
      </w:pPr>
      <w:r>
        <w:t xml:space="preserve">Source: </w:t>
      </w:r>
      <w:r w:rsidR="0084362A">
        <w:t>Howes et al. (2020)</w:t>
      </w:r>
    </w:p>
    <w:p w14:paraId="4D150DC5" w14:textId="3F22D98F" w:rsidR="009C60FE" w:rsidRDefault="00001C70" w:rsidP="008F4C0A">
      <w:pPr>
        <w:pStyle w:val="FigureFooter"/>
        <w:jc w:val="both"/>
      </w:pPr>
      <w:r>
        <w:t>Abbreviations: CI = confidence interval</w:t>
      </w:r>
    </w:p>
    <w:p w14:paraId="3701299A" w14:textId="1B24EDB6" w:rsidR="00FD4061" w:rsidRDefault="00FD4061" w:rsidP="008F4C0A">
      <w:pPr>
        <w:pStyle w:val="FigureFooter"/>
        <w:jc w:val="both"/>
      </w:pPr>
      <w:r>
        <w:t>Notes: McCarthy 2008 (1) and McCarthy 2008 (2)</w:t>
      </w:r>
      <w:r w:rsidR="00281382">
        <w:t xml:space="preserve"> </w:t>
      </w:r>
      <w:r w:rsidR="00771C66">
        <w:t>refer</w:t>
      </w:r>
      <w:r w:rsidR="00281382">
        <w:t xml:space="preserve"> to the same study</w:t>
      </w:r>
      <w:r w:rsidR="00A93814">
        <w:t>.</w:t>
      </w:r>
    </w:p>
    <w:p w14:paraId="490DFD0E" w14:textId="77777777" w:rsidR="00CC24AE" w:rsidRDefault="00CC24AE" w:rsidP="00CC24AE"/>
    <w:p w14:paraId="60203814" w14:textId="401F8DAC" w:rsidR="009E13D3" w:rsidRDefault="00CC24AE" w:rsidP="008F4C0A">
      <w:pPr>
        <w:spacing w:after="120"/>
        <w:jc w:val="both"/>
      </w:pPr>
      <w:r>
        <w:lastRenderedPageBreak/>
        <w:t>Howes et al. (2020) conducted subgroup analyses t</w:t>
      </w:r>
      <w:r w:rsidRPr="00CC24AE">
        <w:t xml:space="preserve">o determine whether bupropion had differential effects based on </w:t>
      </w:r>
      <w:r w:rsidR="006D7C6D">
        <w:t xml:space="preserve">the </w:t>
      </w:r>
      <w:r w:rsidRPr="00CC24AE">
        <w:t>level of behavioural support</w:t>
      </w:r>
      <w:r w:rsidR="006D7C6D">
        <w:t xml:space="preserve"> and</w:t>
      </w:r>
      <w:r w:rsidR="006D7C6D" w:rsidRPr="006D7C6D">
        <w:t xml:space="preserve"> mental health diagnoses</w:t>
      </w:r>
      <w:r w:rsidR="009E13D3">
        <w:t>.</w:t>
      </w:r>
      <w:r w:rsidR="00605796">
        <w:t xml:space="preserve"> </w:t>
      </w:r>
      <w:r w:rsidR="009E13D3">
        <w:t xml:space="preserve">The authors </w:t>
      </w:r>
      <w:r w:rsidR="00934862">
        <w:t>stated that there was</w:t>
      </w:r>
      <w:r w:rsidR="009E13D3">
        <w:t xml:space="preserve"> no evidence of a differential effect of bupropion on smoking cessation between subgroups. </w:t>
      </w:r>
      <w:r w:rsidR="00934862">
        <w:t xml:space="preserve">The test for subgroup differences was not significant </w:t>
      </w:r>
      <w:r w:rsidR="00281382">
        <w:t>in</w:t>
      </w:r>
      <w:r w:rsidR="00934862">
        <w:t xml:space="preserve"> both subgroup analyses (</w:t>
      </w:r>
      <w:r w:rsidR="00586A34">
        <w:t>P</w:t>
      </w:r>
      <w:r w:rsidR="00934862">
        <w:t xml:space="preserve">=0.7 for behavioural support and </w:t>
      </w:r>
      <w:r w:rsidR="00586A34">
        <w:t>P</w:t>
      </w:r>
      <w:r w:rsidR="00934862">
        <w:t xml:space="preserve">=0.86 for mental health disorders). </w:t>
      </w:r>
    </w:p>
    <w:p w14:paraId="7467645F" w14:textId="4A739377" w:rsidR="00001C70" w:rsidRPr="0073597F" w:rsidRDefault="00001C70" w:rsidP="008F4C0A">
      <w:pPr>
        <w:spacing w:after="120"/>
        <w:jc w:val="both"/>
        <w:rPr>
          <w:u w:val="single"/>
        </w:rPr>
      </w:pPr>
      <w:r w:rsidRPr="0073597F">
        <w:rPr>
          <w:u w:val="single"/>
        </w:rPr>
        <w:t>Safety</w:t>
      </w:r>
    </w:p>
    <w:p w14:paraId="4EED0CED" w14:textId="6589052D" w:rsidR="00214531" w:rsidRPr="00F8327E" w:rsidRDefault="00F8327E" w:rsidP="008F4C0A">
      <w:pPr>
        <w:spacing w:after="120"/>
        <w:jc w:val="both"/>
      </w:pPr>
      <w:r>
        <w:t xml:space="preserve">A summary of </w:t>
      </w:r>
      <w:r w:rsidR="00A038AD">
        <w:t>key</w:t>
      </w:r>
      <w:r>
        <w:t xml:space="preserve"> adverse events </w:t>
      </w:r>
      <w:r w:rsidR="00827DC0">
        <w:t>comparing</w:t>
      </w:r>
      <w:r w:rsidR="00C72CCA">
        <w:t xml:space="preserve"> bupropion </w:t>
      </w:r>
      <w:r w:rsidR="00827DC0">
        <w:t>with</w:t>
      </w:r>
      <w:r w:rsidR="00C72CCA">
        <w:t xml:space="preserve"> placebo</w:t>
      </w:r>
      <w:r>
        <w:t xml:space="preserve"> is presented in </w:t>
      </w:r>
      <w:r>
        <w:fldChar w:fldCharType="begin" w:fldLock="1"/>
      </w:r>
      <w:r>
        <w:instrText xml:space="preserve"> REF _Ref53139040 \h </w:instrText>
      </w:r>
      <w:r w:rsidR="008F4C0A">
        <w:instrText xml:space="preserve"> \* MERGEFORMAT </w:instrText>
      </w:r>
      <w:r>
        <w:fldChar w:fldCharType="separate"/>
      </w:r>
      <w:r w:rsidR="00EC5CC7">
        <w:t xml:space="preserve">Table </w:t>
      </w:r>
      <w:r w:rsidR="00EC5CC7">
        <w:rPr>
          <w:noProof/>
        </w:rPr>
        <w:t>8</w:t>
      </w:r>
      <w:r>
        <w:fldChar w:fldCharType="end"/>
      </w:r>
      <w:r>
        <w:t xml:space="preserve">. </w:t>
      </w:r>
      <w:r w:rsidRPr="000F3331">
        <w:t xml:space="preserve">The incidence of any adverse events and psychiatric adverse events was not reported in </w:t>
      </w:r>
      <w:r w:rsidR="00F61F71" w:rsidRPr="000F3331">
        <w:t>Hurt et al. (1997) and Jorenby et al. (1999)</w:t>
      </w:r>
      <w:r w:rsidRPr="000F3331">
        <w:t>.</w:t>
      </w:r>
      <w:r>
        <w:t xml:space="preserve"> </w:t>
      </w:r>
      <w:r w:rsidR="000F3623">
        <w:t xml:space="preserve">Based on the meta-analysis conducted by Howes et al. (2020), a significantly higher proportion of patients in the bupropion arm experienced any adverse events, psychiatric adverse </w:t>
      </w:r>
      <w:r w:rsidR="004C4EA7">
        <w:t>events,</w:t>
      </w:r>
      <w:r w:rsidR="000F3623">
        <w:t xml:space="preserve"> and discontinuation due to adverse events compared with patients in the placebo arm. There were no statistically significant differences </w:t>
      </w:r>
      <w:r w:rsidR="00704A8A">
        <w:t xml:space="preserve">between the two treatment arms </w:t>
      </w:r>
      <w:r w:rsidR="000F3623">
        <w:t xml:space="preserve">in terms of serious adverse events in </w:t>
      </w:r>
      <w:r w:rsidR="00F61F71" w:rsidRPr="000F3331">
        <w:t>Hurt et al. (1997), Jorenby et al. (1999)</w:t>
      </w:r>
      <w:r w:rsidR="000F3623" w:rsidRPr="000F3331">
        <w:t xml:space="preserve"> nor</w:t>
      </w:r>
      <w:r w:rsidR="000F3623" w:rsidRPr="00D549B5">
        <w:t xml:space="preserve"> Howes et al. (2020), </w:t>
      </w:r>
      <w:r w:rsidR="000F3623" w:rsidRPr="000F3331">
        <w:t xml:space="preserve">although the proportion of patients experiencing serious adverse events was numerically higher in the bupropion arm in </w:t>
      </w:r>
      <w:r w:rsidR="00F61F71" w:rsidRPr="000F3331">
        <w:t>Hurt et al. (1997) and Jorenby et al. (1999)</w:t>
      </w:r>
      <w:r w:rsidR="000F3623" w:rsidRPr="00D549B5">
        <w:t>.</w:t>
      </w:r>
      <w:r w:rsidR="000F3623">
        <w:t xml:space="preserve"> </w:t>
      </w:r>
    </w:p>
    <w:p w14:paraId="42B1B580" w14:textId="38AA760A" w:rsidR="00F8327E" w:rsidRDefault="00F8327E" w:rsidP="008F4C0A">
      <w:pPr>
        <w:pStyle w:val="Caption"/>
        <w:keepNext/>
        <w:spacing w:before="120" w:after="120"/>
        <w:jc w:val="both"/>
      </w:pPr>
      <w:bookmarkStart w:id="41" w:name="_Ref53139040"/>
      <w:r>
        <w:t xml:space="preserve">Table </w:t>
      </w:r>
      <w:r>
        <w:fldChar w:fldCharType="begin"/>
      </w:r>
      <w:r>
        <w:instrText>SEQ Table \* ARABIC</w:instrText>
      </w:r>
      <w:r>
        <w:fldChar w:fldCharType="separate"/>
      </w:r>
      <w:r w:rsidR="00EC5CC7">
        <w:rPr>
          <w:noProof/>
        </w:rPr>
        <w:t>8</w:t>
      </w:r>
      <w:r>
        <w:fldChar w:fldCharType="end"/>
      </w:r>
      <w:bookmarkEnd w:id="41"/>
      <w:r>
        <w:t xml:space="preserve">: Summary of </w:t>
      </w:r>
      <w:r w:rsidR="00A038AD">
        <w:t xml:space="preserve">key </w:t>
      </w:r>
      <w:r>
        <w:t>adverse events, bupropion versus placebo</w:t>
      </w:r>
    </w:p>
    <w:tbl>
      <w:tblPr>
        <w:tblStyle w:val="TableGrid"/>
        <w:tblW w:w="5000" w:type="pct"/>
        <w:tblLook w:val="04A0" w:firstRow="1" w:lastRow="0" w:firstColumn="1" w:lastColumn="0" w:noHBand="0" w:noVBand="1"/>
        <w:tblCaption w:val="Efficacy results of adalimumab trials (PASI 75 and DLQI)"/>
      </w:tblPr>
      <w:tblGrid>
        <w:gridCol w:w="995"/>
        <w:gridCol w:w="1706"/>
        <w:gridCol w:w="1971"/>
        <w:gridCol w:w="1455"/>
        <w:gridCol w:w="1354"/>
        <w:gridCol w:w="1535"/>
      </w:tblGrid>
      <w:tr w:rsidR="00214531" w:rsidRPr="00061F78" w14:paraId="5D1BB064" w14:textId="77777777" w:rsidTr="008F4C0A">
        <w:trPr>
          <w:cantSplit/>
          <w:trHeight w:val="299"/>
          <w:tblHeader/>
        </w:trPr>
        <w:tc>
          <w:tcPr>
            <w:tcW w:w="552" w:type="pct"/>
            <w:shd w:val="clear" w:color="auto" w:fill="BFBFBF" w:themeFill="background1" w:themeFillShade="BF"/>
            <w:tcMar>
              <w:left w:w="28" w:type="dxa"/>
              <w:right w:w="28" w:type="dxa"/>
            </w:tcMar>
            <w:vAlign w:val="center"/>
          </w:tcPr>
          <w:p w14:paraId="1084814B" w14:textId="5C5AAFD9" w:rsidR="00214531" w:rsidRPr="00061F78" w:rsidRDefault="00126B7B" w:rsidP="00F8327E">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14:paraId="4660CE3F" w14:textId="77777777" w:rsidR="00214531" w:rsidRDefault="00214531" w:rsidP="00F8327E">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14:paraId="0AD522FA" w14:textId="6B2039F4" w:rsidR="00214531" w:rsidRPr="002D7608" w:rsidRDefault="00914985" w:rsidP="00F8327E">
            <w:pPr>
              <w:pStyle w:val="Tableheading"/>
              <w:keepNext/>
              <w:jc w:val="center"/>
              <w:rPr>
                <w:rFonts w:eastAsia="MS Mincho"/>
                <w:vertAlign w:val="superscript"/>
              </w:rPr>
            </w:pPr>
            <w:r>
              <w:rPr>
                <w:rFonts w:eastAsia="MS Mincho"/>
              </w:rPr>
              <w:t>Previously considered studies included</w:t>
            </w:r>
            <w:r w:rsidR="002D7608">
              <w:rPr>
                <w:rFonts w:eastAsia="MS Mincho"/>
                <w:vertAlign w:val="superscript"/>
              </w:rPr>
              <w:t>1</w:t>
            </w:r>
          </w:p>
        </w:tc>
        <w:tc>
          <w:tcPr>
            <w:tcW w:w="807" w:type="pct"/>
            <w:shd w:val="clear" w:color="auto" w:fill="BFBFBF" w:themeFill="background1" w:themeFillShade="BF"/>
            <w:tcMar>
              <w:left w:w="28" w:type="dxa"/>
              <w:right w:w="28" w:type="dxa"/>
            </w:tcMar>
            <w:vAlign w:val="center"/>
          </w:tcPr>
          <w:p w14:paraId="2DAB8D5D" w14:textId="3C33333E" w:rsidR="00214531" w:rsidRPr="00061F78" w:rsidRDefault="00785E99" w:rsidP="00F8327E">
            <w:pPr>
              <w:pStyle w:val="Tableheading"/>
              <w:keepNext/>
              <w:jc w:val="center"/>
              <w:rPr>
                <w:rFonts w:eastAsia="MS Mincho"/>
              </w:rPr>
            </w:pPr>
            <w:r>
              <w:rPr>
                <w:rFonts w:eastAsia="MS Mincho"/>
              </w:rPr>
              <w:t>Bupropion</w:t>
            </w:r>
          </w:p>
        </w:tc>
        <w:tc>
          <w:tcPr>
            <w:tcW w:w="751" w:type="pct"/>
            <w:shd w:val="clear" w:color="auto" w:fill="BFBFBF" w:themeFill="background1" w:themeFillShade="BF"/>
            <w:tcMar>
              <w:left w:w="28" w:type="dxa"/>
              <w:right w:w="28" w:type="dxa"/>
            </w:tcMar>
            <w:vAlign w:val="center"/>
          </w:tcPr>
          <w:p w14:paraId="295AF9A2" w14:textId="134C6ED9" w:rsidR="00214531" w:rsidRPr="00061F78" w:rsidRDefault="00785E99" w:rsidP="00F8327E">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14:paraId="22279551" w14:textId="489EC5F4" w:rsidR="00214531" w:rsidRPr="00D468CF" w:rsidRDefault="00214531" w:rsidP="00F8327E">
            <w:pPr>
              <w:pStyle w:val="Tableheading"/>
              <w:keepNext/>
              <w:jc w:val="center"/>
              <w:rPr>
                <w:rFonts w:eastAsia="MS Mincho"/>
                <w:vertAlign w:val="superscript"/>
              </w:rPr>
            </w:pPr>
            <w:r>
              <w:rPr>
                <w:rFonts w:eastAsia="MS Mincho"/>
              </w:rPr>
              <w:t>RR (95% CI)</w:t>
            </w:r>
            <w:r w:rsidR="002D7608">
              <w:rPr>
                <w:rFonts w:eastAsia="MS Mincho"/>
                <w:vertAlign w:val="superscript"/>
              </w:rPr>
              <w:t>2</w:t>
            </w:r>
          </w:p>
        </w:tc>
      </w:tr>
      <w:tr w:rsidR="00214531" w:rsidRPr="00061F78" w14:paraId="3DB8BF7C" w14:textId="77777777" w:rsidTr="008F4C0A">
        <w:trPr>
          <w:cantSplit/>
          <w:trHeight w:val="99"/>
        </w:trPr>
        <w:tc>
          <w:tcPr>
            <w:tcW w:w="5000" w:type="pct"/>
            <w:gridSpan w:val="6"/>
            <w:shd w:val="clear" w:color="auto" w:fill="auto"/>
            <w:tcMar>
              <w:left w:w="28" w:type="dxa"/>
              <w:right w:w="28" w:type="dxa"/>
            </w:tcMar>
            <w:vAlign w:val="center"/>
          </w:tcPr>
          <w:p w14:paraId="76671045" w14:textId="77777777" w:rsidR="0056504D" w:rsidRPr="005000A3" w:rsidRDefault="0056504D" w:rsidP="00F8327E">
            <w:pPr>
              <w:pStyle w:val="Tablewriting"/>
              <w:keepNext/>
              <w:rPr>
                <w:rFonts w:eastAsia="MS Mincho"/>
                <w:b/>
                <w:bCs/>
              </w:rPr>
            </w:pPr>
            <w:r w:rsidRPr="005000A3">
              <w:rPr>
                <w:rFonts w:eastAsia="MS Mincho"/>
                <w:b/>
                <w:bCs/>
              </w:rPr>
              <w:t>Adverse events</w:t>
            </w:r>
          </w:p>
        </w:tc>
      </w:tr>
      <w:tr w:rsidR="00214531" w:rsidRPr="00061F78" w14:paraId="32553141" w14:textId="77777777" w:rsidTr="008F4C0A">
        <w:trPr>
          <w:cantSplit/>
          <w:trHeight w:val="149"/>
        </w:trPr>
        <w:tc>
          <w:tcPr>
            <w:tcW w:w="552" w:type="pct"/>
            <w:tcMar>
              <w:left w:w="28" w:type="dxa"/>
              <w:right w:w="28" w:type="dxa"/>
            </w:tcMar>
          </w:tcPr>
          <w:p w14:paraId="5F8CDD38" w14:textId="77777777" w:rsidR="00214531" w:rsidRDefault="00214531" w:rsidP="00F8327E">
            <w:pPr>
              <w:pStyle w:val="Tablewriting"/>
              <w:keepNext/>
              <w:rPr>
                <w:rFonts w:eastAsia="MS Mincho"/>
              </w:rPr>
            </w:pPr>
            <w:r>
              <w:rPr>
                <w:rFonts w:eastAsia="MS Mincho"/>
              </w:rPr>
              <w:t>Howes</w:t>
            </w:r>
            <w:r w:rsidRPr="00061F78">
              <w:rPr>
                <w:rFonts w:eastAsia="MS Mincho"/>
              </w:rPr>
              <w:t xml:space="preserve"> </w:t>
            </w:r>
          </w:p>
          <w:p w14:paraId="3A0F9951" w14:textId="295CF3D7" w:rsidR="00214531" w:rsidRPr="00D468CF" w:rsidRDefault="00214531" w:rsidP="00F8327E">
            <w:pPr>
              <w:pStyle w:val="Tablewriting"/>
              <w:keepNext/>
              <w:rPr>
                <w:rFonts w:eastAsia="MS Mincho"/>
                <w:vertAlign w:val="superscript"/>
              </w:rPr>
            </w:pPr>
            <w:r w:rsidRPr="00061F78">
              <w:rPr>
                <w:rFonts w:eastAsia="MS Mincho"/>
              </w:rPr>
              <w:t>(20</w:t>
            </w:r>
            <w:r>
              <w:rPr>
                <w:rFonts w:eastAsia="MS Mincho"/>
              </w:rPr>
              <w:t>20</w:t>
            </w:r>
            <w:r w:rsidRPr="00061F78">
              <w:rPr>
                <w:rFonts w:eastAsia="MS Mincho"/>
              </w:rPr>
              <w:t>)</w:t>
            </w:r>
          </w:p>
        </w:tc>
        <w:tc>
          <w:tcPr>
            <w:tcW w:w="946" w:type="pct"/>
            <w:vAlign w:val="center"/>
          </w:tcPr>
          <w:p w14:paraId="03798874" w14:textId="64F6629C" w:rsidR="00214531" w:rsidRDefault="00214531" w:rsidP="00F8327E">
            <w:pPr>
              <w:pStyle w:val="Tablewriting"/>
              <w:keepNext/>
              <w:jc w:val="center"/>
              <w:rPr>
                <w:rFonts w:eastAsia="MS Mincho"/>
              </w:rPr>
            </w:pPr>
            <w:r>
              <w:rPr>
                <w:rFonts w:eastAsia="MS Mincho"/>
              </w:rPr>
              <w:t>Cochrane Review (19 RCTs)</w:t>
            </w:r>
          </w:p>
        </w:tc>
        <w:tc>
          <w:tcPr>
            <w:tcW w:w="1093" w:type="pct"/>
            <w:tcMar>
              <w:left w:w="28" w:type="dxa"/>
              <w:right w:w="28" w:type="dxa"/>
            </w:tcMar>
            <w:vAlign w:val="center"/>
          </w:tcPr>
          <w:p w14:paraId="57F86896" w14:textId="49C9B449" w:rsidR="00214531" w:rsidRPr="00061F78" w:rsidRDefault="0043596D" w:rsidP="00F8327E">
            <w:pPr>
              <w:pStyle w:val="Tablewriting"/>
              <w:keepNext/>
              <w:jc w:val="center"/>
              <w:rPr>
                <w:rFonts w:eastAsia="MS Mincho"/>
              </w:rPr>
            </w:pPr>
            <w:r w:rsidRPr="006E6179">
              <w:rPr>
                <w:rFonts w:eastAsia="MS Mincho"/>
              </w:rPr>
              <w:t>No</w:t>
            </w:r>
          </w:p>
        </w:tc>
        <w:tc>
          <w:tcPr>
            <w:tcW w:w="807" w:type="pct"/>
            <w:tcMar>
              <w:left w:w="28" w:type="dxa"/>
              <w:right w:w="28" w:type="dxa"/>
            </w:tcMar>
            <w:vAlign w:val="center"/>
          </w:tcPr>
          <w:p w14:paraId="72257A28" w14:textId="435CE1BF" w:rsidR="0043596D" w:rsidRDefault="0043596D" w:rsidP="0043596D">
            <w:pPr>
              <w:pStyle w:val="Tablewriting"/>
              <w:keepNext/>
              <w:jc w:val="center"/>
              <w:rPr>
                <w:rFonts w:eastAsia="MS Mincho"/>
              </w:rPr>
            </w:pPr>
            <w:r>
              <w:rPr>
                <w:rFonts w:eastAsia="MS Mincho"/>
              </w:rPr>
              <w:t>3</w:t>
            </w:r>
            <w:r w:rsidR="00B828EC">
              <w:rPr>
                <w:rFonts w:eastAsia="MS Mincho"/>
              </w:rPr>
              <w:t>,</w:t>
            </w:r>
            <w:r>
              <w:rPr>
                <w:rFonts w:eastAsia="MS Mincho"/>
              </w:rPr>
              <w:t>917</w:t>
            </w:r>
            <w:r w:rsidRPr="00061F78">
              <w:rPr>
                <w:rFonts w:eastAsia="MS Mincho"/>
              </w:rPr>
              <w:t>/</w:t>
            </w:r>
            <w:r>
              <w:rPr>
                <w:rFonts w:eastAsia="MS Mincho"/>
              </w:rPr>
              <w:t>5,978</w:t>
            </w:r>
            <w:r w:rsidRPr="00061F78">
              <w:rPr>
                <w:rFonts w:eastAsia="MS Mincho"/>
              </w:rPr>
              <w:t xml:space="preserve"> </w:t>
            </w:r>
          </w:p>
          <w:p w14:paraId="469FDEE0" w14:textId="22CC4CD7" w:rsidR="00214531" w:rsidRPr="00061F78" w:rsidRDefault="0043596D" w:rsidP="00F8327E">
            <w:pPr>
              <w:pStyle w:val="Tablewriting"/>
              <w:keepNext/>
              <w:jc w:val="center"/>
              <w:rPr>
                <w:rFonts w:eastAsia="MS Mincho"/>
              </w:rPr>
            </w:pPr>
            <w:r w:rsidRPr="00061F78">
              <w:rPr>
                <w:rFonts w:eastAsia="MS Mincho"/>
              </w:rPr>
              <w:t>(</w:t>
            </w:r>
            <w:r>
              <w:rPr>
                <w:rFonts w:eastAsia="MS Mincho"/>
              </w:rPr>
              <w:t>65</w:t>
            </w:r>
            <w:r w:rsidR="00214531">
              <w:rPr>
                <w:rFonts w:eastAsia="MS Mincho"/>
              </w:rPr>
              <w:t>.5</w:t>
            </w:r>
            <w:r w:rsidR="00214531" w:rsidRPr="00061F78">
              <w:rPr>
                <w:rFonts w:eastAsia="MS Mincho"/>
              </w:rPr>
              <w:t>%)</w:t>
            </w:r>
          </w:p>
        </w:tc>
        <w:tc>
          <w:tcPr>
            <w:tcW w:w="751" w:type="pct"/>
            <w:tcMar>
              <w:left w:w="28" w:type="dxa"/>
              <w:right w:w="28" w:type="dxa"/>
            </w:tcMar>
            <w:vAlign w:val="center"/>
          </w:tcPr>
          <w:p w14:paraId="12AC94C6" w14:textId="5D4D24EA" w:rsidR="0043596D" w:rsidRDefault="0043596D" w:rsidP="0043596D">
            <w:pPr>
              <w:pStyle w:val="Tablewriting"/>
              <w:keepNext/>
              <w:jc w:val="center"/>
              <w:rPr>
                <w:rFonts w:eastAsia="MS Mincho"/>
              </w:rPr>
            </w:pPr>
            <w:r>
              <w:rPr>
                <w:rFonts w:eastAsia="MS Mincho"/>
              </w:rPr>
              <w:t>2</w:t>
            </w:r>
            <w:r w:rsidR="00B828EC">
              <w:rPr>
                <w:rFonts w:eastAsia="MS Mincho"/>
              </w:rPr>
              <w:t>,</w:t>
            </w:r>
            <w:r>
              <w:rPr>
                <w:rFonts w:eastAsia="MS Mincho"/>
              </w:rPr>
              <w:t>827</w:t>
            </w:r>
            <w:r w:rsidRPr="00061F78">
              <w:rPr>
                <w:rFonts w:eastAsia="MS Mincho"/>
              </w:rPr>
              <w:t>/</w:t>
            </w:r>
            <w:r>
              <w:rPr>
                <w:rFonts w:eastAsia="MS Mincho"/>
              </w:rPr>
              <w:t>4,915</w:t>
            </w:r>
            <w:r w:rsidRPr="00061F78">
              <w:rPr>
                <w:rFonts w:eastAsia="MS Mincho"/>
              </w:rPr>
              <w:t xml:space="preserve"> </w:t>
            </w:r>
          </w:p>
          <w:p w14:paraId="7E361136" w14:textId="01D41A0B" w:rsidR="00214531" w:rsidRPr="00061F78" w:rsidRDefault="0043596D" w:rsidP="00F8327E">
            <w:pPr>
              <w:pStyle w:val="Tablewriting"/>
              <w:keepNext/>
              <w:jc w:val="center"/>
              <w:rPr>
                <w:rFonts w:eastAsia="MS Mincho"/>
              </w:rPr>
            </w:pPr>
            <w:r w:rsidRPr="00061F78">
              <w:rPr>
                <w:rFonts w:eastAsia="MS Mincho"/>
              </w:rPr>
              <w:t>(</w:t>
            </w:r>
            <w:r>
              <w:rPr>
                <w:rFonts w:eastAsia="MS Mincho"/>
              </w:rPr>
              <w:t>57.5</w:t>
            </w:r>
            <w:r w:rsidRPr="00061F78">
              <w:rPr>
                <w:rFonts w:eastAsia="MS Mincho"/>
              </w:rPr>
              <w:t>%)</w:t>
            </w:r>
          </w:p>
        </w:tc>
        <w:tc>
          <w:tcPr>
            <w:tcW w:w="851" w:type="pct"/>
            <w:tcMar>
              <w:left w:w="28" w:type="dxa"/>
              <w:right w:w="28" w:type="dxa"/>
            </w:tcMar>
            <w:vAlign w:val="center"/>
          </w:tcPr>
          <w:p w14:paraId="7B3F3CA6" w14:textId="540DF962" w:rsidR="00214531" w:rsidRPr="00D468CF" w:rsidRDefault="00214531" w:rsidP="00F8327E">
            <w:pPr>
              <w:pStyle w:val="Tablewriting"/>
              <w:keepNext/>
              <w:jc w:val="center"/>
              <w:rPr>
                <w:rFonts w:eastAsia="MS Mincho"/>
                <w:b/>
                <w:bCs/>
              </w:rPr>
            </w:pPr>
            <w:r w:rsidRPr="00D468CF">
              <w:rPr>
                <w:rFonts w:eastAsia="MS Mincho"/>
                <w:b/>
                <w:bCs/>
              </w:rPr>
              <w:t>1.</w:t>
            </w:r>
            <w:r>
              <w:rPr>
                <w:rFonts w:eastAsia="MS Mincho"/>
                <w:b/>
                <w:bCs/>
              </w:rPr>
              <w:t>14</w:t>
            </w:r>
          </w:p>
          <w:p w14:paraId="4406AC35" w14:textId="158B7E26" w:rsidR="00214531" w:rsidRPr="00061F78" w:rsidRDefault="00214531" w:rsidP="00F8327E">
            <w:pPr>
              <w:pStyle w:val="Tablewriting"/>
              <w:keepNext/>
              <w:jc w:val="center"/>
              <w:rPr>
                <w:rFonts w:eastAsia="MS Mincho"/>
              </w:rPr>
            </w:pPr>
            <w:r w:rsidRPr="00D468CF">
              <w:rPr>
                <w:rFonts w:eastAsia="MS Mincho"/>
                <w:b/>
                <w:bCs/>
              </w:rPr>
              <w:t>(1.</w:t>
            </w:r>
            <w:r>
              <w:rPr>
                <w:rFonts w:eastAsia="MS Mincho"/>
                <w:b/>
                <w:bCs/>
              </w:rPr>
              <w:t>11</w:t>
            </w:r>
            <w:r w:rsidRPr="00D468CF">
              <w:rPr>
                <w:rFonts w:eastAsia="MS Mincho"/>
                <w:b/>
                <w:bCs/>
              </w:rPr>
              <w:t>, 1.</w:t>
            </w:r>
            <w:r>
              <w:rPr>
                <w:rFonts w:eastAsia="MS Mincho"/>
                <w:b/>
                <w:bCs/>
              </w:rPr>
              <w:t>18</w:t>
            </w:r>
            <w:r w:rsidRPr="00D468CF">
              <w:rPr>
                <w:rFonts w:eastAsia="MS Mincho"/>
                <w:b/>
                <w:bCs/>
              </w:rPr>
              <w:t>)</w:t>
            </w:r>
          </w:p>
        </w:tc>
      </w:tr>
      <w:tr w:rsidR="00B6509C" w:rsidRPr="00061F78" w14:paraId="446026D6" w14:textId="77777777" w:rsidTr="008F4C0A">
        <w:trPr>
          <w:cantSplit/>
          <w:trHeight w:val="149"/>
        </w:trPr>
        <w:tc>
          <w:tcPr>
            <w:tcW w:w="5000" w:type="pct"/>
            <w:gridSpan w:val="6"/>
            <w:shd w:val="clear" w:color="auto" w:fill="auto"/>
            <w:tcMar>
              <w:left w:w="28" w:type="dxa"/>
              <w:right w:w="28" w:type="dxa"/>
            </w:tcMar>
          </w:tcPr>
          <w:p w14:paraId="6569471B" w14:textId="77777777" w:rsidR="0056504D" w:rsidRPr="005000A3" w:rsidRDefault="0056504D" w:rsidP="00B6509C">
            <w:pPr>
              <w:pStyle w:val="Tablewriting"/>
              <w:keepNext/>
              <w:rPr>
                <w:rFonts w:eastAsia="MS Mincho"/>
                <w:b/>
                <w:bCs/>
              </w:rPr>
            </w:pPr>
            <w:r w:rsidRPr="005000A3">
              <w:rPr>
                <w:rFonts w:eastAsia="MS Mincho"/>
                <w:b/>
                <w:bCs/>
              </w:rPr>
              <w:t>Psychiatric adverse events</w:t>
            </w:r>
          </w:p>
        </w:tc>
      </w:tr>
      <w:tr w:rsidR="00B6509C" w:rsidRPr="00061F78" w14:paraId="17A3912B" w14:textId="77777777" w:rsidTr="008F4C0A">
        <w:trPr>
          <w:cantSplit/>
          <w:trHeight w:val="149"/>
        </w:trPr>
        <w:tc>
          <w:tcPr>
            <w:tcW w:w="552" w:type="pct"/>
            <w:tcMar>
              <w:left w:w="28" w:type="dxa"/>
              <w:right w:w="28" w:type="dxa"/>
            </w:tcMar>
          </w:tcPr>
          <w:p w14:paraId="4FD37BFC" w14:textId="77777777" w:rsidR="00B6509C" w:rsidRDefault="00B6509C" w:rsidP="00B6509C">
            <w:pPr>
              <w:pStyle w:val="Tablewriting"/>
              <w:keepNext/>
              <w:rPr>
                <w:rFonts w:eastAsia="MS Mincho"/>
              </w:rPr>
            </w:pPr>
            <w:r>
              <w:rPr>
                <w:rFonts w:eastAsia="MS Mincho"/>
              </w:rPr>
              <w:t>Howes</w:t>
            </w:r>
            <w:r w:rsidRPr="00061F78">
              <w:rPr>
                <w:rFonts w:eastAsia="MS Mincho"/>
              </w:rPr>
              <w:t xml:space="preserve"> </w:t>
            </w:r>
          </w:p>
          <w:p w14:paraId="37BEBB28" w14:textId="7F4860FD" w:rsidR="00B6509C" w:rsidRDefault="00B6509C" w:rsidP="00B6509C">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14:paraId="2B1EB816" w14:textId="16BDC013" w:rsidR="00B6509C" w:rsidRDefault="00B6509C" w:rsidP="00B6509C">
            <w:pPr>
              <w:pStyle w:val="Tablewriting"/>
              <w:keepNext/>
              <w:jc w:val="center"/>
              <w:rPr>
                <w:rFonts w:eastAsia="MS Mincho"/>
              </w:rPr>
            </w:pPr>
            <w:r>
              <w:rPr>
                <w:rFonts w:eastAsia="MS Mincho"/>
              </w:rPr>
              <w:t>Cochrane Review (6 RCTs)</w:t>
            </w:r>
          </w:p>
        </w:tc>
        <w:tc>
          <w:tcPr>
            <w:tcW w:w="1093" w:type="pct"/>
            <w:tcMar>
              <w:left w:w="28" w:type="dxa"/>
              <w:right w:w="28" w:type="dxa"/>
            </w:tcMar>
            <w:vAlign w:val="center"/>
          </w:tcPr>
          <w:p w14:paraId="5488F391" w14:textId="087E5D9E" w:rsidR="00B6509C" w:rsidRDefault="00B6509C" w:rsidP="00B6509C">
            <w:pPr>
              <w:pStyle w:val="Tablewriting"/>
              <w:keepNext/>
              <w:jc w:val="center"/>
              <w:rPr>
                <w:rFonts w:eastAsia="MS Mincho"/>
              </w:rPr>
            </w:pPr>
            <w:r w:rsidRPr="006E6179">
              <w:rPr>
                <w:rFonts w:eastAsia="MS Mincho"/>
              </w:rPr>
              <w:t>No</w:t>
            </w:r>
          </w:p>
        </w:tc>
        <w:tc>
          <w:tcPr>
            <w:tcW w:w="807" w:type="pct"/>
            <w:tcMar>
              <w:left w:w="28" w:type="dxa"/>
              <w:right w:w="28" w:type="dxa"/>
            </w:tcMar>
            <w:vAlign w:val="center"/>
          </w:tcPr>
          <w:p w14:paraId="72DA192A" w14:textId="77777777" w:rsidR="00B6509C" w:rsidRDefault="00B6509C" w:rsidP="00B6509C">
            <w:pPr>
              <w:pStyle w:val="Tablewriting"/>
              <w:keepNext/>
              <w:jc w:val="center"/>
              <w:rPr>
                <w:rFonts w:eastAsia="MS Mincho"/>
              </w:rPr>
            </w:pPr>
            <w:r>
              <w:rPr>
                <w:rFonts w:eastAsia="MS Mincho"/>
              </w:rPr>
              <w:t>790</w:t>
            </w:r>
            <w:r w:rsidRPr="00061F78">
              <w:rPr>
                <w:rFonts w:eastAsia="MS Mincho"/>
              </w:rPr>
              <w:t>/</w:t>
            </w:r>
            <w:r>
              <w:rPr>
                <w:rFonts w:eastAsia="MS Mincho"/>
              </w:rPr>
              <w:t>2,211</w:t>
            </w:r>
            <w:r w:rsidRPr="00061F78">
              <w:rPr>
                <w:rFonts w:eastAsia="MS Mincho"/>
              </w:rPr>
              <w:t xml:space="preserve"> </w:t>
            </w:r>
          </w:p>
          <w:p w14:paraId="24F4D7C5" w14:textId="340444E3" w:rsidR="00B6509C" w:rsidRDefault="00B6509C" w:rsidP="00B6509C">
            <w:pPr>
              <w:pStyle w:val="Tablewriting"/>
              <w:keepNext/>
              <w:jc w:val="center"/>
              <w:rPr>
                <w:rFonts w:eastAsia="MS Mincho"/>
              </w:rPr>
            </w:pPr>
            <w:r w:rsidRPr="00061F78">
              <w:rPr>
                <w:rFonts w:eastAsia="MS Mincho"/>
              </w:rPr>
              <w:t>(</w:t>
            </w:r>
            <w:r>
              <w:rPr>
                <w:rFonts w:eastAsia="MS Mincho"/>
              </w:rPr>
              <w:t>35.7</w:t>
            </w:r>
            <w:r w:rsidRPr="00061F78">
              <w:rPr>
                <w:rFonts w:eastAsia="MS Mincho"/>
              </w:rPr>
              <w:t>%)</w:t>
            </w:r>
          </w:p>
        </w:tc>
        <w:tc>
          <w:tcPr>
            <w:tcW w:w="751" w:type="pct"/>
            <w:tcMar>
              <w:left w:w="28" w:type="dxa"/>
              <w:right w:w="28" w:type="dxa"/>
            </w:tcMar>
            <w:vAlign w:val="center"/>
          </w:tcPr>
          <w:p w14:paraId="22D39035" w14:textId="77777777" w:rsidR="00B6509C" w:rsidRDefault="00B6509C" w:rsidP="00B6509C">
            <w:pPr>
              <w:pStyle w:val="Tablewriting"/>
              <w:keepNext/>
              <w:jc w:val="center"/>
              <w:rPr>
                <w:rFonts w:eastAsia="MS Mincho"/>
              </w:rPr>
            </w:pPr>
            <w:r>
              <w:rPr>
                <w:rFonts w:eastAsia="MS Mincho"/>
              </w:rPr>
              <w:t>632</w:t>
            </w:r>
            <w:r w:rsidRPr="00061F78">
              <w:rPr>
                <w:rFonts w:eastAsia="MS Mincho"/>
              </w:rPr>
              <w:t>/</w:t>
            </w:r>
            <w:r>
              <w:rPr>
                <w:rFonts w:eastAsia="MS Mincho"/>
              </w:rPr>
              <w:t>2,228</w:t>
            </w:r>
            <w:r w:rsidRPr="00061F78">
              <w:rPr>
                <w:rFonts w:eastAsia="MS Mincho"/>
              </w:rPr>
              <w:t xml:space="preserve"> </w:t>
            </w:r>
          </w:p>
          <w:p w14:paraId="60066F17" w14:textId="29500FA1" w:rsidR="00B6509C" w:rsidRDefault="00B6509C" w:rsidP="00B6509C">
            <w:pPr>
              <w:pStyle w:val="Tablewriting"/>
              <w:keepNext/>
              <w:jc w:val="center"/>
              <w:rPr>
                <w:rFonts w:eastAsia="MS Mincho"/>
              </w:rPr>
            </w:pPr>
            <w:r w:rsidRPr="00061F78">
              <w:rPr>
                <w:rFonts w:eastAsia="MS Mincho"/>
              </w:rPr>
              <w:t>(</w:t>
            </w:r>
            <w:r>
              <w:rPr>
                <w:rFonts w:eastAsia="MS Mincho"/>
              </w:rPr>
              <w:t>28.4</w:t>
            </w:r>
            <w:r w:rsidRPr="00061F78">
              <w:rPr>
                <w:rFonts w:eastAsia="MS Mincho"/>
              </w:rPr>
              <w:t>%)</w:t>
            </w:r>
          </w:p>
        </w:tc>
        <w:tc>
          <w:tcPr>
            <w:tcW w:w="851" w:type="pct"/>
            <w:tcMar>
              <w:left w:w="28" w:type="dxa"/>
              <w:right w:w="28" w:type="dxa"/>
            </w:tcMar>
            <w:vAlign w:val="center"/>
          </w:tcPr>
          <w:p w14:paraId="7F746D2D" w14:textId="77777777" w:rsidR="00B6509C" w:rsidRPr="00893F2B" w:rsidRDefault="00B6509C" w:rsidP="00B6509C">
            <w:pPr>
              <w:pStyle w:val="Tablewriting"/>
              <w:keepNext/>
              <w:jc w:val="center"/>
              <w:rPr>
                <w:rFonts w:eastAsia="MS Mincho"/>
                <w:b/>
                <w:bCs/>
              </w:rPr>
            </w:pPr>
            <w:r w:rsidRPr="00893F2B">
              <w:rPr>
                <w:rFonts w:eastAsia="MS Mincho"/>
                <w:b/>
                <w:bCs/>
              </w:rPr>
              <w:t>1.25</w:t>
            </w:r>
          </w:p>
          <w:p w14:paraId="71E0ACFB" w14:textId="308D4173" w:rsidR="00B6509C" w:rsidRPr="00D468CF" w:rsidRDefault="00B6509C" w:rsidP="00B6509C">
            <w:pPr>
              <w:pStyle w:val="Tablewriting"/>
              <w:keepNext/>
              <w:jc w:val="center"/>
              <w:rPr>
                <w:rFonts w:eastAsia="MS Mincho"/>
                <w:b/>
                <w:bCs/>
              </w:rPr>
            </w:pPr>
            <w:r w:rsidRPr="00893F2B">
              <w:rPr>
                <w:rFonts w:eastAsia="MS Mincho"/>
                <w:b/>
                <w:bCs/>
              </w:rPr>
              <w:t>(1.15, 1.37)</w:t>
            </w:r>
          </w:p>
        </w:tc>
      </w:tr>
      <w:tr w:rsidR="00214531" w:rsidRPr="00061F78" w14:paraId="453A3C0F" w14:textId="77777777" w:rsidTr="008F4C0A">
        <w:trPr>
          <w:cantSplit/>
          <w:trHeight w:val="149"/>
        </w:trPr>
        <w:tc>
          <w:tcPr>
            <w:tcW w:w="5000" w:type="pct"/>
            <w:gridSpan w:val="6"/>
            <w:shd w:val="clear" w:color="auto" w:fill="auto"/>
            <w:tcMar>
              <w:left w:w="28" w:type="dxa"/>
              <w:right w:w="28" w:type="dxa"/>
            </w:tcMar>
            <w:vAlign w:val="center"/>
          </w:tcPr>
          <w:p w14:paraId="6AC4EA61" w14:textId="77777777" w:rsidR="0056504D" w:rsidRPr="005000A3" w:rsidRDefault="0056504D" w:rsidP="00F8327E">
            <w:pPr>
              <w:pStyle w:val="Tablewriting"/>
              <w:keepNext/>
              <w:rPr>
                <w:rFonts w:eastAsia="MS Mincho"/>
                <w:b/>
                <w:bCs/>
              </w:rPr>
            </w:pPr>
            <w:r w:rsidRPr="005000A3">
              <w:rPr>
                <w:rFonts w:eastAsia="MS Mincho"/>
                <w:b/>
                <w:bCs/>
              </w:rPr>
              <w:t>Serious adverse events</w:t>
            </w:r>
          </w:p>
        </w:tc>
      </w:tr>
      <w:tr w:rsidR="00214531" w:rsidRPr="00061F78" w14:paraId="764851DB" w14:textId="77777777" w:rsidTr="008F4C0A">
        <w:trPr>
          <w:cantSplit/>
          <w:trHeight w:val="149"/>
        </w:trPr>
        <w:tc>
          <w:tcPr>
            <w:tcW w:w="552" w:type="pct"/>
            <w:tcMar>
              <w:left w:w="28" w:type="dxa"/>
              <w:right w:w="28" w:type="dxa"/>
            </w:tcMar>
          </w:tcPr>
          <w:p w14:paraId="23AFA08C" w14:textId="77777777" w:rsidR="00214531" w:rsidRDefault="00214531" w:rsidP="00F8327E">
            <w:pPr>
              <w:pStyle w:val="Tablewriting"/>
              <w:keepNext/>
              <w:rPr>
                <w:rFonts w:eastAsia="MS Mincho"/>
              </w:rPr>
            </w:pPr>
            <w:r>
              <w:rPr>
                <w:rFonts w:eastAsia="MS Mincho"/>
              </w:rPr>
              <w:t>Howes</w:t>
            </w:r>
            <w:r w:rsidRPr="00061F78">
              <w:rPr>
                <w:rFonts w:eastAsia="MS Mincho"/>
              </w:rPr>
              <w:t xml:space="preserve"> </w:t>
            </w:r>
          </w:p>
          <w:p w14:paraId="5D9656B0" w14:textId="0EA3AE2E" w:rsidR="00214531" w:rsidRDefault="00214531" w:rsidP="00F8327E">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14:paraId="6B8896B8" w14:textId="081E22D6" w:rsidR="00214531" w:rsidRDefault="00214531" w:rsidP="00F8327E">
            <w:pPr>
              <w:pStyle w:val="Tablewriting"/>
              <w:keepNext/>
              <w:jc w:val="center"/>
              <w:rPr>
                <w:rFonts w:eastAsia="MS Mincho"/>
              </w:rPr>
            </w:pPr>
            <w:r>
              <w:rPr>
                <w:rFonts w:eastAsia="MS Mincho"/>
              </w:rPr>
              <w:t>Cochrane Review (</w:t>
            </w:r>
            <w:r w:rsidR="00996039">
              <w:rPr>
                <w:rFonts w:eastAsia="MS Mincho"/>
              </w:rPr>
              <w:t>21</w:t>
            </w:r>
            <w:r>
              <w:rPr>
                <w:rFonts w:eastAsia="MS Mincho"/>
              </w:rPr>
              <w:t xml:space="preserve"> </w:t>
            </w:r>
            <w:r w:rsidR="00C51359">
              <w:rPr>
                <w:rFonts w:eastAsia="MS Mincho"/>
              </w:rPr>
              <w:t>RCTs</w:t>
            </w:r>
            <w:r>
              <w:rPr>
                <w:rFonts w:eastAsia="MS Mincho"/>
              </w:rPr>
              <w:t>)</w:t>
            </w:r>
          </w:p>
        </w:tc>
        <w:tc>
          <w:tcPr>
            <w:tcW w:w="1093" w:type="pct"/>
            <w:tcMar>
              <w:left w:w="28" w:type="dxa"/>
              <w:right w:w="28" w:type="dxa"/>
            </w:tcMar>
            <w:vAlign w:val="center"/>
          </w:tcPr>
          <w:p w14:paraId="720B098D" w14:textId="4BDA0C25" w:rsidR="00214531" w:rsidRDefault="00341FBD" w:rsidP="00F8327E">
            <w:pPr>
              <w:pStyle w:val="Tablewriting"/>
              <w:keepNext/>
              <w:jc w:val="center"/>
              <w:rPr>
                <w:rFonts w:eastAsia="MS Mincho"/>
              </w:rPr>
            </w:pPr>
            <w:r w:rsidRPr="00341FBD">
              <w:rPr>
                <w:rFonts w:eastAsia="MS Mincho"/>
                <w:color w:val="000000"/>
                <w:w w:val="77"/>
                <w:highlight w:val="black"/>
                <w:shd w:val="solid" w:color="000000" w:fill="000000"/>
                <w:fitText w:val="856" w:id="-1402784000"/>
                <w14:textFill>
                  <w14:solidFill>
                    <w14:srgbClr w14:val="000000">
                      <w14:alpha w14:val="100000"/>
                    </w14:srgbClr>
                  </w14:solidFill>
                </w14:textFill>
              </w:rPr>
              <w:t>||||||||||||</w:t>
            </w:r>
            <w:r w:rsidRPr="00341FBD">
              <w:rPr>
                <w:rFonts w:eastAsia="MS Mincho"/>
                <w:highlight w:val="black"/>
                <w:shd w:val="clear" w:color="auto" w:fill="C0C0C1"/>
              </w:rPr>
              <w:t xml:space="preserve"> </w:t>
            </w:r>
            <w:r w:rsidRPr="00341FBD">
              <w:rPr>
                <w:rFonts w:eastAsia="MS Mincho"/>
                <w:color w:val="000000"/>
                <w:spacing w:val="4"/>
                <w:highlight w:val="black"/>
                <w:shd w:val="solid" w:color="000000" w:fill="000000"/>
                <w:fitText w:val="382" w:id="-1402783999"/>
                <w14:textFill>
                  <w14:solidFill>
                    <w14:srgbClr w14:val="000000">
                      <w14:alpha w14:val="100000"/>
                    </w14:srgbClr>
                  </w14:solidFill>
                </w14:textFill>
              </w:rPr>
              <w:t>|</w:t>
            </w:r>
            <w:r w:rsidRPr="00341FBD">
              <w:rPr>
                <w:rFonts w:eastAsia="MS Mincho"/>
                <w:color w:val="000000"/>
                <w:highlight w:val="black"/>
                <w:shd w:val="solid" w:color="000000" w:fill="000000"/>
                <w:fitText w:val="382" w:id="-1402783999"/>
                <w14:textFill>
                  <w14:solidFill>
                    <w14:srgbClr w14:val="000000">
                      <w14:alpha w14:val="100000"/>
                    </w14:srgbClr>
                  </w14:solidFill>
                </w14:textFill>
              </w:rPr>
              <w:t>|||</w:t>
            </w:r>
            <w:r w:rsidRPr="00341FBD">
              <w:rPr>
                <w:rFonts w:eastAsia="MS Mincho"/>
                <w:highlight w:val="black"/>
                <w:shd w:val="clear" w:color="auto" w:fill="C0C0C1"/>
              </w:rPr>
              <w:t xml:space="preserve"> </w:t>
            </w:r>
            <w:r w:rsidRPr="00341FBD">
              <w:rPr>
                <w:rFonts w:eastAsia="MS Mincho"/>
                <w:color w:val="000000"/>
                <w:w w:val="77"/>
                <w:highlight w:val="black"/>
                <w:shd w:val="solid" w:color="000000" w:fill="000000"/>
                <w:fitText w:val="428" w:id="-1402783998"/>
                <w14:textFill>
                  <w14:solidFill>
                    <w14:srgbClr w14:val="000000">
                      <w14:alpha w14:val="100000"/>
                    </w14:srgbClr>
                  </w14:solidFill>
                </w14:textFill>
              </w:rPr>
              <w:t>||||||</w:t>
            </w:r>
          </w:p>
        </w:tc>
        <w:tc>
          <w:tcPr>
            <w:tcW w:w="807" w:type="pct"/>
            <w:tcMar>
              <w:left w:w="28" w:type="dxa"/>
              <w:right w:w="28" w:type="dxa"/>
            </w:tcMar>
            <w:vAlign w:val="center"/>
          </w:tcPr>
          <w:p w14:paraId="0A299C22" w14:textId="2E9F4563" w:rsidR="00214531" w:rsidRDefault="00C51359" w:rsidP="00F8327E">
            <w:pPr>
              <w:pStyle w:val="Tablewriting"/>
              <w:keepNext/>
              <w:jc w:val="center"/>
              <w:rPr>
                <w:rFonts w:eastAsia="MS Mincho"/>
              </w:rPr>
            </w:pPr>
            <w:r>
              <w:rPr>
                <w:rFonts w:eastAsia="MS Mincho"/>
              </w:rPr>
              <w:t>139</w:t>
            </w:r>
            <w:r w:rsidRPr="00061F78">
              <w:rPr>
                <w:rFonts w:eastAsia="MS Mincho"/>
              </w:rPr>
              <w:t>/</w:t>
            </w:r>
            <w:r>
              <w:rPr>
                <w:rFonts w:eastAsia="MS Mincho"/>
              </w:rPr>
              <w:t>6,094</w:t>
            </w:r>
            <w:r w:rsidR="00214531" w:rsidRPr="00061F78">
              <w:rPr>
                <w:rFonts w:eastAsia="MS Mincho"/>
              </w:rPr>
              <w:t xml:space="preserve"> </w:t>
            </w:r>
          </w:p>
          <w:p w14:paraId="2C7A580A" w14:textId="79577C9F" w:rsidR="00214531" w:rsidRDefault="00214531" w:rsidP="00F8327E">
            <w:pPr>
              <w:pStyle w:val="Tablewriting"/>
              <w:keepNext/>
              <w:jc w:val="center"/>
              <w:rPr>
                <w:rFonts w:eastAsia="MS Mincho"/>
              </w:rPr>
            </w:pPr>
            <w:r w:rsidRPr="00061F78">
              <w:rPr>
                <w:rFonts w:eastAsia="MS Mincho"/>
              </w:rPr>
              <w:t>(</w:t>
            </w:r>
            <w:r w:rsidR="00275BAC">
              <w:rPr>
                <w:rFonts w:eastAsia="MS Mincho"/>
              </w:rPr>
              <w:t>2.</w:t>
            </w:r>
            <w:r w:rsidR="00C51359">
              <w:rPr>
                <w:rFonts w:eastAsia="MS Mincho"/>
              </w:rPr>
              <w:t>3</w:t>
            </w:r>
            <w:r w:rsidRPr="00061F78">
              <w:rPr>
                <w:rFonts w:eastAsia="MS Mincho"/>
              </w:rPr>
              <w:t>%)</w:t>
            </w:r>
          </w:p>
        </w:tc>
        <w:tc>
          <w:tcPr>
            <w:tcW w:w="751" w:type="pct"/>
            <w:tcMar>
              <w:left w:w="28" w:type="dxa"/>
              <w:right w:w="28" w:type="dxa"/>
            </w:tcMar>
            <w:vAlign w:val="center"/>
          </w:tcPr>
          <w:p w14:paraId="2C54C96A" w14:textId="2F35B591" w:rsidR="00C51359" w:rsidRDefault="00C51359" w:rsidP="00C51359">
            <w:pPr>
              <w:pStyle w:val="Tablewriting"/>
              <w:keepNext/>
              <w:jc w:val="center"/>
              <w:rPr>
                <w:rFonts w:eastAsia="MS Mincho"/>
              </w:rPr>
            </w:pPr>
            <w:r>
              <w:rPr>
                <w:rFonts w:eastAsia="MS Mincho"/>
              </w:rPr>
              <w:t>107</w:t>
            </w:r>
            <w:r w:rsidRPr="00061F78">
              <w:rPr>
                <w:rFonts w:eastAsia="MS Mincho"/>
              </w:rPr>
              <w:t>/</w:t>
            </w:r>
            <w:r>
              <w:rPr>
                <w:rFonts w:eastAsia="MS Mincho"/>
              </w:rPr>
              <w:t>4,531</w:t>
            </w:r>
            <w:r w:rsidRPr="00061F78">
              <w:rPr>
                <w:rFonts w:eastAsia="MS Mincho"/>
              </w:rPr>
              <w:t xml:space="preserve"> </w:t>
            </w:r>
          </w:p>
          <w:p w14:paraId="6C904E2C" w14:textId="4BBF9F7B" w:rsidR="00214531" w:rsidRPr="00061F78" w:rsidRDefault="00C51359" w:rsidP="00F8327E">
            <w:pPr>
              <w:pStyle w:val="Tablewriting"/>
              <w:keepNext/>
              <w:jc w:val="center"/>
              <w:rPr>
                <w:rFonts w:eastAsia="MS Mincho"/>
              </w:rPr>
            </w:pPr>
            <w:r w:rsidRPr="00061F78">
              <w:rPr>
                <w:rFonts w:eastAsia="MS Mincho"/>
              </w:rPr>
              <w:t>(</w:t>
            </w:r>
            <w:r>
              <w:rPr>
                <w:rFonts w:eastAsia="MS Mincho"/>
              </w:rPr>
              <w:t>2.4</w:t>
            </w:r>
            <w:r w:rsidRPr="00061F78">
              <w:rPr>
                <w:rFonts w:eastAsia="MS Mincho"/>
              </w:rPr>
              <w:t>%)</w:t>
            </w:r>
          </w:p>
        </w:tc>
        <w:tc>
          <w:tcPr>
            <w:tcW w:w="851" w:type="pct"/>
            <w:tcMar>
              <w:left w:w="28" w:type="dxa"/>
              <w:right w:w="28" w:type="dxa"/>
            </w:tcMar>
            <w:vAlign w:val="center"/>
          </w:tcPr>
          <w:p w14:paraId="04528619" w14:textId="43F5930D" w:rsidR="00214531" w:rsidRPr="00275BAC" w:rsidRDefault="00214531" w:rsidP="00F8327E">
            <w:pPr>
              <w:pStyle w:val="Tablewriting"/>
              <w:keepNext/>
              <w:jc w:val="center"/>
              <w:rPr>
                <w:rFonts w:eastAsia="MS Mincho"/>
              </w:rPr>
            </w:pPr>
            <w:r w:rsidRPr="00275BAC">
              <w:rPr>
                <w:rFonts w:eastAsia="MS Mincho"/>
              </w:rPr>
              <w:t>1.1</w:t>
            </w:r>
            <w:r w:rsidR="00275BAC" w:rsidRPr="00275BAC">
              <w:rPr>
                <w:rFonts w:eastAsia="MS Mincho"/>
              </w:rPr>
              <w:t>6</w:t>
            </w:r>
          </w:p>
          <w:p w14:paraId="7713E651" w14:textId="140B89FE" w:rsidR="00214531" w:rsidRPr="00275BAC" w:rsidRDefault="00214531" w:rsidP="00F8327E">
            <w:pPr>
              <w:pStyle w:val="Tablewriting"/>
              <w:keepNext/>
              <w:jc w:val="center"/>
              <w:rPr>
                <w:rFonts w:eastAsia="MS Mincho"/>
              </w:rPr>
            </w:pPr>
            <w:r w:rsidRPr="00275BAC">
              <w:rPr>
                <w:rFonts w:eastAsia="MS Mincho"/>
              </w:rPr>
              <w:t>(</w:t>
            </w:r>
            <w:r w:rsidR="00275BAC" w:rsidRPr="00275BAC">
              <w:rPr>
                <w:rFonts w:eastAsia="MS Mincho"/>
              </w:rPr>
              <w:t>0.9</w:t>
            </w:r>
            <w:r w:rsidRPr="00275BAC">
              <w:rPr>
                <w:rFonts w:eastAsia="MS Mincho"/>
              </w:rPr>
              <w:t>, 1.</w:t>
            </w:r>
            <w:r w:rsidR="00275BAC" w:rsidRPr="00275BAC">
              <w:rPr>
                <w:rFonts w:eastAsia="MS Mincho"/>
              </w:rPr>
              <w:t>4</w:t>
            </w:r>
            <w:r w:rsidRPr="00275BAC">
              <w:rPr>
                <w:rFonts w:eastAsia="MS Mincho"/>
              </w:rPr>
              <w:t>8)</w:t>
            </w:r>
          </w:p>
        </w:tc>
      </w:tr>
      <w:tr w:rsidR="00893F2B" w:rsidRPr="00061F78" w14:paraId="18A41BE1" w14:textId="77777777" w:rsidTr="008F4C0A">
        <w:trPr>
          <w:cantSplit/>
          <w:trHeight w:val="149"/>
        </w:trPr>
        <w:tc>
          <w:tcPr>
            <w:tcW w:w="5000" w:type="pct"/>
            <w:gridSpan w:val="6"/>
            <w:shd w:val="clear" w:color="auto" w:fill="auto"/>
            <w:tcMar>
              <w:left w:w="28" w:type="dxa"/>
              <w:right w:w="28" w:type="dxa"/>
            </w:tcMar>
          </w:tcPr>
          <w:p w14:paraId="7E7CE7A4" w14:textId="77777777" w:rsidR="0056504D" w:rsidRPr="005000A3" w:rsidRDefault="0056504D" w:rsidP="00F8327E">
            <w:pPr>
              <w:pStyle w:val="Tablewriting"/>
              <w:keepNext/>
              <w:rPr>
                <w:rFonts w:eastAsia="MS Mincho"/>
                <w:b/>
                <w:bCs/>
              </w:rPr>
            </w:pPr>
            <w:r w:rsidRPr="005000A3">
              <w:rPr>
                <w:rFonts w:eastAsia="MS Mincho"/>
                <w:b/>
                <w:bCs/>
              </w:rPr>
              <w:t>Discontinuation due to adverse events</w:t>
            </w:r>
          </w:p>
        </w:tc>
      </w:tr>
      <w:tr w:rsidR="00893F2B" w:rsidRPr="00061F78" w14:paraId="7E1B2846" w14:textId="77777777" w:rsidTr="008F4C0A">
        <w:trPr>
          <w:cantSplit/>
          <w:trHeight w:val="149"/>
        </w:trPr>
        <w:tc>
          <w:tcPr>
            <w:tcW w:w="552" w:type="pct"/>
            <w:tcMar>
              <w:left w:w="28" w:type="dxa"/>
              <w:right w:w="28" w:type="dxa"/>
            </w:tcMar>
          </w:tcPr>
          <w:p w14:paraId="6E5AF7DC" w14:textId="77777777" w:rsidR="00893F2B" w:rsidRDefault="00893F2B" w:rsidP="00F8327E">
            <w:pPr>
              <w:pStyle w:val="Tablewriting"/>
              <w:keepNext/>
              <w:rPr>
                <w:rFonts w:eastAsia="MS Mincho"/>
              </w:rPr>
            </w:pPr>
            <w:r>
              <w:rPr>
                <w:rFonts w:eastAsia="MS Mincho"/>
              </w:rPr>
              <w:t>Howes</w:t>
            </w:r>
            <w:r w:rsidRPr="00061F78">
              <w:rPr>
                <w:rFonts w:eastAsia="MS Mincho"/>
              </w:rPr>
              <w:t xml:space="preserve"> </w:t>
            </w:r>
          </w:p>
          <w:p w14:paraId="2A21DF5A" w14:textId="5431C907" w:rsidR="00893F2B" w:rsidRDefault="00893F2B" w:rsidP="00F8327E">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14:paraId="708256C2" w14:textId="072B225E" w:rsidR="00893F2B" w:rsidRDefault="00893F2B" w:rsidP="00F8327E">
            <w:pPr>
              <w:pStyle w:val="Tablewriting"/>
              <w:keepNext/>
              <w:jc w:val="center"/>
              <w:rPr>
                <w:rFonts w:eastAsia="MS Mincho"/>
              </w:rPr>
            </w:pPr>
            <w:r>
              <w:rPr>
                <w:rFonts w:eastAsia="MS Mincho"/>
              </w:rPr>
              <w:t>Cochrane Review (2</w:t>
            </w:r>
            <w:r w:rsidR="00F8327E">
              <w:rPr>
                <w:rFonts w:eastAsia="MS Mincho"/>
              </w:rPr>
              <w:t>5</w:t>
            </w:r>
            <w:r>
              <w:rPr>
                <w:rFonts w:eastAsia="MS Mincho"/>
              </w:rPr>
              <w:t xml:space="preserve"> </w:t>
            </w:r>
            <w:r w:rsidR="00607D39">
              <w:rPr>
                <w:rFonts w:eastAsia="MS Mincho"/>
              </w:rPr>
              <w:t>RCTs</w:t>
            </w:r>
            <w:r>
              <w:rPr>
                <w:rFonts w:eastAsia="MS Mincho"/>
              </w:rPr>
              <w:t>)</w:t>
            </w:r>
          </w:p>
        </w:tc>
        <w:tc>
          <w:tcPr>
            <w:tcW w:w="1093" w:type="pct"/>
            <w:tcMar>
              <w:left w:w="28" w:type="dxa"/>
              <w:right w:w="28" w:type="dxa"/>
            </w:tcMar>
            <w:vAlign w:val="center"/>
          </w:tcPr>
          <w:p w14:paraId="5347533A" w14:textId="5E6B4495" w:rsidR="00893F2B" w:rsidRDefault="00341FBD" w:rsidP="00F8327E">
            <w:pPr>
              <w:pStyle w:val="Tablewriting"/>
              <w:keepNext/>
              <w:jc w:val="center"/>
              <w:rPr>
                <w:rFonts w:eastAsia="MS Mincho"/>
              </w:rPr>
            </w:pPr>
            <w:r w:rsidRPr="00341FBD">
              <w:rPr>
                <w:rFonts w:eastAsia="MS Mincho"/>
                <w:color w:val="000000"/>
                <w:w w:val="77"/>
                <w:highlight w:val="black"/>
                <w:shd w:val="solid" w:color="000000" w:fill="000000"/>
                <w:fitText w:val="856" w:id="-1402783744"/>
                <w14:textFill>
                  <w14:solidFill>
                    <w14:srgbClr w14:val="000000">
                      <w14:alpha w14:val="100000"/>
                    </w14:srgbClr>
                  </w14:solidFill>
                </w14:textFill>
              </w:rPr>
              <w:t>||||||||||||</w:t>
            </w:r>
            <w:r w:rsidRPr="00341FBD">
              <w:rPr>
                <w:rFonts w:eastAsia="MS Mincho"/>
                <w:highlight w:val="black"/>
                <w:shd w:val="clear" w:color="auto" w:fill="C0C0C1"/>
              </w:rPr>
              <w:t xml:space="preserve"> </w:t>
            </w:r>
            <w:r w:rsidRPr="00341FBD">
              <w:rPr>
                <w:rFonts w:eastAsia="MS Mincho"/>
                <w:color w:val="000000"/>
                <w:spacing w:val="4"/>
                <w:highlight w:val="black"/>
                <w:shd w:val="solid" w:color="000000" w:fill="000000"/>
                <w:fitText w:val="382" w:id="-1402783743"/>
                <w14:textFill>
                  <w14:solidFill>
                    <w14:srgbClr w14:val="000000">
                      <w14:alpha w14:val="100000"/>
                    </w14:srgbClr>
                  </w14:solidFill>
                </w14:textFill>
              </w:rPr>
              <w:t>|</w:t>
            </w:r>
            <w:r w:rsidRPr="00341FBD">
              <w:rPr>
                <w:rFonts w:eastAsia="MS Mincho"/>
                <w:color w:val="000000"/>
                <w:highlight w:val="black"/>
                <w:shd w:val="solid" w:color="000000" w:fill="000000"/>
                <w:fitText w:val="382" w:id="-1402783743"/>
                <w14:textFill>
                  <w14:solidFill>
                    <w14:srgbClr w14:val="000000">
                      <w14:alpha w14:val="100000"/>
                    </w14:srgbClr>
                  </w14:solidFill>
                </w14:textFill>
              </w:rPr>
              <w:t>|||</w:t>
            </w:r>
            <w:r w:rsidRPr="00341FBD">
              <w:rPr>
                <w:rFonts w:eastAsia="MS Mincho"/>
                <w:highlight w:val="black"/>
                <w:shd w:val="clear" w:color="auto" w:fill="C0C0C1"/>
              </w:rPr>
              <w:t xml:space="preserve"> </w:t>
            </w:r>
            <w:r w:rsidRPr="00341FBD">
              <w:rPr>
                <w:rFonts w:eastAsia="MS Mincho"/>
                <w:color w:val="000000"/>
                <w:w w:val="77"/>
                <w:highlight w:val="black"/>
                <w:shd w:val="solid" w:color="000000" w:fill="000000"/>
                <w:fitText w:val="428" w:id="-1402783742"/>
                <w14:textFill>
                  <w14:solidFill>
                    <w14:srgbClr w14:val="000000">
                      <w14:alpha w14:val="100000"/>
                    </w14:srgbClr>
                  </w14:solidFill>
                </w14:textFill>
              </w:rPr>
              <w:t>||||||</w:t>
            </w:r>
          </w:p>
        </w:tc>
        <w:tc>
          <w:tcPr>
            <w:tcW w:w="807" w:type="pct"/>
            <w:tcMar>
              <w:left w:w="28" w:type="dxa"/>
              <w:right w:w="28" w:type="dxa"/>
            </w:tcMar>
            <w:vAlign w:val="center"/>
          </w:tcPr>
          <w:p w14:paraId="7C0CAB5B" w14:textId="1B77830A" w:rsidR="00607D39" w:rsidRDefault="00607D39" w:rsidP="00607D39">
            <w:pPr>
              <w:pStyle w:val="Tablewriting"/>
              <w:keepNext/>
              <w:jc w:val="center"/>
              <w:rPr>
                <w:rFonts w:eastAsia="MS Mincho"/>
              </w:rPr>
            </w:pPr>
            <w:r>
              <w:rPr>
                <w:rFonts w:eastAsia="MS Mincho"/>
              </w:rPr>
              <w:t>606</w:t>
            </w:r>
            <w:r w:rsidRPr="00061F78">
              <w:rPr>
                <w:rFonts w:eastAsia="MS Mincho"/>
              </w:rPr>
              <w:t>/</w:t>
            </w:r>
            <w:r>
              <w:rPr>
                <w:rFonts w:eastAsia="MS Mincho"/>
              </w:rPr>
              <w:t>6,888</w:t>
            </w:r>
            <w:r w:rsidRPr="00061F78">
              <w:rPr>
                <w:rFonts w:eastAsia="MS Mincho"/>
              </w:rPr>
              <w:t xml:space="preserve"> </w:t>
            </w:r>
          </w:p>
          <w:p w14:paraId="7250B08F" w14:textId="0D16BD2B" w:rsidR="00893F2B" w:rsidRDefault="00607D39" w:rsidP="00F8327E">
            <w:pPr>
              <w:pStyle w:val="Tablewriting"/>
              <w:keepNext/>
              <w:jc w:val="center"/>
              <w:rPr>
                <w:rFonts w:eastAsia="MS Mincho"/>
              </w:rPr>
            </w:pPr>
            <w:r w:rsidRPr="00061F78">
              <w:rPr>
                <w:rFonts w:eastAsia="MS Mincho"/>
              </w:rPr>
              <w:t>(</w:t>
            </w:r>
            <w:r>
              <w:rPr>
                <w:rFonts w:eastAsia="MS Mincho"/>
              </w:rPr>
              <w:t>8.8</w:t>
            </w:r>
            <w:r w:rsidRPr="00061F78">
              <w:rPr>
                <w:rFonts w:eastAsia="MS Mincho"/>
              </w:rPr>
              <w:t>%)</w:t>
            </w:r>
          </w:p>
        </w:tc>
        <w:tc>
          <w:tcPr>
            <w:tcW w:w="751" w:type="pct"/>
            <w:tcMar>
              <w:left w:w="28" w:type="dxa"/>
              <w:right w:w="28" w:type="dxa"/>
            </w:tcMar>
            <w:vAlign w:val="center"/>
          </w:tcPr>
          <w:p w14:paraId="3C63DEE2" w14:textId="52EAD067" w:rsidR="00607D39" w:rsidRDefault="00607D39" w:rsidP="00607D39">
            <w:pPr>
              <w:pStyle w:val="Tablewriting"/>
              <w:keepNext/>
              <w:jc w:val="center"/>
              <w:rPr>
                <w:rFonts w:eastAsia="MS Mincho"/>
              </w:rPr>
            </w:pPr>
            <w:r>
              <w:rPr>
                <w:rFonts w:eastAsia="MS Mincho"/>
              </w:rPr>
              <w:t>359</w:t>
            </w:r>
            <w:r w:rsidRPr="00061F78">
              <w:rPr>
                <w:rFonts w:eastAsia="MS Mincho"/>
              </w:rPr>
              <w:t>/</w:t>
            </w:r>
            <w:r>
              <w:rPr>
                <w:rFonts w:eastAsia="MS Mincho"/>
              </w:rPr>
              <w:t>5,452</w:t>
            </w:r>
            <w:r w:rsidRPr="00061F78">
              <w:rPr>
                <w:rFonts w:eastAsia="MS Mincho"/>
              </w:rPr>
              <w:t xml:space="preserve"> </w:t>
            </w:r>
          </w:p>
          <w:p w14:paraId="1C924BA6" w14:textId="5E6A49C9" w:rsidR="00893F2B" w:rsidRPr="00061F78" w:rsidRDefault="00607D39" w:rsidP="00F8327E">
            <w:pPr>
              <w:pStyle w:val="Tablewriting"/>
              <w:keepNext/>
              <w:jc w:val="center"/>
              <w:rPr>
                <w:rFonts w:eastAsia="MS Mincho"/>
              </w:rPr>
            </w:pPr>
            <w:r w:rsidRPr="00061F78">
              <w:rPr>
                <w:rFonts w:eastAsia="MS Mincho"/>
              </w:rPr>
              <w:t>(</w:t>
            </w:r>
            <w:r>
              <w:rPr>
                <w:rFonts w:eastAsia="MS Mincho"/>
              </w:rPr>
              <w:t>6.6</w:t>
            </w:r>
            <w:r w:rsidRPr="00061F78">
              <w:rPr>
                <w:rFonts w:eastAsia="MS Mincho"/>
              </w:rPr>
              <w:t>%)</w:t>
            </w:r>
          </w:p>
        </w:tc>
        <w:tc>
          <w:tcPr>
            <w:tcW w:w="851" w:type="pct"/>
            <w:tcMar>
              <w:left w:w="28" w:type="dxa"/>
              <w:right w:w="28" w:type="dxa"/>
            </w:tcMar>
            <w:vAlign w:val="center"/>
          </w:tcPr>
          <w:p w14:paraId="7C8CA11D" w14:textId="2F809196" w:rsidR="00893F2B" w:rsidRPr="00893F2B" w:rsidRDefault="00893F2B" w:rsidP="00F8327E">
            <w:pPr>
              <w:pStyle w:val="Tablewriting"/>
              <w:keepNext/>
              <w:jc w:val="center"/>
              <w:rPr>
                <w:rFonts w:eastAsia="MS Mincho"/>
                <w:b/>
                <w:bCs/>
              </w:rPr>
            </w:pPr>
            <w:r w:rsidRPr="00893F2B">
              <w:rPr>
                <w:rFonts w:eastAsia="MS Mincho"/>
                <w:b/>
                <w:bCs/>
              </w:rPr>
              <w:t>1.</w:t>
            </w:r>
            <w:r>
              <w:rPr>
                <w:rFonts w:eastAsia="MS Mincho"/>
                <w:b/>
                <w:bCs/>
              </w:rPr>
              <w:t>37</w:t>
            </w:r>
          </w:p>
          <w:p w14:paraId="336CCFC9" w14:textId="7FCBBF47" w:rsidR="00893F2B" w:rsidRPr="00D468CF" w:rsidRDefault="00893F2B" w:rsidP="00F8327E">
            <w:pPr>
              <w:pStyle w:val="Tablewriting"/>
              <w:keepNext/>
              <w:jc w:val="center"/>
              <w:rPr>
                <w:rFonts w:eastAsia="MS Mincho"/>
                <w:b/>
                <w:bCs/>
              </w:rPr>
            </w:pPr>
            <w:r w:rsidRPr="00893F2B">
              <w:rPr>
                <w:rFonts w:eastAsia="MS Mincho"/>
                <w:b/>
                <w:bCs/>
              </w:rPr>
              <w:t>(1.</w:t>
            </w:r>
            <w:r>
              <w:rPr>
                <w:rFonts w:eastAsia="MS Mincho"/>
                <w:b/>
                <w:bCs/>
              </w:rPr>
              <w:t>21</w:t>
            </w:r>
            <w:r w:rsidRPr="00893F2B">
              <w:rPr>
                <w:rFonts w:eastAsia="MS Mincho"/>
                <w:b/>
                <w:bCs/>
              </w:rPr>
              <w:t>, 1.</w:t>
            </w:r>
            <w:r>
              <w:rPr>
                <w:rFonts w:eastAsia="MS Mincho"/>
                <w:b/>
                <w:bCs/>
              </w:rPr>
              <w:t>56</w:t>
            </w:r>
            <w:r w:rsidRPr="00893F2B">
              <w:rPr>
                <w:rFonts w:eastAsia="MS Mincho"/>
                <w:b/>
                <w:bCs/>
              </w:rPr>
              <w:t>)</w:t>
            </w:r>
          </w:p>
        </w:tc>
      </w:tr>
    </w:tbl>
    <w:p w14:paraId="311C1EA9" w14:textId="66B4DF51" w:rsidR="00F8327E" w:rsidRDefault="00F8327E" w:rsidP="008F4C0A">
      <w:pPr>
        <w:pStyle w:val="TableFooter"/>
        <w:keepNext/>
        <w:jc w:val="both"/>
      </w:pPr>
      <w:r>
        <w:t>Source: Howes et al. (2020)</w:t>
      </w:r>
    </w:p>
    <w:p w14:paraId="1ED0FD82" w14:textId="186BF69B" w:rsidR="00F8327E" w:rsidRDefault="00F8327E" w:rsidP="008F4C0A">
      <w:pPr>
        <w:pStyle w:val="TableFooter"/>
        <w:keepNext/>
        <w:jc w:val="both"/>
      </w:pPr>
      <w:r>
        <w:t xml:space="preserve">Abbreviations: CI = confidence interval; </w:t>
      </w:r>
      <w:r w:rsidR="000F6865">
        <w:t xml:space="preserve">NR = not reported; </w:t>
      </w:r>
      <w:r>
        <w:t>RCT = randomised controlled trial; RR = risk ratio</w:t>
      </w:r>
    </w:p>
    <w:p w14:paraId="529A2779" w14:textId="7FA7EC3A" w:rsidR="00F8327E" w:rsidRDefault="00F8327E" w:rsidP="008F4C0A">
      <w:pPr>
        <w:pStyle w:val="TableFooter"/>
        <w:keepNext/>
        <w:jc w:val="both"/>
      </w:pPr>
      <w:r w:rsidRPr="00FD4061">
        <w:t>Note</w:t>
      </w:r>
      <w:r>
        <w:t>s</w:t>
      </w:r>
      <w:r w:rsidRPr="00FD4061">
        <w:t>: Bold indicates statistically significant difference.</w:t>
      </w:r>
      <w:r w:rsidR="009E3102">
        <w:t xml:space="preserve"> See </w:t>
      </w:r>
      <w:r w:rsidR="009E3102" w:rsidRPr="00BC7B23">
        <w:t>Appendix</w:t>
      </w:r>
      <w:r w:rsidR="009E3102">
        <w:t xml:space="preserve"> </w:t>
      </w:r>
      <w:r w:rsidR="009E3102">
        <w:fldChar w:fldCharType="begin" w:fldLock="1"/>
      </w:r>
      <w:r w:rsidR="009E3102">
        <w:instrText xml:space="preserve"> REF _Ref54085885 \h </w:instrText>
      </w:r>
      <w:r w:rsidR="008F4C0A">
        <w:instrText xml:space="preserve"> \* MERGEFORMAT </w:instrText>
      </w:r>
      <w:r w:rsidR="009E3102">
        <w:fldChar w:fldCharType="separate"/>
      </w:r>
      <w:r w:rsidR="00EC5CC7">
        <w:t xml:space="preserve">Figure </w:t>
      </w:r>
      <w:r w:rsidR="00EC5CC7">
        <w:rPr>
          <w:noProof/>
        </w:rPr>
        <w:t>49</w:t>
      </w:r>
      <w:r w:rsidR="009E3102">
        <w:fldChar w:fldCharType="end"/>
      </w:r>
      <w:r w:rsidR="009E3102">
        <w:t xml:space="preserve"> to </w:t>
      </w:r>
      <w:r w:rsidR="009E3102">
        <w:fldChar w:fldCharType="begin" w:fldLock="1"/>
      </w:r>
      <w:r w:rsidR="009E3102">
        <w:instrText xml:space="preserve"> REF _Ref54085887 \h </w:instrText>
      </w:r>
      <w:r w:rsidR="008F4C0A">
        <w:instrText xml:space="preserve"> \* MERGEFORMAT </w:instrText>
      </w:r>
      <w:r w:rsidR="009E3102">
        <w:fldChar w:fldCharType="separate"/>
      </w:r>
      <w:r w:rsidR="00EC5CC7">
        <w:t xml:space="preserve">Figure </w:t>
      </w:r>
      <w:r w:rsidR="00EC5CC7">
        <w:rPr>
          <w:noProof/>
        </w:rPr>
        <w:t>52</w:t>
      </w:r>
      <w:r w:rsidR="009E3102">
        <w:fldChar w:fldCharType="end"/>
      </w:r>
      <w:r w:rsidR="009E3102">
        <w:t xml:space="preserve"> fo</w:t>
      </w:r>
      <w:r w:rsidR="00572C80">
        <w:t xml:space="preserve">r forest plots of </w:t>
      </w:r>
      <w:r w:rsidR="00F8539F">
        <w:t>the respective</w:t>
      </w:r>
      <w:r w:rsidR="00572C80">
        <w:t xml:space="preserve"> outcomes</w:t>
      </w:r>
      <w:r w:rsidR="00122F98">
        <w:t xml:space="preserve"> which included the results of individual studies</w:t>
      </w:r>
      <w:r w:rsidR="00572C80">
        <w:t>.</w:t>
      </w:r>
    </w:p>
    <w:p w14:paraId="0DA9F3F1" w14:textId="4FE9281F" w:rsidR="000672F2" w:rsidRDefault="00F8327E" w:rsidP="008F4C0A">
      <w:pPr>
        <w:pStyle w:val="TableFooter"/>
        <w:keepNext/>
        <w:jc w:val="both"/>
      </w:pPr>
      <w:r>
        <w:t xml:space="preserve">1 </w:t>
      </w:r>
      <w:r w:rsidR="000672F2">
        <w:t xml:space="preserve">Where previously considered studies were not included, this </w:t>
      </w:r>
      <w:r w:rsidR="00B53421">
        <w:t>wa</w:t>
      </w:r>
      <w:r w:rsidR="000672F2">
        <w:t>s due to the outcome not being reported</w:t>
      </w:r>
      <w:r w:rsidR="00A93814">
        <w:t>.</w:t>
      </w:r>
    </w:p>
    <w:p w14:paraId="7EE93AD6" w14:textId="72C0221A" w:rsidR="00F8327E" w:rsidRDefault="000672F2" w:rsidP="008F4C0A">
      <w:pPr>
        <w:pStyle w:val="TableFooter"/>
        <w:keepNext/>
        <w:spacing w:after="120"/>
        <w:contextualSpacing w:val="0"/>
        <w:jc w:val="both"/>
      </w:pPr>
      <w:r w:rsidRPr="00B8732C">
        <w:t>2</w:t>
      </w:r>
      <w:r w:rsidR="00F8327E" w:rsidRPr="00B8732C">
        <w:t xml:space="preserve"> Calculated </w:t>
      </w:r>
      <w:r w:rsidR="002C5D1C" w:rsidRPr="00B8732C">
        <w:t xml:space="preserve">by Cochrane Review authors </w:t>
      </w:r>
      <w:r w:rsidR="00F8327E" w:rsidRPr="00B8732C">
        <w:t>using a fixed-effect model</w:t>
      </w:r>
      <w:r w:rsidR="00A93814">
        <w:t>.</w:t>
      </w:r>
    </w:p>
    <w:p w14:paraId="169A1B61" w14:textId="061F09FC" w:rsidR="004D3792" w:rsidRDefault="00DE1D5F" w:rsidP="008F4C0A">
      <w:pPr>
        <w:spacing w:after="120"/>
        <w:jc w:val="both"/>
      </w:pPr>
      <w:r>
        <w:t>In a recently conducted study</w:t>
      </w:r>
      <w:r w:rsidR="00E936CB">
        <w:t xml:space="preserve"> (EAGLES extension)</w:t>
      </w:r>
      <w:r>
        <w:t xml:space="preserve"> </w:t>
      </w:r>
      <w:r w:rsidR="008E46BB" w:rsidRPr="008E46BB">
        <w:t>compar</w:t>
      </w:r>
      <w:r>
        <w:t>ing</w:t>
      </w:r>
      <w:r w:rsidR="008E46BB" w:rsidRPr="008E46BB">
        <w:t xml:space="preserve"> the relative cardiovascular safety risk of smoking cessation treatments</w:t>
      </w:r>
      <w:r w:rsidR="00E936CB">
        <w:t xml:space="preserve"> </w:t>
      </w:r>
      <w:r w:rsidR="00515AAD">
        <w:t>using a placebo comparator</w:t>
      </w:r>
      <w:r w:rsidR="00E936CB">
        <w:t xml:space="preserve">, </w:t>
      </w:r>
      <w:r w:rsidR="004B7F16">
        <w:t>n</w:t>
      </w:r>
      <w:r w:rsidR="004B7F16" w:rsidRPr="004B7F16">
        <w:t>o significant treatment differences were observed in time to cardiovascular events, blood pressure, or heart rate</w:t>
      </w:r>
      <w:r w:rsidR="00C2370E">
        <w:t xml:space="preserve"> between bupropion and placebo (Benowitz et al. 2018)</w:t>
      </w:r>
      <w:r w:rsidR="004B7F16" w:rsidRPr="004B7F16">
        <w:t>.</w:t>
      </w:r>
    </w:p>
    <w:p w14:paraId="7F6C2BC2" w14:textId="77777777" w:rsidR="008F4C0A" w:rsidRDefault="008F4C0A">
      <w:pPr>
        <w:spacing w:line="276" w:lineRule="auto"/>
        <w:rPr>
          <w:b/>
          <w:bCs/>
        </w:rPr>
      </w:pPr>
      <w:r>
        <w:rPr>
          <w:b/>
          <w:bCs/>
        </w:rPr>
        <w:br w:type="page"/>
      </w:r>
    </w:p>
    <w:p w14:paraId="1B25B459" w14:textId="7DD21492" w:rsidR="00214531" w:rsidRDefault="00593CA5" w:rsidP="008F4C0A">
      <w:pPr>
        <w:spacing w:after="120"/>
        <w:jc w:val="both"/>
        <w:rPr>
          <w:b/>
          <w:bCs/>
        </w:rPr>
      </w:pPr>
      <w:r>
        <w:rPr>
          <w:b/>
          <w:bCs/>
        </w:rPr>
        <w:lastRenderedPageBreak/>
        <w:t>Bupropion versus NRT</w:t>
      </w:r>
    </w:p>
    <w:p w14:paraId="48F92AAC" w14:textId="604D8066" w:rsidR="00593CA5" w:rsidRDefault="00593CA5" w:rsidP="008F4C0A">
      <w:pPr>
        <w:spacing w:after="120"/>
        <w:jc w:val="both"/>
      </w:pPr>
      <w:r>
        <w:t xml:space="preserve">A summary of the citation details for the studies comparing bupropion with NRT is presented in </w:t>
      </w:r>
      <w:r>
        <w:fldChar w:fldCharType="begin" w:fldLock="1"/>
      </w:r>
      <w:r>
        <w:instrText xml:space="preserve"> REF _Ref53141661 \h </w:instrText>
      </w:r>
      <w:r w:rsidR="008F4C0A">
        <w:instrText xml:space="preserve"> \* MERGEFORMAT </w:instrText>
      </w:r>
      <w:r>
        <w:fldChar w:fldCharType="separate"/>
      </w:r>
      <w:r w:rsidR="00EC5CC7">
        <w:t xml:space="preserve">Table </w:t>
      </w:r>
      <w:r w:rsidR="00EC5CC7">
        <w:rPr>
          <w:noProof/>
        </w:rPr>
        <w:t>9</w:t>
      </w:r>
      <w:r>
        <w:fldChar w:fldCharType="end"/>
      </w:r>
      <w:r>
        <w:t xml:space="preserve">. </w:t>
      </w:r>
      <w:r w:rsidR="00951F35">
        <w:t>Four</w:t>
      </w:r>
      <w:r w:rsidRPr="00626312">
        <w:t xml:space="preserve"> stud</w:t>
      </w:r>
      <w:r w:rsidR="00E92CB3">
        <w:t>ies</w:t>
      </w:r>
      <w:r w:rsidRPr="00626312">
        <w:t xml:space="preserve"> w</w:t>
      </w:r>
      <w:r w:rsidR="00E92CB3">
        <w:t>ere</w:t>
      </w:r>
      <w:r w:rsidRPr="00626312">
        <w:t xml:space="preserve"> previously considered by the PBAC</w:t>
      </w:r>
      <w:r w:rsidR="00F30861">
        <w:t xml:space="preserve"> for this comparison</w:t>
      </w:r>
      <w:r>
        <w:t xml:space="preserve"> (</w:t>
      </w:r>
      <w:r w:rsidR="00DA57C7" w:rsidRPr="00DA57C7">
        <w:t>Jorenby et al. 1999, Gorecka et al. 2003, Uyar et al. 2007</w:t>
      </w:r>
      <w:r w:rsidR="00DA57C7">
        <w:t xml:space="preserve"> and</w:t>
      </w:r>
      <w:r w:rsidR="00DA57C7" w:rsidRPr="00DA57C7">
        <w:t xml:space="preserve"> Piper et al. 2009</w:t>
      </w:r>
      <w:r>
        <w:t>)</w:t>
      </w:r>
      <w:r w:rsidRPr="00626312">
        <w:t xml:space="preserve">. A recently conducted Cochrane </w:t>
      </w:r>
      <w:r w:rsidR="004769D7">
        <w:t>R</w:t>
      </w:r>
      <w:r w:rsidRPr="00626312">
        <w:t xml:space="preserve">eview by Howes et al. (2020) was identified in the systematic literature review </w:t>
      </w:r>
      <w:r w:rsidR="00342F79" w:rsidRPr="00342F79">
        <w:t xml:space="preserve">that compared bupropion with </w:t>
      </w:r>
      <w:r w:rsidR="00342F79">
        <w:t>NRT</w:t>
      </w:r>
      <w:r w:rsidR="00342F79" w:rsidRPr="00342F79">
        <w:t xml:space="preserve"> </w:t>
      </w:r>
      <w:r w:rsidRPr="00626312">
        <w:t>and was included in this re</w:t>
      </w:r>
      <w:r>
        <w:t>port</w:t>
      </w:r>
      <w:r w:rsidRPr="00626312">
        <w:t>.</w:t>
      </w:r>
      <w:r w:rsidR="00753E0A">
        <w:t xml:space="preserve"> </w:t>
      </w:r>
      <w:r w:rsidR="00CF15FC" w:rsidRPr="00CF15FC">
        <w:t>One new study was identified in the supplemental literature search t</w:t>
      </w:r>
      <w:r w:rsidR="00BC1477">
        <w:t>hat</w:t>
      </w:r>
      <w:r w:rsidR="00CF15FC" w:rsidRPr="00CF15FC">
        <w:t xml:space="preserve"> inform</w:t>
      </w:r>
      <w:r w:rsidR="00BC1477">
        <w:t>ed</w:t>
      </w:r>
      <w:r w:rsidR="00CF15FC" w:rsidRPr="00CF15FC">
        <w:t xml:space="preserve"> this comparison and was included in this re</w:t>
      </w:r>
      <w:r w:rsidR="00632962">
        <w:t>port</w:t>
      </w:r>
      <w:r w:rsidR="00CF15FC" w:rsidRPr="00CF15FC">
        <w:t xml:space="preserve"> (Benowitz et al. 2018)</w:t>
      </w:r>
      <w:r w:rsidR="004C4EA7" w:rsidRPr="00CF15FC">
        <w:t xml:space="preserve">. </w:t>
      </w:r>
    </w:p>
    <w:p w14:paraId="19E6D48A" w14:textId="4CD1D8FF" w:rsidR="00593CA5" w:rsidRDefault="00593CA5" w:rsidP="008F4C0A">
      <w:pPr>
        <w:pStyle w:val="Caption"/>
        <w:keepNext/>
        <w:spacing w:before="120" w:after="120"/>
        <w:jc w:val="both"/>
      </w:pPr>
      <w:bookmarkStart w:id="42" w:name="_Ref53141661"/>
      <w:r>
        <w:t xml:space="preserve">Table </w:t>
      </w:r>
      <w:r>
        <w:fldChar w:fldCharType="begin"/>
      </w:r>
      <w:r>
        <w:instrText>SEQ Table \* ARABIC</w:instrText>
      </w:r>
      <w:r>
        <w:fldChar w:fldCharType="separate"/>
      </w:r>
      <w:r w:rsidR="00EC5CC7">
        <w:rPr>
          <w:noProof/>
        </w:rPr>
        <w:t>9</w:t>
      </w:r>
      <w:r>
        <w:fldChar w:fldCharType="end"/>
      </w:r>
      <w:bookmarkEnd w:id="42"/>
      <w:r>
        <w:t>: List of studies comparing bupropion with NRT</w:t>
      </w:r>
    </w:p>
    <w:tbl>
      <w:tblPr>
        <w:tblStyle w:val="TableGrid"/>
        <w:tblW w:w="5000" w:type="pct"/>
        <w:tblLook w:val="04A0" w:firstRow="1" w:lastRow="0" w:firstColumn="1" w:lastColumn="0" w:noHBand="0" w:noVBand="1"/>
        <w:tblCaption w:val="Efficacy results of adalimumab trials (PASI 75 and DLQI)"/>
      </w:tblPr>
      <w:tblGrid>
        <w:gridCol w:w="1129"/>
        <w:gridCol w:w="7887"/>
      </w:tblGrid>
      <w:tr w:rsidR="00F95224" w:rsidRPr="00061F78" w14:paraId="480FD9E9" w14:textId="77777777" w:rsidTr="004A3185">
        <w:trPr>
          <w:cantSplit/>
          <w:trHeight w:val="329"/>
          <w:tblHeader/>
        </w:trPr>
        <w:tc>
          <w:tcPr>
            <w:tcW w:w="626" w:type="pct"/>
            <w:shd w:val="clear" w:color="auto" w:fill="BFBFBF" w:themeFill="background1" w:themeFillShade="BF"/>
            <w:tcMar>
              <w:left w:w="28" w:type="dxa"/>
              <w:right w:w="28" w:type="dxa"/>
            </w:tcMar>
          </w:tcPr>
          <w:p w14:paraId="4774739F" w14:textId="419C9B62" w:rsidR="00593CA5" w:rsidRPr="00061F78" w:rsidRDefault="00126B7B" w:rsidP="00593CA5">
            <w:pPr>
              <w:pStyle w:val="Tableheading"/>
              <w:keepNext/>
              <w:rPr>
                <w:rFonts w:eastAsia="MS Mincho"/>
              </w:rPr>
            </w:pPr>
            <w:r>
              <w:rPr>
                <w:rFonts w:eastAsia="MS Mincho"/>
              </w:rPr>
              <w:t>Study</w:t>
            </w:r>
          </w:p>
        </w:tc>
        <w:tc>
          <w:tcPr>
            <w:tcW w:w="4374" w:type="pct"/>
            <w:shd w:val="clear" w:color="auto" w:fill="BFBFBF" w:themeFill="background1" w:themeFillShade="BF"/>
          </w:tcPr>
          <w:p w14:paraId="59846B29" w14:textId="77777777" w:rsidR="00593CA5" w:rsidRDefault="00593CA5" w:rsidP="00593CA5">
            <w:pPr>
              <w:pStyle w:val="Tableheading"/>
              <w:keepNext/>
              <w:jc w:val="center"/>
              <w:rPr>
                <w:rFonts w:eastAsia="MS Mincho"/>
              </w:rPr>
            </w:pPr>
            <w:r>
              <w:rPr>
                <w:rFonts w:eastAsia="MS Mincho"/>
              </w:rPr>
              <w:t>Citation</w:t>
            </w:r>
          </w:p>
        </w:tc>
      </w:tr>
      <w:tr w:rsidR="00F95224" w:rsidRPr="00061F78" w14:paraId="171227BB" w14:textId="77777777" w:rsidTr="004A3185">
        <w:trPr>
          <w:cantSplit/>
          <w:trHeight w:val="109"/>
        </w:trPr>
        <w:tc>
          <w:tcPr>
            <w:tcW w:w="626" w:type="pct"/>
            <w:shd w:val="clear" w:color="auto" w:fill="D9D9D9" w:themeFill="background1" w:themeFillShade="D9"/>
            <w:tcMar>
              <w:left w:w="28" w:type="dxa"/>
              <w:right w:w="28" w:type="dxa"/>
            </w:tcMar>
          </w:tcPr>
          <w:p w14:paraId="3AF4115D" w14:textId="43550206" w:rsidR="00593CA5" w:rsidRPr="00061F78" w:rsidRDefault="00593CA5" w:rsidP="00593CA5">
            <w:pPr>
              <w:pStyle w:val="Tablewriting"/>
              <w:keepNext/>
              <w:rPr>
                <w:rFonts w:eastAsia="MS Mincho"/>
              </w:rPr>
            </w:pPr>
            <w:r>
              <w:rPr>
                <w:rFonts w:eastAsia="MS Mincho"/>
              </w:rPr>
              <w:t>Jorenby (1999)</w:t>
            </w:r>
            <w:hyperlink w:anchor="_ENREF_2" w:tooltip="Jorenby, 1999 #545" w:history="1">
              <w:r w:rsidR="0039468B">
                <w:rPr>
                  <w:rFonts w:eastAsia="MS Mincho"/>
                </w:rPr>
                <w:fldChar w:fldCharType="begin">
                  <w:fldData xml:space="preserve">PEVuZE5vdGU+PENpdGU+PEF1dGhvcj5Kb3JlbmJ5PC9BdXRob3I+PFllYXI+MTk5OTwvWWVhcj48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==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PEVuZE5vdGU+PENpdGU+PEF1dGhvcj5Kb3JlbmJ5PC9BdXRob3I+PFllYXI+MTk5OTwvWWVhcj48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==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2</w:t>
              </w:r>
              <w:r w:rsidR="0039468B">
                <w:rPr>
                  <w:rFonts w:eastAsia="MS Mincho"/>
                </w:rPr>
                <w:fldChar w:fldCharType="end"/>
              </w:r>
            </w:hyperlink>
          </w:p>
        </w:tc>
        <w:tc>
          <w:tcPr>
            <w:tcW w:w="4374" w:type="pct"/>
            <w:shd w:val="clear" w:color="auto" w:fill="D9D9D9" w:themeFill="background1" w:themeFillShade="D9"/>
          </w:tcPr>
          <w:p w14:paraId="404AF7D3" w14:textId="77777777" w:rsidR="00593CA5" w:rsidRDefault="00593CA5" w:rsidP="00593CA5">
            <w:pPr>
              <w:pStyle w:val="Tablewriting"/>
              <w:keepNext/>
              <w:rPr>
                <w:rFonts w:eastAsia="MS Mincho"/>
              </w:rPr>
            </w:pPr>
            <w:r w:rsidRPr="002764E0">
              <w:rPr>
                <w:rFonts w:eastAsia="MS Mincho"/>
              </w:rPr>
              <w:t>Jorenby DE, Leischow SJ, Nides MA, Rennard SI, Johnston JA, Hughes AR, Smith SS, Muramoto ML, Daughton DM, Doan K, Fiore MC, Baker TB. A controlled trial of sustained-release bupropion, a nicotine patch, or both for smoking cessation. N Engl J Med. 1999 Mar 4;340(9):685-91.</w:t>
            </w:r>
          </w:p>
        </w:tc>
      </w:tr>
      <w:tr w:rsidR="00F95224" w:rsidRPr="00061F78" w14:paraId="05F6CD77" w14:textId="77777777" w:rsidTr="004A3185">
        <w:trPr>
          <w:cantSplit/>
          <w:trHeight w:val="164"/>
        </w:trPr>
        <w:tc>
          <w:tcPr>
            <w:tcW w:w="626" w:type="pct"/>
            <w:shd w:val="clear" w:color="auto" w:fill="D9D9D9" w:themeFill="background1" w:themeFillShade="D9"/>
            <w:tcMar>
              <w:left w:w="28" w:type="dxa"/>
              <w:right w:w="28" w:type="dxa"/>
            </w:tcMar>
          </w:tcPr>
          <w:p w14:paraId="2E92EF51" w14:textId="2F3B8483" w:rsidR="00977069" w:rsidRDefault="00977069" w:rsidP="00593CA5">
            <w:pPr>
              <w:pStyle w:val="Tablewriting"/>
              <w:keepNext/>
              <w:rPr>
                <w:rFonts w:eastAsia="MS Mincho"/>
              </w:rPr>
            </w:pPr>
            <w:r>
              <w:rPr>
                <w:rFonts w:eastAsia="MS Mincho"/>
              </w:rPr>
              <w:t>Gorecka (2003)</w:t>
            </w:r>
            <w:hyperlink w:anchor="_ENREF_5" w:tooltip="Gorecka, 2003 #587" w:history="1">
              <w:r w:rsidR="0039468B">
                <w:rPr>
                  <w:rFonts w:eastAsia="MS Mincho"/>
                </w:rPr>
                <w:fldChar w:fldCharType="begin">
                  <w:fldData xml:space="preserve">PEVuZE5vdGU+PENpdGU+PEF1dGhvcj5Hb3JlY2thPC9BdXRob3I+PFllYXI+MjAwMzwvWWVhcj48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</w:fldData>
                </w:fldChar>
              </w:r>
              <w:r w:rsidR="0039468B">
                <w:rPr>
                  <w:rFonts w:eastAsia="MS Mincho"/>
                </w:rPr>
                <w:instrText xml:space="preserve"> ADDIN EN.CITE </w:instrText>
              </w:r>
              <w:r w:rsidR="0039468B">
                <w:rPr>
                  <w:rFonts w:eastAsia="MS Mincho"/>
                </w:rPr>
                <w:fldChar w:fldCharType="begin">
                  <w:fldData xml:space="preserve">PEVuZE5vdGU+PENpdGU+PEF1dGhvcj5Hb3JlY2thPC9BdXRob3I+PFllYXI+MjAwMzwvWWVhcj48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5</w:t>
              </w:r>
              <w:r w:rsidR="0039468B">
                <w:rPr>
                  <w:rFonts w:eastAsia="MS Mincho"/>
                </w:rPr>
                <w:fldChar w:fldCharType="end"/>
              </w:r>
            </w:hyperlink>
          </w:p>
        </w:tc>
        <w:tc>
          <w:tcPr>
            <w:tcW w:w="4374" w:type="pct"/>
            <w:shd w:val="clear" w:color="auto" w:fill="D9D9D9" w:themeFill="background1" w:themeFillShade="D9"/>
          </w:tcPr>
          <w:p w14:paraId="55F3D31C" w14:textId="4C724DB3" w:rsidR="00977069" w:rsidRPr="002764E0" w:rsidRDefault="00485AA4" w:rsidP="00593CA5">
            <w:pPr>
              <w:pStyle w:val="Tablewriting"/>
              <w:keepNext/>
              <w:rPr>
                <w:rFonts w:eastAsia="MS Mincho"/>
              </w:rPr>
            </w:pPr>
            <w:r w:rsidRPr="00485AA4">
              <w:rPr>
                <w:rFonts w:eastAsia="MS Mincho"/>
              </w:rPr>
              <w:t>Górecka D, Bednarek M, Nowiński A, Puścińska E, Goljan-Geremek A, Zieliński J. Effect of treatment for nicotine dependence in patients with COPD. Pneumonologia i alergologia polska. 2003;71(9-10):411-7.</w:t>
            </w:r>
          </w:p>
        </w:tc>
      </w:tr>
      <w:tr w:rsidR="00F95224" w:rsidRPr="00061F78" w14:paraId="22675F11" w14:textId="77777777" w:rsidTr="004A3185">
        <w:trPr>
          <w:cantSplit/>
          <w:trHeight w:val="164"/>
        </w:trPr>
        <w:tc>
          <w:tcPr>
            <w:tcW w:w="626" w:type="pct"/>
            <w:shd w:val="clear" w:color="auto" w:fill="D9D9D9" w:themeFill="background1" w:themeFillShade="D9"/>
            <w:tcMar>
              <w:left w:w="28" w:type="dxa"/>
              <w:right w:w="28" w:type="dxa"/>
            </w:tcMar>
          </w:tcPr>
          <w:p w14:paraId="301BCA53" w14:textId="77777777" w:rsidR="000F31D1" w:rsidRDefault="0091154B" w:rsidP="00593CA5">
            <w:pPr>
              <w:pStyle w:val="Tablewriting"/>
              <w:keepNext/>
              <w:rPr>
                <w:rFonts w:eastAsia="MS Mincho"/>
              </w:rPr>
            </w:pPr>
            <w:r>
              <w:rPr>
                <w:rFonts w:eastAsia="MS Mincho"/>
              </w:rPr>
              <w:t xml:space="preserve">Uyar </w:t>
            </w:r>
          </w:p>
          <w:p w14:paraId="7C50005E" w14:textId="19575163" w:rsidR="00977069" w:rsidRDefault="0091154B" w:rsidP="00593CA5">
            <w:pPr>
              <w:pStyle w:val="Tablewriting"/>
              <w:keepNext/>
              <w:rPr>
                <w:rFonts w:eastAsia="MS Mincho"/>
              </w:rPr>
            </w:pPr>
            <w:r>
              <w:rPr>
                <w:rFonts w:eastAsia="MS Mincho"/>
              </w:rPr>
              <w:t>(2007)</w:t>
            </w:r>
            <w:hyperlink w:anchor="_ENREF_6" w:tooltip="Uyar, 2007 #586" w:history="1">
              <w:r w:rsidR="0039468B">
                <w:rPr>
                  <w:rFonts w:eastAsia="MS Mincho"/>
                </w:rPr>
                <w:fldChar w:fldCharType="begin"/>
              </w:r>
              <w:r w:rsidR="0039468B">
                <w:rPr>
                  <w:rFonts w:eastAsia="MS Mincho"/>
                </w:rPr>
                <w:instrText xml:space="preserve"> ADDIN EN.CITE &lt;EndNote&gt;&lt;Cite&gt;&lt;Author&gt;Uyar&lt;/Author&gt;&lt;Year&gt;2007&lt;/Year&gt;&lt;RecNum&gt;586&lt;/RecNum&gt;&lt;DisplayText&gt;&lt;style face="superscript"&gt;6&lt;/style&gt;&lt;/DisplayText&gt;&lt;record&gt;&lt;rec-number&gt;586&lt;/rec-number&gt;&lt;foreign-keys&gt;&lt;key app="EN" db-id="2xwa055rhevv2yef5v75fepy2azsv0xvx9w9" timestamp="1602475107"&gt;586&lt;/key&gt;&lt;/foreign-keys&gt;&lt;ref-type name="Journal Article"&gt;17&lt;/ref-type&gt;&lt;contributors&gt;&lt;authors&gt;&lt;author&gt;Uyar, M.&lt;/author&gt;&lt;author&gt;Filiz, A.&lt;/author&gt;&lt;author&gt;Bayram, N.&lt;/author&gt;&lt;author&gt;Elbek, O.&lt;/author&gt;&lt;author&gt;Herken, H.&lt;/author&gt;&lt;author&gt;Topcu, A.&lt;/author&gt;&lt;author&gt;Dikensoy, O.&lt;/author&gt;&lt;author&gt;Ekinci, E.&lt;/author&gt;&lt;/authors&gt;&lt;/contributors&gt;&lt;auth-address&gt;Department of Pulmonary Diseases, Gaziantep University, Gaziantep 27035, Turkey. meraluyar1@yahoo.com&lt;/auth-address&gt;&lt;titles&gt;&lt;title&gt;A randomized trial of smoking cessation. Medication versus motivation&lt;/title&gt;&lt;secondary-title&gt;Saudi Med J&lt;/secondary-title&gt;&lt;/titles&gt;&lt;periodical&gt;&lt;full-title&gt;Saudi Med J&lt;/full-title&gt;&lt;/periodical&gt;&lt;pages&gt;922-6&lt;/pages&gt;&lt;volume&gt;28&lt;/volume&gt;&lt;number&gt;6&lt;/number&gt;&lt;edition&gt;2007/05/29&lt;/edition&gt;&lt;keywords&gt;&lt;keyword&gt;Adult&lt;/keyword&gt;&lt;keyword&gt;Bupropion/*therapeutic use&lt;/keyword&gt;&lt;keyword&gt;Female&lt;/keyword&gt;&lt;keyword&gt;Humans&lt;/keyword&gt;&lt;keyword&gt;Male&lt;/keyword&gt;&lt;keyword&gt;*Motivation&lt;/keyword&gt;&lt;keyword&gt;Nicotine/*administration &amp;amp; dosage&lt;/keyword&gt;&lt;keyword&gt;Prospective Studies&lt;/keyword&gt;&lt;keyword&gt;Smoking Cessation/*methods/psychology&lt;/keyword&gt;&lt;/keywords&gt;&lt;dates&gt;&lt;year&gt;2007&lt;/year&gt;&lt;pub-dates&gt;&lt;date&gt;Jun&lt;/date&gt;&lt;/pub-dates&gt;&lt;/dates&gt;&lt;isbn&gt;0379-5284 (Print)&amp;#xD;0379-5284 (Linking)&lt;/isbn&gt;&lt;accession-num&gt;17530112&lt;/accession-num&gt;&lt;urls&gt;&lt;related-urls&gt;&lt;url&gt;https://www.ncbi.nlm.nih.gov/pubmed/17530112&lt;/url&gt;&lt;/related-urls&gt;&lt;/urls&gt;&lt;/record&gt;&lt;/Cite&gt;&lt;/EndNote&gt;</w:instrText>
              </w:r>
              <w:r w:rsidR="0039468B">
                <w:rPr>
                  <w:rFonts w:eastAsia="MS Mincho"/>
                </w:rPr>
                <w:fldChar w:fldCharType="separate"/>
              </w:r>
              <w:r w:rsidR="0039468B" w:rsidRPr="007A3AB0">
                <w:rPr>
                  <w:rFonts w:eastAsia="MS Mincho"/>
                  <w:noProof/>
                  <w:vertAlign w:val="superscript"/>
                </w:rPr>
                <w:t>6</w:t>
              </w:r>
              <w:r w:rsidR="0039468B">
                <w:rPr>
                  <w:rFonts w:eastAsia="MS Mincho"/>
                </w:rPr>
                <w:fldChar w:fldCharType="end"/>
              </w:r>
            </w:hyperlink>
          </w:p>
        </w:tc>
        <w:tc>
          <w:tcPr>
            <w:tcW w:w="4374" w:type="pct"/>
            <w:shd w:val="clear" w:color="auto" w:fill="D9D9D9" w:themeFill="background1" w:themeFillShade="D9"/>
          </w:tcPr>
          <w:p w14:paraId="242B0B90" w14:textId="4A7E7E23" w:rsidR="00977069" w:rsidRPr="002764E0" w:rsidRDefault="00F168D8" w:rsidP="00593CA5">
            <w:pPr>
              <w:pStyle w:val="Tablewriting"/>
              <w:keepNext/>
              <w:rPr>
                <w:rFonts w:eastAsia="MS Mincho"/>
              </w:rPr>
            </w:pPr>
            <w:r w:rsidRPr="00F168D8">
              <w:rPr>
                <w:rFonts w:eastAsia="MS Mincho"/>
              </w:rPr>
              <w:t>Uyar M, Filiz A, Bayram N, Elbek O, Herken H, Topcu A, Dikensoy O, Ekinci E. A randomized trial of smoking cessation. Medication versus motivation. Saudi medical journal. 2007 Jun 1;28(6):922-6.</w:t>
            </w:r>
          </w:p>
        </w:tc>
      </w:tr>
      <w:tr w:rsidR="00F95224" w:rsidRPr="00061F78" w14:paraId="7C451811" w14:textId="77777777" w:rsidTr="004A3185">
        <w:trPr>
          <w:cantSplit/>
          <w:trHeight w:val="164"/>
        </w:trPr>
        <w:tc>
          <w:tcPr>
            <w:tcW w:w="626" w:type="pct"/>
            <w:shd w:val="clear" w:color="auto" w:fill="D9D9D9" w:themeFill="background1" w:themeFillShade="D9"/>
            <w:tcMar>
              <w:left w:w="28" w:type="dxa"/>
              <w:right w:w="28" w:type="dxa"/>
            </w:tcMar>
          </w:tcPr>
          <w:p w14:paraId="308E6A97" w14:textId="77777777" w:rsidR="000F31D1" w:rsidRDefault="001B729F" w:rsidP="00593CA5">
            <w:pPr>
              <w:pStyle w:val="Tablewriting"/>
              <w:keepNext/>
              <w:rPr>
                <w:rFonts w:eastAsia="MS Mincho"/>
              </w:rPr>
            </w:pPr>
            <w:r>
              <w:rPr>
                <w:rFonts w:eastAsia="MS Mincho"/>
              </w:rPr>
              <w:t xml:space="preserve">Piper </w:t>
            </w:r>
          </w:p>
          <w:p w14:paraId="308953D3" w14:textId="45D9F47E" w:rsidR="001B729F" w:rsidRDefault="001B729F" w:rsidP="00593CA5">
            <w:pPr>
              <w:pStyle w:val="Tablewriting"/>
              <w:keepNext/>
              <w:rPr>
                <w:rFonts w:eastAsia="MS Mincho"/>
              </w:rPr>
            </w:pPr>
            <w:r>
              <w:rPr>
                <w:rFonts w:eastAsia="MS Mincho"/>
              </w:rPr>
              <w:t>(2009)</w:t>
            </w:r>
            <w:hyperlink w:anchor="_ENREF_7" w:tooltip="Piper, 2009 #588" w:history="1">
              <w:r w:rsidR="0039468B">
                <w:rPr>
                  <w:rFonts w:eastAsia="MS Mincho"/>
                </w:rPr>
                <w:fldChar w:fldCharType="begin">
                  <w:fldData xml:space="preserve">PEVuZE5vdGU+PENpdGU+PEF1dGhvcj5QaXBlcjwvQXV0aG9yPjxZZWFyPjIwMDk8L1llYXI+PFJl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</w:fldData>
                </w:fldChar>
              </w:r>
              <w:r w:rsidR="0039468B">
                <w:rPr>
                  <w:rFonts w:eastAsia="MS Mincho"/>
                </w:rPr>
                <w:instrText xml:space="preserve"> ADDIN EN.CITE </w:instrText>
              </w:r>
              <w:r w:rsidR="0039468B">
                <w:rPr>
                  <w:rFonts w:eastAsia="MS Mincho"/>
                </w:rPr>
                <w:fldChar w:fldCharType="begin">
                  <w:fldData xml:space="preserve">PEVuZE5vdGU+PENpdGU+PEF1dGhvcj5QaXBlcjwvQXV0aG9yPjxZZWFyPjIwMDk8L1llYXI+PFJl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7</w:t>
              </w:r>
              <w:r w:rsidR="0039468B">
                <w:rPr>
                  <w:rFonts w:eastAsia="MS Mincho"/>
                </w:rPr>
                <w:fldChar w:fldCharType="end"/>
              </w:r>
            </w:hyperlink>
            <w:r w:rsidR="003A0DF9">
              <w:rPr>
                <w:rFonts w:eastAsia="MS Mincho"/>
              </w:rPr>
              <w:t xml:space="preserve"> </w:t>
            </w:r>
          </w:p>
        </w:tc>
        <w:tc>
          <w:tcPr>
            <w:tcW w:w="4374" w:type="pct"/>
            <w:shd w:val="clear" w:color="auto" w:fill="D9D9D9" w:themeFill="background1" w:themeFillShade="D9"/>
          </w:tcPr>
          <w:p w14:paraId="1F618C03" w14:textId="2EF14DA2" w:rsidR="001B729F" w:rsidRPr="00F168D8" w:rsidRDefault="00B21590" w:rsidP="00593CA5">
            <w:pPr>
              <w:pStyle w:val="Tablewriting"/>
              <w:keepNext/>
              <w:rPr>
                <w:rFonts w:eastAsia="MS Mincho"/>
              </w:rPr>
            </w:pPr>
            <w:r w:rsidRPr="00B21590">
              <w:rPr>
                <w:rFonts w:eastAsia="MS Mincho"/>
              </w:rPr>
              <w:t>Piper ME, Smith SS, Schlam TR, Fiore MC, Jorenby DE, Fraser D, Baker TB. A randomized placebo-controlled clinical trial of 5 smoking cessation pharmacotherapies. Archives of general psychiatry. 2009 Nov 1;66(11):1253-62.</w:t>
            </w:r>
          </w:p>
        </w:tc>
      </w:tr>
      <w:tr w:rsidR="00F95224" w:rsidRPr="00061F78" w14:paraId="54CF7D3A" w14:textId="77777777" w:rsidTr="004A3185">
        <w:trPr>
          <w:cantSplit/>
          <w:trHeight w:val="164"/>
        </w:trPr>
        <w:tc>
          <w:tcPr>
            <w:tcW w:w="626" w:type="pct"/>
            <w:tcMar>
              <w:left w:w="28" w:type="dxa"/>
              <w:right w:w="28" w:type="dxa"/>
            </w:tcMar>
          </w:tcPr>
          <w:p w14:paraId="2E8AEEC0" w14:textId="55856216" w:rsidR="00593CA5" w:rsidRPr="00D07303" w:rsidRDefault="00593CA5" w:rsidP="00593CA5">
            <w:pPr>
              <w:pStyle w:val="Tablewriting"/>
              <w:keepNext/>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hyperlink w:anchor="_ENREF_3" w:tooltip="Howes, 2020 #530" w:history="1">
              <w:r w:rsidR="0039468B">
                <w:rPr>
                  <w:rFonts w:eastAsia="MS Mincho"/>
                </w:rPr>
                <w:fldChar w:fldCharType="begin"/>
              </w:r>
              <w:r w:rsidR="0039468B">
                <w:rPr>
                  <w:rFonts w:eastAsia="MS Mincho"/>
                </w:rPr>
                <w:instrText xml:space="preserve"> ADDIN EN.CITE &lt;EndNote&gt;&lt;Cite&gt;&lt;Author&gt;Howes&lt;/Author&gt;&lt;Year&gt;2020&lt;/Year&gt;&lt;RecNum&gt;530&lt;/RecNum&gt;&lt;DisplayText&gt;&lt;style face="superscript"&gt;3&lt;/style&gt;&lt;/DisplayText&gt;&lt;record&gt;&lt;rec-number&gt;530&lt;/rec-number&gt;&lt;foreign-keys&gt;&lt;key app="EN" db-id="2xwa055rhevv2yef5v75fepy2azsv0xvx</w:instrText>
              </w:r>
              <w:r w:rsidR="0039468B">
                <w:rPr>
                  <w:rFonts w:eastAsia="MS Mincho" w:hint="eastAsia"/>
                </w:rPr>
                <w:instrText>9w9" timestamp="1602031206"&gt;530&lt;/key&gt;&lt;/foreign-keys&gt;&lt;ref-type name="Journal Article"&gt;17&lt;/ref-type&gt;&lt;contributors&gt;&lt;authors&gt;&lt;author&gt;Howes, S.&lt;/author&gt;&lt;author&gt;Hartmann</w:instrText>
              </w:r>
              <w:r w:rsidR="0039468B">
                <w:rPr>
                  <w:rFonts w:eastAsia="MS Mincho" w:hint="eastAsia"/>
                </w:rPr>
                <w:instrText>‐</w:instrText>
              </w:r>
              <w:r w:rsidR="0039468B">
                <w:rPr>
                  <w:rFonts w:eastAsia="MS Mincho" w:hint="eastAsia"/>
                </w:rPr>
                <w:instrText>Boyce, J.&lt;/author&gt;&lt;author&gt;Livingstone</w:instrText>
              </w:r>
              <w:r w:rsidR="0039468B">
                <w:rPr>
                  <w:rFonts w:eastAsia="MS Mincho" w:hint="eastAsia"/>
                </w:rPr>
                <w:instrText>‐</w:instrText>
              </w:r>
              <w:r w:rsidR="0039468B">
                <w:rPr>
                  <w:rFonts w:eastAsia="MS Mincho" w:hint="eastAsia"/>
                </w:rPr>
                <w:instrText>Banks, J.&lt;/author&gt;&lt;author&gt;Hong, B.&lt;/author&gt;&lt;author&gt;Li</w:instrText>
              </w:r>
              <w:r w:rsidR="0039468B">
                <w:rPr>
                  <w:rFonts w:eastAsia="MS Mincho"/>
                </w:rPr>
                <w:instrText>ndson, N.&lt;/author&gt;&lt;/authors&gt;&lt;/contributors&gt;&lt;titles&gt;&lt;title&gt;Antidepressants for smoking cessation&lt;/title&gt;&lt;secondary-title&gt;Cochrane Database of Systematic Reviews&lt;/secondary-title&gt;&lt;/titles&gt;&lt;periodical&gt;&lt;full-title&gt;Cochrane Database of Systematic Reviews&lt;/full</w:instrText>
              </w:r>
              <w:r w:rsidR="0039468B">
                <w:rPr>
                  <w:rFonts w:eastAsia="MS Mincho" w:hint="eastAsia"/>
                </w:rPr>
                <w:instrText>-title&gt;&lt;/periodical&gt;&lt;number&gt;4&lt;/number&gt;&lt;keywords&gt;&lt;keyword&gt;Antidepressive Agents [adverse effects, *therapeutic use]&lt;/keyword&gt;&lt;keyword&gt;Anti</w:instrText>
              </w:r>
              <w:r w:rsidR="0039468B">
                <w:rPr>
                  <w:rFonts w:eastAsia="MS Mincho" w:hint="eastAsia"/>
                </w:rPr>
                <w:instrText>‐</w:instrText>
              </w:r>
              <w:r w:rsidR="0039468B">
                <w:rPr>
                  <w:rFonts w:eastAsia="MS Mincho" w:hint="eastAsia"/>
                </w:rPr>
                <w:instrText>Anxiety Agents [adverse effects, *therapeutic use]&lt;/keyword&gt;&lt;keyword&gt;Bupropion [adverse effects, therapeutic use]&lt;/ke</w:instrText>
              </w:r>
              <w:r w:rsidR="0039468B">
                <w:rPr>
                  <w:rFonts w:eastAsia="MS Mincho"/>
                </w:rPr>
                <w:instrText>yword&gt;&lt;keyword&gt;Humans&lt;/keyword&gt;&lt;keyword&gt;Nortriptyline [therapeutic use]&lt;/keyword&gt;&lt;keyword&gt;Randomized Controlled Trials as Topic&lt;/keyword&gt;&lt;keyword&gt;Serotonin Uptake Inhibitors [therapeutic use]&lt;/keyword&gt;&lt;keyword&gt;Smoking Cessation [*methods, psychology]&lt;/keyword&gt;&lt;keyword&gt;Smoking [*drug therapy, psychology]&lt;/keyword&gt;&lt;keyword&gt;Tobacco Use Cessation Devices&lt;/keyword&gt;&lt;keyword&gt;Varenicline [adverse effects, therapeutic use]&lt;/keyword&gt;&lt;/keywords&gt;&lt;dates&gt;&lt;year&gt;2020&lt;/year&gt;&lt;/dates&gt;&lt;publisher&gt;John Wiley &amp;amp; Sons, Ltd&lt;/publisher&gt;&lt;isbn&gt;1465-1858&lt;/isbn&gt;&lt;accession-num&gt;CD000031&lt;/accession-num&gt;&lt;urls&gt;&lt;related-urls&gt;&lt;url&gt;https://doi.org//10.1002/14651858.CD000031.pub5&lt;/url&gt;&lt;/related-urls&gt;&lt;/urls&gt;&lt;electronic-resource-num&gt;10.1002/14651858.CD000031.pub5&lt;/electronic-resource-num&gt;&lt;/record&gt;&lt;/Cite&gt;&lt;/EndNote&gt;</w:instrText>
              </w:r>
              <w:r w:rsidR="0039468B">
                <w:rPr>
                  <w:rFonts w:eastAsia="MS Mincho"/>
                </w:rPr>
                <w:fldChar w:fldCharType="separate"/>
              </w:r>
              <w:r w:rsidR="0039468B" w:rsidRPr="007A3AB0">
                <w:rPr>
                  <w:rFonts w:eastAsia="MS Mincho"/>
                  <w:noProof/>
                  <w:vertAlign w:val="superscript"/>
                </w:rPr>
                <w:t>3</w:t>
              </w:r>
              <w:r w:rsidR="0039468B">
                <w:rPr>
                  <w:rFonts w:eastAsia="MS Mincho"/>
                </w:rPr>
                <w:fldChar w:fldCharType="end"/>
              </w:r>
            </w:hyperlink>
            <w:r w:rsidR="00440C74" w:rsidRPr="00D07303">
              <w:rPr>
                <w:rFonts w:eastAsia="MS Mincho"/>
                <w:vertAlign w:val="superscript"/>
              </w:rPr>
              <w:t xml:space="preserve"> </w:t>
            </w:r>
          </w:p>
        </w:tc>
        <w:tc>
          <w:tcPr>
            <w:tcW w:w="4374" w:type="pct"/>
          </w:tcPr>
          <w:p w14:paraId="22F60FF9" w14:textId="4C52B539" w:rsidR="00593CA5" w:rsidRDefault="004C4EA7" w:rsidP="00593CA5">
            <w:pPr>
              <w:pStyle w:val="Tablewriting"/>
              <w:keepNext/>
              <w:rPr>
                <w:rFonts w:eastAsia="MS Mincho"/>
              </w:rPr>
            </w:pPr>
            <w:r w:rsidRPr="002764E0">
              <w:rPr>
                <w:rFonts w:eastAsia="MS Mincho"/>
              </w:rPr>
              <w:t>Howes S</w:t>
            </w:r>
            <w:r w:rsidR="00593CA5" w:rsidRPr="002764E0">
              <w:rPr>
                <w:rFonts w:eastAsia="MS Mincho"/>
              </w:rPr>
              <w:t>, Hartmann‐</w:t>
            </w:r>
            <w:r w:rsidRPr="002764E0">
              <w:rPr>
                <w:rFonts w:eastAsia="MS Mincho"/>
              </w:rPr>
              <w:t>Boyce J</w:t>
            </w:r>
            <w:r w:rsidR="00593CA5" w:rsidRPr="002764E0">
              <w:rPr>
                <w:rFonts w:eastAsia="MS Mincho"/>
              </w:rPr>
              <w:t>, Livingstone‐</w:t>
            </w:r>
            <w:r w:rsidRPr="002764E0">
              <w:rPr>
                <w:rFonts w:eastAsia="MS Mincho"/>
              </w:rPr>
              <w:t>Banks J</w:t>
            </w:r>
            <w:r w:rsidR="00593CA5" w:rsidRPr="002764E0">
              <w:rPr>
                <w:rFonts w:eastAsia="MS Mincho"/>
              </w:rPr>
              <w:t xml:space="preserve">, </w:t>
            </w:r>
            <w:r w:rsidRPr="002764E0">
              <w:rPr>
                <w:rFonts w:eastAsia="MS Mincho"/>
              </w:rPr>
              <w:t>Hong B</w:t>
            </w:r>
            <w:r w:rsidR="00593CA5" w:rsidRPr="002764E0">
              <w:rPr>
                <w:rFonts w:eastAsia="MS Mincho"/>
              </w:rPr>
              <w:t xml:space="preserve">, </w:t>
            </w:r>
            <w:r w:rsidRPr="002764E0">
              <w:rPr>
                <w:rFonts w:eastAsia="MS Mincho"/>
              </w:rPr>
              <w:t>Lindson N.</w:t>
            </w:r>
            <w:r w:rsidR="00593CA5" w:rsidRPr="002764E0">
              <w:rPr>
                <w:rFonts w:eastAsia="MS Mincho"/>
              </w:rPr>
              <w:t xml:space="preserve"> Antidepressants for smoking cessation. Cochrane Database of Systematic Reviews 2020, Issue 4. Art. No.: CD000031.</w:t>
            </w:r>
          </w:p>
        </w:tc>
      </w:tr>
      <w:tr w:rsidR="00F95224" w:rsidRPr="00061F78" w14:paraId="228D64A7" w14:textId="77777777" w:rsidTr="004A3185">
        <w:trPr>
          <w:cantSplit/>
          <w:trHeight w:val="164"/>
        </w:trPr>
        <w:tc>
          <w:tcPr>
            <w:tcW w:w="626" w:type="pct"/>
            <w:tcMar>
              <w:left w:w="28" w:type="dxa"/>
              <w:right w:w="28" w:type="dxa"/>
            </w:tcMar>
          </w:tcPr>
          <w:p w14:paraId="68556CE8" w14:textId="7910B770" w:rsidR="00CF15FC" w:rsidRDefault="00CF15FC" w:rsidP="00CF15FC">
            <w:pPr>
              <w:pStyle w:val="Tablewriting"/>
              <w:keepNext/>
              <w:rPr>
                <w:rFonts w:eastAsia="MS Mincho"/>
              </w:rPr>
            </w:pPr>
            <w:r>
              <w:rPr>
                <w:rFonts w:eastAsia="MS Mincho"/>
              </w:rPr>
              <w:t>Benowitz (2018)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374" w:type="pct"/>
          </w:tcPr>
          <w:p w14:paraId="304001AF" w14:textId="44D32E2A" w:rsidR="00CF15FC" w:rsidRPr="002764E0" w:rsidRDefault="00CF15FC" w:rsidP="00CF15FC">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14:paraId="3703F5A2" w14:textId="77777777" w:rsidR="00593CA5" w:rsidRDefault="00593CA5" w:rsidP="004A3185">
      <w:pPr>
        <w:pStyle w:val="TableFooter"/>
        <w:keepNext/>
        <w:jc w:val="both"/>
      </w:pPr>
      <w:r w:rsidRPr="00061F78">
        <w:rPr>
          <w:highlight w:val="lightGray"/>
        </w:rPr>
        <w:t>Shaded</w:t>
      </w:r>
      <w:r w:rsidRPr="00061F78">
        <w:t xml:space="preserve"> = previously considered by the PBAC</w:t>
      </w:r>
    </w:p>
    <w:p w14:paraId="2D51B4C7" w14:textId="349B9946" w:rsidR="007A1C2D" w:rsidRDefault="007A1C2D" w:rsidP="004A3185">
      <w:pPr>
        <w:pStyle w:val="TableFooter"/>
        <w:keepNext/>
        <w:spacing w:after="120"/>
        <w:contextualSpacing w:val="0"/>
        <w:jc w:val="both"/>
      </w:pPr>
      <w:r>
        <w:t xml:space="preserve">Notes: </w:t>
      </w:r>
      <w:r w:rsidR="00341FBD" w:rsidRPr="00341FBD">
        <w:rPr>
          <w:color w:val="000000"/>
          <w:w w:val="66"/>
          <w:shd w:val="solid" w:color="000000" w:fill="000000"/>
          <w:fitText w:val="5895" w:id="-1402783488"/>
          <w14:textFill>
            <w14:solidFill>
              <w14:srgbClr w14:val="000000">
                <w14:alpha w14:val="100000"/>
              </w14:srgbClr>
            </w14:solidFill>
          </w14:textFill>
        </w:rPr>
        <w:t>||||||||||||||||||||||||||||||||||||||||||||||||  ||||||||||||||||||||||||||||||||||||||||||||||||</w:t>
      </w:r>
      <w:r w:rsidR="002F7AC8">
        <w:t xml:space="preserve">. </w:t>
      </w:r>
      <w:r w:rsidR="000E76DB">
        <w:t xml:space="preserve">Jorenby et al. (1999), </w:t>
      </w:r>
      <w:r w:rsidR="002F7AC8">
        <w:t>Goreck</w:t>
      </w:r>
      <w:r w:rsidR="000E76DB">
        <w:t xml:space="preserve">a et al. (2003), Uyar et al. (2007) and Piper et al. (2009) were considered </w:t>
      </w:r>
      <w:r w:rsidR="001B0165">
        <w:t>at</w:t>
      </w:r>
      <w:r w:rsidR="000E76DB">
        <w:t xml:space="preserve"> the March 2010 PBAC meeting.</w:t>
      </w:r>
    </w:p>
    <w:p w14:paraId="60573CFF" w14:textId="605F6021" w:rsidR="00593CA5" w:rsidRDefault="00593CA5" w:rsidP="004A3185">
      <w:pPr>
        <w:spacing w:after="120"/>
        <w:jc w:val="both"/>
      </w:pPr>
      <w:r>
        <w:t xml:space="preserve">A summary of the characteristics of the studies comparing bupropion with </w:t>
      </w:r>
      <w:r w:rsidR="00F30861">
        <w:t>NRT</w:t>
      </w:r>
      <w:r>
        <w:t xml:space="preserve"> is presented in</w:t>
      </w:r>
      <w:r w:rsidR="00B576FE">
        <w:t xml:space="preserve"> </w:t>
      </w:r>
      <w:r w:rsidR="00B576FE">
        <w:fldChar w:fldCharType="begin" w:fldLock="1"/>
      </w:r>
      <w:r w:rsidR="00B576FE">
        <w:instrText xml:space="preserve"> REF _Ref53145128 \h </w:instrText>
      </w:r>
      <w:r w:rsidR="004A3185">
        <w:instrText xml:space="preserve"> \* MERGEFORMAT </w:instrText>
      </w:r>
      <w:r w:rsidR="00B576FE">
        <w:fldChar w:fldCharType="separate"/>
      </w:r>
      <w:r w:rsidR="00EC5CC7">
        <w:t xml:space="preserve">Table </w:t>
      </w:r>
      <w:r w:rsidR="00EC5CC7">
        <w:rPr>
          <w:noProof/>
        </w:rPr>
        <w:t>10</w:t>
      </w:r>
      <w:r w:rsidR="00B576FE">
        <w:fldChar w:fldCharType="end"/>
      </w:r>
      <w:r>
        <w:t xml:space="preserve">. A total of </w:t>
      </w:r>
      <w:r w:rsidR="00B576FE">
        <w:t>10 RCT</w:t>
      </w:r>
      <w:r>
        <w:t xml:space="preserve">s comparing bupropion with </w:t>
      </w:r>
      <w:r w:rsidR="00B576FE">
        <w:t>NRT</w:t>
      </w:r>
      <w:r>
        <w:t xml:space="preserve"> were identified by Howes et al. (2020). Of these, </w:t>
      </w:r>
      <w:r w:rsidR="002F14B4">
        <w:t>four studies</w:t>
      </w:r>
      <w:r>
        <w:t xml:space="preserve"> w</w:t>
      </w:r>
      <w:r w:rsidR="002F14B4">
        <w:t xml:space="preserve">ere </w:t>
      </w:r>
      <w:r w:rsidR="00AA5506" w:rsidRPr="00AA5506">
        <w:t xml:space="preserve">Jorenby et al. </w:t>
      </w:r>
      <w:r w:rsidR="00AA5506">
        <w:t>(</w:t>
      </w:r>
      <w:r w:rsidR="00AA5506" w:rsidRPr="00AA5506">
        <w:t>1999</w:t>
      </w:r>
      <w:r w:rsidR="00AA5506">
        <w:t>)</w:t>
      </w:r>
      <w:r w:rsidR="00AA5506" w:rsidRPr="00AA5506">
        <w:t xml:space="preserve">, Gorecka et al. </w:t>
      </w:r>
      <w:r w:rsidR="00AA5506">
        <w:t>(</w:t>
      </w:r>
      <w:r w:rsidR="00AA5506" w:rsidRPr="00AA5506">
        <w:t>2003</w:t>
      </w:r>
      <w:r w:rsidR="00AA5506">
        <w:t>)</w:t>
      </w:r>
      <w:r w:rsidR="00AA5506" w:rsidRPr="00AA5506">
        <w:t xml:space="preserve">, Uyar et al. </w:t>
      </w:r>
      <w:r w:rsidR="00AA5506">
        <w:t>(</w:t>
      </w:r>
      <w:r w:rsidR="00AA5506" w:rsidRPr="00AA5506">
        <w:t>2007</w:t>
      </w:r>
      <w:r w:rsidR="00AA5506">
        <w:t>)</w:t>
      </w:r>
      <w:r w:rsidR="00AA5506" w:rsidRPr="00AA5506">
        <w:t xml:space="preserve"> and Piper et al. </w:t>
      </w:r>
      <w:r w:rsidR="00AA5506">
        <w:t>(</w:t>
      </w:r>
      <w:r w:rsidR="00AA5506" w:rsidRPr="00AA5506">
        <w:t>2009</w:t>
      </w:r>
      <w:r w:rsidR="00AA5506">
        <w:t>)</w:t>
      </w:r>
      <w:r>
        <w:t xml:space="preserve">. The characteristics of the individual studies are presented in </w:t>
      </w:r>
      <w:r w:rsidRPr="00465A40">
        <w:t>Appendix</w:t>
      </w:r>
      <w:r w:rsidR="00076298">
        <w:t xml:space="preserve"> Table 145</w:t>
      </w:r>
      <w:r w:rsidR="00B576FE">
        <w:t>.</w:t>
      </w:r>
    </w:p>
    <w:p w14:paraId="32B7315F" w14:textId="26FF95A5" w:rsidR="00023286" w:rsidRDefault="00023286" w:rsidP="004A3185">
      <w:pPr>
        <w:spacing w:after="120"/>
        <w:jc w:val="both"/>
      </w:pPr>
      <w:r>
        <w:t>Benowitz et al. (2018) was a safety study (n</w:t>
      </w:r>
      <w:r w:rsidRPr="00A95E3C">
        <w:t>on-treatment extension</w:t>
      </w:r>
      <w:r>
        <w:t>)</w:t>
      </w:r>
      <w:r w:rsidRPr="00A95E3C">
        <w:t xml:space="preserve"> </w:t>
      </w:r>
      <w:r>
        <w:t>of</w:t>
      </w:r>
      <w:r w:rsidRPr="00A95E3C">
        <w:t xml:space="preserve"> </w:t>
      </w:r>
      <w:r>
        <w:t>EAGLES (Anthenelli et al. 2016)</w:t>
      </w:r>
      <w:r w:rsidR="00CF1E1A" w:rsidRPr="00CF1E1A">
        <w:t xml:space="preserve"> comparing NRT </w:t>
      </w:r>
      <w:r w:rsidR="00573F59">
        <w:t>patches</w:t>
      </w:r>
      <w:r w:rsidR="00CF1E1A" w:rsidRPr="00CF1E1A">
        <w:t xml:space="preserve"> (21 mg per day with taper), varenicline (1 mg twice a day), bupropion (150 mg twice a day) and placebo</w:t>
      </w:r>
      <w:r>
        <w:t>.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rsidR="004C4EA7">
        <w:t xml:space="preserve">. </w:t>
      </w:r>
    </w:p>
    <w:p w14:paraId="6CA5E10A" w14:textId="77777777" w:rsidR="00023286" w:rsidRDefault="00023286" w:rsidP="00593CA5"/>
    <w:p w14:paraId="599E873E" w14:textId="77777777" w:rsidR="00F30861" w:rsidRDefault="00F30861" w:rsidP="00593CA5">
      <w:pPr>
        <w:rPr>
          <w:b/>
          <w:bCs/>
        </w:rPr>
        <w:sectPr w:rsidR="00F30861" w:rsidSect="006356D2">
          <w:pgSz w:w="11906" w:h="16838"/>
          <w:pgMar w:top="1440" w:right="1440" w:bottom="1440" w:left="1440" w:header="708" w:footer="708" w:gutter="0"/>
          <w:cols w:space="708"/>
          <w:titlePg/>
          <w:docGrid w:linePitch="360"/>
        </w:sectPr>
      </w:pPr>
    </w:p>
    <w:p w14:paraId="4CA6330E" w14:textId="4EF5BC61" w:rsidR="00B576FE" w:rsidRDefault="00B576FE" w:rsidP="004A3185">
      <w:pPr>
        <w:pStyle w:val="Caption"/>
        <w:keepNext/>
        <w:spacing w:before="0" w:after="120"/>
        <w:jc w:val="both"/>
      </w:pPr>
      <w:bookmarkStart w:id="43" w:name="_Ref53145128"/>
      <w:r>
        <w:lastRenderedPageBreak/>
        <w:t xml:space="preserve">Table </w:t>
      </w:r>
      <w:r>
        <w:fldChar w:fldCharType="begin"/>
      </w:r>
      <w:r>
        <w:instrText>SEQ Table \* ARABIC</w:instrText>
      </w:r>
      <w:r>
        <w:fldChar w:fldCharType="separate"/>
      </w:r>
      <w:r w:rsidR="00EC5CC7">
        <w:rPr>
          <w:noProof/>
        </w:rPr>
        <w:t>10</w:t>
      </w:r>
      <w:r>
        <w:fldChar w:fldCharType="end"/>
      </w:r>
      <w:bookmarkEnd w:id="43"/>
      <w:r>
        <w:t xml:space="preserve">: </w:t>
      </w:r>
      <w:r w:rsidRPr="00BF5027">
        <w:t xml:space="preserve">Characteristics of the studies comparing bupropion with </w:t>
      </w:r>
      <w:r>
        <w:t>NRT</w:t>
      </w:r>
    </w:p>
    <w:tbl>
      <w:tblPr>
        <w:tblStyle w:val="TableGrid"/>
        <w:tblW w:w="5000" w:type="pct"/>
        <w:tblLook w:val="04A0" w:firstRow="1" w:lastRow="0" w:firstColumn="1" w:lastColumn="0" w:noHBand="0" w:noVBand="1"/>
        <w:tblCaption w:val="Efficacy results of adalimumab trials (PASI 75 and DLQI)"/>
      </w:tblPr>
      <w:tblGrid>
        <w:gridCol w:w="810"/>
        <w:gridCol w:w="1129"/>
        <w:gridCol w:w="982"/>
        <w:gridCol w:w="5155"/>
        <w:gridCol w:w="2692"/>
        <w:gridCol w:w="3180"/>
      </w:tblGrid>
      <w:tr w:rsidR="00260CD7" w:rsidRPr="00061F78" w14:paraId="34EA9456" w14:textId="77777777" w:rsidTr="005C40D1">
        <w:trPr>
          <w:trHeight w:val="299"/>
          <w:tblHeader/>
        </w:trPr>
        <w:tc>
          <w:tcPr>
            <w:tcW w:w="290" w:type="pct"/>
            <w:shd w:val="clear" w:color="auto" w:fill="BFBFBF" w:themeFill="background1" w:themeFillShade="BF"/>
            <w:tcMar>
              <w:left w:w="28" w:type="dxa"/>
              <w:right w:w="28" w:type="dxa"/>
            </w:tcMar>
          </w:tcPr>
          <w:p w14:paraId="46A736F6" w14:textId="53858574" w:rsidR="00F30861" w:rsidRPr="00061F78" w:rsidRDefault="00126B7B" w:rsidP="00063AF0">
            <w:pPr>
              <w:pStyle w:val="Tableheading"/>
              <w:rPr>
                <w:rFonts w:eastAsia="MS Mincho"/>
              </w:rPr>
            </w:pPr>
            <w:r>
              <w:rPr>
                <w:rFonts w:eastAsia="MS Mincho"/>
              </w:rPr>
              <w:t>Study</w:t>
            </w:r>
          </w:p>
        </w:tc>
        <w:tc>
          <w:tcPr>
            <w:tcW w:w="405" w:type="pct"/>
            <w:shd w:val="clear" w:color="auto" w:fill="BFBFBF" w:themeFill="background1" w:themeFillShade="BF"/>
          </w:tcPr>
          <w:p w14:paraId="17F45A9B" w14:textId="77777777" w:rsidR="00F30861" w:rsidRDefault="00F30861" w:rsidP="00063AF0">
            <w:pPr>
              <w:pStyle w:val="Tableheading"/>
              <w:jc w:val="center"/>
              <w:rPr>
                <w:rFonts w:eastAsia="MS Mincho"/>
              </w:rPr>
            </w:pPr>
            <w:r>
              <w:rPr>
                <w:rFonts w:eastAsia="MS Mincho"/>
              </w:rPr>
              <w:t>Study type</w:t>
            </w:r>
          </w:p>
        </w:tc>
        <w:tc>
          <w:tcPr>
            <w:tcW w:w="352" w:type="pct"/>
            <w:shd w:val="clear" w:color="auto" w:fill="BFBFBF" w:themeFill="background1" w:themeFillShade="BF"/>
            <w:tcMar>
              <w:left w:w="28" w:type="dxa"/>
              <w:right w:w="28" w:type="dxa"/>
            </w:tcMar>
          </w:tcPr>
          <w:p w14:paraId="14449A9E" w14:textId="650223DF" w:rsidR="00F30861" w:rsidRPr="00C417F4" w:rsidRDefault="00F30861" w:rsidP="00063AF0">
            <w:pPr>
              <w:pStyle w:val="Tableheading"/>
              <w:jc w:val="center"/>
              <w:rPr>
                <w:rFonts w:eastAsia="MS Mincho"/>
                <w:vertAlign w:val="superscript"/>
              </w:rPr>
            </w:pPr>
            <w:r>
              <w:rPr>
                <w:rFonts w:eastAsia="MS Mincho"/>
              </w:rPr>
              <w:t>N</w:t>
            </w:r>
            <w:r w:rsidR="00C417F4">
              <w:rPr>
                <w:rFonts w:eastAsia="MS Mincho"/>
                <w:vertAlign w:val="superscript"/>
              </w:rPr>
              <w:t>1</w:t>
            </w:r>
          </w:p>
        </w:tc>
        <w:tc>
          <w:tcPr>
            <w:tcW w:w="1848" w:type="pct"/>
            <w:shd w:val="clear" w:color="auto" w:fill="BFBFBF" w:themeFill="background1" w:themeFillShade="BF"/>
            <w:tcMar>
              <w:left w:w="28" w:type="dxa"/>
              <w:right w:w="28" w:type="dxa"/>
            </w:tcMar>
          </w:tcPr>
          <w:p w14:paraId="26EC5C9E" w14:textId="77777777" w:rsidR="00F30861" w:rsidRPr="00061F78" w:rsidRDefault="00F30861" w:rsidP="00063AF0">
            <w:pPr>
              <w:pStyle w:val="Tableheading"/>
              <w:jc w:val="center"/>
              <w:rPr>
                <w:rFonts w:eastAsia="MS Mincho"/>
              </w:rPr>
            </w:pPr>
            <w:r w:rsidRPr="00061F78">
              <w:rPr>
                <w:rFonts w:eastAsia="MS Mincho"/>
              </w:rPr>
              <w:t>P</w:t>
            </w:r>
            <w:r>
              <w:rPr>
                <w:rFonts w:eastAsia="MS Mincho"/>
              </w:rPr>
              <w:t>opulation</w:t>
            </w:r>
          </w:p>
        </w:tc>
        <w:tc>
          <w:tcPr>
            <w:tcW w:w="965" w:type="pct"/>
            <w:shd w:val="clear" w:color="auto" w:fill="BFBFBF" w:themeFill="background1" w:themeFillShade="BF"/>
          </w:tcPr>
          <w:p w14:paraId="54A9DC3C" w14:textId="77777777" w:rsidR="00F30861" w:rsidRDefault="00F30861" w:rsidP="00063AF0">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14:paraId="1372C48A" w14:textId="77777777" w:rsidR="00F30861" w:rsidRPr="00061F78" w:rsidRDefault="00F30861" w:rsidP="00063AF0">
            <w:pPr>
              <w:pStyle w:val="Tableheading"/>
              <w:jc w:val="center"/>
              <w:rPr>
                <w:rFonts w:eastAsia="MS Mincho"/>
              </w:rPr>
            </w:pPr>
            <w:r>
              <w:rPr>
                <w:rFonts w:eastAsia="MS Mincho"/>
              </w:rPr>
              <w:t>Outcomes</w:t>
            </w:r>
          </w:p>
        </w:tc>
      </w:tr>
      <w:tr w:rsidR="00260CD7" w:rsidRPr="00061F78" w14:paraId="258CF7D3" w14:textId="77777777" w:rsidTr="00DB200B">
        <w:trPr>
          <w:trHeight w:val="99"/>
        </w:trPr>
        <w:tc>
          <w:tcPr>
            <w:tcW w:w="290" w:type="pct"/>
            <w:shd w:val="clear" w:color="auto" w:fill="D9D9D9" w:themeFill="background1" w:themeFillShade="D9"/>
            <w:tcMar>
              <w:left w:w="28" w:type="dxa"/>
              <w:right w:w="28" w:type="dxa"/>
            </w:tcMar>
          </w:tcPr>
          <w:p w14:paraId="1AD80942" w14:textId="31C6B32F" w:rsidR="00F30861" w:rsidRPr="00061F78" w:rsidRDefault="00F30861" w:rsidP="00063AF0">
            <w:pPr>
              <w:pStyle w:val="Tablewriting"/>
              <w:rPr>
                <w:rFonts w:eastAsia="MS Mincho"/>
              </w:rPr>
            </w:pPr>
            <w:r>
              <w:rPr>
                <w:rFonts w:eastAsia="MS Mincho"/>
              </w:rPr>
              <w:t>Jorenby (1999)</w:t>
            </w:r>
            <w:r w:rsidR="007F2A2D" w:rsidRPr="00061F78">
              <w:rPr>
                <w:rFonts w:eastAsia="MS Mincho"/>
              </w:rPr>
              <w:t xml:space="preserve"> </w:t>
            </w:r>
          </w:p>
        </w:tc>
        <w:tc>
          <w:tcPr>
            <w:tcW w:w="405" w:type="pct"/>
            <w:shd w:val="clear" w:color="auto" w:fill="D9D9D9" w:themeFill="background1" w:themeFillShade="D9"/>
          </w:tcPr>
          <w:p w14:paraId="6CE7EC42" w14:textId="77777777" w:rsidR="00F30861" w:rsidRDefault="00F30861"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14:paraId="185FA487" w14:textId="77777777" w:rsidR="00F30861" w:rsidRDefault="00F30861" w:rsidP="00063AF0">
            <w:pPr>
              <w:pStyle w:val="Tablewriting"/>
              <w:rPr>
                <w:rFonts w:eastAsia="MS Mincho"/>
              </w:rPr>
            </w:pPr>
            <w:r>
              <w:rPr>
                <w:rFonts w:eastAsia="MS Mincho"/>
              </w:rPr>
              <w:t>N=893</w:t>
            </w:r>
          </w:p>
          <w:p w14:paraId="28378EF5" w14:textId="77777777" w:rsidR="00F30861" w:rsidRDefault="00F30861" w:rsidP="00063AF0">
            <w:pPr>
              <w:pStyle w:val="Tablewriting"/>
              <w:rPr>
                <w:rFonts w:eastAsia="MS Mincho"/>
              </w:rPr>
            </w:pPr>
            <w:r>
              <w:rPr>
                <w:rFonts w:eastAsia="MS Mincho"/>
              </w:rPr>
              <w:t>Bupropion (n=244),</w:t>
            </w:r>
          </w:p>
          <w:p w14:paraId="76742484" w14:textId="249A6F63" w:rsidR="00F30861" w:rsidRPr="00061F78" w:rsidRDefault="00294C5B" w:rsidP="00063AF0">
            <w:pPr>
              <w:pStyle w:val="Tablewriting"/>
              <w:rPr>
                <w:rFonts w:eastAsia="MS Mincho"/>
              </w:rPr>
            </w:pPr>
            <w:r>
              <w:rPr>
                <w:rFonts w:eastAsia="MS Mincho"/>
              </w:rPr>
              <w:t>NRT</w:t>
            </w:r>
            <w:r w:rsidR="00F30861">
              <w:rPr>
                <w:rFonts w:eastAsia="MS Mincho"/>
              </w:rPr>
              <w:t xml:space="preserve"> (n=244)</w:t>
            </w:r>
          </w:p>
        </w:tc>
        <w:tc>
          <w:tcPr>
            <w:tcW w:w="1848" w:type="pct"/>
            <w:shd w:val="clear" w:color="auto" w:fill="D9D9D9" w:themeFill="background1" w:themeFillShade="D9"/>
            <w:tcMar>
              <w:left w:w="28" w:type="dxa"/>
              <w:right w:w="28" w:type="dxa"/>
            </w:tcMar>
          </w:tcPr>
          <w:p w14:paraId="02A946F5" w14:textId="77777777" w:rsidR="004A5457" w:rsidRDefault="004A5457" w:rsidP="00063AF0">
            <w:pPr>
              <w:pStyle w:val="Tablewriting"/>
              <w:rPr>
                <w:rFonts w:eastAsia="MS Mincho"/>
              </w:rPr>
            </w:pPr>
            <w:r w:rsidRPr="00280114">
              <w:rPr>
                <w:rFonts w:eastAsia="MS Mincho"/>
                <w:u w:val="single"/>
              </w:rPr>
              <w:t>Inclusion</w:t>
            </w:r>
            <w:r>
              <w:rPr>
                <w:rFonts w:eastAsia="MS Mincho"/>
              </w:rPr>
              <w:t xml:space="preserve">: </w:t>
            </w:r>
            <w:r>
              <w:rPr>
                <w:rFonts w:eastAsia="MS Mincho" w:cstheme="minorHAnsi"/>
              </w:rPr>
              <w:t>≥</w:t>
            </w:r>
            <w:r w:rsidRPr="00280114">
              <w:rPr>
                <w:rFonts w:eastAsia="MS Mincho"/>
              </w:rPr>
              <w:t>18 years</w:t>
            </w:r>
            <w:r>
              <w:rPr>
                <w:rFonts w:eastAsia="MS Mincho"/>
              </w:rPr>
              <w:t xml:space="preserve"> old</w:t>
            </w:r>
            <w:r w:rsidRPr="00280114">
              <w:rPr>
                <w:rFonts w:eastAsia="MS Mincho"/>
              </w:rPr>
              <w:t xml:space="preserve">, </w:t>
            </w:r>
            <w:r>
              <w:rPr>
                <w:rFonts w:eastAsia="MS Mincho" w:cstheme="minorHAnsi"/>
              </w:rPr>
              <w:t>≥</w:t>
            </w:r>
            <w:r w:rsidRPr="00280114">
              <w:rPr>
                <w:rFonts w:eastAsia="MS Mincho"/>
              </w:rPr>
              <w:t>15 cigarettes per day, weigh at least</w:t>
            </w:r>
            <w:r>
              <w:rPr>
                <w:rFonts w:eastAsia="MS Mincho"/>
              </w:rPr>
              <w:t xml:space="preserve"> </w:t>
            </w:r>
            <w:r w:rsidRPr="00280114">
              <w:rPr>
                <w:rFonts w:eastAsia="MS Mincho"/>
              </w:rPr>
              <w:t>45.4 kg, motivated to quit smoking</w:t>
            </w:r>
            <w:r>
              <w:rPr>
                <w:rFonts w:eastAsia="MS Mincho"/>
              </w:rPr>
              <w:t>.</w:t>
            </w:r>
          </w:p>
          <w:p w14:paraId="7055B1EE" w14:textId="3313E6CB" w:rsidR="00F30861" w:rsidRPr="00061F78" w:rsidRDefault="004A5457" w:rsidP="00063AF0">
            <w:pPr>
              <w:pStyle w:val="Tablewriting"/>
              <w:rPr>
                <w:rFonts w:eastAsia="MS Mincho"/>
              </w:rPr>
            </w:pPr>
            <w:r w:rsidRPr="00280114">
              <w:rPr>
                <w:rFonts w:eastAsia="MS Mincho"/>
                <w:u w:val="single"/>
              </w:rPr>
              <w:t>Exclusion</w:t>
            </w:r>
            <w:r>
              <w:rPr>
                <w:rFonts w:eastAsia="MS Mincho"/>
              </w:rPr>
              <w:t xml:space="preserve">: </w:t>
            </w:r>
            <w:r w:rsidRPr="00280114">
              <w:rPr>
                <w:rFonts w:eastAsia="MS Mincho"/>
              </w:rPr>
              <w:t>serious</w:t>
            </w:r>
            <w:r>
              <w:rPr>
                <w:rFonts w:eastAsia="MS Mincho"/>
              </w:rPr>
              <w:t xml:space="preserve"> </w:t>
            </w:r>
            <w:r w:rsidRPr="00280114">
              <w:rPr>
                <w:rFonts w:eastAsia="MS Mincho"/>
              </w:rPr>
              <w:t>or unstable cardiac, renal, hypertensive, pulmonary, endocrine,</w:t>
            </w:r>
            <w:r>
              <w:rPr>
                <w:rFonts w:eastAsia="MS Mincho"/>
              </w:rPr>
              <w:t xml:space="preserve"> </w:t>
            </w:r>
            <w:r w:rsidRPr="00280114">
              <w:rPr>
                <w:rFonts w:eastAsia="MS Mincho"/>
              </w:rPr>
              <w:t>or neurologic disorders;</w:t>
            </w:r>
            <w:r>
              <w:rPr>
                <w:rFonts w:eastAsia="MS Mincho"/>
              </w:rPr>
              <w:t xml:space="preserve"> </w:t>
            </w:r>
            <w:r w:rsidRPr="00280114">
              <w:rPr>
                <w:rFonts w:eastAsia="MS Mincho"/>
              </w:rPr>
              <w:t>ulcers; seizure or dermatologic disorders; a current diagnosis</w:t>
            </w:r>
            <w:r>
              <w:rPr>
                <w:rFonts w:eastAsia="MS Mincho"/>
              </w:rPr>
              <w:t xml:space="preserve"> </w:t>
            </w:r>
            <w:r w:rsidRPr="00280114">
              <w:rPr>
                <w:rFonts w:eastAsia="MS Mincho"/>
              </w:rPr>
              <w:t>of major depressive episode or a history of panic disorder, psychosis,</w:t>
            </w:r>
            <w:r>
              <w:rPr>
                <w:rFonts w:eastAsia="MS Mincho"/>
              </w:rPr>
              <w:t xml:space="preserve"> </w:t>
            </w:r>
            <w:r w:rsidRPr="00280114">
              <w:rPr>
                <w:rFonts w:eastAsia="MS Mincho"/>
              </w:rPr>
              <w:t xml:space="preserve">bipolar disorder, or eating disorders; use of a </w:t>
            </w:r>
            <w:r>
              <w:rPr>
                <w:rFonts w:eastAsia="MS Mincho"/>
              </w:rPr>
              <w:t>NRT</w:t>
            </w:r>
            <w:r w:rsidRPr="00280114">
              <w:rPr>
                <w:rFonts w:eastAsia="MS Mincho"/>
              </w:rPr>
              <w:t xml:space="preserve"> within six months before study enrolment; pregnancy</w:t>
            </w:r>
            <w:r>
              <w:rPr>
                <w:rFonts w:eastAsia="MS Mincho"/>
              </w:rPr>
              <w:t xml:space="preserve"> </w:t>
            </w:r>
            <w:r w:rsidRPr="00280114">
              <w:rPr>
                <w:rFonts w:eastAsia="MS Mincho"/>
              </w:rPr>
              <w:t>or lactation; abuse of alcohol or a non–nicotine-containing</w:t>
            </w:r>
            <w:r>
              <w:rPr>
                <w:rFonts w:eastAsia="MS Mincho"/>
              </w:rPr>
              <w:t xml:space="preserve"> </w:t>
            </w:r>
            <w:r w:rsidRPr="00280114">
              <w:rPr>
                <w:rFonts w:eastAsia="MS Mincho"/>
              </w:rPr>
              <w:t>drug within the preceding year; use of a psychoactive drug within</w:t>
            </w:r>
            <w:r>
              <w:rPr>
                <w:rFonts w:eastAsia="MS Mincho"/>
              </w:rPr>
              <w:t xml:space="preserve"> </w:t>
            </w:r>
            <w:r w:rsidRPr="00280114">
              <w:rPr>
                <w:rFonts w:eastAsia="MS Mincho"/>
              </w:rPr>
              <w:t>the week before enrolment; use of an investigational drug within</w:t>
            </w:r>
            <w:r>
              <w:rPr>
                <w:rFonts w:eastAsia="MS Mincho"/>
              </w:rPr>
              <w:t xml:space="preserve"> </w:t>
            </w:r>
            <w:r w:rsidRPr="00280114">
              <w:rPr>
                <w:rFonts w:eastAsia="MS Mincho"/>
              </w:rPr>
              <w:t>the month before enrolment; prior use of bupropion; current use</w:t>
            </w:r>
            <w:r>
              <w:rPr>
                <w:rFonts w:eastAsia="MS Mincho"/>
              </w:rPr>
              <w:t xml:space="preserve"> </w:t>
            </w:r>
            <w:r w:rsidRPr="00280114">
              <w:rPr>
                <w:rFonts w:eastAsia="MS Mincho"/>
              </w:rPr>
              <w:t>of other smoking-cessation treatments; and regular use of any</w:t>
            </w:r>
            <w:r>
              <w:rPr>
                <w:rFonts w:eastAsia="MS Mincho"/>
              </w:rPr>
              <w:t xml:space="preserve"> </w:t>
            </w:r>
            <w:r w:rsidRPr="00280114">
              <w:rPr>
                <w:rFonts w:eastAsia="MS Mincho"/>
              </w:rPr>
              <w:t>non</w:t>
            </w:r>
            <w:r>
              <w:rPr>
                <w:rFonts w:eastAsia="MS Mincho"/>
              </w:rPr>
              <w:t>-</w:t>
            </w:r>
            <w:r w:rsidRPr="00280114">
              <w:rPr>
                <w:rFonts w:eastAsia="MS Mincho"/>
              </w:rPr>
              <w:t>cigarette tobacco product.</w:t>
            </w:r>
          </w:p>
        </w:tc>
        <w:tc>
          <w:tcPr>
            <w:tcW w:w="965" w:type="pct"/>
            <w:shd w:val="clear" w:color="auto" w:fill="D9D9D9" w:themeFill="background1" w:themeFillShade="D9"/>
          </w:tcPr>
          <w:p w14:paraId="2297E768" w14:textId="7ECFAD01" w:rsidR="00F30861" w:rsidRDefault="00F30861" w:rsidP="00063AF0">
            <w:pPr>
              <w:pStyle w:val="Tablewriting"/>
              <w:rPr>
                <w:rFonts w:eastAsia="MS Mincho"/>
              </w:rPr>
            </w:pPr>
            <w:r w:rsidRPr="00A34E7B">
              <w:rPr>
                <w:rFonts w:eastAsia="MS Mincho"/>
              </w:rPr>
              <w:t xml:space="preserve">Bupropion: </w:t>
            </w:r>
            <w:r>
              <w:rPr>
                <w:rFonts w:eastAsia="MS Mincho"/>
              </w:rPr>
              <w:t>150</w:t>
            </w:r>
            <w:r w:rsidR="008A1296">
              <w:rPr>
                <w:rFonts w:eastAsia="MS Mincho"/>
              </w:rPr>
              <w:t xml:space="preserve"> </w:t>
            </w:r>
            <w:r>
              <w:rPr>
                <w:rFonts w:eastAsia="MS Mincho"/>
              </w:rPr>
              <w:t xml:space="preserve">mg </w:t>
            </w:r>
            <w:r w:rsidR="00F84183">
              <w:rPr>
                <w:rFonts w:eastAsia="MS Mincho"/>
              </w:rPr>
              <w:t>once daily</w:t>
            </w:r>
            <w:r>
              <w:rPr>
                <w:rFonts w:eastAsia="MS Mincho"/>
              </w:rPr>
              <w:t xml:space="preserve"> Day 1-3</w:t>
            </w:r>
            <w:r w:rsidR="00F84183">
              <w:rPr>
                <w:rFonts w:eastAsia="MS Mincho"/>
              </w:rPr>
              <w:t>, followed by 150</w:t>
            </w:r>
            <w:r w:rsidR="008A1296">
              <w:rPr>
                <w:rFonts w:eastAsia="MS Mincho"/>
              </w:rPr>
              <w:t xml:space="preserve"> </w:t>
            </w:r>
            <w:r w:rsidR="00F84183">
              <w:rPr>
                <w:rFonts w:eastAsia="MS Mincho"/>
              </w:rPr>
              <w:t>mg twice daily</w:t>
            </w:r>
            <w:r>
              <w:rPr>
                <w:rFonts w:eastAsia="MS Mincho"/>
              </w:rPr>
              <w:t xml:space="preserve"> Day 4-63</w:t>
            </w:r>
            <w:r w:rsidR="00753E0A">
              <w:rPr>
                <w:rFonts w:eastAsia="MS Mincho"/>
              </w:rPr>
              <w:t>;</w:t>
            </w:r>
          </w:p>
          <w:p w14:paraId="4044F55C" w14:textId="319A947A" w:rsidR="00F30861" w:rsidRDefault="00BE4854" w:rsidP="00063AF0">
            <w:pPr>
              <w:pStyle w:val="Tablewriting"/>
              <w:rPr>
                <w:rFonts w:eastAsia="MS Mincho"/>
              </w:rPr>
            </w:pPr>
            <w:r>
              <w:rPr>
                <w:rFonts w:eastAsia="MS Mincho"/>
              </w:rPr>
              <w:t>NRT patch</w:t>
            </w:r>
            <w:r w:rsidR="00F30861">
              <w:rPr>
                <w:rFonts w:eastAsia="MS Mincho"/>
              </w:rPr>
              <w:t xml:space="preserve">: </w:t>
            </w:r>
            <w:r>
              <w:rPr>
                <w:rFonts w:eastAsia="MS Mincho"/>
              </w:rPr>
              <w:t>one patch per day for 8 weeks (21</w:t>
            </w:r>
            <w:r w:rsidR="008A1296">
              <w:rPr>
                <w:rFonts w:eastAsia="MS Mincho"/>
              </w:rPr>
              <w:t xml:space="preserve"> </w:t>
            </w:r>
            <w:r>
              <w:rPr>
                <w:rFonts w:eastAsia="MS Mincho"/>
              </w:rPr>
              <w:t xml:space="preserve">mg patch </w:t>
            </w:r>
            <w:r w:rsidR="005134FB">
              <w:rPr>
                <w:rFonts w:eastAsia="MS Mincho"/>
              </w:rPr>
              <w:t>w</w:t>
            </w:r>
            <w:r>
              <w:rPr>
                <w:rFonts w:eastAsia="MS Mincho"/>
              </w:rPr>
              <w:t>eek 2-7, 14</w:t>
            </w:r>
            <w:r w:rsidR="008A1296">
              <w:rPr>
                <w:rFonts w:eastAsia="MS Mincho"/>
              </w:rPr>
              <w:t xml:space="preserve"> </w:t>
            </w:r>
            <w:r>
              <w:rPr>
                <w:rFonts w:eastAsia="MS Mincho"/>
              </w:rPr>
              <w:t xml:space="preserve">mg patch </w:t>
            </w:r>
            <w:r w:rsidR="005134FB">
              <w:rPr>
                <w:rFonts w:eastAsia="MS Mincho"/>
              </w:rPr>
              <w:t>w</w:t>
            </w:r>
            <w:r>
              <w:rPr>
                <w:rFonts w:eastAsia="MS Mincho"/>
              </w:rPr>
              <w:t>eek 8 and 7</w:t>
            </w:r>
            <w:r w:rsidR="008A1296">
              <w:rPr>
                <w:rFonts w:eastAsia="MS Mincho"/>
              </w:rPr>
              <w:t xml:space="preserve"> </w:t>
            </w:r>
            <w:r>
              <w:rPr>
                <w:rFonts w:eastAsia="MS Mincho"/>
              </w:rPr>
              <w:t xml:space="preserve">mg patch </w:t>
            </w:r>
            <w:r w:rsidR="005134FB">
              <w:rPr>
                <w:rFonts w:eastAsia="MS Mincho"/>
              </w:rPr>
              <w:t>w</w:t>
            </w:r>
            <w:r>
              <w:rPr>
                <w:rFonts w:eastAsia="MS Mincho"/>
              </w:rPr>
              <w:t>eek 9)</w:t>
            </w:r>
            <w:r w:rsidR="00F6274F">
              <w:rPr>
                <w:rFonts w:eastAsia="MS Mincho"/>
              </w:rPr>
              <w:t>.</w:t>
            </w:r>
          </w:p>
          <w:p w14:paraId="128E096B" w14:textId="77777777" w:rsidR="00BF38EB" w:rsidRDefault="00BF38EB" w:rsidP="00063AF0">
            <w:pPr>
              <w:pStyle w:val="Tablewriting"/>
              <w:rPr>
                <w:rFonts w:eastAsia="MS Mincho"/>
              </w:rPr>
            </w:pPr>
          </w:p>
          <w:p w14:paraId="389542A5" w14:textId="55AAC8D7" w:rsidR="00BF38EB" w:rsidRPr="00A34E7B" w:rsidRDefault="00BF38EB" w:rsidP="00063AF0">
            <w:pPr>
              <w:pStyle w:val="Tablewriting"/>
              <w:rPr>
                <w:rFonts w:eastAsia="MS Mincho"/>
              </w:rPr>
            </w:pPr>
            <w:r w:rsidRPr="00BF38EB">
              <w:rPr>
                <w:rFonts w:eastAsia="MS Mincho"/>
              </w:rPr>
              <w:t>Behavioural support provided in both arms.</w:t>
            </w:r>
          </w:p>
        </w:tc>
        <w:tc>
          <w:tcPr>
            <w:tcW w:w="1140" w:type="pct"/>
            <w:shd w:val="clear" w:color="auto" w:fill="D9D9D9" w:themeFill="background1" w:themeFillShade="D9"/>
            <w:tcMar>
              <w:left w:w="28" w:type="dxa"/>
              <w:right w:w="28" w:type="dxa"/>
            </w:tcMar>
          </w:tcPr>
          <w:p w14:paraId="512A80D1" w14:textId="4ED4D96F" w:rsidR="00F30861" w:rsidRDefault="00F30861" w:rsidP="00063AF0">
            <w:pPr>
              <w:pStyle w:val="Tablewriting"/>
              <w:rPr>
                <w:rFonts w:eastAsia="MS Mincho"/>
              </w:rPr>
            </w:pPr>
            <w:r w:rsidRPr="00280114">
              <w:rPr>
                <w:rFonts w:eastAsia="MS Mincho"/>
                <w:u w:val="single"/>
              </w:rPr>
              <w:t>Primary</w:t>
            </w:r>
            <w:r>
              <w:rPr>
                <w:rFonts w:eastAsia="MS Mincho"/>
              </w:rPr>
              <w:t>:</w:t>
            </w:r>
            <w:r w:rsidR="00533B8C">
              <w:rPr>
                <w:rFonts w:eastAsia="MS Mincho"/>
              </w:rPr>
              <w:t xml:space="preserve"> 7-day</w:t>
            </w:r>
            <w:r>
              <w:rPr>
                <w:rFonts w:eastAsia="MS Mincho"/>
              </w:rPr>
              <w:t xml:space="preserve"> </w:t>
            </w:r>
            <w:r w:rsidR="004A5457" w:rsidRPr="004A5457">
              <w:rPr>
                <w:rFonts w:eastAsia="MS Mincho"/>
              </w:rPr>
              <w:t>PPA at 6 and 12 months of follow-up. CAR at all clinic visits over 12 months</w:t>
            </w:r>
            <w:r w:rsidR="004A5457">
              <w:rPr>
                <w:rFonts w:eastAsia="MS Mincho"/>
              </w:rPr>
              <w:t>.</w:t>
            </w:r>
            <w:r w:rsidR="004A5457" w:rsidRPr="004A5457">
              <w:rPr>
                <w:rFonts w:eastAsia="MS Mincho"/>
              </w:rPr>
              <w:t xml:space="preserve"> </w:t>
            </w:r>
            <w:r w:rsidR="007E2A23">
              <w:rPr>
                <w:rFonts w:eastAsia="MS Mincho"/>
              </w:rPr>
              <w:t>Validated by CO</w:t>
            </w:r>
            <w:r w:rsidR="0092547F">
              <w:rPr>
                <w:rFonts w:eastAsia="MS Mincho"/>
              </w:rPr>
              <w:t xml:space="preserve"> </w:t>
            </w:r>
            <w:r w:rsidR="00C42C93">
              <w:rPr>
                <w:rFonts w:eastAsia="MS Mincho" w:cstheme="minorHAnsi"/>
              </w:rPr>
              <w:t>≤</w:t>
            </w:r>
            <w:r w:rsidR="007E2A23">
              <w:rPr>
                <w:rFonts w:eastAsia="MS Mincho"/>
              </w:rPr>
              <w:t>10</w:t>
            </w:r>
            <w:r w:rsidR="008C5D20">
              <w:rPr>
                <w:rFonts w:eastAsia="MS Mincho"/>
              </w:rPr>
              <w:t xml:space="preserve"> </w:t>
            </w:r>
            <w:r w:rsidR="007E2A23">
              <w:rPr>
                <w:rFonts w:eastAsia="MS Mincho"/>
              </w:rPr>
              <w:t>ppm.</w:t>
            </w:r>
          </w:p>
          <w:p w14:paraId="669CB9B3" w14:textId="6B1BD412" w:rsidR="00F30861" w:rsidRPr="00061F78" w:rsidRDefault="00F30861" w:rsidP="00063AF0">
            <w:pPr>
              <w:pStyle w:val="Tablewriting"/>
              <w:rPr>
                <w:rFonts w:eastAsia="MS Mincho"/>
              </w:rPr>
            </w:pPr>
            <w:r w:rsidRPr="00280114">
              <w:rPr>
                <w:rFonts w:eastAsia="MS Mincho"/>
                <w:u w:val="single"/>
              </w:rPr>
              <w:t>Secondary</w:t>
            </w:r>
            <w:r>
              <w:rPr>
                <w:rFonts w:eastAsia="MS Mincho"/>
              </w:rPr>
              <w:t xml:space="preserve">: </w:t>
            </w:r>
            <w:r w:rsidRPr="00280114">
              <w:rPr>
                <w:rFonts w:eastAsia="MS Mincho"/>
              </w:rPr>
              <w:t>withdrawal symptoms, body weight, and</w:t>
            </w:r>
            <w:r>
              <w:rPr>
                <w:rFonts w:eastAsia="MS Mincho"/>
              </w:rPr>
              <w:t xml:space="preserve"> </w:t>
            </w:r>
            <w:r w:rsidRPr="00280114">
              <w:rPr>
                <w:rFonts w:eastAsia="MS Mincho"/>
              </w:rPr>
              <w:t>B</w:t>
            </w:r>
            <w:r w:rsidR="004A5457">
              <w:rPr>
                <w:rFonts w:eastAsia="MS Mincho"/>
              </w:rPr>
              <w:t>DI</w:t>
            </w:r>
            <w:r w:rsidRPr="00280114">
              <w:rPr>
                <w:rFonts w:eastAsia="MS Mincho"/>
              </w:rPr>
              <w:t xml:space="preserve"> scores.</w:t>
            </w:r>
          </w:p>
        </w:tc>
      </w:tr>
      <w:tr w:rsidR="00260CD7" w:rsidRPr="00061F78" w14:paraId="256C3C30" w14:textId="77777777" w:rsidTr="00DB200B">
        <w:trPr>
          <w:trHeight w:val="149"/>
        </w:trPr>
        <w:tc>
          <w:tcPr>
            <w:tcW w:w="290" w:type="pct"/>
            <w:shd w:val="clear" w:color="auto" w:fill="D9D9D9" w:themeFill="background1" w:themeFillShade="D9"/>
            <w:tcMar>
              <w:left w:w="28" w:type="dxa"/>
              <w:right w:w="28" w:type="dxa"/>
            </w:tcMar>
          </w:tcPr>
          <w:p w14:paraId="2CCF7206" w14:textId="04009887" w:rsidR="002F14B4" w:rsidRDefault="002F14B4" w:rsidP="00063AF0">
            <w:pPr>
              <w:pStyle w:val="Tablewriting"/>
              <w:rPr>
                <w:rFonts w:eastAsia="MS Mincho"/>
              </w:rPr>
            </w:pPr>
            <w:r>
              <w:rPr>
                <w:rFonts w:eastAsia="MS Mincho"/>
              </w:rPr>
              <w:t>Gorecka (2003)</w:t>
            </w:r>
            <w:r w:rsidR="007F2A2D">
              <w:rPr>
                <w:rFonts w:eastAsia="MS Mincho"/>
              </w:rPr>
              <w:t xml:space="preserve"> </w:t>
            </w:r>
          </w:p>
        </w:tc>
        <w:tc>
          <w:tcPr>
            <w:tcW w:w="405" w:type="pct"/>
            <w:shd w:val="clear" w:color="auto" w:fill="D9D9D9" w:themeFill="background1" w:themeFillShade="D9"/>
          </w:tcPr>
          <w:p w14:paraId="2D5624C6" w14:textId="68ECE8C7"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14:paraId="4B435944" w14:textId="77777777" w:rsidR="002F14B4" w:rsidRDefault="00FA26EA" w:rsidP="00063AF0">
            <w:pPr>
              <w:pStyle w:val="Tablewriting"/>
              <w:rPr>
                <w:rFonts w:eastAsia="MS Mincho"/>
              </w:rPr>
            </w:pPr>
            <w:r>
              <w:rPr>
                <w:rFonts w:eastAsia="MS Mincho"/>
              </w:rPr>
              <w:t>N=</w:t>
            </w:r>
            <w:r w:rsidR="00111D2C">
              <w:rPr>
                <w:rFonts w:eastAsia="MS Mincho"/>
              </w:rPr>
              <w:t>70</w:t>
            </w:r>
          </w:p>
          <w:p w14:paraId="73C350F5" w14:textId="77777777" w:rsidR="008E5B1C" w:rsidRDefault="008E5B1C" w:rsidP="00063AF0">
            <w:pPr>
              <w:pStyle w:val="Tablewriting"/>
              <w:rPr>
                <w:rFonts w:eastAsia="MS Mincho"/>
              </w:rPr>
            </w:pPr>
            <w:r>
              <w:rPr>
                <w:rFonts w:eastAsia="MS Mincho"/>
              </w:rPr>
              <w:t xml:space="preserve">Bupropion (n=32), NRT </w:t>
            </w:r>
          </w:p>
          <w:p w14:paraId="5CCD9C8A" w14:textId="5DB13ECE" w:rsidR="008E5B1C" w:rsidRDefault="008E5B1C" w:rsidP="00063AF0">
            <w:pPr>
              <w:pStyle w:val="Tablewriting"/>
              <w:rPr>
                <w:rFonts w:eastAsia="MS Mincho"/>
              </w:rPr>
            </w:pPr>
            <w:r>
              <w:rPr>
                <w:rFonts w:eastAsia="MS Mincho"/>
              </w:rPr>
              <w:t>(n=38)</w:t>
            </w:r>
          </w:p>
        </w:tc>
        <w:tc>
          <w:tcPr>
            <w:tcW w:w="1848" w:type="pct"/>
            <w:shd w:val="clear" w:color="auto" w:fill="D9D9D9" w:themeFill="background1" w:themeFillShade="D9"/>
            <w:tcMar>
              <w:left w:w="28" w:type="dxa"/>
              <w:right w:w="28" w:type="dxa"/>
            </w:tcMar>
          </w:tcPr>
          <w:p w14:paraId="73B73986" w14:textId="0E30BF73" w:rsidR="002F14B4" w:rsidRDefault="00121BBA" w:rsidP="00063AF0">
            <w:pPr>
              <w:pStyle w:val="Tablewriting"/>
              <w:rPr>
                <w:rFonts w:eastAsia="MS Mincho"/>
              </w:rPr>
            </w:pPr>
            <w:r w:rsidRPr="00121BBA">
              <w:rPr>
                <w:rFonts w:eastAsia="MS Mincho"/>
              </w:rPr>
              <w:t>43% female; average age 56</w:t>
            </w:r>
            <w:r w:rsidR="00DE2C86">
              <w:rPr>
                <w:rFonts w:eastAsia="MS Mincho"/>
              </w:rPr>
              <w:t xml:space="preserve"> years old</w:t>
            </w:r>
            <w:r w:rsidRPr="00121BBA">
              <w:rPr>
                <w:rFonts w:eastAsia="MS Mincho"/>
              </w:rPr>
              <w:t xml:space="preserve">; average </w:t>
            </w:r>
            <w:r w:rsidR="00DE2C86">
              <w:rPr>
                <w:rFonts w:eastAsia="MS Mincho"/>
              </w:rPr>
              <w:t xml:space="preserve">24 </w:t>
            </w:r>
            <w:r w:rsidRPr="00121BBA">
              <w:rPr>
                <w:rFonts w:eastAsia="MS Mincho"/>
              </w:rPr>
              <w:t>cigarettes per day</w:t>
            </w:r>
            <w:r w:rsidR="00F6274F">
              <w:rPr>
                <w:rFonts w:eastAsia="MS Mincho"/>
              </w:rPr>
              <w:t>.</w:t>
            </w:r>
          </w:p>
          <w:p w14:paraId="0666717D" w14:textId="77777777" w:rsidR="00121BBA" w:rsidRDefault="00121BBA" w:rsidP="00063AF0">
            <w:pPr>
              <w:pStyle w:val="Tablewriting"/>
              <w:rPr>
                <w:rFonts w:eastAsia="MS Mincho"/>
              </w:rPr>
            </w:pPr>
          </w:p>
          <w:p w14:paraId="56FB4774" w14:textId="7F2D5F23" w:rsidR="00121BBA" w:rsidRPr="00121BBA" w:rsidRDefault="00121BBA" w:rsidP="00063AF0">
            <w:pPr>
              <w:pStyle w:val="Tablewriting"/>
              <w:rPr>
                <w:rFonts w:eastAsia="MS Mincho"/>
              </w:rPr>
            </w:pPr>
            <w:r>
              <w:t>Note: fu</w:t>
            </w:r>
            <w:r w:rsidRPr="004A03F9">
              <w:t>ll-text article not readily accessible</w:t>
            </w:r>
            <w:r w:rsidR="00F6274F">
              <w:t>.</w:t>
            </w:r>
          </w:p>
        </w:tc>
        <w:tc>
          <w:tcPr>
            <w:tcW w:w="965" w:type="pct"/>
            <w:shd w:val="clear" w:color="auto" w:fill="D9D9D9" w:themeFill="background1" w:themeFillShade="D9"/>
          </w:tcPr>
          <w:p w14:paraId="49C24ED5" w14:textId="6A303108" w:rsidR="00D839BF" w:rsidRDefault="001D166A" w:rsidP="00063AF0">
            <w:pPr>
              <w:pStyle w:val="Tablewriting"/>
              <w:rPr>
                <w:rFonts w:eastAsia="MS Mincho"/>
              </w:rPr>
            </w:pPr>
            <w:r>
              <w:rPr>
                <w:rFonts w:eastAsia="MS Mincho"/>
              </w:rPr>
              <w:t>Bupropion: 300</w:t>
            </w:r>
            <w:r w:rsidR="008A1296">
              <w:rPr>
                <w:rFonts w:eastAsia="MS Mincho"/>
              </w:rPr>
              <w:t xml:space="preserve"> </w:t>
            </w:r>
            <w:r>
              <w:rPr>
                <w:rFonts w:eastAsia="MS Mincho"/>
              </w:rPr>
              <w:t>mg per day for 7 weeks</w:t>
            </w:r>
            <w:r w:rsidR="00E05587">
              <w:rPr>
                <w:rFonts w:eastAsia="MS Mincho"/>
              </w:rPr>
              <w:t xml:space="preserve">; </w:t>
            </w:r>
            <w:r w:rsidR="00D839BF">
              <w:rPr>
                <w:rFonts w:eastAsia="MS Mincho"/>
              </w:rPr>
              <w:t>NRT patch: 15</w:t>
            </w:r>
            <w:r w:rsidR="008A1296">
              <w:rPr>
                <w:rFonts w:eastAsia="MS Mincho"/>
              </w:rPr>
              <w:t xml:space="preserve"> </w:t>
            </w:r>
            <w:r w:rsidR="00D839BF">
              <w:rPr>
                <w:rFonts w:eastAsia="MS Mincho"/>
              </w:rPr>
              <w:t>mg per day for 8 weeks</w:t>
            </w:r>
            <w:r w:rsidR="00F6274F">
              <w:rPr>
                <w:rFonts w:eastAsia="MS Mincho"/>
              </w:rPr>
              <w:t>.</w:t>
            </w:r>
          </w:p>
          <w:p w14:paraId="2C7A3F03" w14:textId="77777777" w:rsidR="003577D8" w:rsidRDefault="003577D8" w:rsidP="00063AF0">
            <w:pPr>
              <w:pStyle w:val="Tablewriting"/>
              <w:rPr>
                <w:rFonts w:eastAsia="MS Mincho"/>
              </w:rPr>
            </w:pPr>
          </w:p>
          <w:p w14:paraId="00F10782" w14:textId="3CA4539D" w:rsidR="003577D8" w:rsidRDefault="003577D8" w:rsidP="00063AF0">
            <w:pPr>
              <w:pStyle w:val="Tablewriting"/>
              <w:rPr>
                <w:rFonts w:eastAsia="MS Mincho"/>
              </w:rPr>
            </w:pPr>
            <w:r w:rsidRPr="003577D8">
              <w:rPr>
                <w:rFonts w:eastAsia="MS Mincho"/>
              </w:rPr>
              <w:t>Behavioural support provided in both arms.</w:t>
            </w:r>
          </w:p>
        </w:tc>
        <w:tc>
          <w:tcPr>
            <w:tcW w:w="1140" w:type="pct"/>
            <w:shd w:val="clear" w:color="auto" w:fill="D9D9D9" w:themeFill="background1" w:themeFillShade="D9"/>
            <w:tcMar>
              <w:left w:w="28" w:type="dxa"/>
              <w:right w:w="28" w:type="dxa"/>
            </w:tcMar>
          </w:tcPr>
          <w:p w14:paraId="6994EF67" w14:textId="56A6592E" w:rsidR="007134B1" w:rsidRDefault="007134B1" w:rsidP="00063AF0">
            <w:pPr>
              <w:pStyle w:val="Tablewriting"/>
              <w:rPr>
                <w:rFonts w:eastAsia="MS Mincho"/>
              </w:rPr>
            </w:pPr>
            <w:r w:rsidRPr="00280114">
              <w:rPr>
                <w:rFonts w:eastAsia="MS Mincho"/>
                <w:u w:val="single"/>
              </w:rPr>
              <w:t>Primary</w:t>
            </w:r>
            <w:r>
              <w:rPr>
                <w:rFonts w:eastAsia="MS Mincho"/>
              </w:rPr>
              <w:t xml:space="preserve">: </w:t>
            </w:r>
            <w:r w:rsidR="00DE2C86">
              <w:rPr>
                <w:rFonts w:eastAsia="MS Mincho"/>
              </w:rPr>
              <w:t>CAR</w:t>
            </w:r>
            <w:r w:rsidRPr="00280114">
              <w:rPr>
                <w:rFonts w:eastAsia="MS Mincho"/>
              </w:rPr>
              <w:t xml:space="preserve"> at </w:t>
            </w:r>
            <w:r>
              <w:rPr>
                <w:rFonts w:eastAsia="MS Mincho"/>
              </w:rPr>
              <w:t>1 year</w:t>
            </w:r>
            <w:r w:rsidR="00812338">
              <w:rPr>
                <w:rFonts w:eastAsia="MS Mincho"/>
              </w:rPr>
              <w:t>. V</w:t>
            </w:r>
            <w:r w:rsidR="00C27DD1">
              <w:rPr>
                <w:rFonts w:eastAsia="MS Mincho"/>
              </w:rPr>
              <w:t>alidated by CO</w:t>
            </w:r>
            <w:r w:rsidR="0092547F">
              <w:rPr>
                <w:rFonts w:eastAsia="MS Mincho"/>
              </w:rPr>
              <w:t xml:space="preserve"> </w:t>
            </w:r>
            <w:r w:rsidR="00C27DD1">
              <w:rPr>
                <w:rFonts w:eastAsia="MS Mincho"/>
              </w:rPr>
              <w:t>&lt;10</w:t>
            </w:r>
            <w:r w:rsidR="008C5D20">
              <w:rPr>
                <w:rFonts w:eastAsia="MS Mincho"/>
              </w:rPr>
              <w:t xml:space="preserve"> </w:t>
            </w:r>
            <w:r w:rsidR="00C27DD1">
              <w:rPr>
                <w:rFonts w:eastAsia="MS Mincho"/>
              </w:rPr>
              <w:t>ppm</w:t>
            </w:r>
            <w:r w:rsidR="00812338">
              <w:rPr>
                <w:rFonts w:eastAsia="MS Mincho"/>
              </w:rPr>
              <w:t>.</w:t>
            </w:r>
          </w:p>
          <w:p w14:paraId="39B9BBF3" w14:textId="55D602A8" w:rsidR="002F14B4" w:rsidRDefault="007134B1" w:rsidP="00063AF0">
            <w:pPr>
              <w:pStyle w:val="Tablewriting"/>
              <w:rPr>
                <w:rFonts w:eastAsia="MS Mincho"/>
              </w:rPr>
            </w:pPr>
            <w:r w:rsidRPr="00280114">
              <w:rPr>
                <w:rFonts w:eastAsia="MS Mincho"/>
                <w:u w:val="single"/>
              </w:rPr>
              <w:t>Secondary</w:t>
            </w:r>
            <w:r>
              <w:rPr>
                <w:rFonts w:eastAsia="MS Mincho"/>
              </w:rPr>
              <w:t>: adverse events measured for unspecified period</w:t>
            </w:r>
            <w:r w:rsidR="00F6274F">
              <w:rPr>
                <w:rFonts w:eastAsia="MS Mincho"/>
              </w:rPr>
              <w:t>.</w:t>
            </w:r>
          </w:p>
        </w:tc>
      </w:tr>
      <w:tr w:rsidR="00260CD7" w:rsidRPr="00061F78" w14:paraId="168B320A" w14:textId="77777777" w:rsidTr="00DB200B">
        <w:trPr>
          <w:trHeight w:val="149"/>
        </w:trPr>
        <w:tc>
          <w:tcPr>
            <w:tcW w:w="290" w:type="pct"/>
            <w:shd w:val="clear" w:color="auto" w:fill="D9D9D9" w:themeFill="background1" w:themeFillShade="D9"/>
            <w:tcMar>
              <w:left w:w="28" w:type="dxa"/>
              <w:right w:w="28" w:type="dxa"/>
            </w:tcMar>
          </w:tcPr>
          <w:p w14:paraId="3CFED49A" w14:textId="156EC594" w:rsidR="002F14B4" w:rsidRDefault="002F14B4" w:rsidP="00063AF0">
            <w:pPr>
              <w:pStyle w:val="Tablewriting"/>
              <w:rPr>
                <w:rFonts w:eastAsia="MS Mincho"/>
              </w:rPr>
            </w:pPr>
            <w:r>
              <w:rPr>
                <w:rFonts w:eastAsia="MS Mincho"/>
              </w:rPr>
              <w:t>Uyar (2007)</w:t>
            </w:r>
            <w:r w:rsidR="00D46B9D">
              <w:rPr>
                <w:rFonts w:eastAsia="MS Mincho"/>
              </w:rPr>
              <w:t xml:space="preserve"> </w:t>
            </w:r>
          </w:p>
        </w:tc>
        <w:tc>
          <w:tcPr>
            <w:tcW w:w="405" w:type="pct"/>
            <w:shd w:val="clear" w:color="auto" w:fill="D9D9D9" w:themeFill="background1" w:themeFillShade="D9"/>
          </w:tcPr>
          <w:p w14:paraId="172EF6CD" w14:textId="20294818"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14:paraId="16DAA4A3" w14:textId="77777777" w:rsidR="002F14B4" w:rsidRDefault="003B76F2" w:rsidP="00063AF0">
            <w:pPr>
              <w:pStyle w:val="Tablewriting"/>
              <w:rPr>
                <w:rFonts w:eastAsia="MS Mincho"/>
              </w:rPr>
            </w:pPr>
            <w:r>
              <w:rPr>
                <w:rFonts w:eastAsia="MS Mincho"/>
              </w:rPr>
              <w:t>N=131</w:t>
            </w:r>
          </w:p>
          <w:p w14:paraId="4EA5D88D" w14:textId="77777777" w:rsidR="00294C5B" w:rsidRDefault="005F303E" w:rsidP="00063AF0">
            <w:pPr>
              <w:pStyle w:val="Tablewriting"/>
              <w:rPr>
                <w:rFonts w:eastAsia="MS Mincho"/>
              </w:rPr>
            </w:pPr>
            <w:r>
              <w:rPr>
                <w:rFonts w:eastAsia="MS Mincho"/>
              </w:rPr>
              <w:t>Bupropion (n=</w:t>
            </w:r>
            <w:r w:rsidR="00451A7A">
              <w:rPr>
                <w:rFonts w:eastAsia="MS Mincho"/>
              </w:rPr>
              <w:t>50)</w:t>
            </w:r>
            <w:r w:rsidR="00294C5B">
              <w:rPr>
                <w:rFonts w:eastAsia="MS Mincho"/>
              </w:rPr>
              <w:t xml:space="preserve">, NRT </w:t>
            </w:r>
          </w:p>
          <w:p w14:paraId="7FBEE704" w14:textId="4132A30C" w:rsidR="003B76F2" w:rsidRDefault="00294C5B" w:rsidP="00063AF0">
            <w:pPr>
              <w:pStyle w:val="Tablewriting"/>
              <w:rPr>
                <w:rFonts w:eastAsia="MS Mincho"/>
              </w:rPr>
            </w:pPr>
            <w:r>
              <w:rPr>
                <w:rFonts w:eastAsia="MS Mincho"/>
              </w:rPr>
              <w:t>(n=50)</w:t>
            </w:r>
          </w:p>
        </w:tc>
        <w:tc>
          <w:tcPr>
            <w:tcW w:w="1848" w:type="pct"/>
            <w:shd w:val="clear" w:color="auto" w:fill="D9D9D9" w:themeFill="background1" w:themeFillShade="D9"/>
            <w:tcMar>
              <w:left w:w="28" w:type="dxa"/>
              <w:right w:w="28" w:type="dxa"/>
            </w:tcMar>
          </w:tcPr>
          <w:p w14:paraId="05C6521B" w14:textId="60F24440" w:rsidR="002F14B4" w:rsidRPr="004A03F9" w:rsidRDefault="004A03F9" w:rsidP="004A03F9">
            <w:pPr>
              <w:pStyle w:val="Tablewriting"/>
            </w:pPr>
            <w:r w:rsidRPr="004A03F9">
              <w:t>19% female, average age 36</w:t>
            </w:r>
            <w:r w:rsidR="00375984">
              <w:t xml:space="preserve"> years old</w:t>
            </w:r>
            <w:r w:rsidR="00F6274F">
              <w:t>.</w:t>
            </w:r>
          </w:p>
          <w:p w14:paraId="0FDB4F45" w14:textId="77777777" w:rsidR="004A03F9" w:rsidRDefault="004A03F9" w:rsidP="00063AF0">
            <w:pPr>
              <w:pStyle w:val="Tablewriting"/>
              <w:rPr>
                <w:u w:val="single"/>
              </w:rPr>
            </w:pPr>
          </w:p>
          <w:p w14:paraId="59B18EC5" w14:textId="0AA7C30B" w:rsidR="004A03F9" w:rsidRPr="004A03F9" w:rsidRDefault="0006448B" w:rsidP="00063AF0">
            <w:pPr>
              <w:pStyle w:val="Tablewriting"/>
              <w:rPr>
                <w:rFonts w:eastAsia="MS Mincho"/>
              </w:rPr>
            </w:pPr>
            <w:r>
              <w:t>Note: fu</w:t>
            </w:r>
            <w:r w:rsidR="004A03F9" w:rsidRPr="004A03F9">
              <w:t>ll-text article not readily accessible</w:t>
            </w:r>
            <w:r w:rsidR="00F6274F">
              <w:t>.</w:t>
            </w:r>
          </w:p>
        </w:tc>
        <w:tc>
          <w:tcPr>
            <w:tcW w:w="965" w:type="pct"/>
            <w:shd w:val="clear" w:color="auto" w:fill="D9D9D9" w:themeFill="background1" w:themeFillShade="D9"/>
          </w:tcPr>
          <w:p w14:paraId="4CCA2E46" w14:textId="4931417D" w:rsidR="003577D8" w:rsidRDefault="0006448B" w:rsidP="00063AF0">
            <w:pPr>
              <w:pStyle w:val="Tablewriting"/>
              <w:rPr>
                <w:rFonts w:eastAsia="MS Mincho"/>
              </w:rPr>
            </w:pPr>
            <w:r>
              <w:rPr>
                <w:rFonts w:eastAsia="MS Mincho"/>
              </w:rPr>
              <w:t>Bupropion: 300</w:t>
            </w:r>
            <w:r w:rsidR="008A1296">
              <w:rPr>
                <w:rFonts w:eastAsia="MS Mincho"/>
              </w:rPr>
              <w:t xml:space="preserve"> </w:t>
            </w:r>
            <w:r>
              <w:rPr>
                <w:rFonts w:eastAsia="MS Mincho"/>
              </w:rPr>
              <w:t>mg for 7 weeks</w:t>
            </w:r>
            <w:r w:rsidR="00E05587">
              <w:rPr>
                <w:rFonts w:eastAsia="MS Mincho"/>
              </w:rPr>
              <w:t xml:space="preserve">; </w:t>
            </w:r>
            <w:r w:rsidR="00637C28">
              <w:rPr>
                <w:rFonts w:eastAsia="MS Mincho"/>
              </w:rPr>
              <w:t>NRT patch: 21</w:t>
            </w:r>
            <w:r w:rsidR="008A1296">
              <w:rPr>
                <w:rFonts w:eastAsia="MS Mincho"/>
              </w:rPr>
              <w:t xml:space="preserve"> </w:t>
            </w:r>
            <w:r w:rsidR="00637C28">
              <w:rPr>
                <w:rFonts w:eastAsia="MS Mincho"/>
              </w:rPr>
              <w:t>mg for 6 weeks including tapering</w:t>
            </w:r>
            <w:r w:rsidR="00F6274F">
              <w:rPr>
                <w:rFonts w:eastAsia="MS Mincho"/>
              </w:rPr>
              <w:t>.</w:t>
            </w:r>
          </w:p>
          <w:p w14:paraId="52343DC1" w14:textId="77777777" w:rsidR="00E05587" w:rsidRDefault="00E05587" w:rsidP="00063AF0">
            <w:pPr>
              <w:pStyle w:val="Tablewriting"/>
              <w:rPr>
                <w:rFonts w:eastAsia="MS Mincho"/>
              </w:rPr>
            </w:pPr>
          </w:p>
          <w:p w14:paraId="0BBF0166" w14:textId="4E4F45C4" w:rsidR="003577D8" w:rsidRDefault="00CE1534" w:rsidP="00063AF0">
            <w:pPr>
              <w:pStyle w:val="Tablewriting"/>
              <w:rPr>
                <w:rFonts w:eastAsia="MS Mincho"/>
              </w:rPr>
            </w:pPr>
            <w:r w:rsidRPr="00CE1534">
              <w:rPr>
                <w:rFonts w:eastAsia="MS Mincho"/>
              </w:rPr>
              <w:t>Behavioural support provided in both arms.</w:t>
            </w:r>
          </w:p>
        </w:tc>
        <w:tc>
          <w:tcPr>
            <w:tcW w:w="1140" w:type="pct"/>
            <w:shd w:val="clear" w:color="auto" w:fill="D9D9D9" w:themeFill="background1" w:themeFillShade="D9"/>
            <w:tcMar>
              <w:left w:w="28" w:type="dxa"/>
              <w:right w:w="28" w:type="dxa"/>
            </w:tcMar>
          </w:tcPr>
          <w:p w14:paraId="3FD809BE" w14:textId="46B81C17" w:rsidR="004D6DF9" w:rsidRDefault="004D6DF9" w:rsidP="00063AF0">
            <w:pPr>
              <w:pStyle w:val="Tablewriting"/>
              <w:rPr>
                <w:rFonts w:eastAsia="MS Mincho"/>
              </w:rPr>
            </w:pPr>
            <w:r w:rsidRPr="00280114">
              <w:rPr>
                <w:rFonts w:eastAsia="MS Mincho"/>
                <w:u w:val="single"/>
              </w:rPr>
              <w:t>Primary</w:t>
            </w:r>
            <w:r>
              <w:rPr>
                <w:rFonts w:eastAsia="MS Mincho"/>
              </w:rPr>
              <w:t>:</w:t>
            </w:r>
            <w:r w:rsidR="001A7871">
              <w:rPr>
                <w:rFonts w:eastAsia="MS Mincho"/>
              </w:rPr>
              <w:t xml:space="preserve"> </w:t>
            </w:r>
            <w:r w:rsidRPr="00280114">
              <w:rPr>
                <w:rFonts w:eastAsia="MS Mincho"/>
              </w:rPr>
              <w:t xml:space="preserve">abstinence at </w:t>
            </w:r>
            <w:r w:rsidR="001A7871">
              <w:rPr>
                <w:rFonts w:eastAsia="MS Mincho"/>
              </w:rPr>
              <w:t>24 weeks</w:t>
            </w:r>
            <w:r w:rsidR="00E660EB">
              <w:rPr>
                <w:rFonts w:eastAsia="MS Mincho"/>
              </w:rPr>
              <w:t xml:space="preserve"> (definition not specified)</w:t>
            </w:r>
            <w:r w:rsidR="00812338">
              <w:rPr>
                <w:rFonts w:eastAsia="MS Mincho"/>
              </w:rPr>
              <w:t>. V</w:t>
            </w:r>
            <w:r w:rsidR="00391E7B">
              <w:rPr>
                <w:rFonts w:eastAsia="MS Mincho"/>
              </w:rPr>
              <w:t>alidated by CO</w:t>
            </w:r>
            <w:r w:rsidR="0092547F">
              <w:rPr>
                <w:rFonts w:eastAsia="MS Mincho"/>
              </w:rPr>
              <w:t xml:space="preserve"> </w:t>
            </w:r>
            <w:r w:rsidR="00391E7B">
              <w:rPr>
                <w:rFonts w:eastAsia="MS Mincho"/>
              </w:rPr>
              <w:t>&lt;10</w:t>
            </w:r>
            <w:r w:rsidR="008C5D20">
              <w:rPr>
                <w:rFonts w:eastAsia="MS Mincho"/>
              </w:rPr>
              <w:t xml:space="preserve"> </w:t>
            </w:r>
            <w:r w:rsidR="00391E7B">
              <w:rPr>
                <w:rFonts w:eastAsia="MS Mincho"/>
              </w:rPr>
              <w:t>ppm</w:t>
            </w:r>
            <w:r w:rsidR="00812338">
              <w:rPr>
                <w:rFonts w:eastAsia="MS Mincho"/>
              </w:rPr>
              <w:t>.</w:t>
            </w:r>
          </w:p>
          <w:p w14:paraId="39A553C3" w14:textId="01AA2404" w:rsidR="002F14B4" w:rsidRDefault="004D6DF9" w:rsidP="00063AF0">
            <w:pPr>
              <w:pStyle w:val="Tablewriting"/>
              <w:rPr>
                <w:rFonts w:eastAsia="MS Mincho"/>
              </w:rPr>
            </w:pPr>
            <w:r w:rsidRPr="00280114">
              <w:rPr>
                <w:rFonts w:eastAsia="MS Mincho"/>
                <w:u w:val="single"/>
              </w:rPr>
              <w:t>Secondary</w:t>
            </w:r>
            <w:r>
              <w:rPr>
                <w:rFonts w:eastAsia="MS Mincho"/>
              </w:rPr>
              <w:t xml:space="preserve">: </w:t>
            </w:r>
            <w:r w:rsidR="00E660EB">
              <w:rPr>
                <w:rFonts w:eastAsia="MS Mincho"/>
              </w:rPr>
              <w:t>adverse events</w:t>
            </w:r>
            <w:r w:rsidR="00F73440">
              <w:rPr>
                <w:rFonts w:eastAsia="MS Mincho"/>
              </w:rPr>
              <w:t xml:space="preserve"> measured for unspecified period</w:t>
            </w:r>
            <w:r w:rsidR="00F6274F">
              <w:rPr>
                <w:rFonts w:eastAsia="MS Mincho"/>
              </w:rPr>
              <w:t>.</w:t>
            </w:r>
          </w:p>
        </w:tc>
      </w:tr>
      <w:tr w:rsidR="00260CD7" w:rsidRPr="00061F78" w14:paraId="490519FD" w14:textId="77777777" w:rsidTr="00DB200B">
        <w:trPr>
          <w:trHeight w:val="149"/>
        </w:trPr>
        <w:tc>
          <w:tcPr>
            <w:tcW w:w="290" w:type="pct"/>
            <w:shd w:val="clear" w:color="auto" w:fill="D9D9D9" w:themeFill="background1" w:themeFillShade="D9"/>
            <w:tcMar>
              <w:left w:w="28" w:type="dxa"/>
              <w:right w:w="28" w:type="dxa"/>
            </w:tcMar>
          </w:tcPr>
          <w:p w14:paraId="5A175FD2" w14:textId="2A9E1F98" w:rsidR="002F14B4" w:rsidRDefault="002F14B4" w:rsidP="00063AF0">
            <w:pPr>
              <w:pStyle w:val="Tablewriting"/>
              <w:rPr>
                <w:rFonts w:eastAsia="MS Mincho"/>
              </w:rPr>
            </w:pPr>
            <w:r>
              <w:rPr>
                <w:rFonts w:eastAsia="MS Mincho"/>
              </w:rPr>
              <w:t xml:space="preserve">Piper (2009) </w:t>
            </w:r>
          </w:p>
        </w:tc>
        <w:tc>
          <w:tcPr>
            <w:tcW w:w="405" w:type="pct"/>
            <w:shd w:val="clear" w:color="auto" w:fill="D9D9D9" w:themeFill="background1" w:themeFillShade="D9"/>
          </w:tcPr>
          <w:p w14:paraId="4DC3EE87" w14:textId="049F81BD" w:rsidR="002F14B4" w:rsidRDefault="008F5CA6" w:rsidP="00063AF0">
            <w:pPr>
              <w:pStyle w:val="Tablewriting"/>
              <w:rPr>
                <w:rFonts w:eastAsia="MS Mincho"/>
              </w:rPr>
            </w:pPr>
            <w:r>
              <w:rPr>
                <w:rFonts w:eastAsia="MS Mincho"/>
              </w:rPr>
              <w:t>RCT</w:t>
            </w:r>
          </w:p>
        </w:tc>
        <w:tc>
          <w:tcPr>
            <w:tcW w:w="352" w:type="pct"/>
            <w:shd w:val="clear" w:color="auto" w:fill="D9D9D9" w:themeFill="background1" w:themeFillShade="D9"/>
            <w:tcMar>
              <w:left w:w="28" w:type="dxa"/>
              <w:right w:w="28" w:type="dxa"/>
            </w:tcMar>
          </w:tcPr>
          <w:p w14:paraId="654D8596" w14:textId="6DDAA229" w:rsidR="002F14B4" w:rsidRDefault="00710FB8" w:rsidP="00063AF0">
            <w:pPr>
              <w:pStyle w:val="Tablewriting"/>
              <w:rPr>
                <w:rFonts w:eastAsia="MS Mincho"/>
              </w:rPr>
            </w:pPr>
            <w:r>
              <w:rPr>
                <w:rFonts w:eastAsia="MS Mincho"/>
              </w:rPr>
              <w:t>N=1</w:t>
            </w:r>
            <w:r w:rsidR="00D46B9D">
              <w:rPr>
                <w:rFonts w:eastAsia="MS Mincho"/>
              </w:rPr>
              <w:t>,</w:t>
            </w:r>
            <w:r>
              <w:rPr>
                <w:rFonts w:eastAsia="MS Mincho"/>
              </w:rPr>
              <w:t>504</w:t>
            </w:r>
          </w:p>
          <w:p w14:paraId="70A298D1" w14:textId="34DCF006" w:rsidR="00710FB8" w:rsidRDefault="00710FB8" w:rsidP="00063AF0">
            <w:pPr>
              <w:pStyle w:val="Tablewriting"/>
              <w:rPr>
                <w:rFonts w:eastAsia="MS Mincho"/>
              </w:rPr>
            </w:pPr>
            <w:r>
              <w:rPr>
                <w:rFonts w:eastAsia="MS Mincho"/>
              </w:rPr>
              <w:t>Bupropion</w:t>
            </w:r>
            <w:r w:rsidR="00AD7641">
              <w:rPr>
                <w:rFonts w:eastAsia="MS Mincho"/>
              </w:rPr>
              <w:t xml:space="preserve"> (n=26</w:t>
            </w:r>
            <w:r w:rsidR="0005710C">
              <w:rPr>
                <w:rFonts w:eastAsia="MS Mincho"/>
              </w:rPr>
              <w:t>4)</w:t>
            </w:r>
            <w:r w:rsidR="00A5362A">
              <w:rPr>
                <w:rFonts w:eastAsia="MS Mincho"/>
              </w:rPr>
              <w:t>,</w:t>
            </w:r>
            <w:r w:rsidR="004B0A45">
              <w:rPr>
                <w:rFonts w:eastAsia="MS Mincho"/>
              </w:rPr>
              <w:t xml:space="preserve"> NRT patch</w:t>
            </w:r>
            <w:r w:rsidR="003913AB">
              <w:rPr>
                <w:rFonts w:eastAsia="MS Mincho"/>
              </w:rPr>
              <w:t xml:space="preserve"> (n=</w:t>
            </w:r>
            <w:r w:rsidR="00A5362A">
              <w:rPr>
                <w:rFonts w:eastAsia="MS Mincho"/>
              </w:rPr>
              <w:t xml:space="preserve">262), NRT </w:t>
            </w:r>
            <w:r w:rsidR="00A5362A">
              <w:rPr>
                <w:rFonts w:eastAsia="MS Mincho"/>
              </w:rPr>
              <w:lastRenderedPageBreak/>
              <w:t>lozenge (n=260)</w:t>
            </w:r>
          </w:p>
        </w:tc>
        <w:tc>
          <w:tcPr>
            <w:tcW w:w="1848" w:type="pct"/>
            <w:shd w:val="clear" w:color="auto" w:fill="D9D9D9" w:themeFill="background1" w:themeFillShade="D9"/>
            <w:tcMar>
              <w:left w:w="28" w:type="dxa"/>
              <w:right w:w="28" w:type="dxa"/>
            </w:tcMar>
          </w:tcPr>
          <w:p w14:paraId="3AF4AB9C" w14:textId="65FB08ED" w:rsidR="002F14B4" w:rsidRDefault="00B5317A" w:rsidP="00063AF0">
            <w:pPr>
              <w:pStyle w:val="Tablewriting"/>
              <w:rPr>
                <w:rFonts w:eastAsia="MS Mincho"/>
              </w:rPr>
            </w:pPr>
            <w:r>
              <w:rPr>
                <w:rFonts w:eastAsia="MS Mincho"/>
                <w:u w:val="single"/>
              </w:rPr>
              <w:lastRenderedPageBreak/>
              <w:t>Inclusion</w:t>
            </w:r>
            <w:r w:rsidRPr="00B5317A">
              <w:rPr>
                <w:rFonts w:eastAsia="MS Mincho"/>
              </w:rPr>
              <w:t xml:space="preserve">: </w:t>
            </w:r>
            <w:r w:rsidR="00375984">
              <w:rPr>
                <w:rFonts w:eastAsia="MS Mincho"/>
              </w:rPr>
              <w:t>&gt;</w:t>
            </w:r>
            <w:r w:rsidRPr="00B5317A">
              <w:rPr>
                <w:rFonts w:eastAsia="MS Mincho"/>
              </w:rPr>
              <w:t>9 cigarettes per day for at least the past 6</w:t>
            </w:r>
            <w:r>
              <w:rPr>
                <w:rFonts w:eastAsia="MS Mincho"/>
              </w:rPr>
              <w:t xml:space="preserve"> </w:t>
            </w:r>
            <w:r w:rsidRPr="00B5317A">
              <w:rPr>
                <w:rFonts w:eastAsia="MS Mincho"/>
              </w:rPr>
              <w:t>months,</w:t>
            </w:r>
            <w:r>
              <w:rPr>
                <w:rFonts w:eastAsia="MS Mincho"/>
              </w:rPr>
              <w:t xml:space="preserve"> </w:t>
            </w:r>
            <w:r w:rsidRPr="00B5317A">
              <w:rPr>
                <w:rFonts w:eastAsia="MS Mincho"/>
              </w:rPr>
              <w:t xml:space="preserve">alveolar </w:t>
            </w:r>
            <w:r w:rsidR="0092547F">
              <w:rPr>
                <w:rFonts w:eastAsia="MS Mincho"/>
              </w:rPr>
              <w:t>CO &gt;</w:t>
            </w:r>
            <w:r w:rsidRPr="00B5317A">
              <w:rPr>
                <w:rFonts w:eastAsia="MS Mincho"/>
              </w:rPr>
              <w:t>9 ppm,</w:t>
            </w:r>
            <w:r w:rsidR="00057295">
              <w:rPr>
                <w:rFonts w:eastAsia="MS Mincho"/>
              </w:rPr>
              <w:t xml:space="preserve"> </w:t>
            </w:r>
            <w:r w:rsidRPr="00B5317A">
              <w:rPr>
                <w:rFonts w:eastAsia="MS Mincho"/>
              </w:rPr>
              <w:t>motivated to quit smoking.</w:t>
            </w:r>
          </w:p>
          <w:p w14:paraId="28CD79B8" w14:textId="79AA78E8" w:rsidR="00FD437F" w:rsidRPr="00B5317A" w:rsidRDefault="00FD437F" w:rsidP="00063AF0">
            <w:pPr>
              <w:pStyle w:val="Tablewriting"/>
              <w:rPr>
                <w:rFonts w:eastAsia="MS Mincho"/>
              </w:rPr>
            </w:pPr>
            <w:r w:rsidRPr="00393C3D">
              <w:rPr>
                <w:rFonts w:eastAsia="MS Mincho"/>
                <w:u w:val="single"/>
              </w:rPr>
              <w:t>Exclusion</w:t>
            </w:r>
            <w:r>
              <w:rPr>
                <w:rFonts w:eastAsia="MS Mincho"/>
              </w:rPr>
              <w:t xml:space="preserve">: </w:t>
            </w:r>
            <w:r w:rsidRPr="00FD437F">
              <w:rPr>
                <w:rFonts w:eastAsia="MS Mincho"/>
              </w:rPr>
              <w:t>using any form of tobacco other than cigarettes, currently</w:t>
            </w:r>
            <w:r>
              <w:rPr>
                <w:rFonts w:eastAsia="MS Mincho"/>
              </w:rPr>
              <w:t xml:space="preserve"> </w:t>
            </w:r>
            <w:r w:rsidRPr="00FD437F">
              <w:rPr>
                <w:rFonts w:eastAsia="MS Mincho"/>
              </w:rPr>
              <w:t>taking bupropion, or having a current psychosis or schizophrenia</w:t>
            </w:r>
            <w:r>
              <w:rPr>
                <w:rFonts w:eastAsia="MS Mincho"/>
              </w:rPr>
              <w:t xml:space="preserve"> </w:t>
            </w:r>
            <w:r w:rsidRPr="00FD437F">
              <w:rPr>
                <w:rFonts w:eastAsia="MS Mincho"/>
              </w:rPr>
              <w:t>diagnosis</w:t>
            </w:r>
            <w:r w:rsidR="0046498B">
              <w:rPr>
                <w:rFonts w:eastAsia="MS Mincho"/>
              </w:rPr>
              <w:t xml:space="preserve">, </w:t>
            </w:r>
            <w:r w:rsidR="0046498B" w:rsidRPr="0046498B">
              <w:rPr>
                <w:rFonts w:eastAsia="MS Mincho"/>
              </w:rPr>
              <w:t>medical contraindications for any of the study medications,</w:t>
            </w:r>
            <w:r w:rsidR="00393C3D">
              <w:rPr>
                <w:rFonts w:eastAsia="MS Mincho"/>
              </w:rPr>
              <w:t xml:space="preserve"> </w:t>
            </w:r>
            <w:r w:rsidR="0046498B" w:rsidRPr="0046498B">
              <w:rPr>
                <w:rFonts w:eastAsia="MS Mincho"/>
              </w:rPr>
              <w:t>including high alcohol consumption (6 drinks per day</w:t>
            </w:r>
            <w:r w:rsidR="00393C3D">
              <w:rPr>
                <w:rFonts w:eastAsia="MS Mincho"/>
              </w:rPr>
              <w:t xml:space="preserve"> </w:t>
            </w:r>
            <w:r w:rsidR="0046498B" w:rsidRPr="0046498B">
              <w:rPr>
                <w:rFonts w:eastAsia="MS Mincho"/>
              </w:rPr>
              <w:t xml:space="preserve">on 6 or 7 days of the week), a history of seizure, </w:t>
            </w:r>
            <w:r w:rsidR="0046498B" w:rsidRPr="0046498B">
              <w:rPr>
                <w:rFonts w:eastAsia="MS Mincho"/>
              </w:rPr>
              <w:lastRenderedPageBreak/>
              <w:t>high blood</w:t>
            </w:r>
            <w:r w:rsidR="00393C3D">
              <w:rPr>
                <w:rFonts w:eastAsia="MS Mincho"/>
              </w:rPr>
              <w:t xml:space="preserve"> </w:t>
            </w:r>
            <w:r w:rsidR="0046498B" w:rsidRPr="0046498B">
              <w:rPr>
                <w:rFonts w:eastAsia="MS Mincho"/>
              </w:rPr>
              <w:t>pressure (</w:t>
            </w:r>
            <w:r w:rsidR="00393C3D">
              <w:rPr>
                <w:rFonts w:eastAsia="MS Mincho"/>
              </w:rPr>
              <w:t>&gt;</w:t>
            </w:r>
            <w:r w:rsidR="0046498B" w:rsidRPr="0046498B">
              <w:rPr>
                <w:rFonts w:eastAsia="MS Mincho"/>
              </w:rPr>
              <w:t>160/100 mm Hg), bipolar disorder, an eating disorder,</w:t>
            </w:r>
            <w:r w:rsidR="00393C3D">
              <w:rPr>
                <w:rFonts w:eastAsia="MS Mincho"/>
              </w:rPr>
              <w:t xml:space="preserve"> </w:t>
            </w:r>
            <w:r w:rsidR="0046498B" w:rsidRPr="0046498B">
              <w:rPr>
                <w:rFonts w:eastAsia="MS Mincho"/>
              </w:rPr>
              <w:t>a recent cardiac event, or allergies to any of the medi</w:t>
            </w:r>
            <w:r w:rsidR="00393C3D">
              <w:rPr>
                <w:rFonts w:eastAsia="MS Mincho"/>
              </w:rPr>
              <w:t>cation</w:t>
            </w:r>
            <w:r w:rsidR="009559EA">
              <w:rPr>
                <w:rFonts w:eastAsia="MS Mincho"/>
              </w:rPr>
              <w:t xml:space="preserve">s, </w:t>
            </w:r>
            <w:r w:rsidR="004C4EA7">
              <w:rPr>
                <w:rFonts w:eastAsia="MS Mincho"/>
              </w:rPr>
              <w:t>pregnancy,</w:t>
            </w:r>
            <w:r w:rsidR="009559EA">
              <w:rPr>
                <w:rFonts w:eastAsia="MS Mincho"/>
              </w:rPr>
              <w:t xml:space="preserve"> or breastfeeding.</w:t>
            </w:r>
          </w:p>
        </w:tc>
        <w:tc>
          <w:tcPr>
            <w:tcW w:w="965" w:type="pct"/>
            <w:shd w:val="clear" w:color="auto" w:fill="D9D9D9" w:themeFill="background1" w:themeFillShade="D9"/>
          </w:tcPr>
          <w:p w14:paraId="6B1316EB" w14:textId="43220943" w:rsidR="007C7446" w:rsidRDefault="00341301" w:rsidP="00063AF0">
            <w:pPr>
              <w:pStyle w:val="Tablewriting"/>
              <w:rPr>
                <w:rFonts w:eastAsia="MS Mincho"/>
              </w:rPr>
            </w:pPr>
            <w:r>
              <w:rPr>
                <w:rFonts w:eastAsia="MS Mincho"/>
              </w:rPr>
              <w:lastRenderedPageBreak/>
              <w:t>Bupropion: 150</w:t>
            </w:r>
            <w:r w:rsidR="008A1296">
              <w:rPr>
                <w:rFonts w:eastAsia="MS Mincho"/>
              </w:rPr>
              <w:t xml:space="preserve"> </w:t>
            </w:r>
            <w:r>
              <w:rPr>
                <w:rFonts w:eastAsia="MS Mincho"/>
              </w:rPr>
              <w:t>mg twice daily for 9 weeks</w:t>
            </w:r>
            <w:r w:rsidR="00321546">
              <w:rPr>
                <w:rFonts w:eastAsia="MS Mincho"/>
              </w:rPr>
              <w:t xml:space="preserve"> (</w:t>
            </w:r>
            <w:r w:rsidR="00943A9E">
              <w:rPr>
                <w:rFonts w:eastAsia="MS Mincho"/>
              </w:rPr>
              <w:t>1 week pre-quit and 8 weeks post-quit)</w:t>
            </w:r>
            <w:r w:rsidR="00E05587">
              <w:rPr>
                <w:rFonts w:eastAsia="MS Mincho"/>
              </w:rPr>
              <w:t xml:space="preserve">; </w:t>
            </w:r>
            <w:r w:rsidR="00943A9E">
              <w:rPr>
                <w:rFonts w:eastAsia="MS Mincho"/>
              </w:rPr>
              <w:t xml:space="preserve">NRT patch: </w:t>
            </w:r>
            <w:r w:rsidR="00240E55" w:rsidRPr="00240E55">
              <w:rPr>
                <w:rFonts w:eastAsia="MS Mincho"/>
              </w:rPr>
              <w:t>24-hour patch</w:t>
            </w:r>
            <w:r w:rsidR="00240E55">
              <w:rPr>
                <w:rFonts w:eastAsia="MS Mincho"/>
              </w:rPr>
              <w:t xml:space="preserve"> (</w:t>
            </w:r>
            <w:r w:rsidR="00240E55" w:rsidRPr="00240E55">
              <w:rPr>
                <w:rFonts w:eastAsia="MS Mincho"/>
              </w:rPr>
              <w:t>21, 14, and 7 mg</w:t>
            </w:r>
            <w:r w:rsidR="00240E55">
              <w:rPr>
                <w:rFonts w:eastAsia="MS Mincho"/>
              </w:rPr>
              <w:t>)</w:t>
            </w:r>
            <w:r w:rsidR="00240E55" w:rsidRPr="00240E55">
              <w:rPr>
                <w:rFonts w:eastAsia="MS Mincho"/>
              </w:rPr>
              <w:t>; titrated down</w:t>
            </w:r>
            <w:r w:rsidR="00240E55">
              <w:rPr>
                <w:rFonts w:eastAsia="MS Mincho"/>
              </w:rPr>
              <w:t xml:space="preserve"> </w:t>
            </w:r>
            <w:r w:rsidR="00102800">
              <w:rPr>
                <w:rFonts w:eastAsia="MS Mincho"/>
              </w:rPr>
              <w:t>over</w:t>
            </w:r>
            <w:r w:rsidR="00240E55" w:rsidRPr="00240E55">
              <w:rPr>
                <w:rFonts w:eastAsia="MS Mincho"/>
              </w:rPr>
              <w:t xml:space="preserve"> 8 weeks post</w:t>
            </w:r>
            <w:r w:rsidR="00240E55">
              <w:rPr>
                <w:rFonts w:eastAsia="MS Mincho"/>
              </w:rPr>
              <w:t>-</w:t>
            </w:r>
            <w:r w:rsidR="00240E55" w:rsidRPr="00240E55">
              <w:rPr>
                <w:rFonts w:eastAsia="MS Mincho"/>
              </w:rPr>
              <w:t>quit</w:t>
            </w:r>
            <w:r w:rsidR="00E05587">
              <w:rPr>
                <w:rFonts w:eastAsia="MS Mincho"/>
              </w:rPr>
              <w:t xml:space="preserve">; </w:t>
            </w:r>
            <w:r w:rsidR="00613AD4">
              <w:rPr>
                <w:rFonts w:eastAsia="MS Mincho"/>
              </w:rPr>
              <w:t xml:space="preserve">NRT lozenge: </w:t>
            </w:r>
            <w:r w:rsidR="00E17AF2" w:rsidRPr="00E17AF2">
              <w:rPr>
                <w:rFonts w:eastAsia="MS Mincho"/>
              </w:rPr>
              <w:t xml:space="preserve">2 or 4 mg for 12 </w:t>
            </w:r>
            <w:r w:rsidR="00E17AF2" w:rsidRPr="00E17AF2">
              <w:rPr>
                <w:rFonts w:eastAsia="MS Mincho"/>
              </w:rPr>
              <w:lastRenderedPageBreak/>
              <w:t>weeks post</w:t>
            </w:r>
            <w:r w:rsidR="006338CB">
              <w:rPr>
                <w:rFonts w:eastAsia="MS Mincho"/>
              </w:rPr>
              <w:t>-</w:t>
            </w:r>
            <w:r w:rsidR="00E17AF2" w:rsidRPr="00E17AF2">
              <w:rPr>
                <w:rFonts w:eastAsia="MS Mincho"/>
              </w:rPr>
              <w:t>quit</w:t>
            </w:r>
            <w:r w:rsidR="006338CB">
              <w:rPr>
                <w:rFonts w:eastAsia="MS Mincho"/>
              </w:rPr>
              <w:t xml:space="preserve"> (</w:t>
            </w:r>
            <w:r w:rsidR="006338CB" w:rsidRPr="006338CB">
              <w:rPr>
                <w:rFonts w:eastAsia="MS Mincho"/>
              </w:rPr>
              <w:t>based on appropriate dose</w:t>
            </w:r>
            <w:r w:rsidR="006338CB">
              <w:rPr>
                <w:rFonts w:eastAsia="MS Mincho"/>
              </w:rPr>
              <w:t xml:space="preserve"> </w:t>
            </w:r>
            <w:r w:rsidR="006338CB" w:rsidRPr="006338CB">
              <w:rPr>
                <w:rFonts w:eastAsia="MS Mincho"/>
              </w:rPr>
              <w:t>for</w:t>
            </w:r>
            <w:r w:rsidR="006338CB">
              <w:rPr>
                <w:rFonts w:eastAsia="MS Mincho"/>
              </w:rPr>
              <w:t xml:space="preserve"> </w:t>
            </w:r>
            <w:r w:rsidR="006338CB" w:rsidRPr="006338CB">
              <w:rPr>
                <w:rFonts w:eastAsia="MS Mincho"/>
              </w:rPr>
              <w:t>dependence</w:t>
            </w:r>
            <w:r w:rsidR="006338CB">
              <w:rPr>
                <w:rFonts w:eastAsia="MS Mincho"/>
              </w:rPr>
              <w:t xml:space="preserve"> </w:t>
            </w:r>
            <w:r w:rsidR="006338CB" w:rsidRPr="006338CB">
              <w:rPr>
                <w:rFonts w:eastAsia="MS Mincho"/>
              </w:rPr>
              <w:t>level per package instructions</w:t>
            </w:r>
            <w:r w:rsidR="006338CB">
              <w:rPr>
                <w:rFonts w:eastAsia="MS Mincho"/>
              </w:rPr>
              <w:t>)</w:t>
            </w:r>
            <w:r w:rsidR="00F6274F">
              <w:rPr>
                <w:rFonts w:eastAsia="MS Mincho"/>
              </w:rPr>
              <w:t>.</w:t>
            </w:r>
          </w:p>
          <w:p w14:paraId="5D95F793" w14:textId="77777777" w:rsidR="00E05587" w:rsidRDefault="00E05587" w:rsidP="00063AF0">
            <w:pPr>
              <w:pStyle w:val="Tablewriting"/>
              <w:rPr>
                <w:rFonts w:eastAsia="MS Mincho"/>
              </w:rPr>
            </w:pPr>
          </w:p>
          <w:p w14:paraId="6DC361FB" w14:textId="4BE2F9CC" w:rsidR="00BF7550" w:rsidRDefault="00BF7550" w:rsidP="00063AF0">
            <w:pPr>
              <w:pStyle w:val="Tablewriting"/>
              <w:rPr>
                <w:rFonts w:eastAsia="MS Mincho"/>
              </w:rPr>
            </w:pPr>
            <w:r w:rsidRPr="00BF7550">
              <w:rPr>
                <w:rFonts w:eastAsia="MS Mincho"/>
              </w:rPr>
              <w:t>Behavioural support provided in both arms.</w:t>
            </w:r>
          </w:p>
        </w:tc>
        <w:tc>
          <w:tcPr>
            <w:tcW w:w="1140" w:type="pct"/>
            <w:shd w:val="clear" w:color="auto" w:fill="D9D9D9" w:themeFill="background1" w:themeFillShade="D9"/>
            <w:tcMar>
              <w:left w:w="28" w:type="dxa"/>
              <w:right w:w="28" w:type="dxa"/>
            </w:tcMar>
          </w:tcPr>
          <w:p w14:paraId="144D9C16" w14:textId="201A8B27" w:rsidR="002F14B4" w:rsidRDefault="002133CE" w:rsidP="00063AF0">
            <w:pPr>
              <w:pStyle w:val="Tablewriting"/>
              <w:rPr>
                <w:rFonts w:eastAsia="MS Mincho"/>
              </w:rPr>
            </w:pPr>
            <w:r w:rsidRPr="0036499C">
              <w:rPr>
                <w:rFonts w:eastAsia="MS Mincho"/>
                <w:u w:val="single"/>
              </w:rPr>
              <w:lastRenderedPageBreak/>
              <w:t>Primary</w:t>
            </w:r>
            <w:r>
              <w:rPr>
                <w:rFonts w:eastAsia="MS Mincho"/>
              </w:rPr>
              <w:t xml:space="preserve">: </w:t>
            </w:r>
            <w:r w:rsidR="0036499C">
              <w:rPr>
                <w:rFonts w:eastAsia="MS Mincho"/>
              </w:rPr>
              <w:t>7</w:t>
            </w:r>
            <w:r w:rsidR="00533B8C">
              <w:rPr>
                <w:rFonts w:eastAsia="MS Mincho"/>
              </w:rPr>
              <w:t>-</w:t>
            </w:r>
            <w:r w:rsidR="0036499C">
              <w:rPr>
                <w:rFonts w:eastAsia="MS Mincho"/>
              </w:rPr>
              <w:t xml:space="preserve">day </w:t>
            </w:r>
            <w:r w:rsidR="00533B8C">
              <w:rPr>
                <w:rFonts w:eastAsia="MS Mincho"/>
              </w:rPr>
              <w:t>PPA</w:t>
            </w:r>
            <w:r w:rsidR="0036499C">
              <w:rPr>
                <w:rFonts w:eastAsia="MS Mincho"/>
              </w:rPr>
              <w:t xml:space="preserve"> at 6 months. Validated by CO</w:t>
            </w:r>
            <w:r w:rsidR="0092547F">
              <w:rPr>
                <w:rFonts w:eastAsia="MS Mincho"/>
              </w:rPr>
              <w:t xml:space="preserve"> </w:t>
            </w:r>
            <w:r w:rsidR="0036499C">
              <w:rPr>
                <w:rFonts w:eastAsia="MS Mincho"/>
              </w:rPr>
              <w:t>&lt;10</w:t>
            </w:r>
            <w:r w:rsidR="008C5D20">
              <w:rPr>
                <w:rFonts w:eastAsia="MS Mincho"/>
              </w:rPr>
              <w:t xml:space="preserve"> </w:t>
            </w:r>
            <w:r w:rsidR="0036499C">
              <w:rPr>
                <w:rFonts w:eastAsia="MS Mincho"/>
              </w:rPr>
              <w:t>ppm.</w:t>
            </w:r>
          </w:p>
          <w:p w14:paraId="7B92C7BA" w14:textId="77346B7E" w:rsidR="0036499C" w:rsidRDefault="0036499C" w:rsidP="00063AF0">
            <w:pPr>
              <w:pStyle w:val="Tablewriting"/>
              <w:rPr>
                <w:rFonts w:eastAsia="MS Mincho"/>
              </w:rPr>
            </w:pPr>
            <w:r w:rsidRPr="0036499C">
              <w:rPr>
                <w:rFonts w:eastAsia="MS Mincho"/>
                <w:u w:val="single"/>
              </w:rPr>
              <w:t>Secondary</w:t>
            </w:r>
            <w:r>
              <w:rPr>
                <w:rFonts w:eastAsia="MS Mincho"/>
              </w:rPr>
              <w:t>: adverse events measured for 10 weeks</w:t>
            </w:r>
            <w:r w:rsidR="00F6274F">
              <w:rPr>
                <w:rFonts w:eastAsia="MS Mincho"/>
              </w:rPr>
              <w:t>.</w:t>
            </w:r>
          </w:p>
        </w:tc>
      </w:tr>
      <w:tr w:rsidR="00260CD7" w:rsidRPr="00061F78" w14:paraId="59B348E3" w14:textId="77777777" w:rsidTr="005C40D1">
        <w:trPr>
          <w:trHeight w:val="149"/>
        </w:trPr>
        <w:tc>
          <w:tcPr>
            <w:tcW w:w="290" w:type="pct"/>
            <w:tcMar>
              <w:left w:w="28" w:type="dxa"/>
              <w:right w:w="28" w:type="dxa"/>
            </w:tcMar>
          </w:tcPr>
          <w:p w14:paraId="2C0C0D6E" w14:textId="39651C2B" w:rsidR="00F30861" w:rsidRPr="00D07303" w:rsidRDefault="00F30861" w:rsidP="00063AF0">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00D46B9D" w:rsidRPr="00D07303">
              <w:rPr>
                <w:rFonts w:eastAsia="MS Mincho"/>
                <w:vertAlign w:val="superscript"/>
              </w:rPr>
              <w:t xml:space="preserve"> </w:t>
            </w:r>
          </w:p>
        </w:tc>
        <w:tc>
          <w:tcPr>
            <w:tcW w:w="405" w:type="pct"/>
          </w:tcPr>
          <w:p w14:paraId="656BFC24" w14:textId="1E40B800" w:rsidR="00F30861" w:rsidRDefault="00F30861" w:rsidP="00063AF0">
            <w:pPr>
              <w:pStyle w:val="Tablewriting"/>
              <w:rPr>
                <w:rFonts w:eastAsia="MS Mincho"/>
              </w:rPr>
            </w:pPr>
            <w:r>
              <w:rPr>
                <w:rFonts w:eastAsia="MS Mincho"/>
              </w:rPr>
              <w:t xml:space="preserve">Cochrane </w:t>
            </w:r>
            <w:r w:rsidR="004C4EA7">
              <w:rPr>
                <w:rFonts w:eastAsia="MS Mincho"/>
              </w:rPr>
              <w:t>Review (</w:t>
            </w:r>
            <w:r w:rsidR="00BE4854">
              <w:rPr>
                <w:rFonts w:eastAsia="MS Mincho"/>
              </w:rPr>
              <w:t>10</w:t>
            </w:r>
            <w:r>
              <w:rPr>
                <w:rFonts w:eastAsia="MS Mincho"/>
              </w:rPr>
              <w:t xml:space="preserve"> RCTs</w:t>
            </w:r>
            <w:r w:rsidR="00C417F4" w:rsidRPr="00C417F4">
              <w:rPr>
                <w:rFonts w:eastAsia="MS Mincho"/>
                <w:vertAlign w:val="superscript"/>
              </w:rPr>
              <w:t>2</w:t>
            </w:r>
            <w:r>
              <w:rPr>
                <w:rFonts w:eastAsia="MS Mincho"/>
              </w:rPr>
              <w:t>)</w:t>
            </w:r>
          </w:p>
        </w:tc>
        <w:tc>
          <w:tcPr>
            <w:tcW w:w="352" w:type="pct"/>
            <w:tcMar>
              <w:left w:w="28" w:type="dxa"/>
              <w:right w:w="28" w:type="dxa"/>
            </w:tcMar>
          </w:tcPr>
          <w:p w14:paraId="7AB4E058" w14:textId="4D6A5D20" w:rsidR="00F30861" w:rsidRDefault="00F30861" w:rsidP="00063AF0">
            <w:pPr>
              <w:pStyle w:val="Tablewriting"/>
              <w:rPr>
                <w:rFonts w:eastAsia="MS Mincho"/>
              </w:rPr>
            </w:pPr>
            <w:r>
              <w:rPr>
                <w:rFonts w:eastAsia="MS Mincho"/>
              </w:rPr>
              <w:t>N=</w:t>
            </w:r>
            <w:r w:rsidR="00BE4854">
              <w:rPr>
                <w:rFonts w:eastAsia="MS Mincho"/>
              </w:rPr>
              <w:t>8,230</w:t>
            </w:r>
          </w:p>
          <w:p w14:paraId="080F860F" w14:textId="0DF7ECFB" w:rsidR="00F30861" w:rsidRDefault="00F30861" w:rsidP="00063AF0">
            <w:pPr>
              <w:pStyle w:val="Tablewriting"/>
              <w:rPr>
                <w:rFonts w:eastAsia="MS Mincho"/>
              </w:rPr>
            </w:pPr>
            <w:r>
              <w:rPr>
                <w:rFonts w:eastAsia="MS Mincho"/>
              </w:rPr>
              <w:t>Bupropion (n=</w:t>
            </w:r>
            <w:r w:rsidR="00BE4854">
              <w:rPr>
                <w:rFonts w:eastAsia="MS Mincho"/>
              </w:rPr>
              <w:t>3,563</w:t>
            </w:r>
            <w:r>
              <w:rPr>
                <w:rFonts w:eastAsia="MS Mincho"/>
              </w:rPr>
              <w:t>),</w:t>
            </w:r>
          </w:p>
          <w:p w14:paraId="5696AB1D" w14:textId="062A125E" w:rsidR="00F30861" w:rsidRPr="00061F78" w:rsidRDefault="00BE4854" w:rsidP="00063AF0">
            <w:pPr>
              <w:pStyle w:val="Tablewriting"/>
              <w:rPr>
                <w:rFonts w:eastAsia="MS Mincho"/>
              </w:rPr>
            </w:pPr>
            <w:r>
              <w:rPr>
                <w:rFonts w:eastAsia="MS Mincho"/>
              </w:rPr>
              <w:t>NRT</w:t>
            </w:r>
            <w:r w:rsidR="00F30861">
              <w:rPr>
                <w:rFonts w:eastAsia="MS Mincho"/>
              </w:rPr>
              <w:t xml:space="preserve"> (n=</w:t>
            </w:r>
            <w:r>
              <w:rPr>
                <w:rFonts w:eastAsia="MS Mincho"/>
              </w:rPr>
              <w:t>4,667</w:t>
            </w:r>
            <w:r w:rsidR="00F30861">
              <w:rPr>
                <w:rFonts w:eastAsia="MS Mincho"/>
              </w:rPr>
              <w:t>)</w:t>
            </w:r>
          </w:p>
        </w:tc>
        <w:tc>
          <w:tcPr>
            <w:tcW w:w="1848" w:type="pct"/>
            <w:tcMar>
              <w:left w:w="28" w:type="dxa"/>
              <w:right w:w="28" w:type="dxa"/>
            </w:tcMar>
          </w:tcPr>
          <w:p w14:paraId="6D2F642E" w14:textId="77777777" w:rsidR="00F30861" w:rsidRDefault="00F30861" w:rsidP="00063AF0">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14:paraId="4E232116" w14:textId="77777777" w:rsidR="00F30861" w:rsidRPr="00061F78" w:rsidRDefault="00F30861" w:rsidP="00063AF0">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965" w:type="pct"/>
          </w:tcPr>
          <w:p w14:paraId="17ACF196" w14:textId="6CB2BD92" w:rsidR="00F30861" w:rsidRPr="00061F78" w:rsidRDefault="001B0165" w:rsidP="00063AF0">
            <w:pPr>
              <w:pStyle w:val="Tablewriting"/>
              <w:rPr>
                <w:rFonts w:eastAsia="MS Mincho"/>
              </w:rPr>
            </w:pPr>
            <w:r>
              <w:rPr>
                <w:rFonts w:eastAsia="MS Mincho"/>
              </w:rPr>
              <w:t>Bupropion: 150</w:t>
            </w:r>
            <w:r w:rsidR="008A1296">
              <w:rPr>
                <w:rFonts w:eastAsia="MS Mincho"/>
              </w:rPr>
              <w:t xml:space="preserve"> </w:t>
            </w:r>
            <w:r>
              <w:rPr>
                <w:rFonts w:eastAsia="MS Mincho"/>
              </w:rPr>
              <w:t>mg twice daily including titration (</w:t>
            </w:r>
            <w:r w:rsidR="004C4EA7">
              <w:rPr>
                <w:rFonts w:eastAsia="MS Mincho"/>
              </w:rPr>
              <w:t>i.e.,</w:t>
            </w:r>
            <w:r>
              <w:rPr>
                <w:rFonts w:eastAsia="MS Mincho"/>
              </w:rPr>
              <w:t xml:space="preserve"> 150</w:t>
            </w:r>
            <w:r w:rsidR="008A1296">
              <w:rPr>
                <w:rFonts w:eastAsia="MS Mincho"/>
              </w:rPr>
              <w:t xml:space="preserve"> </w:t>
            </w:r>
            <w:r>
              <w:rPr>
                <w:rFonts w:eastAsia="MS Mincho"/>
              </w:rPr>
              <w:t>mg once daily for 3 days, then 150</w:t>
            </w:r>
            <w:r w:rsidR="008A1296">
              <w:rPr>
                <w:rFonts w:eastAsia="MS Mincho"/>
              </w:rPr>
              <w:t xml:space="preserve"> </w:t>
            </w:r>
            <w:r>
              <w:rPr>
                <w:rFonts w:eastAsia="MS Mincho"/>
              </w:rPr>
              <w:t>mg twice daily)</w:t>
            </w:r>
            <w:r w:rsidR="00E05587">
              <w:rPr>
                <w:rFonts w:eastAsia="MS Mincho"/>
              </w:rPr>
              <w:t xml:space="preserve">; </w:t>
            </w:r>
            <w:r w:rsidR="00BE4854">
              <w:rPr>
                <w:rFonts w:eastAsia="MS Mincho"/>
              </w:rPr>
              <w:t>NRT</w:t>
            </w:r>
            <w:r w:rsidR="00F30861">
              <w:rPr>
                <w:rFonts w:eastAsia="MS Mincho"/>
              </w:rPr>
              <w:t xml:space="preserve">: </w:t>
            </w:r>
            <w:r w:rsidR="00BE4854">
              <w:rPr>
                <w:rFonts w:eastAsia="MS Mincho"/>
              </w:rPr>
              <w:t>patch, lozenge, patch</w:t>
            </w:r>
            <w:r w:rsidR="008A1296">
              <w:rPr>
                <w:rFonts w:eastAsia="MS Mincho"/>
              </w:rPr>
              <w:t xml:space="preserve"> </w:t>
            </w:r>
            <w:r w:rsidR="00BE4854">
              <w:rPr>
                <w:rFonts w:eastAsia="MS Mincho"/>
              </w:rPr>
              <w:t>+</w:t>
            </w:r>
            <w:r w:rsidR="008A1296">
              <w:rPr>
                <w:rFonts w:eastAsia="MS Mincho"/>
              </w:rPr>
              <w:t xml:space="preserve"> </w:t>
            </w:r>
            <w:r w:rsidR="00BE4854">
              <w:rPr>
                <w:rFonts w:eastAsia="MS Mincho"/>
              </w:rPr>
              <w:t>lozenge, choice of NRT</w:t>
            </w:r>
            <w:r w:rsidR="00F6274F">
              <w:rPr>
                <w:rFonts w:eastAsia="MS Mincho"/>
              </w:rPr>
              <w:t>.</w:t>
            </w:r>
          </w:p>
        </w:tc>
        <w:tc>
          <w:tcPr>
            <w:tcW w:w="1140" w:type="pct"/>
            <w:tcMar>
              <w:left w:w="28" w:type="dxa"/>
              <w:right w:w="28" w:type="dxa"/>
            </w:tcMar>
          </w:tcPr>
          <w:p w14:paraId="60BCB499" w14:textId="550FEF15" w:rsidR="00F30861" w:rsidRDefault="00F30861" w:rsidP="00063AF0">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F6274F">
              <w:rPr>
                <w:rFonts w:eastAsia="MS Mincho"/>
              </w:rPr>
              <w:t>.</w:t>
            </w:r>
          </w:p>
          <w:p w14:paraId="426938C2" w14:textId="423EC3C5" w:rsidR="00F30861" w:rsidRPr="00061F78" w:rsidRDefault="00F30861" w:rsidP="00063AF0">
            <w:pPr>
              <w:pStyle w:val="Tablewriting"/>
              <w:rPr>
                <w:rFonts w:eastAsia="MS Mincho"/>
              </w:rPr>
            </w:pPr>
            <w:r w:rsidRPr="0036499C">
              <w:rPr>
                <w:rFonts w:eastAsia="MS Mincho"/>
                <w:u w:val="single"/>
              </w:rPr>
              <w:t>Secondary</w:t>
            </w:r>
            <w:r>
              <w:rPr>
                <w:rFonts w:eastAsia="MS Mincho"/>
              </w:rPr>
              <w:t xml:space="preserve">: safety including any adverse events, psychiatric adverse events, serious adverse </w:t>
            </w:r>
            <w:r w:rsidR="004C4EA7">
              <w:rPr>
                <w:rFonts w:eastAsia="MS Mincho"/>
              </w:rPr>
              <w:t>events,</w:t>
            </w:r>
            <w:r>
              <w:rPr>
                <w:rFonts w:eastAsia="MS Mincho"/>
              </w:rPr>
              <w:t xml:space="preserve"> and dropouts due to adverse events</w:t>
            </w:r>
            <w:r w:rsidR="00F6274F">
              <w:rPr>
                <w:rFonts w:eastAsia="MS Mincho"/>
              </w:rPr>
              <w:t>.</w:t>
            </w:r>
          </w:p>
        </w:tc>
      </w:tr>
      <w:tr w:rsidR="0043041A" w:rsidRPr="00061F78" w14:paraId="289019D6" w14:textId="77777777" w:rsidTr="005C40D1">
        <w:trPr>
          <w:trHeight w:val="149"/>
        </w:trPr>
        <w:tc>
          <w:tcPr>
            <w:tcW w:w="290" w:type="pct"/>
            <w:tcMar>
              <w:left w:w="28" w:type="dxa"/>
              <w:right w:w="28" w:type="dxa"/>
            </w:tcMar>
          </w:tcPr>
          <w:p w14:paraId="3EEA618F" w14:textId="156CA97D" w:rsidR="0043041A" w:rsidRDefault="0043041A" w:rsidP="00063AF0">
            <w:pPr>
              <w:pStyle w:val="Tablewriting"/>
              <w:rPr>
                <w:rFonts w:eastAsia="MS Mincho"/>
              </w:rPr>
            </w:pPr>
            <w:r>
              <w:rPr>
                <w:rFonts w:eastAsia="MS Mincho"/>
              </w:rPr>
              <w:t>Benowitz (2018)</w:t>
            </w:r>
            <w:r w:rsidR="00A14D8D">
              <w:rPr>
                <w:rFonts w:eastAsia="MS Mincho"/>
              </w:rPr>
              <w:t xml:space="preserve"> </w:t>
            </w:r>
          </w:p>
        </w:tc>
        <w:tc>
          <w:tcPr>
            <w:tcW w:w="405" w:type="pct"/>
          </w:tcPr>
          <w:p w14:paraId="40AD701C" w14:textId="0EDC339B" w:rsidR="0043041A" w:rsidRPr="00B537F7" w:rsidRDefault="0043041A" w:rsidP="00063AF0">
            <w:pPr>
              <w:pStyle w:val="Tablewriting"/>
              <w:rPr>
                <w:rFonts w:eastAsia="MS Mincho"/>
                <w:vertAlign w:val="superscript"/>
              </w:rPr>
            </w:pPr>
            <w:r>
              <w:rPr>
                <w:rFonts w:eastAsia="MS Mincho"/>
              </w:rPr>
              <w:t>Non-treatment extension safety study of EAGLES (2016)</w:t>
            </w:r>
            <w:r w:rsidR="00411BD4">
              <w:rPr>
                <w:rFonts w:eastAsia="MS Mincho"/>
                <w:vertAlign w:val="superscript"/>
              </w:rPr>
              <w:t>3</w:t>
            </w:r>
          </w:p>
        </w:tc>
        <w:tc>
          <w:tcPr>
            <w:tcW w:w="352" w:type="pct"/>
            <w:tcMar>
              <w:left w:w="28" w:type="dxa"/>
              <w:right w:w="28" w:type="dxa"/>
            </w:tcMar>
          </w:tcPr>
          <w:p w14:paraId="44D41739" w14:textId="77777777" w:rsidR="0043041A" w:rsidRDefault="0043041A" w:rsidP="00063AF0">
            <w:pPr>
              <w:pStyle w:val="Tablewriting"/>
              <w:rPr>
                <w:rFonts w:eastAsia="MS Mincho"/>
              </w:rPr>
            </w:pPr>
            <w:r>
              <w:rPr>
                <w:rFonts w:eastAsia="MS Mincho"/>
              </w:rPr>
              <w:t>N=4,595</w:t>
            </w:r>
          </w:p>
          <w:p w14:paraId="75C4DF5A" w14:textId="77777777" w:rsidR="0094021E" w:rsidRDefault="0043041A" w:rsidP="00063AF0">
            <w:pPr>
              <w:pStyle w:val="Tablewriting"/>
              <w:rPr>
                <w:rFonts w:eastAsia="MS Mincho"/>
              </w:rPr>
            </w:pPr>
            <w:r>
              <w:rPr>
                <w:rFonts w:eastAsia="MS Mincho"/>
              </w:rPr>
              <w:t xml:space="preserve">Bupropion (n=1,166), </w:t>
            </w:r>
            <w:r w:rsidR="0094021E">
              <w:rPr>
                <w:rFonts w:eastAsia="MS Mincho"/>
              </w:rPr>
              <w:t>NRT</w:t>
            </w:r>
          </w:p>
          <w:p w14:paraId="58B2AEBF" w14:textId="4E322BBD" w:rsidR="0043041A" w:rsidRDefault="0043041A" w:rsidP="00063AF0">
            <w:pPr>
              <w:pStyle w:val="Tablewriting"/>
              <w:rPr>
                <w:rFonts w:eastAsia="MS Mincho"/>
              </w:rPr>
            </w:pPr>
            <w:r>
              <w:rPr>
                <w:rFonts w:eastAsia="MS Mincho"/>
              </w:rPr>
              <w:t>(n=1,1</w:t>
            </w:r>
            <w:r w:rsidR="0094021E">
              <w:rPr>
                <w:rFonts w:eastAsia="MS Mincho"/>
              </w:rPr>
              <w:t>16</w:t>
            </w:r>
            <w:r>
              <w:rPr>
                <w:rFonts w:eastAsia="MS Mincho"/>
              </w:rPr>
              <w:t>)</w:t>
            </w:r>
          </w:p>
        </w:tc>
        <w:tc>
          <w:tcPr>
            <w:tcW w:w="1848" w:type="pct"/>
            <w:tcMar>
              <w:left w:w="28" w:type="dxa"/>
              <w:right w:w="28" w:type="dxa"/>
            </w:tcMar>
          </w:tcPr>
          <w:p w14:paraId="65DBBF91" w14:textId="7BF8BD79" w:rsidR="0043041A" w:rsidRDefault="0043041A" w:rsidP="00063AF0">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F6274F">
              <w:rPr>
                <w:rFonts w:eastAsia="MS Mincho" w:cstheme="minorHAnsi"/>
              </w:rPr>
              <w:t>.</w:t>
            </w:r>
          </w:p>
          <w:p w14:paraId="59E6C7A7" w14:textId="3A51035B" w:rsidR="0043041A" w:rsidRPr="002C19B4" w:rsidRDefault="0043041A" w:rsidP="00063AF0">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965" w:type="pct"/>
          </w:tcPr>
          <w:p w14:paraId="05862B96" w14:textId="448711BA" w:rsidR="0043041A" w:rsidRDefault="0043041A" w:rsidP="00063AF0">
            <w:pPr>
              <w:pStyle w:val="Tablewriting"/>
              <w:rPr>
                <w:rFonts w:eastAsia="MS Mincho"/>
              </w:rPr>
            </w:pPr>
            <w:r>
              <w:rPr>
                <w:rFonts w:eastAsia="MS Mincho"/>
              </w:rPr>
              <w:t>No treatment was provided during this study. Prior bupropion and NRT treatments were administered in EAGLES (2016).</w:t>
            </w:r>
          </w:p>
        </w:tc>
        <w:tc>
          <w:tcPr>
            <w:tcW w:w="1140" w:type="pct"/>
            <w:tcMar>
              <w:left w:w="28" w:type="dxa"/>
              <w:right w:w="28" w:type="dxa"/>
            </w:tcMar>
          </w:tcPr>
          <w:p w14:paraId="3514B23D" w14:textId="5F53E2A7" w:rsidR="0043041A" w:rsidRDefault="0043041A" w:rsidP="00063AF0">
            <w:pPr>
              <w:pStyle w:val="Tablewriting"/>
              <w:rPr>
                <w:rFonts w:eastAsia="MS Mincho"/>
              </w:rPr>
            </w:pPr>
            <w:r w:rsidRPr="008C39E4">
              <w:rPr>
                <w:rFonts w:eastAsia="MS Mincho"/>
                <w:u w:val="single"/>
              </w:rPr>
              <w:t>Primary</w:t>
            </w:r>
            <w:r>
              <w:rPr>
                <w:rFonts w:eastAsia="MS Mincho"/>
              </w:rPr>
              <w:t>: Time to major adverse cardiovascular event</w:t>
            </w:r>
            <w:r w:rsidR="00F6274F">
              <w:rPr>
                <w:rFonts w:eastAsia="MS Mincho"/>
              </w:rPr>
              <w:t>.</w:t>
            </w:r>
          </w:p>
          <w:p w14:paraId="0742CBC6" w14:textId="302AFB55" w:rsidR="0043041A" w:rsidRPr="0036499C" w:rsidRDefault="0043041A" w:rsidP="00063AF0">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F6274F">
              <w:rPr>
                <w:rFonts w:eastAsia="MS Mincho"/>
              </w:rPr>
              <w:t>.</w:t>
            </w:r>
          </w:p>
        </w:tc>
      </w:tr>
    </w:tbl>
    <w:p w14:paraId="465CE7B5" w14:textId="77777777" w:rsidR="004A5457" w:rsidRDefault="00F30861" w:rsidP="004A3185">
      <w:pPr>
        <w:pStyle w:val="TableFooter"/>
        <w:keepNext/>
        <w:jc w:val="both"/>
      </w:pPr>
      <w:r>
        <w:t xml:space="preserve">Abbreviations: </w:t>
      </w:r>
      <w:r w:rsidR="004A5457">
        <w:t>BDI = Beck Depression Inventory; CAR = continuous abstinence rate; CO = carbon monoxide; NRT = nicotine replacement therapy; PPA = point prevalence abstinence; RCT = randomised controlled trial</w:t>
      </w:r>
      <w:r w:rsidR="004A5457" w:rsidRPr="00061F78">
        <w:t xml:space="preserve"> </w:t>
      </w:r>
    </w:p>
    <w:p w14:paraId="713B38CD" w14:textId="245E07C5" w:rsidR="00F30861" w:rsidRDefault="00F30861" w:rsidP="004A3185">
      <w:pPr>
        <w:pStyle w:val="TableFooter"/>
        <w:keepNext/>
        <w:jc w:val="both"/>
      </w:pPr>
      <w:r w:rsidRPr="00061F78">
        <w:rPr>
          <w:highlight w:val="lightGray"/>
        </w:rPr>
        <w:t>Shaded</w:t>
      </w:r>
      <w:r w:rsidRPr="00061F78">
        <w:t xml:space="preserve"> = previously considered by the PBAC</w:t>
      </w:r>
    </w:p>
    <w:p w14:paraId="7793F5D9" w14:textId="5D714639" w:rsidR="00C417F4" w:rsidRDefault="00C417F4" w:rsidP="004A3185">
      <w:pPr>
        <w:pStyle w:val="TableFooter"/>
        <w:keepNext/>
        <w:jc w:val="both"/>
      </w:pPr>
      <w:r>
        <w:t>1 Only the number of patients (n) in the relevant arms were included</w:t>
      </w:r>
      <w:r w:rsidR="00F6274F">
        <w:t>.</w:t>
      </w:r>
      <w:r>
        <w:t xml:space="preserve"> </w:t>
      </w:r>
    </w:p>
    <w:p w14:paraId="07FEF58E" w14:textId="2FF2C99D" w:rsidR="00F30861" w:rsidRPr="00061F78" w:rsidRDefault="00C417F4" w:rsidP="004A3185">
      <w:pPr>
        <w:pStyle w:val="TableFooter"/>
        <w:keepNext/>
        <w:jc w:val="both"/>
      </w:pPr>
      <w:r>
        <w:t>2</w:t>
      </w:r>
      <w:r w:rsidR="00F30861">
        <w:t xml:space="preserve"> The characteristics of the individual studies comparing bupropion with </w:t>
      </w:r>
      <w:r w:rsidR="00BE4854">
        <w:t>NRT</w:t>
      </w:r>
      <w:r w:rsidR="00F30861">
        <w:t xml:space="preserve"> included in Howes et al. (2020) are presented in </w:t>
      </w:r>
      <w:r w:rsidR="00F30861" w:rsidRPr="00465A40">
        <w:t>Appendix</w:t>
      </w:r>
      <w:r w:rsidR="00076298">
        <w:t xml:space="preserve"> Table 145</w:t>
      </w:r>
      <w:r w:rsidR="00F30861">
        <w:t xml:space="preserve">. </w:t>
      </w:r>
      <w:r w:rsidR="00A84C52">
        <w:t>Howes et al. (2020) included</w:t>
      </w:r>
      <w:r w:rsidR="000221BF">
        <w:t xml:space="preserve"> studies comparing bupropion with NRT irrespective of NRT formulation. T</w:t>
      </w:r>
      <w:r w:rsidR="00187EAD">
        <w:t xml:space="preserve">he comparisons of bupropion versus </w:t>
      </w:r>
      <w:r w:rsidR="00573F59">
        <w:t>lozenges</w:t>
      </w:r>
      <w:r w:rsidR="00187EAD">
        <w:t xml:space="preserve"> and bupropion versus choice of NRT were included for additional information purposes. </w:t>
      </w:r>
      <w:r w:rsidR="00F84183">
        <w:t>Four studies previously considered by the PBAC (</w:t>
      </w:r>
      <w:r w:rsidR="0081300B" w:rsidRPr="0081300B">
        <w:t>Jorenby et al. 1999, Gorecka et al. 2003, Uyar et al. 2007 and Piper et al. 2009)</w:t>
      </w:r>
      <w:r w:rsidR="00F30861" w:rsidRPr="005B2A6C">
        <w:t xml:space="preserve"> </w:t>
      </w:r>
      <w:r w:rsidR="00F30861">
        <w:t>w</w:t>
      </w:r>
      <w:r w:rsidR="000F1E57">
        <w:t>ere</w:t>
      </w:r>
      <w:r w:rsidR="00F30861">
        <w:t xml:space="preserve"> included in the </w:t>
      </w:r>
      <w:r w:rsidR="00F84183">
        <w:t>primary efficacy analysis</w:t>
      </w:r>
      <w:r w:rsidR="00F30861">
        <w:t xml:space="preserve"> of Howes et al. (2020).</w:t>
      </w:r>
    </w:p>
    <w:p w14:paraId="2E3A350A" w14:textId="194889D3" w:rsidR="00411BD4" w:rsidRPr="00061F78" w:rsidRDefault="00411BD4" w:rsidP="004A3185">
      <w:pPr>
        <w:pStyle w:val="TableFooter"/>
        <w:keepNext/>
        <w:jc w:val="both"/>
      </w:pPr>
      <w:r>
        <w:t xml:space="preserve">3 </w:t>
      </w:r>
      <w:r w:rsidRPr="00411BD4">
        <w:t>Benowitz et al. (2018) was a non-treatment extension of EAGLES (Anthenelli et al. 2016) with a considerable amount of missing data due to lost to follow-up, extension study nonenrollees, no longer willing to participate and death.</w:t>
      </w:r>
    </w:p>
    <w:p w14:paraId="78B158C3" w14:textId="77777777" w:rsidR="00F30861" w:rsidRDefault="00F30861" w:rsidP="00593CA5">
      <w:pPr>
        <w:rPr>
          <w:b/>
          <w:bCs/>
        </w:rPr>
        <w:sectPr w:rsidR="00F30861" w:rsidSect="00F30861">
          <w:pgSz w:w="16838" w:h="11906" w:orient="landscape"/>
          <w:pgMar w:top="1440" w:right="1440" w:bottom="1440" w:left="1440" w:header="708" w:footer="708" w:gutter="0"/>
          <w:cols w:space="708"/>
          <w:titlePg/>
          <w:docGrid w:linePitch="360"/>
        </w:sectPr>
      </w:pPr>
    </w:p>
    <w:p w14:paraId="7324CE42" w14:textId="0909D634" w:rsidR="00B576FE" w:rsidRPr="0073597F" w:rsidRDefault="00B576FE" w:rsidP="004A3185">
      <w:pPr>
        <w:spacing w:after="120"/>
        <w:jc w:val="both"/>
        <w:rPr>
          <w:u w:val="single"/>
        </w:rPr>
      </w:pPr>
      <w:r w:rsidRPr="0073597F">
        <w:rPr>
          <w:u w:val="single"/>
        </w:rPr>
        <w:lastRenderedPageBreak/>
        <w:t>Efficacy</w:t>
      </w:r>
    </w:p>
    <w:p w14:paraId="44892E41" w14:textId="7A5BAC5C" w:rsidR="00202A62" w:rsidRDefault="00B576FE" w:rsidP="004A3185">
      <w:pPr>
        <w:spacing w:after="120"/>
        <w:jc w:val="both"/>
      </w:pPr>
      <w:r>
        <w:t>A summary of the smoking cessation rates</w:t>
      </w:r>
      <w:r w:rsidDel="00430DA7">
        <w:t xml:space="preserve"> </w:t>
      </w:r>
      <w:r w:rsidR="00430DA7">
        <w:t>for</w:t>
      </w:r>
      <w:r>
        <w:t xml:space="preserve"> at least six months follow-up </w:t>
      </w:r>
      <w:r w:rsidR="00827DC0">
        <w:t>comparing bupropion with NRT</w:t>
      </w:r>
      <w:r>
        <w:t xml:space="preserve"> is presented in</w:t>
      </w:r>
      <w:r w:rsidR="00341FBD">
        <w:t xml:space="preserve"> Table 11. </w:t>
      </w:r>
      <w:r w:rsidR="00CC1537">
        <w:t xml:space="preserve">For the comparison of bupropion versus NRT </w:t>
      </w:r>
      <w:r w:rsidR="00573F59">
        <w:t>patches</w:t>
      </w:r>
      <w:r w:rsidR="00CC1537">
        <w:t>, t</w:t>
      </w:r>
      <w:r>
        <w:t xml:space="preserve">he results of Jorenby et al. (1999) demonstrated a statistically significant difference in continuous abstinence rate, in favour of bupropion. </w:t>
      </w:r>
      <w:r w:rsidR="00172C5C">
        <w:t xml:space="preserve">In comparison, the results of </w:t>
      </w:r>
      <w:r w:rsidR="00AC5B9F">
        <w:t>Gorecka et al. (2003)</w:t>
      </w:r>
      <w:r w:rsidR="0081300B">
        <w:t>, Uyar et al. (2007) and Piper et al. (2009)</w:t>
      </w:r>
      <w:r w:rsidR="005B269F">
        <w:t xml:space="preserve"> were not statistically significant. </w:t>
      </w:r>
      <w:r w:rsidR="00282EC7">
        <w:t xml:space="preserve">As previously noted, </w:t>
      </w:r>
      <w:r w:rsidR="00282EC7" w:rsidRPr="00282EC7">
        <w:t>the</w:t>
      </w:r>
      <w:r w:rsidR="00282EC7">
        <w:t xml:space="preserve"> PBAC </w:t>
      </w:r>
      <w:r w:rsidR="009737BA">
        <w:t>ha</w:t>
      </w:r>
      <w:r w:rsidR="00064F60">
        <w:t>d</w:t>
      </w:r>
      <w:r w:rsidR="009737BA">
        <w:t xml:space="preserve"> previously considered the</w:t>
      </w:r>
      <w:r w:rsidR="00282EC7" w:rsidRPr="00282EC7">
        <w:t xml:space="preserve"> meta-analysis of the four studies</w:t>
      </w:r>
      <w:r w:rsidR="00B90BDE">
        <w:t xml:space="preserve"> in March 2010</w:t>
      </w:r>
      <w:r w:rsidR="00282EC7" w:rsidRPr="00282EC7">
        <w:t xml:space="preserve"> </w:t>
      </w:r>
      <w:r w:rsidR="007F1301">
        <w:t>and concluded</w:t>
      </w:r>
      <w:r w:rsidR="00282EC7" w:rsidRPr="00282EC7">
        <w:t xml:space="preserve"> </w:t>
      </w:r>
      <w:r w:rsidR="00521D49">
        <w:t xml:space="preserve">the lack of significant difference </w:t>
      </w:r>
      <w:r w:rsidR="006C399C">
        <w:t xml:space="preserve">between </w:t>
      </w:r>
      <w:r w:rsidR="00C367C9">
        <w:t>NRT</w:t>
      </w:r>
      <w:r w:rsidR="006C399C">
        <w:t xml:space="preserve"> </w:t>
      </w:r>
      <w:r w:rsidR="006B55BA">
        <w:t xml:space="preserve">patches </w:t>
      </w:r>
      <w:r w:rsidR="00C367C9">
        <w:t>and</w:t>
      </w:r>
      <w:r w:rsidR="00282EC7" w:rsidRPr="00282EC7">
        <w:t xml:space="preserve"> bupropion </w:t>
      </w:r>
      <w:r w:rsidR="00255531">
        <w:t>(</w:t>
      </w:r>
      <w:r w:rsidR="00331FD9">
        <w:t>RR</w:t>
      </w:r>
      <w:r w:rsidR="006661D7">
        <w:t>:</w:t>
      </w:r>
      <w:r w:rsidR="00331FD9">
        <w:t xml:space="preserve"> </w:t>
      </w:r>
      <w:r w:rsidR="00F35347">
        <w:t>0.91</w:t>
      </w:r>
      <w:r w:rsidR="006661D7">
        <w:t>;</w:t>
      </w:r>
      <w:r w:rsidR="007D0BC6">
        <w:t xml:space="preserve"> 95%</w:t>
      </w:r>
      <w:r w:rsidR="006661D7">
        <w:t xml:space="preserve"> </w:t>
      </w:r>
      <w:r w:rsidR="007D0BC6">
        <w:t>CI</w:t>
      </w:r>
      <w:r w:rsidR="006661D7">
        <w:t>:</w:t>
      </w:r>
      <w:r w:rsidR="007D0BC6">
        <w:t xml:space="preserve"> </w:t>
      </w:r>
      <w:r w:rsidR="00EB5310">
        <w:t>0.75</w:t>
      </w:r>
      <w:r w:rsidR="00807126">
        <w:t xml:space="preserve">, 1.12) </w:t>
      </w:r>
      <w:r w:rsidR="004E17B7">
        <w:t>supported</w:t>
      </w:r>
      <w:r w:rsidR="00282EC7" w:rsidRPr="00282EC7">
        <w:t xml:space="preserve"> non-inferior</w:t>
      </w:r>
      <w:r w:rsidR="00C367C9">
        <w:t>ity of</w:t>
      </w:r>
      <w:r w:rsidR="00282EC7" w:rsidRPr="00282EC7">
        <w:t xml:space="preserve"> NRT </w:t>
      </w:r>
      <w:r w:rsidR="00573F59">
        <w:t>patches</w:t>
      </w:r>
      <w:r w:rsidR="00282EC7" w:rsidRPr="00282EC7">
        <w:t xml:space="preserve"> </w:t>
      </w:r>
      <w:r w:rsidR="00B31A31">
        <w:t xml:space="preserve">to bupropion </w:t>
      </w:r>
      <w:r w:rsidR="00282EC7" w:rsidRPr="00282EC7">
        <w:t>for sustained abstinence at six months or greater</w:t>
      </w:r>
      <w:r w:rsidR="001C2C64">
        <w:t>.</w:t>
      </w:r>
      <w:r w:rsidR="004C4BCE">
        <w:t xml:space="preserve"> </w:t>
      </w:r>
    </w:p>
    <w:p w14:paraId="063C8B09" w14:textId="5A37A78C" w:rsidR="00CC1537" w:rsidRDefault="00B576FE" w:rsidP="004A3185">
      <w:pPr>
        <w:spacing w:after="120"/>
        <w:jc w:val="both"/>
      </w:pPr>
      <w:r>
        <w:t xml:space="preserve">Based on the Cochrane </w:t>
      </w:r>
      <w:r w:rsidR="004769D7">
        <w:t>R</w:t>
      </w:r>
      <w:r>
        <w:t xml:space="preserve">eview by Howes et al. (2020), the results of the meta-analysis comprising </w:t>
      </w:r>
      <w:r w:rsidR="00CC1537">
        <w:t>eight</w:t>
      </w:r>
      <w:r>
        <w:t xml:space="preserve"> RCTs, which included </w:t>
      </w:r>
      <w:r w:rsidR="00322A12">
        <w:t>the four studies</w:t>
      </w:r>
      <w:r w:rsidR="00DB4FE3">
        <w:t xml:space="preserve"> previously considered by the PBAC</w:t>
      </w:r>
      <w:r>
        <w:t xml:space="preserve">, </w:t>
      </w:r>
      <w:r w:rsidR="00CC1537">
        <w:t xml:space="preserve">were not statistically significant. The point estimate of the relative treatment effect was close to unity, demonstrating </w:t>
      </w:r>
      <w:r w:rsidR="00E004A1">
        <w:t xml:space="preserve">similar efficacy between bupropion and NRT </w:t>
      </w:r>
      <w:r w:rsidR="00573F59">
        <w:t>patches</w:t>
      </w:r>
      <w:r w:rsidR="00E004A1">
        <w:t>.</w:t>
      </w:r>
    </w:p>
    <w:p w14:paraId="002A0C70" w14:textId="24237CEE" w:rsidR="00E004A1" w:rsidRDefault="00E004A1" w:rsidP="004A3185">
      <w:pPr>
        <w:spacing w:after="120"/>
        <w:jc w:val="both"/>
      </w:pPr>
      <w:r>
        <w:t xml:space="preserve">For the comparison of bupropion versus NRT </w:t>
      </w:r>
      <w:r w:rsidR="00573F59">
        <w:t>lozenges</w:t>
      </w:r>
      <w:r>
        <w:t>, the meta-analysis conducted by Howes et al. (2020) showed no statistically significant difference between the two interventions.</w:t>
      </w:r>
      <w:r w:rsidR="00372B6F">
        <w:t xml:space="preserve"> Similarly, no statistically significant difference was observed for the comparison of bupropion versus choice of NRT. </w:t>
      </w:r>
    </w:p>
    <w:p w14:paraId="5F1E636E" w14:textId="77777777" w:rsidR="00D37B20" w:rsidRDefault="00D37B20">
      <w:pPr>
        <w:spacing w:line="276" w:lineRule="auto"/>
        <w:rPr>
          <w:rFonts w:asciiTheme="minorHAnsi" w:eastAsia="Times New Roman" w:hAnsiTheme="minorHAnsi" w:cs="Times New Roman"/>
          <w:b/>
          <w:bCs/>
          <w:szCs w:val="18"/>
        </w:rPr>
      </w:pPr>
      <w:bookmarkStart w:id="44" w:name="_Ref53145314"/>
      <w:r>
        <w:br w:type="page"/>
      </w:r>
    </w:p>
    <w:p w14:paraId="262AE1B4" w14:textId="0A8C1B35" w:rsidR="00B576FE" w:rsidRDefault="00B576FE" w:rsidP="004A3185">
      <w:pPr>
        <w:pStyle w:val="Caption"/>
        <w:keepNext/>
        <w:spacing w:before="0" w:after="120"/>
        <w:jc w:val="both"/>
      </w:pPr>
      <w:r>
        <w:lastRenderedPageBreak/>
        <w:t xml:space="preserve">Table </w:t>
      </w:r>
      <w:r>
        <w:fldChar w:fldCharType="begin"/>
      </w:r>
      <w:r>
        <w:instrText>SEQ Table \* ARABIC</w:instrText>
      </w:r>
      <w:r>
        <w:fldChar w:fldCharType="separate"/>
      </w:r>
      <w:r w:rsidR="00EC5CC7">
        <w:rPr>
          <w:noProof/>
        </w:rPr>
        <w:t>11</w:t>
      </w:r>
      <w:r>
        <w:fldChar w:fldCharType="end"/>
      </w:r>
      <w:bookmarkEnd w:id="44"/>
      <w:r>
        <w:t xml:space="preserve">: Results of smoking cessation </w:t>
      </w:r>
      <w:r w:rsidR="00154B4D">
        <w:t>for</w:t>
      </w:r>
      <w:r>
        <w:t xml:space="preserve"> at least six months follow-up, bupropion versus NRT</w:t>
      </w:r>
    </w:p>
    <w:tbl>
      <w:tblPr>
        <w:tblStyle w:val="TableGrid"/>
        <w:tblW w:w="5000" w:type="pct"/>
        <w:tblLook w:val="04A0" w:firstRow="1" w:lastRow="0" w:firstColumn="1" w:lastColumn="0" w:noHBand="0" w:noVBand="1"/>
        <w:tblCaption w:val="Efficacy results of adalimumab trials (PASI 75 and DLQI)"/>
      </w:tblPr>
      <w:tblGrid>
        <w:gridCol w:w="1295"/>
        <w:gridCol w:w="2333"/>
        <w:gridCol w:w="2081"/>
        <w:gridCol w:w="1709"/>
        <w:gridCol w:w="1598"/>
      </w:tblGrid>
      <w:tr w:rsidR="00187EAD" w:rsidRPr="00061F78" w14:paraId="798E473D" w14:textId="77777777" w:rsidTr="004A3185">
        <w:trPr>
          <w:cantSplit/>
          <w:trHeight w:val="299"/>
          <w:tblHeader/>
        </w:trPr>
        <w:tc>
          <w:tcPr>
            <w:tcW w:w="718" w:type="pct"/>
            <w:shd w:val="clear" w:color="auto" w:fill="BFBFBF" w:themeFill="background1" w:themeFillShade="BF"/>
            <w:tcMar>
              <w:left w:w="28" w:type="dxa"/>
              <w:right w:w="28" w:type="dxa"/>
            </w:tcMar>
          </w:tcPr>
          <w:p w14:paraId="56218297" w14:textId="53DC6C05" w:rsidR="00187EAD" w:rsidRPr="00061F78" w:rsidRDefault="00187EAD" w:rsidP="0094021E">
            <w:pPr>
              <w:pStyle w:val="Tableheading"/>
              <w:rPr>
                <w:rFonts w:eastAsia="MS Mincho"/>
              </w:rPr>
            </w:pPr>
            <w:r>
              <w:rPr>
                <w:rFonts w:eastAsia="MS Mincho"/>
              </w:rPr>
              <w:t>Study</w:t>
            </w:r>
          </w:p>
        </w:tc>
        <w:tc>
          <w:tcPr>
            <w:tcW w:w="1294" w:type="pct"/>
            <w:shd w:val="clear" w:color="auto" w:fill="BFBFBF" w:themeFill="background1" w:themeFillShade="BF"/>
            <w:vAlign w:val="center"/>
          </w:tcPr>
          <w:p w14:paraId="5E9BD0A4" w14:textId="77777777" w:rsidR="00187EAD" w:rsidRDefault="00187EAD" w:rsidP="0094021E">
            <w:pPr>
              <w:pStyle w:val="Tableheading"/>
              <w:jc w:val="center"/>
              <w:rPr>
                <w:rFonts w:eastAsia="MS Mincho"/>
              </w:rPr>
            </w:pPr>
            <w:r>
              <w:rPr>
                <w:rFonts w:eastAsia="MS Mincho"/>
              </w:rPr>
              <w:t>Study type</w:t>
            </w:r>
          </w:p>
        </w:tc>
        <w:tc>
          <w:tcPr>
            <w:tcW w:w="1154" w:type="pct"/>
            <w:shd w:val="clear" w:color="auto" w:fill="BFBFBF" w:themeFill="background1" w:themeFillShade="BF"/>
            <w:tcMar>
              <w:left w:w="28" w:type="dxa"/>
              <w:right w:w="28" w:type="dxa"/>
            </w:tcMar>
            <w:vAlign w:val="center"/>
          </w:tcPr>
          <w:p w14:paraId="1AA0121A" w14:textId="77777777" w:rsidR="00187EAD" w:rsidRPr="00061F78" w:rsidRDefault="00187EAD" w:rsidP="0094021E">
            <w:pPr>
              <w:pStyle w:val="Tableheading"/>
              <w:jc w:val="center"/>
              <w:rPr>
                <w:rFonts w:eastAsia="MS Mincho"/>
              </w:rPr>
            </w:pPr>
            <w:r>
              <w:rPr>
                <w:rFonts w:eastAsia="MS Mincho"/>
              </w:rPr>
              <w:t>Bupropion</w:t>
            </w:r>
          </w:p>
        </w:tc>
        <w:tc>
          <w:tcPr>
            <w:tcW w:w="948" w:type="pct"/>
            <w:shd w:val="clear" w:color="auto" w:fill="BFBFBF" w:themeFill="background1" w:themeFillShade="BF"/>
            <w:tcMar>
              <w:left w:w="28" w:type="dxa"/>
              <w:right w:w="28" w:type="dxa"/>
            </w:tcMar>
            <w:vAlign w:val="center"/>
          </w:tcPr>
          <w:p w14:paraId="09E31FDA" w14:textId="3E65250C" w:rsidR="00187EAD" w:rsidRPr="00061F78" w:rsidRDefault="00187EAD" w:rsidP="0094021E">
            <w:pPr>
              <w:pStyle w:val="Tableheading"/>
              <w:jc w:val="center"/>
              <w:rPr>
                <w:rFonts w:eastAsia="MS Mincho"/>
              </w:rPr>
            </w:pPr>
            <w:r>
              <w:rPr>
                <w:rFonts w:eastAsia="MS Mincho"/>
              </w:rPr>
              <w:t>NRT</w:t>
            </w:r>
          </w:p>
        </w:tc>
        <w:tc>
          <w:tcPr>
            <w:tcW w:w="886" w:type="pct"/>
            <w:shd w:val="clear" w:color="auto" w:fill="BFBFBF" w:themeFill="background1" w:themeFillShade="BF"/>
            <w:tcMar>
              <w:left w:w="28" w:type="dxa"/>
              <w:right w:w="28" w:type="dxa"/>
            </w:tcMar>
            <w:vAlign w:val="center"/>
          </w:tcPr>
          <w:p w14:paraId="4AC03EA7" w14:textId="5D634210" w:rsidR="00187EAD" w:rsidRPr="00D468CF" w:rsidRDefault="00187EAD" w:rsidP="0094021E">
            <w:pPr>
              <w:pStyle w:val="Tableheading"/>
              <w:jc w:val="center"/>
              <w:rPr>
                <w:rFonts w:eastAsia="MS Mincho"/>
                <w:vertAlign w:val="superscript"/>
              </w:rPr>
            </w:pPr>
            <w:r>
              <w:rPr>
                <w:rFonts w:eastAsia="MS Mincho"/>
              </w:rPr>
              <w:t>RR (95% CI)</w:t>
            </w:r>
            <w:r>
              <w:rPr>
                <w:rFonts w:eastAsia="MS Mincho"/>
                <w:vertAlign w:val="superscript"/>
              </w:rPr>
              <w:t>5</w:t>
            </w:r>
          </w:p>
        </w:tc>
      </w:tr>
      <w:tr w:rsidR="00187EAD" w:rsidRPr="00061F78" w14:paraId="62A1C6BF" w14:textId="77777777" w:rsidTr="004A3185">
        <w:trPr>
          <w:cantSplit/>
          <w:trHeight w:val="99"/>
        </w:trPr>
        <w:tc>
          <w:tcPr>
            <w:tcW w:w="5000" w:type="pct"/>
            <w:gridSpan w:val="5"/>
            <w:shd w:val="clear" w:color="auto" w:fill="auto"/>
            <w:tcMar>
              <w:left w:w="28" w:type="dxa"/>
              <w:right w:w="28" w:type="dxa"/>
            </w:tcMar>
          </w:tcPr>
          <w:p w14:paraId="261ACFD2" w14:textId="77777777" w:rsidR="00E90ACA" w:rsidRPr="003954C8" w:rsidRDefault="00E90ACA" w:rsidP="0094021E">
            <w:pPr>
              <w:pStyle w:val="Tablewriting"/>
              <w:rPr>
                <w:rFonts w:eastAsia="MS Mincho"/>
                <w:b/>
                <w:bCs/>
              </w:rPr>
            </w:pPr>
            <w:r w:rsidRPr="003954C8">
              <w:rPr>
                <w:rFonts w:eastAsia="MS Mincho"/>
                <w:b/>
                <w:bCs/>
              </w:rPr>
              <w:t>Bupropion versus NRT patch</w:t>
            </w:r>
          </w:p>
        </w:tc>
      </w:tr>
      <w:tr w:rsidR="00187EAD" w:rsidRPr="00061F78" w14:paraId="440DEA2B" w14:textId="77777777" w:rsidTr="004A3185">
        <w:trPr>
          <w:cantSplit/>
          <w:trHeight w:val="99"/>
        </w:trPr>
        <w:tc>
          <w:tcPr>
            <w:tcW w:w="718" w:type="pct"/>
            <w:shd w:val="clear" w:color="auto" w:fill="D9D9D9" w:themeFill="background1" w:themeFillShade="D9"/>
            <w:tcMar>
              <w:left w:w="28" w:type="dxa"/>
              <w:right w:w="28" w:type="dxa"/>
            </w:tcMar>
          </w:tcPr>
          <w:p w14:paraId="61285676" w14:textId="7D5C323D" w:rsidR="00187EAD" w:rsidRPr="00D468CF" w:rsidRDefault="00187EAD" w:rsidP="0094021E">
            <w:pPr>
              <w:pStyle w:val="Tablewriting"/>
              <w:rPr>
                <w:rFonts w:eastAsia="MS Mincho"/>
                <w:vertAlign w:val="superscript"/>
              </w:rPr>
            </w:pPr>
            <w:r>
              <w:rPr>
                <w:rFonts w:eastAsia="MS Mincho"/>
              </w:rPr>
              <w:t>Jorenby (1999)</w:t>
            </w:r>
            <w:r>
              <w:rPr>
                <w:rFonts w:eastAsia="MS Mincho"/>
                <w:vertAlign w:val="superscript"/>
              </w:rPr>
              <w:t>1</w:t>
            </w:r>
          </w:p>
        </w:tc>
        <w:tc>
          <w:tcPr>
            <w:tcW w:w="1294" w:type="pct"/>
            <w:shd w:val="clear" w:color="auto" w:fill="D9D9D9" w:themeFill="background1" w:themeFillShade="D9"/>
            <w:vAlign w:val="center"/>
          </w:tcPr>
          <w:p w14:paraId="6389E4D3" w14:textId="77777777"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14:paraId="3C1C6B70" w14:textId="77777777" w:rsidR="00187EAD" w:rsidRDefault="00187EAD" w:rsidP="0094021E">
            <w:pPr>
              <w:pStyle w:val="Tablewriting"/>
              <w:jc w:val="center"/>
              <w:rPr>
                <w:rFonts w:eastAsia="MS Mincho"/>
              </w:rPr>
            </w:pPr>
            <w:r>
              <w:rPr>
                <w:rFonts w:eastAsia="MS Mincho"/>
              </w:rPr>
              <w:t xml:space="preserve">45/244 </w:t>
            </w:r>
          </w:p>
          <w:p w14:paraId="29527A09" w14:textId="77777777" w:rsidR="00187EAD" w:rsidRPr="00061F78" w:rsidRDefault="00187EAD" w:rsidP="0094021E">
            <w:pPr>
              <w:pStyle w:val="Tablewriting"/>
              <w:jc w:val="center"/>
              <w:rPr>
                <w:rFonts w:eastAsia="MS Mincho"/>
              </w:rPr>
            </w:pPr>
            <w:r>
              <w:rPr>
                <w:rFonts w:eastAsia="MS Mincho"/>
              </w:rPr>
              <w:t>(18.4%)</w:t>
            </w:r>
          </w:p>
        </w:tc>
        <w:tc>
          <w:tcPr>
            <w:tcW w:w="948" w:type="pct"/>
            <w:shd w:val="clear" w:color="auto" w:fill="D9D9D9" w:themeFill="background1" w:themeFillShade="D9"/>
            <w:tcMar>
              <w:left w:w="28" w:type="dxa"/>
              <w:right w:w="28" w:type="dxa"/>
            </w:tcMar>
            <w:vAlign w:val="center"/>
          </w:tcPr>
          <w:p w14:paraId="5C2076A5" w14:textId="6603A0AF" w:rsidR="00187EAD" w:rsidRDefault="00187EAD" w:rsidP="0094021E">
            <w:pPr>
              <w:pStyle w:val="Tablewriting"/>
              <w:jc w:val="center"/>
              <w:rPr>
                <w:rFonts w:eastAsia="MS Mincho"/>
              </w:rPr>
            </w:pPr>
            <w:r>
              <w:rPr>
                <w:rFonts w:eastAsia="MS Mincho"/>
              </w:rPr>
              <w:t xml:space="preserve">24/244 </w:t>
            </w:r>
          </w:p>
          <w:p w14:paraId="64748DCD" w14:textId="34F7DC76" w:rsidR="00187EAD" w:rsidRPr="00061F78" w:rsidRDefault="00187EAD" w:rsidP="0094021E">
            <w:pPr>
              <w:pStyle w:val="Tablewriting"/>
              <w:jc w:val="center"/>
              <w:rPr>
                <w:rFonts w:eastAsia="MS Mincho"/>
              </w:rPr>
            </w:pPr>
            <w:r>
              <w:rPr>
                <w:rFonts w:eastAsia="MS Mincho"/>
              </w:rPr>
              <w:t>(9.8%)</w:t>
            </w:r>
          </w:p>
        </w:tc>
        <w:tc>
          <w:tcPr>
            <w:tcW w:w="886" w:type="pct"/>
            <w:shd w:val="clear" w:color="auto" w:fill="D9D9D9" w:themeFill="background1" w:themeFillShade="D9"/>
            <w:tcMar>
              <w:left w:w="28" w:type="dxa"/>
              <w:right w:w="28" w:type="dxa"/>
            </w:tcMar>
            <w:vAlign w:val="center"/>
          </w:tcPr>
          <w:p w14:paraId="14593E04" w14:textId="56FE65EA" w:rsidR="00187EAD" w:rsidRPr="00D468CF" w:rsidRDefault="00187EAD" w:rsidP="0094021E">
            <w:pPr>
              <w:pStyle w:val="Tablewriting"/>
              <w:jc w:val="center"/>
              <w:rPr>
                <w:rFonts w:eastAsia="MS Mincho"/>
                <w:b/>
                <w:bCs/>
              </w:rPr>
            </w:pPr>
            <w:r>
              <w:rPr>
                <w:rFonts w:eastAsia="MS Mincho"/>
                <w:b/>
                <w:bCs/>
              </w:rPr>
              <w:t>1.88</w:t>
            </w:r>
            <w:r w:rsidRPr="00D468CF">
              <w:rPr>
                <w:rFonts w:eastAsia="MS Mincho"/>
                <w:b/>
                <w:bCs/>
              </w:rPr>
              <w:t xml:space="preserve"> </w:t>
            </w:r>
          </w:p>
          <w:p w14:paraId="3EACE057" w14:textId="3EF0BECA" w:rsidR="00187EAD" w:rsidRPr="00061F78" w:rsidRDefault="00187EAD" w:rsidP="0094021E">
            <w:pPr>
              <w:pStyle w:val="Tablewriting"/>
              <w:jc w:val="center"/>
              <w:rPr>
                <w:rFonts w:eastAsia="MS Mincho"/>
              </w:rPr>
            </w:pPr>
            <w:r w:rsidRPr="00D468CF">
              <w:rPr>
                <w:rFonts w:eastAsia="MS Mincho"/>
                <w:b/>
                <w:bCs/>
              </w:rPr>
              <w:t>(1.</w:t>
            </w:r>
            <w:r>
              <w:rPr>
                <w:rFonts w:eastAsia="MS Mincho"/>
                <w:b/>
                <w:bCs/>
              </w:rPr>
              <w:t>18</w:t>
            </w:r>
            <w:r w:rsidRPr="00D468CF">
              <w:rPr>
                <w:rFonts w:eastAsia="MS Mincho"/>
                <w:b/>
                <w:bCs/>
              </w:rPr>
              <w:t xml:space="preserve">, </w:t>
            </w:r>
            <w:r>
              <w:rPr>
                <w:rFonts w:eastAsia="MS Mincho"/>
                <w:b/>
                <w:bCs/>
              </w:rPr>
              <w:t>2.98</w:t>
            </w:r>
            <w:r w:rsidRPr="00D468CF">
              <w:rPr>
                <w:rFonts w:eastAsia="MS Mincho"/>
                <w:b/>
                <w:bCs/>
              </w:rPr>
              <w:t>)</w:t>
            </w:r>
          </w:p>
        </w:tc>
      </w:tr>
      <w:tr w:rsidR="00187EAD" w:rsidRPr="00061F78" w14:paraId="29721BD9" w14:textId="77777777" w:rsidTr="004A3185">
        <w:trPr>
          <w:cantSplit/>
          <w:trHeight w:val="149"/>
        </w:trPr>
        <w:tc>
          <w:tcPr>
            <w:tcW w:w="718" w:type="pct"/>
            <w:shd w:val="clear" w:color="auto" w:fill="D9D9D9" w:themeFill="background1" w:themeFillShade="D9"/>
            <w:tcMar>
              <w:left w:w="28" w:type="dxa"/>
              <w:right w:w="28" w:type="dxa"/>
            </w:tcMar>
          </w:tcPr>
          <w:p w14:paraId="5ACA4C83" w14:textId="55004991" w:rsidR="00187EAD" w:rsidRPr="00CA4917" w:rsidRDefault="00187EAD" w:rsidP="0094021E">
            <w:pPr>
              <w:pStyle w:val="Tablewriting"/>
              <w:rPr>
                <w:rFonts w:eastAsia="MS Mincho"/>
                <w:vertAlign w:val="superscript"/>
              </w:rPr>
            </w:pPr>
            <w:r>
              <w:rPr>
                <w:rFonts w:eastAsia="MS Mincho"/>
              </w:rPr>
              <w:t>Gorecka (2003)</w:t>
            </w:r>
            <w:r>
              <w:rPr>
                <w:rFonts w:eastAsia="MS Mincho"/>
                <w:vertAlign w:val="superscript"/>
              </w:rPr>
              <w:t>1</w:t>
            </w:r>
          </w:p>
        </w:tc>
        <w:tc>
          <w:tcPr>
            <w:tcW w:w="1294" w:type="pct"/>
            <w:shd w:val="clear" w:color="auto" w:fill="D9D9D9" w:themeFill="background1" w:themeFillShade="D9"/>
            <w:vAlign w:val="center"/>
          </w:tcPr>
          <w:p w14:paraId="1DE62BBD" w14:textId="5090A1C9"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14:paraId="30180722" w14:textId="77777777" w:rsidR="00187EAD" w:rsidRDefault="00187EAD" w:rsidP="0094021E">
            <w:pPr>
              <w:pStyle w:val="Tablewriting"/>
              <w:jc w:val="center"/>
              <w:rPr>
                <w:rFonts w:eastAsia="MS Mincho"/>
              </w:rPr>
            </w:pPr>
            <w:r>
              <w:rPr>
                <w:rFonts w:eastAsia="MS Mincho"/>
              </w:rPr>
              <w:t>5/31</w:t>
            </w:r>
          </w:p>
          <w:p w14:paraId="2228A596" w14:textId="11480970" w:rsidR="00187EAD" w:rsidRDefault="00187EAD" w:rsidP="0094021E">
            <w:pPr>
              <w:pStyle w:val="Tablewriting"/>
              <w:jc w:val="center"/>
              <w:rPr>
                <w:rFonts w:eastAsia="MS Mincho"/>
              </w:rPr>
            </w:pPr>
            <w:r>
              <w:rPr>
                <w:rFonts w:eastAsia="MS Mincho"/>
              </w:rPr>
              <w:t>(16.1%)</w:t>
            </w:r>
          </w:p>
        </w:tc>
        <w:tc>
          <w:tcPr>
            <w:tcW w:w="948" w:type="pct"/>
            <w:shd w:val="clear" w:color="auto" w:fill="D9D9D9" w:themeFill="background1" w:themeFillShade="D9"/>
            <w:tcMar>
              <w:left w:w="28" w:type="dxa"/>
              <w:right w:w="28" w:type="dxa"/>
            </w:tcMar>
            <w:vAlign w:val="center"/>
          </w:tcPr>
          <w:p w14:paraId="616FAC53" w14:textId="77777777" w:rsidR="00187EAD" w:rsidRDefault="00187EAD" w:rsidP="0094021E">
            <w:pPr>
              <w:pStyle w:val="Tablewriting"/>
              <w:jc w:val="center"/>
              <w:rPr>
                <w:rFonts w:eastAsia="MS Mincho"/>
              </w:rPr>
            </w:pPr>
            <w:r>
              <w:rPr>
                <w:rFonts w:eastAsia="MS Mincho"/>
              </w:rPr>
              <w:t>8/38</w:t>
            </w:r>
          </w:p>
          <w:p w14:paraId="0C65409D" w14:textId="69209EB6" w:rsidR="00187EAD" w:rsidRDefault="00187EAD" w:rsidP="0094021E">
            <w:pPr>
              <w:pStyle w:val="Tablewriting"/>
              <w:jc w:val="center"/>
              <w:rPr>
                <w:rFonts w:eastAsia="MS Mincho"/>
              </w:rPr>
            </w:pPr>
            <w:r>
              <w:rPr>
                <w:rFonts w:eastAsia="MS Mincho"/>
              </w:rPr>
              <w:t>(21.1%)</w:t>
            </w:r>
          </w:p>
        </w:tc>
        <w:tc>
          <w:tcPr>
            <w:tcW w:w="886" w:type="pct"/>
            <w:shd w:val="clear" w:color="auto" w:fill="D9D9D9" w:themeFill="background1" w:themeFillShade="D9"/>
            <w:tcMar>
              <w:left w:w="28" w:type="dxa"/>
              <w:right w:w="28" w:type="dxa"/>
            </w:tcMar>
            <w:vAlign w:val="center"/>
          </w:tcPr>
          <w:p w14:paraId="0C46FDFC" w14:textId="77777777" w:rsidR="00187EAD" w:rsidRDefault="00187EAD" w:rsidP="0094021E">
            <w:pPr>
              <w:pStyle w:val="Tablewriting"/>
              <w:jc w:val="center"/>
              <w:rPr>
                <w:rFonts w:eastAsia="MS Mincho"/>
              </w:rPr>
            </w:pPr>
            <w:r>
              <w:rPr>
                <w:rFonts w:eastAsia="MS Mincho"/>
              </w:rPr>
              <w:t>0.77</w:t>
            </w:r>
          </w:p>
          <w:p w14:paraId="159EAE81" w14:textId="0EFFB237" w:rsidR="00187EAD" w:rsidRPr="00CC1537" w:rsidRDefault="00187EAD" w:rsidP="0094021E">
            <w:pPr>
              <w:pStyle w:val="Tablewriting"/>
              <w:jc w:val="center"/>
              <w:rPr>
                <w:rFonts w:eastAsia="MS Mincho"/>
              </w:rPr>
            </w:pPr>
            <w:r>
              <w:rPr>
                <w:rFonts w:eastAsia="MS Mincho"/>
              </w:rPr>
              <w:t>(0.28, 2.11)</w:t>
            </w:r>
          </w:p>
        </w:tc>
      </w:tr>
      <w:tr w:rsidR="00187EAD" w:rsidRPr="00061F78" w14:paraId="5EA810C5" w14:textId="77777777" w:rsidTr="004A3185">
        <w:trPr>
          <w:cantSplit/>
          <w:trHeight w:val="149"/>
        </w:trPr>
        <w:tc>
          <w:tcPr>
            <w:tcW w:w="718" w:type="pct"/>
            <w:shd w:val="clear" w:color="auto" w:fill="D9D9D9" w:themeFill="background1" w:themeFillShade="D9"/>
            <w:tcMar>
              <w:left w:w="28" w:type="dxa"/>
              <w:right w:w="28" w:type="dxa"/>
            </w:tcMar>
          </w:tcPr>
          <w:p w14:paraId="6FF7654B" w14:textId="77777777" w:rsidR="00187EAD" w:rsidRDefault="00187EAD" w:rsidP="0094021E">
            <w:pPr>
              <w:pStyle w:val="Tablewriting"/>
              <w:rPr>
                <w:rFonts w:eastAsia="MS Mincho"/>
              </w:rPr>
            </w:pPr>
            <w:r>
              <w:rPr>
                <w:rFonts w:eastAsia="MS Mincho"/>
              </w:rPr>
              <w:t xml:space="preserve">Uyar </w:t>
            </w:r>
          </w:p>
          <w:p w14:paraId="57304F64" w14:textId="07131FD0" w:rsidR="00187EAD" w:rsidRPr="00CA4917" w:rsidRDefault="00187EAD" w:rsidP="0094021E">
            <w:pPr>
              <w:pStyle w:val="Tablewriting"/>
              <w:rPr>
                <w:rFonts w:eastAsia="MS Mincho"/>
                <w:vertAlign w:val="superscript"/>
              </w:rPr>
            </w:pPr>
            <w:r>
              <w:rPr>
                <w:rFonts w:eastAsia="MS Mincho"/>
              </w:rPr>
              <w:t>(2007)</w:t>
            </w:r>
            <w:r>
              <w:rPr>
                <w:rFonts w:eastAsia="MS Mincho"/>
                <w:vertAlign w:val="superscript"/>
              </w:rPr>
              <w:t>2</w:t>
            </w:r>
          </w:p>
        </w:tc>
        <w:tc>
          <w:tcPr>
            <w:tcW w:w="1294" w:type="pct"/>
            <w:shd w:val="clear" w:color="auto" w:fill="D9D9D9" w:themeFill="background1" w:themeFillShade="D9"/>
            <w:vAlign w:val="center"/>
          </w:tcPr>
          <w:p w14:paraId="7362A0D7" w14:textId="417E8396"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14:paraId="38B74A5C" w14:textId="77777777" w:rsidR="00187EAD" w:rsidRDefault="00187EAD" w:rsidP="0094021E">
            <w:pPr>
              <w:pStyle w:val="Tablewriting"/>
              <w:jc w:val="center"/>
              <w:rPr>
                <w:rFonts w:eastAsia="MS Mincho"/>
              </w:rPr>
            </w:pPr>
            <w:r>
              <w:rPr>
                <w:rFonts w:eastAsia="MS Mincho"/>
              </w:rPr>
              <w:t>13/50</w:t>
            </w:r>
          </w:p>
          <w:p w14:paraId="29C15F6D" w14:textId="0A7EAB00" w:rsidR="00187EAD" w:rsidRDefault="00187EAD" w:rsidP="0094021E">
            <w:pPr>
              <w:pStyle w:val="Tablewriting"/>
              <w:jc w:val="center"/>
              <w:rPr>
                <w:rFonts w:eastAsia="MS Mincho"/>
              </w:rPr>
            </w:pPr>
            <w:r>
              <w:rPr>
                <w:rFonts w:eastAsia="MS Mincho"/>
              </w:rPr>
              <w:t>(26.0%)</w:t>
            </w:r>
          </w:p>
        </w:tc>
        <w:tc>
          <w:tcPr>
            <w:tcW w:w="948" w:type="pct"/>
            <w:shd w:val="clear" w:color="auto" w:fill="D9D9D9" w:themeFill="background1" w:themeFillShade="D9"/>
            <w:tcMar>
              <w:left w:w="28" w:type="dxa"/>
              <w:right w:w="28" w:type="dxa"/>
            </w:tcMar>
            <w:vAlign w:val="center"/>
          </w:tcPr>
          <w:p w14:paraId="2996B1C2" w14:textId="77777777" w:rsidR="00187EAD" w:rsidRDefault="00187EAD" w:rsidP="0094021E">
            <w:pPr>
              <w:pStyle w:val="Tablewriting"/>
              <w:jc w:val="center"/>
              <w:rPr>
                <w:rFonts w:eastAsia="MS Mincho"/>
              </w:rPr>
            </w:pPr>
            <w:r>
              <w:rPr>
                <w:rFonts w:eastAsia="MS Mincho"/>
              </w:rPr>
              <w:t>13/50</w:t>
            </w:r>
          </w:p>
          <w:p w14:paraId="7A76B43B" w14:textId="2D6CA4A5" w:rsidR="00187EAD" w:rsidRDefault="00187EAD" w:rsidP="0094021E">
            <w:pPr>
              <w:pStyle w:val="Tablewriting"/>
              <w:jc w:val="center"/>
              <w:rPr>
                <w:rFonts w:eastAsia="MS Mincho"/>
              </w:rPr>
            </w:pPr>
            <w:r>
              <w:rPr>
                <w:rFonts w:eastAsia="MS Mincho"/>
              </w:rPr>
              <w:t>(26.0%)</w:t>
            </w:r>
          </w:p>
        </w:tc>
        <w:tc>
          <w:tcPr>
            <w:tcW w:w="886" w:type="pct"/>
            <w:shd w:val="clear" w:color="auto" w:fill="D9D9D9" w:themeFill="background1" w:themeFillShade="D9"/>
            <w:tcMar>
              <w:left w:w="28" w:type="dxa"/>
              <w:right w:w="28" w:type="dxa"/>
            </w:tcMar>
            <w:vAlign w:val="center"/>
          </w:tcPr>
          <w:p w14:paraId="747B4231" w14:textId="77777777" w:rsidR="00187EAD" w:rsidRDefault="00187EAD" w:rsidP="0094021E">
            <w:pPr>
              <w:pStyle w:val="Tablewriting"/>
              <w:jc w:val="center"/>
              <w:rPr>
                <w:rFonts w:eastAsia="MS Mincho"/>
              </w:rPr>
            </w:pPr>
            <w:r>
              <w:rPr>
                <w:rFonts w:eastAsia="MS Mincho"/>
              </w:rPr>
              <w:t>1.00</w:t>
            </w:r>
          </w:p>
          <w:p w14:paraId="46ED4456" w14:textId="39A93201" w:rsidR="00187EAD" w:rsidRPr="00CC1537" w:rsidRDefault="00187EAD" w:rsidP="0094021E">
            <w:pPr>
              <w:pStyle w:val="Tablewriting"/>
              <w:jc w:val="center"/>
              <w:rPr>
                <w:rFonts w:eastAsia="MS Mincho"/>
              </w:rPr>
            </w:pPr>
            <w:r>
              <w:rPr>
                <w:rFonts w:eastAsia="MS Mincho"/>
              </w:rPr>
              <w:t>(0.52, 1.94)</w:t>
            </w:r>
          </w:p>
        </w:tc>
      </w:tr>
      <w:tr w:rsidR="00187EAD" w:rsidRPr="00061F78" w14:paraId="7A519AD9" w14:textId="77777777" w:rsidTr="004A3185">
        <w:trPr>
          <w:cantSplit/>
          <w:trHeight w:val="149"/>
        </w:trPr>
        <w:tc>
          <w:tcPr>
            <w:tcW w:w="718" w:type="pct"/>
            <w:shd w:val="clear" w:color="auto" w:fill="D9D9D9" w:themeFill="background1" w:themeFillShade="D9"/>
            <w:tcMar>
              <w:left w:w="28" w:type="dxa"/>
              <w:right w:w="28" w:type="dxa"/>
            </w:tcMar>
          </w:tcPr>
          <w:p w14:paraId="6640703C" w14:textId="77777777" w:rsidR="00187EAD" w:rsidRDefault="00187EAD" w:rsidP="0094021E">
            <w:pPr>
              <w:pStyle w:val="Tablewriting"/>
              <w:rPr>
                <w:rFonts w:eastAsia="MS Mincho"/>
              </w:rPr>
            </w:pPr>
            <w:r>
              <w:rPr>
                <w:rFonts w:eastAsia="MS Mincho"/>
              </w:rPr>
              <w:t>Piper</w:t>
            </w:r>
          </w:p>
          <w:p w14:paraId="3F2C9A81" w14:textId="03B823C4" w:rsidR="00187EAD" w:rsidRPr="00CA4917" w:rsidRDefault="00187EAD" w:rsidP="0094021E">
            <w:pPr>
              <w:pStyle w:val="Tablewriting"/>
              <w:rPr>
                <w:rFonts w:eastAsia="MS Mincho"/>
                <w:vertAlign w:val="superscript"/>
              </w:rPr>
            </w:pPr>
            <w:r>
              <w:rPr>
                <w:rFonts w:eastAsia="MS Mincho"/>
              </w:rPr>
              <w:t>(2009)</w:t>
            </w:r>
            <w:r w:rsidRPr="00E34A94">
              <w:rPr>
                <w:rFonts w:eastAsia="MS Mincho"/>
                <w:vertAlign w:val="superscript"/>
              </w:rPr>
              <w:t>3</w:t>
            </w:r>
          </w:p>
        </w:tc>
        <w:tc>
          <w:tcPr>
            <w:tcW w:w="1294" w:type="pct"/>
            <w:shd w:val="clear" w:color="auto" w:fill="D9D9D9" w:themeFill="background1" w:themeFillShade="D9"/>
            <w:vAlign w:val="center"/>
          </w:tcPr>
          <w:p w14:paraId="2D3011A5" w14:textId="6EC97446" w:rsidR="00187EAD" w:rsidRDefault="00187EAD" w:rsidP="0094021E">
            <w:pPr>
              <w:pStyle w:val="Tablewriting"/>
              <w:jc w:val="center"/>
              <w:rPr>
                <w:rFonts w:eastAsia="MS Mincho"/>
              </w:rPr>
            </w:pPr>
            <w:r>
              <w:rPr>
                <w:rFonts w:eastAsia="MS Mincho"/>
              </w:rPr>
              <w:t>RCT</w:t>
            </w:r>
          </w:p>
        </w:tc>
        <w:tc>
          <w:tcPr>
            <w:tcW w:w="1154" w:type="pct"/>
            <w:shd w:val="clear" w:color="auto" w:fill="D9D9D9" w:themeFill="background1" w:themeFillShade="D9"/>
            <w:tcMar>
              <w:left w:w="28" w:type="dxa"/>
              <w:right w:w="28" w:type="dxa"/>
            </w:tcMar>
            <w:vAlign w:val="center"/>
          </w:tcPr>
          <w:p w14:paraId="5F66718C" w14:textId="6B9BFCA1" w:rsidR="00187EAD" w:rsidRDefault="00187EAD" w:rsidP="0094021E">
            <w:pPr>
              <w:pStyle w:val="Tablewriting"/>
              <w:jc w:val="center"/>
              <w:rPr>
                <w:rFonts w:eastAsia="MS Mincho"/>
                <w:vertAlign w:val="superscript"/>
              </w:rPr>
            </w:pPr>
            <w:r>
              <w:rPr>
                <w:rFonts w:eastAsia="MS Mincho"/>
              </w:rPr>
              <w:t>28/88</w:t>
            </w:r>
            <w:r w:rsidR="00E676AB">
              <w:rPr>
                <w:rFonts w:eastAsia="MS Mincho"/>
                <w:vertAlign w:val="superscript"/>
              </w:rPr>
              <w:t>a</w:t>
            </w:r>
          </w:p>
          <w:p w14:paraId="2821A50F" w14:textId="7451EC2A" w:rsidR="00187EAD" w:rsidRPr="00B26C47" w:rsidRDefault="00187EAD" w:rsidP="0094021E">
            <w:pPr>
              <w:pStyle w:val="Tablewriting"/>
              <w:jc w:val="center"/>
              <w:rPr>
                <w:rFonts w:eastAsia="MS Mincho"/>
              </w:rPr>
            </w:pPr>
            <w:r>
              <w:rPr>
                <w:rFonts w:eastAsia="MS Mincho"/>
              </w:rPr>
              <w:t>(31.8%)</w:t>
            </w:r>
          </w:p>
        </w:tc>
        <w:tc>
          <w:tcPr>
            <w:tcW w:w="948" w:type="pct"/>
            <w:shd w:val="clear" w:color="auto" w:fill="D9D9D9" w:themeFill="background1" w:themeFillShade="D9"/>
            <w:tcMar>
              <w:left w:w="28" w:type="dxa"/>
              <w:right w:w="28" w:type="dxa"/>
            </w:tcMar>
            <w:vAlign w:val="center"/>
          </w:tcPr>
          <w:p w14:paraId="2D75BDCB" w14:textId="77777777" w:rsidR="00187EAD" w:rsidRDefault="00187EAD" w:rsidP="0094021E">
            <w:pPr>
              <w:pStyle w:val="Tablewriting"/>
              <w:jc w:val="center"/>
              <w:rPr>
                <w:rFonts w:eastAsia="MS Mincho"/>
              </w:rPr>
            </w:pPr>
            <w:r>
              <w:rPr>
                <w:rFonts w:eastAsia="MS Mincho"/>
              </w:rPr>
              <w:t>90/262</w:t>
            </w:r>
          </w:p>
          <w:p w14:paraId="2DC5FA2E" w14:textId="76C08415" w:rsidR="00187EAD" w:rsidRDefault="00187EAD" w:rsidP="0094021E">
            <w:pPr>
              <w:pStyle w:val="Tablewriting"/>
              <w:jc w:val="center"/>
              <w:rPr>
                <w:rFonts w:eastAsia="MS Mincho"/>
              </w:rPr>
            </w:pPr>
            <w:r>
              <w:rPr>
                <w:rFonts w:eastAsia="MS Mincho"/>
              </w:rPr>
              <w:t>(34.4%)</w:t>
            </w:r>
          </w:p>
        </w:tc>
        <w:tc>
          <w:tcPr>
            <w:tcW w:w="886" w:type="pct"/>
            <w:shd w:val="clear" w:color="auto" w:fill="D9D9D9" w:themeFill="background1" w:themeFillShade="D9"/>
            <w:tcMar>
              <w:left w:w="28" w:type="dxa"/>
              <w:right w:w="28" w:type="dxa"/>
            </w:tcMar>
            <w:vAlign w:val="center"/>
          </w:tcPr>
          <w:p w14:paraId="64D44357" w14:textId="77777777" w:rsidR="00187EAD" w:rsidRDefault="00187EAD" w:rsidP="0094021E">
            <w:pPr>
              <w:pStyle w:val="Tablewriting"/>
              <w:jc w:val="center"/>
              <w:rPr>
                <w:rFonts w:eastAsia="MS Mincho"/>
              </w:rPr>
            </w:pPr>
            <w:r>
              <w:rPr>
                <w:rFonts w:eastAsia="MS Mincho"/>
              </w:rPr>
              <w:t>0.93</w:t>
            </w:r>
          </w:p>
          <w:p w14:paraId="7DFE547B" w14:textId="2182AF80" w:rsidR="00187EAD" w:rsidRPr="00CC1537" w:rsidRDefault="00187EAD" w:rsidP="0094021E">
            <w:pPr>
              <w:pStyle w:val="Tablewriting"/>
              <w:jc w:val="center"/>
              <w:rPr>
                <w:rFonts w:eastAsia="MS Mincho"/>
              </w:rPr>
            </w:pPr>
            <w:r>
              <w:rPr>
                <w:rFonts w:eastAsia="MS Mincho"/>
              </w:rPr>
              <w:t>(0.65, 1.31)</w:t>
            </w:r>
          </w:p>
        </w:tc>
      </w:tr>
      <w:tr w:rsidR="00187EAD" w:rsidRPr="00061F78" w14:paraId="13631006" w14:textId="77777777" w:rsidTr="004A3185">
        <w:trPr>
          <w:cantSplit/>
          <w:trHeight w:val="149"/>
        </w:trPr>
        <w:tc>
          <w:tcPr>
            <w:tcW w:w="718" w:type="pct"/>
            <w:tcMar>
              <w:left w:w="28" w:type="dxa"/>
              <w:right w:w="28" w:type="dxa"/>
            </w:tcMar>
          </w:tcPr>
          <w:p w14:paraId="64DD5E8B" w14:textId="77777777" w:rsidR="00187EAD" w:rsidRDefault="00187EAD" w:rsidP="0094021E">
            <w:pPr>
              <w:pStyle w:val="Tablewriting"/>
              <w:rPr>
                <w:rFonts w:eastAsia="MS Mincho"/>
              </w:rPr>
            </w:pPr>
            <w:r>
              <w:rPr>
                <w:rFonts w:eastAsia="MS Mincho"/>
              </w:rPr>
              <w:t>Howes</w:t>
            </w:r>
            <w:r w:rsidRPr="00061F78">
              <w:rPr>
                <w:rFonts w:eastAsia="MS Mincho"/>
              </w:rPr>
              <w:t xml:space="preserve"> </w:t>
            </w:r>
          </w:p>
          <w:p w14:paraId="1B80DC0E" w14:textId="32522C36" w:rsidR="00187EAD" w:rsidRPr="00D468CF" w:rsidRDefault="00187EAD" w:rsidP="0094021E">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14:paraId="2E42DCBA" w14:textId="77777777" w:rsidR="00E676AB" w:rsidRDefault="00187EAD" w:rsidP="0094021E">
            <w:pPr>
              <w:pStyle w:val="Tablewriting"/>
              <w:jc w:val="center"/>
              <w:rPr>
                <w:rFonts w:eastAsia="MS Mincho"/>
              </w:rPr>
            </w:pPr>
            <w:r>
              <w:rPr>
                <w:rFonts w:eastAsia="MS Mincho"/>
              </w:rPr>
              <w:t xml:space="preserve">Cochrane Review </w:t>
            </w:r>
          </w:p>
          <w:p w14:paraId="3986CB98" w14:textId="44CAAC5A" w:rsidR="00187EAD" w:rsidRDefault="00187EAD" w:rsidP="0094021E">
            <w:pPr>
              <w:pStyle w:val="Tablewriting"/>
              <w:jc w:val="center"/>
              <w:rPr>
                <w:rFonts w:eastAsia="MS Mincho"/>
              </w:rPr>
            </w:pPr>
            <w:r>
              <w:rPr>
                <w:rFonts w:eastAsia="MS Mincho"/>
              </w:rPr>
              <w:t>(8 RCTs)</w:t>
            </w:r>
          </w:p>
        </w:tc>
        <w:tc>
          <w:tcPr>
            <w:tcW w:w="1154" w:type="pct"/>
            <w:tcMar>
              <w:left w:w="28" w:type="dxa"/>
              <w:right w:w="28" w:type="dxa"/>
            </w:tcMar>
            <w:vAlign w:val="center"/>
          </w:tcPr>
          <w:p w14:paraId="033D5D24" w14:textId="09A76BC3" w:rsidR="00187EAD" w:rsidRDefault="00187EAD" w:rsidP="0094021E">
            <w:pPr>
              <w:pStyle w:val="Tablewriting"/>
              <w:jc w:val="center"/>
              <w:rPr>
                <w:rFonts w:eastAsia="MS Mincho"/>
              </w:rPr>
            </w:pPr>
            <w:r>
              <w:rPr>
                <w:rFonts w:eastAsia="MS Mincho"/>
              </w:rPr>
              <w:t>465</w:t>
            </w:r>
            <w:r w:rsidRPr="00061F78">
              <w:rPr>
                <w:rFonts w:eastAsia="MS Mincho"/>
              </w:rPr>
              <w:t>/</w:t>
            </w:r>
            <w:r>
              <w:rPr>
                <w:rFonts w:eastAsia="MS Mincho"/>
              </w:rPr>
              <w:t>2699</w:t>
            </w:r>
            <w:r w:rsidRPr="00061F78">
              <w:rPr>
                <w:rFonts w:eastAsia="MS Mincho"/>
              </w:rPr>
              <w:t xml:space="preserve"> </w:t>
            </w:r>
          </w:p>
          <w:p w14:paraId="642AD62A" w14:textId="66C3CF24" w:rsidR="00187EAD" w:rsidRPr="00061F78" w:rsidRDefault="00187EAD" w:rsidP="0094021E">
            <w:pPr>
              <w:pStyle w:val="Tablewriting"/>
              <w:jc w:val="center"/>
              <w:rPr>
                <w:rFonts w:eastAsia="MS Mincho"/>
              </w:rPr>
            </w:pPr>
            <w:r w:rsidRPr="00061F78">
              <w:rPr>
                <w:rFonts w:eastAsia="MS Mincho"/>
              </w:rPr>
              <w:t>(</w:t>
            </w:r>
            <w:r>
              <w:rPr>
                <w:rFonts w:eastAsia="MS Mincho"/>
              </w:rPr>
              <w:t>17.2</w:t>
            </w:r>
            <w:r w:rsidRPr="00061F78">
              <w:rPr>
                <w:rFonts w:eastAsia="MS Mincho"/>
              </w:rPr>
              <w:t>%)</w:t>
            </w:r>
          </w:p>
        </w:tc>
        <w:tc>
          <w:tcPr>
            <w:tcW w:w="948" w:type="pct"/>
            <w:tcMar>
              <w:left w:w="28" w:type="dxa"/>
              <w:right w:w="28" w:type="dxa"/>
            </w:tcMar>
            <w:vAlign w:val="center"/>
          </w:tcPr>
          <w:p w14:paraId="5A66E9EB" w14:textId="473AD483" w:rsidR="00187EAD" w:rsidRDefault="00187EAD" w:rsidP="0094021E">
            <w:pPr>
              <w:pStyle w:val="Tablewriting"/>
              <w:jc w:val="center"/>
              <w:rPr>
                <w:rFonts w:eastAsia="MS Mincho"/>
              </w:rPr>
            </w:pPr>
            <w:r>
              <w:rPr>
                <w:rFonts w:eastAsia="MS Mincho"/>
              </w:rPr>
              <w:t>543</w:t>
            </w:r>
            <w:r w:rsidRPr="00061F78">
              <w:rPr>
                <w:rFonts w:eastAsia="MS Mincho"/>
              </w:rPr>
              <w:t>/</w:t>
            </w:r>
            <w:r>
              <w:rPr>
                <w:rFonts w:eastAsia="MS Mincho"/>
              </w:rPr>
              <w:t>3079</w:t>
            </w:r>
            <w:r w:rsidRPr="00061F78">
              <w:rPr>
                <w:rFonts w:eastAsia="MS Mincho"/>
              </w:rPr>
              <w:t xml:space="preserve"> </w:t>
            </w:r>
          </w:p>
          <w:p w14:paraId="3928B2FD" w14:textId="5B53543A" w:rsidR="00187EAD" w:rsidRPr="00061F78" w:rsidRDefault="00187EAD" w:rsidP="0094021E">
            <w:pPr>
              <w:pStyle w:val="Tablewriting"/>
              <w:jc w:val="center"/>
              <w:rPr>
                <w:rFonts w:eastAsia="MS Mincho"/>
              </w:rPr>
            </w:pPr>
            <w:r w:rsidRPr="00061F78">
              <w:rPr>
                <w:rFonts w:eastAsia="MS Mincho"/>
              </w:rPr>
              <w:t>(1</w:t>
            </w:r>
            <w:r>
              <w:rPr>
                <w:rFonts w:eastAsia="MS Mincho"/>
              </w:rPr>
              <w:t>7.6</w:t>
            </w:r>
            <w:r w:rsidRPr="00061F78">
              <w:rPr>
                <w:rFonts w:eastAsia="MS Mincho"/>
              </w:rPr>
              <w:t>%)</w:t>
            </w:r>
          </w:p>
        </w:tc>
        <w:tc>
          <w:tcPr>
            <w:tcW w:w="886" w:type="pct"/>
            <w:tcMar>
              <w:left w:w="28" w:type="dxa"/>
              <w:right w:w="28" w:type="dxa"/>
            </w:tcMar>
            <w:vAlign w:val="center"/>
          </w:tcPr>
          <w:p w14:paraId="2069598D" w14:textId="77777777" w:rsidR="00187EAD" w:rsidRPr="00CC1537" w:rsidRDefault="00187EAD" w:rsidP="0094021E">
            <w:pPr>
              <w:pStyle w:val="Tablewriting"/>
              <w:jc w:val="center"/>
              <w:rPr>
                <w:rFonts w:eastAsia="MS Mincho"/>
              </w:rPr>
            </w:pPr>
            <w:r w:rsidRPr="00CC1537">
              <w:rPr>
                <w:rFonts w:eastAsia="MS Mincho"/>
              </w:rPr>
              <w:t>1.04</w:t>
            </w:r>
          </w:p>
          <w:p w14:paraId="6B0381EF" w14:textId="079E52BE" w:rsidR="00187EAD" w:rsidRPr="00061F78" w:rsidRDefault="00187EAD" w:rsidP="0094021E">
            <w:pPr>
              <w:pStyle w:val="Tablewriting"/>
              <w:jc w:val="center"/>
              <w:rPr>
                <w:rFonts w:eastAsia="MS Mincho"/>
              </w:rPr>
            </w:pPr>
            <w:r w:rsidRPr="00CC1537">
              <w:rPr>
                <w:rFonts w:eastAsia="MS Mincho"/>
              </w:rPr>
              <w:t>(0.92, 1.16)</w:t>
            </w:r>
          </w:p>
        </w:tc>
      </w:tr>
      <w:tr w:rsidR="00187EAD" w:rsidRPr="00061F78" w14:paraId="429BBD66" w14:textId="77777777" w:rsidTr="004A3185">
        <w:trPr>
          <w:cantSplit/>
          <w:trHeight w:val="149"/>
        </w:trPr>
        <w:tc>
          <w:tcPr>
            <w:tcW w:w="5000" w:type="pct"/>
            <w:gridSpan w:val="5"/>
            <w:shd w:val="clear" w:color="auto" w:fill="auto"/>
            <w:tcMar>
              <w:left w:w="28" w:type="dxa"/>
              <w:right w:w="28" w:type="dxa"/>
            </w:tcMar>
          </w:tcPr>
          <w:p w14:paraId="0E824C50" w14:textId="77777777" w:rsidR="00E90ACA" w:rsidRPr="003954C8" w:rsidRDefault="00E90ACA" w:rsidP="0094021E">
            <w:pPr>
              <w:pStyle w:val="Tablewriting"/>
              <w:rPr>
                <w:rFonts w:eastAsia="MS Mincho"/>
                <w:b/>
                <w:bCs/>
              </w:rPr>
            </w:pPr>
            <w:r w:rsidRPr="003954C8">
              <w:rPr>
                <w:rFonts w:eastAsia="MS Mincho"/>
                <w:b/>
                <w:bCs/>
              </w:rPr>
              <w:t>Bupropion versus NRT lozenge</w:t>
            </w:r>
          </w:p>
        </w:tc>
      </w:tr>
      <w:tr w:rsidR="00187EAD" w:rsidRPr="00061F78" w14:paraId="02BD2FF5" w14:textId="77777777" w:rsidTr="004A3185">
        <w:trPr>
          <w:cantSplit/>
          <w:trHeight w:val="149"/>
        </w:trPr>
        <w:tc>
          <w:tcPr>
            <w:tcW w:w="718" w:type="pct"/>
            <w:tcMar>
              <w:left w:w="28" w:type="dxa"/>
              <w:right w:w="28" w:type="dxa"/>
            </w:tcMar>
          </w:tcPr>
          <w:p w14:paraId="1B9F3152" w14:textId="77777777" w:rsidR="00187EAD" w:rsidRDefault="00187EAD" w:rsidP="0094021E">
            <w:pPr>
              <w:pStyle w:val="Tablewriting"/>
              <w:rPr>
                <w:rFonts w:eastAsia="MS Mincho"/>
              </w:rPr>
            </w:pPr>
            <w:r>
              <w:rPr>
                <w:rFonts w:eastAsia="MS Mincho"/>
              </w:rPr>
              <w:t>Howes</w:t>
            </w:r>
            <w:r w:rsidRPr="00061F78">
              <w:rPr>
                <w:rFonts w:eastAsia="MS Mincho"/>
              </w:rPr>
              <w:t xml:space="preserve"> </w:t>
            </w:r>
          </w:p>
          <w:p w14:paraId="6BBDCB71" w14:textId="0E0D785A" w:rsidR="00187EAD" w:rsidRDefault="00187EAD" w:rsidP="0094021E">
            <w:pPr>
              <w:pStyle w:val="Tablewriting"/>
              <w:rPr>
                <w:rFonts w:eastAsia="MS Mincho"/>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14:paraId="545A4092" w14:textId="77777777" w:rsidR="00E676AB" w:rsidRDefault="00187EAD" w:rsidP="0094021E">
            <w:pPr>
              <w:pStyle w:val="Tablewriting"/>
              <w:jc w:val="center"/>
              <w:rPr>
                <w:rFonts w:eastAsia="MS Mincho"/>
              </w:rPr>
            </w:pPr>
            <w:r>
              <w:rPr>
                <w:rFonts w:eastAsia="MS Mincho"/>
              </w:rPr>
              <w:t xml:space="preserve">Cochrane Review </w:t>
            </w:r>
          </w:p>
          <w:p w14:paraId="6B32A2A3" w14:textId="561A91DA" w:rsidR="00187EAD" w:rsidRDefault="00187EAD" w:rsidP="0094021E">
            <w:pPr>
              <w:pStyle w:val="Tablewriting"/>
              <w:jc w:val="center"/>
              <w:rPr>
                <w:rFonts w:eastAsia="MS Mincho"/>
              </w:rPr>
            </w:pPr>
            <w:r>
              <w:rPr>
                <w:rFonts w:eastAsia="MS Mincho"/>
              </w:rPr>
              <w:t>(2 RCTs)</w:t>
            </w:r>
          </w:p>
        </w:tc>
        <w:tc>
          <w:tcPr>
            <w:tcW w:w="1154" w:type="pct"/>
            <w:tcMar>
              <w:left w:w="28" w:type="dxa"/>
              <w:right w:w="28" w:type="dxa"/>
            </w:tcMar>
            <w:vAlign w:val="center"/>
          </w:tcPr>
          <w:p w14:paraId="1052848F" w14:textId="7A5D5799" w:rsidR="00187EAD" w:rsidRDefault="00187EAD" w:rsidP="0094021E">
            <w:pPr>
              <w:pStyle w:val="Tablewriting"/>
              <w:jc w:val="center"/>
              <w:rPr>
                <w:rFonts w:eastAsia="MS Mincho"/>
              </w:rPr>
            </w:pPr>
            <w:r>
              <w:rPr>
                <w:rFonts w:eastAsia="MS Mincho"/>
              </w:rPr>
              <w:t>42</w:t>
            </w:r>
            <w:r w:rsidRPr="00061F78">
              <w:rPr>
                <w:rFonts w:eastAsia="MS Mincho"/>
              </w:rPr>
              <w:t>/</w:t>
            </w:r>
            <w:r>
              <w:rPr>
                <w:rFonts w:eastAsia="MS Mincho"/>
              </w:rPr>
              <w:t>173</w:t>
            </w:r>
            <w:r w:rsidRPr="00061F78">
              <w:rPr>
                <w:rFonts w:eastAsia="MS Mincho"/>
              </w:rPr>
              <w:t xml:space="preserve"> </w:t>
            </w:r>
          </w:p>
          <w:p w14:paraId="10963955" w14:textId="5BA3F53F" w:rsidR="00187EAD" w:rsidRDefault="00187EAD" w:rsidP="0094021E">
            <w:pPr>
              <w:pStyle w:val="Tablewriting"/>
              <w:jc w:val="center"/>
              <w:rPr>
                <w:rFonts w:eastAsia="MS Mincho"/>
              </w:rPr>
            </w:pPr>
            <w:r w:rsidRPr="00061F78">
              <w:rPr>
                <w:rFonts w:eastAsia="MS Mincho"/>
              </w:rPr>
              <w:t>(</w:t>
            </w:r>
            <w:r>
              <w:rPr>
                <w:rFonts w:eastAsia="MS Mincho"/>
              </w:rPr>
              <w:t>24.3</w:t>
            </w:r>
            <w:r w:rsidRPr="00061F78">
              <w:rPr>
                <w:rFonts w:eastAsia="MS Mincho"/>
              </w:rPr>
              <w:t>%)</w:t>
            </w:r>
          </w:p>
        </w:tc>
        <w:tc>
          <w:tcPr>
            <w:tcW w:w="948" w:type="pct"/>
            <w:tcMar>
              <w:left w:w="28" w:type="dxa"/>
              <w:right w:w="28" w:type="dxa"/>
            </w:tcMar>
            <w:vAlign w:val="center"/>
          </w:tcPr>
          <w:p w14:paraId="42B4A518" w14:textId="00D609E6" w:rsidR="00187EAD" w:rsidRDefault="00187EAD" w:rsidP="0094021E">
            <w:pPr>
              <w:pStyle w:val="Tablewriting"/>
              <w:jc w:val="center"/>
              <w:rPr>
                <w:rFonts w:eastAsia="MS Mincho"/>
              </w:rPr>
            </w:pPr>
            <w:r>
              <w:rPr>
                <w:rFonts w:eastAsia="MS Mincho"/>
              </w:rPr>
              <w:t>139</w:t>
            </w:r>
            <w:r w:rsidRPr="00061F78">
              <w:rPr>
                <w:rFonts w:eastAsia="MS Mincho"/>
              </w:rPr>
              <w:t>/</w:t>
            </w:r>
            <w:r>
              <w:rPr>
                <w:rFonts w:eastAsia="MS Mincho"/>
              </w:rPr>
              <w:t>521</w:t>
            </w:r>
            <w:r w:rsidRPr="00061F78">
              <w:rPr>
                <w:rFonts w:eastAsia="MS Mincho"/>
              </w:rPr>
              <w:t xml:space="preserve"> </w:t>
            </w:r>
          </w:p>
          <w:p w14:paraId="6E223DEE" w14:textId="77C3BC22" w:rsidR="00187EAD" w:rsidRDefault="00187EAD" w:rsidP="0094021E">
            <w:pPr>
              <w:pStyle w:val="Tablewriting"/>
              <w:jc w:val="center"/>
              <w:rPr>
                <w:rFonts w:eastAsia="MS Mincho"/>
              </w:rPr>
            </w:pPr>
            <w:r w:rsidRPr="00061F78">
              <w:rPr>
                <w:rFonts w:eastAsia="MS Mincho"/>
              </w:rPr>
              <w:t>(</w:t>
            </w:r>
            <w:r>
              <w:rPr>
                <w:rFonts w:eastAsia="MS Mincho"/>
              </w:rPr>
              <w:t>26.7</w:t>
            </w:r>
            <w:r w:rsidRPr="00061F78">
              <w:rPr>
                <w:rFonts w:eastAsia="MS Mincho"/>
              </w:rPr>
              <w:t>%)</w:t>
            </w:r>
          </w:p>
        </w:tc>
        <w:tc>
          <w:tcPr>
            <w:tcW w:w="886" w:type="pct"/>
            <w:tcMar>
              <w:left w:w="28" w:type="dxa"/>
              <w:right w:w="28" w:type="dxa"/>
            </w:tcMar>
            <w:vAlign w:val="center"/>
          </w:tcPr>
          <w:p w14:paraId="2670A4C3" w14:textId="77777777" w:rsidR="00187EAD" w:rsidRDefault="00187EAD" w:rsidP="0094021E">
            <w:pPr>
              <w:pStyle w:val="Tablewriting"/>
              <w:jc w:val="center"/>
              <w:rPr>
                <w:rFonts w:eastAsia="MS Mincho"/>
              </w:rPr>
            </w:pPr>
            <w:r>
              <w:rPr>
                <w:rFonts w:eastAsia="MS Mincho"/>
              </w:rPr>
              <w:t>0.91</w:t>
            </w:r>
          </w:p>
          <w:p w14:paraId="7454BC9C" w14:textId="4290400F" w:rsidR="00187EAD" w:rsidRPr="00CC1537" w:rsidRDefault="00187EAD" w:rsidP="0094021E">
            <w:pPr>
              <w:pStyle w:val="Tablewriting"/>
              <w:jc w:val="center"/>
              <w:rPr>
                <w:rFonts w:eastAsia="MS Mincho"/>
              </w:rPr>
            </w:pPr>
            <w:r>
              <w:rPr>
                <w:rFonts w:eastAsia="MS Mincho"/>
              </w:rPr>
              <w:t>(0.67, 1.22)</w:t>
            </w:r>
          </w:p>
        </w:tc>
      </w:tr>
      <w:tr w:rsidR="00187EAD" w:rsidRPr="00061F78" w14:paraId="1025B16D" w14:textId="77777777" w:rsidTr="004A3185">
        <w:trPr>
          <w:cantSplit/>
          <w:trHeight w:val="149"/>
        </w:trPr>
        <w:tc>
          <w:tcPr>
            <w:tcW w:w="5000" w:type="pct"/>
            <w:gridSpan w:val="5"/>
            <w:shd w:val="clear" w:color="auto" w:fill="auto"/>
            <w:tcMar>
              <w:left w:w="28" w:type="dxa"/>
              <w:right w:w="28" w:type="dxa"/>
            </w:tcMar>
          </w:tcPr>
          <w:p w14:paraId="449EE6B3" w14:textId="77777777" w:rsidR="00E90ACA" w:rsidRPr="003954C8" w:rsidRDefault="00E90ACA" w:rsidP="0094021E">
            <w:pPr>
              <w:pStyle w:val="Tablewriting"/>
              <w:rPr>
                <w:rFonts w:eastAsia="MS Mincho"/>
                <w:b/>
                <w:bCs/>
              </w:rPr>
            </w:pPr>
            <w:r w:rsidRPr="003954C8">
              <w:rPr>
                <w:rFonts w:eastAsia="MS Mincho"/>
                <w:b/>
                <w:bCs/>
              </w:rPr>
              <w:t>Bupropion versus choice of NRT</w:t>
            </w:r>
          </w:p>
        </w:tc>
      </w:tr>
      <w:tr w:rsidR="00187EAD" w:rsidRPr="00061F78" w14:paraId="2C3BFFB7" w14:textId="77777777" w:rsidTr="004A3185">
        <w:trPr>
          <w:cantSplit/>
          <w:trHeight w:val="149"/>
        </w:trPr>
        <w:tc>
          <w:tcPr>
            <w:tcW w:w="718" w:type="pct"/>
            <w:tcMar>
              <w:left w:w="28" w:type="dxa"/>
              <w:right w:w="28" w:type="dxa"/>
            </w:tcMar>
          </w:tcPr>
          <w:p w14:paraId="3E4E5D3C" w14:textId="77777777" w:rsidR="00187EAD" w:rsidRDefault="00187EAD" w:rsidP="0094021E">
            <w:pPr>
              <w:pStyle w:val="Tablewriting"/>
              <w:rPr>
                <w:rFonts w:eastAsia="MS Mincho"/>
              </w:rPr>
            </w:pPr>
            <w:r>
              <w:rPr>
                <w:rFonts w:eastAsia="MS Mincho"/>
              </w:rPr>
              <w:t>Howes</w:t>
            </w:r>
            <w:r w:rsidRPr="00061F78">
              <w:rPr>
                <w:rFonts w:eastAsia="MS Mincho"/>
              </w:rPr>
              <w:t xml:space="preserve"> </w:t>
            </w:r>
          </w:p>
          <w:p w14:paraId="11146EE1" w14:textId="5A85BEC6" w:rsidR="00187EAD" w:rsidRDefault="00187EAD" w:rsidP="0094021E">
            <w:pPr>
              <w:pStyle w:val="Tablewriting"/>
              <w:rPr>
                <w:rFonts w:eastAsia="MS Mincho"/>
              </w:rPr>
            </w:pPr>
            <w:r w:rsidRPr="00061F78">
              <w:rPr>
                <w:rFonts w:eastAsia="MS Mincho"/>
              </w:rPr>
              <w:t>(20</w:t>
            </w:r>
            <w:r>
              <w:rPr>
                <w:rFonts w:eastAsia="MS Mincho"/>
              </w:rPr>
              <w:t>20</w:t>
            </w:r>
            <w:r w:rsidRPr="00061F78">
              <w:rPr>
                <w:rFonts w:eastAsia="MS Mincho"/>
              </w:rPr>
              <w:t>)</w:t>
            </w:r>
            <w:r>
              <w:rPr>
                <w:rFonts w:eastAsia="MS Mincho"/>
                <w:vertAlign w:val="superscript"/>
              </w:rPr>
              <w:t>4</w:t>
            </w:r>
          </w:p>
        </w:tc>
        <w:tc>
          <w:tcPr>
            <w:tcW w:w="1294" w:type="pct"/>
            <w:vAlign w:val="center"/>
          </w:tcPr>
          <w:p w14:paraId="3AA9B9BB" w14:textId="77777777" w:rsidR="00E676AB" w:rsidRDefault="00187EAD" w:rsidP="0094021E">
            <w:pPr>
              <w:pStyle w:val="Tablewriting"/>
              <w:jc w:val="center"/>
              <w:rPr>
                <w:rFonts w:eastAsia="MS Mincho"/>
              </w:rPr>
            </w:pPr>
            <w:r>
              <w:rPr>
                <w:rFonts w:eastAsia="MS Mincho"/>
              </w:rPr>
              <w:t xml:space="preserve">Cochrane Review </w:t>
            </w:r>
          </w:p>
          <w:p w14:paraId="57EE5DC4" w14:textId="256BFBDB" w:rsidR="00187EAD" w:rsidRDefault="00187EAD" w:rsidP="0094021E">
            <w:pPr>
              <w:pStyle w:val="Tablewriting"/>
              <w:jc w:val="center"/>
              <w:rPr>
                <w:rFonts w:eastAsia="MS Mincho"/>
              </w:rPr>
            </w:pPr>
            <w:r>
              <w:rPr>
                <w:rFonts w:eastAsia="MS Mincho"/>
              </w:rPr>
              <w:t>(2 RCTs)</w:t>
            </w:r>
          </w:p>
        </w:tc>
        <w:tc>
          <w:tcPr>
            <w:tcW w:w="1154" w:type="pct"/>
            <w:tcMar>
              <w:left w:w="28" w:type="dxa"/>
              <w:right w:w="28" w:type="dxa"/>
            </w:tcMar>
            <w:vAlign w:val="center"/>
          </w:tcPr>
          <w:p w14:paraId="0C803397" w14:textId="117FEE4C" w:rsidR="00187EAD" w:rsidRDefault="00187EAD" w:rsidP="0094021E">
            <w:pPr>
              <w:pStyle w:val="Tablewriting"/>
              <w:jc w:val="center"/>
              <w:rPr>
                <w:rFonts w:eastAsia="MS Mincho"/>
              </w:rPr>
            </w:pPr>
            <w:r>
              <w:rPr>
                <w:rFonts w:eastAsia="MS Mincho"/>
              </w:rPr>
              <w:t>131</w:t>
            </w:r>
            <w:r w:rsidRPr="00061F78">
              <w:rPr>
                <w:rFonts w:eastAsia="MS Mincho"/>
              </w:rPr>
              <w:t>/</w:t>
            </w:r>
            <w:r>
              <w:rPr>
                <w:rFonts w:eastAsia="MS Mincho"/>
              </w:rPr>
              <w:t>517</w:t>
            </w:r>
            <w:r w:rsidRPr="00061F78">
              <w:rPr>
                <w:rFonts w:eastAsia="MS Mincho"/>
              </w:rPr>
              <w:t xml:space="preserve"> </w:t>
            </w:r>
          </w:p>
          <w:p w14:paraId="6E901299" w14:textId="4E3B2D95" w:rsidR="00187EAD" w:rsidRDefault="00187EAD" w:rsidP="0094021E">
            <w:pPr>
              <w:pStyle w:val="Tablewriting"/>
              <w:jc w:val="center"/>
              <w:rPr>
                <w:rFonts w:eastAsia="MS Mincho"/>
              </w:rPr>
            </w:pPr>
            <w:r w:rsidRPr="00061F78">
              <w:rPr>
                <w:rFonts w:eastAsia="MS Mincho"/>
              </w:rPr>
              <w:t>(</w:t>
            </w:r>
            <w:r>
              <w:rPr>
                <w:rFonts w:eastAsia="MS Mincho"/>
              </w:rPr>
              <w:t>25.3</w:t>
            </w:r>
            <w:r w:rsidRPr="00061F78">
              <w:rPr>
                <w:rFonts w:eastAsia="MS Mincho"/>
              </w:rPr>
              <w:t>%)</w:t>
            </w:r>
          </w:p>
        </w:tc>
        <w:tc>
          <w:tcPr>
            <w:tcW w:w="948" w:type="pct"/>
            <w:tcMar>
              <w:left w:w="28" w:type="dxa"/>
              <w:right w:w="28" w:type="dxa"/>
            </w:tcMar>
            <w:vAlign w:val="center"/>
          </w:tcPr>
          <w:p w14:paraId="37B928EF" w14:textId="620BD678" w:rsidR="00187EAD" w:rsidRDefault="00187EAD" w:rsidP="0094021E">
            <w:pPr>
              <w:pStyle w:val="Tablewriting"/>
              <w:jc w:val="center"/>
              <w:rPr>
                <w:rFonts w:eastAsia="MS Mincho"/>
              </w:rPr>
            </w:pPr>
            <w:r>
              <w:rPr>
                <w:rFonts w:eastAsia="MS Mincho"/>
              </w:rPr>
              <w:t>123</w:t>
            </w:r>
            <w:r w:rsidRPr="00061F78">
              <w:rPr>
                <w:rFonts w:eastAsia="MS Mincho"/>
              </w:rPr>
              <w:t>/</w:t>
            </w:r>
            <w:r>
              <w:rPr>
                <w:rFonts w:eastAsia="MS Mincho"/>
              </w:rPr>
              <w:t>521</w:t>
            </w:r>
            <w:r w:rsidRPr="00061F78">
              <w:rPr>
                <w:rFonts w:eastAsia="MS Mincho"/>
              </w:rPr>
              <w:t xml:space="preserve"> </w:t>
            </w:r>
          </w:p>
          <w:p w14:paraId="28267517" w14:textId="7CF9D42A" w:rsidR="00187EAD" w:rsidRDefault="00187EAD" w:rsidP="0094021E">
            <w:pPr>
              <w:pStyle w:val="Tablewriting"/>
              <w:jc w:val="center"/>
              <w:rPr>
                <w:rFonts w:eastAsia="MS Mincho"/>
              </w:rPr>
            </w:pPr>
            <w:r w:rsidRPr="00061F78">
              <w:rPr>
                <w:rFonts w:eastAsia="MS Mincho"/>
              </w:rPr>
              <w:t>(</w:t>
            </w:r>
            <w:r>
              <w:rPr>
                <w:rFonts w:eastAsia="MS Mincho"/>
              </w:rPr>
              <w:t>23.6</w:t>
            </w:r>
            <w:r w:rsidRPr="00061F78">
              <w:rPr>
                <w:rFonts w:eastAsia="MS Mincho"/>
              </w:rPr>
              <w:t>%)</w:t>
            </w:r>
          </w:p>
        </w:tc>
        <w:tc>
          <w:tcPr>
            <w:tcW w:w="886" w:type="pct"/>
            <w:tcMar>
              <w:left w:w="28" w:type="dxa"/>
              <w:right w:w="28" w:type="dxa"/>
            </w:tcMar>
            <w:vAlign w:val="center"/>
          </w:tcPr>
          <w:p w14:paraId="7CC25A6A" w14:textId="477834ED" w:rsidR="00187EAD" w:rsidRDefault="00187EAD" w:rsidP="0094021E">
            <w:pPr>
              <w:pStyle w:val="Tablewriting"/>
              <w:jc w:val="center"/>
              <w:rPr>
                <w:rFonts w:eastAsia="MS Mincho"/>
              </w:rPr>
            </w:pPr>
            <w:r>
              <w:rPr>
                <w:rFonts w:eastAsia="MS Mincho"/>
              </w:rPr>
              <w:t>1.08</w:t>
            </w:r>
          </w:p>
          <w:p w14:paraId="0C8AFA80" w14:textId="69828C02" w:rsidR="00187EAD" w:rsidRDefault="00187EAD" w:rsidP="0094021E">
            <w:pPr>
              <w:pStyle w:val="Tablewriting"/>
              <w:jc w:val="center"/>
              <w:rPr>
                <w:rFonts w:eastAsia="MS Mincho"/>
              </w:rPr>
            </w:pPr>
            <w:r>
              <w:rPr>
                <w:rFonts w:eastAsia="MS Mincho"/>
              </w:rPr>
              <w:t>(0.87, 1.33)</w:t>
            </w:r>
          </w:p>
        </w:tc>
      </w:tr>
    </w:tbl>
    <w:p w14:paraId="5A6A6CE1" w14:textId="77777777" w:rsidR="00B576FE" w:rsidRDefault="00B576FE" w:rsidP="0094021E">
      <w:pPr>
        <w:pStyle w:val="TableFooter"/>
      </w:pPr>
      <w:r>
        <w:t>Source: Howes et al. (2020)</w:t>
      </w:r>
    </w:p>
    <w:p w14:paraId="3FDFC9A5" w14:textId="57DA4BF7" w:rsidR="00B576FE" w:rsidRDefault="00B576FE" w:rsidP="0094021E">
      <w:pPr>
        <w:pStyle w:val="TableFooter"/>
        <w:rPr>
          <w:i/>
        </w:rPr>
      </w:pPr>
      <w:r>
        <w:t xml:space="preserve">Abbreviations: CI = confidence interval; </w:t>
      </w:r>
      <w:r w:rsidR="00E004A1">
        <w:t xml:space="preserve">NRT = nicotine replacement therapy; </w:t>
      </w:r>
      <w:r>
        <w:t>RCT = randomised controlled trial; RR = risk ratio</w:t>
      </w:r>
      <w:r w:rsidRPr="00061F78">
        <w:t xml:space="preserve"> </w:t>
      </w:r>
    </w:p>
    <w:p w14:paraId="07478F45" w14:textId="77777777" w:rsidR="00B576FE" w:rsidRDefault="00B576FE" w:rsidP="0094021E">
      <w:pPr>
        <w:pStyle w:val="TableFooter"/>
      </w:pPr>
      <w:r w:rsidRPr="00061F78">
        <w:rPr>
          <w:highlight w:val="lightGray"/>
        </w:rPr>
        <w:t>Shaded</w:t>
      </w:r>
      <w:r w:rsidRPr="00061F78">
        <w:t xml:space="preserve"> = previously considered by the PBAC</w:t>
      </w:r>
    </w:p>
    <w:p w14:paraId="04EC59B6" w14:textId="5D9FDFF5" w:rsidR="00B576FE" w:rsidRDefault="00B576FE" w:rsidP="0094021E">
      <w:pPr>
        <w:pStyle w:val="TableFooter"/>
      </w:pPr>
      <w:r w:rsidRPr="00D468CF">
        <w:t>Note</w:t>
      </w:r>
      <w:r>
        <w:t>s</w:t>
      </w:r>
      <w:r w:rsidRPr="00D468CF">
        <w:t>: Bold indicates statistically significant difference.</w:t>
      </w:r>
      <w:r>
        <w:br/>
        <w:t>1 Continuous abstinence rate at 12 months</w:t>
      </w:r>
      <w:r w:rsidR="00F6274F">
        <w:t>.</w:t>
      </w:r>
    </w:p>
    <w:p w14:paraId="7A3A4599" w14:textId="6A40C4C6" w:rsidR="00CA4917" w:rsidRDefault="00CA4917" w:rsidP="0094021E">
      <w:pPr>
        <w:pStyle w:val="TableFooter"/>
      </w:pPr>
      <w:r>
        <w:t xml:space="preserve">2 Continuous abstinence rate at </w:t>
      </w:r>
      <w:r w:rsidR="00EC7F43">
        <w:t>six</w:t>
      </w:r>
      <w:r>
        <w:t xml:space="preserve"> months</w:t>
      </w:r>
      <w:r w:rsidR="00F6274F">
        <w:t>.</w:t>
      </w:r>
    </w:p>
    <w:p w14:paraId="0D9B308E" w14:textId="6F450480" w:rsidR="004914BD" w:rsidRDefault="004914BD" w:rsidP="0094021E">
      <w:pPr>
        <w:pStyle w:val="TableFooter"/>
      </w:pPr>
      <w:r>
        <w:t xml:space="preserve">3 </w:t>
      </w:r>
      <w:r w:rsidR="008B30A5">
        <w:t xml:space="preserve">7-day point prevalent abstinence at </w:t>
      </w:r>
      <w:r w:rsidR="00EC7F43">
        <w:t>six</w:t>
      </w:r>
      <w:r w:rsidR="008B30A5">
        <w:t xml:space="preserve"> months</w:t>
      </w:r>
      <w:r w:rsidR="00F6274F">
        <w:t>.</w:t>
      </w:r>
    </w:p>
    <w:p w14:paraId="1920A1CB" w14:textId="0CEC5580" w:rsidR="00B576FE" w:rsidRDefault="00E34A94" w:rsidP="004A3185">
      <w:pPr>
        <w:pStyle w:val="TableFooter"/>
        <w:jc w:val="both"/>
      </w:pPr>
      <w:r>
        <w:t>4</w:t>
      </w:r>
      <w:r w:rsidR="00B576FE">
        <w:t xml:space="preserve"> Where cessation was assessed at multiple intervals, the longest follow-up data were used. Where multiple definitions of abstinence were assessed, the strictest of these definitions was used (</w:t>
      </w:r>
      <w:r w:rsidR="004C4EA7">
        <w:t>e.g.,</w:t>
      </w:r>
      <w:r w:rsidR="00B576FE">
        <w:t xml:space="preserve"> continuous/prolonged abstinence over point prevalence abstinence). See </w:t>
      </w:r>
      <w:r w:rsidR="00B576FE" w:rsidRPr="00D90B8F">
        <w:t xml:space="preserve">Appendix </w:t>
      </w:r>
      <w:r w:rsidR="00076298">
        <w:t>Table 145</w:t>
      </w:r>
      <w:r w:rsidR="00B576FE">
        <w:t xml:space="preserve"> for the definition used in each study.</w:t>
      </w:r>
      <w:r w:rsidR="00DD303F">
        <w:t xml:space="preserve"> </w:t>
      </w:r>
      <w:r w:rsidR="0030225A" w:rsidRPr="0030225A">
        <w:t>Studies</w:t>
      </w:r>
      <w:r w:rsidR="002C2A52">
        <w:t xml:space="preserve"> of bupropion versus NRT </w:t>
      </w:r>
      <w:r w:rsidR="00573F59">
        <w:t>patches</w:t>
      </w:r>
      <w:r w:rsidR="0030225A" w:rsidRPr="0030225A">
        <w:t xml:space="preserve"> previously considered by the PBAC were included in the meta-analysis</w:t>
      </w:r>
      <w:r w:rsidR="0030225A">
        <w:t xml:space="preserve"> of Howes et al. (2020).</w:t>
      </w:r>
    </w:p>
    <w:p w14:paraId="13EBADC2" w14:textId="6E89CCA1" w:rsidR="00B576FE" w:rsidRDefault="00E34A94" w:rsidP="004A3185">
      <w:pPr>
        <w:pStyle w:val="TableFooter"/>
        <w:jc w:val="both"/>
      </w:pPr>
      <w:r w:rsidRPr="00D90B8F">
        <w:t>5</w:t>
      </w:r>
      <w:r w:rsidR="00B576FE" w:rsidRPr="00D90B8F">
        <w:t xml:space="preserve"> Calculated </w:t>
      </w:r>
      <w:r w:rsidR="002C5D1C" w:rsidRPr="00D90B8F">
        <w:t xml:space="preserve">by Cochrane Review authors </w:t>
      </w:r>
      <w:r w:rsidR="00B576FE" w:rsidRPr="00D90B8F">
        <w:t>using a fixed-effect model</w:t>
      </w:r>
      <w:r w:rsidR="00F6274F">
        <w:t>.</w:t>
      </w:r>
    </w:p>
    <w:p w14:paraId="08573D21" w14:textId="0BCA231D" w:rsidR="006F285E" w:rsidRDefault="00E676AB" w:rsidP="004A3185">
      <w:pPr>
        <w:pStyle w:val="TableFooter"/>
        <w:spacing w:after="120"/>
        <w:contextualSpacing w:val="0"/>
        <w:jc w:val="both"/>
      </w:pPr>
      <w:r>
        <w:t>a</w:t>
      </w:r>
      <w:r w:rsidR="006F285E">
        <w:t xml:space="preserve"> </w:t>
      </w:r>
      <w:r w:rsidR="00D761F4">
        <w:t xml:space="preserve">Number of patients in bupropion arm divided </w:t>
      </w:r>
      <w:r w:rsidR="001275C6">
        <w:t>between three subgroups in Howes et al. (2020)</w:t>
      </w:r>
      <w:r w:rsidR="00F6274F">
        <w:t>.</w:t>
      </w:r>
    </w:p>
    <w:p w14:paraId="08988D30" w14:textId="596C2E5B" w:rsidR="00E004A1" w:rsidRDefault="00E004A1" w:rsidP="004A3185">
      <w:pPr>
        <w:spacing w:after="120"/>
        <w:jc w:val="both"/>
      </w:pPr>
      <w:r>
        <w:t xml:space="preserve">The results of the individual studies included in Howes et al. (2020) are presented using a forest plot in </w:t>
      </w:r>
      <w:r w:rsidR="00372B6F">
        <w:fldChar w:fldCharType="begin" w:fldLock="1"/>
      </w:r>
      <w:r w:rsidR="00372B6F">
        <w:instrText xml:space="preserve"> REF _Ref53147382 \h </w:instrText>
      </w:r>
      <w:r w:rsidR="004A3185">
        <w:instrText xml:space="preserve"> \* MERGEFORMAT </w:instrText>
      </w:r>
      <w:r w:rsidR="00372B6F">
        <w:fldChar w:fldCharType="separate"/>
      </w:r>
      <w:r w:rsidR="00EC5CC7">
        <w:t xml:space="preserve">Figure </w:t>
      </w:r>
      <w:r w:rsidR="00EC5CC7">
        <w:rPr>
          <w:noProof/>
        </w:rPr>
        <w:t>2</w:t>
      </w:r>
      <w:r w:rsidR="00372B6F">
        <w:fldChar w:fldCharType="end"/>
      </w:r>
      <w:r>
        <w:t xml:space="preserve">. The </w:t>
      </w:r>
      <w:r w:rsidR="00980873">
        <w:t>results comparing bupropion with combination NRT (</w:t>
      </w:r>
      <w:r w:rsidR="004C4EA7">
        <w:t>i.e.,</w:t>
      </w:r>
      <w:r w:rsidR="00980873">
        <w:t xml:space="preserve"> patch + lozenge) are discussed in the combination therapy section.</w:t>
      </w:r>
    </w:p>
    <w:p w14:paraId="5EBCB58A" w14:textId="77777777" w:rsidR="00372B6F" w:rsidRDefault="00F30861" w:rsidP="00372B6F">
      <w:pPr>
        <w:keepNext/>
      </w:pPr>
      <w:r>
        <w:rPr>
          <w:noProof/>
        </w:rPr>
        <w:lastRenderedPageBreak/>
        <w:drawing>
          <wp:inline distT="0" distB="0" distL="0" distR="0" wp14:anchorId="268F62D9" wp14:editId="6DDA7E59">
            <wp:extent cx="5731510" cy="4653281"/>
            <wp:effectExtent l="0" t="0" r="2540" b="0"/>
            <wp:docPr id="1" name="Picture 1" descr="P16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620#yIS1"/>
                    <pic:cNvPicPr/>
                  </pic:nvPicPr>
                  <pic:blipFill>
                    <a:blip r:embed="rId21">
                      <a:extLst>
                        <a:ext uri="{28A0092B-C50C-407E-A947-70E740481C1C}">
                          <a14:useLocalDpi xmlns:a14="http://schemas.microsoft.com/office/drawing/2010/main" val="0"/>
                        </a:ext>
                      </a:extLst>
                    </a:blip>
                    <a:stretch>
                      <a:fillRect/>
                    </a:stretch>
                  </pic:blipFill>
                  <pic:spPr>
                    <a:xfrm>
                      <a:off x="0" y="0"/>
                      <a:ext cx="5731510" cy="4653281"/>
                    </a:xfrm>
                    <a:prstGeom prst="rect">
                      <a:avLst/>
                    </a:prstGeom>
                  </pic:spPr>
                </pic:pic>
              </a:graphicData>
            </a:graphic>
          </wp:inline>
        </w:drawing>
      </w:r>
    </w:p>
    <w:p w14:paraId="1EA88DF2" w14:textId="5D392E82" w:rsidR="00F30861" w:rsidRDefault="00372B6F" w:rsidP="004A3185">
      <w:pPr>
        <w:pStyle w:val="FigureCaption"/>
        <w:spacing w:before="120"/>
        <w:jc w:val="both"/>
      </w:pPr>
      <w:bookmarkStart w:id="45" w:name="_Ref53147382"/>
      <w:r>
        <w:t xml:space="preserve">Figure </w:t>
      </w:r>
      <w:r w:rsidR="00ED3594">
        <w:fldChar w:fldCharType="begin"/>
      </w:r>
      <w:r w:rsidR="00ED3594">
        <w:instrText xml:space="preserve"> SEQ Figure \* ARABIC </w:instrText>
      </w:r>
      <w:r w:rsidR="00ED3594">
        <w:fldChar w:fldCharType="separate"/>
      </w:r>
      <w:r w:rsidR="00EC5CC7">
        <w:t>2</w:t>
      </w:r>
      <w:r w:rsidR="00ED3594">
        <w:fldChar w:fldCharType="end"/>
      </w:r>
      <w:bookmarkEnd w:id="45"/>
      <w:r>
        <w:t xml:space="preserve">: </w:t>
      </w:r>
      <w:r w:rsidRPr="004F235C">
        <w:t>Results of smoking cessation f</w:t>
      </w:r>
      <w:r w:rsidR="00FD165D">
        <w:t>or</w:t>
      </w:r>
      <w:r w:rsidRPr="004F235C">
        <w:t xml:space="preserve"> at least six months follow-up in Howes et al. (2020), bupropion versus </w:t>
      </w:r>
      <w:r w:rsidR="003D61AB">
        <w:t>NRT</w:t>
      </w:r>
    </w:p>
    <w:p w14:paraId="4DB7F874" w14:textId="77777777" w:rsidR="00372B6F" w:rsidRDefault="00372B6F" w:rsidP="004A3185">
      <w:pPr>
        <w:pStyle w:val="FigureFooter"/>
        <w:jc w:val="both"/>
      </w:pPr>
      <w:r>
        <w:t>Source: Howes et al. (2020)</w:t>
      </w:r>
    </w:p>
    <w:p w14:paraId="1125E444" w14:textId="77777777" w:rsidR="005A5B43" w:rsidRDefault="00372B6F" w:rsidP="004A3185">
      <w:pPr>
        <w:pStyle w:val="FigureFooter"/>
        <w:jc w:val="both"/>
      </w:pPr>
      <w:r>
        <w:t>Abbreviations: CI = confidence interval</w:t>
      </w:r>
    </w:p>
    <w:p w14:paraId="2387A3F4" w14:textId="79A224D3" w:rsidR="00980873" w:rsidRDefault="00706B58" w:rsidP="004A3185">
      <w:pPr>
        <w:pStyle w:val="FigureFooter"/>
        <w:jc w:val="both"/>
      </w:pPr>
      <w:r>
        <w:t xml:space="preserve">Note: </w:t>
      </w:r>
      <w:r w:rsidR="003A49E6">
        <w:t xml:space="preserve">The meta-analysis </w:t>
      </w:r>
      <w:r w:rsidR="000E0C9C">
        <w:t xml:space="preserve">conducted by Howes et al. (2020) </w:t>
      </w:r>
      <w:r w:rsidR="000F5709">
        <w:t>poole</w:t>
      </w:r>
      <w:r w:rsidR="000E0C9C">
        <w:t xml:space="preserve">d </w:t>
      </w:r>
      <w:r w:rsidR="000F5709">
        <w:t xml:space="preserve">the </w:t>
      </w:r>
      <w:r w:rsidR="00BA1707">
        <w:t>studies</w:t>
      </w:r>
      <w:r w:rsidR="00664BE3">
        <w:t xml:space="preserve"> for </w:t>
      </w:r>
      <w:r w:rsidR="000E0C9C">
        <w:t>monotherapy and combination</w:t>
      </w:r>
      <w:r w:rsidR="00A769C2">
        <w:t xml:space="preserve"> NRT</w:t>
      </w:r>
      <w:r w:rsidR="000E0C9C">
        <w:t xml:space="preserve"> therap</w:t>
      </w:r>
      <w:r w:rsidR="00A769C2">
        <w:t>ies.</w:t>
      </w:r>
      <w:r w:rsidR="00980873">
        <w:t xml:space="preserve"> </w:t>
      </w:r>
      <w:r w:rsidR="00285C43">
        <w:t>Th</w:t>
      </w:r>
      <w:r w:rsidR="00F25628">
        <w:t xml:space="preserve">e results </w:t>
      </w:r>
      <w:r w:rsidR="00CE1DF3">
        <w:t xml:space="preserve">for monotherapy and combination therapies are </w:t>
      </w:r>
      <w:r w:rsidR="00285C43">
        <w:t xml:space="preserve">presented </w:t>
      </w:r>
      <w:r w:rsidR="00CE1DF3">
        <w:t xml:space="preserve">separately </w:t>
      </w:r>
      <w:r w:rsidR="00285C43">
        <w:t>in this report</w:t>
      </w:r>
      <w:r w:rsidR="00CE1DF3">
        <w:t>.</w:t>
      </w:r>
      <w:r w:rsidR="00827C9E">
        <w:t xml:space="preserve"> </w:t>
      </w:r>
    </w:p>
    <w:p w14:paraId="58CC1936" w14:textId="07312E83" w:rsidR="00980873" w:rsidRPr="0073597F" w:rsidRDefault="00980873" w:rsidP="004A3185">
      <w:pPr>
        <w:spacing w:before="120" w:after="120"/>
        <w:jc w:val="both"/>
        <w:rPr>
          <w:u w:val="single"/>
        </w:rPr>
      </w:pPr>
      <w:r w:rsidRPr="0073597F">
        <w:rPr>
          <w:u w:val="single"/>
        </w:rPr>
        <w:t>Safety</w:t>
      </w:r>
    </w:p>
    <w:p w14:paraId="04D1FDF5" w14:textId="1AFD6570" w:rsidR="00980873" w:rsidRDefault="002D216A" w:rsidP="004A3185">
      <w:pPr>
        <w:spacing w:after="120"/>
        <w:jc w:val="both"/>
      </w:pPr>
      <w:r>
        <w:t xml:space="preserve">A summary of </w:t>
      </w:r>
      <w:r w:rsidR="00A038AD">
        <w:t>key</w:t>
      </w:r>
      <w:r>
        <w:t xml:space="preserve"> adverse events </w:t>
      </w:r>
      <w:r w:rsidR="001E02D1">
        <w:t>comparing bupropion with NRT</w:t>
      </w:r>
      <w:r>
        <w:t xml:space="preserve"> is presented in </w:t>
      </w:r>
      <w:r>
        <w:fldChar w:fldCharType="begin" w:fldLock="1"/>
      </w:r>
      <w:r>
        <w:instrText xml:space="preserve"> REF _Ref53149797 \h </w:instrText>
      </w:r>
      <w:r w:rsidR="004A3185">
        <w:instrText xml:space="preserve"> \* MERGEFORMAT </w:instrText>
      </w:r>
      <w:r>
        <w:fldChar w:fldCharType="separate"/>
      </w:r>
      <w:r w:rsidR="00EC5CC7">
        <w:t xml:space="preserve">Table </w:t>
      </w:r>
      <w:r w:rsidR="00EC5CC7">
        <w:rPr>
          <w:noProof/>
        </w:rPr>
        <w:t>12</w:t>
      </w:r>
      <w:r>
        <w:fldChar w:fldCharType="end"/>
      </w:r>
      <w:r>
        <w:t xml:space="preserve">. Based on the meta-analysis conducted by Howes et al. (2020), </w:t>
      </w:r>
      <w:r w:rsidR="000735DB">
        <w:t>t</w:t>
      </w:r>
      <w:r>
        <w:t xml:space="preserve">here were no statistically significant differences in terms of </w:t>
      </w:r>
      <w:r w:rsidR="000735DB">
        <w:t xml:space="preserve">any adverse events, </w:t>
      </w:r>
      <w:r>
        <w:t xml:space="preserve">serious adverse </w:t>
      </w:r>
      <w:r w:rsidR="004C4EA7">
        <w:t>events,</w:t>
      </w:r>
      <w:r>
        <w:t xml:space="preserve"> </w:t>
      </w:r>
      <w:r w:rsidR="000735DB">
        <w:t>or discontinuation due to adverse events between bupropion and NRT</w:t>
      </w:r>
      <w:r>
        <w:t xml:space="preserve">, although the proportion of patients experiencing </w:t>
      </w:r>
      <w:r w:rsidR="000735DB">
        <w:t>these</w:t>
      </w:r>
      <w:r>
        <w:t xml:space="preserve"> events w</w:t>
      </w:r>
      <w:r w:rsidR="00394FCB">
        <w:t>ere</w:t>
      </w:r>
      <w:r>
        <w:t xml:space="preserve"> numerically higher in the bupropion arm</w:t>
      </w:r>
      <w:r w:rsidR="000735DB">
        <w:t>.</w:t>
      </w:r>
      <w:r>
        <w:t xml:space="preserve"> </w:t>
      </w:r>
      <w:r w:rsidR="000735DB">
        <w:t>It was observed that the</w:t>
      </w:r>
      <w:r w:rsidR="006307B9">
        <w:t xml:space="preserve"> discontinuation rate due to adverse events was significantly higher in the bupropion arm compared with the NRT arm </w:t>
      </w:r>
      <w:r w:rsidR="00DB6037">
        <w:t>based on</w:t>
      </w:r>
      <w:r w:rsidR="006307B9">
        <w:t xml:space="preserve"> Jorenby et al. (1999).</w:t>
      </w:r>
      <w:r>
        <w:t xml:space="preserve"> </w:t>
      </w:r>
      <w:r w:rsidR="00394FCB" w:rsidRPr="00394FCB">
        <w:t>The meta-analysed result for psychiatric adverse events was not reported in Howes et al. (2020) due to the high level of heterogeneity across studies (I</w:t>
      </w:r>
      <w:r w:rsidR="00394FCB" w:rsidRPr="00720B20">
        <w:rPr>
          <w:vertAlign w:val="superscript"/>
        </w:rPr>
        <w:t>2</w:t>
      </w:r>
      <w:r w:rsidR="00394FCB" w:rsidRPr="00394FCB">
        <w:t>=92%).</w:t>
      </w:r>
    </w:p>
    <w:p w14:paraId="1E9012B5" w14:textId="408CBBFE" w:rsidR="00CE23F0" w:rsidRDefault="00CE23F0" w:rsidP="004A3185">
      <w:pPr>
        <w:pStyle w:val="Caption"/>
        <w:keepNext/>
        <w:spacing w:before="120" w:after="120"/>
        <w:jc w:val="both"/>
      </w:pPr>
      <w:bookmarkStart w:id="46" w:name="_Ref53149797"/>
      <w:r>
        <w:lastRenderedPageBreak/>
        <w:t xml:space="preserve">Table </w:t>
      </w:r>
      <w:r>
        <w:fldChar w:fldCharType="begin"/>
      </w:r>
      <w:r>
        <w:instrText>SEQ Table \* ARABIC</w:instrText>
      </w:r>
      <w:r>
        <w:fldChar w:fldCharType="separate"/>
      </w:r>
      <w:r w:rsidR="00EC5CC7">
        <w:rPr>
          <w:noProof/>
        </w:rPr>
        <w:t>12</w:t>
      </w:r>
      <w:r>
        <w:fldChar w:fldCharType="end"/>
      </w:r>
      <w:bookmarkEnd w:id="46"/>
      <w:r>
        <w:t xml:space="preserve">: </w:t>
      </w:r>
      <w:r w:rsidRPr="00220903">
        <w:t xml:space="preserve">Summary of </w:t>
      </w:r>
      <w:r w:rsidR="00A038AD">
        <w:t>key</w:t>
      </w:r>
      <w:r w:rsidRPr="00220903">
        <w:t xml:space="preserve"> adverse events, bupropion versus </w:t>
      </w:r>
      <w:r>
        <w:t>NRT</w:t>
      </w:r>
    </w:p>
    <w:tbl>
      <w:tblPr>
        <w:tblStyle w:val="TableGrid"/>
        <w:tblW w:w="5000" w:type="pct"/>
        <w:tblLook w:val="04A0" w:firstRow="1" w:lastRow="0" w:firstColumn="1" w:lastColumn="0" w:noHBand="0" w:noVBand="1"/>
        <w:tblCaption w:val="Efficacy results of adalimumab trials (PASI 75 and DLQI)"/>
      </w:tblPr>
      <w:tblGrid>
        <w:gridCol w:w="993"/>
        <w:gridCol w:w="1706"/>
        <w:gridCol w:w="1971"/>
        <w:gridCol w:w="1616"/>
        <w:gridCol w:w="1194"/>
        <w:gridCol w:w="1536"/>
      </w:tblGrid>
      <w:tr w:rsidR="00DE4D31" w:rsidRPr="00061F78" w14:paraId="2899B2A9" w14:textId="77777777" w:rsidTr="004A3185">
        <w:trPr>
          <w:cantSplit/>
          <w:trHeight w:val="299"/>
          <w:tblHeader/>
        </w:trPr>
        <w:tc>
          <w:tcPr>
            <w:tcW w:w="551" w:type="pct"/>
            <w:shd w:val="clear" w:color="auto" w:fill="BFBFBF" w:themeFill="background1" w:themeFillShade="BF"/>
            <w:tcMar>
              <w:left w:w="28" w:type="dxa"/>
              <w:right w:w="28" w:type="dxa"/>
            </w:tcMar>
            <w:vAlign w:val="center"/>
          </w:tcPr>
          <w:p w14:paraId="7F4814A7" w14:textId="1B5742AE" w:rsidR="00980873" w:rsidRPr="00061F78" w:rsidRDefault="00126B7B" w:rsidP="00AD6A60">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14:paraId="0B4D49D3" w14:textId="77777777" w:rsidR="00980873" w:rsidRDefault="00980873" w:rsidP="00AD6A60">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14:paraId="2F15E092" w14:textId="4711C740" w:rsidR="00980873" w:rsidRPr="002D7608" w:rsidRDefault="00E268C1" w:rsidP="00AD6A60">
            <w:pPr>
              <w:pStyle w:val="Tableheading"/>
              <w:keepNext/>
              <w:jc w:val="center"/>
              <w:rPr>
                <w:rFonts w:eastAsia="MS Mincho"/>
                <w:vertAlign w:val="superscript"/>
              </w:rPr>
            </w:pPr>
            <w:r>
              <w:rPr>
                <w:rFonts w:eastAsia="MS Mincho"/>
              </w:rPr>
              <w:t>Previously considered studies included</w:t>
            </w:r>
            <w:r w:rsidR="002D7608">
              <w:rPr>
                <w:rFonts w:eastAsia="MS Mincho"/>
                <w:vertAlign w:val="superscript"/>
              </w:rPr>
              <w:t>1</w:t>
            </w:r>
          </w:p>
        </w:tc>
        <w:tc>
          <w:tcPr>
            <w:tcW w:w="896" w:type="pct"/>
            <w:shd w:val="clear" w:color="auto" w:fill="BFBFBF" w:themeFill="background1" w:themeFillShade="BF"/>
            <w:tcMar>
              <w:left w:w="28" w:type="dxa"/>
              <w:right w:w="28" w:type="dxa"/>
            </w:tcMar>
            <w:vAlign w:val="center"/>
          </w:tcPr>
          <w:p w14:paraId="75550E5D" w14:textId="2944DB28" w:rsidR="00980873" w:rsidRPr="00061F78" w:rsidRDefault="00E268C1" w:rsidP="00AD6A60">
            <w:pPr>
              <w:pStyle w:val="Tableheading"/>
              <w:keepNext/>
              <w:jc w:val="center"/>
              <w:rPr>
                <w:rFonts w:eastAsia="MS Mincho"/>
              </w:rPr>
            </w:pPr>
            <w:r>
              <w:rPr>
                <w:rFonts w:eastAsia="MS Mincho"/>
              </w:rPr>
              <w:t>Bupropion</w:t>
            </w:r>
          </w:p>
        </w:tc>
        <w:tc>
          <w:tcPr>
            <w:tcW w:w="662" w:type="pct"/>
            <w:shd w:val="clear" w:color="auto" w:fill="BFBFBF" w:themeFill="background1" w:themeFillShade="BF"/>
            <w:tcMar>
              <w:left w:w="28" w:type="dxa"/>
              <w:right w:w="28" w:type="dxa"/>
            </w:tcMar>
            <w:vAlign w:val="center"/>
          </w:tcPr>
          <w:p w14:paraId="5B14F102" w14:textId="5D58F12A" w:rsidR="00980873" w:rsidRPr="00061F78" w:rsidRDefault="00E268C1" w:rsidP="00AD6A60">
            <w:pPr>
              <w:pStyle w:val="Tableheading"/>
              <w:keepNext/>
              <w:jc w:val="center"/>
              <w:rPr>
                <w:rFonts w:eastAsia="MS Mincho"/>
              </w:rPr>
            </w:pPr>
            <w:r>
              <w:rPr>
                <w:rFonts w:eastAsia="MS Mincho"/>
              </w:rPr>
              <w:t>NRT</w:t>
            </w:r>
          </w:p>
        </w:tc>
        <w:tc>
          <w:tcPr>
            <w:tcW w:w="852" w:type="pct"/>
            <w:shd w:val="clear" w:color="auto" w:fill="BFBFBF" w:themeFill="background1" w:themeFillShade="BF"/>
            <w:tcMar>
              <w:left w:w="28" w:type="dxa"/>
              <w:right w:w="28" w:type="dxa"/>
            </w:tcMar>
            <w:vAlign w:val="center"/>
          </w:tcPr>
          <w:p w14:paraId="4D6EB0DE" w14:textId="73D0D02C" w:rsidR="00980873" w:rsidRPr="00D468CF" w:rsidRDefault="00980873" w:rsidP="00AD6A60">
            <w:pPr>
              <w:pStyle w:val="Tableheading"/>
              <w:keepNext/>
              <w:jc w:val="center"/>
              <w:rPr>
                <w:rFonts w:eastAsia="MS Mincho"/>
                <w:vertAlign w:val="superscript"/>
              </w:rPr>
            </w:pPr>
            <w:r>
              <w:rPr>
                <w:rFonts w:eastAsia="MS Mincho"/>
              </w:rPr>
              <w:t>RR (95% CI)</w:t>
            </w:r>
            <w:r w:rsidR="002D7608">
              <w:rPr>
                <w:rFonts w:eastAsia="MS Mincho"/>
                <w:vertAlign w:val="superscript"/>
              </w:rPr>
              <w:t>2</w:t>
            </w:r>
          </w:p>
        </w:tc>
      </w:tr>
      <w:tr w:rsidR="00980873" w:rsidRPr="003954C8" w14:paraId="45F5F5CB" w14:textId="77777777" w:rsidTr="004A3185">
        <w:trPr>
          <w:cantSplit/>
          <w:trHeight w:val="99"/>
        </w:trPr>
        <w:tc>
          <w:tcPr>
            <w:tcW w:w="5000" w:type="pct"/>
            <w:gridSpan w:val="6"/>
            <w:shd w:val="clear" w:color="auto" w:fill="auto"/>
            <w:tcMar>
              <w:left w:w="28" w:type="dxa"/>
              <w:right w:w="28" w:type="dxa"/>
            </w:tcMar>
            <w:vAlign w:val="center"/>
          </w:tcPr>
          <w:p w14:paraId="3D8D4C35" w14:textId="77777777" w:rsidR="008C5D20" w:rsidRPr="003954C8" w:rsidRDefault="008C5D20" w:rsidP="00AD6A60">
            <w:pPr>
              <w:pStyle w:val="Tablewriting"/>
              <w:keepNext/>
              <w:rPr>
                <w:rFonts w:eastAsia="MS Mincho"/>
                <w:b/>
                <w:bCs/>
              </w:rPr>
            </w:pPr>
            <w:r w:rsidRPr="003954C8">
              <w:rPr>
                <w:rFonts w:eastAsia="MS Mincho"/>
                <w:b/>
                <w:bCs/>
              </w:rPr>
              <w:t>Adverse events</w:t>
            </w:r>
          </w:p>
        </w:tc>
      </w:tr>
      <w:tr w:rsidR="00980873" w:rsidRPr="00061F78" w14:paraId="256A48AE" w14:textId="77777777" w:rsidTr="004A3185">
        <w:trPr>
          <w:cantSplit/>
          <w:trHeight w:val="149"/>
        </w:trPr>
        <w:tc>
          <w:tcPr>
            <w:tcW w:w="551" w:type="pct"/>
            <w:tcMar>
              <w:left w:w="28" w:type="dxa"/>
              <w:right w:w="28" w:type="dxa"/>
            </w:tcMar>
          </w:tcPr>
          <w:p w14:paraId="55CE566F" w14:textId="77777777" w:rsidR="00980873" w:rsidRDefault="00980873" w:rsidP="00AD6A60">
            <w:pPr>
              <w:pStyle w:val="Tablewriting"/>
              <w:keepNext/>
              <w:rPr>
                <w:rFonts w:eastAsia="MS Mincho"/>
              </w:rPr>
            </w:pPr>
            <w:r>
              <w:rPr>
                <w:rFonts w:eastAsia="MS Mincho"/>
              </w:rPr>
              <w:t>Howes</w:t>
            </w:r>
            <w:r w:rsidRPr="00061F78">
              <w:rPr>
                <w:rFonts w:eastAsia="MS Mincho"/>
              </w:rPr>
              <w:t xml:space="preserve"> </w:t>
            </w:r>
          </w:p>
          <w:p w14:paraId="67D6C1A7" w14:textId="77777777" w:rsidR="00980873" w:rsidRPr="00D468CF" w:rsidRDefault="00980873" w:rsidP="00AD6A60">
            <w:pPr>
              <w:pStyle w:val="Tablewriting"/>
              <w:keepNext/>
              <w:rPr>
                <w:rFonts w:eastAsia="MS Mincho"/>
                <w:vertAlign w:val="superscript"/>
              </w:rPr>
            </w:pPr>
            <w:r w:rsidRPr="00061F78">
              <w:rPr>
                <w:rFonts w:eastAsia="MS Mincho"/>
              </w:rPr>
              <w:t>(20</w:t>
            </w:r>
            <w:r>
              <w:rPr>
                <w:rFonts w:eastAsia="MS Mincho"/>
              </w:rPr>
              <w:t>20</w:t>
            </w:r>
            <w:r w:rsidRPr="00061F78">
              <w:rPr>
                <w:rFonts w:eastAsia="MS Mincho"/>
              </w:rPr>
              <w:t>)</w:t>
            </w:r>
          </w:p>
        </w:tc>
        <w:tc>
          <w:tcPr>
            <w:tcW w:w="946" w:type="pct"/>
            <w:vAlign w:val="center"/>
          </w:tcPr>
          <w:p w14:paraId="34D02200" w14:textId="62C4D45B" w:rsidR="00980873" w:rsidRDefault="00980873" w:rsidP="00AD6A60">
            <w:pPr>
              <w:pStyle w:val="Tablewriting"/>
              <w:keepNext/>
              <w:jc w:val="center"/>
              <w:rPr>
                <w:rFonts w:eastAsia="MS Mincho"/>
              </w:rPr>
            </w:pPr>
            <w:r>
              <w:rPr>
                <w:rFonts w:eastAsia="MS Mincho"/>
              </w:rPr>
              <w:t>Cochrane Review (</w:t>
            </w:r>
            <w:r w:rsidR="00CE23F0">
              <w:rPr>
                <w:rFonts w:eastAsia="MS Mincho"/>
              </w:rPr>
              <w:t>2</w:t>
            </w:r>
            <w:r>
              <w:rPr>
                <w:rFonts w:eastAsia="MS Mincho"/>
              </w:rPr>
              <w:t xml:space="preserve"> RCTs)</w:t>
            </w:r>
          </w:p>
        </w:tc>
        <w:tc>
          <w:tcPr>
            <w:tcW w:w="1093" w:type="pct"/>
            <w:tcMar>
              <w:left w:w="28" w:type="dxa"/>
              <w:right w:w="28" w:type="dxa"/>
            </w:tcMar>
            <w:vAlign w:val="center"/>
          </w:tcPr>
          <w:p w14:paraId="513D02B2" w14:textId="0156F047" w:rsidR="00980873" w:rsidRPr="00061F78" w:rsidRDefault="00E268C1" w:rsidP="00AD6A60">
            <w:pPr>
              <w:pStyle w:val="Tablewriting"/>
              <w:keepNext/>
              <w:jc w:val="center"/>
              <w:rPr>
                <w:rFonts w:eastAsia="MS Mincho"/>
              </w:rPr>
            </w:pPr>
            <w:r>
              <w:rPr>
                <w:rFonts w:eastAsia="MS Mincho"/>
              </w:rPr>
              <w:t>No</w:t>
            </w:r>
          </w:p>
        </w:tc>
        <w:tc>
          <w:tcPr>
            <w:tcW w:w="896" w:type="pct"/>
            <w:tcMar>
              <w:left w:w="28" w:type="dxa"/>
              <w:right w:w="28" w:type="dxa"/>
            </w:tcMar>
            <w:vAlign w:val="center"/>
          </w:tcPr>
          <w:p w14:paraId="5056374D" w14:textId="3652538E" w:rsidR="00E268C1" w:rsidRDefault="00E268C1" w:rsidP="00E268C1">
            <w:pPr>
              <w:pStyle w:val="Tablewriting"/>
              <w:keepNext/>
              <w:jc w:val="center"/>
              <w:rPr>
                <w:rFonts w:eastAsia="MS Mincho"/>
              </w:rPr>
            </w:pPr>
            <w:r>
              <w:rPr>
                <w:rFonts w:eastAsia="MS Mincho"/>
              </w:rPr>
              <w:t>1</w:t>
            </w:r>
            <w:r w:rsidR="00B828EC">
              <w:rPr>
                <w:rFonts w:eastAsia="MS Mincho"/>
              </w:rPr>
              <w:t>,</w:t>
            </w:r>
            <w:r>
              <w:rPr>
                <w:rFonts w:eastAsia="MS Mincho"/>
              </w:rPr>
              <w:t>467</w:t>
            </w:r>
            <w:r w:rsidRPr="00061F78">
              <w:rPr>
                <w:rFonts w:eastAsia="MS Mincho"/>
              </w:rPr>
              <w:t>/</w:t>
            </w:r>
            <w:r>
              <w:rPr>
                <w:rFonts w:eastAsia="MS Mincho"/>
              </w:rPr>
              <w:t>2</w:t>
            </w:r>
            <w:r w:rsidR="00B828EC">
              <w:rPr>
                <w:rFonts w:eastAsia="MS Mincho"/>
              </w:rPr>
              <w:t>,</w:t>
            </w:r>
            <w:r>
              <w:rPr>
                <w:rFonts w:eastAsia="MS Mincho"/>
              </w:rPr>
              <w:t>040</w:t>
            </w:r>
            <w:r w:rsidRPr="00061F78">
              <w:rPr>
                <w:rFonts w:eastAsia="MS Mincho"/>
              </w:rPr>
              <w:t xml:space="preserve"> </w:t>
            </w:r>
          </w:p>
          <w:p w14:paraId="2A5B4888" w14:textId="16946FC0" w:rsidR="00980873" w:rsidRPr="00061F78" w:rsidRDefault="00E268C1" w:rsidP="00AD6A60">
            <w:pPr>
              <w:pStyle w:val="Tablewriting"/>
              <w:keepNext/>
              <w:jc w:val="center"/>
              <w:rPr>
                <w:rFonts w:eastAsia="MS Mincho"/>
              </w:rPr>
            </w:pPr>
            <w:r w:rsidRPr="00061F78">
              <w:rPr>
                <w:rFonts w:eastAsia="MS Mincho"/>
              </w:rPr>
              <w:t>(</w:t>
            </w:r>
            <w:r>
              <w:rPr>
                <w:rFonts w:eastAsia="MS Mincho"/>
              </w:rPr>
              <w:t>71.9</w:t>
            </w:r>
            <w:r w:rsidRPr="00061F78">
              <w:rPr>
                <w:rFonts w:eastAsia="MS Mincho"/>
              </w:rPr>
              <w:t>%)</w:t>
            </w:r>
          </w:p>
        </w:tc>
        <w:tc>
          <w:tcPr>
            <w:tcW w:w="662" w:type="pct"/>
            <w:tcMar>
              <w:left w:w="28" w:type="dxa"/>
              <w:right w:w="28" w:type="dxa"/>
            </w:tcMar>
            <w:vAlign w:val="center"/>
          </w:tcPr>
          <w:p w14:paraId="578FC601" w14:textId="6AFE3C0B" w:rsidR="00E268C1" w:rsidRDefault="00E268C1" w:rsidP="00E268C1">
            <w:pPr>
              <w:pStyle w:val="Tablewriting"/>
              <w:keepNext/>
              <w:jc w:val="center"/>
              <w:rPr>
                <w:rFonts w:eastAsia="MS Mincho"/>
              </w:rPr>
            </w:pPr>
            <w:r>
              <w:rPr>
                <w:rFonts w:eastAsia="MS Mincho"/>
              </w:rPr>
              <w:t>1</w:t>
            </w:r>
            <w:r w:rsidR="00B828EC">
              <w:rPr>
                <w:rFonts w:eastAsia="MS Mincho"/>
              </w:rPr>
              <w:t>,</w:t>
            </w:r>
            <w:r>
              <w:rPr>
                <w:rFonts w:eastAsia="MS Mincho"/>
              </w:rPr>
              <w:t>452</w:t>
            </w:r>
            <w:r w:rsidRPr="00061F78">
              <w:rPr>
                <w:rFonts w:eastAsia="MS Mincho"/>
              </w:rPr>
              <w:t>/</w:t>
            </w:r>
            <w:r>
              <w:rPr>
                <w:rFonts w:eastAsia="MS Mincho"/>
              </w:rPr>
              <w:t>2</w:t>
            </w:r>
            <w:r w:rsidR="00B828EC">
              <w:rPr>
                <w:rFonts w:eastAsia="MS Mincho"/>
              </w:rPr>
              <w:t>,</w:t>
            </w:r>
            <w:r>
              <w:rPr>
                <w:rFonts w:eastAsia="MS Mincho"/>
              </w:rPr>
              <w:t>057</w:t>
            </w:r>
            <w:r w:rsidRPr="00061F78">
              <w:rPr>
                <w:rFonts w:eastAsia="MS Mincho"/>
              </w:rPr>
              <w:t xml:space="preserve"> </w:t>
            </w:r>
          </w:p>
          <w:p w14:paraId="0AFA65CC" w14:textId="41AC097A" w:rsidR="00980873" w:rsidRPr="00061F78" w:rsidRDefault="00E268C1" w:rsidP="00AD6A60">
            <w:pPr>
              <w:pStyle w:val="Tablewriting"/>
              <w:keepNext/>
              <w:jc w:val="center"/>
              <w:rPr>
                <w:rFonts w:eastAsia="MS Mincho"/>
              </w:rPr>
            </w:pPr>
            <w:r w:rsidRPr="00061F78">
              <w:rPr>
                <w:rFonts w:eastAsia="MS Mincho"/>
              </w:rPr>
              <w:t>(</w:t>
            </w:r>
            <w:r>
              <w:rPr>
                <w:rFonts w:eastAsia="MS Mincho"/>
              </w:rPr>
              <w:t>70.6</w:t>
            </w:r>
            <w:r w:rsidRPr="00061F78">
              <w:rPr>
                <w:rFonts w:eastAsia="MS Mincho"/>
              </w:rPr>
              <w:t>%)</w:t>
            </w:r>
          </w:p>
        </w:tc>
        <w:tc>
          <w:tcPr>
            <w:tcW w:w="852" w:type="pct"/>
            <w:tcMar>
              <w:left w:w="28" w:type="dxa"/>
              <w:right w:w="28" w:type="dxa"/>
            </w:tcMar>
            <w:vAlign w:val="center"/>
          </w:tcPr>
          <w:p w14:paraId="52C748FB" w14:textId="77777777" w:rsidR="00980873" w:rsidRPr="005A03AE" w:rsidRDefault="005A03AE" w:rsidP="00AD6A60">
            <w:pPr>
              <w:pStyle w:val="Tablewriting"/>
              <w:keepNext/>
              <w:jc w:val="center"/>
              <w:rPr>
                <w:rFonts w:eastAsia="MS Mincho"/>
              </w:rPr>
            </w:pPr>
            <w:r w:rsidRPr="005A03AE">
              <w:rPr>
                <w:rFonts w:eastAsia="MS Mincho"/>
              </w:rPr>
              <w:t>1.02</w:t>
            </w:r>
          </w:p>
          <w:p w14:paraId="3C0D0C9F" w14:textId="6EE4316A" w:rsidR="005A03AE" w:rsidRPr="00061F78" w:rsidRDefault="005A03AE" w:rsidP="00AD6A60">
            <w:pPr>
              <w:pStyle w:val="Tablewriting"/>
              <w:keepNext/>
              <w:jc w:val="center"/>
              <w:rPr>
                <w:rFonts w:eastAsia="MS Mincho"/>
              </w:rPr>
            </w:pPr>
            <w:r w:rsidRPr="005A03AE">
              <w:rPr>
                <w:rFonts w:eastAsia="MS Mincho"/>
              </w:rPr>
              <w:t>(0.98, 1.06)</w:t>
            </w:r>
          </w:p>
        </w:tc>
      </w:tr>
      <w:tr w:rsidR="00980873" w:rsidRPr="00061F78" w14:paraId="4B666EA6" w14:textId="77777777" w:rsidTr="004A3185">
        <w:trPr>
          <w:cantSplit/>
          <w:trHeight w:val="149"/>
        </w:trPr>
        <w:tc>
          <w:tcPr>
            <w:tcW w:w="5000" w:type="pct"/>
            <w:gridSpan w:val="6"/>
            <w:shd w:val="clear" w:color="auto" w:fill="auto"/>
            <w:tcMar>
              <w:left w:w="28" w:type="dxa"/>
              <w:right w:w="28" w:type="dxa"/>
            </w:tcMar>
            <w:vAlign w:val="center"/>
          </w:tcPr>
          <w:p w14:paraId="51C5D4EB" w14:textId="77777777" w:rsidR="008C5D20" w:rsidRPr="003954C8" w:rsidRDefault="008C5D20" w:rsidP="00AD6A60">
            <w:pPr>
              <w:pStyle w:val="Tablewriting"/>
              <w:keepNext/>
              <w:rPr>
                <w:rFonts w:eastAsia="MS Mincho"/>
                <w:b/>
                <w:bCs/>
              </w:rPr>
            </w:pPr>
            <w:r w:rsidRPr="003954C8">
              <w:rPr>
                <w:rFonts w:eastAsia="MS Mincho"/>
                <w:b/>
                <w:bCs/>
              </w:rPr>
              <w:t>Serious adverse events</w:t>
            </w:r>
          </w:p>
        </w:tc>
      </w:tr>
      <w:tr w:rsidR="00980873" w:rsidRPr="00061F78" w14:paraId="1BFCA3F6" w14:textId="77777777" w:rsidTr="004A3185">
        <w:trPr>
          <w:cantSplit/>
          <w:trHeight w:val="149"/>
        </w:trPr>
        <w:tc>
          <w:tcPr>
            <w:tcW w:w="551" w:type="pct"/>
            <w:tcMar>
              <w:left w:w="28" w:type="dxa"/>
              <w:right w:w="28" w:type="dxa"/>
            </w:tcMar>
          </w:tcPr>
          <w:p w14:paraId="47250BFC" w14:textId="77777777" w:rsidR="00980873" w:rsidRDefault="00980873" w:rsidP="00AD6A60">
            <w:pPr>
              <w:pStyle w:val="Tablewriting"/>
              <w:keepNext/>
              <w:rPr>
                <w:rFonts w:eastAsia="MS Mincho"/>
              </w:rPr>
            </w:pPr>
            <w:r>
              <w:rPr>
                <w:rFonts w:eastAsia="MS Mincho"/>
              </w:rPr>
              <w:t>Howes</w:t>
            </w:r>
            <w:r w:rsidRPr="00061F78">
              <w:rPr>
                <w:rFonts w:eastAsia="MS Mincho"/>
              </w:rPr>
              <w:t xml:space="preserve"> </w:t>
            </w:r>
          </w:p>
          <w:p w14:paraId="73499531" w14:textId="77777777" w:rsidR="00980873" w:rsidRDefault="00980873" w:rsidP="00AD6A60">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14:paraId="68ED600D" w14:textId="523E601E" w:rsidR="00980873" w:rsidRDefault="00980873" w:rsidP="00AD6A60">
            <w:pPr>
              <w:pStyle w:val="Tablewriting"/>
              <w:keepNext/>
              <w:jc w:val="center"/>
              <w:rPr>
                <w:rFonts w:eastAsia="MS Mincho"/>
              </w:rPr>
            </w:pPr>
            <w:r>
              <w:rPr>
                <w:rFonts w:eastAsia="MS Mincho"/>
              </w:rPr>
              <w:t>Cochrane Review (</w:t>
            </w:r>
            <w:r w:rsidR="00CE23F0">
              <w:rPr>
                <w:rFonts w:eastAsia="MS Mincho"/>
              </w:rPr>
              <w:t>5</w:t>
            </w:r>
            <w:r>
              <w:rPr>
                <w:rFonts w:eastAsia="MS Mincho"/>
              </w:rPr>
              <w:t xml:space="preserve"> </w:t>
            </w:r>
            <w:r w:rsidR="00E268C1">
              <w:rPr>
                <w:rFonts w:eastAsia="MS Mincho"/>
              </w:rPr>
              <w:t>RCTs</w:t>
            </w:r>
            <w:r>
              <w:rPr>
                <w:rFonts w:eastAsia="MS Mincho"/>
              </w:rPr>
              <w:t>)</w:t>
            </w:r>
          </w:p>
        </w:tc>
        <w:tc>
          <w:tcPr>
            <w:tcW w:w="1093" w:type="pct"/>
            <w:tcMar>
              <w:left w:w="28" w:type="dxa"/>
              <w:right w:w="28" w:type="dxa"/>
            </w:tcMar>
            <w:vAlign w:val="center"/>
          </w:tcPr>
          <w:p w14:paraId="65CB4DCF" w14:textId="1F83D8EC" w:rsidR="00980873" w:rsidRDefault="007B46D1" w:rsidP="00AD6A60">
            <w:pPr>
              <w:pStyle w:val="Tablewriting"/>
              <w:keepNext/>
              <w:jc w:val="center"/>
              <w:rPr>
                <w:rFonts w:eastAsia="MS Mincho"/>
              </w:rPr>
            </w:pPr>
            <w:r>
              <w:rPr>
                <w:rFonts w:eastAsia="MS Mincho"/>
              </w:rPr>
              <w:t>Jorenby (1999)</w:t>
            </w:r>
          </w:p>
        </w:tc>
        <w:tc>
          <w:tcPr>
            <w:tcW w:w="896" w:type="pct"/>
            <w:tcMar>
              <w:left w:w="28" w:type="dxa"/>
              <w:right w:w="28" w:type="dxa"/>
            </w:tcMar>
            <w:vAlign w:val="center"/>
          </w:tcPr>
          <w:p w14:paraId="455F367C" w14:textId="0F5C353F" w:rsidR="00E268C1" w:rsidRDefault="00E268C1" w:rsidP="00E268C1">
            <w:pPr>
              <w:pStyle w:val="Tablewriting"/>
              <w:keepNext/>
              <w:jc w:val="center"/>
              <w:rPr>
                <w:rFonts w:eastAsia="MS Mincho"/>
              </w:rPr>
            </w:pPr>
            <w:r>
              <w:rPr>
                <w:rFonts w:eastAsia="MS Mincho"/>
              </w:rPr>
              <w:t>56</w:t>
            </w:r>
            <w:r w:rsidRPr="00061F78">
              <w:rPr>
                <w:rFonts w:eastAsia="MS Mincho"/>
              </w:rPr>
              <w:t>/</w:t>
            </w:r>
            <w:r>
              <w:rPr>
                <w:rFonts w:eastAsia="MS Mincho"/>
              </w:rPr>
              <w:t>2</w:t>
            </w:r>
            <w:r w:rsidR="00B828EC">
              <w:rPr>
                <w:rFonts w:eastAsia="MS Mincho"/>
              </w:rPr>
              <w:t>,</w:t>
            </w:r>
            <w:r>
              <w:rPr>
                <w:rFonts w:eastAsia="MS Mincho"/>
              </w:rPr>
              <w:t>800</w:t>
            </w:r>
            <w:r w:rsidRPr="00061F78">
              <w:rPr>
                <w:rFonts w:eastAsia="MS Mincho"/>
              </w:rPr>
              <w:t xml:space="preserve"> </w:t>
            </w:r>
          </w:p>
          <w:p w14:paraId="75E9B9C8" w14:textId="70BA0551" w:rsidR="00980873" w:rsidRDefault="00E268C1" w:rsidP="00AD6A60">
            <w:pPr>
              <w:pStyle w:val="Tablewriting"/>
              <w:keepNext/>
              <w:jc w:val="center"/>
              <w:rPr>
                <w:rFonts w:eastAsia="MS Mincho"/>
              </w:rPr>
            </w:pPr>
            <w:r w:rsidRPr="00061F78">
              <w:rPr>
                <w:rFonts w:eastAsia="MS Mincho"/>
              </w:rPr>
              <w:t>(</w:t>
            </w:r>
            <w:r>
              <w:rPr>
                <w:rFonts w:eastAsia="MS Mincho"/>
              </w:rPr>
              <w:t>2.0</w:t>
            </w:r>
            <w:r w:rsidRPr="00061F78">
              <w:rPr>
                <w:rFonts w:eastAsia="MS Mincho"/>
              </w:rPr>
              <w:t>%)</w:t>
            </w:r>
          </w:p>
        </w:tc>
        <w:tc>
          <w:tcPr>
            <w:tcW w:w="662" w:type="pct"/>
            <w:tcMar>
              <w:left w:w="28" w:type="dxa"/>
              <w:right w:w="28" w:type="dxa"/>
            </w:tcMar>
            <w:vAlign w:val="center"/>
          </w:tcPr>
          <w:p w14:paraId="2B6ADF33" w14:textId="5F737060" w:rsidR="00E268C1" w:rsidRDefault="00E268C1" w:rsidP="00E268C1">
            <w:pPr>
              <w:pStyle w:val="Tablewriting"/>
              <w:keepNext/>
              <w:jc w:val="center"/>
              <w:rPr>
                <w:rFonts w:eastAsia="MS Mincho"/>
              </w:rPr>
            </w:pPr>
            <w:r>
              <w:rPr>
                <w:rFonts w:eastAsia="MS Mincho"/>
              </w:rPr>
              <w:t>46/2</w:t>
            </w:r>
            <w:r w:rsidR="00B828EC">
              <w:rPr>
                <w:rFonts w:eastAsia="MS Mincho"/>
              </w:rPr>
              <w:t>,</w:t>
            </w:r>
            <w:r>
              <w:rPr>
                <w:rFonts w:eastAsia="MS Mincho"/>
              </w:rPr>
              <w:t>824</w:t>
            </w:r>
            <w:r w:rsidRPr="00061F78">
              <w:rPr>
                <w:rFonts w:eastAsia="MS Mincho"/>
              </w:rPr>
              <w:t xml:space="preserve"> </w:t>
            </w:r>
          </w:p>
          <w:p w14:paraId="2289319B" w14:textId="3E017B39" w:rsidR="00980873" w:rsidRPr="00061F78" w:rsidRDefault="00E268C1" w:rsidP="00AD6A60">
            <w:pPr>
              <w:pStyle w:val="Tablewriting"/>
              <w:keepNext/>
              <w:jc w:val="center"/>
              <w:rPr>
                <w:rFonts w:eastAsia="MS Mincho"/>
              </w:rPr>
            </w:pPr>
            <w:r w:rsidRPr="00061F78">
              <w:rPr>
                <w:rFonts w:eastAsia="MS Mincho"/>
              </w:rPr>
              <w:t>(</w:t>
            </w:r>
            <w:r>
              <w:rPr>
                <w:rFonts w:eastAsia="MS Mincho"/>
              </w:rPr>
              <w:t>1.6</w:t>
            </w:r>
            <w:r w:rsidRPr="00061F78">
              <w:rPr>
                <w:rFonts w:eastAsia="MS Mincho"/>
              </w:rPr>
              <w:t>%)</w:t>
            </w:r>
          </w:p>
        </w:tc>
        <w:tc>
          <w:tcPr>
            <w:tcW w:w="852" w:type="pct"/>
            <w:tcMar>
              <w:left w:w="28" w:type="dxa"/>
              <w:right w:w="28" w:type="dxa"/>
            </w:tcMar>
            <w:vAlign w:val="center"/>
          </w:tcPr>
          <w:p w14:paraId="0440DC35" w14:textId="1A00A2A8" w:rsidR="00980873" w:rsidRPr="00275BAC" w:rsidRDefault="00980873" w:rsidP="00AD6A60">
            <w:pPr>
              <w:pStyle w:val="Tablewriting"/>
              <w:keepNext/>
              <w:jc w:val="center"/>
              <w:rPr>
                <w:rFonts w:eastAsia="MS Mincho"/>
              </w:rPr>
            </w:pPr>
            <w:r w:rsidRPr="00275BAC">
              <w:rPr>
                <w:rFonts w:eastAsia="MS Mincho"/>
              </w:rPr>
              <w:t>1.</w:t>
            </w:r>
            <w:r w:rsidR="005A03AE">
              <w:rPr>
                <w:rFonts w:eastAsia="MS Mincho"/>
              </w:rPr>
              <w:t>22</w:t>
            </w:r>
          </w:p>
          <w:p w14:paraId="474C8903" w14:textId="2D09ACF4" w:rsidR="00980873" w:rsidRPr="00275BAC" w:rsidRDefault="00980873" w:rsidP="00AD6A60">
            <w:pPr>
              <w:pStyle w:val="Tablewriting"/>
              <w:keepNext/>
              <w:jc w:val="center"/>
              <w:rPr>
                <w:rFonts w:eastAsia="MS Mincho"/>
              </w:rPr>
            </w:pPr>
            <w:r w:rsidRPr="00275BAC">
              <w:rPr>
                <w:rFonts w:eastAsia="MS Mincho"/>
              </w:rPr>
              <w:t>(0.</w:t>
            </w:r>
            <w:r w:rsidR="005A03AE">
              <w:rPr>
                <w:rFonts w:eastAsia="MS Mincho"/>
              </w:rPr>
              <w:t>83</w:t>
            </w:r>
            <w:r w:rsidRPr="00275BAC">
              <w:rPr>
                <w:rFonts w:eastAsia="MS Mincho"/>
              </w:rPr>
              <w:t>, 1.8)</w:t>
            </w:r>
          </w:p>
        </w:tc>
      </w:tr>
      <w:tr w:rsidR="00980873" w:rsidRPr="00061F78" w14:paraId="58CCB952" w14:textId="77777777" w:rsidTr="004A3185">
        <w:trPr>
          <w:cantSplit/>
          <w:trHeight w:val="149"/>
        </w:trPr>
        <w:tc>
          <w:tcPr>
            <w:tcW w:w="5000" w:type="pct"/>
            <w:gridSpan w:val="6"/>
            <w:shd w:val="clear" w:color="auto" w:fill="auto"/>
            <w:tcMar>
              <w:left w:w="28" w:type="dxa"/>
              <w:right w:w="28" w:type="dxa"/>
            </w:tcMar>
          </w:tcPr>
          <w:p w14:paraId="09868EB1" w14:textId="77777777" w:rsidR="008C5D20" w:rsidRPr="003954C8" w:rsidRDefault="008C5D20" w:rsidP="00AD6A60">
            <w:pPr>
              <w:pStyle w:val="Tablewriting"/>
              <w:keepNext/>
              <w:rPr>
                <w:rFonts w:eastAsia="MS Mincho"/>
                <w:b/>
                <w:bCs/>
              </w:rPr>
            </w:pPr>
            <w:r w:rsidRPr="003954C8">
              <w:rPr>
                <w:rFonts w:eastAsia="MS Mincho"/>
                <w:b/>
                <w:bCs/>
              </w:rPr>
              <w:t>Discontinuation due to adverse events</w:t>
            </w:r>
          </w:p>
        </w:tc>
      </w:tr>
      <w:tr w:rsidR="00980873" w:rsidRPr="00061F78" w14:paraId="7180144C" w14:textId="77777777" w:rsidTr="004A3185">
        <w:trPr>
          <w:cantSplit/>
          <w:trHeight w:val="149"/>
        </w:trPr>
        <w:tc>
          <w:tcPr>
            <w:tcW w:w="551" w:type="pct"/>
            <w:tcMar>
              <w:left w:w="28" w:type="dxa"/>
              <w:right w:w="28" w:type="dxa"/>
            </w:tcMar>
          </w:tcPr>
          <w:p w14:paraId="72A40FD7" w14:textId="77777777" w:rsidR="00980873" w:rsidRDefault="00980873" w:rsidP="00AD6A60">
            <w:pPr>
              <w:pStyle w:val="Tablewriting"/>
              <w:keepNext/>
              <w:rPr>
                <w:rFonts w:eastAsia="MS Mincho"/>
              </w:rPr>
            </w:pPr>
            <w:r>
              <w:rPr>
                <w:rFonts w:eastAsia="MS Mincho"/>
              </w:rPr>
              <w:t>Howes</w:t>
            </w:r>
            <w:r w:rsidRPr="00061F78">
              <w:rPr>
                <w:rFonts w:eastAsia="MS Mincho"/>
              </w:rPr>
              <w:t xml:space="preserve"> </w:t>
            </w:r>
          </w:p>
          <w:p w14:paraId="1B00AA30" w14:textId="77777777" w:rsidR="00980873" w:rsidRDefault="00980873" w:rsidP="00AD6A60">
            <w:pPr>
              <w:pStyle w:val="Tablewriting"/>
              <w:keepNext/>
              <w:rPr>
                <w:rFonts w:eastAsia="MS Mincho"/>
              </w:rPr>
            </w:pPr>
            <w:r w:rsidRPr="00061F78">
              <w:rPr>
                <w:rFonts w:eastAsia="MS Mincho"/>
              </w:rPr>
              <w:t>(20</w:t>
            </w:r>
            <w:r>
              <w:rPr>
                <w:rFonts w:eastAsia="MS Mincho"/>
              </w:rPr>
              <w:t>20</w:t>
            </w:r>
            <w:r w:rsidRPr="00061F78">
              <w:rPr>
                <w:rFonts w:eastAsia="MS Mincho"/>
              </w:rPr>
              <w:t>)</w:t>
            </w:r>
          </w:p>
        </w:tc>
        <w:tc>
          <w:tcPr>
            <w:tcW w:w="946" w:type="pct"/>
            <w:vAlign w:val="center"/>
          </w:tcPr>
          <w:p w14:paraId="038DA951" w14:textId="3DFA46F9" w:rsidR="00980873" w:rsidRDefault="00980873" w:rsidP="00AD6A60">
            <w:pPr>
              <w:pStyle w:val="Tablewriting"/>
              <w:keepNext/>
              <w:jc w:val="center"/>
              <w:rPr>
                <w:rFonts w:eastAsia="MS Mincho"/>
              </w:rPr>
            </w:pPr>
            <w:r>
              <w:rPr>
                <w:rFonts w:eastAsia="MS Mincho"/>
              </w:rPr>
              <w:t>Cochrane Review (</w:t>
            </w:r>
            <w:r w:rsidR="00CE23F0">
              <w:rPr>
                <w:rFonts w:eastAsia="MS Mincho"/>
              </w:rPr>
              <w:t>4</w:t>
            </w:r>
            <w:r>
              <w:rPr>
                <w:rFonts w:eastAsia="MS Mincho"/>
              </w:rPr>
              <w:t xml:space="preserve"> </w:t>
            </w:r>
            <w:r w:rsidR="00E268C1">
              <w:rPr>
                <w:rFonts w:eastAsia="MS Mincho"/>
              </w:rPr>
              <w:t>RCTs</w:t>
            </w:r>
            <w:r>
              <w:rPr>
                <w:rFonts w:eastAsia="MS Mincho"/>
              </w:rPr>
              <w:t>)</w:t>
            </w:r>
          </w:p>
        </w:tc>
        <w:tc>
          <w:tcPr>
            <w:tcW w:w="1093" w:type="pct"/>
            <w:tcMar>
              <w:left w:w="28" w:type="dxa"/>
              <w:right w:w="28" w:type="dxa"/>
            </w:tcMar>
            <w:vAlign w:val="center"/>
          </w:tcPr>
          <w:p w14:paraId="17AA991B" w14:textId="412297F1" w:rsidR="00980873" w:rsidRDefault="006828F3" w:rsidP="00AD6A60">
            <w:pPr>
              <w:pStyle w:val="Tablewriting"/>
              <w:keepNext/>
              <w:jc w:val="center"/>
              <w:rPr>
                <w:rFonts w:eastAsia="MS Mincho"/>
              </w:rPr>
            </w:pPr>
            <w:r>
              <w:rPr>
                <w:rFonts w:eastAsia="MS Mincho"/>
              </w:rPr>
              <w:t>Jorenby (1999) and Uyar (2007)</w:t>
            </w:r>
          </w:p>
        </w:tc>
        <w:tc>
          <w:tcPr>
            <w:tcW w:w="896" w:type="pct"/>
            <w:tcMar>
              <w:left w:w="28" w:type="dxa"/>
              <w:right w:w="28" w:type="dxa"/>
            </w:tcMar>
            <w:vAlign w:val="center"/>
          </w:tcPr>
          <w:p w14:paraId="223DC39B" w14:textId="3D1699D2" w:rsidR="00E268C1" w:rsidRDefault="00E268C1" w:rsidP="00E268C1">
            <w:pPr>
              <w:pStyle w:val="Tablewriting"/>
              <w:keepNext/>
              <w:jc w:val="center"/>
              <w:rPr>
                <w:rFonts w:eastAsia="MS Mincho"/>
              </w:rPr>
            </w:pPr>
            <w:r>
              <w:rPr>
                <w:rFonts w:eastAsia="MS Mincho"/>
              </w:rPr>
              <w:t>216</w:t>
            </w:r>
            <w:r w:rsidRPr="00061F78">
              <w:rPr>
                <w:rFonts w:eastAsia="MS Mincho"/>
              </w:rPr>
              <w:t>/</w:t>
            </w:r>
            <w:r>
              <w:rPr>
                <w:rFonts w:eastAsia="MS Mincho"/>
              </w:rPr>
              <w:t>2</w:t>
            </w:r>
            <w:r w:rsidR="00B828EC">
              <w:rPr>
                <w:rFonts w:eastAsia="MS Mincho"/>
              </w:rPr>
              <w:t>,</w:t>
            </w:r>
            <w:r>
              <w:rPr>
                <w:rFonts w:eastAsia="MS Mincho"/>
              </w:rPr>
              <w:t>407</w:t>
            </w:r>
            <w:r w:rsidRPr="00061F78">
              <w:rPr>
                <w:rFonts w:eastAsia="MS Mincho"/>
              </w:rPr>
              <w:t xml:space="preserve"> </w:t>
            </w:r>
          </w:p>
          <w:p w14:paraId="1B7F856B" w14:textId="3685CDDA" w:rsidR="00980873" w:rsidRDefault="00E268C1" w:rsidP="00AD6A60">
            <w:pPr>
              <w:pStyle w:val="Tablewriting"/>
              <w:keepNext/>
              <w:jc w:val="center"/>
              <w:rPr>
                <w:rFonts w:eastAsia="MS Mincho"/>
              </w:rPr>
            </w:pPr>
            <w:r w:rsidRPr="00061F78">
              <w:rPr>
                <w:rFonts w:eastAsia="MS Mincho"/>
              </w:rPr>
              <w:t>(</w:t>
            </w:r>
            <w:r w:rsidR="00CE23F0">
              <w:rPr>
                <w:rFonts w:eastAsia="MS Mincho"/>
              </w:rPr>
              <w:t>9</w:t>
            </w:r>
            <w:r>
              <w:rPr>
                <w:rFonts w:eastAsia="MS Mincho"/>
              </w:rPr>
              <w:t>.0</w:t>
            </w:r>
            <w:r w:rsidR="00980873" w:rsidRPr="00061F78">
              <w:rPr>
                <w:rFonts w:eastAsia="MS Mincho"/>
              </w:rPr>
              <w:t>%)</w:t>
            </w:r>
          </w:p>
        </w:tc>
        <w:tc>
          <w:tcPr>
            <w:tcW w:w="662" w:type="pct"/>
            <w:tcMar>
              <w:left w:w="28" w:type="dxa"/>
              <w:right w:w="28" w:type="dxa"/>
            </w:tcMar>
            <w:vAlign w:val="center"/>
          </w:tcPr>
          <w:p w14:paraId="4636F50B" w14:textId="6AAAFF72" w:rsidR="00E268C1" w:rsidRDefault="00E268C1" w:rsidP="00E268C1">
            <w:pPr>
              <w:pStyle w:val="Tablewriting"/>
              <w:keepNext/>
              <w:jc w:val="center"/>
              <w:rPr>
                <w:rFonts w:eastAsia="MS Mincho"/>
              </w:rPr>
            </w:pPr>
            <w:r>
              <w:rPr>
                <w:rFonts w:eastAsia="MS Mincho"/>
              </w:rPr>
              <w:t>190</w:t>
            </w:r>
            <w:r w:rsidRPr="00061F78">
              <w:rPr>
                <w:rFonts w:eastAsia="MS Mincho"/>
              </w:rPr>
              <w:t>/</w:t>
            </w:r>
            <w:r>
              <w:rPr>
                <w:rFonts w:eastAsia="MS Mincho"/>
              </w:rPr>
              <w:t>2</w:t>
            </w:r>
            <w:r w:rsidR="00B828EC">
              <w:rPr>
                <w:rFonts w:eastAsia="MS Mincho"/>
              </w:rPr>
              <w:t>,</w:t>
            </w:r>
            <w:r>
              <w:rPr>
                <w:rFonts w:eastAsia="MS Mincho"/>
              </w:rPr>
              <w:t>418</w:t>
            </w:r>
            <w:r w:rsidRPr="00061F78">
              <w:rPr>
                <w:rFonts w:eastAsia="MS Mincho"/>
              </w:rPr>
              <w:t xml:space="preserve"> </w:t>
            </w:r>
          </w:p>
          <w:p w14:paraId="062E1A8A" w14:textId="45638076" w:rsidR="00980873" w:rsidRPr="00061F78" w:rsidRDefault="00E268C1" w:rsidP="00AD6A60">
            <w:pPr>
              <w:pStyle w:val="Tablewriting"/>
              <w:keepNext/>
              <w:jc w:val="center"/>
              <w:rPr>
                <w:rFonts w:eastAsia="MS Mincho"/>
              </w:rPr>
            </w:pPr>
            <w:r w:rsidRPr="00061F78">
              <w:rPr>
                <w:rFonts w:eastAsia="MS Mincho"/>
              </w:rPr>
              <w:t>(</w:t>
            </w:r>
            <w:r>
              <w:rPr>
                <w:rFonts w:eastAsia="MS Mincho"/>
              </w:rPr>
              <w:t>7.9</w:t>
            </w:r>
            <w:r w:rsidRPr="00061F78">
              <w:rPr>
                <w:rFonts w:eastAsia="MS Mincho"/>
              </w:rPr>
              <w:t>%)</w:t>
            </w:r>
          </w:p>
        </w:tc>
        <w:tc>
          <w:tcPr>
            <w:tcW w:w="852" w:type="pct"/>
            <w:tcMar>
              <w:left w:w="28" w:type="dxa"/>
              <w:right w:w="28" w:type="dxa"/>
            </w:tcMar>
            <w:vAlign w:val="center"/>
          </w:tcPr>
          <w:p w14:paraId="09B52190" w14:textId="77777777" w:rsidR="00980873" w:rsidRPr="00CE23F0" w:rsidRDefault="00980873" w:rsidP="00CE23F0">
            <w:pPr>
              <w:pStyle w:val="Tablewriting"/>
              <w:keepNext/>
              <w:jc w:val="center"/>
              <w:rPr>
                <w:rFonts w:eastAsia="MS Mincho"/>
              </w:rPr>
            </w:pPr>
            <w:r w:rsidRPr="00CE23F0">
              <w:rPr>
                <w:rFonts w:eastAsia="MS Mincho"/>
              </w:rPr>
              <w:t>1.</w:t>
            </w:r>
            <w:r w:rsidR="00CE23F0" w:rsidRPr="00CE23F0">
              <w:rPr>
                <w:rFonts w:eastAsia="MS Mincho"/>
              </w:rPr>
              <w:t>14</w:t>
            </w:r>
          </w:p>
          <w:p w14:paraId="32A78983" w14:textId="083C4558" w:rsidR="00CE23F0" w:rsidRPr="00D468CF" w:rsidRDefault="00CE23F0" w:rsidP="00CE23F0">
            <w:pPr>
              <w:pStyle w:val="Tablewriting"/>
              <w:keepNext/>
              <w:jc w:val="center"/>
              <w:rPr>
                <w:rFonts w:eastAsia="MS Mincho"/>
                <w:b/>
                <w:bCs/>
              </w:rPr>
            </w:pPr>
            <w:r w:rsidRPr="00CE23F0">
              <w:rPr>
                <w:rFonts w:eastAsia="MS Mincho"/>
              </w:rPr>
              <w:t>(0.95, 1.38)</w:t>
            </w:r>
          </w:p>
        </w:tc>
      </w:tr>
    </w:tbl>
    <w:p w14:paraId="34D98D10" w14:textId="77777777" w:rsidR="00CE23F0" w:rsidRDefault="00CE23F0" w:rsidP="004A3185">
      <w:pPr>
        <w:pStyle w:val="TableFooter"/>
        <w:keepNext/>
        <w:jc w:val="both"/>
      </w:pPr>
      <w:r>
        <w:t>Source: Howes et al. (2020)</w:t>
      </w:r>
    </w:p>
    <w:p w14:paraId="19057296" w14:textId="43C4DEAE" w:rsidR="00CE23F0" w:rsidRDefault="00CE23F0" w:rsidP="004A3185">
      <w:pPr>
        <w:pStyle w:val="TableFooter"/>
        <w:keepNext/>
        <w:jc w:val="both"/>
      </w:pPr>
      <w:r>
        <w:t xml:space="preserve">Abbreviations: CI = confidence interval; </w:t>
      </w:r>
      <w:r w:rsidR="000F6865">
        <w:t xml:space="preserve">NR = not reported; </w:t>
      </w:r>
      <w:r>
        <w:t>RCT = randomised controlled trial; RR = risk ratio</w:t>
      </w:r>
    </w:p>
    <w:p w14:paraId="688511D9" w14:textId="60D7CB3D" w:rsidR="00CE23F0" w:rsidRPr="00DB6037" w:rsidRDefault="00CE23F0" w:rsidP="004A3185">
      <w:pPr>
        <w:pStyle w:val="TableFooter"/>
        <w:keepNext/>
        <w:jc w:val="both"/>
      </w:pPr>
      <w:r w:rsidRPr="00FD4061">
        <w:t>Note</w:t>
      </w:r>
      <w:r>
        <w:t>s</w:t>
      </w:r>
      <w:r w:rsidRPr="00FD4061">
        <w:t>: Bold indicates statistically significant difference.</w:t>
      </w:r>
      <w:r w:rsidR="00DB6037">
        <w:t xml:space="preserve"> </w:t>
      </w:r>
      <w:r w:rsidR="00FF2899" w:rsidRPr="00FF2899">
        <w:t xml:space="preserve">See </w:t>
      </w:r>
      <w:r w:rsidR="00FF2899" w:rsidRPr="00251C40">
        <w:t>Appendix</w:t>
      </w:r>
      <w:r w:rsidR="00FF2899" w:rsidRPr="00FF2899">
        <w:t xml:space="preserve"> </w:t>
      </w:r>
      <w:r w:rsidR="00414F11">
        <w:fldChar w:fldCharType="begin" w:fldLock="1"/>
      </w:r>
      <w:r w:rsidR="00414F11">
        <w:instrText xml:space="preserve"> REF _Ref54086727 \h </w:instrText>
      </w:r>
      <w:r w:rsidR="004A3185">
        <w:instrText xml:space="preserve"> \* MERGEFORMAT </w:instrText>
      </w:r>
      <w:r w:rsidR="00414F11">
        <w:fldChar w:fldCharType="separate"/>
      </w:r>
      <w:r w:rsidR="00EC5CC7">
        <w:t xml:space="preserve">Figure </w:t>
      </w:r>
      <w:r w:rsidR="00EC5CC7">
        <w:rPr>
          <w:noProof/>
        </w:rPr>
        <w:t>53</w:t>
      </w:r>
      <w:r w:rsidR="00414F11">
        <w:fldChar w:fldCharType="end"/>
      </w:r>
      <w:r w:rsidR="00414F11">
        <w:t xml:space="preserve"> to </w:t>
      </w:r>
      <w:r w:rsidR="00414F11">
        <w:fldChar w:fldCharType="begin" w:fldLock="1"/>
      </w:r>
      <w:r w:rsidR="00414F11">
        <w:instrText xml:space="preserve"> REF _Ref54086728 \h </w:instrText>
      </w:r>
      <w:r w:rsidR="004A3185">
        <w:instrText xml:space="preserve"> \* MERGEFORMAT </w:instrText>
      </w:r>
      <w:r w:rsidR="00414F11">
        <w:fldChar w:fldCharType="separate"/>
      </w:r>
      <w:r w:rsidR="00EC5CC7">
        <w:t xml:space="preserve">Figure </w:t>
      </w:r>
      <w:r w:rsidR="00EC5CC7">
        <w:rPr>
          <w:noProof/>
        </w:rPr>
        <w:t>55</w:t>
      </w:r>
      <w:r w:rsidR="00414F11">
        <w:fldChar w:fldCharType="end"/>
      </w:r>
      <w:r w:rsidR="00FF2899" w:rsidRPr="00FF2899">
        <w:t xml:space="preserve"> for forest plots </w:t>
      </w:r>
      <w:r w:rsidR="002A7FE8" w:rsidRPr="002A7FE8">
        <w:t>of the respective outcomes which included the results of individual studies.</w:t>
      </w:r>
    </w:p>
    <w:p w14:paraId="2D7BA8EA" w14:textId="3E38E0E3" w:rsidR="002D7608" w:rsidRDefault="00CE23F0" w:rsidP="004A3185">
      <w:pPr>
        <w:pStyle w:val="TableFooter"/>
        <w:keepNext/>
        <w:jc w:val="both"/>
      </w:pPr>
      <w:r>
        <w:t xml:space="preserve">1 </w:t>
      </w:r>
      <w:r w:rsidR="002D7608" w:rsidRPr="002D7608">
        <w:t>Where previously considered studies were not included, this was due to the outcome not being reported</w:t>
      </w:r>
      <w:r w:rsidR="00AB2B6D">
        <w:t>.</w:t>
      </w:r>
    </w:p>
    <w:p w14:paraId="5EDBF99F" w14:textId="271847D2" w:rsidR="005B2063" w:rsidRDefault="002D7608" w:rsidP="004A3185">
      <w:pPr>
        <w:pStyle w:val="TableFooter"/>
        <w:keepNext/>
        <w:spacing w:after="120"/>
        <w:contextualSpacing w:val="0"/>
        <w:jc w:val="both"/>
      </w:pPr>
      <w:r w:rsidRPr="004C4967">
        <w:t>2</w:t>
      </w:r>
      <w:r w:rsidR="00CE23F0" w:rsidRPr="004C4967">
        <w:t xml:space="preserve"> Calculated</w:t>
      </w:r>
      <w:r w:rsidR="002C5D1C" w:rsidRPr="004C4967">
        <w:t xml:space="preserve"> by Cochrane Review authors</w:t>
      </w:r>
      <w:r w:rsidR="00CE23F0" w:rsidRPr="004C4967">
        <w:t xml:space="preserve"> using a fixed-effect model</w:t>
      </w:r>
      <w:r w:rsidR="00AB2B6D">
        <w:t>.</w:t>
      </w:r>
    </w:p>
    <w:p w14:paraId="03EBCD22" w14:textId="405AA976" w:rsidR="00E1728B" w:rsidRDefault="005B2063" w:rsidP="004A3185">
      <w:pPr>
        <w:spacing w:after="120"/>
        <w:jc w:val="both"/>
      </w:pPr>
      <w:r w:rsidRPr="005B2063">
        <w:t xml:space="preserve">In a recently conducted study (EAGLES extension) comparing the relative cardiovascular safety risk of smoking cessation treatments using a placebo comparator, no significant treatment differences were observed in time to cardiovascular events, blood pressure, or heart rate between bupropion and </w:t>
      </w:r>
      <w:r w:rsidR="009363A4">
        <w:t xml:space="preserve">NRT </w:t>
      </w:r>
      <w:r w:rsidR="00573F59">
        <w:t>patches</w:t>
      </w:r>
      <w:r w:rsidRPr="005B2063">
        <w:t xml:space="preserve"> (Benowitz et al. 2018).</w:t>
      </w:r>
    </w:p>
    <w:p w14:paraId="51A29BF3" w14:textId="1169CDBD" w:rsidR="00C83EDA" w:rsidRDefault="00C83EDA" w:rsidP="004A3185">
      <w:pPr>
        <w:pStyle w:val="Heading5"/>
        <w:numPr>
          <w:ilvl w:val="0"/>
          <w:numId w:val="0"/>
        </w:numPr>
        <w:spacing w:before="120" w:after="120"/>
        <w:jc w:val="both"/>
      </w:pPr>
      <w:r>
        <w:t>Varenicline</w:t>
      </w:r>
    </w:p>
    <w:p w14:paraId="2194A9D0" w14:textId="5A30EA2D" w:rsidR="000973A1" w:rsidRDefault="00820F85" w:rsidP="004A3185">
      <w:pPr>
        <w:spacing w:after="120"/>
        <w:jc w:val="both"/>
      </w:pPr>
      <w:r>
        <w:t>Varenicline</w:t>
      </w:r>
      <w:r w:rsidRPr="00820F85">
        <w:t xml:space="preserve"> was recommended for listing </w:t>
      </w:r>
      <w:r w:rsidR="00EE5F19">
        <w:t>on the PBS</w:t>
      </w:r>
      <w:r w:rsidRPr="00820F85">
        <w:t xml:space="preserve"> in </w:t>
      </w:r>
      <w:r w:rsidR="004632EA">
        <w:t>July 2007</w:t>
      </w:r>
      <w:r w:rsidRPr="00820F85">
        <w:t xml:space="preserve"> based on </w:t>
      </w:r>
      <w:r w:rsidR="00CC0029">
        <w:t>two double-blind RCTs (Gonzales et al. 2006 and Jorenby et al. 2006) comparing varenicline (1 mg twice daily after initial titration),</w:t>
      </w:r>
      <w:r w:rsidR="008E00EB">
        <w:t xml:space="preserve"> </w:t>
      </w:r>
      <w:r w:rsidR="00CC0029">
        <w:t>bupropion (150 mg twice daily after initial titration) and placebo in smokers over 52 weeks.</w:t>
      </w:r>
      <w:r w:rsidR="00027C19">
        <w:t xml:space="preserve"> </w:t>
      </w:r>
      <w:r w:rsidRPr="00820F85">
        <w:t xml:space="preserve">Based on the </w:t>
      </w:r>
      <w:r w:rsidR="00027C19">
        <w:t>two</w:t>
      </w:r>
      <w:r w:rsidRPr="00820F85">
        <w:t xml:space="preserve"> stud</w:t>
      </w:r>
      <w:r w:rsidR="00027C19">
        <w:t>ies</w:t>
      </w:r>
      <w:r w:rsidRPr="00820F85">
        <w:t xml:space="preserve">, the submission </w:t>
      </w:r>
      <w:r w:rsidR="0086371B">
        <w:t>described varenicline as having significant advantages in effectiveness over bupropion and having similar or less toxicity.</w:t>
      </w:r>
      <w:r w:rsidR="00027A23">
        <w:t xml:space="preserve"> </w:t>
      </w:r>
    </w:p>
    <w:p w14:paraId="4D49A17B" w14:textId="198C976D" w:rsidR="00820F85" w:rsidRDefault="00027A23" w:rsidP="004A3185">
      <w:pPr>
        <w:spacing w:after="120"/>
        <w:jc w:val="both"/>
      </w:pPr>
      <w:r>
        <w:t xml:space="preserve">The PBAC </w:t>
      </w:r>
      <w:r w:rsidR="00CD1CDC">
        <w:t xml:space="preserve">accepted the superiority claim in efficacy based </w:t>
      </w:r>
      <w:r w:rsidR="00777459">
        <w:t>on the</w:t>
      </w:r>
      <w:r w:rsidR="00140D65">
        <w:t xml:space="preserve"> higher quit and continuous abstinence rates demonstrated in the meta-analysis of two head-to-head trials comparing varenicline </w:t>
      </w:r>
      <w:r w:rsidR="00FC65FD">
        <w:t>with</w:t>
      </w:r>
      <w:r w:rsidR="00140D65">
        <w:t xml:space="preserve"> bupropion</w:t>
      </w:r>
      <w:r w:rsidR="00FC65FD">
        <w:t>, in favour of varenicline</w:t>
      </w:r>
      <w:r w:rsidR="00140D65">
        <w:t>.</w:t>
      </w:r>
      <w:r w:rsidR="00E4177C">
        <w:t xml:space="preserve"> While the PBAC noted that significantly more patients on varenicline treatment experienced nausea, abnormal dreams and headache compared with patients on bupropion, the </w:t>
      </w:r>
      <w:r w:rsidR="00D6694A">
        <w:t>c</w:t>
      </w:r>
      <w:r w:rsidR="00E4177C">
        <w:t>ommittee</w:t>
      </w:r>
      <w:r w:rsidR="000973A1">
        <w:t xml:space="preserve"> </w:t>
      </w:r>
      <w:r w:rsidR="00E4177C">
        <w:t>accepted that the pooled rate of discontinuations due to adverse events was lower with</w:t>
      </w:r>
      <w:r w:rsidR="000973A1">
        <w:t xml:space="preserve"> </w:t>
      </w:r>
      <w:r w:rsidR="00E4177C">
        <w:t xml:space="preserve">varenicline compared </w:t>
      </w:r>
      <w:r w:rsidR="001B5C4E">
        <w:t>with</w:t>
      </w:r>
      <w:r w:rsidR="00E4177C">
        <w:t xml:space="preserve"> bupropion</w:t>
      </w:r>
      <w:r w:rsidR="000973A1">
        <w:t xml:space="preserve"> (</w:t>
      </w:r>
      <w:r w:rsidR="000973A1" w:rsidRPr="003E243C">
        <w:t xml:space="preserve">Varenicline PSD, </w:t>
      </w:r>
      <w:r w:rsidR="00D204E1" w:rsidRPr="003E243C">
        <w:t xml:space="preserve">July </w:t>
      </w:r>
      <w:r w:rsidR="000973A1" w:rsidRPr="003E243C">
        <w:t>2007</w:t>
      </w:r>
      <w:r w:rsidR="00D204E1" w:rsidRPr="003E243C">
        <w:t xml:space="preserve"> PBAC meeting</w:t>
      </w:r>
      <w:r w:rsidR="000973A1" w:rsidRPr="003E243C">
        <w:t>)</w:t>
      </w:r>
      <w:r w:rsidR="00E4177C" w:rsidRPr="003E243C">
        <w:t>.</w:t>
      </w:r>
    </w:p>
    <w:p w14:paraId="7A1ABA86" w14:textId="2FF9A4E5" w:rsidR="006525B7" w:rsidRDefault="006525B7" w:rsidP="00D6694A">
      <w:pPr>
        <w:spacing w:after="120"/>
        <w:jc w:val="both"/>
      </w:pPr>
      <w:r>
        <w:t xml:space="preserve">In </w:t>
      </w:r>
      <w:r w:rsidR="007604B8">
        <w:t xml:space="preserve">November 2007 and </w:t>
      </w:r>
      <w:r>
        <w:t xml:space="preserve">March 2008, the PBAC </w:t>
      </w:r>
      <w:r w:rsidR="001E2216" w:rsidRPr="001E2216">
        <w:t xml:space="preserve">recommended amendment to the restriction </w:t>
      </w:r>
      <w:r w:rsidR="00690DF4">
        <w:t>of bupropion and</w:t>
      </w:r>
      <w:r w:rsidR="001E2216" w:rsidRPr="001E2216">
        <w:t xml:space="preserve"> varenicline to allow treatment with both varenicline and bupropion within a 12</w:t>
      </w:r>
      <w:r w:rsidR="003E243C">
        <w:t>-</w:t>
      </w:r>
      <w:r w:rsidR="001E2216" w:rsidRPr="001E2216">
        <w:t xml:space="preserve">month period with </w:t>
      </w:r>
      <w:r w:rsidR="00EC7F43">
        <w:t>six</w:t>
      </w:r>
      <w:r w:rsidR="001E2216" w:rsidRPr="001E2216">
        <w:t xml:space="preserve"> months between commencing a course of the second product</w:t>
      </w:r>
      <w:r w:rsidR="00214801">
        <w:t xml:space="preserve"> (</w:t>
      </w:r>
      <w:r w:rsidR="00F05F4F" w:rsidRPr="003E243C">
        <w:t>PBAC Outcomes,</w:t>
      </w:r>
      <w:r w:rsidR="00B37320" w:rsidRPr="003E243C">
        <w:t xml:space="preserve"> November </w:t>
      </w:r>
      <w:r w:rsidR="004C4EA7" w:rsidRPr="003E243C">
        <w:t>2007,</w:t>
      </w:r>
      <w:r w:rsidR="00B37320" w:rsidRPr="003E243C">
        <w:t xml:space="preserve"> and</w:t>
      </w:r>
      <w:r w:rsidR="00F05F4F" w:rsidRPr="003E243C">
        <w:t xml:space="preserve"> </w:t>
      </w:r>
      <w:r w:rsidR="00B37320" w:rsidRPr="003E243C">
        <w:t xml:space="preserve">March </w:t>
      </w:r>
      <w:r w:rsidR="00F05F4F" w:rsidRPr="003E243C">
        <w:t>2008</w:t>
      </w:r>
      <w:r w:rsidR="00B37320" w:rsidRPr="003E243C">
        <w:t xml:space="preserve"> PBAC meetings</w:t>
      </w:r>
      <w:r w:rsidR="00F05F4F">
        <w:t>)</w:t>
      </w:r>
      <w:r w:rsidR="001E2216" w:rsidRPr="001E2216">
        <w:t>.</w:t>
      </w:r>
      <w:r w:rsidR="000E4561">
        <w:t xml:space="preserve"> </w:t>
      </w:r>
      <w:r w:rsidR="00341FBD" w:rsidRPr="007B466C">
        <w:rPr>
          <w:color w:val="000000"/>
          <w:w w:val="56"/>
          <w:shd w:val="solid" w:color="000000" w:fill="000000"/>
          <w:fitText w:val="1949" w:id="-1402782976"/>
          <w14:textFill>
            <w14:solidFill>
              <w14:srgbClr w14:val="000000">
                <w14:alpha w14:val="100000"/>
              </w14:srgbClr>
            </w14:solidFill>
          </w14:textFill>
        </w:rPr>
        <w:t>|||||||||||||||  ||||||||||||||</w:t>
      </w:r>
      <w:r w:rsidR="00341FBD" w:rsidRPr="007B466C">
        <w:rPr>
          <w:color w:val="000000"/>
          <w:spacing w:val="32"/>
          <w:w w:val="56"/>
          <w:shd w:val="solid" w:color="000000" w:fill="000000"/>
          <w:fitText w:val="1949" w:id="-1402782976"/>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w w:val="54"/>
          <w:shd w:val="solid" w:color="000000" w:fill="000000"/>
          <w:fitText w:val="8903" w:id="-1402782975"/>
          <w14:textFill>
            <w14:solidFill>
              <w14:srgbClr w14:val="000000">
                <w14:alpha w14:val="100000"/>
              </w14:srgbClr>
            </w14:solidFill>
          </w14:textFill>
        </w:rPr>
        <w:t>|||||||||||||||||||||||||||||||||||||||||||||||||||||||||||||||||||||||||  ||||||||||||||||||||||||||||||||||||||||||||||||||||||||||||||||||||||||</w:t>
      </w:r>
      <w:r w:rsidR="00341FBD" w:rsidRPr="007B466C">
        <w:rPr>
          <w:color w:val="000000"/>
          <w:spacing w:val="135"/>
          <w:w w:val="54"/>
          <w:shd w:val="solid" w:color="000000" w:fill="000000"/>
          <w:fitText w:val="8903" w:id="-1402782975"/>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w w:val="54"/>
          <w:shd w:val="solid" w:color="000000" w:fill="000000"/>
          <w:fitText w:val="8921" w:id="-1402782974"/>
          <w14:textFill>
            <w14:solidFill>
              <w14:srgbClr w14:val="000000">
                <w14:alpha w14:val="100000"/>
              </w14:srgbClr>
            </w14:solidFill>
          </w14:textFill>
        </w:rPr>
        <w:t>||||||||||||||||||||||||||||||||||||||||||||||||||||||||||||||||||||||||||  |||||||||||||||||||||||||||||||||||||||||||||||||||||||||||||||||||||||||</w:t>
      </w:r>
      <w:r w:rsidR="00341FBD" w:rsidRPr="007B466C">
        <w:rPr>
          <w:color w:val="000000"/>
          <w:spacing w:val="34"/>
          <w:w w:val="54"/>
          <w:shd w:val="solid" w:color="000000" w:fill="000000"/>
          <w:fitText w:val="8921" w:id="-1402782974"/>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spacing w:val="1"/>
          <w:w w:val="54"/>
          <w:shd w:val="solid" w:color="000000" w:fill="000000"/>
          <w:fitText w:val="8875" w:id="-1402782973"/>
          <w14:textFill>
            <w14:solidFill>
              <w14:srgbClr w14:val="000000">
                <w14:alpha w14:val="100000"/>
              </w14:srgbClr>
            </w14:solidFill>
          </w14:textFill>
        </w:rPr>
        <w:t>|||||||||||||||||||||||||||||||||||||||||||||||||||||||||||||||||||||||||  ||||||||||||||||||||||||||||||||||||||||||||||||||||||||||||||||||||||||</w:t>
      </w:r>
      <w:r w:rsidR="00341FBD" w:rsidRPr="007B466C">
        <w:rPr>
          <w:color w:val="000000"/>
          <w:spacing w:val="-39"/>
          <w:w w:val="54"/>
          <w:shd w:val="solid" w:color="000000" w:fill="000000"/>
          <w:fitText w:val="8875" w:id="-1402782973"/>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w w:val="54"/>
          <w:shd w:val="solid" w:color="000000" w:fill="000000"/>
          <w:fitText w:val="8921" w:id="-1402782972"/>
          <w14:textFill>
            <w14:solidFill>
              <w14:srgbClr w14:val="000000">
                <w14:alpha w14:val="100000"/>
              </w14:srgbClr>
            </w14:solidFill>
          </w14:textFill>
        </w:rPr>
        <w:t>||||||||||||||||||||||||||||||||||||||||||||||||||||||||||||||||||||||||||  |||||||||||||||||||||||||||||||||||||||||||||||||||||||||||||||||||||||||</w:t>
      </w:r>
      <w:r w:rsidR="00341FBD" w:rsidRPr="007B466C">
        <w:rPr>
          <w:color w:val="000000"/>
          <w:spacing w:val="34"/>
          <w:w w:val="54"/>
          <w:shd w:val="solid" w:color="000000" w:fill="000000"/>
          <w:fitText w:val="8921" w:id="-1402782972"/>
          <w14:textFill>
            <w14:solidFill>
              <w14:srgbClr w14:val="000000">
                <w14:alpha w14:val="100000"/>
              </w14:srgbClr>
            </w14:solidFill>
          </w14:textFill>
        </w:rPr>
        <w:t>|</w:t>
      </w:r>
      <w:r w:rsidR="00341FBD">
        <w:rPr>
          <w:highlight w:val="green"/>
          <w:shd w:val="clear" w:color="auto" w:fill="C0C0C1"/>
        </w:rPr>
        <w:t xml:space="preserve"> </w:t>
      </w:r>
      <w:r w:rsidR="00341FBD" w:rsidRPr="007B466C">
        <w:rPr>
          <w:color w:val="000000"/>
          <w:w w:val="54"/>
          <w:shd w:val="solid" w:color="000000" w:fill="000000"/>
          <w:fitText w:val="8912" w:id="-1402782971"/>
          <w14:textFill>
            <w14:solidFill>
              <w14:srgbClr w14:val="000000">
                <w14:alpha w14:val="100000"/>
              </w14:srgbClr>
            </w14:solidFill>
          </w14:textFill>
        </w:rPr>
        <w:t>|||||||||||||||||||||||||||||||||||||||||||||||||||||||||||||||||||||||||  ||||||||||||||||||||||||||||||||||||||||||||||||||||||||||||||||||||||||</w:t>
      </w:r>
      <w:r w:rsidR="00341FBD" w:rsidRPr="007B466C">
        <w:rPr>
          <w:color w:val="000000"/>
          <w:spacing w:val="144"/>
          <w:w w:val="54"/>
          <w:shd w:val="solid" w:color="000000" w:fill="000000"/>
          <w:fitText w:val="8912" w:id="-1402782971"/>
          <w14:textFill>
            <w14:solidFill>
              <w14:srgbClr w14:val="000000">
                <w14:alpha w14:val="100000"/>
              </w14:srgbClr>
            </w14:solidFill>
          </w14:textFill>
        </w:rPr>
        <w:t>|</w:t>
      </w:r>
      <w:r w:rsidR="00341FBD">
        <w:rPr>
          <w:highlight w:val="green"/>
          <w:shd w:val="clear" w:color="auto" w:fill="C0C0C1"/>
        </w:rPr>
        <w:t xml:space="preserve"> </w:t>
      </w:r>
      <w:r w:rsidR="00341FBD" w:rsidRPr="00341FBD">
        <w:rPr>
          <w:color w:val="000000"/>
          <w:w w:val="55"/>
          <w:shd w:val="solid" w:color="000000" w:fill="000000"/>
          <w:fitText w:val="2997" w:id="-1402782970"/>
          <w14:textFill>
            <w14:solidFill>
              <w14:srgbClr w14:val="000000">
                <w14:alpha w14:val="100000"/>
              </w14:srgbClr>
            </w14:solidFill>
          </w14:textFill>
        </w:rPr>
        <w:lastRenderedPageBreak/>
        <w:t>||||||||||||||||||||||||  |||||||||||||||||||||||</w:t>
      </w:r>
      <w:r w:rsidR="00341FBD" w:rsidRPr="00341FBD">
        <w:rPr>
          <w:color w:val="000000"/>
          <w:spacing w:val="23"/>
          <w:w w:val="55"/>
          <w:shd w:val="solid" w:color="000000" w:fill="000000"/>
          <w:fitText w:val="2997" w:id="-1402782970"/>
          <w14:textFill>
            <w14:solidFill>
              <w14:srgbClr w14:val="000000">
                <w14:alpha w14:val="100000"/>
              </w14:srgbClr>
            </w14:solidFill>
          </w14:textFill>
        </w:rPr>
        <w:t>|</w:t>
      </w:r>
      <w:r w:rsidR="00D90D36" w:rsidRPr="00D90D36">
        <w:t xml:space="preserve"> </w:t>
      </w:r>
      <w:r w:rsidR="000E4561">
        <w:t>Prior to th</w:t>
      </w:r>
      <w:r w:rsidR="00B2726F">
        <w:t>ese</w:t>
      </w:r>
      <w:r w:rsidR="000E4561">
        <w:t xml:space="preserve"> meeting</w:t>
      </w:r>
      <w:r w:rsidR="00B2726F">
        <w:t>s</w:t>
      </w:r>
      <w:r w:rsidR="000E4561">
        <w:t>, only one course of PBS-subsidised smoking cessation therapy (bupropion or varenicline) w</w:t>
      </w:r>
      <w:r w:rsidR="003C33AC">
        <w:t>as</w:t>
      </w:r>
      <w:r w:rsidR="000E4561">
        <w:t xml:space="preserve"> authorised per year</w:t>
      </w:r>
      <w:r w:rsidR="006608A1">
        <w:t>.</w:t>
      </w:r>
    </w:p>
    <w:p w14:paraId="016C0DF3" w14:textId="66EB71C4" w:rsidR="005A2299" w:rsidRPr="00964121" w:rsidRDefault="0055468A" w:rsidP="00D6694A">
      <w:pPr>
        <w:spacing w:after="120"/>
        <w:jc w:val="both"/>
        <w:rPr>
          <w:u w:val="single"/>
        </w:rPr>
      </w:pPr>
      <w:r>
        <w:rPr>
          <w:u w:val="single"/>
        </w:rPr>
        <w:t>A</w:t>
      </w:r>
      <w:r w:rsidR="006D52EC" w:rsidRPr="00964121">
        <w:rPr>
          <w:u w:val="single"/>
        </w:rPr>
        <w:t>dditional 12-week course for abstainer</w:t>
      </w:r>
      <w:r w:rsidR="00091C28">
        <w:rPr>
          <w:u w:val="single"/>
        </w:rPr>
        <w:t>s</w:t>
      </w:r>
    </w:p>
    <w:p w14:paraId="2DA1874D" w14:textId="5177FC09" w:rsidR="00467233" w:rsidRDefault="003B727B" w:rsidP="00D6694A">
      <w:pPr>
        <w:spacing w:after="120"/>
        <w:jc w:val="both"/>
      </w:pPr>
      <w:r>
        <w:t xml:space="preserve">In November 2009, the PBAC </w:t>
      </w:r>
      <w:r w:rsidR="001D75F7">
        <w:t>recommended the listing of varenicline on the PBS be extended to make available a second 12</w:t>
      </w:r>
      <w:r w:rsidR="009C1CC1">
        <w:t>-</w:t>
      </w:r>
      <w:r w:rsidR="001D75F7">
        <w:t>week course for patients who have successfully completed an initial 12</w:t>
      </w:r>
      <w:r w:rsidR="009C1CC1">
        <w:t>-</w:t>
      </w:r>
      <w:r w:rsidR="001D75F7">
        <w:t xml:space="preserve">week course of </w:t>
      </w:r>
      <w:r w:rsidR="004C4EA7">
        <w:t>varenicline but</w:t>
      </w:r>
      <w:r w:rsidR="00655CA8">
        <w:t xml:space="preserve"> require a further 12-week course to aid in maintaining abstinence</w:t>
      </w:r>
      <w:r w:rsidR="009C1CC1">
        <w:t xml:space="preserve"> (</w:t>
      </w:r>
      <w:r w:rsidR="004C4EA7">
        <w:t>i.e.,</w:t>
      </w:r>
      <w:r w:rsidR="009C1CC1">
        <w:t xml:space="preserve"> treatment-experienced p</w:t>
      </w:r>
      <w:r w:rsidR="00D520F6">
        <w:t>atients</w:t>
      </w:r>
      <w:r w:rsidR="009C1CC1">
        <w:t xml:space="preserve">). </w:t>
      </w:r>
      <w:r w:rsidR="005158B1">
        <w:t>The listing allowed for only one 12-24 week course of varenicline per year</w:t>
      </w:r>
      <w:r w:rsidR="007F0CFF">
        <w:t xml:space="preserve"> (</w:t>
      </w:r>
      <w:r w:rsidR="004C4EA7">
        <w:t>i.e.,</w:t>
      </w:r>
      <w:r w:rsidR="00BE48FE">
        <w:t xml:space="preserve"> </w:t>
      </w:r>
      <w:r w:rsidR="007F0CFF" w:rsidRPr="007F0CFF">
        <w:t xml:space="preserve">an additional 12 weeks </w:t>
      </w:r>
      <w:r w:rsidR="007F0CFF">
        <w:t xml:space="preserve">of </w:t>
      </w:r>
      <w:r w:rsidR="006976C3">
        <w:t xml:space="preserve">treatment </w:t>
      </w:r>
      <w:r w:rsidR="007F0CFF" w:rsidRPr="007F0CFF">
        <w:t>f</w:t>
      </w:r>
      <w:r w:rsidR="007F0CFF">
        <w:t>or those who have abstained from smoking</w:t>
      </w:r>
      <w:r w:rsidR="006976C3">
        <w:t>)</w:t>
      </w:r>
      <w:r w:rsidR="007F0CFF">
        <w:t xml:space="preserve"> </w:t>
      </w:r>
      <w:r w:rsidR="00A9671E">
        <w:t>(</w:t>
      </w:r>
      <w:r w:rsidR="00A9671E" w:rsidRPr="008319F8">
        <w:t>Varenicline PSD,</w:t>
      </w:r>
      <w:r w:rsidR="000B3B14" w:rsidRPr="008319F8">
        <w:t xml:space="preserve"> </w:t>
      </w:r>
      <w:r w:rsidR="00963841" w:rsidRPr="008319F8">
        <w:t xml:space="preserve">November </w:t>
      </w:r>
      <w:r w:rsidR="00A9671E" w:rsidRPr="008319F8">
        <w:t>200</w:t>
      </w:r>
      <w:r w:rsidR="000B3B14" w:rsidRPr="008319F8">
        <w:t>9</w:t>
      </w:r>
      <w:r w:rsidR="00963841">
        <w:t xml:space="preserve"> </w:t>
      </w:r>
      <w:r w:rsidR="00963841" w:rsidRPr="008319F8">
        <w:t>PBAC meeting</w:t>
      </w:r>
      <w:r w:rsidR="00A9671E">
        <w:t>).</w:t>
      </w:r>
      <w:r w:rsidR="00523C29">
        <w:t xml:space="preserve"> The</w:t>
      </w:r>
      <w:r w:rsidR="0032588C">
        <w:t xml:space="preserve"> clinical evidence for </w:t>
      </w:r>
      <w:r w:rsidR="009E34FC">
        <w:t xml:space="preserve">the use of varenicline as </w:t>
      </w:r>
      <w:r w:rsidR="0078171D">
        <w:t>completion of a short-term (24 weeks) course of</w:t>
      </w:r>
      <w:r w:rsidR="00B07DF1">
        <w:t xml:space="preserve"> treatment</w:t>
      </w:r>
      <w:r w:rsidR="00C626E0">
        <w:t xml:space="preserve"> is presented </w:t>
      </w:r>
      <w:r w:rsidR="00BD68A6">
        <w:t>under</w:t>
      </w:r>
      <w:r w:rsidR="00C626E0">
        <w:t xml:space="preserve"> the treatment-experienced population section.</w:t>
      </w:r>
    </w:p>
    <w:p w14:paraId="08BCF511" w14:textId="717853AD" w:rsidR="007F0CFF" w:rsidRPr="00964121" w:rsidRDefault="0055468A" w:rsidP="00D6694A">
      <w:pPr>
        <w:spacing w:after="120"/>
        <w:jc w:val="both"/>
        <w:rPr>
          <w:u w:val="single"/>
        </w:rPr>
      </w:pPr>
      <w:r>
        <w:rPr>
          <w:u w:val="single"/>
        </w:rPr>
        <w:t>R</w:t>
      </w:r>
      <w:r w:rsidR="00F10199" w:rsidRPr="00964121">
        <w:rPr>
          <w:u w:val="single"/>
        </w:rPr>
        <w:t>etreatment</w:t>
      </w:r>
      <w:r w:rsidR="00C60F7A">
        <w:rPr>
          <w:u w:val="single"/>
        </w:rPr>
        <w:t xml:space="preserve"> (non-abstainer</w:t>
      </w:r>
      <w:r w:rsidR="00091C28">
        <w:rPr>
          <w:u w:val="single"/>
        </w:rPr>
        <w:t>s</w:t>
      </w:r>
      <w:r w:rsidR="00C60F7A">
        <w:rPr>
          <w:u w:val="single"/>
        </w:rPr>
        <w:t>)</w:t>
      </w:r>
    </w:p>
    <w:p w14:paraId="58510565" w14:textId="0F68B7AC" w:rsidR="003A7129" w:rsidRDefault="00706A45" w:rsidP="00D6694A">
      <w:pPr>
        <w:spacing w:after="120"/>
        <w:jc w:val="both"/>
      </w:pPr>
      <w:r>
        <w:t xml:space="preserve">In </w:t>
      </w:r>
      <w:r w:rsidR="00D92938">
        <w:t xml:space="preserve">November 2012 and </w:t>
      </w:r>
      <w:r w:rsidR="004636BB">
        <w:t xml:space="preserve">March 2014, the PBAC considered a </w:t>
      </w:r>
      <w:r w:rsidR="002B219B">
        <w:t xml:space="preserve">request to reduce the time to retreatment with varenicline from 12 to </w:t>
      </w:r>
      <w:r w:rsidR="00EC7F43">
        <w:t>six</w:t>
      </w:r>
      <w:r w:rsidR="002B219B">
        <w:t xml:space="preserve"> months. </w:t>
      </w:r>
      <w:r w:rsidR="00E67932">
        <w:t>In March 2014, t</w:t>
      </w:r>
      <w:r w:rsidR="00E67932" w:rsidRPr="00E67932">
        <w:t>he PBAC recommended a change to the listing of varenicline to allow an additional course within a</w:t>
      </w:r>
      <w:r w:rsidR="00C90B56">
        <w:t xml:space="preserve"> 12-</w:t>
      </w:r>
      <w:r w:rsidR="00E67932" w:rsidRPr="00E67932">
        <w:t>month period for patients who have been unsuccessful in achieving abstinence from smoking during or after a course of PBS-subsidised varenicline</w:t>
      </w:r>
      <w:r w:rsidR="00750779">
        <w:t xml:space="preserve"> (</w:t>
      </w:r>
      <w:r w:rsidR="00750779" w:rsidRPr="00AA56A9">
        <w:t xml:space="preserve">Varenicline PSD, </w:t>
      </w:r>
      <w:r w:rsidR="00653060" w:rsidRPr="00AA56A9">
        <w:t xml:space="preserve">March </w:t>
      </w:r>
      <w:r w:rsidR="00750779" w:rsidRPr="00AA56A9">
        <w:t>2014</w:t>
      </w:r>
      <w:r w:rsidR="00653060" w:rsidRPr="00AA56A9">
        <w:t xml:space="preserve"> PBAC meeting</w:t>
      </w:r>
      <w:r w:rsidR="00750779">
        <w:t>)</w:t>
      </w:r>
      <w:r w:rsidR="00E67932" w:rsidRPr="00E67932">
        <w:t>.</w:t>
      </w:r>
      <w:r w:rsidR="001243D1">
        <w:t xml:space="preserve"> </w:t>
      </w:r>
      <w:r w:rsidR="004A40CC">
        <w:t xml:space="preserve">The listing </w:t>
      </w:r>
      <w:r w:rsidR="0047692F">
        <w:t xml:space="preserve">required </w:t>
      </w:r>
      <w:r w:rsidR="00AF15A1">
        <w:t>t</w:t>
      </w:r>
      <w:r w:rsidR="0047692F" w:rsidRPr="0047692F">
        <w:t>he period between commencing varenicline a</w:t>
      </w:r>
      <w:r w:rsidR="002F752D">
        <w:t xml:space="preserve">nd </w:t>
      </w:r>
      <w:r w:rsidR="0047692F" w:rsidRPr="0047692F">
        <w:t xml:space="preserve">a further course of varenicline </w:t>
      </w:r>
      <w:r w:rsidR="00AF15A1">
        <w:t>to</w:t>
      </w:r>
      <w:r w:rsidR="0047692F" w:rsidRPr="0047692F">
        <w:t xml:space="preserve"> be at least </w:t>
      </w:r>
      <w:r w:rsidR="00EC7F43">
        <w:t>six</w:t>
      </w:r>
      <w:r w:rsidR="0047692F" w:rsidRPr="0047692F">
        <w:t xml:space="preserve"> months</w:t>
      </w:r>
      <w:r w:rsidR="0045792B">
        <w:t>, with</w:t>
      </w:r>
      <w:r w:rsidR="00446D57">
        <w:t xml:space="preserve"> a </w:t>
      </w:r>
      <w:r w:rsidR="0045792B">
        <w:t>total</w:t>
      </w:r>
      <w:r w:rsidR="00446D57">
        <w:t xml:space="preserve"> of</w:t>
      </w:r>
      <w:r w:rsidR="008A1464" w:rsidRPr="008A1464">
        <w:t xml:space="preserve"> 24 weeks of PBS-subsidised</w:t>
      </w:r>
      <w:r w:rsidR="00516187">
        <w:t xml:space="preserve"> varenicline</w:t>
      </w:r>
      <w:r w:rsidR="008A1464" w:rsidRPr="008A1464">
        <w:t xml:space="preserve"> </w:t>
      </w:r>
      <w:r w:rsidR="0045792B">
        <w:t xml:space="preserve">allowed </w:t>
      </w:r>
      <w:r w:rsidR="008A1464" w:rsidRPr="008A1464">
        <w:t>per 12-month period.</w:t>
      </w:r>
      <w:r w:rsidR="000650F9" w:rsidRPr="000650F9">
        <w:t xml:space="preserve"> The clinical evidence for the use of varenicline as </w:t>
      </w:r>
      <w:r w:rsidR="000650F9">
        <w:t>retreatment</w:t>
      </w:r>
      <w:r w:rsidR="000650F9" w:rsidRPr="000650F9">
        <w:t xml:space="preserve"> is presented under the treatment-experienced population section.</w:t>
      </w:r>
    </w:p>
    <w:p w14:paraId="6E2A02C3" w14:textId="64B1C5DB" w:rsidR="008B6B3A" w:rsidRDefault="002F0C20" w:rsidP="00D6694A">
      <w:pPr>
        <w:spacing w:after="120"/>
        <w:jc w:val="both"/>
      </w:pPr>
      <w:r>
        <w:t xml:space="preserve">While the </w:t>
      </w:r>
      <w:r w:rsidR="006D72F6">
        <w:t xml:space="preserve">request </w:t>
      </w:r>
      <w:r w:rsidR="00750779">
        <w:t>made in November 2012 and March 2014</w:t>
      </w:r>
      <w:r w:rsidR="006D72F6">
        <w:t xml:space="preserve"> was for treatment-experienced patients, the submission presented tri</w:t>
      </w:r>
      <w:r w:rsidR="00CA60FA">
        <w:t>a</w:t>
      </w:r>
      <w:r w:rsidR="006D72F6">
        <w:t>l evidence in varenicline</w:t>
      </w:r>
      <w:r w:rsidR="00B51E24">
        <w:t>-</w:t>
      </w:r>
      <w:r w:rsidR="006D72F6">
        <w:t>naïve patients</w:t>
      </w:r>
      <w:r w:rsidR="00294CB2">
        <w:t xml:space="preserve"> as supportive evidence</w:t>
      </w:r>
      <w:r w:rsidR="0045689C">
        <w:t xml:space="preserve"> (</w:t>
      </w:r>
      <w:r w:rsidR="00E225E3" w:rsidRPr="00E225E3">
        <w:t xml:space="preserve">Gonzales </w:t>
      </w:r>
      <w:r w:rsidR="00885A2E">
        <w:t xml:space="preserve">et al. </w:t>
      </w:r>
      <w:r w:rsidR="00E225E3" w:rsidRPr="00E225E3">
        <w:t xml:space="preserve">2006, Jorenby </w:t>
      </w:r>
      <w:r w:rsidR="00885A2E">
        <w:t xml:space="preserve">et al. </w:t>
      </w:r>
      <w:r w:rsidR="00E225E3" w:rsidRPr="00E225E3">
        <w:t xml:space="preserve">2006, </w:t>
      </w:r>
      <w:r w:rsidR="00885A2E">
        <w:t xml:space="preserve">Oncken et al. 2006, </w:t>
      </w:r>
      <w:r w:rsidR="00E225E3" w:rsidRPr="00E225E3">
        <w:t xml:space="preserve">Nakamura </w:t>
      </w:r>
      <w:r w:rsidR="00885A2E">
        <w:t xml:space="preserve">et al. </w:t>
      </w:r>
      <w:r w:rsidR="00E225E3" w:rsidRPr="00E225E3">
        <w:t xml:space="preserve">2007, Rigotti </w:t>
      </w:r>
      <w:r w:rsidR="00885A2E">
        <w:t xml:space="preserve">et al. </w:t>
      </w:r>
      <w:r w:rsidR="00E225E3" w:rsidRPr="00E225E3">
        <w:t>201</w:t>
      </w:r>
      <w:r w:rsidR="006E4423">
        <w:t>0</w:t>
      </w:r>
      <w:r w:rsidR="00E225E3">
        <w:t xml:space="preserve"> and</w:t>
      </w:r>
      <w:r w:rsidR="00E225E3" w:rsidRPr="00E225E3">
        <w:t xml:space="preserve"> Tashkin </w:t>
      </w:r>
      <w:r w:rsidR="00885A2E">
        <w:t xml:space="preserve">et al. </w:t>
      </w:r>
      <w:r w:rsidR="00E225E3" w:rsidRPr="00E225E3">
        <w:t>2011</w:t>
      </w:r>
      <w:r w:rsidR="00E225E3">
        <w:t>)</w:t>
      </w:r>
      <w:r w:rsidR="0055514D">
        <w:t>.</w:t>
      </w:r>
      <w:r w:rsidR="0057264E">
        <w:t xml:space="preserve"> Four </w:t>
      </w:r>
      <w:r w:rsidR="00B51E24">
        <w:t xml:space="preserve">additional </w:t>
      </w:r>
      <w:r w:rsidR="007063BD">
        <w:t>studies</w:t>
      </w:r>
      <w:r w:rsidR="004B35A8">
        <w:t xml:space="preserve"> in varenicline-naïve patients</w:t>
      </w:r>
      <w:r w:rsidR="007063BD">
        <w:t xml:space="preserve"> </w:t>
      </w:r>
      <w:r w:rsidR="008109F9">
        <w:t>presente</w:t>
      </w:r>
      <w:r w:rsidR="00521513">
        <w:t xml:space="preserve">d </w:t>
      </w:r>
      <w:r w:rsidR="007063BD">
        <w:t>in the November 2012 submission were not included in the March 2014 resubmission (</w:t>
      </w:r>
      <w:r w:rsidR="000C4D3D">
        <w:t>Tsai et al. 2007, Wang et al. 2009</w:t>
      </w:r>
      <w:r w:rsidR="00FB14B4">
        <w:t>,</w:t>
      </w:r>
      <w:r w:rsidR="00FB14B4" w:rsidRPr="00FB14B4">
        <w:t xml:space="preserve"> </w:t>
      </w:r>
      <w:r w:rsidR="00FB14B4">
        <w:t>Bolliger et al. 2011</w:t>
      </w:r>
      <w:r w:rsidR="00C03092">
        <w:t xml:space="preserve"> and</w:t>
      </w:r>
      <w:r w:rsidR="00FB14B4">
        <w:t xml:space="preserve"> Rennard et al. 2012</w:t>
      </w:r>
      <w:r w:rsidR="000C4D3D">
        <w:t>)</w:t>
      </w:r>
      <w:r w:rsidR="007D2BF8">
        <w:t xml:space="preserve"> (</w:t>
      </w:r>
      <w:r w:rsidR="007D2BF8" w:rsidRPr="00990358">
        <w:t xml:space="preserve">Varenicline PSD, </w:t>
      </w:r>
      <w:r w:rsidR="0005619D" w:rsidRPr="00990358">
        <w:t xml:space="preserve">November </w:t>
      </w:r>
      <w:r w:rsidR="007D2BF8" w:rsidRPr="00990358">
        <w:t>2012</w:t>
      </w:r>
      <w:r w:rsidR="0005619D" w:rsidRPr="00990358">
        <w:t xml:space="preserve"> and March </w:t>
      </w:r>
      <w:r w:rsidR="007D2BF8" w:rsidRPr="00990358">
        <w:t>2014</w:t>
      </w:r>
      <w:r w:rsidR="0005619D" w:rsidRPr="00990358">
        <w:t xml:space="preserve"> PBAC meeting</w:t>
      </w:r>
      <w:r w:rsidR="00926A0C">
        <w:t>s</w:t>
      </w:r>
      <w:r w:rsidR="007D2BF8">
        <w:t>)</w:t>
      </w:r>
      <w:r w:rsidR="000C4D3D">
        <w:t>.</w:t>
      </w:r>
      <w:r w:rsidR="007063BD">
        <w:t xml:space="preserve"> </w:t>
      </w:r>
    </w:p>
    <w:p w14:paraId="59A605F8" w14:textId="07C5A511" w:rsidR="00964121" w:rsidRPr="00A17BB6" w:rsidRDefault="00A17BB6" w:rsidP="00D6694A">
      <w:pPr>
        <w:spacing w:after="120"/>
        <w:jc w:val="both"/>
        <w:rPr>
          <w:u w:val="single"/>
        </w:rPr>
      </w:pPr>
      <w:r w:rsidRPr="00A17BB6">
        <w:rPr>
          <w:u w:val="single"/>
        </w:rPr>
        <w:t>Authority Required (STREAMLINED) listing</w:t>
      </w:r>
    </w:p>
    <w:p w14:paraId="03E003AD" w14:textId="46228143" w:rsidR="00DB4479" w:rsidRDefault="00DB4479" w:rsidP="00D6694A">
      <w:pPr>
        <w:spacing w:after="120"/>
        <w:jc w:val="both"/>
      </w:pPr>
      <w:r w:rsidRPr="00DB4479">
        <w:t>In March 2015, the PBAC reviewed the restriction level of varenicline as part of the Post</w:t>
      </w:r>
      <w:r w:rsidR="00DC4D88">
        <w:t>-</w:t>
      </w:r>
      <w:r w:rsidRPr="00DB4479">
        <w:t xml:space="preserve">market Review of Authority Required PBS listings, and recommended varenicline remain Authority Required (telephone). </w:t>
      </w:r>
      <w:r w:rsidR="0071091E" w:rsidRPr="0071091E">
        <w:t xml:space="preserve">At that time, the PBAC noted that the market for smoking cessation aids was not yet stable. In response to a subsequent request from the sponsor, prompted by the February 2016 </w:t>
      </w:r>
      <w:r w:rsidR="00D6694A">
        <w:t>Drug Utilisation Sub-Committee (</w:t>
      </w:r>
      <w:r w:rsidR="0071091E" w:rsidRPr="0071091E">
        <w:t>DUSC</w:t>
      </w:r>
      <w:r w:rsidR="00D6694A">
        <w:t>)</w:t>
      </w:r>
      <w:r w:rsidR="0071091E" w:rsidRPr="0071091E">
        <w:t xml:space="preserve"> analysis of smoking cessation therapies, the PBAC advised that a formal submission would be required to address safety concerns regarding psychiatric adverse events</w:t>
      </w:r>
      <w:r w:rsidR="001E0399">
        <w:t xml:space="preserve"> (</w:t>
      </w:r>
      <w:r w:rsidR="001E0399" w:rsidRPr="001D2BD7">
        <w:t>Varenicline PSD, November 2016 PBAC meeting</w:t>
      </w:r>
      <w:r w:rsidR="001E0399">
        <w:t>)</w:t>
      </w:r>
      <w:r w:rsidR="0071091E" w:rsidRPr="0071091E">
        <w:t>.</w:t>
      </w:r>
    </w:p>
    <w:p w14:paraId="1CC4C12E" w14:textId="19D7C7F4" w:rsidR="00820F85" w:rsidRDefault="00820F85" w:rsidP="00D6694A">
      <w:pPr>
        <w:spacing w:after="120"/>
        <w:jc w:val="both"/>
      </w:pPr>
      <w:r w:rsidRPr="00820F85">
        <w:t xml:space="preserve">In </w:t>
      </w:r>
      <w:r w:rsidR="00A20DDC">
        <w:t>November 2016</w:t>
      </w:r>
      <w:r w:rsidRPr="00820F85">
        <w:t xml:space="preserve">, the PBAC </w:t>
      </w:r>
      <w:r w:rsidR="002717E9">
        <w:t>recommended</w:t>
      </w:r>
      <w:r w:rsidRPr="00820F85">
        <w:t xml:space="preserve"> to </w:t>
      </w:r>
      <w:r w:rsidR="009E50DF" w:rsidRPr="009E50DF">
        <w:t>amend the listing of varenicline from Authority Required to Authority Required (STREAMLINED</w:t>
      </w:r>
      <w:r w:rsidR="009E50DF">
        <w:t xml:space="preserve">). </w:t>
      </w:r>
      <w:r w:rsidR="009D4E3F">
        <w:t>One study</w:t>
      </w:r>
      <w:r w:rsidR="00260109">
        <w:t xml:space="preserve"> </w:t>
      </w:r>
      <w:r w:rsidR="008E5624">
        <w:t>assessing the neuropsychiatric</w:t>
      </w:r>
      <w:r w:rsidR="006674AF">
        <w:t xml:space="preserve"> safety and efficacy of </w:t>
      </w:r>
      <w:r w:rsidR="004F1358">
        <w:t>varenicline</w:t>
      </w:r>
      <w:r w:rsidR="006674AF">
        <w:t>,</w:t>
      </w:r>
      <w:r w:rsidR="004F1358">
        <w:t xml:space="preserve"> </w:t>
      </w:r>
      <w:r w:rsidRPr="00820F85">
        <w:t xml:space="preserve">bupropion </w:t>
      </w:r>
      <w:r w:rsidR="006674AF">
        <w:t>and</w:t>
      </w:r>
      <w:r w:rsidRPr="00820F85">
        <w:t xml:space="preserve"> NRT</w:t>
      </w:r>
      <w:r w:rsidR="006674AF">
        <w:t xml:space="preserve"> </w:t>
      </w:r>
      <w:r w:rsidR="00573F59">
        <w:t>patches</w:t>
      </w:r>
      <w:r w:rsidRPr="00820F85">
        <w:t xml:space="preserve"> w</w:t>
      </w:r>
      <w:r w:rsidR="004F1358">
        <w:t>as</w:t>
      </w:r>
      <w:r w:rsidRPr="00820F85">
        <w:t xml:space="preserve"> considered by the PBAC at this meeting (</w:t>
      </w:r>
      <w:r w:rsidR="004F1358">
        <w:t>Anthenelli et al.</w:t>
      </w:r>
      <w:r w:rsidR="0026451D">
        <w:t xml:space="preserve"> </w:t>
      </w:r>
      <w:r w:rsidR="004F1358">
        <w:t>2016</w:t>
      </w:r>
      <w:r w:rsidR="0026451D">
        <w:t>;</w:t>
      </w:r>
      <w:r w:rsidR="00FC65FD">
        <w:t xml:space="preserve"> EAGLES</w:t>
      </w:r>
      <w:r w:rsidRPr="00820F85">
        <w:t xml:space="preserve">). </w:t>
      </w:r>
      <w:r w:rsidR="000F2368" w:rsidRPr="000F2368">
        <w:t xml:space="preserve">The PBAC considered that the results of the EAGLES trial </w:t>
      </w:r>
      <w:r w:rsidR="00026C59">
        <w:t>(four-arm study)</w:t>
      </w:r>
      <w:r w:rsidR="000F2368" w:rsidRPr="000F2368">
        <w:t xml:space="preserve"> supported the comparative safety of varenicline, bupropion, NRT and placebo</w:t>
      </w:r>
      <w:r w:rsidR="000F2368">
        <w:t xml:space="preserve">. </w:t>
      </w:r>
      <w:r w:rsidR="00E06286">
        <w:t>Based on th</w:t>
      </w:r>
      <w:r w:rsidR="001F65DE">
        <w:t>e evidence presented</w:t>
      </w:r>
      <w:r w:rsidR="00E06286">
        <w:t xml:space="preserve">, the PBAC </w:t>
      </w:r>
      <w:r w:rsidR="00E06286" w:rsidRPr="00E06286">
        <w:t>considered</w:t>
      </w:r>
      <w:r w:rsidR="001F65DE">
        <w:t xml:space="preserve"> that</w:t>
      </w:r>
      <w:r w:rsidR="00E06286" w:rsidRPr="00E06286">
        <w:t xml:space="preserve"> </w:t>
      </w:r>
      <w:r w:rsidR="001F65DE" w:rsidRPr="001F65DE">
        <w:t xml:space="preserve">varenicline was non-inferior to bupropion with regards to comparative safety, </w:t>
      </w:r>
      <w:r w:rsidR="001F65DE" w:rsidRPr="001F65DE">
        <w:lastRenderedPageBreak/>
        <w:t>and likely to be non-inferior to NRT and placebo</w:t>
      </w:r>
      <w:r w:rsidR="00E06286">
        <w:t>.</w:t>
      </w:r>
      <w:r w:rsidR="00CD482E">
        <w:t xml:space="preserve"> </w:t>
      </w:r>
      <w:r w:rsidR="002C62D0">
        <w:t>The PBAC ha</w:t>
      </w:r>
      <w:r w:rsidR="009030BE">
        <w:t>d</w:t>
      </w:r>
      <w:r w:rsidR="002C62D0">
        <w:t xml:space="preserve"> previously considered that varenicline was non-inferior to bupropion</w:t>
      </w:r>
      <w:r w:rsidR="006D602C">
        <w:t xml:space="preserve">, and inferior to NRT and placebo with regards to safety. </w:t>
      </w:r>
      <w:r w:rsidR="00CD482E">
        <w:t>In terms of comparative efficacy, t</w:t>
      </w:r>
      <w:r w:rsidR="00CD482E" w:rsidRPr="00CD482E">
        <w:t>he PBAC consider</w:t>
      </w:r>
      <w:r w:rsidR="00CD482E">
        <w:t>ed</w:t>
      </w:r>
      <w:r w:rsidR="00CD482E" w:rsidRPr="00CD482E">
        <w:t xml:space="preserve"> that varenicline was superior to bupropion, NRT and placebo</w:t>
      </w:r>
      <w:r w:rsidR="00F17299">
        <w:t xml:space="preserve"> (</w:t>
      </w:r>
      <w:r w:rsidR="00F17299" w:rsidRPr="0087602B">
        <w:t xml:space="preserve">Varenicline PSD, </w:t>
      </w:r>
      <w:r w:rsidR="002A6D2D" w:rsidRPr="0087602B">
        <w:t xml:space="preserve">November </w:t>
      </w:r>
      <w:r w:rsidR="00F17299" w:rsidRPr="0087602B">
        <w:t>2016</w:t>
      </w:r>
      <w:r w:rsidR="002A6D2D" w:rsidRPr="0087602B">
        <w:t xml:space="preserve"> PBAC meeting</w:t>
      </w:r>
      <w:r w:rsidR="00F17299">
        <w:t>)</w:t>
      </w:r>
      <w:r w:rsidR="00CD482E" w:rsidRPr="00CD482E">
        <w:t>.</w:t>
      </w:r>
    </w:p>
    <w:p w14:paraId="40723D7E" w14:textId="464E7B8E" w:rsidR="00F17299" w:rsidRDefault="00F17299" w:rsidP="00D6694A">
      <w:pPr>
        <w:spacing w:after="120"/>
        <w:jc w:val="both"/>
        <w:rPr>
          <w:b/>
          <w:bCs/>
        </w:rPr>
      </w:pPr>
      <w:r w:rsidRPr="00D77C02">
        <w:rPr>
          <w:b/>
          <w:bCs/>
        </w:rPr>
        <w:t xml:space="preserve">Varenicline versus </w:t>
      </w:r>
      <w:r w:rsidR="00D77C02" w:rsidRPr="00D77C02">
        <w:rPr>
          <w:b/>
          <w:bCs/>
        </w:rPr>
        <w:t>placebo</w:t>
      </w:r>
    </w:p>
    <w:p w14:paraId="124B731F" w14:textId="210387DA" w:rsidR="00E20806" w:rsidRDefault="00D77C02" w:rsidP="00D6694A">
      <w:pPr>
        <w:spacing w:after="120"/>
        <w:jc w:val="both"/>
      </w:pPr>
      <w:r>
        <w:t xml:space="preserve">A summary of the citation details for the studies comparing </w:t>
      </w:r>
      <w:r w:rsidR="006D0141">
        <w:t>varenicline</w:t>
      </w:r>
      <w:r>
        <w:t xml:space="preserve"> with placebo is presented in</w:t>
      </w:r>
      <w:r w:rsidR="006D0141">
        <w:t xml:space="preserve"> </w:t>
      </w:r>
      <w:r w:rsidR="006D0141">
        <w:fldChar w:fldCharType="begin" w:fldLock="1"/>
      </w:r>
      <w:r w:rsidR="006D0141">
        <w:instrText xml:space="preserve"> REF _Ref53492969 \h </w:instrText>
      </w:r>
      <w:r w:rsidR="00D6694A">
        <w:instrText xml:space="preserve"> \* MERGEFORMAT </w:instrText>
      </w:r>
      <w:r w:rsidR="006D0141">
        <w:fldChar w:fldCharType="separate"/>
      </w:r>
      <w:r w:rsidR="00EC5CC7">
        <w:t xml:space="preserve">Table </w:t>
      </w:r>
      <w:r w:rsidR="00EC5CC7">
        <w:rPr>
          <w:noProof/>
        </w:rPr>
        <w:t>13</w:t>
      </w:r>
      <w:r w:rsidR="006D0141">
        <w:fldChar w:fldCharType="end"/>
      </w:r>
      <w:r>
        <w:t xml:space="preserve">. </w:t>
      </w:r>
      <w:r w:rsidR="00EC7F43">
        <w:t>11</w:t>
      </w:r>
      <w:r w:rsidRPr="00626312">
        <w:t xml:space="preserve"> studies were previously considered by the PBAC</w:t>
      </w:r>
      <w:r>
        <w:t xml:space="preserve"> (</w:t>
      </w:r>
      <w:r w:rsidR="00C03092" w:rsidRPr="00C03092">
        <w:t xml:space="preserve">Gonzales et al. 2006, Jorenby et al. 2006, Oncken et al. 2006, Nakamura et al. 2007, </w:t>
      </w:r>
      <w:r w:rsidR="00C03092">
        <w:t>Tsai et al. 2007, Wang et al. 2009,</w:t>
      </w:r>
      <w:r w:rsidR="00C03092" w:rsidRPr="00FB14B4">
        <w:t xml:space="preserve"> </w:t>
      </w:r>
      <w:r w:rsidR="00C03092">
        <w:t xml:space="preserve">Bolliger et al. 2011, </w:t>
      </w:r>
      <w:r w:rsidR="00C03092" w:rsidRPr="00C03092">
        <w:t>Rigotti et al. 201</w:t>
      </w:r>
      <w:r w:rsidR="006E4423">
        <w:t>0</w:t>
      </w:r>
      <w:r w:rsidR="0009587B">
        <w:t xml:space="preserve">, </w:t>
      </w:r>
      <w:r w:rsidR="00C03092" w:rsidRPr="00C03092">
        <w:t>Tashkin et al. 2011</w:t>
      </w:r>
      <w:r w:rsidR="0009587B">
        <w:t xml:space="preserve">, Rennard et al. 2012 and </w:t>
      </w:r>
      <w:r w:rsidR="00CE5752">
        <w:t>EAGLES</w:t>
      </w:r>
      <w:r w:rsidR="0009587B">
        <w:t xml:space="preserve"> 2016</w:t>
      </w:r>
      <w:r>
        <w:t>)</w:t>
      </w:r>
      <w:r w:rsidRPr="00626312">
        <w:t xml:space="preserve">. A recently conducted Cochrane </w:t>
      </w:r>
      <w:r w:rsidR="004769D7">
        <w:t>R</w:t>
      </w:r>
      <w:r w:rsidRPr="00626312">
        <w:t xml:space="preserve">eview by </w:t>
      </w:r>
      <w:r w:rsidR="003C5A20">
        <w:t>Cahill</w:t>
      </w:r>
      <w:r w:rsidRPr="00626312">
        <w:t xml:space="preserve"> et al. (20</w:t>
      </w:r>
      <w:r w:rsidR="003C5A20">
        <w:t>16</w:t>
      </w:r>
      <w:r w:rsidRPr="00626312">
        <w:t xml:space="preserve">) was identified in the systematic literature review </w:t>
      </w:r>
      <w:r>
        <w:t xml:space="preserve">that compared </w:t>
      </w:r>
      <w:r w:rsidR="003C5A20">
        <w:t>varenicline</w:t>
      </w:r>
      <w:r>
        <w:t xml:space="preserve"> </w:t>
      </w:r>
      <w:r w:rsidR="006C6203">
        <w:t>with</w:t>
      </w:r>
      <w:r>
        <w:t xml:space="preserve"> placebo </w:t>
      </w:r>
      <w:r w:rsidRPr="00626312">
        <w:t>and was included in this re</w:t>
      </w:r>
      <w:r>
        <w:t>port</w:t>
      </w:r>
      <w:r w:rsidRPr="00626312">
        <w:t>.</w:t>
      </w:r>
      <w:r>
        <w:t xml:space="preserve"> </w:t>
      </w:r>
    </w:p>
    <w:p w14:paraId="34298ED3" w14:textId="1D344E04" w:rsidR="00D77C02" w:rsidRDefault="00955CBB" w:rsidP="00D6694A">
      <w:pPr>
        <w:spacing w:after="120"/>
        <w:jc w:val="both"/>
      </w:pPr>
      <w:r>
        <w:t>Eight</w:t>
      </w:r>
      <w:r w:rsidR="00534C51">
        <w:t xml:space="preserve"> </w:t>
      </w:r>
      <w:r w:rsidR="008D1903">
        <w:t xml:space="preserve">new </w:t>
      </w:r>
      <w:r w:rsidR="00534C51">
        <w:t xml:space="preserve">studies were </w:t>
      </w:r>
      <w:r w:rsidR="008D1903">
        <w:t>identified</w:t>
      </w:r>
      <w:r w:rsidR="0043356E">
        <w:t xml:space="preserve"> in the supplemental literature search</w:t>
      </w:r>
      <w:r w:rsidR="008D1903">
        <w:t xml:space="preserve"> </w:t>
      </w:r>
      <w:r w:rsidR="00F86A69">
        <w:t>t</w:t>
      </w:r>
      <w:r w:rsidR="00AD5481">
        <w:t>hat</w:t>
      </w:r>
      <w:r w:rsidR="00F86A69">
        <w:t xml:space="preserve"> inform</w:t>
      </w:r>
      <w:r w:rsidR="00AD5481">
        <w:t>ed</w:t>
      </w:r>
      <w:r w:rsidR="00F86A69">
        <w:t xml:space="preserve"> this comparison </w:t>
      </w:r>
      <w:r w:rsidR="001514F1">
        <w:t xml:space="preserve">and were included in the </w:t>
      </w:r>
      <w:r w:rsidR="0066767B">
        <w:t>updated re-analysis of the Cochrane Review</w:t>
      </w:r>
      <w:r w:rsidR="001F052D" w:rsidRPr="001F052D">
        <w:t xml:space="preserve"> </w:t>
      </w:r>
      <w:r w:rsidR="001F052D">
        <w:t>(</w:t>
      </w:r>
      <w:r w:rsidR="001F052D" w:rsidRPr="001F052D">
        <w:t>Lerman</w:t>
      </w:r>
      <w:r w:rsidR="001F052D">
        <w:t xml:space="preserve"> et al.</w:t>
      </w:r>
      <w:r w:rsidR="001F052D" w:rsidRPr="001F052D">
        <w:t xml:space="preserve"> 2015, </w:t>
      </w:r>
      <w:r w:rsidR="00DF6DC6">
        <w:t xml:space="preserve">Littlewood et al. 2017, </w:t>
      </w:r>
      <w:r w:rsidR="006F4549">
        <w:t xml:space="preserve">Benowitz et al. 2018, </w:t>
      </w:r>
      <w:r w:rsidR="001F052D" w:rsidRPr="001F052D">
        <w:t>Hurt</w:t>
      </w:r>
      <w:r w:rsidR="001F052D">
        <w:t xml:space="preserve"> et al.</w:t>
      </w:r>
      <w:r w:rsidR="001F052D" w:rsidRPr="001F052D">
        <w:t xml:space="preserve"> 2018, </w:t>
      </w:r>
      <w:r w:rsidR="006F4549">
        <w:t xml:space="preserve">Mercie et al. 2018, </w:t>
      </w:r>
      <w:r w:rsidR="001F052D" w:rsidRPr="001F052D">
        <w:t xml:space="preserve">Windle </w:t>
      </w:r>
      <w:r w:rsidR="001F052D">
        <w:t xml:space="preserve">et al. </w:t>
      </w:r>
      <w:r w:rsidR="001F052D" w:rsidRPr="001F052D">
        <w:t>201</w:t>
      </w:r>
      <w:r w:rsidR="00122F46">
        <w:t>8</w:t>
      </w:r>
      <w:r w:rsidR="001F052D" w:rsidRPr="001F052D">
        <w:t>, Ashare</w:t>
      </w:r>
      <w:r w:rsidR="001F052D">
        <w:t xml:space="preserve"> et al.</w:t>
      </w:r>
      <w:r w:rsidR="001F052D" w:rsidRPr="001F052D">
        <w:t xml:space="preserve"> 2019, Chen</w:t>
      </w:r>
      <w:r w:rsidR="001F052D">
        <w:t xml:space="preserve"> et al.</w:t>
      </w:r>
      <w:r w:rsidR="001F052D" w:rsidRPr="001F052D">
        <w:t xml:space="preserve"> 2020</w:t>
      </w:r>
      <w:r w:rsidR="001F052D">
        <w:t>)</w:t>
      </w:r>
      <w:r w:rsidR="004C4EA7">
        <w:t xml:space="preserve">. </w:t>
      </w:r>
    </w:p>
    <w:p w14:paraId="395906C6" w14:textId="7BCDC0E9" w:rsidR="00D77C02" w:rsidRDefault="00D77C02" w:rsidP="00D6694A">
      <w:pPr>
        <w:pStyle w:val="Caption"/>
        <w:keepNext/>
        <w:spacing w:before="0" w:after="120"/>
        <w:jc w:val="both"/>
      </w:pPr>
      <w:bookmarkStart w:id="47" w:name="_Ref53492969"/>
      <w:r>
        <w:t xml:space="preserve">Table </w:t>
      </w:r>
      <w:r>
        <w:fldChar w:fldCharType="begin"/>
      </w:r>
      <w:r>
        <w:instrText>SEQ Table \* ARABIC</w:instrText>
      </w:r>
      <w:r>
        <w:fldChar w:fldCharType="separate"/>
      </w:r>
      <w:r w:rsidR="00EC5CC7">
        <w:rPr>
          <w:noProof/>
        </w:rPr>
        <w:t>13</w:t>
      </w:r>
      <w:r>
        <w:fldChar w:fldCharType="end"/>
      </w:r>
      <w:bookmarkEnd w:id="47"/>
      <w:r>
        <w:t xml:space="preserve">: List of studies comparing </w:t>
      </w:r>
      <w:r w:rsidR="006D0141">
        <w:t>varenicline</w:t>
      </w:r>
      <w:r>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25"/>
        <w:gridCol w:w="8091"/>
      </w:tblGrid>
      <w:tr w:rsidR="0039468B" w:rsidRPr="00061F78" w14:paraId="0E62AF2E" w14:textId="77777777" w:rsidTr="00D6694A">
        <w:trPr>
          <w:cantSplit/>
          <w:trHeight w:val="329"/>
          <w:tblHeader/>
        </w:trPr>
        <w:tc>
          <w:tcPr>
            <w:tcW w:w="513" w:type="pct"/>
            <w:shd w:val="clear" w:color="auto" w:fill="BFBFBF" w:themeFill="background1" w:themeFillShade="BF"/>
            <w:tcMar>
              <w:left w:w="28" w:type="dxa"/>
              <w:right w:w="28" w:type="dxa"/>
            </w:tcMar>
          </w:tcPr>
          <w:p w14:paraId="2765B6C5" w14:textId="5D817337" w:rsidR="00D77C02" w:rsidRPr="00061F78" w:rsidRDefault="00126B7B" w:rsidP="002916A7">
            <w:pPr>
              <w:pStyle w:val="Tableheading"/>
              <w:rPr>
                <w:rFonts w:eastAsia="MS Mincho"/>
              </w:rPr>
            </w:pPr>
            <w:r>
              <w:rPr>
                <w:rFonts w:eastAsia="MS Mincho"/>
              </w:rPr>
              <w:t>Study</w:t>
            </w:r>
          </w:p>
        </w:tc>
        <w:tc>
          <w:tcPr>
            <w:tcW w:w="4487" w:type="pct"/>
            <w:shd w:val="clear" w:color="auto" w:fill="BFBFBF" w:themeFill="background1" w:themeFillShade="BF"/>
          </w:tcPr>
          <w:p w14:paraId="04215912" w14:textId="77777777" w:rsidR="00D77C02" w:rsidRDefault="00D77C02" w:rsidP="002916A7">
            <w:pPr>
              <w:pStyle w:val="Tableheading"/>
              <w:jc w:val="center"/>
              <w:rPr>
                <w:rFonts w:eastAsia="MS Mincho"/>
              </w:rPr>
            </w:pPr>
            <w:r>
              <w:rPr>
                <w:rFonts w:eastAsia="MS Mincho"/>
              </w:rPr>
              <w:t>Citation</w:t>
            </w:r>
          </w:p>
        </w:tc>
      </w:tr>
      <w:tr w:rsidR="0039468B" w:rsidRPr="00061F78" w14:paraId="1C104288" w14:textId="77777777" w:rsidTr="00D6694A">
        <w:trPr>
          <w:cantSplit/>
          <w:trHeight w:val="109"/>
        </w:trPr>
        <w:tc>
          <w:tcPr>
            <w:tcW w:w="513" w:type="pct"/>
            <w:shd w:val="clear" w:color="auto" w:fill="D9D9D9" w:themeFill="background1" w:themeFillShade="D9"/>
            <w:tcMar>
              <w:left w:w="28" w:type="dxa"/>
              <w:right w:w="28" w:type="dxa"/>
            </w:tcMar>
          </w:tcPr>
          <w:p w14:paraId="3B4E6D6F" w14:textId="53C20F04" w:rsidR="00AC450E" w:rsidRDefault="00743F7E" w:rsidP="002916A7">
            <w:pPr>
              <w:pStyle w:val="Tablewriting"/>
              <w:rPr>
                <w:rFonts w:eastAsia="MS Mincho"/>
              </w:rPr>
            </w:pPr>
            <w:r>
              <w:rPr>
                <w:rFonts w:eastAsia="MS Mincho"/>
              </w:rPr>
              <w:t xml:space="preserve">Gonzales </w:t>
            </w:r>
            <w:r w:rsidR="00434D4D">
              <w:rPr>
                <w:rFonts w:eastAsia="MS Mincho"/>
              </w:rPr>
              <w:t>(</w:t>
            </w:r>
            <w:r>
              <w:rPr>
                <w:rFonts w:eastAsia="MS Mincho"/>
              </w:rPr>
              <w:t>2006</w:t>
            </w:r>
            <w:r w:rsidR="00434D4D">
              <w:rPr>
                <w:rFonts w:eastAsia="MS Mincho"/>
              </w:rPr>
              <w:t>)</w:t>
            </w:r>
            <w:hyperlink w:anchor="_ENREF_8" w:tooltip="Gonzales, 2006 #590" w:history="1">
              <w:r w:rsidR="0039468B">
                <w:rPr>
                  <w:rFonts w:eastAsia="MS Mincho"/>
                </w:rPr>
                <w:fldChar w:fldCharType="begin">
                  <w:fldData xml:space="preserve">PEVuZE5vdGU+PENpdGU+PEF1dGhvcj5Hb256YWxlczwvQXV0aG9yPjxZZWFyPjIwMDY8L1llYXI+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</w:fldData>
                </w:fldChar>
              </w:r>
              <w:r w:rsidR="0039468B">
                <w:rPr>
                  <w:rFonts w:eastAsia="MS Mincho"/>
                </w:rPr>
                <w:instrText xml:space="preserve"> ADDIN EN.CITE </w:instrText>
              </w:r>
              <w:r w:rsidR="0039468B">
                <w:rPr>
                  <w:rFonts w:eastAsia="MS Mincho"/>
                </w:rPr>
                <w:fldChar w:fldCharType="begin">
                  <w:fldData xml:space="preserve">PEVuZE5vdGU+PENpdGU+PEF1dGhvcj5Hb256YWxlczwvQXV0aG9yPjxZZWFyPjIwMDY8L1llYXI+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8</w:t>
              </w:r>
              <w:r w:rsidR="0039468B">
                <w:rPr>
                  <w:rFonts w:eastAsia="MS Mincho"/>
                </w:rPr>
                <w:fldChar w:fldCharType="end"/>
              </w:r>
            </w:hyperlink>
          </w:p>
        </w:tc>
        <w:tc>
          <w:tcPr>
            <w:tcW w:w="4487" w:type="pct"/>
            <w:shd w:val="clear" w:color="auto" w:fill="D9D9D9" w:themeFill="background1" w:themeFillShade="D9"/>
          </w:tcPr>
          <w:p w14:paraId="4AC8FFF5" w14:textId="0231D78B" w:rsidR="00AC450E" w:rsidRPr="00B90A70" w:rsidRDefault="000554FE" w:rsidP="002916A7">
            <w:pPr>
              <w:pStyle w:val="Tablewriting"/>
              <w:rPr>
                <w:rFonts w:eastAsia="MS Mincho"/>
              </w:rPr>
            </w:pPr>
            <w:r w:rsidRPr="000554FE">
              <w:rPr>
                <w:rFonts w:eastAsia="MS Mincho"/>
              </w:rPr>
              <w:t>Gonzales D, Rennard SI, Nides M, Oncken C, Azoulay S, Billing CB, Watsky EJ, Gong J, Williams KE, Reeves KR, Varenicline Phase 3 Study Group. Varenicline, an α4β2 nicotinic acetylcholine receptor partial agonist, vs sustained-release bupropion and placebo for smoking cessation: a randomized controlled trial. Jama. 2006 Jul 5;296(1):47-55.</w:t>
            </w:r>
          </w:p>
        </w:tc>
      </w:tr>
      <w:tr w:rsidR="0039468B" w:rsidRPr="00061F78" w14:paraId="54B25032" w14:textId="77777777" w:rsidTr="00D6694A">
        <w:trPr>
          <w:cantSplit/>
          <w:trHeight w:val="109"/>
        </w:trPr>
        <w:tc>
          <w:tcPr>
            <w:tcW w:w="513" w:type="pct"/>
            <w:shd w:val="clear" w:color="auto" w:fill="D9D9D9" w:themeFill="background1" w:themeFillShade="D9"/>
            <w:tcMar>
              <w:left w:w="28" w:type="dxa"/>
              <w:right w:w="28" w:type="dxa"/>
            </w:tcMar>
          </w:tcPr>
          <w:p w14:paraId="14184752" w14:textId="56C6EC6F" w:rsidR="00743F7E" w:rsidRDefault="00863814" w:rsidP="002916A7">
            <w:pPr>
              <w:pStyle w:val="Tablewriting"/>
              <w:rPr>
                <w:rFonts w:eastAsia="MS Mincho"/>
              </w:rPr>
            </w:pPr>
            <w:r>
              <w:rPr>
                <w:rFonts w:eastAsia="MS Mincho"/>
              </w:rPr>
              <w:t xml:space="preserve">Jorenby </w:t>
            </w:r>
            <w:r w:rsidR="00434D4D">
              <w:rPr>
                <w:rFonts w:eastAsia="MS Mincho"/>
              </w:rPr>
              <w:t>(</w:t>
            </w:r>
            <w:r>
              <w:rPr>
                <w:rFonts w:eastAsia="MS Mincho"/>
              </w:rPr>
              <w:t>2006</w:t>
            </w:r>
            <w:r w:rsidR="00434D4D">
              <w:rPr>
                <w:rFonts w:eastAsia="MS Mincho"/>
              </w:rPr>
              <w:t>)</w:t>
            </w:r>
            <w:hyperlink w:anchor="_ENREF_9" w:tooltip="Jorenby, 2006 #589" w:history="1">
              <w:r w:rsidR="0039468B">
                <w:rPr>
                  <w:rFonts w:eastAsia="MS Mincho"/>
                </w:rPr>
                <w:fldChar w:fldCharType="begin">
                  <w:fldData xml:space="preserve">PEVuZE5vdGU+PENpdGU+PEF1dGhvcj5Kb3JlbmJ5PC9BdXRob3I+PFllYXI+MjAwNjwvWWVhcj48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PEVuZE5vdGU+PENpdGU+PEF1dGhvcj5Kb3JlbmJ5PC9BdXRob3I+PFllYXI+MjAwNjwvWWVhcj48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9</w:t>
              </w:r>
              <w:r w:rsidR="0039468B">
                <w:rPr>
                  <w:rFonts w:eastAsia="MS Mincho"/>
                </w:rPr>
                <w:fldChar w:fldCharType="end"/>
              </w:r>
            </w:hyperlink>
          </w:p>
        </w:tc>
        <w:tc>
          <w:tcPr>
            <w:tcW w:w="4487" w:type="pct"/>
            <w:shd w:val="clear" w:color="auto" w:fill="D9D9D9" w:themeFill="background1" w:themeFillShade="D9"/>
          </w:tcPr>
          <w:p w14:paraId="0274C4E6" w14:textId="492DCCD2" w:rsidR="00743F7E" w:rsidRPr="00B90A70" w:rsidRDefault="00FD5577" w:rsidP="002916A7">
            <w:pPr>
              <w:pStyle w:val="Tablewriting"/>
              <w:rPr>
                <w:rFonts w:eastAsia="MS Mincho"/>
              </w:rPr>
            </w:pPr>
            <w:r w:rsidRPr="00FD5577">
              <w:rPr>
                <w:rFonts w:eastAsia="MS Mincho"/>
              </w:rPr>
              <w:t>Jorenby DE, Hays JT, Rigotti NA, Azoulay S, Watsky EJ, Williams KE, Billing CB, Gong J, Reeves KR, Varenicline Phase 3 Study Group. Efficacy of varenicline, an α4β2 nicotinic acetylcholine receptor partial agonist, vs placebo or sustained-release bupropion for smoking cessation: a randomized controlled trial. Jama. 2006 Jul 5;296(1):56-63.</w:t>
            </w:r>
          </w:p>
        </w:tc>
      </w:tr>
      <w:tr w:rsidR="0039468B" w:rsidRPr="00061F78" w14:paraId="0B93761F" w14:textId="77777777" w:rsidTr="00D6694A">
        <w:trPr>
          <w:cantSplit/>
          <w:trHeight w:val="109"/>
        </w:trPr>
        <w:tc>
          <w:tcPr>
            <w:tcW w:w="513" w:type="pct"/>
            <w:shd w:val="clear" w:color="auto" w:fill="D9D9D9" w:themeFill="background1" w:themeFillShade="D9"/>
            <w:tcMar>
              <w:left w:w="28" w:type="dxa"/>
              <w:right w:w="28" w:type="dxa"/>
            </w:tcMar>
          </w:tcPr>
          <w:p w14:paraId="010CC8EA" w14:textId="28695251" w:rsidR="002D739B" w:rsidRDefault="002D739B" w:rsidP="002916A7">
            <w:pPr>
              <w:pStyle w:val="Tablewriting"/>
              <w:rPr>
                <w:rFonts w:eastAsia="MS Mincho"/>
              </w:rPr>
            </w:pPr>
            <w:r>
              <w:rPr>
                <w:rFonts w:eastAsia="MS Mincho"/>
              </w:rPr>
              <w:t xml:space="preserve">Oncken </w:t>
            </w:r>
            <w:r w:rsidR="00434D4D">
              <w:rPr>
                <w:rFonts w:eastAsia="MS Mincho"/>
              </w:rPr>
              <w:t>(</w:t>
            </w:r>
            <w:r>
              <w:rPr>
                <w:rFonts w:eastAsia="MS Mincho"/>
              </w:rPr>
              <w:t>2006</w:t>
            </w:r>
            <w:r w:rsidR="00434D4D">
              <w:rPr>
                <w:rFonts w:eastAsia="MS Mincho"/>
              </w:rPr>
              <w:t>)</w:t>
            </w:r>
            <w:hyperlink w:anchor="_ENREF_10" w:tooltip="Oncken, 2006 #591" w:history="1">
              <w:r w:rsidR="0039468B">
                <w:rPr>
                  <w:rFonts w:eastAsia="MS Mincho"/>
                </w:rPr>
                <w:fldChar w:fldCharType="begin">
                  <w:fldData xml:space="preserve">PEVuZE5vdGU+PENpdGU+PEF1dGhvcj5PbmNrZW48L0F1dGhvcj48WWVhcj4yMDA2PC9ZZWFyPjxS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PEVuZE5vdGU+PENpdGU+PEF1dGhvcj5PbmNrZW48L0F1dGhvcj48WWVhcj4yMDA2PC9ZZWFyPjxS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10</w:t>
              </w:r>
              <w:r w:rsidR="0039468B">
                <w:rPr>
                  <w:rFonts w:eastAsia="MS Mincho"/>
                </w:rPr>
                <w:fldChar w:fldCharType="end"/>
              </w:r>
            </w:hyperlink>
          </w:p>
        </w:tc>
        <w:tc>
          <w:tcPr>
            <w:tcW w:w="4487" w:type="pct"/>
            <w:shd w:val="clear" w:color="auto" w:fill="D9D9D9" w:themeFill="background1" w:themeFillShade="D9"/>
          </w:tcPr>
          <w:p w14:paraId="6284613E" w14:textId="2F13FEDD" w:rsidR="002D739B" w:rsidRPr="00B90A70" w:rsidRDefault="0009554F" w:rsidP="002916A7">
            <w:pPr>
              <w:pStyle w:val="Tablewriting"/>
              <w:rPr>
                <w:rFonts w:eastAsia="MS Mincho"/>
              </w:rPr>
            </w:pPr>
            <w:r w:rsidRPr="0009554F">
              <w:rPr>
                <w:rFonts w:eastAsia="MS Mincho"/>
              </w:rPr>
              <w:t>Oncken C, Gonzales D, Nides M, Rennard S, Watsky E, Billing CB, Anziano R, Reeves K. Efficacy and safety of the novel selective nicotinic acetylcholine receptor partial agonist, varenicline, for smoking cessation. Archives of internal medicine. 2006 Aug 14;166(15):1571-7.</w:t>
            </w:r>
          </w:p>
        </w:tc>
      </w:tr>
      <w:tr w:rsidR="0039468B" w:rsidRPr="00061F78" w14:paraId="6E34CE64" w14:textId="77777777" w:rsidTr="00D6694A">
        <w:trPr>
          <w:cantSplit/>
          <w:trHeight w:val="109"/>
        </w:trPr>
        <w:tc>
          <w:tcPr>
            <w:tcW w:w="513" w:type="pct"/>
            <w:shd w:val="clear" w:color="auto" w:fill="D9D9D9" w:themeFill="background1" w:themeFillShade="D9"/>
            <w:tcMar>
              <w:left w:w="28" w:type="dxa"/>
              <w:right w:w="28" w:type="dxa"/>
            </w:tcMar>
          </w:tcPr>
          <w:p w14:paraId="222E85BB" w14:textId="6B87A7CB" w:rsidR="002D739B" w:rsidRDefault="002D739B" w:rsidP="002916A7">
            <w:pPr>
              <w:pStyle w:val="Tablewriting"/>
              <w:rPr>
                <w:rFonts w:eastAsia="MS Mincho"/>
              </w:rPr>
            </w:pPr>
            <w:r>
              <w:rPr>
                <w:rFonts w:eastAsia="MS Mincho"/>
              </w:rPr>
              <w:t xml:space="preserve">Nakamura </w:t>
            </w:r>
            <w:r w:rsidR="00434D4D">
              <w:rPr>
                <w:rFonts w:eastAsia="MS Mincho"/>
              </w:rPr>
              <w:t>(</w:t>
            </w:r>
            <w:r>
              <w:rPr>
                <w:rFonts w:eastAsia="MS Mincho"/>
              </w:rPr>
              <w:t>2007</w:t>
            </w:r>
            <w:r w:rsidR="00434D4D">
              <w:rPr>
                <w:rFonts w:eastAsia="MS Mincho"/>
              </w:rPr>
              <w:t>)</w:t>
            </w:r>
            <w:hyperlink w:anchor="_ENREF_11" w:tooltip="Nakamura, 2007 #592" w:history="1">
              <w:r w:rsidR="0039468B">
                <w:rPr>
                  <w:rFonts w:eastAsia="MS Mincho"/>
                </w:rPr>
                <w:fldChar w:fldCharType="begin">
                  <w:fldData xml:space="preserve">PEVuZE5vdGU+PENpdGU+PEF1dGhvcj5OYWthbXVyYTwvQXV0aG9yPjxZZWFyPjIwMDc8L1llYXI+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</w:fldData>
                </w:fldChar>
              </w:r>
              <w:r w:rsidR="0039468B">
                <w:rPr>
                  <w:rFonts w:eastAsia="MS Mincho"/>
                </w:rPr>
                <w:instrText xml:space="preserve"> ADDIN EN.CITE </w:instrText>
              </w:r>
              <w:r w:rsidR="0039468B">
                <w:rPr>
                  <w:rFonts w:eastAsia="MS Mincho"/>
                </w:rPr>
                <w:fldChar w:fldCharType="begin">
                  <w:fldData xml:space="preserve">PEVuZE5vdGU+PENpdGU+PEF1dGhvcj5OYWthbXVyYTwvQXV0aG9yPjxZZWFyPjIwMDc8L1llYXI+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11</w:t>
              </w:r>
              <w:r w:rsidR="0039468B">
                <w:rPr>
                  <w:rFonts w:eastAsia="MS Mincho"/>
                </w:rPr>
                <w:fldChar w:fldCharType="end"/>
              </w:r>
            </w:hyperlink>
          </w:p>
        </w:tc>
        <w:tc>
          <w:tcPr>
            <w:tcW w:w="4487" w:type="pct"/>
            <w:shd w:val="clear" w:color="auto" w:fill="D9D9D9" w:themeFill="background1" w:themeFillShade="D9"/>
          </w:tcPr>
          <w:p w14:paraId="6DCD0B3B" w14:textId="7673DF10" w:rsidR="002D739B" w:rsidRPr="00B90A70" w:rsidRDefault="003B4F0E" w:rsidP="002916A7">
            <w:pPr>
              <w:pStyle w:val="Tablewriting"/>
              <w:rPr>
                <w:rFonts w:eastAsia="MS Mincho"/>
              </w:rPr>
            </w:pPr>
            <w:r w:rsidRPr="003B4F0E">
              <w:rPr>
                <w:rFonts w:eastAsia="MS Mincho"/>
              </w:rPr>
              <w:t>Nakamura M, Oshima A, Fujimoto Y, Maruyama N, Ishibashi T, Reeves KR. Efficacy and tolerability of varenicline, an α4β2 nicotinic acetylcholine receptor partial agonist, in a 12-week, randomized, placebo-controlled, dose-response study with 40-week follow-up for smoking cessation in Japanese smokers. Clinical therapeutics. 2007 Jun 1;29(6):1040-56.</w:t>
            </w:r>
          </w:p>
        </w:tc>
      </w:tr>
      <w:tr w:rsidR="0039468B" w:rsidRPr="00061F78" w14:paraId="3FABF332" w14:textId="77777777" w:rsidTr="00D6694A">
        <w:trPr>
          <w:cantSplit/>
          <w:trHeight w:val="109"/>
        </w:trPr>
        <w:tc>
          <w:tcPr>
            <w:tcW w:w="513" w:type="pct"/>
            <w:shd w:val="clear" w:color="auto" w:fill="D9D9D9" w:themeFill="background1" w:themeFillShade="D9"/>
            <w:tcMar>
              <w:left w:w="28" w:type="dxa"/>
              <w:right w:w="28" w:type="dxa"/>
            </w:tcMar>
          </w:tcPr>
          <w:p w14:paraId="35BDED77" w14:textId="4E3D03B1" w:rsidR="00814ECD" w:rsidRDefault="00814ECD" w:rsidP="002916A7">
            <w:pPr>
              <w:pStyle w:val="Tablewriting"/>
              <w:rPr>
                <w:rFonts w:eastAsia="MS Mincho"/>
              </w:rPr>
            </w:pPr>
            <w:r>
              <w:rPr>
                <w:rFonts w:eastAsia="MS Mincho"/>
              </w:rPr>
              <w:t xml:space="preserve">Tsai </w:t>
            </w:r>
            <w:r w:rsidR="00434D4D">
              <w:rPr>
                <w:rFonts w:eastAsia="MS Mincho"/>
              </w:rPr>
              <w:t>(</w:t>
            </w:r>
            <w:r>
              <w:rPr>
                <w:rFonts w:eastAsia="MS Mincho"/>
              </w:rPr>
              <w:t>2007</w:t>
            </w:r>
            <w:r w:rsidR="00434D4D">
              <w:rPr>
                <w:rFonts w:eastAsia="MS Mincho"/>
              </w:rPr>
              <w:t>)</w:t>
            </w:r>
            <w:hyperlink w:anchor="_ENREF_12" w:tooltip="Tsai, 2007 #593" w:history="1">
              <w:r w:rsidR="0039468B">
                <w:rPr>
                  <w:rFonts w:eastAsia="MS Mincho"/>
                </w:rPr>
                <w:fldChar w:fldCharType="begin">
                  <w:fldData xml:space="preserve">PEVuZE5vdGU+PENpdGU+PEF1dGhvcj5Uc2FpPC9BdXRob3I+PFllYXI+MjAwNzwvWWVhcj48UmVj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PEVuZE5vdGU+PENpdGU+PEF1dGhvcj5Uc2FpPC9BdXRob3I+PFllYXI+MjAwNzwvWWVhcj48UmVj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12</w:t>
              </w:r>
              <w:r w:rsidR="0039468B">
                <w:rPr>
                  <w:rFonts w:eastAsia="MS Mincho"/>
                </w:rPr>
                <w:fldChar w:fldCharType="end"/>
              </w:r>
            </w:hyperlink>
          </w:p>
        </w:tc>
        <w:tc>
          <w:tcPr>
            <w:tcW w:w="4487" w:type="pct"/>
            <w:shd w:val="clear" w:color="auto" w:fill="D9D9D9" w:themeFill="background1" w:themeFillShade="D9"/>
          </w:tcPr>
          <w:p w14:paraId="524BC406" w14:textId="736BC313" w:rsidR="00814ECD" w:rsidRPr="00B90A70" w:rsidRDefault="007B624D" w:rsidP="002916A7">
            <w:pPr>
              <w:pStyle w:val="Tablewriting"/>
              <w:rPr>
                <w:rFonts w:eastAsia="MS Mincho"/>
              </w:rPr>
            </w:pPr>
            <w:r w:rsidRPr="007B624D">
              <w:rPr>
                <w:rFonts w:eastAsia="MS Mincho"/>
              </w:rPr>
              <w:t>Tsai ST, Cho HJ, Cheng HS, Kim CH, Hsueh KC, Billing Jr CB, Williams KE. A randomized, placebo-controlled trial of varenicline, a selective α4β2 nicotinic acetylcholine receptor partial agonist, as a new therapy for smoking cessation in Asian smokers. Clinical therapeutics. 2007 Jun 1;29(6):1027-39.</w:t>
            </w:r>
          </w:p>
        </w:tc>
      </w:tr>
      <w:tr w:rsidR="0039468B" w:rsidRPr="00061F78" w14:paraId="6BBAB16A" w14:textId="77777777" w:rsidTr="00D6694A">
        <w:trPr>
          <w:cantSplit/>
          <w:trHeight w:val="109"/>
        </w:trPr>
        <w:tc>
          <w:tcPr>
            <w:tcW w:w="513" w:type="pct"/>
            <w:shd w:val="clear" w:color="auto" w:fill="D9D9D9" w:themeFill="background1" w:themeFillShade="D9"/>
            <w:tcMar>
              <w:left w:w="28" w:type="dxa"/>
              <w:right w:w="28" w:type="dxa"/>
            </w:tcMar>
          </w:tcPr>
          <w:p w14:paraId="38A44AA1" w14:textId="15C37B57" w:rsidR="00FB14B4" w:rsidRDefault="00FB14B4" w:rsidP="002916A7">
            <w:pPr>
              <w:pStyle w:val="Tablewriting"/>
              <w:rPr>
                <w:rFonts w:eastAsia="MS Mincho"/>
              </w:rPr>
            </w:pPr>
            <w:r>
              <w:rPr>
                <w:rFonts w:eastAsia="MS Mincho"/>
              </w:rPr>
              <w:t xml:space="preserve">Wang </w:t>
            </w:r>
            <w:r w:rsidR="00434D4D">
              <w:rPr>
                <w:rFonts w:eastAsia="MS Mincho"/>
              </w:rPr>
              <w:t>(</w:t>
            </w:r>
            <w:r>
              <w:rPr>
                <w:rFonts w:eastAsia="MS Mincho"/>
              </w:rPr>
              <w:t>2009</w:t>
            </w:r>
            <w:r w:rsidR="00434D4D">
              <w:rPr>
                <w:rFonts w:eastAsia="MS Mincho"/>
              </w:rPr>
              <w:t>)</w:t>
            </w:r>
            <w:hyperlink w:anchor="_ENREF_13" w:tooltip="Wang, 2009 #594" w:history="1">
              <w:r w:rsidR="0039468B">
                <w:rPr>
                  <w:rFonts w:eastAsia="MS Mincho"/>
                </w:rPr>
                <w:fldChar w:fldCharType="begin">
                  <w:fldData xml:space="preserve">PEVuZE5vdGU+PENpdGU+PEF1dGhvcj5XYW5nPC9BdXRob3I+PFllYXI+MjAwOTwvWWVhcj48UmVj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PEVuZE5vdGU+PENpdGU+PEF1dGhvcj5XYW5nPC9BdXRob3I+PFllYXI+MjAwOTwvWWVhcj48UmVj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13</w:t>
              </w:r>
              <w:r w:rsidR="0039468B">
                <w:rPr>
                  <w:rFonts w:eastAsia="MS Mincho"/>
                </w:rPr>
                <w:fldChar w:fldCharType="end"/>
              </w:r>
            </w:hyperlink>
          </w:p>
        </w:tc>
        <w:tc>
          <w:tcPr>
            <w:tcW w:w="4487" w:type="pct"/>
            <w:shd w:val="clear" w:color="auto" w:fill="D9D9D9" w:themeFill="background1" w:themeFillShade="D9"/>
          </w:tcPr>
          <w:p w14:paraId="11CFCB66" w14:textId="470C84AB" w:rsidR="00FB14B4" w:rsidRPr="00B90A70" w:rsidRDefault="008E4F6B" w:rsidP="002916A7">
            <w:pPr>
              <w:pStyle w:val="Tablewriting"/>
              <w:rPr>
                <w:rFonts w:eastAsia="MS Mincho"/>
              </w:rPr>
            </w:pPr>
            <w:r w:rsidRPr="008E4F6B">
              <w:rPr>
                <w:rFonts w:eastAsia="MS Mincho"/>
              </w:rPr>
              <w:t>Wang C, Xiao D, Chan KP, Pothirat C, Garza D, Davies S. Varenicline for smoking cessation: a placebo‐controlled, randomized study. Respirology. 2009 Apr;14(3):384-92.</w:t>
            </w:r>
          </w:p>
        </w:tc>
      </w:tr>
      <w:tr w:rsidR="0039468B" w:rsidRPr="00061F78" w14:paraId="3C55868D" w14:textId="77777777" w:rsidTr="00D6694A">
        <w:trPr>
          <w:cantSplit/>
          <w:trHeight w:val="109"/>
        </w:trPr>
        <w:tc>
          <w:tcPr>
            <w:tcW w:w="513" w:type="pct"/>
            <w:shd w:val="clear" w:color="auto" w:fill="D9D9D9" w:themeFill="background1" w:themeFillShade="D9"/>
            <w:tcMar>
              <w:left w:w="28" w:type="dxa"/>
              <w:right w:w="28" w:type="dxa"/>
            </w:tcMar>
          </w:tcPr>
          <w:p w14:paraId="2EB3DE93" w14:textId="075F6A83" w:rsidR="00A878F1" w:rsidRDefault="00A878F1" w:rsidP="002916A7">
            <w:pPr>
              <w:pStyle w:val="Tablewriting"/>
              <w:rPr>
                <w:rFonts w:eastAsia="MS Mincho"/>
              </w:rPr>
            </w:pPr>
            <w:r>
              <w:rPr>
                <w:rFonts w:eastAsia="MS Mincho"/>
              </w:rPr>
              <w:t xml:space="preserve">Bolliger </w:t>
            </w:r>
            <w:r w:rsidR="00434D4D">
              <w:rPr>
                <w:rFonts w:eastAsia="MS Mincho"/>
              </w:rPr>
              <w:t>(</w:t>
            </w:r>
            <w:r>
              <w:rPr>
                <w:rFonts w:eastAsia="MS Mincho"/>
              </w:rPr>
              <w:t>2011</w:t>
            </w:r>
            <w:r w:rsidR="00434D4D">
              <w:rPr>
                <w:rFonts w:eastAsia="MS Mincho"/>
              </w:rPr>
              <w:t>)</w:t>
            </w:r>
            <w:hyperlink w:anchor="_ENREF_14" w:tooltip="Bolliger, 2011 #595" w:history="1">
              <w:r w:rsidR="0039468B">
                <w:rPr>
                  <w:rFonts w:eastAsia="MS Mincho"/>
                </w:rPr>
                <w:fldChar w:fldCharType="begin">
                  <w:fldData xml:space="preserve">PEVuZE5vdGU+PENpdGU+PEF1dGhvcj5Cb2xsaWdlcjwvQXV0aG9yPjxZZWFyPjIwMTE8L1llYXI+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PEVuZE5vdGU+PENpdGU+PEF1dGhvcj5Cb2xsaWdlcjwvQXV0aG9yPjxZZWFyPjIwMTE8L1llYXI+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14</w:t>
              </w:r>
              <w:r w:rsidR="0039468B">
                <w:rPr>
                  <w:rFonts w:eastAsia="MS Mincho"/>
                </w:rPr>
                <w:fldChar w:fldCharType="end"/>
              </w:r>
            </w:hyperlink>
          </w:p>
        </w:tc>
        <w:tc>
          <w:tcPr>
            <w:tcW w:w="4487" w:type="pct"/>
            <w:shd w:val="clear" w:color="auto" w:fill="D9D9D9" w:themeFill="background1" w:themeFillShade="D9"/>
          </w:tcPr>
          <w:p w14:paraId="456E879E" w14:textId="3741459A" w:rsidR="00A878F1" w:rsidRPr="00B90A70" w:rsidRDefault="00F55322" w:rsidP="002916A7">
            <w:pPr>
              <w:pStyle w:val="Tablewriting"/>
              <w:rPr>
                <w:rFonts w:eastAsia="MS Mincho"/>
              </w:rPr>
            </w:pPr>
            <w:r w:rsidRPr="00F55322">
              <w:rPr>
                <w:rFonts w:eastAsia="MS Mincho"/>
              </w:rPr>
              <w:t>Bolliger CT, Issa JS, Posadas-Valay R, Safwat T, Abreu P, Correia EA, Park PW, Chopra P. Effects of varenicline in adult smokers: a multinational, 24-week, randomized, double-blind, placebo-controlled study. Clinical therapeutics. 2011 Apr 1;33(4):465-77.</w:t>
            </w:r>
          </w:p>
        </w:tc>
      </w:tr>
      <w:tr w:rsidR="0039468B" w:rsidRPr="00061F78" w14:paraId="08A11432" w14:textId="77777777" w:rsidTr="00D6694A">
        <w:trPr>
          <w:cantSplit/>
          <w:trHeight w:val="109"/>
        </w:trPr>
        <w:tc>
          <w:tcPr>
            <w:tcW w:w="513" w:type="pct"/>
            <w:shd w:val="clear" w:color="auto" w:fill="D9D9D9" w:themeFill="background1" w:themeFillShade="D9"/>
            <w:tcMar>
              <w:left w:w="28" w:type="dxa"/>
              <w:right w:w="28" w:type="dxa"/>
            </w:tcMar>
          </w:tcPr>
          <w:p w14:paraId="2E15B984" w14:textId="7285D604" w:rsidR="00A878F1" w:rsidRDefault="00A878F1" w:rsidP="002916A7">
            <w:pPr>
              <w:pStyle w:val="Tablewriting"/>
              <w:rPr>
                <w:rFonts w:eastAsia="MS Mincho"/>
              </w:rPr>
            </w:pPr>
            <w:r>
              <w:rPr>
                <w:rFonts w:eastAsia="MS Mincho"/>
              </w:rPr>
              <w:t xml:space="preserve">Rigotti </w:t>
            </w:r>
            <w:r w:rsidR="00434D4D">
              <w:rPr>
                <w:rFonts w:eastAsia="MS Mincho"/>
              </w:rPr>
              <w:t>(</w:t>
            </w:r>
            <w:r>
              <w:rPr>
                <w:rFonts w:eastAsia="MS Mincho"/>
              </w:rPr>
              <w:t>201</w:t>
            </w:r>
            <w:r w:rsidR="006E4423">
              <w:rPr>
                <w:rFonts w:eastAsia="MS Mincho"/>
              </w:rPr>
              <w:t>0</w:t>
            </w:r>
            <w:r w:rsidR="00434D4D">
              <w:rPr>
                <w:rFonts w:eastAsia="MS Mincho"/>
              </w:rPr>
              <w:t>)</w:t>
            </w:r>
            <w:hyperlink w:anchor="_ENREF_15" w:tooltip="Rigotti, 2010 #597" w:history="1">
              <w:r w:rsidR="0039468B">
                <w:rPr>
                  <w:rFonts w:eastAsia="MS Mincho"/>
                </w:rPr>
                <w:fldChar w:fldCharType="begin">
                  <w:fldData xml:space="preserve">PEVuZE5vdGU+PENpdGU+PEF1dGhvcj5SaWdvdHRpPC9BdXRob3I+PFllYXI+MjAxMDwvWWVhcj48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PEVuZE5vdGU+PENpdGU+PEF1dGhvcj5SaWdvdHRpPC9BdXRob3I+PFllYXI+MjAxMDwvWWVhcj48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15</w:t>
              </w:r>
              <w:r w:rsidR="0039468B">
                <w:rPr>
                  <w:rFonts w:eastAsia="MS Mincho"/>
                </w:rPr>
                <w:fldChar w:fldCharType="end"/>
              </w:r>
            </w:hyperlink>
          </w:p>
        </w:tc>
        <w:tc>
          <w:tcPr>
            <w:tcW w:w="4487" w:type="pct"/>
            <w:shd w:val="clear" w:color="auto" w:fill="D9D9D9" w:themeFill="background1" w:themeFillShade="D9"/>
          </w:tcPr>
          <w:p w14:paraId="127AB5E7" w14:textId="0DCBA37D" w:rsidR="00A878F1" w:rsidRPr="00B90A70" w:rsidRDefault="006E4423" w:rsidP="002916A7">
            <w:pPr>
              <w:pStyle w:val="Tablewriting"/>
              <w:rPr>
                <w:rFonts w:eastAsia="MS Mincho"/>
              </w:rPr>
            </w:pPr>
            <w:r w:rsidRPr="006E4423">
              <w:rPr>
                <w:rFonts w:eastAsia="MS Mincho"/>
              </w:rPr>
              <w:t>Rigotti NA, Pipe AL, Benowitz NL, Arteaga C, Garza D, Tonstad S. Efficacy and safety of varenicline for smoking cessation in patients with cardiovascular disease: a randomized trial. Circulation. 2010 Jan 19;121(2):221-9.</w:t>
            </w:r>
          </w:p>
        </w:tc>
      </w:tr>
      <w:tr w:rsidR="0039468B" w:rsidRPr="00061F78" w14:paraId="7890F5E5" w14:textId="77777777" w:rsidTr="00D6694A">
        <w:trPr>
          <w:cantSplit/>
          <w:trHeight w:val="109"/>
        </w:trPr>
        <w:tc>
          <w:tcPr>
            <w:tcW w:w="513" w:type="pct"/>
            <w:shd w:val="clear" w:color="auto" w:fill="D9D9D9" w:themeFill="background1" w:themeFillShade="D9"/>
            <w:tcMar>
              <w:left w:w="28" w:type="dxa"/>
              <w:right w:w="28" w:type="dxa"/>
            </w:tcMar>
          </w:tcPr>
          <w:p w14:paraId="75B46307" w14:textId="13703AA9" w:rsidR="00A878F1" w:rsidRDefault="00A878F1" w:rsidP="002916A7">
            <w:pPr>
              <w:pStyle w:val="Tablewriting"/>
              <w:rPr>
                <w:rFonts w:eastAsia="MS Mincho"/>
              </w:rPr>
            </w:pPr>
            <w:r>
              <w:rPr>
                <w:rFonts w:eastAsia="MS Mincho"/>
              </w:rPr>
              <w:t xml:space="preserve">Tashkin </w:t>
            </w:r>
            <w:r w:rsidR="00434D4D">
              <w:rPr>
                <w:rFonts w:eastAsia="MS Mincho"/>
              </w:rPr>
              <w:t>(</w:t>
            </w:r>
            <w:r>
              <w:rPr>
                <w:rFonts w:eastAsia="MS Mincho"/>
              </w:rPr>
              <w:t>2011</w:t>
            </w:r>
            <w:r w:rsidR="00434D4D">
              <w:rPr>
                <w:rFonts w:eastAsia="MS Mincho"/>
              </w:rPr>
              <w:t>)</w:t>
            </w:r>
            <w:hyperlink w:anchor="_ENREF_16" w:tooltip="Tashkin, 2011 #598" w:history="1">
              <w:r w:rsidR="0039468B">
                <w:rPr>
                  <w:rFonts w:eastAsia="MS Mincho"/>
                </w:rPr>
                <w:fldChar w:fldCharType="begin">
                  <w:fldData xml:space="preserve">PEVuZE5vdGU+PENpdGU+PEF1dGhvcj5UYXNoa2luPC9BdXRob3I+PFllYXI+MjAxMTwvWWVhcj48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PEVuZE5vdGU+PENpdGU+PEF1dGhvcj5UYXNoa2luPC9BdXRob3I+PFllYXI+MjAxMTwvWWVhcj48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16</w:t>
              </w:r>
              <w:r w:rsidR="0039468B">
                <w:rPr>
                  <w:rFonts w:eastAsia="MS Mincho"/>
                </w:rPr>
                <w:fldChar w:fldCharType="end"/>
              </w:r>
            </w:hyperlink>
          </w:p>
        </w:tc>
        <w:tc>
          <w:tcPr>
            <w:tcW w:w="4487" w:type="pct"/>
            <w:shd w:val="clear" w:color="auto" w:fill="D9D9D9" w:themeFill="background1" w:themeFillShade="D9"/>
          </w:tcPr>
          <w:p w14:paraId="2447FBBB" w14:textId="209AFDE6" w:rsidR="00A878F1" w:rsidRPr="00B90A70" w:rsidRDefault="00602D80" w:rsidP="002916A7">
            <w:pPr>
              <w:pStyle w:val="Tablewriting"/>
              <w:rPr>
                <w:rFonts w:eastAsia="MS Mincho"/>
              </w:rPr>
            </w:pPr>
            <w:r w:rsidRPr="00602D80">
              <w:rPr>
                <w:rFonts w:eastAsia="MS Mincho"/>
              </w:rPr>
              <w:t>Tashkin DP, Rennard S, Hays JT, Ma W, Lawrence D, Lee TC. Effects of varenicline on smoking cessation in patients with mild to moderate COPD: a randomized controlled trial. Chest. 2011 Mar 1;139(3):591-9.</w:t>
            </w:r>
          </w:p>
        </w:tc>
      </w:tr>
      <w:tr w:rsidR="0039468B" w:rsidRPr="00061F78" w14:paraId="0CA59222" w14:textId="77777777" w:rsidTr="00D6694A">
        <w:trPr>
          <w:cantSplit/>
          <w:trHeight w:val="109"/>
        </w:trPr>
        <w:tc>
          <w:tcPr>
            <w:tcW w:w="513" w:type="pct"/>
            <w:shd w:val="clear" w:color="auto" w:fill="D9D9D9" w:themeFill="background1" w:themeFillShade="D9"/>
            <w:tcMar>
              <w:left w:w="28" w:type="dxa"/>
              <w:right w:w="28" w:type="dxa"/>
            </w:tcMar>
          </w:tcPr>
          <w:p w14:paraId="26ADDBB7" w14:textId="53872BC0" w:rsidR="00A878F1" w:rsidRDefault="00A878F1" w:rsidP="002916A7">
            <w:pPr>
              <w:pStyle w:val="Tablewriting"/>
              <w:rPr>
                <w:rFonts w:eastAsia="MS Mincho"/>
              </w:rPr>
            </w:pPr>
            <w:r>
              <w:rPr>
                <w:rFonts w:eastAsia="MS Mincho"/>
              </w:rPr>
              <w:lastRenderedPageBreak/>
              <w:t xml:space="preserve">Rennard </w:t>
            </w:r>
            <w:r w:rsidR="00434D4D">
              <w:rPr>
                <w:rFonts w:eastAsia="MS Mincho"/>
              </w:rPr>
              <w:t>(</w:t>
            </w:r>
            <w:r>
              <w:rPr>
                <w:rFonts w:eastAsia="MS Mincho"/>
              </w:rPr>
              <w:t>2012</w:t>
            </w:r>
            <w:r w:rsidR="00434D4D">
              <w:rPr>
                <w:rFonts w:eastAsia="MS Mincho"/>
              </w:rPr>
              <w:t>)</w:t>
            </w:r>
            <w:hyperlink w:anchor="_ENREF_17" w:tooltip="Rennard, 2012 #599" w:history="1">
              <w:r w:rsidR="0039468B">
                <w:rPr>
                  <w:rFonts w:eastAsia="MS Mincho"/>
                </w:rPr>
                <w:fldChar w:fldCharType="begin">
                  <w:fldData xml:space="preserve">PEVuZE5vdGU+PENpdGU+PEF1dGhvcj5SZW5uYXJkPC9BdXRob3I+PFllYXI+MjAxMjwvWWVhcj48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PEVuZE5vdGU+PENpdGU+PEF1dGhvcj5SZW5uYXJkPC9BdXRob3I+PFllYXI+MjAxMjwvWWVhcj48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17</w:t>
              </w:r>
              <w:r w:rsidR="0039468B">
                <w:rPr>
                  <w:rFonts w:eastAsia="MS Mincho"/>
                </w:rPr>
                <w:fldChar w:fldCharType="end"/>
              </w:r>
            </w:hyperlink>
          </w:p>
        </w:tc>
        <w:tc>
          <w:tcPr>
            <w:tcW w:w="4487" w:type="pct"/>
            <w:shd w:val="clear" w:color="auto" w:fill="D9D9D9" w:themeFill="background1" w:themeFillShade="D9"/>
          </w:tcPr>
          <w:p w14:paraId="76D2B639" w14:textId="6D809E73" w:rsidR="00A878F1" w:rsidRPr="00B90A70" w:rsidRDefault="00E82DC1" w:rsidP="002916A7">
            <w:pPr>
              <w:pStyle w:val="Tablewriting"/>
              <w:rPr>
                <w:rFonts w:eastAsia="MS Mincho"/>
              </w:rPr>
            </w:pPr>
            <w:r w:rsidRPr="00E82DC1">
              <w:rPr>
                <w:rFonts w:eastAsia="MS Mincho"/>
              </w:rPr>
              <w:t>Rennard S, Hughes J, Cinciripini PM, Kralikova E, Raupach T, Arteaga C, St Aubin LB, Russ C. A randomized placebo-controlled trial of varenicline for smoking cessation allowing flexible quit dates. Nicotine &amp; tobacco research. 2012 Mar 1;14(3):343-50.</w:t>
            </w:r>
          </w:p>
        </w:tc>
      </w:tr>
      <w:tr w:rsidR="0039468B" w:rsidRPr="00061F78" w14:paraId="13D17BFA" w14:textId="77777777" w:rsidTr="00D6694A">
        <w:trPr>
          <w:cantSplit/>
          <w:trHeight w:val="109"/>
        </w:trPr>
        <w:tc>
          <w:tcPr>
            <w:tcW w:w="513" w:type="pct"/>
            <w:shd w:val="clear" w:color="auto" w:fill="D9D9D9" w:themeFill="background1" w:themeFillShade="D9"/>
            <w:tcMar>
              <w:left w:w="28" w:type="dxa"/>
              <w:right w:w="28" w:type="dxa"/>
            </w:tcMar>
          </w:tcPr>
          <w:p w14:paraId="6801D139" w14:textId="03A65419" w:rsidR="00E24CCD" w:rsidRDefault="00E24CCD" w:rsidP="002916A7">
            <w:pPr>
              <w:pStyle w:val="Tablewriting"/>
              <w:rPr>
                <w:rFonts w:eastAsia="MS Mincho"/>
              </w:rPr>
            </w:pPr>
            <w:r>
              <w:rPr>
                <w:rFonts w:eastAsia="MS Mincho"/>
              </w:rPr>
              <w:t>Anthenelli</w:t>
            </w:r>
            <w:r w:rsidR="006D0A10">
              <w:rPr>
                <w:rFonts w:eastAsia="MS Mincho"/>
              </w:rPr>
              <w:t xml:space="preserve"> (</w:t>
            </w:r>
            <w:r w:rsidR="00CD08E1">
              <w:rPr>
                <w:rFonts w:eastAsia="MS Mincho"/>
              </w:rPr>
              <w:t xml:space="preserve">EAGLES, </w:t>
            </w:r>
            <w:r w:rsidR="006D0A10">
              <w:rPr>
                <w:rFonts w:eastAsia="MS Mincho"/>
              </w:rPr>
              <w:t>2016)</w:t>
            </w:r>
            <w:hyperlink w:anchor="_ENREF_18" w:tooltip="Anthenelli, 2016 #601" w:history="1">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18</w:t>
              </w:r>
              <w:r w:rsidR="0039468B">
                <w:rPr>
                  <w:rFonts w:eastAsia="MS Mincho"/>
                </w:rPr>
                <w:fldChar w:fldCharType="end"/>
              </w:r>
            </w:hyperlink>
          </w:p>
        </w:tc>
        <w:tc>
          <w:tcPr>
            <w:tcW w:w="4487" w:type="pct"/>
            <w:shd w:val="clear" w:color="auto" w:fill="D9D9D9" w:themeFill="background1" w:themeFillShade="D9"/>
          </w:tcPr>
          <w:p w14:paraId="28C47537" w14:textId="7489819E" w:rsidR="00E24CCD" w:rsidRPr="003B6CC8" w:rsidRDefault="00B90A70" w:rsidP="002916A7">
            <w:pPr>
              <w:pStyle w:val="Tablewriting"/>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9468B" w:rsidRPr="00061F78" w14:paraId="5CF692AB" w14:textId="77777777" w:rsidTr="00D6694A">
        <w:trPr>
          <w:cantSplit/>
          <w:trHeight w:val="164"/>
        </w:trPr>
        <w:tc>
          <w:tcPr>
            <w:tcW w:w="513" w:type="pct"/>
            <w:tcMar>
              <w:left w:w="28" w:type="dxa"/>
              <w:right w:w="28" w:type="dxa"/>
            </w:tcMar>
          </w:tcPr>
          <w:p w14:paraId="58B3DE40" w14:textId="1EF4F36A" w:rsidR="00D77C02" w:rsidRPr="00D07303" w:rsidRDefault="00434D4D" w:rsidP="002916A7">
            <w:pPr>
              <w:pStyle w:val="Tablewriting"/>
              <w:rPr>
                <w:rFonts w:eastAsia="MS Mincho"/>
                <w:vertAlign w:val="superscript"/>
              </w:rPr>
            </w:pPr>
            <w:r>
              <w:rPr>
                <w:rFonts w:eastAsia="MS Mincho"/>
              </w:rPr>
              <w:t>Cahill (2016)</w:t>
            </w:r>
            <w:hyperlink w:anchor="_ENREF_19" w:tooltip="Cahill, 2016 #20" w:history="1">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 </w:instrText>
              </w:r>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EN.CITE.DATA </w:instrText>
              </w:r>
              <w:r w:rsidR="0039468B">
                <w:rPr>
                  <w:rFonts w:eastAsia="MS Mincho"/>
                  <w:vertAlign w:val="superscript"/>
                </w:rPr>
              </w:r>
              <w:r w:rsidR="0039468B">
                <w:rPr>
                  <w:rFonts w:eastAsia="MS Mincho"/>
                  <w:vertAlign w:val="superscript"/>
                </w:rPr>
                <w:fldChar w:fldCharType="end"/>
              </w:r>
              <w:r w:rsidR="0039468B">
                <w:rPr>
                  <w:rFonts w:eastAsia="MS Mincho"/>
                  <w:vertAlign w:val="superscript"/>
                </w:rPr>
              </w:r>
              <w:r w:rsidR="0039468B">
                <w:rPr>
                  <w:rFonts w:eastAsia="MS Mincho"/>
                  <w:vertAlign w:val="superscript"/>
                </w:rPr>
                <w:fldChar w:fldCharType="separate"/>
              </w:r>
              <w:r w:rsidR="0039468B">
                <w:rPr>
                  <w:rFonts w:eastAsia="MS Mincho"/>
                  <w:noProof/>
                  <w:vertAlign w:val="superscript"/>
                </w:rPr>
                <w:t>19</w:t>
              </w:r>
              <w:r w:rsidR="0039468B">
                <w:rPr>
                  <w:rFonts w:eastAsia="MS Mincho"/>
                  <w:vertAlign w:val="superscript"/>
                </w:rPr>
                <w:fldChar w:fldCharType="end"/>
              </w:r>
            </w:hyperlink>
          </w:p>
        </w:tc>
        <w:tc>
          <w:tcPr>
            <w:tcW w:w="4487" w:type="pct"/>
          </w:tcPr>
          <w:p w14:paraId="076230CB" w14:textId="48AC042B" w:rsidR="00D77C02" w:rsidRDefault="004C4EA7" w:rsidP="002916A7">
            <w:pPr>
              <w:pStyle w:val="Tablewriting"/>
              <w:rPr>
                <w:rFonts w:eastAsia="MS Mincho"/>
              </w:rPr>
            </w:pPr>
            <w:r w:rsidRPr="00C01E20">
              <w:rPr>
                <w:rFonts w:eastAsia="MS Mincho"/>
              </w:rPr>
              <w:t>Cahill K</w:t>
            </w:r>
            <w:r w:rsidR="00C01E20" w:rsidRPr="00C01E20">
              <w:rPr>
                <w:rFonts w:eastAsia="MS Mincho"/>
              </w:rPr>
              <w:t>, Lindson‐</w:t>
            </w:r>
            <w:r w:rsidRPr="00C01E20">
              <w:rPr>
                <w:rFonts w:eastAsia="MS Mincho"/>
              </w:rPr>
              <w:t>Hawley N</w:t>
            </w:r>
            <w:r w:rsidR="00C01E20" w:rsidRPr="00C01E20">
              <w:rPr>
                <w:rFonts w:eastAsia="MS Mincho"/>
              </w:rPr>
              <w:t xml:space="preserve">, </w:t>
            </w:r>
            <w:r w:rsidRPr="00C01E20">
              <w:rPr>
                <w:rFonts w:eastAsia="MS Mincho"/>
              </w:rPr>
              <w:t>Thomas KH</w:t>
            </w:r>
            <w:r w:rsidR="00C01E20" w:rsidRPr="00C01E20">
              <w:rPr>
                <w:rFonts w:eastAsia="MS Mincho"/>
              </w:rPr>
              <w:t xml:space="preserve">, </w:t>
            </w:r>
            <w:r w:rsidRPr="00C01E20">
              <w:rPr>
                <w:rFonts w:eastAsia="MS Mincho"/>
              </w:rPr>
              <w:t>Fanshawe TR</w:t>
            </w:r>
            <w:r w:rsidR="00C01E20" w:rsidRPr="00C01E20">
              <w:rPr>
                <w:rFonts w:eastAsia="MS Mincho"/>
              </w:rPr>
              <w:t xml:space="preserve">, </w:t>
            </w:r>
            <w:r w:rsidRPr="00C01E20">
              <w:rPr>
                <w:rFonts w:eastAsia="MS Mincho"/>
              </w:rPr>
              <w:t>Lancaster T.</w:t>
            </w:r>
            <w:r w:rsidR="00C01E20" w:rsidRPr="00C01E20">
              <w:rPr>
                <w:rFonts w:eastAsia="MS Mincho"/>
              </w:rPr>
              <w:t xml:space="preserve"> Nicotine receptor partial agonists for smoking cessation. Cochrane Database of Systematic Reviews 2016, Issue 5. Art. No.: CD006103.</w:t>
            </w:r>
          </w:p>
        </w:tc>
      </w:tr>
      <w:tr w:rsidR="0039468B" w:rsidRPr="00061F78" w14:paraId="4A05CE88" w14:textId="77777777" w:rsidTr="00D6694A">
        <w:trPr>
          <w:cantSplit/>
          <w:trHeight w:val="164"/>
        </w:trPr>
        <w:tc>
          <w:tcPr>
            <w:tcW w:w="513" w:type="pct"/>
            <w:tcMar>
              <w:left w:w="28" w:type="dxa"/>
              <w:right w:w="28" w:type="dxa"/>
            </w:tcMar>
          </w:tcPr>
          <w:p w14:paraId="13A4F19A" w14:textId="362AE30E" w:rsidR="001F052D" w:rsidRDefault="001F052D" w:rsidP="002916A7">
            <w:pPr>
              <w:pStyle w:val="Tablewriting"/>
              <w:rPr>
                <w:rFonts w:eastAsia="MS Mincho"/>
              </w:rPr>
            </w:pPr>
            <w:r>
              <w:rPr>
                <w:rFonts w:eastAsia="MS Mincho"/>
              </w:rPr>
              <w:t>Lerman (2015)</w:t>
            </w:r>
            <w:hyperlink w:anchor="_ENREF_20" w:tooltip="Lerman, 2015 #74" w:history="1">
              <w:r w:rsidR="0039468B">
                <w:rPr>
                  <w:rFonts w:eastAsia="MS Mincho"/>
                </w:rPr>
                <w:fldChar w:fldCharType="begin">
                  <w:fldData xml:space="preserve">PEVuZE5vdGU+PENpdGU+PEF1dGhvcj5MZXJtYW48L0F1dGhvcj48WWVhcj4yMDE1PC9ZZWFyPjxS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PEVuZE5vdGU+PENpdGU+PEF1dGhvcj5MZXJtYW48L0F1dGhvcj48WWVhcj4yMDE1PC9ZZWFyPjxS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20</w:t>
              </w:r>
              <w:r w:rsidR="0039468B">
                <w:rPr>
                  <w:rFonts w:eastAsia="MS Mincho"/>
                </w:rPr>
                <w:fldChar w:fldCharType="end"/>
              </w:r>
            </w:hyperlink>
          </w:p>
        </w:tc>
        <w:tc>
          <w:tcPr>
            <w:tcW w:w="4487" w:type="pct"/>
          </w:tcPr>
          <w:p w14:paraId="39D56162" w14:textId="467016C2" w:rsidR="001F052D" w:rsidRPr="00C01E20" w:rsidRDefault="00AB23F3" w:rsidP="002916A7">
            <w:pPr>
              <w:pStyle w:val="Tablewriting"/>
              <w:rPr>
                <w:rFonts w:eastAsia="MS Mincho"/>
              </w:rPr>
            </w:pPr>
            <w:r w:rsidRPr="00AB23F3">
              <w:rPr>
                <w:rFonts w:eastAsia="MS Mincho"/>
              </w:rPr>
              <w:t xml:space="preserve">Lerman C, Schnoll RA, Hawk LW Jr, Cinciripini P, George TP, Wileyto EP, Swan GE, Benowitz NL, Heitjan DF, Tyndale RF; PGRN-PNAT Research Group. Use of the nicotine metabolite ratio as a genetically informed biomarker of response to nicotine patch or varenicline for smoking cessation: a randomised, double-blind placebo-controlled trial. Lancet Respir Med. 2015 Feb;3(2):131-138. </w:t>
            </w:r>
          </w:p>
        </w:tc>
      </w:tr>
      <w:tr w:rsidR="0039468B" w:rsidRPr="00061F78" w14:paraId="749C2069" w14:textId="77777777" w:rsidTr="00D6694A">
        <w:trPr>
          <w:cantSplit/>
          <w:trHeight w:val="164"/>
        </w:trPr>
        <w:tc>
          <w:tcPr>
            <w:tcW w:w="513" w:type="pct"/>
            <w:tcMar>
              <w:left w:w="28" w:type="dxa"/>
              <w:right w:w="28" w:type="dxa"/>
            </w:tcMar>
          </w:tcPr>
          <w:p w14:paraId="3023C113" w14:textId="265556BF" w:rsidR="00FB68FB" w:rsidRDefault="00FB68FB" w:rsidP="002916A7">
            <w:pPr>
              <w:pStyle w:val="Tablewriting"/>
              <w:rPr>
                <w:rFonts w:eastAsia="MS Mincho"/>
              </w:rPr>
            </w:pPr>
            <w:r>
              <w:rPr>
                <w:rFonts w:eastAsia="MS Mincho"/>
              </w:rPr>
              <w:t>Littlewood (2017)</w:t>
            </w:r>
            <w:hyperlink w:anchor="_ENREF_21" w:tooltip="Littlewood, 2017 #60" w:history="1">
              <w:r w:rsidR="0039468B">
                <w:rPr>
                  <w:rFonts w:eastAsia="MS Mincho"/>
                </w:rPr>
                <w:fldChar w:fldCharType="begin">
                  <w:fldData xml:space="preserve">PEVuZE5vdGU+PENpdGU+PEF1dGhvcj5MaXR0bGV3b29kPC9BdXRob3I+PFllYXI+MjAxNzwvWWVh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==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PEVuZE5vdGU+PENpdGU+PEF1dGhvcj5MaXR0bGV3b29kPC9BdXRob3I+PFllYXI+MjAxNzwvWWVh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==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21</w:t>
              </w:r>
              <w:r w:rsidR="0039468B">
                <w:rPr>
                  <w:rFonts w:eastAsia="MS Mincho"/>
                </w:rPr>
                <w:fldChar w:fldCharType="end"/>
              </w:r>
            </w:hyperlink>
          </w:p>
        </w:tc>
        <w:tc>
          <w:tcPr>
            <w:tcW w:w="4487" w:type="pct"/>
          </w:tcPr>
          <w:p w14:paraId="66B2CE2A" w14:textId="0A725AEC" w:rsidR="00FB68FB" w:rsidRPr="00AB23F3" w:rsidRDefault="003A15DD" w:rsidP="002916A7">
            <w:pPr>
              <w:pStyle w:val="Tablewriting"/>
              <w:rPr>
                <w:rFonts w:eastAsia="MS Mincho"/>
              </w:rPr>
            </w:pPr>
            <w:r w:rsidRPr="003A15DD">
              <w:rPr>
                <w:rFonts w:eastAsia="MS Mincho"/>
              </w:rPr>
              <w:t>Littlewood RA, Claus ED, Wilcox CE, Mickey J, Arenella PB, Bryan AD, Hutchison KE. Moderators of smoking cessation outcomes in a randomized-controlled trial of varenicline versus placebo. Psychopharmacology (Berl). 2017 Dec;234(23-24):3417-3429.</w:t>
            </w:r>
          </w:p>
        </w:tc>
      </w:tr>
      <w:tr w:rsidR="0039468B" w:rsidRPr="00061F78" w14:paraId="0A616534" w14:textId="77777777" w:rsidTr="00D6694A">
        <w:trPr>
          <w:cantSplit/>
          <w:trHeight w:val="164"/>
        </w:trPr>
        <w:tc>
          <w:tcPr>
            <w:tcW w:w="513" w:type="pct"/>
            <w:tcMar>
              <w:left w:w="28" w:type="dxa"/>
              <w:right w:w="28" w:type="dxa"/>
            </w:tcMar>
          </w:tcPr>
          <w:p w14:paraId="317AFFEC" w14:textId="32ED9BE1" w:rsidR="00397236" w:rsidRDefault="00397236" w:rsidP="002916A7">
            <w:pPr>
              <w:pStyle w:val="Tablewriting"/>
              <w:rPr>
                <w:rFonts w:eastAsia="MS Mincho"/>
              </w:rPr>
            </w:pPr>
            <w:r>
              <w:rPr>
                <w:rFonts w:eastAsia="MS Mincho"/>
              </w:rPr>
              <w:t>Benowitz (2018)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487" w:type="pct"/>
          </w:tcPr>
          <w:p w14:paraId="56B8CB70" w14:textId="71B5A716" w:rsidR="00397236" w:rsidRPr="003A15DD" w:rsidRDefault="00C4557B" w:rsidP="002916A7">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r w:rsidR="0039468B" w:rsidRPr="00061F78" w14:paraId="3F61ED04" w14:textId="77777777" w:rsidTr="00D6694A">
        <w:trPr>
          <w:cantSplit/>
          <w:trHeight w:val="164"/>
        </w:trPr>
        <w:tc>
          <w:tcPr>
            <w:tcW w:w="513" w:type="pct"/>
            <w:tcMar>
              <w:left w:w="28" w:type="dxa"/>
              <w:right w:w="28" w:type="dxa"/>
            </w:tcMar>
          </w:tcPr>
          <w:p w14:paraId="0AA739B6" w14:textId="6081CCF2" w:rsidR="001F052D" w:rsidRDefault="001F052D" w:rsidP="002916A7">
            <w:pPr>
              <w:pStyle w:val="Tablewriting"/>
              <w:rPr>
                <w:rFonts w:eastAsia="MS Mincho"/>
              </w:rPr>
            </w:pPr>
            <w:r>
              <w:rPr>
                <w:rFonts w:eastAsia="MS Mincho"/>
              </w:rPr>
              <w:t>Hurt (2018)</w:t>
            </w:r>
            <w:hyperlink w:anchor="_ENREF_22" w:tooltip="Hurt, 2018 #51" w:history="1">
              <w:r w:rsidR="0039468B">
                <w:rPr>
                  <w:rFonts w:eastAsia="MS Mincho"/>
                </w:rPr>
                <w:fldChar w:fldCharType="begin">
                  <w:fldData xml:space="preserve">PEVuZE5vdGU+PENpdGU+PEF1dGhvcj5IdXJ0PC9BdXRob3I+PFllYXI+MjAxODwvWWVhcj48UmVj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==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PEVuZE5vdGU+PENpdGU+PEF1dGhvcj5IdXJ0PC9BdXRob3I+PFllYXI+MjAxODwvWWVhcj48UmVj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==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22</w:t>
              </w:r>
              <w:r w:rsidR="0039468B">
                <w:rPr>
                  <w:rFonts w:eastAsia="MS Mincho"/>
                </w:rPr>
                <w:fldChar w:fldCharType="end"/>
              </w:r>
            </w:hyperlink>
          </w:p>
        </w:tc>
        <w:tc>
          <w:tcPr>
            <w:tcW w:w="4487" w:type="pct"/>
          </w:tcPr>
          <w:p w14:paraId="4C5DA3CE" w14:textId="5E86AF57" w:rsidR="001F052D" w:rsidRPr="00C01E20" w:rsidRDefault="00EA67B6" w:rsidP="002916A7">
            <w:pPr>
              <w:pStyle w:val="Tablewriting"/>
              <w:rPr>
                <w:rFonts w:eastAsia="MS Mincho"/>
              </w:rPr>
            </w:pPr>
            <w:r w:rsidRPr="00EA67B6">
              <w:rPr>
                <w:rFonts w:eastAsia="MS Mincho"/>
              </w:rPr>
              <w:t xml:space="preserve">Hurt RT, Ebbert JO, Croghan IT, Schroeder DR, Hurt RD, Hays JT. Varenicline for tobacco-dependence treatment in alcohol-dependent smokers: A randomized controlled trial. Drug Alcohol Depend. 2018 Mar </w:t>
            </w:r>
            <w:r w:rsidR="004C4EA7" w:rsidRPr="00EA67B6">
              <w:rPr>
                <w:rFonts w:eastAsia="MS Mincho"/>
              </w:rPr>
              <w:t>1; 184:12</w:t>
            </w:r>
            <w:r w:rsidRPr="00EA67B6">
              <w:rPr>
                <w:rFonts w:eastAsia="MS Mincho"/>
              </w:rPr>
              <w:t>-17</w:t>
            </w:r>
          </w:p>
        </w:tc>
      </w:tr>
      <w:tr w:rsidR="0039468B" w:rsidRPr="00061F78" w14:paraId="69773166" w14:textId="77777777" w:rsidTr="00D6694A">
        <w:trPr>
          <w:cantSplit/>
          <w:trHeight w:val="164"/>
        </w:trPr>
        <w:tc>
          <w:tcPr>
            <w:tcW w:w="513" w:type="pct"/>
            <w:tcMar>
              <w:left w:w="28" w:type="dxa"/>
              <w:right w:w="28" w:type="dxa"/>
            </w:tcMar>
          </w:tcPr>
          <w:p w14:paraId="7625F52B" w14:textId="6EA04151" w:rsidR="00397236" w:rsidRDefault="00397236" w:rsidP="002916A7">
            <w:pPr>
              <w:pStyle w:val="Tablewriting"/>
              <w:rPr>
                <w:rFonts w:eastAsia="MS Mincho"/>
              </w:rPr>
            </w:pPr>
            <w:r>
              <w:rPr>
                <w:rFonts w:eastAsia="MS Mincho"/>
              </w:rPr>
              <w:t>Mercie (2018)</w:t>
            </w:r>
            <w:hyperlink w:anchor="_ENREF_23" w:tooltip="Mercie, 2018 #654" w:history="1">
              <w:r w:rsidR="0039468B">
                <w:rPr>
                  <w:rFonts w:eastAsia="MS Mincho"/>
                </w:rPr>
                <w:fldChar w:fldCharType="begin">
                  <w:fldData xml:space="preserve">PEVuZE5vdGU+PENpdGU+PEF1dGhvcj5NZXJjaWU8L0F1dGhvcj48WWVhcj4yMDE4PC9ZZWFyPjxS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PEVuZE5vdGU+PENpdGU+PEF1dGhvcj5NZXJjaWU8L0F1dGhvcj48WWVhcj4yMDE4PC9ZZWFyPjxS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1E01A4">
                <w:rPr>
                  <w:rFonts w:eastAsia="MS Mincho"/>
                  <w:noProof/>
                  <w:vertAlign w:val="superscript"/>
                </w:rPr>
                <w:t>23</w:t>
              </w:r>
              <w:r w:rsidR="0039468B">
                <w:rPr>
                  <w:rFonts w:eastAsia="MS Mincho"/>
                </w:rPr>
                <w:fldChar w:fldCharType="end"/>
              </w:r>
            </w:hyperlink>
          </w:p>
        </w:tc>
        <w:tc>
          <w:tcPr>
            <w:tcW w:w="4487" w:type="pct"/>
          </w:tcPr>
          <w:p w14:paraId="293B77FF" w14:textId="3E93457D" w:rsidR="00397236" w:rsidRPr="00EA67B6" w:rsidRDefault="00EA561D" w:rsidP="002916A7">
            <w:pPr>
              <w:pStyle w:val="Tablewriting"/>
              <w:rPr>
                <w:rFonts w:eastAsia="MS Mincho"/>
              </w:rPr>
            </w:pPr>
            <w:r w:rsidRPr="00EA561D">
              <w:rPr>
                <w:rFonts w:eastAsia="MS Mincho"/>
              </w:rPr>
              <w:t>Mercié P, Arsandaux J, Katlama C, Ferret S, Beuscart A, Spadone C, Duvivier C, Reynes J, Wirth N, Moinot L, Bénard A, Zucman D, Duval X, Molina JM, Spire B, Fagard C, Chêne G; ANRS 144 Inter-ACTIV study group. Efficacy and safety of varenicline for smoking cessation in people living with HIV in France (ANRS 144 Inter-ACTIV): a randomised controlled phase 3 clinical trial. Lancet HIV. 2018 Mar;5(3</w:t>
            </w:r>
            <w:r w:rsidR="004C4EA7" w:rsidRPr="00EA561D">
              <w:rPr>
                <w:rFonts w:eastAsia="MS Mincho"/>
              </w:rPr>
              <w:t>): e</w:t>
            </w:r>
            <w:r w:rsidRPr="00EA561D">
              <w:rPr>
                <w:rFonts w:eastAsia="MS Mincho"/>
              </w:rPr>
              <w:t>126-e135.</w:t>
            </w:r>
          </w:p>
        </w:tc>
      </w:tr>
      <w:tr w:rsidR="0039468B" w:rsidRPr="00061F78" w14:paraId="51B4BDD6" w14:textId="77777777" w:rsidTr="00D6694A">
        <w:trPr>
          <w:cantSplit/>
          <w:trHeight w:val="164"/>
        </w:trPr>
        <w:tc>
          <w:tcPr>
            <w:tcW w:w="513" w:type="pct"/>
            <w:tcMar>
              <w:left w:w="28" w:type="dxa"/>
              <w:right w:w="28" w:type="dxa"/>
            </w:tcMar>
          </w:tcPr>
          <w:p w14:paraId="2ACE8613" w14:textId="14F6C5BA" w:rsidR="001F052D" w:rsidRDefault="00122F46" w:rsidP="002916A7">
            <w:pPr>
              <w:pStyle w:val="Tablewriting"/>
              <w:rPr>
                <w:rFonts w:eastAsia="MS Mincho"/>
              </w:rPr>
            </w:pPr>
            <w:r>
              <w:rPr>
                <w:rFonts w:eastAsia="MS Mincho"/>
              </w:rPr>
              <w:t>Windle (2018)</w:t>
            </w:r>
            <w:hyperlink w:anchor="_ENREF_24" w:tooltip="Windle, 2018 #46" w:history="1">
              <w:r w:rsidR="0039468B">
                <w:rPr>
                  <w:rFonts w:eastAsia="MS Mincho"/>
                </w:rPr>
                <w:fldChar w:fldCharType="begin">
                  <w:fldData xml:space="preserve">PEVuZE5vdGU+PENpdGU+PEF1dGhvcj5XaW5kbGU8L0F1dGhvcj48WWVhcj4yMDE4PC9ZZWFyPjxS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PEVuZE5vdGU+PENpdGU+PEF1dGhvcj5XaW5kbGU8L0F1dGhvcj48WWVhcj4yMDE4PC9ZZWFyPjxS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1E01A4">
                <w:rPr>
                  <w:rFonts w:eastAsia="MS Mincho"/>
                  <w:noProof/>
                  <w:vertAlign w:val="superscript"/>
                </w:rPr>
                <w:t>24</w:t>
              </w:r>
              <w:r w:rsidR="0039468B">
                <w:rPr>
                  <w:rFonts w:eastAsia="MS Mincho"/>
                </w:rPr>
                <w:fldChar w:fldCharType="end"/>
              </w:r>
            </w:hyperlink>
          </w:p>
        </w:tc>
        <w:tc>
          <w:tcPr>
            <w:tcW w:w="4487" w:type="pct"/>
          </w:tcPr>
          <w:p w14:paraId="4FFA55A7" w14:textId="3D775AFA" w:rsidR="001F052D" w:rsidRPr="00C01E20" w:rsidRDefault="00324F8F" w:rsidP="002916A7">
            <w:pPr>
              <w:pStyle w:val="Tablewriting"/>
              <w:rPr>
                <w:rFonts w:eastAsia="MS Mincho"/>
              </w:rPr>
            </w:pPr>
            <w:r w:rsidRPr="00324F8F">
              <w:rPr>
                <w:rFonts w:eastAsia="MS Mincho"/>
              </w:rPr>
              <w:t>Windle SB, Dehghani P, Roy N, Old W, Grondin FR, Bata I, Iskander A, Lauzon C, Srivastava N, Clarke A, Cassavar D, Dion D, Haught H, Mehta SR, Baril JF, Lambert C, Madan M, Abramson BL, Eisenberg MJ; EVITA Investigators. Smoking abstinence 1 year after acute coronary syndrome: follow-up from a randomized controlled trial of varenicline in patients admitted to hospital. CMAJ. 2018 Mar 26;190(12</w:t>
            </w:r>
            <w:r w:rsidR="004C4EA7" w:rsidRPr="00324F8F">
              <w:rPr>
                <w:rFonts w:eastAsia="MS Mincho"/>
              </w:rPr>
              <w:t>): E</w:t>
            </w:r>
            <w:r w:rsidRPr="00324F8F">
              <w:rPr>
                <w:rFonts w:eastAsia="MS Mincho"/>
              </w:rPr>
              <w:t>347-E354.</w:t>
            </w:r>
          </w:p>
        </w:tc>
      </w:tr>
      <w:tr w:rsidR="0039468B" w:rsidRPr="00061F78" w14:paraId="1A6D3935" w14:textId="77777777" w:rsidTr="00D6694A">
        <w:trPr>
          <w:cantSplit/>
          <w:trHeight w:val="164"/>
        </w:trPr>
        <w:tc>
          <w:tcPr>
            <w:tcW w:w="513" w:type="pct"/>
            <w:tcMar>
              <w:left w:w="28" w:type="dxa"/>
              <w:right w:w="28" w:type="dxa"/>
            </w:tcMar>
          </w:tcPr>
          <w:p w14:paraId="1DE3903D" w14:textId="5A0C2971" w:rsidR="001F052D" w:rsidRDefault="00122F46" w:rsidP="002916A7">
            <w:pPr>
              <w:pStyle w:val="Tablewriting"/>
              <w:rPr>
                <w:rFonts w:eastAsia="MS Mincho"/>
              </w:rPr>
            </w:pPr>
            <w:r>
              <w:rPr>
                <w:rFonts w:eastAsia="MS Mincho"/>
              </w:rPr>
              <w:t>Ashare (2019)</w:t>
            </w:r>
            <w:hyperlink w:anchor="_ENREF_25" w:tooltip="Ashare, 2019 #44" w:history="1">
              <w:r w:rsidR="0039468B">
                <w:rPr>
                  <w:rFonts w:eastAsia="MS Mincho"/>
                </w:rPr>
                <w:fldChar w:fldCharType="begin">
                  <w:fldData xml:space="preserve">PEVuZE5vdGU+PENpdGU+PEF1dGhvcj5Bc2hhcmU8L0F1dGhvcj48WWVhcj4yMDE5PC9ZZWFyPjxS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</w:fldData>
                </w:fldChar>
              </w:r>
              <w:r w:rsidR="0039468B">
                <w:rPr>
                  <w:rFonts w:eastAsia="MS Mincho"/>
                </w:rPr>
                <w:instrText xml:space="preserve"> ADDIN EN.CITE </w:instrText>
              </w:r>
              <w:r w:rsidR="0039468B">
                <w:rPr>
                  <w:rFonts w:eastAsia="MS Mincho"/>
                </w:rPr>
                <w:fldChar w:fldCharType="begin">
                  <w:fldData xml:space="preserve">PEVuZE5vdGU+PENpdGU+PEF1dGhvcj5Bc2hhcmU8L0F1dGhvcj48WWVhcj4yMDE5PC9ZZWFyPjxS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1E01A4">
                <w:rPr>
                  <w:rFonts w:eastAsia="MS Mincho"/>
                  <w:noProof/>
                  <w:vertAlign w:val="superscript"/>
                </w:rPr>
                <w:t>25</w:t>
              </w:r>
              <w:r w:rsidR="0039468B">
                <w:rPr>
                  <w:rFonts w:eastAsia="MS Mincho"/>
                </w:rPr>
                <w:fldChar w:fldCharType="end"/>
              </w:r>
            </w:hyperlink>
          </w:p>
        </w:tc>
        <w:tc>
          <w:tcPr>
            <w:tcW w:w="4487" w:type="pct"/>
          </w:tcPr>
          <w:p w14:paraId="3E21314D" w14:textId="7839F8D1" w:rsidR="001F052D" w:rsidRPr="00C01E20" w:rsidRDefault="0063108A" w:rsidP="002916A7">
            <w:pPr>
              <w:pStyle w:val="Tablewriting"/>
              <w:rPr>
                <w:rFonts w:eastAsia="MS Mincho"/>
              </w:rPr>
            </w:pPr>
            <w:r w:rsidRPr="0063108A">
              <w:rPr>
                <w:rFonts w:eastAsia="MS Mincho"/>
              </w:rPr>
              <w:t xml:space="preserve">Ashare RL, Thompson M, Serrano K, Leone F, Metzger D, Frank I, Gross R, Hole A, Mounzer K, Collman RG, Wileyto EP, Schnoll R. Placebo-controlled randomized clinical trial testing the efficacy and safety of varenicline for smokers with HIV. Drug Alcohol Depend. 2019 Jul </w:t>
            </w:r>
            <w:r w:rsidR="004C4EA7" w:rsidRPr="0063108A">
              <w:rPr>
                <w:rFonts w:eastAsia="MS Mincho"/>
              </w:rPr>
              <w:t>1; 200:26</w:t>
            </w:r>
            <w:r w:rsidRPr="0063108A">
              <w:rPr>
                <w:rFonts w:eastAsia="MS Mincho"/>
              </w:rPr>
              <w:t>-33.</w:t>
            </w:r>
          </w:p>
        </w:tc>
      </w:tr>
      <w:tr w:rsidR="0039468B" w:rsidRPr="00061F78" w14:paraId="1544C673" w14:textId="77777777" w:rsidTr="00D6694A">
        <w:trPr>
          <w:cantSplit/>
          <w:trHeight w:val="164"/>
        </w:trPr>
        <w:tc>
          <w:tcPr>
            <w:tcW w:w="513" w:type="pct"/>
            <w:tcMar>
              <w:left w:w="28" w:type="dxa"/>
              <w:right w:w="28" w:type="dxa"/>
            </w:tcMar>
          </w:tcPr>
          <w:p w14:paraId="6B385EBF" w14:textId="1F9EA8B9" w:rsidR="001F052D" w:rsidRDefault="00122F46" w:rsidP="002916A7">
            <w:pPr>
              <w:pStyle w:val="Tablewriting"/>
              <w:rPr>
                <w:rFonts w:eastAsia="MS Mincho"/>
              </w:rPr>
            </w:pPr>
            <w:r>
              <w:rPr>
                <w:rFonts w:eastAsia="MS Mincho"/>
              </w:rPr>
              <w:t>Chen (2020)</w:t>
            </w:r>
            <w:hyperlink w:anchor="_ENREF_26" w:tooltip="Chen, 2020 #8" w:history="1">
              <w:r w:rsidR="0039468B">
                <w:rPr>
                  <w:rFonts w:eastAsia="MS Mincho"/>
                </w:rPr>
                <w:fldChar w:fldCharType="begin">
                  <w:fldData xml:space="preserve">PEVuZE5vdGU+PENpdGU+PEF1dGhvcj5DaGVuPC9BdXRob3I+PFllYXI+MjAyMDwvWWVhcj48UmVj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PEVuZE5vdGU+PENpdGU+PEF1dGhvcj5DaGVuPC9BdXRob3I+PFllYXI+MjAyMDwvWWVhcj48UmVj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1E01A4">
                <w:rPr>
                  <w:rFonts w:eastAsia="MS Mincho"/>
                  <w:noProof/>
                  <w:vertAlign w:val="superscript"/>
                </w:rPr>
                <w:t>26</w:t>
              </w:r>
              <w:r w:rsidR="0039468B">
                <w:rPr>
                  <w:rFonts w:eastAsia="MS Mincho"/>
                </w:rPr>
                <w:fldChar w:fldCharType="end"/>
              </w:r>
            </w:hyperlink>
          </w:p>
        </w:tc>
        <w:tc>
          <w:tcPr>
            <w:tcW w:w="4487" w:type="pct"/>
          </w:tcPr>
          <w:p w14:paraId="6C97C3F0" w14:textId="42124559" w:rsidR="001F052D" w:rsidRPr="00C01E20" w:rsidRDefault="006B38BF" w:rsidP="002916A7">
            <w:pPr>
              <w:pStyle w:val="Tablewriting"/>
              <w:rPr>
                <w:rFonts w:eastAsia="MS Mincho"/>
              </w:rPr>
            </w:pPr>
            <w:r w:rsidRPr="006B38B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Dec;108(6):1315-25.</w:t>
            </w:r>
          </w:p>
        </w:tc>
      </w:tr>
    </w:tbl>
    <w:p w14:paraId="7A65896D" w14:textId="77777777" w:rsidR="00D14993" w:rsidRPr="00D14993" w:rsidRDefault="00D77C02" w:rsidP="00C5003E">
      <w:pPr>
        <w:pStyle w:val="TableFooter"/>
      </w:pPr>
      <w:r w:rsidRPr="00061F78">
        <w:rPr>
          <w:highlight w:val="lightGray"/>
        </w:rPr>
        <w:t>Shaded</w:t>
      </w:r>
      <w:r w:rsidRPr="00061F78">
        <w:t xml:space="preserve"> = previously considered by the PBAC</w:t>
      </w:r>
    </w:p>
    <w:p w14:paraId="6B3E1A6C" w14:textId="7CA5D3E8" w:rsidR="00863C50" w:rsidRDefault="00863C50" w:rsidP="00D6694A">
      <w:pPr>
        <w:pStyle w:val="TableFooter"/>
        <w:spacing w:after="120"/>
        <w:contextualSpacing w:val="0"/>
        <w:jc w:val="both"/>
      </w:pPr>
      <w:r>
        <w:t xml:space="preserve">Notes: </w:t>
      </w:r>
      <w:r w:rsidR="00B40640">
        <w:t xml:space="preserve">Gonzales et al. (2006) and </w:t>
      </w:r>
      <w:r>
        <w:t>Jorenby et al. (</w:t>
      </w:r>
      <w:r w:rsidR="00B40640">
        <w:t>2006</w:t>
      </w:r>
      <w:r>
        <w:t>) w</w:t>
      </w:r>
      <w:r w:rsidR="00B40640">
        <w:t>ere</w:t>
      </w:r>
      <w:r>
        <w:t xml:space="preserve"> considered </w:t>
      </w:r>
      <w:r w:rsidR="001B0165">
        <w:t>at</w:t>
      </w:r>
      <w:r>
        <w:t xml:space="preserve"> the </w:t>
      </w:r>
      <w:r w:rsidR="00CC6C5E">
        <w:t>July</w:t>
      </w:r>
      <w:r>
        <w:t xml:space="preserve"> 200</w:t>
      </w:r>
      <w:r w:rsidR="00CC6C5E">
        <w:t>7</w:t>
      </w:r>
      <w:r>
        <w:t xml:space="preserve"> PBAC meeting.</w:t>
      </w:r>
      <w:r w:rsidR="009C5328">
        <w:t xml:space="preserve"> EAGLES (2016) was considered </w:t>
      </w:r>
      <w:r w:rsidR="001B0165">
        <w:t>at</w:t>
      </w:r>
      <w:r w:rsidR="009C5328">
        <w:t xml:space="preserve"> the </w:t>
      </w:r>
      <w:r w:rsidR="00493EB8">
        <w:t xml:space="preserve">November 2016 PBAC meeting. </w:t>
      </w:r>
      <w:r w:rsidR="00450510">
        <w:t>The remaining</w:t>
      </w:r>
      <w:r w:rsidR="00A62229">
        <w:t xml:space="preserve"> shaded</w:t>
      </w:r>
      <w:r w:rsidR="00450510">
        <w:t xml:space="preserve"> studies</w:t>
      </w:r>
      <w:r>
        <w:t xml:space="preserve"> </w:t>
      </w:r>
      <w:r w:rsidR="003C0A79">
        <w:t>(including Gonzales 2006 and Jorenby 2006)</w:t>
      </w:r>
      <w:r>
        <w:t xml:space="preserve"> were considered </w:t>
      </w:r>
      <w:r w:rsidR="001B0165">
        <w:t>at</w:t>
      </w:r>
      <w:r>
        <w:t xml:space="preserve"> the </w:t>
      </w:r>
      <w:r w:rsidR="00450510">
        <w:t>November</w:t>
      </w:r>
      <w:r>
        <w:t xml:space="preserve"> 201</w:t>
      </w:r>
      <w:r w:rsidR="00450510">
        <w:t>2 and March 2014</w:t>
      </w:r>
      <w:r>
        <w:t xml:space="preserve"> PBAC meeting.</w:t>
      </w:r>
    </w:p>
    <w:p w14:paraId="24561C9A" w14:textId="63E1A5B6" w:rsidR="00D77C02" w:rsidRDefault="00D77C02" w:rsidP="00D6694A">
      <w:pPr>
        <w:spacing w:after="120"/>
        <w:jc w:val="both"/>
      </w:pPr>
      <w:bookmarkStart w:id="48" w:name="_Hlk54356474"/>
      <w:r>
        <w:t xml:space="preserve">A summary of the characteristics of the studies comparing </w:t>
      </w:r>
      <w:r w:rsidR="00FE5981">
        <w:t>varenicline</w:t>
      </w:r>
      <w:r>
        <w:t xml:space="preserve"> with placebo is presented in</w:t>
      </w:r>
      <w:r w:rsidR="00FE5981">
        <w:t xml:space="preserve"> </w:t>
      </w:r>
      <w:r w:rsidR="009C569D">
        <w:rPr>
          <w:highlight w:val="yellow"/>
        </w:rPr>
        <w:fldChar w:fldCharType="begin" w:fldLock="1"/>
      </w:r>
      <w:r w:rsidR="009C569D">
        <w:instrText xml:space="preserve"> REF _Ref53569777 \h </w:instrText>
      </w:r>
      <w:r w:rsidR="00D6694A">
        <w:rPr>
          <w:highlight w:val="yellow"/>
        </w:rPr>
        <w:instrText xml:space="preserve"> \* MERGEFORMAT </w:instrText>
      </w:r>
      <w:r w:rsidR="009C569D">
        <w:rPr>
          <w:highlight w:val="yellow"/>
        </w:rPr>
      </w:r>
      <w:r w:rsidR="009C569D">
        <w:rPr>
          <w:highlight w:val="yellow"/>
        </w:rPr>
        <w:fldChar w:fldCharType="separate"/>
      </w:r>
      <w:r w:rsidR="00EC5CC7">
        <w:t xml:space="preserve">Table </w:t>
      </w:r>
      <w:r w:rsidR="00EC5CC7">
        <w:rPr>
          <w:noProof/>
        </w:rPr>
        <w:t>14</w:t>
      </w:r>
      <w:r w:rsidR="009C569D">
        <w:rPr>
          <w:highlight w:val="yellow"/>
        </w:rPr>
        <w:fldChar w:fldCharType="end"/>
      </w:r>
      <w:r>
        <w:t xml:space="preserve">. A total of </w:t>
      </w:r>
      <w:r w:rsidR="00635F23">
        <w:t>34</w:t>
      </w:r>
      <w:r w:rsidR="00213634">
        <w:t xml:space="preserve"> </w:t>
      </w:r>
      <w:r>
        <w:t xml:space="preserve">RCTs comparing </w:t>
      </w:r>
      <w:r w:rsidR="00E44945">
        <w:t>varenicline</w:t>
      </w:r>
      <w:r>
        <w:t xml:space="preserve"> with placebo were identified by </w:t>
      </w:r>
      <w:r w:rsidR="00E44945">
        <w:t xml:space="preserve">Cahill et al. </w:t>
      </w:r>
      <w:r>
        <w:t>(20</w:t>
      </w:r>
      <w:r w:rsidR="00E44945">
        <w:t>16</w:t>
      </w:r>
      <w:r>
        <w:t>)</w:t>
      </w:r>
      <w:r w:rsidR="00F84183">
        <w:t>, with 27 RCTs included in the primary efficacy analysis</w:t>
      </w:r>
      <w:r>
        <w:t>. Of the</w:t>
      </w:r>
      <w:r w:rsidR="00F84183">
        <w:t xml:space="preserve"> 27 RCTs</w:t>
      </w:r>
      <w:r>
        <w:t xml:space="preserve">, </w:t>
      </w:r>
      <w:r w:rsidR="00DF4E22">
        <w:lastRenderedPageBreak/>
        <w:t>11</w:t>
      </w:r>
      <w:r>
        <w:t xml:space="preserve"> studies were </w:t>
      </w:r>
      <w:r w:rsidR="00210640">
        <w:t>previously considered by</w:t>
      </w:r>
      <w:r w:rsidR="00561966">
        <w:t xml:space="preserve"> the PBAC.</w:t>
      </w:r>
      <w:r>
        <w:t xml:space="preserve"> The characteristics of the individual studies are presented in </w:t>
      </w:r>
      <w:r w:rsidRPr="0087602B">
        <w:t>Appendix</w:t>
      </w:r>
      <w:r w:rsidR="00076298">
        <w:t xml:space="preserve"> Table 146</w:t>
      </w:r>
      <w:r>
        <w:t>.</w:t>
      </w:r>
    </w:p>
    <w:bookmarkEnd w:id="48"/>
    <w:p w14:paraId="43C0129E" w14:textId="1DA173C1" w:rsidR="009A1413" w:rsidRDefault="009A1413" w:rsidP="004D7C8D">
      <w:pPr>
        <w:spacing w:after="120"/>
        <w:jc w:val="both"/>
      </w:pPr>
      <w:r>
        <w:t xml:space="preserve">Of the </w:t>
      </w:r>
      <w:r w:rsidR="00CE2B04">
        <w:t>eight</w:t>
      </w:r>
      <w:r>
        <w:t xml:space="preserve"> new studies identified in the supplemental literature search, s</w:t>
      </w:r>
      <w:r w:rsidR="003E1CED">
        <w:t>even</w:t>
      </w:r>
      <w:r>
        <w:t xml:space="preserve"> studies were included in the updated efficacy re-analysis </w:t>
      </w:r>
      <w:r w:rsidRPr="009A1413">
        <w:t xml:space="preserve">(Lerman et al. 2015, Littlewood et al. 2017, Hurt et al. 2018, </w:t>
      </w:r>
      <w:r w:rsidR="003E1CED">
        <w:t xml:space="preserve">Mercie et al. 2018, </w:t>
      </w:r>
      <w:r w:rsidRPr="009A1413">
        <w:t xml:space="preserve">Windle et al. 2018, Ashare et al. 2019, Chen et al. 2020). </w:t>
      </w:r>
      <w:r w:rsidR="003E1CED">
        <w:t xml:space="preserve">One study was </w:t>
      </w:r>
      <w:r w:rsidR="005828A8">
        <w:t>a safety study with no efficacy outcomes reported (</w:t>
      </w:r>
      <w:r w:rsidR="00513651">
        <w:t>Benowitz et al. 2018</w:t>
      </w:r>
      <w:r w:rsidR="005828A8">
        <w:t>).</w:t>
      </w:r>
      <w:r w:rsidR="00A860EE">
        <w:t xml:space="preserve"> The </w:t>
      </w:r>
      <w:r w:rsidR="005828A8">
        <w:t>eight</w:t>
      </w:r>
      <w:r w:rsidR="00A860EE">
        <w:t xml:space="preserve"> studies were included in the updated safety re-analysis </w:t>
      </w:r>
      <w:r w:rsidR="00863F00">
        <w:t xml:space="preserve">where </w:t>
      </w:r>
      <w:r w:rsidR="00CD35DE">
        <w:t xml:space="preserve">relevant </w:t>
      </w:r>
      <w:r w:rsidR="00863F00">
        <w:t>outcomes were reported</w:t>
      </w:r>
      <w:r w:rsidR="004C4EA7">
        <w:t xml:space="preserve">. </w:t>
      </w:r>
    </w:p>
    <w:p w14:paraId="34894647" w14:textId="77777777" w:rsidR="001262BD" w:rsidRDefault="001262BD" w:rsidP="00D6694A">
      <w:pPr>
        <w:spacing w:after="120"/>
        <w:jc w:val="both"/>
        <w:sectPr w:rsidR="001262BD" w:rsidSect="006356D2">
          <w:pgSz w:w="11906" w:h="16838"/>
          <w:pgMar w:top="1440" w:right="1440" w:bottom="1440" w:left="1440" w:header="708" w:footer="708" w:gutter="0"/>
          <w:cols w:space="708"/>
          <w:titlePg/>
          <w:docGrid w:linePitch="360"/>
        </w:sectPr>
      </w:pPr>
    </w:p>
    <w:p w14:paraId="5B631E04" w14:textId="08F768D0" w:rsidR="009C569D" w:rsidRDefault="009C569D" w:rsidP="004D7C8D">
      <w:pPr>
        <w:pStyle w:val="Caption"/>
        <w:keepNext/>
        <w:spacing w:before="0" w:after="120"/>
        <w:jc w:val="both"/>
      </w:pPr>
      <w:bookmarkStart w:id="49" w:name="_Ref53569777"/>
      <w:r>
        <w:lastRenderedPageBreak/>
        <w:t xml:space="preserve">Table </w:t>
      </w:r>
      <w:r>
        <w:fldChar w:fldCharType="begin"/>
      </w:r>
      <w:r>
        <w:instrText>SEQ Table \* ARABIC</w:instrText>
      </w:r>
      <w:r>
        <w:fldChar w:fldCharType="separate"/>
      </w:r>
      <w:r w:rsidR="00EC5CC7">
        <w:rPr>
          <w:noProof/>
        </w:rPr>
        <w:t>14</w:t>
      </w:r>
      <w:r>
        <w:fldChar w:fldCharType="end"/>
      </w:r>
      <w:bookmarkEnd w:id="49"/>
      <w:r>
        <w:t xml:space="preserve">: </w:t>
      </w:r>
      <w:r w:rsidRPr="001E3660">
        <w:t xml:space="preserve">Characteristics of the studies comparing </w:t>
      </w:r>
      <w:r>
        <w:t>varenicline</w:t>
      </w:r>
      <w:r w:rsidRPr="001E3660">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27"/>
        <w:gridCol w:w="1102"/>
        <w:gridCol w:w="968"/>
        <w:gridCol w:w="5205"/>
        <w:gridCol w:w="2566"/>
        <w:gridCol w:w="3180"/>
      </w:tblGrid>
      <w:tr w:rsidR="00260CD7" w:rsidRPr="00061F78" w14:paraId="3DCEE3EA" w14:textId="77777777" w:rsidTr="004D7C8D">
        <w:trPr>
          <w:trHeight w:val="299"/>
          <w:tblHeader/>
        </w:trPr>
        <w:tc>
          <w:tcPr>
            <w:tcW w:w="332" w:type="pct"/>
            <w:shd w:val="clear" w:color="auto" w:fill="BFBFBF" w:themeFill="background1" w:themeFillShade="BF"/>
            <w:tcMar>
              <w:left w:w="28" w:type="dxa"/>
              <w:right w:w="28" w:type="dxa"/>
            </w:tcMar>
          </w:tcPr>
          <w:p w14:paraId="115DB75B" w14:textId="6113FE8F" w:rsidR="001262BD" w:rsidRPr="00061F78" w:rsidRDefault="00126B7B" w:rsidP="002916A7">
            <w:pPr>
              <w:pStyle w:val="Tableheading"/>
              <w:rPr>
                <w:rFonts w:eastAsia="MS Mincho"/>
              </w:rPr>
            </w:pPr>
            <w:r>
              <w:rPr>
                <w:rFonts w:eastAsia="MS Mincho"/>
              </w:rPr>
              <w:t>Study</w:t>
            </w:r>
          </w:p>
        </w:tc>
        <w:tc>
          <w:tcPr>
            <w:tcW w:w="395" w:type="pct"/>
            <w:shd w:val="clear" w:color="auto" w:fill="BFBFBF" w:themeFill="background1" w:themeFillShade="BF"/>
          </w:tcPr>
          <w:p w14:paraId="534FD714" w14:textId="77777777" w:rsidR="001262BD" w:rsidRDefault="001262BD" w:rsidP="002916A7">
            <w:pPr>
              <w:pStyle w:val="Tableheading"/>
              <w:jc w:val="center"/>
              <w:rPr>
                <w:rFonts w:eastAsia="MS Mincho"/>
              </w:rPr>
            </w:pPr>
            <w:r>
              <w:rPr>
                <w:rFonts w:eastAsia="MS Mincho"/>
              </w:rPr>
              <w:t>Study type</w:t>
            </w:r>
          </w:p>
        </w:tc>
        <w:tc>
          <w:tcPr>
            <w:tcW w:w="347" w:type="pct"/>
            <w:shd w:val="clear" w:color="auto" w:fill="BFBFBF" w:themeFill="background1" w:themeFillShade="BF"/>
            <w:tcMar>
              <w:left w:w="28" w:type="dxa"/>
              <w:right w:w="28" w:type="dxa"/>
            </w:tcMar>
          </w:tcPr>
          <w:p w14:paraId="38FAFCDF" w14:textId="2DFF0EAD" w:rsidR="001262BD" w:rsidRPr="00AE21E9" w:rsidRDefault="001262BD" w:rsidP="002916A7">
            <w:pPr>
              <w:pStyle w:val="Tableheading"/>
              <w:jc w:val="center"/>
              <w:rPr>
                <w:rFonts w:eastAsia="MS Mincho"/>
                <w:vertAlign w:val="superscript"/>
              </w:rPr>
            </w:pPr>
            <w:r>
              <w:rPr>
                <w:rFonts w:eastAsia="MS Mincho"/>
              </w:rPr>
              <w:t>N</w:t>
            </w:r>
            <w:r w:rsidR="00AE21E9">
              <w:rPr>
                <w:rFonts w:eastAsia="MS Mincho"/>
                <w:vertAlign w:val="superscript"/>
              </w:rPr>
              <w:t>1</w:t>
            </w:r>
          </w:p>
        </w:tc>
        <w:tc>
          <w:tcPr>
            <w:tcW w:w="1866" w:type="pct"/>
            <w:shd w:val="clear" w:color="auto" w:fill="BFBFBF" w:themeFill="background1" w:themeFillShade="BF"/>
            <w:tcMar>
              <w:left w:w="28" w:type="dxa"/>
              <w:right w:w="28" w:type="dxa"/>
            </w:tcMar>
          </w:tcPr>
          <w:p w14:paraId="0FC3D25A" w14:textId="77777777" w:rsidR="001262BD" w:rsidRPr="00061F78" w:rsidRDefault="001262BD" w:rsidP="002916A7">
            <w:pPr>
              <w:pStyle w:val="Tableheading"/>
              <w:jc w:val="center"/>
              <w:rPr>
                <w:rFonts w:eastAsia="MS Mincho"/>
              </w:rPr>
            </w:pPr>
            <w:r w:rsidRPr="00061F78">
              <w:rPr>
                <w:rFonts w:eastAsia="MS Mincho"/>
              </w:rPr>
              <w:t>P</w:t>
            </w:r>
            <w:r>
              <w:rPr>
                <w:rFonts w:eastAsia="MS Mincho"/>
              </w:rPr>
              <w:t>opulation</w:t>
            </w:r>
          </w:p>
        </w:tc>
        <w:tc>
          <w:tcPr>
            <w:tcW w:w="920" w:type="pct"/>
            <w:shd w:val="clear" w:color="auto" w:fill="BFBFBF" w:themeFill="background1" w:themeFillShade="BF"/>
          </w:tcPr>
          <w:p w14:paraId="66698A47" w14:textId="77777777" w:rsidR="001262BD" w:rsidRDefault="001262BD" w:rsidP="002916A7">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14:paraId="79EABFD9" w14:textId="77777777" w:rsidR="001262BD" w:rsidRPr="00061F78" w:rsidRDefault="001262BD" w:rsidP="002916A7">
            <w:pPr>
              <w:pStyle w:val="Tableheading"/>
              <w:jc w:val="center"/>
              <w:rPr>
                <w:rFonts w:eastAsia="MS Mincho"/>
              </w:rPr>
            </w:pPr>
            <w:r>
              <w:rPr>
                <w:rFonts w:eastAsia="MS Mincho"/>
              </w:rPr>
              <w:t>Outcomes</w:t>
            </w:r>
          </w:p>
        </w:tc>
      </w:tr>
      <w:tr w:rsidR="00260CD7" w:rsidRPr="00061F78" w14:paraId="6103EDF0" w14:textId="77777777" w:rsidTr="004D7C8D">
        <w:trPr>
          <w:trHeight w:val="99"/>
        </w:trPr>
        <w:tc>
          <w:tcPr>
            <w:tcW w:w="332" w:type="pct"/>
            <w:shd w:val="clear" w:color="auto" w:fill="D9D9D9" w:themeFill="background1" w:themeFillShade="D9"/>
            <w:tcMar>
              <w:left w:w="28" w:type="dxa"/>
              <w:right w:w="28" w:type="dxa"/>
            </w:tcMar>
          </w:tcPr>
          <w:p w14:paraId="7FBC2714" w14:textId="77777777" w:rsidR="00561966" w:rsidRDefault="00561966" w:rsidP="002916A7">
            <w:pPr>
              <w:pStyle w:val="Tablewriting"/>
              <w:rPr>
                <w:rFonts w:eastAsia="MS Mincho"/>
              </w:rPr>
            </w:pPr>
            <w:r>
              <w:rPr>
                <w:rFonts w:eastAsia="MS Mincho"/>
              </w:rPr>
              <w:t>Gonzales</w:t>
            </w:r>
          </w:p>
          <w:p w14:paraId="450A5A0E" w14:textId="740E3F65" w:rsidR="001262BD" w:rsidRDefault="00561966" w:rsidP="002916A7">
            <w:pPr>
              <w:pStyle w:val="Tablewriting"/>
              <w:rPr>
                <w:rFonts w:eastAsia="MS Mincho"/>
              </w:rPr>
            </w:pPr>
            <w:r>
              <w:rPr>
                <w:rFonts w:eastAsia="MS Mincho"/>
              </w:rPr>
              <w:t xml:space="preserve">(2006) </w:t>
            </w:r>
          </w:p>
        </w:tc>
        <w:tc>
          <w:tcPr>
            <w:tcW w:w="395" w:type="pct"/>
            <w:shd w:val="clear" w:color="auto" w:fill="D9D9D9" w:themeFill="background1" w:themeFillShade="D9"/>
          </w:tcPr>
          <w:p w14:paraId="392DA0F4" w14:textId="77777777" w:rsidR="001262BD" w:rsidRDefault="001262BD"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268490A0" w14:textId="5C0B7707" w:rsidR="001262BD" w:rsidRDefault="001262BD" w:rsidP="002916A7">
            <w:pPr>
              <w:pStyle w:val="Tablewriting"/>
              <w:rPr>
                <w:rFonts w:eastAsia="MS Mincho"/>
              </w:rPr>
            </w:pPr>
            <w:r>
              <w:rPr>
                <w:rFonts w:eastAsia="MS Mincho"/>
              </w:rPr>
              <w:t>N=</w:t>
            </w:r>
            <w:r w:rsidR="00F775D3">
              <w:rPr>
                <w:rFonts w:eastAsia="MS Mincho"/>
              </w:rPr>
              <w:t>1</w:t>
            </w:r>
            <w:r w:rsidR="007E0181">
              <w:rPr>
                <w:rFonts w:eastAsia="MS Mincho"/>
              </w:rPr>
              <w:t>,</w:t>
            </w:r>
            <w:r w:rsidR="00F775D3">
              <w:rPr>
                <w:rFonts w:eastAsia="MS Mincho"/>
              </w:rPr>
              <w:t>025</w:t>
            </w:r>
          </w:p>
          <w:p w14:paraId="46AD17C0" w14:textId="121AD29C" w:rsidR="001262BD" w:rsidRDefault="000D4D87" w:rsidP="002916A7">
            <w:pPr>
              <w:pStyle w:val="Tablewriting"/>
              <w:rPr>
                <w:rFonts w:eastAsia="MS Mincho"/>
              </w:rPr>
            </w:pPr>
            <w:r>
              <w:rPr>
                <w:rFonts w:eastAsia="MS Mincho"/>
              </w:rPr>
              <w:t>Varenicline</w:t>
            </w:r>
            <w:r w:rsidR="001262BD">
              <w:rPr>
                <w:rFonts w:eastAsia="MS Mincho"/>
              </w:rPr>
              <w:t xml:space="preserve"> (n=</w:t>
            </w:r>
            <w:r>
              <w:rPr>
                <w:rFonts w:eastAsia="MS Mincho"/>
              </w:rPr>
              <w:t>352</w:t>
            </w:r>
            <w:r w:rsidR="001262BD">
              <w:rPr>
                <w:rFonts w:eastAsia="MS Mincho"/>
              </w:rPr>
              <w:t>), Placebo (n=</w:t>
            </w:r>
            <w:r w:rsidR="00205348">
              <w:rPr>
                <w:rFonts w:eastAsia="MS Mincho"/>
              </w:rPr>
              <w:t>344</w:t>
            </w:r>
            <w:r w:rsidR="001262BD">
              <w:rPr>
                <w:rFonts w:eastAsia="MS Mincho"/>
              </w:rPr>
              <w:t>)</w:t>
            </w:r>
          </w:p>
        </w:tc>
        <w:tc>
          <w:tcPr>
            <w:tcW w:w="1866" w:type="pct"/>
            <w:shd w:val="clear" w:color="auto" w:fill="D9D9D9" w:themeFill="background1" w:themeFillShade="D9"/>
            <w:tcMar>
              <w:left w:w="28" w:type="dxa"/>
              <w:right w:w="28" w:type="dxa"/>
            </w:tcMar>
          </w:tcPr>
          <w:p w14:paraId="7975017B" w14:textId="2918A295" w:rsidR="001262BD" w:rsidRDefault="001262BD" w:rsidP="002916A7">
            <w:pPr>
              <w:pStyle w:val="Tablewriting"/>
              <w:rPr>
                <w:rFonts w:eastAsia="MS Mincho"/>
              </w:rPr>
            </w:pPr>
            <w:r w:rsidRPr="007F28D7">
              <w:rPr>
                <w:rFonts w:eastAsia="MS Mincho"/>
                <w:u w:val="single"/>
              </w:rPr>
              <w:t>Inclusion</w:t>
            </w:r>
            <w:r>
              <w:rPr>
                <w:rFonts w:eastAsia="MS Mincho"/>
              </w:rPr>
              <w:t xml:space="preserve">: </w:t>
            </w:r>
            <w:r w:rsidRPr="007F28D7">
              <w:rPr>
                <w:rFonts w:eastAsia="MS Mincho"/>
              </w:rPr>
              <w:t>18</w:t>
            </w:r>
            <w:r w:rsidR="00AE21E9">
              <w:rPr>
                <w:rFonts w:eastAsia="MS Mincho"/>
              </w:rPr>
              <w:t>-75</w:t>
            </w:r>
            <w:r>
              <w:rPr>
                <w:rFonts w:eastAsia="MS Mincho"/>
              </w:rPr>
              <w:t xml:space="preserve"> </w:t>
            </w:r>
            <w:r w:rsidRPr="007F28D7">
              <w:rPr>
                <w:rFonts w:eastAsia="MS Mincho"/>
              </w:rPr>
              <w:t xml:space="preserve">years </w:t>
            </w:r>
            <w:r>
              <w:rPr>
                <w:rFonts w:eastAsia="MS Mincho"/>
              </w:rPr>
              <w:t>old</w:t>
            </w:r>
            <w:r w:rsidRPr="007F28D7">
              <w:rPr>
                <w:rFonts w:eastAsia="MS Mincho"/>
              </w:rPr>
              <w:t xml:space="preserve">, </w:t>
            </w:r>
            <w:r w:rsidR="00C92774">
              <w:rPr>
                <w:rFonts w:eastAsia="MS Mincho" w:cstheme="minorHAnsi"/>
              </w:rPr>
              <w:t>≥</w:t>
            </w:r>
            <w:r w:rsidR="00CD0F76" w:rsidRPr="00CD0F76">
              <w:rPr>
                <w:rFonts w:eastAsia="MS Mincho"/>
              </w:rPr>
              <w:t>10 or more</w:t>
            </w:r>
            <w:r w:rsidR="00CD0F76">
              <w:rPr>
                <w:rFonts w:eastAsia="MS Mincho"/>
              </w:rPr>
              <w:t xml:space="preserve"> </w:t>
            </w:r>
            <w:r w:rsidR="00CD0F76" w:rsidRPr="00CD0F76">
              <w:rPr>
                <w:rFonts w:eastAsia="MS Mincho"/>
              </w:rPr>
              <w:t xml:space="preserve">cigarettes per day, </w:t>
            </w:r>
            <w:r w:rsidR="00427493">
              <w:rPr>
                <w:rFonts w:eastAsia="MS Mincho"/>
              </w:rPr>
              <w:t>&lt;</w:t>
            </w:r>
            <w:r w:rsidR="00CD0F76" w:rsidRPr="00CD0F76">
              <w:rPr>
                <w:rFonts w:eastAsia="MS Mincho"/>
              </w:rPr>
              <w:t>3</w:t>
            </w:r>
            <w:r w:rsidR="00CD0F76">
              <w:rPr>
                <w:rFonts w:eastAsia="MS Mincho"/>
              </w:rPr>
              <w:t xml:space="preserve"> </w:t>
            </w:r>
            <w:r w:rsidR="00CD0F76" w:rsidRPr="00CD0F76">
              <w:rPr>
                <w:rFonts w:eastAsia="MS Mincho"/>
              </w:rPr>
              <w:t>months of smoking abstinence in the past</w:t>
            </w:r>
            <w:r w:rsidR="00CD0F76">
              <w:rPr>
                <w:rFonts w:eastAsia="MS Mincho"/>
              </w:rPr>
              <w:t xml:space="preserve"> </w:t>
            </w:r>
            <w:r w:rsidR="00CD0F76" w:rsidRPr="00CD0F76">
              <w:rPr>
                <w:rFonts w:eastAsia="MS Mincho"/>
              </w:rPr>
              <w:t>year, motivated to stop smoking.</w:t>
            </w:r>
          </w:p>
          <w:p w14:paraId="57493588" w14:textId="407E65DF" w:rsidR="001B5FD5" w:rsidRPr="001B5FD5" w:rsidRDefault="001262BD" w:rsidP="002916A7">
            <w:pPr>
              <w:pStyle w:val="Tablewriting"/>
              <w:rPr>
                <w:rFonts w:eastAsia="MS Mincho"/>
              </w:rPr>
            </w:pPr>
            <w:r w:rsidRPr="007F28D7">
              <w:rPr>
                <w:rFonts w:eastAsia="MS Mincho"/>
                <w:u w:val="single"/>
              </w:rPr>
              <w:t>Exclusion</w:t>
            </w:r>
            <w:r>
              <w:rPr>
                <w:rFonts w:eastAsia="MS Mincho"/>
              </w:rPr>
              <w:t xml:space="preserve">: </w:t>
            </w:r>
            <w:r w:rsidR="001B5FD5" w:rsidRPr="001B5FD5">
              <w:rPr>
                <w:rFonts w:eastAsia="MS Mincho"/>
              </w:rPr>
              <w:t>any serious</w:t>
            </w:r>
            <w:r w:rsidR="00B7094E">
              <w:rPr>
                <w:rFonts w:eastAsia="MS Mincho"/>
              </w:rPr>
              <w:t xml:space="preserve"> </w:t>
            </w:r>
            <w:r w:rsidR="001B5FD5" w:rsidRPr="001B5FD5">
              <w:rPr>
                <w:rFonts w:eastAsia="MS Mincho"/>
              </w:rPr>
              <w:t>or unstable disease within 6 months</w:t>
            </w:r>
            <w:r w:rsidR="001E6CD5">
              <w:rPr>
                <w:rFonts w:eastAsia="MS Mincho"/>
              </w:rPr>
              <w:t>,</w:t>
            </w:r>
            <w:r w:rsidR="001B5FD5" w:rsidRPr="001B5FD5">
              <w:rPr>
                <w:rFonts w:eastAsia="MS Mincho"/>
              </w:rPr>
              <w:t xml:space="preserve"> seizure</w:t>
            </w:r>
            <w:r w:rsidR="00B7094E">
              <w:rPr>
                <w:rFonts w:eastAsia="MS Mincho"/>
              </w:rPr>
              <w:t xml:space="preserve"> </w:t>
            </w:r>
            <w:r w:rsidR="001B5FD5" w:rsidRPr="001B5FD5">
              <w:rPr>
                <w:rFonts w:eastAsia="MS Mincho"/>
              </w:rPr>
              <w:t>risk</w:t>
            </w:r>
            <w:r w:rsidR="001E6CD5">
              <w:rPr>
                <w:rFonts w:eastAsia="MS Mincho"/>
              </w:rPr>
              <w:t>,</w:t>
            </w:r>
            <w:r w:rsidR="001B5FD5" w:rsidRPr="001B5FD5">
              <w:rPr>
                <w:rFonts w:eastAsia="MS Mincho"/>
              </w:rPr>
              <w:t xml:space="preserve"> diabetes mellitus requiring insulin</w:t>
            </w:r>
            <w:r w:rsidR="00B7094E">
              <w:rPr>
                <w:rFonts w:eastAsia="MS Mincho"/>
              </w:rPr>
              <w:t xml:space="preserve"> </w:t>
            </w:r>
            <w:r w:rsidR="001B5FD5" w:rsidRPr="001B5FD5">
              <w:rPr>
                <w:rFonts w:eastAsia="MS Mincho"/>
              </w:rPr>
              <w:t>or oral hypoglyc</w:t>
            </w:r>
            <w:r w:rsidR="001D4013">
              <w:rPr>
                <w:rFonts w:eastAsia="MS Mincho"/>
              </w:rPr>
              <w:t>a</w:t>
            </w:r>
            <w:r w:rsidR="001B5FD5" w:rsidRPr="001B5FD5">
              <w:rPr>
                <w:rFonts w:eastAsia="MS Mincho"/>
              </w:rPr>
              <w:t>emic medications</w:t>
            </w:r>
            <w:r w:rsidR="001E6CD5">
              <w:rPr>
                <w:rFonts w:eastAsia="MS Mincho"/>
              </w:rPr>
              <w:t>,</w:t>
            </w:r>
            <w:r w:rsidR="00B7094E">
              <w:rPr>
                <w:rFonts w:eastAsia="MS Mincho"/>
              </w:rPr>
              <w:t xml:space="preserve"> </w:t>
            </w:r>
            <w:r w:rsidR="004C4EA7" w:rsidRPr="001B5FD5">
              <w:rPr>
                <w:rFonts w:eastAsia="MS Mincho"/>
              </w:rPr>
              <w:t>hepatic,</w:t>
            </w:r>
            <w:r w:rsidR="001B5FD5" w:rsidRPr="001B5FD5">
              <w:rPr>
                <w:rFonts w:eastAsia="MS Mincho"/>
              </w:rPr>
              <w:t xml:space="preserve"> or renal impairment</w:t>
            </w:r>
            <w:r w:rsidR="001E6CD5">
              <w:rPr>
                <w:rFonts w:eastAsia="MS Mincho"/>
              </w:rPr>
              <w:t>,</w:t>
            </w:r>
          </w:p>
          <w:p w14:paraId="318FE05B" w14:textId="7C131049" w:rsidR="00B7094E" w:rsidRPr="00B7094E" w:rsidRDefault="001B5FD5" w:rsidP="002916A7">
            <w:pPr>
              <w:pStyle w:val="Tablewriting"/>
              <w:rPr>
                <w:rFonts w:eastAsia="MS Mincho"/>
              </w:rPr>
            </w:pPr>
            <w:r w:rsidRPr="001B5FD5">
              <w:rPr>
                <w:rFonts w:eastAsia="MS Mincho"/>
              </w:rPr>
              <w:t>clinically significant cardiovascular disease</w:t>
            </w:r>
            <w:r w:rsidR="00B7094E">
              <w:rPr>
                <w:rFonts w:eastAsia="MS Mincho"/>
              </w:rPr>
              <w:t xml:space="preserve"> </w:t>
            </w:r>
            <w:r w:rsidRPr="001B5FD5">
              <w:rPr>
                <w:rFonts w:eastAsia="MS Mincho"/>
              </w:rPr>
              <w:t>within 6 months</w:t>
            </w:r>
            <w:r w:rsidR="001E6CD5">
              <w:rPr>
                <w:rFonts w:eastAsia="MS Mincho"/>
              </w:rPr>
              <w:t>,</w:t>
            </w:r>
            <w:r w:rsidRPr="001B5FD5">
              <w:rPr>
                <w:rFonts w:eastAsia="MS Mincho"/>
              </w:rPr>
              <w:t xml:space="preserve"> uncontrolled hypertension</w:t>
            </w:r>
            <w:r w:rsidR="001E6CD5">
              <w:rPr>
                <w:rFonts w:eastAsia="MS Mincho"/>
              </w:rPr>
              <w:t>,</w:t>
            </w:r>
            <w:r w:rsidR="00B7094E">
              <w:rPr>
                <w:rFonts w:eastAsia="MS Mincho"/>
              </w:rPr>
              <w:t xml:space="preserve"> </w:t>
            </w:r>
            <w:r w:rsidRPr="001B5FD5">
              <w:rPr>
                <w:rFonts w:eastAsia="MS Mincho"/>
              </w:rPr>
              <w:t>severe chronic obstructive</w:t>
            </w:r>
            <w:r w:rsidR="00B7094E">
              <w:rPr>
                <w:rFonts w:eastAsia="MS Mincho"/>
              </w:rPr>
              <w:t xml:space="preserve"> </w:t>
            </w:r>
            <w:r w:rsidRPr="001B5FD5">
              <w:rPr>
                <w:rFonts w:eastAsia="MS Mincho"/>
              </w:rPr>
              <w:t>pulmonary disease</w:t>
            </w:r>
            <w:r w:rsidR="001E6CD5">
              <w:rPr>
                <w:rFonts w:eastAsia="MS Mincho"/>
              </w:rPr>
              <w:t>,</w:t>
            </w:r>
            <w:r w:rsidRPr="001B5FD5">
              <w:rPr>
                <w:rFonts w:eastAsia="MS Mincho"/>
              </w:rPr>
              <w:t xml:space="preserve"> history of cancer</w:t>
            </w:r>
            <w:r w:rsidR="001E6CD5">
              <w:rPr>
                <w:rFonts w:eastAsia="MS Mincho"/>
              </w:rPr>
              <w:t>,</w:t>
            </w:r>
            <w:r w:rsidRPr="001B5FD5">
              <w:rPr>
                <w:rFonts w:eastAsia="MS Mincho"/>
              </w:rPr>
              <w:t xml:space="preserve"> history of</w:t>
            </w:r>
            <w:r w:rsidR="00B7094E">
              <w:rPr>
                <w:rFonts w:eastAsia="MS Mincho"/>
              </w:rPr>
              <w:t xml:space="preserve"> </w:t>
            </w:r>
            <w:r w:rsidRPr="001B5FD5">
              <w:rPr>
                <w:rFonts w:eastAsia="MS Mincho"/>
              </w:rPr>
              <w:t>clinically significant allergic reactions</w:t>
            </w:r>
            <w:r w:rsidR="00B7094E">
              <w:rPr>
                <w:rFonts w:eastAsia="MS Mincho"/>
              </w:rPr>
              <w:t>, m</w:t>
            </w:r>
            <w:r w:rsidR="00B7094E" w:rsidRPr="00B7094E">
              <w:rPr>
                <w:rFonts w:eastAsia="MS Mincho"/>
              </w:rPr>
              <w:t>ajor depressive</w:t>
            </w:r>
            <w:r w:rsidR="00B7094E">
              <w:rPr>
                <w:rFonts w:eastAsia="MS Mincho"/>
              </w:rPr>
              <w:t xml:space="preserve"> </w:t>
            </w:r>
            <w:r w:rsidR="00B7094E" w:rsidRPr="00B7094E">
              <w:rPr>
                <w:rFonts w:eastAsia="MS Mincho"/>
              </w:rPr>
              <w:t>disorder within the past year requiring</w:t>
            </w:r>
            <w:r w:rsidR="00B7094E">
              <w:rPr>
                <w:rFonts w:eastAsia="MS Mincho"/>
              </w:rPr>
              <w:t xml:space="preserve"> </w:t>
            </w:r>
            <w:r w:rsidR="00B7094E" w:rsidRPr="00B7094E">
              <w:rPr>
                <w:rFonts w:eastAsia="MS Mincho"/>
              </w:rPr>
              <w:t>treatment</w:t>
            </w:r>
            <w:r w:rsidR="001E6CD5">
              <w:rPr>
                <w:rFonts w:eastAsia="MS Mincho"/>
              </w:rPr>
              <w:t>,</w:t>
            </w:r>
            <w:r w:rsidR="00B7094E" w:rsidRPr="00B7094E">
              <w:rPr>
                <w:rFonts w:eastAsia="MS Mincho"/>
              </w:rPr>
              <w:t xml:space="preserve"> history of panic disorder</w:t>
            </w:r>
            <w:r w:rsidR="002D624B">
              <w:rPr>
                <w:rFonts w:eastAsia="MS Mincho"/>
              </w:rPr>
              <w:t>,</w:t>
            </w:r>
          </w:p>
          <w:p w14:paraId="18C6B8A2" w14:textId="2CE5812F" w:rsidR="001262BD" w:rsidRPr="00061F78" w:rsidRDefault="00B7094E" w:rsidP="002916A7">
            <w:pPr>
              <w:pStyle w:val="Tablewriting"/>
              <w:rPr>
                <w:rFonts w:eastAsia="MS Mincho"/>
              </w:rPr>
            </w:pPr>
            <w:r w:rsidRPr="00B7094E">
              <w:rPr>
                <w:rFonts w:eastAsia="MS Mincho"/>
              </w:rPr>
              <w:t>psychosis, bipolar disorder, or</w:t>
            </w:r>
            <w:r>
              <w:rPr>
                <w:rFonts w:eastAsia="MS Mincho"/>
              </w:rPr>
              <w:t xml:space="preserve"> </w:t>
            </w:r>
            <w:r w:rsidRPr="00B7094E">
              <w:rPr>
                <w:rFonts w:eastAsia="MS Mincho"/>
              </w:rPr>
              <w:t>eating disorders</w:t>
            </w:r>
            <w:r w:rsidR="002D624B">
              <w:rPr>
                <w:rFonts w:eastAsia="MS Mincho"/>
              </w:rPr>
              <w:t>,</w:t>
            </w:r>
            <w:r w:rsidRPr="00B7094E">
              <w:rPr>
                <w:rFonts w:eastAsia="MS Mincho"/>
              </w:rPr>
              <w:t xml:space="preserve"> </w:t>
            </w:r>
            <w:r w:rsidR="004C4EA7" w:rsidRPr="00B7094E">
              <w:rPr>
                <w:rFonts w:eastAsia="MS Mincho"/>
              </w:rPr>
              <w:t>alcohol,</w:t>
            </w:r>
            <w:r w:rsidRPr="00B7094E">
              <w:rPr>
                <w:rFonts w:eastAsia="MS Mincho"/>
              </w:rPr>
              <w:t xml:space="preserve"> or drug abuse/dependency within the past year</w:t>
            </w:r>
            <w:r w:rsidR="002D624B">
              <w:rPr>
                <w:rFonts w:eastAsia="MS Mincho"/>
              </w:rPr>
              <w:t>,</w:t>
            </w:r>
            <w:r w:rsidRPr="00B7094E">
              <w:rPr>
                <w:rFonts w:eastAsia="MS Mincho"/>
              </w:rPr>
              <w:t xml:space="preserve"> use of</w:t>
            </w:r>
            <w:r>
              <w:rPr>
                <w:rFonts w:eastAsia="MS Mincho"/>
              </w:rPr>
              <w:t xml:space="preserve"> </w:t>
            </w:r>
            <w:r w:rsidRPr="00B7094E">
              <w:rPr>
                <w:rFonts w:eastAsia="MS Mincho"/>
              </w:rPr>
              <w:t>tobacco products other than cigarettes</w:t>
            </w:r>
            <w:r w:rsidR="002D624B">
              <w:rPr>
                <w:rFonts w:eastAsia="MS Mincho"/>
              </w:rPr>
              <w:t>,</w:t>
            </w:r>
            <w:r>
              <w:rPr>
                <w:rFonts w:eastAsia="MS Mincho"/>
              </w:rPr>
              <w:t xml:space="preserve"> </w:t>
            </w:r>
            <w:r w:rsidRPr="00B7094E">
              <w:rPr>
                <w:rFonts w:eastAsia="MS Mincho"/>
              </w:rPr>
              <w:t xml:space="preserve">use of </w:t>
            </w:r>
            <w:r w:rsidR="002D624B">
              <w:rPr>
                <w:rFonts w:eastAsia="MS Mincho"/>
              </w:rPr>
              <w:t>NRT</w:t>
            </w:r>
            <w:r w:rsidRPr="00B7094E">
              <w:rPr>
                <w:rFonts w:eastAsia="MS Mincho"/>
              </w:rPr>
              <w:t>,</w:t>
            </w:r>
            <w:r>
              <w:rPr>
                <w:rFonts w:eastAsia="MS Mincho"/>
              </w:rPr>
              <w:t xml:space="preserve"> </w:t>
            </w:r>
            <w:r w:rsidRPr="00B7094E">
              <w:rPr>
                <w:rFonts w:eastAsia="MS Mincho"/>
              </w:rPr>
              <w:t>clonidine, or nortriptyline within the</w:t>
            </w:r>
            <w:r>
              <w:rPr>
                <w:rFonts w:eastAsia="MS Mincho"/>
              </w:rPr>
              <w:t xml:space="preserve"> </w:t>
            </w:r>
            <w:r w:rsidRPr="00B7094E">
              <w:rPr>
                <w:rFonts w:eastAsia="MS Mincho"/>
              </w:rPr>
              <w:t>month prior to enrolment; and body</w:t>
            </w:r>
            <w:r>
              <w:rPr>
                <w:rFonts w:eastAsia="MS Mincho"/>
              </w:rPr>
              <w:t xml:space="preserve"> </w:t>
            </w:r>
            <w:r w:rsidRPr="00B7094E">
              <w:rPr>
                <w:rFonts w:eastAsia="MS Mincho"/>
              </w:rPr>
              <w:t xml:space="preserve">mass index </w:t>
            </w:r>
            <w:r w:rsidR="004E502E">
              <w:rPr>
                <w:rFonts w:eastAsia="MS Mincho"/>
              </w:rPr>
              <w:t>&lt;</w:t>
            </w:r>
            <w:r w:rsidRPr="00B7094E">
              <w:rPr>
                <w:rFonts w:eastAsia="MS Mincho"/>
              </w:rPr>
              <w:t xml:space="preserve">15 or </w:t>
            </w:r>
            <w:r w:rsidR="004E502E">
              <w:rPr>
                <w:rFonts w:eastAsia="MS Mincho"/>
              </w:rPr>
              <w:t>&gt;</w:t>
            </w:r>
            <w:r w:rsidRPr="00B7094E">
              <w:rPr>
                <w:rFonts w:eastAsia="MS Mincho"/>
              </w:rPr>
              <w:t xml:space="preserve">38 or weight </w:t>
            </w:r>
            <w:r w:rsidR="004E502E">
              <w:rPr>
                <w:rFonts w:eastAsia="MS Mincho"/>
              </w:rPr>
              <w:t>&lt;</w:t>
            </w:r>
            <w:r w:rsidRPr="00B7094E">
              <w:rPr>
                <w:rFonts w:eastAsia="MS Mincho"/>
              </w:rPr>
              <w:t>45.5 kg</w:t>
            </w:r>
            <w:r w:rsidR="00A81583">
              <w:rPr>
                <w:rFonts w:eastAsia="MS Mincho"/>
              </w:rPr>
              <w:t xml:space="preserve">, </w:t>
            </w:r>
            <w:r w:rsidR="00A81583" w:rsidRPr="00A81583">
              <w:rPr>
                <w:rFonts w:eastAsia="MS Mincho"/>
              </w:rPr>
              <w:t>prior exposure to bupropion</w:t>
            </w:r>
            <w:r w:rsidR="00A81583">
              <w:rPr>
                <w:rFonts w:eastAsia="MS Mincho"/>
              </w:rPr>
              <w:t xml:space="preserve"> or varenicline</w:t>
            </w:r>
            <w:r w:rsidR="00FD63C1">
              <w:rPr>
                <w:rFonts w:eastAsia="MS Mincho"/>
              </w:rPr>
              <w:t xml:space="preserve">, pregnancy and </w:t>
            </w:r>
            <w:r w:rsidR="00984468">
              <w:rPr>
                <w:rFonts w:eastAsia="MS Mincho"/>
              </w:rPr>
              <w:t>breastfeeding</w:t>
            </w:r>
            <w:r w:rsidR="00E617B3">
              <w:rPr>
                <w:rFonts w:eastAsia="MS Mincho"/>
              </w:rPr>
              <w:t>.</w:t>
            </w:r>
          </w:p>
        </w:tc>
        <w:tc>
          <w:tcPr>
            <w:tcW w:w="920" w:type="pct"/>
            <w:shd w:val="clear" w:color="auto" w:fill="D9D9D9" w:themeFill="background1" w:themeFillShade="D9"/>
          </w:tcPr>
          <w:p w14:paraId="17F2FD40" w14:textId="53537B49" w:rsidR="001262BD" w:rsidRDefault="002E0F84" w:rsidP="002916A7">
            <w:pPr>
              <w:pStyle w:val="Tablewriting"/>
              <w:rPr>
                <w:rFonts w:eastAsia="MS Mincho"/>
              </w:rPr>
            </w:pPr>
            <w:r>
              <w:rPr>
                <w:rFonts w:eastAsia="MS Mincho"/>
              </w:rPr>
              <w:t>Varenicline</w:t>
            </w:r>
            <w:r w:rsidR="001262BD" w:rsidRPr="00A34E7B">
              <w:rPr>
                <w:rFonts w:eastAsia="MS Mincho"/>
              </w:rPr>
              <w:t xml:space="preserve">: </w:t>
            </w:r>
            <w:r w:rsidR="00807C27" w:rsidRPr="00372F18">
              <w:rPr>
                <w:rFonts w:eastAsia="MS Mincho"/>
              </w:rPr>
              <w:t>1</w:t>
            </w:r>
            <w:r w:rsidR="00621153">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807C27" w:rsidRPr="00372F18">
              <w:rPr>
                <w:rFonts w:eastAsia="MS Mincho"/>
              </w:rPr>
              <w:t xml:space="preserve"> 0.5</w:t>
            </w:r>
            <w:r w:rsidR="00621153">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621153">
              <w:rPr>
                <w:rFonts w:eastAsia="MS Mincho"/>
              </w:rPr>
              <w:t xml:space="preserve"> </w:t>
            </w:r>
            <w:r w:rsidR="00807C27" w:rsidRPr="00372F18">
              <w:rPr>
                <w:rFonts w:eastAsia="MS Mincho"/>
              </w:rPr>
              <w:t>mg twice daily for 4 days, then 1</w:t>
            </w:r>
            <w:r w:rsidR="00621153">
              <w:rPr>
                <w:rFonts w:eastAsia="MS Mincho"/>
              </w:rPr>
              <w:t xml:space="preserve"> </w:t>
            </w:r>
            <w:r w:rsidR="00807C27" w:rsidRPr="00372F18">
              <w:rPr>
                <w:rFonts w:eastAsia="MS Mincho"/>
              </w:rPr>
              <w:t>mg twice daily)</w:t>
            </w:r>
            <w:r w:rsidR="00BB2407">
              <w:rPr>
                <w:rFonts w:eastAsia="MS Mincho"/>
              </w:rPr>
              <w:t xml:space="preserve">; </w:t>
            </w:r>
            <w:r w:rsidR="001262BD">
              <w:rPr>
                <w:rFonts w:eastAsia="MS Mincho"/>
              </w:rPr>
              <w:t xml:space="preserve">Placebo: placebo tablet for </w:t>
            </w:r>
            <w:r w:rsidR="00A826FD">
              <w:rPr>
                <w:rFonts w:eastAsia="MS Mincho"/>
              </w:rPr>
              <w:t>12</w:t>
            </w:r>
            <w:r w:rsidR="001262BD">
              <w:rPr>
                <w:rFonts w:eastAsia="MS Mincho"/>
              </w:rPr>
              <w:t xml:space="preserve"> weeks</w:t>
            </w:r>
            <w:r w:rsidR="00A826FD">
              <w:rPr>
                <w:rFonts w:eastAsia="MS Mincho"/>
              </w:rPr>
              <w:t>, same regimen</w:t>
            </w:r>
            <w:r w:rsidR="000F1E7A">
              <w:rPr>
                <w:rFonts w:eastAsia="MS Mincho"/>
              </w:rPr>
              <w:t>.</w:t>
            </w:r>
          </w:p>
          <w:p w14:paraId="37CC2CDD" w14:textId="77777777" w:rsidR="00987D91" w:rsidRDefault="00987D91" w:rsidP="002916A7">
            <w:pPr>
              <w:pStyle w:val="Tablewriting"/>
              <w:rPr>
                <w:rFonts w:eastAsia="MS Mincho"/>
              </w:rPr>
            </w:pPr>
          </w:p>
          <w:p w14:paraId="6723AAF1" w14:textId="4282BA39" w:rsidR="00987D91" w:rsidRPr="00061F78" w:rsidRDefault="00987D91" w:rsidP="002916A7">
            <w:pPr>
              <w:pStyle w:val="Tablewriting"/>
              <w:rPr>
                <w:rFonts w:eastAsia="MS Mincho"/>
              </w:rPr>
            </w:pPr>
            <w:r w:rsidRPr="00987D91">
              <w:rPr>
                <w:rFonts w:eastAsia="MS Mincho"/>
              </w:rPr>
              <w:t>Behavioural support provided in both arms.</w:t>
            </w:r>
          </w:p>
        </w:tc>
        <w:tc>
          <w:tcPr>
            <w:tcW w:w="1140" w:type="pct"/>
            <w:shd w:val="clear" w:color="auto" w:fill="D9D9D9" w:themeFill="background1" w:themeFillShade="D9"/>
            <w:tcMar>
              <w:left w:w="28" w:type="dxa"/>
              <w:right w:w="28" w:type="dxa"/>
            </w:tcMar>
          </w:tcPr>
          <w:p w14:paraId="5E61DEB4" w14:textId="12FF19D6" w:rsidR="001262BD" w:rsidRDefault="001262BD" w:rsidP="002916A7">
            <w:pPr>
              <w:pStyle w:val="Tablewriting"/>
              <w:rPr>
                <w:rFonts w:eastAsia="MS Mincho"/>
              </w:rPr>
            </w:pPr>
            <w:r w:rsidRPr="008C39E4">
              <w:rPr>
                <w:rFonts w:eastAsia="MS Mincho"/>
                <w:u w:val="single"/>
              </w:rPr>
              <w:t>Primary</w:t>
            </w:r>
            <w:r>
              <w:rPr>
                <w:rFonts w:eastAsia="MS Mincho"/>
              </w:rPr>
              <w:t xml:space="preserve">: </w:t>
            </w:r>
            <w:r w:rsidR="005B56AA">
              <w:rPr>
                <w:rFonts w:eastAsia="MS Mincho"/>
              </w:rPr>
              <w:t>C</w:t>
            </w:r>
            <w:r w:rsidR="00C92774">
              <w:rPr>
                <w:rFonts w:eastAsia="MS Mincho"/>
              </w:rPr>
              <w:t>AR</w:t>
            </w:r>
            <w:r w:rsidR="00D443CE">
              <w:rPr>
                <w:rFonts w:eastAsia="MS Mincho"/>
              </w:rPr>
              <w:t xml:space="preserve"> at </w:t>
            </w:r>
            <w:r w:rsidR="005134FB">
              <w:rPr>
                <w:rFonts w:eastAsia="MS Mincho"/>
              </w:rPr>
              <w:t>w</w:t>
            </w:r>
            <w:r w:rsidR="00D443CE">
              <w:rPr>
                <w:rFonts w:eastAsia="MS Mincho"/>
              </w:rPr>
              <w:t>eek 9-12</w:t>
            </w:r>
            <w:r>
              <w:rPr>
                <w:rFonts w:eastAsia="MS Mincho"/>
              </w:rPr>
              <w:t>. Validated by CO</w:t>
            </w:r>
            <w:r w:rsidR="00C92774">
              <w:rPr>
                <w:rFonts w:eastAsia="MS Mincho"/>
              </w:rPr>
              <w:t xml:space="preserve"> </w:t>
            </w:r>
            <w:r>
              <w:rPr>
                <w:rFonts w:eastAsia="MS Mincho" w:cstheme="minorHAnsi"/>
              </w:rPr>
              <w:t>≤</w:t>
            </w:r>
            <w:r>
              <w:rPr>
                <w:rFonts w:eastAsia="MS Mincho"/>
              </w:rPr>
              <w:t>10</w:t>
            </w:r>
            <w:r w:rsidR="00621153">
              <w:rPr>
                <w:rFonts w:eastAsia="MS Mincho"/>
              </w:rPr>
              <w:t xml:space="preserve"> </w:t>
            </w:r>
            <w:r>
              <w:rPr>
                <w:rFonts w:eastAsia="MS Mincho"/>
              </w:rPr>
              <w:t>ppm.</w:t>
            </w:r>
          </w:p>
          <w:p w14:paraId="7B768367" w14:textId="3DB4C663" w:rsidR="0055171C" w:rsidRDefault="001262BD" w:rsidP="002916A7">
            <w:pPr>
              <w:pStyle w:val="Tablewriting"/>
              <w:rPr>
                <w:rFonts w:eastAsia="MS Mincho"/>
              </w:rPr>
            </w:pPr>
            <w:r w:rsidRPr="008C39E4">
              <w:rPr>
                <w:rFonts w:eastAsia="MS Mincho"/>
                <w:u w:val="single"/>
              </w:rPr>
              <w:t>Secondary</w:t>
            </w:r>
            <w:r>
              <w:rPr>
                <w:rFonts w:eastAsia="MS Mincho"/>
              </w:rPr>
              <w:t xml:space="preserve">: </w:t>
            </w:r>
            <w:r w:rsidR="005B56AA" w:rsidRPr="005B56AA">
              <w:rPr>
                <w:rFonts w:eastAsia="MS Mincho"/>
              </w:rPr>
              <w:t>CAR at</w:t>
            </w:r>
            <w:r w:rsidR="005B56AA">
              <w:rPr>
                <w:rFonts w:eastAsia="MS Mincho"/>
              </w:rPr>
              <w:t xml:space="preserve"> </w:t>
            </w:r>
            <w:r w:rsidR="005134FB">
              <w:rPr>
                <w:rFonts w:eastAsia="MS Mincho"/>
              </w:rPr>
              <w:t>w</w:t>
            </w:r>
            <w:r w:rsidR="005B56AA">
              <w:rPr>
                <w:rFonts w:eastAsia="MS Mincho"/>
              </w:rPr>
              <w:t>eek</w:t>
            </w:r>
            <w:r w:rsidR="005B56AA" w:rsidRPr="005B56AA">
              <w:rPr>
                <w:rFonts w:eastAsia="MS Mincho"/>
              </w:rPr>
              <w:t xml:space="preserve"> 9-24 </w:t>
            </w:r>
            <w:r w:rsidR="00205EB0">
              <w:rPr>
                <w:rFonts w:eastAsia="MS Mincho"/>
              </w:rPr>
              <w:t xml:space="preserve">and </w:t>
            </w:r>
            <w:r w:rsidR="005134FB">
              <w:rPr>
                <w:rFonts w:eastAsia="MS Mincho"/>
              </w:rPr>
              <w:t>w</w:t>
            </w:r>
            <w:r w:rsidR="00205EB0">
              <w:rPr>
                <w:rFonts w:eastAsia="MS Mincho"/>
              </w:rPr>
              <w:t>eek</w:t>
            </w:r>
            <w:r w:rsidR="005B56AA" w:rsidRPr="005B56AA">
              <w:rPr>
                <w:rFonts w:eastAsia="MS Mincho"/>
              </w:rPr>
              <w:t xml:space="preserve"> 9-52; 7-day PPA at </w:t>
            </w:r>
            <w:r w:rsidR="005134FB">
              <w:rPr>
                <w:rFonts w:eastAsia="MS Mincho"/>
              </w:rPr>
              <w:t>w</w:t>
            </w:r>
            <w:r w:rsidR="00604414">
              <w:rPr>
                <w:rFonts w:eastAsia="MS Mincho"/>
              </w:rPr>
              <w:t>eek</w:t>
            </w:r>
            <w:r w:rsidR="005B56AA" w:rsidRPr="005B56AA">
              <w:rPr>
                <w:rFonts w:eastAsia="MS Mincho"/>
              </w:rPr>
              <w:t xml:space="preserve"> 12, 24 and 52</w:t>
            </w:r>
            <w:r w:rsidR="00427493">
              <w:rPr>
                <w:rFonts w:eastAsia="MS Mincho"/>
              </w:rPr>
              <w:t>.</w:t>
            </w:r>
            <w:r w:rsidR="00810D46">
              <w:rPr>
                <w:rFonts w:eastAsia="MS Mincho"/>
              </w:rPr>
              <w:t xml:space="preserve"> Validated by CO </w:t>
            </w:r>
            <w:r w:rsidR="00810D46">
              <w:rPr>
                <w:rFonts w:eastAsia="MS Mincho" w:cstheme="minorHAnsi"/>
              </w:rPr>
              <w:t>≤</w:t>
            </w:r>
            <w:r w:rsidR="00810D46">
              <w:rPr>
                <w:rFonts w:eastAsia="MS Mincho"/>
              </w:rPr>
              <w:t>10</w:t>
            </w:r>
            <w:r w:rsidR="00621153">
              <w:rPr>
                <w:rFonts w:eastAsia="MS Mincho"/>
              </w:rPr>
              <w:t xml:space="preserve"> </w:t>
            </w:r>
            <w:r w:rsidR="00810D46">
              <w:rPr>
                <w:rFonts w:eastAsia="MS Mincho"/>
              </w:rPr>
              <w:t>ppm.</w:t>
            </w:r>
          </w:p>
          <w:p w14:paraId="6BA98298" w14:textId="53D55F34" w:rsidR="001262BD" w:rsidRPr="00061F78" w:rsidRDefault="0055171C" w:rsidP="002916A7">
            <w:pPr>
              <w:pStyle w:val="Tablewriting"/>
              <w:rPr>
                <w:rFonts w:eastAsia="MS Mincho"/>
              </w:rPr>
            </w:pPr>
            <w:r w:rsidRPr="0055171C">
              <w:rPr>
                <w:rFonts w:eastAsia="MS Mincho"/>
                <w:u w:val="single"/>
              </w:rPr>
              <w:t>Other</w:t>
            </w:r>
            <w:r>
              <w:rPr>
                <w:rFonts w:eastAsia="MS Mincho"/>
              </w:rPr>
              <w:t xml:space="preserve">: </w:t>
            </w:r>
            <w:r w:rsidR="00EC37F8">
              <w:rPr>
                <w:rFonts w:eastAsia="MS Mincho"/>
              </w:rPr>
              <w:t>w</w:t>
            </w:r>
            <w:r w:rsidR="00EC37F8" w:rsidRPr="00EC37F8">
              <w:rPr>
                <w:rFonts w:eastAsia="MS Mincho"/>
              </w:rPr>
              <w:t>eight change, withdrawal symptoms (using MNWS, QSU-brief and mCEQ), adverse</w:t>
            </w:r>
            <w:r w:rsidR="00EC37F8">
              <w:rPr>
                <w:rFonts w:eastAsia="MS Mincho"/>
              </w:rPr>
              <w:t xml:space="preserve"> </w:t>
            </w:r>
            <w:r w:rsidR="00EC37F8" w:rsidRPr="00EC37F8">
              <w:rPr>
                <w:rFonts w:eastAsia="MS Mincho"/>
              </w:rPr>
              <w:t>events</w:t>
            </w:r>
            <w:r w:rsidR="000F1E7A">
              <w:rPr>
                <w:rFonts w:eastAsia="MS Mincho"/>
              </w:rPr>
              <w:t>.</w:t>
            </w:r>
          </w:p>
        </w:tc>
      </w:tr>
      <w:tr w:rsidR="00260CD7" w:rsidRPr="00061F78" w14:paraId="26993715" w14:textId="77777777" w:rsidTr="004D7C8D">
        <w:trPr>
          <w:trHeight w:val="99"/>
        </w:trPr>
        <w:tc>
          <w:tcPr>
            <w:tcW w:w="332" w:type="pct"/>
            <w:shd w:val="clear" w:color="auto" w:fill="D9D9D9" w:themeFill="background1" w:themeFillShade="D9"/>
            <w:tcMar>
              <w:left w:w="28" w:type="dxa"/>
              <w:right w:w="28" w:type="dxa"/>
            </w:tcMar>
          </w:tcPr>
          <w:p w14:paraId="4C5269A2" w14:textId="77777777" w:rsidR="00411373" w:rsidRDefault="00411373" w:rsidP="002916A7">
            <w:pPr>
              <w:pStyle w:val="Tablewriting"/>
              <w:rPr>
                <w:rFonts w:eastAsia="MS Mincho"/>
              </w:rPr>
            </w:pPr>
            <w:r>
              <w:rPr>
                <w:rFonts w:eastAsia="MS Mincho"/>
              </w:rPr>
              <w:t>Jorenby</w:t>
            </w:r>
          </w:p>
          <w:p w14:paraId="6ECBFF9A" w14:textId="07837BA2" w:rsidR="00411373" w:rsidRPr="00061F78" w:rsidRDefault="00411373" w:rsidP="002916A7">
            <w:pPr>
              <w:pStyle w:val="Tablewriting"/>
              <w:rPr>
                <w:rFonts w:eastAsia="MS Mincho"/>
              </w:rPr>
            </w:pPr>
            <w:r>
              <w:rPr>
                <w:rFonts w:eastAsia="MS Mincho"/>
              </w:rPr>
              <w:t>(2006)</w:t>
            </w:r>
            <w:r w:rsidR="007E0181" w:rsidRPr="00061F78">
              <w:rPr>
                <w:rFonts w:eastAsia="MS Mincho"/>
              </w:rPr>
              <w:t xml:space="preserve"> </w:t>
            </w:r>
          </w:p>
        </w:tc>
        <w:tc>
          <w:tcPr>
            <w:tcW w:w="395" w:type="pct"/>
            <w:shd w:val="clear" w:color="auto" w:fill="D9D9D9" w:themeFill="background1" w:themeFillShade="D9"/>
          </w:tcPr>
          <w:p w14:paraId="2319BAF9" w14:textId="6EB3B377" w:rsidR="00411373" w:rsidRDefault="00411373"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03BB45C0" w14:textId="3EE227D4" w:rsidR="00411373" w:rsidRDefault="00411373" w:rsidP="002916A7">
            <w:pPr>
              <w:pStyle w:val="Tablewriting"/>
              <w:rPr>
                <w:rFonts w:eastAsia="MS Mincho"/>
              </w:rPr>
            </w:pPr>
            <w:r>
              <w:rPr>
                <w:rFonts w:eastAsia="MS Mincho"/>
              </w:rPr>
              <w:t>N=1</w:t>
            </w:r>
            <w:r w:rsidR="007E0181">
              <w:rPr>
                <w:rFonts w:eastAsia="MS Mincho"/>
              </w:rPr>
              <w:t>,</w:t>
            </w:r>
            <w:r>
              <w:rPr>
                <w:rFonts w:eastAsia="MS Mincho"/>
              </w:rPr>
              <w:t>02</w:t>
            </w:r>
            <w:r w:rsidR="0091279E">
              <w:rPr>
                <w:rFonts w:eastAsia="MS Mincho"/>
              </w:rPr>
              <w:t>7</w:t>
            </w:r>
          </w:p>
          <w:p w14:paraId="5DD64D77" w14:textId="2760963B" w:rsidR="00411373" w:rsidRPr="00061F78" w:rsidRDefault="00411373" w:rsidP="002916A7">
            <w:pPr>
              <w:pStyle w:val="Tablewriting"/>
              <w:rPr>
                <w:rFonts w:eastAsia="MS Mincho"/>
              </w:rPr>
            </w:pPr>
            <w:r>
              <w:rPr>
                <w:rFonts w:eastAsia="MS Mincho"/>
              </w:rPr>
              <w:t>Varenicline (n=3</w:t>
            </w:r>
            <w:r w:rsidR="0091279E">
              <w:rPr>
                <w:rFonts w:eastAsia="MS Mincho"/>
              </w:rPr>
              <w:t>44</w:t>
            </w:r>
            <w:r>
              <w:rPr>
                <w:rFonts w:eastAsia="MS Mincho"/>
              </w:rPr>
              <w:t>), Placebo (n=34</w:t>
            </w:r>
            <w:r w:rsidR="0091279E">
              <w:rPr>
                <w:rFonts w:eastAsia="MS Mincho"/>
              </w:rPr>
              <w:t>1</w:t>
            </w:r>
            <w:r>
              <w:rPr>
                <w:rFonts w:eastAsia="MS Mincho"/>
              </w:rPr>
              <w:t>)</w:t>
            </w:r>
          </w:p>
        </w:tc>
        <w:tc>
          <w:tcPr>
            <w:tcW w:w="1866" w:type="pct"/>
            <w:shd w:val="clear" w:color="auto" w:fill="D9D9D9" w:themeFill="background1" w:themeFillShade="D9"/>
            <w:tcMar>
              <w:left w:w="28" w:type="dxa"/>
              <w:right w:w="28" w:type="dxa"/>
            </w:tcMar>
          </w:tcPr>
          <w:p w14:paraId="49B2604A" w14:textId="04225D2C" w:rsidR="00411373" w:rsidRDefault="00411373" w:rsidP="002916A7">
            <w:pPr>
              <w:pStyle w:val="Tablewriting"/>
              <w:rPr>
                <w:rFonts w:eastAsia="MS Mincho"/>
              </w:rPr>
            </w:pPr>
            <w:r w:rsidRPr="007F28D7">
              <w:rPr>
                <w:rFonts w:eastAsia="MS Mincho"/>
                <w:u w:val="single"/>
              </w:rPr>
              <w:t>Inclusion</w:t>
            </w:r>
            <w:r>
              <w:rPr>
                <w:rFonts w:eastAsia="MS Mincho"/>
              </w:rPr>
              <w:t xml:space="preserve">: </w:t>
            </w:r>
            <w:r w:rsidRPr="007F28D7">
              <w:rPr>
                <w:rFonts w:eastAsia="MS Mincho"/>
              </w:rPr>
              <w:t>18</w:t>
            </w:r>
            <w:r>
              <w:rPr>
                <w:rFonts w:eastAsia="MS Mincho"/>
              </w:rPr>
              <w:t xml:space="preserve">-75 </w:t>
            </w:r>
            <w:r w:rsidRPr="007F28D7">
              <w:rPr>
                <w:rFonts w:eastAsia="MS Mincho"/>
              </w:rPr>
              <w:t xml:space="preserve">years </w:t>
            </w:r>
            <w:r>
              <w:rPr>
                <w:rFonts w:eastAsia="MS Mincho"/>
              </w:rPr>
              <w:t>old</w:t>
            </w:r>
            <w:r w:rsidRPr="007F28D7">
              <w:rPr>
                <w:rFonts w:eastAsia="MS Mincho"/>
              </w:rPr>
              <w:t xml:space="preserve">, </w:t>
            </w:r>
            <w:r w:rsidR="00FC55D5">
              <w:rPr>
                <w:rFonts w:eastAsia="MS Mincho" w:cstheme="minorHAnsi"/>
              </w:rPr>
              <w:t>≥</w:t>
            </w:r>
            <w:r w:rsidR="00A31D77" w:rsidRPr="00A31D77">
              <w:rPr>
                <w:rFonts w:eastAsia="MS Mincho"/>
              </w:rPr>
              <w:t>10</w:t>
            </w:r>
            <w:r w:rsidR="00A31D77">
              <w:rPr>
                <w:rFonts w:eastAsia="MS Mincho"/>
              </w:rPr>
              <w:t xml:space="preserve"> </w:t>
            </w:r>
            <w:r w:rsidR="00A31D77" w:rsidRPr="00A31D77">
              <w:rPr>
                <w:rFonts w:eastAsia="MS Mincho"/>
              </w:rPr>
              <w:t>cigarettes</w:t>
            </w:r>
            <w:r w:rsidR="00FC55D5">
              <w:rPr>
                <w:rFonts w:eastAsia="MS Mincho"/>
              </w:rPr>
              <w:t xml:space="preserve"> per </w:t>
            </w:r>
            <w:r w:rsidR="00A31D77" w:rsidRPr="00A31D77">
              <w:rPr>
                <w:rFonts w:eastAsia="MS Mincho"/>
              </w:rPr>
              <w:t>d</w:t>
            </w:r>
            <w:r w:rsidR="00FC55D5">
              <w:rPr>
                <w:rFonts w:eastAsia="MS Mincho"/>
              </w:rPr>
              <w:t>ay</w:t>
            </w:r>
            <w:r w:rsidR="00A31D77" w:rsidRPr="00A31D77">
              <w:rPr>
                <w:rFonts w:eastAsia="MS Mincho"/>
              </w:rPr>
              <w:t xml:space="preserve"> during the previous</w:t>
            </w:r>
            <w:r w:rsidR="00A31D77">
              <w:rPr>
                <w:rFonts w:eastAsia="MS Mincho"/>
              </w:rPr>
              <w:t xml:space="preserve"> </w:t>
            </w:r>
            <w:r w:rsidR="00A31D77" w:rsidRPr="00A31D77">
              <w:rPr>
                <w:rFonts w:eastAsia="MS Mincho"/>
              </w:rPr>
              <w:t>year, no period of smoking</w:t>
            </w:r>
            <w:r w:rsidR="00861E72">
              <w:rPr>
                <w:rFonts w:eastAsia="MS Mincho"/>
              </w:rPr>
              <w:t xml:space="preserve"> </w:t>
            </w:r>
            <w:r w:rsidR="00A31D77" w:rsidRPr="00A31D77">
              <w:rPr>
                <w:rFonts w:eastAsia="MS Mincho"/>
              </w:rPr>
              <w:t>abstinence longer than 3 months in</w:t>
            </w:r>
            <w:r w:rsidR="00A31D77">
              <w:rPr>
                <w:rFonts w:eastAsia="MS Mincho"/>
              </w:rPr>
              <w:t xml:space="preserve"> </w:t>
            </w:r>
            <w:r w:rsidR="00A31D77" w:rsidRPr="00A31D77">
              <w:rPr>
                <w:rFonts w:eastAsia="MS Mincho"/>
              </w:rPr>
              <w:t>the past year</w:t>
            </w:r>
            <w:r w:rsidR="00E617B3">
              <w:rPr>
                <w:rFonts w:eastAsia="MS Mincho"/>
              </w:rPr>
              <w:t>.</w:t>
            </w:r>
          </w:p>
          <w:p w14:paraId="5A1F6E26" w14:textId="63BB9AD3" w:rsidR="00411373" w:rsidRPr="00061F78" w:rsidRDefault="00411373" w:rsidP="002916A7">
            <w:pPr>
              <w:pStyle w:val="Tablewriting"/>
              <w:rPr>
                <w:rFonts w:eastAsia="MS Mincho"/>
              </w:rPr>
            </w:pPr>
            <w:r w:rsidRPr="007F28D7">
              <w:rPr>
                <w:rFonts w:eastAsia="MS Mincho"/>
                <w:u w:val="single"/>
              </w:rPr>
              <w:t>Exclusion</w:t>
            </w:r>
            <w:r>
              <w:rPr>
                <w:rFonts w:eastAsia="MS Mincho"/>
              </w:rPr>
              <w:t xml:space="preserve">: </w:t>
            </w:r>
            <w:r w:rsidR="00A31D77" w:rsidRPr="00A31D77">
              <w:rPr>
                <w:rFonts w:eastAsia="MS Mincho"/>
              </w:rPr>
              <w:t>previous</w:t>
            </w:r>
            <w:r w:rsidR="00A31D77">
              <w:rPr>
                <w:rFonts w:eastAsia="MS Mincho"/>
              </w:rPr>
              <w:t xml:space="preserve"> </w:t>
            </w:r>
            <w:r w:rsidR="00A31D77" w:rsidRPr="00A31D77">
              <w:rPr>
                <w:rFonts w:eastAsia="MS Mincho"/>
              </w:rPr>
              <w:t>use of bupropion</w:t>
            </w:r>
            <w:r w:rsidR="00861E72">
              <w:rPr>
                <w:rFonts w:eastAsia="MS Mincho"/>
              </w:rPr>
              <w:t>,</w:t>
            </w:r>
            <w:r w:rsidR="00A31D77" w:rsidRPr="00A31D77">
              <w:rPr>
                <w:rFonts w:eastAsia="MS Mincho"/>
              </w:rPr>
              <w:t xml:space="preserve"> contraindications</w:t>
            </w:r>
            <w:r w:rsidR="00A31D77">
              <w:rPr>
                <w:rFonts w:eastAsia="MS Mincho"/>
              </w:rPr>
              <w:t xml:space="preserve"> </w:t>
            </w:r>
            <w:r w:rsidR="00A31D77" w:rsidRPr="00A31D77">
              <w:rPr>
                <w:rFonts w:eastAsia="MS Mincho"/>
              </w:rPr>
              <w:t>for use of bupropion</w:t>
            </w:r>
            <w:r w:rsidR="00861E72">
              <w:rPr>
                <w:rFonts w:eastAsia="MS Mincho"/>
              </w:rPr>
              <w:t xml:space="preserve">, </w:t>
            </w:r>
            <w:r w:rsidR="00A31D77" w:rsidRPr="00A31D77">
              <w:rPr>
                <w:rFonts w:eastAsia="MS Mincho"/>
              </w:rPr>
              <w:t>serious or unstable</w:t>
            </w:r>
            <w:r w:rsidR="00A31D77">
              <w:rPr>
                <w:rFonts w:eastAsia="MS Mincho"/>
              </w:rPr>
              <w:t xml:space="preserve"> </w:t>
            </w:r>
            <w:r w:rsidR="00A31D77" w:rsidRPr="00A31D77">
              <w:rPr>
                <w:rFonts w:eastAsia="MS Mincho"/>
              </w:rPr>
              <w:t>disease within the previous 6</w:t>
            </w:r>
            <w:r w:rsidR="00861E72">
              <w:rPr>
                <w:rFonts w:eastAsia="MS Mincho"/>
              </w:rPr>
              <w:t xml:space="preserve"> </w:t>
            </w:r>
            <w:r w:rsidR="00A31D77" w:rsidRPr="00A31D77">
              <w:rPr>
                <w:rFonts w:eastAsia="MS Mincho"/>
              </w:rPr>
              <w:t>months</w:t>
            </w:r>
            <w:r w:rsidR="00861E72">
              <w:rPr>
                <w:rFonts w:eastAsia="MS Mincho"/>
              </w:rPr>
              <w:t>,</w:t>
            </w:r>
            <w:r w:rsidR="00A31D77" w:rsidRPr="00A31D77">
              <w:rPr>
                <w:rFonts w:eastAsia="MS Mincho"/>
              </w:rPr>
              <w:t xml:space="preserve"> clinically significant cardiovascular</w:t>
            </w:r>
            <w:r w:rsidR="00A31D77">
              <w:rPr>
                <w:rFonts w:eastAsia="MS Mincho"/>
              </w:rPr>
              <w:t xml:space="preserve"> </w:t>
            </w:r>
            <w:r w:rsidR="00A31D77" w:rsidRPr="00A31D77">
              <w:rPr>
                <w:rFonts w:eastAsia="MS Mincho"/>
              </w:rPr>
              <w:t>disease in the previous 6 months</w:t>
            </w:r>
            <w:r w:rsidR="00861E72">
              <w:rPr>
                <w:rFonts w:eastAsia="MS Mincho"/>
              </w:rPr>
              <w:t>,</w:t>
            </w:r>
            <w:r w:rsidR="00A31D77">
              <w:rPr>
                <w:rFonts w:eastAsia="MS Mincho"/>
              </w:rPr>
              <w:t xml:space="preserve"> </w:t>
            </w:r>
            <w:r w:rsidR="00A31D77" w:rsidRPr="00A31D77">
              <w:rPr>
                <w:rFonts w:eastAsia="MS Mincho"/>
              </w:rPr>
              <w:t>uncontrolled hypertension</w:t>
            </w:r>
            <w:r w:rsidR="00861E72">
              <w:rPr>
                <w:rFonts w:eastAsia="MS Mincho"/>
              </w:rPr>
              <w:t>,</w:t>
            </w:r>
            <w:r w:rsidR="00A31D77" w:rsidRPr="00A31D77">
              <w:rPr>
                <w:rFonts w:eastAsia="MS Mincho"/>
              </w:rPr>
              <w:t xml:space="preserve"> baseline systolic</w:t>
            </w:r>
            <w:r w:rsidR="00A31D77">
              <w:rPr>
                <w:rFonts w:eastAsia="MS Mincho"/>
              </w:rPr>
              <w:t xml:space="preserve"> </w:t>
            </w:r>
            <w:r w:rsidR="00A31D77" w:rsidRPr="00A31D77">
              <w:rPr>
                <w:rFonts w:eastAsia="MS Mincho"/>
              </w:rPr>
              <w:t xml:space="preserve">blood pressure </w:t>
            </w:r>
            <w:r w:rsidR="00861E72">
              <w:rPr>
                <w:rFonts w:eastAsia="MS Mincho"/>
              </w:rPr>
              <w:t>&gt;</w:t>
            </w:r>
            <w:r w:rsidR="00A31D77" w:rsidRPr="00A31D77">
              <w:rPr>
                <w:rFonts w:eastAsia="MS Mincho"/>
              </w:rPr>
              <w:t>150</w:t>
            </w:r>
            <w:r w:rsidR="00861E72">
              <w:rPr>
                <w:rFonts w:eastAsia="MS Mincho"/>
              </w:rPr>
              <w:t xml:space="preserve"> </w:t>
            </w:r>
            <w:r w:rsidR="00A31D77" w:rsidRPr="00A31D77">
              <w:rPr>
                <w:rFonts w:eastAsia="MS Mincho"/>
              </w:rPr>
              <w:t>mmHg</w:t>
            </w:r>
            <w:r w:rsidR="00A31D77">
              <w:rPr>
                <w:rFonts w:eastAsia="MS Mincho"/>
              </w:rPr>
              <w:t xml:space="preserve"> </w:t>
            </w:r>
            <w:r w:rsidR="00A31D77" w:rsidRPr="00A31D77">
              <w:rPr>
                <w:rFonts w:eastAsia="MS Mincho"/>
              </w:rPr>
              <w:t xml:space="preserve">or diastolic blood pressure </w:t>
            </w:r>
            <w:r w:rsidR="00861E72">
              <w:rPr>
                <w:rFonts w:eastAsia="MS Mincho"/>
              </w:rPr>
              <w:t>&gt;9</w:t>
            </w:r>
            <w:r w:rsidR="00A31D77" w:rsidRPr="00A31D77">
              <w:rPr>
                <w:rFonts w:eastAsia="MS Mincho"/>
              </w:rPr>
              <w:t>5</w:t>
            </w:r>
            <w:r w:rsidR="00861E72">
              <w:rPr>
                <w:rFonts w:eastAsia="MS Mincho"/>
              </w:rPr>
              <w:t xml:space="preserve"> </w:t>
            </w:r>
            <w:r w:rsidR="00A31D77" w:rsidRPr="00A31D77">
              <w:rPr>
                <w:rFonts w:eastAsia="MS Mincho"/>
              </w:rPr>
              <w:t>mmHg</w:t>
            </w:r>
            <w:r w:rsidR="00861E72">
              <w:rPr>
                <w:rFonts w:eastAsia="MS Mincho"/>
              </w:rPr>
              <w:t>,</w:t>
            </w:r>
            <w:r w:rsidR="00A31D77" w:rsidRPr="00A31D77">
              <w:rPr>
                <w:rFonts w:eastAsia="MS Mincho"/>
              </w:rPr>
              <w:t xml:space="preserve"> severe chronic obstructive</w:t>
            </w:r>
            <w:r w:rsidR="00A31D77">
              <w:rPr>
                <w:rFonts w:eastAsia="MS Mincho"/>
              </w:rPr>
              <w:t xml:space="preserve"> </w:t>
            </w:r>
            <w:r w:rsidR="00A31D77" w:rsidRPr="00A31D77">
              <w:rPr>
                <w:rFonts w:eastAsia="MS Mincho"/>
              </w:rPr>
              <w:t>pulmonary disease</w:t>
            </w:r>
            <w:r w:rsidR="00861E72">
              <w:rPr>
                <w:rFonts w:eastAsia="MS Mincho"/>
              </w:rPr>
              <w:t>,</w:t>
            </w:r>
            <w:r w:rsidR="00A31D77" w:rsidRPr="00A31D77">
              <w:rPr>
                <w:rFonts w:eastAsia="MS Mincho"/>
              </w:rPr>
              <w:t xml:space="preserve"> history of cancer</w:t>
            </w:r>
            <w:r w:rsidR="00861E72">
              <w:rPr>
                <w:rFonts w:eastAsia="MS Mincho"/>
              </w:rPr>
              <w:t>,</w:t>
            </w:r>
            <w:r w:rsidR="00A31D77">
              <w:rPr>
                <w:rFonts w:eastAsia="MS Mincho"/>
              </w:rPr>
              <w:t xml:space="preserve"> </w:t>
            </w:r>
            <w:r w:rsidR="00A31D77" w:rsidRPr="00A31D77">
              <w:rPr>
                <w:rFonts w:eastAsia="MS Mincho"/>
              </w:rPr>
              <w:t>clinically significant allergic reactions</w:t>
            </w:r>
            <w:r w:rsidR="00861E72">
              <w:rPr>
                <w:rFonts w:eastAsia="MS Mincho"/>
              </w:rPr>
              <w:t>,</w:t>
            </w:r>
            <w:r w:rsidR="00A31D77">
              <w:rPr>
                <w:rFonts w:eastAsia="MS Mincho"/>
              </w:rPr>
              <w:t xml:space="preserve"> </w:t>
            </w:r>
            <w:r w:rsidR="00A31D77" w:rsidRPr="00A31D77">
              <w:rPr>
                <w:rFonts w:eastAsia="MS Mincho"/>
              </w:rPr>
              <w:t xml:space="preserve">body mass index </w:t>
            </w:r>
            <w:r w:rsidR="00861E72">
              <w:rPr>
                <w:rFonts w:eastAsia="MS Mincho"/>
              </w:rPr>
              <w:t>&lt;</w:t>
            </w:r>
            <w:r w:rsidR="00A31D77" w:rsidRPr="00A31D77">
              <w:rPr>
                <w:rFonts w:eastAsia="MS Mincho"/>
              </w:rPr>
              <w:t xml:space="preserve">15 or </w:t>
            </w:r>
            <w:r w:rsidR="00861E72">
              <w:rPr>
                <w:rFonts w:eastAsia="MS Mincho"/>
              </w:rPr>
              <w:t>&gt;</w:t>
            </w:r>
            <w:r w:rsidR="00A31D77" w:rsidRPr="00A31D77">
              <w:rPr>
                <w:rFonts w:eastAsia="MS Mincho"/>
              </w:rPr>
              <w:t xml:space="preserve">38; body weight </w:t>
            </w:r>
            <w:r w:rsidR="00861E72">
              <w:rPr>
                <w:rFonts w:eastAsia="MS Mincho"/>
              </w:rPr>
              <w:t>&lt;</w:t>
            </w:r>
            <w:r w:rsidR="00A31D77" w:rsidRPr="00A31D77">
              <w:rPr>
                <w:rFonts w:eastAsia="MS Mincho"/>
              </w:rPr>
              <w:t>45 kg</w:t>
            </w:r>
            <w:r w:rsidR="00861E72">
              <w:rPr>
                <w:rFonts w:eastAsia="MS Mincho"/>
              </w:rPr>
              <w:t>,</w:t>
            </w:r>
            <w:r w:rsidR="00A31D77">
              <w:t xml:space="preserve"> </w:t>
            </w:r>
            <w:r w:rsidR="00A31D77" w:rsidRPr="00A31D77">
              <w:rPr>
                <w:rFonts w:eastAsia="MS Mincho"/>
              </w:rPr>
              <w:t>history of alcohol or other drug abuse or</w:t>
            </w:r>
            <w:r w:rsidR="00A31D77">
              <w:rPr>
                <w:rFonts w:eastAsia="MS Mincho"/>
              </w:rPr>
              <w:t xml:space="preserve"> </w:t>
            </w:r>
            <w:r w:rsidR="00A31D77" w:rsidRPr="00A31D77">
              <w:rPr>
                <w:rFonts w:eastAsia="MS Mincho"/>
              </w:rPr>
              <w:t>dependence in the previous 12 months</w:t>
            </w:r>
            <w:r w:rsidR="00861E72">
              <w:rPr>
                <w:rFonts w:eastAsia="MS Mincho"/>
              </w:rPr>
              <w:t xml:space="preserve"> </w:t>
            </w:r>
            <w:r w:rsidR="00A31D77" w:rsidRPr="00A31D77">
              <w:rPr>
                <w:rFonts w:eastAsia="MS Mincho"/>
              </w:rPr>
              <w:t>(nicotine excepted)</w:t>
            </w:r>
            <w:r w:rsidR="00861E72">
              <w:rPr>
                <w:rFonts w:eastAsia="MS Mincho"/>
              </w:rPr>
              <w:t>,</w:t>
            </w:r>
            <w:r w:rsidR="00A31D77" w:rsidRPr="00A31D77">
              <w:rPr>
                <w:rFonts w:eastAsia="MS Mincho"/>
              </w:rPr>
              <w:t xml:space="preserve"> treatment for major</w:t>
            </w:r>
            <w:r w:rsidR="00A31D77">
              <w:rPr>
                <w:rFonts w:eastAsia="MS Mincho"/>
              </w:rPr>
              <w:t xml:space="preserve"> </w:t>
            </w:r>
            <w:r w:rsidR="00A31D77" w:rsidRPr="00A31D77">
              <w:rPr>
                <w:rFonts w:eastAsia="MS Mincho"/>
              </w:rPr>
              <w:t>depression in the previous 12 months</w:t>
            </w:r>
            <w:r w:rsidR="00861E72">
              <w:rPr>
                <w:rFonts w:eastAsia="MS Mincho"/>
              </w:rPr>
              <w:t>,</w:t>
            </w:r>
            <w:r w:rsidR="00A31D77">
              <w:rPr>
                <w:rFonts w:eastAsia="MS Mincho"/>
              </w:rPr>
              <w:t xml:space="preserve"> </w:t>
            </w:r>
            <w:r w:rsidR="00A31D77" w:rsidRPr="00A31D77">
              <w:rPr>
                <w:rFonts w:eastAsia="MS Mincho"/>
              </w:rPr>
              <w:t>history of or current panic disorder, psychosis,</w:t>
            </w:r>
            <w:r w:rsidR="00A31D77">
              <w:rPr>
                <w:rFonts w:eastAsia="MS Mincho"/>
              </w:rPr>
              <w:t xml:space="preserve"> </w:t>
            </w:r>
            <w:r w:rsidR="00A31D77" w:rsidRPr="00A31D77">
              <w:rPr>
                <w:rFonts w:eastAsia="MS Mincho"/>
              </w:rPr>
              <w:t>or bipolar disorder; use of another</w:t>
            </w:r>
            <w:r w:rsidR="00A31D77">
              <w:rPr>
                <w:rFonts w:eastAsia="MS Mincho"/>
              </w:rPr>
              <w:t xml:space="preserve"> </w:t>
            </w:r>
            <w:r w:rsidR="00A31D77" w:rsidRPr="00A31D77">
              <w:rPr>
                <w:rFonts w:eastAsia="MS Mincho"/>
              </w:rPr>
              <w:t xml:space="preserve">investigational </w:t>
            </w:r>
            <w:r w:rsidR="00A31D77" w:rsidRPr="00A31D77">
              <w:rPr>
                <w:rFonts w:eastAsia="MS Mincho"/>
              </w:rPr>
              <w:lastRenderedPageBreak/>
              <w:t>drug within 30 days</w:t>
            </w:r>
            <w:r w:rsidR="00861E72">
              <w:rPr>
                <w:rFonts w:eastAsia="MS Mincho"/>
              </w:rPr>
              <w:t>,</w:t>
            </w:r>
            <w:r w:rsidR="00A31D77" w:rsidRPr="00A31D77">
              <w:rPr>
                <w:rFonts w:eastAsia="MS Mincho"/>
              </w:rPr>
              <w:t xml:space="preserve"> previous participation</w:t>
            </w:r>
            <w:r w:rsidR="00A31D77">
              <w:rPr>
                <w:rFonts w:eastAsia="MS Mincho"/>
              </w:rPr>
              <w:t xml:space="preserve"> </w:t>
            </w:r>
            <w:r w:rsidR="00A31D77" w:rsidRPr="00A31D77">
              <w:rPr>
                <w:rFonts w:eastAsia="MS Mincho"/>
              </w:rPr>
              <w:t>in any varenicline study</w:t>
            </w:r>
            <w:r w:rsidR="002A0A3E">
              <w:rPr>
                <w:rFonts w:eastAsia="MS Mincho"/>
              </w:rPr>
              <w:t>,</w:t>
            </w:r>
            <w:r w:rsidR="00A31D77" w:rsidRPr="00A31D77">
              <w:rPr>
                <w:rFonts w:eastAsia="MS Mincho"/>
              </w:rPr>
              <w:t xml:space="preserve"> use in the</w:t>
            </w:r>
            <w:r w:rsidR="00A31D77">
              <w:rPr>
                <w:rFonts w:eastAsia="MS Mincho"/>
              </w:rPr>
              <w:t xml:space="preserve"> </w:t>
            </w:r>
            <w:r w:rsidR="00A31D77" w:rsidRPr="00A31D77">
              <w:rPr>
                <w:rFonts w:eastAsia="MS Mincho"/>
              </w:rPr>
              <w:t>previous month or intention to use medications</w:t>
            </w:r>
            <w:r w:rsidR="00A31D77">
              <w:rPr>
                <w:rFonts w:eastAsia="MS Mincho"/>
              </w:rPr>
              <w:t xml:space="preserve"> </w:t>
            </w:r>
            <w:r w:rsidR="00A31D77" w:rsidRPr="00A31D77">
              <w:rPr>
                <w:rFonts w:eastAsia="MS Mincho"/>
              </w:rPr>
              <w:t>that might interfere with study</w:t>
            </w:r>
            <w:r w:rsidR="00A31D77">
              <w:rPr>
                <w:rFonts w:eastAsia="MS Mincho"/>
              </w:rPr>
              <w:t xml:space="preserve"> </w:t>
            </w:r>
            <w:r w:rsidR="00A31D77" w:rsidRPr="00A31D77">
              <w:rPr>
                <w:rFonts w:eastAsia="MS Mincho"/>
              </w:rPr>
              <w:t>medication evaluation</w:t>
            </w:r>
            <w:r w:rsidR="002A0A3E">
              <w:rPr>
                <w:rFonts w:eastAsia="MS Mincho"/>
              </w:rPr>
              <w:t>,</w:t>
            </w:r>
            <w:r w:rsidR="00A31D77" w:rsidRPr="00A31D77">
              <w:rPr>
                <w:rFonts w:eastAsia="MS Mincho"/>
              </w:rPr>
              <w:t xml:space="preserve">  use</w:t>
            </w:r>
            <w:r w:rsidR="00A31D77">
              <w:rPr>
                <w:rFonts w:eastAsia="MS Mincho"/>
              </w:rPr>
              <w:t xml:space="preserve"> </w:t>
            </w:r>
            <w:r w:rsidR="00A31D77" w:rsidRPr="00A31D77">
              <w:rPr>
                <w:rFonts w:eastAsia="MS Mincho"/>
              </w:rPr>
              <w:t>of marijuana or other tobacco products</w:t>
            </w:r>
            <w:r w:rsidR="00A31D77">
              <w:rPr>
                <w:rFonts w:eastAsia="MS Mincho"/>
              </w:rPr>
              <w:t xml:space="preserve"> </w:t>
            </w:r>
            <w:r w:rsidR="00A31D77" w:rsidRPr="00A31D77">
              <w:rPr>
                <w:rFonts w:eastAsia="MS Mincho"/>
              </w:rPr>
              <w:t>during the study</w:t>
            </w:r>
            <w:r w:rsidR="002A0A3E">
              <w:rPr>
                <w:rFonts w:eastAsia="MS Mincho"/>
              </w:rPr>
              <w:t>,</w:t>
            </w:r>
            <w:r w:rsidR="00A31D77" w:rsidRPr="00A31D77">
              <w:rPr>
                <w:rFonts w:eastAsia="MS Mincho"/>
              </w:rPr>
              <w:t xml:space="preserve"> clinically significant abnormalities</w:t>
            </w:r>
            <w:r w:rsidR="00A31D77">
              <w:rPr>
                <w:rFonts w:eastAsia="MS Mincho"/>
              </w:rPr>
              <w:t xml:space="preserve"> </w:t>
            </w:r>
            <w:r w:rsidR="00A31D77" w:rsidRPr="00A31D77">
              <w:rPr>
                <w:rFonts w:eastAsia="MS Mincho"/>
              </w:rPr>
              <w:t>in the screening laboratory</w:t>
            </w:r>
            <w:r w:rsidR="00A31D77">
              <w:rPr>
                <w:rFonts w:eastAsia="MS Mincho"/>
              </w:rPr>
              <w:t xml:space="preserve"> </w:t>
            </w:r>
            <w:r w:rsidR="00A31D77" w:rsidRPr="00A31D77">
              <w:rPr>
                <w:rFonts w:eastAsia="MS Mincho"/>
              </w:rPr>
              <w:t>values</w:t>
            </w:r>
            <w:r w:rsidR="002A0A3E">
              <w:rPr>
                <w:rFonts w:eastAsia="MS Mincho"/>
              </w:rPr>
              <w:t>,</w:t>
            </w:r>
            <w:r w:rsidR="00A31D77">
              <w:rPr>
                <w:rFonts w:eastAsia="MS Mincho"/>
              </w:rPr>
              <w:t xml:space="preserve"> pregnancy</w:t>
            </w:r>
            <w:r w:rsidR="00E617B3">
              <w:rPr>
                <w:rFonts w:eastAsia="MS Mincho"/>
              </w:rPr>
              <w:t>.</w:t>
            </w:r>
          </w:p>
        </w:tc>
        <w:tc>
          <w:tcPr>
            <w:tcW w:w="920" w:type="pct"/>
            <w:shd w:val="clear" w:color="auto" w:fill="D9D9D9" w:themeFill="background1" w:themeFillShade="D9"/>
          </w:tcPr>
          <w:p w14:paraId="6152CFA9" w14:textId="3FF544BA" w:rsidR="00807C27" w:rsidRDefault="00411373" w:rsidP="002916A7">
            <w:pPr>
              <w:pStyle w:val="Tablewriting"/>
              <w:rPr>
                <w:rFonts w:eastAsia="MS Mincho"/>
              </w:rPr>
            </w:pPr>
            <w:r>
              <w:rPr>
                <w:rFonts w:eastAsia="MS Mincho"/>
              </w:rPr>
              <w:lastRenderedPageBreak/>
              <w:t>Varenicline</w:t>
            </w:r>
            <w:r w:rsidRPr="00A34E7B">
              <w:rPr>
                <w:rFonts w:eastAsia="MS Mincho"/>
              </w:rPr>
              <w:t xml:space="preserve">: </w:t>
            </w:r>
            <w:r w:rsidR="00807C27" w:rsidRPr="00372F18">
              <w:rPr>
                <w:rFonts w:eastAsia="MS Mincho"/>
              </w:rPr>
              <w:t>1</w:t>
            </w:r>
            <w:r w:rsidR="008C5D20">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807C27" w:rsidRPr="00372F18">
              <w:rPr>
                <w:rFonts w:eastAsia="MS Mincho"/>
              </w:rPr>
              <w:t xml:space="preserve"> 0.5</w:t>
            </w:r>
            <w:r w:rsidR="008C5D20">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8C5D20">
              <w:rPr>
                <w:rFonts w:eastAsia="MS Mincho"/>
              </w:rPr>
              <w:t xml:space="preserve"> </w:t>
            </w:r>
            <w:r w:rsidR="00807C27" w:rsidRPr="00372F18">
              <w:rPr>
                <w:rFonts w:eastAsia="MS Mincho"/>
              </w:rPr>
              <w:t>mg twice daily for 4 days, then 1</w:t>
            </w:r>
            <w:r w:rsidR="008C5D20">
              <w:rPr>
                <w:rFonts w:eastAsia="MS Mincho"/>
              </w:rPr>
              <w:t xml:space="preserve"> </w:t>
            </w:r>
            <w:r w:rsidR="00807C27" w:rsidRPr="00372F18">
              <w:rPr>
                <w:rFonts w:eastAsia="MS Mincho"/>
              </w:rPr>
              <w:t>mg twice daily)</w:t>
            </w:r>
            <w:r w:rsidR="004657DA">
              <w:rPr>
                <w:rFonts w:eastAsia="MS Mincho"/>
              </w:rPr>
              <w:t>;</w:t>
            </w:r>
          </w:p>
          <w:p w14:paraId="210E4686" w14:textId="3BB22688" w:rsidR="00411373" w:rsidRDefault="00411373" w:rsidP="002916A7">
            <w:pPr>
              <w:pStyle w:val="Tablewriting"/>
              <w:rPr>
                <w:rFonts w:eastAsia="MS Mincho"/>
              </w:rPr>
            </w:pPr>
            <w:r>
              <w:rPr>
                <w:rFonts w:eastAsia="MS Mincho"/>
              </w:rPr>
              <w:t>Placebo: placebo tablet for 12 weeks, same regimen</w:t>
            </w:r>
            <w:r w:rsidR="000F1E7A">
              <w:rPr>
                <w:rFonts w:eastAsia="MS Mincho"/>
              </w:rPr>
              <w:t>.</w:t>
            </w:r>
          </w:p>
          <w:p w14:paraId="0F5722A0" w14:textId="77777777" w:rsidR="00987D91" w:rsidRDefault="00987D91" w:rsidP="002916A7">
            <w:pPr>
              <w:pStyle w:val="Tablewriting"/>
              <w:rPr>
                <w:rFonts w:eastAsia="MS Mincho"/>
              </w:rPr>
            </w:pPr>
          </w:p>
          <w:p w14:paraId="3DD9EC60" w14:textId="48484D35" w:rsidR="00987D91" w:rsidRPr="00A34E7B" w:rsidRDefault="00FA6F72" w:rsidP="002916A7">
            <w:pPr>
              <w:pStyle w:val="Tablewriting"/>
              <w:rPr>
                <w:rFonts w:eastAsia="MS Mincho"/>
              </w:rPr>
            </w:pPr>
            <w:r w:rsidRPr="00FA6F72">
              <w:rPr>
                <w:rFonts w:eastAsia="MS Mincho"/>
              </w:rPr>
              <w:t>Behavioural support provided in both arms.</w:t>
            </w:r>
          </w:p>
        </w:tc>
        <w:tc>
          <w:tcPr>
            <w:tcW w:w="1140" w:type="pct"/>
            <w:shd w:val="clear" w:color="auto" w:fill="D9D9D9" w:themeFill="background1" w:themeFillShade="D9"/>
            <w:tcMar>
              <w:left w:w="28" w:type="dxa"/>
              <w:right w:w="28" w:type="dxa"/>
            </w:tcMar>
          </w:tcPr>
          <w:p w14:paraId="21B06FF7" w14:textId="33435A28" w:rsidR="00411373" w:rsidRDefault="00411373" w:rsidP="002916A7">
            <w:pPr>
              <w:pStyle w:val="Tablewriting"/>
              <w:rPr>
                <w:rFonts w:eastAsia="MS Mincho"/>
              </w:rPr>
            </w:pPr>
            <w:r w:rsidRPr="008C39E4">
              <w:rPr>
                <w:rFonts w:eastAsia="MS Mincho"/>
                <w:u w:val="single"/>
              </w:rPr>
              <w:t>Primary</w:t>
            </w:r>
            <w:r>
              <w:rPr>
                <w:rFonts w:eastAsia="MS Mincho"/>
              </w:rPr>
              <w:t xml:space="preserve">: </w:t>
            </w:r>
            <w:r w:rsidR="00FC55D5">
              <w:rPr>
                <w:rFonts w:eastAsia="MS Mincho"/>
              </w:rPr>
              <w:t>CAR</w:t>
            </w:r>
            <w:r>
              <w:rPr>
                <w:rFonts w:eastAsia="MS Mincho"/>
              </w:rPr>
              <w:t xml:space="preserve"> at </w:t>
            </w:r>
            <w:r w:rsidR="005134FB">
              <w:rPr>
                <w:rFonts w:eastAsia="MS Mincho"/>
              </w:rPr>
              <w:t>w</w:t>
            </w:r>
            <w:r>
              <w:rPr>
                <w:rFonts w:eastAsia="MS Mincho"/>
              </w:rPr>
              <w:t>eek 9-12. Validated by CO</w:t>
            </w:r>
            <w:r w:rsidR="00FC55D5">
              <w:rPr>
                <w:rFonts w:eastAsia="MS Mincho"/>
              </w:rPr>
              <w:t xml:space="preserve"> </w:t>
            </w:r>
            <w:r>
              <w:rPr>
                <w:rFonts w:eastAsia="MS Mincho" w:cstheme="minorHAnsi"/>
              </w:rPr>
              <w:t>≤</w:t>
            </w:r>
            <w:r>
              <w:rPr>
                <w:rFonts w:eastAsia="MS Mincho"/>
              </w:rPr>
              <w:t>10</w:t>
            </w:r>
            <w:r w:rsidR="008C5D20">
              <w:rPr>
                <w:rFonts w:eastAsia="MS Mincho"/>
              </w:rPr>
              <w:t xml:space="preserve"> </w:t>
            </w:r>
            <w:r>
              <w:rPr>
                <w:rFonts w:eastAsia="MS Mincho"/>
              </w:rPr>
              <w:t>ppm.</w:t>
            </w:r>
          </w:p>
          <w:p w14:paraId="08C421BD" w14:textId="37EB30A3" w:rsidR="00411373" w:rsidRDefault="00411373" w:rsidP="002916A7">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5134FB">
              <w:rPr>
                <w:rFonts w:eastAsia="MS Mincho"/>
              </w:rPr>
              <w:t>w</w:t>
            </w:r>
            <w:r>
              <w:rPr>
                <w:rFonts w:eastAsia="MS Mincho"/>
              </w:rPr>
              <w:t>eek</w:t>
            </w:r>
            <w:r w:rsidRPr="005B56AA">
              <w:rPr>
                <w:rFonts w:eastAsia="MS Mincho"/>
              </w:rPr>
              <w:t xml:space="preserve"> 9-24 </w:t>
            </w:r>
            <w:r>
              <w:rPr>
                <w:rFonts w:eastAsia="MS Mincho"/>
              </w:rPr>
              <w:t xml:space="preserve">and </w:t>
            </w:r>
            <w:r w:rsidR="005134FB">
              <w:rPr>
                <w:rFonts w:eastAsia="MS Mincho"/>
              </w:rPr>
              <w:t>w</w:t>
            </w:r>
            <w:r>
              <w:rPr>
                <w:rFonts w:eastAsia="MS Mincho"/>
              </w:rPr>
              <w:t>eek</w:t>
            </w:r>
            <w:r w:rsidRPr="005B56AA">
              <w:rPr>
                <w:rFonts w:eastAsia="MS Mincho"/>
              </w:rPr>
              <w:t xml:space="preserve"> 9-52; 7-day PPA at </w:t>
            </w:r>
            <w:r w:rsidR="005134FB">
              <w:rPr>
                <w:rFonts w:eastAsia="MS Mincho"/>
              </w:rPr>
              <w:t>w</w:t>
            </w:r>
            <w:r>
              <w:rPr>
                <w:rFonts w:eastAsia="MS Mincho"/>
              </w:rPr>
              <w:t>eek</w:t>
            </w:r>
            <w:r w:rsidRPr="005B56AA">
              <w:rPr>
                <w:rFonts w:eastAsia="MS Mincho"/>
              </w:rPr>
              <w:t xml:space="preserve"> 12, 24 and 52</w:t>
            </w:r>
            <w:r w:rsidR="00810D46">
              <w:rPr>
                <w:rFonts w:eastAsia="MS Mincho"/>
              </w:rPr>
              <w:t xml:space="preserve">. Validated by CO </w:t>
            </w:r>
            <w:r w:rsidR="00810D46">
              <w:rPr>
                <w:rFonts w:eastAsia="MS Mincho" w:cstheme="minorHAnsi"/>
              </w:rPr>
              <w:t>≤</w:t>
            </w:r>
            <w:r w:rsidR="00810D46">
              <w:rPr>
                <w:rFonts w:eastAsia="MS Mincho"/>
              </w:rPr>
              <w:t>10</w:t>
            </w:r>
            <w:r w:rsidR="008C5D20">
              <w:rPr>
                <w:rFonts w:eastAsia="MS Mincho"/>
              </w:rPr>
              <w:t xml:space="preserve"> </w:t>
            </w:r>
            <w:r w:rsidR="00810D46">
              <w:rPr>
                <w:rFonts w:eastAsia="MS Mincho"/>
              </w:rPr>
              <w:t>ppm.</w:t>
            </w:r>
          </w:p>
          <w:p w14:paraId="05263A5A" w14:textId="3C7D04AD" w:rsidR="00411373" w:rsidRPr="00061F78" w:rsidRDefault="00411373" w:rsidP="002916A7">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F1E7A">
              <w:rPr>
                <w:rFonts w:eastAsia="MS Mincho"/>
              </w:rPr>
              <w:t>.</w:t>
            </w:r>
          </w:p>
        </w:tc>
      </w:tr>
      <w:tr w:rsidR="00260CD7" w:rsidRPr="00061F78" w14:paraId="1511AA9F" w14:textId="77777777" w:rsidTr="004D7C8D">
        <w:trPr>
          <w:trHeight w:val="99"/>
        </w:trPr>
        <w:tc>
          <w:tcPr>
            <w:tcW w:w="332" w:type="pct"/>
            <w:shd w:val="clear" w:color="auto" w:fill="D9D9D9" w:themeFill="background1" w:themeFillShade="D9"/>
            <w:tcMar>
              <w:left w:w="28" w:type="dxa"/>
              <w:right w:w="28" w:type="dxa"/>
            </w:tcMar>
          </w:tcPr>
          <w:p w14:paraId="726E2015" w14:textId="32961C40" w:rsidR="00897F5E" w:rsidRPr="00061F78" w:rsidRDefault="00897F5E" w:rsidP="002916A7">
            <w:pPr>
              <w:pStyle w:val="Tablewriting"/>
              <w:rPr>
                <w:rFonts w:eastAsia="MS Mincho"/>
              </w:rPr>
            </w:pPr>
            <w:r>
              <w:rPr>
                <w:rFonts w:eastAsia="MS Mincho"/>
              </w:rPr>
              <w:t>Oncken (2006)</w:t>
            </w:r>
            <w:r w:rsidR="00A53FBE" w:rsidRPr="00061F78">
              <w:rPr>
                <w:rFonts w:eastAsia="MS Mincho"/>
              </w:rPr>
              <w:t xml:space="preserve"> </w:t>
            </w:r>
          </w:p>
        </w:tc>
        <w:tc>
          <w:tcPr>
            <w:tcW w:w="395" w:type="pct"/>
            <w:shd w:val="clear" w:color="auto" w:fill="D9D9D9" w:themeFill="background1" w:themeFillShade="D9"/>
          </w:tcPr>
          <w:p w14:paraId="05D1BE58" w14:textId="491FD2DC" w:rsidR="00897F5E" w:rsidRDefault="00897F5E"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3E70CC6B" w14:textId="2BB5AB0A" w:rsidR="00897F5E" w:rsidRDefault="00897F5E" w:rsidP="002916A7">
            <w:pPr>
              <w:pStyle w:val="Tablewriting"/>
              <w:rPr>
                <w:rFonts w:eastAsia="MS Mincho"/>
              </w:rPr>
            </w:pPr>
            <w:r>
              <w:rPr>
                <w:rFonts w:eastAsia="MS Mincho"/>
              </w:rPr>
              <w:t>N=647</w:t>
            </w:r>
          </w:p>
          <w:p w14:paraId="5A7FE699" w14:textId="144C497C" w:rsidR="00897F5E" w:rsidRPr="00061F78" w:rsidRDefault="00897F5E" w:rsidP="002916A7">
            <w:pPr>
              <w:pStyle w:val="Tablewriting"/>
              <w:rPr>
                <w:rFonts w:eastAsia="MS Mincho"/>
              </w:rPr>
            </w:pPr>
            <w:r>
              <w:rPr>
                <w:rFonts w:eastAsia="MS Mincho"/>
              </w:rPr>
              <w:t>Varenicline (n=</w:t>
            </w:r>
            <w:r w:rsidR="007C51CC">
              <w:rPr>
                <w:rFonts w:eastAsia="MS Mincho"/>
              </w:rPr>
              <w:t>259</w:t>
            </w:r>
            <w:r>
              <w:rPr>
                <w:rFonts w:eastAsia="MS Mincho"/>
              </w:rPr>
              <w:t>)</w:t>
            </w:r>
            <w:r w:rsidR="00DF5CEC">
              <w:rPr>
                <w:rFonts w:eastAsia="MS Mincho"/>
                <w:vertAlign w:val="superscript"/>
              </w:rPr>
              <w:t>2</w:t>
            </w:r>
            <w:r>
              <w:rPr>
                <w:rFonts w:eastAsia="MS Mincho"/>
              </w:rPr>
              <w:t>, Placebo (n=</w:t>
            </w:r>
            <w:r w:rsidR="007C51CC">
              <w:rPr>
                <w:rFonts w:eastAsia="MS Mincho"/>
              </w:rPr>
              <w:t>129</w:t>
            </w:r>
            <w:r>
              <w:rPr>
                <w:rFonts w:eastAsia="MS Mincho"/>
              </w:rPr>
              <w:t>)</w:t>
            </w:r>
          </w:p>
        </w:tc>
        <w:tc>
          <w:tcPr>
            <w:tcW w:w="1866" w:type="pct"/>
            <w:shd w:val="clear" w:color="auto" w:fill="D9D9D9" w:themeFill="background1" w:themeFillShade="D9"/>
            <w:tcMar>
              <w:left w:w="28" w:type="dxa"/>
              <w:right w:w="28" w:type="dxa"/>
            </w:tcMar>
          </w:tcPr>
          <w:p w14:paraId="339E0C56" w14:textId="21A916F2" w:rsidR="0092592F" w:rsidRDefault="00897F5E" w:rsidP="002916A7">
            <w:pPr>
              <w:pStyle w:val="Tablewriting"/>
              <w:rPr>
                <w:rFonts w:eastAsia="MS Mincho"/>
              </w:rPr>
            </w:pPr>
            <w:r w:rsidRPr="007F28D7">
              <w:rPr>
                <w:rFonts w:eastAsia="MS Mincho"/>
                <w:u w:val="single"/>
              </w:rPr>
              <w:t>Inclusion</w:t>
            </w:r>
            <w:r>
              <w:rPr>
                <w:rFonts w:eastAsia="MS Mincho"/>
              </w:rPr>
              <w:t xml:space="preserve">: </w:t>
            </w:r>
            <w:r w:rsidR="0092592F">
              <w:rPr>
                <w:rFonts w:eastAsia="MS Mincho"/>
              </w:rPr>
              <w:t xml:space="preserve">healthy cigarette smokers, </w:t>
            </w:r>
            <w:r w:rsidRPr="007F28D7">
              <w:rPr>
                <w:rFonts w:eastAsia="MS Mincho"/>
              </w:rPr>
              <w:t>18</w:t>
            </w:r>
            <w:r>
              <w:rPr>
                <w:rFonts w:eastAsia="MS Mincho"/>
              </w:rPr>
              <w:t>-</w:t>
            </w:r>
            <w:r w:rsidR="005F6610">
              <w:rPr>
                <w:rFonts w:eastAsia="MS Mincho"/>
              </w:rPr>
              <w:t>6</w:t>
            </w:r>
            <w:r>
              <w:rPr>
                <w:rFonts w:eastAsia="MS Mincho"/>
              </w:rPr>
              <w:t xml:space="preserve">5 </w:t>
            </w:r>
            <w:r w:rsidRPr="007F28D7">
              <w:rPr>
                <w:rFonts w:eastAsia="MS Mincho"/>
              </w:rPr>
              <w:t xml:space="preserve">years </w:t>
            </w:r>
            <w:r>
              <w:rPr>
                <w:rFonts w:eastAsia="MS Mincho"/>
              </w:rPr>
              <w:t>old</w:t>
            </w:r>
            <w:r w:rsidRPr="007F28D7">
              <w:rPr>
                <w:rFonts w:eastAsia="MS Mincho"/>
              </w:rPr>
              <w:t xml:space="preserve">, </w:t>
            </w:r>
            <w:r w:rsidR="00BD2033">
              <w:rPr>
                <w:rFonts w:eastAsia="MS Mincho" w:cstheme="minorHAnsi"/>
              </w:rPr>
              <w:t>≥</w:t>
            </w:r>
            <w:r w:rsidR="0092592F" w:rsidRPr="0092592F">
              <w:rPr>
                <w:rFonts w:eastAsia="MS Mincho"/>
              </w:rPr>
              <w:t>10 cigarettes per day</w:t>
            </w:r>
            <w:r w:rsidR="00E617B3">
              <w:rPr>
                <w:rFonts w:eastAsia="MS Mincho"/>
              </w:rPr>
              <w:t>.</w:t>
            </w:r>
          </w:p>
          <w:p w14:paraId="77BE50FF" w14:textId="148CE29E" w:rsidR="00897F5E" w:rsidRPr="00061F78" w:rsidRDefault="00897F5E" w:rsidP="002916A7">
            <w:pPr>
              <w:pStyle w:val="Tablewriting"/>
              <w:rPr>
                <w:rFonts w:eastAsia="MS Mincho"/>
              </w:rPr>
            </w:pPr>
            <w:r w:rsidRPr="007F28D7">
              <w:rPr>
                <w:rFonts w:eastAsia="MS Mincho"/>
                <w:u w:val="single"/>
              </w:rPr>
              <w:t>Exclusion</w:t>
            </w:r>
            <w:r>
              <w:rPr>
                <w:rFonts w:eastAsia="MS Mincho"/>
              </w:rPr>
              <w:t xml:space="preserve">: </w:t>
            </w:r>
            <w:r w:rsidR="00E91572" w:rsidRPr="00E91572">
              <w:rPr>
                <w:rFonts w:eastAsia="MS Mincho"/>
              </w:rPr>
              <w:t>treatment with an investigational drug within the</w:t>
            </w:r>
            <w:r w:rsidR="00750F68">
              <w:rPr>
                <w:rFonts w:eastAsia="MS Mincho"/>
              </w:rPr>
              <w:t xml:space="preserve"> </w:t>
            </w:r>
            <w:r w:rsidR="00E91572" w:rsidRPr="00E91572">
              <w:rPr>
                <w:rFonts w:eastAsia="MS Mincho"/>
              </w:rPr>
              <w:t>previous month</w:t>
            </w:r>
            <w:r w:rsidR="00BD2033">
              <w:rPr>
                <w:rFonts w:eastAsia="MS Mincho"/>
              </w:rPr>
              <w:t>,</w:t>
            </w:r>
            <w:r w:rsidR="00E91572" w:rsidRPr="00E91572">
              <w:rPr>
                <w:rFonts w:eastAsia="MS Mincho"/>
              </w:rPr>
              <w:t xml:space="preserve"> major depression within the prior year</w:t>
            </w:r>
            <w:r w:rsidR="00BD2033">
              <w:rPr>
                <w:rFonts w:eastAsia="MS Mincho"/>
              </w:rPr>
              <w:t>,</w:t>
            </w:r>
            <w:r w:rsidR="00E91572" w:rsidRPr="00E91572">
              <w:rPr>
                <w:rFonts w:eastAsia="MS Mincho"/>
              </w:rPr>
              <w:t xml:space="preserve"> panic</w:t>
            </w:r>
            <w:r w:rsidR="00750F68">
              <w:rPr>
                <w:rFonts w:eastAsia="MS Mincho"/>
              </w:rPr>
              <w:t xml:space="preserve"> </w:t>
            </w:r>
            <w:r w:rsidR="00E91572" w:rsidRPr="00E91572">
              <w:rPr>
                <w:rFonts w:eastAsia="MS Mincho"/>
              </w:rPr>
              <w:t xml:space="preserve">disorder, psychosis, or bipolar disorder; use of </w:t>
            </w:r>
            <w:r w:rsidR="00BD2033">
              <w:rPr>
                <w:rFonts w:eastAsia="MS Mincho"/>
              </w:rPr>
              <w:t>NRT</w:t>
            </w:r>
            <w:r w:rsidR="00E91572" w:rsidRPr="00E91572">
              <w:rPr>
                <w:rFonts w:eastAsia="MS Mincho"/>
              </w:rPr>
              <w:t xml:space="preserve"> or bupropion within the previous 3 months</w:t>
            </w:r>
            <w:r w:rsidR="00BD2033">
              <w:rPr>
                <w:rFonts w:eastAsia="MS Mincho"/>
              </w:rPr>
              <w:t>,</w:t>
            </w:r>
            <w:r w:rsidR="00E91572" w:rsidRPr="00E91572">
              <w:rPr>
                <w:rFonts w:eastAsia="MS Mincho"/>
              </w:rPr>
              <w:t xml:space="preserve"> cardiovascular</w:t>
            </w:r>
            <w:r w:rsidR="00750F68">
              <w:rPr>
                <w:rFonts w:eastAsia="MS Mincho"/>
              </w:rPr>
              <w:t xml:space="preserve"> </w:t>
            </w:r>
            <w:r w:rsidR="00E91572" w:rsidRPr="00E91572">
              <w:rPr>
                <w:rFonts w:eastAsia="MS Mincho"/>
              </w:rPr>
              <w:t>disease</w:t>
            </w:r>
            <w:r w:rsidR="00BD2033">
              <w:rPr>
                <w:rFonts w:eastAsia="MS Mincho"/>
              </w:rPr>
              <w:t>,</w:t>
            </w:r>
            <w:r w:rsidR="00E91572" w:rsidRPr="00E91572">
              <w:rPr>
                <w:rFonts w:eastAsia="MS Mincho"/>
              </w:rPr>
              <w:t xml:space="preserve"> clinically significant medical disease</w:t>
            </w:r>
            <w:r w:rsidR="00BD2033">
              <w:rPr>
                <w:rFonts w:eastAsia="MS Mincho"/>
              </w:rPr>
              <w:t>,</w:t>
            </w:r>
            <w:r w:rsidR="00E91572" w:rsidRPr="00E91572">
              <w:rPr>
                <w:rFonts w:eastAsia="MS Mincho"/>
              </w:rPr>
              <w:t xml:space="preserve"> drug</w:t>
            </w:r>
            <w:r w:rsidR="00750F68">
              <w:rPr>
                <w:rFonts w:eastAsia="MS Mincho"/>
              </w:rPr>
              <w:t xml:space="preserve"> </w:t>
            </w:r>
            <w:r w:rsidR="00E91572" w:rsidRPr="00E91572">
              <w:rPr>
                <w:rFonts w:eastAsia="MS Mincho"/>
              </w:rPr>
              <w:t xml:space="preserve">or alcohol abuse or dependence within the past </w:t>
            </w:r>
            <w:r w:rsidR="004C4EA7" w:rsidRPr="00E91572">
              <w:rPr>
                <w:rFonts w:eastAsia="MS Mincho"/>
              </w:rPr>
              <w:t>year</w:t>
            </w:r>
            <w:r w:rsidR="004C4EA7">
              <w:rPr>
                <w:rFonts w:eastAsia="MS Mincho"/>
              </w:rPr>
              <w:t xml:space="preserve"> and</w:t>
            </w:r>
            <w:r w:rsidR="00E91572" w:rsidRPr="00E91572">
              <w:rPr>
                <w:rFonts w:eastAsia="MS Mincho"/>
              </w:rPr>
              <w:t xml:space="preserve"> use</w:t>
            </w:r>
            <w:r w:rsidR="00B96A6B">
              <w:rPr>
                <w:rFonts w:eastAsia="MS Mincho"/>
              </w:rPr>
              <w:t xml:space="preserve"> </w:t>
            </w:r>
            <w:r w:rsidR="00E91572" w:rsidRPr="00E91572">
              <w:rPr>
                <w:rFonts w:eastAsia="MS Mincho"/>
              </w:rPr>
              <w:t>of tobacco products other than cigarettes or marijuana use</w:t>
            </w:r>
            <w:r w:rsidR="00B96A6B">
              <w:rPr>
                <w:rFonts w:eastAsia="MS Mincho"/>
              </w:rPr>
              <w:t xml:space="preserve"> </w:t>
            </w:r>
            <w:r w:rsidR="00E91572" w:rsidRPr="00E91572">
              <w:rPr>
                <w:rFonts w:eastAsia="MS Mincho"/>
              </w:rPr>
              <w:t>within the previous month</w:t>
            </w:r>
            <w:r w:rsidR="00E617B3">
              <w:rPr>
                <w:rFonts w:eastAsia="MS Mincho"/>
              </w:rPr>
              <w:t>.</w:t>
            </w:r>
          </w:p>
        </w:tc>
        <w:tc>
          <w:tcPr>
            <w:tcW w:w="920" w:type="pct"/>
            <w:shd w:val="clear" w:color="auto" w:fill="D9D9D9" w:themeFill="background1" w:themeFillShade="D9"/>
          </w:tcPr>
          <w:p w14:paraId="7641AC47" w14:textId="1A7A7937" w:rsidR="00942E4D" w:rsidRDefault="00897F5E" w:rsidP="002916A7">
            <w:pPr>
              <w:pStyle w:val="Tablewriting"/>
              <w:rPr>
                <w:rFonts w:eastAsia="MS Mincho"/>
              </w:rPr>
            </w:pPr>
            <w:r>
              <w:rPr>
                <w:rFonts w:eastAsia="MS Mincho"/>
              </w:rPr>
              <w:t>Varenicline</w:t>
            </w:r>
            <w:r w:rsidRPr="00A34E7B">
              <w:rPr>
                <w:rFonts w:eastAsia="MS Mincho"/>
              </w:rPr>
              <w:t xml:space="preserve">: </w:t>
            </w:r>
            <w:r w:rsidR="00372F18" w:rsidRPr="00372F18">
              <w:rPr>
                <w:rFonts w:eastAsia="MS Mincho"/>
              </w:rPr>
              <w:t>1</w:t>
            </w:r>
            <w:r w:rsidR="001376F9">
              <w:rPr>
                <w:rFonts w:eastAsia="MS Mincho"/>
              </w:rPr>
              <w:t xml:space="preserve"> </w:t>
            </w:r>
            <w:r w:rsidR="00372F18" w:rsidRPr="00372F18">
              <w:rPr>
                <w:rFonts w:eastAsia="MS Mincho"/>
              </w:rPr>
              <w:t>mg twice daily non</w:t>
            </w:r>
            <w:r w:rsidR="00372F18">
              <w:rPr>
                <w:rFonts w:eastAsia="MS Mincho"/>
              </w:rPr>
              <w:t>-</w:t>
            </w:r>
            <w:r w:rsidR="00372F18" w:rsidRPr="00372F18">
              <w:rPr>
                <w:rFonts w:eastAsia="MS Mincho"/>
              </w:rPr>
              <w:t>titrated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372F18" w:rsidRPr="00372F18">
              <w:rPr>
                <w:rFonts w:eastAsia="MS Mincho"/>
              </w:rPr>
              <w:t xml:space="preserve"> 1mg twice daily</w:t>
            </w:r>
            <w:r w:rsidR="00372F18">
              <w:rPr>
                <w:rFonts w:eastAsia="MS Mincho"/>
              </w:rPr>
              <w:t xml:space="preserve"> </w:t>
            </w:r>
            <w:r w:rsidR="00372F18" w:rsidRPr="00372F18">
              <w:rPr>
                <w:rFonts w:eastAsia="MS Mincho"/>
              </w:rPr>
              <w:t>for 12 weeks)</w:t>
            </w:r>
            <w:r w:rsidR="00A82941">
              <w:rPr>
                <w:rFonts w:eastAsia="MS Mincho"/>
              </w:rPr>
              <w:t xml:space="preserve"> or</w:t>
            </w:r>
            <w:r w:rsidR="00372F18" w:rsidRPr="00372F18">
              <w:rPr>
                <w:rFonts w:eastAsia="MS Mincho"/>
              </w:rPr>
              <w:t xml:space="preserve"> 1</w:t>
            </w:r>
            <w:r w:rsidR="001376F9">
              <w:rPr>
                <w:rFonts w:eastAsia="MS Mincho"/>
              </w:rPr>
              <w:t xml:space="preserve"> </w:t>
            </w:r>
            <w:r w:rsidR="00372F18" w:rsidRPr="00372F18">
              <w:rPr>
                <w:rFonts w:eastAsia="MS Mincho"/>
              </w:rPr>
              <w:t>mg twice daily titrated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372F18" w:rsidRPr="00372F18">
              <w:rPr>
                <w:rFonts w:eastAsia="MS Mincho"/>
              </w:rPr>
              <w:t xml:space="preserve"> 0.5</w:t>
            </w:r>
            <w:r w:rsidR="001376F9">
              <w:rPr>
                <w:rFonts w:eastAsia="MS Mincho"/>
              </w:rPr>
              <w:t xml:space="preserve"> </w:t>
            </w:r>
            <w:r w:rsidR="00372F18" w:rsidRPr="00372F18">
              <w:rPr>
                <w:rFonts w:eastAsia="MS Mincho"/>
              </w:rPr>
              <w:t>mg once</w:t>
            </w:r>
            <w:r w:rsidR="001376F9">
              <w:rPr>
                <w:rFonts w:eastAsia="MS Mincho"/>
              </w:rPr>
              <w:t xml:space="preserve"> </w:t>
            </w:r>
            <w:r w:rsidR="00372F18" w:rsidRPr="00372F18">
              <w:rPr>
                <w:rFonts w:eastAsia="MS Mincho"/>
              </w:rPr>
              <w:t>daily for 3 days, then 0.5</w:t>
            </w:r>
            <w:r w:rsidR="001376F9">
              <w:rPr>
                <w:rFonts w:eastAsia="MS Mincho"/>
              </w:rPr>
              <w:t xml:space="preserve"> </w:t>
            </w:r>
            <w:r w:rsidR="00372F18" w:rsidRPr="00372F18">
              <w:rPr>
                <w:rFonts w:eastAsia="MS Mincho"/>
              </w:rPr>
              <w:t>mg twice daily for 4 days, then 1</w:t>
            </w:r>
            <w:r w:rsidR="001376F9">
              <w:rPr>
                <w:rFonts w:eastAsia="MS Mincho"/>
              </w:rPr>
              <w:t xml:space="preserve"> </w:t>
            </w:r>
            <w:r w:rsidR="00372F18" w:rsidRPr="00372F18">
              <w:rPr>
                <w:rFonts w:eastAsia="MS Mincho"/>
              </w:rPr>
              <w:t>mg twice daily for 11 weeks)</w:t>
            </w:r>
            <w:r w:rsidR="004657DA">
              <w:rPr>
                <w:rFonts w:eastAsia="MS Mincho"/>
              </w:rPr>
              <w:t>;</w:t>
            </w:r>
          </w:p>
          <w:p w14:paraId="3B73C344" w14:textId="23292F73" w:rsidR="00897F5E" w:rsidRDefault="00897F5E" w:rsidP="002916A7">
            <w:pPr>
              <w:pStyle w:val="Tablewriting"/>
              <w:rPr>
                <w:rFonts w:eastAsia="MS Mincho"/>
              </w:rPr>
            </w:pPr>
            <w:r>
              <w:rPr>
                <w:rFonts w:eastAsia="MS Mincho"/>
              </w:rPr>
              <w:t>Placebo: placebo tablet for 12 weeks, same regimen</w:t>
            </w:r>
            <w:r w:rsidR="000F1E7A">
              <w:rPr>
                <w:rFonts w:eastAsia="MS Mincho"/>
              </w:rPr>
              <w:t>.</w:t>
            </w:r>
          </w:p>
          <w:p w14:paraId="7E1CB715" w14:textId="77777777" w:rsidR="002228F0" w:rsidRDefault="002228F0" w:rsidP="002916A7">
            <w:pPr>
              <w:pStyle w:val="Tablewriting"/>
              <w:rPr>
                <w:rFonts w:eastAsia="MS Mincho"/>
              </w:rPr>
            </w:pPr>
          </w:p>
          <w:p w14:paraId="5B364989" w14:textId="5B49BCA3" w:rsidR="002228F0" w:rsidRPr="00A34E7B" w:rsidRDefault="002228F0" w:rsidP="002916A7">
            <w:pPr>
              <w:pStyle w:val="Tablewriting"/>
              <w:rPr>
                <w:rFonts w:eastAsia="MS Mincho"/>
              </w:rPr>
            </w:pPr>
            <w:r w:rsidRPr="002228F0">
              <w:rPr>
                <w:rFonts w:eastAsia="MS Mincho"/>
              </w:rPr>
              <w:t>Behavioural support provided in both arms.</w:t>
            </w:r>
          </w:p>
        </w:tc>
        <w:tc>
          <w:tcPr>
            <w:tcW w:w="1140" w:type="pct"/>
            <w:shd w:val="clear" w:color="auto" w:fill="D9D9D9" w:themeFill="background1" w:themeFillShade="D9"/>
            <w:tcMar>
              <w:left w:w="28" w:type="dxa"/>
              <w:right w:w="28" w:type="dxa"/>
            </w:tcMar>
          </w:tcPr>
          <w:p w14:paraId="15CE0101" w14:textId="62D59ED2" w:rsidR="00897F5E" w:rsidRDefault="00897F5E" w:rsidP="002916A7">
            <w:pPr>
              <w:pStyle w:val="Tablewriting"/>
              <w:rPr>
                <w:rFonts w:eastAsia="MS Mincho"/>
              </w:rPr>
            </w:pPr>
            <w:r w:rsidRPr="008C39E4">
              <w:rPr>
                <w:rFonts w:eastAsia="MS Mincho"/>
                <w:u w:val="single"/>
              </w:rPr>
              <w:t>Primary</w:t>
            </w:r>
            <w:r>
              <w:rPr>
                <w:rFonts w:eastAsia="MS Mincho"/>
              </w:rPr>
              <w:t xml:space="preserve">: </w:t>
            </w:r>
            <w:r w:rsidR="00BD2033">
              <w:rPr>
                <w:rFonts w:eastAsia="MS Mincho"/>
              </w:rPr>
              <w:t>CAR</w:t>
            </w:r>
            <w:r>
              <w:rPr>
                <w:rFonts w:eastAsia="MS Mincho"/>
              </w:rPr>
              <w:t xml:space="preserve"> at </w:t>
            </w:r>
            <w:r w:rsidR="007B7017">
              <w:rPr>
                <w:rFonts w:eastAsia="MS Mincho"/>
              </w:rPr>
              <w:t>w</w:t>
            </w:r>
            <w:r>
              <w:rPr>
                <w:rFonts w:eastAsia="MS Mincho"/>
              </w:rPr>
              <w:t xml:space="preserve">eek </w:t>
            </w:r>
            <w:r w:rsidR="00DB68DF">
              <w:rPr>
                <w:rFonts w:eastAsia="MS Mincho"/>
              </w:rPr>
              <w:t>4-7</w:t>
            </w:r>
            <w:r w:rsidR="005044A7">
              <w:rPr>
                <w:rFonts w:eastAsia="MS Mincho"/>
              </w:rPr>
              <w:t xml:space="preserve">, </w:t>
            </w:r>
            <w:r w:rsidR="00DB68DF">
              <w:rPr>
                <w:rFonts w:eastAsia="MS Mincho"/>
              </w:rPr>
              <w:t>9-12</w:t>
            </w:r>
            <w:r w:rsidR="005044A7">
              <w:rPr>
                <w:rFonts w:eastAsia="MS Mincho"/>
              </w:rPr>
              <w:t xml:space="preserve"> and 9</w:t>
            </w:r>
            <w:r w:rsidR="00D231B0">
              <w:rPr>
                <w:rFonts w:eastAsia="MS Mincho"/>
              </w:rPr>
              <w:t>-52</w:t>
            </w:r>
            <w:r>
              <w:rPr>
                <w:rFonts w:eastAsia="MS Mincho"/>
              </w:rPr>
              <w:t>.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14:paraId="091445FB" w14:textId="77777777" w:rsidR="00624207" w:rsidRPr="00624207" w:rsidRDefault="00897F5E" w:rsidP="002916A7">
            <w:pPr>
              <w:pStyle w:val="Tablewriting"/>
              <w:rPr>
                <w:rFonts w:eastAsia="MS Mincho"/>
              </w:rPr>
            </w:pPr>
            <w:r w:rsidRPr="008C39E4">
              <w:rPr>
                <w:rFonts w:eastAsia="MS Mincho"/>
                <w:u w:val="single"/>
              </w:rPr>
              <w:t>Secondary</w:t>
            </w:r>
            <w:r>
              <w:rPr>
                <w:rFonts w:eastAsia="MS Mincho"/>
              </w:rPr>
              <w:t xml:space="preserve">: </w:t>
            </w:r>
            <w:r w:rsidR="00624207" w:rsidRPr="00624207">
              <w:rPr>
                <w:rFonts w:eastAsia="MS Mincho"/>
              </w:rPr>
              <w:t>7-day PPA throughout</w:t>
            </w:r>
          </w:p>
          <w:p w14:paraId="1B094095" w14:textId="159F73F8" w:rsidR="00897F5E" w:rsidRDefault="00624207" w:rsidP="002916A7">
            <w:pPr>
              <w:pStyle w:val="Tablewriting"/>
              <w:rPr>
                <w:rFonts w:eastAsia="MS Mincho"/>
              </w:rPr>
            </w:pPr>
            <w:r w:rsidRPr="00624207">
              <w:rPr>
                <w:rFonts w:eastAsia="MS Mincho"/>
              </w:rPr>
              <w:t xml:space="preserve">treatment phase and at </w:t>
            </w:r>
            <w:r w:rsidR="007B7017">
              <w:rPr>
                <w:rFonts w:eastAsia="MS Mincho"/>
              </w:rPr>
              <w:t>w</w:t>
            </w:r>
            <w:r w:rsidR="003B7EBB">
              <w:rPr>
                <w:rFonts w:eastAsia="MS Mincho"/>
              </w:rPr>
              <w:t>eek</w:t>
            </w:r>
            <w:r w:rsidRPr="00624207">
              <w:rPr>
                <w:rFonts w:eastAsia="MS Mincho"/>
              </w:rPr>
              <w:t xml:space="preserve"> 12, 24 and 52</w:t>
            </w:r>
            <w:r w:rsidR="00B81A6F">
              <w:rPr>
                <w:rFonts w:eastAsia="MS Mincho"/>
              </w:rPr>
              <w:t xml:space="preserve">. Validated by CO </w:t>
            </w:r>
            <w:r w:rsidR="00B81A6F">
              <w:rPr>
                <w:rFonts w:eastAsia="MS Mincho" w:cstheme="minorHAnsi"/>
              </w:rPr>
              <w:t>≤</w:t>
            </w:r>
            <w:r w:rsidR="00B81A6F">
              <w:rPr>
                <w:rFonts w:eastAsia="MS Mincho"/>
              </w:rPr>
              <w:t>10</w:t>
            </w:r>
            <w:r w:rsidR="001376F9">
              <w:rPr>
                <w:rFonts w:eastAsia="MS Mincho"/>
              </w:rPr>
              <w:t xml:space="preserve"> </w:t>
            </w:r>
            <w:r w:rsidR="00B81A6F">
              <w:rPr>
                <w:rFonts w:eastAsia="MS Mincho"/>
              </w:rPr>
              <w:t>ppm.</w:t>
            </w:r>
          </w:p>
          <w:p w14:paraId="4CAFF332" w14:textId="7E0E1701" w:rsidR="00897F5E" w:rsidRPr="00061F78" w:rsidRDefault="00897F5E" w:rsidP="002916A7">
            <w:pPr>
              <w:pStyle w:val="Tablewriting"/>
              <w:rPr>
                <w:rFonts w:eastAsia="MS Mincho"/>
              </w:rPr>
            </w:pPr>
            <w:r w:rsidRPr="0055171C">
              <w:rPr>
                <w:rFonts w:eastAsia="MS Mincho"/>
                <w:u w:val="single"/>
              </w:rPr>
              <w:t>Other</w:t>
            </w:r>
            <w:r>
              <w:rPr>
                <w:rFonts w:eastAsia="MS Mincho"/>
              </w:rPr>
              <w:t xml:space="preserve">: </w:t>
            </w:r>
            <w:r w:rsidR="005D5111" w:rsidRPr="005D5111">
              <w:rPr>
                <w:rFonts w:eastAsia="MS Mincho"/>
              </w:rPr>
              <w:t>weight change; craving and withdrawal changes using MNWS and mCEQ; adverse</w:t>
            </w:r>
            <w:r w:rsidR="003B7EBB">
              <w:rPr>
                <w:rFonts w:eastAsia="MS Mincho"/>
              </w:rPr>
              <w:t xml:space="preserve"> </w:t>
            </w:r>
            <w:r w:rsidR="005D5111" w:rsidRPr="005D5111">
              <w:rPr>
                <w:rFonts w:eastAsia="MS Mincho"/>
              </w:rPr>
              <w:t>events</w:t>
            </w:r>
            <w:r w:rsidR="000F1E7A">
              <w:rPr>
                <w:rFonts w:eastAsia="MS Mincho"/>
              </w:rPr>
              <w:t>.</w:t>
            </w:r>
          </w:p>
        </w:tc>
      </w:tr>
      <w:tr w:rsidR="00260CD7" w:rsidRPr="00061F78" w14:paraId="330A24C9" w14:textId="77777777" w:rsidTr="004D7C8D">
        <w:trPr>
          <w:trHeight w:val="99"/>
        </w:trPr>
        <w:tc>
          <w:tcPr>
            <w:tcW w:w="332" w:type="pct"/>
            <w:shd w:val="clear" w:color="auto" w:fill="D9D9D9" w:themeFill="background1" w:themeFillShade="D9"/>
            <w:tcMar>
              <w:left w:w="28" w:type="dxa"/>
              <w:right w:w="28" w:type="dxa"/>
            </w:tcMar>
          </w:tcPr>
          <w:p w14:paraId="20713A92" w14:textId="683A2815" w:rsidR="001B3C11" w:rsidRPr="00061F78" w:rsidRDefault="001B3C11" w:rsidP="002916A7">
            <w:pPr>
              <w:pStyle w:val="Tablewriting"/>
              <w:rPr>
                <w:rFonts w:eastAsia="MS Mincho"/>
              </w:rPr>
            </w:pPr>
            <w:r w:rsidRPr="00993D89">
              <w:rPr>
                <w:rFonts w:eastAsia="MS Mincho"/>
              </w:rPr>
              <w:t>Nakamura (2007)</w:t>
            </w:r>
            <w:r w:rsidR="006551EC" w:rsidRPr="00061F78">
              <w:rPr>
                <w:rFonts w:eastAsia="MS Mincho"/>
              </w:rPr>
              <w:t xml:space="preserve"> </w:t>
            </w:r>
          </w:p>
        </w:tc>
        <w:tc>
          <w:tcPr>
            <w:tcW w:w="395" w:type="pct"/>
            <w:shd w:val="clear" w:color="auto" w:fill="D9D9D9" w:themeFill="background1" w:themeFillShade="D9"/>
          </w:tcPr>
          <w:p w14:paraId="32E0BECB" w14:textId="27F4AAD0" w:rsidR="001B3C11" w:rsidRDefault="001B3C11"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6A5B909A" w14:textId="4DE5B225" w:rsidR="001B3C11" w:rsidRDefault="001B3C11" w:rsidP="002916A7">
            <w:pPr>
              <w:pStyle w:val="Tablewriting"/>
              <w:rPr>
                <w:rFonts w:eastAsia="MS Mincho"/>
              </w:rPr>
            </w:pPr>
            <w:r>
              <w:rPr>
                <w:rFonts w:eastAsia="MS Mincho"/>
              </w:rPr>
              <w:t>N=6</w:t>
            </w:r>
            <w:r w:rsidR="00CB40C2">
              <w:rPr>
                <w:rFonts w:eastAsia="MS Mincho"/>
              </w:rPr>
              <w:t>19</w:t>
            </w:r>
          </w:p>
          <w:p w14:paraId="73043DB8" w14:textId="68602916" w:rsidR="001B3C11" w:rsidRPr="00061F78" w:rsidRDefault="001B3C11" w:rsidP="002916A7">
            <w:pPr>
              <w:pStyle w:val="Tablewriting"/>
              <w:rPr>
                <w:rFonts w:eastAsia="MS Mincho"/>
              </w:rPr>
            </w:pPr>
            <w:r>
              <w:rPr>
                <w:rFonts w:eastAsia="MS Mincho"/>
              </w:rPr>
              <w:t>Varenicline (n=</w:t>
            </w:r>
            <w:r w:rsidR="00A66AB2">
              <w:rPr>
                <w:rFonts w:eastAsia="MS Mincho"/>
              </w:rPr>
              <w:t>156</w:t>
            </w:r>
            <w:r>
              <w:rPr>
                <w:rFonts w:eastAsia="MS Mincho"/>
              </w:rPr>
              <w:t>), Placebo (n=1</w:t>
            </w:r>
            <w:r w:rsidR="00A66AB2">
              <w:rPr>
                <w:rFonts w:eastAsia="MS Mincho"/>
              </w:rPr>
              <w:t>54</w:t>
            </w:r>
            <w:r>
              <w:rPr>
                <w:rFonts w:eastAsia="MS Mincho"/>
              </w:rPr>
              <w:t>)</w:t>
            </w:r>
          </w:p>
        </w:tc>
        <w:tc>
          <w:tcPr>
            <w:tcW w:w="1866" w:type="pct"/>
            <w:shd w:val="clear" w:color="auto" w:fill="D9D9D9" w:themeFill="background1" w:themeFillShade="D9"/>
            <w:tcMar>
              <w:left w:w="28" w:type="dxa"/>
              <w:right w:w="28" w:type="dxa"/>
            </w:tcMar>
          </w:tcPr>
          <w:p w14:paraId="5D1D7A31" w14:textId="7EC951CB" w:rsidR="001B3C11" w:rsidRDefault="001B3C11" w:rsidP="002916A7">
            <w:pPr>
              <w:pStyle w:val="Tablewriting"/>
              <w:rPr>
                <w:rFonts w:eastAsia="MS Mincho"/>
              </w:rPr>
            </w:pPr>
            <w:r w:rsidRPr="007F28D7">
              <w:rPr>
                <w:rFonts w:eastAsia="MS Mincho"/>
                <w:u w:val="single"/>
              </w:rPr>
              <w:t>Inclusion</w:t>
            </w:r>
            <w:r>
              <w:rPr>
                <w:rFonts w:eastAsia="MS Mincho"/>
              </w:rPr>
              <w:t xml:space="preserve">: </w:t>
            </w:r>
            <w:r w:rsidR="004C73DA" w:rsidRPr="004C73DA">
              <w:rPr>
                <w:rFonts w:eastAsia="MS Mincho"/>
              </w:rPr>
              <w:t>Japanese smokers aged</w:t>
            </w:r>
            <w:r w:rsidR="004C73DA">
              <w:rPr>
                <w:rFonts w:eastAsia="MS Mincho"/>
              </w:rPr>
              <w:t xml:space="preserve"> </w:t>
            </w:r>
            <w:r w:rsidR="004C73DA" w:rsidRPr="004C73DA">
              <w:rPr>
                <w:rFonts w:eastAsia="MS Mincho"/>
              </w:rPr>
              <w:t>20</w:t>
            </w:r>
            <w:r w:rsidR="004C73DA">
              <w:rPr>
                <w:rFonts w:eastAsia="MS Mincho"/>
              </w:rPr>
              <w:t>-</w:t>
            </w:r>
            <w:r w:rsidR="004C73DA" w:rsidRPr="004C73DA">
              <w:rPr>
                <w:rFonts w:eastAsia="MS Mincho"/>
              </w:rPr>
              <w:t>75 years</w:t>
            </w:r>
            <w:r w:rsidR="004C73DA">
              <w:rPr>
                <w:rFonts w:eastAsia="MS Mincho"/>
              </w:rPr>
              <w:t xml:space="preserve"> </w:t>
            </w:r>
            <w:r w:rsidR="004C73DA" w:rsidRPr="004C73DA">
              <w:rPr>
                <w:rFonts w:eastAsia="MS Mincho"/>
              </w:rPr>
              <w:t>who were motivated to stop smoking</w:t>
            </w:r>
            <w:r w:rsidR="00BD2033">
              <w:rPr>
                <w:rFonts w:eastAsia="MS Mincho"/>
              </w:rPr>
              <w:t xml:space="preserve">, </w:t>
            </w:r>
            <w:r w:rsidR="00BD2033">
              <w:rPr>
                <w:rFonts w:eastAsia="MS Mincho" w:cstheme="minorHAnsi"/>
              </w:rPr>
              <w:t>≥</w:t>
            </w:r>
            <w:r w:rsidR="004C73DA" w:rsidRPr="004C73DA">
              <w:rPr>
                <w:rFonts w:eastAsia="MS Mincho"/>
              </w:rPr>
              <w:t>10 cigarettes</w:t>
            </w:r>
            <w:r w:rsidR="004C73DA">
              <w:rPr>
                <w:rFonts w:eastAsia="MS Mincho"/>
              </w:rPr>
              <w:t xml:space="preserve"> </w:t>
            </w:r>
            <w:r w:rsidR="004C73DA" w:rsidRPr="004C73DA">
              <w:rPr>
                <w:rFonts w:eastAsia="MS Mincho"/>
              </w:rPr>
              <w:t>per day during the preceding year without a period</w:t>
            </w:r>
            <w:r w:rsidR="004C73DA">
              <w:rPr>
                <w:rFonts w:eastAsia="MS Mincho"/>
              </w:rPr>
              <w:t xml:space="preserve"> </w:t>
            </w:r>
            <w:r w:rsidR="004C73DA" w:rsidRPr="004C73DA">
              <w:rPr>
                <w:rFonts w:eastAsia="MS Mincho"/>
              </w:rPr>
              <w:t>of abstinence &gt;90 days</w:t>
            </w:r>
            <w:r w:rsidR="00E617B3">
              <w:rPr>
                <w:rFonts w:eastAsia="MS Mincho"/>
              </w:rPr>
              <w:t>.</w:t>
            </w:r>
          </w:p>
          <w:p w14:paraId="04C0C318" w14:textId="0DD21C14" w:rsidR="001B3C11" w:rsidRPr="00061F78" w:rsidRDefault="001B3C11" w:rsidP="002916A7">
            <w:pPr>
              <w:pStyle w:val="Tablewriting"/>
              <w:rPr>
                <w:rFonts w:eastAsia="MS Mincho"/>
              </w:rPr>
            </w:pPr>
            <w:r w:rsidRPr="007F28D7">
              <w:rPr>
                <w:rFonts w:eastAsia="MS Mincho"/>
                <w:u w:val="single"/>
              </w:rPr>
              <w:t>Exclusion</w:t>
            </w:r>
            <w:r>
              <w:rPr>
                <w:rFonts w:eastAsia="MS Mincho"/>
              </w:rPr>
              <w:t xml:space="preserve">: </w:t>
            </w:r>
            <w:r w:rsidR="006770AC">
              <w:rPr>
                <w:rFonts w:eastAsia="MS Mincho"/>
              </w:rPr>
              <w:t>pregnancy</w:t>
            </w:r>
            <w:r w:rsidR="00CD74FE">
              <w:rPr>
                <w:rFonts w:eastAsia="MS Mincho"/>
              </w:rPr>
              <w:t xml:space="preserve"> and</w:t>
            </w:r>
            <w:r w:rsidR="006770AC">
              <w:rPr>
                <w:rFonts w:eastAsia="MS Mincho"/>
              </w:rPr>
              <w:t xml:space="preserve"> breastfeeding</w:t>
            </w:r>
            <w:r w:rsidR="00CD74FE">
              <w:rPr>
                <w:rFonts w:eastAsia="MS Mincho"/>
              </w:rPr>
              <w:t>;</w:t>
            </w:r>
            <w:r w:rsidR="006770AC">
              <w:rPr>
                <w:rFonts w:eastAsia="MS Mincho"/>
              </w:rPr>
              <w:t xml:space="preserve"> </w:t>
            </w:r>
            <w:r w:rsidR="00CD74FE" w:rsidRPr="00CD74FE">
              <w:rPr>
                <w:rFonts w:eastAsia="MS Mincho"/>
              </w:rPr>
              <w:t>cardiovascular,</w:t>
            </w:r>
            <w:r w:rsidR="00CD74FE">
              <w:rPr>
                <w:rFonts w:eastAsia="MS Mincho"/>
              </w:rPr>
              <w:t xml:space="preserve"> </w:t>
            </w:r>
            <w:r w:rsidR="00CD74FE" w:rsidRPr="00CD74FE">
              <w:rPr>
                <w:rFonts w:eastAsia="MS Mincho"/>
              </w:rPr>
              <w:t>cerebrovascular, and pulmonary</w:t>
            </w:r>
            <w:r w:rsidR="00CD74FE">
              <w:rPr>
                <w:rFonts w:eastAsia="MS Mincho"/>
              </w:rPr>
              <w:t xml:space="preserve"> </w:t>
            </w:r>
            <w:r w:rsidR="00CD74FE" w:rsidRPr="00CD74FE">
              <w:rPr>
                <w:rFonts w:eastAsia="MS Mincho"/>
              </w:rPr>
              <w:t>disease</w:t>
            </w:r>
            <w:r w:rsidR="00BD2033">
              <w:rPr>
                <w:rFonts w:eastAsia="MS Mincho"/>
              </w:rPr>
              <w:t>,</w:t>
            </w:r>
            <w:r w:rsidR="00CD74FE" w:rsidRPr="00CD74FE">
              <w:rPr>
                <w:rFonts w:eastAsia="MS Mincho"/>
              </w:rPr>
              <w:t xml:space="preserve"> cancer</w:t>
            </w:r>
            <w:r w:rsidR="00BD2033">
              <w:rPr>
                <w:rFonts w:eastAsia="MS Mincho"/>
              </w:rPr>
              <w:t>,</w:t>
            </w:r>
            <w:r w:rsidR="00CD74FE" w:rsidRPr="00CD74FE">
              <w:rPr>
                <w:rFonts w:eastAsia="MS Mincho"/>
              </w:rPr>
              <w:t xml:space="preserve"> significant hepatic or renal impairment</w:t>
            </w:r>
            <w:r w:rsidR="00BD2033">
              <w:rPr>
                <w:rFonts w:eastAsia="MS Mincho"/>
              </w:rPr>
              <w:t>,</w:t>
            </w:r>
            <w:r w:rsidR="00CD74FE">
              <w:rPr>
                <w:rFonts w:eastAsia="MS Mincho"/>
              </w:rPr>
              <w:t xml:space="preserve"> </w:t>
            </w:r>
            <w:r w:rsidR="00CD74FE" w:rsidRPr="00CD74FE">
              <w:rPr>
                <w:rFonts w:eastAsia="MS Mincho"/>
              </w:rPr>
              <w:t>neurologic and psychiatric disorder</w:t>
            </w:r>
            <w:r w:rsidR="007057D2">
              <w:rPr>
                <w:rFonts w:eastAsia="MS Mincho"/>
              </w:rPr>
              <w:t>,</w:t>
            </w:r>
            <w:r w:rsidR="00CD74FE" w:rsidRPr="00CD74FE">
              <w:rPr>
                <w:rFonts w:eastAsia="MS Mincho"/>
              </w:rPr>
              <w:t xml:space="preserve"> significant laboratory abnormalities</w:t>
            </w:r>
            <w:r w:rsidR="007B44CF">
              <w:rPr>
                <w:rFonts w:eastAsia="MS Mincho"/>
              </w:rPr>
              <w:t xml:space="preserve">; </w:t>
            </w:r>
            <w:r w:rsidR="007B44CF" w:rsidRPr="007B44CF">
              <w:rPr>
                <w:rFonts w:eastAsia="MS Mincho"/>
              </w:rPr>
              <w:t>body mass index of &lt;15 kg/m</w:t>
            </w:r>
            <w:r w:rsidR="007B44CF" w:rsidRPr="007B44CF">
              <w:rPr>
                <w:rFonts w:eastAsia="MS Mincho"/>
                <w:vertAlign w:val="superscript"/>
              </w:rPr>
              <w:t>2</w:t>
            </w:r>
            <w:r w:rsidR="007B44CF" w:rsidRPr="007B44CF">
              <w:rPr>
                <w:rFonts w:eastAsia="MS Mincho"/>
              </w:rPr>
              <w:t xml:space="preserve"> or &gt;38 kg/m</w:t>
            </w:r>
            <w:r w:rsidR="007B44CF" w:rsidRPr="007B44CF">
              <w:rPr>
                <w:rFonts w:eastAsia="MS Mincho"/>
                <w:vertAlign w:val="superscript"/>
              </w:rPr>
              <w:t>2</w:t>
            </w:r>
            <w:r w:rsidR="007B44CF" w:rsidRPr="007B44CF">
              <w:rPr>
                <w:rFonts w:eastAsia="MS Mincho"/>
              </w:rPr>
              <w:t>,</w:t>
            </w:r>
            <w:r w:rsidR="007B44CF">
              <w:rPr>
                <w:rFonts w:eastAsia="MS Mincho"/>
              </w:rPr>
              <w:t xml:space="preserve"> </w:t>
            </w:r>
            <w:r w:rsidR="007B44CF" w:rsidRPr="007B44CF">
              <w:rPr>
                <w:rFonts w:eastAsia="MS Mincho"/>
              </w:rPr>
              <w:t>body weight &lt;45 kg, history of drug (except nicotine)</w:t>
            </w:r>
            <w:r w:rsidR="007B44CF">
              <w:rPr>
                <w:rFonts w:eastAsia="MS Mincho"/>
              </w:rPr>
              <w:t xml:space="preserve"> </w:t>
            </w:r>
            <w:r w:rsidR="007B44CF" w:rsidRPr="007B44CF">
              <w:rPr>
                <w:rFonts w:eastAsia="MS Mincho"/>
              </w:rPr>
              <w:t>or alcohol abuse or dependence within the previous</w:t>
            </w:r>
            <w:r w:rsidR="007B44CF">
              <w:rPr>
                <w:rFonts w:eastAsia="MS Mincho"/>
              </w:rPr>
              <w:t xml:space="preserve"> </w:t>
            </w:r>
            <w:r w:rsidR="007B44CF" w:rsidRPr="007B44CF">
              <w:rPr>
                <w:rFonts w:eastAsia="MS Mincho"/>
              </w:rPr>
              <w:t xml:space="preserve">12 </w:t>
            </w:r>
            <w:r w:rsidR="004C4EA7" w:rsidRPr="007B44CF">
              <w:rPr>
                <w:rFonts w:eastAsia="MS Mincho"/>
              </w:rPr>
              <w:t>months and</w:t>
            </w:r>
            <w:r w:rsidR="007B44CF" w:rsidRPr="007B44CF">
              <w:rPr>
                <w:rFonts w:eastAsia="MS Mincho"/>
              </w:rPr>
              <w:t xml:space="preserve"> use of NRT within the previous 30 days.</w:t>
            </w:r>
          </w:p>
        </w:tc>
        <w:tc>
          <w:tcPr>
            <w:tcW w:w="920" w:type="pct"/>
            <w:shd w:val="clear" w:color="auto" w:fill="D9D9D9" w:themeFill="background1" w:themeFillShade="D9"/>
          </w:tcPr>
          <w:p w14:paraId="7DF6B0F8" w14:textId="0AAA86C9" w:rsidR="001B3C11" w:rsidRDefault="001B3C11"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sidR="00DD130B">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sidR="00AB59D2">
              <w:rPr>
                <w:rFonts w:eastAsia="MS Mincho"/>
              </w:rPr>
              <w:t xml:space="preserve"> </w:t>
            </w:r>
            <w:r w:rsidRPr="00372F18">
              <w:rPr>
                <w:rFonts w:eastAsia="MS Mincho"/>
              </w:rPr>
              <w:t>daily for 3 days, 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14:paraId="62B73C07" w14:textId="77777777" w:rsidR="001B3C11" w:rsidRDefault="001B3C11" w:rsidP="002916A7">
            <w:pPr>
              <w:pStyle w:val="Tablewriting"/>
              <w:rPr>
                <w:rFonts w:eastAsia="MS Mincho"/>
              </w:rPr>
            </w:pPr>
            <w:r>
              <w:rPr>
                <w:rFonts w:eastAsia="MS Mincho"/>
              </w:rPr>
              <w:t>Placebo: placebo tablet for 12 weeks, same regimen</w:t>
            </w:r>
          </w:p>
          <w:p w14:paraId="11DFACF1" w14:textId="77777777" w:rsidR="002228F0" w:rsidRDefault="002228F0" w:rsidP="002916A7">
            <w:pPr>
              <w:pStyle w:val="Tablewriting"/>
              <w:rPr>
                <w:rFonts w:eastAsia="MS Mincho"/>
              </w:rPr>
            </w:pPr>
          </w:p>
          <w:p w14:paraId="72091DF2" w14:textId="049B7C77" w:rsidR="002228F0" w:rsidRPr="00A34E7B" w:rsidRDefault="0092283E" w:rsidP="002916A7">
            <w:pPr>
              <w:pStyle w:val="Tablewriting"/>
              <w:rPr>
                <w:rFonts w:eastAsia="MS Mincho"/>
              </w:rPr>
            </w:pPr>
            <w:r w:rsidRPr="0092283E">
              <w:rPr>
                <w:rFonts w:eastAsia="MS Mincho"/>
              </w:rPr>
              <w:t>Behavioural support provided in both arms.</w:t>
            </w:r>
          </w:p>
        </w:tc>
        <w:tc>
          <w:tcPr>
            <w:tcW w:w="1140" w:type="pct"/>
            <w:shd w:val="clear" w:color="auto" w:fill="D9D9D9" w:themeFill="background1" w:themeFillShade="D9"/>
            <w:tcMar>
              <w:left w:w="28" w:type="dxa"/>
              <w:right w:w="28" w:type="dxa"/>
            </w:tcMar>
          </w:tcPr>
          <w:p w14:paraId="44B4ECCA" w14:textId="7E1BD8B2" w:rsidR="001B3C11" w:rsidRDefault="001B3C11" w:rsidP="002916A7">
            <w:pPr>
              <w:pStyle w:val="Tablewriting"/>
              <w:rPr>
                <w:rFonts w:eastAsia="MS Mincho"/>
              </w:rPr>
            </w:pPr>
            <w:r w:rsidRPr="008C39E4">
              <w:rPr>
                <w:rFonts w:eastAsia="MS Mincho"/>
                <w:u w:val="single"/>
              </w:rPr>
              <w:t>Primary</w:t>
            </w:r>
            <w:r>
              <w:rPr>
                <w:rFonts w:eastAsia="MS Mincho"/>
              </w:rPr>
              <w:t>: C</w:t>
            </w:r>
            <w:r w:rsidR="007057D2">
              <w:rPr>
                <w:rFonts w:eastAsia="MS Mincho"/>
              </w:rPr>
              <w:t>AR</w:t>
            </w:r>
            <w:r>
              <w:rPr>
                <w:rFonts w:eastAsia="MS Mincho"/>
              </w:rPr>
              <w:t xml:space="preserve"> at </w:t>
            </w:r>
            <w:r w:rsidR="007B7017">
              <w:rPr>
                <w:rFonts w:eastAsia="MS Mincho"/>
              </w:rPr>
              <w:t>w</w:t>
            </w:r>
            <w:r>
              <w:rPr>
                <w:rFonts w:eastAsia="MS Mincho"/>
              </w:rPr>
              <w:t>eek 9-12. Validated by CO</w:t>
            </w:r>
            <w:r w:rsidR="007057D2">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14:paraId="76D14054" w14:textId="33871D24" w:rsidR="001B3C11" w:rsidRDefault="001B3C11" w:rsidP="002916A7">
            <w:pPr>
              <w:pStyle w:val="Tablewriting"/>
              <w:rPr>
                <w:rFonts w:eastAsia="MS Mincho"/>
              </w:rPr>
            </w:pPr>
            <w:r w:rsidRPr="008C39E4">
              <w:rPr>
                <w:rFonts w:eastAsia="MS Mincho"/>
                <w:u w:val="single"/>
              </w:rPr>
              <w:t>Secondary</w:t>
            </w:r>
            <w:r>
              <w:rPr>
                <w:rFonts w:eastAsia="MS Mincho"/>
              </w:rPr>
              <w:t xml:space="preserve">: </w:t>
            </w:r>
            <w:r w:rsidR="007057D2">
              <w:rPr>
                <w:rFonts w:eastAsia="MS Mincho"/>
              </w:rPr>
              <w:t>CAR</w:t>
            </w:r>
            <w:r w:rsidR="00B85F21">
              <w:rPr>
                <w:rFonts w:eastAsia="MS Mincho"/>
              </w:rPr>
              <w:t xml:space="preserve"> at </w:t>
            </w:r>
            <w:r w:rsidR="007B7017">
              <w:rPr>
                <w:rFonts w:eastAsia="MS Mincho"/>
              </w:rPr>
              <w:t>w</w:t>
            </w:r>
            <w:r w:rsidR="00B85F21">
              <w:rPr>
                <w:rFonts w:eastAsia="MS Mincho"/>
              </w:rPr>
              <w:t>eek 9-24 and 9-52.</w:t>
            </w:r>
            <w:r w:rsidR="0068640C">
              <w:rPr>
                <w:rFonts w:eastAsia="MS Mincho"/>
              </w:rPr>
              <w:t xml:space="preserve"> </w:t>
            </w:r>
            <w:r w:rsidRPr="00624207">
              <w:rPr>
                <w:rFonts w:eastAsia="MS Mincho"/>
              </w:rPr>
              <w:t xml:space="preserve">7-day PPA </w:t>
            </w:r>
            <w:r w:rsidR="00736E9C">
              <w:rPr>
                <w:rFonts w:eastAsia="MS Mincho"/>
              </w:rPr>
              <w:t xml:space="preserve">at </w:t>
            </w:r>
            <w:r w:rsidR="007B7017">
              <w:rPr>
                <w:rFonts w:eastAsia="MS Mincho"/>
              </w:rPr>
              <w:t>w</w:t>
            </w:r>
            <w:r w:rsidR="00736E9C">
              <w:rPr>
                <w:rFonts w:eastAsia="MS Mincho"/>
              </w:rPr>
              <w:t>eek 2 through to 12</w:t>
            </w:r>
            <w:r w:rsidR="002E736F">
              <w:rPr>
                <w:rFonts w:eastAsia="MS Mincho"/>
              </w:rPr>
              <w:t>, 24 and 52.</w:t>
            </w:r>
            <w:r w:rsidR="00833F15">
              <w:rPr>
                <w:rFonts w:eastAsia="MS Mincho"/>
              </w:rPr>
              <w:t xml:space="preserve"> Validated by CO </w:t>
            </w:r>
            <w:r w:rsidR="00833F15">
              <w:rPr>
                <w:rFonts w:eastAsia="MS Mincho" w:cstheme="minorHAnsi"/>
              </w:rPr>
              <w:t>≤</w:t>
            </w:r>
            <w:r w:rsidR="00833F15">
              <w:rPr>
                <w:rFonts w:eastAsia="MS Mincho"/>
              </w:rPr>
              <w:t>10</w:t>
            </w:r>
            <w:r w:rsidR="001376F9">
              <w:rPr>
                <w:rFonts w:eastAsia="MS Mincho"/>
              </w:rPr>
              <w:t xml:space="preserve"> </w:t>
            </w:r>
            <w:r w:rsidR="00833F15">
              <w:rPr>
                <w:rFonts w:eastAsia="MS Mincho"/>
              </w:rPr>
              <w:t>ppm.</w:t>
            </w:r>
          </w:p>
          <w:p w14:paraId="62CECFE3" w14:textId="7D958575" w:rsidR="001B3C11" w:rsidRPr="00061F78" w:rsidRDefault="001B3C11" w:rsidP="002916A7">
            <w:pPr>
              <w:pStyle w:val="Tablewriting"/>
              <w:rPr>
                <w:rFonts w:eastAsia="MS Mincho"/>
              </w:rPr>
            </w:pPr>
            <w:r w:rsidRPr="0055171C">
              <w:rPr>
                <w:rFonts w:eastAsia="MS Mincho"/>
                <w:u w:val="single"/>
              </w:rPr>
              <w:t>Other</w:t>
            </w:r>
            <w:r>
              <w:rPr>
                <w:rFonts w:eastAsia="MS Mincho"/>
              </w:rPr>
              <w:t xml:space="preserve">: </w:t>
            </w:r>
            <w:r w:rsidR="00510BFD">
              <w:rPr>
                <w:rFonts w:eastAsia="MS Mincho"/>
              </w:rPr>
              <w:t>w</w:t>
            </w:r>
            <w:r w:rsidR="00510BFD" w:rsidRPr="00510BFD">
              <w:rPr>
                <w:rFonts w:eastAsia="MS Mincho"/>
              </w:rPr>
              <w:t>ithdrawal symptoms (using MNWS, QSU-brief and mCEQ), adverse events</w:t>
            </w:r>
            <w:r w:rsidR="000F1E7A">
              <w:rPr>
                <w:rFonts w:eastAsia="MS Mincho"/>
              </w:rPr>
              <w:t>.</w:t>
            </w:r>
          </w:p>
        </w:tc>
      </w:tr>
      <w:tr w:rsidR="00260CD7" w:rsidRPr="00061F78" w14:paraId="744CB4B3" w14:textId="77777777" w:rsidTr="004D7C8D">
        <w:trPr>
          <w:trHeight w:val="99"/>
        </w:trPr>
        <w:tc>
          <w:tcPr>
            <w:tcW w:w="332" w:type="pct"/>
            <w:shd w:val="clear" w:color="auto" w:fill="D9D9D9" w:themeFill="background1" w:themeFillShade="D9"/>
            <w:tcMar>
              <w:left w:w="28" w:type="dxa"/>
              <w:right w:w="28" w:type="dxa"/>
            </w:tcMar>
          </w:tcPr>
          <w:p w14:paraId="604F3F5F" w14:textId="77777777" w:rsidR="003C626A" w:rsidRDefault="003C626A" w:rsidP="002916A7">
            <w:pPr>
              <w:pStyle w:val="Tablewriting"/>
              <w:rPr>
                <w:rFonts w:eastAsia="MS Mincho"/>
              </w:rPr>
            </w:pPr>
            <w:r>
              <w:rPr>
                <w:rFonts w:eastAsia="MS Mincho"/>
              </w:rPr>
              <w:t xml:space="preserve">Tsai </w:t>
            </w:r>
          </w:p>
          <w:p w14:paraId="27320D63" w14:textId="0FB7E681" w:rsidR="003C626A" w:rsidRPr="00061F78" w:rsidRDefault="003C626A" w:rsidP="002916A7">
            <w:pPr>
              <w:pStyle w:val="Tablewriting"/>
              <w:rPr>
                <w:rFonts w:eastAsia="MS Mincho"/>
              </w:rPr>
            </w:pPr>
            <w:r>
              <w:rPr>
                <w:rFonts w:eastAsia="MS Mincho"/>
              </w:rPr>
              <w:t>(2007)</w:t>
            </w:r>
            <w:r w:rsidR="00C02DB6" w:rsidRPr="00061F78">
              <w:rPr>
                <w:rFonts w:eastAsia="MS Mincho"/>
              </w:rPr>
              <w:t xml:space="preserve"> </w:t>
            </w:r>
          </w:p>
        </w:tc>
        <w:tc>
          <w:tcPr>
            <w:tcW w:w="395" w:type="pct"/>
            <w:shd w:val="clear" w:color="auto" w:fill="D9D9D9" w:themeFill="background1" w:themeFillShade="D9"/>
          </w:tcPr>
          <w:p w14:paraId="463844B0" w14:textId="16F31DDE" w:rsidR="003C626A" w:rsidRDefault="003C626A"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03CD5C20" w14:textId="7E8C21B2" w:rsidR="003C626A" w:rsidRDefault="003C626A" w:rsidP="002916A7">
            <w:pPr>
              <w:pStyle w:val="Tablewriting"/>
              <w:rPr>
                <w:rFonts w:eastAsia="MS Mincho"/>
              </w:rPr>
            </w:pPr>
            <w:r>
              <w:rPr>
                <w:rFonts w:eastAsia="MS Mincho"/>
              </w:rPr>
              <w:t>N=</w:t>
            </w:r>
            <w:r w:rsidR="00E74E1C">
              <w:rPr>
                <w:rFonts w:eastAsia="MS Mincho"/>
              </w:rPr>
              <w:t>250</w:t>
            </w:r>
          </w:p>
          <w:p w14:paraId="77AFF6D7" w14:textId="43261AB3" w:rsidR="003C626A" w:rsidRPr="00061F78" w:rsidRDefault="003C626A" w:rsidP="002916A7">
            <w:pPr>
              <w:pStyle w:val="Tablewriting"/>
              <w:rPr>
                <w:rFonts w:eastAsia="MS Mincho"/>
              </w:rPr>
            </w:pPr>
            <w:r>
              <w:rPr>
                <w:rFonts w:eastAsia="MS Mincho"/>
              </w:rPr>
              <w:t>Varenicline (n=1</w:t>
            </w:r>
            <w:r w:rsidR="00E74E1C">
              <w:rPr>
                <w:rFonts w:eastAsia="MS Mincho"/>
              </w:rPr>
              <w:t>2</w:t>
            </w:r>
            <w:r>
              <w:rPr>
                <w:rFonts w:eastAsia="MS Mincho"/>
              </w:rPr>
              <w:t xml:space="preserve">6), </w:t>
            </w:r>
            <w:r>
              <w:rPr>
                <w:rFonts w:eastAsia="MS Mincho"/>
              </w:rPr>
              <w:lastRenderedPageBreak/>
              <w:t>Placebo (n=1</w:t>
            </w:r>
            <w:r w:rsidR="00E74E1C">
              <w:rPr>
                <w:rFonts w:eastAsia="MS Mincho"/>
              </w:rPr>
              <w:t>2</w:t>
            </w:r>
            <w:r>
              <w:rPr>
                <w:rFonts w:eastAsia="MS Mincho"/>
              </w:rPr>
              <w:t>4)</w:t>
            </w:r>
          </w:p>
        </w:tc>
        <w:tc>
          <w:tcPr>
            <w:tcW w:w="1866" w:type="pct"/>
            <w:shd w:val="clear" w:color="auto" w:fill="D9D9D9" w:themeFill="background1" w:themeFillShade="D9"/>
            <w:tcMar>
              <w:left w:w="28" w:type="dxa"/>
              <w:right w:w="28" w:type="dxa"/>
            </w:tcMar>
          </w:tcPr>
          <w:p w14:paraId="43DCD3BC" w14:textId="504CB71E" w:rsidR="003C626A" w:rsidRDefault="003C626A" w:rsidP="002916A7">
            <w:pPr>
              <w:pStyle w:val="Tablewriting"/>
              <w:rPr>
                <w:rFonts w:eastAsia="MS Mincho"/>
              </w:rPr>
            </w:pPr>
            <w:r w:rsidRPr="007F28D7">
              <w:rPr>
                <w:rFonts w:eastAsia="MS Mincho"/>
                <w:u w:val="single"/>
              </w:rPr>
              <w:lastRenderedPageBreak/>
              <w:t>Inclusion</w:t>
            </w:r>
            <w:r>
              <w:rPr>
                <w:rFonts w:eastAsia="MS Mincho"/>
              </w:rPr>
              <w:t xml:space="preserve">: </w:t>
            </w:r>
            <w:r w:rsidR="00193774" w:rsidRPr="00193774">
              <w:rPr>
                <w:rFonts w:eastAsia="MS Mincho"/>
              </w:rPr>
              <w:t>18</w:t>
            </w:r>
            <w:r w:rsidR="00193774">
              <w:rPr>
                <w:rFonts w:eastAsia="MS Mincho"/>
              </w:rPr>
              <w:t>-</w:t>
            </w:r>
            <w:r w:rsidR="00193774" w:rsidRPr="00193774">
              <w:rPr>
                <w:rFonts w:eastAsia="MS Mincho"/>
              </w:rPr>
              <w:t>75 years</w:t>
            </w:r>
            <w:r w:rsidR="00254CE9">
              <w:rPr>
                <w:rFonts w:eastAsia="MS Mincho"/>
              </w:rPr>
              <w:t xml:space="preserve"> old</w:t>
            </w:r>
            <w:r w:rsidR="00193774" w:rsidRPr="00193774">
              <w:rPr>
                <w:rFonts w:eastAsia="MS Mincho"/>
              </w:rPr>
              <w:t>, ≥10 cigarettes</w:t>
            </w:r>
            <w:r w:rsidR="00254CE9">
              <w:rPr>
                <w:rFonts w:eastAsia="MS Mincho"/>
              </w:rPr>
              <w:t xml:space="preserve"> per </w:t>
            </w:r>
            <w:r w:rsidR="00193774" w:rsidRPr="00193774">
              <w:rPr>
                <w:rFonts w:eastAsia="MS Mincho"/>
              </w:rPr>
              <w:t>d</w:t>
            </w:r>
            <w:r w:rsidR="00193774">
              <w:rPr>
                <w:rFonts w:eastAsia="MS Mincho"/>
              </w:rPr>
              <w:t>ay</w:t>
            </w:r>
            <w:r w:rsidR="00193774" w:rsidRPr="00193774">
              <w:rPr>
                <w:rFonts w:eastAsia="MS Mincho"/>
              </w:rPr>
              <w:t xml:space="preserve"> during</w:t>
            </w:r>
            <w:r w:rsidR="00193774">
              <w:rPr>
                <w:rFonts w:eastAsia="MS Mincho"/>
              </w:rPr>
              <w:t xml:space="preserve"> </w:t>
            </w:r>
            <w:r w:rsidR="00193774" w:rsidRPr="00193774">
              <w:rPr>
                <w:rFonts w:eastAsia="MS Mincho"/>
              </w:rPr>
              <w:t>the past year with no period of abstinence &gt;3</w:t>
            </w:r>
            <w:r w:rsidR="00484556">
              <w:rPr>
                <w:rFonts w:eastAsia="MS Mincho"/>
              </w:rPr>
              <w:t xml:space="preserve"> </w:t>
            </w:r>
            <w:r w:rsidR="00193774" w:rsidRPr="00193774">
              <w:rPr>
                <w:rFonts w:eastAsia="MS Mincho"/>
              </w:rPr>
              <w:t>months in the past year, motivated to</w:t>
            </w:r>
            <w:r w:rsidR="00484556">
              <w:rPr>
                <w:rFonts w:eastAsia="MS Mincho"/>
              </w:rPr>
              <w:t xml:space="preserve"> </w:t>
            </w:r>
            <w:r w:rsidR="00193774" w:rsidRPr="00193774">
              <w:rPr>
                <w:rFonts w:eastAsia="MS Mincho"/>
              </w:rPr>
              <w:t>stop smoking</w:t>
            </w:r>
            <w:r w:rsidR="00E617B3">
              <w:rPr>
                <w:rFonts w:eastAsia="MS Mincho"/>
              </w:rPr>
              <w:t>.</w:t>
            </w:r>
          </w:p>
          <w:p w14:paraId="349D8D51" w14:textId="1E20D224" w:rsidR="003C626A" w:rsidRPr="00061F78" w:rsidRDefault="003C626A" w:rsidP="002916A7">
            <w:pPr>
              <w:pStyle w:val="Tablewriting"/>
              <w:rPr>
                <w:rFonts w:eastAsia="MS Mincho"/>
              </w:rPr>
            </w:pPr>
            <w:r w:rsidRPr="007F28D7">
              <w:rPr>
                <w:rFonts w:eastAsia="MS Mincho"/>
                <w:u w:val="single"/>
              </w:rPr>
              <w:lastRenderedPageBreak/>
              <w:t>Exclusion</w:t>
            </w:r>
            <w:r>
              <w:rPr>
                <w:rFonts w:eastAsia="MS Mincho"/>
              </w:rPr>
              <w:t xml:space="preserve">: </w:t>
            </w:r>
            <w:r w:rsidR="00996970">
              <w:rPr>
                <w:rFonts w:eastAsia="MS Mincho"/>
              </w:rPr>
              <w:t>pregnancy and breastfeeding</w:t>
            </w:r>
            <w:r w:rsidR="00254CE9">
              <w:rPr>
                <w:rFonts w:eastAsia="MS Mincho"/>
              </w:rPr>
              <w:t>,</w:t>
            </w:r>
            <w:r w:rsidR="00996970">
              <w:rPr>
                <w:rFonts w:eastAsia="MS Mincho"/>
              </w:rPr>
              <w:t xml:space="preserve"> </w:t>
            </w:r>
            <w:r w:rsidR="00E617B3" w:rsidRPr="00E617B3">
              <w:rPr>
                <w:rFonts w:eastAsia="MS Mincho"/>
              </w:rPr>
              <w:t>past or present history of a serious or</w:t>
            </w:r>
            <w:r w:rsidR="00E617B3">
              <w:rPr>
                <w:rFonts w:eastAsia="MS Mincho"/>
              </w:rPr>
              <w:t xml:space="preserve"> </w:t>
            </w:r>
            <w:r w:rsidR="00E617B3" w:rsidRPr="00E617B3">
              <w:rPr>
                <w:rFonts w:eastAsia="MS Mincho"/>
              </w:rPr>
              <w:t>unstable clinical disease requiring treatment</w:t>
            </w:r>
            <w:r w:rsidR="00254CE9">
              <w:rPr>
                <w:rFonts w:eastAsia="MS Mincho"/>
              </w:rPr>
              <w:t xml:space="preserve">, </w:t>
            </w:r>
            <w:r w:rsidR="00E617B3" w:rsidRPr="00E617B3">
              <w:rPr>
                <w:rFonts w:eastAsia="MS Mincho"/>
              </w:rPr>
              <w:t>body mass index &lt;15 or &gt;38 kg/m</w:t>
            </w:r>
            <w:r w:rsidR="00E617B3" w:rsidRPr="00E617B3">
              <w:rPr>
                <w:rFonts w:eastAsia="MS Mincho"/>
                <w:vertAlign w:val="superscript"/>
              </w:rPr>
              <w:t>2</w:t>
            </w:r>
            <w:r w:rsidR="00E617B3" w:rsidRPr="00E617B3">
              <w:rPr>
                <w:rFonts w:eastAsia="MS Mincho"/>
              </w:rPr>
              <w:t>, body weight</w:t>
            </w:r>
            <w:r w:rsidR="00E617B3">
              <w:rPr>
                <w:rFonts w:eastAsia="MS Mincho"/>
              </w:rPr>
              <w:t xml:space="preserve"> </w:t>
            </w:r>
            <w:r w:rsidR="00E617B3" w:rsidRPr="00E617B3">
              <w:rPr>
                <w:rFonts w:eastAsia="MS Mincho"/>
              </w:rPr>
              <w:t>&lt;45 kg, and a history of drug (except nicotine) or</w:t>
            </w:r>
            <w:r w:rsidR="00E617B3">
              <w:rPr>
                <w:rFonts w:eastAsia="MS Mincho"/>
              </w:rPr>
              <w:t xml:space="preserve"> </w:t>
            </w:r>
            <w:r w:rsidR="00E617B3" w:rsidRPr="00E617B3">
              <w:rPr>
                <w:rFonts w:eastAsia="MS Mincho"/>
              </w:rPr>
              <w:t>alcohol abuse.</w:t>
            </w:r>
          </w:p>
        </w:tc>
        <w:tc>
          <w:tcPr>
            <w:tcW w:w="920" w:type="pct"/>
            <w:shd w:val="clear" w:color="auto" w:fill="D9D9D9" w:themeFill="background1" w:themeFillShade="D9"/>
          </w:tcPr>
          <w:p w14:paraId="4AAA448B" w14:textId="063362C8" w:rsidR="003C626A" w:rsidRDefault="003C626A"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Pr>
                <w:rFonts w:eastAsia="MS Mincho"/>
              </w:rPr>
              <w:t xml:space="preserve"> </w:t>
            </w:r>
            <w:r w:rsidRPr="00372F18">
              <w:rPr>
                <w:rFonts w:eastAsia="MS Mincho"/>
              </w:rPr>
              <w:t xml:space="preserve">daily for 3 days, </w:t>
            </w:r>
            <w:r w:rsidRPr="00372F18">
              <w:rPr>
                <w:rFonts w:eastAsia="MS Mincho"/>
              </w:rPr>
              <w:lastRenderedPageBreak/>
              <w:t>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14:paraId="59A19FC4" w14:textId="375EB6FC" w:rsidR="003C626A" w:rsidRDefault="003C626A" w:rsidP="002916A7">
            <w:pPr>
              <w:pStyle w:val="Tablewriting"/>
              <w:rPr>
                <w:rFonts w:eastAsia="MS Mincho"/>
              </w:rPr>
            </w:pPr>
            <w:r>
              <w:rPr>
                <w:rFonts w:eastAsia="MS Mincho"/>
              </w:rPr>
              <w:t>Placebo: placebo tablet for 12 weeks, same regimen</w:t>
            </w:r>
            <w:r w:rsidR="000F1E7A">
              <w:rPr>
                <w:rFonts w:eastAsia="MS Mincho"/>
              </w:rPr>
              <w:t>.</w:t>
            </w:r>
          </w:p>
          <w:p w14:paraId="122C77C6" w14:textId="77777777" w:rsidR="0002088D" w:rsidRDefault="0002088D" w:rsidP="002916A7">
            <w:pPr>
              <w:pStyle w:val="Tablewriting"/>
              <w:rPr>
                <w:rFonts w:eastAsia="MS Mincho"/>
              </w:rPr>
            </w:pPr>
          </w:p>
          <w:p w14:paraId="1B4335F8" w14:textId="2A8869C9" w:rsidR="0002088D" w:rsidRPr="00A34E7B" w:rsidRDefault="0002088D" w:rsidP="002916A7">
            <w:pPr>
              <w:pStyle w:val="Tablewriting"/>
              <w:rPr>
                <w:rFonts w:eastAsia="MS Mincho"/>
              </w:rPr>
            </w:pPr>
            <w:r w:rsidRPr="0002088D">
              <w:rPr>
                <w:rFonts w:eastAsia="MS Mincho"/>
              </w:rPr>
              <w:t>Behavioural support provided in both arms.</w:t>
            </w:r>
          </w:p>
        </w:tc>
        <w:tc>
          <w:tcPr>
            <w:tcW w:w="1140" w:type="pct"/>
            <w:shd w:val="clear" w:color="auto" w:fill="D9D9D9" w:themeFill="background1" w:themeFillShade="D9"/>
            <w:tcMar>
              <w:left w:w="28" w:type="dxa"/>
              <w:right w:w="28" w:type="dxa"/>
            </w:tcMar>
          </w:tcPr>
          <w:p w14:paraId="09322AB5" w14:textId="56A93A19" w:rsidR="003C626A" w:rsidRDefault="003C626A" w:rsidP="002916A7">
            <w:pPr>
              <w:pStyle w:val="Tablewriting"/>
              <w:rPr>
                <w:rFonts w:eastAsia="MS Mincho"/>
              </w:rPr>
            </w:pPr>
            <w:r w:rsidRPr="008C39E4">
              <w:rPr>
                <w:rFonts w:eastAsia="MS Mincho"/>
                <w:u w:val="single"/>
              </w:rPr>
              <w:lastRenderedPageBreak/>
              <w:t>Primary</w:t>
            </w:r>
            <w:r>
              <w:rPr>
                <w:rFonts w:eastAsia="MS Mincho"/>
              </w:rPr>
              <w:t xml:space="preserve">: </w:t>
            </w:r>
            <w:r w:rsidR="00254CE9">
              <w:rPr>
                <w:rFonts w:eastAsia="MS Mincho"/>
              </w:rPr>
              <w:t>CAR</w:t>
            </w:r>
            <w:r>
              <w:rPr>
                <w:rFonts w:eastAsia="MS Mincho"/>
              </w:rPr>
              <w:t xml:space="preserve"> at </w:t>
            </w:r>
            <w:r w:rsidR="007B7017">
              <w:rPr>
                <w:rFonts w:eastAsia="MS Mincho"/>
              </w:rPr>
              <w:t>w</w:t>
            </w:r>
            <w:r>
              <w:rPr>
                <w:rFonts w:eastAsia="MS Mincho"/>
              </w:rPr>
              <w:t>eek 9-12.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14:paraId="649D11C8" w14:textId="773A601D" w:rsidR="003C626A" w:rsidRDefault="003C626A" w:rsidP="002916A7">
            <w:pPr>
              <w:pStyle w:val="Tablewriting"/>
              <w:rPr>
                <w:rFonts w:eastAsia="MS Mincho"/>
              </w:rPr>
            </w:pPr>
            <w:r w:rsidRPr="008C39E4">
              <w:rPr>
                <w:rFonts w:eastAsia="MS Mincho"/>
                <w:u w:val="single"/>
              </w:rPr>
              <w:lastRenderedPageBreak/>
              <w:t>Secondary</w:t>
            </w:r>
            <w:r>
              <w:rPr>
                <w:rFonts w:eastAsia="MS Mincho"/>
              </w:rPr>
              <w:t xml:space="preserve">: </w:t>
            </w:r>
            <w:r w:rsidR="00254CE9">
              <w:rPr>
                <w:rFonts w:eastAsia="MS Mincho"/>
              </w:rPr>
              <w:t>CAR</w:t>
            </w:r>
            <w:r>
              <w:rPr>
                <w:rFonts w:eastAsia="MS Mincho"/>
              </w:rPr>
              <w:t xml:space="preserve"> at </w:t>
            </w:r>
            <w:r w:rsidR="007B7017">
              <w:rPr>
                <w:rFonts w:eastAsia="MS Mincho"/>
              </w:rPr>
              <w:t>w</w:t>
            </w:r>
            <w:r>
              <w:rPr>
                <w:rFonts w:eastAsia="MS Mincho"/>
              </w:rPr>
              <w:t xml:space="preserve">eek 9-24. </w:t>
            </w:r>
            <w:r w:rsidRPr="00624207">
              <w:rPr>
                <w:rFonts w:eastAsia="MS Mincho"/>
              </w:rPr>
              <w:t xml:space="preserve">7-day PPA </w:t>
            </w:r>
            <w:r>
              <w:rPr>
                <w:rFonts w:eastAsia="MS Mincho"/>
              </w:rPr>
              <w:t xml:space="preserve">at </w:t>
            </w:r>
            <w:r w:rsidR="007B7017">
              <w:rPr>
                <w:rFonts w:eastAsia="MS Mincho"/>
              </w:rPr>
              <w:t>w</w:t>
            </w:r>
            <w:r>
              <w:rPr>
                <w:rFonts w:eastAsia="MS Mincho"/>
              </w:rPr>
              <w:t>eek 12</w:t>
            </w:r>
            <w:r w:rsidR="009041FF">
              <w:rPr>
                <w:rFonts w:eastAsia="MS Mincho"/>
              </w:rPr>
              <w:t xml:space="preserve"> and</w:t>
            </w:r>
            <w:r>
              <w:rPr>
                <w:rFonts w:eastAsia="MS Mincho"/>
              </w:rPr>
              <w:t xml:space="preserve"> 24.</w:t>
            </w:r>
            <w:r w:rsidR="003B4558">
              <w:rPr>
                <w:rFonts w:eastAsia="MS Mincho"/>
              </w:rPr>
              <w:t xml:space="preserve"> Validated by CO </w:t>
            </w:r>
            <w:r w:rsidR="003B4558">
              <w:rPr>
                <w:rFonts w:eastAsia="MS Mincho" w:cstheme="minorHAnsi"/>
              </w:rPr>
              <w:t>≤</w:t>
            </w:r>
            <w:r w:rsidR="003B4558">
              <w:rPr>
                <w:rFonts w:eastAsia="MS Mincho"/>
              </w:rPr>
              <w:t>10</w:t>
            </w:r>
            <w:r w:rsidR="001376F9">
              <w:rPr>
                <w:rFonts w:eastAsia="MS Mincho"/>
              </w:rPr>
              <w:t xml:space="preserve"> </w:t>
            </w:r>
            <w:r w:rsidR="003B4558">
              <w:rPr>
                <w:rFonts w:eastAsia="MS Mincho"/>
              </w:rPr>
              <w:t>ppm.</w:t>
            </w:r>
          </w:p>
          <w:p w14:paraId="7C7A20E4" w14:textId="6C2DE2B2" w:rsidR="003C626A" w:rsidRPr="00061F78" w:rsidRDefault="003C626A" w:rsidP="002916A7">
            <w:pPr>
              <w:pStyle w:val="Tablewriting"/>
              <w:rPr>
                <w:rFonts w:eastAsia="MS Mincho"/>
              </w:rPr>
            </w:pPr>
            <w:r w:rsidRPr="0055171C">
              <w:rPr>
                <w:rFonts w:eastAsia="MS Mincho"/>
                <w:u w:val="single"/>
              </w:rPr>
              <w:t>Other</w:t>
            </w:r>
            <w:r>
              <w:rPr>
                <w:rFonts w:eastAsia="MS Mincho"/>
              </w:rPr>
              <w:t xml:space="preserve">: </w:t>
            </w:r>
            <w:r w:rsidR="00C6077A">
              <w:rPr>
                <w:rFonts w:eastAsia="MS Mincho"/>
              </w:rPr>
              <w:t>w</w:t>
            </w:r>
            <w:r w:rsidR="00C6077A" w:rsidRPr="00C6077A">
              <w:rPr>
                <w:rFonts w:eastAsia="MS Mincho"/>
              </w:rPr>
              <w:t>ithdrawal symptoms (using MNWS, QSU-brief and mCEQ), adverse events</w:t>
            </w:r>
            <w:r w:rsidR="000F1E7A">
              <w:rPr>
                <w:rFonts w:eastAsia="MS Mincho"/>
              </w:rPr>
              <w:t>.</w:t>
            </w:r>
          </w:p>
        </w:tc>
      </w:tr>
      <w:tr w:rsidR="00260CD7" w:rsidRPr="00061F78" w14:paraId="12B83BC5" w14:textId="77777777" w:rsidTr="004D7C8D">
        <w:trPr>
          <w:trHeight w:val="99"/>
        </w:trPr>
        <w:tc>
          <w:tcPr>
            <w:tcW w:w="332" w:type="pct"/>
            <w:shd w:val="clear" w:color="auto" w:fill="D9D9D9" w:themeFill="background1" w:themeFillShade="D9"/>
            <w:tcMar>
              <w:left w:w="28" w:type="dxa"/>
              <w:right w:w="28" w:type="dxa"/>
            </w:tcMar>
          </w:tcPr>
          <w:p w14:paraId="648C473F" w14:textId="77777777" w:rsidR="003F5F9B" w:rsidRDefault="003F5F9B" w:rsidP="002916A7">
            <w:pPr>
              <w:pStyle w:val="Tablewriting"/>
              <w:rPr>
                <w:rFonts w:eastAsia="MS Mincho"/>
              </w:rPr>
            </w:pPr>
            <w:r>
              <w:rPr>
                <w:rFonts w:eastAsia="MS Mincho"/>
              </w:rPr>
              <w:lastRenderedPageBreak/>
              <w:t>Wang</w:t>
            </w:r>
          </w:p>
          <w:p w14:paraId="4620050A" w14:textId="7FA30E3D" w:rsidR="003F5F9B" w:rsidRPr="00061F78" w:rsidRDefault="003F5F9B" w:rsidP="002916A7">
            <w:pPr>
              <w:pStyle w:val="Tablewriting"/>
              <w:rPr>
                <w:rFonts w:eastAsia="MS Mincho"/>
              </w:rPr>
            </w:pPr>
            <w:r>
              <w:rPr>
                <w:rFonts w:eastAsia="MS Mincho"/>
              </w:rPr>
              <w:t>(2009)</w:t>
            </w:r>
          </w:p>
        </w:tc>
        <w:tc>
          <w:tcPr>
            <w:tcW w:w="395" w:type="pct"/>
            <w:shd w:val="clear" w:color="auto" w:fill="D9D9D9" w:themeFill="background1" w:themeFillShade="D9"/>
          </w:tcPr>
          <w:p w14:paraId="556E21C7" w14:textId="049D9C42" w:rsidR="003F5F9B" w:rsidRDefault="003F5F9B"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0F6646C7" w14:textId="7037F238" w:rsidR="003F5F9B" w:rsidRDefault="003F5F9B" w:rsidP="002916A7">
            <w:pPr>
              <w:pStyle w:val="Tablewriting"/>
              <w:rPr>
                <w:rFonts w:eastAsia="MS Mincho"/>
              </w:rPr>
            </w:pPr>
            <w:r>
              <w:rPr>
                <w:rFonts w:eastAsia="MS Mincho"/>
              </w:rPr>
              <w:t>N=</w:t>
            </w:r>
            <w:r w:rsidR="008845FD">
              <w:rPr>
                <w:rFonts w:eastAsia="MS Mincho"/>
              </w:rPr>
              <w:t>334</w:t>
            </w:r>
          </w:p>
          <w:p w14:paraId="7D12C4A1" w14:textId="729A3446" w:rsidR="003F5F9B" w:rsidRPr="00061F78" w:rsidRDefault="003F5F9B" w:rsidP="002916A7">
            <w:pPr>
              <w:pStyle w:val="Tablewriting"/>
              <w:rPr>
                <w:rFonts w:eastAsia="MS Mincho"/>
              </w:rPr>
            </w:pPr>
            <w:r>
              <w:rPr>
                <w:rFonts w:eastAsia="MS Mincho"/>
              </w:rPr>
              <w:t>Varenicline (n=1</w:t>
            </w:r>
            <w:r w:rsidR="008845FD">
              <w:rPr>
                <w:rFonts w:eastAsia="MS Mincho"/>
              </w:rPr>
              <w:t>65</w:t>
            </w:r>
            <w:r>
              <w:rPr>
                <w:rFonts w:eastAsia="MS Mincho"/>
              </w:rPr>
              <w:t>), Placebo (n=1</w:t>
            </w:r>
            <w:r w:rsidR="008845FD">
              <w:rPr>
                <w:rFonts w:eastAsia="MS Mincho"/>
              </w:rPr>
              <w:t>68</w:t>
            </w:r>
            <w:r>
              <w:rPr>
                <w:rFonts w:eastAsia="MS Mincho"/>
              </w:rPr>
              <w:t>)</w:t>
            </w:r>
          </w:p>
        </w:tc>
        <w:tc>
          <w:tcPr>
            <w:tcW w:w="1866" w:type="pct"/>
            <w:shd w:val="clear" w:color="auto" w:fill="D9D9D9" w:themeFill="background1" w:themeFillShade="D9"/>
            <w:tcMar>
              <w:left w:w="28" w:type="dxa"/>
              <w:right w:w="28" w:type="dxa"/>
            </w:tcMar>
          </w:tcPr>
          <w:p w14:paraId="1EA8A378" w14:textId="33028333" w:rsidR="003F5F9B" w:rsidRDefault="003F5F9B" w:rsidP="002916A7">
            <w:pPr>
              <w:pStyle w:val="Tablewriting"/>
              <w:rPr>
                <w:rFonts w:eastAsia="MS Mincho"/>
              </w:rPr>
            </w:pPr>
            <w:r w:rsidRPr="007F28D7">
              <w:rPr>
                <w:rFonts w:eastAsia="MS Mincho"/>
                <w:u w:val="single"/>
              </w:rPr>
              <w:t>Inclusion</w:t>
            </w:r>
            <w:r>
              <w:rPr>
                <w:rFonts w:eastAsia="MS Mincho"/>
              </w:rPr>
              <w:t>:</w:t>
            </w:r>
            <w:r w:rsidR="00D04D44" w:rsidRPr="00D04D44">
              <w:rPr>
                <w:rFonts w:eastAsia="MS Mincho"/>
              </w:rPr>
              <w:t>18–75 years</w:t>
            </w:r>
            <w:r w:rsidR="00254CE9">
              <w:rPr>
                <w:rFonts w:eastAsia="MS Mincho"/>
              </w:rPr>
              <w:t xml:space="preserve"> old,</w:t>
            </w:r>
            <w:r w:rsidR="00D04D44" w:rsidRPr="00D04D44">
              <w:rPr>
                <w:rFonts w:eastAsia="MS Mincho"/>
              </w:rPr>
              <w:t xml:space="preserve"> BMI of 15–38 kg/m</w:t>
            </w:r>
            <w:r w:rsidR="00D04D44" w:rsidRPr="00D04D44">
              <w:rPr>
                <w:rFonts w:eastAsia="MS Mincho"/>
                <w:vertAlign w:val="superscript"/>
              </w:rPr>
              <w:t>2</w:t>
            </w:r>
            <w:r w:rsidR="00D04D44" w:rsidRPr="00D04D44">
              <w:rPr>
                <w:rFonts w:eastAsia="MS Mincho"/>
              </w:rPr>
              <w:t xml:space="preserve"> (and a weight of </w:t>
            </w:r>
            <w:r w:rsidR="001C4C23">
              <w:rPr>
                <w:rFonts w:eastAsia="MS Mincho" w:cstheme="minorHAnsi"/>
              </w:rPr>
              <w:t>≥</w:t>
            </w:r>
            <w:r w:rsidR="00D04D44" w:rsidRPr="00D04D44">
              <w:rPr>
                <w:rFonts w:eastAsia="MS Mincho"/>
              </w:rPr>
              <w:t>45.5 kg),</w:t>
            </w:r>
            <w:r w:rsidR="001C4C23">
              <w:rPr>
                <w:rFonts w:eastAsia="MS Mincho"/>
              </w:rPr>
              <w:t xml:space="preserve"> </w:t>
            </w:r>
            <w:r w:rsidR="001C4C23">
              <w:rPr>
                <w:rFonts w:eastAsia="MS Mincho" w:cstheme="minorHAnsi"/>
              </w:rPr>
              <w:t>≥</w:t>
            </w:r>
            <w:r w:rsidR="001C4C23">
              <w:rPr>
                <w:rFonts w:eastAsia="MS Mincho"/>
              </w:rPr>
              <w:t>10</w:t>
            </w:r>
            <w:r w:rsidR="00D04D44" w:rsidRPr="00D04D44">
              <w:rPr>
                <w:rFonts w:eastAsia="MS Mincho"/>
              </w:rPr>
              <w:t xml:space="preserve"> cigarettes</w:t>
            </w:r>
            <w:r w:rsidR="00D04D44">
              <w:rPr>
                <w:rFonts w:eastAsia="MS Mincho"/>
              </w:rPr>
              <w:t xml:space="preserve"> </w:t>
            </w:r>
            <w:r w:rsidR="00D04D44" w:rsidRPr="00D04D44">
              <w:rPr>
                <w:rFonts w:eastAsia="MS Mincho"/>
              </w:rPr>
              <w:t>per day during the year prior to the screening visit</w:t>
            </w:r>
            <w:r w:rsidR="00D04D44">
              <w:rPr>
                <w:rFonts w:eastAsia="MS Mincho"/>
              </w:rPr>
              <w:t xml:space="preserve"> </w:t>
            </w:r>
            <w:r w:rsidR="00D04D44" w:rsidRPr="00D04D44">
              <w:rPr>
                <w:rFonts w:eastAsia="MS Mincho"/>
              </w:rPr>
              <w:t>with no period of</w:t>
            </w:r>
            <w:r w:rsidR="00D04D44">
              <w:rPr>
                <w:rFonts w:eastAsia="MS Mincho"/>
              </w:rPr>
              <w:t xml:space="preserve"> </w:t>
            </w:r>
            <w:r w:rsidR="00D04D44" w:rsidRPr="00D04D44">
              <w:rPr>
                <w:rFonts w:eastAsia="MS Mincho"/>
              </w:rPr>
              <w:t>abstinence greater than 3 months, motivated to stop smoking</w:t>
            </w:r>
            <w:r w:rsidR="00CF043A">
              <w:rPr>
                <w:rFonts w:eastAsia="MS Mincho"/>
              </w:rPr>
              <w:t>.</w:t>
            </w:r>
          </w:p>
          <w:p w14:paraId="540E3F8F" w14:textId="71B9A8E0" w:rsidR="003F5F9B" w:rsidRPr="00061F78" w:rsidRDefault="003F5F9B" w:rsidP="002916A7">
            <w:pPr>
              <w:pStyle w:val="Tablewriting"/>
              <w:rPr>
                <w:rFonts w:eastAsia="MS Mincho"/>
              </w:rPr>
            </w:pPr>
            <w:r w:rsidRPr="007F28D7">
              <w:rPr>
                <w:rFonts w:eastAsia="MS Mincho"/>
                <w:u w:val="single"/>
              </w:rPr>
              <w:t>Exclusion</w:t>
            </w:r>
            <w:r>
              <w:rPr>
                <w:rFonts w:eastAsia="MS Mincho"/>
              </w:rPr>
              <w:t xml:space="preserve">: </w:t>
            </w:r>
            <w:r w:rsidR="00996970">
              <w:rPr>
                <w:rFonts w:eastAsia="MS Mincho"/>
              </w:rPr>
              <w:t>pregnancy and breastfeeding</w:t>
            </w:r>
            <w:r w:rsidR="00662065">
              <w:rPr>
                <w:rFonts w:eastAsia="MS Mincho"/>
              </w:rPr>
              <w:t>,</w:t>
            </w:r>
            <w:r w:rsidR="00996970">
              <w:rPr>
                <w:rFonts w:eastAsia="MS Mincho"/>
              </w:rPr>
              <w:t xml:space="preserve"> </w:t>
            </w:r>
            <w:r w:rsidR="004857E0" w:rsidRPr="004857E0">
              <w:rPr>
                <w:rFonts w:eastAsia="MS Mincho"/>
              </w:rPr>
              <w:t>diagnosed</w:t>
            </w:r>
            <w:r w:rsidR="004857E0">
              <w:rPr>
                <w:rFonts w:eastAsia="MS Mincho"/>
              </w:rPr>
              <w:t xml:space="preserve"> </w:t>
            </w:r>
            <w:r w:rsidR="004857E0" w:rsidRPr="004857E0">
              <w:rPr>
                <w:rFonts w:eastAsia="MS Mincho"/>
              </w:rPr>
              <w:t>with or treated for depression during the previous 12</w:t>
            </w:r>
            <w:r w:rsidR="005F26B6">
              <w:rPr>
                <w:rFonts w:eastAsia="MS Mincho"/>
              </w:rPr>
              <w:t xml:space="preserve"> </w:t>
            </w:r>
            <w:r w:rsidR="004857E0" w:rsidRPr="004857E0">
              <w:rPr>
                <w:rFonts w:eastAsia="MS Mincho"/>
              </w:rPr>
              <w:t>months</w:t>
            </w:r>
            <w:r w:rsidR="00662065">
              <w:rPr>
                <w:rFonts w:eastAsia="MS Mincho"/>
              </w:rPr>
              <w:t>,</w:t>
            </w:r>
            <w:r w:rsidR="004857E0" w:rsidRPr="004857E0">
              <w:rPr>
                <w:rFonts w:eastAsia="MS Mincho"/>
              </w:rPr>
              <w:t xml:space="preserve"> a history of psychosis, panic disorder,</w:t>
            </w:r>
            <w:r w:rsidR="004857E0">
              <w:rPr>
                <w:rFonts w:eastAsia="MS Mincho"/>
              </w:rPr>
              <w:t xml:space="preserve"> </w:t>
            </w:r>
            <w:r w:rsidR="004857E0" w:rsidRPr="004857E0">
              <w:rPr>
                <w:rFonts w:eastAsia="MS Mincho"/>
              </w:rPr>
              <w:t>bipolar disorder, clinically significant endocrine</w:t>
            </w:r>
            <w:r w:rsidR="004857E0">
              <w:rPr>
                <w:rFonts w:eastAsia="MS Mincho"/>
              </w:rPr>
              <w:t xml:space="preserve"> </w:t>
            </w:r>
            <w:r w:rsidR="004857E0" w:rsidRPr="004857E0">
              <w:rPr>
                <w:rFonts w:eastAsia="MS Mincho"/>
              </w:rPr>
              <w:t>disorders or gastrointestinal diseases</w:t>
            </w:r>
            <w:r w:rsidR="00662065">
              <w:rPr>
                <w:rFonts w:eastAsia="MS Mincho"/>
              </w:rPr>
              <w:t>,</w:t>
            </w:r>
            <w:r w:rsidR="004857E0" w:rsidRPr="004857E0">
              <w:rPr>
                <w:rFonts w:eastAsia="MS Mincho"/>
              </w:rPr>
              <w:t xml:space="preserve"> severe COPD, clinically significant</w:t>
            </w:r>
            <w:r w:rsidR="007B6FEE">
              <w:rPr>
                <w:rFonts w:eastAsia="MS Mincho"/>
              </w:rPr>
              <w:t xml:space="preserve"> </w:t>
            </w:r>
            <w:r w:rsidR="004857E0" w:rsidRPr="004857E0">
              <w:rPr>
                <w:rFonts w:eastAsia="MS Mincho"/>
              </w:rPr>
              <w:t>cardiovascular disease, neurologic disorders or cerebrovascular</w:t>
            </w:r>
            <w:r w:rsidR="00481D53">
              <w:rPr>
                <w:rFonts w:eastAsia="MS Mincho"/>
              </w:rPr>
              <w:t xml:space="preserve"> </w:t>
            </w:r>
            <w:r w:rsidR="004857E0" w:rsidRPr="004857E0">
              <w:rPr>
                <w:rFonts w:eastAsia="MS Mincho"/>
              </w:rPr>
              <w:t>disease during the previous 6 months</w:t>
            </w:r>
            <w:r w:rsidR="00662065">
              <w:rPr>
                <w:rFonts w:eastAsia="MS Mincho"/>
              </w:rPr>
              <w:t>,</w:t>
            </w:r>
            <w:r w:rsidR="004857E0" w:rsidRPr="004857E0">
              <w:rPr>
                <w:rFonts w:eastAsia="MS Mincho"/>
              </w:rPr>
              <w:t xml:space="preserve"> uncontrolled</w:t>
            </w:r>
            <w:r w:rsidR="00011E22">
              <w:rPr>
                <w:rFonts w:eastAsia="MS Mincho"/>
              </w:rPr>
              <w:t xml:space="preserve"> </w:t>
            </w:r>
            <w:r w:rsidR="004857E0" w:rsidRPr="004857E0">
              <w:rPr>
                <w:rFonts w:eastAsia="MS Mincho"/>
              </w:rPr>
              <w:t xml:space="preserve">hypertension or systolic blood pressure </w:t>
            </w:r>
            <w:r w:rsidR="00662065">
              <w:rPr>
                <w:rFonts w:eastAsia="MS Mincho"/>
              </w:rPr>
              <w:t>&gt;</w:t>
            </w:r>
            <w:r w:rsidR="004857E0" w:rsidRPr="004857E0">
              <w:rPr>
                <w:rFonts w:eastAsia="MS Mincho"/>
              </w:rPr>
              <w:t xml:space="preserve">150 mmHg or diastolic blood pressure </w:t>
            </w:r>
            <w:r w:rsidR="00662065">
              <w:rPr>
                <w:rFonts w:eastAsia="MS Mincho"/>
              </w:rPr>
              <w:t>&gt;</w:t>
            </w:r>
            <w:r w:rsidR="004857E0" w:rsidRPr="004857E0">
              <w:rPr>
                <w:rFonts w:eastAsia="MS Mincho"/>
              </w:rPr>
              <w:t>95 mmHg at baseline screening</w:t>
            </w:r>
            <w:r w:rsidR="00662065">
              <w:rPr>
                <w:rFonts w:eastAsia="MS Mincho"/>
              </w:rPr>
              <w:t>,</w:t>
            </w:r>
            <w:r w:rsidR="004857E0" w:rsidRPr="004857E0">
              <w:rPr>
                <w:rFonts w:eastAsia="MS Mincho"/>
              </w:rPr>
              <w:t xml:space="preserve"> significant</w:t>
            </w:r>
            <w:r w:rsidR="00011E22">
              <w:rPr>
                <w:rFonts w:eastAsia="MS Mincho"/>
              </w:rPr>
              <w:t xml:space="preserve"> </w:t>
            </w:r>
            <w:r w:rsidR="004857E0" w:rsidRPr="004857E0">
              <w:rPr>
                <w:rFonts w:eastAsia="MS Mincho"/>
              </w:rPr>
              <w:t>hepatic or renal impairment or other clinically significant</w:t>
            </w:r>
            <w:r w:rsidR="00011E22">
              <w:rPr>
                <w:rFonts w:eastAsia="MS Mincho"/>
              </w:rPr>
              <w:t xml:space="preserve"> </w:t>
            </w:r>
            <w:r w:rsidR="004857E0" w:rsidRPr="004857E0">
              <w:rPr>
                <w:rFonts w:eastAsia="MS Mincho"/>
              </w:rPr>
              <w:t>abnormal laboratory test values</w:t>
            </w:r>
            <w:r w:rsidR="00C86E8D">
              <w:rPr>
                <w:rFonts w:eastAsia="MS Mincho"/>
              </w:rPr>
              <w:t>,</w:t>
            </w:r>
            <w:r w:rsidR="004857E0" w:rsidRPr="004857E0">
              <w:rPr>
                <w:rFonts w:eastAsia="MS Mincho"/>
              </w:rPr>
              <w:t xml:space="preserve"> a history of</w:t>
            </w:r>
            <w:r w:rsidR="00011E22">
              <w:rPr>
                <w:rFonts w:eastAsia="MS Mincho"/>
              </w:rPr>
              <w:t xml:space="preserve"> </w:t>
            </w:r>
            <w:r w:rsidR="004857E0" w:rsidRPr="004857E0">
              <w:rPr>
                <w:rFonts w:eastAsia="MS Mincho"/>
              </w:rPr>
              <w:t>cancer</w:t>
            </w:r>
            <w:r w:rsidR="00C86E8D">
              <w:rPr>
                <w:rFonts w:eastAsia="MS Mincho"/>
              </w:rPr>
              <w:t>,</w:t>
            </w:r>
            <w:r w:rsidR="004857E0" w:rsidRPr="004857E0">
              <w:rPr>
                <w:rFonts w:eastAsia="MS Mincho"/>
              </w:rPr>
              <w:t xml:space="preserve"> serious or life-threatening allergic reactions</w:t>
            </w:r>
            <w:r w:rsidR="005F3431">
              <w:rPr>
                <w:rFonts w:eastAsia="MS Mincho"/>
              </w:rPr>
              <w:t xml:space="preserve"> </w:t>
            </w:r>
            <w:r w:rsidR="004857E0" w:rsidRPr="004857E0">
              <w:rPr>
                <w:rFonts w:eastAsia="MS Mincho"/>
              </w:rPr>
              <w:t>to drugs</w:t>
            </w:r>
            <w:r w:rsidR="00C86E8D">
              <w:rPr>
                <w:rFonts w:eastAsia="MS Mincho"/>
              </w:rPr>
              <w:t>,</w:t>
            </w:r>
            <w:r w:rsidR="004857E0" w:rsidRPr="004857E0">
              <w:rPr>
                <w:rFonts w:eastAsia="MS Mincho"/>
              </w:rPr>
              <w:t xml:space="preserve"> drug or alcohol abuse or dependence</w:t>
            </w:r>
            <w:r w:rsidR="00C86E8D">
              <w:rPr>
                <w:rFonts w:eastAsia="MS Mincho"/>
              </w:rPr>
              <w:t>,</w:t>
            </w:r>
            <w:r w:rsidR="005F3431">
              <w:rPr>
                <w:rFonts w:eastAsia="MS Mincho"/>
              </w:rPr>
              <w:t xml:space="preserve"> </w:t>
            </w:r>
            <w:r w:rsidR="004857E0" w:rsidRPr="004857E0">
              <w:rPr>
                <w:rFonts w:eastAsia="MS Mincho"/>
              </w:rPr>
              <w:t>or a positive urine drug screen</w:t>
            </w:r>
            <w:r w:rsidR="00C86E8D">
              <w:rPr>
                <w:rFonts w:eastAsia="MS Mincho"/>
              </w:rPr>
              <w:t>,</w:t>
            </w:r>
            <w:r w:rsidR="004857E0" w:rsidRPr="004857E0">
              <w:rPr>
                <w:rFonts w:eastAsia="MS Mincho"/>
              </w:rPr>
              <w:t xml:space="preserve"> participated in a study with an</w:t>
            </w:r>
            <w:r w:rsidR="00AF3E6A">
              <w:rPr>
                <w:rFonts w:eastAsia="MS Mincho"/>
              </w:rPr>
              <w:t xml:space="preserve"> </w:t>
            </w:r>
            <w:r w:rsidR="004857E0" w:rsidRPr="004857E0">
              <w:rPr>
                <w:rFonts w:eastAsia="MS Mincho"/>
              </w:rPr>
              <w:t>experimental smoking cessation drug</w:t>
            </w:r>
            <w:r w:rsidR="00AF3E6A">
              <w:rPr>
                <w:rFonts w:eastAsia="MS Mincho"/>
              </w:rPr>
              <w:t xml:space="preserve"> in the prior year</w:t>
            </w:r>
            <w:r w:rsidR="00C86E8D">
              <w:rPr>
                <w:rFonts w:eastAsia="MS Mincho"/>
              </w:rPr>
              <w:t>,</w:t>
            </w:r>
            <w:r w:rsidR="004857E0" w:rsidRPr="004857E0">
              <w:rPr>
                <w:rFonts w:eastAsia="MS Mincho"/>
              </w:rPr>
              <w:t xml:space="preserve"> had used </w:t>
            </w:r>
            <w:r w:rsidR="00C86E8D">
              <w:rPr>
                <w:rFonts w:eastAsia="MS Mincho"/>
              </w:rPr>
              <w:t>NRT</w:t>
            </w:r>
            <w:r w:rsidR="004857E0" w:rsidRPr="004857E0">
              <w:rPr>
                <w:rFonts w:eastAsia="MS Mincho"/>
              </w:rPr>
              <w:t xml:space="preserve"> or bupropion within</w:t>
            </w:r>
            <w:r w:rsidR="00AF3E6A">
              <w:rPr>
                <w:rFonts w:eastAsia="MS Mincho"/>
              </w:rPr>
              <w:t xml:space="preserve"> </w:t>
            </w:r>
            <w:r w:rsidR="004857E0" w:rsidRPr="004857E0">
              <w:rPr>
                <w:rFonts w:eastAsia="MS Mincho"/>
              </w:rPr>
              <w:t>the previous 6 months or were taking any medications</w:t>
            </w:r>
            <w:r w:rsidR="00AF3E6A">
              <w:rPr>
                <w:rFonts w:eastAsia="MS Mincho"/>
              </w:rPr>
              <w:t xml:space="preserve"> </w:t>
            </w:r>
            <w:r w:rsidR="004857E0" w:rsidRPr="004857E0">
              <w:rPr>
                <w:rFonts w:eastAsia="MS Mincho"/>
              </w:rPr>
              <w:t>that might interfere with the outcome of the</w:t>
            </w:r>
            <w:r w:rsidR="00AF3E6A">
              <w:rPr>
                <w:rFonts w:eastAsia="MS Mincho"/>
              </w:rPr>
              <w:t xml:space="preserve"> </w:t>
            </w:r>
            <w:r w:rsidR="004857E0" w:rsidRPr="004857E0">
              <w:rPr>
                <w:rFonts w:eastAsia="MS Mincho"/>
              </w:rPr>
              <w:t>trial.</w:t>
            </w:r>
          </w:p>
        </w:tc>
        <w:tc>
          <w:tcPr>
            <w:tcW w:w="920" w:type="pct"/>
            <w:shd w:val="clear" w:color="auto" w:fill="D9D9D9" w:themeFill="background1" w:themeFillShade="D9"/>
          </w:tcPr>
          <w:p w14:paraId="3740C06C" w14:textId="51C3B4C8" w:rsidR="003F5F9B" w:rsidRDefault="003F5F9B"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1376F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1376F9">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1376F9">
              <w:rPr>
                <w:rFonts w:eastAsia="MS Mincho"/>
              </w:rPr>
              <w:t xml:space="preserve"> </w:t>
            </w:r>
            <w:r w:rsidRPr="00372F18">
              <w:rPr>
                <w:rFonts w:eastAsia="MS Mincho"/>
              </w:rPr>
              <w:t>mg twice daily for 4 days, then 1</w:t>
            </w:r>
            <w:r w:rsidR="001376F9">
              <w:rPr>
                <w:rFonts w:eastAsia="MS Mincho"/>
              </w:rPr>
              <w:t xml:space="preserve"> </w:t>
            </w:r>
            <w:r w:rsidRPr="00372F18">
              <w:rPr>
                <w:rFonts w:eastAsia="MS Mincho"/>
              </w:rPr>
              <w:t>mg twice daily)</w:t>
            </w:r>
            <w:r w:rsidR="004657DA">
              <w:rPr>
                <w:rFonts w:eastAsia="MS Mincho"/>
              </w:rPr>
              <w:t>;</w:t>
            </w:r>
          </w:p>
          <w:p w14:paraId="0B8063C1" w14:textId="479E9FD0" w:rsidR="003F5F9B" w:rsidRDefault="003F5F9B" w:rsidP="002916A7">
            <w:pPr>
              <w:pStyle w:val="Tablewriting"/>
              <w:rPr>
                <w:rFonts w:eastAsia="MS Mincho"/>
              </w:rPr>
            </w:pPr>
            <w:r>
              <w:rPr>
                <w:rFonts w:eastAsia="MS Mincho"/>
              </w:rPr>
              <w:t>Placebo: placebo tablet for 12 weeks, same regimen</w:t>
            </w:r>
            <w:r w:rsidR="000F1E7A">
              <w:rPr>
                <w:rFonts w:eastAsia="MS Mincho"/>
              </w:rPr>
              <w:t>.</w:t>
            </w:r>
          </w:p>
          <w:p w14:paraId="556A88E5" w14:textId="77777777" w:rsidR="00587B1C" w:rsidRDefault="00587B1C" w:rsidP="002916A7">
            <w:pPr>
              <w:pStyle w:val="Tablewriting"/>
              <w:rPr>
                <w:rFonts w:eastAsia="MS Mincho"/>
              </w:rPr>
            </w:pPr>
          </w:p>
          <w:p w14:paraId="41A94085" w14:textId="2BE65141" w:rsidR="00587B1C" w:rsidRPr="00A34E7B" w:rsidRDefault="00587B1C" w:rsidP="002916A7">
            <w:pPr>
              <w:pStyle w:val="Tablewriting"/>
              <w:rPr>
                <w:rFonts w:eastAsia="MS Mincho"/>
              </w:rPr>
            </w:pPr>
            <w:r w:rsidRPr="00587B1C">
              <w:rPr>
                <w:rFonts w:eastAsia="MS Mincho"/>
              </w:rPr>
              <w:t>Behavioural support provided in both arms.</w:t>
            </w:r>
          </w:p>
        </w:tc>
        <w:tc>
          <w:tcPr>
            <w:tcW w:w="1140" w:type="pct"/>
            <w:shd w:val="clear" w:color="auto" w:fill="D9D9D9" w:themeFill="background1" w:themeFillShade="D9"/>
            <w:tcMar>
              <w:left w:w="28" w:type="dxa"/>
              <w:right w:w="28" w:type="dxa"/>
            </w:tcMar>
          </w:tcPr>
          <w:p w14:paraId="31696805" w14:textId="6ADAA5BB" w:rsidR="003F5F9B" w:rsidRDefault="003F5F9B" w:rsidP="002916A7">
            <w:pPr>
              <w:pStyle w:val="Tablewriting"/>
              <w:rPr>
                <w:rFonts w:eastAsia="MS Mincho"/>
              </w:rPr>
            </w:pPr>
            <w:r w:rsidRPr="008C39E4">
              <w:rPr>
                <w:rFonts w:eastAsia="MS Mincho"/>
                <w:u w:val="single"/>
              </w:rPr>
              <w:t>Primary</w:t>
            </w:r>
            <w:r>
              <w:rPr>
                <w:rFonts w:eastAsia="MS Mincho"/>
              </w:rPr>
              <w:t xml:space="preserve">: </w:t>
            </w:r>
            <w:r w:rsidR="00C86E8D">
              <w:rPr>
                <w:rFonts w:eastAsia="MS Mincho"/>
              </w:rPr>
              <w:t>CAR</w:t>
            </w:r>
            <w:r>
              <w:rPr>
                <w:rFonts w:eastAsia="MS Mincho"/>
              </w:rPr>
              <w:t xml:space="preserve"> at </w:t>
            </w:r>
            <w:r w:rsidR="007B7017">
              <w:rPr>
                <w:rFonts w:eastAsia="MS Mincho"/>
              </w:rPr>
              <w:t>w</w:t>
            </w:r>
            <w:r>
              <w:rPr>
                <w:rFonts w:eastAsia="MS Mincho"/>
              </w:rPr>
              <w:t>eek 9-12. Validated by CO</w:t>
            </w:r>
            <w:r w:rsidR="001376F9">
              <w:rPr>
                <w:rFonts w:eastAsia="MS Mincho"/>
              </w:rPr>
              <w:t xml:space="preserve"> </w:t>
            </w:r>
            <w:r>
              <w:rPr>
                <w:rFonts w:eastAsia="MS Mincho" w:cstheme="minorHAnsi"/>
              </w:rPr>
              <w:t>≤</w:t>
            </w:r>
            <w:r>
              <w:rPr>
                <w:rFonts w:eastAsia="MS Mincho"/>
              </w:rPr>
              <w:t>10</w:t>
            </w:r>
            <w:r w:rsidR="001376F9">
              <w:rPr>
                <w:rFonts w:eastAsia="MS Mincho"/>
              </w:rPr>
              <w:t xml:space="preserve"> </w:t>
            </w:r>
            <w:r>
              <w:rPr>
                <w:rFonts w:eastAsia="MS Mincho"/>
              </w:rPr>
              <w:t>ppm.</w:t>
            </w:r>
          </w:p>
          <w:p w14:paraId="33C84675" w14:textId="68B2AA75" w:rsidR="003F5F9B" w:rsidRDefault="003F5F9B" w:rsidP="002916A7">
            <w:pPr>
              <w:pStyle w:val="Tablewriting"/>
              <w:rPr>
                <w:rFonts w:eastAsia="MS Mincho"/>
              </w:rPr>
            </w:pPr>
            <w:r w:rsidRPr="008C39E4">
              <w:rPr>
                <w:rFonts w:eastAsia="MS Mincho"/>
                <w:u w:val="single"/>
              </w:rPr>
              <w:t>Secondary</w:t>
            </w:r>
            <w:r>
              <w:rPr>
                <w:rFonts w:eastAsia="MS Mincho"/>
              </w:rPr>
              <w:t xml:space="preserve">: </w:t>
            </w:r>
            <w:r w:rsidR="00C86E8D">
              <w:rPr>
                <w:rFonts w:eastAsia="MS Mincho"/>
              </w:rPr>
              <w:t>CAR</w:t>
            </w:r>
            <w:r>
              <w:rPr>
                <w:rFonts w:eastAsia="MS Mincho"/>
              </w:rPr>
              <w:t xml:space="preserve"> at </w:t>
            </w:r>
            <w:r w:rsidR="007B7017">
              <w:rPr>
                <w:rFonts w:eastAsia="MS Mincho"/>
              </w:rPr>
              <w:t>w</w:t>
            </w:r>
            <w:r>
              <w:rPr>
                <w:rFonts w:eastAsia="MS Mincho"/>
              </w:rPr>
              <w:t xml:space="preserve">eek 9-24. </w:t>
            </w:r>
            <w:r w:rsidRPr="00624207">
              <w:rPr>
                <w:rFonts w:eastAsia="MS Mincho"/>
              </w:rPr>
              <w:t xml:space="preserve">7-day PPA </w:t>
            </w:r>
            <w:r>
              <w:rPr>
                <w:rFonts w:eastAsia="MS Mincho"/>
              </w:rPr>
              <w:t xml:space="preserve">at </w:t>
            </w:r>
            <w:r w:rsidR="007B7017">
              <w:rPr>
                <w:rFonts w:eastAsia="MS Mincho"/>
              </w:rPr>
              <w:t>w</w:t>
            </w:r>
            <w:r>
              <w:rPr>
                <w:rFonts w:eastAsia="MS Mincho"/>
              </w:rPr>
              <w:t>eek 24.</w:t>
            </w:r>
            <w:r w:rsidR="00283F8F">
              <w:rPr>
                <w:rFonts w:eastAsia="MS Mincho"/>
              </w:rPr>
              <w:t xml:space="preserve"> Validated by CO </w:t>
            </w:r>
            <w:r w:rsidR="00283F8F">
              <w:rPr>
                <w:rFonts w:eastAsia="MS Mincho" w:cstheme="minorHAnsi"/>
              </w:rPr>
              <w:t>≤</w:t>
            </w:r>
            <w:r w:rsidR="00283F8F">
              <w:rPr>
                <w:rFonts w:eastAsia="MS Mincho"/>
              </w:rPr>
              <w:t>10</w:t>
            </w:r>
            <w:r w:rsidR="001376F9">
              <w:rPr>
                <w:rFonts w:eastAsia="MS Mincho"/>
              </w:rPr>
              <w:t xml:space="preserve"> </w:t>
            </w:r>
            <w:r w:rsidR="00283F8F">
              <w:rPr>
                <w:rFonts w:eastAsia="MS Mincho"/>
              </w:rPr>
              <w:t>ppm.</w:t>
            </w:r>
          </w:p>
          <w:p w14:paraId="151CF38E" w14:textId="2B65C63B" w:rsidR="003F5F9B" w:rsidRPr="00061F78" w:rsidRDefault="003F5F9B" w:rsidP="002916A7">
            <w:pPr>
              <w:pStyle w:val="Tablewriting"/>
              <w:rPr>
                <w:rFonts w:eastAsia="MS Mincho"/>
              </w:rPr>
            </w:pPr>
            <w:r w:rsidRPr="0055171C">
              <w:rPr>
                <w:rFonts w:eastAsia="MS Mincho"/>
                <w:u w:val="single"/>
              </w:rPr>
              <w:t>Other</w:t>
            </w:r>
            <w:r>
              <w:rPr>
                <w:rFonts w:eastAsia="MS Mincho"/>
              </w:rPr>
              <w:t xml:space="preserve">: </w:t>
            </w:r>
            <w:r w:rsidR="00C254EF" w:rsidRPr="00C254EF">
              <w:rPr>
                <w:rFonts w:eastAsia="MS Mincho"/>
              </w:rPr>
              <w:t>adverse events; long-term quit rates</w:t>
            </w:r>
            <w:r w:rsidR="000F1E7A">
              <w:rPr>
                <w:rFonts w:eastAsia="MS Mincho"/>
              </w:rPr>
              <w:t>.</w:t>
            </w:r>
          </w:p>
        </w:tc>
      </w:tr>
      <w:tr w:rsidR="00260CD7" w:rsidRPr="00061F78" w14:paraId="364BCB2E" w14:textId="77777777" w:rsidTr="004D7C8D">
        <w:trPr>
          <w:trHeight w:val="99"/>
        </w:trPr>
        <w:tc>
          <w:tcPr>
            <w:tcW w:w="332" w:type="pct"/>
            <w:shd w:val="clear" w:color="auto" w:fill="D9D9D9" w:themeFill="background1" w:themeFillShade="D9"/>
            <w:tcMar>
              <w:left w:w="28" w:type="dxa"/>
              <w:right w:w="28" w:type="dxa"/>
            </w:tcMar>
          </w:tcPr>
          <w:p w14:paraId="4A1EEF67" w14:textId="77777777" w:rsidR="00561966" w:rsidRDefault="00C254EF" w:rsidP="002916A7">
            <w:pPr>
              <w:pStyle w:val="Tablewriting"/>
              <w:rPr>
                <w:rFonts w:eastAsia="MS Mincho"/>
              </w:rPr>
            </w:pPr>
            <w:r>
              <w:rPr>
                <w:rFonts w:eastAsia="MS Mincho"/>
              </w:rPr>
              <w:t>Bolliger</w:t>
            </w:r>
          </w:p>
          <w:p w14:paraId="40D9BC59" w14:textId="4BE09AA5" w:rsidR="00561966" w:rsidRPr="00061F78" w:rsidRDefault="007E01D0" w:rsidP="002916A7">
            <w:pPr>
              <w:pStyle w:val="Tablewriting"/>
              <w:rPr>
                <w:rFonts w:eastAsia="MS Mincho"/>
              </w:rPr>
            </w:pPr>
            <w:r>
              <w:rPr>
                <w:rFonts w:eastAsia="MS Mincho"/>
              </w:rPr>
              <w:t>(2011)</w:t>
            </w:r>
          </w:p>
        </w:tc>
        <w:tc>
          <w:tcPr>
            <w:tcW w:w="395" w:type="pct"/>
            <w:shd w:val="clear" w:color="auto" w:fill="D9D9D9" w:themeFill="background1" w:themeFillShade="D9"/>
          </w:tcPr>
          <w:p w14:paraId="7C1B7C9E" w14:textId="716FD9E0" w:rsidR="00561966" w:rsidRDefault="007E01D0"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6B065544" w14:textId="77C70CAC" w:rsidR="007E01D0" w:rsidRDefault="007E01D0" w:rsidP="002916A7">
            <w:pPr>
              <w:pStyle w:val="Tablewriting"/>
              <w:rPr>
                <w:rFonts w:eastAsia="MS Mincho"/>
              </w:rPr>
            </w:pPr>
            <w:r>
              <w:rPr>
                <w:rFonts w:eastAsia="MS Mincho"/>
              </w:rPr>
              <w:t>N=</w:t>
            </w:r>
            <w:r w:rsidR="00670F61">
              <w:rPr>
                <w:rFonts w:eastAsia="MS Mincho"/>
              </w:rPr>
              <w:t>593</w:t>
            </w:r>
          </w:p>
          <w:p w14:paraId="4588B4E1" w14:textId="5F9CE02D" w:rsidR="00561966" w:rsidRPr="00061F78" w:rsidRDefault="007E01D0" w:rsidP="002916A7">
            <w:pPr>
              <w:pStyle w:val="Tablewriting"/>
              <w:rPr>
                <w:rFonts w:eastAsia="MS Mincho"/>
              </w:rPr>
            </w:pPr>
            <w:r>
              <w:rPr>
                <w:rFonts w:eastAsia="MS Mincho"/>
              </w:rPr>
              <w:t>Varenicline (n=</w:t>
            </w:r>
            <w:r w:rsidR="00000F98">
              <w:rPr>
                <w:rFonts w:eastAsia="MS Mincho"/>
              </w:rPr>
              <w:t>394</w:t>
            </w:r>
            <w:r>
              <w:rPr>
                <w:rFonts w:eastAsia="MS Mincho"/>
              </w:rPr>
              <w:t>), Placebo (n=1</w:t>
            </w:r>
            <w:r w:rsidR="00000F98">
              <w:rPr>
                <w:rFonts w:eastAsia="MS Mincho"/>
              </w:rPr>
              <w:t>99</w:t>
            </w:r>
            <w:r>
              <w:rPr>
                <w:rFonts w:eastAsia="MS Mincho"/>
              </w:rPr>
              <w:t>)</w:t>
            </w:r>
          </w:p>
        </w:tc>
        <w:tc>
          <w:tcPr>
            <w:tcW w:w="1866" w:type="pct"/>
            <w:shd w:val="clear" w:color="auto" w:fill="D9D9D9" w:themeFill="background1" w:themeFillShade="D9"/>
            <w:tcMar>
              <w:left w:w="28" w:type="dxa"/>
              <w:right w:w="28" w:type="dxa"/>
            </w:tcMar>
          </w:tcPr>
          <w:p w14:paraId="0278CE6A" w14:textId="487D637E" w:rsidR="007E01D0" w:rsidRDefault="007E01D0" w:rsidP="002916A7">
            <w:pPr>
              <w:pStyle w:val="Tablewriting"/>
              <w:rPr>
                <w:rFonts w:eastAsia="MS Mincho"/>
              </w:rPr>
            </w:pPr>
            <w:r w:rsidRPr="007F28D7">
              <w:rPr>
                <w:rFonts w:eastAsia="MS Mincho"/>
                <w:u w:val="single"/>
              </w:rPr>
              <w:t>Inclusion</w:t>
            </w:r>
            <w:r>
              <w:rPr>
                <w:rFonts w:eastAsia="MS Mincho"/>
              </w:rPr>
              <w:t>:</w:t>
            </w:r>
            <w:r w:rsidR="00C86E8D">
              <w:rPr>
                <w:rFonts w:eastAsia="MS Mincho"/>
              </w:rPr>
              <w:t xml:space="preserve"> </w:t>
            </w:r>
            <w:r w:rsidRPr="00D04D44">
              <w:rPr>
                <w:rFonts w:eastAsia="MS Mincho"/>
              </w:rPr>
              <w:t>18</w:t>
            </w:r>
            <w:r w:rsidR="0010449D">
              <w:rPr>
                <w:rFonts w:eastAsia="MS Mincho"/>
              </w:rPr>
              <w:t>-</w:t>
            </w:r>
            <w:r w:rsidRPr="00D04D44">
              <w:rPr>
                <w:rFonts w:eastAsia="MS Mincho"/>
              </w:rPr>
              <w:t>75 years</w:t>
            </w:r>
            <w:r w:rsidR="00C86E8D">
              <w:rPr>
                <w:rFonts w:eastAsia="MS Mincho"/>
              </w:rPr>
              <w:t xml:space="preserve"> old</w:t>
            </w:r>
            <w:r w:rsidRPr="00D04D44">
              <w:rPr>
                <w:rFonts w:eastAsia="MS Mincho"/>
              </w:rPr>
              <w:t xml:space="preserve">, </w:t>
            </w:r>
            <w:r w:rsidR="0010449D" w:rsidRPr="0010449D">
              <w:rPr>
                <w:rFonts w:eastAsia="MS Mincho"/>
              </w:rPr>
              <w:t>body mass index</w:t>
            </w:r>
            <w:r w:rsidRPr="00D04D44">
              <w:rPr>
                <w:rFonts w:eastAsia="MS Mincho"/>
              </w:rPr>
              <w:t xml:space="preserve"> of 15</w:t>
            </w:r>
            <w:r w:rsidR="0010449D" w:rsidRPr="0010449D">
              <w:rPr>
                <w:rFonts w:eastAsia="MS Mincho"/>
              </w:rPr>
              <w:t xml:space="preserve"> to 38kg</w:t>
            </w:r>
            <w:r w:rsidRPr="00D04D44">
              <w:rPr>
                <w:rFonts w:eastAsia="MS Mincho"/>
              </w:rPr>
              <w:t>/m</w:t>
            </w:r>
            <w:r w:rsidRPr="00D04D44">
              <w:rPr>
                <w:rFonts w:eastAsia="MS Mincho"/>
                <w:vertAlign w:val="superscript"/>
              </w:rPr>
              <w:t>2</w:t>
            </w:r>
            <w:r w:rsidRPr="00D04D44">
              <w:rPr>
                <w:rFonts w:eastAsia="MS Mincho"/>
              </w:rPr>
              <w:t xml:space="preserve"> (and a weight of </w:t>
            </w:r>
            <w:r w:rsidR="006E2FF1">
              <w:rPr>
                <w:rFonts w:eastAsia="MS Mincho" w:cstheme="minorHAnsi"/>
              </w:rPr>
              <w:t>≥</w:t>
            </w:r>
            <w:r w:rsidRPr="00D04D44">
              <w:rPr>
                <w:rFonts w:eastAsia="MS Mincho"/>
              </w:rPr>
              <w:t>45.5 kg),</w:t>
            </w:r>
            <w:r w:rsidR="0010449D" w:rsidRPr="0010449D">
              <w:rPr>
                <w:rFonts w:eastAsia="MS Mincho"/>
              </w:rPr>
              <w:t xml:space="preserve"> motivated to stop smoking</w:t>
            </w:r>
            <w:r w:rsidR="006E2FF1">
              <w:rPr>
                <w:rFonts w:eastAsia="MS Mincho"/>
              </w:rPr>
              <w:t xml:space="preserve">, </w:t>
            </w:r>
            <w:r w:rsidR="00884962">
              <w:rPr>
                <w:rFonts w:eastAsia="MS Mincho" w:cstheme="minorHAnsi"/>
              </w:rPr>
              <w:t>≥</w:t>
            </w:r>
            <w:r w:rsidR="0010449D" w:rsidRPr="0010449D">
              <w:rPr>
                <w:rFonts w:eastAsia="MS Mincho"/>
              </w:rPr>
              <w:t>10</w:t>
            </w:r>
            <w:r w:rsidRPr="00D04D44">
              <w:rPr>
                <w:rFonts w:eastAsia="MS Mincho"/>
              </w:rPr>
              <w:t xml:space="preserve"> cigarettes</w:t>
            </w:r>
            <w:r w:rsidR="006E2FF1">
              <w:rPr>
                <w:rFonts w:eastAsia="MS Mincho"/>
              </w:rPr>
              <w:t xml:space="preserve"> per </w:t>
            </w:r>
            <w:r w:rsidR="0010449D" w:rsidRPr="0010449D">
              <w:rPr>
                <w:rFonts w:eastAsia="MS Mincho"/>
              </w:rPr>
              <w:t>d</w:t>
            </w:r>
            <w:r w:rsidR="00884962">
              <w:rPr>
                <w:rFonts w:eastAsia="MS Mincho"/>
              </w:rPr>
              <w:t>ay</w:t>
            </w:r>
            <w:r w:rsidRPr="00D04D44">
              <w:rPr>
                <w:rFonts w:eastAsia="MS Mincho"/>
              </w:rPr>
              <w:t xml:space="preserve"> during the </w:t>
            </w:r>
            <w:r w:rsidR="0010449D" w:rsidRPr="0010449D">
              <w:rPr>
                <w:rFonts w:eastAsia="MS Mincho"/>
              </w:rPr>
              <w:t>previous 12 months and</w:t>
            </w:r>
            <w:r w:rsidR="00884962">
              <w:rPr>
                <w:rFonts w:eastAsia="MS Mincho"/>
              </w:rPr>
              <w:t xml:space="preserve"> </w:t>
            </w:r>
            <w:r w:rsidR="0010449D" w:rsidRPr="0010449D">
              <w:rPr>
                <w:rFonts w:eastAsia="MS Mincho"/>
              </w:rPr>
              <w:t xml:space="preserve">during the month before </w:t>
            </w:r>
            <w:r w:rsidRPr="00D04D44">
              <w:rPr>
                <w:rFonts w:eastAsia="MS Mincho"/>
              </w:rPr>
              <w:t xml:space="preserve">the screening visit with </w:t>
            </w:r>
            <w:r w:rsidR="0010449D" w:rsidRPr="0010449D">
              <w:rPr>
                <w:rFonts w:eastAsia="MS Mincho"/>
              </w:rPr>
              <w:t>no</w:t>
            </w:r>
            <w:r w:rsidR="00884962">
              <w:rPr>
                <w:rFonts w:eastAsia="MS Mincho"/>
              </w:rPr>
              <w:t xml:space="preserve"> </w:t>
            </w:r>
            <w:r w:rsidR="0010449D" w:rsidRPr="0010449D">
              <w:rPr>
                <w:rFonts w:eastAsia="MS Mincho"/>
              </w:rPr>
              <w:t>cumulative</w:t>
            </w:r>
            <w:r w:rsidRPr="00D04D44">
              <w:rPr>
                <w:rFonts w:eastAsia="MS Mincho"/>
              </w:rPr>
              <w:t xml:space="preserve"> period of</w:t>
            </w:r>
            <w:r>
              <w:rPr>
                <w:rFonts w:eastAsia="MS Mincho"/>
              </w:rPr>
              <w:t xml:space="preserve"> </w:t>
            </w:r>
            <w:r w:rsidRPr="00D04D44">
              <w:rPr>
                <w:rFonts w:eastAsia="MS Mincho"/>
              </w:rPr>
              <w:t xml:space="preserve">abstinence </w:t>
            </w:r>
            <w:r w:rsidR="00884962">
              <w:rPr>
                <w:rFonts w:eastAsia="MS Mincho"/>
              </w:rPr>
              <w:t>&gt;</w:t>
            </w:r>
            <w:r w:rsidRPr="00D04D44">
              <w:rPr>
                <w:rFonts w:eastAsia="MS Mincho"/>
              </w:rPr>
              <w:t>3 months</w:t>
            </w:r>
            <w:r w:rsidR="0010449D" w:rsidRPr="0010449D">
              <w:rPr>
                <w:rFonts w:eastAsia="MS Mincho"/>
              </w:rPr>
              <w:t xml:space="preserve"> in the previous</w:t>
            </w:r>
            <w:r w:rsidR="00884962">
              <w:rPr>
                <w:rFonts w:eastAsia="MS Mincho"/>
              </w:rPr>
              <w:t xml:space="preserve"> </w:t>
            </w:r>
            <w:r w:rsidR="0010449D" w:rsidRPr="0010449D">
              <w:rPr>
                <w:rFonts w:eastAsia="MS Mincho"/>
              </w:rPr>
              <w:t>12 months</w:t>
            </w:r>
            <w:r>
              <w:rPr>
                <w:rFonts w:eastAsia="MS Mincho"/>
              </w:rPr>
              <w:t>.</w:t>
            </w:r>
          </w:p>
          <w:p w14:paraId="289002C4" w14:textId="3149059F" w:rsidR="00561966" w:rsidRPr="00061F78" w:rsidRDefault="007E01D0" w:rsidP="002916A7">
            <w:pPr>
              <w:pStyle w:val="Tablewriting"/>
              <w:rPr>
                <w:rFonts w:eastAsia="MS Mincho"/>
              </w:rPr>
            </w:pPr>
            <w:r w:rsidRPr="007F28D7">
              <w:rPr>
                <w:rFonts w:eastAsia="MS Mincho"/>
                <w:u w:val="single"/>
              </w:rPr>
              <w:t>Exclusion</w:t>
            </w:r>
            <w:r>
              <w:rPr>
                <w:rFonts w:eastAsia="MS Mincho"/>
              </w:rPr>
              <w:t>: pregnancy and breastfeeding</w:t>
            </w:r>
            <w:r w:rsidR="006E2FF1">
              <w:rPr>
                <w:rFonts w:eastAsia="MS Mincho"/>
              </w:rPr>
              <w:t>,</w:t>
            </w:r>
            <w:r>
              <w:rPr>
                <w:rFonts w:eastAsia="MS Mincho"/>
              </w:rPr>
              <w:t xml:space="preserve"> </w:t>
            </w:r>
            <w:r w:rsidR="000447F5">
              <w:rPr>
                <w:rFonts w:eastAsia="MS Mincho"/>
              </w:rPr>
              <w:t>s</w:t>
            </w:r>
            <w:r w:rsidR="000447F5" w:rsidRPr="000447F5">
              <w:rPr>
                <w:rFonts w:eastAsia="MS Mincho"/>
              </w:rPr>
              <w:t>mokers with serious or unstable disease within the</w:t>
            </w:r>
            <w:r w:rsidR="000447F5">
              <w:rPr>
                <w:rFonts w:eastAsia="MS Mincho"/>
              </w:rPr>
              <w:t xml:space="preserve"> </w:t>
            </w:r>
            <w:r w:rsidR="000447F5" w:rsidRPr="000447F5">
              <w:rPr>
                <w:rFonts w:eastAsia="MS Mincho"/>
              </w:rPr>
              <w:t>6 months before study entry</w:t>
            </w:r>
            <w:r w:rsidR="006E2FF1">
              <w:rPr>
                <w:rFonts w:eastAsia="MS Mincho"/>
              </w:rPr>
              <w:t>,</w:t>
            </w:r>
            <w:r w:rsidR="000447F5">
              <w:rPr>
                <w:rFonts w:eastAsia="MS Mincho"/>
              </w:rPr>
              <w:t xml:space="preserve"> </w:t>
            </w:r>
            <w:r w:rsidR="00287C15" w:rsidRPr="00287C15">
              <w:rPr>
                <w:rFonts w:eastAsia="MS Mincho"/>
              </w:rPr>
              <w:t xml:space="preserve">a </w:t>
            </w:r>
            <w:r w:rsidR="00287C15" w:rsidRPr="00287C15">
              <w:rPr>
                <w:rFonts w:eastAsia="MS Mincho"/>
              </w:rPr>
              <w:lastRenderedPageBreak/>
              <w:t>diagnosis of or treatment</w:t>
            </w:r>
            <w:r w:rsidR="00287C15">
              <w:rPr>
                <w:rFonts w:eastAsia="MS Mincho"/>
              </w:rPr>
              <w:t xml:space="preserve"> </w:t>
            </w:r>
            <w:r w:rsidR="00287C15" w:rsidRPr="00287C15">
              <w:rPr>
                <w:rFonts w:eastAsia="MS Mincho"/>
              </w:rPr>
              <w:t>for depression during the previous 12 months</w:t>
            </w:r>
            <w:r w:rsidR="006E2FF1">
              <w:rPr>
                <w:rFonts w:eastAsia="MS Mincho"/>
              </w:rPr>
              <w:t>,</w:t>
            </w:r>
            <w:r w:rsidR="00287C15" w:rsidRPr="00287C15">
              <w:rPr>
                <w:rFonts w:eastAsia="MS Mincho"/>
              </w:rPr>
              <w:t xml:space="preserve"> a history</w:t>
            </w:r>
            <w:r w:rsidR="00287C15">
              <w:rPr>
                <w:rFonts w:eastAsia="MS Mincho"/>
              </w:rPr>
              <w:t xml:space="preserve"> </w:t>
            </w:r>
            <w:r w:rsidR="00287C15" w:rsidRPr="00287C15">
              <w:rPr>
                <w:rFonts w:eastAsia="MS Mincho"/>
              </w:rPr>
              <w:t>of or current psychosis, panic disorder, or bipolar</w:t>
            </w:r>
            <w:r w:rsidR="00287C15">
              <w:rPr>
                <w:rFonts w:eastAsia="MS Mincho"/>
              </w:rPr>
              <w:t xml:space="preserve"> </w:t>
            </w:r>
            <w:r w:rsidR="00287C15" w:rsidRPr="00287C15">
              <w:rPr>
                <w:rFonts w:eastAsia="MS Mincho"/>
              </w:rPr>
              <w:t>disorder</w:t>
            </w:r>
            <w:r w:rsidR="006E2FF1">
              <w:rPr>
                <w:rFonts w:eastAsia="MS Mincho"/>
              </w:rPr>
              <w:t>,</w:t>
            </w:r>
            <w:r w:rsidR="00287C15" w:rsidRPr="00287C15">
              <w:rPr>
                <w:rFonts w:eastAsia="MS Mincho"/>
              </w:rPr>
              <w:t xml:space="preserve"> severe </w:t>
            </w:r>
            <w:r w:rsidR="009B4697">
              <w:rPr>
                <w:rFonts w:eastAsia="MS Mincho"/>
              </w:rPr>
              <w:t>COPD</w:t>
            </w:r>
            <w:r w:rsidR="006E2FF1">
              <w:rPr>
                <w:rFonts w:eastAsia="MS Mincho"/>
              </w:rPr>
              <w:t>,</w:t>
            </w:r>
            <w:r w:rsidR="00287C15">
              <w:rPr>
                <w:rFonts w:eastAsia="MS Mincho"/>
              </w:rPr>
              <w:t xml:space="preserve"> </w:t>
            </w:r>
            <w:r w:rsidR="00287C15" w:rsidRPr="00287C15">
              <w:rPr>
                <w:rFonts w:eastAsia="MS Mincho"/>
              </w:rPr>
              <w:t xml:space="preserve">uncontrolled hypertension or systolic blood pressure </w:t>
            </w:r>
            <w:r w:rsidR="00287C15">
              <w:rPr>
                <w:rFonts w:eastAsia="MS Mincho"/>
              </w:rPr>
              <w:t>&gt;</w:t>
            </w:r>
            <w:r w:rsidR="00287C15" w:rsidRPr="00287C15">
              <w:rPr>
                <w:rFonts w:eastAsia="MS Mincho"/>
              </w:rPr>
              <w:t xml:space="preserve">150 mmHg or diastolic </w:t>
            </w:r>
            <w:r w:rsidR="006E2FF1">
              <w:rPr>
                <w:rFonts w:eastAsia="MS Mincho"/>
              </w:rPr>
              <w:t>blood pressure</w:t>
            </w:r>
            <w:r w:rsidR="00287C15" w:rsidRPr="00287C15">
              <w:rPr>
                <w:rFonts w:eastAsia="MS Mincho"/>
              </w:rPr>
              <w:t xml:space="preserve"> </w:t>
            </w:r>
            <w:r w:rsidR="00287C15">
              <w:rPr>
                <w:rFonts w:eastAsia="MS Mincho"/>
              </w:rPr>
              <w:t>&gt;</w:t>
            </w:r>
            <w:r w:rsidR="00287C15" w:rsidRPr="00287C15">
              <w:rPr>
                <w:rFonts w:eastAsia="MS Mincho"/>
              </w:rPr>
              <w:t>95 mmHg</w:t>
            </w:r>
            <w:r w:rsidR="00F738EC">
              <w:rPr>
                <w:rFonts w:eastAsia="MS Mincho"/>
              </w:rPr>
              <w:t>,</w:t>
            </w:r>
            <w:r w:rsidR="00287C15" w:rsidRPr="00287C15">
              <w:rPr>
                <w:rFonts w:eastAsia="MS Mincho"/>
              </w:rPr>
              <w:t xml:space="preserve"> a clinically significant</w:t>
            </w:r>
            <w:r w:rsidR="00287C15">
              <w:rPr>
                <w:rFonts w:eastAsia="MS Mincho"/>
              </w:rPr>
              <w:t xml:space="preserve"> </w:t>
            </w:r>
            <w:r w:rsidR="00287C15" w:rsidRPr="00287C15">
              <w:rPr>
                <w:rFonts w:eastAsia="MS Mincho"/>
              </w:rPr>
              <w:t>endocrine disorder or gastrointestinal disease</w:t>
            </w:r>
            <w:r w:rsidR="00A23D56">
              <w:rPr>
                <w:rFonts w:eastAsia="MS Mincho"/>
              </w:rPr>
              <w:t>,</w:t>
            </w:r>
            <w:r w:rsidR="00287C15" w:rsidRPr="00287C15">
              <w:rPr>
                <w:rFonts w:eastAsia="MS Mincho"/>
              </w:rPr>
              <w:t xml:space="preserve"> clinically</w:t>
            </w:r>
            <w:r w:rsidR="00287C15">
              <w:rPr>
                <w:rFonts w:eastAsia="MS Mincho"/>
              </w:rPr>
              <w:t xml:space="preserve"> </w:t>
            </w:r>
            <w:r w:rsidR="00287C15" w:rsidRPr="00287C15">
              <w:rPr>
                <w:rFonts w:eastAsia="MS Mincho"/>
              </w:rPr>
              <w:t>significant hepatic or renal impairment or other</w:t>
            </w:r>
            <w:r w:rsidR="00287C15">
              <w:rPr>
                <w:rFonts w:eastAsia="MS Mincho"/>
              </w:rPr>
              <w:t xml:space="preserve"> </w:t>
            </w:r>
            <w:r w:rsidR="00287C15" w:rsidRPr="00287C15">
              <w:rPr>
                <w:rFonts w:eastAsia="MS Mincho"/>
              </w:rPr>
              <w:t>clinically significant laboratory abnormality</w:t>
            </w:r>
            <w:r w:rsidR="00A23D56">
              <w:rPr>
                <w:rFonts w:eastAsia="MS Mincho"/>
              </w:rPr>
              <w:t>,</w:t>
            </w:r>
            <w:r w:rsidR="00287C15" w:rsidRPr="00287C15">
              <w:rPr>
                <w:rFonts w:eastAsia="MS Mincho"/>
              </w:rPr>
              <w:t xml:space="preserve"> a history</w:t>
            </w:r>
            <w:r w:rsidR="00287C15">
              <w:rPr>
                <w:rFonts w:eastAsia="MS Mincho"/>
              </w:rPr>
              <w:t xml:space="preserve"> </w:t>
            </w:r>
            <w:r w:rsidR="00287C15" w:rsidRPr="00287C15">
              <w:rPr>
                <w:rFonts w:eastAsia="MS Mincho"/>
              </w:rPr>
              <w:t>of a cancer (excluding basal cell or squamous cell carcinoma)</w:t>
            </w:r>
            <w:r w:rsidR="00A23D56">
              <w:rPr>
                <w:rFonts w:eastAsia="MS Mincho"/>
              </w:rPr>
              <w:t>,</w:t>
            </w:r>
            <w:r w:rsidR="00287C15">
              <w:rPr>
                <w:rFonts w:eastAsia="MS Mincho"/>
              </w:rPr>
              <w:t xml:space="preserve"> </w:t>
            </w:r>
            <w:r w:rsidR="00287C15" w:rsidRPr="00287C15">
              <w:rPr>
                <w:rFonts w:eastAsia="MS Mincho"/>
              </w:rPr>
              <w:t>a history of a clinically significant allergic</w:t>
            </w:r>
            <w:r w:rsidR="00287C15">
              <w:rPr>
                <w:rFonts w:eastAsia="MS Mincho"/>
              </w:rPr>
              <w:t xml:space="preserve"> </w:t>
            </w:r>
            <w:r w:rsidR="00287C15" w:rsidRPr="00287C15">
              <w:rPr>
                <w:rFonts w:eastAsia="MS Mincho"/>
              </w:rPr>
              <w:t>reaction to a medication</w:t>
            </w:r>
            <w:r w:rsidR="00A23D56">
              <w:rPr>
                <w:rFonts w:eastAsia="MS Mincho"/>
              </w:rPr>
              <w:t>,</w:t>
            </w:r>
            <w:r w:rsidR="00287C15" w:rsidRPr="00287C15">
              <w:rPr>
                <w:rFonts w:eastAsia="MS Mincho"/>
              </w:rPr>
              <w:t xml:space="preserve"> a history of drug (with the</w:t>
            </w:r>
            <w:r w:rsidR="00287C15">
              <w:rPr>
                <w:rFonts w:eastAsia="MS Mincho"/>
              </w:rPr>
              <w:t xml:space="preserve"> </w:t>
            </w:r>
            <w:r w:rsidR="00287C15" w:rsidRPr="00287C15">
              <w:rPr>
                <w:rFonts w:eastAsia="MS Mincho"/>
              </w:rPr>
              <w:t>exception of nicotine) or alcohol abuse or dependence</w:t>
            </w:r>
            <w:r w:rsidR="00287C15">
              <w:rPr>
                <w:rFonts w:eastAsia="MS Mincho"/>
              </w:rPr>
              <w:t xml:space="preserve"> </w:t>
            </w:r>
            <w:r w:rsidR="00287C15" w:rsidRPr="00287C15">
              <w:rPr>
                <w:rFonts w:eastAsia="MS Mincho"/>
              </w:rPr>
              <w:t>within the previous 12 months</w:t>
            </w:r>
            <w:r w:rsidR="00A23D56">
              <w:rPr>
                <w:rFonts w:eastAsia="MS Mincho"/>
              </w:rPr>
              <w:t>,</w:t>
            </w:r>
            <w:r w:rsidR="00287C15" w:rsidRPr="00287C15">
              <w:rPr>
                <w:rFonts w:eastAsia="MS Mincho"/>
              </w:rPr>
              <w:t xml:space="preserve"> use of NRT, bupropion,</w:t>
            </w:r>
            <w:r w:rsidR="00287C15">
              <w:rPr>
                <w:rFonts w:eastAsia="MS Mincho"/>
              </w:rPr>
              <w:t xml:space="preserve"> </w:t>
            </w:r>
            <w:r w:rsidR="00287C15" w:rsidRPr="00287C15">
              <w:rPr>
                <w:rFonts w:eastAsia="MS Mincho"/>
              </w:rPr>
              <w:t>clonidine, or nortriptyline within the previous 6</w:t>
            </w:r>
            <w:r w:rsidR="00287C15">
              <w:rPr>
                <w:rFonts w:eastAsia="MS Mincho"/>
              </w:rPr>
              <w:t xml:space="preserve"> </w:t>
            </w:r>
            <w:r w:rsidR="00287C15" w:rsidRPr="00287C15">
              <w:rPr>
                <w:rFonts w:eastAsia="MS Mincho"/>
              </w:rPr>
              <w:t>months</w:t>
            </w:r>
            <w:r w:rsidR="00A23D56">
              <w:rPr>
                <w:rFonts w:eastAsia="MS Mincho"/>
              </w:rPr>
              <w:t>,</w:t>
            </w:r>
            <w:r w:rsidR="00287C15" w:rsidRPr="00287C15">
              <w:rPr>
                <w:rFonts w:eastAsia="MS Mincho"/>
              </w:rPr>
              <w:t xml:space="preserve"> and/or participation in another study of an</w:t>
            </w:r>
            <w:r w:rsidR="00287C15">
              <w:rPr>
                <w:rFonts w:eastAsia="MS Mincho"/>
              </w:rPr>
              <w:t xml:space="preserve"> </w:t>
            </w:r>
            <w:r w:rsidR="00287C15" w:rsidRPr="00287C15">
              <w:rPr>
                <w:rFonts w:eastAsia="MS Mincho"/>
              </w:rPr>
              <w:t>experimental drug for smoking cessation within the</w:t>
            </w:r>
            <w:r w:rsidR="00287C15">
              <w:rPr>
                <w:rFonts w:eastAsia="MS Mincho"/>
              </w:rPr>
              <w:t xml:space="preserve"> </w:t>
            </w:r>
            <w:r w:rsidR="00287C15" w:rsidRPr="00287C15">
              <w:rPr>
                <w:rFonts w:eastAsia="MS Mincho"/>
              </w:rPr>
              <w:t>previous 12 months, or treatment with any medications</w:t>
            </w:r>
            <w:r w:rsidR="00287C15">
              <w:rPr>
                <w:rFonts w:eastAsia="MS Mincho"/>
              </w:rPr>
              <w:t xml:space="preserve"> </w:t>
            </w:r>
            <w:r w:rsidR="00287C15" w:rsidRPr="00287C15">
              <w:rPr>
                <w:rFonts w:eastAsia="MS Mincho"/>
              </w:rPr>
              <w:t>that might interfere with the outcome of the trial.</w:t>
            </w:r>
          </w:p>
        </w:tc>
        <w:tc>
          <w:tcPr>
            <w:tcW w:w="920" w:type="pct"/>
            <w:shd w:val="clear" w:color="auto" w:fill="D9D9D9" w:themeFill="background1" w:themeFillShade="D9"/>
          </w:tcPr>
          <w:p w14:paraId="037A8D0E" w14:textId="6231437B" w:rsidR="007E01D0" w:rsidRDefault="007E01D0"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14:paraId="0026C9E7" w14:textId="77777777" w:rsidR="00561966" w:rsidRDefault="007E01D0" w:rsidP="002916A7">
            <w:pPr>
              <w:pStyle w:val="Tablewriting"/>
              <w:rPr>
                <w:rFonts w:eastAsia="MS Mincho"/>
              </w:rPr>
            </w:pPr>
            <w:r>
              <w:rPr>
                <w:rFonts w:eastAsia="MS Mincho"/>
              </w:rPr>
              <w:t>Placebo: placebo tablet for 12 weeks, same regimen</w:t>
            </w:r>
          </w:p>
          <w:p w14:paraId="35E997DF" w14:textId="77777777" w:rsidR="0033513C" w:rsidRDefault="0033513C" w:rsidP="002916A7">
            <w:pPr>
              <w:pStyle w:val="Tablewriting"/>
              <w:rPr>
                <w:rFonts w:eastAsia="MS Mincho"/>
              </w:rPr>
            </w:pPr>
          </w:p>
          <w:p w14:paraId="37C6E9AD" w14:textId="7A1B8B5B" w:rsidR="0033513C" w:rsidRPr="00A34E7B" w:rsidRDefault="0033513C" w:rsidP="002916A7">
            <w:pPr>
              <w:pStyle w:val="Tablewriting"/>
              <w:rPr>
                <w:rFonts w:eastAsia="MS Mincho"/>
              </w:rPr>
            </w:pPr>
            <w:r w:rsidRPr="0033513C">
              <w:rPr>
                <w:rFonts w:eastAsia="MS Mincho"/>
              </w:rPr>
              <w:t>Behavioural support provided in both arms.</w:t>
            </w:r>
          </w:p>
        </w:tc>
        <w:tc>
          <w:tcPr>
            <w:tcW w:w="1140" w:type="pct"/>
            <w:shd w:val="clear" w:color="auto" w:fill="D9D9D9" w:themeFill="background1" w:themeFillShade="D9"/>
            <w:tcMar>
              <w:left w:w="28" w:type="dxa"/>
              <w:right w:w="28" w:type="dxa"/>
            </w:tcMar>
          </w:tcPr>
          <w:p w14:paraId="0B5868C3" w14:textId="14F9F0FA" w:rsidR="007E01D0" w:rsidRDefault="007E01D0" w:rsidP="002916A7">
            <w:pPr>
              <w:pStyle w:val="Tablewriting"/>
              <w:rPr>
                <w:rFonts w:eastAsia="MS Mincho"/>
              </w:rPr>
            </w:pPr>
            <w:r w:rsidRPr="008C39E4">
              <w:rPr>
                <w:rFonts w:eastAsia="MS Mincho"/>
                <w:u w:val="single"/>
              </w:rPr>
              <w:lastRenderedPageBreak/>
              <w:t>Primary</w:t>
            </w:r>
            <w:r>
              <w:rPr>
                <w:rFonts w:eastAsia="MS Mincho"/>
              </w:rPr>
              <w:t xml:space="preserve">: </w:t>
            </w:r>
            <w:r w:rsidR="00A23D56">
              <w:rPr>
                <w:rFonts w:eastAsia="MS Mincho"/>
              </w:rPr>
              <w:t>CAR</w:t>
            </w:r>
            <w:r>
              <w:rPr>
                <w:rFonts w:eastAsia="MS Mincho"/>
              </w:rPr>
              <w:t xml:space="preserve"> at </w:t>
            </w:r>
            <w:r w:rsidR="007B7017">
              <w:rPr>
                <w:rFonts w:eastAsia="MS Mincho"/>
              </w:rPr>
              <w:t>w</w:t>
            </w:r>
            <w:r>
              <w:rPr>
                <w:rFonts w:eastAsia="MS Mincho"/>
              </w:rPr>
              <w:t>eek 9-12. Validated by CO</w:t>
            </w:r>
            <w:r w:rsidR="00083C3E">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14:paraId="59B7BAE8" w14:textId="0B439BC2" w:rsidR="007E01D0" w:rsidRDefault="007E01D0" w:rsidP="002916A7">
            <w:pPr>
              <w:pStyle w:val="Tablewriting"/>
              <w:rPr>
                <w:rFonts w:eastAsia="MS Mincho"/>
              </w:rPr>
            </w:pPr>
            <w:r w:rsidRPr="008C39E4">
              <w:rPr>
                <w:rFonts w:eastAsia="MS Mincho"/>
                <w:u w:val="single"/>
              </w:rPr>
              <w:t>Secondary</w:t>
            </w:r>
            <w:r>
              <w:rPr>
                <w:rFonts w:eastAsia="MS Mincho"/>
              </w:rPr>
              <w:t xml:space="preserve">: </w:t>
            </w:r>
            <w:r w:rsidR="00A23D56">
              <w:rPr>
                <w:rFonts w:eastAsia="MS Mincho"/>
              </w:rPr>
              <w:t>CAR</w:t>
            </w:r>
            <w:r>
              <w:rPr>
                <w:rFonts w:eastAsia="MS Mincho"/>
              </w:rPr>
              <w:t xml:space="preserve"> at </w:t>
            </w:r>
            <w:r w:rsidR="007B7017">
              <w:rPr>
                <w:rFonts w:eastAsia="MS Mincho"/>
              </w:rPr>
              <w:t>w</w:t>
            </w:r>
            <w:r>
              <w:rPr>
                <w:rFonts w:eastAsia="MS Mincho"/>
              </w:rPr>
              <w:t xml:space="preserve">eek 9-24. </w:t>
            </w:r>
            <w:r w:rsidRPr="00624207">
              <w:rPr>
                <w:rFonts w:eastAsia="MS Mincho"/>
              </w:rPr>
              <w:t xml:space="preserve">7-day PPA </w:t>
            </w:r>
            <w:r>
              <w:rPr>
                <w:rFonts w:eastAsia="MS Mincho"/>
              </w:rPr>
              <w:t xml:space="preserve">at </w:t>
            </w:r>
            <w:r w:rsidR="007B7017">
              <w:rPr>
                <w:rFonts w:eastAsia="MS Mincho"/>
              </w:rPr>
              <w:t>w</w:t>
            </w:r>
            <w:r>
              <w:rPr>
                <w:rFonts w:eastAsia="MS Mincho"/>
              </w:rPr>
              <w:t xml:space="preserve">eek </w:t>
            </w:r>
            <w:r w:rsidR="00B4406E">
              <w:rPr>
                <w:rFonts w:eastAsia="MS Mincho"/>
              </w:rPr>
              <w:t xml:space="preserve">12 and </w:t>
            </w:r>
            <w:r>
              <w:rPr>
                <w:rFonts w:eastAsia="MS Mincho"/>
              </w:rPr>
              <w:t>24.</w:t>
            </w:r>
            <w:r w:rsidR="006B2320">
              <w:rPr>
                <w:rFonts w:eastAsia="MS Mincho"/>
              </w:rPr>
              <w:t xml:space="preserve"> Validated by CO </w:t>
            </w:r>
            <w:r w:rsidR="006B2320">
              <w:rPr>
                <w:rFonts w:eastAsia="MS Mincho" w:cstheme="minorHAnsi"/>
              </w:rPr>
              <w:t>≤</w:t>
            </w:r>
            <w:r w:rsidR="006B2320">
              <w:rPr>
                <w:rFonts w:eastAsia="MS Mincho"/>
              </w:rPr>
              <w:t>10</w:t>
            </w:r>
            <w:r w:rsidR="00083C3E">
              <w:rPr>
                <w:rFonts w:eastAsia="MS Mincho"/>
              </w:rPr>
              <w:t xml:space="preserve"> </w:t>
            </w:r>
            <w:r w:rsidR="006B2320">
              <w:rPr>
                <w:rFonts w:eastAsia="MS Mincho"/>
              </w:rPr>
              <w:t>ppm.</w:t>
            </w:r>
          </w:p>
          <w:p w14:paraId="64FF6ED5" w14:textId="7A728CD6" w:rsidR="00561966" w:rsidRPr="00061F78" w:rsidRDefault="007E01D0" w:rsidP="002916A7">
            <w:pPr>
              <w:pStyle w:val="Tablewriting"/>
              <w:rPr>
                <w:rFonts w:eastAsia="MS Mincho"/>
              </w:rPr>
            </w:pPr>
            <w:r w:rsidRPr="0055171C">
              <w:rPr>
                <w:rFonts w:eastAsia="MS Mincho"/>
                <w:u w:val="single"/>
              </w:rPr>
              <w:lastRenderedPageBreak/>
              <w:t>Other</w:t>
            </w:r>
            <w:r>
              <w:rPr>
                <w:rFonts w:eastAsia="MS Mincho"/>
              </w:rPr>
              <w:t xml:space="preserve">: </w:t>
            </w:r>
            <w:r w:rsidR="00330CBE">
              <w:rPr>
                <w:rFonts w:eastAsia="MS Mincho"/>
              </w:rPr>
              <w:t>a</w:t>
            </w:r>
            <w:r w:rsidR="00330CBE" w:rsidRPr="00330CBE">
              <w:rPr>
                <w:rFonts w:eastAsia="MS Mincho"/>
              </w:rPr>
              <w:t xml:space="preserve">dverse events, clinically significant changes in vital signs, </w:t>
            </w:r>
            <w:r w:rsidR="008E0A8D">
              <w:rPr>
                <w:rFonts w:eastAsia="MS Mincho"/>
              </w:rPr>
              <w:t>serious adverse event</w:t>
            </w:r>
            <w:r w:rsidR="00330CBE" w:rsidRPr="00330CBE">
              <w:rPr>
                <w:rFonts w:eastAsia="MS Mincho"/>
              </w:rPr>
              <w:t>s</w:t>
            </w:r>
            <w:r w:rsidR="000F1E7A">
              <w:rPr>
                <w:rFonts w:eastAsia="MS Mincho"/>
              </w:rPr>
              <w:t>.</w:t>
            </w:r>
          </w:p>
        </w:tc>
      </w:tr>
      <w:tr w:rsidR="00260CD7" w:rsidRPr="00061F78" w14:paraId="6AE00B26" w14:textId="77777777" w:rsidTr="004D7C8D">
        <w:trPr>
          <w:trHeight w:val="99"/>
        </w:trPr>
        <w:tc>
          <w:tcPr>
            <w:tcW w:w="332" w:type="pct"/>
            <w:shd w:val="clear" w:color="auto" w:fill="D9D9D9" w:themeFill="background1" w:themeFillShade="D9"/>
            <w:tcMar>
              <w:left w:w="28" w:type="dxa"/>
              <w:right w:w="28" w:type="dxa"/>
            </w:tcMar>
          </w:tcPr>
          <w:p w14:paraId="757B63B6" w14:textId="77777777" w:rsidR="00C640CF" w:rsidRDefault="00C640CF" w:rsidP="002916A7">
            <w:pPr>
              <w:pStyle w:val="Tablewriting"/>
              <w:rPr>
                <w:rFonts w:eastAsia="MS Mincho"/>
              </w:rPr>
            </w:pPr>
            <w:r>
              <w:rPr>
                <w:rFonts w:eastAsia="MS Mincho"/>
              </w:rPr>
              <w:lastRenderedPageBreak/>
              <w:t>Rigotti</w:t>
            </w:r>
          </w:p>
          <w:p w14:paraId="34F7B1C5" w14:textId="1A64F943" w:rsidR="00561966" w:rsidRPr="00061F78" w:rsidRDefault="00C640CF" w:rsidP="002916A7">
            <w:pPr>
              <w:pStyle w:val="Tablewriting"/>
              <w:rPr>
                <w:rFonts w:eastAsia="MS Mincho"/>
              </w:rPr>
            </w:pPr>
            <w:r>
              <w:rPr>
                <w:rFonts w:eastAsia="MS Mincho"/>
              </w:rPr>
              <w:t>(2010)</w:t>
            </w:r>
          </w:p>
        </w:tc>
        <w:tc>
          <w:tcPr>
            <w:tcW w:w="395" w:type="pct"/>
            <w:shd w:val="clear" w:color="auto" w:fill="D9D9D9" w:themeFill="background1" w:themeFillShade="D9"/>
          </w:tcPr>
          <w:p w14:paraId="1D6BB553" w14:textId="68CFB7F2" w:rsidR="00561966" w:rsidRDefault="00C640CF"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257C58CC" w14:textId="021A79F9" w:rsidR="00C640CF" w:rsidRDefault="00C640CF" w:rsidP="002916A7">
            <w:pPr>
              <w:pStyle w:val="Tablewriting"/>
              <w:rPr>
                <w:rFonts w:eastAsia="MS Mincho"/>
              </w:rPr>
            </w:pPr>
            <w:r>
              <w:rPr>
                <w:rFonts w:eastAsia="MS Mincho"/>
              </w:rPr>
              <w:t>N=</w:t>
            </w:r>
            <w:r w:rsidR="005F0E8B">
              <w:rPr>
                <w:rFonts w:eastAsia="MS Mincho"/>
              </w:rPr>
              <w:t>714</w:t>
            </w:r>
          </w:p>
          <w:p w14:paraId="4817F410" w14:textId="39EB50D4" w:rsidR="00561966" w:rsidRPr="00061F78" w:rsidRDefault="00C640CF" w:rsidP="002916A7">
            <w:pPr>
              <w:pStyle w:val="Tablewriting"/>
              <w:rPr>
                <w:rFonts w:eastAsia="MS Mincho"/>
              </w:rPr>
            </w:pPr>
            <w:r>
              <w:rPr>
                <w:rFonts w:eastAsia="MS Mincho"/>
              </w:rPr>
              <w:t>Varenicline (n=3</w:t>
            </w:r>
            <w:r w:rsidR="007920E7">
              <w:rPr>
                <w:rFonts w:eastAsia="MS Mincho"/>
              </w:rPr>
              <w:t>55</w:t>
            </w:r>
            <w:r>
              <w:rPr>
                <w:rFonts w:eastAsia="MS Mincho"/>
              </w:rPr>
              <w:t>), Placebo (n=</w:t>
            </w:r>
            <w:r w:rsidR="007920E7">
              <w:rPr>
                <w:rFonts w:eastAsia="MS Mincho"/>
              </w:rPr>
              <w:t>35</w:t>
            </w:r>
            <w:r>
              <w:rPr>
                <w:rFonts w:eastAsia="MS Mincho"/>
              </w:rPr>
              <w:t>9)</w:t>
            </w:r>
          </w:p>
        </w:tc>
        <w:tc>
          <w:tcPr>
            <w:tcW w:w="1866" w:type="pct"/>
            <w:shd w:val="clear" w:color="auto" w:fill="D9D9D9" w:themeFill="background1" w:themeFillShade="D9"/>
            <w:tcMar>
              <w:left w:w="28" w:type="dxa"/>
              <w:right w:w="28" w:type="dxa"/>
            </w:tcMar>
          </w:tcPr>
          <w:p w14:paraId="4A0011AC" w14:textId="2B924A64" w:rsidR="00C640CF" w:rsidRDefault="00C640CF" w:rsidP="002916A7">
            <w:pPr>
              <w:pStyle w:val="Tablewriting"/>
              <w:rPr>
                <w:rFonts w:eastAsia="MS Mincho"/>
              </w:rPr>
            </w:pPr>
            <w:r w:rsidRPr="007F28D7">
              <w:rPr>
                <w:rFonts w:eastAsia="MS Mincho"/>
                <w:u w:val="single"/>
              </w:rPr>
              <w:t>Inclusion</w:t>
            </w:r>
            <w:r>
              <w:rPr>
                <w:rFonts w:eastAsia="MS Mincho"/>
              </w:rPr>
              <w:t xml:space="preserve">: </w:t>
            </w:r>
            <w:r w:rsidR="00743D13" w:rsidRPr="00743D13">
              <w:rPr>
                <w:rFonts w:eastAsia="MS Mincho"/>
              </w:rPr>
              <w:t>35</w:t>
            </w:r>
            <w:r w:rsidR="00743D13">
              <w:rPr>
                <w:rFonts w:eastAsia="MS Mincho"/>
              </w:rPr>
              <w:t>-</w:t>
            </w:r>
            <w:r w:rsidR="00743D13" w:rsidRPr="00743D13">
              <w:rPr>
                <w:rFonts w:eastAsia="MS Mincho"/>
              </w:rPr>
              <w:t xml:space="preserve">75 years </w:t>
            </w:r>
            <w:r w:rsidR="00A23D56">
              <w:rPr>
                <w:rFonts w:eastAsia="MS Mincho"/>
              </w:rPr>
              <w:t xml:space="preserve">old, </w:t>
            </w:r>
            <w:r w:rsidR="00743D13">
              <w:rPr>
                <w:rFonts w:eastAsia="MS Mincho" w:cstheme="minorHAnsi"/>
              </w:rPr>
              <w:t>≥</w:t>
            </w:r>
            <w:r w:rsidR="00743D13" w:rsidRPr="00743D13">
              <w:rPr>
                <w:rFonts w:eastAsia="MS Mincho"/>
              </w:rPr>
              <w:t>10 cigarettes daily in the year before enrolment,</w:t>
            </w:r>
            <w:r w:rsidR="00743D13">
              <w:rPr>
                <w:rFonts w:eastAsia="MS Mincho"/>
              </w:rPr>
              <w:t xml:space="preserve"> </w:t>
            </w:r>
            <w:r w:rsidR="00743D13" w:rsidRPr="00743D13">
              <w:rPr>
                <w:rFonts w:eastAsia="MS Mincho"/>
              </w:rPr>
              <w:t>wanted to stop smoking but had not tried to quit in the past 3 months,</w:t>
            </w:r>
            <w:r w:rsidR="00743D13">
              <w:rPr>
                <w:rFonts w:eastAsia="MS Mincho"/>
              </w:rPr>
              <w:t xml:space="preserve"> </w:t>
            </w:r>
            <w:r w:rsidR="00743D13" w:rsidRPr="00743D13">
              <w:rPr>
                <w:rFonts w:eastAsia="MS Mincho"/>
              </w:rPr>
              <w:t>and had stable, documented CVD (other than hypertension) that had</w:t>
            </w:r>
            <w:r w:rsidR="00743D13">
              <w:rPr>
                <w:rFonts w:eastAsia="MS Mincho"/>
              </w:rPr>
              <w:t xml:space="preserve"> </w:t>
            </w:r>
            <w:r w:rsidR="00743D13" w:rsidRPr="00743D13">
              <w:rPr>
                <w:rFonts w:eastAsia="MS Mincho"/>
              </w:rPr>
              <w:t xml:space="preserve">been diagnosed for </w:t>
            </w:r>
            <w:r w:rsidR="00743D13">
              <w:rPr>
                <w:rFonts w:eastAsia="MS Mincho"/>
              </w:rPr>
              <w:t>&gt;</w:t>
            </w:r>
            <w:r w:rsidR="00743D13" w:rsidRPr="00743D13">
              <w:rPr>
                <w:rFonts w:eastAsia="MS Mincho"/>
              </w:rPr>
              <w:t>2 months.</w:t>
            </w:r>
          </w:p>
          <w:p w14:paraId="59FAEB85" w14:textId="44BF69F2" w:rsidR="00561966" w:rsidRPr="00061F78" w:rsidRDefault="00C640CF" w:rsidP="002916A7">
            <w:pPr>
              <w:pStyle w:val="Tablewriting"/>
              <w:rPr>
                <w:rFonts w:eastAsia="MS Mincho"/>
              </w:rPr>
            </w:pPr>
            <w:r w:rsidRPr="007F28D7">
              <w:rPr>
                <w:rFonts w:eastAsia="MS Mincho"/>
                <w:u w:val="single"/>
              </w:rPr>
              <w:t>Exclusion</w:t>
            </w:r>
            <w:r>
              <w:rPr>
                <w:rFonts w:eastAsia="MS Mincho"/>
              </w:rPr>
              <w:t xml:space="preserve">: </w:t>
            </w:r>
            <w:r w:rsidR="00DD72D7" w:rsidRPr="00DD72D7">
              <w:rPr>
                <w:rFonts w:eastAsia="MS Mincho"/>
              </w:rPr>
              <w:t>undergone a cardiovascular procedure</w:t>
            </w:r>
            <w:r w:rsidR="009B4697">
              <w:rPr>
                <w:rFonts w:eastAsia="MS Mincho"/>
              </w:rPr>
              <w:t xml:space="preserve"> </w:t>
            </w:r>
            <w:r w:rsidR="00DD72D7" w:rsidRPr="00DD72D7">
              <w:rPr>
                <w:rFonts w:eastAsia="MS Mincho"/>
              </w:rPr>
              <w:t>or had cardiovascular</w:t>
            </w:r>
            <w:r w:rsidR="00DD72D7">
              <w:rPr>
                <w:rFonts w:eastAsia="MS Mincho"/>
              </w:rPr>
              <w:t xml:space="preserve"> </w:t>
            </w:r>
            <w:r w:rsidR="00DD72D7" w:rsidRPr="00DD72D7">
              <w:rPr>
                <w:rFonts w:eastAsia="MS Mincho"/>
              </w:rPr>
              <w:t xml:space="preserve">instability </w:t>
            </w:r>
            <w:r w:rsidR="00DD72D7">
              <w:rPr>
                <w:rFonts w:eastAsia="MS Mincho"/>
              </w:rPr>
              <w:t>in the past 2 months</w:t>
            </w:r>
            <w:r w:rsidR="009B4697">
              <w:rPr>
                <w:rFonts w:eastAsia="MS Mincho"/>
              </w:rPr>
              <w:t>,</w:t>
            </w:r>
            <w:r w:rsidR="00DD72D7" w:rsidRPr="00DD72D7">
              <w:rPr>
                <w:rFonts w:eastAsia="MS Mincho"/>
              </w:rPr>
              <w:t xml:space="preserve"> moderate or severe </w:t>
            </w:r>
            <w:r w:rsidR="009B4697">
              <w:rPr>
                <w:rFonts w:eastAsia="MS Mincho"/>
              </w:rPr>
              <w:t>COPD,</w:t>
            </w:r>
            <w:r w:rsidR="00DD72D7" w:rsidRPr="00DD72D7">
              <w:rPr>
                <w:rFonts w:eastAsia="MS Mincho"/>
              </w:rPr>
              <w:t xml:space="preserve"> uncontrolled gastrointestinal, hepatic, or endocrine diseas</w:t>
            </w:r>
            <w:r w:rsidR="009B4697">
              <w:rPr>
                <w:rFonts w:eastAsia="MS Mincho"/>
              </w:rPr>
              <w:t>e,</w:t>
            </w:r>
            <w:r w:rsidR="00DD72D7" w:rsidRPr="00DD72D7">
              <w:rPr>
                <w:rFonts w:eastAsia="MS Mincho"/>
              </w:rPr>
              <w:t xml:space="preserve"> severe renal impairment</w:t>
            </w:r>
            <w:r w:rsidR="0033571E">
              <w:rPr>
                <w:rFonts w:eastAsia="MS Mincho"/>
              </w:rPr>
              <w:t>,</w:t>
            </w:r>
            <w:r w:rsidR="00DD72D7" w:rsidRPr="00DD72D7">
              <w:rPr>
                <w:rFonts w:eastAsia="MS Mincho"/>
              </w:rPr>
              <w:t xml:space="preserve"> cancer</w:t>
            </w:r>
            <w:r w:rsidR="0033571E">
              <w:rPr>
                <w:rFonts w:eastAsia="MS Mincho"/>
              </w:rPr>
              <w:t>,</w:t>
            </w:r>
            <w:r w:rsidR="00DD72D7" w:rsidRPr="00DD72D7">
              <w:rPr>
                <w:rFonts w:eastAsia="MS Mincho"/>
              </w:rPr>
              <w:t xml:space="preserve"> diagnosis</w:t>
            </w:r>
            <w:r w:rsidR="00997DE6">
              <w:rPr>
                <w:rFonts w:eastAsia="MS Mincho"/>
              </w:rPr>
              <w:t xml:space="preserve"> </w:t>
            </w:r>
            <w:r w:rsidR="00DD72D7" w:rsidRPr="00DD72D7">
              <w:rPr>
                <w:rFonts w:eastAsia="MS Mincho"/>
              </w:rPr>
              <w:t>of depression</w:t>
            </w:r>
            <w:r w:rsidR="0033571E">
              <w:rPr>
                <w:rFonts w:eastAsia="MS Mincho"/>
              </w:rPr>
              <w:t>,</w:t>
            </w:r>
            <w:r w:rsidR="00DD72D7" w:rsidRPr="00DD72D7">
              <w:rPr>
                <w:rFonts w:eastAsia="MS Mincho"/>
              </w:rPr>
              <w:t xml:space="preserve"> treatment with antidepressants in the past year</w:t>
            </w:r>
            <w:r w:rsidR="0033571E">
              <w:rPr>
                <w:rFonts w:eastAsia="MS Mincho"/>
              </w:rPr>
              <w:t>,</w:t>
            </w:r>
            <w:r w:rsidR="00997DE6">
              <w:rPr>
                <w:rFonts w:eastAsia="MS Mincho"/>
              </w:rPr>
              <w:t xml:space="preserve"> </w:t>
            </w:r>
            <w:r w:rsidR="00DD72D7" w:rsidRPr="00DD72D7">
              <w:rPr>
                <w:rFonts w:eastAsia="MS Mincho"/>
              </w:rPr>
              <w:t>history of psychosis, panic disorder, or bipolar disorder</w:t>
            </w:r>
            <w:r w:rsidR="0033571E">
              <w:rPr>
                <w:rFonts w:eastAsia="MS Mincho"/>
              </w:rPr>
              <w:t>,</w:t>
            </w:r>
            <w:r w:rsidR="00DD72D7" w:rsidRPr="00DD72D7">
              <w:rPr>
                <w:rFonts w:eastAsia="MS Mincho"/>
              </w:rPr>
              <w:t xml:space="preserve"> drug or</w:t>
            </w:r>
            <w:r w:rsidR="00997DE6">
              <w:rPr>
                <w:rFonts w:eastAsia="MS Mincho"/>
              </w:rPr>
              <w:t xml:space="preserve"> </w:t>
            </w:r>
            <w:r w:rsidR="00DD72D7" w:rsidRPr="00DD72D7">
              <w:rPr>
                <w:rFonts w:eastAsia="MS Mincho"/>
              </w:rPr>
              <w:t>alcohol abuse or dependence in the past year</w:t>
            </w:r>
            <w:r w:rsidR="0033571E">
              <w:rPr>
                <w:rFonts w:eastAsia="MS Mincho"/>
              </w:rPr>
              <w:t>,</w:t>
            </w:r>
            <w:r w:rsidR="00DD72D7" w:rsidRPr="00DD72D7">
              <w:rPr>
                <w:rFonts w:eastAsia="MS Mincho"/>
              </w:rPr>
              <w:t xml:space="preserve"> or smoking cessation</w:t>
            </w:r>
            <w:r w:rsidR="00997DE6">
              <w:rPr>
                <w:rFonts w:eastAsia="MS Mincho"/>
              </w:rPr>
              <w:t xml:space="preserve"> </w:t>
            </w:r>
            <w:r w:rsidR="00DD72D7" w:rsidRPr="00DD72D7">
              <w:rPr>
                <w:rFonts w:eastAsia="MS Mincho"/>
              </w:rPr>
              <w:t>medication use (</w:t>
            </w:r>
            <w:r w:rsidR="0033571E">
              <w:rPr>
                <w:rFonts w:eastAsia="MS Mincho"/>
              </w:rPr>
              <w:t>NRT</w:t>
            </w:r>
            <w:r w:rsidR="00DD72D7" w:rsidRPr="00DD72D7">
              <w:rPr>
                <w:rFonts w:eastAsia="MS Mincho"/>
              </w:rPr>
              <w:t>, bupropion, clonidine,</w:t>
            </w:r>
            <w:r w:rsidR="00997DE6">
              <w:rPr>
                <w:rFonts w:eastAsia="MS Mincho"/>
              </w:rPr>
              <w:t xml:space="preserve"> </w:t>
            </w:r>
            <w:r w:rsidR="00DD72D7" w:rsidRPr="00DD72D7">
              <w:rPr>
                <w:rFonts w:eastAsia="MS Mincho"/>
              </w:rPr>
              <w:t>or nortriptyline) in the past month.</w:t>
            </w:r>
          </w:p>
        </w:tc>
        <w:tc>
          <w:tcPr>
            <w:tcW w:w="920" w:type="pct"/>
            <w:shd w:val="clear" w:color="auto" w:fill="D9D9D9" w:themeFill="background1" w:themeFillShade="D9"/>
          </w:tcPr>
          <w:p w14:paraId="09FD1502" w14:textId="03E6A921" w:rsidR="00C640CF" w:rsidRDefault="00C640CF"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14:paraId="7D7FCF12" w14:textId="1791F1EB" w:rsidR="00561966" w:rsidRDefault="00C640CF" w:rsidP="002916A7">
            <w:pPr>
              <w:pStyle w:val="Tablewriting"/>
              <w:rPr>
                <w:rFonts w:eastAsia="MS Mincho"/>
              </w:rPr>
            </w:pPr>
            <w:r>
              <w:rPr>
                <w:rFonts w:eastAsia="MS Mincho"/>
              </w:rPr>
              <w:t>Placebo: placebo tablet for 12 weeks, same regimen</w:t>
            </w:r>
            <w:r w:rsidR="000F1E7A">
              <w:rPr>
                <w:rFonts w:eastAsia="MS Mincho"/>
              </w:rPr>
              <w:t>.</w:t>
            </w:r>
          </w:p>
          <w:p w14:paraId="1A80FB41" w14:textId="77777777" w:rsidR="005A24FB" w:rsidRDefault="005A24FB" w:rsidP="002916A7">
            <w:pPr>
              <w:pStyle w:val="Tablewriting"/>
              <w:rPr>
                <w:rFonts w:eastAsia="MS Mincho"/>
              </w:rPr>
            </w:pPr>
          </w:p>
          <w:p w14:paraId="0A2A21C4" w14:textId="0DDB243F" w:rsidR="005A24FB" w:rsidRPr="00A34E7B" w:rsidRDefault="005A24FB" w:rsidP="002916A7">
            <w:pPr>
              <w:pStyle w:val="Tablewriting"/>
              <w:rPr>
                <w:rFonts w:eastAsia="MS Mincho"/>
              </w:rPr>
            </w:pPr>
            <w:r w:rsidRPr="005A24FB">
              <w:rPr>
                <w:rFonts w:eastAsia="MS Mincho"/>
              </w:rPr>
              <w:t>Behavioural support provided in both arms.</w:t>
            </w:r>
          </w:p>
        </w:tc>
        <w:tc>
          <w:tcPr>
            <w:tcW w:w="1140" w:type="pct"/>
            <w:shd w:val="clear" w:color="auto" w:fill="D9D9D9" w:themeFill="background1" w:themeFillShade="D9"/>
            <w:tcMar>
              <w:left w:w="28" w:type="dxa"/>
              <w:right w:w="28" w:type="dxa"/>
            </w:tcMar>
          </w:tcPr>
          <w:p w14:paraId="38EA0F38" w14:textId="7C0A722D" w:rsidR="00C640CF" w:rsidRDefault="00C640CF" w:rsidP="002916A7">
            <w:pPr>
              <w:pStyle w:val="Tablewriting"/>
              <w:rPr>
                <w:rFonts w:eastAsia="MS Mincho"/>
              </w:rPr>
            </w:pPr>
            <w:r w:rsidRPr="008C39E4">
              <w:rPr>
                <w:rFonts w:eastAsia="MS Mincho"/>
                <w:u w:val="single"/>
              </w:rPr>
              <w:t>Primary</w:t>
            </w:r>
            <w:r>
              <w:rPr>
                <w:rFonts w:eastAsia="MS Mincho"/>
              </w:rPr>
              <w:t xml:space="preserve">: </w:t>
            </w:r>
            <w:r w:rsidR="00C8706B">
              <w:rPr>
                <w:rFonts w:eastAsia="MS Mincho"/>
              </w:rPr>
              <w:t>CAR</w:t>
            </w:r>
            <w:r>
              <w:rPr>
                <w:rFonts w:eastAsia="MS Mincho"/>
              </w:rPr>
              <w:t xml:space="preserve"> at </w:t>
            </w:r>
            <w:r w:rsidR="007B7017">
              <w:rPr>
                <w:rFonts w:eastAsia="MS Mincho"/>
              </w:rPr>
              <w:t>w</w:t>
            </w:r>
            <w:r>
              <w:rPr>
                <w:rFonts w:eastAsia="MS Mincho"/>
              </w:rPr>
              <w:t>eek 9-12. Validated by CO</w:t>
            </w:r>
            <w:r w:rsidR="00083C3E">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14:paraId="065699F5" w14:textId="3F73106D" w:rsidR="00C640CF" w:rsidRDefault="00C640CF" w:rsidP="002916A7">
            <w:pPr>
              <w:pStyle w:val="Tablewriting"/>
              <w:rPr>
                <w:rFonts w:eastAsia="MS Mincho"/>
              </w:rPr>
            </w:pPr>
            <w:r w:rsidRPr="008C39E4">
              <w:rPr>
                <w:rFonts w:eastAsia="MS Mincho"/>
                <w:u w:val="single"/>
              </w:rPr>
              <w:t>Secondary</w:t>
            </w:r>
            <w:r>
              <w:rPr>
                <w:rFonts w:eastAsia="MS Mincho"/>
              </w:rPr>
              <w:t xml:space="preserve">: </w:t>
            </w:r>
            <w:r w:rsidR="00C8706B">
              <w:rPr>
                <w:rFonts w:eastAsia="MS Mincho"/>
              </w:rPr>
              <w:t>CAR</w:t>
            </w:r>
            <w:r>
              <w:rPr>
                <w:rFonts w:eastAsia="MS Mincho"/>
              </w:rPr>
              <w:t xml:space="preserve"> at </w:t>
            </w:r>
            <w:r w:rsidR="007B7017">
              <w:rPr>
                <w:rFonts w:eastAsia="MS Mincho"/>
              </w:rPr>
              <w:t>w</w:t>
            </w:r>
            <w:r>
              <w:rPr>
                <w:rFonts w:eastAsia="MS Mincho"/>
              </w:rPr>
              <w:t>eek 9-24</w:t>
            </w:r>
            <w:r w:rsidR="00C22444">
              <w:rPr>
                <w:rFonts w:eastAsia="MS Mincho"/>
              </w:rPr>
              <w:t xml:space="preserve"> and 9-52</w:t>
            </w:r>
            <w:r>
              <w:rPr>
                <w:rFonts w:eastAsia="MS Mincho"/>
              </w:rPr>
              <w:t xml:space="preserve">. </w:t>
            </w:r>
            <w:r w:rsidRPr="00624207">
              <w:rPr>
                <w:rFonts w:eastAsia="MS Mincho"/>
              </w:rPr>
              <w:t xml:space="preserve">7-day PPA </w:t>
            </w:r>
            <w:r>
              <w:rPr>
                <w:rFonts w:eastAsia="MS Mincho"/>
              </w:rPr>
              <w:t xml:space="preserve">at </w:t>
            </w:r>
            <w:r w:rsidR="007B7017">
              <w:rPr>
                <w:rFonts w:eastAsia="MS Mincho"/>
              </w:rPr>
              <w:t>w</w:t>
            </w:r>
            <w:r>
              <w:rPr>
                <w:rFonts w:eastAsia="MS Mincho"/>
              </w:rPr>
              <w:t>eek 12</w:t>
            </w:r>
            <w:r w:rsidR="005B43BD">
              <w:rPr>
                <w:rFonts w:eastAsia="MS Mincho"/>
              </w:rPr>
              <w:t xml:space="preserve">, </w:t>
            </w:r>
            <w:r>
              <w:rPr>
                <w:rFonts w:eastAsia="MS Mincho"/>
              </w:rPr>
              <w:t xml:space="preserve">24 and </w:t>
            </w:r>
            <w:r w:rsidR="005B43BD">
              <w:rPr>
                <w:rFonts w:eastAsia="MS Mincho"/>
              </w:rPr>
              <w:t>52</w:t>
            </w:r>
            <w:r>
              <w:rPr>
                <w:rFonts w:eastAsia="MS Mincho"/>
              </w:rPr>
              <w:t>.</w:t>
            </w:r>
            <w:r w:rsidR="00C8706B">
              <w:rPr>
                <w:rFonts w:eastAsia="MS Mincho"/>
              </w:rPr>
              <w:t xml:space="preserve"> Validated by CO </w:t>
            </w:r>
            <w:r w:rsidR="00C8706B">
              <w:rPr>
                <w:rFonts w:eastAsia="MS Mincho" w:cstheme="minorHAnsi"/>
              </w:rPr>
              <w:t>≤</w:t>
            </w:r>
            <w:r w:rsidR="00C8706B">
              <w:rPr>
                <w:rFonts w:eastAsia="MS Mincho"/>
              </w:rPr>
              <w:t>10</w:t>
            </w:r>
            <w:r w:rsidR="00083C3E">
              <w:rPr>
                <w:rFonts w:eastAsia="MS Mincho"/>
              </w:rPr>
              <w:t xml:space="preserve"> </w:t>
            </w:r>
            <w:r w:rsidR="00C8706B">
              <w:rPr>
                <w:rFonts w:eastAsia="MS Mincho"/>
              </w:rPr>
              <w:t>ppm.</w:t>
            </w:r>
          </w:p>
          <w:p w14:paraId="0D5E0485" w14:textId="54FA87BB" w:rsidR="00561966" w:rsidRPr="00061F78" w:rsidRDefault="00C640CF" w:rsidP="002916A7">
            <w:pPr>
              <w:pStyle w:val="Tablewriting"/>
              <w:rPr>
                <w:rFonts w:eastAsia="MS Mincho"/>
              </w:rPr>
            </w:pPr>
            <w:r w:rsidRPr="0055171C">
              <w:rPr>
                <w:rFonts w:eastAsia="MS Mincho"/>
                <w:u w:val="single"/>
              </w:rPr>
              <w:t>Other</w:t>
            </w:r>
            <w:r>
              <w:rPr>
                <w:rFonts w:eastAsia="MS Mincho"/>
              </w:rPr>
              <w:t xml:space="preserve">: </w:t>
            </w:r>
            <w:r w:rsidR="009923F0">
              <w:rPr>
                <w:rFonts w:eastAsia="MS Mincho"/>
              </w:rPr>
              <w:t>a</w:t>
            </w:r>
            <w:r w:rsidR="009923F0" w:rsidRPr="009923F0">
              <w:rPr>
                <w:rFonts w:eastAsia="MS Mincho"/>
              </w:rPr>
              <w:t>dverse events; serious adverse events; cardiovascular events; changes in blood pressure</w:t>
            </w:r>
            <w:r w:rsidR="009923F0">
              <w:rPr>
                <w:rFonts w:eastAsia="MS Mincho"/>
              </w:rPr>
              <w:t xml:space="preserve"> </w:t>
            </w:r>
            <w:r w:rsidR="009923F0" w:rsidRPr="009923F0">
              <w:rPr>
                <w:rFonts w:eastAsia="MS Mincho"/>
              </w:rPr>
              <w:t>and heart rate</w:t>
            </w:r>
            <w:r w:rsidR="000F1E7A">
              <w:rPr>
                <w:rFonts w:eastAsia="MS Mincho"/>
              </w:rPr>
              <w:t>.</w:t>
            </w:r>
          </w:p>
        </w:tc>
      </w:tr>
      <w:tr w:rsidR="00260CD7" w:rsidRPr="00061F78" w14:paraId="0AD9B0FB" w14:textId="77777777" w:rsidTr="004D7C8D">
        <w:trPr>
          <w:trHeight w:val="99"/>
        </w:trPr>
        <w:tc>
          <w:tcPr>
            <w:tcW w:w="332" w:type="pct"/>
            <w:shd w:val="clear" w:color="auto" w:fill="D9D9D9" w:themeFill="background1" w:themeFillShade="D9"/>
            <w:tcMar>
              <w:left w:w="28" w:type="dxa"/>
              <w:right w:w="28" w:type="dxa"/>
            </w:tcMar>
          </w:tcPr>
          <w:p w14:paraId="229BD002" w14:textId="77777777" w:rsidR="009923F0" w:rsidRDefault="009923F0" w:rsidP="002916A7">
            <w:pPr>
              <w:pStyle w:val="Tablewriting"/>
              <w:rPr>
                <w:rFonts w:eastAsia="MS Mincho"/>
              </w:rPr>
            </w:pPr>
            <w:r>
              <w:rPr>
                <w:rFonts w:eastAsia="MS Mincho"/>
              </w:rPr>
              <w:t>Tashkin</w:t>
            </w:r>
          </w:p>
          <w:p w14:paraId="3018B0C9" w14:textId="2EBB4F24" w:rsidR="00561966" w:rsidRPr="00061F78" w:rsidRDefault="009923F0" w:rsidP="002916A7">
            <w:pPr>
              <w:pStyle w:val="Tablewriting"/>
              <w:rPr>
                <w:rFonts w:eastAsia="MS Mincho"/>
              </w:rPr>
            </w:pPr>
            <w:r>
              <w:rPr>
                <w:rFonts w:eastAsia="MS Mincho"/>
              </w:rPr>
              <w:t>(2011)</w:t>
            </w:r>
          </w:p>
        </w:tc>
        <w:tc>
          <w:tcPr>
            <w:tcW w:w="395" w:type="pct"/>
            <w:shd w:val="clear" w:color="auto" w:fill="D9D9D9" w:themeFill="background1" w:themeFillShade="D9"/>
          </w:tcPr>
          <w:p w14:paraId="3E42CBC9" w14:textId="270888F3" w:rsidR="00561966" w:rsidRDefault="009923F0"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0D7A8C46" w14:textId="1FD19F61" w:rsidR="009923F0" w:rsidRDefault="009923F0" w:rsidP="002916A7">
            <w:pPr>
              <w:pStyle w:val="Tablewriting"/>
              <w:rPr>
                <w:rFonts w:eastAsia="MS Mincho"/>
              </w:rPr>
            </w:pPr>
            <w:r>
              <w:rPr>
                <w:rFonts w:eastAsia="MS Mincho"/>
              </w:rPr>
              <w:t>N=</w:t>
            </w:r>
            <w:r w:rsidR="00B14448">
              <w:rPr>
                <w:rFonts w:eastAsia="MS Mincho"/>
              </w:rPr>
              <w:t>50</w:t>
            </w:r>
            <w:r>
              <w:rPr>
                <w:rFonts w:eastAsia="MS Mincho"/>
              </w:rPr>
              <w:t>4</w:t>
            </w:r>
          </w:p>
          <w:p w14:paraId="2390C3C6" w14:textId="02761958" w:rsidR="00561966" w:rsidRPr="00061F78" w:rsidRDefault="009923F0" w:rsidP="002916A7">
            <w:pPr>
              <w:pStyle w:val="Tablewriting"/>
              <w:rPr>
                <w:rFonts w:eastAsia="MS Mincho"/>
              </w:rPr>
            </w:pPr>
            <w:r>
              <w:rPr>
                <w:rFonts w:eastAsia="MS Mincho"/>
              </w:rPr>
              <w:t>Varenicline (n=</w:t>
            </w:r>
            <w:r w:rsidR="006D60E9">
              <w:rPr>
                <w:rFonts w:eastAsia="MS Mincho"/>
              </w:rPr>
              <w:t>250</w:t>
            </w:r>
            <w:r>
              <w:rPr>
                <w:rFonts w:eastAsia="MS Mincho"/>
              </w:rPr>
              <w:t xml:space="preserve">), </w:t>
            </w:r>
            <w:r>
              <w:rPr>
                <w:rFonts w:eastAsia="MS Mincho"/>
              </w:rPr>
              <w:lastRenderedPageBreak/>
              <w:t>Placebo (n=</w:t>
            </w:r>
            <w:r w:rsidR="006D60E9">
              <w:rPr>
                <w:rFonts w:eastAsia="MS Mincho"/>
              </w:rPr>
              <w:t>254</w:t>
            </w:r>
            <w:r>
              <w:rPr>
                <w:rFonts w:eastAsia="MS Mincho"/>
              </w:rPr>
              <w:t>)</w:t>
            </w:r>
          </w:p>
        </w:tc>
        <w:tc>
          <w:tcPr>
            <w:tcW w:w="1866" w:type="pct"/>
            <w:shd w:val="clear" w:color="auto" w:fill="D9D9D9" w:themeFill="background1" w:themeFillShade="D9"/>
            <w:tcMar>
              <w:left w:w="28" w:type="dxa"/>
              <w:right w:w="28" w:type="dxa"/>
            </w:tcMar>
          </w:tcPr>
          <w:p w14:paraId="69B40AE5" w14:textId="052DB949" w:rsidR="009923F0" w:rsidRDefault="009923F0" w:rsidP="002916A7">
            <w:pPr>
              <w:pStyle w:val="Tablewriting"/>
              <w:rPr>
                <w:rFonts w:eastAsia="MS Mincho"/>
              </w:rPr>
            </w:pPr>
            <w:r w:rsidRPr="007F28D7">
              <w:rPr>
                <w:rFonts w:eastAsia="MS Mincho"/>
                <w:u w:val="single"/>
              </w:rPr>
              <w:lastRenderedPageBreak/>
              <w:t>Inclusion</w:t>
            </w:r>
            <w:r>
              <w:rPr>
                <w:rFonts w:eastAsia="MS Mincho"/>
              </w:rPr>
              <w:t xml:space="preserve">: </w:t>
            </w:r>
            <w:r w:rsidR="00573CFA" w:rsidRPr="00573CFA">
              <w:rPr>
                <w:rFonts w:eastAsia="MS Mincho"/>
              </w:rPr>
              <w:t xml:space="preserve">men and women aged </w:t>
            </w:r>
            <w:r w:rsidR="00573CFA">
              <w:rPr>
                <w:rFonts w:eastAsia="MS Mincho" w:cstheme="minorHAnsi"/>
              </w:rPr>
              <w:t>≥</w:t>
            </w:r>
            <w:r w:rsidR="00573CFA" w:rsidRPr="00573CFA">
              <w:rPr>
                <w:rFonts w:eastAsia="MS Mincho"/>
              </w:rPr>
              <w:t>35 years who</w:t>
            </w:r>
            <w:r w:rsidR="00573CFA">
              <w:rPr>
                <w:rFonts w:eastAsia="MS Mincho"/>
              </w:rPr>
              <w:t xml:space="preserve"> </w:t>
            </w:r>
            <w:r w:rsidR="00573CFA" w:rsidRPr="00573CFA">
              <w:rPr>
                <w:rFonts w:eastAsia="MS Mincho"/>
              </w:rPr>
              <w:t xml:space="preserve">received a clinical diagnosis of mild to moderate COPD (confirmed with a </w:t>
            </w:r>
            <w:r w:rsidR="00777459" w:rsidRPr="00573CFA">
              <w:rPr>
                <w:rFonts w:eastAsia="MS Mincho"/>
              </w:rPr>
              <w:t>post bronchodilator</w:t>
            </w:r>
            <w:r w:rsidR="00573CFA" w:rsidRPr="00573CFA">
              <w:rPr>
                <w:rFonts w:eastAsia="MS Mincho"/>
              </w:rPr>
              <w:t xml:space="preserve"> FEV</w:t>
            </w:r>
            <w:r w:rsidR="00573CFA" w:rsidRPr="00A73394">
              <w:rPr>
                <w:rFonts w:eastAsia="MS Mincho"/>
                <w:vertAlign w:val="subscript"/>
              </w:rPr>
              <w:t>1</w:t>
            </w:r>
            <w:r w:rsidR="00573CFA" w:rsidRPr="00573CFA">
              <w:rPr>
                <w:rFonts w:eastAsia="MS Mincho"/>
              </w:rPr>
              <w:t xml:space="preserve">/FVC </w:t>
            </w:r>
            <w:r w:rsidR="00A73394">
              <w:rPr>
                <w:rFonts w:eastAsia="MS Mincho"/>
              </w:rPr>
              <w:t>&lt;</w:t>
            </w:r>
            <w:r w:rsidR="00573CFA" w:rsidRPr="00573CFA">
              <w:rPr>
                <w:rFonts w:eastAsia="MS Mincho"/>
              </w:rPr>
              <w:t>70% and FEV</w:t>
            </w:r>
            <w:r w:rsidR="00573CFA" w:rsidRPr="00A73394">
              <w:rPr>
                <w:rFonts w:eastAsia="MS Mincho"/>
                <w:vertAlign w:val="subscript"/>
              </w:rPr>
              <w:t>1</w:t>
            </w:r>
            <w:r w:rsidR="00573CFA" w:rsidRPr="00573CFA">
              <w:rPr>
                <w:rFonts w:eastAsia="MS Mincho"/>
              </w:rPr>
              <w:t xml:space="preserve"> %</w:t>
            </w:r>
            <w:r w:rsidR="00A73394">
              <w:rPr>
                <w:rFonts w:eastAsia="MS Mincho"/>
              </w:rPr>
              <w:t xml:space="preserve"> </w:t>
            </w:r>
            <w:r w:rsidR="00573CFA" w:rsidRPr="00573CFA">
              <w:rPr>
                <w:rFonts w:eastAsia="MS Mincho"/>
              </w:rPr>
              <w:t xml:space="preserve">predicted </w:t>
            </w:r>
            <w:r w:rsidR="00573CFA" w:rsidRPr="00573CFA">
              <w:rPr>
                <w:rFonts w:eastAsia="MS Mincho"/>
              </w:rPr>
              <w:lastRenderedPageBreak/>
              <w:t xml:space="preserve">normal value </w:t>
            </w:r>
            <w:r w:rsidR="00A73394">
              <w:rPr>
                <w:rFonts w:eastAsia="MS Mincho" w:cstheme="minorHAnsi"/>
              </w:rPr>
              <w:t>≥</w:t>
            </w:r>
            <w:r w:rsidR="00573CFA" w:rsidRPr="00573CFA">
              <w:rPr>
                <w:rFonts w:eastAsia="MS Mincho"/>
              </w:rPr>
              <w:t>50% [GOLD stages I and II</w:t>
            </w:r>
            <w:r w:rsidR="00355BCB">
              <w:rPr>
                <w:rFonts w:eastAsia="MS Mincho"/>
              </w:rPr>
              <w:t>]</w:t>
            </w:r>
            <w:r w:rsidR="00573CFA" w:rsidRPr="00573CFA">
              <w:rPr>
                <w:rFonts w:eastAsia="MS Mincho"/>
              </w:rPr>
              <w:t>) and</w:t>
            </w:r>
            <w:r w:rsidR="00355BCB">
              <w:rPr>
                <w:rFonts w:eastAsia="MS Mincho"/>
              </w:rPr>
              <w:t xml:space="preserve"> </w:t>
            </w:r>
            <w:r w:rsidR="00573CFA" w:rsidRPr="00573CFA">
              <w:rPr>
                <w:rFonts w:eastAsia="MS Mincho"/>
              </w:rPr>
              <w:t>motivated to stop smoking. Each participant smoked an average</w:t>
            </w:r>
            <w:r w:rsidR="00355BCB">
              <w:rPr>
                <w:rFonts w:eastAsia="MS Mincho"/>
              </w:rPr>
              <w:t xml:space="preserve"> </w:t>
            </w:r>
            <w:r w:rsidR="00573CFA" w:rsidRPr="00573CFA">
              <w:rPr>
                <w:rFonts w:eastAsia="MS Mincho"/>
              </w:rPr>
              <w:t xml:space="preserve">of </w:t>
            </w:r>
            <w:r w:rsidR="00904FFD">
              <w:rPr>
                <w:rFonts w:eastAsia="MS Mincho" w:cstheme="minorHAnsi"/>
              </w:rPr>
              <w:t>≥</w:t>
            </w:r>
            <w:r w:rsidR="00573CFA" w:rsidRPr="00573CFA">
              <w:rPr>
                <w:rFonts w:eastAsia="MS Mincho"/>
              </w:rPr>
              <w:t>10 cigarettes/d</w:t>
            </w:r>
            <w:r w:rsidR="00904FFD">
              <w:rPr>
                <w:rFonts w:eastAsia="MS Mincho"/>
              </w:rPr>
              <w:t>ay</w:t>
            </w:r>
            <w:r w:rsidR="00573CFA" w:rsidRPr="00573CFA">
              <w:rPr>
                <w:rFonts w:eastAsia="MS Mincho"/>
              </w:rPr>
              <w:t xml:space="preserve"> over the past year with no period of abstinence </w:t>
            </w:r>
            <w:r w:rsidR="00B4568A">
              <w:rPr>
                <w:rFonts w:eastAsia="MS Mincho"/>
              </w:rPr>
              <w:t>&gt;</w:t>
            </w:r>
            <w:r w:rsidR="00573CFA" w:rsidRPr="00573CFA">
              <w:rPr>
                <w:rFonts w:eastAsia="MS Mincho"/>
              </w:rPr>
              <w:t>3 months over that time</w:t>
            </w:r>
            <w:r w:rsidRPr="00743D13">
              <w:rPr>
                <w:rFonts w:eastAsia="MS Mincho"/>
              </w:rPr>
              <w:t>.</w:t>
            </w:r>
          </w:p>
          <w:p w14:paraId="03B35009" w14:textId="365AA939" w:rsidR="00561966" w:rsidRPr="00061F78" w:rsidRDefault="009923F0" w:rsidP="002916A7">
            <w:pPr>
              <w:pStyle w:val="Tablewriting"/>
              <w:rPr>
                <w:rFonts w:eastAsia="MS Mincho"/>
              </w:rPr>
            </w:pPr>
            <w:r w:rsidRPr="007F28D7">
              <w:rPr>
                <w:rFonts w:eastAsia="MS Mincho"/>
                <w:u w:val="single"/>
              </w:rPr>
              <w:t>Exclusion</w:t>
            </w:r>
            <w:r>
              <w:rPr>
                <w:rFonts w:eastAsia="MS Mincho"/>
              </w:rPr>
              <w:t xml:space="preserve">: </w:t>
            </w:r>
            <w:r w:rsidR="00C562E9" w:rsidRPr="00C562E9">
              <w:rPr>
                <w:rFonts w:eastAsia="MS Mincho"/>
              </w:rPr>
              <w:t>treated with systemic corticosteroids</w:t>
            </w:r>
            <w:r w:rsidRPr="00DD72D7">
              <w:rPr>
                <w:rFonts w:eastAsia="MS Mincho"/>
              </w:rPr>
              <w:t xml:space="preserve"> or </w:t>
            </w:r>
            <w:r w:rsidR="00C562E9" w:rsidRPr="00C562E9">
              <w:rPr>
                <w:rFonts w:eastAsia="MS Mincho"/>
              </w:rPr>
              <w:t>hospitali</w:t>
            </w:r>
            <w:r w:rsidR="00C562E9">
              <w:rPr>
                <w:rFonts w:eastAsia="MS Mincho"/>
              </w:rPr>
              <w:t>s</w:t>
            </w:r>
            <w:r w:rsidR="00C562E9" w:rsidRPr="00C562E9">
              <w:rPr>
                <w:rFonts w:eastAsia="MS Mincho"/>
              </w:rPr>
              <w:t>ed</w:t>
            </w:r>
            <w:r w:rsidR="00C562E9">
              <w:rPr>
                <w:rFonts w:eastAsia="MS Mincho"/>
              </w:rPr>
              <w:t xml:space="preserve"> </w:t>
            </w:r>
            <w:r w:rsidR="00C562E9" w:rsidRPr="00C562E9">
              <w:rPr>
                <w:rFonts w:eastAsia="MS Mincho"/>
              </w:rPr>
              <w:t>for a COPD exacerbation during the 4-week period prior to</w:t>
            </w:r>
            <w:r w:rsidR="00C562E9">
              <w:rPr>
                <w:rFonts w:eastAsia="MS Mincho"/>
              </w:rPr>
              <w:t xml:space="preserve"> </w:t>
            </w:r>
            <w:r w:rsidR="00C562E9" w:rsidRPr="00C562E9">
              <w:rPr>
                <w:rFonts w:eastAsia="MS Mincho"/>
              </w:rPr>
              <w:t>screening</w:t>
            </w:r>
            <w:r w:rsidR="00C562E9">
              <w:rPr>
                <w:rFonts w:eastAsia="MS Mincho"/>
              </w:rPr>
              <w:t>;</w:t>
            </w:r>
            <w:r w:rsidR="00C562E9" w:rsidRPr="00C562E9">
              <w:rPr>
                <w:rFonts w:eastAsia="MS Mincho"/>
              </w:rPr>
              <w:t xml:space="preserve"> </w:t>
            </w:r>
            <w:r w:rsidRPr="00DD72D7">
              <w:rPr>
                <w:rFonts w:eastAsia="MS Mincho"/>
              </w:rPr>
              <w:t xml:space="preserve">unstable </w:t>
            </w:r>
            <w:r w:rsidR="00C562E9" w:rsidRPr="00C562E9">
              <w:rPr>
                <w:rFonts w:eastAsia="MS Mincho"/>
              </w:rPr>
              <w:t>or</w:t>
            </w:r>
            <w:r w:rsidR="00C562E9">
              <w:rPr>
                <w:rFonts w:eastAsia="MS Mincho"/>
              </w:rPr>
              <w:t xml:space="preserve"> </w:t>
            </w:r>
            <w:r w:rsidRPr="00DD72D7">
              <w:rPr>
                <w:rFonts w:eastAsia="MS Mincho"/>
              </w:rPr>
              <w:t xml:space="preserve">uncontrolled </w:t>
            </w:r>
            <w:r w:rsidR="00C562E9" w:rsidRPr="00C562E9">
              <w:rPr>
                <w:rFonts w:eastAsia="MS Mincho"/>
              </w:rPr>
              <w:t>medical conditions; a</w:t>
            </w:r>
            <w:r w:rsidRPr="00DD72D7">
              <w:rPr>
                <w:rFonts w:eastAsia="MS Mincho"/>
              </w:rPr>
              <w:t xml:space="preserve"> diagnosis</w:t>
            </w:r>
            <w:r>
              <w:rPr>
                <w:rFonts w:eastAsia="MS Mincho"/>
              </w:rPr>
              <w:t xml:space="preserve"> </w:t>
            </w:r>
            <w:r w:rsidRPr="00DD72D7">
              <w:rPr>
                <w:rFonts w:eastAsia="MS Mincho"/>
              </w:rPr>
              <w:t>of depression</w:t>
            </w:r>
            <w:r w:rsidR="00C562E9" w:rsidRPr="00C562E9">
              <w:rPr>
                <w:rFonts w:eastAsia="MS Mincho"/>
              </w:rPr>
              <w:t xml:space="preserve"> or</w:t>
            </w:r>
            <w:r w:rsidRPr="00DD72D7">
              <w:rPr>
                <w:rFonts w:eastAsia="MS Mincho"/>
              </w:rPr>
              <w:t xml:space="preserve"> treatment with antidepressants in the past year;</w:t>
            </w:r>
            <w:r>
              <w:rPr>
                <w:rFonts w:eastAsia="MS Mincho"/>
              </w:rPr>
              <w:t xml:space="preserve"> </w:t>
            </w:r>
            <w:r w:rsidR="00C562E9" w:rsidRPr="00C562E9">
              <w:rPr>
                <w:rFonts w:eastAsia="MS Mincho"/>
              </w:rPr>
              <w:t>drug or alcohol</w:t>
            </w:r>
            <w:r w:rsidR="00C562E9">
              <w:rPr>
                <w:rFonts w:eastAsia="MS Mincho"/>
              </w:rPr>
              <w:t xml:space="preserve"> </w:t>
            </w:r>
            <w:r w:rsidR="00C562E9" w:rsidRPr="00C562E9">
              <w:rPr>
                <w:rFonts w:eastAsia="MS Mincho"/>
              </w:rPr>
              <w:t xml:space="preserve">abuse (other than nicotine) in the past year; </w:t>
            </w:r>
            <w:r w:rsidRPr="00DD72D7">
              <w:rPr>
                <w:rFonts w:eastAsia="MS Mincho"/>
              </w:rPr>
              <w:t xml:space="preserve">history of psychosis, panic disorder, or bipolar disorder; </w:t>
            </w:r>
            <w:r w:rsidR="00C562E9" w:rsidRPr="00C562E9">
              <w:rPr>
                <w:rFonts w:eastAsia="MS Mincho"/>
              </w:rPr>
              <w:t>and use of a</w:t>
            </w:r>
            <w:r w:rsidRPr="00DD72D7">
              <w:rPr>
                <w:rFonts w:eastAsia="MS Mincho"/>
              </w:rPr>
              <w:t xml:space="preserve"> smoking cessation</w:t>
            </w:r>
            <w:r>
              <w:rPr>
                <w:rFonts w:eastAsia="MS Mincho"/>
              </w:rPr>
              <w:t xml:space="preserve"> </w:t>
            </w:r>
            <w:r w:rsidRPr="00DD72D7">
              <w:rPr>
                <w:rFonts w:eastAsia="MS Mincho"/>
              </w:rPr>
              <w:t>medication in the past month.</w:t>
            </w:r>
          </w:p>
        </w:tc>
        <w:tc>
          <w:tcPr>
            <w:tcW w:w="920" w:type="pct"/>
            <w:shd w:val="clear" w:color="auto" w:fill="D9D9D9" w:themeFill="background1" w:themeFillShade="D9"/>
          </w:tcPr>
          <w:p w14:paraId="5E75595E" w14:textId="13188AC9" w:rsidR="009923F0" w:rsidRDefault="009923F0"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A13509">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 xml:space="preserve">daily for 3 days, </w:t>
            </w:r>
            <w:r w:rsidRPr="00372F18">
              <w:rPr>
                <w:rFonts w:eastAsia="MS Mincho"/>
              </w:rPr>
              <w:lastRenderedPageBreak/>
              <w:t>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14:paraId="515059FD" w14:textId="732E8C12" w:rsidR="00561966" w:rsidRDefault="009923F0" w:rsidP="002916A7">
            <w:pPr>
              <w:pStyle w:val="Tablewriting"/>
              <w:rPr>
                <w:rFonts w:eastAsia="MS Mincho"/>
              </w:rPr>
            </w:pPr>
            <w:r>
              <w:rPr>
                <w:rFonts w:eastAsia="MS Mincho"/>
              </w:rPr>
              <w:t>Placebo: placebo tablet for 12 weeks, same regimen</w:t>
            </w:r>
            <w:r w:rsidR="000F1E7A">
              <w:rPr>
                <w:rFonts w:eastAsia="MS Mincho"/>
              </w:rPr>
              <w:t>.</w:t>
            </w:r>
          </w:p>
          <w:p w14:paraId="17B5FFA6" w14:textId="77777777" w:rsidR="006C0130" w:rsidRDefault="006C0130" w:rsidP="002916A7">
            <w:pPr>
              <w:pStyle w:val="Tablewriting"/>
              <w:rPr>
                <w:rFonts w:eastAsia="MS Mincho"/>
              </w:rPr>
            </w:pPr>
          </w:p>
          <w:p w14:paraId="1112193A" w14:textId="2090DC6E" w:rsidR="006C0130" w:rsidRPr="00A34E7B" w:rsidRDefault="006C0130" w:rsidP="002916A7">
            <w:pPr>
              <w:pStyle w:val="Tablewriting"/>
              <w:rPr>
                <w:rFonts w:eastAsia="MS Mincho"/>
              </w:rPr>
            </w:pPr>
            <w:r w:rsidRPr="006C0130">
              <w:rPr>
                <w:rFonts w:eastAsia="MS Mincho"/>
              </w:rPr>
              <w:t>Behavioural support provided in both arms.</w:t>
            </w:r>
          </w:p>
        </w:tc>
        <w:tc>
          <w:tcPr>
            <w:tcW w:w="1140" w:type="pct"/>
            <w:shd w:val="clear" w:color="auto" w:fill="D9D9D9" w:themeFill="background1" w:themeFillShade="D9"/>
            <w:tcMar>
              <w:left w:w="28" w:type="dxa"/>
              <w:right w:w="28" w:type="dxa"/>
            </w:tcMar>
          </w:tcPr>
          <w:p w14:paraId="26C93588" w14:textId="5B691668" w:rsidR="009923F0" w:rsidRDefault="009923F0" w:rsidP="002916A7">
            <w:pPr>
              <w:pStyle w:val="Tablewriting"/>
              <w:rPr>
                <w:rFonts w:eastAsia="MS Mincho"/>
              </w:rPr>
            </w:pPr>
            <w:r w:rsidRPr="008C39E4">
              <w:rPr>
                <w:rFonts w:eastAsia="MS Mincho"/>
                <w:u w:val="single"/>
              </w:rPr>
              <w:lastRenderedPageBreak/>
              <w:t>Primary</w:t>
            </w:r>
            <w:r>
              <w:rPr>
                <w:rFonts w:eastAsia="MS Mincho"/>
              </w:rPr>
              <w:t xml:space="preserve">: </w:t>
            </w:r>
            <w:r w:rsidR="0033571E">
              <w:rPr>
                <w:rFonts w:eastAsia="MS Mincho"/>
              </w:rPr>
              <w:t>CAR</w:t>
            </w:r>
            <w:r>
              <w:rPr>
                <w:rFonts w:eastAsia="MS Mincho"/>
              </w:rPr>
              <w:t xml:space="preserve"> at </w:t>
            </w:r>
            <w:r w:rsidR="007B7017">
              <w:rPr>
                <w:rFonts w:eastAsia="MS Mincho"/>
              </w:rPr>
              <w:t>w</w:t>
            </w:r>
            <w:r>
              <w:rPr>
                <w:rFonts w:eastAsia="MS Mincho"/>
              </w:rPr>
              <w:t>eek 9-12. Validated by CO</w:t>
            </w:r>
            <w:r w:rsidR="00C8706B">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14:paraId="1017798D" w14:textId="7BA3D9CB" w:rsidR="009923F0" w:rsidRDefault="009923F0" w:rsidP="002916A7">
            <w:pPr>
              <w:pStyle w:val="Tablewriting"/>
              <w:rPr>
                <w:rFonts w:eastAsia="MS Mincho"/>
              </w:rPr>
            </w:pPr>
            <w:r w:rsidRPr="008C39E4">
              <w:rPr>
                <w:rFonts w:eastAsia="MS Mincho"/>
                <w:u w:val="single"/>
              </w:rPr>
              <w:lastRenderedPageBreak/>
              <w:t>Secondary</w:t>
            </w:r>
            <w:r>
              <w:rPr>
                <w:rFonts w:eastAsia="MS Mincho"/>
              </w:rPr>
              <w:t>: C</w:t>
            </w:r>
            <w:r w:rsidR="0033571E">
              <w:rPr>
                <w:rFonts w:eastAsia="MS Mincho"/>
              </w:rPr>
              <w:t>AR</w:t>
            </w:r>
            <w:r>
              <w:rPr>
                <w:rFonts w:eastAsia="MS Mincho"/>
              </w:rPr>
              <w:t xml:space="preserve"> at </w:t>
            </w:r>
            <w:r w:rsidR="007B7017">
              <w:rPr>
                <w:rFonts w:eastAsia="MS Mincho"/>
              </w:rPr>
              <w:t>w</w:t>
            </w:r>
            <w:r>
              <w:rPr>
                <w:rFonts w:eastAsia="MS Mincho"/>
              </w:rPr>
              <w:t xml:space="preserve">eek 9-24 and 9-52. </w:t>
            </w:r>
            <w:r w:rsidRPr="00624207">
              <w:rPr>
                <w:rFonts w:eastAsia="MS Mincho"/>
              </w:rPr>
              <w:t xml:space="preserve">7-day PPA </w:t>
            </w:r>
            <w:r>
              <w:rPr>
                <w:rFonts w:eastAsia="MS Mincho"/>
              </w:rPr>
              <w:t xml:space="preserve">at </w:t>
            </w:r>
            <w:r w:rsidR="007B7017">
              <w:rPr>
                <w:rFonts w:eastAsia="MS Mincho"/>
              </w:rPr>
              <w:t>w</w:t>
            </w:r>
            <w:r>
              <w:rPr>
                <w:rFonts w:eastAsia="MS Mincho"/>
              </w:rPr>
              <w:t>eek 12, 24 and 52.</w:t>
            </w:r>
            <w:r w:rsidR="00C8706B">
              <w:rPr>
                <w:rFonts w:eastAsia="MS Mincho"/>
              </w:rPr>
              <w:t xml:space="preserve"> </w:t>
            </w:r>
            <w:r w:rsidR="00F706B6">
              <w:rPr>
                <w:rFonts w:eastAsia="MS Mincho"/>
              </w:rPr>
              <w:t xml:space="preserve">Validated by CO </w:t>
            </w:r>
            <w:r w:rsidR="00F706B6">
              <w:rPr>
                <w:rFonts w:eastAsia="MS Mincho" w:cstheme="minorHAnsi"/>
              </w:rPr>
              <w:t>≤</w:t>
            </w:r>
            <w:r w:rsidR="00F706B6">
              <w:rPr>
                <w:rFonts w:eastAsia="MS Mincho"/>
              </w:rPr>
              <w:t>10</w:t>
            </w:r>
            <w:r w:rsidR="00083C3E">
              <w:rPr>
                <w:rFonts w:eastAsia="MS Mincho"/>
              </w:rPr>
              <w:t xml:space="preserve"> </w:t>
            </w:r>
            <w:r w:rsidR="00F706B6">
              <w:rPr>
                <w:rFonts w:eastAsia="MS Mincho"/>
              </w:rPr>
              <w:t>ppm.</w:t>
            </w:r>
          </w:p>
          <w:p w14:paraId="7E5E8322" w14:textId="2A35F617" w:rsidR="00561966" w:rsidRPr="00061F78" w:rsidRDefault="009923F0" w:rsidP="002916A7">
            <w:pPr>
              <w:pStyle w:val="Tablewriting"/>
              <w:rPr>
                <w:rFonts w:eastAsia="MS Mincho"/>
              </w:rPr>
            </w:pPr>
            <w:r w:rsidRPr="0055171C">
              <w:rPr>
                <w:rFonts w:eastAsia="MS Mincho"/>
                <w:u w:val="single"/>
              </w:rPr>
              <w:t>Other</w:t>
            </w:r>
            <w:r>
              <w:rPr>
                <w:rFonts w:eastAsia="MS Mincho"/>
              </w:rPr>
              <w:t>: a</w:t>
            </w:r>
            <w:r w:rsidRPr="009923F0">
              <w:rPr>
                <w:rFonts w:eastAsia="MS Mincho"/>
              </w:rPr>
              <w:t xml:space="preserve">dverse events; serious adverse events; </w:t>
            </w:r>
            <w:r w:rsidR="00917F0D" w:rsidRPr="00917F0D">
              <w:rPr>
                <w:rFonts w:eastAsia="MS Mincho"/>
              </w:rPr>
              <w:t>weight change</w:t>
            </w:r>
            <w:r w:rsidR="000F1E7A">
              <w:rPr>
                <w:rFonts w:eastAsia="MS Mincho"/>
              </w:rPr>
              <w:t>.</w:t>
            </w:r>
          </w:p>
        </w:tc>
      </w:tr>
      <w:tr w:rsidR="00260CD7" w:rsidRPr="00061F78" w14:paraId="17843A1F" w14:textId="77777777" w:rsidTr="004D7C8D">
        <w:trPr>
          <w:trHeight w:val="99"/>
        </w:trPr>
        <w:tc>
          <w:tcPr>
            <w:tcW w:w="332" w:type="pct"/>
            <w:shd w:val="clear" w:color="auto" w:fill="D9D9D9" w:themeFill="background1" w:themeFillShade="D9"/>
            <w:tcMar>
              <w:left w:w="28" w:type="dxa"/>
              <w:right w:w="28" w:type="dxa"/>
            </w:tcMar>
          </w:tcPr>
          <w:p w14:paraId="729098B6" w14:textId="77777777" w:rsidR="006647E7" w:rsidRDefault="006647E7" w:rsidP="002916A7">
            <w:pPr>
              <w:pStyle w:val="Tablewriting"/>
              <w:rPr>
                <w:rFonts w:eastAsia="MS Mincho"/>
              </w:rPr>
            </w:pPr>
            <w:r>
              <w:rPr>
                <w:rFonts w:eastAsia="MS Mincho"/>
              </w:rPr>
              <w:lastRenderedPageBreak/>
              <w:t>Rennard</w:t>
            </w:r>
          </w:p>
          <w:p w14:paraId="5C6749F3" w14:textId="62D7DCB6" w:rsidR="00561966" w:rsidRPr="00061F78" w:rsidRDefault="006647E7" w:rsidP="002916A7">
            <w:pPr>
              <w:pStyle w:val="Tablewriting"/>
              <w:rPr>
                <w:rFonts w:eastAsia="MS Mincho"/>
              </w:rPr>
            </w:pPr>
            <w:r>
              <w:rPr>
                <w:rFonts w:eastAsia="MS Mincho"/>
              </w:rPr>
              <w:t>(2012)</w:t>
            </w:r>
          </w:p>
        </w:tc>
        <w:tc>
          <w:tcPr>
            <w:tcW w:w="395" w:type="pct"/>
            <w:shd w:val="clear" w:color="auto" w:fill="D9D9D9" w:themeFill="background1" w:themeFillShade="D9"/>
          </w:tcPr>
          <w:p w14:paraId="018CD509" w14:textId="452F60BE" w:rsidR="00561966" w:rsidRDefault="006647E7"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459F253A" w14:textId="0BEBD993" w:rsidR="006647E7" w:rsidRDefault="006647E7" w:rsidP="002916A7">
            <w:pPr>
              <w:pStyle w:val="Tablewriting"/>
              <w:rPr>
                <w:rFonts w:eastAsia="MS Mincho"/>
              </w:rPr>
            </w:pPr>
            <w:r>
              <w:rPr>
                <w:rFonts w:eastAsia="MS Mincho"/>
              </w:rPr>
              <w:t>N=</w:t>
            </w:r>
            <w:r w:rsidR="00557484">
              <w:rPr>
                <w:rFonts w:eastAsia="MS Mincho"/>
              </w:rPr>
              <w:t>659</w:t>
            </w:r>
          </w:p>
          <w:p w14:paraId="12D56103" w14:textId="42EE9044" w:rsidR="00561966" w:rsidRPr="00061F78" w:rsidRDefault="006647E7" w:rsidP="002916A7">
            <w:pPr>
              <w:pStyle w:val="Tablewriting"/>
              <w:rPr>
                <w:rFonts w:eastAsia="MS Mincho"/>
              </w:rPr>
            </w:pPr>
            <w:r>
              <w:rPr>
                <w:rFonts w:eastAsia="MS Mincho"/>
              </w:rPr>
              <w:t>Varenicline (n=</w:t>
            </w:r>
            <w:r w:rsidR="00FC6DA0">
              <w:rPr>
                <w:rFonts w:eastAsia="MS Mincho"/>
              </w:rPr>
              <w:t>493</w:t>
            </w:r>
            <w:r>
              <w:rPr>
                <w:rFonts w:eastAsia="MS Mincho"/>
              </w:rPr>
              <w:t>), Placebo (n=</w:t>
            </w:r>
            <w:r w:rsidR="00FC6DA0">
              <w:rPr>
                <w:rFonts w:eastAsia="MS Mincho"/>
              </w:rPr>
              <w:t>166</w:t>
            </w:r>
            <w:r>
              <w:rPr>
                <w:rFonts w:eastAsia="MS Mincho"/>
              </w:rPr>
              <w:t>)</w:t>
            </w:r>
          </w:p>
        </w:tc>
        <w:tc>
          <w:tcPr>
            <w:tcW w:w="1866" w:type="pct"/>
            <w:shd w:val="clear" w:color="auto" w:fill="D9D9D9" w:themeFill="background1" w:themeFillShade="D9"/>
            <w:tcMar>
              <w:left w:w="28" w:type="dxa"/>
              <w:right w:w="28" w:type="dxa"/>
            </w:tcMar>
          </w:tcPr>
          <w:p w14:paraId="66345D4A" w14:textId="77469864" w:rsidR="006647E7" w:rsidRDefault="006647E7" w:rsidP="002916A7">
            <w:pPr>
              <w:pStyle w:val="Tablewriting"/>
              <w:rPr>
                <w:rFonts w:eastAsia="MS Mincho"/>
              </w:rPr>
            </w:pPr>
            <w:r w:rsidRPr="007F28D7">
              <w:rPr>
                <w:rFonts w:eastAsia="MS Mincho"/>
                <w:u w:val="single"/>
              </w:rPr>
              <w:t>Inclusion</w:t>
            </w:r>
            <w:r>
              <w:rPr>
                <w:rFonts w:eastAsia="MS Mincho"/>
              </w:rPr>
              <w:t xml:space="preserve">: </w:t>
            </w:r>
            <w:r w:rsidR="00C522B0" w:rsidRPr="00C522B0">
              <w:rPr>
                <w:rFonts w:eastAsia="MS Mincho"/>
              </w:rPr>
              <w:t>18</w:t>
            </w:r>
            <w:r w:rsidR="006841CD">
              <w:rPr>
                <w:rFonts w:eastAsia="MS Mincho"/>
              </w:rPr>
              <w:t>-</w:t>
            </w:r>
            <w:r w:rsidR="00C522B0" w:rsidRPr="00C522B0">
              <w:rPr>
                <w:rFonts w:eastAsia="MS Mincho"/>
              </w:rPr>
              <w:t>75 years</w:t>
            </w:r>
            <w:r w:rsidR="0033571E">
              <w:rPr>
                <w:rFonts w:eastAsia="MS Mincho"/>
              </w:rPr>
              <w:t xml:space="preserve"> old</w:t>
            </w:r>
            <w:r w:rsidR="00C522B0" w:rsidRPr="00C522B0">
              <w:rPr>
                <w:rFonts w:eastAsia="MS Mincho"/>
              </w:rPr>
              <w:t>, ≥10 cigarettes</w:t>
            </w:r>
            <w:r w:rsidR="0033571E">
              <w:rPr>
                <w:rFonts w:eastAsia="MS Mincho"/>
              </w:rPr>
              <w:t xml:space="preserve"> per </w:t>
            </w:r>
            <w:r w:rsidR="00C522B0" w:rsidRPr="00C522B0">
              <w:rPr>
                <w:rFonts w:eastAsia="MS Mincho"/>
              </w:rPr>
              <w:t>day during the previous year with no longer than 3 months abstinence during that time, motivated to stop smoking.</w:t>
            </w:r>
          </w:p>
          <w:p w14:paraId="1EF7600C" w14:textId="676D99BB" w:rsidR="00561966" w:rsidRPr="00061F78" w:rsidRDefault="006647E7" w:rsidP="002916A7">
            <w:pPr>
              <w:pStyle w:val="Tablewriting"/>
              <w:rPr>
                <w:rFonts w:eastAsia="MS Mincho"/>
              </w:rPr>
            </w:pPr>
            <w:r w:rsidRPr="007F28D7">
              <w:rPr>
                <w:rFonts w:eastAsia="MS Mincho"/>
                <w:u w:val="single"/>
              </w:rPr>
              <w:t>Exclusion</w:t>
            </w:r>
            <w:r>
              <w:rPr>
                <w:rFonts w:eastAsia="MS Mincho"/>
              </w:rPr>
              <w:t xml:space="preserve">: </w:t>
            </w:r>
            <w:r w:rsidR="00574C4B" w:rsidRPr="00574C4B">
              <w:rPr>
                <w:rFonts w:eastAsia="MS Mincho"/>
              </w:rPr>
              <w:t>had used</w:t>
            </w:r>
            <w:r w:rsidR="00134606">
              <w:rPr>
                <w:rFonts w:eastAsia="MS Mincho"/>
              </w:rPr>
              <w:t xml:space="preserve"> </w:t>
            </w:r>
            <w:r w:rsidR="00574C4B" w:rsidRPr="00574C4B">
              <w:rPr>
                <w:rFonts w:eastAsia="MS Mincho"/>
              </w:rPr>
              <w:t xml:space="preserve">a </w:t>
            </w:r>
            <w:r w:rsidR="00A716EE">
              <w:rPr>
                <w:rFonts w:eastAsia="MS Mincho"/>
              </w:rPr>
              <w:t>NRT</w:t>
            </w:r>
            <w:r w:rsidR="00574C4B" w:rsidRPr="00574C4B">
              <w:rPr>
                <w:rFonts w:eastAsia="MS Mincho"/>
              </w:rPr>
              <w:t>, bupropion, clonidine, or</w:t>
            </w:r>
            <w:r w:rsidR="00134606">
              <w:rPr>
                <w:rFonts w:eastAsia="MS Mincho"/>
              </w:rPr>
              <w:t xml:space="preserve"> </w:t>
            </w:r>
            <w:r w:rsidR="00574C4B" w:rsidRPr="00574C4B">
              <w:rPr>
                <w:rFonts w:eastAsia="MS Mincho"/>
              </w:rPr>
              <w:t>nortriptyline within the past 3 months or had taken varenicline previously</w:t>
            </w:r>
            <w:r w:rsidR="00A716EE">
              <w:rPr>
                <w:rFonts w:eastAsia="MS Mincho"/>
              </w:rPr>
              <w:t>,</w:t>
            </w:r>
            <w:r w:rsidR="00574C4B" w:rsidRPr="00574C4B">
              <w:rPr>
                <w:rFonts w:eastAsia="MS Mincho"/>
              </w:rPr>
              <w:t xml:space="preserve"> serious or unstable</w:t>
            </w:r>
            <w:r w:rsidR="00134606">
              <w:rPr>
                <w:rFonts w:eastAsia="MS Mincho"/>
              </w:rPr>
              <w:t xml:space="preserve"> </w:t>
            </w:r>
            <w:r w:rsidR="00134606" w:rsidRPr="00134606">
              <w:rPr>
                <w:rFonts w:eastAsia="MS Mincho"/>
              </w:rPr>
              <w:t>psychiatric disorders in the past 6 months or on the basis of medical history</w:t>
            </w:r>
            <w:r w:rsidR="000F7C26">
              <w:rPr>
                <w:rFonts w:eastAsia="MS Mincho"/>
              </w:rPr>
              <w:t>, including</w:t>
            </w:r>
            <w:r w:rsidR="00134606" w:rsidRPr="00134606">
              <w:rPr>
                <w:rFonts w:eastAsia="MS Mincho"/>
              </w:rPr>
              <w:t xml:space="preserve"> current depression or</w:t>
            </w:r>
            <w:r w:rsidR="003C312C">
              <w:rPr>
                <w:rFonts w:eastAsia="MS Mincho"/>
              </w:rPr>
              <w:t xml:space="preserve"> </w:t>
            </w:r>
            <w:r w:rsidR="00134606" w:rsidRPr="00134606">
              <w:rPr>
                <w:rFonts w:eastAsia="MS Mincho"/>
              </w:rPr>
              <w:t xml:space="preserve">depression diagnosed or treated within the past 12 months; any history of suicidal ideation or suicidal </w:t>
            </w:r>
            <w:r w:rsidR="003C312C" w:rsidRPr="00134606">
              <w:rPr>
                <w:rFonts w:eastAsia="MS Mincho"/>
              </w:rPr>
              <w:t>behaviour</w:t>
            </w:r>
            <w:r w:rsidR="00134606" w:rsidRPr="00134606">
              <w:rPr>
                <w:rFonts w:eastAsia="MS Mincho"/>
              </w:rPr>
              <w:t xml:space="preserve"> in the past</w:t>
            </w:r>
            <w:r w:rsidR="003C312C">
              <w:rPr>
                <w:rFonts w:eastAsia="MS Mincho"/>
              </w:rPr>
              <w:t xml:space="preserve"> </w:t>
            </w:r>
            <w:r w:rsidR="00134606" w:rsidRPr="00134606">
              <w:rPr>
                <w:rFonts w:eastAsia="MS Mincho"/>
              </w:rPr>
              <w:t>5 years</w:t>
            </w:r>
            <w:r w:rsidR="00A716EE">
              <w:rPr>
                <w:rFonts w:eastAsia="MS Mincho"/>
              </w:rPr>
              <w:t>,</w:t>
            </w:r>
            <w:r w:rsidR="00134606" w:rsidRPr="00134606">
              <w:rPr>
                <w:rFonts w:eastAsia="MS Mincho"/>
              </w:rPr>
              <w:t xml:space="preserve"> past history o</w:t>
            </w:r>
            <w:r w:rsidR="00A716EE">
              <w:rPr>
                <w:rFonts w:eastAsia="MS Mincho"/>
              </w:rPr>
              <w:t xml:space="preserve">f </w:t>
            </w:r>
            <w:r w:rsidR="00134606" w:rsidRPr="00134606">
              <w:rPr>
                <w:rFonts w:eastAsia="MS Mincho"/>
              </w:rPr>
              <w:t>or present</w:t>
            </w:r>
            <w:r w:rsidR="00A716EE">
              <w:rPr>
                <w:rFonts w:eastAsia="MS Mincho"/>
              </w:rPr>
              <w:t xml:space="preserve"> </w:t>
            </w:r>
            <w:r w:rsidR="00134606" w:rsidRPr="00134606">
              <w:rPr>
                <w:rFonts w:eastAsia="MS Mincho"/>
              </w:rPr>
              <w:t>psychosis, panic attacks, or anxiety disorders</w:t>
            </w:r>
            <w:r w:rsidR="00A716EE">
              <w:rPr>
                <w:rFonts w:eastAsia="MS Mincho"/>
              </w:rPr>
              <w:t>,</w:t>
            </w:r>
            <w:r w:rsidR="00134606" w:rsidRPr="00134606">
              <w:rPr>
                <w:rFonts w:eastAsia="MS Mincho"/>
              </w:rPr>
              <w:t xml:space="preserve"> or bipolar disorder</w:t>
            </w:r>
            <w:r w:rsidR="003C312C">
              <w:rPr>
                <w:rFonts w:eastAsia="MS Mincho"/>
              </w:rPr>
              <w:t xml:space="preserve">; </w:t>
            </w:r>
            <w:r w:rsidR="00134606" w:rsidRPr="00134606">
              <w:rPr>
                <w:rFonts w:eastAsia="MS Mincho"/>
              </w:rPr>
              <w:t>a history of drug (except nicotine) or alcohol abuse/dependence within the past 12 months and those with a positive urine drug screen for drugs of abuse/potential abuse not prescribed for the treatment of a medical condition.</w:t>
            </w:r>
          </w:p>
        </w:tc>
        <w:tc>
          <w:tcPr>
            <w:tcW w:w="920" w:type="pct"/>
            <w:shd w:val="clear" w:color="auto" w:fill="D9D9D9" w:themeFill="background1" w:themeFillShade="D9"/>
          </w:tcPr>
          <w:p w14:paraId="508AA2F7" w14:textId="25D48708" w:rsidR="006647E7" w:rsidRDefault="006647E7"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14:paraId="2664A410" w14:textId="5BC085D3" w:rsidR="00561966" w:rsidRDefault="006647E7" w:rsidP="002916A7">
            <w:pPr>
              <w:pStyle w:val="Tablewriting"/>
              <w:rPr>
                <w:rFonts w:eastAsia="MS Mincho"/>
              </w:rPr>
            </w:pPr>
            <w:r>
              <w:rPr>
                <w:rFonts w:eastAsia="MS Mincho"/>
              </w:rPr>
              <w:t>Placebo: placebo tablet for 12 weeks, same regimen</w:t>
            </w:r>
            <w:r w:rsidR="000F1E7A">
              <w:rPr>
                <w:rFonts w:eastAsia="MS Mincho"/>
              </w:rPr>
              <w:t>.</w:t>
            </w:r>
          </w:p>
          <w:p w14:paraId="7FDDADF3" w14:textId="77777777" w:rsidR="006C0130" w:rsidRDefault="006C0130" w:rsidP="002916A7">
            <w:pPr>
              <w:pStyle w:val="Tablewriting"/>
              <w:rPr>
                <w:rFonts w:eastAsia="MS Mincho"/>
              </w:rPr>
            </w:pPr>
          </w:p>
          <w:p w14:paraId="132C74EE" w14:textId="02E21ADB" w:rsidR="006C0130" w:rsidRPr="00A34E7B" w:rsidRDefault="006C0130" w:rsidP="002916A7">
            <w:pPr>
              <w:pStyle w:val="Tablewriting"/>
              <w:rPr>
                <w:rFonts w:eastAsia="MS Mincho"/>
              </w:rPr>
            </w:pPr>
            <w:r w:rsidRPr="006C0130">
              <w:rPr>
                <w:rFonts w:eastAsia="MS Mincho"/>
              </w:rPr>
              <w:t>Behavioural support provided in both arms.</w:t>
            </w:r>
          </w:p>
        </w:tc>
        <w:tc>
          <w:tcPr>
            <w:tcW w:w="1140" w:type="pct"/>
            <w:shd w:val="clear" w:color="auto" w:fill="D9D9D9" w:themeFill="background1" w:themeFillShade="D9"/>
            <w:tcMar>
              <w:left w:w="28" w:type="dxa"/>
              <w:right w:w="28" w:type="dxa"/>
            </w:tcMar>
          </w:tcPr>
          <w:p w14:paraId="59C30AB8" w14:textId="399A5BCF" w:rsidR="006647E7" w:rsidRDefault="006647E7" w:rsidP="002916A7">
            <w:pPr>
              <w:pStyle w:val="Tablewriting"/>
              <w:rPr>
                <w:rFonts w:eastAsia="MS Mincho"/>
              </w:rPr>
            </w:pPr>
            <w:r w:rsidRPr="008C39E4">
              <w:rPr>
                <w:rFonts w:eastAsia="MS Mincho"/>
                <w:u w:val="single"/>
              </w:rPr>
              <w:t>Primary</w:t>
            </w:r>
            <w:r>
              <w:rPr>
                <w:rFonts w:eastAsia="MS Mincho"/>
              </w:rPr>
              <w:t xml:space="preserve">: </w:t>
            </w:r>
            <w:r w:rsidR="00A716EE">
              <w:rPr>
                <w:rFonts w:eastAsia="MS Mincho"/>
              </w:rPr>
              <w:t>CAR</w:t>
            </w:r>
            <w:r>
              <w:rPr>
                <w:rFonts w:eastAsia="MS Mincho"/>
              </w:rPr>
              <w:t xml:space="preserve"> at </w:t>
            </w:r>
            <w:r w:rsidR="007B7017">
              <w:rPr>
                <w:rFonts w:eastAsia="MS Mincho"/>
              </w:rPr>
              <w:t>w</w:t>
            </w:r>
            <w:r>
              <w:rPr>
                <w:rFonts w:eastAsia="MS Mincho"/>
              </w:rPr>
              <w:t>eek 9-12. Validated by CO</w:t>
            </w:r>
            <w:r w:rsidR="00F706B6">
              <w:rPr>
                <w:rFonts w:eastAsia="MS Mincho"/>
              </w:rPr>
              <w:t xml:space="preserve"> </w:t>
            </w:r>
            <w:r>
              <w:rPr>
                <w:rFonts w:eastAsia="MS Mincho" w:cstheme="minorHAnsi"/>
              </w:rPr>
              <w:t>≤</w:t>
            </w:r>
            <w:r>
              <w:rPr>
                <w:rFonts w:eastAsia="MS Mincho"/>
              </w:rPr>
              <w:t>10</w:t>
            </w:r>
            <w:r w:rsidR="00083C3E">
              <w:rPr>
                <w:rFonts w:eastAsia="MS Mincho"/>
              </w:rPr>
              <w:t xml:space="preserve"> </w:t>
            </w:r>
            <w:r>
              <w:rPr>
                <w:rFonts w:eastAsia="MS Mincho"/>
              </w:rPr>
              <w:t>ppm.</w:t>
            </w:r>
          </w:p>
          <w:p w14:paraId="2A7F14FA" w14:textId="6B168B83" w:rsidR="006647E7" w:rsidRDefault="006647E7" w:rsidP="002916A7">
            <w:pPr>
              <w:pStyle w:val="Tablewriting"/>
              <w:rPr>
                <w:rFonts w:eastAsia="MS Mincho"/>
              </w:rPr>
            </w:pPr>
            <w:r w:rsidRPr="008C39E4">
              <w:rPr>
                <w:rFonts w:eastAsia="MS Mincho"/>
                <w:u w:val="single"/>
              </w:rPr>
              <w:t>Secondary</w:t>
            </w:r>
            <w:r>
              <w:rPr>
                <w:rFonts w:eastAsia="MS Mincho"/>
              </w:rPr>
              <w:t>: C</w:t>
            </w:r>
            <w:r w:rsidR="00A716EE">
              <w:rPr>
                <w:rFonts w:eastAsia="MS Mincho"/>
              </w:rPr>
              <w:t>AR</w:t>
            </w:r>
            <w:r>
              <w:rPr>
                <w:rFonts w:eastAsia="MS Mincho"/>
              </w:rPr>
              <w:t xml:space="preserve"> at </w:t>
            </w:r>
            <w:r w:rsidR="007B7017">
              <w:rPr>
                <w:rFonts w:eastAsia="MS Mincho"/>
              </w:rPr>
              <w:t>w</w:t>
            </w:r>
            <w:r>
              <w:rPr>
                <w:rFonts w:eastAsia="MS Mincho"/>
              </w:rPr>
              <w:t xml:space="preserve">eek 9-24. </w:t>
            </w:r>
            <w:r w:rsidRPr="00624207">
              <w:rPr>
                <w:rFonts w:eastAsia="MS Mincho"/>
              </w:rPr>
              <w:t xml:space="preserve">7-day PPA </w:t>
            </w:r>
            <w:r>
              <w:rPr>
                <w:rFonts w:eastAsia="MS Mincho"/>
              </w:rPr>
              <w:t xml:space="preserve">at </w:t>
            </w:r>
            <w:r w:rsidR="007B7017">
              <w:rPr>
                <w:rFonts w:eastAsia="MS Mincho"/>
              </w:rPr>
              <w:t>w</w:t>
            </w:r>
            <w:r>
              <w:rPr>
                <w:rFonts w:eastAsia="MS Mincho"/>
              </w:rPr>
              <w:t>eek 12 and 24.</w:t>
            </w:r>
            <w:r w:rsidR="00B8052B">
              <w:rPr>
                <w:rFonts w:eastAsia="MS Mincho"/>
              </w:rPr>
              <w:t xml:space="preserve"> Validated by CO </w:t>
            </w:r>
            <w:r w:rsidR="00B8052B">
              <w:rPr>
                <w:rFonts w:eastAsia="MS Mincho" w:cstheme="minorHAnsi"/>
              </w:rPr>
              <w:t>≤</w:t>
            </w:r>
            <w:r w:rsidR="00B8052B">
              <w:rPr>
                <w:rFonts w:eastAsia="MS Mincho"/>
              </w:rPr>
              <w:t>10</w:t>
            </w:r>
            <w:r w:rsidR="00083C3E">
              <w:rPr>
                <w:rFonts w:eastAsia="MS Mincho"/>
              </w:rPr>
              <w:t xml:space="preserve"> </w:t>
            </w:r>
            <w:r w:rsidR="00B8052B">
              <w:rPr>
                <w:rFonts w:eastAsia="MS Mincho"/>
              </w:rPr>
              <w:t>ppm.</w:t>
            </w:r>
          </w:p>
          <w:p w14:paraId="2B8E9203" w14:textId="03DAD017" w:rsidR="00561966" w:rsidRPr="00061F78" w:rsidRDefault="006647E7" w:rsidP="002916A7">
            <w:pPr>
              <w:pStyle w:val="Tablewriting"/>
              <w:rPr>
                <w:rFonts w:eastAsia="MS Mincho"/>
              </w:rPr>
            </w:pPr>
            <w:r w:rsidRPr="0055171C">
              <w:rPr>
                <w:rFonts w:eastAsia="MS Mincho"/>
                <w:u w:val="single"/>
              </w:rPr>
              <w:t>Other</w:t>
            </w:r>
            <w:r>
              <w:rPr>
                <w:rFonts w:eastAsia="MS Mincho"/>
              </w:rPr>
              <w:t xml:space="preserve">: </w:t>
            </w:r>
            <w:r w:rsidR="00B83AC1">
              <w:rPr>
                <w:rFonts w:eastAsia="MS Mincho"/>
              </w:rPr>
              <w:t>a</w:t>
            </w:r>
            <w:r w:rsidR="00B83AC1" w:rsidRPr="00B83AC1">
              <w:rPr>
                <w:rFonts w:eastAsia="MS Mincho"/>
              </w:rPr>
              <w:t xml:space="preserve">dverse events, </w:t>
            </w:r>
            <w:r w:rsidR="008E0A8D">
              <w:rPr>
                <w:rFonts w:eastAsia="MS Mincho"/>
              </w:rPr>
              <w:t>serious adverse event</w:t>
            </w:r>
            <w:r w:rsidR="00B83AC1" w:rsidRPr="00B83AC1">
              <w:rPr>
                <w:rFonts w:eastAsia="MS Mincho"/>
              </w:rPr>
              <w:t>s; timing and number of quit attempts</w:t>
            </w:r>
            <w:r w:rsidR="000F1E7A">
              <w:rPr>
                <w:rFonts w:eastAsia="MS Mincho"/>
              </w:rPr>
              <w:t>.</w:t>
            </w:r>
          </w:p>
        </w:tc>
      </w:tr>
      <w:tr w:rsidR="00260CD7" w:rsidRPr="00061F78" w14:paraId="39E3F3AE" w14:textId="77777777" w:rsidTr="004D7C8D">
        <w:trPr>
          <w:trHeight w:val="99"/>
        </w:trPr>
        <w:tc>
          <w:tcPr>
            <w:tcW w:w="332" w:type="pct"/>
            <w:shd w:val="clear" w:color="auto" w:fill="D9D9D9" w:themeFill="background1" w:themeFillShade="D9"/>
            <w:tcMar>
              <w:left w:w="28" w:type="dxa"/>
              <w:right w:w="28" w:type="dxa"/>
            </w:tcMar>
          </w:tcPr>
          <w:p w14:paraId="46B67BDC" w14:textId="0E3B1AA5" w:rsidR="00561966" w:rsidRPr="00061F78" w:rsidRDefault="00B83AC1" w:rsidP="002916A7">
            <w:pPr>
              <w:pStyle w:val="Tablewriting"/>
              <w:rPr>
                <w:rFonts w:eastAsia="MS Mincho"/>
              </w:rPr>
            </w:pPr>
            <w:r w:rsidRPr="00B83AC1">
              <w:rPr>
                <w:rFonts w:eastAsia="MS Mincho"/>
              </w:rPr>
              <w:t>Anthenelli (EAGLES, 2016)</w:t>
            </w:r>
          </w:p>
        </w:tc>
        <w:tc>
          <w:tcPr>
            <w:tcW w:w="395" w:type="pct"/>
            <w:shd w:val="clear" w:color="auto" w:fill="D9D9D9" w:themeFill="background1" w:themeFillShade="D9"/>
          </w:tcPr>
          <w:p w14:paraId="61BA78C8" w14:textId="5FA344B4" w:rsidR="00561966" w:rsidRDefault="00B83AC1" w:rsidP="002916A7">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158F93AC" w14:textId="4798F511" w:rsidR="00B83AC1" w:rsidRDefault="00B83AC1" w:rsidP="002916A7">
            <w:pPr>
              <w:pStyle w:val="Tablewriting"/>
              <w:rPr>
                <w:rFonts w:eastAsia="MS Mincho"/>
              </w:rPr>
            </w:pPr>
            <w:r>
              <w:rPr>
                <w:rFonts w:eastAsia="MS Mincho"/>
              </w:rPr>
              <w:t>N=</w:t>
            </w:r>
            <w:r w:rsidR="003D57F1">
              <w:rPr>
                <w:rFonts w:eastAsia="MS Mincho"/>
              </w:rPr>
              <w:t>8,144</w:t>
            </w:r>
          </w:p>
          <w:p w14:paraId="49B86852" w14:textId="0C23CED0" w:rsidR="00561966" w:rsidRPr="00061F78" w:rsidRDefault="00B83AC1" w:rsidP="002916A7">
            <w:pPr>
              <w:pStyle w:val="Tablewriting"/>
              <w:rPr>
                <w:rFonts w:eastAsia="MS Mincho"/>
              </w:rPr>
            </w:pPr>
            <w:r>
              <w:rPr>
                <w:rFonts w:eastAsia="MS Mincho"/>
              </w:rPr>
              <w:t>Varenicline (n=</w:t>
            </w:r>
            <w:r w:rsidR="002525A1">
              <w:rPr>
                <w:rFonts w:eastAsia="MS Mincho"/>
              </w:rPr>
              <w:t>2,037</w:t>
            </w:r>
            <w:r>
              <w:rPr>
                <w:rFonts w:eastAsia="MS Mincho"/>
              </w:rPr>
              <w:t>), Placebo (n=</w:t>
            </w:r>
            <w:r w:rsidR="002525A1">
              <w:rPr>
                <w:rFonts w:eastAsia="MS Mincho"/>
              </w:rPr>
              <w:t>2,035</w:t>
            </w:r>
            <w:r>
              <w:rPr>
                <w:rFonts w:eastAsia="MS Mincho"/>
              </w:rPr>
              <w:t>)</w:t>
            </w:r>
          </w:p>
        </w:tc>
        <w:tc>
          <w:tcPr>
            <w:tcW w:w="1866" w:type="pct"/>
            <w:shd w:val="clear" w:color="auto" w:fill="D9D9D9" w:themeFill="background1" w:themeFillShade="D9"/>
            <w:tcMar>
              <w:left w:w="28" w:type="dxa"/>
              <w:right w:w="28" w:type="dxa"/>
            </w:tcMar>
          </w:tcPr>
          <w:p w14:paraId="4809F30C" w14:textId="1A977DA6" w:rsidR="00B83AC1" w:rsidRDefault="00B83AC1"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sidR="00793A6C" w:rsidRPr="00793A6C">
              <w:rPr>
                <w:rFonts w:eastAsia="MS Mincho"/>
              </w:rPr>
              <w:t>–</w:t>
            </w:r>
            <w:r w:rsidRPr="00C522B0">
              <w:rPr>
                <w:rFonts w:eastAsia="MS Mincho"/>
              </w:rPr>
              <w:t>75 years</w:t>
            </w:r>
            <w:r w:rsidR="00A716EE">
              <w:rPr>
                <w:rFonts w:eastAsia="MS Mincho"/>
              </w:rPr>
              <w:t xml:space="preserve"> old</w:t>
            </w:r>
            <w:r w:rsidRPr="00C522B0">
              <w:rPr>
                <w:rFonts w:eastAsia="MS Mincho"/>
              </w:rPr>
              <w:t xml:space="preserve">, </w:t>
            </w:r>
            <w:r w:rsidR="00793A6C" w:rsidRPr="00793A6C">
              <w:rPr>
                <w:rFonts w:eastAsia="MS Mincho"/>
              </w:rPr>
              <w:t>with and without prespecified psychiatric diagnoses per</w:t>
            </w:r>
            <w:r w:rsidR="00793A6C">
              <w:rPr>
                <w:rFonts w:eastAsia="MS Mincho"/>
              </w:rPr>
              <w:t xml:space="preserve"> </w:t>
            </w:r>
            <w:r w:rsidR="00793A6C" w:rsidRPr="00793A6C">
              <w:rPr>
                <w:rFonts w:eastAsia="MS Mincho"/>
              </w:rPr>
              <w:t>the DSM-IV-TR</w:t>
            </w:r>
            <w:r w:rsidR="00793A6C">
              <w:rPr>
                <w:rFonts w:eastAsia="MS Mincho"/>
              </w:rPr>
              <w:t xml:space="preserve">, </w:t>
            </w:r>
            <w:r>
              <w:rPr>
                <w:rFonts w:eastAsia="MS Mincho" w:cstheme="minorHAnsi"/>
              </w:rPr>
              <w:t>≥</w:t>
            </w:r>
            <w:r w:rsidRPr="00C522B0">
              <w:rPr>
                <w:rFonts w:eastAsia="MS Mincho"/>
              </w:rPr>
              <w:t>10 cigarettes</w:t>
            </w:r>
            <w:r w:rsidR="00793A6C" w:rsidRPr="00793A6C">
              <w:rPr>
                <w:rFonts w:eastAsia="MS Mincho"/>
              </w:rPr>
              <w:t xml:space="preserve"> per </w:t>
            </w:r>
            <w:r w:rsidRPr="00C522B0">
              <w:rPr>
                <w:rFonts w:eastAsia="MS Mincho"/>
              </w:rPr>
              <w:t>day during the previous year</w:t>
            </w:r>
            <w:r w:rsidR="00793A6C" w:rsidRPr="00793A6C">
              <w:rPr>
                <w:rFonts w:eastAsia="MS Mincho"/>
              </w:rPr>
              <w:t xml:space="preserve">, exhaled </w:t>
            </w:r>
            <w:r w:rsidR="005C4E34">
              <w:rPr>
                <w:rFonts w:eastAsia="MS Mincho"/>
              </w:rPr>
              <w:t>CO</w:t>
            </w:r>
            <w:r w:rsidR="00793A6C" w:rsidRPr="00793A6C">
              <w:rPr>
                <w:rFonts w:eastAsia="MS Mincho"/>
              </w:rPr>
              <w:t xml:space="preserve"> concentration </w:t>
            </w:r>
            <w:r w:rsidR="005C4E34">
              <w:rPr>
                <w:rFonts w:eastAsia="MS Mincho"/>
              </w:rPr>
              <w:t>&gt;</w:t>
            </w:r>
            <w:r w:rsidR="00793A6C" w:rsidRPr="00793A6C">
              <w:rPr>
                <w:rFonts w:eastAsia="MS Mincho"/>
              </w:rPr>
              <w:t>10ppm</w:t>
            </w:r>
            <w:r w:rsidRPr="00C522B0">
              <w:rPr>
                <w:rFonts w:eastAsia="MS Mincho"/>
              </w:rPr>
              <w:t>, motivated to stop smoking.</w:t>
            </w:r>
          </w:p>
          <w:p w14:paraId="4286FF8F" w14:textId="60BF5F00" w:rsidR="00561966" w:rsidRPr="00061F78" w:rsidRDefault="00B83AC1" w:rsidP="002916A7">
            <w:pPr>
              <w:pStyle w:val="Tablewriting"/>
              <w:rPr>
                <w:rFonts w:eastAsia="MS Mincho"/>
              </w:rPr>
            </w:pPr>
            <w:r w:rsidRPr="007F28D7">
              <w:rPr>
                <w:rFonts w:eastAsia="MS Mincho"/>
                <w:u w:val="single"/>
              </w:rPr>
              <w:t>Exclusion</w:t>
            </w:r>
            <w:r>
              <w:rPr>
                <w:rFonts w:eastAsia="MS Mincho"/>
              </w:rPr>
              <w:t xml:space="preserve">: </w:t>
            </w:r>
            <w:r w:rsidR="00013181">
              <w:rPr>
                <w:rFonts w:eastAsia="MS Mincho"/>
              </w:rPr>
              <w:t>p</w:t>
            </w:r>
            <w:r w:rsidR="00013181" w:rsidRPr="00013181">
              <w:rPr>
                <w:rFonts w:eastAsia="MS Mincho"/>
              </w:rPr>
              <w:t>ast or current diagnosis of schizophreniform or delusional disorders, all delirium, dementia,</w:t>
            </w:r>
            <w:r w:rsidR="00AA69E9">
              <w:rPr>
                <w:rFonts w:eastAsia="MS Mincho"/>
              </w:rPr>
              <w:t xml:space="preserve"> </w:t>
            </w:r>
            <w:r w:rsidR="00013181" w:rsidRPr="00013181">
              <w:rPr>
                <w:rFonts w:eastAsia="MS Mincho"/>
              </w:rPr>
              <w:t xml:space="preserve">and other </w:t>
            </w:r>
            <w:r w:rsidR="00013181" w:rsidRPr="00013181">
              <w:rPr>
                <w:rFonts w:eastAsia="MS Mincho"/>
              </w:rPr>
              <w:lastRenderedPageBreak/>
              <w:t>cognitive disorders, and all substance-induced disorders (other than nicotine)</w:t>
            </w:r>
            <w:r w:rsidR="00AA69E9">
              <w:rPr>
                <w:rFonts w:eastAsia="MS Mincho"/>
              </w:rPr>
              <w:t>.</w:t>
            </w:r>
          </w:p>
        </w:tc>
        <w:tc>
          <w:tcPr>
            <w:tcW w:w="920" w:type="pct"/>
            <w:shd w:val="clear" w:color="auto" w:fill="D9D9D9" w:themeFill="background1" w:themeFillShade="D9"/>
          </w:tcPr>
          <w:p w14:paraId="53161A1E" w14:textId="34382198" w:rsidR="00B83AC1" w:rsidRDefault="00B83AC1"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sidR="00083C3E">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083C3E">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083C3E">
              <w:rPr>
                <w:rFonts w:eastAsia="MS Mincho"/>
              </w:rPr>
              <w:t xml:space="preserve"> </w:t>
            </w:r>
            <w:r w:rsidRPr="00372F18">
              <w:rPr>
                <w:rFonts w:eastAsia="MS Mincho"/>
              </w:rPr>
              <w:t>mg twice daily for 4 days, then 1</w:t>
            </w:r>
            <w:r w:rsidR="00083C3E">
              <w:rPr>
                <w:rFonts w:eastAsia="MS Mincho"/>
              </w:rPr>
              <w:t xml:space="preserve"> </w:t>
            </w:r>
            <w:r w:rsidRPr="00372F18">
              <w:rPr>
                <w:rFonts w:eastAsia="MS Mincho"/>
              </w:rPr>
              <w:t>mg twice daily)</w:t>
            </w:r>
            <w:r w:rsidR="004657DA">
              <w:rPr>
                <w:rFonts w:eastAsia="MS Mincho"/>
              </w:rPr>
              <w:t>;</w:t>
            </w:r>
          </w:p>
          <w:p w14:paraId="5309C0BA" w14:textId="7C6DAD10" w:rsidR="00561966" w:rsidRDefault="00B83AC1" w:rsidP="002916A7">
            <w:pPr>
              <w:pStyle w:val="Tablewriting"/>
              <w:rPr>
                <w:rFonts w:eastAsia="MS Mincho"/>
              </w:rPr>
            </w:pPr>
            <w:r>
              <w:rPr>
                <w:rFonts w:eastAsia="MS Mincho"/>
              </w:rPr>
              <w:t>Placebo: placebo tablet for 12 weeks, same regimen</w:t>
            </w:r>
            <w:r w:rsidR="000F1E7A">
              <w:rPr>
                <w:rFonts w:eastAsia="MS Mincho"/>
              </w:rPr>
              <w:t>.</w:t>
            </w:r>
          </w:p>
          <w:p w14:paraId="2C7763C8" w14:textId="77777777" w:rsidR="00C115B1" w:rsidRDefault="00C115B1" w:rsidP="002916A7">
            <w:pPr>
              <w:pStyle w:val="Tablewriting"/>
              <w:rPr>
                <w:rFonts w:eastAsia="MS Mincho"/>
              </w:rPr>
            </w:pPr>
          </w:p>
          <w:p w14:paraId="5006EEC2" w14:textId="74A9A70A" w:rsidR="00C115B1" w:rsidRPr="00A34E7B" w:rsidRDefault="00C115B1" w:rsidP="002916A7">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14:paraId="79D2C6A5" w14:textId="16952D2F" w:rsidR="00B83AC1" w:rsidRDefault="00B83AC1" w:rsidP="002916A7">
            <w:pPr>
              <w:pStyle w:val="Tablewriting"/>
              <w:rPr>
                <w:rFonts w:eastAsia="MS Mincho"/>
              </w:rPr>
            </w:pPr>
            <w:r w:rsidRPr="008C39E4">
              <w:rPr>
                <w:rFonts w:eastAsia="MS Mincho"/>
                <w:u w:val="single"/>
              </w:rPr>
              <w:lastRenderedPageBreak/>
              <w:t>Primary</w:t>
            </w:r>
            <w:r>
              <w:rPr>
                <w:rFonts w:eastAsia="MS Mincho"/>
              </w:rPr>
              <w:t xml:space="preserve">: </w:t>
            </w:r>
            <w:r w:rsidR="00B44807">
              <w:rPr>
                <w:rFonts w:eastAsia="MS Mincho"/>
              </w:rPr>
              <w:t xml:space="preserve">safety including </w:t>
            </w:r>
            <w:r w:rsidR="00C1753E">
              <w:rPr>
                <w:rFonts w:eastAsia="MS Mincho"/>
              </w:rPr>
              <w:t>adverse events</w:t>
            </w:r>
            <w:r w:rsidR="000F1E7A">
              <w:rPr>
                <w:rFonts w:eastAsia="MS Mincho"/>
              </w:rPr>
              <w:t>.</w:t>
            </w:r>
          </w:p>
          <w:p w14:paraId="7536E6EF" w14:textId="1CD75131" w:rsidR="00EF3594" w:rsidRDefault="00C1753E" w:rsidP="002916A7">
            <w:pPr>
              <w:pStyle w:val="Tablewriting"/>
              <w:rPr>
                <w:rFonts w:eastAsia="MS Mincho"/>
              </w:rPr>
            </w:pPr>
            <w:r w:rsidRPr="00C1753E">
              <w:rPr>
                <w:rFonts w:eastAsia="MS Mincho"/>
                <w:u w:val="single"/>
              </w:rPr>
              <w:t>Primary efficacy</w:t>
            </w:r>
            <w:r>
              <w:rPr>
                <w:rFonts w:eastAsia="MS Mincho"/>
              </w:rPr>
              <w:t>:</w:t>
            </w:r>
            <w:r>
              <w:t xml:space="preserve"> </w:t>
            </w:r>
            <w:r w:rsidR="00D6198D">
              <w:rPr>
                <w:rFonts w:eastAsia="MS Mincho"/>
              </w:rPr>
              <w:t>CAR</w:t>
            </w:r>
            <w:r w:rsidRPr="00C1753E">
              <w:rPr>
                <w:rFonts w:eastAsia="MS Mincho"/>
              </w:rPr>
              <w:t xml:space="preserve"> at </w:t>
            </w:r>
            <w:r w:rsidR="007B7017">
              <w:rPr>
                <w:rFonts w:eastAsia="MS Mincho"/>
              </w:rPr>
              <w:t>w</w:t>
            </w:r>
            <w:r w:rsidRPr="00C1753E">
              <w:rPr>
                <w:rFonts w:eastAsia="MS Mincho"/>
              </w:rPr>
              <w:t>eek 9-12. Validated by CO</w:t>
            </w:r>
            <w:r w:rsidR="00796FCE">
              <w:rPr>
                <w:rFonts w:eastAsia="MS Mincho"/>
              </w:rPr>
              <w:t xml:space="preserve"> </w:t>
            </w:r>
            <w:r w:rsidRPr="00C1753E">
              <w:rPr>
                <w:rFonts w:eastAsia="MS Mincho"/>
              </w:rPr>
              <w:t>≤10</w:t>
            </w:r>
            <w:r w:rsidR="00796FCE">
              <w:rPr>
                <w:rFonts w:eastAsia="MS Mincho"/>
              </w:rPr>
              <w:t xml:space="preserve"> </w:t>
            </w:r>
            <w:r w:rsidRPr="00C1753E">
              <w:rPr>
                <w:rFonts w:eastAsia="MS Mincho"/>
              </w:rPr>
              <w:t>ppm.</w:t>
            </w:r>
            <w:r>
              <w:rPr>
                <w:rFonts w:eastAsia="MS Mincho"/>
              </w:rPr>
              <w:t xml:space="preserve"> </w:t>
            </w:r>
          </w:p>
          <w:p w14:paraId="35027234" w14:textId="597562A7" w:rsidR="00561966" w:rsidRPr="00061F78" w:rsidRDefault="00EF3594" w:rsidP="002916A7">
            <w:pPr>
              <w:pStyle w:val="Tablewriting"/>
              <w:rPr>
                <w:rFonts w:eastAsia="MS Mincho"/>
              </w:rPr>
            </w:pPr>
            <w:r w:rsidRPr="00EF3594">
              <w:rPr>
                <w:rFonts w:eastAsia="MS Mincho"/>
                <w:u w:val="single"/>
              </w:rPr>
              <w:t>Secondary efficacy</w:t>
            </w:r>
            <w:r>
              <w:rPr>
                <w:rFonts w:eastAsia="MS Mincho"/>
              </w:rPr>
              <w:t xml:space="preserve">: </w:t>
            </w:r>
            <w:r w:rsidR="00D6198D">
              <w:rPr>
                <w:rFonts w:eastAsia="MS Mincho"/>
              </w:rPr>
              <w:t>CAR</w:t>
            </w:r>
            <w:r w:rsidR="00B83AC1">
              <w:rPr>
                <w:rFonts w:eastAsia="MS Mincho"/>
              </w:rPr>
              <w:t xml:space="preserve"> at </w:t>
            </w:r>
            <w:r w:rsidR="007B7017">
              <w:rPr>
                <w:rFonts w:eastAsia="MS Mincho"/>
              </w:rPr>
              <w:t>w</w:t>
            </w:r>
            <w:r w:rsidR="00B83AC1">
              <w:rPr>
                <w:rFonts w:eastAsia="MS Mincho"/>
              </w:rPr>
              <w:t xml:space="preserve">eek 9-24. </w:t>
            </w:r>
            <w:r w:rsidR="00B83AC1" w:rsidRPr="00624207">
              <w:rPr>
                <w:rFonts w:eastAsia="MS Mincho"/>
              </w:rPr>
              <w:t xml:space="preserve">7-day PPA </w:t>
            </w:r>
            <w:r w:rsidR="00B83AC1">
              <w:rPr>
                <w:rFonts w:eastAsia="MS Mincho"/>
              </w:rPr>
              <w:t xml:space="preserve">at </w:t>
            </w:r>
            <w:r w:rsidR="00636B56">
              <w:rPr>
                <w:rFonts w:eastAsia="MS Mincho"/>
              </w:rPr>
              <w:t>all visits</w:t>
            </w:r>
            <w:r w:rsidR="00B83AC1">
              <w:rPr>
                <w:rFonts w:eastAsia="MS Mincho"/>
              </w:rPr>
              <w:t>.</w:t>
            </w:r>
            <w:r w:rsidR="00B8052B">
              <w:rPr>
                <w:rFonts w:eastAsia="MS Mincho"/>
              </w:rPr>
              <w:t xml:space="preserve"> Validated by CO </w:t>
            </w:r>
            <w:r w:rsidR="00B8052B">
              <w:rPr>
                <w:rFonts w:eastAsia="MS Mincho" w:cstheme="minorHAnsi"/>
              </w:rPr>
              <w:t>≤</w:t>
            </w:r>
            <w:r w:rsidR="00B8052B">
              <w:rPr>
                <w:rFonts w:eastAsia="MS Mincho"/>
              </w:rPr>
              <w:t>10</w:t>
            </w:r>
            <w:r w:rsidR="00D570DB">
              <w:rPr>
                <w:rFonts w:eastAsia="MS Mincho"/>
              </w:rPr>
              <w:t xml:space="preserve"> </w:t>
            </w:r>
            <w:r w:rsidR="00B8052B">
              <w:rPr>
                <w:rFonts w:eastAsia="MS Mincho"/>
              </w:rPr>
              <w:t>ppm.</w:t>
            </w:r>
          </w:p>
        </w:tc>
      </w:tr>
      <w:tr w:rsidR="00260CD7" w:rsidRPr="00061F78" w14:paraId="04D70A13" w14:textId="77777777" w:rsidTr="004D7C8D">
        <w:trPr>
          <w:trHeight w:val="149"/>
        </w:trPr>
        <w:tc>
          <w:tcPr>
            <w:tcW w:w="332" w:type="pct"/>
            <w:tcMar>
              <w:left w:w="28" w:type="dxa"/>
              <w:right w:w="28" w:type="dxa"/>
            </w:tcMar>
          </w:tcPr>
          <w:p w14:paraId="4D92F3EE" w14:textId="77777777" w:rsidR="001262BD" w:rsidRDefault="004F1864" w:rsidP="002916A7">
            <w:pPr>
              <w:pStyle w:val="Tablewriting"/>
              <w:rPr>
                <w:rFonts w:eastAsia="MS Mincho"/>
              </w:rPr>
            </w:pPr>
            <w:r>
              <w:rPr>
                <w:rFonts w:eastAsia="MS Mincho"/>
              </w:rPr>
              <w:t>Cahill</w:t>
            </w:r>
          </w:p>
          <w:p w14:paraId="5EE2F6CB" w14:textId="0C79EE55" w:rsidR="004F1864" w:rsidRPr="004F1864" w:rsidRDefault="004F1864" w:rsidP="002916A7">
            <w:pPr>
              <w:pStyle w:val="Tablewriting"/>
              <w:rPr>
                <w:rFonts w:eastAsia="MS Mincho"/>
              </w:rPr>
            </w:pPr>
            <w:r>
              <w:rPr>
                <w:rFonts w:eastAsia="MS Mincho"/>
              </w:rPr>
              <w:t>(2016)</w:t>
            </w:r>
          </w:p>
        </w:tc>
        <w:tc>
          <w:tcPr>
            <w:tcW w:w="395" w:type="pct"/>
          </w:tcPr>
          <w:p w14:paraId="5112EA6B" w14:textId="5A633529" w:rsidR="001262BD" w:rsidRDefault="001262BD" w:rsidP="002916A7">
            <w:pPr>
              <w:pStyle w:val="Tablewriting"/>
              <w:rPr>
                <w:rFonts w:eastAsia="MS Mincho"/>
              </w:rPr>
            </w:pPr>
            <w:r>
              <w:rPr>
                <w:rFonts w:eastAsia="MS Mincho"/>
              </w:rPr>
              <w:t xml:space="preserve">Cochrane </w:t>
            </w:r>
            <w:r w:rsidR="004C4EA7">
              <w:rPr>
                <w:rFonts w:eastAsia="MS Mincho"/>
              </w:rPr>
              <w:t>review (</w:t>
            </w:r>
            <w:r w:rsidR="003F7617">
              <w:rPr>
                <w:rFonts w:eastAsia="MS Mincho"/>
              </w:rPr>
              <w:t>34</w:t>
            </w:r>
            <w:r>
              <w:rPr>
                <w:rFonts w:eastAsia="MS Mincho"/>
              </w:rPr>
              <w:t xml:space="preserve"> RCTs</w:t>
            </w:r>
            <w:r w:rsidR="004A08A6">
              <w:rPr>
                <w:rFonts w:eastAsia="MS Mincho"/>
                <w:vertAlign w:val="superscript"/>
              </w:rPr>
              <w:t>3</w:t>
            </w:r>
            <w:r>
              <w:rPr>
                <w:rFonts w:eastAsia="MS Mincho"/>
              </w:rPr>
              <w:t>)</w:t>
            </w:r>
          </w:p>
          <w:p w14:paraId="4422C59A" w14:textId="30B95587" w:rsidR="001262BD" w:rsidRDefault="001262BD" w:rsidP="002916A7">
            <w:pPr>
              <w:pStyle w:val="Tablewriting"/>
              <w:rPr>
                <w:rFonts w:eastAsia="MS Mincho"/>
              </w:rPr>
            </w:pPr>
          </w:p>
        </w:tc>
        <w:tc>
          <w:tcPr>
            <w:tcW w:w="347" w:type="pct"/>
            <w:tcMar>
              <w:left w:w="28" w:type="dxa"/>
              <w:right w:w="28" w:type="dxa"/>
            </w:tcMar>
          </w:tcPr>
          <w:p w14:paraId="4679D88F" w14:textId="147DD01A" w:rsidR="003F7617" w:rsidRPr="00FA50F9" w:rsidRDefault="00FA50F9" w:rsidP="002916A7">
            <w:pPr>
              <w:pStyle w:val="Tablewriting"/>
              <w:rPr>
                <w:rFonts w:eastAsia="MS Mincho"/>
                <w:u w:val="single"/>
              </w:rPr>
            </w:pPr>
            <w:r w:rsidRPr="00FA50F9">
              <w:rPr>
                <w:rFonts w:eastAsia="MS Mincho"/>
                <w:u w:val="single"/>
              </w:rPr>
              <w:t>Efficacy</w:t>
            </w:r>
            <w:r w:rsidR="00CD35DE">
              <w:rPr>
                <w:rFonts w:eastAsia="MS Mincho"/>
                <w:u w:val="single"/>
              </w:rPr>
              <w:t xml:space="preserve"> (27 RCTs)</w:t>
            </w:r>
          </w:p>
          <w:p w14:paraId="05038874" w14:textId="7D9133B6" w:rsidR="001262BD" w:rsidRDefault="001262BD" w:rsidP="002916A7">
            <w:pPr>
              <w:pStyle w:val="Tablewriting"/>
              <w:rPr>
                <w:rFonts w:eastAsia="MS Mincho"/>
              </w:rPr>
            </w:pPr>
            <w:r>
              <w:rPr>
                <w:rFonts w:eastAsia="MS Mincho"/>
              </w:rPr>
              <w:t>N=1</w:t>
            </w:r>
            <w:r w:rsidR="00C36732">
              <w:rPr>
                <w:rFonts w:eastAsia="MS Mincho"/>
              </w:rPr>
              <w:t>2,</w:t>
            </w:r>
            <w:r w:rsidR="00431D72">
              <w:rPr>
                <w:rFonts w:eastAsia="MS Mincho"/>
              </w:rPr>
              <w:t>625</w:t>
            </w:r>
          </w:p>
          <w:p w14:paraId="73968601" w14:textId="4C83E1A8" w:rsidR="001262BD" w:rsidRDefault="00431D72" w:rsidP="002916A7">
            <w:pPr>
              <w:pStyle w:val="Tablewriting"/>
              <w:rPr>
                <w:rFonts w:eastAsia="MS Mincho"/>
              </w:rPr>
            </w:pPr>
            <w:r>
              <w:rPr>
                <w:rFonts w:eastAsia="MS Mincho"/>
              </w:rPr>
              <w:t>Varenicline</w:t>
            </w:r>
            <w:r w:rsidR="001262BD">
              <w:rPr>
                <w:rFonts w:eastAsia="MS Mincho"/>
              </w:rPr>
              <w:t xml:space="preserve"> (n=</w:t>
            </w:r>
            <w:r>
              <w:rPr>
                <w:rFonts w:eastAsia="MS Mincho"/>
              </w:rPr>
              <w:t>6,632</w:t>
            </w:r>
            <w:r w:rsidR="001262BD">
              <w:rPr>
                <w:rFonts w:eastAsia="MS Mincho"/>
              </w:rPr>
              <w:t>),</w:t>
            </w:r>
          </w:p>
          <w:p w14:paraId="709FD995" w14:textId="406175F9" w:rsidR="001262BD" w:rsidRPr="00061F78" w:rsidRDefault="001262BD" w:rsidP="002916A7">
            <w:pPr>
              <w:pStyle w:val="Tablewriting"/>
              <w:rPr>
                <w:rFonts w:eastAsia="MS Mincho"/>
              </w:rPr>
            </w:pPr>
            <w:r>
              <w:rPr>
                <w:rFonts w:eastAsia="MS Mincho"/>
              </w:rPr>
              <w:t>Placebo (n=</w:t>
            </w:r>
            <w:r w:rsidR="00431D72">
              <w:rPr>
                <w:rFonts w:eastAsia="MS Mincho"/>
              </w:rPr>
              <w:t>5,993</w:t>
            </w:r>
            <w:r>
              <w:rPr>
                <w:rFonts w:eastAsia="MS Mincho"/>
              </w:rPr>
              <w:t>)</w:t>
            </w:r>
          </w:p>
        </w:tc>
        <w:tc>
          <w:tcPr>
            <w:tcW w:w="1866" w:type="pct"/>
            <w:tcMar>
              <w:left w:w="28" w:type="dxa"/>
              <w:right w:w="28" w:type="dxa"/>
            </w:tcMar>
          </w:tcPr>
          <w:p w14:paraId="3F6B27D5" w14:textId="6BC90DC8" w:rsidR="001262BD" w:rsidRDefault="001262BD" w:rsidP="002916A7">
            <w:pPr>
              <w:pStyle w:val="Tablewriting"/>
              <w:rPr>
                <w:rFonts w:eastAsia="MS Mincho"/>
              </w:rPr>
            </w:pPr>
            <w:r w:rsidRPr="002C19B4">
              <w:rPr>
                <w:rFonts w:eastAsia="MS Mincho"/>
                <w:u w:val="single"/>
              </w:rPr>
              <w:t>Inclusion</w:t>
            </w:r>
            <w:r>
              <w:rPr>
                <w:rFonts w:eastAsia="MS Mincho"/>
              </w:rPr>
              <w:t xml:space="preserve">: </w:t>
            </w:r>
            <w:r w:rsidR="00054702">
              <w:rPr>
                <w:rFonts w:eastAsia="MS Mincho"/>
              </w:rPr>
              <w:t>a</w:t>
            </w:r>
            <w:r w:rsidR="00054702" w:rsidRPr="00054702">
              <w:rPr>
                <w:rFonts w:eastAsia="MS Mincho"/>
              </w:rPr>
              <w:t>dult smokers</w:t>
            </w:r>
            <w:r w:rsidR="000F1E7A">
              <w:rPr>
                <w:rFonts w:eastAsia="MS Mincho"/>
              </w:rPr>
              <w:t>.</w:t>
            </w:r>
            <w:r w:rsidR="00054702">
              <w:rPr>
                <w:rFonts w:eastAsia="MS Mincho"/>
              </w:rPr>
              <w:t xml:space="preserve"> </w:t>
            </w:r>
          </w:p>
          <w:p w14:paraId="0CE3F637" w14:textId="1B229131" w:rsidR="001262BD" w:rsidRPr="00061F78" w:rsidRDefault="001262BD" w:rsidP="002916A7">
            <w:pPr>
              <w:pStyle w:val="Tablewriting"/>
              <w:rPr>
                <w:rFonts w:eastAsia="MS Mincho"/>
              </w:rPr>
            </w:pPr>
            <w:r w:rsidRPr="002C19B4">
              <w:rPr>
                <w:rFonts w:eastAsia="MS Mincho"/>
                <w:u w:val="single"/>
              </w:rPr>
              <w:t>Exclusion</w:t>
            </w:r>
            <w:r>
              <w:rPr>
                <w:rFonts w:eastAsia="MS Mincho"/>
              </w:rPr>
              <w:t xml:space="preserve">: </w:t>
            </w:r>
            <w:r w:rsidR="00490E8A">
              <w:rPr>
                <w:rFonts w:eastAsia="MS Mincho"/>
              </w:rPr>
              <w:t>t</w:t>
            </w:r>
            <w:r w:rsidR="00490E8A" w:rsidRPr="00490E8A">
              <w:rPr>
                <w:rFonts w:eastAsia="MS Mincho"/>
              </w:rPr>
              <w:t>rials which target users of smokeless tobacco</w:t>
            </w:r>
            <w:r w:rsidR="000F1E7A">
              <w:rPr>
                <w:rFonts w:eastAsia="MS Mincho"/>
              </w:rPr>
              <w:t>.</w:t>
            </w:r>
          </w:p>
        </w:tc>
        <w:tc>
          <w:tcPr>
            <w:tcW w:w="920" w:type="pct"/>
          </w:tcPr>
          <w:p w14:paraId="504DBCEA" w14:textId="47C3CF9B" w:rsidR="001262BD" w:rsidRPr="00061F78" w:rsidRDefault="00AB758C" w:rsidP="002916A7">
            <w:pPr>
              <w:pStyle w:val="Tablewriting"/>
              <w:rPr>
                <w:rFonts w:eastAsia="MS Mincho"/>
              </w:rPr>
            </w:pPr>
            <w:r>
              <w:rPr>
                <w:rFonts w:eastAsia="MS Mincho"/>
              </w:rPr>
              <w:t>Varenicline: 1</w:t>
            </w:r>
            <w:r w:rsidR="00D570DB">
              <w:rPr>
                <w:rFonts w:eastAsia="MS Mincho"/>
              </w:rPr>
              <w:t xml:space="preserve"> </w:t>
            </w:r>
            <w:r>
              <w:rPr>
                <w:rFonts w:eastAsia="MS Mincho"/>
              </w:rPr>
              <w:t xml:space="preserve">mg </w:t>
            </w:r>
            <w:r w:rsidR="008032CE">
              <w:rPr>
                <w:rFonts w:eastAsia="MS Mincho"/>
              </w:rPr>
              <w:t>twice</w:t>
            </w:r>
            <w:r>
              <w:rPr>
                <w:rFonts w:eastAsia="MS Mincho"/>
              </w:rPr>
              <w:t xml:space="preserve"> da</w:t>
            </w:r>
            <w:r w:rsidR="008032CE">
              <w:rPr>
                <w:rFonts w:eastAsia="MS Mincho"/>
              </w:rPr>
              <w:t>ily</w:t>
            </w:r>
            <w:r w:rsidR="004B303D">
              <w:rPr>
                <w:rFonts w:eastAsia="MS Mincho"/>
              </w:rPr>
              <w:t xml:space="preserve"> including titration</w:t>
            </w:r>
            <w:r w:rsidR="001B0165" w:rsidRPr="001B0165">
              <w:rPr>
                <w:rFonts w:eastAsia="MS Mincho"/>
              </w:rPr>
              <w:t xml:space="preserve"> (</w:t>
            </w:r>
            <w:r w:rsidR="004C4EA7" w:rsidRPr="001B0165">
              <w:rPr>
                <w:rFonts w:eastAsia="MS Mincho"/>
              </w:rPr>
              <w:t>i.e.,</w:t>
            </w:r>
            <w:r w:rsidR="001B0165" w:rsidRPr="001B0165">
              <w:rPr>
                <w:rFonts w:eastAsia="MS Mincho"/>
              </w:rPr>
              <w:t xml:space="preserve"> 0.5</w:t>
            </w:r>
            <w:r w:rsidR="00D570DB">
              <w:rPr>
                <w:rFonts w:eastAsia="MS Mincho"/>
              </w:rPr>
              <w:t xml:space="preserve"> </w:t>
            </w:r>
            <w:r w:rsidR="001B0165" w:rsidRPr="001B0165">
              <w:rPr>
                <w:rFonts w:eastAsia="MS Mincho"/>
              </w:rPr>
              <w:t>mg once daily for 3 days, then 0.5</w:t>
            </w:r>
            <w:r w:rsidR="00D570DB">
              <w:rPr>
                <w:rFonts w:eastAsia="MS Mincho"/>
              </w:rPr>
              <w:t xml:space="preserve"> </w:t>
            </w:r>
            <w:r w:rsidR="001B0165" w:rsidRPr="001B0165">
              <w:rPr>
                <w:rFonts w:eastAsia="MS Mincho"/>
              </w:rPr>
              <w:t>mg twice daily for 4 days, then 1</w:t>
            </w:r>
            <w:r w:rsidR="00D570DB">
              <w:rPr>
                <w:rFonts w:eastAsia="MS Mincho"/>
              </w:rPr>
              <w:t xml:space="preserve"> </w:t>
            </w:r>
            <w:r w:rsidR="001B0165" w:rsidRPr="001B0165">
              <w:rPr>
                <w:rFonts w:eastAsia="MS Mincho"/>
              </w:rPr>
              <w:t>mg twice daily)</w:t>
            </w:r>
            <w:r w:rsidR="004657DA">
              <w:rPr>
                <w:rFonts w:eastAsia="MS Mincho"/>
              </w:rPr>
              <w:t xml:space="preserve">; </w:t>
            </w:r>
            <w:r w:rsidR="001262BD">
              <w:rPr>
                <w:rFonts w:eastAsia="MS Mincho"/>
              </w:rPr>
              <w:t>Placebo: placebo tablet</w:t>
            </w:r>
            <w:r w:rsidR="006452FA">
              <w:rPr>
                <w:rFonts w:eastAsia="MS Mincho"/>
              </w:rPr>
              <w:t>s, s</w:t>
            </w:r>
            <w:r w:rsidR="001B0165">
              <w:rPr>
                <w:rFonts w:eastAsia="MS Mincho"/>
              </w:rPr>
              <w:t>ame</w:t>
            </w:r>
            <w:r w:rsidR="006452FA">
              <w:rPr>
                <w:rFonts w:eastAsia="MS Mincho"/>
              </w:rPr>
              <w:t xml:space="preserve"> regimen</w:t>
            </w:r>
            <w:r w:rsidR="000F1E7A">
              <w:rPr>
                <w:rFonts w:eastAsia="MS Mincho"/>
              </w:rPr>
              <w:t>.</w:t>
            </w:r>
          </w:p>
        </w:tc>
        <w:tc>
          <w:tcPr>
            <w:tcW w:w="1140" w:type="pct"/>
            <w:tcMar>
              <w:left w:w="28" w:type="dxa"/>
              <w:right w:w="28" w:type="dxa"/>
            </w:tcMar>
          </w:tcPr>
          <w:p w14:paraId="515541EF" w14:textId="5DF2704F" w:rsidR="001262BD" w:rsidRDefault="001262BD" w:rsidP="002916A7">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0F1E7A">
              <w:rPr>
                <w:rFonts w:eastAsia="MS Mincho"/>
              </w:rPr>
              <w:t>.</w:t>
            </w:r>
          </w:p>
          <w:p w14:paraId="4ECF615D" w14:textId="098A1F39" w:rsidR="001262BD" w:rsidRPr="00061F78" w:rsidRDefault="001262BD" w:rsidP="002916A7">
            <w:pPr>
              <w:pStyle w:val="Tablewriting"/>
              <w:rPr>
                <w:rFonts w:eastAsia="MS Mincho"/>
              </w:rPr>
            </w:pPr>
            <w:r w:rsidRPr="0036499C">
              <w:rPr>
                <w:rFonts w:eastAsia="MS Mincho"/>
                <w:u w:val="single"/>
              </w:rPr>
              <w:t>Secondary</w:t>
            </w:r>
            <w:r>
              <w:rPr>
                <w:rFonts w:eastAsia="MS Mincho"/>
              </w:rPr>
              <w:t xml:space="preserve">: safety including </w:t>
            </w:r>
            <w:r w:rsidR="00C45ECF">
              <w:rPr>
                <w:rFonts w:eastAsia="MS Mincho"/>
              </w:rPr>
              <w:t xml:space="preserve">nausea, insomnia, abnormal dreams, </w:t>
            </w:r>
            <w:r w:rsidR="004C4EA7">
              <w:rPr>
                <w:rFonts w:eastAsia="MS Mincho"/>
              </w:rPr>
              <w:t>headaches,</w:t>
            </w:r>
            <w:r w:rsidR="00C45ECF">
              <w:rPr>
                <w:rFonts w:eastAsia="MS Mincho"/>
              </w:rPr>
              <w:t xml:space="preserve"> and</w:t>
            </w:r>
            <w:r>
              <w:rPr>
                <w:rFonts w:eastAsia="MS Mincho"/>
              </w:rPr>
              <w:t xml:space="preserve"> serious adverse events</w:t>
            </w:r>
            <w:r w:rsidR="000F1E7A">
              <w:rPr>
                <w:rFonts w:eastAsia="MS Mincho"/>
              </w:rPr>
              <w:t>.</w:t>
            </w:r>
          </w:p>
        </w:tc>
      </w:tr>
      <w:tr w:rsidR="00EF2313" w:rsidRPr="00061F78" w14:paraId="443068E4" w14:textId="77777777" w:rsidTr="004D7C8D">
        <w:trPr>
          <w:trHeight w:val="149"/>
        </w:trPr>
        <w:tc>
          <w:tcPr>
            <w:tcW w:w="332" w:type="pct"/>
            <w:tcMar>
              <w:left w:w="28" w:type="dxa"/>
              <w:right w:w="28" w:type="dxa"/>
            </w:tcMar>
          </w:tcPr>
          <w:p w14:paraId="1E78D034" w14:textId="3CB8E3CF" w:rsidR="00EF2313" w:rsidRDefault="00EF2313" w:rsidP="002916A7">
            <w:pPr>
              <w:pStyle w:val="Tablewriting"/>
              <w:rPr>
                <w:rFonts w:eastAsia="MS Mincho"/>
              </w:rPr>
            </w:pPr>
            <w:r>
              <w:rPr>
                <w:rFonts w:eastAsia="MS Mincho"/>
              </w:rPr>
              <w:t>Lerman (2015)</w:t>
            </w:r>
          </w:p>
        </w:tc>
        <w:tc>
          <w:tcPr>
            <w:tcW w:w="395" w:type="pct"/>
          </w:tcPr>
          <w:p w14:paraId="1BD82E83" w14:textId="7894F4CE" w:rsidR="00EF2313" w:rsidRDefault="00EF2313" w:rsidP="002916A7">
            <w:pPr>
              <w:pStyle w:val="Tablewriting"/>
              <w:rPr>
                <w:rFonts w:eastAsia="MS Mincho"/>
              </w:rPr>
            </w:pPr>
            <w:r>
              <w:rPr>
                <w:rFonts w:eastAsia="MS Mincho"/>
              </w:rPr>
              <w:t>RCT</w:t>
            </w:r>
          </w:p>
        </w:tc>
        <w:tc>
          <w:tcPr>
            <w:tcW w:w="347" w:type="pct"/>
            <w:tcMar>
              <w:left w:w="28" w:type="dxa"/>
              <w:right w:w="28" w:type="dxa"/>
            </w:tcMar>
          </w:tcPr>
          <w:p w14:paraId="377D265F" w14:textId="7DFEBDED" w:rsidR="00EF2313" w:rsidRDefault="00EF2313" w:rsidP="002916A7">
            <w:pPr>
              <w:pStyle w:val="Tablewriting"/>
              <w:rPr>
                <w:rFonts w:eastAsia="MS Mincho"/>
              </w:rPr>
            </w:pPr>
            <w:r>
              <w:rPr>
                <w:rFonts w:eastAsia="MS Mincho"/>
              </w:rPr>
              <w:t>N=</w:t>
            </w:r>
            <w:r w:rsidR="00765C43">
              <w:rPr>
                <w:rFonts w:eastAsia="MS Mincho"/>
              </w:rPr>
              <w:t>1,246</w:t>
            </w:r>
          </w:p>
          <w:p w14:paraId="4F7D2657" w14:textId="3867DB5B" w:rsidR="00EF2313" w:rsidRDefault="00EF2313" w:rsidP="002916A7">
            <w:pPr>
              <w:pStyle w:val="Tablewriting"/>
              <w:rPr>
                <w:rFonts w:eastAsia="MS Mincho"/>
              </w:rPr>
            </w:pPr>
            <w:r>
              <w:rPr>
                <w:rFonts w:eastAsia="MS Mincho"/>
              </w:rPr>
              <w:t>Varenicline (n=4</w:t>
            </w:r>
            <w:r w:rsidR="00765C43">
              <w:rPr>
                <w:rFonts w:eastAsia="MS Mincho"/>
              </w:rPr>
              <w:t>20</w:t>
            </w:r>
            <w:r>
              <w:rPr>
                <w:rFonts w:eastAsia="MS Mincho"/>
              </w:rPr>
              <w:t>), Placebo (n=</w:t>
            </w:r>
            <w:r w:rsidR="00765C43">
              <w:rPr>
                <w:rFonts w:eastAsia="MS Mincho"/>
              </w:rPr>
              <w:t>408</w:t>
            </w:r>
            <w:r>
              <w:rPr>
                <w:rFonts w:eastAsia="MS Mincho"/>
              </w:rPr>
              <w:t>)</w:t>
            </w:r>
          </w:p>
        </w:tc>
        <w:tc>
          <w:tcPr>
            <w:tcW w:w="1866" w:type="pct"/>
            <w:tcMar>
              <w:left w:w="28" w:type="dxa"/>
              <w:right w:w="28" w:type="dxa"/>
            </w:tcMar>
          </w:tcPr>
          <w:p w14:paraId="45D46CEA" w14:textId="130056DA"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w:t>
            </w:r>
            <w:r w:rsidR="00E91059">
              <w:rPr>
                <w:rFonts w:eastAsia="MS Mincho"/>
              </w:rPr>
              <w:t>6</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 xml:space="preserve">day </w:t>
            </w:r>
            <w:r w:rsidR="00E91059">
              <w:rPr>
                <w:rFonts w:eastAsia="MS Mincho"/>
              </w:rPr>
              <w:t xml:space="preserve">for </w:t>
            </w:r>
            <w:r w:rsidR="00E91059">
              <w:rPr>
                <w:rFonts w:eastAsia="MS Mincho" w:cstheme="minorHAnsi"/>
              </w:rPr>
              <w:t>≥</w:t>
            </w:r>
            <w:r w:rsidR="00E91059">
              <w:rPr>
                <w:rFonts w:eastAsia="MS Mincho"/>
              </w:rPr>
              <w:t>6 months (verified by CO &gt;10 ppm)</w:t>
            </w:r>
            <w:r w:rsidR="000F1E7A">
              <w:rPr>
                <w:rFonts w:eastAsia="MS Mincho"/>
              </w:rPr>
              <w:t>.</w:t>
            </w:r>
          </w:p>
          <w:p w14:paraId="0F34ADC7" w14:textId="2D1E4D18"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2674DD" w:rsidRPr="002674DD">
              <w:rPr>
                <w:rFonts w:eastAsia="MS Mincho"/>
              </w:rPr>
              <w:t>use of non-cigarette tobacco products, e-cigarettes, or current smoking treatment;</w:t>
            </w:r>
            <w:r w:rsidR="002674DD">
              <w:rPr>
                <w:rFonts w:eastAsia="MS Mincho"/>
              </w:rPr>
              <w:t xml:space="preserve"> </w:t>
            </w:r>
            <w:r w:rsidR="002674DD" w:rsidRPr="002674DD">
              <w:rPr>
                <w:rFonts w:eastAsia="MS Mincho"/>
              </w:rPr>
              <w:t>history of substance abuse treatment, current use of cocaine or methamphetamine, or &gt;25 alcoholic drinks/week; medical contraindication</w:t>
            </w:r>
            <w:r w:rsidR="0095536E">
              <w:rPr>
                <w:rFonts w:eastAsia="MS Mincho"/>
              </w:rPr>
              <w:t>s</w:t>
            </w:r>
            <w:r w:rsidR="002674DD" w:rsidRPr="002674DD">
              <w:rPr>
                <w:rFonts w:eastAsia="MS Mincho"/>
              </w:rPr>
              <w:t>; history of DSM-IV Axis 1 psychiatric disorder or suicide risk score on the MINI International Neuropsychiatric Interview (MINI)&gt;1,or current major depression; current use of anti-psychotics, stimulants, opiate medications, anti-coagulants, rescue inhalers, anti</w:t>
            </w:r>
            <w:r w:rsidR="002674DD">
              <w:rPr>
                <w:rFonts w:eastAsia="MS Mincho"/>
              </w:rPr>
              <w:t>-</w:t>
            </w:r>
            <w:r w:rsidR="002674DD" w:rsidRPr="002674DD">
              <w:rPr>
                <w:rFonts w:eastAsia="MS Mincho"/>
              </w:rPr>
              <w:t>arrythmics, or medications altering CYP2A6 activi</w:t>
            </w:r>
            <w:r w:rsidR="003E0BC2">
              <w:rPr>
                <w:rFonts w:eastAsia="MS Mincho"/>
              </w:rPr>
              <w:t>ty</w:t>
            </w:r>
            <w:r w:rsidR="002674DD" w:rsidRPr="002674DD">
              <w:rPr>
                <w:rFonts w:eastAsia="MS Mincho"/>
              </w:rPr>
              <w:t>; and</w:t>
            </w:r>
            <w:r w:rsidR="00A73181">
              <w:rPr>
                <w:rFonts w:eastAsia="MS Mincho"/>
              </w:rPr>
              <w:t xml:space="preserve"> </w:t>
            </w:r>
            <w:r w:rsidR="002674DD" w:rsidRPr="002674DD">
              <w:rPr>
                <w:rFonts w:eastAsia="MS Mincho"/>
              </w:rPr>
              <w:t>inability to provide informed consent or any condition that could compromise safety.</w:t>
            </w:r>
          </w:p>
        </w:tc>
        <w:tc>
          <w:tcPr>
            <w:tcW w:w="920" w:type="pct"/>
          </w:tcPr>
          <w:p w14:paraId="55BBEEA6" w14:textId="4FBEA609"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25BF29C7" w14:textId="709C2626"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14:paraId="31B28392" w14:textId="77777777" w:rsidR="00EF2313" w:rsidRDefault="00EF2313" w:rsidP="002916A7">
            <w:pPr>
              <w:pStyle w:val="Tablewriting"/>
              <w:rPr>
                <w:rFonts w:eastAsia="MS Mincho"/>
              </w:rPr>
            </w:pPr>
          </w:p>
          <w:p w14:paraId="72FB5A6C" w14:textId="16DD1F40" w:rsidR="00EF2313" w:rsidRDefault="00EF2313" w:rsidP="002916A7">
            <w:pPr>
              <w:pStyle w:val="Tablewriting"/>
              <w:rPr>
                <w:rFonts w:eastAsia="MS Mincho"/>
              </w:rPr>
            </w:pPr>
            <w:r w:rsidRPr="006C0130">
              <w:rPr>
                <w:rFonts w:eastAsia="MS Mincho"/>
              </w:rPr>
              <w:t>Behavioural support provided in both arms.</w:t>
            </w:r>
            <w:r w:rsidR="002A1CDE">
              <w:rPr>
                <w:rFonts w:eastAsia="MS Mincho"/>
              </w:rPr>
              <w:t xml:space="preserve"> Both arms received placebo patch.</w:t>
            </w:r>
          </w:p>
        </w:tc>
        <w:tc>
          <w:tcPr>
            <w:tcW w:w="1140" w:type="pct"/>
            <w:tcMar>
              <w:left w:w="28" w:type="dxa"/>
              <w:right w:w="28" w:type="dxa"/>
            </w:tcMar>
          </w:tcPr>
          <w:p w14:paraId="2AC3BC5C" w14:textId="3CBCB9C7"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757B37">
              <w:rPr>
                <w:rFonts w:eastAsia="MS Mincho"/>
              </w:rPr>
              <w:t xml:space="preserve">7-day PPA at </w:t>
            </w:r>
            <w:r w:rsidR="007B7017">
              <w:rPr>
                <w:rFonts w:eastAsia="MS Mincho"/>
              </w:rPr>
              <w:t>w</w:t>
            </w:r>
            <w:r w:rsidR="00757B37">
              <w:rPr>
                <w:rFonts w:eastAsia="MS Mincho"/>
              </w:rPr>
              <w:t>eek 11 (end of treatment)</w:t>
            </w:r>
            <w:r>
              <w:rPr>
                <w:rFonts w:eastAsia="MS Mincho"/>
              </w:rPr>
              <w:t xml:space="preserve">. Validated by CO </w:t>
            </w:r>
            <w:r w:rsidR="006C6D83">
              <w:rPr>
                <w:rFonts w:eastAsia="MS Mincho"/>
              </w:rPr>
              <w:t>&lt;8</w:t>
            </w:r>
            <w:r>
              <w:rPr>
                <w:rFonts w:eastAsia="MS Mincho"/>
              </w:rPr>
              <w:t xml:space="preserve"> ppm.</w:t>
            </w:r>
          </w:p>
          <w:p w14:paraId="2FC8C4BE" w14:textId="0F109914" w:rsidR="00EF2313" w:rsidRPr="0036499C" w:rsidRDefault="00EF2313" w:rsidP="002916A7">
            <w:pPr>
              <w:pStyle w:val="Tablewriting"/>
              <w:rPr>
                <w:rFonts w:eastAsia="MS Mincho"/>
                <w:u w:val="single"/>
              </w:rPr>
            </w:pPr>
            <w:r w:rsidRPr="008C39E4">
              <w:rPr>
                <w:rFonts w:eastAsia="MS Mincho"/>
                <w:u w:val="single"/>
              </w:rPr>
              <w:t>Secondary</w:t>
            </w:r>
            <w:r>
              <w:rPr>
                <w:rFonts w:eastAsia="MS Mincho"/>
              </w:rPr>
              <w:t xml:space="preserve">: </w:t>
            </w:r>
            <w:r w:rsidR="00E41659">
              <w:rPr>
                <w:rFonts w:eastAsia="MS Mincho"/>
              </w:rPr>
              <w:t>7-day PPA at 6 and 12 months</w:t>
            </w:r>
            <w:r w:rsidR="0005293E">
              <w:rPr>
                <w:rFonts w:eastAsia="MS Mincho"/>
              </w:rPr>
              <w:t xml:space="preserve">, adverse events, </w:t>
            </w:r>
            <w:r w:rsidR="001B63A0">
              <w:rPr>
                <w:rFonts w:eastAsia="MS Mincho"/>
              </w:rPr>
              <w:t>w</w:t>
            </w:r>
            <w:r w:rsidR="001B63A0" w:rsidRPr="00C6077A">
              <w:rPr>
                <w:rFonts w:eastAsia="MS Mincho"/>
              </w:rPr>
              <w:t>ithdrawal symptoms (using MNWS)</w:t>
            </w:r>
            <w:r w:rsidR="000F1E7A">
              <w:rPr>
                <w:rFonts w:eastAsia="MS Mincho"/>
              </w:rPr>
              <w:t>.</w:t>
            </w:r>
          </w:p>
        </w:tc>
      </w:tr>
      <w:tr w:rsidR="0061415B" w:rsidRPr="00061F78" w14:paraId="7471A8BF" w14:textId="77777777" w:rsidTr="004D7C8D">
        <w:trPr>
          <w:trHeight w:val="149"/>
        </w:trPr>
        <w:tc>
          <w:tcPr>
            <w:tcW w:w="332" w:type="pct"/>
            <w:tcMar>
              <w:left w:w="28" w:type="dxa"/>
              <w:right w:w="28" w:type="dxa"/>
            </w:tcMar>
          </w:tcPr>
          <w:p w14:paraId="6F339BD5" w14:textId="1C084721" w:rsidR="0061415B" w:rsidRDefault="0061415B" w:rsidP="002916A7">
            <w:pPr>
              <w:pStyle w:val="Tablewriting"/>
              <w:rPr>
                <w:rFonts w:eastAsia="MS Mincho"/>
              </w:rPr>
            </w:pPr>
            <w:r>
              <w:rPr>
                <w:rFonts w:eastAsia="MS Mincho"/>
              </w:rPr>
              <w:t>Littlewood (2017)</w:t>
            </w:r>
          </w:p>
        </w:tc>
        <w:tc>
          <w:tcPr>
            <w:tcW w:w="395" w:type="pct"/>
          </w:tcPr>
          <w:p w14:paraId="29EE38A2" w14:textId="4161ADAC" w:rsidR="0061415B" w:rsidRDefault="0061415B" w:rsidP="002916A7">
            <w:pPr>
              <w:pStyle w:val="Tablewriting"/>
              <w:rPr>
                <w:rFonts w:eastAsia="MS Mincho"/>
              </w:rPr>
            </w:pPr>
            <w:r>
              <w:rPr>
                <w:rFonts w:eastAsia="MS Mincho"/>
              </w:rPr>
              <w:t>RCT</w:t>
            </w:r>
          </w:p>
        </w:tc>
        <w:tc>
          <w:tcPr>
            <w:tcW w:w="347" w:type="pct"/>
            <w:tcMar>
              <w:left w:w="28" w:type="dxa"/>
              <w:right w:w="28" w:type="dxa"/>
            </w:tcMar>
          </w:tcPr>
          <w:p w14:paraId="5B506F48" w14:textId="79CCFA81" w:rsidR="0061415B" w:rsidRDefault="0061415B" w:rsidP="002916A7">
            <w:pPr>
              <w:pStyle w:val="Tablewriting"/>
              <w:rPr>
                <w:rFonts w:eastAsia="MS Mincho"/>
              </w:rPr>
            </w:pPr>
            <w:r>
              <w:rPr>
                <w:rFonts w:eastAsia="MS Mincho"/>
              </w:rPr>
              <w:t>N=205</w:t>
            </w:r>
          </w:p>
          <w:p w14:paraId="32FF7B3D" w14:textId="2530E024" w:rsidR="0061415B" w:rsidRDefault="0061415B" w:rsidP="002916A7">
            <w:pPr>
              <w:pStyle w:val="Tablewriting"/>
              <w:rPr>
                <w:rFonts w:eastAsia="MS Mincho"/>
              </w:rPr>
            </w:pPr>
            <w:r>
              <w:rPr>
                <w:rFonts w:eastAsia="MS Mincho"/>
              </w:rPr>
              <w:t>Varenicline (n=111), Placebo (n=94)</w:t>
            </w:r>
          </w:p>
        </w:tc>
        <w:tc>
          <w:tcPr>
            <w:tcW w:w="1866" w:type="pct"/>
            <w:tcMar>
              <w:left w:w="28" w:type="dxa"/>
              <w:right w:w="28" w:type="dxa"/>
            </w:tcMar>
          </w:tcPr>
          <w:p w14:paraId="5CA7A8B1" w14:textId="739DDE5B" w:rsidR="0061415B" w:rsidRDefault="0061415B"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w:t>
            </w:r>
            <w:r w:rsidR="00EC2CB5">
              <w:rPr>
                <w:rFonts w:eastAsia="MS Mincho"/>
              </w:rPr>
              <w:t>5</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day</w:t>
            </w:r>
            <w:r w:rsidR="00374882">
              <w:rPr>
                <w:rFonts w:eastAsia="MS Mincho"/>
              </w:rPr>
              <w:t>,</w:t>
            </w:r>
            <w:r w:rsidRPr="00C522B0">
              <w:rPr>
                <w:rFonts w:eastAsia="MS Mincho"/>
              </w:rPr>
              <w:t xml:space="preserve"> </w:t>
            </w:r>
            <w:r w:rsidR="00374882" w:rsidRPr="00374882">
              <w:rPr>
                <w:rFonts w:eastAsia="MS Mincho"/>
              </w:rPr>
              <w:t>have not previously taken varenicline, no serious medical or psychiatric condition in the past 6 months, not currently pregnant or nursing, and no illicit drug use (excluding marijuana) in the past 60 days.</w:t>
            </w:r>
          </w:p>
          <w:p w14:paraId="0E27AB94" w14:textId="139E55D8" w:rsidR="0061415B" w:rsidRPr="007F28D7" w:rsidRDefault="0061415B" w:rsidP="002916A7">
            <w:pPr>
              <w:pStyle w:val="Tablewriting"/>
              <w:rPr>
                <w:rFonts w:eastAsia="MS Mincho"/>
                <w:u w:val="single"/>
              </w:rPr>
            </w:pPr>
            <w:r w:rsidRPr="007F28D7">
              <w:rPr>
                <w:rFonts w:eastAsia="MS Mincho"/>
                <w:u w:val="single"/>
              </w:rPr>
              <w:t>Exclusion</w:t>
            </w:r>
            <w:r>
              <w:rPr>
                <w:rFonts w:eastAsia="MS Mincho"/>
              </w:rPr>
              <w:t xml:space="preserve">: </w:t>
            </w:r>
            <w:r w:rsidR="00374882" w:rsidRPr="00374882">
              <w:rPr>
                <w:rFonts w:eastAsia="MS Mincho"/>
              </w:rPr>
              <w:t>self-reported or physician identified health concerns; currently taking insulin or oral hypoglycaemic medication; self-reported use of cocaine, methamphetamine, heroin, or other illicit drugs (excluding marijuana) in the previous 60 days or a positive urine toxicology screen;</w:t>
            </w:r>
            <w:r w:rsidR="00374882">
              <w:rPr>
                <w:rFonts w:eastAsia="MS Mincho"/>
              </w:rPr>
              <w:t xml:space="preserve"> </w:t>
            </w:r>
            <w:r w:rsidR="00374882" w:rsidRPr="00374882">
              <w:rPr>
                <w:rFonts w:eastAsia="MS Mincho"/>
              </w:rPr>
              <w:t xml:space="preserve">met </w:t>
            </w:r>
            <w:r w:rsidR="00374882" w:rsidRPr="00374882">
              <w:rPr>
                <w:rFonts w:eastAsia="MS Mincho"/>
              </w:rPr>
              <w:lastRenderedPageBreak/>
              <w:t>DSM-IV criteria for psychotic disorder, bipolar disorder, or major depression in the past year.</w:t>
            </w:r>
          </w:p>
        </w:tc>
        <w:tc>
          <w:tcPr>
            <w:tcW w:w="920" w:type="pct"/>
          </w:tcPr>
          <w:p w14:paraId="31870504" w14:textId="747A8E92" w:rsidR="0061415B" w:rsidRDefault="0061415B"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23D83562" w14:textId="6F19F1B5" w:rsidR="0061415B" w:rsidRDefault="0061415B" w:rsidP="002916A7">
            <w:pPr>
              <w:pStyle w:val="Tablewriting"/>
              <w:rPr>
                <w:rFonts w:eastAsia="MS Mincho"/>
              </w:rPr>
            </w:pPr>
            <w:r>
              <w:rPr>
                <w:rFonts w:eastAsia="MS Mincho"/>
              </w:rPr>
              <w:t>Placebo: placebo tablet for 12 weeks, same regimen</w:t>
            </w:r>
            <w:r w:rsidR="000F1E7A">
              <w:rPr>
                <w:rFonts w:eastAsia="MS Mincho"/>
              </w:rPr>
              <w:t>.</w:t>
            </w:r>
          </w:p>
          <w:p w14:paraId="3884BCA8" w14:textId="77777777" w:rsidR="0061415B" w:rsidRDefault="0061415B" w:rsidP="002916A7">
            <w:pPr>
              <w:pStyle w:val="Tablewriting"/>
              <w:rPr>
                <w:rFonts w:eastAsia="MS Mincho"/>
              </w:rPr>
            </w:pPr>
          </w:p>
          <w:p w14:paraId="22EE0D22" w14:textId="60FA2D2A" w:rsidR="0061415B" w:rsidRDefault="0061415B"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3C3FD0B7" w14:textId="2942C10A" w:rsidR="0061415B" w:rsidRDefault="0061415B" w:rsidP="002916A7">
            <w:pPr>
              <w:pStyle w:val="Tablewriting"/>
              <w:rPr>
                <w:rFonts w:eastAsia="MS Mincho"/>
              </w:rPr>
            </w:pPr>
            <w:r w:rsidRPr="008C39E4">
              <w:rPr>
                <w:rFonts w:eastAsia="MS Mincho"/>
                <w:u w:val="single"/>
              </w:rPr>
              <w:t>Primary</w:t>
            </w:r>
            <w:r>
              <w:rPr>
                <w:rFonts w:eastAsia="MS Mincho"/>
              </w:rPr>
              <w:t xml:space="preserve">: </w:t>
            </w:r>
            <w:r w:rsidR="00D81826">
              <w:rPr>
                <w:rFonts w:eastAsia="MS Mincho"/>
              </w:rPr>
              <w:t>CAR</w:t>
            </w:r>
            <w:r w:rsidR="00910157">
              <w:rPr>
                <w:rFonts w:eastAsia="MS Mincho"/>
              </w:rPr>
              <w:t xml:space="preserve"> at </w:t>
            </w:r>
            <w:r w:rsidR="007B7017">
              <w:rPr>
                <w:rFonts w:eastAsia="MS Mincho"/>
              </w:rPr>
              <w:t>w</w:t>
            </w:r>
            <w:r w:rsidR="00910157">
              <w:rPr>
                <w:rFonts w:eastAsia="MS Mincho"/>
              </w:rPr>
              <w:t xml:space="preserve">eek 9-12 and </w:t>
            </w:r>
            <w:r w:rsidR="007B7017">
              <w:rPr>
                <w:rFonts w:eastAsia="MS Mincho"/>
              </w:rPr>
              <w:t>w</w:t>
            </w:r>
            <w:r w:rsidR="00910157">
              <w:rPr>
                <w:rFonts w:eastAsia="MS Mincho"/>
              </w:rPr>
              <w:t>eek 32-36</w:t>
            </w:r>
            <w:r>
              <w:rPr>
                <w:rFonts w:eastAsia="MS Mincho"/>
              </w:rPr>
              <w:t>. Validated by CO &lt;</w:t>
            </w:r>
            <w:r w:rsidR="008C2C11">
              <w:rPr>
                <w:rFonts w:eastAsia="MS Mincho"/>
              </w:rPr>
              <w:t>6</w:t>
            </w:r>
            <w:r>
              <w:rPr>
                <w:rFonts w:eastAsia="MS Mincho"/>
              </w:rPr>
              <w:t xml:space="preserve"> ppm.</w:t>
            </w:r>
          </w:p>
          <w:p w14:paraId="217A85F4" w14:textId="0B143400" w:rsidR="0061415B" w:rsidRPr="008C39E4" w:rsidRDefault="0061415B" w:rsidP="002916A7">
            <w:pPr>
              <w:pStyle w:val="Tablewriting"/>
              <w:rPr>
                <w:rFonts w:eastAsia="MS Mincho"/>
                <w:u w:val="single"/>
              </w:rPr>
            </w:pPr>
            <w:r w:rsidRPr="008C39E4">
              <w:rPr>
                <w:rFonts w:eastAsia="MS Mincho"/>
                <w:u w:val="single"/>
              </w:rPr>
              <w:t>Secondary</w:t>
            </w:r>
            <w:r>
              <w:rPr>
                <w:rFonts w:eastAsia="MS Mincho"/>
              </w:rPr>
              <w:t xml:space="preserve">: 7-day PPA at </w:t>
            </w:r>
            <w:r w:rsidR="007B7017">
              <w:rPr>
                <w:rFonts w:eastAsia="MS Mincho"/>
              </w:rPr>
              <w:t>w</w:t>
            </w:r>
            <w:r w:rsidR="00910157">
              <w:rPr>
                <w:rFonts w:eastAsia="MS Mincho"/>
              </w:rPr>
              <w:t xml:space="preserve">eek 6, 12 </w:t>
            </w:r>
            <w:r>
              <w:rPr>
                <w:rFonts w:eastAsia="MS Mincho"/>
              </w:rPr>
              <w:t xml:space="preserve">and </w:t>
            </w:r>
            <w:r w:rsidR="00910157">
              <w:rPr>
                <w:rFonts w:eastAsia="MS Mincho"/>
              </w:rPr>
              <w:t>36</w:t>
            </w:r>
            <w:r w:rsidR="00176110">
              <w:rPr>
                <w:rFonts w:eastAsia="MS Mincho"/>
              </w:rPr>
              <w:t>. Validated by CO &lt;6 ppm</w:t>
            </w:r>
            <w:r w:rsidR="00824D16">
              <w:rPr>
                <w:rFonts w:eastAsia="MS Mincho"/>
              </w:rPr>
              <w:t>;</w:t>
            </w:r>
            <w:r>
              <w:rPr>
                <w:rFonts w:eastAsia="MS Mincho"/>
              </w:rPr>
              <w:t xml:space="preserve"> </w:t>
            </w:r>
            <w:r w:rsidR="00176110">
              <w:rPr>
                <w:rFonts w:eastAsia="MS Mincho"/>
              </w:rPr>
              <w:t>average number of cigarettes smoked per day</w:t>
            </w:r>
            <w:r w:rsidR="00824D16">
              <w:rPr>
                <w:rFonts w:eastAsia="MS Mincho"/>
              </w:rPr>
              <w:t>;</w:t>
            </w:r>
            <w:r w:rsidR="00176110">
              <w:rPr>
                <w:rFonts w:eastAsia="MS Mincho"/>
              </w:rPr>
              <w:t xml:space="preserve"> </w:t>
            </w:r>
            <w:r>
              <w:rPr>
                <w:rFonts w:eastAsia="MS Mincho"/>
              </w:rPr>
              <w:t>adverse events</w:t>
            </w:r>
            <w:r w:rsidR="000F1E7A">
              <w:rPr>
                <w:rFonts w:eastAsia="MS Mincho"/>
              </w:rPr>
              <w:t>.</w:t>
            </w:r>
          </w:p>
        </w:tc>
      </w:tr>
      <w:tr w:rsidR="000A14FA" w:rsidRPr="00061F78" w14:paraId="18FDEBC4" w14:textId="77777777" w:rsidTr="004D7C8D">
        <w:trPr>
          <w:trHeight w:val="149"/>
        </w:trPr>
        <w:tc>
          <w:tcPr>
            <w:tcW w:w="332" w:type="pct"/>
            <w:tcMar>
              <w:left w:w="28" w:type="dxa"/>
              <w:right w:w="28" w:type="dxa"/>
            </w:tcMar>
          </w:tcPr>
          <w:p w14:paraId="16DCAFFD" w14:textId="049D890B" w:rsidR="000A14FA" w:rsidRDefault="000A14FA" w:rsidP="002916A7">
            <w:pPr>
              <w:pStyle w:val="Tablewriting"/>
              <w:rPr>
                <w:rFonts w:eastAsia="MS Mincho"/>
              </w:rPr>
            </w:pPr>
            <w:r>
              <w:rPr>
                <w:rFonts w:eastAsia="MS Mincho"/>
              </w:rPr>
              <w:t>Benowitz (2018)</w:t>
            </w:r>
          </w:p>
        </w:tc>
        <w:tc>
          <w:tcPr>
            <w:tcW w:w="395" w:type="pct"/>
          </w:tcPr>
          <w:p w14:paraId="2B58351C" w14:textId="27E00F5E" w:rsidR="000A14FA" w:rsidRPr="00B537F7" w:rsidRDefault="002568ED" w:rsidP="002916A7">
            <w:pPr>
              <w:pStyle w:val="Tablewriting"/>
              <w:rPr>
                <w:rFonts w:eastAsia="MS Mincho"/>
                <w:vertAlign w:val="superscript"/>
              </w:rPr>
            </w:pPr>
            <w:r>
              <w:rPr>
                <w:rFonts w:eastAsia="MS Mincho"/>
              </w:rPr>
              <w:t xml:space="preserve">Non-treatment extension </w:t>
            </w:r>
            <w:r w:rsidR="005828A8">
              <w:rPr>
                <w:rFonts w:eastAsia="MS Mincho"/>
              </w:rPr>
              <w:t xml:space="preserve">safety </w:t>
            </w:r>
            <w:r>
              <w:rPr>
                <w:rFonts w:eastAsia="MS Mincho"/>
              </w:rPr>
              <w:t>study of EAGLES (2016)</w:t>
            </w:r>
            <w:r w:rsidR="004562AF">
              <w:rPr>
                <w:rFonts w:eastAsia="MS Mincho"/>
                <w:vertAlign w:val="superscript"/>
              </w:rPr>
              <w:t>5</w:t>
            </w:r>
          </w:p>
        </w:tc>
        <w:tc>
          <w:tcPr>
            <w:tcW w:w="347" w:type="pct"/>
            <w:tcMar>
              <w:left w:w="28" w:type="dxa"/>
              <w:right w:w="28" w:type="dxa"/>
            </w:tcMar>
          </w:tcPr>
          <w:p w14:paraId="4C8A65F0" w14:textId="77777777" w:rsidR="000A14FA" w:rsidRDefault="000A14FA" w:rsidP="002916A7">
            <w:pPr>
              <w:pStyle w:val="Tablewriting"/>
              <w:rPr>
                <w:rFonts w:eastAsia="MS Mincho"/>
              </w:rPr>
            </w:pPr>
            <w:r>
              <w:rPr>
                <w:rFonts w:eastAsia="MS Mincho"/>
              </w:rPr>
              <w:t>N=4,595</w:t>
            </w:r>
          </w:p>
          <w:p w14:paraId="71FA2F7D" w14:textId="2819E5E9" w:rsidR="000A14FA" w:rsidRDefault="000A14FA" w:rsidP="002916A7">
            <w:pPr>
              <w:pStyle w:val="Tablewriting"/>
              <w:rPr>
                <w:rFonts w:eastAsia="MS Mincho"/>
              </w:rPr>
            </w:pPr>
            <w:r>
              <w:rPr>
                <w:rFonts w:eastAsia="MS Mincho"/>
              </w:rPr>
              <w:t>Varenicline (n=1,192), Placebo (n=1,121)</w:t>
            </w:r>
          </w:p>
        </w:tc>
        <w:tc>
          <w:tcPr>
            <w:tcW w:w="1866" w:type="pct"/>
            <w:tcMar>
              <w:left w:w="28" w:type="dxa"/>
              <w:right w:w="28" w:type="dxa"/>
            </w:tcMar>
          </w:tcPr>
          <w:p w14:paraId="29D4A3F0" w14:textId="515A902F" w:rsidR="000A14FA" w:rsidRDefault="000A14FA" w:rsidP="002916A7">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sidR="00661FFC">
              <w:rPr>
                <w:rFonts w:eastAsia="MS Mincho" w:cstheme="minorHAnsi"/>
              </w:rPr>
              <w:t xml:space="preserve"> </w:t>
            </w:r>
            <w:r w:rsidRPr="000A14FA">
              <w:rPr>
                <w:rFonts w:eastAsia="MS Mincho" w:cstheme="minorHAnsi"/>
              </w:rPr>
              <w:t>and had completed the week 24 visit of</w:t>
            </w:r>
            <w:r w:rsidR="00661FFC">
              <w:rPr>
                <w:rFonts w:eastAsia="MS Mincho" w:cstheme="minorHAnsi"/>
              </w:rPr>
              <w:t xml:space="preserve"> </w:t>
            </w:r>
            <w:r w:rsidRPr="000A14FA">
              <w:rPr>
                <w:rFonts w:eastAsia="MS Mincho" w:cstheme="minorHAnsi"/>
              </w:rPr>
              <w:t>EAGLES</w:t>
            </w:r>
            <w:r w:rsidR="000F1E7A">
              <w:rPr>
                <w:rFonts w:eastAsia="MS Mincho" w:cstheme="minorHAnsi"/>
              </w:rPr>
              <w:t>.</w:t>
            </w:r>
          </w:p>
          <w:p w14:paraId="25FCB0B8" w14:textId="41E8CC31" w:rsidR="000A14FA" w:rsidRPr="007F28D7" w:rsidRDefault="000A14FA" w:rsidP="002916A7">
            <w:pPr>
              <w:pStyle w:val="Tablewriting"/>
              <w:rPr>
                <w:rFonts w:eastAsia="MS Mincho"/>
                <w:u w:val="single"/>
              </w:rPr>
            </w:pPr>
            <w:r w:rsidRPr="007F28D7">
              <w:rPr>
                <w:rFonts w:eastAsia="MS Mincho"/>
                <w:u w:val="single"/>
              </w:rPr>
              <w:t>Exclusion</w:t>
            </w:r>
            <w:r>
              <w:rPr>
                <w:rFonts w:eastAsia="MS Mincho"/>
              </w:rPr>
              <w:t xml:space="preserve">: </w:t>
            </w:r>
            <w:r w:rsidR="00661FFC"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sidR="00661FFC">
              <w:rPr>
                <w:rFonts w:eastAsia="MS Mincho"/>
              </w:rPr>
              <w:t>ion</w:t>
            </w:r>
            <w:r w:rsidR="00661FFC" w:rsidRPr="00661FFC">
              <w:rPr>
                <w:rFonts w:eastAsia="MS Mincho"/>
              </w:rPr>
              <w:t>.</w:t>
            </w:r>
          </w:p>
        </w:tc>
        <w:tc>
          <w:tcPr>
            <w:tcW w:w="920" w:type="pct"/>
          </w:tcPr>
          <w:p w14:paraId="6A14424E" w14:textId="602CB170" w:rsidR="000A14FA" w:rsidRDefault="002568ED" w:rsidP="002916A7">
            <w:pPr>
              <w:pStyle w:val="Tablewriting"/>
              <w:rPr>
                <w:rFonts w:eastAsia="MS Mincho"/>
              </w:rPr>
            </w:pPr>
            <w:r>
              <w:rPr>
                <w:rFonts w:eastAsia="MS Mincho"/>
              </w:rPr>
              <w:t>No treatment</w:t>
            </w:r>
            <w:r w:rsidR="005D6177">
              <w:rPr>
                <w:rFonts w:eastAsia="MS Mincho"/>
              </w:rPr>
              <w:t xml:space="preserve"> was</w:t>
            </w:r>
            <w:r>
              <w:rPr>
                <w:rFonts w:eastAsia="MS Mincho"/>
              </w:rPr>
              <w:t xml:space="preserve"> provided during this study</w:t>
            </w:r>
            <w:r w:rsidR="005D6177">
              <w:rPr>
                <w:rFonts w:eastAsia="MS Mincho"/>
              </w:rPr>
              <w:t>.</w:t>
            </w:r>
            <w:r w:rsidR="00DE04D3">
              <w:rPr>
                <w:rFonts w:eastAsia="MS Mincho"/>
              </w:rPr>
              <w:t xml:space="preserve"> Prior varenicline and placebo treatments were administered in EAGLES (2016).</w:t>
            </w:r>
          </w:p>
        </w:tc>
        <w:tc>
          <w:tcPr>
            <w:tcW w:w="1140" w:type="pct"/>
            <w:tcMar>
              <w:left w:w="28" w:type="dxa"/>
              <w:right w:w="28" w:type="dxa"/>
            </w:tcMar>
          </w:tcPr>
          <w:p w14:paraId="2BA5E1B2" w14:textId="1A5A366A" w:rsidR="000A14FA" w:rsidRDefault="000A14FA" w:rsidP="002916A7">
            <w:pPr>
              <w:pStyle w:val="Tablewriting"/>
              <w:rPr>
                <w:rFonts w:eastAsia="MS Mincho"/>
              </w:rPr>
            </w:pPr>
            <w:r w:rsidRPr="008C39E4">
              <w:rPr>
                <w:rFonts w:eastAsia="MS Mincho"/>
                <w:u w:val="single"/>
              </w:rPr>
              <w:t>Primary</w:t>
            </w:r>
            <w:r>
              <w:rPr>
                <w:rFonts w:eastAsia="MS Mincho"/>
              </w:rPr>
              <w:t xml:space="preserve">: </w:t>
            </w:r>
            <w:r w:rsidR="00544694">
              <w:rPr>
                <w:rFonts w:eastAsia="MS Mincho"/>
              </w:rPr>
              <w:t>Time to major adverse cardiovascular event</w:t>
            </w:r>
            <w:r w:rsidR="000F1E7A">
              <w:rPr>
                <w:rFonts w:eastAsia="MS Mincho"/>
              </w:rPr>
              <w:t>.</w:t>
            </w:r>
          </w:p>
          <w:p w14:paraId="2640A4C5" w14:textId="11E64419" w:rsidR="000A14FA" w:rsidRPr="008C39E4" w:rsidRDefault="000A14FA" w:rsidP="002916A7">
            <w:pPr>
              <w:pStyle w:val="Tablewriting"/>
              <w:rPr>
                <w:rFonts w:eastAsia="MS Mincho"/>
                <w:u w:val="single"/>
              </w:rPr>
            </w:pPr>
            <w:r w:rsidRPr="008C39E4">
              <w:rPr>
                <w:rFonts w:eastAsia="MS Mincho"/>
                <w:u w:val="single"/>
              </w:rPr>
              <w:t>Secondary</w:t>
            </w:r>
            <w:r>
              <w:rPr>
                <w:rFonts w:eastAsia="MS Mincho"/>
              </w:rPr>
              <w:t xml:space="preserve">: </w:t>
            </w:r>
            <w:r w:rsidR="00CB7B45">
              <w:rPr>
                <w:rFonts w:eastAsia="MS Mincho"/>
              </w:rPr>
              <w:t>Occurrence of major adverse cardiovascular event</w:t>
            </w:r>
            <w:r w:rsidR="000F1E7A">
              <w:rPr>
                <w:rFonts w:eastAsia="MS Mincho"/>
              </w:rPr>
              <w:t>.</w:t>
            </w:r>
          </w:p>
        </w:tc>
      </w:tr>
      <w:tr w:rsidR="00EF2313" w:rsidRPr="00061F78" w14:paraId="046C4E36" w14:textId="77777777" w:rsidTr="004D7C8D">
        <w:trPr>
          <w:trHeight w:val="149"/>
        </w:trPr>
        <w:tc>
          <w:tcPr>
            <w:tcW w:w="332" w:type="pct"/>
            <w:tcMar>
              <w:left w:w="28" w:type="dxa"/>
              <w:right w:w="28" w:type="dxa"/>
            </w:tcMar>
          </w:tcPr>
          <w:p w14:paraId="64D4890E" w14:textId="2A9F2C7C" w:rsidR="00EF2313" w:rsidRDefault="00EF2313" w:rsidP="002916A7">
            <w:pPr>
              <w:pStyle w:val="Tablewriting"/>
              <w:rPr>
                <w:rFonts w:eastAsia="MS Mincho"/>
              </w:rPr>
            </w:pPr>
            <w:r>
              <w:rPr>
                <w:rFonts w:eastAsia="MS Mincho"/>
              </w:rPr>
              <w:t>Hurt (2018)</w:t>
            </w:r>
          </w:p>
        </w:tc>
        <w:tc>
          <w:tcPr>
            <w:tcW w:w="395" w:type="pct"/>
          </w:tcPr>
          <w:p w14:paraId="489AB860" w14:textId="36C83FD1" w:rsidR="00EF2313" w:rsidRPr="00D83CDA" w:rsidRDefault="00EF2313" w:rsidP="002916A7">
            <w:pPr>
              <w:pStyle w:val="Tablewriting"/>
              <w:rPr>
                <w:rFonts w:eastAsia="MS Mincho"/>
                <w:vertAlign w:val="superscript"/>
              </w:rPr>
            </w:pPr>
            <w:r>
              <w:rPr>
                <w:rFonts w:eastAsia="MS Mincho"/>
              </w:rPr>
              <w:t>RCT</w:t>
            </w:r>
            <w:r w:rsidR="00D83CDA">
              <w:rPr>
                <w:rFonts w:eastAsia="MS Mincho"/>
                <w:vertAlign w:val="superscript"/>
              </w:rPr>
              <w:t>4</w:t>
            </w:r>
          </w:p>
        </w:tc>
        <w:tc>
          <w:tcPr>
            <w:tcW w:w="347" w:type="pct"/>
            <w:tcMar>
              <w:left w:w="28" w:type="dxa"/>
              <w:right w:w="28" w:type="dxa"/>
            </w:tcMar>
          </w:tcPr>
          <w:p w14:paraId="1B3E337E" w14:textId="05E4070C" w:rsidR="00EF2313" w:rsidRDefault="00EF2313" w:rsidP="002916A7">
            <w:pPr>
              <w:pStyle w:val="Tablewriting"/>
              <w:rPr>
                <w:rFonts w:eastAsia="MS Mincho"/>
              </w:rPr>
            </w:pPr>
            <w:r>
              <w:rPr>
                <w:rFonts w:eastAsia="MS Mincho"/>
              </w:rPr>
              <w:t>N=</w:t>
            </w:r>
            <w:r w:rsidR="00A97D0F">
              <w:rPr>
                <w:rFonts w:eastAsia="MS Mincho"/>
              </w:rPr>
              <w:t>33</w:t>
            </w:r>
          </w:p>
          <w:p w14:paraId="72A00FFE" w14:textId="7115D87A" w:rsidR="00EF2313" w:rsidRDefault="00EF2313" w:rsidP="002916A7">
            <w:pPr>
              <w:pStyle w:val="Tablewriting"/>
              <w:rPr>
                <w:rFonts w:eastAsia="MS Mincho"/>
              </w:rPr>
            </w:pPr>
            <w:r>
              <w:rPr>
                <w:rFonts w:eastAsia="MS Mincho"/>
              </w:rPr>
              <w:t>Varenicline (n=</w:t>
            </w:r>
            <w:r w:rsidR="00A97D0F">
              <w:rPr>
                <w:rFonts w:eastAsia="MS Mincho"/>
              </w:rPr>
              <w:t>1</w:t>
            </w:r>
            <w:r w:rsidR="00406CA2">
              <w:rPr>
                <w:rFonts w:eastAsia="MS Mincho"/>
              </w:rPr>
              <w:t>6</w:t>
            </w:r>
            <w:r>
              <w:rPr>
                <w:rFonts w:eastAsia="MS Mincho"/>
              </w:rPr>
              <w:t>), Placebo (n=1</w:t>
            </w:r>
            <w:r w:rsidR="00406CA2">
              <w:rPr>
                <w:rFonts w:eastAsia="MS Mincho"/>
              </w:rPr>
              <w:t>7</w:t>
            </w:r>
            <w:r>
              <w:rPr>
                <w:rFonts w:eastAsia="MS Mincho"/>
              </w:rPr>
              <w:t>)</w:t>
            </w:r>
          </w:p>
        </w:tc>
        <w:tc>
          <w:tcPr>
            <w:tcW w:w="1866" w:type="pct"/>
            <w:tcMar>
              <w:left w:w="28" w:type="dxa"/>
              <w:right w:w="28" w:type="dxa"/>
            </w:tcMar>
          </w:tcPr>
          <w:p w14:paraId="04D99604" w14:textId="0988A189"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406CA2">
              <w:rPr>
                <w:rFonts w:eastAsia="MS Mincho" w:cstheme="minorHAnsi"/>
              </w:rPr>
              <w:t>≥</w:t>
            </w:r>
            <w:r w:rsidR="00406CA2" w:rsidRPr="00406CA2">
              <w:rPr>
                <w:rFonts w:eastAsia="MS Mincho"/>
              </w:rPr>
              <w:t xml:space="preserve"> 18 years old</w:t>
            </w:r>
            <w:r w:rsidR="00406CA2">
              <w:rPr>
                <w:rFonts w:eastAsia="MS Mincho"/>
              </w:rPr>
              <w:t xml:space="preserve">, </w:t>
            </w:r>
            <w:r w:rsidR="00902E39">
              <w:rPr>
                <w:rFonts w:eastAsia="MS Mincho" w:cstheme="minorHAnsi"/>
              </w:rPr>
              <w:t>≥</w:t>
            </w:r>
            <w:r w:rsidR="00406CA2" w:rsidRPr="00406CA2">
              <w:rPr>
                <w:rFonts w:eastAsia="MS Mincho"/>
              </w:rPr>
              <w:t xml:space="preserve">10 cigarettes per day for </w:t>
            </w:r>
            <w:r w:rsidR="00902E39">
              <w:rPr>
                <w:rFonts w:eastAsia="MS Mincho" w:cstheme="minorHAnsi"/>
              </w:rPr>
              <w:t>≥</w:t>
            </w:r>
            <w:r w:rsidR="00406CA2" w:rsidRPr="00406CA2">
              <w:rPr>
                <w:rFonts w:eastAsia="MS Mincho"/>
              </w:rPr>
              <w:t>6 months</w:t>
            </w:r>
            <w:r w:rsidR="00902E39">
              <w:rPr>
                <w:rFonts w:eastAsia="MS Mincho"/>
              </w:rPr>
              <w:t>,</w:t>
            </w:r>
            <w:r w:rsidR="00406CA2" w:rsidRPr="00406CA2">
              <w:rPr>
                <w:rFonts w:eastAsia="MS Mincho"/>
              </w:rPr>
              <w:t xml:space="preserve"> alcohol dependence or abuse</w:t>
            </w:r>
            <w:r w:rsidR="0095536E">
              <w:rPr>
                <w:rFonts w:eastAsia="MS Mincho"/>
              </w:rPr>
              <w:t xml:space="preserve">, </w:t>
            </w:r>
            <w:r w:rsidR="00406CA2" w:rsidRPr="00406CA2">
              <w:rPr>
                <w:rFonts w:eastAsia="MS Mincho"/>
              </w:rPr>
              <w:t>interested in quitting smoking.</w:t>
            </w:r>
          </w:p>
          <w:p w14:paraId="01926A4E" w14:textId="3AC479FC"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A82F47" w:rsidRPr="00A82F47">
              <w:rPr>
                <w:rFonts w:eastAsia="MS Mincho"/>
              </w:rPr>
              <w:t>had a cardiac condition</w:t>
            </w:r>
            <w:r w:rsidR="00C6101E">
              <w:rPr>
                <w:rFonts w:eastAsia="MS Mincho"/>
              </w:rPr>
              <w:t xml:space="preserve">, </w:t>
            </w:r>
            <w:r w:rsidR="00A82F47" w:rsidRPr="00A82F47">
              <w:rPr>
                <w:rFonts w:eastAsia="MS Mincho"/>
              </w:rPr>
              <w:t>an untreated cardiac dysrhythmia, kidney disease, or cancer; had psychosis, bipolar disorder, or unstable or untreated moderate or severe depression; had current nonspecific suicidal thoughts or had ever made a suicide attempt; had a varenicline allergy; another member of their household was already participating in the study; undergoing current treatment with another investigational drug within the past 30 days; had untreated hypertension or a baseline blood pressure higher than 180 mm Hg systolic or 100 mm Hg diastolic;</w:t>
            </w:r>
            <w:r w:rsidR="008F1983">
              <w:rPr>
                <w:rFonts w:eastAsia="MS Mincho"/>
              </w:rPr>
              <w:t xml:space="preserve"> </w:t>
            </w:r>
            <w:r w:rsidR="00A82F47" w:rsidRPr="00A82F47">
              <w:rPr>
                <w:rFonts w:eastAsia="MS Mincho"/>
              </w:rPr>
              <w:t xml:space="preserve">currently using a tobacco-dependence treatment involving a drug, </w:t>
            </w:r>
            <w:r w:rsidR="008F1983" w:rsidRPr="00A82F47">
              <w:rPr>
                <w:rFonts w:eastAsia="MS Mincho"/>
              </w:rPr>
              <w:t>behavioural</w:t>
            </w:r>
            <w:r w:rsidR="00A82F47" w:rsidRPr="00A82F47">
              <w:rPr>
                <w:rFonts w:eastAsia="MS Mincho"/>
              </w:rPr>
              <w:t xml:space="preserve"> intervention, or both; concurrently using another nicotine product other than cigarettes</w:t>
            </w:r>
            <w:r w:rsidR="008F1983">
              <w:rPr>
                <w:rFonts w:eastAsia="MS Mincho"/>
              </w:rPr>
              <w:t>;</w:t>
            </w:r>
            <w:r w:rsidR="00A82F47" w:rsidRPr="00A82F47">
              <w:rPr>
                <w:rFonts w:eastAsia="MS Mincho"/>
              </w:rPr>
              <w:t xml:space="preserve"> </w:t>
            </w:r>
            <w:r w:rsidR="008F1983">
              <w:rPr>
                <w:rFonts w:eastAsia="MS Mincho"/>
              </w:rPr>
              <w:t>w</w:t>
            </w:r>
            <w:r w:rsidR="00A82F47" w:rsidRPr="00A82F47">
              <w:rPr>
                <w:rFonts w:eastAsia="MS Mincho"/>
              </w:rPr>
              <w:t>omen of childbearing potential or women who were pregnant, breastfeeding, or likely to become pregnant and who were not willing to use contraception during the medication phase of the trial</w:t>
            </w:r>
            <w:r w:rsidR="008F1983">
              <w:rPr>
                <w:rFonts w:eastAsia="MS Mincho"/>
              </w:rPr>
              <w:t>.</w:t>
            </w:r>
          </w:p>
        </w:tc>
        <w:tc>
          <w:tcPr>
            <w:tcW w:w="920" w:type="pct"/>
          </w:tcPr>
          <w:p w14:paraId="46B0A950" w14:textId="665EFB9E"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025C3024" w14:textId="49CF206A"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14:paraId="25AF92E5" w14:textId="77777777" w:rsidR="00EF2313" w:rsidRDefault="00EF2313" w:rsidP="002916A7">
            <w:pPr>
              <w:pStyle w:val="Tablewriting"/>
              <w:rPr>
                <w:rFonts w:eastAsia="MS Mincho"/>
              </w:rPr>
            </w:pPr>
          </w:p>
          <w:p w14:paraId="6904DC85" w14:textId="5BA32F69"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1E5EC648" w14:textId="43BD2EB3"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FC351F">
              <w:rPr>
                <w:rFonts w:eastAsia="MS Mincho"/>
              </w:rPr>
              <w:t xml:space="preserve">7-day PPA at </w:t>
            </w:r>
            <w:r w:rsidR="007B7017">
              <w:rPr>
                <w:rFonts w:eastAsia="MS Mincho"/>
              </w:rPr>
              <w:t>w</w:t>
            </w:r>
            <w:r w:rsidR="00FC351F">
              <w:rPr>
                <w:rFonts w:eastAsia="MS Mincho"/>
              </w:rPr>
              <w:t>eek 1</w:t>
            </w:r>
            <w:r w:rsidR="008A058A">
              <w:rPr>
                <w:rFonts w:eastAsia="MS Mincho"/>
              </w:rPr>
              <w:t>2</w:t>
            </w:r>
            <w:r w:rsidR="00FC351F">
              <w:rPr>
                <w:rFonts w:eastAsia="MS Mincho"/>
              </w:rPr>
              <w:t xml:space="preserve">. Validated by CO </w:t>
            </w:r>
            <w:r w:rsidR="008A058A">
              <w:rPr>
                <w:rFonts w:eastAsia="MS Mincho" w:cstheme="minorHAnsi"/>
              </w:rPr>
              <w:t>≤</w:t>
            </w:r>
            <w:r w:rsidR="00FC351F">
              <w:rPr>
                <w:rFonts w:eastAsia="MS Mincho"/>
              </w:rPr>
              <w:t>8 ppm.</w:t>
            </w:r>
          </w:p>
          <w:p w14:paraId="7A8CBE45" w14:textId="7E01AB76" w:rsidR="00EF2313" w:rsidRPr="002D3A9F" w:rsidRDefault="00EF2313" w:rsidP="002916A7">
            <w:pPr>
              <w:pStyle w:val="Tablewriting"/>
              <w:rPr>
                <w:rFonts w:eastAsia="MS Mincho"/>
              </w:rPr>
            </w:pPr>
            <w:r w:rsidRPr="008C39E4">
              <w:rPr>
                <w:rFonts w:eastAsia="MS Mincho"/>
                <w:u w:val="single"/>
              </w:rPr>
              <w:t>Secondary</w:t>
            </w:r>
            <w:r>
              <w:rPr>
                <w:rFonts w:eastAsia="MS Mincho"/>
              </w:rPr>
              <w:t xml:space="preserve">: </w:t>
            </w:r>
            <w:r w:rsidR="005C553E">
              <w:rPr>
                <w:rFonts w:eastAsia="MS Mincho"/>
              </w:rPr>
              <w:t xml:space="preserve">7-day PPA at </w:t>
            </w:r>
            <w:r w:rsidR="007B7017">
              <w:rPr>
                <w:rFonts w:eastAsia="MS Mincho"/>
              </w:rPr>
              <w:t>w</w:t>
            </w:r>
            <w:r w:rsidR="005C553E">
              <w:rPr>
                <w:rFonts w:eastAsia="MS Mincho"/>
              </w:rPr>
              <w:t xml:space="preserve">eek 26, adverse events, </w:t>
            </w:r>
            <w:r w:rsidR="002D3A9F">
              <w:rPr>
                <w:rFonts w:eastAsia="MS Mincho"/>
              </w:rPr>
              <w:t>alcohol use</w:t>
            </w:r>
            <w:r w:rsidR="000F1E7A">
              <w:rPr>
                <w:rFonts w:eastAsia="MS Mincho"/>
              </w:rPr>
              <w:t>.</w:t>
            </w:r>
          </w:p>
        </w:tc>
      </w:tr>
      <w:tr w:rsidR="00A2658D" w:rsidRPr="00061F78" w14:paraId="0AD9477F" w14:textId="77777777" w:rsidTr="004D7C8D">
        <w:trPr>
          <w:trHeight w:val="149"/>
        </w:trPr>
        <w:tc>
          <w:tcPr>
            <w:tcW w:w="332" w:type="pct"/>
            <w:tcMar>
              <w:left w:w="28" w:type="dxa"/>
              <w:right w:w="28" w:type="dxa"/>
            </w:tcMar>
          </w:tcPr>
          <w:p w14:paraId="38A356DB" w14:textId="377A6172" w:rsidR="00A2658D" w:rsidRDefault="00A2658D" w:rsidP="002916A7">
            <w:pPr>
              <w:pStyle w:val="Tablewriting"/>
              <w:rPr>
                <w:rFonts w:eastAsia="MS Mincho"/>
              </w:rPr>
            </w:pPr>
            <w:r>
              <w:rPr>
                <w:rFonts w:eastAsia="MS Mincho"/>
              </w:rPr>
              <w:t>Mercie (2018)</w:t>
            </w:r>
          </w:p>
        </w:tc>
        <w:tc>
          <w:tcPr>
            <w:tcW w:w="395" w:type="pct"/>
          </w:tcPr>
          <w:p w14:paraId="6D47E952" w14:textId="1E39182D" w:rsidR="00A2658D" w:rsidRDefault="00A2658D" w:rsidP="002916A7">
            <w:pPr>
              <w:pStyle w:val="Tablewriting"/>
              <w:rPr>
                <w:rFonts w:eastAsia="MS Mincho"/>
              </w:rPr>
            </w:pPr>
            <w:r>
              <w:rPr>
                <w:rFonts w:eastAsia="MS Mincho"/>
              </w:rPr>
              <w:t>RCT</w:t>
            </w:r>
          </w:p>
        </w:tc>
        <w:tc>
          <w:tcPr>
            <w:tcW w:w="347" w:type="pct"/>
            <w:tcMar>
              <w:left w:w="28" w:type="dxa"/>
              <w:right w:w="28" w:type="dxa"/>
            </w:tcMar>
          </w:tcPr>
          <w:p w14:paraId="783599B9" w14:textId="1696786B" w:rsidR="00A2658D" w:rsidRDefault="00A2658D" w:rsidP="002916A7">
            <w:pPr>
              <w:pStyle w:val="Tablewriting"/>
              <w:rPr>
                <w:rFonts w:eastAsia="MS Mincho"/>
              </w:rPr>
            </w:pPr>
            <w:r>
              <w:rPr>
                <w:rFonts w:eastAsia="MS Mincho"/>
              </w:rPr>
              <w:t>N=248</w:t>
            </w:r>
          </w:p>
          <w:p w14:paraId="7ACEDFDA" w14:textId="2AA2D17A" w:rsidR="00A2658D" w:rsidRDefault="00A2658D" w:rsidP="002916A7">
            <w:pPr>
              <w:pStyle w:val="Tablewriting"/>
              <w:rPr>
                <w:rFonts w:eastAsia="MS Mincho"/>
              </w:rPr>
            </w:pPr>
            <w:r>
              <w:rPr>
                <w:rFonts w:eastAsia="MS Mincho"/>
              </w:rPr>
              <w:t>Varenicline (n=1</w:t>
            </w:r>
            <w:r w:rsidR="00026014">
              <w:rPr>
                <w:rFonts w:eastAsia="MS Mincho"/>
              </w:rPr>
              <w:t>23</w:t>
            </w:r>
            <w:r>
              <w:rPr>
                <w:rFonts w:eastAsia="MS Mincho"/>
              </w:rPr>
              <w:t>), Placebo (n=1</w:t>
            </w:r>
            <w:r w:rsidR="00026014">
              <w:rPr>
                <w:rFonts w:eastAsia="MS Mincho"/>
              </w:rPr>
              <w:t>25</w:t>
            </w:r>
            <w:r>
              <w:rPr>
                <w:rFonts w:eastAsia="MS Mincho"/>
              </w:rPr>
              <w:t>)</w:t>
            </w:r>
          </w:p>
        </w:tc>
        <w:tc>
          <w:tcPr>
            <w:tcW w:w="1866" w:type="pct"/>
            <w:tcMar>
              <w:left w:w="28" w:type="dxa"/>
              <w:right w:w="28" w:type="dxa"/>
            </w:tcMar>
          </w:tcPr>
          <w:p w14:paraId="1F28A6BD" w14:textId="6D14719A" w:rsidR="00A2658D" w:rsidRDefault="00A2658D" w:rsidP="002916A7">
            <w:pPr>
              <w:pStyle w:val="Tablewriting"/>
              <w:rPr>
                <w:rFonts w:eastAsia="MS Mincho"/>
              </w:rPr>
            </w:pPr>
            <w:r w:rsidRPr="007F28D7">
              <w:rPr>
                <w:rFonts w:eastAsia="MS Mincho"/>
                <w:u w:val="single"/>
              </w:rPr>
              <w:t>Inclusion</w:t>
            </w:r>
            <w:r>
              <w:rPr>
                <w:rFonts w:eastAsia="MS Mincho"/>
              </w:rPr>
              <w:t xml:space="preserve">: </w:t>
            </w:r>
            <w:r w:rsidR="00784895">
              <w:rPr>
                <w:rFonts w:eastAsia="MS Mincho" w:cstheme="minorHAnsi"/>
              </w:rPr>
              <w:t>≥</w:t>
            </w:r>
            <w:r w:rsidR="00784895" w:rsidRPr="00784895">
              <w:rPr>
                <w:rFonts w:eastAsia="MS Mincho"/>
              </w:rPr>
              <w:t>18 years o</w:t>
            </w:r>
            <w:r w:rsidR="00784895">
              <w:rPr>
                <w:rFonts w:eastAsia="MS Mincho"/>
              </w:rPr>
              <w:t xml:space="preserve">ld </w:t>
            </w:r>
            <w:r w:rsidR="00784895" w:rsidRPr="00784895">
              <w:rPr>
                <w:rFonts w:eastAsia="MS Mincho"/>
              </w:rPr>
              <w:t>with documented HIV infectio</w:t>
            </w:r>
            <w:r w:rsidR="00784895">
              <w:rPr>
                <w:rFonts w:eastAsia="MS Mincho"/>
              </w:rPr>
              <w:t xml:space="preserve">n, </w:t>
            </w:r>
            <w:r w:rsidR="00784895">
              <w:rPr>
                <w:rFonts w:eastAsia="MS Mincho" w:cstheme="minorHAnsi"/>
              </w:rPr>
              <w:t>≥</w:t>
            </w:r>
            <w:r w:rsidR="00784895">
              <w:rPr>
                <w:rFonts w:eastAsia="MS Mincho"/>
              </w:rPr>
              <w:t>10</w:t>
            </w:r>
            <w:r w:rsidR="00784895" w:rsidRPr="00784895">
              <w:rPr>
                <w:rFonts w:eastAsia="MS Mincho"/>
              </w:rPr>
              <w:t xml:space="preserve"> cigarettes daily for a year or more, volunteered to stop smoking after completing a Q-MAT smoking cessation motivation questionnaire,</w:t>
            </w:r>
            <w:r w:rsidR="00EF4F71">
              <w:rPr>
                <w:rFonts w:eastAsia="MS Mincho"/>
              </w:rPr>
              <w:t xml:space="preserve"> </w:t>
            </w:r>
            <w:r w:rsidR="00784895" w:rsidRPr="00784895">
              <w:rPr>
                <w:rFonts w:eastAsia="MS Mincho"/>
              </w:rPr>
              <w:t>regularly followed up in one of the participating French hospitals.</w:t>
            </w:r>
          </w:p>
          <w:p w14:paraId="6D6EB224" w14:textId="1CD15657" w:rsidR="00A2658D" w:rsidRPr="007F28D7" w:rsidRDefault="00A2658D" w:rsidP="002916A7">
            <w:pPr>
              <w:pStyle w:val="Tablewriting"/>
              <w:rPr>
                <w:rFonts w:eastAsia="MS Mincho"/>
                <w:u w:val="single"/>
              </w:rPr>
            </w:pPr>
            <w:r w:rsidRPr="007F28D7">
              <w:rPr>
                <w:rFonts w:eastAsia="MS Mincho"/>
                <w:u w:val="single"/>
              </w:rPr>
              <w:t>Exclusion</w:t>
            </w:r>
            <w:r>
              <w:rPr>
                <w:rFonts w:eastAsia="MS Mincho"/>
              </w:rPr>
              <w:t xml:space="preserve">: </w:t>
            </w:r>
            <w:r w:rsidR="00EF4F71" w:rsidRPr="00EF4F71">
              <w:rPr>
                <w:rFonts w:eastAsia="MS Mincho"/>
              </w:rPr>
              <w:t xml:space="preserve">co-dependent on a psychoactive substance other than tobacco, had a depressive episode during enrolment </w:t>
            </w:r>
            <w:r w:rsidR="00EF4F71" w:rsidRPr="00EF4F71">
              <w:rPr>
                <w:rFonts w:eastAsia="MS Mincho"/>
              </w:rPr>
              <w:lastRenderedPageBreak/>
              <w:t>diagnosed by a psychiatrist, had ever attempted suicide, were having ongoing treatment with interferon, had been taking efavirenz for less than 3 months or</w:t>
            </w:r>
            <w:r w:rsidR="00EF4F71">
              <w:rPr>
                <w:rFonts w:eastAsia="MS Mincho"/>
              </w:rPr>
              <w:t xml:space="preserve"> </w:t>
            </w:r>
            <w:r w:rsidR="00EF4F71" w:rsidRPr="00EF4F71">
              <w:rPr>
                <w:rFonts w:eastAsia="MS Mincho"/>
              </w:rPr>
              <w:t>had neuropsychological drug-related adverse events while taking efavirenz</w:t>
            </w:r>
            <w:r w:rsidR="00EF4F71">
              <w:rPr>
                <w:rFonts w:eastAsia="MS Mincho"/>
              </w:rPr>
              <w:t>,</w:t>
            </w:r>
            <w:r w:rsidR="00EF4F71" w:rsidRPr="00EF4F71">
              <w:rPr>
                <w:rFonts w:eastAsia="MS Mincho"/>
              </w:rPr>
              <w:t xml:space="preserve"> previous treatment with varenicline (or known hypersensitivity to varenicline) or bupropion or ongoing nicotine replacement therapy, being pregnant, or ongoing breastfeeding</w:t>
            </w:r>
            <w:r w:rsidR="000F1E7A">
              <w:rPr>
                <w:rFonts w:eastAsia="MS Mincho"/>
              </w:rPr>
              <w:t>.</w:t>
            </w:r>
          </w:p>
        </w:tc>
        <w:tc>
          <w:tcPr>
            <w:tcW w:w="920" w:type="pct"/>
          </w:tcPr>
          <w:p w14:paraId="66665114" w14:textId="2EB0F932" w:rsidR="00A2658D" w:rsidRDefault="00A2658D"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7E415F94" w14:textId="76147B1D" w:rsidR="00A2658D" w:rsidRDefault="00A2658D" w:rsidP="002916A7">
            <w:pPr>
              <w:pStyle w:val="Tablewriting"/>
              <w:rPr>
                <w:rFonts w:eastAsia="MS Mincho"/>
              </w:rPr>
            </w:pPr>
            <w:r>
              <w:rPr>
                <w:rFonts w:eastAsia="MS Mincho"/>
              </w:rPr>
              <w:t>Placebo: placebo tablet for 12 weeks, same regimen</w:t>
            </w:r>
            <w:r w:rsidR="000F1E7A">
              <w:rPr>
                <w:rFonts w:eastAsia="MS Mincho"/>
              </w:rPr>
              <w:t>.</w:t>
            </w:r>
          </w:p>
          <w:p w14:paraId="2CFC9F83" w14:textId="77777777" w:rsidR="00A2658D" w:rsidRDefault="00A2658D" w:rsidP="002916A7">
            <w:pPr>
              <w:pStyle w:val="Tablewriting"/>
              <w:rPr>
                <w:rFonts w:eastAsia="MS Mincho"/>
              </w:rPr>
            </w:pPr>
          </w:p>
          <w:p w14:paraId="4AB50A56" w14:textId="72802A0C" w:rsidR="00A2658D" w:rsidRDefault="00A2658D"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39D9F6CF" w14:textId="50BF7E10" w:rsidR="00A2658D" w:rsidRDefault="00A2658D" w:rsidP="002916A7">
            <w:pPr>
              <w:pStyle w:val="Tablewriting"/>
              <w:rPr>
                <w:rFonts w:eastAsia="MS Mincho"/>
              </w:rPr>
            </w:pPr>
            <w:r w:rsidRPr="008C39E4">
              <w:rPr>
                <w:rFonts w:eastAsia="MS Mincho"/>
                <w:u w:val="single"/>
              </w:rPr>
              <w:lastRenderedPageBreak/>
              <w:t>Primary</w:t>
            </w:r>
            <w:r>
              <w:rPr>
                <w:rFonts w:eastAsia="MS Mincho"/>
              </w:rPr>
              <w:t xml:space="preserve">: </w:t>
            </w:r>
            <w:r w:rsidR="003733B0">
              <w:rPr>
                <w:rFonts w:eastAsia="MS Mincho"/>
              </w:rPr>
              <w:t>CAR</w:t>
            </w:r>
            <w:r>
              <w:rPr>
                <w:rFonts w:eastAsia="MS Mincho"/>
              </w:rPr>
              <w:t xml:space="preserve"> at </w:t>
            </w:r>
            <w:r w:rsidR="007B7017">
              <w:rPr>
                <w:rFonts w:eastAsia="MS Mincho"/>
              </w:rPr>
              <w:t>w</w:t>
            </w:r>
            <w:r>
              <w:rPr>
                <w:rFonts w:eastAsia="MS Mincho"/>
              </w:rPr>
              <w:t xml:space="preserve">eek </w:t>
            </w:r>
            <w:r w:rsidR="003733B0">
              <w:rPr>
                <w:rFonts w:eastAsia="MS Mincho"/>
              </w:rPr>
              <w:t>9-48</w:t>
            </w:r>
            <w:r>
              <w:rPr>
                <w:rFonts w:eastAsia="MS Mincho"/>
              </w:rPr>
              <w:t xml:space="preserve">. Validated by CO </w:t>
            </w:r>
            <w:r>
              <w:rPr>
                <w:rFonts w:eastAsia="MS Mincho" w:cstheme="minorHAnsi"/>
              </w:rPr>
              <w:t>≤</w:t>
            </w:r>
            <w:r>
              <w:rPr>
                <w:rFonts w:eastAsia="MS Mincho"/>
              </w:rPr>
              <w:t>10 ppm.</w:t>
            </w:r>
          </w:p>
          <w:p w14:paraId="1E5A5771" w14:textId="7E0BAA18" w:rsidR="00A2658D" w:rsidRPr="008C39E4" w:rsidRDefault="00A2658D" w:rsidP="002916A7">
            <w:pPr>
              <w:pStyle w:val="Tablewriting"/>
              <w:rPr>
                <w:rFonts w:eastAsia="MS Mincho"/>
                <w:u w:val="single"/>
              </w:rPr>
            </w:pPr>
            <w:r>
              <w:rPr>
                <w:rFonts w:eastAsia="MS Mincho"/>
                <w:u w:val="single"/>
              </w:rPr>
              <w:t>Secondary</w:t>
            </w:r>
            <w:r>
              <w:rPr>
                <w:rFonts w:eastAsia="MS Mincho"/>
              </w:rPr>
              <w:t xml:space="preserve">: </w:t>
            </w:r>
            <w:r w:rsidR="005230D6">
              <w:rPr>
                <w:rFonts w:eastAsia="MS Mincho"/>
              </w:rPr>
              <w:t xml:space="preserve">CAR at </w:t>
            </w:r>
            <w:r w:rsidR="007B7017">
              <w:rPr>
                <w:rFonts w:eastAsia="MS Mincho"/>
              </w:rPr>
              <w:t>w</w:t>
            </w:r>
            <w:r w:rsidR="005230D6">
              <w:rPr>
                <w:rFonts w:eastAsia="MS Mincho"/>
              </w:rPr>
              <w:t>eek 9-12</w:t>
            </w:r>
            <w:r w:rsidR="00AE5A27">
              <w:rPr>
                <w:rFonts w:eastAsia="MS Mincho"/>
              </w:rPr>
              <w:t>, incidence of episodes of depression, cardiovascular and cerebrovascular events</w:t>
            </w:r>
            <w:r w:rsidR="00CB3AC5">
              <w:rPr>
                <w:rFonts w:eastAsia="MS Mincho"/>
              </w:rPr>
              <w:t>, adverse events</w:t>
            </w:r>
            <w:r w:rsidR="000F1E7A">
              <w:rPr>
                <w:rFonts w:eastAsia="MS Mincho"/>
              </w:rPr>
              <w:t>.</w:t>
            </w:r>
          </w:p>
        </w:tc>
      </w:tr>
      <w:tr w:rsidR="00EF2313" w:rsidRPr="00061F78" w14:paraId="5DF9B9B3" w14:textId="77777777" w:rsidTr="004D7C8D">
        <w:trPr>
          <w:trHeight w:val="149"/>
        </w:trPr>
        <w:tc>
          <w:tcPr>
            <w:tcW w:w="332" w:type="pct"/>
            <w:tcMar>
              <w:left w:w="28" w:type="dxa"/>
              <w:right w:w="28" w:type="dxa"/>
            </w:tcMar>
          </w:tcPr>
          <w:p w14:paraId="4A012BE2" w14:textId="6CF9286E" w:rsidR="00EF2313" w:rsidRDefault="00EF2313" w:rsidP="002916A7">
            <w:pPr>
              <w:pStyle w:val="Tablewriting"/>
              <w:rPr>
                <w:rFonts w:eastAsia="MS Mincho"/>
              </w:rPr>
            </w:pPr>
            <w:r>
              <w:rPr>
                <w:rFonts w:eastAsia="MS Mincho"/>
              </w:rPr>
              <w:t>Windle (2018)</w:t>
            </w:r>
          </w:p>
        </w:tc>
        <w:tc>
          <w:tcPr>
            <w:tcW w:w="395" w:type="pct"/>
          </w:tcPr>
          <w:p w14:paraId="29FD54C5" w14:textId="6BCE8037" w:rsidR="00EF2313" w:rsidRDefault="00EF2313" w:rsidP="002916A7">
            <w:pPr>
              <w:pStyle w:val="Tablewriting"/>
              <w:rPr>
                <w:rFonts w:eastAsia="MS Mincho"/>
              </w:rPr>
            </w:pPr>
            <w:r>
              <w:rPr>
                <w:rFonts w:eastAsia="MS Mincho"/>
              </w:rPr>
              <w:t>RCT</w:t>
            </w:r>
          </w:p>
        </w:tc>
        <w:tc>
          <w:tcPr>
            <w:tcW w:w="347" w:type="pct"/>
            <w:tcMar>
              <w:left w:w="28" w:type="dxa"/>
              <w:right w:w="28" w:type="dxa"/>
            </w:tcMar>
          </w:tcPr>
          <w:p w14:paraId="60F46449" w14:textId="2D47E013" w:rsidR="00EF2313" w:rsidRDefault="00EF2313" w:rsidP="002916A7">
            <w:pPr>
              <w:pStyle w:val="Tablewriting"/>
              <w:rPr>
                <w:rFonts w:eastAsia="MS Mincho"/>
              </w:rPr>
            </w:pPr>
            <w:r>
              <w:rPr>
                <w:rFonts w:eastAsia="MS Mincho"/>
              </w:rPr>
              <w:t>N=</w:t>
            </w:r>
            <w:r w:rsidR="00223726">
              <w:rPr>
                <w:rFonts w:eastAsia="MS Mincho"/>
              </w:rPr>
              <w:t>302</w:t>
            </w:r>
          </w:p>
          <w:p w14:paraId="76A9D0F8" w14:textId="15853C0C" w:rsidR="00EF2313" w:rsidRDefault="00EF2313" w:rsidP="002916A7">
            <w:pPr>
              <w:pStyle w:val="Tablewriting"/>
              <w:rPr>
                <w:rFonts w:eastAsia="MS Mincho"/>
              </w:rPr>
            </w:pPr>
            <w:r>
              <w:rPr>
                <w:rFonts w:eastAsia="MS Mincho"/>
              </w:rPr>
              <w:t>Varenicline (n=</w:t>
            </w:r>
            <w:r w:rsidR="00223726">
              <w:rPr>
                <w:rFonts w:eastAsia="MS Mincho"/>
              </w:rPr>
              <w:t>151</w:t>
            </w:r>
            <w:r>
              <w:rPr>
                <w:rFonts w:eastAsia="MS Mincho"/>
              </w:rPr>
              <w:t>), Placebo (n=1</w:t>
            </w:r>
            <w:r w:rsidR="00223726">
              <w:rPr>
                <w:rFonts w:eastAsia="MS Mincho"/>
              </w:rPr>
              <w:t>51</w:t>
            </w:r>
            <w:r>
              <w:rPr>
                <w:rFonts w:eastAsia="MS Mincho"/>
              </w:rPr>
              <w:t>)</w:t>
            </w:r>
          </w:p>
        </w:tc>
        <w:tc>
          <w:tcPr>
            <w:tcW w:w="1866" w:type="pct"/>
            <w:tcMar>
              <w:left w:w="28" w:type="dxa"/>
              <w:right w:w="28" w:type="dxa"/>
            </w:tcMar>
          </w:tcPr>
          <w:p w14:paraId="26AD875C" w14:textId="1A224C42"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≥10 cigarettes</w:t>
            </w:r>
            <w:r>
              <w:rPr>
                <w:rFonts w:eastAsia="MS Mincho"/>
              </w:rPr>
              <w:t xml:space="preserve"> per </w:t>
            </w:r>
            <w:r w:rsidRPr="00C522B0">
              <w:rPr>
                <w:rFonts w:eastAsia="MS Mincho"/>
              </w:rPr>
              <w:t xml:space="preserve">day </w:t>
            </w:r>
            <w:r w:rsidR="00D51829">
              <w:rPr>
                <w:rFonts w:eastAsia="MS Mincho"/>
              </w:rPr>
              <w:t>for the past year</w:t>
            </w:r>
            <w:r w:rsidRPr="00C522B0">
              <w:rPr>
                <w:rFonts w:eastAsia="MS Mincho"/>
              </w:rPr>
              <w:t xml:space="preserve">, motivated to </w:t>
            </w:r>
            <w:r w:rsidR="00D51829">
              <w:rPr>
                <w:rFonts w:eastAsia="MS Mincho"/>
              </w:rPr>
              <w:t>quit</w:t>
            </w:r>
            <w:r w:rsidRPr="00C522B0">
              <w:rPr>
                <w:rFonts w:eastAsia="MS Mincho"/>
              </w:rPr>
              <w:t>.</w:t>
            </w:r>
          </w:p>
          <w:p w14:paraId="6BC2BE44" w14:textId="25E9FCCE"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7F051F" w:rsidRPr="007F051F">
              <w:rPr>
                <w:rFonts w:eastAsia="MS Mincho"/>
              </w:rPr>
              <w:t>history of mental illness</w:t>
            </w:r>
            <w:r w:rsidR="000F1E7A">
              <w:rPr>
                <w:rFonts w:eastAsia="MS Mincho"/>
              </w:rPr>
              <w:t>.</w:t>
            </w:r>
          </w:p>
        </w:tc>
        <w:tc>
          <w:tcPr>
            <w:tcW w:w="920" w:type="pct"/>
          </w:tcPr>
          <w:p w14:paraId="19A40BC0" w14:textId="79E3703C"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4563863D" w14:textId="1C944354" w:rsidR="00EF2313" w:rsidRDefault="00EF2313" w:rsidP="002916A7">
            <w:pPr>
              <w:pStyle w:val="Tablewriting"/>
              <w:rPr>
                <w:rFonts w:eastAsia="MS Mincho"/>
              </w:rPr>
            </w:pPr>
            <w:r>
              <w:rPr>
                <w:rFonts w:eastAsia="MS Mincho"/>
              </w:rPr>
              <w:t>Placebo: placebo tablet for 12 weeks, same regimen</w:t>
            </w:r>
            <w:r w:rsidR="000F1E7A">
              <w:rPr>
                <w:rFonts w:eastAsia="MS Mincho"/>
              </w:rPr>
              <w:t>.</w:t>
            </w:r>
          </w:p>
          <w:p w14:paraId="1621A290" w14:textId="77777777" w:rsidR="00EF2313" w:rsidRDefault="00EF2313" w:rsidP="002916A7">
            <w:pPr>
              <w:pStyle w:val="Tablewriting"/>
              <w:rPr>
                <w:rFonts w:eastAsia="MS Mincho"/>
              </w:rPr>
            </w:pPr>
          </w:p>
          <w:p w14:paraId="290A206E" w14:textId="23661DF8"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1F987AA7" w14:textId="6E8DEDFF"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A041AB">
              <w:rPr>
                <w:rFonts w:eastAsia="MS Mincho"/>
              </w:rPr>
              <w:t>7-day PPA</w:t>
            </w:r>
            <w:r>
              <w:rPr>
                <w:rFonts w:eastAsia="MS Mincho"/>
              </w:rPr>
              <w:t xml:space="preserve"> at </w:t>
            </w:r>
            <w:r w:rsidR="007B7017">
              <w:rPr>
                <w:rFonts w:eastAsia="MS Mincho"/>
              </w:rPr>
              <w:t>w</w:t>
            </w:r>
            <w:r>
              <w:rPr>
                <w:rFonts w:eastAsia="MS Mincho"/>
              </w:rPr>
              <w:t xml:space="preserve">eek </w:t>
            </w:r>
            <w:r w:rsidR="000C5117">
              <w:rPr>
                <w:rFonts w:eastAsia="MS Mincho"/>
              </w:rPr>
              <w:t>24</w:t>
            </w:r>
            <w:r>
              <w:rPr>
                <w:rFonts w:eastAsia="MS Mincho"/>
              </w:rPr>
              <w:t xml:space="preserve">. Validated by CO </w:t>
            </w:r>
            <w:r>
              <w:rPr>
                <w:rFonts w:eastAsia="MS Mincho" w:cstheme="minorHAnsi"/>
              </w:rPr>
              <w:t>≤</w:t>
            </w:r>
            <w:r>
              <w:rPr>
                <w:rFonts w:eastAsia="MS Mincho"/>
              </w:rPr>
              <w:t>10 ppm.</w:t>
            </w:r>
          </w:p>
          <w:p w14:paraId="048ADAD4" w14:textId="46A12424" w:rsidR="00EF2313" w:rsidRPr="0036499C" w:rsidRDefault="0071795F" w:rsidP="002916A7">
            <w:pPr>
              <w:pStyle w:val="Tablewriting"/>
              <w:rPr>
                <w:rFonts w:eastAsia="MS Mincho"/>
                <w:u w:val="single"/>
              </w:rPr>
            </w:pPr>
            <w:r>
              <w:rPr>
                <w:rFonts w:eastAsia="MS Mincho"/>
                <w:u w:val="single"/>
              </w:rPr>
              <w:t>Secondary</w:t>
            </w:r>
            <w:r w:rsidR="00EF2313">
              <w:rPr>
                <w:rFonts w:eastAsia="MS Mincho"/>
              </w:rPr>
              <w:t xml:space="preserve">: </w:t>
            </w:r>
            <w:r>
              <w:rPr>
                <w:rFonts w:eastAsia="MS Mincho"/>
              </w:rPr>
              <w:t>7-day PPA at all follow</w:t>
            </w:r>
            <w:r w:rsidR="0031665F">
              <w:rPr>
                <w:rFonts w:eastAsia="MS Mincho"/>
              </w:rPr>
              <w:t>-</w:t>
            </w:r>
            <w:r w:rsidR="00F96708">
              <w:rPr>
                <w:rFonts w:eastAsia="MS Mincho"/>
              </w:rPr>
              <w:t>ups</w:t>
            </w:r>
            <w:r w:rsidR="0077243F">
              <w:rPr>
                <w:rFonts w:eastAsia="MS Mincho"/>
              </w:rPr>
              <w:t xml:space="preserve"> (up to </w:t>
            </w:r>
            <w:r w:rsidR="007B7017">
              <w:rPr>
                <w:rFonts w:eastAsia="MS Mincho"/>
              </w:rPr>
              <w:t>w</w:t>
            </w:r>
            <w:r w:rsidR="0077243F">
              <w:rPr>
                <w:rFonts w:eastAsia="MS Mincho"/>
              </w:rPr>
              <w:t xml:space="preserve">eek 52), reduction in daily cigarette consumption by </w:t>
            </w:r>
            <w:r w:rsidR="0077243F">
              <w:rPr>
                <w:rFonts w:eastAsia="MS Mincho" w:cstheme="minorHAnsi"/>
              </w:rPr>
              <w:t>≥</w:t>
            </w:r>
            <w:r w:rsidR="0077243F">
              <w:rPr>
                <w:rFonts w:eastAsia="MS Mincho"/>
              </w:rPr>
              <w:t xml:space="preserve">50%, </w:t>
            </w:r>
            <w:r w:rsidR="00EF2313">
              <w:rPr>
                <w:rFonts w:eastAsia="MS Mincho"/>
              </w:rPr>
              <w:t>a</w:t>
            </w:r>
            <w:r w:rsidR="00EF2313" w:rsidRPr="00B83AC1">
              <w:rPr>
                <w:rFonts w:eastAsia="MS Mincho"/>
              </w:rPr>
              <w:t xml:space="preserve">dverse events, </w:t>
            </w:r>
            <w:r w:rsidR="00EF2313">
              <w:rPr>
                <w:rFonts w:eastAsia="MS Mincho"/>
              </w:rPr>
              <w:t>serious adverse event</w:t>
            </w:r>
            <w:r w:rsidR="00EF2313" w:rsidRPr="00B83AC1">
              <w:rPr>
                <w:rFonts w:eastAsia="MS Mincho"/>
              </w:rPr>
              <w:t>s</w:t>
            </w:r>
            <w:r w:rsidR="000F1E7A">
              <w:rPr>
                <w:rFonts w:eastAsia="MS Mincho"/>
              </w:rPr>
              <w:t>.</w:t>
            </w:r>
          </w:p>
        </w:tc>
      </w:tr>
      <w:tr w:rsidR="00EF2313" w:rsidRPr="00061F78" w14:paraId="2B01A8BB" w14:textId="77777777" w:rsidTr="004D7C8D">
        <w:trPr>
          <w:trHeight w:val="149"/>
        </w:trPr>
        <w:tc>
          <w:tcPr>
            <w:tcW w:w="332" w:type="pct"/>
            <w:tcMar>
              <w:left w:w="28" w:type="dxa"/>
              <w:right w:w="28" w:type="dxa"/>
            </w:tcMar>
          </w:tcPr>
          <w:p w14:paraId="0D790B15" w14:textId="68A4A53A" w:rsidR="00EF2313" w:rsidRDefault="00EF2313" w:rsidP="002916A7">
            <w:pPr>
              <w:pStyle w:val="Tablewriting"/>
              <w:rPr>
                <w:rFonts w:eastAsia="MS Mincho"/>
              </w:rPr>
            </w:pPr>
            <w:r>
              <w:rPr>
                <w:rFonts w:eastAsia="MS Mincho"/>
              </w:rPr>
              <w:t>Ashare (2019)</w:t>
            </w:r>
          </w:p>
        </w:tc>
        <w:tc>
          <w:tcPr>
            <w:tcW w:w="395" w:type="pct"/>
          </w:tcPr>
          <w:p w14:paraId="77AAD062" w14:textId="39058A08" w:rsidR="00EF2313" w:rsidRDefault="00EF2313" w:rsidP="002916A7">
            <w:pPr>
              <w:pStyle w:val="Tablewriting"/>
              <w:rPr>
                <w:rFonts w:eastAsia="MS Mincho"/>
              </w:rPr>
            </w:pPr>
            <w:r>
              <w:rPr>
                <w:rFonts w:eastAsia="MS Mincho"/>
              </w:rPr>
              <w:t>RCT</w:t>
            </w:r>
          </w:p>
        </w:tc>
        <w:tc>
          <w:tcPr>
            <w:tcW w:w="347" w:type="pct"/>
            <w:tcMar>
              <w:left w:w="28" w:type="dxa"/>
              <w:right w:w="28" w:type="dxa"/>
            </w:tcMar>
          </w:tcPr>
          <w:p w14:paraId="7660170F" w14:textId="7B25C68B" w:rsidR="00EF2313" w:rsidRDefault="00EF2313" w:rsidP="002916A7">
            <w:pPr>
              <w:pStyle w:val="Tablewriting"/>
              <w:rPr>
                <w:rFonts w:eastAsia="MS Mincho"/>
              </w:rPr>
            </w:pPr>
            <w:r>
              <w:rPr>
                <w:rFonts w:eastAsia="MS Mincho"/>
              </w:rPr>
              <w:t>N=</w:t>
            </w:r>
            <w:r w:rsidR="0027701C">
              <w:rPr>
                <w:rFonts w:eastAsia="MS Mincho"/>
              </w:rPr>
              <w:t>17</w:t>
            </w:r>
            <w:r>
              <w:rPr>
                <w:rFonts w:eastAsia="MS Mincho"/>
              </w:rPr>
              <w:t>9</w:t>
            </w:r>
          </w:p>
          <w:p w14:paraId="6F0942CC" w14:textId="730ADDCE" w:rsidR="00EF2313" w:rsidRDefault="00EF2313" w:rsidP="002916A7">
            <w:pPr>
              <w:pStyle w:val="Tablewriting"/>
              <w:rPr>
                <w:rFonts w:eastAsia="MS Mincho"/>
              </w:rPr>
            </w:pPr>
            <w:r>
              <w:rPr>
                <w:rFonts w:eastAsia="MS Mincho"/>
              </w:rPr>
              <w:t>Varenicline (n=</w:t>
            </w:r>
            <w:r w:rsidR="001D0D30">
              <w:rPr>
                <w:rFonts w:eastAsia="MS Mincho"/>
              </w:rPr>
              <w:t>89</w:t>
            </w:r>
            <w:r>
              <w:rPr>
                <w:rFonts w:eastAsia="MS Mincho"/>
              </w:rPr>
              <w:t>), Placebo (n=</w:t>
            </w:r>
            <w:r w:rsidR="001D0D30">
              <w:rPr>
                <w:rFonts w:eastAsia="MS Mincho"/>
              </w:rPr>
              <w:t>90</w:t>
            </w:r>
            <w:r>
              <w:rPr>
                <w:rFonts w:eastAsia="MS Mincho"/>
              </w:rPr>
              <w:t>)</w:t>
            </w:r>
          </w:p>
        </w:tc>
        <w:tc>
          <w:tcPr>
            <w:tcW w:w="1866" w:type="pct"/>
            <w:tcMar>
              <w:left w:w="28" w:type="dxa"/>
              <w:right w:w="28" w:type="dxa"/>
            </w:tcMar>
          </w:tcPr>
          <w:p w14:paraId="3A6BF8F9" w14:textId="5383F297"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D22935" w:rsidRPr="00D22935">
              <w:rPr>
                <w:rFonts w:eastAsia="MS Mincho"/>
              </w:rPr>
              <w:t>&gt;18</w:t>
            </w:r>
            <w:r w:rsidR="00D22935">
              <w:rPr>
                <w:rFonts w:eastAsia="MS Mincho"/>
              </w:rPr>
              <w:t xml:space="preserve"> years old</w:t>
            </w:r>
            <w:r w:rsidR="00D22935" w:rsidRPr="00D22935">
              <w:rPr>
                <w:rFonts w:eastAsia="MS Mincho"/>
              </w:rPr>
              <w:t>, confirmed HIV diagnosis, be treated with ART with HIV viral loads &lt;1000 copies/ml and CD4+ counts</w:t>
            </w:r>
            <w:r w:rsidR="00D22935">
              <w:rPr>
                <w:rFonts w:eastAsia="MS Mincho"/>
              </w:rPr>
              <w:t xml:space="preserve"> </w:t>
            </w:r>
            <w:r w:rsidR="00D22935" w:rsidRPr="00D22935">
              <w:rPr>
                <w:rFonts w:eastAsia="MS Mincho"/>
              </w:rPr>
              <w:t>&gt;200 cells/mm</w:t>
            </w:r>
            <w:r w:rsidR="00D22935" w:rsidRPr="00C5750D">
              <w:rPr>
                <w:rFonts w:eastAsia="MS Mincho"/>
                <w:vertAlign w:val="superscript"/>
              </w:rPr>
              <w:t>3</w:t>
            </w:r>
            <w:r w:rsidR="00D22935" w:rsidRPr="00D22935">
              <w:rPr>
                <w:rFonts w:eastAsia="MS Mincho"/>
              </w:rPr>
              <w:t>, report daily smoking, ALT and AST &lt;2 times upper limit of normal, and creatinine clearance &gt;50 mL/min.</w:t>
            </w:r>
          </w:p>
          <w:p w14:paraId="51548E69" w14:textId="25319F60"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C5750D" w:rsidRPr="00C5750D">
              <w:rPr>
                <w:rFonts w:eastAsia="MS Mincho"/>
              </w:rPr>
              <w:t>self-reported history of psychosis or a suicide attempt, self-reported current or planned pregnancy, self-reported current use of smoking cessation medications, unstable or untreated alcohol/substance abuse, and uncontrolled hypertension (systolic</w:t>
            </w:r>
            <w:r w:rsidR="00EE461C">
              <w:rPr>
                <w:rFonts w:eastAsia="MS Mincho"/>
              </w:rPr>
              <w:t xml:space="preserve"> </w:t>
            </w:r>
            <w:r w:rsidR="00C5750D" w:rsidRPr="00C5750D">
              <w:rPr>
                <w:rFonts w:eastAsia="MS Mincho"/>
              </w:rPr>
              <w:t>&gt;160 or diastolic</w:t>
            </w:r>
            <w:r w:rsidR="00EE461C">
              <w:rPr>
                <w:rFonts w:eastAsia="MS Mincho"/>
              </w:rPr>
              <w:t xml:space="preserve"> </w:t>
            </w:r>
            <w:r w:rsidR="00C5750D" w:rsidRPr="00C5750D">
              <w:rPr>
                <w:rFonts w:eastAsia="MS Mincho"/>
              </w:rPr>
              <w:t>&gt;100).</w:t>
            </w:r>
          </w:p>
        </w:tc>
        <w:tc>
          <w:tcPr>
            <w:tcW w:w="920" w:type="pct"/>
          </w:tcPr>
          <w:p w14:paraId="0A8259C3" w14:textId="4B5839EB" w:rsidR="00EF2313" w:rsidRDefault="00EF2313" w:rsidP="002916A7">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45BA3567" w14:textId="77777777" w:rsidR="00EF2313" w:rsidRDefault="00EF2313" w:rsidP="002916A7">
            <w:pPr>
              <w:pStyle w:val="Tablewriting"/>
              <w:rPr>
                <w:rFonts w:eastAsia="MS Mincho"/>
              </w:rPr>
            </w:pPr>
            <w:r>
              <w:rPr>
                <w:rFonts w:eastAsia="MS Mincho"/>
              </w:rPr>
              <w:t>Placebo: placebo tablet for 12 weeks, same regimen</w:t>
            </w:r>
          </w:p>
          <w:p w14:paraId="139F86AA" w14:textId="77777777" w:rsidR="00EF2313" w:rsidRDefault="00EF2313" w:rsidP="002916A7">
            <w:pPr>
              <w:pStyle w:val="Tablewriting"/>
              <w:rPr>
                <w:rFonts w:eastAsia="MS Mincho"/>
              </w:rPr>
            </w:pPr>
          </w:p>
          <w:p w14:paraId="33E82730" w14:textId="69FDDDDB"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4B34F9F1" w14:textId="207F62BE" w:rsidR="00EF2313" w:rsidRDefault="00EF2313" w:rsidP="002916A7">
            <w:pPr>
              <w:pStyle w:val="Tablewriting"/>
              <w:rPr>
                <w:rFonts w:eastAsia="MS Mincho"/>
              </w:rPr>
            </w:pPr>
            <w:r w:rsidRPr="008C39E4">
              <w:rPr>
                <w:rFonts w:eastAsia="MS Mincho"/>
                <w:u w:val="single"/>
              </w:rPr>
              <w:t>Primary</w:t>
            </w:r>
            <w:r>
              <w:rPr>
                <w:rFonts w:eastAsia="MS Mincho"/>
              </w:rPr>
              <w:t xml:space="preserve">: </w:t>
            </w:r>
            <w:r w:rsidR="007B5246">
              <w:rPr>
                <w:rFonts w:eastAsia="MS Mincho"/>
              </w:rPr>
              <w:t xml:space="preserve">7-day PPA at </w:t>
            </w:r>
            <w:r w:rsidR="007B7017">
              <w:rPr>
                <w:rFonts w:eastAsia="MS Mincho"/>
              </w:rPr>
              <w:t>w</w:t>
            </w:r>
            <w:r w:rsidR="007B5246">
              <w:rPr>
                <w:rFonts w:eastAsia="MS Mincho"/>
              </w:rPr>
              <w:t>eek</w:t>
            </w:r>
            <w:r w:rsidR="00852AB0">
              <w:rPr>
                <w:rFonts w:eastAsia="MS Mincho"/>
              </w:rPr>
              <w:t xml:space="preserve"> 12 and</w:t>
            </w:r>
            <w:r w:rsidR="007B5246">
              <w:rPr>
                <w:rFonts w:eastAsia="MS Mincho"/>
              </w:rPr>
              <w:t xml:space="preserve"> 24. Validated by CO </w:t>
            </w:r>
            <w:r w:rsidR="007B5246">
              <w:rPr>
                <w:rFonts w:eastAsia="MS Mincho" w:cstheme="minorHAnsi"/>
              </w:rPr>
              <w:t>≤</w:t>
            </w:r>
            <w:r w:rsidR="00852AB0">
              <w:rPr>
                <w:rFonts w:eastAsia="MS Mincho"/>
              </w:rPr>
              <w:t>8</w:t>
            </w:r>
            <w:r w:rsidR="007B5246">
              <w:rPr>
                <w:rFonts w:eastAsia="MS Mincho"/>
              </w:rPr>
              <w:t xml:space="preserve"> ppm.</w:t>
            </w:r>
          </w:p>
          <w:p w14:paraId="4A657528" w14:textId="06020F27" w:rsidR="00EF2313" w:rsidRDefault="00EF2313" w:rsidP="002916A7">
            <w:pPr>
              <w:pStyle w:val="Tablewriting"/>
              <w:rPr>
                <w:rFonts w:eastAsia="MS Mincho"/>
              </w:rPr>
            </w:pPr>
            <w:r w:rsidRPr="008C39E4">
              <w:rPr>
                <w:rFonts w:eastAsia="MS Mincho"/>
                <w:u w:val="single"/>
              </w:rPr>
              <w:t>Secondary</w:t>
            </w:r>
            <w:r>
              <w:rPr>
                <w:rFonts w:eastAsia="MS Mincho"/>
              </w:rPr>
              <w:t xml:space="preserve">: </w:t>
            </w:r>
            <w:r w:rsidRPr="00624207">
              <w:rPr>
                <w:rFonts w:eastAsia="MS Mincho"/>
              </w:rPr>
              <w:t xml:space="preserve">7-day PPA </w:t>
            </w:r>
            <w:r>
              <w:rPr>
                <w:rFonts w:eastAsia="MS Mincho"/>
              </w:rPr>
              <w:t xml:space="preserve">at </w:t>
            </w:r>
            <w:r w:rsidR="007B7017">
              <w:rPr>
                <w:rFonts w:eastAsia="MS Mincho"/>
              </w:rPr>
              <w:t>w</w:t>
            </w:r>
            <w:r>
              <w:rPr>
                <w:rFonts w:eastAsia="MS Mincho"/>
              </w:rPr>
              <w:t>eek 1</w:t>
            </w:r>
            <w:r w:rsidR="009E36A5">
              <w:rPr>
                <w:rFonts w:eastAsia="MS Mincho"/>
              </w:rPr>
              <w:t>8</w:t>
            </w:r>
            <w:r>
              <w:rPr>
                <w:rFonts w:eastAsia="MS Mincho"/>
              </w:rPr>
              <w:t xml:space="preserve">. </w:t>
            </w:r>
            <w:r w:rsidR="009E36A5">
              <w:rPr>
                <w:rFonts w:eastAsia="MS Mincho"/>
              </w:rPr>
              <w:t xml:space="preserve">CAR at </w:t>
            </w:r>
            <w:r w:rsidR="007B7017">
              <w:rPr>
                <w:rFonts w:eastAsia="MS Mincho"/>
              </w:rPr>
              <w:t>w</w:t>
            </w:r>
            <w:r w:rsidR="009E36A5">
              <w:rPr>
                <w:rFonts w:eastAsia="MS Mincho"/>
              </w:rPr>
              <w:t xml:space="preserve">eek 9-12, 9-18 and 9-24. </w:t>
            </w:r>
            <w:r>
              <w:rPr>
                <w:rFonts w:eastAsia="MS Mincho"/>
              </w:rPr>
              <w:t xml:space="preserve">Validated by CO </w:t>
            </w:r>
            <w:r>
              <w:rPr>
                <w:rFonts w:eastAsia="MS Mincho" w:cstheme="minorHAnsi"/>
              </w:rPr>
              <w:t>≤</w:t>
            </w:r>
            <w:r w:rsidR="00F50751">
              <w:rPr>
                <w:rFonts w:eastAsia="MS Mincho"/>
              </w:rPr>
              <w:t>8</w:t>
            </w:r>
            <w:r>
              <w:rPr>
                <w:rFonts w:eastAsia="MS Mincho"/>
              </w:rPr>
              <w:t xml:space="preserve"> ppm</w:t>
            </w:r>
            <w:r w:rsidR="00FF489F">
              <w:rPr>
                <w:rFonts w:eastAsia="MS Mincho"/>
              </w:rPr>
              <w:t>;</w:t>
            </w:r>
            <w:r w:rsidR="005E6091">
              <w:rPr>
                <w:rFonts w:eastAsia="MS Mincho"/>
              </w:rPr>
              <w:t xml:space="preserve"> Time to relapse across the 24-week trial.</w:t>
            </w:r>
          </w:p>
          <w:p w14:paraId="6C343C7E" w14:textId="3403E752" w:rsidR="00EF2313" w:rsidRPr="0036499C" w:rsidRDefault="00EF2313" w:rsidP="002916A7">
            <w:pPr>
              <w:pStyle w:val="Tablewriting"/>
              <w:rPr>
                <w:rFonts w:eastAsia="MS Mincho"/>
                <w:u w:val="single"/>
              </w:rPr>
            </w:pPr>
            <w:r w:rsidRPr="0055171C">
              <w:rPr>
                <w:rFonts w:eastAsia="MS Mincho"/>
                <w:u w:val="single"/>
              </w:rPr>
              <w:t>Other</w:t>
            </w:r>
            <w:r>
              <w:rPr>
                <w:rFonts w:eastAsia="MS Mincho"/>
              </w:rPr>
              <w:t xml:space="preserve">: </w:t>
            </w:r>
            <w:r w:rsidR="00827CFE">
              <w:rPr>
                <w:rFonts w:eastAsia="MS Mincho"/>
              </w:rPr>
              <w:t>s</w:t>
            </w:r>
            <w:r w:rsidR="00827CFE" w:rsidRPr="00827CFE">
              <w:rPr>
                <w:rFonts w:eastAsia="MS Mincho"/>
              </w:rPr>
              <w:t xml:space="preserve">afety measures </w:t>
            </w:r>
            <w:r w:rsidR="00827CFE">
              <w:rPr>
                <w:rFonts w:eastAsia="MS Mincho"/>
              </w:rPr>
              <w:t>including</w:t>
            </w:r>
            <w:r w:rsidR="00827CFE" w:rsidRPr="00827CFE">
              <w:rPr>
                <w:rFonts w:eastAsia="MS Mincho"/>
              </w:rPr>
              <w:t xml:space="preserve"> treatment-related side effects, adverse events, blood pressure, viral load, and ART adherence.</w:t>
            </w:r>
          </w:p>
        </w:tc>
      </w:tr>
      <w:tr w:rsidR="00EF2313" w:rsidRPr="00061F78" w14:paraId="618F1073" w14:textId="77777777" w:rsidTr="004D7C8D">
        <w:trPr>
          <w:trHeight w:val="149"/>
        </w:trPr>
        <w:tc>
          <w:tcPr>
            <w:tcW w:w="332" w:type="pct"/>
            <w:tcMar>
              <w:left w:w="28" w:type="dxa"/>
              <w:right w:w="28" w:type="dxa"/>
            </w:tcMar>
          </w:tcPr>
          <w:p w14:paraId="79B2EA9E" w14:textId="0F6399F5" w:rsidR="00EF2313" w:rsidRDefault="00EF2313" w:rsidP="002916A7">
            <w:pPr>
              <w:pStyle w:val="Tablewriting"/>
              <w:rPr>
                <w:rFonts w:eastAsia="MS Mincho"/>
              </w:rPr>
            </w:pPr>
            <w:r>
              <w:rPr>
                <w:rFonts w:eastAsia="MS Mincho"/>
              </w:rPr>
              <w:t>Chen (2020)</w:t>
            </w:r>
          </w:p>
        </w:tc>
        <w:tc>
          <w:tcPr>
            <w:tcW w:w="395" w:type="pct"/>
          </w:tcPr>
          <w:p w14:paraId="5FDFA3AF" w14:textId="7DCE1B2F" w:rsidR="00EF2313" w:rsidRDefault="00EF2313" w:rsidP="002916A7">
            <w:pPr>
              <w:pStyle w:val="Tablewriting"/>
              <w:rPr>
                <w:rFonts w:eastAsia="MS Mincho"/>
              </w:rPr>
            </w:pPr>
            <w:r>
              <w:rPr>
                <w:rFonts w:eastAsia="MS Mincho"/>
              </w:rPr>
              <w:t>RCT</w:t>
            </w:r>
          </w:p>
        </w:tc>
        <w:tc>
          <w:tcPr>
            <w:tcW w:w="347" w:type="pct"/>
            <w:tcMar>
              <w:left w:w="28" w:type="dxa"/>
              <w:right w:w="28" w:type="dxa"/>
            </w:tcMar>
          </w:tcPr>
          <w:p w14:paraId="4424F56E" w14:textId="408AD304" w:rsidR="00EF2313" w:rsidRDefault="00EF2313" w:rsidP="002916A7">
            <w:pPr>
              <w:pStyle w:val="Tablewriting"/>
              <w:rPr>
                <w:rFonts w:eastAsia="MS Mincho"/>
              </w:rPr>
            </w:pPr>
            <w:r>
              <w:rPr>
                <w:rFonts w:eastAsia="MS Mincho"/>
              </w:rPr>
              <w:t>N=</w:t>
            </w:r>
            <w:r w:rsidR="00557809">
              <w:rPr>
                <w:rFonts w:eastAsia="MS Mincho"/>
              </w:rPr>
              <w:t>822</w:t>
            </w:r>
          </w:p>
          <w:p w14:paraId="21976D2F" w14:textId="539351FF" w:rsidR="00EF2313" w:rsidRDefault="00EF2313" w:rsidP="002916A7">
            <w:pPr>
              <w:pStyle w:val="Tablewriting"/>
              <w:rPr>
                <w:rFonts w:eastAsia="MS Mincho"/>
              </w:rPr>
            </w:pPr>
            <w:r>
              <w:rPr>
                <w:rFonts w:eastAsia="MS Mincho"/>
              </w:rPr>
              <w:t>Varenicline (n=</w:t>
            </w:r>
            <w:r w:rsidR="00557809">
              <w:rPr>
                <w:rFonts w:eastAsia="MS Mincho"/>
              </w:rPr>
              <w:t>274</w:t>
            </w:r>
            <w:r>
              <w:rPr>
                <w:rFonts w:eastAsia="MS Mincho"/>
              </w:rPr>
              <w:t>), Placebo (n=</w:t>
            </w:r>
            <w:r w:rsidR="00557809">
              <w:rPr>
                <w:rFonts w:eastAsia="MS Mincho"/>
              </w:rPr>
              <w:t>273</w:t>
            </w:r>
            <w:r>
              <w:rPr>
                <w:rFonts w:eastAsia="MS Mincho"/>
              </w:rPr>
              <w:t>)</w:t>
            </w:r>
          </w:p>
        </w:tc>
        <w:tc>
          <w:tcPr>
            <w:tcW w:w="1866" w:type="pct"/>
            <w:tcMar>
              <w:left w:w="28" w:type="dxa"/>
              <w:right w:w="28" w:type="dxa"/>
            </w:tcMar>
          </w:tcPr>
          <w:p w14:paraId="644B48A9" w14:textId="1A11BFAD" w:rsidR="00EF2313" w:rsidRDefault="00EF2313" w:rsidP="002916A7">
            <w:pPr>
              <w:pStyle w:val="Tablewriting"/>
              <w:rPr>
                <w:rFonts w:eastAsia="MS Mincho"/>
              </w:rPr>
            </w:pPr>
            <w:r w:rsidRPr="007F28D7">
              <w:rPr>
                <w:rFonts w:eastAsia="MS Mincho"/>
                <w:u w:val="single"/>
              </w:rPr>
              <w:t>Inclusion</w:t>
            </w:r>
            <w:r>
              <w:rPr>
                <w:rFonts w:eastAsia="MS Mincho"/>
              </w:rPr>
              <w:t xml:space="preserve">: </w:t>
            </w:r>
            <w:r w:rsidR="004E4C62" w:rsidRPr="004E4C62">
              <w:rPr>
                <w:rFonts w:eastAsia="MS Mincho"/>
              </w:rPr>
              <w:t>≥21 years</w:t>
            </w:r>
            <w:r w:rsidR="004E4C62">
              <w:rPr>
                <w:rFonts w:eastAsia="MS Mincho"/>
              </w:rPr>
              <w:t xml:space="preserve"> old</w:t>
            </w:r>
            <w:r w:rsidR="004E4C62" w:rsidRPr="004E4C62">
              <w:rPr>
                <w:rFonts w:eastAsia="MS Mincho"/>
              </w:rPr>
              <w:t>, seeking treatment for smoking cessation</w:t>
            </w:r>
            <w:r w:rsidR="004E4C62">
              <w:rPr>
                <w:rFonts w:eastAsia="MS Mincho"/>
              </w:rPr>
              <w:t xml:space="preserve">, </w:t>
            </w:r>
            <w:r w:rsidR="004E4C62" w:rsidRPr="004E4C62">
              <w:rPr>
                <w:rFonts w:eastAsia="MS Mincho"/>
              </w:rPr>
              <w:t>≥5</w:t>
            </w:r>
            <w:r w:rsidR="004E4C62">
              <w:rPr>
                <w:rFonts w:eastAsia="MS Mincho"/>
              </w:rPr>
              <w:t xml:space="preserve"> cigarettes per day</w:t>
            </w:r>
            <w:r w:rsidR="004E4C62" w:rsidRPr="004E4C62">
              <w:rPr>
                <w:rFonts w:eastAsia="MS Mincho"/>
              </w:rPr>
              <w:t>, exhaled CO ≥8 ppm</w:t>
            </w:r>
            <w:r w:rsidR="000F1E7A">
              <w:rPr>
                <w:rFonts w:eastAsia="MS Mincho"/>
              </w:rPr>
              <w:t>.</w:t>
            </w:r>
          </w:p>
          <w:p w14:paraId="49445A2C" w14:textId="4E216B95" w:rsidR="00EF2313" w:rsidRPr="002C19B4" w:rsidRDefault="00EF2313" w:rsidP="002916A7">
            <w:pPr>
              <w:pStyle w:val="Tablewriting"/>
              <w:rPr>
                <w:rFonts w:eastAsia="MS Mincho"/>
                <w:u w:val="single"/>
              </w:rPr>
            </w:pPr>
            <w:r w:rsidRPr="007F28D7">
              <w:rPr>
                <w:rFonts w:eastAsia="MS Mincho"/>
                <w:u w:val="single"/>
              </w:rPr>
              <w:t>Exclusion</w:t>
            </w:r>
            <w:r>
              <w:rPr>
                <w:rFonts w:eastAsia="MS Mincho"/>
              </w:rPr>
              <w:t xml:space="preserve">: </w:t>
            </w:r>
            <w:r w:rsidR="00362ABA">
              <w:rPr>
                <w:rFonts w:eastAsia="MS Mincho"/>
              </w:rPr>
              <w:t>p</w:t>
            </w:r>
            <w:r w:rsidR="00362ABA" w:rsidRPr="00362ABA">
              <w:rPr>
                <w:rFonts w:eastAsia="MS Mincho"/>
              </w:rPr>
              <w:t xml:space="preserve">regnancy or breast feeding, </w:t>
            </w:r>
            <w:r w:rsidR="00362ABA">
              <w:rPr>
                <w:rFonts w:eastAsia="MS Mincho"/>
              </w:rPr>
              <w:t>a</w:t>
            </w:r>
            <w:r w:rsidR="00362ABA" w:rsidRPr="00362ABA">
              <w:rPr>
                <w:rFonts w:eastAsia="MS Mincho"/>
              </w:rPr>
              <w:t xml:space="preserve">ctive use or recent use of medication or e-cigarettes for nicotine dependence/smoking cessation, or use of e-cigarettes for more than 9 days in the prior month, </w:t>
            </w:r>
            <w:r w:rsidR="00362ABA">
              <w:rPr>
                <w:rFonts w:eastAsia="MS Mincho"/>
              </w:rPr>
              <w:t>a</w:t>
            </w:r>
            <w:r w:rsidR="00362ABA" w:rsidRPr="00362ABA">
              <w:rPr>
                <w:rFonts w:eastAsia="MS Mincho"/>
              </w:rPr>
              <w:t xml:space="preserve">llergy to nicotine patch, </w:t>
            </w:r>
            <w:r w:rsidR="00362ABA" w:rsidRPr="00362ABA">
              <w:rPr>
                <w:rFonts w:eastAsia="MS Mincho"/>
              </w:rPr>
              <w:lastRenderedPageBreak/>
              <w:t xml:space="preserve">lozenge, or varenicline, </w:t>
            </w:r>
            <w:r w:rsidR="00362ABA">
              <w:rPr>
                <w:rFonts w:eastAsia="MS Mincho"/>
              </w:rPr>
              <w:t>u</w:t>
            </w:r>
            <w:r w:rsidR="00362ABA" w:rsidRPr="00362ABA">
              <w:rPr>
                <w:rFonts w:eastAsia="MS Mincho"/>
              </w:rPr>
              <w:t xml:space="preserve">nwillingness to prevent pregnancy during the medication phase and 1 month afterwards (women only), </w:t>
            </w:r>
            <w:r w:rsidR="00362ABA">
              <w:rPr>
                <w:rFonts w:eastAsia="MS Mincho"/>
              </w:rPr>
              <w:t>s</w:t>
            </w:r>
            <w:r w:rsidR="00362ABA" w:rsidRPr="00362ABA">
              <w:rPr>
                <w:rFonts w:eastAsia="MS Mincho"/>
              </w:rPr>
              <w:t xml:space="preserve">ignificant cardiac conditions or serious arrhythmia in past 6 months, </w:t>
            </w:r>
            <w:r w:rsidR="008B0E8E">
              <w:rPr>
                <w:rFonts w:eastAsia="MS Mincho"/>
              </w:rPr>
              <w:t>c</w:t>
            </w:r>
            <w:r w:rsidR="00362ABA" w:rsidRPr="00362ABA">
              <w:rPr>
                <w:rFonts w:eastAsia="MS Mincho"/>
              </w:rPr>
              <w:t xml:space="preserve">urrent heavy alcohol consumption (≥6 drinks/day, 6 days/week), </w:t>
            </w:r>
            <w:r w:rsidR="008B0E8E">
              <w:rPr>
                <w:rFonts w:eastAsia="MS Mincho"/>
              </w:rPr>
              <w:t>a</w:t>
            </w:r>
            <w:r w:rsidR="00362ABA" w:rsidRPr="00362ABA">
              <w:rPr>
                <w:rFonts w:eastAsia="MS Mincho"/>
              </w:rPr>
              <w:t xml:space="preserve">ctive psychosis or poorly controlled depression within the past 6 months, </w:t>
            </w:r>
            <w:r w:rsidR="008B0E8E">
              <w:rPr>
                <w:rFonts w:eastAsia="MS Mincho"/>
              </w:rPr>
              <w:t>a</w:t>
            </w:r>
            <w:r w:rsidR="00362ABA" w:rsidRPr="00362ABA">
              <w:rPr>
                <w:rFonts w:eastAsia="MS Mincho"/>
              </w:rPr>
              <w:t xml:space="preserve">ny prior suicide attempt or suicidal ideation within the past 6 months, </w:t>
            </w:r>
            <w:r w:rsidR="008B0E8E">
              <w:rPr>
                <w:rFonts w:eastAsia="MS Mincho"/>
              </w:rPr>
              <w:t>e</w:t>
            </w:r>
            <w:r w:rsidR="00362ABA" w:rsidRPr="00362ABA">
              <w:rPr>
                <w:rFonts w:eastAsia="MS Mincho"/>
              </w:rPr>
              <w:t>nd stage renal disease with h</w:t>
            </w:r>
            <w:r w:rsidR="008B0E8E">
              <w:rPr>
                <w:rFonts w:eastAsia="MS Mincho"/>
              </w:rPr>
              <w:t>a</w:t>
            </w:r>
            <w:r w:rsidR="00362ABA" w:rsidRPr="00362ABA">
              <w:rPr>
                <w:rFonts w:eastAsia="MS Mincho"/>
              </w:rPr>
              <w:t>emodialysis.</w:t>
            </w:r>
          </w:p>
        </w:tc>
        <w:tc>
          <w:tcPr>
            <w:tcW w:w="920" w:type="pct"/>
          </w:tcPr>
          <w:p w14:paraId="304CD4CB" w14:textId="655F3FC6" w:rsidR="00EF2313" w:rsidRDefault="00EF2313" w:rsidP="002916A7">
            <w:pPr>
              <w:pStyle w:val="Tablewriting"/>
              <w:rPr>
                <w:rFonts w:eastAsia="MS Mincho"/>
              </w:rPr>
            </w:pPr>
            <w:r>
              <w:rPr>
                <w:rFonts w:eastAsia="MS Mincho"/>
              </w:rPr>
              <w:lastRenderedPageBreak/>
              <w:t>Varenicline</w:t>
            </w:r>
            <w:r w:rsidRPr="00A34E7B">
              <w:rPr>
                <w:rFonts w:eastAsia="MS Mincho"/>
              </w:rPr>
              <w:t xml:space="preserve">: </w:t>
            </w:r>
            <w:r w:rsidRPr="00372F18">
              <w:rPr>
                <w:rFonts w:eastAsia="MS Mincho"/>
              </w:rPr>
              <w:t>1</w:t>
            </w:r>
            <w:r>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Pr>
                <w:rFonts w:eastAsia="MS Mincho"/>
              </w:rPr>
              <w:t xml:space="preserve"> </w:t>
            </w:r>
            <w:r w:rsidRPr="00372F18">
              <w:rPr>
                <w:rFonts w:eastAsia="MS Mincho"/>
              </w:rPr>
              <w:t>mg twice daily for 4 days, then 1</w:t>
            </w:r>
            <w:r>
              <w:rPr>
                <w:rFonts w:eastAsia="MS Mincho"/>
              </w:rPr>
              <w:t xml:space="preserve"> </w:t>
            </w:r>
            <w:r w:rsidRPr="00372F18">
              <w:rPr>
                <w:rFonts w:eastAsia="MS Mincho"/>
              </w:rPr>
              <w:t>mg twice daily)</w:t>
            </w:r>
            <w:r w:rsidR="004657DA">
              <w:rPr>
                <w:rFonts w:eastAsia="MS Mincho"/>
              </w:rPr>
              <w:t>;</w:t>
            </w:r>
          </w:p>
          <w:p w14:paraId="0E8C4997" w14:textId="35F31768" w:rsidR="00EF2313" w:rsidRDefault="00EF2313" w:rsidP="002916A7">
            <w:pPr>
              <w:pStyle w:val="Tablewriting"/>
              <w:rPr>
                <w:rFonts w:eastAsia="MS Mincho"/>
              </w:rPr>
            </w:pPr>
            <w:r>
              <w:rPr>
                <w:rFonts w:eastAsia="MS Mincho"/>
              </w:rPr>
              <w:lastRenderedPageBreak/>
              <w:t>Placebo: placebo tablet for 12 weeks, same regimen</w:t>
            </w:r>
            <w:r w:rsidR="008B0881">
              <w:rPr>
                <w:rFonts w:eastAsia="MS Mincho"/>
              </w:rPr>
              <w:t xml:space="preserve">; or placebo </w:t>
            </w:r>
            <w:r w:rsidR="00A05CA6">
              <w:rPr>
                <w:rFonts w:eastAsia="MS Mincho"/>
              </w:rPr>
              <w:t>NRT lozenge/</w:t>
            </w:r>
            <w:r w:rsidR="008B0881">
              <w:rPr>
                <w:rFonts w:eastAsia="MS Mincho"/>
              </w:rPr>
              <w:t>patch</w:t>
            </w:r>
            <w:r w:rsidR="00A05CA6">
              <w:rPr>
                <w:rFonts w:eastAsia="MS Mincho"/>
              </w:rPr>
              <w:t xml:space="preserve"> for 12 weeks</w:t>
            </w:r>
            <w:r w:rsidR="000F1E7A">
              <w:rPr>
                <w:rFonts w:eastAsia="MS Mincho"/>
              </w:rPr>
              <w:t>.</w:t>
            </w:r>
          </w:p>
          <w:p w14:paraId="36EFD12A" w14:textId="77777777" w:rsidR="00EF2313" w:rsidRDefault="00EF2313" w:rsidP="002916A7">
            <w:pPr>
              <w:pStyle w:val="Tablewriting"/>
              <w:rPr>
                <w:rFonts w:eastAsia="MS Mincho"/>
              </w:rPr>
            </w:pPr>
          </w:p>
          <w:p w14:paraId="5E44295E" w14:textId="293811A6" w:rsidR="00EF2313" w:rsidRDefault="00EF2313" w:rsidP="002916A7">
            <w:pPr>
              <w:pStyle w:val="Tablewriting"/>
              <w:rPr>
                <w:rFonts w:eastAsia="MS Mincho"/>
              </w:rPr>
            </w:pPr>
            <w:r w:rsidRPr="006C0130">
              <w:rPr>
                <w:rFonts w:eastAsia="MS Mincho"/>
              </w:rPr>
              <w:t>Behavioural support provided in both arms.</w:t>
            </w:r>
          </w:p>
        </w:tc>
        <w:tc>
          <w:tcPr>
            <w:tcW w:w="1140" w:type="pct"/>
            <w:tcMar>
              <w:left w:w="28" w:type="dxa"/>
              <w:right w:w="28" w:type="dxa"/>
            </w:tcMar>
          </w:tcPr>
          <w:p w14:paraId="6709DB87" w14:textId="1C61EEC7" w:rsidR="00EF2313" w:rsidRDefault="00EF2313" w:rsidP="002916A7">
            <w:pPr>
              <w:pStyle w:val="Tablewriting"/>
              <w:rPr>
                <w:rFonts w:eastAsia="MS Mincho"/>
              </w:rPr>
            </w:pPr>
            <w:r w:rsidRPr="008C39E4">
              <w:rPr>
                <w:rFonts w:eastAsia="MS Mincho"/>
                <w:u w:val="single"/>
              </w:rPr>
              <w:lastRenderedPageBreak/>
              <w:t>Primary</w:t>
            </w:r>
            <w:r>
              <w:rPr>
                <w:rFonts w:eastAsia="MS Mincho"/>
              </w:rPr>
              <w:t xml:space="preserve">: </w:t>
            </w:r>
            <w:r w:rsidR="000B0DFE">
              <w:rPr>
                <w:rFonts w:eastAsia="MS Mincho"/>
              </w:rPr>
              <w:t xml:space="preserve">7-day PPA at </w:t>
            </w:r>
            <w:r w:rsidR="007B7017">
              <w:rPr>
                <w:rFonts w:eastAsia="MS Mincho"/>
              </w:rPr>
              <w:t>w</w:t>
            </w:r>
            <w:r w:rsidR="000B0DFE">
              <w:rPr>
                <w:rFonts w:eastAsia="MS Mincho"/>
              </w:rPr>
              <w:t xml:space="preserve">eek 12. Validated by CO </w:t>
            </w:r>
            <w:r w:rsidR="005E6091">
              <w:rPr>
                <w:rFonts w:eastAsia="MS Mincho"/>
              </w:rPr>
              <w:t>&lt;</w:t>
            </w:r>
            <w:r w:rsidR="000B0DFE">
              <w:rPr>
                <w:rFonts w:eastAsia="MS Mincho"/>
              </w:rPr>
              <w:t>8 ppm</w:t>
            </w:r>
            <w:r w:rsidR="005E6091">
              <w:rPr>
                <w:rFonts w:eastAsia="MS Mincho"/>
              </w:rPr>
              <w:t>.</w:t>
            </w:r>
          </w:p>
          <w:p w14:paraId="77F3DDC0" w14:textId="49D5B62A" w:rsidR="00EF2313" w:rsidRPr="00341A4F" w:rsidRDefault="00EF2313" w:rsidP="002916A7">
            <w:pPr>
              <w:pStyle w:val="Tablewriting"/>
              <w:rPr>
                <w:rFonts w:eastAsia="MS Mincho"/>
              </w:rPr>
            </w:pPr>
            <w:r w:rsidRPr="008C39E4">
              <w:rPr>
                <w:rFonts w:eastAsia="MS Mincho"/>
                <w:u w:val="single"/>
              </w:rPr>
              <w:t>Secondary</w:t>
            </w:r>
            <w:r>
              <w:rPr>
                <w:rFonts w:eastAsia="MS Mincho"/>
              </w:rPr>
              <w:t xml:space="preserve">: </w:t>
            </w:r>
            <w:r w:rsidRPr="00624207">
              <w:rPr>
                <w:rFonts w:eastAsia="MS Mincho"/>
              </w:rPr>
              <w:t xml:space="preserve">7-day PPA </w:t>
            </w:r>
            <w:r>
              <w:rPr>
                <w:rFonts w:eastAsia="MS Mincho"/>
              </w:rPr>
              <w:t xml:space="preserve">at </w:t>
            </w:r>
            <w:r w:rsidR="00FF489F">
              <w:rPr>
                <w:rFonts w:eastAsia="MS Mincho"/>
              </w:rPr>
              <w:t>6 months</w:t>
            </w:r>
            <w:r>
              <w:rPr>
                <w:rFonts w:eastAsia="MS Mincho"/>
              </w:rPr>
              <w:t xml:space="preserve">. Validated by CO </w:t>
            </w:r>
            <w:r w:rsidR="00FF489F">
              <w:rPr>
                <w:rFonts w:eastAsia="MS Mincho"/>
              </w:rPr>
              <w:t>&lt;8</w:t>
            </w:r>
            <w:r>
              <w:rPr>
                <w:rFonts w:eastAsia="MS Mincho"/>
              </w:rPr>
              <w:t xml:space="preserve"> ppm</w:t>
            </w:r>
            <w:r w:rsidR="005745B8">
              <w:rPr>
                <w:rFonts w:eastAsia="MS Mincho"/>
              </w:rPr>
              <w:t xml:space="preserve">; 7-day PPA at 1 year by self-report, adverse events, </w:t>
            </w:r>
            <w:r w:rsidR="00341A4F">
              <w:rPr>
                <w:rFonts w:eastAsia="MS Mincho"/>
              </w:rPr>
              <w:t>adherence</w:t>
            </w:r>
            <w:r w:rsidR="000F1E7A">
              <w:rPr>
                <w:rFonts w:eastAsia="MS Mincho"/>
              </w:rPr>
              <w:t>.</w:t>
            </w:r>
          </w:p>
        </w:tc>
      </w:tr>
    </w:tbl>
    <w:p w14:paraId="5A37ED13" w14:textId="1A0FF31E" w:rsidR="00A23D56" w:rsidRDefault="00F26E06" w:rsidP="004D7C8D">
      <w:pPr>
        <w:pStyle w:val="TableFooter"/>
        <w:keepNext/>
        <w:jc w:val="both"/>
      </w:pPr>
      <w:r>
        <w:t xml:space="preserve">Abbreviations: </w:t>
      </w:r>
      <w:r w:rsidR="00687E0D">
        <w:t>ART = antiretroviral therapy;</w:t>
      </w:r>
      <w:r>
        <w:t xml:space="preserve"> </w:t>
      </w:r>
      <w:bookmarkStart w:id="50" w:name="_Hlk55138532"/>
      <w:r w:rsidR="00A23D56">
        <w:t>BDI = Beck Depression Inventory; CAR = continuous abstinence rate; CO = carbon monoxide; COPD</w:t>
      </w:r>
      <w:r w:rsidR="00D6198D">
        <w:t xml:space="preserve"> = chronic obstructive pulmonary disease;</w:t>
      </w:r>
      <w:r w:rsidR="00A23D56">
        <w:t xml:space="preserve"> </w:t>
      </w:r>
      <w:r w:rsidR="009B4697">
        <w:t>CVD</w:t>
      </w:r>
      <w:r w:rsidR="00D6198D">
        <w:t xml:space="preserve"> = cardiovascular disease; </w:t>
      </w:r>
      <w:r w:rsidR="00037461">
        <w:t xml:space="preserve">mCEQ = </w:t>
      </w:r>
      <w:r w:rsidR="00037461" w:rsidRPr="00037461">
        <w:t>modified Cigarette Evaluation Questionnaire</w:t>
      </w:r>
      <w:r w:rsidR="00037461">
        <w:t xml:space="preserve">; </w:t>
      </w:r>
      <w:r w:rsidR="008E0A8D">
        <w:t xml:space="preserve">MNWS = </w:t>
      </w:r>
      <w:r w:rsidR="008E0A8D" w:rsidRPr="008E0A8D">
        <w:t>Minnesota Tobacco Withdrawal Scale</w:t>
      </w:r>
      <w:r w:rsidR="008E0A8D">
        <w:t xml:space="preserve">; </w:t>
      </w:r>
      <w:r w:rsidR="00A23D56">
        <w:t xml:space="preserve">NRT = nicotine replacement therapy; PPA = point prevalence abstinence; </w:t>
      </w:r>
      <w:r w:rsidR="00FB19DE">
        <w:t xml:space="preserve">QSU = </w:t>
      </w:r>
      <w:r w:rsidR="00FB19DE" w:rsidRPr="00FB19DE">
        <w:t>Questionnaire of Smoking Urges</w:t>
      </w:r>
      <w:r w:rsidR="00FB19DE">
        <w:t xml:space="preserve">; </w:t>
      </w:r>
      <w:r w:rsidR="00A23D56">
        <w:t>RCT = randomised controlled trial</w:t>
      </w:r>
      <w:r w:rsidR="00A23D56" w:rsidRPr="00061F78">
        <w:t xml:space="preserve"> </w:t>
      </w:r>
      <w:bookmarkEnd w:id="50"/>
    </w:p>
    <w:p w14:paraId="3974A359" w14:textId="53721261" w:rsidR="00F26E06" w:rsidRDefault="00F26E06" w:rsidP="004D7C8D">
      <w:pPr>
        <w:pStyle w:val="TableFooter"/>
        <w:keepNext/>
        <w:jc w:val="both"/>
      </w:pPr>
      <w:r w:rsidRPr="00061F78">
        <w:rPr>
          <w:highlight w:val="lightGray"/>
        </w:rPr>
        <w:t>Shaded</w:t>
      </w:r>
      <w:r w:rsidRPr="00061F78">
        <w:t xml:space="preserve"> = previously considered by the PBAC</w:t>
      </w:r>
    </w:p>
    <w:p w14:paraId="4AAB667F" w14:textId="4DCF179B" w:rsidR="00F26E06" w:rsidRDefault="00F26E06" w:rsidP="004D7C8D">
      <w:pPr>
        <w:pStyle w:val="TableFooter"/>
        <w:keepNext/>
        <w:jc w:val="both"/>
      </w:pPr>
      <w:r>
        <w:t>1 Only the number of patients (n) in the relevant arms were included</w:t>
      </w:r>
      <w:r w:rsidR="000F1E7A">
        <w:t>.</w:t>
      </w:r>
      <w:r>
        <w:t xml:space="preserve"> </w:t>
      </w:r>
    </w:p>
    <w:p w14:paraId="4CDB5A4C" w14:textId="0ACD4A5E" w:rsidR="00ED7A16" w:rsidRDefault="00ED7A16" w:rsidP="004D7C8D">
      <w:pPr>
        <w:pStyle w:val="TableFooter"/>
        <w:keepNext/>
        <w:jc w:val="both"/>
      </w:pPr>
      <w:r>
        <w:t xml:space="preserve">2 </w:t>
      </w:r>
      <w:r w:rsidR="00DF5CEC">
        <w:t xml:space="preserve">The </w:t>
      </w:r>
      <w:r w:rsidR="003052EB">
        <w:t xml:space="preserve">varenicline arm </w:t>
      </w:r>
      <w:r w:rsidR="00AF66EA">
        <w:t xml:space="preserve">includes 1mg </w:t>
      </w:r>
      <w:r w:rsidR="00AC3A77">
        <w:t>twice daily regimen</w:t>
      </w:r>
      <w:r w:rsidR="00952BED">
        <w:t xml:space="preserve"> of</w:t>
      </w:r>
      <w:r w:rsidR="00AC3A77">
        <w:t xml:space="preserve"> titrated and non-titrated</w:t>
      </w:r>
      <w:r w:rsidR="00952BED">
        <w:t xml:space="preserve"> (pooled)</w:t>
      </w:r>
      <w:r w:rsidR="000F1E7A">
        <w:t>.</w:t>
      </w:r>
    </w:p>
    <w:p w14:paraId="46AA470E" w14:textId="6067D957" w:rsidR="00D83CDA" w:rsidRDefault="00ED7A16" w:rsidP="004D7C8D">
      <w:pPr>
        <w:pStyle w:val="TableFooter"/>
        <w:keepNext/>
        <w:jc w:val="both"/>
      </w:pPr>
      <w:r>
        <w:t>3</w:t>
      </w:r>
      <w:r w:rsidR="00F26E06">
        <w:t xml:space="preserve"> </w:t>
      </w:r>
      <w:r w:rsidR="001507A4" w:rsidRPr="001507A4">
        <w:t>A total of 34 RCTs comparing varenicline with placebo were identified. Of the 34 RCTs, 27 RCTs were included in the primary efficacy analysis.</w:t>
      </w:r>
      <w:r w:rsidR="00F26E06">
        <w:t xml:space="preserve"> The characteristics of the individual studies comparing varenicline with placebo included in </w:t>
      </w:r>
      <w:r w:rsidR="006F58A5">
        <w:t>Cahill</w:t>
      </w:r>
      <w:r w:rsidR="00F26E06">
        <w:t xml:space="preserve"> et al. (20</w:t>
      </w:r>
      <w:r w:rsidR="006F58A5">
        <w:t>16</w:t>
      </w:r>
      <w:r w:rsidR="00F26E06">
        <w:t xml:space="preserve">) are presented in </w:t>
      </w:r>
      <w:r w:rsidR="00F26E06" w:rsidRPr="00BB4685">
        <w:t>Appendix</w:t>
      </w:r>
      <w:r w:rsidR="00076298">
        <w:t xml:space="preserve"> Table 146</w:t>
      </w:r>
      <w:r w:rsidR="00F26E06">
        <w:t>.</w:t>
      </w:r>
      <w:r w:rsidR="00076298">
        <w:t xml:space="preserve"> </w:t>
      </w:r>
      <w:r w:rsidR="00597A83">
        <w:t xml:space="preserve">11 studies </w:t>
      </w:r>
      <w:r w:rsidR="00F84183">
        <w:t>previously considered by the PBAC</w:t>
      </w:r>
      <w:r w:rsidR="00597A83">
        <w:t xml:space="preserve"> (</w:t>
      </w:r>
      <w:r w:rsidR="00597A83" w:rsidRPr="00597A83">
        <w:t xml:space="preserve">Gonzales et al. 2006, </w:t>
      </w:r>
      <w:r w:rsidR="00F26E06">
        <w:t xml:space="preserve">Jorenby et al. </w:t>
      </w:r>
      <w:r w:rsidR="00597A83" w:rsidRPr="00597A83">
        <w:t xml:space="preserve">2006, Oncken et al. 2006, Nakamura et al. 2007, Tsai et al. 2007, Wang et al. 2009, Bolliger et al. 2011, Rigotti et al. 2010, Tashkin et al. 2011, Rennard et al. 2012 and </w:t>
      </w:r>
      <w:r w:rsidR="009D7066">
        <w:t>EAGLES</w:t>
      </w:r>
      <w:r w:rsidR="00597A83" w:rsidRPr="00597A83">
        <w:t xml:space="preserve"> 2016</w:t>
      </w:r>
      <w:r w:rsidR="00F26E06" w:rsidRPr="005B2A6C">
        <w:t xml:space="preserve">) </w:t>
      </w:r>
      <w:r w:rsidR="00F26E06">
        <w:t xml:space="preserve">were included in the </w:t>
      </w:r>
      <w:r w:rsidR="00F84183">
        <w:t>primary efficacy analysis</w:t>
      </w:r>
      <w:r w:rsidR="00F26E06">
        <w:t xml:space="preserve"> of </w:t>
      </w:r>
      <w:r w:rsidR="00597A83">
        <w:t>Cahill</w:t>
      </w:r>
      <w:r w:rsidR="00F26E06">
        <w:t xml:space="preserve"> et al. (20</w:t>
      </w:r>
      <w:r w:rsidR="00597A83">
        <w:t>16</w:t>
      </w:r>
      <w:r w:rsidR="00F26E06">
        <w:t>).</w:t>
      </w:r>
    </w:p>
    <w:p w14:paraId="678660A8" w14:textId="00AAB12C" w:rsidR="00FA7A8A" w:rsidRDefault="00D83CDA" w:rsidP="004D7C8D">
      <w:pPr>
        <w:pStyle w:val="TableFooter"/>
        <w:keepNext/>
        <w:jc w:val="both"/>
      </w:pPr>
      <w:r>
        <w:t xml:space="preserve">4 </w:t>
      </w:r>
      <w:r w:rsidR="00605EAF">
        <w:t>Hurt et al. (2018) was a publication of NCT</w:t>
      </w:r>
      <w:r w:rsidR="00356F89">
        <w:t>01347112</w:t>
      </w:r>
      <w:r w:rsidR="00A62229">
        <w:t>, of which the results were previously included in Cahill et al. (2016)</w:t>
      </w:r>
      <w:r w:rsidR="000F1E7A">
        <w:t>.</w:t>
      </w:r>
    </w:p>
    <w:p w14:paraId="3F0DF5EA" w14:textId="4B14945E" w:rsidR="001262BD" w:rsidRDefault="00FA7A8A" w:rsidP="004D7C8D">
      <w:pPr>
        <w:pStyle w:val="TableFooter"/>
        <w:keepNext/>
        <w:jc w:val="both"/>
      </w:pPr>
      <w:r>
        <w:t xml:space="preserve">5 </w:t>
      </w:r>
      <w:r w:rsidRPr="00FA7A8A">
        <w:t>Benowitz et al. (2018) was a non-treatment extension of EAGLES (Anthenelli et al. 2016) with a considerable amount of missing data due to lost to follow-up, extension study nonenrollees, no longer willing to participate and death.</w:t>
      </w:r>
      <w:r w:rsidR="00605EAF">
        <w:t xml:space="preserve"> </w:t>
      </w:r>
    </w:p>
    <w:p w14:paraId="68BC325E" w14:textId="77777777" w:rsidR="001262BD" w:rsidRDefault="001262BD" w:rsidP="00D77C02">
      <w:pPr>
        <w:sectPr w:rsidR="001262BD" w:rsidSect="001262BD">
          <w:pgSz w:w="16838" w:h="11906" w:orient="landscape"/>
          <w:pgMar w:top="1440" w:right="1440" w:bottom="1440" w:left="1440" w:header="708" w:footer="708" w:gutter="0"/>
          <w:cols w:space="708"/>
          <w:titlePg/>
          <w:docGrid w:linePitch="360"/>
        </w:sectPr>
      </w:pPr>
    </w:p>
    <w:p w14:paraId="7768C374" w14:textId="6DD201C6" w:rsidR="0049176A" w:rsidRPr="0073597F" w:rsidRDefault="0049176A" w:rsidP="004D7C8D">
      <w:pPr>
        <w:spacing w:after="120"/>
        <w:jc w:val="both"/>
        <w:rPr>
          <w:u w:val="single"/>
        </w:rPr>
      </w:pPr>
      <w:r w:rsidRPr="0073597F">
        <w:rPr>
          <w:u w:val="single"/>
        </w:rPr>
        <w:lastRenderedPageBreak/>
        <w:t>Efficacy</w:t>
      </w:r>
    </w:p>
    <w:p w14:paraId="3CCC99DC" w14:textId="765D99DA" w:rsidR="0090659E" w:rsidRDefault="0049176A" w:rsidP="00DC1A8D">
      <w:pPr>
        <w:spacing w:after="120"/>
        <w:jc w:val="both"/>
      </w:pPr>
      <w:r>
        <w:t xml:space="preserve">A summary of the smoking cessation rates </w:t>
      </w:r>
      <w:r w:rsidR="00AB3148">
        <w:t>for</w:t>
      </w:r>
      <w:r>
        <w:t xml:space="preserve"> at least six months follow-up </w:t>
      </w:r>
      <w:r w:rsidR="00320F9D">
        <w:t xml:space="preserve">comparing varenicline with placebo </w:t>
      </w:r>
      <w:r>
        <w:t xml:space="preserve">is presented in </w:t>
      </w:r>
      <w:r>
        <w:fldChar w:fldCharType="begin" w:fldLock="1"/>
      </w:r>
      <w:r>
        <w:instrText xml:space="preserve"> REF _Ref54000249 \h </w:instrText>
      </w:r>
      <w:r>
        <w:fldChar w:fldCharType="separate"/>
      </w:r>
      <w:r w:rsidR="00EC5CC7">
        <w:t xml:space="preserve">Table </w:t>
      </w:r>
      <w:r w:rsidR="00EC5CC7">
        <w:rPr>
          <w:noProof/>
        </w:rPr>
        <w:t>15</w:t>
      </w:r>
      <w:r>
        <w:fldChar w:fldCharType="end"/>
      </w:r>
      <w:r>
        <w:t xml:space="preserve">. The results of </w:t>
      </w:r>
      <w:r w:rsidR="00551EF3" w:rsidRPr="00551EF3">
        <w:t>the 11 individual studies comparing varenicline with placebo previously considered by the PBAC</w:t>
      </w:r>
      <w:r>
        <w:t xml:space="preserve"> demonstrated a statistically significant difference in continuous abstinence rate, in favour of </w:t>
      </w:r>
      <w:r w:rsidR="00551EF3" w:rsidRPr="00551EF3">
        <w:t>varenicline. Similarly,</w:t>
      </w:r>
      <w:r>
        <w:t xml:space="preserve"> the results of the meta-analysis comprising </w:t>
      </w:r>
      <w:r w:rsidR="00551EF3" w:rsidRPr="00551EF3">
        <w:t>27</w:t>
      </w:r>
      <w:r>
        <w:t xml:space="preserve"> RCTs </w:t>
      </w:r>
      <w:r w:rsidR="00551EF3" w:rsidRPr="00551EF3">
        <w:t xml:space="preserve">by Cahill et al. (2016) </w:t>
      </w:r>
      <w:r>
        <w:t xml:space="preserve">demonstrated a </w:t>
      </w:r>
      <w:r w:rsidR="00551EF3" w:rsidRPr="00551EF3">
        <w:t xml:space="preserve">significantly higher rate of </w:t>
      </w:r>
      <w:r w:rsidR="000569B3">
        <w:t>long-term smoking cessation</w:t>
      </w:r>
      <w:r w:rsidR="00551EF3" w:rsidRPr="00551EF3">
        <w:t xml:space="preserve"> with varenicline compared with placebo.</w:t>
      </w:r>
      <w:r w:rsidR="002823AF">
        <w:t xml:space="preserve"> </w:t>
      </w:r>
    </w:p>
    <w:p w14:paraId="4AEDB4EC" w14:textId="24F3B1F1" w:rsidR="00580659" w:rsidRDefault="00624DC7" w:rsidP="00DC1A8D">
      <w:pPr>
        <w:spacing w:after="120"/>
        <w:jc w:val="both"/>
      </w:pPr>
      <w:r>
        <w:t>The results of the updated re-analysis comprising 3</w:t>
      </w:r>
      <w:r w:rsidR="00EB44E9">
        <w:t>2</w:t>
      </w:r>
      <w:r>
        <w:t xml:space="preserve"> RCTs</w:t>
      </w:r>
      <w:r w:rsidR="00552EBB">
        <w:t xml:space="preserve"> were consistent with the results from Cahill et al. (2016)</w:t>
      </w:r>
      <w:r w:rsidR="000774FB">
        <w:t xml:space="preserve"> (</w:t>
      </w:r>
      <w:r w:rsidR="00AC180C">
        <w:t>RR = 2.16, 95% CI</w:t>
      </w:r>
      <w:r w:rsidR="00F14F28">
        <w:t>: 1.8</w:t>
      </w:r>
      <w:r w:rsidR="00A661B1">
        <w:t>8</w:t>
      </w:r>
      <w:r w:rsidR="00F14F28">
        <w:t>, 2.4</w:t>
      </w:r>
      <w:r w:rsidR="00A661B1">
        <w:t>8</w:t>
      </w:r>
      <w:r w:rsidR="00F14F28">
        <w:t>; RD = 0.13, 95% CI: 0.1</w:t>
      </w:r>
      <w:r w:rsidR="003E2F01">
        <w:t>0</w:t>
      </w:r>
      <w:r w:rsidR="00F14F28">
        <w:t>, 0.15)</w:t>
      </w:r>
      <w:r w:rsidR="00552EBB">
        <w:t>.</w:t>
      </w:r>
    </w:p>
    <w:p w14:paraId="1B5CE1EA" w14:textId="4AF264F5" w:rsidR="0049176A" w:rsidRDefault="0049176A" w:rsidP="00DC1A8D">
      <w:pPr>
        <w:pStyle w:val="Caption"/>
        <w:keepNext/>
        <w:spacing w:before="0" w:after="120"/>
        <w:jc w:val="both"/>
      </w:pPr>
      <w:bookmarkStart w:id="51" w:name="_Ref54000249"/>
      <w:r>
        <w:t xml:space="preserve">Table </w:t>
      </w:r>
      <w:r>
        <w:fldChar w:fldCharType="begin"/>
      </w:r>
      <w:r>
        <w:instrText>SEQ Table \* ARABIC</w:instrText>
      </w:r>
      <w:r>
        <w:fldChar w:fldCharType="separate"/>
      </w:r>
      <w:r w:rsidR="00EC5CC7">
        <w:rPr>
          <w:noProof/>
        </w:rPr>
        <w:t>15</w:t>
      </w:r>
      <w:r>
        <w:fldChar w:fldCharType="end"/>
      </w:r>
      <w:bookmarkEnd w:id="51"/>
      <w:r>
        <w:t xml:space="preserve">: </w:t>
      </w:r>
      <w:r w:rsidRPr="006A7391">
        <w:t>Results of smoking cessation f</w:t>
      </w:r>
      <w:r w:rsidR="00A62229">
        <w:t>or</w:t>
      </w:r>
      <w:r w:rsidRPr="006A7391">
        <w:t xml:space="preserve"> at least six months follow-up, </w:t>
      </w:r>
      <w:r>
        <w:t>varenicline</w:t>
      </w:r>
      <w:r w:rsidRPr="006A7391">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1297"/>
        <w:gridCol w:w="1659"/>
        <w:gridCol w:w="1533"/>
        <w:gridCol w:w="1535"/>
        <w:gridCol w:w="1535"/>
        <w:gridCol w:w="1457"/>
      </w:tblGrid>
      <w:tr w:rsidR="00FD1A77" w:rsidRPr="00061F78" w14:paraId="394DB2D8" w14:textId="77777777" w:rsidTr="00DC1A8D">
        <w:trPr>
          <w:cantSplit/>
          <w:trHeight w:val="299"/>
          <w:tblHeader/>
        </w:trPr>
        <w:tc>
          <w:tcPr>
            <w:tcW w:w="720" w:type="pct"/>
            <w:shd w:val="clear" w:color="auto" w:fill="BFBFBF" w:themeFill="background1" w:themeFillShade="BF"/>
            <w:tcMar>
              <w:left w:w="28" w:type="dxa"/>
              <w:right w:w="28" w:type="dxa"/>
            </w:tcMar>
          </w:tcPr>
          <w:p w14:paraId="53F43E94" w14:textId="0A1C5329" w:rsidR="0049176A" w:rsidRPr="00061F78" w:rsidRDefault="00126B7B" w:rsidP="007C4A70">
            <w:pPr>
              <w:pStyle w:val="Tableheading"/>
              <w:rPr>
                <w:rFonts w:eastAsia="MS Mincho"/>
              </w:rPr>
            </w:pPr>
            <w:r>
              <w:rPr>
                <w:rFonts w:eastAsia="MS Mincho"/>
              </w:rPr>
              <w:t>Study</w:t>
            </w:r>
          </w:p>
        </w:tc>
        <w:tc>
          <w:tcPr>
            <w:tcW w:w="920" w:type="pct"/>
            <w:shd w:val="clear" w:color="auto" w:fill="BFBFBF" w:themeFill="background1" w:themeFillShade="BF"/>
            <w:vAlign w:val="center"/>
          </w:tcPr>
          <w:p w14:paraId="5C11A043" w14:textId="77777777" w:rsidR="0049176A" w:rsidRDefault="0049176A" w:rsidP="007C4A70">
            <w:pPr>
              <w:pStyle w:val="Tableheading"/>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2B3E04C8" w14:textId="21219731" w:rsidR="0049176A" w:rsidRPr="00061F78" w:rsidRDefault="003E100A" w:rsidP="007C4A70">
            <w:pPr>
              <w:pStyle w:val="Tableheading"/>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14:paraId="054A295A" w14:textId="77777777" w:rsidR="0049176A" w:rsidRPr="00061F78" w:rsidRDefault="0049176A" w:rsidP="007C4A70">
            <w:pPr>
              <w:pStyle w:val="Tableheading"/>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14:paraId="55F3C21F" w14:textId="7F44AA17" w:rsidR="0049176A" w:rsidRPr="00D468CF" w:rsidRDefault="0049176A" w:rsidP="007C4A70">
            <w:pPr>
              <w:pStyle w:val="Tableheading"/>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036AF535" w14:textId="77777777" w:rsidR="0049176A" w:rsidRDefault="0049176A" w:rsidP="007C4A70">
            <w:pPr>
              <w:pStyle w:val="Tableheading"/>
              <w:jc w:val="center"/>
              <w:rPr>
                <w:rFonts w:eastAsia="MS Mincho"/>
              </w:rPr>
            </w:pPr>
            <w:r>
              <w:rPr>
                <w:rFonts w:eastAsia="MS Mincho"/>
              </w:rPr>
              <w:t>RD (95% CI)</w:t>
            </w:r>
          </w:p>
        </w:tc>
      </w:tr>
      <w:tr w:rsidR="00FD1A77" w:rsidRPr="00061F78" w14:paraId="2E1E8DFB" w14:textId="77777777" w:rsidTr="00DC1A8D">
        <w:trPr>
          <w:cantSplit/>
          <w:trHeight w:val="99"/>
        </w:trPr>
        <w:tc>
          <w:tcPr>
            <w:tcW w:w="720" w:type="pct"/>
            <w:shd w:val="clear" w:color="auto" w:fill="D9D9D9" w:themeFill="background1" w:themeFillShade="D9"/>
            <w:tcMar>
              <w:left w:w="28" w:type="dxa"/>
              <w:right w:w="28" w:type="dxa"/>
            </w:tcMar>
          </w:tcPr>
          <w:p w14:paraId="6E3F8A3E" w14:textId="6F97F343" w:rsidR="0049176A" w:rsidRDefault="003E100A" w:rsidP="007C4A70">
            <w:pPr>
              <w:pStyle w:val="Tablewriting"/>
              <w:rPr>
                <w:rFonts w:eastAsia="MS Mincho"/>
              </w:rPr>
            </w:pPr>
            <w:r>
              <w:rPr>
                <w:rFonts w:eastAsia="MS Mincho"/>
              </w:rPr>
              <w:t>Gonzales (2006)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16A77066" w14:textId="48B1E142"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4B69E66C" w14:textId="77777777" w:rsidR="003E100A" w:rsidRDefault="00F36494" w:rsidP="007C4A70">
            <w:pPr>
              <w:pStyle w:val="Tablewriting"/>
              <w:jc w:val="center"/>
              <w:rPr>
                <w:rFonts w:eastAsia="MS Mincho"/>
              </w:rPr>
            </w:pPr>
            <w:r>
              <w:rPr>
                <w:rFonts w:eastAsia="MS Mincho"/>
              </w:rPr>
              <w:t>77/352</w:t>
            </w:r>
          </w:p>
          <w:p w14:paraId="308FC6E8" w14:textId="42FB8ADF" w:rsidR="0049176A" w:rsidRDefault="00F36494" w:rsidP="007C4A70">
            <w:pPr>
              <w:pStyle w:val="Tablewriting"/>
              <w:jc w:val="center"/>
              <w:rPr>
                <w:rFonts w:eastAsia="MS Mincho"/>
              </w:rPr>
            </w:pPr>
            <w:r>
              <w:rPr>
                <w:rFonts w:eastAsia="MS Mincho"/>
              </w:rPr>
              <w:t>(21.9%)</w:t>
            </w:r>
          </w:p>
        </w:tc>
        <w:tc>
          <w:tcPr>
            <w:tcW w:w="851" w:type="pct"/>
            <w:shd w:val="clear" w:color="auto" w:fill="D9D9D9" w:themeFill="background1" w:themeFillShade="D9"/>
            <w:tcMar>
              <w:left w:w="28" w:type="dxa"/>
              <w:right w:w="28" w:type="dxa"/>
            </w:tcMar>
            <w:vAlign w:val="center"/>
          </w:tcPr>
          <w:p w14:paraId="58D08F37" w14:textId="77777777" w:rsidR="003E100A" w:rsidRDefault="00F36494" w:rsidP="007C4A70">
            <w:pPr>
              <w:pStyle w:val="Tablewriting"/>
              <w:jc w:val="center"/>
              <w:rPr>
                <w:rFonts w:eastAsia="MS Mincho"/>
              </w:rPr>
            </w:pPr>
            <w:r>
              <w:rPr>
                <w:rFonts w:eastAsia="MS Mincho"/>
              </w:rPr>
              <w:t>29/344</w:t>
            </w:r>
          </w:p>
          <w:p w14:paraId="16CE818F" w14:textId="4E719418" w:rsidR="0049176A" w:rsidRDefault="00F36494" w:rsidP="007C4A70">
            <w:pPr>
              <w:pStyle w:val="Tablewriting"/>
              <w:jc w:val="center"/>
              <w:rPr>
                <w:rFonts w:eastAsia="MS Mincho"/>
              </w:rPr>
            </w:pPr>
            <w:r>
              <w:rPr>
                <w:rFonts w:eastAsia="MS Mincho"/>
              </w:rPr>
              <w:t>(8.4%)</w:t>
            </w:r>
          </w:p>
        </w:tc>
        <w:tc>
          <w:tcPr>
            <w:tcW w:w="851" w:type="pct"/>
            <w:shd w:val="clear" w:color="auto" w:fill="D9D9D9" w:themeFill="background1" w:themeFillShade="D9"/>
            <w:tcMar>
              <w:left w:w="28" w:type="dxa"/>
              <w:right w:w="28" w:type="dxa"/>
            </w:tcMar>
            <w:vAlign w:val="center"/>
          </w:tcPr>
          <w:p w14:paraId="725C704C" w14:textId="77777777" w:rsidR="003E100A" w:rsidRPr="00F360FD" w:rsidRDefault="00A72B06" w:rsidP="007C4A70">
            <w:pPr>
              <w:pStyle w:val="Tablewriting"/>
              <w:jc w:val="center"/>
              <w:rPr>
                <w:rFonts w:eastAsia="MS Mincho"/>
                <w:b/>
                <w:bCs/>
              </w:rPr>
            </w:pPr>
            <w:r w:rsidRPr="00F360FD">
              <w:rPr>
                <w:rFonts w:eastAsia="MS Mincho"/>
                <w:b/>
                <w:bCs/>
              </w:rPr>
              <w:t>2.59</w:t>
            </w:r>
          </w:p>
          <w:p w14:paraId="24CC21A2" w14:textId="74A94621" w:rsidR="0049176A" w:rsidRPr="00F360FD" w:rsidRDefault="00A72B06" w:rsidP="007C4A70">
            <w:pPr>
              <w:pStyle w:val="Tablewriting"/>
              <w:jc w:val="center"/>
              <w:rPr>
                <w:rFonts w:eastAsia="MS Mincho"/>
                <w:b/>
              </w:rPr>
            </w:pPr>
            <w:r w:rsidRPr="00F360FD">
              <w:rPr>
                <w:rFonts w:eastAsia="MS Mincho"/>
                <w:b/>
                <w:bCs/>
              </w:rPr>
              <w:t>(1.74, 3.87)</w:t>
            </w:r>
          </w:p>
        </w:tc>
        <w:tc>
          <w:tcPr>
            <w:tcW w:w="807" w:type="pct"/>
            <w:shd w:val="clear" w:color="auto" w:fill="D9D9D9" w:themeFill="background1" w:themeFillShade="D9"/>
            <w:vAlign w:val="center"/>
          </w:tcPr>
          <w:p w14:paraId="296CCAD9" w14:textId="77777777" w:rsidR="0049176A" w:rsidRPr="004536BC" w:rsidRDefault="007D14D3" w:rsidP="007C4A70">
            <w:pPr>
              <w:pStyle w:val="Tablewriting"/>
              <w:jc w:val="center"/>
              <w:rPr>
                <w:rFonts w:eastAsia="MS Mincho"/>
                <w:b/>
                <w:bCs/>
              </w:rPr>
            </w:pPr>
            <w:r w:rsidRPr="004536BC">
              <w:rPr>
                <w:rFonts w:eastAsia="MS Mincho"/>
                <w:b/>
                <w:bCs/>
              </w:rPr>
              <w:t>0.13</w:t>
            </w:r>
          </w:p>
          <w:p w14:paraId="4633039E" w14:textId="6AA3271F" w:rsidR="0049176A" w:rsidRPr="004536BC" w:rsidRDefault="007D14D3" w:rsidP="007C4A70">
            <w:pPr>
              <w:pStyle w:val="Tablewriting"/>
              <w:jc w:val="center"/>
              <w:rPr>
                <w:rFonts w:eastAsia="MS Mincho"/>
                <w:b/>
              </w:rPr>
            </w:pPr>
            <w:r w:rsidRPr="004536BC">
              <w:rPr>
                <w:rFonts w:eastAsia="MS Mincho"/>
                <w:b/>
                <w:bCs/>
              </w:rPr>
              <w:t>(0</w:t>
            </w:r>
            <w:r w:rsidR="00223C74" w:rsidRPr="004536BC">
              <w:rPr>
                <w:rFonts w:eastAsia="MS Mincho"/>
                <w:b/>
                <w:bCs/>
              </w:rPr>
              <w:t>.08, 0.19)</w:t>
            </w:r>
          </w:p>
        </w:tc>
      </w:tr>
      <w:tr w:rsidR="00FD1A77" w:rsidRPr="00061F78" w14:paraId="0AE6CE08" w14:textId="77777777" w:rsidTr="00DC1A8D">
        <w:trPr>
          <w:cantSplit/>
          <w:trHeight w:val="99"/>
        </w:trPr>
        <w:tc>
          <w:tcPr>
            <w:tcW w:w="720" w:type="pct"/>
            <w:shd w:val="clear" w:color="auto" w:fill="D9D9D9" w:themeFill="background1" w:themeFillShade="D9"/>
            <w:tcMar>
              <w:left w:w="28" w:type="dxa"/>
              <w:right w:w="28" w:type="dxa"/>
            </w:tcMar>
          </w:tcPr>
          <w:p w14:paraId="653997E5" w14:textId="335C3FC9" w:rsidR="0049176A" w:rsidRDefault="003E100A" w:rsidP="007C4A70">
            <w:pPr>
              <w:pStyle w:val="Tablewriting"/>
              <w:rPr>
                <w:rFonts w:eastAsia="MS Mincho"/>
              </w:rPr>
            </w:pPr>
            <w:r>
              <w:rPr>
                <w:rFonts w:eastAsia="MS Mincho"/>
              </w:rPr>
              <w:t>Jorenby (2006)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6D85117E" w14:textId="6F35E1DD"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0AAF73B8" w14:textId="77777777" w:rsidR="003E100A" w:rsidRDefault="00EF6935" w:rsidP="007C4A70">
            <w:pPr>
              <w:pStyle w:val="Tablewriting"/>
              <w:jc w:val="center"/>
              <w:rPr>
                <w:rFonts w:eastAsia="MS Mincho"/>
              </w:rPr>
            </w:pPr>
            <w:r>
              <w:rPr>
                <w:rFonts w:eastAsia="MS Mincho"/>
              </w:rPr>
              <w:t>79/344</w:t>
            </w:r>
          </w:p>
          <w:p w14:paraId="24FCFECB" w14:textId="717B7944" w:rsidR="0049176A" w:rsidRDefault="00EF6935" w:rsidP="007C4A70">
            <w:pPr>
              <w:pStyle w:val="Tablewriting"/>
              <w:jc w:val="center"/>
              <w:rPr>
                <w:rFonts w:eastAsia="MS Mincho"/>
              </w:rPr>
            </w:pPr>
            <w:r>
              <w:rPr>
                <w:rFonts w:eastAsia="MS Mincho"/>
              </w:rPr>
              <w:t>(23.0%)</w:t>
            </w:r>
          </w:p>
        </w:tc>
        <w:tc>
          <w:tcPr>
            <w:tcW w:w="851" w:type="pct"/>
            <w:shd w:val="clear" w:color="auto" w:fill="D9D9D9" w:themeFill="background1" w:themeFillShade="D9"/>
            <w:tcMar>
              <w:left w:w="28" w:type="dxa"/>
              <w:right w:w="28" w:type="dxa"/>
            </w:tcMar>
            <w:vAlign w:val="center"/>
          </w:tcPr>
          <w:p w14:paraId="7C35ACB7" w14:textId="77777777" w:rsidR="003E100A" w:rsidRDefault="007C35F7" w:rsidP="007C4A70">
            <w:pPr>
              <w:pStyle w:val="Tablewriting"/>
              <w:jc w:val="center"/>
              <w:rPr>
                <w:rFonts w:eastAsia="MS Mincho"/>
              </w:rPr>
            </w:pPr>
            <w:r>
              <w:rPr>
                <w:rFonts w:eastAsia="MS Mincho"/>
              </w:rPr>
              <w:t>35/341</w:t>
            </w:r>
          </w:p>
          <w:p w14:paraId="18C77A81" w14:textId="57E9316F" w:rsidR="0049176A" w:rsidRDefault="007C35F7" w:rsidP="007C4A70">
            <w:pPr>
              <w:pStyle w:val="Tablewriting"/>
              <w:jc w:val="center"/>
              <w:rPr>
                <w:rFonts w:eastAsia="MS Mincho"/>
              </w:rPr>
            </w:pPr>
            <w:r>
              <w:rPr>
                <w:rFonts w:eastAsia="MS Mincho"/>
              </w:rPr>
              <w:t>(10.3%)</w:t>
            </w:r>
          </w:p>
        </w:tc>
        <w:tc>
          <w:tcPr>
            <w:tcW w:w="851" w:type="pct"/>
            <w:shd w:val="clear" w:color="auto" w:fill="D9D9D9" w:themeFill="background1" w:themeFillShade="D9"/>
            <w:tcMar>
              <w:left w:w="28" w:type="dxa"/>
              <w:right w:w="28" w:type="dxa"/>
            </w:tcMar>
            <w:vAlign w:val="center"/>
          </w:tcPr>
          <w:p w14:paraId="6E737181" w14:textId="77777777" w:rsidR="003E100A" w:rsidRPr="00F360FD" w:rsidRDefault="00365F9B" w:rsidP="007C4A70">
            <w:pPr>
              <w:pStyle w:val="Tablewriting"/>
              <w:jc w:val="center"/>
              <w:rPr>
                <w:rFonts w:eastAsia="MS Mincho"/>
                <w:b/>
                <w:bCs/>
              </w:rPr>
            </w:pPr>
            <w:r w:rsidRPr="00F360FD">
              <w:rPr>
                <w:rFonts w:eastAsia="MS Mincho"/>
                <w:b/>
                <w:bCs/>
              </w:rPr>
              <w:t>2.24</w:t>
            </w:r>
          </w:p>
          <w:p w14:paraId="78C29493" w14:textId="3E65EF91" w:rsidR="0049176A" w:rsidRPr="00F360FD" w:rsidRDefault="00365F9B" w:rsidP="007C4A70">
            <w:pPr>
              <w:pStyle w:val="Tablewriting"/>
              <w:jc w:val="center"/>
              <w:rPr>
                <w:rFonts w:eastAsia="MS Mincho"/>
                <w:b/>
              </w:rPr>
            </w:pPr>
            <w:r w:rsidRPr="00F360FD">
              <w:rPr>
                <w:rFonts w:eastAsia="MS Mincho"/>
                <w:b/>
                <w:bCs/>
              </w:rPr>
              <w:t>(1.55, 3.24)</w:t>
            </w:r>
          </w:p>
        </w:tc>
        <w:tc>
          <w:tcPr>
            <w:tcW w:w="807" w:type="pct"/>
            <w:shd w:val="clear" w:color="auto" w:fill="D9D9D9" w:themeFill="background1" w:themeFillShade="D9"/>
            <w:vAlign w:val="center"/>
          </w:tcPr>
          <w:p w14:paraId="111B5125" w14:textId="77777777" w:rsidR="0049176A" w:rsidRPr="004536BC" w:rsidRDefault="00223C74" w:rsidP="007C4A70">
            <w:pPr>
              <w:pStyle w:val="Tablewriting"/>
              <w:jc w:val="center"/>
              <w:rPr>
                <w:rFonts w:eastAsia="MS Mincho"/>
                <w:b/>
                <w:bCs/>
              </w:rPr>
            </w:pPr>
            <w:r w:rsidRPr="004536BC">
              <w:rPr>
                <w:rFonts w:eastAsia="MS Mincho"/>
                <w:b/>
                <w:bCs/>
              </w:rPr>
              <w:t>0.13</w:t>
            </w:r>
          </w:p>
          <w:p w14:paraId="5BCAB74C" w14:textId="74F1D24A" w:rsidR="0049176A" w:rsidRPr="004536BC" w:rsidRDefault="00223C74" w:rsidP="007C4A70">
            <w:pPr>
              <w:pStyle w:val="Tablewriting"/>
              <w:jc w:val="center"/>
              <w:rPr>
                <w:rFonts w:eastAsia="MS Mincho"/>
                <w:b/>
              </w:rPr>
            </w:pPr>
            <w:r w:rsidRPr="004536BC">
              <w:rPr>
                <w:rFonts w:eastAsia="MS Mincho"/>
                <w:b/>
                <w:bCs/>
              </w:rPr>
              <w:t>(0.07, 0.18)</w:t>
            </w:r>
          </w:p>
        </w:tc>
      </w:tr>
      <w:tr w:rsidR="00FD1A77" w:rsidRPr="00061F78" w14:paraId="6D8FA2B9" w14:textId="77777777" w:rsidTr="00DC1A8D">
        <w:trPr>
          <w:cantSplit/>
          <w:trHeight w:val="99"/>
        </w:trPr>
        <w:tc>
          <w:tcPr>
            <w:tcW w:w="720" w:type="pct"/>
            <w:shd w:val="clear" w:color="auto" w:fill="D9D9D9" w:themeFill="background1" w:themeFillShade="D9"/>
            <w:tcMar>
              <w:left w:w="28" w:type="dxa"/>
              <w:right w:w="28" w:type="dxa"/>
            </w:tcMar>
          </w:tcPr>
          <w:p w14:paraId="00BB0FD6" w14:textId="77777777" w:rsidR="00E1420A" w:rsidRDefault="003E100A" w:rsidP="007C4A70">
            <w:pPr>
              <w:pStyle w:val="Tablewriting"/>
              <w:rPr>
                <w:rFonts w:eastAsia="MS Mincho"/>
              </w:rPr>
            </w:pPr>
            <w:r>
              <w:rPr>
                <w:rFonts w:eastAsia="MS Mincho"/>
              </w:rPr>
              <w:t xml:space="preserve">Oncken </w:t>
            </w:r>
          </w:p>
          <w:p w14:paraId="537AC034" w14:textId="78E83EB8" w:rsidR="0049176A" w:rsidRDefault="003E100A" w:rsidP="007C4A70">
            <w:pPr>
              <w:pStyle w:val="Tablewriting"/>
              <w:rPr>
                <w:rFonts w:eastAsia="MS Mincho"/>
              </w:rPr>
            </w:pPr>
            <w:r>
              <w:rPr>
                <w:rFonts w:eastAsia="MS Mincho"/>
              </w:rPr>
              <w:t>(2006)</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272C66AE" w14:textId="0126C457"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0DD5D358" w14:textId="71DB4958" w:rsidR="003E100A" w:rsidRDefault="004B23FB" w:rsidP="007C4A70">
            <w:pPr>
              <w:pStyle w:val="Tablewriting"/>
              <w:jc w:val="center"/>
              <w:rPr>
                <w:rFonts w:eastAsia="MS Mincho"/>
              </w:rPr>
            </w:pPr>
            <w:r>
              <w:rPr>
                <w:rFonts w:eastAsia="MS Mincho"/>
              </w:rPr>
              <w:t>58/259</w:t>
            </w:r>
          </w:p>
          <w:p w14:paraId="6D6BE83E" w14:textId="51397D6E" w:rsidR="0049176A" w:rsidRDefault="004B23FB" w:rsidP="007C4A70">
            <w:pPr>
              <w:pStyle w:val="Tablewriting"/>
              <w:jc w:val="center"/>
              <w:rPr>
                <w:rFonts w:eastAsia="MS Mincho"/>
              </w:rPr>
            </w:pPr>
            <w:r>
              <w:rPr>
                <w:rFonts w:eastAsia="MS Mincho"/>
              </w:rPr>
              <w:t>(22.4%)</w:t>
            </w:r>
          </w:p>
        </w:tc>
        <w:tc>
          <w:tcPr>
            <w:tcW w:w="851" w:type="pct"/>
            <w:shd w:val="clear" w:color="auto" w:fill="D9D9D9" w:themeFill="background1" w:themeFillShade="D9"/>
            <w:tcMar>
              <w:left w:w="28" w:type="dxa"/>
              <w:right w:w="28" w:type="dxa"/>
            </w:tcMar>
            <w:vAlign w:val="center"/>
          </w:tcPr>
          <w:p w14:paraId="1ACCCFD4" w14:textId="77777777" w:rsidR="003E100A" w:rsidRDefault="00157E1E" w:rsidP="007C4A70">
            <w:pPr>
              <w:pStyle w:val="Tablewriting"/>
              <w:jc w:val="center"/>
              <w:rPr>
                <w:rFonts w:eastAsia="MS Mincho"/>
              </w:rPr>
            </w:pPr>
            <w:r>
              <w:rPr>
                <w:rFonts w:eastAsia="MS Mincho"/>
              </w:rPr>
              <w:t>5/129</w:t>
            </w:r>
          </w:p>
          <w:p w14:paraId="5FB973DB" w14:textId="5F79CB76" w:rsidR="0049176A" w:rsidRDefault="00157E1E" w:rsidP="007C4A70">
            <w:pPr>
              <w:pStyle w:val="Tablewriting"/>
              <w:jc w:val="center"/>
              <w:rPr>
                <w:rFonts w:eastAsia="MS Mincho"/>
              </w:rPr>
            </w:pPr>
            <w:r>
              <w:rPr>
                <w:rFonts w:eastAsia="MS Mincho"/>
              </w:rPr>
              <w:t>(3.9%)</w:t>
            </w:r>
          </w:p>
        </w:tc>
        <w:tc>
          <w:tcPr>
            <w:tcW w:w="851" w:type="pct"/>
            <w:shd w:val="clear" w:color="auto" w:fill="D9D9D9" w:themeFill="background1" w:themeFillShade="D9"/>
            <w:tcMar>
              <w:left w:w="28" w:type="dxa"/>
              <w:right w:w="28" w:type="dxa"/>
            </w:tcMar>
            <w:vAlign w:val="center"/>
          </w:tcPr>
          <w:p w14:paraId="728B144A" w14:textId="77777777" w:rsidR="003E100A" w:rsidRPr="008859EB" w:rsidRDefault="00047FB0" w:rsidP="007C4A70">
            <w:pPr>
              <w:pStyle w:val="Tablewriting"/>
              <w:jc w:val="center"/>
              <w:rPr>
                <w:rFonts w:eastAsia="MS Mincho"/>
                <w:b/>
                <w:bCs/>
              </w:rPr>
            </w:pPr>
            <w:r w:rsidRPr="008859EB">
              <w:rPr>
                <w:rFonts w:eastAsia="MS Mincho"/>
                <w:b/>
                <w:bCs/>
              </w:rPr>
              <w:t>5.78</w:t>
            </w:r>
          </w:p>
          <w:p w14:paraId="215287D5" w14:textId="4D99BFC8" w:rsidR="0049176A" w:rsidRDefault="00047FB0" w:rsidP="007C4A70">
            <w:pPr>
              <w:pStyle w:val="Tablewriting"/>
              <w:jc w:val="center"/>
              <w:rPr>
                <w:rFonts w:eastAsia="MS Mincho"/>
              </w:rPr>
            </w:pPr>
            <w:r w:rsidRPr="008859EB">
              <w:rPr>
                <w:rFonts w:eastAsia="MS Mincho"/>
                <w:b/>
                <w:bCs/>
              </w:rPr>
              <w:t>(2.38, 14.</w:t>
            </w:r>
            <w:r w:rsidR="00F24207">
              <w:rPr>
                <w:rFonts w:eastAsia="MS Mincho"/>
                <w:b/>
                <w:bCs/>
              </w:rPr>
              <w:t>05</w:t>
            </w:r>
            <w:r w:rsidRPr="008859EB">
              <w:rPr>
                <w:rFonts w:eastAsia="MS Mincho"/>
                <w:b/>
                <w:bCs/>
              </w:rPr>
              <w:t>)</w:t>
            </w:r>
          </w:p>
        </w:tc>
        <w:tc>
          <w:tcPr>
            <w:tcW w:w="807" w:type="pct"/>
            <w:shd w:val="clear" w:color="auto" w:fill="D9D9D9" w:themeFill="background1" w:themeFillShade="D9"/>
            <w:vAlign w:val="center"/>
          </w:tcPr>
          <w:p w14:paraId="102E3A35" w14:textId="77777777" w:rsidR="0049176A" w:rsidRPr="004536BC" w:rsidRDefault="00223C74" w:rsidP="007C4A70">
            <w:pPr>
              <w:pStyle w:val="Tablewriting"/>
              <w:jc w:val="center"/>
              <w:rPr>
                <w:rFonts w:eastAsia="MS Mincho"/>
                <w:b/>
                <w:bCs/>
              </w:rPr>
            </w:pPr>
            <w:r w:rsidRPr="004536BC">
              <w:rPr>
                <w:rFonts w:eastAsia="MS Mincho"/>
                <w:b/>
                <w:bCs/>
              </w:rPr>
              <w:t>0.19</w:t>
            </w:r>
          </w:p>
          <w:p w14:paraId="7631BF95" w14:textId="32642390" w:rsidR="0049176A" w:rsidRPr="004536BC" w:rsidRDefault="00223C74" w:rsidP="007C4A70">
            <w:pPr>
              <w:pStyle w:val="Tablewriting"/>
              <w:jc w:val="center"/>
              <w:rPr>
                <w:rFonts w:eastAsia="MS Mincho"/>
                <w:b/>
              </w:rPr>
            </w:pPr>
            <w:r w:rsidRPr="004536BC">
              <w:rPr>
                <w:rFonts w:eastAsia="MS Mincho"/>
                <w:b/>
                <w:bCs/>
              </w:rPr>
              <w:t>(</w:t>
            </w:r>
            <w:r w:rsidR="00D00932" w:rsidRPr="004536BC">
              <w:rPr>
                <w:rFonts w:eastAsia="MS Mincho"/>
                <w:b/>
                <w:bCs/>
              </w:rPr>
              <w:t>0.12, 0.25)</w:t>
            </w:r>
          </w:p>
        </w:tc>
      </w:tr>
      <w:tr w:rsidR="00FD1A77" w:rsidRPr="00061F78" w14:paraId="7C355D5E" w14:textId="77777777" w:rsidTr="00DC1A8D">
        <w:trPr>
          <w:cantSplit/>
          <w:trHeight w:val="99"/>
        </w:trPr>
        <w:tc>
          <w:tcPr>
            <w:tcW w:w="720" w:type="pct"/>
            <w:shd w:val="clear" w:color="auto" w:fill="D9D9D9" w:themeFill="background1" w:themeFillShade="D9"/>
            <w:tcMar>
              <w:left w:w="28" w:type="dxa"/>
              <w:right w:w="28" w:type="dxa"/>
            </w:tcMar>
          </w:tcPr>
          <w:p w14:paraId="3A628D1E" w14:textId="480EE9AA" w:rsidR="0049176A" w:rsidRDefault="003E100A" w:rsidP="007C4A70">
            <w:pPr>
              <w:pStyle w:val="Tablewriting"/>
              <w:rPr>
                <w:rFonts w:eastAsia="MS Mincho"/>
              </w:rPr>
            </w:pPr>
            <w:r>
              <w:rPr>
                <w:rFonts w:eastAsia="MS Mincho"/>
              </w:rPr>
              <w:t>Nakamura (2007)</w:t>
            </w:r>
            <w:r w:rsidR="00571438">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71CC7FC1" w14:textId="6BF3B8D6"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0E291F0D" w14:textId="505BD286" w:rsidR="003E100A" w:rsidRPr="007B3D7F" w:rsidRDefault="008859EB" w:rsidP="007C4A70">
            <w:pPr>
              <w:pStyle w:val="Tablewriting"/>
              <w:jc w:val="center"/>
              <w:rPr>
                <w:rFonts w:eastAsia="MS Mincho"/>
                <w:vertAlign w:val="superscript"/>
              </w:rPr>
            </w:pPr>
            <w:r>
              <w:rPr>
                <w:rFonts w:eastAsia="MS Mincho"/>
              </w:rPr>
              <w:t>56/156</w:t>
            </w:r>
            <w:r w:rsidR="007B3D7F">
              <w:rPr>
                <w:rFonts w:eastAsia="MS Mincho"/>
                <w:vertAlign w:val="superscript"/>
              </w:rPr>
              <w:t>a</w:t>
            </w:r>
          </w:p>
          <w:p w14:paraId="4D4DF05F" w14:textId="6FB61B8F" w:rsidR="0049176A" w:rsidRDefault="008859EB" w:rsidP="007C4A70">
            <w:pPr>
              <w:pStyle w:val="Tablewriting"/>
              <w:jc w:val="center"/>
              <w:rPr>
                <w:rFonts w:eastAsia="MS Mincho"/>
              </w:rPr>
            </w:pPr>
            <w:r>
              <w:rPr>
                <w:rFonts w:eastAsia="MS Mincho"/>
              </w:rPr>
              <w:t>(</w:t>
            </w:r>
            <w:r w:rsidR="00A60026">
              <w:rPr>
                <w:rFonts w:eastAsia="MS Mincho"/>
              </w:rPr>
              <w:t>35.9%)</w:t>
            </w:r>
          </w:p>
        </w:tc>
        <w:tc>
          <w:tcPr>
            <w:tcW w:w="851" w:type="pct"/>
            <w:shd w:val="clear" w:color="auto" w:fill="D9D9D9" w:themeFill="background1" w:themeFillShade="D9"/>
            <w:tcMar>
              <w:left w:w="28" w:type="dxa"/>
              <w:right w:w="28" w:type="dxa"/>
            </w:tcMar>
            <w:vAlign w:val="center"/>
          </w:tcPr>
          <w:p w14:paraId="7489FB7F" w14:textId="6DA84481" w:rsidR="003E100A" w:rsidRPr="007B3D7F" w:rsidRDefault="00A2515B" w:rsidP="007C4A70">
            <w:pPr>
              <w:pStyle w:val="Tablewriting"/>
              <w:jc w:val="center"/>
              <w:rPr>
                <w:rFonts w:eastAsia="MS Mincho"/>
                <w:vertAlign w:val="superscript"/>
              </w:rPr>
            </w:pPr>
            <w:r>
              <w:rPr>
                <w:rFonts w:eastAsia="MS Mincho"/>
              </w:rPr>
              <w:t>35/154</w:t>
            </w:r>
            <w:r w:rsidR="007B3D7F">
              <w:rPr>
                <w:rFonts w:eastAsia="MS Mincho"/>
                <w:vertAlign w:val="superscript"/>
              </w:rPr>
              <w:t>a</w:t>
            </w:r>
          </w:p>
          <w:p w14:paraId="420B3DA9" w14:textId="2ECDCD74" w:rsidR="0049176A" w:rsidRDefault="00A2515B" w:rsidP="007C4A70">
            <w:pPr>
              <w:pStyle w:val="Tablewriting"/>
              <w:jc w:val="center"/>
              <w:rPr>
                <w:rFonts w:eastAsia="MS Mincho"/>
              </w:rPr>
            </w:pPr>
            <w:r>
              <w:rPr>
                <w:rFonts w:eastAsia="MS Mincho"/>
              </w:rPr>
              <w:t>(22.7%)</w:t>
            </w:r>
          </w:p>
        </w:tc>
        <w:tc>
          <w:tcPr>
            <w:tcW w:w="851" w:type="pct"/>
            <w:shd w:val="clear" w:color="auto" w:fill="D9D9D9" w:themeFill="background1" w:themeFillShade="D9"/>
            <w:tcMar>
              <w:left w:w="28" w:type="dxa"/>
              <w:right w:w="28" w:type="dxa"/>
            </w:tcMar>
            <w:vAlign w:val="center"/>
          </w:tcPr>
          <w:p w14:paraId="690CD64E" w14:textId="77777777" w:rsidR="003E100A" w:rsidRPr="00C81561" w:rsidRDefault="00A2515B" w:rsidP="007C4A70">
            <w:pPr>
              <w:pStyle w:val="Tablewriting"/>
              <w:jc w:val="center"/>
              <w:rPr>
                <w:rFonts w:eastAsia="MS Mincho"/>
                <w:b/>
                <w:bCs/>
              </w:rPr>
            </w:pPr>
            <w:r w:rsidRPr="00C81561">
              <w:rPr>
                <w:rFonts w:eastAsia="MS Mincho"/>
                <w:b/>
                <w:bCs/>
              </w:rPr>
              <w:t>1.58</w:t>
            </w:r>
          </w:p>
          <w:p w14:paraId="4ADD4038" w14:textId="206D48AA" w:rsidR="0049176A" w:rsidRDefault="00A2515B" w:rsidP="007C4A70">
            <w:pPr>
              <w:pStyle w:val="Tablewriting"/>
              <w:jc w:val="center"/>
              <w:rPr>
                <w:rFonts w:eastAsia="MS Mincho"/>
              </w:rPr>
            </w:pPr>
            <w:r w:rsidRPr="00C81561">
              <w:rPr>
                <w:rFonts w:eastAsia="MS Mincho"/>
                <w:b/>
                <w:bCs/>
              </w:rPr>
              <w:t>(1.10, 2.26)</w:t>
            </w:r>
          </w:p>
        </w:tc>
        <w:tc>
          <w:tcPr>
            <w:tcW w:w="807" w:type="pct"/>
            <w:shd w:val="clear" w:color="auto" w:fill="D9D9D9" w:themeFill="background1" w:themeFillShade="D9"/>
            <w:vAlign w:val="center"/>
          </w:tcPr>
          <w:p w14:paraId="76B5C436" w14:textId="77777777" w:rsidR="0049176A" w:rsidRPr="004536BC" w:rsidRDefault="00D00932" w:rsidP="007C4A70">
            <w:pPr>
              <w:pStyle w:val="Tablewriting"/>
              <w:jc w:val="center"/>
              <w:rPr>
                <w:rFonts w:eastAsia="MS Mincho"/>
                <w:b/>
                <w:bCs/>
              </w:rPr>
            </w:pPr>
            <w:r w:rsidRPr="004536BC">
              <w:rPr>
                <w:rFonts w:eastAsia="MS Mincho"/>
                <w:b/>
                <w:bCs/>
              </w:rPr>
              <w:t>0.13</w:t>
            </w:r>
          </w:p>
          <w:p w14:paraId="24F593D7" w14:textId="2316649E" w:rsidR="0049176A" w:rsidRPr="004536BC" w:rsidRDefault="00D00932" w:rsidP="007C4A70">
            <w:pPr>
              <w:pStyle w:val="Tablewriting"/>
              <w:jc w:val="center"/>
              <w:rPr>
                <w:rFonts w:eastAsia="MS Mincho"/>
                <w:b/>
              </w:rPr>
            </w:pPr>
            <w:r w:rsidRPr="004536BC">
              <w:rPr>
                <w:rFonts w:eastAsia="MS Mincho"/>
                <w:b/>
                <w:bCs/>
              </w:rPr>
              <w:t>(0.03, 0.23)</w:t>
            </w:r>
          </w:p>
        </w:tc>
      </w:tr>
      <w:tr w:rsidR="00FD1A77" w:rsidRPr="00061F78" w14:paraId="079A5EF5" w14:textId="77777777" w:rsidTr="00DC1A8D">
        <w:trPr>
          <w:cantSplit/>
          <w:trHeight w:val="99"/>
        </w:trPr>
        <w:tc>
          <w:tcPr>
            <w:tcW w:w="720" w:type="pct"/>
            <w:shd w:val="clear" w:color="auto" w:fill="D9D9D9" w:themeFill="background1" w:themeFillShade="D9"/>
            <w:tcMar>
              <w:left w:w="28" w:type="dxa"/>
              <w:right w:w="28" w:type="dxa"/>
            </w:tcMar>
          </w:tcPr>
          <w:p w14:paraId="4ACDF2E1" w14:textId="77777777" w:rsidR="003E100A" w:rsidRDefault="003E100A" w:rsidP="007C4A70">
            <w:pPr>
              <w:pStyle w:val="Tablewriting"/>
              <w:rPr>
                <w:rFonts w:eastAsia="MS Mincho"/>
              </w:rPr>
            </w:pPr>
            <w:r>
              <w:rPr>
                <w:rFonts w:eastAsia="MS Mincho"/>
              </w:rPr>
              <w:t xml:space="preserve">Tsai </w:t>
            </w:r>
          </w:p>
          <w:p w14:paraId="52399012" w14:textId="187B4B3E" w:rsidR="0049176A" w:rsidRDefault="003E100A" w:rsidP="007C4A70">
            <w:pPr>
              <w:pStyle w:val="Tablewriting"/>
              <w:rPr>
                <w:rFonts w:eastAsia="MS Mincho"/>
              </w:rPr>
            </w:pPr>
            <w:r>
              <w:rPr>
                <w:rFonts w:eastAsia="MS Mincho"/>
              </w:rPr>
              <w:t>(2007)</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14:paraId="0558DCFB" w14:textId="0006EC1F"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6E12F3AE" w14:textId="77777777" w:rsidR="003E100A" w:rsidRDefault="00AE69D8" w:rsidP="007C4A70">
            <w:pPr>
              <w:pStyle w:val="Tablewriting"/>
              <w:jc w:val="center"/>
              <w:rPr>
                <w:rFonts w:eastAsia="MS Mincho"/>
              </w:rPr>
            </w:pPr>
            <w:r>
              <w:rPr>
                <w:rFonts w:eastAsia="MS Mincho"/>
              </w:rPr>
              <w:t>59/126</w:t>
            </w:r>
          </w:p>
          <w:p w14:paraId="3D2245E0" w14:textId="1572AAA4" w:rsidR="0049176A" w:rsidRDefault="00AE69D8" w:rsidP="007C4A70">
            <w:pPr>
              <w:pStyle w:val="Tablewriting"/>
              <w:jc w:val="center"/>
              <w:rPr>
                <w:rFonts w:eastAsia="MS Mincho"/>
              </w:rPr>
            </w:pPr>
            <w:r>
              <w:rPr>
                <w:rFonts w:eastAsia="MS Mincho"/>
              </w:rPr>
              <w:t>(</w:t>
            </w:r>
            <w:r w:rsidR="00FF06B5">
              <w:rPr>
                <w:rFonts w:eastAsia="MS Mincho"/>
              </w:rPr>
              <w:t>46.8%)</w:t>
            </w:r>
          </w:p>
        </w:tc>
        <w:tc>
          <w:tcPr>
            <w:tcW w:w="851" w:type="pct"/>
            <w:shd w:val="clear" w:color="auto" w:fill="D9D9D9" w:themeFill="background1" w:themeFillShade="D9"/>
            <w:tcMar>
              <w:left w:w="28" w:type="dxa"/>
              <w:right w:w="28" w:type="dxa"/>
            </w:tcMar>
            <w:vAlign w:val="center"/>
          </w:tcPr>
          <w:p w14:paraId="6BED35FE" w14:textId="77777777" w:rsidR="003E100A" w:rsidRDefault="00CA7C26" w:rsidP="007C4A70">
            <w:pPr>
              <w:pStyle w:val="Tablewriting"/>
              <w:jc w:val="center"/>
              <w:rPr>
                <w:rFonts w:eastAsia="MS Mincho"/>
              </w:rPr>
            </w:pPr>
            <w:r>
              <w:rPr>
                <w:rFonts w:eastAsia="MS Mincho"/>
              </w:rPr>
              <w:t>27/124</w:t>
            </w:r>
          </w:p>
          <w:p w14:paraId="66DF8128" w14:textId="01F88AAE" w:rsidR="0049176A" w:rsidRDefault="008C7F0E" w:rsidP="007C4A70">
            <w:pPr>
              <w:pStyle w:val="Tablewriting"/>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14:paraId="5A6462D2" w14:textId="77777777" w:rsidR="003E100A" w:rsidRPr="00922884" w:rsidRDefault="00922884" w:rsidP="007C4A70">
            <w:pPr>
              <w:pStyle w:val="Tablewriting"/>
              <w:jc w:val="center"/>
              <w:rPr>
                <w:rFonts w:eastAsia="MS Mincho"/>
                <w:b/>
                <w:bCs/>
              </w:rPr>
            </w:pPr>
            <w:r w:rsidRPr="00922884">
              <w:rPr>
                <w:rFonts w:eastAsia="MS Mincho"/>
                <w:b/>
                <w:bCs/>
              </w:rPr>
              <w:t>2.15</w:t>
            </w:r>
          </w:p>
          <w:p w14:paraId="4831FBD7" w14:textId="3BBE4934" w:rsidR="0049176A" w:rsidRDefault="00922884" w:rsidP="007C4A70">
            <w:pPr>
              <w:pStyle w:val="Tablewriting"/>
              <w:jc w:val="center"/>
              <w:rPr>
                <w:rFonts w:eastAsia="MS Mincho"/>
              </w:rPr>
            </w:pPr>
            <w:r w:rsidRPr="00922884">
              <w:rPr>
                <w:rFonts w:eastAsia="MS Mincho"/>
                <w:b/>
                <w:bCs/>
              </w:rPr>
              <w:t>(1.47, 3.15)</w:t>
            </w:r>
          </w:p>
        </w:tc>
        <w:tc>
          <w:tcPr>
            <w:tcW w:w="807" w:type="pct"/>
            <w:shd w:val="clear" w:color="auto" w:fill="D9D9D9" w:themeFill="background1" w:themeFillShade="D9"/>
            <w:vAlign w:val="center"/>
          </w:tcPr>
          <w:p w14:paraId="19D71DB4" w14:textId="77777777" w:rsidR="0049176A" w:rsidRPr="004536BC" w:rsidRDefault="00D00932" w:rsidP="007C4A70">
            <w:pPr>
              <w:pStyle w:val="Tablewriting"/>
              <w:jc w:val="center"/>
              <w:rPr>
                <w:rFonts w:eastAsia="MS Mincho"/>
                <w:b/>
                <w:bCs/>
              </w:rPr>
            </w:pPr>
            <w:r w:rsidRPr="004536BC">
              <w:rPr>
                <w:rFonts w:eastAsia="MS Mincho"/>
                <w:b/>
                <w:bCs/>
              </w:rPr>
              <w:t>0.25</w:t>
            </w:r>
          </w:p>
          <w:p w14:paraId="40974E0F" w14:textId="05D25EFD" w:rsidR="0049176A" w:rsidRPr="004536BC" w:rsidRDefault="00D00932" w:rsidP="007C4A70">
            <w:pPr>
              <w:pStyle w:val="Tablewriting"/>
              <w:jc w:val="center"/>
              <w:rPr>
                <w:rFonts w:eastAsia="MS Mincho"/>
                <w:b/>
              </w:rPr>
            </w:pPr>
            <w:r w:rsidRPr="004536BC">
              <w:rPr>
                <w:rFonts w:eastAsia="MS Mincho"/>
                <w:b/>
                <w:bCs/>
              </w:rPr>
              <w:t>(0.14, 0.36)</w:t>
            </w:r>
          </w:p>
        </w:tc>
      </w:tr>
      <w:tr w:rsidR="00FD1A77" w:rsidRPr="00061F78" w14:paraId="07B8839D" w14:textId="77777777" w:rsidTr="00DC1A8D">
        <w:trPr>
          <w:cantSplit/>
          <w:trHeight w:val="99"/>
        </w:trPr>
        <w:tc>
          <w:tcPr>
            <w:tcW w:w="720" w:type="pct"/>
            <w:shd w:val="clear" w:color="auto" w:fill="D9D9D9" w:themeFill="background1" w:themeFillShade="D9"/>
            <w:tcMar>
              <w:left w:w="28" w:type="dxa"/>
              <w:right w:w="28" w:type="dxa"/>
            </w:tcMar>
          </w:tcPr>
          <w:p w14:paraId="7A5832BE" w14:textId="77777777" w:rsidR="00E1420A" w:rsidRDefault="003E100A" w:rsidP="007C4A70">
            <w:pPr>
              <w:pStyle w:val="Tablewriting"/>
              <w:rPr>
                <w:rFonts w:eastAsia="MS Mincho"/>
              </w:rPr>
            </w:pPr>
            <w:r>
              <w:rPr>
                <w:rFonts w:eastAsia="MS Mincho"/>
              </w:rPr>
              <w:t xml:space="preserve">Wang </w:t>
            </w:r>
          </w:p>
          <w:p w14:paraId="74792F53" w14:textId="235B22F1" w:rsidR="0049176A" w:rsidRDefault="003E100A" w:rsidP="007C4A70">
            <w:pPr>
              <w:pStyle w:val="Tablewriting"/>
              <w:rPr>
                <w:rFonts w:eastAsia="MS Mincho"/>
              </w:rPr>
            </w:pPr>
            <w:r>
              <w:rPr>
                <w:rFonts w:eastAsia="MS Mincho"/>
              </w:rPr>
              <w:t>(2009)</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14:paraId="68197DCF" w14:textId="1F477F27"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452C6688" w14:textId="77777777" w:rsidR="003E100A" w:rsidRDefault="00922884" w:rsidP="007C4A70">
            <w:pPr>
              <w:pStyle w:val="Tablewriting"/>
              <w:jc w:val="center"/>
              <w:rPr>
                <w:rFonts w:eastAsia="MS Mincho"/>
              </w:rPr>
            </w:pPr>
            <w:r>
              <w:rPr>
                <w:rFonts w:eastAsia="MS Mincho"/>
              </w:rPr>
              <w:t>63/165</w:t>
            </w:r>
          </w:p>
          <w:p w14:paraId="34FC5560" w14:textId="687E0D1D" w:rsidR="0049176A" w:rsidRDefault="00176945" w:rsidP="007C4A70">
            <w:pPr>
              <w:pStyle w:val="Tablewriting"/>
              <w:jc w:val="center"/>
              <w:rPr>
                <w:rFonts w:eastAsia="MS Mincho"/>
              </w:rPr>
            </w:pPr>
            <w:r>
              <w:rPr>
                <w:rFonts w:eastAsia="MS Mincho"/>
              </w:rPr>
              <w:t>(38.2%)</w:t>
            </w:r>
          </w:p>
        </w:tc>
        <w:tc>
          <w:tcPr>
            <w:tcW w:w="851" w:type="pct"/>
            <w:shd w:val="clear" w:color="auto" w:fill="D9D9D9" w:themeFill="background1" w:themeFillShade="D9"/>
            <w:tcMar>
              <w:left w:w="28" w:type="dxa"/>
              <w:right w:w="28" w:type="dxa"/>
            </w:tcMar>
            <w:vAlign w:val="center"/>
          </w:tcPr>
          <w:p w14:paraId="692454E9" w14:textId="77777777" w:rsidR="003E100A" w:rsidRDefault="004567F5" w:rsidP="007C4A70">
            <w:pPr>
              <w:pStyle w:val="Tablewriting"/>
              <w:jc w:val="center"/>
              <w:rPr>
                <w:rFonts w:eastAsia="MS Mincho"/>
              </w:rPr>
            </w:pPr>
            <w:r>
              <w:rPr>
                <w:rFonts w:eastAsia="MS Mincho"/>
              </w:rPr>
              <w:t>42/168</w:t>
            </w:r>
          </w:p>
          <w:p w14:paraId="4F642249" w14:textId="7A6EF5B1" w:rsidR="0049176A" w:rsidRDefault="00A72810" w:rsidP="007C4A70">
            <w:pPr>
              <w:pStyle w:val="Tablewriting"/>
              <w:jc w:val="center"/>
              <w:rPr>
                <w:rFonts w:eastAsia="MS Mincho"/>
              </w:rPr>
            </w:pPr>
            <w:r>
              <w:rPr>
                <w:rFonts w:eastAsia="MS Mincho"/>
              </w:rPr>
              <w:t>(25.0%)</w:t>
            </w:r>
          </w:p>
        </w:tc>
        <w:tc>
          <w:tcPr>
            <w:tcW w:w="851" w:type="pct"/>
            <w:shd w:val="clear" w:color="auto" w:fill="D9D9D9" w:themeFill="background1" w:themeFillShade="D9"/>
            <w:tcMar>
              <w:left w:w="28" w:type="dxa"/>
              <w:right w:w="28" w:type="dxa"/>
            </w:tcMar>
            <w:vAlign w:val="center"/>
          </w:tcPr>
          <w:p w14:paraId="0428FBFE" w14:textId="77777777" w:rsidR="003E100A" w:rsidRPr="00890F62" w:rsidRDefault="00890F62" w:rsidP="007C4A70">
            <w:pPr>
              <w:pStyle w:val="Tablewriting"/>
              <w:jc w:val="center"/>
              <w:rPr>
                <w:rFonts w:eastAsia="MS Mincho"/>
                <w:b/>
                <w:bCs/>
              </w:rPr>
            </w:pPr>
            <w:r w:rsidRPr="00890F62">
              <w:rPr>
                <w:rFonts w:eastAsia="MS Mincho"/>
                <w:b/>
                <w:bCs/>
              </w:rPr>
              <w:t>1.53</w:t>
            </w:r>
          </w:p>
          <w:p w14:paraId="1AB037E4" w14:textId="71411EE0" w:rsidR="0049176A" w:rsidRDefault="00890F62" w:rsidP="007C4A70">
            <w:pPr>
              <w:pStyle w:val="Tablewriting"/>
              <w:jc w:val="center"/>
              <w:rPr>
                <w:rFonts w:eastAsia="MS Mincho"/>
              </w:rPr>
            </w:pPr>
            <w:r w:rsidRPr="00890F62">
              <w:rPr>
                <w:rFonts w:eastAsia="MS Mincho"/>
                <w:b/>
                <w:bCs/>
              </w:rPr>
              <w:t>(1.1, 2.12)</w:t>
            </w:r>
          </w:p>
        </w:tc>
        <w:tc>
          <w:tcPr>
            <w:tcW w:w="807" w:type="pct"/>
            <w:shd w:val="clear" w:color="auto" w:fill="D9D9D9" w:themeFill="background1" w:themeFillShade="D9"/>
            <w:vAlign w:val="center"/>
          </w:tcPr>
          <w:p w14:paraId="5C3D23FA" w14:textId="77777777" w:rsidR="0049176A" w:rsidRPr="004536BC" w:rsidRDefault="00F01A49" w:rsidP="007C4A70">
            <w:pPr>
              <w:pStyle w:val="Tablewriting"/>
              <w:jc w:val="center"/>
              <w:rPr>
                <w:rFonts w:eastAsia="MS Mincho"/>
                <w:b/>
                <w:bCs/>
              </w:rPr>
            </w:pPr>
            <w:r w:rsidRPr="004536BC">
              <w:rPr>
                <w:rFonts w:eastAsia="MS Mincho"/>
                <w:b/>
                <w:bCs/>
              </w:rPr>
              <w:t>0.13</w:t>
            </w:r>
          </w:p>
          <w:p w14:paraId="755CE48A" w14:textId="1C9CDE11" w:rsidR="0049176A" w:rsidRPr="004536BC" w:rsidRDefault="00F01A49" w:rsidP="007C4A70">
            <w:pPr>
              <w:pStyle w:val="Tablewriting"/>
              <w:jc w:val="center"/>
              <w:rPr>
                <w:rFonts w:eastAsia="MS Mincho"/>
                <w:b/>
              </w:rPr>
            </w:pPr>
            <w:r w:rsidRPr="004536BC">
              <w:rPr>
                <w:rFonts w:eastAsia="MS Mincho"/>
                <w:b/>
                <w:bCs/>
              </w:rPr>
              <w:t>(0.03, 0.23)</w:t>
            </w:r>
          </w:p>
        </w:tc>
      </w:tr>
      <w:tr w:rsidR="00FD1A77" w:rsidRPr="00061F78" w14:paraId="4F1E8F13" w14:textId="77777777" w:rsidTr="00DC1A8D">
        <w:trPr>
          <w:cantSplit/>
          <w:trHeight w:val="99"/>
        </w:trPr>
        <w:tc>
          <w:tcPr>
            <w:tcW w:w="720" w:type="pct"/>
            <w:shd w:val="clear" w:color="auto" w:fill="D9D9D9" w:themeFill="background1" w:themeFillShade="D9"/>
            <w:tcMar>
              <w:left w:w="28" w:type="dxa"/>
              <w:right w:w="28" w:type="dxa"/>
            </w:tcMar>
          </w:tcPr>
          <w:p w14:paraId="1A19575F" w14:textId="77777777" w:rsidR="00E1420A" w:rsidRDefault="003E100A" w:rsidP="007C4A70">
            <w:pPr>
              <w:pStyle w:val="Tablewriting"/>
              <w:rPr>
                <w:rFonts w:eastAsia="MS Mincho"/>
              </w:rPr>
            </w:pPr>
            <w:r>
              <w:rPr>
                <w:rFonts w:eastAsia="MS Mincho"/>
              </w:rPr>
              <w:t xml:space="preserve">Bolliger </w:t>
            </w:r>
          </w:p>
          <w:p w14:paraId="4C9DCCB7" w14:textId="249F9B66" w:rsidR="0049176A" w:rsidRDefault="003E100A" w:rsidP="007C4A70">
            <w:pPr>
              <w:pStyle w:val="Tablewriting"/>
              <w:rPr>
                <w:rFonts w:eastAsia="MS Mincho"/>
              </w:rPr>
            </w:pPr>
            <w:r>
              <w:rPr>
                <w:rFonts w:eastAsia="MS Mincho"/>
              </w:rPr>
              <w:t>(2011)</w:t>
            </w:r>
            <w:r w:rsidR="00551EF3">
              <w:rPr>
                <w:rFonts w:eastAsia="MS Mincho"/>
                <w:vertAlign w:val="superscript"/>
              </w:rPr>
              <w:t>2</w:t>
            </w:r>
            <w:r>
              <w:rPr>
                <w:rFonts w:eastAsia="MS Mincho"/>
              </w:rPr>
              <w:t xml:space="preserve"> </w:t>
            </w:r>
          </w:p>
        </w:tc>
        <w:tc>
          <w:tcPr>
            <w:tcW w:w="920" w:type="pct"/>
            <w:shd w:val="clear" w:color="auto" w:fill="D9D9D9" w:themeFill="background1" w:themeFillShade="D9"/>
            <w:vAlign w:val="center"/>
          </w:tcPr>
          <w:p w14:paraId="5CC36889" w14:textId="14E5B910"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1EFCB091" w14:textId="77777777" w:rsidR="003E100A" w:rsidRDefault="0019157B" w:rsidP="007C4A70">
            <w:pPr>
              <w:pStyle w:val="Tablewriting"/>
              <w:jc w:val="center"/>
              <w:rPr>
                <w:rFonts w:eastAsia="MS Mincho"/>
              </w:rPr>
            </w:pPr>
            <w:r>
              <w:rPr>
                <w:rFonts w:eastAsia="MS Mincho"/>
              </w:rPr>
              <w:t>155/394</w:t>
            </w:r>
          </w:p>
          <w:p w14:paraId="4F8E4ABA" w14:textId="79806B86" w:rsidR="0049176A" w:rsidRDefault="0019157B" w:rsidP="007C4A70">
            <w:pPr>
              <w:pStyle w:val="Tablewriting"/>
              <w:jc w:val="center"/>
              <w:rPr>
                <w:rFonts w:eastAsia="MS Mincho"/>
              </w:rPr>
            </w:pPr>
            <w:r>
              <w:rPr>
                <w:rFonts w:eastAsia="MS Mincho"/>
              </w:rPr>
              <w:t>(</w:t>
            </w:r>
            <w:r w:rsidR="00094F04">
              <w:rPr>
                <w:rFonts w:eastAsia="MS Mincho"/>
              </w:rPr>
              <w:t>39.3%)</w:t>
            </w:r>
          </w:p>
        </w:tc>
        <w:tc>
          <w:tcPr>
            <w:tcW w:w="851" w:type="pct"/>
            <w:shd w:val="clear" w:color="auto" w:fill="D9D9D9" w:themeFill="background1" w:themeFillShade="D9"/>
            <w:tcMar>
              <w:left w:w="28" w:type="dxa"/>
              <w:right w:w="28" w:type="dxa"/>
            </w:tcMar>
            <w:vAlign w:val="center"/>
          </w:tcPr>
          <w:p w14:paraId="03D33E6D" w14:textId="77777777" w:rsidR="003E100A" w:rsidRDefault="00A55B99" w:rsidP="007C4A70">
            <w:pPr>
              <w:pStyle w:val="Tablewriting"/>
              <w:jc w:val="center"/>
              <w:rPr>
                <w:rFonts w:eastAsia="MS Mincho"/>
              </w:rPr>
            </w:pPr>
            <w:r>
              <w:rPr>
                <w:rFonts w:eastAsia="MS Mincho"/>
              </w:rPr>
              <w:t>26/199</w:t>
            </w:r>
          </w:p>
          <w:p w14:paraId="20D59E2F" w14:textId="17E68524" w:rsidR="0049176A" w:rsidRDefault="00A55B99" w:rsidP="007C4A70">
            <w:pPr>
              <w:pStyle w:val="Tablewriting"/>
              <w:jc w:val="center"/>
              <w:rPr>
                <w:rFonts w:eastAsia="MS Mincho"/>
              </w:rPr>
            </w:pPr>
            <w:r>
              <w:rPr>
                <w:rFonts w:eastAsia="MS Mincho"/>
              </w:rPr>
              <w:t>(</w:t>
            </w:r>
            <w:r w:rsidR="00781407">
              <w:rPr>
                <w:rFonts w:eastAsia="MS Mincho"/>
              </w:rPr>
              <w:t>13.</w:t>
            </w:r>
            <w:r w:rsidR="0090453D">
              <w:rPr>
                <w:rFonts w:eastAsia="MS Mincho"/>
              </w:rPr>
              <w:t>1</w:t>
            </w:r>
            <w:r w:rsidR="00781407">
              <w:rPr>
                <w:rFonts w:eastAsia="MS Mincho"/>
              </w:rPr>
              <w:t>%)</w:t>
            </w:r>
          </w:p>
        </w:tc>
        <w:tc>
          <w:tcPr>
            <w:tcW w:w="851" w:type="pct"/>
            <w:shd w:val="clear" w:color="auto" w:fill="D9D9D9" w:themeFill="background1" w:themeFillShade="D9"/>
            <w:tcMar>
              <w:left w:w="28" w:type="dxa"/>
              <w:right w:w="28" w:type="dxa"/>
            </w:tcMar>
            <w:vAlign w:val="center"/>
          </w:tcPr>
          <w:p w14:paraId="3B481ED2" w14:textId="77777777" w:rsidR="003E100A" w:rsidRPr="00CD34D6" w:rsidRDefault="00F31F6E" w:rsidP="007C4A70">
            <w:pPr>
              <w:pStyle w:val="Tablewriting"/>
              <w:jc w:val="center"/>
              <w:rPr>
                <w:rFonts w:eastAsia="MS Mincho"/>
                <w:b/>
                <w:bCs/>
              </w:rPr>
            </w:pPr>
            <w:r w:rsidRPr="00CD34D6">
              <w:rPr>
                <w:rFonts w:eastAsia="MS Mincho"/>
                <w:b/>
                <w:bCs/>
              </w:rPr>
              <w:t>3.01</w:t>
            </w:r>
          </w:p>
          <w:p w14:paraId="41CC6545" w14:textId="6A736B2B" w:rsidR="0049176A" w:rsidRDefault="00F31F6E" w:rsidP="007C4A70">
            <w:pPr>
              <w:pStyle w:val="Tablewriting"/>
              <w:jc w:val="center"/>
              <w:rPr>
                <w:rFonts w:eastAsia="MS Mincho"/>
              </w:rPr>
            </w:pPr>
            <w:r w:rsidRPr="00CD34D6">
              <w:rPr>
                <w:rFonts w:eastAsia="MS Mincho"/>
                <w:b/>
                <w:bCs/>
              </w:rPr>
              <w:t xml:space="preserve">(2.06, </w:t>
            </w:r>
            <w:r w:rsidR="00CD34D6" w:rsidRPr="00CD34D6">
              <w:rPr>
                <w:rFonts w:eastAsia="MS Mincho"/>
                <w:b/>
                <w:bCs/>
              </w:rPr>
              <w:t>4.4)</w:t>
            </w:r>
          </w:p>
        </w:tc>
        <w:tc>
          <w:tcPr>
            <w:tcW w:w="807" w:type="pct"/>
            <w:shd w:val="clear" w:color="auto" w:fill="D9D9D9" w:themeFill="background1" w:themeFillShade="D9"/>
            <w:vAlign w:val="center"/>
          </w:tcPr>
          <w:p w14:paraId="3A1458FC" w14:textId="1597E959" w:rsidR="0049176A" w:rsidRPr="004536BC" w:rsidRDefault="00F01A49" w:rsidP="007C4A70">
            <w:pPr>
              <w:pStyle w:val="Tablewriting"/>
              <w:jc w:val="center"/>
              <w:rPr>
                <w:rFonts w:eastAsia="MS Mincho"/>
                <w:b/>
                <w:bCs/>
              </w:rPr>
            </w:pPr>
            <w:r w:rsidRPr="004536BC">
              <w:rPr>
                <w:rFonts w:eastAsia="MS Mincho"/>
                <w:b/>
                <w:bCs/>
              </w:rPr>
              <w:t>0.26</w:t>
            </w:r>
          </w:p>
          <w:p w14:paraId="5955E427" w14:textId="1692B78A" w:rsidR="0049176A" w:rsidRPr="004536BC" w:rsidRDefault="00F01A49" w:rsidP="007C4A70">
            <w:pPr>
              <w:pStyle w:val="Tablewriting"/>
              <w:jc w:val="center"/>
              <w:rPr>
                <w:rFonts w:eastAsia="MS Mincho"/>
                <w:b/>
              </w:rPr>
            </w:pPr>
            <w:r w:rsidRPr="004536BC">
              <w:rPr>
                <w:rFonts w:eastAsia="MS Mincho"/>
                <w:b/>
                <w:bCs/>
              </w:rPr>
              <w:t>(0.20, 0.33)</w:t>
            </w:r>
          </w:p>
        </w:tc>
      </w:tr>
      <w:tr w:rsidR="00FD1A77" w:rsidRPr="00061F78" w14:paraId="49E95938" w14:textId="77777777" w:rsidTr="00DC1A8D">
        <w:trPr>
          <w:cantSplit/>
          <w:trHeight w:val="99"/>
        </w:trPr>
        <w:tc>
          <w:tcPr>
            <w:tcW w:w="720" w:type="pct"/>
            <w:shd w:val="clear" w:color="auto" w:fill="D9D9D9" w:themeFill="background1" w:themeFillShade="D9"/>
            <w:tcMar>
              <w:left w:w="28" w:type="dxa"/>
              <w:right w:w="28" w:type="dxa"/>
            </w:tcMar>
          </w:tcPr>
          <w:p w14:paraId="12619D62" w14:textId="27021D43" w:rsidR="00E1420A" w:rsidRDefault="003E100A" w:rsidP="007C4A70">
            <w:pPr>
              <w:pStyle w:val="Tablewriting"/>
              <w:rPr>
                <w:rFonts w:eastAsia="MS Mincho"/>
              </w:rPr>
            </w:pPr>
            <w:r>
              <w:rPr>
                <w:rFonts w:eastAsia="MS Mincho"/>
              </w:rPr>
              <w:t xml:space="preserve">Rigotti </w:t>
            </w:r>
          </w:p>
          <w:p w14:paraId="62639CC0" w14:textId="59399DA5" w:rsidR="0049176A" w:rsidRDefault="003E100A" w:rsidP="007C4A70">
            <w:pPr>
              <w:pStyle w:val="Tablewriting"/>
              <w:rPr>
                <w:rFonts w:eastAsia="MS Mincho"/>
              </w:rPr>
            </w:pPr>
            <w:r>
              <w:rPr>
                <w:rFonts w:eastAsia="MS Mincho"/>
              </w:rPr>
              <w:t>(2010)</w:t>
            </w:r>
            <w:r w:rsidR="00551EF3">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22814B37" w14:textId="40E51492"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444E702E" w14:textId="6B59034B" w:rsidR="003E100A" w:rsidRPr="007B3D7F" w:rsidRDefault="005D53F3" w:rsidP="007C4A70">
            <w:pPr>
              <w:pStyle w:val="Tablewriting"/>
              <w:jc w:val="center"/>
              <w:rPr>
                <w:rFonts w:eastAsia="MS Mincho"/>
                <w:vertAlign w:val="superscript"/>
              </w:rPr>
            </w:pPr>
            <w:r>
              <w:rPr>
                <w:rFonts w:eastAsia="MS Mincho"/>
              </w:rPr>
              <w:t>68/35</w:t>
            </w:r>
            <w:r w:rsidR="0098194E">
              <w:rPr>
                <w:rFonts w:eastAsia="MS Mincho"/>
              </w:rPr>
              <w:t>5</w:t>
            </w:r>
            <w:r w:rsidR="007B3D7F">
              <w:rPr>
                <w:rFonts w:eastAsia="MS Mincho"/>
                <w:vertAlign w:val="superscript"/>
              </w:rPr>
              <w:t>a</w:t>
            </w:r>
          </w:p>
          <w:p w14:paraId="552F522C" w14:textId="31E75A56" w:rsidR="0049176A" w:rsidRDefault="0098194E" w:rsidP="007C4A70">
            <w:pPr>
              <w:pStyle w:val="Tablewriting"/>
              <w:jc w:val="center"/>
              <w:rPr>
                <w:rFonts w:eastAsia="MS Mincho"/>
              </w:rPr>
            </w:pPr>
            <w:r>
              <w:rPr>
                <w:rFonts w:eastAsia="MS Mincho"/>
              </w:rPr>
              <w:t>(19.2%)</w:t>
            </w:r>
          </w:p>
        </w:tc>
        <w:tc>
          <w:tcPr>
            <w:tcW w:w="851" w:type="pct"/>
            <w:shd w:val="clear" w:color="auto" w:fill="D9D9D9" w:themeFill="background1" w:themeFillShade="D9"/>
            <w:tcMar>
              <w:left w:w="28" w:type="dxa"/>
              <w:right w:w="28" w:type="dxa"/>
            </w:tcMar>
            <w:vAlign w:val="center"/>
          </w:tcPr>
          <w:p w14:paraId="658421D6" w14:textId="50E04CF4" w:rsidR="003E100A" w:rsidRPr="007B3D7F" w:rsidRDefault="0064723B" w:rsidP="007C4A70">
            <w:pPr>
              <w:pStyle w:val="Tablewriting"/>
              <w:jc w:val="center"/>
              <w:rPr>
                <w:rFonts w:eastAsia="MS Mincho"/>
                <w:vertAlign w:val="superscript"/>
              </w:rPr>
            </w:pPr>
            <w:r>
              <w:rPr>
                <w:rFonts w:eastAsia="MS Mincho"/>
              </w:rPr>
              <w:t>26/35</w:t>
            </w:r>
            <w:r w:rsidR="0098194E">
              <w:rPr>
                <w:rFonts w:eastAsia="MS Mincho"/>
              </w:rPr>
              <w:t>9</w:t>
            </w:r>
            <w:r w:rsidR="007B3D7F">
              <w:rPr>
                <w:rFonts w:eastAsia="MS Mincho"/>
                <w:vertAlign w:val="superscript"/>
              </w:rPr>
              <w:t>a</w:t>
            </w:r>
          </w:p>
          <w:p w14:paraId="13704FFB" w14:textId="41CA3D25" w:rsidR="0049176A" w:rsidRDefault="0098194E" w:rsidP="007C4A70">
            <w:pPr>
              <w:pStyle w:val="Tablewriting"/>
              <w:jc w:val="center"/>
              <w:rPr>
                <w:rFonts w:eastAsia="MS Mincho"/>
              </w:rPr>
            </w:pPr>
            <w:r>
              <w:rPr>
                <w:rFonts w:eastAsia="MS Mincho"/>
              </w:rPr>
              <w:t>(</w:t>
            </w:r>
            <w:r w:rsidR="00C93E82">
              <w:rPr>
                <w:rFonts w:eastAsia="MS Mincho"/>
              </w:rPr>
              <w:t>7.2%)</w:t>
            </w:r>
          </w:p>
        </w:tc>
        <w:tc>
          <w:tcPr>
            <w:tcW w:w="851" w:type="pct"/>
            <w:shd w:val="clear" w:color="auto" w:fill="D9D9D9" w:themeFill="background1" w:themeFillShade="D9"/>
            <w:tcMar>
              <w:left w:w="28" w:type="dxa"/>
              <w:right w:w="28" w:type="dxa"/>
            </w:tcMar>
            <w:vAlign w:val="center"/>
          </w:tcPr>
          <w:p w14:paraId="33A178E0" w14:textId="77777777" w:rsidR="003E100A" w:rsidRPr="003D302F" w:rsidRDefault="003D302F" w:rsidP="007C4A70">
            <w:pPr>
              <w:pStyle w:val="Tablewriting"/>
              <w:jc w:val="center"/>
              <w:rPr>
                <w:rFonts w:eastAsia="MS Mincho"/>
                <w:b/>
                <w:bCs/>
              </w:rPr>
            </w:pPr>
            <w:r w:rsidRPr="003D302F">
              <w:rPr>
                <w:rFonts w:eastAsia="MS Mincho"/>
                <w:b/>
                <w:bCs/>
              </w:rPr>
              <w:t>2.64</w:t>
            </w:r>
          </w:p>
          <w:p w14:paraId="16889122" w14:textId="68AD1369" w:rsidR="0049176A" w:rsidRPr="003D302F" w:rsidRDefault="003D302F" w:rsidP="007C4A70">
            <w:pPr>
              <w:pStyle w:val="Tablewriting"/>
              <w:jc w:val="center"/>
              <w:rPr>
                <w:rFonts w:eastAsia="MS Mincho"/>
                <w:b/>
              </w:rPr>
            </w:pPr>
            <w:r w:rsidRPr="003D302F">
              <w:rPr>
                <w:rFonts w:eastAsia="MS Mincho"/>
                <w:b/>
                <w:bCs/>
              </w:rPr>
              <w:t>(1.72, 4.06)</w:t>
            </w:r>
          </w:p>
        </w:tc>
        <w:tc>
          <w:tcPr>
            <w:tcW w:w="807" w:type="pct"/>
            <w:shd w:val="clear" w:color="auto" w:fill="D9D9D9" w:themeFill="background1" w:themeFillShade="D9"/>
            <w:vAlign w:val="center"/>
          </w:tcPr>
          <w:p w14:paraId="59F3AD5C" w14:textId="77777777" w:rsidR="0049176A" w:rsidRPr="004536BC" w:rsidRDefault="006B2077" w:rsidP="007C4A70">
            <w:pPr>
              <w:pStyle w:val="Tablewriting"/>
              <w:jc w:val="center"/>
              <w:rPr>
                <w:rFonts w:eastAsia="MS Mincho"/>
                <w:b/>
                <w:bCs/>
              </w:rPr>
            </w:pPr>
            <w:r w:rsidRPr="004536BC">
              <w:rPr>
                <w:rFonts w:eastAsia="MS Mincho"/>
                <w:b/>
                <w:bCs/>
              </w:rPr>
              <w:t>0.12</w:t>
            </w:r>
          </w:p>
          <w:p w14:paraId="10348545" w14:textId="128E1E95" w:rsidR="0049176A" w:rsidRPr="004536BC" w:rsidRDefault="006B2077" w:rsidP="007C4A70">
            <w:pPr>
              <w:pStyle w:val="Tablewriting"/>
              <w:jc w:val="center"/>
              <w:rPr>
                <w:rFonts w:eastAsia="MS Mincho"/>
                <w:b/>
              </w:rPr>
            </w:pPr>
            <w:r w:rsidRPr="004536BC">
              <w:rPr>
                <w:rFonts w:eastAsia="MS Mincho"/>
                <w:b/>
                <w:bCs/>
              </w:rPr>
              <w:t>(0.07, 0.17)</w:t>
            </w:r>
          </w:p>
        </w:tc>
      </w:tr>
      <w:tr w:rsidR="00FD1A77" w:rsidRPr="00061F78" w14:paraId="6BAF8209" w14:textId="77777777" w:rsidTr="00DC1A8D">
        <w:trPr>
          <w:cantSplit/>
          <w:trHeight w:val="99"/>
        </w:trPr>
        <w:tc>
          <w:tcPr>
            <w:tcW w:w="720" w:type="pct"/>
            <w:shd w:val="clear" w:color="auto" w:fill="D9D9D9" w:themeFill="background1" w:themeFillShade="D9"/>
            <w:tcMar>
              <w:left w:w="28" w:type="dxa"/>
              <w:right w:w="28" w:type="dxa"/>
            </w:tcMar>
          </w:tcPr>
          <w:p w14:paraId="28A39D08" w14:textId="172963BE" w:rsidR="00E1420A" w:rsidRDefault="003E100A" w:rsidP="007C4A70">
            <w:pPr>
              <w:pStyle w:val="Tablewriting"/>
              <w:rPr>
                <w:rFonts w:eastAsia="MS Mincho"/>
              </w:rPr>
            </w:pPr>
            <w:r>
              <w:rPr>
                <w:rFonts w:eastAsia="MS Mincho"/>
              </w:rPr>
              <w:t xml:space="preserve">Tashkin </w:t>
            </w:r>
          </w:p>
          <w:p w14:paraId="483997BF" w14:textId="45DF754B" w:rsidR="0049176A" w:rsidRDefault="003E100A" w:rsidP="007C4A70">
            <w:pPr>
              <w:pStyle w:val="Tablewriting"/>
              <w:rPr>
                <w:rFonts w:eastAsia="MS Mincho"/>
              </w:rPr>
            </w:pPr>
            <w:r>
              <w:rPr>
                <w:rFonts w:eastAsia="MS Mincho"/>
              </w:rPr>
              <w:t>(2011)</w:t>
            </w:r>
            <w:r w:rsidR="00551EF3">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647F63CF" w14:textId="2F52F417" w:rsidR="0049176A" w:rsidRDefault="003E100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31663814" w14:textId="47F51E75" w:rsidR="0099608D" w:rsidRPr="007B3D7F" w:rsidRDefault="0099608D" w:rsidP="007C4A70">
            <w:pPr>
              <w:pStyle w:val="Tablewriting"/>
              <w:jc w:val="center"/>
              <w:rPr>
                <w:rFonts w:eastAsia="MS Mincho"/>
                <w:vertAlign w:val="superscript"/>
              </w:rPr>
            </w:pPr>
            <w:r>
              <w:rPr>
                <w:rFonts w:eastAsia="MS Mincho"/>
              </w:rPr>
              <w:t>46/250</w:t>
            </w:r>
            <w:r w:rsidR="007B3D7F">
              <w:rPr>
                <w:rFonts w:eastAsia="MS Mincho"/>
                <w:vertAlign w:val="superscript"/>
              </w:rPr>
              <w:t>a</w:t>
            </w:r>
          </w:p>
          <w:p w14:paraId="0624EBD9" w14:textId="214A5694" w:rsidR="0049176A" w:rsidRDefault="0099608D" w:rsidP="007C4A70">
            <w:pPr>
              <w:pStyle w:val="Tablewriting"/>
              <w:jc w:val="center"/>
              <w:rPr>
                <w:rFonts w:eastAsia="MS Mincho"/>
              </w:rPr>
            </w:pPr>
            <w:r>
              <w:rPr>
                <w:rFonts w:eastAsia="MS Mincho"/>
              </w:rPr>
              <w:t>(</w:t>
            </w:r>
            <w:r w:rsidR="00D158FF">
              <w:rPr>
                <w:rFonts w:eastAsia="MS Mincho"/>
              </w:rPr>
              <w:t>18.4%)</w:t>
            </w:r>
          </w:p>
        </w:tc>
        <w:tc>
          <w:tcPr>
            <w:tcW w:w="851" w:type="pct"/>
            <w:shd w:val="clear" w:color="auto" w:fill="D9D9D9" w:themeFill="background1" w:themeFillShade="D9"/>
            <w:tcMar>
              <w:left w:w="28" w:type="dxa"/>
              <w:right w:w="28" w:type="dxa"/>
            </w:tcMar>
            <w:vAlign w:val="center"/>
          </w:tcPr>
          <w:p w14:paraId="268AE46E" w14:textId="219E44F9" w:rsidR="003E100A" w:rsidRPr="007B3D7F" w:rsidRDefault="00D158FF" w:rsidP="007C4A70">
            <w:pPr>
              <w:pStyle w:val="Tablewriting"/>
              <w:jc w:val="center"/>
              <w:rPr>
                <w:rFonts w:eastAsia="MS Mincho"/>
                <w:vertAlign w:val="superscript"/>
              </w:rPr>
            </w:pPr>
            <w:r>
              <w:rPr>
                <w:rFonts w:eastAsia="MS Mincho"/>
              </w:rPr>
              <w:t>14/254</w:t>
            </w:r>
            <w:r w:rsidR="007B3D7F">
              <w:rPr>
                <w:rFonts w:eastAsia="MS Mincho"/>
                <w:vertAlign w:val="superscript"/>
              </w:rPr>
              <w:t>a</w:t>
            </w:r>
          </w:p>
          <w:p w14:paraId="517889AC" w14:textId="5EAD0638" w:rsidR="0049176A" w:rsidRDefault="00D158FF" w:rsidP="007C4A70">
            <w:pPr>
              <w:pStyle w:val="Tablewriting"/>
              <w:jc w:val="center"/>
              <w:rPr>
                <w:rFonts w:eastAsia="MS Mincho"/>
              </w:rPr>
            </w:pPr>
            <w:r>
              <w:rPr>
                <w:rFonts w:eastAsia="MS Mincho"/>
              </w:rPr>
              <w:t>(5.5%)</w:t>
            </w:r>
          </w:p>
        </w:tc>
        <w:tc>
          <w:tcPr>
            <w:tcW w:w="851" w:type="pct"/>
            <w:shd w:val="clear" w:color="auto" w:fill="D9D9D9" w:themeFill="background1" w:themeFillShade="D9"/>
            <w:tcMar>
              <w:left w:w="28" w:type="dxa"/>
              <w:right w:w="28" w:type="dxa"/>
            </w:tcMar>
            <w:vAlign w:val="center"/>
          </w:tcPr>
          <w:p w14:paraId="5B4DD819" w14:textId="77777777" w:rsidR="003E100A" w:rsidRPr="003E1E58" w:rsidRDefault="003E1E58" w:rsidP="007C4A70">
            <w:pPr>
              <w:pStyle w:val="Tablewriting"/>
              <w:jc w:val="center"/>
              <w:rPr>
                <w:rFonts w:eastAsia="MS Mincho"/>
                <w:b/>
                <w:bCs/>
              </w:rPr>
            </w:pPr>
            <w:r w:rsidRPr="003E1E58">
              <w:rPr>
                <w:rFonts w:eastAsia="MS Mincho"/>
                <w:b/>
                <w:bCs/>
              </w:rPr>
              <w:t>3.34</w:t>
            </w:r>
          </w:p>
          <w:p w14:paraId="5E1A64CD" w14:textId="7CF0F3A4" w:rsidR="0049176A" w:rsidRDefault="003E1E58" w:rsidP="007C4A70">
            <w:pPr>
              <w:pStyle w:val="Tablewriting"/>
              <w:jc w:val="center"/>
              <w:rPr>
                <w:rFonts w:eastAsia="MS Mincho"/>
              </w:rPr>
            </w:pPr>
            <w:r w:rsidRPr="003E1E58">
              <w:rPr>
                <w:rFonts w:eastAsia="MS Mincho"/>
                <w:b/>
                <w:bCs/>
              </w:rPr>
              <w:t>(1.88, 5.92)</w:t>
            </w:r>
          </w:p>
        </w:tc>
        <w:tc>
          <w:tcPr>
            <w:tcW w:w="807" w:type="pct"/>
            <w:shd w:val="clear" w:color="auto" w:fill="D9D9D9" w:themeFill="background1" w:themeFillShade="D9"/>
            <w:vAlign w:val="center"/>
          </w:tcPr>
          <w:p w14:paraId="7F7BFACF" w14:textId="77777777" w:rsidR="0049176A" w:rsidRPr="004536BC" w:rsidRDefault="00AE0F85" w:rsidP="007C4A70">
            <w:pPr>
              <w:pStyle w:val="Tablewriting"/>
              <w:jc w:val="center"/>
              <w:rPr>
                <w:rFonts w:eastAsia="MS Mincho"/>
                <w:b/>
                <w:bCs/>
              </w:rPr>
            </w:pPr>
            <w:r w:rsidRPr="004536BC">
              <w:rPr>
                <w:rFonts w:eastAsia="MS Mincho"/>
                <w:b/>
                <w:bCs/>
              </w:rPr>
              <w:t>0.13</w:t>
            </w:r>
          </w:p>
          <w:p w14:paraId="3599E33E" w14:textId="765F1AE3" w:rsidR="0049176A" w:rsidRPr="004536BC" w:rsidRDefault="00AE0F85" w:rsidP="007C4A70">
            <w:pPr>
              <w:pStyle w:val="Tablewriting"/>
              <w:jc w:val="center"/>
              <w:rPr>
                <w:rFonts w:eastAsia="MS Mincho"/>
                <w:b/>
              </w:rPr>
            </w:pPr>
            <w:r w:rsidRPr="004536BC">
              <w:rPr>
                <w:rFonts w:eastAsia="MS Mincho"/>
                <w:b/>
                <w:bCs/>
              </w:rPr>
              <w:t>(0.07, 0.18)</w:t>
            </w:r>
          </w:p>
        </w:tc>
      </w:tr>
      <w:tr w:rsidR="00FD1A77" w:rsidRPr="00061F78" w14:paraId="1ADCB6AF" w14:textId="77777777" w:rsidTr="00DC1A8D">
        <w:trPr>
          <w:cantSplit/>
          <w:trHeight w:val="99"/>
        </w:trPr>
        <w:tc>
          <w:tcPr>
            <w:tcW w:w="720" w:type="pct"/>
            <w:shd w:val="clear" w:color="auto" w:fill="D9D9D9" w:themeFill="background1" w:themeFillShade="D9"/>
            <w:tcMar>
              <w:left w:w="28" w:type="dxa"/>
              <w:right w:w="28" w:type="dxa"/>
            </w:tcMar>
          </w:tcPr>
          <w:p w14:paraId="56CE1E90" w14:textId="2BB7F3E6" w:rsidR="0049176A" w:rsidRPr="00D468CF" w:rsidRDefault="003E100A" w:rsidP="007C4A70">
            <w:pPr>
              <w:pStyle w:val="Tablewriting"/>
              <w:rPr>
                <w:rFonts w:eastAsia="MS Mincho"/>
                <w:vertAlign w:val="superscript"/>
              </w:rPr>
            </w:pPr>
            <w:r>
              <w:rPr>
                <w:rFonts w:eastAsia="MS Mincho"/>
              </w:rPr>
              <w:t>Rennard (2012)</w:t>
            </w:r>
            <w:r w:rsidR="00551EF3">
              <w:rPr>
                <w:rFonts w:eastAsia="MS Mincho"/>
                <w:vertAlign w:val="superscript"/>
              </w:rPr>
              <w:t>2</w:t>
            </w:r>
          </w:p>
        </w:tc>
        <w:tc>
          <w:tcPr>
            <w:tcW w:w="920" w:type="pct"/>
            <w:shd w:val="clear" w:color="auto" w:fill="D9D9D9" w:themeFill="background1" w:themeFillShade="D9"/>
            <w:vAlign w:val="center"/>
          </w:tcPr>
          <w:p w14:paraId="3C7763BD" w14:textId="77777777" w:rsidR="0049176A" w:rsidRDefault="0049176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6A323C81" w14:textId="77777777" w:rsidR="003E100A" w:rsidRDefault="005A76C1" w:rsidP="007C4A70">
            <w:pPr>
              <w:pStyle w:val="Tablewriting"/>
              <w:jc w:val="center"/>
              <w:rPr>
                <w:rFonts w:eastAsia="MS Mincho"/>
              </w:rPr>
            </w:pPr>
            <w:r>
              <w:rPr>
                <w:rFonts w:eastAsia="MS Mincho"/>
              </w:rPr>
              <w:t>171/493</w:t>
            </w:r>
          </w:p>
          <w:p w14:paraId="0DF573C2" w14:textId="1655B0EC" w:rsidR="0049176A" w:rsidRDefault="005C520C" w:rsidP="007C4A70">
            <w:pPr>
              <w:pStyle w:val="Tablewriting"/>
              <w:jc w:val="center"/>
              <w:rPr>
                <w:rFonts w:eastAsia="MS Mincho"/>
              </w:rPr>
            </w:pPr>
            <w:r>
              <w:rPr>
                <w:rFonts w:eastAsia="MS Mincho"/>
              </w:rPr>
              <w:t>(34.7%)</w:t>
            </w:r>
          </w:p>
        </w:tc>
        <w:tc>
          <w:tcPr>
            <w:tcW w:w="851" w:type="pct"/>
            <w:shd w:val="clear" w:color="auto" w:fill="D9D9D9" w:themeFill="background1" w:themeFillShade="D9"/>
            <w:tcMar>
              <w:left w:w="28" w:type="dxa"/>
              <w:right w:w="28" w:type="dxa"/>
            </w:tcMar>
            <w:vAlign w:val="center"/>
          </w:tcPr>
          <w:p w14:paraId="7894FDD3" w14:textId="77777777" w:rsidR="003E100A" w:rsidRDefault="000C255A" w:rsidP="007C4A70">
            <w:pPr>
              <w:pStyle w:val="Tablewriting"/>
              <w:jc w:val="center"/>
              <w:rPr>
                <w:rFonts w:eastAsia="MS Mincho"/>
              </w:rPr>
            </w:pPr>
            <w:r>
              <w:rPr>
                <w:rFonts w:eastAsia="MS Mincho"/>
              </w:rPr>
              <w:t>21/166</w:t>
            </w:r>
          </w:p>
          <w:p w14:paraId="23AAB04A" w14:textId="54159AEF" w:rsidR="0049176A" w:rsidRDefault="009277BB" w:rsidP="007C4A70">
            <w:pPr>
              <w:pStyle w:val="Tablewriting"/>
              <w:jc w:val="center"/>
              <w:rPr>
                <w:rFonts w:eastAsia="MS Mincho"/>
              </w:rPr>
            </w:pPr>
            <w:r>
              <w:rPr>
                <w:rFonts w:eastAsia="MS Mincho"/>
              </w:rPr>
              <w:t>(12.7%)</w:t>
            </w:r>
          </w:p>
        </w:tc>
        <w:tc>
          <w:tcPr>
            <w:tcW w:w="851" w:type="pct"/>
            <w:shd w:val="clear" w:color="auto" w:fill="D9D9D9" w:themeFill="background1" w:themeFillShade="D9"/>
            <w:tcMar>
              <w:left w:w="28" w:type="dxa"/>
              <w:right w:w="28" w:type="dxa"/>
            </w:tcMar>
            <w:vAlign w:val="center"/>
          </w:tcPr>
          <w:p w14:paraId="65E62D36" w14:textId="77777777" w:rsidR="003E100A" w:rsidRPr="00DF721E" w:rsidRDefault="00DF721E" w:rsidP="007C4A70">
            <w:pPr>
              <w:pStyle w:val="Tablewriting"/>
              <w:jc w:val="center"/>
              <w:rPr>
                <w:rFonts w:eastAsia="MS Mincho"/>
                <w:b/>
                <w:bCs/>
              </w:rPr>
            </w:pPr>
            <w:r w:rsidRPr="00DF721E">
              <w:rPr>
                <w:rFonts w:eastAsia="MS Mincho"/>
                <w:b/>
                <w:bCs/>
              </w:rPr>
              <w:t>2.74</w:t>
            </w:r>
          </w:p>
          <w:p w14:paraId="71EE9D9C" w14:textId="4986B423" w:rsidR="0049176A" w:rsidRPr="00061F78" w:rsidRDefault="00DF721E" w:rsidP="007C4A70">
            <w:pPr>
              <w:pStyle w:val="Tablewriting"/>
              <w:jc w:val="center"/>
              <w:rPr>
                <w:rFonts w:eastAsia="MS Mincho"/>
              </w:rPr>
            </w:pPr>
            <w:r w:rsidRPr="00DF721E">
              <w:rPr>
                <w:rFonts w:eastAsia="MS Mincho"/>
                <w:b/>
                <w:bCs/>
              </w:rPr>
              <w:t>(1.81, 4.16)</w:t>
            </w:r>
          </w:p>
        </w:tc>
        <w:tc>
          <w:tcPr>
            <w:tcW w:w="807" w:type="pct"/>
            <w:shd w:val="clear" w:color="auto" w:fill="D9D9D9" w:themeFill="background1" w:themeFillShade="D9"/>
            <w:vAlign w:val="center"/>
          </w:tcPr>
          <w:p w14:paraId="6D2772FC" w14:textId="77777777" w:rsidR="0049176A" w:rsidRPr="004536BC" w:rsidRDefault="002B32DE" w:rsidP="007C4A70">
            <w:pPr>
              <w:pStyle w:val="Tablewriting"/>
              <w:jc w:val="center"/>
              <w:rPr>
                <w:rFonts w:eastAsia="MS Mincho"/>
                <w:b/>
                <w:bCs/>
              </w:rPr>
            </w:pPr>
            <w:r w:rsidRPr="004536BC">
              <w:rPr>
                <w:rFonts w:eastAsia="MS Mincho"/>
                <w:b/>
                <w:bCs/>
              </w:rPr>
              <w:t>0.22</w:t>
            </w:r>
          </w:p>
          <w:p w14:paraId="6A214EE6" w14:textId="53207679" w:rsidR="0049176A" w:rsidRPr="004536BC" w:rsidRDefault="002B32DE" w:rsidP="007C4A70">
            <w:pPr>
              <w:pStyle w:val="Tablewriting"/>
              <w:jc w:val="center"/>
              <w:rPr>
                <w:rFonts w:eastAsia="MS Mincho"/>
                <w:b/>
              </w:rPr>
            </w:pPr>
            <w:r w:rsidRPr="004536BC">
              <w:rPr>
                <w:rFonts w:eastAsia="MS Mincho"/>
                <w:b/>
                <w:bCs/>
              </w:rPr>
              <w:t>(0.15, 0.29)</w:t>
            </w:r>
          </w:p>
        </w:tc>
      </w:tr>
      <w:tr w:rsidR="00FD1A77" w:rsidRPr="00061F78" w14:paraId="1A1F00AC" w14:textId="77777777" w:rsidTr="00DC1A8D">
        <w:trPr>
          <w:cantSplit/>
          <w:trHeight w:val="99"/>
        </w:trPr>
        <w:tc>
          <w:tcPr>
            <w:tcW w:w="720" w:type="pct"/>
            <w:shd w:val="clear" w:color="auto" w:fill="D9D9D9" w:themeFill="background1" w:themeFillShade="D9"/>
            <w:tcMar>
              <w:left w:w="28" w:type="dxa"/>
              <w:right w:w="28" w:type="dxa"/>
            </w:tcMar>
          </w:tcPr>
          <w:p w14:paraId="205904FC" w14:textId="7043EB11" w:rsidR="0049176A" w:rsidRPr="00D468CF" w:rsidRDefault="003E100A" w:rsidP="007C4A70">
            <w:pPr>
              <w:pStyle w:val="Tablewriting"/>
              <w:rPr>
                <w:rFonts w:eastAsia="MS Mincho"/>
                <w:vertAlign w:val="superscript"/>
              </w:rPr>
            </w:pPr>
            <w:r>
              <w:rPr>
                <w:rFonts w:eastAsia="MS Mincho"/>
              </w:rPr>
              <w:t>Anthenelli (EAGLES, 2016)</w:t>
            </w:r>
            <w:r w:rsidR="00551EF3">
              <w:rPr>
                <w:rFonts w:eastAsia="MS Mincho"/>
                <w:vertAlign w:val="superscript"/>
              </w:rPr>
              <w:t>2</w:t>
            </w:r>
          </w:p>
        </w:tc>
        <w:tc>
          <w:tcPr>
            <w:tcW w:w="920" w:type="pct"/>
            <w:shd w:val="clear" w:color="auto" w:fill="D9D9D9" w:themeFill="background1" w:themeFillShade="D9"/>
            <w:vAlign w:val="center"/>
          </w:tcPr>
          <w:p w14:paraId="1220EDDF" w14:textId="77777777" w:rsidR="0049176A" w:rsidRDefault="0049176A" w:rsidP="007C4A70">
            <w:pPr>
              <w:pStyle w:val="Tablewriting"/>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23E21B89" w14:textId="4FC8CF76" w:rsidR="003E100A" w:rsidRPr="007B3D7F" w:rsidRDefault="006565DF" w:rsidP="007C4A70">
            <w:pPr>
              <w:pStyle w:val="Tablewriting"/>
              <w:jc w:val="center"/>
              <w:rPr>
                <w:rFonts w:eastAsia="MS Mincho"/>
                <w:vertAlign w:val="superscript"/>
              </w:rPr>
            </w:pPr>
            <w:r>
              <w:rPr>
                <w:rFonts w:eastAsia="MS Mincho"/>
              </w:rPr>
              <w:t>44</w:t>
            </w:r>
            <w:r w:rsidR="00CE0B28">
              <w:rPr>
                <w:rFonts w:eastAsia="MS Mincho"/>
              </w:rPr>
              <w:t>5</w:t>
            </w:r>
            <w:r>
              <w:rPr>
                <w:rFonts w:eastAsia="MS Mincho"/>
              </w:rPr>
              <w:t>/2,037</w:t>
            </w:r>
            <w:r w:rsidR="007B3D7F">
              <w:rPr>
                <w:rFonts w:eastAsia="MS Mincho"/>
                <w:vertAlign w:val="superscript"/>
              </w:rPr>
              <w:t>a</w:t>
            </w:r>
          </w:p>
          <w:p w14:paraId="351E3A6E" w14:textId="63203CCF" w:rsidR="0049176A" w:rsidRPr="00061F78" w:rsidRDefault="00B0676E" w:rsidP="007C4A70">
            <w:pPr>
              <w:pStyle w:val="Tablewriting"/>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14:paraId="0C290189" w14:textId="65CBB4E3" w:rsidR="003E100A" w:rsidRPr="007B3D7F" w:rsidRDefault="00FD3ADC" w:rsidP="007C4A70">
            <w:pPr>
              <w:pStyle w:val="Tablewriting"/>
              <w:jc w:val="center"/>
              <w:rPr>
                <w:rFonts w:eastAsia="MS Mincho"/>
                <w:vertAlign w:val="superscript"/>
              </w:rPr>
            </w:pPr>
            <w:r>
              <w:rPr>
                <w:rFonts w:eastAsia="MS Mincho"/>
              </w:rPr>
              <w:t>191/2,035</w:t>
            </w:r>
            <w:r w:rsidR="007B3D7F">
              <w:rPr>
                <w:rFonts w:eastAsia="MS Mincho"/>
                <w:vertAlign w:val="superscript"/>
              </w:rPr>
              <w:t>a</w:t>
            </w:r>
          </w:p>
          <w:p w14:paraId="1B63909F" w14:textId="043246C7" w:rsidR="0049176A" w:rsidRPr="00061F78" w:rsidRDefault="00C02D38" w:rsidP="007C4A70">
            <w:pPr>
              <w:pStyle w:val="Tablewriting"/>
              <w:jc w:val="center"/>
              <w:rPr>
                <w:rFonts w:eastAsia="MS Mincho"/>
              </w:rPr>
            </w:pPr>
            <w:r>
              <w:rPr>
                <w:rFonts w:eastAsia="MS Mincho"/>
              </w:rPr>
              <w:t>(</w:t>
            </w:r>
            <w:r w:rsidR="0049176A">
              <w:rPr>
                <w:rFonts w:eastAsia="MS Mincho"/>
              </w:rPr>
              <w:t>9</w:t>
            </w:r>
            <w:r>
              <w:rPr>
                <w:rFonts w:eastAsia="MS Mincho"/>
              </w:rPr>
              <w:t>.</w:t>
            </w:r>
            <w:r w:rsidR="00553E24">
              <w:rPr>
                <w:rFonts w:eastAsia="MS Mincho"/>
              </w:rPr>
              <w:t>4</w:t>
            </w:r>
            <w:r w:rsidR="0049176A">
              <w:rPr>
                <w:rFonts w:eastAsia="MS Mincho"/>
              </w:rPr>
              <w:t>%)</w:t>
            </w:r>
          </w:p>
        </w:tc>
        <w:tc>
          <w:tcPr>
            <w:tcW w:w="851" w:type="pct"/>
            <w:shd w:val="clear" w:color="auto" w:fill="D9D9D9" w:themeFill="background1" w:themeFillShade="D9"/>
            <w:tcMar>
              <w:left w:w="28" w:type="dxa"/>
              <w:right w:w="28" w:type="dxa"/>
            </w:tcMar>
            <w:vAlign w:val="center"/>
          </w:tcPr>
          <w:p w14:paraId="5632649D" w14:textId="67DF9467" w:rsidR="003E100A" w:rsidRPr="00317F93" w:rsidRDefault="008F45E4" w:rsidP="007C4A70">
            <w:pPr>
              <w:pStyle w:val="Tablewriting"/>
              <w:jc w:val="center"/>
              <w:rPr>
                <w:rFonts w:eastAsia="MS Mincho"/>
                <w:b/>
              </w:rPr>
            </w:pPr>
            <w:r w:rsidRPr="00317F93">
              <w:rPr>
                <w:rFonts w:eastAsia="MS Mincho"/>
                <w:b/>
              </w:rPr>
              <w:t>2.3</w:t>
            </w:r>
            <w:r w:rsidR="00317F93" w:rsidRPr="00317F93">
              <w:rPr>
                <w:rFonts w:eastAsia="MS Mincho"/>
                <w:b/>
              </w:rPr>
              <w:t>3</w:t>
            </w:r>
          </w:p>
          <w:p w14:paraId="1C7DF9FA" w14:textId="7EDD5FFA" w:rsidR="0049176A" w:rsidRPr="00061F78" w:rsidRDefault="008F45E4" w:rsidP="007C4A70">
            <w:pPr>
              <w:pStyle w:val="Tablewriting"/>
              <w:jc w:val="center"/>
              <w:rPr>
                <w:rFonts w:eastAsia="MS Mincho"/>
              </w:rPr>
            </w:pPr>
            <w:r w:rsidRPr="00317F93">
              <w:rPr>
                <w:rFonts w:eastAsia="MS Mincho"/>
                <w:b/>
              </w:rPr>
              <w:t>(1.98, 2.7</w:t>
            </w:r>
            <w:r w:rsidR="00317F93" w:rsidRPr="00317F93">
              <w:rPr>
                <w:rFonts w:eastAsia="MS Mincho"/>
                <w:b/>
              </w:rPr>
              <w:t>3</w:t>
            </w:r>
            <w:r w:rsidRPr="00317F93">
              <w:rPr>
                <w:rFonts w:eastAsia="MS Mincho"/>
                <w:b/>
              </w:rPr>
              <w:t>)</w:t>
            </w:r>
          </w:p>
        </w:tc>
        <w:tc>
          <w:tcPr>
            <w:tcW w:w="807" w:type="pct"/>
            <w:shd w:val="clear" w:color="auto" w:fill="D9D9D9" w:themeFill="background1" w:themeFillShade="D9"/>
            <w:vAlign w:val="center"/>
          </w:tcPr>
          <w:p w14:paraId="680F88CE" w14:textId="77777777" w:rsidR="0049176A" w:rsidRPr="004536BC" w:rsidRDefault="002B32DE" w:rsidP="007C4A70">
            <w:pPr>
              <w:pStyle w:val="Tablewriting"/>
              <w:jc w:val="center"/>
              <w:rPr>
                <w:rFonts w:eastAsia="MS Mincho"/>
                <w:b/>
                <w:bCs/>
              </w:rPr>
            </w:pPr>
            <w:r w:rsidRPr="004536BC">
              <w:rPr>
                <w:rFonts w:eastAsia="MS Mincho"/>
                <w:b/>
                <w:bCs/>
              </w:rPr>
              <w:t>0.12</w:t>
            </w:r>
          </w:p>
          <w:p w14:paraId="27EBBF84" w14:textId="2CDA2655" w:rsidR="0049176A" w:rsidRPr="004536BC" w:rsidRDefault="002B32DE" w:rsidP="007C4A70">
            <w:pPr>
              <w:pStyle w:val="Tablewriting"/>
              <w:jc w:val="center"/>
              <w:rPr>
                <w:rFonts w:eastAsia="MS Mincho"/>
                <w:b/>
              </w:rPr>
            </w:pPr>
            <w:r w:rsidRPr="004536BC">
              <w:rPr>
                <w:rFonts w:eastAsia="MS Mincho"/>
                <w:b/>
                <w:bCs/>
              </w:rPr>
              <w:t>(0.10, 0.15)</w:t>
            </w:r>
          </w:p>
        </w:tc>
      </w:tr>
      <w:tr w:rsidR="0049176A" w:rsidRPr="00061F78" w14:paraId="5752EF5A" w14:textId="77777777" w:rsidTr="00DC1A8D">
        <w:trPr>
          <w:cantSplit/>
          <w:trHeight w:val="149"/>
        </w:trPr>
        <w:tc>
          <w:tcPr>
            <w:tcW w:w="720" w:type="pct"/>
            <w:tcMar>
              <w:left w:w="28" w:type="dxa"/>
              <w:right w:w="28" w:type="dxa"/>
            </w:tcMar>
          </w:tcPr>
          <w:p w14:paraId="180D6F47" w14:textId="7F14DD9F" w:rsidR="0049176A" w:rsidRPr="00D468CF" w:rsidRDefault="003E100A" w:rsidP="007C4A70">
            <w:pPr>
              <w:pStyle w:val="Tablewriting"/>
              <w:rPr>
                <w:rFonts w:eastAsia="MS Mincho"/>
                <w:vertAlign w:val="superscript"/>
              </w:rPr>
            </w:pPr>
            <w:r>
              <w:rPr>
                <w:rFonts w:eastAsia="MS Mincho"/>
              </w:rPr>
              <w:t>Cahill (2016)</w:t>
            </w:r>
            <w:r w:rsidR="00551EF3">
              <w:rPr>
                <w:rFonts w:eastAsia="MS Mincho"/>
                <w:vertAlign w:val="superscript"/>
              </w:rPr>
              <w:t>3</w:t>
            </w:r>
            <w:r w:rsidR="009902FA">
              <w:rPr>
                <w:rFonts w:eastAsia="MS Mincho"/>
                <w:vertAlign w:val="superscript"/>
              </w:rPr>
              <w:t>,4</w:t>
            </w:r>
          </w:p>
        </w:tc>
        <w:tc>
          <w:tcPr>
            <w:tcW w:w="920" w:type="pct"/>
            <w:vAlign w:val="center"/>
          </w:tcPr>
          <w:p w14:paraId="5672B069" w14:textId="4AC2E485" w:rsidR="0049176A" w:rsidRDefault="0049176A" w:rsidP="007C4A70">
            <w:pPr>
              <w:pStyle w:val="Tablewriting"/>
              <w:jc w:val="center"/>
              <w:rPr>
                <w:rFonts w:eastAsia="MS Mincho"/>
              </w:rPr>
            </w:pPr>
            <w:r>
              <w:rPr>
                <w:rFonts w:eastAsia="MS Mincho"/>
              </w:rPr>
              <w:t>Cochrane Review (</w:t>
            </w:r>
            <w:r w:rsidR="003E100A">
              <w:rPr>
                <w:rFonts w:eastAsia="MS Mincho"/>
              </w:rPr>
              <w:t>27</w:t>
            </w:r>
            <w:r>
              <w:rPr>
                <w:rFonts w:eastAsia="MS Mincho"/>
              </w:rPr>
              <w:t xml:space="preserve"> RCTs)</w:t>
            </w:r>
          </w:p>
        </w:tc>
        <w:tc>
          <w:tcPr>
            <w:tcW w:w="850" w:type="pct"/>
            <w:shd w:val="clear" w:color="auto" w:fill="auto"/>
            <w:tcMar>
              <w:left w:w="28" w:type="dxa"/>
              <w:right w:w="28" w:type="dxa"/>
            </w:tcMar>
            <w:vAlign w:val="center"/>
          </w:tcPr>
          <w:p w14:paraId="08E6A023" w14:textId="1562ECBA" w:rsidR="0049176A" w:rsidRPr="009902FA" w:rsidRDefault="00E1420A" w:rsidP="007C4A70">
            <w:pPr>
              <w:pStyle w:val="Tablewriting"/>
              <w:jc w:val="center"/>
              <w:rPr>
                <w:rFonts w:eastAsia="MS Mincho"/>
              </w:rPr>
            </w:pPr>
            <w:r w:rsidRPr="009902FA">
              <w:rPr>
                <w:rFonts w:eastAsia="MS Mincho"/>
              </w:rPr>
              <w:t>1</w:t>
            </w:r>
            <w:r w:rsidR="006D6595" w:rsidRPr="009902FA">
              <w:rPr>
                <w:rFonts w:eastAsia="MS Mincho"/>
              </w:rPr>
              <w:t>,</w:t>
            </w:r>
            <w:r w:rsidRPr="009902FA">
              <w:rPr>
                <w:rFonts w:eastAsia="MS Mincho"/>
              </w:rPr>
              <w:t>695/6</w:t>
            </w:r>
            <w:r w:rsidR="00C775DF" w:rsidRPr="009902FA">
              <w:rPr>
                <w:rFonts w:eastAsia="MS Mincho"/>
              </w:rPr>
              <w:t>,</w:t>
            </w:r>
            <w:r w:rsidRPr="009902FA">
              <w:rPr>
                <w:rFonts w:eastAsia="MS Mincho"/>
              </w:rPr>
              <w:t xml:space="preserve">632 </w:t>
            </w:r>
          </w:p>
          <w:p w14:paraId="129A1916" w14:textId="673DBEC0" w:rsidR="0049176A" w:rsidRPr="009902FA" w:rsidRDefault="0049176A" w:rsidP="007C4A70">
            <w:pPr>
              <w:pStyle w:val="Tablewriting"/>
              <w:jc w:val="center"/>
              <w:rPr>
                <w:rFonts w:eastAsia="MS Mincho"/>
              </w:rPr>
            </w:pPr>
            <w:r w:rsidRPr="009902FA">
              <w:rPr>
                <w:rFonts w:eastAsia="MS Mincho"/>
              </w:rPr>
              <w:t>(</w:t>
            </w:r>
            <w:r w:rsidR="00ED13FE" w:rsidRPr="009902FA">
              <w:rPr>
                <w:rFonts w:eastAsia="MS Mincho"/>
              </w:rPr>
              <w:t>25.6</w:t>
            </w:r>
            <w:r w:rsidRPr="009902FA">
              <w:rPr>
                <w:rFonts w:eastAsia="MS Mincho"/>
              </w:rPr>
              <w:t>%)</w:t>
            </w:r>
          </w:p>
        </w:tc>
        <w:tc>
          <w:tcPr>
            <w:tcW w:w="851" w:type="pct"/>
            <w:shd w:val="clear" w:color="auto" w:fill="auto"/>
            <w:tcMar>
              <w:left w:w="28" w:type="dxa"/>
              <w:right w:w="28" w:type="dxa"/>
            </w:tcMar>
            <w:vAlign w:val="center"/>
          </w:tcPr>
          <w:p w14:paraId="3CC12793" w14:textId="68E0DBF3" w:rsidR="0049176A" w:rsidRPr="009902FA" w:rsidRDefault="00A81A3E" w:rsidP="007C4A70">
            <w:pPr>
              <w:pStyle w:val="Tablewriting"/>
              <w:jc w:val="center"/>
              <w:rPr>
                <w:rFonts w:eastAsia="MS Mincho"/>
              </w:rPr>
            </w:pPr>
            <w:r w:rsidRPr="009902FA">
              <w:rPr>
                <w:rFonts w:eastAsia="MS Mincho"/>
              </w:rPr>
              <w:t>668</w:t>
            </w:r>
            <w:r w:rsidR="003E100A" w:rsidRPr="009902FA">
              <w:rPr>
                <w:rFonts w:eastAsia="MS Mincho"/>
              </w:rPr>
              <w:t>/</w:t>
            </w:r>
            <w:r w:rsidR="00E1420A" w:rsidRPr="009902FA">
              <w:rPr>
                <w:rFonts w:eastAsia="MS Mincho"/>
              </w:rPr>
              <w:t>5</w:t>
            </w:r>
            <w:r w:rsidR="00C775DF" w:rsidRPr="009902FA">
              <w:rPr>
                <w:rFonts w:eastAsia="MS Mincho"/>
              </w:rPr>
              <w:t>,</w:t>
            </w:r>
            <w:r w:rsidR="00E1420A" w:rsidRPr="009902FA">
              <w:rPr>
                <w:rFonts w:eastAsia="MS Mincho"/>
              </w:rPr>
              <w:t>993</w:t>
            </w:r>
            <w:r w:rsidR="003E100A" w:rsidRPr="009902FA">
              <w:rPr>
                <w:rFonts w:eastAsia="MS Mincho"/>
              </w:rPr>
              <w:t xml:space="preserve"> </w:t>
            </w:r>
          </w:p>
          <w:p w14:paraId="59181049" w14:textId="52A63EE7" w:rsidR="0049176A" w:rsidRPr="009902FA" w:rsidRDefault="0049176A" w:rsidP="007C4A70">
            <w:pPr>
              <w:pStyle w:val="Tablewriting"/>
              <w:jc w:val="center"/>
              <w:rPr>
                <w:rFonts w:eastAsia="MS Mincho"/>
              </w:rPr>
            </w:pPr>
            <w:r w:rsidRPr="009902FA">
              <w:rPr>
                <w:rFonts w:eastAsia="MS Mincho"/>
              </w:rPr>
              <w:t>(11.</w:t>
            </w:r>
            <w:r w:rsidR="009B060D" w:rsidRPr="009902FA">
              <w:rPr>
                <w:rFonts w:eastAsia="MS Mincho"/>
              </w:rPr>
              <w:t>1</w:t>
            </w:r>
            <w:r w:rsidRPr="009902FA">
              <w:rPr>
                <w:rFonts w:eastAsia="MS Mincho"/>
              </w:rPr>
              <w:t>%)</w:t>
            </w:r>
          </w:p>
        </w:tc>
        <w:tc>
          <w:tcPr>
            <w:tcW w:w="851" w:type="pct"/>
            <w:shd w:val="clear" w:color="auto" w:fill="auto"/>
            <w:tcMar>
              <w:left w:w="28" w:type="dxa"/>
              <w:right w:w="28" w:type="dxa"/>
            </w:tcMar>
            <w:vAlign w:val="center"/>
          </w:tcPr>
          <w:p w14:paraId="25DC45A7" w14:textId="07D6A8BB" w:rsidR="0049176A" w:rsidRPr="009902FA" w:rsidRDefault="009B060D" w:rsidP="007C4A70">
            <w:pPr>
              <w:pStyle w:val="Tablewriting"/>
              <w:jc w:val="center"/>
              <w:rPr>
                <w:rFonts w:eastAsia="MS Mincho"/>
                <w:b/>
                <w:vertAlign w:val="superscript"/>
              </w:rPr>
            </w:pPr>
            <w:r w:rsidRPr="009902FA">
              <w:rPr>
                <w:rFonts w:eastAsia="MS Mincho"/>
                <w:b/>
              </w:rPr>
              <w:t>2.24</w:t>
            </w:r>
          </w:p>
          <w:p w14:paraId="0E68D3C4" w14:textId="1DC81608" w:rsidR="0049176A" w:rsidRPr="009902FA" w:rsidRDefault="003E100A" w:rsidP="007C4A70">
            <w:pPr>
              <w:pStyle w:val="Tablewriting"/>
              <w:jc w:val="center"/>
              <w:rPr>
                <w:rFonts w:eastAsia="MS Mincho"/>
              </w:rPr>
            </w:pPr>
            <w:r w:rsidRPr="009902FA">
              <w:rPr>
                <w:rFonts w:eastAsia="MS Mincho"/>
                <w:b/>
              </w:rPr>
              <w:t>(</w:t>
            </w:r>
            <w:r w:rsidR="009B060D" w:rsidRPr="009902FA">
              <w:rPr>
                <w:rFonts w:eastAsia="MS Mincho"/>
                <w:b/>
              </w:rPr>
              <w:t>2.06</w:t>
            </w:r>
            <w:r w:rsidRPr="009902FA">
              <w:rPr>
                <w:rFonts w:eastAsia="MS Mincho"/>
                <w:b/>
              </w:rPr>
              <w:t xml:space="preserve">, </w:t>
            </w:r>
            <w:r w:rsidR="009B060D" w:rsidRPr="009902FA">
              <w:rPr>
                <w:rFonts w:eastAsia="MS Mincho"/>
                <w:b/>
              </w:rPr>
              <w:t>2.43</w:t>
            </w:r>
            <w:r w:rsidRPr="009902FA">
              <w:rPr>
                <w:rFonts w:eastAsia="MS Mincho"/>
                <w:b/>
              </w:rPr>
              <w:t>)</w:t>
            </w:r>
          </w:p>
        </w:tc>
        <w:tc>
          <w:tcPr>
            <w:tcW w:w="807" w:type="pct"/>
            <w:vAlign w:val="center"/>
          </w:tcPr>
          <w:p w14:paraId="6690AD3D" w14:textId="7F3E1308" w:rsidR="0049176A" w:rsidRPr="00061F78" w:rsidRDefault="00E204C6" w:rsidP="007C4A70">
            <w:pPr>
              <w:pStyle w:val="Tablewriting"/>
              <w:jc w:val="center"/>
              <w:rPr>
                <w:rFonts w:eastAsia="MS Mincho"/>
              </w:rPr>
            </w:pPr>
            <w:r>
              <w:rPr>
                <w:rFonts w:eastAsia="MS Mincho"/>
              </w:rPr>
              <w:t>NR</w:t>
            </w:r>
          </w:p>
        </w:tc>
      </w:tr>
      <w:tr w:rsidR="00D91781" w:rsidRPr="00061F78" w14:paraId="155BE691" w14:textId="77777777" w:rsidTr="00DC1A8D">
        <w:trPr>
          <w:cantSplit/>
          <w:trHeight w:val="149"/>
        </w:trPr>
        <w:tc>
          <w:tcPr>
            <w:tcW w:w="5000" w:type="pct"/>
            <w:gridSpan w:val="6"/>
            <w:shd w:val="clear" w:color="auto" w:fill="auto"/>
            <w:tcMar>
              <w:left w:w="28" w:type="dxa"/>
              <w:right w:w="28" w:type="dxa"/>
            </w:tcMar>
          </w:tcPr>
          <w:p w14:paraId="0FB7B308" w14:textId="482CB4D8" w:rsidR="00D91781" w:rsidRPr="003954C8" w:rsidRDefault="00D91781" w:rsidP="007C4A70">
            <w:pPr>
              <w:pStyle w:val="Tablewriting"/>
              <w:rPr>
                <w:rFonts w:eastAsia="MS Mincho"/>
                <w:b/>
                <w:bCs/>
              </w:rPr>
            </w:pPr>
            <w:r w:rsidRPr="003954C8">
              <w:rPr>
                <w:rFonts w:eastAsia="MS Mincho"/>
                <w:b/>
                <w:bCs/>
              </w:rPr>
              <w:t>Meta</w:t>
            </w:r>
            <w:r w:rsidR="009E22A2" w:rsidRPr="003954C8">
              <w:rPr>
                <w:rFonts w:eastAsia="MS Mincho"/>
                <w:b/>
                <w:bCs/>
              </w:rPr>
              <w:t>-analysis of Cahill (2016)</w:t>
            </w:r>
            <w:r w:rsidR="00265429" w:rsidRPr="003954C8">
              <w:rPr>
                <w:rFonts w:eastAsia="MS Mincho"/>
                <w:b/>
                <w:bCs/>
                <w:vertAlign w:val="superscript"/>
              </w:rPr>
              <w:t>6</w:t>
            </w:r>
            <w:r w:rsidR="009E22A2" w:rsidRPr="003954C8">
              <w:rPr>
                <w:rFonts w:eastAsia="MS Mincho"/>
                <w:b/>
                <w:bCs/>
              </w:rPr>
              <w:t xml:space="preserve"> and </w:t>
            </w:r>
            <w:r w:rsidR="00017D9F" w:rsidRPr="003954C8">
              <w:rPr>
                <w:rFonts w:eastAsia="MS Mincho"/>
                <w:b/>
                <w:bCs/>
              </w:rPr>
              <w:t>six</w:t>
            </w:r>
            <w:r w:rsidR="009E22A2" w:rsidRPr="003954C8">
              <w:rPr>
                <w:rFonts w:eastAsia="MS Mincho"/>
                <w:b/>
                <w:bCs/>
              </w:rPr>
              <w:t xml:space="preserve"> RCTs</w:t>
            </w:r>
            <w:r w:rsidR="00B930E5">
              <w:rPr>
                <w:rFonts w:eastAsia="MS Mincho"/>
                <w:b/>
                <w:bCs/>
                <w:vertAlign w:val="superscript"/>
              </w:rPr>
              <w:t>7</w:t>
            </w:r>
            <w:r w:rsidR="009E22A2" w:rsidRPr="003954C8">
              <w:rPr>
                <w:rFonts w:eastAsia="MS Mincho"/>
                <w:b/>
                <w:bCs/>
              </w:rPr>
              <w:t xml:space="preserve"> (Lerman</w:t>
            </w:r>
            <w:r w:rsidR="009E22A2" w:rsidRPr="003954C8">
              <w:rPr>
                <w:b/>
                <w:bCs/>
              </w:rPr>
              <w:t xml:space="preserve"> </w:t>
            </w:r>
            <w:r w:rsidR="009E22A2" w:rsidRPr="003954C8">
              <w:rPr>
                <w:rFonts w:eastAsia="MS Mincho"/>
                <w:b/>
                <w:bCs/>
              </w:rPr>
              <w:t xml:space="preserve">2015, </w:t>
            </w:r>
            <w:r w:rsidR="00116768" w:rsidRPr="003954C8">
              <w:rPr>
                <w:rFonts w:eastAsia="MS Mincho"/>
                <w:b/>
                <w:bCs/>
              </w:rPr>
              <w:t xml:space="preserve">Littlewood 2017, </w:t>
            </w:r>
            <w:r w:rsidR="00FC2C78" w:rsidRPr="003954C8">
              <w:rPr>
                <w:rFonts w:eastAsia="MS Mincho"/>
                <w:b/>
                <w:bCs/>
              </w:rPr>
              <w:t xml:space="preserve">Mercie 2018, </w:t>
            </w:r>
            <w:r w:rsidR="009E22A2" w:rsidRPr="003954C8">
              <w:rPr>
                <w:rFonts w:eastAsia="MS Mincho"/>
                <w:b/>
                <w:bCs/>
              </w:rPr>
              <w:t>Windle 2018, Ashare 2019, Chen 2020)</w:t>
            </w:r>
          </w:p>
        </w:tc>
      </w:tr>
      <w:tr w:rsidR="000724FF" w:rsidRPr="00061F78" w14:paraId="3168966C" w14:textId="77777777" w:rsidTr="00DC1A8D">
        <w:trPr>
          <w:cantSplit/>
          <w:trHeight w:val="149"/>
        </w:trPr>
        <w:tc>
          <w:tcPr>
            <w:tcW w:w="720" w:type="pct"/>
            <w:tcMar>
              <w:left w:w="28" w:type="dxa"/>
              <w:right w:w="28" w:type="dxa"/>
            </w:tcMar>
          </w:tcPr>
          <w:p w14:paraId="39F03CD5" w14:textId="77777777" w:rsidR="007E0ABC" w:rsidRDefault="00523E7C" w:rsidP="007C4A70">
            <w:pPr>
              <w:pStyle w:val="Tablewriting"/>
              <w:rPr>
                <w:rFonts w:eastAsia="MS Mincho"/>
              </w:rPr>
            </w:pPr>
            <w:r>
              <w:rPr>
                <w:rFonts w:eastAsia="MS Mincho"/>
              </w:rPr>
              <w:t xml:space="preserve">Updated </w:t>
            </w:r>
          </w:p>
          <w:p w14:paraId="4D0C3735" w14:textId="5E871E29" w:rsidR="000724FF" w:rsidRPr="009902FA" w:rsidRDefault="00523E7C" w:rsidP="007C4A70">
            <w:pPr>
              <w:pStyle w:val="Tablewriting"/>
              <w:rPr>
                <w:rFonts w:eastAsia="MS Mincho"/>
                <w:vertAlign w:val="superscript"/>
              </w:rPr>
            </w:pPr>
            <w:r>
              <w:rPr>
                <w:rFonts w:eastAsia="MS Mincho"/>
              </w:rPr>
              <w:t>re-analysis</w:t>
            </w:r>
            <w:r w:rsidR="009902FA">
              <w:rPr>
                <w:rFonts w:eastAsia="MS Mincho"/>
                <w:vertAlign w:val="superscript"/>
              </w:rPr>
              <w:t>5</w:t>
            </w:r>
          </w:p>
        </w:tc>
        <w:tc>
          <w:tcPr>
            <w:tcW w:w="920" w:type="pct"/>
            <w:vAlign w:val="center"/>
          </w:tcPr>
          <w:p w14:paraId="68AEBF6C" w14:textId="60F9FD13" w:rsidR="000724FF" w:rsidRDefault="00523E7C" w:rsidP="007C4A70">
            <w:pPr>
              <w:pStyle w:val="Tablewriting"/>
              <w:jc w:val="center"/>
              <w:rPr>
                <w:rFonts w:eastAsia="MS Mincho"/>
              </w:rPr>
            </w:pPr>
            <w:r>
              <w:rPr>
                <w:rFonts w:eastAsia="MS Mincho"/>
              </w:rPr>
              <w:t>3</w:t>
            </w:r>
            <w:r w:rsidR="00EB44E9">
              <w:rPr>
                <w:rFonts w:eastAsia="MS Mincho"/>
              </w:rPr>
              <w:t>2</w:t>
            </w:r>
            <w:r>
              <w:rPr>
                <w:rFonts w:eastAsia="MS Mincho"/>
              </w:rPr>
              <w:t xml:space="preserve"> RCTs</w:t>
            </w:r>
          </w:p>
        </w:tc>
        <w:tc>
          <w:tcPr>
            <w:tcW w:w="850" w:type="pct"/>
            <w:tcMar>
              <w:left w:w="28" w:type="dxa"/>
              <w:right w:w="28" w:type="dxa"/>
            </w:tcMar>
            <w:vAlign w:val="center"/>
          </w:tcPr>
          <w:p w14:paraId="4C9B7C2F" w14:textId="5962241A" w:rsidR="000724FF" w:rsidRPr="00B74639" w:rsidRDefault="00707705" w:rsidP="007C4A70">
            <w:pPr>
              <w:pStyle w:val="Tablewriting"/>
              <w:jc w:val="center"/>
              <w:rPr>
                <w:rFonts w:eastAsia="MS Mincho"/>
              </w:rPr>
            </w:pPr>
            <w:r w:rsidRPr="00B74639">
              <w:rPr>
                <w:rFonts w:eastAsia="MS Mincho"/>
              </w:rPr>
              <w:t>1,8</w:t>
            </w:r>
            <w:r w:rsidR="00185266">
              <w:rPr>
                <w:rFonts w:eastAsia="MS Mincho"/>
              </w:rPr>
              <w:t>4</w:t>
            </w:r>
            <w:r w:rsidR="00AD1C9C">
              <w:rPr>
                <w:rFonts w:eastAsia="MS Mincho"/>
              </w:rPr>
              <w:t>1</w:t>
            </w:r>
            <w:r w:rsidRPr="00B74639">
              <w:rPr>
                <w:rFonts w:eastAsia="MS Mincho"/>
              </w:rPr>
              <w:t>/7,</w:t>
            </w:r>
            <w:r w:rsidR="00185266">
              <w:rPr>
                <w:rFonts w:eastAsia="MS Mincho"/>
              </w:rPr>
              <w:t>667</w:t>
            </w:r>
          </w:p>
          <w:p w14:paraId="12F283E7" w14:textId="584B72CF" w:rsidR="00707705" w:rsidRPr="00B74639" w:rsidRDefault="00707705" w:rsidP="007C4A70">
            <w:pPr>
              <w:pStyle w:val="Tablewriting"/>
              <w:jc w:val="center"/>
              <w:rPr>
                <w:rFonts w:eastAsia="MS Mincho"/>
              </w:rPr>
            </w:pPr>
            <w:r w:rsidRPr="00B74639">
              <w:rPr>
                <w:rFonts w:eastAsia="MS Mincho"/>
              </w:rPr>
              <w:t>(</w:t>
            </w:r>
            <w:r w:rsidR="00DB0818">
              <w:rPr>
                <w:rFonts w:eastAsia="MS Mincho"/>
              </w:rPr>
              <w:t>24.0</w:t>
            </w:r>
            <w:r w:rsidR="00DF7E87" w:rsidRPr="00B74639">
              <w:rPr>
                <w:rFonts w:eastAsia="MS Mincho"/>
              </w:rPr>
              <w:t>%</w:t>
            </w:r>
            <w:r w:rsidRPr="00B74639">
              <w:rPr>
                <w:rFonts w:eastAsia="MS Mincho"/>
              </w:rPr>
              <w:t>)</w:t>
            </w:r>
          </w:p>
        </w:tc>
        <w:tc>
          <w:tcPr>
            <w:tcW w:w="851" w:type="pct"/>
            <w:tcMar>
              <w:left w:w="28" w:type="dxa"/>
              <w:right w:w="28" w:type="dxa"/>
            </w:tcMar>
            <w:vAlign w:val="center"/>
          </w:tcPr>
          <w:p w14:paraId="0193E91D" w14:textId="0D13E7EB" w:rsidR="000724FF" w:rsidRPr="00B74639" w:rsidRDefault="00116768" w:rsidP="007C4A70">
            <w:pPr>
              <w:pStyle w:val="Tablewriting"/>
              <w:jc w:val="center"/>
              <w:rPr>
                <w:rFonts w:eastAsia="MS Mincho"/>
              </w:rPr>
            </w:pPr>
            <w:r>
              <w:rPr>
                <w:rFonts w:eastAsia="MS Mincho"/>
              </w:rPr>
              <w:t>7</w:t>
            </w:r>
            <w:r w:rsidR="00185266">
              <w:rPr>
                <w:rFonts w:eastAsia="MS Mincho"/>
              </w:rPr>
              <w:t>40</w:t>
            </w:r>
            <w:r w:rsidR="00707705" w:rsidRPr="00B74639">
              <w:rPr>
                <w:rFonts w:eastAsia="MS Mincho"/>
              </w:rPr>
              <w:t>/6,</w:t>
            </w:r>
            <w:r w:rsidR="00185266">
              <w:rPr>
                <w:rFonts w:eastAsia="MS Mincho"/>
              </w:rPr>
              <w:t>951</w:t>
            </w:r>
          </w:p>
          <w:p w14:paraId="7CBAFD72" w14:textId="66040495" w:rsidR="00707705" w:rsidRPr="00B74639" w:rsidRDefault="00707705" w:rsidP="007C4A70">
            <w:pPr>
              <w:pStyle w:val="Tablewriting"/>
              <w:jc w:val="center"/>
              <w:rPr>
                <w:rFonts w:eastAsia="MS Mincho"/>
              </w:rPr>
            </w:pPr>
            <w:r w:rsidRPr="00B74639">
              <w:rPr>
                <w:rFonts w:eastAsia="MS Mincho"/>
              </w:rPr>
              <w:t>(</w:t>
            </w:r>
            <w:r w:rsidR="00FF1CDB">
              <w:rPr>
                <w:rFonts w:eastAsia="MS Mincho"/>
              </w:rPr>
              <w:t>10.6</w:t>
            </w:r>
            <w:r w:rsidR="00B74639" w:rsidRPr="00B74639">
              <w:rPr>
                <w:rFonts w:eastAsia="MS Mincho"/>
              </w:rPr>
              <w:t>%</w:t>
            </w:r>
            <w:r w:rsidRPr="00B74639">
              <w:rPr>
                <w:rFonts w:eastAsia="MS Mincho"/>
              </w:rPr>
              <w:t>)</w:t>
            </w:r>
          </w:p>
        </w:tc>
        <w:tc>
          <w:tcPr>
            <w:tcW w:w="851" w:type="pct"/>
            <w:tcMar>
              <w:left w:w="28" w:type="dxa"/>
              <w:right w:w="28" w:type="dxa"/>
            </w:tcMar>
            <w:vAlign w:val="center"/>
          </w:tcPr>
          <w:p w14:paraId="5D3E68FE" w14:textId="09CB666D" w:rsidR="000724FF" w:rsidRPr="00B74639" w:rsidRDefault="00707705" w:rsidP="007C4A70">
            <w:pPr>
              <w:pStyle w:val="Tablewriting"/>
              <w:jc w:val="center"/>
              <w:rPr>
                <w:rFonts w:eastAsia="MS Mincho"/>
                <w:b/>
                <w:bCs/>
              </w:rPr>
            </w:pPr>
            <w:r w:rsidRPr="00B74639">
              <w:rPr>
                <w:rFonts w:eastAsia="MS Mincho"/>
                <w:b/>
                <w:bCs/>
              </w:rPr>
              <w:t>2.1</w:t>
            </w:r>
            <w:r w:rsidR="00BB6846">
              <w:rPr>
                <w:rFonts w:eastAsia="MS Mincho"/>
                <w:b/>
                <w:bCs/>
              </w:rPr>
              <w:t>6</w:t>
            </w:r>
          </w:p>
          <w:p w14:paraId="2C99F806" w14:textId="610407BF" w:rsidR="00707705" w:rsidRPr="00B74639" w:rsidRDefault="00707705" w:rsidP="007C4A70">
            <w:pPr>
              <w:pStyle w:val="Tablewriting"/>
              <w:jc w:val="center"/>
              <w:rPr>
                <w:rFonts w:eastAsia="MS Mincho"/>
                <w:b/>
                <w:bCs/>
              </w:rPr>
            </w:pPr>
            <w:r w:rsidRPr="00B74639">
              <w:rPr>
                <w:rFonts w:eastAsia="MS Mincho"/>
                <w:b/>
                <w:bCs/>
              </w:rPr>
              <w:t>(1.8</w:t>
            </w:r>
            <w:r w:rsidR="004008D4">
              <w:rPr>
                <w:rFonts w:eastAsia="MS Mincho"/>
                <w:b/>
                <w:bCs/>
              </w:rPr>
              <w:t>8</w:t>
            </w:r>
            <w:r w:rsidRPr="00B74639">
              <w:rPr>
                <w:rFonts w:eastAsia="MS Mincho"/>
                <w:b/>
                <w:bCs/>
              </w:rPr>
              <w:t>, 2.4</w:t>
            </w:r>
            <w:r w:rsidR="004008D4">
              <w:rPr>
                <w:rFonts w:eastAsia="MS Mincho"/>
                <w:b/>
                <w:bCs/>
              </w:rPr>
              <w:t>8</w:t>
            </w:r>
            <w:r w:rsidRPr="00B74639">
              <w:rPr>
                <w:rFonts w:eastAsia="MS Mincho"/>
                <w:b/>
                <w:bCs/>
              </w:rPr>
              <w:t>)</w:t>
            </w:r>
          </w:p>
        </w:tc>
        <w:tc>
          <w:tcPr>
            <w:tcW w:w="807" w:type="pct"/>
            <w:vAlign w:val="center"/>
          </w:tcPr>
          <w:p w14:paraId="77DAD436" w14:textId="77777777" w:rsidR="000724FF" w:rsidRPr="004536BC" w:rsidRDefault="00E204C6" w:rsidP="007C4A70">
            <w:pPr>
              <w:pStyle w:val="Tablewriting"/>
              <w:jc w:val="center"/>
              <w:rPr>
                <w:rFonts w:eastAsia="MS Mincho"/>
                <w:b/>
                <w:bCs/>
              </w:rPr>
            </w:pPr>
            <w:r w:rsidRPr="004536BC">
              <w:rPr>
                <w:rFonts w:eastAsia="MS Mincho"/>
                <w:b/>
                <w:bCs/>
              </w:rPr>
              <w:t>0.13</w:t>
            </w:r>
          </w:p>
          <w:p w14:paraId="29CCD087" w14:textId="0014CF60" w:rsidR="00E204C6" w:rsidRPr="00061F78" w:rsidRDefault="00E204C6" w:rsidP="007C4A70">
            <w:pPr>
              <w:pStyle w:val="Tablewriting"/>
              <w:jc w:val="center"/>
              <w:rPr>
                <w:rFonts w:eastAsia="MS Mincho"/>
              </w:rPr>
            </w:pPr>
            <w:r w:rsidRPr="004536BC">
              <w:rPr>
                <w:rFonts w:eastAsia="MS Mincho"/>
                <w:b/>
                <w:bCs/>
              </w:rPr>
              <w:t>(0.1</w:t>
            </w:r>
            <w:r w:rsidR="004008D4">
              <w:rPr>
                <w:rFonts w:eastAsia="MS Mincho"/>
                <w:b/>
                <w:bCs/>
              </w:rPr>
              <w:t>0</w:t>
            </w:r>
            <w:r w:rsidRPr="004536BC">
              <w:rPr>
                <w:rFonts w:eastAsia="MS Mincho"/>
                <w:b/>
                <w:bCs/>
              </w:rPr>
              <w:t>, 0.15)</w:t>
            </w:r>
          </w:p>
        </w:tc>
      </w:tr>
    </w:tbl>
    <w:p w14:paraId="49578631" w14:textId="764828CE" w:rsidR="0049176A" w:rsidRDefault="0049176A" w:rsidP="00DC1A8D">
      <w:pPr>
        <w:pStyle w:val="TableFooter"/>
        <w:jc w:val="both"/>
      </w:pPr>
      <w:r>
        <w:t xml:space="preserve">Source: </w:t>
      </w:r>
      <w:r w:rsidR="003E100A">
        <w:t>Cahill</w:t>
      </w:r>
      <w:r>
        <w:t xml:space="preserve"> et al. (20</w:t>
      </w:r>
      <w:r w:rsidR="003E100A">
        <w:t>16</w:t>
      </w:r>
      <w:r>
        <w:t>)</w:t>
      </w:r>
      <w:r w:rsidR="00A550C6">
        <w:t>,</w:t>
      </w:r>
      <w:r w:rsidR="00A550C6" w:rsidRPr="00A550C6">
        <w:rPr>
          <w:rFonts w:eastAsia="MS Mincho"/>
        </w:rPr>
        <w:t xml:space="preserve"> </w:t>
      </w:r>
      <w:r w:rsidR="00A550C6">
        <w:rPr>
          <w:rFonts w:eastAsia="MS Mincho"/>
        </w:rPr>
        <w:t>Lerman</w:t>
      </w:r>
      <w:r w:rsidR="00A550C6">
        <w:t xml:space="preserve"> et al. (</w:t>
      </w:r>
      <w:r w:rsidR="00A550C6" w:rsidRPr="009E22A2">
        <w:rPr>
          <w:rFonts w:eastAsia="MS Mincho"/>
        </w:rPr>
        <w:t>2015</w:t>
      </w:r>
      <w:r w:rsidR="00A550C6">
        <w:rPr>
          <w:rFonts w:eastAsia="MS Mincho"/>
        </w:rPr>
        <w:t>)</w:t>
      </w:r>
      <w:r w:rsidR="00A550C6" w:rsidRPr="009E22A2">
        <w:rPr>
          <w:rFonts w:eastAsia="MS Mincho"/>
        </w:rPr>
        <w:t>,</w:t>
      </w:r>
      <w:r w:rsidR="00A550C6">
        <w:rPr>
          <w:rFonts w:eastAsia="MS Mincho"/>
        </w:rPr>
        <w:t xml:space="preserve"> Littlewood et al. (2017),</w:t>
      </w:r>
      <w:r w:rsidR="00A550C6" w:rsidRPr="009E22A2">
        <w:rPr>
          <w:rFonts w:eastAsia="MS Mincho"/>
        </w:rPr>
        <w:t xml:space="preserve"> Hurt </w:t>
      </w:r>
      <w:r w:rsidR="00A550C6">
        <w:rPr>
          <w:rFonts w:eastAsia="MS Mincho"/>
        </w:rPr>
        <w:t>et al. (</w:t>
      </w:r>
      <w:r w:rsidR="00A550C6" w:rsidRPr="009E22A2">
        <w:rPr>
          <w:rFonts w:eastAsia="MS Mincho"/>
        </w:rPr>
        <w:t>2018</w:t>
      </w:r>
      <w:r w:rsidR="00A550C6">
        <w:rPr>
          <w:rFonts w:eastAsia="MS Mincho"/>
        </w:rPr>
        <w:t>)</w:t>
      </w:r>
      <w:r w:rsidR="00A550C6" w:rsidRPr="009E22A2">
        <w:rPr>
          <w:rFonts w:eastAsia="MS Mincho"/>
        </w:rPr>
        <w:t>,</w:t>
      </w:r>
      <w:r w:rsidR="00FC2C78">
        <w:rPr>
          <w:rFonts w:eastAsia="MS Mincho"/>
        </w:rPr>
        <w:t xml:space="preserve"> Mercie et al. (2018),</w:t>
      </w:r>
      <w:r w:rsidR="00A550C6" w:rsidRPr="009E22A2">
        <w:rPr>
          <w:rFonts w:eastAsia="MS Mincho"/>
        </w:rPr>
        <w:t xml:space="preserve"> Windle</w:t>
      </w:r>
      <w:r w:rsidR="00A550C6">
        <w:rPr>
          <w:rFonts w:eastAsia="MS Mincho"/>
        </w:rPr>
        <w:t xml:space="preserve"> et al. (</w:t>
      </w:r>
      <w:r w:rsidR="00A550C6" w:rsidRPr="009E22A2">
        <w:rPr>
          <w:rFonts w:eastAsia="MS Mincho"/>
        </w:rPr>
        <w:t>2018</w:t>
      </w:r>
      <w:r w:rsidR="00A550C6">
        <w:rPr>
          <w:rFonts w:eastAsia="MS Mincho"/>
        </w:rPr>
        <w:t>)</w:t>
      </w:r>
      <w:r w:rsidR="00A550C6" w:rsidRPr="009E22A2">
        <w:rPr>
          <w:rFonts w:eastAsia="MS Mincho"/>
        </w:rPr>
        <w:t xml:space="preserve">, Ashare </w:t>
      </w:r>
      <w:r w:rsidR="00A550C6">
        <w:rPr>
          <w:rFonts w:eastAsia="MS Mincho"/>
        </w:rPr>
        <w:t>et al. (</w:t>
      </w:r>
      <w:r w:rsidR="00A550C6" w:rsidRPr="009E22A2">
        <w:rPr>
          <w:rFonts w:eastAsia="MS Mincho"/>
        </w:rPr>
        <w:t>2019</w:t>
      </w:r>
      <w:r w:rsidR="00A550C6">
        <w:rPr>
          <w:rFonts w:eastAsia="MS Mincho"/>
        </w:rPr>
        <w:t>)</w:t>
      </w:r>
      <w:r w:rsidR="00A550C6" w:rsidRPr="009E22A2">
        <w:rPr>
          <w:rFonts w:eastAsia="MS Mincho"/>
        </w:rPr>
        <w:t xml:space="preserve">, Chen </w:t>
      </w:r>
      <w:r w:rsidR="00A550C6">
        <w:rPr>
          <w:rFonts w:eastAsia="MS Mincho"/>
        </w:rPr>
        <w:t>et al. (</w:t>
      </w:r>
      <w:r w:rsidR="00A550C6" w:rsidRPr="009E22A2">
        <w:rPr>
          <w:rFonts w:eastAsia="MS Mincho"/>
        </w:rPr>
        <w:t>2020</w:t>
      </w:r>
      <w:r w:rsidR="00A550C6">
        <w:rPr>
          <w:rFonts w:eastAsia="MS Mincho"/>
        </w:rPr>
        <w:t>)</w:t>
      </w:r>
    </w:p>
    <w:p w14:paraId="3DC3E483" w14:textId="57E828C7" w:rsidR="0049176A" w:rsidRDefault="0049176A" w:rsidP="00DC1A8D">
      <w:pPr>
        <w:pStyle w:val="TableFooter"/>
        <w:jc w:val="both"/>
        <w:rPr>
          <w:i/>
        </w:rPr>
      </w:pPr>
      <w:r>
        <w:t xml:space="preserve">Abbreviations: CI = confidence interval; </w:t>
      </w:r>
      <w:r w:rsidR="004536BC">
        <w:t>NR = not reported;</w:t>
      </w:r>
      <w:r>
        <w:t xml:space="preserve"> RCT = randomised controlled trial; RR = risk ratio</w:t>
      </w:r>
      <w:r w:rsidRPr="00061F78">
        <w:t xml:space="preserve"> </w:t>
      </w:r>
    </w:p>
    <w:p w14:paraId="1F223FD9" w14:textId="77777777" w:rsidR="0049176A" w:rsidRDefault="0049176A" w:rsidP="007C4A70">
      <w:pPr>
        <w:pStyle w:val="TableFooter"/>
      </w:pPr>
      <w:r w:rsidRPr="00061F78">
        <w:rPr>
          <w:highlight w:val="lightGray"/>
        </w:rPr>
        <w:t>Shaded</w:t>
      </w:r>
      <w:r w:rsidRPr="00061F78">
        <w:t xml:space="preserve"> = previously considered by the PBAC</w:t>
      </w:r>
    </w:p>
    <w:p w14:paraId="5FDDEBC7" w14:textId="2B26C818" w:rsidR="00DB77B8" w:rsidRDefault="0049176A" w:rsidP="007C4A70">
      <w:pPr>
        <w:pStyle w:val="TableFooter"/>
      </w:pPr>
      <w:r w:rsidRPr="00D468CF">
        <w:t>Note</w:t>
      </w:r>
      <w:r>
        <w:t>s</w:t>
      </w:r>
      <w:r w:rsidRPr="00D468CF">
        <w:t>: Bold indicates statistically significant difference.</w:t>
      </w:r>
      <w:r>
        <w:br/>
      </w:r>
      <w:r w:rsidR="00DB77B8">
        <w:t>1</w:t>
      </w:r>
      <w:r w:rsidR="00A23175">
        <w:t xml:space="preserve"> Continuous abstinence rate at 12 months</w:t>
      </w:r>
      <w:r w:rsidR="00571438">
        <w:t xml:space="preserve"> (</w:t>
      </w:r>
      <w:r w:rsidR="007B7017">
        <w:t>w</w:t>
      </w:r>
      <w:r w:rsidR="00571438">
        <w:t>eek 9-52)</w:t>
      </w:r>
      <w:r w:rsidR="000F1E7A">
        <w:t>.</w:t>
      </w:r>
    </w:p>
    <w:p w14:paraId="7B451D55" w14:textId="1CB2325D" w:rsidR="00551EF3" w:rsidRDefault="00DB77B8" w:rsidP="00DC1A8D">
      <w:pPr>
        <w:pStyle w:val="TableFooter"/>
        <w:jc w:val="both"/>
      </w:pPr>
      <w:r>
        <w:lastRenderedPageBreak/>
        <w:t>2</w:t>
      </w:r>
      <w:r w:rsidR="0049176A">
        <w:t xml:space="preserve"> </w:t>
      </w:r>
      <w:r w:rsidR="00383947" w:rsidRPr="00383947">
        <w:t xml:space="preserve">Continuous abstinence rate at </w:t>
      </w:r>
      <w:r w:rsidR="00EC7F43">
        <w:t>six</w:t>
      </w:r>
      <w:r w:rsidR="00383947" w:rsidRPr="00383947">
        <w:t xml:space="preserve"> months (</w:t>
      </w:r>
      <w:r w:rsidR="007B7017">
        <w:t>w</w:t>
      </w:r>
      <w:r w:rsidR="00383947" w:rsidRPr="00383947">
        <w:t>eek 9-24)</w:t>
      </w:r>
      <w:r w:rsidR="000F1E7A">
        <w:t>.</w:t>
      </w:r>
    </w:p>
    <w:p w14:paraId="6C4516FB" w14:textId="6F75CA2A" w:rsidR="0049176A" w:rsidRDefault="00551EF3" w:rsidP="00DC1A8D">
      <w:pPr>
        <w:pStyle w:val="TableFooter"/>
        <w:jc w:val="both"/>
      </w:pPr>
      <w:r>
        <w:t>3</w:t>
      </w:r>
      <w:r w:rsidR="0049176A">
        <w:t xml:space="preserve"> Where cessation was assessed at multiple intervals, the longest follow-up data were used. Where multiple definitions of abstinence were assessed, the strictest of these definitions was used (</w:t>
      </w:r>
      <w:r w:rsidR="004C4EA7">
        <w:t>e.g.,</w:t>
      </w:r>
      <w:r w:rsidR="0049176A">
        <w:t xml:space="preserve"> continuous/prolonged abstinence over point prevalence abstinence). See </w:t>
      </w:r>
      <w:r w:rsidR="0049176A" w:rsidRPr="008E13EE">
        <w:t xml:space="preserve">Appendix </w:t>
      </w:r>
      <w:r w:rsidR="00076298">
        <w:t>Table 146</w:t>
      </w:r>
      <w:r w:rsidR="0049176A">
        <w:t xml:space="preserve"> for the definition used in each study. </w:t>
      </w:r>
      <w:r w:rsidR="0030225A" w:rsidRPr="0030225A">
        <w:t>Studies previously considered by the PBAC were included in the meta-analysis</w:t>
      </w:r>
      <w:r w:rsidR="0049176A" w:rsidRPr="008D2B80">
        <w:t xml:space="preserve"> of </w:t>
      </w:r>
      <w:r w:rsidR="00D7520F" w:rsidRPr="00D7520F">
        <w:t>Cahill</w:t>
      </w:r>
      <w:r w:rsidR="0049176A" w:rsidRPr="008D2B80">
        <w:t xml:space="preserve"> et al. (</w:t>
      </w:r>
      <w:r w:rsidR="00D7520F" w:rsidRPr="00D7520F">
        <w:t>2016</w:t>
      </w:r>
      <w:r w:rsidR="0049176A" w:rsidRPr="008D2B80">
        <w:t>).</w:t>
      </w:r>
    </w:p>
    <w:p w14:paraId="4CD1214A" w14:textId="53202CAE" w:rsidR="002C5D1C" w:rsidRDefault="002C5D1C" w:rsidP="00DC1A8D">
      <w:pPr>
        <w:pStyle w:val="TableFooter"/>
        <w:jc w:val="both"/>
      </w:pPr>
      <w:r w:rsidRPr="008E13EE">
        <w:t>4 Calculated by Cochrane Review authors using a fixed-effect model</w:t>
      </w:r>
      <w:r w:rsidR="000F1E7A">
        <w:t>.</w:t>
      </w:r>
    </w:p>
    <w:p w14:paraId="0DF6E02A" w14:textId="6109E196" w:rsidR="002C5D1C" w:rsidRDefault="002C5D1C" w:rsidP="00DC1A8D">
      <w:pPr>
        <w:pStyle w:val="TableFooter"/>
        <w:jc w:val="both"/>
      </w:pPr>
      <w:r w:rsidRPr="008E13EE">
        <w:t>5 Calculated during the review using a random-effect model</w:t>
      </w:r>
      <w:r w:rsidR="000F1E7A">
        <w:t>.</w:t>
      </w:r>
    </w:p>
    <w:p w14:paraId="25BCFC5C" w14:textId="6585195B" w:rsidR="00265429" w:rsidRDefault="00265429" w:rsidP="00DC1A8D">
      <w:pPr>
        <w:pStyle w:val="TableFooter"/>
        <w:jc w:val="both"/>
      </w:pPr>
      <w:r>
        <w:t xml:space="preserve">6 Excluded </w:t>
      </w:r>
      <w:r w:rsidR="00EC7F43">
        <w:t>two</w:t>
      </w:r>
      <w:r>
        <w:t xml:space="preserve"> RCTs (</w:t>
      </w:r>
      <w:r w:rsidRPr="00ED4408">
        <w:t>NCT00828113</w:t>
      </w:r>
      <w:r>
        <w:t xml:space="preserve"> and Evins 2014</w:t>
      </w:r>
      <w:r w:rsidR="000D4CCD">
        <w:t xml:space="preserve">; </w:t>
      </w:r>
      <w:r w:rsidR="00FE5926">
        <w:t>exceeded standard 12 weeks treatment duration</w:t>
      </w:r>
      <w:r>
        <w:t xml:space="preserve">) </w:t>
      </w:r>
      <w:r w:rsidR="000A11EE">
        <w:t xml:space="preserve">and included </w:t>
      </w:r>
      <w:r w:rsidR="00EC7F43">
        <w:t>one</w:t>
      </w:r>
      <w:r w:rsidR="000A11EE">
        <w:t xml:space="preserve"> RCT (Williams</w:t>
      </w:r>
      <w:r w:rsidR="00394C5D">
        <w:t xml:space="preserve"> 2012</w:t>
      </w:r>
      <w:r w:rsidR="00B01CFB">
        <w:t xml:space="preserve">; </w:t>
      </w:r>
      <w:r w:rsidR="00DF7E87">
        <w:t>excluded by error in Cahill 2016</w:t>
      </w:r>
      <w:r w:rsidR="00394C5D">
        <w:t>)</w:t>
      </w:r>
      <w:r w:rsidR="00CA397B">
        <w:t>. Eisenberg et al. (2016) in Cahill et al. (2016)</w:t>
      </w:r>
      <w:r w:rsidR="00A93321">
        <w:t xml:space="preserve"> replaced by Windle et al. (2018); long-term data </w:t>
      </w:r>
      <w:r w:rsidR="0018541E">
        <w:t>from</w:t>
      </w:r>
      <w:r w:rsidR="00A93321">
        <w:t xml:space="preserve"> the same study.</w:t>
      </w:r>
    </w:p>
    <w:p w14:paraId="05B6633D" w14:textId="1886D03C" w:rsidR="00B930E5" w:rsidRDefault="00B930E5" w:rsidP="00DC1A8D">
      <w:pPr>
        <w:pStyle w:val="TableFooter"/>
        <w:jc w:val="both"/>
      </w:pPr>
      <w:r>
        <w:t xml:space="preserve">7 </w:t>
      </w:r>
      <w:r w:rsidRPr="00B930E5">
        <w:t>Hurt et al. (2018) was a publication of NCT01347112, of which the results were previously included in Cahill et al. (2016)</w:t>
      </w:r>
      <w:r w:rsidR="000F1E7A">
        <w:t>.</w:t>
      </w:r>
    </w:p>
    <w:p w14:paraId="7C09D5DB" w14:textId="145EEC5A" w:rsidR="003C3D3D" w:rsidRDefault="003C3D3D" w:rsidP="00DC1A8D">
      <w:pPr>
        <w:pStyle w:val="TableFooter"/>
        <w:spacing w:after="120"/>
        <w:contextualSpacing w:val="0"/>
        <w:jc w:val="both"/>
      </w:pPr>
      <w:r>
        <w:t>a</w:t>
      </w:r>
      <w:r w:rsidR="007B3D7F">
        <w:t xml:space="preserve"> Corrected </w:t>
      </w:r>
      <w:r>
        <w:t xml:space="preserve">error identified in Cahill et al. (2016) for </w:t>
      </w:r>
      <w:r w:rsidR="007B3D7F">
        <w:t>n/N</w:t>
      </w:r>
      <w:r w:rsidR="000F1E7A">
        <w:t>.</w:t>
      </w:r>
    </w:p>
    <w:p w14:paraId="352E8014" w14:textId="0F0B0751" w:rsidR="0049176A" w:rsidRDefault="0021047C" w:rsidP="00DC1A8D">
      <w:pPr>
        <w:spacing w:after="120"/>
        <w:jc w:val="both"/>
      </w:pPr>
      <w:r w:rsidRPr="0021047C">
        <w:t xml:space="preserve">The results of the individual studies included in </w:t>
      </w:r>
      <w:r w:rsidR="00014736">
        <w:t>the updated re-analysis</w:t>
      </w:r>
      <w:r w:rsidRPr="0021047C">
        <w:t xml:space="preserve"> are presented using a forest plot in </w:t>
      </w:r>
      <w:r>
        <w:fldChar w:fldCharType="begin" w:fldLock="1"/>
      </w:r>
      <w:r>
        <w:instrText xml:space="preserve"> REF _Ref54021198 \h </w:instrText>
      </w:r>
      <w:r>
        <w:fldChar w:fldCharType="separate"/>
      </w:r>
      <w:r w:rsidR="00EC5CC7">
        <w:t xml:space="preserve">Figure </w:t>
      </w:r>
      <w:r w:rsidR="00EC5CC7">
        <w:rPr>
          <w:noProof/>
        </w:rPr>
        <w:t>3</w:t>
      </w:r>
      <w:r>
        <w:fldChar w:fldCharType="end"/>
      </w:r>
      <w:r w:rsidRPr="0021047C">
        <w:t xml:space="preserve">. </w:t>
      </w:r>
    </w:p>
    <w:p w14:paraId="0379F92E" w14:textId="6ACB27F0" w:rsidR="00D92FD0" w:rsidRDefault="685E0F31" w:rsidP="00D92FD0">
      <w:pPr>
        <w:keepNext/>
      </w:pPr>
      <w:r>
        <w:rPr>
          <w:noProof/>
        </w:rPr>
        <w:drawing>
          <wp:inline distT="0" distB="0" distL="0" distR="0" wp14:anchorId="044C491E" wp14:editId="55732CE2">
            <wp:extent cx="5731510" cy="4685029"/>
            <wp:effectExtent l="0" t="0" r="2540" b="1270"/>
            <wp:docPr id="57" name="Picture 57" descr="P22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P2234#yIS1"/>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5029"/>
                    </a:xfrm>
                    <a:prstGeom prst="rect">
                      <a:avLst/>
                    </a:prstGeom>
                  </pic:spPr>
                </pic:pic>
              </a:graphicData>
            </a:graphic>
          </wp:inline>
        </w:drawing>
      </w:r>
    </w:p>
    <w:p w14:paraId="468DE681" w14:textId="5BD31332" w:rsidR="00676868" w:rsidRDefault="00D92FD0" w:rsidP="00DC1A8D">
      <w:pPr>
        <w:pStyle w:val="Caption"/>
        <w:spacing w:before="120" w:after="60"/>
        <w:jc w:val="both"/>
      </w:pPr>
      <w:bookmarkStart w:id="52" w:name="_Ref54021198"/>
      <w:r>
        <w:t xml:space="preserve">Figure </w:t>
      </w:r>
      <w:r w:rsidR="00BF3F75">
        <w:fldChar w:fldCharType="begin"/>
      </w:r>
      <w:r w:rsidR="00BF3F75">
        <w:instrText xml:space="preserve"> SEQ Figure \* ARABIC </w:instrText>
      </w:r>
      <w:r w:rsidR="00BF3F75">
        <w:fldChar w:fldCharType="separate"/>
      </w:r>
      <w:r w:rsidR="00EC5CC7">
        <w:rPr>
          <w:noProof/>
        </w:rPr>
        <w:t>3</w:t>
      </w:r>
      <w:r w:rsidR="00BF3F75">
        <w:rPr>
          <w:noProof/>
        </w:rPr>
        <w:fldChar w:fldCharType="end"/>
      </w:r>
      <w:bookmarkEnd w:id="52"/>
      <w:r>
        <w:t xml:space="preserve">: </w:t>
      </w:r>
      <w:r w:rsidRPr="0086611F">
        <w:t>Results of smoking cessation f</w:t>
      </w:r>
      <w:r w:rsidR="00FD165D">
        <w:t>or</w:t>
      </w:r>
      <w:r w:rsidRPr="0086611F">
        <w:t xml:space="preserve"> at least six months follow-up </w:t>
      </w:r>
      <w:r w:rsidR="000B1A39">
        <w:t>based on updated re-analysis</w:t>
      </w:r>
      <w:r w:rsidRPr="0086611F">
        <w:t xml:space="preserve">, </w:t>
      </w:r>
      <w:r>
        <w:t>varenicline</w:t>
      </w:r>
      <w:r w:rsidRPr="0086611F">
        <w:t xml:space="preserve"> versus placebo</w:t>
      </w:r>
    </w:p>
    <w:p w14:paraId="2D207308" w14:textId="4859D143" w:rsidR="00D041F9" w:rsidRDefault="00D041F9" w:rsidP="00DC1A8D">
      <w:pPr>
        <w:pStyle w:val="FigureFooter"/>
        <w:jc w:val="both"/>
      </w:pPr>
      <w:r>
        <w:t>Source: Cahill et al. (2016)</w:t>
      </w:r>
      <w:r w:rsidR="007311AE">
        <w:t>,</w:t>
      </w:r>
      <w:r w:rsidR="007311AE" w:rsidRPr="007311AE">
        <w:rPr>
          <w:rFonts w:eastAsia="MS Mincho"/>
        </w:rPr>
        <w:t xml:space="preserve"> </w:t>
      </w:r>
      <w:r w:rsidR="007311AE">
        <w:rPr>
          <w:rFonts w:eastAsia="MS Mincho"/>
        </w:rPr>
        <w:t>Lerman</w:t>
      </w:r>
      <w:r w:rsidR="007311AE">
        <w:t xml:space="preserve"> et al. (</w:t>
      </w:r>
      <w:r w:rsidR="007311AE" w:rsidRPr="009E22A2">
        <w:rPr>
          <w:rFonts w:eastAsia="MS Mincho"/>
        </w:rPr>
        <w:t>2015</w:t>
      </w:r>
      <w:r w:rsidR="007311AE">
        <w:rPr>
          <w:rFonts w:eastAsia="MS Mincho"/>
        </w:rPr>
        <w:t>)</w:t>
      </w:r>
      <w:r w:rsidR="007311AE" w:rsidRPr="009E22A2">
        <w:rPr>
          <w:rFonts w:eastAsia="MS Mincho"/>
        </w:rPr>
        <w:t>,</w:t>
      </w:r>
      <w:r w:rsidR="006E35C8">
        <w:rPr>
          <w:rFonts w:eastAsia="MS Mincho"/>
        </w:rPr>
        <w:t xml:space="preserve"> Littlewood et al. (2017),</w:t>
      </w:r>
      <w:r w:rsidR="007311AE" w:rsidRPr="009E22A2">
        <w:rPr>
          <w:rFonts w:eastAsia="MS Mincho"/>
        </w:rPr>
        <w:t xml:space="preserve"> Hurt </w:t>
      </w:r>
      <w:r w:rsidR="007311AE">
        <w:rPr>
          <w:rFonts w:eastAsia="MS Mincho"/>
        </w:rPr>
        <w:t>et al. (</w:t>
      </w:r>
      <w:r w:rsidR="007311AE" w:rsidRPr="009E22A2">
        <w:rPr>
          <w:rFonts w:eastAsia="MS Mincho"/>
        </w:rPr>
        <w:t>2018</w:t>
      </w:r>
      <w:r w:rsidR="007311AE">
        <w:rPr>
          <w:rFonts w:eastAsia="MS Mincho"/>
        </w:rPr>
        <w:t>)</w:t>
      </w:r>
      <w:r w:rsidR="007311AE" w:rsidRPr="009E22A2">
        <w:rPr>
          <w:rFonts w:eastAsia="MS Mincho"/>
        </w:rPr>
        <w:t>, Windle</w:t>
      </w:r>
      <w:r w:rsidR="007311AE">
        <w:rPr>
          <w:rFonts w:eastAsia="MS Mincho"/>
        </w:rPr>
        <w:t xml:space="preserve"> et al. (</w:t>
      </w:r>
      <w:r w:rsidR="007311AE" w:rsidRPr="009E22A2">
        <w:rPr>
          <w:rFonts w:eastAsia="MS Mincho"/>
        </w:rPr>
        <w:t>2018</w:t>
      </w:r>
      <w:r w:rsidR="007311AE">
        <w:rPr>
          <w:rFonts w:eastAsia="MS Mincho"/>
        </w:rPr>
        <w:t>)</w:t>
      </w:r>
      <w:r w:rsidR="007311AE" w:rsidRPr="009E22A2">
        <w:rPr>
          <w:rFonts w:eastAsia="MS Mincho"/>
        </w:rPr>
        <w:t xml:space="preserve">, </w:t>
      </w:r>
      <w:r w:rsidR="00522C6F">
        <w:rPr>
          <w:rFonts w:eastAsia="MS Mincho"/>
        </w:rPr>
        <w:t xml:space="preserve">Mercie et al. (2018), </w:t>
      </w:r>
      <w:r w:rsidR="007311AE" w:rsidRPr="009E22A2">
        <w:rPr>
          <w:rFonts w:eastAsia="MS Mincho"/>
        </w:rPr>
        <w:t xml:space="preserve">Ashare </w:t>
      </w:r>
      <w:r w:rsidR="007311AE">
        <w:rPr>
          <w:rFonts w:eastAsia="MS Mincho"/>
        </w:rPr>
        <w:t>et al. (</w:t>
      </w:r>
      <w:r w:rsidR="007311AE" w:rsidRPr="009E22A2">
        <w:rPr>
          <w:rFonts w:eastAsia="MS Mincho"/>
        </w:rPr>
        <w:t>2019</w:t>
      </w:r>
      <w:r w:rsidR="007311AE">
        <w:rPr>
          <w:rFonts w:eastAsia="MS Mincho"/>
        </w:rPr>
        <w:t>)</w:t>
      </w:r>
      <w:r w:rsidR="007311AE" w:rsidRPr="009E22A2">
        <w:rPr>
          <w:rFonts w:eastAsia="MS Mincho"/>
        </w:rPr>
        <w:t xml:space="preserve">, Chen </w:t>
      </w:r>
      <w:r w:rsidR="007311AE">
        <w:rPr>
          <w:rFonts w:eastAsia="MS Mincho"/>
        </w:rPr>
        <w:t>et al. (</w:t>
      </w:r>
      <w:r w:rsidR="007311AE" w:rsidRPr="009E22A2">
        <w:rPr>
          <w:rFonts w:eastAsia="MS Mincho"/>
        </w:rPr>
        <w:t>2020</w:t>
      </w:r>
      <w:r w:rsidR="007311AE">
        <w:rPr>
          <w:rFonts w:eastAsia="MS Mincho"/>
        </w:rPr>
        <w:t>)</w:t>
      </w:r>
    </w:p>
    <w:p w14:paraId="34170773" w14:textId="7A0107BC" w:rsidR="00D041F9" w:rsidRDefault="00D041F9" w:rsidP="00DC1A8D">
      <w:pPr>
        <w:pStyle w:val="FigureFooter"/>
        <w:jc w:val="both"/>
      </w:pPr>
      <w:r w:rsidRPr="00D041F9">
        <w:t>Abbreviations: CI = confidence interval</w:t>
      </w:r>
    </w:p>
    <w:p w14:paraId="735D7A2B" w14:textId="0B312C1F" w:rsidR="00D77C02" w:rsidRPr="00D77C02" w:rsidRDefault="005D1283" w:rsidP="00DC1A8D">
      <w:pPr>
        <w:pStyle w:val="FigureFooter"/>
        <w:jc w:val="both"/>
      </w:pPr>
      <w:r>
        <w:t xml:space="preserve">Note: </w:t>
      </w:r>
      <w:r w:rsidR="00826256">
        <w:t xml:space="preserve">A sensitivity analysis </w:t>
      </w:r>
      <w:r w:rsidR="00FB4D2E">
        <w:t>was conducted during the review by removing Gonzales et al. (2014)</w:t>
      </w:r>
      <w:r w:rsidR="004E1AA6">
        <w:t xml:space="preserve">, a retreatment study in </w:t>
      </w:r>
      <w:r w:rsidR="00B60B5D">
        <w:t xml:space="preserve">patients who had previously </w:t>
      </w:r>
      <w:r w:rsidR="000E1409">
        <w:t>had an unsuccessful quit attempt with</w:t>
      </w:r>
      <w:r w:rsidR="00B60B5D">
        <w:t xml:space="preserve"> varenicline. </w:t>
      </w:r>
      <w:r w:rsidR="00075A28">
        <w:t xml:space="preserve">The results remained statistically significant </w:t>
      </w:r>
      <w:r w:rsidR="00A65E7A">
        <w:t>in favour of varenicline</w:t>
      </w:r>
      <w:r w:rsidR="0012191D">
        <w:t xml:space="preserve">; </w:t>
      </w:r>
      <w:r w:rsidR="00075A28">
        <w:t>RR</w:t>
      </w:r>
      <w:r w:rsidR="00AC180C">
        <w:t xml:space="preserve"> =</w:t>
      </w:r>
      <w:r w:rsidR="0012191D">
        <w:t xml:space="preserve"> 2</w:t>
      </w:r>
      <w:r w:rsidR="00075A28">
        <w:t>.0</w:t>
      </w:r>
      <w:r w:rsidR="005B0DA9">
        <w:t>9</w:t>
      </w:r>
      <w:r w:rsidR="00075A28">
        <w:t xml:space="preserve"> (</w:t>
      </w:r>
      <w:r w:rsidR="00A65E7A">
        <w:t>1.</w:t>
      </w:r>
      <w:r w:rsidR="005B0DA9">
        <w:t>8</w:t>
      </w:r>
      <w:r w:rsidR="004D075C">
        <w:t>3</w:t>
      </w:r>
      <w:r w:rsidR="00A65E7A">
        <w:t>, 2.</w:t>
      </w:r>
      <w:r w:rsidR="004D075C">
        <w:t>39</w:t>
      </w:r>
      <w:r w:rsidR="00A65E7A">
        <w:t>)</w:t>
      </w:r>
      <w:r w:rsidR="004536BC">
        <w:t>, RD</w:t>
      </w:r>
      <w:r w:rsidR="00AC180C">
        <w:t xml:space="preserve"> =</w:t>
      </w:r>
      <w:r w:rsidR="004536BC">
        <w:t xml:space="preserve"> 0.1</w:t>
      </w:r>
      <w:r w:rsidR="002255E5">
        <w:t>2</w:t>
      </w:r>
      <w:r w:rsidR="004536BC">
        <w:t xml:space="preserve"> (0.10, 0.15)</w:t>
      </w:r>
      <w:r w:rsidR="0012191D">
        <w:t>.</w:t>
      </w:r>
    </w:p>
    <w:p w14:paraId="37BE7F9E" w14:textId="5CB350A6" w:rsidR="00936534" w:rsidRPr="0073597F" w:rsidRDefault="00936534" w:rsidP="00BB24D6">
      <w:pPr>
        <w:spacing w:after="120"/>
        <w:jc w:val="both"/>
        <w:rPr>
          <w:u w:val="single"/>
        </w:rPr>
      </w:pPr>
      <w:r w:rsidRPr="0073597F">
        <w:rPr>
          <w:u w:val="single"/>
        </w:rPr>
        <w:lastRenderedPageBreak/>
        <w:t>Safety</w:t>
      </w:r>
    </w:p>
    <w:p w14:paraId="444DFBC0" w14:textId="1A48D482" w:rsidR="004803EB" w:rsidRDefault="009F3ED5" w:rsidP="00BB24D6">
      <w:pPr>
        <w:spacing w:after="120"/>
        <w:jc w:val="both"/>
      </w:pPr>
      <w:r w:rsidRPr="009F3ED5">
        <w:t xml:space="preserve">A summary of key adverse events is presented in </w:t>
      </w:r>
      <w:r>
        <w:fldChar w:fldCharType="begin" w:fldLock="1"/>
      </w:r>
      <w:r>
        <w:instrText xml:space="preserve"> REF _Ref54088071 \h </w:instrText>
      </w:r>
      <w:r>
        <w:fldChar w:fldCharType="separate"/>
      </w:r>
      <w:r w:rsidR="00EC5CC7">
        <w:t xml:space="preserve">Table </w:t>
      </w:r>
      <w:r w:rsidR="00EC5CC7">
        <w:rPr>
          <w:noProof/>
        </w:rPr>
        <w:t>16</w:t>
      </w:r>
      <w:r>
        <w:fldChar w:fldCharType="end"/>
      </w:r>
      <w:r w:rsidRPr="009F3ED5">
        <w:t xml:space="preserve">. Based on the meta-analysis conducted by </w:t>
      </w:r>
      <w:r w:rsidR="004F3845">
        <w:t>Cahill</w:t>
      </w:r>
      <w:r w:rsidRPr="009F3ED5">
        <w:t xml:space="preserve"> et al. (20</w:t>
      </w:r>
      <w:r w:rsidR="004F3845">
        <w:t>16</w:t>
      </w:r>
      <w:r w:rsidRPr="009F3ED5">
        <w:t xml:space="preserve">), </w:t>
      </w:r>
      <w:r w:rsidR="00165B1E">
        <w:t>a significantly higher</w:t>
      </w:r>
      <w:r w:rsidRPr="009F3ED5">
        <w:t xml:space="preserve"> proportion of patients</w:t>
      </w:r>
      <w:r w:rsidR="00311D78">
        <w:t xml:space="preserve"> in the varenicline arm</w:t>
      </w:r>
      <w:r w:rsidRPr="009F3ED5">
        <w:t xml:space="preserve"> experienc</w:t>
      </w:r>
      <w:r w:rsidR="00FE61C8">
        <w:t xml:space="preserve">ed adverse </w:t>
      </w:r>
      <w:r w:rsidR="00C52478">
        <w:t>event</w:t>
      </w:r>
      <w:r w:rsidR="001047F3">
        <w:t>s</w:t>
      </w:r>
      <w:r w:rsidR="00C52478">
        <w:t xml:space="preserve"> </w:t>
      </w:r>
      <w:r w:rsidR="001047F3">
        <w:t>(</w:t>
      </w:r>
      <w:r w:rsidR="004803EB">
        <w:t xml:space="preserve">nausea, insomnia, abnormal dreams, </w:t>
      </w:r>
      <w:r w:rsidR="00777459">
        <w:t>and headache</w:t>
      </w:r>
      <w:r w:rsidR="001047F3">
        <w:t xml:space="preserve">) and </w:t>
      </w:r>
      <w:r w:rsidR="00362FB7">
        <w:t xml:space="preserve">serious adverse events compared </w:t>
      </w:r>
      <w:r w:rsidR="00795C96">
        <w:t>to patients in the placebo arm.</w:t>
      </w:r>
      <w:r w:rsidR="00AC40C7">
        <w:t xml:space="preserve"> </w:t>
      </w:r>
      <w:r w:rsidR="0030696E">
        <w:t xml:space="preserve">There were no statistically significant differences </w:t>
      </w:r>
      <w:r w:rsidR="009D238B">
        <w:t xml:space="preserve">between the two treatment arms </w:t>
      </w:r>
      <w:r w:rsidR="0030696E">
        <w:t xml:space="preserve">for </w:t>
      </w:r>
      <w:r w:rsidR="00E364D3">
        <w:t xml:space="preserve">depression, suicidal ideation, </w:t>
      </w:r>
      <w:r w:rsidR="0030696E">
        <w:t xml:space="preserve">neuropsychiatric </w:t>
      </w:r>
      <w:r w:rsidR="00B171DA">
        <w:t xml:space="preserve">serious adverse </w:t>
      </w:r>
      <w:r w:rsidR="004C4EA7">
        <w:t>events,</w:t>
      </w:r>
      <w:r w:rsidR="0030696E">
        <w:t xml:space="preserve"> and cardiac serious adverse events.</w:t>
      </w:r>
      <w:r w:rsidR="008823BF">
        <w:t xml:space="preserve"> </w:t>
      </w:r>
      <w:r w:rsidR="008823BF" w:rsidRPr="001839B8">
        <w:t>The PBAC ha</w:t>
      </w:r>
      <w:r w:rsidR="00750274">
        <w:t>d</w:t>
      </w:r>
      <w:r w:rsidR="008823BF" w:rsidRPr="001839B8">
        <w:t xml:space="preserve"> previously considered that varenicline was inferior to</w:t>
      </w:r>
      <w:r w:rsidR="008823BF">
        <w:t xml:space="preserve"> </w:t>
      </w:r>
      <w:r w:rsidR="008823BF" w:rsidRPr="001839B8">
        <w:t xml:space="preserve">placebo with regards to safety. </w:t>
      </w:r>
      <w:r w:rsidR="00754185">
        <w:t>However</w:t>
      </w:r>
      <w:r w:rsidR="008823BF" w:rsidRPr="001839B8">
        <w:t xml:space="preserve">, </w:t>
      </w:r>
      <w:r w:rsidR="008823BF">
        <w:t>the PBAC considered t</w:t>
      </w:r>
      <w:r w:rsidR="008823BF" w:rsidRPr="001839B8">
        <w:t>hat varenicline was</w:t>
      </w:r>
      <w:r w:rsidR="008823BF">
        <w:t xml:space="preserve"> </w:t>
      </w:r>
      <w:r w:rsidR="008823BF" w:rsidRPr="001839B8">
        <w:t>likely to be non-inferior to placebo</w:t>
      </w:r>
      <w:r w:rsidR="0085145C">
        <w:t xml:space="preserve"> in terms of neuropsychiatric </w:t>
      </w:r>
      <w:r w:rsidR="00491FF4">
        <w:t>safety profile</w:t>
      </w:r>
      <w:r w:rsidR="00754185" w:rsidRPr="00754185">
        <w:t xml:space="preserve"> </w:t>
      </w:r>
      <w:r w:rsidR="00754185">
        <w:t>b</w:t>
      </w:r>
      <w:r w:rsidR="00754185" w:rsidRPr="001839B8">
        <w:t xml:space="preserve">ased on the </w:t>
      </w:r>
      <w:r w:rsidR="00754185">
        <w:t>EAGLES (2016) study</w:t>
      </w:r>
      <w:r w:rsidR="00754185" w:rsidRPr="001839B8">
        <w:t xml:space="preserve"> presented</w:t>
      </w:r>
      <w:r w:rsidR="00754185">
        <w:t xml:space="preserve"> in November 2016</w:t>
      </w:r>
      <w:r w:rsidR="008823BF">
        <w:t xml:space="preserve"> (</w:t>
      </w:r>
      <w:r w:rsidR="008823BF" w:rsidRPr="00491FF4">
        <w:t>Varenicline PSD, November 2016 PBAC meeting</w:t>
      </w:r>
      <w:r w:rsidR="008823BF">
        <w:t>).</w:t>
      </w:r>
    </w:p>
    <w:p w14:paraId="244C2A3F" w14:textId="47E88FDC" w:rsidR="007C4F5E" w:rsidRDefault="008B07E6" w:rsidP="00BB24D6">
      <w:pPr>
        <w:spacing w:after="120"/>
        <w:jc w:val="both"/>
      </w:pPr>
      <w:r>
        <w:t xml:space="preserve">In Cahill et al. (2016), studies assessing extended </w:t>
      </w:r>
      <w:r w:rsidR="00EF2B4B">
        <w:t xml:space="preserve">varenicline </w:t>
      </w:r>
      <w:r>
        <w:t xml:space="preserve">treatment </w:t>
      </w:r>
      <w:r w:rsidR="001C6D3F">
        <w:t>(</w:t>
      </w:r>
      <w:r w:rsidR="004C4EA7">
        <w:t>i.e.,</w:t>
      </w:r>
      <w:r w:rsidR="001C6D3F">
        <w:t xml:space="preserve"> greater than standard 12 weeks therapy) </w:t>
      </w:r>
      <w:r w:rsidR="00EF2B4B">
        <w:t xml:space="preserve">were excluded from the main efficacy analysis but </w:t>
      </w:r>
      <w:r w:rsidR="00C0064F">
        <w:t xml:space="preserve">were </w:t>
      </w:r>
      <w:r w:rsidR="00EF2B4B">
        <w:t>included in the safety analysis</w:t>
      </w:r>
      <w:r w:rsidR="00ED1AE9">
        <w:t xml:space="preserve"> (</w:t>
      </w:r>
      <w:r w:rsidR="00ED1AE9" w:rsidRPr="00ED1AE9">
        <w:t xml:space="preserve">NCT00828113, Williams 2007, Stein 2013, </w:t>
      </w:r>
      <w:r w:rsidR="00777459" w:rsidRPr="00ED1AE9">
        <w:t>and Ebbert</w:t>
      </w:r>
      <w:r w:rsidR="00ED1AE9" w:rsidRPr="00ED1AE9">
        <w:t xml:space="preserve"> 2015</w:t>
      </w:r>
      <w:r w:rsidR="001C6D3F">
        <w:t xml:space="preserve">). </w:t>
      </w:r>
      <w:r w:rsidR="004C63D2">
        <w:t xml:space="preserve">As the use of varenicline in these studies </w:t>
      </w:r>
      <w:r w:rsidR="00E47F7A">
        <w:t>wa</w:t>
      </w:r>
      <w:r w:rsidR="00E57ABA">
        <w:t>s not consistent with</w:t>
      </w:r>
      <w:r w:rsidR="004C63D2">
        <w:t xml:space="preserve"> the Australian </w:t>
      </w:r>
      <w:r w:rsidR="00E57ABA">
        <w:t>setting</w:t>
      </w:r>
      <w:r w:rsidR="004C63D2">
        <w:t>,</w:t>
      </w:r>
      <w:r w:rsidR="00024470">
        <w:t xml:space="preserve"> these studies were excluded from the updated re-analysis. In addition, the study by Evins et al. (2014)</w:t>
      </w:r>
      <w:r w:rsidR="00E57ABA">
        <w:t xml:space="preserve"> </w:t>
      </w:r>
      <w:r w:rsidR="00024470">
        <w:t xml:space="preserve">was excluded </w:t>
      </w:r>
      <w:r w:rsidR="00A31D93">
        <w:t>because varenicline was administered continuously over 52 weeks.</w:t>
      </w:r>
      <w:r w:rsidR="004C63D2">
        <w:t xml:space="preserve"> </w:t>
      </w:r>
    </w:p>
    <w:p w14:paraId="6AA2E20D" w14:textId="10FBBB46" w:rsidR="0090659E" w:rsidRDefault="00F14F28" w:rsidP="00BB24D6">
      <w:pPr>
        <w:spacing w:after="120"/>
        <w:jc w:val="both"/>
      </w:pPr>
      <w:r w:rsidRPr="00F14F28">
        <w:t>The results of the updated re-analysis were consistent with the results from Cahill et al. (2016)</w:t>
      </w:r>
      <w:r w:rsidR="00AF5502">
        <w:t>, except for adverse event (headache) and serious adverse events which were no longer statistically significant</w:t>
      </w:r>
      <w:r w:rsidR="0086767C">
        <w:t>. T</w:t>
      </w:r>
      <w:r w:rsidR="00C33D83">
        <w:t>h</w:t>
      </w:r>
      <w:r w:rsidR="00D05306">
        <w:t>e proportion of patients experiencing these events w</w:t>
      </w:r>
      <w:r w:rsidR="003D72F6">
        <w:t>as</w:t>
      </w:r>
      <w:r w:rsidR="0086767C">
        <w:t xml:space="preserve"> observed to be</w:t>
      </w:r>
      <w:r w:rsidR="00D05306">
        <w:t xml:space="preserve"> numerically higher in the varenicline arm</w:t>
      </w:r>
      <w:r w:rsidR="0086767C">
        <w:t xml:space="preserve"> compared </w:t>
      </w:r>
      <w:r w:rsidR="00102D26">
        <w:t>to patients in the placebo arm</w:t>
      </w:r>
      <w:r w:rsidR="00AF5502">
        <w:t xml:space="preserve">. </w:t>
      </w:r>
    </w:p>
    <w:p w14:paraId="082EABC5" w14:textId="2990A2C6" w:rsidR="009963EB" w:rsidRDefault="009963EB" w:rsidP="00BB24D6">
      <w:pPr>
        <w:pStyle w:val="Caption"/>
        <w:keepNext/>
        <w:spacing w:before="120" w:after="120"/>
        <w:jc w:val="both"/>
      </w:pPr>
      <w:bookmarkStart w:id="53" w:name="_Ref54088071"/>
      <w:r>
        <w:t xml:space="preserve">Table </w:t>
      </w:r>
      <w:r>
        <w:fldChar w:fldCharType="begin"/>
      </w:r>
      <w:r>
        <w:instrText>SEQ Table \* ARABIC</w:instrText>
      </w:r>
      <w:r>
        <w:fldChar w:fldCharType="separate"/>
      </w:r>
      <w:r w:rsidR="00EC5CC7">
        <w:rPr>
          <w:noProof/>
        </w:rPr>
        <w:t>16</w:t>
      </w:r>
      <w:r>
        <w:fldChar w:fldCharType="end"/>
      </w:r>
      <w:bookmarkEnd w:id="53"/>
      <w:r>
        <w:t xml:space="preserve">: </w:t>
      </w:r>
      <w:r w:rsidRPr="00C262CA">
        <w:t xml:space="preserve">Summary of </w:t>
      </w:r>
      <w:r w:rsidR="00A038AD">
        <w:t xml:space="preserve">key </w:t>
      </w:r>
      <w:r w:rsidRPr="00C262CA">
        <w:t xml:space="preserve">adverse events, </w:t>
      </w:r>
      <w:r>
        <w:t>varenicline</w:t>
      </w:r>
      <w:r w:rsidRPr="00C262CA">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1005"/>
        <w:gridCol w:w="1673"/>
        <w:gridCol w:w="1533"/>
        <w:gridCol w:w="1116"/>
        <w:gridCol w:w="1177"/>
        <w:gridCol w:w="1257"/>
        <w:gridCol w:w="1255"/>
      </w:tblGrid>
      <w:tr w:rsidR="00936534" w:rsidRPr="00061F78" w14:paraId="2A6B5F6E" w14:textId="77777777" w:rsidTr="00BB24D6">
        <w:trPr>
          <w:cantSplit/>
          <w:trHeight w:val="299"/>
          <w:tblHeader/>
        </w:trPr>
        <w:tc>
          <w:tcPr>
            <w:tcW w:w="557" w:type="pct"/>
            <w:shd w:val="clear" w:color="auto" w:fill="BFBFBF" w:themeFill="background1" w:themeFillShade="BF"/>
            <w:tcMar>
              <w:left w:w="28" w:type="dxa"/>
              <w:right w:w="28" w:type="dxa"/>
            </w:tcMar>
          </w:tcPr>
          <w:p w14:paraId="01393C50" w14:textId="06C94BAF" w:rsidR="00936534" w:rsidRPr="00061F78" w:rsidRDefault="00126B7B" w:rsidP="00723730">
            <w:pPr>
              <w:pStyle w:val="Tableheading"/>
              <w:rPr>
                <w:rFonts w:eastAsia="MS Mincho"/>
              </w:rPr>
            </w:pPr>
            <w:r>
              <w:rPr>
                <w:rFonts w:eastAsia="MS Mincho"/>
              </w:rPr>
              <w:t>Study</w:t>
            </w:r>
          </w:p>
        </w:tc>
        <w:tc>
          <w:tcPr>
            <w:tcW w:w="928" w:type="pct"/>
            <w:shd w:val="clear" w:color="auto" w:fill="BFBFBF" w:themeFill="background1" w:themeFillShade="BF"/>
            <w:vAlign w:val="center"/>
          </w:tcPr>
          <w:p w14:paraId="0BCB8BD4" w14:textId="77777777" w:rsidR="00936534" w:rsidRDefault="00936534" w:rsidP="00723730">
            <w:pPr>
              <w:pStyle w:val="Tableheading"/>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1ABFF16D" w14:textId="6844332D" w:rsidR="00936534" w:rsidRPr="00A038AD" w:rsidRDefault="0047506F" w:rsidP="00723730">
            <w:pPr>
              <w:pStyle w:val="Tableheading"/>
              <w:jc w:val="center"/>
              <w:rPr>
                <w:rFonts w:eastAsia="MS Mincho"/>
                <w:vertAlign w:val="superscript"/>
              </w:rPr>
            </w:pPr>
            <w:r>
              <w:rPr>
                <w:rFonts w:eastAsia="MS Mincho"/>
              </w:rPr>
              <w:t>Previously considered studies included</w:t>
            </w:r>
            <w:r w:rsidR="00A038AD">
              <w:rPr>
                <w:rFonts w:eastAsia="MS Mincho"/>
                <w:vertAlign w:val="superscript"/>
              </w:rPr>
              <w:t>1</w:t>
            </w:r>
          </w:p>
        </w:tc>
        <w:tc>
          <w:tcPr>
            <w:tcW w:w="619" w:type="pct"/>
            <w:shd w:val="clear" w:color="auto" w:fill="BFBFBF" w:themeFill="background1" w:themeFillShade="BF"/>
            <w:tcMar>
              <w:left w:w="28" w:type="dxa"/>
              <w:right w:w="28" w:type="dxa"/>
            </w:tcMar>
            <w:vAlign w:val="center"/>
          </w:tcPr>
          <w:p w14:paraId="509DA46C" w14:textId="5F41434A" w:rsidR="00936534" w:rsidRPr="00061F78" w:rsidRDefault="0047506F" w:rsidP="00723730">
            <w:pPr>
              <w:pStyle w:val="Tableheading"/>
              <w:jc w:val="center"/>
              <w:rPr>
                <w:rFonts w:eastAsia="MS Mincho"/>
              </w:rPr>
            </w:pPr>
            <w:r>
              <w:rPr>
                <w:rFonts w:eastAsia="MS Mincho"/>
              </w:rPr>
              <w:t>Varenicline</w:t>
            </w:r>
          </w:p>
        </w:tc>
        <w:tc>
          <w:tcPr>
            <w:tcW w:w="653" w:type="pct"/>
            <w:shd w:val="clear" w:color="auto" w:fill="BFBFBF" w:themeFill="background1" w:themeFillShade="BF"/>
            <w:tcMar>
              <w:left w:w="28" w:type="dxa"/>
              <w:right w:w="28" w:type="dxa"/>
            </w:tcMar>
            <w:vAlign w:val="center"/>
          </w:tcPr>
          <w:p w14:paraId="4AB99FCF" w14:textId="78CFF79D" w:rsidR="00936534" w:rsidRPr="00061F78" w:rsidRDefault="0047506F" w:rsidP="00723730">
            <w:pPr>
              <w:pStyle w:val="Tableheading"/>
              <w:jc w:val="center"/>
              <w:rPr>
                <w:rFonts w:eastAsia="MS Mincho"/>
              </w:rPr>
            </w:pPr>
            <w:r w:rsidRPr="00061F78">
              <w:rPr>
                <w:rFonts w:eastAsia="MS Mincho"/>
              </w:rPr>
              <w:t>Placebo</w:t>
            </w:r>
          </w:p>
        </w:tc>
        <w:tc>
          <w:tcPr>
            <w:tcW w:w="697" w:type="pct"/>
            <w:shd w:val="clear" w:color="auto" w:fill="BFBFBF" w:themeFill="background1" w:themeFillShade="BF"/>
            <w:tcMar>
              <w:left w:w="28" w:type="dxa"/>
              <w:right w:w="28" w:type="dxa"/>
            </w:tcMar>
            <w:vAlign w:val="center"/>
          </w:tcPr>
          <w:p w14:paraId="4E349ED1" w14:textId="45D5615C" w:rsidR="00936534" w:rsidRPr="00D468CF" w:rsidRDefault="00936534" w:rsidP="00723730">
            <w:pPr>
              <w:pStyle w:val="Tableheading"/>
              <w:jc w:val="center"/>
              <w:rPr>
                <w:rFonts w:eastAsia="MS Mincho"/>
                <w:vertAlign w:val="superscript"/>
              </w:rPr>
            </w:pPr>
            <w:r>
              <w:rPr>
                <w:rFonts w:eastAsia="MS Mincho"/>
              </w:rPr>
              <w:t>RR (95% CI)</w:t>
            </w:r>
          </w:p>
        </w:tc>
        <w:tc>
          <w:tcPr>
            <w:tcW w:w="696" w:type="pct"/>
            <w:shd w:val="clear" w:color="auto" w:fill="BFBFBF" w:themeFill="background1" w:themeFillShade="BF"/>
            <w:vAlign w:val="center"/>
          </w:tcPr>
          <w:p w14:paraId="53BD90DD" w14:textId="77777777" w:rsidR="00936534" w:rsidRDefault="00936534" w:rsidP="00723730">
            <w:pPr>
              <w:pStyle w:val="Tableheading"/>
              <w:jc w:val="center"/>
              <w:rPr>
                <w:rFonts w:eastAsia="MS Mincho"/>
              </w:rPr>
            </w:pPr>
            <w:r>
              <w:rPr>
                <w:rFonts w:eastAsia="MS Mincho"/>
              </w:rPr>
              <w:t>RD (95% CI)</w:t>
            </w:r>
          </w:p>
        </w:tc>
      </w:tr>
      <w:tr w:rsidR="00936534" w:rsidRPr="00061F78" w14:paraId="3FBA71FF" w14:textId="77777777" w:rsidTr="00BB24D6">
        <w:trPr>
          <w:cantSplit/>
          <w:trHeight w:val="99"/>
        </w:trPr>
        <w:tc>
          <w:tcPr>
            <w:tcW w:w="5000" w:type="pct"/>
            <w:gridSpan w:val="7"/>
            <w:shd w:val="clear" w:color="auto" w:fill="auto"/>
            <w:tcMar>
              <w:left w:w="28" w:type="dxa"/>
              <w:right w:w="28" w:type="dxa"/>
            </w:tcMar>
            <w:vAlign w:val="center"/>
          </w:tcPr>
          <w:p w14:paraId="7438BD13" w14:textId="46C056B2" w:rsidR="00936534" w:rsidRPr="003954C8" w:rsidRDefault="00936534" w:rsidP="00723730">
            <w:pPr>
              <w:pStyle w:val="Tablewriting"/>
              <w:rPr>
                <w:rFonts w:eastAsia="MS Mincho"/>
                <w:b/>
                <w:bCs/>
              </w:rPr>
            </w:pPr>
            <w:r w:rsidRPr="003954C8">
              <w:rPr>
                <w:rFonts w:eastAsia="MS Mincho"/>
                <w:b/>
                <w:bCs/>
              </w:rPr>
              <w:t xml:space="preserve">Adverse event </w:t>
            </w:r>
            <w:r w:rsidR="00EE140C" w:rsidRPr="003954C8">
              <w:rPr>
                <w:rFonts w:eastAsia="MS Mincho"/>
                <w:b/>
                <w:bCs/>
              </w:rPr>
              <w:t>–</w:t>
            </w:r>
            <w:r w:rsidRPr="003954C8">
              <w:rPr>
                <w:rFonts w:eastAsia="MS Mincho"/>
                <w:b/>
                <w:bCs/>
              </w:rPr>
              <w:t xml:space="preserve"> nausea</w:t>
            </w:r>
          </w:p>
        </w:tc>
      </w:tr>
      <w:tr w:rsidR="00936534" w:rsidRPr="00061F78" w14:paraId="68CFF11C" w14:textId="77777777" w:rsidTr="00BB24D6">
        <w:trPr>
          <w:cantSplit/>
          <w:trHeight w:val="149"/>
        </w:trPr>
        <w:tc>
          <w:tcPr>
            <w:tcW w:w="557" w:type="pct"/>
            <w:tcMar>
              <w:left w:w="28" w:type="dxa"/>
              <w:right w:w="28" w:type="dxa"/>
            </w:tcMar>
          </w:tcPr>
          <w:p w14:paraId="4BC8ECBC" w14:textId="71386F2D" w:rsidR="00936534" w:rsidRDefault="00822751" w:rsidP="00723730">
            <w:pPr>
              <w:pStyle w:val="Tablewriting"/>
              <w:rPr>
                <w:rFonts w:eastAsia="MS Mincho"/>
              </w:rPr>
            </w:pPr>
            <w:r>
              <w:rPr>
                <w:rFonts w:eastAsia="MS Mincho"/>
              </w:rPr>
              <w:t>Cahill</w:t>
            </w:r>
            <w:r w:rsidR="00936534" w:rsidRPr="00061F78">
              <w:rPr>
                <w:rFonts w:eastAsia="MS Mincho"/>
              </w:rPr>
              <w:t xml:space="preserve"> </w:t>
            </w:r>
          </w:p>
          <w:p w14:paraId="762EC97A" w14:textId="04C96638" w:rsidR="00936534" w:rsidRPr="00D468CF" w:rsidRDefault="00936534" w:rsidP="00723730">
            <w:pPr>
              <w:pStyle w:val="Tablewriting"/>
              <w:rPr>
                <w:rFonts w:eastAsia="MS Mincho"/>
                <w:vertAlign w:val="superscript"/>
              </w:rPr>
            </w:pPr>
            <w:r w:rsidRPr="00061F78">
              <w:rPr>
                <w:rFonts w:eastAsia="MS Mincho"/>
              </w:rPr>
              <w:t>(20</w:t>
            </w:r>
            <w:r w:rsidR="00822751">
              <w:rPr>
                <w:rFonts w:eastAsia="MS Mincho"/>
              </w:rPr>
              <w:t>16</w:t>
            </w:r>
            <w:r w:rsidRPr="00061F78">
              <w:rPr>
                <w:rFonts w:eastAsia="MS Mincho"/>
              </w:rPr>
              <w:t>)</w:t>
            </w:r>
            <w:r w:rsidR="00037B11">
              <w:rPr>
                <w:rFonts w:eastAsia="MS Mincho"/>
                <w:vertAlign w:val="superscript"/>
              </w:rPr>
              <w:t>2</w:t>
            </w:r>
          </w:p>
        </w:tc>
        <w:tc>
          <w:tcPr>
            <w:tcW w:w="928" w:type="pct"/>
            <w:vAlign w:val="center"/>
          </w:tcPr>
          <w:p w14:paraId="7BF43DB6" w14:textId="77777777" w:rsidR="00936534" w:rsidRDefault="00936534" w:rsidP="00723730">
            <w:pPr>
              <w:pStyle w:val="Tablewriting"/>
              <w:jc w:val="center"/>
              <w:rPr>
                <w:rFonts w:eastAsia="MS Mincho"/>
              </w:rPr>
            </w:pPr>
            <w:r>
              <w:rPr>
                <w:rFonts w:eastAsia="MS Mincho"/>
              </w:rPr>
              <w:t>Cochrane Review (32 RCTs)</w:t>
            </w:r>
          </w:p>
        </w:tc>
        <w:tc>
          <w:tcPr>
            <w:tcW w:w="850" w:type="pct"/>
            <w:vMerge w:val="restart"/>
            <w:tcMar>
              <w:left w:w="28" w:type="dxa"/>
              <w:right w:w="28" w:type="dxa"/>
            </w:tcMar>
            <w:vAlign w:val="center"/>
          </w:tcPr>
          <w:p w14:paraId="63F05AA3" w14:textId="1921F7A9" w:rsidR="00936534" w:rsidRPr="00061F78" w:rsidRDefault="0047506F" w:rsidP="0061135E">
            <w:pPr>
              <w:pStyle w:val="Tablewriting"/>
              <w:jc w:val="center"/>
              <w:rPr>
                <w:rFonts w:eastAsia="MS Mincho"/>
              </w:rPr>
            </w:pPr>
            <w:r>
              <w:rPr>
                <w:rFonts w:eastAsia="MS Mincho"/>
              </w:rPr>
              <w:t>All studies</w:t>
            </w:r>
          </w:p>
        </w:tc>
        <w:tc>
          <w:tcPr>
            <w:tcW w:w="619" w:type="pct"/>
            <w:tcMar>
              <w:left w:w="28" w:type="dxa"/>
              <w:right w:w="28" w:type="dxa"/>
            </w:tcMar>
            <w:vAlign w:val="center"/>
          </w:tcPr>
          <w:p w14:paraId="2E75CB4D" w14:textId="315EAC37" w:rsidR="0047506F" w:rsidRDefault="0047506F" w:rsidP="00723730">
            <w:pPr>
              <w:pStyle w:val="Tablewriting"/>
              <w:jc w:val="center"/>
              <w:rPr>
                <w:rFonts w:eastAsia="MS Mincho"/>
              </w:rPr>
            </w:pPr>
            <w:r>
              <w:rPr>
                <w:rFonts w:eastAsia="MS Mincho"/>
              </w:rPr>
              <w:t>2</w:t>
            </w:r>
            <w:r w:rsidR="00101917">
              <w:rPr>
                <w:rFonts w:eastAsia="MS Mincho"/>
              </w:rPr>
              <w:t>,</w:t>
            </w:r>
            <w:r>
              <w:rPr>
                <w:rFonts w:eastAsia="MS Mincho"/>
              </w:rPr>
              <w:t>207/7,929</w:t>
            </w:r>
          </w:p>
          <w:p w14:paraId="16D2123C" w14:textId="3A0426BA" w:rsidR="00936534" w:rsidRPr="00061F78" w:rsidRDefault="0054410B" w:rsidP="00723730">
            <w:pPr>
              <w:pStyle w:val="Tablewriting"/>
              <w:jc w:val="center"/>
              <w:rPr>
                <w:rFonts w:eastAsia="MS Mincho"/>
              </w:rPr>
            </w:pPr>
            <w:r>
              <w:rPr>
                <w:rFonts w:eastAsia="MS Mincho"/>
              </w:rPr>
              <w:t>(27.8%)</w:t>
            </w:r>
          </w:p>
        </w:tc>
        <w:tc>
          <w:tcPr>
            <w:tcW w:w="653" w:type="pct"/>
            <w:tcMar>
              <w:left w:w="28" w:type="dxa"/>
              <w:right w:w="28" w:type="dxa"/>
            </w:tcMar>
            <w:vAlign w:val="center"/>
          </w:tcPr>
          <w:p w14:paraId="78050656" w14:textId="77777777" w:rsidR="0047506F" w:rsidRDefault="0047506F" w:rsidP="00723730">
            <w:pPr>
              <w:pStyle w:val="Tablewriting"/>
              <w:jc w:val="center"/>
              <w:rPr>
                <w:rFonts w:eastAsia="MS Mincho"/>
              </w:rPr>
            </w:pPr>
            <w:r>
              <w:rPr>
                <w:rFonts w:eastAsia="MS Mincho"/>
              </w:rPr>
              <w:t>596/7,034</w:t>
            </w:r>
          </w:p>
          <w:p w14:paraId="1412344F" w14:textId="53F5FF1C" w:rsidR="00936534" w:rsidRPr="00061F78" w:rsidRDefault="009F38A1" w:rsidP="00723730">
            <w:pPr>
              <w:pStyle w:val="Tablewriting"/>
              <w:jc w:val="center"/>
              <w:rPr>
                <w:rFonts w:eastAsia="MS Mincho"/>
              </w:rPr>
            </w:pPr>
            <w:r>
              <w:rPr>
                <w:rFonts w:eastAsia="MS Mincho"/>
              </w:rPr>
              <w:t>(8.5%)</w:t>
            </w:r>
          </w:p>
        </w:tc>
        <w:tc>
          <w:tcPr>
            <w:tcW w:w="697" w:type="pct"/>
            <w:tcMar>
              <w:left w:w="28" w:type="dxa"/>
              <w:right w:w="28" w:type="dxa"/>
            </w:tcMar>
            <w:vAlign w:val="center"/>
          </w:tcPr>
          <w:p w14:paraId="2A84C5CB" w14:textId="77777777" w:rsidR="00936534" w:rsidRPr="00583196" w:rsidRDefault="00583196" w:rsidP="00723730">
            <w:pPr>
              <w:pStyle w:val="Tablewriting"/>
              <w:jc w:val="center"/>
              <w:rPr>
                <w:rFonts w:eastAsia="MS Mincho"/>
                <w:b/>
                <w:bCs/>
              </w:rPr>
            </w:pPr>
            <w:r w:rsidRPr="00583196">
              <w:rPr>
                <w:rFonts w:eastAsia="MS Mincho"/>
                <w:b/>
                <w:bCs/>
              </w:rPr>
              <w:t>3.27</w:t>
            </w:r>
          </w:p>
          <w:p w14:paraId="196D6A22" w14:textId="2D56C6AD" w:rsidR="00936534" w:rsidRPr="00061F78" w:rsidRDefault="00583196" w:rsidP="00723730">
            <w:pPr>
              <w:pStyle w:val="Tablewriting"/>
              <w:jc w:val="center"/>
              <w:rPr>
                <w:rFonts w:eastAsia="MS Mincho"/>
              </w:rPr>
            </w:pPr>
            <w:r w:rsidRPr="00583196">
              <w:rPr>
                <w:rFonts w:eastAsia="MS Mincho"/>
                <w:b/>
                <w:bCs/>
              </w:rPr>
              <w:t>(3, 3.55)</w:t>
            </w:r>
          </w:p>
        </w:tc>
        <w:tc>
          <w:tcPr>
            <w:tcW w:w="696" w:type="pct"/>
            <w:vAlign w:val="center"/>
          </w:tcPr>
          <w:p w14:paraId="158D4D02" w14:textId="2480E948" w:rsidR="00936534" w:rsidRPr="00061F78" w:rsidRDefault="00037B11" w:rsidP="00723730">
            <w:pPr>
              <w:pStyle w:val="Tablewriting"/>
              <w:jc w:val="center"/>
              <w:rPr>
                <w:rFonts w:eastAsia="MS Mincho"/>
              </w:rPr>
            </w:pPr>
            <w:r>
              <w:rPr>
                <w:rFonts w:eastAsia="MS Mincho"/>
              </w:rPr>
              <w:t>NR</w:t>
            </w:r>
          </w:p>
        </w:tc>
      </w:tr>
      <w:tr w:rsidR="0061135E" w:rsidRPr="00061F78" w14:paraId="434DD8A3" w14:textId="77777777" w:rsidTr="00BB24D6">
        <w:trPr>
          <w:cantSplit/>
          <w:trHeight w:val="149"/>
        </w:trPr>
        <w:tc>
          <w:tcPr>
            <w:tcW w:w="557" w:type="pct"/>
            <w:tcMar>
              <w:left w:w="28" w:type="dxa"/>
              <w:right w:w="28" w:type="dxa"/>
            </w:tcMar>
          </w:tcPr>
          <w:p w14:paraId="1FEF7A75" w14:textId="3D63291E" w:rsidR="0061135E" w:rsidRPr="00037B11" w:rsidRDefault="0061135E" w:rsidP="00723730">
            <w:pPr>
              <w:pStyle w:val="Tablewriting"/>
              <w:rPr>
                <w:rFonts w:eastAsia="MS Mincho"/>
                <w:vertAlign w:val="superscript"/>
              </w:rPr>
            </w:pPr>
            <w:r>
              <w:rPr>
                <w:rFonts w:eastAsia="MS Mincho"/>
              </w:rPr>
              <w:t>Updated re-analysis</w:t>
            </w:r>
            <w:r w:rsidR="00037B11">
              <w:rPr>
                <w:rFonts w:eastAsia="MS Mincho"/>
                <w:vertAlign w:val="superscript"/>
              </w:rPr>
              <w:t>3</w:t>
            </w:r>
          </w:p>
        </w:tc>
        <w:tc>
          <w:tcPr>
            <w:tcW w:w="928" w:type="pct"/>
            <w:vAlign w:val="center"/>
          </w:tcPr>
          <w:p w14:paraId="4139AE6D" w14:textId="031D4DEE" w:rsidR="0061135E" w:rsidRDefault="0061135E" w:rsidP="00723730">
            <w:pPr>
              <w:pStyle w:val="Tablewriting"/>
              <w:jc w:val="center"/>
              <w:rPr>
                <w:rFonts w:eastAsia="MS Mincho"/>
              </w:rPr>
            </w:pPr>
            <w:r>
              <w:rPr>
                <w:rFonts w:eastAsia="MS Mincho"/>
              </w:rPr>
              <w:t>3</w:t>
            </w:r>
            <w:r w:rsidR="00F55C64">
              <w:rPr>
                <w:rFonts w:eastAsia="MS Mincho"/>
              </w:rPr>
              <w:t>0</w:t>
            </w:r>
            <w:r>
              <w:rPr>
                <w:rFonts w:eastAsia="MS Mincho"/>
              </w:rPr>
              <w:t xml:space="preserve"> RCTs</w:t>
            </w:r>
          </w:p>
        </w:tc>
        <w:tc>
          <w:tcPr>
            <w:tcW w:w="850" w:type="pct"/>
            <w:vMerge/>
            <w:tcMar>
              <w:left w:w="28" w:type="dxa"/>
              <w:right w:w="28" w:type="dxa"/>
            </w:tcMar>
            <w:vAlign w:val="center"/>
          </w:tcPr>
          <w:p w14:paraId="5CE54FDB" w14:textId="09607F87" w:rsidR="0061135E" w:rsidRDefault="0061135E" w:rsidP="00723730">
            <w:pPr>
              <w:pStyle w:val="Tablewriting"/>
              <w:jc w:val="center"/>
              <w:rPr>
                <w:rFonts w:eastAsia="MS Mincho"/>
              </w:rPr>
            </w:pPr>
          </w:p>
        </w:tc>
        <w:tc>
          <w:tcPr>
            <w:tcW w:w="619" w:type="pct"/>
            <w:tcMar>
              <w:left w:w="28" w:type="dxa"/>
              <w:right w:w="28" w:type="dxa"/>
            </w:tcMar>
            <w:vAlign w:val="center"/>
          </w:tcPr>
          <w:p w14:paraId="0272473A" w14:textId="214C3DAD" w:rsidR="0061135E" w:rsidRDefault="0061135E" w:rsidP="00723730">
            <w:pPr>
              <w:pStyle w:val="Tablewriting"/>
              <w:jc w:val="center"/>
              <w:rPr>
                <w:rFonts w:eastAsia="MS Mincho"/>
              </w:rPr>
            </w:pPr>
            <w:r>
              <w:rPr>
                <w:rFonts w:eastAsia="MS Mincho"/>
              </w:rPr>
              <w:t>2,</w:t>
            </w:r>
            <w:r w:rsidR="00080E35">
              <w:rPr>
                <w:rFonts w:eastAsia="MS Mincho"/>
              </w:rPr>
              <w:t>208</w:t>
            </w:r>
            <w:r>
              <w:rPr>
                <w:rFonts w:eastAsia="MS Mincho"/>
              </w:rPr>
              <w:t>/</w:t>
            </w:r>
            <w:r w:rsidR="0060147B">
              <w:rPr>
                <w:rFonts w:eastAsia="MS Mincho"/>
              </w:rPr>
              <w:t>7,543</w:t>
            </w:r>
          </w:p>
          <w:p w14:paraId="6435709A" w14:textId="137B0488" w:rsidR="0061135E" w:rsidRDefault="0061135E" w:rsidP="00723730">
            <w:pPr>
              <w:pStyle w:val="Tablewriting"/>
              <w:jc w:val="center"/>
              <w:rPr>
                <w:rFonts w:eastAsia="MS Mincho"/>
              </w:rPr>
            </w:pPr>
            <w:r>
              <w:rPr>
                <w:rFonts w:eastAsia="MS Mincho"/>
              </w:rPr>
              <w:t>(</w:t>
            </w:r>
            <w:r w:rsidR="00AB73DA">
              <w:rPr>
                <w:rFonts w:eastAsia="MS Mincho"/>
              </w:rPr>
              <w:t>29.3</w:t>
            </w:r>
            <w:r w:rsidR="00F3529F">
              <w:rPr>
                <w:rFonts w:eastAsia="MS Mincho"/>
              </w:rPr>
              <w:t>%</w:t>
            </w:r>
            <w:r>
              <w:rPr>
                <w:rFonts w:eastAsia="MS Mincho"/>
              </w:rPr>
              <w:t>)</w:t>
            </w:r>
          </w:p>
        </w:tc>
        <w:tc>
          <w:tcPr>
            <w:tcW w:w="653" w:type="pct"/>
            <w:tcMar>
              <w:left w:w="28" w:type="dxa"/>
              <w:right w:w="28" w:type="dxa"/>
            </w:tcMar>
            <w:vAlign w:val="center"/>
          </w:tcPr>
          <w:p w14:paraId="4C845738" w14:textId="492E7AAC" w:rsidR="0061135E" w:rsidRDefault="0061135E" w:rsidP="00723730">
            <w:pPr>
              <w:pStyle w:val="Tablewriting"/>
              <w:jc w:val="center"/>
              <w:rPr>
                <w:rFonts w:eastAsia="MS Mincho"/>
              </w:rPr>
            </w:pPr>
            <w:r>
              <w:rPr>
                <w:rFonts w:eastAsia="MS Mincho"/>
              </w:rPr>
              <w:t>7</w:t>
            </w:r>
            <w:r w:rsidR="0060147B">
              <w:rPr>
                <w:rFonts w:eastAsia="MS Mincho"/>
              </w:rPr>
              <w:t>01</w:t>
            </w:r>
            <w:r>
              <w:rPr>
                <w:rFonts w:eastAsia="MS Mincho"/>
              </w:rPr>
              <w:t>/</w:t>
            </w:r>
            <w:r w:rsidR="0060147B">
              <w:rPr>
                <w:rFonts w:eastAsia="MS Mincho"/>
              </w:rPr>
              <w:t>6,820</w:t>
            </w:r>
          </w:p>
          <w:p w14:paraId="712DC14C" w14:textId="6CBAD345" w:rsidR="0061135E" w:rsidRDefault="0061135E" w:rsidP="00723730">
            <w:pPr>
              <w:pStyle w:val="Tablewriting"/>
              <w:jc w:val="center"/>
              <w:rPr>
                <w:rFonts w:eastAsia="MS Mincho"/>
              </w:rPr>
            </w:pPr>
            <w:r>
              <w:rPr>
                <w:rFonts w:eastAsia="MS Mincho"/>
              </w:rPr>
              <w:t>(</w:t>
            </w:r>
            <w:r w:rsidR="00447EA3">
              <w:rPr>
                <w:rFonts w:eastAsia="MS Mincho"/>
              </w:rPr>
              <w:t>10.3</w:t>
            </w:r>
            <w:r w:rsidR="00F3529F">
              <w:rPr>
                <w:rFonts w:eastAsia="MS Mincho"/>
              </w:rPr>
              <w:t>%</w:t>
            </w:r>
            <w:r>
              <w:rPr>
                <w:rFonts w:eastAsia="MS Mincho"/>
              </w:rPr>
              <w:t>)</w:t>
            </w:r>
          </w:p>
        </w:tc>
        <w:tc>
          <w:tcPr>
            <w:tcW w:w="697" w:type="pct"/>
            <w:tcMar>
              <w:left w:w="28" w:type="dxa"/>
              <w:right w:w="28" w:type="dxa"/>
            </w:tcMar>
            <w:vAlign w:val="center"/>
          </w:tcPr>
          <w:p w14:paraId="7238DD21" w14:textId="62425A90" w:rsidR="0061135E" w:rsidRDefault="0061135E" w:rsidP="00723730">
            <w:pPr>
              <w:pStyle w:val="Tablewriting"/>
              <w:jc w:val="center"/>
              <w:rPr>
                <w:rFonts w:eastAsia="MS Mincho"/>
                <w:b/>
                <w:bCs/>
              </w:rPr>
            </w:pPr>
            <w:r>
              <w:rPr>
                <w:rFonts w:eastAsia="MS Mincho"/>
                <w:b/>
                <w:bCs/>
              </w:rPr>
              <w:t>2.</w:t>
            </w:r>
            <w:r w:rsidR="0060147B">
              <w:rPr>
                <w:rFonts w:eastAsia="MS Mincho"/>
                <w:b/>
                <w:bCs/>
              </w:rPr>
              <w:t>82</w:t>
            </w:r>
          </w:p>
          <w:p w14:paraId="035D7C65" w14:textId="5603D890" w:rsidR="0061135E" w:rsidRPr="00583196" w:rsidRDefault="0061135E" w:rsidP="00723730">
            <w:pPr>
              <w:pStyle w:val="Tablewriting"/>
              <w:jc w:val="center"/>
              <w:rPr>
                <w:rFonts w:eastAsia="MS Mincho"/>
                <w:b/>
                <w:bCs/>
              </w:rPr>
            </w:pPr>
            <w:r>
              <w:rPr>
                <w:rFonts w:eastAsia="MS Mincho"/>
                <w:b/>
                <w:bCs/>
              </w:rPr>
              <w:t>(2.4</w:t>
            </w:r>
            <w:r w:rsidR="00037022">
              <w:rPr>
                <w:rFonts w:eastAsia="MS Mincho"/>
                <w:b/>
                <w:bCs/>
              </w:rPr>
              <w:t>1</w:t>
            </w:r>
            <w:r>
              <w:rPr>
                <w:rFonts w:eastAsia="MS Mincho"/>
                <w:b/>
                <w:bCs/>
              </w:rPr>
              <w:t>, 3.</w:t>
            </w:r>
            <w:r w:rsidR="00037022">
              <w:rPr>
                <w:rFonts w:eastAsia="MS Mincho"/>
                <w:b/>
                <w:bCs/>
              </w:rPr>
              <w:t>30</w:t>
            </w:r>
            <w:r>
              <w:rPr>
                <w:rFonts w:eastAsia="MS Mincho"/>
                <w:b/>
                <w:bCs/>
              </w:rPr>
              <w:t>)</w:t>
            </w:r>
          </w:p>
        </w:tc>
        <w:tc>
          <w:tcPr>
            <w:tcW w:w="696" w:type="pct"/>
            <w:vAlign w:val="center"/>
          </w:tcPr>
          <w:p w14:paraId="4FC3F734" w14:textId="1B8D4A86" w:rsidR="0061135E" w:rsidRPr="003A43F6" w:rsidRDefault="00D5516B" w:rsidP="00723730">
            <w:pPr>
              <w:pStyle w:val="Tablewriting"/>
              <w:jc w:val="center"/>
              <w:rPr>
                <w:rFonts w:eastAsia="MS Mincho"/>
                <w:b/>
                <w:bCs/>
              </w:rPr>
            </w:pPr>
            <w:r w:rsidRPr="003A43F6">
              <w:rPr>
                <w:rFonts w:eastAsia="MS Mincho"/>
                <w:b/>
                <w:bCs/>
              </w:rPr>
              <w:t>0.1</w:t>
            </w:r>
            <w:r w:rsidR="00037022">
              <w:rPr>
                <w:rFonts w:eastAsia="MS Mincho"/>
                <w:b/>
                <w:bCs/>
              </w:rPr>
              <w:t>9</w:t>
            </w:r>
          </w:p>
          <w:p w14:paraId="3479E4DE" w14:textId="6CF3E6C0" w:rsidR="00D5516B" w:rsidRPr="00061F78" w:rsidRDefault="00D5516B" w:rsidP="00723730">
            <w:pPr>
              <w:pStyle w:val="Tablewriting"/>
              <w:jc w:val="center"/>
              <w:rPr>
                <w:rFonts w:eastAsia="MS Mincho"/>
              </w:rPr>
            </w:pPr>
            <w:r w:rsidRPr="003A43F6">
              <w:rPr>
                <w:rFonts w:eastAsia="MS Mincho"/>
                <w:b/>
                <w:bCs/>
              </w:rPr>
              <w:t>(0.1</w:t>
            </w:r>
            <w:r w:rsidR="00037022">
              <w:rPr>
                <w:rFonts w:eastAsia="MS Mincho"/>
                <w:b/>
                <w:bCs/>
              </w:rPr>
              <w:t>6</w:t>
            </w:r>
            <w:r w:rsidRPr="003A43F6">
              <w:rPr>
                <w:rFonts w:eastAsia="MS Mincho"/>
                <w:b/>
                <w:bCs/>
              </w:rPr>
              <w:t>, 0.2</w:t>
            </w:r>
            <w:r w:rsidR="00037022">
              <w:rPr>
                <w:rFonts w:eastAsia="MS Mincho"/>
                <w:b/>
                <w:bCs/>
              </w:rPr>
              <w:t>2</w:t>
            </w:r>
            <w:r w:rsidRPr="003A43F6">
              <w:rPr>
                <w:rFonts w:eastAsia="MS Mincho"/>
                <w:b/>
                <w:bCs/>
              </w:rPr>
              <w:t>)</w:t>
            </w:r>
          </w:p>
        </w:tc>
      </w:tr>
      <w:tr w:rsidR="008D1773" w:rsidRPr="00061F78" w14:paraId="48AB4772" w14:textId="77777777" w:rsidTr="00BB24D6">
        <w:trPr>
          <w:cantSplit/>
          <w:trHeight w:val="149"/>
        </w:trPr>
        <w:tc>
          <w:tcPr>
            <w:tcW w:w="5000" w:type="pct"/>
            <w:gridSpan w:val="7"/>
            <w:shd w:val="clear" w:color="auto" w:fill="auto"/>
            <w:tcMar>
              <w:left w:w="28" w:type="dxa"/>
              <w:right w:w="28" w:type="dxa"/>
            </w:tcMar>
          </w:tcPr>
          <w:p w14:paraId="16D01B12" w14:textId="57BF8E39" w:rsidR="008D1773" w:rsidRPr="003954C8" w:rsidRDefault="00FD114D" w:rsidP="00723730">
            <w:pPr>
              <w:pStyle w:val="Tablewriting"/>
              <w:rPr>
                <w:rFonts w:eastAsia="MS Mincho"/>
                <w:b/>
                <w:bCs/>
              </w:rPr>
            </w:pPr>
            <w:r w:rsidRPr="003954C8">
              <w:rPr>
                <w:rFonts w:eastAsia="MS Mincho"/>
                <w:b/>
                <w:bCs/>
              </w:rPr>
              <w:t>Adverse event - insomnia</w:t>
            </w:r>
          </w:p>
        </w:tc>
      </w:tr>
      <w:tr w:rsidR="008D1773" w:rsidRPr="00061F78" w14:paraId="3281911D" w14:textId="77777777" w:rsidTr="00BB24D6">
        <w:trPr>
          <w:cantSplit/>
          <w:trHeight w:val="149"/>
        </w:trPr>
        <w:tc>
          <w:tcPr>
            <w:tcW w:w="557" w:type="pct"/>
            <w:tcMar>
              <w:left w:w="28" w:type="dxa"/>
              <w:right w:w="28" w:type="dxa"/>
            </w:tcMar>
          </w:tcPr>
          <w:p w14:paraId="08A21981" w14:textId="77777777" w:rsidR="008D1773" w:rsidRDefault="008D1773" w:rsidP="00037B11">
            <w:pPr>
              <w:pStyle w:val="Tablewriting"/>
              <w:rPr>
                <w:rFonts w:eastAsia="MS Mincho"/>
              </w:rPr>
            </w:pPr>
            <w:r>
              <w:rPr>
                <w:rFonts w:eastAsia="MS Mincho"/>
              </w:rPr>
              <w:t>Cahill</w:t>
            </w:r>
            <w:r w:rsidRPr="00061F78">
              <w:rPr>
                <w:rFonts w:eastAsia="MS Mincho"/>
              </w:rPr>
              <w:t xml:space="preserve"> </w:t>
            </w:r>
          </w:p>
          <w:p w14:paraId="6DE0CC4F" w14:textId="4DB92B0D" w:rsidR="008D1773" w:rsidRDefault="008D1773"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640AE21E" w14:textId="5C3BB1D4" w:rsidR="008D1773" w:rsidRDefault="008D1773" w:rsidP="00037B11">
            <w:pPr>
              <w:pStyle w:val="Tablewriting"/>
              <w:jc w:val="center"/>
              <w:rPr>
                <w:rFonts w:eastAsia="MS Mincho"/>
              </w:rPr>
            </w:pPr>
            <w:r>
              <w:rPr>
                <w:rFonts w:eastAsia="MS Mincho"/>
              </w:rPr>
              <w:t>Cochrane Review (29 RCTs)</w:t>
            </w:r>
          </w:p>
        </w:tc>
        <w:tc>
          <w:tcPr>
            <w:tcW w:w="850" w:type="pct"/>
            <w:vMerge w:val="restart"/>
            <w:tcMar>
              <w:left w:w="28" w:type="dxa"/>
              <w:right w:w="28" w:type="dxa"/>
            </w:tcMar>
            <w:vAlign w:val="center"/>
          </w:tcPr>
          <w:p w14:paraId="109176A3" w14:textId="61CB45D4" w:rsidR="008D1773" w:rsidRDefault="007A3D48" w:rsidP="00037B11">
            <w:pPr>
              <w:pStyle w:val="Tablewriting"/>
              <w:jc w:val="center"/>
              <w:rPr>
                <w:rFonts w:eastAsia="MS Mincho"/>
              </w:rPr>
            </w:pPr>
            <w:r>
              <w:rPr>
                <w:rFonts w:eastAsia="MS Mincho"/>
              </w:rPr>
              <w:t>All studies except Nakamura (2007)</w:t>
            </w:r>
            <w:r w:rsidR="00FD114D">
              <w:rPr>
                <w:rFonts w:eastAsia="MS Mincho"/>
              </w:rPr>
              <w:t xml:space="preserve"> </w:t>
            </w:r>
          </w:p>
        </w:tc>
        <w:tc>
          <w:tcPr>
            <w:tcW w:w="619" w:type="pct"/>
            <w:tcMar>
              <w:left w:w="28" w:type="dxa"/>
              <w:right w:w="28" w:type="dxa"/>
            </w:tcMar>
            <w:vAlign w:val="center"/>
          </w:tcPr>
          <w:p w14:paraId="7FAF080D" w14:textId="77777777" w:rsidR="008D1773" w:rsidRDefault="008D1773" w:rsidP="00037B11">
            <w:pPr>
              <w:pStyle w:val="Tablewriting"/>
              <w:jc w:val="center"/>
              <w:rPr>
                <w:rFonts w:eastAsia="MS Mincho"/>
              </w:rPr>
            </w:pPr>
            <w:r>
              <w:rPr>
                <w:rFonts w:eastAsia="MS Mincho"/>
              </w:rPr>
              <w:t>976/7,670</w:t>
            </w:r>
          </w:p>
          <w:p w14:paraId="3781079C" w14:textId="5B028262" w:rsidR="008D1773" w:rsidRDefault="00F91D90" w:rsidP="00037B11">
            <w:pPr>
              <w:pStyle w:val="Tablewriting"/>
              <w:jc w:val="center"/>
              <w:rPr>
                <w:rFonts w:eastAsia="MS Mincho"/>
              </w:rPr>
            </w:pPr>
            <w:r>
              <w:rPr>
                <w:rFonts w:eastAsia="MS Mincho"/>
              </w:rPr>
              <w:t>(12.7%)</w:t>
            </w:r>
          </w:p>
        </w:tc>
        <w:tc>
          <w:tcPr>
            <w:tcW w:w="653" w:type="pct"/>
            <w:tcMar>
              <w:left w:w="28" w:type="dxa"/>
              <w:right w:w="28" w:type="dxa"/>
            </w:tcMar>
            <w:vAlign w:val="center"/>
          </w:tcPr>
          <w:p w14:paraId="78D4E543" w14:textId="77777777" w:rsidR="008D1773" w:rsidRDefault="008D1773" w:rsidP="00037B11">
            <w:pPr>
              <w:pStyle w:val="Tablewriting"/>
              <w:jc w:val="center"/>
              <w:rPr>
                <w:rFonts w:eastAsia="MS Mincho"/>
              </w:rPr>
            </w:pPr>
            <w:r>
              <w:rPr>
                <w:rFonts w:eastAsia="MS Mincho"/>
              </w:rPr>
              <w:t>562/6,777</w:t>
            </w:r>
          </w:p>
          <w:p w14:paraId="6C0DAE95" w14:textId="0E56AF07" w:rsidR="008D1773" w:rsidRDefault="00332EC3" w:rsidP="00037B11">
            <w:pPr>
              <w:pStyle w:val="Tablewriting"/>
              <w:jc w:val="center"/>
              <w:rPr>
                <w:rFonts w:eastAsia="MS Mincho"/>
              </w:rPr>
            </w:pPr>
            <w:r>
              <w:rPr>
                <w:rFonts w:eastAsia="MS Mincho"/>
              </w:rPr>
              <w:t>(8.3%)</w:t>
            </w:r>
          </w:p>
        </w:tc>
        <w:tc>
          <w:tcPr>
            <w:tcW w:w="697" w:type="pct"/>
            <w:tcMar>
              <w:left w:w="28" w:type="dxa"/>
              <w:right w:w="28" w:type="dxa"/>
            </w:tcMar>
            <w:vAlign w:val="center"/>
          </w:tcPr>
          <w:p w14:paraId="4134A2BD" w14:textId="77777777" w:rsidR="008D1773" w:rsidRDefault="008D1773" w:rsidP="00037B11">
            <w:pPr>
              <w:pStyle w:val="Tablewriting"/>
              <w:jc w:val="center"/>
              <w:rPr>
                <w:rFonts w:eastAsia="MS Mincho"/>
                <w:b/>
                <w:bCs/>
              </w:rPr>
            </w:pPr>
            <w:r>
              <w:rPr>
                <w:rFonts w:eastAsia="MS Mincho"/>
                <w:b/>
                <w:bCs/>
              </w:rPr>
              <w:t>1.49</w:t>
            </w:r>
          </w:p>
          <w:p w14:paraId="63EF6BD5" w14:textId="1B53F93D" w:rsidR="008D1773" w:rsidRPr="00583196" w:rsidRDefault="008D1773" w:rsidP="00037B11">
            <w:pPr>
              <w:pStyle w:val="Tablewriting"/>
              <w:jc w:val="center"/>
              <w:rPr>
                <w:rFonts w:eastAsia="MS Mincho"/>
                <w:b/>
                <w:bCs/>
              </w:rPr>
            </w:pPr>
            <w:r>
              <w:rPr>
                <w:rFonts w:eastAsia="MS Mincho"/>
                <w:b/>
                <w:bCs/>
              </w:rPr>
              <w:t>(1.35, 1.65)</w:t>
            </w:r>
          </w:p>
        </w:tc>
        <w:tc>
          <w:tcPr>
            <w:tcW w:w="696" w:type="pct"/>
            <w:vAlign w:val="center"/>
          </w:tcPr>
          <w:p w14:paraId="7308C52F" w14:textId="1BDC0E00" w:rsidR="008D1773" w:rsidRPr="00061F78" w:rsidRDefault="00037B11" w:rsidP="00037B11">
            <w:pPr>
              <w:pStyle w:val="Tablewriting"/>
              <w:jc w:val="center"/>
              <w:rPr>
                <w:rFonts w:eastAsia="MS Mincho"/>
              </w:rPr>
            </w:pPr>
            <w:r>
              <w:rPr>
                <w:rFonts w:eastAsia="MS Mincho"/>
              </w:rPr>
              <w:t>NR</w:t>
            </w:r>
          </w:p>
        </w:tc>
      </w:tr>
      <w:tr w:rsidR="00037B11" w:rsidRPr="00061F78" w14:paraId="1F8A9A10" w14:textId="77777777" w:rsidTr="00BB24D6">
        <w:trPr>
          <w:cantSplit/>
          <w:trHeight w:val="149"/>
        </w:trPr>
        <w:tc>
          <w:tcPr>
            <w:tcW w:w="557" w:type="pct"/>
            <w:tcMar>
              <w:left w:w="28" w:type="dxa"/>
              <w:right w:w="28" w:type="dxa"/>
            </w:tcMar>
          </w:tcPr>
          <w:p w14:paraId="5353D267" w14:textId="7214832C"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51BBAAC9" w14:textId="3A8E3406" w:rsidR="00037B11" w:rsidRDefault="00136130" w:rsidP="00037B11">
            <w:pPr>
              <w:pStyle w:val="Tablewriting"/>
              <w:jc w:val="center"/>
              <w:rPr>
                <w:rFonts w:eastAsia="MS Mincho"/>
              </w:rPr>
            </w:pPr>
            <w:r>
              <w:rPr>
                <w:rFonts w:eastAsia="MS Mincho"/>
              </w:rPr>
              <w:t>29</w:t>
            </w:r>
            <w:r w:rsidR="00037B11">
              <w:rPr>
                <w:rFonts w:eastAsia="MS Mincho"/>
              </w:rPr>
              <w:t xml:space="preserve"> RCTs</w:t>
            </w:r>
          </w:p>
        </w:tc>
        <w:tc>
          <w:tcPr>
            <w:tcW w:w="850" w:type="pct"/>
            <w:vMerge/>
            <w:tcMar>
              <w:left w:w="28" w:type="dxa"/>
              <w:right w:w="28" w:type="dxa"/>
            </w:tcMar>
            <w:vAlign w:val="center"/>
          </w:tcPr>
          <w:p w14:paraId="2793B40B" w14:textId="4726C35E" w:rsidR="00037B11" w:rsidRDefault="00037B11" w:rsidP="00037B11">
            <w:pPr>
              <w:pStyle w:val="Tablewriting"/>
              <w:jc w:val="center"/>
              <w:rPr>
                <w:rFonts w:eastAsia="MS Mincho"/>
              </w:rPr>
            </w:pPr>
          </w:p>
        </w:tc>
        <w:tc>
          <w:tcPr>
            <w:tcW w:w="619" w:type="pct"/>
            <w:tcMar>
              <w:left w:w="28" w:type="dxa"/>
              <w:right w:w="28" w:type="dxa"/>
            </w:tcMar>
            <w:vAlign w:val="center"/>
          </w:tcPr>
          <w:p w14:paraId="5C7AA59A" w14:textId="29142040" w:rsidR="00037B11" w:rsidRDefault="00037B11" w:rsidP="00037B11">
            <w:pPr>
              <w:pStyle w:val="Tablewriting"/>
              <w:jc w:val="center"/>
              <w:rPr>
                <w:rFonts w:eastAsia="MS Mincho"/>
              </w:rPr>
            </w:pPr>
            <w:r>
              <w:rPr>
                <w:rFonts w:eastAsia="MS Mincho"/>
              </w:rPr>
              <w:t>1,</w:t>
            </w:r>
            <w:r w:rsidR="006342F0">
              <w:rPr>
                <w:rFonts w:eastAsia="MS Mincho"/>
              </w:rPr>
              <w:t>031</w:t>
            </w:r>
            <w:r>
              <w:rPr>
                <w:rFonts w:eastAsia="MS Mincho"/>
              </w:rPr>
              <w:t>/</w:t>
            </w:r>
            <w:r w:rsidR="00033533">
              <w:rPr>
                <w:rFonts w:eastAsia="MS Mincho"/>
              </w:rPr>
              <w:t>7,419</w:t>
            </w:r>
          </w:p>
          <w:p w14:paraId="686EC75C" w14:textId="40361963" w:rsidR="00037B11" w:rsidRDefault="00037B11" w:rsidP="00037B11">
            <w:pPr>
              <w:pStyle w:val="Tablewriting"/>
              <w:jc w:val="center"/>
              <w:rPr>
                <w:rFonts w:eastAsia="MS Mincho"/>
              </w:rPr>
            </w:pPr>
            <w:r>
              <w:rPr>
                <w:rFonts w:eastAsia="MS Mincho"/>
              </w:rPr>
              <w:t>(</w:t>
            </w:r>
            <w:r w:rsidR="00A16DBD">
              <w:rPr>
                <w:rFonts w:eastAsia="MS Mincho"/>
              </w:rPr>
              <w:t>13.9</w:t>
            </w:r>
            <w:r>
              <w:rPr>
                <w:rFonts w:eastAsia="MS Mincho"/>
              </w:rPr>
              <w:t>%)</w:t>
            </w:r>
          </w:p>
        </w:tc>
        <w:tc>
          <w:tcPr>
            <w:tcW w:w="653" w:type="pct"/>
            <w:tcMar>
              <w:left w:w="28" w:type="dxa"/>
              <w:right w:w="28" w:type="dxa"/>
            </w:tcMar>
            <w:vAlign w:val="center"/>
          </w:tcPr>
          <w:p w14:paraId="68985743" w14:textId="12694467" w:rsidR="00037B11" w:rsidRDefault="00033533" w:rsidP="00037B11">
            <w:pPr>
              <w:pStyle w:val="Tablewriting"/>
              <w:jc w:val="center"/>
              <w:rPr>
                <w:rFonts w:eastAsia="MS Mincho"/>
              </w:rPr>
            </w:pPr>
            <w:r>
              <w:rPr>
                <w:rFonts w:eastAsia="MS Mincho"/>
              </w:rPr>
              <w:t>667</w:t>
            </w:r>
            <w:r w:rsidR="00037B11">
              <w:rPr>
                <w:rFonts w:eastAsia="MS Mincho"/>
              </w:rPr>
              <w:t>/</w:t>
            </w:r>
            <w:r>
              <w:rPr>
                <w:rFonts w:eastAsia="MS Mincho"/>
              </w:rPr>
              <w:t>6,708</w:t>
            </w:r>
          </w:p>
          <w:p w14:paraId="7CE30B8E" w14:textId="15CF5DA4" w:rsidR="00037B11" w:rsidRDefault="00037B11" w:rsidP="00037B11">
            <w:pPr>
              <w:pStyle w:val="Tablewriting"/>
              <w:jc w:val="center"/>
              <w:rPr>
                <w:rFonts w:eastAsia="MS Mincho"/>
              </w:rPr>
            </w:pPr>
            <w:r>
              <w:rPr>
                <w:rFonts w:eastAsia="MS Mincho"/>
              </w:rPr>
              <w:t>(</w:t>
            </w:r>
            <w:r w:rsidR="00D97B1B">
              <w:rPr>
                <w:rFonts w:eastAsia="MS Mincho"/>
              </w:rPr>
              <w:t>9.9</w:t>
            </w:r>
            <w:r>
              <w:rPr>
                <w:rFonts w:eastAsia="MS Mincho"/>
              </w:rPr>
              <w:t>%)</w:t>
            </w:r>
          </w:p>
        </w:tc>
        <w:tc>
          <w:tcPr>
            <w:tcW w:w="697" w:type="pct"/>
            <w:tcMar>
              <w:left w:w="28" w:type="dxa"/>
              <w:right w:w="28" w:type="dxa"/>
            </w:tcMar>
            <w:vAlign w:val="center"/>
          </w:tcPr>
          <w:p w14:paraId="3C1D0F03" w14:textId="31640696" w:rsidR="00037B11" w:rsidRDefault="00033533" w:rsidP="00037B11">
            <w:pPr>
              <w:pStyle w:val="Tablewriting"/>
              <w:jc w:val="center"/>
              <w:rPr>
                <w:rFonts w:eastAsia="MS Mincho"/>
                <w:b/>
                <w:bCs/>
              </w:rPr>
            </w:pPr>
            <w:r>
              <w:rPr>
                <w:rFonts w:eastAsia="MS Mincho"/>
                <w:b/>
                <w:bCs/>
              </w:rPr>
              <w:t>1.42</w:t>
            </w:r>
          </w:p>
          <w:p w14:paraId="2D3F3F72" w14:textId="73CE2248" w:rsidR="00037B11" w:rsidRDefault="00037B11" w:rsidP="00037B11">
            <w:pPr>
              <w:pStyle w:val="Tablewriting"/>
              <w:jc w:val="center"/>
              <w:rPr>
                <w:rFonts w:eastAsia="MS Mincho"/>
                <w:b/>
                <w:bCs/>
              </w:rPr>
            </w:pPr>
            <w:r>
              <w:rPr>
                <w:rFonts w:eastAsia="MS Mincho"/>
                <w:b/>
                <w:bCs/>
              </w:rPr>
              <w:t>(1.2</w:t>
            </w:r>
            <w:r w:rsidR="00033533">
              <w:rPr>
                <w:rFonts w:eastAsia="MS Mincho"/>
                <w:b/>
                <w:bCs/>
              </w:rPr>
              <w:t>7</w:t>
            </w:r>
            <w:r>
              <w:rPr>
                <w:rFonts w:eastAsia="MS Mincho"/>
                <w:b/>
                <w:bCs/>
              </w:rPr>
              <w:t>, 1.5</w:t>
            </w:r>
            <w:r w:rsidR="00033533">
              <w:rPr>
                <w:rFonts w:eastAsia="MS Mincho"/>
                <w:b/>
                <w:bCs/>
              </w:rPr>
              <w:t>9</w:t>
            </w:r>
            <w:r>
              <w:rPr>
                <w:rFonts w:eastAsia="MS Mincho"/>
                <w:b/>
                <w:bCs/>
              </w:rPr>
              <w:t>)</w:t>
            </w:r>
          </w:p>
        </w:tc>
        <w:tc>
          <w:tcPr>
            <w:tcW w:w="696" w:type="pct"/>
            <w:vAlign w:val="center"/>
          </w:tcPr>
          <w:p w14:paraId="21157F2B" w14:textId="77777777" w:rsidR="00037B11" w:rsidRPr="003A43F6" w:rsidRDefault="00D41138" w:rsidP="00037B11">
            <w:pPr>
              <w:pStyle w:val="Tablewriting"/>
              <w:jc w:val="center"/>
              <w:rPr>
                <w:rFonts w:eastAsia="MS Mincho"/>
                <w:b/>
                <w:bCs/>
              </w:rPr>
            </w:pPr>
            <w:r w:rsidRPr="003A43F6">
              <w:rPr>
                <w:rFonts w:eastAsia="MS Mincho"/>
                <w:b/>
                <w:bCs/>
              </w:rPr>
              <w:t>0.04</w:t>
            </w:r>
          </w:p>
          <w:p w14:paraId="6E71D1CD" w14:textId="10D8105F" w:rsidR="00D41138" w:rsidRPr="00061F78" w:rsidRDefault="00D41138" w:rsidP="00037B11">
            <w:pPr>
              <w:pStyle w:val="Tablewriting"/>
              <w:jc w:val="center"/>
              <w:rPr>
                <w:rFonts w:eastAsia="MS Mincho"/>
              </w:rPr>
            </w:pPr>
            <w:r w:rsidRPr="003A43F6">
              <w:rPr>
                <w:rFonts w:eastAsia="MS Mincho"/>
                <w:b/>
                <w:bCs/>
              </w:rPr>
              <w:t>(0.0</w:t>
            </w:r>
            <w:r w:rsidR="005A528F">
              <w:rPr>
                <w:rFonts w:eastAsia="MS Mincho"/>
                <w:b/>
                <w:bCs/>
              </w:rPr>
              <w:t>2</w:t>
            </w:r>
            <w:r w:rsidRPr="003A43F6">
              <w:rPr>
                <w:rFonts w:eastAsia="MS Mincho"/>
                <w:b/>
                <w:bCs/>
              </w:rPr>
              <w:t>, 0.05)</w:t>
            </w:r>
          </w:p>
        </w:tc>
      </w:tr>
      <w:tr w:rsidR="00FD114D" w:rsidRPr="00061F78" w14:paraId="60C85849" w14:textId="77777777" w:rsidTr="00BB24D6">
        <w:trPr>
          <w:cantSplit/>
          <w:trHeight w:val="149"/>
        </w:trPr>
        <w:tc>
          <w:tcPr>
            <w:tcW w:w="5000" w:type="pct"/>
            <w:gridSpan w:val="7"/>
            <w:shd w:val="clear" w:color="auto" w:fill="auto"/>
            <w:tcMar>
              <w:left w:w="28" w:type="dxa"/>
              <w:right w:w="28" w:type="dxa"/>
            </w:tcMar>
          </w:tcPr>
          <w:p w14:paraId="3A300F51" w14:textId="6F3B1234" w:rsidR="00FD114D" w:rsidRPr="003954C8" w:rsidRDefault="00426FB6" w:rsidP="00723730">
            <w:pPr>
              <w:pStyle w:val="Tablewriting"/>
              <w:rPr>
                <w:rFonts w:eastAsia="MS Mincho"/>
                <w:b/>
                <w:bCs/>
              </w:rPr>
            </w:pPr>
            <w:r w:rsidRPr="003954C8">
              <w:rPr>
                <w:rFonts w:eastAsia="MS Mincho"/>
                <w:b/>
                <w:bCs/>
              </w:rPr>
              <w:t>Adverse event – abnormal dreams</w:t>
            </w:r>
          </w:p>
        </w:tc>
      </w:tr>
      <w:tr w:rsidR="00FD114D" w:rsidRPr="00061F78" w14:paraId="756ECB20" w14:textId="77777777" w:rsidTr="00BB24D6">
        <w:trPr>
          <w:cantSplit/>
          <w:trHeight w:val="149"/>
        </w:trPr>
        <w:tc>
          <w:tcPr>
            <w:tcW w:w="557" w:type="pct"/>
            <w:tcMar>
              <w:left w:w="28" w:type="dxa"/>
              <w:right w:w="28" w:type="dxa"/>
            </w:tcMar>
          </w:tcPr>
          <w:p w14:paraId="75B561FC" w14:textId="77777777" w:rsidR="00880F28" w:rsidRDefault="00880F28" w:rsidP="00037B11">
            <w:pPr>
              <w:pStyle w:val="Tablewriting"/>
              <w:rPr>
                <w:rFonts w:eastAsia="MS Mincho"/>
              </w:rPr>
            </w:pPr>
            <w:r>
              <w:rPr>
                <w:rFonts w:eastAsia="MS Mincho"/>
              </w:rPr>
              <w:t>Cahill</w:t>
            </w:r>
            <w:r w:rsidRPr="00061F78">
              <w:rPr>
                <w:rFonts w:eastAsia="MS Mincho"/>
              </w:rPr>
              <w:t xml:space="preserve"> </w:t>
            </w:r>
          </w:p>
          <w:p w14:paraId="00EFDBC3" w14:textId="4A7D0266" w:rsidR="00FD114D" w:rsidRDefault="00880F28"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0CCE8941" w14:textId="5C75FA09" w:rsidR="00FD114D" w:rsidRDefault="00880F28" w:rsidP="00037B11">
            <w:pPr>
              <w:pStyle w:val="Tablewriting"/>
              <w:jc w:val="center"/>
              <w:rPr>
                <w:rFonts w:eastAsia="MS Mincho"/>
              </w:rPr>
            </w:pPr>
            <w:r>
              <w:rPr>
                <w:rFonts w:eastAsia="MS Mincho"/>
              </w:rPr>
              <w:t>Cochrane Review (26 RCTs)</w:t>
            </w:r>
          </w:p>
        </w:tc>
        <w:tc>
          <w:tcPr>
            <w:tcW w:w="850" w:type="pct"/>
            <w:vMerge w:val="restart"/>
            <w:tcMar>
              <w:left w:w="28" w:type="dxa"/>
              <w:right w:w="28" w:type="dxa"/>
            </w:tcMar>
            <w:vAlign w:val="center"/>
          </w:tcPr>
          <w:p w14:paraId="6A744C0B" w14:textId="1386E52E" w:rsidR="00FD114D" w:rsidRDefault="00880F28" w:rsidP="00037B11">
            <w:pPr>
              <w:pStyle w:val="Tablewriting"/>
              <w:jc w:val="center"/>
              <w:rPr>
                <w:rFonts w:eastAsia="MS Mincho"/>
              </w:rPr>
            </w:pPr>
            <w:r>
              <w:rPr>
                <w:rFonts w:eastAsia="MS Mincho"/>
              </w:rPr>
              <w:t xml:space="preserve">All studies except Nakamura (2007) </w:t>
            </w:r>
            <w:r w:rsidR="00426FB6">
              <w:rPr>
                <w:rFonts w:eastAsia="MS Mincho"/>
              </w:rPr>
              <w:t>and Wang (2009)</w:t>
            </w:r>
          </w:p>
        </w:tc>
        <w:tc>
          <w:tcPr>
            <w:tcW w:w="619" w:type="pct"/>
            <w:tcMar>
              <w:left w:w="28" w:type="dxa"/>
              <w:right w:w="28" w:type="dxa"/>
            </w:tcMar>
            <w:vAlign w:val="center"/>
          </w:tcPr>
          <w:p w14:paraId="320A03E4" w14:textId="77777777" w:rsidR="00880F28" w:rsidRDefault="00880F28" w:rsidP="00037B11">
            <w:pPr>
              <w:pStyle w:val="Tablewriting"/>
              <w:jc w:val="center"/>
              <w:rPr>
                <w:rFonts w:eastAsia="MS Mincho"/>
              </w:rPr>
            </w:pPr>
            <w:r>
              <w:rPr>
                <w:rFonts w:eastAsia="MS Mincho"/>
              </w:rPr>
              <w:t>912/7,289</w:t>
            </w:r>
          </w:p>
          <w:p w14:paraId="0A9627A4" w14:textId="36BE0AF6" w:rsidR="00FD114D" w:rsidRDefault="00D4749F" w:rsidP="00037B11">
            <w:pPr>
              <w:pStyle w:val="Tablewriting"/>
              <w:jc w:val="center"/>
              <w:rPr>
                <w:rFonts w:eastAsia="MS Mincho"/>
              </w:rPr>
            </w:pPr>
            <w:r>
              <w:rPr>
                <w:rFonts w:eastAsia="MS Mincho"/>
              </w:rPr>
              <w:t>(12.5%)</w:t>
            </w:r>
          </w:p>
        </w:tc>
        <w:tc>
          <w:tcPr>
            <w:tcW w:w="653" w:type="pct"/>
            <w:tcMar>
              <w:left w:w="28" w:type="dxa"/>
              <w:right w:w="28" w:type="dxa"/>
            </w:tcMar>
            <w:vAlign w:val="center"/>
          </w:tcPr>
          <w:p w14:paraId="454411A0" w14:textId="77777777" w:rsidR="00880F28" w:rsidRDefault="00880F28" w:rsidP="00037B11">
            <w:pPr>
              <w:pStyle w:val="Tablewriting"/>
              <w:jc w:val="center"/>
              <w:rPr>
                <w:rFonts w:eastAsia="MS Mincho"/>
              </w:rPr>
            </w:pPr>
            <w:r>
              <w:rPr>
                <w:rFonts w:eastAsia="MS Mincho"/>
              </w:rPr>
              <w:t>365/6,393</w:t>
            </w:r>
          </w:p>
          <w:p w14:paraId="3D7B6E15" w14:textId="5ADA7433" w:rsidR="00FD114D" w:rsidRDefault="009C2425" w:rsidP="00037B11">
            <w:pPr>
              <w:pStyle w:val="Tablewriting"/>
              <w:jc w:val="center"/>
              <w:rPr>
                <w:rFonts w:eastAsia="MS Mincho"/>
              </w:rPr>
            </w:pPr>
            <w:r>
              <w:rPr>
                <w:rFonts w:eastAsia="MS Mincho"/>
              </w:rPr>
              <w:t>(5.7%)</w:t>
            </w:r>
          </w:p>
        </w:tc>
        <w:tc>
          <w:tcPr>
            <w:tcW w:w="697" w:type="pct"/>
            <w:tcMar>
              <w:left w:w="28" w:type="dxa"/>
              <w:right w:w="28" w:type="dxa"/>
            </w:tcMar>
            <w:vAlign w:val="center"/>
          </w:tcPr>
          <w:p w14:paraId="64420E6A" w14:textId="77777777" w:rsidR="00880F28" w:rsidRDefault="00880F28" w:rsidP="00037B11">
            <w:pPr>
              <w:pStyle w:val="Tablewriting"/>
              <w:jc w:val="center"/>
              <w:rPr>
                <w:rFonts w:eastAsia="MS Mincho"/>
                <w:b/>
                <w:bCs/>
              </w:rPr>
            </w:pPr>
            <w:r>
              <w:rPr>
                <w:rFonts w:eastAsia="MS Mincho"/>
                <w:b/>
                <w:bCs/>
              </w:rPr>
              <w:t>2.12</w:t>
            </w:r>
          </w:p>
          <w:p w14:paraId="433AFB9D" w14:textId="552FD80A" w:rsidR="00FD114D" w:rsidRDefault="00880F28" w:rsidP="00037B11">
            <w:pPr>
              <w:pStyle w:val="Tablewriting"/>
              <w:jc w:val="center"/>
              <w:rPr>
                <w:rFonts w:eastAsia="MS Mincho"/>
                <w:b/>
                <w:bCs/>
              </w:rPr>
            </w:pPr>
            <w:r>
              <w:rPr>
                <w:rFonts w:eastAsia="MS Mincho"/>
                <w:b/>
                <w:bCs/>
              </w:rPr>
              <w:t>(1.88, 2.38)</w:t>
            </w:r>
          </w:p>
        </w:tc>
        <w:tc>
          <w:tcPr>
            <w:tcW w:w="696" w:type="pct"/>
            <w:vAlign w:val="center"/>
          </w:tcPr>
          <w:p w14:paraId="48D383A9" w14:textId="1ABB7B5D" w:rsidR="00FD114D" w:rsidRPr="00061F78" w:rsidRDefault="00037B11" w:rsidP="00037B11">
            <w:pPr>
              <w:pStyle w:val="Tablewriting"/>
              <w:jc w:val="center"/>
              <w:rPr>
                <w:rFonts w:eastAsia="MS Mincho"/>
              </w:rPr>
            </w:pPr>
            <w:r>
              <w:rPr>
                <w:rFonts w:eastAsia="MS Mincho"/>
              </w:rPr>
              <w:t>NR</w:t>
            </w:r>
          </w:p>
        </w:tc>
      </w:tr>
      <w:tr w:rsidR="00037B11" w:rsidRPr="00061F78" w14:paraId="1E860FB8" w14:textId="77777777" w:rsidTr="00BB24D6">
        <w:trPr>
          <w:cantSplit/>
          <w:trHeight w:val="149"/>
        </w:trPr>
        <w:tc>
          <w:tcPr>
            <w:tcW w:w="557" w:type="pct"/>
            <w:tcMar>
              <w:left w:w="28" w:type="dxa"/>
              <w:right w:w="28" w:type="dxa"/>
            </w:tcMar>
          </w:tcPr>
          <w:p w14:paraId="2BE32FD4" w14:textId="64D7DD16"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45AEA8F0" w14:textId="22880BF6" w:rsidR="00037B11" w:rsidRDefault="00037B11" w:rsidP="00037B11">
            <w:pPr>
              <w:pStyle w:val="Tablewriting"/>
              <w:jc w:val="center"/>
              <w:rPr>
                <w:rFonts w:eastAsia="MS Mincho"/>
              </w:rPr>
            </w:pPr>
            <w:r>
              <w:rPr>
                <w:rFonts w:eastAsia="MS Mincho"/>
              </w:rPr>
              <w:t>2</w:t>
            </w:r>
            <w:r w:rsidR="005A528F">
              <w:rPr>
                <w:rFonts w:eastAsia="MS Mincho"/>
              </w:rPr>
              <w:t>5</w:t>
            </w:r>
            <w:r>
              <w:rPr>
                <w:rFonts w:eastAsia="MS Mincho"/>
              </w:rPr>
              <w:t xml:space="preserve"> RCTs</w:t>
            </w:r>
          </w:p>
        </w:tc>
        <w:tc>
          <w:tcPr>
            <w:tcW w:w="850" w:type="pct"/>
            <w:vMerge/>
            <w:tcMar>
              <w:left w:w="28" w:type="dxa"/>
              <w:right w:w="28" w:type="dxa"/>
            </w:tcMar>
            <w:vAlign w:val="center"/>
          </w:tcPr>
          <w:p w14:paraId="5893DF9E" w14:textId="13AC8E53" w:rsidR="00037B11" w:rsidRDefault="00037B11" w:rsidP="00037B11">
            <w:pPr>
              <w:pStyle w:val="Tablewriting"/>
              <w:jc w:val="center"/>
              <w:rPr>
                <w:rFonts w:eastAsia="MS Mincho"/>
              </w:rPr>
            </w:pPr>
          </w:p>
        </w:tc>
        <w:tc>
          <w:tcPr>
            <w:tcW w:w="619" w:type="pct"/>
            <w:tcMar>
              <w:left w:w="28" w:type="dxa"/>
              <w:right w:w="28" w:type="dxa"/>
            </w:tcMar>
            <w:vAlign w:val="center"/>
          </w:tcPr>
          <w:p w14:paraId="57ADE77C" w14:textId="219F5A80" w:rsidR="00037B11" w:rsidRDefault="00037B11" w:rsidP="00037B11">
            <w:pPr>
              <w:pStyle w:val="Tablewriting"/>
              <w:jc w:val="center"/>
              <w:rPr>
                <w:rFonts w:eastAsia="MS Mincho"/>
              </w:rPr>
            </w:pPr>
            <w:r>
              <w:rPr>
                <w:rFonts w:eastAsia="MS Mincho"/>
              </w:rPr>
              <w:t>1,</w:t>
            </w:r>
            <w:r w:rsidR="005A528F">
              <w:rPr>
                <w:rFonts w:eastAsia="MS Mincho"/>
              </w:rPr>
              <w:t>066</w:t>
            </w:r>
            <w:r>
              <w:rPr>
                <w:rFonts w:eastAsia="MS Mincho"/>
              </w:rPr>
              <w:t>/</w:t>
            </w:r>
            <w:r w:rsidR="00385B91">
              <w:rPr>
                <w:rFonts w:eastAsia="MS Mincho"/>
              </w:rPr>
              <w:t>6,936</w:t>
            </w:r>
          </w:p>
          <w:p w14:paraId="3BF6A7D6" w14:textId="7C0949B2" w:rsidR="00037B11" w:rsidRDefault="00037B11" w:rsidP="00037B11">
            <w:pPr>
              <w:pStyle w:val="Tablewriting"/>
              <w:jc w:val="center"/>
              <w:rPr>
                <w:rFonts w:eastAsia="MS Mincho"/>
              </w:rPr>
            </w:pPr>
            <w:r>
              <w:rPr>
                <w:rFonts w:eastAsia="MS Mincho"/>
              </w:rPr>
              <w:t>(</w:t>
            </w:r>
            <w:r w:rsidR="00D97B1B">
              <w:rPr>
                <w:rFonts w:eastAsia="MS Mincho"/>
              </w:rPr>
              <w:t>15.4</w:t>
            </w:r>
            <w:r>
              <w:rPr>
                <w:rFonts w:eastAsia="MS Mincho"/>
              </w:rPr>
              <w:t>%)</w:t>
            </w:r>
          </w:p>
        </w:tc>
        <w:tc>
          <w:tcPr>
            <w:tcW w:w="653" w:type="pct"/>
            <w:tcMar>
              <w:left w:w="28" w:type="dxa"/>
              <w:right w:w="28" w:type="dxa"/>
            </w:tcMar>
            <w:vAlign w:val="center"/>
          </w:tcPr>
          <w:p w14:paraId="685540AD" w14:textId="5A38DD38" w:rsidR="00037B11" w:rsidRDefault="00037B11" w:rsidP="00037B11">
            <w:pPr>
              <w:pStyle w:val="Tablewriting"/>
              <w:jc w:val="center"/>
              <w:rPr>
                <w:rFonts w:eastAsia="MS Mincho"/>
              </w:rPr>
            </w:pPr>
            <w:r>
              <w:rPr>
                <w:rFonts w:eastAsia="MS Mincho"/>
              </w:rPr>
              <w:t>5</w:t>
            </w:r>
            <w:r w:rsidR="00EE7EDC">
              <w:rPr>
                <w:rFonts w:eastAsia="MS Mincho"/>
              </w:rPr>
              <w:t>10</w:t>
            </w:r>
            <w:r>
              <w:rPr>
                <w:rFonts w:eastAsia="MS Mincho"/>
              </w:rPr>
              <w:t>/</w:t>
            </w:r>
            <w:r w:rsidR="00EE7EDC">
              <w:rPr>
                <w:rFonts w:eastAsia="MS Mincho"/>
              </w:rPr>
              <w:t>6,213</w:t>
            </w:r>
          </w:p>
          <w:p w14:paraId="009184C1" w14:textId="0774279A" w:rsidR="00037B11" w:rsidRDefault="00037B11" w:rsidP="00037B11">
            <w:pPr>
              <w:pStyle w:val="Tablewriting"/>
              <w:jc w:val="center"/>
              <w:rPr>
                <w:rFonts w:eastAsia="MS Mincho"/>
              </w:rPr>
            </w:pPr>
            <w:r>
              <w:rPr>
                <w:rFonts w:eastAsia="MS Mincho"/>
              </w:rPr>
              <w:t>(</w:t>
            </w:r>
            <w:r w:rsidR="0032282B">
              <w:rPr>
                <w:rFonts w:eastAsia="MS Mincho"/>
              </w:rPr>
              <w:t>8.2</w:t>
            </w:r>
            <w:r>
              <w:rPr>
                <w:rFonts w:eastAsia="MS Mincho"/>
              </w:rPr>
              <w:t>%)</w:t>
            </w:r>
          </w:p>
        </w:tc>
        <w:tc>
          <w:tcPr>
            <w:tcW w:w="697" w:type="pct"/>
            <w:tcMar>
              <w:left w:w="28" w:type="dxa"/>
              <w:right w:w="28" w:type="dxa"/>
            </w:tcMar>
            <w:vAlign w:val="center"/>
          </w:tcPr>
          <w:p w14:paraId="49758F8C" w14:textId="23D5B5F9" w:rsidR="00037B11" w:rsidRDefault="00037B11" w:rsidP="00037B11">
            <w:pPr>
              <w:pStyle w:val="Tablewriting"/>
              <w:jc w:val="center"/>
              <w:rPr>
                <w:rFonts w:eastAsia="MS Mincho"/>
                <w:b/>
                <w:bCs/>
              </w:rPr>
            </w:pPr>
            <w:r>
              <w:rPr>
                <w:rFonts w:eastAsia="MS Mincho"/>
                <w:b/>
                <w:bCs/>
              </w:rPr>
              <w:t>1.9</w:t>
            </w:r>
            <w:r w:rsidR="00EE7EDC">
              <w:rPr>
                <w:rFonts w:eastAsia="MS Mincho"/>
                <w:b/>
                <w:bCs/>
              </w:rPr>
              <w:t>8</w:t>
            </w:r>
          </w:p>
          <w:p w14:paraId="699E8294" w14:textId="28C85B02" w:rsidR="00037B11" w:rsidRDefault="00037B11" w:rsidP="00037B11">
            <w:pPr>
              <w:pStyle w:val="Tablewriting"/>
              <w:jc w:val="center"/>
              <w:rPr>
                <w:rFonts w:eastAsia="MS Mincho"/>
                <w:b/>
                <w:bCs/>
              </w:rPr>
            </w:pPr>
            <w:r>
              <w:rPr>
                <w:rFonts w:eastAsia="MS Mincho"/>
                <w:b/>
                <w:bCs/>
              </w:rPr>
              <w:t>(1.6</w:t>
            </w:r>
            <w:r w:rsidR="00EE7EDC">
              <w:rPr>
                <w:rFonts w:eastAsia="MS Mincho"/>
                <w:b/>
                <w:bCs/>
              </w:rPr>
              <w:t>3</w:t>
            </w:r>
            <w:r>
              <w:rPr>
                <w:rFonts w:eastAsia="MS Mincho"/>
                <w:b/>
                <w:bCs/>
              </w:rPr>
              <w:t>, 2.</w:t>
            </w:r>
            <w:r w:rsidR="00EE7EDC">
              <w:rPr>
                <w:rFonts w:eastAsia="MS Mincho"/>
                <w:b/>
                <w:bCs/>
              </w:rPr>
              <w:t>41</w:t>
            </w:r>
            <w:r>
              <w:rPr>
                <w:rFonts w:eastAsia="MS Mincho"/>
                <w:b/>
                <w:bCs/>
              </w:rPr>
              <w:t>)</w:t>
            </w:r>
          </w:p>
        </w:tc>
        <w:tc>
          <w:tcPr>
            <w:tcW w:w="696" w:type="pct"/>
            <w:vAlign w:val="center"/>
          </w:tcPr>
          <w:p w14:paraId="2569D52F" w14:textId="77777777" w:rsidR="00037B11" w:rsidRPr="003A43F6" w:rsidRDefault="004D6C9B" w:rsidP="00037B11">
            <w:pPr>
              <w:pStyle w:val="Tablewriting"/>
              <w:jc w:val="center"/>
              <w:rPr>
                <w:rFonts w:eastAsia="MS Mincho"/>
                <w:b/>
                <w:bCs/>
              </w:rPr>
            </w:pPr>
            <w:r w:rsidRPr="003A43F6">
              <w:rPr>
                <w:rFonts w:eastAsia="MS Mincho"/>
                <w:b/>
                <w:bCs/>
              </w:rPr>
              <w:t>0.07</w:t>
            </w:r>
          </w:p>
          <w:p w14:paraId="010456E4" w14:textId="4BD93328" w:rsidR="004D6C9B" w:rsidRPr="00061F78" w:rsidRDefault="004D6C9B" w:rsidP="00037B11">
            <w:pPr>
              <w:pStyle w:val="Tablewriting"/>
              <w:jc w:val="center"/>
              <w:rPr>
                <w:rFonts w:eastAsia="MS Mincho"/>
              </w:rPr>
            </w:pPr>
            <w:r w:rsidRPr="003A43F6">
              <w:rPr>
                <w:rFonts w:eastAsia="MS Mincho"/>
                <w:b/>
                <w:bCs/>
              </w:rPr>
              <w:t>(0.05, 0.09)</w:t>
            </w:r>
          </w:p>
        </w:tc>
      </w:tr>
      <w:tr w:rsidR="00D17B7C" w:rsidRPr="00061F78" w14:paraId="16081904" w14:textId="77777777" w:rsidTr="00BB24D6">
        <w:trPr>
          <w:cantSplit/>
          <w:trHeight w:val="149"/>
        </w:trPr>
        <w:tc>
          <w:tcPr>
            <w:tcW w:w="5000" w:type="pct"/>
            <w:gridSpan w:val="7"/>
            <w:shd w:val="clear" w:color="auto" w:fill="auto"/>
            <w:tcMar>
              <w:left w:w="28" w:type="dxa"/>
              <w:right w:w="28" w:type="dxa"/>
            </w:tcMar>
          </w:tcPr>
          <w:p w14:paraId="27F5A6AE" w14:textId="6A7E2304" w:rsidR="00D17B7C" w:rsidRPr="003954C8" w:rsidRDefault="00D17B7C" w:rsidP="00723730">
            <w:pPr>
              <w:pStyle w:val="Tablewriting"/>
              <w:rPr>
                <w:rFonts w:eastAsia="MS Mincho"/>
                <w:b/>
                <w:bCs/>
              </w:rPr>
            </w:pPr>
            <w:r w:rsidRPr="003954C8">
              <w:rPr>
                <w:rFonts w:eastAsia="MS Mincho"/>
                <w:b/>
                <w:bCs/>
              </w:rPr>
              <w:t>Adverse event – headache</w:t>
            </w:r>
          </w:p>
        </w:tc>
      </w:tr>
      <w:tr w:rsidR="00D17B7C" w:rsidRPr="00061F78" w14:paraId="4D7D093E" w14:textId="77777777" w:rsidTr="00BB24D6">
        <w:trPr>
          <w:cantSplit/>
          <w:trHeight w:val="149"/>
        </w:trPr>
        <w:tc>
          <w:tcPr>
            <w:tcW w:w="557" w:type="pct"/>
            <w:tcMar>
              <w:left w:w="28" w:type="dxa"/>
              <w:right w:w="28" w:type="dxa"/>
            </w:tcMar>
          </w:tcPr>
          <w:p w14:paraId="764F9948" w14:textId="77777777" w:rsidR="00D17B7C" w:rsidRDefault="00D17B7C" w:rsidP="00037B11">
            <w:pPr>
              <w:pStyle w:val="Tablewriting"/>
              <w:rPr>
                <w:rFonts w:eastAsia="MS Mincho"/>
              </w:rPr>
            </w:pPr>
            <w:r>
              <w:rPr>
                <w:rFonts w:eastAsia="MS Mincho"/>
              </w:rPr>
              <w:t>Cahill</w:t>
            </w:r>
            <w:r w:rsidRPr="00061F78">
              <w:rPr>
                <w:rFonts w:eastAsia="MS Mincho"/>
              </w:rPr>
              <w:t xml:space="preserve"> </w:t>
            </w:r>
          </w:p>
          <w:p w14:paraId="4FB47629" w14:textId="66B85936" w:rsidR="00D17B7C" w:rsidRDefault="00D17B7C"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5925D637" w14:textId="082D14EF" w:rsidR="00D17B7C" w:rsidRDefault="00D17B7C" w:rsidP="00037B11">
            <w:pPr>
              <w:pStyle w:val="Tablewriting"/>
              <w:jc w:val="center"/>
              <w:rPr>
                <w:rFonts w:eastAsia="MS Mincho"/>
              </w:rPr>
            </w:pPr>
            <w:r>
              <w:rPr>
                <w:rFonts w:eastAsia="MS Mincho"/>
              </w:rPr>
              <w:t>Cochrane Review (25 RCTs)</w:t>
            </w:r>
          </w:p>
        </w:tc>
        <w:tc>
          <w:tcPr>
            <w:tcW w:w="850" w:type="pct"/>
            <w:vMerge w:val="restart"/>
            <w:tcMar>
              <w:left w:w="28" w:type="dxa"/>
              <w:right w:w="28" w:type="dxa"/>
            </w:tcMar>
            <w:vAlign w:val="center"/>
          </w:tcPr>
          <w:p w14:paraId="1B97D539" w14:textId="5AD076B8" w:rsidR="00D17B7C" w:rsidRDefault="00D17B7C" w:rsidP="00037B11">
            <w:pPr>
              <w:pStyle w:val="Tablewriting"/>
              <w:jc w:val="center"/>
              <w:rPr>
                <w:rFonts w:eastAsia="MS Mincho"/>
              </w:rPr>
            </w:pPr>
            <w:r>
              <w:rPr>
                <w:rFonts w:eastAsia="MS Mincho"/>
              </w:rPr>
              <w:t>All studies except Tsai (2007)</w:t>
            </w:r>
          </w:p>
        </w:tc>
        <w:tc>
          <w:tcPr>
            <w:tcW w:w="619" w:type="pct"/>
            <w:tcMar>
              <w:left w:w="28" w:type="dxa"/>
              <w:right w:w="28" w:type="dxa"/>
            </w:tcMar>
            <w:vAlign w:val="center"/>
          </w:tcPr>
          <w:p w14:paraId="7ED12C5D" w14:textId="77777777" w:rsidR="00D17B7C" w:rsidRDefault="00D17B7C" w:rsidP="00037B11">
            <w:pPr>
              <w:pStyle w:val="Tablewriting"/>
              <w:jc w:val="center"/>
              <w:rPr>
                <w:rFonts w:eastAsia="MS Mincho"/>
              </w:rPr>
            </w:pPr>
            <w:r>
              <w:rPr>
                <w:rFonts w:eastAsia="MS Mincho"/>
              </w:rPr>
              <w:t>894/7,304</w:t>
            </w:r>
          </w:p>
          <w:p w14:paraId="2ADBABFF" w14:textId="481A9ADA" w:rsidR="00D17B7C" w:rsidRDefault="00241F91" w:rsidP="00037B11">
            <w:pPr>
              <w:pStyle w:val="Tablewriting"/>
              <w:jc w:val="center"/>
              <w:rPr>
                <w:rFonts w:eastAsia="MS Mincho"/>
              </w:rPr>
            </w:pPr>
            <w:r>
              <w:rPr>
                <w:rFonts w:eastAsia="MS Mincho"/>
              </w:rPr>
              <w:t>(12.2%)</w:t>
            </w:r>
          </w:p>
        </w:tc>
        <w:tc>
          <w:tcPr>
            <w:tcW w:w="653" w:type="pct"/>
            <w:tcMar>
              <w:left w:w="28" w:type="dxa"/>
              <w:right w:w="28" w:type="dxa"/>
            </w:tcMar>
            <w:vAlign w:val="center"/>
          </w:tcPr>
          <w:p w14:paraId="399FEE76" w14:textId="77777777" w:rsidR="00D17B7C" w:rsidRDefault="00D17B7C" w:rsidP="00037B11">
            <w:pPr>
              <w:pStyle w:val="Tablewriting"/>
              <w:jc w:val="center"/>
              <w:rPr>
                <w:rFonts w:eastAsia="MS Mincho"/>
              </w:rPr>
            </w:pPr>
            <w:r>
              <w:rPr>
                <w:rFonts w:eastAsia="MS Mincho"/>
              </w:rPr>
              <w:t>668/6,531</w:t>
            </w:r>
          </w:p>
          <w:p w14:paraId="486229A2" w14:textId="3DDD8030" w:rsidR="00D17B7C" w:rsidRDefault="000825AB" w:rsidP="00037B11">
            <w:pPr>
              <w:pStyle w:val="Tablewriting"/>
              <w:jc w:val="center"/>
              <w:rPr>
                <w:rFonts w:eastAsia="MS Mincho"/>
              </w:rPr>
            </w:pPr>
            <w:r>
              <w:rPr>
                <w:rFonts w:eastAsia="MS Mincho"/>
              </w:rPr>
              <w:t>(10.2%)</w:t>
            </w:r>
          </w:p>
        </w:tc>
        <w:tc>
          <w:tcPr>
            <w:tcW w:w="697" w:type="pct"/>
            <w:tcMar>
              <w:left w:w="28" w:type="dxa"/>
              <w:right w:w="28" w:type="dxa"/>
            </w:tcMar>
            <w:vAlign w:val="center"/>
          </w:tcPr>
          <w:p w14:paraId="28B7B140" w14:textId="77777777" w:rsidR="00D17B7C" w:rsidRDefault="00D17B7C" w:rsidP="00037B11">
            <w:pPr>
              <w:pStyle w:val="Tablewriting"/>
              <w:jc w:val="center"/>
              <w:rPr>
                <w:rFonts w:eastAsia="MS Mincho"/>
                <w:b/>
                <w:bCs/>
              </w:rPr>
            </w:pPr>
            <w:r>
              <w:rPr>
                <w:rFonts w:eastAsia="MS Mincho"/>
                <w:b/>
                <w:bCs/>
              </w:rPr>
              <w:t>1.17</w:t>
            </w:r>
          </w:p>
          <w:p w14:paraId="78E3F714" w14:textId="2A17A30B" w:rsidR="00D17B7C" w:rsidRDefault="00D17B7C" w:rsidP="00037B11">
            <w:pPr>
              <w:pStyle w:val="Tablewriting"/>
              <w:jc w:val="center"/>
              <w:rPr>
                <w:rFonts w:eastAsia="MS Mincho"/>
                <w:b/>
                <w:bCs/>
              </w:rPr>
            </w:pPr>
            <w:r>
              <w:rPr>
                <w:rFonts w:eastAsia="MS Mincho"/>
                <w:b/>
                <w:bCs/>
              </w:rPr>
              <w:t>(1.07, 1.29)</w:t>
            </w:r>
          </w:p>
        </w:tc>
        <w:tc>
          <w:tcPr>
            <w:tcW w:w="696" w:type="pct"/>
            <w:vAlign w:val="center"/>
          </w:tcPr>
          <w:p w14:paraId="5C8AA231" w14:textId="189610DD" w:rsidR="00D17B7C" w:rsidRPr="00061F78" w:rsidRDefault="00037B11" w:rsidP="00037B11">
            <w:pPr>
              <w:pStyle w:val="Tablewriting"/>
              <w:jc w:val="center"/>
              <w:rPr>
                <w:rFonts w:eastAsia="MS Mincho"/>
              </w:rPr>
            </w:pPr>
            <w:r>
              <w:rPr>
                <w:rFonts w:eastAsia="MS Mincho"/>
              </w:rPr>
              <w:t>NR</w:t>
            </w:r>
          </w:p>
        </w:tc>
      </w:tr>
      <w:tr w:rsidR="00037B11" w:rsidRPr="00061F78" w14:paraId="25F32D02" w14:textId="77777777" w:rsidTr="00BB24D6">
        <w:trPr>
          <w:cantSplit/>
          <w:trHeight w:val="149"/>
        </w:trPr>
        <w:tc>
          <w:tcPr>
            <w:tcW w:w="557" w:type="pct"/>
            <w:tcMar>
              <w:left w:w="28" w:type="dxa"/>
              <w:right w:w="28" w:type="dxa"/>
            </w:tcMar>
          </w:tcPr>
          <w:p w14:paraId="400A3C90" w14:textId="3A174CF2"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63C23D85" w14:textId="09C27C47" w:rsidR="00037B11" w:rsidRDefault="006B6318" w:rsidP="00037B11">
            <w:pPr>
              <w:pStyle w:val="Tablewriting"/>
              <w:jc w:val="center"/>
              <w:rPr>
                <w:rFonts w:eastAsia="MS Mincho"/>
              </w:rPr>
            </w:pPr>
            <w:r>
              <w:rPr>
                <w:rFonts w:eastAsia="MS Mincho"/>
              </w:rPr>
              <w:t>27</w:t>
            </w:r>
            <w:r w:rsidR="00037B11">
              <w:rPr>
                <w:rFonts w:eastAsia="MS Mincho"/>
              </w:rPr>
              <w:t xml:space="preserve"> RCTs</w:t>
            </w:r>
          </w:p>
        </w:tc>
        <w:tc>
          <w:tcPr>
            <w:tcW w:w="850" w:type="pct"/>
            <w:vMerge/>
            <w:tcMar>
              <w:left w:w="28" w:type="dxa"/>
              <w:right w:w="28" w:type="dxa"/>
            </w:tcMar>
            <w:vAlign w:val="center"/>
          </w:tcPr>
          <w:p w14:paraId="2DBF1606" w14:textId="77777777" w:rsidR="00037B11" w:rsidRDefault="00037B11" w:rsidP="00037B11">
            <w:pPr>
              <w:pStyle w:val="Tablewriting"/>
              <w:jc w:val="center"/>
              <w:rPr>
                <w:rFonts w:eastAsia="MS Mincho"/>
              </w:rPr>
            </w:pPr>
          </w:p>
        </w:tc>
        <w:tc>
          <w:tcPr>
            <w:tcW w:w="619" w:type="pct"/>
            <w:tcMar>
              <w:left w:w="28" w:type="dxa"/>
              <w:right w:w="28" w:type="dxa"/>
            </w:tcMar>
            <w:vAlign w:val="center"/>
          </w:tcPr>
          <w:p w14:paraId="6401192F" w14:textId="218353A8" w:rsidR="00037B11" w:rsidRDefault="00037B11" w:rsidP="00037B11">
            <w:pPr>
              <w:pStyle w:val="Tablewriting"/>
              <w:jc w:val="center"/>
              <w:rPr>
                <w:rFonts w:eastAsia="MS Mincho"/>
              </w:rPr>
            </w:pPr>
            <w:r>
              <w:rPr>
                <w:rFonts w:eastAsia="MS Mincho"/>
              </w:rPr>
              <w:t>1,</w:t>
            </w:r>
            <w:r w:rsidR="006B6318">
              <w:rPr>
                <w:rFonts w:eastAsia="MS Mincho"/>
              </w:rPr>
              <w:t>071</w:t>
            </w:r>
            <w:r>
              <w:rPr>
                <w:rFonts w:eastAsia="MS Mincho"/>
              </w:rPr>
              <w:t>/</w:t>
            </w:r>
            <w:r w:rsidR="006B6318">
              <w:rPr>
                <w:rFonts w:eastAsia="MS Mincho"/>
              </w:rPr>
              <w:t>7,409</w:t>
            </w:r>
          </w:p>
          <w:p w14:paraId="16BC9D94" w14:textId="60178EDC" w:rsidR="00037B11" w:rsidRDefault="00037B11" w:rsidP="00037B11">
            <w:pPr>
              <w:pStyle w:val="Tablewriting"/>
              <w:jc w:val="center"/>
              <w:rPr>
                <w:rFonts w:eastAsia="MS Mincho"/>
              </w:rPr>
            </w:pPr>
            <w:r>
              <w:rPr>
                <w:rFonts w:eastAsia="MS Mincho"/>
              </w:rPr>
              <w:t>(</w:t>
            </w:r>
            <w:r w:rsidR="0032282B">
              <w:rPr>
                <w:rFonts w:eastAsia="MS Mincho"/>
              </w:rPr>
              <w:t>14.5</w:t>
            </w:r>
            <w:r>
              <w:rPr>
                <w:rFonts w:eastAsia="MS Mincho"/>
              </w:rPr>
              <w:t>%)</w:t>
            </w:r>
          </w:p>
        </w:tc>
        <w:tc>
          <w:tcPr>
            <w:tcW w:w="653" w:type="pct"/>
            <w:tcMar>
              <w:left w:w="28" w:type="dxa"/>
              <w:right w:w="28" w:type="dxa"/>
            </w:tcMar>
            <w:vAlign w:val="center"/>
          </w:tcPr>
          <w:p w14:paraId="0B126C34" w14:textId="6B494131" w:rsidR="00037B11" w:rsidRDefault="006B6318" w:rsidP="00037B11">
            <w:pPr>
              <w:pStyle w:val="Tablewriting"/>
              <w:jc w:val="center"/>
              <w:rPr>
                <w:rFonts w:eastAsia="MS Mincho"/>
              </w:rPr>
            </w:pPr>
            <w:r>
              <w:rPr>
                <w:rFonts w:eastAsia="MS Mincho"/>
              </w:rPr>
              <w:t>855</w:t>
            </w:r>
            <w:r w:rsidR="00037B11">
              <w:rPr>
                <w:rFonts w:eastAsia="MS Mincho"/>
              </w:rPr>
              <w:t>/</w:t>
            </w:r>
            <w:r>
              <w:rPr>
                <w:rFonts w:eastAsia="MS Mincho"/>
              </w:rPr>
              <w:t>6,693</w:t>
            </w:r>
          </w:p>
          <w:p w14:paraId="5CF5EF7C" w14:textId="15C48889" w:rsidR="00037B11" w:rsidRDefault="00037B11" w:rsidP="00037B11">
            <w:pPr>
              <w:pStyle w:val="Tablewriting"/>
              <w:jc w:val="center"/>
              <w:rPr>
                <w:rFonts w:eastAsia="MS Mincho"/>
              </w:rPr>
            </w:pPr>
            <w:r>
              <w:rPr>
                <w:rFonts w:eastAsia="MS Mincho"/>
              </w:rPr>
              <w:t>(</w:t>
            </w:r>
            <w:r w:rsidR="00184803">
              <w:rPr>
                <w:rFonts w:eastAsia="MS Mincho"/>
              </w:rPr>
              <w:t>12.8</w:t>
            </w:r>
            <w:r>
              <w:rPr>
                <w:rFonts w:eastAsia="MS Mincho"/>
              </w:rPr>
              <w:t>%)</w:t>
            </w:r>
          </w:p>
        </w:tc>
        <w:tc>
          <w:tcPr>
            <w:tcW w:w="697" w:type="pct"/>
            <w:tcMar>
              <w:left w:w="28" w:type="dxa"/>
              <w:right w:w="28" w:type="dxa"/>
            </w:tcMar>
            <w:vAlign w:val="center"/>
          </w:tcPr>
          <w:p w14:paraId="018ED821" w14:textId="0243B9BF" w:rsidR="00037B11" w:rsidRPr="00BE7363" w:rsidRDefault="00037B11" w:rsidP="00037B11">
            <w:pPr>
              <w:pStyle w:val="Tablewriting"/>
              <w:jc w:val="center"/>
              <w:rPr>
                <w:rFonts w:eastAsia="MS Mincho"/>
              </w:rPr>
            </w:pPr>
            <w:r w:rsidRPr="00BE7363">
              <w:rPr>
                <w:rFonts w:eastAsia="MS Mincho"/>
              </w:rPr>
              <w:t>1.1</w:t>
            </w:r>
            <w:r w:rsidR="00EF17BC">
              <w:rPr>
                <w:rFonts w:eastAsia="MS Mincho"/>
              </w:rPr>
              <w:t>1</w:t>
            </w:r>
          </w:p>
          <w:p w14:paraId="61F15524" w14:textId="6304BCF8" w:rsidR="00037B11" w:rsidRDefault="00037B11" w:rsidP="00037B11">
            <w:pPr>
              <w:pStyle w:val="Tablewriting"/>
              <w:jc w:val="center"/>
              <w:rPr>
                <w:rFonts w:eastAsia="MS Mincho"/>
                <w:b/>
                <w:bCs/>
              </w:rPr>
            </w:pPr>
            <w:r w:rsidRPr="00BE7363">
              <w:rPr>
                <w:rFonts w:eastAsia="MS Mincho"/>
              </w:rPr>
              <w:t>(</w:t>
            </w:r>
            <w:r w:rsidR="00EF17BC">
              <w:rPr>
                <w:rFonts w:eastAsia="MS Mincho"/>
              </w:rPr>
              <w:t>0.99</w:t>
            </w:r>
            <w:r w:rsidRPr="00BE7363">
              <w:rPr>
                <w:rFonts w:eastAsia="MS Mincho"/>
              </w:rPr>
              <w:t>, 1.</w:t>
            </w:r>
            <w:r w:rsidR="00EF17BC">
              <w:rPr>
                <w:rFonts w:eastAsia="MS Mincho"/>
              </w:rPr>
              <w:t>25</w:t>
            </w:r>
            <w:r w:rsidRPr="00BE7363">
              <w:rPr>
                <w:rFonts w:eastAsia="MS Mincho"/>
              </w:rPr>
              <w:t>)</w:t>
            </w:r>
          </w:p>
        </w:tc>
        <w:tc>
          <w:tcPr>
            <w:tcW w:w="696" w:type="pct"/>
            <w:vAlign w:val="center"/>
          </w:tcPr>
          <w:p w14:paraId="4BFB71D1" w14:textId="77777777" w:rsidR="00037B11" w:rsidRPr="003A43F6" w:rsidRDefault="004D6C9B" w:rsidP="00037B11">
            <w:pPr>
              <w:pStyle w:val="Tablewriting"/>
              <w:jc w:val="center"/>
              <w:rPr>
                <w:rFonts w:eastAsia="MS Mincho"/>
                <w:b/>
                <w:bCs/>
              </w:rPr>
            </w:pPr>
            <w:r w:rsidRPr="003A43F6">
              <w:rPr>
                <w:rFonts w:eastAsia="MS Mincho"/>
                <w:b/>
                <w:bCs/>
              </w:rPr>
              <w:t>0.02</w:t>
            </w:r>
          </w:p>
          <w:p w14:paraId="025C31E7" w14:textId="409A8935" w:rsidR="004D6C9B" w:rsidRPr="00061F78" w:rsidRDefault="004D6C9B" w:rsidP="00037B11">
            <w:pPr>
              <w:pStyle w:val="Tablewriting"/>
              <w:jc w:val="center"/>
              <w:rPr>
                <w:rFonts w:eastAsia="MS Mincho"/>
              </w:rPr>
            </w:pPr>
            <w:r w:rsidRPr="003A43F6">
              <w:rPr>
                <w:rFonts w:eastAsia="MS Mincho"/>
                <w:b/>
                <w:bCs/>
              </w:rPr>
              <w:t>(0.01, 0.03)</w:t>
            </w:r>
          </w:p>
        </w:tc>
      </w:tr>
      <w:tr w:rsidR="008F7262" w:rsidRPr="00061F78" w14:paraId="6974C357" w14:textId="77777777" w:rsidTr="00BB24D6">
        <w:trPr>
          <w:cantSplit/>
          <w:trHeight w:val="149"/>
        </w:trPr>
        <w:tc>
          <w:tcPr>
            <w:tcW w:w="5000" w:type="pct"/>
            <w:gridSpan w:val="7"/>
            <w:shd w:val="clear" w:color="auto" w:fill="auto"/>
            <w:tcMar>
              <w:left w:w="28" w:type="dxa"/>
              <w:right w:w="28" w:type="dxa"/>
            </w:tcMar>
          </w:tcPr>
          <w:p w14:paraId="26E2E4EB" w14:textId="2652A770" w:rsidR="008F7262" w:rsidRPr="003954C8" w:rsidRDefault="008F7262" w:rsidP="00B930E5">
            <w:pPr>
              <w:pStyle w:val="Tablewriting"/>
              <w:rPr>
                <w:rFonts w:eastAsia="MS Mincho"/>
                <w:b/>
                <w:bCs/>
              </w:rPr>
            </w:pPr>
            <w:r w:rsidRPr="003954C8">
              <w:rPr>
                <w:rFonts w:eastAsia="MS Mincho"/>
                <w:b/>
                <w:bCs/>
              </w:rPr>
              <w:lastRenderedPageBreak/>
              <w:t xml:space="preserve">Adverse event – </w:t>
            </w:r>
            <w:r w:rsidR="008F172E" w:rsidRPr="003954C8">
              <w:rPr>
                <w:rFonts w:eastAsia="MS Mincho"/>
                <w:b/>
                <w:bCs/>
              </w:rPr>
              <w:t>depression</w:t>
            </w:r>
          </w:p>
        </w:tc>
      </w:tr>
      <w:tr w:rsidR="00666DDE" w:rsidRPr="00061F78" w14:paraId="17B4D5C6" w14:textId="77777777" w:rsidTr="00BB24D6">
        <w:trPr>
          <w:cantSplit/>
          <w:trHeight w:val="149"/>
        </w:trPr>
        <w:tc>
          <w:tcPr>
            <w:tcW w:w="557" w:type="pct"/>
            <w:tcMar>
              <w:left w:w="28" w:type="dxa"/>
              <w:right w:w="28" w:type="dxa"/>
            </w:tcMar>
          </w:tcPr>
          <w:p w14:paraId="2ACEFF8C" w14:textId="77777777" w:rsidR="00666DDE" w:rsidRDefault="00666DDE" w:rsidP="008F172E">
            <w:pPr>
              <w:pStyle w:val="Tablewriting"/>
              <w:rPr>
                <w:rFonts w:eastAsia="MS Mincho"/>
              </w:rPr>
            </w:pPr>
            <w:r>
              <w:rPr>
                <w:rFonts w:eastAsia="MS Mincho"/>
              </w:rPr>
              <w:t>Cahill</w:t>
            </w:r>
            <w:r w:rsidRPr="00061F78">
              <w:rPr>
                <w:rFonts w:eastAsia="MS Mincho"/>
              </w:rPr>
              <w:t xml:space="preserve"> </w:t>
            </w:r>
          </w:p>
          <w:p w14:paraId="3F76D4BF" w14:textId="622E6EB5" w:rsidR="00666DDE" w:rsidRDefault="00666DDE" w:rsidP="008F172E">
            <w:pPr>
              <w:pStyle w:val="Tablewriting"/>
              <w:rPr>
                <w:rFonts w:eastAsia="MS Mincho"/>
              </w:rPr>
            </w:pPr>
            <w:r w:rsidRPr="00061F78">
              <w:rPr>
                <w:rFonts w:eastAsia="MS Mincho"/>
              </w:rPr>
              <w:t>(20</w:t>
            </w:r>
            <w:r>
              <w:rPr>
                <w:rFonts w:eastAsia="MS Mincho"/>
              </w:rPr>
              <w:t>16</w:t>
            </w:r>
            <w:r w:rsidRPr="00061F78">
              <w:rPr>
                <w:rFonts w:eastAsia="MS Mincho"/>
              </w:rPr>
              <w:t>)</w:t>
            </w:r>
            <w:r>
              <w:rPr>
                <w:rFonts w:eastAsia="MS Mincho"/>
                <w:vertAlign w:val="superscript"/>
              </w:rPr>
              <w:t>2</w:t>
            </w:r>
          </w:p>
        </w:tc>
        <w:tc>
          <w:tcPr>
            <w:tcW w:w="928" w:type="pct"/>
            <w:vAlign w:val="center"/>
          </w:tcPr>
          <w:p w14:paraId="4CCC6BB1" w14:textId="79CEE630" w:rsidR="00666DDE" w:rsidRDefault="00666DDE" w:rsidP="00037B11">
            <w:pPr>
              <w:pStyle w:val="Tablewriting"/>
              <w:jc w:val="center"/>
              <w:rPr>
                <w:rFonts w:eastAsia="MS Mincho"/>
              </w:rPr>
            </w:pPr>
            <w:r>
              <w:rPr>
                <w:rFonts w:eastAsia="MS Mincho"/>
              </w:rPr>
              <w:t>Cochrane Review (36 RCTs)</w:t>
            </w:r>
          </w:p>
        </w:tc>
        <w:tc>
          <w:tcPr>
            <w:tcW w:w="850" w:type="pct"/>
            <w:vMerge w:val="restart"/>
            <w:tcMar>
              <w:left w:w="28" w:type="dxa"/>
              <w:right w:w="28" w:type="dxa"/>
            </w:tcMar>
            <w:vAlign w:val="center"/>
          </w:tcPr>
          <w:p w14:paraId="594C4A01" w14:textId="5269FB6C" w:rsidR="00666DDE" w:rsidRDefault="00666DDE" w:rsidP="00037B11">
            <w:pPr>
              <w:pStyle w:val="Tablewriting"/>
              <w:jc w:val="center"/>
              <w:rPr>
                <w:rFonts w:eastAsia="MS Mincho"/>
              </w:rPr>
            </w:pPr>
            <w:r>
              <w:rPr>
                <w:rFonts w:eastAsia="MS Mincho"/>
              </w:rPr>
              <w:t xml:space="preserve">All studies except Nakamura (2007) and Wang (2009) </w:t>
            </w:r>
          </w:p>
        </w:tc>
        <w:tc>
          <w:tcPr>
            <w:tcW w:w="619" w:type="pct"/>
            <w:tcMar>
              <w:left w:w="28" w:type="dxa"/>
              <w:right w:w="28" w:type="dxa"/>
            </w:tcMar>
            <w:vAlign w:val="center"/>
          </w:tcPr>
          <w:p w14:paraId="3C7B24D1" w14:textId="77777777" w:rsidR="00666DDE" w:rsidRDefault="00666DDE" w:rsidP="00037B11">
            <w:pPr>
              <w:pStyle w:val="Tablewriting"/>
              <w:jc w:val="center"/>
              <w:rPr>
                <w:rFonts w:eastAsia="MS Mincho"/>
              </w:rPr>
            </w:pPr>
            <w:r>
              <w:rPr>
                <w:rFonts w:eastAsia="MS Mincho"/>
              </w:rPr>
              <w:t>202/8,537</w:t>
            </w:r>
          </w:p>
          <w:p w14:paraId="5EBFE6FF" w14:textId="0297F4A6" w:rsidR="00666DDE" w:rsidRDefault="00666DDE" w:rsidP="00037B11">
            <w:pPr>
              <w:pStyle w:val="Tablewriting"/>
              <w:jc w:val="center"/>
              <w:rPr>
                <w:rFonts w:eastAsia="MS Mincho"/>
              </w:rPr>
            </w:pPr>
            <w:r>
              <w:rPr>
                <w:rFonts w:eastAsia="MS Mincho"/>
              </w:rPr>
              <w:t>(%)</w:t>
            </w:r>
          </w:p>
        </w:tc>
        <w:tc>
          <w:tcPr>
            <w:tcW w:w="653" w:type="pct"/>
            <w:tcMar>
              <w:left w:w="28" w:type="dxa"/>
              <w:right w:w="28" w:type="dxa"/>
            </w:tcMar>
            <w:vAlign w:val="center"/>
          </w:tcPr>
          <w:p w14:paraId="25E02C43" w14:textId="77777777" w:rsidR="00666DDE" w:rsidRDefault="00666DDE" w:rsidP="00037B11">
            <w:pPr>
              <w:pStyle w:val="Tablewriting"/>
              <w:jc w:val="center"/>
              <w:rPr>
                <w:rFonts w:eastAsia="MS Mincho"/>
              </w:rPr>
            </w:pPr>
            <w:r>
              <w:rPr>
                <w:rFonts w:eastAsia="MS Mincho"/>
              </w:rPr>
              <w:t>184/7,652</w:t>
            </w:r>
          </w:p>
          <w:p w14:paraId="030DAE4A" w14:textId="04762FBA" w:rsidR="00666DDE" w:rsidRDefault="00666DDE" w:rsidP="00037B11">
            <w:pPr>
              <w:pStyle w:val="Tablewriting"/>
              <w:jc w:val="center"/>
              <w:rPr>
                <w:rFonts w:eastAsia="MS Mincho"/>
              </w:rPr>
            </w:pPr>
            <w:r>
              <w:rPr>
                <w:rFonts w:eastAsia="MS Mincho"/>
              </w:rPr>
              <w:t>(%)</w:t>
            </w:r>
          </w:p>
        </w:tc>
        <w:tc>
          <w:tcPr>
            <w:tcW w:w="697" w:type="pct"/>
            <w:tcMar>
              <w:left w:w="28" w:type="dxa"/>
              <w:right w:w="28" w:type="dxa"/>
            </w:tcMar>
            <w:vAlign w:val="center"/>
          </w:tcPr>
          <w:p w14:paraId="048E94EA" w14:textId="77777777" w:rsidR="00666DDE" w:rsidRPr="00E119DC" w:rsidRDefault="00666DDE" w:rsidP="00EA0552">
            <w:pPr>
              <w:pStyle w:val="Tablewriting"/>
              <w:jc w:val="center"/>
              <w:rPr>
                <w:rFonts w:eastAsia="MS Mincho"/>
              </w:rPr>
            </w:pPr>
            <w:r w:rsidRPr="00E119DC">
              <w:rPr>
                <w:rFonts w:eastAsia="MS Mincho"/>
              </w:rPr>
              <w:t>0.94</w:t>
            </w:r>
          </w:p>
          <w:p w14:paraId="3EE404B4" w14:textId="6CF379CC" w:rsidR="00666DDE" w:rsidRPr="00BE7363" w:rsidRDefault="00666DDE" w:rsidP="00EA0552">
            <w:pPr>
              <w:pStyle w:val="Tablewriting"/>
              <w:jc w:val="center"/>
              <w:rPr>
                <w:rFonts w:eastAsia="MS Mincho"/>
              </w:rPr>
            </w:pPr>
            <w:r w:rsidRPr="00E119DC">
              <w:rPr>
                <w:rFonts w:eastAsia="MS Mincho"/>
              </w:rPr>
              <w:t>(0.77, 1.14)</w:t>
            </w:r>
          </w:p>
        </w:tc>
        <w:tc>
          <w:tcPr>
            <w:tcW w:w="696" w:type="pct"/>
            <w:vAlign w:val="center"/>
          </w:tcPr>
          <w:p w14:paraId="4C955398" w14:textId="1BD46A03" w:rsidR="00666DDE" w:rsidRPr="00B930E5" w:rsidRDefault="00666DDE" w:rsidP="00037B11">
            <w:pPr>
              <w:pStyle w:val="Tablewriting"/>
              <w:jc w:val="center"/>
              <w:rPr>
                <w:rFonts w:eastAsia="MS Mincho"/>
              </w:rPr>
            </w:pPr>
            <w:r w:rsidRPr="00B930E5">
              <w:rPr>
                <w:rFonts w:eastAsia="MS Mincho"/>
              </w:rPr>
              <w:t>NR</w:t>
            </w:r>
          </w:p>
        </w:tc>
      </w:tr>
      <w:tr w:rsidR="00666DDE" w:rsidRPr="00061F78" w14:paraId="4BF34350" w14:textId="77777777" w:rsidTr="00BB24D6">
        <w:trPr>
          <w:cantSplit/>
          <w:trHeight w:val="149"/>
        </w:trPr>
        <w:tc>
          <w:tcPr>
            <w:tcW w:w="557" w:type="pct"/>
            <w:tcMar>
              <w:left w:w="28" w:type="dxa"/>
              <w:right w:w="28" w:type="dxa"/>
            </w:tcMar>
          </w:tcPr>
          <w:p w14:paraId="357A1D1F" w14:textId="4102DCF2" w:rsidR="00666DDE" w:rsidRDefault="00666DDE"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28BC101F" w14:textId="02430553" w:rsidR="00666DDE" w:rsidRDefault="00571D1D" w:rsidP="00037B11">
            <w:pPr>
              <w:pStyle w:val="Tablewriting"/>
              <w:jc w:val="center"/>
              <w:rPr>
                <w:rFonts w:eastAsia="MS Mincho"/>
              </w:rPr>
            </w:pPr>
            <w:r>
              <w:rPr>
                <w:rFonts w:eastAsia="MS Mincho"/>
              </w:rPr>
              <w:t>36 RCTs</w:t>
            </w:r>
          </w:p>
        </w:tc>
        <w:tc>
          <w:tcPr>
            <w:tcW w:w="850" w:type="pct"/>
            <w:vMerge/>
            <w:tcMar>
              <w:left w:w="28" w:type="dxa"/>
              <w:right w:w="28" w:type="dxa"/>
            </w:tcMar>
            <w:vAlign w:val="center"/>
          </w:tcPr>
          <w:p w14:paraId="51C33147" w14:textId="77777777" w:rsidR="00666DDE" w:rsidRDefault="00666DDE" w:rsidP="00037B11">
            <w:pPr>
              <w:pStyle w:val="Tablewriting"/>
              <w:jc w:val="center"/>
              <w:rPr>
                <w:rFonts w:eastAsia="MS Mincho"/>
              </w:rPr>
            </w:pPr>
          </w:p>
        </w:tc>
        <w:tc>
          <w:tcPr>
            <w:tcW w:w="619" w:type="pct"/>
            <w:tcMar>
              <w:left w:w="28" w:type="dxa"/>
              <w:right w:w="28" w:type="dxa"/>
            </w:tcMar>
            <w:vAlign w:val="center"/>
          </w:tcPr>
          <w:p w14:paraId="1F40EC34" w14:textId="77777777" w:rsidR="00666DDE" w:rsidRDefault="00571D1D" w:rsidP="00037B11">
            <w:pPr>
              <w:pStyle w:val="Tablewriting"/>
              <w:jc w:val="center"/>
              <w:rPr>
                <w:rFonts w:eastAsia="MS Mincho"/>
              </w:rPr>
            </w:pPr>
            <w:r>
              <w:rPr>
                <w:rFonts w:eastAsia="MS Mincho"/>
              </w:rPr>
              <w:t>230/7,955</w:t>
            </w:r>
          </w:p>
          <w:p w14:paraId="48465D97" w14:textId="2C169693" w:rsidR="00666DDE" w:rsidRDefault="00571D1D" w:rsidP="00037B11">
            <w:pPr>
              <w:pStyle w:val="Tablewriting"/>
              <w:jc w:val="center"/>
              <w:rPr>
                <w:rFonts w:eastAsia="MS Mincho"/>
              </w:rPr>
            </w:pPr>
            <w:r>
              <w:rPr>
                <w:rFonts w:eastAsia="MS Mincho"/>
              </w:rPr>
              <w:t>(</w:t>
            </w:r>
            <w:r w:rsidR="00861636">
              <w:rPr>
                <w:rFonts w:eastAsia="MS Mincho"/>
              </w:rPr>
              <w:t>2.9</w:t>
            </w:r>
            <w:r>
              <w:rPr>
                <w:rFonts w:eastAsia="MS Mincho"/>
              </w:rPr>
              <w:t>%)</w:t>
            </w:r>
          </w:p>
        </w:tc>
        <w:tc>
          <w:tcPr>
            <w:tcW w:w="653" w:type="pct"/>
            <w:tcMar>
              <w:left w:w="28" w:type="dxa"/>
              <w:right w:w="28" w:type="dxa"/>
            </w:tcMar>
            <w:vAlign w:val="center"/>
          </w:tcPr>
          <w:p w14:paraId="09848F63" w14:textId="77777777" w:rsidR="00666DDE" w:rsidRDefault="00571D1D" w:rsidP="00037B11">
            <w:pPr>
              <w:pStyle w:val="Tablewriting"/>
              <w:jc w:val="center"/>
              <w:rPr>
                <w:rFonts w:eastAsia="MS Mincho"/>
              </w:rPr>
            </w:pPr>
            <w:r>
              <w:rPr>
                <w:rFonts w:eastAsia="MS Mincho"/>
              </w:rPr>
              <w:t>208/7,265</w:t>
            </w:r>
          </w:p>
          <w:p w14:paraId="4E8139CE" w14:textId="38DEAD5A" w:rsidR="00666DDE" w:rsidRDefault="00571D1D" w:rsidP="00037B11">
            <w:pPr>
              <w:pStyle w:val="Tablewriting"/>
              <w:jc w:val="center"/>
              <w:rPr>
                <w:rFonts w:eastAsia="MS Mincho"/>
              </w:rPr>
            </w:pPr>
            <w:r>
              <w:rPr>
                <w:rFonts w:eastAsia="MS Mincho"/>
              </w:rPr>
              <w:t>(</w:t>
            </w:r>
            <w:r w:rsidR="00F66192">
              <w:rPr>
                <w:rFonts w:eastAsia="MS Mincho"/>
              </w:rPr>
              <w:t>2.9</w:t>
            </w:r>
            <w:r>
              <w:rPr>
                <w:rFonts w:eastAsia="MS Mincho"/>
              </w:rPr>
              <w:t>%)</w:t>
            </w:r>
          </w:p>
        </w:tc>
        <w:tc>
          <w:tcPr>
            <w:tcW w:w="697" w:type="pct"/>
            <w:tcMar>
              <w:left w:w="28" w:type="dxa"/>
              <w:right w:w="28" w:type="dxa"/>
            </w:tcMar>
            <w:vAlign w:val="center"/>
          </w:tcPr>
          <w:p w14:paraId="300A2FE1" w14:textId="77777777" w:rsidR="00666DDE" w:rsidRDefault="00571D1D" w:rsidP="00037B11">
            <w:pPr>
              <w:pStyle w:val="Tablewriting"/>
              <w:jc w:val="center"/>
              <w:rPr>
                <w:rFonts w:eastAsia="MS Mincho"/>
              </w:rPr>
            </w:pPr>
            <w:r>
              <w:rPr>
                <w:rFonts w:eastAsia="MS Mincho"/>
              </w:rPr>
              <w:t>1.02</w:t>
            </w:r>
          </w:p>
          <w:p w14:paraId="4E936668" w14:textId="46256554" w:rsidR="00666DDE" w:rsidRPr="00BE7363" w:rsidRDefault="00571D1D" w:rsidP="00037B11">
            <w:pPr>
              <w:pStyle w:val="Tablewriting"/>
              <w:jc w:val="center"/>
              <w:rPr>
                <w:rFonts w:eastAsia="MS Mincho"/>
              </w:rPr>
            </w:pPr>
            <w:r>
              <w:rPr>
                <w:rFonts w:eastAsia="MS Mincho"/>
              </w:rPr>
              <w:t>(0.86, 1.23)</w:t>
            </w:r>
          </w:p>
        </w:tc>
        <w:tc>
          <w:tcPr>
            <w:tcW w:w="696" w:type="pct"/>
            <w:vAlign w:val="center"/>
          </w:tcPr>
          <w:p w14:paraId="13D69E04" w14:textId="77777777" w:rsidR="00666DDE" w:rsidRPr="00571D1D" w:rsidRDefault="00571D1D" w:rsidP="00037B11">
            <w:pPr>
              <w:pStyle w:val="Tablewriting"/>
              <w:jc w:val="center"/>
              <w:rPr>
                <w:rFonts w:eastAsia="MS Mincho"/>
              </w:rPr>
            </w:pPr>
            <w:r w:rsidRPr="00571D1D">
              <w:rPr>
                <w:rFonts w:eastAsia="MS Mincho"/>
              </w:rPr>
              <w:t>0</w:t>
            </w:r>
          </w:p>
          <w:p w14:paraId="07CC8411" w14:textId="0C487496" w:rsidR="00666DDE" w:rsidRPr="003A43F6" w:rsidRDefault="00571D1D" w:rsidP="00037B11">
            <w:pPr>
              <w:pStyle w:val="Tablewriting"/>
              <w:jc w:val="center"/>
              <w:rPr>
                <w:rFonts w:eastAsia="MS Mincho"/>
                <w:b/>
                <w:bCs/>
              </w:rPr>
            </w:pPr>
            <w:r w:rsidRPr="00571D1D">
              <w:rPr>
                <w:rFonts w:eastAsia="MS Mincho"/>
              </w:rPr>
              <w:t>(-0.00, 0.00)</w:t>
            </w:r>
          </w:p>
        </w:tc>
      </w:tr>
      <w:tr w:rsidR="008F7262" w:rsidRPr="00061F78" w14:paraId="7779C432" w14:textId="77777777" w:rsidTr="00BB24D6">
        <w:trPr>
          <w:cantSplit/>
          <w:trHeight w:val="149"/>
        </w:trPr>
        <w:tc>
          <w:tcPr>
            <w:tcW w:w="5000" w:type="pct"/>
            <w:gridSpan w:val="7"/>
            <w:tcMar>
              <w:left w:w="28" w:type="dxa"/>
              <w:right w:w="28" w:type="dxa"/>
            </w:tcMar>
          </w:tcPr>
          <w:p w14:paraId="7C202008" w14:textId="6F5ED3B9" w:rsidR="008F7262" w:rsidRPr="00D4440C" w:rsidRDefault="008F7262" w:rsidP="00B930E5">
            <w:pPr>
              <w:pStyle w:val="Tablewriting"/>
              <w:rPr>
                <w:rFonts w:eastAsia="MS Mincho"/>
                <w:b/>
                <w:bCs/>
              </w:rPr>
            </w:pPr>
            <w:r w:rsidRPr="00D4440C">
              <w:rPr>
                <w:rFonts w:eastAsia="MS Mincho"/>
                <w:b/>
                <w:bCs/>
              </w:rPr>
              <w:t xml:space="preserve">Adverse event – </w:t>
            </w:r>
            <w:r w:rsidR="008F172E" w:rsidRPr="00D4440C">
              <w:rPr>
                <w:rFonts w:eastAsia="MS Mincho"/>
                <w:b/>
                <w:bCs/>
              </w:rPr>
              <w:t>suicidal ideation</w:t>
            </w:r>
          </w:p>
        </w:tc>
      </w:tr>
      <w:tr w:rsidR="00666DDE" w:rsidRPr="00061F78" w14:paraId="36B86CAE" w14:textId="77777777" w:rsidTr="00BB24D6">
        <w:trPr>
          <w:cantSplit/>
          <w:trHeight w:val="149"/>
        </w:trPr>
        <w:tc>
          <w:tcPr>
            <w:tcW w:w="557" w:type="pct"/>
            <w:tcMar>
              <w:left w:w="28" w:type="dxa"/>
              <w:right w:w="28" w:type="dxa"/>
            </w:tcMar>
          </w:tcPr>
          <w:p w14:paraId="2A59EF38" w14:textId="77777777" w:rsidR="00666DDE" w:rsidRDefault="00666DDE" w:rsidP="008F172E">
            <w:pPr>
              <w:pStyle w:val="Tablewriting"/>
              <w:rPr>
                <w:rFonts w:eastAsia="MS Mincho"/>
              </w:rPr>
            </w:pPr>
            <w:r>
              <w:rPr>
                <w:rFonts w:eastAsia="MS Mincho"/>
              </w:rPr>
              <w:t>Cahill</w:t>
            </w:r>
            <w:r w:rsidRPr="00061F78">
              <w:rPr>
                <w:rFonts w:eastAsia="MS Mincho"/>
              </w:rPr>
              <w:t xml:space="preserve"> </w:t>
            </w:r>
          </w:p>
          <w:p w14:paraId="2F62476C" w14:textId="573B0C89" w:rsidR="00666DDE" w:rsidRDefault="00666DDE" w:rsidP="008F172E">
            <w:pPr>
              <w:pStyle w:val="Tablewriting"/>
              <w:rPr>
                <w:rFonts w:eastAsia="MS Mincho"/>
              </w:rPr>
            </w:pPr>
            <w:r w:rsidRPr="00061F78">
              <w:rPr>
                <w:rFonts w:eastAsia="MS Mincho"/>
              </w:rPr>
              <w:t>(20</w:t>
            </w:r>
            <w:r>
              <w:rPr>
                <w:rFonts w:eastAsia="MS Mincho"/>
              </w:rPr>
              <w:t>16</w:t>
            </w:r>
            <w:r w:rsidRPr="00061F78">
              <w:rPr>
                <w:rFonts w:eastAsia="MS Mincho"/>
              </w:rPr>
              <w:t>)</w:t>
            </w:r>
            <w:r>
              <w:rPr>
                <w:rFonts w:eastAsia="MS Mincho"/>
                <w:vertAlign w:val="superscript"/>
              </w:rPr>
              <w:t>2</w:t>
            </w:r>
          </w:p>
        </w:tc>
        <w:tc>
          <w:tcPr>
            <w:tcW w:w="928" w:type="pct"/>
            <w:vAlign w:val="center"/>
          </w:tcPr>
          <w:p w14:paraId="685AC3A9" w14:textId="6EAB60C4" w:rsidR="00666DDE" w:rsidRDefault="00666DDE" w:rsidP="00037B11">
            <w:pPr>
              <w:pStyle w:val="Tablewriting"/>
              <w:jc w:val="center"/>
              <w:rPr>
                <w:rFonts w:eastAsia="MS Mincho"/>
              </w:rPr>
            </w:pPr>
            <w:r>
              <w:rPr>
                <w:rFonts w:eastAsia="MS Mincho"/>
              </w:rPr>
              <w:t>Cochrane Review (24 RCTs)</w:t>
            </w:r>
          </w:p>
        </w:tc>
        <w:tc>
          <w:tcPr>
            <w:tcW w:w="850" w:type="pct"/>
            <w:vMerge w:val="restart"/>
            <w:tcMar>
              <w:left w:w="28" w:type="dxa"/>
              <w:right w:w="28" w:type="dxa"/>
            </w:tcMar>
            <w:vAlign w:val="center"/>
          </w:tcPr>
          <w:p w14:paraId="7D112AE5" w14:textId="4B122509" w:rsidR="00666DDE" w:rsidRDefault="00666DDE" w:rsidP="00037B11">
            <w:pPr>
              <w:pStyle w:val="Tablewriting"/>
              <w:jc w:val="center"/>
              <w:rPr>
                <w:rFonts w:eastAsia="MS Mincho"/>
              </w:rPr>
            </w:pPr>
            <w:r>
              <w:rPr>
                <w:rFonts w:eastAsia="MS Mincho"/>
              </w:rPr>
              <w:t xml:space="preserve">Jorenby (2006), Bolliger (2011), </w:t>
            </w:r>
            <w:r w:rsidR="008F6D5F">
              <w:rPr>
                <w:rFonts w:eastAsia="MS Mincho"/>
              </w:rPr>
              <w:t>Tashkin (2011), Rennard (2012), EAGLES (2016)</w:t>
            </w:r>
          </w:p>
        </w:tc>
        <w:tc>
          <w:tcPr>
            <w:tcW w:w="619" w:type="pct"/>
            <w:tcMar>
              <w:left w:w="28" w:type="dxa"/>
              <w:right w:w="28" w:type="dxa"/>
            </w:tcMar>
            <w:vAlign w:val="center"/>
          </w:tcPr>
          <w:p w14:paraId="59C9F25B" w14:textId="77777777" w:rsidR="00666DDE" w:rsidRDefault="00666DDE" w:rsidP="00037B11">
            <w:pPr>
              <w:pStyle w:val="Tablewriting"/>
              <w:jc w:val="center"/>
              <w:rPr>
                <w:rFonts w:eastAsia="MS Mincho"/>
              </w:rPr>
            </w:pPr>
            <w:r>
              <w:rPr>
                <w:rFonts w:eastAsia="MS Mincho"/>
              </w:rPr>
              <w:t>29/5,905</w:t>
            </w:r>
          </w:p>
          <w:p w14:paraId="16A780BD" w14:textId="15AAE8DA" w:rsidR="00666DDE" w:rsidRDefault="00666DDE" w:rsidP="00037B11">
            <w:pPr>
              <w:pStyle w:val="Tablewriting"/>
              <w:jc w:val="center"/>
              <w:rPr>
                <w:rFonts w:eastAsia="MS Mincho"/>
              </w:rPr>
            </w:pPr>
            <w:r>
              <w:rPr>
                <w:rFonts w:eastAsia="MS Mincho"/>
              </w:rPr>
              <w:t>(%)</w:t>
            </w:r>
          </w:p>
        </w:tc>
        <w:tc>
          <w:tcPr>
            <w:tcW w:w="653" w:type="pct"/>
            <w:tcMar>
              <w:left w:w="28" w:type="dxa"/>
              <w:right w:w="28" w:type="dxa"/>
            </w:tcMar>
            <w:vAlign w:val="center"/>
          </w:tcPr>
          <w:p w14:paraId="5478D4DB" w14:textId="77777777" w:rsidR="00666DDE" w:rsidRDefault="00666DDE" w:rsidP="00037B11">
            <w:pPr>
              <w:pStyle w:val="Tablewriting"/>
              <w:jc w:val="center"/>
              <w:rPr>
                <w:rFonts w:eastAsia="MS Mincho"/>
              </w:rPr>
            </w:pPr>
            <w:r>
              <w:rPr>
                <w:rFonts w:eastAsia="MS Mincho"/>
              </w:rPr>
              <w:t>37/5,288</w:t>
            </w:r>
          </w:p>
          <w:p w14:paraId="33029BB7" w14:textId="30AAA23E" w:rsidR="00666DDE" w:rsidRDefault="00666DDE" w:rsidP="00037B11">
            <w:pPr>
              <w:pStyle w:val="Tablewriting"/>
              <w:jc w:val="center"/>
              <w:rPr>
                <w:rFonts w:eastAsia="MS Mincho"/>
              </w:rPr>
            </w:pPr>
            <w:r>
              <w:rPr>
                <w:rFonts w:eastAsia="MS Mincho"/>
              </w:rPr>
              <w:t>(%)</w:t>
            </w:r>
          </w:p>
        </w:tc>
        <w:tc>
          <w:tcPr>
            <w:tcW w:w="697" w:type="pct"/>
            <w:tcMar>
              <w:left w:w="28" w:type="dxa"/>
              <w:right w:w="28" w:type="dxa"/>
            </w:tcMar>
            <w:vAlign w:val="center"/>
          </w:tcPr>
          <w:p w14:paraId="29DE8218" w14:textId="77777777" w:rsidR="00666DDE" w:rsidRPr="00E119DC" w:rsidRDefault="00666DDE" w:rsidP="00EA0552">
            <w:pPr>
              <w:pStyle w:val="Tablewriting"/>
              <w:jc w:val="center"/>
              <w:rPr>
                <w:rFonts w:eastAsia="MS Mincho"/>
              </w:rPr>
            </w:pPr>
            <w:r w:rsidRPr="00E119DC">
              <w:rPr>
                <w:rFonts w:eastAsia="MS Mincho"/>
              </w:rPr>
              <w:t>0.68</w:t>
            </w:r>
          </w:p>
          <w:p w14:paraId="061C9925" w14:textId="5831AE81" w:rsidR="00666DDE" w:rsidRPr="00BE7363" w:rsidRDefault="00666DDE" w:rsidP="00EA0552">
            <w:pPr>
              <w:pStyle w:val="Tablewriting"/>
              <w:jc w:val="center"/>
              <w:rPr>
                <w:rFonts w:eastAsia="MS Mincho"/>
              </w:rPr>
            </w:pPr>
            <w:r w:rsidRPr="00E119DC">
              <w:rPr>
                <w:rFonts w:eastAsia="MS Mincho"/>
              </w:rPr>
              <w:t>(0.43, 1.07)</w:t>
            </w:r>
          </w:p>
        </w:tc>
        <w:tc>
          <w:tcPr>
            <w:tcW w:w="696" w:type="pct"/>
            <w:vAlign w:val="center"/>
          </w:tcPr>
          <w:p w14:paraId="122BD5DE" w14:textId="244BD7B6" w:rsidR="00666DDE" w:rsidRPr="00B930E5" w:rsidRDefault="00666DDE" w:rsidP="00037B11">
            <w:pPr>
              <w:pStyle w:val="Tablewriting"/>
              <w:jc w:val="center"/>
              <w:rPr>
                <w:rFonts w:eastAsia="MS Mincho"/>
              </w:rPr>
            </w:pPr>
            <w:r w:rsidRPr="00B930E5">
              <w:rPr>
                <w:rFonts w:eastAsia="MS Mincho"/>
              </w:rPr>
              <w:t>NR</w:t>
            </w:r>
          </w:p>
        </w:tc>
      </w:tr>
      <w:tr w:rsidR="00666DDE" w:rsidRPr="00061F78" w14:paraId="1CA7D206" w14:textId="77777777" w:rsidTr="00BB24D6">
        <w:trPr>
          <w:cantSplit/>
          <w:trHeight w:val="149"/>
        </w:trPr>
        <w:tc>
          <w:tcPr>
            <w:tcW w:w="557" w:type="pct"/>
            <w:tcMar>
              <w:left w:w="28" w:type="dxa"/>
              <w:right w:w="28" w:type="dxa"/>
            </w:tcMar>
          </w:tcPr>
          <w:p w14:paraId="5C2E308B" w14:textId="25E31658" w:rsidR="00666DDE" w:rsidRDefault="00666DDE"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73091C76" w14:textId="16EA3A3D" w:rsidR="00666DDE" w:rsidRDefault="00206BBC" w:rsidP="00037B11">
            <w:pPr>
              <w:pStyle w:val="Tablewriting"/>
              <w:jc w:val="center"/>
              <w:rPr>
                <w:rFonts w:eastAsia="MS Mincho"/>
              </w:rPr>
            </w:pPr>
            <w:r>
              <w:rPr>
                <w:rFonts w:eastAsia="MS Mincho"/>
              </w:rPr>
              <w:t>24 RCTs</w:t>
            </w:r>
          </w:p>
        </w:tc>
        <w:tc>
          <w:tcPr>
            <w:tcW w:w="850" w:type="pct"/>
            <w:vMerge/>
            <w:tcMar>
              <w:left w:w="28" w:type="dxa"/>
              <w:right w:w="28" w:type="dxa"/>
            </w:tcMar>
            <w:vAlign w:val="center"/>
          </w:tcPr>
          <w:p w14:paraId="3F95BE26" w14:textId="77777777" w:rsidR="00666DDE" w:rsidRDefault="00666DDE" w:rsidP="00037B11">
            <w:pPr>
              <w:pStyle w:val="Tablewriting"/>
              <w:jc w:val="center"/>
              <w:rPr>
                <w:rFonts w:eastAsia="MS Mincho"/>
              </w:rPr>
            </w:pPr>
          </w:p>
        </w:tc>
        <w:tc>
          <w:tcPr>
            <w:tcW w:w="619" w:type="pct"/>
            <w:tcMar>
              <w:left w:w="28" w:type="dxa"/>
              <w:right w:w="28" w:type="dxa"/>
            </w:tcMar>
            <w:vAlign w:val="center"/>
          </w:tcPr>
          <w:p w14:paraId="59D18B7E" w14:textId="77777777" w:rsidR="00666DDE" w:rsidRDefault="00206BBC" w:rsidP="00037B11">
            <w:pPr>
              <w:pStyle w:val="Tablewriting"/>
              <w:jc w:val="center"/>
              <w:rPr>
                <w:rFonts w:eastAsia="MS Mincho"/>
              </w:rPr>
            </w:pPr>
            <w:r>
              <w:rPr>
                <w:rFonts w:eastAsia="MS Mincho"/>
              </w:rPr>
              <w:t>23/5,512</w:t>
            </w:r>
          </w:p>
          <w:p w14:paraId="6EAC8534" w14:textId="6F306132" w:rsidR="00666DDE" w:rsidRDefault="00206BBC" w:rsidP="00037B11">
            <w:pPr>
              <w:pStyle w:val="Tablewriting"/>
              <w:jc w:val="center"/>
              <w:rPr>
                <w:rFonts w:eastAsia="MS Mincho"/>
              </w:rPr>
            </w:pPr>
            <w:r>
              <w:rPr>
                <w:rFonts w:eastAsia="MS Mincho"/>
              </w:rPr>
              <w:t>(</w:t>
            </w:r>
            <w:r w:rsidR="00353E0A">
              <w:rPr>
                <w:rFonts w:eastAsia="MS Mincho"/>
              </w:rPr>
              <w:t>0.4</w:t>
            </w:r>
            <w:r>
              <w:rPr>
                <w:rFonts w:eastAsia="MS Mincho"/>
              </w:rPr>
              <w:t>%)</w:t>
            </w:r>
          </w:p>
        </w:tc>
        <w:tc>
          <w:tcPr>
            <w:tcW w:w="653" w:type="pct"/>
            <w:tcMar>
              <w:left w:w="28" w:type="dxa"/>
              <w:right w:w="28" w:type="dxa"/>
            </w:tcMar>
            <w:vAlign w:val="center"/>
          </w:tcPr>
          <w:p w14:paraId="389C7977" w14:textId="77777777" w:rsidR="00666DDE" w:rsidRDefault="00206BBC" w:rsidP="00037B11">
            <w:pPr>
              <w:pStyle w:val="Tablewriting"/>
              <w:jc w:val="center"/>
              <w:rPr>
                <w:rFonts w:eastAsia="MS Mincho"/>
              </w:rPr>
            </w:pPr>
            <w:r>
              <w:rPr>
                <w:rFonts w:eastAsia="MS Mincho"/>
              </w:rPr>
              <w:t>28/4,964</w:t>
            </w:r>
          </w:p>
          <w:p w14:paraId="6B7F0E14" w14:textId="6762F4B8" w:rsidR="00666DDE" w:rsidRDefault="00206BBC" w:rsidP="00037B11">
            <w:pPr>
              <w:pStyle w:val="Tablewriting"/>
              <w:jc w:val="center"/>
              <w:rPr>
                <w:rFonts w:eastAsia="MS Mincho"/>
              </w:rPr>
            </w:pPr>
            <w:r>
              <w:rPr>
                <w:rFonts w:eastAsia="MS Mincho"/>
              </w:rPr>
              <w:t>(</w:t>
            </w:r>
            <w:r w:rsidR="0058649D">
              <w:rPr>
                <w:rFonts w:eastAsia="MS Mincho"/>
              </w:rPr>
              <w:t>0.6</w:t>
            </w:r>
            <w:r>
              <w:rPr>
                <w:rFonts w:eastAsia="MS Mincho"/>
              </w:rPr>
              <w:t>%)</w:t>
            </w:r>
          </w:p>
        </w:tc>
        <w:tc>
          <w:tcPr>
            <w:tcW w:w="697" w:type="pct"/>
            <w:tcMar>
              <w:left w:w="28" w:type="dxa"/>
              <w:right w:w="28" w:type="dxa"/>
            </w:tcMar>
            <w:vAlign w:val="center"/>
          </w:tcPr>
          <w:p w14:paraId="0DD255DF" w14:textId="77777777" w:rsidR="00666DDE" w:rsidRDefault="00206BBC" w:rsidP="00037B11">
            <w:pPr>
              <w:pStyle w:val="Tablewriting"/>
              <w:jc w:val="center"/>
              <w:rPr>
                <w:rFonts w:eastAsia="MS Mincho"/>
              </w:rPr>
            </w:pPr>
            <w:r>
              <w:rPr>
                <w:rFonts w:eastAsia="MS Mincho"/>
              </w:rPr>
              <w:t>0.74</w:t>
            </w:r>
          </w:p>
          <w:p w14:paraId="044C0E94" w14:textId="650C8C82" w:rsidR="00666DDE" w:rsidRPr="00BE7363" w:rsidRDefault="00206BBC" w:rsidP="00037B11">
            <w:pPr>
              <w:pStyle w:val="Tablewriting"/>
              <w:jc w:val="center"/>
              <w:rPr>
                <w:rFonts w:eastAsia="MS Mincho"/>
              </w:rPr>
            </w:pPr>
            <w:r>
              <w:rPr>
                <w:rFonts w:eastAsia="MS Mincho"/>
              </w:rPr>
              <w:t>(0.43, 1.26)</w:t>
            </w:r>
          </w:p>
        </w:tc>
        <w:tc>
          <w:tcPr>
            <w:tcW w:w="696" w:type="pct"/>
            <w:vAlign w:val="center"/>
          </w:tcPr>
          <w:p w14:paraId="73D33EDF" w14:textId="77777777" w:rsidR="00666DDE" w:rsidRPr="005C3E12" w:rsidRDefault="005C3E12" w:rsidP="00037B11">
            <w:pPr>
              <w:pStyle w:val="Tablewriting"/>
              <w:jc w:val="center"/>
              <w:rPr>
                <w:rFonts w:eastAsia="MS Mincho"/>
              </w:rPr>
            </w:pPr>
            <w:r w:rsidRPr="005C3E12">
              <w:rPr>
                <w:rFonts w:eastAsia="MS Mincho"/>
              </w:rPr>
              <w:t>-0.00</w:t>
            </w:r>
          </w:p>
          <w:p w14:paraId="74D7FA3C" w14:textId="20D7D865" w:rsidR="00666DDE" w:rsidRPr="003A43F6" w:rsidRDefault="005C3E12" w:rsidP="00037B11">
            <w:pPr>
              <w:pStyle w:val="Tablewriting"/>
              <w:jc w:val="center"/>
              <w:rPr>
                <w:rFonts w:eastAsia="MS Mincho"/>
                <w:b/>
                <w:bCs/>
              </w:rPr>
            </w:pPr>
            <w:r w:rsidRPr="005C3E12">
              <w:rPr>
                <w:rFonts w:eastAsia="MS Mincho"/>
              </w:rPr>
              <w:t>(-0.00, 0.00)</w:t>
            </w:r>
          </w:p>
        </w:tc>
      </w:tr>
      <w:tr w:rsidR="00916D39" w:rsidRPr="00061F78" w14:paraId="09F4B349" w14:textId="77777777" w:rsidTr="00BB24D6">
        <w:trPr>
          <w:cantSplit/>
          <w:trHeight w:val="149"/>
        </w:trPr>
        <w:tc>
          <w:tcPr>
            <w:tcW w:w="5000" w:type="pct"/>
            <w:gridSpan w:val="7"/>
            <w:shd w:val="clear" w:color="auto" w:fill="auto"/>
            <w:tcMar>
              <w:left w:w="28" w:type="dxa"/>
              <w:right w:w="28" w:type="dxa"/>
            </w:tcMar>
          </w:tcPr>
          <w:p w14:paraId="5FCB0110" w14:textId="56E84EDB" w:rsidR="00916D39" w:rsidRPr="003954C8" w:rsidRDefault="00916D39" w:rsidP="00723730">
            <w:pPr>
              <w:pStyle w:val="Tablewriting"/>
              <w:rPr>
                <w:rFonts w:eastAsia="MS Mincho"/>
                <w:b/>
                <w:bCs/>
              </w:rPr>
            </w:pPr>
            <w:r w:rsidRPr="003954C8">
              <w:rPr>
                <w:rFonts w:eastAsia="MS Mincho"/>
                <w:b/>
                <w:bCs/>
              </w:rPr>
              <w:t>Serious adverse event</w:t>
            </w:r>
            <w:r w:rsidR="00425FD6" w:rsidRPr="003954C8">
              <w:rPr>
                <w:rFonts w:eastAsia="MS Mincho"/>
                <w:b/>
                <w:bCs/>
              </w:rPr>
              <w:t>s</w:t>
            </w:r>
          </w:p>
        </w:tc>
      </w:tr>
      <w:tr w:rsidR="00916D39" w:rsidRPr="00061F78" w14:paraId="124252CE" w14:textId="77777777" w:rsidTr="00BB24D6">
        <w:trPr>
          <w:cantSplit/>
          <w:trHeight w:val="149"/>
        </w:trPr>
        <w:tc>
          <w:tcPr>
            <w:tcW w:w="557" w:type="pct"/>
            <w:tcMar>
              <w:left w:w="28" w:type="dxa"/>
              <w:right w:w="28" w:type="dxa"/>
            </w:tcMar>
          </w:tcPr>
          <w:p w14:paraId="093CAE6E" w14:textId="77777777" w:rsidR="00916D39" w:rsidRDefault="00916D39" w:rsidP="00037B11">
            <w:pPr>
              <w:pStyle w:val="Tablewriting"/>
              <w:rPr>
                <w:rFonts w:eastAsia="MS Mincho"/>
              </w:rPr>
            </w:pPr>
            <w:r>
              <w:rPr>
                <w:rFonts w:eastAsia="MS Mincho"/>
              </w:rPr>
              <w:t>Cahill</w:t>
            </w:r>
            <w:r w:rsidRPr="00061F78">
              <w:rPr>
                <w:rFonts w:eastAsia="MS Mincho"/>
              </w:rPr>
              <w:t xml:space="preserve"> </w:t>
            </w:r>
          </w:p>
          <w:p w14:paraId="0B8E9D49" w14:textId="77FC734C" w:rsidR="00916D39" w:rsidRDefault="00916D39"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7934C1F9" w14:textId="5DAE225C" w:rsidR="00916D39" w:rsidRDefault="00916D39" w:rsidP="00037B11">
            <w:pPr>
              <w:pStyle w:val="Tablewriting"/>
              <w:jc w:val="center"/>
              <w:rPr>
                <w:rFonts w:eastAsia="MS Mincho"/>
              </w:rPr>
            </w:pPr>
            <w:r>
              <w:rPr>
                <w:rFonts w:eastAsia="MS Mincho"/>
              </w:rPr>
              <w:t>Cochrane Review (2</w:t>
            </w:r>
            <w:r w:rsidR="00AA4983">
              <w:rPr>
                <w:rFonts w:eastAsia="MS Mincho"/>
              </w:rPr>
              <w:t>9</w:t>
            </w:r>
            <w:r>
              <w:rPr>
                <w:rFonts w:eastAsia="MS Mincho"/>
              </w:rPr>
              <w:t xml:space="preserve"> RCTs)</w:t>
            </w:r>
          </w:p>
        </w:tc>
        <w:tc>
          <w:tcPr>
            <w:tcW w:w="850" w:type="pct"/>
            <w:vMerge w:val="restart"/>
            <w:tcMar>
              <w:left w:w="28" w:type="dxa"/>
              <w:right w:w="28" w:type="dxa"/>
            </w:tcMar>
            <w:vAlign w:val="center"/>
          </w:tcPr>
          <w:p w14:paraId="78026018" w14:textId="7C062F64" w:rsidR="00916D39" w:rsidRDefault="00916D39" w:rsidP="00037B11">
            <w:pPr>
              <w:pStyle w:val="Tablewriting"/>
              <w:jc w:val="center"/>
              <w:rPr>
                <w:rFonts w:eastAsia="MS Mincho"/>
              </w:rPr>
            </w:pPr>
            <w:r>
              <w:rPr>
                <w:rFonts w:eastAsia="MS Mincho"/>
              </w:rPr>
              <w:t>All studies</w:t>
            </w:r>
          </w:p>
        </w:tc>
        <w:tc>
          <w:tcPr>
            <w:tcW w:w="619" w:type="pct"/>
            <w:tcMar>
              <w:left w:w="28" w:type="dxa"/>
              <w:right w:w="28" w:type="dxa"/>
            </w:tcMar>
            <w:vAlign w:val="center"/>
          </w:tcPr>
          <w:p w14:paraId="4841D5B3" w14:textId="394F09CE" w:rsidR="00916D39" w:rsidRDefault="009A6A32" w:rsidP="00037B11">
            <w:pPr>
              <w:pStyle w:val="Tablewriting"/>
              <w:jc w:val="center"/>
              <w:rPr>
                <w:rFonts w:eastAsia="MS Mincho"/>
              </w:rPr>
            </w:pPr>
            <w:r>
              <w:rPr>
                <w:rFonts w:eastAsia="MS Mincho"/>
              </w:rPr>
              <w:t>269</w:t>
            </w:r>
            <w:r w:rsidR="00916D39">
              <w:rPr>
                <w:rFonts w:eastAsia="MS Mincho"/>
              </w:rPr>
              <w:t>/</w:t>
            </w:r>
            <w:r>
              <w:rPr>
                <w:rFonts w:eastAsia="MS Mincho"/>
              </w:rPr>
              <w:t>8,125</w:t>
            </w:r>
          </w:p>
          <w:p w14:paraId="0E2D75A1" w14:textId="4B69A904" w:rsidR="00916D39" w:rsidRDefault="00EE5CB4" w:rsidP="00037B11">
            <w:pPr>
              <w:pStyle w:val="Tablewriting"/>
              <w:jc w:val="center"/>
              <w:rPr>
                <w:rFonts w:eastAsia="MS Mincho"/>
              </w:rPr>
            </w:pPr>
            <w:r>
              <w:rPr>
                <w:rFonts w:eastAsia="MS Mincho"/>
              </w:rPr>
              <w:t>(3.3%)</w:t>
            </w:r>
          </w:p>
        </w:tc>
        <w:tc>
          <w:tcPr>
            <w:tcW w:w="653" w:type="pct"/>
            <w:tcMar>
              <w:left w:w="28" w:type="dxa"/>
              <w:right w:w="28" w:type="dxa"/>
            </w:tcMar>
            <w:vAlign w:val="center"/>
          </w:tcPr>
          <w:p w14:paraId="20B0136A" w14:textId="7825646E" w:rsidR="00916D39" w:rsidRDefault="002A2809" w:rsidP="00037B11">
            <w:pPr>
              <w:pStyle w:val="Tablewriting"/>
              <w:jc w:val="center"/>
              <w:rPr>
                <w:rFonts w:eastAsia="MS Mincho"/>
              </w:rPr>
            </w:pPr>
            <w:r>
              <w:rPr>
                <w:rFonts w:eastAsia="MS Mincho"/>
              </w:rPr>
              <w:t>196</w:t>
            </w:r>
            <w:r w:rsidR="00916D39">
              <w:rPr>
                <w:rFonts w:eastAsia="MS Mincho"/>
              </w:rPr>
              <w:t>/</w:t>
            </w:r>
            <w:r>
              <w:rPr>
                <w:rFonts w:eastAsia="MS Mincho"/>
              </w:rPr>
              <w:t>7,245</w:t>
            </w:r>
          </w:p>
          <w:p w14:paraId="01064D2D" w14:textId="3D04D00B" w:rsidR="00916D39" w:rsidRDefault="00273ABC" w:rsidP="00037B11">
            <w:pPr>
              <w:pStyle w:val="Tablewriting"/>
              <w:jc w:val="center"/>
              <w:rPr>
                <w:rFonts w:eastAsia="MS Mincho"/>
              </w:rPr>
            </w:pPr>
            <w:r>
              <w:rPr>
                <w:rFonts w:eastAsia="MS Mincho"/>
              </w:rPr>
              <w:t>(2.7%)</w:t>
            </w:r>
          </w:p>
        </w:tc>
        <w:tc>
          <w:tcPr>
            <w:tcW w:w="697" w:type="pct"/>
            <w:tcMar>
              <w:left w:w="28" w:type="dxa"/>
              <w:right w:w="28" w:type="dxa"/>
            </w:tcMar>
            <w:vAlign w:val="center"/>
          </w:tcPr>
          <w:p w14:paraId="1DE585C1" w14:textId="36CB9D06" w:rsidR="00916D39" w:rsidRDefault="00916D39" w:rsidP="00037B11">
            <w:pPr>
              <w:pStyle w:val="Tablewriting"/>
              <w:jc w:val="center"/>
              <w:rPr>
                <w:rFonts w:eastAsia="MS Mincho"/>
                <w:b/>
                <w:bCs/>
              </w:rPr>
            </w:pPr>
            <w:r>
              <w:rPr>
                <w:rFonts w:eastAsia="MS Mincho"/>
                <w:b/>
                <w:bCs/>
              </w:rPr>
              <w:t>1.</w:t>
            </w:r>
            <w:r w:rsidR="002A2809">
              <w:rPr>
                <w:rFonts w:eastAsia="MS Mincho"/>
                <w:b/>
                <w:bCs/>
              </w:rPr>
              <w:t>25</w:t>
            </w:r>
          </w:p>
          <w:p w14:paraId="69CB66DA" w14:textId="2D809E8B" w:rsidR="00916D39" w:rsidRDefault="00916D39" w:rsidP="00037B11">
            <w:pPr>
              <w:pStyle w:val="Tablewriting"/>
              <w:jc w:val="center"/>
              <w:rPr>
                <w:rFonts w:eastAsia="MS Mincho"/>
                <w:b/>
                <w:bCs/>
              </w:rPr>
            </w:pPr>
            <w:r>
              <w:rPr>
                <w:rFonts w:eastAsia="MS Mincho"/>
                <w:b/>
                <w:bCs/>
              </w:rPr>
              <w:t>(1.0</w:t>
            </w:r>
            <w:r w:rsidR="002A2809">
              <w:rPr>
                <w:rFonts w:eastAsia="MS Mincho"/>
                <w:b/>
                <w:bCs/>
              </w:rPr>
              <w:t>4</w:t>
            </w:r>
            <w:r>
              <w:rPr>
                <w:rFonts w:eastAsia="MS Mincho"/>
                <w:b/>
                <w:bCs/>
              </w:rPr>
              <w:t>, 1.</w:t>
            </w:r>
            <w:r w:rsidR="002A2809">
              <w:rPr>
                <w:rFonts w:eastAsia="MS Mincho"/>
                <w:b/>
                <w:bCs/>
              </w:rPr>
              <w:t>4</w:t>
            </w:r>
            <w:r>
              <w:rPr>
                <w:rFonts w:eastAsia="MS Mincho"/>
                <w:b/>
                <w:bCs/>
              </w:rPr>
              <w:t>9)</w:t>
            </w:r>
          </w:p>
        </w:tc>
        <w:tc>
          <w:tcPr>
            <w:tcW w:w="696" w:type="pct"/>
            <w:vAlign w:val="center"/>
          </w:tcPr>
          <w:p w14:paraId="3B35992E" w14:textId="4E88F23F" w:rsidR="00916D39" w:rsidRPr="00061F78" w:rsidRDefault="00037B11" w:rsidP="00037B11">
            <w:pPr>
              <w:pStyle w:val="Tablewriting"/>
              <w:jc w:val="center"/>
              <w:rPr>
                <w:rFonts w:eastAsia="MS Mincho"/>
              </w:rPr>
            </w:pPr>
            <w:r>
              <w:rPr>
                <w:rFonts w:eastAsia="MS Mincho"/>
              </w:rPr>
              <w:t>NR</w:t>
            </w:r>
          </w:p>
        </w:tc>
      </w:tr>
      <w:tr w:rsidR="00037B11" w:rsidRPr="00061F78" w14:paraId="64838CA9" w14:textId="77777777" w:rsidTr="00BB24D6">
        <w:trPr>
          <w:cantSplit/>
          <w:trHeight w:val="149"/>
        </w:trPr>
        <w:tc>
          <w:tcPr>
            <w:tcW w:w="557" w:type="pct"/>
            <w:tcMar>
              <w:left w:w="28" w:type="dxa"/>
              <w:right w:w="28" w:type="dxa"/>
            </w:tcMar>
          </w:tcPr>
          <w:p w14:paraId="1AA11193" w14:textId="715667A8"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302BEF5F" w14:textId="2AAB11EC" w:rsidR="00037B11" w:rsidRDefault="00466045" w:rsidP="00037B11">
            <w:pPr>
              <w:pStyle w:val="Tablewriting"/>
              <w:jc w:val="center"/>
              <w:rPr>
                <w:rFonts w:eastAsia="MS Mincho"/>
              </w:rPr>
            </w:pPr>
            <w:r>
              <w:rPr>
                <w:rFonts w:eastAsia="MS Mincho"/>
              </w:rPr>
              <w:t>28</w:t>
            </w:r>
            <w:r w:rsidR="00037B11">
              <w:rPr>
                <w:rFonts w:eastAsia="MS Mincho"/>
              </w:rPr>
              <w:t xml:space="preserve"> RCTs</w:t>
            </w:r>
          </w:p>
        </w:tc>
        <w:tc>
          <w:tcPr>
            <w:tcW w:w="850" w:type="pct"/>
            <w:vMerge/>
            <w:tcMar>
              <w:left w:w="28" w:type="dxa"/>
              <w:right w:w="28" w:type="dxa"/>
            </w:tcMar>
            <w:vAlign w:val="center"/>
          </w:tcPr>
          <w:p w14:paraId="208AE77B" w14:textId="4242E5EE" w:rsidR="00037B11" w:rsidRDefault="00037B11" w:rsidP="00037B11">
            <w:pPr>
              <w:pStyle w:val="Tablewriting"/>
              <w:jc w:val="center"/>
              <w:rPr>
                <w:rFonts w:eastAsia="MS Mincho"/>
              </w:rPr>
            </w:pPr>
          </w:p>
        </w:tc>
        <w:tc>
          <w:tcPr>
            <w:tcW w:w="619" w:type="pct"/>
            <w:tcMar>
              <w:left w:w="28" w:type="dxa"/>
              <w:right w:w="28" w:type="dxa"/>
            </w:tcMar>
            <w:vAlign w:val="center"/>
          </w:tcPr>
          <w:p w14:paraId="2505B38C" w14:textId="5BA361F9" w:rsidR="00037B11" w:rsidRDefault="00466045" w:rsidP="00037B11">
            <w:pPr>
              <w:pStyle w:val="Tablewriting"/>
              <w:jc w:val="center"/>
              <w:rPr>
                <w:rFonts w:eastAsia="MS Mincho"/>
              </w:rPr>
            </w:pPr>
            <w:r>
              <w:rPr>
                <w:rFonts w:eastAsia="MS Mincho"/>
              </w:rPr>
              <w:t>283</w:t>
            </w:r>
            <w:r w:rsidR="00037B11">
              <w:rPr>
                <w:rFonts w:eastAsia="MS Mincho"/>
              </w:rPr>
              <w:t>/</w:t>
            </w:r>
            <w:r>
              <w:rPr>
                <w:rFonts w:eastAsia="MS Mincho"/>
              </w:rPr>
              <w:t>7,828</w:t>
            </w:r>
          </w:p>
          <w:p w14:paraId="0BDF169B" w14:textId="1826C357" w:rsidR="00037B11" w:rsidRDefault="00037B11" w:rsidP="00037B11">
            <w:pPr>
              <w:pStyle w:val="Tablewriting"/>
              <w:jc w:val="center"/>
              <w:rPr>
                <w:rFonts w:eastAsia="MS Mincho"/>
              </w:rPr>
            </w:pPr>
            <w:r>
              <w:rPr>
                <w:rFonts w:eastAsia="MS Mincho"/>
              </w:rPr>
              <w:t>(</w:t>
            </w:r>
            <w:r w:rsidR="00184803">
              <w:rPr>
                <w:rFonts w:eastAsia="MS Mincho"/>
              </w:rPr>
              <w:t>3.6</w:t>
            </w:r>
            <w:r>
              <w:rPr>
                <w:rFonts w:eastAsia="MS Mincho"/>
              </w:rPr>
              <w:t>%)</w:t>
            </w:r>
          </w:p>
        </w:tc>
        <w:tc>
          <w:tcPr>
            <w:tcW w:w="653" w:type="pct"/>
            <w:tcMar>
              <w:left w:w="28" w:type="dxa"/>
              <w:right w:w="28" w:type="dxa"/>
            </w:tcMar>
            <w:vAlign w:val="center"/>
          </w:tcPr>
          <w:p w14:paraId="1C996CE6" w14:textId="273DAE97" w:rsidR="00037B11" w:rsidRDefault="00037B11" w:rsidP="00037B11">
            <w:pPr>
              <w:pStyle w:val="Tablewriting"/>
              <w:jc w:val="center"/>
              <w:rPr>
                <w:rFonts w:eastAsia="MS Mincho"/>
              </w:rPr>
            </w:pPr>
            <w:r>
              <w:rPr>
                <w:rFonts w:eastAsia="MS Mincho"/>
              </w:rPr>
              <w:t>2</w:t>
            </w:r>
            <w:r w:rsidR="001C0660">
              <w:rPr>
                <w:rFonts w:eastAsia="MS Mincho"/>
              </w:rPr>
              <w:t>42</w:t>
            </w:r>
            <w:r>
              <w:rPr>
                <w:rFonts w:eastAsia="MS Mincho"/>
              </w:rPr>
              <w:t>/</w:t>
            </w:r>
            <w:r w:rsidR="001C0660">
              <w:rPr>
                <w:rFonts w:eastAsia="MS Mincho"/>
              </w:rPr>
              <w:t>7,121</w:t>
            </w:r>
          </w:p>
          <w:p w14:paraId="0872DF46" w14:textId="5C1466A0" w:rsidR="00037B11" w:rsidRDefault="00037B11" w:rsidP="00037B11">
            <w:pPr>
              <w:pStyle w:val="Tablewriting"/>
              <w:jc w:val="center"/>
              <w:rPr>
                <w:rFonts w:eastAsia="MS Mincho"/>
              </w:rPr>
            </w:pPr>
            <w:r>
              <w:rPr>
                <w:rFonts w:eastAsia="MS Mincho"/>
              </w:rPr>
              <w:t>(</w:t>
            </w:r>
            <w:r w:rsidR="004070C5">
              <w:rPr>
                <w:rFonts w:eastAsia="MS Mincho"/>
              </w:rPr>
              <w:t>3.4</w:t>
            </w:r>
            <w:r>
              <w:rPr>
                <w:rFonts w:eastAsia="MS Mincho"/>
              </w:rPr>
              <w:t>%)</w:t>
            </w:r>
          </w:p>
        </w:tc>
        <w:tc>
          <w:tcPr>
            <w:tcW w:w="697" w:type="pct"/>
            <w:tcMar>
              <w:left w:w="28" w:type="dxa"/>
              <w:right w:w="28" w:type="dxa"/>
            </w:tcMar>
            <w:vAlign w:val="center"/>
          </w:tcPr>
          <w:p w14:paraId="5757C31B" w14:textId="77777777" w:rsidR="00037B11" w:rsidRPr="00031F51" w:rsidRDefault="00037B11" w:rsidP="00037B11">
            <w:pPr>
              <w:pStyle w:val="Tablewriting"/>
              <w:jc w:val="center"/>
              <w:rPr>
                <w:rFonts w:eastAsia="MS Mincho"/>
              </w:rPr>
            </w:pPr>
            <w:r w:rsidRPr="00031F51">
              <w:rPr>
                <w:rFonts w:eastAsia="MS Mincho"/>
              </w:rPr>
              <w:t>1.08</w:t>
            </w:r>
          </w:p>
          <w:p w14:paraId="39EC454A" w14:textId="7A3E130D" w:rsidR="00037B11" w:rsidRDefault="00037B11" w:rsidP="00037B11">
            <w:pPr>
              <w:pStyle w:val="Tablewriting"/>
              <w:jc w:val="center"/>
              <w:rPr>
                <w:rFonts w:eastAsia="MS Mincho"/>
                <w:b/>
                <w:bCs/>
              </w:rPr>
            </w:pPr>
            <w:r w:rsidRPr="00031F51">
              <w:rPr>
                <w:rFonts w:eastAsia="MS Mincho"/>
              </w:rPr>
              <w:t>(0.9</w:t>
            </w:r>
            <w:r w:rsidR="001C0660">
              <w:rPr>
                <w:rFonts w:eastAsia="MS Mincho"/>
              </w:rPr>
              <w:t>1</w:t>
            </w:r>
            <w:r w:rsidRPr="00031F51">
              <w:rPr>
                <w:rFonts w:eastAsia="MS Mincho"/>
              </w:rPr>
              <w:t>, 1.2</w:t>
            </w:r>
            <w:r w:rsidR="001C0660">
              <w:rPr>
                <w:rFonts w:eastAsia="MS Mincho"/>
              </w:rPr>
              <w:t>7</w:t>
            </w:r>
            <w:r w:rsidRPr="00031F51">
              <w:rPr>
                <w:rFonts w:eastAsia="MS Mincho"/>
              </w:rPr>
              <w:t>)</w:t>
            </w:r>
          </w:p>
        </w:tc>
        <w:tc>
          <w:tcPr>
            <w:tcW w:w="696" w:type="pct"/>
            <w:vAlign w:val="center"/>
          </w:tcPr>
          <w:p w14:paraId="7D7197D9" w14:textId="77777777" w:rsidR="00037B11" w:rsidRDefault="00D175DB" w:rsidP="00037B11">
            <w:pPr>
              <w:pStyle w:val="Tablewriting"/>
              <w:jc w:val="center"/>
              <w:rPr>
                <w:rFonts w:eastAsia="MS Mincho"/>
              </w:rPr>
            </w:pPr>
            <w:r>
              <w:rPr>
                <w:rFonts w:eastAsia="MS Mincho"/>
              </w:rPr>
              <w:t>0.01</w:t>
            </w:r>
          </w:p>
          <w:p w14:paraId="382AFEF3" w14:textId="5BD7F0B6" w:rsidR="00D175DB" w:rsidRPr="00061F78" w:rsidRDefault="00D175DB" w:rsidP="00037B11">
            <w:pPr>
              <w:pStyle w:val="Tablewriting"/>
              <w:jc w:val="center"/>
              <w:rPr>
                <w:rFonts w:eastAsia="MS Mincho"/>
              </w:rPr>
            </w:pPr>
            <w:r>
              <w:rPr>
                <w:rFonts w:eastAsia="MS Mincho"/>
              </w:rPr>
              <w:t>(</w:t>
            </w:r>
            <w:r w:rsidR="00D14FCE">
              <w:rPr>
                <w:rFonts w:eastAsia="MS Mincho"/>
              </w:rPr>
              <w:t>-</w:t>
            </w:r>
            <w:r>
              <w:rPr>
                <w:rFonts w:eastAsia="MS Mincho"/>
              </w:rPr>
              <w:t>0, 0.01)</w:t>
            </w:r>
          </w:p>
        </w:tc>
      </w:tr>
      <w:tr w:rsidR="002751EE" w:rsidRPr="00061F78" w14:paraId="7CD7609F" w14:textId="77777777" w:rsidTr="00BB24D6">
        <w:trPr>
          <w:cantSplit/>
          <w:trHeight w:val="149"/>
        </w:trPr>
        <w:tc>
          <w:tcPr>
            <w:tcW w:w="5000" w:type="pct"/>
            <w:gridSpan w:val="7"/>
            <w:shd w:val="clear" w:color="auto" w:fill="auto"/>
            <w:tcMar>
              <w:left w:w="28" w:type="dxa"/>
              <w:right w:w="28" w:type="dxa"/>
            </w:tcMar>
          </w:tcPr>
          <w:p w14:paraId="115ECC7C" w14:textId="4EC13B5B" w:rsidR="002751EE" w:rsidRPr="003954C8" w:rsidRDefault="002751EE" w:rsidP="00723730">
            <w:pPr>
              <w:pStyle w:val="Tablewriting"/>
              <w:jc w:val="both"/>
              <w:rPr>
                <w:rFonts w:eastAsia="MS Mincho"/>
                <w:b/>
                <w:bCs/>
              </w:rPr>
            </w:pPr>
            <w:r w:rsidRPr="003954C8">
              <w:rPr>
                <w:rFonts w:eastAsia="MS Mincho"/>
                <w:b/>
                <w:bCs/>
              </w:rPr>
              <w:t>Serious adverse event</w:t>
            </w:r>
            <w:r w:rsidR="00425FD6" w:rsidRPr="003954C8">
              <w:rPr>
                <w:rFonts w:eastAsia="MS Mincho"/>
                <w:b/>
                <w:bCs/>
              </w:rPr>
              <w:t>s – neuropsychiatric (</w:t>
            </w:r>
            <w:r w:rsidR="00773EDF" w:rsidRPr="003954C8">
              <w:rPr>
                <w:rFonts w:eastAsia="MS Mincho"/>
                <w:b/>
                <w:bCs/>
              </w:rPr>
              <w:t>excluding deaths)</w:t>
            </w:r>
          </w:p>
        </w:tc>
      </w:tr>
      <w:tr w:rsidR="00773EDF" w:rsidRPr="00061F78" w14:paraId="26992281" w14:textId="77777777" w:rsidTr="00BB24D6">
        <w:trPr>
          <w:cantSplit/>
          <w:trHeight w:val="149"/>
        </w:trPr>
        <w:tc>
          <w:tcPr>
            <w:tcW w:w="557" w:type="pct"/>
            <w:tcMar>
              <w:left w:w="28" w:type="dxa"/>
              <w:right w:w="28" w:type="dxa"/>
            </w:tcMar>
          </w:tcPr>
          <w:p w14:paraId="35E67026" w14:textId="77777777" w:rsidR="00773EDF" w:rsidRDefault="00773EDF" w:rsidP="00037B11">
            <w:pPr>
              <w:pStyle w:val="Tablewriting"/>
              <w:rPr>
                <w:rFonts w:eastAsia="MS Mincho"/>
              </w:rPr>
            </w:pPr>
            <w:r>
              <w:rPr>
                <w:rFonts w:eastAsia="MS Mincho"/>
              </w:rPr>
              <w:t>Cahill</w:t>
            </w:r>
            <w:r w:rsidRPr="00061F78">
              <w:rPr>
                <w:rFonts w:eastAsia="MS Mincho"/>
              </w:rPr>
              <w:t xml:space="preserve"> </w:t>
            </w:r>
          </w:p>
          <w:p w14:paraId="6DA2C113" w14:textId="646936C5" w:rsidR="00773EDF" w:rsidRDefault="00773EDF"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17D5E5EC" w14:textId="7CE7F9DC" w:rsidR="00773EDF" w:rsidRDefault="00773EDF" w:rsidP="00037B11">
            <w:pPr>
              <w:pStyle w:val="Tablewriting"/>
              <w:jc w:val="center"/>
              <w:rPr>
                <w:rFonts w:eastAsia="MS Mincho"/>
              </w:rPr>
            </w:pPr>
            <w:r>
              <w:rPr>
                <w:rFonts w:eastAsia="MS Mincho"/>
              </w:rPr>
              <w:t>Cochrane Review (</w:t>
            </w:r>
            <w:r w:rsidR="005C42B4">
              <w:rPr>
                <w:rFonts w:eastAsia="MS Mincho"/>
              </w:rPr>
              <w:t>23</w:t>
            </w:r>
            <w:r>
              <w:rPr>
                <w:rFonts w:eastAsia="MS Mincho"/>
              </w:rPr>
              <w:t xml:space="preserve"> RCTs)</w:t>
            </w:r>
          </w:p>
        </w:tc>
        <w:tc>
          <w:tcPr>
            <w:tcW w:w="850" w:type="pct"/>
            <w:vMerge w:val="restart"/>
            <w:tcMar>
              <w:left w:w="28" w:type="dxa"/>
              <w:right w:w="28" w:type="dxa"/>
            </w:tcMar>
            <w:vAlign w:val="center"/>
          </w:tcPr>
          <w:p w14:paraId="03E2577E" w14:textId="67765D2B" w:rsidR="00773EDF" w:rsidRDefault="00773EDF" w:rsidP="00037B11">
            <w:pPr>
              <w:pStyle w:val="Tablewriting"/>
              <w:jc w:val="center"/>
              <w:rPr>
                <w:rFonts w:eastAsia="MS Mincho"/>
              </w:rPr>
            </w:pPr>
            <w:r>
              <w:rPr>
                <w:rFonts w:eastAsia="MS Mincho"/>
              </w:rPr>
              <w:t>All studies</w:t>
            </w:r>
            <w:r w:rsidR="00FE57B1">
              <w:rPr>
                <w:rFonts w:eastAsia="MS Mincho"/>
              </w:rPr>
              <w:t xml:space="preserve"> except EAGLES (2016)</w:t>
            </w:r>
          </w:p>
        </w:tc>
        <w:tc>
          <w:tcPr>
            <w:tcW w:w="619" w:type="pct"/>
            <w:tcMar>
              <w:left w:w="28" w:type="dxa"/>
              <w:right w:w="28" w:type="dxa"/>
            </w:tcMar>
            <w:vAlign w:val="center"/>
          </w:tcPr>
          <w:p w14:paraId="583F5278" w14:textId="26701811" w:rsidR="00773EDF" w:rsidRDefault="004F73F2" w:rsidP="00037B11">
            <w:pPr>
              <w:pStyle w:val="Tablewriting"/>
              <w:jc w:val="center"/>
              <w:rPr>
                <w:rFonts w:eastAsia="MS Mincho"/>
              </w:rPr>
            </w:pPr>
            <w:r>
              <w:rPr>
                <w:rFonts w:eastAsia="MS Mincho"/>
              </w:rPr>
              <w:t>41</w:t>
            </w:r>
            <w:r w:rsidR="00773EDF">
              <w:rPr>
                <w:rFonts w:eastAsia="MS Mincho"/>
              </w:rPr>
              <w:t>/</w:t>
            </w:r>
            <w:r w:rsidR="00AB3123">
              <w:rPr>
                <w:rFonts w:eastAsia="MS Mincho"/>
              </w:rPr>
              <w:t>4,920</w:t>
            </w:r>
          </w:p>
          <w:p w14:paraId="1D433E90" w14:textId="3C1104C7" w:rsidR="00773EDF" w:rsidRDefault="006730CA" w:rsidP="00037B11">
            <w:pPr>
              <w:pStyle w:val="Tablewriting"/>
              <w:jc w:val="center"/>
              <w:rPr>
                <w:rFonts w:eastAsia="MS Mincho"/>
              </w:rPr>
            </w:pPr>
            <w:r>
              <w:rPr>
                <w:rFonts w:eastAsia="MS Mincho"/>
              </w:rPr>
              <w:t>(0.8%)</w:t>
            </w:r>
          </w:p>
        </w:tc>
        <w:tc>
          <w:tcPr>
            <w:tcW w:w="653" w:type="pct"/>
            <w:tcMar>
              <w:left w:w="28" w:type="dxa"/>
              <w:right w:w="28" w:type="dxa"/>
            </w:tcMar>
            <w:vAlign w:val="center"/>
          </w:tcPr>
          <w:p w14:paraId="104B9ED6" w14:textId="20D7C0B5" w:rsidR="00773EDF" w:rsidRDefault="00AB3123" w:rsidP="00037B11">
            <w:pPr>
              <w:pStyle w:val="Tablewriting"/>
              <w:jc w:val="center"/>
              <w:rPr>
                <w:rFonts w:eastAsia="MS Mincho"/>
              </w:rPr>
            </w:pPr>
            <w:r>
              <w:rPr>
                <w:rFonts w:eastAsia="MS Mincho"/>
              </w:rPr>
              <w:t>43</w:t>
            </w:r>
            <w:r w:rsidR="00773EDF">
              <w:rPr>
                <w:rFonts w:eastAsia="MS Mincho"/>
              </w:rPr>
              <w:t>/</w:t>
            </w:r>
            <w:r w:rsidR="0011768F">
              <w:rPr>
                <w:rFonts w:eastAsia="MS Mincho"/>
              </w:rPr>
              <w:t>4,035</w:t>
            </w:r>
          </w:p>
          <w:p w14:paraId="37C3E039" w14:textId="05C24097" w:rsidR="00773EDF" w:rsidRDefault="002D01F8" w:rsidP="00037B11">
            <w:pPr>
              <w:pStyle w:val="Tablewriting"/>
              <w:jc w:val="center"/>
              <w:rPr>
                <w:rFonts w:eastAsia="MS Mincho"/>
              </w:rPr>
            </w:pPr>
            <w:r>
              <w:rPr>
                <w:rFonts w:eastAsia="MS Mincho"/>
              </w:rPr>
              <w:t>(1.1%)</w:t>
            </w:r>
          </w:p>
        </w:tc>
        <w:tc>
          <w:tcPr>
            <w:tcW w:w="697" w:type="pct"/>
            <w:tcMar>
              <w:left w:w="28" w:type="dxa"/>
              <w:right w:w="28" w:type="dxa"/>
            </w:tcMar>
            <w:vAlign w:val="center"/>
          </w:tcPr>
          <w:p w14:paraId="1FE5FD25" w14:textId="77777777" w:rsidR="00773EDF" w:rsidRPr="0011768F" w:rsidRDefault="0011768F" w:rsidP="00037B11">
            <w:pPr>
              <w:pStyle w:val="Tablewriting"/>
              <w:jc w:val="center"/>
              <w:rPr>
                <w:rFonts w:eastAsia="MS Mincho"/>
              </w:rPr>
            </w:pPr>
            <w:r w:rsidRPr="0011768F">
              <w:rPr>
                <w:rFonts w:eastAsia="MS Mincho"/>
              </w:rPr>
              <w:t>0.82</w:t>
            </w:r>
          </w:p>
          <w:p w14:paraId="707DB03D" w14:textId="226279AF" w:rsidR="0011768F" w:rsidRDefault="0011768F" w:rsidP="00037B11">
            <w:pPr>
              <w:pStyle w:val="Tablewriting"/>
              <w:jc w:val="center"/>
              <w:rPr>
                <w:rFonts w:eastAsia="MS Mincho"/>
                <w:b/>
                <w:bCs/>
              </w:rPr>
            </w:pPr>
            <w:r w:rsidRPr="0011768F">
              <w:rPr>
                <w:rFonts w:eastAsia="MS Mincho"/>
              </w:rPr>
              <w:t>(0.57, 1.19)</w:t>
            </w:r>
          </w:p>
        </w:tc>
        <w:tc>
          <w:tcPr>
            <w:tcW w:w="696" w:type="pct"/>
            <w:vAlign w:val="center"/>
          </w:tcPr>
          <w:p w14:paraId="20DF0395" w14:textId="12E0BB95" w:rsidR="00773EDF" w:rsidRPr="00061F78" w:rsidRDefault="00037B11" w:rsidP="00037B11">
            <w:pPr>
              <w:pStyle w:val="Tablewriting"/>
              <w:jc w:val="center"/>
              <w:rPr>
                <w:rFonts w:eastAsia="MS Mincho"/>
              </w:rPr>
            </w:pPr>
            <w:r>
              <w:rPr>
                <w:rFonts w:eastAsia="MS Mincho"/>
              </w:rPr>
              <w:t>NR</w:t>
            </w:r>
          </w:p>
        </w:tc>
      </w:tr>
      <w:tr w:rsidR="00037B11" w:rsidRPr="00061F78" w14:paraId="480DF32D" w14:textId="77777777" w:rsidTr="00BB24D6">
        <w:trPr>
          <w:cantSplit/>
          <w:trHeight w:val="149"/>
        </w:trPr>
        <w:tc>
          <w:tcPr>
            <w:tcW w:w="557" w:type="pct"/>
            <w:tcMar>
              <w:left w:w="28" w:type="dxa"/>
              <w:right w:w="28" w:type="dxa"/>
            </w:tcMar>
          </w:tcPr>
          <w:p w14:paraId="0395E271" w14:textId="16B74F89"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281CBD47" w14:textId="59BA1A69" w:rsidR="00037B11" w:rsidRDefault="005C42B4" w:rsidP="00037B11">
            <w:pPr>
              <w:pStyle w:val="Tablewriting"/>
              <w:jc w:val="center"/>
              <w:rPr>
                <w:rFonts w:eastAsia="MS Mincho"/>
              </w:rPr>
            </w:pPr>
            <w:r>
              <w:rPr>
                <w:rFonts w:eastAsia="MS Mincho"/>
              </w:rPr>
              <w:t>22</w:t>
            </w:r>
            <w:r w:rsidR="00037B11">
              <w:rPr>
                <w:rFonts w:eastAsia="MS Mincho"/>
              </w:rPr>
              <w:t xml:space="preserve"> RCTs</w:t>
            </w:r>
          </w:p>
        </w:tc>
        <w:tc>
          <w:tcPr>
            <w:tcW w:w="850" w:type="pct"/>
            <w:vMerge/>
            <w:tcMar>
              <w:left w:w="28" w:type="dxa"/>
              <w:right w:w="28" w:type="dxa"/>
            </w:tcMar>
            <w:vAlign w:val="center"/>
          </w:tcPr>
          <w:p w14:paraId="7196176B" w14:textId="77777777" w:rsidR="00037B11" w:rsidRDefault="00037B11" w:rsidP="00037B11">
            <w:pPr>
              <w:pStyle w:val="Tablewriting"/>
              <w:jc w:val="center"/>
              <w:rPr>
                <w:rFonts w:eastAsia="MS Mincho"/>
              </w:rPr>
            </w:pPr>
          </w:p>
        </w:tc>
        <w:tc>
          <w:tcPr>
            <w:tcW w:w="619" w:type="pct"/>
            <w:tcMar>
              <w:left w:w="28" w:type="dxa"/>
              <w:right w:w="28" w:type="dxa"/>
            </w:tcMar>
            <w:vAlign w:val="center"/>
          </w:tcPr>
          <w:p w14:paraId="1F2F904C" w14:textId="1252CEC9" w:rsidR="00037B11" w:rsidRDefault="00037B11" w:rsidP="00037B11">
            <w:pPr>
              <w:pStyle w:val="Tablewriting"/>
              <w:jc w:val="center"/>
              <w:rPr>
                <w:rFonts w:eastAsia="MS Mincho"/>
              </w:rPr>
            </w:pPr>
            <w:r>
              <w:rPr>
                <w:rFonts w:eastAsia="MS Mincho"/>
              </w:rPr>
              <w:t>4</w:t>
            </w:r>
            <w:r w:rsidR="00D14FCE">
              <w:rPr>
                <w:rFonts w:eastAsia="MS Mincho"/>
              </w:rPr>
              <w:t>1</w:t>
            </w:r>
            <w:r>
              <w:rPr>
                <w:rFonts w:eastAsia="MS Mincho"/>
              </w:rPr>
              <w:t>/5,</w:t>
            </w:r>
            <w:r w:rsidR="00D14FCE">
              <w:rPr>
                <w:rFonts w:eastAsia="MS Mincho"/>
              </w:rPr>
              <w:t>027</w:t>
            </w:r>
          </w:p>
          <w:p w14:paraId="260D60C7" w14:textId="4CE44E89" w:rsidR="00037B11" w:rsidRDefault="00037B11" w:rsidP="00037B11">
            <w:pPr>
              <w:pStyle w:val="Tablewriting"/>
              <w:jc w:val="center"/>
              <w:rPr>
                <w:rFonts w:eastAsia="MS Mincho"/>
              </w:rPr>
            </w:pPr>
            <w:r>
              <w:rPr>
                <w:rFonts w:eastAsia="MS Mincho"/>
              </w:rPr>
              <w:t>(</w:t>
            </w:r>
            <w:r w:rsidR="004070C5">
              <w:rPr>
                <w:rFonts w:eastAsia="MS Mincho"/>
              </w:rPr>
              <w:t>0.8</w:t>
            </w:r>
            <w:r>
              <w:rPr>
                <w:rFonts w:eastAsia="MS Mincho"/>
              </w:rPr>
              <w:t>%)</w:t>
            </w:r>
          </w:p>
        </w:tc>
        <w:tc>
          <w:tcPr>
            <w:tcW w:w="653" w:type="pct"/>
            <w:tcMar>
              <w:left w:w="28" w:type="dxa"/>
              <w:right w:w="28" w:type="dxa"/>
            </w:tcMar>
            <w:vAlign w:val="center"/>
          </w:tcPr>
          <w:p w14:paraId="67F9ECFE" w14:textId="265B22D1" w:rsidR="00037B11" w:rsidRDefault="00037B11" w:rsidP="00037B11">
            <w:pPr>
              <w:pStyle w:val="Tablewriting"/>
              <w:jc w:val="center"/>
              <w:rPr>
                <w:rFonts w:eastAsia="MS Mincho"/>
              </w:rPr>
            </w:pPr>
            <w:r>
              <w:rPr>
                <w:rFonts w:eastAsia="MS Mincho"/>
              </w:rPr>
              <w:t>4</w:t>
            </w:r>
            <w:r w:rsidR="009452DB">
              <w:rPr>
                <w:rFonts w:eastAsia="MS Mincho"/>
              </w:rPr>
              <w:t>1</w:t>
            </w:r>
            <w:r>
              <w:rPr>
                <w:rFonts w:eastAsia="MS Mincho"/>
              </w:rPr>
              <w:t>/4,</w:t>
            </w:r>
            <w:r w:rsidR="009452DB">
              <w:rPr>
                <w:rFonts w:eastAsia="MS Mincho"/>
              </w:rPr>
              <w:t>327</w:t>
            </w:r>
          </w:p>
          <w:p w14:paraId="6A468456" w14:textId="7DD11211" w:rsidR="00037B11" w:rsidRDefault="00037B11" w:rsidP="00037B11">
            <w:pPr>
              <w:pStyle w:val="Tablewriting"/>
              <w:jc w:val="center"/>
              <w:rPr>
                <w:rFonts w:eastAsia="MS Mincho"/>
              </w:rPr>
            </w:pPr>
            <w:r>
              <w:rPr>
                <w:rFonts w:eastAsia="MS Mincho"/>
              </w:rPr>
              <w:t>(</w:t>
            </w:r>
            <w:r w:rsidR="005809AB">
              <w:rPr>
                <w:rFonts w:eastAsia="MS Mincho"/>
              </w:rPr>
              <w:t>0.9</w:t>
            </w:r>
            <w:r>
              <w:rPr>
                <w:rFonts w:eastAsia="MS Mincho"/>
              </w:rPr>
              <w:t>%)</w:t>
            </w:r>
          </w:p>
        </w:tc>
        <w:tc>
          <w:tcPr>
            <w:tcW w:w="697" w:type="pct"/>
            <w:tcMar>
              <w:left w:w="28" w:type="dxa"/>
              <w:right w:w="28" w:type="dxa"/>
            </w:tcMar>
            <w:vAlign w:val="center"/>
          </w:tcPr>
          <w:p w14:paraId="665125F0" w14:textId="77777777" w:rsidR="00037B11" w:rsidRDefault="00037B11" w:rsidP="00037B11">
            <w:pPr>
              <w:pStyle w:val="Tablewriting"/>
              <w:jc w:val="center"/>
              <w:rPr>
                <w:rFonts w:eastAsia="MS Mincho"/>
              </w:rPr>
            </w:pPr>
            <w:r>
              <w:rPr>
                <w:rFonts w:eastAsia="MS Mincho"/>
              </w:rPr>
              <w:t>0.80</w:t>
            </w:r>
          </w:p>
          <w:p w14:paraId="2E4FD37A" w14:textId="629B7465" w:rsidR="00037B11" w:rsidRPr="0011768F" w:rsidRDefault="00037B11" w:rsidP="00037B11">
            <w:pPr>
              <w:pStyle w:val="Tablewriting"/>
              <w:jc w:val="center"/>
              <w:rPr>
                <w:rFonts w:eastAsia="MS Mincho"/>
              </w:rPr>
            </w:pPr>
            <w:r>
              <w:rPr>
                <w:rFonts w:eastAsia="MS Mincho"/>
              </w:rPr>
              <w:t>(0.5</w:t>
            </w:r>
            <w:r w:rsidR="009452DB">
              <w:rPr>
                <w:rFonts w:eastAsia="MS Mincho"/>
              </w:rPr>
              <w:t>5</w:t>
            </w:r>
            <w:r>
              <w:rPr>
                <w:rFonts w:eastAsia="MS Mincho"/>
              </w:rPr>
              <w:t>, 1.1</w:t>
            </w:r>
            <w:r w:rsidR="009452DB">
              <w:rPr>
                <w:rFonts w:eastAsia="MS Mincho"/>
              </w:rPr>
              <w:t>8</w:t>
            </w:r>
            <w:r>
              <w:rPr>
                <w:rFonts w:eastAsia="MS Mincho"/>
              </w:rPr>
              <w:t>)</w:t>
            </w:r>
          </w:p>
        </w:tc>
        <w:tc>
          <w:tcPr>
            <w:tcW w:w="696" w:type="pct"/>
            <w:vAlign w:val="center"/>
          </w:tcPr>
          <w:p w14:paraId="3DB1A1DE" w14:textId="77777777" w:rsidR="00037B11" w:rsidRDefault="00984D71" w:rsidP="00037B11">
            <w:pPr>
              <w:pStyle w:val="Tablewriting"/>
              <w:jc w:val="center"/>
              <w:rPr>
                <w:rFonts w:eastAsia="MS Mincho"/>
              </w:rPr>
            </w:pPr>
            <w:r>
              <w:rPr>
                <w:rFonts w:eastAsia="MS Mincho"/>
              </w:rPr>
              <w:t>0</w:t>
            </w:r>
          </w:p>
          <w:p w14:paraId="4770A8F1" w14:textId="4CFAE6CB" w:rsidR="00984D71" w:rsidRPr="00061F78" w:rsidRDefault="00984D71" w:rsidP="00037B11">
            <w:pPr>
              <w:pStyle w:val="Tablewriting"/>
              <w:jc w:val="center"/>
              <w:rPr>
                <w:rFonts w:eastAsia="MS Mincho"/>
              </w:rPr>
            </w:pPr>
            <w:r>
              <w:rPr>
                <w:rFonts w:eastAsia="MS Mincho"/>
              </w:rPr>
              <w:t>(-0, 0)</w:t>
            </w:r>
          </w:p>
        </w:tc>
      </w:tr>
      <w:tr w:rsidR="0011768F" w:rsidRPr="00061F78" w14:paraId="5B04B74E" w14:textId="77777777" w:rsidTr="00BB24D6">
        <w:trPr>
          <w:cantSplit/>
          <w:trHeight w:val="149"/>
        </w:trPr>
        <w:tc>
          <w:tcPr>
            <w:tcW w:w="5000" w:type="pct"/>
            <w:gridSpan w:val="7"/>
            <w:shd w:val="clear" w:color="auto" w:fill="auto"/>
            <w:tcMar>
              <w:left w:w="28" w:type="dxa"/>
              <w:right w:w="28" w:type="dxa"/>
            </w:tcMar>
          </w:tcPr>
          <w:p w14:paraId="5EB4D964" w14:textId="1A95AD60" w:rsidR="0011768F" w:rsidRPr="003954C8" w:rsidRDefault="0011768F" w:rsidP="00723730">
            <w:pPr>
              <w:pStyle w:val="Tablewriting"/>
              <w:rPr>
                <w:rFonts w:eastAsia="MS Mincho"/>
                <w:b/>
                <w:bCs/>
              </w:rPr>
            </w:pPr>
            <w:r w:rsidRPr="003954C8">
              <w:rPr>
                <w:rFonts w:eastAsia="MS Mincho"/>
                <w:b/>
                <w:bCs/>
              </w:rPr>
              <w:t>Serious adverse events – cardiac (including deaths)</w:t>
            </w:r>
          </w:p>
        </w:tc>
      </w:tr>
      <w:tr w:rsidR="0011768F" w:rsidRPr="00061F78" w14:paraId="416F6DFE" w14:textId="77777777" w:rsidTr="00BB24D6">
        <w:trPr>
          <w:cantSplit/>
          <w:trHeight w:val="149"/>
        </w:trPr>
        <w:tc>
          <w:tcPr>
            <w:tcW w:w="557" w:type="pct"/>
            <w:tcMar>
              <w:left w:w="28" w:type="dxa"/>
              <w:right w:w="28" w:type="dxa"/>
            </w:tcMar>
          </w:tcPr>
          <w:p w14:paraId="4DE12055" w14:textId="77777777" w:rsidR="0011768F" w:rsidRDefault="0011768F" w:rsidP="00037B11">
            <w:pPr>
              <w:pStyle w:val="Tablewriting"/>
              <w:rPr>
                <w:rFonts w:eastAsia="MS Mincho"/>
              </w:rPr>
            </w:pPr>
            <w:r>
              <w:rPr>
                <w:rFonts w:eastAsia="MS Mincho"/>
              </w:rPr>
              <w:t>Cahill</w:t>
            </w:r>
            <w:r w:rsidRPr="00061F78">
              <w:rPr>
                <w:rFonts w:eastAsia="MS Mincho"/>
              </w:rPr>
              <w:t xml:space="preserve"> </w:t>
            </w:r>
          </w:p>
          <w:p w14:paraId="5EF90D57" w14:textId="50A22B54" w:rsidR="0011768F" w:rsidRDefault="0011768F" w:rsidP="00037B11">
            <w:pPr>
              <w:pStyle w:val="Tablewriting"/>
              <w:rPr>
                <w:rFonts w:eastAsia="MS Mincho"/>
              </w:rPr>
            </w:pPr>
            <w:r w:rsidRPr="00061F78">
              <w:rPr>
                <w:rFonts w:eastAsia="MS Mincho"/>
              </w:rPr>
              <w:t>(20</w:t>
            </w:r>
            <w:r>
              <w:rPr>
                <w:rFonts w:eastAsia="MS Mincho"/>
              </w:rPr>
              <w:t>16</w:t>
            </w:r>
            <w:r w:rsidRPr="00061F78">
              <w:rPr>
                <w:rFonts w:eastAsia="MS Mincho"/>
              </w:rPr>
              <w:t>)</w:t>
            </w:r>
            <w:r w:rsidR="00037B11">
              <w:rPr>
                <w:rFonts w:eastAsia="MS Mincho"/>
                <w:vertAlign w:val="superscript"/>
              </w:rPr>
              <w:t>2</w:t>
            </w:r>
          </w:p>
        </w:tc>
        <w:tc>
          <w:tcPr>
            <w:tcW w:w="928" w:type="pct"/>
            <w:vAlign w:val="center"/>
          </w:tcPr>
          <w:p w14:paraId="1381B2ED" w14:textId="35B22386" w:rsidR="0011768F" w:rsidRDefault="0011768F" w:rsidP="00037B11">
            <w:pPr>
              <w:pStyle w:val="Tablewriting"/>
              <w:jc w:val="center"/>
              <w:rPr>
                <w:rFonts w:eastAsia="MS Mincho"/>
              </w:rPr>
            </w:pPr>
            <w:r>
              <w:rPr>
                <w:rFonts w:eastAsia="MS Mincho"/>
              </w:rPr>
              <w:t>Cochrane Review (21 RCTs)</w:t>
            </w:r>
          </w:p>
        </w:tc>
        <w:tc>
          <w:tcPr>
            <w:tcW w:w="850" w:type="pct"/>
            <w:vMerge w:val="restart"/>
            <w:tcMar>
              <w:left w:w="28" w:type="dxa"/>
              <w:right w:w="28" w:type="dxa"/>
            </w:tcMar>
            <w:vAlign w:val="center"/>
          </w:tcPr>
          <w:p w14:paraId="71B9EC49" w14:textId="206EE558" w:rsidR="0011768F" w:rsidRDefault="0011768F" w:rsidP="00037B11">
            <w:pPr>
              <w:pStyle w:val="Tablewriting"/>
              <w:jc w:val="center"/>
              <w:rPr>
                <w:rFonts w:eastAsia="MS Mincho"/>
              </w:rPr>
            </w:pPr>
            <w:r>
              <w:rPr>
                <w:rFonts w:eastAsia="MS Mincho"/>
              </w:rPr>
              <w:t xml:space="preserve">All studies except </w:t>
            </w:r>
            <w:r w:rsidR="00CF38B7">
              <w:rPr>
                <w:rFonts w:eastAsia="MS Mincho"/>
              </w:rPr>
              <w:t xml:space="preserve">Wang (2009) and </w:t>
            </w:r>
            <w:r>
              <w:rPr>
                <w:rFonts w:eastAsia="MS Mincho"/>
              </w:rPr>
              <w:t>EAGLES (2016)</w:t>
            </w:r>
          </w:p>
        </w:tc>
        <w:tc>
          <w:tcPr>
            <w:tcW w:w="619" w:type="pct"/>
            <w:tcMar>
              <w:left w:w="28" w:type="dxa"/>
              <w:right w:w="28" w:type="dxa"/>
            </w:tcMar>
            <w:vAlign w:val="center"/>
          </w:tcPr>
          <w:p w14:paraId="48636F75" w14:textId="2048748A" w:rsidR="0011768F" w:rsidRDefault="008E28B8" w:rsidP="00037B11">
            <w:pPr>
              <w:pStyle w:val="Tablewriting"/>
              <w:jc w:val="center"/>
              <w:rPr>
                <w:rFonts w:eastAsia="MS Mincho"/>
              </w:rPr>
            </w:pPr>
            <w:r>
              <w:rPr>
                <w:rFonts w:eastAsia="MS Mincho"/>
              </w:rPr>
              <w:t>57</w:t>
            </w:r>
            <w:r w:rsidR="0011768F">
              <w:rPr>
                <w:rFonts w:eastAsia="MS Mincho"/>
              </w:rPr>
              <w:t>/</w:t>
            </w:r>
            <w:r w:rsidR="00F86C54">
              <w:rPr>
                <w:rFonts w:eastAsia="MS Mincho"/>
              </w:rPr>
              <w:t>4,696</w:t>
            </w:r>
          </w:p>
          <w:p w14:paraId="04AAA396" w14:textId="7CB41BCD" w:rsidR="0011768F" w:rsidRDefault="009A375D" w:rsidP="00037B11">
            <w:pPr>
              <w:pStyle w:val="Tablewriting"/>
              <w:jc w:val="center"/>
              <w:rPr>
                <w:rFonts w:eastAsia="MS Mincho"/>
              </w:rPr>
            </w:pPr>
            <w:r>
              <w:rPr>
                <w:rFonts w:eastAsia="MS Mincho"/>
              </w:rPr>
              <w:t>(1.2%)</w:t>
            </w:r>
          </w:p>
        </w:tc>
        <w:tc>
          <w:tcPr>
            <w:tcW w:w="653" w:type="pct"/>
            <w:tcMar>
              <w:left w:w="28" w:type="dxa"/>
              <w:right w:w="28" w:type="dxa"/>
            </w:tcMar>
            <w:vAlign w:val="center"/>
          </w:tcPr>
          <w:p w14:paraId="29B7B44C" w14:textId="6F0247F6" w:rsidR="0011768F" w:rsidRDefault="00A038AD" w:rsidP="00037B11">
            <w:pPr>
              <w:pStyle w:val="Tablewriting"/>
              <w:jc w:val="center"/>
              <w:rPr>
                <w:rFonts w:eastAsia="MS Mincho"/>
              </w:rPr>
            </w:pPr>
            <w:r>
              <w:rPr>
                <w:rFonts w:eastAsia="MS Mincho"/>
              </w:rPr>
              <w:t>35</w:t>
            </w:r>
            <w:r w:rsidR="0011768F">
              <w:rPr>
                <w:rFonts w:eastAsia="MS Mincho"/>
              </w:rPr>
              <w:t>/</w:t>
            </w:r>
            <w:r>
              <w:rPr>
                <w:rFonts w:eastAsia="MS Mincho"/>
              </w:rPr>
              <w:t>3,891</w:t>
            </w:r>
          </w:p>
          <w:p w14:paraId="215256BC" w14:textId="4F69A330" w:rsidR="0011768F" w:rsidRDefault="001F01DC" w:rsidP="00037B11">
            <w:pPr>
              <w:pStyle w:val="Tablewriting"/>
              <w:jc w:val="center"/>
              <w:rPr>
                <w:rFonts w:eastAsia="MS Mincho"/>
              </w:rPr>
            </w:pPr>
            <w:r>
              <w:rPr>
                <w:rFonts w:eastAsia="MS Mincho"/>
              </w:rPr>
              <w:t>(0.9%)</w:t>
            </w:r>
          </w:p>
        </w:tc>
        <w:tc>
          <w:tcPr>
            <w:tcW w:w="697" w:type="pct"/>
            <w:tcMar>
              <w:left w:w="28" w:type="dxa"/>
              <w:right w:w="28" w:type="dxa"/>
            </w:tcMar>
            <w:vAlign w:val="center"/>
          </w:tcPr>
          <w:p w14:paraId="1072B861" w14:textId="77777777" w:rsidR="0011768F" w:rsidRPr="00A038AD" w:rsidRDefault="00A038AD" w:rsidP="00037B11">
            <w:pPr>
              <w:pStyle w:val="Tablewriting"/>
              <w:jc w:val="center"/>
              <w:rPr>
                <w:rFonts w:eastAsia="MS Mincho"/>
              </w:rPr>
            </w:pPr>
            <w:r w:rsidRPr="00A038AD">
              <w:rPr>
                <w:rFonts w:eastAsia="MS Mincho"/>
              </w:rPr>
              <w:t>1.36</w:t>
            </w:r>
          </w:p>
          <w:p w14:paraId="6ED62856" w14:textId="02D6E825" w:rsidR="00A038AD" w:rsidRDefault="00A038AD" w:rsidP="00037B11">
            <w:pPr>
              <w:pStyle w:val="Tablewriting"/>
              <w:jc w:val="center"/>
              <w:rPr>
                <w:rFonts w:eastAsia="MS Mincho"/>
                <w:b/>
                <w:bCs/>
              </w:rPr>
            </w:pPr>
            <w:r w:rsidRPr="00A038AD">
              <w:rPr>
                <w:rFonts w:eastAsia="MS Mincho"/>
              </w:rPr>
              <w:t>(0.91, 2.04)</w:t>
            </w:r>
          </w:p>
        </w:tc>
        <w:tc>
          <w:tcPr>
            <w:tcW w:w="696" w:type="pct"/>
            <w:vAlign w:val="center"/>
          </w:tcPr>
          <w:p w14:paraId="28D6545E" w14:textId="6CDF192A" w:rsidR="0011768F" w:rsidRPr="00061F78" w:rsidRDefault="00037B11" w:rsidP="00037B11">
            <w:pPr>
              <w:pStyle w:val="Tablewriting"/>
              <w:jc w:val="center"/>
              <w:rPr>
                <w:rFonts w:eastAsia="MS Mincho"/>
              </w:rPr>
            </w:pPr>
            <w:r>
              <w:rPr>
                <w:rFonts w:eastAsia="MS Mincho"/>
              </w:rPr>
              <w:t>NR</w:t>
            </w:r>
          </w:p>
        </w:tc>
      </w:tr>
      <w:tr w:rsidR="00037B11" w:rsidRPr="00061F78" w14:paraId="7AB22E9B" w14:textId="77777777" w:rsidTr="00BB24D6">
        <w:trPr>
          <w:cantSplit/>
          <w:trHeight w:val="149"/>
        </w:trPr>
        <w:tc>
          <w:tcPr>
            <w:tcW w:w="557" w:type="pct"/>
            <w:tcMar>
              <w:left w:w="28" w:type="dxa"/>
              <w:right w:w="28" w:type="dxa"/>
            </w:tcMar>
          </w:tcPr>
          <w:p w14:paraId="7FCD5D8B" w14:textId="59107BF6" w:rsidR="00037B11" w:rsidRDefault="00037B11" w:rsidP="00037B11">
            <w:pPr>
              <w:pStyle w:val="Tablewriting"/>
              <w:rPr>
                <w:rFonts w:eastAsia="MS Mincho"/>
              </w:rPr>
            </w:pPr>
            <w:r>
              <w:rPr>
                <w:rFonts w:eastAsia="MS Mincho"/>
              </w:rPr>
              <w:t>Updated re-analysis</w:t>
            </w:r>
            <w:r>
              <w:rPr>
                <w:rFonts w:eastAsia="MS Mincho"/>
                <w:vertAlign w:val="superscript"/>
              </w:rPr>
              <w:t>3</w:t>
            </w:r>
          </w:p>
        </w:tc>
        <w:tc>
          <w:tcPr>
            <w:tcW w:w="928" w:type="pct"/>
            <w:vAlign w:val="center"/>
          </w:tcPr>
          <w:p w14:paraId="048AA3FF" w14:textId="5D061DCB" w:rsidR="00037B11" w:rsidRDefault="00037B11" w:rsidP="00037B11">
            <w:pPr>
              <w:pStyle w:val="Tablewriting"/>
              <w:jc w:val="center"/>
              <w:rPr>
                <w:rFonts w:eastAsia="MS Mincho"/>
              </w:rPr>
            </w:pPr>
            <w:r>
              <w:rPr>
                <w:rFonts w:eastAsia="MS Mincho"/>
              </w:rPr>
              <w:t>2</w:t>
            </w:r>
            <w:r w:rsidR="009452DB">
              <w:rPr>
                <w:rFonts w:eastAsia="MS Mincho"/>
              </w:rPr>
              <w:t>2</w:t>
            </w:r>
            <w:r>
              <w:rPr>
                <w:rFonts w:eastAsia="MS Mincho"/>
              </w:rPr>
              <w:t xml:space="preserve"> RCTs</w:t>
            </w:r>
          </w:p>
        </w:tc>
        <w:tc>
          <w:tcPr>
            <w:tcW w:w="850" w:type="pct"/>
            <w:vMerge/>
            <w:tcMar>
              <w:left w:w="28" w:type="dxa"/>
              <w:right w:w="28" w:type="dxa"/>
            </w:tcMar>
            <w:vAlign w:val="center"/>
          </w:tcPr>
          <w:p w14:paraId="55C222E9" w14:textId="77777777" w:rsidR="00037B11" w:rsidRDefault="00037B11" w:rsidP="00037B11">
            <w:pPr>
              <w:pStyle w:val="Tablewriting"/>
              <w:jc w:val="center"/>
              <w:rPr>
                <w:rFonts w:eastAsia="MS Mincho"/>
              </w:rPr>
            </w:pPr>
          </w:p>
        </w:tc>
        <w:tc>
          <w:tcPr>
            <w:tcW w:w="619" w:type="pct"/>
            <w:tcMar>
              <w:left w:w="28" w:type="dxa"/>
              <w:right w:w="28" w:type="dxa"/>
            </w:tcMar>
            <w:vAlign w:val="center"/>
          </w:tcPr>
          <w:p w14:paraId="416EE208" w14:textId="572D54CA" w:rsidR="00037B11" w:rsidRDefault="009452DB" w:rsidP="00037B11">
            <w:pPr>
              <w:pStyle w:val="Tablewriting"/>
              <w:jc w:val="center"/>
              <w:rPr>
                <w:rFonts w:eastAsia="MS Mincho"/>
              </w:rPr>
            </w:pPr>
            <w:r>
              <w:rPr>
                <w:rFonts w:eastAsia="MS Mincho"/>
              </w:rPr>
              <w:t>62</w:t>
            </w:r>
            <w:r w:rsidR="00037B11">
              <w:rPr>
                <w:rFonts w:eastAsia="MS Mincho"/>
              </w:rPr>
              <w:t>/7,</w:t>
            </w:r>
            <w:r>
              <w:rPr>
                <w:rFonts w:eastAsia="MS Mincho"/>
              </w:rPr>
              <w:t>115</w:t>
            </w:r>
          </w:p>
          <w:p w14:paraId="13C2241B" w14:textId="71715083" w:rsidR="00037B11" w:rsidRDefault="00037B11" w:rsidP="00037B11">
            <w:pPr>
              <w:pStyle w:val="Tablewriting"/>
              <w:jc w:val="center"/>
              <w:rPr>
                <w:rFonts w:eastAsia="MS Mincho"/>
              </w:rPr>
            </w:pPr>
            <w:r>
              <w:rPr>
                <w:rFonts w:eastAsia="MS Mincho"/>
              </w:rPr>
              <w:t>(</w:t>
            </w:r>
            <w:r w:rsidR="003547EA">
              <w:rPr>
                <w:rFonts w:eastAsia="MS Mincho"/>
              </w:rPr>
              <w:t>0.9</w:t>
            </w:r>
            <w:r>
              <w:rPr>
                <w:rFonts w:eastAsia="MS Mincho"/>
              </w:rPr>
              <w:t>%)</w:t>
            </w:r>
          </w:p>
        </w:tc>
        <w:tc>
          <w:tcPr>
            <w:tcW w:w="653" w:type="pct"/>
            <w:tcMar>
              <w:left w:w="28" w:type="dxa"/>
              <w:right w:w="28" w:type="dxa"/>
            </w:tcMar>
            <w:vAlign w:val="center"/>
          </w:tcPr>
          <w:p w14:paraId="3AC3ED4D" w14:textId="5EA06F1C" w:rsidR="00037B11" w:rsidRDefault="00A0067F" w:rsidP="00037B11">
            <w:pPr>
              <w:pStyle w:val="Tablewriting"/>
              <w:jc w:val="center"/>
              <w:rPr>
                <w:rFonts w:eastAsia="MS Mincho"/>
              </w:rPr>
            </w:pPr>
            <w:r>
              <w:rPr>
                <w:rFonts w:eastAsia="MS Mincho"/>
              </w:rPr>
              <w:t>42</w:t>
            </w:r>
            <w:r w:rsidR="00037B11">
              <w:rPr>
                <w:rFonts w:eastAsia="MS Mincho"/>
              </w:rPr>
              <w:t>/6,</w:t>
            </w:r>
            <w:r>
              <w:rPr>
                <w:rFonts w:eastAsia="MS Mincho"/>
              </w:rPr>
              <w:t>413</w:t>
            </w:r>
          </w:p>
          <w:p w14:paraId="19EFE306" w14:textId="54E4D7E0" w:rsidR="00037B11" w:rsidRDefault="00037B11" w:rsidP="00037B11">
            <w:pPr>
              <w:pStyle w:val="Tablewriting"/>
              <w:jc w:val="center"/>
              <w:rPr>
                <w:rFonts w:eastAsia="MS Mincho"/>
              </w:rPr>
            </w:pPr>
            <w:r>
              <w:rPr>
                <w:rFonts w:eastAsia="MS Mincho"/>
              </w:rPr>
              <w:t>(</w:t>
            </w:r>
            <w:r w:rsidR="004C4D86">
              <w:rPr>
                <w:rFonts w:eastAsia="MS Mincho"/>
              </w:rPr>
              <w:t>0.7</w:t>
            </w:r>
            <w:r>
              <w:rPr>
                <w:rFonts w:eastAsia="MS Mincho"/>
              </w:rPr>
              <w:t>%)</w:t>
            </w:r>
          </w:p>
        </w:tc>
        <w:tc>
          <w:tcPr>
            <w:tcW w:w="697" w:type="pct"/>
            <w:tcMar>
              <w:left w:w="28" w:type="dxa"/>
              <w:right w:w="28" w:type="dxa"/>
            </w:tcMar>
            <w:vAlign w:val="center"/>
          </w:tcPr>
          <w:p w14:paraId="237588B8" w14:textId="56D6D97C" w:rsidR="00037B11" w:rsidRDefault="00037B11" w:rsidP="00037B11">
            <w:pPr>
              <w:pStyle w:val="Tablewriting"/>
              <w:jc w:val="center"/>
              <w:rPr>
                <w:rFonts w:eastAsia="MS Mincho"/>
              </w:rPr>
            </w:pPr>
            <w:r>
              <w:rPr>
                <w:rFonts w:eastAsia="MS Mincho"/>
              </w:rPr>
              <w:t>1.</w:t>
            </w:r>
            <w:r w:rsidR="00A0067F">
              <w:rPr>
                <w:rFonts w:eastAsia="MS Mincho"/>
              </w:rPr>
              <w:t>27</w:t>
            </w:r>
          </w:p>
          <w:p w14:paraId="22E50E09" w14:textId="3A442123" w:rsidR="00037B11" w:rsidRPr="00A038AD" w:rsidRDefault="00037B11" w:rsidP="00037B11">
            <w:pPr>
              <w:pStyle w:val="Tablewriting"/>
              <w:jc w:val="center"/>
              <w:rPr>
                <w:rFonts w:eastAsia="MS Mincho"/>
              </w:rPr>
            </w:pPr>
            <w:r>
              <w:rPr>
                <w:rFonts w:eastAsia="MS Mincho"/>
              </w:rPr>
              <w:t>(0.8</w:t>
            </w:r>
            <w:r w:rsidR="00A0067F">
              <w:rPr>
                <w:rFonts w:eastAsia="MS Mincho"/>
              </w:rPr>
              <w:t>5</w:t>
            </w:r>
            <w:r>
              <w:rPr>
                <w:rFonts w:eastAsia="MS Mincho"/>
              </w:rPr>
              <w:t>, 1.</w:t>
            </w:r>
            <w:r w:rsidR="00A0067F">
              <w:rPr>
                <w:rFonts w:eastAsia="MS Mincho"/>
              </w:rPr>
              <w:t>89</w:t>
            </w:r>
            <w:r>
              <w:rPr>
                <w:rFonts w:eastAsia="MS Mincho"/>
              </w:rPr>
              <w:t>)</w:t>
            </w:r>
          </w:p>
        </w:tc>
        <w:tc>
          <w:tcPr>
            <w:tcW w:w="696" w:type="pct"/>
            <w:vAlign w:val="center"/>
          </w:tcPr>
          <w:p w14:paraId="7914169F" w14:textId="77777777" w:rsidR="00037B11" w:rsidRDefault="003A43F6" w:rsidP="00037B11">
            <w:pPr>
              <w:pStyle w:val="Tablewriting"/>
              <w:jc w:val="center"/>
              <w:rPr>
                <w:rFonts w:eastAsia="MS Mincho"/>
              </w:rPr>
            </w:pPr>
            <w:r>
              <w:rPr>
                <w:rFonts w:eastAsia="MS Mincho"/>
              </w:rPr>
              <w:t>0</w:t>
            </w:r>
          </w:p>
          <w:p w14:paraId="4858333B" w14:textId="17219685" w:rsidR="003A43F6" w:rsidRPr="00061F78" w:rsidRDefault="003A43F6" w:rsidP="00037B11">
            <w:pPr>
              <w:pStyle w:val="Tablewriting"/>
              <w:jc w:val="center"/>
              <w:rPr>
                <w:rFonts w:eastAsia="MS Mincho"/>
              </w:rPr>
            </w:pPr>
            <w:r>
              <w:rPr>
                <w:rFonts w:eastAsia="MS Mincho"/>
              </w:rPr>
              <w:t>(0, 0.01)</w:t>
            </w:r>
          </w:p>
        </w:tc>
      </w:tr>
    </w:tbl>
    <w:p w14:paraId="1EB2509F" w14:textId="6011A221" w:rsidR="00A550C6" w:rsidRDefault="00DA4E98" w:rsidP="00BB24D6">
      <w:pPr>
        <w:pStyle w:val="TableFooter"/>
        <w:jc w:val="both"/>
        <w:rPr>
          <w:rFonts w:eastAsia="MS Mincho"/>
        </w:rPr>
      </w:pPr>
      <w:r>
        <w:t xml:space="preserve">Source: </w:t>
      </w:r>
      <w:r w:rsidR="00A550C6">
        <w:t>Cahill et al. (2016),</w:t>
      </w:r>
      <w:r w:rsidR="00A550C6" w:rsidRPr="00A550C6">
        <w:rPr>
          <w:rFonts w:eastAsia="MS Mincho"/>
        </w:rPr>
        <w:t xml:space="preserve"> </w:t>
      </w:r>
      <w:r w:rsidR="00A550C6">
        <w:rPr>
          <w:rFonts w:eastAsia="MS Mincho"/>
        </w:rPr>
        <w:t>Lerman</w:t>
      </w:r>
      <w:r w:rsidR="00A550C6">
        <w:t xml:space="preserve"> et al. (</w:t>
      </w:r>
      <w:r w:rsidR="00A550C6" w:rsidRPr="009E22A2">
        <w:rPr>
          <w:rFonts w:eastAsia="MS Mincho"/>
        </w:rPr>
        <w:t>2015</w:t>
      </w:r>
      <w:r w:rsidR="00A550C6">
        <w:rPr>
          <w:rFonts w:eastAsia="MS Mincho"/>
        </w:rPr>
        <w:t>)</w:t>
      </w:r>
      <w:r w:rsidR="00A550C6" w:rsidRPr="009E22A2">
        <w:rPr>
          <w:rFonts w:eastAsia="MS Mincho"/>
        </w:rPr>
        <w:t>,</w:t>
      </w:r>
      <w:r w:rsidR="00A550C6">
        <w:rPr>
          <w:rFonts w:eastAsia="MS Mincho"/>
        </w:rPr>
        <w:t xml:space="preserve"> Littlewood et al. (2017),</w:t>
      </w:r>
      <w:r w:rsidR="00A550C6" w:rsidRPr="009E22A2">
        <w:rPr>
          <w:rFonts w:eastAsia="MS Mincho"/>
        </w:rPr>
        <w:t xml:space="preserve"> </w:t>
      </w:r>
      <w:r w:rsidR="000728E4">
        <w:rPr>
          <w:rFonts w:eastAsia="MS Mincho"/>
        </w:rPr>
        <w:t xml:space="preserve">Benowitz et al. (2018), </w:t>
      </w:r>
      <w:r w:rsidR="00A550C6" w:rsidRPr="009E22A2">
        <w:rPr>
          <w:rFonts w:eastAsia="MS Mincho"/>
        </w:rPr>
        <w:t xml:space="preserve">Hurt </w:t>
      </w:r>
      <w:r w:rsidR="00A550C6">
        <w:rPr>
          <w:rFonts w:eastAsia="MS Mincho"/>
        </w:rPr>
        <w:t>et al. (</w:t>
      </w:r>
      <w:r w:rsidR="00A550C6" w:rsidRPr="009E22A2">
        <w:rPr>
          <w:rFonts w:eastAsia="MS Mincho"/>
        </w:rPr>
        <w:t>2018</w:t>
      </w:r>
      <w:r w:rsidR="00A550C6">
        <w:rPr>
          <w:rFonts w:eastAsia="MS Mincho"/>
        </w:rPr>
        <w:t>)</w:t>
      </w:r>
      <w:r w:rsidR="00A550C6" w:rsidRPr="009E22A2">
        <w:rPr>
          <w:rFonts w:eastAsia="MS Mincho"/>
        </w:rPr>
        <w:t xml:space="preserve">, </w:t>
      </w:r>
      <w:r w:rsidR="00800BE4">
        <w:rPr>
          <w:rFonts w:eastAsia="MS Mincho"/>
        </w:rPr>
        <w:t xml:space="preserve">Mercie et al. (2018), </w:t>
      </w:r>
      <w:r w:rsidR="00A550C6" w:rsidRPr="009E22A2">
        <w:rPr>
          <w:rFonts w:eastAsia="MS Mincho"/>
        </w:rPr>
        <w:t>Windle</w:t>
      </w:r>
      <w:r w:rsidR="00A550C6">
        <w:rPr>
          <w:rFonts w:eastAsia="MS Mincho"/>
        </w:rPr>
        <w:t xml:space="preserve"> et al. (</w:t>
      </w:r>
      <w:r w:rsidR="00A550C6" w:rsidRPr="009E22A2">
        <w:rPr>
          <w:rFonts w:eastAsia="MS Mincho"/>
        </w:rPr>
        <w:t>2018</w:t>
      </w:r>
      <w:r w:rsidR="00A550C6">
        <w:rPr>
          <w:rFonts w:eastAsia="MS Mincho"/>
        </w:rPr>
        <w:t>)</w:t>
      </w:r>
      <w:r w:rsidR="00A550C6" w:rsidRPr="009E22A2">
        <w:rPr>
          <w:rFonts w:eastAsia="MS Mincho"/>
        </w:rPr>
        <w:t xml:space="preserve">, Ashare </w:t>
      </w:r>
      <w:r w:rsidR="00A550C6">
        <w:rPr>
          <w:rFonts w:eastAsia="MS Mincho"/>
        </w:rPr>
        <w:t>et al. (</w:t>
      </w:r>
      <w:r w:rsidR="00A550C6" w:rsidRPr="009E22A2">
        <w:rPr>
          <w:rFonts w:eastAsia="MS Mincho"/>
        </w:rPr>
        <w:t>2019</w:t>
      </w:r>
      <w:r w:rsidR="00A550C6">
        <w:rPr>
          <w:rFonts w:eastAsia="MS Mincho"/>
        </w:rPr>
        <w:t>)</w:t>
      </w:r>
      <w:r w:rsidR="000728E4">
        <w:rPr>
          <w:rFonts w:eastAsia="MS Mincho"/>
        </w:rPr>
        <w:t>,</w:t>
      </w:r>
      <w:r w:rsidR="00A550C6" w:rsidRPr="009E22A2">
        <w:rPr>
          <w:rFonts w:eastAsia="MS Mincho"/>
        </w:rPr>
        <w:t xml:space="preserve"> Chen </w:t>
      </w:r>
      <w:r w:rsidR="00A550C6">
        <w:rPr>
          <w:rFonts w:eastAsia="MS Mincho"/>
        </w:rPr>
        <w:t>et al. (</w:t>
      </w:r>
      <w:r w:rsidR="00A550C6" w:rsidRPr="009E22A2">
        <w:rPr>
          <w:rFonts w:eastAsia="MS Mincho"/>
        </w:rPr>
        <w:t>2020</w:t>
      </w:r>
      <w:r w:rsidR="00A550C6">
        <w:rPr>
          <w:rFonts w:eastAsia="MS Mincho"/>
        </w:rPr>
        <w:t>)</w:t>
      </w:r>
    </w:p>
    <w:p w14:paraId="097C5B61" w14:textId="17331B7D" w:rsidR="00DA4E98" w:rsidRDefault="00DA4E98" w:rsidP="00BB24D6">
      <w:pPr>
        <w:pStyle w:val="TableFooter"/>
        <w:jc w:val="both"/>
      </w:pPr>
      <w:r>
        <w:t xml:space="preserve">Abbreviations: CI = confidence interval; </w:t>
      </w:r>
      <w:r w:rsidR="002842A4">
        <w:t xml:space="preserve">NR = not reported; </w:t>
      </w:r>
      <w:r>
        <w:t>RCT = randomised controlled trial; RR = risk ratio</w:t>
      </w:r>
    </w:p>
    <w:p w14:paraId="0D21ED02" w14:textId="292C9DEF" w:rsidR="00405602" w:rsidRDefault="00DA4E98" w:rsidP="00BB24D6">
      <w:pPr>
        <w:pStyle w:val="TableFooter"/>
        <w:jc w:val="both"/>
      </w:pPr>
      <w:r w:rsidRPr="00FD4061">
        <w:t>Note</w:t>
      </w:r>
      <w:r>
        <w:t>s</w:t>
      </w:r>
      <w:r w:rsidRPr="00FD4061">
        <w:t>: Bold indicates statistically significant difference.</w:t>
      </w:r>
      <w:r w:rsidR="00A038AD" w:rsidRPr="00A038AD">
        <w:t xml:space="preserve"> </w:t>
      </w:r>
      <w:r w:rsidR="00A038AD">
        <w:t xml:space="preserve">See </w:t>
      </w:r>
      <w:r w:rsidR="00A038AD" w:rsidRPr="00F619B7">
        <w:t>Appendix</w:t>
      </w:r>
      <w:r w:rsidR="00A038AD">
        <w:t xml:space="preserve"> </w:t>
      </w:r>
      <w:r w:rsidR="00876F50">
        <w:fldChar w:fldCharType="begin" w:fldLock="1"/>
      </w:r>
      <w:r w:rsidR="00876F50">
        <w:instrText xml:space="preserve"> REF _Ref54089510 \h </w:instrText>
      </w:r>
      <w:r w:rsidR="00BB24D6">
        <w:instrText xml:space="preserve"> \* MERGEFORMAT </w:instrText>
      </w:r>
      <w:r w:rsidR="00876F50">
        <w:fldChar w:fldCharType="separate"/>
      </w:r>
      <w:r w:rsidR="00EC5CC7">
        <w:t xml:space="preserve">Figure </w:t>
      </w:r>
      <w:r w:rsidR="00EC5CC7">
        <w:rPr>
          <w:noProof/>
        </w:rPr>
        <w:t>56</w:t>
      </w:r>
      <w:r w:rsidR="00876F50">
        <w:fldChar w:fldCharType="end"/>
      </w:r>
      <w:r w:rsidR="00876F50">
        <w:t xml:space="preserve"> to </w:t>
      </w:r>
      <w:r w:rsidR="00876F50">
        <w:fldChar w:fldCharType="begin" w:fldLock="1"/>
      </w:r>
      <w:r w:rsidR="00876F50">
        <w:instrText xml:space="preserve"> REF _Ref54089511 \h </w:instrText>
      </w:r>
      <w:r w:rsidR="00BB24D6">
        <w:instrText xml:space="preserve"> \* MERGEFORMAT </w:instrText>
      </w:r>
      <w:r w:rsidR="00876F50">
        <w:fldChar w:fldCharType="separate"/>
      </w:r>
      <w:r w:rsidR="00EC5CC7">
        <w:t xml:space="preserve">Figure </w:t>
      </w:r>
      <w:r w:rsidR="00EC5CC7">
        <w:rPr>
          <w:noProof/>
        </w:rPr>
        <w:t>64</w:t>
      </w:r>
      <w:r w:rsidR="00876F50">
        <w:fldChar w:fldCharType="end"/>
      </w:r>
      <w:r w:rsidR="00876F50">
        <w:t xml:space="preserve"> </w:t>
      </w:r>
      <w:r w:rsidR="00A038AD">
        <w:t xml:space="preserve">for forest plots </w:t>
      </w:r>
      <w:r w:rsidR="00405602" w:rsidRPr="00405602">
        <w:t>of the respective outcomes which included the results of individual studies.</w:t>
      </w:r>
    </w:p>
    <w:p w14:paraId="2482ABC5" w14:textId="7559D18B" w:rsidR="00DA4E98" w:rsidRDefault="00A038AD" w:rsidP="00BB24D6">
      <w:pPr>
        <w:pStyle w:val="TableFooter"/>
        <w:jc w:val="both"/>
      </w:pPr>
      <w:r>
        <w:t>1 Where previously considered studies were not included, this was due to the outcome not being reported</w:t>
      </w:r>
      <w:r w:rsidR="000F1E7A">
        <w:t>.</w:t>
      </w:r>
    </w:p>
    <w:p w14:paraId="766D5E43" w14:textId="24EEB9C7" w:rsidR="00DA4E98" w:rsidRDefault="00A038AD" w:rsidP="00BB24D6">
      <w:pPr>
        <w:pStyle w:val="TableFooter"/>
        <w:jc w:val="both"/>
      </w:pPr>
      <w:r w:rsidRPr="00F619B7">
        <w:t>2</w:t>
      </w:r>
      <w:r w:rsidR="00DA4E98" w:rsidRPr="00F619B7">
        <w:t xml:space="preserve"> Calculated </w:t>
      </w:r>
      <w:r w:rsidR="009609E3" w:rsidRPr="00F619B7">
        <w:t>by Cochrane Review</w:t>
      </w:r>
      <w:r w:rsidR="002C5D1C" w:rsidRPr="00F619B7">
        <w:t xml:space="preserve"> authors</w:t>
      </w:r>
      <w:r w:rsidR="00DA4E98" w:rsidRPr="00F619B7">
        <w:t xml:space="preserve"> using a fixed-effect model</w:t>
      </w:r>
      <w:r w:rsidR="000F1E7A">
        <w:t>.</w:t>
      </w:r>
    </w:p>
    <w:p w14:paraId="48765E32" w14:textId="0695C5C5" w:rsidR="00046096" w:rsidRDefault="00046096" w:rsidP="00BB24D6">
      <w:pPr>
        <w:pStyle w:val="TableFooter"/>
        <w:spacing w:after="120"/>
        <w:contextualSpacing w:val="0"/>
        <w:jc w:val="both"/>
      </w:pPr>
      <w:r w:rsidRPr="00F619B7">
        <w:t xml:space="preserve">3 Calculated </w:t>
      </w:r>
      <w:r w:rsidR="009609E3" w:rsidRPr="00F619B7">
        <w:t xml:space="preserve">during the review </w:t>
      </w:r>
      <w:r w:rsidRPr="00F619B7">
        <w:t>using a random-effect model</w:t>
      </w:r>
      <w:r w:rsidR="001360A4">
        <w:t>. Excluded</w:t>
      </w:r>
      <w:r w:rsidR="00522C6F">
        <w:t xml:space="preserve"> the following</w:t>
      </w:r>
      <w:r w:rsidR="001360A4">
        <w:t xml:space="preserve"> studies</w:t>
      </w:r>
      <w:r w:rsidR="00522C6F">
        <w:t xml:space="preserve"> from</w:t>
      </w:r>
      <w:r w:rsidR="00267BAA">
        <w:t xml:space="preserve"> updated</w:t>
      </w:r>
      <w:r w:rsidR="00522C6F">
        <w:t xml:space="preserve"> </w:t>
      </w:r>
      <w:r w:rsidR="00254E07">
        <w:t>safety re-analysis due to incorrect treatment duration (</w:t>
      </w:r>
      <w:r w:rsidR="00FE5926" w:rsidRPr="00ED4408">
        <w:t>NCT00828113</w:t>
      </w:r>
      <w:r w:rsidR="00FE5926">
        <w:t xml:space="preserve">, </w:t>
      </w:r>
      <w:r w:rsidR="006E4F58">
        <w:t xml:space="preserve">Williams 2007, Stein 2013, </w:t>
      </w:r>
      <w:r w:rsidR="00FE5926">
        <w:t>Evins 2014</w:t>
      </w:r>
      <w:r w:rsidR="006E4F58">
        <w:t xml:space="preserve">, </w:t>
      </w:r>
      <w:r w:rsidR="00254E07">
        <w:t>Ebbert 2015</w:t>
      </w:r>
      <w:r w:rsidR="00300C86">
        <w:t>; exceeded standard 12 weeks</w:t>
      </w:r>
      <w:r w:rsidR="00FA10A9">
        <w:t xml:space="preserve"> therapy</w:t>
      </w:r>
      <w:r w:rsidR="00116BF7">
        <w:t>)</w:t>
      </w:r>
      <w:r w:rsidR="00FA10A9">
        <w:t>.</w:t>
      </w:r>
      <w:r w:rsidR="001360A4">
        <w:t xml:space="preserve"> </w:t>
      </w:r>
      <w:r w:rsidR="00C40DF6">
        <w:t>A sensitivity analysis was conducted during the review by including these studies</w:t>
      </w:r>
      <w:r w:rsidR="00872280">
        <w:t xml:space="preserve"> (as per Cahill 2014) and</w:t>
      </w:r>
      <w:r w:rsidR="00C40DF6">
        <w:t xml:space="preserve"> </w:t>
      </w:r>
      <w:r w:rsidR="00872280">
        <w:t>t</w:t>
      </w:r>
      <w:r w:rsidR="00C40DF6">
        <w:t>he results</w:t>
      </w:r>
      <w:r w:rsidR="003359AA">
        <w:t xml:space="preserve"> were</w:t>
      </w:r>
      <w:r w:rsidR="00C40DF6">
        <w:t xml:space="preserve"> </w:t>
      </w:r>
      <w:r w:rsidR="00872280">
        <w:t xml:space="preserve">consistent </w:t>
      </w:r>
      <w:r w:rsidR="00A23B78">
        <w:t xml:space="preserve">(in terms of statistical significance) </w:t>
      </w:r>
      <w:r w:rsidR="00872280">
        <w:t>wi</w:t>
      </w:r>
      <w:r w:rsidR="00A23B78">
        <w:t>th the updated re-analysis for all outcomes</w:t>
      </w:r>
      <w:r w:rsidR="00C40DF6">
        <w:t>.</w:t>
      </w:r>
    </w:p>
    <w:p w14:paraId="11D1589B" w14:textId="309CFE29" w:rsidR="004C7519" w:rsidRDefault="004C7519" w:rsidP="00BB24D6">
      <w:pPr>
        <w:spacing w:after="120"/>
        <w:jc w:val="both"/>
        <w:rPr>
          <w:b/>
          <w:bCs/>
        </w:rPr>
      </w:pPr>
      <w:r w:rsidRPr="00D77C02">
        <w:rPr>
          <w:b/>
          <w:bCs/>
        </w:rPr>
        <w:t xml:space="preserve">Varenicline versus </w:t>
      </w:r>
      <w:r>
        <w:rPr>
          <w:b/>
          <w:bCs/>
        </w:rPr>
        <w:t>bupropion</w:t>
      </w:r>
    </w:p>
    <w:p w14:paraId="09080CBF" w14:textId="27EDD54F" w:rsidR="0029363D" w:rsidRDefault="004C7519" w:rsidP="00BB24D6">
      <w:pPr>
        <w:spacing w:after="120"/>
        <w:jc w:val="both"/>
      </w:pPr>
      <w:r w:rsidRPr="004C7519">
        <w:t xml:space="preserve">A summary of the citation details for the studies comparing varenicline with </w:t>
      </w:r>
      <w:r w:rsidR="00D35F4F">
        <w:t>bupropion</w:t>
      </w:r>
      <w:r w:rsidRPr="004C7519">
        <w:t xml:space="preserve"> is presented in </w:t>
      </w:r>
      <w:r w:rsidR="00D35F4F">
        <w:fldChar w:fldCharType="begin" w:fldLock="1"/>
      </w:r>
      <w:r w:rsidR="00D35F4F">
        <w:instrText xml:space="preserve"> REF _Ref54090599 \h </w:instrText>
      </w:r>
      <w:r w:rsidR="00D35F4F">
        <w:fldChar w:fldCharType="separate"/>
      </w:r>
      <w:r w:rsidR="00EC5CC7">
        <w:t xml:space="preserve">Table </w:t>
      </w:r>
      <w:r w:rsidR="00EC5CC7">
        <w:rPr>
          <w:noProof/>
        </w:rPr>
        <w:t>17</w:t>
      </w:r>
      <w:r w:rsidR="00D35F4F">
        <w:fldChar w:fldCharType="end"/>
      </w:r>
      <w:r w:rsidRPr="004C7519">
        <w:t xml:space="preserve">. </w:t>
      </w:r>
      <w:r w:rsidR="00D35F4F">
        <w:t>Three</w:t>
      </w:r>
      <w:r w:rsidRPr="004C7519">
        <w:t xml:space="preserve"> studies were previously considered by the PBAC (Gonzales et al. 2006, Jorenby et al. 2006 and </w:t>
      </w:r>
      <w:r w:rsidR="00CE5752">
        <w:t>EAGLES</w:t>
      </w:r>
      <w:r w:rsidRPr="004C7519">
        <w:t xml:space="preserve"> 2016). A recently conducted Cochrane </w:t>
      </w:r>
      <w:r w:rsidR="00072566">
        <w:t>R</w:t>
      </w:r>
      <w:r w:rsidRPr="004C7519">
        <w:t xml:space="preserve">eview by </w:t>
      </w:r>
      <w:r w:rsidR="00D35F4F">
        <w:t>Howes</w:t>
      </w:r>
      <w:r w:rsidRPr="004C7519">
        <w:t xml:space="preserve"> et al. (20</w:t>
      </w:r>
      <w:r w:rsidR="00D35F4F">
        <w:t>20</w:t>
      </w:r>
      <w:r w:rsidRPr="004C7519">
        <w:t xml:space="preserve">) was identified in the systematic literature review that compared varenicline </w:t>
      </w:r>
      <w:r w:rsidR="00AA72C7">
        <w:t>with bupropion</w:t>
      </w:r>
      <w:r w:rsidRPr="004C7519">
        <w:t xml:space="preserve"> and was included in this report.</w:t>
      </w:r>
      <w:r w:rsidR="0031648B">
        <w:t xml:space="preserve"> </w:t>
      </w:r>
      <w:r w:rsidR="0029363D">
        <w:t>One new study</w:t>
      </w:r>
      <w:r w:rsidR="0029363D" w:rsidRPr="001E6534">
        <w:t xml:space="preserve"> w</w:t>
      </w:r>
      <w:r w:rsidR="0029363D">
        <w:t>as</w:t>
      </w:r>
      <w:r w:rsidR="0029363D" w:rsidRPr="001E6534">
        <w:t xml:space="preserve"> identified in the supplemental literature search t</w:t>
      </w:r>
      <w:r w:rsidR="0029363D">
        <w:t>hat</w:t>
      </w:r>
      <w:r w:rsidR="0029363D" w:rsidRPr="001E6534">
        <w:t xml:space="preserve"> inform</w:t>
      </w:r>
      <w:r w:rsidR="0029363D">
        <w:t>ed</w:t>
      </w:r>
      <w:r w:rsidR="0029363D" w:rsidRPr="001E6534">
        <w:t xml:space="preserve"> this comparison and w</w:t>
      </w:r>
      <w:r w:rsidR="0029363D">
        <w:t>as</w:t>
      </w:r>
      <w:r w:rsidR="0029363D" w:rsidRPr="001E6534">
        <w:t xml:space="preserve"> included </w:t>
      </w:r>
      <w:r w:rsidR="0029363D">
        <w:t>in this re</w:t>
      </w:r>
      <w:r w:rsidR="00632962">
        <w:t>port</w:t>
      </w:r>
      <w:r w:rsidR="0029363D">
        <w:t xml:space="preserve"> </w:t>
      </w:r>
      <w:r w:rsidR="0029363D" w:rsidRPr="001E6534">
        <w:t>(Benowitz et al. 2018)</w:t>
      </w:r>
      <w:r w:rsidR="004C4EA7" w:rsidRPr="001E6534">
        <w:t xml:space="preserve">. </w:t>
      </w:r>
    </w:p>
    <w:p w14:paraId="4AAA3293" w14:textId="4A1FA7CD" w:rsidR="00506C67" w:rsidRDefault="00506C67" w:rsidP="000150FD">
      <w:pPr>
        <w:pStyle w:val="Caption"/>
        <w:keepNext/>
        <w:spacing w:before="0" w:after="120"/>
        <w:jc w:val="both"/>
      </w:pPr>
      <w:bookmarkStart w:id="54" w:name="_Ref54090599"/>
      <w:r>
        <w:lastRenderedPageBreak/>
        <w:t xml:space="preserve">Table </w:t>
      </w:r>
      <w:r>
        <w:fldChar w:fldCharType="begin"/>
      </w:r>
      <w:r>
        <w:instrText>SEQ Table \* ARABIC</w:instrText>
      </w:r>
      <w:r>
        <w:fldChar w:fldCharType="separate"/>
      </w:r>
      <w:r w:rsidR="00EC5CC7">
        <w:rPr>
          <w:noProof/>
        </w:rPr>
        <w:t>17</w:t>
      </w:r>
      <w:r>
        <w:fldChar w:fldCharType="end"/>
      </w:r>
      <w:bookmarkEnd w:id="54"/>
      <w:r>
        <w:t xml:space="preserve">: </w:t>
      </w:r>
      <w:r w:rsidRPr="000D2E03">
        <w:t xml:space="preserve">List of studies comparing varenicline with </w:t>
      </w:r>
      <w:r>
        <w:t>bupropion</w:t>
      </w:r>
    </w:p>
    <w:tbl>
      <w:tblPr>
        <w:tblStyle w:val="TableGrid"/>
        <w:tblW w:w="5000" w:type="pct"/>
        <w:tblLook w:val="04A0" w:firstRow="1" w:lastRow="0" w:firstColumn="1" w:lastColumn="0" w:noHBand="0" w:noVBand="1"/>
        <w:tblCaption w:val="Efficacy results of adalimumab trials (PASI 75 and DLQI)"/>
      </w:tblPr>
      <w:tblGrid>
        <w:gridCol w:w="891"/>
        <w:gridCol w:w="8125"/>
      </w:tblGrid>
      <w:tr w:rsidR="0039468B" w:rsidRPr="00061F78" w14:paraId="6E6B1FDD" w14:textId="77777777" w:rsidTr="000150FD">
        <w:trPr>
          <w:cantSplit/>
          <w:trHeight w:val="329"/>
          <w:tblHeader/>
        </w:trPr>
        <w:tc>
          <w:tcPr>
            <w:tcW w:w="494" w:type="pct"/>
            <w:shd w:val="clear" w:color="auto" w:fill="BFBFBF" w:themeFill="background1" w:themeFillShade="BF"/>
            <w:tcMar>
              <w:left w:w="28" w:type="dxa"/>
              <w:right w:w="28" w:type="dxa"/>
            </w:tcMar>
          </w:tcPr>
          <w:p w14:paraId="46EBF512" w14:textId="23DA4B43" w:rsidR="004C7519" w:rsidRPr="00061F78" w:rsidRDefault="00126B7B" w:rsidP="00BE3B4B">
            <w:pPr>
              <w:pStyle w:val="Tableheading"/>
              <w:rPr>
                <w:rFonts w:eastAsia="MS Mincho"/>
              </w:rPr>
            </w:pPr>
            <w:r>
              <w:rPr>
                <w:rFonts w:eastAsia="MS Mincho"/>
              </w:rPr>
              <w:t>Study</w:t>
            </w:r>
          </w:p>
        </w:tc>
        <w:tc>
          <w:tcPr>
            <w:tcW w:w="4506" w:type="pct"/>
            <w:shd w:val="clear" w:color="auto" w:fill="BFBFBF" w:themeFill="background1" w:themeFillShade="BF"/>
          </w:tcPr>
          <w:p w14:paraId="652598FD" w14:textId="77777777" w:rsidR="004C7519" w:rsidRDefault="004C7519" w:rsidP="00BE3B4B">
            <w:pPr>
              <w:pStyle w:val="Tableheading"/>
              <w:jc w:val="center"/>
              <w:rPr>
                <w:rFonts w:eastAsia="MS Mincho"/>
              </w:rPr>
            </w:pPr>
            <w:r>
              <w:rPr>
                <w:rFonts w:eastAsia="MS Mincho"/>
              </w:rPr>
              <w:t>Citation</w:t>
            </w:r>
          </w:p>
        </w:tc>
      </w:tr>
      <w:tr w:rsidR="0039468B" w:rsidRPr="00061F78" w14:paraId="47E12815" w14:textId="77777777" w:rsidTr="000150FD">
        <w:trPr>
          <w:cantSplit/>
          <w:trHeight w:val="109"/>
        </w:trPr>
        <w:tc>
          <w:tcPr>
            <w:tcW w:w="494" w:type="pct"/>
            <w:shd w:val="clear" w:color="auto" w:fill="D9D9D9" w:themeFill="background1" w:themeFillShade="D9"/>
            <w:tcMar>
              <w:left w:w="28" w:type="dxa"/>
              <w:right w:w="28" w:type="dxa"/>
            </w:tcMar>
          </w:tcPr>
          <w:p w14:paraId="1EB24817" w14:textId="5870ECD8" w:rsidR="004C7519" w:rsidRDefault="004C7519" w:rsidP="00BE3B4B">
            <w:pPr>
              <w:pStyle w:val="Tablewriting"/>
              <w:rPr>
                <w:rFonts w:eastAsia="MS Mincho"/>
              </w:rPr>
            </w:pPr>
            <w:r>
              <w:rPr>
                <w:rFonts w:eastAsia="MS Mincho"/>
              </w:rPr>
              <w:t>Gonzales (2006)</w:t>
            </w:r>
            <w:hyperlink w:anchor="_ENREF_8" w:tooltip="Gonzales, 2006 #590" w:history="1">
              <w:r w:rsidR="0039468B">
                <w:rPr>
                  <w:rFonts w:eastAsia="MS Mincho"/>
                </w:rPr>
                <w:fldChar w:fldCharType="begin">
                  <w:fldData xml:space="preserve">PEVuZE5vdGU+PENpdGU+PEF1dGhvcj5Hb256YWxlczwvQXV0aG9yPjxZZWFyPjIwMDY8L1llYXI+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</w:fldData>
                </w:fldChar>
              </w:r>
              <w:r w:rsidR="0039468B">
                <w:rPr>
                  <w:rFonts w:eastAsia="MS Mincho"/>
                </w:rPr>
                <w:instrText xml:space="preserve"> ADDIN EN.CITE </w:instrText>
              </w:r>
              <w:r w:rsidR="0039468B">
                <w:rPr>
                  <w:rFonts w:eastAsia="MS Mincho"/>
                </w:rPr>
                <w:fldChar w:fldCharType="begin">
                  <w:fldData xml:space="preserve">PEVuZE5vdGU+PENpdGU+PEF1dGhvcj5Hb256YWxlczwvQXV0aG9yPjxZZWFyPjIwMDY8L1llYXI+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8</w:t>
              </w:r>
              <w:r w:rsidR="0039468B">
                <w:rPr>
                  <w:rFonts w:eastAsia="MS Mincho"/>
                </w:rPr>
                <w:fldChar w:fldCharType="end"/>
              </w:r>
            </w:hyperlink>
          </w:p>
        </w:tc>
        <w:tc>
          <w:tcPr>
            <w:tcW w:w="4506" w:type="pct"/>
            <w:shd w:val="clear" w:color="auto" w:fill="D9D9D9" w:themeFill="background1" w:themeFillShade="D9"/>
          </w:tcPr>
          <w:p w14:paraId="388455ED" w14:textId="77777777" w:rsidR="004C7519" w:rsidRPr="00B90A70" w:rsidRDefault="004C7519" w:rsidP="00BE3B4B">
            <w:pPr>
              <w:pStyle w:val="Tablewriting"/>
              <w:rPr>
                <w:rFonts w:eastAsia="MS Mincho"/>
              </w:rPr>
            </w:pPr>
            <w:r w:rsidRPr="000554FE">
              <w:rPr>
                <w:rFonts w:eastAsia="MS Mincho"/>
              </w:rPr>
              <w:t>Gonzales D, Rennard SI, Nides M, Oncken C, Azoulay S, Billing CB, Watsky EJ, Gong J, Williams KE, Reeves KR, Varenicline Phase 3 Study Group. Varenicline, an α4β2 nicotinic acetylcholine receptor partial agonist, vs sustained-release bupropion and placebo for smoking cessation: a randomized controlled trial. Jama. 2006 Jul 5;296(1):47-55.</w:t>
            </w:r>
          </w:p>
        </w:tc>
      </w:tr>
      <w:tr w:rsidR="0039468B" w:rsidRPr="00061F78" w14:paraId="68A36871" w14:textId="77777777" w:rsidTr="000150FD">
        <w:trPr>
          <w:cantSplit/>
          <w:trHeight w:val="109"/>
        </w:trPr>
        <w:tc>
          <w:tcPr>
            <w:tcW w:w="494" w:type="pct"/>
            <w:shd w:val="clear" w:color="auto" w:fill="D9D9D9" w:themeFill="background1" w:themeFillShade="D9"/>
            <w:tcMar>
              <w:left w:w="28" w:type="dxa"/>
              <w:right w:w="28" w:type="dxa"/>
            </w:tcMar>
          </w:tcPr>
          <w:p w14:paraId="23CB964E" w14:textId="7F3B0098" w:rsidR="004C7519" w:rsidRDefault="004C7519" w:rsidP="00BE3B4B">
            <w:pPr>
              <w:pStyle w:val="Tablewriting"/>
              <w:rPr>
                <w:rFonts w:eastAsia="MS Mincho"/>
              </w:rPr>
            </w:pPr>
            <w:r>
              <w:rPr>
                <w:rFonts w:eastAsia="MS Mincho"/>
              </w:rPr>
              <w:t>Jorenby (2006)</w:t>
            </w:r>
            <w:hyperlink w:anchor="_ENREF_9" w:tooltip="Jorenby, 2006 #589" w:history="1">
              <w:r w:rsidR="0039468B">
                <w:rPr>
                  <w:rFonts w:eastAsia="MS Mincho"/>
                </w:rPr>
                <w:fldChar w:fldCharType="begin">
                  <w:fldData xml:space="preserve">PEVuZE5vdGU+PENpdGU+PEF1dGhvcj5Kb3JlbmJ5PC9BdXRob3I+PFllYXI+MjAwNjwvWWVhcj48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PEVuZE5vdGU+PENpdGU+PEF1dGhvcj5Kb3JlbmJ5PC9BdXRob3I+PFllYXI+MjAwNjwvWWVhcj48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9</w:t>
              </w:r>
              <w:r w:rsidR="0039468B">
                <w:rPr>
                  <w:rFonts w:eastAsia="MS Mincho"/>
                </w:rPr>
                <w:fldChar w:fldCharType="end"/>
              </w:r>
            </w:hyperlink>
          </w:p>
        </w:tc>
        <w:tc>
          <w:tcPr>
            <w:tcW w:w="4506" w:type="pct"/>
            <w:shd w:val="clear" w:color="auto" w:fill="D9D9D9" w:themeFill="background1" w:themeFillShade="D9"/>
          </w:tcPr>
          <w:p w14:paraId="5451FEA8" w14:textId="77777777" w:rsidR="004C7519" w:rsidRPr="00B90A70" w:rsidRDefault="004C7519" w:rsidP="00BE3B4B">
            <w:pPr>
              <w:pStyle w:val="Tablewriting"/>
              <w:rPr>
                <w:rFonts w:eastAsia="MS Mincho"/>
              </w:rPr>
            </w:pPr>
            <w:r w:rsidRPr="00FD5577">
              <w:rPr>
                <w:rFonts w:eastAsia="MS Mincho"/>
              </w:rPr>
              <w:t>Jorenby DE, Hays JT, Rigotti NA, Azoulay S, Watsky EJ, Williams KE, Billing CB, Gong J, Reeves KR, Varenicline Phase 3 Study Group. Efficacy of varenicline, an α4β2 nicotinic acetylcholine receptor partial agonist, vs placebo or sustained-release bupropion for smoking cessation: a randomized controlled trial. Jama. 2006 Jul 5;296(1):56-63.</w:t>
            </w:r>
          </w:p>
        </w:tc>
      </w:tr>
      <w:tr w:rsidR="0039468B" w:rsidRPr="00061F78" w14:paraId="7625C5EB" w14:textId="77777777" w:rsidTr="000150FD">
        <w:trPr>
          <w:cantSplit/>
          <w:trHeight w:val="109"/>
        </w:trPr>
        <w:tc>
          <w:tcPr>
            <w:tcW w:w="494" w:type="pct"/>
            <w:shd w:val="clear" w:color="auto" w:fill="D9D9D9" w:themeFill="background1" w:themeFillShade="D9"/>
            <w:tcMar>
              <w:left w:w="28" w:type="dxa"/>
              <w:right w:w="28" w:type="dxa"/>
            </w:tcMar>
          </w:tcPr>
          <w:p w14:paraId="7E87CE93" w14:textId="1592B72A" w:rsidR="004C7519" w:rsidRDefault="004C7519" w:rsidP="00BE3B4B">
            <w:pPr>
              <w:pStyle w:val="Tablewriting"/>
              <w:rPr>
                <w:rFonts w:eastAsia="MS Mincho"/>
              </w:rPr>
            </w:pPr>
            <w:r>
              <w:rPr>
                <w:rFonts w:eastAsia="MS Mincho"/>
              </w:rPr>
              <w:t>Anthenelli (EAGLES, 2016)</w:t>
            </w:r>
            <w:hyperlink w:anchor="_ENREF_18" w:tooltip="Anthenelli, 2016 #601" w:history="1">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18</w:t>
              </w:r>
              <w:r w:rsidR="0039468B">
                <w:rPr>
                  <w:rFonts w:eastAsia="MS Mincho"/>
                </w:rPr>
                <w:fldChar w:fldCharType="end"/>
              </w:r>
            </w:hyperlink>
          </w:p>
        </w:tc>
        <w:tc>
          <w:tcPr>
            <w:tcW w:w="4506" w:type="pct"/>
            <w:shd w:val="clear" w:color="auto" w:fill="D9D9D9" w:themeFill="background1" w:themeFillShade="D9"/>
          </w:tcPr>
          <w:p w14:paraId="3B0CD3CA" w14:textId="77777777" w:rsidR="004C7519" w:rsidRPr="003B6CC8" w:rsidRDefault="004C7519" w:rsidP="00BE3B4B">
            <w:pPr>
              <w:pStyle w:val="Tablewriting"/>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24959" w:rsidRPr="00061F78" w14:paraId="279621A5" w14:textId="77777777" w:rsidTr="000150FD">
        <w:trPr>
          <w:cantSplit/>
          <w:trHeight w:val="164"/>
        </w:trPr>
        <w:tc>
          <w:tcPr>
            <w:tcW w:w="494" w:type="pct"/>
            <w:tcMar>
              <w:left w:w="28" w:type="dxa"/>
              <w:right w:w="28" w:type="dxa"/>
            </w:tcMar>
          </w:tcPr>
          <w:p w14:paraId="2226CAE6" w14:textId="3889881F" w:rsidR="004C7519" w:rsidRPr="00D07303" w:rsidRDefault="00D35F4F" w:rsidP="00BE3B4B">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hyperlink w:anchor="_ENREF_3" w:tooltip="Howes, 2020 #530" w:history="1">
              <w:r w:rsidR="0039468B">
                <w:rPr>
                  <w:rFonts w:eastAsia="MS Mincho"/>
                </w:rPr>
                <w:fldChar w:fldCharType="begin"/>
              </w:r>
              <w:r w:rsidR="0039468B">
                <w:rPr>
                  <w:rFonts w:eastAsia="MS Mincho"/>
                </w:rPr>
                <w:instrText xml:space="preserve"> ADDIN EN.CITE &lt;EndNote&gt;&lt;Cite&gt;&lt;Author&gt;Howes&lt;/Author&gt;&lt;Year&gt;2020&lt;/Year&gt;&lt;RecNum&gt;530&lt;/RecNum&gt;&lt;DisplayText&gt;&lt;style face="superscript"&gt;3&lt;/style&gt;&lt;/DisplayText&gt;&lt;record&gt;&lt;rec-number&gt;530&lt;/rec-number&gt;&lt;foreign-keys&gt;&lt;key app="EN" db-id="2xwa055rhevv2yef5v75fepy2azsv0xvx</w:instrText>
              </w:r>
              <w:r w:rsidR="0039468B">
                <w:rPr>
                  <w:rFonts w:eastAsia="MS Mincho" w:hint="eastAsia"/>
                </w:rPr>
                <w:instrText>9w9" timestamp="1602031206"&gt;530&lt;/key&gt;&lt;/foreign-keys&gt;&lt;ref-type name="Journal Article"&gt;17&lt;/ref-type&gt;&lt;contributors&gt;&lt;authors&gt;&lt;author&gt;Howes, S.&lt;/author&gt;&lt;author&gt;Hartmann</w:instrText>
              </w:r>
              <w:r w:rsidR="0039468B">
                <w:rPr>
                  <w:rFonts w:eastAsia="MS Mincho" w:hint="eastAsia"/>
                </w:rPr>
                <w:instrText>‐</w:instrText>
              </w:r>
              <w:r w:rsidR="0039468B">
                <w:rPr>
                  <w:rFonts w:eastAsia="MS Mincho" w:hint="eastAsia"/>
                </w:rPr>
                <w:instrText>Boyce, J.&lt;/author&gt;&lt;author&gt;Livingstone</w:instrText>
              </w:r>
              <w:r w:rsidR="0039468B">
                <w:rPr>
                  <w:rFonts w:eastAsia="MS Mincho" w:hint="eastAsia"/>
                </w:rPr>
                <w:instrText>‐</w:instrText>
              </w:r>
              <w:r w:rsidR="0039468B">
                <w:rPr>
                  <w:rFonts w:eastAsia="MS Mincho" w:hint="eastAsia"/>
                </w:rPr>
                <w:instrText>Banks, J.&lt;/author&gt;&lt;author&gt;Hong, B.&lt;/author&gt;&lt;author&gt;Li</w:instrText>
              </w:r>
              <w:r w:rsidR="0039468B">
                <w:rPr>
                  <w:rFonts w:eastAsia="MS Mincho"/>
                </w:rPr>
                <w:instrText>ndson, N.&lt;/author&gt;&lt;/authors&gt;&lt;/contributors&gt;&lt;titles&gt;&lt;title&gt;Antidepressants for smoking cessation&lt;/title&gt;&lt;secondary-title&gt;Cochrane Database of Systematic Reviews&lt;/secondary-title&gt;&lt;/titles&gt;&lt;periodical&gt;&lt;full-title&gt;Cochrane Database of Systematic Reviews&lt;/full</w:instrText>
              </w:r>
              <w:r w:rsidR="0039468B">
                <w:rPr>
                  <w:rFonts w:eastAsia="MS Mincho" w:hint="eastAsia"/>
                </w:rPr>
                <w:instrText>-title&gt;&lt;/periodical&gt;&lt;number&gt;4&lt;/number&gt;&lt;keywords&gt;&lt;keyword&gt;Antidepressive Agents [adverse effects, *therapeutic use]&lt;/keyword&gt;&lt;keyword&gt;Anti</w:instrText>
              </w:r>
              <w:r w:rsidR="0039468B">
                <w:rPr>
                  <w:rFonts w:eastAsia="MS Mincho" w:hint="eastAsia"/>
                </w:rPr>
                <w:instrText>‐</w:instrText>
              </w:r>
              <w:r w:rsidR="0039468B">
                <w:rPr>
                  <w:rFonts w:eastAsia="MS Mincho" w:hint="eastAsia"/>
                </w:rPr>
                <w:instrText>Anxiety Agents [adverse effects, *therapeutic use]&lt;/keyword&gt;&lt;keyword&gt;Bupropion [adverse effects, therapeutic use]&lt;/ke</w:instrText>
              </w:r>
              <w:r w:rsidR="0039468B">
                <w:rPr>
                  <w:rFonts w:eastAsia="MS Mincho"/>
                </w:rPr>
                <w:instrText>yword&gt;&lt;keyword&gt;Humans&lt;/keyword&gt;&lt;keyword&gt;Nortriptyline [therapeutic use]&lt;/keyword&gt;&lt;keyword&gt;Randomized Controlled Trials as Topic&lt;/keyword&gt;&lt;keyword&gt;Serotonin Uptake Inhibitors [therapeutic use]&lt;/keyword&gt;&lt;keyword&gt;Smoking Cessation [*methods, psychology]&lt;/keyword&gt;&lt;keyword&gt;Smoking [*drug therapy, psychology]&lt;/keyword&gt;&lt;keyword&gt;Tobacco Use Cessation Devices&lt;/keyword&gt;&lt;keyword&gt;Varenicline [adverse effects, therapeutic use]&lt;/keyword&gt;&lt;/keywords&gt;&lt;dates&gt;&lt;year&gt;2020&lt;/year&gt;&lt;/dates&gt;&lt;publisher&gt;John Wiley &amp;amp; Sons, Ltd&lt;/publisher&gt;&lt;isbn&gt;1465-1858&lt;/isbn&gt;&lt;accession-num&gt;CD000031&lt;/accession-num&gt;&lt;urls&gt;&lt;related-urls&gt;&lt;url&gt;https://doi.org//10.1002/14651858.CD000031.pub5&lt;/url&gt;&lt;/related-urls&gt;&lt;/urls&gt;&lt;electronic-resource-num&gt;10.1002/14651858.CD000031.pub5&lt;/electronic-resource-num&gt;&lt;/record&gt;&lt;/Cite&gt;&lt;/EndNote&gt;</w:instrText>
              </w:r>
              <w:r w:rsidR="0039468B">
                <w:rPr>
                  <w:rFonts w:eastAsia="MS Mincho"/>
                </w:rPr>
                <w:fldChar w:fldCharType="separate"/>
              </w:r>
              <w:r w:rsidR="0039468B" w:rsidRPr="007A3AB0">
                <w:rPr>
                  <w:rFonts w:eastAsia="MS Mincho"/>
                  <w:noProof/>
                  <w:vertAlign w:val="superscript"/>
                </w:rPr>
                <w:t>3</w:t>
              </w:r>
              <w:r w:rsidR="0039468B">
                <w:rPr>
                  <w:rFonts w:eastAsia="MS Mincho"/>
                </w:rPr>
                <w:fldChar w:fldCharType="end"/>
              </w:r>
            </w:hyperlink>
            <w:r w:rsidRPr="00D07303">
              <w:rPr>
                <w:rFonts w:eastAsia="MS Mincho"/>
                <w:vertAlign w:val="superscript"/>
              </w:rPr>
              <w:t xml:space="preserve"> </w:t>
            </w:r>
          </w:p>
        </w:tc>
        <w:tc>
          <w:tcPr>
            <w:tcW w:w="4506" w:type="pct"/>
          </w:tcPr>
          <w:p w14:paraId="45429D37" w14:textId="52EF40D1" w:rsidR="004C7519" w:rsidRDefault="004C4EA7" w:rsidP="00BE3B4B">
            <w:pPr>
              <w:pStyle w:val="Tablewriting"/>
              <w:rPr>
                <w:rFonts w:eastAsia="MS Mincho"/>
              </w:rPr>
            </w:pPr>
            <w:r w:rsidRPr="002764E0">
              <w:rPr>
                <w:rFonts w:eastAsia="MS Mincho"/>
              </w:rPr>
              <w:t>Howes S</w:t>
            </w:r>
            <w:r w:rsidR="00D35F4F" w:rsidRPr="002764E0">
              <w:rPr>
                <w:rFonts w:eastAsia="MS Mincho"/>
              </w:rPr>
              <w:t>, Hartmann‐</w:t>
            </w:r>
            <w:r w:rsidRPr="002764E0">
              <w:rPr>
                <w:rFonts w:eastAsia="MS Mincho"/>
              </w:rPr>
              <w:t>Boyce J</w:t>
            </w:r>
            <w:r w:rsidR="00D35F4F" w:rsidRPr="002764E0">
              <w:rPr>
                <w:rFonts w:eastAsia="MS Mincho"/>
              </w:rPr>
              <w:t>, Livingstone‐</w:t>
            </w:r>
            <w:r w:rsidRPr="002764E0">
              <w:rPr>
                <w:rFonts w:eastAsia="MS Mincho"/>
              </w:rPr>
              <w:t>Banks J</w:t>
            </w:r>
            <w:r w:rsidR="00D35F4F" w:rsidRPr="002764E0">
              <w:rPr>
                <w:rFonts w:eastAsia="MS Mincho"/>
              </w:rPr>
              <w:t xml:space="preserve">, </w:t>
            </w:r>
            <w:r w:rsidRPr="002764E0">
              <w:rPr>
                <w:rFonts w:eastAsia="MS Mincho"/>
              </w:rPr>
              <w:t>Hong B</w:t>
            </w:r>
            <w:r w:rsidR="00D35F4F" w:rsidRPr="002764E0">
              <w:rPr>
                <w:rFonts w:eastAsia="MS Mincho"/>
              </w:rPr>
              <w:t xml:space="preserve">, </w:t>
            </w:r>
            <w:r w:rsidRPr="002764E0">
              <w:rPr>
                <w:rFonts w:eastAsia="MS Mincho"/>
              </w:rPr>
              <w:t>Lindson N.</w:t>
            </w:r>
            <w:r w:rsidR="00D35F4F" w:rsidRPr="002764E0">
              <w:rPr>
                <w:rFonts w:eastAsia="MS Mincho"/>
              </w:rPr>
              <w:t xml:space="preserve"> Antidepressants for smoking cessation. Cochrane Database of Systematic Reviews 2020, Issue 4. Art. No.: CD000031.</w:t>
            </w:r>
          </w:p>
        </w:tc>
      </w:tr>
      <w:tr w:rsidR="00324959" w:rsidRPr="00061F78" w14:paraId="5CFAEB37" w14:textId="77777777" w:rsidTr="000150FD">
        <w:trPr>
          <w:cantSplit/>
          <w:trHeight w:val="164"/>
        </w:trPr>
        <w:tc>
          <w:tcPr>
            <w:tcW w:w="494" w:type="pct"/>
            <w:tcMar>
              <w:left w:w="28" w:type="dxa"/>
              <w:right w:w="28" w:type="dxa"/>
            </w:tcMar>
          </w:tcPr>
          <w:p w14:paraId="6F53831F" w14:textId="0F37DA24" w:rsidR="00211F9F" w:rsidRDefault="00211F9F" w:rsidP="00BE3B4B">
            <w:pPr>
              <w:pStyle w:val="Tablewriting"/>
              <w:rPr>
                <w:rFonts w:eastAsia="MS Mincho"/>
              </w:rPr>
            </w:pPr>
            <w:r>
              <w:rPr>
                <w:rFonts w:eastAsia="MS Mincho"/>
              </w:rPr>
              <w:t>Benowitz (2018)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506" w:type="pct"/>
          </w:tcPr>
          <w:p w14:paraId="71DA40F5" w14:textId="0F766632" w:rsidR="00211F9F" w:rsidRPr="002764E0" w:rsidRDefault="00211F9F" w:rsidP="00BE3B4B">
            <w:pPr>
              <w:pStyle w:val="Tablewriting"/>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14:paraId="709A4C3B" w14:textId="77777777" w:rsidR="00D35F4F" w:rsidRDefault="00D35F4F" w:rsidP="000150FD">
      <w:pPr>
        <w:pStyle w:val="TableFooter"/>
        <w:jc w:val="both"/>
      </w:pPr>
      <w:r w:rsidRPr="00061F78">
        <w:rPr>
          <w:highlight w:val="lightGray"/>
        </w:rPr>
        <w:t>Shaded</w:t>
      </w:r>
      <w:r w:rsidRPr="00061F78">
        <w:t xml:space="preserve"> = previously considered by the PBAC</w:t>
      </w:r>
    </w:p>
    <w:p w14:paraId="2E410EFD" w14:textId="1F1E6C45" w:rsidR="0099691F" w:rsidRDefault="0099691F" w:rsidP="000150FD">
      <w:pPr>
        <w:pStyle w:val="TableFooter"/>
        <w:keepNext/>
        <w:spacing w:after="120"/>
        <w:contextualSpacing w:val="0"/>
        <w:jc w:val="both"/>
      </w:pPr>
      <w:r>
        <w:t xml:space="preserve">Notes: Gonzales et al. (2006) and Jorenby et al. (2006) were considered </w:t>
      </w:r>
      <w:r w:rsidR="001B0165">
        <w:t>at</w:t>
      </w:r>
      <w:r>
        <w:t xml:space="preserve"> the July 2007 PBAC meeting. EAGLES (2016) was considered </w:t>
      </w:r>
      <w:r w:rsidR="001B0165">
        <w:t>at</w:t>
      </w:r>
      <w:r>
        <w:t xml:space="preserve"> the November 2016 PBAC meeting.</w:t>
      </w:r>
    </w:p>
    <w:p w14:paraId="6A2274E9" w14:textId="26839A0E" w:rsidR="004C7519" w:rsidRPr="004C7519" w:rsidRDefault="00041FF4" w:rsidP="000150FD">
      <w:pPr>
        <w:spacing w:after="120"/>
        <w:jc w:val="both"/>
      </w:pPr>
      <w:r w:rsidRPr="00041FF4">
        <w:t xml:space="preserve">A summary of the characteristics of the studies comparing varenicline with </w:t>
      </w:r>
      <w:r>
        <w:t>bupropion</w:t>
      </w:r>
      <w:r w:rsidRPr="00041FF4">
        <w:t xml:space="preserve"> is presented in </w:t>
      </w:r>
      <w:r w:rsidR="00F84183">
        <w:fldChar w:fldCharType="begin" w:fldLock="1"/>
      </w:r>
      <w:r w:rsidR="00F84183">
        <w:instrText xml:space="preserve"> REF _Ref54098760 \h </w:instrText>
      </w:r>
      <w:r w:rsidR="000150FD">
        <w:instrText xml:space="preserve"> \* MERGEFORMAT </w:instrText>
      </w:r>
      <w:r w:rsidR="00F84183">
        <w:fldChar w:fldCharType="separate"/>
      </w:r>
      <w:r w:rsidR="00EC5CC7">
        <w:t xml:space="preserve">Table </w:t>
      </w:r>
      <w:r w:rsidR="00EC5CC7">
        <w:rPr>
          <w:noProof/>
        </w:rPr>
        <w:t>18</w:t>
      </w:r>
      <w:r w:rsidR="00F84183">
        <w:fldChar w:fldCharType="end"/>
      </w:r>
      <w:r w:rsidRPr="00041FF4">
        <w:t xml:space="preserve">. A total of </w:t>
      </w:r>
      <w:r w:rsidR="00F84183">
        <w:t>10</w:t>
      </w:r>
      <w:r w:rsidRPr="00041FF4">
        <w:t xml:space="preserve"> RCTs comparing varenicline with </w:t>
      </w:r>
      <w:r w:rsidR="00F84183">
        <w:t>bupropion</w:t>
      </w:r>
      <w:r w:rsidRPr="00041FF4">
        <w:t xml:space="preserve"> were identified by </w:t>
      </w:r>
      <w:r w:rsidR="00F84183">
        <w:t>Howes</w:t>
      </w:r>
      <w:r w:rsidRPr="00041FF4">
        <w:t xml:space="preserve"> et al. (20</w:t>
      </w:r>
      <w:r w:rsidR="00F84183">
        <w:t>20</w:t>
      </w:r>
      <w:r w:rsidRPr="00041FF4">
        <w:t>)</w:t>
      </w:r>
      <w:r w:rsidR="00F84183">
        <w:t>, with six RCTs included in the primary efficacy analysis</w:t>
      </w:r>
      <w:r w:rsidRPr="00041FF4">
        <w:t>. Of the</w:t>
      </w:r>
      <w:r w:rsidR="00F84183">
        <w:t xml:space="preserve"> six RCTs</w:t>
      </w:r>
      <w:r w:rsidRPr="00041FF4">
        <w:t xml:space="preserve">, </w:t>
      </w:r>
      <w:r w:rsidR="00F84183">
        <w:t>three</w:t>
      </w:r>
      <w:r w:rsidRPr="00041FF4">
        <w:t xml:space="preserve"> studies were the studies previously considered by the PBAC</w:t>
      </w:r>
      <w:r w:rsidR="0041337B">
        <w:t xml:space="preserve"> (Gonzales et al. 2006, Jorenby et al. 2006 and EAGLES 2016)</w:t>
      </w:r>
      <w:r w:rsidRPr="00041FF4">
        <w:t xml:space="preserve">. The characteristics of the individual studies are presented in </w:t>
      </w:r>
      <w:r w:rsidRPr="00B62C26">
        <w:t>Appendix</w:t>
      </w:r>
      <w:r w:rsidR="00076298">
        <w:t xml:space="preserve"> Table 147</w:t>
      </w:r>
      <w:r w:rsidRPr="00041FF4">
        <w:t>.</w:t>
      </w:r>
    </w:p>
    <w:p w14:paraId="27E4FB44" w14:textId="09ED41A7" w:rsidR="0029363D" w:rsidRDefault="0029363D" w:rsidP="000150FD">
      <w:pPr>
        <w:spacing w:after="120"/>
        <w:jc w:val="both"/>
      </w:pPr>
      <w:r>
        <w:t>Benowitz et al. (2018) was a safety study (n</w:t>
      </w:r>
      <w:r w:rsidRPr="00A95E3C">
        <w:t>on-treatment extension</w:t>
      </w:r>
      <w:r>
        <w:t>)</w:t>
      </w:r>
      <w:r w:rsidRPr="00A95E3C">
        <w:t xml:space="preserve"> </w:t>
      </w:r>
      <w:r>
        <w:t>of</w:t>
      </w:r>
      <w:r w:rsidRPr="00A95E3C">
        <w:t xml:space="preserve"> </w:t>
      </w:r>
      <w:r>
        <w:t>EAGLES (Anthenelli et al. 2016) comparing NRT</w:t>
      </w:r>
      <w:r w:rsidRPr="00F42E00">
        <w:t xml:space="preserve"> </w:t>
      </w:r>
      <w:r w:rsidR="00573F59">
        <w:t>patches</w:t>
      </w:r>
      <w:r>
        <w:t xml:space="preserve"> (</w:t>
      </w:r>
      <w:r w:rsidRPr="00F42E00">
        <w:t>21 mg per day with taper)</w:t>
      </w:r>
      <w:r>
        <w:t xml:space="preserve">, </w:t>
      </w:r>
      <w:r w:rsidRPr="00F42E00">
        <w:t>varenicline (1 mg twice a day)</w:t>
      </w:r>
      <w:r>
        <w:t xml:space="preserve">, </w:t>
      </w:r>
      <w:r w:rsidRPr="00F42E00">
        <w:t>bupropion (150 mg twice a day)</w:t>
      </w:r>
      <w:r>
        <w:t xml:space="preserve"> and placebo.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rsidR="004C4EA7">
        <w:t xml:space="preserve">. </w:t>
      </w:r>
    </w:p>
    <w:p w14:paraId="45B69D5B" w14:textId="77777777" w:rsidR="0029363D" w:rsidRPr="004C7519" w:rsidRDefault="0029363D" w:rsidP="004C7519"/>
    <w:p w14:paraId="0B3B6909" w14:textId="77777777" w:rsidR="004E6099" w:rsidRPr="004E6099" w:rsidRDefault="004E6099" w:rsidP="004E6099">
      <w:pPr>
        <w:rPr>
          <w:b/>
          <w:bCs/>
        </w:rPr>
      </w:pPr>
    </w:p>
    <w:p w14:paraId="11C821E1" w14:textId="77777777" w:rsidR="00B0603F" w:rsidRDefault="00B0603F" w:rsidP="00C83EDA">
      <w:pPr>
        <w:rPr>
          <w:b/>
          <w:bCs/>
        </w:rPr>
        <w:sectPr w:rsidR="00B0603F" w:rsidSect="006356D2">
          <w:pgSz w:w="11906" w:h="16838"/>
          <w:pgMar w:top="1440" w:right="1440" w:bottom="1440" w:left="1440" w:header="708" w:footer="708" w:gutter="0"/>
          <w:cols w:space="708"/>
          <w:titlePg/>
          <w:docGrid w:linePitch="360"/>
        </w:sectPr>
      </w:pPr>
    </w:p>
    <w:p w14:paraId="3D4637F0" w14:textId="69200A30" w:rsidR="00F84183" w:rsidRDefault="00F84183" w:rsidP="000150FD">
      <w:pPr>
        <w:pStyle w:val="Caption"/>
        <w:keepNext/>
        <w:spacing w:before="0" w:after="120"/>
        <w:jc w:val="both"/>
      </w:pPr>
      <w:bookmarkStart w:id="55" w:name="_Ref54098760"/>
      <w:r>
        <w:lastRenderedPageBreak/>
        <w:t xml:space="preserve">Table </w:t>
      </w:r>
      <w:r>
        <w:fldChar w:fldCharType="begin"/>
      </w:r>
      <w:r>
        <w:instrText>SEQ Table \* ARABIC</w:instrText>
      </w:r>
      <w:r>
        <w:fldChar w:fldCharType="separate"/>
      </w:r>
      <w:r w:rsidR="00EC5CC7">
        <w:rPr>
          <w:noProof/>
        </w:rPr>
        <w:t>18</w:t>
      </w:r>
      <w:r>
        <w:fldChar w:fldCharType="end"/>
      </w:r>
      <w:bookmarkEnd w:id="55"/>
      <w:r>
        <w:t xml:space="preserve">: </w:t>
      </w:r>
      <w:r w:rsidRPr="000434DF">
        <w:t xml:space="preserve">Characteristics of the studies comparing varenicline with </w:t>
      </w:r>
      <w:r>
        <w:t>bupropion</w:t>
      </w:r>
    </w:p>
    <w:tbl>
      <w:tblPr>
        <w:tblStyle w:val="TableGrid"/>
        <w:tblW w:w="5000" w:type="pct"/>
        <w:tblLook w:val="04A0" w:firstRow="1" w:lastRow="0" w:firstColumn="1" w:lastColumn="0" w:noHBand="0" w:noVBand="1"/>
        <w:tblCaption w:val="Efficacy results of adalimumab trials (PASI 75 and DLQI)"/>
      </w:tblPr>
      <w:tblGrid>
        <w:gridCol w:w="894"/>
        <w:gridCol w:w="1114"/>
        <w:gridCol w:w="969"/>
        <w:gridCol w:w="4960"/>
        <w:gridCol w:w="2831"/>
        <w:gridCol w:w="3180"/>
      </w:tblGrid>
      <w:tr w:rsidR="00260CD7" w:rsidRPr="00061F78" w14:paraId="4BA3303A" w14:textId="77777777" w:rsidTr="003218B0">
        <w:trPr>
          <w:trHeight w:val="299"/>
          <w:tblHeader/>
        </w:trPr>
        <w:tc>
          <w:tcPr>
            <w:tcW w:w="320" w:type="pct"/>
            <w:shd w:val="clear" w:color="auto" w:fill="BFBFBF" w:themeFill="background1" w:themeFillShade="BF"/>
            <w:tcMar>
              <w:left w:w="28" w:type="dxa"/>
              <w:right w:w="28" w:type="dxa"/>
            </w:tcMar>
          </w:tcPr>
          <w:p w14:paraId="2BAEFF08" w14:textId="1757AE91" w:rsidR="006E61FA" w:rsidRPr="00061F78" w:rsidRDefault="00126B7B" w:rsidP="00BE3B4B">
            <w:pPr>
              <w:pStyle w:val="Tableheading"/>
              <w:rPr>
                <w:rFonts w:eastAsia="MS Mincho"/>
              </w:rPr>
            </w:pPr>
            <w:r>
              <w:rPr>
                <w:rFonts w:eastAsia="MS Mincho"/>
              </w:rPr>
              <w:t>Study</w:t>
            </w:r>
          </w:p>
        </w:tc>
        <w:tc>
          <w:tcPr>
            <w:tcW w:w="399" w:type="pct"/>
            <w:shd w:val="clear" w:color="auto" w:fill="BFBFBF" w:themeFill="background1" w:themeFillShade="BF"/>
          </w:tcPr>
          <w:p w14:paraId="737AAD58" w14:textId="77777777" w:rsidR="006E61FA" w:rsidRDefault="006E61FA" w:rsidP="00BE3B4B">
            <w:pPr>
              <w:pStyle w:val="Tableheading"/>
              <w:jc w:val="center"/>
              <w:rPr>
                <w:rFonts w:eastAsia="MS Mincho"/>
              </w:rPr>
            </w:pPr>
            <w:r>
              <w:rPr>
                <w:rFonts w:eastAsia="MS Mincho"/>
              </w:rPr>
              <w:t>Study type</w:t>
            </w:r>
          </w:p>
        </w:tc>
        <w:tc>
          <w:tcPr>
            <w:tcW w:w="347" w:type="pct"/>
            <w:shd w:val="clear" w:color="auto" w:fill="BFBFBF" w:themeFill="background1" w:themeFillShade="BF"/>
            <w:tcMar>
              <w:left w:w="28" w:type="dxa"/>
              <w:right w:w="28" w:type="dxa"/>
            </w:tcMar>
          </w:tcPr>
          <w:p w14:paraId="44590832" w14:textId="77777777" w:rsidR="006E61FA" w:rsidRPr="00AE21E9" w:rsidRDefault="006E61FA" w:rsidP="00BE3B4B">
            <w:pPr>
              <w:pStyle w:val="Tableheading"/>
              <w:jc w:val="center"/>
              <w:rPr>
                <w:rFonts w:eastAsia="MS Mincho"/>
                <w:vertAlign w:val="superscript"/>
              </w:rPr>
            </w:pPr>
            <w:r>
              <w:rPr>
                <w:rFonts w:eastAsia="MS Mincho"/>
              </w:rPr>
              <w:t>N</w:t>
            </w:r>
            <w:r>
              <w:rPr>
                <w:rFonts w:eastAsia="MS Mincho"/>
                <w:vertAlign w:val="superscript"/>
              </w:rPr>
              <w:t>1</w:t>
            </w:r>
          </w:p>
        </w:tc>
        <w:tc>
          <w:tcPr>
            <w:tcW w:w="1778" w:type="pct"/>
            <w:shd w:val="clear" w:color="auto" w:fill="BFBFBF" w:themeFill="background1" w:themeFillShade="BF"/>
            <w:tcMar>
              <w:left w:w="28" w:type="dxa"/>
              <w:right w:w="28" w:type="dxa"/>
            </w:tcMar>
          </w:tcPr>
          <w:p w14:paraId="269C507D" w14:textId="77777777" w:rsidR="006E61FA" w:rsidRPr="00061F78" w:rsidRDefault="006E61FA" w:rsidP="00BE3B4B">
            <w:pPr>
              <w:pStyle w:val="Tableheading"/>
              <w:jc w:val="center"/>
              <w:rPr>
                <w:rFonts w:eastAsia="MS Mincho"/>
              </w:rPr>
            </w:pPr>
            <w:r w:rsidRPr="00061F78">
              <w:rPr>
                <w:rFonts w:eastAsia="MS Mincho"/>
              </w:rPr>
              <w:t>P</w:t>
            </w:r>
            <w:r>
              <w:rPr>
                <w:rFonts w:eastAsia="MS Mincho"/>
              </w:rPr>
              <w:t>opulation</w:t>
            </w:r>
          </w:p>
        </w:tc>
        <w:tc>
          <w:tcPr>
            <w:tcW w:w="1015" w:type="pct"/>
            <w:shd w:val="clear" w:color="auto" w:fill="BFBFBF" w:themeFill="background1" w:themeFillShade="BF"/>
          </w:tcPr>
          <w:p w14:paraId="55C89B95" w14:textId="77777777" w:rsidR="006E61FA" w:rsidRDefault="006E61FA" w:rsidP="00BE3B4B">
            <w:pPr>
              <w:pStyle w:val="Tableheading"/>
              <w:jc w:val="center"/>
              <w:rPr>
                <w:rFonts w:eastAsia="MS Mincho"/>
              </w:rPr>
            </w:pPr>
            <w:r>
              <w:rPr>
                <w:rFonts w:eastAsia="MS Mincho"/>
              </w:rPr>
              <w:t>Intervention and comparator</w:t>
            </w:r>
          </w:p>
        </w:tc>
        <w:tc>
          <w:tcPr>
            <w:tcW w:w="1140" w:type="pct"/>
            <w:shd w:val="clear" w:color="auto" w:fill="BFBFBF" w:themeFill="background1" w:themeFillShade="BF"/>
            <w:tcMar>
              <w:left w:w="28" w:type="dxa"/>
              <w:right w:w="28" w:type="dxa"/>
            </w:tcMar>
          </w:tcPr>
          <w:p w14:paraId="0C058A9C" w14:textId="77777777" w:rsidR="006E61FA" w:rsidRPr="00061F78" w:rsidRDefault="006E61FA" w:rsidP="00BE3B4B">
            <w:pPr>
              <w:pStyle w:val="Tableheading"/>
              <w:jc w:val="center"/>
              <w:rPr>
                <w:rFonts w:eastAsia="MS Mincho"/>
              </w:rPr>
            </w:pPr>
            <w:r>
              <w:rPr>
                <w:rFonts w:eastAsia="MS Mincho"/>
              </w:rPr>
              <w:t>Outcomes</w:t>
            </w:r>
          </w:p>
        </w:tc>
      </w:tr>
      <w:tr w:rsidR="00260CD7" w:rsidRPr="00061F78" w14:paraId="1F594F4B" w14:textId="77777777" w:rsidTr="005346E0">
        <w:trPr>
          <w:trHeight w:val="99"/>
        </w:trPr>
        <w:tc>
          <w:tcPr>
            <w:tcW w:w="320" w:type="pct"/>
            <w:shd w:val="clear" w:color="auto" w:fill="D9D9D9" w:themeFill="background1" w:themeFillShade="D9"/>
            <w:tcMar>
              <w:left w:w="28" w:type="dxa"/>
              <w:right w:w="28" w:type="dxa"/>
            </w:tcMar>
          </w:tcPr>
          <w:p w14:paraId="4E7E0BB1" w14:textId="77777777" w:rsidR="00B3413C" w:rsidRDefault="00B3413C" w:rsidP="00BE3B4B">
            <w:pPr>
              <w:pStyle w:val="Tablewriting"/>
              <w:rPr>
                <w:rFonts w:eastAsia="MS Mincho"/>
              </w:rPr>
            </w:pPr>
            <w:r>
              <w:rPr>
                <w:rFonts w:eastAsia="MS Mincho"/>
              </w:rPr>
              <w:t>Gonzales</w:t>
            </w:r>
          </w:p>
          <w:p w14:paraId="54937159" w14:textId="35B2EB68" w:rsidR="00B3413C" w:rsidRDefault="00B3413C" w:rsidP="00BE3B4B">
            <w:pPr>
              <w:pStyle w:val="Tablewriting"/>
              <w:rPr>
                <w:rFonts w:eastAsia="MS Mincho"/>
              </w:rPr>
            </w:pPr>
            <w:r>
              <w:rPr>
                <w:rFonts w:eastAsia="MS Mincho"/>
              </w:rPr>
              <w:t xml:space="preserve">(2006) </w:t>
            </w:r>
          </w:p>
        </w:tc>
        <w:tc>
          <w:tcPr>
            <w:tcW w:w="399" w:type="pct"/>
            <w:shd w:val="clear" w:color="auto" w:fill="D9D9D9" w:themeFill="background1" w:themeFillShade="D9"/>
          </w:tcPr>
          <w:p w14:paraId="37703A53" w14:textId="77777777" w:rsidR="00B3413C" w:rsidRDefault="00B3413C"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677A5792" w14:textId="77777777" w:rsidR="00B3413C" w:rsidRDefault="00B3413C" w:rsidP="00BE3B4B">
            <w:pPr>
              <w:pStyle w:val="Tablewriting"/>
              <w:rPr>
                <w:rFonts w:eastAsia="MS Mincho"/>
              </w:rPr>
            </w:pPr>
            <w:r>
              <w:rPr>
                <w:rFonts w:eastAsia="MS Mincho"/>
              </w:rPr>
              <w:t>N=1025</w:t>
            </w:r>
          </w:p>
          <w:p w14:paraId="5B7E5893" w14:textId="77777777" w:rsidR="00B3413C" w:rsidRDefault="00B3413C" w:rsidP="00BE3B4B">
            <w:pPr>
              <w:pStyle w:val="Tablewriting"/>
              <w:rPr>
                <w:rFonts w:eastAsia="MS Mincho"/>
              </w:rPr>
            </w:pPr>
            <w:r>
              <w:rPr>
                <w:rFonts w:eastAsia="MS Mincho"/>
              </w:rPr>
              <w:t>Varenicline (n=352), Bupropion (n=329)</w:t>
            </w:r>
          </w:p>
        </w:tc>
        <w:tc>
          <w:tcPr>
            <w:tcW w:w="1778" w:type="pct"/>
            <w:shd w:val="clear" w:color="auto" w:fill="D9D9D9" w:themeFill="background1" w:themeFillShade="D9"/>
            <w:tcMar>
              <w:left w:w="28" w:type="dxa"/>
              <w:right w:w="28" w:type="dxa"/>
            </w:tcMar>
          </w:tcPr>
          <w:p w14:paraId="5A443BAC" w14:textId="5EFFFD88" w:rsidR="00B3413C" w:rsidRPr="00061F78" w:rsidRDefault="000C4B32" w:rsidP="00BE3B4B">
            <w:pPr>
              <w:pStyle w:val="Tablewriting"/>
              <w:rPr>
                <w:rFonts w:eastAsia="MS Mincho"/>
              </w:rPr>
            </w:pPr>
            <w:r>
              <w:rPr>
                <w:rFonts w:eastAsia="MS Mincho"/>
              </w:rPr>
              <w:t xml:space="preserve">See </w:t>
            </w:r>
            <w:r>
              <w:rPr>
                <w:rFonts w:eastAsia="MS Mincho"/>
              </w:rPr>
              <w:fldChar w:fldCharType="begin" w:fldLock="1"/>
            </w:r>
            <w:r>
              <w:rPr>
                <w:rFonts w:eastAsia="MS Mincho"/>
              </w:rPr>
              <w:instrText xml:space="preserve"> REF _Ref53569777 \h </w:instrText>
            </w:r>
            <w:r w:rsidR="00B930E5">
              <w:rPr>
                <w:rFonts w:eastAsia="MS Mincho"/>
              </w:rPr>
              <w:instrText xml:space="preserve"> \* MERGEFORMAT </w:instrText>
            </w:r>
            <w:r>
              <w:rPr>
                <w:rFonts w:eastAsia="MS Mincho"/>
              </w:rPr>
            </w:r>
            <w:r>
              <w:rPr>
                <w:rFonts w:eastAsia="MS Mincho"/>
              </w:rPr>
              <w:fldChar w:fldCharType="separate"/>
            </w:r>
            <w:r w:rsidR="00EC5CC7">
              <w:t xml:space="preserve">Table </w:t>
            </w:r>
            <w:r w:rsidR="00EC5CC7">
              <w:rPr>
                <w:noProof/>
              </w:rPr>
              <w:t>14</w:t>
            </w:r>
            <w:r>
              <w:rPr>
                <w:rFonts w:eastAsia="MS Mincho"/>
              </w:rPr>
              <w:fldChar w:fldCharType="end"/>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14:paraId="0A17967E" w14:textId="2942BCC0" w:rsidR="00B3413C" w:rsidRDefault="00B3413C" w:rsidP="00BE3B4B">
            <w:pPr>
              <w:pStyle w:val="Tablewriting"/>
              <w:rPr>
                <w:rFonts w:eastAsia="MS Mincho"/>
              </w:rPr>
            </w:pPr>
            <w:r>
              <w:rPr>
                <w:rFonts w:eastAsia="MS Mincho"/>
              </w:rPr>
              <w:t>Varenicline</w:t>
            </w:r>
            <w:r w:rsidRPr="00A34E7B">
              <w:rPr>
                <w:rFonts w:eastAsia="MS Mincho"/>
              </w:rPr>
              <w:t xml:space="preserve">: </w:t>
            </w:r>
            <w:r>
              <w:rPr>
                <w:rFonts w:eastAsia="MS Mincho"/>
              </w:rPr>
              <w:t>0.5</w:t>
            </w:r>
            <w:r w:rsidR="00A333B7">
              <w:rPr>
                <w:rFonts w:eastAsia="MS Mincho"/>
              </w:rPr>
              <w:t xml:space="preserve"> </w:t>
            </w:r>
            <w:r w:rsidRPr="00985785">
              <w:rPr>
                <w:rFonts w:eastAsia="MS Mincho"/>
              </w:rPr>
              <w:t xml:space="preserve">mg/d for </w:t>
            </w:r>
            <w:r>
              <w:rPr>
                <w:rFonts w:eastAsia="MS Mincho"/>
              </w:rPr>
              <w:t>Day</w:t>
            </w:r>
            <w:r w:rsidRPr="00985785">
              <w:rPr>
                <w:rFonts w:eastAsia="MS Mincho"/>
              </w:rPr>
              <w:t xml:space="preserve"> 1</w:t>
            </w:r>
            <w:r>
              <w:rPr>
                <w:rFonts w:eastAsia="MS Mincho"/>
              </w:rPr>
              <w:t>-</w:t>
            </w:r>
            <w:r w:rsidRPr="00985785">
              <w:rPr>
                <w:rFonts w:eastAsia="MS Mincho"/>
              </w:rPr>
              <w:t>3, 0.5 mg twice per</w:t>
            </w:r>
            <w:r w:rsidR="003218B0">
              <w:rPr>
                <w:rFonts w:eastAsia="MS Mincho"/>
              </w:rPr>
              <w:t xml:space="preserve"> </w:t>
            </w:r>
            <w:r w:rsidRPr="00985785">
              <w:rPr>
                <w:rFonts w:eastAsia="MS Mincho"/>
              </w:rPr>
              <w:t xml:space="preserve">day for </w:t>
            </w:r>
            <w:r>
              <w:rPr>
                <w:rFonts w:eastAsia="MS Mincho"/>
              </w:rPr>
              <w:t xml:space="preserve">Day </w:t>
            </w:r>
            <w:r w:rsidRPr="00985785">
              <w:rPr>
                <w:rFonts w:eastAsia="MS Mincho"/>
              </w:rPr>
              <w:t>4</w:t>
            </w:r>
            <w:r>
              <w:rPr>
                <w:rFonts w:eastAsia="MS Mincho"/>
              </w:rPr>
              <w:t>-</w:t>
            </w:r>
            <w:r w:rsidRPr="00985785">
              <w:rPr>
                <w:rFonts w:eastAsia="MS Mincho"/>
              </w:rPr>
              <w:t>7, then 1</w:t>
            </w:r>
            <w:r w:rsidR="00A333B7">
              <w:rPr>
                <w:rFonts w:eastAsia="MS Mincho"/>
              </w:rPr>
              <w:t xml:space="preserve"> </w:t>
            </w:r>
            <w:r w:rsidRPr="00985785">
              <w:rPr>
                <w:rFonts w:eastAsia="MS Mincho"/>
              </w:rPr>
              <w:t>mg twice per</w:t>
            </w:r>
            <w:r>
              <w:rPr>
                <w:rFonts w:eastAsia="MS Mincho"/>
              </w:rPr>
              <w:t xml:space="preserve"> </w:t>
            </w:r>
            <w:r w:rsidRPr="00985785">
              <w:rPr>
                <w:rFonts w:eastAsia="MS Mincho"/>
              </w:rPr>
              <w:t>day through week 12</w:t>
            </w:r>
            <w:r w:rsidR="003218B0">
              <w:rPr>
                <w:rFonts w:eastAsia="MS Mincho"/>
              </w:rPr>
              <w:t xml:space="preserve">; </w:t>
            </w:r>
            <w:r>
              <w:rPr>
                <w:rFonts w:eastAsia="MS Mincho"/>
              </w:rPr>
              <w:t>Bupropion: 150</w:t>
            </w:r>
            <w:r w:rsidR="00A333B7">
              <w:rPr>
                <w:rFonts w:eastAsia="MS Mincho"/>
              </w:rPr>
              <w:t xml:space="preserve"> </w:t>
            </w:r>
            <w:r>
              <w:rPr>
                <w:rFonts w:eastAsia="MS Mincho"/>
              </w:rPr>
              <w:t>mg Day 1-3, followed by 150</w:t>
            </w:r>
            <w:r w:rsidR="00A333B7">
              <w:rPr>
                <w:rFonts w:eastAsia="MS Mincho"/>
              </w:rPr>
              <w:t xml:space="preserve"> </w:t>
            </w:r>
            <w:r>
              <w:rPr>
                <w:rFonts w:eastAsia="MS Mincho"/>
              </w:rPr>
              <w:t>mg twice per day through week 12</w:t>
            </w:r>
            <w:r w:rsidR="00004245">
              <w:rPr>
                <w:rFonts w:eastAsia="MS Mincho"/>
              </w:rPr>
              <w:t>.</w:t>
            </w:r>
          </w:p>
          <w:p w14:paraId="64440331" w14:textId="77777777" w:rsidR="00C115B1" w:rsidRDefault="00C115B1" w:rsidP="00BE3B4B">
            <w:pPr>
              <w:pStyle w:val="Tablewriting"/>
              <w:rPr>
                <w:rFonts w:eastAsia="MS Mincho"/>
              </w:rPr>
            </w:pPr>
          </w:p>
          <w:p w14:paraId="5F81F918" w14:textId="7F0B97F5" w:rsidR="00C115B1" w:rsidRPr="00061F78"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14:paraId="183DEFA7" w14:textId="37CA08A8" w:rsidR="00B3413C" w:rsidRDefault="00B3413C" w:rsidP="00BE3B4B">
            <w:pPr>
              <w:pStyle w:val="Tablewriting"/>
              <w:rPr>
                <w:rFonts w:eastAsia="MS Mincho"/>
              </w:rPr>
            </w:pPr>
            <w:r w:rsidRPr="008C39E4">
              <w:rPr>
                <w:rFonts w:eastAsia="MS Mincho"/>
                <w:u w:val="single"/>
              </w:rPr>
              <w:t>Primary</w:t>
            </w:r>
            <w:r>
              <w:rPr>
                <w:rFonts w:eastAsia="MS Mincho"/>
              </w:rPr>
              <w:t xml:space="preserve">: </w:t>
            </w:r>
            <w:r w:rsidR="000C4B32">
              <w:rPr>
                <w:rFonts w:eastAsia="MS Mincho"/>
              </w:rPr>
              <w:t>CAR</w:t>
            </w:r>
            <w:r>
              <w:rPr>
                <w:rFonts w:eastAsia="MS Mincho"/>
              </w:rPr>
              <w:t xml:space="preserve"> at </w:t>
            </w:r>
            <w:r w:rsidR="007B7017">
              <w:rPr>
                <w:rFonts w:eastAsia="MS Mincho"/>
              </w:rPr>
              <w:t>w</w:t>
            </w:r>
            <w:r>
              <w:rPr>
                <w:rFonts w:eastAsia="MS Mincho"/>
              </w:rPr>
              <w:t>eek 9-12. Validated by CO</w:t>
            </w:r>
            <w:r w:rsidR="000C4B32">
              <w:rPr>
                <w:rFonts w:eastAsia="MS Mincho"/>
              </w:rPr>
              <w:t xml:space="preserve"> </w:t>
            </w:r>
            <w:r>
              <w:rPr>
                <w:rFonts w:eastAsia="MS Mincho" w:cstheme="minorHAnsi"/>
              </w:rPr>
              <w:t>≤</w:t>
            </w:r>
            <w:r>
              <w:rPr>
                <w:rFonts w:eastAsia="MS Mincho"/>
              </w:rPr>
              <w:t>10</w:t>
            </w:r>
            <w:r w:rsidR="00803DA6">
              <w:rPr>
                <w:rFonts w:eastAsia="MS Mincho"/>
              </w:rPr>
              <w:t xml:space="preserve"> </w:t>
            </w:r>
            <w:r>
              <w:rPr>
                <w:rFonts w:eastAsia="MS Mincho"/>
              </w:rPr>
              <w:t>ppm.</w:t>
            </w:r>
          </w:p>
          <w:p w14:paraId="1B1F9CA8" w14:textId="719EAAD0" w:rsidR="00B3413C" w:rsidRDefault="00B3413C" w:rsidP="00BE3B4B">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7B7017">
              <w:rPr>
                <w:rFonts w:eastAsia="MS Mincho"/>
              </w:rPr>
              <w:t>w</w:t>
            </w:r>
            <w:r>
              <w:rPr>
                <w:rFonts w:eastAsia="MS Mincho"/>
              </w:rPr>
              <w:t>eek</w:t>
            </w:r>
            <w:r w:rsidRPr="005B56AA">
              <w:rPr>
                <w:rFonts w:eastAsia="MS Mincho"/>
              </w:rPr>
              <w:t xml:space="preserve"> 9-24 </w:t>
            </w:r>
            <w:r>
              <w:rPr>
                <w:rFonts w:eastAsia="MS Mincho"/>
              </w:rPr>
              <w:t xml:space="preserve">and </w:t>
            </w:r>
            <w:r w:rsidR="007B7017">
              <w:rPr>
                <w:rFonts w:eastAsia="MS Mincho"/>
              </w:rPr>
              <w:t>w</w:t>
            </w:r>
            <w:r>
              <w:rPr>
                <w:rFonts w:eastAsia="MS Mincho"/>
              </w:rPr>
              <w:t>eek</w:t>
            </w:r>
            <w:r w:rsidRPr="005B56AA">
              <w:rPr>
                <w:rFonts w:eastAsia="MS Mincho"/>
              </w:rPr>
              <w:t xml:space="preserve"> 9-52; 7-day PPA at </w:t>
            </w:r>
            <w:r w:rsidR="007B7017">
              <w:rPr>
                <w:rFonts w:eastAsia="MS Mincho"/>
              </w:rPr>
              <w:t>w</w:t>
            </w:r>
            <w:r>
              <w:rPr>
                <w:rFonts w:eastAsia="MS Mincho"/>
              </w:rPr>
              <w:t>eek</w:t>
            </w:r>
            <w:r w:rsidRPr="005B56AA">
              <w:rPr>
                <w:rFonts w:eastAsia="MS Mincho"/>
              </w:rPr>
              <w:t xml:space="preserve"> 12, 24 and 52</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p w14:paraId="26C99B58" w14:textId="62316E85" w:rsidR="00B3413C" w:rsidRPr="00061F78" w:rsidRDefault="00B3413C" w:rsidP="00BE3B4B">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04245">
              <w:rPr>
                <w:rFonts w:eastAsia="MS Mincho"/>
              </w:rPr>
              <w:t>.</w:t>
            </w:r>
          </w:p>
        </w:tc>
      </w:tr>
      <w:tr w:rsidR="00260CD7" w:rsidRPr="00061F78" w14:paraId="2B646557" w14:textId="77777777" w:rsidTr="005346E0">
        <w:trPr>
          <w:trHeight w:val="99"/>
        </w:trPr>
        <w:tc>
          <w:tcPr>
            <w:tcW w:w="320" w:type="pct"/>
            <w:shd w:val="clear" w:color="auto" w:fill="D9D9D9" w:themeFill="background1" w:themeFillShade="D9"/>
            <w:tcMar>
              <w:left w:w="28" w:type="dxa"/>
              <w:right w:w="28" w:type="dxa"/>
            </w:tcMar>
          </w:tcPr>
          <w:p w14:paraId="4043BF4C" w14:textId="77777777" w:rsidR="000C4B32" w:rsidRDefault="000C4B32" w:rsidP="00BE3B4B">
            <w:pPr>
              <w:pStyle w:val="Tablewriting"/>
              <w:rPr>
                <w:rFonts w:eastAsia="MS Mincho"/>
              </w:rPr>
            </w:pPr>
            <w:r>
              <w:rPr>
                <w:rFonts w:eastAsia="MS Mincho"/>
              </w:rPr>
              <w:t>Jorenby</w:t>
            </w:r>
          </w:p>
          <w:p w14:paraId="020E924B" w14:textId="3381FCAB" w:rsidR="000C4B32" w:rsidRPr="00061F78" w:rsidRDefault="000C4B32" w:rsidP="00BE3B4B">
            <w:pPr>
              <w:pStyle w:val="Tablewriting"/>
              <w:rPr>
                <w:rFonts w:eastAsia="MS Mincho"/>
              </w:rPr>
            </w:pPr>
            <w:r>
              <w:rPr>
                <w:rFonts w:eastAsia="MS Mincho"/>
              </w:rPr>
              <w:t>(2006)</w:t>
            </w:r>
          </w:p>
        </w:tc>
        <w:tc>
          <w:tcPr>
            <w:tcW w:w="399" w:type="pct"/>
            <w:shd w:val="clear" w:color="auto" w:fill="D9D9D9" w:themeFill="background1" w:themeFillShade="D9"/>
          </w:tcPr>
          <w:p w14:paraId="040EE5E5" w14:textId="77777777" w:rsidR="000C4B32" w:rsidRDefault="000C4B32"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4A9640D5" w14:textId="77777777" w:rsidR="000C4B32" w:rsidRDefault="000C4B32" w:rsidP="00BE3B4B">
            <w:pPr>
              <w:pStyle w:val="Tablewriting"/>
              <w:rPr>
                <w:rFonts w:eastAsia="MS Mincho"/>
              </w:rPr>
            </w:pPr>
            <w:r>
              <w:rPr>
                <w:rFonts w:eastAsia="MS Mincho"/>
              </w:rPr>
              <w:t>N=1027</w:t>
            </w:r>
          </w:p>
          <w:p w14:paraId="01421685" w14:textId="77777777" w:rsidR="000C4B32" w:rsidRPr="00061F78" w:rsidRDefault="000C4B32" w:rsidP="00BE3B4B">
            <w:pPr>
              <w:pStyle w:val="Tablewriting"/>
              <w:rPr>
                <w:rFonts w:eastAsia="MS Mincho"/>
              </w:rPr>
            </w:pPr>
            <w:r>
              <w:rPr>
                <w:rFonts w:eastAsia="MS Mincho"/>
              </w:rPr>
              <w:t>Varenicline (n=344), Bupropion (n=342)</w:t>
            </w:r>
          </w:p>
        </w:tc>
        <w:tc>
          <w:tcPr>
            <w:tcW w:w="1778" w:type="pct"/>
            <w:shd w:val="clear" w:color="auto" w:fill="D9D9D9" w:themeFill="background1" w:themeFillShade="D9"/>
            <w:tcMar>
              <w:left w:w="28" w:type="dxa"/>
              <w:right w:w="28" w:type="dxa"/>
            </w:tcMar>
          </w:tcPr>
          <w:p w14:paraId="5DCB8E43" w14:textId="3852787B" w:rsidR="000C4B32" w:rsidRPr="00061F78" w:rsidRDefault="000C4B32" w:rsidP="00BE3B4B">
            <w:pPr>
              <w:pStyle w:val="Tablewriting"/>
              <w:rPr>
                <w:rFonts w:eastAsia="MS Mincho"/>
              </w:rPr>
            </w:pPr>
            <w:r>
              <w:rPr>
                <w:rFonts w:eastAsia="MS Mincho"/>
              </w:rPr>
              <w:t xml:space="preserve">See </w:t>
            </w:r>
            <w:r>
              <w:rPr>
                <w:rFonts w:eastAsia="MS Mincho"/>
              </w:rPr>
              <w:fldChar w:fldCharType="begin" w:fldLock="1"/>
            </w:r>
            <w:r>
              <w:rPr>
                <w:rFonts w:eastAsia="MS Mincho"/>
              </w:rPr>
              <w:instrText xml:space="preserve"> REF _Ref53569777 \h </w:instrText>
            </w:r>
            <w:r w:rsidR="00B930E5">
              <w:rPr>
                <w:rFonts w:eastAsia="MS Mincho"/>
              </w:rPr>
              <w:instrText xml:space="preserve"> \* MERGEFORMAT </w:instrText>
            </w:r>
            <w:r>
              <w:rPr>
                <w:rFonts w:eastAsia="MS Mincho"/>
              </w:rPr>
            </w:r>
            <w:r>
              <w:rPr>
                <w:rFonts w:eastAsia="MS Mincho"/>
              </w:rPr>
              <w:fldChar w:fldCharType="separate"/>
            </w:r>
            <w:r w:rsidR="00EC5CC7">
              <w:t xml:space="preserve">Table </w:t>
            </w:r>
            <w:r w:rsidR="00EC5CC7">
              <w:rPr>
                <w:noProof/>
              </w:rPr>
              <w:t>14</w:t>
            </w:r>
            <w:r>
              <w:rPr>
                <w:rFonts w:eastAsia="MS Mincho"/>
              </w:rPr>
              <w:fldChar w:fldCharType="end"/>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14:paraId="53FCD759" w14:textId="046A1AFC" w:rsidR="000C4B32" w:rsidRDefault="000C4B32" w:rsidP="00BE3B4B">
            <w:pPr>
              <w:pStyle w:val="Tablewriting"/>
              <w:rPr>
                <w:rFonts w:eastAsia="MS Mincho"/>
              </w:rPr>
            </w:pPr>
            <w:r>
              <w:rPr>
                <w:rFonts w:eastAsia="MS Mincho"/>
              </w:rPr>
              <w:t>Varenicline</w:t>
            </w:r>
            <w:r w:rsidRPr="00A34E7B">
              <w:rPr>
                <w:rFonts w:eastAsia="MS Mincho"/>
              </w:rPr>
              <w:t xml:space="preserve">: </w:t>
            </w:r>
            <w:r>
              <w:rPr>
                <w:rFonts w:eastAsia="MS Mincho"/>
              </w:rPr>
              <w:t>0.5</w:t>
            </w:r>
            <w:r w:rsidR="00A333B7">
              <w:rPr>
                <w:rFonts w:eastAsia="MS Mincho"/>
              </w:rPr>
              <w:t xml:space="preserve"> </w:t>
            </w:r>
            <w:r w:rsidRPr="00985785">
              <w:rPr>
                <w:rFonts w:eastAsia="MS Mincho"/>
              </w:rPr>
              <w:t xml:space="preserve">mg/d for </w:t>
            </w:r>
            <w:r>
              <w:rPr>
                <w:rFonts w:eastAsia="MS Mincho"/>
              </w:rPr>
              <w:t>Day</w:t>
            </w:r>
            <w:r w:rsidRPr="00985785">
              <w:rPr>
                <w:rFonts w:eastAsia="MS Mincho"/>
              </w:rPr>
              <w:t xml:space="preserve"> 1</w:t>
            </w:r>
            <w:r>
              <w:rPr>
                <w:rFonts w:eastAsia="MS Mincho"/>
              </w:rPr>
              <w:t>-</w:t>
            </w:r>
            <w:r w:rsidRPr="00985785">
              <w:rPr>
                <w:rFonts w:eastAsia="MS Mincho"/>
              </w:rPr>
              <w:t>3, 0.5 mg twice per</w:t>
            </w:r>
            <w:r w:rsidR="003218B0">
              <w:rPr>
                <w:rFonts w:eastAsia="MS Mincho"/>
              </w:rPr>
              <w:t xml:space="preserve"> </w:t>
            </w:r>
            <w:r w:rsidRPr="00985785">
              <w:rPr>
                <w:rFonts w:eastAsia="MS Mincho"/>
              </w:rPr>
              <w:t xml:space="preserve">day for </w:t>
            </w:r>
            <w:r>
              <w:rPr>
                <w:rFonts w:eastAsia="MS Mincho"/>
              </w:rPr>
              <w:t xml:space="preserve">Day </w:t>
            </w:r>
            <w:r w:rsidRPr="00985785">
              <w:rPr>
                <w:rFonts w:eastAsia="MS Mincho"/>
              </w:rPr>
              <w:t>4</w:t>
            </w:r>
            <w:r>
              <w:rPr>
                <w:rFonts w:eastAsia="MS Mincho"/>
              </w:rPr>
              <w:t>-</w:t>
            </w:r>
            <w:r w:rsidRPr="00985785">
              <w:rPr>
                <w:rFonts w:eastAsia="MS Mincho"/>
              </w:rPr>
              <w:t>7, then 1</w:t>
            </w:r>
            <w:r w:rsidR="00A333B7">
              <w:rPr>
                <w:rFonts w:eastAsia="MS Mincho"/>
              </w:rPr>
              <w:t xml:space="preserve"> </w:t>
            </w:r>
            <w:r w:rsidRPr="00985785">
              <w:rPr>
                <w:rFonts w:eastAsia="MS Mincho"/>
              </w:rPr>
              <w:t>mg twice per</w:t>
            </w:r>
            <w:r>
              <w:rPr>
                <w:rFonts w:eastAsia="MS Mincho"/>
              </w:rPr>
              <w:t xml:space="preserve"> </w:t>
            </w:r>
            <w:r w:rsidRPr="00985785">
              <w:rPr>
                <w:rFonts w:eastAsia="MS Mincho"/>
              </w:rPr>
              <w:t>day through week 12</w:t>
            </w:r>
            <w:r w:rsidR="003218B0">
              <w:rPr>
                <w:rFonts w:eastAsia="MS Mincho"/>
              </w:rPr>
              <w:t xml:space="preserve">; </w:t>
            </w:r>
            <w:r>
              <w:rPr>
                <w:rFonts w:eastAsia="MS Mincho"/>
              </w:rPr>
              <w:t>Bupropion: 150</w:t>
            </w:r>
            <w:r w:rsidR="00A333B7">
              <w:rPr>
                <w:rFonts w:eastAsia="MS Mincho"/>
              </w:rPr>
              <w:t xml:space="preserve"> </w:t>
            </w:r>
            <w:r>
              <w:rPr>
                <w:rFonts w:eastAsia="MS Mincho"/>
              </w:rPr>
              <w:t>mg twice daily including titration through week 12</w:t>
            </w:r>
            <w:r w:rsidR="00004245">
              <w:rPr>
                <w:rFonts w:eastAsia="MS Mincho"/>
              </w:rPr>
              <w:t>.</w:t>
            </w:r>
          </w:p>
          <w:p w14:paraId="5A9DB82D" w14:textId="77777777" w:rsidR="00C115B1" w:rsidRDefault="00C115B1" w:rsidP="00BE3B4B">
            <w:pPr>
              <w:pStyle w:val="Tablewriting"/>
              <w:rPr>
                <w:rFonts w:eastAsia="MS Mincho"/>
              </w:rPr>
            </w:pPr>
          </w:p>
          <w:p w14:paraId="051F3886" w14:textId="36065A69" w:rsidR="00C115B1" w:rsidRPr="00A34E7B"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14:paraId="19C82F4B" w14:textId="1FA092FA" w:rsidR="000C4B32" w:rsidRDefault="000C4B32" w:rsidP="00BE3B4B">
            <w:pPr>
              <w:pStyle w:val="Tablewriting"/>
              <w:rPr>
                <w:rFonts w:eastAsia="MS Mincho"/>
              </w:rPr>
            </w:pPr>
            <w:r w:rsidRPr="008C39E4">
              <w:rPr>
                <w:rFonts w:eastAsia="MS Mincho"/>
                <w:u w:val="single"/>
              </w:rPr>
              <w:t>Primary</w:t>
            </w:r>
            <w:r>
              <w:rPr>
                <w:rFonts w:eastAsia="MS Mincho"/>
              </w:rPr>
              <w:t>: C</w:t>
            </w:r>
            <w:r w:rsidR="00FB19DE">
              <w:rPr>
                <w:rFonts w:eastAsia="MS Mincho"/>
              </w:rPr>
              <w:t>AR</w:t>
            </w:r>
            <w:r>
              <w:rPr>
                <w:rFonts w:eastAsia="MS Mincho"/>
              </w:rPr>
              <w:t xml:space="preserve"> at </w:t>
            </w:r>
            <w:r w:rsidR="007B7017">
              <w:rPr>
                <w:rFonts w:eastAsia="MS Mincho"/>
              </w:rPr>
              <w:t>w</w:t>
            </w:r>
            <w:r>
              <w:rPr>
                <w:rFonts w:eastAsia="MS Mincho"/>
              </w:rPr>
              <w:t>eek 9-12. Validated by CO</w:t>
            </w:r>
            <w:r w:rsidR="00FB19DE">
              <w:rPr>
                <w:rFonts w:eastAsia="MS Mincho"/>
              </w:rPr>
              <w:t xml:space="preserve"> </w:t>
            </w:r>
            <w:r>
              <w:rPr>
                <w:rFonts w:eastAsia="MS Mincho" w:cstheme="minorHAnsi"/>
              </w:rPr>
              <w:t>≤</w:t>
            </w:r>
            <w:r>
              <w:rPr>
                <w:rFonts w:eastAsia="MS Mincho"/>
              </w:rPr>
              <w:t>10</w:t>
            </w:r>
            <w:r w:rsidR="00803DA6">
              <w:rPr>
                <w:rFonts w:eastAsia="MS Mincho"/>
              </w:rPr>
              <w:t xml:space="preserve"> </w:t>
            </w:r>
            <w:r>
              <w:rPr>
                <w:rFonts w:eastAsia="MS Mincho"/>
              </w:rPr>
              <w:t>ppm.</w:t>
            </w:r>
          </w:p>
          <w:p w14:paraId="2FCB1615" w14:textId="1EE19F5D" w:rsidR="000C4B32" w:rsidRDefault="000C4B32" w:rsidP="00BE3B4B">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7B7017">
              <w:rPr>
                <w:rFonts w:eastAsia="MS Mincho"/>
              </w:rPr>
              <w:t>w</w:t>
            </w:r>
            <w:r>
              <w:rPr>
                <w:rFonts w:eastAsia="MS Mincho"/>
              </w:rPr>
              <w:t>eek</w:t>
            </w:r>
            <w:r w:rsidRPr="005B56AA">
              <w:rPr>
                <w:rFonts w:eastAsia="MS Mincho"/>
              </w:rPr>
              <w:t xml:space="preserve"> 9-24 </w:t>
            </w:r>
            <w:r>
              <w:rPr>
                <w:rFonts w:eastAsia="MS Mincho"/>
              </w:rPr>
              <w:t xml:space="preserve">and </w:t>
            </w:r>
            <w:r w:rsidR="007B7017">
              <w:rPr>
                <w:rFonts w:eastAsia="MS Mincho"/>
              </w:rPr>
              <w:t>w</w:t>
            </w:r>
            <w:r>
              <w:rPr>
                <w:rFonts w:eastAsia="MS Mincho"/>
              </w:rPr>
              <w:t>eek</w:t>
            </w:r>
            <w:r w:rsidRPr="005B56AA">
              <w:rPr>
                <w:rFonts w:eastAsia="MS Mincho"/>
              </w:rPr>
              <w:t xml:space="preserve"> 9-52; 7-day PPA at </w:t>
            </w:r>
            <w:r w:rsidR="007B7017">
              <w:rPr>
                <w:rFonts w:eastAsia="MS Mincho"/>
              </w:rPr>
              <w:t>w</w:t>
            </w:r>
            <w:r>
              <w:rPr>
                <w:rFonts w:eastAsia="MS Mincho"/>
              </w:rPr>
              <w:t>eek</w:t>
            </w:r>
            <w:r w:rsidRPr="005B56AA">
              <w:rPr>
                <w:rFonts w:eastAsia="MS Mincho"/>
              </w:rPr>
              <w:t xml:space="preserve"> 12, 24 and 52</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p w14:paraId="1D1AE232" w14:textId="4098006D" w:rsidR="000C4B32" w:rsidRPr="00061F78" w:rsidRDefault="000C4B32" w:rsidP="00BE3B4B">
            <w:pPr>
              <w:pStyle w:val="Tablewriting"/>
              <w:rPr>
                <w:rFonts w:eastAsia="MS Mincho"/>
              </w:rPr>
            </w:pPr>
            <w:r w:rsidRPr="0055171C">
              <w:rPr>
                <w:rFonts w:eastAsia="MS Mincho"/>
                <w:u w:val="single"/>
              </w:rPr>
              <w:t>Other</w:t>
            </w:r>
            <w:r>
              <w:rPr>
                <w:rFonts w:eastAsia="MS Mincho"/>
              </w:rPr>
              <w:t>: w</w:t>
            </w:r>
            <w:r w:rsidRPr="00EC37F8">
              <w:rPr>
                <w:rFonts w:eastAsia="MS Mincho"/>
              </w:rPr>
              <w:t>eight change, withdrawal symptoms (using MNWS, QSU-brief and mCEQ), adverse</w:t>
            </w:r>
            <w:r>
              <w:rPr>
                <w:rFonts w:eastAsia="MS Mincho"/>
              </w:rPr>
              <w:t xml:space="preserve"> </w:t>
            </w:r>
            <w:r w:rsidRPr="00EC37F8">
              <w:rPr>
                <w:rFonts w:eastAsia="MS Mincho"/>
              </w:rPr>
              <w:t>events</w:t>
            </w:r>
            <w:r w:rsidR="00004245">
              <w:rPr>
                <w:rFonts w:eastAsia="MS Mincho"/>
              </w:rPr>
              <w:t>.</w:t>
            </w:r>
          </w:p>
        </w:tc>
      </w:tr>
      <w:tr w:rsidR="00260CD7" w:rsidRPr="00061F78" w14:paraId="2365D46D" w14:textId="77777777" w:rsidTr="005346E0">
        <w:trPr>
          <w:trHeight w:val="99"/>
        </w:trPr>
        <w:tc>
          <w:tcPr>
            <w:tcW w:w="320" w:type="pct"/>
            <w:shd w:val="clear" w:color="auto" w:fill="D9D9D9" w:themeFill="background1" w:themeFillShade="D9"/>
            <w:tcMar>
              <w:left w:w="28" w:type="dxa"/>
              <w:right w:w="28" w:type="dxa"/>
            </w:tcMar>
          </w:tcPr>
          <w:p w14:paraId="459097E4" w14:textId="1CC70B5C" w:rsidR="000C4B32" w:rsidRPr="00061F78" w:rsidRDefault="000C4B32" w:rsidP="00BE3B4B">
            <w:pPr>
              <w:pStyle w:val="Tablewriting"/>
              <w:rPr>
                <w:rFonts w:eastAsia="MS Mincho"/>
              </w:rPr>
            </w:pPr>
            <w:r w:rsidRPr="00B83AC1">
              <w:rPr>
                <w:rFonts w:eastAsia="MS Mincho"/>
              </w:rPr>
              <w:t>Anthenelli (EAGLES, 2016)</w:t>
            </w:r>
          </w:p>
        </w:tc>
        <w:tc>
          <w:tcPr>
            <w:tcW w:w="399" w:type="pct"/>
            <w:shd w:val="clear" w:color="auto" w:fill="D9D9D9" w:themeFill="background1" w:themeFillShade="D9"/>
          </w:tcPr>
          <w:p w14:paraId="571FE523" w14:textId="77777777" w:rsidR="000C4B32" w:rsidRDefault="000C4B32" w:rsidP="00BE3B4B">
            <w:pPr>
              <w:pStyle w:val="Tablewriting"/>
              <w:rPr>
                <w:rFonts w:eastAsia="MS Mincho"/>
              </w:rPr>
            </w:pPr>
            <w:r>
              <w:rPr>
                <w:rFonts w:eastAsia="MS Mincho"/>
              </w:rPr>
              <w:t>RCT</w:t>
            </w:r>
          </w:p>
        </w:tc>
        <w:tc>
          <w:tcPr>
            <w:tcW w:w="347" w:type="pct"/>
            <w:shd w:val="clear" w:color="auto" w:fill="D9D9D9" w:themeFill="background1" w:themeFillShade="D9"/>
            <w:tcMar>
              <w:left w:w="28" w:type="dxa"/>
              <w:right w:w="28" w:type="dxa"/>
            </w:tcMar>
          </w:tcPr>
          <w:p w14:paraId="7DA64B59" w14:textId="77777777" w:rsidR="000C4B32" w:rsidRDefault="000C4B32" w:rsidP="00BE3B4B">
            <w:pPr>
              <w:pStyle w:val="Tablewriting"/>
              <w:rPr>
                <w:rFonts w:eastAsia="MS Mincho"/>
              </w:rPr>
            </w:pPr>
            <w:r>
              <w:rPr>
                <w:rFonts w:eastAsia="MS Mincho"/>
              </w:rPr>
              <w:t>N=8,144</w:t>
            </w:r>
          </w:p>
          <w:p w14:paraId="6FA59B27" w14:textId="77777777" w:rsidR="000C4B32" w:rsidRPr="00061F78" w:rsidRDefault="000C4B32" w:rsidP="00BE3B4B">
            <w:pPr>
              <w:pStyle w:val="Tablewriting"/>
              <w:rPr>
                <w:rFonts w:eastAsia="MS Mincho"/>
              </w:rPr>
            </w:pPr>
            <w:r>
              <w:rPr>
                <w:rFonts w:eastAsia="MS Mincho"/>
              </w:rPr>
              <w:t>Varenicline (n=2,037), Bupropion (n=2,034)</w:t>
            </w:r>
          </w:p>
        </w:tc>
        <w:tc>
          <w:tcPr>
            <w:tcW w:w="1778" w:type="pct"/>
            <w:shd w:val="clear" w:color="auto" w:fill="D9D9D9" w:themeFill="background1" w:themeFillShade="D9"/>
            <w:tcMar>
              <w:left w:w="28" w:type="dxa"/>
              <w:right w:w="28" w:type="dxa"/>
            </w:tcMar>
          </w:tcPr>
          <w:p w14:paraId="4B1AE00E" w14:textId="200A5F05" w:rsidR="000C4B32" w:rsidRPr="00061F78" w:rsidRDefault="000C4B32" w:rsidP="00BE3B4B">
            <w:pPr>
              <w:pStyle w:val="Tablewriting"/>
              <w:rPr>
                <w:rFonts w:eastAsia="MS Mincho"/>
              </w:rPr>
            </w:pPr>
            <w:r>
              <w:rPr>
                <w:rFonts w:eastAsia="MS Mincho"/>
              </w:rPr>
              <w:t xml:space="preserve">See </w:t>
            </w:r>
            <w:r>
              <w:rPr>
                <w:rFonts w:eastAsia="MS Mincho"/>
              </w:rPr>
              <w:fldChar w:fldCharType="begin" w:fldLock="1"/>
            </w:r>
            <w:r>
              <w:rPr>
                <w:rFonts w:eastAsia="MS Mincho"/>
              </w:rPr>
              <w:instrText xml:space="preserve"> REF _Ref53569777 \h </w:instrText>
            </w:r>
            <w:r w:rsidR="00B930E5">
              <w:rPr>
                <w:rFonts w:eastAsia="MS Mincho"/>
              </w:rPr>
              <w:instrText xml:space="preserve"> \* MERGEFORMAT </w:instrText>
            </w:r>
            <w:r>
              <w:rPr>
                <w:rFonts w:eastAsia="MS Mincho"/>
              </w:rPr>
            </w:r>
            <w:r>
              <w:rPr>
                <w:rFonts w:eastAsia="MS Mincho"/>
              </w:rPr>
              <w:fldChar w:fldCharType="separate"/>
            </w:r>
            <w:r w:rsidR="00EC5CC7">
              <w:t xml:space="preserve">Table </w:t>
            </w:r>
            <w:r w:rsidR="00EC5CC7">
              <w:rPr>
                <w:noProof/>
              </w:rPr>
              <w:t>14</w:t>
            </w:r>
            <w:r>
              <w:rPr>
                <w:rFonts w:eastAsia="MS Mincho"/>
              </w:rPr>
              <w:fldChar w:fldCharType="end"/>
            </w:r>
            <w:r>
              <w:rPr>
                <w:rFonts w:eastAsia="MS Mincho"/>
              </w:rPr>
              <w:t xml:space="preserve"> for inclusion and exclusion criteria of this study</w:t>
            </w:r>
            <w:r w:rsidR="00004245">
              <w:rPr>
                <w:rFonts w:eastAsia="MS Mincho"/>
              </w:rPr>
              <w:t>.</w:t>
            </w:r>
          </w:p>
        </w:tc>
        <w:tc>
          <w:tcPr>
            <w:tcW w:w="1015" w:type="pct"/>
            <w:shd w:val="clear" w:color="auto" w:fill="D9D9D9" w:themeFill="background1" w:themeFillShade="D9"/>
          </w:tcPr>
          <w:p w14:paraId="61126222" w14:textId="09DD6E6F" w:rsidR="000C4B32" w:rsidRDefault="000C4B32" w:rsidP="00BE3B4B">
            <w:pPr>
              <w:pStyle w:val="Tablewriting"/>
              <w:rPr>
                <w:rFonts w:eastAsia="MS Mincho"/>
              </w:rPr>
            </w:pPr>
            <w:r>
              <w:rPr>
                <w:rFonts w:eastAsia="MS Mincho"/>
              </w:rPr>
              <w:t>Varenicline</w:t>
            </w:r>
            <w:r w:rsidRPr="00A34E7B">
              <w:rPr>
                <w:rFonts w:eastAsia="MS Mincho"/>
              </w:rPr>
              <w:t xml:space="preserve">: </w:t>
            </w:r>
            <w:r w:rsidRPr="00372F18">
              <w:rPr>
                <w:rFonts w:eastAsia="MS Mincho"/>
              </w:rPr>
              <w:t>1</w:t>
            </w:r>
            <w:r w:rsidR="00A333B7">
              <w:rPr>
                <w:rFonts w:eastAsia="MS Mincho"/>
              </w:rPr>
              <w:t xml:space="preserve"> </w:t>
            </w:r>
            <w:r w:rsidRPr="00372F18">
              <w:rPr>
                <w:rFonts w:eastAsia="MS Mincho"/>
              </w:rPr>
              <w:t>mg twice daily titrated</w:t>
            </w:r>
            <w:r>
              <w:rPr>
                <w:rFonts w:eastAsia="MS Mincho"/>
              </w:rPr>
              <w:t xml:space="preserve"> over 12 weeks</w:t>
            </w:r>
            <w:r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Pr="00372F18">
              <w:rPr>
                <w:rFonts w:eastAsia="MS Mincho"/>
              </w:rPr>
              <w:t xml:space="preserve"> 0.5</w:t>
            </w:r>
            <w:r w:rsidR="00A333B7">
              <w:rPr>
                <w:rFonts w:eastAsia="MS Mincho"/>
              </w:rPr>
              <w:t xml:space="preserve"> </w:t>
            </w:r>
            <w:r w:rsidRPr="00372F18">
              <w:rPr>
                <w:rFonts w:eastAsia="MS Mincho"/>
              </w:rPr>
              <w:t>mg once</w:t>
            </w:r>
            <w:r>
              <w:rPr>
                <w:rFonts w:eastAsia="MS Mincho"/>
              </w:rPr>
              <w:t xml:space="preserve"> </w:t>
            </w:r>
            <w:r w:rsidRPr="00372F18">
              <w:rPr>
                <w:rFonts w:eastAsia="MS Mincho"/>
              </w:rPr>
              <w:t>daily for 3 days, then 0.5</w:t>
            </w:r>
            <w:r w:rsidR="00A333B7">
              <w:rPr>
                <w:rFonts w:eastAsia="MS Mincho"/>
              </w:rPr>
              <w:t xml:space="preserve"> </w:t>
            </w:r>
            <w:r w:rsidRPr="00372F18">
              <w:rPr>
                <w:rFonts w:eastAsia="MS Mincho"/>
              </w:rPr>
              <w:t>mg twice daily for 4 days, then 1mg twice daily)</w:t>
            </w:r>
            <w:r w:rsidR="003218B0">
              <w:rPr>
                <w:rFonts w:eastAsia="MS Mincho"/>
              </w:rPr>
              <w:t>;</w:t>
            </w:r>
          </w:p>
          <w:p w14:paraId="715E4008" w14:textId="479447CD" w:rsidR="000C4B32" w:rsidRDefault="000C4B32" w:rsidP="00BE3B4B">
            <w:pPr>
              <w:pStyle w:val="Tablewriting"/>
              <w:rPr>
                <w:rFonts w:eastAsia="MS Mincho"/>
              </w:rPr>
            </w:pPr>
            <w:r>
              <w:rPr>
                <w:rFonts w:eastAsia="MS Mincho"/>
              </w:rPr>
              <w:t>Bupropion: 150</w:t>
            </w:r>
            <w:r w:rsidR="005E28DE">
              <w:rPr>
                <w:rFonts w:eastAsia="MS Mincho"/>
              </w:rPr>
              <w:t xml:space="preserve"> </w:t>
            </w:r>
            <w:r>
              <w:rPr>
                <w:rFonts w:eastAsia="MS Mincho"/>
              </w:rPr>
              <w:t>mg twice daily including titration over 12 weeks</w:t>
            </w:r>
            <w:r w:rsidR="00004245">
              <w:rPr>
                <w:rFonts w:eastAsia="MS Mincho"/>
              </w:rPr>
              <w:t>.</w:t>
            </w:r>
          </w:p>
          <w:p w14:paraId="5FAD71B7" w14:textId="77777777" w:rsidR="00C115B1" w:rsidRDefault="00C115B1" w:rsidP="00BE3B4B">
            <w:pPr>
              <w:pStyle w:val="Tablewriting"/>
              <w:rPr>
                <w:rFonts w:eastAsia="MS Mincho"/>
              </w:rPr>
            </w:pPr>
          </w:p>
          <w:p w14:paraId="194BA585" w14:textId="1ECB7086" w:rsidR="00C115B1" w:rsidRPr="00A34E7B" w:rsidRDefault="00C115B1" w:rsidP="00BE3B4B">
            <w:pPr>
              <w:pStyle w:val="Tablewriting"/>
              <w:rPr>
                <w:rFonts w:eastAsia="MS Mincho"/>
              </w:rPr>
            </w:pPr>
            <w:r w:rsidRPr="00C115B1">
              <w:rPr>
                <w:rFonts w:eastAsia="MS Mincho"/>
              </w:rPr>
              <w:t>Behavioural support provided in both arms.</w:t>
            </w:r>
          </w:p>
        </w:tc>
        <w:tc>
          <w:tcPr>
            <w:tcW w:w="1140" w:type="pct"/>
            <w:shd w:val="clear" w:color="auto" w:fill="D9D9D9" w:themeFill="background1" w:themeFillShade="D9"/>
            <w:tcMar>
              <w:left w:w="28" w:type="dxa"/>
              <w:right w:w="28" w:type="dxa"/>
            </w:tcMar>
          </w:tcPr>
          <w:p w14:paraId="061999C4" w14:textId="2B674444" w:rsidR="000C4B32" w:rsidRDefault="000C4B32" w:rsidP="00BE3B4B">
            <w:pPr>
              <w:pStyle w:val="Tablewriting"/>
              <w:rPr>
                <w:rFonts w:eastAsia="MS Mincho"/>
              </w:rPr>
            </w:pPr>
            <w:r w:rsidRPr="008C39E4">
              <w:rPr>
                <w:rFonts w:eastAsia="MS Mincho"/>
                <w:u w:val="single"/>
              </w:rPr>
              <w:t>Primary</w:t>
            </w:r>
            <w:r>
              <w:rPr>
                <w:rFonts w:eastAsia="MS Mincho"/>
              </w:rPr>
              <w:t>: safety including adverse events</w:t>
            </w:r>
            <w:r w:rsidR="00004245">
              <w:rPr>
                <w:rFonts w:eastAsia="MS Mincho"/>
              </w:rPr>
              <w:t>.</w:t>
            </w:r>
          </w:p>
          <w:p w14:paraId="1F2C9B65" w14:textId="5F6431A0" w:rsidR="000C4B32" w:rsidRDefault="000C4B32" w:rsidP="00BE3B4B">
            <w:pPr>
              <w:pStyle w:val="Tablewriting"/>
              <w:rPr>
                <w:rFonts w:eastAsia="MS Mincho"/>
              </w:rPr>
            </w:pPr>
            <w:r w:rsidRPr="00C1753E">
              <w:rPr>
                <w:rFonts w:eastAsia="MS Mincho"/>
                <w:u w:val="single"/>
              </w:rPr>
              <w:t>Primary efficacy</w:t>
            </w:r>
            <w:r>
              <w:rPr>
                <w:rFonts w:eastAsia="MS Mincho"/>
              </w:rPr>
              <w:t>:</w:t>
            </w:r>
            <w:r>
              <w:t xml:space="preserve"> </w:t>
            </w:r>
            <w:r w:rsidR="00FB19DE">
              <w:rPr>
                <w:rFonts w:eastAsia="MS Mincho"/>
              </w:rPr>
              <w:t xml:space="preserve">CAR </w:t>
            </w:r>
            <w:r w:rsidRPr="00C1753E">
              <w:rPr>
                <w:rFonts w:eastAsia="MS Mincho"/>
              </w:rPr>
              <w:t xml:space="preserve">at </w:t>
            </w:r>
            <w:r w:rsidR="007B7017">
              <w:rPr>
                <w:rFonts w:eastAsia="MS Mincho"/>
              </w:rPr>
              <w:t>w</w:t>
            </w:r>
            <w:r w:rsidRPr="00C1753E">
              <w:rPr>
                <w:rFonts w:eastAsia="MS Mincho"/>
              </w:rPr>
              <w:t>eek 9-12. Validated by CO</w:t>
            </w:r>
            <w:r w:rsidR="00FB19DE">
              <w:rPr>
                <w:rFonts w:eastAsia="MS Mincho"/>
              </w:rPr>
              <w:t xml:space="preserve"> </w:t>
            </w:r>
            <w:r w:rsidRPr="00C1753E">
              <w:rPr>
                <w:rFonts w:eastAsia="MS Mincho"/>
              </w:rPr>
              <w:t>≤10</w:t>
            </w:r>
            <w:r w:rsidR="00803DA6">
              <w:rPr>
                <w:rFonts w:eastAsia="MS Mincho"/>
              </w:rPr>
              <w:t xml:space="preserve"> </w:t>
            </w:r>
            <w:r w:rsidRPr="00C1753E">
              <w:rPr>
                <w:rFonts w:eastAsia="MS Mincho"/>
              </w:rPr>
              <w:t>ppm.</w:t>
            </w:r>
            <w:r>
              <w:rPr>
                <w:rFonts w:eastAsia="MS Mincho"/>
              </w:rPr>
              <w:t xml:space="preserve"> </w:t>
            </w:r>
          </w:p>
          <w:p w14:paraId="0D522518" w14:textId="5C9C2B50" w:rsidR="000C4B32" w:rsidRPr="00061F78" w:rsidRDefault="000C4B32" w:rsidP="00BE3B4B">
            <w:pPr>
              <w:pStyle w:val="Tablewriting"/>
              <w:rPr>
                <w:rFonts w:eastAsia="MS Mincho"/>
              </w:rPr>
            </w:pPr>
            <w:r w:rsidRPr="00EF3594">
              <w:rPr>
                <w:rFonts w:eastAsia="MS Mincho"/>
                <w:u w:val="single"/>
              </w:rPr>
              <w:t>Secondary efficacy</w:t>
            </w:r>
            <w:r>
              <w:rPr>
                <w:rFonts w:eastAsia="MS Mincho"/>
              </w:rPr>
              <w:t xml:space="preserve">: </w:t>
            </w:r>
            <w:r w:rsidR="00FB19DE">
              <w:rPr>
                <w:rFonts w:eastAsia="MS Mincho"/>
              </w:rPr>
              <w:t>CAR</w:t>
            </w:r>
            <w:r>
              <w:rPr>
                <w:rFonts w:eastAsia="MS Mincho"/>
              </w:rPr>
              <w:t xml:space="preserve"> at </w:t>
            </w:r>
            <w:r w:rsidR="007B7017">
              <w:rPr>
                <w:rFonts w:eastAsia="MS Mincho"/>
              </w:rPr>
              <w:t>w</w:t>
            </w:r>
            <w:r>
              <w:rPr>
                <w:rFonts w:eastAsia="MS Mincho"/>
              </w:rPr>
              <w:t xml:space="preserve">eek 9-24. </w:t>
            </w:r>
            <w:r w:rsidRPr="00624207">
              <w:rPr>
                <w:rFonts w:eastAsia="MS Mincho"/>
              </w:rPr>
              <w:t xml:space="preserve">7-day PPA </w:t>
            </w:r>
            <w:r>
              <w:rPr>
                <w:rFonts w:eastAsia="MS Mincho"/>
              </w:rPr>
              <w:t>at all visits.</w:t>
            </w:r>
            <w:r w:rsidR="00E50264">
              <w:rPr>
                <w:rFonts w:eastAsia="MS Mincho"/>
              </w:rPr>
              <w:t xml:space="preserve"> Validated by CO </w:t>
            </w:r>
            <w:r w:rsidR="00E50264">
              <w:rPr>
                <w:rFonts w:eastAsia="MS Mincho" w:cstheme="minorHAnsi"/>
              </w:rPr>
              <w:t>≤</w:t>
            </w:r>
            <w:r w:rsidR="00E50264">
              <w:rPr>
                <w:rFonts w:eastAsia="MS Mincho"/>
              </w:rPr>
              <w:t>10</w:t>
            </w:r>
            <w:r w:rsidR="00803DA6">
              <w:rPr>
                <w:rFonts w:eastAsia="MS Mincho"/>
              </w:rPr>
              <w:t xml:space="preserve"> </w:t>
            </w:r>
            <w:r w:rsidR="00E50264">
              <w:rPr>
                <w:rFonts w:eastAsia="MS Mincho"/>
              </w:rPr>
              <w:t>ppm.</w:t>
            </w:r>
          </w:p>
        </w:tc>
      </w:tr>
      <w:tr w:rsidR="00260CD7" w:rsidRPr="00061F78" w14:paraId="5C5A3D20" w14:textId="77777777" w:rsidTr="003218B0">
        <w:trPr>
          <w:trHeight w:val="149"/>
        </w:trPr>
        <w:tc>
          <w:tcPr>
            <w:tcW w:w="320" w:type="pct"/>
            <w:tcMar>
              <w:left w:w="28" w:type="dxa"/>
              <w:right w:w="28" w:type="dxa"/>
            </w:tcMar>
          </w:tcPr>
          <w:p w14:paraId="149310BF" w14:textId="1B0B76BB" w:rsidR="000C4B32" w:rsidRPr="004F1864" w:rsidRDefault="000C4B32" w:rsidP="00BE3B4B">
            <w:pPr>
              <w:pStyle w:val="Tablewriting"/>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399" w:type="pct"/>
          </w:tcPr>
          <w:p w14:paraId="68F63D3C" w14:textId="32F89809" w:rsidR="000C4B32" w:rsidRDefault="000C4B32" w:rsidP="00BE3B4B">
            <w:pPr>
              <w:pStyle w:val="Tablewriting"/>
              <w:rPr>
                <w:rFonts w:eastAsia="MS Mincho"/>
              </w:rPr>
            </w:pPr>
            <w:r>
              <w:rPr>
                <w:rFonts w:eastAsia="MS Mincho"/>
              </w:rPr>
              <w:t xml:space="preserve">Cochrane </w:t>
            </w:r>
            <w:r w:rsidR="00072566">
              <w:rPr>
                <w:rFonts w:eastAsia="MS Mincho"/>
              </w:rPr>
              <w:t>R</w:t>
            </w:r>
            <w:r>
              <w:rPr>
                <w:rFonts w:eastAsia="MS Mincho"/>
              </w:rPr>
              <w:t xml:space="preserve">eview    </w:t>
            </w:r>
          </w:p>
          <w:p w14:paraId="49981C6F" w14:textId="03B24FD1" w:rsidR="000C4B32" w:rsidRDefault="000C4B32" w:rsidP="00BE3B4B">
            <w:pPr>
              <w:pStyle w:val="Tablewriting"/>
              <w:rPr>
                <w:rFonts w:eastAsia="MS Mincho"/>
              </w:rPr>
            </w:pPr>
            <w:r>
              <w:rPr>
                <w:rFonts w:eastAsia="MS Mincho"/>
              </w:rPr>
              <w:t>(</w:t>
            </w:r>
            <w:r w:rsidR="00934850">
              <w:rPr>
                <w:rFonts w:eastAsia="MS Mincho"/>
              </w:rPr>
              <w:t>10</w:t>
            </w:r>
            <w:r>
              <w:rPr>
                <w:rFonts w:eastAsia="MS Mincho"/>
              </w:rPr>
              <w:t xml:space="preserve"> RCTs</w:t>
            </w:r>
            <w:r w:rsidRPr="00AB145F">
              <w:rPr>
                <w:rFonts w:eastAsia="MS Mincho"/>
                <w:vertAlign w:val="superscript"/>
              </w:rPr>
              <w:t>2</w:t>
            </w:r>
            <w:r>
              <w:rPr>
                <w:rFonts w:eastAsia="MS Mincho"/>
              </w:rPr>
              <w:t>)</w:t>
            </w:r>
          </w:p>
        </w:tc>
        <w:tc>
          <w:tcPr>
            <w:tcW w:w="347" w:type="pct"/>
            <w:tcMar>
              <w:left w:w="28" w:type="dxa"/>
              <w:right w:w="28" w:type="dxa"/>
            </w:tcMar>
          </w:tcPr>
          <w:p w14:paraId="5495A7C3" w14:textId="77777777" w:rsidR="00C3342E" w:rsidRPr="00C3342E" w:rsidRDefault="00C3342E" w:rsidP="00BE3B4B">
            <w:pPr>
              <w:pStyle w:val="Tablewriting"/>
              <w:rPr>
                <w:rFonts w:eastAsia="MS Mincho"/>
                <w:u w:val="single"/>
              </w:rPr>
            </w:pPr>
            <w:r w:rsidRPr="00C3342E">
              <w:rPr>
                <w:rFonts w:eastAsia="MS Mincho"/>
                <w:u w:val="single"/>
              </w:rPr>
              <w:t>Efficacy</w:t>
            </w:r>
          </w:p>
          <w:p w14:paraId="3565DC8D" w14:textId="77777777" w:rsidR="00C3342E" w:rsidRPr="00C3342E" w:rsidRDefault="00C3342E" w:rsidP="00BE3B4B">
            <w:pPr>
              <w:pStyle w:val="Tablewriting"/>
              <w:rPr>
                <w:rFonts w:eastAsia="MS Mincho"/>
                <w:u w:val="single"/>
              </w:rPr>
            </w:pPr>
            <w:r w:rsidRPr="00C3342E">
              <w:rPr>
                <w:rFonts w:eastAsia="MS Mincho"/>
                <w:u w:val="single"/>
              </w:rPr>
              <w:t>(6 RCTs)</w:t>
            </w:r>
          </w:p>
          <w:p w14:paraId="6B87AEE8" w14:textId="6CCAA697" w:rsidR="000C4B32" w:rsidRDefault="000C4B32" w:rsidP="00BE3B4B">
            <w:pPr>
              <w:pStyle w:val="Tablewriting"/>
              <w:rPr>
                <w:rFonts w:eastAsia="MS Mincho"/>
              </w:rPr>
            </w:pPr>
            <w:r>
              <w:rPr>
                <w:rFonts w:eastAsia="MS Mincho"/>
              </w:rPr>
              <w:t>N=6,286</w:t>
            </w:r>
          </w:p>
          <w:p w14:paraId="4F4DD94A" w14:textId="3C024EF6" w:rsidR="000C4B32" w:rsidRDefault="000C4B32" w:rsidP="00BE3B4B">
            <w:pPr>
              <w:pStyle w:val="Tablewriting"/>
              <w:rPr>
                <w:rFonts w:eastAsia="MS Mincho"/>
              </w:rPr>
            </w:pPr>
            <w:r>
              <w:rPr>
                <w:rFonts w:eastAsia="MS Mincho"/>
              </w:rPr>
              <w:lastRenderedPageBreak/>
              <w:t>Varenicline (n=3,190),</w:t>
            </w:r>
          </w:p>
          <w:p w14:paraId="7895D202" w14:textId="77777777" w:rsidR="000C4B32" w:rsidRPr="00061F78" w:rsidRDefault="000C4B32" w:rsidP="00BE3B4B">
            <w:pPr>
              <w:pStyle w:val="Tablewriting"/>
              <w:rPr>
                <w:rFonts w:eastAsia="MS Mincho"/>
              </w:rPr>
            </w:pPr>
            <w:r>
              <w:rPr>
                <w:rFonts w:eastAsia="MS Mincho"/>
              </w:rPr>
              <w:t>Bupropion (n=3,096)</w:t>
            </w:r>
          </w:p>
        </w:tc>
        <w:tc>
          <w:tcPr>
            <w:tcW w:w="1778" w:type="pct"/>
            <w:tcMar>
              <w:left w:w="28" w:type="dxa"/>
              <w:right w:w="28" w:type="dxa"/>
            </w:tcMar>
          </w:tcPr>
          <w:p w14:paraId="26A686AC" w14:textId="77777777" w:rsidR="000C4B32" w:rsidRDefault="000C4B32" w:rsidP="00BE3B4B">
            <w:pPr>
              <w:pStyle w:val="Tablewriting"/>
              <w:rPr>
                <w:rFonts w:eastAsia="MS Mincho"/>
              </w:rPr>
            </w:pPr>
            <w:r w:rsidRPr="002C19B4">
              <w:rPr>
                <w:rFonts w:eastAsia="MS Mincho"/>
                <w:u w:val="single"/>
              </w:rPr>
              <w:lastRenderedPageBreak/>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14:paraId="5D893658" w14:textId="77777777" w:rsidR="000C4B32" w:rsidRPr="00061F78" w:rsidRDefault="000C4B32" w:rsidP="00BE3B4B">
            <w:pPr>
              <w:pStyle w:val="Tablewriting"/>
              <w:rPr>
                <w:rFonts w:eastAsia="MS Mincho"/>
              </w:rPr>
            </w:pPr>
            <w:r w:rsidRPr="002C19B4">
              <w:rPr>
                <w:rFonts w:eastAsia="MS Mincho"/>
                <w:u w:val="single"/>
              </w:rPr>
              <w:lastRenderedPageBreak/>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1015" w:type="pct"/>
          </w:tcPr>
          <w:p w14:paraId="73F6C135" w14:textId="203A4937" w:rsidR="000C4B32" w:rsidRDefault="000C4B32" w:rsidP="00BE3B4B">
            <w:pPr>
              <w:pStyle w:val="Tablewriting"/>
              <w:rPr>
                <w:rFonts w:eastAsia="MS Mincho"/>
              </w:rPr>
            </w:pPr>
            <w:r w:rsidRPr="00792D51">
              <w:rPr>
                <w:rFonts w:eastAsia="MS Mincho"/>
              </w:rPr>
              <w:lastRenderedPageBreak/>
              <w:t>Varenicline: 1</w:t>
            </w:r>
            <w:r w:rsidR="005E28DE">
              <w:rPr>
                <w:rFonts w:eastAsia="MS Mincho"/>
              </w:rPr>
              <w:t xml:space="preserve"> </w:t>
            </w:r>
            <w:r w:rsidRPr="00792D51">
              <w:rPr>
                <w:rFonts w:eastAsia="MS Mincho"/>
              </w:rPr>
              <w:t xml:space="preserve">mg twice daily </w:t>
            </w:r>
            <w:r>
              <w:rPr>
                <w:rFonts w:eastAsia="MS Mincho"/>
              </w:rPr>
              <w:t xml:space="preserve">including </w:t>
            </w:r>
            <w:r w:rsidRPr="00792D51">
              <w:rPr>
                <w:rFonts w:eastAsia="MS Mincho"/>
              </w:rPr>
              <w:t>titrat</w:t>
            </w:r>
            <w:r>
              <w:rPr>
                <w:rFonts w:eastAsia="MS Mincho"/>
              </w:rPr>
              <w:t>ion</w:t>
            </w:r>
            <w:r w:rsidRPr="00792D51">
              <w:rPr>
                <w:rFonts w:eastAsia="MS Mincho"/>
              </w:rPr>
              <w:t xml:space="preserve"> (</w:t>
            </w:r>
            <w:r w:rsidR="004C4EA7" w:rsidRPr="00792D51">
              <w:rPr>
                <w:rFonts w:eastAsia="MS Mincho"/>
              </w:rPr>
              <w:t>i.e.,</w:t>
            </w:r>
            <w:r w:rsidRPr="00792D51">
              <w:rPr>
                <w:rFonts w:eastAsia="MS Mincho"/>
              </w:rPr>
              <w:t xml:space="preserve"> 0.5</w:t>
            </w:r>
            <w:r w:rsidR="005E28DE">
              <w:rPr>
                <w:rFonts w:eastAsia="MS Mincho"/>
              </w:rPr>
              <w:t xml:space="preserve"> </w:t>
            </w:r>
            <w:r w:rsidRPr="00792D51">
              <w:rPr>
                <w:rFonts w:eastAsia="MS Mincho"/>
              </w:rPr>
              <w:t>mg once daily for 3 days, then 0.5</w:t>
            </w:r>
            <w:r w:rsidR="005E28DE">
              <w:rPr>
                <w:rFonts w:eastAsia="MS Mincho"/>
              </w:rPr>
              <w:t xml:space="preserve"> </w:t>
            </w:r>
            <w:r w:rsidRPr="00792D51">
              <w:rPr>
                <w:rFonts w:eastAsia="MS Mincho"/>
              </w:rPr>
              <w:lastRenderedPageBreak/>
              <w:t>mg twice daily for 4 days, then 1</w:t>
            </w:r>
            <w:r w:rsidR="005E28DE">
              <w:rPr>
                <w:rFonts w:eastAsia="MS Mincho"/>
              </w:rPr>
              <w:t xml:space="preserve"> </w:t>
            </w:r>
            <w:r w:rsidRPr="00792D51">
              <w:rPr>
                <w:rFonts w:eastAsia="MS Mincho"/>
              </w:rPr>
              <w:t>mg twice daily)</w:t>
            </w:r>
            <w:r w:rsidR="003218B0">
              <w:rPr>
                <w:rFonts w:eastAsia="MS Mincho"/>
              </w:rPr>
              <w:t>;</w:t>
            </w:r>
          </w:p>
          <w:p w14:paraId="42115A69" w14:textId="639467A4" w:rsidR="000C4B32" w:rsidRPr="00061F78" w:rsidRDefault="000C4B32" w:rsidP="00BE3B4B">
            <w:pPr>
              <w:pStyle w:val="Tablewriting"/>
              <w:rPr>
                <w:rFonts w:eastAsia="MS Mincho"/>
              </w:rPr>
            </w:pPr>
            <w:r>
              <w:rPr>
                <w:rFonts w:eastAsia="MS Mincho"/>
              </w:rPr>
              <w:t>Bupropion: 150</w:t>
            </w:r>
            <w:r w:rsidR="005E28DE">
              <w:rPr>
                <w:rFonts w:eastAsia="MS Mincho"/>
              </w:rPr>
              <w:t xml:space="preserve"> </w:t>
            </w:r>
            <w:r>
              <w:rPr>
                <w:rFonts w:eastAsia="MS Mincho"/>
              </w:rPr>
              <w:t>mg twice daily including titration (</w:t>
            </w:r>
            <w:r w:rsidR="004C4EA7">
              <w:rPr>
                <w:rFonts w:eastAsia="MS Mincho"/>
              </w:rPr>
              <w:t>i.e.,</w:t>
            </w:r>
            <w:r>
              <w:rPr>
                <w:rFonts w:eastAsia="MS Mincho"/>
              </w:rPr>
              <w:t xml:space="preserve"> 150</w:t>
            </w:r>
            <w:r w:rsidR="005E28DE">
              <w:rPr>
                <w:rFonts w:eastAsia="MS Mincho"/>
              </w:rPr>
              <w:t xml:space="preserve"> </w:t>
            </w:r>
            <w:r>
              <w:rPr>
                <w:rFonts w:eastAsia="MS Mincho"/>
              </w:rPr>
              <w:t>mg once daily for 3 days, then 150</w:t>
            </w:r>
            <w:r w:rsidR="005E28DE">
              <w:rPr>
                <w:rFonts w:eastAsia="MS Mincho"/>
              </w:rPr>
              <w:t xml:space="preserve"> </w:t>
            </w:r>
            <w:r>
              <w:rPr>
                <w:rFonts w:eastAsia="MS Mincho"/>
              </w:rPr>
              <w:t>mg twice daily)</w:t>
            </w:r>
            <w:r w:rsidR="00004245">
              <w:rPr>
                <w:rFonts w:eastAsia="MS Mincho"/>
              </w:rPr>
              <w:t>.</w:t>
            </w:r>
          </w:p>
        </w:tc>
        <w:tc>
          <w:tcPr>
            <w:tcW w:w="1140" w:type="pct"/>
            <w:tcMar>
              <w:left w:w="28" w:type="dxa"/>
              <w:right w:w="28" w:type="dxa"/>
            </w:tcMar>
          </w:tcPr>
          <w:p w14:paraId="2EC64F41" w14:textId="149D5F28" w:rsidR="000C4B32" w:rsidRDefault="000C4B32" w:rsidP="00BE3B4B">
            <w:pPr>
              <w:pStyle w:val="Tablewriting"/>
              <w:rPr>
                <w:rFonts w:eastAsia="MS Mincho"/>
              </w:rPr>
            </w:pPr>
            <w:r w:rsidRPr="0036499C">
              <w:rPr>
                <w:rFonts w:eastAsia="MS Mincho"/>
                <w:u w:val="single"/>
              </w:rPr>
              <w:lastRenderedPageBreak/>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004245">
              <w:rPr>
                <w:rFonts w:eastAsia="MS Mincho"/>
              </w:rPr>
              <w:t>.</w:t>
            </w:r>
          </w:p>
          <w:p w14:paraId="08DB33AE" w14:textId="620B29D2" w:rsidR="000C4B32" w:rsidRPr="00061F78" w:rsidRDefault="000C4B32" w:rsidP="00BE3B4B">
            <w:pPr>
              <w:pStyle w:val="Tablewriting"/>
              <w:rPr>
                <w:rFonts w:eastAsia="MS Mincho"/>
              </w:rPr>
            </w:pPr>
            <w:r w:rsidRPr="0036499C">
              <w:rPr>
                <w:rFonts w:eastAsia="MS Mincho"/>
                <w:u w:val="single"/>
              </w:rPr>
              <w:lastRenderedPageBreak/>
              <w:t>Secondary</w:t>
            </w:r>
            <w:r>
              <w:rPr>
                <w:rFonts w:eastAsia="MS Mincho"/>
              </w:rPr>
              <w:t xml:space="preserve">: safety including any adverse events, psychiatric adverse events, serious adverse </w:t>
            </w:r>
            <w:r w:rsidR="004C4EA7">
              <w:rPr>
                <w:rFonts w:eastAsia="MS Mincho"/>
              </w:rPr>
              <w:t>events,</w:t>
            </w:r>
            <w:r>
              <w:rPr>
                <w:rFonts w:eastAsia="MS Mincho"/>
              </w:rPr>
              <w:t xml:space="preserve"> and dropouts due to adverse events</w:t>
            </w:r>
            <w:r w:rsidR="00004245">
              <w:rPr>
                <w:rFonts w:eastAsia="MS Mincho"/>
              </w:rPr>
              <w:t>.</w:t>
            </w:r>
          </w:p>
        </w:tc>
      </w:tr>
      <w:tr w:rsidR="00BE6154" w:rsidRPr="00061F78" w14:paraId="5CBEAD86" w14:textId="77777777" w:rsidTr="003218B0">
        <w:trPr>
          <w:trHeight w:val="149"/>
        </w:trPr>
        <w:tc>
          <w:tcPr>
            <w:tcW w:w="320" w:type="pct"/>
            <w:tcMar>
              <w:left w:w="28" w:type="dxa"/>
              <w:right w:w="28" w:type="dxa"/>
            </w:tcMar>
          </w:tcPr>
          <w:p w14:paraId="34703821" w14:textId="6EBE8863" w:rsidR="00BE6154" w:rsidRDefault="00BE6154" w:rsidP="00BE3B4B">
            <w:pPr>
              <w:pStyle w:val="Tablewriting"/>
              <w:rPr>
                <w:rFonts w:eastAsia="MS Mincho"/>
              </w:rPr>
            </w:pPr>
            <w:r>
              <w:rPr>
                <w:rFonts w:eastAsia="MS Mincho"/>
              </w:rPr>
              <w:lastRenderedPageBreak/>
              <w:t>Benowitz (2018)</w:t>
            </w:r>
          </w:p>
        </w:tc>
        <w:tc>
          <w:tcPr>
            <w:tcW w:w="399" w:type="pct"/>
          </w:tcPr>
          <w:p w14:paraId="50261B82" w14:textId="2CA13EC1" w:rsidR="00BE6154" w:rsidRPr="005E64E8" w:rsidRDefault="00BE6154" w:rsidP="00BE3B4B">
            <w:pPr>
              <w:pStyle w:val="Tablewriting"/>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47" w:type="pct"/>
            <w:tcMar>
              <w:left w:w="28" w:type="dxa"/>
              <w:right w:w="28" w:type="dxa"/>
            </w:tcMar>
          </w:tcPr>
          <w:p w14:paraId="411A5172" w14:textId="77777777" w:rsidR="00BE6154" w:rsidRDefault="00BE6154" w:rsidP="00BE3B4B">
            <w:pPr>
              <w:pStyle w:val="Tablewriting"/>
              <w:rPr>
                <w:rFonts w:eastAsia="MS Mincho"/>
              </w:rPr>
            </w:pPr>
            <w:r>
              <w:rPr>
                <w:rFonts w:eastAsia="MS Mincho"/>
              </w:rPr>
              <w:t>N=4,595</w:t>
            </w:r>
          </w:p>
          <w:p w14:paraId="60FA3C0A" w14:textId="614842D1" w:rsidR="00BE6154" w:rsidRDefault="00BE6154" w:rsidP="00BE3B4B">
            <w:pPr>
              <w:pStyle w:val="Tablewriting"/>
              <w:rPr>
                <w:rFonts w:eastAsia="MS Mincho"/>
              </w:rPr>
            </w:pPr>
            <w:r>
              <w:rPr>
                <w:rFonts w:eastAsia="MS Mincho"/>
              </w:rPr>
              <w:t>Varenicline (n=1,192), Bupropion (n=1,1</w:t>
            </w:r>
            <w:r w:rsidR="00FB0063">
              <w:rPr>
                <w:rFonts w:eastAsia="MS Mincho"/>
              </w:rPr>
              <w:t>66</w:t>
            </w:r>
            <w:r>
              <w:rPr>
                <w:rFonts w:eastAsia="MS Mincho"/>
              </w:rPr>
              <w:t>)</w:t>
            </w:r>
          </w:p>
        </w:tc>
        <w:tc>
          <w:tcPr>
            <w:tcW w:w="1778" w:type="pct"/>
            <w:tcMar>
              <w:left w:w="28" w:type="dxa"/>
              <w:right w:w="28" w:type="dxa"/>
            </w:tcMar>
          </w:tcPr>
          <w:p w14:paraId="624E4B1E" w14:textId="33174A91" w:rsidR="00BE6154" w:rsidRDefault="00BE6154" w:rsidP="00BE3B4B">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14:paraId="7ADE4876" w14:textId="70A4AD3D" w:rsidR="00BE6154" w:rsidRPr="002C19B4" w:rsidRDefault="00BE6154" w:rsidP="00BE3B4B">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1015" w:type="pct"/>
          </w:tcPr>
          <w:p w14:paraId="3C8EC83C" w14:textId="0F7D3B10" w:rsidR="00BE6154" w:rsidRPr="00792D51" w:rsidRDefault="00BE6154" w:rsidP="00BE3B4B">
            <w:pPr>
              <w:pStyle w:val="Tablewriting"/>
              <w:rPr>
                <w:rFonts w:eastAsia="MS Mincho"/>
              </w:rPr>
            </w:pPr>
            <w:r>
              <w:rPr>
                <w:rFonts w:eastAsia="MS Mincho"/>
              </w:rPr>
              <w:t>No treatment was provided during this study. Prior varenicline and bupropion treatments were administered in EAGLES (2016).</w:t>
            </w:r>
          </w:p>
        </w:tc>
        <w:tc>
          <w:tcPr>
            <w:tcW w:w="1140" w:type="pct"/>
            <w:tcMar>
              <w:left w:w="28" w:type="dxa"/>
              <w:right w:w="28" w:type="dxa"/>
            </w:tcMar>
          </w:tcPr>
          <w:p w14:paraId="5309EFF6" w14:textId="5EEC90E8" w:rsidR="00BE6154" w:rsidRDefault="00BE6154" w:rsidP="00BE3B4B">
            <w:pPr>
              <w:pStyle w:val="Tablewriting"/>
              <w:rPr>
                <w:rFonts w:eastAsia="MS Mincho"/>
              </w:rPr>
            </w:pPr>
            <w:r w:rsidRPr="008C39E4">
              <w:rPr>
                <w:rFonts w:eastAsia="MS Mincho"/>
                <w:u w:val="single"/>
              </w:rPr>
              <w:t>Primary</w:t>
            </w:r>
            <w:r>
              <w:rPr>
                <w:rFonts w:eastAsia="MS Mincho"/>
              </w:rPr>
              <w:t>: Time to major adverse cardiovascular event</w:t>
            </w:r>
            <w:r w:rsidR="00004245">
              <w:rPr>
                <w:rFonts w:eastAsia="MS Mincho"/>
              </w:rPr>
              <w:t>.</w:t>
            </w:r>
          </w:p>
          <w:p w14:paraId="4CA478E4" w14:textId="0BEDEF54" w:rsidR="00BE6154" w:rsidRPr="0036499C" w:rsidRDefault="00BE6154" w:rsidP="00BE3B4B">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004245">
              <w:rPr>
                <w:rFonts w:eastAsia="MS Mincho"/>
              </w:rPr>
              <w:t>.</w:t>
            </w:r>
          </w:p>
        </w:tc>
      </w:tr>
    </w:tbl>
    <w:p w14:paraId="6FD0D1D1" w14:textId="38EAC10F" w:rsidR="00FB19DE" w:rsidRDefault="00F84183" w:rsidP="007B7017">
      <w:pPr>
        <w:pStyle w:val="TableFooter"/>
        <w:keepNext/>
        <w:jc w:val="both"/>
      </w:pPr>
      <w:r>
        <w:t xml:space="preserve">Abbreviations: </w:t>
      </w:r>
      <w:r w:rsidR="00FB19DE">
        <w:t xml:space="preserve">CAR = continuous abstinence rate; CO = carbon monoxide; mCEQ = </w:t>
      </w:r>
      <w:r w:rsidR="00FB19DE" w:rsidRPr="00037461">
        <w:t>modified Cigarette Evaluation Questionnaire</w:t>
      </w:r>
      <w:r w:rsidR="00FB19DE">
        <w:t xml:space="preserve">; MNWS = </w:t>
      </w:r>
      <w:r w:rsidR="00FB19DE" w:rsidRPr="008E0A8D">
        <w:t>Minnesota Tobacco Withdrawal Scale</w:t>
      </w:r>
      <w:r w:rsidR="00FB19DE">
        <w:t xml:space="preserve">; NRT = nicotine replacement therapy; PPA = point prevalence abstinence; QSU = </w:t>
      </w:r>
      <w:r w:rsidR="00FB19DE" w:rsidRPr="00FB19DE">
        <w:t>Questionnaire of Smoking Urges</w:t>
      </w:r>
      <w:r w:rsidR="00FB19DE">
        <w:t>; RCT = randomised controlled trial</w:t>
      </w:r>
      <w:r w:rsidR="00FB19DE" w:rsidRPr="00061F78">
        <w:t xml:space="preserve"> </w:t>
      </w:r>
    </w:p>
    <w:p w14:paraId="3818BE3B" w14:textId="1B719794" w:rsidR="00F84183" w:rsidRDefault="00F84183" w:rsidP="007B7017">
      <w:pPr>
        <w:pStyle w:val="TableFooter"/>
        <w:keepNext/>
        <w:jc w:val="both"/>
      </w:pPr>
      <w:r w:rsidRPr="00061F78">
        <w:rPr>
          <w:highlight w:val="lightGray"/>
        </w:rPr>
        <w:t>Shaded</w:t>
      </w:r>
      <w:r w:rsidRPr="00061F78">
        <w:t xml:space="preserve"> = previously considered by the PBAC</w:t>
      </w:r>
    </w:p>
    <w:p w14:paraId="2846AA76" w14:textId="328E9D35" w:rsidR="00F84183" w:rsidRDefault="00F84183" w:rsidP="007B7017">
      <w:pPr>
        <w:pStyle w:val="TableFooter"/>
        <w:keepNext/>
        <w:jc w:val="both"/>
      </w:pPr>
      <w:r>
        <w:t>1 Only the number of patients (n) in the relevant arms were included</w:t>
      </w:r>
      <w:r w:rsidR="00AB5FA3">
        <w:t>.</w:t>
      </w:r>
      <w:r>
        <w:t xml:space="preserve"> </w:t>
      </w:r>
    </w:p>
    <w:p w14:paraId="1591EBE6" w14:textId="4A6861DE" w:rsidR="00B068FE" w:rsidRDefault="00F84183" w:rsidP="007B7017">
      <w:pPr>
        <w:pStyle w:val="TableFooter"/>
        <w:keepNext/>
        <w:jc w:val="both"/>
      </w:pPr>
      <w:r>
        <w:t xml:space="preserve">2 </w:t>
      </w:r>
      <w:r w:rsidRPr="001507A4">
        <w:t xml:space="preserve">A total of </w:t>
      </w:r>
      <w:r>
        <w:t>10</w:t>
      </w:r>
      <w:r w:rsidRPr="001507A4">
        <w:t xml:space="preserve"> RCTs comparing varenicline with </w:t>
      </w:r>
      <w:r>
        <w:t>bupropion</w:t>
      </w:r>
      <w:r w:rsidRPr="001507A4">
        <w:t xml:space="preserve"> were identified. Of the </w:t>
      </w:r>
      <w:r>
        <w:t>10</w:t>
      </w:r>
      <w:r w:rsidRPr="001507A4">
        <w:t xml:space="preserve"> RCTs, </w:t>
      </w:r>
      <w:r w:rsidR="00EC7F43">
        <w:t>six</w:t>
      </w:r>
      <w:r w:rsidRPr="001507A4">
        <w:t xml:space="preserve"> RCTs were included in the primary efficacy analysis.</w:t>
      </w:r>
      <w:r>
        <w:t xml:space="preserve"> The characteristics of the individual studies comparing varenicline with bupropion included in Howes et al. (2020) are presented in </w:t>
      </w:r>
      <w:r w:rsidRPr="00B62C26">
        <w:t>Appendix</w:t>
      </w:r>
      <w:r w:rsidR="00076298">
        <w:t xml:space="preserve"> Table 147</w:t>
      </w:r>
      <w:r>
        <w:t>. Three studies previously considered by the PBAC (</w:t>
      </w:r>
      <w:r w:rsidRPr="00597A83">
        <w:t>Gonzales et al. 2006, Jorenby et al. 2006</w:t>
      </w:r>
      <w:r>
        <w:t xml:space="preserve"> </w:t>
      </w:r>
      <w:r w:rsidRPr="00597A83">
        <w:t>and Anthenelli et al. 2016</w:t>
      </w:r>
      <w:r>
        <w:t>) were included in the primary efficacy analysis of Howes et al. (2020).</w:t>
      </w:r>
    </w:p>
    <w:p w14:paraId="1CDA6589" w14:textId="4C9FE1AB" w:rsidR="00F84183" w:rsidRPr="00061F78" w:rsidRDefault="00B068FE" w:rsidP="007B7017">
      <w:pPr>
        <w:pStyle w:val="TableFooter"/>
        <w:keepNext/>
        <w:jc w:val="both"/>
      </w:pPr>
      <w:r>
        <w:t xml:space="preserve">3 </w:t>
      </w:r>
      <w:r w:rsidRPr="00B068FE">
        <w:t>Benowitz et al. (2018) was a non-treatment extension of EAGLES (Anthenelli et al. 2016) with a considerable amount of missing data due to lost to follow-up, extension study nonenrollees, no longer willing to participate and death.</w:t>
      </w:r>
      <w:r w:rsidR="00F84183">
        <w:t xml:space="preserve"> </w:t>
      </w:r>
    </w:p>
    <w:p w14:paraId="3DA42764" w14:textId="3316EE7E" w:rsidR="00B0603F" w:rsidRDefault="00B0603F" w:rsidP="00C83EDA">
      <w:pPr>
        <w:rPr>
          <w:b/>
          <w:bCs/>
        </w:rPr>
      </w:pPr>
    </w:p>
    <w:p w14:paraId="38048D1B" w14:textId="77777777" w:rsidR="00B0603F" w:rsidRDefault="00B0603F" w:rsidP="00C83EDA">
      <w:pPr>
        <w:rPr>
          <w:b/>
          <w:bCs/>
        </w:rPr>
      </w:pPr>
    </w:p>
    <w:p w14:paraId="63AE35EA" w14:textId="77777777" w:rsidR="00B0603F" w:rsidRDefault="00B0603F" w:rsidP="00C83EDA">
      <w:pPr>
        <w:rPr>
          <w:b/>
          <w:bCs/>
        </w:rPr>
        <w:sectPr w:rsidR="00B0603F" w:rsidSect="00B0603F">
          <w:pgSz w:w="16838" w:h="11906" w:orient="landscape"/>
          <w:pgMar w:top="1440" w:right="1440" w:bottom="1440" w:left="1440" w:header="708" w:footer="708" w:gutter="0"/>
          <w:cols w:space="708"/>
          <w:titlePg/>
          <w:docGrid w:linePitch="360"/>
        </w:sectPr>
      </w:pPr>
    </w:p>
    <w:p w14:paraId="591F9414" w14:textId="596B3D1D" w:rsidR="00B567C0" w:rsidRPr="0073597F" w:rsidRDefault="00B567C0" w:rsidP="007B7017">
      <w:pPr>
        <w:spacing w:after="120"/>
        <w:jc w:val="both"/>
        <w:rPr>
          <w:u w:val="single"/>
        </w:rPr>
      </w:pPr>
      <w:r w:rsidRPr="0073597F">
        <w:rPr>
          <w:u w:val="single"/>
        </w:rPr>
        <w:lastRenderedPageBreak/>
        <w:t>Efficacy</w:t>
      </w:r>
    </w:p>
    <w:p w14:paraId="0741B00B" w14:textId="20360C81" w:rsidR="00773BA8" w:rsidRDefault="00B567C0" w:rsidP="007B7017">
      <w:pPr>
        <w:spacing w:after="120"/>
        <w:jc w:val="both"/>
      </w:pPr>
      <w:r w:rsidRPr="00264887">
        <w:t>A summary of the smoking cessation rates</w:t>
      </w:r>
      <w:r w:rsidRPr="00264887" w:rsidDel="005773D3">
        <w:t xml:space="preserve"> </w:t>
      </w:r>
      <w:r w:rsidR="005773D3">
        <w:t>for</w:t>
      </w:r>
      <w:r w:rsidRPr="00264887">
        <w:t xml:space="preserve"> at least six months follow-up </w:t>
      </w:r>
      <w:r w:rsidR="00A51A9C">
        <w:t xml:space="preserve">comparing varenicline with bupropion </w:t>
      </w:r>
      <w:r w:rsidRPr="00264887">
        <w:t xml:space="preserve">is presented in </w:t>
      </w:r>
      <w:r w:rsidR="00A15C11">
        <w:fldChar w:fldCharType="begin" w:fldLock="1"/>
      </w:r>
      <w:r w:rsidR="00A15C11">
        <w:instrText xml:space="preserve"> REF _Ref54100872 \h </w:instrText>
      </w:r>
      <w:r w:rsidR="00A15C11">
        <w:fldChar w:fldCharType="separate"/>
      </w:r>
      <w:r w:rsidR="00EC5CC7">
        <w:t xml:space="preserve">Table </w:t>
      </w:r>
      <w:r w:rsidR="00EC5CC7">
        <w:rPr>
          <w:noProof/>
        </w:rPr>
        <w:t>19</w:t>
      </w:r>
      <w:r w:rsidR="00A15C11">
        <w:fldChar w:fldCharType="end"/>
      </w:r>
      <w:r w:rsidRPr="00264887">
        <w:t xml:space="preserve">. The results of </w:t>
      </w:r>
      <w:r w:rsidR="00AC0D8B">
        <w:t>Jorenby et al. (2006) and EAGLES (2016)</w:t>
      </w:r>
      <w:r w:rsidRPr="00264887">
        <w:t xml:space="preserve"> demonstrated a statistically significant difference in continuous abstinence rate, in favour of varenicline. </w:t>
      </w:r>
      <w:r w:rsidR="00773BA8">
        <w:t>However, there was no statistically significant difference</w:t>
      </w:r>
      <w:r w:rsidR="000C6D50">
        <w:t xml:space="preserve"> between the two treatment arms </w:t>
      </w:r>
      <w:r w:rsidR="00903744">
        <w:t>in Gonzales et al. (2006)</w:t>
      </w:r>
      <w:r w:rsidR="008C048C">
        <w:t>, although the results numerically favoured varenicline</w:t>
      </w:r>
      <w:r w:rsidR="00903744">
        <w:t>.</w:t>
      </w:r>
      <w:r w:rsidR="0048757A">
        <w:t xml:space="preserve"> In </w:t>
      </w:r>
      <w:r w:rsidR="00672F10">
        <w:t>July 2007</w:t>
      </w:r>
      <w:r w:rsidR="001A10DB">
        <w:t xml:space="preserve"> and </w:t>
      </w:r>
      <w:r w:rsidR="0048757A">
        <w:t xml:space="preserve">November 2016, </w:t>
      </w:r>
      <w:r w:rsidR="0048757A" w:rsidRPr="0048757A">
        <w:t>the PBAC considered that varenicline was superior to bupropion (</w:t>
      </w:r>
      <w:r w:rsidR="0048757A" w:rsidRPr="00730536">
        <w:t xml:space="preserve">Varenicline PSD, </w:t>
      </w:r>
      <w:r w:rsidR="00297F35">
        <w:t xml:space="preserve">July 2007 and </w:t>
      </w:r>
      <w:r w:rsidR="0048757A" w:rsidRPr="00730536">
        <w:t>November 2016 PBAC meeting</w:t>
      </w:r>
      <w:r w:rsidR="00297F35">
        <w:t>s</w:t>
      </w:r>
      <w:r w:rsidR="0048757A" w:rsidRPr="0048757A">
        <w:t>).</w:t>
      </w:r>
      <w:r w:rsidR="00085F58">
        <w:t xml:space="preserve"> The meta-analysis </w:t>
      </w:r>
      <w:r w:rsidR="009D5A44">
        <w:t>comprising Gonzales et al. (2006) and Jorenby et al. (2006)</w:t>
      </w:r>
      <w:r w:rsidR="00085F58">
        <w:t xml:space="preserve"> </w:t>
      </w:r>
      <w:r w:rsidR="003C2C1F" w:rsidRPr="003C2C1F">
        <w:t xml:space="preserve">presented in the July 2007 </w:t>
      </w:r>
      <w:r w:rsidR="00875A40">
        <w:t>submission</w:t>
      </w:r>
      <w:r w:rsidR="003C2C1F" w:rsidRPr="003C2C1F">
        <w:t xml:space="preserve"> </w:t>
      </w:r>
      <w:r w:rsidR="002E45D9">
        <w:t xml:space="preserve">demonstrated a statistically significant difference in </w:t>
      </w:r>
      <w:r w:rsidR="00045CD8">
        <w:t xml:space="preserve">continuous abstinence rate from </w:t>
      </w:r>
      <w:r w:rsidR="007B7017">
        <w:t>w</w:t>
      </w:r>
      <w:r w:rsidR="00045CD8">
        <w:t xml:space="preserve">eeks </w:t>
      </w:r>
      <w:r w:rsidR="00EC7F43">
        <w:t>nine</w:t>
      </w:r>
      <w:r w:rsidR="00045CD8">
        <w:t xml:space="preserve"> to 52, in favour of varenicline (RR: 1.43; 95% CI: 1.14, 1.79).</w:t>
      </w:r>
      <w:r w:rsidR="00085F58">
        <w:t xml:space="preserve"> </w:t>
      </w:r>
    </w:p>
    <w:p w14:paraId="079C18EA" w14:textId="7052AF44" w:rsidR="0038011C" w:rsidRPr="00264887" w:rsidRDefault="00652507" w:rsidP="005134FB">
      <w:pPr>
        <w:spacing w:after="120"/>
        <w:jc w:val="both"/>
      </w:pPr>
      <w:r w:rsidRPr="00652507">
        <w:t xml:space="preserve">Based on the Cochrane </w:t>
      </w:r>
      <w:r w:rsidR="00B70C7D">
        <w:t>R</w:t>
      </w:r>
      <w:r w:rsidRPr="00652507">
        <w:t>eview by Howes et al. (2020),</w:t>
      </w:r>
      <w:r w:rsidR="00B567C0" w:rsidRPr="00264887">
        <w:t xml:space="preserve"> the results of the meta-analysis comprising </w:t>
      </w:r>
      <w:r>
        <w:t>six</w:t>
      </w:r>
      <w:r w:rsidR="00B567C0" w:rsidRPr="00264887">
        <w:t xml:space="preserve"> RCTs demonstrated a </w:t>
      </w:r>
      <w:r w:rsidRPr="00652507">
        <w:t xml:space="preserve">statistically significant difference in </w:t>
      </w:r>
      <w:r w:rsidR="000569B3">
        <w:t xml:space="preserve">long-term </w:t>
      </w:r>
      <w:r w:rsidRPr="00652507">
        <w:t>smoking cessation rates, in favour</w:t>
      </w:r>
      <w:r w:rsidR="00B567C0" w:rsidRPr="00264887">
        <w:t xml:space="preserve"> of varenicline</w:t>
      </w:r>
      <w:r w:rsidRPr="00652507">
        <w:t>.</w:t>
      </w:r>
    </w:p>
    <w:p w14:paraId="09892D1A" w14:textId="0CF030EA" w:rsidR="002F05DB" w:rsidRDefault="002F05DB" w:rsidP="005134FB">
      <w:pPr>
        <w:pStyle w:val="Caption"/>
        <w:keepNext/>
        <w:spacing w:before="0" w:after="120"/>
        <w:jc w:val="both"/>
      </w:pPr>
      <w:bookmarkStart w:id="56" w:name="_Ref54100872"/>
      <w:r>
        <w:t xml:space="preserve">Table </w:t>
      </w:r>
      <w:r>
        <w:fldChar w:fldCharType="begin"/>
      </w:r>
      <w:r>
        <w:instrText>SEQ Table \* ARABIC</w:instrText>
      </w:r>
      <w:r>
        <w:fldChar w:fldCharType="separate"/>
      </w:r>
      <w:r w:rsidR="00EC5CC7">
        <w:rPr>
          <w:noProof/>
        </w:rPr>
        <w:t>19</w:t>
      </w:r>
      <w:r>
        <w:fldChar w:fldCharType="end"/>
      </w:r>
      <w:bookmarkEnd w:id="56"/>
      <w:r>
        <w:t xml:space="preserve">: </w:t>
      </w:r>
      <w:r w:rsidRPr="00D42576">
        <w:t>Results of smoking cessation f</w:t>
      </w:r>
      <w:r w:rsidR="00B930E5">
        <w:t>or</w:t>
      </w:r>
      <w:r w:rsidRPr="00D42576">
        <w:t xml:space="preserve"> at least six months follow-up, varenicline versus </w:t>
      </w:r>
      <w:r>
        <w:t>bupropion</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264887" w:rsidRPr="00061F78" w14:paraId="06C062C3" w14:textId="77777777" w:rsidTr="003F4EED">
        <w:trPr>
          <w:cantSplit/>
          <w:trHeight w:val="299"/>
          <w:tblHeader/>
        </w:trPr>
        <w:tc>
          <w:tcPr>
            <w:tcW w:w="721" w:type="pct"/>
            <w:shd w:val="clear" w:color="auto" w:fill="BFBFBF" w:themeFill="background1" w:themeFillShade="BF"/>
            <w:tcMar>
              <w:left w:w="28" w:type="dxa"/>
              <w:right w:w="28" w:type="dxa"/>
            </w:tcMar>
          </w:tcPr>
          <w:p w14:paraId="392673AA" w14:textId="74F3F54D" w:rsidR="00264887" w:rsidRPr="00061F78" w:rsidRDefault="00126B7B" w:rsidP="003F4EED">
            <w:pPr>
              <w:pStyle w:val="Tableheading"/>
              <w:keepNext/>
              <w:rPr>
                <w:rFonts w:eastAsia="MS Mincho"/>
              </w:rPr>
            </w:pPr>
            <w:bookmarkStart w:id="57" w:name="_Hlk54100121"/>
            <w:r>
              <w:rPr>
                <w:rFonts w:eastAsia="MS Mincho"/>
              </w:rPr>
              <w:t>Study</w:t>
            </w:r>
          </w:p>
        </w:tc>
        <w:tc>
          <w:tcPr>
            <w:tcW w:w="920" w:type="pct"/>
            <w:shd w:val="clear" w:color="auto" w:fill="BFBFBF" w:themeFill="background1" w:themeFillShade="BF"/>
            <w:vAlign w:val="center"/>
          </w:tcPr>
          <w:p w14:paraId="13300818" w14:textId="77777777" w:rsidR="00264887" w:rsidRDefault="00264887" w:rsidP="003F4EE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34B33133" w14:textId="77777777" w:rsidR="00264887" w:rsidRPr="00061F78" w:rsidRDefault="00264887" w:rsidP="003F4EED">
            <w:pPr>
              <w:pStyle w:val="Tableheading"/>
              <w:keepNext/>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14:paraId="59733902" w14:textId="2F6F7A75" w:rsidR="00264887" w:rsidRPr="00061F78" w:rsidRDefault="0038011C" w:rsidP="003F4EED">
            <w:pPr>
              <w:pStyle w:val="Tableheading"/>
              <w:keepNext/>
              <w:jc w:val="center"/>
              <w:rPr>
                <w:rFonts w:eastAsia="MS Mincho"/>
              </w:rPr>
            </w:pPr>
            <w:r>
              <w:rPr>
                <w:rFonts w:eastAsia="MS Mincho"/>
              </w:rPr>
              <w:t>Bupropion</w:t>
            </w:r>
          </w:p>
        </w:tc>
        <w:tc>
          <w:tcPr>
            <w:tcW w:w="851" w:type="pct"/>
            <w:shd w:val="clear" w:color="auto" w:fill="BFBFBF" w:themeFill="background1" w:themeFillShade="BF"/>
            <w:tcMar>
              <w:left w:w="28" w:type="dxa"/>
              <w:right w:w="28" w:type="dxa"/>
            </w:tcMar>
            <w:vAlign w:val="center"/>
          </w:tcPr>
          <w:p w14:paraId="345EE682" w14:textId="7C5C1C6B" w:rsidR="00264887" w:rsidRPr="00D468CF" w:rsidRDefault="00264887" w:rsidP="003F4EE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37BDC878" w14:textId="77777777" w:rsidR="00264887" w:rsidRDefault="00264887" w:rsidP="003F4EED">
            <w:pPr>
              <w:pStyle w:val="Tableheading"/>
              <w:keepNext/>
              <w:jc w:val="center"/>
              <w:rPr>
                <w:rFonts w:eastAsia="MS Mincho"/>
              </w:rPr>
            </w:pPr>
            <w:r>
              <w:rPr>
                <w:rFonts w:eastAsia="MS Mincho"/>
              </w:rPr>
              <w:t>RD (95% CI)</w:t>
            </w:r>
          </w:p>
        </w:tc>
      </w:tr>
      <w:tr w:rsidR="00264887" w:rsidRPr="00061F78" w14:paraId="282A340D" w14:textId="77777777" w:rsidTr="005346E0">
        <w:trPr>
          <w:cantSplit/>
          <w:trHeight w:val="99"/>
        </w:trPr>
        <w:tc>
          <w:tcPr>
            <w:tcW w:w="721" w:type="pct"/>
            <w:shd w:val="clear" w:color="auto" w:fill="D9D9D9" w:themeFill="background1" w:themeFillShade="D9"/>
            <w:tcMar>
              <w:left w:w="28" w:type="dxa"/>
              <w:right w:w="28" w:type="dxa"/>
            </w:tcMar>
          </w:tcPr>
          <w:p w14:paraId="1D998B0A" w14:textId="77777777" w:rsidR="00264887" w:rsidRDefault="00264887" w:rsidP="003F4EED">
            <w:pPr>
              <w:pStyle w:val="Tablewriting"/>
              <w:keepNext/>
              <w:rPr>
                <w:rFonts w:eastAsia="MS Mincho"/>
              </w:rPr>
            </w:pPr>
            <w:r>
              <w:rPr>
                <w:rFonts w:eastAsia="MS Mincho"/>
              </w:rPr>
              <w:t>Gonzales (2006)</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2677BAF4" w14:textId="77777777"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5A4BDE95" w14:textId="77777777" w:rsidR="00264887" w:rsidRDefault="00264887" w:rsidP="003F4EED">
            <w:pPr>
              <w:pStyle w:val="Tablewriting"/>
              <w:keepNext/>
              <w:jc w:val="center"/>
              <w:rPr>
                <w:rFonts w:eastAsia="MS Mincho"/>
              </w:rPr>
            </w:pPr>
            <w:r>
              <w:rPr>
                <w:rFonts w:eastAsia="MS Mincho"/>
              </w:rPr>
              <w:t>77/352</w:t>
            </w:r>
          </w:p>
          <w:p w14:paraId="2BA6DFF5" w14:textId="77777777" w:rsidR="00264887" w:rsidRDefault="00264887" w:rsidP="003F4EED">
            <w:pPr>
              <w:pStyle w:val="Tablewriting"/>
              <w:keepNext/>
              <w:jc w:val="center"/>
              <w:rPr>
                <w:rFonts w:eastAsia="MS Mincho"/>
              </w:rPr>
            </w:pPr>
            <w:r>
              <w:rPr>
                <w:rFonts w:eastAsia="MS Mincho"/>
              </w:rPr>
              <w:t>(21.9%)</w:t>
            </w:r>
          </w:p>
        </w:tc>
        <w:tc>
          <w:tcPr>
            <w:tcW w:w="851" w:type="pct"/>
            <w:shd w:val="clear" w:color="auto" w:fill="D9D9D9" w:themeFill="background1" w:themeFillShade="D9"/>
            <w:tcMar>
              <w:left w:w="28" w:type="dxa"/>
              <w:right w:w="28" w:type="dxa"/>
            </w:tcMar>
            <w:vAlign w:val="center"/>
          </w:tcPr>
          <w:p w14:paraId="3BEA8E13" w14:textId="7EFD06A3" w:rsidR="00264887" w:rsidRPr="0027405A" w:rsidRDefault="00F70CA7" w:rsidP="003F4EED">
            <w:pPr>
              <w:pStyle w:val="Tablewriting"/>
              <w:keepNext/>
              <w:jc w:val="center"/>
              <w:rPr>
                <w:rFonts w:eastAsia="MS Mincho"/>
                <w:vertAlign w:val="superscript"/>
              </w:rPr>
            </w:pPr>
            <w:r>
              <w:rPr>
                <w:rFonts w:eastAsia="MS Mincho"/>
              </w:rPr>
              <w:t>53</w:t>
            </w:r>
            <w:r w:rsidR="00264887">
              <w:rPr>
                <w:rFonts w:eastAsia="MS Mincho"/>
              </w:rPr>
              <w:t>/3</w:t>
            </w:r>
            <w:r>
              <w:rPr>
                <w:rFonts w:eastAsia="MS Mincho"/>
              </w:rPr>
              <w:t>29</w:t>
            </w:r>
            <w:r w:rsidR="0027405A">
              <w:rPr>
                <w:rFonts w:eastAsia="MS Mincho"/>
                <w:vertAlign w:val="superscript"/>
              </w:rPr>
              <w:t>5</w:t>
            </w:r>
          </w:p>
          <w:p w14:paraId="3059411A" w14:textId="042D9412" w:rsidR="00264887" w:rsidRDefault="00264887" w:rsidP="003F4EED">
            <w:pPr>
              <w:pStyle w:val="Tablewriting"/>
              <w:keepNext/>
              <w:jc w:val="center"/>
              <w:rPr>
                <w:rFonts w:eastAsia="MS Mincho"/>
              </w:rPr>
            </w:pPr>
            <w:r>
              <w:rPr>
                <w:rFonts w:eastAsia="MS Mincho"/>
              </w:rPr>
              <w:t>(</w:t>
            </w:r>
            <w:r w:rsidR="00D467F6">
              <w:rPr>
                <w:rFonts w:eastAsia="MS Mincho"/>
              </w:rPr>
              <w:t>16.1</w:t>
            </w:r>
            <w:r>
              <w:rPr>
                <w:rFonts w:eastAsia="MS Mincho"/>
              </w:rPr>
              <w:t>%)</w:t>
            </w:r>
          </w:p>
        </w:tc>
        <w:tc>
          <w:tcPr>
            <w:tcW w:w="851" w:type="pct"/>
            <w:shd w:val="clear" w:color="auto" w:fill="D9D9D9" w:themeFill="background1" w:themeFillShade="D9"/>
            <w:tcMar>
              <w:left w:w="28" w:type="dxa"/>
              <w:right w:w="28" w:type="dxa"/>
            </w:tcMar>
            <w:vAlign w:val="center"/>
          </w:tcPr>
          <w:p w14:paraId="49756A80" w14:textId="77777777" w:rsidR="00264887" w:rsidRDefault="0057416C" w:rsidP="003F4EED">
            <w:pPr>
              <w:pStyle w:val="Tablewriting"/>
              <w:keepNext/>
              <w:jc w:val="center"/>
              <w:rPr>
                <w:rFonts w:eastAsia="MS Mincho"/>
              </w:rPr>
            </w:pPr>
            <w:r>
              <w:rPr>
                <w:rFonts w:eastAsia="MS Mincho"/>
              </w:rPr>
              <w:t>1.36</w:t>
            </w:r>
          </w:p>
          <w:p w14:paraId="4256BF35" w14:textId="5E8ACC51" w:rsidR="00264887" w:rsidRPr="005F415A" w:rsidRDefault="0057416C" w:rsidP="003F4EED">
            <w:pPr>
              <w:pStyle w:val="Tablewriting"/>
              <w:keepNext/>
              <w:jc w:val="center"/>
              <w:rPr>
                <w:rFonts w:eastAsia="MS Mincho"/>
              </w:rPr>
            </w:pPr>
            <w:r>
              <w:rPr>
                <w:rFonts w:eastAsia="MS Mincho"/>
              </w:rPr>
              <w:t>(0.99, 1.86)</w:t>
            </w:r>
          </w:p>
        </w:tc>
        <w:tc>
          <w:tcPr>
            <w:tcW w:w="807" w:type="pct"/>
            <w:shd w:val="clear" w:color="auto" w:fill="D9D9D9" w:themeFill="background1" w:themeFillShade="D9"/>
            <w:vAlign w:val="center"/>
          </w:tcPr>
          <w:p w14:paraId="3FC4BEE4" w14:textId="77777777" w:rsidR="00932D7A" w:rsidRDefault="00932D7A" w:rsidP="00932D7A">
            <w:pPr>
              <w:pStyle w:val="Tablewriting"/>
              <w:keepNext/>
              <w:jc w:val="center"/>
              <w:rPr>
                <w:rFonts w:eastAsia="MS Mincho"/>
              </w:rPr>
            </w:pPr>
            <w:r>
              <w:rPr>
                <w:rFonts w:eastAsia="MS Mincho"/>
              </w:rPr>
              <w:t>0.0</w:t>
            </w:r>
            <w:r w:rsidR="00B70C7D">
              <w:rPr>
                <w:rFonts w:eastAsia="MS Mincho"/>
              </w:rPr>
              <w:t>6</w:t>
            </w:r>
          </w:p>
          <w:p w14:paraId="14F222B5" w14:textId="5DFD7D46" w:rsidR="00264887" w:rsidRPr="00061F78" w:rsidRDefault="00B70C7D" w:rsidP="003F4EED">
            <w:pPr>
              <w:pStyle w:val="Tablewriting"/>
              <w:keepNext/>
              <w:jc w:val="center"/>
              <w:rPr>
                <w:rFonts w:eastAsia="MS Mincho"/>
              </w:rPr>
            </w:pPr>
            <w:r>
              <w:rPr>
                <w:rFonts w:eastAsia="MS Mincho"/>
              </w:rPr>
              <w:t>(-0, 0.12)</w:t>
            </w:r>
          </w:p>
        </w:tc>
      </w:tr>
      <w:tr w:rsidR="00264887" w:rsidRPr="00061F78" w14:paraId="56277C98" w14:textId="77777777" w:rsidTr="005346E0">
        <w:trPr>
          <w:cantSplit/>
          <w:trHeight w:val="99"/>
        </w:trPr>
        <w:tc>
          <w:tcPr>
            <w:tcW w:w="721" w:type="pct"/>
            <w:shd w:val="clear" w:color="auto" w:fill="D9D9D9" w:themeFill="background1" w:themeFillShade="D9"/>
            <w:tcMar>
              <w:left w:w="28" w:type="dxa"/>
              <w:right w:w="28" w:type="dxa"/>
            </w:tcMar>
          </w:tcPr>
          <w:p w14:paraId="761B9655" w14:textId="77777777" w:rsidR="00264887" w:rsidRDefault="00264887" w:rsidP="003F4EED">
            <w:pPr>
              <w:pStyle w:val="Tablewriting"/>
              <w:keepNext/>
              <w:rPr>
                <w:rFonts w:eastAsia="MS Mincho"/>
              </w:rPr>
            </w:pPr>
            <w:r>
              <w:rPr>
                <w:rFonts w:eastAsia="MS Mincho"/>
              </w:rPr>
              <w:t>Jorenby (2006)</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1B634340" w14:textId="77777777"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4A17B834" w14:textId="77777777" w:rsidR="00264887" w:rsidRDefault="00264887" w:rsidP="003F4EED">
            <w:pPr>
              <w:pStyle w:val="Tablewriting"/>
              <w:keepNext/>
              <w:jc w:val="center"/>
              <w:rPr>
                <w:rFonts w:eastAsia="MS Mincho"/>
              </w:rPr>
            </w:pPr>
            <w:r>
              <w:rPr>
                <w:rFonts w:eastAsia="MS Mincho"/>
              </w:rPr>
              <w:t>79/344</w:t>
            </w:r>
          </w:p>
          <w:p w14:paraId="0B028773" w14:textId="77777777" w:rsidR="00264887" w:rsidRDefault="00264887" w:rsidP="003F4EED">
            <w:pPr>
              <w:pStyle w:val="Tablewriting"/>
              <w:keepNext/>
              <w:jc w:val="center"/>
              <w:rPr>
                <w:rFonts w:eastAsia="MS Mincho"/>
              </w:rPr>
            </w:pPr>
            <w:r>
              <w:rPr>
                <w:rFonts w:eastAsia="MS Mincho"/>
              </w:rPr>
              <w:t>(23.0%)</w:t>
            </w:r>
          </w:p>
        </w:tc>
        <w:tc>
          <w:tcPr>
            <w:tcW w:w="851" w:type="pct"/>
            <w:shd w:val="clear" w:color="auto" w:fill="D9D9D9" w:themeFill="background1" w:themeFillShade="D9"/>
            <w:tcMar>
              <w:left w:w="28" w:type="dxa"/>
              <w:right w:w="28" w:type="dxa"/>
            </w:tcMar>
            <w:vAlign w:val="center"/>
          </w:tcPr>
          <w:p w14:paraId="7B12F11C" w14:textId="4BF4981F" w:rsidR="00264887" w:rsidRPr="0027405A" w:rsidRDefault="000768F1" w:rsidP="003F4EED">
            <w:pPr>
              <w:pStyle w:val="Tablewriting"/>
              <w:keepNext/>
              <w:jc w:val="center"/>
              <w:rPr>
                <w:rFonts w:eastAsia="MS Mincho"/>
                <w:vertAlign w:val="superscript"/>
              </w:rPr>
            </w:pPr>
            <w:r>
              <w:rPr>
                <w:rFonts w:eastAsia="MS Mincho"/>
              </w:rPr>
              <w:t>50</w:t>
            </w:r>
            <w:r w:rsidR="00264887">
              <w:rPr>
                <w:rFonts w:eastAsia="MS Mincho"/>
              </w:rPr>
              <w:t>/34</w:t>
            </w:r>
            <w:r>
              <w:rPr>
                <w:rFonts w:eastAsia="MS Mincho"/>
              </w:rPr>
              <w:t>2</w:t>
            </w:r>
            <w:r w:rsidR="0027405A">
              <w:rPr>
                <w:rFonts w:eastAsia="MS Mincho"/>
                <w:vertAlign w:val="superscript"/>
              </w:rPr>
              <w:t>5</w:t>
            </w:r>
          </w:p>
          <w:p w14:paraId="20B8B111" w14:textId="423DD979" w:rsidR="00264887" w:rsidRDefault="00264887" w:rsidP="003F4EED">
            <w:pPr>
              <w:pStyle w:val="Tablewriting"/>
              <w:keepNext/>
              <w:jc w:val="center"/>
              <w:rPr>
                <w:rFonts w:eastAsia="MS Mincho"/>
              </w:rPr>
            </w:pPr>
            <w:r>
              <w:rPr>
                <w:rFonts w:eastAsia="MS Mincho"/>
              </w:rPr>
              <w:t>(1</w:t>
            </w:r>
            <w:r w:rsidR="00A22333">
              <w:rPr>
                <w:rFonts w:eastAsia="MS Mincho"/>
              </w:rPr>
              <w:t>4.6</w:t>
            </w:r>
            <w:r>
              <w:rPr>
                <w:rFonts w:eastAsia="MS Mincho"/>
              </w:rPr>
              <w:t>%)</w:t>
            </w:r>
          </w:p>
        </w:tc>
        <w:tc>
          <w:tcPr>
            <w:tcW w:w="851" w:type="pct"/>
            <w:shd w:val="clear" w:color="auto" w:fill="D9D9D9" w:themeFill="background1" w:themeFillShade="D9"/>
            <w:tcMar>
              <w:left w:w="28" w:type="dxa"/>
              <w:right w:w="28" w:type="dxa"/>
            </w:tcMar>
            <w:vAlign w:val="center"/>
          </w:tcPr>
          <w:p w14:paraId="06A130BE" w14:textId="77777777" w:rsidR="00264887" w:rsidRDefault="0057416C" w:rsidP="003F4EED">
            <w:pPr>
              <w:pStyle w:val="Tablewriting"/>
              <w:keepNext/>
              <w:jc w:val="center"/>
              <w:rPr>
                <w:rFonts w:eastAsia="MS Mincho"/>
                <w:b/>
                <w:bCs/>
              </w:rPr>
            </w:pPr>
            <w:r>
              <w:rPr>
                <w:rFonts w:eastAsia="MS Mincho"/>
                <w:b/>
                <w:bCs/>
              </w:rPr>
              <w:t>1.57</w:t>
            </w:r>
          </w:p>
          <w:p w14:paraId="4E43AE22" w14:textId="4356F14D" w:rsidR="00264887" w:rsidRPr="005F415A" w:rsidRDefault="0057416C" w:rsidP="003F4EED">
            <w:pPr>
              <w:pStyle w:val="Tablewriting"/>
              <w:keepNext/>
              <w:jc w:val="center"/>
              <w:rPr>
                <w:rFonts w:eastAsia="MS Mincho"/>
                <w:b/>
              </w:rPr>
            </w:pPr>
            <w:r>
              <w:rPr>
                <w:rFonts w:eastAsia="MS Mincho"/>
                <w:b/>
                <w:bCs/>
              </w:rPr>
              <w:t>(1.14, 2.17)</w:t>
            </w:r>
          </w:p>
        </w:tc>
        <w:tc>
          <w:tcPr>
            <w:tcW w:w="807" w:type="pct"/>
            <w:shd w:val="clear" w:color="auto" w:fill="D9D9D9" w:themeFill="background1" w:themeFillShade="D9"/>
            <w:vAlign w:val="center"/>
          </w:tcPr>
          <w:p w14:paraId="421B5759" w14:textId="77777777" w:rsidR="00264887" w:rsidRPr="00B70C7D" w:rsidRDefault="00B70C7D" w:rsidP="003F4EED">
            <w:pPr>
              <w:pStyle w:val="Tablewriting"/>
              <w:keepNext/>
              <w:jc w:val="center"/>
              <w:rPr>
                <w:rFonts w:eastAsia="MS Mincho"/>
                <w:b/>
                <w:bCs/>
              </w:rPr>
            </w:pPr>
            <w:r w:rsidRPr="00B70C7D">
              <w:rPr>
                <w:rFonts w:eastAsia="MS Mincho"/>
                <w:b/>
                <w:bCs/>
              </w:rPr>
              <w:t>0.08</w:t>
            </w:r>
          </w:p>
          <w:p w14:paraId="157C21C0" w14:textId="53E67675" w:rsidR="00264887" w:rsidRPr="00B70C7D" w:rsidRDefault="00B70C7D" w:rsidP="003F4EED">
            <w:pPr>
              <w:pStyle w:val="Tablewriting"/>
              <w:keepNext/>
              <w:jc w:val="center"/>
              <w:rPr>
                <w:rFonts w:eastAsia="MS Mincho"/>
                <w:b/>
              </w:rPr>
            </w:pPr>
            <w:r w:rsidRPr="00B70C7D">
              <w:rPr>
                <w:rFonts w:eastAsia="MS Mincho"/>
                <w:b/>
                <w:bCs/>
              </w:rPr>
              <w:t>(0.03, 0.14)</w:t>
            </w:r>
          </w:p>
        </w:tc>
      </w:tr>
      <w:tr w:rsidR="00264887" w:rsidRPr="00061F78" w14:paraId="5072632D" w14:textId="77777777" w:rsidTr="005346E0">
        <w:trPr>
          <w:cantSplit/>
          <w:trHeight w:val="99"/>
        </w:trPr>
        <w:tc>
          <w:tcPr>
            <w:tcW w:w="721" w:type="pct"/>
            <w:shd w:val="clear" w:color="auto" w:fill="D9D9D9" w:themeFill="background1" w:themeFillShade="D9"/>
            <w:tcMar>
              <w:left w:w="28" w:type="dxa"/>
              <w:right w:w="28" w:type="dxa"/>
            </w:tcMar>
          </w:tcPr>
          <w:p w14:paraId="1A6A3457" w14:textId="77777777" w:rsidR="00264887" w:rsidRPr="00D468CF" w:rsidRDefault="00264887" w:rsidP="003F4EED">
            <w:pPr>
              <w:pStyle w:val="Tablewriting"/>
              <w:keepNext/>
              <w:rPr>
                <w:rFonts w:eastAsia="MS Mincho"/>
                <w:vertAlign w:val="superscript"/>
              </w:rPr>
            </w:pPr>
            <w:r>
              <w:rPr>
                <w:rFonts w:eastAsia="MS Mincho"/>
              </w:rPr>
              <w:t>Anthenelli (EAGLES, 2016)</w:t>
            </w:r>
            <w:r>
              <w:rPr>
                <w:rFonts w:eastAsia="MS Mincho"/>
                <w:vertAlign w:val="superscript"/>
              </w:rPr>
              <w:t>2</w:t>
            </w:r>
          </w:p>
        </w:tc>
        <w:tc>
          <w:tcPr>
            <w:tcW w:w="920" w:type="pct"/>
            <w:shd w:val="clear" w:color="auto" w:fill="D9D9D9" w:themeFill="background1" w:themeFillShade="D9"/>
            <w:vAlign w:val="center"/>
          </w:tcPr>
          <w:p w14:paraId="77669E15" w14:textId="77777777" w:rsidR="00264887" w:rsidRDefault="00264887" w:rsidP="003F4EED">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36CB797A" w14:textId="77777777" w:rsidR="00264887" w:rsidRDefault="00264887" w:rsidP="003F4EED">
            <w:pPr>
              <w:pStyle w:val="Tablewriting"/>
              <w:keepNext/>
              <w:jc w:val="center"/>
              <w:rPr>
                <w:rFonts w:eastAsia="MS Mincho"/>
              </w:rPr>
            </w:pPr>
            <w:r>
              <w:rPr>
                <w:rFonts w:eastAsia="MS Mincho"/>
              </w:rPr>
              <w:t>445/2,037</w:t>
            </w:r>
          </w:p>
          <w:p w14:paraId="36FFFBE3" w14:textId="77777777" w:rsidR="00264887" w:rsidRPr="00061F78" w:rsidRDefault="00264887" w:rsidP="003F4EED">
            <w:pPr>
              <w:pStyle w:val="Tablewriting"/>
              <w:keepNext/>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14:paraId="156F00A5" w14:textId="39EC334D" w:rsidR="00264887" w:rsidRDefault="00771B81" w:rsidP="003F4EED">
            <w:pPr>
              <w:pStyle w:val="Tablewriting"/>
              <w:keepNext/>
              <w:jc w:val="center"/>
              <w:rPr>
                <w:rFonts w:eastAsia="MS Mincho"/>
              </w:rPr>
            </w:pPr>
            <w:r>
              <w:rPr>
                <w:rFonts w:eastAsia="MS Mincho"/>
              </w:rPr>
              <w:t>330</w:t>
            </w:r>
            <w:r w:rsidR="00264887">
              <w:rPr>
                <w:rFonts w:eastAsia="MS Mincho"/>
              </w:rPr>
              <w:t>/2,03</w:t>
            </w:r>
            <w:r>
              <w:rPr>
                <w:rFonts w:eastAsia="MS Mincho"/>
              </w:rPr>
              <w:t>4</w:t>
            </w:r>
          </w:p>
          <w:p w14:paraId="5E7870DD" w14:textId="014C0D19" w:rsidR="00264887" w:rsidRPr="00061F78" w:rsidRDefault="00264887" w:rsidP="003F4EED">
            <w:pPr>
              <w:pStyle w:val="Tablewriting"/>
              <w:keepNext/>
              <w:jc w:val="center"/>
              <w:rPr>
                <w:rFonts w:eastAsia="MS Mincho"/>
              </w:rPr>
            </w:pPr>
            <w:r>
              <w:rPr>
                <w:rFonts w:eastAsia="MS Mincho"/>
              </w:rPr>
              <w:t>(</w:t>
            </w:r>
            <w:r w:rsidR="00732BB4">
              <w:rPr>
                <w:rFonts w:eastAsia="MS Mincho"/>
              </w:rPr>
              <w:t>16.2</w:t>
            </w:r>
            <w:r>
              <w:rPr>
                <w:rFonts w:eastAsia="MS Mincho"/>
              </w:rPr>
              <w:t>%)</w:t>
            </w:r>
          </w:p>
        </w:tc>
        <w:tc>
          <w:tcPr>
            <w:tcW w:w="851" w:type="pct"/>
            <w:shd w:val="clear" w:color="auto" w:fill="D9D9D9" w:themeFill="background1" w:themeFillShade="D9"/>
            <w:tcMar>
              <w:left w:w="28" w:type="dxa"/>
              <w:right w:w="28" w:type="dxa"/>
            </w:tcMar>
            <w:vAlign w:val="center"/>
          </w:tcPr>
          <w:p w14:paraId="420F9E8A" w14:textId="77777777" w:rsidR="00264887" w:rsidRDefault="0057416C" w:rsidP="003F4EED">
            <w:pPr>
              <w:pStyle w:val="Tablewriting"/>
              <w:keepNext/>
              <w:jc w:val="center"/>
              <w:rPr>
                <w:rFonts w:eastAsia="MS Mincho"/>
                <w:b/>
                <w:bCs/>
              </w:rPr>
            </w:pPr>
            <w:r>
              <w:rPr>
                <w:rFonts w:eastAsia="MS Mincho"/>
                <w:b/>
                <w:bCs/>
              </w:rPr>
              <w:t>1.35</w:t>
            </w:r>
          </w:p>
          <w:p w14:paraId="75A67BDA" w14:textId="121B40A7" w:rsidR="00264887" w:rsidRPr="005F415A" w:rsidRDefault="0057416C" w:rsidP="003F4EED">
            <w:pPr>
              <w:pStyle w:val="Tablewriting"/>
              <w:keepNext/>
              <w:jc w:val="center"/>
              <w:rPr>
                <w:rFonts w:eastAsia="MS Mincho"/>
              </w:rPr>
            </w:pPr>
            <w:r>
              <w:rPr>
                <w:rFonts w:eastAsia="MS Mincho"/>
                <w:b/>
                <w:bCs/>
              </w:rPr>
              <w:t>(1.18, 1.53)</w:t>
            </w:r>
          </w:p>
        </w:tc>
        <w:tc>
          <w:tcPr>
            <w:tcW w:w="807" w:type="pct"/>
            <w:shd w:val="clear" w:color="auto" w:fill="D9D9D9" w:themeFill="background1" w:themeFillShade="D9"/>
            <w:vAlign w:val="center"/>
          </w:tcPr>
          <w:p w14:paraId="77D0F780" w14:textId="77777777" w:rsidR="00264887" w:rsidRPr="00B70C7D" w:rsidRDefault="00B70C7D" w:rsidP="003F4EED">
            <w:pPr>
              <w:pStyle w:val="Tablewriting"/>
              <w:keepNext/>
              <w:jc w:val="center"/>
              <w:rPr>
                <w:rFonts w:eastAsia="MS Mincho"/>
                <w:b/>
                <w:bCs/>
              </w:rPr>
            </w:pPr>
            <w:r w:rsidRPr="00B70C7D">
              <w:rPr>
                <w:rFonts w:eastAsia="MS Mincho"/>
                <w:b/>
                <w:bCs/>
              </w:rPr>
              <w:t>0.06</w:t>
            </w:r>
          </w:p>
          <w:p w14:paraId="0EEA6005" w14:textId="6C60A8F3" w:rsidR="00264887" w:rsidRPr="00B70C7D" w:rsidRDefault="00B70C7D" w:rsidP="003F4EED">
            <w:pPr>
              <w:pStyle w:val="Tablewriting"/>
              <w:keepNext/>
              <w:jc w:val="center"/>
              <w:rPr>
                <w:rFonts w:eastAsia="MS Mincho"/>
                <w:b/>
              </w:rPr>
            </w:pPr>
            <w:r w:rsidRPr="00B70C7D">
              <w:rPr>
                <w:rFonts w:eastAsia="MS Mincho"/>
                <w:b/>
                <w:bCs/>
              </w:rPr>
              <w:t>(0.03, 0.08)</w:t>
            </w:r>
          </w:p>
        </w:tc>
      </w:tr>
      <w:tr w:rsidR="00264887" w:rsidRPr="00061F78" w14:paraId="68A55AE6" w14:textId="77777777" w:rsidTr="003F4EED">
        <w:trPr>
          <w:cantSplit/>
          <w:trHeight w:val="149"/>
        </w:trPr>
        <w:tc>
          <w:tcPr>
            <w:tcW w:w="721" w:type="pct"/>
            <w:tcMar>
              <w:left w:w="28" w:type="dxa"/>
              <w:right w:w="28" w:type="dxa"/>
            </w:tcMar>
          </w:tcPr>
          <w:p w14:paraId="7B9E362E" w14:textId="54A3C113" w:rsidR="00771B81" w:rsidRDefault="00F57360" w:rsidP="003F4EED">
            <w:pPr>
              <w:pStyle w:val="Tablewriting"/>
              <w:keepNext/>
              <w:rPr>
                <w:rFonts w:eastAsia="MS Mincho"/>
              </w:rPr>
            </w:pPr>
            <w:r>
              <w:rPr>
                <w:rFonts w:eastAsia="MS Mincho"/>
              </w:rPr>
              <w:t>Howes</w:t>
            </w:r>
            <w:r w:rsidR="00264887">
              <w:rPr>
                <w:rFonts w:eastAsia="MS Mincho"/>
              </w:rPr>
              <w:t xml:space="preserve"> </w:t>
            </w:r>
          </w:p>
          <w:p w14:paraId="4F539A80" w14:textId="7A828603" w:rsidR="00264887" w:rsidRPr="00D468CF" w:rsidRDefault="00264887" w:rsidP="003F4EED">
            <w:pPr>
              <w:pStyle w:val="Tablewriting"/>
              <w:keepNext/>
              <w:rPr>
                <w:rFonts w:eastAsia="MS Mincho"/>
                <w:vertAlign w:val="superscript"/>
              </w:rPr>
            </w:pPr>
            <w:r>
              <w:rPr>
                <w:rFonts w:eastAsia="MS Mincho"/>
              </w:rPr>
              <w:t>(20</w:t>
            </w:r>
            <w:r w:rsidR="00F57360">
              <w:rPr>
                <w:rFonts w:eastAsia="MS Mincho"/>
              </w:rPr>
              <w:t>20</w:t>
            </w:r>
            <w:r>
              <w:rPr>
                <w:rFonts w:eastAsia="MS Mincho"/>
              </w:rPr>
              <w:t>)</w:t>
            </w:r>
            <w:r>
              <w:rPr>
                <w:rFonts w:eastAsia="MS Mincho"/>
                <w:vertAlign w:val="superscript"/>
              </w:rPr>
              <w:t>3</w:t>
            </w:r>
            <w:r w:rsidR="00B828F8">
              <w:rPr>
                <w:rFonts w:eastAsia="MS Mincho"/>
                <w:vertAlign w:val="superscript"/>
              </w:rPr>
              <w:t>,4</w:t>
            </w:r>
          </w:p>
        </w:tc>
        <w:tc>
          <w:tcPr>
            <w:tcW w:w="920" w:type="pct"/>
            <w:vAlign w:val="center"/>
          </w:tcPr>
          <w:p w14:paraId="555B0295" w14:textId="05E733EE" w:rsidR="00264887" w:rsidRDefault="00264887" w:rsidP="003F4EED">
            <w:pPr>
              <w:pStyle w:val="Tablewriting"/>
              <w:keepNext/>
              <w:jc w:val="center"/>
              <w:rPr>
                <w:rFonts w:eastAsia="MS Mincho"/>
              </w:rPr>
            </w:pPr>
            <w:r>
              <w:rPr>
                <w:rFonts w:eastAsia="MS Mincho"/>
              </w:rPr>
              <w:t>Cochrane Review (</w:t>
            </w:r>
            <w:r w:rsidR="00771B81">
              <w:rPr>
                <w:rFonts w:eastAsia="MS Mincho"/>
              </w:rPr>
              <w:t>6</w:t>
            </w:r>
            <w:r>
              <w:rPr>
                <w:rFonts w:eastAsia="MS Mincho"/>
              </w:rPr>
              <w:t xml:space="preserve"> RCTs)</w:t>
            </w:r>
          </w:p>
        </w:tc>
        <w:tc>
          <w:tcPr>
            <w:tcW w:w="850" w:type="pct"/>
            <w:tcMar>
              <w:left w:w="28" w:type="dxa"/>
              <w:right w:w="28" w:type="dxa"/>
            </w:tcMar>
            <w:vAlign w:val="center"/>
          </w:tcPr>
          <w:p w14:paraId="1F7EDF0E" w14:textId="73987810" w:rsidR="00264887" w:rsidRPr="00C5346E" w:rsidRDefault="00C775DF" w:rsidP="003F4EED">
            <w:pPr>
              <w:pStyle w:val="Tablewriting"/>
              <w:keepNext/>
              <w:jc w:val="center"/>
              <w:rPr>
                <w:rFonts w:eastAsia="MS Mincho"/>
              </w:rPr>
            </w:pPr>
            <w:r w:rsidRPr="00C5346E">
              <w:rPr>
                <w:rFonts w:eastAsia="MS Mincho"/>
              </w:rPr>
              <w:t>677</w:t>
            </w:r>
            <w:r w:rsidR="00264887" w:rsidRPr="00C5346E">
              <w:rPr>
                <w:rFonts w:eastAsia="MS Mincho"/>
              </w:rPr>
              <w:t>/</w:t>
            </w:r>
            <w:r w:rsidRPr="00C5346E">
              <w:rPr>
                <w:rFonts w:eastAsia="MS Mincho"/>
              </w:rPr>
              <w:t>3,190</w:t>
            </w:r>
            <w:r w:rsidR="00264887" w:rsidRPr="00C5346E">
              <w:rPr>
                <w:rFonts w:eastAsia="MS Mincho"/>
              </w:rPr>
              <w:t xml:space="preserve"> </w:t>
            </w:r>
          </w:p>
          <w:p w14:paraId="613FD627" w14:textId="59BACDEC" w:rsidR="00264887" w:rsidRPr="00C5346E" w:rsidRDefault="00264887" w:rsidP="003F4EED">
            <w:pPr>
              <w:pStyle w:val="Tablewriting"/>
              <w:keepNext/>
              <w:jc w:val="center"/>
              <w:rPr>
                <w:rFonts w:eastAsia="MS Mincho"/>
              </w:rPr>
            </w:pPr>
            <w:r w:rsidRPr="00C5346E">
              <w:rPr>
                <w:rFonts w:eastAsia="MS Mincho"/>
              </w:rPr>
              <w:t>(2</w:t>
            </w:r>
            <w:r w:rsidR="008C5997">
              <w:rPr>
                <w:rFonts w:eastAsia="MS Mincho"/>
              </w:rPr>
              <w:t>1.2</w:t>
            </w:r>
            <w:r w:rsidRPr="00C5346E">
              <w:rPr>
                <w:rFonts w:eastAsia="MS Mincho"/>
              </w:rPr>
              <w:t>%)</w:t>
            </w:r>
          </w:p>
        </w:tc>
        <w:tc>
          <w:tcPr>
            <w:tcW w:w="851" w:type="pct"/>
            <w:tcMar>
              <w:left w:w="28" w:type="dxa"/>
              <w:right w:w="28" w:type="dxa"/>
            </w:tcMar>
            <w:vAlign w:val="center"/>
          </w:tcPr>
          <w:p w14:paraId="69078D9A" w14:textId="7897D187" w:rsidR="00264887" w:rsidRPr="00C5346E" w:rsidRDefault="00C775DF" w:rsidP="003F4EED">
            <w:pPr>
              <w:pStyle w:val="Tablewriting"/>
              <w:keepNext/>
              <w:jc w:val="center"/>
              <w:rPr>
                <w:rFonts w:eastAsia="MS Mincho"/>
              </w:rPr>
            </w:pPr>
            <w:r w:rsidRPr="00C5346E">
              <w:rPr>
                <w:rFonts w:eastAsia="MS Mincho"/>
              </w:rPr>
              <w:t>474</w:t>
            </w:r>
            <w:r w:rsidR="00264887" w:rsidRPr="00C5346E">
              <w:rPr>
                <w:rFonts w:eastAsia="MS Mincho"/>
              </w:rPr>
              <w:t>/</w:t>
            </w:r>
            <w:r w:rsidR="00C5346E" w:rsidRPr="00C5346E">
              <w:rPr>
                <w:rFonts w:eastAsia="MS Mincho"/>
              </w:rPr>
              <w:t>3,096</w:t>
            </w:r>
            <w:r w:rsidR="00264887" w:rsidRPr="00C5346E">
              <w:rPr>
                <w:rFonts w:eastAsia="MS Mincho"/>
              </w:rPr>
              <w:t xml:space="preserve"> </w:t>
            </w:r>
          </w:p>
          <w:p w14:paraId="61D03B50" w14:textId="33DE4A90" w:rsidR="00264887" w:rsidRPr="00C5346E" w:rsidRDefault="00264887" w:rsidP="003F4EED">
            <w:pPr>
              <w:pStyle w:val="Tablewriting"/>
              <w:keepNext/>
              <w:jc w:val="center"/>
              <w:rPr>
                <w:rFonts w:eastAsia="MS Mincho"/>
              </w:rPr>
            </w:pPr>
            <w:r w:rsidRPr="00C5346E">
              <w:rPr>
                <w:rFonts w:eastAsia="MS Mincho"/>
              </w:rPr>
              <w:t>(1</w:t>
            </w:r>
            <w:r w:rsidR="008C5997">
              <w:rPr>
                <w:rFonts w:eastAsia="MS Mincho"/>
              </w:rPr>
              <w:t>5.3</w:t>
            </w:r>
            <w:r w:rsidRPr="00C5346E">
              <w:rPr>
                <w:rFonts w:eastAsia="MS Mincho"/>
              </w:rPr>
              <w:t>%)</w:t>
            </w:r>
          </w:p>
        </w:tc>
        <w:tc>
          <w:tcPr>
            <w:tcW w:w="851" w:type="pct"/>
            <w:tcMar>
              <w:left w:w="28" w:type="dxa"/>
              <w:right w:w="28" w:type="dxa"/>
            </w:tcMar>
            <w:vAlign w:val="center"/>
          </w:tcPr>
          <w:p w14:paraId="3C5C340F" w14:textId="77777777" w:rsidR="00B828F8" w:rsidRDefault="00B828F8" w:rsidP="003F4EED">
            <w:pPr>
              <w:pStyle w:val="Tablewriting"/>
              <w:keepNext/>
              <w:jc w:val="center"/>
              <w:rPr>
                <w:rFonts w:eastAsia="MS Mincho"/>
                <w:b/>
                <w:bCs/>
              </w:rPr>
            </w:pPr>
            <w:r>
              <w:rPr>
                <w:rFonts w:eastAsia="MS Mincho"/>
                <w:b/>
                <w:bCs/>
              </w:rPr>
              <w:t>1.40</w:t>
            </w:r>
          </w:p>
          <w:p w14:paraId="3339BBBC" w14:textId="148FAD96" w:rsidR="00264887" w:rsidRPr="005F415A" w:rsidRDefault="00B828F8" w:rsidP="003F4EED">
            <w:pPr>
              <w:pStyle w:val="Tablewriting"/>
              <w:keepNext/>
              <w:jc w:val="center"/>
              <w:rPr>
                <w:rFonts w:eastAsia="MS Mincho"/>
              </w:rPr>
            </w:pPr>
            <w:r>
              <w:rPr>
                <w:rFonts w:eastAsia="MS Mincho"/>
                <w:b/>
                <w:bCs/>
              </w:rPr>
              <w:t>(1.25, 1.55)</w:t>
            </w:r>
          </w:p>
        </w:tc>
        <w:tc>
          <w:tcPr>
            <w:tcW w:w="807" w:type="pct"/>
            <w:vAlign w:val="center"/>
          </w:tcPr>
          <w:p w14:paraId="79F91F75" w14:textId="77777777" w:rsidR="00264887" w:rsidRPr="00B70C7D" w:rsidRDefault="00B70C7D" w:rsidP="003F4EED">
            <w:pPr>
              <w:pStyle w:val="Tablewriting"/>
              <w:keepNext/>
              <w:jc w:val="center"/>
              <w:rPr>
                <w:rFonts w:eastAsia="MS Mincho"/>
                <w:b/>
                <w:bCs/>
              </w:rPr>
            </w:pPr>
            <w:r w:rsidRPr="00B70C7D">
              <w:rPr>
                <w:rFonts w:eastAsia="MS Mincho"/>
                <w:b/>
                <w:bCs/>
              </w:rPr>
              <w:t>0.06</w:t>
            </w:r>
          </w:p>
          <w:p w14:paraId="48E3DD15" w14:textId="6CB1F27D" w:rsidR="00264887" w:rsidRPr="00B70C7D" w:rsidRDefault="00B70C7D" w:rsidP="003F4EED">
            <w:pPr>
              <w:pStyle w:val="Tablewriting"/>
              <w:keepNext/>
              <w:jc w:val="center"/>
              <w:rPr>
                <w:rFonts w:eastAsia="MS Mincho"/>
                <w:b/>
              </w:rPr>
            </w:pPr>
            <w:r w:rsidRPr="00B70C7D">
              <w:rPr>
                <w:rFonts w:eastAsia="MS Mincho"/>
                <w:b/>
                <w:bCs/>
              </w:rPr>
              <w:t>(0.04, 0.08)</w:t>
            </w:r>
          </w:p>
        </w:tc>
      </w:tr>
    </w:tbl>
    <w:bookmarkEnd w:id="57"/>
    <w:p w14:paraId="2FB3E35F" w14:textId="0C965E06" w:rsidR="002F05DB" w:rsidRDefault="002F05DB" w:rsidP="005134FB">
      <w:pPr>
        <w:pStyle w:val="TableFooter"/>
        <w:keepNext/>
      </w:pPr>
      <w:r>
        <w:t xml:space="preserve">Source: </w:t>
      </w:r>
      <w:r w:rsidR="00C06274">
        <w:t>Howes</w:t>
      </w:r>
      <w:r>
        <w:t xml:space="preserve"> et al. (20</w:t>
      </w:r>
      <w:r w:rsidR="00C06274">
        <w:t>20</w:t>
      </w:r>
      <w:r>
        <w:t>)</w:t>
      </w:r>
    </w:p>
    <w:p w14:paraId="23268842" w14:textId="77777777" w:rsidR="002F05DB" w:rsidRDefault="002F05DB" w:rsidP="005134FB">
      <w:pPr>
        <w:pStyle w:val="TableFooter"/>
        <w:keepNext/>
        <w:rPr>
          <w:i/>
        </w:rPr>
      </w:pPr>
      <w:r>
        <w:t>Abbreviations: CI = confidence interval; RCT = randomised controlled trial; RR = risk ratio</w:t>
      </w:r>
      <w:r w:rsidRPr="00061F78">
        <w:t xml:space="preserve"> </w:t>
      </w:r>
    </w:p>
    <w:p w14:paraId="1846102A" w14:textId="77777777" w:rsidR="002F05DB" w:rsidRDefault="002F05DB" w:rsidP="005134FB">
      <w:pPr>
        <w:pStyle w:val="TableFooter"/>
        <w:keepNext/>
      </w:pPr>
      <w:r w:rsidRPr="00061F78">
        <w:rPr>
          <w:highlight w:val="lightGray"/>
        </w:rPr>
        <w:t>Shaded</w:t>
      </w:r>
      <w:r w:rsidRPr="00061F78">
        <w:t xml:space="preserve"> = previously considered by the PBAC</w:t>
      </w:r>
    </w:p>
    <w:p w14:paraId="52E6D9F9" w14:textId="7DD97975" w:rsidR="002F05DB" w:rsidRDefault="002F05DB" w:rsidP="005134FB">
      <w:pPr>
        <w:pStyle w:val="TableFooter"/>
        <w:keepNext/>
      </w:pPr>
      <w:r w:rsidRPr="00D468CF">
        <w:t>Note</w:t>
      </w:r>
      <w:r>
        <w:t>s</w:t>
      </w:r>
      <w:r w:rsidRPr="00D468CF">
        <w:t>: Bold indicates statistically significant difference.</w:t>
      </w:r>
      <w:r>
        <w:br/>
        <w:t>1 Continuous abstinence rate at 12 months (</w:t>
      </w:r>
      <w:r w:rsidR="007B7017">
        <w:t>week</w:t>
      </w:r>
      <w:r>
        <w:t xml:space="preserve"> 9-52)</w:t>
      </w:r>
      <w:r w:rsidR="00004245">
        <w:t>.</w:t>
      </w:r>
    </w:p>
    <w:p w14:paraId="7D450091" w14:textId="676CE65A" w:rsidR="002F05DB" w:rsidRDefault="002F05DB" w:rsidP="005134FB">
      <w:pPr>
        <w:pStyle w:val="TableFooter"/>
        <w:keepNext/>
      </w:pPr>
      <w:r>
        <w:t xml:space="preserve">2 </w:t>
      </w:r>
      <w:r w:rsidRPr="00383947">
        <w:t xml:space="preserve">Continuous abstinence rate at </w:t>
      </w:r>
      <w:r w:rsidR="00EC7F43">
        <w:t>six</w:t>
      </w:r>
      <w:r w:rsidRPr="00383947">
        <w:t xml:space="preserve"> months (</w:t>
      </w:r>
      <w:r w:rsidR="007B7017">
        <w:t>week</w:t>
      </w:r>
      <w:r w:rsidRPr="00383947">
        <w:t xml:space="preserve"> 9-24)</w:t>
      </w:r>
      <w:r w:rsidR="00004245">
        <w:t>.</w:t>
      </w:r>
    </w:p>
    <w:p w14:paraId="5B33B615" w14:textId="1EA28CBE" w:rsidR="002F05DB" w:rsidRDefault="002F05DB" w:rsidP="005134FB">
      <w:pPr>
        <w:pStyle w:val="TableFooter"/>
        <w:keepNext/>
        <w:jc w:val="both"/>
      </w:pPr>
      <w:r>
        <w:t>3 Where cessation was assessed at multiple intervals, the longest follow-up data were used. Where multiple definitions of abstinence were assessed, the strictest of these definitions was used (</w:t>
      </w:r>
      <w:r w:rsidR="004C4EA7">
        <w:t>e.g.,</w:t>
      </w:r>
      <w:r>
        <w:t xml:space="preserve"> continuous/prolonged abstinence over point prevalence abstinence). See </w:t>
      </w:r>
      <w:r w:rsidRPr="005C1B1D">
        <w:t xml:space="preserve">Appendix </w:t>
      </w:r>
      <w:r w:rsidR="00076298">
        <w:t>Table 147</w:t>
      </w:r>
      <w:r>
        <w:t xml:space="preserve"> for the definition used in each study.</w:t>
      </w:r>
      <w:r w:rsidR="00D868CB">
        <w:t xml:space="preserve"> </w:t>
      </w:r>
      <w:r w:rsidR="0030225A" w:rsidRPr="0030225A">
        <w:t>Studies previously considered by the PBAC were included in the meta-analysis</w:t>
      </w:r>
      <w:r w:rsidR="00D868CB" w:rsidRPr="00D868CB">
        <w:t xml:space="preserve"> of </w:t>
      </w:r>
      <w:r w:rsidR="00F57360">
        <w:t>Howes</w:t>
      </w:r>
      <w:r w:rsidR="00D868CB" w:rsidRPr="00D868CB">
        <w:t xml:space="preserve"> et al. (20</w:t>
      </w:r>
      <w:r w:rsidR="00F57360">
        <w:t>20</w:t>
      </w:r>
      <w:r w:rsidR="00D868CB" w:rsidRPr="00D868CB">
        <w:t>).</w:t>
      </w:r>
    </w:p>
    <w:p w14:paraId="69DD23C2" w14:textId="7425AACF" w:rsidR="002F05DB" w:rsidRDefault="002F05DB" w:rsidP="005134FB">
      <w:pPr>
        <w:pStyle w:val="TableFooter"/>
        <w:keepNext/>
        <w:jc w:val="both"/>
      </w:pPr>
      <w:r w:rsidRPr="005C1B1D">
        <w:t xml:space="preserve">4 </w:t>
      </w:r>
      <w:r w:rsidR="00B828F8" w:rsidRPr="005C1B1D">
        <w:t>Howes et al. (2020)</w:t>
      </w:r>
      <w:r w:rsidR="00C06274" w:rsidRPr="005C1B1D">
        <w:t xml:space="preserve"> presented this comparison as bupropion versus varenicline (inverse) using a fixed-effect model.</w:t>
      </w:r>
      <w:r w:rsidR="00960A15" w:rsidRPr="005C1B1D">
        <w:t xml:space="preserve"> Re-calculated during the review for varenicline versus bupropion using a random-effect model.</w:t>
      </w:r>
    </w:p>
    <w:p w14:paraId="275E3F92" w14:textId="4B7D58FB" w:rsidR="0027405A" w:rsidRDefault="0027405A" w:rsidP="005134FB">
      <w:pPr>
        <w:pStyle w:val="TableFooter"/>
        <w:keepNext/>
        <w:spacing w:after="120"/>
        <w:contextualSpacing w:val="0"/>
        <w:jc w:val="both"/>
      </w:pPr>
      <w:r>
        <w:t xml:space="preserve">5 The number of events (n) reported in </w:t>
      </w:r>
      <w:r w:rsidR="006D3AE3">
        <w:t xml:space="preserve">Howes et al. (2020) </w:t>
      </w:r>
      <w:r w:rsidR="001A4C96">
        <w:t>differed from th</w:t>
      </w:r>
      <w:r w:rsidR="0015598F">
        <w:t xml:space="preserve">e numbers stated in the </w:t>
      </w:r>
      <w:r w:rsidR="007F3079">
        <w:t xml:space="preserve">Varenicline </w:t>
      </w:r>
      <w:r w:rsidR="0015598F">
        <w:t>PSD</w:t>
      </w:r>
      <w:r w:rsidR="007F3079">
        <w:t xml:space="preserve"> (2007)</w:t>
      </w:r>
      <w:r w:rsidR="00657583">
        <w:t>; (Gonzales 2006</w:t>
      </w:r>
      <w:r w:rsidR="000538F8">
        <w:t>,</w:t>
      </w:r>
      <w:r w:rsidR="00657583">
        <w:t xml:space="preserve"> n=53 versus </w:t>
      </w:r>
      <w:r w:rsidR="000B433A">
        <w:t xml:space="preserve">54; </w:t>
      </w:r>
      <w:r w:rsidR="000538F8">
        <w:t>Jorenby 2006, n=50 versus 51)</w:t>
      </w:r>
      <w:r w:rsidR="007F3079">
        <w:t>.</w:t>
      </w:r>
      <w:r w:rsidR="00AC3D5D">
        <w:t xml:space="preserve"> </w:t>
      </w:r>
      <w:r w:rsidR="009859A0">
        <w:t>The numbers reported in Howe</w:t>
      </w:r>
      <w:r w:rsidR="00C073B8">
        <w:t xml:space="preserve">s </w:t>
      </w:r>
      <w:r w:rsidR="009A5F63">
        <w:t xml:space="preserve">et al. (2020) </w:t>
      </w:r>
      <w:r w:rsidR="00C073B8">
        <w:t>were used</w:t>
      </w:r>
      <w:r w:rsidR="003023D2">
        <w:t xml:space="preserve"> as th</w:t>
      </w:r>
      <w:r w:rsidR="005769D3">
        <w:t>ese numbers corresponded with the percentages reported in the key publications.</w:t>
      </w:r>
      <w:r w:rsidR="007F3079">
        <w:t xml:space="preserve"> </w:t>
      </w:r>
    </w:p>
    <w:p w14:paraId="716B1AA8" w14:textId="441601A6" w:rsidR="00583F03" w:rsidRDefault="000F18B2" w:rsidP="005134FB">
      <w:pPr>
        <w:spacing w:after="120"/>
        <w:jc w:val="both"/>
      </w:pPr>
      <w:r w:rsidRPr="000F18B2">
        <w:t xml:space="preserve">The results of the individual studies included in </w:t>
      </w:r>
      <w:r w:rsidR="00E019B5">
        <w:t>Howes</w:t>
      </w:r>
      <w:r w:rsidRPr="000F18B2">
        <w:t xml:space="preserve"> et al. (20</w:t>
      </w:r>
      <w:r w:rsidR="00E019B5">
        <w:t>20</w:t>
      </w:r>
      <w:r w:rsidRPr="000F18B2">
        <w:t xml:space="preserve">) are presented using a forest plot in </w:t>
      </w:r>
      <w:r w:rsidR="00E019B5">
        <w:fldChar w:fldCharType="begin" w:fldLock="1"/>
      </w:r>
      <w:r w:rsidR="00E019B5">
        <w:instrText xml:space="preserve"> REF _Ref54103289 \h </w:instrText>
      </w:r>
      <w:r w:rsidR="005134FB">
        <w:instrText xml:space="preserve"> \* MERGEFORMAT </w:instrText>
      </w:r>
      <w:r w:rsidR="00E019B5">
        <w:fldChar w:fldCharType="separate"/>
      </w:r>
      <w:r w:rsidR="00EC5CC7">
        <w:t xml:space="preserve">Figure </w:t>
      </w:r>
      <w:r w:rsidR="00EC5CC7">
        <w:rPr>
          <w:noProof/>
        </w:rPr>
        <w:t>4</w:t>
      </w:r>
      <w:r w:rsidR="00E019B5">
        <w:fldChar w:fldCharType="end"/>
      </w:r>
      <w:r w:rsidRPr="000F18B2">
        <w:t xml:space="preserve">. </w:t>
      </w:r>
    </w:p>
    <w:p w14:paraId="7167E356" w14:textId="04728D15" w:rsidR="00E019B5" w:rsidRDefault="00680621" w:rsidP="00E019B5">
      <w:pPr>
        <w:keepNext/>
      </w:pPr>
      <w:r>
        <w:rPr>
          <w:noProof/>
        </w:rPr>
        <w:lastRenderedPageBreak/>
        <w:drawing>
          <wp:inline distT="0" distB="0" distL="0" distR="0" wp14:anchorId="4919F1B4" wp14:editId="797B5F5A">
            <wp:extent cx="5731510" cy="1612900"/>
            <wp:effectExtent l="0" t="0" r="2540" b="6350"/>
            <wp:docPr id="20" name="Picture 20" descr="P26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2665#yIS1"/>
                    <pic:cNvPicPr/>
                  </pic:nvPicPr>
                  <pic:blipFill>
                    <a:blip r:embed="rId23">
                      <a:extLst>
                        <a:ext uri="{28A0092B-C50C-407E-A947-70E740481C1C}">
                          <a14:useLocalDpi xmlns:a14="http://schemas.microsoft.com/office/drawing/2010/main" val="0"/>
                        </a:ext>
                      </a:extLst>
                    </a:blip>
                    <a:stretch>
                      <a:fillRect/>
                    </a:stretch>
                  </pic:blipFill>
                  <pic:spPr>
                    <a:xfrm>
                      <a:off x="0" y="0"/>
                      <a:ext cx="5731510" cy="1612900"/>
                    </a:xfrm>
                    <a:prstGeom prst="rect">
                      <a:avLst/>
                    </a:prstGeom>
                  </pic:spPr>
                </pic:pic>
              </a:graphicData>
            </a:graphic>
          </wp:inline>
        </w:drawing>
      </w:r>
    </w:p>
    <w:p w14:paraId="766E30F4" w14:textId="2103E53F" w:rsidR="000F18B2" w:rsidRPr="000F18B2" w:rsidRDefault="00E019B5" w:rsidP="005134FB">
      <w:pPr>
        <w:pStyle w:val="Caption"/>
        <w:spacing w:before="120" w:after="60"/>
        <w:jc w:val="both"/>
      </w:pPr>
      <w:bookmarkStart w:id="58" w:name="_Ref54103289"/>
      <w:r>
        <w:t xml:space="preserve">Figure </w:t>
      </w:r>
      <w:r w:rsidR="00BF3F75">
        <w:fldChar w:fldCharType="begin"/>
      </w:r>
      <w:r w:rsidR="00BF3F75">
        <w:instrText xml:space="preserve"> SEQ Figure \* ARABIC </w:instrText>
      </w:r>
      <w:r w:rsidR="00BF3F75">
        <w:fldChar w:fldCharType="separate"/>
      </w:r>
      <w:r w:rsidR="00EC5CC7">
        <w:rPr>
          <w:noProof/>
        </w:rPr>
        <w:t>4</w:t>
      </w:r>
      <w:r w:rsidR="00BF3F75">
        <w:rPr>
          <w:noProof/>
        </w:rPr>
        <w:fldChar w:fldCharType="end"/>
      </w:r>
      <w:bookmarkEnd w:id="58"/>
      <w:r>
        <w:t xml:space="preserve">: </w:t>
      </w:r>
      <w:r w:rsidRPr="0082705D">
        <w:t>Results of smoking cessation f</w:t>
      </w:r>
      <w:r w:rsidR="00B930E5">
        <w:t>or</w:t>
      </w:r>
      <w:r w:rsidRPr="0082705D">
        <w:t xml:space="preserve"> at least six months follow-up in </w:t>
      </w:r>
      <w:r>
        <w:t>Howes</w:t>
      </w:r>
      <w:r w:rsidRPr="0082705D">
        <w:t xml:space="preserve"> et al. (20</w:t>
      </w:r>
      <w:r>
        <w:t>20</w:t>
      </w:r>
      <w:r w:rsidRPr="0082705D">
        <w:t xml:space="preserve">), varenicline versus </w:t>
      </w:r>
      <w:r>
        <w:t>bupropion</w:t>
      </w:r>
    </w:p>
    <w:p w14:paraId="5C4C4664" w14:textId="5D3304E5" w:rsidR="00E019B5" w:rsidRDefault="00E019B5" w:rsidP="005134FB">
      <w:pPr>
        <w:pStyle w:val="FigureFooter"/>
        <w:jc w:val="both"/>
      </w:pPr>
      <w:r>
        <w:t>Source: Howes et al. (2020)</w:t>
      </w:r>
    </w:p>
    <w:p w14:paraId="45AC5455" w14:textId="77777777" w:rsidR="002C14B9" w:rsidRDefault="00E019B5" w:rsidP="005134FB">
      <w:pPr>
        <w:pStyle w:val="FigureFooter"/>
        <w:jc w:val="both"/>
      </w:pPr>
      <w:r w:rsidRPr="00D041F9">
        <w:t>Abbreviations: CI = confidence interval</w:t>
      </w:r>
    </w:p>
    <w:p w14:paraId="19034618" w14:textId="373068A3" w:rsidR="00E019B5" w:rsidRPr="00D77C02" w:rsidRDefault="002C14B9" w:rsidP="005134FB">
      <w:pPr>
        <w:pStyle w:val="FigureFooter"/>
        <w:spacing w:after="120"/>
        <w:contextualSpacing w:val="0"/>
        <w:jc w:val="both"/>
      </w:pPr>
      <w:r w:rsidRPr="005C1B1D">
        <w:t>Note: Howes et al. (2020) presented this comparison as bupropion versus varenicline (inverse) using a fixed-effect model.</w:t>
      </w:r>
      <w:r w:rsidR="00477302" w:rsidRPr="005C1B1D">
        <w:t xml:space="preserve"> Re-calculated during the review for varenicline versus bupropion using a random-effect model.</w:t>
      </w:r>
      <w:r w:rsidR="00477302" w:rsidRPr="002C14B9">
        <w:t xml:space="preserve"> </w:t>
      </w:r>
    </w:p>
    <w:p w14:paraId="60CD8A47" w14:textId="02147288" w:rsidR="00491473" w:rsidRPr="0073597F" w:rsidRDefault="00491473" w:rsidP="005134FB">
      <w:pPr>
        <w:spacing w:before="120" w:after="120"/>
        <w:jc w:val="both"/>
        <w:rPr>
          <w:u w:val="single"/>
        </w:rPr>
      </w:pPr>
      <w:r w:rsidRPr="0073597F">
        <w:rPr>
          <w:u w:val="single"/>
        </w:rPr>
        <w:t>Safety</w:t>
      </w:r>
    </w:p>
    <w:p w14:paraId="1D63689D" w14:textId="1C138CCF" w:rsidR="007C18A0" w:rsidRPr="007C18A0" w:rsidRDefault="00491473" w:rsidP="005134FB">
      <w:pPr>
        <w:spacing w:after="120"/>
        <w:jc w:val="both"/>
      </w:pPr>
      <w:r w:rsidRPr="00491473">
        <w:t xml:space="preserve">A summary of key adverse events </w:t>
      </w:r>
      <w:r w:rsidR="002556D1">
        <w:t>comparing varenicline with bupropion</w:t>
      </w:r>
      <w:r w:rsidRPr="00491473">
        <w:t xml:space="preserve"> is presented in </w:t>
      </w:r>
      <w:r w:rsidR="00D978BC">
        <w:fldChar w:fldCharType="begin" w:fldLock="1"/>
      </w:r>
      <w:r w:rsidR="00D978BC">
        <w:instrText xml:space="preserve"> REF _Ref54105112 \h </w:instrText>
      </w:r>
      <w:r w:rsidR="00D978BC">
        <w:fldChar w:fldCharType="separate"/>
      </w:r>
      <w:r w:rsidR="00EC5CC7">
        <w:t xml:space="preserve">Table </w:t>
      </w:r>
      <w:r w:rsidR="00EC5CC7">
        <w:rPr>
          <w:noProof/>
        </w:rPr>
        <w:t>20</w:t>
      </w:r>
      <w:r w:rsidR="00D978BC">
        <w:fldChar w:fldCharType="end"/>
      </w:r>
      <w:r w:rsidRPr="00491473">
        <w:t xml:space="preserve">. Based on the meta-analysis conducted by </w:t>
      </w:r>
      <w:r w:rsidR="00D978BC">
        <w:t>Howes</w:t>
      </w:r>
      <w:r w:rsidRPr="00491473">
        <w:t xml:space="preserve"> et al. (20</w:t>
      </w:r>
      <w:r w:rsidR="00D978BC">
        <w:t>20</w:t>
      </w:r>
      <w:r w:rsidRPr="00491473">
        <w:t xml:space="preserve">), </w:t>
      </w:r>
      <w:r w:rsidR="00D978BC">
        <w:t>there</w:t>
      </w:r>
      <w:r w:rsidRPr="00491473">
        <w:t xml:space="preserve"> were no statistically significant differences between </w:t>
      </w:r>
      <w:r w:rsidR="00D978BC">
        <w:t>varenicline and bupropion</w:t>
      </w:r>
      <w:r w:rsidRPr="00491473">
        <w:t xml:space="preserve"> </w:t>
      </w:r>
      <w:r w:rsidR="007D13B7">
        <w:t xml:space="preserve">in terms of </w:t>
      </w:r>
      <w:r w:rsidR="00F12D2B">
        <w:t>any</w:t>
      </w:r>
      <w:r w:rsidRPr="00491473">
        <w:t xml:space="preserve"> adverse events</w:t>
      </w:r>
      <w:r w:rsidR="007D13B7">
        <w:t>, psychiatric adverse events</w:t>
      </w:r>
      <w:r w:rsidR="00F12D2B">
        <w:t xml:space="preserve">, </w:t>
      </w:r>
      <w:r w:rsidR="007D13B7">
        <w:t xml:space="preserve">serious adverse </w:t>
      </w:r>
      <w:r w:rsidR="004C4EA7">
        <w:t>events,</w:t>
      </w:r>
      <w:r w:rsidR="007D13B7">
        <w:t xml:space="preserve"> and discontinuation due to adverse events</w:t>
      </w:r>
      <w:r w:rsidRPr="00491473">
        <w:t>.</w:t>
      </w:r>
      <w:r w:rsidR="00DF2B1A" w:rsidRPr="00DF2B1A">
        <w:t xml:space="preserve"> The PBAC had previously considered that varenicline was </w:t>
      </w:r>
      <w:r w:rsidR="00DF2B1A">
        <w:t>non-</w:t>
      </w:r>
      <w:r w:rsidR="00DF2B1A" w:rsidRPr="00DF2B1A">
        <w:t xml:space="preserve">inferior to </w:t>
      </w:r>
      <w:r w:rsidR="00DF2B1A">
        <w:t>bupropion</w:t>
      </w:r>
      <w:r w:rsidR="00DF2B1A" w:rsidRPr="00DF2B1A">
        <w:t xml:space="preserve"> with regards to safety (</w:t>
      </w:r>
      <w:r w:rsidR="00DF2B1A" w:rsidRPr="002556D1">
        <w:t>Varenicline PSD, November 2016 PBAC meeting</w:t>
      </w:r>
      <w:r w:rsidR="00DF2B1A" w:rsidRPr="00DF2B1A">
        <w:t>).</w:t>
      </w:r>
    </w:p>
    <w:p w14:paraId="70AD12F8" w14:textId="6B4BED2F" w:rsidR="00D978BC" w:rsidRDefault="00D978BC" w:rsidP="005134FB">
      <w:pPr>
        <w:pStyle w:val="Caption"/>
        <w:keepNext/>
        <w:spacing w:before="0" w:after="120"/>
        <w:jc w:val="both"/>
      </w:pPr>
      <w:bookmarkStart w:id="59" w:name="_Ref54105112"/>
      <w:r>
        <w:t xml:space="preserve">Table </w:t>
      </w:r>
      <w:r>
        <w:fldChar w:fldCharType="begin"/>
      </w:r>
      <w:r>
        <w:instrText>SEQ Table \* ARABIC</w:instrText>
      </w:r>
      <w:r>
        <w:fldChar w:fldCharType="separate"/>
      </w:r>
      <w:r w:rsidR="00EC5CC7">
        <w:rPr>
          <w:noProof/>
        </w:rPr>
        <w:t>20</w:t>
      </w:r>
      <w:r>
        <w:fldChar w:fldCharType="end"/>
      </w:r>
      <w:bookmarkEnd w:id="59"/>
      <w:r>
        <w:t xml:space="preserve">: </w:t>
      </w:r>
      <w:r w:rsidRPr="006E6794">
        <w:t xml:space="preserve">Summary of key adverse events, varenicline versus </w:t>
      </w:r>
      <w:r>
        <w:t>bupropion</w:t>
      </w:r>
    </w:p>
    <w:tbl>
      <w:tblPr>
        <w:tblStyle w:val="TableGrid"/>
        <w:tblW w:w="5000" w:type="pct"/>
        <w:tblLayout w:type="fixed"/>
        <w:tblLook w:val="04A0" w:firstRow="1" w:lastRow="0" w:firstColumn="1" w:lastColumn="0" w:noHBand="0" w:noVBand="1"/>
        <w:tblCaption w:val="Efficacy results of adalimumab trials (PASI 75 and DLQI)"/>
      </w:tblPr>
      <w:tblGrid>
        <w:gridCol w:w="867"/>
        <w:gridCol w:w="1673"/>
        <w:gridCol w:w="1673"/>
        <w:gridCol w:w="1116"/>
        <w:gridCol w:w="1177"/>
        <w:gridCol w:w="1257"/>
        <w:gridCol w:w="1253"/>
      </w:tblGrid>
      <w:tr w:rsidR="00491473" w:rsidRPr="00061F78" w14:paraId="015C9F29" w14:textId="77777777" w:rsidTr="00B6509C">
        <w:trPr>
          <w:cantSplit/>
          <w:trHeight w:val="299"/>
          <w:tblHeader/>
        </w:trPr>
        <w:tc>
          <w:tcPr>
            <w:tcW w:w="480" w:type="pct"/>
            <w:shd w:val="clear" w:color="auto" w:fill="BFBFBF" w:themeFill="background1" w:themeFillShade="BF"/>
            <w:tcMar>
              <w:left w:w="28" w:type="dxa"/>
              <w:right w:w="28" w:type="dxa"/>
            </w:tcMar>
            <w:vAlign w:val="center"/>
          </w:tcPr>
          <w:p w14:paraId="630BB14A" w14:textId="515095D2" w:rsidR="00491473" w:rsidRPr="00061F78" w:rsidRDefault="00126B7B" w:rsidP="00B17D07">
            <w:pPr>
              <w:pStyle w:val="Tableheading"/>
              <w:rPr>
                <w:rFonts w:eastAsia="MS Mincho"/>
              </w:rPr>
            </w:pPr>
            <w:r>
              <w:rPr>
                <w:rFonts w:eastAsia="MS Mincho"/>
              </w:rPr>
              <w:t>Study</w:t>
            </w:r>
          </w:p>
        </w:tc>
        <w:tc>
          <w:tcPr>
            <w:tcW w:w="928" w:type="pct"/>
            <w:shd w:val="clear" w:color="auto" w:fill="BFBFBF" w:themeFill="background1" w:themeFillShade="BF"/>
            <w:vAlign w:val="center"/>
          </w:tcPr>
          <w:p w14:paraId="529D3DA5" w14:textId="77777777" w:rsidR="00491473" w:rsidRDefault="00491473" w:rsidP="00B17D07">
            <w:pPr>
              <w:pStyle w:val="Tableheading"/>
              <w:jc w:val="center"/>
              <w:rPr>
                <w:rFonts w:eastAsia="MS Mincho"/>
              </w:rPr>
            </w:pPr>
            <w:r>
              <w:rPr>
                <w:rFonts w:eastAsia="MS Mincho"/>
              </w:rPr>
              <w:t>Study type</w:t>
            </w:r>
          </w:p>
        </w:tc>
        <w:tc>
          <w:tcPr>
            <w:tcW w:w="928" w:type="pct"/>
            <w:shd w:val="clear" w:color="auto" w:fill="BFBFBF" w:themeFill="background1" w:themeFillShade="BF"/>
            <w:tcMar>
              <w:left w:w="28" w:type="dxa"/>
              <w:right w:w="28" w:type="dxa"/>
            </w:tcMar>
            <w:vAlign w:val="center"/>
          </w:tcPr>
          <w:p w14:paraId="7552D401" w14:textId="77777777" w:rsidR="00491473" w:rsidRPr="002D7608" w:rsidRDefault="00491473" w:rsidP="00B17D07">
            <w:pPr>
              <w:pStyle w:val="Tableheading"/>
              <w:jc w:val="center"/>
              <w:rPr>
                <w:rFonts w:eastAsia="MS Mincho"/>
                <w:vertAlign w:val="superscript"/>
              </w:rPr>
            </w:pPr>
            <w:r>
              <w:rPr>
                <w:rFonts w:eastAsia="MS Mincho"/>
              </w:rPr>
              <w:t>Previously considered studies included</w:t>
            </w:r>
            <w:r>
              <w:rPr>
                <w:rFonts w:eastAsia="MS Mincho"/>
                <w:vertAlign w:val="superscript"/>
              </w:rPr>
              <w:t>1</w:t>
            </w:r>
          </w:p>
        </w:tc>
        <w:tc>
          <w:tcPr>
            <w:tcW w:w="619" w:type="pct"/>
            <w:shd w:val="clear" w:color="auto" w:fill="BFBFBF" w:themeFill="background1" w:themeFillShade="BF"/>
            <w:tcMar>
              <w:left w:w="28" w:type="dxa"/>
              <w:right w:w="28" w:type="dxa"/>
            </w:tcMar>
            <w:vAlign w:val="center"/>
          </w:tcPr>
          <w:p w14:paraId="059C2E3E" w14:textId="59BAB5F8" w:rsidR="00491473" w:rsidRPr="00061F78" w:rsidRDefault="00B828EC" w:rsidP="00B17D07">
            <w:pPr>
              <w:pStyle w:val="Tableheading"/>
              <w:jc w:val="center"/>
              <w:rPr>
                <w:rFonts w:eastAsia="MS Mincho"/>
              </w:rPr>
            </w:pPr>
            <w:r>
              <w:rPr>
                <w:rFonts w:eastAsia="MS Mincho"/>
              </w:rPr>
              <w:t>Varenicline</w:t>
            </w:r>
          </w:p>
        </w:tc>
        <w:tc>
          <w:tcPr>
            <w:tcW w:w="653" w:type="pct"/>
            <w:shd w:val="clear" w:color="auto" w:fill="BFBFBF" w:themeFill="background1" w:themeFillShade="BF"/>
            <w:tcMar>
              <w:left w:w="28" w:type="dxa"/>
              <w:right w:w="28" w:type="dxa"/>
            </w:tcMar>
            <w:vAlign w:val="center"/>
          </w:tcPr>
          <w:p w14:paraId="53A6A803" w14:textId="2CDD4509" w:rsidR="00491473" w:rsidRPr="00061F78" w:rsidRDefault="00B828EC" w:rsidP="00B17D07">
            <w:pPr>
              <w:pStyle w:val="Tableheading"/>
              <w:jc w:val="center"/>
              <w:rPr>
                <w:rFonts w:eastAsia="MS Mincho"/>
              </w:rPr>
            </w:pPr>
            <w:r>
              <w:rPr>
                <w:rFonts w:eastAsia="MS Mincho"/>
              </w:rPr>
              <w:t>Bupropion</w:t>
            </w:r>
          </w:p>
        </w:tc>
        <w:tc>
          <w:tcPr>
            <w:tcW w:w="697" w:type="pct"/>
            <w:shd w:val="clear" w:color="auto" w:fill="BFBFBF" w:themeFill="background1" w:themeFillShade="BF"/>
            <w:tcMar>
              <w:left w:w="28" w:type="dxa"/>
              <w:right w:w="28" w:type="dxa"/>
            </w:tcMar>
            <w:vAlign w:val="center"/>
          </w:tcPr>
          <w:p w14:paraId="3B884A5D" w14:textId="147C3D72" w:rsidR="00491473" w:rsidRPr="00D468CF" w:rsidRDefault="00491473" w:rsidP="00B17D07">
            <w:pPr>
              <w:pStyle w:val="Tableheading"/>
              <w:jc w:val="center"/>
              <w:rPr>
                <w:rFonts w:eastAsia="MS Mincho"/>
                <w:vertAlign w:val="superscript"/>
              </w:rPr>
            </w:pPr>
            <w:r>
              <w:rPr>
                <w:rFonts w:eastAsia="MS Mincho"/>
              </w:rPr>
              <w:t>RR (95% CI)</w:t>
            </w:r>
          </w:p>
        </w:tc>
        <w:tc>
          <w:tcPr>
            <w:tcW w:w="695" w:type="pct"/>
            <w:shd w:val="clear" w:color="auto" w:fill="BFBFBF" w:themeFill="background1" w:themeFillShade="BF"/>
            <w:vAlign w:val="center"/>
          </w:tcPr>
          <w:p w14:paraId="7699B25D" w14:textId="77777777" w:rsidR="00491473" w:rsidRDefault="00491473" w:rsidP="00B17D07">
            <w:pPr>
              <w:pStyle w:val="Tableheading"/>
              <w:jc w:val="center"/>
              <w:rPr>
                <w:rFonts w:eastAsia="MS Mincho"/>
              </w:rPr>
            </w:pPr>
            <w:r>
              <w:rPr>
                <w:rFonts w:eastAsia="MS Mincho"/>
              </w:rPr>
              <w:t>RD (95% CI)</w:t>
            </w:r>
          </w:p>
        </w:tc>
      </w:tr>
      <w:tr w:rsidR="00491473" w:rsidRPr="00061F78" w14:paraId="52F6C7F9" w14:textId="77777777" w:rsidTr="003954C8">
        <w:trPr>
          <w:cantSplit/>
          <w:trHeight w:val="99"/>
        </w:trPr>
        <w:tc>
          <w:tcPr>
            <w:tcW w:w="5000" w:type="pct"/>
            <w:gridSpan w:val="7"/>
            <w:shd w:val="clear" w:color="auto" w:fill="auto"/>
            <w:tcMar>
              <w:left w:w="28" w:type="dxa"/>
              <w:right w:w="28" w:type="dxa"/>
            </w:tcMar>
            <w:vAlign w:val="center"/>
          </w:tcPr>
          <w:p w14:paraId="5952A7A8" w14:textId="77777777" w:rsidR="00491473" w:rsidRPr="003954C8" w:rsidRDefault="00491473" w:rsidP="00B17D07">
            <w:pPr>
              <w:pStyle w:val="Tablewriting"/>
              <w:rPr>
                <w:rFonts w:eastAsia="MS Mincho"/>
                <w:b/>
                <w:bCs/>
              </w:rPr>
            </w:pPr>
            <w:r w:rsidRPr="003954C8">
              <w:rPr>
                <w:rFonts w:eastAsia="MS Mincho"/>
                <w:b/>
                <w:bCs/>
              </w:rPr>
              <w:t>Adverse events</w:t>
            </w:r>
          </w:p>
        </w:tc>
      </w:tr>
      <w:tr w:rsidR="00491473" w:rsidRPr="00061F78" w14:paraId="2DC833A8" w14:textId="77777777" w:rsidTr="00491473">
        <w:trPr>
          <w:cantSplit/>
          <w:trHeight w:val="149"/>
        </w:trPr>
        <w:tc>
          <w:tcPr>
            <w:tcW w:w="480" w:type="pct"/>
            <w:tcMar>
              <w:left w:w="28" w:type="dxa"/>
              <w:right w:w="28" w:type="dxa"/>
            </w:tcMar>
          </w:tcPr>
          <w:p w14:paraId="60628EFF" w14:textId="77777777" w:rsidR="00491473" w:rsidRDefault="00491473" w:rsidP="00B17D07">
            <w:pPr>
              <w:pStyle w:val="Tablewriting"/>
              <w:rPr>
                <w:rFonts w:eastAsia="MS Mincho"/>
              </w:rPr>
            </w:pPr>
            <w:r>
              <w:rPr>
                <w:rFonts w:eastAsia="MS Mincho"/>
              </w:rPr>
              <w:t>Howes</w:t>
            </w:r>
            <w:r w:rsidRPr="00061F78">
              <w:rPr>
                <w:rFonts w:eastAsia="MS Mincho"/>
              </w:rPr>
              <w:t xml:space="preserve"> </w:t>
            </w:r>
          </w:p>
          <w:p w14:paraId="4014A9EC" w14:textId="31248739" w:rsidR="00491473" w:rsidRPr="00D468CF"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960A15">
              <w:rPr>
                <w:rFonts w:eastAsia="MS Mincho"/>
                <w:vertAlign w:val="superscript"/>
              </w:rPr>
              <w:t>2</w:t>
            </w:r>
          </w:p>
        </w:tc>
        <w:tc>
          <w:tcPr>
            <w:tcW w:w="928" w:type="pct"/>
            <w:vAlign w:val="center"/>
          </w:tcPr>
          <w:p w14:paraId="73C7A20A" w14:textId="6A278528" w:rsidR="00491473" w:rsidRDefault="00491473" w:rsidP="00B17D07">
            <w:pPr>
              <w:pStyle w:val="Tablewriting"/>
              <w:jc w:val="center"/>
              <w:rPr>
                <w:rFonts w:eastAsia="MS Mincho"/>
              </w:rPr>
            </w:pPr>
            <w:r>
              <w:rPr>
                <w:rFonts w:eastAsia="MS Mincho"/>
              </w:rPr>
              <w:t>Cochrane Review (</w:t>
            </w:r>
            <w:r w:rsidR="00B828EC">
              <w:rPr>
                <w:rFonts w:eastAsia="MS Mincho"/>
              </w:rPr>
              <w:t>5</w:t>
            </w:r>
            <w:r>
              <w:rPr>
                <w:rFonts w:eastAsia="MS Mincho"/>
              </w:rPr>
              <w:t xml:space="preserve"> RCTs)</w:t>
            </w:r>
          </w:p>
        </w:tc>
        <w:tc>
          <w:tcPr>
            <w:tcW w:w="928" w:type="pct"/>
            <w:tcMar>
              <w:left w:w="28" w:type="dxa"/>
              <w:right w:w="28" w:type="dxa"/>
            </w:tcMar>
            <w:vAlign w:val="center"/>
          </w:tcPr>
          <w:p w14:paraId="4CA05BA2" w14:textId="1EE36406" w:rsidR="00491473" w:rsidRPr="00061F78" w:rsidRDefault="00B828EC" w:rsidP="00B17D07">
            <w:pPr>
              <w:pStyle w:val="Tablewriting"/>
              <w:jc w:val="center"/>
              <w:rPr>
                <w:rFonts w:eastAsia="MS Mincho"/>
              </w:rPr>
            </w:pPr>
            <w:r>
              <w:rPr>
                <w:rFonts w:eastAsia="MS Mincho"/>
              </w:rPr>
              <w:t>Gonzales (2006) and EAGLES (2016)</w:t>
            </w:r>
          </w:p>
        </w:tc>
        <w:tc>
          <w:tcPr>
            <w:tcW w:w="619" w:type="pct"/>
            <w:tcMar>
              <w:left w:w="28" w:type="dxa"/>
              <w:right w:w="28" w:type="dxa"/>
            </w:tcMar>
            <w:vAlign w:val="center"/>
          </w:tcPr>
          <w:p w14:paraId="3EE83563" w14:textId="23C97872" w:rsidR="00491473" w:rsidRDefault="007261E0" w:rsidP="00B17D07">
            <w:pPr>
              <w:pStyle w:val="Tablewriting"/>
              <w:jc w:val="center"/>
              <w:rPr>
                <w:rFonts w:eastAsia="MS Mincho"/>
              </w:rPr>
            </w:pPr>
            <w:r>
              <w:rPr>
                <w:rFonts w:eastAsia="MS Mincho"/>
              </w:rPr>
              <w:t>2,335</w:t>
            </w:r>
            <w:r w:rsidR="00491473" w:rsidRPr="00061F78">
              <w:rPr>
                <w:rFonts w:eastAsia="MS Mincho"/>
              </w:rPr>
              <w:t>/</w:t>
            </w:r>
            <w:r>
              <w:rPr>
                <w:rFonts w:eastAsia="MS Mincho"/>
              </w:rPr>
              <w:t>3,062</w:t>
            </w:r>
            <w:r w:rsidR="00491473" w:rsidRPr="00061F78">
              <w:rPr>
                <w:rFonts w:eastAsia="MS Mincho"/>
              </w:rPr>
              <w:t xml:space="preserve"> </w:t>
            </w:r>
          </w:p>
          <w:p w14:paraId="6D54E124" w14:textId="530ACF30" w:rsidR="00491473" w:rsidRPr="00061F78" w:rsidRDefault="00491473" w:rsidP="00B17D07">
            <w:pPr>
              <w:pStyle w:val="Tablewriting"/>
              <w:jc w:val="center"/>
              <w:rPr>
                <w:rFonts w:eastAsia="MS Mincho"/>
              </w:rPr>
            </w:pPr>
            <w:r w:rsidRPr="00061F78">
              <w:rPr>
                <w:rFonts w:eastAsia="MS Mincho"/>
              </w:rPr>
              <w:t>(</w:t>
            </w:r>
            <w:r w:rsidR="00B6509C">
              <w:rPr>
                <w:rFonts w:eastAsia="MS Mincho"/>
              </w:rPr>
              <w:t>76.3</w:t>
            </w:r>
            <w:r w:rsidRPr="00061F78">
              <w:rPr>
                <w:rFonts w:eastAsia="MS Mincho"/>
              </w:rPr>
              <w:t>%)</w:t>
            </w:r>
          </w:p>
        </w:tc>
        <w:tc>
          <w:tcPr>
            <w:tcW w:w="653" w:type="pct"/>
            <w:tcMar>
              <w:left w:w="28" w:type="dxa"/>
              <w:right w:w="28" w:type="dxa"/>
            </w:tcMar>
            <w:vAlign w:val="center"/>
          </w:tcPr>
          <w:p w14:paraId="6C4E1B89" w14:textId="6FF60035" w:rsidR="00491473" w:rsidRDefault="007261E0" w:rsidP="00B17D07">
            <w:pPr>
              <w:pStyle w:val="Tablewriting"/>
              <w:jc w:val="center"/>
              <w:rPr>
                <w:rFonts w:eastAsia="MS Mincho"/>
              </w:rPr>
            </w:pPr>
            <w:r>
              <w:rPr>
                <w:rFonts w:eastAsia="MS Mincho"/>
              </w:rPr>
              <w:t>1,997</w:t>
            </w:r>
            <w:r w:rsidR="00491473" w:rsidRPr="00061F78">
              <w:rPr>
                <w:rFonts w:eastAsia="MS Mincho"/>
              </w:rPr>
              <w:t>/</w:t>
            </w:r>
            <w:r>
              <w:rPr>
                <w:rFonts w:eastAsia="MS Mincho"/>
              </w:rPr>
              <w:t>2,718</w:t>
            </w:r>
            <w:r w:rsidR="00491473" w:rsidRPr="00061F78">
              <w:rPr>
                <w:rFonts w:eastAsia="MS Mincho"/>
              </w:rPr>
              <w:t xml:space="preserve"> </w:t>
            </w:r>
          </w:p>
          <w:p w14:paraId="0B83418C" w14:textId="7184EF0F" w:rsidR="00491473" w:rsidRPr="00061F78" w:rsidRDefault="00491473" w:rsidP="00B17D07">
            <w:pPr>
              <w:pStyle w:val="Tablewriting"/>
              <w:jc w:val="center"/>
              <w:rPr>
                <w:rFonts w:eastAsia="MS Mincho"/>
              </w:rPr>
            </w:pPr>
            <w:r w:rsidRPr="00061F78">
              <w:rPr>
                <w:rFonts w:eastAsia="MS Mincho"/>
              </w:rPr>
              <w:t>(</w:t>
            </w:r>
            <w:r w:rsidR="00B6509C">
              <w:rPr>
                <w:rFonts w:eastAsia="MS Mincho"/>
              </w:rPr>
              <w:t>73.5</w:t>
            </w:r>
            <w:r w:rsidRPr="00061F78">
              <w:rPr>
                <w:rFonts w:eastAsia="MS Mincho"/>
              </w:rPr>
              <w:t>%)</w:t>
            </w:r>
          </w:p>
        </w:tc>
        <w:tc>
          <w:tcPr>
            <w:tcW w:w="697" w:type="pct"/>
            <w:tcMar>
              <w:left w:w="28" w:type="dxa"/>
              <w:right w:w="28" w:type="dxa"/>
            </w:tcMar>
            <w:vAlign w:val="center"/>
          </w:tcPr>
          <w:p w14:paraId="1F3F35E3" w14:textId="77777777" w:rsidR="00491473" w:rsidRDefault="00931FD8" w:rsidP="00B17D07">
            <w:pPr>
              <w:pStyle w:val="Tablewriting"/>
              <w:jc w:val="center"/>
              <w:rPr>
                <w:rFonts w:eastAsia="MS Mincho"/>
              </w:rPr>
            </w:pPr>
            <w:r>
              <w:rPr>
                <w:rFonts w:eastAsia="MS Mincho"/>
              </w:rPr>
              <w:t>1.03</w:t>
            </w:r>
          </w:p>
          <w:p w14:paraId="65493E84" w14:textId="27124E83" w:rsidR="00491473" w:rsidRPr="00061F78" w:rsidRDefault="00960A15" w:rsidP="00B17D07">
            <w:pPr>
              <w:pStyle w:val="Tablewriting"/>
              <w:jc w:val="center"/>
              <w:rPr>
                <w:rFonts w:eastAsia="MS Mincho"/>
              </w:rPr>
            </w:pPr>
            <w:r>
              <w:rPr>
                <w:rFonts w:eastAsia="MS Mincho"/>
              </w:rPr>
              <w:t>(1.00, 1.06)</w:t>
            </w:r>
          </w:p>
        </w:tc>
        <w:tc>
          <w:tcPr>
            <w:tcW w:w="695" w:type="pct"/>
            <w:vAlign w:val="center"/>
          </w:tcPr>
          <w:p w14:paraId="014B1230" w14:textId="77777777" w:rsidR="00491473" w:rsidRDefault="000250BB" w:rsidP="00B17D07">
            <w:pPr>
              <w:pStyle w:val="Tablewriting"/>
              <w:jc w:val="center"/>
              <w:rPr>
                <w:rFonts w:eastAsia="MS Mincho"/>
              </w:rPr>
            </w:pPr>
            <w:r>
              <w:rPr>
                <w:rFonts w:eastAsia="MS Mincho"/>
              </w:rPr>
              <w:t>0.02</w:t>
            </w:r>
          </w:p>
          <w:p w14:paraId="45F0465D" w14:textId="19CDA35C" w:rsidR="00491473" w:rsidRPr="00061F78" w:rsidRDefault="000250BB" w:rsidP="00B17D07">
            <w:pPr>
              <w:pStyle w:val="Tablewriting"/>
              <w:jc w:val="center"/>
              <w:rPr>
                <w:rFonts w:eastAsia="MS Mincho"/>
              </w:rPr>
            </w:pPr>
            <w:r>
              <w:rPr>
                <w:rFonts w:eastAsia="MS Mincho"/>
              </w:rPr>
              <w:t>(-0, 0.04)</w:t>
            </w:r>
          </w:p>
        </w:tc>
      </w:tr>
      <w:tr w:rsidR="00F12D2B" w:rsidRPr="00061F78" w14:paraId="37F3738E" w14:textId="77777777" w:rsidTr="003954C8">
        <w:trPr>
          <w:cantSplit/>
          <w:trHeight w:val="149"/>
        </w:trPr>
        <w:tc>
          <w:tcPr>
            <w:tcW w:w="5000" w:type="pct"/>
            <w:gridSpan w:val="7"/>
            <w:shd w:val="clear" w:color="auto" w:fill="auto"/>
            <w:tcMar>
              <w:left w:w="28" w:type="dxa"/>
              <w:right w:w="28" w:type="dxa"/>
            </w:tcMar>
          </w:tcPr>
          <w:p w14:paraId="435BE881" w14:textId="3F06D7FB" w:rsidR="00F12D2B" w:rsidRPr="003954C8" w:rsidRDefault="00F12D2B" w:rsidP="00B17D07">
            <w:pPr>
              <w:pStyle w:val="Tablewriting"/>
              <w:rPr>
                <w:rFonts w:eastAsia="MS Mincho"/>
                <w:b/>
                <w:bCs/>
              </w:rPr>
            </w:pPr>
            <w:r w:rsidRPr="003954C8">
              <w:rPr>
                <w:rFonts w:eastAsia="MS Mincho"/>
                <w:b/>
                <w:bCs/>
              </w:rPr>
              <w:t>Psychiatric adverse events</w:t>
            </w:r>
          </w:p>
        </w:tc>
      </w:tr>
      <w:tr w:rsidR="00F12D2B" w:rsidRPr="00061F78" w14:paraId="28EB26BB" w14:textId="77777777" w:rsidTr="00F12D2B">
        <w:trPr>
          <w:cantSplit/>
          <w:trHeight w:val="149"/>
        </w:trPr>
        <w:tc>
          <w:tcPr>
            <w:tcW w:w="480" w:type="pct"/>
            <w:tcMar>
              <w:left w:w="28" w:type="dxa"/>
              <w:right w:w="28" w:type="dxa"/>
            </w:tcMar>
          </w:tcPr>
          <w:p w14:paraId="409C9531" w14:textId="77777777" w:rsidR="00F12D2B" w:rsidRDefault="00F12D2B" w:rsidP="00B17D07">
            <w:pPr>
              <w:pStyle w:val="Tablewriting"/>
              <w:rPr>
                <w:rFonts w:eastAsia="MS Mincho"/>
              </w:rPr>
            </w:pPr>
            <w:r>
              <w:rPr>
                <w:rFonts w:eastAsia="MS Mincho"/>
              </w:rPr>
              <w:t>Howes</w:t>
            </w:r>
            <w:r w:rsidRPr="00061F78">
              <w:rPr>
                <w:rFonts w:eastAsia="MS Mincho"/>
              </w:rPr>
              <w:t xml:space="preserve"> </w:t>
            </w:r>
          </w:p>
          <w:p w14:paraId="11A4EE7F" w14:textId="29976C5A" w:rsidR="00F12D2B" w:rsidRDefault="00F12D2B" w:rsidP="00B17D07">
            <w:pPr>
              <w:pStyle w:val="Tablewriting"/>
              <w:rPr>
                <w:rFonts w:eastAsia="MS Mincho"/>
              </w:rPr>
            </w:pPr>
            <w:r w:rsidRPr="00061F78">
              <w:rPr>
                <w:rFonts w:eastAsia="MS Mincho"/>
              </w:rPr>
              <w:t>(20</w:t>
            </w:r>
            <w:r>
              <w:rPr>
                <w:rFonts w:eastAsia="MS Mincho"/>
              </w:rPr>
              <w:t>20</w:t>
            </w:r>
            <w:r w:rsidRPr="00061F78">
              <w:rPr>
                <w:rFonts w:eastAsia="MS Mincho"/>
              </w:rPr>
              <w:t>)</w:t>
            </w:r>
            <w:r w:rsidR="00960A15" w:rsidRPr="00960A15">
              <w:rPr>
                <w:rFonts w:eastAsia="MS Mincho"/>
                <w:vertAlign w:val="superscript"/>
              </w:rPr>
              <w:t>2</w:t>
            </w:r>
          </w:p>
        </w:tc>
        <w:tc>
          <w:tcPr>
            <w:tcW w:w="928" w:type="pct"/>
            <w:vAlign w:val="center"/>
          </w:tcPr>
          <w:p w14:paraId="7F5E44CA" w14:textId="6DE49B0B" w:rsidR="00F12D2B" w:rsidRDefault="00F12D2B" w:rsidP="00B17D07">
            <w:pPr>
              <w:pStyle w:val="Tablewriting"/>
              <w:jc w:val="center"/>
              <w:rPr>
                <w:rFonts w:eastAsia="MS Mincho"/>
              </w:rPr>
            </w:pPr>
            <w:r>
              <w:rPr>
                <w:rFonts w:eastAsia="MS Mincho"/>
              </w:rPr>
              <w:t>Cochrane Review (2 RCTs)</w:t>
            </w:r>
          </w:p>
        </w:tc>
        <w:tc>
          <w:tcPr>
            <w:tcW w:w="928" w:type="pct"/>
            <w:tcMar>
              <w:left w:w="28" w:type="dxa"/>
              <w:right w:w="28" w:type="dxa"/>
            </w:tcMar>
            <w:vAlign w:val="center"/>
          </w:tcPr>
          <w:p w14:paraId="5E820499" w14:textId="761CE72F" w:rsidR="00F12D2B" w:rsidRDefault="00F12D2B" w:rsidP="00B17D07">
            <w:pPr>
              <w:pStyle w:val="Tablewriting"/>
              <w:jc w:val="center"/>
              <w:rPr>
                <w:rFonts w:eastAsia="MS Mincho"/>
              </w:rPr>
            </w:pPr>
            <w:r>
              <w:rPr>
                <w:rFonts w:eastAsia="MS Mincho"/>
              </w:rPr>
              <w:t>EAGLES (2016)</w:t>
            </w:r>
          </w:p>
        </w:tc>
        <w:tc>
          <w:tcPr>
            <w:tcW w:w="619" w:type="pct"/>
            <w:tcMar>
              <w:left w:w="28" w:type="dxa"/>
              <w:right w:w="28" w:type="dxa"/>
            </w:tcMar>
            <w:vAlign w:val="center"/>
          </w:tcPr>
          <w:p w14:paraId="4DDDEF62" w14:textId="77777777" w:rsidR="00F12D2B" w:rsidRDefault="00F12D2B" w:rsidP="00B17D07">
            <w:pPr>
              <w:pStyle w:val="Tablewriting"/>
              <w:jc w:val="center"/>
              <w:rPr>
                <w:rFonts w:eastAsia="MS Mincho"/>
              </w:rPr>
            </w:pPr>
            <w:r>
              <w:rPr>
                <w:rFonts w:eastAsia="MS Mincho"/>
              </w:rPr>
              <w:t>724</w:t>
            </w:r>
            <w:r w:rsidRPr="00061F78">
              <w:rPr>
                <w:rFonts w:eastAsia="MS Mincho"/>
              </w:rPr>
              <w:t>/</w:t>
            </w:r>
            <w:r>
              <w:rPr>
                <w:rFonts w:eastAsia="MS Mincho"/>
              </w:rPr>
              <w:t>2,031</w:t>
            </w:r>
            <w:r w:rsidRPr="00061F78">
              <w:rPr>
                <w:rFonts w:eastAsia="MS Mincho"/>
              </w:rPr>
              <w:t xml:space="preserve"> </w:t>
            </w:r>
          </w:p>
          <w:p w14:paraId="3CF74E4E" w14:textId="316496A1" w:rsidR="00F12D2B" w:rsidRDefault="00F12D2B" w:rsidP="00B17D07">
            <w:pPr>
              <w:pStyle w:val="Tablewriting"/>
              <w:jc w:val="center"/>
              <w:rPr>
                <w:rFonts w:eastAsia="MS Mincho"/>
              </w:rPr>
            </w:pPr>
            <w:r w:rsidRPr="00061F78">
              <w:rPr>
                <w:rFonts w:eastAsia="MS Mincho"/>
              </w:rPr>
              <w:t>(</w:t>
            </w:r>
            <w:r w:rsidR="00E75FF1">
              <w:rPr>
                <w:rFonts w:eastAsia="MS Mincho"/>
              </w:rPr>
              <w:t>35.6</w:t>
            </w:r>
            <w:r w:rsidRPr="00061F78">
              <w:rPr>
                <w:rFonts w:eastAsia="MS Mincho"/>
              </w:rPr>
              <w:t>%)</w:t>
            </w:r>
          </w:p>
        </w:tc>
        <w:tc>
          <w:tcPr>
            <w:tcW w:w="653" w:type="pct"/>
            <w:tcMar>
              <w:left w:w="28" w:type="dxa"/>
              <w:right w:w="28" w:type="dxa"/>
            </w:tcMar>
            <w:vAlign w:val="center"/>
          </w:tcPr>
          <w:p w14:paraId="589B278C" w14:textId="77777777" w:rsidR="00F12D2B" w:rsidRDefault="00F12D2B" w:rsidP="00B17D07">
            <w:pPr>
              <w:pStyle w:val="Tablewriting"/>
              <w:jc w:val="center"/>
              <w:rPr>
                <w:rFonts w:eastAsia="MS Mincho"/>
              </w:rPr>
            </w:pPr>
            <w:r>
              <w:rPr>
                <w:rFonts w:eastAsia="MS Mincho"/>
              </w:rPr>
              <w:t>771</w:t>
            </w:r>
            <w:r w:rsidRPr="00061F78">
              <w:rPr>
                <w:rFonts w:eastAsia="MS Mincho"/>
              </w:rPr>
              <w:t>/</w:t>
            </w:r>
            <w:r>
              <w:rPr>
                <w:rFonts w:eastAsia="MS Mincho"/>
              </w:rPr>
              <w:t>2,020</w:t>
            </w:r>
            <w:r w:rsidRPr="00061F78">
              <w:rPr>
                <w:rFonts w:eastAsia="MS Mincho"/>
              </w:rPr>
              <w:t xml:space="preserve"> </w:t>
            </w:r>
          </w:p>
          <w:p w14:paraId="7683CF50" w14:textId="025D9C66" w:rsidR="00F12D2B" w:rsidRDefault="00F12D2B" w:rsidP="00B17D07">
            <w:pPr>
              <w:pStyle w:val="Tablewriting"/>
              <w:jc w:val="center"/>
              <w:rPr>
                <w:rFonts w:eastAsia="MS Mincho"/>
              </w:rPr>
            </w:pPr>
            <w:r w:rsidRPr="00061F78">
              <w:rPr>
                <w:rFonts w:eastAsia="MS Mincho"/>
              </w:rPr>
              <w:t>(</w:t>
            </w:r>
            <w:r w:rsidR="00E75FF1">
              <w:rPr>
                <w:rFonts w:eastAsia="MS Mincho"/>
              </w:rPr>
              <w:t>38.2</w:t>
            </w:r>
            <w:r w:rsidRPr="00061F78">
              <w:rPr>
                <w:rFonts w:eastAsia="MS Mincho"/>
              </w:rPr>
              <w:t>%)</w:t>
            </w:r>
          </w:p>
        </w:tc>
        <w:tc>
          <w:tcPr>
            <w:tcW w:w="697" w:type="pct"/>
            <w:tcMar>
              <w:left w:w="28" w:type="dxa"/>
              <w:right w:w="28" w:type="dxa"/>
            </w:tcMar>
            <w:vAlign w:val="center"/>
          </w:tcPr>
          <w:p w14:paraId="4975C142" w14:textId="77777777" w:rsidR="00F12D2B" w:rsidRDefault="00246A0B" w:rsidP="00B17D07">
            <w:pPr>
              <w:pStyle w:val="Tablewriting"/>
              <w:jc w:val="center"/>
              <w:rPr>
                <w:rFonts w:eastAsia="MS Mincho"/>
              </w:rPr>
            </w:pPr>
            <w:r>
              <w:rPr>
                <w:rFonts w:eastAsia="MS Mincho"/>
              </w:rPr>
              <w:t>0.93</w:t>
            </w:r>
          </w:p>
          <w:p w14:paraId="39B52D1E" w14:textId="55E34DB6" w:rsidR="00F12D2B" w:rsidRPr="007261E0" w:rsidRDefault="00246A0B" w:rsidP="00B17D07">
            <w:pPr>
              <w:pStyle w:val="Tablewriting"/>
              <w:jc w:val="center"/>
              <w:rPr>
                <w:rFonts w:eastAsia="MS Mincho"/>
              </w:rPr>
            </w:pPr>
            <w:r>
              <w:rPr>
                <w:rFonts w:eastAsia="MS Mincho"/>
              </w:rPr>
              <w:t>(0.86, 1.01)</w:t>
            </w:r>
          </w:p>
        </w:tc>
        <w:tc>
          <w:tcPr>
            <w:tcW w:w="695" w:type="pct"/>
            <w:vAlign w:val="center"/>
          </w:tcPr>
          <w:p w14:paraId="5F1844FF" w14:textId="77777777" w:rsidR="00F12D2B" w:rsidRDefault="005F10B3" w:rsidP="00B17D07">
            <w:pPr>
              <w:pStyle w:val="Tablewriting"/>
              <w:jc w:val="center"/>
              <w:rPr>
                <w:rFonts w:eastAsia="MS Mincho"/>
              </w:rPr>
            </w:pPr>
            <w:r>
              <w:rPr>
                <w:rFonts w:eastAsia="MS Mincho"/>
              </w:rPr>
              <w:t>-0.02</w:t>
            </w:r>
          </w:p>
          <w:p w14:paraId="7690B7E1" w14:textId="6FAAACCD" w:rsidR="00F12D2B" w:rsidRPr="00061F78" w:rsidRDefault="005F10B3" w:rsidP="00B17D07">
            <w:pPr>
              <w:pStyle w:val="Tablewriting"/>
              <w:jc w:val="center"/>
              <w:rPr>
                <w:rFonts w:eastAsia="MS Mincho"/>
              </w:rPr>
            </w:pPr>
            <w:r>
              <w:rPr>
                <w:rFonts w:eastAsia="MS Mincho"/>
              </w:rPr>
              <w:t>(-0.05, 0)</w:t>
            </w:r>
          </w:p>
        </w:tc>
      </w:tr>
      <w:tr w:rsidR="00491473" w:rsidRPr="00061F78" w14:paraId="64E56D4B" w14:textId="77777777" w:rsidTr="003954C8">
        <w:trPr>
          <w:cantSplit/>
          <w:trHeight w:val="149"/>
        </w:trPr>
        <w:tc>
          <w:tcPr>
            <w:tcW w:w="5000" w:type="pct"/>
            <w:gridSpan w:val="7"/>
            <w:shd w:val="clear" w:color="auto" w:fill="auto"/>
            <w:tcMar>
              <w:left w:w="28" w:type="dxa"/>
              <w:right w:w="28" w:type="dxa"/>
            </w:tcMar>
            <w:vAlign w:val="center"/>
          </w:tcPr>
          <w:p w14:paraId="74726DA6" w14:textId="77777777" w:rsidR="00491473" w:rsidRPr="003954C8" w:rsidRDefault="00491473" w:rsidP="00B17D07">
            <w:pPr>
              <w:pStyle w:val="Tablewriting"/>
              <w:rPr>
                <w:rFonts w:eastAsia="MS Mincho"/>
                <w:b/>
                <w:bCs/>
              </w:rPr>
            </w:pPr>
            <w:r w:rsidRPr="003954C8">
              <w:rPr>
                <w:rFonts w:eastAsia="MS Mincho"/>
                <w:b/>
                <w:bCs/>
              </w:rPr>
              <w:t>Serious adverse events</w:t>
            </w:r>
          </w:p>
        </w:tc>
      </w:tr>
      <w:tr w:rsidR="00491473" w:rsidRPr="00061F78" w14:paraId="2F813379" w14:textId="77777777" w:rsidTr="00491473">
        <w:trPr>
          <w:cantSplit/>
          <w:trHeight w:val="149"/>
        </w:trPr>
        <w:tc>
          <w:tcPr>
            <w:tcW w:w="480" w:type="pct"/>
            <w:tcMar>
              <w:left w:w="28" w:type="dxa"/>
              <w:right w:w="28" w:type="dxa"/>
            </w:tcMar>
          </w:tcPr>
          <w:p w14:paraId="509EB6FA" w14:textId="77777777" w:rsidR="00491473" w:rsidRDefault="00491473" w:rsidP="00B17D07">
            <w:pPr>
              <w:pStyle w:val="Tablewriting"/>
              <w:rPr>
                <w:rFonts w:eastAsia="MS Mincho"/>
              </w:rPr>
            </w:pPr>
            <w:r>
              <w:rPr>
                <w:rFonts w:eastAsia="MS Mincho"/>
              </w:rPr>
              <w:t>Howes</w:t>
            </w:r>
            <w:r w:rsidRPr="00061F78">
              <w:rPr>
                <w:rFonts w:eastAsia="MS Mincho"/>
              </w:rPr>
              <w:t xml:space="preserve"> </w:t>
            </w:r>
          </w:p>
          <w:p w14:paraId="73DE81C3" w14:textId="045AC72B" w:rsidR="00491473" w:rsidRPr="00960A15"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960A15">
              <w:rPr>
                <w:rFonts w:eastAsia="MS Mincho"/>
                <w:vertAlign w:val="superscript"/>
              </w:rPr>
              <w:t>2</w:t>
            </w:r>
          </w:p>
        </w:tc>
        <w:tc>
          <w:tcPr>
            <w:tcW w:w="928" w:type="pct"/>
            <w:vAlign w:val="center"/>
          </w:tcPr>
          <w:p w14:paraId="3A251A17" w14:textId="6EE7BFFC" w:rsidR="00491473" w:rsidRDefault="00491473" w:rsidP="00B17D07">
            <w:pPr>
              <w:pStyle w:val="Tablewriting"/>
              <w:jc w:val="center"/>
              <w:rPr>
                <w:rFonts w:eastAsia="MS Mincho"/>
              </w:rPr>
            </w:pPr>
            <w:r>
              <w:rPr>
                <w:rFonts w:eastAsia="MS Mincho"/>
              </w:rPr>
              <w:t>Cochrane Review (</w:t>
            </w:r>
            <w:r w:rsidR="007261E0">
              <w:rPr>
                <w:rFonts w:eastAsia="MS Mincho"/>
              </w:rPr>
              <w:t>4</w:t>
            </w:r>
            <w:r>
              <w:rPr>
                <w:rFonts w:eastAsia="MS Mincho"/>
              </w:rPr>
              <w:t xml:space="preserve"> RCTs)</w:t>
            </w:r>
          </w:p>
        </w:tc>
        <w:tc>
          <w:tcPr>
            <w:tcW w:w="928" w:type="pct"/>
            <w:tcMar>
              <w:left w:w="28" w:type="dxa"/>
              <w:right w:w="28" w:type="dxa"/>
            </w:tcMar>
            <w:vAlign w:val="center"/>
          </w:tcPr>
          <w:p w14:paraId="3C66AEC3" w14:textId="52042CEB" w:rsidR="00491473" w:rsidRDefault="007261E0" w:rsidP="00B17D07">
            <w:pPr>
              <w:pStyle w:val="Tablewriting"/>
              <w:jc w:val="center"/>
              <w:rPr>
                <w:rFonts w:eastAsia="MS Mincho"/>
              </w:rPr>
            </w:pPr>
            <w:r>
              <w:rPr>
                <w:rFonts w:eastAsia="MS Mincho"/>
              </w:rPr>
              <w:t>EAGLES (2016)</w:t>
            </w:r>
          </w:p>
        </w:tc>
        <w:tc>
          <w:tcPr>
            <w:tcW w:w="619" w:type="pct"/>
            <w:tcMar>
              <w:left w:w="28" w:type="dxa"/>
              <w:right w:w="28" w:type="dxa"/>
            </w:tcMar>
            <w:vAlign w:val="center"/>
          </w:tcPr>
          <w:p w14:paraId="4A4B307A" w14:textId="6F76E9FD" w:rsidR="00491473" w:rsidRDefault="007261E0" w:rsidP="00B17D07">
            <w:pPr>
              <w:pStyle w:val="Tablewriting"/>
              <w:jc w:val="center"/>
              <w:rPr>
                <w:rFonts w:eastAsia="MS Mincho"/>
              </w:rPr>
            </w:pPr>
            <w:r>
              <w:rPr>
                <w:rFonts w:eastAsia="MS Mincho"/>
              </w:rPr>
              <w:t>42</w:t>
            </w:r>
            <w:r w:rsidR="00491473" w:rsidRPr="00061F78">
              <w:rPr>
                <w:rFonts w:eastAsia="MS Mincho"/>
              </w:rPr>
              <w:t>/</w:t>
            </w:r>
            <w:r>
              <w:rPr>
                <w:rFonts w:eastAsia="MS Mincho"/>
              </w:rPr>
              <w:t>2,494</w:t>
            </w:r>
            <w:r w:rsidR="00491473" w:rsidRPr="00061F78">
              <w:rPr>
                <w:rFonts w:eastAsia="MS Mincho"/>
              </w:rPr>
              <w:t xml:space="preserve"> </w:t>
            </w:r>
          </w:p>
          <w:p w14:paraId="418F96A8" w14:textId="4D26B02E" w:rsidR="00491473" w:rsidRDefault="00491473" w:rsidP="00B17D07">
            <w:pPr>
              <w:pStyle w:val="Tablewriting"/>
              <w:jc w:val="center"/>
              <w:rPr>
                <w:rFonts w:eastAsia="MS Mincho"/>
              </w:rPr>
            </w:pPr>
            <w:r w:rsidRPr="00061F78">
              <w:rPr>
                <w:rFonts w:eastAsia="MS Mincho"/>
              </w:rPr>
              <w:t>(</w:t>
            </w:r>
            <w:r w:rsidR="00E75FF1">
              <w:rPr>
                <w:rFonts w:eastAsia="MS Mincho"/>
              </w:rPr>
              <w:t>1.7</w:t>
            </w:r>
            <w:r w:rsidRPr="00061F78">
              <w:rPr>
                <w:rFonts w:eastAsia="MS Mincho"/>
              </w:rPr>
              <w:t>%)</w:t>
            </w:r>
          </w:p>
        </w:tc>
        <w:tc>
          <w:tcPr>
            <w:tcW w:w="653" w:type="pct"/>
            <w:tcMar>
              <w:left w:w="28" w:type="dxa"/>
              <w:right w:w="28" w:type="dxa"/>
            </w:tcMar>
            <w:vAlign w:val="center"/>
          </w:tcPr>
          <w:p w14:paraId="3C9378CF" w14:textId="1E3D36AC" w:rsidR="00491473" w:rsidRDefault="007261E0" w:rsidP="00B17D07">
            <w:pPr>
              <w:pStyle w:val="Tablewriting"/>
              <w:jc w:val="center"/>
              <w:rPr>
                <w:rFonts w:eastAsia="MS Mincho"/>
              </w:rPr>
            </w:pPr>
            <w:r>
              <w:rPr>
                <w:rFonts w:eastAsia="MS Mincho"/>
              </w:rPr>
              <w:t>55</w:t>
            </w:r>
            <w:r w:rsidR="00491473" w:rsidRPr="00061F78">
              <w:rPr>
                <w:rFonts w:eastAsia="MS Mincho"/>
              </w:rPr>
              <w:t>/</w:t>
            </w:r>
            <w:r>
              <w:rPr>
                <w:rFonts w:eastAsia="MS Mincho"/>
              </w:rPr>
              <w:t>2,248</w:t>
            </w:r>
            <w:r w:rsidR="00491473" w:rsidRPr="00061F78">
              <w:rPr>
                <w:rFonts w:eastAsia="MS Mincho"/>
              </w:rPr>
              <w:t xml:space="preserve"> </w:t>
            </w:r>
          </w:p>
          <w:p w14:paraId="008E6582" w14:textId="7B434C33" w:rsidR="00491473" w:rsidRPr="00061F78" w:rsidRDefault="00491473" w:rsidP="00B17D07">
            <w:pPr>
              <w:pStyle w:val="Tablewriting"/>
              <w:jc w:val="center"/>
              <w:rPr>
                <w:rFonts w:eastAsia="MS Mincho"/>
              </w:rPr>
            </w:pPr>
            <w:r w:rsidRPr="00061F78">
              <w:rPr>
                <w:rFonts w:eastAsia="MS Mincho"/>
              </w:rPr>
              <w:t>(</w:t>
            </w:r>
            <w:r w:rsidR="00E75FF1">
              <w:rPr>
                <w:rFonts w:eastAsia="MS Mincho"/>
              </w:rPr>
              <w:t>2.4</w:t>
            </w:r>
            <w:r w:rsidRPr="00061F78">
              <w:rPr>
                <w:rFonts w:eastAsia="MS Mincho"/>
              </w:rPr>
              <w:t>%)</w:t>
            </w:r>
          </w:p>
        </w:tc>
        <w:tc>
          <w:tcPr>
            <w:tcW w:w="697" w:type="pct"/>
            <w:tcMar>
              <w:left w:w="28" w:type="dxa"/>
              <w:right w:w="28" w:type="dxa"/>
            </w:tcMar>
            <w:vAlign w:val="center"/>
          </w:tcPr>
          <w:p w14:paraId="6FCA1405" w14:textId="77777777" w:rsidR="00491473" w:rsidRDefault="00CF2731" w:rsidP="00B17D07">
            <w:pPr>
              <w:pStyle w:val="Tablewriting"/>
              <w:jc w:val="center"/>
              <w:rPr>
                <w:rFonts w:eastAsia="MS Mincho"/>
              </w:rPr>
            </w:pPr>
            <w:r>
              <w:rPr>
                <w:rFonts w:eastAsia="MS Mincho"/>
              </w:rPr>
              <w:t>0.73</w:t>
            </w:r>
          </w:p>
          <w:p w14:paraId="29AB9B50" w14:textId="11DD4279" w:rsidR="00491473" w:rsidRPr="00275BAC" w:rsidRDefault="00CF2731" w:rsidP="00B17D07">
            <w:pPr>
              <w:pStyle w:val="Tablewriting"/>
              <w:jc w:val="center"/>
              <w:rPr>
                <w:rFonts w:eastAsia="MS Mincho"/>
              </w:rPr>
            </w:pPr>
            <w:r>
              <w:rPr>
                <w:rFonts w:eastAsia="MS Mincho"/>
              </w:rPr>
              <w:t>(0.49, 1.08)</w:t>
            </w:r>
          </w:p>
        </w:tc>
        <w:tc>
          <w:tcPr>
            <w:tcW w:w="695" w:type="pct"/>
            <w:vAlign w:val="center"/>
          </w:tcPr>
          <w:p w14:paraId="76AEA5AF" w14:textId="77777777" w:rsidR="00491473" w:rsidRDefault="00CF2731" w:rsidP="00B17D07">
            <w:pPr>
              <w:pStyle w:val="Tablewriting"/>
              <w:jc w:val="center"/>
              <w:rPr>
                <w:rFonts w:eastAsia="MS Mincho"/>
              </w:rPr>
            </w:pPr>
            <w:r>
              <w:rPr>
                <w:rFonts w:eastAsia="MS Mincho"/>
              </w:rPr>
              <w:t>-0.01</w:t>
            </w:r>
          </w:p>
          <w:p w14:paraId="37721AF6" w14:textId="6C5BEBBB" w:rsidR="00491473" w:rsidRPr="00061F78" w:rsidRDefault="00CF2731" w:rsidP="00B17D07">
            <w:pPr>
              <w:pStyle w:val="Tablewriting"/>
              <w:jc w:val="center"/>
              <w:rPr>
                <w:rFonts w:eastAsia="MS Mincho"/>
              </w:rPr>
            </w:pPr>
            <w:r>
              <w:rPr>
                <w:rFonts w:eastAsia="MS Mincho"/>
              </w:rPr>
              <w:t>(-0.01, 0)</w:t>
            </w:r>
          </w:p>
        </w:tc>
      </w:tr>
      <w:tr w:rsidR="00491473" w:rsidRPr="00061F78" w14:paraId="44F3B504" w14:textId="77777777" w:rsidTr="003954C8">
        <w:trPr>
          <w:cantSplit/>
          <w:trHeight w:val="149"/>
        </w:trPr>
        <w:tc>
          <w:tcPr>
            <w:tcW w:w="5000" w:type="pct"/>
            <w:gridSpan w:val="7"/>
            <w:shd w:val="clear" w:color="auto" w:fill="auto"/>
            <w:tcMar>
              <w:left w:w="28" w:type="dxa"/>
              <w:right w:w="28" w:type="dxa"/>
            </w:tcMar>
          </w:tcPr>
          <w:p w14:paraId="4B9F9A6A" w14:textId="77777777" w:rsidR="00491473" w:rsidRPr="003954C8" w:rsidRDefault="00491473" w:rsidP="00B17D07">
            <w:pPr>
              <w:pStyle w:val="Tablewriting"/>
              <w:rPr>
                <w:rFonts w:eastAsia="MS Mincho"/>
                <w:b/>
                <w:bCs/>
              </w:rPr>
            </w:pPr>
            <w:r w:rsidRPr="003954C8">
              <w:rPr>
                <w:rFonts w:eastAsia="MS Mincho"/>
                <w:b/>
                <w:bCs/>
              </w:rPr>
              <w:t>Discontinuation due to adverse events</w:t>
            </w:r>
          </w:p>
        </w:tc>
      </w:tr>
      <w:tr w:rsidR="00491473" w:rsidRPr="00061F78" w14:paraId="2B102964" w14:textId="77777777" w:rsidTr="00491473">
        <w:trPr>
          <w:cantSplit/>
          <w:trHeight w:val="149"/>
        </w:trPr>
        <w:tc>
          <w:tcPr>
            <w:tcW w:w="480" w:type="pct"/>
            <w:tcMar>
              <w:left w:w="28" w:type="dxa"/>
              <w:right w:w="28" w:type="dxa"/>
            </w:tcMar>
          </w:tcPr>
          <w:p w14:paraId="5474327E" w14:textId="77777777" w:rsidR="00491473" w:rsidRDefault="00491473" w:rsidP="00B17D07">
            <w:pPr>
              <w:pStyle w:val="Tablewriting"/>
              <w:rPr>
                <w:rFonts w:eastAsia="MS Mincho"/>
              </w:rPr>
            </w:pPr>
            <w:r>
              <w:rPr>
                <w:rFonts w:eastAsia="MS Mincho"/>
              </w:rPr>
              <w:t>Howes</w:t>
            </w:r>
            <w:r w:rsidRPr="00061F78">
              <w:rPr>
                <w:rFonts w:eastAsia="MS Mincho"/>
              </w:rPr>
              <w:t xml:space="preserve"> </w:t>
            </w:r>
          </w:p>
          <w:p w14:paraId="08C1F607" w14:textId="5185C8FC" w:rsidR="00491473" w:rsidRPr="00B17D07" w:rsidRDefault="00491473" w:rsidP="00B17D07">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B17D07">
              <w:rPr>
                <w:rFonts w:eastAsia="MS Mincho"/>
                <w:vertAlign w:val="superscript"/>
              </w:rPr>
              <w:t>2</w:t>
            </w:r>
          </w:p>
        </w:tc>
        <w:tc>
          <w:tcPr>
            <w:tcW w:w="928" w:type="pct"/>
            <w:vAlign w:val="center"/>
          </w:tcPr>
          <w:p w14:paraId="14080D63" w14:textId="687418D9" w:rsidR="00491473" w:rsidRDefault="00491473" w:rsidP="00B17D07">
            <w:pPr>
              <w:pStyle w:val="Tablewriting"/>
              <w:jc w:val="center"/>
              <w:rPr>
                <w:rFonts w:eastAsia="MS Mincho"/>
              </w:rPr>
            </w:pPr>
            <w:r>
              <w:rPr>
                <w:rFonts w:eastAsia="MS Mincho"/>
              </w:rPr>
              <w:t>Cochrane Review (</w:t>
            </w:r>
            <w:r w:rsidR="007261E0">
              <w:rPr>
                <w:rFonts w:eastAsia="MS Mincho"/>
              </w:rPr>
              <w:t>6</w:t>
            </w:r>
            <w:r>
              <w:rPr>
                <w:rFonts w:eastAsia="MS Mincho"/>
              </w:rPr>
              <w:t xml:space="preserve"> RCTs)</w:t>
            </w:r>
          </w:p>
        </w:tc>
        <w:tc>
          <w:tcPr>
            <w:tcW w:w="928" w:type="pct"/>
            <w:tcMar>
              <w:left w:w="28" w:type="dxa"/>
              <w:right w:w="28" w:type="dxa"/>
            </w:tcMar>
            <w:vAlign w:val="center"/>
          </w:tcPr>
          <w:p w14:paraId="13F65434" w14:textId="03CD1E17" w:rsidR="00491473" w:rsidRDefault="007261E0" w:rsidP="00B17D07">
            <w:pPr>
              <w:pStyle w:val="Tablewriting"/>
              <w:jc w:val="center"/>
              <w:rPr>
                <w:rFonts w:eastAsia="MS Mincho"/>
              </w:rPr>
            </w:pPr>
            <w:r>
              <w:rPr>
                <w:rFonts w:eastAsia="MS Mincho"/>
              </w:rPr>
              <w:t xml:space="preserve">Gonzales (2006), Jorenby (2006) and </w:t>
            </w:r>
            <w:r w:rsidRPr="007261E0">
              <w:rPr>
                <w:rFonts w:eastAsia="MS Mincho"/>
              </w:rPr>
              <w:t>EAGLES (2016)</w:t>
            </w:r>
          </w:p>
        </w:tc>
        <w:tc>
          <w:tcPr>
            <w:tcW w:w="619" w:type="pct"/>
            <w:tcMar>
              <w:left w:w="28" w:type="dxa"/>
              <w:right w:w="28" w:type="dxa"/>
            </w:tcMar>
            <w:vAlign w:val="center"/>
          </w:tcPr>
          <w:p w14:paraId="6C08FC12" w14:textId="0447047E" w:rsidR="00491473" w:rsidRDefault="007261E0" w:rsidP="00B17D07">
            <w:pPr>
              <w:pStyle w:val="Tablewriting"/>
              <w:jc w:val="center"/>
              <w:rPr>
                <w:rFonts w:eastAsia="MS Mincho"/>
              </w:rPr>
            </w:pPr>
            <w:r>
              <w:rPr>
                <w:rFonts w:eastAsia="MS Mincho"/>
              </w:rPr>
              <w:t>328</w:t>
            </w:r>
            <w:r w:rsidR="00491473" w:rsidRPr="00061F78">
              <w:rPr>
                <w:rFonts w:eastAsia="MS Mincho"/>
              </w:rPr>
              <w:t>/</w:t>
            </w:r>
            <w:r>
              <w:rPr>
                <w:rFonts w:eastAsia="MS Mincho"/>
              </w:rPr>
              <w:t>3,186</w:t>
            </w:r>
            <w:r w:rsidR="00491473" w:rsidRPr="00061F78">
              <w:rPr>
                <w:rFonts w:eastAsia="MS Mincho"/>
              </w:rPr>
              <w:t xml:space="preserve"> </w:t>
            </w:r>
          </w:p>
          <w:p w14:paraId="2FBB2CAF" w14:textId="2C2E966D" w:rsidR="00491473" w:rsidRDefault="00491473" w:rsidP="00B17D07">
            <w:pPr>
              <w:pStyle w:val="Tablewriting"/>
              <w:jc w:val="center"/>
              <w:rPr>
                <w:rFonts w:eastAsia="MS Mincho"/>
              </w:rPr>
            </w:pPr>
            <w:r w:rsidRPr="00061F78">
              <w:rPr>
                <w:rFonts w:eastAsia="MS Mincho"/>
              </w:rPr>
              <w:t>(</w:t>
            </w:r>
            <w:r w:rsidR="00E75FF1">
              <w:rPr>
                <w:rFonts w:eastAsia="MS Mincho"/>
              </w:rPr>
              <w:t>10.3</w:t>
            </w:r>
            <w:r w:rsidRPr="00061F78">
              <w:rPr>
                <w:rFonts w:eastAsia="MS Mincho"/>
              </w:rPr>
              <w:t>%)</w:t>
            </w:r>
          </w:p>
        </w:tc>
        <w:tc>
          <w:tcPr>
            <w:tcW w:w="653" w:type="pct"/>
            <w:tcMar>
              <w:left w:w="28" w:type="dxa"/>
              <w:right w:w="28" w:type="dxa"/>
            </w:tcMar>
            <w:vAlign w:val="center"/>
          </w:tcPr>
          <w:p w14:paraId="3AAE1003" w14:textId="77674AA8" w:rsidR="00491473" w:rsidRDefault="007261E0" w:rsidP="00B17D07">
            <w:pPr>
              <w:pStyle w:val="Tablewriting"/>
              <w:jc w:val="center"/>
              <w:rPr>
                <w:rFonts w:eastAsia="MS Mincho"/>
              </w:rPr>
            </w:pPr>
            <w:r>
              <w:rPr>
                <w:rFonts w:eastAsia="MS Mincho"/>
              </w:rPr>
              <w:t>281</w:t>
            </w:r>
            <w:r w:rsidR="00491473" w:rsidRPr="00061F78">
              <w:rPr>
                <w:rFonts w:eastAsia="MS Mincho"/>
              </w:rPr>
              <w:t>/</w:t>
            </w:r>
            <w:r>
              <w:rPr>
                <w:rFonts w:eastAsia="MS Mincho"/>
              </w:rPr>
              <w:t>2,917</w:t>
            </w:r>
            <w:r w:rsidR="00491473" w:rsidRPr="00061F78">
              <w:rPr>
                <w:rFonts w:eastAsia="MS Mincho"/>
              </w:rPr>
              <w:t xml:space="preserve"> </w:t>
            </w:r>
          </w:p>
          <w:p w14:paraId="42A92625" w14:textId="2914FDB0" w:rsidR="00491473" w:rsidRPr="00061F78" w:rsidRDefault="00491473" w:rsidP="00B17D07">
            <w:pPr>
              <w:pStyle w:val="Tablewriting"/>
              <w:jc w:val="center"/>
              <w:rPr>
                <w:rFonts w:eastAsia="MS Mincho"/>
              </w:rPr>
            </w:pPr>
            <w:r w:rsidRPr="00061F78">
              <w:rPr>
                <w:rFonts w:eastAsia="MS Mincho"/>
              </w:rPr>
              <w:t>(</w:t>
            </w:r>
            <w:r w:rsidR="00E75FF1">
              <w:rPr>
                <w:rFonts w:eastAsia="MS Mincho"/>
              </w:rPr>
              <w:t>9.6</w:t>
            </w:r>
            <w:r w:rsidRPr="00061F78">
              <w:rPr>
                <w:rFonts w:eastAsia="MS Mincho"/>
              </w:rPr>
              <w:t>%)</w:t>
            </w:r>
          </w:p>
        </w:tc>
        <w:tc>
          <w:tcPr>
            <w:tcW w:w="697" w:type="pct"/>
            <w:tcMar>
              <w:left w:w="28" w:type="dxa"/>
              <w:right w:w="28" w:type="dxa"/>
            </w:tcMar>
            <w:vAlign w:val="center"/>
          </w:tcPr>
          <w:p w14:paraId="7D25C41D" w14:textId="77777777" w:rsidR="00491473" w:rsidRPr="003079B0" w:rsidRDefault="003079B0" w:rsidP="00B17D07">
            <w:pPr>
              <w:pStyle w:val="Tablewriting"/>
              <w:jc w:val="center"/>
              <w:rPr>
                <w:rFonts w:eastAsia="MS Mincho"/>
              </w:rPr>
            </w:pPr>
            <w:r w:rsidRPr="003079B0">
              <w:rPr>
                <w:rFonts w:eastAsia="MS Mincho"/>
              </w:rPr>
              <w:t>0.90</w:t>
            </w:r>
          </w:p>
          <w:p w14:paraId="3E5EDA4B" w14:textId="426585F4" w:rsidR="00491473" w:rsidRPr="00D468CF" w:rsidRDefault="003079B0" w:rsidP="00B17D07">
            <w:pPr>
              <w:pStyle w:val="Tablewriting"/>
              <w:jc w:val="center"/>
              <w:rPr>
                <w:rFonts w:eastAsia="MS Mincho"/>
                <w:b/>
                <w:bCs/>
              </w:rPr>
            </w:pPr>
            <w:r w:rsidRPr="003079B0">
              <w:rPr>
                <w:rFonts w:eastAsia="MS Mincho"/>
              </w:rPr>
              <w:t>(0.74, 1.09)</w:t>
            </w:r>
          </w:p>
        </w:tc>
        <w:tc>
          <w:tcPr>
            <w:tcW w:w="695" w:type="pct"/>
            <w:vAlign w:val="center"/>
          </w:tcPr>
          <w:p w14:paraId="6F1648A4" w14:textId="77777777" w:rsidR="00491473" w:rsidRDefault="003079B0" w:rsidP="00B17D07">
            <w:pPr>
              <w:pStyle w:val="Tablewriting"/>
              <w:jc w:val="center"/>
              <w:rPr>
                <w:rFonts w:eastAsia="MS Mincho"/>
              </w:rPr>
            </w:pPr>
            <w:r>
              <w:rPr>
                <w:rFonts w:eastAsia="MS Mincho"/>
              </w:rPr>
              <w:t>-0.01</w:t>
            </w:r>
          </w:p>
          <w:p w14:paraId="57E94530" w14:textId="7C65507F" w:rsidR="00491473" w:rsidRPr="00061F78" w:rsidRDefault="003079B0" w:rsidP="00B17D07">
            <w:pPr>
              <w:pStyle w:val="Tablewriting"/>
              <w:jc w:val="center"/>
              <w:rPr>
                <w:rFonts w:eastAsia="MS Mincho"/>
              </w:rPr>
            </w:pPr>
            <w:r>
              <w:rPr>
                <w:rFonts w:eastAsia="MS Mincho"/>
              </w:rPr>
              <w:t>(-0.03, 0.01)</w:t>
            </w:r>
          </w:p>
        </w:tc>
      </w:tr>
    </w:tbl>
    <w:p w14:paraId="0DA41BCE" w14:textId="3CEE69D2" w:rsidR="00D978BC" w:rsidRDefault="00D978BC" w:rsidP="005134FB">
      <w:pPr>
        <w:pStyle w:val="TableFooter"/>
        <w:jc w:val="both"/>
      </w:pPr>
      <w:r>
        <w:t>Source: Howes et al. (2020)</w:t>
      </w:r>
    </w:p>
    <w:p w14:paraId="6BCB72FE" w14:textId="77777777" w:rsidR="00D978BC" w:rsidRDefault="00D978BC" w:rsidP="005134FB">
      <w:pPr>
        <w:pStyle w:val="TableFooter"/>
        <w:jc w:val="both"/>
      </w:pPr>
      <w:r>
        <w:t>Abbreviations: CI = confidence interval; RCT = randomised controlled trial; RR = risk ratio</w:t>
      </w:r>
    </w:p>
    <w:p w14:paraId="72F5A308" w14:textId="07189104" w:rsidR="00D978BC" w:rsidRDefault="00D978BC" w:rsidP="005134FB">
      <w:pPr>
        <w:pStyle w:val="TableFooter"/>
        <w:jc w:val="both"/>
      </w:pPr>
      <w:r w:rsidRPr="00FD4061">
        <w:t>Note</w:t>
      </w:r>
      <w:r>
        <w:t>s</w:t>
      </w:r>
      <w:r w:rsidRPr="00FD4061">
        <w:t>: Bold indicates statistically significant difference.</w:t>
      </w:r>
      <w:r w:rsidRPr="00A038AD">
        <w:t xml:space="preserve"> </w:t>
      </w:r>
      <w:r>
        <w:t xml:space="preserve">See </w:t>
      </w:r>
      <w:r w:rsidRPr="00804A52">
        <w:t>Appendix</w:t>
      </w:r>
      <w:r w:rsidR="003F398E">
        <w:t xml:space="preserve"> </w:t>
      </w:r>
      <w:r w:rsidR="003F398E" w:rsidRPr="003F398E">
        <w:fldChar w:fldCharType="begin" w:fldLock="1"/>
      </w:r>
      <w:r w:rsidR="003F398E" w:rsidRPr="003F398E">
        <w:instrText xml:space="preserve"> REF _Ref54105920 \h </w:instrText>
      </w:r>
      <w:r w:rsidR="003F398E">
        <w:instrText xml:space="preserve"> \* MERGEFORMAT </w:instrText>
      </w:r>
      <w:r w:rsidR="003F398E" w:rsidRPr="003F398E">
        <w:fldChar w:fldCharType="separate"/>
      </w:r>
      <w:r w:rsidR="00EC5CC7">
        <w:t xml:space="preserve">Figure </w:t>
      </w:r>
      <w:r w:rsidR="00EC5CC7">
        <w:rPr>
          <w:noProof/>
        </w:rPr>
        <w:t>65</w:t>
      </w:r>
      <w:r w:rsidR="003F398E" w:rsidRPr="003F398E">
        <w:fldChar w:fldCharType="end"/>
      </w:r>
      <w:r w:rsidR="003F398E" w:rsidRPr="003F398E">
        <w:t xml:space="preserve"> to </w:t>
      </w:r>
      <w:r w:rsidR="003F398E" w:rsidRPr="003F398E">
        <w:fldChar w:fldCharType="begin" w:fldLock="1"/>
      </w:r>
      <w:r w:rsidR="003F398E" w:rsidRPr="003F398E">
        <w:instrText xml:space="preserve"> REF _Ref54105921 \h </w:instrText>
      </w:r>
      <w:r w:rsidR="003F398E">
        <w:instrText xml:space="preserve"> \* MERGEFORMAT </w:instrText>
      </w:r>
      <w:r w:rsidR="003F398E" w:rsidRPr="003F398E">
        <w:fldChar w:fldCharType="separate"/>
      </w:r>
      <w:r w:rsidR="00EC5CC7">
        <w:t xml:space="preserve">Figure </w:t>
      </w:r>
      <w:r w:rsidR="00EC5CC7">
        <w:rPr>
          <w:noProof/>
        </w:rPr>
        <w:t>68</w:t>
      </w:r>
      <w:r w:rsidR="003F398E" w:rsidRPr="003F398E">
        <w:fldChar w:fldCharType="end"/>
      </w:r>
      <w:r>
        <w:t xml:space="preserve"> for forest plots </w:t>
      </w:r>
      <w:r w:rsidR="0047538B" w:rsidRPr="0047538B">
        <w:t>of the respective outcomes which included the results of individual studies.</w:t>
      </w:r>
    </w:p>
    <w:p w14:paraId="547C51D5" w14:textId="27B0A23C" w:rsidR="00D978BC" w:rsidRDefault="00D978BC" w:rsidP="005134FB">
      <w:pPr>
        <w:pStyle w:val="TableFooter"/>
        <w:jc w:val="both"/>
      </w:pPr>
      <w:r>
        <w:t>1 Where previously considered studies were not included, this was due to the outcome not being reported</w:t>
      </w:r>
      <w:r w:rsidR="00AB5FA3">
        <w:t>.</w:t>
      </w:r>
    </w:p>
    <w:p w14:paraId="405C2FD2" w14:textId="538C0D8E" w:rsidR="00D978BC" w:rsidRDefault="00D978BC" w:rsidP="005134FB">
      <w:pPr>
        <w:pStyle w:val="TableFooter"/>
        <w:jc w:val="both"/>
      </w:pPr>
      <w:r w:rsidRPr="00804A52">
        <w:t xml:space="preserve">2 </w:t>
      </w:r>
      <w:r w:rsidR="00B17D07" w:rsidRPr="00804A52">
        <w:t>Howes et al. (2020) presented this comparison as bupropion versus varenicline (inverse) using a fixed-effect model.</w:t>
      </w:r>
      <w:r w:rsidR="00960A15" w:rsidRPr="00804A52">
        <w:t xml:space="preserve"> Re-calculated during the review for varenicline versus bupropion using a random-effect model.</w:t>
      </w:r>
    </w:p>
    <w:p w14:paraId="3EF0D555" w14:textId="2FD17940" w:rsidR="005A0440" w:rsidRDefault="005A0440" w:rsidP="005134FB">
      <w:pPr>
        <w:spacing w:after="120"/>
        <w:jc w:val="both"/>
      </w:pPr>
      <w:r w:rsidRPr="005A0440">
        <w:lastRenderedPageBreak/>
        <w:t xml:space="preserve">In a recently conducted study (EAGLES extension) comparing the relative cardiovascular safety risk of smoking cessation treatments using a placebo comparator, no significant treatment differences were observed in time to cardiovascular events, blood pressure, or heart rate between </w:t>
      </w:r>
      <w:r w:rsidR="0068673E">
        <w:t xml:space="preserve">varenicline and </w:t>
      </w:r>
      <w:r w:rsidRPr="005A0440">
        <w:t>bupropion (Benowitz et al. 2018).</w:t>
      </w:r>
    </w:p>
    <w:p w14:paraId="7749D64F" w14:textId="414576FD" w:rsidR="00F238A2" w:rsidRDefault="00F238A2" w:rsidP="005134FB">
      <w:pPr>
        <w:pStyle w:val="Heading5"/>
        <w:numPr>
          <w:ilvl w:val="0"/>
          <w:numId w:val="0"/>
        </w:numPr>
        <w:spacing w:after="120"/>
        <w:jc w:val="both"/>
      </w:pPr>
      <w:r>
        <w:t>N</w:t>
      </w:r>
      <w:r w:rsidR="000A4217">
        <w:t>icotine replacement therapy</w:t>
      </w:r>
    </w:p>
    <w:p w14:paraId="428231A2" w14:textId="616533E4" w:rsidR="00926A3F" w:rsidRDefault="008E38BA" w:rsidP="005134FB">
      <w:pPr>
        <w:spacing w:after="120"/>
        <w:jc w:val="both"/>
      </w:pPr>
      <w:r w:rsidRPr="00AA60CD">
        <w:t>N</w:t>
      </w:r>
      <w:r w:rsidR="00A46C68" w:rsidRPr="00AA60CD">
        <w:t>RT</w:t>
      </w:r>
      <w:r w:rsidR="00BC475B" w:rsidRPr="00AA60CD">
        <w:t xml:space="preserve"> </w:t>
      </w:r>
      <w:r w:rsidR="00573F59" w:rsidRPr="00AA60CD">
        <w:t>patches</w:t>
      </w:r>
      <w:r w:rsidR="0043065C" w:rsidRPr="00AA60CD">
        <w:t xml:space="preserve"> </w:t>
      </w:r>
      <w:r w:rsidR="00CF0171" w:rsidRPr="00AA60CD">
        <w:t xml:space="preserve">15 mg per 16 hours </w:t>
      </w:r>
      <w:r w:rsidR="00BC475B" w:rsidRPr="00AA60CD">
        <w:t>w</w:t>
      </w:r>
      <w:r w:rsidR="00573F59" w:rsidRPr="00AA60CD">
        <w:t>ere</w:t>
      </w:r>
      <w:r w:rsidR="00BC475B" w:rsidRPr="00AA60CD">
        <w:t xml:space="preserve"> recommended for listing</w:t>
      </w:r>
      <w:r w:rsidR="00EE5F19" w:rsidRPr="00AA60CD">
        <w:t xml:space="preserve"> on the PBS</w:t>
      </w:r>
      <w:r w:rsidR="00BC475B" w:rsidRPr="00AA60CD">
        <w:t xml:space="preserve"> in </w:t>
      </w:r>
      <w:r w:rsidR="00C729D6" w:rsidRPr="00AA60CD">
        <w:t>March 2008</w:t>
      </w:r>
      <w:r w:rsidR="00503602" w:rsidRPr="00AA60CD">
        <w:t xml:space="preserve"> for the Aboriginal and Torres Strait Islander population</w:t>
      </w:r>
      <w:r w:rsidR="00BC475B" w:rsidRPr="00AA60CD">
        <w:t xml:space="preserve"> </w:t>
      </w:r>
      <w:r w:rsidR="00341FBD" w:rsidRPr="007B466C">
        <w:rPr>
          <w:color w:val="000000"/>
          <w:w w:val="55"/>
          <w:shd w:val="solid" w:color="000000" w:fill="000000"/>
          <w:fitText w:val="3845" w:id="-1402781440"/>
          <w14:textFill>
            <w14:solidFill>
              <w14:srgbClr w14:val="000000">
                <w14:alpha w14:val="100000"/>
              </w14:srgbClr>
            </w14:solidFill>
          </w14:textFill>
        </w:rPr>
        <w:t>|||||||||||||||||||||||||||||||  ||||||||||||||||||||||||||||||</w:t>
      </w:r>
      <w:r w:rsidR="00341FBD" w:rsidRPr="007B466C">
        <w:rPr>
          <w:color w:val="000000"/>
          <w:spacing w:val="21"/>
          <w:w w:val="55"/>
          <w:shd w:val="solid" w:color="000000" w:fill="000000"/>
          <w:fitText w:val="3845" w:id="-1402781440"/>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spacing w:val="1"/>
          <w:w w:val="54"/>
          <w:shd w:val="solid" w:color="000000" w:fill="000000"/>
          <w:fitText w:val="8885" w:id="-1402781439"/>
          <w14:textFill>
            <w14:solidFill>
              <w14:srgbClr w14:val="000000">
                <w14:alpha w14:val="100000"/>
              </w14:srgbClr>
            </w14:solidFill>
          </w14:textFill>
        </w:rPr>
        <w:t>|||||||||||||||||||||||||||||||||||||||||||||||||||||||||||||||||||||||||  ||||||||||||||||||||||||||||||||||||||||||||||||||||||||||||||||||||||||</w:t>
      </w:r>
      <w:r w:rsidR="00341FBD" w:rsidRPr="007B466C">
        <w:rPr>
          <w:color w:val="000000"/>
          <w:spacing w:val="-29"/>
          <w:w w:val="54"/>
          <w:shd w:val="solid" w:color="000000" w:fill="000000"/>
          <w:fitText w:val="8885" w:id="-1402781439"/>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spacing w:val="1"/>
          <w:w w:val="54"/>
          <w:shd w:val="solid" w:color="000000" w:fill="000000"/>
          <w:fitText w:val="8885" w:id="-1402781438"/>
          <w14:textFill>
            <w14:solidFill>
              <w14:srgbClr w14:val="000000">
                <w14:alpha w14:val="100000"/>
              </w14:srgbClr>
            </w14:solidFill>
          </w14:textFill>
        </w:rPr>
        <w:t>|||||||||||||||||||||||||||||||||||||||||||||||||||||||||||||||||||||||||  ||||||||||||||||||||||||||||||||||||||||||||||||||||||||||||||||||||||||</w:t>
      </w:r>
      <w:r w:rsidR="00341FBD" w:rsidRPr="007B466C">
        <w:rPr>
          <w:color w:val="000000"/>
          <w:spacing w:val="-29"/>
          <w:w w:val="54"/>
          <w:shd w:val="solid" w:color="000000" w:fill="000000"/>
          <w:fitText w:val="8885" w:id="-1402781438"/>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spacing w:val="1"/>
          <w:w w:val="54"/>
          <w:shd w:val="solid" w:color="000000" w:fill="000000"/>
          <w:fitText w:val="8885" w:id="-1402781437"/>
          <w14:textFill>
            <w14:solidFill>
              <w14:srgbClr w14:val="000000">
                <w14:alpha w14:val="100000"/>
              </w14:srgbClr>
            </w14:solidFill>
          </w14:textFill>
        </w:rPr>
        <w:t>|||||||||||||||||||||||||||||||||||||||||||||||||||||||||||||||||||||||||  ||||||||||||||||||||||||||||||||||||||||||||||||||||||||||||||||||||||||</w:t>
      </w:r>
      <w:r w:rsidR="00341FBD" w:rsidRPr="007B466C">
        <w:rPr>
          <w:color w:val="000000"/>
          <w:spacing w:val="-29"/>
          <w:w w:val="54"/>
          <w:shd w:val="solid" w:color="000000" w:fill="000000"/>
          <w:fitText w:val="8885" w:id="-1402781437"/>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w w:val="54"/>
          <w:shd w:val="solid" w:color="000000" w:fill="000000"/>
          <w:fitText w:val="8921" w:id="-1402781436"/>
          <w14:textFill>
            <w14:solidFill>
              <w14:srgbClr w14:val="000000">
                <w14:alpha w14:val="100000"/>
              </w14:srgbClr>
            </w14:solidFill>
          </w14:textFill>
        </w:rPr>
        <w:t>||||||||||||||||||||||||||||||||||||||||||||||||||||||||||||||||||||||||||  |||||||||||||||||||||||||||||||||||||||||||||||||||||||||||||||||||||||||</w:t>
      </w:r>
      <w:r w:rsidR="00341FBD" w:rsidRPr="007B466C">
        <w:rPr>
          <w:color w:val="000000"/>
          <w:spacing w:val="34"/>
          <w:w w:val="54"/>
          <w:shd w:val="solid" w:color="000000" w:fill="000000"/>
          <w:fitText w:val="8921" w:id="-1402781436"/>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w w:val="54"/>
          <w:shd w:val="solid" w:color="000000" w:fill="000000"/>
          <w:fitText w:val="8894" w:id="-1402781435"/>
          <w14:textFill>
            <w14:solidFill>
              <w14:srgbClr w14:val="000000">
                <w14:alpha w14:val="100000"/>
              </w14:srgbClr>
            </w14:solidFill>
          </w14:textFill>
        </w:rPr>
        <w:t>|||||||||||||||||||||||||||||||||||||||||||||||||||||||||||||||||||||||||  ||||||||||||||||||||||||||||||||||||||||||||||||||||||||||||||||||||||||</w:t>
      </w:r>
      <w:r w:rsidR="00341FBD" w:rsidRPr="007B466C">
        <w:rPr>
          <w:color w:val="000000"/>
          <w:spacing w:val="126"/>
          <w:w w:val="54"/>
          <w:shd w:val="solid" w:color="000000" w:fill="000000"/>
          <w:fitText w:val="8894" w:id="-1402781435"/>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spacing w:val="1"/>
          <w:w w:val="54"/>
          <w:shd w:val="solid" w:color="000000" w:fill="000000"/>
          <w:fitText w:val="8885" w:id="-1402781434"/>
          <w14:textFill>
            <w14:solidFill>
              <w14:srgbClr w14:val="000000">
                <w14:alpha w14:val="100000"/>
              </w14:srgbClr>
            </w14:solidFill>
          </w14:textFill>
        </w:rPr>
        <w:t>|||||||||||||||||||||||||||||||||||||||||||||||||||||||||||||||||||||||||  ||||||||||||||||||||||||||||||||||||||||||||||||||||||||||||||||||||||||</w:t>
      </w:r>
      <w:r w:rsidR="00341FBD" w:rsidRPr="007B466C">
        <w:rPr>
          <w:color w:val="000000"/>
          <w:spacing w:val="-29"/>
          <w:w w:val="54"/>
          <w:shd w:val="solid" w:color="000000" w:fill="000000"/>
          <w:fitText w:val="8885" w:id="-1402781434"/>
          <w14:textFill>
            <w14:solidFill>
              <w14:srgbClr w14:val="000000">
                <w14:alpha w14:val="100000"/>
              </w14:srgbClr>
            </w14:solidFill>
          </w14:textFill>
        </w:rPr>
        <w:t>|</w:t>
      </w:r>
      <w:r w:rsidR="00341FBD">
        <w:rPr>
          <w:highlight w:val="red"/>
          <w:shd w:val="clear" w:color="auto" w:fill="C0C0C1"/>
        </w:rPr>
        <w:t xml:space="preserve"> </w:t>
      </w:r>
      <w:r w:rsidR="00341FBD" w:rsidRPr="007B466C">
        <w:rPr>
          <w:color w:val="000000"/>
          <w:w w:val="54"/>
          <w:shd w:val="solid" w:color="000000" w:fill="000000"/>
          <w:fitText w:val="6851" w:id="-1402781433"/>
          <w14:textFill>
            <w14:solidFill>
              <w14:srgbClr w14:val="000000">
                <w14:alpha w14:val="100000"/>
              </w14:srgbClr>
            </w14:solidFill>
          </w14:textFill>
        </w:rPr>
        <w:t>||||||||||||||||||||||||||||||||||||||||||||||||||||||||  |||||||||||||||||||||||||||||||||||||||||||||||||||||||</w:t>
      </w:r>
      <w:r w:rsidR="00341FBD" w:rsidRPr="007B466C">
        <w:rPr>
          <w:color w:val="000000"/>
          <w:spacing w:val="111"/>
          <w:w w:val="54"/>
          <w:shd w:val="solid" w:color="000000" w:fill="000000"/>
          <w:fitText w:val="6851" w:id="-1402781433"/>
          <w14:textFill>
            <w14:solidFill>
              <w14:srgbClr w14:val="000000">
                <w14:alpha w14:val="100000"/>
              </w14:srgbClr>
            </w14:solidFill>
          </w14:textFill>
        </w:rPr>
        <w:t>|</w:t>
      </w:r>
      <w:r w:rsidR="00B951FA">
        <w:t>The listing allowed</w:t>
      </w:r>
      <w:r w:rsidR="007A5D41" w:rsidRPr="007A5D41">
        <w:t xml:space="preserve"> Aboriginal and Torres Strait Islander</w:t>
      </w:r>
      <w:r w:rsidR="00B951FA">
        <w:t xml:space="preserve"> for</w:t>
      </w:r>
      <w:r w:rsidR="001E3DD6">
        <w:t xml:space="preserve"> a maximum of</w:t>
      </w:r>
      <w:r w:rsidR="00B951FA">
        <w:t xml:space="preserve"> </w:t>
      </w:r>
      <w:r w:rsidR="001E3DD6">
        <w:t>two courses</w:t>
      </w:r>
      <w:r w:rsidR="00F40DED">
        <w:t xml:space="preserve"> of PBS-subsidised NRT </w:t>
      </w:r>
      <w:r w:rsidR="00D27697">
        <w:t>per year.</w:t>
      </w:r>
    </w:p>
    <w:p w14:paraId="05F31C20" w14:textId="56CF0794" w:rsidR="004B0CC6" w:rsidRPr="004B0CC6" w:rsidRDefault="004B0CC6" w:rsidP="005134FB">
      <w:pPr>
        <w:spacing w:after="120"/>
        <w:jc w:val="both"/>
        <w:rPr>
          <w:u w:val="single"/>
        </w:rPr>
      </w:pPr>
      <w:r w:rsidRPr="004B0CC6">
        <w:rPr>
          <w:u w:val="single"/>
        </w:rPr>
        <w:t>General population</w:t>
      </w:r>
    </w:p>
    <w:p w14:paraId="0C3DDB36" w14:textId="22313D8B" w:rsidR="002717E9" w:rsidRDefault="000957A6" w:rsidP="005134FB">
      <w:pPr>
        <w:spacing w:after="120"/>
        <w:jc w:val="both"/>
      </w:pPr>
      <w:r>
        <w:t xml:space="preserve">In March 2010, the PBAC </w:t>
      </w:r>
      <w:r w:rsidR="002717E9">
        <w:t>recommended</w:t>
      </w:r>
      <w:r>
        <w:t xml:space="preserve"> </w:t>
      </w:r>
      <w:r w:rsidR="00876316">
        <w:t>the</w:t>
      </w:r>
      <w:r>
        <w:t xml:space="preserve"> </w:t>
      </w:r>
      <w:r w:rsidR="00876316" w:rsidRPr="00876316">
        <w:t xml:space="preserve">listing of </w:t>
      </w:r>
      <w:r w:rsidR="00E1141F">
        <w:t>NRT</w:t>
      </w:r>
      <w:r w:rsidR="00876316" w:rsidRPr="00876316">
        <w:t xml:space="preserve"> </w:t>
      </w:r>
      <w:r w:rsidR="00573F59">
        <w:t>patches</w:t>
      </w:r>
      <w:r w:rsidR="00643281">
        <w:t xml:space="preserve"> </w:t>
      </w:r>
      <w:r w:rsidR="00643281" w:rsidRPr="002E66C5">
        <w:t>15 mg per 16 hours</w:t>
      </w:r>
      <w:r w:rsidR="00876316" w:rsidRPr="00876316">
        <w:t xml:space="preserve"> on the PBS as an Authority </w:t>
      </w:r>
      <w:r w:rsidR="00E1141F">
        <w:t>R</w:t>
      </w:r>
      <w:r w:rsidR="00876316" w:rsidRPr="00876316">
        <w:t>equired listing as an aid to cessation of smoking in patients who have entered or are entering a comprehensive support and counselling program in the context of a public health priority area</w:t>
      </w:r>
      <w:r>
        <w:t>.</w:t>
      </w:r>
      <w:r w:rsidR="002717E9">
        <w:t xml:space="preserve"> One study comparing NRT </w:t>
      </w:r>
      <w:r w:rsidR="00573F59">
        <w:t>patches</w:t>
      </w:r>
      <w:r w:rsidR="002717E9">
        <w:t xml:space="preserve"> </w:t>
      </w:r>
      <w:r w:rsidR="00683BF7">
        <w:t>with</w:t>
      </w:r>
      <w:r w:rsidR="002717E9">
        <w:t xml:space="preserve"> varenicline (Aubin et al. 2008), four studies comparing NRT </w:t>
      </w:r>
      <w:r w:rsidR="00573F59">
        <w:t>patches</w:t>
      </w:r>
      <w:r w:rsidR="002717E9">
        <w:t xml:space="preserve"> </w:t>
      </w:r>
      <w:r w:rsidR="00683BF7">
        <w:t>with</w:t>
      </w:r>
      <w:r w:rsidR="002717E9">
        <w:t xml:space="preserve"> bupropion </w:t>
      </w:r>
      <w:r w:rsidR="002717E9" w:rsidRPr="002717E9">
        <w:t>(Jorenby et al. 1999, Gorecka et al. 2003, Uyar et al. 2007 and Piper et al. 2009)</w:t>
      </w:r>
      <w:r w:rsidR="002717E9">
        <w:t xml:space="preserve"> and one Cochrane </w:t>
      </w:r>
      <w:r w:rsidR="00C82058">
        <w:t>R</w:t>
      </w:r>
      <w:r w:rsidR="002717E9">
        <w:t xml:space="preserve">eview comparing NRT </w:t>
      </w:r>
      <w:r w:rsidR="001D0847">
        <w:t>with</w:t>
      </w:r>
      <w:r w:rsidR="002717E9">
        <w:t xml:space="preserve"> placebo (Stead et al. 2008) were considered by the PBAC at this meeting. </w:t>
      </w:r>
    </w:p>
    <w:p w14:paraId="336B53AD" w14:textId="4D12111C" w:rsidR="00536A63" w:rsidRDefault="002717E9" w:rsidP="005134FB">
      <w:pPr>
        <w:spacing w:after="120"/>
        <w:jc w:val="both"/>
      </w:pPr>
      <w:r>
        <w:t>Based on the totality of the evidence, the PBAC considered that the claim of non-inferiority of NRT patches to varenicline to be uncertain with the evidence suggesting that varenicline was more effective and more toxic, that the evidence supported NRT patches being more effective and less safe than placebo, and that NRT patches were of non-inferior efficacy to bupropion and of superior safety (</w:t>
      </w:r>
      <w:r w:rsidRPr="00D91520">
        <w:t xml:space="preserve">NRT PSD, </w:t>
      </w:r>
      <w:r w:rsidR="00F16024" w:rsidRPr="00D91520">
        <w:t xml:space="preserve">March </w:t>
      </w:r>
      <w:r w:rsidRPr="00D91520">
        <w:t>2010</w:t>
      </w:r>
      <w:r w:rsidR="00F16024" w:rsidRPr="00D91520">
        <w:t xml:space="preserve"> PBAC meeting</w:t>
      </w:r>
      <w:r>
        <w:t>).</w:t>
      </w:r>
      <w:r w:rsidR="00D27697">
        <w:t xml:space="preserve"> The listing allowed for a maximum of </w:t>
      </w:r>
      <w:r w:rsidR="0007571C">
        <w:t>12 weeks</w:t>
      </w:r>
      <w:r w:rsidR="004B0CC7">
        <w:t xml:space="preserve"> </w:t>
      </w:r>
      <w:r w:rsidR="00EA00C8">
        <w:t xml:space="preserve">of </w:t>
      </w:r>
      <w:r w:rsidR="004B0CC7">
        <w:t>PBS-</w:t>
      </w:r>
      <w:r w:rsidR="004A21F6">
        <w:t xml:space="preserve">subsidised NRT </w:t>
      </w:r>
      <w:r w:rsidR="0007571C">
        <w:t xml:space="preserve">treatment </w:t>
      </w:r>
      <w:r w:rsidR="00D27697">
        <w:t>per year.</w:t>
      </w:r>
      <w:r w:rsidR="003C155B">
        <w:t xml:space="preserve"> </w:t>
      </w:r>
    </w:p>
    <w:p w14:paraId="57CD6A53" w14:textId="2AFE79E0" w:rsidR="00BC475B" w:rsidRDefault="003C155B" w:rsidP="00DE6C36">
      <w:pPr>
        <w:spacing w:after="120"/>
        <w:jc w:val="both"/>
      </w:pPr>
      <w:r>
        <w:t xml:space="preserve">It was noted </w:t>
      </w:r>
      <w:r w:rsidR="00593700">
        <w:t xml:space="preserve">that </w:t>
      </w:r>
      <w:r>
        <w:t xml:space="preserve">the </w:t>
      </w:r>
      <w:r w:rsidR="00592887">
        <w:t xml:space="preserve">listing was </w:t>
      </w:r>
      <w:r w:rsidR="004A19BD">
        <w:t xml:space="preserve">implemented in February 2011 and was </w:t>
      </w:r>
      <w:r w:rsidR="00592887">
        <w:t xml:space="preserve">for </w:t>
      </w:r>
      <w:r w:rsidR="00D91520">
        <w:t xml:space="preserve">the </w:t>
      </w:r>
      <w:r w:rsidR="00592887">
        <w:t xml:space="preserve">21 mg per 24 hours NRT </w:t>
      </w:r>
      <w:r w:rsidR="00573F59">
        <w:t>patches</w:t>
      </w:r>
      <w:r w:rsidR="004A19BD">
        <w:t>.</w:t>
      </w:r>
      <w:r w:rsidR="00536A63">
        <w:t xml:space="preserve"> The PBAC previously noted that the use of different strength patches such as 21 mg for 24 hours or</w:t>
      </w:r>
      <w:r w:rsidR="008502D8">
        <w:t xml:space="preserve"> </w:t>
      </w:r>
      <w:r w:rsidR="00536A63">
        <w:t>15 mg for 16 hours, and gradual tapering compared with abrupt withdrawal, are likely to</w:t>
      </w:r>
      <w:r w:rsidR="008502D8">
        <w:t xml:space="preserve"> </w:t>
      </w:r>
      <w:r w:rsidR="00536A63">
        <w:t>result in minimal changes in clinical outcomes</w:t>
      </w:r>
      <w:r w:rsidR="008502D8">
        <w:t xml:space="preserve"> (</w:t>
      </w:r>
      <w:r w:rsidR="008502D8" w:rsidRPr="00496800">
        <w:t xml:space="preserve">NRT PSD, </w:t>
      </w:r>
      <w:r w:rsidR="00CF2DA4" w:rsidRPr="00496800">
        <w:t xml:space="preserve">March </w:t>
      </w:r>
      <w:r w:rsidR="008502D8" w:rsidRPr="00496800">
        <w:t>2010</w:t>
      </w:r>
      <w:r w:rsidR="00CF2DA4" w:rsidRPr="00496800">
        <w:t xml:space="preserve"> PBAC meeting</w:t>
      </w:r>
      <w:r w:rsidR="008502D8">
        <w:t>)</w:t>
      </w:r>
      <w:r w:rsidR="00536A63">
        <w:t>.</w:t>
      </w:r>
    </w:p>
    <w:p w14:paraId="13C1FC67" w14:textId="4484C7FF" w:rsidR="00D61ECC" w:rsidRPr="0096632A" w:rsidRDefault="00D61ECC" w:rsidP="00DE6C36">
      <w:pPr>
        <w:spacing w:after="120"/>
        <w:jc w:val="both"/>
        <w:rPr>
          <w:u w:val="single"/>
        </w:rPr>
      </w:pPr>
      <w:r w:rsidRPr="0096632A">
        <w:rPr>
          <w:u w:val="single"/>
        </w:rPr>
        <w:t xml:space="preserve">Lower strength </w:t>
      </w:r>
      <w:r w:rsidR="0096632A" w:rsidRPr="0096632A">
        <w:rPr>
          <w:u w:val="single"/>
        </w:rPr>
        <w:t>–</w:t>
      </w:r>
      <w:r w:rsidRPr="0096632A">
        <w:rPr>
          <w:u w:val="single"/>
        </w:rPr>
        <w:t xml:space="preserve"> </w:t>
      </w:r>
      <w:r w:rsidR="0096632A" w:rsidRPr="0096632A">
        <w:rPr>
          <w:u w:val="single"/>
        </w:rPr>
        <w:t>14 mg per 24 hours and 7 mg per 24 hours NRT patch</w:t>
      </w:r>
      <w:r w:rsidR="00D67C9C">
        <w:rPr>
          <w:u w:val="single"/>
        </w:rPr>
        <w:t>es</w:t>
      </w:r>
    </w:p>
    <w:p w14:paraId="77464B46" w14:textId="22EC26C4" w:rsidR="0096632A" w:rsidRDefault="0096632A" w:rsidP="00DE6C36">
      <w:pPr>
        <w:spacing w:after="120"/>
        <w:jc w:val="both"/>
      </w:pPr>
      <w:r>
        <w:t xml:space="preserve">In August 2011, </w:t>
      </w:r>
      <w:r w:rsidR="00D67C9C" w:rsidRPr="00C324F3">
        <w:t>the PBAC recommended the listing of two new lower strength NRT patches that release approximately 14 mg of nicotine per 24 hours and approximately 7 mg nicotine per 24 hours</w:t>
      </w:r>
      <w:r w:rsidR="003167DB" w:rsidRPr="003167DB">
        <w:rPr>
          <w:color w:val="000000"/>
          <w:w w:val="54"/>
          <w:shd w:val="solid" w:color="000000" w:fill="000000"/>
          <w:fitText w:val="5448" w:id="-1402781184"/>
          <w14:textFill>
            <w14:solidFill>
              <w14:srgbClr w14:val="000000">
                <w14:alpha w14:val="100000"/>
              </w14:srgbClr>
            </w14:solidFill>
          </w14:textFill>
        </w:rPr>
        <w:t>|||||||||||||||||||||||||||||||||||||||||||||  ||||||||||||||||||||||||||||||||||||||||||||</w:t>
      </w:r>
      <w:r w:rsidR="003167DB" w:rsidRPr="003167DB">
        <w:rPr>
          <w:color w:val="000000"/>
          <w:spacing w:val="21"/>
          <w:w w:val="54"/>
          <w:shd w:val="solid" w:color="000000" w:fill="000000"/>
          <w:fitText w:val="5448" w:id="-1402781184"/>
          <w14:textFill>
            <w14:solidFill>
              <w14:srgbClr w14:val="000000">
                <w14:alpha w14:val="100000"/>
              </w14:srgbClr>
            </w14:solidFill>
          </w14:textFill>
        </w:rPr>
        <w:t>|</w:t>
      </w:r>
      <w:r w:rsidR="008C61A4" w:rsidRPr="00C324F3">
        <w:t>The listing allowed for a maximum of 12 weeks</w:t>
      </w:r>
      <w:r w:rsidR="004A21F6" w:rsidRPr="00C324F3">
        <w:t xml:space="preserve"> </w:t>
      </w:r>
      <w:r w:rsidR="00EA00C8" w:rsidRPr="00C324F3">
        <w:t xml:space="preserve">of </w:t>
      </w:r>
      <w:r w:rsidR="004A21F6" w:rsidRPr="00C324F3">
        <w:t>PBS-subsidised NRT</w:t>
      </w:r>
      <w:r w:rsidR="008C61A4" w:rsidRPr="00C324F3">
        <w:t xml:space="preserve"> treatment per year</w:t>
      </w:r>
      <w:r w:rsidR="0018415A" w:rsidRPr="00C324F3">
        <w:t>.</w:t>
      </w:r>
      <w:r w:rsidR="00F71544" w:rsidRPr="00C324F3">
        <w:t xml:space="preserve"> </w:t>
      </w:r>
    </w:p>
    <w:p w14:paraId="2E7EEDF8" w14:textId="7DBB2C3B" w:rsidR="00A06D77" w:rsidRDefault="00A06D77" w:rsidP="00DE6C36">
      <w:pPr>
        <w:spacing w:after="120"/>
        <w:jc w:val="both"/>
        <w:rPr>
          <w:u w:val="single"/>
        </w:rPr>
      </w:pPr>
      <w:r w:rsidRPr="00A06D77">
        <w:rPr>
          <w:u w:val="single"/>
        </w:rPr>
        <w:t>Higher strength – 25 mg per 16 hour</w:t>
      </w:r>
      <w:r w:rsidR="001E2A6A">
        <w:rPr>
          <w:u w:val="single"/>
        </w:rPr>
        <w:t>s</w:t>
      </w:r>
      <w:r w:rsidRPr="00A06D77">
        <w:rPr>
          <w:u w:val="single"/>
        </w:rPr>
        <w:t xml:space="preserve"> NRT </w:t>
      </w:r>
      <w:r w:rsidR="00573F59">
        <w:rPr>
          <w:u w:val="single"/>
        </w:rPr>
        <w:t>patches</w:t>
      </w:r>
    </w:p>
    <w:p w14:paraId="6433D138" w14:textId="1C0B9E97" w:rsidR="00A06D77" w:rsidRDefault="00A06D77" w:rsidP="00DE6C36">
      <w:pPr>
        <w:spacing w:after="120"/>
        <w:jc w:val="both"/>
      </w:pPr>
      <w:r>
        <w:t xml:space="preserve">In November 2011, </w:t>
      </w:r>
      <w:r w:rsidR="005F1C9A" w:rsidRPr="005F1C9A">
        <w:t xml:space="preserve">the PBAC recommended </w:t>
      </w:r>
      <w:r w:rsidR="0018415A">
        <w:t xml:space="preserve">the </w:t>
      </w:r>
      <w:r w:rsidR="005F1C9A" w:rsidRPr="005F1C9A">
        <w:t xml:space="preserve">listing </w:t>
      </w:r>
      <w:r w:rsidR="0018415A">
        <w:t xml:space="preserve">of </w:t>
      </w:r>
      <w:r w:rsidR="005F1C9A" w:rsidRPr="005F1C9A">
        <w:t>a 25 mg per 16 hour</w:t>
      </w:r>
      <w:r w:rsidR="00222895">
        <w:t>s</w:t>
      </w:r>
      <w:r w:rsidR="005F1C9A" w:rsidRPr="005F1C9A">
        <w:t xml:space="preserve"> </w:t>
      </w:r>
      <w:r w:rsidR="005F1C9A">
        <w:t xml:space="preserve">NRT </w:t>
      </w:r>
      <w:r w:rsidR="00573F59">
        <w:t>patches</w:t>
      </w:r>
      <w:r w:rsidR="005F1C9A" w:rsidRPr="005F1C9A">
        <w:t xml:space="preserve"> on the PBS as an Authority Required benefit under the same listing conditions as 21 mg per </w:t>
      </w:r>
      <w:r w:rsidR="005F1C9A" w:rsidRPr="005F1C9A">
        <w:lastRenderedPageBreak/>
        <w:t>24 hour</w:t>
      </w:r>
      <w:r w:rsidR="00222895">
        <w:t>s</w:t>
      </w:r>
      <w:r w:rsidR="005F1C9A" w:rsidRPr="005F1C9A">
        <w:t xml:space="preserve"> </w:t>
      </w:r>
      <w:r w:rsidR="007A5372">
        <w:t xml:space="preserve">NRT </w:t>
      </w:r>
      <w:r w:rsidR="00573F59">
        <w:t>patches</w:t>
      </w:r>
      <w:r w:rsidR="00B9236D">
        <w:t xml:space="preserve"> (</w:t>
      </w:r>
      <w:r w:rsidR="00B9236D" w:rsidRPr="00EC6AFA">
        <w:t xml:space="preserve">PBAC Outcomes, </w:t>
      </w:r>
      <w:r w:rsidR="0018415A" w:rsidRPr="00EC6AFA">
        <w:t xml:space="preserve">November </w:t>
      </w:r>
      <w:r w:rsidR="00B9236D" w:rsidRPr="00EC6AFA">
        <w:t>2011</w:t>
      </w:r>
      <w:r w:rsidR="0018415A" w:rsidRPr="00EC6AFA">
        <w:t xml:space="preserve"> PBAC meeting</w:t>
      </w:r>
      <w:r w:rsidR="00B9236D">
        <w:t>)</w:t>
      </w:r>
      <w:r w:rsidR="00B9236D" w:rsidRPr="001E2216">
        <w:t>.</w:t>
      </w:r>
      <w:r w:rsidR="00A41601">
        <w:t xml:space="preserve"> </w:t>
      </w:r>
      <w:r w:rsidR="003167DB" w:rsidRPr="003167DB">
        <w:rPr>
          <w:color w:val="000000"/>
          <w:w w:val="56"/>
          <w:shd w:val="solid" w:color="000000" w:fill="000000"/>
          <w:fitText w:val="1694" w:id="-1402780928"/>
          <w14:textFill>
            <w14:solidFill>
              <w14:srgbClr w14:val="000000">
                <w14:alpha w14:val="100000"/>
              </w14:srgbClr>
            </w14:solidFill>
          </w14:textFill>
        </w:rPr>
        <w:t>|||||||||||||  ||||||||||||</w:t>
      </w:r>
      <w:r w:rsidR="003167DB" w:rsidRPr="003167DB">
        <w:rPr>
          <w:color w:val="000000"/>
          <w:spacing w:val="24"/>
          <w:w w:val="56"/>
          <w:shd w:val="solid" w:color="000000" w:fill="000000"/>
          <w:fitText w:val="1694" w:id="-1402780928"/>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12" w:id="-1402780927"/>
          <w14:textFill>
            <w14:solidFill>
              <w14:srgbClr w14:val="000000">
                <w14:alpha w14:val="100000"/>
              </w14:srgbClr>
            </w14:solidFill>
          </w14:textFill>
        </w:rPr>
        <w:t>|||||||||||||||||||||||||||||||||||||||||||||||||||||||||||||||||||||||||  ||||||||||||||||||||||||||||||||||||||||||||||||||||||||||||||||||||||||</w:t>
      </w:r>
      <w:r w:rsidR="003167DB" w:rsidRPr="003167DB">
        <w:rPr>
          <w:color w:val="000000"/>
          <w:spacing w:val="44"/>
          <w:w w:val="54"/>
          <w:shd w:val="solid" w:color="000000" w:fill="000000"/>
          <w:fitText w:val="8812" w:id="-1402780927"/>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spacing w:val="1"/>
          <w:w w:val="54"/>
          <w:shd w:val="solid" w:color="000000" w:fill="000000"/>
          <w:fitText w:val="8875" w:id="-1402780926"/>
          <w14:textFill>
            <w14:solidFill>
              <w14:srgbClr w14:val="000000">
                <w14:alpha w14:val="100000"/>
              </w14:srgbClr>
            </w14:solidFill>
          </w14:textFill>
        </w:rPr>
        <w:t>|||||||||||||||||||||||||||||||||||||||||||||||||||||||||||||||||||||||||  ||||||||||||||||||||||||||||||||||||||||||||||||||||||||||||||||||||||||</w:t>
      </w:r>
      <w:r w:rsidR="003167DB" w:rsidRPr="003167DB">
        <w:rPr>
          <w:color w:val="000000"/>
          <w:spacing w:val="-39"/>
          <w:w w:val="54"/>
          <w:shd w:val="solid" w:color="000000" w:fill="000000"/>
          <w:fitText w:val="8875" w:id="-1402780926"/>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30" w:id="-1402780672"/>
          <w14:textFill>
            <w14:solidFill>
              <w14:srgbClr w14:val="000000">
                <w14:alpha w14:val="100000"/>
              </w14:srgbClr>
            </w14:solidFill>
          </w14:textFill>
        </w:rPr>
        <w:t>|||||||||||||||||||||||||||||||||||||||||||||||||||||||||||||||||||||||||  ||||||||||||||||||||||||||||||||||||||||||||||||||||||||||||||||||||||||</w:t>
      </w:r>
      <w:r w:rsidR="003167DB" w:rsidRPr="003167DB">
        <w:rPr>
          <w:color w:val="000000"/>
          <w:spacing w:val="62"/>
          <w:w w:val="54"/>
          <w:shd w:val="solid" w:color="000000" w:fill="000000"/>
          <w:fitText w:val="8830" w:id="-1402780672"/>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912" w:id="-1402780671"/>
          <w14:textFill>
            <w14:solidFill>
              <w14:srgbClr w14:val="000000">
                <w14:alpha w14:val="100000"/>
              </w14:srgbClr>
            </w14:solidFill>
          </w14:textFill>
        </w:rPr>
        <w:t>|||||||||||||||||||||||||||||||||||||||||||||||||||||||||||||||||||||||||  ||||||||||||||||||||||||||||||||||||||||||||||||||||||||||||||||||||||||</w:t>
      </w:r>
      <w:r w:rsidR="003167DB" w:rsidRPr="003167DB">
        <w:rPr>
          <w:color w:val="000000"/>
          <w:spacing w:val="144"/>
          <w:w w:val="54"/>
          <w:shd w:val="solid" w:color="000000" w:fill="000000"/>
          <w:fitText w:val="8912" w:id="-1402780671"/>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30" w:id="-1402780670"/>
          <w14:textFill>
            <w14:solidFill>
              <w14:srgbClr w14:val="000000">
                <w14:alpha w14:val="100000"/>
              </w14:srgbClr>
            </w14:solidFill>
          </w14:textFill>
        </w:rPr>
        <w:t>|||||||||||||||||||||||||||||||||||||||||||||||||||||||||||||||||||||||||  ||||||||||||||||||||||||||||||||||||||||||||||||||||||||||||||||||||||||</w:t>
      </w:r>
      <w:r w:rsidR="003167DB" w:rsidRPr="003167DB">
        <w:rPr>
          <w:color w:val="000000"/>
          <w:spacing w:val="62"/>
          <w:w w:val="54"/>
          <w:shd w:val="solid" w:color="000000" w:fill="000000"/>
          <w:fitText w:val="8830" w:id="-1402780670"/>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85" w:id="-1402780669"/>
          <w14:textFill>
            <w14:solidFill>
              <w14:srgbClr w14:val="000000">
                <w14:alpha w14:val="100000"/>
              </w14:srgbClr>
            </w14:solidFill>
          </w14:textFill>
        </w:rPr>
        <w:t>|||||||||||||||||||||||||||||||||||||||||||||||||||||||||||||||||||||||||  ||||||||||||||||||||||||||||||||||||||||||||||||||||||||||||||||||||||||</w:t>
      </w:r>
      <w:r w:rsidR="003167DB" w:rsidRPr="003167DB">
        <w:rPr>
          <w:color w:val="000000"/>
          <w:spacing w:val="117"/>
          <w:w w:val="54"/>
          <w:shd w:val="solid" w:color="000000" w:fill="000000"/>
          <w:fitText w:val="8885" w:id="-1402780669"/>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85" w:id="-1402780668"/>
          <w14:textFill>
            <w14:solidFill>
              <w14:srgbClr w14:val="000000">
                <w14:alpha w14:val="100000"/>
              </w14:srgbClr>
            </w14:solidFill>
          </w14:textFill>
        </w:rPr>
        <w:t>|||||||||||||||||||||||||||||||||||||||||||||||||||||||||||||||||||||||||  ||||||||||||||||||||||||||||||||||||||||||||||||||||||||||||||||||||||||</w:t>
      </w:r>
      <w:r w:rsidR="003167DB" w:rsidRPr="003167DB">
        <w:rPr>
          <w:color w:val="000000"/>
          <w:spacing w:val="117"/>
          <w:w w:val="54"/>
          <w:shd w:val="solid" w:color="000000" w:fill="000000"/>
          <w:fitText w:val="8885" w:id="-1402780668"/>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75" w:id="-1402780667"/>
          <w14:textFill>
            <w14:solidFill>
              <w14:srgbClr w14:val="000000">
                <w14:alpha w14:val="100000"/>
              </w14:srgbClr>
            </w14:solidFill>
          </w14:textFill>
        </w:rPr>
        <w:t>|||||||||||||||||||||||||||||||||||||||||||||||||||||||||||||||||||||||||  ||||||||||||||||||||||||||||||||||||||||||||||||||||||||||||||||||||||||</w:t>
      </w:r>
      <w:r w:rsidR="003167DB" w:rsidRPr="003167DB">
        <w:rPr>
          <w:color w:val="000000"/>
          <w:spacing w:val="107"/>
          <w:w w:val="54"/>
          <w:shd w:val="solid" w:color="000000" w:fill="000000"/>
          <w:fitText w:val="8875" w:id="-1402780667"/>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8885" w:id="-1402780666"/>
          <w14:textFill>
            <w14:solidFill>
              <w14:srgbClr w14:val="000000">
                <w14:alpha w14:val="100000"/>
              </w14:srgbClr>
            </w14:solidFill>
          </w14:textFill>
        </w:rPr>
        <w:t>|||||||||||||||||||||||||||||||||||||||||||||||||||||||||||||||||||||||||  ||||||||||||||||||||||||||||||||||||||||||||||||||||||||||||||||||||||||</w:t>
      </w:r>
      <w:r w:rsidR="003167DB" w:rsidRPr="003167DB">
        <w:rPr>
          <w:color w:val="000000"/>
          <w:spacing w:val="117"/>
          <w:w w:val="54"/>
          <w:shd w:val="solid" w:color="000000" w:fill="000000"/>
          <w:fitText w:val="8885" w:id="-1402780666"/>
          <w14:textFill>
            <w14:solidFill>
              <w14:srgbClr w14:val="000000">
                <w14:alpha w14:val="100000"/>
              </w14:srgbClr>
            </w14:solidFill>
          </w14:textFill>
        </w:rPr>
        <w:t>|</w:t>
      </w:r>
    </w:p>
    <w:p w14:paraId="0647C0DE" w14:textId="3F189D88" w:rsidR="00395295" w:rsidRDefault="00E7116F" w:rsidP="00DE6C36">
      <w:pPr>
        <w:spacing w:after="120"/>
        <w:jc w:val="both"/>
        <w:rPr>
          <w:u w:val="single"/>
        </w:rPr>
      </w:pPr>
      <w:r w:rsidRPr="00E7116F">
        <w:rPr>
          <w:u w:val="single"/>
        </w:rPr>
        <w:t>Authority Required (STREAMLINED) listing</w:t>
      </w:r>
    </w:p>
    <w:p w14:paraId="2E60515C" w14:textId="7E26C8A3" w:rsidR="00EA0B4A" w:rsidRPr="00F3027C" w:rsidRDefault="00EA0B4A" w:rsidP="00DE6C36">
      <w:pPr>
        <w:spacing w:after="120"/>
        <w:jc w:val="both"/>
        <w:rPr>
          <w:highlight w:val="blue"/>
          <w:shd w:val="clear" w:color="auto" w:fill="C0C0C1"/>
        </w:rPr>
      </w:pPr>
      <w:r w:rsidRPr="00C324F3">
        <w:t xml:space="preserve">In December 2012, </w:t>
      </w:r>
      <w:r w:rsidR="00A5386C" w:rsidRPr="00C324F3">
        <w:t>the PBAC recommended the Authority required listings for NRT patches be made Authority required (STREAMLINED)</w:t>
      </w:r>
      <w:r w:rsidR="00B970D4" w:rsidRPr="00C324F3">
        <w:t xml:space="preserve"> </w:t>
      </w:r>
      <w:r w:rsidR="003167DB" w:rsidRPr="003167DB">
        <w:rPr>
          <w:color w:val="000000"/>
          <w:spacing w:val="1"/>
          <w:w w:val="54"/>
          <w:shd w:val="solid" w:color="000000" w:fill="000000"/>
          <w:fitText w:val="4546" w:id="-1402780665"/>
          <w14:textFill>
            <w14:solidFill>
              <w14:srgbClr w14:val="000000">
                <w14:alpha w14:val="100000"/>
              </w14:srgbClr>
            </w14:solidFill>
          </w14:textFill>
        </w:rPr>
        <w:t>|||||||||||||||||||||||||||||||||||||  ||||||||||||||||||||||||||||||||||||</w:t>
      </w:r>
      <w:r w:rsidR="003167DB" w:rsidRPr="003167DB">
        <w:rPr>
          <w:color w:val="000000"/>
          <w:spacing w:val="-1"/>
          <w:w w:val="54"/>
          <w:shd w:val="solid" w:color="000000" w:fill="000000"/>
          <w:fitText w:val="4546" w:id="-1402780665"/>
          <w14:textFill>
            <w14:solidFill>
              <w14:srgbClr w14:val="000000">
                <w14:alpha w14:val="100000"/>
              </w14:srgbClr>
            </w14:solidFill>
          </w14:textFill>
        </w:rPr>
        <w:t>|</w:t>
      </w:r>
      <w:r w:rsidR="003167DB">
        <w:rPr>
          <w:highlight w:val="blue"/>
          <w:shd w:val="clear" w:color="auto" w:fill="C0C0C1"/>
        </w:rPr>
        <w:t xml:space="preserve"> </w:t>
      </w:r>
      <w:r w:rsidR="003167DB" w:rsidRPr="003167DB">
        <w:rPr>
          <w:color w:val="000000"/>
          <w:w w:val="54"/>
          <w:shd w:val="solid" w:color="000000" w:fill="000000"/>
          <w:fitText w:val="8921" w:id="-1402780664"/>
          <w14:textFill>
            <w14:solidFill>
              <w14:srgbClr w14:val="000000">
                <w14:alpha w14:val="100000"/>
              </w14:srgbClr>
            </w14:solidFill>
          </w14:textFill>
        </w:rPr>
        <w:t>||||||||||||||||||||||||||||||||||||||||||||||||||||||||||||||||||||||||||  |||||||||||||||||||||||||||||||||||||||||||||||||||||||||||||||||||||||||</w:t>
      </w:r>
      <w:r w:rsidR="003167DB" w:rsidRPr="003167DB">
        <w:rPr>
          <w:color w:val="000000"/>
          <w:spacing w:val="34"/>
          <w:w w:val="54"/>
          <w:shd w:val="solid" w:color="000000" w:fill="000000"/>
          <w:fitText w:val="8921" w:id="-1402780664"/>
          <w14:textFill>
            <w14:solidFill>
              <w14:srgbClr w14:val="000000">
                <w14:alpha w14:val="100000"/>
              </w14:srgbClr>
            </w14:solidFill>
          </w14:textFill>
        </w:rPr>
        <w:t>|</w:t>
      </w:r>
      <w:r w:rsidR="003167DB">
        <w:rPr>
          <w:highlight w:val="blue"/>
          <w:shd w:val="clear" w:color="auto" w:fill="C0C0C1"/>
        </w:rPr>
        <w:t xml:space="preserve"> </w:t>
      </w:r>
      <w:r w:rsidR="003167DB" w:rsidRPr="003167DB">
        <w:rPr>
          <w:color w:val="000000"/>
          <w:w w:val="54"/>
          <w:shd w:val="solid" w:color="000000" w:fill="000000"/>
          <w:fitText w:val="8885" w:id="-1402780663"/>
          <w14:textFill>
            <w14:solidFill>
              <w14:srgbClr w14:val="000000">
                <w14:alpha w14:val="100000"/>
              </w14:srgbClr>
            </w14:solidFill>
          </w14:textFill>
        </w:rPr>
        <w:t>|||||||||||||||||||||||||||||||||||||||||||||||||||||||||||||||||||||||||  ||||||||||||||||||||||||||||||||||||||||||||||||||||||||||||||||||||||||</w:t>
      </w:r>
      <w:r w:rsidR="003167DB" w:rsidRPr="003167DB">
        <w:rPr>
          <w:color w:val="000000"/>
          <w:spacing w:val="117"/>
          <w:w w:val="54"/>
          <w:shd w:val="solid" w:color="000000" w:fill="000000"/>
          <w:fitText w:val="8885" w:id="-1402780663"/>
          <w14:textFill>
            <w14:solidFill>
              <w14:srgbClr w14:val="000000">
                <w14:alpha w14:val="100000"/>
              </w14:srgbClr>
            </w14:solidFill>
          </w14:textFill>
        </w:rPr>
        <w:t>|</w:t>
      </w:r>
    </w:p>
    <w:p w14:paraId="1F226E30" w14:textId="6B582CCE" w:rsidR="003167DB" w:rsidRDefault="003167DB" w:rsidP="00DE6C36">
      <w:pPr>
        <w:spacing w:after="120"/>
        <w:jc w:val="both"/>
        <w:rPr>
          <w:highlight w:val="blue"/>
          <w:shd w:val="clear" w:color="auto" w:fill="C0C0C1"/>
        </w:rPr>
      </w:pPr>
      <w:r w:rsidRPr="003167DB">
        <w:rPr>
          <w:color w:val="000000"/>
          <w:spacing w:val="1"/>
          <w:w w:val="54"/>
          <w:shd w:val="solid" w:color="000000" w:fill="000000"/>
          <w:fitText w:val="8885" w:id="-1402780416"/>
          <w14:textFill>
            <w14:solidFill>
              <w14:srgbClr w14:val="000000">
                <w14:alpha w14:val="100000"/>
              </w14:srgbClr>
            </w14:solidFill>
          </w14:textFill>
        </w:rPr>
        <w:t>|||||||||||||||||||||||||||||||||||||||||||||||||||||||||||||||||||||||||  ||||||||||||||||||||||||||||||||||||||||||||||||||||||||||||||||||||||||</w:t>
      </w:r>
      <w:r w:rsidRPr="003167DB">
        <w:rPr>
          <w:color w:val="000000"/>
          <w:spacing w:val="-29"/>
          <w:w w:val="54"/>
          <w:shd w:val="solid" w:color="000000" w:fill="000000"/>
          <w:fitText w:val="8885" w:id="-1402780416"/>
          <w14:textFill>
            <w14:solidFill>
              <w14:srgbClr w14:val="000000">
                <w14:alpha w14:val="100000"/>
              </w14:srgbClr>
            </w14:solidFill>
          </w14:textFill>
        </w:rPr>
        <w:t>|</w:t>
      </w:r>
      <w:r>
        <w:rPr>
          <w:highlight w:val="blue"/>
          <w:shd w:val="clear" w:color="auto" w:fill="C0C0C1"/>
        </w:rPr>
        <w:t xml:space="preserve"> </w:t>
      </w:r>
      <w:r w:rsidRPr="003167DB">
        <w:rPr>
          <w:color w:val="000000"/>
          <w:w w:val="54"/>
          <w:shd w:val="solid" w:color="000000" w:fill="000000"/>
          <w:fitText w:val="8912" w:id="-1402780415"/>
          <w14:textFill>
            <w14:solidFill>
              <w14:srgbClr w14:val="000000">
                <w14:alpha w14:val="100000"/>
              </w14:srgbClr>
            </w14:solidFill>
          </w14:textFill>
        </w:rPr>
        <w:t>|||||||||||||||||||||||||||||||||||||||||||||||||||||||||||||||||||||||||  ||||||||||||||||||||||||||||||||||||||||||||||||||||||||||||||||||||||||</w:t>
      </w:r>
      <w:r w:rsidRPr="003167DB">
        <w:rPr>
          <w:color w:val="000000"/>
          <w:spacing w:val="144"/>
          <w:w w:val="54"/>
          <w:shd w:val="solid" w:color="000000" w:fill="000000"/>
          <w:fitText w:val="8912" w:id="-1402780415"/>
          <w14:textFill>
            <w14:solidFill>
              <w14:srgbClr w14:val="000000">
                <w14:alpha w14:val="100000"/>
              </w14:srgbClr>
            </w14:solidFill>
          </w14:textFill>
        </w:rPr>
        <w:t>|</w:t>
      </w:r>
      <w:r>
        <w:rPr>
          <w:highlight w:val="blue"/>
          <w:shd w:val="clear" w:color="auto" w:fill="C0C0C1"/>
        </w:rPr>
        <w:t xml:space="preserve"> </w:t>
      </w:r>
      <w:r w:rsidRPr="003167DB">
        <w:rPr>
          <w:color w:val="000000"/>
          <w:spacing w:val="1"/>
          <w:w w:val="54"/>
          <w:shd w:val="solid" w:color="000000" w:fill="000000"/>
          <w:fitText w:val="8875" w:id="-1402780414"/>
          <w14:textFill>
            <w14:solidFill>
              <w14:srgbClr w14:val="000000">
                <w14:alpha w14:val="100000"/>
              </w14:srgbClr>
            </w14:solidFill>
          </w14:textFill>
        </w:rPr>
        <w:t>|||||||||||||||||||||||||||||||||||||||||||||||||||||||||||||||||||||||||  ||||||||||||||||||||||||||||||||||||||||||||||||||||||||||||||||||||||||</w:t>
      </w:r>
      <w:r w:rsidRPr="003167DB">
        <w:rPr>
          <w:color w:val="000000"/>
          <w:spacing w:val="-39"/>
          <w:w w:val="54"/>
          <w:shd w:val="solid" w:color="000000" w:fill="000000"/>
          <w:fitText w:val="8875" w:id="-1402780414"/>
          <w14:textFill>
            <w14:solidFill>
              <w14:srgbClr w14:val="000000">
                <w14:alpha w14:val="100000"/>
              </w14:srgbClr>
            </w14:solidFill>
          </w14:textFill>
        </w:rPr>
        <w:t>|</w:t>
      </w:r>
      <w:r>
        <w:rPr>
          <w:highlight w:val="blue"/>
          <w:shd w:val="clear" w:color="auto" w:fill="C0C0C1"/>
        </w:rPr>
        <w:t xml:space="preserve"> </w:t>
      </w:r>
      <w:r w:rsidRPr="003167DB">
        <w:rPr>
          <w:color w:val="000000"/>
          <w:w w:val="54"/>
          <w:shd w:val="solid" w:color="000000" w:fill="000000"/>
          <w:fitText w:val="8948" w:id="-1402780413"/>
          <w14:textFill>
            <w14:solidFill>
              <w14:srgbClr w14:val="000000">
                <w14:alpha w14:val="100000"/>
              </w14:srgbClr>
            </w14:solidFill>
          </w14:textFill>
        </w:rPr>
        <w:t>||||||||||||||||||||||||||||||||||||||||||||||||||||||||||||||||||||||||||  |||||||||||||||||||||||||||||||||||||||||||||||||||||||||||||||||||||||||</w:t>
      </w:r>
      <w:r w:rsidRPr="003167DB">
        <w:rPr>
          <w:color w:val="000000"/>
          <w:spacing w:val="61"/>
          <w:w w:val="54"/>
          <w:shd w:val="solid" w:color="000000" w:fill="000000"/>
          <w:fitText w:val="8948" w:id="-1402780413"/>
          <w14:textFill>
            <w14:solidFill>
              <w14:srgbClr w14:val="000000">
                <w14:alpha w14:val="100000"/>
              </w14:srgbClr>
            </w14:solidFill>
          </w14:textFill>
        </w:rPr>
        <w:t>|</w:t>
      </w:r>
      <w:r>
        <w:rPr>
          <w:highlight w:val="blue"/>
          <w:shd w:val="clear" w:color="auto" w:fill="C0C0C1"/>
        </w:rPr>
        <w:t xml:space="preserve"> </w:t>
      </w:r>
      <w:r w:rsidRPr="003167DB">
        <w:rPr>
          <w:color w:val="000000"/>
          <w:w w:val="54"/>
          <w:shd w:val="solid" w:color="000000" w:fill="000000"/>
          <w:fitText w:val="8921" w:id="-1402780412"/>
          <w14:textFill>
            <w14:solidFill>
              <w14:srgbClr w14:val="000000">
                <w14:alpha w14:val="100000"/>
              </w14:srgbClr>
            </w14:solidFill>
          </w14:textFill>
        </w:rPr>
        <w:t>||||||||||||||||||||||||||||||||||||||||||||||||||||||||||||||||||||||||||  |||||||||||||||||||||||||||||||||||||||||||||||||||||||||||||||||||||||||</w:t>
      </w:r>
      <w:r w:rsidRPr="003167DB">
        <w:rPr>
          <w:color w:val="000000"/>
          <w:spacing w:val="34"/>
          <w:w w:val="54"/>
          <w:shd w:val="solid" w:color="000000" w:fill="000000"/>
          <w:fitText w:val="8921" w:id="-1402780412"/>
          <w14:textFill>
            <w14:solidFill>
              <w14:srgbClr w14:val="000000">
                <w14:alpha w14:val="100000"/>
              </w14:srgbClr>
            </w14:solidFill>
          </w14:textFill>
        </w:rPr>
        <w:t>|</w:t>
      </w:r>
      <w:r>
        <w:rPr>
          <w:highlight w:val="blue"/>
          <w:shd w:val="clear" w:color="auto" w:fill="C0C0C1"/>
        </w:rPr>
        <w:t xml:space="preserve"> </w:t>
      </w:r>
      <w:r w:rsidRPr="003167DB">
        <w:rPr>
          <w:color w:val="000000"/>
          <w:w w:val="54"/>
          <w:shd w:val="solid" w:color="000000" w:fill="000000"/>
          <w:fitText w:val="8875" w:id="-1402780411"/>
          <w14:textFill>
            <w14:solidFill>
              <w14:srgbClr w14:val="000000">
                <w14:alpha w14:val="100000"/>
              </w14:srgbClr>
            </w14:solidFill>
          </w14:textFill>
        </w:rPr>
        <w:t>|||||||||||||||||||||||||||||||||||||||||||||||||||||||||||||||||||||||||  ||||||||||||||||||||||||||||||||||||||||||||||||||||||||||||||||||||||||</w:t>
      </w:r>
      <w:r w:rsidRPr="003167DB">
        <w:rPr>
          <w:color w:val="000000"/>
          <w:spacing w:val="107"/>
          <w:w w:val="54"/>
          <w:shd w:val="solid" w:color="000000" w:fill="000000"/>
          <w:fitText w:val="8875" w:id="-1402780411"/>
          <w14:textFill>
            <w14:solidFill>
              <w14:srgbClr w14:val="000000">
                <w14:alpha w14:val="100000"/>
              </w14:srgbClr>
            </w14:solidFill>
          </w14:textFill>
        </w:rPr>
        <w:t>|</w:t>
      </w:r>
      <w:r>
        <w:rPr>
          <w:highlight w:val="blue"/>
          <w:shd w:val="clear" w:color="auto" w:fill="C0C0C1"/>
        </w:rPr>
        <w:t xml:space="preserve"> </w:t>
      </w:r>
      <w:r w:rsidRPr="003167DB">
        <w:rPr>
          <w:color w:val="000000"/>
          <w:w w:val="56"/>
          <w:shd w:val="solid" w:color="000000" w:fill="000000"/>
          <w:fitText w:val="681" w:id="-1402780410"/>
          <w14:textFill>
            <w14:solidFill>
              <w14:srgbClr w14:val="000000">
                <w14:alpha w14:val="100000"/>
              </w14:srgbClr>
            </w14:solidFill>
          </w14:textFill>
        </w:rPr>
        <w:t>|||||  ||||</w:t>
      </w:r>
      <w:r w:rsidRPr="003167DB">
        <w:rPr>
          <w:color w:val="000000"/>
          <w:spacing w:val="1"/>
          <w:w w:val="56"/>
          <w:shd w:val="solid" w:color="000000" w:fill="000000"/>
          <w:fitText w:val="681" w:id="-1402780410"/>
          <w14:textFill>
            <w14:solidFill>
              <w14:srgbClr w14:val="000000">
                <w14:alpha w14:val="100000"/>
              </w14:srgbClr>
            </w14:solidFill>
          </w14:textFill>
        </w:rPr>
        <w:t>|</w:t>
      </w:r>
    </w:p>
    <w:p w14:paraId="732023BF" w14:textId="687F3897" w:rsidR="003167DB" w:rsidRDefault="003167DB" w:rsidP="00DE6C36">
      <w:pPr>
        <w:spacing w:after="120"/>
        <w:jc w:val="both"/>
        <w:rPr>
          <w:highlight w:val="red"/>
          <w:shd w:val="clear" w:color="auto" w:fill="C0C0C1"/>
        </w:rPr>
      </w:pPr>
      <w:r w:rsidRPr="003167DB">
        <w:rPr>
          <w:color w:val="000000"/>
          <w:w w:val="54"/>
          <w:shd w:val="solid" w:color="000000" w:fill="000000"/>
          <w:fitText w:val="8939" w:id="-1402780409"/>
          <w14:textFill>
            <w14:solidFill>
              <w14:srgbClr w14:val="000000">
                <w14:alpha w14:val="100000"/>
              </w14:srgbClr>
            </w14:solidFill>
          </w14:textFill>
        </w:rPr>
        <w:t>||||||||||||||||||||||||||||||||||||||||||||||||||||||||||||||||||||||||||  |||||||||||||||||||||||||||||||||||||||||||||||||||||||||||||||||||||||||</w:t>
      </w:r>
      <w:r w:rsidRPr="003167DB">
        <w:rPr>
          <w:color w:val="000000"/>
          <w:spacing w:val="52"/>
          <w:w w:val="54"/>
          <w:shd w:val="solid" w:color="000000" w:fill="000000"/>
          <w:fitText w:val="8939" w:id="-1402780409"/>
          <w14:textFill>
            <w14:solidFill>
              <w14:srgbClr w14:val="000000">
                <w14:alpha w14:val="100000"/>
              </w14:srgbClr>
            </w14:solidFill>
          </w14:textFill>
        </w:rPr>
        <w:t>|</w:t>
      </w:r>
      <w:r>
        <w:rPr>
          <w:highlight w:val="red"/>
          <w:shd w:val="clear" w:color="auto" w:fill="C0C0C1"/>
        </w:rPr>
        <w:t xml:space="preserve"> </w:t>
      </w:r>
      <w:r w:rsidRPr="003167DB">
        <w:rPr>
          <w:color w:val="000000"/>
          <w:w w:val="54"/>
          <w:shd w:val="solid" w:color="000000" w:fill="000000"/>
          <w:fitText w:val="8848" w:id="-1402780408"/>
          <w14:textFill>
            <w14:solidFill>
              <w14:srgbClr w14:val="000000">
                <w14:alpha w14:val="100000"/>
              </w14:srgbClr>
            </w14:solidFill>
          </w14:textFill>
        </w:rPr>
        <w:t>|||||||||||||||||||||||||||||||||||||||||||||||||||||||||||||||||||||||||  ||||||||||||||||||||||||||||||||||||||||||||||||||||||||||||||||||||||||</w:t>
      </w:r>
      <w:r w:rsidRPr="003167DB">
        <w:rPr>
          <w:color w:val="000000"/>
          <w:spacing w:val="80"/>
          <w:w w:val="54"/>
          <w:shd w:val="solid" w:color="000000" w:fill="000000"/>
          <w:fitText w:val="8848" w:id="-1402780408"/>
          <w14:textFill>
            <w14:solidFill>
              <w14:srgbClr w14:val="000000">
                <w14:alpha w14:val="100000"/>
              </w14:srgbClr>
            </w14:solidFill>
          </w14:textFill>
        </w:rPr>
        <w:t>|</w:t>
      </w:r>
      <w:r>
        <w:rPr>
          <w:highlight w:val="red"/>
          <w:shd w:val="clear" w:color="auto" w:fill="C0C0C1"/>
        </w:rPr>
        <w:t xml:space="preserve"> </w:t>
      </w:r>
      <w:r w:rsidRPr="003167DB">
        <w:rPr>
          <w:color w:val="000000"/>
          <w:w w:val="54"/>
          <w:shd w:val="solid" w:color="000000" w:fill="000000"/>
          <w:fitText w:val="8948" w:id="-1402780407"/>
          <w14:textFill>
            <w14:solidFill>
              <w14:srgbClr w14:val="000000">
                <w14:alpha w14:val="100000"/>
              </w14:srgbClr>
            </w14:solidFill>
          </w14:textFill>
        </w:rPr>
        <w:t>||||||||||||||||||||||||||||||||||||||||||||||||||||||||||||||||||||||||||  |||||||||||||||||||||||||||||||||||||||||||||||||||||||||||||||||||||||||</w:t>
      </w:r>
      <w:r w:rsidRPr="003167DB">
        <w:rPr>
          <w:color w:val="000000"/>
          <w:spacing w:val="61"/>
          <w:w w:val="54"/>
          <w:shd w:val="solid" w:color="000000" w:fill="000000"/>
          <w:fitText w:val="8948" w:id="-1402780407"/>
          <w14:textFill>
            <w14:solidFill>
              <w14:srgbClr w14:val="000000">
                <w14:alpha w14:val="100000"/>
              </w14:srgbClr>
            </w14:solidFill>
          </w14:textFill>
        </w:rPr>
        <w:t>|</w:t>
      </w:r>
      <w:r>
        <w:rPr>
          <w:highlight w:val="red"/>
          <w:shd w:val="clear" w:color="auto" w:fill="C0C0C1"/>
        </w:rPr>
        <w:t xml:space="preserve"> </w:t>
      </w:r>
      <w:r w:rsidRPr="003167DB">
        <w:rPr>
          <w:color w:val="000000"/>
          <w:w w:val="55"/>
          <w:shd w:val="solid" w:color="000000" w:fill="000000"/>
          <w:fitText w:val="1913" w:id="-1402780406"/>
          <w14:textFill>
            <w14:solidFill>
              <w14:srgbClr w14:val="000000">
                <w14:alpha w14:val="100000"/>
              </w14:srgbClr>
            </w14:solidFill>
          </w14:textFill>
        </w:rPr>
        <w:t>|||||||||||||||  ||||||||||||||</w:t>
      </w:r>
      <w:r w:rsidRPr="003167DB">
        <w:rPr>
          <w:color w:val="000000"/>
          <w:spacing w:val="32"/>
          <w:w w:val="55"/>
          <w:shd w:val="solid" w:color="000000" w:fill="000000"/>
          <w:fitText w:val="1913" w:id="-1402780406"/>
          <w14:textFill>
            <w14:solidFill>
              <w14:srgbClr w14:val="000000">
                <w14:alpha w14:val="100000"/>
              </w14:srgbClr>
            </w14:solidFill>
          </w14:textFill>
        </w:rPr>
        <w:t>|</w:t>
      </w:r>
    </w:p>
    <w:p w14:paraId="6277034D" w14:textId="2D42B4D5" w:rsidR="004B0CC6" w:rsidRPr="004B0CC6" w:rsidRDefault="004B0CC6" w:rsidP="00DE6C36">
      <w:pPr>
        <w:spacing w:after="120"/>
        <w:jc w:val="both"/>
        <w:rPr>
          <w:u w:val="single"/>
        </w:rPr>
      </w:pPr>
      <w:r w:rsidRPr="004B0CC6">
        <w:rPr>
          <w:u w:val="single"/>
        </w:rPr>
        <w:t>NRT lozenge</w:t>
      </w:r>
      <w:r w:rsidR="00F44630">
        <w:rPr>
          <w:u w:val="single"/>
        </w:rPr>
        <w:t xml:space="preserve"> and gum</w:t>
      </w:r>
    </w:p>
    <w:p w14:paraId="584AA0C6" w14:textId="0CDFD049" w:rsidR="000A4217" w:rsidRDefault="00BC475B" w:rsidP="00DE6C36">
      <w:pPr>
        <w:spacing w:after="120"/>
        <w:jc w:val="both"/>
      </w:pPr>
      <w:r>
        <w:t xml:space="preserve">In </w:t>
      </w:r>
      <w:r w:rsidR="000A4217">
        <w:t xml:space="preserve">July 2017 and March 2018, the PBAC considered a request that NRT </w:t>
      </w:r>
      <w:r w:rsidR="00573F59">
        <w:t>lozenges</w:t>
      </w:r>
      <w:r w:rsidR="00F44630">
        <w:t xml:space="preserve"> and </w:t>
      </w:r>
      <w:r w:rsidR="000A4217">
        <w:t xml:space="preserve">gum be listed as monotherapies on the PBS as a restricted benefit for treating nicotine dependence in cigarette smokers who wish to quit and enter into a behavioural support program. In March 2018, the PBAC recommended the listing of nicotine </w:t>
      </w:r>
      <w:r w:rsidR="00573F59">
        <w:t>lozenges</w:t>
      </w:r>
      <w:r w:rsidR="00F44630">
        <w:t xml:space="preserve"> and </w:t>
      </w:r>
      <w:r w:rsidR="000A4217">
        <w:t>gum, as monotherapies on the PBS (</w:t>
      </w:r>
      <w:r w:rsidR="000A4217" w:rsidRPr="00B2265B">
        <w:t xml:space="preserve">NRT PSD, </w:t>
      </w:r>
      <w:r w:rsidR="00187503" w:rsidRPr="00B2265B">
        <w:t xml:space="preserve">July </w:t>
      </w:r>
      <w:r w:rsidR="000A4217" w:rsidRPr="00B2265B">
        <w:t xml:space="preserve">2017 </w:t>
      </w:r>
      <w:r w:rsidR="00777459" w:rsidRPr="00B2265B">
        <w:t>and March</w:t>
      </w:r>
      <w:r w:rsidR="000A4217" w:rsidRPr="00B2265B">
        <w:t xml:space="preserve"> 2018</w:t>
      </w:r>
      <w:r w:rsidR="00187503" w:rsidRPr="00B2265B">
        <w:t xml:space="preserve"> PBAC meetings</w:t>
      </w:r>
      <w:r w:rsidR="000A4217">
        <w:t xml:space="preserve">). </w:t>
      </w:r>
    </w:p>
    <w:p w14:paraId="4A2A30B4" w14:textId="7CEF2E2B" w:rsidR="000A4217" w:rsidRDefault="000A4217" w:rsidP="00DE6C36">
      <w:pPr>
        <w:spacing w:after="120"/>
        <w:jc w:val="both"/>
      </w:pPr>
      <w:r>
        <w:t xml:space="preserve">For the comparison </w:t>
      </w:r>
      <w:r w:rsidR="006D7194">
        <w:t>of</w:t>
      </w:r>
      <w:r>
        <w:t xml:space="preserve"> NRT </w:t>
      </w:r>
      <w:r w:rsidR="00573F59">
        <w:t>lozenges</w:t>
      </w:r>
      <w:r>
        <w:t xml:space="preserve"> with NRT </w:t>
      </w:r>
      <w:r w:rsidR="00573F59">
        <w:t>patches</w:t>
      </w:r>
      <w:r>
        <w:t xml:space="preserve">, three direct head-to-head RCTs were considered by the PBAC (Piper et al. 2009, Smith et al. 2009 and Schnoll et al. 2010). </w:t>
      </w:r>
      <w:r w:rsidR="003167DB" w:rsidRPr="003167DB">
        <w:rPr>
          <w:color w:val="000000"/>
          <w:w w:val="62"/>
          <w:highlight w:val="black"/>
          <w:shd w:val="solid" w:color="000000" w:fill="000000"/>
          <w:fitText w:val="481" w:id="-1402780160"/>
          <w14:textFill>
            <w14:solidFill>
              <w14:srgbClr w14:val="000000">
                <w14:alpha w14:val="100000"/>
              </w14:srgbClr>
            </w14:solidFill>
          </w14:textFill>
        </w:rPr>
        <w:t>|||  |||</w:t>
      </w:r>
      <w:r w:rsidR="003167DB" w:rsidRPr="003167DB">
        <w:rPr>
          <w:highlight w:val="black"/>
          <w:shd w:val="clear" w:color="auto" w:fill="C0C0C1"/>
        </w:rPr>
        <w:t xml:space="preserve"> </w:t>
      </w:r>
      <w:r w:rsidR="003167DB" w:rsidRPr="003167DB">
        <w:rPr>
          <w:color w:val="000000"/>
          <w:w w:val="68"/>
          <w:highlight w:val="black"/>
          <w:shd w:val="solid" w:color="000000" w:fill="000000"/>
          <w:fitText w:val="226" w:id="-1402780159"/>
          <w14:textFill>
            <w14:solidFill>
              <w14:srgbClr w14:val="000000">
                <w14:alpha w14:val="100000"/>
              </w14:srgbClr>
            </w14:solidFill>
          </w14:textFill>
        </w:rPr>
        <w:t>|</w:t>
      </w:r>
      <w:r w:rsidR="003167DB" w:rsidRPr="003167DB">
        <w:rPr>
          <w:color w:val="000000"/>
          <w:w w:val="68"/>
          <w:shd w:val="solid" w:color="000000" w:fill="000000"/>
          <w:fitText w:val="226" w:id="-1402780159"/>
          <w14:textFill>
            <w14:solidFill>
              <w14:srgbClr w14:val="000000">
                <w14:alpha w14:val="100000"/>
              </w14:srgbClr>
            </w14:solidFill>
          </w14:textFill>
        </w:rPr>
        <w:t xml:space="preserve">  |</w:t>
      </w:r>
      <w:r w:rsidR="003167DB">
        <w:rPr>
          <w:highlight w:val="lightGray"/>
          <w:shd w:val="clear" w:color="auto" w:fill="C0C0C1"/>
        </w:rPr>
        <w:t xml:space="preserve"> </w:t>
      </w:r>
      <w:r w:rsidR="003167DB" w:rsidRPr="003167DB">
        <w:rPr>
          <w:color w:val="000000"/>
          <w:spacing w:val="1"/>
          <w:w w:val="54"/>
          <w:shd w:val="solid" w:color="000000" w:fill="000000"/>
          <w:fitText w:val="8885" w:id="-1402780158"/>
          <w14:textFill>
            <w14:solidFill>
              <w14:srgbClr w14:val="000000">
                <w14:alpha w14:val="100000"/>
              </w14:srgbClr>
            </w14:solidFill>
          </w14:textFill>
        </w:rPr>
        <w:t>|||||||||||||||||||||||||||||||||||||||||||||||||||||||||||||||||||||||||  ||||||||||||||||||||||||||||||||||||||||||||||||||||||||||||||||||||||||</w:t>
      </w:r>
      <w:r w:rsidR="003167DB" w:rsidRPr="003167DB">
        <w:rPr>
          <w:color w:val="000000"/>
          <w:spacing w:val="-29"/>
          <w:w w:val="54"/>
          <w:shd w:val="solid" w:color="000000" w:fill="000000"/>
          <w:fitText w:val="8885" w:id="-1402780158"/>
          <w14:textFill>
            <w14:solidFill>
              <w14:srgbClr w14:val="000000">
                <w14:alpha w14:val="100000"/>
              </w14:srgbClr>
            </w14:solidFill>
          </w14:textFill>
        </w:rPr>
        <w:t>|</w:t>
      </w:r>
      <w:r w:rsidR="003167DB">
        <w:rPr>
          <w:highlight w:val="lightGray"/>
          <w:shd w:val="clear" w:color="auto" w:fill="C0C0C1"/>
        </w:rPr>
        <w:t xml:space="preserve"> </w:t>
      </w:r>
      <w:r w:rsidR="003167DB" w:rsidRPr="003167DB">
        <w:rPr>
          <w:color w:val="000000"/>
          <w:w w:val="54"/>
          <w:shd w:val="solid" w:color="000000" w:fill="000000"/>
          <w:fitText w:val="8948" w:id="-1402780157"/>
          <w14:textFill>
            <w14:solidFill>
              <w14:srgbClr w14:val="000000">
                <w14:alpha w14:val="100000"/>
              </w14:srgbClr>
            </w14:solidFill>
          </w14:textFill>
        </w:rPr>
        <w:t>||||||||||||||||||||||||||||||||||||||||||||||||||||||||||||||||||||||||||  |||||||||||||||||||||||||||||||||||||||||||||||||||||||||||||||||||||||||</w:t>
      </w:r>
      <w:r w:rsidR="003167DB" w:rsidRPr="003167DB">
        <w:rPr>
          <w:color w:val="000000"/>
          <w:spacing w:val="61"/>
          <w:w w:val="54"/>
          <w:shd w:val="solid" w:color="000000" w:fill="000000"/>
          <w:fitText w:val="8948" w:id="-1402780157"/>
          <w14:textFill>
            <w14:solidFill>
              <w14:srgbClr w14:val="000000">
                <w14:alpha w14:val="100000"/>
              </w14:srgbClr>
            </w14:solidFill>
          </w14:textFill>
        </w:rPr>
        <w:t>|</w:t>
      </w:r>
      <w:r w:rsidR="003167DB">
        <w:rPr>
          <w:highlight w:val="lightGray"/>
          <w:shd w:val="clear" w:color="auto" w:fill="C0C0C1"/>
        </w:rPr>
        <w:t xml:space="preserve"> </w:t>
      </w:r>
      <w:r w:rsidR="003167DB" w:rsidRPr="003167DB">
        <w:rPr>
          <w:color w:val="000000"/>
          <w:w w:val="54"/>
          <w:shd w:val="solid" w:color="000000" w:fill="000000"/>
          <w:fitText w:val="8875" w:id="-1402780156"/>
          <w14:textFill>
            <w14:solidFill>
              <w14:srgbClr w14:val="000000">
                <w14:alpha w14:val="100000"/>
              </w14:srgbClr>
            </w14:solidFill>
          </w14:textFill>
        </w:rPr>
        <w:t>|||||||||||||||||||||||||||||||||||||||||||||||||||||||||||||||||||||||||  ||||||||||||||||||||||||||||||||||||||||||||||||||||||||||||||||||||||||</w:t>
      </w:r>
      <w:r w:rsidR="003167DB" w:rsidRPr="003167DB">
        <w:rPr>
          <w:color w:val="000000"/>
          <w:spacing w:val="107"/>
          <w:w w:val="54"/>
          <w:shd w:val="solid" w:color="000000" w:fill="000000"/>
          <w:fitText w:val="8875" w:id="-1402780156"/>
          <w14:textFill>
            <w14:solidFill>
              <w14:srgbClr w14:val="000000">
                <w14:alpha w14:val="100000"/>
              </w14:srgbClr>
            </w14:solidFill>
          </w14:textFill>
        </w:rPr>
        <w:t>|</w:t>
      </w:r>
      <w:r w:rsidR="003167DB">
        <w:rPr>
          <w:highlight w:val="lightGray"/>
          <w:shd w:val="clear" w:color="auto" w:fill="C0C0C1"/>
        </w:rPr>
        <w:t xml:space="preserve"> </w:t>
      </w:r>
      <w:r w:rsidR="003167DB" w:rsidRPr="003167DB">
        <w:rPr>
          <w:color w:val="000000"/>
          <w:w w:val="54"/>
          <w:shd w:val="solid" w:color="000000" w:fill="000000"/>
          <w:fitText w:val="3790" w:id="-1402780155"/>
          <w14:textFill>
            <w14:solidFill>
              <w14:srgbClr w14:val="000000">
                <w14:alpha w14:val="100000"/>
              </w14:srgbClr>
            </w14:solidFill>
          </w14:textFill>
        </w:rPr>
        <w:t>|||||||||||||||||||||||||||||||  ||||||||||||||||||||||||||||||</w:t>
      </w:r>
      <w:r w:rsidR="003167DB" w:rsidRPr="003167DB">
        <w:rPr>
          <w:color w:val="000000"/>
          <w:spacing w:val="33"/>
          <w:w w:val="54"/>
          <w:shd w:val="solid" w:color="000000" w:fill="000000"/>
          <w:fitText w:val="3790" w:id="-1402780155"/>
          <w14:textFill>
            <w14:solidFill>
              <w14:srgbClr w14:val="000000">
                <w14:alpha w14:val="100000"/>
              </w14:srgbClr>
            </w14:solidFill>
          </w14:textFill>
        </w:rPr>
        <w:t>|</w:t>
      </w:r>
      <w:r>
        <w:t xml:space="preserve">For the comparison </w:t>
      </w:r>
      <w:r w:rsidR="006D7194">
        <w:t>of</w:t>
      </w:r>
      <w:r>
        <w:t xml:space="preserve"> NRT </w:t>
      </w:r>
      <w:r w:rsidR="008A2F8B">
        <w:t>gum</w:t>
      </w:r>
      <w:r>
        <w:t xml:space="preserve"> with NRT </w:t>
      </w:r>
      <w:r w:rsidR="00573F59">
        <w:t>patches</w:t>
      </w:r>
      <w:r w:rsidR="00AB7014">
        <w:t>,</w:t>
      </w:r>
      <w:r w:rsidR="008A2F8B">
        <w:t xml:space="preserve"> an indirect comparison was conducted using control as a common reference. The studies of NRT gum </w:t>
      </w:r>
      <w:r w:rsidR="00146708">
        <w:t>versus control (n=56) and NRT</w:t>
      </w:r>
      <w:r w:rsidR="008A2F8B">
        <w:t xml:space="preserve"> </w:t>
      </w:r>
      <w:r w:rsidR="00573F59">
        <w:t>patches</w:t>
      </w:r>
      <w:r w:rsidR="008A2F8B">
        <w:t xml:space="preserve"> versus control</w:t>
      </w:r>
      <w:r w:rsidR="00146708">
        <w:t xml:space="preserve"> (n=54)</w:t>
      </w:r>
      <w:r w:rsidR="008A2F8B">
        <w:t xml:space="preserve"> were based on a meta-analysis from a Cochrane </w:t>
      </w:r>
      <w:r w:rsidR="00B2265B">
        <w:t>R</w:t>
      </w:r>
      <w:r w:rsidR="008A2F8B">
        <w:t xml:space="preserve">eview (Stead et al. 2012), which was updated </w:t>
      </w:r>
      <w:r w:rsidR="009D2A03">
        <w:t>in the subm</w:t>
      </w:r>
      <w:r w:rsidR="009241C9">
        <w:t>i</w:t>
      </w:r>
      <w:r w:rsidR="009D2A03">
        <w:t>ssion</w:t>
      </w:r>
      <w:r w:rsidR="008A2F8B">
        <w:t xml:space="preserve"> with an additional 11 studies comparing NRT </w:t>
      </w:r>
      <w:r w:rsidR="00573F59">
        <w:t>patches</w:t>
      </w:r>
      <w:r w:rsidR="008A2F8B">
        <w:t xml:space="preserve"> with control. </w:t>
      </w:r>
      <w:r w:rsidR="00146708">
        <w:t xml:space="preserve">A single direct RCT of NRT gum versus </w:t>
      </w:r>
      <w:r w:rsidR="00573F59">
        <w:t>patches</w:t>
      </w:r>
      <w:r w:rsidR="00146708">
        <w:t xml:space="preserve"> (Moolchan et al. 2005) was identified by the submission and was considered to provide inadequate evidence for the relative efficacy and safety of NRT gum to </w:t>
      </w:r>
      <w:r w:rsidR="00573F59">
        <w:lastRenderedPageBreak/>
        <w:t>patches</w:t>
      </w:r>
      <w:r w:rsidR="00146708">
        <w:t xml:space="preserve"> (</w:t>
      </w:r>
      <w:r w:rsidR="00146708" w:rsidRPr="00B2265B">
        <w:t xml:space="preserve">NRT PSD, </w:t>
      </w:r>
      <w:r w:rsidR="0076226A" w:rsidRPr="00B2265B">
        <w:t xml:space="preserve">July </w:t>
      </w:r>
      <w:r w:rsidR="00146708" w:rsidRPr="00B2265B">
        <w:t>2017</w:t>
      </w:r>
      <w:r w:rsidR="0076226A" w:rsidRPr="00B2265B">
        <w:t xml:space="preserve"> PBAC meeting</w:t>
      </w:r>
      <w:r w:rsidR="00146708">
        <w:t>).</w:t>
      </w:r>
      <w:r w:rsidR="00D900DC">
        <w:t xml:space="preserve"> </w:t>
      </w:r>
      <w:r w:rsidR="00146708">
        <w:t xml:space="preserve">The PBAC considered that on balance, </w:t>
      </w:r>
      <w:r w:rsidR="00B640D6">
        <w:t>despite the</w:t>
      </w:r>
      <w:r w:rsidR="001D332D">
        <w:t xml:space="preserve"> absence of a non-inferiority margin</w:t>
      </w:r>
      <w:r w:rsidR="00146708">
        <w:t xml:space="preserve">, the submission’s overall claim of non-inferiority in terms of comparative efficacy and safety for NRT </w:t>
      </w:r>
      <w:r w:rsidR="00573F59">
        <w:t>lozenges</w:t>
      </w:r>
      <w:r w:rsidR="00F35D70">
        <w:t xml:space="preserve"> and </w:t>
      </w:r>
      <w:r w:rsidR="00146708">
        <w:t xml:space="preserve">gum compared with NRT </w:t>
      </w:r>
      <w:r w:rsidR="00573F59">
        <w:t>patches</w:t>
      </w:r>
      <w:r w:rsidR="00146708">
        <w:t>, was reasonable (</w:t>
      </w:r>
      <w:r w:rsidR="00146708" w:rsidRPr="00961DD7">
        <w:t xml:space="preserve">NRT PSD, </w:t>
      </w:r>
      <w:r w:rsidR="0076226A" w:rsidRPr="00961DD7">
        <w:t xml:space="preserve">July 2017 </w:t>
      </w:r>
      <w:r w:rsidR="00777459" w:rsidRPr="00961DD7">
        <w:t>and March</w:t>
      </w:r>
      <w:r w:rsidR="0076226A" w:rsidRPr="00961DD7">
        <w:t xml:space="preserve"> 2018 PBAC meetings</w:t>
      </w:r>
      <w:r w:rsidR="00146708">
        <w:t>).</w:t>
      </w:r>
    </w:p>
    <w:p w14:paraId="5AE3355E" w14:textId="4AB55D55" w:rsidR="008E38BA" w:rsidRDefault="00C83EDA" w:rsidP="000C4257">
      <w:pPr>
        <w:spacing w:after="120"/>
        <w:jc w:val="both"/>
        <w:rPr>
          <w:b/>
          <w:bCs/>
        </w:rPr>
      </w:pPr>
      <w:r w:rsidRPr="001A7D76">
        <w:rPr>
          <w:b/>
          <w:bCs/>
        </w:rPr>
        <w:t xml:space="preserve">NRT </w:t>
      </w:r>
      <w:r w:rsidR="008E38BA">
        <w:rPr>
          <w:b/>
          <w:bCs/>
        </w:rPr>
        <w:t xml:space="preserve">patch </w:t>
      </w:r>
      <w:r w:rsidRPr="001A7D76">
        <w:rPr>
          <w:b/>
          <w:bCs/>
        </w:rPr>
        <w:t>versus placebo</w:t>
      </w:r>
    </w:p>
    <w:p w14:paraId="1F1FBE6C" w14:textId="0D9E536A" w:rsidR="003D7844" w:rsidRDefault="008E38BA" w:rsidP="000C4257">
      <w:pPr>
        <w:spacing w:after="120"/>
        <w:jc w:val="both"/>
      </w:pPr>
      <w:r w:rsidRPr="008E38BA">
        <w:t xml:space="preserve">A summary of the citation details for the studies comparing </w:t>
      </w:r>
      <w:r w:rsidR="00A67ADE">
        <w:t xml:space="preserve">NRT </w:t>
      </w:r>
      <w:r w:rsidR="00573F59">
        <w:t>patches</w:t>
      </w:r>
      <w:r w:rsidRPr="008E38BA">
        <w:t xml:space="preserve"> with placebo is presented in </w:t>
      </w:r>
      <w:r w:rsidR="00A67ADE">
        <w:fldChar w:fldCharType="begin" w:fldLock="1"/>
      </w:r>
      <w:r w:rsidR="00A67ADE">
        <w:instrText xml:space="preserve"> REF _Ref54193586 \h </w:instrText>
      </w:r>
      <w:r w:rsidR="00A67ADE">
        <w:fldChar w:fldCharType="separate"/>
      </w:r>
      <w:r w:rsidR="00EC5CC7">
        <w:t xml:space="preserve">Table </w:t>
      </w:r>
      <w:r w:rsidR="00EC5CC7">
        <w:rPr>
          <w:noProof/>
        </w:rPr>
        <w:t>21</w:t>
      </w:r>
      <w:r w:rsidR="00A67ADE">
        <w:fldChar w:fldCharType="end"/>
      </w:r>
      <w:r w:rsidRPr="008E38BA">
        <w:t xml:space="preserve">. </w:t>
      </w:r>
      <w:r w:rsidR="003167DB" w:rsidRPr="003167DB">
        <w:rPr>
          <w:color w:val="000000"/>
          <w:w w:val="82"/>
          <w:shd w:val="solid" w:color="000000" w:fill="000000"/>
          <w:fitText w:val="272" w:id="-1402779904"/>
          <w14:textFill>
            <w14:solidFill>
              <w14:srgbClr w14:val="000000">
                <w14:alpha w14:val="100000"/>
              </w14:srgbClr>
            </w14:solidFill>
          </w14:textFill>
        </w:rPr>
        <w:t>|  |</w:t>
      </w:r>
      <w:r w:rsidRPr="008E38BA">
        <w:t xml:space="preserve"> </w:t>
      </w:r>
      <w:r w:rsidR="000838AA">
        <w:t xml:space="preserve">Cochrane </w:t>
      </w:r>
      <w:r w:rsidR="00072566">
        <w:t>R</w:t>
      </w:r>
      <w:r w:rsidR="000838AA">
        <w:t>eviews</w:t>
      </w:r>
      <w:r w:rsidR="008E021C">
        <w:t xml:space="preserve"> comprising studies that compared NRT </w:t>
      </w:r>
      <w:r w:rsidR="00573F59">
        <w:t>patches</w:t>
      </w:r>
      <w:r w:rsidR="008E021C">
        <w:t xml:space="preserve"> with placebo</w:t>
      </w:r>
      <w:r w:rsidRPr="008E38BA">
        <w:t xml:space="preserve"> </w:t>
      </w:r>
      <w:r w:rsidR="003167DB" w:rsidRPr="003167DB">
        <w:rPr>
          <w:color w:val="000000"/>
          <w:spacing w:val="1"/>
          <w:w w:val="56"/>
          <w:shd w:val="solid" w:color="000000" w:fill="000000"/>
          <w:fitText w:val="2076" w:id="-1402779903"/>
          <w14:textFill>
            <w14:solidFill>
              <w14:srgbClr w14:val="000000">
                <w14:alpha w14:val="100000"/>
              </w14:srgbClr>
            </w14:solidFill>
          </w14:textFill>
        </w:rPr>
        <w:t>||||||||||||||||  |||||||||||||||</w:t>
      </w:r>
      <w:r w:rsidR="003167DB" w:rsidRPr="003167DB">
        <w:rPr>
          <w:color w:val="000000"/>
          <w:spacing w:val="2"/>
          <w:w w:val="56"/>
          <w:shd w:val="solid" w:color="000000" w:fill="000000"/>
          <w:fitText w:val="2076" w:id="-1402779903"/>
          <w14:textFill>
            <w14:solidFill>
              <w14:srgbClr w14:val="000000">
                <w14:alpha w14:val="100000"/>
              </w14:srgbClr>
            </w14:solidFill>
          </w14:textFill>
        </w:rPr>
        <w:t>|</w:t>
      </w:r>
      <w:r w:rsidR="002860AF">
        <w:t>Stead et al. 2008</w:t>
      </w:r>
      <w:r w:rsidR="002860AF" w:rsidRPr="008E38BA">
        <w:t>)</w:t>
      </w:r>
      <w:r w:rsidR="002860AF">
        <w:t xml:space="preserve"> </w:t>
      </w:r>
      <w:r w:rsidR="00CC44C1">
        <w:t xml:space="preserve">and </w:t>
      </w:r>
      <w:r w:rsidR="003167DB" w:rsidRPr="003167DB">
        <w:rPr>
          <w:color w:val="000000"/>
          <w:w w:val="54"/>
          <w:shd w:val="solid" w:color="000000" w:fill="000000"/>
          <w:fitText w:val="3298" w:id="-1402779648"/>
          <w14:textFill>
            <w14:solidFill>
              <w14:srgbClr w14:val="000000">
                <w14:alpha w14:val="100000"/>
              </w14:srgbClr>
            </w14:solidFill>
          </w14:textFill>
        </w:rPr>
        <w:t>|||||||||||||||||||||||||||  ||||||||||||||||||||||||||</w:t>
      </w:r>
      <w:r w:rsidR="003167DB" w:rsidRPr="003167DB">
        <w:rPr>
          <w:color w:val="000000"/>
          <w:spacing w:val="18"/>
          <w:w w:val="54"/>
          <w:shd w:val="solid" w:color="000000" w:fill="000000"/>
          <w:fitText w:val="3298" w:id="-1402779648"/>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3771" w:id="-1402779647"/>
          <w14:textFill>
            <w14:solidFill>
              <w14:srgbClr w14:val="000000">
                <w14:alpha w14:val="100000"/>
              </w14:srgbClr>
            </w14:solidFill>
          </w14:textFill>
        </w:rPr>
        <w:t>|||||||||||||||||||||||||||||||  ||||||||||||||||||||||||||||||</w:t>
      </w:r>
      <w:r w:rsidR="003167DB" w:rsidRPr="003167DB">
        <w:rPr>
          <w:color w:val="000000"/>
          <w:spacing w:val="14"/>
          <w:w w:val="54"/>
          <w:shd w:val="solid" w:color="000000" w:fill="000000"/>
          <w:fitText w:val="3771" w:id="-1402779647"/>
          <w14:textFill>
            <w14:solidFill>
              <w14:srgbClr w14:val="000000">
                <w14:alpha w14:val="100000"/>
              </w14:srgbClr>
            </w14:solidFill>
          </w14:textFill>
        </w:rPr>
        <w:t>|</w:t>
      </w:r>
      <w:r w:rsidR="002860AF">
        <w:t xml:space="preserve"> </w:t>
      </w:r>
      <w:r w:rsidRPr="008E38BA">
        <w:t xml:space="preserve">were previously considered by the PBAC. A recently conducted Cochrane </w:t>
      </w:r>
      <w:r w:rsidR="004B3FC7">
        <w:t>R</w:t>
      </w:r>
      <w:r w:rsidRPr="008E38BA">
        <w:t>eview by H</w:t>
      </w:r>
      <w:r w:rsidR="000838AA">
        <w:t>artmann-Boyce</w:t>
      </w:r>
      <w:r w:rsidRPr="008E38BA">
        <w:t xml:space="preserve"> et al. (20</w:t>
      </w:r>
      <w:r w:rsidR="000838AA">
        <w:t>18</w:t>
      </w:r>
      <w:r w:rsidRPr="008E38BA">
        <w:t xml:space="preserve">) was identified in the systematic literature review that compared </w:t>
      </w:r>
      <w:r w:rsidR="00603673">
        <w:t xml:space="preserve">NRT </w:t>
      </w:r>
      <w:r w:rsidR="00573F59">
        <w:t>patches</w:t>
      </w:r>
      <w:r w:rsidRPr="008E38BA">
        <w:t xml:space="preserve"> with placebo and was included in this report.</w:t>
      </w:r>
      <w:r w:rsidR="00603673">
        <w:t xml:space="preserve"> </w:t>
      </w:r>
      <w:r w:rsidR="00CB2F72" w:rsidRPr="00CB2F72">
        <w:t>One new study was identified in the supplemental literature search that informed this comparison and was included in this report (Benowitz et al. 2018).</w:t>
      </w:r>
    </w:p>
    <w:p w14:paraId="18B34ED1" w14:textId="1EB5B4B2" w:rsidR="008E38BA" w:rsidRDefault="00603673" w:rsidP="000C4257">
      <w:pPr>
        <w:spacing w:after="120"/>
        <w:jc w:val="both"/>
      </w:pPr>
      <w:r>
        <w:t xml:space="preserve">Hartmann-Boyce et al. (2018) was an updated review of </w:t>
      </w:r>
      <w:r w:rsidR="003167DB" w:rsidRPr="00BF3F75">
        <w:rPr>
          <w:color w:val="000000"/>
          <w:w w:val="54"/>
          <w:shd w:val="solid" w:color="000000" w:fill="000000"/>
          <w:fitText w:val="2122" w:id="-1402779646"/>
          <w14:textFill>
            <w14:solidFill>
              <w14:srgbClr w14:val="000000">
                <w14:alpha w14:val="100000"/>
              </w14:srgbClr>
            </w14:solidFill>
          </w14:textFill>
        </w:rPr>
        <w:t>|||||||||||||||||  |||||||||||||||||</w:t>
      </w:r>
      <w:r>
        <w:t xml:space="preserve">Stead et al. (2008). </w:t>
      </w:r>
      <w:r w:rsidR="003C3FF4" w:rsidRPr="003C3FF4">
        <w:t>This review was first published over 20 years ago, in 1996, and</w:t>
      </w:r>
      <w:r w:rsidR="003C3FF4">
        <w:t xml:space="preserve"> </w:t>
      </w:r>
      <w:r w:rsidR="003C3FF4" w:rsidRPr="003C3FF4">
        <w:t>has been regularly updated since. In previous versions, this review</w:t>
      </w:r>
      <w:r w:rsidR="003C3FF4">
        <w:t xml:space="preserve"> </w:t>
      </w:r>
      <w:r w:rsidR="003C3FF4" w:rsidRPr="003C3FF4">
        <w:t>addressed not only the e</w:t>
      </w:r>
      <w:r w:rsidR="003C3FF4">
        <w:t>ff</w:t>
      </w:r>
      <w:r w:rsidR="003C3FF4" w:rsidRPr="003C3FF4">
        <w:t>ect of NRT in comparison to placebo</w:t>
      </w:r>
      <w:r w:rsidR="003C3FF4">
        <w:t xml:space="preserve"> </w:t>
      </w:r>
      <w:r w:rsidR="003C3FF4" w:rsidRPr="003C3FF4">
        <w:t xml:space="preserve">for helping people stop smoking, but also looked at </w:t>
      </w:r>
      <w:r w:rsidR="004C4EA7" w:rsidRPr="003C3FF4">
        <w:t>comparisons</w:t>
      </w:r>
      <w:r w:rsidR="004C4EA7">
        <w:t xml:space="preserve"> between</w:t>
      </w:r>
      <w:r w:rsidR="003C3FF4" w:rsidRPr="003C3FF4">
        <w:t xml:space="preserve"> di</w:t>
      </w:r>
      <w:r w:rsidR="003C3FF4">
        <w:t>ff</w:t>
      </w:r>
      <w:r w:rsidR="003C3FF4" w:rsidRPr="003C3FF4">
        <w:t>erent forms and doses of NRT, and between NRT and</w:t>
      </w:r>
      <w:r w:rsidR="003C3FF4">
        <w:t xml:space="preserve"> </w:t>
      </w:r>
      <w:r w:rsidR="003C3FF4" w:rsidRPr="003C3FF4">
        <w:t>di</w:t>
      </w:r>
      <w:r w:rsidR="003C3FF4">
        <w:t>ff</w:t>
      </w:r>
      <w:r w:rsidR="003C3FF4" w:rsidRPr="003C3FF4">
        <w:t>erent</w:t>
      </w:r>
      <w:r w:rsidR="003C3FF4">
        <w:t xml:space="preserve"> </w:t>
      </w:r>
      <w:r w:rsidR="003C3FF4" w:rsidRPr="003C3FF4">
        <w:t>pharmacotherapies.</w:t>
      </w:r>
      <w:r w:rsidR="00A0028F">
        <w:t xml:space="preserve"> </w:t>
      </w:r>
      <w:r w:rsidR="005E2ADD">
        <w:t xml:space="preserve">Hartmann-Boyce </w:t>
      </w:r>
      <w:r w:rsidR="00045DF5">
        <w:t>et al. (2018) have</w:t>
      </w:r>
      <w:r w:rsidR="00537D33" w:rsidRPr="00537D33">
        <w:t xml:space="preserve"> split the previous version of th</w:t>
      </w:r>
      <w:r w:rsidR="0066305E">
        <w:t>is</w:t>
      </w:r>
      <w:r w:rsidR="00045DF5">
        <w:t xml:space="preserve"> </w:t>
      </w:r>
      <w:r w:rsidR="00537D33" w:rsidRPr="00537D33">
        <w:t>review</w:t>
      </w:r>
      <w:r w:rsidR="00A0028F">
        <w:t xml:space="preserve"> on the basis that t</w:t>
      </w:r>
      <w:r w:rsidR="00A0028F" w:rsidRPr="00A0028F">
        <w:t xml:space="preserve">he evidence </w:t>
      </w:r>
      <w:r w:rsidR="00DD6053">
        <w:t>of</w:t>
      </w:r>
      <w:r w:rsidR="00A0028F" w:rsidRPr="00A0028F">
        <w:t xml:space="preserve"> NRT </w:t>
      </w:r>
      <w:r w:rsidR="00DD6053">
        <w:t>in smoking cessation is well established</w:t>
      </w:r>
      <w:r w:rsidR="00A0028F" w:rsidRPr="00A0028F">
        <w:t xml:space="preserve"> and many clinical guidelines recommend NRT as a first-line treatment for people seeking pharmacological help to stop smoking</w:t>
      </w:r>
      <w:r w:rsidR="004C17A8">
        <w:t>.</w:t>
      </w:r>
      <w:r w:rsidR="00537D33" w:rsidRPr="00537D33">
        <w:t xml:space="preserve"> </w:t>
      </w:r>
      <w:r w:rsidR="004C17A8">
        <w:t>T</w:t>
      </w:r>
      <w:r w:rsidR="00537D33" w:rsidRPr="00537D33">
        <w:t>his</w:t>
      </w:r>
      <w:r w:rsidR="004C17A8">
        <w:t xml:space="preserve"> updated</w:t>
      </w:r>
      <w:r w:rsidR="00537D33" w:rsidRPr="00537D33">
        <w:t xml:space="preserve"> review now only looks at NRT versus placebo or no</w:t>
      </w:r>
      <w:r w:rsidR="004C17A8">
        <w:t xml:space="preserve"> </w:t>
      </w:r>
      <w:r w:rsidR="00537D33" w:rsidRPr="00537D33">
        <w:t>pharmacotherapy, with the intention that, given the stability of</w:t>
      </w:r>
      <w:r w:rsidR="004C17A8">
        <w:t xml:space="preserve"> </w:t>
      </w:r>
      <w:r w:rsidR="00537D33" w:rsidRPr="00537D33">
        <w:t>this</w:t>
      </w:r>
      <w:r w:rsidR="004C17A8">
        <w:t xml:space="preserve"> </w:t>
      </w:r>
      <w:r w:rsidR="00537D33" w:rsidRPr="00537D33">
        <w:t>comparison, this review will no longer require regular updates.</w:t>
      </w:r>
    </w:p>
    <w:p w14:paraId="36B4E4B5" w14:textId="2E2AF5C9" w:rsidR="00CC17A6" w:rsidRDefault="00CC17A6" w:rsidP="000C4257">
      <w:pPr>
        <w:pStyle w:val="Caption"/>
        <w:keepNext/>
        <w:spacing w:before="0" w:after="120"/>
        <w:jc w:val="both"/>
      </w:pPr>
      <w:bookmarkStart w:id="60" w:name="_Ref54193586"/>
      <w:r>
        <w:t xml:space="preserve">Table </w:t>
      </w:r>
      <w:r w:rsidR="00BF3F75">
        <w:fldChar w:fldCharType="begin"/>
      </w:r>
      <w:r w:rsidR="00BF3F75">
        <w:instrText xml:space="preserve"> SEQ Table \* ARABIC </w:instrText>
      </w:r>
      <w:r w:rsidR="00BF3F75">
        <w:fldChar w:fldCharType="separate"/>
      </w:r>
      <w:r w:rsidR="00EC5CC7">
        <w:rPr>
          <w:noProof/>
        </w:rPr>
        <w:t>21</w:t>
      </w:r>
      <w:r w:rsidR="00BF3F75">
        <w:rPr>
          <w:noProof/>
        </w:rPr>
        <w:fldChar w:fldCharType="end"/>
      </w:r>
      <w:bookmarkEnd w:id="60"/>
      <w:r>
        <w:t xml:space="preserve">: </w:t>
      </w:r>
      <w:r w:rsidRPr="00527162">
        <w:t xml:space="preserve">List of studies comparing </w:t>
      </w:r>
      <w:r>
        <w:t>NRT patch</w:t>
      </w:r>
      <w:r w:rsidRPr="00527162">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1554"/>
        <w:gridCol w:w="7462"/>
      </w:tblGrid>
      <w:tr w:rsidR="0039468B" w:rsidRPr="00061F78" w14:paraId="7FA5D8A1" w14:textId="77777777" w:rsidTr="00961DD7">
        <w:trPr>
          <w:cantSplit/>
          <w:trHeight w:val="329"/>
          <w:tblHeader/>
        </w:trPr>
        <w:tc>
          <w:tcPr>
            <w:tcW w:w="862" w:type="pct"/>
            <w:shd w:val="clear" w:color="auto" w:fill="BFBFBF" w:themeFill="background1" w:themeFillShade="BF"/>
            <w:tcMar>
              <w:left w:w="28" w:type="dxa"/>
              <w:right w:w="28" w:type="dxa"/>
            </w:tcMar>
          </w:tcPr>
          <w:p w14:paraId="68933767" w14:textId="0E363AD4" w:rsidR="008E38BA" w:rsidRPr="00061F78" w:rsidRDefault="00126B7B" w:rsidP="00B96866">
            <w:pPr>
              <w:pStyle w:val="Tableheading"/>
              <w:keepNext/>
              <w:rPr>
                <w:rFonts w:eastAsia="MS Mincho"/>
              </w:rPr>
            </w:pPr>
            <w:r>
              <w:rPr>
                <w:rFonts w:eastAsia="MS Mincho"/>
              </w:rPr>
              <w:t>Study</w:t>
            </w:r>
          </w:p>
        </w:tc>
        <w:tc>
          <w:tcPr>
            <w:tcW w:w="4138" w:type="pct"/>
            <w:shd w:val="clear" w:color="auto" w:fill="BFBFBF" w:themeFill="background1" w:themeFillShade="BF"/>
          </w:tcPr>
          <w:p w14:paraId="72C160A7" w14:textId="77777777" w:rsidR="008E38BA" w:rsidRDefault="008E38BA" w:rsidP="00B96866">
            <w:pPr>
              <w:pStyle w:val="Tableheading"/>
              <w:keepNext/>
              <w:jc w:val="center"/>
              <w:rPr>
                <w:rFonts w:eastAsia="MS Mincho"/>
              </w:rPr>
            </w:pPr>
            <w:r>
              <w:rPr>
                <w:rFonts w:eastAsia="MS Mincho"/>
              </w:rPr>
              <w:t>Citation</w:t>
            </w:r>
          </w:p>
        </w:tc>
      </w:tr>
      <w:tr w:rsidR="0039468B" w:rsidRPr="00061F78" w14:paraId="3C604CED" w14:textId="77777777" w:rsidTr="00231319">
        <w:trPr>
          <w:cantSplit/>
          <w:trHeight w:val="109"/>
        </w:trPr>
        <w:tc>
          <w:tcPr>
            <w:tcW w:w="862" w:type="pct"/>
            <w:shd w:val="clear" w:color="auto" w:fill="FFFFFF" w:themeFill="background1"/>
            <w:tcMar>
              <w:left w:w="28" w:type="dxa"/>
              <w:right w:w="28" w:type="dxa"/>
            </w:tcMar>
          </w:tcPr>
          <w:p w14:paraId="4261F984" w14:textId="77777777" w:rsidR="00482C36" w:rsidRPr="00231319" w:rsidRDefault="00482C36" w:rsidP="00B96866">
            <w:pPr>
              <w:pStyle w:val="Tablewriting"/>
              <w:keepNext/>
              <w:rPr>
                <w:rFonts w:eastAsia="MS Mincho"/>
              </w:rPr>
            </w:pPr>
            <w:r w:rsidRPr="00231319">
              <w:rPr>
                <w:rFonts w:eastAsia="MS Mincho"/>
              </w:rPr>
              <w:t>Tonnesen</w:t>
            </w:r>
          </w:p>
          <w:p w14:paraId="28A3CC3D" w14:textId="0DDA252F" w:rsidR="00482C36" w:rsidRPr="00231319" w:rsidRDefault="00482C36" w:rsidP="00B96866">
            <w:pPr>
              <w:pStyle w:val="Tablewriting"/>
              <w:keepNext/>
              <w:rPr>
                <w:rFonts w:eastAsia="MS Mincho"/>
              </w:rPr>
            </w:pPr>
            <w:r w:rsidRPr="00231319">
              <w:rPr>
                <w:rFonts w:eastAsia="MS Mincho"/>
              </w:rPr>
              <w:t>(CEASE, 1999)</w:t>
            </w:r>
            <w:hyperlink w:anchor="_ENREF_27" w:tooltip="Tonnesen, 1999 #616" w:history="1">
              <w:r w:rsidR="0039468B" w:rsidRPr="00231319">
                <w:rPr>
                  <w:rFonts w:eastAsia="MS Mincho"/>
                </w:rPr>
                <w:fldChar w:fldCharType="begin"/>
              </w:r>
              <w:r w:rsidR="0039468B" w:rsidRPr="00231319">
                <w:rPr>
                  <w:rFonts w:eastAsia="MS Mincho"/>
                </w:rPr>
                <w:instrText xml:space="preserve"> ADDIN EN.CITE &lt;EndNote&gt;&lt;Cite&gt;&lt;Author&gt;Tonnesen&lt;/Author&gt;&lt;Year&gt;1999&lt;/Year&gt;&lt;RecNum&gt;616&lt;/RecNum&gt;&lt;DisplayText&gt;&lt;style face="superscript"&gt;27&lt;/style&gt;&lt;/DisplayText&gt;&lt;record&gt;&lt;rec-number&gt;616&lt;/rec-number&gt;&lt;foreign-keys&gt;&lt;key app="EN" db-id="2xwa055rhevv2yef5v75fepy2azsv0xvx9w9" timestamp="1604312116"&gt;616&lt;/key&gt;&lt;/foreign-keys&gt;&lt;ref-type name="Journal Article"&gt;17&lt;/ref-type&gt;&lt;contributors&gt;&lt;authors&gt;&lt;author&gt;Tonnesen, P.&lt;/author&gt;&lt;author&gt;Paoletti, P.&lt;/author&gt;&lt;author&gt;Gustavsson, G.&lt;/author&gt;&lt;author&gt;Russell, M. A.&lt;/author&gt;&lt;author&gt;Saracci, R.&lt;/author&gt;&lt;author&gt;Gulsvik, A.&lt;/author&gt;&lt;author&gt;Rijcken, B.&lt;/author&gt;&lt;author&gt;Sawe, U.&lt;/author&gt;&lt;/authors&gt;&lt;/contributors&gt;&lt;auth-address&gt;Dept of Pulmonary Medicine, Gentofte Hospital, Hellerup, Denmark.&lt;/auth-address&gt;&lt;titles&gt;&lt;title&gt;Higher dosage nicotine patches increase one-year smoking cessation rates: results from the European CEASE trial. Collaborative European Anti-Smoking Evaluation. European Respiratory Society&lt;/title&gt;&lt;secondary-title&gt;Eur Respir J&lt;/secondary-title&gt;&lt;/titles&gt;&lt;periodical&gt;&lt;full-title&gt;Eur Respir J&lt;/full-title&gt;&lt;/periodical&gt;&lt;pages&gt;238-46&lt;/pages&gt;&lt;volume&gt;13&lt;/volume&gt;&lt;number&gt;2&lt;/number&gt;&lt;edition&gt;1999/03/05&lt;/edition&gt;&lt;keywords&gt;&lt;keyword&gt;Administration, Cutaneous&lt;/keyword&gt;&lt;keyword&gt;Adult&lt;/keyword&gt;&lt;keyword&gt;Aged&lt;/keyword&gt;&lt;keyword&gt;Body Weight&lt;/keyword&gt;&lt;keyword&gt;Double-Blind Method&lt;/keyword&gt;&lt;keyword&gt;Female&lt;/keyword&gt;&lt;keyword&gt;Humans&lt;/keyword&gt;&lt;keyword&gt;Male&lt;/keyword&gt;&lt;keyword&gt;Middle Aged&lt;/keyword&gt;&lt;keyword&gt;Nicotine/*administration &amp;amp; dosage/adverse effects&lt;/keyword&gt;&lt;keyword&gt;Patient Compliance&lt;/keyword&gt;&lt;keyword&gt;Smoking Cessation/*methods&lt;/keyword&gt;&lt;keyword&gt;Treatment Outcome&lt;/keyword&gt;&lt;/keywords&gt;&lt;dates&gt;&lt;year&gt;1999&lt;/year&gt;&lt;pub-dates&gt;&lt;date&gt;Feb&lt;/date&gt;&lt;/pub-dates&gt;&lt;/dates&gt;&lt;isbn&gt;0903-1936 (Print)&amp;#xD;0903-1936 (Linking)&lt;/isbn&gt;&lt;accession-num&gt;10065662&lt;/accession-num&gt;&lt;urls&gt;&lt;related-urls&gt;&lt;url&gt;https://www.ncbi.nlm.nih.gov/pubmed/10065662&lt;/url&gt;&lt;/related-urls&gt;&lt;/urls&gt;&lt;electronic-resource-num&gt;10.1034/j.1399-3003.1999.13b04.x&lt;/electronic-resource-num&gt;&lt;/record&gt;&lt;/Cite&gt;&lt;/EndNote&gt;</w:instrText>
              </w:r>
              <w:r w:rsidR="0039468B" w:rsidRPr="00231319">
                <w:rPr>
                  <w:rFonts w:eastAsia="MS Mincho"/>
                </w:rPr>
                <w:fldChar w:fldCharType="separate"/>
              </w:r>
              <w:r w:rsidR="0039468B" w:rsidRPr="00231319">
                <w:rPr>
                  <w:rFonts w:eastAsia="MS Mincho"/>
                  <w:vertAlign w:val="superscript"/>
                </w:rPr>
                <w:t>27</w:t>
              </w:r>
              <w:r w:rsidR="0039468B" w:rsidRPr="00231319">
                <w:rPr>
                  <w:rFonts w:eastAsia="MS Mincho"/>
                </w:rPr>
                <w:fldChar w:fldCharType="end"/>
              </w:r>
            </w:hyperlink>
          </w:p>
        </w:tc>
        <w:tc>
          <w:tcPr>
            <w:tcW w:w="4138" w:type="pct"/>
            <w:shd w:val="clear" w:color="auto" w:fill="FFFFFF" w:themeFill="background1"/>
          </w:tcPr>
          <w:p w14:paraId="2EDF0219" w14:textId="05777664" w:rsidR="00482C36" w:rsidRPr="00231319" w:rsidRDefault="00460E26" w:rsidP="00B96866">
            <w:pPr>
              <w:pStyle w:val="Tablewriting"/>
              <w:keepNext/>
              <w:rPr>
                <w:rFonts w:eastAsia="MS Mincho"/>
              </w:rPr>
            </w:pPr>
            <w:r w:rsidRPr="00231319">
              <w:rPr>
                <w:rFonts w:eastAsia="MS Mincho"/>
              </w:rPr>
              <w:t>Tønnesen P, Paoletti P, Gustavsson G, Russell MA, Saracci R, Gulsvik A, Rijcken B, Sawe U. Higher dosage nicotine patches increase one-year smoking cessation rates: results from the European CEASE trial. Collaborative European Anti-Smoking Evaluation. European Respiratory Society. Eur Respir J. 1999 Feb;13(2):238-46.</w:t>
            </w:r>
          </w:p>
        </w:tc>
      </w:tr>
      <w:tr w:rsidR="0039468B" w:rsidRPr="00061F78" w14:paraId="5FF04C10" w14:textId="77777777" w:rsidTr="00231319">
        <w:trPr>
          <w:cantSplit/>
          <w:trHeight w:val="109"/>
        </w:trPr>
        <w:tc>
          <w:tcPr>
            <w:tcW w:w="862" w:type="pct"/>
            <w:shd w:val="clear" w:color="auto" w:fill="FFFFFF" w:themeFill="background1"/>
            <w:tcMar>
              <w:left w:w="28" w:type="dxa"/>
              <w:right w:w="28" w:type="dxa"/>
            </w:tcMar>
          </w:tcPr>
          <w:p w14:paraId="4772E0CA" w14:textId="0D95B2A2" w:rsidR="008E38BA" w:rsidRPr="00231319" w:rsidRDefault="008E38BA" w:rsidP="00B96866">
            <w:pPr>
              <w:pStyle w:val="Tablewriting"/>
              <w:keepNext/>
              <w:rPr>
                <w:rFonts w:eastAsia="MS Mincho"/>
              </w:rPr>
            </w:pPr>
            <w:r w:rsidRPr="00231319">
              <w:rPr>
                <w:rFonts w:eastAsia="MS Mincho"/>
              </w:rPr>
              <w:t>Si</w:t>
            </w:r>
            <w:r w:rsidR="00A67ADE" w:rsidRPr="00231319">
              <w:rPr>
                <w:rFonts w:eastAsia="MS Mincho"/>
              </w:rPr>
              <w:t>la</w:t>
            </w:r>
            <w:r w:rsidRPr="00231319">
              <w:rPr>
                <w:rFonts w:eastAsia="MS Mincho"/>
              </w:rPr>
              <w:t>g</w:t>
            </w:r>
            <w:r w:rsidR="00A67ADE" w:rsidRPr="00231319">
              <w:rPr>
                <w:rFonts w:eastAsia="MS Mincho"/>
              </w:rPr>
              <w:t>y</w:t>
            </w:r>
          </w:p>
          <w:p w14:paraId="4A039932" w14:textId="04D12D02" w:rsidR="008E38BA" w:rsidRPr="00231319" w:rsidRDefault="008E38BA" w:rsidP="00B96866">
            <w:pPr>
              <w:pStyle w:val="Tablewriting"/>
              <w:keepNext/>
              <w:rPr>
                <w:rFonts w:eastAsia="MS Mincho"/>
              </w:rPr>
            </w:pPr>
            <w:r w:rsidRPr="00231319">
              <w:rPr>
                <w:rFonts w:eastAsia="MS Mincho"/>
              </w:rPr>
              <w:t>(2004)</w:t>
            </w:r>
            <w:hyperlink w:anchor="_ENREF_28" w:tooltip="Silagy, 2004 #602" w:history="1">
              <w:r w:rsidR="0039468B" w:rsidRPr="00231319">
                <w:rPr>
                  <w:rFonts w:eastAsia="MS Mincho"/>
                </w:rPr>
                <w:fldChar w:fldCharType="begin"/>
              </w:r>
              <w:r w:rsidR="0039468B" w:rsidRPr="00231319">
                <w:rPr>
                  <w:rFonts w:eastAsia="MS Mincho"/>
                </w:rPr>
                <w:instrText xml:space="preserve"> ADDIN EN.CITE &lt;EndNote&gt;&lt;Cite&gt;&lt;Author&gt;Silagy&lt;/Author&gt;&lt;Year&gt;2004&lt;/Year&gt;&lt;RecNum&gt;602&lt;/RecNum&gt;&lt;DisplayText&gt;&lt;style face="superscript"&gt;28&lt;/style&gt;&lt;/DisplayText&gt;&lt;record&gt;&lt;rec-number&gt;602&lt;/rec-number&gt;&lt;foreign-keys&gt;&lt;key app="EN" db-id="2xwa055rhevv2yef5v75fepy2azsv0xvx9w9" timestamp="1603260363"&gt;602&lt;/key&gt;&lt;/foreign-keys&gt;&lt;ref-type name="Journal Article"&gt;17&lt;/ref-type&gt;&lt;contributors&gt;&lt;authors&gt;&lt;author&gt;Silagy, C.&lt;/author&gt;&lt;author&gt;Lancaster, T.&lt;/author&gt;&lt;author&gt;Stead, L. F.&lt;/author&gt;&lt;author&gt;Mant, D.&lt;/author&gt;&lt;author&gt;Fowler, G.&lt;/author&gt;&lt;/authors&gt;&lt;/contributors&gt;&lt;titles&gt;&lt;title&gt;Nicotine replacement therapy for smoking cessation&lt;/title&gt;&lt;secondary-title&gt;Cochrane Database of Systematic Reviews&lt;/secondary-title&gt;&lt;/titles&gt;&lt;periodical&gt;&lt;full-title&gt;Cochrane Database of Systematic Reviews&lt;/full-title&gt;&lt;/periodical&gt;&lt;number&gt;3&lt;/number&gt;&lt;keywords&gt;&lt;keyword&gt;Administration, Cutaneous&lt;/keyword&gt;&lt;keyword&gt;Administration, Inhalation&lt;/keyword&gt;&lt;keyword&gt;Chewing Gum&lt;/keyword&gt;&lt;keyword&gt;Female&lt;/keyword&gt;&lt;keyword&gt;Humans&lt;/keyword&gt;&lt;keyword&gt;Male&lt;/keyword&gt;&lt;keyword&gt;Nicotine [administration &amp;amp; dosage]&lt;/keyword&gt;&lt;keyword&gt;Nicotinic Agonists [administration &amp;amp; dosage]&lt;/keyword&gt;&lt;keyword&gt;Randomized Controlled Trials as Topic&lt;/keyword&gt;&lt;keyword&gt;Smoking Cessation [*methods, statistics &amp;amp; numerical data]&lt;/keyword&gt;&lt;keyword&gt;Smoking Prevention [*methods, statistics &amp;amp; numerical data]&lt;/keyword&gt;&lt;keyword&gt;Tablets&lt;/keyword&gt;&lt;keyword&gt;Time Factors&lt;/keyword&gt;&lt;/keywords&gt;&lt;dates&gt;&lt;year&gt;2004&lt;/year&gt;&lt;/dates&gt;&lt;publisher&gt;John Wiley &amp;amp; Sons, Ltd&lt;/publisher&gt;&lt;isbn&gt;1465-1858&lt;/isbn&gt;&lt;accession-num&gt;CD000146&lt;/accession-num&gt;&lt;urls&gt;&lt;related-urls&gt;&lt;url&gt;https://doi.org//10.1002/14651858.CD000146.pub2&lt;/url&gt;&lt;/related-urls&gt;&lt;/urls&gt;&lt;electronic-resource-num&gt;10.1002/14651858.CD000146.pub2&lt;/electronic-resource-num&gt;&lt;/record&gt;&lt;/Cite&gt;&lt;/EndNote&gt;</w:instrText>
              </w:r>
              <w:r w:rsidR="0039468B" w:rsidRPr="00231319">
                <w:rPr>
                  <w:rFonts w:eastAsia="MS Mincho"/>
                </w:rPr>
                <w:fldChar w:fldCharType="separate"/>
              </w:r>
              <w:r w:rsidR="0039468B" w:rsidRPr="00231319">
                <w:rPr>
                  <w:rFonts w:eastAsia="MS Mincho"/>
                  <w:vertAlign w:val="superscript"/>
                </w:rPr>
                <w:t>28</w:t>
              </w:r>
              <w:r w:rsidR="0039468B" w:rsidRPr="00231319">
                <w:rPr>
                  <w:rFonts w:eastAsia="MS Mincho"/>
                </w:rPr>
                <w:fldChar w:fldCharType="end"/>
              </w:r>
            </w:hyperlink>
            <w:r w:rsidRPr="00231319">
              <w:rPr>
                <w:rFonts w:eastAsia="MS Mincho"/>
              </w:rPr>
              <w:t xml:space="preserve"> </w:t>
            </w:r>
          </w:p>
        </w:tc>
        <w:tc>
          <w:tcPr>
            <w:tcW w:w="4138" w:type="pct"/>
            <w:shd w:val="clear" w:color="auto" w:fill="FFFFFF" w:themeFill="background1"/>
          </w:tcPr>
          <w:p w14:paraId="0718DD59" w14:textId="207578BC" w:rsidR="008E38BA" w:rsidRPr="00231319" w:rsidRDefault="004C4EA7" w:rsidP="00B96866">
            <w:pPr>
              <w:pStyle w:val="Tablewriting"/>
              <w:keepNext/>
              <w:rPr>
                <w:rFonts w:eastAsia="MS Mincho"/>
              </w:rPr>
            </w:pPr>
            <w:r w:rsidRPr="00231319">
              <w:rPr>
                <w:rFonts w:eastAsia="MS Mincho"/>
              </w:rPr>
              <w:t>Silagy C</w:t>
            </w:r>
            <w:r w:rsidR="008E38BA" w:rsidRPr="00231319">
              <w:rPr>
                <w:rFonts w:eastAsia="MS Mincho"/>
              </w:rPr>
              <w:t xml:space="preserve">, </w:t>
            </w:r>
            <w:r w:rsidRPr="00231319">
              <w:rPr>
                <w:rFonts w:eastAsia="MS Mincho"/>
              </w:rPr>
              <w:t>Lancaster T</w:t>
            </w:r>
            <w:r w:rsidR="008E38BA" w:rsidRPr="00231319">
              <w:rPr>
                <w:rFonts w:eastAsia="MS Mincho"/>
              </w:rPr>
              <w:t xml:space="preserve">, </w:t>
            </w:r>
            <w:r w:rsidRPr="00231319">
              <w:rPr>
                <w:rFonts w:eastAsia="MS Mincho"/>
              </w:rPr>
              <w:t>Stead LF</w:t>
            </w:r>
            <w:r w:rsidR="008E38BA" w:rsidRPr="00231319">
              <w:rPr>
                <w:rFonts w:eastAsia="MS Mincho"/>
              </w:rPr>
              <w:t xml:space="preserve">, </w:t>
            </w:r>
            <w:r w:rsidRPr="00231319">
              <w:rPr>
                <w:rFonts w:eastAsia="MS Mincho"/>
              </w:rPr>
              <w:t>Mant D</w:t>
            </w:r>
            <w:r w:rsidR="008E38BA" w:rsidRPr="00231319">
              <w:rPr>
                <w:rFonts w:eastAsia="MS Mincho"/>
              </w:rPr>
              <w:t xml:space="preserve">, </w:t>
            </w:r>
            <w:r w:rsidRPr="00231319">
              <w:rPr>
                <w:rFonts w:eastAsia="MS Mincho"/>
              </w:rPr>
              <w:t>Fowler G.</w:t>
            </w:r>
            <w:r w:rsidR="008E38BA" w:rsidRPr="00231319">
              <w:rPr>
                <w:rFonts w:eastAsia="MS Mincho"/>
              </w:rPr>
              <w:t xml:space="preserve"> Nicotine replacement therapy for smoking cessation. Cochrane Database of Systematic Reviews 2004, Issue 3. Art. No.: CD000146.</w:t>
            </w:r>
          </w:p>
        </w:tc>
      </w:tr>
      <w:tr w:rsidR="0039468B" w:rsidRPr="00061F78" w14:paraId="2A3BB931" w14:textId="77777777" w:rsidTr="00231319">
        <w:trPr>
          <w:cantSplit/>
          <w:trHeight w:val="109"/>
        </w:trPr>
        <w:tc>
          <w:tcPr>
            <w:tcW w:w="862" w:type="pct"/>
            <w:shd w:val="clear" w:color="auto" w:fill="FFFFFF" w:themeFill="background1"/>
            <w:tcMar>
              <w:left w:w="28" w:type="dxa"/>
              <w:right w:w="28" w:type="dxa"/>
            </w:tcMar>
          </w:tcPr>
          <w:p w14:paraId="3FCE607E" w14:textId="77777777" w:rsidR="008E38BA" w:rsidRDefault="008E38BA" w:rsidP="00B96866">
            <w:pPr>
              <w:pStyle w:val="Tablewriting"/>
              <w:keepNext/>
              <w:rPr>
                <w:rFonts w:eastAsia="MS Mincho"/>
              </w:rPr>
            </w:pPr>
            <w:r>
              <w:rPr>
                <w:rFonts w:eastAsia="MS Mincho"/>
              </w:rPr>
              <w:t>Stead</w:t>
            </w:r>
          </w:p>
          <w:p w14:paraId="1874A355" w14:textId="67B84A4A" w:rsidR="008E38BA" w:rsidRDefault="008E38BA" w:rsidP="00B96866">
            <w:pPr>
              <w:pStyle w:val="Tablewriting"/>
              <w:keepNext/>
              <w:rPr>
                <w:rFonts w:eastAsia="MS Mincho"/>
              </w:rPr>
            </w:pPr>
            <w:r>
              <w:rPr>
                <w:rFonts w:eastAsia="MS Mincho"/>
              </w:rPr>
              <w:t>(2008)</w:t>
            </w:r>
            <w:hyperlink w:anchor="_ENREF_29" w:tooltip="Stead, 2008 #604" w:history="1">
              <w:r w:rsidR="0039468B">
                <w:rPr>
                  <w:rFonts w:eastAsia="MS Mincho"/>
                </w:rPr>
                <w:fldChar w:fldCharType="begin"/>
              </w:r>
              <w:r w:rsidR="0039468B">
                <w:rPr>
                  <w:rFonts w:eastAsia="MS Mincho"/>
                </w:rPr>
                <w:instrText xml:space="preserve"> ADDIN EN.CITE &lt;EndNote&gt;&lt;Cite&gt;&lt;Author&gt;Stead&lt;/Author&gt;&lt;Year&gt;2008&lt;/Year&gt;&lt;RecNum&gt;604&lt;/RecNum&gt;&lt;DisplayText&gt;&lt;style face="superscript"&gt;29&lt;/style&gt;&lt;/DisplayText&gt;&lt;record&gt;&lt;rec-number&gt;604&lt;/rec-number&gt;&lt;foreign-keys&gt;&lt;key app="EN" db-id="2xwa055rhevv2yef5v75fepy2azsv0xvx9w9" timestamp="1603260714"&gt;604&lt;/key&gt;&lt;/foreign-keys&gt;&lt;ref-type name="Journal Article"&gt;17&lt;/ref-type&gt;&lt;contributors&gt;&lt;authors&gt;&lt;author&gt;Stead, L. F.&lt;/author&gt;&lt;author&gt;Perera, R.&lt;/author&gt;&lt;author&gt;Bullen, C.&lt;/author&gt;&lt;author&gt;Mant, D.&lt;/author&gt;&lt;author&gt;Lancaster, T.&lt;/author&gt;&lt;/authors&gt;&lt;/contributors&gt;&lt;titles&gt;&lt;title&gt;Nicotine replacement therapy for smoking cessation&lt;/title&gt;&lt;secondary-title&gt;Cochrane Database of Systematic Reviews&lt;/secondary-title&gt;&lt;/titles&gt;&lt;periodical&gt;&lt;full-title&gt;Cochrane Database of Systematic Reviews&lt;/full-title&gt;&lt;/periodical&gt;&lt;number&gt;1&lt;/number&gt;&lt;keywords&gt;&lt;keyword&gt;Administration, Cutaneous&lt;/keyword&gt;&lt;keyword&gt;Administration, Inhalation&lt;/keyword&gt;&lt;keyword&gt;Chewing Gum&lt;/keyword&gt;&lt;keyword&gt;Female&lt;/keyword&gt;&lt;keyword&gt;Humans&lt;/keyword&gt;&lt;keyword&gt;Male&lt;/keyword&gt;&lt;keyword&gt;Nicotine [administration &amp;amp; dosage]&lt;/keyword&gt;&lt;keyword&gt;Nicotinic Agonists [administration &amp;amp; dosage]&lt;/keyword&gt;&lt;keyword&gt;Randomized Controlled Trials as Topic&lt;/keyword&gt;&lt;keyword&gt;Smoking Cessation [*methods, statistics &amp;amp; numerical data]&lt;/keyword&gt;&lt;keyword&gt;Smoking Prevention [*methods, statistics &amp;amp; numerical data]&lt;/keyword&gt;&lt;keyword&gt;Tablets&lt;/keyword&gt;&lt;keyword&gt;Time Factors&lt;/keyword&gt;&lt;/keywords&gt;&lt;dates&gt;&lt;year&gt;2008&lt;/year&gt;&lt;/dates&gt;&lt;publisher&gt;John Wiley &amp;amp; Sons, Ltd&lt;/publisher&gt;&lt;isbn&gt;1465-1858&lt;/isbn&gt;&lt;accession-num&gt;CD000146&lt;/accession-num&gt;&lt;urls&gt;&lt;related-urls&gt;&lt;url&gt;https://doi.org//10.1002/14651858.CD000146.pub3&lt;/url&gt;&lt;/related-urls&gt;&lt;/urls&gt;&lt;electronic-resource-num&gt;10.1002/14651858.CD000146.pub3&lt;/electronic-resource-num&gt;&lt;/record&gt;&lt;/Cite&gt;&lt;/EndNote&gt;</w:instrText>
              </w:r>
              <w:r w:rsidR="0039468B">
                <w:rPr>
                  <w:rFonts w:eastAsia="MS Mincho"/>
                </w:rPr>
                <w:fldChar w:fldCharType="separate"/>
              </w:r>
              <w:r w:rsidR="0039468B" w:rsidRPr="001E01A4">
                <w:rPr>
                  <w:rFonts w:eastAsia="MS Mincho"/>
                  <w:noProof/>
                  <w:vertAlign w:val="superscript"/>
                </w:rPr>
                <w:t>29</w:t>
              </w:r>
              <w:r w:rsidR="0039468B">
                <w:rPr>
                  <w:rFonts w:eastAsia="MS Mincho"/>
                </w:rPr>
                <w:fldChar w:fldCharType="end"/>
              </w:r>
            </w:hyperlink>
          </w:p>
        </w:tc>
        <w:tc>
          <w:tcPr>
            <w:tcW w:w="4138" w:type="pct"/>
            <w:shd w:val="clear" w:color="auto" w:fill="FFFFFF" w:themeFill="background1"/>
          </w:tcPr>
          <w:p w14:paraId="4DAABDAF" w14:textId="7935F3B9" w:rsidR="008E38BA" w:rsidRPr="002764E0" w:rsidRDefault="004C4EA7" w:rsidP="00B96866">
            <w:pPr>
              <w:pStyle w:val="Tablewriting"/>
              <w:keepNext/>
              <w:rPr>
                <w:rFonts w:eastAsia="MS Mincho"/>
              </w:rPr>
            </w:pPr>
            <w:r w:rsidRPr="008E38BA">
              <w:rPr>
                <w:rFonts w:eastAsia="MS Mincho"/>
              </w:rPr>
              <w:t>Stead LF</w:t>
            </w:r>
            <w:r w:rsidR="008E38BA" w:rsidRPr="008E38BA">
              <w:rPr>
                <w:rFonts w:eastAsia="MS Mincho"/>
              </w:rPr>
              <w:t xml:space="preserve">, </w:t>
            </w:r>
            <w:r w:rsidRPr="008E38BA">
              <w:rPr>
                <w:rFonts w:eastAsia="MS Mincho"/>
              </w:rPr>
              <w:t>Perera R</w:t>
            </w:r>
            <w:r w:rsidR="008E38BA" w:rsidRPr="008E38BA">
              <w:rPr>
                <w:rFonts w:eastAsia="MS Mincho"/>
              </w:rPr>
              <w:t xml:space="preserve">, </w:t>
            </w:r>
            <w:r w:rsidRPr="008E38BA">
              <w:rPr>
                <w:rFonts w:eastAsia="MS Mincho"/>
              </w:rPr>
              <w:t>Bullen C</w:t>
            </w:r>
            <w:r w:rsidR="008E38BA" w:rsidRPr="008E38BA">
              <w:rPr>
                <w:rFonts w:eastAsia="MS Mincho"/>
              </w:rPr>
              <w:t xml:space="preserve">, </w:t>
            </w:r>
            <w:r w:rsidRPr="008E38BA">
              <w:rPr>
                <w:rFonts w:eastAsia="MS Mincho"/>
              </w:rPr>
              <w:t>Mant D</w:t>
            </w:r>
            <w:r w:rsidR="008E38BA" w:rsidRPr="008E38BA">
              <w:rPr>
                <w:rFonts w:eastAsia="MS Mincho"/>
              </w:rPr>
              <w:t xml:space="preserve">, </w:t>
            </w:r>
            <w:r w:rsidRPr="008E38BA">
              <w:rPr>
                <w:rFonts w:eastAsia="MS Mincho"/>
              </w:rPr>
              <w:t>Lancaster T.</w:t>
            </w:r>
            <w:r w:rsidR="008E38BA" w:rsidRPr="008E38BA">
              <w:rPr>
                <w:rFonts w:eastAsia="MS Mincho"/>
              </w:rPr>
              <w:t xml:space="preserve"> Nicotine replacement therapy for smoking cessation. Cochrane Database of Systematic Reviews 2008, Issue 1. Art. No.: CD000146.</w:t>
            </w:r>
          </w:p>
        </w:tc>
      </w:tr>
      <w:tr w:rsidR="0039468B" w:rsidRPr="00061F78" w14:paraId="035447F6" w14:textId="77777777" w:rsidTr="00961DD7">
        <w:trPr>
          <w:cantSplit/>
          <w:trHeight w:val="164"/>
        </w:trPr>
        <w:tc>
          <w:tcPr>
            <w:tcW w:w="862" w:type="pct"/>
            <w:tcMar>
              <w:left w:w="28" w:type="dxa"/>
              <w:right w:w="28" w:type="dxa"/>
            </w:tcMar>
          </w:tcPr>
          <w:p w14:paraId="659E3931" w14:textId="77777777" w:rsidR="00961DD7" w:rsidRDefault="008E38BA" w:rsidP="00B96866">
            <w:pPr>
              <w:pStyle w:val="Tablewriting"/>
              <w:keepNext/>
              <w:rPr>
                <w:rFonts w:eastAsia="MS Mincho"/>
              </w:rPr>
            </w:pPr>
            <w:r>
              <w:rPr>
                <w:rFonts w:eastAsia="MS Mincho"/>
              </w:rPr>
              <w:t>Hartmann-Boyce</w:t>
            </w:r>
            <w:r w:rsidRPr="00061F78">
              <w:rPr>
                <w:rFonts w:eastAsia="MS Mincho"/>
              </w:rPr>
              <w:t xml:space="preserve"> </w:t>
            </w:r>
          </w:p>
          <w:p w14:paraId="39239A5F" w14:textId="2406EB4D" w:rsidR="008E38BA" w:rsidRPr="00D07303" w:rsidRDefault="008E38BA" w:rsidP="00B96866">
            <w:pPr>
              <w:pStyle w:val="Tablewriting"/>
              <w:keepNext/>
              <w:rPr>
                <w:rFonts w:eastAsia="MS Mincho"/>
                <w:vertAlign w:val="superscript"/>
              </w:rPr>
            </w:pPr>
            <w:r w:rsidRPr="00061F78">
              <w:rPr>
                <w:rFonts w:eastAsia="MS Mincho"/>
              </w:rPr>
              <w:t>(20</w:t>
            </w:r>
            <w:r>
              <w:rPr>
                <w:rFonts w:eastAsia="MS Mincho"/>
              </w:rPr>
              <w:t>18</w:t>
            </w:r>
            <w:r w:rsidRPr="00061F78">
              <w:rPr>
                <w:rFonts w:eastAsia="MS Mincho"/>
              </w:rPr>
              <w:t>)</w:t>
            </w:r>
            <w:hyperlink w:anchor="_ENREF_30" w:tooltip="Hartmann-Boyce, 2018 #655" w:history="1">
              <w:r w:rsidR="0039468B">
                <w:rPr>
                  <w:rFonts w:eastAsia="MS Mincho"/>
                </w:rPr>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30</w:t>
              </w:r>
              <w:r w:rsidR="0039468B">
                <w:rPr>
                  <w:rFonts w:eastAsia="MS Mincho"/>
                </w:rPr>
                <w:fldChar w:fldCharType="end"/>
              </w:r>
            </w:hyperlink>
            <w:r w:rsidRPr="00D07303">
              <w:rPr>
                <w:rFonts w:eastAsia="MS Mincho"/>
                <w:vertAlign w:val="superscript"/>
              </w:rPr>
              <w:t xml:space="preserve"> </w:t>
            </w:r>
          </w:p>
        </w:tc>
        <w:tc>
          <w:tcPr>
            <w:tcW w:w="4138" w:type="pct"/>
          </w:tcPr>
          <w:p w14:paraId="25E5FE2A" w14:textId="37E318C0" w:rsidR="008E38BA" w:rsidRDefault="008E38BA" w:rsidP="00B96866">
            <w:pPr>
              <w:pStyle w:val="Tablewriting"/>
              <w:keepNext/>
              <w:rPr>
                <w:rFonts w:eastAsia="MS Mincho"/>
              </w:rPr>
            </w:pPr>
            <w:r w:rsidRPr="008E38BA">
              <w:rPr>
                <w:rFonts w:eastAsia="MS Mincho"/>
              </w:rPr>
              <w:t>Hartmann‐</w:t>
            </w:r>
            <w:r w:rsidR="004C4EA7" w:rsidRPr="008E38BA">
              <w:rPr>
                <w:rFonts w:eastAsia="MS Mincho"/>
              </w:rPr>
              <w:t>Boyce J</w:t>
            </w:r>
            <w:r w:rsidRPr="008E38BA">
              <w:rPr>
                <w:rFonts w:eastAsia="MS Mincho"/>
              </w:rPr>
              <w:t xml:space="preserve">, </w:t>
            </w:r>
            <w:r w:rsidR="004C4EA7" w:rsidRPr="008E38BA">
              <w:rPr>
                <w:rFonts w:eastAsia="MS Mincho"/>
              </w:rPr>
              <w:t>Chepkin SC</w:t>
            </w:r>
            <w:r w:rsidRPr="008E38BA">
              <w:rPr>
                <w:rFonts w:eastAsia="MS Mincho"/>
              </w:rPr>
              <w:t xml:space="preserve">, </w:t>
            </w:r>
            <w:r w:rsidR="004C4EA7" w:rsidRPr="008E38BA">
              <w:rPr>
                <w:rFonts w:eastAsia="MS Mincho"/>
              </w:rPr>
              <w:t>Ye W</w:t>
            </w:r>
            <w:r w:rsidRPr="008E38BA">
              <w:rPr>
                <w:rFonts w:eastAsia="MS Mincho"/>
              </w:rPr>
              <w:t xml:space="preserve">, </w:t>
            </w:r>
            <w:r w:rsidR="004C4EA7" w:rsidRPr="008E38BA">
              <w:rPr>
                <w:rFonts w:eastAsia="MS Mincho"/>
              </w:rPr>
              <w:t>Bullen C</w:t>
            </w:r>
            <w:r w:rsidRPr="008E38BA">
              <w:rPr>
                <w:rFonts w:eastAsia="MS Mincho"/>
              </w:rPr>
              <w:t xml:space="preserve">, </w:t>
            </w:r>
            <w:r w:rsidR="004C4EA7" w:rsidRPr="008E38BA">
              <w:rPr>
                <w:rFonts w:eastAsia="MS Mincho"/>
              </w:rPr>
              <w:t>Lancaster T.</w:t>
            </w:r>
            <w:r w:rsidRPr="008E38BA">
              <w:rPr>
                <w:rFonts w:eastAsia="MS Mincho"/>
              </w:rPr>
              <w:t xml:space="preserve"> Nicotine replacement therapy versus control for smoking cessation. Cochrane Database of Systematic Reviews 2018, Issue 5. Art. No.: CD000146.</w:t>
            </w:r>
          </w:p>
        </w:tc>
      </w:tr>
      <w:tr w:rsidR="0039468B" w:rsidRPr="00061F78" w14:paraId="33EA99C8" w14:textId="77777777" w:rsidTr="00961DD7">
        <w:trPr>
          <w:cantSplit/>
          <w:trHeight w:val="164"/>
        </w:trPr>
        <w:tc>
          <w:tcPr>
            <w:tcW w:w="862" w:type="pct"/>
            <w:tcMar>
              <w:left w:w="28" w:type="dxa"/>
              <w:right w:w="28" w:type="dxa"/>
            </w:tcMar>
          </w:tcPr>
          <w:p w14:paraId="4CC50709" w14:textId="77777777" w:rsidR="00961DD7" w:rsidRDefault="00CB2F72" w:rsidP="00CB2F72">
            <w:pPr>
              <w:pStyle w:val="Tablewriting"/>
              <w:keepNext/>
              <w:rPr>
                <w:rFonts w:eastAsia="MS Mincho"/>
              </w:rPr>
            </w:pPr>
            <w:r>
              <w:rPr>
                <w:rFonts w:eastAsia="MS Mincho"/>
              </w:rPr>
              <w:t xml:space="preserve">Benowitz </w:t>
            </w:r>
          </w:p>
          <w:p w14:paraId="60B7A363" w14:textId="387DAA76" w:rsidR="00CB2F72" w:rsidRDefault="00CB2F72" w:rsidP="00CB2F72">
            <w:pPr>
              <w:pStyle w:val="Tablewriting"/>
              <w:keepNext/>
              <w:rPr>
                <w:rFonts w:eastAsia="MS Mincho"/>
              </w:rPr>
            </w:pPr>
            <w:r>
              <w:rPr>
                <w:rFonts w:eastAsia="MS Mincho"/>
              </w:rPr>
              <w:t>(2018)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138" w:type="pct"/>
          </w:tcPr>
          <w:p w14:paraId="0003FC16" w14:textId="79236141" w:rsidR="00CB2F72" w:rsidRPr="008E38BA" w:rsidRDefault="00CB2F72" w:rsidP="00CB2F72">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14:paraId="58D07CA1" w14:textId="3A2DF215" w:rsidR="00CC17A6" w:rsidRDefault="00CC17A6" w:rsidP="000C4257">
      <w:pPr>
        <w:pStyle w:val="TableFooter"/>
        <w:spacing w:after="120"/>
        <w:contextualSpacing w:val="0"/>
        <w:jc w:val="both"/>
      </w:pPr>
      <w:r w:rsidRPr="00F84183">
        <w:t xml:space="preserve">Notes: </w:t>
      </w:r>
      <w:r w:rsidR="003167DB" w:rsidRPr="003167DB">
        <w:rPr>
          <w:color w:val="000000"/>
          <w:w w:val="65"/>
          <w:shd w:val="solid" w:color="000000" w:fill="000000"/>
          <w:fitText w:val="5494" w:id="-1402779645"/>
          <w14:textFill>
            <w14:solidFill>
              <w14:srgbClr w14:val="000000">
                <w14:alpha w14:val="100000"/>
              </w14:srgbClr>
            </w14:solidFill>
          </w14:textFill>
        </w:rPr>
        <w:t>|||||||||||||||||||||||||||||||||||||||||||||  ||||||||||||||||||||||||||||||||||||||||||||</w:t>
      </w:r>
      <w:r w:rsidR="003167DB" w:rsidRPr="003167DB">
        <w:rPr>
          <w:color w:val="000000"/>
          <w:spacing w:val="56"/>
          <w:w w:val="65"/>
          <w:shd w:val="solid" w:color="000000" w:fill="000000"/>
          <w:fitText w:val="5494" w:id="-1402779645"/>
          <w14:textFill>
            <w14:solidFill>
              <w14:srgbClr w14:val="000000">
                <w14:alpha w14:val="100000"/>
              </w14:srgbClr>
            </w14:solidFill>
          </w14:textFill>
        </w:rPr>
        <w:t>|</w:t>
      </w:r>
      <w:r>
        <w:t>Stead et al. (2008) was considered at the March 2010 PBAC meeting.</w:t>
      </w:r>
      <w:r w:rsidR="00CD31CE">
        <w:t xml:space="preserve"> </w:t>
      </w:r>
      <w:r w:rsidR="003167DB" w:rsidRPr="003167DB">
        <w:rPr>
          <w:color w:val="000000"/>
          <w:spacing w:val="1"/>
          <w:w w:val="65"/>
          <w:shd w:val="solid" w:color="000000" w:fill="000000"/>
          <w:fitText w:val="5393" w:id="-1402779392"/>
          <w14:textFill>
            <w14:solidFill>
              <w14:srgbClr w14:val="000000">
                <w14:alpha w14:val="100000"/>
              </w14:srgbClr>
            </w14:solidFill>
          </w14:textFill>
        </w:rPr>
        <w:t>||||||||||||||||||||||||||||||||||||||||||||  |||||||||||||||||||||||||||||||||||||||||||</w:t>
      </w:r>
      <w:r w:rsidR="003167DB" w:rsidRPr="003167DB">
        <w:rPr>
          <w:color w:val="000000"/>
          <w:spacing w:val="-14"/>
          <w:w w:val="65"/>
          <w:shd w:val="solid" w:color="000000" w:fill="000000"/>
          <w:fitText w:val="5393" w:id="-1402779392"/>
          <w14:textFill>
            <w14:solidFill>
              <w14:srgbClr w14:val="000000">
                <w14:alpha w14:val="100000"/>
              </w14:srgbClr>
            </w14:solidFill>
          </w14:textFill>
        </w:rPr>
        <w:t>|</w:t>
      </w:r>
    </w:p>
    <w:p w14:paraId="5969F5E6" w14:textId="77E31BF3" w:rsidR="00780D6A" w:rsidRDefault="00603673" w:rsidP="00D37B20">
      <w:pPr>
        <w:spacing w:after="120"/>
        <w:jc w:val="both"/>
      </w:pPr>
      <w:r w:rsidRPr="00603673">
        <w:t xml:space="preserve">A summary of the characteristics of the studies comparing </w:t>
      </w:r>
      <w:r>
        <w:t xml:space="preserve">NRT </w:t>
      </w:r>
      <w:r w:rsidR="00573F59">
        <w:t>patches</w:t>
      </w:r>
      <w:r w:rsidRPr="00603673">
        <w:t xml:space="preserve"> with placebo is presented in </w:t>
      </w:r>
      <w:r w:rsidR="00EF57E9">
        <w:fldChar w:fldCharType="begin" w:fldLock="1"/>
      </w:r>
      <w:r w:rsidR="00EF57E9">
        <w:instrText xml:space="preserve"> REF _Ref54260143 \h </w:instrText>
      </w:r>
      <w:r w:rsidR="004C17A8">
        <w:instrText xml:space="preserve"> \* MERGEFORMAT </w:instrText>
      </w:r>
      <w:r w:rsidR="00EF57E9">
        <w:fldChar w:fldCharType="separate"/>
      </w:r>
      <w:r w:rsidR="00EC5CC7">
        <w:t xml:space="preserve">Table </w:t>
      </w:r>
      <w:r w:rsidR="00EC5CC7">
        <w:rPr>
          <w:noProof/>
        </w:rPr>
        <w:t>22</w:t>
      </w:r>
      <w:r w:rsidR="00EF57E9">
        <w:fldChar w:fldCharType="end"/>
      </w:r>
      <w:r w:rsidRPr="00603673">
        <w:t xml:space="preserve">. A total of </w:t>
      </w:r>
      <w:r w:rsidR="00EF57E9">
        <w:t>51</w:t>
      </w:r>
      <w:r w:rsidRPr="00603673">
        <w:t xml:space="preserve"> RCTs comparing </w:t>
      </w:r>
      <w:r w:rsidR="00EF57E9">
        <w:t xml:space="preserve">NRT </w:t>
      </w:r>
      <w:r w:rsidR="00573F59">
        <w:t>patches</w:t>
      </w:r>
      <w:r w:rsidRPr="00603673">
        <w:t xml:space="preserve"> with placebo were identified </w:t>
      </w:r>
      <w:r w:rsidRPr="00603673">
        <w:lastRenderedPageBreak/>
        <w:t>by H</w:t>
      </w:r>
      <w:r w:rsidR="00EF57E9">
        <w:t>artmann-Boyce</w:t>
      </w:r>
      <w:r w:rsidRPr="00603673">
        <w:t xml:space="preserve"> et al. (20</w:t>
      </w:r>
      <w:r w:rsidR="00EF57E9">
        <w:t>18</w:t>
      </w:r>
      <w:r w:rsidRPr="00603673">
        <w:t xml:space="preserve">). Of these, </w:t>
      </w:r>
      <w:r w:rsidR="00EF57E9">
        <w:t>3</w:t>
      </w:r>
      <w:r w:rsidR="0051503C">
        <w:t>9</w:t>
      </w:r>
      <w:r w:rsidR="00EF57E9">
        <w:t xml:space="preserve"> RCTs were st</w:t>
      </w:r>
      <w:r w:rsidRPr="00603673">
        <w:t xml:space="preserve">udies </w:t>
      </w:r>
      <w:r w:rsidR="00EF57E9">
        <w:t>included in</w:t>
      </w:r>
      <w:r w:rsidR="00DD0239">
        <w:t xml:space="preserve"> </w:t>
      </w:r>
      <w:r w:rsidR="003167DB" w:rsidRPr="003167DB">
        <w:rPr>
          <w:color w:val="000000"/>
          <w:w w:val="54"/>
          <w:shd w:val="solid" w:color="000000" w:fill="000000"/>
          <w:fitText w:val="1493" w:id="-1402779391"/>
          <w14:textFill>
            <w14:solidFill>
              <w14:srgbClr w14:val="000000">
                <w14:alpha w14:val="100000"/>
              </w14:srgbClr>
            </w14:solidFill>
          </w14:textFill>
        </w:rPr>
        <w:t>||||||||||||  ||||||||||||</w:t>
      </w:r>
      <w:r w:rsidR="003167DB">
        <w:rPr>
          <w:highlight w:val="red"/>
          <w:shd w:val="clear" w:color="auto" w:fill="C0C0C1"/>
        </w:rPr>
        <w:t xml:space="preserve"> </w:t>
      </w:r>
      <w:r w:rsidR="00EF57E9">
        <w:t xml:space="preserve">Cochrane </w:t>
      </w:r>
      <w:r w:rsidR="00A50F45">
        <w:t>R</w:t>
      </w:r>
      <w:r w:rsidR="00EF57E9">
        <w:t>eviews previously considered by the PBAC (</w:t>
      </w:r>
      <w:r w:rsidR="003167DB" w:rsidRPr="003167DB">
        <w:rPr>
          <w:color w:val="000000"/>
          <w:w w:val="58"/>
          <w:shd w:val="solid" w:color="000000" w:fill="000000"/>
          <w:fitText w:val="1475" w:id="-1402779390"/>
          <w14:textFill>
            <w14:solidFill>
              <w14:srgbClr w14:val="000000">
                <w14:alpha w14:val="100000"/>
              </w14:srgbClr>
            </w14:solidFill>
          </w14:textFill>
        </w:rPr>
        <w:t>|||||||||||  |||||||||||</w:t>
      </w:r>
      <w:r w:rsidR="00EF57E9" w:rsidRPr="00EF57E9">
        <w:t>and Stead et al. 2008)</w:t>
      </w:r>
      <w:r w:rsidRPr="00603673">
        <w:t xml:space="preserve">. </w:t>
      </w:r>
      <w:r w:rsidR="003167DB" w:rsidRPr="003167DB">
        <w:rPr>
          <w:color w:val="000000"/>
          <w:spacing w:val="1"/>
          <w:w w:val="54"/>
          <w:shd w:val="solid" w:color="000000" w:fill="000000"/>
          <w:fitText w:val="8875" w:id="-1402779136"/>
          <w14:textFill>
            <w14:solidFill>
              <w14:srgbClr w14:val="000000">
                <w14:alpha w14:val="100000"/>
              </w14:srgbClr>
            </w14:solidFill>
          </w14:textFill>
        </w:rPr>
        <w:t>|||||||||||||||||||||||||||||||||||||||||||||||||||||||||||||||||||||||||  ||||||||||||||||||||||||||||||||||||||||||||||||||||||||||||||||||||||||</w:t>
      </w:r>
      <w:r w:rsidR="003167DB" w:rsidRPr="003167DB">
        <w:rPr>
          <w:color w:val="000000"/>
          <w:spacing w:val="-39"/>
          <w:w w:val="54"/>
          <w:shd w:val="solid" w:color="000000" w:fill="000000"/>
          <w:fitText w:val="8875" w:id="-1402779136"/>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spacing w:val="1"/>
          <w:w w:val="54"/>
          <w:shd w:val="solid" w:color="000000" w:fill="000000"/>
          <w:fitText w:val="8885" w:id="-1402779135"/>
          <w14:textFill>
            <w14:solidFill>
              <w14:srgbClr w14:val="000000">
                <w14:alpha w14:val="100000"/>
              </w14:srgbClr>
            </w14:solidFill>
          </w14:textFill>
        </w:rPr>
        <w:t>|||||||||||||||||||||||||||||||||||||||||||||||||||||||||||||||||||||||||  ||||||||||||||||||||||||||||||||||||||||||||||||||||||||||||||||||||||||</w:t>
      </w:r>
      <w:r w:rsidR="003167DB" w:rsidRPr="003167DB">
        <w:rPr>
          <w:color w:val="000000"/>
          <w:spacing w:val="-29"/>
          <w:w w:val="54"/>
          <w:shd w:val="solid" w:color="000000" w:fill="000000"/>
          <w:fitText w:val="8885" w:id="-1402779135"/>
          <w14:textFill>
            <w14:solidFill>
              <w14:srgbClr w14:val="000000">
                <w14:alpha w14:val="100000"/>
              </w14:srgbClr>
            </w14:solidFill>
          </w14:textFill>
        </w:rPr>
        <w:t>|</w:t>
      </w:r>
      <w:r w:rsidR="003167DB">
        <w:rPr>
          <w:highlight w:val="red"/>
          <w:shd w:val="clear" w:color="auto" w:fill="C0C0C1"/>
        </w:rPr>
        <w:t xml:space="preserve"> </w:t>
      </w:r>
      <w:r w:rsidR="003167DB" w:rsidRPr="003167DB">
        <w:rPr>
          <w:color w:val="000000"/>
          <w:w w:val="54"/>
          <w:shd w:val="solid" w:color="000000" w:fill="000000"/>
          <w:fitText w:val="4027" w:id="-1402779134"/>
          <w14:textFill>
            <w14:solidFill>
              <w14:srgbClr w14:val="000000">
                <w14:alpha w14:val="100000"/>
              </w14:srgbClr>
            </w14:solidFill>
          </w14:textFill>
        </w:rPr>
        <w:t>|||||||||||||||||||||||||||||||||  ||||||||||||||||||||||||||||||||</w:t>
      </w:r>
      <w:r w:rsidR="003167DB" w:rsidRPr="003167DB">
        <w:rPr>
          <w:color w:val="000000"/>
          <w:spacing w:val="31"/>
          <w:w w:val="54"/>
          <w:shd w:val="solid" w:color="000000" w:fill="000000"/>
          <w:fitText w:val="4027" w:id="-1402779134"/>
          <w14:textFill>
            <w14:solidFill>
              <w14:srgbClr w14:val="000000">
                <w14:alpha w14:val="100000"/>
              </w14:srgbClr>
            </w14:solidFill>
          </w14:textFill>
        </w:rPr>
        <w:t>|</w:t>
      </w:r>
      <w:r w:rsidR="00A72308">
        <w:t xml:space="preserve"> </w:t>
      </w:r>
      <w:r w:rsidRPr="00603673">
        <w:t xml:space="preserve">The characteristics of the individual studies are presented in </w:t>
      </w:r>
      <w:r w:rsidRPr="009B6876">
        <w:t>Appendix</w:t>
      </w:r>
      <w:r w:rsidR="00076298">
        <w:t xml:space="preserve"> Table 148</w:t>
      </w:r>
      <w:r w:rsidRPr="00603673">
        <w:t>.</w:t>
      </w:r>
    </w:p>
    <w:p w14:paraId="7D16475B" w14:textId="16ABC702" w:rsidR="004B779D" w:rsidRDefault="004B779D" w:rsidP="006C1E0B">
      <w:pPr>
        <w:spacing w:after="120"/>
        <w:jc w:val="both"/>
      </w:pPr>
      <w:r>
        <w:t>Benowitz et al. (2018) was a safety study (n</w:t>
      </w:r>
      <w:r w:rsidRPr="00A95E3C">
        <w:t>on-treatment extension</w:t>
      </w:r>
      <w:r>
        <w:t>)</w:t>
      </w:r>
      <w:r w:rsidRPr="00A95E3C">
        <w:t xml:space="preserve"> </w:t>
      </w:r>
      <w:r>
        <w:t>of</w:t>
      </w:r>
      <w:r w:rsidRPr="00A95E3C">
        <w:t xml:space="preserve"> </w:t>
      </w:r>
      <w:r>
        <w:t>EAGLES (Anthenelli et al. 2016) comparing NRT</w:t>
      </w:r>
      <w:r w:rsidRPr="00F42E00">
        <w:t xml:space="preserve"> </w:t>
      </w:r>
      <w:r w:rsidR="00573F59">
        <w:t>patches</w:t>
      </w:r>
      <w:r>
        <w:t xml:space="preserve"> (</w:t>
      </w:r>
      <w:r w:rsidRPr="00F42E00">
        <w:t>21 mg per day with taper)</w:t>
      </w:r>
      <w:r>
        <w:t xml:space="preserve">, </w:t>
      </w:r>
      <w:r w:rsidRPr="00F42E00">
        <w:t>varenicline (1 mg twice a day)</w:t>
      </w:r>
      <w:r>
        <w:t xml:space="preserve">, </w:t>
      </w:r>
      <w:r w:rsidRPr="00F42E00">
        <w:t>bupropion (150 mg twice a day)</w:t>
      </w:r>
      <w:r>
        <w:t xml:space="preserve"> and placebo. The study</w:t>
      </w:r>
      <w:r w:rsidRPr="00A95E3C">
        <w:t xml:space="preserve"> aimed </w:t>
      </w:r>
      <w:r>
        <w:t>to collect</w:t>
      </w:r>
      <w:r w:rsidRPr="00A95E3C">
        <w:t xml:space="preserve"> data on cardiovascular safety for all participants in </w:t>
      </w:r>
      <w:r>
        <w:t>EAGLES</w:t>
      </w:r>
      <w:r w:rsidRPr="00A95E3C">
        <w:t xml:space="preserve"> </w:t>
      </w:r>
      <w:r>
        <w:t xml:space="preserve">(2016) </w:t>
      </w:r>
      <w:r w:rsidRPr="00A95E3C">
        <w:t>for an additional 28 weeks, allowing for a total of 52 weeks of cardiovascular safety data collection</w:t>
      </w:r>
      <w:r w:rsidR="004C4EA7">
        <w:t xml:space="preserve">. </w:t>
      </w:r>
    </w:p>
    <w:p w14:paraId="6B52ED5E" w14:textId="77777777" w:rsidR="004B779D" w:rsidRDefault="004B779D" w:rsidP="004C17A8"/>
    <w:p w14:paraId="2A87A48E" w14:textId="77777777" w:rsidR="00603673" w:rsidRDefault="00603673" w:rsidP="00C83EDA">
      <w:pPr>
        <w:sectPr w:rsidR="00603673" w:rsidSect="006356D2">
          <w:pgSz w:w="11906" w:h="16838"/>
          <w:pgMar w:top="1440" w:right="1440" w:bottom="1440" w:left="1440" w:header="708" w:footer="708" w:gutter="0"/>
          <w:cols w:space="708"/>
          <w:titlePg/>
          <w:docGrid w:linePitch="360"/>
        </w:sectPr>
      </w:pPr>
    </w:p>
    <w:p w14:paraId="6A10DB0C" w14:textId="6CDADD92" w:rsidR="00603673" w:rsidRDefault="00603673" w:rsidP="006C1E0B">
      <w:pPr>
        <w:pStyle w:val="Caption"/>
        <w:keepNext/>
        <w:spacing w:before="0" w:after="120"/>
        <w:jc w:val="both"/>
      </w:pPr>
      <w:bookmarkStart w:id="61" w:name="_Ref54260143"/>
      <w:r>
        <w:lastRenderedPageBreak/>
        <w:t xml:space="preserve">Table </w:t>
      </w:r>
      <w:r w:rsidR="00BF3F75">
        <w:fldChar w:fldCharType="begin"/>
      </w:r>
      <w:r w:rsidR="00BF3F75">
        <w:instrText xml:space="preserve"> SEQ Table \* ARABIC </w:instrText>
      </w:r>
      <w:r w:rsidR="00BF3F75">
        <w:fldChar w:fldCharType="separate"/>
      </w:r>
      <w:r w:rsidR="00EC5CC7">
        <w:rPr>
          <w:noProof/>
        </w:rPr>
        <w:t>22</w:t>
      </w:r>
      <w:r w:rsidR="00BF3F75">
        <w:rPr>
          <w:noProof/>
        </w:rPr>
        <w:fldChar w:fldCharType="end"/>
      </w:r>
      <w:bookmarkEnd w:id="61"/>
      <w:r>
        <w:t xml:space="preserve">: </w:t>
      </w:r>
      <w:r w:rsidRPr="00F57C4D">
        <w:t xml:space="preserve">Characteristics of the studies comparing </w:t>
      </w:r>
      <w:r>
        <w:t>NRT patch</w:t>
      </w:r>
      <w:r w:rsidRPr="00F57C4D">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941"/>
        <w:gridCol w:w="1101"/>
        <w:gridCol w:w="990"/>
        <w:gridCol w:w="5468"/>
        <w:gridCol w:w="2552"/>
        <w:gridCol w:w="2896"/>
      </w:tblGrid>
      <w:tr w:rsidR="00260CD7" w:rsidRPr="00061F78" w14:paraId="466D5835" w14:textId="77777777" w:rsidTr="001217F0">
        <w:trPr>
          <w:trHeight w:val="299"/>
          <w:tblHeader/>
        </w:trPr>
        <w:tc>
          <w:tcPr>
            <w:tcW w:w="337" w:type="pct"/>
            <w:shd w:val="clear" w:color="auto" w:fill="BFBFBF" w:themeFill="background1" w:themeFillShade="BF"/>
            <w:tcMar>
              <w:left w:w="28" w:type="dxa"/>
              <w:right w:w="28" w:type="dxa"/>
            </w:tcMar>
          </w:tcPr>
          <w:p w14:paraId="47716147" w14:textId="0DE119E7" w:rsidR="00603673" w:rsidRPr="00061F78" w:rsidRDefault="00126B7B" w:rsidP="008E021C">
            <w:pPr>
              <w:pStyle w:val="Tableheading"/>
              <w:keepNext/>
              <w:rPr>
                <w:rFonts w:eastAsia="MS Mincho"/>
              </w:rPr>
            </w:pPr>
            <w:r>
              <w:rPr>
                <w:rFonts w:eastAsia="MS Mincho"/>
              </w:rPr>
              <w:t>Study</w:t>
            </w:r>
          </w:p>
        </w:tc>
        <w:tc>
          <w:tcPr>
            <w:tcW w:w="395" w:type="pct"/>
            <w:shd w:val="clear" w:color="auto" w:fill="BFBFBF" w:themeFill="background1" w:themeFillShade="BF"/>
          </w:tcPr>
          <w:p w14:paraId="63ADB1A4" w14:textId="77777777" w:rsidR="00603673" w:rsidRDefault="00603673" w:rsidP="008E021C">
            <w:pPr>
              <w:pStyle w:val="Tableheading"/>
              <w:keepNext/>
              <w:jc w:val="center"/>
              <w:rPr>
                <w:rFonts w:eastAsia="MS Mincho"/>
              </w:rPr>
            </w:pPr>
            <w:r>
              <w:rPr>
                <w:rFonts w:eastAsia="MS Mincho"/>
              </w:rPr>
              <w:t>Study type</w:t>
            </w:r>
          </w:p>
        </w:tc>
        <w:tc>
          <w:tcPr>
            <w:tcW w:w="355" w:type="pct"/>
            <w:shd w:val="clear" w:color="auto" w:fill="BFBFBF" w:themeFill="background1" w:themeFillShade="BF"/>
            <w:tcMar>
              <w:left w:w="28" w:type="dxa"/>
              <w:right w:w="28" w:type="dxa"/>
            </w:tcMar>
          </w:tcPr>
          <w:p w14:paraId="1984BA0C" w14:textId="77777777" w:rsidR="00603673" w:rsidRPr="00AB145F" w:rsidRDefault="00603673" w:rsidP="008E021C">
            <w:pPr>
              <w:pStyle w:val="Tableheading"/>
              <w:keepNext/>
              <w:jc w:val="center"/>
              <w:rPr>
                <w:rFonts w:eastAsia="MS Mincho"/>
                <w:vertAlign w:val="superscript"/>
              </w:rPr>
            </w:pPr>
            <w:r>
              <w:rPr>
                <w:rFonts w:eastAsia="MS Mincho"/>
              </w:rPr>
              <w:t>N</w:t>
            </w:r>
            <w:r>
              <w:rPr>
                <w:rFonts w:eastAsia="MS Mincho"/>
                <w:vertAlign w:val="superscript"/>
              </w:rPr>
              <w:t>1</w:t>
            </w:r>
          </w:p>
        </w:tc>
        <w:tc>
          <w:tcPr>
            <w:tcW w:w="1960" w:type="pct"/>
            <w:shd w:val="clear" w:color="auto" w:fill="BFBFBF" w:themeFill="background1" w:themeFillShade="BF"/>
            <w:tcMar>
              <w:left w:w="28" w:type="dxa"/>
              <w:right w:w="28" w:type="dxa"/>
            </w:tcMar>
          </w:tcPr>
          <w:p w14:paraId="13E20D31" w14:textId="77777777" w:rsidR="00603673" w:rsidRPr="00061F78" w:rsidRDefault="00603673" w:rsidP="008E021C">
            <w:pPr>
              <w:pStyle w:val="Tableheading"/>
              <w:keepNext/>
              <w:jc w:val="center"/>
              <w:rPr>
                <w:rFonts w:eastAsia="MS Mincho"/>
              </w:rPr>
            </w:pPr>
            <w:r w:rsidRPr="00061F78">
              <w:rPr>
                <w:rFonts w:eastAsia="MS Mincho"/>
              </w:rPr>
              <w:t>P</w:t>
            </w:r>
            <w:r>
              <w:rPr>
                <w:rFonts w:eastAsia="MS Mincho"/>
              </w:rPr>
              <w:t>opulation</w:t>
            </w:r>
          </w:p>
        </w:tc>
        <w:tc>
          <w:tcPr>
            <w:tcW w:w="915" w:type="pct"/>
            <w:shd w:val="clear" w:color="auto" w:fill="BFBFBF" w:themeFill="background1" w:themeFillShade="BF"/>
          </w:tcPr>
          <w:p w14:paraId="6220D86E" w14:textId="77777777" w:rsidR="00603673" w:rsidRDefault="00603673" w:rsidP="008E021C">
            <w:pPr>
              <w:pStyle w:val="Tableheading"/>
              <w:keepNext/>
              <w:jc w:val="center"/>
              <w:rPr>
                <w:rFonts w:eastAsia="MS Mincho"/>
              </w:rPr>
            </w:pPr>
            <w:r>
              <w:rPr>
                <w:rFonts w:eastAsia="MS Mincho"/>
              </w:rPr>
              <w:t>Intervention and comparator</w:t>
            </w:r>
          </w:p>
        </w:tc>
        <w:tc>
          <w:tcPr>
            <w:tcW w:w="1038" w:type="pct"/>
            <w:shd w:val="clear" w:color="auto" w:fill="BFBFBF" w:themeFill="background1" w:themeFillShade="BF"/>
            <w:tcMar>
              <w:left w:w="28" w:type="dxa"/>
              <w:right w:w="28" w:type="dxa"/>
            </w:tcMar>
          </w:tcPr>
          <w:p w14:paraId="211BE6AE" w14:textId="77777777" w:rsidR="00603673" w:rsidRPr="00061F78" w:rsidRDefault="00603673" w:rsidP="008E021C">
            <w:pPr>
              <w:pStyle w:val="Tableheading"/>
              <w:keepNext/>
              <w:jc w:val="center"/>
              <w:rPr>
                <w:rFonts w:eastAsia="MS Mincho"/>
              </w:rPr>
            </w:pPr>
            <w:r>
              <w:rPr>
                <w:rFonts w:eastAsia="MS Mincho"/>
              </w:rPr>
              <w:t>Outcomes</w:t>
            </w:r>
          </w:p>
        </w:tc>
      </w:tr>
      <w:tr w:rsidR="00260CD7" w:rsidRPr="00061F78" w14:paraId="072426D8" w14:textId="77777777" w:rsidTr="00231319">
        <w:trPr>
          <w:trHeight w:val="99"/>
        </w:trPr>
        <w:tc>
          <w:tcPr>
            <w:tcW w:w="337" w:type="pct"/>
            <w:shd w:val="clear" w:color="auto" w:fill="FFFFFF" w:themeFill="background1"/>
            <w:tcMar>
              <w:left w:w="28" w:type="dxa"/>
              <w:right w:w="28" w:type="dxa"/>
            </w:tcMar>
          </w:tcPr>
          <w:p w14:paraId="19369AA2" w14:textId="77777777" w:rsidR="005D1C69" w:rsidRPr="00231319" w:rsidRDefault="005D1C69" w:rsidP="005D1C69">
            <w:pPr>
              <w:pStyle w:val="Tablewriting"/>
              <w:keepNext/>
              <w:rPr>
                <w:rFonts w:eastAsia="MS Mincho"/>
              </w:rPr>
            </w:pPr>
            <w:r w:rsidRPr="00231319">
              <w:rPr>
                <w:rFonts w:eastAsia="MS Mincho"/>
              </w:rPr>
              <w:t>Tonnesen</w:t>
            </w:r>
          </w:p>
          <w:p w14:paraId="5F0FCF95" w14:textId="1E83370D" w:rsidR="005D1C69" w:rsidRPr="00231319" w:rsidRDefault="005D1C69" w:rsidP="005D1C69">
            <w:pPr>
              <w:pStyle w:val="Tablewriting"/>
              <w:keepNext/>
              <w:rPr>
                <w:rFonts w:eastAsia="MS Mincho"/>
              </w:rPr>
            </w:pPr>
            <w:r w:rsidRPr="00231319">
              <w:rPr>
                <w:rFonts w:eastAsia="MS Mincho"/>
              </w:rPr>
              <w:t>(CEASE, 1999)</w:t>
            </w:r>
          </w:p>
        </w:tc>
        <w:tc>
          <w:tcPr>
            <w:tcW w:w="395" w:type="pct"/>
            <w:shd w:val="clear" w:color="auto" w:fill="FFFFFF" w:themeFill="background1"/>
          </w:tcPr>
          <w:p w14:paraId="7C9B70B3" w14:textId="474842C5" w:rsidR="005D1C69" w:rsidRPr="00231319" w:rsidRDefault="005D1C69" w:rsidP="005D1C69">
            <w:pPr>
              <w:pStyle w:val="Tablewriting"/>
              <w:keepNext/>
              <w:rPr>
                <w:rFonts w:eastAsia="MS Mincho"/>
              </w:rPr>
            </w:pPr>
            <w:r w:rsidRPr="00231319">
              <w:rPr>
                <w:rFonts w:eastAsia="MS Mincho"/>
              </w:rPr>
              <w:t>RCT</w:t>
            </w:r>
          </w:p>
        </w:tc>
        <w:tc>
          <w:tcPr>
            <w:tcW w:w="355" w:type="pct"/>
            <w:shd w:val="clear" w:color="auto" w:fill="FFFFFF" w:themeFill="background1"/>
            <w:tcMar>
              <w:left w:w="28" w:type="dxa"/>
              <w:right w:w="28" w:type="dxa"/>
            </w:tcMar>
          </w:tcPr>
          <w:p w14:paraId="1C5B9751" w14:textId="3FE907E7" w:rsidR="005D1C69" w:rsidRPr="00231319" w:rsidRDefault="005D1C69" w:rsidP="005D1C69">
            <w:pPr>
              <w:pStyle w:val="Tablewriting"/>
              <w:keepNext/>
              <w:rPr>
                <w:rFonts w:eastAsia="MS Mincho"/>
              </w:rPr>
            </w:pPr>
            <w:r w:rsidRPr="00231319">
              <w:rPr>
                <w:rFonts w:eastAsia="MS Mincho"/>
              </w:rPr>
              <w:t>N=</w:t>
            </w:r>
            <w:r w:rsidR="00C30FA4" w:rsidRPr="00231319">
              <w:rPr>
                <w:rFonts w:eastAsia="MS Mincho"/>
              </w:rPr>
              <w:t>3,575</w:t>
            </w:r>
          </w:p>
          <w:p w14:paraId="00C8C713" w14:textId="74480A82" w:rsidR="005D1C69" w:rsidRPr="00231319" w:rsidRDefault="005D1C69" w:rsidP="005D1C69">
            <w:pPr>
              <w:pStyle w:val="Tablewriting"/>
              <w:keepNext/>
              <w:rPr>
                <w:rFonts w:eastAsia="MS Mincho"/>
              </w:rPr>
            </w:pPr>
            <w:r w:rsidRPr="00231319">
              <w:rPr>
                <w:rFonts w:eastAsia="MS Mincho"/>
              </w:rPr>
              <w:t>NRT patch (n=</w:t>
            </w:r>
            <w:r w:rsidR="00C30FA4" w:rsidRPr="00231319">
              <w:rPr>
                <w:rFonts w:eastAsia="MS Mincho"/>
              </w:rPr>
              <w:t>2,861</w:t>
            </w:r>
            <w:r w:rsidRPr="00231319">
              <w:rPr>
                <w:rFonts w:eastAsia="MS Mincho"/>
              </w:rPr>
              <w:t>),</w:t>
            </w:r>
          </w:p>
          <w:p w14:paraId="723F809B" w14:textId="14B5E488" w:rsidR="005D1C69" w:rsidRPr="00231319" w:rsidRDefault="005D1C69" w:rsidP="005D1C69">
            <w:pPr>
              <w:pStyle w:val="Tablewriting"/>
              <w:keepNext/>
              <w:rPr>
                <w:rFonts w:eastAsia="MS Mincho"/>
              </w:rPr>
            </w:pPr>
            <w:r w:rsidRPr="00231319">
              <w:rPr>
                <w:rFonts w:eastAsia="MS Mincho"/>
              </w:rPr>
              <w:t>Placebo (n=</w:t>
            </w:r>
            <w:r w:rsidR="00C30FA4" w:rsidRPr="00231319">
              <w:rPr>
                <w:rFonts w:eastAsia="MS Mincho"/>
              </w:rPr>
              <w:t>714</w:t>
            </w:r>
            <w:r w:rsidRPr="00231319">
              <w:rPr>
                <w:rFonts w:eastAsia="MS Mincho"/>
              </w:rPr>
              <w:t>)</w:t>
            </w:r>
          </w:p>
        </w:tc>
        <w:tc>
          <w:tcPr>
            <w:tcW w:w="1960" w:type="pct"/>
            <w:shd w:val="clear" w:color="auto" w:fill="FFFFFF" w:themeFill="background1"/>
            <w:tcMar>
              <w:left w:w="28" w:type="dxa"/>
              <w:right w:w="28" w:type="dxa"/>
            </w:tcMar>
          </w:tcPr>
          <w:p w14:paraId="2ED10702" w14:textId="3F510CDA" w:rsidR="003F546A" w:rsidRPr="00231319" w:rsidRDefault="005D1C69" w:rsidP="005D1C69">
            <w:pPr>
              <w:pStyle w:val="Tablewriting"/>
              <w:keepNext/>
              <w:rPr>
                <w:rFonts w:eastAsia="MS Mincho"/>
              </w:rPr>
            </w:pPr>
            <w:r w:rsidRPr="00231319">
              <w:rPr>
                <w:rFonts w:eastAsia="MS Mincho"/>
                <w:u w:val="single"/>
              </w:rPr>
              <w:t>Inclusion</w:t>
            </w:r>
            <w:r w:rsidRPr="00231319">
              <w:rPr>
                <w:rFonts w:eastAsia="MS Mincho"/>
              </w:rPr>
              <w:t xml:space="preserve">: </w:t>
            </w:r>
            <w:r w:rsidR="00DE7ED8" w:rsidRPr="00231319">
              <w:rPr>
                <w:rFonts w:eastAsia="MS Mincho"/>
              </w:rPr>
              <w:t>20-70 years old, &gt;14 cigarettes</w:t>
            </w:r>
            <w:r w:rsidR="00A352C6" w:rsidRPr="00231319">
              <w:rPr>
                <w:rFonts w:eastAsia="MS Mincho"/>
              </w:rPr>
              <w:t xml:space="preserve"> per </w:t>
            </w:r>
            <w:r w:rsidR="00DE7ED8" w:rsidRPr="00231319">
              <w:rPr>
                <w:rFonts w:eastAsia="MS Mincho"/>
              </w:rPr>
              <w:t>day for at least 3 y</w:t>
            </w:r>
            <w:r w:rsidR="00A352C6" w:rsidRPr="00231319">
              <w:rPr>
                <w:rFonts w:eastAsia="MS Mincho"/>
              </w:rPr>
              <w:t>ear</w:t>
            </w:r>
            <w:r w:rsidR="00DE7ED8" w:rsidRPr="00231319">
              <w:rPr>
                <w:rFonts w:eastAsia="MS Mincho"/>
              </w:rPr>
              <w:t>s</w:t>
            </w:r>
            <w:r w:rsidR="003121D3" w:rsidRPr="00231319">
              <w:rPr>
                <w:rFonts w:eastAsia="MS Mincho"/>
              </w:rPr>
              <w:t>,</w:t>
            </w:r>
            <w:r w:rsidR="00DE7ED8" w:rsidRPr="00231319">
              <w:rPr>
                <w:rFonts w:eastAsia="MS Mincho"/>
              </w:rPr>
              <w:t xml:space="preserve"> motivated to stop smoking</w:t>
            </w:r>
            <w:r w:rsidR="00A92ECD" w:rsidRPr="00231319">
              <w:rPr>
                <w:rFonts w:eastAsia="MS Mincho"/>
              </w:rPr>
              <w:t>,</w:t>
            </w:r>
            <w:r w:rsidR="00DE7ED8" w:rsidRPr="00231319">
              <w:rPr>
                <w:rFonts w:eastAsia="MS Mincho"/>
              </w:rPr>
              <w:t xml:space="preserve"> made at least one prior quit attempt.</w:t>
            </w:r>
          </w:p>
          <w:p w14:paraId="0935A4A3" w14:textId="34E6736E" w:rsidR="005D1C69" w:rsidRPr="00231319" w:rsidRDefault="005D1C69" w:rsidP="005D1C69">
            <w:pPr>
              <w:pStyle w:val="Tablewriting"/>
              <w:keepNext/>
              <w:rPr>
                <w:rFonts w:eastAsia="MS Mincho"/>
                <w:u w:val="single"/>
              </w:rPr>
            </w:pPr>
            <w:r w:rsidRPr="00231319">
              <w:rPr>
                <w:rFonts w:eastAsia="MS Mincho"/>
                <w:u w:val="single"/>
              </w:rPr>
              <w:t>Exclusion</w:t>
            </w:r>
            <w:r w:rsidRPr="00231319">
              <w:rPr>
                <w:rFonts w:eastAsia="MS Mincho"/>
              </w:rPr>
              <w:t xml:space="preserve">: </w:t>
            </w:r>
            <w:r w:rsidR="00F56E9D" w:rsidRPr="00231319">
              <w:rPr>
                <w:rFonts w:eastAsia="MS Mincho"/>
              </w:rPr>
              <w:t>myocardial infarction in the preceding 3 months; unstable angina, severe cardiac arrhythmia</w:t>
            </w:r>
            <w:r w:rsidR="00B80967" w:rsidRPr="00231319">
              <w:rPr>
                <w:rFonts w:eastAsia="MS Mincho"/>
              </w:rPr>
              <w:t>,</w:t>
            </w:r>
            <w:r w:rsidR="00F56E9D" w:rsidRPr="00231319">
              <w:rPr>
                <w:rFonts w:eastAsia="MS Mincho"/>
              </w:rPr>
              <w:t xml:space="preserve"> pregnant or lactating females, under psychiatric care or medication, alcohol or any other drug abuse, eczema</w:t>
            </w:r>
            <w:r w:rsidR="00E718E9" w:rsidRPr="00231319">
              <w:rPr>
                <w:rFonts w:eastAsia="MS Mincho"/>
              </w:rPr>
              <w:t xml:space="preserve">, </w:t>
            </w:r>
            <w:r w:rsidR="00F56E9D" w:rsidRPr="00231319">
              <w:rPr>
                <w:rFonts w:eastAsia="MS Mincho"/>
              </w:rPr>
              <w:t>severe or malignant disease</w:t>
            </w:r>
            <w:r w:rsidR="00E718E9" w:rsidRPr="00231319">
              <w:rPr>
                <w:rFonts w:eastAsia="MS Mincho"/>
              </w:rPr>
              <w:t>,</w:t>
            </w:r>
            <w:r w:rsidR="00F56E9D" w:rsidRPr="00231319">
              <w:rPr>
                <w:rFonts w:eastAsia="MS Mincho"/>
              </w:rPr>
              <w:t xml:space="preserve"> existing use of nicotine</w:t>
            </w:r>
            <w:r w:rsidR="00942AFB" w:rsidRPr="00231319">
              <w:rPr>
                <w:rFonts w:eastAsia="MS Mincho"/>
              </w:rPr>
              <w:t xml:space="preserve"> </w:t>
            </w:r>
            <w:r w:rsidR="00F56E9D" w:rsidRPr="00231319">
              <w:rPr>
                <w:rFonts w:eastAsia="MS Mincho"/>
              </w:rPr>
              <w:t>substitution products and/or participation in formal smoking</w:t>
            </w:r>
            <w:r w:rsidR="00942AFB" w:rsidRPr="00231319">
              <w:rPr>
                <w:rFonts w:eastAsia="MS Mincho"/>
              </w:rPr>
              <w:t xml:space="preserve"> </w:t>
            </w:r>
            <w:r w:rsidR="00F56E9D" w:rsidRPr="00231319">
              <w:rPr>
                <w:rFonts w:eastAsia="MS Mincho"/>
              </w:rPr>
              <w:t>cessation programs in the last 6 months.</w:t>
            </w:r>
          </w:p>
        </w:tc>
        <w:tc>
          <w:tcPr>
            <w:tcW w:w="915" w:type="pct"/>
            <w:shd w:val="clear" w:color="auto" w:fill="FFFFFF" w:themeFill="background1"/>
          </w:tcPr>
          <w:p w14:paraId="69F9AB19" w14:textId="6E9B7B54" w:rsidR="00FB6E6E" w:rsidRPr="00231319" w:rsidRDefault="005D1C69" w:rsidP="005D1C69">
            <w:pPr>
              <w:pStyle w:val="Tablewriting"/>
              <w:keepNext/>
              <w:rPr>
                <w:rFonts w:eastAsia="MS Mincho"/>
              </w:rPr>
            </w:pPr>
            <w:r w:rsidRPr="00231319">
              <w:rPr>
                <w:rFonts w:eastAsia="MS Mincho"/>
              </w:rPr>
              <w:t xml:space="preserve">NRT: </w:t>
            </w:r>
            <w:r w:rsidR="00485F2F" w:rsidRPr="00231319">
              <w:rPr>
                <w:rFonts w:eastAsia="MS Mincho"/>
              </w:rPr>
              <w:t xml:space="preserve">2 patch doses and 2 treatment durations. </w:t>
            </w:r>
            <w:r w:rsidR="00291D9B" w:rsidRPr="00231319">
              <w:rPr>
                <w:rFonts w:eastAsia="MS Mincho"/>
              </w:rPr>
              <w:t>(</w:t>
            </w:r>
            <w:r w:rsidR="00485F2F" w:rsidRPr="00231319">
              <w:rPr>
                <w:rFonts w:eastAsia="MS Mincho"/>
              </w:rPr>
              <w:t>1</w:t>
            </w:r>
            <w:r w:rsidR="00291D9B" w:rsidRPr="00231319">
              <w:rPr>
                <w:rFonts w:eastAsia="MS Mincho"/>
              </w:rPr>
              <w:t>)</w:t>
            </w:r>
            <w:r w:rsidR="00485F2F" w:rsidRPr="00231319">
              <w:rPr>
                <w:rFonts w:eastAsia="MS Mincho"/>
              </w:rPr>
              <w:t xml:space="preserve"> 25</w:t>
            </w:r>
            <w:r w:rsidR="00803DA6" w:rsidRPr="00231319">
              <w:rPr>
                <w:rFonts w:eastAsia="MS Mincho"/>
              </w:rPr>
              <w:t xml:space="preserve"> </w:t>
            </w:r>
            <w:r w:rsidR="00485F2F" w:rsidRPr="00231319">
              <w:rPr>
                <w:rFonts w:eastAsia="MS Mincho"/>
              </w:rPr>
              <w:t>mg for 28 w</w:t>
            </w:r>
            <w:r w:rsidR="00291D9B" w:rsidRPr="00231319">
              <w:rPr>
                <w:rFonts w:eastAsia="MS Mincho"/>
              </w:rPr>
              <w:t>ee</w:t>
            </w:r>
            <w:r w:rsidR="00485F2F" w:rsidRPr="00231319">
              <w:rPr>
                <w:rFonts w:eastAsia="MS Mincho"/>
              </w:rPr>
              <w:t>ks</w:t>
            </w:r>
            <w:r w:rsidR="00A96666" w:rsidRPr="00231319">
              <w:rPr>
                <w:rFonts w:eastAsia="MS Mincho"/>
              </w:rPr>
              <w:t>,</w:t>
            </w:r>
            <w:r w:rsidR="0097687F" w:rsidRPr="00231319">
              <w:rPr>
                <w:rFonts w:eastAsia="MS Mincho"/>
              </w:rPr>
              <w:t xml:space="preserve"> (</w:t>
            </w:r>
            <w:r w:rsidR="00485F2F" w:rsidRPr="00231319">
              <w:rPr>
                <w:rFonts w:eastAsia="MS Mincho"/>
              </w:rPr>
              <w:t>2</w:t>
            </w:r>
            <w:r w:rsidR="0097687F" w:rsidRPr="00231319">
              <w:rPr>
                <w:rFonts w:eastAsia="MS Mincho"/>
              </w:rPr>
              <w:t>)</w:t>
            </w:r>
            <w:r w:rsidR="00485F2F" w:rsidRPr="00231319">
              <w:rPr>
                <w:rFonts w:eastAsia="MS Mincho"/>
              </w:rPr>
              <w:t xml:space="preserve"> 25</w:t>
            </w:r>
            <w:r w:rsidR="00803DA6" w:rsidRPr="00231319">
              <w:rPr>
                <w:rFonts w:eastAsia="MS Mincho"/>
              </w:rPr>
              <w:t xml:space="preserve"> </w:t>
            </w:r>
            <w:r w:rsidR="00485F2F" w:rsidRPr="00231319">
              <w:rPr>
                <w:rFonts w:eastAsia="MS Mincho"/>
              </w:rPr>
              <w:t>mg for 12 w</w:t>
            </w:r>
            <w:r w:rsidR="0097687F" w:rsidRPr="00231319">
              <w:rPr>
                <w:rFonts w:eastAsia="MS Mincho"/>
              </w:rPr>
              <w:t>ee</w:t>
            </w:r>
            <w:r w:rsidR="00485F2F" w:rsidRPr="00231319">
              <w:rPr>
                <w:rFonts w:eastAsia="MS Mincho"/>
              </w:rPr>
              <w:t>ks</w:t>
            </w:r>
            <w:r w:rsidR="00A96666" w:rsidRPr="00231319">
              <w:rPr>
                <w:rFonts w:eastAsia="MS Mincho"/>
              </w:rPr>
              <w:t>,</w:t>
            </w:r>
            <w:r w:rsidR="00485F2F" w:rsidRPr="00231319">
              <w:rPr>
                <w:rFonts w:eastAsia="MS Mincho"/>
              </w:rPr>
              <w:t xml:space="preserve"> </w:t>
            </w:r>
            <w:r w:rsidR="0097687F" w:rsidRPr="00231319">
              <w:rPr>
                <w:rFonts w:eastAsia="MS Mincho"/>
              </w:rPr>
              <w:t>(</w:t>
            </w:r>
            <w:r w:rsidR="00485F2F" w:rsidRPr="00231319">
              <w:rPr>
                <w:rFonts w:eastAsia="MS Mincho"/>
              </w:rPr>
              <w:t>3</w:t>
            </w:r>
            <w:r w:rsidR="0097687F" w:rsidRPr="00231319">
              <w:rPr>
                <w:rFonts w:eastAsia="MS Mincho"/>
              </w:rPr>
              <w:t>)</w:t>
            </w:r>
            <w:r w:rsidR="00485F2F" w:rsidRPr="00231319">
              <w:rPr>
                <w:rFonts w:eastAsia="MS Mincho"/>
              </w:rPr>
              <w:t xml:space="preserve"> 15</w:t>
            </w:r>
            <w:r w:rsidR="00803DA6" w:rsidRPr="00231319">
              <w:rPr>
                <w:rFonts w:eastAsia="MS Mincho"/>
              </w:rPr>
              <w:t xml:space="preserve"> </w:t>
            </w:r>
            <w:r w:rsidR="00485F2F" w:rsidRPr="00231319">
              <w:rPr>
                <w:rFonts w:eastAsia="MS Mincho"/>
              </w:rPr>
              <w:t xml:space="preserve">mg </w:t>
            </w:r>
            <w:r w:rsidR="00C858D7" w:rsidRPr="00231319">
              <w:rPr>
                <w:rFonts w:eastAsia="MS Mincho"/>
              </w:rPr>
              <w:t>f</w:t>
            </w:r>
            <w:r w:rsidR="00485F2F" w:rsidRPr="00231319">
              <w:rPr>
                <w:rFonts w:eastAsia="MS Mincho"/>
              </w:rPr>
              <w:t>or 28 w</w:t>
            </w:r>
            <w:r w:rsidR="0097687F" w:rsidRPr="00231319">
              <w:rPr>
                <w:rFonts w:eastAsia="MS Mincho"/>
              </w:rPr>
              <w:t>ee</w:t>
            </w:r>
            <w:r w:rsidR="00485F2F" w:rsidRPr="00231319">
              <w:rPr>
                <w:rFonts w:eastAsia="MS Mincho"/>
              </w:rPr>
              <w:t>ks</w:t>
            </w:r>
            <w:r w:rsidR="00A96666" w:rsidRPr="00231319">
              <w:rPr>
                <w:rFonts w:eastAsia="MS Mincho"/>
              </w:rPr>
              <w:t>,</w:t>
            </w:r>
            <w:r w:rsidR="00485F2F" w:rsidRPr="00231319">
              <w:rPr>
                <w:rFonts w:eastAsia="MS Mincho"/>
              </w:rPr>
              <w:t xml:space="preserve"> </w:t>
            </w:r>
            <w:r w:rsidR="0097687F" w:rsidRPr="00231319">
              <w:rPr>
                <w:rFonts w:eastAsia="MS Mincho"/>
              </w:rPr>
              <w:t>(</w:t>
            </w:r>
            <w:r w:rsidR="00485F2F" w:rsidRPr="00231319">
              <w:rPr>
                <w:rFonts w:eastAsia="MS Mincho"/>
              </w:rPr>
              <w:t>4</w:t>
            </w:r>
            <w:r w:rsidR="0097687F" w:rsidRPr="00231319">
              <w:rPr>
                <w:rFonts w:eastAsia="MS Mincho"/>
              </w:rPr>
              <w:t>)</w:t>
            </w:r>
            <w:r w:rsidR="00485F2F" w:rsidRPr="00231319">
              <w:rPr>
                <w:rFonts w:eastAsia="MS Mincho"/>
              </w:rPr>
              <w:t xml:space="preserve"> 15</w:t>
            </w:r>
            <w:r w:rsidR="00803DA6" w:rsidRPr="00231319">
              <w:rPr>
                <w:rFonts w:eastAsia="MS Mincho"/>
              </w:rPr>
              <w:t xml:space="preserve"> </w:t>
            </w:r>
            <w:r w:rsidR="00485F2F" w:rsidRPr="00231319">
              <w:rPr>
                <w:rFonts w:eastAsia="MS Mincho"/>
              </w:rPr>
              <w:t>mg for 12 w</w:t>
            </w:r>
            <w:r w:rsidR="0097687F" w:rsidRPr="00231319">
              <w:rPr>
                <w:rFonts w:eastAsia="MS Mincho"/>
              </w:rPr>
              <w:t>ee</w:t>
            </w:r>
            <w:r w:rsidR="00485F2F" w:rsidRPr="00231319">
              <w:rPr>
                <w:rFonts w:eastAsia="MS Mincho"/>
              </w:rPr>
              <w:t>ks</w:t>
            </w:r>
            <w:r w:rsidR="00366BE5" w:rsidRPr="00231319">
              <w:rPr>
                <w:rFonts w:eastAsia="MS Mincho"/>
              </w:rPr>
              <w:t xml:space="preserve">; </w:t>
            </w:r>
            <w:r w:rsidRPr="00231319">
              <w:rPr>
                <w:rFonts w:eastAsia="MS Mincho"/>
              </w:rPr>
              <w:t xml:space="preserve">Placebo: placebo </w:t>
            </w:r>
            <w:r w:rsidR="00481242" w:rsidRPr="00231319">
              <w:rPr>
                <w:rFonts w:eastAsia="MS Mincho"/>
              </w:rPr>
              <w:t>patch</w:t>
            </w:r>
            <w:r w:rsidR="00570534" w:rsidRPr="00231319">
              <w:rPr>
                <w:rFonts w:eastAsia="MS Mincho"/>
              </w:rPr>
              <w:t xml:space="preserve"> for 26 weeks</w:t>
            </w:r>
            <w:r w:rsidR="006727E9" w:rsidRPr="00231319">
              <w:rPr>
                <w:rFonts w:eastAsia="MS Mincho"/>
              </w:rPr>
              <w:t xml:space="preserve">. </w:t>
            </w:r>
            <w:r w:rsidR="00FB6E6E" w:rsidRPr="00231319">
              <w:rPr>
                <w:rFonts w:eastAsia="MS Mincho"/>
              </w:rPr>
              <w:t>Behavioural support provided in both arms.</w:t>
            </w:r>
          </w:p>
        </w:tc>
        <w:tc>
          <w:tcPr>
            <w:tcW w:w="1038" w:type="pct"/>
            <w:shd w:val="clear" w:color="auto" w:fill="FFFFFF" w:themeFill="background1"/>
            <w:tcMar>
              <w:left w:w="28" w:type="dxa"/>
              <w:right w:w="28" w:type="dxa"/>
            </w:tcMar>
          </w:tcPr>
          <w:p w14:paraId="63CD92EE" w14:textId="66C9ECF3" w:rsidR="005D1C69" w:rsidRPr="00231319" w:rsidRDefault="005D1C69" w:rsidP="005D1C69">
            <w:pPr>
              <w:pStyle w:val="Tablewriting"/>
              <w:keepNext/>
              <w:rPr>
                <w:rFonts w:eastAsia="MS Mincho"/>
              </w:rPr>
            </w:pPr>
            <w:r w:rsidRPr="00231319">
              <w:rPr>
                <w:rFonts w:eastAsia="MS Mincho"/>
                <w:u w:val="single"/>
              </w:rPr>
              <w:t>Primary</w:t>
            </w:r>
            <w:r w:rsidRPr="00231319">
              <w:rPr>
                <w:rFonts w:eastAsia="MS Mincho"/>
              </w:rPr>
              <w:t xml:space="preserve">: </w:t>
            </w:r>
            <w:r w:rsidR="00B5455E" w:rsidRPr="00231319">
              <w:rPr>
                <w:rFonts w:eastAsia="MS Mincho"/>
              </w:rPr>
              <w:t>prolonged abstinence</w:t>
            </w:r>
            <w:r w:rsidR="003A6A4C" w:rsidRPr="00231319">
              <w:rPr>
                <w:rFonts w:eastAsia="MS Mincho"/>
              </w:rPr>
              <w:t xml:space="preserve"> at 12 months</w:t>
            </w:r>
            <w:r w:rsidR="00F467C6" w:rsidRPr="00231319">
              <w:rPr>
                <w:rFonts w:eastAsia="MS Mincho"/>
              </w:rPr>
              <w:t xml:space="preserve"> (from </w:t>
            </w:r>
            <w:r w:rsidR="007B7017">
              <w:rPr>
                <w:rFonts w:eastAsia="MS Mincho"/>
              </w:rPr>
              <w:t>w</w:t>
            </w:r>
            <w:r w:rsidR="00F467C6" w:rsidRPr="00231319">
              <w:rPr>
                <w:rFonts w:eastAsia="MS Mincho"/>
              </w:rPr>
              <w:t>eek 2)</w:t>
            </w:r>
            <w:r w:rsidR="00AB1153" w:rsidRPr="00231319">
              <w:rPr>
                <w:rFonts w:eastAsia="MS Mincho"/>
              </w:rPr>
              <w:t>. Validated by CO ≤10</w:t>
            </w:r>
            <w:r w:rsidR="00803DA6" w:rsidRPr="00231319">
              <w:rPr>
                <w:rFonts w:eastAsia="MS Mincho"/>
              </w:rPr>
              <w:t xml:space="preserve"> </w:t>
            </w:r>
            <w:r w:rsidR="00AB1153" w:rsidRPr="00231319">
              <w:rPr>
                <w:rFonts w:eastAsia="MS Mincho"/>
              </w:rPr>
              <w:t>ppm.</w:t>
            </w:r>
          </w:p>
          <w:p w14:paraId="2A25CC87" w14:textId="60DECC24" w:rsidR="005D1C69" w:rsidRPr="00231319" w:rsidRDefault="00AB1153" w:rsidP="005D1C69">
            <w:pPr>
              <w:pStyle w:val="Tablewriting"/>
              <w:keepNext/>
              <w:rPr>
                <w:rFonts w:eastAsia="MS Mincho"/>
              </w:rPr>
            </w:pPr>
            <w:r w:rsidRPr="00231319">
              <w:rPr>
                <w:rFonts w:eastAsia="MS Mincho"/>
                <w:u w:val="single"/>
              </w:rPr>
              <w:t>Secondary</w:t>
            </w:r>
            <w:r w:rsidRPr="00231319">
              <w:rPr>
                <w:rFonts w:eastAsia="MS Mincho"/>
              </w:rPr>
              <w:t xml:space="preserve">: </w:t>
            </w:r>
            <w:r w:rsidR="00893CA9" w:rsidRPr="00231319">
              <w:rPr>
                <w:rFonts w:eastAsia="MS Mincho"/>
              </w:rPr>
              <w:t xml:space="preserve">withdrawal symptoms, </w:t>
            </w:r>
            <w:r w:rsidR="00A96666" w:rsidRPr="00231319">
              <w:rPr>
                <w:rFonts w:eastAsia="MS Mincho"/>
              </w:rPr>
              <w:t>compliance, body weight change, adverse events</w:t>
            </w:r>
            <w:r w:rsidR="002D5E67" w:rsidRPr="00231319">
              <w:rPr>
                <w:rFonts w:eastAsia="MS Mincho"/>
              </w:rPr>
              <w:t>.</w:t>
            </w:r>
          </w:p>
        </w:tc>
      </w:tr>
      <w:tr w:rsidR="00260CD7" w:rsidRPr="00061F78" w14:paraId="0453CEB4" w14:textId="77777777" w:rsidTr="00231319">
        <w:trPr>
          <w:trHeight w:val="99"/>
        </w:trPr>
        <w:tc>
          <w:tcPr>
            <w:tcW w:w="337" w:type="pct"/>
            <w:shd w:val="clear" w:color="auto" w:fill="FFFFFF" w:themeFill="background1"/>
            <w:tcMar>
              <w:left w:w="28" w:type="dxa"/>
              <w:right w:w="28" w:type="dxa"/>
            </w:tcMar>
          </w:tcPr>
          <w:p w14:paraId="6BDDCF87" w14:textId="1B140589" w:rsidR="00E14E51" w:rsidRPr="00231319" w:rsidRDefault="00E14E51" w:rsidP="00E14E51">
            <w:pPr>
              <w:pStyle w:val="Tablewriting"/>
              <w:keepNext/>
              <w:rPr>
                <w:rFonts w:eastAsia="MS Mincho"/>
              </w:rPr>
            </w:pPr>
            <w:r w:rsidRPr="00231319">
              <w:rPr>
                <w:rFonts w:eastAsia="MS Mincho"/>
              </w:rPr>
              <w:t>Silagy (2004)</w:t>
            </w:r>
          </w:p>
        </w:tc>
        <w:tc>
          <w:tcPr>
            <w:tcW w:w="395" w:type="pct"/>
            <w:shd w:val="clear" w:color="auto" w:fill="FFFFFF" w:themeFill="background1"/>
          </w:tcPr>
          <w:p w14:paraId="376F6BEC" w14:textId="093D9460" w:rsidR="00E14E51" w:rsidRPr="00231319" w:rsidRDefault="00E14E51" w:rsidP="00E14E51">
            <w:pPr>
              <w:pStyle w:val="Tablewriting"/>
              <w:keepNext/>
              <w:rPr>
                <w:rFonts w:eastAsia="MS Mincho"/>
              </w:rPr>
            </w:pPr>
            <w:r w:rsidRPr="00231319">
              <w:rPr>
                <w:rFonts w:eastAsia="MS Mincho"/>
              </w:rPr>
              <w:t xml:space="preserve">Cochrane </w:t>
            </w:r>
            <w:r w:rsidR="004C4EA7" w:rsidRPr="00231319">
              <w:rPr>
                <w:rFonts w:eastAsia="MS Mincho"/>
              </w:rPr>
              <w:t>Review (</w:t>
            </w:r>
            <w:r w:rsidR="00DF4CFE" w:rsidRPr="00231319">
              <w:rPr>
                <w:rFonts w:eastAsia="MS Mincho"/>
              </w:rPr>
              <w:t>38</w:t>
            </w:r>
            <w:r w:rsidRPr="00231319">
              <w:rPr>
                <w:rFonts w:eastAsia="MS Mincho"/>
              </w:rPr>
              <w:t xml:space="preserve"> RCTs</w:t>
            </w:r>
            <w:r w:rsidRPr="00231319">
              <w:rPr>
                <w:rFonts w:eastAsia="MS Mincho"/>
                <w:vertAlign w:val="superscript"/>
              </w:rPr>
              <w:t>2</w:t>
            </w:r>
            <w:r w:rsidRPr="00231319">
              <w:rPr>
                <w:rFonts w:eastAsia="MS Mincho"/>
              </w:rPr>
              <w:t>)</w:t>
            </w:r>
          </w:p>
        </w:tc>
        <w:tc>
          <w:tcPr>
            <w:tcW w:w="355" w:type="pct"/>
            <w:shd w:val="clear" w:color="auto" w:fill="FFFFFF" w:themeFill="background1"/>
            <w:tcMar>
              <w:left w:w="28" w:type="dxa"/>
              <w:right w:w="28" w:type="dxa"/>
            </w:tcMar>
          </w:tcPr>
          <w:p w14:paraId="527FA29F" w14:textId="47C1472E" w:rsidR="00E14E51" w:rsidRPr="00231319" w:rsidRDefault="00E14E51" w:rsidP="00E14E51">
            <w:pPr>
              <w:pStyle w:val="Tablewriting"/>
              <w:keepNext/>
              <w:rPr>
                <w:rFonts w:eastAsia="MS Mincho"/>
              </w:rPr>
            </w:pPr>
            <w:r w:rsidRPr="00231319">
              <w:rPr>
                <w:rFonts w:eastAsia="MS Mincho"/>
              </w:rPr>
              <w:t>N=</w:t>
            </w:r>
            <w:r w:rsidR="00C871DD" w:rsidRPr="00231319">
              <w:rPr>
                <w:rFonts w:eastAsia="MS Mincho"/>
              </w:rPr>
              <w:t>16,691</w:t>
            </w:r>
          </w:p>
          <w:p w14:paraId="058E81AF" w14:textId="72F10D17" w:rsidR="00E14E51" w:rsidRPr="00231319" w:rsidRDefault="00E14E51" w:rsidP="00E14E51">
            <w:pPr>
              <w:pStyle w:val="Tablewriting"/>
              <w:keepNext/>
              <w:rPr>
                <w:rFonts w:eastAsia="MS Mincho"/>
              </w:rPr>
            </w:pPr>
            <w:r w:rsidRPr="00231319">
              <w:rPr>
                <w:rFonts w:eastAsia="MS Mincho"/>
              </w:rPr>
              <w:t>NRT patch (n=1</w:t>
            </w:r>
            <w:r w:rsidR="00C871DD" w:rsidRPr="00231319">
              <w:rPr>
                <w:rFonts w:eastAsia="MS Mincho"/>
              </w:rPr>
              <w:t>0,216</w:t>
            </w:r>
            <w:r w:rsidRPr="00231319">
              <w:rPr>
                <w:rFonts w:eastAsia="MS Mincho"/>
              </w:rPr>
              <w:t>),</w:t>
            </w:r>
          </w:p>
          <w:p w14:paraId="4230CCBA" w14:textId="781A1093" w:rsidR="00E14E51" w:rsidRPr="00231319" w:rsidRDefault="00E14E51" w:rsidP="00E14E51">
            <w:pPr>
              <w:pStyle w:val="Tablewriting"/>
              <w:keepNext/>
              <w:rPr>
                <w:rFonts w:eastAsia="MS Mincho"/>
              </w:rPr>
            </w:pPr>
            <w:r w:rsidRPr="00231319">
              <w:rPr>
                <w:rFonts w:eastAsia="MS Mincho"/>
              </w:rPr>
              <w:t>Placebo (n=</w:t>
            </w:r>
            <w:r w:rsidR="00C871DD" w:rsidRPr="00231319">
              <w:rPr>
                <w:rFonts w:eastAsia="MS Mincho"/>
              </w:rPr>
              <w:t>6,475</w:t>
            </w:r>
            <w:r w:rsidRPr="00231319">
              <w:rPr>
                <w:rFonts w:eastAsia="MS Mincho"/>
              </w:rPr>
              <w:t>)</w:t>
            </w:r>
          </w:p>
        </w:tc>
        <w:tc>
          <w:tcPr>
            <w:tcW w:w="1960" w:type="pct"/>
            <w:shd w:val="clear" w:color="auto" w:fill="FFFFFF" w:themeFill="background1"/>
            <w:tcMar>
              <w:left w:w="28" w:type="dxa"/>
              <w:right w:w="28" w:type="dxa"/>
            </w:tcMar>
          </w:tcPr>
          <w:p w14:paraId="43477197" w14:textId="77777777" w:rsidR="00E14E51" w:rsidRPr="00231319" w:rsidRDefault="00E14E51" w:rsidP="00E14E51">
            <w:pPr>
              <w:pStyle w:val="Tablewriting"/>
              <w:keepNext/>
              <w:rPr>
                <w:rFonts w:eastAsia="MS Mincho"/>
              </w:rPr>
            </w:pPr>
            <w:r w:rsidRPr="00231319">
              <w:rPr>
                <w:rFonts w:eastAsia="MS Mincho"/>
                <w:u w:val="single"/>
              </w:rPr>
              <w:t>Inclusion</w:t>
            </w:r>
            <w:r w:rsidRPr="00231319">
              <w:rPr>
                <w:rFonts w:eastAsia="MS Mincho"/>
              </w:rPr>
              <w:t>: men or women who smoked and were motivated to</w:t>
            </w:r>
          </w:p>
          <w:p w14:paraId="26DD8347" w14:textId="77777777" w:rsidR="00E14E51" w:rsidRPr="00231319" w:rsidRDefault="00E14E51" w:rsidP="00E14E51">
            <w:pPr>
              <w:pStyle w:val="Tablewriting"/>
              <w:keepNext/>
              <w:rPr>
                <w:rFonts w:eastAsia="MS Mincho"/>
              </w:rPr>
            </w:pPr>
            <w:r w:rsidRPr="00231319">
              <w:rPr>
                <w:rFonts w:eastAsia="MS Mincho"/>
              </w:rPr>
              <w:t>quit, irrespective of the setting from which they were recruited</w:t>
            </w:r>
          </w:p>
          <w:p w14:paraId="1B01F0F8" w14:textId="77777777" w:rsidR="00E14E51" w:rsidRPr="00231319" w:rsidRDefault="00E14E51" w:rsidP="00E14E51">
            <w:pPr>
              <w:pStyle w:val="Tablewriting"/>
              <w:keepNext/>
              <w:rPr>
                <w:rFonts w:eastAsia="MS Mincho"/>
              </w:rPr>
            </w:pPr>
            <w:r w:rsidRPr="00231319">
              <w:rPr>
                <w:rFonts w:eastAsia="MS Mincho"/>
              </w:rPr>
              <w:t>or their initial level of nicotine dependence, or both.</w:t>
            </w:r>
          </w:p>
          <w:p w14:paraId="398E94B1" w14:textId="6FB85EE0" w:rsidR="00E14E51" w:rsidRPr="00231319" w:rsidRDefault="00E14E51" w:rsidP="00E14E51">
            <w:pPr>
              <w:pStyle w:val="Tablewriting"/>
              <w:keepNext/>
              <w:rPr>
                <w:rFonts w:eastAsia="MS Mincho"/>
              </w:rPr>
            </w:pPr>
            <w:r w:rsidRPr="00231319">
              <w:rPr>
                <w:rFonts w:eastAsia="MS Mincho"/>
                <w:u w:val="single"/>
              </w:rPr>
              <w:t>Exclusion</w:t>
            </w:r>
            <w:r w:rsidRPr="00231319">
              <w:rPr>
                <w:rFonts w:eastAsia="MS Mincho"/>
              </w:rPr>
              <w:t>: trials that randomised physicians or other therapists to receive an educational intervention, which included encouraging their patients to use NRT</w:t>
            </w:r>
            <w:r w:rsidR="002D5E67" w:rsidRPr="00231319">
              <w:rPr>
                <w:rFonts w:eastAsia="MS Mincho"/>
              </w:rPr>
              <w:t>.</w:t>
            </w:r>
          </w:p>
        </w:tc>
        <w:tc>
          <w:tcPr>
            <w:tcW w:w="915" w:type="pct"/>
            <w:shd w:val="clear" w:color="auto" w:fill="FFFFFF" w:themeFill="background1"/>
          </w:tcPr>
          <w:p w14:paraId="327FB79C" w14:textId="3E4CAD71" w:rsidR="00E14E51" w:rsidRPr="00231319" w:rsidRDefault="00E14E51" w:rsidP="00E14E51">
            <w:pPr>
              <w:pStyle w:val="Tablewriting"/>
              <w:keepNext/>
              <w:rPr>
                <w:rFonts w:eastAsia="MS Mincho"/>
              </w:rPr>
            </w:pPr>
            <w:r w:rsidRPr="00231319">
              <w:rPr>
                <w:rFonts w:eastAsia="MS Mincho"/>
              </w:rPr>
              <w:t>NRT: NRT patch</w:t>
            </w:r>
            <w:r w:rsidR="00366BE5" w:rsidRPr="00231319">
              <w:rPr>
                <w:rFonts w:eastAsia="MS Mincho"/>
              </w:rPr>
              <w:t xml:space="preserve">; </w:t>
            </w:r>
            <w:r w:rsidRPr="00231319">
              <w:rPr>
                <w:rFonts w:eastAsia="MS Mincho"/>
              </w:rPr>
              <w:t>Placebo: placebo or no NRT control</w:t>
            </w:r>
            <w:r w:rsidR="00AB5FA3" w:rsidRPr="00231319">
              <w:rPr>
                <w:rFonts w:eastAsia="MS Mincho"/>
              </w:rPr>
              <w:t>.</w:t>
            </w:r>
          </w:p>
        </w:tc>
        <w:tc>
          <w:tcPr>
            <w:tcW w:w="1038" w:type="pct"/>
            <w:shd w:val="clear" w:color="auto" w:fill="FFFFFF" w:themeFill="background1"/>
            <w:tcMar>
              <w:left w:w="28" w:type="dxa"/>
              <w:right w:w="28" w:type="dxa"/>
            </w:tcMar>
          </w:tcPr>
          <w:p w14:paraId="559ABF56" w14:textId="62240D58" w:rsidR="00E14E51" w:rsidRPr="00231319" w:rsidRDefault="00E14E51" w:rsidP="00E14E51">
            <w:pPr>
              <w:pStyle w:val="Tablewriting"/>
              <w:keepNext/>
              <w:rPr>
                <w:rFonts w:eastAsia="MS Mincho"/>
              </w:rPr>
            </w:pPr>
            <w:r w:rsidRPr="00231319">
              <w:rPr>
                <w:rFonts w:eastAsia="MS Mincho"/>
                <w:u w:val="single"/>
              </w:rPr>
              <w:t>Primary</w:t>
            </w:r>
            <w:r w:rsidRPr="00231319">
              <w:rPr>
                <w:rFonts w:eastAsia="MS Mincho"/>
              </w:rPr>
              <w:t>: smoking cessation rates of at least six months after baseline</w:t>
            </w:r>
            <w:r w:rsidR="002D5E67" w:rsidRPr="00231319">
              <w:rPr>
                <w:rFonts w:eastAsia="MS Mincho"/>
              </w:rPr>
              <w:t>.</w:t>
            </w:r>
          </w:p>
          <w:p w14:paraId="51CB6E50" w14:textId="092420AD" w:rsidR="00E14E51" w:rsidRPr="00231319" w:rsidRDefault="00E14E51" w:rsidP="00E14E51">
            <w:pPr>
              <w:pStyle w:val="Tablewriting"/>
              <w:keepNext/>
              <w:rPr>
                <w:rFonts w:eastAsia="MS Mincho"/>
              </w:rPr>
            </w:pPr>
          </w:p>
        </w:tc>
      </w:tr>
      <w:tr w:rsidR="00260CD7" w:rsidRPr="00061F78" w14:paraId="0BDCEA3C" w14:textId="77777777" w:rsidTr="00231319">
        <w:trPr>
          <w:trHeight w:val="99"/>
        </w:trPr>
        <w:tc>
          <w:tcPr>
            <w:tcW w:w="337" w:type="pct"/>
            <w:shd w:val="clear" w:color="auto" w:fill="FFFFFF" w:themeFill="background1"/>
            <w:tcMar>
              <w:left w:w="28" w:type="dxa"/>
              <w:right w:w="28" w:type="dxa"/>
            </w:tcMar>
          </w:tcPr>
          <w:p w14:paraId="48D5794C" w14:textId="77777777" w:rsidR="00E14E51" w:rsidRDefault="00E14E51" w:rsidP="00E14E51">
            <w:pPr>
              <w:pStyle w:val="Tablewriting"/>
              <w:keepNext/>
              <w:rPr>
                <w:rFonts w:eastAsia="MS Mincho"/>
              </w:rPr>
            </w:pPr>
            <w:r>
              <w:rPr>
                <w:rFonts w:eastAsia="MS Mincho"/>
              </w:rPr>
              <w:t>Stead</w:t>
            </w:r>
          </w:p>
          <w:p w14:paraId="1E2D887D" w14:textId="5391B1BD" w:rsidR="00E14E51" w:rsidRPr="00061F78" w:rsidRDefault="00E14E51" w:rsidP="00E14E51">
            <w:pPr>
              <w:pStyle w:val="Tablewriting"/>
              <w:keepNext/>
              <w:rPr>
                <w:rFonts w:eastAsia="MS Mincho"/>
              </w:rPr>
            </w:pPr>
            <w:r>
              <w:rPr>
                <w:rFonts w:eastAsia="MS Mincho"/>
              </w:rPr>
              <w:t>(2008)</w:t>
            </w:r>
          </w:p>
        </w:tc>
        <w:tc>
          <w:tcPr>
            <w:tcW w:w="395" w:type="pct"/>
            <w:shd w:val="clear" w:color="auto" w:fill="FFFFFF" w:themeFill="background1"/>
          </w:tcPr>
          <w:p w14:paraId="53D9E69F" w14:textId="5E3E360E" w:rsidR="00E14E51" w:rsidRDefault="00E14E51" w:rsidP="00E14E51">
            <w:pPr>
              <w:pStyle w:val="Tablewriting"/>
              <w:keepNext/>
              <w:rPr>
                <w:rFonts w:eastAsia="MS Mincho"/>
              </w:rPr>
            </w:pPr>
            <w:r>
              <w:rPr>
                <w:rFonts w:eastAsia="MS Mincho"/>
              </w:rPr>
              <w:t xml:space="preserve">Cochrane </w:t>
            </w:r>
            <w:r w:rsidR="004C4EA7">
              <w:rPr>
                <w:rFonts w:eastAsia="MS Mincho"/>
              </w:rPr>
              <w:t>Review (</w:t>
            </w:r>
            <w:r w:rsidR="000A4FBF">
              <w:rPr>
                <w:rFonts w:eastAsia="MS Mincho"/>
              </w:rPr>
              <w:t>4</w:t>
            </w:r>
            <w:r>
              <w:rPr>
                <w:rFonts w:eastAsia="MS Mincho"/>
              </w:rPr>
              <w:t>1 RCTs</w:t>
            </w:r>
            <w:r w:rsidRPr="00AB145F">
              <w:rPr>
                <w:rFonts w:eastAsia="MS Mincho"/>
                <w:vertAlign w:val="superscript"/>
              </w:rPr>
              <w:t>2</w:t>
            </w:r>
            <w:r>
              <w:rPr>
                <w:rFonts w:eastAsia="MS Mincho"/>
              </w:rPr>
              <w:t>)</w:t>
            </w:r>
          </w:p>
        </w:tc>
        <w:tc>
          <w:tcPr>
            <w:tcW w:w="355" w:type="pct"/>
            <w:shd w:val="clear" w:color="auto" w:fill="FFFFFF" w:themeFill="background1"/>
            <w:tcMar>
              <w:left w:w="28" w:type="dxa"/>
              <w:right w:w="28" w:type="dxa"/>
            </w:tcMar>
          </w:tcPr>
          <w:p w14:paraId="136350F5" w14:textId="4CB8D3DA" w:rsidR="00E14E51" w:rsidRDefault="00E14E51" w:rsidP="00E14E51">
            <w:pPr>
              <w:pStyle w:val="Tablewriting"/>
              <w:keepNext/>
              <w:rPr>
                <w:rFonts w:eastAsia="MS Mincho"/>
              </w:rPr>
            </w:pPr>
            <w:r>
              <w:rPr>
                <w:rFonts w:eastAsia="MS Mincho"/>
              </w:rPr>
              <w:t>N=</w:t>
            </w:r>
            <w:r w:rsidR="00C85A00">
              <w:rPr>
                <w:rFonts w:eastAsia="MS Mincho"/>
              </w:rPr>
              <w:t>18,237</w:t>
            </w:r>
          </w:p>
          <w:p w14:paraId="64258BF0" w14:textId="755A1ECB" w:rsidR="00E14E51" w:rsidRDefault="00E14E51" w:rsidP="00E14E51">
            <w:pPr>
              <w:pStyle w:val="Tablewriting"/>
              <w:keepNext/>
              <w:rPr>
                <w:rFonts w:eastAsia="MS Mincho"/>
              </w:rPr>
            </w:pPr>
            <w:r>
              <w:rPr>
                <w:rFonts w:eastAsia="MS Mincho"/>
              </w:rPr>
              <w:t>NRT patch (n=1</w:t>
            </w:r>
            <w:r w:rsidR="00C85A00">
              <w:rPr>
                <w:rFonts w:eastAsia="MS Mincho"/>
              </w:rPr>
              <w:t>0,963</w:t>
            </w:r>
            <w:r>
              <w:rPr>
                <w:rFonts w:eastAsia="MS Mincho"/>
              </w:rPr>
              <w:t>),</w:t>
            </w:r>
          </w:p>
          <w:p w14:paraId="1F02909E" w14:textId="48534AB9" w:rsidR="00E14E51" w:rsidRPr="00061F78" w:rsidRDefault="00E14E51" w:rsidP="00E14E51">
            <w:pPr>
              <w:pStyle w:val="Tablewriting"/>
              <w:keepNext/>
              <w:rPr>
                <w:rFonts w:eastAsia="MS Mincho"/>
              </w:rPr>
            </w:pPr>
            <w:r>
              <w:rPr>
                <w:rFonts w:eastAsia="MS Mincho"/>
              </w:rPr>
              <w:t>Placebo (n=</w:t>
            </w:r>
            <w:r w:rsidR="00C85A00">
              <w:rPr>
                <w:rFonts w:eastAsia="MS Mincho"/>
              </w:rPr>
              <w:t>7,274</w:t>
            </w:r>
            <w:r>
              <w:rPr>
                <w:rFonts w:eastAsia="MS Mincho"/>
              </w:rPr>
              <w:t>)</w:t>
            </w:r>
          </w:p>
        </w:tc>
        <w:tc>
          <w:tcPr>
            <w:tcW w:w="1960" w:type="pct"/>
            <w:shd w:val="clear" w:color="auto" w:fill="FFFFFF" w:themeFill="background1"/>
            <w:tcMar>
              <w:left w:w="28" w:type="dxa"/>
              <w:right w:w="28" w:type="dxa"/>
            </w:tcMar>
          </w:tcPr>
          <w:p w14:paraId="0D037B83" w14:textId="13E145FA" w:rsidR="00E14E51" w:rsidRPr="00061F78" w:rsidRDefault="003E3843" w:rsidP="00E14E51">
            <w:pPr>
              <w:pStyle w:val="Tablewriting"/>
              <w:keepNext/>
              <w:rPr>
                <w:rFonts w:eastAsia="MS Mincho"/>
              </w:rPr>
            </w:pPr>
            <w:r w:rsidRPr="003E3843">
              <w:rPr>
                <w:rFonts w:eastAsia="MS Mincho"/>
              </w:rPr>
              <w:t xml:space="preserve">Same inclusion and exclusion criteria </w:t>
            </w:r>
            <w:r w:rsidRPr="00231319">
              <w:rPr>
                <w:rFonts w:eastAsia="MS Mincho"/>
              </w:rPr>
              <w:t>as Silag</w:t>
            </w:r>
            <w:r w:rsidR="001217F0" w:rsidRPr="00231319">
              <w:rPr>
                <w:rFonts w:eastAsia="MS Mincho"/>
              </w:rPr>
              <w:t>y</w:t>
            </w:r>
            <w:r w:rsidRPr="00231319">
              <w:rPr>
                <w:rFonts w:eastAsia="MS Mincho"/>
              </w:rPr>
              <w:t xml:space="preserve"> (2004)</w:t>
            </w:r>
            <w:r w:rsidR="002D5E67" w:rsidRPr="00231319">
              <w:rPr>
                <w:rFonts w:eastAsia="MS Mincho"/>
              </w:rPr>
              <w:t>.</w:t>
            </w:r>
          </w:p>
        </w:tc>
        <w:tc>
          <w:tcPr>
            <w:tcW w:w="915" w:type="pct"/>
            <w:shd w:val="clear" w:color="auto" w:fill="FFFFFF" w:themeFill="background1"/>
          </w:tcPr>
          <w:p w14:paraId="537AB4E1" w14:textId="0809A802" w:rsidR="00E14E51" w:rsidRPr="00A34E7B" w:rsidRDefault="00E14E51" w:rsidP="00E14E51">
            <w:pPr>
              <w:pStyle w:val="Tablewriting"/>
              <w:keepNext/>
              <w:rPr>
                <w:rFonts w:eastAsia="MS Mincho"/>
              </w:rPr>
            </w:pPr>
            <w:r>
              <w:rPr>
                <w:rFonts w:eastAsia="MS Mincho"/>
              </w:rPr>
              <w:t>NRT: NRT patch</w:t>
            </w:r>
            <w:r w:rsidR="00366BE5">
              <w:rPr>
                <w:rFonts w:eastAsia="MS Mincho"/>
              </w:rPr>
              <w:t xml:space="preserve">; </w:t>
            </w:r>
            <w:r>
              <w:rPr>
                <w:rFonts w:eastAsia="MS Mincho"/>
              </w:rPr>
              <w:t>Placebo: placebo or no NRT control</w:t>
            </w:r>
            <w:r w:rsidR="002D5E67">
              <w:rPr>
                <w:rFonts w:eastAsia="MS Mincho"/>
              </w:rPr>
              <w:t>.</w:t>
            </w:r>
          </w:p>
        </w:tc>
        <w:tc>
          <w:tcPr>
            <w:tcW w:w="1038" w:type="pct"/>
            <w:shd w:val="clear" w:color="auto" w:fill="FFFFFF" w:themeFill="background1"/>
            <w:tcMar>
              <w:left w:w="28" w:type="dxa"/>
              <w:right w:w="28" w:type="dxa"/>
            </w:tcMar>
          </w:tcPr>
          <w:p w14:paraId="6EA6C8F1" w14:textId="216AA985" w:rsidR="00E14E51" w:rsidRDefault="00E14E51" w:rsidP="00E14E51">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2D5E67">
              <w:rPr>
                <w:rFonts w:eastAsia="MS Mincho"/>
              </w:rPr>
              <w:t>.</w:t>
            </w:r>
          </w:p>
          <w:p w14:paraId="5261C55A" w14:textId="05499120" w:rsidR="00E14E51" w:rsidRPr="00061F78" w:rsidRDefault="00E14E51" w:rsidP="00E14E51">
            <w:pPr>
              <w:pStyle w:val="Tablewriting"/>
              <w:keepNext/>
              <w:rPr>
                <w:rFonts w:eastAsia="MS Mincho"/>
              </w:rPr>
            </w:pPr>
          </w:p>
        </w:tc>
      </w:tr>
      <w:tr w:rsidR="00260CD7" w:rsidRPr="00061F78" w14:paraId="4460DFE5" w14:textId="77777777" w:rsidTr="001217F0">
        <w:trPr>
          <w:trHeight w:val="149"/>
        </w:trPr>
        <w:tc>
          <w:tcPr>
            <w:tcW w:w="337" w:type="pct"/>
            <w:tcMar>
              <w:left w:w="28" w:type="dxa"/>
              <w:right w:w="28" w:type="dxa"/>
            </w:tcMar>
          </w:tcPr>
          <w:p w14:paraId="3512BFC9" w14:textId="167F0D1B" w:rsidR="00603673" w:rsidRPr="00014C33" w:rsidRDefault="00014C33" w:rsidP="008E021C">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p>
        </w:tc>
        <w:tc>
          <w:tcPr>
            <w:tcW w:w="395" w:type="pct"/>
          </w:tcPr>
          <w:p w14:paraId="2B546081" w14:textId="410B3B2C" w:rsidR="00603673" w:rsidRDefault="00603673" w:rsidP="008E021C">
            <w:pPr>
              <w:pStyle w:val="Tablewriting"/>
              <w:keepNext/>
              <w:rPr>
                <w:rFonts w:eastAsia="MS Mincho"/>
              </w:rPr>
            </w:pPr>
            <w:r>
              <w:rPr>
                <w:rFonts w:eastAsia="MS Mincho"/>
              </w:rPr>
              <w:t xml:space="preserve">Cochrane </w:t>
            </w:r>
            <w:r w:rsidR="004C4EA7">
              <w:rPr>
                <w:rFonts w:eastAsia="MS Mincho"/>
              </w:rPr>
              <w:t>Review (</w:t>
            </w:r>
            <w:r w:rsidR="0032586C">
              <w:rPr>
                <w:rFonts w:eastAsia="MS Mincho"/>
              </w:rPr>
              <w:t>51</w:t>
            </w:r>
            <w:r>
              <w:rPr>
                <w:rFonts w:eastAsia="MS Mincho"/>
              </w:rPr>
              <w:t xml:space="preserve"> RCTs</w:t>
            </w:r>
            <w:r w:rsidRPr="00AB145F">
              <w:rPr>
                <w:rFonts w:eastAsia="MS Mincho"/>
                <w:vertAlign w:val="superscript"/>
              </w:rPr>
              <w:t>2</w:t>
            </w:r>
            <w:r>
              <w:rPr>
                <w:rFonts w:eastAsia="MS Mincho"/>
              </w:rPr>
              <w:t>)</w:t>
            </w:r>
          </w:p>
        </w:tc>
        <w:tc>
          <w:tcPr>
            <w:tcW w:w="355" w:type="pct"/>
            <w:tcMar>
              <w:left w:w="28" w:type="dxa"/>
              <w:right w:w="28" w:type="dxa"/>
            </w:tcMar>
          </w:tcPr>
          <w:p w14:paraId="5F071093" w14:textId="34A0C987" w:rsidR="00603673" w:rsidRDefault="00603673" w:rsidP="008E021C">
            <w:pPr>
              <w:pStyle w:val="Tablewriting"/>
              <w:keepNext/>
              <w:rPr>
                <w:rFonts w:eastAsia="MS Mincho"/>
              </w:rPr>
            </w:pPr>
            <w:r>
              <w:rPr>
                <w:rFonts w:eastAsia="MS Mincho"/>
              </w:rPr>
              <w:t>N=</w:t>
            </w:r>
            <w:r w:rsidR="00B22645">
              <w:rPr>
                <w:rFonts w:eastAsia="MS Mincho"/>
              </w:rPr>
              <w:t>25,754</w:t>
            </w:r>
          </w:p>
          <w:p w14:paraId="2D13BDD5" w14:textId="726FFF51" w:rsidR="00603673" w:rsidRDefault="0032586C" w:rsidP="008E021C">
            <w:pPr>
              <w:pStyle w:val="Tablewriting"/>
              <w:keepNext/>
              <w:rPr>
                <w:rFonts w:eastAsia="MS Mincho"/>
              </w:rPr>
            </w:pPr>
            <w:r>
              <w:rPr>
                <w:rFonts w:eastAsia="MS Mincho"/>
              </w:rPr>
              <w:t>NRT patch</w:t>
            </w:r>
            <w:r w:rsidR="00603673">
              <w:rPr>
                <w:rFonts w:eastAsia="MS Mincho"/>
              </w:rPr>
              <w:t xml:space="preserve"> (n=</w:t>
            </w:r>
            <w:r>
              <w:rPr>
                <w:rFonts w:eastAsia="MS Mincho"/>
              </w:rPr>
              <w:t>13,773</w:t>
            </w:r>
            <w:r w:rsidR="00603673">
              <w:rPr>
                <w:rFonts w:eastAsia="MS Mincho"/>
              </w:rPr>
              <w:t>),</w:t>
            </w:r>
          </w:p>
          <w:p w14:paraId="69665377" w14:textId="31708BE7" w:rsidR="00603673" w:rsidRPr="00061F78" w:rsidRDefault="00603673" w:rsidP="008E021C">
            <w:pPr>
              <w:pStyle w:val="Tablewriting"/>
              <w:keepNext/>
              <w:rPr>
                <w:rFonts w:eastAsia="MS Mincho"/>
              </w:rPr>
            </w:pPr>
            <w:r>
              <w:rPr>
                <w:rFonts w:eastAsia="MS Mincho"/>
              </w:rPr>
              <w:t>Placebo (n=</w:t>
            </w:r>
            <w:r w:rsidR="00B22645">
              <w:rPr>
                <w:rFonts w:eastAsia="MS Mincho"/>
              </w:rPr>
              <w:t>11,981</w:t>
            </w:r>
            <w:r>
              <w:rPr>
                <w:rFonts w:eastAsia="MS Mincho"/>
              </w:rPr>
              <w:t>)</w:t>
            </w:r>
          </w:p>
        </w:tc>
        <w:tc>
          <w:tcPr>
            <w:tcW w:w="1960" w:type="pct"/>
            <w:tcMar>
              <w:left w:w="28" w:type="dxa"/>
              <w:right w:w="28" w:type="dxa"/>
            </w:tcMar>
          </w:tcPr>
          <w:p w14:paraId="4236C3E0" w14:textId="444632AE" w:rsidR="00603673" w:rsidRPr="00061F78" w:rsidRDefault="003E3843" w:rsidP="00D8489B">
            <w:pPr>
              <w:pStyle w:val="Tablewriting"/>
              <w:keepNext/>
              <w:rPr>
                <w:rFonts w:eastAsia="MS Mincho"/>
              </w:rPr>
            </w:pPr>
            <w:r w:rsidRPr="003E3843">
              <w:rPr>
                <w:rFonts w:eastAsia="MS Mincho"/>
              </w:rPr>
              <w:t xml:space="preserve">Same inclusion and exclusion criteria as </w:t>
            </w:r>
            <w:r w:rsidRPr="00231319">
              <w:rPr>
                <w:rFonts w:eastAsia="MS Mincho"/>
              </w:rPr>
              <w:t>Silag</w:t>
            </w:r>
            <w:r w:rsidR="001217F0" w:rsidRPr="00231319">
              <w:rPr>
                <w:rFonts w:eastAsia="MS Mincho"/>
              </w:rPr>
              <w:t>y</w:t>
            </w:r>
            <w:r w:rsidRPr="00231319">
              <w:rPr>
                <w:rFonts w:eastAsia="MS Mincho"/>
              </w:rPr>
              <w:t xml:space="preserve"> (2004)</w:t>
            </w:r>
            <w:r w:rsidR="002D5E67" w:rsidRPr="00231319">
              <w:rPr>
                <w:rFonts w:eastAsia="MS Mincho"/>
              </w:rPr>
              <w:t>.</w:t>
            </w:r>
          </w:p>
        </w:tc>
        <w:tc>
          <w:tcPr>
            <w:tcW w:w="915" w:type="pct"/>
          </w:tcPr>
          <w:p w14:paraId="5595D140" w14:textId="7FC5925F" w:rsidR="00603673" w:rsidRPr="00061F78" w:rsidRDefault="00654783" w:rsidP="008E021C">
            <w:pPr>
              <w:pStyle w:val="Tablewriting"/>
              <w:keepNext/>
              <w:rPr>
                <w:rFonts w:eastAsia="MS Mincho"/>
              </w:rPr>
            </w:pPr>
            <w:r>
              <w:rPr>
                <w:rFonts w:eastAsia="MS Mincho"/>
              </w:rPr>
              <w:t>NRT: NRT patch</w:t>
            </w:r>
            <w:r w:rsidR="00366BE5">
              <w:rPr>
                <w:rFonts w:eastAsia="MS Mincho"/>
              </w:rPr>
              <w:t xml:space="preserve">; </w:t>
            </w:r>
            <w:r w:rsidR="00603673">
              <w:rPr>
                <w:rFonts w:eastAsia="MS Mincho"/>
              </w:rPr>
              <w:t xml:space="preserve">Placebo: placebo </w:t>
            </w:r>
            <w:r>
              <w:rPr>
                <w:rFonts w:eastAsia="MS Mincho"/>
              </w:rPr>
              <w:t>or no NRT control</w:t>
            </w:r>
            <w:r w:rsidR="002D5E67">
              <w:rPr>
                <w:rFonts w:eastAsia="MS Mincho"/>
              </w:rPr>
              <w:t>.</w:t>
            </w:r>
          </w:p>
        </w:tc>
        <w:tc>
          <w:tcPr>
            <w:tcW w:w="1038" w:type="pct"/>
            <w:tcMar>
              <w:left w:w="28" w:type="dxa"/>
              <w:right w:w="28" w:type="dxa"/>
            </w:tcMar>
          </w:tcPr>
          <w:p w14:paraId="6F895492" w14:textId="18652456" w:rsidR="00603673" w:rsidRDefault="00603673" w:rsidP="008E021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2D5E67">
              <w:rPr>
                <w:rFonts w:eastAsia="MS Mincho"/>
              </w:rPr>
              <w:t>.</w:t>
            </w:r>
          </w:p>
          <w:p w14:paraId="027E5A75" w14:textId="0549849E" w:rsidR="00603673" w:rsidRPr="00061F78" w:rsidRDefault="00603673" w:rsidP="008E021C">
            <w:pPr>
              <w:pStyle w:val="Tablewriting"/>
              <w:keepNext/>
              <w:rPr>
                <w:rFonts w:eastAsia="MS Mincho"/>
              </w:rPr>
            </w:pPr>
            <w:r w:rsidRPr="0036499C">
              <w:rPr>
                <w:rFonts w:eastAsia="MS Mincho"/>
                <w:u w:val="single"/>
              </w:rPr>
              <w:t>Secondary</w:t>
            </w:r>
            <w:r>
              <w:rPr>
                <w:rFonts w:eastAsia="MS Mincho"/>
              </w:rPr>
              <w:t xml:space="preserve">: </w:t>
            </w:r>
            <w:r w:rsidR="006352CC">
              <w:rPr>
                <w:rFonts w:eastAsia="MS Mincho"/>
              </w:rPr>
              <w:t>adverse event</w:t>
            </w:r>
            <w:r w:rsidR="008B429B">
              <w:rPr>
                <w:rFonts w:eastAsia="MS Mincho"/>
              </w:rPr>
              <w:t xml:space="preserve"> including palpitations/chest pains</w:t>
            </w:r>
            <w:r w:rsidR="002D5E67">
              <w:rPr>
                <w:rFonts w:eastAsia="MS Mincho"/>
              </w:rPr>
              <w:t>.</w:t>
            </w:r>
          </w:p>
        </w:tc>
      </w:tr>
      <w:tr w:rsidR="004B779D" w:rsidRPr="00061F78" w14:paraId="134A3A49" w14:textId="77777777" w:rsidTr="001217F0">
        <w:trPr>
          <w:trHeight w:val="149"/>
        </w:trPr>
        <w:tc>
          <w:tcPr>
            <w:tcW w:w="337" w:type="pct"/>
            <w:tcMar>
              <w:left w:w="28" w:type="dxa"/>
              <w:right w:w="28" w:type="dxa"/>
            </w:tcMar>
          </w:tcPr>
          <w:p w14:paraId="3375D69C" w14:textId="2326827A" w:rsidR="004B779D" w:rsidRDefault="004B779D" w:rsidP="004B779D">
            <w:pPr>
              <w:pStyle w:val="Tablewriting"/>
              <w:keepNext/>
              <w:rPr>
                <w:rFonts w:eastAsia="MS Mincho"/>
              </w:rPr>
            </w:pPr>
            <w:r>
              <w:rPr>
                <w:rFonts w:eastAsia="MS Mincho"/>
              </w:rPr>
              <w:t>Benowitz (2018)</w:t>
            </w:r>
          </w:p>
        </w:tc>
        <w:tc>
          <w:tcPr>
            <w:tcW w:w="395" w:type="pct"/>
          </w:tcPr>
          <w:p w14:paraId="4AB6F883" w14:textId="4E87F771" w:rsidR="004B779D" w:rsidRPr="005E64E8" w:rsidRDefault="004B779D" w:rsidP="004B779D">
            <w:pPr>
              <w:pStyle w:val="Tablewriting"/>
              <w:keepNext/>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55" w:type="pct"/>
            <w:tcMar>
              <w:left w:w="28" w:type="dxa"/>
              <w:right w:w="28" w:type="dxa"/>
            </w:tcMar>
          </w:tcPr>
          <w:p w14:paraId="4EF88A85" w14:textId="77777777" w:rsidR="004B779D" w:rsidRDefault="004B779D" w:rsidP="004B779D">
            <w:pPr>
              <w:pStyle w:val="Tablewriting"/>
              <w:rPr>
                <w:rFonts w:eastAsia="MS Mincho"/>
              </w:rPr>
            </w:pPr>
            <w:r>
              <w:rPr>
                <w:rFonts w:eastAsia="MS Mincho"/>
              </w:rPr>
              <w:t>N=4,595</w:t>
            </w:r>
          </w:p>
          <w:p w14:paraId="68688B42" w14:textId="2FE6DE78" w:rsidR="004B779D" w:rsidRDefault="004B779D" w:rsidP="004B779D">
            <w:pPr>
              <w:pStyle w:val="Tablewriting"/>
              <w:keepNext/>
              <w:rPr>
                <w:rFonts w:eastAsia="MS Mincho"/>
              </w:rPr>
            </w:pPr>
            <w:r>
              <w:rPr>
                <w:rFonts w:eastAsia="MS Mincho"/>
              </w:rPr>
              <w:t>Bupropion (n=1,166), Placebo (n=1,121)</w:t>
            </w:r>
          </w:p>
        </w:tc>
        <w:tc>
          <w:tcPr>
            <w:tcW w:w="1960" w:type="pct"/>
            <w:tcMar>
              <w:left w:w="28" w:type="dxa"/>
              <w:right w:w="28" w:type="dxa"/>
            </w:tcMar>
          </w:tcPr>
          <w:p w14:paraId="46F16661" w14:textId="1EA69322" w:rsidR="004B779D" w:rsidRDefault="004B779D" w:rsidP="004B779D">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14:paraId="0DB362BC" w14:textId="35F16756" w:rsidR="004B779D" w:rsidRPr="003E3843" w:rsidRDefault="004B779D" w:rsidP="004B779D">
            <w:pPr>
              <w:pStyle w:val="Tablewriting"/>
              <w:keepNext/>
              <w:rPr>
                <w:rFonts w:eastAsia="MS Mincho"/>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915" w:type="pct"/>
          </w:tcPr>
          <w:p w14:paraId="35DF6E29" w14:textId="17AAC91F" w:rsidR="004B779D" w:rsidRDefault="004B779D" w:rsidP="004B779D">
            <w:pPr>
              <w:pStyle w:val="Tablewriting"/>
              <w:keepNext/>
              <w:rPr>
                <w:rFonts w:eastAsia="MS Mincho"/>
              </w:rPr>
            </w:pPr>
            <w:r>
              <w:rPr>
                <w:rFonts w:eastAsia="MS Mincho"/>
              </w:rPr>
              <w:t xml:space="preserve">No treatment was provided during this study. Prior </w:t>
            </w:r>
            <w:r w:rsidR="009A6504">
              <w:rPr>
                <w:rFonts w:eastAsia="MS Mincho"/>
              </w:rPr>
              <w:t>NRT</w:t>
            </w:r>
            <w:r>
              <w:rPr>
                <w:rFonts w:eastAsia="MS Mincho"/>
              </w:rPr>
              <w:t xml:space="preserve"> and placebo treatments were administered in EAGLES (2016).</w:t>
            </w:r>
          </w:p>
        </w:tc>
        <w:tc>
          <w:tcPr>
            <w:tcW w:w="1038" w:type="pct"/>
            <w:tcMar>
              <w:left w:w="28" w:type="dxa"/>
              <w:right w:w="28" w:type="dxa"/>
            </w:tcMar>
          </w:tcPr>
          <w:p w14:paraId="330C53CB" w14:textId="54E3E9D2" w:rsidR="004B779D" w:rsidRDefault="004B779D" w:rsidP="004B779D">
            <w:pPr>
              <w:pStyle w:val="Tablewriting"/>
              <w:rPr>
                <w:rFonts w:eastAsia="MS Mincho"/>
              </w:rPr>
            </w:pPr>
            <w:r w:rsidRPr="008C39E4">
              <w:rPr>
                <w:rFonts w:eastAsia="MS Mincho"/>
                <w:u w:val="single"/>
              </w:rPr>
              <w:t>Primary</w:t>
            </w:r>
            <w:r>
              <w:rPr>
                <w:rFonts w:eastAsia="MS Mincho"/>
              </w:rPr>
              <w:t>: Time to major adverse cardiovascular event</w:t>
            </w:r>
            <w:r w:rsidR="002D5E67">
              <w:rPr>
                <w:rFonts w:eastAsia="MS Mincho"/>
              </w:rPr>
              <w:t>.</w:t>
            </w:r>
          </w:p>
          <w:p w14:paraId="5791E6A5" w14:textId="0BAA5FE3" w:rsidR="004B779D" w:rsidRPr="0036499C" w:rsidRDefault="004B779D" w:rsidP="004B779D">
            <w:pPr>
              <w:pStyle w:val="Tablewriting"/>
              <w:keepNext/>
              <w:rPr>
                <w:rFonts w:eastAsia="MS Mincho"/>
                <w:u w:val="single"/>
              </w:rPr>
            </w:pPr>
            <w:r w:rsidRPr="008C39E4">
              <w:rPr>
                <w:rFonts w:eastAsia="MS Mincho"/>
                <w:u w:val="single"/>
              </w:rPr>
              <w:t>Secondary</w:t>
            </w:r>
            <w:r>
              <w:rPr>
                <w:rFonts w:eastAsia="MS Mincho"/>
              </w:rPr>
              <w:t>: Occurrence of major adverse cardiovascular event</w:t>
            </w:r>
            <w:r w:rsidR="002D5E67">
              <w:rPr>
                <w:rFonts w:eastAsia="MS Mincho"/>
              </w:rPr>
              <w:t>.</w:t>
            </w:r>
          </w:p>
        </w:tc>
      </w:tr>
    </w:tbl>
    <w:p w14:paraId="0EDE3BB5" w14:textId="0369209F" w:rsidR="007F2310" w:rsidRPr="00231319" w:rsidRDefault="007F2310" w:rsidP="006C1E0B">
      <w:pPr>
        <w:pStyle w:val="TableFooter"/>
        <w:keepNext/>
        <w:jc w:val="both"/>
        <w:rPr>
          <w:i/>
        </w:rPr>
      </w:pPr>
      <w:r>
        <w:lastRenderedPageBreak/>
        <w:t xml:space="preserve">Abbreviations: </w:t>
      </w:r>
      <w:r w:rsidR="00C5551B">
        <w:t xml:space="preserve">NRT = nicotine replacement therapy; </w:t>
      </w:r>
      <w:r>
        <w:t>RCT = randomised controlled trial</w:t>
      </w:r>
      <w:r w:rsidRPr="00061F78">
        <w:t xml:space="preserve"> </w:t>
      </w:r>
    </w:p>
    <w:p w14:paraId="11CF5620" w14:textId="25137EA4" w:rsidR="00666D39" w:rsidRDefault="007F2310" w:rsidP="006C1E0B">
      <w:pPr>
        <w:pStyle w:val="TableFooter"/>
        <w:keepNext/>
        <w:jc w:val="both"/>
      </w:pPr>
      <w:r>
        <w:t>1 Only the number of patients (n) in the relevant arms were included</w:t>
      </w:r>
      <w:r w:rsidR="002D5E67">
        <w:t>.</w:t>
      </w:r>
    </w:p>
    <w:p w14:paraId="6B5ECF61" w14:textId="078CFC93" w:rsidR="00603673" w:rsidRDefault="007F2310" w:rsidP="006C1E0B">
      <w:pPr>
        <w:pStyle w:val="TableFooter"/>
        <w:keepNext/>
        <w:jc w:val="both"/>
      </w:pPr>
      <w:r>
        <w:t xml:space="preserve">2 The characteristics of the individual studies comparing </w:t>
      </w:r>
      <w:r w:rsidR="00CD64B1">
        <w:t>NRT patch</w:t>
      </w:r>
      <w:r>
        <w:t xml:space="preserve"> with placebo</w:t>
      </w:r>
      <w:r w:rsidR="00EF57E9">
        <w:t xml:space="preserve"> (or no NRT control)</w:t>
      </w:r>
      <w:r>
        <w:t xml:space="preserve"> included in </w:t>
      </w:r>
      <w:r w:rsidR="00CD64B1">
        <w:t>Hartmann-Boyce</w:t>
      </w:r>
      <w:r>
        <w:t xml:space="preserve"> et al. (20</w:t>
      </w:r>
      <w:r w:rsidR="00CD64B1">
        <w:t>18</w:t>
      </w:r>
      <w:r>
        <w:t xml:space="preserve">) are presented in </w:t>
      </w:r>
      <w:r w:rsidRPr="000D7743">
        <w:t>Appendix</w:t>
      </w:r>
      <w:r w:rsidR="00076298">
        <w:t xml:space="preserve"> Table 148. </w:t>
      </w:r>
      <w:r w:rsidR="003167DB" w:rsidRPr="003167DB">
        <w:rPr>
          <w:color w:val="000000"/>
          <w:w w:val="82"/>
          <w:shd w:val="solid" w:color="000000" w:fill="000000"/>
          <w:fitText w:val="226" w:id="-1402779133"/>
          <w14:textFill>
            <w14:solidFill>
              <w14:srgbClr w14:val="000000">
                <w14:alpha w14:val="100000"/>
              </w14:srgbClr>
            </w14:solidFill>
          </w14:textFill>
        </w:rPr>
        <w:t>|  |</w:t>
      </w:r>
      <w:r>
        <w:t xml:space="preserve"> </w:t>
      </w:r>
      <w:r w:rsidR="00EF57E9">
        <w:t>Cochrane reviews were</w:t>
      </w:r>
      <w:r>
        <w:t xml:space="preserve"> previously considered by the PBAC (</w:t>
      </w:r>
      <w:r w:rsidR="003167DB" w:rsidRPr="003167DB">
        <w:rPr>
          <w:color w:val="000000"/>
          <w:spacing w:val="2"/>
          <w:w w:val="69"/>
          <w:shd w:val="solid" w:color="000000" w:fill="000000"/>
          <w:fitText w:val="1593" w:id="-1402779132"/>
          <w14:textFill>
            <w14:solidFill>
              <w14:srgbClr w14:val="000000">
                <w14:alpha w14:val="100000"/>
              </w14:srgbClr>
            </w14:solidFill>
          </w14:textFill>
        </w:rPr>
        <w:t>||||||||||||  ||||||||||</w:t>
      </w:r>
      <w:r w:rsidR="003167DB" w:rsidRPr="003167DB">
        <w:rPr>
          <w:color w:val="000000"/>
          <w:spacing w:val="22"/>
          <w:w w:val="69"/>
          <w:shd w:val="solid" w:color="000000" w:fill="000000"/>
          <w:fitText w:val="1593" w:id="-1402779132"/>
          <w14:textFill>
            <w14:solidFill>
              <w14:srgbClr w14:val="000000">
                <w14:alpha w14:val="100000"/>
              </w14:srgbClr>
            </w14:solidFill>
          </w14:textFill>
        </w:rPr>
        <w:t>|</w:t>
      </w:r>
      <w:r w:rsidR="00EF57E9">
        <w:t>Stead</w:t>
      </w:r>
      <w:r w:rsidRPr="005B2A6C">
        <w:t xml:space="preserve"> et al. </w:t>
      </w:r>
      <w:r w:rsidR="00EF57E9">
        <w:t>2008</w:t>
      </w:r>
      <w:r w:rsidRPr="005B2A6C">
        <w:t>)</w:t>
      </w:r>
      <w:r w:rsidR="00EF57E9">
        <w:t xml:space="preserve">. </w:t>
      </w:r>
      <w:r w:rsidR="009E29BF">
        <w:t>Three studies in</w:t>
      </w:r>
      <w:r w:rsidR="00EF57E9">
        <w:t xml:space="preserve"> </w:t>
      </w:r>
      <w:r w:rsidR="003167DB" w:rsidRPr="003167DB">
        <w:rPr>
          <w:color w:val="000000"/>
          <w:w w:val="65"/>
          <w:shd w:val="solid" w:color="000000" w:fill="000000"/>
          <w:fitText w:val="1748" w:id="-1402778880"/>
          <w14:textFill>
            <w14:solidFill>
              <w14:srgbClr w14:val="000000">
                <w14:alpha w14:val="100000"/>
              </w14:srgbClr>
            </w14:solidFill>
          </w14:textFill>
        </w:rPr>
        <w:t>||||||||||||||  |||||||||||||</w:t>
      </w:r>
      <w:r w:rsidR="003167DB" w:rsidRPr="003167DB">
        <w:rPr>
          <w:color w:val="000000"/>
          <w:spacing w:val="15"/>
          <w:w w:val="65"/>
          <w:shd w:val="solid" w:color="000000" w:fill="000000"/>
          <w:fitText w:val="1748" w:id="-1402778880"/>
          <w14:textFill>
            <w14:solidFill>
              <w14:srgbClr w14:val="000000">
                <w14:alpha w14:val="100000"/>
              </w14:srgbClr>
            </w14:solidFill>
          </w14:textFill>
        </w:rPr>
        <w:t>|</w:t>
      </w:r>
      <w:r w:rsidR="00EF57E9">
        <w:t xml:space="preserve"> Stead et al. (2008)</w:t>
      </w:r>
      <w:r w:rsidR="009E29BF">
        <w:t xml:space="preserve"> were ex</w:t>
      </w:r>
      <w:r>
        <w:t xml:space="preserve">cluded </w:t>
      </w:r>
      <w:r w:rsidR="009E29BF">
        <w:t>from</w:t>
      </w:r>
      <w:r>
        <w:t xml:space="preserve"> </w:t>
      </w:r>
      <w:r w:rsidR="00EF57E9">
        <w:t>the primary efficacy analysis of Hartmann-Boyce et al. (2018).</w:t>
      </w:r>
    </w:p>
    <w:p w14:paraId="022156A8" w14:textId="45E07226" w:rsidR="00B068FE" w:rsidRDefault="00B068FE" w:rsidP="006C1E0B">
      <w:pPr>
        <w:pStyle w:val="TableFooter"/>
        <w:keepNext/>
        <w:jc w:val="both"/>
      </w:pPr>
      <w:r>
        <w:t xml:space="preserve">3 </w:t>
      </w:r>
      <w:r w:rsidRPr="00B068FE">
        <w:t>Benowitz et al. (2018) was a non-treatment extension of EAGLES (Anthenelli et al. 2016) with a considerable amount of missing data due to lost to follow-up, extension study nonenrollees, no longer willing to participate and death.</w:t>
      </w:r>
    </w:p>
    <w:p w14:paraId="581411A7" w14:textId="77777777" w:rsidR="00603673" w:rsidRDefault="00603673" w:rsidP="00C83EDA">
      <w:pPr>
        <w:sectPr w:rsidR="00603673" w:rsidSect="00603673">
          <w:pgSz w:w="16838" w:h="11906" w:orient="landscape"/>
          <w:pgMar w:top="1440" w:right="1440" w:bottom="1440" w:left="1440" w:header="708" w:footer="708" w:gutter="0"/>
          <w:cols w:space="708"/>
          <w:titlePg/>
          <w:docGrid w:linePitch="360"/>
        </w:sectPr>
      </w:pPr>
    </w:p>
    <w:p w14:paraId="4BCBB8E1" w14:textId="657A7B95" w:rsidR="007C59F5" w:rsidRPr="0073597F" w:rsidRDefault="007C59F5" w:rsidP="006C1E0B">
      <w:pPr>
        <w:spacing w:after="120"/>
        <w:jc w:val="both"/>
        <w:rPr>
          <w:u w:val="single"/>
        </w:rPr>
      </w:pPr>
      <w:r w:rsidRPr="0073597F">
        <w:rPr>
          <w:u w:val="single"/>
        </w:rPr>
        <w:lastRenderedPageBreak/>
        <w:t>Efficacy</w:t>
      </w:r>
    </w:p>
    <w:p w14:paraId="2963DCDA" w14:textId="5CD4EAA0" w:rsidR="007C59F5" w:rsidRPr="007C59F5" w:rsidRDefault="007C59F5" w:rsidP="006C1E0B">
      <w:pPr>
        <w:spacing w:after="120"/>
        <w:jc w:val="both"/>
      </w:pPr>
      <w:r w:rsidRPr="007C59F5">
        <w:t xml:space="preserve">A summary of the smoking cessation rates </w:t>
      </w:r>
      <w:r w:rsidR="009676F1">
        <w:t>for</w:t>
      </w:r>
      <w:r w:rsidRPr="007C59F5">
        <w:t xml:space="preserve"> at least six months follow-up </w:t>
      </w:r>
      <w:r w:rsidR="001217F0">
        <w:t xml:space="preserve">comparing NRT </w:t>
      </w:r>
      <w:r w:rsidR="00573F59">
        <w:t>patches</w:t>
      </w:r>
      <w:r w:rsidR="001217F0">
        <w:t xml:space="preserve"> with placebo</w:t>
      </w:r>
      <w:r w:rsidRPr="007C59F5">
        <w:t xml:space="preserve"> is presented in </w:t>
      </w:r>
      <w:r w:rsidR="00E8125A">
        <w:fldChar w:fldCharType="begin" w:fldLock="1"/>
      </w:r>
      <w:r w:rsidR="00E8125A">
        <w:instrText xml:space="preserve"> REF _Ref54263777 \h </w:instrText>
      </w:r>
      <w:r w:rsidR="00E8125A">
        <w:fldChar w:fldCharType="separate"/>
      </w:r>
      <w:r w:rsidR="00EC5CC7">
        <w:t xml:space="preserve">Table </w:t>
      </w:r>
      <w:r w:rsidR="00EC5CC7">
        <w:rPr>
          <w:noProof/>
        </w:rPr>
        <w:t>23</w:t>
      </w:r>
      <w:r w:rsidR="00E8125A">
        <w:fldChar w:fldCharType="end"/>
      </w:r>
      <w:r w:rsidRPr="007C59F5">
        <w:t>. The results of</w:t>
      </w:r>
      <w:r w:rsidR="009A3AFB">
        <w:t xml:space="preserve"> </w:t>
      </w:r>
      <w:r w:rsidR="003167DB" w:rsidRPr="00CC424B">
        <w:rPr>
          <w:color w:val="000000"/>
          <w:spacing w:val="1"/>
          <w:w w:val="55"/>
          <w:shd w:val="solid" w:color="000000" w:fill="000000"/>
          <w:fitText w:val="1174" w:id="-1402778879"/>
          <w14:textFill>
            <w14:solidFill>
              <w14:srgbClr w14:val="000000">
                <w14:alpha w14:val="100000"/>
              </w14:srgbClr>
            </w14:solidFill>
          </w14:textFill>
        </w:rPr>
        <w:t>|||||||||  ||||||||</w:t>
      </w:r>
      <w:r w:rsidR="003167DB" w:rsidRPr="00CC424B">
        <w:rPr>
          <w:color w:val="000000"/>
          <w:spacing w:val="2"/>
          <w:w w:val="55"/>
          <w:shd w:val="solid" w:color="000000" w:fill="000000"/>
          <w:fitText w:val="1174" w:id="-1402778879"/>
          <w14:textFill>
            <w14:solidFill>
              <w14:srgbClr w14:val="000000">
                <w14:alpha w14:val="100000"/>
              </w14:srgbClr>
            </w14:solidFill>
          </w14:textFill>
        </w:rPr>
        <w:t>|</w:t>
      </w:r>
      <w:r w:rsidR="009A3AFB">
        <w:t>and</w:t>
      </w:r>
      <w:r w:rsidRPr="007C59F5">
        <w:t xml:space="preserve"> </w:t>
      </w:r>
      <w:r w:rsidR="000569B3">
        <w:t xml:space="preserve">the meta-analysis by </w:t>
      </w:r>
      <w:r w:rsidR="00CC424B" w:rsidRPr="00CC424B">
        <w:rPr>
          <w:color w:val="000000"/>
          <w:w w:val="54"/>
          <w:shd w:val="solid" w:color="000000" w:fill="000000"/>
          <w:fitText w:val="2095" w:id="-1402778624"/>
          <w14:textFill>
            <w14:solidFill>
              <w14:srgbClr w14:val="000000">
                <w14:alpha w14:val="100000"/>
              </w14:srgbClr>
            </w14:solidFill>
          </w14:textFill>
        </w:rPr>
        <w:t>|||||||||||||||||  |||||||||||||||||</w:t>
      </w:r>
      <w:r w:rsidR="000569B3">
        <w:t>Stead et</w:t>
      </w:r>
      <w:r w:rsidRPr="007C59F5">
        <w:t xml:space="preserve"> al. (</w:t>
      </w:r>
      <w:r w:rsidR="000569B3">
        <w:t>2008</w:t>
      </w:r>
      <w:r w:rsidRPr="007C59F5">
        <w:t xml:space="preserve">) demonstrated a statistically significant difference in </w:t>
      </w:r>
      <w:r w:rsidR="000569B3">
        <w:t>long-term smoking cessation</w:t>
      </w:r>
      <w:r w:rsidRPr="007C59F5">
        <w:t xml:space="preserve"> rate</w:t>
      </w:r>
      <w:r w:rsidR="000569B3">
        <w:t>s</w:t>
      </w:r>
      <w:r w:rsidRPr="007C59F5">
        <w:t xml:space="preserve">, in favour of </w:t>
      </w:r>
      <w:r w:rsidR="000569B3">
        <w:t xml:space="preserve">NRT </w:t>
      </w:r>
      <w:r w:rsidR="00573F59">
        <w:t>patches</w:t>
      </w:r>
      <w:r w:rsidRPr="007C59F5">
        <w:t>.</w:t>
      </w:r>
      <w:r w:rsidR="00D900DC">
        <w:t xml:space="preserve"> Similarly</w:t>
      </w:r>
      <w:r w:rsidRPr="007C59F5">
        <w:t xml:space="preserve">, the results of the meta-analysis comprising </w:t>
      </w:r>
      <w:r w:rsidR="00D900DC">
        <w:t xml:space="preserve">51 </w:t>
      </w:r>
      <w:r w:rsidRPr="007C59F5">
        <w:t xml:space="preserve">RCTs </w:t>
      </w:r>
      <w:r w:rsidR="00D900DC">
        <w:t>b</w:t>
      </w:r>
      <w:r w:rsidR="00D900DC" w:rsidRPr="00D900DC">
        <w:t xml:space="preserve">ased on the updated Cochrane </w:t>
      </w:r>
      <w:r w:rsidR="00461784" w:rsidRPr="00D900DC">
        <w:t>R</w:t>
      </w:r>
      <w:r w:rsidR="00D900DC" w:rsidRPr="00D900DC">
        <w:t>eview by Hartmann-Boyce et al. (2018)</w:t>
      </w:r>
      <w:r w:rsidR="00D900DC">
        <w:t xml:space="preserve"> </w:t>
      </w:r>
      <w:r w:rsidRPr="007C59F5">
        <w:t xml:space="preserve">demonstrated a statistically significant difference in </w:t>
      </w:r>
      <w:r w:rsidR="00D900DC">
        <w:t xml:space="preserve">long-term </w:t>
      </w:r>
      <w:r w:rsidRPr="007C59F5">
        <w:t xml:space="preserve">smoking cessation rates, in favour of </w:t>
      </w:r>
      <w:r w:rsidR="00D900DC">
        <w:t xml:space="preserve">NRT </w:t>
      </w:r>
      <w:r w:rsidR="00573F59">
        <w:t>patches</w:t>
      </w:r>
      <w:r w:rsidRPr="007C59F5">
        <w:t>.</w:t>
      </w:r>
    </w:p>
    <w:p w14:paraId="608B2777" w14:textId="0CC567FC" w:rsidR="0078171D" w:rsidRDefault="0078171D" w:rsidP="006C1E0B">
      <w:pPr>
        <w:pStyle w:val="Caption"/>
        <w:keepNext/>
        <w:spacing w:before="0" w:after="120"/>
        <w:jc w:val="both"/>
      </w:pPr>
      <w:bookmarkStart w:id="62" w:name="_Ref54263777"/>
      <w:r>
        <w:t xml:space="preserve">Table </w:t>
      </w:r>
      <w:r w:rsidR="00BF3F75">
        <w:fldChar w:fldCharType="begin"/>
      </w:r>
      <w:r w:rsidR="00BF3F75">
        <w:instrText xml:space="preserve"> SEQ Table \* ARABIC </w:instrText>
      </w:r>
      <w:r w:rsidR="00BF3F75">
        <w:fldChar w:fldCharType="separate"/>
      </w:r>
      <w:r w:rsidR="00EC5CC7">
        <w:rPr>
          <w:noProof/>
        </w:rPr>
        <w:t>23</w:t>
      </w:r>
      <w:r w:rsidR="00BF3F75">
        <w:rPr>
          <w:noProof/>
        </w:rPr>
        <w:fldChar w:fldCharType="end"/>
      </w:r>
      <w:bookmarkEnd w:id="62"/>
      <w:r>
        <w:t xml:space="preserve">: </w:t>
      </w:r>
      <w:r w:rsidRPr="00051316">
        <w:t>Results of smoking cessation f</w:t>
      </w:r>
      <w:r w:rsidR="009241C9">
        <w:t>or</w:t>
      </w:r>
      <w:r w:rsidRPr="00051316">
        <w:t xml:space="preserve"> at least six months follow-up, </w:t>
      </w:r>
      <w:r w:rsidR="00F1191B">
        <w:t>NRT patch</w:t>
      </w:r>
      <w:r w:rsidRPr="00051316">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1703"/>
        <w:gridCol w:w="1845"/>
        <w:gridCol w:w="1812"/>
        <w:gridCol w:w="1828"/>
        <w:gridCol w:w="1828"/>
      </w:tblGrid>
      <w:tr w:rsidR="00F1191B" w:rsidRPr="00061F78" w14:paraId="15EFB70F" w14:textId="77777777" w:rsidTr="00803DA6">
        <w:trPr>
          <w:cantSplit/>
          <w:trHeight w:val="299"/>
          <w:tblHeader/>
        </w:trPr>
        <w:tc>
          <w:tcPr>
            <w:tcW w:w="944" w:type="pct"/>
            <w:shd w:val="clear" w:color="auto" w:fill="BFBFBF" w:themeFill="background1" w:themeFillShade="BF"/>
            <w:tcMar>
              <w:left w:w="28" w:type="dxa"/>
              <w:right w:w="28" w:type="dxa"/>
            </w:tcMar>
          </w:tcPr>
          <w:p w14:paraId="5DFC692D" w14:textId="3E221B40" w:rsidR="0078171D" w:rsidRPr="00061F78" w:rsidRDefault="00126B7B" w:rsidP="00D900DC">
            <w:pPr>
              <w:pStyle w:val="Tableheading"/>
              <w:keepNext/>
              <w:rPr>
                <w:rFonts w:eastAsia="MS Mincho"/>
              </w:rPr>
            </w:pPr>
            <w:r>
              <w:rPr>
                <w:rFonts w:eastAsia="MS Mincho"/>
              </w:rPr>
              <w:t>Study</w:t>
            </w:r>
          </w:p>
        </w:tc>
        <w:tc>
          <w:tcPr>
            <w:tcW w:w="1023" w:type="pct"/>
            <w:shd w:val="clear" w:color="auto" w:fill="BFBFBF" w:themeFill="background1" w:themeFillShade="BF"/>
            <w:vAlign w:val="center"/>
          </w:tcPr>
          <w:p w14:paraId="375BCCC6" w14:textId="77777777" w:rsidR="0078171D" w:rsidRDefault="0078171D" w:rsidP="00D900DC">
            <w:pPr>
              <w:pStyle w:val="Tableheading"/>
              <w:keepNext/>
              <w:jc w:val="center"/>
              <w:rPr>
                <w:rFonts w:eastAsia="MS Mincho"/>
              </w:rPr>
            </w:pPr>
            <w:r>
              <w:rPr>
                <w:rFonts w:eastAsia="MS Mincho"/>
              </w:rPr>
              <w:t>Study type</w:t>
            </w:r>
          </w:p>
        </w:tc>
        <w:tc>
          <w:tcPr>
            <w:tcW w:w="1005" w:type="pct"/>
            <w:shd w:val="clear" w:color="auto" w:fill="BFBFBF" w:themeFill="background1" w:themeFillShade="BF"/>
            <w:tcMar>
              <w:left w:w="28" w:type="dxa"/>
              <w:right w:w="28" w:type="dxa"/>
            </w:tcMar>
            <w:vAlign w:val="center"/>
          </w:tcPr>
          <w:p w14:paraId="57CB9135" w14:textId="05CFD5F6" w:rsidR="0078171D" w:rsidRPr="00061F78" w:rsidRDefault="0078171D" w:rsidP="00D900DC">
            <w:pPr>
              <w:pStyle w:val="Tableheading"/>
              <w:keepNext/>
              <w:jc w:val="center"/>
              <w:rPr>
                <w:rFonts w:eastAsia="MS Mincho"/>
              </w:rPr>
            </w:pPr>
            <w:r>
              <w:rPr>
                <w:rFonts w:eastAsia="MS Mincho"/>
              </w:rPr>
              <w:t>NRT patch</w:t>
            </w:r>
          </w:p>
        </w:tc>
        <w:tc>
          <w:tcPr>
            <w:tcW w:w="1014" w:type="pct"/>
            <w:shd w:val="clear" w:color="auto" w:fill="BFBFBF" w:themeFill="background1" w:themeFillShade="BF"/>
            <w:tcMar>
              <w:left w:w="28" w:type="dxa"/>
              <w:right w:w="28" w:type="dxa"/>
            </w:tcMar>
            <w:vAlign w:val="center"/>
          </w:tcPr>
          <w:p w14:paraId="378E90D2" w14:textId="77777777" w:rsidR="0078171D" w:rsidRPr="00061F78" w:rsidRDefault="0078171D" w:rsidP="00D900DC">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14:paraId="735697B6" w14:textId="477FD131" w:rsidR="0078171D" w:rsidRPr="00D468CF" w:rsidRDefault="0078171D" w:rsidP="00D900DC">
            <w:pPr>
              <w:pStyle w:val="Tableheading"/>
              <w:keepNext/>
              <w:jc w:val="center"/>
              <w:rPr>
                <w:rFonts w:eastAsia="MS Mincho"/>
                <w:vertAlign w:val="superscript"/>
              </w:rPr>
            </w:pPr>
            <w:r>
              <w:rPr>
                <w:rFonts w:eastAsia="MS Mincho"/>
              </w:rPr>
              <w:t>RR (95% CI)</w:t>
            </w:r>
          </w:p>
        </w:tc>
      </w:tr>
      <w:tr w:rsidR="00E45614" w:rsidRPr="00061F78" w14:paraId="7B4C2B2B" w14:textId="77777777" w:rsidTr="00231319">
        <w:trPr>
          <w:cantSplit/>
          <w:trHeight w:val="99"/>
        </w:trPr>
        <w:tc>
          <w:tcPr>
            <w:tcW w:w="944" w:type="pct"/>
            <w:shd w:val="clear" w:color="auto" w:fill="FFFFFF" w:themeFill="background1"/>
            <w:tcMar>
              <w:left w:w="28" w:type="dxa"/>
              <w:right w:w="28" w:type="dxa"/>
            </w:tcMar>
          </w:tcPr>
          <w:p w14:paraId="40C6FB99" w14:textId="77777777" w:rsidR="00E45614" w:rsidRPr="00231319" w:rsidRDefault="00E45614" w:rsidP="00E45614">
            <w:pPr>
              <w:pStyle w:val="Tablewriting"/>
              <w:keepNext/>
              <w:rPr>
                <w:rFonts w:eastAsia="MS Mincho"/>
              </w:rPr>
            </w:pPr>
            <w:r w:rsidRPr="00231319">
              <w:rPr>
                <w:rFonts w:eastAsia="MS Mincho"/>
              </w:rPr>
              <w:t>Tonnesen</w:t>
            </w:r>
          </w:p>
          <w:p w14:paraId="6FA69A83" w14:textId="7C8A4175" w:rsidR="00E45614" w:rsidRPr="00231319" w:rsidRDefault="00E45614" w:rsidP="00E45614">
            <w:pPr>
              <w:pStyle w:val="Tablewriting"/>
              <w:keepNext/>
              <w:rPr>
                <w:rFonts w:eastAsia="MS Mincho"/>
                <w:vertAlign w:val="superscript"/>
              </w:rPr>
            </w:pPr>
            <w:r w:rsidRPr="00231319">
              <w:rPr>
                <w:rFonts w:eastAsia="MS Mincho"/>
              </w:rPr>
              <w:t>(CEASE, 1999)</w:t>
            </w:r>
            <w:r w:rsidR="004579DA" w:rsidRPr="00231319">
              <w:rPr>
                <w:rFonts w:eastAsia="MS Mincho"/>
                <w:vertAlign w:val="superscript"/>
              </w:rPr>
              <w:t>1</w:t>
            </w:r>
          </w:p>
        </w:tc>
        <w:tc>
          <w:tcPr>
            <w:tcW w:w="1023" w:type="pct"/>
            <w:shd w:val="clear" w:color="auto" w:fill="FFFFFF" w:themeFill="background1"/>
            <w:vAlign w:val="center"/>
          </w:tcPr>
          <w:p w14:paraId="65828062" w14:textId="1C4E82B3" w:rsidR="00E45614" w:rsidRPr="00231319" w:rsidRDefault="00E45614" w:rsidP="0078171D">
            <w:pPr>
              <w:pStyle w:val="Tablewriting"/>
              <w:keepNext/>
              <w:jc w:val="center"/>
              <w:rPr>
                <w:rFonts w:eastAsia="MS Mincho"/>
              </w:rPr>
            </w:pPr>
            <w:r w:rsidRPr="00231319">
              <w:rPr>
                <w:rFonts w:eastAsia="MS Mincho"/>
              </w:rPr>
              <w:t>RCT</w:t>
            </w:r>
          </w:p>
        </w:tc>
        <w:tc>
          <w:tcPr>
            <w:tcW w:w="1005" w:type="pct"/>
            <w:shd w:val="clear" w:color="auto" w:fill="FFFFFF" w:themeFill="background1"/>
            <w:tcMar>
              <w:left w:w="28" w:type="dxa"/>
              <w:right w:w="28" w:type="dxa"/>
            </w:tcMar>
            <w:vAlign w:val="center"/>
          </w:tcPr>
          <w:p w14:paraId="69FF05FB" w14:textId="77777777" w:rsidR="00E45614" w:rsidRPr="00231319" w:rsidRDefault="00A9617E" w:rsidP="0078171D">
            <w:pPr>
              <w:pStyle w:val="Tablewriting"/>
              <w:keepNext/>
              <w:jc w:val="center"/>
              <w:rPr>
                <w:rFonts w:eastAsia="MS Mincho"/>
              </w:rPr>
            </w:pPr>
            <w:r w:rsidRPr="00231319">
              <w:rPr>
                <w:rFonts w:eastAsia="MS Mincho"/>
              </w:rPr>
              <w:t>406/2,861</w:t>
            </w:r>
          </w:p>
          <w:p w14:paraId="5A8425E9" w14:textId="765FD6EB" w:rsidR="00A9617E" w:rsidRPr="00231319" w:rsidRDefault="001565D9" w:rsidP="0078171D">
            <w:pPr>
              <w:pStyle w:val="Tablewriting"/>
              <w:keepNext/>
              <w:jc w:val="center"/>
              <w:rPr>
                <w:rFonts w:eastAsia="MS Mincho"/>
              </w:rPr>
            </w:pPr>
            <w:r w:rsidRPr="00231319">
              <w:rPr>
                <w:rFonts w:eastAsia="MS Mincho"/>
              </w:rPr>
              <w:t>(14.2%)</w:t>
            </w:r>
          </w:p>
        </w:tc>
        <w:tc>
          <w:tcPr>
            <w:tcW w:w="1014" w:type="pct"/>
            <w:shd w:val="clear" w:color="auto" w:fill="FFFFFF" w:themeFill="background1"/>
            <w:tcMar>
              <w:left w:w="28" w:type="dxa"/>
              <w:right w:w="28" w:type="dxa"/>
            </w:tcMar>
            <w:vAlign w:val="center"/>
          </w:tcPr>
          <w:p w14:paraId="2DF9A8DE" w14:textId="77777777" w:rsidR="00E45614" w:rsidRPr="00231319" w:rsidRDefault="00962F92" w:rsidP="0078171D">
            <w:pPr>
              <w:pStyle w:val="Tablewriting"/>
              <w:keepNext/>
              <w:jc w:val="center"/>
              <w:rPr>
                <w:rFonts w:eastAsia="MS Mincho"/>
              </w:rPr>
            </w:pPr>
            <w:r w:rsidRPr="00231319">
              <w:rPr>
                <w:rFonts w:eastAsia="MS Mincho"/>
              </w:rPr>
              <w:t>71/714</w:t>
            </w:r>
          </w:p>
          <w:p w14:paraId="1AAF5495" w14:textId="36D056AE" w:rsidR="00962F92" w:rsidRPr="00231319" w:rsidRDefault="00DB33D5" w:rsidP="0078171D">
            <w:pPr>
              <w:pStyle w:val="Tablewriting"/>
              <w:keepNext/>
              <w:jc w:val="center"/>
              <w:rPr>
                <w:rFonts w:eastAsia="MS Mincho"/>
              </w:rPr>
            </w:pPr>
            <w:r w:rsidRPr="00231319">
              <w:rPr>
                <w:rFonts w:eastAsia="MS Mincho"/>
              </w:rPr>
              <w:t>(9.9%)</w:t>
            </w:r>
          </w:p>
        </w:tc>
        <w:tc>
          <w:tcPr>
            <w:tcW w:w="1014" w:type="pct"/>
            <w:shd w:val="clear" w:color="auto" w:fill="FFFFFF" w:themeFill="background1"/>
            <w:tcMar>
              <w:left w:w="28" w:type="dxa"/>
              <w:right w:w="28" w:type="dxa"/>
            </w:tcMar>
            <w:vAlign w:val="center"/>
          </w:tcPr>
          <w:p w14:paraId="49FAE839" w14:textId="77777777" w:rsidR="00E45614" w:rsidRPr="00231319" w:rsidRDefault="00F47A86" w:rsidP="0078171D">
            <w:pPr>
              <w:pStyle w:val="Tablewriting"/>
              <w:keepNext/>
              <w:jc w:val="center"/>
              <w:rPr>
                <w:rFonts w:eastAsia="MS Mincho"/>
                <w:b/>
              </w:rPr>
            </w:pPr>
            <w:r w:rsidRPr="00231319">
              <w:rPr>
                <w:rFonts w:eastAsia="MS Mincho"/>
                <w:b/>
              </w:rPr>
              <w:t>1.43</w:t>
            </w:r>
          </w:p>
          <w:p w14:paraId="534C920C" w14:textId="33F48B2A" w:rsidR="00F47A86" w:rsidRPr="00231319" w:rsidRDefault="00F47A86" w:rsidP="0078171D">
            <w:pPr>
              <w:pStyle w:val="Tablewriting"/>
              <w:keepNext/>
              <w:jc w:val="center"/>
              <w:rPr>
                <w:rFonts w:eastAsia="MS Mincho"/>
                <w:b/>
              </w:rPr>
            </w:pPr>
            <w:r w:rsidRPr="00231319">
              <w:rPr>
                <w:rFonts w:eastAsia="MS Mincho"/>
                <w:b/>
              </w:rPr>
              <w:t>(1.12, 1.81)</w:t>
            </w:r>
          </w:p>
        </w:tc>
      </w:tr>
      <w:tr w:rsidR="00F1191B" w:rsidRPr="00061F78" w14:paraId="47284C89" w14:textId="77777777" w:rsidTr="00231319">
        <w:trPr>
          <w:cantSplit/>
          <w:trHeight w:val="99"/>
        </w:trPr>
        <w:tc>
          <w:tcPr>
            <w:tcW w:w="944" w:type="pct"/>
            <w:shd w:val="clear" w:color="auto" w:fill="FFFFFF" w:themeFill="background1"/>
            <w:tcMar>
              <w:left w:w="28" w:type="dxa"/>
              <w:right w:w="28" w:type="dxa"/>
            </w:tcMar>
          </w:tcPr>
          <w:p w14:paraId="36BF62F8" w14:textId="77777777" w:rsidR="00F1191B" w:rsidRPr="00231319" w:rsidRDefault="00F1191B" w:rsidP="0078171D">
            <w:pPr>
              <w:pStyle w:val="Tablewriting"/>
              <w:keepNext/>
              <w:rPr>
                <w:rFonts w:eastAsia="MS Mincho"/>
              </w:rPr>
            </w:pPr>
            <w:r w:rsidRPr="00231319">
              <w:rPr>
                <w:rFonts w:eastAsia="MS Mincho"/>
              </w:rPr>
              <w:t>Silagy</w:t>
            </w:r>
            <w:r w:rsidR="0078171D" w:rsidRPr="00231319">
              <w:rPr>
                <w:rFonts w:eastAsia="MS Mincho"/>
              </w:rPr>
              <w:t xml:space="preserve"> </w:t>
            </w:r>
          </w:p>
          <w:p w14:paraId="284E81EF" w14:textId="28295233" w:rsidR="0078171D" w:rsidRPr="00231319" w:rsidRDefault="0078171D" w:rsidP="0078171D">
            <w:pPr>
              <w:pStyle w:val="Tablewriting"/>
              <w:keepNext/>
              <w:rPr>
                <w:rFonts w:eastAsia="MS Mincho"/>
                <w:vertAlign w:val="superscript"/>
              </w:rPr>
            </w:pPr>
            <w:r w:rsidRPr="00231319">
              <w:rPr>
                <w:rFonts w:eastAsia="MS Mincho"/>
              </w:rPr>
              <w:t>(20</w:t>
            </w:r>
            <w:r w:rsidR="00F1191B" w:rsidRPr="00231319">
              <w:rPr>
                <w:rFonts w:eastAsia="MS Mincho"/>
              </w:rPr>
              <w:t>04</w:t>
            </w:r>
            <w:r w:rsidRPr="00231319">
              <w:rPr>
                <w:rFonts w:eastAsia="MS Mincho"/>
              </w:rPr>
              <w:t>)</w:t>
            </w:r>
            <w:r w:rsidR="004579DA" w:rsidRPr="00231319">
              <w:rPr>
                <w:rFonts w:eastAsia="MS Mincho"/>
                <w:vertAlign w:val="superscript"/>
              </w:rPr>
              <w:t>2</w:t>
            </w:r>
          </w:p>
        </w:tc>
        <w:tc>
          <w:tcPr>
            <w:tcW w:w="1023" w:type="pct"/>
            <w:shd w:val="clear" w:color="auto" w:fill="FFFFFF" w:themeFill="background1"/>
            <w:vAlign w:val="center"/>
          </w:tcPr>
          <w:p w14:paraId="66DB6C3D" w14:textId="5649745E" w:rsidR="0078171D" w:rsidRPr="00231319" w:rsidRDefault="0078171D" w:rsidP="0078171D">
            <w:pPr>
              <w:pStyle w:val="Tablewriting"/>
              <w:keepNext/>
              <w:jc w:val="center"/>
              <w:rPr>
                <w:rFonts w:eastAsia="MS Mincho"/>
              </w:rPr>
            </w:pPr>
            <w:r w:rsidRPr="00231319">
              <w:rPr>
                <w:rFonts w:eastAsia="MS Mincho"/>
              </w:rPr>
              <w:t>Cochrane Review (</w:t>
            </w:r>
            <w:r w:rsidR="00F1191B" w:rsidRPr="00231319">
              <w:rPr>
                <w:rFonts w:eastAsia="MS Mincho"/>
              </w:rPr>
              <w:t>38</w:t>
            </w:r>
            <w:r w:rsidRPr="00231319">
              <w:rPr>
                <w:rFonts w:eastAsia="MS Mincho"/>
              </w:rPr>
              <w:t xml:space="preserve"> RCTs)</w:t>
            </w:r>
          </w:p>
        </w:tc>
        <w:tc>
          <w:tcPr>
            <w:tcW w:w="1005" w:type="pct"/>
            <w:shd w:val="clear" w:color="auto" w:fill="FFFFFF" w:themeFill="background1"/>
            <w:tcMar>
              <w:left w:w="28" w:type="dxa"/>
              <w:right w:w="28" w:type="dxa"/>
            </w:tcMar>
            <w:vAlign w:val="center"/>
          </w:tcPr>
          <w:p w14:paraId="62B472F4" w14:textId="6E4052D7" w:rsidR="0078171D" w:rsidRPr="00231319" w:rsidRDefault="0078171D" w:rsidP="0078171D">
            <w:pPr>
              <w:pStyle w:val="Tablewriting"/>
              <w:keepNext/>
              <w:jc w:val="center"/>
              <w:rPr>
                <w:rFonts w:eastAsia="MS Mincho"/>
              </w:rPr>
            </w:pPr>
            <w:r w:rsidRPr="00231319">
              <w:rPr>
                <w:rFonts w:eastAsia="MS Mincho"/>
              </w:rPr>
              <w:t>1,</w:t>
            </w:r>
            <w:r w:rsidR="00F1191B" w:rsidRPr="00231319">
              <w:rPr>
                <w:rFonts w:eastAsia="MS Mincho"/>
              </w:rPr>
              <w:t>493</w:t>
            </w:r>
            <w:r w:rsidRPr="00231319">
              <w:rPr>
                <w:rFonts w:eastAsia="MS Mincho"/>
              </w:rPr>
              <w:t>/</w:t>
            </w:r>
            <w:r w:rsidR="00F1191B" w:rsidRPr="00231319">
              <w:rPr>
                <w:rFonts w:eastAsia="MS Mincho"/>
              </w:rPr>
              <w:t>10,216</w:t>
            </w:r>
            <w:r w:rsidRPr="00231319">
              <w:rPr>
                <w:rFonts w:eastAsia="MS Mincho"/>
              </w:rPr>
              <w:t xml:space="preserve"> </w:t>
            </w:r>
          </w:p>
          <w:p w14:paraId="0C852F5F" w14:textId="19019DB0" w:rsidR="0078171D" w:rsidRPr="00231319" w:rsidRDefault="0078171D" w:rsidP="0078171D">
            <w:pPr>
              <w:pStyle w:val="Tablewriting"/>
              <w:keepNext/>
              <w:jc w:val="center"/>
              <w:rPr>
                <w:rFonts w:eastAsia="MS Mincho"/>
              </w:rPr>
            </w:pPr>
            <w:r w:rsidRPr="00231319">
              <w:rPr>
                <w:rFonts w:eastAsia="MS Mincho"/>
              </w:rPr>
              <w:t>(</w:t>
            </w:r>
            <w:r w:rsidR="00FD339F" w:rsidRPr="00231319">
              <w:rPr>
                <w:rFonts w:eastAsia="MS Mincho"/>
              </w:rPr>
              <w:t>14.6</w:t>
            </w:r>
            <w:r w:rsidRPr="00231319">
              <w:rPr>
                <w:rFonts w:eastAsia="MS Mincho"/>
              </w:rPr>
              <w:t>%)</w:t>
            </w:r>
          </w:p>
        </w:tc>
        <w:tc>
          <w:tcPr>
            <w:tcW w:w="1014" w:type="pct"/>
            <w:shd w:val="clear" w:color="auto" w:fill="FFFFFF" w:themeFill="background1"/>
            <w:tcMar>
              <w:left w:w="28" w:type="dxa"/>
              <w:right w:w="28" w:type="dxa"/>
            </w:tcMar>
            <w:vAlign w:val="center"/>
          </w:tcPr>
          <w:p w14:paraId="76017193" w14:textId="2707808F" w:rsidR="0078171D" w:rsidRPr="00231319" w:rsidRDefault="00F1191B" w:rsidP="0078171D">
            <w:pPr>
              <w:pStyle w:val="Tablewriting"/>
              <w:keepNext/>
              <w:jc w:val="center"/>
              <w:rPr>
                <w:rFonts w:eastAsia="MS Mincho"/>
              </w:rPr>
            </w:pPr>
            <w:r w:rsidRPr="00231319">
              <w:rPr>
                <w:rFonts w:eastAsia="MS Mincho"/>
              </w:rPr>
              <w:t>555</w:t>
            </w:r>
            <w:r w:rsidR="0078171D" w:rsidRPr="00231319">
              <w:rPr>
                <w:rFonts w:eastAsia="MS Mincho"/>
              </w:rPr>
              <w:t>/</w:t>
            </w:r>
            <w:r w:rsidRPr="00231319">
              <w:rPr>
                <w:rFonts w:eastAsia="MS Mincho"/>
              </w:rPr>
              <w:t>6,475</w:t>
            </w:r>
            <w:r w:rsidR="0078171D" w:rsidRPr="00231319">
              <w:rPr>
                <w:rFonts w:eastAsia="MS Mincho"/>
              </w:rPr>
              <w:t xml:space="preserve"> </w:t>
            </w:r>
          </w:p>
          <w:p w14:paraId="2D6F8D70" w14:textId="7228368B" w:rsidR="0078171D" w:rsidRPr="00231319" w:rsidRDefault="0078171D" w:rsidP="0078171D">
            <w:pPr>
              <w:pStyle w:val="Tablewriting"/>
              <w:keepNext/>
              <w:jc w:val="center"/>
              <w:rPr>
                <w:rFonts w:eastAsia="MS Mincho"/>
              </w:rPr>
            </w:pPr>
            <w:r w:rsidRPr="00231319">
              <w:rPr>
                <w:rFonts w:eastAsia="MS Mincho"/>
              </w:rPr>
              <w:t>(</w:t>
            </w:r>
            <w:r w:rsidR="00FD339F" w:rsidRPr="00231319">
              <w:rPr>
                <w:rFonts w:eastAsia="MS Mincho"/>
              </w:rPr>
              <w:t>8.6</w:t>
            </w:r>
            <w:r w:rsidRPr="00231319">
              <w:rPr>
                <w:rFonts w:eastAsia="MS Mincho"/>
              </w:rPr>
              <w:t>%)</w:t>
            </w:r>
          </w:p>
        </w:tc>
        <w:tc>
          <w:tcPr>
            <w:tcW w:w="1014" w:type="pct"/>
            <w:shd w:val="clear" w:color="auto" w:fill="FFFFFF" w:themeFill="background1"/>
            <w:tcMar>
              <w:left w:w="28" w:type="dxa"/>
              <w:right w:w="28" w:type="dxa"/>
            </w:tcMar>
            <w:vAlign w:val="center"/>
          </w:tcPr>
          <w:p w14:paraId="5F7A8A26" w14:textId="0B4D47E9" w:rsidR="0078171D" w:rsidRPr="00231319" w:rsidRDefault="00F1191B" w:rsidP="0078171D">
            <w:pPr>
              <w:pStyle w:val="Tablewriting"/>
              <w:keepNext/>
              <w:jc w:val="center"/>
              <w:rPr>
                <w:rFonts w:eastAsia="MS Mincho"/>
                <w:b/>
              </w:rPr>
            </w:pPr>
            <w:r w:rsidRPr="00231319">
              <w:rPr>
                <w:rFonts w:eastAsia="MS Mincho"/>
                <w:b/>
              </w:rPr>
              <w:t>1.81</w:t>
            </w:r>
          </w:p>
          <w:p w14:paraId="11278F31" w14:textId="5421FCF5" w:rsidR="0078171D" w:rsidRPr="00231319" w:rsidRDefault="0078171D" w:rsidP="0078171D">
            <w:pPr>
              <w:pStyle w:val="Tablewriting"/>
              <w:keepNext/>
              <w:jc w:val="center"/>
              <w:rPr>
                <w:rFonts w:eastAsia="MS Mincho"/>
                <w:b/>
              </w:rPr>
            </w:pPr>
            <w:r w:rsidRPr="00231319">
              <w:rPr>
                <w:rFonts w:eastAsia="MS Mincho"/>
                <w:b/>
              </w:rPr>
              <w:t>(</w:t>
            </w:r>
            <w:r w:rsidR="00F1191B" w:rsidRPr="00231319">
              <w:rPr>
                <w:rFonts w:eastAsia="MS Mincho"/>
                <w:b/>
              </w:rPr>
              <w:t>1.63</w:t>
            </w:r>
            <w:r w:rsidRPr="00231319">
              <w:rPr>
                <w:rFonts w:eastAsia="MS Mincho"/>
                <w:b/>
              </w:rPr>
              <w:t xml:space="preserve">, </w:t>
            </w:r>
            <w:r w:rsidR="00F1191B" w:rsidRPr="00231319">
              <w:rPr>
                <w:rFonts w:eastAsia="MS Mincho"/>
                <w:b/>
              </w:rPr>
              <w:t>2.02</w:t>
            </w:r>
            <w:r w:rsidRPr="00231319">
              <w:rPr>
                <w:rFonts w:eastAsia="MS Mincho"/>
                <w:b/>
              </w:rPr>
              <w:t>)</w:t>
            </w:r>
          </w:p>
        </w:tc>
      </w:tr>
      <w:tr w:rsidR="00F1191B" w:rsidRPr="00061F78" w14:paraId="6BDBE49F" w14:textId="77777777" w:rsidTr="00231319">
        <w:trPr>
          <w:cantSplit/>
          <w:trHeight w:val="99"/>
        </w:trPr>
        <w:tc>
          <w:tcPr>
            <w:tcW w:w="944" w:type="pct"/>
            <w:shd w:val="clear" w:color="auto" w:fill="FFFFFF" w:themeFill="background1"/>
            <w:tcMar>
              <w:left w:w="28" w:type="dxa"/>
              <w:right w:w="28" w:type="dxa"/>
            </w:tcMar>
          </w:tcPr>
          <w:p w14:paraId="4A50D724" w14:textId="77777777" w:rsidR="00F1191B" w:rsidRDefault="00F1191B" w:rsidP="0078171D">
            <w:pPr>
              <w:pStyle w:val="Tablewriting"/>
              <w:keepNext/>
              <w:rPr>
                <w:rFonts w:eastAsia="MS Mincho"/>
              </w:rPr>
            </w:pPr>
            <w:r>
              <w:rPr>
                <w:rFonts w:eastAsia="MS Mincho"/>
              </w:rPr>
              <w:t>Stead</w:t>
            </w:r>
          </w:p>
          <w:p w14:paraId="700D040D" w14:textId="30455D79" w:rsidR="0078171D" w:rsidRDefault="0078171D" w:rsidP="0078171D">
            <w:pPr>
              <w:pStyle w:val="Tablewriting"/>
              <w:keepNext/>
              <w:rPr>
                <w:rFonts w:eastAsia="MS Mincho"/>
              </w:rPr>
            </w:pPr>
            <w:r>
              <w:rPr>
                <w:rFonts w:eastAsia="MS Mincho"/>
              </w:rPr>
              <w:t>(20</w:t>
            </w:r>
            <w:r w:rsidR="00F1191B">
              <w:rPr>
                <w:rFonts w:eastAsia="MS Mincho"/>
              </w:rPr>
              <w:t>08</w:t>
            </w:r>
            <w:r>
              <w:rPr>
                <w:rFonts w:eastAsia="MS Mincho"/>
              </w:rPr>
              <w:t>)</w:t>
            </w:r>
            <w:r w:rsidR="004579DA">
              <w:rPr>
                <w:rFonts w:eastAsia="MS Mincho"/>
                <w:vertAlign w:val="superscript"/>
              </w:rPr>
              <w:t>2</w:t>
            </w:r>
          </w:p>
        </w:tc>
        <w:tc>
          <w:tcPr>
            <w:tcW w:w="1023" w:type="pct"/>
            <w:shd w:val="clear" w:color="auto" w:fill="FFFFFF" w:themeFill="background1"/>
            <w:vAlign w:val="center"/>
          </w:tcPr>
          <w:p w14:paraId="3E615039" w14:textId="51F8B825" w:rsidR="0078171D" w:rsidRDefault="0078171D" w:rsidP="0078171D">
            <w:pPr>
              <w:pStyle w:val="Tablewriting"/>
              <w:keepNext/>
              <w:jc w:val="center"/>
              <w:rPr>
                <w:rFonts w:eastAsia="MS Mincho"/>
              </w:rPr>
            </w:pPr>
            <w:r>
              <w:rPr>
                <w:rFonts w:eastAsia="MS Mincho"/>
              </w:rPr>
              <w:t>Cochrane Review (</w:t>
            </w:r>
            <w:r w:rsidR="00F1191B">
              <w:rPr>
                <w:rFonts w:eastAsia="MS Mincho"/>
              </w:rPr>
              <w:t>41</w:t>
            </w:r>
            <w:r>
              <w:rPr>
                <w:rFonts w:eastAsia="MS Mincho"/>
              </w:rPr>
              <w:t xml:space="preserve"> RCTs)</w:t>
            </w:r>
          </w:p>
        </w:tc>
        <w:tc>
          <w:tcPr>
            <w:tcW w:w="1005" w:type="pct"/>
            <w:shd w:val="clear" w:color="auto" w:fill="FFFFFF" w:themeFill="background1"/>
            <w:tcMar>
              <w:left w:w="28" w:type="dxa"/>
              <w:right w:w="28" w:type="dxa"/>
            </w:tcMar>
            <w:vAlign w:val="center"/>
          </w:tcPr>
          <w:p w14:paraId="265600C0" w14:textId="1826D9D8" w:rsidR="0078171D" w:rsidRPr="0078171D" w:rsidRDefault="0078171D" w:rsidP="0078171D">
            <w:pPr>
              <w:pStyle w:val="Tablewriting"/>
              <w:keepNext/>
              <w:jc w:val="center"/>
              <w:rPr>
                <w:rFonts w:eastAsia="MS Mincho"/>
              </w:rPr>
            </w:pPr>
            <w:r w:rsidRPr="0078171D">
              <w:rPr>
                <w:rFonts w:eastAsia="MS Mincho"/>
              </w:rPr>
              <w:t>1,</w:t>
            </w:r>
            <w:r w:rsidR="00F1191B">
              <w:rPr>
                <w:rFonts w:eastAsia="MS Mincho"/>
              </w:rPr>
              <w:t>734</w:t>
            </w:r>
            <w:r w:rsidRPr="0078171D">
              <w:rPr>
                <w:rFonts w:eastAsia="MS Mincho"/>
              </w:rPr>
              <w:t>/</w:t>
            </w:r>
            <w:r w:rsidR="00F1191B">
              <w:rPr>
                <w:rFonts w:eastAsia="MS Mincho"/>
              </w:rPr>
              <w:t>10,963</w:t>
            </w:r>
            <w:r w:rsidRPr="0078171D">
              <w:rPr>
                <w:rFonts w:eastAsia="MS Mincho"/>
              </w:rPr>
              <w:t xml:space="preserve"> </w:t>
            </w:r>
          </w:p>
          <w:p w14:paraId="1FC70116" w14:textId="7EA92FD2" w:rsidR="0078171D" w:rsidRPr="0078171D" w:rsidRDefault="0078171D" w:rsidP="0078171D">
            <w:pPr>
              <w:pStyle w:val="Tablewriting"/>
              <w:keepNext/>
              <w:jc w:val="center"/>
              <w:rPr>
                <w:rFonts w:eastAsia="MS Mincho"/>
              </w:rPr>
            </w:pPr>
            <w:r w:rsidRPr="0078171D">
              <w:rPr>
                <w:rFonts w:eastAsia="MS Mincho"/>
              </w:rPr>
              <w:t>(</w:t>
            </w:r>
            <w:r w:rsidR="00FD339F">
              <w:rPr>
                <w:rFonts w:eastAsia="MS Mincho"/>
              </w:rPr>
              <w:t>15.8</w:t>
            </w:r>
            <w:r w:rsidRPr="0078171D">
              <w:rPr>
                <w:rFonts w:eastAsia="MS Mincho"/>
              </w:rPr>
              <w:t>%)</w:t>
            </w:r>
          </w:p>
        </w:tc>
        <w:tc>
          <w:tcPr>
            <w:tcW w:w="1014" w:type="pct"/>
            <w:shd w:val="clear" w:color="auto" w:fill="FFFFFF" w:themeFill="background1"/>
            <w:tcMar>
              <w:left w:w="28" w:type="dxa"/>
              <w:right w:w="28" w:type="dxa"/>
            </w:tcMar>
            <w:vAlign w:val="center"/>
          </w:tcPr>
          <w:p w14:paraId="74C22B9B" w14:textId="41E2290C" w:rsidR="0078171D" w:rsidRPr="0078171D" w:rsidRDefault="00F1191B" w:rsidP="0078171D">
            <w:pPr>
              <w:pStyle w:val="Tablewriting"/>
              <w:keepNext/>
              <w:jc w:val="center"/>
              <w:rPr>
                <w:rFonts w:eastAsia="MS Mincho"/>
              </w:rPr>
            </w:pPr>
            <w:r>
              <w:rPr>
                <w:rFonts w:eastAsia="MS Mincho"/>
              </w:rPr>
              <w:t>718</w:t>
            </w:r>
            <w:r w:rsidR="0078171D" w:rsidRPr="0078171D">
              <w:rPr>
                <w:rFonts w:eastAsia="MS Mincho"/>
              </w:rPr>
              <w:t>/</w:t>
            </w:r>
            <w:r>
              <w:rPr>
                <w:rFonts w:eastAsia="MS Mincho"/>
              </w:rPr>
              <w:t>7,274</w:t>
            </w:r>
            <w:r w:rsidR="0078171D" w:rsidRPr="0078171D">
              <w:rPr>
                <w:rFonts w:eastAsia="MS Mincho"/>
              </w:rPr>
              <w:t xml:space="preserve"> </w:t>
            </w:r>
          </w:p>
          <w:p w14:paraId="7203C861" w14:textId="65354631" w:rsidR="0078171D" w:rsidRPr="0078171D" w:rsidRDefault="0078171D" w:rsidP="0078171D">
            <w:pPr>
              <w:pStyle w:val="Tablewriting"/>
              <w:keepNext/>
              <w:jc w:val="center"/>
              <w:rPr>
                <w:rFonts w:eastAsia="MS Mincho"/>
              </w:rPr>
            </w:pPr>
            <w:r w:rsidRPr="0078171D">
              <w:rPr>
                <w:rFonts w:eastAsia="MS Mincho"/>
              </w:rPr>
              <w:t>(</w:t>
            </w:r>
            <w:r w:rsidR="00FD339F">
              <w:rPr>
                <w:rFonts w:eastAsia="MS Mincho"/>
              </w:rPr>
              <w:t>9.9</w:t>
            </w:r>
            <w:r w:rsidRPr="0078171D">
              <w:rPr>
                <w:rFonts w:eastAsia="MS Mincho"/>
              </w:rPr>
              <w:t>%)</w:t>
            </w:r>
          </w:p>
        </w:tc>
        <w:tc>
          <w:tcPr>
            <w:tcW w:w="1014" w:type="pct"/>
            <w:shd w:val="clear" w:color="auto" w:fill="FFFFFF" w:themeFill="background1"/>
            <w:tcMar>
              <w:left w:w="28" w:type="dxa"/>
              <w:right w:w="28" w:type="dxa"/>
            </w:tcMar>
            <w:vAlign w:val="center"/>
          </w:tcPr>
          <w:p w14:paraId="73DF759E" w14:textId="6E1C7163" w:rsidR="0078171D" w:rsidRPr="0078171D" w:rsidRDefault="00F1191B" w:rsidP="0078171D">
            <w:pPr>
              <w:pStyle w:val="Tablewriting"/>
              <w:keepNext/>
              <w:jc w:val="center"/>
              <w:rPr>
                <w:rFonts w:eastAsia="MS Mincho"/>
                <w:b/>
              </w:rPr>
            </w:pPr>
            <w:r>
              <w:rPr>
                <w:rFonts w:eastAsia="MS Mincho"/>
                <w:b/>
                <w:bCs/>
              </w:rPr>
              <w:t>1.66</w:t>
            </w:r>
          </w:p>
          <w:p w14:paraId="0E8836AB" w14:textId="4DB11437" w:rsidR="0078171D" w:rsidRPr="0078171D" w:rsidRDefault="0078171D" w:rsidP="0078171D">
            <w:pPr>
              <w:pStyle w:val="Tablewriting"/>
              <w:keepNext/>
              <w:jc w:val="center"/>
              <w:rPr>
                <w:rFonts w:eastAsia="MS Mincho"/>
                <w:b/>
              </w:rPr>
            </w:pPr>
            <w:r w:rsidRPr="0078171D">
              <w:rPr>
                <w:rFonts w:eastAsia="MS Mincho"/>
                <w:b/>
                <w:bCs/>
              </w:rPr>
              <w:t>(</w:t>
            </w:r>
            <w:r w:rsidR="00F1191B">
              <w:rPr>
                <w:rFonts w:eastAsia="MS Mincho"/>
                <w:b/>
                <w:bCs/>
              </w:rPr>
              <w:t>1.53</w:t>
            </w:r>
            <w:r w:rsidRPr="0078171D">
              <w:rPr>
                <w:rFonts w:eastAsia="MS Mincho"/>
                <w:b/>
                <w:bCs/>
              </w:rPr>
              <w:t xml:space="preserve">, </w:t>
            </w:r>
            <w:r w:rsidR="00F1191B">
              <w:rPr>
                <w:rFonts w:eastAsia="MS Mincho"/>
                <w:b/>
                <w:bCs/>
              </w:rPr>
              <w:t>1.81</w:t>
            </w:r>
            <w:r w:rsidRPr="0078171D">
              <w:rPr>
                <w:rFonts w:eastAsia="MS Mincho"/>
                <w:b/>
                <w:bCs/>
              </w:rPr>
              <w:t>)</w:t>
            </w:r>
          </w:p>
        </w:tc>
      </w:tr>
      <w:tr w:rsidR="00F1191B" w:rsidRPr="00061F78" w14:paraId="30D541A8" w14:textId="77777777" w:rsidTr="00803DA6">
        <w:trPr>
          <w:cantSplit/>
          <w:trHeight w:val="149"/>
        </w:trPr>
        <w:tc>
          <w:tcPr>
            <w:tcW w:w="944" w:type="pct"/>
            <w:tcMar>
              <w:left w:w="28" w:type="dxa"/>
              <w:right w:w="28" w:type="dxa"/>
            </w:tcMar>
          </w:tcPr>
          <w:p w14:paraId="04A50DEC" w14:textId="0282D65B" w:rsidR="0078171D" w:rsidRDefault="0078171D" w:rsidP="00D900DC">
            <w:pPr>
              <w:pStyle w:val="Tablewriting"/>
              <w:keepNext/>
              <w:rPr>
                <w:rFonts w:eastAsia="MS Mincho"/>
              </w:rPr>
            </w:pPr>
            <w:r>
              <w:rPr>
                <w:rFonts w:eastAsia="MS Mincho"/>
              </w:rPr>
              <w:t xml:space="preserve">Hartmann-Boyce </w:t>
            </w:r>
          </w:p>
          <w:p w14:paraId="30E43779" w14:textId="5274020F" w:rsidR="0078171D" w:rsidRPr="00D468CF" w:rsidRDefault="0078171D" w:rsidP="00D900DC">
            <w:pPr>
              <w:pStyle w:val="Tablewriting"/>
              <w:keepNext/>
              <w:rPr>
                <w:rFonts w:eastAsia="MS Mincho"/>
                <w:vertAlign w:val="superscript"/>
              </w:rPr>
            </w:pPr>
            <w:r>
              <w:rPr>
                <w:rFonts w:eastAsia="MS Mincho"/>
              </w:rPr>
              <w:t>(2018)</w:t>
            </w:r>
            <w:r w:rsidR="004579DA">
              <w:rPr>
                <w:rFonts w:eastAsia="MS Mincho"/>
                <w:vertAlign w:val="superscript"/>
              </w:rPr>
              <w:t>2</w:t>
            </w:r>
            <w:r w:rsidR="004B3FC7">
              <w:rPr>
                <w:rFonts w:eastAsia="MS Mincho"/>
                <w:vertAlign w:val="superscript"/>
              </w:rPr>
              <w:t>,3</w:t>
            </w:r>
          </w:p>
        </w:tc>
        <w:tc>
          <w:tcPr>
            <w:tcW w:w="1023" w:type="pct"/>
            <w:vAlign w:val="center"/>
          </w:tcPr>
          <w:p w14:paraId="3E30F2AD" w14:textId="0F81E8FB" w:rsidR="0078171D" w:rsidRDefault="0078171D" w:rsidP="00D900DC">
            <w:pPr>
              <w:pStyle w:val="Tablewriting"/>
              <w:keepNext/>
              <w:jc w:val="center"/>
              <w:rPr>
                <w:rFonts w:eastAsia="MS Mincho"/>
              </w:rPr>
            </w:pPr>
            <w:r>
              <w:rPr>
                <w:rFonts w:eastAsia="MS Mincho"/>
              </w:rPr>
              <w:t>Cochrane Review (51 RCTs)</w:t>
            </w:r>
          </w:p>
        </w:tc>
        <w:tc>
          <w:tcPr>
            <w:tcW w:w="1005" w:type="pct"/>
            <w:tcMar>
              <w:left w:w="28" w:type="dxa"/>
              <w:right w:w="28" w:type="dxa"/>
            </w:tcMar>
            <w:vAlign w:val="center"/>
          </w:tcPr>
          <w:p w14:paraId="76DAA8E4" w14:textId="6F271875" w:rsidR="0078171D" w:rsidRPr="0078171D" w:rsidRDefault="0078171D" w:rsidP="00D900DC">
            <w:pPr>
              <w:pStyle w:val="Tablewriting"/>
              <w:keepNext/>
              <w:jc w:val="center"/>
              <w:rPr>
                <w:rFonts w:eastAsia="MS Mincho"/>
              </w:rPr>
            </w:pPr>
            <w:r>
              <w:rPr>
                <w:rFonts w:eastAsia="MS Mincho"/>
              </w:rPr>
              <w:t>2,160</w:t>
            </w:r>
            <w:r w:rsidRPr="0078171D">
              <w:rPr>
                <w:rFonts w:eastAsia="MS Mincho"/>
              </w:rPr>
              <w:t>/</w:t>
            </w:r>
            <w:r>
              <w:rPr>
                <w:rFonts w:eastAsia="MS Mincho"/>
              </w:rPr>
              <w:t>13,773</w:t>
            </w:r>
            <w:r w:rsidRPr="0078171D">
              <w:rPr>
                <w:rFonts w:eastAsia="MS Mincho"/>
              </w:rPr>
              <w:t xml:space="preserve"> </w:t>
            </w:r>
          </w:p>
          <w:p w14:paraId="3D8E2F0F" w14:textId="2EFE633E" w:rsidR="0078171D" w:rsidRPr="0078171D" w:rsidRDefault="0078171D" w:rsidP="00D900DC">
            <w:pPr>
              <w:pStyle w:val="Tablewriting"/>
              <w:keepNext/>
              <w:jc w:val="center"/>
              <w:rPr>
                <w:rFonts w:eastAsia="MS Mincho"/>
              </w:rPr>
            </w:pPr>
            <w:r w:rsidRPr="0078171D">
              <w:rPr>
                <w:rFonts w:eastAsia="MS Mincho"/>
              </w:rPr>
              <w:t>(</w:t>
            </w:r>
            <w:r w:rsidR="00FD339F">
              <w:rPr>
                <w:rFonts w:eastAsia="MS Mincho"/>
              </w:rPr>
              <w:t>15.7</w:t>
            </w:r>
            <w:r w:rsidRPr="0078171D">
              <w:rPr>
                <w:rFonts w:eastAsia="MS Mincho"/>
              </w:rPr>
              <w:t>%)</w:t>
            </w:r>
          </w:p>
        </w:tc>
        <w:tc>
          <w:tcPr>
            <w:tcW w:w="1014" w:type="pct"/>
            <w:tcMar>
              <w:left w:w="28" w:type="dxa"/>
              <w:right w:w="28" w:type="dxa"/>
            </w:tcMar>
            <w:vAlign w:val="center"/>
          </w:tcPr>
          <w:p w14:paraId="12B03296" w14:textId="735582EB" w:rsidR="0078171D" w:rsidRPr="0078171D" w:rsidRDefault="0078171D" w:rsidP="00D900DC">
            <w:pPr>
              <w:pStyle w:val="Tablewriting"/>
              <w:keepNext/>
              <w:jc w:val="center"/>
              <w:rPr>
                <w:rFonts w:eastAsia="MS Mincho"/>
              </w:rPr>
            </w:pPr>
            <w:r>
              <w:rPr>
                <w:rFonts w:eastAsia="MS Mincho"/>
              </w:rPr>
              <w:t>1,131</w:t>
            </w:r>
            <w:r w:rsidRPr="0078171D">
              <w:rPr>
                <w:rFonts w:eastAsia="MS Mincho"/>
              </w:rPr>
              <w:t>/</w:t>
            </w:r>
            <w:r>
              <w:rPr>
                <w:rFonts w:eastAsia="MS Mincho"/>
              </w:rPr>
              <w:t>11,981</w:t>
            </w:r>
            <w:r w:rsidRPr="0078171D">
              <w:rPr>
                <w:rFonts w:eastAsia="MS Mincho"/>
              </w:rPr>
              <w:t xml:space="preserve"> </w:t>
            </w:r>
          </w:p>
          <w:p w14:paraId="0C9159B2" w14:textId="09234F0D" w:rsidR="0078171D" w:rsidRPr="0078171D" w:rsidRDefault="0078171D" w:rsidP="00D900DC">
            <w:pPr>
              <w:pStyle w:val="Tablewriting"/>
              <w:keepNext/>
              <w:jc w:val="center"/>
              <w:rPr>
                <w:rFonts w:eastAsia="MS Mincho"/>
              </w:rPr>
            </w:pPr>
            <w:r w:rsidRPr="0078171D">
              <w:rPr>
                <w:rFonts w:eastAsia="MS Mincho"/>
              </w:rPr>
              <w:t>(</w:t>
            </w:r>
            <w:r w:rsidR="00FD339F">
              <w:rPr>
                <w:rFonts w:eastAsia="MS Mincho"/>
              </w:rPr>
              <w:t>9.4</w:t>
            </w:r>
            <w:r w:rsidRPr="0078171D">
              <w:rPr>
                <w:rFonts w:eastAsia="MS Mincho"/>
              </w:rPr>
              <w:t>%)</w:t>
            </w:r>
          </w:p>
        </w:tc>
        <w:tc>
          <w:tcPr>
            <w:tcW w:w="1014" w:type="pct"/>
            <w:tcMar>
              <w:left w:w="28" w:type="dxa"/>
              <w:right w:w="28" w:type="dxa"/>
            </w:tcMar>
            <w:vAlign w:val="center"/>
          </w:tcPr>
          <w:p w14:paraId="59335ED9" w14:textId="77777777" w:rsidR="0078171D" w:rsidRDefault="0078171D" w:rsidP="00D900DC">
            <w:pPr>
              <w:pStyle w:val="Tablewriting"/>
              <w:keepNext/>
              <w:jc w:val="center"/>
              <w:rPr>
                <w:rFonts w:eastAsia="MS Mincho"/>
                <w:b/>
                <w:bCs/>
              </w:rPr>
            </w:pPr>
            <w:r>
              <w:rPr>
                <w:rFonts w:eastAsia="MS Mincho"/>
                <w:b/>
                <w:bCs/>
              </w:rPr>
              <w:t>1.64</w:t>
            </w:r>
          </w:p>
          <w:p w14:paraId="64403A13" w14:textId="32E9153C" w:rsidR="0078171D" w:rsidRPr="0078171D" w:rsidRDefault="0078171D" w:rsidP="00D900DC">
            <w:pPr>
              <w:pStyle w:val="Tablewriting"/>
              <w:keepNext/>
              <w:jc w:val="center"/>
              <w:rPr>
                <w:rFonts w:eastAsia="MS Mincho"/>
              </w:rPr>
            </w:pPr>
            <w:r>
              <w:rPr>
                <w:rFonts w:eastAsia="MS Mincho"/>
                <w:b/>
                <w:bCs/>
              </w:rPr>
              <w:t>(1.53, 1.75)</w:t>
            </w:r>
          </w:p>
        </w:tc>
      </w:tr>
    </w:tbl>
    <w:p w14:paraId="1040C599" w14:textId="7E2FEDB6" w:rsidR="00F1191B" w:rsidRDefault="00F1191B" w:rsidP="00F1191B">
      <w:pPr>
        <w:pStyle w:val="TableFooter"/>
        <w:keepNext/>
      </w:pPr>
      <w:r>
        <w:t>Source: Hartmann-Boyce et al. (2018), Stead et al. (2008)</w:t>
      </w:r>
      <w:r w:rsidR="00A337E8">
        <w:t xml:space="preserve"> </w:t>
      </w:r>
      <w:r w:rsidR="00CC424B" w:rsidRPr="00CC424B">
        <w:rPr>
          <w:color w:val="000000"/>
          <w:w w:val="72"/>
          <w:shd w:val="solid" w:color="000000" w:fill="000000"/>
          <w:fitText w:val="1740" w:id="-1402778368"/>
          <w14:textFill>
            <w14:solidFill>
              <w14:srgbClr w14:val="000000">
                <w14:alpha w14:val="100000"/>
              </w14:srgbClr>
            </w14:solidFill>
          </w14:textFill>
        </w:rPr>
        <w:t>|||||||||||||||||||||||||</w:t>
      </w:r>
      <w:r w:rsidR="00CC424B" w:rsidRPr="00CC424B">
        <w:rPr>
          <w:color w:val="000000"/>
          <w:spacing w:val="15"/>
          <w:w w:val="72"/>
          <w:shd w:val="solid" w:color="000000" w:fill="000000"/>
          <w:fitText w:val="1740" w:id="-1402778368"/>
          <w14:textFill>
            <w14:solidFill>
              <w14:srgbClr w14:val="000000">
                <w14:alpha w14:val="100000"/>
              </w14:srgbClr>
            </w14:solidFill>
          </w14:textFill>
        </w:rPr>
        <w:t>|</w:t>
      </w:r>
    </w:p>
    <w:p w14:paraId="4ED94AA4" w14:textId="31AAA2AA" w:rsidR="00F1191B" w:rsidRPr="00231319" w:rsidRDefault="00F1191B" w:rsidP="00F1191B">
      <w:pPr>
        <w:pStyle w:val="TableFooter"/>
        <w:keepNext/>
        <w:rPr>
          <w:i/>
        </w:rPr>
      </w:pPr>
      <w:r>
        <w:t>Abbreviations: CI = confidence interval; RCT = randomised controlled trial; RD = risk difference; RR = risk ratio</w:t>
      </w:r>
      <w:r w:rsidRPr="00061F78">
        <w:t xml:space="preserve"> </w:t>
      </w:r>
    </w:p>
    <w:p w14:paraId="01AF99EE" w14:textId="127110CA" w:rsidR="004579DA" w:rsidRPr="00F3027C" w:rsidRDefault="00F1191B" w:rsidP="00062394">
      <w:pPr>
        <w:pStyle w:val="TableFooter"/>
        <w:rPr>
          <w:shd w:val="clear" w:color="auto" w:fill="C0C0C1"/>
        </w:rPr>
      </w:pPr>
      <w:r w:rsidRPr="00D468CF">
        <w:t>Note</w:t>
      </w:r>
      <w:r>
        <w:t>s</w:t>
      </w:r>
      <w:r w:rsidRPr="00D468CF">
        <w:t>: Bold indicates statistically significant difference.</w:t>
      </w:r>
      <w:r>
        <w:br/>
      </w:r>
      <w:r w:rsidR="00CC424B" w:rsidRPr="00BF3F75">
        <w:rPr>
          <w:color w:val="000000"/>
          <w:w w:val="65"/>
          <w:shd w:val="solid" w:color="000000" w:fill="000000"/>
          <w:fitText w:val="8750" w:id="-1402778367"/>
          <w14:textFill>
            <w14:solidFill>
              <w14:srgbClr w14:val="000000">
                <w14:alpha w14:val="100000"/>
              </w14:srgbClr>
            </w14:solidFill>
          </w14:textFill>
        </w:rPr>
        <w:t>||||||||||||||||||||||||||||||||||||||||||||||||||||||||||||||||||||||||||||||||||||||||||||||||||||||||||||||||||||||||||||||||||||||||||||||||</w:t>
      </w:r>
      <w:r w:rsidR="00CC424B">
        <w:rPr>
          <w:highlight w:val="red"/>
          <w:shd w:val="clear" w:color="auto" w:fill="C0C0C1"/>
        </w:rPr>
        <w:t xml:space="preserve"> </w:t>
      </w:r>
      <w:r w:rsidR="00CC424B" w:rsidRPr="00CC424B">
        <w:rPr>
          <w:color w:val="000000"/>
          <w:w w:val="78"/>
          <w:shd w:val="solid" w:color="000000" w:fill="000000"/>
          <w:fitText w:val="575" w:id="-1402778366"/>
          <w14:textFill>
            <w14:solidFill>
              <w14:srgbClr w14:val="000000">
                <w14:alpha w14:val="100000"/>
              </w14:srgbClr>
            </w14:solidFill>
          </w14:textFill>
        </w:rPr>
        <w:t>||||||||</w:t>
      </w:r>
    </w:p>
    <w:p w14:paraId="16D541AB" w14:textId="4AAC308D" w:rsidR="00F1191B" w:rsidRDefault="004579DA" w:rsidP="006C1E0B">
      <w:pPr>
        <w:pStyle w:val="TableFooter"/>
        <w:jc w:val="both"/>
      </w:pPr>
      <w:r>
        <w:t xml:space="preserve">2 </w:t>
      </w:r>
      <w:r w:rsidR="00F1191B">
        <w:t>Where cessation was assessed at multiple intervals, the longest follow-up data were used. Where multiple definitions of abstinence were assessed, the strictest of these definitions was used (</w:t>
      </w:r>
      <w:r w:rsidR="004C4EA7">
        <w:t>e.g.,</w:t>
      </w:r>
      <w:r w:rsidR="00F1191B">
        <w:t xml:space="preserve"> continuous/prolonged abstinence over point prevalence abstinence). See </w:t>
      </w:r>
      <w:r w:rsidR="00F1191B" w:rsidRPr="00BB5100">
        <w:t>Appendix</w:t>
      </w:r>
      <w:r w:rsidR="00DA3920">
        <w:t xml:space="preserve"> </w:t>
      </w:r>
      <w:r w:rsidR="00076298">
        <w:t>Table 148</w:t>
      </w:r>
      <w:r w:rsidR="00F1191B">
        <w:t xml:space="preserve"> for the definition used in each study. </w:t>
      </w:r>
    </w:p>
    <w:p w14:paraId="0E44FFA0" w14:textId="3592D490" w:rsidR="00F1191B" w:rsidRDefault="004579DA" w:rsidP="006C1E0B">
      <w:pPr>
        <w:pStyle w:val="TableFooter"/>
        <w:keepNext/>
        <w:spacing w:after="120"/>
        <w:contextualSpacing w:val="0"/>
        <w:jc w:val="both"/>
      </w:pPr>
      <w:r w:rsidRPr="00BB5100">
        <w:t>3</w:t>
      </w:r>
      <w:r w:rsidR="00F1191B" w:rsidRPr="00BB5100">
        <w:t xml:space="preserve"> Calculated </w:t>
      </w:r>
      <w:r w:rsidR="004B3FC7" w:rsidRPr="00BB5100">
        <w:t>by Cochrane Review authors</w:t>
      </w:r>
      <w:r w:rsidR="00F1191B" w:rsidRPr="00BB5100">
        <w:t xml:space="preserve"> using a fixed-effect model</w:t>
      </w:r>
    </w:p>
    <w:p w14:paraId="12983E5E" w14:textId="53C4EC6F" w:rsidR="00842C6A" w:rsidRDefault="00842C6A" w:rsidP="006C1E0B">
      <w:pPr>
        <w:spacing w:after="120"/>
        <w:jc w:val="both"/>
      </w:pPr>
      <w:r w:rsidRPr="00842C6A">
        <w:t xml:space="preserve">The results of the individual studies included in </w:t>
      </w:r>
      <w:r>
        <w:t>Hartmann-Boyce</w:t>
      </w:r>
      <w:r w:rsidRPr="00842C6A">
        <w:t xml:space="preserve"> et al. (201</w:t>
      </w:r>
      <w:r>
        <w:t>8</w:t>
      </w:r>
      <w:r w:rsidRPr="00842C6A">
        <w:t xml:space="preserve">) are presented using a forest plot in </w:t>
      </w:r>
      <w:r w:rsidR="00AA2AC3">
        <w:fldChar w:fldCharType="begin" w:fldLock="1"/>
      </w:r>
      <w:r w:rsidR="00AA2AC3">
        <w:instrText xml:space="preserve"> REF _Ref54265638 \h </w:instrText>
      </w:r>
      <w:r w:rsidR="00AA2AC3">
        <w:fldChar w:fldCharType="separate"/>
      </w:r>
      <w:r w:rsidR="00EC5CC7">
        <w:t xml:space="preserve">Figure </w:t>
      </w:r>
      <w:r w:rsidR="00EC5CC7">
        <w:rPr>
          <w:noProof/>
        </w:rPr>
        <w:t>5</w:t>
      </w:r>
      <w:r w:rsidR="00AA2AC3">
        <w:fldChar w:fldCharType="end"/>
      </w:r>
      <w:r w:rsidRPr="00842C6A">
        <w:t xml:space="preserve">. </w:t>
      </w:r>
      <w:r w:rsidR="00AA2AC3" w:rsidRPr="00AA2AC3">
        <w:t>Of the 51 RCTs in Hartmann-Boyce et al. (2018), 3</w:t>
      </w:r>
      <w:r w:rsidR="004D325B">
        <w:t>9</w:t>
      </w:r>
      <w:r w:rsidR="00AA2AC3" w:rsidRPr="00AA2AC3">
        <w:t xml:space="preserve"> RCTs were studies included in</w:t>
      </w:r>
      <w:r w:rsidR="00947F98">
        <w:t xml:space="preserve"> </w:t>
      </w:r>
      <w:r w:rsidR="009F7121" w:rsidRPr="009F7121">
        <w:rPr>
          <w:color w:val="000000"/>
          <w:w w:val="56"/>
          <w:shd w:val="solid" w:color="000000" w:fill="000000"/>
          <w:fitText w:val="1570" w:id="-1402754560"/>
          <w14:textFill>
            <w14:solidFill>
              <w14:srgbClr w14:val="000000">
                <w14:alpha w14:val="100000"/>
              </w14:srgbClr>
            </w14:solidFill>
          </w14:textFill>
        </w:rPr>
        <w:t>||||||||||||  |||||||||||</w:t>
      </w:r>
      <w:r w:rsidR="009F7121" w:rsidRPr="009F7121">
        <w:rPr>
          <w:color w:val="000000"/>
          <w:spacing w:val="24"/>
          <w:w w:val="56"/>
          <w:shd w:val="solid" w:color="000000" w:fill="000000"/>
          <w:fitText w:val="1570" w:id="-1402754560"/>
          <w14:textFill>
            <w14:solidFill>
              <w14:srgbClr w14:val="000000">
                <w14:alpha w14:val="100000"/>
              </w14:srgbClr>
            </w14:solidFill>
          </w14:textFill>
        </w:rPr>
        <w:t>|</w:t>
      </w:r>
      <w:r w:rsidR="00AA2AC3" w:rsidRPr="00AA2AC3">
        <w:t xml:space="preserve">Cochrane reviews previously considered by the PBAC </w:t>
      </w:r>
      <w:r w:rsidR="009F7121">
        <w:t>(</w:t>
      </w:r>
      <w:r w:rsidR="009F7121" w:rsidRPr="009F7121">
        <w:rPr>
          <w:color w:val="000000"/>
          <w:w w:val="56"/>
          <w:shd w:val="solid" w:color="000000" w:fill="000000"/>
          <w:fitText w:val="1930" w:id="-1402754304"/>
          <w14:textFill>
            <w14:solidFill>
              <w14:srgbClr w14:val="000000">
                <w14:alpha w14:val="100000"/>
              </w14:srgbClr>
            </w14:solidFill>
          </w14:textFill>
        </w:rPr>
        <w:t>|||||||||||||||  ||||||||||||||</w:t>
      </w:r>
      <w:r w:rsidR="009F7121" w:rsidRPr="009F7121">
        <w:rPr>
          <w:color w:val="000000"/>
          <w:spacing w:val="13"/>
          <w:w w:val="56"/>
          <w:shd w:val="solid" w:color="000000" w:fill="000000"/>
          <w:fitText w:val="1930" w:id="-1402754304"/>
          <w14:textFill>
            <w14:solidFill>
              <w14:srgbClr w14:val="000000">
                <w14:alpha w14:val="100000"/>
              </w14:srgbClr>
            </w14:solidFill>
          </w14:textFill>
        </w:rPr>
        <w:t>|</w:t>
      </w:r>
      <w:r w:rsidR="00AA2AC3" w:rsidRPr="00AA2AC3">
        <w:t>Stead et al. 2008).</w:t>
      </w:r>
    </w:p>
    <w:p w14:paraId="7335049E" w14:textId="02155392" w:rsidR="00AA2AC3" w:rsidRDefault="00741D42" w:rsidP="00AA2AC3">
      <w:pPr>
        <w:keepNext/>
      </w:pPr>
      <w:r>
        <w:rPr>
          <w:noProof/>
        </w:rPr>
        <w:lastRenderedPageBreak/>
        <w:drawing>
          <wp:inline distT="0" distB="0" distL="0" distR="0" wp14:anchorId="2133EC2E" wp14:editId="44DD8A74">
            <wp:extent cx="5730875" cy="6895465"/>
            <wp:effectExtent l="0" t="0" r="3175" b="635"/>
            <wp:docPr id="25" name="Picture 25" descr="P29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2920#yIS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6895465"/>
                    </a:xfrm>
                    <a:prstGeom prst="rect">
                      <a:avLst/>
                    </a:prstGeom>
                    <a:noFill/>
                  </pic:spPr>
                </pic:pic>
              </a:graphicData>
            </a:graphic>
          </wp:inline>
        </w:drawing>
      </w:r>
    </w:p>
    <w:p w14:paraId="1432B11B" w14:textId="4456B387" w:rsidR="007C59F5" w:rsidRPr="00775AB8" w:rsidRDefault="00AA2AC3" w:rsidP="006C1E0B">
      <w:pPr>
        <w:pStyle w:val="Caption"/>
        <w:spacing w:before="120" w:after="60"/>
        <w:jc w:val="both"/>
      </w:pPr>
      <w:bookmarkStart w:id="63" w:name="_Ref54265638"/>
      <w:r>
        <w:t xml:space="preserve">Figure </w:t>
      </w:r>
      <w:r w:rsidR="00BF3F75">
        <w:fldChar w:fldCharType="begin"/>
      </w:r>
      <w:r w:rsidR="00BF3F75">
        <w:instrText xml:space="preserve"> SEQ Figure \* ARABIC </w:instrText>
      </w:r>
      <w:r w:rsidR="00BF3F75">
        <w:fldChar w:fldCharType="separate"/>
      </w:r>
      <w:r w:rsidR="00EC5CC7">
        <w:rPr>
          <w:noProof/>
        </w:rPr>
        <w:t>5</w:t>
      </w:r>
      <w:r w:rsidR="00BF3F75">
        <w:rPr>
          <w:noProof/>
        </w:rPr>
        <w:fldChar w:fldCharType="end"/>
      </w:r>
      <w:bookmarkEnd w:id="63"/>
      <w:r>
        <w:t xml:space="preserve">: </w:t>
      </w:r>
      <w:r w:rsidRPr="00BD0B2D">
        <w:t>Results</w:t>
      </w:r>
      <w:r w:rsidR="00DD5064" w:rsidRPr="00DD5064">
        <w:t xml:space="preserve"> </w:t>
      </w:r>
      <w:r w:rsidRPr="00BD0B2D">
        <w:t>of smoking cessation f</w:t>
      </w:r>
      <w:r w:rsidR="009241C9">
        <w:t>or</w:t>
      </w:r>
      <w:r w:rsidRPr="00BD0B2D">
        <w:t xml:space="preserve"> at least six months follow-up in </w:t>
      </w:r>
      <w:r>
        <w:t>Hartmann-Boyce</w:t>
      </w:r>
      <w:r w:rsidRPr="00BD0B2D">
        <w:t xml:space="preserve"> et al. (201</w:t>
      </w:r>
      <w:r>
        <w:t>8</w:t>
      </w:r>
      <w:r w:rsidRPr="00BD0B2D">
        <w:t xml:space="preserve">), </w:t>
      </w:r>
      <w:r>
        <w:t>NRT patch</w:t>
      </w:r>
      <w:r w:rsidRPr="00BD0B2D">
        <w:t xml:space="preserve"> versus placebo</w:t>
      </w:r>
    </w:p>
    <w:p w14:paraId="2893FF38" w14:textId="44087AAE" w:rsidR="00E0486C" w:rsidRDefault="00E0486C" w:rsidP="00E0486C">
      <w:pPr>
        <w:pStyle w:val="FigureFooter"/>
      </w:pPr>
      <w:r>
        <w:t>Source: Hartmann-Boyce et al. (2018)</w:t>
      </w:r>
    </w:p>
    <w:p w14:paraId="50B2DFFC" w14:textId="69AECC00" w:rsidR="00E0486C" w:rsidRDefault="00E0486C" w:rsidP="006C1E0B">
      <w:pPr>
        <w:pStyle w:val="FigureFooter"/>
        <w:spacing w:after="120"/>
        <w:contextualSpacing w:val="0"/>
        <w:jc w:val="both"/>
      </w:pPr>
      <w:r>
        <w:t>Abbreviations: CI = confidence interval</w:t>
      </w:r>
    </w:p>
    <w:p w14:paraId="4A69A711" w14:textId="067C4231" w:rsidR="00011FD1" w:rsidRDefault="00E55811" w:rsidP="006C1E0B">
      <w:pPr>
        <w:spacing w:after="120"/>
        <w:jc w:val="both"/>
      </w:pPr>
      <w:r w:rsidRPr="00E55811">
        <w:t>Hartmann-Boyce et al. (2018)</w:t>
      </w:r>
      <w:r>
        <w:t xml:space="preserve"> </w:t>
      </w:r>
      <w:r w:rsidR="00B56E8A">
        <w:t>also perform</w:t>
      </w:r>
      <w:r>
        <w:t xml:space="preserve">ed </w:t>
      </w:r>
      <w:r w:rsidR="00FE7B06">
        <w:t xml:space="preserve">meta-analyses comparing NRT gum </w:t>
      </w:r>
      <w:r w:rsidR="00B40AD3">
        <w:t>versus placebo and NRT tablets/lozenges versus placebo.</w:t>
      </w:r>
      <w:r w:rsidR="00B56E8A">
        <w:t xml:space="preserve"> </w:t>
      </w:r>
      <w:r w:rsidR="001764FA">
        <w:t>The results of th</w:t>
      </w:r>
      <w:r w:rsidR="001E5C2C">
        <w:t>ese comparisons</w:t>
      </w:r>
      <w:r w:rsidR="002618CE">
        <w:t xml:space="preserve"> are presented in </w:t>
      </w:r>
      <w:r w:rsidR="002618CE">
        <w:fldChar w:fldCharType="begin" w:fldLock="1"/>
      </w:r>
      <w:r w:rsidR="002618CE">
        <w:instrText xml:space="preserve"> REF _Ref54278033 \h </w:instrText>
      </w:r>
      <w:r w:rsidR="002618CE">
        <w:fldChar w:fldCharType="separate"/>
      </w:r>
      <w:r w:rsidR="00EC5CC7">
        <w:t xml:space="preserve">Table </w:t>
      </w:r>
      <w:r w:rsidR="00EC5CC7">
        <w:rPr>
          <w:noProof/>
        </w:rPr>
        <w:t>24</w:t>
      </w:r>
      <w:r w:rsidR="002618CE">
        <w:fldChar w:fldCharType="end"/>
      </w:r>
      <w:r w:rsidR="001E5C2C">
        <w:t xml:space="preserve">. </w:t>
      </w:r>
      <w:r w:rsidR="00327ACD" w:rsidRPr="00327ACD">
        <w:t>The results of the meta-analys</w:t>
      </w:r>
      <w:r w:rsidR="00327ACD">
        <w:t>e</w:t>
      </w:r>
      <w:r w:rsidR="00327ACD" w:rsidRPr="00327ACD">
        <w:t xml:space="preserve">s </w:t>
      </w:r>
      <w:r w:rsidR="00327ACD">
        <w:t>de</w:t>
      </w:r>
      <w:r w:rsidR="00327ACD" w:rsidRPr="00327ACD">
        <w:t>monstrated a statistically significant difference in long-term smoking cessation rates</w:t>
      </w:r>
      <w:r w:rsidR="005F38D4">
        <w:t xml:space="preserve">, in favour of NRT irrespective of the </w:t>
      </w:r>
      <w:r w:rsidR="007E3B7B">
        <w:t>type of formulation.</w:t>
      </w:r>
    </w:p>
    <w:p w14:paraId="3284D06B" w14:textId="1D1264BC" w:rsidR="00A33831" w:rsidRDefault="00A33831" w:rsidP="006C1E0B">
      <w:pPr>
        <w:spacing w:after="120"/>
        <w:jc w:val="both"/>
      </w:pPr>
      <w:r>
        <w:lastRenderedPageBreak/>
        <w:t>T</w:t>
      </w:r>
      <w:r w:rsidRPr="00A33831">
        <w:t xml:space="preserve">wo </w:t>
      </w:r>
      <w:r w:rsidR="00266C50">
        <w:t xml:space="preserve">new </w:t>
      </w:r>
      <w:r w:rsidRPr="00A33831">
        <w:t xml:space="preserve">studies comparing NRT gum or </w:t>
      </w:r>
      <w:r w:rsidR="00573F59">
        <w:t>lozenges</w:t>
      </w:r>
      <w:r w:rsidRPr="00A33831">
        <w:t xml:space="preserve"> with placebo were identified in th</w:t>
      </w:r>
      <w:r>
        <w:t>e supplemental literature</w:t>
      </w:r>
      <w:r w:rsidRPr="00A33831">
        <w:t xml:space="preserve"> search and were included </w:t>
      </w:r>
      <w:r>
        <w:t xml:space="preserve">in the updated re-analysis for </w:t>
      </w:r>
      <w:r w:rsidR="00266C50">
        <w:t>this comparison</w:t>
      </w:r>
      <w:r w:rsidRPr="00A33831">
        <w:t xml:space="preserve"> (Shiffman et al. 2020,</w:t>
      </w:r>
      <w:r w:rsidR="00F77B76">
        <w:t xml:space="preserve"> NRT gum versus placebo;</w:t>
      </w:r>
      <w:r w:rsidRPr="00A33831">
        <w:t xml:space="preserve"> Xiao et al. 2020</w:t>
      </w:r>
      <w:r w:rsidR="00F77B76">
        <w:t xml:space="preserve">, NRT </w:t>
      </w:r>
      <w:r w:rsidR="00573F59">
        <w:t>lozenges</w:t>
      </w:r>
      <w:r w:rsidR="00F77B76">
        <w:t xml:space="preserve"> versus placebo</w:t>
      </w:r>
      <w:r w:rsidRPr="00A33831">
        <w:t xml:space="preserve">). </w:t>
      </w:r>
      <w:r w:rsidR="00B31B4F" w:rsidRPr="00B31B4F">
        <w:t>The results of the updated re-analysis were consistent with the results</w:t>
      </w:r>
      <w:r w:rsidR="00B31B4F">
        <w:t xml:space="preserve"> from Hartmann-Boyce et al. (2018).</w:t>
      </w:r>
      <w:r w:rsidRPr="00A33831">
        <w:t xml:space="preserve"> </w:t>
      </w:r>
    </w:p>
    <w:p w14:paraId="66793342" w14:textId="39815566" w:rsidR="000D552A" w:rsidRDefault="000D552A" w:rsidP="006C1E0B">
      <w:pPr>
        <w:pStyle w:val="Caption"/>
        <w:keepNext/>
        <w:spacing w:before="120" w:after="120"/>
        <w:jc w:val="both"/>
      </w:pPr>
      <w:bookmarkStart w:id="64" w:name="_Ref54278033"/>
      <w:r>
        <w:t xml:space="preserve">Table </w:t>
      </w:r>
      <w:r w:rsidR="00BF3F75">
        <w:fldChar w:fldCharType="begin"/>
      </w:r>
      <w:r w:rsidR="00BF3F75">
        <w:instrText xml:space="preserve"> SEQ Table \* ARABIC </w:instrText>
      </w:r>
      <w:r w:rsidR="00BF3F75">
        <w:fldChar w:fldCharType="separate"/>
      </w:r>
      <w:r w:rsidR="00EC5CC7">
        <w:rPr>
          <w:noProof/>
        </w:rPr>
        <w:t>24</w:t>
      </w:r>
      <w:r w:rsidR="00BF3F75">
        <w:rPr>
          <w:noProof/>
        </w:rPr>
        <w:fldChar w:fldCharType="end"/>
      </w:r>
      <w:bookmarkEnd w:id="64"/>
      <w:r>
        <w:t xml:space="preserve">: </w:t>
      </w:r>
      <w:r w:rsidRPr="002941CA">
        <w:t>Results of smoking cessation of at least six months follow-up in Hartmann-Boyce et al. (2018)</w:t>
      </w:r>
      <w:r w:rsidR="003E71D2">
        <w:t xml:space="preserve"> and updated re-analysis</w:t>
      </w:r>
      <w:r w:rsidRPr="002941CA">
        <w:t>,</w:t>
      </w:r>
      <w:r w:rsidR="006F1DC1">
        <w:t xml:space="preserve"> </w:t>
      </w:r>
      <w:r w:rsidR="00D900DF">
        <w:t>different</w:t>
      </w:r>
      <w:r w:rsidR="00390D4D">
        <w:t xml:space="preserve"> </w:t>
      </w:r>
      <w:r w:rsidR="006F1DC1">
        <w:t xml:space="preserve">NRT </w:t>
      </w:r>
      <w:r w:rsidR="00D900DF">
        <w:t xml:space="preserve">formulations </w:t>
      </w:r>
      <w:r w:rsidR="00805956">
        <w:t>versus placebo</w:t>
      </w:r>
    </w:p>
    <w:tbl>
      <w:tblPr>
        <w:tblStyle w:val="TableGrid"/>
        <w:tblW w:w="5000" w:type="pct"/>
        <w:tblLook w:val="04A0" w:firstRow="1" w:lastRow="0" w:firstColumn="1" w:lastColumn="0" w:noHBand="0" w:noVBand="1"/>
        <w:tblCaption w:val="Efficacy results of adalimumab trials (PASI 75 and DLQI)"/>
      </w:tblPr>
      <w:tblGrid>
        <w:gridCol w:w="1129"/>
        <w:gridCol w:w="1975"/>
        <w:gridCol w:w="1396"/>
        <w:gridCol w:w="1535"/>
        <w:gridCol w:w="1535"/>
        <w:gridCol w:w="1446"/>
      </w:tblGrid>
      <w:tr w:rsidR="001B56E6" w:rsidRPr="00061F78" w14:paraId="44318947" w14:textId="77777777" w:rsidTr="001B309A">
        <w:trPr>
          <w:cantSplit/>
          <w:trHeight w:val="299"/>
          <w:tblHeader/>
        </w:trPr>
        <w:tc>
          <w:tcPr>
            <w:tcW w:w="626" w:type="pct"/>
            <w:shd w:val="clear" w:color="auto" w:fill="BFBFBF" w:themeFill="background1" w:themeFillShade="BF"/>
            <w:tcMar>
              <w:left w:w="28" w:type="dxa"/>
              <w:right w:w="28" w:type="dxa"/>
            </w:tcMar>
          </w:tcPr>
          <w:p w14:paraId="1CC6324A" w14:textId="7F7DB9BB" w:rsidR="001B56E6" w:rsidRPr="00061F78" w:rsidRDefault="00011FD1" w:rsidP="00AF46B1">
            <w:pPr>
              <w:pStyle w:val="Tableheading"/>
              <w:keepNext/>
              <w:rPr>
                <w:rFonts w:eastAsia="MS Mincho"/>
              </w:rPr>
            </w:pPr>
            <w:r>
              <w:rPr>
                <w:rFonts w:eastAsia="MS Mincho"/>
              </w:rPr>
              <w:t>Formulation</w:t>
            </w:r>
          </w:p>
        </w:tc>
        <w:tc>
          <w:tcPr>
            <w:tcW w:w="1095" w:type="pct"/>
            <w:shd w:val="clear" w:color="auto" w:fill="BFBFBF" w:themeFill="background1" w:themeFillShade="BF"/>
            <w:vAlign w:val="center"/>
          </w:tcPr>
          <w:p w14:paraId="7A84037E" w14:textId="38C05825" w:rsidR="001B56E6" w:rsidRDefault="00011FD1" w:rsidP="00AF46B1">
            <w:pPr>
              <w:pStyle w:val="Tableheading"/>
              <w:keepNext/>
              <w:jc w:val="center"/>
              <w:rPr>
                <w:rFonts w:eastAsia="MS Mincho"/>
              </w:rPr>
            </w:pPr>
            <w:r>
              <w:rPr>
                <w:rFonts w:eastAsia="MS Mincho"/>
              </w:rPr>
              <w:t>No. of studies</w:t>
            </w:r>
          </w:p>
        </w:tc>
        <w:tc>
          <w:tcPr>
            <w:tcW w:w="774" w:type="pct"/>
            <w:shd w:val="clear" w:color="auto" w:fill="BFBFBF" w:themeFill="background1" w:themeFillShade="BF"/>
            <w:tcMar>
              <w:left w:w="28" w:type="dxa"/>
              <w:right w:w="28" w:type="dxa"/>
            </w:tcMar>
            <w:vAlign w:val="center"/>
          </w:tcPr>
          <w:p w14:paraId="3586E4F9" w14:textId="6F236486" w:rsidR="001B56E6" w:rsidRPr="00061F78" w:rsidRDefault="001B56E6" w:rsidP="00AF46B1">
            <w:pPr>
              <w:pStyle w:val="Tableheading"/>
              <w:keepNext/>
              <w:jc w:val="center"/>
              <w:rPr>
                <w:rFonts w:eastAsia="MS Mincho"/>
              </w:rPr>
            </w:pPr>
            <w:r>
              <w:rPr>
                <w:rFonts w:eastAsia="MS Mincho"/>
              </w:rPr>
              <w:t>NRT</w:t>
            </w:r>
          </w:p>
        </w:tc>
        <w:tc>
          <w:tcPr>
            <w:tcW w:w="851" w:type="pct"/>
            <w:shd w:val="clear" w:color="auto" w:fill="BFBFBF" w:themeFill="background1" w:themeFillShade="BF"/>
            <w:tcMar>
              <w:left w:w="28" w:type="dxa"/>
              <w:right w:w="28" w:type="dxa"/>
            </w:tcMar>
            <w:vAlign w:val="center"/>
          </w:tcPr>
          <w:p w14:paraId="130AE306" w14:textId="77777777" w:rsidR="001B56E6" w:rsidRPr="00061F78" w:rsidRDefault="001B56E6" w:rsidP="00AF46B1">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14:paraId="23B42A5C" w14:textId="6AF72F0B" w:rsidR="001B56E6" w:rsidRPr="00D468CF" w:rsidRDefault="001B56E6" w:rsidP="00AF46B1">
            <w:pPr>
              <w:pStyle w:val="Tableheading"/>
              <w:keepNext/>
              <w:jc w:val="center"/>
              <w:rPr>
                <w:rFonts w:eastAsia="MS Mincho"/>
                <w:vertAlign w:val="superscript"/>
              </w:rPr>
            </w:pPr>
            <w:r>
              <w:rPr>
                <w:rFonts w:eastAsia="MS Mincho"/>
              </w:rPr>
              <w:t>RR (95% CI)</w:t>
            </w:r>
          </w:p>
        </w:tc>
        <w:tc>
          <w:tcPr>
            <w:tcW w:w="802" w:type="pct"/>
            <w:shd w:val="clear" w:color="auto" w:fill="BFBFBF" w:themeFill="background1" w:themeFillShade="BF"/>
            <w:vAlign w:val="center"/>
          </w:tcPr>
          <w:p w14:paraId="51C9C258" w14:textId="77777777" w:rsidR="001B56E6" w:rsidRDefault="001B56E6" w:rsidP="00AF46B1">
            <w:pPr>
              <w:pStyle w:val="Tableheading"/>
              <w:keepNext/>
              <w:jc w:val="center"/>
              <w:rPr>
                <w:rFonts w:eastAsia="MS Mincho"/>
              </w:rPr>
            </w:pPr>
            <w:r>
              <w:rPr>
                <w:rFonts w:eastAsia="MS Mincho"/>
              </w:rPr>
              <w:t>RD (95% CI)</w:t>
            </w:r>
          </w:p>
        </w:tc>
      </w:tr>
      <w:tr w:rsidR="001E03CA" w:rsidRPr="00061F78" w14:paraId="0A4D9D4E" w14:textId="77777777" w:rsidTr="001B309A">
        <w:trPr>
          <w:cantSplit/>
          <w:trHeight w:val="99"/>
        </w:trPr>
        <w:tc>
          <w:tcPr>
            <w:tcW w:w="626" w:type="pct"/>
            <w:shd w:val="clear" w:color="auto" w:fill="auto"/>
            <w:tcMar>
              <w:left w:w="28" w:type="dxa"/>
              <w:right w:w="28" w:type="dxa"/>
            </w:tcMar>
          </w:tcPr>
          <w:p w14:paraId="438A0F6B" w14:textId="78F3B8B2" w:rsidR="001E03CA" w:rsidRPr="00011FD1" w:rsidRDefault="001E03CA" w:rsidP="001E03CA">
            <w:pPr>
              <w:pStyle w:val="Tablewriting"/>
              <w:keepNext/>
              <w:rPr>
                <w:rFonts w:eastAsia="MS Mincho"/>
              </w:rPr>
            </w:pPr>
            <w:r>
              <w:rPr>
                <w:rFonts w:eastAsia="MS Mincho"/>
              </w:rPr>
              <w:t>NRT patch</w:t>
            </w:r>
          </w:p>
        </w:tc>
        <w:tc>
          <w:tcPr>
            <w:tcW w:w="1095" w:type="pct"/>
            <w:shd w:val="clear" w:color="auto" w:fill="auto"/>
            <w:vAlign w:val="center"/>
          </w:tcPr>
          <w:p w14:paraId="00EB2282" w14:textId="77777777" w:rsidR="00471A04" w:rsidRDefault="00471A04" w:rsidP="001E03CA">
            <w:pPr>
              <w:pStyle w:val="Tablewriting"/>
              <w:keepNext/>
              <w:jc w:val="center"/>
              <w:rPr>
                <w:rFonts w:eastAsia="MS Mincho"/>
              </w:rPr>
            </w:pPr>
            <w:r>
              <w:rPr>
                <w:rFonts w:eastAsia="MS Mincho"/>
              </w:rPr>
              <w:t>Cochrane Review</w:t>
            </w:r>
          </w:p>
          <w:p w14:paraId="227E6572" w14:textId="57A65E0F" w:rsidR="001E03CA" w:rsidRPr="00471A04" w:rsidRDefault="00471A04" w:rsidP="001E03CA">
            <w:pPr>
              <w:pStyle w:val="Tablewriting"/>
              <w:keepNext/>
              <w:jc w:val="center"/>
              <w:rPr>
                <w:rFonts w:eastAsia="MS Mincho"/>
                <w:vertAlign w:val="superscript"/>
              </w:rPr>
            </w:pPr>
            <w:r>
              <w:rPr>
                <w:rFonts w:eastAsia="MS Mincho"/>
              </w:rPr>
              <w:t>(</w:t>
            </w:r>
            <w:r w:rsidR="001E03CA">
              <w:rPr>
                <w:rFonts w:eastAsia="MS Mincho"/>
              </w:rPr>
              <w:t>51 RCTs</w:t>
            </w:r>
            <w:r>
              <w:rPr>
                <w:rFonts w:eastAsia="MS Mincho"/>
              </w:rPr>
              <w:t>)</w:t>
            </w:r>
            <w:r>
              <w:rPr>
                <w:rFonts w:eastAsia="MS Mincho"/>
                <w:vertAlign w:val="superscript"/>
              </w:rPr>
              <w:t>1</w:t>
            </w:r>
          </w:p>
        </w:tc>
        <w:tc>
          <w:tcPr>
            <w:tcW w:w="774" w:type="pct"/>
            <w:shd w:val="clear" w:color="auto" w:fill="auto"/>
            <w:tcMar>
              <w:left w:w="28" w:type="dxa"/>
              <w:right w:w="28" w:type="dxa"/>
            </w:tcMar>
            <w:vAlign w:val="center"/>
          </w:tcPr>
          <w:p w14:paraId="23E28BF9" w14:textId="77777777" w:rsidR="001E03CA" w:rsidRPr="0078171D" w:rsidRDefault="001E03CA" w:rsidP="001E03CA">
            <w:pPr>
              <w:pStyle w:val="Tablewriting"/>
              <w:keepNext/>
              <w:jc w:val="center"/>
              <w:rPr>
                <w:rFonts w:eastAsia="MS Mincho"/>
              </w:rPr>
            </w:pPr>
            <w:r>
              <w:rPr>
                <w:rFonts w:eastAsia="MS Mincho"/>
              </w:rPr>
              <w:t>2,160</w:t>
            </w:r>
            <w:r w:rsidRPr="0078171D">
              <w:rPr>
                <w:rFonts w:eastAsia="MS Mincho"/>
              </w:rPr>
              <w:t>/</w:t>
            </w:r>
            <w:r>
              <w:rPr>
                <w:rFonts w:eastAsia="MS Mincho"/>
              </w:rPr>
              <w:t>13,773</w:t>
            </w:r>
            <w:r w:rsidRPr="0078171D">
              <w:rPr>
                <w:rFonts w:eastAsia="MS Mincho"/>
              </w:rPr>
              <w:t xml:space="preserve"> </w:t>
            </w:r>
          </w:p>
          <w:p w14:paraId="26DA13D0" w14:textId="538AE2A5" w:rsidR="001E03CA" w:rsidRPr="0078171D" w:rsidRDefault="001E03CA" w:rsidP="001E03CA">
            <w:pPr>
              <w:pStyle w:val="Tablewriting"/>
              <w:keepNext/>
              <w:jc w:val="center"/>
              <w:rPr>
                <w:rFonts w:eastAsia="MS Mincho"/>
              </w:rPr>
            </w:pPr>
            <w:r w:rsidRPr="0078171D">
              <w:rPr>
                <w:rFonts w:eastAsia="MS Mincho"/>
              </w:rPr>
              <w:t>(</w:t>
            </w:r>
            <w:r w:rsidR="00FD339F">
              <w:rPr>
                <w:rFonts w:eastAsia="MS Mincho"/>
              </w:rPr>
              <w:t>15.7</w:t>
            </w:r>
            <w:r w:rsidRPr="0078171D">
              <w:rPr>
                <w:rFonts w:eastAsia="MS Mincho"/>
              </w:rPr>
              <w:t>%)</w:t>
            </w:r>
          </w:p>
        </w:tc>
        <w:tc>
          <w:tcPr>
            <w:tcW w:w="851" w:type="pct"/>
            <w:shd w:val="clear" w:color="auto" w:fill="auto"/>
            <w:tcMar>
              <w:left w:w="28" w:type="dxa"/>
              <w:right w:w="28" w:type="dxa"/>
            </w:tcMar>
            <w:vAlign w:val="center"/>
          </w:tcPr>
          <w:p w14:paraId="1F3A6A8E" w14:textId="77777777" w:rsidR="001E03CA" w:rsidRPr="0078171D" w:rsidRDefault="001E03CA" w:rsidP="001E03CA">
            <w:pPr>
              <w:pStyle w:val="Tablewriting"/>
              <w:keepNext/>
              <w:jc w:val="center"/>
              <w:rPr>
                <w:rFonts w:eastAsia="MS Mincho"/>
              </w:rPr>
            </w:pPr>
            <w:r>
              <w:rPr>
                <w:rFonts w:eastAsia="MS Mincho"/>
              </w:rPr>
              <w:t>1,131</w:t>
            </w:r>
            <w:r w:rsidRPr="0078171D">
              <w:rPr>
                <w:rFonts w:eastAsia="MS Mincho"/>
              </w:rPr>
              <w:t>/</w:t>
            </w:r>
            <w:r>
              <w:rPr>
                <w:rFonts w:eastAsia="MS Mincho"/>
              </w:rPr>
              <w:t>11,981</w:t>
            </w:r>
            <w:r w:rsidRPr="0078171D">
              <w:rPr>
                <w:rFonts w:eastAsia="MS Mincho"/>
              </w:rPr>
              <w:t xml:space="preserve"> </w:t>
            </w:r>
          </w:p>
          <w:p w14:paraId="2FA52DC6" w14:textId="65CC03FB" w:rsidR="001E03CA" w:rsidRPr="0078171D" w:rsidRDefault="001E03CA" w:rsidP="001E03CA">
            <w:pPr>
              <w:pStyle w:val="Tablewriting"/>
              <w:keepNext/>
              <w:jc w:val="center"/>
              <w:rPr>
                <w:rFonts w:eastAsia="MS Mincho"/>
              </w:rPr>
            </w:pPr>
            <w:r w:rsidRPr="0078171D">
              <w:rPr>
                <w:rFonts w:eastAsia="MS Mincho"/>
              </w:rPr>
              <w:t>(</w:t>
            </w:r>
            <w:r w:rsidR="00FD339F">
              <w:rPr>
                <w:rFonts w:eastAsia="MS Mincho"/>
              </w:rPr>
              <w:t>9.4</w:t>
            </w:r>
            <w:r w:rsidRPr="0078171D">
              <w:rPr>
                <w:rFonts w:eastAsia="MS Mincho"/>
              </w:rPr>
              <w:t>%)</w:t>
            </w:r>
          </w:p>
        </w:tc>
        <w:tc>
          <w:tcPr>
            <w:tcW w:w="851" w:type="pct"/>
            <w:shd w:val="clear" w:color="auto" w:fill="auto"/>
            <w:tcMar>
              <w:left w:w="28" w:type="dxa"/>
              <w:right w:w="28" w:type="dxa"/>
            </w:tcMar>
            <w:vAlign w:val="center"/>
          </w:tcPr>
          <w:p w14:paraId="5BE9F279" w14:textId="77777777" w:rsidR="001E03CA" w:rsidRDefault="001E03CA" w:rsidP="001E03CA">
            <w:pPr>
              <w:pStyle w:val="Tablewriting"/>
              <w:keepNext/>
              <w:jc w:val="center"/>
              <w:rPr>
                <w:rFonts w:eastAsia="MS Mincho"/>
                <w:b/>
                <w:bCs/>
              </w:rPr>
            </w:pPr>
            <w:r>
              <w:rPr>
                <w:rFonts w:eastAsia="MS Mincho"/>
                <w:b/>
                <w:bCs/>
              </w:rPr>
              <w:t>1.64</w:t>
            </w:r>
          </w:p>
          <w:p w14:paraId="3660E775" w14:textId="3907EA84" w:rsidR="001E03CA" w:rsidRPr="0078171D" w:rsidRDefault="001E03CA" w:rsidP="001E03CA">
            <w:pPr>
              <w:pStyle w:val="Tablewriting"/>
              <w:keepNext/>
              <w:jc w:val="center"/>
              <w:rPr>
                <w:rFonts w:eastAsia="MS Mincho"/>
                <w:b/>
              </w:rPr>
            </w:pPr>
            <w:r>
              <w:rPr>
                <w:rFonts w:eastAsia="MS Mincho"/>
                <w:b/>
                <w:bCs/>
              </w:rPr>
              <w:t>(1.53, 1.75)</w:t>
            </w:r>
          </w:p>
        </w:tc>
        <w:tc>
          <w:tcPr>
            <w:tcW w:w="802" w:type="pct"/>
            <w:shd w:val="clear" w:color="auto" w:fill="auto"/>
            <w:vAlign w:val="center"/>
          </w:tcPr>
          <w:p w14:paraId="3E9C3943" w14:textId="26647031" w:rsidR="001E03CA" w:rsidRPr="00061F78" w:rsidRDefault="00471A04" w:rsidP="001E03CA">
            <w:pPr>
              <w:pStyle w:val="Tablewriting"/>
              <w:keepNext/>
              <w:jc w:val="center"/>
              <w:rPr>
                <w:rFonts w:eastAsia="MS Mincho"/>
              </w:rPr>
            </w:pPr>
            <w:r>
              <w:rPr>
                <w:rFonts w:eastAsia="MS Mincho"/>
              </w:rPr>
              <w:t>NR</w:t>
            </w:r>
          </w:p>
        </w:tc>
      </w:tr>
      <w:tr w:rsidR="001B56E6" w:rsidRPr="00061F78" w14:paraId="2F169952" w14:textId="77777777" w:rsidTr="001B309A">
        <w:trPr>
          <w:cantSplit/>
          <w:trHeight w:val="99"/>
        </w:trPr>
        <w:tc>
          <w:tcPr>
            <w:tcW w:w="626" w:type="pct"/>
            <w:vMerge w:val="restart"/>
            <w:shd w:val="clear" w:color="auto" w:fill="auto"/>
            <w:tcMar>
              <w:left w:w="28" w:type="dxa"/>
              <w:right w:w="28" w:type="dxa"/>
            </w:tcMar>
          </w:tcPr>
          <w:p w14:paraId="174B87FB" w14:textId="55C8B250" w:rsidR="001B56E6" w:rsidRDefault="00011FD1" w:rsidP="00AF46B1">
            <w:pPr>
              <w:pStyle w:val="Tablewriting"/>
              <w:keepNext/>
              <w:rPr>
                <w:rFonts w:eastAsia="MS Mincho"/>
              </w:rPr>
            </w:pPr>
            <w:r>
              <w:rPr>
                <w:rFonts w:eastAsia="MS Mincho"/>
              </w:rPr>
              <w:t>NRT gum</w:t>
            </w:r>
          </w:p>
        </w:tc>
        <w:tc>
          <w:tcPr>
            <w:tcW w:w="1095" w:type="pct"/>
            <w:shd w:val="clear" w:color="auto" w:fill="auto"/>
            <w:vAlign w:val="center"/>
          </w:tcPr>
          <w:p w14:paraId="1D54D4A4" w14:textId="77777777" w:rsidR="00471A04" w:rsidRDefault="00471A04" w:rsidP="00AF46B1">
            <w:pPr>
              <w:pStyle w:val="Tablewriting"/>
              <w:keepNext/>
              <w:jc w:val="center"/>
              <w:rPr>
                <w:rFonts w:eastAsia="MS Mincho"/>
              </w:rPr>
            </w:pPr>
            <w:r>
              <w:rPr>
                <w:rFonts w:eastAsia="MS Mincho"/>
              </w:rPr>
              <w:t>Cochrane Review</w:t>
            </w:r>
          </w:p>
          <w:p w14:paraId="47AC64A7" w14:textId="24735060" w:rsidR="001B56E6" w:rsidRPr="00471A04" w:rsidRDefault="00471A04" w:rsidP="00AF46B1">
            <w:pPr>
              <w:pStyle w:val="Tablewriting"/>
              <w:keepNext/>
              <w:jc w:val="center"/>
              <w:rPr>
                <w:rFonts w:eastAsia="MS Mincho"/>
                <w:vertAlign w:val="superscript"/>
              </w:rPr>
            </w:pPr>
            <w:r>
              <w:rPr>
                <w:rFonts w:eastAsia="MS Mincho"/>
              </w:rPr>
              <w:t>(</w:t>
            </w:r>
            <w:r w:rsidR="009F4894">
              <w:rPr>
                <w:rFonts w:eastAsia="MS Mincho"/>
              </w:rPr>
              <w:t>56 RCTs</w:t>
            </w:r>
            <w:r>
              <w:rPr>
                <w:rFonts w:eastAsia="MS Mincho"/>
              </w:rPr>
              <w:t>)</w:t>
            </w:r>
            <w:r>
              <w:rPr>
                <w:rFonts w:eastAsia="MS Mincho"/>
                <w:vertAlign w:val="superscript"/>
              </w:rPr>
              <w:t>1</w:t>
            </w:r>
          </w:p>
        </w:tc>
        <w:tc>
          <w:tcPr>
            <w:tcW w:w="774" w:type="pct"/>
            <w:shd w:val="clear" w:color="auto" w:fill="auto"/>
            <w:tcMar>
              <w:left w:w="28" w:type="dxa"/>
              <w:right w:w="28" w:type="dxa"/>
            </w:tcMar>
            <w:vAlign w:val="center"/>
          </w:tcPr>
          <w:p w14:paraId="3B9E248C" w14:textId="2BE1ED1E" w:rsidR="001B56E6" w:rsidRPr="0078171D" w:rsidRDefault="001B56E6" w:rsidP="00AF46B1">
            <w:pPr>
              <w:pStyle w:val="Tablewriting"/>
              <w:keepNext/>
              <w:jc w:val="center"/>
              <w:rPr>
                <w:rFonts w:eastAsia="MS Mincho"/>
              </w:rPr>
            </w:pPr>
            <w:r w:rsidRPr="0078171D">
              <w:rPr>
                <w:rFonts w:eastAsia="MS Mincho"/>
              </w:rPr>
              <w:t>1,</w:t>
            </w:r>
            <w:r w:rsidR="006935EA">
              <w:rPr>
                <w:rFonts w:eastAsia="MS Mincho"/>
              </w:rPr>
              <w:t>732</w:t>
            </w:r>
            <w:r w:rsidRPr="0078171D">
              <w:rPr>
                <w:rFonts w:eastAsia="MS Mincho"/>
              </w:rPr>
              <w:t>/</w:t>
            </w:r>
            <w:r>
              <w:rPr>
                <w:rFonts w:eastAsia="MS Mincho"/>
              </w:rPr>
              <w:t>10,</w:t>
            </w:r>
            <w:r w:rsidR="006935EA">
              <w:rPr>
                <w:rFonts w:eastAsia="MS Mincho"/>
              </w:rPr>
              <w:t>596</w:t>
            </w:r>
            <w:r w:rsidRPr="0078171D">
              <w:rPr>
                <w:rFonts w:eastAsia="MS Mincho"/>
              </w:rPr>
              <w:t xml:space="preserve"> </w:t>
            </w:r>
          </w:p>
          <w:p w14:paraId="3CECEC72" w14:textId="2B11A642"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16.3</w:t>
            </w:r>
            <w:r w:rsidRPr="0078171D">
              <w:rPr>
                <w:rFonts w:eastAsia="MS Mincho"/>
              </w:rPr>
              <w:t>%)</w:t>
            </w:r>
          </w:p>
        </w:tc>
        <w:tc>
          <w:tcPr>
            <w:tcW w:w="851" w:type="pct"/>
            <w:shd w:val="clear" w:color="auto" w:fill="auto"/>
            <w:tcMar>
              <w:left w:w="28" w:type="dxa"/>
              <w:right w:w="28" w:type="dxa"/>
            </w:tcMar>
            <w:vAlign w:val="center"/>
          </w:tcPr>
          <w:p w14:paraId="6837A63B" w14:textId="3195C739" w:rsidR="001B56E6" w:rsidRPr="0078171D" w:rsidRDefault="000D552A" w:rsidP="00AF46B1">
            <w:pPr>
              <w:pStyle w:val="Tablewriting"/>
              <w:keepNext/>
              <w:jc w:val="center"/>
              <w:rPr>
                <w:rFonts w:eastAsia="MS Mincho"/>
              </w:rPr>
            </w:pPr>
            <w:r>
              <w:rPr>
                <w:rFonts w:eastAsia="MS Mincho"/>
              </w:rPr>
              <w:t>1,196</w:t>
            </w:r>
            <w:r w:rsidR="001B56E6" w:rsidRPr="0078171D">
              <w:rPr>
                <w:rFonts w:eastAsia="MS Mincho"/>
              </w:rPr>
              <w:t>/</w:t>
            </w:r>
            <w:r>
              <w:rPr>
                <w:rFonts w:eastAsia="MS Mincho"/>
              </w:rPr>
              <w:t>11,985</w:t>
            </w:r>
            <w:r w:rsidR="001B56E6" w:rsidRPr="0078171D">
              <w:rPr>
                <w:rFonts w:eastAsia="MS Mincho"/>
              </w:rPr>
              <w:t xml:space="preserve"> </w:t>
            </w:r>
          </w:p>
          <w:p w14:paraId="39F116F3" w14:textId="42DD70FB"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10.0</w:t>
            </w:r>
            <w:r w:rsidRPr="0078171D">
              <w:rPr>
                <w:rFonts w:eastAsia="MS Mincho"/>
              </w:rPr>
              <w:t>%)</w:t>
            </w:r>
          </w:p>
        </w:tc>
        <w:tc>
          <w:tcPr>
            <w:tcW w:w="851" w:type="pct"/>
            <w:shd w:val="clear" w:color="auto" w:fill="auto"/>
            <w:tcMar>
              <w:left w:w="28" w:type="dxa"/>
              <w:right w:w="28" w:type="dxa"/>
            </w:tcMar>
            <w:vAlign w:val="center"/>
          </w:tcPr>
          <w:p w14:paraId="710A493B" w14:textId="320F51A4" w:rsidR="001B56E6" w:rsidRPr="0078171D" w:rsidRDefault="009B374D" w:rsidP="00AF46B1">
            <w:pPr>
              <w:pStyle w:val="Tablewriting"/>
              <w:keepNext/>
              <w:jc w:val="center"/>
              <w:rPr>
                <w:rFonts w:eastAsia="MS Mincho"/>
                <w:b/>
              </w:rPr>
            </w:pPr>
            <w:r>
              <w:rPr>
                <w:rFonts w:eastAsia="MS Mincho"/>
                <w:b/>
                <w:bCs/>
              </w:rPr>
              <w:t>1.49</w:t>
            </w:r>
          </w:p>
          <w:p w14:paraId="32A85E49" w14:textId="219934CF" w:rsidR="001B56E6" w:rsidRPr="0078171D" w:rsidRDefault="001B56E6" w:rsidP="00AF46B1">
            <w:pPr>
              <w:pStyle w:val="Tablewriting"/>
              <w:keepNext/>
              <w:jc w:val="center"/>
              <w:rPr>
                <w:rFonts w:eastAsia="MS Mincho"/>
                <w:b/>
              </w:rPr>
            </w:pPr>
            <w:r w:rsidRPr="0078171D">
              <w:rPr>
                <w:rFonts w:eastAsia="MS Mincho"/>
                <w:b/>
                <w:bCs/>
              </w:rPr>
              <w:t>(</w:t>
            </w:r>
            <w:r>
              <w:rPr>
                <w:rFonts w:eastAsia="MS Mincho"/>
                <w:b/>
                <w:bCs/>
              </w:rPr>
              <w:t>1.</w:t>
            </w:r>
            <w:r w:rsidR="007875A2">
              <w:rPr>
                <w:rFonts w:eastAsia="MS Mincho"/>
                <w:b/>
                <w:bCs/>
              </w:rPr>
              <w:t>40</w:t>
            </w:r>
            <w:r w:rsidRPr="0078171D">
              <w:rPr>
                <w:rFonts w:eastAsia="MS Mincho"/>
                <w:b/>
                <w:bCs/>
              </w:rPr>
              <w:t xml:space="preserve">, </w:t>
            </w:r>
            <w:r>
              <w:rPr>
                <w:rFonts w:eastAsia="MS Mincho"/>
                <w:b/>
                <w:bCs/>
              </w:rPr>
              <w:t>1.</w:t>
            </w:r>
            <w:r w:rsidR="007875A2">
              <w:rPr>
                <w:rFonts w:eastAsia="MS Mincho"/>
                <w:b/>
                <w:bCs/>
              </w:rPr>
              <w:t>60</w:t>
            </w:r>
            <w:r w:rsidRPr="0078171D">
              <w:rPr>
                <w:rFonts w:eastAsia="MS Mincho"/>
                <w:b/>
                <w:bCs/>
              </w:rPr>
              <w:t>)</w:t>
            </w:r>
          </w:p>
        </w:tc>
        <w:tc>
          <w:tcPr>
            <w:tcW w:w="802" w:type="pct"/>
            <w:shd w:val="clear" w:color="auto" w:fill="auto"/>
            <w:vAlign w:val="center"/>
          </w:tcPr>
          <w:p w14:paraId="0035E81F" w14:textId="480033C8" w:rsidR="001B56E6" w:rsidRPr="00061F78" w:rsidRDefault="00471A04" w:rsidP="00AF46B1">
            <w:pPr>
              <w:pStyle w:val="Tablewriting"/>
              <w:keepNext/>
              <w:jc w:val="center"/>
              <w:rPr>
                <w:rFonts w:eastAsia="MS Mincho"/>
              </w:rPr>
            </w:pPr>
            <w:r>
              <w:rPr>
                <w:rFonts w:eastAsia="MS Mincho"/>
              </w:rPr>
              <w:t>NR</w:t>
            </w:r>
          </w:p>
        </w:tc>
      </w:tr>
      <w:tr w:rsidR="00A367DA" w:rsidRPr="00061F78" w14:paraId="721B7BE7" w14:textId="77777777" w:rsidTr="001B309A">
        <w:trPr>
          <w:cantSplit/>
          <w:trHeight w:val="99"/>
        </w:trPr>
        <w:tc>
          <w:tcPr>
            <w:tcW w:w="626" w:type="pct"/>
            <w:vMerge/>
            <w:shd w:val="clear" w:color="auto" w:fill="auto"/>
            <w:tcMar>
              <w:left w:w="28" w:type="dxa"/>
              <w:right w:w="28" w:type="dxa"/>
            </w:tcMar>
          </w:tcPr>
          <w:p w14:paraId="3590E32B" w14:textId="77777777" w:rsidR="00A367DA" w:rsidRDefault="00A367DA" w:rsidP="00AF46B1">
            <w:pPr>
              <w:pStyle w:val="Tablewriting"/>
              <w:keepNext/>
              <w:rPr>
                <w:rFonts w:eastAsia="MS Mincho"/>
              </w:rPr>
            </w:pPr>
          </w:p>
        </w:tc>
        <w:tc>
          <w:tcPr>
            <w:tcW w:w="1095" w:type="pct"/>
            <w:shd w:val="clear" w:color="auto" w:fill="auto"/>
            <w:vAlign w:val="center"/>
          </w:tcPr>
          <w:p w14:paraId="1267B786" w14:textId="1A6852D6" w:rsidR="00A367DA" w:rsidRPr="00471A04" w:rsidRDefault="00A367DA" w:rsidP="00AF46B1">
            <w:pPr>
              <w:pStyle w:val="Tablewriting"/>
              <w:keepNext/>
              <w:jc w:val="center"/>
              <w:rPr>
                <w:rFonts w:eastAsia="MS Mincho"/>
                <w:vertAlign w:val="superscript"/>
              </w:rPr>
            </w:pPr>
            <w:r>
              <w:rPr>
                <w:rFonts w:eastAsia="MS Mincho"/>
              </w:rPr>
              <w:t>Updated re-analysis (</w:t>
            </w:r>
            <w:r w:rsidR="00445771">
              <w:rPr>
                <w:rFonts w:eastAsia="MS Mincho"/>
              </w:rPr>
              <w:t>57 RCTs)</w:t>
            </w:r>
            <w:r w:rsidR="00471A04">
              <w:rPr>
                <w:rFonts w:eastAsia="MS Mincho"/>
                <w:vertAlign w:val="superscript"/>
              </w:rPr>
              <w:t>2</w:t>
            </w:r>
          </w:p>
        </w:tc>
        <w:tc>
          <w:tcPr>
            <w:tcW w:w="774" w:type="pct"/>
            <w:shd w:val="clear" w:color="auto" w:fill="auto"/>
            <w:tcMar>
              <w:left w:w="28" w:type="dxa"/>
              <w:right w:w="28" w:type="dxa"/>
            </w:tcMar>
            <w:vAlign w:val="center"/>
          </w:tcPr>
          <w:p w14:paraId="34542A66" w14:textId="77777777" w:rsidR="00A367DA" w:rsidRDefault="00126491" w:rsidP="00AF46B1">
            <w:pPr>
              <w:pStyle w:val="Tablewriting"/>
              <w:keepNext/>
              <w:jc w:val="center"/>
              <w:rPr>
                <w:rFonts w:eastAsia="MS Mincho"/>
              </w:rPr>
            </w:pPr>
            <w:r>
              <w:rPr>
                <w:rFonts w:eastAsia="MS Mincho"/>
              </w:rPr>
              <w:t>1,745/10,777</w:t>
            </w:r>
          </w:p>
          <w:p w14:paraId="2FF84D6C" w14:textId="7C3A8A58" w:rsidR="00126491" w:rsidRPr="0078171D" w:rsidRDefault="00126491" w:rsidP="00AF46B1">
            <w:pPr>
              <w:pStyle w:val="Tablewriting"/>
              <w:keepNext/>
              <w:jc w:val="center"/>
              <w:rPr>
                <w:rFonts w:eastAsia="MS Mincho"/>
              </w:rPr>
            </w:pPr>
            <w:r>
              <w:rPr>
                <w:rFonts w:eastAsia="MS Mincho"/>
              </w:rPr>
              <w:t>(</w:t>
            </w:r>
            <w:r w:rsidR="00C120A4">
              <w:rPr>
                <w:rFonts w:eastAsia="MS Mincho"/>
              </w:rPr>
              <w:t>16.2</w:t>
            </w:r>
            <w:r>
              <w:rPr>
                <w:rFonts w:eastAsia="MS Mincho"/>
              </w:rPr>
              <w:t>%)</w:t>
            </w:r>
          </w:p>
        </w:tc>
        <w:tc>
          <w:tcPr>
            <w:tcW w:w="851" w:type="pct"/>
            <w:shd w:val="clear" w:color="auto" w:fill="auto"/>
            <w:tcMar>
              <w:left w:w="28" w:type="dxa"/>
              <w:right w:w="28" w:type="dxa"/>
            </w:tcMar>
            <w:vAlign w:val="center"/>
          </w:tcPr>
          <w:p w14:paraId="7E4C8953" w14:textId="77777777" w:rsidR="00A367DA" w:rsidRDefault="00FA00CE" w:rsidP="00AF46B1">
            <w:pPr>
              <w:pStyle w:val="Tablewriting"/>
              <w:keepNext/>
              <w:jc w:val="center"/>
              <w:rPr>
                <w:rFonts w:eastAsia="MS Mincho"/>
              </w:rPr>
            </w:pPr>
            <w:r>
              <w:rPr>
                <w:rFonts w:eastAsia="MS Mincho"/>
              </w:rPr>
              <w:t>1,206/12,173</w:t>
            </w:r>
          </w:p>
          <w:p w14:paraId="63BEF57C" w14:textId="2B1EB3FF" w:rsidR="00FA00CE" w:rsidRDefault="00FA00CE" w:rsidP="00AF46B1">
            <w:pPr>
              <w:pStyle w:val="Tablewriting"/>
              <w:keepNext/>
              <w:jc w:val="center"/>
              <w:rPr>
                <w:rFonts w:eastAsia="MS Mincho"/>
              </w:rPr>
            </w:pPr>
            <w:r>
              <w:rPr>
                <w:rFonts w:eastAsia="MS Mincho"/>
              </w:rPr>
              <w:t>(</w:t>
            </w:r>
            <w:r w:rsidR="00F1764B">
              <w:rPr>
                <w:rFonts w:eastAsia="MS Mincho"/>
              </w:rPr>
              <w:t>9.9</w:t>
            </w:r>
            <w:r>
              <w:rPr>
                <w:rFonts w:eastAsia="MS Mincho"/>
              </w:rPr>
              <w:t>%)</w:t>
            </w:r>
          </w:p>
        </w:tc>
        <w:tc>
          <w:tcPr>
            <w:tcW w:w="851" w:type="pct"/>
            <w:shd w:val="clear" w:color="auto" w:fill="auto"/>
            <w:tcMar>
              <w:left w:w="28" w:type="dxa"/>
              <w:right w:w="28" w:type="dxa"/>
            </w:tcMar>
            <w:vAlign w:val="center"/>
          </w:tcPr>
          <w:p w14:paraId="6EA5DA24" w14:textId="77777777" w:rsidR="00A367DA" w:rsidRDefault="00FA00CE" w:rsidP="00AF46B1">
            <w:pPr>
              <w:pStyle w:val="Tablewriting"/>
              <w:keepNext/>
              <w:jc w:val="center"/>
              <w:rPr>
                <w:rFonts w:eastAsia="MS Mincho"/>
                <w:b/>
                <w:bCs/>
              </w:rPr>
            </w:pPr>
            <w:r>
              <w:rPr>
                <w:rFonts w:eastAsia="MS Mincho"/>
                <w:b/>
                <w:bCs/>
              </w:rPr>
              <w:t>1.49</w:t>
            </w:r>
          </w:p>
          <w:p w14:paraId="2FDC7A4D" w14:textId="74671B3D" w:rsidR="00FA00CE" w:rsidRDefault="00FA00CE" w:rsidP="00AF46B1">
            <w:pPr>
              <w:pStyle w:val="Tablewriting"/>
              <w:keepNext/>
              <w:jc w:val="center"/>
              <w:rPr>
                <w:rFonts w:eastAsia="MS Mincho"/>
                <w:b/>
                <w:bCs/>
              </w:rPr>
            </w:pPr>
            <w:r>
              <w:rPr>
                <w:rFonts w:eastAsia="MS Mincho"/>
                <w:b/>
                <w:bCs/>
              </w:rPr>
              <w:t>(1.35,</w:t>
            </w:r>
            <w:r w:rsidR="00737499">
              <w:rPr>
                <w:rFonts w:eastAsia="MS Mincho"/>
                <w:b/>
                <w:bCs/>
              </w:rPr>
              <w:t xml:space="preserve"> </w:t>
            </w:r>
            <w:r>
              <w:rPr>
                <w:rFonts w:eastAsia="MS Mincho"/>
                <w:b/>
                <w:bCs/>
              </w:rPr>
              <w:t>1.64)</w:t>
            </w:r>
          </w:p>
        </w:tc>
        <w:tc>
          <w:tcPr>
            <w:tcW w:w="802" w:type="pct"/>
            <w:shd w:val="clear" w:color="auto" w:fill="auto"/>
            <w:vAlign w:val="center"/>
          </w:tcPr>
          <w:p w14:paraId="12A0085E" w14:textId="77777777" w:rsidR="00A367DA" w:rsidRPr="00AA7977" w:rsidRDefault="00AA7977" w:rsidP="00AF46B1">
            <w:pPr>
              <w:pStyle w:val="Tablewriting"/>
              <w:keepNext/>
              <w:jc w:val="center"/>
              <w:rPr>
                <w:rFonts w:eastAsia="MS Mincho"/>
                <w:b/>
                <w:bCs/>
              </w:rPr>
            </w:pPr>
            <w:r w:rsidRPr="00AA7977">
              <w:rPr>
                <w:rFonts w:eastAsia="MS Mincho"/>
                <w:b/>
                <w:bCs/>
              </w:rPr>
              <w:t>0.05</w:t>
            </w:r>
          </w:p>
          <w:p w14:paraId="384CB729" w14:textId="0CA358EC" w:rsidR="00AA7977" w:rsidRPr="00061F78" w:rsidRDefault="00AA7977" w:rsidP="00AF46B1">
            <w:pPr>
              <w:pStyle w:val="Tablewriting"/>
              <w:keepNext/>
              <w:jc w:val="center"/>
              <w:rPr>
                <w:rFonts w:eastAsia="MS Mincho"/>
              </w:rPr>
            </w:pPr>
            <w:r w:rsidRPr="00AA7977">
              <w:rPr>
                <w:rFonts w:eastAsia="MS Mincho"/>
                <w:b/>
                <w:bCs/>
              </w:rPr>
              <w:t>(0.04, 0.07)</w:t>
            </w:r>
          </w:p>
        </w:tc>
      </w:tr>
      <w:tr w:rsidR="001B56E6" w:rsidRPr="00061F78" w14:paraId="044E9AA6" w14:textId="77777777" w:rsidTr="001B309A">
        <w:trPr>
          <w:cantSplit/>
          <w:trHeight w:val="149"/>
        </w:trPr>
        <w:tc>
          <w:tcPr>
            <w:tcW w:w="626" w:type="pct"/>
            <w:vMerge w:val="restart"/>
            <w:tcMar>
              <w:left w:w="28" w:type="dxa"/>
              <w:right w:w="28" w:type="dxa"/>
            </w:tcMar>
          </w:tcPr>
          <w:p w14:paraId="7C0C657A" w14:textId="3C7F43F3" w:rsidR="001B56E6" w:rsidRPr="00011FD1" w:rsidRDefault="00011FD1" w:rsidP="00AF46B1">
            <w:pPr>
              <w:pStyle w:val="Tablewriting"/>
              <w:keepNext/>
              <w:rPr>
                <w:rFonts w:eastAsia="MS Mincho"/>
              </w:rPr>
            </w:pPr>
            <w:r>
              <w:rPr>
                <w:rFonts w:eastAsia="MS Mincho"/>
              </w:rPr>
              <w:t>NRT tablets/</w:t>
            </w:r>
            <w:r w:rsidR="00FD339F">
              <w:rPr>
                <w:rFonts w:eastAsia="MS Mincho"/>
              </w:rPr>
              <w:t xml:space="preserve"> </w:t>
            </w:r>
            <w:r>
              <w:rPr>
                <w:rFonts w:eastAsia="MS Mincho"/>
              </w:rPr>
              <w:t>lozenges</w:t>
            </w:r>
          </w:p>
        </w:tc>
        <w:tc>
          <w:tcPr>
            <w:tcW w:w="1095" w:type="pct"/>
            <w:vAlign w:val="center"/>
          </w:tcPr>
          <w:p w14:paraId="5B0C9B97" w14:textId="77777777" w:rsidR="00471A04" w:rsidRDefault="00471A04" w:rsidP="00AF46B1">
            <w:pPr>
              <w:pStyle w:val="Tablewriting"/>
              <w:keepNext/>
              <w:jc w:val="center"/>
              <w:rPr>
                <w:rFonts w:eastAsia="MS Mincho"/>
              </w:rPr>
            </w:pPr>
            <w:r>
              <w:rPr>
                <w:rFonts w:eastAsia="MS Mincho"/>
              </w:rPr>
              <w:t>Cochrane Review</w:t>
            </w:r>
          </w:p>
          <w:p w14:paraId="029DEA64" w14:textId="76DF2E11" w:rsidR="001B56E6" w:rsidRPr="00471A04" w:rsidRDefault="00471A04" w:rsidP="00AF46B1">
            <w:pPr>
              <w:pStyle w:val="Tablewriting"/>
              <w:keepNext/>
              <w:jc w:val="center"/>
              <w:rPr>
                <w:rFonts w:eastAsia="MS Mincho"/>
                <w:vertAlign w:val="superscript"/>
              </w:rPr>
            </w:pPr>
            <w:r>
              <w:rPr>
                <w:rFonts w:eastAsia="MS Mincho"/>
              </w:rPr>
              <w:t>(</w:t>
            </w:r>
            <w:r w:rsidR="009F4894">
              <w:rPr>
                <w:rFonts w:eastAsia="MS Mincho"/>
              </w:rPr>
              <w:t>8 RCTs</w:t>
            </w:r>
            <w:r>
              <w:rPr>
                <w:rFonts w:eastAsia="MS Mincho"/>
              </w:rPr>
              <w:t>)</w:t>
            </w:r>
            <w:r>
              <w:rPr>
                <w:rFonts w:eastAsia="MS Mincho"/>
                <w:vertAlign w:val="superscript"/>
              </w:rPr>
              <w:t>1</w:t>
            </w:r>
          </w:p>
        </w:tc>
        <w:tc>
          <w:tcPr>
            <w:tcW w:w="774" w:type="pct"/>
            <w:tcMar>
              <w:left w:w="28" w:type="dxa"/>
              <w:right w:w="28" w:type="dxa"/>
            </w:tcMar>
            <w:vAlign w:val="center"/>
          </w:tcPr>
          <w:p w14:paraId="7F35B58C" w14:textId="69953078" w:rsidR="001B56E6" w:rsidRPr="0078171D" w:rsidRDefault="00FD7F1C" w:rsidP="00AF46B1">
            <w:pPr>
              <w:pStyle w:val="Tablewriting"/>
              <w:keepNext/>
              <w:jc w:val="center"/>
              <w:rPr>
                <w:rFonts w:eastAsia="MS Mincho"/>
              </w:rPr>
            </w:pPr>
            <w:r>
              <w:rPr>
                <w:rFonts w:eastAsia="MS Mincho"/>
              </w:rPr>
              <w:t>488</w:t>
            </w:r>
            <w:r w:rsidR="001B56E6" w:rsidRPr="0078171D">
              <w:rPr>
                <w:rFonts w:eastAsia="MS Mincho"/>
              </w:rPr>
              <w:t>/</w:t>
            </w:r>
            <w:r w:rsidR="001407D2">
              <w:rPr>
                <w:rFonts w:eastAsia="MS Mincho"/>
              </w:rPr>
              <w:t>2,326</w:t>
            </w:r>
            <w:r w:rsidR="001B56E6" w:rsidRPr="0078171D">
              <w:rPr>
                <w:rFonts w:eastAsia="MS Mincho"/>
              </w:rPr>
              <w:t xml:space="preserve"> </w:t>
            </w:r>
          </w:p>
          <w:p w14:paraId="4A82B70B" w14:textId="40B8845C"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21.0</w:t>
            </w:r>
            <w:r w:rsidRPr="0078171D">
              <w:rPr>
                <w:rFonts w:eastAsia="MS Mincho"/>
              </w:rPr>
              <w:t>%)</w:t>
            </w:r>
          </w:p>
        </w:tc>
        <w:tc>
          <w:tcPr>
            <w:tcW w:w="851" w:type="pct"/>
            <w:tcMar>
              <w:left w:w="28" w:type="dxa"/>
              <w:right w:w="28" w:type="dxa"/>
            </w:tcMar>
            <w:vAlign w:val="center"/>
          </w:tcPr>
          <w:p w14:paraId="13B5033B" w14:textId="7A470587" w:rsidR="001B56E6" w:rsidRPr="0078171D" w:rsidRDefault="00283AC6" w:rsidP="00AF46B1">
            <w:pPr>
              <w:pStyle w:val="Tablewriting"/>
              <w:keepNext/>
              <w:jc w:val="center"/>
              <w:rPr>
                <w:rFonts w:eastAsia="MS Mincho"/>
              </w:rPr>
            </w:pPr>
            <w:r>
              <w:rPr>
                <w:rFonts w:eastAsia="MS Mincho"/>
              </w:rPr>
              <w:t>273</w:t>
            </w:r>
            <w:r w:rsidR="001B56E6" w:rsidRPr="0078171D">
              <w:rPr>
                <w:rFonts w:eastAsia="MS Mincho"/>
              </w:rPr>
              <w:t>/</w:t>
            </w:r>
            <w:r w:rsidR="00892202">
              <w:rPr>
                <w:rFonts w:eastAsia="MS Mincho"/>
              </w:rPr>
              <w:t>2,113</w:t>
            </w:r>
            <w:r w:rsidR="001B56E6" w:rsidRPr="0078171D">
              <w:rPr>
                <w:rFonts w:eastAsia="MS Mincho"/>
              </w:rPr>
              <w:t xml:space="preserve"> </w:t>
            </w:r>
          </w:p>
          <w:p w14:paraId="2249A6EF" w14:textId="66649A45" w:rsidR="001B56E6" w:rsidRPr="0078171D" w:rsidRDefault="001B56E6" w:rsidP="00AF46B1">
            <w:pPr>
              <w:pStyle w:val="Tablewriting"/>
              <w:keepNext/>
              <w:jc w:val="center"/>
              <w:rPr>
                <w:rFonts w:eastAsia="MS Mincho"/>
              </w:rPr>
            </w:pPr>
            <w:r w:rsidRPr="0078171D">
              <w:rPr>
                <w:rFonts w:eastAsia="MS Mincho"/>
              </w:rPr>
              <w:t>(</w:t>
            </w:r>
            <w:r w:rsidR="00FD339F">
              <w:rPr>
                <w:rFonts w:eastAsia="MS Mincho"/>
              </w:rPr>
              <w:t>12.9</w:t>
            </w:r>
            <w:r w:rsidRPr="0078171D">
              <w:rPr>
                <w:rFonts w:eastAsia="MS Mincho"/>
              </w:rPr>
              <w:t>%)</w:t>
            </w:r>
          </w:p>
        </w:tc>
        <w:tc>
          <w:tcPr>
            <w:tcW w:w="851" w:type="pct"/>
            <w:tcMar>
              <w:left w:w="28" w:type="dxa"/>
              <w:right w:w="28" w:type="dxa"/>
            </w:tcMar>
            <w:vAlign w:val="center"/>
          </w:tcPr>
          <w:p w14:paraId="7E95D0A6" w14:textId="3F0829EF" w:rsidR="001B56E6" w:rsidRDefault="001B56E6" w:rsidP="00AF46B1">
            <w:pPr>
              <w:pStyle w:val="Tablewriting"/>
              <w:keepNext/>
              <w:jc w:val="center"/>
              <w:rPr>
                <w:rFonts w:eastAsia="MS Mincho"/>
                <w:b/>
                <w:bCs/>
              </w:rPr>
            </w:pPr>
            <w:r>
              <w:rPr>
                <w:rFonts w:eastAsia="MS Mincho"/>
                <w:b/>
                <w:bCs/>
              </w:rPr>
              <w:t>1.</w:t>
            </w:r>
            <w:r w:rsidR="007C4A1E">
              <w:rPr>
                <w:rFonts w:eastAsia="MS Mincho"/>
                <w:b/>
                <w:bCs/>
              </w:rPr>
              <w:t>52</w:t>
            </w:r>
          </w:p>
          <w:p w14:paraId="5472687D" w14:textId="0861B9F6" w:rsidR="001B56E6" w:rsidRPr="0078171D" w:rsidRDefault="001B56E6" w:rsidP="00AF46B1">
            <w:pPr>
              <w:pStyle w:val="Tablewriting"/>
              <w:keepNext/>
              <w:jc w:val="center"/>
              <w:rPr>
                <w:rFonts w:eastAsia="MS Mincho"/>
              </w:rPr>
            </w:pPr>
            <w:r>
              <w:rPr>
                <w:rFonts w:eastAsia="MS Mincho"/>
                <w:b/>
                <w:bCs/>
              </w:rPr>
              <w:t>(1.</w:t>
            </w:r>
            <w:r w:rsidR="007C4A1E">
              <w:rPr>
                <w:rFonts w:eastAsia="MS Mincho"/>
                <w:b/>
                <w:bCs/>
              </w:rPr>
              <w:t>32</w:t>
            </w:r>
            <w:r>
              <w:rPr>
                <w:rFonts w:eastAsia="MS Mincho"/>
                <w:b/>
                <w:bCs/>
              </w:rPr>
              <w:t>, 1.7</w:t>
            </w:r>
            <w:r w:rsidR="00891331">
              <w:rPr>
                <w:rFonts w:eastAsia="MS Mincho"/>
                <w:b/>
                <w:bCs/>
              </w:rPr>
              <w:t>4</w:t>
            </w:r>
            <w:r>
              <w:rPr>
                <w:rFonts w:eastAsia="MS Mincho"/>
                <w:b/>
                <w:bCs/>
              </w:rPr>
              <w:t>)</w:t>
            </w:r>
          </w:p>
        </w:tc>
        <w:tc>
          <w:tcPr>
            <w:tcW w:w="802" w:type="pct"/>
            <w:vAlign w:val="center"/>
          </w:tcPr>
          <w:p w14:paraId="441F6ABD" w14:textId="106CA605" w:rsidR="001B56E6" w:rsidRPr="00061F78" w:rsidRDefault="00471A04" w:rsidP="00AF46B1">
            <w:pPr>
              <w:pStyle w:val="Tablewriting"/>
              <w:keepNext/>
              <w:jc w:val="center"/>
              <w:rPr>
                <w:rFonts w:eastAsia="MS Mincho"/>
              </w:rPr>
            </w:pPr>
            <w:r>
              <w:rPr>
                <w:rFonts w:eastAsia="MS Mincho"/>
              </w:rPr>
              <w:t>NR</w:t>
            </w:r>
          </w:p>
        </w:tc>
      </w:tr>
      <w:tr w:rsidR="00445771" w:rsidRPr="00061F78" w14:paraId="27E6808F" w14:textId="77777777" w:rsidTr="001B309A">
        <w:trPr>
          <w:cantSplit/>
          <w:trHeight w:val="149"/>
        </w:trPr>
        <w:tc>
          <w:tcPr>
            <w:tcW w:w="626" w:type="pct"/>
            <w:vMerge/>
            <w:tcMar>
              <w:left w:w="28" w:type="dxa"/>
              <w:right w:w="28" w:type="dxa"/>
            </w:tcMar>
          </w:tcPr>
          <w:p w14:paraId="6B7F0BF4" w14:textId="77777777" w:rsidR="00445771" w:rsidRDefault="00445771" w:rsidP="00AF46B1">
            <w:pPr>
              <w:pStyle w:val="Tablewriting"/>
              <w:keepNext/>
              <w:rPr>
                <w:rFonts w:eastAsia="MS Mincho"/>
              </w:rPr>
            </w:pPr>
          </w:p>
        </w:tc>
        <w:tc>
          <w:tcPr>
            <w:tcW w:w="1095" w:type="pct"/>
            <w:vAlign w:val="center"/>
          </w:tcPr>
          <w:p w14:paraId="03FA820F" w14:textId="2F3EA8FF" w:rsidR="00445771" w:rsidRPr="00471A04" w:rsidRDefault="00445771" w:rsidP="00AF46B1">
            <w:pPr>
              <w:pStyle w:val="Tablewriting"/>
              <w:keepNext/>
              <w:jc w:val="center"/>
              <w:rPr>
                <w:rFonts w:eastAsia="MS Mincho"/>
                <w:vertAlign w:val="superscript"/>
              </w:rPr>
            </w:pPr>
            <w:r>
              <w:rPr>
                <w:rFonts w:eastAsia="MS Mincho"/>
              </w:rPr>
              <w:t>Updated re-analysis (9 RCTs)</w:t>
            </w:r>
            <w:r w:rsidR="00471A04">
              <w:rPr>
                <w:rFonts w:eastAsia="MS Mincho"/>
                <w:vertAlign w:val="superscript"/>
              </w:rPr>
              <w:t>2</w:t>
            </w:r>
          </w:p>
        </w:tc>
        <w:tc>
          <w:tcPr>
            <w:tcW w:w="774" w:type="pct"/>
            <w:tcMar>
              <w:left w:w="28" w:type="dxa"/>
              <w:right w:w="28" w:type="dxa"/>
            </w:tcMar>
            <w:vAlign w:val="center"/>
          </w:tcPr>
          <w:p w14:paraId="48BC8874" w14:textId="77777777" w:rsidR="00445771" w:rsidRDefault="00EC4B33" w:rsidP="00AF46B1">
            <w:pPr>
              <w:pStyle w:val="Tablewriting"/>
              <w:keepNext/>
              <w:jc w:val="center"/>
              <w:rPr>
                <w:rFonts w:eastAsia="MS Mincho"/>
              </w:rPr>
            </w:pPr>
            <w:r>
              <w:rPr>
                <w:rFonts w:eastAsia="MS Mincho"/>
              </w:rPr>
              <w:t>533/</w:t>
            </w:r>
            <w:r w:rsidR="00E9376B">
              <w:rPr>
                <w:rFonts w:eastAsia="MS Mincho"/>
              </w:rPr>
              <w:t>2,687</w:t>
            </w:r>
          </w:p>
          <w:p w14:paraId="3C5C3B03" w14:textId="2015CB7E" w:rsidR="00E9376B" w:rsidRDefault="00E9376B" w:rsidP="00AF46B1">
            <w:pPr>
              <w:pStyle w:val="Tablewriting"/>
              <w:keepNext/>
              <w:jc w:val="center"/>
              <w:rPr>
                <w:rFonts w:eastAsia="MS Mincho"/>
              </w:rPr>
            </w:pPr>
            <w:r>
              <w:rPr>
                <w:rFonts w:eastAsia="MS Mincho"/>
              </w:rPr>
              <w:t>(</w:t>
            </w:r>
            <w:r w:rsidR="00F1764B">
              <w:rPr>
                <w:rFonts w:eastAsia="MS Mincho"/>
              </w:rPr>
              <w:t>19.8</w:t>
            </w:r>
            <w:r>
              <w:rPr>
                <w:rFonts w:eastAsia="MS Mincho"/>
              </w:rPr>
              <w:t>%)</w:t>
            </w:r>
          </w:p>
        </w:tc>
        <w:tc>
          <w:tcPr>
            <w:tcW w:w="851" w:type="pct"/>
            <w:tcMar>
              <w:left w:w="28" w:type="dxa"/>
              <w:right w:w="28" w:type="dxa"/>
            </w:tcMar>
            <w:vAlign w:val="center"/>
          </w:tcPr>
          <w:p w14:paraId="36630E5E" w14:textId="77777777" w:rsidR="00445771" w:rsidRDefault="00E9376B" w:rsidP="00AF46B1">
            <w:pPr>
              <w:pStyle w:val="Tablewriting"/>
              <w:keepNext/>
              <w:jc w:val="center"/>
              <w:rPr>
                <w:rFonts w:eastAsia="MS Mincho"/>
              </w:rPr>
            </w:pPr>
            <w:r>
              <w:rPr>
                <w:rFonts w:eastAsia="MS Mincho"/>
              </w:rPr>
              <w:t>312/2,475</w:t>
            </w:r>
          </w:p>
          <w:p w14:paraId="3950B975" w14:textId="4A0F2690" w:rsidR="00E9376B" w:rsidRDefault="00E9376B" w:rsidP="00AF46B1">
            <w:pPr>
              <w:pStyle w:val="Tablewriting"/>
              <w:keepNext/>
              <w:jc w:val="center"/>
              <w:rPr>
                <w:rFonts w:eastAsia="MS Mincho"/>
              </w:rPr>
            </w:pPr>
            <w:r>
              <w:rPr>
                <w:rFonts w:eastAsia="MS Mincho"/>
              </w:rPr>
              <w:t>(</w:t>
            </w:r>
            <w:r w:rsidR="00F1764B">
              <w:rPr>
                <w:rFonts w:eastAsia="MS Mincho"/>
              </w:rPr>
              <w:t>12.6</w:t>
            </w:r>
            <w:r>
              <w:rPr>
                <w:rFonts w:eastAsia="MS Mincho"/>
              </w:rPr>
              <w:t>%)</w:t>
            </w:r>
          </w:p>
        </w:tc>
        <w:tc>
          <w:tcPr>
            <w:tcW w:w="851" w:type="pct"/>
            <w:tcMar>
              <w:left w:w="28" w:type="dxa"/>
              <w:right w:w="28" w:type="dxa"/>
            </w:tcMar>
            <w:vAlign w:val="center"/>
          </w:tcPr>
          <w:p w14:paraId="2FFAAF96" w14:textId="77777777" w:rsidR="00445771" w:rsidRDefault="00E9376B" w:rsidP="00AF46B1">
            <w:pPr>
              <w:pStyle w:val="Tablewriting"/>
              <w:keepNext/>
              <w:jc w:val="center"/>
              <w:rPr>
                <w:rFonts w:eastAsia="MS Mincho"/>
                <w:b/>
                <w:bCs/>
              </w:rPr>
            </w:pPr>
            <w:r>
              <w:rPr>
                <w:rFonts w:eastAsia="MS Mincho"/>
                <w:b/>
                <w:bCs/>
              </w:rPr>
              <w:t>1.62</w:t>
            </w:r>
          </w:p>
          <w:p w14:paraId="68E78F66" w14:textId="79303413" w:rsidR="00E9376B" w:rsidRDefault="00E9376B" w:rsidP="00AF46B1">
            <w:pPr>
              <w:pStyle w:val="Tablewriting"/>
              <w:keepNext/>
              <w:jc w:val="center"/>
              <w:rPr>
                <w:rFonts w:eastAsia="MS Mincho"/>
                <w:b/>
                <w:bCs/>
              </w:rPr>
            </w:pPr>
            <w:r>
              <w:rPr>
                <w:rFonts w:eastAsia="MS Mincho"/>
                <w:b/>
                <w:bCs/>
              </w:rPr>
              <w:t>(1.24, 2.10)</w:t>
            </w:r>
          </w:p>
        </w:tc>
        <w:tc>
          <w:tcPr>
            <w:tcW w:w="802" w:type="pct"/>
            <w:vAlign w:val="center"/>
          </w:tcPr>
          <w:p w14:paraId="4F5ABDB1" w14:textId="77777777" w:rsidR="00445771" w:rsidRPr="00E12B9B" w:rsidRDefault="00E12B9B" w:rsidP="00AF46B1">
            <w:pPr>
              <w:pStyle w:val="Tablewriting"/>
              <w:keepNext/>
              <w:jc w:val="center"/>
              <w:rPr>
                <w:rFonts w:eastAsia="MS Mincho"/>
                <w:b/>
                <w:bCs/>
              </w:rPr>
            </w:pPr>
            <w:r w:rsidRPr="00E12B9B">
              <w:rPr>
                <w:rFonts w:eastAsia="MS Mincho"/>
                <w:b/>
                <w:bCs/>
              </w:rPr>
              <w:t>0.06</w:t>
            </w:r>
          </w:p>
          <w:p w14:paraId="16752A5A" w14:textId="700781C7" w:rsidR="00E12B9B" w:rsidRPr="00061F78" w:rsidRDefault="00E12B9B" w:rsidP="00AF46B1">
            <w:pPr>
              <w:pStyle w:val="Tablewriting"/>
              <w:keepNext/>
              <w:jc w:val="center"/>
              <w:rPr>
                <w:rFonts w:eastAsia="MS Mincho"/>
              </w:rPr>
            </w:pPr>
            <w:r w:rsidRPr="00E12B9B">
              <w:rPr>
                <w:rFonts w:eastAsia="MS Mincho"/>
                <w:b/>
                <w:bCs/>
              </w:rPr>
              <w:t>(0.04, 0.09)</w:t>
            </w:r>
          </w:p>
        </w:tc>
      </w:tr>
    </w:tbl>
    <w:p w14:paraId="20093A19" w14:textId="3719ABB7" w:rsidR="005F1AFB" w:rsidRDefault="005F1AFB" w:rsidP="006C1E0B">
      <w:pPr>
        <w:pStyle w:val="TableFooter"/>
        <w:keepNext/>
        <w:jc w:val="both"/>
      </w:pPr>
      <w:r>
        <w:t>Source: Hartmann-Boyce et al. (2018)</w:t>
      </w:r>
      <w:r w:rsidR="004261A1">
        <w:t>, Shiffman et al. (2020), Xiao et al. (2020)</w:t>
      </w:r>
    </w:p>
    <w:p w14:paraId="378D9A4F" w14:textId="26269D90" w:rsidR="00261067" w:rsidRDefault="00261067" w:rsidP="006C1E0B">
      <w:pPr>
        <w:pStyle w:val="TableFooter"/>
        <w:keepNext/>
        <w:jc w:val="both"/>
        <w:rPr>
          <w:i/>
        </w:rPr>
      </w:pPr>
      <w:r>
        <w:t xml:space="preserve">Abbreviations: CI = confidence interval; </w:t>
      </w:r>
      <w:r w:rsidR="0070588D">
        <w:t xml:space="preserve">NR = not reported; </w:t>
      </w:r>
      <w:r>
        <w:t>RCT = randomised controlled trial; RD = risk difference; RR = risk ratio</w:t>
      </w:r>
      <w:r w:rsidRPr="00061F78">
        <w:t xml:space="preserve"> </w:t>
      </w:r>
    </w:p>
    <w:p w14:paraId="2B41C381" w14:textId="23990F9D" w:rsidR="00261067" w:rsidRDefault="00261067" w:rsidP="006C1E0B">
      <w:pPr>
        <w:pStyle w:val="TableFooter"/>
        <w:keepNext/>
        <w:jc w:val="both"/>
      </w:pPr>
      <w:r w:rsidRPr="00D468CF">
        <w:t>Note</w:t>
      </w:r>
      <w:r>
        <w:t>s</w:t>
      </w:r>
      <w:r w:rsidRPr="00D468CF">
        <w:t>: Bold indicates statistically significant difference.</w:t>
      </w:r>
      <w:r w:rsidR="00E21170">
        <w:t xml:space="preserve"> </w:t>
      </w:r>
      <w:r w:rsidR="00E21170" w:rsidRPr="00E21170">
        <w:t xml:space="preserve">See </w:t>
      </w:r>
      <w:r w:rsidR="00E21170" w:rsidRPr="00BB5100">
        <w:t>Appendix</w:t>
      </w:r>
      <w:r w:rsidR="00E21170">
        <w:t xml:space="preserve"> </w:t>
      </w:r>
      <w:r w:rsidR="00E21170">
        <w:fldChar w:fldCharType="begin" w:fldLock="1"/>
      </w:r>
      <w:r w:rsidR="00E21170">
        <w:instrText xml:space="preserve"> REF _Ref60906549 \h </w:instrText>
      </w:r>
      <w:r w:rsidR="006C1E0B">
        <w:instrText xml:space="preserve"> \* MERGEFORMAT </w:instrText>
      </w:r>
      <w:r w:rsidR="00E21170">
        <w:fldChar w:fldCharType="separate"/>
      </w:r>
      <w:r w:rsidR="00EC5CC7">
        <w:t xml:space="preserve">Figure </w:t>
      </w:r>
      <w:r w:rsidR="00EC5CC7">
        <w:rPr>
          <w:noProof/>
        </w:rPr>
        <w:t>69</w:t>
      </w:r>
      <w:r w:rsidR="00E21170">
        <w:fldChar w:fldCharType="end"/>
      </w:r>
      <w:r w:rsidR="00E21170" w:rsidRPr="00E21170">
        <w:t xml:space="preserve"> </w:t>
      </w:r>
      <w:r w:rsidR="00B31B4F">
        <w:t xml:space="preserve">and </w:t>
      </w:r>
      <w:r w:rsidR="00B31B4F">
        <w:fldChar w:fldCharType="begin" w:fldLock="1"/>
      </w:r>
      <w:r w:rsidR="00B31B4F">
        <w:instrText xml:space="preserve"> REF _Ref60906758 \h </w:instrText>
      </w:r>
      <w:r w:rsidR="006C1E0B">
        <w:instrText xml:space="preserve"> \* MERGEFORMAT </w:instrText>
      </w:r>
      <w:r w:rsidR="00B31B4F">
        <w:fldChar w:fldCharType="separate"/>
      </w:r>
      <w:r w:rsidR="00EC5CC7">
        <w:t xml:space="preserve">Figure </w:t>
      </w:r>
      <w:r w:rsidR="00EC5CC7">
        <w:rPr>
          <w:noProof/>
        </w:rPr>
        <w:t>70</w:t>
      </w:r>
      <w:r w:rsidR="00B31B4F">
        <w:fldChar w:fldCharType="end"/>
      </w:r>
      <w:r w:rsidR="00B31B4F">
        <w:t xml:space="preserve"> </w:t>
      </w:r>
      <w:r w:rsidR="00E21170" w:rsidRPr="00E21170">
        <w:t xml:space="preserve">for forest plots of </w:t>
      </w:r>
      <w:r w:rsidR="00413A2B">
        <w:t>the updated re-analysis</w:t>
      </w:r>
      <w:r w:rsidR="00E21170" w:rsidRPr="00E21170">
        <w:t xml:space="preserve"> which included the results of individual studies.</w:t>
      </w:r>
    </w:p>
    <w:p w14:paraId="14F6076E" w14:textId="4D1B806E" w:rsidR="00261067" w:rsidRDefault="00BB1CB3" w:rsidP="006C1E0B">
      <w:pPr>
        <w:pStyle w:val="TableFooter"/>
        <w:keepNext/>
        <w:jc w:val="both"/>
      </w:pPr>
      <w:r w:rsidRPr="00BB5100">
        <w:t>1</w:t>
      </w:r>
      <w:r w:rsidR="00261067" w:rsidRPr="00BB5100">
        <w:t xml:space="preserve"> Calculated </w:t>
      </w:r>
      <w:r w:rsidR="00471A04" w:rsidRPr="00BB5100">
        <w:t xml:space="preserve">by Cochrane Review authors </w:t>
      </w:r>
      <w:r w:rsidR="00261067" w:rsidRPr="00BB5100">
        <w:t>using a fixed-effect model</w:t>
      </w:r>
      <w:r w:rsidR="00AB5FA3">
        <w:t>.</w:t>
      </w:r>
    </w:p>
    <w:p w14:paraId="459E6492" w14:textId="0ADDE425" w:rsidR="001E4A5F" w:rsidRDefault="001E4A5F" w:rsidP="006C1E0B">
      <w:pPr>
        <w:pStyle w:val="TableFooter"/>
        <w:keepNext/>
        <w:spacing w:after="120"/>
        <w:contextualSpacing w:val="0"/>
        <w:jc w:val="both"/>
      </w:pPr>
      <w:r w:rsidRPr="00BB5100">
        <w:t xml:space="preserve">2 </w:t>
      </w:r>
      <w:r w:rsidR="006244FB" w:rsidRPr="00BB5100">
        <w:t>Calculated during the review using a random-effect model</w:t>
      </w:r>
      <w:r w:rsidR="006244FB">
        <w:t>.</w:t>
      </w:r>
    </w:p>
    <w:p w14:paraId="2A69CA96" w14:textId="108F8001" w:rsidR="00261067" w:rsidRDefault="000A139F" w:rsidP="006C1E0B">
      <w:pPr>
        <w:spacing w:after="120"/>
        <w:jc w:val="both"/>
      </w:pPr>
      <w:r w:rsidRPr="00E55811">
        <w:t>Hartmann-Boyce et al. (2018)</w:t>
      </w:r>
      <w:r>
        <w:t xml:space="preserve"> conducted subgroup analyses to determine whether </w:t>
      </w:r>
      <w:r w:rsidR="00C37078">
        <w:t xml:space="preserve">NRT </w:t>
      </w:r>
      <w:r w:rsidR="00573F59">
        <w:t>patches</w:t>
      </w:r>
      <w:r w:rsidR="00C37078">
        <w:t xml:space="preserve"> or gum</w:t>
      </w:r>
      <w:r>
        <w:t xml:space="preserve"> had differential effects based on the </w:t>
      </w:r>
      <w:r w:rsidR="00C37078">
        <w:t xml:space="preserve">definition of abstinence and </w:t>
      </w:r>
      <w:r>
        <w:t xml:space="preserve">level of behavioural support. </w:t>
      </w:r>
      <w:r w:rsidR="00FC53CC">
        <w:t xml:space="preserve">For </w:t>
      </w:r>
      <w:r w:rsidR="005F7611">
        <w:t xml:space="preserve">NRT </w:t>
      </w:r>
      <w:r w:rsidR="00573F59">
        <w:t>patches</w:t>
      </w:r>
      <w:r w:rsidR="00FC53CC">
        <w:t>, t</w:t>
      </w:r>
      <w:r>
        <w:t>he authors stated that there was no evidence of a differential effect on smoking cessation between subgroups. The test for subgroup differences was not significant in both subgroup analyses (</w:t>
      </w:r>
      <w:r w:rsidR="0038411E">
        <w:t>P</w:t>
      </w:r>
      <w:r>
        <w:t>=0.</w:t>
      </w:r>
      <w:r w:rsidR="008767E6">
        <w:t>66</w:t>
      </w:r>
      <w:r>
        <w:t xml:space="preserve"> </w:t>
      </w:r>
      <w:r w:rsidR="008767E6">
        <w:t xml:space="preserve">for definition of abstinence and </w:t>
      </w:r>
      <w:r w:rsidR="0038411E">
        <w:t>P</w:t>
      </w:r>
      <w:r w:rsidR="008767E6">
        <w:t xml:space="preserve">=0.65 </w:t>
      </w:r>
      <w:r>
        <w:t xml:space="preserve">for behavioural support). </w:t>
      </w:r>
    </w:p>
    <w:p w14:paraId="3437C904" w14:textId="0E45EE7E" w:rsidR="008767E6" w:rsidRDefault="008767E6" w:rsidP="006C1E0B">
      <w:pPr>
        <w:spacing w:after="120"/>
        <w:jc w:val="both"/>
      </w:pPr>
      <w:r>
        <w:t xml:space="preserve">For NRT gum, </w:t>
      </w:r>
      <w:r w:rsidR="00BB1E80">
        <w:t>the test for subgroup differences was significant in both subgroup analyses (</w:t>
      </w:r>
      <w:r w:rsidR="00161709">
        <w:t>P</w:t>
      </w:r>
      <w:r w:rsidR="00BB1E80">
        <w:t xml:space="preserve">&lt;0.0001 for definition of abstinence and </w:t>
      </w:r>
      <w:r w:rsidR="00161709">
        <w:t>P</w:t>
      </w:r>
      <w:r w:rsidR="00BB1E80">
        <w:t xml:space="preserve">=0.03 for behavioural support). </w:t>
      </w:r>
      <w:r w:rsidR="0098203E">
        <w:t>For definition of abstinence, t</w:t>
      </w:r>
      <w:r w:rsidR="008F0B3A">
        <w:t>h</w:t>
      </w:r>
      <w:r w:rsidR="00562F3C">
        <w:t>e</w:t>
      </w:r>
      <w:r w:rsidR="007662F4">
        <w:t xml:space="preserve"> confidence interval of the</w:t>
      </w:r>
      <w:r w:rsidR="00562F3C">
        <w:t xml:space="preserve"> subgroup reporting sustained abstinence at six months</w:t>
      </w:r>
      <w:r w:rsidR="001B07DF">
        <w:t xml:space="preserve"> did not overlap</w:t>
      </w:r>
      <w:r w:rsidR="00CB7A3D">
        <w:t xml:space="preserve"> with</w:t>
      </w:r>
      <w:r w:rsidR="006E22FE">
        <w:t xml:space="preserve"> sustained abstinence at 12 months</w:t>
      </w:r>
      <w:r w:rsidR="00F64D55">
        <w:t>,</w:t>
      </w:r>
      <w:r w:rsidR="00F64D55" w:rsidRPr="00F64D55">
        <w:t xml:space="preserve"> point prevalence or unclear definition at 12 months, and point prevalence</w:t>
      </w:r>
      <w:r w:rsidR="00F64D55">
        <w:t xml:space="preserve"> or </w:t>
      </w:r>
      <w:r w:rsidR="00F64D55" w:rsidRPr="00F64D55">
        <w:t>unclear</w:t>
      </w:r>
      <w:r w:rsidR="00F64D55">
        <w:t xml:space="preserve"> definition</w:t>
      </w:r>
      <w:r w:rsidR="00F64D55" w:rsidRPr="00F64D55">
        <w:t xml:space="preserve"> at six months</w:t>
      </w:r>
      <w:r w:rsidR="00F64D55">
        <w:t xml:space="preserve"> subgroups</w:t>
      </w:r>
      <w:r w:rsidR="007F7E3C">
        <w:t xml:space="preserve">. </w:t>
      </w:r>
      <w:r w:rsidR="00B84DDD">
        <w:t xml:space="preserve">For level of behavioural support, </w:t>
      </w:r>
      <w:r w:rsidR="00FD5C21">
        <w:t xml:space="preserve">the authors stated there was no evidence of a significantly different effect between groups. It was observed that </w:t>
      </w:r>
      <w:r w:rsidR="0088166B">
        <w:t xml:space="preserve">all subgroups were statistically significant, in favour of NRT gum, </w:t>
      </w:r>
      <w:r w:rsidR="003C0620">
        <w:t xml:space="preserve">irrespective of </w:t>
      </w:r>
      <w:r w:rsidR="000943EA">
        <w:t xml:space="preserve">the </w:t>
      </w:r>
      <w:r w:rsidR="003C0620" w:rsidRPr="003C0620">
        <w:t>definition of abstinence and level of behavioural support</w:t>
      </w:r>
      <w:r w:rsidR="003C0620">
        <w:t>.</w:t>
      </w:r>
      <w:r w:rsidR="000A40B0">
        <w:t xml:space="preserve"> However, the test for subgroup differences was statistically significant</w:t>
      </w:r>
      <w:r w:rsidR="007F751E">
        <w:t xml:space="preserve"> and </w:t>
      </w:r>
      <w:r w:rsidR="00015CD6">
        <w:t xml:space="preserve">this </w:t>
      </w:r>
      <w:r w:rsidR="007F751E">
        <w:t>may be attributed to the high level of heterogeneity across studies (I</w:t>
      </w:r>
      <w:r w:rsidR="007F751E" w:rsidRPr="00015CD6">
        <w:rPr>
          <w:vertAlign w:val="superscript"/>
        </w:rPr>
        <w:t>2</w:t>
      </w:r>
      <w:r w:rsidR="007F751E">
        <w:t>=72.83%)</w:t>
      </w:r>
      <w:r w:rsidR="000A40B0">
        <w:t>.</w:t>
      </w:r>
    </w:p>
    <w:p w14:paraId="46DEC6D4" w14:textId="51A06AF8" w:rsidR="0000627D" w:rsidRPr="0073597F" w:rsidRDefault="00AB155B" w:rsidP="006C1E0B">
      <w:pPr>
        <w:spacing w:after="120"/>
        <w:jc w:val="both"/>
        <w:rPr>
          <w:u w:val="single"/>
        </w:rPr>
      </w:pPr>
      <w:r w:rsidRPr="0073597F">
        <w:rPr>
          <w:u w:val="single"/>
        </w:rPr>
        <w:t>Safety</w:t>
      </w:r>
    </w:p>
    <w:p w14:paraId="7091E679" w14:textId="450606A6" w:rsidR="00917069" w:rsidRDefault="00465285" w:rsidP="006C1E0B">
      <w:pPr>
        <w:spacing w:after="120"/>
        <w:jc w:val="both"/>
      </w:pPr>
      <w:r>
        <w:t>T</w:t>
      </w:r>
      <w:r w:rsidR="00917069">
        <w:t>he incidence of</w:t>
      </w:r>
      <w:r w:rsidR="000203C8">
        <w:t xml:space="preserve"> any</w:t>
      </w:r>
      <w:r w:rsidR="00917069">
        <w:t xml:space="preserve"> adverse events</w:t>
      </w:r>
      <w:r>
        <w:t xml:space="preserve"> was not </w:t>
      </w:r>
      <w:r w:rsidR="00DF086E">
        <w:t xml:space="preserve">synthesised quantitatively </w:t>
      </w:r>
      <w:r w:rsidR="003876BC">
        <w:t xml:space="preserve">by either of the Cochrane </w:t>
      </w:r>
      <w:r w:rsidR="00C852C6">
        <w:t>R</w:t>
      </w:r>
      <w:r w:rsidR="003876BC">
        <w:t>eviews due to the</w:t>
      </w:r>
      <w:r w:rsidR="00917069">
        <w:t xml:space="preserve"> extensive variation in reporting of the nature, </w:t>
      </w:r>
      <w:r w:rsidR="004C4EA7">
        <w:t>timing,</w:t>
      </w:r>
      <w:r w:rsidR="00917069">
        <w:t xml:space="preserve"> and duration of symptoms.</w:t>
      </w:r>
    </w:p>
    <w:p w14:paraId="347A63DB" w14:textId="54A369B5" w:rsidR="00C81B4E" w:rsidRDefault="00D776EA" w:rsidP="006C1E0B">
      <w:pPr>
        <w:spacing w:after="120"/>
        <w:jc w:val="both"/>
      </w:pPr>
      <w:r>
        <w:lastRenderedPageBreak/>
        <w:t xml:space="preserve">Hartmann-Boyce et al. (2018) </w:t>
      </w:r>
      <w:r w:rsidR="00621B0D">
        <w:t xml:space="preserve">stated that the </w:t>
      </w:r>
      <w:r w:rsidR="004A7254" w:rsidRPr="004A7254">
        <w:t>only</w:t>
      </w:r>
      <w:r w:rsidR="004A7254">
        <w:t xml:space="preserve"> </w:t>
      </w:r>
      <w:r w:rsidR="004A7254" w:rsidRPr="004A7254">
        <w:t>adverse event that appear</w:t>
      </w:r>
      <w:r w:rsidR="00E72B91">
        <w:t>ed</w:t>
      </w:r>
      <w:r w:rsidR="004A7254" w:rsidRPr="004A7254">
        <w:t xml:space="preserve"> to interfere with use of the patch </w:t>
      </w:r>
      <w:r w:rsidR="008446EA">
        <w:t>wa</w:t>
      </w:r>
      <w:r w:rsidR="004A7254" w:rsidRPr="004A7254">
        <w:t>s skin</w:t>
      </w:r>
      <w:r w:rsidR="004A7254">
        <w:t xml:space="preserve"> </w:t>
      </w:r>
      <w:r w:rsidR="004A7254" w:rsidRPr="004A7254">
        <w:t xml:space="preserve">sensitivity and local skin irritation; this may </w:t>
      </w:r>
      <w:r w:rsidR="008446EA">
        <w:t xml:space="preserve">have </w:t>
      </w:r>
      <w:r w:rsidR="004A7254" w:rsidRPr="004A7254">
        <w:t>a</w:t>
      </w:r>
      <w:r w:rsidR="004A7254">
        <w:t>ff</w:t>
      </w:r>
      <w:r w:rsidR="004A7254" w:rsidRPr="004A7254">
        <w:t>ect</w:t>
      </w:r>
      <w:r w:rsidR="008446EA">
        <w:t>ed</w:t>
      </w:r>
      <w:r w:rsidR="004A7254" w:rsidRPr="004A7254">
        <w:t xml:space="preserve"> up to 54% of</w:t>
      </w:r>
      <w:r w:rsidR="004A7254">
        <w:t xml:space="preserve"> </w:t>
      </w:r>
      <w:r w:rsidR="004A7254" w:rsidRPr="004A7254">
        <w:t xml:space="preserve">patch users, but it </w:t>
      </w:r>
      <w:r w:rsidR="008446EA">
        <w:t>wa</w:t>
      </w:r>
      <w:r w:rsidR="004A7254" w:rsidRPr="004A7254">
        <w:t>s usually mild and rarely led to withdrawal</w:t>
      </w:r>
      <w:r w:rsidR="004A7254">
        <w:t xml:space="preserve"> </w:t>
      </w:r>
      <w:r w:rsidR="004A7254" w:rsidRPr="004A7254">
        <w:t>of patch use.</w:t>
      </w:r>
      <w:r w:rsidR="00621B0D">
        <w:t xml:space="preserve"> The most common adverse events usually reported with nicotine gum include hiccoughs, gastrointestinal disturbances, jaw pain, and orodental problems.</w:t>
      </w:r>
    </w:p>
    <w:p w14:paraId="040B931D" w14:textId="40E5810D" w:rsidR="00AB155B" w:rsidRDefault="00AA0F3C" w:rsidP="00791C97">
      <w:pPr>
        <w:spacing w:after="120"/>
        <w:jc w:val="both"/>
      </w:pPr>
      <w:r>
        <w:t xml:space="preserve">The results of the meta-analysis of </w:t>
      </w:r>
      <w:r w:rsidR="00FE4BEB">
        <w:t xml:space="preserve">reports of palpitations, tachycardia or chest pains </w:t>
      </w:r>
      <w:r w:rsidR="007F751E">
        <w:t>based on the updated re-analysis of</w:t>
      </w:r>
      <w:r w:rsidR="00FE4BEB">
        <w:t xml:space="preserve"> </w:t>
      </w:r>
      <w:r w:rsidR="001131F1">
        <w:t xml:space="preserve">Hartmann-Boyce et al. (2018) are presented in </w:t>
      </w:r>
      <w:r w:rsidR="001131F1">
        <w:fldChar w:fldCharType="begin" w:fldLock="1"/>
      </w:r>
      <w:r w:rsidR="001131F1">
        <w:instrText xml:space="preserve"> REF _Ref54340348 \h </w:instrText>
      </w:r>
      <w:r w:rsidR="001131F1">
        <w:fldChar w:fldCharType="separate"/>
      </w:r>
      <w:r w:rsidR="00EC5CC7">
        <w:t xml:space="preserve">Figure </w:t>
      </w:r>
      <w:r w:rsidR="00EC5CC7">
        <w:rPr>
          <w:noProof/>
        </w:rPr>
        <w:t>6</w:t>
      </w:r>
      <w:r w:rsidR="001131F1">
        <w:fldChar w:fldCharType="end"/>
      </w:r>
      <w:r w:rsidR="00AA6694">
        <w:t xml:space="preserve">, noting that the studies included in this analysis comprised </w:t>
      </w:r>
      <w:r w:rsidR="000D0D86">
        <w:t>various forms of NRT</w:t>
      </w:r>
      <w:r w:rsidR="00626C68">
        <w:t>s</w:t>
      </w:r>
      <w:r w:rsidR="001131F1">
        <w:t>.</w:t>
      </w:r>
      <w:r w:rsidR="000D0D86">
        <w:t xml:space="preserve"> The odds ratio of chest pains or palpitations for any form of NRT relative to control was</w:t>
      </w:r>
      <w:r w:rsidR="00803F79">
        <w:t xml:space="preserve"> statistically significant</w:t>
      </w:r>
      <w:r w:rsidR="000D0D86">
        <w:t xml:space="preserve"> </w:t>
      </w:r>
      <w:r w:rsidR="0062498E">
        <w:t xml:space="preserve">(OR: </w:t>
      </w:r>
      <w:r w:rsidR="000D0D86">
        <w:t>1.8</w:t>
      </w:r>
      <w:r w:rsidR="00713BC2">
        <w:t>4</w:t>
      </w:r>
      <w:r w:rsidR="0062498E">
        <w:t xml:space="preserve">; </w:t>
      </w:r>
      <w:r w:rsidR="000D0D86">
        <w:t>95% CI: 1.3</w:t>
      </w:r>
      <w:r w:rsidR="00713BC2">
        <w:t>2</w:t>
      </w:r>
      <w:r w:rsidR="000D0D86">
        <w:t>, 2.5</w:t>
      </w:r>
      <w:r w:rsidR="00713BC2">
        <w:t>6</w:t>
      </w:r>
      <w:r w:rsidR="000D0D86">
        <w:t xml:space="preserve">). </w:t>
      </w:r>
      <w:r w:rsidR="008E5DB3">
        <w:t xml:space="preserve">The authors of the study </w:t>
      </w:r>
      <w:r w:rsidR="00F251F4">
        <w:t>highlighted that c</w:t>
      </w:r>
      <w:r w:rsidR="008E5DB3">
        <w:t>hest pains and heart palpitations were an</w:t>
      </w:r>
      <w:r w:rsidR="00F251F4">
        <w:t xml:space="preserve"> </w:t>
      </w:r>
      <w:r w:rsidR="008E5DB3">
        <w:t>extremely</w:t>
      </w:r>
      <w:r w:rsidR="00F251F4">
        <w:t xml:space="preserve"> </w:t>
      </w:r>
      <w:r w:rsidR="008E5DB3">
        <w:t>rare event, occurring at a rate of 2.5% in the NRT groups compared</w:t>
      </w:r>
      <w:r w:rsidR="00F251F4">
        <w:t xml:space="preserve"> </w:t>
      </w:r>
      <w:r w:rsidR="008E5DB3">
        <w:t xml:space="preserve">with 1.4% in the control groups in the 15 trials </w:t>
      </w:r>
      <w:r w:rsidR="00626C68">
        <w:t xml:space="preserve">in </w:t>
      </w:r>
      <w:r w:rsidR="008E5DB3">
        <w:t>which</w:t>
      </w:r>
      <w:r w:rsidR="00626C68">
        <w:t xml:space="preserve"> they</w:t>
      </w:r>
      <w:r w:rsidR="008E5DB3">
        <w:t xml:space="preserve"> were</w:t>
      </w:r>
      <w:r w:rsidR="00F251F4">
        <w:t xml:space="preserve"> </w:t>
      </w:r>
      <w:r w:rsidR="008E5DB3">
        <w:t>reporte</w:t>
      </w:r>
      <w:r w:rsidR="009D3F32">
        <w:t>d</w:t>
      </w:r>
      <w:r w:rsidR="008E5DB3">
        <w:t>.</w:t>
      </w:r>
    </w:p>
    <w:p w14:paraId="33CA6143" w14:textId="7F46086D" w:rsidR="00FE4BEB" w:rsidRDefault="004D1740" w:rsidP="00FE4BEB">
      <w:pPr>
        <w:keepNext/>
      </w:pPr>
      <w:r w:rsidRPr="004D1740">
        <w:t xml:space="preserve"> </w:t>
      </w:r>
      <w:r>
        <w:rPr>
          <w:noProof/>
        </w:rPr>
        <w:drawing>
          <wp:inline distT="0" distB="0" distL="0" distR="0" wp14:anchorId="4D465FC3" wp14:editId="1219B51E">
            <wp:extent cx="5731510" cy="2768600"/>
            <wp:effectExtent l="0" t="0" r="2540" b="0"/>
            <wp:docPr id="115" name="Picture 115" descr="P30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P3000#yIS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768600"/>
                    </a:xfrm>
                    <a:prstGeom prst="rect">
                      <a:avLst/>
                    </a:prstGeom>
                    <a:noFill/>
                    <a:ln>
                      <a:noFill/>
                    </a:ln>
                  </pic:spPr>
                </pic:pic>
              </a:graphicData>
            </a:graphic>
          </wp:inline>
        </w:drawing>
      </w:r>
    </w:p>
    <w:p w14:paraId="05E45E8B" w14:textId="71CB23D2" w:rsidR="00046A12" w:rsidRDefault="00FE4BEB" w:rsidP="00791C97">
      <w:pPr>
        <w:pStyle w:val="Caption"/>
        <w:spacing w:before="120" w:after="60"/>
        <w:jc w:val="both"/>
      </w:pPr>
      <w:bookmarkStart w:id="65" w:name="_Ref54340348"/>
      <w:r>
        <w:t xml:space="preserve">Figure </w:t>
      </w:r>
      <w:r w:rsidR="00BF3F75">
        <w:fldChar w:fldCharType="begin"/>
      </w:r>
      <w:r w:rsidR="00BF3F75">
        <w:instrText xml:space="preserve"> SEQ Figure \* ARABIC </w:instrText>
      </w:r>
      <w:r w:rsidR="00BF3F75">
        <w:fldChar w:fldCharType="separate"/>
      </w:r>
      <w:r w:rsidR="00EC5CC7">
        <w:rPr>
          <w:noProof/>
        </w:rPr>
        <w:t>6</w:t>
      </w:r>
      <w:r w:rsidR="00BF3F75">
        <w:rPr>
          <w:noProof/>
        </w:rPr>
        <w:fldChar w:fldCharType="end"/>
      </w:r>
      <w:bookmarkEnd w:id="65"/>
      <w:r>
        <w:t xml:space="preserve">: </w:t>
      </w:r>
      <w:r w:rsidRPr="00485CBD">
        <w:t xml:space="preserve">Results of </w:t>
      </w:r>
      <w:r w:rsidR="007D610D">
        <w:t>palpitations or chest pains</w:t>
      </w:r>
      <w:r w:rsidRPr="00485CBD">
        <w:t xml:space="preserve"> </w:t>
      </w:r>
      <w:r w:rsidR="00F12D7B">
        <w:t>based on updated re-analysis</w:t>
      </w:r>
      <w:r w:rsidRPr="00485CBD">
        <w:t>, NRT versus placebo</w:t>
      </w:r>
    </w:p>
    <w:p w14:paraId="14519C92" w14:textId="1148F4FD" w:rsidR="0021385C" w:rsidRDefault="0021385C" w:rsidP="00791C97">
      <w:pPr>
        <w:pStyle w:val="FigureFooter"/>
        <w:jc w:val="both"/>
      </w:pPr>
      <w:r>
        <w:t>Source: Hartmann-Boyce et al. (2018)</w:t>
      </w:r>
      <w:r w:rsidR="004D6CEE">
        <w:t>, Xiao et al. (2020)</w:t>
      </w:r>
    </w:p>
    <w:p w14:paraId="19F037FA" w14:textId="5FB61B95" w:rsidR="0021385C" w:rsidRDefault="0021385C" w:rsidP="00791C97">
      <w:pPr>
        <w:pStyle w:val="FigureFooter"/>
        <w:spacing w:before="0" w:after="0"/>
        <w:jc w:val="both"/>
      </w:pPr>
      <w:r>
        <w:t>Abbreviations: CI = confidence interval</w:t>
      </w:r>
    </w:p>
    <w:p w14:paraId="684D1D7C" w14:textId="52DF85A1" w:rsidR="004D6CEE" w:rsidRDefault="004D6CEE" w:rsidP="00791C97">
      <w:pPr>
        <w:pStyle w:val="TableFooter"/>
        <w:keepNext/>
        <w:spacing w:after="120"/>
        <w:contextualSpacing w:val="0"/>
        <w:jc w:val="both"/>
      </w:pPr>
      <w:r w:rsidRPr="00BB5100">
        <w:t>Note: Calculated during the review using a random-effect model</w:t>
      </w:r>
      <w:r>
        <w:t>.</w:t>
      </w:r>
      <w:r w:rsidR="002B3173">
        <w:t xml:space="preserve"> </w:t>
      </w:r>
      <w:r w:rsidR="00904965">
        <w:t xml:space="preserve">Hartmann-Boyce et al. (2018) calculated odds ratio using a fixed-effect </w:t>
      </w:r>
      <w:r w:rsidR="00777459">
        <w:t>model (</w:t>
      </w:r>
      <w:r w:rsidR="00904965">
        <w:t>OR: 1.88</w:t>
      </w:r>
      <w:r w:rsidR="00CC7CA1">
        <w:t>;</w:t>
      </w:r>
      <w:r w:rsidR="00904965">
        <w:t xml:space="preserve"> 95% CI: 1.37, 2.57</w:t>
      </w:r>
      <w:r w:rsidR="00CC7CA1">
        <w:t>).</w:t>
      </w:r>
    </w:p>
    <w:p w14:paraId="6123CB12" w14:textId="4C9A97DA" w:rsidR="00D8491C" w:rsidRPr="00D8491C" w:rsidRDefault="009A6504" w:rsidP="00791C97">
      <w:pPr>
        <w:spacing w:after="120"/>
        <w:jc w:val="both"/>
      </w:pPr>
      <w:r>
        <w:t xml:space="preserve">In a recently conducted study (EAGLES extension) </w:t>
      </w:r>
      <w:r w:rsidRPr="008E46BB">
        <w:t>compar</w:t>
      </w:r>
      <w:r>
        <w:t>ing</w:t>
      </w:r>
      <w:r w:rsidRPr="008E46BB">
        <w:t xml:space="preserve"> the relative cardiovascular safety risk of smoking cessation treatments</w:t>
      </w:r>
      <w:r>
        <w:t xml:space="preserve"> using a placebo comparator, n</w:t>
      </w:r>
      <w:r w:rsidRPr="004B7F16">
        <w:t>o significant treatment differences were observed in time to cardiovascular events, blood pressure, or heart rate</w:t>
      </w:r>
      <w:r>
        <w:t xml:space="preserve"> between </w:t>
      </w:r>
      <w:r w:rsidR="00EF1E16">
        <w:t xml:space="preserve">NRT </w:t>
      </w:r>
      <w:r w:rsidR="00573F59">
        <w:t>patches</w:t>
      </w:r>
      <w:r>
        <w:t xml:space="preserve"> and placebo (Benowitz et al. 2018)</w:t>
      </w:r>
      <w:r w:rsidRPr="004B7F16">
        <w:t>.</w:t>
      </w:r>
    </w:p>
    <w:p w14:paraId="525F342E" w14:textId="42AA9D79" w:rsidR="00AF46B1" w:rsidRDefault="008E38BA" w:rsidP="00791C97">
      <w:pPr>
        <w:spacing w:after="120"/>
        <w:jc w:val="both"/>
        <w:rPr>
          <w:b/>
          <w:bCs/>
        </w:rPr>
      </w:pPr>
      <w:r>
        <w:rPr>
          <w:b/>
          <w:bCs/>
        </w:rPr>
        <w:t xml:space="preserve">NRT </w:t>
      </w:r>
      <w:r w:rsidR="00C5551B">
        <w:rPr>
          <w:b/>
          <w:bCs/>
        </w:rPr>
        <w:t xml:space="preserve">patch </w:t>
      </w:r>
      <w:r>
        <w:rPr>
          <w:b/>
          <w:bCs/>
        </w:rPr>
        <w:t xml:space="preserve">versus </w:t>
      </w:r>
      <w:r w:rsidR="007D0B62" w:rsidRPr="001A7D76">
        <w:rPr>
          <w:b/>
          <w:bCs/>
        </w:rPr>
        <w:t>varenicline</w:t>
      </w:r>
    </w:p>
    <w:p w14:paraId="65F90244" w14:textId="0DC15157" w:rsidR="00AF46B1" w:rsidRPr="00AF46B1" w:rsidRDefault="00AF46B1" w:rsidP="00791C97">
      <w:pPr>
        <w:spacing w:after="120"/>
        <w:jc w:val="both"/>
      </w:pPr>
      <w:r w:rsidRPr="00AF46B1">
        <w:t xml:space="preserve">A summary of the citation details for the studies comparing </w:t>
      </w:r>
      <w:r w:rsidR="00AE4C6E">
        <w:t xml:space="preserve">NRT </w:t>
      </w:r>
      <w:r w:rsidR="00573F59">
        <w:t>patches</w:t>
      </w:r>
      <w:r w:rsidR="00AE4C6E">
        <w:t xml:space="preserve"> with </w:t>
      </w:r>
      <w:r w:rsidRPr="00AF46B1">
        <w:t xml:space="preserve">varenicline is presented in </w:t>
      </w:r>
      <w:r w:rsidR="004E1A9D">
        <w:fldChar w:fldCharType="begin" w:fldLock="1"/>
      </w:r>
      <w:r w:rsidR="004E1A9D">
        <w:instrText xml:space="preserve"> REF _Ref54355586 \h </w:instrText>
      </w:r>
      <w:r w:rsidR="004E1A9D">
        <w:fldChar w:fldCharType="separate"/>
      </w:r>
      <w:r w:rsidR="00EC5CC7">
        <w:t xml:space="preserve">Table </w:t>
      </w:r>
      <w:r w:rsidR="00EC5CC7">
        <w:rPr>
          <w:noProof/>
        </w:rPr>
        <w:t>25</w:t>
      </w:r>
      <w:r w:rsidR="004E1A9D">
        <w:fldChar w:fldCharType="end"/>
      </w:r>
      <w:r w:rsidRPr="00AF46B1">
        <w:t xml:space="preserve">. </w:t>
      </w:r>
      <w:r w:rsidR="004E1A9D">
        <w:t>Two</w:t>
      </w:r>
      <w:r w:rsidRPr="00AF46B1">
        <w:t xml:space="preserve"> studies were previously considered by the PBAC (</w:t>
      </w:r>
      <w:r w:rsidR="004E1A9D">
        <w:t>Aubin et al. 2008</w:t>
      </w:r>
      <w:r w:rsidRPr="00AF46B1">
        <w:t xml:space="preserve"> and Anthenelli et al. 2016). A recently conducted Cochrane </w:t>
      </w:r>
      <w:r w:rsidR="00DC6241">
        <w:t>R</w:t>
      </w:r>
      <w:r w:rsidRPr="00AF46B1">
        <w:t xml:space="preserve">eview by Cahill et al. (2016) was identified in the systematic literature review that compared </w:t>
      </w:r>
      <w:r w:rsidR="004E1A9D">
        <w:t xml:space="preserve">NRT </w:t>
      </w:r>
      <w:r w:rsidR="00573F59">
        <w:t>patches</w:t>
      </w:r>
      <w:r w:rsidR="004E1A9D">
        <w:t xml:space="preserve"> with </w:t>
      </w:r>
      <w:r w:rsidRPr="00AF46B1">
        <w:t>varenicline and was included in this report.</w:t>
      </w:r>
    </w:p>
    <w:p w14:paraId="233E4ADF" w14:textId="2F2FA941" w:rsidR="00C4055F" w:rsidRPr="00AF46B1" w:rsidRDefault="00FB7F99" w:rsidP="00791C97">
      <w:pPr>
        <w:spacing w:after="120"/>
        <w:jc w:val="both"/>
      </w:pPr>
      <w:r>
        <w:lastRenderedPageBreak/>
        <w:t>Four</w:t>
      </w:r>
      <w:r w:rsidR="00C4055F" w:rsidRPr="00C4055F">
        <w:t xml:space="preserve"> new studies were identified in the supplemental literature search that informed this comparison and were included in the updated re-analysis of the Cochrane Review (Lerman et al. 2015, </w:t>
      </w:r>
      <w:r w:rsidR="0040530A">
        <w:t xml:space="preserve">Tulloch et al. 2016, Rohsenow et al. 2017, </w:t>
      </w:r>
      <w:r w:rsidR="00777459" w:rsidRPr="00C4055F">
        <w:t>and Benowitz</w:t>
      </w:r>
      <w:r w:rsidR="00C4055F" w:rsidRPr="00C4055F">
        <w:t xml:space="preserve"> et al. 2018)</w:t>
      </w:r>
      <w:r w:rsidR="004C4EA7" w:rsidRPr="00C4055F">
        <w:t xml:space="preserve">. </w:t>
      </w:r>
    </w:p>
    <w:p w14:paraId="71D6F960" w14:textId="05A10B7A" w:rsidR="00AE4C6E" w:rsidRDefault="00AE4C6E" w:rsidP="00D150DE">
      <w:pPr>
        <w:pStyle w:val="Caption"/>
        <w:keepNext/>
        <w:spacing w:before="0" w:after="120"/>
        <w:jc w:val="both"/>
      </w:pPr>
      <w:bookmarkStart w:id="66" w:name="_Ref54355586"/>
      <w:r>
        <w:t xml:space="preserve">Table </w:t>
      </w:r>
      <w:r w:rsidR="00BF3F75">
        <w:fldChar w:fldCharType="begin"/>
      </w:r>
      <w:r w:rsidR="00BF3F75">
        <w:instrText xml:space="preserve"> SEQ Table \* ARABIC </w:instrText>
      </w:r>
      <w:r w:rsidR="00BF3F75">
        <w:fldChar w:fldCharType="separate"/>
      </w:r>
      <w:r w:rsidR="00EC5CC7">
        <w:rPr>
          <w:noProof/>
        </w:rPr>
        <w:t>25</w:t>
      </w:r>
      <w:r w:rsidR="00BF3F75">
        <w:rPr>
          <w:noProof/>
        </w:rPr>
        <w:fldChar w:fldCharType="end"/>
      </w:r>
      <w:bookmarkEnd w:id="66"/>
      <w:r>
        <w:t xml:space="preserve">: </w:t>
      </w:r>
      <w:r w:rsidRPr="007B678F">
        <w:t xml:space="preserve">List of studies comparing </w:t>
      </w:r>
      <w:r>
        <w:t xml:space="preserve">NRT patch with </w:t>
      </w:r>
      <w:r w:rsidRPr="007B678F">
        <w:t>varenicline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39468B" w:rsidRPr="00061F78" w14:paraId="4982527E" w14:textId="77777777" w:rsidTr="00C5551B">
        <w:trPr>
          <w:cantSplit/>
          <w:trHeight w:val="287"/>
          <w:tblHeader/>
        </w:trPr>
        <w:tc>
          <w:tcPr>
            <w:tcW w:w="557" w:type="pct"/>
            <w:shd w:val="clear" w:color="auto" w:fill="BFBFBF" w:themeFill="background1" w:themeFillShade="BF"/>
            <w:tcMar>
              <w:left w:w="28" w:type="dxa"/>
              <w:right w:w="28" w:type="dxa"/>
            </w:tcMar>
          </w:tcPr>
          <w:p w14:paraId="3230F9CD" w14:textId="63295EB9" w:rsidR="00AF46B1" w:rsidRPr="00061F78" w:rsidRDefault="00126B7B" w:rsidP="00C5551B">
            <w:pPr>
              <w:pStyle w:val="Tableheading"/>
              <w:keepNext/>
              <w:rPr>
                <w:rFonts w:eastAsia="MS Mincho"/>
              </w:rPr>
            </w:pPr>
            <w:r>
              <w:rPr>
                <w:rFonts w:eastAsia="MS Mincho"/>
              </w:rPr>
              <w:t>Study</w:t>
            </w:r>
          </w:p>
        </w:tc>
        <w:tc>
          <w:tcPr>
            <w:tcW w:w="4443" w:type="pct"/>
            <w:shd w:val="clear" w:color="auto" w:fill="BFBFBF" w:themeFill="background1" w:themeFillShade="BF"/>
          </w:tcPr>
          <w:p w14:paraId="1BEC0B83" w14:textId="77777777" w:rsidR="00AF46B1" w:rsidRDefault="00AF46B1" w:rsidP="00C5551B">
            <w:pPr>
              <w:pStyle w:val="Tableheading"/>
              <w:keepNext/>
              <w:jc w:val="center"/>
              <w:rPr>
                <w:rFonts w:eastAsia="MS Mincho"/>
              </w:rPr>
            </w:pPr>
            <w:r>
              <w:rPr>
                <w:rFonts w:eastAsia="MS Mincho"/>
              </w:rPr>
              <w:t>Citation</w:t>
            </w:r>
          </w:p>
        </w:tc>
      </w:tr>
      <w:tr w:rsidR="0039468B" w:rsidRPr="00061F78" w14:paraId="2AFC1CD4" w14:textId="77777777" w:rsidTr="00015CD6">
        <w:trPr>
          <w:cantSplit/>
          <w:trHeight w:val="109"/>
        </w:trPr>
        <w:tc>
          <w:tcPr>
            <w:tcW w:w="557" w:type="pct"/>
            <w:shd w:val="clear" w:color="auto" w:fill="D9D9D9" w:themeFill="background1" w:themeFillShade="D9"/>
            <w:tcMar>
              <w:left w:w="28" w:type="dxa"/>
              <w:right w:w="28" w:type="dxa"/>
            </w:tcMar>
          </w:tcPr>
          <w:p w14:paraId="10772A69" w14:textId="77777777" w:rsidR="00AF46B1" w:rsidRDefault="00AE4C6E" w:rsidP="00C5551B">
            <w:pPr>
              <w:pStyle w:val="Tablewriting"/>
              <w:keepNext/>
              <w:rPr>
                <w:rFonts w:eastAsia="MS Mincho"/>
              </w:rPr>
            </w:pPr>
            <w:r>
              <w:rPr>
                <w:rFonts w:eastAsia="MS Mincho"/>
              </w:rPr>
              <w:t>Aubin</w:t>
            </w:r>
          </w:p>
          <w:p w14:paraId="47216B84" w14:textId="473A11FD" w:rsidR="00AE4C6E" w:rsidRDefault="00AE4C6E" w:rsidP="00C5551B">
            <w:pPr>
              <w:pStyle w:val="Tablewriting"/>
              <w:keepNext/>
              <w:rPr>
                <w:rFonts w:eastAsia="MS Mincho"/>
              </w:rPr>
            </w:pPr>
            <w:r>
              <w:rPr>
                <w:rFonts w:eastAsia="MS Mincho"/>
              </w:rPr>
              <w:t>(2008)</w:t>
            </w:r>
            <w:hyperlink w:anchor="_ENREF_31" w:tooltip="Aubin, 2008 #606" w:history="1">
              <w:r w:rsidR="0039468B">
                <w:rPr>
                  <w:rFonts w:eastAsia="MS Mincho"/>
                </w:rPr>
                <w:fldChar w:fldCharType="begin">
                  <w:fldData xml:space="preserve">PEVuZE5vdGU+PENpdGU+PEF1dGhvcj5BdWJpbjwvQXV0aG9yPjxZZWFyPjIwMDg8L1llYXI+PFJl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</w:fldData>
                </w:fldChar>
              </w:r>
              <w:r w:rsidR="0039468B">
                <w:rPr>
                  <w:rFonts w:eastAsia="MS Mincho"/>
                </w:rPr>
                <w:instrText xml:space="preserve"> ADDIN EN.CITE </w:instrText>
              </w:r>
              <w:r w:rsidR="0039468B">
                <w:rPr>
                  <w:rFonts w:eastAsia="MS Mincho"/>
                </w:rPr>
                <w:fldChar w:fldCharType="begin">
                  <w:fldData xml:space="preserve">PEVuZE5vdGU+PENpdGU+PEF1dGhvcj5BdWJpbjwvQXV0aG9yPjxZZWFyPjIwMDg8L1llYXI+PFJl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31</w:t>
              </w:r>
              <w:r w:rsidR="0039468B">
                <w:rPr>
                  <w:rFonts w:eastAsia="MS Mincho"/>
                </w:rPr>
                <w:fldChar w:fldCharType="end"/>
              </w:r>
            </w:hyperlink>
          </w:p>
        </w:tc>
        <w:tc>
          <w:tcPr>
            <w:tcW w:w="4443" w:type="pct"/>
            <w:shd w:val="clear" w:color="auto" w:fill="D9D9D9" w:themeFill="background1" w:themeFillShade="D9"/>
          </w:tcPr>
          <w:p w14:paraId="682693AC" w14:textId="15BAD5A9" w:rsidR="00AF46B1" w:rsidRPr="008E38BA" w:rsidRDefault="00AE4C6E" w:rsidP="00C5551B">
            <w:pPr>
              <w:pStyle w:val="Tablewriting"/>
              <w:keepNext/>
              <w:rPr>
                <w:rFonts w:eastAsia="MS Mincho"/>
              </w:rPr>
            </w:pPr>
            <w:r w:rsidRPr="00AE4C6E">
              <w:rPr>
                <w:rFonts w:eastAsia="MS Mincho"/>
              </w:rPr>
              <w:t xml:space="preserve">Aubin HJ, Bobak A, Britton JR, Oncken C, Billing CB Jr, Gong J, Williams KE, Reeves KR. Varenicline versus transdermal nicotine patch for smoking cessation: results from a randomised open-label trial. Thorax. 2008 Aug;63(8):717-24. </w:t>
            </w:r>
          </w:p>
        </w:tc>
      </w:tr>
      <w:tr w:rsidR="0039468B" w:rsidRPr="00061F78" w14:paraId="693A215C" w14:textId="77777777" w:rsidTr="00015CD6">
        <w:trPr>
          <w:cantSplit/>
          <w:trHeight w:val="109"/>
        </w:trPr>
        <w:tc>
          <w:tcPr>
            <w:tcW w:w="557" w:type="pct"/>
            <w:shd w:val="clear" w:color="auto" w:fill="D9D9D9" w:themeFill="background1" w:themeFillShade="D9"/>
            <w:tcMar>
              <w:left w:w="28" w:type="dxa"/>
              <w:right w:w="28" w:type="dxa"/>
            </w:tcMar>
          </w:tcPr>
          <w:p w14:paraId="5DFC4AA9" w14:textId="19D0F58C" w:rsidR="00AE4C6E" w:rsidRDefault="00AE4C6E" w:rsidP="00C5551B">
            <w:pPr>
              <w:pStyle w:val="Tablewriting"/>
              <w:keepNext/>
              <w:rPr>
                <w:rFonts w:eastAsia="MS Mincho"/>
              </w:rPr>
            </w:pPr>
            <w:r>
              <w:rPr>
                <w:rFonts w:eastAsia="MS Mincho"/>
              </w:rPr>
              <w:t>Anthenelli (EAGLES, 2016)</w:t>
            </w:r>
            <w:hyperlink w:anchor="_ENREF_18" w:tooltip="Anthenelli, 2016 #601" w:history="1">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PEVuZE5vdGU+PENpdGU+PEF1dGhvcj5BbnRoZW5lbGxpPC9BdXRob3I+PFllYXI+MjAxNjwvWWVh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18</w:t>
              </w:r>
              <w:r w:rsidR="0039468B">
                <w:rPr>
                  <w:rFonts w:eastAsia="MS Mincho"/>
                </w:rPr>
                <w:fldChar w:fldCharType="end"/>
              </w:r>
            </w:hyperlink>
          </w:p>
        </w:tc>
        <w:tc>
          <w:tcPr>
            <w:tcW w:w="4443" w:type="pct"/>
            <w:shd w:val="clear" w:color="auto" w:fill="D9D9D9" w:themeFill="background1" w:themeFillShade="D9"/>
          </w:tcPr>
          <w:p w14:paraId="32C9226B" w14:textId="1304EAF9" w:rsidR="00AE4C6E" w:rsidRPr="002764E0" w:rsidRDefault="00AE4C6E" w:rsidP="00C5551B">
            <w:pPr>
              <w:pStyle w:val="Tablewriting"/>
              <w:keepNext/>
              <w:rPr>
                <w:rFonts w:eastAsia="MS Mincho"/>
              </w:rPr>
            </w:pPr>
            <w:r w:rsidRPr="00B90A70">
              <w:rPr>
                <w:rFonts w:eastAsia="MS Mincho"/>
              </w:rPr>
              <w:t>Anthenelli RM, Benowitz NL, West R, St Aubin L, McRae T, Lawrence D, Ascher J, Russ C, Krishen A, Evins AE. Neuropsychiatric safety and efficacy of varenicline, bupropion, and nicotine patch in smokers with and without psychiatric disorders (EAGLES): a double-blind, randomised, placebo-controlled clinical trial. Lancet. 2016 Jun 18;387(10037):2507-20.</w:t>
            </w:r>
          </w:p>
        </w:tc>
      </w:tr>
      <w:tr w:rsidR="0039468B" w:rsidRPr="00061F78" w14:paraId="41F24125" w14:textId="77777777" w:rsidTr="00AF46B1">
        <w:trPr>
          <w:cantSplit/>
          <w:trHeight w:val="164"/>
        </w:trPr>
        <w:tc>
          <w:tcPr>
            <w:tcW w:w="557" w:type="pct"/>
            <w:tcMar>
              <w:left w:w="28" w:type="dxa"/>
              <w:right w:w="28" w:type="dxa"/>
            </w:tcMar>
          </w:tcPr>
          <w:p w14:paraId="761EB2FD" w14:textId="0068BF26" w:rsidR="00AE4C6E" w:rsidRPr="00D07303" w:rsidRDefault="00AE4C6E" w:rsidP="00C5551B">
            <w:pPr>
              <w:pStyle w:val="Tablewriting"/>
              <w:keepNext/>
              <w:rPr>
                <w:rFonts w:eastAsia="MS Mincho"/>
                <w:vertAlign w:val="superscript"/>
              </w:rPr>
            </w:pPr>
            <w:r>
              <w:rPr>
                <w:rFonts w:eastAsia="MS Mincho"/>
              </w:rPr>
              <w:t>Cahill (2016)</w:t>
            </w:r>
            <w:hyperlink w:anchor="_ENREF_19" w:tooltip="Cahill, 2016 #20" w:history="1">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 </w:instrText>
              </w:r>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EN.CITE.DATA </w:instrText>
              </w:r>
              <w:r w:rsidR="0039468B">
                <w:rPr>
                  <w:rFonts w:eastAsia="MS Mincho"/>
                  <w:vertAlign w:val="superscript"/>
                </w:rPr>
              </w:r>
              <w:r w:rsidR="0039468B">
                <w:rPr>
                  <w:rFonts w:eastAsia="MS Mincho"/>
                  <w:vertAlign w:val="superscript"/>
                </w:rPr>
                <w:fldChar w:fldCharType="end"/>
              </w:r>
              <w:r w:rsidR="0039468B">
                <w:rPr>
                  <w:rFonts w:eastAsia="MS Mincho"/>
                  <w:vertAlign w:val="superscript"/>
                </w:rPr>
              </w:r>
              <w:r w:rsidR="0039468B">
                <w:rPr>
                  <w:rFonts w:eastAsia="MS Mincho"/>
                  <w:vertAlign w:val="superscript"/>
                </w:rPr>
                <w:fldChar w:fldCharType="separate"/>
              </w:r>
              <w:r w:rsidR="0039468B">
                <w:rPr>
                  <w:rFonts w:eastAsia="MS Mincho"/>
                  <w:noProof/>
                  <w:vertAlign w:val="superscript"/>
                </w:rPr>
                <w:t>19</w:t>
              </w:r>
              <w:r w:rsidR="0039468B">
                <w:rPr>
                  <w:rFonts w:eastAsia="MS Mincho"/>
                  <w:vertAlign w:val="superscript"/>
                </w:rPr>
                <w:fldChar w:fldCharType="end"/>
              </w:r>
            </w:hyperlink>
          </w:p>
        </w:tc>
        <w:tc>
          <w:tcPr>
            <w:tcW w:w="4443" w:type="pct"/>
          </w:tcPr>
          <w:p w14:paraId="12C59BAF" w14:textId="0099A58D" w:rsidR="00AE4C6E" w:rsidRDefault="004C4EA7" w:rsidP="00C5551B">
            <w:pPr>
              <w:pStyle w:val="Tablewriting"/>
              <w:keepNext/>
              <w:rPr>
                <w:rFonts w:eastAsia="MS Mincho"/>
              </w:rPr>
            </w:pPr>
            <w:r w:rsidRPr="00C01E20">
              <w:rPr>
                <w:rFonts w:eastAsia="MS Mincho"/>
              </w:rPr>
              <w:t>Cahill K</w:t>
            </w:r>
            <w:r w:rsidR="00AE4C6E" w:rsidRPr="00C01E20">
              <w:rPr>
                <w:rFonts w:eastAsia="MS Mincho"/>
              </w:rPr>
              <w:t>, Lindson‐</w:t>
            </w:r>
            <w:r w:rsidRPr="00C01E20">
              <w:rPr>
                <w:rFonts w:eastAsia="MS Mincho"/>
              </w:rPr>
              <w:t>Hawley N</w:t>
            </w:r>
            <w:r w:rsidR="00AE4C6E" w:rsidRPr="00C01E20">
              <w:rPr>
                <w:rFonts w:eastAsia="MS Mincho"/>
              </w:rPr>
              <w:t xml:space="preserve">, </w:t>
            </w:r>
            <w:r w:rsidRPr="00C01E20">
              <w:rPr>
                <w:rFonts w:eastAsia="MS Mincho"/>
              </w:rPr>
              <w:t>Thomas KH</w:t>
            </w:r>
            <w:r w:rsidR="00AE4C6E" w:rsidRPr="00C01E20">
              <w:rPr>
                <w:rFonts w:eastAsia="MS Mincho"/>
              </w:rPr>
              <w:t xml:space="preserve">, </w:t>
            </w:r>
            <w:r w:rsidRPr="00C01E20">
              <w:rPr>
                <w:rFonts w:eastAsia="MS Mincho"/>
              </w:rPr>
              <w:t>Fanshawe TR</w:t>
            </w:r>
            <w:r w:rsidR="00AE4C6E" w:rsidRPr="00C01E20">
              <w:rPr>
                <w:rFonts w:eastAsia="MS Mincho"/>
              </w:rPr>
              <w:t xml:space="preserve">, </w:t>
            </w:r>
            <w:r w:rsidRPr="00C01E20">
              <w:rPr>
                <w:rFonts w:eastAsia="MS Mincho"/>
              </w:rPr>
              <w:t>Lancaster T.</w:t>
            </w:r>
            <w:r w:rsidR="00AE4C6E" w:rsidRPr="00C01E20">
              <w:rPr>
                <w:rFonts w:eastAsia="MS Mincho"/>
              </w:rPr>
              <w:t xml:space="preserve"> Nicotine receptor partial agonists for smoking cessation. Cochrane Database of Systematic Reviews 2016, Issue 5. Art. No.: CD006103.</w:t>
            </w:r>
          </w:p>
        </w:tc>
      </w:tr>
      <w:tr w:rsidR="0039468B" w:rsidRPr="00061F78" w14:paraId="3BD37C02" w14:textId="77777777" w:rsidTr="00AF46B1">
        <w:trPr>
          <w:cantSplit/>
          <w:trHeight w:val="164"/>
        </w:trPr>
        <w:tc>
          <w:tcPr>
            <w:tcW w:w="557" w:type="pct"/>
            <w:tcMar>
              <w:left w:w="28" w:type="dxa"/>
              <w:right w:w="28" w:type="dxa"/>
            </w:tcMar>
          </w:tcPr>
          <w:p w14:paraId="36577075" w14:textId="4D79CCA0" w:rsidR="003D3295" w:rsidRDefault="003D3295" w:rsidP="003D3295">
            <w:pPr>
              <w:pStyle w:val="Tablewriting"/>
              <w:keepNext/>
              <w:rPr>
                <w:rFonts w:eastAsia="MS Mincho"/>
              </w:rPr>
            </w:pPr>
            <w:r>
              <w:rPr>
                <w:rFonts w:eastAsia="MS Mincho"/>
              </w:rPr>
              <w:t>Lerman (2015)</w:t>
            </w:r>
            <w:hyperlink w:anchor="_ENREF_20" w:tooltip="Lerman, 2015 #74" w:history="1">
              <w:r w:rsidR="0039468B">
                <w:rPr>
                  <w:rFonts w:eastAsia="MS Mincho"/>
                </w:rPr>
                <w:fldChar w:fldCharType="begin">
                  <w:fldData xml:space="preserve">PEVuZE5vdGU+PENpdGU+PEF1dGhvcj5MZXJtYW48L0F1dGhvcj48WWVhcj4yMDE1PC9ZZWFyPjxS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PEVuZE5vdGU+PENpdGU+PEF1dGhvcj5MZXJtYW48L0F1dGhvcj48WWVhcj4yMDE1PC9ZZWFyPjxS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20</w:t>
              </w:r>
              <w:r w:rsidR="0039468B">
                <w:rPr>
                  <w:rFonts w:eastAsia="MS Mincho"/>
                </w:rPr>
                <w:fldChar w:fldCharType="end"/>
              </w:r>
            </w:hyperlink>
          </w:p>
        </w:tc>
        <w:tc>
          <w:tcPr>
            <w:tcW w:w="4443" w:type="pct"/>
          </w:tcPr>
          <w:p w14:paraId="5381F652" w14:textId="0ACAE008" w:rsidR="003D3295" w:rsidRPr="00C01E20" w:rsidRDefault="003D3295" w:rsidP="003D3295">
            <w:pPr>
              <w:pStyle w:val="Tablewriting"/>
              <w:keepNext/>
              <w:rPr>
                <w:rFonts w:eastAsia="MS Mincho"/>
              </w:rPr>
            </w:pPr>
            <w:r w:rsidRPr="00AB23F3">
              <w:rPr>
                <w:rFonts w:eastAsia="MS Mincho"/>
              </w:rPr>
              <w:t xml:space="preserve">Lerman C, Schnoll RA, Hawk LW Jr, Cinciripini P, George TP, Wileyto EP, Swan GE, Benowitz NL, Heitjan DF, Tyndale RF; PGRN-PNAT Research Group. Use of the nicotine metabolite ratio as a genetically informed biomarker of response to nicotine patch or varenicline for smoking cessation: a randomised, double-blind placebo-controlled trial. Lancet Respir Med. 2015 Feb;3(2):131-138. </w:t>
            </w:r>
          </w:p>
        </w:tc>
      </w:tr>
      <w:tr w:rsidR="0039468B" w:rsidRPr="00061F78" w14:paraId="59D5B013" w14:textId="77777777" w:rsidTr="00AF46B1">
        <w:trPr>
          <w:cantSplit/>
          <w:trHeight w:val="164"/>
        </w:trPr>
        <w:tc>
          <w:tcPr>
            <w:tcW w:w="557" w:type="pct"/>
            <w:tcMar>
              <w:left w:w="28" w:type="dxa"/>
              <w:right w:w="28" w:type="dxa"/>
            </w:tcMar>
          </w:tcPr>
          <w:p w14:paraId="730B86B0" w14:textId="77777777" w:rsidR="0040530A" w:rsidRDefault="0049144D" w:rsidP="00C5551B">
            <w:pPr>
              <w:pStyle w:val="Tablewriting"/>
              <w:keepNext/>
              <w:rPr>
                <w:rFonts w:eastAsia="MS Mincho"/>
              </w:rPr>
            </w:pPr>
            <w:r>
              <w:rPr>
                <w:rFonts w:eastAsia="MS Mincho"/>
              </w:rPr>
              <w:t>Tulloch</w:t>
            </w:r>
          </w:p>
          <w:p w14:paraId="2AEC0C8A" w14:textId="54ABFC54" w:rsidR="0049144D" w:rsidRDefault="0049144D" w:rsidP="00C5551B">
            <w:pPr>
              <w:pStyle w:val="Tablewriting"/>
              <w:keepNext/>
              <w:rPr>
                <w:rFonts w:eastAsia="MS Mincho"/>
              </w:rPr>
            </w:pPr>
            <w:r>
              <w:rPr>
                <w:rFonts w:eastAsia="MS Mincho"/>
              </w:rPr>
              <w:t>(2016)</w:t>
            </w:r>
            <w:hyperlink w:anchor="_ENREF_32" w:tooltip="Tulloch, 2016 #63" w:history="1">
              <w:r w:rsidR="0039468B">
                <w:rPr>
                  <w:rFonts w:eastAsia="MS Mincho"/>
                </w:rPr>
                <w:fldChar w:fldCharType="begin">
                  <w:fldData xml:space="preserve">PEVuZE5vdGU+PENpdGU+PEF1dGhvcj5UdWxsb2NoPC9BdXRob3I+PFllYXI+MjAxNjwvWWVhcj48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PEVuZE5vdGU+PENpdGU+PEF1dGhvcj5UdWxsb2NoPC9BdXRob3I+PFllYXI+MjAxNjwvWWVhcj48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32</w:t>
              </w:r>
              <w:r w:rsidR="0039468B">
                <w:rPr>
                  <w:rFonts w:eastAsia="MS Mincho"/>
                </w:rPr>
                <w:fldChar w:fldCharType="end"/>
              </w:r>
            </w:hyperlink>
          </w:p>
        </w:tc>
        <w:tc>
          <w:tcPr>
            <w:tcW w:w="4443" w:type="pct"/>
          </w:tcPr>
          <w:p w14:paraId="3CA9D178" w14:textId="182CC11A" w:rsidR="0040530A" w:rsidRPr="00C01E20" w:rsidRDefault="000E1DF3" w:rsidP="00C5551B">
            <w:pPr>
              <w:pStyle w:val="Tablewriting"/>
              <w:keepNext/>
              <w:rPr>
                <w:rFonts w:eastAsia="MS Mincho"/>
              </w:rPr>
            </w:pPr>
            <w:r w:rsidRPr="000E1DF3">
              <w:rPr>
                <w:rFonts w:eastAsia="MS Mincho"/>
              </w:rPr>
              <w:t xml:space="preserve">Tulloch HE, Pipe AL, Els C, Clyde MJ, Reid RD. Flexible, dual-form nicotine replacement therapy or varenicline in comparison with nicotine patch for smoking cessation: a randomized controlled trial. BMC Med. 2016 Jun </w:t>
            </w:r>
            <w:r w:rsidR="004C4EA7" w:rsidRPr="000E1DF3">
              <w:rPr>
                <w:rFonts w:eastAsia="MS Mincho"/>
              </w:rPr>
              <w:t>7; 14:80</w:t>
            </w:r>
            <w:r w:rsidRPr="000E1DF3">
              <w:rPr>
                <w:rFonts w:eastAsia="MS Mincho"/>
              </w:rPr>
              <w:t>.</w:t>
            </w:r>
          </w:p>
        </w:tc>
      </w:tr>
      <w:tr w:rsidR="0039468B" w:rsidRPr="00061F78" w14:paraId="64B4FE17" w14:textId="77777777" w:rsidTr="00AF46B1">
        <w:trPr>
          <w:cantSplit/>
          <w:trHeight w:val="164"/>
        </w:trPr>
        <w:tc>
          <w:tcPr>
            <w:tcW w:w="557" w:type="pct"/>
            <w:tcMar>
              <w:left w:w="28" w:type="dxa"/>
              <w:right w:w="28" w:type="dxa"/>
            </w:tcMar>
          </w:tcPr>
          <w:p w14:paraId="75D0ADAE" w14:textId="64FC0173" w:rsidR="0040530A" w:rsidRDefault="0049144D" w:rsidP="00C5551B">
            <w:pPr>
              <w:pStyle w:val="Tablewriting"/>
              <w:keepNext/>
              <w:rPr>
                <w:rFonts w:eastAsia="MS Mincho"/>
              </w:rPr>
            </w:pPr>
            <w:r>
              <w:rPr>
                <w:rFonts w:eastAsia="MS Mincho"/>
              </w:rPr>
              <w:t>Rohsenow (2017)</w:t>
            </w:r>
            <w:hyperlink w:anchor="_ENREF_33" w:tooltip="Rohsenow, 2017 #58" w:history="1">
              <w:r w:rsidR="0039468B">
                <w:rPr>
                  <w:rFonts w:eastAsia="MS Mincho"/>
                </w:rPr>
                <w:fldChar w:fldCharType="begin">
                  <w:fldData xml:space="preserve">PEVuZE5vdGU+PENpdGU+PEF1dGhvcj5Sb2hzZW5vdzwvQXV0aG9yPjxZZWFyPjIwMTc8L1llYXI+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PEVuZE5vdGU+PENpdGU+PEF1dGhvcj5Sb2hzZW5vdzwvQXV0aG9yPjxZZWFyPjIwMTc8L1llYXI+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33</w:t>
              </w:r>
              <w:r w:rsidR="0039468B">
                <w:rPr>
                  <w:rFonts w:eastAsia="MS Mincho"/>
                </w:rPr>
                <w:fldChar w:fldCharType="end"/>
              </w:r>
            </w:hyperlink>
          </w:p>
        </w:tc>
        <w:tc>
          <w:tcPr>
            <w:tcW w:w="4443" w:type="pct"/>
          </w:tcPr>
          <w:p w14:paraId="61A3D1D0" w14:textId="608392FE" w:rsidR="0040530A" w:rsidRPr="00C01E20" w:rsidRDefault="00A203D3" w:rsidP="00C5551B">
            <w:pPr>
              <w:pStyle w:val="Tablewriting"/>
              <w:keepNext/>
              <w:rPr>
                <w:rFonts w:eastAsia="MS Mincho"/>
              </w:rPr>
            </w:pPr>
            <w:r w:rsidRPr="00A203D3">
              <w:rPr>
                <w:rFonts w:eastAsia="MS Mincho"/>
              </w:rPr>
              <w:t>Rohsenow DJ, Tidey JW, Martin RA, Colby SM, Swift RM, Leggio L, Monti PM. Varenicline versus nicotine patch with brief advice for smokers with substance use disorders with or without depression: effects on smoking, substance use and depressive symptoms. Addiction. 2017 Oct;112(10):1808-1820.</w:t>
            </w:r>
          </w:p>
        </w:tc>
      </w:tr>
      <w:tr w:rsidR="0039468B" w:rsidRPr="00061F78" w14:paraId="0236C7C5" w14:textId="77777777" w:rsidTr="00AF46B1">
        <w:trPr>
          <w:cantSplit/>
          <w:trHeight w:val="164"/>
        </w:trPr>
        <w:tc>
          <w:tcPr>
            <w:tcW w:w="557" w:type="pct"/>
            <w:tcMar>
              <w:left w:w="28" w:type="dxa"/>
              <w:right w:w="28" w:type="dxa"/>
            </w:tcMar>
          </w:tcPr>
          <w:p w14:paraId="4C7C4F3E" w14:textId="32D077F0" w:rsidR="003D3295" w:rsidRDefault="003D3295" w:rsidP="003D3295">
            <w:pPr>
              <w:pStyle w:val="Tablewriting"/>
              <w:keepNext/>
              <w:rPr>
                <w:rFonts w:eastAsia="MS Mincho"/>
              </w:rPr>
            </w:pPr>
            <w:r>
              <w:rPr>
                <w:rFonts w:eastAsia="MS Mincho"/>
              </w:rPr>
              <w:t>Benowitz (2018)</w:t>
            </w:r>
            <w:hyperlink w:anchor="_ENREF_4" w:tooltip="Benowitz, 2018 #55" w:history="1">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 </w:instrText>
              </w:r>
              <w:r w:rsidR="0039468B">
                <w:rPr>
                  <w:rFonts w:eastAsia="MS Mincho"/>
                </w:rPr>
                <w:fldChar w:fldCharType="begin">
                  <w:fldData xml:space="preserve">PEVuZE5vdGU+PENpdGU+PEF1dGhvcj5CZW5vd2l0ejwvQXV0aG9yPjxZZWFyPjIwMTg8L1llYXI+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4</w:t>
              </w:r>
              <w:r w:rsidR="0039468B">
                <w:rPr>
                  <w:rFonts w:eastAsia="MS Mincho"/>
                </w:rPr>
                <w:fldChar w:fldCharType="end"/>
              </w:r>
            </w:hyperlink>
          </w:p>
        </w:tc>
        <w:tc>
          <w:tcPr>
            <w:tcW w:w="4443" w:type="pct"/>
          </w:tcPr>
          <w:p w14:paraId="57F8E35A" w14:textId="3C9BC288" w:rsidR="003D3295" w:rsidRPr="00C01E20" w:rsidRDefault="003D3295" w:rsidP="003D3295">
            <w:pPr>
              <w:pStyle w:val="Tablewriting"/>
              <w:keepNext/>
              <w:rPr>
                <w:rFonts w:eastAsia="MS Mincho"/>
              </w:rPr>
            </w:pPr>
            <w:r w:rsidRPr="00C4557B">
              <w:rPr>
                <w:rFonts w:eastAsia="MS Mincho"/>
              </w:rPr>
              <w:t>Benowitz NL, Pipe A, West R, Hays JT, Tonstad S, McRae T, Lawrence D, St Aubin L, Anthenelli RM. Cardiovascular Safety of Varenicline, Bupropion, and Nicotine Patch in Smokers: A Randomized Clinical Trial. JAMA Intern Med. 2018 May 1;178(5):622-631.</w:t>
            </w:r>
          </w:p>
        </w:tc>
      </w:tr>
    </w:tbl>
    <w:p w14:paraId="06E4DFA6" w14:textId="77777777" w:rsidR="00AE4C6E" w:rsidRPr="00D14993" w:rsidRDefault="00AE4C6E" w:rsidP="00D150DE">
      <w:pPr>
        <w:pStyle w:val="TableFooter"/>
        <w:keepNext/>
        <w:jc w:val="both"/>
      </w:pPr>
      <w:r w:rsidRPr="00061F78">
        <w:rPr>
          <w:highlight w:val="lightGray"/>
        </w:rPr>
        <w:t>Shaded</w:t>
      </w:r>
      <w:r w:rsidRPr="00061F78">
        <w:t xml:space="preserve"> = previously considered by the PBAC</w:t>
      </w:r>
    </w:p>
    <w:p w14:paraId="4859BC38" w14:textId="1ADA77C4" w:rsidR="00AF46B1" w:rsidRDefault="00AE4C6E" w:rsidP="00D150DE">
      <w:pPr>
        <w:pStyle w:val="TableFooter"/>
        <w:keepNext/>
        <w:spacing w:after="120"/>
        <w:contextualSpacing w:val="0"/>
        <w:jc w:val="both"/>
      </w:pPr>
      <w:r>
        <w:t xml:space="preserve">Notes: </w:t>
      </w:r>
      <w:r w:rsidR="00C5551B">
        <w:t>Aubin et al. (2008)</w:t>
      </w:r>
      <w:r>
        <w:t xml:space="preserve"> w</w:t>
      </w:r>
      <w:r w:rsidR="00C5551B">
        <w:t>as</w:t>
      </w:r>
      <w:r>
        <w:t xml:space="preserve"> considered at the </w:t>
      </w:r>
      <w:r w:rsidR="00C5551B">
        <w:t>March 2010</w:t>
      </w:r>
      <w:r>
        <w:t xml:space="preserve"> PBAC meeting. EAGLES (2016) was considered at the November 2016 PBAC meeting.</w:t>
      </w:r>
    </w:p>
    <w:p w14:paraId="56FBBA3A" w14:textId="461BF634" w:rsidR="00C5551B" w:rsidRPr="00C5551B" w:rsidRDefault="00C5551B" w:rsidP="00076298">
      <w:pPr>
        <w:spacing w:after="120"/>
        <w:jc w:val="both"/>
      </w:pPr>
      <w:r w:rsidRPr="00C5551B">
        <w:t xml:space="preserve">A summary of the characteristics of the studies comparing </w:t>
      </w:r>
      <w:r w:rsidR="00C3700A">
        <w:t xml:space="preserve">NRT </w:t>
      </w:r>
      <w:r w:rsidR="00573F59">
        <w:t>patches</w:t>
      </w:r>
      <w:r w:rsidR="00C3700A">
        <w:t xml:space="preserve"> with </w:t>
      </w:r>
      <w:r w:rsidRPr="00C5551B">
        <w:t xml:space="preserve">varenicline is presented in </w:t>
      </w:r>
      <w:r w:rsidR="00C3700A">
        <w:fldChar w:fldCharType="begin" w:fldLock="1"/>
      </w:r>
      <w:r w:rsidR="00C3700A">
        <w:instrText xml:space="preserve"> REF _Ref54359212 \h </w:instrText>
      </w:r>
      <w:r w:rsidR="00076298">
        <w:instrText xml:space="preserve"> \* MERGEFORMAT </w:instrText>
      </w:r>
      <w:r w:rsidR="00C3700A">
        <w:fldChar w:fldCharType="separate"/>
      </w:r>
      <w:r w:rsidR="00EC5CC7">
        <w:t xml:space="preserve">Table </w:t>
      </w:r>
      <w:r w:rsidR="00EC5CC7">
        <w:rPr>
          <w:noProof/>
        </w:rPr>
        <w:t>26</w:t>
      </w:r>
      <w:r w:rsidR="00C3700A">
        <w:fldChar w:fldCharType="end"/>
      </w:r>
      <w:r w:rsidRPr="00C5551B">
        <w:t xml:space="preserve">. A total of </w:t>
      </w:r>
      <w:r w:rsidR="00C3700A">
        <w:t>eight</w:t>
      </w:r>
      <w:r w:rsidRPr="00C5551B">
        <w:t xml:space="preserve"> RCTs comparing </w:t>
      </w:r>
      <w:r w:rsidR="00C3700A">
        <w:t xml:space="preserve">NRT </w:t>
      </w:r>
      <w:r w:rsidR="00573F59">
        <w:t>patches</w:t>
      </w:r>
      <w:r w:rsidR="00C3700A">
        <w:t xml:space="preserve"> with </w:t>
      </w:r>
      <w:r w:rsidRPr="00C5551B">
        <w:t>varenicline were identified by Cahill et al. (2016)</w:t>
      </w:r>
      <w:r w:rsidR="00C3700A">
        <w:t xml:space="preserve"> and were</w:t>
      </w:r>
      <w:r w:rsidRPr="00C5551B">
        <w:t xml:space="preserve"> included in the efficacy analysis. The characteristics of the individual studies are presented in </w:t>
      </w:r>
      <w:r w:rsidRPr="00A93262">
        <w:t>Appendix</w:t>
      </w:r>
      <w:r w:rsidR="00076298">
        <w:t xml:space="preserve"> Table 149.</w:t>
      </w:r>
    </w:p>
    <w:p w14:paraId="1C90A15E" w14:textId="229E6C0F" w:rsidR="00E470DE" w:rsidRPr="00C5551B" w:rsidRDefault="00E470DE" w:rsidP="00076298">
      <w:pPr>
        <w:spacing w:after="120"/>
        <w:jc w:val="both"/>
      </w:pPr>
      <w:r w:rsidRPr="00E470DE">
        <w:t xml:space="preserve">Of the </w:t>
      </w:r>
      <w:r>
        <w:t>four</w:t>
      </w:r>
      <w:r w:rsidRPr="00E470DE">
        <w:t xml:space="preserve"> new studies identified in the supplemental literature search, </w:t>
      </w:r>
      <w:r>
        <w:t>three</w:t>
      </w:r>
      <w:r w:rsidRPr="00E470DE">
        <w:t xml:space="preserve"> studies were included in the updated efficacy re-analysis (</w:t>
      </w:r>
      <w:r w:rsidRPr="00C4055F">
        <w:t xml:space="preserve">Lerman et al. 2015, </w:t>
      </w:r>
      <w:r>
        <w:t xml:space="preserve">Tulloch et al. 2016, </w:t>
      </w:r>
      <w:r w:rsidR="00777459">
        <w:t>and Rohsenow</w:t>
      </w:r>
      <w:r>
        <w:t xml:space="preserve"> et al. 2017</w:t>
      </w:r>
      <w:r w:rsidRPr="00E470DE">
        <w:t>). One study was a safety study with no efficacy outcomes reported (Benowitz et al. 2018).</w:t>
      </w:r>
    </w:p>
    <w:p w14:paraId="40736EA7" w14:textId="77777777" w:rsidR="00C5551B" w:rsidRDefault="00C5551B" w:rsidP="00C83EDA">
      <w:pPr>
        <w:rPr>
          <w:b/>
          <w:bCs/>
        </w:rPr>
        <w:sectPr w:rsidR="00C5551B" w:rsidSect="006356D2">
          <w:pgSz w:w="11906" w:h="16838"/>
          <w:pgMar w:top="1440" w:right="1440" w:bottom="1440" w:left="1440" w:header="708" w:footer="708" w:gutter="0"/>
          <w:cols w:space="708"/>
          <w:titlePg/>
          <w:docGrid w:linePitch="360"/>
        </w:sectPr>
      </w:pPr>
    </w:p>
    <w:p w14:paraId="27988821" w14:textId="77F8863B" w:rsidR="00C3700A" w:rsidRDefault="00C3700A" w:rsidP="004D5552">
      <w:pPr>
        <w:pStyle w:val="Caption"/>
        <w:keepNext/>
        <w:spacing w:before="0" w:after="120"/>
        <w:jc w:val="both"/>
      </w:pPr>
      <w:bookmarkStart w:id="67" w:name="_Ref54359212"/>
      <w:r>
        <w:lastRenderedPageBreak/>
        <w:t xml:space="preserve">Table </w:t>
      </w:r>
      <w:r w:rsidR="00BF3F75">
        <w:fldChar w:fldCharType="begin"/>
      </w:r>
      <w:r w:rsidR="00BF3F75">
        <w:instrText xml:space="preserve"> SEQ Table \* ARABIC </w:instrText>
      </w:r>
      <w:r w:rsidR="00BF3F75">
        <w:fldChar w:fldCharType="separate"/>
      </w:r>
      <w:r w:rsidR="00EC5CC7">
        <w:rPr>
          <w:noProof/>
        </w:rPr>
        <w:t>26</w:t>
      </w:r>
      <w:r w:rsidR="00BF3F75">
        <w:rPr>
          <w:noProof/>
        </w:rPr>
        <w:fldChar w:fldCharType="end"/>
      </w:r>
      <w:bookmarkEnd w:id="67"/>
      <w:r>
        <w:t xml:space="preserve">: </w:t>
      </w:r>
      <w:r w:rsidRPr="00AA2F00">
        <w:t xml:space="preserve">Characteristics of the studies comparing NRT patch with </w:t>
      </w:r>
      <w:r>
        <w:t>varenicline</w:t>
      </w:r>
    </w:p>
    <w:tbl>
      <w:tblPr>
        <w:tblStyle w:val="TableGrid"/>
        <w:tblW w:w="5000" w:type="pct"/>
        <w:tblLook w:val="04A0" w:firstRow="1" w:lastRow="0" w:firstColumn="1" w:lastColumn="0" w:noHBand="0" w:noVBand="1"/>
        <w:tblCaption w:val="Efficacy results of adalimumab trials (PASI 75 and DLQI)"/>
      </w:tblPr>
      <w:tblGrid>
        <w:gridCol w:w="907"/>
        <w:gridCol w:w="1108"/>
        <w:gridCol w:w="967"/>
        <w:gridCol w:w="5212"/>
        <w:gridCol w:w="2338"/>
        <w:gridCol w:w="3416"/>
      </w:tblGrid>
      <w:tr w:rsidR="00260CD7" w:rsidRPr="00061F78" w14:paraId="0C38B362" w14:textId="77777777" w:rsidTr="00043556">
        <w:trPr>
          <w:trHeight w:val="299"/>
          <w:tblHeader/>
        </w:trPr>
        <w:tc>
          <w:tcPr>
            <w:tcW w:w="324" w:type="pct"/>
            <w:shd w:val="clear" w:color="auto" w:fill="BFBFBF" w:themeFill="background1" w:themeFillShade="BF"/>
            <w:tcMar>
              <w:left w:w="28" w:type="dxa"/>
              <w:right w:w="28" w:type="dxa"/>
            </w:tcMar>
          </w:tcPr>
          <w:p w14:paraId="4EED5714" w14:textId="09DA4C5E" w:rsidR="00C5551B" w:rsidRPr="00061F78" w:rsidRDefault="00126B7B" w:rsidP="00F207DC">
            <w:pPr>
              <w:pStyle w:val="Tableheading"/>
              <w:rPr>
                <w:rFonts w:eastAsia="MS Mincho"/>
              </w:rPr>
            </w:pPr>
            <w:r>
              <w:rPr>
                <w:rFonts w:eastAsia="MS Mincho"/>
              </w:rPr>
              <w:t>Study</w:t>
            </w:r>
          </w:p>
        </w:tc>
        <w:tc>
          <w:tcPr>
            <w:tcW w:w="398" w:type="pct"/>
            <w:shd w:val="clear" w:color="auto" w:fill="BFBFBF" w:themeFill="background1" w:themeFillShade="BF"/>
          </w:tcPr>
          <w:p w14:paraId="02328292" w14:textId="77777777" w:rsidR="00C5551B" w:rsidRDefault="00C5551B" w:rsidP="00F207DC">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14:paraId="66C7C885" w14:textId="77777777" w:rsidR="00C5551B" w:rsidRPr="00AE21E9" w:rsidRDefault="00C5551B"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869" w:type="pct"/>
            <w:shd w:val="clear" w:color="auto" w:fill="BFBFBF" w:themeFill="background1" w:themeFillShade="BF"/>
            <w:tcMar>
              <w:left w:w="28" w:type="dxa"/>
              <w:right w:w="28" w:type="dxa"/>
            </w:tcMar>
          </w:tcPr>
          <w:p w14:paraId="196479FA" w14:textId="77777777" w:rsidR="00C5551B" w:rsidRPr="00061F78" w:rsidRDefault="00C5551B" w:rsidP="00F207DC">
            <w:pPr>
              <w:pStyle w:val="Tableheading"/>
              <w:jc w:val="center"/>
              <w:rPr>
                <w:rFonts w:eastAsia="MS Mincho"/>
              </w:rPr>
            </w:pPr>
            <w:r w:rsidRPr="00061F78">
              <w:rPr>
                <w:rFonts w:eastAsia="MS Mincho"/>
              </w:rPr>
              <w:t>P</w:t>
            </w:r>
            <w:r>
              <w:rPr>
                <w:rFonts w:eastAsia="MS Mincho"/>
              </w:rPr>
              <w:t>opulation</w:t>
            </w:r>
          </w:p>
        </w:tc>
        <w:tc>
          <w:tcPr>
            <w:tcW w:w="839" w:type="pct"/>
            <w:shd w:val="clear" w:color="auto" w:fill="BFBFBF" w:themeFill="background1" w:themeFillShade="BF"/>
          </w:tcPr>
          <w:p w14:paraId="3EA82644" w14:textId="77777777" w:rsidR="00C5551B" w:rsidRDefault="00C5551B" w:rsidP="00F207DC">
            <w:pPr>
              <w:pStyle w:val="Tableheading"/>
              <w:jc w:val="center"/>
              <w:rPr>
                <w:rFonts w:eastAsia="MS Mincho"/>
              </w:rPr>
            </w:pPr>
            <w:r>
              <w:rPr>
                <w:rFonts w:eastAsia="MS Mincho"/>
              </w:rPr>
              <w:t>Intervention and comparator</w:t>
            </w:r>
          </w:p>
        </w:tc>
        <w:tc>
          <w:tcPr>
            <w:tcW w:w="1225" w:type="pct"/>
            <w:shd w:val="clear" w:color="auto" w:fill="BFBFBF" w:themeFill="background1" w:themeFillShade="BF"/>
            <w:tcMar>
              <w:left w:w="28" w:type="dxa"/>
              <w:right w:w="28" w:type="dxa"/>
            </w:tcMar>
          </w:tcPr>
          <w:p w14:paraId="53D0CC41" w14:textId="77777777" w:rsidR="00C5551B" w:rsidRPr="00061F78" w:rsidRDefault="00C5551B" w:rsidP="00F207DC">
            <w:pPr>
              <w:pStyle w:val="Tableheading"/>
              <w:jc w:val="center"/>
              <w:rPr>
                <w:rFonts w:eastAsia="MS Mincho"/>
              </w:rPr>
            </w:pPr>
            <w:r>
              <w:rPr>
                <w:rFonts w:eastAsia="MS Mincho"/>
              </w:rPr>
              <w:t>Outcomes</w:t>
            </w:r>
          </w:p>
        </w:tc>
      </w:tr>
      <w:tr w:rsidR="00260CD7" w:rsidRPr="00061F78" w14:paraId="493EF8FE" w14:textId="77777777" w:rsidTr="00015CD6">
        <w:trPr>
          <w:trHeight w:val="99"/>
        </w:trPr>
        <w:tc>
          <w:tcPr>
            <w:tcW w:w="324" w:type="pct"/>
            <w:shd w:val="clear" w:color="auto" w:fill="D9D9D9" w:themeFill="background1" w:themeFillShade="D9"/>
            <w:tcMar>
              <w:left w:w="28" w:type="dxa"/>
              <w:right w:w="28" w:type="dxa"/>
            </w:tcMar>
          </w:tcPr>
          <w:p w14:paraId="6714D321" w14:textId="77777777" w:rsidR="00C5551B" w:rsidRDefault="00C5551B" w:rsidP="00F207DC">
            <w:pPr>
              <w:pStyle w:val="Tablewriting"/>
              <w:rPr>
                <w:rFonts w:eastAsia="MS Mincho"/>
              </w:rPr>
            </w:pPr>
            <w:r>
              <w:rPr>
                <w:rFonts w:eastAsia="MS Mincho"/>
              </w:rPr>
              <w:t>Aubin</w:t>
            </w:r>
          </w:p>
          <w:p w14:paraId="041BAD11" w14:textId="1768489B" w:rsidR="00C5551B" w:rsidRDefault="00C5551B" w:rsidP="00F207DC">
            <w:pPr>
              <w:pStyle w:val="Tablewriting"/>
              <w:rPr>
                <w:rFonts w:eastAsia="MS Mincho"/>
              </w:rPr>
            </w:pPr>
            <w:r>
              <w:rPr>
                <w:rFonts w:eastAsia="MS Mincho"/>
              </w:rPr>
              <w:t xml:space="preserve">(2008) </w:t>
            </w:r>
          </w:p>
        </w:tc>
        <w:tc>
          <w:tcPr>
            <w:tcW w:w="398" w:type="pct"/>
            <w:shd w:val="clear" w:color="auto" w:fill="D9D9D9" w:themeFill="background1" w:themeFillShade="D9"/>
          </w:tcPr>
          <w:p w14:paraId="34CB0CAA" w14:textId="77777777" w:rsidR="00C5551B" w:rsidRDefault="00C5551B"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6CB1A508" w14:textId="37A573B0" w:rsidR="00C5551B" w:rsidRDefault="00C5551B" w:rsidP="00F207DC">
            <w:pPr>
              <w:pStyle w:val="Tablewriting"/>
              <w:rPr>
                <w:rFonts w:eastAsia="MS Mincho"/>
              </w:rPr>
            </w:pPr>
            <w:r>
              <w:rPr>
                <w:rFonts w:eastAsia="MS Mincho"/>
              </w:rPr>
              <w:t>N=</w:t>
            </w:r>
            <w:r w:rsidR="0087144C">
              <w:rPr>
                <w:rFonts w:eastAsia="MS Mincho"/>
              </w:rPr>
              <w:t>757</w:t>
            </w:r>
          </w:p>
          <w:p w14:paraId="63E36830" w14:textId="68379B6E" w:rsidR="0087144C" w:rsidRDefault="0087144C" w:rsidP="00F207DC">
            <w:pPr>
              <w:pStyle w:val="Tablewriting"/>
              <w:rPr>
                <w:rFonts w:eastAsia="MS Mincho"/>
              </w:rPr>
            </w:pPr>
            <w:r>
              <w:rPr>
                <w:rFonts w:eastAsia="MS Mincho"/>
              </w:rPr>
              <w:t>NRT (n=379),</w:t>
            </w:r>
          </w:p>
          <w:p w14:paraId="7615047C" w14:textId="7747DDD8" w:rsidR="00C5551B" w:rsidRDefault="0087144C" w:rsidP="00F207DC">
            <w:pPr>
              <w:pStyle w:val="Tablewriting"/>
              <w:rPr>
                <w:rFonts w:eastAsia="MS Mincho"/>
              </w:rPr>
            </w:pPr>
            <w:r>
              <w:rPr>
                <w:rFonts w:eastAsia="MS Mincho"/>
              </w:rPr>
              <w:t>Varenicline (n=378)</w:t>
            </w:r>
          </w:p>
        </w:tc>
        <w:tc>
          <w:tcPr>
            <w:tcW w:w="1869" w:type="pct"/>
            <w:shd w:val="clear" w:color="auto" w:fill="D9D9D9" w:themeFill="background1" w:themeFillShade="D9"/>
            <w:tcMar>
              <w:left w:w="28" w:type="dxa"/>
              <w:right w:w="28" w:type="dxa"/>
            </w:tcMar>
          </w:tcPr>
          <w:p w14:paraId="1F5A0E7F" w14:textId="76F36CEA" w:rsidR="00C5551B" w:rsidRDefault="00C5551B" w:rsidP="00F207DC">
            <w:pPr>
              <w:pStyle w:val="Tablewriting"/>
              <w:rPr>
                <w:rFonts w:eastAsia="MS Mincho"/>
              </w:rPr>
            </w:pPr>
            <w:r w:rsidRPr="007F28D7">
              <w:rPr>
                <w:rFonts w:eastAsia="MS Mincho"/>
                <w:u w:val="single"/>
              </w:rPr>
              <w:t>Inclusion</w:t>
            </w:r>
            <w:r>
              <w:rPr>
                <w:rFonts w:eastAsia="MS Mincho"/>
              </w:rPr>
              <w:t xml:space="preserve">: </w:t>
            </w:r>
            <w:r w:rsidR="0087144C" w:rsidRPr="0087144C">
              <w:rPr>
                <w:rFonts w:eastAsia="MS Mincho"/>
              </w:rPr>
              <w:t>18–75</w:t>
            </w:r>
            <w:r w:rsidR="0087144C">
              <w:rPr>
                <w:rFonts w:eastAsia="MS Mincho"/>
              </w:rPr>
              <w:t xml:space="preserve"> </w:t>
            </w:r>
            <w:r w:rsidR="0087144C" w:rsidRPr="0087144C">
              <w:rPr>
                <w:rFonts w:eastAsia="MS Mincho"/>
              </w:rPr>
              <w:t xml:space="preserve">years </w:t>
            </w:r>
            <w:r w:rsidR="004A2711">
              <w:rPr>
                <w:rFonts w:eastAsia="MS Mincho"/>
              </w:rPr>
              <w:t>old</w:t>
            </w:r>
            <w:r w:rsidR="0087144C" w:rsidRPr="0087144C">
              <w:rPr>
                <w:rFonts w:eastAsia="MS Mincho"/>
              </w:rPr>
              <w:t xml:space="preserve">, weight </w:t>
            </w:r>
            <w:r w:rsidR="0087144C">
              <w:rPr>
                <w:rFonts w:eastAsia="MS Mincho"/>
              </w:rPr>
              <w:t>&gt;</w:t>
            </w:r>
            <w:r w:rsidR="0087144C" w:rsidRPr="0087144C">
              <w:rPr>
                <w:rFonts w:eastAsia="MS Mincho"/>
              </w:rPr>
              <w:t>45.5 kg and body mass index</w:t>
            </w:r>
            <w:r w:rsidR="0087144C">
              <w:rPr>
                <w:rFonts w:eastAsia="MS Mincho"/>
              </w:rPr>
              <w:t xml:space="preserve"> </w:t>
            </w:r>
            <w:r w:rsidR="0087144C" w:rsidRPr="0087144C">
              <w:rPr>
                <w:rFonts w:eastAsia="MS Mincho"/>
              </w:rPr>
              <w:t>15–38 kg/m</w:t>
            </w:r>
            <w:r w:rsidR="0087144C" w:rsidRPr="0087144C">
              <w:rPr>
                <w:rFonts w:eastAsia="MS Mincho"/>
                <w:vertAlign w:val="superscript"/>
              </w:rPr>
              <w:t>2</w:t>
            </w:r>
            <w:r w:rsidR="004A2711">
              <w:rPr>
                <w:rFonts w:eastAsia="MS Mincho"/>
                <w:vertAlign w:val="superscript"/>
              </w:rPr>
              <w:t xml:space="preserve">, </w:t>
            </w:r>
            <w:r w:rsidR="004A2711">
              <w:rPr>
                <w:rFonts w:eastAsia="MS Mincho" w:cstheme="minorHAnsi"/>
              </w:rPr>
              <w:t>≥</w:t>
            </w:r>
            <w:r w:rsidR="0087144C" w:rsidRPr="0087144C">
              <w:rPr>
                <w:rFonts w:eastAsia="MS Mincho"/>
              </w:rPr>
              <w:t>15</w:t>
            </w:r>
            <w:r w:rsidR="0087144C">
              <w:rPr>
                <w:rFonts w:eastAsia="MS Mincho"/>
              </w:rPr>
              <w:t xml:space="preserve"> </w:t>
            </w:r>
            <w:r w:rsidR="0087144C" w:rsidRPr="0087144C">
              <w:rPr>
                <w:rFonts w:eastAsia="MS Mincho"/>
              </w:rPr>
              <w:t>cigarettes per day with no period of abstinence</w:t>
            </w:r>
            <w:r w:rsidR="0087144C">
              <w:rPr>
                <w:rFonts w:eastAsia="MS Mincho"/>
              </w:rPr>
              <w:t xml:space="preserve"> &gt;</w:t>
            </w:r>
            <w:r w:rsidR="0087144C" w:rsidRPr="0087144C">
              <w:rPr>
                <w:rFonts w:eastAsia="MS Mincho"/>
              </w:rPr>
              <w:t>3 months in the previous yea</w:t>
            </w:r>
            <w:r w:rsidR="0087144C">
              <w:rPr>
                <w:rFonts w:eastAsia="MS Mincho"/>
              </w:rPr>
              <w:t>r; motivated to stop smoking.</w:t>
            </w:r>
          </w:p>
          <w:p w14:paraId="3F0DC1EF" w14:textId="3EF1DF99" w:rsidR="00C5551B" w:rsidRPr="00061F78" w:rsidRDefault="00C5551B" w:rsidP="00F207DC">
            <w:pPr>
              <w:pStyle w:val="Tablewriting"/>
              <w:rPr>
                <w:rFonts w:eastAsia="MS Mincho"/>
              </w:rPr>
            </w:pPr>
            <w:r w:rsidRPr="007F28D7">
              <w:rPr>
                <w:rFonts w:eastAsia="MS Mincho"/>
                <w:u w:val="single"/>
              </w:rPr>
              <w:t>Exclusion</w:t>
            </w:r>
            <w:r>
              <w:rPr>
                <w:rFonts w:eastAsia="MS Mincho"/>
              </w:rPr>
              <w:t xml:space="preserve">: </w:t>
            </w:r>
            <w:r w:rsidR="0087144C" w:rsidRPr="0087144C">
              <w:rPr>
                <w:rFonts w:eastAsia="MS Mincho"/>
              </w:rPr>
              <w:t>a history of cancer, any</w:t>
            </w:r>
            <w:r w:rsidR="0087144C">
              <w:rPr>
                <w:rFonts w:eastAsia="MS Mincho"/>
              </w:rPr>
              <w:t xml:space="preserve"> </w:t>
            </w:r>
            <w:r w:rsidR="0087144C" w:rsidRPr="0087144C">
              <w:rPr>
                <w:rFonts w:eastAsia="MS Mincho"/>
              </w:rPr>
              <w:t>other serious or unstable disease within the previous</w:t>
            </w:r>
            <w:r w:rsidR="0087144C">
              <w:rPr>
                <w:rFonts w:eastAsia="MS Mincho"/>
              </w:rPr>
              <w:t xml:space="preserve"> </w:t>
            </w:r>
            <w:r w:rsidR="0087144C" w:rsidRPr="0087144C">
              <w:rPr>
                <w:rFonts w:eastAsia="MS Mincho"/>
              </w:rPr>
              <w:t>6 months, diagnoses of or treatment for depression or other</w:t>
            </w:r>
            <w:r w:rsidR="0087144C">
              <w:rPr>
                <w:rFonts w:eastAsia="MS Mincho"/>
              </w:rPr>
              <w:t xml:space="preserve"> </w:t>
            </w:r>
            <w:r w:rsidR="0087144C" w:rsidRPr="0087144C">
              <w:rPr>
                <w:rFonts w:eastAsia="MS Mincho"/>
              </w:rPr>
              <w:t>psychological disorder, or drug or alcohol dependence within</w:t>
            </w:r>
            <w:r w:rsidR="0087144C">
              <w:rPr>
                <w:rFonts w:eastAsia="MS Mincho"/>
              </w:rPr>
              <w:t xml:space="preserve"> </w:t>
            </w:r>
            <w:r w:rsidR="0087144C" w:rsidRPr="0087144C">
              <w:rPr>
                <w:rFonts w:eastAsia="MS Mincho"/>
              </w:rPr>
              <w:t>the previous 12 months</w:t>
            </w:r>
            <w:r w:rsidR="004A2711">
              <w:rPr>
                <w:rFonts w:eastAsia="MS Mincho"/>
              </w:rPr>
              <w:t>,</w:t>
            </w:r>
            <w:r w:rsidR="0087144C">
              <w:rPr>
                <w:rFonts w:eastAsia="MS Mincho"/>
              </w:rPr>
              <w:t xml:space="preserve"> </w:t>
            </w:r>
            <w:r w:rsidR="0087144C" w:rsidRPr="0087144C">
              <w:rPr>
                <w:rFonts w:eastAsia="MS Mincho"/>
              </w:rPr>
              <w:t>clinically significant allergic reactions to drugs or adhesive</w:t>
            </w:r>
            <w:r w:rsidR="0087144C">
              <w:rPr>
                <w:rFonts w:eastAsia="MS Mincho"/>
              </w:rPr>
              <w:t xml:space="preserve"> </w:t>
            </w:r>
            <w:r w:rsidR="0087144C" w:rsidRPr="0087144C">
              <w:rPr>
                <w:rFonts w:eastAsia="MS Mincho"/>
              </w:rPr>
              <w:t xml:space="preserve">tapes, skin disorders, systolic blood pressure </w:t>
            </w:r>
            <w:r w:rsidR="0087144C">
              <w:rPr>
                <w:rFonts w:eastAsia="MS Mincho"/>
              </w:rPr>
              <w:t>&gt;</w:t>
            </w:r>
            <w:r w:rsidR="0087144C" w:rsidRPr="0087144C">
              <w:rPr>
                <w:rFonts w:eastAsia="MS Mincho"/>
              </w:rPr>
              <w:t>150 mmHg or</w:t>
            </w:r>
            <w:r w:rsidR="0087144C">
              <w:rPr>
                <w:rFonts w:eastAsia="MS Mincho"/>
              </w:rPr>
              <w:t xml:space="preserve"> </w:t>
            </w:r>
            <w:r w:rsidR="0087144C" w:rsidRPr="0087144C">
              <w:rPr>
                <w:rFonts w:eastAsia="MS Mincho"/>
              </w:rPr>
              <w:t xml:space="preserve">diastolic blood pressure </w:t>
            </w:r>
            <w:r w:rsidR="0087144C">
              <w:rPr>
                <w:rFonts w:eastAsia="MS Mincho"/>
              </w:rPr>
              <w:t>&gt;</w:t>
            </w:r>
            <w:r w:rsidR="0087144C" w:rsidRPr="0087144C">
              <w:rPr>
                <w:rFonts w:eastAsia="MS Mincho"/>
              </w:rPr>
              <w:t>95 mm Hg, clinically significant</w:t>
            </w:r>
            <w:r w:rsidR="0087144C">
              <w:rPr>
                <w:rFonts w:eastAsia="MS Mincho"/>
              </w:rPr>
              <w:t xml:space="preserve"> </w:t>
            </w:r>
            <w:r w:rsidR="0087144C" w:rsidRPr="0087144C">
              <w:rPr>
                <w:rFonts w:eastAsia="MS Mincho"/>
              </w:rPr>
              <w:t>renal or hepatic impairment, evidence of liver dysfunction or</w:t>
            </w:r>
            <w:r w:rsidR="0087144C">
              <w:rPr>
                <w:rFonts w:eastAsia="MS Mincho"/>
              </w:rPr>
              <w:t xml:space="preserve"> </w:t>
            </w:r>
            <w:r w:rsidR="0087144C" w:rsidRPr="0087144C">
              <w:rPr>
                <w:rFonts w:eastAsia="MS Mincho"/>
              </w:rPr>
              <w:t>other abnormal laboratory tests</w:t>
            </w:r>
            <w:r w:rsidR="00214B8E">
              <w:rPr>
                <w:rFonts w:eastAsia="MS Mincho"/>
              </w:rPr>
              <w:t>,</w:t>
            </w:r>
            <w:r w:rsidR="0087144C" w:rsidRPr="0087144C">
              <w:rPr>
                <w:rFonts w:eastAsia="MS Mincho"/>
              </w:rPr>
              <w:t xml:space="preserve"> taking medication that may interfere</w:t>
            </w:r>
            <w:r w:rsidR="0087144C">
              <w:rPr>
                <w:rFonts w:eastAsia="MS Mincho"/>
              </w:rPr>
              <w:t xml:space="preserve"> </w:t>
            </w:r>
            <w:r w:rsidR="0087144C" w:rsidRPr="0087144C">
              <w:rPr>
                <w:rFonts w:eastAsia="MS Mincho"/>
              </w:rPr>
              <w:t>with the study outcome, had previously participated in a</w:t>
            </w:r>
            <w:r w:rsidR="0087144C">
              <w:rPr>
                <w:rFonts w:eastAsia="MS Mincho"/>
              </w:rPr>
              <w:t xml:space="preserve"> </w:t>
            </w:r>
            <w:r w:rsidR="0087144C" w:rsidRPr="0087144C">
              <w:rPr>
                <w:rFonts w:eastAsia="MS Mincho"/>
              </w:rPr>
              <w:t>varenicline study in the previous year or had used of any form</w:t>
            </w:r>
            <w:r w:rsidR="0087144C">
              <w:rPr>
                <w:rFonts w:eastAsia="MS Mincho"/>
              </w:rPr>
              <w:t xml:space="preserve"> </w:t>
            </w:r>
            <w:r w:rsidR="0087144C" w:rsidRPr="0087144C">
              <w:rPr>
                <w:rFonts w:eastAsia="MS Mincho"/>
              </w:rPr>
              <w:t>of NRT in the previous 6 months</w:t>
            </w:r>
            <w:r w:rsidR="00214B8E">
              <w:rPr>
                <w:rFonts w:eastAsia="MS Mincho"/>
              </w:rPr>
              <w:t>,</w:t>
            </w:r>
            <w:r w:rsidR="0087144C">
              <w:rPr>
                <w:rFonts w:eastAsia="MS Mincho"/>
              </w:rPr>
              <w:t xml:space="preserve"> </w:t>
            </w:r>
            <w:r>
              <w:rPr>
                <w:rFonts w:eastAsia="MS Mincho"/>
              </w:rPr>
              <w:t>pregnancy and breastfeeding.</w:t>
            </w:r>
          </w:p>
        </w:tc>
        <w:tc>
          <w:tcPr>
            <w:tcW w:w="839" w:type="pct"/>
            <w:shd w:val="clear" w:color="auto" w:fill="D9D9D9" w:themeFill="background1" w:themeFillShade="D9"/>
          </w:tcPr>
          <w:p w14:paraId="65A0D908" w14:textId="7B297786" w:rsidR="00C5551B" w:rsidRDefault="0087144C" w:rsidP="00F207DC">
            <w:pPr>
              <w:pStyle w:val="Tablewriting"/>
              <w:rPr>
                <w:rFonts w:eastAsia="MS Mincho"/>
              </w:rPr>
            </w:pPr>
            <w:r w:rsidRPr="00C5551B">
              <w:rPr>
                <w:rFonts w:eastAsia="MS Mincho"/>
              </w:rPr>
              <w:t>NRT: NRT patch</w:t>
            </w:r>
            <w:r>
              <w:rPr>
                <w:rFonts w:eastAsia="MS Mincho"/>
              </w:rPr>
              <w:t xml:space="preserve"> over 10 weeks (21</w:t>
            </w:r>
            <w:r w:rsidR="00545740">
              <w:rPr>
                <w:rFonts w:eastAsia="MS Mincho"/>
              </w:rPr>
              <w:t xml:space="preserve"> </w:t>
            </w:r>
            <w:r>
              <w:rPr>
                <w:rFonts w:eastAsia="MS Mincho"/>
              </w:rPr>
              <w:t>mg/day first 6 weeks, 14</w:t>
            </w:r>
            <w:r w:rsidR="00545740">
              <w:rPr>
                <w:rFonts w:eastAsia="MS Mincho"/>
              </w:rPr>
              <w:t xml:space="preserve"> </w:t>
            </w:r>
            <w:r>
              <w:rPr>
                <w:rFonts w:eastAsia="MS Mincho"/>
              </w:rPr>
              <w:t>mg/day for 2 weeks then 7</w:t>
            </w:r>
            <w:r w:rsidR="00545740">
              <w:rPr>
                <w:rFonts w:eastAsia="MS Mincho"/>
              </w:rPr>
              <w:t xml:space="preserve"> </w:t>
            </w:r>
            <w:r>
              <w:rPr>
                <w:rFonts w:eastAsia="MS Mincho"/>
              </w:rPr>
              <w:t>mg/day for 2 weeks)</w:t>
            </w:r>
            <w:r w:rsidR="00663000">
              <w:rPr>
                <w:rFonts w:eastAsia="MS Mincho"/>
              </w:rPr>
              <w:t>;</w:t>
            </w:r>
            <w:r w:rsidR="003E6726">
              <w:rPr>
                <w:rFonts w:eastAsia="MS Mincho"/>
              </w:rPr>
              <w:t xml:space="preserve"> </w:t>
            </w:r>
            <w:r w:rsidRPr="00C5551B">
              <w:rPr>
                <w:rFonts w:eastAsia="MS Mincho"/>
              </w:rPr>
              <w:t>Varenicline: 1</w:t>
            </w:r>
            <w:r w:rsidR="00545740">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w:t>
            </w:r>
            <w:r w:rsidR="004C4EA7" w:rsidRPr="00C5551B">
              <w:rPr>
                <w:rFonts w:eastAsia="MS Mincho"/>
              </w:rPr>
              <w:t>i.e.,</w:t>
            </w:r>
            <w:r w:rsidRPr="00C5551B">
              <w:rPr>
                <w:rFonts w:eastAsia="MS Mincho"/>
              </w:rPr>
              <w:t xml:space="preserve"> 0.5</w:t>
            </w:r>
            <w:r w:rsidR="00545740">
              <w:rPr>
                <w:rFonts w:eastAsia="MS Mincho"/>
              </w:rPr>
              <w:t xml:space="preserve"> </w:t>
            </w:r>
            <w:r w:rsidRPr="00C5551B">
              <w:rPr>
                <w:rFonts w:eastAsia="MS Mincho"/>
              </w:rPr>
              <w:t>mg once daily for 3 days, then 0.5</w:t>
            </w:r>
            <w:r w:rsidR="00545740">
              <w:rPr>
                <w:rFonts w:eastAsia="MS Mincho"/>
              </w:rPr>
              <w:t xml:space="preserve"> </w:t>
            </w:r>
            <w:r w:rsidRPr="00C5551B">
              <w:rPr>
                <w:rFonts w:eastAsia="MS Mincho"/>
              </w:rPr>
              <w:t>mg twice daily for 4 days, then 1</w:t>
            </w:r>
            <w:r w:rsidR="00545740">
              <w:rPr>
                <w:rFonts w:eastAsia="MS Mincho"/>
              </w:rPr>
              <w:t xml:space="preserve"> </w:t>
            </w:r>
            <w:r w:rsidRPr="00C5551B">
              <w:rPr>
                <w:rFonts w:eastAsia="MS Mincho"/>
              </w:rPr>
              <w:t>mg twice daily)</w:t>
            </w:r>
            <w:r w:rsidR="00AB5FA3">
              <w:rPr>
                <w:rFonts w:eastAsia="MS Mincho"/>
              </w:rPr>
              <w:t>.</w:t>
            </w:r>
          </w:p>
          <w:p w14:paraId="7D116E6D" w14:textId="77777777" w:rsidR="0091456E" w:rsidRDefault="0091456E" w:rsidP="00F207DC">
            <w:pPr>
              <w:pStyle w:val="Tablewriting"/>
              <w:rPr>
                <w:rFonts w:eastAsia="MS Mincho"/>
              </w:rPr>
            </w:pPr>
          </w:p>
          <w:p w14:paraId="2174BD37" w14:textId="7876B0FE" w:rsidR="0091456E" w:rsidRPr="00061F78" w:rsidRDefault="0091456E" w:rsidP="00F207DC">
            <w:pPr>
              <w:pStyle w:val="Tablewriting"/>
              <w:rPr>
                <w:rFonts w:eastAsia="MS Mincho"/>
              </w:rPr>
            </w:pPr>
            <w:r w:rsidRPr="0091456E">
              <w:rPr>
                <w:rFonts w:eastAsia="MS Mincho"/>
              </w:rPr>
              <w:t>Behavioural support provided in both arms.</w:t>
            </w:r>
          </w:p>
        </w:tc>
        <w:tc>
          <w:tcPr>
            <w:tcW w:w="1225" w:type="pct"/>
            <w:shd w:val="clear" w:color="auto" w:fill="D9D9D9" w:themeFill="background1" w:themeFillShade="D9"/>
            <w:tcMar>
              <w:left w:w="28" w:type="dxa"/>
              <w:right w:w="28" w:type="dxa"/>
            </w:tcMar>
          </w:tcPr>
          <w:p w14:paraId="168BB86E" w14:textId="2B842627" w:rsidR="00C5551B" w:rsidRDefault="00C5551B" w:rsidP="00F207DC">
            <w:pPr>
              <w:pStyle w:val="Tablewriting"/>
              <w:rPr>
                <w:rFonts w:eastAsia="MS Mincho"/>
              </w:rPr>
            </w:pPr>
            <w:r w:rsidRPr="008C39E4">
              <w:rPr>
                <w:rFonts w:eastAsia="MS Mincho"/>
                <w:u w:val="single"/>
              </w:rPr>
              <w:t>Primary</w:t>
            </w:r>
            <w:r>
              <w:rPr>
                <w:rFonts w:eastAsia="MS Mincho"/>
              </w:rPr>
              <w:t xml:space="preserve">: </w:t>
            </w:r>
            <w:r w:rsidR="00214B8E">
              <w:rPr>
                <w:rFonts w:eastAsia="MS Mincho"/>
              </w:rPr>
              <w:t>CAR</w:t>
            </w:r>
            <w:r>
              <w:rPr>
                <w:rFonts w:eastAsia="MS Mincho"/>
              </w:rPr>
              <w:t xml:space="preserve"> at </w:t>
            </w:r>
            <w:r w:rsidR="007B7017">
              <w:rPr>
                <w:rFonts w:eastAsia="MS Mincho"/>
              </w:rPr>
              <w:t>w</w:t>
            </w:r>
            <w:r>
              <w:rPr>
                <w:rFonts w:eastAsia="MS Mincho"/>
              </w:rPr>
              <w:t>eek 9-12. Validated by CO</w:t>
            </w:r>
            <w:r w:rsidR="00AB1153">
              <w:rPr>
                <w:rFonts w:eastAsia="MS Mincho"/>
              </w:rPr>
              <w:t xml:space="preserve"> </w:t>
            </w:r>
            <w:r>
              <w:rPr>
                <w:rFonts w:eastAsia="MS Mincho" w:cstheme="minorHAnsi"/>
              </w:rPr>
              <w:t>≤</w:t>
            </w:r>
            <w:r>
              <w:rPr>
                <w:rFonts w:eastAsia="MS Mincho"/>
              </w:rPr>
              <w:t>10</w:t>
            </w:r>
            <w:r w:rsidR="009E40F4">
              <w:rPr>
                <w:rFonts w:eastAsia="MS Mincho"/>
              </w:rPr>
              <w:t xml:space="preserve"> </w:t>
            </w:r>
            <w:r>
              <w:rPr>
                <w:rFonts w:eastAsia="MS Mincho"/>
              </w:rPr>
              <w:t>ppm.</w:t>
            </w:r>
          </w:p>
          <w:p w14:paraId="092F1873" w14:textId="029B6499" w:rsidR="00C5551B" w:rsidRDefault="00C5551B" w:rsidP="00F207DC">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 xml:space="preserve">CAR </w:t>
            </w:r>
            <w:r w:rsidR="0087144C">
              <w:rPr>
                <w:rFonts w:eastAsia="MS Mincho"/>
              </w:rPr>
              <w:t xml:space="preserve">(NRT, </w:t>
            </w:r>
            <w:r w:rsidR="007B7017">
              <w:rPr>
                <w:rFonts w:eastAsia="MS Mincho"/>
              </w:rPr>
              <w:t>w</w:t>
            </w:r>
            <w:r w:rsidR="0087144C">
              <w:rPr>
                <w:rFonts w:eastAsia="MS Mincho"/>
              </w:rPr>
              <w:t xml:space="preserve">eek 8-24 and 8-52; Varenicline, </w:t>
            </w:r>
            <w:r w:rsidR="007B7017">
              <w:rPr>
                <w:rFonts w:eastAsia="MS Mincho"/>
              </w:rPr>
              <w:t>w</w:t>
            </w:r>
            <w:r>
              <w:rPr>
                <w:rFonts w:eastAsia="MS Mincho"/>
              </w:rPr>
              <w:t>eek</w:t>
            </w:r>
            <w:r w:rsidRPr="005B56AA">
              <w:rPr>
                <w:rFonts w:eastAsia="MS Mincho"/>
              </w:rPr>
              <w:t xml:space="preserve"> 9-24 </w:t>
            </w:r>
            <w:r>
              <w:rPr>
                <w:rFonts w:eastAsia="MS Mincho"/>
              </w:rPr>
              <w:t xml:space="preserve">and </w:t>
            </w:r>
            <w:r w:rsidRPr="005B56AA">
              <w:rPr>
                <w:rFonts w:eastAsia="MS Mincho"/>
              </w:rPr>
              <w:t>9-52</w:t>
            </w:r>
            <w:r w:rsidR="0087144C">
              <w:rPr>
                <w:rFonts w:eastAsia="MS Mincho"/>
              </w:rPr>
              <w:t>)</w:t>
            </w:r>
            <w:r w:rsidRPr="005B56AA">
              <w:rPr>
                <w:rFonts w:eastAsia="MS Mincho"/>
              </w:rPr>
              <w:t xml:space="preserve">; 7-day PPA at </w:t>
            </w:r>
            <w:r w:rsidR="00D562FA">
              <w:rPr>
                <w:rFonts w:eastAsia="MS Mincho"/>
              </w:rPr>
              <w:t>w</w:t>
            </w:r>
            <w:r>
              <w:rPr>
                <w:rFonts w:eastAsia="MS Mincho"/>
              </w:rPr>
              <w:t>eek</w:t>
            </w:r>
            <w:r w:rsidRPr="005B56AA">
              <w:rPr>
                <w:rFonts w:eastAsia="MS Mincho"/>
              </w:rPr>
              <w:t xml:space="preserve"> 24 and 52</w:t>
            </w:r>
            <w:r w:rsidR="002A7862">
              <w:rPr>
                <w:rFonts w:eastAsia="MS Mincho"/>
              </w:rPr>
              <w:t xml:space="preserve">. Validated by CO </w:t>
            </w:r>
            <w:r w:rsidR="002A7862">
              <w:rPr>
                <w:rFonts w:eastAsia="MS Mincho" w:cstheme="minorHAnsi"/>
              </w:rPr>
              <w:t>≤</w:t>
            </w:r>
            <w:r w:rsidR="002A7862">
              <w:rPr>
                <w:rFonts w:eastAsia="MS Mincho"/>
              </w:rPr>
              <w:t>10</w:t>
            </w:r>
            <w:r w:rsidR="009E40F4">
              <w:rPr>
                <w:rFonts w:eastAsia="MS Mincho"/>
              </w:rPr>
              <w:t xml:space="preserve"> </w:t>
            </w:r>
            <w:r w:rsidR="002A7862">
              <w:rPr>
                <w:rFonts w:eastAsia="MS Mincho"/>
              </w:rPr>
              <w:t>ppm.</w:t>
            </w:r>
          </w:p>
          <w:p w14:paraId="6EC9A800" w14:textId="52C9C883" w:rsidR="00C5551B" w:rsidRPr="00061F78" w:rsidRDefault="00C5551B" w:rsidP="00F207DC">
            <w:pPr>
              <w:pStyle w:val="Tablewriting"/>
              <w:rPr>
                <w:rFonts w:eastAsia="MS Mincho"/>
              </w:rPr>
            </w:pPr>
            <w:r w:rsidRPr="0055171C">
              <w:rPr>
                <w:rFonts w:eastAsia="MS Mincho"/>
                <w:u w:val="single"/>
              </w:rPr>
              <w:t>Other</w:t>
            </w:r>
            <w:r>
              <w:rPr>
                <w:rFonts w:eastAsia="MS Mincho"/>
              </w:rPr>
              <w:t xml:space="preserve">: </w:t>
            </w:r>
            <w:r w:rsidR="0087144C">
              <w:rPr>
                <w:rFonts w:eastAsia="MS Mincho"/>
              </w:rPr>
              <w:t>w</w:t>
            </w:r>
            <w:r w:rsidR="0087144C" w:rsidRPr="0087144C">
              <w:rPr>
                <w:rFonts w:eastAsia="MS Mincho"/>
              </w:rPr>
              <w:t>eight change, withdrawal symptoms (using MNWS and mCEQ), adverse events</w:t>
            </w:r>
            <w:r w:rsidR="00AB5FA3">
              <w:rPr>
                <w:rFonts w:eastAsia="MS Mincho"/>
              </w:rPr>
              <w:t>.</w:t>
            </w:r>
          </w:p>
        </w:tc>
      </w:tr>
      <w:tr w:rsidR="00260CD7" w:rsidRPr="00061F78" w14:paraId="6D55C31D" w14:textId="77777777" w:rsidTr="00015CD6">
        <w:trPr>
          <w:trHeight w:val="99"/>
        </w:trPr>
        <w:tc>
          <w:tcPr>
            <w:tcW w:w="324" w:type="pct"/>
            <w:shd w:val="clear" w:color="auto" w:fill="D9D9D9" w:themeFill="background1" w:themeFillShade="D9"/>
            <w:tcMar>
              <w:left w:w="28" w:type="dxa"/>
              <w:right w:w="28" w:type="dxa"/>
            </w:tcMar>
          </w:tcPr>
          <w:p w14:paraId="7DB1C4B3" w14:textId="510A6FEF" w:rsidR="00C5551B" w:rsidRPr="00061F78" w:rsidRDefault="00C5551B" w:rsidP="00F207DC">
            <w:pPr>
              <w:pStyle w:val="Tablewriting"/>
              <w:rPr>
                <w:rFonts w:eastAsia="MS Mincho"/>
              </w:rPr>
            </w:pPr>
            <w:r w:rsidRPr="00B83AC1">
              <w:rPr>
                <w:rFonts w:eastAsia="MS Mincho"/>
              </w:rPr>
              <w:t>Anthenelli (EAGLES, 2016)</w:t>
            </w:r>
          </w:p>
        </w:tc>
        <w:tc>
          <w:tcPr>
            <w:tcW w:w="398" w:type="pct"/>
            <w:shd w:val="clear" w:color="auto" w:fill="D9D9D9" w:themeFill="background1" w:themeFillShade="D9"/>
          </w:tcPr>
          <w:p w14:paraId="27D404AF" w14:textId="77777777" w:rsidR="00C5551B" w:rsidRDefault="00C5551B"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0BC47895" w14:textId="77777777" w:rsidR="00C5551B" w:rsidRDefault="00C5551B" w:rsidP="00F207DC">
            <w:pPr>
              <w:pStyle w:val="Tablewriting"/>
              <w:rPr>
                <w:rFonts w:eastAsia="MS Mincho"/>
              </w:rPr>
            </w:pPr>
            <w:r>
              <w:rPr>
                <w:rFonts w:eastAsia="MS Mincho"/>
              </w:rPr>
              <w:t>N=8,144</w:t>
            </w:r>
          </w:p>
          <w:p w14:paraId="25119A67" w14:textId="58FDA88C" w:rsidR="00C5551B" w:rsidRDefault="00C5551B" w:rsidP="00F207DC">
            <w:pPr>
              <w:pStyle w:val="Tablewriting"/>
              <w:rPr>
                <w:rFonts w:eastAsia="MS Mincho"/>
              </w:rPr>
            </w:pPr>
            <w:r>
              <w:rPr>
                <w:rFonts w:eastAsia="MS Mincho"/>
              </w:rPr>
              <w:t>NRT (n=2,038)</w:t>
            </w:r>
            <w:r w:rsidR="0087144C">
              <w:rPr>
                <w:rFonts w:eastAsia="MS Mincho"/>
              </w:rPr>
              <w:t>,</w:t>
            </w:r>
          </w:p>
          <w:p w14:paraId="0B5298CA" w14:textId="220B433E" w:rsidR="00C5551B" w:rsidRPr="00061F78" w:rsidRDefault="00C5551B" w:rsidP="00F207DC">
            <w:pPr>
              <w:pStyle w:val="Tablewriting"/>
              <w:rPr>
                <w:rFonts w:eastAsia="MS Mincho"/>
              </w:rPr>
            </w:pPr>
            <w:r>
              <w:rPr>
                <w:rFonts w:eastAsia="MS Mincho"/>
              </w:rPr>
              <w:t xml:space="preserve">Varenicline (n=2,037) </w:t>
            </w:r>
          </w:p>
        </w:tc>
        <w:tc>
          <w:tcPr>
            <w:tcW w:w="1869" w:type="pct"/>
            <w:shd w:val="clear" w:color="auto" w:fill="D9D9D9" w:themeFill="background1" w:themeFillShade="D9"/>
            <w:tcMar>
              <w:left w:w="28" w:type="dxa"/>
              <w:right w:w="28" w:type="dxa"/>
            </w:tcMar>
          </w:tcPr>
          <w:p w14:paraId="2226A886" w14:textId="7937735A" w:rsidR="00C5551B" w:rsidRPr="00061F78" w:rsidRDefault="00214B8E" w:rsidP="00F207DC">
            <w:pPr>
              <w:pStyle w:val="Tablewriting"/>
              <w:rPr>
                <w:rFonts w:eastAsia="MS Mincho"/>
              </w:rPr>
            </w:pPr>
            <w:r>
              <w:rPr>
                <w:rFonts w:eastAsia="MS Mincho"/>
              </w:rPr>
              <w:t xml:space="preserve">See </w:t>
            </w:r>
            <w:r>
              <w:rPr>
                <w:rFonts w:eastAsia="MS Mincho"/>
              </w:rPr>
              <w:fldChar w:fldCharType="begin" w:fldLock="1"/>
            </w:r>
            <w:r>
              <w:rPr>
                <w:rFonts w:eastAsia="MS Mincho"/>
              </w:rPr>
              <w:instrText xml:space="preserve"> REF _Ref53569777 \h </w:instrText>
            </w:r>
            <w:r w:rsidR="007F751E">
              <w:rPr>
                <w:rFonts w:eastAsia="MS Mincho"/>
              </w:rPr>
              <w:instrText xml:space="preserve"> \* MERGEFORMAT </w:instrText>
            </w:r>
            <w:r>
              <w:rPr>
                <w:rFonts w:eastAsia="MS Mincho"/>
              </w:rPr>
            </w:r>
            <w:r>
              <w:rPr>
                <w:rFonts w:eastAsia="MS Mincho"/>
              </w:rPr>
              <w:fldChar w:fldCharType="separate"/>
            </w:r>
            <w:r w:rsidR="00EC5CC7">
              <w:t xml:space="preserve">Table </w:t>
            </w:r>
            <w:r w:rsidR="00EC5CC7">
              <w:rPr>
                <w:noProof/>
              </w:rPr>
              <w:t>14</w:t>
            </w:r>
            <w:r>
              <w:rPr>
                <w:rFonts w:eastAsia="MS Mincho"/>
              </w:rPr>
              <w:fldChar w:fldCharType="end"/>
            </w:r>
            <w:r>
              <w:rPr>
                <w:rFonts w:eastAsia="MS Mincho"/>
              </w:rPr>
              <w:t xml:space="preserve"> for inclusion and exclusion criteria of this study</w:t>
            </w:r>
            <w:r w:rsidR="00AB5FA3">
              <w:rPr>
                <w:rFonts w:eastAsia="MS Mincho"/>
              </w:rPr>
              <w:t>.</w:t>
            </w:r>
          </w:p>
        </w:tc>
        <w:tc>
          <w:tcPr>
            <w:tcW w:w="839" w:type="pct"/>
            <w:shd w:val="clear" w:color="auto" w:fill="D9D9D9" w:themeFill="background1" w:themeFillShade="D9"/>
          </w:tcPr>
          <w:p w14:paraId="12F8DF01" w14:textId="17202DC1" w:rsidR="00C5551B" w:rsidRDefault="00C5551B" w:rsidP="00F207DC">
            <w:pPr>
              <w:pStyle w:val="Tablewriting"/>
              <w:rPr>
                <w:rFonts w:eastAsia="MS Mincho"/>
              </w:rPr>
            </w:pPr>
            <w:r w:rsidRPr="00C5551B">
              <w:rPr>
                <w:rFonts w:eastAsia="MS Mincho"/>
              </w:rPr>
              <w:t>NRT: NRT patch</w:t>
            </w:r>
            <w:r w:rsidR="00C3700A">
              <w:rPr>
                <w:rFonts w:eastAsia="MS Mincho"/>
              </w:rPr>
              <w:t xml:space="preserve"> 21</w:t>
            </w:r>
            <w:r w:rsidR="009E40F4">
              <w:rPr>
                <w:rFonts w:eastAsia="MS Mincho"/>
              </w:rPr>
              <w:t xml:space="preserve"> </w:t>
            </w:r>
            <w:r w:rsidR="00C3700A">
              <w:rPr>
                <w:rFonts w:eastAsia="MS Mincho"/>
              </w:rPr>
              <w:t>mg/day with taper over 12 weeks</w:t>
            </w:r>
            <w:r w:rsidR="002B152C">
              <w:rPr>
                <w:rFonts w:eastAsia="MS Mincho"/>
              </w:rPr>
              <w:t>;</w:t>
            </w:r>
            <w:r w:rsidR="003E6726">
              <w:rPr>
                <w:rFonts w:eastAsia="MS Mincho"/>
              </w:rPr>
              <w:t xml:space="preserve"> </w:t>
            </w:r>
            <w:r w:rsidRPr="00C5551B">
              <w:rPr>
                <w:rFonts w:eastAsia="MS Mincho"/>
              </w:rPr>
              <w:t>Varenicline: 1</w:t>
            </w:r>
            <w:r w:rsidR="009E40F4">
              <w:rPr>
                <w:rFonts w:eastAsia="MS Mincho"/>
              </w:rPr>
              <w:t xml:space="preserve"> </w:t>
            </w:r>
            <w:r w:rsidRPr="00C5551B">
              <w:rPr>
                <w:rFonts w:eastAsia="MS Mincho"/>
              </w:rPr>
              <w:t xml:space="preserve">mg twice daily including titration </w:t>
            </w:r>
            <w:r w:rsidR="00C3700A">
              <w:rPr>
                <w:rFonts w:eastAsia="MS Mincho"/>
              </w:rPr>
              <w:t xml:space="preserve">over 12 weeks </w:t>
            </w:r>
            <w:r w:rsidRPr="00C5551B">
              <w:rPr>
                <w:rFonts w:eastAsia="MS Mincho"/>
              </w:rPr>
              <w:t>(</w:t>
            </w:r>
            <w:r w:rsidR="004C4EA7" w:rsidRPr="00C5551B">
              <w:rPr>
                <w:rFonts w:eastAsia="MS Mincho"/>
              </w:rPr>
              <w:t>i.e.,</w:t>
            </w:r>
            <w:r w:rsidRPr="00C5551B">
              <w:rPr>
                <w:rFonts w:eastAsia="MS Mincho"/>
              </w:rPr>
              <w:t xml:space="preserve"> 0.5</w:t>
            </w:r>
            <w:r w:rsidR="009E40F4">
              <w:rPr>
                <w:rFonts w:eastAsia="MS Mincho"/>
              </w:rPr>
              <w:t xml:space="preserve"> </w:t>
            </w:r>
            <w:r w:rsidRPr="00C5551B">
              <w:rPr>
                <w:rFonts w:eastAsia="MS Mincho"/>
              </w:rPr>
              <w:t>mg once daily for 3 days, then 0.5</w:t>
            </w:r>
            <w:r w:rsidR="009E40F4">
              <w:rPr>
                <w:rFonts w:eastAsia="MS Mincho"/>
              </w:rPr>
              <w:t xml:space="preserve"> </w:t>
            </w:r>
            <w:r w:rsidRPr="00C5551B">
              <w:rPr>
                <w:rFonts w:eastAsia="MS Mincho"/>
              </w:rPr>
              <w:t>mg twice daily for 4 days, then 1</w:t>
            </w:r>
            <w:r w:rsidR="009E40F4">
              <w:rPr>
                <w:rFonts w:eastAsia="MS Mincho"/>
              </w:rPr>
              <w:t xml:space="preserve"> </w:t>
            </w:r>
            <w:r w:rsidRPr="00C5551B">
              <w:rPr>
                <w:rFonts w:eastAsia="MS Mincho"/>
              </w:rPr>
              <w:t>mg twice daily)</w:t>
            </w:r>
            <w:r w:rsidR="00AB5FA3">
              <w:rPr>
                <w:rFonts w:eastAsia="MS Mincho"/>
              </w:rPr>
              <w:t>.</w:t>
            </w:r>
          </w:p>
          <w:p w14:paraId="59E9F7D8" w14:textId="77777777" w:rsidR="0091456E" w:rsidRDefault="0091456E" w:rsidP="00F207DC">
            <w:pPr>
              <w:pStyle w:val="Tablewriting"/>
              <w:rPr>
                <w:rFonts w:eastAsia="MS Mincho"/>
              </w:rPr>
            </w:pPr>
          </w:p>
          <w:p w14:paraId="0AB92A68" w14:textId="7628E9B5" w:rsidR="0091456E" w:rsidRPr="00A34E7B" w:rsidRDefault="0091456E" w:rsidP="00F207DC">
            <w:pPr>
              <w:pStyle w:val="Tablewriting"/>
              <w:rPr>
                <w:rFonts w:eastAsia="MS Mincho"/>
              </w:rPr>
            </w:pPr>
            <w:r w:rsidRPr="0091456E">
              <w:rPr>
                <w:rFonts w:eastAsia="MS Mincho"/>
              </w:rPr>
              <w:t>Behavioural support provided in both arms.</w:t>
            </w:r>
          </w:p>
        </w:tc>
        <w:tc>
          <w:tcPr>
            <w:tcW w:w="1225" w:type="pct"/>
            <w:shd w:val="clear" w:color="auto" w:fill="D9D9D9" w:themeFill="background1" w:themeFillShade="D9"/>
            <w:tcMar>
              <w:left w:w="28" w:type="dxa"/>
              <w:right w:w="28" w:type="dxa"/>
            </w:tcMar>
          </w:tcPr>
          <w:p w14:paraId="7C9C96CB" w14:textId="77777777" w:rsidR="00C5551B" w:rsidRDefault="00C5551B" w:rsidP="00F207DC">
            <w:pPr>
              <w:pStyle w:val="Tablewriting"/>
              <w:rPr>
                <w:rFonts w:eastAsia="MS Mincho"/>
              </w:rPr>
            </w:pPr>
            <w:r w:rsidRPr="008C39E4">
              <w:rPr>
                <w:rFonts w:eastAsia="MS Mincho"/>
                <w:u w:val="single"/>
              </w:rPr>
              <w:t>Primary</w:t>
            </w:r>
            <w:r>
              <w:rPr>
                <w:rFonts w:eastAsia="MS Mincho"/>
              </w:rPr>
              <w:t>: safety including adverse events</w:t>
            </w:r>
          </w:p>
          <w:p w14:paraId="1E51E0BC" w14:textId="1F57CDAC" w:rsidR="00C5551B" w:rsidRDefault="00C5551B" w:rsidP="00F207DC">
            <w:pPr>
              <w:pStyle w:val="Tablewriting"/>
              <w:rPr>
                <w:rFonts w:eastAsia="MS Mincho"/>
              </w:rPr>
            </w:pPr>
            <w:r w:rsidRPr="00C1753E">
              <w:rPr>
                <w:rFonts w:eastAsia="MS Mincho"/>
                <w:u w:val="single"/>
              </w:rPr>
              <w:t>Primary efficacy</w:t>
            </w:r>
            <w:r>
              <w:rPr>
                <w:rFonts w:eastAsia="MS Mincho"/>
              </w:rPr>
              <w:t>:</w:t>
            </w:r>
            <w:r>
              <w:t xml:space="preserve"> </w:t>
            </w:r>
            <w:r w:rsidR="00214B8E">
              <w:rPr>
                <w:rFonts w:eastAsia="MS Mincho"/>
              </w:rPr>
              <w:t>CAR</w:t>
            </w:r>
            <w:r w:rsidRPr="00C1753E">
              <w:rPr>
                <w:rFonts w:eastAsia="MS Mincho"/>
              </w:rPr>
              <w:t xml:space="preserve"> at </w:t>
            </w:r>
            <w:r w:rsidR="00D562FA">
              <w:rPr>
                <w:rFonts w:eastAsia="MS Mincho"/>
              </w:rPr>
              <w:t>w</w:t>
            </w:r>
            <w:r w:rsidRPr="00C1753E">
              <w:rPr>
                <w:rFonts w:eastAsia="MS Mincho"/>
              </w:rPr>
              <w:t>eek 9-12. Validated by CO</w:t>
            </w:r>
            <w:r w:rsidR="00AB1153">
              <w:rPr>
                <w:rFonts w:eastAsia="MS Mincho"/>
              </w:rPr>
              <w:t xml:space="preserve"> </w:t>
            </w:r>
            <w:r w:rsidRPr="00C1753E">
              <w:rPr>
                <w:rFonts w:eastAsia="MS Mincho"/>
              </w:rPr>
              <w:t>≤10</w:t>
            </w:r>
            <w:r w:rsidR="009E40F4">
              <w:rPr>
                <w:rFonts w:eastAsia="MS Mincho"/>
              </w:rPr>
              <w:t xml:space="preserve"> </w:t>
            </w:r>
            <w:r w:rsidRPr="00C1753E">
              <w:rPr>
                <w:rFonts w:eastAsia="MS Mincho"/>
              </w:rPr>
              <w:t>ppm.</w:t>
            </w:r>
            <w:r>
              <w:rPr>
                <w:rFonts w:eastAsia="MS Mincho"/>
              </w:rPr>
              <w:t xml:space="preserve"> </w:t>
            </w:r>
          </w:p>
          <w:p w14:paraId="462750DB" w14:textId="121C7A01" w:rsidR="00C5551B" w:rsidRPr="00061F78" w:rsidRDefault="00C5551B" w:rsidP="00F207DC">
            <w:pPr>
              <w:pStyle w:val="Tablewriting"/>
              <w:rPr>
                <w:rFonts w:eastAsia="MS Mincho"/>
              </w:rPr>
            </w:pPr>
            <w:r w:rsidRPr="00EF3594">
              <w:rPr>
                <w:rFonts w:eastAsia="MS Mincho"/>
                <w:u w:val="single"/>
              </w:rPr>
              <w:t>Secondary efficacy</w:t>
            </w:r>
            <w:r>
              <w:rPr>
                <w:rFonts w:eastAsia="MS Mincho"/>
              </w:rPr>
              <w:t xml:space="preserve">: </w:t>
            </w:r>
            <w:r w:rsidR="00214B8E">
              <w:rPr>
                <w:rFonts w:eastAsia="MS Mincho"/>
              </w:rPr>
              <w:t>CAR</w:t>
            </w:r>
            <w:r>
              <w:rPr>
                <w:rFonts w:eastAsia="MS Mincho"/>
              </w:rPr>
              <w:t xml:space="preserve"> at </w:t>
            </w:r>
            <w:r w:rsidR="00D562FA">
              <w:rPr>
                <w:rFonts w:eastAsia="MS Mincho"/>
              </w:rPr>
              <w:t>w</w:t>
            </w:r>
            <w:r>
              <w:rPr>
                <w:rFonts w:eastAsia="MS Mincho"/>
              </w:rPr>
              <w:t xml:space="preserve">eek 9-24. </w:t>
            </w:r>
            <w:r w:rsidRPr="00624207">
              <w:rPr>
                <w:rFonts w:eastAsia="MS Mincho"/>
              </w:rPr>
              <w:t xml:space="preserve">7-day PPA </w:t>
            </w:r>
            <w:r>
              <w:rPr>
                <w:rFonts w:eastAsia="MS Mincho"/>
              </w:rPr>
              <w:t>at all visits.</w:t>
            </w:r>
            <w:r w:rsidR="002A7862">
              <w:rPr>
                <w:rFonts w:eastAsia="MS Mincho"/>
              </w:rPr>
              <w:t xml:space="preserve"> Validated by CO </w:t>
            </w:r>
            <w:r w:rsidR="002A7862">
              <w:rPr>
                <w:rFonts w:eastAsia="MS Mincho" w:cstheme="minorHAnsi"/>
              </w:rPr>
              <w:t>≤</w:t>
            </w:r>
            <w:r w:rsidR="002A7862">
              <w:rPr>
                <w:rFonts w:eastAsia="MS Mincho"/>
              </w:rPr>
              <w:t>10</w:t>
            </w:r>
            <w:r w:rsidR="009E40F4">
              <w:rPr>
                <w:rFonts w:eastAsia="MS Mincho"/>
              </w:rPr>
              <w:t xml:space="preserve"> </w:t>
            </w:r>
            <w:r w:rsidR="002A7862">
              <w:rPr>
                <w:rFonts w:eastAsia="MS Mincho"/>
              </w:rPr>
              <w:t>ppm.</w:t>
            </w:r>
          </w:p>
        </w:tc>
      </w:tr>
      <w:tr w:rsidR="00260CD7" w:rsidRPr="00061F78" w14:paraId="10D35F70" w14:textId="77777777" w:rsidTr="00043556">
        <w:trPr>
          <w:trHeight w:val="149"/>
        </w:trPr>
        <w:tc>
          <w:tcPr>
            <w:tcW w:w="324" w:type="pct"/>
            <w:tcMar>
              <w:left w:w="28" w:type="dxa"/>
              <w:right w:w="28" w:type="dxa"/>
            </w:tcMar>
          </w:tcPr>
          <w:p w14:paraId="5B0D36C4" w14:textId="77777777" w:rsidR="00C5551B" w:rsidRDefault="00C5551B" w:rsidP="00F207DC">
            <w:pPr>
              <w:pStyle w:val="Tablewriting"/>
              <w:rPr>
                <w:rFonts w:eastAsia="MS Mincho"/>
              </w:rPr>
            </w:pPr>
            <w:r>
              <w:rPr>
                <w:rFonts w:eastAsia="MS Mincho"/>
              </w:rPr>
              <w:t>Cahill</w:t>
            </w:r>
          </w:p>
          <w:p w14:paraId="0E2B1C69" w14:textId="187516D8" w:rsidR="00C5551B" w:rsidRPr="004F1864" w:rsidRDefault="00C5551B" w:rsidP="00F207DC">
            <w:pPr>
              <w:pStyle w:val="Tablewriting"/>
              <w:rPr>
                <w:rFonts w:eastAsia="MS Mincho"/>
              </w:rPr>
            </w:pPr>
            <w:r>
              <w:rPr>
                <w:rFonts w:eastAsia="MS Mincho"/>
              </w:rPr>
              <w:t>(2016)</w:t>
            </w:r>
          </w:p>
        </w:tc>
        <w:tc>
          <w:tcPr>
            <w:tcW w:w="398" w:type="pct"/>
          </w:tcPr>
          <w:p w14:paraId="032AAA13" w14:textId="14B59810" w:rsidR="00C5551B" w:rsidRDefault="00C5551B" w:rsidP="00F207DC">
            <w:pPr>
              <w:pStyle w:val="Tablewriting"/>
              <w:rPr>
                <w:rFonts w:eastAsia="MS Mincho"/>
              </w:rPr>
            </w:pPr>
            <w:r>
              <w:rPr>
                <w:rFonts w:eastAsia="MS Mincho"/>
              </w:rPr>
              <w:t xml:space="preserve">Cochrane </w:t>
            </w:r>
            <w:r w:rsidR="00DC6241">
              <w:rPr>
                <w:rFonts w:eastAsia="MS Mincho"/>
              </w:rPr>
              <w:t>R</w:t>
            </w:r>
            <w:r>
              <w:rPr>
                <w:rFonts w:eastAsia="MS Mincho"/>
              </w:rPr>
              <w:t xml:space="preserve">eview    </w:t>
            </w:r>
          </w:p>
          <w:p w14:paraId="20130700" w14:textId="2F268213" w:rsidR="00C5551B" w:rsidRDefault="00C5551B" w:rsidP="00F207DC">
            <w:pPr>
              <w:pStyle w:val="Tablewriting"/>
              <w:rPr>
                <w:rFonts w:eastAsia="MS Mincho"/>
              </w:rPr>
            </w:pPr>
            <w:r>
              <w:rPr>
                <w:rFonts w:eastAsia="MS Mincho"/>
              </w:rPr>
              <w:t>(8 RCTs</w:t>
            </w:r>
            <w:r w:rsidR="00C3700A">
              <w:rPr>
                <w:rFonts w:eastAsia="MS Mincho"/>
                <w:vertAlign w:val="superscript"/>
              </w:rPr>
              <w:t>2</w:t>
            </w:r>
            <w:r>
              <w:rPr>
                <w:rFonts w:eastAsia="MS Mincho"/>
              </w:rPr>
              <w:t>)</w:t>
            </w:r>
          </w:p>
          <w:p w14:paraId="040AB95A" w14:textId="465AAFB2" w:rsidR="00C5551B" w:rsidRDefault="00C5551B" w:rsidP="00F207DC">
            <w:pPr>
              <w:pStyle w:val="Tablewriting"/>
              <w:rPr>
                <w:rFonts w:eastAsia="MS Mincho"/>
              </w:rPr>
            </w:pPr>
          </w:p>
        </w:tc>
        <w:tc>
          <w:tcPr>
            <w:tcW w:w="345" w:type="pct"/>
            <w:tcMar>
              <w:left w:w="28" w:type="dxa"/>
              <w:right w:w="28" w:type="dxa"/>
            </w:tcMar>
          </w:tcPr>
          <w:p w14:paraId="44F6A52A" w14:textId="0448672F" w:rsidR="00C5551B" w:rsidRDefault="00C5551B" w:rsidP="00F207DC">
            <w:pPr>
              <w:pStyle w:val="Tablewriting"/>
              <w:rPr>
                <w:rFonts w:eastAsia="MS Mincho"/>
              </w:rPr>
            </w:pPr>
            <w:r>
              <w:rPr>
                <w:rFonts w:eastAsia="MS Mincho"/>
              </w:rPr>
              <w:lastRenderedPageBreak/>
              <w:t>N=6,264</w:t>
            </w:r>
          </w:p>
          <w:p w14:paraId="496F3ABE" w14:textId="3A8A89CF" w:rsidR="00C5551B" w:rsidRDefault="00C5551B" w:rsidP="00F207DC">
            <w:pPr>
              <w:pStyle w:val="Tablewriting"/>
              <w:rPr>
                <w:rFonts w:eastAsia="MS Mincho"/>
              </w:rPr>
            </w:pPr>
            <w:r>
              <w:rPr>
                <w:rFonts w:eastAsia="MS Mincho"/>
              </w:rPr>
              <w:t>NRT (n=3,037),</w:t>
            </w:r>
          </w:p>
          <w:p w14:paraId="316D5C7C" w14:textId="476AA543" w:rsidR="00C5551B" w:rsidRPr="00061F78" w:rsidRDefault="00C5551B" w:rsidP="00F207DC">
            <w:pPr>
              <w:pStyle w:val="Tablewriting"/>
              <w:rPr>
                <w:rFonts w:eastAsia="MS Mincho"/>
              </w:rPr>
            </w:pPr>
            <w:r>
              <w:rPr>
                <w:rFonts w:eastAsia="MS Mincho"/>
              </w:rPr>
              <w:lastRenderedPageBreak/>
              <w:t>Varenicline (n=3,227)</w:t>
            </w:r>
          </w:p>
        </w:tc>
        <w:tc>
          <w:tcPr>
            <w:tcW w:w="1869" w:type="pct"/>
            <w:tcMar>
              <w:left w:w="28" w:type="dxa"/>
              <w:right w:w="28" w:type="dxa"/>
            </w:tcMar>
          </w:tcPr>
          <w:p w14:paraId="1D68EFB2" w14:textId="0C6EA55D" w:rsidR="00C5551B" w:rsidRDefault="00C5551B" w:rsidP="00F207DC">
            <w:pPr>
              <w:pStyle w:val="Tablewriting"/>
              <w:rPr>
                <w:rFonts w:eastAsia="MS Mincho"/>
              </w:rPr>
            </w:pPr>
            <w:r w:rsidRPr="002C19B4">
              <w:rPr>
                <w:rFonts w:eastAsia="MS Mincho"/>
                <w:u w:val="single"/>
              </w:rPr>
              <w:lastRenderedPageBreak/>
              <w:t>Inclusion</w:t>
            </w:r>
            <w:r>
              <w:rPr>
                <w:rFonts w:eastAsia="MS Mincho"/>
              </w:rPr>
              <w:t>: a</w:t>
            </w:r>
            <w:r w:rsidRPr="00054702">
              <w:rPr>
                <w:rFonts w:eastAsia="MS Mincho"/>
              </w:rPr>
              <w:t>dult smokers</w:t>
            </w:r>
            <w:r w:rsidR="00AB5FA3">
              <w:rPr>
                <w:rFonts w:eastAsia="MS Mincho"/>
              </w:rPr>
              <w:t>.</w:t>
            </w:r>
            <w:r>
              <w:rPr>
                <w:rFonts w:eastAsia="MS Mincho"/>
              </w:rPr>
              <w:t xml:space="preserve"> </w:t>
            </w:r>
          </w:p>
          <w:p w14:paraId="5001C4C6" w14:textId="0BCA8A00" w:rsidR="00C5551B" w:rsidRPr="00061F78" w:rsidRDefault="00C5551B" w:rsidP="00F207DC">
            <w:pPr>
              <w:pStyle w:val="Tablewriting"/>
              <w:rPr>
                <w:rFonts w:eastAsia="MS Mincho"/>
              </w:rPr>
            </w:pPr>
            <w:r w:rsidRPr="002C19B4">
              <w:rPr>
                <w:rFonts w:eastAsia="MS Mincho"/>
                <w:u w:val="single"/>
              </w:rPr>
              <w:t>Exclusion</w:t>
            </w:r>
            <w:r>
              <w:rPr>
                <w:rFonts w:eastAsia="MS Mincho"/>
              </w:rPr>
              <w:t>: t</w:t>
            </w:r>
            <w:r w:rsidRPr="00490E8A">
              <w:rPr>
                <w:rFonts w:eastAsia="MS Mincho"/>
              </w:rPr>
              <w:t>rials which target users of smokeless tobacco</w:t>
            </w:r>
            <w:r w:rsidR="00AB5FA3">
              <w:rPr>
                <w:rFonts w:eastAsia="MS Mincho"/>
              </w:rPr>
              <w:t>.</w:t>
            </w:r>
          </w:p>
        </w:tc>
        <w:tc>
          <w:tcPr>
            <w:tcW w:w="839" w:type="pct"/>
          </w:tcPr>
          <w:p w14:paraId="469F36C4" w14:textId="49AFBD60" w:rsidR="00C5551B" w:rsidRPr="00061F78" w:rsidRDefault="00C5551B" w:rsidP="00F207DC">
            <w:pPr>
              <w:pStyle w:val="Tablewriting"/>
              <w:rPr>
                <w:rFonts w:eastAsia="MS Mincho"/>
              </w:rPr>
            </w:pPr>
            <w:r>
              <w:rPr>
                <w:rFonts w:eastAsia="MS Mincho"/>
              </w:rPr>
              <w:t>NRT: NRT patch</w:t>
            </w:r>
            <w:r w:rsidR="002B152C">
              <w:rPr>
                <w:rFonts w:eastAsia="MS Mincho"/>
              </w:rPr>
              <w:t>;</w:t>
            </w:r>
            <w:r w:rsidR="003E6726">
              <w:rPr>
                <w:rFonts w:eastAsia="MS Mincho"/>
              </w:rPr>
              <w:t xml:space="preserve"> </w:t>
            </w:r>
            <w:r>
              <w:rPr>
                <w:rFonts w:eastAsia="MS Mincho"/>
              </w:rPr>
              <w:t>Varenicline: 1mg twice daily including titration</w:t>
            </w:r>
            <w:r w:rsidRPr="001B0165">
              <w:rPr>
                <w:rFonts w:eastAsia="MS Mincho"/>
              </w:rPr>
              <w:t xml:space="preserve"> </w:t>
            </w:r>
            <w:r w:rsidRPr="001B0165">
              <w:rPr>
                <w:rFonts w:eastAsia="MS Mincho"/>
              </w:rPr>
              <w:lastRenderedPageBreak/>
              <w:t>(</w:t>
            </w:r>
            <w:r w:rsidR="004C4EA7" w:rsidRPr="001B0165">
              <w:rPr>
                <w:rFonts w:eastAsia="MS Mincho"/>
              </w:rPr>
              <w:t>i.e.,</w:t>
            </w:r>
            <w:r w:rsidRPr="001B0165">
              <w:rPr>
                <w:rFonts w:eastAsia="MS Mincho"/>
              </w:rPr>
              <w:t xml:space="preserve"> 0.5</w:t>
            </w:r>
            <w:r w:rsidR="009E40F4">
              <w:rPr>
                <w:rFonts w:eastAsia="MS Mincho"/>
              </w:rPr>
              <w:t xml:space="preserve"> </w:t>
            </w:r>
            <w:r w:rsidRPr="001B0165">
              <w:rPr>
                <w:rFonts w:eastAsia="MS Mincho"/>
              </w:rPr>
              <w:t>mg once daily for 3 days, then 0.5</w:t>
            </w:r>
            <w:r w:rsidR="009E40F4">
              <w:rPr>
                <w:rFonts w:eastAsia="MS Mincho"/>
              </w:rPr>
              <w:t xml:space="preserve"> </w:t>
            </w:r>
            <w:r w:rsidRPr="001B0165">
              <w:rPr>
                <w:rFonts w:eastAsia="MS Mincho"/>
              </w:rPr>
              <w:t>mg twice daily for 4 days, then 1</w:t>
            </w:r>
            <w:r w:rsidR="009E40F4">
              <w:rPr>
                <w:rFonts w:eastAsia="MS Mincho"/>
              </w:rPr>
              <w:t xml:space="preserve"> </w:t>
            </w:r>
            <w:r w:rsidRPr="001B0165">
              <w:rPr>
                <w:rFonts w:eastAsia="MS Mincho"/>
              </w:rPr>
              <w:t>mg twice daily)</w:t>
            </w:r>
            <w:r w:rsidR="00AB5FA3">
              <w:rPr>
                <w:rFonts w:eastAsia="MS Mincho"/>
              </w:rPr>
              <w:t>.</w:t>
            </w:r>
          </w:p>
        </w:tc>
        <w:tc>
          <w:tcPr>
            <w:tcW w:w="1225" w:type="pct"/>
            <w:tcMar>
              <w:left w:w="28" w:type="dxa"/>
              <w:right w:w="28" w:type="dxa"/>
            </w:tcMar>
          </w:tcPr>
          <w:p w14:paraId="7A69D8FC" w14:textId="72361EA4" w:rsidR="00C5551B" w:rsidRDefault="00C5551B" w:rsidP="00F207DC">
            <w:pPr>
              <w:pStyle w:val="Tablewriting"/>
              <w:rPr>
                <w:rFonts w:eastAsia="MS Mincho"/>
              </w:rPr>
            </w:pPr>
            <w:r w:rsidRPr="0036499C">
              <w:rPr>
                <w:rFonts w:eastAsia="MS Mincho"/>
                <w:u w:val="single"/>
              </w:rPr>
              <w:lastRenderedPageBreak/>
              <w:t>Primary</w:t>
            </w:r>
            <w:r>
              <w:rPr>
                <w:rFonts w:eastAsia="MS Mincho"/>
              </w:rPr>
              <w:t>: point prevalence abstinence at 24 weeks</w:t>
            </w:r>
            <w:r w:rsidR="00AB5FA3">
              <w:rPr>
                <w:rFonts w:eastAsia="MS Mincho"/>
              </w:rPr>
              <w:t>.</w:t>
            </w:r>
          </w:p>
          <w:p w14:paraId="05F13037" w14:textId="78F555BF" w:rsidR="00C5551B" w:rsidRPr="00061F78" w:rsidRDefault="00C5551B" w:rsidP="00F207DC">
            <w:pPr>
              <w:pStyle w:val="Tablewriting"/>
              <w:rPr>
                <w:rFonts w:eastAsia="MS Mincho"/>
              </w:rPr>
            </w:pPr>
          </w:p>
        </w:tc>
      </w:tr>
      <w:tr w:rsidR="00742219" w:rsidRPr="00061F78" w14:paraId="3649A408" w14:textId="77777777" w:rsidTr="00043556">
        <w:trPr>
          <w:trHeight w:val="149"/>
        </w:trPr>
        <w:tc>
          <w:tcPr>
            <w:tcW w:w="324" w:type="pct"/>
            <w:tcMar>
              <w:left w:w="28" w:type="dxa"/>
              <w:right w:w="28" w:type="dxa"/>
            </w:tcMar>
          </w:tcPr>
          <w:p w14:paraId="0B32C65D" w14:textId="5EFA08F9" w:rsidR="008E2DD1" w:rsidRDefault="520F43DA" w:rsidP="00F207DC">
            <w:pPr>
              <w:pStyle w:val="Tablewriting"/>
              <w:rPr>
                <w:rFonts w:eastAsia="MS Mincho"/>
              </w:rPr>
            </w:pPr>
            <w:r>
              <w:rPr>
                <w:rFonts w:eastAsia="MS Mincho"/>
              </w:rPr>
              <w:t>Lerman (2015)</w:t>
            </w:r>
          </w:p>
        </w:tc>
        <w:tc>
          <w:tcPr>
            <w:tcW w:w="398" w:type="pct"/>
          </w:tcPr>
          <w:p w14:paraId="35F09143" w14:textId="348BC57B" w:rsidR="008E2DD1" w:rsidRDefault="008E2DD1" w:rsidP="00F207DC">
            <w:pPr>
              <w:pStyle w:val="Tablewriting"/>
              <w:rPr>
                <w:rFonts w:eastAsia="MS Mincho"/>
              </w:rPr>
            </w:pPr>
            <w:r>
              <w:rPr>
                <w:rFonts w:eastAsia="MS Mincho"/>
              </w:rPr>
              <w:t>RCT</w:t>
            </w:r>
          </w:p>
        </w:tc>
        <w:tc>
          <w:tcPr>
            <w:tcW w:w="345" w:type="pct"/>
            <w:tcMar>
              <w:left w:w="28" w:type="dxa"/>
              <w:right w:w="28" w:type="dxa"/>
            </w:tcMar>
          </w:tcPr>
          <w:p w14:paraId="09435D1D" w14:textId="1F5F9D9F" w:rsidR="00545740" w:rsidRDefault="008E2DD1" w:rsidP="00F207DC">
            <w:pPr>
              <w:pStyle w:val="Tablewriting"/>
              <w:rPr>
                <w:rFonts w:eastAsia="MS Mincho"/>
              </w:rPr>
            </w:pPr>
            <w:r>
              <w:rPr>
                <w:rFonts w:eastAsia="MS Mincho"/>
              </w:rPr>
              <w:t>N=1,246</w:t>
            </w:r>
          </w:p>
          <w:p w14:paraId="7857E8DD" w14:textId="0853A5A9" w:rsidR="00545740" w:rsidRDefault="00545740" w:rsidP="00F207DC">
            <w:pPr>
              <w:pStyle w:val="Tablewriting"/>
              <w:rPr>
                <w:rFonts w:eastAsia="MS Mincho"/>
              </w:rPr>
            </w:pPr>
            <w:r>
              <w:rPr>
                <w:rFonts w:eastAsia="MS Mincho"/>
              </w:rPr>
              <w:t>NRT (n=418),</w:t>
            </w:r>
          </w:p>
          <w:p w14:paraId="69018902" w14:textId="5AACE5F8" w:rsidR="008E2DD1" w:rsidRDefault="00545740" w:rsidP="00F207DC">
            <w:pPr>
              <w:pStyle w:val="Tablewriting"/>
              <w:rPr>
                <w:rFonts w:eastAsia="MS Mincho"/>
              </w:rPr>
            </w:pPr>
            <w:r>
              <w:rPr>
                <w:rFonts w:eastAsia="MS Mincho"/>
              </w:rPr>
              <w:t>Varenicline (n=420)</w:t>
            </w:r>
          </w:p>
        </w:tc>
        <w:tc>
          <w:tcPr>
            <w:tcW w:w="1869" w:type="pct"/>
            <w:tcMar>
              <w:left w:w="28" w:type="dxa"/>
              <w:right w:w="28" w:type="dxa"/>
            </w:tcMar>
          </w:tcPr>
          <w:p w14:paraId="48D10C2C" w14:textId="54C58C62" w:rsidR="008E2DD1" w:rsidRDefault="008E2DD1" w:rsidP="00F207DC">
            <w:pPr>
              <w:pStyle w:val="Tablewriting"/>
              <w:rPr>
                <w:rFonts w:eastAsia="MS Mincho"/>
              </w:rPr>
            </w:pPr>
            <w:r w:rsidRPr="007F28D7">
              <w:rPr>
                <w:rFonts w:eastAsia="MS Mincho"/>
                <w:u w:val="single"/>
              </w:rPr>
              <w:t>Inclusion</w:t>
            </w:r>
            <w:r>
              <w:rPr>
                <w:rFonts w:eastAsia="MS Mincho"/>
              </w:rPr>
              <w:t xml:space="preserve">: </w:t>
            </w:r>
            <w:r w:rsidRPr="00C522B0">
              <w:rPr>
                <w:rFonts w:eastAsia="MS Mincho"/>
              </w:rPr>
              <w:t>18</w:t>
            </w:r>
            <w:r>
              <w:rPr>
                <w:rFonts w:eastAsia="MS Mincho"/>
              </w:rPr>
              <w:t>-6</w:t>
            </w:r>
            <w:r w:rsidRPr="00C522B0">
              <w:rPr>
                <w:rFonts w:eastAsia="MS Mincho"/>
              </w:rPr>
              <w:t>5 years</w:t>
            </w:r>
            <w:r>
              <w:rPr>
                <w:rFonts w:eastAsia="MS Mincho"/>
              </w:rPr>
              <w:t xml:space="preserve"> old</w:t>
            </w:r>
            <w:r w:rsidRPr="00C522B0">
              <w:rPr>
                <w:rFonts w:eastAsia="MS Mincho"/>
              </w:rPr>
              <w:t>, ≥10 cigarettes</w:t>
            </w:r>
            <w:r>
              <w:rPr>
                <w:rFonts w:eastAsia="MS Mincho"/>
              </w:rPr>
              <w:t xml:space="preserve"> per </w:t>
            </w:r>
            <w:r w:rsidRPr="00C522B0">
              <w:rPr>
                <w:rFonts w:eastAsia="MS Mincho"/>
              </w:rPr>
              <w:t xml:space="preserve">day </w:t>
            </w:r>
            <w:r>
              <w:rPr>
                <w:rFonts w:eastAsia="MS Mincho"/>
              </w:rPr>
              <w:t xml:space="preserve">for </w:t>
            </w:r>
            <w:r>
              <w:rPr>
                <w:rFonts w:eastAsia="MS Mincho" w:cstheme="minorHAnsi"/>
              </w:rPr>
              <w:t>≥</w:t>
            </w:r>
            <w:r>
              <w:rPr>
                <w:rFonts w:eastAsia="MS Mincho"/>
              </w:rPr>
              <w:t>6 months (verified by CO &gt;10 ppm)</w:t>
            </w:r>
            <w:r w:rsidR="00AB5FA3">
              <w:rPr>
                <w:rFonts w:eastAsia="MS Mincho"/>
              </w:rPr>
              <w:t>.</w:t>
            </w:r>
          </w:p>
          <w:p w14:paraId="7AF2117A" w14:textId="16CCC2F6" w:rsidR="008E2DD1" w:rsidRPr="002C19B4" w:rsidRDefault="008E2DD1" w:rsidP="00F207DC">
            <w:pPr>
              <w:pStyle w:val="Tablewriting"/>
              <w:rPr>
                <w:rFonts w:eastAsia="MS Mincho"/>
                <w:u w:val="single"/>
              </w:rPr>
            </w:pPr>
            <w:r w:rsidRPr="007F28D7">
              <w:rPr>
                <w:rFonts w:eastAsia="MS Mincho"/>
                <w:u w:val="single"/>
              </w:rPr>
              <w:t>Exclusion</w:t>
            </w:r>
            <w:r>
              <w:rPr>
                <w:rFonts w:eastAsia="MS Mincho"/>
              </w:rPr>
              <w:t xml:space="preserve">: </w:t>
            </w:r>
            <w:r w:rsidRPr="002674DD">
              <w:rPr>
                <w:rFonts w:eastAsia="MS Mincho"/>
              </w:rPr>
              <w:t>use of non-cigarette tobacco products, e-cigarettes, or current smoking treatment;</w:t>
            </w:r>
            <w:r>
              <w:rPr>
                <w:rFonts w:eastAsia="MS Mincho"/>
              </w:rPr>
              <w:t xml:space="preserve"> </w:t>
            </w:r>
            <w:r w:rsidRPr="002674DD">
              <w:rPr>
                <w:rFonts w:eastAsia="MS Mincho"/>
              </w:rPr>
              <w:t>history of substance abuse treatment, current use of cocaine or methamphetamine, or &gt;25 alcoholic drinks/week; medical contraindication</w:t>
            </w:r>
            <w:r>
              <w:rPr>
                <w:rFonts w:eastAsia="MS Mincho"/>
              </w:rPr>
              <w:t>s</w:t>
            </w:r>
            <w:r w:rsidRPr="002674DD">
              <w:rPr>
                <w:rFonts w:eastAsia="MS Mincho"/>
              </w:rPr>
              <w:t>; history of DSM-IV Axis 1 psychiatric disorder or suicide risk score on the MINI International Neuropsychiatric Interview (MINI)&gt;1,or current major depression; current use of anti-psychotics, stimulants, opiate medications, anti-coagulants, rescue inhalers, anti</w:t>
            </w:r>
            <w:r>
              <w:rPr>
                <w:rFonts w:eastAsia="MS Mincho"/>
              </w:rPr>
              <w:t>-</w:t>
            </w:r>
            <w:r w:rsidRPr="002674DD">
              <w:rPr>
                <w:rFonts w:eastAsia="MS Mincho"/>
              </w:rPr>
              <w:t>arrythmics, or medications altering CYP2A6 activi</w:t>
            </w:r>
            <w:r>
              <w:rPr>
                <w:rFonts w:eastAsia="MS Mincho"/>
              </w:rPr>
              <w:t>ty</w:t>
            </w:r>
            <w:r w:rsidRPr="002674DD">
              <w:rPr>
                <w:rFonts w:eastAsia="MS Mincho"/>
              </w:rPr>
              <w:t>; and</w:t>
            </w:r>
            <w:r>
              <w:rPr>
                <w:rFonts w:eastAsia="MS Mincho"/>
              </w:rPr>
              <w:t xml:space="preserve"> </w:t>
            </w:r>
            <w:r w:rsidRPr="002674DD">
              <w:rPr>
                <w:rFonts w:eastAsia="MS Mincho"/>
              </w:rPr>
              <w:t>inability to provide informed consent or any condition that could compromise safety.</w:t>
            </w:r>
          </w:p>
        </w:tc>
        <w:tc>
          <w:tcPr>
            <w:tcW w:w="839" w:type="pct"/>
          </w:tcPr>
          <w:p w14:paraId="19A18ACB" w14:textId="49BEC247" w:rsidR="00545740" w:rsidRDefault="00545740" w:rsidP="00F207DC">
            <w:pPr>
              <w:pStyle w:val="Tablewriting"/>
              <w:rPr>
                <w:rFonts w:eastAsia="MS Mincho"/>
              </w:rPr>
            </w:pPr>
            <w:r w:rsidRPr="00C5551B">
              <w:rPr>
                <w:rFonts w:eastAsia="MS Mincho"/>
              </w:rPr>
              <w:t>NRT: NRT patch</w:t>
            </w:r>
            <w:r>
              <w:rPr>
                <w:rFonts w:eastAsia="MS Mincho"/>
              </w:rPr>
              <w:t xml:space="preserve"> over 1</w:t>
            </w:r>
            <w:r w:rsidR="00DE02EF">
              <w:rPr>
                <w:rFonts w:eastAsia="MS Mincho"/>
              </w:rPr>
              <w:t>1</w:t>
            </w:r>
            <w:r>
              <w:rPr>
                <w:rFonts w:eastAsia="MS Mincho"/>
              </w:rPr>
              <w:t xml:space="preserve"> weeks (21</w:t>
            </w:r>
            <w:r w:rsidR="009E40F4">
              <w:rPr>
                <w:rFonts w:eastAsia="MS Mincho"/>
              </w:rPr>
              <w:t xml:space="preserve"> </w:t>
            </w:r>
            <w:r>
              <w:rPr>
                <w:rFonts w:eastAsia="MS Mincho"/>
              </w:rPr>
              <w:t>mg/day first 6 weeks, 14</w:t>
            </w:r>
            <w:r w:rsidR="00DE02EF">
              <w:rPr>
                <w:rFonts w:eastAsia="MS Mincho"/>
              </w:rPr>
              <w:t xml:space="preserve"> </w:t>
            </w:r>
            <w:r>
              <w:rPr>
                <w:rFonts w:eastAsia="MS Mincho"/>
              </w:rPr>
              <w:t>mg/day for 2 weeks then 7</w:t>
            </w:r>
            <w:r w:rsidR="00DE02EF">
              <w:rPr>
                <w:rFonts w:eastAsia="MS Mincho"/>
              </w:rPr>
              <w:t xml:space="preserve"> </w:t>
            </w:r>
            <w:r>
              <w:rPr>
                <w:rFonts w:eastAsia="MS Mincho"/>
              </w:rPr>
              <w:t xml:space="preserve">mg/day for </w:t>
            </w:r>
            <w:r w:rsidR="00DE02EF">
              <w:rPr>
                <w:rFonts w:eastAsia="MS Mincho"/>
              </w:rPr>
              <w:t>3</w:t>
            </w:r>
            <w:r>
              <w:rPr>
                <w:rFonts w:eastAsia="MS Mincho"/>
              </w:rPr>
              <w:t xml:space="preserve"> weeks)</w:t>
            </w:r>
            <w:r w:rsidR="002B152C">
              <w:rPr>
                <w:rFonts w:eastAsia="MS Mincho"/>
              </w:rPr>
              <w:t>;</w:t>
            </w:r>
            <w:r w:rsidR="003E6726">
              <w:rPr>
                <w:rFonts w:eastAsia="MS Mincho"/>
              </w:rPr>
              <w:t xml:space="preserve"> </w:t>
            </w:r>
            <w:r w:rsidRPr="00C5551B">
              <w:rPr>
                <w:rFonts w:eastAsia="MS Mincho"/>
              </w:rPr>
              <w:t>Varenicline: 1</w:t>
            </w:r>
            <w:r w:rsidR="00DE02EF">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w:t>
            </w:r>
            <w:r w:rsidR="004C4EA7" w:rsidRPr="00C5551B">
              <w:rPr>
                <w:rFonts w:eastAsia="MS Mincho"/>
              </w:rPr>
              <w:t>i.e.,</w:t>
            </w:r>
            <w:r w:rsidRPr="00C5551B">
              <w:rPr>
                <w:rFonts w:eastAsia="MS Mincho"/>
              </w:rPr>
              <w:t xml:space="preserve"> 0.5</w:t>
            </w:r>
            <w:r w:rsidR="00DE02EF">
              <w:rPr>
                <w:rFonts w:eastAsia="MS Mincho"/>
              </w:rPr>
              <w:t xml:space="preserve"> </w:t>
            </w:r>
            <w:r w:rsidRPr="00C5551B">
              <w:rPr>
                <w:rFonts w:eastAsia="MS Mincho"/>
              </w:rPr>
              <w:t>mg once daily for 3 days, then 0.5</w:t>
            </w:r>
            <w:r w:rsidR="00DE02EF">
              <w:rPr>
                <w:rFonts w:eastAsia="MS Mincho"/>
              </w:rPr>
              <w:t xml:space="preserve"> </w:t>
            </w:r>
            <w:r w:rsidRPr="00C5551B">
              <w:rPr>
                <w:rFonts w:eastAsia="MS Mincho"/>
              </w:rPr>
              <w:t>mg twice daily for 4 days, then 1</w:t>
            </w:r>
            <w:r w:rsidR="00DE02EF">
              <w:rPr>
                <w:rFonts w:eastAsia="MS Mincho"/>
              </w:rPr>
              <w:t xml:space="preserve"> </w:t>
            </w:r>
            <w:r w:rsidRPr="00C5551B">
              <w:rPr>
                <w:rFonts w:eastAsia="MS Mincho"/>
              </w:rPr>
              <w:t>mg twice daily)</w:t>
            </w:r>
            <w:r w:rsidR="00AB5FA3">
              <w:rPr>
                <w:rFonts w:eastAsia="MS Mincho"/>
              </w:rPr>
              <w:t>.</w:t>
            </w:r>
          </w:p>
          <w:p w14:paraId="73A9AB51" w14:textId="77777777" w:rsidR="008E2DD1" w:rsidRDefault="008E2DD1" w:rsidP="00F207DC">
            <w:pPr>
              <w:pStyle w:val="Tablewriting"/>
              <w:rPr>
                <w:rFonts w:eastAsia="MS Mincho"/>
              </w:rPr>
            </w:pPr>
          </w:p>
          <w:p w14:paraId="339569E9" w14:textId="3A27CCD6" w:rsidR="008E2DD1" w:rsidRDefault="008E2DD1" w:rsidP="00F207DC">
            <w:pPr>
              <w:pStyle w:val="Tablewriting"/>
              <w:rPr>
                <w:rFonts w:eastAsia="MS Mincho"/>
              </w:rPr>
            </w:pPr>
            <w:r w:rsidRPr="006C0130">
              <w:rPr>
                <w:rFonts w:eastAsia="MS Mincho"/>
              </w:rPr>
              <w:t>Behavioural support provided in both arms.</w:t>
            </w:r>
          </w:p>
        </w:tc>
        <w:tc>
          <w:tcPr>
            <w:tcW w:w="1225" w:type="pct"/>
            <w:tcMar>
              <w:left w:w="28" w:type="dxa"/>
              <w:right w:w="28" w:type="dxa"/>
            </w:tcMar>
          </w:tcPr>
          <w:p w14:paraId="569B900F" w14:textId="1CAC5B12" w:rsidR="008E2DD1" w:rsidRDefault="008E2DD1" w:rsidP="00F207DC">
            <w:pPr>
              <w:pStyle w:val="Tablewriting"/>
              <w:rPr>
                <w:rFonts w:eastAsia="MS Mincho"/>
              </w:rPr>
            </w:pPr>
            <w:r w:rsidRPr="008C39E4">
              <w:rPr>
                <w:rFonts w:eastAsia="MS Mincho"/>
                <w:u w:val="single"/>
              </w:rPr>
              <w:t>Primary</w:t>
            </w:r>
            <w:r>
              <w:rPr>
                <w:rFonts w:eastAsia="MS Mincho"/>
              </w:rPr>
              <w:t xml:space="preserve">: 7-day PPA at </w:t>
            </w:r>
            <w:r w:rsidR="00D562FA">
              <w:rPr>
                <w:rFonts w:eastAsia="MS Mincho"/>
              </w:rPr>
              <w:t>w</w:t>
            </w:r>
            <w:r>
              <w:rPr>
                <w:rFonts w:eastAsia="MS Mincho"/>
              </w:rPr>
              <w:t>eek 11 (end of treatment). Validated by CO &lt;8 ppm.</w:t>
            </w:r>
          </w:p>
          <w:p w14:paraId="060CDB67" w14:textId="694F8AAA" w:rsidR="008E2DD1" w:rsidRPr="0036499C" w:rsidRDefault="008E2DD1" w:rsidP="00F207DC">
            <w:pPr>
              <w:pStyle w:val="Tablewriting"/>
              <w:rPr>
                <w:rFonts w:eastAsia="MS Mincho"/>
                <w:u w:val="single"/>
              </w:rPr>
            </w:pPr>
            <w:r w:rsidRPr="008C39E4">
              <w:rPr>
                <w:rFonts w:eastAsia="MS Mincho"/>
                <w:u w:val="single"/>
              </w:rPr>
              <w:t>Secondary</w:t>
            </w:r>
            <w:r>
              <w:rPr>
                <w:rFonts w:eastAsia="MS Mincho"/>
              </w:rPr>
              <w:t>: 7-day PPA at 6 and 12 months, adverse events, w</w:t>
            </w:r>
            <w:r w:rsidRPr="00C6077A">
              <w:rPr>
                <w:rFonts w:eastAsia="MS Mincho"/>
              </w:rPr>
              <w:t>ithdrawal symptoms (using MNWS)</w:t>
            </w:r>
            <w:r w:rsidR="00AB5FA3">
              <w:rPr>
                <w:rFonts w:eastAsia="MS Mincho"/>
              </w:rPr>
              <w:t>.</w:t>
            </w:r>
          </w:p>
        </w:tc>
      </w:tr>
      <w:tr w:rsidR="00043556" w:rsidRPr="00061F78" w14:paraId="65DEA3BC" w14:textId="77777777" w:rsidTr="00043556">
        <w:trPr>
          <w:trHeight w:val="149"/>
        </w:trPr>
        <w:tc>
          <w:tcPr>
            <w:tcW w:w="324" w:type="pct"/>
            <w:tcMar>
              <w:left w:w="28" w:type="dxa"/>
              <w:right w:w="28" w:type="dxa"/>
            </w:tcMar>
          </w:tcPr>
          <w:p w14:paraId="5FAC19E6" w14:textId="77777777" w:rsidR="00043556" w:rsidRDefault="00043556" w:rsidP="00F207DC">
            <w:pPr>
              <w:pStyle w:val="Tablewriting"/>
              <w:rPr>
                <w:rFonts w:eastAsia="MS Mincho"/>
              </w:rPr>
            </w:pPr>
            <w:r>
              <w:rPr>
                <w:rFonts w:eastAsia="MS Mincho"/>
              </w:rPr>
              <w:t>Tulloch</w:t>
            </w:r>
          </w:p>
          <w:p w14:paraId="499D2D25" w14:textId="09636884" w:rsidR="00043556" w:rsidRDefault="176D82EB" w:rsidP="00F207DC">
            <w:pPr>
              <w:pStyle w:val="Tablewriting"/>
              <w:rPr>
                <w:rFonts w:eastAsia="MS Mincho"/>
              </w:rPr>
            </w:pPr>
            <w:r>
              <w:rPr>
                <w:rFonts w:eastAsia="MS Mincho"/>
              </w:rPr>
              <w:t>(2016)</w:t>
            </w:r>
          </w:p>
        </w:tc>
        <w:tc>
          <w:tcPr>
            <w:tcW w:w="398" w:type="pct"/>
          </w:tcPr>
          <w:p w14:paraId="2DD9B704" w14:textId="5BF145F3" w:rsidR="00043556" w:rsidRDefault="00043556" w:rsidP="00F207DC">
            <w:pPr>
              <w:pStyle w:val="Tablewriting"/>
              <w:rPr>
                <w:rFonts w:eastAsia="MS Mincho"/>
              </w:rPr>
            </w:pPr>
            <w:r>
              <w:rPr>
                <w:rFonts w:eastAsia="MS Mincho"/>
              </w:rPr>
              <w:t>RCT</w:t>
            </w:r>
          </w:p>
        </w:tc>
        <w:tc>
          <w:tcPr>
            <w:tcW w:w="345" w:type="pct"/>
            <w:tcMar>
              <w:left w:w="28" w:type="dxa"/>
              <w:right w:w="28" w:type="dxa"/>
            </w:tcMar>
          </w:tcPr>
          <w:p w14:paraId="458220AC" w14:textId="534EEBFA" w:rsidR="00043556" w:rsidRDefault="00043556" w:rsidP="00F207DC">
            <w:pPr>
              <w:pStyle w:val="Tablewriting"/>
              <w:rPr>
                <w:rFonts w:eastAsia="MS Mincho"/>
              </w:rPr>
            </w:pPr>
            <w:r>
              <w:rPr>
                <w:rFonts w:eastAsia="MS Mincho"/>
              </w:rPr>
              <w:t>N=737</w:t>
            </w:r>
          </w:p>
          <w:p w14:paraId="2C2C3678" w14:textId="5F69D05A" w:rsidR="00043556" w:rsidRDefault="00043556" w:rsidP="00F207DC">
            <w:pPr>
              <w:pStyle w:val="Tablewriting"/>
              <w:rPr>
                <w:rFonts w:eastAsia="MS Mincho"/>
              </w:rPr>
            </w:pPr>
            <w:r>
              <w:rPr>
                <w:rFonts w:eastAsia="MS Mincho"/>
              </w:rPr>
              <w:t>NRT (n=245),</w:t>
            </w:r>
          </w:p>
          <w:p w14:paraId="144ECE60" w14:textId="242DBEC3" w:rsidR="00043556" w:rsidRDefault="00043556" w:rsidP="00F207DC">
            <w:pPr>
              <w:pStyle w:val="Tablewriting"/>
              <w:rPr>
                <w:rFonts w:eastAsia="MS Mincho"/>
              </w:rPr>
            </w:pPr>
            <w:r>
              <w:rPr>
                <w:rFonts w:eastAsia="MS Mincho"/>
              </w:rPr>
              <w:t>Varenicline (n=247)</w:t>
            </w:r>
          </w:p>
        </w:tc>
        <w:tc>
          <w:tcPr>
            <w:tcW w:w="1869" w:type="pct"/>
            <w:tcMar>
              <w:left w:w="28" w:type="dxa"/>
              <w:right w:w="28" w:type="dxa"/>
            </w:tcMar>
          </w:tcPr>
          <w:p w14:paraId="20EE6FC3" w14:textId="27F5166D" w:rsidR="00043556" w:rsidRDefault="00043556" w:rsidP="00F207DC">
            <w:pPr>
              <w:pStyle w:val="Tablewriting"/>
              <w:rPr>
                <w:rFonts w:eastAsia="MS Mincho"/>
              </w:rPr>
            </w:pPr>
            <w:r w:rsidRPr="007F28D7">
              <w:rPr>
                <w:rFonts w:eastAsia="MS Mincho"/>
                <w:u w:val="single"/>
              </w:rPr>
              <w:t>Inclusion</w:t>
            </w:r>
            <w:r>
              <w:rPr>
                <w:rFonts w:eastAsia="MS Mincho"/>
              </w:rPr>
              <w:t xml:space="preserve">: </w:t>
            </w:r>
            <w:r w:rsidR="00DB39BC">
              <w:rPr>
                <w:rFonts w:eastAsia="MS Mincho" w:cstheme="minorHAnsi"/>
              </w:rPr>
              <w:t>≥</w:t>
            </w:r>
            <w:r w:rsidR="00DB39BC">
              <w:rPr>
                <w:rFonts w:eastAsia="MS Mincho"/>
              </w:rPr>
              <w:t>1</w:t>
            </w:r>
            <w:r w:rsidR="00DB39BC" w:rsidRPr="00DB39BC">
              <w:rPr>
                <w:rFonts w:eastAsia="MS Mincho"/>
              </w:rPr>
              <w:t>8 years old, ≥10 cigarettes per day, willing to make a quit attempt in the next 2–4 weeks.</w:t>
            </w:r>
          </w:p>
          <w:p w14:paraId="2E4FFC03" w14:textId="79DDA4EE" w:rsidR="00043556" w:rsidRPr="002C19B4" w:rsidRDefault="00043556" w:rsidP="00F207DC">
            <w:pPr>
              <w:pStyle w:val="Tablewriting"/>
              <w:rPr>
                <w:rFonts w:eastAsia="MS Mincho"/>
                <w:u w:val="single"/>
              </w:rPr>
            </w:pPr>
            <w:r w:rsidRPr="007F28D7">
              <w:rPr>
                <w:rFonts w:eastAsia="MS Mincho"/>
                <w:u w:val="single"/>
              </w:rPr>
              <w:t>Exclusion</w:t>
            </w:r>
            <w:r>
              <w:rPr>
                <w:rFonts w:eastAsia="MS Mincho"/>
              </w:rPr>
              <w:t xml:space="preserve">: </w:t>
            </w:r>
            <w:r w:rsidR="00046CAD" w:rsidRPr="00046CAD">
              <w:rPr>
                <w:rFonts w:eastAsia="MS Mincho"/>
              </w:rPr>
              <w:t>use of NRT or varenicline for more than 72</w:t>
            </w:r>
            <w:r w:rsidR="00046CAD">
              <w:rPr>
                <w:rFonts w:eastAsia="MS Mincho"/>
              </w:rPr>
              <w:t xml:space="preserve"> </w:t>
            </w:r>
            <w:r w:rsidR="00046CAD" w:rsidRPr="00046CAD">
              <w:rPr>
                <w:rFonts w:eastAsia="MS Mincho"/>
              </w:rPr>
              <w:t>consecutive hours in the past month; presence of contra-indications to the use of study medications; serious cardiac arrhythmias or a myocardial infarction or cerebral vascular accident within the previous 10 days; severe or unstable angina pectoris; end-stage renal disease or use of cimetidine; alcohol or substance abuse in the previous 3 months; unstable psychiatric symptoms precluding informed consent;</w:t>
            </w:r>
            <w:r w:rsidR="00EF06C9">
              <w:rPr>
                <w:rFonts w:eastAsia="MS Mincho"/>
              </w:rPr>
              <w:t xml:space="preserve"> </w:t>
            </w:r>
            <w:r w:rsidR="00046CAD" w:rsidRPr="00046CAD">
              <w:rPr>
                <w:rFonts w:eastAsia="MS Mincho"/>
              </w:rPr>
              <w:t>pregnant, lactating, or likely to become pregnant in the next y</w:t>
            </w:r>
            <w:r w:rsidR="00EF06C9">
              <w:rPr>
                <w:rFonts w:eastAsia="MS Mincho"/>
              </w:rPr>
              <w:t>ear.</w:t>
            </w:r>
          </w:p>
        </w:tc>
        <w:tc>
          <w:tcPr>
            <w:tcW w:w="839" w:type="pct"/>
          </w:tcPr>
          <w:p w14:paraId="79FEF6C4" w14:textId="56B4DC0D" w:rsidR="00043556" w:rsidRDefault="00043556" w:rsidP="00F207DC">
            <w:pPr>
              <w:pStyle w:val="Tablewriting"/>
              <w:rPr>
                <w:rFonts w:eastAsia="MS Mincho"/>
              </w:rPr>
            </w:pPr>
            <w:r w:rsidRPr="00C5551B">
              <w:rPr>
                <w:rFonts w:eastAsia="MS Mincho"/>
              </w:rPr>
              <w:t>NRT: NRT patch</w:t>
            </w:r>
            <w:r>
              <w:rPr>
                <w:rFonts w:eastAsia="MS Mincho"/>
              </w:rPr>
              <w:t xml:space="preserve"> over 1</w:t>
            </w:r>
            <w:r w:rsidR="00EF06C9">
              <w:rPr>
                <w:rFonts w:eastAsia="MS Mincho"/>
              </w:rPr>
              <w:t>0</w:t>
            </w:r>
            <w:r>
              <w:rPr>
                <w:rFonts w:eastAsia="MS Mincho"/>
              </w:rPr>
              <w:t xml:space="preserve"> weeks (</w:t>
            </w:r>
            <w:r w:rsidR="0080219B">
              <w:rPr>
                <w:rFonts w:eastAsia="MS Mincho" w:cstheme="minorHAnsi"/>
              </w:rPr>
              <w:t>≥</w:t>
            </w:r>
            <w:r w:rsidR="0080219B">
              <w:rPr>
                <w:rFonts w:eastAsia="MS Mincho"/>
              </w:rPr>
              <w:t xml:space="preserve">20 cigarettes per day: </w:t>
            </w:r>
            <w:r>
              <w:rPr>
                <w:rFonts w:eastAsia="MS Mincho"/>
              </w:rPr>
              <w:t xml:space="preserve">21 mg/day first 6 weeks, 14 mg/day for 2 weeks then 7 mg/day for </w:t>
            </w:r>
            <w:r w:rsidR="0080219B">
              <w:rPr>
                <w:rFonts w:eastAsia="MS Mincho"/>
              </w:rPr>
              <w:t>2</w:t>
            </w:r>
            <w:r>
              <w:rPr>
                <w:rFonts w:eastAsia="MS Mincho"/>
              </w:rPr>
              <w:t xml:space="preserve"> weeks</w:t>
            </w:r>
            <w:r w:rsidR="0080219B">
              <w:rPr>
                <w:rFonts w:eastAsia="MS Mincho"/>
              </w:rPr>
              <w:t xml:space="preserve">; </w:t>
            </w:r>
            <w:r w:rsidR="00261D63">
              <w:rPr>
                <w:rFonts w:eastAsia="MS Mincho"/>
              </w:rPr>
              <w:t>&lt;20 cigarettes per day: 14 mg/day for 6 weeks then 7 mg/day for 4 weeks</w:t>
            </w:r>
            <w:r>
              <w:rPr>
                <w:rFonts w:eastAsia="MS Mincho"/>
              </w:rPr>
              <w:t>)</w:t>
            </w:r>
            <w:r w:rsidR="002B152C">
              <w:rPr>
                <w:rFonts w:eastAsia="MS Mincho"/>
              </w:rPr>
              <w:t>;</w:t>
            </w:r>
            <w:r w:rsidR="003E6726">
              <w:rPr>
                <w:rFonts w:eastAsia="MS Mincho"/>
              </w:rPr>
              <w:t xml:space="preserve"> </w:t>
            </w:r>
            <w:r w:rsidRPr="00C5551B">
              <w:rPr>
                <w:rFonts w:eastAsia="MS Mincho"/>
              </w:rPr>
              <w:t>Varenicline: 1</w:t>
            </w:r>
            <w:r>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w:t>
            </w:r>
            <w:r w:rsidR="004C4EA7" w:rsidRPr="00C5551B">
              <w:rPr>
                <w:rFonts w:eastAsia="MS Mincho"/>
              </w:rPr>
              <w:t>i.e.,</w:t>
            </w:r>
            <w:r w:rsidRPr="00C5551B">
              <w:rPr>
                <w:rFonts w:eastAsia="MS Mincho"/>
              </w:rPr>
              <w:t xml:space="preserve"> 0.5</w:t>
            </w:r>
            <w:r>
              <w:rPr>
                <w:rFonts w:eastAsia="MS Mincho"/>
              </w:rPr>
              <w:t xml:space="preserve"> </w:t>
            </w:r>
            <w:r w:rsidRPr="00C5551B">
              <w:rPr>
                <w:rFonts w:eastAsia="MS Mincho"/>
              </w:rPr>
              <w:t>mg once daily for 3 days, then 0.5</w:t>
            </w:r>
            <w:r>
              <w:rPr>
                <w:rFonts w:eastAsia="MS Mincho"/>
              </w:rPr>
              <w:t xml:space="preserve"> </w:t>
            </w:r>
            <w:r w:rsidRPr="00C5551B">
              <w:rPr>
                <w:rFonts w:eastAsia="MS Mincho"/>
              </w:rPr>
              <w:t>mg twice daily for 4 days, then 1</w:t>
            </w:r>
            <w:r>
              <w:rPr>
                <w:rFonts w:eastAsia="MS Mincho"/>
              </w:rPr>
              <w:t xml:space="preserve"> </w:t>
            </w:r>
            <w:r w:rsidRPr="00C5551B">
              <w:rPr>
                <w:rFonts w:eastAsia="MS Mincho"/>
              </w:rPr>
              <w:t>mg twice daily)</w:t>
            </w:r>
            <w:r w:rsidR="00AB5FA3">
              <w:rPr>
                <w:rFonts w:eastAsia="MS Mincho"/>
              </w:rPr>
              <w:t>.</w:t>
            </w:r>
          </w:p>
          <w:p w14:paraId="454DB503" w14:textId="77777777" w:rsidR="00043556" w:rsidRDefault="00043556" w:rsidP="00F207DC">
            <w:pPr>
              <w:pStyle w:val="Tablewriting"/>
              <w:rPr>
                <w:rFonts w:eastAsia="MS Mincho"/>
              </w:rPr>
            </w:pPr>
          </w:p>
          <w:p w14:paraId="4D83CF56" w14:textId="51261F03" w:rsidR="00043556" w:rsidRDefault="00043556" w:rsidP="00F207DC">
            <w:pPr>
              <w:pStyle w:val="Tablewriting"/>
              <w:rPr>
                <w:rFonts w:eastAsia="MS Mincho"/>
              </w:rPr>
            </w:pPr>
            <w:r w:rsidRPr="006C0130">
              <w:rPr>
                <w:rFonts w:eastAsia="MS Mincho"/>
              </w:rPr>
              <w:lastRenderedPageBreak/>
              <w:t>Behavioural support provided in both arms.</w:t>
            </w:r>
          </w:p>
        </w:tc>
        <w:tc>
          <w:tcPr>
            <w:tcW w:w="1225" w:type="pct"/>
            <w:tcMar>
              <w:left w:w="28" w:type="dxa"/>
              <w:right w:w="28" w:type="dxa"/>
            </w:tcMar>
          </w:tcPr>
          <w:p w14:paraId="3E8097A6" w14:textId="63C1444A" w:rsidR="00043556" w:rsidRDefault="00043556" w:rsidP="00F207DC">
            <w:pPr>
              <w:pStyle w:val="Tablewriting"/>
              <w:rPr>
                <w:rFonts w:eastAsia="MS Mincho"/>
              </w:rPr>
            </w:pPr>
            <w:r w:rsidRPr="008C39E4">
              <w:rPr>
                <w:rFonts w:eastAsia="MS Mincho"/>
                <w:u w:val="single"/>
              </w:rPr>
              <w:lastRenderedPageBreak/>
              <w:t>Primary</w:t>
            </w:r>
            <w:r>
              <w:rPr>
                <w:rFonts w:eastAsia="MS Mincho"/>
              </w:rPr>
              <w:t xml:space="preserve">: </w:t>
            </w:r>
            <w:r w:rsidR="005A23B1">
              <w:rPr>
                <w:rFonts w:eastAsia="MS Mincho"/>
              </w:rPr>
              <w:t xml:space="preserve">CAR at </w:t>
            </w:r>
            <w:r w:rsidR="00D562FA">
              <w:rPr>
                <w:rFonts w:eastAsia="MS Mincho"/>
              </w:rPr>
              <w:t>w</w:t>
            </w:r>
            <w:r w:rsidR="005A23B1">
              <w:rPr>
                <w:rFonts w:eastAsia="MS Mincho"/>
              </w:rPr>
              <w:t>eek 5-52</w:t>
            </w:r>
            <w:r>
              <w:rPr>
                <w:rFonts w:eastAsia="MS Mincho"/>
              </w:rPr>
              <w:t xml:space="preserve">. Validated by CO </w:t>
            </w:r>
            <w:r w:rsidR="00F83110">
              <w:rPr>
                <w:rFonts w:eastAsia="MS Mincho" w:cstheme="minorHAnsi"/>
              </w:rPr>
              <w:t>≤</w:t>
            </w:r>
            <w:r w:rsidR="00F83110">
              <w:rPr>
                <w:rFonts w:eastAsia="MS Mincho"/>
              </w:rPr>
              <w:t>9</w:t>
            </w:r>
            <w:r>
              <w:rPr>
                <w:rFonts w:eastAsia="MS Mincho"/>
              </w:rPr>
              <w:t xml:space="preserve"> ppm.</w:t>
            </w:r>
          </w:p>
          <w:p w14:paraId="54B604B0" w14:textId="4D0DB8E4" w:rsidR="00043556" w:rsidRPr="0036499C" w:rsidRDefault="00043556" w:rsidP="00F207DC">
            <w:pPr>
              <w:pStyle w:val="Tablewriting"/>
              <w:rPr>
                <w:rFonts w:eastAsia="MS Mincho"/>
                <w:u w:val="single"/>
              </w:rPr>
            </w:pPr>
            <w:r w:rsidRPr="008C39E4">
              <w:rPr>
                <w:rFonts w:eastAsia="MS Mincho"/>
                <w:u w:val="single"/>
              </w:rPr>
              <w:t>Secondary</w:t>
            </w:r>
            <w:r>
              <w:rPr>
                <w:rFonts w:eastAsia="MS Mincho"/>
              </w:rPr>
              <w:t xml:space="preserve">: </w:t>
            </w:r>
            <w:r w:rsidR="00051693">
              <w:rPr>
                <w:rFonts w:eastAsia="MS Mincho"/>
              </w:rPr>
              <w:t xml:space="preserve">CAR at </w:t>
            </w:r>
            <w:r w:rsidR="00D562FA">
              <w:rPr>
                <w:rFonts w:eastAsia="MS Mincho"/>
              </w:rPr>
              <w:t>w</w:t>
            </w:r>
            <w:r w:rsidR="00051693">
              <w:rPr>
                <w:rFonts w:eastAsia="MS Mincho"/>
              </w:rPr>
              <w:t xml:space="preserve">eek 5-10 and 5-22, 7-day PPA at </w:t>
            </w:r>
            <w:r w:rsidR="00D562FA">
              <w:rPr>
                <w:rFonts w:eastAsia="MS Mincho"/>
              </w:rPr>
              <w:t>w</w:t>
            </w:r>
            <w:r w:rsidR="00051693">
              <w:rPr>
                <w:rFonts w:eastAsia="MS Mincho"/>
              </w:rPr>
              <w:t>eek 1-, 22 and 52</w:t>
            </w:r>
            <w:r>
              <w:rPr>
                <w:rFonts w:eastAsia="MS Mincho"/>
              </w:rPr>
              <w:t>,</w:t>
            </w:r>
            <w:r w:rsidR="00F83110">
              <w:rPr>
                <w:rFonts w:eastAsia="MS Mincho"/>
              </w:rPr>
              <w:t xml:space="preserve"> </w:t>
            </w:r>
            <w:r w:rsidR="003A5698">
              <w:rPr>
                <w:rFonts w:eastAsia="MS Mincho"/>
              </w:rPr>
              <w:t>v</w:t>
            </w:r>
            <w:r w:rsidR="00F83110">
              <w:rPr>
                <w:rFonts w:eastAsia="MS Mincho"/>
              </w:rPr>
              <w:t xml:space="preserve">alidated by CO </w:t>
            </w:r>
            <w:r w:rsidR="00F83110">
              <w:rPr>
                <w:rFonts w:eastAsia="MS Mincho" w:cstheme="minorHAnsi"/>
              </w:rPr>
              <w:t>≤</w:t>
            </w:r>
            <w:r w:rsidR="00F83110">
              <w:rPr>
                <w:rFonts w:eastAsia="MS Mincho"/>
              </w:rPr>
              <w:t>9 ppm;</w:t>
            </w:r>
            <w:r>
              <w:rPr>
                <w:rFonts w:eastAsia="MS Mincho"/>
              </w:rPr>
              <w:t xml:space="preserve"> adverse events</w:t>
            </w:r>
            <w:r w:rsidR="00AB5FA3">
              <w:rPr>
                <w:rFonts w:eastAsia="MS Mincho"/>
              </w:rPr>
              <w:t>.</w:t>
            </w:r>
          </w:p>
        </w:tc>
      </w:tr>
      <w:tr w:rsidR="007F7437" w:rsidRPr="00061F78" w14:paraId="3857D010" w14:textId="77777777" w:rsidTr="00043556">
        <w:trPr>
          <w:trHeight w:val="149"/>
        </w:trPr>
        <w:tc>
          <w:tcPr>
            <w:tcW w:w="324" w:type="pct"/>
            <w:tcMar>
              <w:left w:w="28" w:type="dxa"/>
              <w:right w:w="28" w:type="dxa"/>
            </w:tcMar>
          </w:tcPr>
          <w:p w14:paraId="2EC983BF" w14:textId="6EB00601" w:rsidR="007F7437" w:rsidRDefault="007F7437" w:rsidP="00F207DC">
            <w:pPr>
              <w:pStyle w:val="Tablewriting"/>
              <w:rPr>
                <w:rFonts w:eastAsia="MS Mincho"/>
              </w:rPr>
            </w:pPr>
            <w:r>
              <w:rPr>
                <w:rFonts w:eastAsia="MS Mincho"/>
              </w:rPr>
              <w:t>Rohsenow (2017)</w:t>
            </w:r>
          </w:p>
        </w:tc>
        <w:tc>
          <w:tcPr>
            <w:tcW w:w="398" w:type="pct"/>
          </w:tcPr>
          <w:p w14:paraId="03D00CDC" w14:textId="1FAE6A53" w:rsidR="007F7437" w:rsidRDefault="007F7437" w:rsidP="00F207DC">
            <w:pPr>
              <w:pStyle w:val="Tablewriting"/>
              <w:rPr>
                <w:rFonts w:eastAsia="MS Mincho"/>
              </w:rPr>
            </w:pPr>
            <w:r>
              <w:rPr>
                <w:rFonts w:eastAsia="MS Mincho"/>
              </w:rPr>
              <w:t>RCT</w:t>
            </w:r>
          </w:p>
        </w:tc>
        <w:tc>
          <w:tcPr>
            <w:tcW w:w="345" w:type="pct"/>
            <w:tcMar>
              <w:left w:w="28" w:type="dxa"/>
              <w:right w:w="28" w:type="dxa"/>
            </w:tcMar>
          </w:tcPr>
          <w:p w14:paraId="51CB6C10" w14:textId="4D88C113" w:rsidR="007F7437" w:rsidRDefault="007F7437" w:rsidP="00F207DC">
            <w:pPr>
              <w:pStyle w:val="Tablewriting"/>
              <w:rPr>
                <w:rFonts w:eastAsia="MS Mincho"/>
              </w:rPr>
            </w:pPr>
            <w:r>
              <w:rPr>
                <w:rFonts w:eastAsia="MS Mincho"/>
              </w:rPr>
              <w:t>N=137</w:t>
            </w:r>
          </w:p>
          <w:p w14:paraId="03FD773C" w14:textId="16CB5F0E" w:rsidR="007F7437" w:rsidRDefault="007F7437" w:rsidP="00F207DC">
            <w:pPr>
              <w:pStyle w:val="Tablewriting"/>
              <w:rPr>
                <w:rFonts w:eastAsia="MS Mincho"/>
              </w:rPr>
            </w:pPr>
            <w:r>
              <w:rPr>
                <w:rFonts w:eastAsia="MS Mincho"/>
              </w:rPr>
              <w:t>NRT (n=60),</w:t>
            </w:r>
          </w:p>
          <w:p w14:paraId="5F89F88F" w14:textId="5CED929B" w:rsidR="007F7437" w:rsidRDefault="007F7437" w:rsidP="00F207DC">
            <w:pPr>
              <w:pStyle w:val="Tablewriting"/>
              <w:rPr>
                <w:rFonts w:eastAsia="MS Mincho"/>
              </w:rPr>
            </w:pPr>
            <w:r>
              <w:rPr>
                <w:rFonts w:eastAsia="MS Mincho"/>
              </w:rPr>
              <w:t>Varenicline (n=77)</w:t>
            </w:r>
          </w:p>
        </w:tc>
        <w:tc>
          <w:tcPr>
            <w:tcW w:w="1869" w:type="pct"/>
            <w:tcMar>
              <w:left w:w="28" w:type="dxa"/>
              <w:right w:w="28" w:type="dxa"/>
            </w:tcMar>
          </w:tcPr>
          <w:p w14:paraId="36838672" w14:textId="0393F422" w:rsidR="007F7437" w:rsidRDefault="007F7437" w:rsidP="00F207DC">
            <w:pPr>
              <w:pStyle w:val="Tablewriting"/>
              <w:rPr>
                <w:rFonts w:eastAsia="MS Mincho"/>
              </w:rPr>
            </w:pPr>
            <w:r w:rsidRPr="007F28D7">
              <w:rPr>
                <w:rFonts w:eastAsia="MS Mincho"/>
                <w:u w:val="single"/>
              </w:rPr>
              <w:t>Inclusion</w:t>
            </w:r>
            <w:r>
              <w:rPr>
                <w:rFonts w:eastAsia="MS Mincho"/>
              </w:rPr>
              <w:t>:</w:t>
            </w:r>
            <w:r w:rsidR="00E31C2F">
              <w:rPr>
                <w:rFonts w:eastAsia="MS Mincho"/>
              </w:rPr>
              <w:t xml:space="preserve"> </w:t>
            </w:r>
            <w:r w:rsidR="00F1186E" w:rsidRPr="00F1186E">
              <w:rPr>
                <w:rFonts w:eastAsia="MS Mincho" w:cstheme="minorHAnsi"/>
              </w:rPr>
              <w:t>aged 18–75 years</w:t>
            </w:r>
            <w:r w:rsidR="00B61304">
              <w:rPr>
                <w:rFonts w:eastAsia="MS Mincho" w:cstheme="minorHAnsi"/>
              </w:rPr>
              <w:t xml:space="preserve"> old, </w:t>
            </w:r>
            <w:r w:rsidR="00E31C2F">
              <w:rPr>
                <w:rFonts w:eastAsia="MS Mincho" w:cstheme="minorHAnsi"/>
              </w:rPr>
              <w:t>≥</w:t>
            </w:r>
            <w:r w:rsidR="00E31C2F" w:rsidRPr="000A14FA">
              <w:rPr>
                <w:rFonts w:eastAsia="MS Mincho" w:cstheme="minorHAnsi"/>
              </w:rPr>
              <w:t>10</w:t>
            </w:r>
            <w:r w:rsidR="00E31C2F">
              <w:rPr>
                <w:rFonts w:eastAsia="MS Mincho" w:cstheme="minorHAnsi"/>
              </w:rPr>
              <w:t xml:space="preserve"> </w:t>
            </w:r>
            <w:r w:rsidR="00E31C2F" w:rsidRPr="000A14FA">
              <w:rPr>
                <w:rFonts w:eastAsia="MS Mincho" w:cstheme="minorHAnsi"/>
              </w:rPr>
              <w:t>cigarettes per day</w:t>
            </w:r>
            <w:r w:rsidR="00E31C2F">
              <w:rPr>
                <w:rFonts w:eastAsia="MS Mincho" w:cstheme="minorHAnsi"/>
              </w:rPr>
              <w:t xml:space="preserve"> for the past 6 months</w:t>
            </w:r>
            <w:r w:rsidR="00272C56">
              <w:rPr>
                <w:rFonts w:eastAsia="MS Mincho" w:cstheme="minorHAnsi"/>
              </w:rPr>
              <w:t>, substance use disorder diagnosis</w:t>
            </w:r>
            <w:r w:rsidR="00AB5FA3">
              <w:rPr>
                <w:rFonts w:eastAsia="MS Mincho" w:cstheme="minorHAnsi"/>
              </w:rPr>
              <w:t>.</w:t>
            </w:r>
          </w:p>
          <w:p w14:paraId="4B117F55" w14:textId="1E9903D7" w:rsidR="007F7437" w:rsidRPr="002C19B4" w:rsidRDefault="007F7437" w:rsidP="00F207DC">
            <w:pPr>
              <w:pStyle w:val="Tablewriting"/>
              <w:rPr>
                <w:rFonts w:eastAsia="MS Mincho"/>
                <w:u w:val="single"/>
              </w:rPr>
            </w:pPr>
            <w:r w:rsidRPr="007F28D7">
              <w:rPr>
                <w:rFonts w:eastAsia="MS Mincho"/>
                <w:u w:val="single"/>
              </w:rPr>
              <w:t>Exclusion</w:t>
            </w:r>
            <w:r>
              <w:rPr>
                <w:rFonts w:eastAsia="MS Mincho"/>
              </w:rPr>
              <w:t xml:space="preserve">: </w:t>
            </w:r>
            <w:r w:rsidR="006909BF" w:rsidRPr="006909BF">
              <w:rPr>
                <w:rFonts w:eastAsia="MS Mincho"/>
              </w:rPr>
              <w:t>evidence of hallucinations or delusions, current smoking cessation treatment, contraindications for either medication, using medications affected by smoking cessation, suicidal plan or attempts in past 5 years, not willing to try to quit smoking</w:t>
            </w:r>
            <w:r w:rsidR="00845723">
              <w:rPr>
                <w:rFonts w:eastAsia="MS Mincho"/>
              </w:rPr>
              <w:t xml:space="preserve">, </w:t>
            </w:r>
            <w:r w:rsidR="006909BF" w:rsidRPr="006909BF">
              <w:rPr>
                <w:rFonts w:eastAsia="MS Mincho"/>
              </w:rPr>
              <w:t>substance use reported on the day of or before recruitment or positive breath alcohol at recruitment.</w:t>
            </w:r>
          </w:p>
        </w:tc>
        <w:tc>
          <w:tcPr>
            <w:tcW w:w="839" w:type="pct"/>
          </w:tcPr>
          <w:p w14:paraId="78C6A721" w14:textId="2822D3FA" w:rsidR="007F7437" w:rsidRDefault="007F7437" w:rsidP="00F207DC">
            <w:pPr>
              <w:pStyle w:val="Tablewriting"/>
              <w:rPr>
                <w:rFonts w:eastAsia="MS Mincho"/>
              </w:rPr>
            </w:pPr>
            <w:r w:rsidRPr="00C5551B">
              <w:rPr>
                <w:rFonts w:eastAsia="MS Mincho"/>
              </w:rPr>
              <w:t>NRT: NRT patch</w:t>
            </w:r>
            <w:r>
              <w:rPr>
                <w:rFonts w:eastAsia="MS Mincho"/>
              </w:rPr>
              <w:t xml:space="preserve"> over 1</w:t>
            </w:r>
            <w:r w:rsidR="00DD08CC">
              <w:rPr>
                <w:rFonts w:eastAsia="MS Mincho"/>
              </w:rPr>
              <w:t>2</w:t>
            </w:r>
            <w:r>
              <w:rPr>
                <w:rFonts w:eastAsia="MS Mincho"/>
              </w:rPr>
              <w:t xml:space="preserve"> weeks (21 mg/day first </w:t>
            </w:r>
            <w:r w:rsidR="00DD08CC">
              <w:rPr>
                <w:rFonts w:eastAsia="MS Mincho"/>
              </w:rPr>
              <w:t>4</w:t>
            </w:r>
            <w:r>
              <w:rPr>
                <w:rFonts w:eastAsia="MS Mincho"/>
              </w:rPr>
              <w:t xml:space="preserve"> weeks, 14 mg/day for </w:t>
            </w:r>
            <w:r w:rsidR="005E3765">
              <w:rPr>
                <w:rFonts w:eastAsia="MS Mincho"/>
              </w:rPr>
              <w:t>4</w:t>
            </w:r>
            <w:r>
              <w:rPr>
                <w:rFonts w:eastAsia="MS Mincho"/>
              </w:rPr>
              <w:t xml:space="preserve"> weeks then 7 mg/day for 4 weeks)</w:t>
            </w:r>
            <w:r w:rsidR="002B152C">
              <w:rPr>
                <w:rFonts w:eastAsia="MS Mincho"/>
              </w:rPr>
              <w:t>;</w:t>
            </w:r>
            <w:r w:rsidR="003E6726">
              <w:rPr>
                <w:rFonts w:eastAsia="MS Mincho"/>
              </w:rPr>
              <w:t xml:space="preserve"> </w:t>
            </w:r>
            <w:r w:rsidRPr="00C5551B">
              <w:rPr>
                <w:rFonts w:eastAsia="MS Mincho"/>
              </w:rPr>
              <w:t>Varenicline: 1</w:t>
            </w:r>
            <w:r>
              <w:rPr>
                <w:rFonts w:eastAsia="MS Mincho"/>
              </w:rPr>
              <w:t xml:space="preserve"> </w:t>
            </w:r>
            <w:r w:rsidRPr="00C5551B">
              <w:rPr>
                <w:rFonts w:eastAsia="MS Mincho"/>
              </w:rPr>
              <w:t xml:space="preserve">mg twice daily including titration </w:t>
            </w:r>
            <w:r>
              <w:rPr>
                <w:rFonts w:eastAsia="MS Mincho"/>
              </w:rPr>
              <w:t xml:space="preserve">over 12 weeks </w:t>
            </w:r>
            <w:r w:rsidRPr="00C5551B">
              <w:rPr>
                <w:rFonts w:eastAsia="MS Mincho"/>
              </w:rPr>
              <w:t>(</w:t>
            </w:r>
            <w:r w:rsidR="004C4EA7" w:rsidRPr="00C5551B">
              <w:rPr>
                <w:rFonts w:eastAsia="MS Mincho"/>
              </w:rPr>
              <w:t>i.e.,</w:t>
            </w:r>
            <w:r w:rsidRPr="00C5551B">
              <w:rPr>
                <w:rFonts w:eastAsia="MS Mincho"/>
              </w:rPr>
              <w:t xml:space="preserve"> 0.5</w:t>
            </w:r>
            <w:r>
              <w:rPr>
                <w:rFonts w:eastAsia="MS Mincho"/>
              </w:rPr>
              <w:t xml:space="preserve"> </w:t>
            </w:r>
            <w:r w:rsidRPr="00C5551B">
              <w:rPr>
                <w:rFonts w:eastAsia="MS Mincho"/>
              </w:rPr>
              <w:t>mg once daily for 3 days, then 0.5</w:t>
            </w:r>
            <w:r>
              <w:rPr>
                <w:rFonts w:eastAsia="MS Mincho"/>
              </w:rPr>
              <w:t xml:space="preserve"> </w:t>
            </w:r>
            <w:r w:rsidRPr="00C5551B">
              <w:rPr>
                <w:rFonts w:eastAsia="MS Mincho"/>
              </w:rPr>
              <w:t>mg twice daily for 4 days, then 1</w:t>
            </w:r>
            <w:r>
              <w:rPr>
                <w:rFonts w:eastAsia="MS Mincho"/>
              </w:rPr>
              <w:t xml:space="preserve"> </w:t>
            </w:r>
            <w:r w:rsidRPr="00C5551B">
              <w:rPr>
                <w:rFonts w:eastAsia="MS Mincho"/>
              </w:rPr>
              <w:t>mg twice daily)</w:t>
            </w:r>
            <w:r w:rsidR="00AB5FA3">
              <w:rPr>
                <w:rFonts w:eastAsia="MS Mincho"/>
              </w:rPr>
              <w:t>.</w:t>
            </w:r>
          </w:p>
          <w:p w14:paraId="78068270" w14:textId="77777777" w:rsidR="007F7437" w:rsidRDefault="007F7437" w:rsidP="00F207DC">
            <w:pPr>
              <w:pStyle w:val="Tablewriting"/>
              <w:rPr>
                <w:rFonts w:eastAsia="MS Mincho"/>
              </w:rPr>
            </w:pPr>
          </w:p>
          <w:p w14:paraId="794EC39B" w14:textId="2CC700CB" w:rsidR="007F7437" w:rsidRDefault="007F7437" w:rsidP="00F207DC">
            <w:pPr>
              <w:pStyle w:val="Tablewriting"/>
              <w:rPr>
                <w:rFonts w:eastAsia="MS Mincho"/>
              </w:rPr>
            </w:pPr>
            <w:r w:rsidRPr="006C0130">
              <w:rPr>
                <w:rFonts w:eastAsia="MS Mincho"/>
              </w:rPr>
              <w:t>Behavioural support provided in both arms.</w:t>
            </w:r>
          </w:p>
        </w:tc>
        <w:tc>
          <w:tcPr>
            <w:tcW w:w="1225" w:type="pct"/>
            <w:tcMar>
              <w:left w:w="28" w:type="dxa"/>
              <w:right w:w="28" w:type="dxa"/>
            </w:tcMar>
          </w:tcPr>
          <w:p w14:paraId="69763A32" w14:textId="5FBDCECA" w:rsidR="007F7437" w:rsidRDefault="007F7437" w:rsidP="00F207DC">
            <w:pPr>
              <w:pStyle w:val="Tablewriting"/>
              <w:rPr>
                <w:rFonts w:eastAsia="MS Mincho"/>
              </w:rPr>
            </w:pPr>
            <w:r w:rsidRPr="008C39E4">
              <w:rPr>
                <w:rFonts w:eastAsia="MS Mincho"/>
                <w:u w:val="single"/>
              </w:rPr>
              <w:t>Primary</w:t>
            </w:r>
            <w:r>
              <w:rPr>
                <w:rFonts w:eastAsia="MS Mincho"/>
              </w:rPr>
              <w:t xml:space="preserve">: </w:t>
            </w:r>
            <w:r w:rsidR="00C76038">
              <w:rPr>
                <w:rFonts w:eastAsia="MS Mincho"/>
              </w:rPr>
              <w:t>7-day PPA</w:t>
            </w:r>
            <w:r>
              <w:rPr>
                <w:rFonts w:eastAsia="MS Mincho"/>
              </w:rPr>
              <w:t xml:space="preserve"> at </w:t>
            </w:r>
            <w:r w:rsidR="00497F0E">
              <w:rPr>
                <w:rFonts w:eastAsia="MS Mincho"/>
              </w:rPr>
              <w:t xml:space="preserve">3 </w:t>
            </w:r>
            <w:r w:rsidR="00D22928">
              <w:rPr>
                <w:rFonts w:eastAsia="MS Mincho"/>
              </w:rPr>
              <w:t>months (</w:t>
            </w:r>
            <w:r w:rsidR="00D562FA">
              <w:rPr>
                <w:rFonts w:eastAsia="MS Mincho"/>
              </w:rPr>
              <w:t>w</w:t>
            </w:r>
            <w:r>
              <w:rPr>
                <w:rFonts w:eastAsia="MS Mincho"/>
              </w:rPr>
              <w:t xml:space="preserve">eek </w:t>
            </w:r>
            <w:r w:rsidR="00D22928">
              <w:rPr>
                <w:rFonts w:eastAsia="MS Mincho"/>
              </w:rPr>
              <w:t>12)</w:t>
            </w:r>
            <w:r>
              <w:rPr>
                <w:rFonts w:eastAsia="MS Mincho"/>
              </w:rPr>
              <w:t xml:space="preserve">. Validated by CO </w:t>
            </w:r>
            <w:r>
              <w:rPr>
                <w:rFonts w:eastAsia="MS Mincho" w:cstheme="minorHAnsi"/>
              </w:rPr>
              <w:t>≤</w:t>
            </w:r>
            <w:r w:rsidR="00D22928">
              <w:rPr>
                <w:rFonts w:eastAsia="MS Mincho"/>
              </w:rPr>
              <w:t>4</w:t>
            </w:r>
            <w:r>
              <w:rPr>
                <w:rFonts w:eastAsia="MS Mincho"/>
              </w:rPr>
              <w:t xml:space="preserve"> ppm.</w:t>
            </w:r>
          </w:p>
          <w:p w14:paraId="5DB30871" w14:textId="641E9055" w:rsidR="007F7437" w:rsidRPr="0036499C" w:rsidRDefault="007F7437" w:rsidP="00F207DC">
            <w:pPr>
              <w:pStyle w:val="Tablewriting"/>
              <w:rPr>
                <w:rFonts w:eastAsia="MS Mincho"/>
                <w:u w:val="single"/>
              </w:rPr>
            </w:pPr>
            <w:r w:rsidRPr="008C39E4">
              <w:rPr>
                <w:rFonts w:eastAsia="MS Mincho"/>
                <w:u w:val="single"/>
              </w:rPr>
              <w:t>Secondary</w:t>
            </w:r>
            <w:r>
              <w:rPr>
                <w:rFonts w:eastAsia="MS Mincho"/>
              </w:rPr>
              <w:t xml:space="preserve">: 7-day PPA at </w:t>
            </w:r>
            <w:r w:rsidR="00A47892">
              <w:rPr>
                <w:rFonts w:eastAsia="MS Mincho"/>
              </w:rPr>
              <w:t>6 months</w:t>
            </w:r>
            <w:r>
              <w:rPr>
                <w:rFonts w:eastAsia="MS Mincho"/>
              </w:rPr>
              <w:t xml:space="preserve">, </w:t>
            </w:r>
            <w:r w:rsidR="003A5698">
              <w:rPr>
                <w:rFonts w:eastAsia="MS Mincho"/>
              </w:rPr>
              <w:t>v</w:t>
            </w:r>
            <w:r>
              <w:rPr>
                <w:rFonts w:eastAsia="MS Mincho"/>
              </w:rPr>
              <w:t xml:space="preserve">alidated by CO </w:t>
            </w:r>
            <w:r>
              <w:rPr>
                <w:rFonts w:eastAsia="MS Mincho" w:cstheme="minorHAnsi"/>
              </w:rPr>
              <w:t>≤</w:t>
            </w:r>
            <w:r w:rsidR="003A5698">
              <w:rPr>
                <w:rFonts w:eastAsia="MS Mincho"/>
              </w:rPr>
              <w:t>4</w:t>
            </w:r>
            <w:r>
              <w:rPr>
                <w:rFonts w:eastAsia="MS Mincho"/>
              </w:rPr>
              <w:t xml:space="preserve"> ppm; </w:t>
            </w:r>
            <w:r w:rsidR="00931518">
              <w:rPr>
                <w:rFonts w:eastAsia="MS Mincho"/>
              </w:rPr>
              <w:t>average number of cigarettes per day at 3 and 6 months</w:t>
            </w:r>
            <w:r w:rsidR="00CC3E4F">
              <w:rPr>
                <w:rFonts w:eastAsia="MS Mincho"/>
              </w:rPr>
              <w:t>, percentage of smoking days,</w:t>
            </w:r>
            <w:r>
              <w:rPr>
                <w:rFonts w:eastAsia="MS Mincho"/>
              </w:rPr>
              <w:t xml:space="preserve"> adverse events</w:t>
            </w:r>
            <w:r w:rsidR="0019056D">
              <w:rPr>
                <w:rFonts w:eastAsia="MS Mincho"/>
              </w:rPr>
              <w:t>, depressive symptoms, substance use</w:t>
            </w:r>
            <w:r w:rsidR="00F10977">
              <w:rPr>
                <w:rFonts w:eastAsia="MS Mincho"/>
              </w:rPr>
              <w:t>, medication adherence</w:t>
            </w:r>
            <w:r w:rsidR="00AB5FA3">
              <w:rPr>
                <w:rFonts w:eastAsia="MS Mincho"/>
              </w:rPr>
              <w:t>.</w:t>
            </w:r>
          </w:p>
        </w:tc>
      </w:tr>
      <w:tr w:rsidR="00742219" w:rsidRPr="00061F78" w14:paraId="6520541B" w14:textId="77777777" w:rsidTr="00043556">
        <w:trPr>
          <w:trHeight w:val="149"/>
        </w:trPr>
        <w:tc>
          <w:tcPr>
            <w:tcW w:w="324" w:type="pct"/>
            <w:tcMar>
              <w:left w:w="28" w:type="dxa"/>
              <w:right w:w="28" w:type="dxa"/>
            </w:tcMar>
          </w:tcPr>
          <w:p w14:paraId="293C4E4C" w14:textId="45AD5869" w:rsidR="008E2DD1" w:rsidRDefault="520F43DA" w:rsidP="00F207DC">
            <w:pPr>
              <w:pStyle w:val="Tablewriting"/>
              <w:rPr>
                <w:rFonts w:eastAsia="MS Mincho"/>
              </w:rPr>
            </w:pPr>
            <w:r>
              <w:rPr>
                <w:rFonts w:eastAsia="MS Mincho"/>
              </w:rPr>
              <w:t>Benowitz (2018)</w:t>
            </w:r>
          </w:p>
        </w:tc>
        <w:tc>
          <w:tcPr>
            <w:tcW w:w="398" w:type="pct"/>
          </w:tcPr>
          <w:p w14:paraId="09947BC6" w14:textId="51160280" w:rsidR="008E2DD1" w:rsidRPr="005E64E8" w:rsidRDefault="008E2DD1" w:rsidP="00F207DC">
            <w:pPr>
              <w:pStyle w:val="Tablewriting"/>
              <w:rPr>
                <w:rFonts w:eastAsia="MS Mincho"/>
                <w:vertAlign w:val="superscript"/>
              </w:rPr>
            </w:pPr>
            <w:r>
              <w:rPr>
                <w:rFonts w:eastAsia="MS Mincho"/>
              </w:rPr>
              <w:t>Non-treatment extension safety study of EAGLES (2016)</w:t>
            </w:r>
            <w:r w:rsidR="00B068FE">
              <w:rPr>
                <w:rFonts w:eastAsia="MS Mincho"/>
                <w:vertAlign w:val="superscript"/>
              </w:rPr>
              <w:t>3</w:t>
            </w:r>
          </w:p>
        </w:tc>
        <w:tc>
          <w:tcPr>
            <w:tcW w:w="345" w:type="pct"/>
            <w:tcMar>
              <w:left w:w="28" w:type="dxa"/>
              <w:right w:w="28" w:type="dxa"/>
            </w:tcMar>
          </w:tcPr>
          <w:p w14:paraId="5C2E26F9" w14:textId="77777777" w:rsidR="008E2DD1" w:rsidRDefault="008E2DD1" w:rsidP="00F207DC">
            <w:pPr>
              <w:pStyle w:val="Tablewriting"/>
              <w:rPr>
                <w:rFonts w:eastAsia="MS Mincho"/>
              </w:rPr>
            </w:pPr>
            <w:r>
              <w:rPr>
                <w:rFonts w:eastAsia="MS Mincho"/>
              </w:rPr>
              <w:t>N=4,595</w:t>
            </w:r>
          </w:p>
          <w:p w14:paraId="1AB956E6" w14:textId="77777777" w:rsidR="00742219" w:rsidRDefault="00742219" w:rsidP="00F207DC">
            <w:pPr>
              <w:pStyle w:val="Tablewriting"/>
              <w:rPr>
                <w:rFonts w:eastAsia="MS Mincho"/>
              </w:rPr>
            </w:pPr>
            <w:r>
              <w:rPr>
                <w:rFonts w:eastAsia="MS Mincho"/>
              </w:rPr>
              <w:t>NRT</w:t>
            </w:r>
          </w:p>
          <w:p w14:paraId="032457F9" w14:textId="77777777" w:rsidR="00742219" w:rsidRDefault="00742219" w:rsidP="00F207DC">
            <w:pPr>
              <w:pStyle w:val="Tablewriting"/>
              <w:rPr>
                <w:rFonts w:eastAsia="MS Mincho"/>
              </w:rPr>
            </w:pPr>
            <w:r>
              <w:rPr>
                <w:rFonts w:eastAsia="MS Mincho"/>
              </w:rPr>
              <w:t>(n=1,116),</w:t>
            </w:r>
          </w:p>
          <w:p w14:paraId="205D1D52" w14:textId="1EF869D0" w:rsidR="008E2DD1" w:rsidRDefault="008E2DD1" w:rsidP="00F207DC">
            <w:pPr>
              <w:pStyle w:val="Tablewriting"/>
              <w:rPr>
                <w:rFonts w:eastAsia="MS Mincho"/>
              </w:rPr>
            </w:pPr>
            <w:r>
              <w:rPr>
                <w:rFonts w:eastAsia="MS Mincho"/>
              </w:rPr>
              <w:t>Varenicline (n=1,192)</w:t>
            </w:r>
          </w:p>
        </w:tc>
        <w:tc>
          <w:tcPr>
            <w:tcW w:w="1869" w:type="pct"/>
            <w:tcMar>
              <w:left w:w="28" w:type="dxa"/>
              <w:right w:w="28" w:type="dxa"/>
            </w:tcMar>
          </w:tcPr>
          <w:p w14:paraId="3A645274" w14:textId="5E097B5D" w:rsidR="008E2DD1" w:rsidRDefault="008E2DD1" w:rsidP="00F207DC">
            <w:pPr>
              <w:pStyle w:val="Tablewriting"/>
              <w:rPr>
                <w:rFonts w:eastAsia="MS Mincho" w:cstheme="minorHAnsi"/>
              </w:rPr>
            </w:pPr>
            <w:r w:rsidRPr="007F28D7">
              <w:rPr>
                <w:rFonts w:eastAsia="MS Mincho"/>
                <w:u w:val="single"/>
              </w:rPr>
              <w:t>Inclusion</w:t>
            </w:r>
            <w:r>
              <w:rPr>
                <w:rFonts w:eastAsia="MS Mincho"/>
              </w:rPr>
              <w:t xml:space="preserve">: </w:t>
            </w:r>
            <w:r w:rsidRPr="000A14FA">
              <w:rPr>
                <w:rFonts w:eastAsia="MS Mincho" w:cstheme="minorHAnsi"/>
              </w:rPr>
              <w:t>18</w:t>
            </w:r>
            <w:r>
              <w:rPr>
                <w:rFonts w:eastAsia="MS Mincho" w:cstheme="minorHAnsi"/>
              </w:rPr>
              <w:t>-</w:t>
            </w:r>
            <w:r w:rsidRPr="000A14FA">
              <w:rPr>
                <w:rFonts w:eastAsia="MS Mincho" w:cstheme="minorHAnsi"/>
              </w:rPr>
              <w:t>75 years</w:t>
            </w:r>
            <w:r>
              <w:rPr>
                <w:rFonts w:eastAsia="MS Mincho" w:cstheme="minorHAnsi"/>
              </w:rPr>
              <w:t xml:space="preserve"> old</w:t>
            </w:r>
            <w:r w:rsidRPr="000A14FA">
              <w:rPr>
                <w:rFonts w:eastAsia="MS Mincho" w:cstheme="minorHAnsi"/>
              </w:rPr>
              <w:t xml:space="preserve">, </w:t>
            </w:r>
            <w:r>
              <w:rPr>
                <w:rFonts w:eastAsia="MS Mincho" w:cstheme="minorHAnsi"/>
              </w:rPr>
              <w:t>≥</w:t>
            </w:r>
            <w:r w:rsidRPr="000A14FA">
              <w:rPr>
                <w:rFonts w:eastAsia="MS Mincho" w:cstheme="minorHAnsi"/>
              </w:rPr>
              <w:t>10</w:t>
            </w:r>
            <w:r>
              <w:rPr>
                <w:rFonts w:eastAsia="MS Mincho" w:cstheme="minorHAnsi"/>
              </w:rPr>
              <w:t xml:space="preserve"> </w:t>
            </w:r>
            <w:r w:rsidRPr="000A14FA">
              <w:rPr>
                <w:rFonts w:eastAsia="MS Mincho" w:cstheme="minorHAnsi"/>
              </w:rPr>
              <w:t>cigarettes per day, interested in quitting smoking, had been randomi</w:t>
            </w:r>
            <w:r>
              <w:rPr>
                <w:rFonts w:eastAsia="MS Mincho" w:cstheme="minorHAnsi"/>
              </w:rPr>
              <w:t>s</w:t>
            </w:r>
            <w:r w:rsidRPr="000A14FA">
              <w:rPr>
                <w:rFonts w:eastAsia="MS Mincho" w:cstheme="minorHAnsi"/>
              </w:rPr>
              <w:t>ed to treatment in</w:t>
            </w:r>
            <w:r>
              <w:rPr>
                <w:rFonts w:eastAsia="MS Mincho" w:cstheme="minorHAnsi"/>
              </w:rPr>
              <w:t xml:space="preserve"> </w:t>
            </w:r>
            <w:r w:rsidRPr="000A14FA">
              <w:rPr>
                <w:rFonts w:eastAsia="MS Mincho" w:cstheme="minorHAnsi"/>
              </w:rPr>
              <w:t>and had completed the week 24 visit of</w:t>
            </w:r>
            <w:r>
              <w:rPr>
                <w:rFonts w:eastAsia="MS Mincho" w:cstheme="minorHAnsi"/>
              </w:rPr>
              <w:t xml:space="preserve"> </w:t>
            </w:r>
            <w:r w:rsidRPr="000A14FA">
              <w:rPr>
                <w:rFonts w:eastAsia="MS Mincho" w:cstheme="minorHAnsi"/>
              </w:rPr>
              <w:t>EAGLES</w:t>
            </w:r>
            <w:r w:rsidR="00AB5FA3">
              <w:rPr>
                <w:rFonts w:eastAsia="MS Mincho" w:cstheme="minorHAnsi"/>
              </w:rPr>
              <w:t>.</w:t>
            </w:r>
          </w:p>
          <w:p w14:paraId="2F3A83B8" w14:textId="35BC1112" w:rsidR="008E2DD1" w:rsidRPr="002C19B4" w:rsidRDefault="008E2DD1" w:rsidP="00F207DC">
            <w:pPr>
              <w:pStyle w:val="Tablewriting"/>
              <w:rPr>
                <w:rFonts w:eastAsia="MS Mincho"/>
                <w:u w:val="single"/>
              </w:rPr>
            </w:pPr>
            <w:r w:rsidRPr="007F28D7">
              <w:rPr>
                <w:rFonts w:eastAsia="MS Mincho"/>
                <w:u w:val="single"/>
              </w:rPr>
              <w:t>Exclusion</w:t>
            </w:r>
            <w:r>
              <w:rPr>
                <w:rFonts w:eastAsia="MS Mincho"/>
              </w:rPr>
              <w:t xml:space="preserve">: </w:t>
            </w:r>
            <w:r w:rsidRPr="00661FFC">
              <w:rPr>
                <w:rFonts w:eastAsia="MS Mincho"/>
              </w:rPr>
              <w:t>unstable psychiatric illness, active substance abuse, clinically significant CVD in the 2 months prior to study entry, clinically significant cerebrovascular disease in the 2 months prior to study entry, or inadequate control of hypertens</w:t>
            </w:r>
            <w:r>
              <w:rPr>
                <w:rFonts w:eastAsia="MS Mincho"/>
              </w:rPr>
              <w:t>ion</w:t>
            </w:r>
            <w:r w:rsidRPr="00661FFC">
              <w:rPr>
                <w:rFonts w:eastAsia="MS Mincho"/>
              </w:rPr>
              <w:t>.</w:t>
            </w:r>
          </w:p>
        </w:tc>
        <w:tc>
          <w:tcPr>
            <w:tcW w:w="839" w:type="pct"/>
          </w:tcPr>
          <w:p w14:paraId="72DBF4C5" w14:textId="46D7ED04" w:rsidR="008E2DD1" w:rsidRDefault="008E2DD1" w:rsidP="00F207DC">
            <w:pPr>
              <w:pStyle w:val="Tablewriting"/>
              <w:rPr>
                <w:rFonts w:eastAsia="MS Mincho"/>
              </w:rPr>
            </w:pPr>
            <w:r>
              <w:rPr>
                <w:rFonts w:eastAsia="MS Mincho"/>
              </w:rPr>
              <w:t>No treatment was provided during this study. Prior</w:t>
            </w:r>
            <w:r w:rsidR="00742219">
              <w:rPr>
                <w:rFonts w:eastAsia="MS Mincho"/>
              </w:rPr>
              <w:t xml:space="preserve"> NRT and</w:t>
            </w:r>
            <w:r>
              <w:rPr>
                <w:rFonts w:eastAsia="MS Mincho"/>
              </w:rPr>
              <w:t xml:space="preserve"> varenicline treatments were administered in EAGLES (2016).</w:t>
            </w:r>
          </w:p>
        </w:tc>
        <w:tc>
          <w:tcPr>
            <w:tcW w:w="1225" w:type="pct"/>
            <w:tcMar>
              <w:left w:w="28" w:type="dxa"/>
              <w:right w:w="28" w:type="dxa"/>
            </w:tcMar>
          </w:tcPr>
          <w:p w14:paraId="74D9C5C3" w14:textId="2CCE95C6" w:rsidR="008E2DD1" w:rsidRDefault="008E2DD1" w:rsidP="00F207DC">
            <w:pPr>
              <w:pStyle w:val="Tablewriting"/>
              <w:rPr>
                <w:rFonts w:eastAsia="MS Mincho"/>
              </w:rPr>
            </w:pPr>
            <w:r w:rsidRPr="008C39E4">
              <w:rPr>
                <w:rFonts w:eastAsia="MS Mincho"/>
                <w:u w:val="single"/>
              </w:rPr>
              <w:t>Primary</w:t>
            </w:r>
            <w:r>
              <w:rPr>
                <w:rFonts w:eastAsia="MS Mincho"/>
              </w:rPr>
              <w:t>: Time to major adverse cardiovascular event</w:t>
            </w:r>
            <w:r w:rsidR="00AB5FA3">
              <w:rPr>
                <w:rFonts w:eastAsia="MS Mincho"/>
              </w:rPr>
              <w:t>.</w:t>
            </w:r>
          </w:p>
          <w:p w14:paraId="7B4A1BFB" w14:textId="0C54917E" w:rsidR="008E2DD1" w:rsidRPr="0036499C" w:rsidRDefault="008E2DD1" w:rsidP="00F207DC">
            <w:pPr>
              <w:pStyle w:val="Tablewriting"/>
              <w:rPr>
                <w:rFonts w:eastAsia="MS Mincho"/>
                <w:u w:val="single"/>
              </w:rPr>
            </w:pPr>
            <w:r w:rsidRPr="008C39E4">
              <w:rPr>
                <w:rFonts w:eastAsia="MS Mincho"/>
                <w:u w:val="single"/>
              </w:rPr>
              <w:t>Secondary</w:t>
            </w:r>
            <w:r>
              <w:rPr>
                <w:rFonts w:eastAsia="MS Mincho"/>
              </w:rPr>
              <w:t>: Occurrence of major adverse cardiovascular event</w:t>
            </w:r>
            <w:r w:rsidR="00AB5FA3">
              <w:rPr>
                <w:rFonts w:eastAsia="MS Mincho"/>
              </w:rPr>
              <w:t>.</w:t>
            </w:r>
          </w:p>
        </w:tc>
      </w:tr>
    </w:tbl>
    <w:p w14:paraId="739CE89F" w14:textId="382D39A1" w:rsidR="00214B8E" w:rsidRDefault="00C5551B" w:rsidP="004D5552">
      <w:pPr>
        <w:pStyle w:val="TableFooter"/>
        <w:keepNext/>
        <w:jc w:val="both"/>
      </w:pPr>
      <w:r>
        <w:t xml:space="preserve">Abbreviations: </w:t>
      </w:r>
      <w:r w:rsidR="00214B8E">
        <w:t xml:space="preserve">CAR = continuous abstinence rate; CO = carbon monoxide; mCEQ = </w:t>
      </w:r>
      <w:r w:rsidR="00214B8E" w:rsidRPr="00037461">
        <w:t>modified Cigarette Evaluation Questionnaire</w:t>
      </w:r>
      <w:r w:rsidR="00214B8E">
        <w:t xml:space="preserve">; MNWS = </w:t>
      </w:r>
      <w:r w:rsidR="00214B8E" w:rsidRPr="008E0A8D">
        <w:t>Minnesota Tobacco Withdrawal Scale</w:t>
      </w:r>
      <w:r w:rsidR="00214B8E">
        <w:t>; NRT = nicotine replacement therapy; PPA = point prevalence abstinence; RCT = randomised controlled trial</w:t>
      </w:r>
      <w:r w:rsidR="00214B8E" w:rsidRPr="00061F78">
        <w:t xml:space="preserve"> </w:t>
      </w:r>
    </w:p>
    <w:p w14:paraId="732F66A4" w14:textId="6450320C" w:rsidR="00C5551B" w:rsidRDefault="00C5551B" w:rsidP="004D5552">
      <w:pPr>
        <w:pStyle w:val="TableFooter"/>
        <w:keepNext/>
        <w:jc w:val="both"/>
      </w:pPr>
      <w:r w:rsidRPr="00061F78">
        <w:rPr>
          <w:highlight w:val="lightGray"/>
        </w:rPr>
        <w:t>Shaded</w:t>
      </w:r>
      <w:r w:rsidRPr="00061F78">
        <w:t xml:space="preserve"> = previously considered by the PBAC</w:t>
      </w:r>
    </w:p>
    <w:p w14:paraId="7C81A73F" w14:textId="235E49F8" w:rsidR="00C5551B" w:rsidRDefault="00C5551B" w:rsidP="004D5552">
      <w:pPr>
        <w:pStyle w:val="TableFooter"/>
        <w:keepNext/>
        <w:jc w:val="both"/>
      </w:pPr>
      <w:r>
        <w:t>1 Only the number of patients (n) in the relevant arms were included</w:t>
      </w:r>
      <w:r w:rsidR="00AB5FA3">
        <w:t>.</w:t>
      </w:r>
      <w:r>
        <w:t xml:space="preserve"> </w:t>
      </w:r>
    </w:p>
    <w:p w14:paraId="7BAC6E63" w14:textId="6FF77946" w:rsidR="00C5551B" w:rsidRDefault="00C5551B" w:rsidP="004D5552">
      <w:pPr>
        <w:pStyle w:val="TableFooter"/>
        <w:keepNext/>
        <w:jc w:val="both"/>
      </w:pPr>
      <w:r>
        <w:t xml:space="preserve">2 The characteristics of the individual studies comparing </w:t>
      </w:r>
      <w:r w:rsidR="00C3700A">
        <w:t xml:space="preserve">NRT </w:t>
      </w:r>
      <w:r w:rsidR="00573F59">
        <w:t>patches</w:t>
      </w:r>
      <w:r w:rsidR="00C3700A">
        <w:t xml:space="preserve"> with </w:t>
      </w:r>
      <w:r>
        <w:t xml:space="preserve">varenicline included in Cahill et al. (2016) are presented in </w:t>
      </w:r>
      <w:r w:rsidRPr="00A93262">
        <w:t>Appendix</w:t>
      </w:r>
      <w:r w:rsidR="00C3700A">
        <w:t xml:space="preserve"> </w:t>
      </w:r>
      <w:r w:rsidR="00FA64DE">
        <w:t>Table 149</w:t>
      </w:r>
      <w:r>
        <w:t xml:space="preserve">. </w:t>
      </w:r>
      <w:r w:rsidR="00C3700A">
        <w:t>Two</w:t>
      </w:r>
      <w:r>
        <w:t xml:space="preserve"> studies previously considered by the PBAC (</w:t>
      </w:r>
      <w:r w:rsidR="00C3700A">
        <w:t>Aubin et al. 2008</w:t>
      </w:r>
      <w:r w:rsidRPr="00597A83">
        <w:t xml:space="preserve"> and </w:t>
      </w:r>
      <w:r>
        <w:t>EAGLES</w:t>
      </w:r>
      <w:r w:rsidRPr="00597A83">
        <w:t xml:space="preserve"> 2016</w:t>
      </w:r>
      <w:r w:rsidRPr="005B2A6C">
        <w:t xml:space="preserve">) </w:t>
      </w:r>
      <w:r>
        <w:t>were included in the efficacy analysis of Cahill et al. (2016).</w:t>
      </w:r>
    </w:p>
    <w:p w14:paraId="34A429CD" w14:textId="4665F933" w:rsidR="00B068FE" w:rsidRPr="005E64E8" w:rsidRDefault="00B068FE" w:rsidP="004D5552">
      <w:pPr>
        <w:pStyle w:val="TableFooter"/>
        <w:keepNext/>
        <w:jc w:val="both"/>
      </w:pPr>
      <w:r w:rsidRPr="005E64E8">
        <w:t>3 Benowitz et al. (2018) was a non-treatment extension of EAGLES (Anthenelli et al. 2016) with a considerable amount of missing data due to lost to follow-up, extension study nonenrollees, no longer willing to participate and death.</w:t>
      </w:r>
    </w:p>
    <w:p w14:paraId="044059A5" w14:textId="77777777" w:rsidR="00C5551B" w:rsidRDefault="00C5551B" w:rsidP="00C83EDA">
      <w:pPr>
        <w:rPr>
          <w:b/>
          <w:bCs/>
        </w:rPr>
        <w:sectPr w:rsidR="00C5551B" w:rsidSect="00C5551B">
          <w:pgSz w:w="16838" w:h="11906" w:orient="landscape"/>
          <w:pgMar w:top="1440" w:right="1440" w:bottom="1440" w:left="1440" w:header="708" w:footer="708" w:gutter="0"/>
          <w:cols w:space="708"/>
          <w:titlePg/>
          <w:docGrid w:linePitch="360"/>
        </w:sectPr>
      </w:pPr>
    </w:p>
    <w:p w14:paraId="4DCFED0D" w14:textId="26E3FB78" w:rsidR="00C43DAB" w:rsidRPr="0073597F" w:rsidRDefault="00C43DAB" w:rsidP="004D5552">
      <w:pPr>
        <w:spacing w:after="120"/>
        <w:jc w:val="both"/>
        <w:rPr>
          <w:u w:val="single"/>
        </w:rPr>
      </w:pPr>
      <w:r w:rsidRPr="0073597F">
        <w:rPr>
          <w:u w:val="single"/>
        </w:rPr>
        <w:lastRenderedPageBreak/>
        <w:t>Efficacy</w:t>
      </w:r>
    </w:p>
    <w:p w14:paraId="12C79E47" w14:textId="36F91D8B" w:rsidR="000005A0" w:rsidRDefault="00C43DAB" w:rsidP="000B683C">
      <w:pPr>
        <w:spacing w:after="120"/>
        <w:jc w:val="both"/>
      </w:pPr>
      <w:r w:rsidRPr="00C43DAB">
        <w:t xml:space="preserve">A summary of the </w:t>
      </w:r>
      <w:r w:rsidR="00FB6FC9">
        <w:t>point prevalence abstinence at 24 weeks</w:t>
      </w:r>
      <w:r w:rsidRPr="00C43DAB">
        <w:t xml:space="preserve"> </w:t>
      </w:r>
      <w:r w:rsidR="00357E6D">
        <w:t xml:space="preserve">comparing NRT </w:t>
      </w:r>
      <w:r w:rsidR="00573F59">
        <w:t>patches</w:t>
      </w:r>
      <w:r w:rsidR="00357E6D">
        <w:t xml:space="preserve"> with varenicline</w:t>
      </w:r>
      <w:r w:rsidRPr="00C43DAB">
        <w:t xml:space="preserve"> is presented in</w:t>
      </w:r>
      <w:r w:rsidR="00076298">
        <w:t xml:space="preserve"> Table 27</w:t>
      </w:r>
      <w:r w:rsidRPr="00C43DAB">
        <w:t xml:space="preserve">. </w:t>
      </w:r>
      <w:r w:rsidR="00DF7986" w:rsidRPr="00DF7986">
        <w:t xml:space="preserve">The results of </w:t>
      </w:r>
      <w:r w:rsidR="00DF7986">
        <w:t>EAGLES</w:t>
      </w:r>
      <w:r w:rsidR="00DF7986" w:rsidRPr="00DF7986">
        <w:t xml:space="preserve"> (</w:t>
      </w:r>
      <w:r w:rsidR="00DF7986">
        <w:t>2016</w:t>
      </w:r>
      <w:r w:rsidR="00DF7986" w:rsidRPr="00DF7986">
        <w:t xml:space="preserve">) demonstrated a statistically significant difference in </w:t>
      </w:r>
      <w:r w:rsidR="00456980">
        <w:t>point prevalence abstinence at 24 weeks,</w:t>
      </w:r>
      <w:r w:rsidR="00DF7986" w:rsidRPr="00DF7986">
        <w:t xml:space="preserve"> in favour of </w:t>
      </w:r>
      <w:r w:rsidR="007B3F2A">
        <w:t xml:space="preserve">varenicline, noting that the </w:t>
      </w:r>
      <w:r w:rsidR="0050427C">
        <w:t>outcome used was continuous abstinence rate</w:t>
      </w:r>
      <w:r w:rsidR="00DF7986" w:rsidRPr="00DF7986">
        <w:t xml:space="preserve">. In contrast, no statistically significant difference was observed between the two treatment arms in </w:t>
      </w:r>
      <w:r w:rsidR="001748E4">
        <w:t>Aubin</w:t>
      </w:r>
      <w:r w:rsidR="00DF7986" w:rsidRPr="00DF7986">
        <w:t xml:space="preserve"> et al. (</w:t>
      </w:r>
      <w:r w:rsidR="001748E4">
        <w:t>2008</w:t>
      </w:r>
      <w:r w:rsidR="00DF7986" w:rsidRPr="00DF7986">
        <w:t xml:space="preserve">), although the results numerically favoured </w:t>
      </w:r>
      <w:r w:rsidR="001748E4">
        <w:t>varenicline</w:t>
      </w:r>
      <w:r w:rsidR="00DF7986" w:rsidRPr="00DF7986">
        <w:t>.</w:t>
      </w:r>
      <w:r w:rsidR="00D821EF">
        <w:t xml:space="preserve"> </w:t>
      </w:r>
    </w:p>
    <w:p w14:paraId="475F3F33" w14:textId="5BCCBD88" w:rsidR="00BD5951" w:rsidRDefault="00D821EF" w:rsidP="00C51081">
      <w:pPr>
        <w:spacing w:after="120"/>
        <w:jc w:val="both"/>
      </w:pPr>
      <w:r>
        <w:t xml:space="preserve">The PBAC had previously considered that the evidence </w:t>
      </w:r>
      <w:r w:rsidR="004C3E6E">
        <w:t xml:space="preserve">from Aubin et al. (2008) </w:t>
      </w:r>
      <w:r>
        <w:t>suggest</w:t>
      </w:r>
      <w:r w:rsidR="004C3E6E">
        <w:t xml:space="preserve">ed </w:t>
      </w:r>
      <w:r>
        <w:t xml:space="preserve">that varenicline </w:t>
      </w:r>
      <w:r w:rsidR="0074184A">
        <w:t>wa</w:t>
      </w:r>
      <w:r>
        <w:t>s more effective</w:t>
      </w:r>
      <w:r w:rsidR="001F6827">
        <w:t xml:space="preserve"> </w:t>
      </w:r>
      <w:r w:rsidR="00C51081">
        <w:t xml:space="preserve">than NRT patches </w:t>
      </w:r>
      <w:r w:rsidR="001F6827">
        <w:t xml:space="preserve">based on the </w:t>
      </w:r>
      <w:r w:rsidR="00404F36">
        <w:t xml:space="preserve">statistically significant results of the primary outcome </w:t>
      </w:r>
      <w:r w:rsidR="001F0F28">
        <w:t>in the trial</w:t>
      </w:r>
      <w:r w:rsidR="00104B96">
        <w:t xml:space="preserve"> (</w:t>
      </w:r>
      <w:r w:rsidR="004C4EA7">
        <w:t>i.e.,</w:t>
      </w:r>
      <w:r w:rsidR="00104B96">
        <w:t xml:space="preserve"> continuous abstinence rate in last four weeks of treatment)</w:t>
      </w:r>
      <w:r w:rsidR="001F0F28">
        <w:t xml:space="preserve">. It was noted that point prevalence abstinence at 24 weeks was a secondary outcome in Aubin et al. (2008). As such, </w:t>
      </w:r>
      <w:r w:rsidR="000005A0">
        <w:t>the trial may not have been powered for this endpoint (</w:t>
      </w:r>
      <w:r w:rsidR="00F72DEA" w:rsidRPr="00A93262">
        <w:t xml:space="preserve">NRT PSD, </w:t>
      </w:r>
      <w:r w:rsidR="002479DE" w:rsidRPr="00A93262">
        <w:t xml:space="preserve">March </w:t>
      </w:r>
      <w:r w:rsidR="00F72DEA" w:rsidRPr="00A93262">
        <w:t>2010</w:t>
      </w:r>
      <w:r w:rsidR="002479DE" w:rsidRPr="00A93262">
        <w:t xml:space="preserve"> PBAC meeting</w:t>
      </w:r>
      <w:r w:rsidR="00F72DEA">
        <w:t>)</w:t>
      </w:r>
      <w:r w:rsidR="000005A0">
        <w:t>.</w:t>
      </w:r>
    </w:p>
    <w:p w14:paraId="7BB4C7A0" w14:textId="1A004DF8" w:rsidR="007C00EF" w:rsidRDefault="00B71DBF" w:rsidP="00D37B20">
      <w:pPr>
        <w:spacing w:after="120"/>
        <w:jc w:val="both"/>
        <w:rPr>
          <w:rFonts w:asciiTheme="minorHAnsi" w:eastAsia="Times New Roman" w:hAnsiTheme="minorHAnsi" w:cs="Times New Roman"/>
          <w:b/>
          <w:bCs/>
          <w:szCs w:val="18"/>
        </w:rPr>
      </w:pPr>
      <w:r w:rsidRPr="00B71DBF">
        <w:t xml:space="preserve">Based on the Cochrane </w:t>
      </w:r>
      <w:r w:rsidR="00690E8D" w:rsidRPr="00B71DBF">
        <w:t>R</w:t>
      </w:r>
      <w:r w:rsidRPr="00B71DBF">
        <w:t xml:space="preserve">eview by </w:t>
      </w:r>
      <w:r w:rsidR="00104B96">
        <w:t>Cahill</w:t>
      </w:r>
      <w:r w:rsidRPr="00B71DBF">
        <w:t xml:space="preserve"> et al. (20</w:t>
      </w:r>
      <w:r w:rsidR="00104B96">
        <w:t>16</w:t>
      </w:r>
      <w:r w:rsidRPr="00B71DBF">
        <w:t xml:space="preserve">), the results of the meta-analysis comprising </w:t>
      </w:r>
      <w:r w:rsidR="00104B96">
        <w:t>eight</w:t>
      </w:r>
      <w:r w:rsidRPr="00B71DBF">
        <w:t xml:space="preserve"> RCTs demonstrated a statistically significant difference in </w:t>
      </w:r>
      <w:r w:rsidR="00104B96">
        <w:t>point prevalence abstinence</w:t>
      </w:r>
      <w:r w:rsidR="0024527D">
        <w:t xml:space="preserve"> at 24 weeks</w:t>
      </w:r>
      <w:r w:rsidRPr="00B71DBF">
        <w:t xml:space="preserve">, in favour of </w:t>
      </w:r>
      <w:r w:rsidR="00104B96">
        <w:t>varenicline</w:t>
      </w:r>
      <w:r w:rsidRPr="00B71DBF">
        <w:t>.</w:t>
      </w:r>
      <w:r w:rsidR="008E4AE4">
        <w:t xml:space="preserve"> </w:t>
      </w:r>
      <w:r w:rsidR="00864FCE">
        <w:t xml:space="preserve">The results of the updated re-analysis comprising nine RCTs were consistent with the results from Cahill et al. (2016) (RR = 0.83, 95% CI: 0.71, 0.96; RD = -0.05, 95% CI: </w:t>
      </w:r>
      <w:r w:rsidR="00765547">
        <w:t>-0.08</w:t>
      </w:r>
      <w:r w:rsidR="00864FCE">
        <w:t xml:space="preserve">, </w:t>
      </w:r>
      <w:r w:rsidR="00765547">
        <w:t>-0.01</w:t>
      </w:r>
      <w:r w:rsidR="00864FCE">
        <w:t>).</w:t>
      </w:r>
      <w:bookmarkStart w:id="68" w:name="_Ref54361845"/>
      <w:r w:rsidR="007C00EF">
        <w:br w:type="page"/>
      </w:r>
    </w:p>
    <w:p w14:paraId="7C2A331B" w14:textId="678342D3" w:rsidR="004B58D4" w:rsidRDefault="004B58D4" w:rsidP="00C5108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27</w:t>
      </w:r>
      <w:r w:rsidR="00BF3F75">
        <w:rPr>
          <w:noProof/>
        </w:rPr>
        <w:fldChar w:fldCharType="end"/>
      </w:r>
      <w:bookmarkEnd w:id="68"/>
      <w:r>
        <w:t xml:space="preserve">: </w:t>
      </w:r>
      <w:r w:rsidRPr="00591811">
        <w:t xml:space="preserve">Results of </w:t>
      </w:r>
      <w:r>
        <w:t xml:space="preserve">point prevalence abstinence </w:t>
      </w:r>
      <w:r w:rsidRPr="00591811">
        <w:t xml:space="preserve">at </w:t>
      </w:r>
      <w:r>
        <w:t>24 weeks</w:t>
      </w:r>
      <w:r w:rsidRPr="00591811">
        <w:t xml:space="preserve">, </w:t>
      </w:r>
      <w:r>
        <w:t>NRT patch versus vare</w:t>
      </w:r>
      <w:r w:rsidRPr="00591811">
        <w:t>nicline</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D8637F" w:rsidRPr="00061F78" w14:paraId="78C95511" w14:textId="77777777" w:rsidTr="00D8637F">
        <w:trPr>
          <w:cantSplit/>
          <w:trHeight w:val="299"/>
          <w:tblHeader/>
        </w:trPr>
        <w:tc>
          <w:tcPr>
            <w:tcW w:w="721" w:type="pct"/>
            <w:shd w:val="clear" w:color="auto" w:fill="BFBFBF" w:themeFill="background1" w:themeFillShade="BF"/>
            <w:tcMar>
              <w:left w:w="28" w:type="dxa"/>
              <w:right w:w="28" w:type="dxa"/>
            </w:tcMar>
          </w:tcPr>
          <w:p w14:paraId="713E06BB" w14:textId="77777777" w:rsidR="00D8637F" w:rsidRPr="00061F78" w:rsidRDefault="00D8637F" w:rsidP="00D8637F">
            <w:pPr>
              <w:pStyle w:val="Tableheading"/>
              <w:keepNext/>
              <w:rPr>
                <w:rFonts w:eastAsia="MS Mincho"/>
              </w:rPr>
            </w:pPr>
            <w:r>
              <w:rPr>
                <w:rFonts w:eastAsia="MS Mincho"/>
              </w:rPr>
              <w:t>Trial</w:t>
            </w:r>
          </w:p>
        </w:tc>
        <w:tc>
          <w:tcPr>
            <w:tcW w:w="920" w:type="pct"/>
            <w:shd w:val="clear" w:color="auto" w:fill="BFBFBF" w:themeFill="background1" w:themeFillShade="BF"/>
            <w:vAlign w:val="center"/>
          </w:tcPr>
          <w:p w14:paraId="73952A3E" w14:textId="77777777" w:rsidR="00D8637F" w:rsidRDefault="00D8637F" w:rsidP="00D8637F">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3C828588" w14:textId="4C2CEC3D" w:rsidR="00D8637F" w:rsidRPr="00061F78" w:rsidRDefault="004B58D4" w:rsidP="00D8637F">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14:paraId="764999BB" w14:textId="02410455" w:rsidR="00D8637F" w:rsidRPr="00061F78" w:rsidRDefault="004B58D4" w:rsidP="00D8637F">
            <w:pPr>
              <w:pStyle w:val="Tableheading"/>
              <w:keepNext/>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14:paraId="009B8749" w14:textId="4C103C74" w:rsidR="00D8637F" w:rsidRPr="00D468CF" w:rsidRDefault="00D8637F" w:rsidP="00D8637F">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69A1A1CE" w14:textId="77777777" w:rsidR="00D8637F" w:rsidRDefault="00D8637F" w:rsidP="00D8637F">
            <w:pPr>
              <w:pStyle w:val="Tableheading"/>
              <w:keepNext/>
              <w:jc w:val="center"/>
              <w:rPr>
                <w:rFonts w:eastAsia="MS Mincho"/>
              </w:rPr>
            </w:pPr>
            <w:r>
              <w:rPr>
                <w:rFonts w:eastAsia="MS Mincho"/>
              </w:rPr>
              <w:t>RD (95% CI)</w:t>
            </w:r>
          </w:p>
        </w:tc>
      </w:tr>
      <w:tr w:rsidR="00D8637F" w:rsidRPr="00061F78" w14:paraId="138407A2" w14:textId="77777777" w:rsidTr="00015CD6">
        <w:trPr>
          <w:cantSplit/>
          <w:trHeight w:val="99"/>
        </w:trPr>
        <w:tc>
          <w:tcPr>
            <w:tcW w:w="721" w:type="pct"/>
            <w:shd w:val="clear" w:color="auto" w:fill="D9D9D9" w:themeFill="background1" w:themeFillShade="D9"/>
            <w:tcMar>
              <w:left w:w="28" w:type="dxa"/>
              <w:right w:w="28" w:type="dxa"/>
            </w:tcMar>
          </w:tcPr>
          <w:p w14:paraId="6C890C6A" w14:textId="77777777" w:rsidR="00FD339F" w:rsidRDefault="00FD339F" w:rsidP="00D8637F">
            <w:pPr>
              <w:pStyle w:val="Tablewriting"/>
              <w:keepNext/>
              <w:rPr>
                <w:rFonts w:eastAsia="MS Mincho"/>
              </w:rPr>
            </w:pPr>
            <w:r>
              <w:rPr>
                <w:rFonts w:eastAsia="MS Mincho"/>
              </w:rPr>
              <w:t>Aubin</w:t>
            </w:r>
          </w:p>
          <w:p w14:paraId="5ED174CB" w14:textId="15A13194" w:rsidR="00D8637F" w:rsidRDefault="00D8637F" w:rsidP="00D8637F">
            <w:pPr>
              <w:pStyle w:val="Tablewriting"/>
              <w:keepNext/>
              <w:rPr>
                <w:rFonts w:eastAsia="MS Mincho"/>
              </w:rPr>
            </w:pPr>
            <w:r>
              <w:rPr>
                <w:rFonts w:eastAsia="MS Mincho"/>
              </w:rPr>
              <w:t>(200</w:t>
            </w:r>
            <w:r w:rsidR="00FD339F">
              <w:rPr>
                <w:rFonts w:eastAsia="MS Mincho"/>
              </w:rPr>
              <w:t>8</w:t>
            </w:r>
            <w:r>
              <w:rPr>
                <w:rFonts w:eastAsia="MS Mincho"/>
              </w:rPr>
              <w:t>)</w:t>
            </w:r>
            <w:r>
              <w:rPr>
                <w:rFonts w:eastAsia="MS Mincho"/>
                <w:vertAlign w:val="superscript"/>
              </w:rPr>
              <w:t>1</w:t>
            </w:r>
            <w:r>
              <w:rPr>
                <w:rFonts w:eastAsia="MS Mincho"/>
              </w:rPr>
              <w:t xml:space="preserve"> </w:t>
            </w:r>
          </w:p>
        </w:tc>
        <w:tc>
          <w:tcPr>
            <w:tcW w:w="920" w:type="pct"/>
            <w:shd w:val="clear" w:color="auto" w:fill="D9D9D9" w:themeFill="background1" w:themeFillShade="D9"/>
            <w:vAlign w:val="center"/>
          </w:tcPr>
          <w:p w14:paraId="247A8742" w14:textId="77777777" w:rsidR="00D8637F" w:rsidRDefault="00D8637F" w:rsidP="00D8637F">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0BA3BDF4" w14:textId="23F08ACF" w:rsidR="00D8637F" w:rsidRDefault="004B58D4" w:rsidP="00D8637F">
            <w:pPr>
              <w:pStyle w:val="Tablewriting"/>
              <w:keepNext/>
              <w:jc w:val="center"/>
              <w:rPr>
                <w:rFonts w:eastAsia="MS Mincho"/>
              </w:rPr>
            </w:pPr>
            <w:r>
              <w:rPr>
                <w:rFonts w:eastAsia="MS Mincho"/>
              </w:rPr>
              <w:t>126</w:t>
            </w:r>
            <w:r w:rsidR="00D8637F">
              <w:rPr>
                <w:rFonts w:eastAsia="MS Mincho"/>
              </w:rPr>
              <w:t>/3</w:t>
            </w:r>
            <w:r>
              <w:rPr>
                <w:rFonts w:eastAsia="MS Mincho"/>
              </w:rPr>
              <w:t>7</w:t>
            </w:r>
            <w:r w:rsidR="004B0E0B">
              <w:rPr>
                <w:rFonts w:eastAsia="MS Mincho"/>
              </w:rPr>
              <w:t>9</w:t>
            </w:r>
            <w:r w:rsidR="00E61CFC">
              <w:rPr>
                <w:rFonts w:eastAsia="MS Mincho"/>
                <w:vertAlign w:val="superscript"/>
              </w:rPr>
              <w:t>a</w:t>
            </w:r>
          </w:p>
          <w:p w14:paraId="23BAFE5A" w14:textId="45439710" w:rsidR="00D8637F" w:rsidRDefault="00D8637F" w:rsidP="00D8637F">
            <w:pPr>
              <w:pStyle w:val="Tablewriting"/>
              <w:keepNext/>
              <w:jc w:val="center"/>
              <w:rPr>
                <w:rFonts w:eastAsia="MS Mincho"/>
              </w:rPr>
            </w:pPr>
            <w:r>
              <w:rPr>
                <w:rFonts w:eastAsia="MS Mincho"/>
              </w:rPr>
              <w:t>(</w:t>
            </w:r>
            <w:r w:rsidR="00CD6A97">
              <w:rPr>
                <w:rFonts w:eastAsia="MS Mincho"/>
              </w:rPr>
              <w:t>33.2</w:t>
            </w:r>
            <w:r>
              <w:rPr>
                <w:rFonts w:eastAsia="MS Mincho"/>
              </w:rPr>
              <w:t>%)</w:t>
            </w:r>
          </w:p>
        </w:tc>
        <w:tc>
          <w:tcPr>
            <w:tcW w:w="851" w:type="pct"/>
            <w:shd w:val="clear" w:color="auto" w:fill="D9D9D9" w:themeFill="background1" w:themeFillShade="D9"/>
            <w:tcMar>
              <w:left w:w="28" w:type="dxa"/>
              <w:right w:w="28" w:type="dxa"/>
            </w:tcMar>
            <w:vAlign w:val="center"/>
          </w:tcPr>
          <w:p w14:paraId="5F644E79" w14:textId="55F93892" w:rsidR="00FD339F" w:rsidRDefault="004B58D4" w:rsidP="00FD339F">
            <w:pPr>
              <w:pStyle w:val="Tablewriting"/>
              <w:keepNext/>
              <w:jc w:val="center"/>
              <w:rPr>
                <w:rFonts w:eastAsia="MS Mincho"/>
              </w:rPr>
            </w:pPr>
            <w:r>
              <w:rPr>
                <w:rFonts w:eastAsia="MS Mincho"/>
              </w:rPr>
              <w:t>145</w:t>
            </w:r>
            <w:r w:rsidR="00FD339F">
              <w:rPr>
                <w:rFonts w:eastAsia="MS Mincho"/>
              </w:rPr>
              <w:t>/3</w:t>
            </w:r>
            <w:r>
              <w:rPr>
                <w:rFonts w:eastAsia="MS Mincho"/>
              </w:rPr>
              <w:t>7</w:t>
            </w:r>
            <w:r w:rsidR="004B0E0B">
              <w:rPr>
                <w:rFonts w:eastAsia="MS Mincho"/>
              </w:rPr>
              <w:t>8</w:t>
            </w:r>
            <w:r w:rsidR="00E61CFC">
              <w:rPr>
                <w:rFonts w:eastAsia="MS Mincho"/>
                <w:vertAlign w:val="superscript"/>
              </w:rPr>
              <w:t>a</w:t>
            </w:r>
          </w:p>
          <w:p w14:paraId="774D0247" w14:textId="0F421615" w:rsidR="00D8637F" w:rsidRDefault="00FD339F" w:rsidP="00FD339F">
            <w:pPr>
              <w:pStyle w:val="Tablewriting"/>
              <w:keepNext/>
              <w:jc w:val="center"/>
              <w:rPr>
                <w:rFonts w:eastAsia="MS Mincho"/>
              </w:rPr>
            </w:pPr>
            <w:r>
              <w:rPr>
                <w:rFonts w:eastAsia="MS Mincho"/>
              </w:rPr>
              <w:t>(</w:t>
            </w:r>
            <w:r w:rsidR="00CD6A97">
              <w:rPr>
                <w:rFonts w:eastAsia="MS Mincho"/>
              </w:rPr>
              <w:t>38.4</w:t>
            </w:r>
            <w:r>
              <w:rPr>
                <w:rFonts w:eastAsia="MS Mincho"/>
              </w:rPr>
              <w:t>%)</w:t>
            </w:r>
          </w:p>
        </w:tc>
        <w:tc>
          <w:tcPr>
            <w:tcW w:w="851" w:type="pct"/>
            <w:shd w:val="clear" w:color="auto" w:fill="D9D9D9" w:themeFill="background1" w:themeFillShade="D9"/>
            <w:tcMar>
              <w:left w:w="28" w:type="dxa"/>
              <w:right w:w="28" w:type="dxa"/>
            </w:tcMar>
            <w:vAlign w:val="center"/>
          </w:tcPr>
          <w:p w14:paraId="3D3E4324" w14:textId="77777777" w:rsidR="00D8637F" w:rsidRPr="006E70FC" w:rsidRDefault="00AF67D6" w:rsidP="00D8637F">
            <w:pPr>
              <w:pStyle w:val="Tablewriting"/>
              <w:keepNext/>
              <w:jc w:val="center"/>
              <w:rPr>
                <w:rFonts w:eastAsia="MS Mincho"/>
              </w:rPr>
            </w:pPr>
            <w:r w:rsidRPr="006E70FC">
              <w:rPr>
                <w:rFonts w:eastAsia="MS Mincho"/>
              </w:rPr>
              <w:t>0.87</w:t>
            </w:r>
          </w:p>
          <w:p w14:paraId="78987535" w14:textId="26BDFC44" w:rsidR="00AF67D6" w:rsidRPr="00F360FD" w:rsidRDefault="00AF67D6" w:rsidP="00D8637F">
            <w:pPr>
              <w:pStyle w:val="Tablewriting"/>
              <w:keepNext/>
              <w:jc w:val="center"/>
              <w:rPr>
                <w:rFonts w:eastAsia="MS Mincho"/>
                <w:b/>
              </w:rPr>
            </w:pPr>
            <w:r w:rsidRPr="006E70FC">
              <w:rPr>
                <w:rFonts w:eastAsia="MS Mincho"/>
              </w:rPr>
              <w:t>(0.72, 1.05)</w:t>
            </w:r>
          </w:p>
        </w:tc>
        <w:tc>
          <w:tcPr>
            <w:tcW w:w="807" w:type="pct"/>
            <w:shd w:val="clear" w:color="auto" w:fill="D9D9D9" w:themeFill="background1" w:themeFillShade="D9"/>
            <w:vAlign w:val="center"/>
          </w:tcPr>
          <w:p w14:paraId="659BEADB" w14:textId="77777777" w:rsidR="00D8637F" w:rsidRDefault="009843F9" w:rsidP="00D8637F">
            <w:pPr>
              <w:pStyle w:val="Tablewriting"/>
              <w:keepNext/>
              <w:jc w:val="center"/>
              <w:rPr>
                <w:rFonts w:eastAsia="MS Mincho"/>
              </w:rPr>
            </w:pPr>
            <w:r>
              <w:rPr>
                <w:rFonts w:eastAsia="MS Mincho"/>
              </w:rPr>
              <w:t>-0.05</w:t>
            </w:r>
          </w:p>
          <w:p w14:paraId="0BD55E01" w14:textId="2374CC83" w:rsidR="009843F9" w:rsidRPr="00061F78" w:rsidRDefault="009843F9" w:rsidP="00D8637F">
            <w:pPr>
              <w:pStyle w:val="Tablewriting"/>
              <w:keepNext/>
              <w:jc w:val="center"/>
              <w:rPr>
                <w:rFonts w:eastAsia="MS Mincho"/>
              </w:rPr>
            </w:pPr>
            <w:r>
              <w:rPr>
                <w:rFonts w:eastAsia="MS Mincho"/>
              </w:rPr>
              <w:t>(</w:t>
            </w:r>
            <w:r w:rsidR="00AE1268">
              <w:rPr>
                <w:rFonts w:eastAsia="MS Mincho"/>
              </w:rPr>
              <w:t>-0.12, 0.02)</w:t>
            </w:r>
          </w:p>
        </w:tc>
      </w:tr>
      <w:tr w:rsidR="00D8637F" w:rsidRPr="00061F78" w14:paraId="425B50DA" w14:textId="77777777" w:rsidTr="00015CD6">
        <w:trPr>
          <w:cantSplit/>
          <w:trHeight w:val="99"/>
        </w:trPr>
        <w:tc>
          <w:tcPr>
            <w:tcW w:w="721" w:type="pct"/>
            <w:shd w:val="clear" w:color="auto" w:fill="D9D9D9" w:themeFill="background1" w:themeFillShade="D9"/>
            <w:tcMar>
              <w:left w:w="28" w:type="dxa"/>
              <w:right w:w="28" w:type="dxa"/>
            </w:tcMar>
          </w:tcPr>
          <w:p w14:paraId="61C7D371" w14:textId="77777777" w:rsidR="00D8637F" w:rsidRPr="00D468CF" w:rsidRDefault="00D8637F" w:rsidP="00D8637F">
            <w:pPr>
              <w:pStyle w:val="Tablewriting"/>
              <w:keepNext/>
              <w:rPr>
                <w:rFonts w:eastAsia="MS Mincho"/>
                <w:vertAlign w:val="superscript"/>
              </w:rPr>
            </w:pPr>
            <w:r>
              <w:rPr>
                <w:rFonts w:eastAsia="MS Mincho"/>
              </w:rPr>
              <w:t>Anthenelli (EAGLES, 2016)</w:t>
            </w:r>
            <w:r>
              <w:rPr>
                <w:rFonts w:eastAsia="MS Mincho"/>
                <w:vertAlign w:val="superscript"/>
              </w:rPr>
              <w:t>2</w:t>
            </w:r>
          </w:p>
        </w:tc>
        <w:tc>
          <w:tcPr>
            <w:tcW w:w="920" w:type="pct"/>
            <w:shd w:val="clear" w:color="auto" w:fill="D9D9D9" w:themeFill="background1" w:themeFillShade="D9"/>
            <w:vAlign w:val="center"/>
          </w:tcPr>
          <w:p w14:paraId="4A077C7A" w14:textId="77777777" w:rsidR="00D8637F" w:rsidRDefault="00D8637F" w:rsidP="00D8637F">
            <w:pPr>
              <w:pStyle w:val="Tablewriting"/>
              <w:keepNext/>
              <w:jc w:val="center"/>
              <w:rPr>
                <w:rFonts w:eastAsia="MS Mincho"/>
              </w:rPr>
            </w:pPr>
            <w:r>
              <w:rPr>
                <w:rFonts w:eastAsia="MS Mincho"/>
              </w:rPr>
              <w:t>RCT</w:t>
            </w:r>
          </w:p>
        </w:tc>
        <w:tc>
          <w:tcPr>
            <w:tcW w:w="850" w:type="pct"/>
            <w:shd w:val="clear" w:color="auto" w:fill="D9D9D9" w:themeFill="background1" w:themeFillShade="D9"/>
            <w:tcMar>
              <w:left w:w="28" w:type="dxa"/>
              <w:right w:w="28" w:type="dxa"/>
            </w:tcMar>
            <w:vAlign w:val="center"/>
          </w:tcPr>
          <w:p w14:paraId="1C3F39C7" w14:textId="57BDFBE4" w:rsidR="00D8637F" w:rsidRPr="00A6179F" w:rsidRDefault="004B58D4" w:rsidP="00D8637F">
            <w:pPr>
              <w:pStyle w:val="Tablewriting"/>
              <w:keepNext/>
              <w:jc w:val="center"/>
              <w:rPr>
                <w:rFonts w:eastAsia="MS Mincho"/>
                <w:vertAlign w:val="superscript"/>
              </w:rPr>
            </w:pPr>
            <w:r>
              <w:rPr>
                <w:rFonts w:eastAsia="MS Mincho"/>
              </w:rPr>
              <w:t>320</w:t>
            </w:r>
            <w:r w:rsidR="00D8637F">
              <w:rPr>
                <w:rFonts w:eastAsia="MS Mincho"/>
              </w:rPr>
              <w:t>/2,03</w:t>
            </w:r>
            <w:r>
              <w:rPr>
                <w:rFonts w:eastAsia="MS Mincho"/>
              </w:rPr>
              <w:t>8</w:t>
            </w:r>
            <w:r w:rsidR="00A6179F">
              <w:rPr>
                <w:rFonts w:eastAsia="MS Mincho"/>
                <w:vertAlign w:val="superscript"/>
              </w:rPr>
              <w:t>a</w:t>
            </w:r>
          </w:p>
          <w:p w14:paraId="40983885" w14:textId="4138996C" w:rsidR="00D8637F" w:rsidRPr="00061F78" w:rsidRDefault="00D8637F" w:rsidP="00D8637F">
            <w:pPr>
              <w:pStyle w:val="Tablewriting"/>
              <w:keepNext/>
              <w:jc w:val="center"/>
              <w:rPr>
                <w:rFonts w:eastAsia="MS Mincho"/>
              </w:rPr>
            </w:pPr>
            <w:r>
              <w:rPr>
                <w:rFonts w:eastAsia="MS Mincho"/>
              </w:rPr>
              <w:t>(</w:t>
            </w:r>
            <w:r w:rsidR="004B58D4">
              <w:rPr>
                <w:rFonts w:eastAsia="MS Mincho"/>
              </w:rPr>
              <w:t>15.7</w:t>
            </w:r>
            <w:r>
              <w:rPr>
                <w:rFonts w:eastAsia="MS Mincho"/>
              </w:rPr>
              <w:t>%)</w:t>
            </w:r>
          </w:p>
        </w:tc>
        <w:tc>
          <w:tcPr>
            <w:tcW w:w="851" w:type="pct"/>
            <w:shd w:val="clear" w:color="auto" w:fill="D9D9D9" w:themeFill="background1" w:themeFillShade="D9"/>
            <w:tcMar>
              <w:left w:w="28" w:type="dxa"/>
              <w:right w:w="28" w:type="dxa"/>
            </w:tcMar>
            <w:vAlign w:val="center"/>
          </w:tcPr>
          <w:p w14:paraId="5419B8FE" w14:textId="2E753BC3" w:rsidR="00FD339F" w:rsidRPr="00A6179F" w:rsidRDefault="00FD339F" w:rsidP="00FD339F">
            <w:pPr>
              <w:pStyle w:val="Tablewriting"/>
              <w:keepNext/>
              <w:jc w:val="center"/>
              <w:rPr>
                <w:rFonts w:eastAsia="MS Mincho"/>
                <w:vertAlign w:val="superscript"/>
              </w:rPr>
            </w:pPr>
            <w:r>
              <w:rPr>
                <w:rFonts w:eastAsia="MS Mincho"/>
              </w:rPr>
              <w:t>445/2,037</w:t>
            </w:r>
            <w:r w:rsidR="00A6179F">
              <w:rPr>
                <w:rFonts w:eastAsia="MS Mincho"/>
                <w:vertAlign w:val="superscript"/>
              </w:rPr>
              <w:t>a</w:t>
            </w:r>
          </w:p>
          <w:p w14:paraId="3678B9D5" w14:textId="79DADD9C" w:rsidR="00D8637F" w:rsidRPr="00061F78" w:rsidRDefault="00FD339F" w:rsidP="00FD339F">
            <w:pPr>
              <w:pStyle w:val="Tablewriting"/>
              <w:keepNext/>
              <w:jc w:val="center"/>
              <w:rPr>
                <w:rFonts w:eastAsia="MS Mincho"/>
              </w:rPr>
            </w:pPr>
            <w:r>
              <w:rPr>
                <w:rFonts w:eastAsia="MS Mincho"/>
              </w:rPr>
              <w:t>(21.8%)</w:t>
            </w:r>
          </w:p>
        </w:tc>
        <w:tc>
          <w:tcPr>
            <w:tcW w:w="851" w:type="pct"/>
            <w:shd w:val="clear" w:color="auto" w:fill="D9D9D9" w:themeFill="background1" w:themeFillShade="D9"/>
            <w:tcMar>
              <w:left w:w="28" w:type="dxa"/>
              <w:right w:w="28" w:type="dxa"/>
            </w:tcMar>
            <w:vAlign w:val="center"/>
          </w:tcPr>
          <w:p w14:paraId="3DFC819A" w14:textId="77777777" w:rsidR="00D8637F" w:rsidRDefault="006E70FC" w:rsidP="00D8637F">
            <w:pPr>
              <w:pStyle w:val="Tablewriting"/>
              <w:keepNext/>
              <w:jc w:val="center"/>
              <w:rPr>
                <w:rFonts w:eastAsia="MS Mincho"/>
                <w:b/>
              </w:rPr>
            </w:pPr>
            <w:r>
              <w:rPr>
                <w:rFonts w:eastAsia="MS Mincho"/>
                <w:b/>
              </w:rPr>
              <w:t>0.72</w:t>
            </w:r>
          </w:p>
          <w:p w14:paraId="08884F77" w14:textId="36AD7CAA" w:rsidR="006E70FC" w:rsidRPr="00061F78" w:rsidRDefault="006E70FC" w:rsidP="00D8637F">
            <w:pPr>
              <w:pStyle w:val="Tablewriting"/>
              <w:keepNext/>
              <w:jc w:val="center"/>
              <w:rPr>
                <w:rFonts w:eastAsia="MS Mincho"/>
              </w:rPr>
            </w:pPr>
            <w:r>
              <w:rPr>
                <w:rFonts w:eastAsia="MS Mincho"/>
                <w:b/>
              </w:rPr>
              <w:t>(0.</w:t>
            </w:r>
            <w:r w:rsidR="009843F9">
              <w:rPr>
                <w:rFonts w:eastAsia="MS Mincho"/>
                <w:b/>
              </w:rPr>
              <w:t>63, 0.82)</w:t>
            </w:r>
          </w:p>
        </w:tc>
        <w:tc>
          <w:tcPr>
            <w:tcW w:w="807" w:type="pct"/>
            <w:shd w:val="clear" w:color="auto" w:fill="D9D9D9" w:themeFill="background1" w:themeFillShade="D9"/>
            <w:vAlign w:val="center"/>
          </w:tcPr>
          <w:p w14:paraId="67290E27" w14:textId="77777777" w:rsidR="00D8637F" w:rsidRPr="009D1E1E" w:rsidRDefault="00AE1268" w:rsidP="00D8637F">
            <w:pPr>
              <w:pStyle w:val="Tablewriting"/>
              <w:keepNext/>
              <w:jc w:val="center"/>
              <w:rPr>
                <w:rFonts w:eastAsia="MS Mincho"/>
                <w:b/>
                <w:bCs/>
              </w:rPr>
            </w:pPr>
            <w:r w:rsidRPr="009D1E1E">
              <w:rPr>
                <w:rFonts w:eastAsia="MS Mincho"/>
                <w:b/>
                <w:bCs/>
              </w:rPr>
              <w:t>-0.06</w:t>
            </w:r>
          </w:p>
          <w:p w14:paraId="705D3230" w14:textId="735A4F38" w:rsidR="00AE1268" w:rsidRPr="00061F78" w:rsidRDefault="00AE1268" w:rsidP="00D8637F">
            <w:pPr>
              <w:pStyle w:val="Tablewriting"/>
              <w:keepNext/>
              <w:jc w:val="center"/>
              <w:rPr>
                <w:rFonts w:eastAsia="MS Mincho"/>
              </w:rPr>
            </w:pPr>
            <w:r w:rsidRPr="009D1E1E">
              <w:rPr>
                <w:rFonts w:eastAsia="MS Mincho"/>
                <w:b/>
                <w:bCs/>
              </w:rPr>
              <w:t>(-0.09, -0.04)</w:t>
            </w:r>
          </w:p>
        </w:tc>
      </w:tr>
      <w:tr w:rsidR="00D8637F" w:rsidRPr="00061F78" w14:paraId="038708DA" w14:textId="77777777" w:rsidTr="00D8637F">
        <w:trPr>
          <w:cantSplit/>
          <w:trHeight w:val="149"/>
        </w:trPr>
        <w:tc>
          <w:tcPr>
            <w:tcW w:w="721" w:type="pct"/>
            <w:tcMar>
              <w:left w:w="28" w:type="dxa"/>
              <w:right w:w="28" w:type="dxa"/>
            </w:tcMar>
          </w:tcPr>
          <w:p w14:paraId="444E88D1" w14:textId="77777777" w:rsidR="00FD339F" w:rsidRDefault="00D8637F" w:rsidP="00D8637F">
            <w:pPr>
              <w:pStyle w:val="Tablewriting"/>
              <w:keepNext/>
              <w:rPr>
                <w:rFonts w:eastAsia="MS Mincho"/>
              </w:rPr>
            </w:pPr>
            <w:r>
              <w:rPr>
                <w:rFonts w:eastAsia="MS Mincho"/>
              </w:rPr>
              <w:t xml:space="preserve">Cahill </w:t>
            </w:r>
          </w:p>
          <w:p w14:paraId="443986F3" w14:textId="1D91A53E" w:rsidR="00D8637F" w:rsidRPr="00D468CF" w:rsidRDefault="00D8637F" w:rsidP="00D8637F">
            <w:pPr>
              <w:pStyle w:val="Tablewriting"/>
              <w:keepNext/>
              <w:rPr>
                <w:rFonts w:eastAsia="MS Mincho"/>
                <w:vertAlign w:val="superscript"/>
              </w:rPr>
            </w:pPr>
            <w:r>
              <w:rPr>
                <w:rFonts w:eastAsia="MS Mincho"/>
              </w:rPr>
              <w:t>(2016)</w:t>
            </w:r>
            <w:r>
              <w:rPr>
                <w:rFonts w:eastAsia="MS Mincho"/>
                <w:vertAlign w:val="superscript"/>
              </w:rPr>
              <w:t>3</w:t>
            </w:r>
            <w:r w:rsidR="002777C2">
              <w:rPr>
                <w:rFonts w:eastAsia="MS Mincho"/>
                <w:vertAlign w:val="superscript"/>
              </w:rPr>
              <w:t>,4</w:t>
            </w:r>
          </w:p>
        </w:tc>
        <w:tc>
          <w:tcPr>
            <w:tcW w:w="920" w:type="pct"/>
            <w:vAlign w:val="center"/>
          </w:tcPr>
          <w:p w14:paraId="6DFAE441" w14:textId="24E71AC6" w:rsidR="00D8637F" w:rsidRDefault="00D8637F" w:rsidP="00D8637F">
            <w:pPr>
              <w:pStyle w:val="Tablewriting"/>
              <w:keepNext/>
              <w:jc w:val="center"/>
              <w:rPr>
                <w:rFonts w:eastAsia="MS Mincho"/>
              </w:rPr>
            </w:pPr>
            <w:r>
              <w:rPr>
                <w:rFonts w:eastAsia="MS Mincho"/>
              </w:rPr>
              <w:t>Cochrane Review (</w:t>
            </w:r>
            <w:r w:rsidR="00FD339F">
              <w:rPr>
                <w:rFonts w:eastAsia="MS Mincho"/>
              </w:rPr>
              <w:t>8</w:t>
            </w:r>
            <w:r>
              <w:rPr>
                <w:rFonts w:eastAsia="MS Mincho"/>
              </w:rPr>
              <w:t xml:space="preserve"> RCTs)</w:t>
            </w:r>
          </w:p>
        </w:tc>
        <w:tc>
          <w:tcPr>
            <w:tcW w:w="850" w:type="pct"/>
            <w:tcMar>
              <w:left w:w="28" w:type="dxa"/>
              <w:right w:w="28" w:type="dxa"/>
            </w:tcMar>
            <w:vAlign w:val="center"/>
          </w:tcPr>
          <w:p w14:paraId="4D13727F" w14:textId="266BBAC4" w:rsidR="00D8637F" w:rsidRPr="009843F9" w:rsidRDefault="004B58D4" w:rsidP="00D8637F">
            <w:pPr>
              <w:pStyle w:val="Tablewriting"/>
              <w:keepNext/>
              <w:jc w:val="center"/>
              <w:rPr>
                <w:rFonts w:eastAsia="MS Mincho"/>
              </w:rPr>
            </w:pPr>
            <w:r w:rsidRPr="009843F9">
              <w:rPr>
                <w:rFonts w:eastAsia="MS Mincho"/>
              </w:rPr>
              <w:t>575</w:t>
            </w:r>
            <w:r w:rsidR="00D8637F" w:rsidRPr="009843F9">
              <w:rPr>
                <w:rFonts w:eastAsia="MS Mincho"/>
              </w:rPr>
              <w:t>/</w:t>
            </w:r>
            <w:r w:rsidRPr="009843F9">
              <w:rPr>
                <w:rFonts w:eastAsia="MS Mincho"/>
              </w:rPr>
              <w:t>3</w:t>
            </w:r>
            <w:r w:rsidR="00D8637F" w:rsidRPr="009843F9">
              <w:rPr>
                <w:rFonts w:eastAsia="MS Mincho"/>
              </w:rPr>
              <w:t>,</w:t>
            </w:r>
            <w:r w:rsidRPr="009843F9">
              <w:rPr>
                <w:rFonts w:eastAsia="MS Mincho"/>
              </w:rPr>
              <w:t>0</w:t>
            </w:r>
            <w:r w:rsidR="001C4F9D">
              <w:rPr>
                <w:rFonts w:eastAsia="MS Mincho"/>
              </w:rPr>
              <w:t>59</w:t>
            </w:r>
            <w:r w:rsidR="000B5F01">
              <w:rPr>
                <w:rFonts w:eastAsia="MS Mincho"/>
                <w:vertAlign w:val="superscript"/>
              </w:rPr>
              <w:t>a</w:t>
            </w:r>
            <w:r w:rsidR="00D8637F" w:rsidRPr="009843F9">
              <w:rPr>
                <w:rFonts w:eastAsia="MS Mincho"/>
              </w:rPr>
              <w:t xml:space="preserve"> </w:t>
            </w:r>
          </w:p>
          <w:p w14:paraId="7E1C46BA" w14:textId="0F678D78" w:rsidR="00D8637F" w:rsidRPr="009843F9" w:rsidRDefault="00D8637F" w:rsidP="00D8637F">
            <w:pPr>
              <w:pStyle w:val="Tablewriting"/>
              <w:keepNext/>
              <w:jc w:val="center"/>
              <w:rPr>
                <w:rFonts w:eastAsia="MS Mincho"/>
              </w:rPr>
            </w:pPr>
            <w:r w:rsidRPr="009843F9">
              <w:rPr>
                <w:rFonts w:eastAsia="MS Mincho"/>
              </w:rPr>
              <w:t>(</w:t>
            </w:r>
            <w:r w:rsidR="00210FD6">
              <w:rPr>
                <w:rFonts w:eastAsia="MS Mincho"/>
              </w:rPr>
              <w:t>18.8</w:t>
            </w:r>
            <w:r w:rsidRPr="009843F9">
              <w:rPr>
                <w:rFonts w:eastAsia="MS Mincho"/>
              </w:rPr>
              <w:t>%)</w:t>
            </w:r>
          </w:p>
        </w:tc>
        <w:tc>
          <w:tcPr>
            <w:tcW w:w="851" w:type="pct"/>
            <w:tcMar>
              <w:left w:w="28" w:type="dxa"/>
              <w:right w:w="28" w:type="dxa"/>
            </w:tcMar>
            <w:vAlign w:val="center"/>
          </w:tcPr>
          <w:p w14:paraId="1DD2508C" w14:textId="386647BD" w:rsidR="00D8637F" w:rsidRPr="009843F9" w:rsidRDefault="004B58D4" w:rsidP="00D8637F">
            <w:pPr>
              <w:pStyle w:val="Tablewriting"/>
              <w:keepNext/>
              <w:jc w:val="center"/>
              <w:rPr>
                <w:rFonts w:eastAsia="MS Mincho"/>
              </w:rPr>
            </w:pPr>
            <w:r w:rsidRPr="009843F9">
              <w:rPr>
                <w:rFonts w:eastAsia="MS Mincho"/>
              </w:rPr>
              <w:t>76</w:t>
            </w:r>
            <w:r w:rsidR="005077AD" w:rsidRPr="009843F9">
              <w:rPr>
                <w:rFonts w:eastAsia="MS Mincho"/>
              </w:rPr>
              <w:t>8</w:t>
            </w:r>
            <w:r w:rsidR="00D8637F" w:rsidRPr="009843F9">
              <w:rPr>
                <w:rFonts w:eastAsia="MS Mincho"/>
              </w:rPr>
              <w:t>/</w:t>
            </w:r>
            <w:r w:rsidRPr="009843F9">
              <w:rPr>
                <w:rFonts w:eastAsia="MS Mincho"/>
              </w:rPr>
              <w:t>3,2</w:t>
            </w:r>
            <w:r w:rsidR="005077AD" w:rsidRPr="009843F9">
              <w:rPr>
                <w:rFonts w:eastAsia="MS Mincho"/>
              </w:rPr>
              <w:t>3</w:t>
            </w:r>
            <w:r w:rsidR="004764B2">
              <w:rPr>
                <w:rFonts w:eastAsia="MS Mincho"/>
              </w:rPr>
              <w:t>9</w:t>
            </w:r>
            <w:r w:rsidR="000B5F01">
              <w:rPr>
                <w:rFonts w:eastAsia="MS Mincho"/>
                <w:vertAlign w:val="superscript"/>
              </w:rPr>
              <w:t>a</w:t>
            </w:r>
            <w:r w:rsidR="00D8637F" w:rsidRPr="009843F9">
              <w:rPr>
                <w:rFonts w:eastAsia="MS Mincho"/>
              </w:rPr>
              <w:t xml:space="preserve"> </w:t>
            </w:r>
          </w:p>
          <w:p w14:paraId="2868D1D1" w14:textId="039D1DBF" w:rsidR="00D8637F" w:rsidRPr="009843F9" w:rsidRDefault="00D8637F" w:rsidP="00D8637F">
            <w:pPr>
              <w:pStyle w:val="Tablewriting"/>
              <w:keepNext/>
              <w:jc w:val="center"/>
              <w:rPr>
                <w:rFonts w:eastAsia="MS Mincho"/>
              </w:rPr>
            </w:pPr>
            <w:r w:rsidRPr="009843F9">
              <w:rPr>
                <w:rFonts w:eastAsia="MS Mincho"/>
              </w:rPr>
              <w:t>(</w:t>
            </w:r>
            <w:r w:rsidR="00210FD6">
              <w:rPr>
                <w:rFonts w:eastAsia="MS Mincho"/>
              </w:rPr>
              <w:t>23.7</w:t>
            </w:r>
            <w:r w:rsidRPr="009843F9">
              <w:rPr>
                <w:rFonts w:eastAsia="MS Mincho"/>
              </w:rPr>
              <w:t>%)</w:t>
            </w:r>
          </w:p>
        </w:tc>
        <w:tc>
          <w:tcPr>
            <w:tcW w:w="851" w:type="pct"/>
            <w:tcMar>
              <w:left w:w="28" w:type="dxa"/>
              <w:right w:w="28" w:type="dxa"/>
            </w:tcMar>
            <w:vAlign w:val="center"/>
          </w:tcPr>
          <w:p w14:paraId="0400BD9B" w14:textId="4DC3DCCB" w:rsidR="00D8637F" w:rsidRPr="009843F9" w:rsidRDefault="00EA7A43" w:rsidP="00D8637F">
            <w:pPr>
              <w:pStyle w:val="Tablewriting"/>
              <w:keepNext/>
              <w:jc w:val="center"/>
              <w:rPr>
                <w:rFonts w:eastAsia="MS Mincho"/>
                <w:b/>
                <w:bCs/>
              </w:rPr>
            </w:pPr>
            <w:r w:rsidRPr="009843F9">
              <w:rPr>
                <w:rFonts w:eastAsia="MS Mincho"/>
                <w:b/>
                <w:bCs/>
              </w:rPr>
              <w:t>0.8</w:t>
            </w:r>
            <w:r w:rsidR="0094507B" w:rsidRPr="009843F9">
              <w:rPr>
                <w:rFonts w:eastAsia="MS Mincho"/>
                <w:b/>
                <w:bCs/>
              </w:rPr>
              <w:t>5</w:t>
            </w:r>
          </w:p>
          <w:p w14:paraId="144507F9" w14:textId="6FEB1CC8" w:rsidR="00546406" w:rsidRPr="009843F9" w:rsidRDefault="00546406" w:rsidP="00D8637F">
            <w:pPr>
              <w:pStyle w:val="Tablewriting"/>
              <w:keepNext/>
              <w:jc w:val="center"/>
              <w:rPr>
                <w:rFonts w:eastAsia="MS Mincho"/>
              </w:rPr>
            </w:pPr>
            <w:r w:rsidRPr="009843F9">
              <w:rPr>
                <w:rFonts w:eastAsia="MS Mincho"/>
                <w:b/>
                <w:bCs/>
              </w:rPr>
              <w:t>(0.73, 0.</w:t>
            </w:r>
            <w:r w:rsidR="0094507B" w:rsidRPr="009843F9">
              <w:rPr>
                <w:rFonts w:eastAsia="MS Mincho"/>
                <w:b/>
                <w:bCs/>
              </w:rPr>
              <w:t>99</w:t>
            </w:r>
            <w:r w:rsidRPr="009843F9">
              <w:rPr>
                <w:rFonts w:eastAsia="MS Mincho"/>
                <w:b/>
                <w:bCs/>
              </w:rPr>
              <w:t>)</w:t>
            </w:r>
          </w:p>
        </w:tc>
        <w:tc>
          <w:tcPr>
            <w:tcW w:w="807" w:type="pct"/>
            <w:vAlign w:val="center"/>
          </w:tcPr>
          <w:p w14:paraId="374F9800" w14:textId="07A5B797" w:rsidR="00D8637F" w:rsidRPr="00061F78" w:rsidRDefault="002777C2" w:rsidP="00D8637F">
            <w:pPr>
              <w:pStyle w:val="Tablewriting"/>
              <w:keepNext/>
              <w:jc w:val="center"/>
              <w:rPr>
                <w:rFonts w:eastAsia="MS Mincho"/>
              </w:rPr>
            </w:pPr>
            <w:r>
              <w:rPr>
                <w:rFonts w:eastAsia="MS Mincho"/>
              </w:rPr>
              <w:t>NR</w:t>
            </w:r>
          </w:p>
        </w:tc>
      </w:tr>
      <w:tr w:rsidR="002777C2" w:rsidRPr="00061F78" w14:paraId="6B1B70B3" w14:textId="77777777" w:rsidTr="002777C2">
        <w:trPr>
          <w:cantSplit/>
          <w:trHeight w:val="149"/>
        </w:trPr>
        <w:tc>
          <w:tcPr>
            <w:tcW w:w="5000" w:type="pct"/>
            <w:gridSpan w:val="6"/>
            <w:tcMar>
              <w:left w:w="28" w:type="dxa"/>
              <w:right w:w="28" w:type="dxa"/>
            </w:tcMar>
          </w:tcPr>
          <w:p w14:paraId="48C93C4F" w14:textId="378C2512" w:rsidR="002777C2" w:rsidRPr="00E97C7D" w:rsidRDefault="002777C2" w:rsidP="002777C2">
            <w:pPr>
              <w:pStyle w:val="Tablewriting"/>
              <w:keepNext/>
              <w:rPr>
                <w:rFonts w:eastAsia="MS Mincho"/>
                <w:b/>
                <w:bCs/>
              </w:rPr>
            </w:pPr>
            <w:r w:rsidRPr="00E97C7D">
              <w:rPr>
                <w:rFonts w:eastAsia="MS Mincho"/>
                <w:b/>
                <w:bCs/>
              </w:rPr>
              <w:t>Meta-analysis of Cahill (2016)</w:t>
            </w:r>
            <w:r w:rsidRPr="00E97C7D">
              <w:rPr>
                <w:rFonts w:eastAsia="MS Mincho"/>
                <w:b/>
                <w:bCs/>
                <w:vertAlign w:val="superscript"/>
              </w:rPr>
              <w:t>6</w:t>
            </w:r>
            <w:r w:rsidRPr="00E97C7D">
              <w:rPr>
                <w:rFonts w:eastAsia="MS Mincho"/>
                <w:b/>
                <w:bCs/>
              </w:rPr>
              <w:t xml:space="preserve"> and three RCTs (Lerman</w:t>
            </w:r>
            <w:r w:rsidRPr="00E97C7D">
              <w:rPr>
                <w:b/>
                <w:bCs/>
              </w:rPr>
              <w:t xml:space="preserve"> </w:t>
            </w:r>
            <w:r w:rsidRPr="00E97C7D">
              <w:rPr>
                <w:rFonts w:eastAsia="MS Mincho"/>
                <w:b/>
                <w:bCs/>
              </w:rPr>
              <w:t>2015, Tulloch 2016, Rohsenow 2017)</w:t>
            </w:r>
          </w:p>
        </w:tc>
      </w:tr>
      <w:tr w:rsidR="002777C2" w:rsidRPr="00061F78" w14:paraId="02D25FA1" w14:textId="77777777" w:rsidTr="00D8637F">
        <w:trPr>
          <w:cantSplit/>
          <w:trHeight w:val="149"/>
        </w:trPr>
        <w:tc>
          <w:tcPr>
            <w:tcW w:w="721" w:type="pct"/>
            <w:tcMar>
              <w:left w:w="28" w:type="dxa"/>
              <w:right w:w="28" w:type="dxa"/>
            </w:tcMar>
          </w:tcPr>
          <w:p w14:paraId="0FE9792A" w14:textId="77777777" w:rsidR="002777C2" w:rsidRDefault="002777C2" w:rsidP="00D8637F">
            <w:pPr>
              <w:pStyle w:val="Tablewriting"/>
              <w:keepNext/>
              <w:rPr>
                <w:rFonts w:eastAsia="MS Mincho"/>
              </w:rPr>
            </w:pPr>
            <w:r>
              <w:rPr>
                <w:rFonts w:eastAsia="MS Mincho"/>
              </w:rPr>
              <w:t xml:space="preserve">Updated </w:t>
            </w:r>
          </w:p>
          <w:p w14:paraId="25B5C6BE" w14:textId="550E045C" w:rsidR="002777C2" w:rsidRPr="002777C2" w:rsidRDefault="002777C2" w:rsidP="00D8637F">
            <w:pPr>
              <w:pStyle w:val="Tablewriting"/>
              <w:keepNext/>
              <w:rPr>
                <w:rFonts w:eastAsia="MS Mincho"/>
                <w:vertAlign w:val="superscript"/>
              </w:rPr>
            </w:pPr>
            <w:r>
              <w:rPr>
                <w:rFonts w:eastAsia="MS Mincho"/>
              </w:rPr>
              <w:t>re-analysis</w:t>
            </w:r>
            <w:r>
              <w:rPr>
                <w:rFonts w:eastAsia="MS Mincho"/>
                <w:vertAlign w:val="superscript"/>
              </w:rPr>
              <w:t>5</w:t>
            </w:r>
          </w:p>
        </w:tc>
        <w:tc>
          <w:tcPr>
            <w:tcW w:w="920" w:type="pct"/>
            <w:vAlign w:val="center"/>
          </w:tcPr>
          <w:p w14:paraId="499630D4" w14:textId="4AF924EF" w:rsidR="002777C2" w:rsidRDefault="008B586E" w:rsidP="00D8637F">
            <w:pPr>
              <w:pStyle w:val="Tablewriting"/>
              <w:keepNext/>
              <w:jc w:val="center"/>
              <w:rPr>
                <w:rFonts w:eastAsia="MS Mincho"/>
              </w:rPr>
            </w:pPr>
            <w:r>
              <w:rPr>
                <w:rFonts w:eastAsia="MS Mincho"/>
              </w:rPr>
              <w:t>9</w:t>
            </w:r>
            <w:r w:rsidR="006B76A1">
              <w:rPr>
                <w:rFonts w:eastAsia="MS Mincho"/>
              </w:rPr>
              <w:t xml:space="preserve"> RCTs</w:t>
            </w:r>
          </w:p>
        </w:tc>
        <w:tc>
          <w:tcPr>
            <w:tcW w:w="850" w:type="pct"/>
            <w:tcMar>
              <w:left w:w="28" w:type="dxa"/>
              <w:right w:w="28" w:type="dxa"/>
            </w:tcMar>
            <w:vAlign w:val="center"/>
          </w:tcPr>
          <w:p w14:paraId="4037E4B0" w14:textId="16BCAEB4" w:rsidR="002777C2" w:rsidRPr="00E314A1" w:rsidRDefault="00BB4615" w:rsidP="00D8637F">
            <w:pPr>
              <w:pStyle w:val="Tablewriting"/>
              <w:keepNext/>
              <w:jc w:val="center"/>
              <w:rPr>
                <w:rFonts w:eastAsia="MS Mincho"/>
              </w:rPr>
            </w:pPr>
            <w:r w:rsidRPr="00E314A1">
              <w:rPr>
                <w:rFonts w:eastAsia="MS Mincho"/>
              </w:rPr>
              <w:t>6</w:t>
            </w:r>
            <w:r w:rsidR="00743E78">
              <w:rPr>
                <w:rFonts w:eastAsia="MS Mincho"/>
              </w:rPr>
              <w:t>6</w:t>
            </w:r>
            <w:r w:rsidRPr="00E314A1">
              <w:rPr>
                <w:rFonts w:eastAsia="MS Mincho"/>
              </w:rPr>
              <w:t>4/3,</w:t>
            </w:r>
            <w:r w:rsidR="00717120">
              <w:rPr>
                <w:rFonts w:eastAsia="MS Mincho"/>
              </w:rPr>
              <w:t>500</w:t>
            </w:r>
          </w:p>
          <w:p w14:paraId="21DC0BA3" w14:textId="1E52982C" w:rsidR="00BB4615" w:rsidRPr="00E314A1" w:rsidRDefault="00BB4615" w:rsidP="00D8637F">
            <w:pPr>
              <w:pStyle w:val="Tablewriting"/>
              <w:keepNext/>
              <w:jc w:val="center"/>
              <w:rPr>
                <w:rFonts w:eastAsia="MS Mincho"/>
              </w:rPr>
            </w:pPr>
            <w:r w:rsidRPr="00E314A1">
              <w:rPr>
                <w:rFonts w:eastAsia="MS Mincho"/>
              </w:rPr>
              <w:t>(</w:t>
            </w:r>
            <w:r w:rsidR="00210FD6">
              <w:rPr>
                <w:rFonts w:eastAsia="MS Mincho"/>
              </w:rPr>
              <w:t>19.0</w:t>
            </w:r>
            <w:r w:rsidRPr="00E314A1">
              <w:rPr>
                <w:rFonts w:eastAsia="MS Mincho"/>
              </w:rPr>
              <w:t>%)</w:t>
            </w:r>
          </w:p>
        </w:tc>
        <w:tc>
          <w:tcPr>
            <w:tcW w:w="851" w:type="pct"/>
            <w:tcMar>
              <w:left w:w="28" w:type="dxa"/>
              <w:right w:w="28" w:type="dxa"/>
            </w:tcMar>
            <w:vAlign w:val="center"/>
          </w:tcPr>
          <w:p w14:paraId="7A31E76F" w14:textId="5E8E56F6" w:rsidR="002777C2" w:rsidRPr="00E314A1" w:rsidRDefault="00717120" w:rsidP="00D8637F">
            <w:pPr>
              <w:pStyle w:val="Tablewriting"/>
              <w:keepNext/>
              <w:jc w:val="center"/>
              <w:rPr>
                <w:rFonts w:eastAsia="MS Mincho"/>
              </w:rPr>
            </w:pPr>
            <w:r>
              <w:rPr>
                <w:rFonts w:eastAsia="MS Mincho"/>
              </w:rPr>
              <w:t>887</w:t>
            </w:r>
            <w:r w:rsidR="00BB4615" w:rsidRPr="00E314A1">
              <w:rPr>
                <w:rFonts w:eastAsia="MS Mincho"/>
              </w:rPr>
              <w:t>/3,</w:t>
            </w:r>
            <w:r>
              <w:rPr>
                <w:rFonts w:eastAsia="MS Mincho"/>
              </w:rPr>
              <w:t>698</w:t>
            </w:r>
          </w:p>
          <w:p w14:paraId="11B71ECB" w14:textId="206036CF" w:rsidR="00BB4615" w:rsidRPr="00E314A1" w:rsidRDefault="00BB4615" w:rsidP="00D8637F">
            <w:pPr>
              <w:pStyle w:val="Tablewriting"/>
              <w:keepNext/>
              <w:jc w:val="center"/>
              <w:rPr>
                <w:rFonts w:eastAsia="MS Mincho"/>
              </w:rPr>
            </w:pPr>
            <w:r w:rsidRPr="00E314A1">
              <w:rPr>
                <w:rFonts w:eastAsia="MS Mincho"/>
              </w:rPr>
              <w:t>(</w:t>
            </w:r>
            <w:r w:rsidR="00003AAA">
              <w:rPr>
                <w:rFonts w:eastAsia="MS Mincho"/>
              </w:rPr>
              <w:t>24.0</w:t>
            </w:r>
            <w:r w:rsidRPr="00E314A1">
              <w:rPr>
                <w:rFonts w:eastAsia="MS Mincho"/>
              </w:rPr>
              <w:t>%)</w:t>
            </w:r>
          </w:p>
        </w:tc>
        <w:tc>
          <w:tcPr>
            <w:tcW w:w="851" w:type="pct"/>
            <w:tcMar>
              <w:left w:w="28" w:type="dxa"/>
              <w:right w:w="28" w:type="dxa"/>
            </w:tcMar>
            <w:vAlign w:val="center"/>
          </w:tcPr>
          <w:p w14:paraId="10EC214B" w14:textId="0B68A2E0" w:rsidR="002777C2" w:rsidRPr="00E314A1" w:rsidRDefault="00AB31FF" w:rsidP="00D8637F">
            <w:pPr>
              <w:pStyle w:val="Tablewriting"/>
              <w:keepNext/>
              <w:jc w:val="center"/>
              <w:rPr>
                <w:rFonts w:eastAsia="MS Mincho"/>
                <w:b/>
                <w:bCs/>
              </w:rPr>
            </w:pPr>
            <w:r w:rsidRPr="00E314A1">
              <w:rPr>
                <w:rFonts w:eastAsia="MS Mincho"/>
                <w:b/>
                <w:bCs/>
              </w:rPr>
              <w:t>0.8</w:t>
            </w:r>
            <w:r w:rsidR="002E5001" w:rsidRPr="00E314A1">
              <w:rPr>
                <w:rFonts w:eastAsia="MS Mincho"/>
                <w:b/>
                <w:bCs/>
              </w:rPr>
              <w:t>3</w:t>
            </w:r>
          </w:p>
          <w:p w14:paraId="39251C86" w14:textId="44DC33BB" w:rsidR="00AB31FF" w:rsidRPr="00E314A1" w:rsidRDefault="00AB31FF" w:rsidP="00D8637F">
            <w:pPr>
              <w:pStyle w:val="Tablewriting"/>
              <w:keepNext/>
              <w:jc w:val="center"/>
              <w:rPr>
                <w:rFonts w:eastAsia="MS Mincho"/>
                <w:b/>
                <w:bCs/>
              </w:rPr>
            </w:pPr>
            <w:r w:rsidRPr="00E314A1">
              <w:rPr>
                <w:rFonts w:eastAsia="MS Mincho"/>
                <w:b/>
                <w:bCs/>
              </w:rPr>
              <w:t>(0.7</w:t>
            </w:r>
            <w:r w:rsidR="00880397" w:rsidRPr="00E314A1">
              <w:rPr>
                <w:rFonts w:eastAsia="MS Mincho"/>
                <w:b/>
                <w:bCs/>
              </w:rPr>
              <w:t>1</w:t>
            </w:r>
            <w:r w:rsidRPr="00E314A1">
              <w:rPr>
                <w:rFonts w:eastAsia="MS Mincho"/>
                <w:b/>
                <w:bCs/>
              </w:rPr>
              <w:t>, 0.9</w:t>
            </w:r>
            <w:r w:rsidR="00880397" w:rsidRPr="00E314A1">
              <w:rPr>
                <w:rFonts w:eastAsia="MS Mincho"/>
                <w:b/>
                <w:bCs/>
              </w:rPr>
              <w:t>6</w:t>
            </w:r>
            <w:r w:rsidRPr="00E314A1">
              <w:rPr>
                <w:rFonts w:eastAsia="MS Mincho"/>
                <w:b/>
                <w:bCs/>
              </w:rPr>
              <w:t>)</w:t>
            </w:r>
          </w:p>
        </w:tc>
        <w:tc>
          <w:tcPr>
            <w:tcW w:w="807" w:type="pct"/>
            <w:vAlign w:val="center"/>
          </w:tcPr>
          <w:p w14:paraId="6C71D52F" w14:textId="3717143B" w:rsidR="002777C2" w:rsidRPr="00E314A1" w:rsidRDefault="00AB31FF" w:rsidP="00D8637F">
            <w:pPr>
              <w:pStyle w:val="Tablewriting"/>
              <w:keepNext/>
              <w:jc w:val="center"/>
              <w:rPr>
                <w:rFonts w:eastAsia="MS Mincho"/>
                <w:b/>
                <w:bCs/>
              </w:rPr>
            </w:pPr>
            <w:r w:rsidRPr="00E314A1">
              <w:rPr>
                <w:rFonts w:eastAsia="MS Mincho"/>
                <w:b/>
                <w:bCs/>
              </w:rPr>
              <w:t>-0.0</w:t>
            </w:r>
            <w:r w:rsidR="00E314A1" w:rsidRPr="00E314A1">
              <w:rPr>
                <w:rFonts w:eastAsia="MS Mincho"/>
                <w:b/>
                <w:bCs/>
              </w:rPr>
              <w:t>5</w:t>
            </w:r>
          </w:p>
          <w:p w14:paraId="5FC42528" w14:textId="6FA79173" w:rsidR="00AB31FF" w:rsidRPr="00E314A1" w:rsidRDefault="00AB31FF" w:rsidP="00D8637F">
            <w:pPr>
              <w:pStyle w:val="Tablewriting"/>
              <w:keepNext/>
              <w:jc w:val="center"/>
              <w:rPr>
                <w:rFonts w:eastAsia="MS Mincho"/>
              </w:rPr>
            </w:pPr>
            <w:r w:rsidRPr="00E314A1">
              <w:rPr>
                <w:rFonts w:eastAsia="MS Mincho"/>
                <w:b/>
                <w:bCs/>
              </w:rPr>
              <w:t>(-0.0</w:t>
            </w:r>
            <w:r w:rsidR="00E314A1" w:rsidRPr="00E314A1">
              <w:rPr>
                <w:rFonts w:eastAsia="MS Mincho"/>
                <w:b/>
                <w:bCs/>
              </w:rPr>
              <w:t>8</w:t>
            </w:r>
            <w:r w:rsidRPr="00E314A1">
              <w:rPr>
                <w:rFonts w:eastAsia="MS Mincho"/>
                <w:b/>
                <w:bCs/>
              </w:rPr>
              <w:t xml:space="preserve">, </w:t>
            </w:r>
            <w:r w:rsidR="00E314A1" w:rsidRPr="00E314A1">
              <w:rPr>
                <w:rFonts w:eastAsia="MS Mincho"/>
                <w:b/>
                <w:bCs/>
              </w:rPr>
              <w:t>-0.</w:t>
            </w:r>
            <w:r w:rsidRPr="00E314A1">
              <w:rPr>
                <w:rFonts w:eastAsia="MS Mincho"/>
                <w:b/>
                <w:bCs/>
              </w:rPr>
              <w:t>0</w:t>
            </w:r>
            <w:r w:rsidR="00E314A1" w:rsidRPr="00E314A1">
              <w:rPr>
                <w:rFonts w:eastAsia="MS Mincho"/>
                <w:b/>
                <w:bCs/>
              </w:rPr>
              <w:t>1</w:t>
            </w:r>
            <w:r w:rsidRPr="00E314A1">
              <w:rPr>
                <w:rFonts w:eastAsia="MS Mincho"/>
                <w:b/>
                <w:bCs/>
              </w:rPr>
              <w:t>)</w:t>
            </w:r>
          </w:p>
        </w:tc>
      </w:tr>
    </w:tbl>
    <w:p w14:paraId="75298D0B" w14:textId="2B2B488A" w:rsidR="004B58D4" w:rsidRPr="00C51081" w:rsidRDefault="004B58D4" w:rsidP="004B58D4">
      <w:pPr>
        <w:pStyle w:val="TableFooter"/>
        <w:keepNext/>
        <w:rPr>
          <w:sz w:val="19"/>
          <w:szCs w:val="19"/>
        </w:rPr>
      </w:pPr>
      <w:r w:rsidRPr="00C51081">
        <w:rPr>
          <w:sz w:val="19"/>
          <w:szCs w:val="19"/>
        </w:rPr>
        <w:t>Source: Cahill et al. (2016)</w:t>
      </w:r>
      <w:r w:rsidR="005E2ED9" w:rsidRPr="00C51081">
        <w:rPr>
          <w:sz w:val="19"/>
          <w:szCs w:val="19"/>
        </w:rPr>
        <w:t xml:space="preserve">, </w:t>
      </w:r>
      <w:r w:rsidR="005E2ED9" w:rsidRPr="00C51081">
        <w:rPr>
          <w:rFonts w:eastAsia="MS Mincho"/>
          <w:sz w:val="19"/>
          <w:szCs w:val="19"/>
        </w:rPr>
        <w:t>Lerman</w:t>
      </w:r>
      <w:r w:rsidR="005E2ED9" w:rsidRPr="00C51081">
        <w:rPr>
          <w:sz w:val="19"/>
          <w:szCs w:val="19"/>
        </w:rPr>
        <w:t xml:space="preserve"> </w:t>
      </w:r>
      <w:r w:rsidR="005E2ED9" w:rsidRPr="00C51081">
        <w:rPr>
          <w:rFonts w:eastAsia="MS Mincho"/>
          <w:sz w:val="19"/>
          <w:szCs w:val="19"/>
        </w:rPr>
        <w:t>2015, Tulloch 2016, Rohsenow 2017</w:t>
      </w:r>
    </w:p>
    <w:p w14:paraId="5614E797" w14:textId="77CEEAB6" w:rsidR="004B58D4" w:rsidRPr="00C51081" w:rsidRDefault="004B58D4" w:rsidP="004B58D4">
      <w:pPr>
        <w:pStyle w:val="TableFooter"/>
        <w:keepNext/>
        <w:rPr>
          <w:i/>
          <w:sz w:val="19"/>
          <w:szCs w:val="19"/>
        </w:rPr>
      </w:pPr>
      <w:r w:rsidRPr="00C51081">
        <w:rPr>
          <w:sz w:val="19"/>
          <w:szCs w:val="19"/>
        </w:rPr>
        <w:t xml:space="preserve">Abbreviations: CI = confidence interval; </w:t>
      </w:r>
      <w:r w:rsidR="00CB2F8C" w:rsidRPr="00C51081">
        <w:rPr>
          <w:sz w:val="19"/>
          <w:szCs w:val="19"/>
        </w:rPr>
        <w:t xml:space="preserve">NR = not reported; </w:t>
      </w:r>
      <w:r w:rsidRPr="00C51081">
        <w:rPr>
          <w:sz w:val="19"/>
          <w:szCs w:val="19"/>
        </w:rPr>
        <w:t xml:space="preserve">RCT = randomised controlled trial; </w:t>
      </w:r>
      <w:r w:rsidR="00CB2F8C" w:rsidRPr="00C51081">
        <w:rPr>
          <w:sz w:val="19"/>
          <w:szCs w:val="19"/>
        </w:rPr>
        <w:t xml:space="preserve">RD = risk difference; </w:t>
      </w:r>
      <w:r w:rsidRPr="00C51081">
        <w:rPr>
          <w:sz w:val="19"/>
          <w:szCs w:val="19"/>
        </w:rPr>
        <w:t xml:space="preserve">RR = risk ratio </w:t>
      </w:r>
    </w:p>
    <w:p w14:paraId="7B056AC9" w14:textId="77777777" w:rsidR="004B58D4" w:rsidRPr="00C51081" w:rsidRDefault="004B58D4" w:rsidP="004B58D4">
      <w:pPr>
        <w:pStyle w:val="TableFooter"/>
        <w:keepNext/>
        <w:rPr>
          <w:sz w:val="19"/>
          <w:szCs w:val="19"/>
        </w:rPr>
      </w:pPr>
      <w:r w:rsidRPr="00C51081">
        <w:rPr>
          <w:sz w:val="19"/>
          <w:szCs w:val="19"/>
          <w:highlight w:val="lightGray"/>
        </w:rPr>
        <w:t>Shaded</w:t>
      </w:r>
      <w:r w:rsidRPr="00C51081">
        <w:rPr>
          <w:sz w:val="19"/>
          <w:szCs w:val="19"/>
        </w:rPr>
        <w:t xml:space="preserve"> = previously considered by the PBAC</w:t>
      </w:r>
    </w:p>
    <w:p w14:paraId="19DEA68B" w14:textId="53AC1A45" w:rsidR="004B58D4" w:rsidRPr="00C51081" w:rsidRDefault="004B58D4" w:rsidP="004B58D4">
      <w:pPr>
        <w:pStyle w:val="TableFooter"/>
        <w:keepNext/>
        <w:rPr>
          <w:sz w:val="19"/>
          <w:szCs w:val="19"/>
        </w:rPr>
      </w:pPr>
      <w:r w:rsidRPr="00C51081">
        <w:rPr>
          <w:sz w:val="19"/>
          <w:szCs w:val="19"/>
        </w:rPr>
        <w:t>Notes: Bold indicates statistically significant difference.</w:t>
      </w:r>
      <w:r w:rsidRPr="00C51081">
        <w:rPr>
          <w:sz w:val="19"/>
          <w:szCs w:val="19"/>
        </w:rPr>
        <w:br/>
        <w:t>1 Primary analysis set (randomised and treated patients) was used instead of</w:t>
      </w:r>
      <w:r w:rsidR="0070341B">
        <w:rPr>
          <w:sz w:val="19"/>
          <w:szCs w:val="19"/>
        </w:rPr>
        <w:t xml:space="preserve"> intention-to-treat</w:t>
      </w:r>
      <w:r w:rsidRPr="00C51081">
        <w:rPr>
          <w:sz w:val="19"/>
          <w:szCs w:val="19"/>
        </w:rPr>
        <w:t xml:space="preserve"> ITT (randomised patients)</w:t>
      </w:r>
      <w:r w:rsidR="00AB5FA3" w:rsidRPr="00C51081">
        <w:rPr>
          <w:sz w:val="19"/>
          <w:szCs w:val="19"/>
        </w:rPr>
        <w:t>.</w:t>
      </w:r>
    </w:p>
    <w:p w14:paraId="0DA7F05A" w14:textId="7B26101D" w:rsidR="004B58D4" w:rsidRPr="00C51081" w:rsidRDefault="004B58D4" w:rsidP="00C51081">
      <w:pPr>
        <w:pStyle w:val="TableFooter"/>
        <w:keepNext/>
        <w:jc w:val="both"/>
        <w:rPr>
          <w:sz w:val="19"/>
          <w:szCs w:val="19"/>
        </w:rPr>
      </w:pPr>
      <w:r w:rsidRPr="00C51081">
        <w:rPr>
          <w:sz w:val="19"/>
          <w:szCs w:val="19"/>
        </w:rPr>
        <w:t xml:space="preserve">2 Continuous abstinence rate at </w:t>
      </w:r>
      <w:r w:rsidR="007C00EF">
        <w:rPr>
          <w:sz w:val="19"/>
          <w:szCs w:val="19"/>
        </w:rPr>
        <w:t>six</w:t>
      </w:r>
      <w:r w:rsidRPr="00C51081">
        <w:rPr>
          <w:sz w:val="19"/>
          <w:szCs w:val="19"/>
        </w:rPr>
        <w:t xml:space="preserve"> months (</w:t>
      </w:r>
      <w:r w:rsidR="00D562FA" w:rsidRPr="00C51081">
        <w:rPr>
          <w:sz w:val="19"/>
          <w:szCs w:val="19"/>
        </w:rPr>
        <w:t>w</w:t>
      </w:r>
      <w:r w:rsidRPr="00C51081">
        <w:rPr>
          <w:sz w:val="19"/>
          <w:szCs w:val="19"/>
        </w:rPr>
        <w:t>eek 9-24)</w:t>
      </w:r>
      <w:r w:rsidR="00FB07ED" w:rsidRPr="00C51081">
        <w:rPr>
          <w:sz w:val="19"/>
          <w:szCs w:val="19"/>
        </w:rPr>
        <w:t>,</w:t>
      </w:r>
      <w:r w:rsidR="00147506" w:rsidRPr="00C51081">
        <w:rPr>
          <w:sz w:val="19"/>
          <w:szCs w:val="19"/>
        </w:rPr>
        <w:t xml:space="preserve"> </w:t>
      </w:r>
      <w:r w:rsidR="00FB07ED" w:rsidRPr="00C51081">
        <w:rPr>
          <w:sz w:val="19"/>
          <w:szCs w:val="19"/>
        </w:rPr>
        <w:t>p</w:t>
      </w:r>
      <w:r w:rsidR="00147506" w:rsidRPr="00C51081">
        <w:rPr>
          <w:sz w:val="19"/>
          <w:szCs w:val="19"/>
        </w:rPr>
        <w:t>oint prevalence abstinence was not an outcome</w:t>
      </w:r>
      <w:r w:rsidR="00FB07ED" w:rsidRPr="00C51081">
        <w:rPr>
          <w:sz w:val="19"/>
          <w:szCs w:val="19"/>
        </w:rPr>
        <w:t xml:space="preserve"> in EAGLES (2016).</w:t>
      </w:r>
      <w:r w:rsidR="00D221FC" w:rsidRPr="00C51081">
        <w:rPr>
          <w:sz w:val="19"/>
          <w:szCs w:val="19"/>
        </w:rPr>
        <w:t xml:space="preserve"> Cahill et al. (2016) used </w:t>
      </w:r>
      <w:r w:rsidR="001A469D" w:rsidRPr="00C51081">
        <w:rPr>
          <w:sz w:val="19"/>
          <w:szCs w:val="19"/>
        </w:rPr>
        <w:t>continuous abstinence rate instead.</w:t>
      </w:r>
      <w:r w:rsidR="007637A9" w:rsidRPr="00C51081">
        <w:rPr>
          <w:sz w:val="19"/>
          <w:szCs w:val="19"/>
        </w:rPr>
        <w:t xml:space="preserve"> </w:t>
      </w:r>
    </w:p>
    <w:p w14:paraId="7EBC559A" w14:textId="3772F4A2" w:rsidR="004B58D4" w:rsidRPr="00C51081" w:rsidRDefault="004B58D4" w:rsidP="00C51081">
      <w:pPr>
        <w:pStyle w:val="TableFooter"/>
        <w:keepNext/>
        <w:jc w:val="both"/>
        <w:rPr>
          <w:sz w:val="19"/>
          <w:szCs w:val="19"/>
        </w:rPr>
      </w:pPr>
      <w:r w:rsidRPr="00C51081">
        <w:rPr>
          <w:sz w:val="19"/>
          <w:szCs w:val="19"/>
        </w:rPr>
        <w:t xml:space="preserve">3 </w:t>
      </w:r>
      <w:r w:rsidR="00E2106E" w:rsidRPr="00C51081">
        <w:rPr>
          <w:sz w:val="19"/>
          <w:szCs w:val="19"/>
        </w:rPr>
        <w:t xml:space="preserve">Studies previously considered by the PBAC were included in the meta-analysis </w:t>
      </w:r>
      <w:r w:rsidRPr="00C51081">
        <w:rPr>
          <w:sz w:val="19"/>
          <w:szCs w:val="19"/>
        </w:rPr>
        <w:t>of Cahill et al. (2016)</w:t>
      </w:r>
    </w:p>
    <w:p w14:paraId="427B5798" w14:textId="23223C04" w:rsidR="002777C2" w:rsidRPr="00C51081" w:rsidRDefault="002777C2" w:rsidP="00C51081">
      <w:pPr>
        <w:pStyle w:val="TableFooter"/>
        <w:jc w:val="both"/>
        <w:rPr>
          <w:sz w:val="19"/>
          <w:szCs w:val="19"/>
        </w:rPr>
      </w:pPr>
      <w:r w:rsidRPr="00C51081">
        <w:rPr>
          <w:sz w:val="19"/>
          <w:szCs w:val="19"/>
        </w:rPr>
        <w:t xml:space="preserve">4 </w:t>
      </w:r>
      <w:r w:rsidR="006D481C" w:rsidRPr="00C51081">
        <w:rPr>
          <w:sz w:val="19"/>
          <w:szCs w:val="19"/>
        </w:rPr>
        <w:t>Cahill et al. (2016) presented this comparison as varenicline versus NRT patch (inverse) using a fixed-effect model. Re-calculated during the review for</w:t>
      </w:r>
      <w:r w:rsidR="00C530D2" w:rsidRPr="00C51081">
        <w:rPr>
          <w:sz w:val="19"/>
          <w:szCs w:val="19"/>
        </w:rPr>
        <w:t xml:space="preserve"> NRT patch versus</w:t>
      </w:r>
      <w:r w:rsidR="006D481C" w:rsidRPr="00C51081">
        <w:rPr>
          <w:sz w:val="19"/>
          <w:szCs w:val="19"/>
        </w:rPr>
        <w:t xml:space="preserve"> varenicline using a random-effect model</w:t>
      </w:r>
      <w:r w:rsidR="00F57896" w:rsidRPr="00C51081">
        <w:rPr>
          <w:sz w:val="19"/>
          <w:szCs w:val="19"/>
        </w:rPr>
        <w:t xml:space="preserve">, </w:t>
      </w:r>
      <w:r w:rsidR="006E36EB" w:rsidRPr="00C51081">
        <w:rPr>
          <w:sz w:val="19"/>
          <w:szCs w:val="19"/>
        </w:rPr>
        <w:t>corrected n/N for Aubin 2008, EAGLES 2016</w:t>
      </w:r>
      <w:r w:rsidR="00A35B03" w:rsidRPr="00C51081">
        <w:rPr>
          <w:sz w:val="19"/>
          <w:szCs w:val="19"/>
        </w:rPr>
        <w:t xml:space="preserve"> and Rose 2013</w:t>
      </w:r>
      <w:r w:rsidR="006D481C" w:rsidRPr="00C51081">
        <w:rPr>
          <w:sz w:val="19"/>
          <w:szCs w:val="19"/>
        </w:rPr>
        <w:t>.</w:t>
      </w:r>
    </w:p>
    <w:p w14:paraId="01F53247" w14:textId="77777777" w:rsidR="00E314A1" w:rsidRPr="00C51081" w:rsidRDefault="002777C2" w:rsidP="00C51081">
      <w:pPr>
        <w:pStyle w:val="TableFooter"/>
        <w:jc w:val="both"/>
        <w:rPr>
          <w:sz w:val="19"/>
          <w:szCs w:val="19"/>
        </w:rPr>
      </w:pPr>
      <w:r w:rsidRPr="00C51081">
        <w:rPr>
          <w:sz w:val="19"/>
          <w:szCs w:val="19"/>
        </w:rPr>
        <w:t>5 Calculated during the review using a random-effect model</w:t>
      </w:r>
      <w:r w:rsidR="00011A3B" w:rsidRPr="00C51081">
        <w:rPr>
          <w:sz w:val="19"/>
          <w:szCs w:val="19"/>
        </w:rPr>
        <w:t xml:space="preserve">. </w:t>
      </w:r>
    </w:p>
    <w:p w14:paraId="10DC43B4" w14:textId="3844C85D" w:rsidR="002777C2" w:rsidRPr="00C51081" w:rsidRDefault="00E314A1" w:rsidP="00C51081">
      <w:pPr>
        <w:pStyle w:val="TableFooter"/>
        <w:jc w:val="both"/>
        <w:rPr>
          <w:sz w:val="19"/>
          <w:szCs w:val="19"/>
        </w:rPr>
      </w:pPr>
      <w:r w:rsidRPr="00C51081">
        <w:rPr>
          <w:sz w:val="19"/>
          <w:szCs w:val="19"/>
        </w:rPr>
        <w:t xml:space="preserve">6 </w:t>
      </w:r>
      <w:r w:rsidR="00011A3B" w:rsidRPr="00C51081">
        <w:rPr>
          <w:sz w:val="19"/>
          <w:szCs w:val="19"/>
        </w:rPr>
        <w:t xml:space="preserve">Excluded </w:t>
      </w:r>
      <w:r w:rsidR="000E00D3" w:rsidRPr="00C51081">
        <w:rPr>
          <w:sz w:val="19"/>
          <w:szCs w:val="19"/>
        </w:rPr>
        <w:t>Stein (2013)</w:t>
      </w:r>
      <w:r w:rsidR="000B120A" w:rsidRPr="00C51081">
        <w:rPr>
          <w:sz w:val="19"/>
          <w:szCs w:val="19"/>
        </w:rPr>
        <w:t xml:space="preserve"> due to incorrect treatment duration</w:t>
      </w:r>
      <w:r w:rsidR="00011A3B" w:rsidRPr="00C51081">
        <w:rPr>
          <w:sz w:val="19"/>
          <w:szCs w:val="19"/>
        </w:rPr>
        <w:t xml:space="preserve"> (exceeded standard 12 weeks treatment duration)</w:t>
      </w:r>
      <w:r w:rsidR="0059281C" w:rsidRPr="00C51081">
        <w:rPr>
          <w:sz w:val="19"/>
          <w:szCs w:val="19"/>
        </w:rPr>
        <w:t xml:space="preserve"> and </w:t>
      </w:r>
      <w:r w:rsidR="00CF6AA5" w:rsidRPr="00C51081">
        <w:rPr>
          <w:sz w:val="19"/>
          <w:szCs w:val="19"/>
        </w:rPr>
        <w:t xml:space="preserve">Rose (2013) </w:t>
      </w:r>
      <w:r w:rsidR="00ED5128" w:rsidRPr="00C51081">
        <w:rPr>
          <w:sz w:val="19"/>
          <w:szCs w:val="19"/>
        </w:rPr>
        <w:t xml:space="preserve">due to incorrect </w:t>
      </w:r>
      <w:r w:rsidR="00CF0B29" w:rsidRPr="00C51081">
        <w:rPr>
          <w:sz w:val="19"/>
          <w:szCs w:val="19"/>
        </w:rPr>
        <w:t>comparator</w:t>
      </w:r>
      <w:r w:rsidR="0044214E" w:rsidRPr="00C51081">
        <w:rPr>
          <w:sz w:val="19"/>
          <w:szCs w:val="19"/>
        </w:rPr>
        <w:t xml:space="preserve"> (</w:t>
      </w:r>
      <w:r w:rsidR="00CF0B29" w:rsidRPr="00C51081">
        <w:rPr>
          <w:sz w:val="19"/>
          <w:szCs w:val="19"/>
        </w:rPr>
        <w:t xml:space="preserve">NRT for </w:t>
      </w:r>
      <w:r w:rsidR="00E15E51" w:rsidRPr="00C51081">
        <w:rPr>
          <w:sz w:val="19"/>
          <w:szCs w:val="19"/>
        </w:rPr>
        <w:t>pre-cessation NRT non-responders)</w:t>
      </w:r>
      <w:r w:rsidR="00AB5FA3" w:rsidRPr="00C51081">
        <w:rPr>
          <w:sz w:val="19"/>
          <w:szCs w:val="19"/>
        </w:rPr>
        <w:t>.</w:t>
      </w:r>
    </w:p>
    <w:p w14:paraId="6664CC5C" w14:textId="193ACBBD" w:rsidR="00A6179F" w:rsidRPr="00C51081" w:rsidRDefault="00A6179F" w:rsidP="00C51081">
      <w:pPr>
        <w:pStyle w:val="TableFooter"/>
        <w:keepNext/>
        <w:spacing w:after="120"/>
        <w:contextualSpacing w:val="0"/>
        <w:jc w:val="both"/>
        <w:rPr>
          <w:sz w:val="19"/>
          <w:szCs w:val="19"/>
        </w:rPr>
      </w:pPr>
      <w:r w:rsidRPr="00C51081">
        <w:rPr>
          <w:sz w:val="19"/>
          <w:szCs w:val="19"/>
        </w:rPr>
        <w:t>a Corrected error identified in Cahill et al. (2016) for n/N</w:t>
      </w:r>
      <w:r w:rsidR="00AB5FA3" w:rsidRPr="00C51081">
        <w:rPr>
          <w:sz w:val="19"/>
          <w:szCs w:val="19"/>
        </w:rPr>
        <w:t>.</w:t>
      </w:r>
    </w:p>
    <w:p w14:paraId="09D83D63" w14:textId="02229EE4" w:rsidR="00D37B20" w:rsidRDefault="000C4761" w:rsidP="00C51081">
      <w:pPr>
        <w:spacing w:after="120"/>
        <w:jc w:val="both"/>
      </w:pPr>
      <w:r w:rsidRPr="000C4761">
        <w:t xml:space="preserve">The results of the individual studies included in </w:t>
      </w:r>
      <w:r w:rsidR="002E444B">
        <w:t>the updated re-analysis</w:t>
      </w:r>
      <w:r w:rsidRPr="000C4761">
        <w:t xml:space="preserve"> are presented using a forest plot in </w:t>
      </w:r>
      <w:r w:rsidR="00104B96">
        <w:fldChar w:fldCharType="begin" w:fldLock="1"/>
      </w:r>
      <w:r w:rsidR="00104B96">
        <w:instrText xml:space="preserve"> REF _Ref54362935 \h </w:instrText>
      </w:r>
      <w:r w:rsidR="00104B96">
        <w:fldChar w:fldCharType="separate"/>
      </w:r>
      <w:r w:rsidR="00EC5CC7">
        <w:t xml:space="preserve">Figure </w:t>
      </w:r>
      <w:r w:rsidR="00EC5CC7">
        <w:rPr>
          <w:noProof/>
        </w:rPr>
        <w:t>7</w:t>
      </w:r>
      <w:r w:rsidR="00104B96">
        <w:fldChar w:fldCharType="end"/>
      </w:r>
      <w:r w:rsidRPr="000C4761">
        <w:t xml:space="preserve">. </w:t>
      </w:r>
      <w:r w:rsidR="00104B96">
        <w:t xml:space="preserve">Of the </w:t>
      </w:r>
      <w:r w:rsidR="00481E7E">
        <w:t>nine</w:t>
      </w:r>
      <w:r w:rsidR="00104B96">
        <w:t xml:space="preserve"> RCTs, the outcome used in the meta-analysis for EAGLES (2016) was based on continuous abstinence rate at 24 weeks as the absolute numbers for the point prevalence abstinence were not reported. </w:t>
      </w:r>
    </w:p>
    <w:p w14:paraId="1A4CA116" w14:textId="77777777" w:rsidR="00D37B20" w:rsidRDefault="00D37B20">
      <w:pPr>
        <w:spacing w:line="276" w:lineRule="auto"/>
      </w:pPr>
      <w:r>
        <w:br w:type="page"/>
      </w:r>
    </w:p>
    <w:p w14:paraId="064FBF05" w14:textId="1CF8F65D" w:rsidR="000C4761" w:rsidRDefault="000E304E" w:rsidP="000C4761">
      <w:pPr>
        <w:keepNext/>
      </w:pPr>
      <w:r>
        <w:rPr>
          <w:noProof/>
        </w:rPr>
        <w:lastRenderedPageBreak/>
        <w:drawing>
          <wp:inline distT="0" distB="0" distL="0" distR="0" wp14:anchorId="426B833A" wp14:editId="64B843D3">
            <wp:extent cx="5731510" cy="2035175"/>
            <wp:effectExtent l="0" t="0" r="2540" b="3175"/>
            <wp:docPr id="6" name="Picture 6" descr="P32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3221#yIS1"/>
                    <pic:cNvPicPr/>
                  </pic:nvPicPr>
                  <pic:blipFill>
                    <a:blip r:embed="rId26">
                      <a:extLst>
                        <a:ext uri="{28A0092B-C50C-407E-A947-70E740481C1C}">
                          <a14:useLocalDpi xmlns:a14="http://schemas.microsoft.com/office/drawing/2010/main" val="0"/>
                        </a:ext>
                      </a:extLst>
                    </a:blip>
                    <a:stretch>
                      <a:fillRect/>
                    </a:stretch>
                  </pic:blipFill>
                  <pic:spPr>
                    <a:xfrm>
                      <a:off x="0" y="0"/>
                      <a:ext cx="5731510" cy="2035175"/>
                    </a:xfrm>
                    <a:prstGeom prst="rect">
                      <a:avLst/>
                    </a:prstGeom>
                  </pic:spPr>
                </pic:pic>
              </a:graphicData>
            </a:graphic>
          </wp:inline>
        </w:drawing>
      </w:r>
    </w:p>
    <w:p w14:paraId="2754437B" w14:textId="1073C20A" w:rsidR="00D8637F" w:rsidRDefault="000C4761" w:rsidP="00C51081">
      <w:pPr>
        <w:pStyle w:val="Caption"/>
        <w:spacing w:before="120" w:after="60"/>
        <w:jc w:val="both"/>
        <w:rPr>
          <w:b w:val="0"/>
          <w:bCs w:val="0"/>
        </w:rPr>
      </w:pPr>
      <w:bookmarkStart w:id="69" w:name="_Ref54362935"/>
      <w:r>
        <w:t xml:space="preserve">Figure </w:t>
      </w:r>
      <w:r w:rsidR="00BF3F75">
        <w:fldChar w:fldCharType="begin"/>
      </w:r>
      <w:r w:rsidR="00BF3F75">
        <w:instrText xml:space="preserve"> SEQ Figure \* ARABIC </w:instrText>
      </w:r>
      <w:r w:rsidR="00BF3F75">
        <w:fldChar w:fldCharType="separate"/>
      </w:r>
      <w:r w:rsidR="00EC5CC7">
        <w:rPr>
          <w:noProof/>
        </w:rPr>
        <w:t>7</w:t>
      </w:r>
      <w:r w:rsidR="00BF3F75">
        <w:rPr>
          <w:noProof/>
        </w:rPr>
        <w:fldChar w:fldCharType="end"/>
      </w:r>
      <w:bookmarkEnd w:id="69"/>
      <w:r>
        <w:t xml:space="preserve">: </w:t>
      </w:r>
      <w:r w:rsidRPr="00CA0167">
        <w:t xml:space="preserve">Results </w:t>
      </w:r>
      <w:r w:rsidR="00690557">
        <w:t xml:space="preserve">for </w:t>
      </w:r>
      <w:r>
        <w:t xml:space="preserve">point prevalence abstinence at 24 weeks </w:t>
      </w:r>
      <w:r w:rsidR="005E2ED9">
        <w:t>based on updated re-analysis</w:t>
      </w:r>
      <w:r w:rsidRPr="00CA0167">
        <w:t xml:space="preserve">, </w:t>
      </w:r>
      <w:r>
        <w:t xml:space="preserve">NRT patch versus </w:t>
      </w:r>
      <w:r w:rsidRPr="00CA0167">
        <w:t>varenicline</w:t>
      </w:r>
    </w:p>
    <w:p w14:paraId="0B42B592" w14:textId="696D59D0" w:rsidR="00EC367F" w:rsidRDefault="000C4761" w:rsidP="00C51081">
      <w:pPr>
        <w:pStyle w:val="FigureFooter"/>
        <w:jc w:val="both"/>
        <w:rPr>
          <w:rFonts w:eastAsia="MS Mincho"/>
        </w:rPr>
      </w:pPr>
      <w:r>
        <w:t>Source: Cahill et al. (2016)</w:t>
      </w:r>
      <w:r w:rsidR="005E2ED9">
        <w:t xml:space="preserve">, </w:t>
      </w:r>
      <w:r w:rsidR="005E2ED9">
        <w:rPr>
          <w:rFonts w:eastAsia="MS Mincho"/>
        </w:rPr>
        <w:t>Lerman</w:t>
      </w:r>
      <w:r w:rsidR="005E2ED9">
        <w:t xml:space="preserve"> </w:t>
      </w:r>
      <w:r w:rsidR="005E2ED9" w:rsidRPr="009E22A2">
        <w:rPr>
          <w:rFonts w:eastAsia="MS Mincho"/>
        </w:rPr>
        <w:t>2015,</w:t>
      </w:r>
      <w:r w:rsidR="005E2ED9">
        <w:rPr>
          <w:rFonts w:eastAsia="MS Mincho"/>
        </w:rPr>
        <w:t xml:space="preserve"> Tulloch 2016, Rohsenow 2017</w:t>
      </w:r>
    </w:p>
    <w:p w14:paraId="19801BD1" w14:textId="5E2B06E2" w:rsidR="00E21CBC" w:rsidRDefault="00E21CBC" w:rsidP="00C51081">
      <w:pPr>
        <w:pStyle w:val="FigureFooter"/>
        <w:jc w:val="both"/>
        <w:rPr>
          <w:rFonts w:eastAsia="MS Mincho"/>
        </w:rPr>
      </w:pPr>
      <w:r>
        <w:rPr>
          <w:rFonts w:eastAsia="MS Mincho"/>
        </w:rPr>
        <w:t>Abbreviations: CI = confidence interval</w:t>
      </w:r>
    </w:p>
    <w:p w14:paraId="2D047268" w14:textId="2EBD2A51" w:rsidR="00D8637F" w:rsidRPr="00C51081" w:rsidRDefault="00E21CBC" w:rsidP="00C51081">
      <w:pPr>
        <w:pStyle w:val="FigureFooter"/>
        <w:spacing w:after="120"/>
        <w:contextualSpacing w:val="0"/>
        <w:jc w:val="both"/>
        <w:rPr>
          <w:rFonts w:eastAsia="MS Mincho"/>
        </w:rPr>
      </w:pPr>
      <w:r>
        <w:t>Note: A sensitivity analysis was conducted during the review</w:t>
      </w:r>
      <w:r w:rsidR="00CA02B8">
        <w:t xml:space="preserve"> by</w:t>
      </w:r>
      <w:r>
        <w:t xml:space="preserve"> using </w:t>
      </w:r>
      <w:r w:rsidR="00C14BBB">
        <w:t xml:space="preserve">continuous abstinence rate </w:t>
      </w:r>
      <w:r w:rsidR="007C66E1">
        <w:t>(</w:t>
      </w:r>
      <w:r w:rsidR="00F91CBD">
        <w:t>where reported</w:t>
      </w:r>
      <w:r w:rsidR="007C66E1">
        <w:t>)</w:t>
      </w:r>
      <w:r w:rsidR="00F91CBD">
        <w:t xml:space="preserve"> at longest follow-up.</w:t>
      </w:r>
      <w:r>
        <w:t xml:space="preserve"> The results remained statistically significant in favour of varenicline; RR = </w:t>
      </w:r>
      <w:r w:rsidR="007C66E1">
        <w:t>0.79</w:t>
      </w:r>
      <w:r>
        <w:t xml:space="preserve"> (</w:t>
      </w:r>
      <w:r w:rsidR="007C66E1">
        <w:t>0.69</w:t>
      </w:r>
      <w:r>
        <w:t xml:space="preserve">, </w:t>
      </w:r>
      <w:r w:rsidR="007C66E1">
        <w:t>0.91</w:t>
      </w:r>
      <w:r>
        <w:t xml:space="preserve">), RD = </w:t>
      </w:r>
      <w:r w:rsidR="00864FCE">
        <w:t>-0.04</w:t>
      </w:r>
      <w:r>
        <w:t xml:space="preserve"> (</w:t>
      </w:r>
      <w:r w:rsidR="00864FCE">
        <w:t>-0.07</w:t>
      </w:r>
      <w:r>
        <w:t xml:space="preserve">, </w:t>
      </w:r>
      <w:r w:rsidR="00864FCE">
        <w:t>-0.02</w:t>
      </w:r>
      <w:r>
        <w:t>).</w:t>
      </w:r>
    </w:p>
    <w:p w14:paraId="4AA7EA22" w14:textId="2792821B" w:rsidR="00321147" w:rsidRPr="00BC25B1" w:rsidRDefault="00321147" w:rsidP="00C51081">
      <w:pPr>
        <w:spacing w:after="120"/>
        <w:jc w:val="both"/>
        <w:rPr>
          <w:u w:val="single"/>
        </w:rPr>
      </w:pPr>
      <w:r w:rsidRPr="00BC25B1">
        <w:rPr>
          <w:u w:val="single"/>
        </w:rPr>
        <w:t>Safety</w:t>
      </w:r>
    </w:p>
    <w:p w14:paraId="3362BDAF" w14:textId="47A5DF5C" w:rsidR="006E66AE" w:rsidRDefault="007466D7" w:rsidP="00C51081">
      <w:pPr>
        <w:spacing w:after="120"/>
        <w:jc w:val="both"/>
      </w:pPr>
      <w:r w:rsidRPr="007466D7">
        <w:t>The incidence of adverse events</w:t>
      </w:r>
      <w:r>
        <w:t xml:space="preserve"> comparing NRT </w:t>
      </w:r>
      <w:r w:rsidR="00573F59">
        <w:t>patches</w:t>
      </w:r>
      <w:r>
        <w:t xml:space="preserve"> with varenicline</w:t>
      </w:r>
      <w:r w:rsidRPr="007466D7">
        <w:t xml:space="preserve"> was not synthesised quantitatively by </w:t>
      </w:r>
      <w:r>
        <w:t>Cahill et al. (2016). In March 2010, the PBAC considered that NRT patches were less toxic than varenicline based on the evidence from Aubin et al. (2008) (</w:t>
      </w:r>
      <w:r w:rsidRPr="00F54F10">
        <w:t xml:space="preserve">NRT PSD, </w:t>
      </w:r>
      <w:r w:rsidR="008C12A1" w:rsidRPr="00F54F10">
        <w:t xml:space="preserve">March </w:t>
      </w:r>
      <w:r w:rsidRPr="00F54F10">
        <w:t>2010</w:t>
      </w:r>
      <w:r w:rsidR="008C12A1" w:rsidRPr="00F54F10">
        <w:t xml:space="preserve"> PBAC meeting</w:t>
      </w:r>
      <w:r>
        <w:t xml:space="preserve">). In November 2016, the PBAC considered that varenicline </w:t>
      </w:r>
      <w:r w:rsidR="000B7D66">
        <w:t>may</w:t>
      </w:r>
      <w:r>
        <w:t xml:space="preserve"> be non-inferior to NRT patches based on the evidence from EAGLES (2016) (</w:t>
      </w:r>
      <w:r w:rsidRPr="00F54F10">
        <w:t xml:space="preserve">Varenicline PSD, </w:t>
      </w:r>
      <w:r w:rsidR="008C12A1" w:rsidRPr="00F54F10">
        <w:t xml:space="preserve">November </w:t>
      </w:r>
      <w:r w:rsidRPr="00F54F10">
        <w:t>2016</w:t>
      </w:r>
      <w:r w:rsidR="008C12A1" w:rsidRPr="00F54F10">
        <w:t xml:space="preserve"> PBAC meeting</w:t>
      </w:r>
      <w:r>
        <w:t>).</w:t>
      </w:r>
      <w:r w:rsidR="00EE1826">
        <w:t xml:space="preserve"> </w:t>
      </w:r>
    </w:p>
    <w:p w14:paraId="3FB76AE5" w14:textId="7354A59C" w:rsidR="008F029B" w:rsidRDefault="008F029B" w:rsidP="00C51081">
      <w:pPr>
        <w:spacing w:after="120"/>
        <w:jc w:val="both"/>
      </w:pPr>
      <w:r w:rsidRPr="008F029B">
        <w:t>In a recently conducted study (EAGLES extension) comparing the relative cardiovascular safety risk of smoking cessation treatments using a placebo comparator, no significant treatment differences were observed in time to cardiovascular events, blood pressure, or heart rate between</w:t>
      </w:r>
      <w:r>
        <w:t xml:space="preserve"> NRT </w:t>
      </w:r>
      <w:r w:rsidR="00573F59">
        <w:t>patches</w:t>
      </w:r>
      <w:r>
        <w:t xml:space="preserve"> and varenicline</w:t>
      </w:r>
      <w:r w:rsidRPr="008F029B">
        <w:t xml:space="preserve"> (Benowitz et al. 2018).</w:t>
      </w:r>
    </w:p>
    <w:p w14:paraId="73056C55" w14:textId="17F1E41B" w:rsidR="00321147" w:rsidRPr="007466D7" w:rsidRDefault="00A3333B" w:rsidP="00C51081">
      <w:pPr>
        <w:spacing w:after="120"/>
        <w:jc w:val="both"/>
      </w:pPr>
      <w:r>
        <w:t xml:space="preserve">In Lerman et al. (2015), </w:t>
      </w:r>
      <w:r w:rsidR="004F1AE2">
        <w:t>a significant nicotine metabolite ratio</w:t>
      </w:r>
      <w:r w:rsidR="00D756DD">
        <w:t xml:space="preserve"> (NMR)-by-treatment interaction</w:t>
      </w:r>
      <w:r w:rsidR="006E66AE">
        <w:t xml:space="preserve"> </w:t>
      </w:r>
      <w:r w:rsidR="00D756DD">
        <w:t xml:space="preserve">was observed in side effects for varenicline </w:t>
      </w:r>
      <w:r w:rsidR="00205D3B">
        <w:t xml:space="preserve">versus placebo while it was not significant for NRT </w:t>
      </w:r>
      <w:r w:rsidR="00573F59">
        <w:t>patches</w:t>
      </w:r>
      <w:r w:rsidR="00205D3B">
        <w:t xml:space="preserve"> versus placebo. </w:t>
      </w:r>
      <w:r w:rsidR="0091159A">
        <w:t xml:space="preserve">In Tulloch et al. (2016), </w:t>
      </w:r>
      <w:r w:rsidR="0076178A" w:rsidRPr="0076178A">
        <w:t>p</w:t>
      </w:r>
      <w:r w:rsidR="0076178A">
        <w:t>atients</w:t>
      </w:r>
      <w:r w:rsidR="0076178A" w:rsidRPr="0076178A">
        <w:t xml:space="preserve"> in the </w:t>
      </w:r>
      <w:r w:rsidR="0076178A">
        <w:t>varenicline</w:t>
      </w:r>
      <w:r w:rsidR="0076178A" w:rsidRPr="0076178A">
        <w:t xml:space="preserve"> group experienced more fatigue, digestive symptoms (</w:t>
      </w:r>
      <w:r w:rsidR="004C4EA7" w:rsidRPr="0076178A">
        <w:t>e.g.,</w:t>
      </w:r>
      <w:r w:rsidR="0076178A" w:rsidRPr="0076178A">
        <w:t xml:space="preserve"> nausea, diarrho</w:t>
      </w:r>
      <w:r w:rsidR="0076178A">
        <w:t>e</w:t>
      </w:r>
      <w:r w:rsidR="0076178A" w:rsidRPr="0076178A">
        <w:t>a), and sleep-related concerns (</w:t>
      </w:r>
      <w:r w:rsidR="004C4EA7" w:rsidRPr="0076178A">
        <w:t>e.g.,</w:t>
      </w:r>
      <w:r w:rsidR="0076178A" w:rsidRPr="0076178A">
        <w:t xml:space="preserve"> abnormal dreams, insomnia), but less dermatologic symptoms than those in the NRT</w:t>
      </w:r>
      <w:r w:rsidR="00F83703">
        <w:t xml:space="preserve"> </w:t>
      </w:r>
      <w:r w:rsidR="00573F59">
        <w:t>patches</w:t>
      </w:r>
      <w:r w:rsidR="00F83703">
        <w:t xml:space="preserve"> group. In Rohsenow et al. (2017),</w:t>
      </w:r>
      <w:r w:rsidR="000F6DCC">
        <w:t xml:space="preserve"> there were no medication-attributable serious adverse events</w:t>
      </w:r>
      <w:r w:rsidR="0030241F">
        <w:t xml:space="preserve"> reported</w:t>
      </w:r>
      <w:r w:rsidR="000F6DCC">
        <w:t xml:space="preserve"> in both arms</w:t>
      </w:r>
      <w:r w:rsidR="00C446FD">
        <w:t xml:space="preserve">; 20 patients were discontinued from treatment due to non-serious adverse events, 11 </w:t>
      </w:r>
      <w:r w:rsidR="00443A3C">
        <w:t xml:space="preserve">in </w:t>
      </w:r>
      <w:r w:rsidR="00C446FD">
        <w:t>varenicline</w:t>
      </w:r>
      <w:r w:rsidR="00443A3C">
        <w:t xml:space="preserve"> arm and eight in NRT</w:t>
      </w:r>
      <w:r w:rsidR="0030241F">
        <w:t xml:space="preserve"> </w:t>
      </w:r>
      <w:r w:rsidR="00573F59">
        <w:t>patches</w:t>
      </w:r>
      <w:r w:rsidR="00443A3C">
        <w:t xml:space="preserve"> arm.</w:t>
      </w:r>
    </w:p>
    <w:p w14:paraId="5FF1561C" w14:textId="7F9E77F3" w:rsidR="00C83EDA" w:rsidRDefault="00AF46B1" w:rsidP="00C51081">
      <w:pPr>
        <w:spacing w:after="120"/>
        <w:jc w:val="both"/>
        <w:rPr>
          <w:b/>
          <w:bCs/>
        </w:rPr>
      </w:pPr>
      <w:r>
        <w:rPr>
          <w:b/>
          <w:bCs/>
        </w:rPr>
        <w:t xml:space="preserve">NRT </w:t>
      </w:r>
      <w:r w:rsidR="003D33C1">
        <w:rPr>
          <w:b/>
          <w:bCs/>
        </w:rPr>
        <w:t>(lozenge</w:t>
      </w:r>
      <w:r w:rsidR="00F44630">
        <w:rPr>
          <w:b/>
          <w:bCs/>
        </w:rPr>
        <w:t>/gum</w:t>
      </w:r>
      <w:r w:rsidR="003D33C1">
        <w:rPr>
          <w:b/>
          <w:bCs/>
        </w:rPr>
        <w:t xml:space="preserve">) </w:t>
      </w:r>
      <w:r>
        <w:rPr>
          <w:b/>
          <w:bCs/>
        </w:rPr>
        <w:t xml:space="preserve">versus </w:t>
      </w:r>
      <w:r w:rsidR="00C83EDA" w:rsidRPr="001A7D76">
        <w:rPr>
          <w:b/>
          <w:bCs/>
        </w:rPr>
        <w:t xml:space="preserve">NRT </w:t>
      </w:r>
      <w:r w:rsidR="003D33C1">
        <w:rPr>
          <w:b/>
          <w:bCs/>
        </w:rPr>
        <w:t>patch</w:t>
      </w:r>
    </w:p>
    <w:p w14:paraId="4526F715" w14:textId="439581CB" w:rsidR="001C5576" w:rsidRDefault="003D33C1" w:rsidP="00C51081">
      <w:pPr>
        <w:spacing w:after="120"/>
        <w:jc w:val="both"/>
      </w:pPr>
      <w:r w:rsidRPr="003D33C1">
        <w:t>A summary of the citation details for the studies comparing NRT</w:t>
      </w:r>
      <w:r w:rsidR="004C3556">
        <w:t xml:space="preserve"> </w:t>
      </w:r>
      <w:r w:rsidR="00573F59">
        <w:t>lozenges</w:t>
      </w:r>
      <w:r w:rsidR="00F44630">
        <w:t>/gum</w:t>
      </w:r>
      <w:r w:rsidR="004C3556">
        <w:t xml:space="preserve"> with NRT</w:t>
      </w:r>
      <w:r w:rsidRPr="003D33C1">
        <w:t xml:space="preserve"> </w:t>
      </w:r>
      <w:r w:rsidR="00573F59">
        <w:t>patches</w:t>
      </w:r>
      <w:r w:rsidRPr="003D33C1">
        <w:t xml:space="preserve"> is presented in </w:t>
      </w:r>
      <w:r w:rsidR="006D2FF0">
        <w:fldChar w:fldCharType="begin" w:fldLock="1"/>
      </w:r>
      <w:r w:rsidR="006D2FF0">
        <w:instrText xml:space="preserve"> REF _Ref54602923 \h </w:instrText>
      </w:r>
      <w:r w:rsidR="006D2FF0">
        <w:fldChar w:fldCharType="separate"/>
      </w:r>
      <w:r w:rsidR="00EC5CC7">
        <w:t xml:space="preserve">Table </w:t>
      </w:r>
      <w:r w:rsidR="00EC5CC7">
        <w:rPr>
          <w:noProof/>
        </w:rPr>
        <w:t>28</w:t>
      </w:r>
      <w:r w:rsidR="006D2FF0">
        <w:fldChar w:fldCharType="end"/>
      </w:r>
      <w:r w:rsidRPr="003D33C1">
        <w:t xml:space="preserve">. </w:t>
      </w:r>
      <w:r w:rsidR="00BC3022">
        <w:t>Three</w:t>
      </w:r>
      <w:r w:rsidRPr="003D33C1">
        <w:t xml:space="preserve"> studies compar</w:t>
      </w:r>
      <w:r w:rsidR="005E597D">
        <w:t>ing</w:t>
      </w:r>
      <w:r w:rsidRPr="003D33C1">
        <w:t xml:space="preserve"> NRT </w:t>
      </w:r>
      <w:r w:rsidR="00573F59">
        <w:t>lozenges</w:t>
      </w:r>
      <w:r w:rsidR="00BC3022">
        <w:t xml:space="preserve"> with NRT </w:t>
      </w:r>
      <w:r w:rsidR="00573F59">
        <w:t>patches</w:t>
      </w:r>
      <w:r w:rsidRPr="003D33C1">
        <w:t xml:space="preserve"> were previously considered by the PBAC (</w:t>
      </w:r>
      <w:r w:rsidR="005E597D" w:rsidRPr="005E597D">
        <w:t>Piper et al. 2009, Smith et al. 2009 and Schnoll et al. 2010</w:t>
      </w:r>
      <w:r w:rsidRPr="003D33C1">
        <w:t xml:space="preserve">). </w:t>
      </w:r>
      <w:r w:rsidR="009F7121" w:rsidRPr="009F7121">
        <w:rPr>
          <w:color w:val="000000"/>
          <w:w w:val="54"/>
          <w:shd w:val="solid" w:color="000000" w:fill="000000"/>
          <w:fitText w:val="8130" w:id="-1402754048"/>
          <w14:textFill>
            <w14:solidFill>
              <w14:srgbClr w14:val="000000">
                <w14:alpha w14:val="100000"/>
              </w14:srgbClr>
            </w14:solidFill>
          </w14:textFill>
        </w:rPr>
        <w:t>|||||||||||||||||||||||||||||||||||||||||||||||||||||||||||||||||||  ||||||||||||||||||||||||||||||||||||||||||||||||||||||||||||||||||</w:t>
      </w:r>
      <w:r w:rsidR="009F7121" w:rsidRPr="009F7121">
        <w:rPr>
          <w:color w:val="000000"/>
          <w:spacing w:val="78"/>
          <w:w w:val="54"/>
          <w:shd w:val="solid" w:color="000000" w:fill="000000"/>
          <w:fitText w:val="8130" w:id="-1402754048"/>
          <w14:textFill>
            <w14:solidFill>
              <w14:srgbClr w14:val="000000">
                <w14:alpha w14:val="100000"/>
              </w14:srgbClr>
            </w14:solidFill>
          </w14:textFill>
        </w:rPr>
        <w:t>|</w:t>
      </w:r>
      <w:r w:rsidR="009F7121">
        <w:rPr>
          <w:highlight w:val="lightGray"/>
          <w:shd w:val="clear" w:color="auto" w:fill="C0C0C1"/>
        </w:rPr>
        <w:t xml:space="preserve"> </w:t>
      </w:r>
      <w:r w:rsidR="009F7121" w:rsidRPr="009F7121">
        <w:rPr>
          <w:color w:val="000000"/>
          <w:w w:val="54"/>
          <w:shd w:val="solid" w:color="000000" w:fill="000000"/>
          <w:fitText w:val="8950" w:id="-1402754047"/>
          <w14:textFill>
            <w14:solidFill>
              <w14:srgbClr w14:val="000000">
                <w14:alpha w14:val="100000"/>
              </w14:srgbClr>
            </w14:solidFill>
          </w14:textFill>
        </w:rPr>
        <w:t>||||||||||||||||||||||||||||||||||||||||||||||||||||||||||||||||||||||||||  |||||||||||||||||||||||||||||||||||||||||||||||||||||||||||||||||||||||||</w:t>
      </w:r>
      <w:r w:rsidR="009F7121" w:rsidRPr="009F7121">
        <w:rPr>
          <w:color w:val="000000"/>
          <w:spacing w:val="63"/>
          <w:w w:val="54"/>
          <w:shd w:val="solid" w:color="000000" w:fill="000000"/>
          <w:fitText w:val="8950" w:id="-1402754047"/>
          <w14:textFill>
            <w14:solidFill>
              <w14:srgbClr w14:val="000000">
                <w14:alpha w14:val="100000"/>
              </w14:srgbClr>
            </w14:solidFill>
          </w14:textFill>
        </w:rPr>
        <w:t>|</w:t>
      </w:r>
      <w:r w:rsidR="009F7121">
        <w:rPr>
          <w:highlight w:val="lightGray"/>
          <w:shd w:val="clear" w:color="auto" w:fill="C0C0C1"/>
        </w:rPr>
        <w:t xml:space="preserve"> </w:t>
      </w:r>
      <w:r w:rsidR="009F7121" w:rsidRPr="009F7121">
        <w:rPr>
          <w:color w:val="000000"/>
          <w:w w:val="54"/>
          <w:shd w:val="solid" w:color="000000" w:fill="000000"/>
          <w:fitText w:val="8950" w:id="-1402754046"/>
          <w14:textFill>
            <w14:solidFill>
              <w14:srgbClr w14:val="000000">
                <w14:alpha w14:val="100000"/>
              </w14:srgbClr>
            </w14:solidFill>
          </w14:textFill>
        </w:rPr>
        <w:t>||||||||||||||||||||||||||||||||||||||||||||||||||||||||||||||||||||||||||  |||||||||||||||||||||||||||||||||||||||||||||||||||||||||||||||||||||||||</w:t>
      </w:r>
      <w:r w:rsidR="009F7121" w:rsidRPr="009F7121">
        <w:rPr>
          <w:color w:val="000000"/>
          <w:spacing w:val="63"/>
          <w:w w:val="54"/>
          <w:shd w:val="solid" w:color="000000" w:fill="000000"/>
          <w:fitText w:val="8950" w:id="-1402754046"/>
          <w14:textFill>
            <w14:solidFill>
              <w14:srgbClr w14:val="000000">
                <w14:alpha w14:val="100000"/>
              </w14:srgbClr>
            </w14:solidFill>
          </w14:textFill>
        </w:rPr>
        <w:t>|</w:t>
      </w:r>
      <w:r w:rsidR="009F7121">
        <w:rPr>
          <w:highlight w:val="lightGray"/>
          <w:shd w:val="clear" w:color="auto" w:fill="C0C0C1"/>
        </w:rPr>
        <w:t xml:space="preserve"> </w:t>
      </w:r>
      <w:r w:rsidR="009F7121" w:rsidRPr="009F7121">
        <w:rPr>
          <w:color w:val="000000"/>
          <w:w w:val="54"/>
          <w:shd w:val="solid" w:color="000000" w:fill="000000"/>
          <w:fitText w:val="5620" w:id="-1402754045"/>
          <w14:textFill>
            <w14:solidFill>
              <w14:srgbClr w14:val="000000">
                <w14:alpha w14:val="100000"/>
              </w14:srgbClr>
            </w14:solidFill>
          </w14:textFill>
        </w:rPr>
        <w:t>||||||||||||||||||||||||||||||||||||||||||||||  |||||||||||||||||||||||||||||||||||||||||||||</w:t>
      </w:r>
      <w:r w:rsidR="009F7121" w:rsidRPr="009F7121">
        <w:rPr>
          <w:color w:val="000000"/>
          <w:spacing w:val="73"/>
          <w:w w:val="54"/>
          <w:shd w:val="solid" w:color="000000" w:fill="000000"/>
          <w:fitText w:val="5620" w:id="-1402754045"/>
          <w14:textFill>
            <w14:solidFill>
              <w14:srgbClr w14:val="000000">
                <w14:alpha w14:val="100000"/>
              </w14:srgbClr>
            </w14:solidFill>
          </w14:textFill>
        </w:rPr>
        <w:t>|</w:t>
      </w:r>
      <w:r w:rsidR="00DF612C" w:rsidRPr="00DF612C">
        <w:t xml:space="preserve">For the comparison </w:t>
      </w:r>
      <w:r w:rsidR="009D327F">
        <w:t>of</w:t>
      </w:r>
      <w:r w:rsidR="00DF612C" w:rsidRPr="00DF612C">
        <w:t xml:space="preserve"> NRT gum </w:t>
      </w:r>
      <w:r w:rsidR="00DF612C" w:rsidRPr="00DF612C">
        <w:lastRenderedPageBreak/>
        <w:t xml:space="preserve">with NRT </w:t>
      </w:r>
      <w:r w:rsidR="00573F59">
        <w:t>patches</w:t>
      </w:r>
      <w:r w:rsidR="00DF612C" w:rsidRPr="00DF612C">
        <w:t xml:space="preserve">, </w:t>
      </w:r>
      <w:r w:rsidR="00355C2C" w:rsidRPr="00355C2C">
        <w:t>a single direct RCT</w:t>
      </w:r>
      <w:r w:rsidR="00510E0F">
        <w:t xml:space="preserve"> was identified</w:t>
      </w:r>
      <w:r w:rsidR="007650E4">
        <w:t xml:space="preserve"> previously</w:t>
      </w:r>
      <w:r w:rsidR="00355C2C" w:rsidRPr="00355C2C">
        <w:t xml:space="preserve"> (Moolchan et al. 2005). </w:t>
      </w:r>
      <w:r w:rsidR="00E20C56">
        <w:t>Due to inadequate evidence</w:t>
      </w:r>
      <w:r w:rsidR="00EE4C0C">
        <w:t xml:space="preserve"> </w:t>
      </w:r>
      <w:r w:rsidR="00687B53">
        <w:t>from Moolchan (2005)</w:t>
      </w:r>
      <w:r w:rsidR="00E20C56">
        <w:t xml:space="preserve">, </w:t>
      </w:r>
      <w:r w:rsidR="00DF612C" w:rsidRPr="00DF612C">
        <w:t xml:space="preserve">an indirect comparison </w:t>
      </w:r>
      <w:r w:rsidR="006F5FDC">
        <w:t>using</w:t>
      </w:r>
      <w:r w:rsidR="00947240">
        <w:t xml:space="preserve"> </w:t>
      </w:r>
      <w:r w:rsidR="00AE2DB5">
        <w:t>a</w:t>
      </w:r>
      <w:r w:rsidR="00147EDF">
        <w:t xml:space="preserve"> Cochrane </w:t>
      </w:r>
      <w:r w:rsidR="00C75F4A">
        <w:t>R</w:t>
      </w:r>
      <w:r w:rsidR="00147EDF">
        <w:t xml:space="preserve">eview </w:t>
      </w:r>
      <w:r w:rsidR="00E20A69">
        <w:t xml:space="preserve">of </w:t>
      </w:r>
      <w:r w:rsidR="0074436E">
        <w:t>NRT</w:t>
      </w:r>
      <w:r w:rsidR="00AE2DB5">
        <w:t xml:space="preserve"> (Stead</w:t>
      </w:r>
      <w:r w:rsidR="003B0257">
        <w:t xml:space="preserve"> et al.</w:t>
      </w:r>
      <w:r w:rsidR="001B34A4">
        <w:t xml:space="preserve"> 2012)</w:t>
      </w:r>
      <w:r w:rsidR="00882B2E">
        <w:t>,</w:t>
      </w:r>
      <w:r w:rsidR="001B34A4">
        <w:t xml:space="preserve"> updated with an additional 11 studies</w:t>
      </w:r>
      <w:r w:rsidR="00882B2E">
        <w:t xml:space="preserve">, </w:t>
      </w:r>
      <w:r w:rsidR="00DF612C" w:rsidRPr="00DF612C">
        <w:t>was conducted using control as a common reference</w:t>
      </w:r>
      <w:r w:rsidR="008D10B7">
        <w:t xml:space="preserve"> </w:t>
      </w:r>
      <w:r w:rsidR="001540F3">
        <w:t>and presented to the PBAC for consideration</w:t>
      </w:r>
      <w:r w:rsidR="008D10B7">
        <w:t xml:space="preserve">. </w:t>
      </w:r>
      <w:r w:rsidRPr="003D33C1">
        <w:t xml:space="preserve">A recently conducted Cochrane </w:t>
      </w:r>
      <w:r w:rsidR="00DC6241">
        <w:t>R</w:t>
      </w:r>
      <w:r w:rsidRPr="003D33C1">
        <w:t>eview by</w:t>
      </w:r>
      <w:r w:rsidR="003A51C6">
        <w:t xml:space="preserve"> Lindson</w:t>
      </w:r>
      <w:r w:rsidRPr="003D33C1">
        <w:t xml:space="preserve"> et al. (201</w:t>
      </w:r>
      <w:r w:rsidR="00CC4BA2">
        <w:t>9</w:t>
      </w:r>
      <w:r w:rsidRPr="003D33C1">
        <w:t xml:space="preserve">) was identified in the systematic literature review that </w:t>
      </w:r>
      <w:r w:rsidR="005F7290">
        <w:t xml:space="preserve">specifically </w:t>
      </w:r>
      <w:r w:rsidRPr="003D33C1">
        <w:t xml:space="preserve">compared </w:t>
      </w:r>
      <w:r w:rsidR="009B2B58">
        <w:t>different formulation</w:t>
      </w:r>
      <w:r w:rsidR="00E95846">
        <w:t>s</w:t>
      </w:r>
      <w:r w:rsidR="009B2B58">
        <w:t xml:space="preserve"> of </w:t>
      </w:r>
      <w:r w:rsidRPr="003D33C1">
        <w:t>NRT</w:t>
      </w:r>
      <w:r w:rsidR="00F35D70">
        <w:t xml:space="preserve"> (including </w:t>
      </w:r>
      <w:r w:rsidR="00573F59">
        <w:t>lozenges</w:t>
      </w:r>
      <w:r w:rsidR="00F35D70">
        <w:t xml:space="preserve"> and gum)</w:t>
      </w:r>
      <w:r w:rsidRPr="003D33C1">
        <w:t xml:space="preserve"> </w:t>
      </w:r>
      <w:r w:rsidR="009B2B58">
        <w:t xml:space="preserve">with NRT </w:t>
      </w:r>
      <w:r w:rsidR="00573F59">
        <w:t>patches</w:t>
      </w:r>
      <w:r w:rsidRPr="003D33C1">
        <w:t xml:space="preserve"> </w:t>
      </w:r>
      <w:r w:rsidR="009B2B58">
        <w:t>a</w:t>
      </w:r>
      <w:r w:rsidRPr="003D33C1">
        <w:t>nd was included in this report.</w:t>
      </w:r>
      <w:r w:rsidR="009B2D79">
        <w:t xml:space="preserve"> </w:t>
      </w:r>
      <w:r w:rsidR="006935E4">
        <w:t>Additionally</w:t>
      </w:r>
      <w:r w:rsidR="003E4EE5">
        <w:t>,</w:t>
      </w:r>
      <w:r w:rsidR="006935E4">
        <w:t xml:space="preserve"> Hartmann-Boyce et al. (2018) was identified </w:t>
      </w:r>
      <w:r w:rsidR="00DD0097">
        <w:t xml:space="preserve">in the systematic review that compared different formulations of NRT (including lozenges, </w:t>
      </w:r>
      <w:r w:rsidR="004C4EA7">
        <w:t>gum,</w:t>
      </w:r>
      <w:r w:rsidR="00DD0097">
        <w:t xml:space="preserve"> and patches) to placebo. </w:t>
      </w:r>
      <w:r w:rsidR="003E4EE5">
        <w:t>Collectively, Lindson</w:t>
      </w:r>
      <w:r w:rsidR="00F5250A">
        <w:t xml:space="preserve"> et al. (2019) and Hartmann-Boyce et al. (2018) represent the most recent update</w:t>
      </w:r>
      <w:r w:rsidR="00091D15">
        <w:t xml:space="preserve"> to Stead et al. (2012)</w:t>
      </w:r>
      <w:r w:rsidR="00162DC1">
        <w:t xml:space="preserve"> </w:t>
      </w:r>
      <w:r w:rsidR="003C2FF7">
        <w:t>which</w:t>
      </w:r>
      <w:r w:rsidR="00162DC1">
        <w:t>,</w:t>
      </w:r>
      <w:r w:rsidR="003C2FF7">
        <w:t xml:space="preserve"> in 2017 was split into these two reviews</w:t>
      </w:r>
      <w:r w:rsidR="003E4EE5">
        <w:t xml:space="preserve"> </w:t>
      </w:r>
      <w:r w:rsidR="00162DC1">
        <w:t xml:space="preserve">of NRT versus control and NRT versus NRT. </w:t>
      </w:r>
      <w:r w:rsidR="009B2D79" w:rsidRPr="009B2D79">
        <w:t xml:space="preserve">No new studies comparing NRT </w:t>
      </w:r>
      <w:r w:rsidR="00573F59">
        <w:t>lozenges</w:t>
      </w:r>
      <w:r w:rsidR="009B2D79">
        <w:t xml:space="preserve"> or gum</w:t>
      </w:r>
      <w:r w:rsidR="009B2D79" w:rsidRPr="009B2D79">
        <w:t xml:space="preserve"> with </w:t>
      </w:r>
      <w:r w:rsidR="009B2D79">
        <w:t>patch</w:t>
      </w:r>
      <w:r w:rsidR="00115B86">
        <w:t>es</w:t>
      </w:r>
      <w:r w:rsidR="009B2D79" w:rsidRPr="009B2D79">
        <w:t xml:space="preserve"> were identified in the supplemental literature search.</w:t>
      </w:r>
    </w:p>
    <w:p w14:paraId="776BE056" w14:textId="70FCD7C4" w:rsidR="003D33C1" w:rsidRDefault="003D33C1" w:rsidP="00C51081">
      <w:pPr>
        <w:pStyle w:val="Caption"/>
        <w:keepNext/>
        <w:spacing w:before="120" w:after="120"/>
        <w:jc w:val="both"/>
      </w:pPr>
      <w:bookmarkStart w:id="70" w:name="_Ref54602923"/>
      <w:r>
        <w:t xml:space="preserve">Table </w:t>
      </w:r>
      <w:r w:rsidR="00BF3F75">
        <w:fldChar w:fldCharType="begin"/>
      </w:r>
      <w:r w:rsidR="00BF3F75">
        <w:instrText xml:space="preserve"> SEQ Table \* ARABIC </w:instrText>
      </w:r>
      <w:r w:rsidR="00BF3F75">
        <w:fldChar w:fldCharType="separate"/>
      </w:r>
      <w:r w:rsidR="00EC5CC7">
        <w:rPr>
          <w:noProof/>
        </w:rPr>
        <w:t>28</w:t>
      </w:r>
      <w:r w:rsidR="00BF3F75">
        <w:rPr>
          <w:noProof/>
        </w:rPr>
        <w:fldChar w:fldCharType="end"/>
      </w:r>
      <w:bookmarkEnd w:id="70"/>
      <w:r>
        <w:t xml:space="preserve">: </w:t>
      </w:r>
      <w:r w:rsidRPr="00C74EF1">
        <w:t xml:space="preserve">List of studies comparing NRT </w:t>
      </w:r>
      <w:r w:rsidR="007E12F0">
        <w:t>lozenge or gum</w:t>
      </w:r>
      <w:r w:rsidRPr="00C74EF1">
        <w:t xml:space="preserve"> with </w:t>
      </w:r>
      <w:r>
        <w:t>NRT patch</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39468B" w:rsidRPr="00061F78" w14:paraId="163A522B" w14:textId="77777777" w:rsidTr="001D389E">
        <w:trPr>
          <w:cantSplit/>
          <w:trHeight w:val="329"/>
          <w:tblHeader/>
        </w:trPr>
        <w:tc>
          <w:tcPr>
            <w:tcW w:w="557" w:type="pct"/>
            <w:shd w:val="clear" w:color="auto" w:fill="BFBFBF" w:themeFill="background1" w:themeFillShade="BF"/>
            <w:tcMar>
              <w:left w:w="28" w:type="dxa"/>
              <w:right w:w="28" w:type="dxa"/>
            </w:tcMar>
          </w:tcPr>
          <w:p w14:paraId="28C4DA22" w14:textId="0776E577" w:rsidR="003D33C1" w:rsidRPr="00061F78" w:rsidRDefault="00126B7B" w:rsidP="003D33C1">
            <w:pPr>
              <w:pStyle w:val="Tableheading"/>
              <w:keepNext/>
              <w:rPr>
                <w:rFonts w:eastAsia="MS Mincho"/>
              </w:rPr>
            </w:pPr>
            <w:r>
              <w:rPr>
                <w:rFonts w:eastAsia="MS Mincho"/>
              </w:rPr>
              <w:t>Study</w:t>
            </w:r>
          </w:p>
        </w:tc>
        <w:tc>
          <w:tcPr>
            <w:tcW w:w="4443" w:type="pct"/>
            <w:shd w:val="clear" w:color="auto" w:fill="BFBFBF" w:themeFill="background1" w:themeFillShade="BF"/>
          </w:tcPr>
          <w:p w14:paraId="22F11834" w14:textId="77777777" w:rsidR="003D33C1" w:rsidRDefault="003D33C1" w:rsidP="003D33C1">
            <w:pPr>
              <w:pStyle w:val="Tableheading"/>
              <w:keepNext/>
              <w:jc w:val="center"/>
              <w:rPr>
                <w:rFonts w:eastAsia="MS Mincho"/>
              </w:rPr>
            </w:pPr>
            <w:r>
              <w:rPr>
                <w:rFonts w:eastAsia="MS Mincho"/>
              </w:rPr>
              <w:t>Citation</w:t>
            </w:r>
          </w:p>
        </w:tc>
      </w:tr>
      <w:tr w:rsidR="0039468B" w:rsidRPr="00061F78" w14:paraId="1792A16A" w14:textId="77777777" w:rsidTr="00015CD6">
        <w:trPr>
          <w:cantSplit/>
          <w:trHeight w:val="109"/>
        </w:trPr>
        <w:tc>
          <w:tcPr>
            <w:tcW w:w="557" w:type="pct"/>
            <w:shd w:val="clear" w:color="auto" w:fill="D9D9D9" w:themeFill="background1" w:themeFillShade="D9"/>
            <w:tcMar>
              <w:left w:w="28" w:type="dxa"/>
              <w:right w:w="28" w:type="dxa"/>
            </w:tcMar>
          </w:tcPr>
          <w:p w14:paraId="79DA181D" w14:textId="4C31F5A2" w:rsidR="003D33C1" w:rsidRDefault="003D33C1" w:rsidP="003D33C1">
            <w:pPr>
              <w:pStyle w:val="Tablewriting"/>
              <w:keepNext/>
              <w:rPr>
                <w:rFonts w:eastAsia="MS Mincho"/>
              </w:rPr>
            </w:pPr>
            <w:r>
              <w:rPr>
                <w:rFonts w:eastAsia="MS Mincho"/>
              </w:rPr>
              <w:t>Moolchan (2005)</w:t>
            </w:r>
            <w:hyperlink w:anchor="_ENREF_34" w:tooltip="Moolchan, 2005 #607" w:history="1">
              <w:r w:rsidR="0039468B">
                <w:rPr>
                  <w:rFonts w:eastAsia="MS Mincho"/>
                </w:rPr>
                <w:fldChar w:fldCharType="begin">
                  <w:fldData xml:space="preserve">PEVuZE5vdGU+PENpdGU+PEF1dGhvcj5Nb29sY2hhbjwvQXV0aG9yPjxZZWFyPjIwMDU8L1llYXI+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PEVuZE5vdGU+PENpdGU+PEF1dGhvcj5Nb29sY2hhbjwvQXV0aG9yPjxZZWFyPjIwMDU8L1llYXI+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34</w:t>
              </w:r>
              <w:r w:rsidR="0039468B">
                <w:rPr>
                  <w:rFonts w:eastAsia="MS Mincho"/>
                </w:rPr>
                <w:fldChar w:fldCharType="end"/>
              </w:r>
            </w:hyperlink>
          </w:p>
        </w:tc>
        <w:tc>
          <w:tcPr>
            <w:tcW w:w="4443" w:type="pct"/>
            <w:shd w:val="clear" w:color="auto" w:fill="D9D9D9" w:themeFill="background1" w:themeFillShade="D9"/>
          </w:tcPr>
          <w:p w14:paraId="3EDBF6AA" w14:textId="50B09B3B" w:rsidR="003D33C1" w:rsidRPr="008E38BA" w:rsidRDefault="00C41462" w:rsidP="003D33C1">
            <w:pPr>
              <w:pStyle w:val="Tablewriting"/>
              <w:keepNext/>
              <w:rPr>
                <w:rFonts w:eastAsia="MS Mincho"/>
              </w:rPr>
            </w:pPr>
            <w:r w:rsidRPr="00C41462">
              <w:rPr>
                <w:rFonts w:eastAsia="MS Mincho"/>
              </w:rPr>
              <w:t>Moolchan ET, Robinson ML, Ernst M, Cadet JL, Pickworth WB, Heishman SJ, Schroeder JR. Safety and efficacy of the nicotine patch and gum for the treatment of adolescent tobacco addiction. Pediatrics. 2005 Apr;115(4</w:t>
            </w:r>
            <w:r w:rsidR="004C4EA7" w:rsidRPr="00C41462">
              <w:rPr>
                <w:rFonts w:eastAsia="MS Mincho"/>
              </w:rPr>
              <w:t>): e</w:t>
            </w:r>
            <w:r w:rsidRPr="00C41462">
              <w:rPr>
                <w:rFonts w:eastAsia="MS Mincho"/>
              </w:rPr>
              <w:t>407-14.</w:t>
            </w:r>
          </w:p>
        </w:tc>
      </w:tr>
      <w:tr w:rsidR="0039468B" w:rsidRPr="00061F78" w14:paraId="247903C7" w14:textId="77777777" w:rsidTr="00015CD6">
        <w:trPr>
          <w:cantSplit/>
          <w:trHeight w:val="109"/>
        </w:trPr>
        <w:tc>
          <w:tcPr>
            <w:tcW w:w="557" w:type="pct"/>
            <w:shd w:val="clear" w:color="auto" w:fill="D9D9D9" w:themeFill="background1" w:themeFillShade="D9"/>
            <w:tcMar>
              <w:left w:w="28" w:type="dxa"/>
              <w:right w:w="28" w:type="dxa"/>
            </w:tcMar>
          </w:tcPr>
          <w:p w14:paraId="17DD9A9F" w14:textId="33A92FEE" w:rsidR="003D33C1" w:rsidRDefault="003D33C1" w:rsidP="003D33C1">
            <w:pPr>
              <w:pStyle w:val="Tablewriting"/>
              <w:keepNext/>
              <w:rPr>
                <w:rFonts w:eastAsia="MS Mincho"/>
              </w:rPr>
            </w:pPr>
            <w:r>
              <w:rPr>
                <w:rFonts w:eastAsia="MS Mincho"/>
              </w:rPr>
              <w:t>Piper (2009)</w:t>
            </w:r>
            <w:hyperlink w:anchor="_ENREF_7" w:tooltip="Piper, 2009 #588" w:history="1">
              <w:r w:rsidR="0039468B">
                <w:rPr>
                  <w:rFonts w:eastAsia="MS Mincho"/>
                </w:rPr>
                <w:fldChar w:fldCharType="begin">
                  <w:fldData xml:space="preserve">PEVuZE5vdGU+PENpdGU+PEF1dGhvcj5QaXBlcjwvQXV0aG9yPjxZZWFyPjIwMDk8L1llYXI+PFJl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</w:fldData>
                </w:fldChar>
              </w:r>
              <w:r w:rsidR="0039468B">
                <w:rPr>
                  <w:rFonts w:eastAsia="MS Mincho"/>
                </w:rPr>
                <w:instrText xml:space="preserve"> ADDIN EN.CITE </w:instrText>
              </w:r>
              <w:r w:rsidR="0039468B">
                <w:rPr>
                  <w:rFonts w:eastAsia="MS Mincho"/>
                </w:rPr>
                <w:fldChar w:fldCharType="begin">
                  <w:fldData xml:space="preserve">PEVuZE5vdGU+PENpdGU+PEF1dGhvcj5QaXBlcjwvQXV0aG9yPjxZZWFyPjIwMDk8L1llYXI+PFJl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527212">
                <w:rPr>
                  <w:rFonts w:eastAsia="MS Mincho"/>
                  <w:noProof/>
                  <w:vertAlign w:val="superscript"/>
                </w:rPr>
                <w:t>7</w:t>
              </w:r>
              <w:r w:rsidR="0039468B">
                <w:rPr>
                  <w:rFonts w:eastAsia="MS Mincho"/>
                </w:rPr>
                <w:fldChar w:fldCharType="end"/>
              </w:r>
            </w:hyperlink>
          </w:p>
        </w:tc>
        <w:tc>
          <w:tcPr>
            <w:tcW w:w="4443" w:type="pct"/>
            <w:shd w:val="clear" w:color="auto" w:fill="D9D9D9" w:themeFill="background1" w:themeFillShade="D9"/>
          </w:tcPr>
          <w:p w14:paraId="2B818FDE" w14:textId="27DBF0B6" w:rsidR="003D33C1" w:rsidRPr="002764E0" w:rsidRDefault="00C41462" w:rsidP="003D33C1">
            <w:pPr>
              <w:pStyle w:val="Tablewriting"/>
              <w:keepNext/>
              <w:rPr>
                <w:rFonts w:eastAsia="MS Mincho"/>
              </w:rPr>
            </w:pPr>
            <w:r w:rsidRPr="00C41462">
              <w:rPr>
                <w:rFonts w:eastAsia="MS Mincho"/>
              </w:rPr>
              <w:t>Piper ME, Smith SS, Schlam TR, Fiore MC, Jorenby DE, Fraser D, Baker TB. A randomized placebo-controlled clinical trial of 5 smoking cessation pharmacotherapies. Arch Gen Psychiatry. 2009 Nov;66(11):1253-62.</w:t>
            </w:r>
          </w:p>
        </w:tc>
      </w:tr>
      <w:tr w:rsidR="0039468B" w:rsidRPr="00061F78" w14:paraId="359B4790" w14:textId="77777777" w:rsidTr="00015CD6">
        <w:trPr>
          <w:cantSplit/>
          <w:trHeight w:val="109"/>
        </w:trPr>
        <w:tc>
          <w:tcPr>
            <w:tcW w:w="557" w:type="pct"/>
            <w:shd w:val="clear" w:color="auto" w:fill="D9D9D9" w:themeFill="background1" w:themeFillShade="D9"/>
            <w:tcMar>
              <w:left w:w="28" w:type="dxa"/>
              <w:right w:w="28" w:type="dxa"/>
            </w:tcMar>
          </w:tcPr>
          <w:p w14:paraId="77E6EDAE" w14:textId="7CA07C66" w:rsidR="003D33C1" w:rsidRDefault="003D33C1" w:rsidP="003D33C1">
            <w:pPr>
              <w:pStyle w:val="Tablewriting"/>
              <w:keepNext/>
              <w:rPr>
                <w:rFonts w:eastAsia="MS Mincho"/>
              </w:rPr>
            </w:pPr>
            <w:r>
              <w:rPr>
                <w:rFonts w:eastAsia="MS Mincho"/>
              </w:rPr>
              <w:t>Smith (2009)</w:t>
            </w:r>
            <w:hyperlink w:anchor="_ENREF_35" w:tooltip="Smith, 2009 #609" w:history="1">
              <w:r w:rsidR="0039468B">
                <w:rPr>
                  <w:rFonts w:eastAsia="MS Mincho"/>
                </w:rPr>
                <w:fldChar w:fldCharType="begin"/>
              </w:r>
              <w:r w:rsidR="0039468B">
                <w:rPr>
                  <w:rFonts w:eastAsia="MS Mincho"/>
                </w:rPr>
                <w:instrText xml:space="preserve"> ADDIN EN.CITE &lt;EndNote&gt;&lt;Cite&gt;&lt;Author&gt;Smith&lt;/Author&gt;&lt;Year&gt;2009&lt;/Year&gt;&lt;RecNum&gt;609&lt;/RecNum&gt;&lt;DisplayText&gt;&lt;style face="superscript"&gt;35&lt;/style&gt;&lt;/DisplayText&gt;&lt;record&gt;&lt;rec-number&gt;609&lt;/rec-number&gt;&lt;foreign-keys&gt;&lt;key app="EN" db-id="2xwa055rhevv2yef5v75fepy2azsv0xvx9w9" timestamp="1603671640"&gt;609&lt;/key&gt;&lt;/foreign-keys&gt;&lt;ref-type name="Journal Article"&gt;17&lt;/ref-type&gt;&lt;contributors&gt;&lt;authors&gt;&lt;author&gt;Smith, S. S.&lt;/author&gt;&lt;author&gt;McCarthy, D. E.&lt;/author&gt;&lt;author&gt;Japuntich, S. J.&lt;/author&gt;&lt;author&gt;Christiansen, B.&lt;/author&gt;&lt;author&gt;Piper, M. E.&lt;/author&gt;&lt;author&gt;Jorenby, D. E.&lt;/author&gt;&lt;author&gt;Fraser, D. L.&lt;/author&gt;&lt;author&gt;Fiore, M. C.&lt;/author&gt;&lt;author&gt;Baker, T. B.&lt;/author&gt;&lt;author&gt;Jackson, T. C.&lt;/author&gt;&lt;/authors&gt;&lt;/contributors&gt;&lt;auth-address&gt;Department of Medicine and Center for Tobacco Research and Intervention, University of Wisconsin School of Medicine and Public Health, Madison, 53711, USA. sss@ctri.medicine.wisc.edu&lt;/auth-address&gt;&lt;titles&gt;&lt;title&gt;Comparative effectiveness of 5 smoking cessation pharmacotherapies in primary care clinics&lt;/title&gt;&lt;secondary-title&gt;Arch Intern Med&lt;/secondary-title&gt;&lt;/titles&gt;&lt;periodical&gt;&lt;full-title&gt;Arch Intern Med&lt;/full-title&gt;&lt;/periodical&gt;&lt;pages&gt;2148-55&lt;/pages&gt;&lt;volume&gt;169&lt;/volume&gt;&lt;number&gt;22&lt;/number&gt;&lt;edition&gt;2009/12/17&lt;/edition&gt;&lt;keywords&gt;&lt;keyword&gt;Humans&lt;/keyword&gt;&lt;keyword&gt;Primary Health Care&lt;/keyword&gt;&lt;keyword&gt;Smoking Cessation/*methods&lt;/keyword&gt;&lt;keyword&gt;Treatment Outcome&lt;/keyword&gt;&lt;/keywords&gt;&lt;dates&gt;&lt;year&gt;2009&lt;/year&gt;&lt;pub-dates&gt;&lt;date&gt;Dec 14&lt;/date&gt;&lt;/pub-dates&gt;&lt;/dates&gt;&lt;isbn&gt;1538-3679 (Electronic)&amp;#xD;0003-9926 (Linking)&lt;/isbn&gt;&lt;accession-num&gt;20008701&lt;/accession-num&gt;&lt;urls&gt;&lt;related-urls&gt;&lt;url&gt;https://www.ncbi.nlm.nih.gov/pubmed/20008701&lt;/url&gt;&lt;/related-urls&gt;&lt;/urls&gt;&lt;custom2&gt;PMC2891174&lt;/custom2&gt;&lt;electronic-resource-num&gt;10.1001/archinternmed.2009.426&lt;/electronic-resource-num&gt;&lt;/record&gt;&lt;/Cite&gt;&lt;/EndNote&gt;</w:instrText>
              </w:r>
              <w:r w:rsidR="0039468B">
                <w:rPr>
                  <w:rFonts w:eastAsia="MS Mincho"/>
                </w:rPr>
                <w:fldChar w:fldCharType="separate"/>
              </w:r>
              <w:r w:rsidR="0039468B" w:rsidRPr="00693911">
                <w:rPr>
                  <w:rFonts w:eastAsia="MS Mincho"/>
                  <w:noProof/>
                  <w:vertAlign w:val="superscript"/>
                </w:rPr>
                <w:t>35</w:t>
              </w:r>
              <w:r w:rsidR="0039468B">
                <w:rPr>
                  <w:rFonts w:eastAsia="MS Mincho"/>
                </w:rPr>
                <w:fldChar w:fldCharType="end"/>
              </w:r>
            </w:hyperlink>
          </w:p>
        </w:tc>
        <w:tc>
          <w:tcPr>
            <w:tcW w:w="4443" w:type="pct"/>
            <w:shd w:val="clear" w:color="auto" w:fill="D9D9D9" w:themeFill="background1" w:themeFillShade="D9"/>
          </w:tcPr>
          <w:p w14:paraId="71391303" w14:textId="0BDB9293" w:rsidR="003D33C1" w:rsidRPr="002764E0" w:rsidRDefault="00C41462" w:rsidP="003D33C1">
            <w:pPr>
              <w:pStyle w:val="Tablewriting"/>
              <w:keepNext/>
              <w:rPr>
                <w:rFonts w:eastAsia="MS Mincho"/>
              </w:rPr>
            </w:pPr>
            <w:r w:rsidRPr="00C41462">
              <w:rPr>
                <w:rFonts w:eastAsia="MS Mincho"/>
              </w:rPr>
              <w:t>Smith SS, McCarthy DE, Japuntich SJ, Christiansen B, Piper ME, Jorenby DE, Fraser DL, Fiore MC, Baker TB, Jackson TC. Comparative effectiveness of 5 smoking cessation pharmacotherapies in primary care clinics. Arch Intern Med. 2009 Dec 14;169(22):2148-55.</w:t>
            </w:r>
          </w:p>
        </w:tc>
      </w:tr>
      <w:tr w:rsidR="0039468B" w:rsidRPr="00061F78" w14:paraId="6651AE43" w14:textId="77777777" w:rsidTr="00015CD6">
        <w:trPr>
          <w:cantSplit/>
          <w:trHeight w:val="109"/>
        </w:trPr>
        <w:tc>
          <w:tcPr>
            <w:tcW w:w="557" w:type="pct"/>
            <w:shd w:val="clear" w:color="auto" w:fill="D9D9D9" w:themeFill="background1" w:themeFillShade="D9"/>
            <w:tcMar>
              <w:left w:w="28" w:type="dxa"/>
              <w:right w:w="28" w:type="dxa"/>
            </w:tcMar>
          </w:tcPr>
          <w:p w14:paraId="21152154" w14:textId="33D14513" w:rsidR="003D33C1" w:rsidRDefault="003D33C1" w:rsidP="003D33C1">
            <w:pPr>
              <w:pStyle w:val="Tablewriting"/>
              <w:keepNext/>
              <w:rPr>
                <w:rFonts w:eastAsia="MS Mincho"/>
              </w:rPr>
            </w:pPr>
            <w:r>
              <w:rPr>
                <w:rFonts w:eastAsia="MS Mincho"/>
              </w:rPr>
              <w:t>Schnoll (2010)</w:t>
            </w:r>
            <w:hyperlink w:anchor="_ENREF_36" w:tooltip="Schnoll, 2010 #610" w:history="1">
              <w:r w:rsidR="0039468B">
                <w:rPr>
                  <w:rFonts w:eastAsia="MS Mincho"/>
                </w:rPr>
                <w:fldChar w:fldCharType="begin">
                  <w:fldData xml:space="preserve">PEVuZE5vdGU+PENpdGU+PEF1dGhvcj5TY2hub2xsPC9BdXRob3I+PFllYXI+MjAxMDwvWWVhcj48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=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PEVuZE5vdGU+PENpdGU+PEF1dGhvcj5TY2hub2xsPC9BdXRob3I+PFllYXI+MjAxMDwvWWVhcj48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=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36</w:t>
              </w:r>
              <w:r w:rsidR="0039468B">
                <w:rPr>
                  <w:rFonts w:eastAsia="MS Mincho"/>
                </w:rPr>
                <w:fldChar w:fldCharType="end"/>
              </w:r>
            </w:hyperlink>
          </w:p>
        </w:tc>
        <w:tc>
          <w:tcPr>
            <w:tcW w:w="4443" w:type="pct"/>
            <w:shd w:val="clear" w:color="auto" w:fill="D9D9D9" w:themeFill="background1" w:themeFillShade="D9"/>
          </w:tcPr>
          <w:p w14:paraId="42AC47F7" w14:textId="021AF411" w:rsidR="003D33C1" w:rsidRPr="002764E0" w:rsidRDefault="001D389E" w:rsidP="003D33C1">
            <w:pPr>
              <w:pStyle w:val="Tablewriting"/>
              <w:keepNext/>
              <w:rPr>
                <w:rFonts w:eastAsia="MS Mincho"/>
              </w:rPr>
            </w:pPr>
            <w:r w:rsidRPr="001D389E">
              <w:rPr>
                <w:rFonts w:eastAsia="MS Mincho"/>
              </w:rPr>
              <w:t>Schnoll RA, Martinez E, Tatum KL, Glass M, Bernath A, Ferris D, Reynolds P. Nicotine patch vs. nicotine lozenge for smoking cessation: an effectiveness trial coordinated by the Community Clinical Oncology Program</w:t>
            </w:r>
            <w:r w:rsidR="007367C9">
              <w:rPr>
                <w:rFonts w:eastAsia="MS Mincho"/>
              </w:rPr>
              <w:t>me</w:t>
            </w:r>
            <w:r w:rsidRPr="001D389E">
              <w:rPr>
                <w:rFonts w:eastAsia="MS Mincho"/>
              </w:rPr>
              <w:t>. Drug Alcohol Depend. 2010 Mar 1;107(2-3):237-43.</w:t>
            </w:r>
          </w:p>
        </w:tc>
      </w:tr>
      <w:tr w:rsidR="0039468B" w:rsidRPr="00061F78" w14:paraId="23A94640" w14:textId="77777777" w:rsidTr="00015CD6">
        <w:trPr>
          <w:cantSplit/>
          <w:trHeight w:val="109"/>
        </w:trPr>
        <w:tc>
          <w:tcPr>
            <w:tcW w:w="557" w:type="pct"/>
            <w:shd w:val="clear" w:color="auto" w:fill="D9D9D9" w:themeFill="background1" w:themeFillShade="D9"/>
            <w:tcMar>
              <w:left w:w="28" w:type="dxa"/>
              <w:right w:w="28" w:type="dxa"/>
            </w:tcMar>
          </w:tcPr>
          <w:p w14:paraId="6277F210" w14:textId="7E53B2A7" w:rsidR="00882B2E" w:rsidRDefault="00882B2E" w:rsidP="003D33C1">
            <w:pPr>
              <w:pStyle w:val="Tablewriting"/>
              <w:keepNext/>
              <w:rPr>
                <w:rFonts w:eastAsia="MS Mincho"/>
              </w:rPr>
            </w:pPr>
            <w:r>
              <w:rPr>
                <w:rFonts w:eastAsia="MS Mincho"/>
              </w:rPr>
              <w:t>Stead</w:t>
            </w:r>
            <w:r w:rsidR="007510A5">
              <w:rPr>
                <w:rFonts w:eastAsia="MS Mincho"/>
              </w:rPr>
              <w:t xml:space="preserve"> (2012)</w:t>
            </w:r>
            <w:hyperlink w:anchor="_ENREF_37" w:tooltip="Stead, 2012 #603" w:history="1">
              <w:r w:rsidR="0039468B">
                <w:rPr>
                  <w:rFonts w:eastAsia="MS Mincho"/>
                </w:rPr>
                <w:fldChar w:fldCharType="begin"/>
              </w:r>
              <w:r w:rsidR="0039468B">
                <w:rPr>
                  <w:rFonts w:eastAsia="MS Mincho"/>
                </w:rPr>
                <w:instrText xml:space="preserve"> ADDIN EN.CITE &lt;EndNote&gt;&lt;Cite&gt;&lt;Author&gt;Stead&lt;/Author&gt;&lt;Year&gt;2012&lt;/Year&gt;&lt;RecNum&gt;603&lt;/RecNum&gt;&lt;DisplayText&gt;&lt;style face="superscript"&gt;37&lt;/style&gt;&lt;/DisplayText&gt;&lt;record&gt;&lt;rec-number&gt;603&lt;/rec-number&gt;&lt;foreign-keys&gt;&lt;key app="EN" db-id="2xwa055rhevv2yef5v75fepy2azsv0xv</w:instrText>
              </w:r>
              <w:r w:rsidR="0039468B">
                <w:rPr>
                  <w:rFonts w:eastAsia="MS Mincho" w:hint="eastAsia"/>
                </w:rPr>
                <w:instrText>x9w9" timestamp="1603260485"&gt;603&lt;/key&gt;&lt;/foreign-keys&gt;&lt;ref-type name="Journal Article"&gt;17&lt;/ref-type&gt;&lt;contributors&gt;&lt;authors&gt;&lt;author&gt;Stead, L. F.&lt;/author&gt;&lt;author&gt;Perera, R.&lt;/author&gt;&lt;author&gt;Bullen, C.&lt;/author&gt;&lt;author&gt;Mant, D.&lt;/author&gt;&lt;author&gt;Hartmann</w:instrText>
              </w:r>
              <w:r w:rsidR="0039468B">
                <w:rPr>
                  <w:rFonts w:eastAsia="MS Mincho" w:hint="eastAsia"/>
                </w:rPr>
                <w:instrText>‐</w:instrText>
              </w:r>
              <w:r w:rsidR="0039468B">
                <w:rPr>
                  <w:rFonts w:eastAsia="MS Mincho" w:hint="eastAsia"/>
                </w:rPr>
                <w:instrText>Boyce, J</w:instrText>
              </w:r>
              <w:r w:rsidR="0039468B">
                <w:rPr>
                  <w:rFonts w:eastAsia="MS Mincho"/>
                </w:rPr>
                <w:instrText>.&lt;/author&gt;&lt;author&gt;Cahill, K.&lt;/author&gt;&lt;author&gt;Lancaster, T.&lt;/author&gt;&lt;/authors&gt;&lt;/contributors&gt;&lt;titles&gt;&lt;title&gt;Nicotine replacement therapy for smoking cessation&lt;/title&gt;&lt;secondary-title&gt;Cochrane Database of Systematic Reviews&lt;/secondary-title&gt;&lt;/titles&gt;&lt;periodical&gt;&lt;full-title&gt;Cochrane Database of Systematic Reviews&lt;/full-title&gt;&lt;/periodical&gt;&lt;number&gt;11&lt;/number&gt;&lt;keywords&gt;&lt;keyword&gt;Administration, Cutaneous&lt;/keyword&gt;&lt;keyword&gt;Administration, Inhalation&lt;/keyword&gt;&lt;keyword&gt;Chewing Gum&lt;/keyword&gt;&lt;keyword&gt;Female&lt;/keyword&gt;&lt;keyword&gt;Humans&lt;/keyword&gt;&lt;keyword&gt;Male&lt;/keyword&gt;&lt;keyword&gt;Nicotine [administration &amp;amp; dosage]&lt;/keyword&gt;&lt;keyword&gt;Nicotinic Agonists [administration &amp;amp; dosage]&lt;/keyword&gt;&lt;keyword&gt;Randomized Controlled Trials as Topic&lt;/keyword&gt;&lt;keyword&gt;Smoking Cessation [*methods, statistics &amp;amp; numerical data]&lt;/keyword&gt;&lt;keyword&gt;Smoking Prevention [*methods, statistics &amp;amp; numerical data]&lt;/keyword&gt;&lt;keyword&gt;Tablets&lt;/keyword&gt;&lt;keyword&gt;Time Factors&lt;/keyword&gt;&lt;/keywords&gt;&lt;dates&gt;&lt;year&gt;2012&lt;/year&gt;&lt;/dates&gt;&lt;publisher&gt;John Wiley &amp;amp; Sons, Ltd&lt;/publisher&gt;&lt;isbn&gt;1465-1858&lt;/isbn&gt;&lt;accession-num&gt;CD000146&lt;/accession-num&gt;&lt;urls&gt;&lt;related-urls&gt;&lt;url&gt;https://doi.org//10.1002/14651858.CD000146.pub4&lt;/url&gt;&lt;/related-urls&gt;&lt;/urls&gt;&lt;electronic-resource-num&gt;10.1002/14651858.CD000146.pub4&lt;/electronic-resource-num&gt;&lt;/record&gt;&lt;/Cite&gt;&lt;/EndNote&gt;</w:instrText>
              </w:r>
              <w:r w:rsidR="0039468B">
                <w:rPr>
                  <w:rFonts w:eastAsia="MS Mincho"/>
                </w:rPr>
                <w:fldChar w:fldCharType="separate"/>
              </w:r>
              <w:r w:rsidR="0039468B" w:rsidRPr="00693911">
                <w:rPr>
                  <w:rFonts w:eastAsia="MS Mincho"/>
                  <w:noProof/>
                  <w:vertAlign w:val="superscript"/>
                </w:rPr>
                <w:t>37</w:t>
              </w:r>
              <w:r w:rsidR="0039468B">
                <w:rPr>
                  <w:rFonts w:eastAsia="MS Mincho"/>
                </w:rPr>
                <w:fldChar w:fldCharType="end"/>
              </w:r>
            </w:hyperlink>
          </w:p>
        </w:tc>
        <w:tc>
          <w:tcPr>
            <w:tcW w:w="4443" w:type="pct"/>
            <w:shd w:val="clear" w:color="auto" w:fill="D9D9D9" w:themeFill="background1" w:themeFillShade="D9"/>
          </w:tcPr>
          <w:p w14:paraId="2E8E4993" w14:textId="1A2A3CB9" w:rsidR="00882B2E" w:rsidRPr="001D389E" w:rsidRDefault="007510A5" w:rsidP="007510A5">
            <w:pPr>
              <w:pStyle w:val="Tablewriting"/>
              <w:keepNext/>
              <w:rPr>
                <w:rFonts w:eastAsia="MS Mincho"/>
              </w:rPr>
            </w:pPr>
            <w:r w:rsidRPr="007510A5">
              <w:rPr>
                <w:rFonts w:eastAsia="MS Mincho"/>
              </w:rPr>
              <w:t>Stead, Lindsay F, et al. Nicotine Replacement Therapy for</w:t>
            </w:r>
            <w:r>
              <w:rPr>
                <w:rFonts w:eastAsia="MS Mincho"/>
              </w:rPr>
              <w:t xml:space="preserve"> </w:t>
            </w:r>
            <w:r w:rsidRPr="007510A5">
              <w:rPr>
                <w:rFonts w:eastAsia="MS Mincho"/>
              </w:rPr>
              <w:t>Smoking Cessation.</w:t>
            </w:r>
            <w:r w:rsidR="00035E1F">
              <w:rPr>
                <w:rFonts w:eastAsia="MS Mincho"/>
              </w:rPr>
              <w:t xml:space="preserve"> </w:t>
            </w:r>
            <w:r w:rsidR="00035E1F">
              <w:t>Cochrane Database of Systematic Reviews 2012; 11</w:t>
            </w:r>
          </w:p>
        </w:tc>
      </w:tr>
      <w:tr w:rsidR="0039468B" w:rsidRPr="00061F78" w14:paraId="0CADE5F0" w14:textId="77777777" w:rsidTr="001D389E">
        <w:trPr>
          <w:cantSplit/>
          <w:trHeight w:val="164"/>
        </w:trPr>
        <w:tc>
          <w:tcPr>
            <w:tcW w:w="557" w:type="pct"/>
            <w:tcMar>
              <w:left w:w="28" w:type="dxa"/>
              <w:right w:w="28" w:type="dxa"/>
            </w:tcMar>
          </w:tcPr>
          <w:p w14:paraId="5192B1BF" w14:textId="6BF9BF2E" w:rsidR="003D33C1" w:rsidRPr="003D33C1" w:rsidRDefault="003D33C1" w:rsidP="003D33C1">
            <w:pPr>
              <w:pStyle w:val="Tablewriting"/>
              <w:keepNext/>
              <w:rPr>
                <w:rFonts w:eastAsia="MS Mincho"/>
              </w:rPr>
            </w:pPr>
            <w:r>
              <w:rPr>
                <w:rFonts w:eastAsia="MS Mincho"/>
              </w:rPr>
              <w:t>Lindson</w:t>
            </w:r>
            <w:r w:rsidRPr="00061F78">
              <w:rPr>
                <w:rFonts w:eastAsia="MS Mincho"/>
              </w:rPr>
              <w:t xml:space="preserve"> (20</w:t>
            </w:r>
            <w:r>
              <w:rPr>
                <w:rFonts w:eastAsia="MS Mincho"/>
              </w:rPr>
              <w:t>19</w:t>
            </w:r>
            <w:r w:rsidRPr="00061F78">
              <w:rPr>
                <w:rFonts w:eastAsia="MS Mincho"/>
              </w:rPr>
              <w:t>)</w:t>
            </w:r>
            <w:hyperlink w:anchor="_ENREF_38" w:tooltip="Lindson, 2019 #13" w:history="1">
              <w:r w:rsidR="0039468B">
                <w:rPr>
                  <w:rFonts w:eastAsia="MS Mincho"/>
                </w:rPr>
                <w:fldChar w:fldCharType="begin"/>
              </w:r>
              <w:r w:rsidR="0039468B">
                <w:rPr>
                  <w:rFonts w:eastAsia="MS Mincho"/>
                </w:rPr>
                <w:instrText xml:space="preserve"> ADDIN EN.CITE &lt;EndNote&gt;&lt;Cite&gt;&lt;Author&gt;Lindson&lt;/Author&gt;&lt;Year&gt;2019&lt;/Year&gt;&lt;RecNum&gt;8&lt;/RecNum&gt;&lt;DisplayText&gt;&lt;style face="superscript"&gt;38&lt;/style&gt;&lt;/DisplayText&gt;&lt;record&gt;&lt;rec-number&gt;8&lt;/rec-number&gt;&lt;foreign-keys&gt;&lt;key app="EN" db-id="afrxsvtr0dzftze0vrkvawxod0x5xzet0ead" timestamp="1603433873"&gt;8&lt;/key&gt;&lt;/foreign-keys&gt;&lt;ref-type name="Journal Article"&gt;17&lt;/ref-type&gt;&lt;contributors&gt;&lt;authors&gt;&lt;author&gt;Lindson, N.&lt;/author&gt;&lt;author&gt;Chepkin, S. C.&lt;/author&gt;&lt;author&gt;Ye, W.&lt;/author&gt;&lt;author&gt;Fanshawe, T. R.&lt;/author&gt;&lt;author&gt;Bullen, C.&lt;/aut</w:instrText>
              </w:r>
              <w:r w:rsidR="0039468B">
                <w:rPr>
                  <w:rFonts w:eastAsia="MS Mincho" w:hint="eastAsia"/>
                </w:rPr>
                <w:instrText>hor&gt;&lt;author&gt;Hartmann</w:instrText>
              </w:r>
              <w:r w:rsidR="0039468B">
                <w:rPr>
                  <w:rFonts w:eastAsia="MS Mincho" w:hint="eastAsia"/>
                </w:rPr>
                <w:instrText>‐</w:instrText>
              </w:r>
              <w:r w:rsidR="0039468B">
                <w:rPr>
                  <w:rFonts w:eastAsia="MS Mincho" w:hint="eastAsia"/>
                </w:rPr>
                <w:instrText>Boyce, J.&lt;/author&gt;&lt;/authors&gt;&lt;/contributors&gt;&lt;titles&gt;&lt;title&gt;Different doses, durations and modes of delivery of nicotine replacement therapy for smoking cessation&lt;/title&gt;&lt;secondary-title&gt;Cochrane Database of Systematic Reviews&lt;/secondar</w:instrText>
              </w:r>
              <w:r w:rsidR="0039468B">
                <w:rPr>
                  <w:rFonts w:eastAsia="MS Mincho"/>
                </w:rPr>
                <w:instrText>y-title&gt;&lt;/titles&gt;&lt;number&gt;4&lt;/number&gt;&lt;keywords&gt;&lt;keyword&gt;*Chewing Gum&lt;/keyword&gt;&lt;keyword&gt;*Tobacco Use Cessation Devices&lt;/keyword&gt;&lt;keyword&gt;Administration, Cutaneous&lt;/keyword&gt;&lt;keyword&gt;Administration, Inhalation&lt;/keyword&gt;&lt;keyword&gt;Administration, Oral&lt;/keyword&gt;&lt;keyword&gt;Humans&lt;/keyword&gt;&lt;keyword&gt;Nicotine [administration &amp;amp; dosage]&lt;/keyword&gt;&lt;keyword&gt;Nicotinic Agonists [*therapeutic use]&lt;/keyword&gt;&lt;keyword&gt;Randomized Controlled Trials as Topic&lt;/keyword&gt;&lt;keyword&gt;Smoking Cessation [*methods]&lt;/keyword&gt;&lt;keyword&gt;Smoking Prevention&lt;/keyword&gt;&lt;keyword&gt;Smoking [drug therapy]&lt;/keyword&gt;&lt;/keywords&gt;&lt;dates&gt;&lt;year&gt;2019&lt;/year&gt;&lt;/dates&gt;&lt;publisher&gt;John Wiley &amp;amp; Sons, Ltd&lt;/publisher&gt;&lt;isbn&gt;1465-1858&lt;/isbn&gt;&lt;accession-num&gt;CD013308&lt;/accession-num&gt;&lt;urls&gt;&lt;related-urls&gt;&lt;url&gt;http://dx.doi.org/10.1002/14651858.CD013308&lt;/url&gt;&lt;/related-urls&gt;&lt;/urls&gt;&lt;electronic-resource-num&gt;10.1002/14651858.CD013308&lt;/electronic-resource-num&gt;&lt;/record&gt;&lt;/Cite&gt;&lt;/EndNote&gt;</w:instrText>
              </w:r>
              <w:r w:rsidR="0039468B">
                <w:rPr>
                  <w:rFonts w:eastAsia="MS Mincho"/>
                </w:rPr>
                <w:fldChar w:fldCharType="separate"/>
              </w:r>
              <w:r w:rsidR="0039468B" w:rsidRPr="00693911">
                <w:rPr>
                  <w:rFonts w:eastAsia="MS Mincho"/>
                  <w:noProof/>
                  <w:vertAlign w:val="superscript"/>
                </w:rPr>
                <w:t>38</w:t>
              </w:r>
              <w:r w:rsidR="0039468B">
                <w:rPr>
                  <w:rFonts w:eastAsia="MS Mincho"/>
                </w:rPr>
                <w:fldChar w:fldCharType="end"/>
              </w:r>
            </w:hyperlink>
            <w:r w:rsidRPr="003D33C1">
              <w:rPr>
                <w:rFonts w:eastAsia="MS Mincho"/>
              </w:rPr>
              <w:t xml:space="preserve"> </w:t>
            </w:r>
          </w:p>
        </w:tc>
        <w:tc>
          <w:tcPr>
            <w:tcW w:w="4443" w:type="pct"/>
          </w:tcPr>
          <w:p w14:paraId="03B9DF08" w14:textId="006B46EE" w:rsidR="003D33C1" w:rsidRDefault="004C4EA7" w:rsidP="003D33C1">
            <w:pPr>
              <w:pStyle w:val="Tablewriting"/>
              <w:keepNext/>
              <w:rPr>
                <w:rFonts w:eastAsia="MS Mincho"/>
              </w:rPr>
            </w:pPr>
            <w:r w:rsidRPr="003D33C1">
              <w:rPr>
                <w:rFonts w:eastAsia="MS Mincho"/>
              </w:rPr>
              <w:t>Lindson N</w:t>
            </w:r>
            <w:r w:rsidR="003D33C1" w:rsidRPr="003D33C1">
              <w:rPr>
                <w:rFonts w:eastAsia="MS Mincho"/>
              </w:rPr>
              <w:t xml:space="preserve">, </w:t>
            </w:r>
            <w:r w:rsidRPr="003D33C1">
              <w:rPr>
                <w:rFonts w:eastAsia="MS Mincho"/>
              </w:rPr>
              <w:t>Chepkin SC</w:t>
            </w:r>
            <w:r w:rsidR="003D33C1" w:rsidRPr="003D33C1">
              <w:rPr>
                <w:rFonts w:eastAsia="MS Mincho"/>
              </w:rPr>
              <w:t xml:space="preserve">, </w:t>
            </w:r>
            <w:r w:rsidRPr="003D33C1">
              <w:rPr>
                <w:rFonts w:eastAsia="MS Mincho"/>
              </w:rPr>
              <w:t>Ye W</w:t>
            </w:r>
            <w:r w:rsidR="003D33C1" w:rsidRPr="003D33C1">
              <w:rPr>
                <w:rFonts w:eastAsia="MS Mincho"/>
              </w:rPr>
              <w:t xml:space="preserve">, </w:t>
            </w:r>
            <w:r w:rsidRPr="003D33C1">
              <w:rPr>
                <w:rFonts w:eastAsia="MS Mincho"/>
              </w:rPr>
              <w:t>Fanshawe TR</w:t>
            </w:r>
            <w:r w:rsidR="003D33C1" w:rsidRPr="003D33C1">
              <w:rPr>
                <w:rFonts w:eastAsia="MS Mincho"/>
              </w:rPr>
              <w:t xml:space="preserve">, </w:t>
            </w:r>
            <w:r w:rsidRPr="003D33C1">
              <w:rPr>
                <w:rFonts w:eastAsia="MS Mincho"/>
              </w:rPr>
              <w:t>Bullen C</w:t>
            </w:r>
            <w:r w:rsidR="003D33C1" w:rsidRPr="003D33C1">
              <w:rPr>
                <w:rFonts w:eastAsia="MS Mincho"/>
              </w:rPr>
              <w:t>, Hartmann‐</w:t>
            </w:r>
            <w:r w:rsidRPr="003D33C1">
              <w:rPr>
                <w:rFonts w:eastAsia="MS Mincho"/>
              </w:rPr>
              <w:t>Boyce J.</w:t>
            </w:r>
            <w:r w:rsidR="003D33C1" w:rsidRPr="003D33C1">
              <w:rPr>
                <w:rFonts w:eastAsia="MS Mincho"/>
              </w:rPr>
              <w:t xml:space="preserve"> Different doses, </w:t>
            </w:r>
            <w:r w:rsidRPr="003D33C1">
              <w:rPr>
                <w:rFonts w:eastAsia="MS Mincho"/>
              </w:rPr>
              <w:t>durations,</w:t>
            </w:r>
            <w:r w:rsidR="003D33C1" w:rsidRPr="003D33C1">
              <w:rPr>
                <w:rFonts w:eastAsia="MS Mincho"/>
              </w:rPr>
              <w:t xml:space="preserve"> and modes of delivery of nicotine replacement therapy for smoking cessation. Cochrane Database of Systematic Reviews 2019, Issue 4. Art. No.: CD013308.</w:t>
            </w:r>
          </w:p>
        </w:tc>
      </w:tr>
    </w:tbl>
    <w:p w14:paraId="279596A0" w14:textId="77777777" w:rsidR="003D33C1" w:rsidRDefault="003D33C1" w:rsidP="00C51081">
      <w:pPr>
        <w:pStyle w:val="TableFooter"/>
        <w:jc w:val="both"/>
      </w:pPr>
      <w:r w:rsidRPr="00061F78">
        <w:rPr>
          <w:highlight w:val="lightGray"/>
        </w:rPr>
        <w:t>Shaded</w:t>
      </w:r>
      <w:r w:rsidRPr="00061F78">
        <w:t xml:space="preserve"> = previously considered by the PBAC</w:t>
      </w:r>
    </w:p>
    <w:p w14:paraId="30C04B39" w14:textId="4B76657F" w:rsidR="003D33C1" w:rsidRDefault="003D33C1" w:rsidP="00C51081">
      <w:pPr>
        <w:pStyle w:val="TableFooter"/>
        <w:spacing w:after="120"/>
        <w:contextualSpacing w:val="0"/>
        <w:jc w:val="both"/>
      </w:pPr>
      <w:r w:rsidRPr="00F84183">
        <w:t xml:space="preserve">Notes: </w:t>
      </w:r>
      <w:r>
        <w:t>Moolchan e</w:t>
      </w:r>
      <w:r w:rsidRPr="00F84183">
        <w:t>t al. (</w:t>
      </w:r>
      <w:r>
        <w:t>2005</w:t>
      </w:r>
      <w:r w:rsidRPr="00F84183">
        <w:t>)</w:t>
      </w:r>
      <w:r>
        <w:t>, Piper et al. (2009), Smith et al. (2009) and Schnoll et al. (2010)</w:t>
      </w:r>
      <w:r w:rsidRPr="00F84183">
        <w:t xml:space="preserve"> w</w:t>
      </w:r>
      <w:r>
        <w:t>ere</w:t>
      </w:r>
      <w:r w:rsidRPr="00F84183">
        <w:t xml:space="preserve"> considered at the </w:t>
      </w:r>
      <w:r>
        <w:t>July 2017 and March 2018</w:t>
      </w:r>
      <w:r w:rsidRPr="00F84183">
        <w:t xml:space="preserve"> PBAC meeting.</w:t>
      </w:r>
    </w:p>
    <w:p w14:paraId="31F9CC87" w14:textId="5444C3A8" w:rsidR="00790AF1" w:rsidRDefault="00790AF1" w:rsidP="000B683C">
      <w:pPr>
        <w:jc w:val="both"/>
        <w:sectPr w:rsidR="00790AF1" w:rsidSect="006356D2">
          <w:pgSz w:w="11906" w:h="16838"/>
          <w:pgMar w:top="1440" w:right="1440" w:bottom="1440" w:left="1440" w:header="708" w:footer="708" w:gutter="0"/>
          <w:cols w:space="708"/>
          <w:titlePg/>
          <w:docGrid w:linePitch="360"/>
        </w:sectPr>
      </w:pPr>
      <w:r w:rsidRPr="00790AF1">
        <w:t xml:space="preserve">A summary of the characteristics of the studies comparing </w:t>
      </w:r>
      <w:r>
        <w:t xml:space="preserve">NRT </w:t>
      </w:r>
      <w:r w:rsidR="00573F59">
        <w:t>lozenges</w:t>
      </w:r>
      <w:r w:rsidR="00A22D79">
        <w:t>/gum with</w:t>
      </w:r>
      <w:r>
        <w:t xml:space="preserve"> </w:t>
      </w:r>
      <w:r w:rsidRPr="00790AF1">
        <w:t xml:space="preserve">NRT </w:t>
      </w:r>
      <w:r w:rsidR="00573F59">
        <w:t>patches</w:t>
      </w:r>
      <w:r w:rsidRPr="00790AF1">
        <w:t xml:space="preserve"> is presented in </w:t>
      </w:r>
      <w:r w:rsidR="00A22D79">
        <w:fldChar w:fldCharType="begin" w:fldLock="1"/>
      </w:r>
      <w:r w:rsidR="00A22D79">
        <w:instrText xml:space="preserve"> REF _Ref54610904 \h </w:instrText>
      </w:r>
      <w:r w:rsidR="000B683C">
        <w:instrText xml:space="preserve"> \* MERGEFORMAT </w:instrText>
      </w:r>
      <w:r w:rsidR="00A22D79">
        <w:fldChar w:fldCharType="separate"/>
      </w:r>
      <w:r w:rsidR="00EC5CC7">
        <w:t xml:space="preserve">Table </w:t>
      </w:r>
      <w:r w:rsidR="00EC5CC7">
        <w:rPr>
          <w:noProof/>
        </w:rPr>
        <w:t>29</w:t>
      </w:r>
      <w:r w:rsidR="00A22D79">
        <w:fldChar w:fldCharType="end"/>
      </w:r>
      <w:r w:rsidRPr="00790AF1">
        <w:t xml:space="preserve">. A total of </w:t>
      </w:r>
      <w:r w:rsidR="001A4BF8">
        <w:t>three</w:t>
      </w:r>
      <w:r w:rsidRPr="00790AF1">
        <w:t xml:space="preserve"> RCTs comparing NRT</w:t>
      </w:r>
      <w:r w:rsidR="00A22D79">
        <w:t xml:space="preserve"> </w:t>
      </w:r>
      <w:r w:rsidR="00573F59">
        <w:t>lozenges</w:t>
      </w:r>
      <w:r w:rsidR="00A22D79">
        <w:t xml:space="preserve"> </w:t>
      </w:r>
      <w:r w:rsidR="00BB1CF9">
        <w:t>with NRT</w:t>
      </w:r>
      <w:r w:rsidRPr="00790AF1">
        <w:t xml:space="preserve"> </w:t>
      </w:r>
      <w:r w:rsidR="00573F59">
        <w:t>patches</w:t>
      </w:r>
      <w:r w:rsidRPr="00790AF1">
        <w:t xml:space="preserve"> </w:t>
      </w:r>
      <w:r w:rsidR="00BB1CF9">
        <w:t xml:space="preserve">and </w:t>
      </w:r>
      <w:r w:rsidR="001A4BF8">
        <w:t>two</w:t>
      </w:r>
      <w:r w:rsidR="00BB1CF9">
        <w:t xml:space="preserve"> RCTs comparing NRT gum with NRT </w:t>
      </w:r>
      <w:r w:rsidR="00573F59">
        <w:t>patches</w:t>
      </w:r>
      <w:r w:rsidRPr="00790AF1">
        <w:t xml:space="preserve"> were identified by </w:t>
      </w:r>
      <w:r w:rsidR="00BB1CF9">
        <w:t>Lindson</w:t>
      </w:r>
      <w:r w:rsidRPr="00790AF1">
        <w:t xml:space="preserve"> et al. (201</w:t>
      </w:r>
      <w:r w:rsidR="00ED44EE">
        <w:t>9)</w:t>
      </w:r>
      <w:r w:rsidRPr="00790AF1">
        <w:t xml:space="preserve">. Of these, </w:t>
      </w:r>
      <w:r w:rsidR="001A4BF8">
        <w:t>all three</w:t>
      </w:r>
      <w:r w:rsidRPr="00790AF1">
        <w:t xml:space="preserve"> RCTs</w:t>
      </w:r>
      <w:r w:rsidR="0002262A">
        <w:t xml:space="preserve"> </w:t>
      </w:r>
      <w:r w:rsidR="00E1569E">
        <w:t xml:space="preserve">comparing NRT </w:t>
      </w:r>
      <w:r w:rsidR="00573F59">
        <w:t>lozenges</w:t>
      </w:r>
      <w:r w:rsidR="00E1569E">
        <w:t xml:space="preserve"> with NRT </w:t>
      </w:r>
      <w:r w:rsidR="00573F59">
        <w:t>patches</w:t>
      </w:r>
      <w:r w:rsidRPr="00790AF1">
        <w:t xml:space="preserve"> </w:t>
      </w:r>
      <w:r w:rsidR="0002262A" w:rsidRPr="003D33C1">
        <w:t>(</w:t>
      </w:r>
      <w:r w:rsidR="0002262A" w:rsidRPr="005E597D">
        <w:t>Piper et al. 2009, Smith et al. 2009 and Schnoll et al. 2010</w:t>
      </w:r>
      <w:r w:rsidR="0002262A" w:rsidRPr="003D33C1">
        <w:t>)</w:t>
      </w:r>
      <w:r w:rsidR="00E1569E">
        <w:t xml:space="preserve"> and one RCT comparing </w:t>
      </w:r>
      <w:r w:rsidR="00940009">
        <w:t>NRT</w:t>
      </w:r>
      <w:r w:rsidR="00E1569E">
        <w:t xml:space="preserve"> gum with NRT </w:t>
      </w:r>
      <w:r w:rsidR="00573F59">
        <w:t>patches</w:t>
      </w:r>
      <w:r w:rsidR="0002262A">
        <w:t xml:space="preserve"> </w:t>
      </w:r>
      <w:r w:rsidR="00E1569E">
        <w:t>(</w:t>
      </w:r>
      <w:r w:rsidR="00E1569E" w:rsidRPr="00355C2C">
        <w:t>Moolchan et al. 2005</w:t>
      </w:r>
      <w:r w:rsidR="00E1569E">
        <w:t xml:space="preserve">) </w:t>
      </w:r>
      <w:r w:rsidRPr="00790AF1">
        <w:t xml:space="preserve">were studies previously considered by the PBAC. </w:t>
      </w:r>
      <w:r w:rsidR="0097627E">
        <w:t>The additional study</w:t>
      </w:r>
      <w:r w:rsidR="00940009">
        <w:t xml:space="preserve"> comparing NRT gum with NRT patches (</w:t>
      </w:r>
      <w:r w:rsidR="009F451F">
        <w:t>Kupecz</w:t>
      </w:r>
      <w:r w:rsidR="00E763A2">
        <w:t xml:space="preserve"> et al. 1996)</w:t>
      </w:r>
      <w:r w:rsidR="00AB4506">
        <w:t>,</w:t>
      </w:r>
      <w:r w:rsidR="00E763A2">
        <w:t xml:space="preserve"> that was included in Lindson et al. </w:t>
      </w:r>
      <w:r w:rsidR="00D525E9">
        <w:t>(</w:t>
      </w:r>
      <w:r w:rsidR="00E763A2">
        <w:t>2019</w:t>
      </w:r>
      <w:r w:rsidR="00D525E9">
        <w:t>)</w:t>
      </w:r>
      <w:r w:rsidR="00AB4506">
        <w:t>,</w:t>
      </w:r>
      <w:r w:rsidR="00BC70C4">
        <w:t xml:space="preserve"> was judged as high risk of bias </w:t>
      </w:r>
      <w:r w:rsidR="00100268">
        <w:t>as it was described as quasi-experimental</w:t>
      </w:r>
      <w:r w:rsidR="00D2295D">
        <w:t>, with mo</w:t>
      </w:r>
      <w:r w:rsidR="003844F3">
        <w:t>n</w:t>
      </w:r>
      <w:r w:rsidR="00D2295D">
        <w:t>th of recruitment randomi</w:t>
      </w:r>
      <w:r w:rsidR="0094476F">
        <w:t>s</w:t>
      </w:r>
      <w:r w:rsidR="00D2295D">
        <w:t xml:space="preserve">ed to study arm, and all people recruited in each month provided with </w:t>
      </w:r>
      <w:r w:rsidR="00762DF1">
        <w:t>the allotted treatment. This study</w:t>
      </w:r>
      <w:r w:rsidR="0095402E">
        <w:t xml:space="preserve"> was excluded from Hartmann-Boyce</w:t>
      </w:r>
      <w:r w:rsidR="0081066C">
        <w:t xml:space="preserve"> et al.</w:t>
      </w:r>
      <w:r w:rsidR="0095402E">
        <w:t xml:space="preserve"> </w:t>
      </w:r>
      <w:r w:rsidR="003239D6">
        <w:t>(</w:t>
      </w:r>
      <w:r w:rsidR="0095402E">
        <w:t>2018</w:t>
      </w:r>
      <w:r w:rsidR="003239D6">
        <w:t>)</w:t>
      </w:r>
      <w:r w:rsidR="0081066C">
        <w:t xml:space="preserve"> </w:t>
      </w:r>
      <w:r w:rsidR="00BC70C4">
        <w:t xml:space="preserve">and </w:t>
      </w:r>
      <w:r w:rsidR="00762DF1">
        <w:t xml:space="preserve">Stead et al. </w:t>
      </w:r>
      <w:r w:rsidR="003239D6">
        <w:t>(</w:t>
      </w:r>
      <w:r w:rsidR="00762DF1">
        <w:t>2018</w:t>
      </w:r>
      <w:r w:rsidR="003239D6">
        <w:t>)</w:t>
      </w:r>
      <w:r w:rsidR="00493F57">
        <w:t xml:space="preserve"> and has thus not been considered by the PBAC.</w:t>
      </w:r>
      <w:r w:rsidR="00AB4506">
        <w:t xml:space="preserve"> </w:t>
      </w:r>
      <w:r w:rsidRPr="00790AF1">
        <w:t xml:space="preserve">The characteristics of the individual studies are presented in </w:t>
      </w:r>
      <w:r w:rsidRPr="0079330A">
        <w:t>Appendix</w:t>
      </w:r>
      <w:r w:rsidR="000B683C">
        <w:t xml:space="preserve"> Table 150.</w:t>
      </w:r>
    </w:p>
    <w:p w14:paraId="01F19D44" w14:textId="3266EB2F" w:rsidR="00FB4A7A" w:rsidRDefault="00FB4A7A" w:rsidP="00AB4506">
      <w:pPr>
        <w:pStyle w:val="Caption"/>
        <w:keepNext/>
        <w:spacing w:before="0" w:after="120"/>
        <w:jc w:val="both"/>
      </w:pPr>
      <w:bookmarkStart w:id="71" w:name="_Ref54610904"/>
      <w:r>
        <w:lastRenderedPageBreak/>
        <w:t xml:space="preserve">Table </w:t>
      </w:r>
      <w:r w:rsidR="00BF3F75">
        <w:fldChar w:fldCharType="begin"/>
      </w:r>
      <w:r w:rsidR="00BF3F75">
        <w:instrText xml:space="preserve"> SEQ Table \* ARABIC </w:instrText>
      </w:r>
      <w:r w:rsidR="00BF3F75">
        <w:fldChar w:fldCharType="separate"/>
      </w:r>
      <w:r w:rsidR="00EC5CC7">
        <w:rPr>
          <w:noProof/>
        </w:rPr>
        <w:t>29</w:t>
      </w:r>
      <w:r w:rsidR="00BF3F75">
        <w:rPr>
          <w:noProof/>
        </w:rPr>
        <w:fldChar w:fldCharType="end"/>
      </w:r>
      <w:bookmarkEnd w:id="71"/>
      <w:r>
        <w:t xml:space="preserve">: </w:t>
      </w:r>
      <w:r w:rsidRPr="00A67575">
        <w:t xml:space="preserve">Characteristics of the studies comparing NRT </w:t>
      </w:r>
      <w:r>
        <w:t xml:space="preserve">lozenge or gum with NRT </w:t>
      </w:r>
      <w:r w:rsidRPr="00A67575">
        <w:t>patch</w:t>
      </w:r>
    </w:p>
    <w:tbl>
      <w:tblPr>
        <w:tblStyle w:val="TableGrid"/>
        <w:tblW w:w="5000" w:type="pct"/>
        <w:tblLook w:val="04A0" w:firstRow="1" w:lastRow="0" w:firstColumn="1" w:lastColumn="0" w:noHBand="0" w:noVBand="1"/>
        <w:tblCaption w:val="Efficacy results of adalimumab trials (PASI 75 and DLQI)"/>
      </w:tblPr>
      <w:tblGrid>
        <w:gridCol w:w="893"/>
        <w:gridCol w:w="1113"/>
        <w:gridCol w:w="962"/>
        <w:gridCol w:w="5217"/>
        <w:gridCol w:w="2706"/>
        <w:gridCol w:w="3057"/>
      </w:tblGrid>
      <w:tr w:rsidR="00260CD7" w:rsidRPr="00061F78" w14:paraId="66788F9C" w14:textId="77777777" w:rsidTr="004C2B01">
        <w:trPr>
          <w:trHeight w:val="299"/>
          <w:tblHeader/>
        </w:trPr>
        <w:tc>
          <w:tcPr>
            <w:tcW w:w="320" w:type="pct"/>
            <w:shd w:val="clear" w:color="auto" w:fill="BFBFBF" w:themeFill="background1" w:themeFillShade="BF"/>
            <w:tcMar>
              <w:left w:w="28" w:type="dxa"/>
              <w:right w:w="28" w:type="dxa"/>
            </w:tcMar>
          </w:tcPr>
          <w:p w14:paraId="29FECF4E" w14:textId="7CEB3A23" w:rsidR="00BB2792" w:rsidRPr="00061F78" w:rsidRDefault="00126B7B" w:rsidP="00F207DC">
            <w:pPr>
              <w:pStyle w:val="Tableheading"/>
              <w:rPr>
                <w:rFonts w:eastAsia="MS Mincho"/>
              </w:rPr>
            </w:pPr>
            <w:r>
              <w:rPr>
                <w:rFonts w:eastAsia="MS Mincho"/>
              </w:rPr>
              <w:t>Study</w:t>
            </w:r>
          </w:p>
        </w:tc>
        <w:tc>
          <w:tcPr>
            <w:tcW w:w="399" w:type="pct"/>
            <w:shd w:val="clear" w:color="auto" w:fill="BFBFBF" w:themeFill="background1" w:themeFillShade="BF"/>
          </w:tcPr>
          <w:p w14:paraId="2F63B469" w14:textId="77777777" w:rsidR="00BB2792" w:rsidRDefault="00BB2792" w:rsidP="00F207DC">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14:paraId="1F0CE827" w14:textId="77777777" w:rsidR="00BB2792" w:rsidRPr="00AE21E9" w:rsidRDefault="00BB2792"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870" w:type="pct"/>
            <w:shd w:val="clear" w:color="auto" w:fill="BFBFBF" w:themeFill="background1" w:themeFillShade="BF"/>
            <w:tcMar>
              <w:left w:w="28" w:type="dxa"/>
              <w:right w:w="28" w:type="dxa"/>
            </w:tcMar>
          </w:tcPr>
          <w:p w14:paraId="4D32E8FF" w14:textId="77777777" w:rsidR="00BB2792" w:rsidRPr="00061F78" w:rsidRDefault="00BB2792" w:rsidP="00F207DC">
            <w:pPr>
              <w:pStyle w:val="Tableheading"/>
              <w:jc w:val="center"/>
              <w:rPr>
                <w:rFonts w:eastAsia="MS Mincho"/>
              </w:rPr>
            </w:pPr>
            <w:r w:rsidRPr="00061F78">
              <w:rPr>
                <w:rFonts w:eastAsia="MS Mincho"/>
              </w:rPr>
              <w:t>P</w:t>
            </w:r>
            <w:r>
              <w:rPr>
                <w:rFonts w:eastAsia="MS Mincho"/>
              </w:rPr>
              <w:t>opulation</w:t>
            </w:r>
          </w:p>
        </w:tc>
        <w:tc>
          <w:tcPr>
            <w:tcW w:w="970" w:type="pct"/>
            <w:shd w:val="clear" w:color="auto" w:fill="BFBFBF" w:themeFill="background1" w:themeFillShade="BF"/>
          </w:tcPr>
          <w:p w14:paraId="35216DC2" w14:textId="77777777" w:rsidR="00BB2792" w:rsidRDefault="00BB2792" w:rsidP="00F207DC">
            <w:pPr>
              <w:pStyle w:val="Tableheading"/>
              <w:jc w:val="center"/>
              <w:rPr>
                <w:rFonts w:eastAsia="MS Mincho"/>
              </w:rPr>
            </w:pPr>
            <w:r>
              <w:rPr>
                <w:rFonts w:eastAsia="MS Mincho"/>
              </w:rPr>
              <w:t>Intervention and comparator</w:t>
            </w:r>
          </w:p>
        </w:tc>
        <w:tc>
          <w:tcPr>
            <w:tcW w:w="1096" w:type="pct"/>
            <w:shd w:val="clear" w:color="auto" w:fill="BFBFBF" w:themeFill="background1" w:themeFillShade="BF"/>
            <w:tcMar>
              <w:left w:w="28" w:type="dxa"/>
              <w:right w:w="28" w:type="dxa"/>
            </w:tcMar>
          </w:tcPr>
          <w:p w14:paraId="5E7C6D43" w14:textId="77777777" w:rsidR="00BB2792" w:rsidRPr="00061F78" w:rsidRDefault="00BB2792" w:rsidP="00F207DC">
            <w:pPr>
              <w:pStyle w:val="Tableheading"/>
              <w:jc w:val="center"/>
              <w:rPr>
                <w:rFonts w:eastAsia="MS Mincho"/>
              </w:rPr>
            </w:pPr>
            <w:r>
              <w:rPr>
                <w:rFonts w:eastAsia="MS Mincho"/>
              </w:rPr>
              <w:t>Outcomes</w:t>
            </w:r>
          </w:p>
        </w:tc>
      </w:tr>
      <w:tr w:rsidR="00260CD7" w:rsidRPr="00061F78" w14:paraId="68488A02" w14:textId="77777777" w:rsidTr="00015CD6">
        <w:trPr>
          <w:trHeight w:val="99"/>
        </w:trPr>
        <w:tc>
          <w:tcPr>
            <w:tcW w:w="320" w:type="pct"/>
            <w:shd w:val="clear" w:color="auto" w:fill="D9D9D9" w:themeFill="background1" w:themeFillShade="D9"/>
            <w:tcMar>
              <w:left w:w="28" w:type="dxa"/>
              <w:right w:w="28" w:type="dxa"/>
            </w:tcMar>
          </w:tcPr>
          <w:p w14:paraId="03D9565C" w14:textId="772089A3" w:rsidR="00FF1436" w:rsidRDefault="7F039E10" w:rsidP="00F207DC">
            <w:pPr>
              <w:pStyle w:val="Tablewriting"/>
              <w:rPr>
                <w:rFonts w:eastAsia="MS Mincho"/>
              </w:rPr>
            </w:pPr>
            <w:r>
              <w:rPr>
                <w:rFonts w:eastAsia="MS Mincho"/>
              </w:rPr>
              <w:t>Moolchan (2005)</w:t>
            </w:r>
          </w:p>
        </w:tc>
        <w:tc>
          <w:tcPr>
            <w:tcW w:w="399" w:type="pct"/>
            <w:shd w:val="clear" w:color="auto" w:fill="D9D9D9" w:themeFill="background1" w:themeFillShade="D9"/>
          </w:tcPr>
          <w:p w14:paraId="43D2B3A1" w14:textId="288B9C5B" w:rsidR="00FF1436" w:rsidRDefault="00FF1436"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0EFA27ED" w14:textId="395C2CA8" w:rsidR="00FF1436" w:rsidRDefault="00FF1436" w:rsidP="00F207DC">
            <w:pPr>
              <w:pStyle w:val="Tablewriting"/>
              <w:rPr>
                <w:rFonts w:eastAsia="MS Mincho"/>
              </w:rPr>
            </w:pPr>
            <w:r>
              <w:rPr>
                <w:rFonts w:eastAsia="MS Mincho"/>
              </w:rPr>
              <w:t>N=</w:t>
            </w:r>
            <w:r w:rsidR="00C64EA8">
              <w:rPr>
                <w:rFonts w:eastAsia="MS Mincho"/>
              </w:rPr>
              <w:t>120</w:t>
            </w:r>
          </w:p>
          <w:p w14:paraId="2DDA72E9" w14:textId="5E4A0932" w:rsidR="00FF1436" w:rsidRDefault="00FF1436" w:rsidP="00F207DC">
            <w:pPr>
              <w:pStyle w:val="Tablewriting"/>
              <w:rPr>
                <w:rFonts w:eastAsia="MS Mincho"/>
              </w:rPr>
            </w:pPr>
            <w:r>
              <w:rPr>
                <w:rFonts w:eastAsia="MS Mincho"/>
              </w:rPr>
              <w:t xml:space="preserve">NRT </w:t>
            </w:r>
            <w:r w:rsidR="00C64EA8">
              <w:rPr>
                <w:rFonts w:eastAsia="MS Mincho"/>
              </w:rPr>
              <w:t xml:space="preserve">gum </w:t>
            </w:r>
            <w:r>
              <w:rPr>
                <w:rFonts w:eastAsia="MS Mincho"/>
              </w:rPr>
              <w:t>(n=</w:t>
            </w:r>
            <w:r w:rsidR="00C64EA8">
              <w:rPr>
                <w:rFonts w:eastAsia="MS Mincho"/>
              </w:rPr>
              <w:t>46</w:t>
            </w:r>
            <w:r>
              <w:rPr>
                <w:rFonts w:eastAsia="MS Mincho"/>
              </w:rPr>
              <w:t>),</w:t>
            </w:r>
          </w:p>
          <w:p w14:paraId="054207C6" w14:textId="197928AE" w:rsidR="00FF1436" w:rsidRDefault="00C64EA8" w:rsidP="00F207DC">
            <w:pPr>
              <w:pStyle w:val="Tablewriting"/>
              <w:rPr>
                <w:rFonts w:eastAsia="MS Mincho"/>
              </w:rPr>
            </w:pPr>
            <w:r>
              <w:rPr>
                <w:rFonts w:eastAsia="MS Mincho"/>
              </w:rPr>
              <w:t>NRT patch</w:t>
            </w:r>
            <w:r w:rsidR="00FF1436">
              <w:rPr>
                <w:rFonts w:eastAsia="MS Mincho"/>
              </w:rPr>
              <w:t xml:space="preserve"> (n=</w:t>
            </w:r>
            <w:r>
              <w:rPr>
                <w:rFonts w:eastAsia="MS Mincho"/>
              </w:rPr>
              <w:t>34</w:t>
            </w:r>
            <w:r w:rsidR="00FF1436">
              <w:rPr>
                <w:rFonts w:eastAsia="MS Mincho"/>
              </w:rPr>
              <w:t>)</w:t>
            </w:r>
          </w:p>
        </w:tc>
        <w:tc>
          <w:tcPr>
            <w:tcW w:w="1870" w:type="pct"/>
            <w:shd w:val="clear" w:color="auto" w:fill="D9D9D9" w:themeFill="background1" w:themeFillShade="D9"/>
            <w:tcMar>
              <w:left w:w="28" w:type="dxa"/>
              <w:right w:w="28" w:type="dxa"/>
            </w:tcMar>
          </w:tcPr>
          <w:p w14:paraId="63B5A574" w14:textId="6BD45836" w:rsidR="00FF1436" w:rsidRDefault="00FF1436" w:rsidP="00F207DC">
            <w:pPr>
              <w:pStyle w:val="Tablewriting"/>
              <w:rPr>
                <w:rFonts w:eastAsia="MS Mincho"/>
              </w:rPr>
            </w:pPr>
            <w:r w:rsidRPr="007F28D7">
              <w:rPr>
                <w:rFonts w:eastAsia="MS Mincho"/>
                <w:u w:val="single"/>
              </w:rPr>
              <w:t>Inclusion</w:t>
            </w:r>
            <w:r>
              <w:rPr>
                <w:rFonts w:eastAsia="MS Mincho"/>
              </w:rPr>
              <w:t xml:space="preserve">: </w:t>
            </w:r>
            <w:r w:rsidR="00C64ED4" w:rsidRPr="00C64ED4">
              <w:rPr>
                <w:rFonts w:eastAsia="MS Mincho"/>
              </w:rPr>
              <w:t>13</w:t>
            </w:r>
            <w:r w:rsidR="00C64ED4">
              <w:rPr>
                <w:rFonts w:eastAsia="MS Mincho"/>
              </w:rPr>
              <w:t>-</w:t>
            </w:r>
            <w:r w:rsidR="00C64ED4" w:rsidRPr="00C64ED4">
              <w:rPr>
                <w:rFonts w:eastAsia="MS Mincho"/>
              </w:rPr>
              <w:t xml:space="preserve">17 years </w:t>
            </w:r>
            <w:r w:rsidR="00392F95">
              <w:rPr>
                <w:rFonts w:eastAsia="MS Mincho"/>
              </w:rPr>
              <w:t>old,</w:t>
            </w:r>
            <w:r w:rsidR="00C64ED4" w:rsidRPr="00C64ED4">
              <w:rPr>
                <w:rFonts w:eastAsia="MS Mincho"/>
              </w:rPr>
              <w:t xml:space="preserve"> </w:t>
            </w:r>
            <w:r w:rsidR="00C64ED4">
              <w:rPr>
                <w:rFonts w:eastAsia="MS Mincho" w:cstheme="minorHAnsi"/>
              </w:rPr>
              <w:t>≥</w:t>
            </w:r>
            <w:r w:rsidR="00C64ED4" w:rsidRPr="00C64ED4">
              <w:rPr>
                <w:rFonts w:eastAsia="MS Mincho"/>
              </w:rPr>
              <w:t xml:space="preserve">10 CPD for </w:t>
            </w:r>
            <w:r w:rsidR="00C64ED4">
              <w:rPr>
                <w:rFonts w:eastAsia="MS Mincho" w:cstheme="minorHAnsi"/>
              </w:rPr>
              <w:t>≥</w:t>
            </w:r>
            <w:r w:rsidR="00C64ED4" w:rsidRPr="00C64ED4">
              <w:rPr>
                <w:rFonts w:eastAsia="MS Mincho"/>
              </w:rPr>
              <w:t>6 months,</w:t>
            </w:r>
            <w:r w:rsidR="0074346D">
              <w:rPr>
                <w:rFonts w:eastAsia="MS Mincho"/>
              </w:rPr>
              <w:t xml:space="preserve"> a</w:t>
            </w:r>
            <w:r w:rsidR="00C64ED4" w:rsidRPr="00C64ED4">
              <w:rPr>
                <w:rFonts w:eastAsia="MS Mincho"/>
              </w:rPr>
              <w:t xml:space="preserve"> minimal score</w:t>
            </w:r>
            <w:r w:rsidR="00C64ED4">
              <w:rPr>
                <w:rFonts w:eastAsia="MS Mincho"/>
              </w:rPr>
              <w:t xml:space="preserve"> </w:t>
            </w:r>
            <w:r w:rsidR="00C64ED4" w:rsidRPr="00C64ED4">
              <w:rPr>
                <w:rFonts w:eastAsia="MS Mincho"/>
              </w:rPr>
              <w:t xml:space="preserve">of 5 on the </w:t>
            </w:r>
            <w:r w:rsidR="004C4EA7" w:rsidRPr="00C64ED4">
              <w:rPr>
                <w:rFonts w:eastAsia="MS Mincho"/>
              </w:rPr>
              <w:t>Fagerstrӧm</w:t>
            </w:r>
            <w:r w:rsidR="00C64ED4" w:rsidRPr="00C64ED4">
              <w:rPr>
                <w:rFonts w:eastAsia="MS Mincho"/>
              </w:rPr>
              <w:t xml:space="preserve"> Test of Nicotine Depende</w:t>
            </w:r>
            <w:r w:rsidR="0074346D">
              <w:rPr>
                <w:rFonts w:eastAsia="MS Mincho"/>
              </w:rPr>
              <w:t xml:space="preserve">nce, </w:t>
            </w:r>
            <w:r w:rsidR="00C64ED4" w:rsidRPr="00C64ED4">
              <w:rPr>
                <w:rFonts w:eastAsia="MS Mincho"/>
              </w:rPr>
              <w:t>motivated to stop smoking</w:t>
            </w:r>
            <w:r w:rsidR="00AB5FA3">
              <w:rPr>
                <w:rFonts w:eastAsia="MS Mincho"/>
              </w:rPr>
              <w:t>.</w:t>
            </w:r>
          </w:p>
          <w:p w14:paraId="5130FA11" w14:textId="6D791D7B" w:rsidR="00FF1436" w:rsidRPr="007F28D7" w:rsidRDefault="00FF1436" w:rsidP="00F207DC">
            <w:pPr>
              <w:pStyle w:val="Tablewriting"/>
              <w:rPr>
                <w:rFonts w:eastAsia="MS Mincho"/>
                <w:u w:val="single"/>
              </w:rPr>
            </w:pPr>
            <w:r w:rsidRPr="007F28D7">
              <w:rPr>
                <w:rFonts w:eastAsia="MS Mincho"/>
                <w:u w:val="single"/>
              </w:rPr>
              <w:t>Exclusion</w:t>
            </w:r>
            <w:r>
              <w:rPr>
                <w:rFonts w:eastAsia="MS Mincho"/>
              </w:rPr>
              <w:t xml:space="preserve">: </w:t>
            </w:r>
            <w:r w:rsidR="008501EE">
              <w:rPr>
                <w:rFonts w:eastAsia="MS Mincho"/>
              </w:rPr>
              <w:t>p</w:t>
            </w:r>
            <w:r w:rsidR="008501EE" w:rsidRPr="008501EE">
              <w:rPr>
                <w:rFonts w:eastAsia="MS Mincho"/>
              </w:rPr>
              <w:t>regnancy,</w:t>
            </w:r>
            <w:r w:rsidR="008501EE">
              <w:rPr>
                <w:rFonts w:eastAsia="MS Mincho"/>
              </w:rPr>
              <w:t xml:space="preserve"> </w:t>
            </w:r>
            <w:r w:rsidR="008501EE" w:rsidRPr="008501EE">
              <w:rPr>
                <w:rFonts w:eastAsia="MS Mincho"/>
              </w:rPr>
              <w:t>lactation, chronic skin conditions, use of other tobacco</w:t>
            </w:r>
            <w:r w:rsidR="008501EE">
              <w:rPr>
                <w:rFonts w:eastAsia="MS Mincho"/>
              </w:rPr>
              <w:t xml:space="preserve"> </w:t>
            </w:r>
            <w:r w:rsidR="008501EE" w:rsidRPr="008501EE">
              <w:rPr>
                <w:rFonts w:eastAsia="MS Mincho"/>
              </w:rPr>
              <w:t>products, and current use (within the past 30 days) of medications</w:t>
            </w:r>
            <w:r w:rsidR="008501EE">
              <w:rPr>
                <w:rFonts w:eastAsia="MS Mincho"/>
              </w:rPr>
              <w:t xml:space="preserve"> </w:t>
            </w:r>
            <w:r w:rsidR="008501EE" w:rsidRPr="008501EE">
              <w:rPr>
                <w:rFonts w:eastAsia="MS Mincho"/>
              </w:rPr>
              <w:t>for smoking cessation (</w:t>
            </w:r>
            <w:r w:rsidR="004C4EA7" w:rsidRPr="008501EE">
              <w:rPr>
                <w:rFonts w:eastAsia="MS Mincho"/>
              </w:rPr>
              <w:t>e</w:t>
            </w:r>
            <w:r w:rsidR="004C4EA7">
              <w:rPr>
                <w:rFonts w:eastAsia="MS Mincho"/>
              </w:rPr>
              <w:t>.</w:t>
            </w:r>
            <w:r w:rsidR="004C4EA7" w:rsidRPr="008501EE">
              <w:rPr>
                <w:rFonts w:eastAsia="MS Mincho"/>
              </w:rPr>
              <w:t>g</w:t>
            </w:r>
            <w:r w:rsidR="004C4EA7">
              <w:rPr>
                <w:rFonts w:eastAsia="MS Mincho"/>
              </w:rPr>
              <w:t>.,</w:t>
            </w:r>
            <w:r w:rsidR="008501EE" w:rsidRPr="008501EE">
              <w:rPr>
                <w:rFonts w:eastAsia="MS Mincho"/>
              </w:rPr>
              <w:t xml:space="preserve"> NRT or bupropion)</w:t>
            </w:r>
            <w:r w:rsidR="009E1A65">
              <w:rPr>
                <w:rFonts w:eastAsia="MS Mincho"/>
              </w:rPr>
              <w:t>; d</w:t>
            </w:r>
            <w:r w:rsidR="008501EE" w:rsidRPr="008501EE">
              <w:rPr>
                <w:rFonts w:eastAsia="MS Mincho"/>
              </w:rPr>
              <w:t>rug or alcohol dependence other than nicotine and</w:t>
            </w:r>
            <w:r w:rsidR="009E1A65">
              <w:rPr>
                <w:rFonts w:eastAsia="MS Mincho"/>
              </w:rPr>
              <w:t xml:space="preserve"> </w:t>
            </w:r>
            <w:r w:rsidR="008501EE" w:rsidRPr="008501EE">
              <w:rPr>
                <w:rFonts w:eastAsia="MS Mincho"/>
              </w:rPr>
              <w:t>current mania, psychosis, and acute depression, according to the</w:t>
            </w:r>
            <w:r w:rsidR="009E1A65">
              <w:rPr>
                <w:rFonts w:eastAsia="MS Mincho"/>
              </w:rPr>
              <w:t xml:space="preserve"> </w:t>
            </w:r>
            <w:r w:rsidR="008501EE" w:rsidRPr="008501EE">
              <w:rPr>
                <w:rFonts w:eastAsia="MS Mincho"/>
              </w:rPr>
              <w:t>Diagnostic Interview of Children and Adolescents, which was</w:t>
            </w:r>
            <w:r w:rsidR="00FC5A21">
              <w:rPr>
                <w:rFonts w:eastAsia="MS Mincho"/>
              </w:rPr>
              <w:t xml:space="preserve"> </w:t>
            </w:r>
            <w:r w:rsidR="008501EE" w:rsidRPr="008501EE">
              <w:rPr>
                <w:rFonts w:eastAsia="MS Mincho"/>
              </w:rPr>
              <w:t>based on the Diagnostic and Statistical Manual of Mental Disorders,</w:t>
            </w:r>
            <w:r w:rsidR="00FC5A21">
              <w:rPr>
                <w:rFonts w:eastAsia="MS Mincho"/>
              </w:rPr>
              <w:t xml:space="preserve"> </w:t>
            </w:r>
            <w:r w:rsidR="008501EE" w:rsidRPr="008501EE">
              <w:rPr>
                <w:rFonts w:eastAsia="MS Mincho"/>
              </w:rPr>
              <w:t>Fourth Edition</w:t>
            </w:r>
            <w:r w:rsidR="00FC5A21">
              <w:rPr>
                <w:rFonts w:eastAsia="MS Mincho"/>
              </w:rPr>
              <w:t>.</w:t>
            </w:r>
          </w:p>
        </w:tc>
        <w:tc>
          <w:tcPr>
            <w:tcW w:w="970" w:type="pct"/>
            <w:shd w:val="clear" w:color="auto" w:fill="D9D9D9" w:themeFill="background1" w:themeFillShade="D9"/>
          </w:tcPr>
          <w:p w14:paraId="0BC43CAB" w14:textId="2674D07B" w:rsidR="00FF1436" w:rsidRDefault="00FF1436" w:rsidP="00F207DC">
            <w:pPr>
              <w:pStyle w:val="Tablewriting"/>
              <w:rPr>
                <w:rFonts w:eastAsia="MS Mincho"/>
              </w:rPr>
            </w:pPr>
            <w:r w:rsidRPr="00C5551B">
              <w:rPr>
                <w:rFonts w:eastAsia="MS Mincho"/>
              </w:rPr>
              <w:t>NRT</w:t>
            </w:r>
            <w:r w:rsidR="0055007B">
              <w:rPr>
                <w:rFonts w:eastAsia="MS Mincho"/>
              </w:rPr>
              <w:t xml:space="preserve"> gum</w:t>
            </w:r>
            <w:r w:rsidRPr="00C5551B">
              <w:rPr>
                <w:rFonts w:eastAsia="MS Mincho"/>
              </w:rPr>
              <w:t xml:space="preserve">: </w:t>
            </w:r>
            <w:r w:rsidR="009B45B1" w:rsidRPr="009B45B1">
              <w:rPr>
                <w:rFonts w:eastAsia="MS Mincho"/>
              </w:rPr>
              <w:t>4</w:t>
            </w:r>
            <w:r w:rsidR="009B2D79">
              <w:rPr>
                <w:rFonts w:eastAsia="MS Mincho"/>
              </w:rPr>
              <w:t xml:space="preserve"> </w:t>
            </w:r>
            <w:r w:rsidR="009B45B1" w:rsidRPr="009B45B1">
              <w:rPr>
                <w:rFonts w:eastAsia="MS Mincho"/>
              </w:rPr>
              <w:t>mg or 2</w:t>
            </w:r>
            <w:r w:rsidR="009B2D79">
              <w:rPr>
                <w:rFonts w:eastAsia="MS Mincho"/>
              </w:rPr>
              <w:t xml:space="preserve"> </w:t>
            </w:r>
            <w:r w:rsidR="009B45B1" w:rsidRPr="009B45B1">
              <w:rPr>
                <w:rFonts w:eastAsia="MS Mincho"/>
              </w:rPr>
              <w:t xml:space="preserve">mg </w:t>
            </w:r>
            <w:r w:rsidR="009B45B1">
              <w:rPr>
                <w:rFonts w:eastAsia="MS Mincho"/>
              </w:rPr>
              <w:t>(</w:t>
            </w:r>
            <w:r w:rsidR="009B45B1" w:rsidRPr="009B45B1">
              <w:rPr>
                <w:rFonts w:eastAsia="MS Mincho"/>
              </w:rPr>
              <w:t>for &lt;24 c</w:t>
            </w:r>
            <w:r w:rsidR="00746468">
              <w:rPr>
                <w:rFonts w:eastAsia="MS Mincho"/>
              </w:rPr>
              <w:t>igarettes/</w:t>
            </w:r>
            <w:r w:rsidR="009B45B1" w:rsidRPr="009B45B1">
              <w:rPr>
                <w:rFonts w:eastAsia="MS Mincho"/>
              </w:rPr>
              <w:t>d</w:t>
            </w:r>
            <w:r w:rsidR="00746468">
              <w:rPr>
                <w:rFonts w:eastAsia="MS Mincho"/>
              </w:rPr>
              <w:t>ay</w:t>
            </w:r>
            <w:r w:rsidR="009B45B1" w:rsidRPr="009B45B1">
              <w:rPr>
                <w:rFonts w:eastAsia="MS Mincho"/>
              </w:rPr>
              <w:t>) for 6 w</w:t>
            </w:r>
            <w:r w:rsidR="009B45B1">
              <w:rPr>
                <w:rFonts w:eastAsia="MS Mincho"/>
              </w:rPr>
              <w:t>ee</w:t>
            </w:r>
            <w:r w:rsidR="009B45B1" w:rsidRPr="009B45B1">
              <w:rPr>
                <w:rFonts w:eastAsia="MS Mincho"/>
              </w:rPr>
              <w:t>ks + placebo patch</w:t>
            </w:r>
            <w:r w:rsidR="002A7957">
              <w:rPr>
                <w:rFonts w:eastAsia="MS Mincho"/>
              </w:rPr>
              <w:t>;</w:t>
            </w:r>
            <w:r w:rsidR="008C1099">
              <w:rPr>
                <w:rFonts w:eastAsia="MS Mincho"/>
              </w:rPr>
              <w:t xml:space="preserve"> </w:t>
            </w:r>
            <w:r w:rsidR="0055007B">
              <w:rPr>
                <w:rFonts w:eastAsia="MS Mincho"/>
              </w:rPr>
              <w:t>NRT patch</w:t>
            </w:r>
            <w:r w:rsidRPr="00C5551B">
              <w:rPr>
                <w:rFonts w:eastAsia="MS Mincho"/>
              </w:rPr>
              <w:t xml:space="preserve">: </w:t>
            </w:r>
            <w:r w:rsidR="001F7D24" w:rsidRPr="001F7D24">
              <w:rPr>
                <w:rFonts w:eastAsia="MS Mincho"/>
              </w:rPr>
              <w:t>21</w:t>
            </w:r>
            <w:r w:rsidR="009B2D79">
              <w:rPr>
                <w:rFonts w:eastAsia="MS Mincho"/>
              </w:rPr>
              <w:t xml:space="preserve"> </w:t>
            </w:r>
            <w:r w:rsidR="001F7D24" w:rsidRPr="001F7D24">
              <w:rPr>
                <w:rFonts w:eastAsia="MS Mincho"/>
              </w:rPr>
              <w:t>mg, or 14</w:t>
            </w:r>
            <w:r w:rsidR="009B2D79">
              <w:rPr>
                <w:rFonts w:eastAsia="MS Mincho"/>
              </w:rPr>
              <w:t xml:space="preserve"> </w:t>
            </w:r>
            <w:r w:rsidR="001F7D24" w:rsidRPr="001F7D24">
              <w:rPr>
                <w:rFonts w:eastAsia="MS Mincho"/>
              </w:rPr>
              <w:t xml:space="preserve">mg </w:t>
            </w:r>
            <w:r w:rsidR="001F7D24">
              <w:rPr>
                <w:rFonts w:eastAsia="MS Mincho"/>
              </w:rPr>
              <w:t>(</w:t>
            </w:r>
            <w:r w:rsidR="001F7D24" w:rsidRPr="001F7D24">
              <w:rPr>
                <w:rFonts w:eastAsia="MS Mincho"/>
              </w:rPr>
              <w:t>for &lt;20 c</w:t>
            </w:r>
            <w:r w:rsidR="00B815D1">
              <w:rPr>
                <w:rFonts w:eastAsia="MS Mincho"/>
              </w:rPr>
              <w:t>igarettes/</w:t>
            </w:r>
            <w:r w:rsidR="001F7D24" w:rsidRPr="001F7D24">
              <w:rPr>
                <w:rFonts w:eastAsia="MS Mincho"/>
              </w:rPr>
              <w:t>d</w:t>
            </w:r>
            <w:r w:rsidR="00B815D1">
              <w:rPr>
                <w:rFonts w:eastAsia="MS Mincho"/>
              </w:rPr>
              <w:t>ay</w:t>
            </w:r>
            <w:r w:rsidR="001F7D24" w:rsidRPr="001F7D24">
              <w:rPr>
                <w:rFonts w:eastAsia="MS Mincho"/>
              </w:rPr>
              <w:t>) for 6 w</w:t>
            </w:r>
            <w:r w:rsidR="001F7D24">
              <w:rPr>
                <w:rFonts w:eastAsia="MS Mincho"/>
              </w:rPr>
              <w:t>ee</w:t>
            </w:r>
            <w:r w:rsidR="001F7D24" w:rsidRPr="001F7D24">
              <w:rPr>
                <w:rFonts w:eastAsia="MS Mincho"/>
              </w:rPr>
              <w:t>ks +</w:t>
            </w:r>
            <w:r w:rsidR="00B815D1">
              <w:rPr>
                <w:rFonts w:eastAsia="MS Mincho"/>
              </w:rPr>
              <w:t xml:space="preserve"> </w:t>
            </w:r>
            <w:r w:rsidR="001F7D24" w:rsidRPr="001F7D24">
              <w:rPr>
                <w:rFonts w:eastAsia="MS Mincho"/>
              </w:rPr>
              <w:t>placebo gum</w:t>
            </w:r>
            <w:r w:rsidR="00AB5FA3">
              <w:rPr>
                <w:rFonts w:eastAsia="MS Mincho"/>
              </w:rPr>
              <w:t>.</w:t>
            </w:r>
          </w:p>
          <w:p w14:paraId="097C055D" w14:textId="77777777" w:rsidR="006A3769" w:rsidRDefault="006A3769" w:rsidP="00F207DC">
            <w:pPr>
              <w:pStyle w:val="Tablewriting"/>
              <w:rPr>
                <w:rFonts w:eastAsia="MS Mincho"/>
              </w:rPr>
            </w:pPr>
          </w:p>
          <w:p w14:paraId="5EF62E6C" w14:textId="753F3A7B" w:rsidR="006A3769" w:rsidRPr="00C5551B" w:rsidRDefault="006A3769" w:rsidP="00F207DC">
            <w:pPr>
              <w:pStyle w:val="Tablewriting"/>
              <w:rPr>
                <w:rFonts w:eastAsia="MS Mincho"/>
              </w:rPr>
            </w:pPr>
            <w:r w:rsidRPr="006A3769">
              <w:rPr>
                <w:rFonts w:eastAsia="MS Mincho"/>
              </w:rPr>
              <w:t>Behavioural support provided in both arms.</w:t>
            </w:r>
          </w:p>
        </w:tc>
        <w:tc>
          <w:tcPr>
            <w:tcW w:w="1096" w:type="pct"/>
            <w:shd w:val="clear" w:color="auto" w:fill="D9D9D9" w:themeFill="background1" w:themeFillShade="D9"/>
            <w:tcMar>
              <w:left w:w="28" w:type="dxa"/>
              <w:right w:w="28" w:type="dxa"/>
            </w:tcMar>
          </w:tcPr>
          <w:p w14:paraId="4048BA46" w14:textId="6A6ECF9B" w:rsidR="00FF1436" w:rsidRDefault="00FF1436" w:rsidP="00F207DC">
            <w:pPr>
              <w:pStyle w:val="Tablewriting"/>
              <w:rPr>
                <w:rFonts w:eastAsia="MS Mincho"/>
              </w:rPr>
            </w:pPr>
            <w:r w:rsidRPr="008C39E4">
              <w:rPr>
                <w:rFonts w:eastAsia="MS Mincho"/>
                <w:u w:val="single"/>
              </w:rPr>
              <w:t>Primary</w:t>
            </w:r>
            <w:r>
              <w:rPr>
                <w:rFonts w:eastAsia="MS Mincho"/>
              </w:rPr>
              <w:t xml:space="preserve">: </w:t>
            </w:r>
            <w:r w:rsidR="009F0D06">
              <w:rPr>
                <w:rFonts w:eastAsia="MS Mincho"/>
              </w:rPr>
              <w:t>Adverse events measured during treatment visits</w:t>
            </w:r>
            <w:r w:rsidR="00AB5FA3">
              <w:rPr>
                <w:rFonts w:eastAsia="MS Mincho"/>
              </w:rPr>
              <w:t>.</w:t>
            </w:r>
          </w:p>
          <w:p w14:paraId="255FD3AE" w14:textId="53B76783" w:rsidR="00FF1436" w:rsidRPr="008016A3" w:rsidRDefault="00FF1436" w:rsidP="00F207DC">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 xml:space="preserve">CO-validated </w:t>
            </w:r>
            <w:r w:rsidR="00761761">
              <w:rPr>
                <w:rFonts w:eastAsia="MS Mincho"/>
              </w:rPr>
              <w:t>prolonged abstinence at 3 months</w:t>
            </w:r>
            <w:r w:rsidRPr="005B56AA">
              <w:rPr>
                <w:rFonts w:eastAsia="MS Mincho"/>
              </w:rPr>
              <w:t xml:space="preserve">; 7-day PPA at </w:t>
            </w:r>
            <w:r w:rsidR="00D562FA">
              <w:rPr>
                <w:rFonts w:eastAsia="MS Mincho"/>
              </w:rPr>
              <w:t>w</w:t>
            </w:r>
            <w:r w:rsidR="00605BCD">
              <w:rPr>
                <w:rFonts w:eastAsia="MS Mincho"/>
              </w:rPr>
              <w:t xml:space="preserve">eek 1, </w:t>
            </w:r>
            <w:r w:rsidR="00D562FA">
              <w:rPr>
                <w:rFonts w:eastAsia="MS Mincho"/>
              </w:rPr>
              <w:t>w</w:t>
            </w:r>
            <w:r>
              <w:rPr>
                <w:rFonts w:eastAsia="MS Mincho"/>
              </w:rPr>
              <w:t>eek</w:t>
            </w:r>
            <w:r w:rsidRPr="005B56AA">
              <w:rPr>
                <w:rFonts w:eastAsia="MS Mincho"/>
              </w:rPr>
              <w:t xml:space="preserve"> </w:t>
            </w:r>
            <w:r w:rsidR="001C2260">
              <w:rPr>
                <w:rFonts w:eastAsia="MS Mincho"/>
              </w:rPr>
              <w:t>12</w:t>
            </w:r>
            <w:r w:rsidRPr="005B56AA">
              <w:rPr>
                <w:rFonts w:eastAsia="MS Mincho"/>
              </w:rPr>
              <w:t xml:space="preserve"> and </w:t>
            </w:r>
            <w:r w:rsidR="001B60D5">
              <w:rPr>
                <w:rFonts w:eastAsia="MS Mincho"/>
              </w:rPr>
              <w:t>26</w:t>
            </w:r>
            <w:r w:rsidR="006B760C">
              <w:rPr>
                <w:rFonts w:eastAsia="MS Mincho"/>
              </w:rPr>
              <w:t xml:space="preserve">. </w:t>
            </w:r>
            <w:r w:rsidR="007D12BF">
              <w:rPr>
                <w:rFonts w:eastAsia="MS Mincho"/>
              </w:rPr>
              <w:t xml:space="preserve">Validated by CO </w:t>
            </w:r>
            <w:r w:rsidR="007D12BF">
              <w:rPr>
                <w:rFonts w:eastAsia="MS Mincho" w:cstheme="minorHAnsi"/>
              </w:rPr>
              <w:t>≤</w:t>
            </w:r>
            <w:r w:rsidR="00F85B83">
              <w:rPr>
                <w:rFonts w:eastAsia="MS Mincho"/>
              </w:rPr>
              <w:t>6</w:t>
            </w:r>
            <w:r w:rsidR="009B2D79">
              <w:rPr>
                <w:rFonts w:eastAsia="MS Mincho"/>
              </w:rPr>
              <w:t xml:space="preserve"> </w:t>
            </w:r>
            <w:r w:rsidR="007D12BF">
              <w:rPr>
                <w:rFonts w:eastAsia="MS Mincho"/>
              </w:rPr>
              <w:t>ppm.</w:t>
            </w:r>
          </w:p>
        </w:tc>
      </w:tr>
      <w:tr w:rsidR="00260CD7" w:rsidRPr="00061F78" w14:paraId="38898075" w14:textId="77777777" w:rsidTr="00015CD6">
        <w:trPr>
          <w:trHeight w:val="99"/>
        </w:trPr>
        <w:tc>
          <w:tcPr>
            <w:tcW w:w="320" w:type="pct"/>
            <w:shd w:val="clear" w:color="auto" w:fill="D9D9D9" w:themeFill="background1" w:themeFillShade="D9"/>
            <w:tcMar>
              <w:left w:w="28" w:type="dxa"/>
              <w:right w:w="28" w:type="dxa"/>
            </w:tcMar>
          </w:tcPr>
          <w:p w14:paraId="52DF455B" w14:textId="2C865DE2" w:rsidR="00FF1436" w:rsidRDefault="0A6C8F35" w:rsidP="00F207DC">
            <w:pPr>
              <w:pStyle w:val="Tablewriting"/>
              <w:rPr>
                <w:rFonts w:eastAsia="MS Mincho"/>
              </w:rPr>
            </w:pPr>
            <w:r>
              <w:rPr>
                <w:rFonts w:eastAsia="MS Mincho"/>
              </w:rPr>
              <w:t>Piper (2009)</w:t>
            </w:r>
          </w:p>
        </w:tc>
        <w:tc>
          <w:tcPr>
            <w:tcW w:w="399" w:type="pct"/>
            <w:shd w:val="clear" w:color="auto" w:fill="D9D9D9" w:themeFill="background1" w:themeFillShade="D9"/>
          </w:tcPr>
          <w:p w14:paraId="5A74964A" w14:textId="6E6DF5B6" w:rsidR="00FF1436" w:rsidRDefault="00FF1436"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0B783291" w14:textId="0919FAE6" w:rsidR="00FF1436" w:rsidRDefault="00FF1436" w:rsidP="00F207DC">
            <w:pPr>
              <w:pStyle w:val="Tablewriting"/>
              <w:rPr>
                <w:rFonts w:eastAsia="MS Mincho"/>
              </w:rPr>
            </w:pPr>
            <w:r>
              <w:rPr>
                <w:rFonts w:eastAsia="MS Mincho"/>
              </w:rPr>
              <w:t>N=</w:t>
            </w:r>
            <w:r w:rsidR="00E83992">
              <w:rPr>
                <w:rFonts w:eastAsia="MS Mincho"/>
              </w:rPr>
              <w:t>1,504</w:t>
            </w:r>
          </w:p>
          <w:p w14:paraId="1D38AA70" w14:textId="7CFF0C22" w:rsidR="00FF1436" w:rsidRDefault="00FF1436" w:rsidP="00F207DC">
            <w:pPr>
              <w:pStyle w:val="Tablewriting"/>
              <w:rPr>
                <w:rFonts w:eastAsia="MS Mincho"/>
              </w:rPr>
            </w:pPr>
            <w:r>
              <w:rPr>
                <w:rFonts w:eastAsia="MS Mincho"/>
              </w:rPr>
              <w:t xml:space="preserve">NRT </w:t>
            </w:r>
            <w:r w:rsidR="009B0BCB">
              <w:rPr>
                <w:rFonts w:eastAsia="MS Mincho"/>
              </w:rPr>
              <w:t xml:space="preserve">lozenge </w:t>
            </w:r>
            <w:r>
              <w:rPr>
                <w:rFonts w:eastAsia="MS Mincho"/>
              </w:rPr>
              <w:t>(n=</w:t>
            </w:r>
            <w:r w:rsidR="009B0BCB">
              <w:rPr>
                <w:rFonts w:eastAsia="MS Mincho"/>
              </w:rPr>
              <w:t>260</w:t>
            </w:r>
            <w:r>
              <w:rPr>
                <w:rFonts w:eastAsia="MS Mincho"/>
              </w:rPr>
              <w:t>),</w:t>
            </w:r>
          </w:p>
          <w:p w14:paraId="45B673BE" w14:textId="6D8B7200" w:rsidR="00FF1436" w:rsidRDefault="009B0BCB" w:rsidP="00F207DC">
            <w:pPr>
              <w:pStyle w:val="Tablewriting"/>
              <w:rPr>
                <w:rFonts w:eastAsia="MS Mincho"/>
              </w:rPr>
            </w:pPr>
            <w:r>
              <w:rPr>
                <w:rFonts w:eastAsia="MS Mincho"/>
              </w:rPr>
              <w:t>NRT patch</w:t>
            </w:r>
            <w:r w:rsidR="00FF1436">
              <w:rPr>
                <w:rFonts w:eastAsia="MS Mincho"/>
              </w:rPr>
              <w:t xml:space="preserve"> (n=</w:t>
            </w:r>
            <w:r>
              <w:rPr>
                <w:rFonts w:eastAsia="MS Mincho"/>
              </w:rPr>
              <w:t>262</w:t>
            </w:r>
            <w:r w:rsidR="00FF1436">
              <w:rPr>
                <w:rFonts w:eastAsia="MS Mincho"/>
              </w:rPr>
              <w:t>)</w:t>
            </w:r>
          </w:p>
        </w:tc>
        <w:tc>
          <w:tcPr>
            <w:tcW w:w="1870" w:type="pct"/>
            <w:shd w:val="clear" w:color="auto" w:fill="D9D9D9" w:themeFill="background1" w:themeFillShade="D9"/>
            <w:tcMar>
              <w:left w:w="28" w:type="dxa"/>
              <w:right w:w="28" w:type="dxa"/>
            </w:tcMar>
          </w:tcPr>
          <w:p w14:paraId="03831838" w14:textId="74F7E0A0" w:rsidR="00FF1436" w:rsidRPr="00392F95" w:rsidRDefault="00392F95" w:rsidP="00F207DC">
            <w:pPr>
              <w:pStyle w:val="Tablewriting"/>
              <w:rPr>
                <w:rFonts w:eastAsia="MS Mincho"/>
              </w:rPr>
            </w:pPr>
            <w:r>
              <w:rPr>
                <w:rFonts w:eastAsia="MS Mincho"/>
              </w:rPr>
              <w:t xml:space="preserve">See </w:t>
            </w:r>
            <w:r>
              <w:rPr>
                <w:rFonts w:eastAsia="MS Mincho"/>
              </w:rPr>
              <w:fldChar w:fldCharType="begin" w:fldLock="1"/>
            </w:r>
            <w:r>
              <w:rPr>
                <w:rFonts w:eastAsia="MS Mincho"/>
              </w:rPr>
              <w:instrText xml:space="preserve"> REF _Ref53145128 \h </w:instrText>
            </w:r>
            <w:r w:rsidR="00584A53">
              <w:rPr>
                <w:rFonts w:eastAsia="MS Mincho"/>
              </w:rPr>
              <w:instrText xml:space="preserve"> \* MERGEFORMAT </w:instrText>
            </w:r>
            <w:r>
              <w:rPr>
                <w:rFonts w:eastAsia="MS Mincho"/>
              </w:rPr>
            </w:r>
            <w:r>
              <w:rPr>
                <w:rFonts w:eastAsia="MS Mincho"/>
              </w:rPr>
              <w:fldChar w:fldCharType="separate"/>
            </w:r>
            <w:r w:rsidR="00EC5CC7">
              <w:t xml:space="preserve">Table </w:t>
            </w:r>
            <w:r w:rsidR="00EC5CC7">
              <w:rPr>
                <w:noProof/>
              </w:rPr>
              <w:t>10</w:t>
            </w:r>
            <w:r>
              <w:rPr>
                <w:rFonts w:eastAsia="MS Mincho"/>
              </w:rPr>
              <w:fldChar w:fldCharType="end"/>
            </w:r>
            <w:r>
              <w:rPr>
                <w:rFonts w:eastAsia="MS Mincho"/>
              </w:rPr>
              <w:t xml:space="preserve"> for inclusion and exclusion criteria of this study</w:t>
            </w:r>
            <w:r w:rsidR="00AB5FA3">
              <w:rPr>
                <w:rFonts w:eastAsia="MS Mincho"/>
              </w:rPr>
              <w:t>.</w:t>
            </w:r>
          </w:p>
        </w:tc>
        <w:tc>
          <w:tcPr>
            <w:tcW w:w="970" w:type="pct"/>
            <w:shd w:val="clear" w:color="auto" w:fill="D9D9D9" w:themeFill="background1" w:themeFillShade="D9"/>
          </w:tcPr>
          <w:p w14:paraId="0687A170" w14:textId="23F64319" w:rsidR="00FF1436" w:rsidRDefault="00FF1436" w:rsidP="00F207DC">
            <w:pPr>
              <w:pStyle w:val="Tablewriting"/>
              <w:rPr>
                <w:rFonts w:eastAsia="MS Mincho"/>
              </w:rPr>
            </w:pPr>
            <w:r w:rsidRPr="00C5551B">
              <w:rPr>
                <w:rFonts w:eastAsia="MS Mincho"/>
              </w:rPr>
              <w:t>NRT</w:t>
            </w:r>
            <w:r w:rsidR="007E12F0">
              <w:rPr>
                <w:rFonts w:eastAsia="MS Mincho"/>
              </w:rPr>
              <w:t xml:space="preserve"> lozenge</w:t>
            </w:r>
            <w:r w:rsidRPr="00C5551B">
              <w:rPr>
                <w:rFonts w:eastAsia="MS Mincho"/>
              </w:rPr>
              <w:t xml:space="preserve">: </w:t>
            </w:r>
            <w:r w:rsidR="003B43BA" w:rsidRPr="003B43BA">
              <w:rPr>
                <w:rFonts w:eastAsia="MS Mincho"/>
              </w:rPr>
              <w:t>2</w:t>
            </w:r>
            <w:r w:rsidR="009B2D79">
              <w:rPr>
                <w:rFonts w:eastAsia="MS Mincho"/>
              </w:rPr>
              <w:t xml:space="preserve"> </w:t>
            </w:r>
            <w:r w:rsidR="002F5A52">
              <w:rPr>
                <w:rFonts w:eastAsia="MS Mincho"/>
              </w:rPr>
              <w:t>mg</w:t>
            </w:r>
            <w:r w:rsidR="003B43BA" w:rsidRPr="003B43BA">
              <w:rPr>
                <w:rFonts w:eastAsia="MS Mincho"/>
              </w:rPr>
              <w:t xml:space="preserve"> or 4</w:t>
            </w:r>
            <w:r w:rsidR="009B2D79">
              <w:rPr>
                <w:rFonts w:eastAsia="MS Mincho"/>
              </w:rPr>
              <w:t xml:space="preserve"> </w:t>
            </w:r>
            <w:r w:rsidR="003B43BA" w:rsidRPr="003B43BA">
              <w:rPr>
                <w:rFonts w:eastAsia="MS Mincho"/>
              </w:rPr>
              <w:t>mg for 12 w</w:t>
            </w:r>
            <w:r w:rsidR="002F5A52">
              <w:rPr>
                <w:rFonts w:eastAsia="MS Mincho"/>
              </w:rPr>
              <w:t>ee</w:t>
            </w:r>
            <w:r w:rsidR="003B43BA" w:rsidRPr="003B43BA">
              <w:rPr>
                <w:rFonts w:eastAsia="MS Mincho"/>
              </w:rPr>
              <w:t>ks (based on dose-for-dependence level as per instructions)</w:t>
            </w:r>
            <w:r w:rsidR="008C1099">
              <w:rPr>
                <w:rFonts w:eastAsia="MS Mincho"/>
              </w:rPr>
              <w:t xml:space="preserve">; </w:t>
            </w:r>
            <w:r w:rsidR="007E12F0">
              <w:rPr>
                <w:rFonts w:eastAsia="MS Mincho"/>
              </w:rPr>
              <w:t>NRT patch</w:t>
            </w:r>
            <w:r w:rsidRPr="00C5551B">
              <w:rPr>
                <w:rFonts w:eastAsia="MS Mincho"/>
              </w:rPr>
              <w:t xml:space="preserve">: </w:t>
            </w:r>
            <w:r w:rsidR="0087237A">
              <w:rPr>
                <w:rFonts w:eastAsia="MS Mincho"/>
              </w:rPr>
              <w:t xml:space="preserve">24-hour patch; </w:t>
            </w:r>
            <w:r w:rsidR="00D349D5" w:rsidRPr="00D349D5">
              <w:rPr>
                <w:rFonts w:eastAsia="MS Mincho"/>
              </w:rPr>
              <w:t>21</w:t>
            </w:r>
            <w:r w:rsidR="009B2D79">
              <w:rPr>
                <w:rFonts w:eastAsia="MS Mincho"/>
              </w:rPr>
              <w:t xml:space="preserve"> </w:t>
            </w:r>
            <w:r w:rsidR="0087237A">
              <w:rPr>
                <w:rFonts w:eastAsia="MS Mincho"/>
              </w:rPr>
              <w:t>mg</w:t>
            </w:r>
            <w:r w:rsidR="00D349D5" w:rsidRPr="00D349D5">
              <w:rPr>
                <w:rFonts w:eastAsia="MS Mincho"/>
              </w:rPr>
              <w:t>, 14</w:t>
            </w:r>
            <w:r w:rsidR="009B2D79">
              <w:rPr>
                <w:rFonts w:eastAsia="MS Mincho"/>
              </w:rPr>
              <w:t xml:space="preserve"> </w:t>
            </w:r>
            <w:r w:rsidR="0087237A">
              <w:rPr>
                <w:rFonts w:eastAsia="MS Mincho"/>
              </w:rPr>
              <w:t>mg</w:t>
            </w:r>
            <w:r w:rsidR="00D349D5" w:rsidRPr="00D349D5">
              <w:rPr>
                <w:rFonts w:eastAsia="MS Mincho"/>
              </w:rPr>
              <w:t>, and 7</w:t>
            </w:r>
            <w:r w:rsidR="009B2D79">
              <w:rPr>
                <w:rFonts w:eastAsia="MS Mincho"/>
              </w:rPr>
              <w:t xml:space="preserve"> </w:t>
            </w:r>
            <w:r w:rsidR="00D349D5" w:rsidRPr="00D349D5">
              <w:rPr>
                <w:rFonts w:eastAsia="MS Mincho"/>
              </w:rPr>
              <w:t>mg titrated down over 8-w</w:t>
            </w:r>
            <w:r w:rsidR="006A2DD4">
              <w:rPr>
                <w:rFonts w:eastAsia="MS Mincho"/>
              </w:rPr>
              <w:t>ee</w:t>
            </w:r>
            <w:r w:rsidR="00D349D5" w:rsidRPr="00D349D5">
              <w:rPr>
                <w:rFonts w:eastAsia="MS Mincho"/>
              </w:rPr>
              <w:t>k period post-quit</w:t>
            </w:r>
            <w:r w:rsidR="00AB5FA3">
              <w:rPr>
                <w:rFonts w:eastAsia="MS Mincho"/>
              </w:rPr>
              <w:t>.</w:t>
            </w:r>
          </w:p>
          <w:p w14:paraId="38269F70" w14:textId="77777777" w:rsidR="00533F00" w:rsidRDefault="00533F00" w:rsidP="00F207DC">
            <w:pPr>
              <w:pStyle w:val="Tablewriting"/>
              <w:rPr>
                <w:rFonts w:eastAsia="MS Mincho"/>
              </w:rPr>
            </w:pPr>
          </w:p>
          <w:p w14:paraId="5744C7CD" w14:textId="4B127672" w:rsidR="00533F00" w:rsidRPr="00C5551B" w:rsidRDefault="00533F00" w:rsidP="00F207DC">
            <w:pPr>
              <w:pStyle w:val="Tablewriting"/>
              <w:rPr>
                <w:rFonts w:eastAsia="MS Mincho"/>
              </w:rPr>
            </w:pPr>
            <w:r w:rsidRPr="00533F00">
              <w:rPr>
                <w:rFonts w:eastAsia="MS Mincho"/>
              </w:rPr>
              <w:t>Behavioural support provided in both arms.</w:t>
            </w:r>
          </w:p>
        </w:tc>
        <w:tc>
          <w:tcPr>
            <w:tcW w:w="1096" w:type="pct"/>
            <w:shd w:val="clear" w:color="auto" w:fill="D9D9D9" w:themeFill="background1" w:themeFillShade="D9"/>
            <w:tcMar>
              <w:left w:w="28" w:type="dxa"/>
              <w:right w:w="28" w:type="dxa"/>
            </w:tcMar>
          </w:tcPr>
          <w:p w14:paraId="6A166BA6" w14:textId="3756CC67" w:rsidR="00DE1164" w:rsidRDefault="00DE1164" w:rsidP="00F207DC">
            <w:pPr>
              <w:pStyle w:val="Tablewriting"/>
              <w:rPr>
                <w:rFonts w:eastAsia="MS Mincho"/>
              </w:rPr>
            </w:pPr>
            <w:r w:rsidRPr="0036499C">
              <w:rPr>
                <w:rFonts w:eastAsia="MS Mincho"/>
                <w:u w:val="single"/>
              </w:rPr>
              <w:t>Primary</w:t>
            </w:r>
            <w:r>
              <w:rPr>
                <w:rFonts w:eastAsia="MS Mincho"/>
              </w:rPr>
              <w:t>: 7</w:t>
            </w:r>
            <w:r w:rsidR="00CB2537">
              <w:rPr>
                <w:rFonts w:eastAsia="MS Mincho"/>
              </w:rPr>
              <w:t>-</w:t>
            </w:r>
            <w:r>
              <w:rPr>
                <w:rFonts w:eastAsia="MS Mincho"/>
              </w:rPr>
              <w:t xml:space="preserve">day </w:t>
            </w:r>
            <w:r w:rsidR="00CB2537">
              <w:rPr>
                <w:rFonts w:eastAsia="MS Mincho"/>
              </w:rPr>
              <w:t xml:space="preserve">PPA </w:t>
            </w:r>
            <w:r>
              <w:rPr>
                <w:rFonts w:eastAsia="MS Mincho"/>
              </w:rPr>
              <w:t>at 6 months. Validated by CO</w:t>
            </w:r>
            <w:r w:rsidR="00A4752C">
              <w:rPr>
                <w:rFonts w:eastAsia="MS Mincho"/>
              </w:rPr>
              <w:t xml:space="preserve"> </w:t>
            </w:r>
            <w:r>
              <w:rPr>
                <w:rFonts w:eastAsia="MS Mincho"/>
              </w:rPr>
              <w:t>&lt;10</w:t>
            </w:r>
            <w:r w:rsidR="009B2D79">
              <w:rPr>
                <w:rFonts w:eastAsia="MS Mincho"/>
              </w:rPr>
              <w:t xml:space="preserve"> </w:t>
            </w:r>
            <w:r>
              <w:rPr>
                <w:rFonts w:eastAsia="MS Mincho"/>
              </w:rPr>
              <w:t>ppm.</w:t>
            </w:r>
          </w:p>
          <w:p w14:paraId="04B1EACD" w14:textId="3978DE17" w:rsidR="00FF1436" w:rsidRPr="008C39E4" w:rsidRDefault="00DE1164" w:rsidP="00F207DC">
            <w:pPr>
              <w:pStyle w:val="Tablewriting"/>
              <w:rPr>
                <w:rFonts w:eastAsia="MS Mincho"/>
                <w:u w:val="single"/>
              </w:rPr>
            </w:pPr>
            <w:r w:rsidRPr="0036499C">
              <w:rPr>
                <w:rFonts w:eastAsia="MS Mincho"/>
                <w:u w:val="single"/>
              </w:rPr>
              <w:t>Secondary</w:t>
            </w:r>
            <w:r>
              <w:rPr>
                <w:rFonts w:eastAsia="MS Mincho"/>
              </w:rPr>
              <w:t>: adverse events measured for 10 weeks</w:t>
            </w:r>
            <w:r w:rsidR="00AB5FA3">
              <w:rPr>
                <w:rFonts w:eastAsia="MS Mincho"/>
              </w:rPr>
              <w:t>.</w:t>
            </w:r>
          </w:p>
        </w:tc>
      </w:tr>
      <w:tr w:rsidR="00260CD7" w:rsidRPr="00061F78" w14:paraId="0D263BAC" w14:textId="77777777" w:rsidTr="00015CD6">
        <w:trPr>
          <w:trHeight w:val="99"/>
        </w:trPr>
        <w:tc>
          <w:tcPr>
            <w:tcW w:w="320" w:type="pct"/>
            <w:shd w:val="clear" w:color="auto" w:fill="D9D9D9" w:themeFill="background1" w:themeFillShade="D9"/>
            <w:tcMar>
              <w:left w:w="28" w:type="dxa"/>
              <w:right w:w="28" w:type="dxa"/>
            </w:tcMar>
          </w:tcPr>
          <w:p w14:paraId="41E359B9" w14:textId="39CC7387" w:rsidR="002C50B9" w:rsidRDefault="66686F8A" w:rsidP="00F207DC">
            <w:pPr>
              <w:pStyle w:val="Tablewriting"/>
              <w:rPr>
                <w:rFonts w:eastAsia="MS Mincho"/>
              </w:rPr>
            </w:pPr>
            <w:r w:rsidRPr="0890AA69">
              <w:rPr>
                <w:rFonts w:eastAsia="MS Mincho"/>
              </w:rPr>
              <w:t>Smith (2009)</w:t>
            </w:r>
          </w:p>
        </w:tc>
        <w:tc>
          <w:tcPr>
            <w:tcW w:w="399" w:type="pct"/>
            <w:shd w:val="clear" w:color="auto" w:fill="D9D9D9" w:themeFill="background1" w:themeFillShade="D9"/>
          </w:tcPr>
          <w:p w14:paraId="49F5F6BB" w14:textId="4C32FBA9" w:rsidR="002C50B9" w:rsidRDefault="002C50B9"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2E954F4B" w14:textId="5B0A203E" w:rsidR="002C50B9" w:rsidRDefault="002C50B9" w:rsidP="00F207DC">
            <w:pPr>
              <w:pStyle w:val="Tablewriting"/>
              <w:rPr>
                <w:rFonts w:eastAsia="MS Mincho"/>
              </w:rPr>
            </w:pPr>
            <w:r>
              <w:rPr>
                <w:rFonts w:eastAsia="MS Mincho"/>
              </w:rPr>
              <w:t>N=1,346</w:t>
            </w:r>
          </w:p>
          <w:p w14:paraId="310FCCC9" w14:textId="0128F6C1" w:rsidR="002C50B9" w:rsidRDefault="002C50B9" w:rsidP="00F207DC">
            <w:pPr>
              <w:pStyle w:val="Tablewriting"/>
              <w:rPr>
                <w:rFonts w:eastAsia="MS Mincho"/>
              </w:rPr>
            </w:pPr>
            <w:r>
              <w:rPr>
                <w:rFonts w:eastAsia="MS Mincho"/>
              </w:rPr>
              <w:t>NRT lozenge (n=26</w:t>
            </w:r>
            <w:r w:rsidR="00D45082">
              <w:rPr>
                <w:rFonts w:eastAsia="MS Mincho"/>
              </w:rPr>
              <w:t>1</w:t>
            </w:r>
            <w:r>
              <w:rPr>
                <w:rFonts w:eastAsia="MS Mincho"/>
              </w:rPr>
              <w:t>),</w:t>
            </w:r>
          </w:p>
          <w:p w14:paraId="7C074CAE" w14:textId="54EE9AB2" w:rsidR="002C50B9" w:rsidRDefault="002C50B9" w:rsidP="00F207DC">
            <w:pPr>
              <w:pStyle w:val="Tablewriting"/>
              <w:rPr>
                <w:rFonts w:eastAsia="MS Mincho"/>
              </w:rPr>
            </w:pPr>
            <w:r>
              <w:rPr>
                <w:rFonts w:eastAsia="MS Mincho"/>
              </w:rPr>
              <w:t>NRT patch (n=2</w:t>
            </w:r>
            <w:r w:rsidR="00D45082">
              <w:rPr>
                <w:rFonts w:eastAsia="MS Mincho"/>
              </w:rPr>
              <w:t>8</w:t>
            </w:r>
            <w:r>
              <w:rPr>
                <w:rFonts w:eastAsia="MS Mincho"/>
              </w:rPr>
              <w:t>2)</w:t>
            </w:r>
          </w:p>
        </w:tc>
        <w:tc>
          <w:tcPr>
            <w:tcW w:w="1870" w:type="pct"/>
            <w:shd w:val="clear" w:color="auto" w:fill="D9D9D9" w:themeFill="background1" w:themeFillShade="D9"/>
            <w:tcMar>
              <w:left w:w="28" w:type="dxa"/>
              <w:right w:w="28" w:type="dxa"/>
            </w:tcMar>
          </w:tcPr>
          <w:p w14:paraId="303AA555" w14:textId="136E200E" w:rsidR="002C50B9" w:rsidRDefault="002C50B9" w:rsidP="00F207DC">
            <w:pPr>
              <w:pStyle w:val="Tablewriting"/>
              <w:rPr>
                <w:rFonts w:eastAsia="MS Mincho"/>
              </w:rPr>
            </w:pPr>
            <w:r w:rsidRPr="007F28D7">
              <w:rPr>
                <w:rFonts w:eastAsia="MS Mincho"/>
                <w:u w:val="single"/>
              </w:rPr>
              <w:t>Inclusion</w:t>
            </w:r>
            <w:r>
              <w:rPr>
                <w:rFonts w:eastAsia="MS Mincho"/>
              </w:rPr>
              <w:t xml:space="preserve">: </w:t>
            </w:r>
            <w:r w:rsidR="0074346D">
              <w:rPr>
                <w:rFonts w:eastAsia="MS Mincho" w:cstheme="minorHAnsi"/>
              </w:rPr>
              <w:t>≥</w:t>
            </w:r>
            <w:r w:rsidR="001E33DA" w:rsidRPr="001E33DA">
              <w:rPr>
                <w:rFonts w:eastAsia="MS Mincho"/>
              </w:rPr>
              <w:t xml:space="preserve">18 years </w:t>
            </w:r>
            <w:r w:rsidR="0074346D">
              <w:rPr>
                <w:rFonts w:eastAsia="MS Mincho"/>
              </w:rPr>
              <w:t>old,</w:t>
            </w:r>
            <w:r w:rsidR="001E33DA" w:rsidRPr="001E33DA">
              <w:rPr>
                <w:rFonts w:eastAsia="MS Mincho"/>
              </w:rPr>
              <w:t xml:space="preserve"> </w:t>
            </w:r>
            <w:r w:rsidR="0074346D">
              <w:rPr>
                <w:rFonts w:eastAsia="MS Mincho" w:cstheme="minorHAnsi"/>
              </w:rPr>
              <w:t>≥</w:t>
            </w:r>
            <w:r w:rsidR="001E33DA" w:rsidRPr="001E33DA">
              <w:rPr>
                <w:rFonts w:eastAsia="MS Mincho"/>
              </w:rPr>
              <w:t>10 cigarettes per day</w:t>
            </w:r>
            <w:r w:rsidR="001E33DA">
              <w:rPr>
                <w:rFonts w:eastAsia="MS Mincho"/>
              </w:rPr>
              <w:t xml:space="preserve"> </w:t>
            </w:r>
            <w:r w:rsidR="001E33DA" w:rsidRPr="001E33DA">
              <w:rPr>
                <w:rFonts w:eastAsia="MS Mincho"/>
              </w:rPr>
              <w:t>for the past 6 months; motivated</w:t>
            </w:r>
            <w:r w:rsidR="001E33DA">
              <w:rPr>
                <w:rFonts w:eastAsia="MS Mincho"/>
              </w:rPr>
              <w:t xml:space="preserve"> </w:t>
            </w:r>
            <w:r w:rsidR="001E33DA" w:rsidRPr="001E33DA">
              <w:rPr>
                <w:rFonts w:eastAsia="MS Mincho"/>
              </w:rPr>
              <w:t>to quit smoking</w:t>
            </w:r>
            <w:r w:rsidR="0074346D">
              <w:rPr>
                <w:rFonts w:eastAsia="MS Mincho"/>
              </w:rPr>
              <w:t>.</w:t>
            </w:r>
          </w:p>
          <w:p w14:paraId="3F15ACDE" w14:textId="53C4692C" w:rsidR="002C50B9" w:rsidRPr="007F28D7" w:rsidRDefault="002C50B9" w:rsidP="00F207DC">
            <w:pPr>
              <w:pStyle w:val="Tablewriting"/>
              <w:rPr>
                <w:rFonts w:eastAsia="MS Mincho"/>
                <w:u w:val="single"/>
              </w:rPr>
            </w:pPr>
            <w:r w:rsidRPr="007F28D7">
              <w:rPr>
                <w:rFonts w:eastAsia="MS Mincho"/>
                <w:u w:val="single"/>
              </w:rPr>
              <w:t>Exclusion</w:t>
            </w:r>
            <w:r>
              <w:rPr>
                <w:rFonts w:eastAsia="MS Mincho"/>
              </w:rPr>
              <w:t xml:space="preserve">: </w:t>
            </w:r>
            <w:r w:rsidR="006F6985" w:rsidRPr="006F6985">
              <w:rPr>
                <w:rFonts w:eastAsia="MS Mincho"/>
              </w:rPr>
              <w:t>history of seizures or</w:t>
            </w:r>
            <w:r w:rsidR="006F6985">
              <w:rPr>
                <w:rFonts w:eastAsia="MS Mincho"/>
              </w:rPr>
              <w:t xml:space="preserve"> </w:t>
            </w:r>
            <w:r w:rsidR="006F6985" w:rsidRPr="006F6985">
              <w:rPr>
                <w:rFonts w:eastAsia="MS Mincho"/>
              </w:rPr>
              <w:t>convulsions, bipolar disorder, psychosis, bulimia, or anorexia nervosa</w:t>
            </w:r>
            <w:r w:rsidR="0074346D">
              <w:rPr>
                <w:rFonts w:eastAsia="MS Mincho"/>
              </w:rPr>
              <w:t>,</w:t>
            </w:r>
            <w:r w:rsidR="006F6985">
              <w:rPr>
                <w:rFonts w:eastAsia="MS Mincho"/>
              </w:rPr>
              <w:t xml:space="preserve"> </w:t>
            </w:r>
            <w:r w:rsidR="006F6985" w:rsidRPr="006F6985">
              <w:rPr>
                <w:rFonts w:eastAsia="MS Mincho"/>
              </w:rPr>
              <w:t>head injury requiring hospitali</w:t>
            </w:r>
            <w:r w:rsidR="0074346D">
              <w:rPr>
                <w:rFonts w:eastAsia="MS Mincho"/>
              </w:rPr>
              <w:t>s</w:t>
            </w:r>
            <w:r w:rsidR="006F6985" w:rsidRPr="006F6985">
              <w:rPr>
                <w:rFonts w:eastAsia="MS Mincho"/>
              </w:rPr>
              <w:t>ation</w:t>
            </w:r>
            <w:r w:rsidR="0074346D">
              <w:rPr>
                <w:rFonts w:eastAsia="MS Mincho"/>
              </w:rPr>
              <w:t>,</w:t>
            </w:r>
            <w:r w:rsidR="006F6985" w:rsidRPr="006F6985">
              <w:rPr>
                <w:rFonts w:eastAsia="MS Mincho"/>
              </w:rPr>
              <w:t xml:space="preserve"> myocardial</w:t>
            </w:r>
            <w:r w:rsidR="006F6985">
              <w:rPr>
                <w:rFonts w:eastAsia="MS Mincho"/>
              </w:rPr>
              <w:t xml:space="preserve"> </w:t>
            </w:r>
            <w:r w:rsidR="006F6985" w:rsidRPr="006F6985">
              <w:rPr>
                <w:rFonts w:eastAsia="MS Mincho"/>
              </w:rPr>
              <w:t>infarction in past month</w:t>
            </w:r>
            <w:r w:rsidR="0074346D">
              <w:rPr>
                <w:rFonts w:eastAsia="MS Mincho"/>
              </w:rPr>
              <w:t>,</w:t>
            </w:r>
            <w:r w:rsidR="006F6985" w:rsidRPr="006F6985">
              <w:rPr>
                <w:rFonts w:eastAsia="MS Mincho"/>
              </w:rPr>
              <w:t xml:space="preserve"> current use of bupropion or use of</w:t>
            </w:r>
            <w:r w:rsidR="006F6985">
              <w:rPr>
                <w:rFonts w:eastAsia="MS Mincho"/>
              </w:rPr>
              <w:t xml:space="preserve"> </w:t>
            </w:r>
            <w:r w:rsidR="006F6985" w:rsidRPr="006F6985">
              <w:rPr>
                <w:rFonts w:eastAsia="MS Mincho"/>
              </w:rPr>
              <w:t xml:space="preserve">a monoamine oxidase inhibitor in the previous 2 weeks; blood pressure </w:t>
            </w:r>
            <w:r w:rsidR="00114214">
              <w:rPr>
                <w:rFonts w:eastAsia="MS Mincho"/>
              </w:rPr>
              <w:t>&gt;</w:t>
            </w:r>
            <w:r w:rsidR="006F6985" w:rsidRPr="006F6985">
              <w:rPr>
                <w:rFonts w:eastAsia="MS Mincho"/>
              </w:rPr>
              <w:t>160/100 mmHg</w:t>
            </w:r>
            <w:r w:rsidR="00114214">
              <w:rPr>
                <w:rFonts w:eastAsia="MS Mincho"/>
              </w:rPr>
              <w:t>,</w:t>
            </w:r>
            <w:r w:rsidR="006F6985" w:rsidRPr="006F6985">
              <w:rPr>
                <w:rFonts w:eastAsia="MS Mincho"/>
              </w:rPr>
              <w:t xml:space="preserve"> allergy to</w:t>
            </w:r>
            <w:r w:rsidR="006F6985">
              <w:rPr>
                <w:rFonts w:eastAsia="MS Mincho"/>
              </w:rPr>
              <w:t xml:space="preserve"> </w:t>
            </w:r>
            <w:r w:rsidR="006F6985" w:rsidRPr="006F6985">
              <w:rPr>
                <w:rFonts w:eastAsia="MS Mincho"/>
              </w:rPr>
              <w:t>any of the study medications</w:t>
            </w:r>
            <w:r w:rsidR="00114214">
              <w:rPr>
                <w:rFonts w:eastAsia="MS Mincho"/>
              </w:rPr>
              <w:t>,</w:t>
            </w:r>
            <w:r w:rsidR="006F6985" w:rsidRPr="006F6985">
              <w:rPr>
                <w:rFonts w:eastAsia="MS Mincho"/>
              </w:rPr>
              <w:t xml:space="preserve"> serious thoughts of self-harm</w:t>
            </w:r>
            <w:r w:rsidR="006F6985">
              <w:rPr>
                <w:rFonts w:eastAsia="MS Mincho"/>
              </w:rPr>
              <w:t xml:space="preserve"> </w:t>
            </w:r>
            <w:r w:rsidR="006F6985" w:rsidRPr="006F6985">
              <w:rPr>
                <w:rFonts w:eastAsia="MS Mincho"/>
              </w:rPr>
              <w:t>in the previous 2 weeks</w:t>
            </w:r>
            <w:r w:rsidR="00114214">
              <w:rPr>
                <w:rFonts w:eastAsia="MS Mincho"/>
              </w:rPr>
              <w:t>,</w:t>
            </w:r>
            <w:r w:rsidR="006F6985" w:rsidRPr="006F6985">
              <w:rPr>
                <w:rFonts w:eastAsia="MS Mincho"/>
              </w:rPr>
              <w:t xml:space="preserve"> drug or alcohol dependence in the</w:t>
            </w:r>
            <w:r w:rsidR="006F6985">
              <w:rPr>
                <w:rFonts w:eastAsia="MS Mincho"/>
              </w:rPr>
              <w:t xml:space="preserve"> </w:t>
            </w:r>
            <w:r w:rsidR="006F6985" w:rsidRPr="006F6985">
              <w:rPr>
                <w:rFonts w:eastAsia="MS Mincho"/>
              </w:rPr>
              <w:t>past 6 months</w:t>
            </w:r>
            <w:r w:rsidR="00114214">
              <w:rPr>
                <w:rFonts w:eastAsia="MS Mincho"/>
              </w:rPr>
              <w:t>,</w:t>
            </w:r>
            <w:r w:rsidR="006F6985" w:rsidRPr="006F6985">
              <w:rPr>
                <w:rFonts w:eastAsia="MS Mincho"/>
              </w:rPr>
              <w:t xml:space="preserve"> currently pregnant or breastfeeding or</w:t>
            </w:r>
            <w:r w:rsidR="006F6985">
              <w:rPr>
                <w:rFonts w:eastAsia="MS Mincho"/>
              </w:rPr>
              <w:t xml:space="preserve"> </w:t>
            </w:r>
            <w:r w:rsidR="006F6985" w:rsidRPr="006F6985">
              <w:rPr>
                <w:rFonts w:eastAsia="MS Mincho"/>
              </w:rPr>
              <w:t>planning to become pregnant within the next 3 months</w:t>
            </w:r>
            <w:r w:rsidR="006F6985">
              <w:rPr>
                <w:rFonts w:eastAsia="MS Mincho"/>
              </w:rPr>
              <w:t>.</w:t>
            </w:r>
          </w:p>
        </w:tc>
        <w:tc>
          <w:tcPr>
            <w:tcW w:w="970" w:type="pct"/>
            <w:shd w:val="clear" w:color="auto" w:fill="D9D9D9" w:themeFill="background1" w:themeFillShade="D9"/>
          </w:tcPr>
          <w:p w14:paraId="0A471E7B" w14:textId="427403F9" w:rsidR="001715E1" w:rsidRDefault="002C50B9" w:rsidP="00F207DC">
            <w:pPr>
              <w:pStyle w:val="Tablewriting"/>
              <w:rPr>
                <w:rFonts w:eastAsia="MS Mincho"/>
              </w:rPr>
            </w:pPr>
            <w:r w:rsidRPr="00C5551B">
              <w:rPr>
                <w:rFonts w:eastAsia="MS Mincho"/>
              </w:rPr>
              <w:t>NRT</w:t>
            </w:r>
            <w:r>
              <w:rPr>
                <w:rFonts w:eastAsia="MS Mincho"/>
              </w:rPr>
              <w:t xml:space="preserve"> lozenge</w:t>
            </w:r>
            <w:r w:rsidRPr="00C5551B">
              <w:rPr>
                <w:rFonts w:eastAsia="MS Mincho"/>
              </w:rPr>
              <w:t xml:space="preserve">: </w:t>
            </w:r>
            <w:r w:rsidR="00152763" w:rsidRPr="00152763">
              <w:rPr>
                <w:rFonts w:eastAsia="MS Mincho"/>
              </w:rPr>
              <w:t>4</w:t>
            </w:r>
            <w:r w:rsidR="009B2D79">
              <w:rPr>
                <w:rFonts w:eastAsia="MS Mincho"/>
              </w:rPr>
              <w:t xml:space="preserve"> </w:t>
            </w:r>
            <w:r w:rsidR="00152763" w:rsidRPr="00152763">
              <w:rPr>
                <w:rFonts w:eastAsia="MS Mincho"/>
              </w:rPr>
              <w:t>mg for participants who smoked first cig</w:t>
            </w:r>
            <w:r w:rsidR="00152763">
              <w:rPr>
                <w:rFonts w:eastAsia="MS Mincho"/>
              </w:rPr>
              <w:t>arette</w:t>
            </w:r>
            <w:r w:rsidR="00152763" w:rsidRPr="00152763">
              <w:rPr>
                <w:rFonts w:eastAsia="MS Mincho"/>
              </w:rPr>
              <w:t xml:space="preserve"> of day within 30 mins of waking; 2</w:t>
            </w:r>
            <w:r w:rsidR="009B2D79">
              <w:rPr>
                <w:rFonts w:eastAsia="MS Mincho"/>
              </w:rPr>
              <w:t xml:space="preserve"> </w:t>
            </w:r>
            <w:r w:rsidR="00152763" w:rsidRPr="00152763">
              <w:rPr>
                <w:rFonts w:eastAsia="MS Mincho"/>
              </w:rPr>
              <w:t>mg for all other</w:t>
            </w:r>
            <w:r w:rsidR="00152763">
              <w:rPr>
                <w:rFonts w:eastAsia="MS Mincho"/>
              </w:rPr>
              <w:t xml:space="preserve"> </w:t>
            </w:r>
            <w:r w:rsidR="00152763" w:rsidRPr="00152763">
              <w:rPr>
                <w:rFonts w:eastAsia="MS Mincho"/>
              </w:rPr>
              <w:t>participants. 9/day for first 6 w</w:t>
            </w:r>
            <w:r w:rsidR="00DE50A6">
              <w:rPr>
                <w:rFonts w:eastAsia="MS Mincho"/>
              </w:rPr>
              <w:t>ee</w:t>
            </w:r>
            <w:r w:rsidR="00152763" w:rsidRPr="00152763">
              <w:rPr>
                <w:rFonts w:eastAsia="MS Mincho"/>
              </w:rPr>
              <w:t xml:space="preserve">ks, 5/day for </w:t>
            </w:r>
            <w:r w:rsidR="00D562FA">
              <w:rPr>
                <w:rFonts w:eastAsia="MS Mincho"/>
              </w:rPr>
              <w:t>w</w:t>
            </w:r>
            <w:r w:rsidR="00DE50A6">
              <w:rPr>
                <w:rFonts w:eastAsia="MS Mincho"/>
              </w:rPr>
              <w:t>eek</w:t>
            </w:r>
            <w:r w:rsidR="00152763" w:rsidRPr="00152763">
              <w:rPr>
                <w:rFonts w:eastAsia="MS Mincho"/>
              </w:rPr>
              <w:t xml:space="preserve"> 7-9, 3/day for </w:t>
            </w:r>
            <w:r w:rsidR="00D562FA">
              <w:rPr>
                <w:rFonts w:eastAsia="MS Mincho"/>
              </w:rPr>
              <w:t>w</w:t>
            </w:r>
            <w:r w:rsidR="00DE50A6">
              <w:rPr>
                <w:rFonts w:eastAsia="MS Mincho"/>
              </w:rPr>
              <w:t>eek</w:t>
            </w:r>
            <w:r w:rsidR="00152763" w:rsidRPr="00152763">
              <w:rPr>
                <w:rFonts w:eastAsia="MS Mincho"/>
              </w:rPr>
              <w:t xml:space="preserve"> 10-12</w:t>
            </w:r>
            <w:r w:rsidR="008C1099">
              <w:rPr>
                <w:rFonts w:eastAsia="MS Mincho"/>
              </w:rPr>
              <w:t xml:space="preserve">; </w:t>
            </w:r>
            <w:r>
              <w:rPr>
                <w:rFonts w:eastAsia="MS Mincho"/>
              </w:rPr>
              <w:t>NRT patch</w:t>
            </w:r>
            <w:r w:rsidRPr="00C5551B">
              <w:rPr>
                <w:rFonts w:eastAsia="MS Mincho"/>
              </w:rPr>
              <w:t xml:space="preserve">: </w:t>
            </w:r>
            <w:r w:rsidR="00CD5E85" w:rsidRPr="00CD5E85">
              <w:rPr>
                <w:rFonts w:eastAsia="MS Mincho"/>
              </w:rPr>
              <w:t>21</w:t>
            </w:r>
            <w:r w:rsidR="009B2D79">
              <w:rPr>
                <w:rFonts w:eastAsia="MS Mincho"/>
              </w:rPr>
              <w:t xml:space="preserve"> </w:t>
            </w:r>
            <w:r w:rsidR="00CD5E85" w:rsidRPr="00CD5E85">
              <w:rPr>
                <w:rFonts w:eastAsia="MS Mincho"/>
              </w:rPr>
              <w:t>mg/day for first 6 w</w:t>
            </w:r>
            <w:r w:rsidR="00CD5E85">
              <w:rPr>
                <w:rFonts w:eastAsia="MS Mincho"/>
              </w:rPr>
              <w:t>ee</w:t>
            </w:r>
            <w:r w:rsidR="00CD5E85" w:rsidRPr="00CD5E85">
              <w:rPr>
                <w:rFonts w:eastAsia="MS Mincho"/>
              </w:rPr>
              <w:t>ks, 14</w:t>
            </w:r>
            <w:r w:rsidR="009B2D79">
              <w:rPr>
                <w:rFonts w:eastAsia="MS Mincho"/>
              </w:rPr>
              <w:t xml:space="preserve"> </w:t>
            </w:r>
            <w:r w:rsidR="00CD5E85" w:rsidRPr="00CD5E85">
              <w:rPr>
                <w:rFonts w:eastAsia="MS Mincho"/>
              </w:rPr>
              <w:t xml:space="preserve">mg/day for </w:t>
            </w:r>
            <w:r w:rsidR="00D562FA">
              <w:rPr>
                <w:rFonts w:eastAsia="MS Mincho"/>
              </w:rPr>
              <w:t>w</w:t>
            </w:r>
            <w:r w:rsidR="00CD5E85">
              <w:rPr>
                <w:rFonts w:eastAsia="MS Mincho"/>
              </w:rPr>
              <w:t>eek</w:t>
            </w:r>
            <w:r w:rsidR="00CD5E85" w:rsidRPr="00CD5E85">
              <w:rPr>
                <w:rFonts w:eastAsia="MS Mincho"/>
              </w:rPr>
              <w:t xml:space="preserve"> 7+8, 7</w:t>
            </w:r>
            <w:r w:rsidR="009B2D79">
              <w:rPr>
                <w:rFonts w:eastAsia="MS Mincho"/>
              </w:rPr>
              <w:t xml:space="preserve"> </w:t>
            </w:r>
            <w:r w:rsidR="00CD5E85" w:rsidRPr="00CD5E85">
              <w:rPr>
                <w:rFonts w:eastAsia="MS Mincho"/>
              </w:rPr>
              <w:t xml:space="preserve">mg/day for </w:t>
            </w:r>
            <w:r w:rsidR="00D562FA">
              <w:rPr>
                <w:rFonts w:eastAsia="MS Mincho"/>
              </w:rPr>
              <w:t>w</w:t>
            </w:r>
            <w:r w:rsidR="00CD5E85">
              <w:rPr>
                <w:rFonts w:eastAsia="MS Mincho"/>
              </w:rPr>
              <w:t>eek</w:t>
            </w:r>
            <w:r w:rsidR="00CD5E85" w:rsidRPr="00CD5E85">
              <w:rPr>
                <w:rFonts w:eastAsia="MS Mincho"/>
              </w:rPr>
              <w:t xml:space="preserve"> 9-12</w:t>
            </w:r>
            <w:r w:rsidR="00AB5FA3">
              <w:rPr>
                <w:rFonts w:eastAsia="MS Mincho"/>
              </w:rPr>
              <w:t>.</w:t>
            </w:r>
          </w:p>
          <w:p w14:paraId="07993385" w14:textId="77777777" w:rsidR="001715E1" w:rsidRDefault="001715E1" w:rsidP="00F207DC">
            <w:pPr>
              <w:pStyle w:val="Tablewriting"/>
              <w:rPr>
                <w:rFonts w:eastAsia="MS Mincho"/>
              </w:rPr>
            </w:pPr>
          </w:p>
          <w:p w14:paraId="3D958BA7" w14:textId="01986B41" w:rsidR="001715E1" w:rsidRPr="00C5551B" w:rsidRDefault="001715E1" w:rsidP="00F207DC">
            <w:pPr>
              <w:pStyle w:val="Tablewriting"/>
              <w:rPr>
                <w:rFonts w:eastAsia="MS Mincho"/>
              </w:rPr>
            </w:pPr>
            <w:r w:rsidRPr="001715E1">
              <w:rPr>
                <w:rFonts w:eastAsia="MS Mincho"/>
              </w:rPr>
              <w:lastRenderedPageBreak/>
              <w:t>Behavioural support provided in both arms.</w:t>
            </w:r>
          </w:p>
        </w:tc>
        <w:tc>
          <w:tcPr>
            <w:tcW w:w="1096" w:type="pct"/>
            <w:shd w:val="clear" w:color="auto" w:fill="D9D9D9" w:themeFill="background1" w:themeFillShade="D9"/>
            <w:tcMar>
              <w:left w:w="28" w:type="dxa"/>
              <w:right w:w="28" w:type="dxa"/>
            </w:tcMar>
          </w:tcPr>
          <w:p w14:paraId="34E50EB8" w14:textId="56F9E2B6" w:rsidR="002C50B9" w:rsidRDefault="002C50B9" w:rsidP="00F207DC">
            <w:pPr>
              <w:pStyle w:val="Tablewriting"/>
              <w:rPr>
                <w:rFonts w:eastAsia="MS Mincho"/>
              </w:rPr>
            </w:pPr>
            <w:r w:rsidRPr="0036499C">
              <w:rPr>
                <w:rFonts w:eastAsia="MS Mincho"/>
                <w:u w:val="single"/>
              </w:rPr>
              <w:lastRenderedPageBreak/>
              <w:t>Primary</w:t>
            </w:r>
            <w:r>
              <w:rPr>
                <w:rFonts w:eastAsia="MS Mincho"/>
              </w:rPr>
              <w:t>: 7</w:t>
            </w:r>
            <w:r w:rsidR="00CB2537">
              <w:rPr>
                <w:rFonts w:eastAsia="MS Mincho"/>
              </w:rPr>
              <w:t>-</w:t>
            </w:r>
            <w:r>
              <w:rPr>
                <w:rFonts w:eastAsia="MS Mincho"/>
              </w:rPr>
              <w:t xml:space="preserve">day </w:t>
            </w:r>
            <w:r w:rsidR="00CB2537">
              <w:rPr>
                <w:rFonts w:eastAsia="MS Mincho"/>
              </w:rPr>
              <w:t>PPA</w:t>
            </w:r>
            <w:r>
              <w:rPr>
                <w:rFonts w:eastAsia="MS Mincho"/>
              </w:rPr>
              <w:t xml:space="preserve"> at</w:t>
            </w:r>
            <w:r w:rsidR="00DF6A5E">
              <w:rPr>
                <w:rFonts w:eastAsia="MS Mincho"/>
              </w:rPr>
              <w:t xml:space="preserve"> </w:t>
            </w:r>
            <w:r w:rsidR="00D562FA">
              <w:rPr>
                <w:rFonts w:eastAsia="MS Mincho"/>
              </w:rPr>
              <w:t>w</w:t>
            </w:r>
            <w:r w:rsidR="00DF6A5E">
              <w:rPr>
                <w:rFonts w:eastAsia="MS Mincho"/>
              </w:rPr>
              <w:t xml:space="preserve">eek 1, </w:t>
            </w:r>
            <w:r w:rsidR="00D562FA">
              <w:rPr>
                <w:rFonts w:eastAsia="MS Mincho"/>
              </w:rPr>
              <w:t>w</w:t>
            </w:r>
            <w:r w:rsidR="00DF6A5E">
              <w:rPr>
                <w:rFonts w:eastAsia="MS Mincho"/>
              </w:rPr>
              <w:t>eek 8 and</w:t>
            </w:r>
            <w:r>
              <w:rPr>
                <w:rFonts w:eastAsia="MS Mincho"/>
              </w:rPr>
              <w:t xml:space="preserve"> 6 months. </w:t>
            </w:r>
            <w:r w:rsidR="008744FE">
              <w:rPr>
                <w:rFonts w:eastAsia="MS Mincho"/>
              </w:rPr>
              <w:t xml:space="preserve">Number of days to relapse. </w:t>
            </w:r>
            <w:r w:rsidR="002664A9">
              <w:rPr>
                <w:rFonts w:eastAsia="MS Mincho"/>
              </w:rPr>
              <w:t>No va</w:t>
            </w:r>
            <w:r>
              <w:rPr>
                <w:rFonts w:eastAsia="MS Mincho"/>
              </w:rPr>
              <w:t>lidat</w:t>
            </w:r>
            <w:r w:rsidR="002664A9">
              <w:rPr>
                <w:rFonts w:eastAsia="MS Mincho"/>
              </w:rPr>
              <w:t>ion</w:t>
            </w:r>
            <w:r>
              <w:rPr>
                <w:rFonts w:eastAsia="MS Mincho"/>
              </w:rPr>
              <w:t>.</w:t>
            </w:r>
          </w:p>
          <w:p w14:paraId="2D1B58B1" w14:textId="6CECE12F" w:rsidR="002C50B9" w:rsidRPr="008C39E4" w:rsidRDefault="002C50B9" w:rsidP="00F207DC">
            <w:pPr>
              <w:pStyle w:val="Tablewriting"/>
              <w:rPr>
                <w:rFonts w:eastAsia="MS Mincho"/>
                <w:u w:val="single"/>
              </w:rPr>
            </w:pPr>
            <w:r w:rsidRPr="0036499C">
              <w:rPr>
                <w:rFonts w:eastAsia="MS Mincho"/>
                <w:u w:val="single"/>
              </w:rPr>
              <w:t>Secondary</w:t>
            </w:r>
            <w:r>
              <w:rPr>
                <w:rFonts w:eastAsia="MS Mincho"/>
              </w:rPr>
              <w:t xml:space="preserve">: </w:t>
            </w:r>
            <w:r w:rsidR="00A86D98">
              <w:rPr>
                <w:rFonts w:eastAsia="MS Mincho"/>
              </w:rPr>
              <w:t xml:space="preserve">use of </w:t>
            </w:r>
            <w:r w:rsidR="00A86D98" w:rsidRPr="00A86D98">
              <w:rPr>
                <w:rFonts w:eastAsia="MS Mincho"/>
              </w:rPr>
              <w:t>Wisconsin Tobacco Quit Lin</w:t>
            </w:r>
            <w:r w:rsidR="00A86D98">
              <w:rPr>
                <w:rFonts w:eastAsia="MS Mincho"/>
              </w:rPr>
              <w:t>e</w:t>
            </w:r>
            <w:r w:rsidR="00AB5FA3">
              <w:rPr>
                <w:rFonts w:eastAsia="MS Mincho"/>
              </w:rPr>
              <w:t>.</w:t>
            </w:r>
          </w:p>
        </w:tc>
      </w:tr>
      <w:tr w:rsidR="00260CD7" w:rsidRPr="00061F78" w14:paraId="4C09002C" w14:textId="77777777" w:rsidTr="00015CD6">
        <w:trPr>
          <w:trHeight w:val="99"/>
        </w:trPr>
        <w:tc>
          <w:tcPr>
            <w:tcW w:w="320" w:type="pct"/>
            <w:shd w:val="clear" w:color="auto" w:fill="D9D9D9" w:themeFill="background1" w:themeFillShade="D9"/>
            <w:tcMar>
              <w:left w:w="28" w:type="dxa"/>
              <w:right w:w="28" w:type="dxa"/>
            </w:tcMar>
          </w:tcPr>
          <w:p w14:paraId="01D58D19" w14:textId="79041117" w:rsidR="00FC0601" w:rsidRDefault="1F9154D4" w:rsidP="00F207DC">
            <w:pPr>
              <w:pStyle w:val="Tablewriting"/>
              <w:rPr>
                <w:rFonts w:eastAsia="MS Mincho"/>
              </w:rPr>
            </w:pPr>
            <w:r>
              <w:rPr>
                <w:rFonts w:eastAsia="MS Mincho"/>
              </w:rPr>
              <w:t>Schnoll (2010)</w:t>
            </w:r>
          </w:p>
        </w:tc>
        <w:tc>
          <w:tcPr>
            <w:tcW w:w="399" w:type="pct"/>
            <w:shd w:val="clear" w:color="auto" w:fill="D9D9D9" w:themeFill="background1" w:themeFillShade="D9"/>
          </w:tcPr>
          <w:p w14:paraId="7892AF60" w14:textId="36BD883B" w:rsidR="00FC0601" w:rsidRDefault="00FC0601" w:rsidP="00F207DC">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0A316735" w14:textId="22F6758F" w:rsidR="00FC0601" w:rsidRDefault="00FC0601" w:rsidP="00F207DC">
            <w:pPr>
              <w:pStyle w:val="Tablewriting"/>
              <w:rPr>
                <w:rFonts w:eastAsia="MS Mincho"/>
              </w:rPr>
            </w:pPr>
            <w:r>
              <w:rPr>
                <w:rFonts w:eastAsia="MS Mincho"/>
              </w:rPr>
              <w:t>N=</w:t>
            </w:r>
            <w:r w:rsidR="004614A2">
              <w:rPr>
                <w:rFonts w:eastAsia="MS Mincho"/>
              </w:rPr>
              <w:t>642</w:t>
            </w:r>
          </w:p>
          <w:p w14:paraId="24512576" w14:textId="233AAE69" w:rsidR="00FC0601" w:rsidRDefault="00FC0601" w:rsidP="00F207DC">
            <w:pPr>
              <w:pStyle w:val="Tablewriting"/>
              <w:rPr>
                <w:rFonts w:eastAsia="MS Mincho"/>
              </w:rPr>
            </w:pPr>
            <w:r>
              <w:rPr>
                <w:rFonts w:eastAsia="MS Mincho"/>
              </w:rPr>
              <w:t>NRT lozenge (n=</w:t>
            </w:r>
            <w:r w:rsidR="009F718F">
              <w:rPr>
                <w:rFonts w:eastAsia="MS Mincho"/>
              </w:rPr>
              <w:t>321</w:t>
            </w:r>
            <w:r>
              <w:rPr>
                <w:rFonts w:eastAsia="MS Mincho"/>
              </w:rPr>
              <w:t>),</w:t>
            </w:r>
          </w:p>
          <w:p w14:paraId="0D95C009" w14:textId="3955D59B" w:rsidR="00FC0601" w:rsidRDefault="00FC0601" w:rsidP="00F207DC">
            <w:pPr>
              <w:pStyle w:val="Tablewriting"/>
              <w:rPr>
                <w:rFonts w:eastAsia="MS Mincho"/>
              </w:rPr>
            </w:pPr>
            <w:r>
              <w:rPr>
                <w:rFonts w:eastAsia="MS Mincho"/>
              </w:rPr>
              <w:t>NRT patch (n=</w:t>
            </w:r>
            <w:r w:rsidR="009F718F">
              <w:rPr>
                <w:rFonts w:eastAsia="MS Mincho"/>
              </w:rPr>
              <w:t>321</w:t>
            </w:r>
            <w:r>
              <w:rPr>
                <w:rFonts w:eastAsia="MS Mincho"/>
              </w:rPr>
              <w:t>)</w:t>
            </w:r>
          </w:p>
        </w:tc>
        <w:tc>
          <w:tcPr>
            <w:tcW w:w="1870" w:type="pct"/>
            <w:shd w:val="clear" w:color="auto" w:fill="D9D9D9" w:themeFill="background1" w:themeFillShade="D9"/>
            <w:tcMar>
              <w:left w:w="28" w:type="dxa"/>
              <w:right w:w="28" w:type="dxa"/>
            </w:tcMar>
          </w:tcPr>
          <w:p w14:paraId="57A07D0E" w14:textId="729E18FE" w:rsidR="00FC0601" w:rsidRDefault="00FC0601" w:rsidP="00F207DC">
            <w:pPr>
              <w:pStyle w:val="Tablewriting"/>
              <w:rPr>
                <w:rFonts w:eastAsia="MS Mincho"/>
              </w:rPr>
            </w:pPr>
            <w:r w:rsidRPr="007F28D7">
              <w:rPr>
                <w:rFonts w:eastAsia="MS Mincho"/>
                <w:u w:val="single"/>
              </w:rPr>
              <w:t>Inclusion</w:t>
            </w:r>
            <w:r>
              <w:rPr>
                <w:rFonts w:eastAsia="MS Mincho"/>
              </w:rPr>
              <w:t xml:space="preserve">: </w:t>
            </w:r>
            <w:r w:rsidR="005B1922" w:rsidRPr="005B1922">
              <w:rPr>
                <w:rFonts w:eastAsia="MS Mincho"/>
              </w:rPr>
              <w:t>≥18 years of age, plan to reside in the geographic</w:t>
            </w:r>
            <w:r w:rsidR="005B1922">
              <w:rPr>
                <w:rFonts w:eastAsia="MS Mincho"/>
              </w:rPr>
              <w:t xml:space="preserve"> </w:t>
            </w:r>
            <w:r w:rsidR="005B1922" w:rsidRPr="005B1922">
              <w:rPr>
                <w:rFonts w:eastAsia="MS Mincho"/>
              </w:rPr>
              <w:t>area for ≥6</w:t>
            </w:r>
            <w:r w:rsidR="009C5976">
              <w:rPr>
                <w:rFonts w:eastAsia="MS Mincho"/>
              </w:rPr>
              <w:t xml:space="preserve"> </w:t>
            </w:r>
            <w:r w:rsidR="005B1922" w:rsidRPr="005B1922">
              <w:rPr>
                <w:rFonts w:eastAsia="MS Mincho"/>
              </w:rPr>
              <w:t xml:space="preserve">months, ≥10 cigarettes </w:t>
            </w:r>
            <w:r w:rsidR="00114214">
              <w:rPr>
                <w:rFonts w:eastAsia="MS Mincho"/>
              </w:rPr>
              <w:t xml:space="preserve">per </w:t>
            </w:r>
            <w:r w:rsidR="005B1922" w:rsidRPr="005B1922">
              <w:rPr>
                <w:rFonts w:eastAsia="MS Mincho"/>
              </w:rPr>
              <w:t>day, and be willing to</w:t>
            </w:r>
            <w:r w:rsidR="009C5976">
              <w:rPr>
                <w:rFonts w:eastAsia="MS Mincho"/>
              </w:rPr>
              <w:t xml:space="preserve"> </w:t>
            </w:r>
            <w:r w:rsidR="005B1922" w:rsidRPr="005B1922">
              <w:rPr>
                <w:rFonts w:eastAsia="MS Mincho"/>
              </w:rPr>
              <w:t>defer use of other forms of smoking cessation treatments for 6 months</w:t>
            </w:r>
            <w:r w:rsidR="009C5976">
              <w:rPr>
                <w:rFonts w:eastAsia="MS Mincho"/>
              </w:rPr>
              <w:t>.</w:t>
            </w:r>
          </w:p>
          <w:p w14:paraId="7E374EDE" w14:textId="2BD6E53F" w:rsidR="00FC0601" w:rsidRPr="00061F78" w:rsidRDefault="00FC0601" w:rsidP="00F207DC">
            <w:pPr>
              <w:pStyle w:val="Tablewriting"/>
              <w:rPr>
                <w:rFonts w:eastAsia="MS Mincho"/>
              </w:rPr>
            </w:pPr>
            <w:r w:rsidRPr="007F28D7">
              <w:rPr>
                <w:rFonts w:eastAsia="MS Mincho"/>
                <w:u w:val="single"/>
              </w:rPr>
              <w:t>Exclusion</w:t>
            </w:r>
            <w:r>
              <w:rPr>
                <w:rFonts w:eastAsia="MS Mincho"/>
              </w:rPr>
              <w:t xml:space="preserve">: </w:t>
            </w:r>
            <w:r w:rsidR="006171A5" w:rsidRPr="006171A5">
              <w:rPr>
                <w:rFonts w:eastAsia="MS Mincho"/>
              </w:rPr>
              <w:t>allergy to adhesive tape or latex, had been diagnosed</w:t>
            </w:r>
            <w:r w:rsidR="006171A5">
              <w:rPr>
                <w:rFonts w:eastAsia="MS Mincho"/>
              </w:rPr>
              <w:t xml:space="preserve"> </w:t>
            </w:r>
            <w:r w:rsidR="006171A5" w:rsidRPr="006171A5">
              <w:rPr>
                <w:rFonts w:eastAsia="MS Mincho"/>
              </w:rPr>
              <w:t>with cancer within the previous 5 years, were HIV positive, had taken an antidepressant</w:t>
            </w:r>
            <w:r w:rsidR="006171A5">
              <w:rPr>
                <w:rFonts w:eastAsia="MS Mincho"/>
              </w:rPr>
              <w:t xml:space="preserve"> </w:t>
            </w:r>
            <w:r w:rsidR="006171A5" w:rsidRPr="006171A5">
              <w:rPr>
                <w:rFonts w:eastAsia="MS Mincho"/>
              </w:rPr>
              <w:t>within the past 6 months, were pregnant, nursing, or planning on becoming</w:t>
            </w:r>
            <w:r w:rsidR="006171A5">
              <w:rPr>
                <w:rFonts w:eastAsia="MS Mincho"/>
              </w:rPr>
              <w:t xml:space="preserve"> </w:t>
            </w:r>
            <w:r w:rsidR="006171A5" w:rsidRPr="006171A5">
              <w:rPr>
                <w:rFonts w:eastAsia="MS Mincho"/>
              </w:rPr>
              <w:t>pregnant during the course of the study, or were taking bupropion, monoamine</w:t>
            </w:r>
            <w:r w:rsidR="006171A5">
              <w:rPr>
                <w:rFonts w:eastAsia="MS Mincho"/>
              </w:rPr>
              <w:t xml:space="preserve"> </w:t>
            </w:r>
            <w:r w:rsidR="006171A5" w:rsidRPr="006171A5">
              <w:rPr>
                <w:rFonts w:eastAsia="MS Mincho"/>
              </w:rPr>
              <w:t>oxidase inhibitors, benzodiazepines, or antipsychotics</w:t>
            </w:r>
            <w:r w:rsidR="00114214">
              <w:rPr>
                <w:rFonts w:eastAsia="MS Mincho"/>
              </w:rPr>
              <w:t>,</w:t>
            </w:r>
            <w:r w:rsidR="006171A5" w:rsidRPr="006171A5">
              <w:rPr>
                <w:rFonts w:eastAsia="MS Mincho"/>
              </w:rPr>
              <w:t xml:space="preserve"> current alcohol dependence/abus</w:t>
            </w:r>
            <w:r w:rsidR="00A63BF2">
              <w:rPr>
                <w:rFonts w:eastAsia="MS Mincho"/>
              </w:rPr>
              <w:t>e</w:t>
            </w:r>
            <w:r w:rsidR="006171A5" w:rsidRPr="006171A5">
              <w:rPr>
                <w:rFonts w:eastAsia="MS Mincho"/>
              </w:rPr>
              <w:t>.</w:t>
            </w:r>
          </w:p>
        </w:tc>
        <w:tc>
          <w:tcPr>
            <w:tcW w:w="970" w:type="pct"/>
            <w:shd w:val="clear" w:color="auto" w:fill="D9D9D9" w:themeFill="background1" w:themeFillShade="D9"/>
          </w:tcPr>
          <w:p w14:paraId="4527496A" w14:textId="6F509F83" w:rsidR="00FC0601" w:rsidRDefault="00FC0601" w:rsidP="00F207DC">
            <w:pPr>
              <w:pStyle w:val="Tablewriting"/>
              <w:rPr>
                <w:rFonts w:eastAsia="MS Mincho"/>
              </w:rPr>
            </w:pPr>
            <w:r w:rsidRPr="00C5551B">
              <w:rPr>
                <w:rFonts w:eastAsia="MS Mincho"/>
              </w:rPr>
              <w:t>NRT</w:t>
            </w:r>
            <w:r>
              <w:rPr>
                <w:rFonts w:eastAsia="MS Mincho"/>
              </w:rPr>
              <w:t xml:space="preserve"> lozenge</w:t>
            </w:r>
            <w:r w:rsidRPr="00C5551B">
              <w:rPr>
                <w:rFonts w:eastAsia="MS Mincho"/>
              </w:rPr>
              <w:t xml:space="preserve">: </w:t>
            </w:r>
            <w:r>
              <w:rPr>
                <w:rFonts w:eastAsia="MS Mincho"/>
              </w:rPr>
              <w:t>4</w:t>
            </w:r>
            <w:r w:rsidR="009B2D79">
              <w:rPr>
                <w:rFonts w:eastAsia="MS Mincho"/>
              </w:rPr>
              <w:t xml:space="preserve"> </w:t>
            </w:r>
            <w:r w:rsidRPr="007E4813">
              <w:rPr>
                <w:rFonts w:eastAsia="MS Mincho"/>
              </w:rPr>
              <w:t>mg if first cig</w:t>
            </w:r>
            <w:r>
              <w:rPr>
                <w:rFonts w:eastAsia="MS Mincho"/>
              </w:rPr>
              <w:t>arette</w:t>
            </w:r>
            <w:r w:rsidRPr="007E4813">
              <w:rPr>
                <w:rFonts w:eastAsia="MS Mincho"/>
              </w:rPr>
              <w:t xml:space="preserve"> of day smoked &gt;30 mins after waking, 2</w:t>
            </w:r>
            <w:r w:rsidR="009B2D79">
              <w:rPr>
                <w:rFonts w:eastAsia="MS Mincho"/>
              </w:rPr>
              <w:t xml:space="preserve"> </w:t>
            </w:r>
            <w:r w:rsidRPr="007E4813">
              <w:rPr>
                <w:rFonts w:eastAsia="MS Mincho"/>
              </w:rPr>
              <w:t>mg otherwise.</w:t>
            </w:r>
            <w:r>
              <w:rPr>
                <w:rFonts w:eastAsia="MS Mincho"/>
              </w:rPr>
              <w:t xml:space="preserve"> </w:t>
            </w:r>
            <w:r w:rsidRPr="007E4813">
              <w:rPr>
                <w:rFonts w:eastAsia="MS Mincho"/>
              </w:rPr>
              <w:t xml:space="preserve">1 lozenge every 1-2 hrs post-quit </w:t>
            </w:r>
            <w:r>
              <w:rPr>
                <w:rFonts w:eastAsia="MS Mincho"/>
              </w:rPr>
              <w:t>(</w:t>
            </w:r>
            <w:r w:rsidR="00D562FA">
              <w:rPr>
                <w:rFonts w:eastAsia="MS Mincho"/>
              </w:rPr>
              <w:t>w</w:t>
            </w:r>
            <w:r>
              <w:rPr>
                <w:rFonts w:eastAsia="MS Mincho"/>
              </w:rPr>
              <w:t>ee</w:t>
            </w:r>
            <w:r w:rsidRPr="007E4813">
              <w:rPr>
                <w:rFonts w:eastAsia="MS Mincho"/>
              </w:rPr>
              <w:t>k 1-6</w:t>
            </w:r>
            <w:r>
              <w:rPr>
                <w:rFonts w:eastAsia="MS Mincho"/>
              </w:rPr>
              <w:t>)</w:t>
            </w:r>
            <w:r w:rsidRPr="007E4813">
              <w:rPr>
                <w:rFonts w:eastAsia="MS Mincho"/>
              </w:rPr>
              <w:t xml:space="preserve">; 1 lozenge every 2-4 hrs </w:t>
            </w:r>
            <w:r>
              <w:rPr>
                <w:rFonts w:eastAsia="MS Mincho"/>
              </w:rPr>
              <w:t>(</w:t>
            </w:r>
            <w:r w:rsidR="00D562FA">
              <w:rPr>
                <w:rFonts w:eastAsia="MS Mincho"/>
              </w:rPr>
              <w:t>w</w:t>
            </w:r>
            <w:r>
              <w:rPr>
                <w:rFonts w:eastAsia="MS Mincho"/>
              </w:rPr>
              <w:t>ee</w:t>
            </w:r>
            <w:r w:rsidRPr="007E4813">
              <w:rPr>
                <w:rFonts w:eastAsia="MS Mincho"/>
              </w:rPr>
              <w:t>k 7-9</w:t>
            </w:r>
            <w:r>
              <w:rPr>
                <w:rFonts w:eastAsia="MS Mincho"/>
              </w:rPr>
              <w:t>)</w:t>
            </w:r>
            <w:r w:rsidRPr="007E4813">
              <w:rPr>
                <w:rFonts w:eastAsia="MS Mincho"/>
              </w:rPr>
              <w:t xml:space="preserve">; 1 lozenge every 4-8 hrs </w:t>
            </w:r>
            <w:r>
              <w:rPr>
                <w:rFonts w:eastAsia="MS Mincho"/>
              </w:rPr>
              <w:t>(</w:t>
            </w:r>
            <w:r w:rsidR="00D562FA">
              <w:rPr>
                <w:rFonts w:eastAsia="MS Mincho"/>
              </w:rPr>
              <w:t>w</w:t>
            </w:r>
            <w:r>
              <w:rPr>
                <w:rFonts w:eastAsia="MS Mincho"/>
              </w:rPr>
              <w:t>ee</w:t>
            </w:r>
            <w:r w:rsidRPr="007E4813">
              <w:rPr>
                <w:rFonts w:eastAsia="MS Mincho"/>
              </w:rPr>
              <w:t>k</w:t>
            </w:r>
            <w:r>
              <w:rPr>
                <w:rFonts w:eastAsia="MS Mincho"/>
              </w:rPr>
              <w:t xml:space="preserve"> </w:t>
            </w:r>
            <w:r w:rsidRPr="007E4813">
              <w:rPr>
                <w:rFonts w:eastAsia="MS Mincho"/>
              </w:rPr>
              <w:t>10-12)</w:t>
            </w:r>
            <w:r w:rsidR="008C1099">
              <w:rPr>
                <w:rFonts w:eastAsia="MS Mincho"/>
              </w:rPr>
              <w:t xml:space="preserve">; </w:t>
            </w:r>
            <w:r>
              <w:rPr>
                <w:rFonts w:eastAsia="MS Mincho"/>
              </w:rPr>
              <w:t>NRT patch</w:t>
            </w:r>
            <w:r w:rsidRPr="00C5551B">
              <w:rPr>
                <w:rFonts w:eastAsia="MS Mincho"/>
              </w:rPr>
              <w:t xml:space="preserve">: </w:t>
            </w:r>
            <w:r w:rsidRPr="00F2485E">
              <w:rPr>
                <w:rFonts w:eastAsia="MS Mincho"/>
              </w:rPr>
              <w:t>21</w:t>
            </w:r>
            <w:r w:rsidR="009B2D79">
              <w:rPr>
                <w:rFonts w:eastAsia="MS Mincho"/>
              </w:rPr>
              <w:t xml:space="preserve"> </w:t>
            </w:r>
            <w:r w:rsidRPr="00F2485E">
              <w:rPr>
                <w:rFonts w:eastAsia="MS Mincho"/>
              </w:rPr>
              <w:t xml:space="preserve">mg post-quit </w:t>
            </w:r>
            <w:r w:rsidR="00D562FA">
              <w:rPr>
                <w:rFonts w:eastAsia="MS Mincho"/>
              </w:rPr>
              <w:t>w</w:t>
            </w:r>
            <w:r>
              <w:rPr>
                <w:rFonts w:eastAsia="MS Mincho"/>
              </w:rPr>
              <w:t>ee</w:t>
            </w:r>
            <w:r w:rsidRPr="00F2485E">
              <w:rPr>
                <w:rFonts w:eastAsia="MS Mincho"/>
              </w:rPr>
              <w:t>k 1-4; 14</w:t>
            </w:r>
            <w:r w:rsidR="009B2D79">
              <w:rPr>
                <w:rFonts w:eastAsia="MS Mincho"/>
              </w:rPr>
              <w:t xml:space="preserve"> </w:t>
            </w:r>
            <w:r w:rsidRPr="00F2485E">
              <w:rPr>
                <w:rFonts w:eastAsia="MS Mincho"/>
              </w:rPr>
              <w:t xml:space="preserve">mg </w:t>
            </w:r>
            <w:r w:rsidR="00D562FA">
              <w:rPr>
                <w:rFonts w:eastAsia="MS Mincho"/>
              </w:rPr>
              <w:t>w</w:t>
            </w:r>
            <w:r>
              <w:rPr>
                <w:rFonts w:eastAsia="MS Mincho"/>
              </w:rPr>
              <w:t>ee</w:t>
            </w:r>
            <w:r w:rsidRPr="00F2485E">
              <w:rPr>
                <w:rFonts w:eastAsia="MS Mincho"/>
              </w:rPr>
              <w:t>k 5-6; 7</w:t>
            </w:r>
            <w:r w:rsidR="009B2D79">
              <w:rPr>
                <w:rFonts w:eastAsia="MS Mincho"/>
              </w:rPr>
              <w:t xml:space="preserve"> </w:t>
            </w:r>
            <w:r w:rsidRPr="00F2485E">
              <w:rPr>
                <w:rFonts w:eastAsia="MS Mincho"/>
              </w:rPr>
              <w:t xml:space="preserve">mg </w:t>
            </w:r>
            <w:r w:rsidR="00D562FA">
              <w:rPr>
                <w:rFonts w:eastAsia="MS Mincho"/>
              </w:rPr>
              <w:t>w</w:t>
            </w:r>
            <w:r>
              <w:rPr>
                <w:rFonts w:eastAsia="MS Mincho"/>
              </w:rPr>
              <w:t>ee</w:t>
            </w:r>
            <w:r w:rsidRPr="00F2485E">
              <w:rPr>
                <w:rFonts w:eastAsia="MS Mincho"/>
              </w:rPr>
              <w:t>k 7-8</w:t>
            </w:r>
            <w:r w:rsidR="00AB5FA3">
              <w:rPr>
                <w:rFonts w:eastAsia="MS Mincho"/>
              </w:rPr>
              <w:t>.</w:t>
            </w:r>
          </w:p>
          <w:p w14:paraId="7A4FBA99" w14:textId="77777777" w:rsidR="00282B43" w:rsidRDefault="00282B43" w:rsidP="00F207DC">
            <w:pPr>
              <w:pStyle w:val="Tablewriting"/>
              <w:rPr>
                <w:rFonts w:eastAsia="MS Mincho"/>
              </w:rPr>
            </w:pPr>
          </w:p>
          <w:p w14:paraId="762B1090" w14:textId="4501C0A8" w:rsidR="00282B43" w:rsidRPr="00061F78" w:rsidRDefault="00282B43" w:rsidP="00F207DC">
            <w:pPr>
              <w:pStyle w:val="Tablewriting"/>
              <w:rPr>
                <w:rFonts w:eastAsia="MS Mincho"/>
              </w:rPr>
            </w:pPr>
            <w:r w:rsidRPr="00282B43">
              <w:rPr>
                <w:rFonts w:eastAsia="MS Mincho"/>
              </w:rPr>
              <w:t>Behavioural support provided in both arms.</w:t>
            </w:r>
          </w:p>
        </w:tc>
        <w:tc>
          <w:tcPr>
            <w:tcW w:w="1096" w:type="pct"/>
            <w:shd w:val="clear" w:color="auto" w:fill="D9D9D9" w:themeFill="background1" w:themeFillShade="D9"/>
            <w:tcMar>
              <w:left w:w="28" w:type="dxa"/>
              <w:right w:w="28" w:type="dxa"/>
            </w:tcMar>
          </w:tcPr>
          <w:p w14:paraId="3C71644F" w14:textId="397AC879" w:rsidR="00FC0601" w:rsidRDefault="00FC0601" w:rsidP="00F207DC">
            <w:pPr>
              <w:pStyle w:val="Tablewriting"/>
              <w:rPr>
                <w:rFonts w:eastAsia="MS Mincho"/>
              </w:rPr>
            </w:pPr>
            <w:r w:rsidRPr="0036499C">
              <w:rPr>
                <w:rFonts w:eastAsia="MS Mincho"/>
                <w:u w:val="single"/>
              </w:rPr>
              <w:t>Primary</w:t>
            </w:r>
            <w:r>
              <w:rPr>
                <w:rFonts w:eastAsia="MS Mincho"/>
              </w:rPr>
              <w:t xml:space="preserve">: </w:t>
            </w:r>
            <w:r w:rsidR="00CB2537">
              <w:rPr>
                <w:rFonts w:eastAsia="MS Mincho"/>
              </w:rPr>
              <w:t>24-hour PPA</w:t>
            </w:r>
            <w:r>
              <w:rPr>
                <w:rFonts w:eastAsia="MS Mincho"/>
              </w:rPr>
              <w:t xml:space="preserve"> at </w:t>
            </w:r>
            <w:r w:rsidR="00315F02">
              <w:rPr>
                <w:rFonts w:eastAsia="MS Mincho"/>
              </w:rPr>
              <w:t xml:space="preserve">end of treatment </w:t>
            </w:r>
            <w:r>
              <w:rPr>
                <w:rFonts w:eastAsia="MS Mincho"/>
              </w:rPr>
              <w:t xml:space="preserve">and 6 months. </w:t>
            </w:r>
            <w:r w:rsidR="00315F02">
              <w:rPr>
                <w:rFonts w:eastAsia="MS Mincho"/>
              </w:rPr>
              <w:t>Validated by CO</w:t>
            </w:r>
            <w:r w:rsidR="00A4752C">
              <w:rPr>
                <w:rFonts w:eastAsia="MS Mincho"/>
              </w:rPr>
              <w:t xml:space="preserve"> </w:t>
            </w:r>
            <w:r w:rsidR="00315F02">
              <w:rPr>
                <w:rFonts w:eastAsia="MS Mincho"/>
              </w:rPr>
              <w:t>&lt;10</w:t>
            </w:r>
            <w:r w:rsidR="009B2D79">
              <w:rPr>
                <w:rFonts w:eastAsia="MS Mincho"/>
              </w:rPr>
              <w:t xml:space="preserve"> </w:t>
            </w:r>
            <w:r w:rsidR="00315F02">
              <w:rPr>
                <w:rFonts w:eastAsia="MS Mincho"/>
              </w:rPr>
              <w:t>ppm.</w:t>
            </w:r>
          </w:p>
          <w:p w14:paraId="2980C4C2" w14:textId="1E92C86C" w:rsidR="00FC0601" w:rsidRPr="00061F78" w:rsidRDefault="00FC0601" w:rsidP="00F207DC">
            <w:pPr>
              <w:pStyle w:val="Tablewriting"/>
              <w:rPr>
                <w:rFonts w:eastAsia="MS Mincho"/>
              </w:rPr>
            </w:pPr>
            <w:r w:rsidRPr="0036499C">
              <w:rPr>
                <w:rFonts w:eastAsia="MS Mincho"/>
                <w:u w:val="single"/>
              </w:rPr>
              <w:t>Secondary</w:t>
            </w:r>
            <w:r>
              <w:rPr>
                <w:rFonts w:eastAsia="MS Mincho"/>
              </w:rPr>
              <w:t xml:space="preserve">: </w:t>
            </w:r>
            <w:r w:rsidR="000F033C">
              <w:rPr>
                <w:rFonts w:eastAsia="MS Mincho"/>
              </w:rPr>
              <w:t xml:space="preserve">adverse events measured </w:t>
            </w:r>
            <w:r w:rsidR="00FB4A7A" w:rsidRPr="00FB4A7A">
              <w:rPr>
                <w:rFonts w:eastAsia="MS Mincho"/>
              </w:rPr>
              <w:t>at end of treatment (12 weeks) and at 6 m</w:t>
            </w:r>
            <w:r w:rsidR="00FB4A7A">
              <w:rPr>
                <w:rFonts w:eastAsia="MS Mincho"/>
              </w:rPr>
              <w:t>onths</w:t>
            </w:r>
            <w:r w:rsidR="00FB4A7A" w:rsidRPr="00FB4A7A">
              <w:rPr>
                <w:rFonts w:eastAsia="MS Mincho"/>
              </w:rPr>
              <w:t xml:space="preserve"> follow-up</w:t>
            </w:r>
            <w:r w:rsidR="00AB5FA3">
              <w:rPr>
                <w:rFonts w:eastAsia="MS Mincho"/>
              </w:rPr>
              <w:t>.</w:t>
            </w:r>
          </w:p>
        </w:tc>
      </w:tr>
      <w:tr w:rsidR="00700FFA" w:rsidRPr="00061F78" w14:paraId="30DFCE09" w14:textId="77777777" w:rsidTr="00152F79">
        <w:trPr>
          <w:trHeight w:val="149"/>
        </w:trPr>
        <w:tc>
          <w:tcPr>
            <w:tcW w:w="320" w:type="pct"/>
            <w:shd w:val="clear" w:color="auto" w:fill="D9D9D9" w:themeFill="background1" w:themeFillShade="D9"/>
            <w:tcMar>
              <w:left w:w="28" w:type="dxa"/>
              <w:right w:w="28" w:type="dxa"/>
            </w:tcMar>
          </w:tcPr>
          <w:p w14:paraId="24BA4326" w14:textId="6523F5C4" w:rsidR="00700FFA" w:rsidRDefault="00700FFA" w:rsidP="00F207DC">
            <w:pPr>
              <w:pStyle w:val="Tablewriting"/>
              <w:rPr>
                <w:rFonts w:eastAsia="MS Mincho"/>
              </w:rPr>
            </w:pPr>
            <w:r>
              <w:rPr>
                <w:rFonts w:eastAsia="MS Mincho"/>
              </w:rPr>
              <w:t>Stead (2012)</w:t>
            </w:r>
            <w:r w:rsidR="00154CDD">
              <w:rPr>
                <w:rFonts w:eastAsia="MS Mincho"/>
              </w:rPr>
              <w:t xml:space="preserve"> </w:t>
            </w:r>
          </w:p>
        </w:tc>
        <w:tc>
          <w:tcPr>
            <w:tcW w:w="399" w:type="pct"/>
            <w:shd w:val="clear" w:color="auto" w:fill="D9D9D9" w:themeFill="background1" w:themeFillShade="D9"/>
          </w:tcPr>
          <w:p w14:paraId="18AEE006" w14:textId="1F67528E" w:rsidR="00700FFA" w:rsidRPr="00C14F02" w:rsidRDefault="00493F57" w:rsidP="00F207DC">
            <w:pPr>
              <w:pStyle w:val="Tablewriting"/>
              <w:rPr>
                <w:rFonts w:eastAsia="MS Mincho"/>
                <w:vertAlign w:val="superscript"/>
              </w:rPr>
            </w:pPr>
            <w:r>
              <w:rPr>
                <w:rFonts w:eastAsia="MS Mincho"/>
              </w:rPr>
              <w:t>Cochrane Review</w:t>
            </w:r>
            <w:r w:rsidR="00016B50">
              <w:rPr>
                <w:rFonts w:eastAsia="MS Mincho"/>
                <w:vertAlign w:val="superscript"/>
              </w:rPr>
              <w:t>2</w:t>
            </w:r>
          </w:p>
        </w:tc>
        <w:tc>
          <w:tcPr>
            <w:tcW w:w="345" w:type="pct"/>
            <w:shd w:val="clear" w:color="auto" w:fill="D9D9D9" w:themeFill="background1" w:themeFillShade="D9"/>
            <w:tcMar>
              <w:left w:w="28" w:type="dxa"/>
              <w:right w:w="28" w:type="dxa"/>
            </w:tcMar>
          </w:tcPr>
          <w:p w14:paraId="3C15A857" w14:textId="77777777" w:rsidR="00700FFA" w:rsidRDefault="00154CDD" w:rsidP="00F207DC">
            <w:pPr>
              <w:pStyle w:val="Tablewriting"/>
              <w:rPr>
                <w:rFonts w:eastAsia="MS Mincho"/>
              </w:rPr>
            </w:pPr>
            <w:r>
              <w:rPr>
                <w:rFonts w:eastAsia="MS Mincho"/>
              </w:rPr>
              <w:t>N=</w:t>
            </w:r>
            <w:r w:rsidR="00593067">
              <w:rPr>
                <w:rFonts w:eastAsia="MS Mincho"/>
              </w:rPr>
              <w:t>52,593</w:t>
            </w:r>
          </w:p>
          <w:p w14:paraId="4B7646F4" w14:textId="77777777" w:rsidR="00593067" w:rsidRDefault="00593067" w:rsidP="00F207DC">
            <w:pPr>
              <w:pStyle w:val="Tablewriting"/>
              <w:rPr>
                <w:rFonts w:eastAsia="MS Mincho"/>
              </w:rPr>
            </w:pPr>
            <w:r>
              <w:rPr>
                <w:rFonts w:eastAsia="MS Mincho"/>
              </w:rPr>
              <w:t xml:space="preserve">NRT </w:t>
            </w:r>
            <w:r w:rsidR="00B92C23">
              <w:rPr>
                <w:rFonts w:eastAsia="MS Mincho"/>
              </w:rPr>
              <w:t>gum v control (n=24, 534)</w:t>
            </w:r>
          </w:p>
          <w:p w14:paraId="07D50A25" w14:textId="19118809" w:rsidR="00BD0CC9" w:rsidRDefault="00BD0CC9" w:rsidP="00F207DC">
            <w:pPr>
              <w:pStyle w:val="Tablewriting"/>
              <w:rPr>
                <w:rFonts w:eastAsia="MS Mincho"/>
              </w:rPr>
            </w:pPr>
            <w:r>
              <w:rPr>
                <w:rFonts w:eastAsia="MS Mincho"/>
              </w:rPr>
              <w:t>NRT patch v control (n=28,059)</w:t>
            </w:r>
          </w:p>
        </w:tc>
        <w:tc>
          <w:tcPr>
            <w:tcW w:w="1870" w:type="pct"/>
            <w:shd w:val="clear" w:color="auto" w:fill="D9D9D9" w:themeFill="background1" w:themeFillShade="D9"/>
            <w:tcMar>
              <w:left w:w="28" w:type="dxa"/>
              <w:right w:w="28" w:type="dxa"/>
            </w:tcMar>
          </w:tcPr>
          <w:p w14:paraId="6763B977" w14:textId="77777777" w:rsidR="007A2825" w:rsidRDefault="00720596" w:rsidP="00F207DC">
            <w:pPr>
              <w:pStyle w:val="Tablewriting"/>
              <w:rPr>
                <w:rFonts w:eastAsia="MS Mincho"/>
              </w:rPr>
            </w:pPr>
            <w:r>
              <w:rPr>
                <w:rFonts w:eastAsia="MS Mincho"/>
              </w:rPr>
              <w:t>Inclusion: m</w:t>
            </w:r>
            <w:r w:rsidRPr="00720596">
              <w:rPr>
                <w:rFonts w:eastAsia="MS Mincho"/>
              </w:rPr>
              <w:t xml:space="preserve">en or women who smoked and were motivated to quit were included irrespective of the setting from which they were recruited and/or their initial level of nicotine dependence. </w:t>
            </w:r>
          </w:p>
          <w:p w14:paraId="12F2D741" w14:textId="001F98A7" w:rsidR="00700FFA" w:rsidRPr="00963F7C" w:rsidRDefault="007A2825" w:rsidP="00F207DC">
            <w:pPr>
              <w:pStyle w:val="Tablewriting"/>
              <w:rPr>
                <w:rFonts w:eastAsia="MS Mincho"/>
              </w:rPr>
            </w:pPr>
            <w:r>
              <w:rPr>
                <w:rFonts w:eastAsia="MS Mincho"/>
              </w:rPr>
              <w:t>Exclusion: t</w:t>
            </w:r>
            <w:r w:rsidR="00720596" w:rsidRPr="00720596">
              <w:rPr>
                <w:rFonts w:eastAsia="MS Mincho"/>
              </w:rPr>
              <w:t>rials that randomized physicians or other therapists to receive an educational intervention, which included encouraging their patients to use NRT</w:t>
            </w:r>
            <w:r w:rsidR="00AB5FA3">
              <w:rPr>
                <w:rFonts w:eastAsia="MS Mincho"/>
              </w:rPr>
              <w:t>.</w:t>
            </w:r>
          </w:p>
        </w:tc>
        <w:tc>
          <w:tcPr>
            <w:tcW w:w="970" w:type="pct"/>
            <w:shd w:val="clear" w:color="auto" w:fill="D9D9D9" w:themeFill="background1" w:themeFillShade="D9"/>
          </w:tcPr>
          <w:p w14:paraId="093899BB" w14:textId="62DEDF4B" w:rsidR="00700FFA" w:rsidRDefault="007A2825" w:rsidP="00F207DC">
            <w:pPr>
              <w:pStyle w:val="Tablewriting"/>
              <w:rPr>
                <w:rFonts w:eastAsia="MS Mincho"/>
              </w:rPr>
            </w:pPr>
            <w:r>
              <w:rPr>
                <w:rFonts w:eastAsia="MS Mincho"/>
              </w:rPr>
              <w:t xml:space="preserve">NRT: </w:t>
            </w:r>
            <w:r w:rsidR="009F1DEA">
              <w:rPr>
                <w:rFonts w:eastAsia="MS Mincho"/>
              </w:rPr>
              <w:t>c</w:t>
            </w:r>
            <w:r w:rsidR="009F1DEA" w:rsidRPr="009F1DEA">
              <w:rPr>
                <w:rFonts w:eastAsia="MS Mincho"/>
              </w:rPr>
              <w:t xml:space="preserve">omparisons of </w:t>
            </w:r>
            <w:r w:rsidR="009F1DEA">
              <w:rPr>
                <w:rFonts w:eastAsia="MS Mincho"/>
              </w:rPr>
              <w:t xml:space="preserve">any type </w:t>
            </w:r>
            <w:r w:rsidR="00265A4D">
              <w:rPr>
                <w:rFonts w:eastAsia="MS Mincho"/>
              </w:rPr>
              <w:t xml:space="preserve">of </w:t>
            </w:r>
            <w:r w:rsidR="009F1DEA" w:rsidRPr="009F1DEA">
              <w:rPr>
                <w:rFonts w:eastAsia="MS Mincho"/>
              </w:rPr>
              <w:t>NRT versus placebo or no NRT control</w:t>
            </w:r>
            <w:r w:rsidR="001D5B56">
              <w:rPr>
                <w:rFonts w:eastAsia="MS Mincho"/>
              </w:rPr>
              <w:t xml:space="preserve"> and c</w:t>
            </w:r>
            <w:r w:rsidR="004410CC" w:rsidRPr="004410CC">
              <w:rPr>
                <w:rFonts w:eastAsia="MS Mincho"/>
              </w:rPr>
              <w:t>ompari</w:t>
            </w:r>
            <w:r w:rsidR="001D5B56">
              <w:rPr>
                <w:rFonts w:eastAsia="MS Mincho"/>
              </w:rPr>
              <w:t xml:space="preserve">sons of </w:t>
            </w:r>
            <w:r w:rsidR="004410CC" w:rsidRPr="004410CC">
              <w:rPr>
                <w:rFonts w:eastAsia="MS Mincho"/>
              </w:rPr>
              <w:t>different doses of NRT, comparing more than one type of NRT to a single type, comparing NRT with bupropion and combinations of the two, and comparing use of NRT prior to quit date as opposed to from quit date only</w:t>
            </w:r>
            <w:r w:rsidR="001D5B56">
              <w:rPr>
                <w:rFonts w:eastAsia="MS Mincho"/>
              </w:rPr>
              <w:t>.</w:t>
            </w:r>
          </w:p>
        </w:tc>
        <w:tc>
          <w:tcPr>
            <w:tcW w:w="1096" w:type="pct"/>
            <w:shd w:val="clear" w:color="auto" w:fill="D9D9D9" w:themeFill="background1" w:themeFillShade="D9"/>
            <w:tcMar>
              <w:left w:w="28" w:type="dxa"/>
              <w:right w:w="28" w:type="dxa"/>
            </w:tcMar>
          </w:tcPr>
          <w:p w14:paraId="68C976E4" w14:textId="62F3C36F" w:rsidR="00700FFA" w:rsidRDefault="001D5B56" w:rsidP="00F207DC">
            <w:pPr>
              <w:pStyle w:val="Tablewriting"/>
              <w:rPr>
                <w:rFonts w:eastAsia="MS Mincho"/>
              </w:rPr>
            </w:pPr>
            <w:r>
              <w:rPr>
                <w:rFonts w:eastAsia="MS Mincho"/>
                <w:u w:val="single"/>
              </w:rPr>
              <w:t xml:space="preserve">Primary: </w:t>
            </w:r>
            <w:r w:rsidR="00261435" w:rsidRPr="002C19B4">
              <w:rPr>
                <w:rFonts w:eastAsia="MS Mincho"/>
              </w:rPr>
              <w:t>smoking cessation rates</w:t>
            </w:r>
            <w:r w:rsidR="00261435">
              <w:rPr>
                <w:rFonts w:eastAsia="MS Mincho"/>
              </w:rPr>
              <w:t xml:space="preserve"> of</w:t>
            </w:r>
            <w:r w:rsidR="00261435" w:rsidRPr="002C19B4">
              <w:rPr>
                <w:rFonts w:eastAsia="MS Mincho"/>
              </w:rPr>
              <w:t xml:space="preserve"> at least six months a</w:t>
            </w:r>
            <w:r w:rsidR="00261435">
              <w:rPr>
                <w:rFonts w:eastAsia="MS Mincho"/>
              </w:rPr>
              <w:t>ft</w:t>
            </w:r>
            <w:r w:rsidR="00261435" w:rsidRPr="002C19B4">
              <w:rPr>
                <w:rFonts w:eastAsia="MS Mincho"/>
              </w:rPr>
              <w:t>er baseline</w:t>
            </w:r>
            <w:r w:rsidR="00AB5FA3">
              <w:rPr>
                <w:rFonts w:eastAsia="MS Mincho"/>
              </w:rPr>
              <w:t>.</w:t>
            </w:r>
          </w:p>
          <w:p w14:paraId="5B6E487D" w14:textId="4F9C29AF" w:rsidR="00AD0730" w:rsidRPr="0036499C" w:rsidRDefault="00AD0730" w:rsidP="00F207DC">
            <w:pPr>
              <w:pStyle w:val="Tablewriting"/>
              <w:rPr>
                <w:rFonts w:eastAsia="MS Mincho"/>
                <w:u w:val="single"/>
              </w:rPr>
            </w:pPr>
            <w:r w:rsidRPr="0036499C">
              <w:rPr>
                <w:rFonts w:eastAsia="MS Mincho"/>
                <w:u w:val="single"/>
              </w:rPr>
              <w:t>Secondary</w:t>
            </w:r>
            <w:r>
              <w:rPr>
                <w:rFonts w:eastAsia="MS Mincho"/>
              </w:rPr>
              <w:t xml:space="preserve">: safety including cardiac adverse events, serious adverse </w:t>
            </w:r>
            <w:r w:rsidR="004C4EA7">
              <w:rPr>
                <w:rFonts w:eastAsia="MS Mincho"/>
              </w:rPr>
              <w:t>events,</w:t>
            </w:r>
            <w:r>
              <w:rPr>
                <w:rFonts w:eastAsia="MS Mincho"/>
              </w:rPr>
              <w:t xml:space="preserve"> and withdrawals due to treatment</w:t>
            </w:r>
            <w:r w:rsidR="00AB5FA3">
              <w:rPr>
                <w:rFonts w:eastAsia="MS Mincho"/>
              </w:rPr>
              <w:t>.</w:t>
            </w:r>
          </w:p>
        </w:tc>
      </w:tr>
      <w:tr w:rsidR="00260CD7" w:rsidRPr="00061F78" w14:paraId="0D471173" w14:textId="77777777" w:rsidTr="004C2B01">
        <w:trPr>
          <w:trHeight w:val="149"/>
        </w:trPr>
        <w:tc>
          <w:tcPr>
            <w:tcW w:w="320" w:type="pct"/>
            <w:tcMar>
              <w:left w:w="28" w:type="dxa"/>
              <w:right w:w="28" w:type="dxa"/>
            </w:tcMar>
          </w:tcPr>
          <w:p w14:paraId="39B9A8EF" w14:textId="77777777" w:rsidR="00BB2792" w:rsidRDefault="005F4502" w:rsidP="00F207DC">
            <w:pPr>
              <w:pStyle w:val="Tablewriting"/>
              <w:rPr>
                <w:rFonts w:eastAsia="MS Mincho"/>
              </w:rPr>
            </w:pPr>
            <w:r>
              <w:rPr>
                <w:rFonts w:eastAsia="MS Mincho"/>
              </w:rPr>
              <w:t>Lindson</w:t>
            </w:r>
          </w:p>
          <w:p w14:paraId="109E65B8" w14:textId="2C10A029" w:rsidR="005F4502" w:rsidRPr="004F1864" w:rsidRDefault="2297D542" w:rsidP="00F207DC">
            <w:pPr>
              <w:pStyle w:val="Tablewriting"/>
              <w:rPr>
                <w:rFonts w:eastAsia="MS Mincho"/>
              </w:rPr>
            </w:pPr>
            <w:r w:rsidRPr="0890AA69">
              <w:rPr>
                <w:rFonts w:eastAsia="MS Mincho"/>
              </w:rPr>
              <w:t>(2019)</w:t>
            </w:r>
          </w:p>
        </w:tc>
        <w:tc>
          <w:tcPr>
            <w:tcW w:w="399" w:type="pct"/>
          </w:tcPr>
          <w:p w14:paraId="27B10389" w14:textId="1706AA6E" w:rsidR="00BB2792" w:rsidRDefault="00BB2792" w:rsidP="00F207DC">
            <w:pPr>
              <w:pStyle w:val="Tablewriting"/>
              <w:rPr>
                <w:rFonts w:eastAsia="MS Mincho"/>
              </w:rPr>
            </w:pPr>
            <w:r>
              <w:rPr>
                <w:rFonts w:eastAsia="MS Mincho"/>
              </w:rPr>
              <w:t xml:space="preserve">Cochrane </w:t>
            </w:r>
            <w:r w:rsidR="00DC6241">
              <w:rPr>
                <w:rFonts w:eastAsia="MS Mincho"/>
              </w:rPr>
              <w:t>R</w:t>
            </w:r>
            <w:r>
              <w:rPr>
                <w:rFonts w:eastAsia="MS Mincho"/>
              </w:rPr>
              <w:t xml:space="preserve">eview    </w:t>
            </w:r>
          </w:p>
          <w:p w14:paraId="4CE16161" w14:textId="30208552" w:rsidR="00BB2792" w:rsidRPr="00C14F02" w:rsidRDefault="00BB2792" w:rsidP="00F207DC">
            <w:pPr>
              <w:pStyle w:val="Tablewriting"/>
              <w:rPr>
                <w:rFonts w:eastAsia="MS Mincho"/>
                <w:vertAlign w:val="superscript"/>
              </w:rPr>
            </w:pPr>
            <w:r>
              <w:rPr>
                <w:rFonts w:eastAsia="MS Mincho"/>
              </w:rPr>
              <w:t>(</w:t>
            </w:r>
            <w:r w:rsidR="00CF0451">
              <w:rPr>
                <w:rFonts w:eastAsia="MS Mincho"/>
              </w:rPr>
              <w:t>3</w:t>
            </w:r>
            <w:r>
              <w:rPr>
                <w:rFonts w:eastAsia="MS Mincho"/>
              </w:rPr>
              <w:t xml:space="preserve"> RCTs</w:t>
            </w:r>
            <w:r w:rsidR="00C52BD5">
              <w:rPr>
                <w:rFonts w:eastAsia="MS Mincho"/>
              </w:rPr>
              <w:t xml:space="preserve"> of lozenge versus patch, 2 RCTs of gum </w:t>
            </w:r>
            <w:r w:rsidR="00C52BD5">
              <w:rPr>
                <w:rFonts w:eastAsia="MS Mincho"/>
              </w:rPr>
              <w:lastRenderedPageBreak/>
              <w:t>versus patch)</w:t>
            </w:r>
            <w:r w:rsidR="00152F79">
              <w:rPr>
                <w:rFonts w:eastAsia="MS Mincho"/>
                <w:vertAlign w:val="superscript"/>
              </w:rPr>
              <w:t>3</w:t>
            </w:r>
          </w:p>
          <w:p w14:paraId="7D61B26E" w14:textId="77777777" w:rsidR="00BB2792" w:rsidRDefault="00BB2792" w:rsidP="00F207DC">
            <w:pPr>
              <w:pStyle w:val="Tablewriting"/>
              <w:rPr>
                <w:rFonts w:eastAsia="MS Mincho"/>
              </w:rPr>
            </w:pPr>
          </w:p>
        </w:tc>
        <w:tc>
          <w:tcPr>
            <w:tcW w:w="345" w:type="pct"/>
            <w:tcMar>
              <w:left w:w="28" w:type="dxa"/>
              <w:right w:w="28" w:type="dxa"/>
            </w:tcMar>
          </w:tcPr>
          <w:p w14:paraId="28073141" w14:textId="4293B1B8" w:rsidR="00BB2792" w:rsidRDefault="00BB2792" w:rsidP="00F207DC">
            <w:pPr>
              <w:pStyle w:val="Tablewriting"/>
              <w:rPr>
                <w:rFonts w:eastAsia="MS Mincho"/>
              </w:rPr>
            </w:pPr>
            <w:r>
              <w:rPr>
                <w:rFonts w:eastAsia="MS Mincho"/>
              </w:rPr>
              <w:lastRenderedPageBreak/>
              <w:t>N=</w:t>
            </w:r>
            <w:r w:rsidR="00320046">
              <w:rPr>
                <w:rFonts w:eastAsia="MS Mincho"/>
              </w:rPr>
              <w:t>3,319</w:t>
            </w:r>
          </w:p>
          <w:p w14:paraId="56F938DE" w14:textId="77777777" w:rsidR="00320046" w:rsidRDefault="00BB2792" w:rsidP="00F207DC">
            <w:pPr>
              <w:pStyle w:val="Tablewriting"/>
              <w:rPr>
                <w:rFonts w:eastAsia="MS Mincho"/>
              </w:rPr>
            </w:pPr>
            <w:r>
              <w:rPr>
                <w:rFonts w:eastAsia="MS Mincho"/>
              </w:rPr>
              <w:t xml:space="preserve">NRT </w:t>
            </w:r>
            <w:r w:rsidR="00320046">
              <w:rPr>
                <w:rFonts w:eastAsia="MS Mincho"/>
              </w:rPr>
              <w:t>lozenge</w:t>
            </w:r>
          </w:p>
          <w:p w14:paraId="36F957DD" w14:textId="412CD602" w:rsidR="00BB2792" w:rsidRDefault="00BB2792" w:rsidP="00F207DC">
            <w:pPr>
              <w:pStyle w:val="Tablewriting"/>
              <w:rPr>
                <w:rFonts w:eastAsia="MS Mincho"/>
              </w:rPr>
            </w:pPr>
            <w:r>
              <w:rPr>
                <w:rFonts w:eastAsia="MS Mincho"/>
              </w:rPr>
              <w:t>(n=</w:t>
            </w:r>
            <w:r w:rsidR="00C17C63">
              <w:rPr>
                <w:rFonts w:eastAsia="MS Mincho"/>
              </w:rPr>
              <w:t>842</w:t>
            </w:r>
            <w:r>
              <w:rPr>
                <w:rFonts w:eastAsia="MS Mincho"/>
              </w:rPr>
              <w:t>),</w:t>
            </w:r>
          </w:p>
          <w:p w14:paraId="16AC9D8B" w14:textId="0EE81DB1" w:rsidR="00BB2792" w:rsidRPr="00061F78" w:rsidRDefault="00C17C63" w:rsidP="00F207DC">
            <w:pPr>
              <w:pStyle w:val="Tablewriting"/>
              <w:rPr>
                <w:rFonts w:eastAsia="MS Mincho"/>
              </w:rPr>
            </w:pPr>
            <w:r>
              <w:rPr>
                <w:rFonts w:eastAsia="MS Mincho"/>
              </w:rPr>
              <w:t>NRT patch</w:t>
            </w:r>
            <w:r w:rsidR="00BB2792">
              <w:rPr>
                <w:rFonts w:eastAsia="MS Mincho"/>
              </w:rPr>
              <w:t xml:space="preserve"> (n=</w:t>
            </w:r>
            <w:r>
              <w:rPr>
                <w:rFonts w:eastAsia="MS Mincho"/>
              </w:rPr>
              <w:t>865</w:t>
            </w:r>
            <w:r w:rsidR="00BB2792">
              <w:rPr>
                <w:rFonts w:eastAsia="MS Mincho"/>
              </w:rPr>
              <w:t>)</w:t>
            </w:r>
            <w:r w:rsidR="00C22C97">
              <w:rPr>
                <w:rFonts w:eastAsia="MS Mincho"/>
              </w:rPr>
              <w:t xml:space="preserve">; NRT gum (n=63), </w:t>
            </w:r>
            <w:r w:rsidR="00C22C97">
              <w:rPr>
                <w:rFonts w:eastAsia="MS Mincho"/>
              </w:rPr>
              <w:lastRenderedPageBreak/>
              <w:t>NRT patch (n=55)</w:t>
            </w:r>
          </w:p>
        </w:tc>
        <w:tc>
          <w:tcPr>
            <w:tcW w:w="1870" w:type="pct"/>
            <w:tcMar>
              <w:left w:w="28" w:type="dxa"/>
              <w:right w:w="28" w:type="dxa"/>
            </w:tcMar>
          </w:tcPr>
          <w:p w14:paraId="058752A0" w14:textId="77777777" w:rsidR="006B4845" w:rsidRPr="007B7C66" w:rsidRDefault="006B4845" w:rsidP="00F207DC">
            <w:pPr>
              <w:pStyle w:val="Tablewriting"/>
              <w:rPr>
                <w:rFonts w:eastAsia="MS Mincho"/>
              </w:rPr>
            </w:pPr>
            <w:r w:rsidRPr="002C19B4">
              <w:rPr>
                <w:rFonts w:eastAsia="MS Mincho"/>
                <w:u w:val="single"/>
              </w:rPr>
              <w:lastRenderedPageBreak/>
              <w:t>Inclusion</w:t>
            </w:r>
            <w:r>
              <w:rPr>
                <w:rFonts w:eastAsia="MS Mincho"/>
              </w:rPr>
              <w:t xml:space="preserve">: </w:t>
            </w:r>
            <w:r w:rsidRPr="007B7C66">
              <w:rPr>
                <w:rFonts w:eastAsia="MS Mincho"/>
              </w:rPr>
              <w:t>men or women who smoked and were motivated to</w:t>
            </w:r>
          </w:p>
          <w:p w14:paraId="3379659E" w14:textId="77777777" w:rsidR="006B4845" w:rsidRPr="007B7C66" w:rsidRDefault="006B4845" w:rsidP="00F207DC">
            <w:pPr>
              <w:pStyle w:val="Tablewriting"/>
              <w:rPr>
                <w:rFonts w:eastAsia="MS Mincho"/>
              </w:rPr>
            </w:pPr>
            <w:r w:rsidRPr="007B7C66">
              <w:rPr>
                <w:rFonts w:eastAsia="MS Mincho"/>
              </w:rPr>
              <w:t>quit, irrespective of the setting from which they were recruited</w:t>
            </w:r>
          </w:p>
          <w:p w14:paraId="533C3FA8" w14:textId="77777777" w:rsidR="006B4845" w:rsidRDefault="006B4845" w:rsidP="00F207DC">
            <w:pPr>
              <w:pStyle w:val="Tablewriting"/>
              <w:rPr>
                <w:rFonts w:eastAsia="MS Mincho"/>
              </w:rPr>
            </w:pPr>
            <w:r w:rsidRPr="007B7C66">
              <w:rPr>
                <w:rFonts w:eastAsia="MS Mincho"/>
              </w:rPr>
              <w:t>or their initial level of nicotine dependence, or both</w:t>
            </w:r>
            <w:r>
              <w:rPr>
                <w:rFonts w:eastAsia="MS Mincho"/>
              </w:rPr>
              <w:t>.</w:t>
            </w:r>
          </w:p>
          <w:p w14:paraId="510E2FCD" w14:textId="713D0F19" w:rsidR="00BB2792" w:rsidRPr="00061F78" w:rsidRDefault="006B4845" w:rsidP="00F207DC">
            <w:pPr>
              <w:pStyle w:val="Tablewriting"/>
              <w:rPr>
                <w:rFonts w:eastAsia="MS Mincho"/>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AB5FA3">
              <w:rPr>
                <w:rFonts w:eastAsia="MS Mincho"/>
              </w:rPr>
              <w:t>.</w:t>
            </w:r>
          </w:p>
        </w:tc>
        <w:tc>
          <w:tcPr>
            <w:tcW w:w="970" w:type="pct"/>
          </w:tcPr>
          <w:p w14:paraId="0671FDA1" w14:textId="55EBECAB" w:rsidR="00BB2792" w:rsidRPr="00061F78" w:rsidRDefault="00BB2792" w:rsidP="00F207DC">
            <w:pPr>
              <w:pStyle w:val="Tablewriting"/>
              <w:rPr>
                <w:rFonts w:eastAsia="MS Mincho"/>
              </w:rPr>
            </w:pPr>
            <w:r>
              <w:rPr>
                <w:rFonts w:eastAsia="MS Mincho"/>
              </w:rPr>
              <w:t xml:space="preserve">NRT: </w:t>
            </w:r>
            <w:r w:rsidR="00014636">
              <w:rPr>
                <w:rFonts w:eastAsia="MS Mincho"/>
              </w:rPr>
              <w:t xml:space="preserve">comparison of </w:t>
            </w:r>
            <w:r w:rsidR="007E20B5">
              <w:rPr>
                <w:rFonts w:eastAsia="MS Mincho"/>
              </w:rPr>
              <w:t>any type of NRT</w:t>
            </w:r>
            <w:r w:rsidR="00014636">
              <w:rPr>
                <w:rFonts w:eastAsia="MS Mincho"/>
              </w:rPr>
              <w:t xml:space="preserve"> with another type of NRT</w:t>
            </w:r>
            <w:r w:rsidR="00E21D70">
              <w:rPr>
                <w:rFonts w:eastAsia="MS Mincho"/>
              </w:rPr>
              <w:t xml:space="preserve">, </w:t>
            </w:r>
            <w:r w:rsidR="004C4EA7">
              <w:rPr>
                <w:rFonts w:eastAsia="MS Mincho"/>
              </w:rPr>
              <w:t>i.e.,</w:t>
            </w:r>
            <w:r w:rsidR="00E21D70">
              <w:rPr>
                <w:rFonts w:eastAsia="MS Mincho"/>
              </w:rPr>
              <w:t xml:space="preserve"> </w:t>
            </w:r>
            <w:r w:rsidR="00014636">
              <w:rPr>
                <w:rFonts w:eastAsia="MS Mincho"/>
              </w:rPr>
              <w:t xml:space="preserve">patch, </w:t>
            </w:r>
            <w:r w:rsidR="00E21D70">
              <w:rPr>
                <w:rFonts w:eastAsia="MS Mincho"/>
              </w:rPr>
              <w:t>lozenge, gum etc.</w:t>
            </w:r>
          </w:p>
        </w:tc>
        <w:tc>
          <w:tcPr>
            <w:tcW w:w="1096" w:type="pct"/>
            <w:tcMar>
              <w:left w:w="28" w:type="dxa"/>
              <w:right w:w="28" w:type="dxa"/>
            </w:tcMar>
          </w:tcPr>
          <w:p w14:paraId="3AAB54A3" w14:textId="3C9D7542" w:rsidR="00F64D0A" w:rsidRDefault="00F64D0A" w:rsidP="00F207DC">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14:paraId="69020357" w14:textId="31B200CD" w:rsidR="00BB2792" w:rsidRPr="00061F78" w:rsidRDefault="00F64D0A" w:rsidP="00F207DC">
            <w:pPr>
              <w:pStyle w:val="Tablewriting"/>
              <w:rPr>
                <w:rFonts w:eastAsia="MS Mincho"/>
              </w:rPr>
            </w:pPr>
            <w:r w:rsidRPr="0036499C">
              <w:rPr>
                <w:rFonts w:eastAsia="MS Mincho"/>
                <w:u w:val="single"/>
              </w:rPr>
              <w:t>Secondary</w:t>
            </w:r>
            <w:r>
              <w:rPr>
                <w:rFonts w:eastAsia="MS Mincho"/>
              </w:rPr>
              <w:t xml:space="preserve">: safety including </w:t>
            </w:r>
            <w:r w:rsidR="002C4725">
              <w:rPr>
                <w:rFonts w:eastAsia="MS Mincho"/>
              </w:rPr>
              <w:t>cardiac</w:t>
            </w:r>
            <w:r>
              <w:rPr>
                <w:rFonts w:eastAsia="MS Mincho"/>
              </w:rPr>
              <w:t xml:space="preserve"> adverse events, serious adverse </w:t>
            </w:r>
            <w:r w:rsidR="004C4EA7">
              <w:rPr>
                <w:rFonts w:eastAsia="MS Mincho"/>
              </w:rPr>
              <w:t>events,</w:t>
            </w:r>
            <w:r>
              <w:rPr>
                <w:rFonts w:eastAsia="MS Mincho"/>
              </w:rPr>
              <w:t xml:space="preserve"> and </w:t>
            </w:r>
            <w:r w:rsidR="00691239">
              <w:rPr>
                <w:rFonts w:eastAsia="MS Mincho"/>
              </w:rPr>
              <w:t>withdrawals</w:t>
            </w:r>
            <w:r>
              <w:rPr>
                <w:rFonts w:eastAsia="MS Mincho"/>
              </w:rPr>
              <w:t xml:space="preserve"> due to </w:t>
            </w:r>
            <w:r w:rsidR="00691239">
              <w:rPr>
                <w:rFonts w:eastAsia="MS Mincho"/>
              </w:rPr>
              <w:t>treatment</w:t>
            </w:r>
            <w:r w:rsidR="00AB5FA3">
              <w:rPr>
                <w:rFonts w:eastAsia="MS Mincho"/>
              </w:rPr>
              <w:t>.</w:t>
            </w:r>
          </w:p>
        </w:tc>
      </w:tr>
    </w:tbl>
    <w:p w14:paraId="2740B1BE" w14:textId="1B0F5105" w:rsidR="0017445B" w:rsidRDefault="00FB4A7A" w:rsidP="00AB4506">
      <w:pPr>
        <w:pStyle w:val="TableFooter"/>
        <w:keepNext/>
        <w:jc w:val="both"/>
      </w:pPr>
      <w:r>
        <w:t xml:space="preserve">Abbreviations: </w:t>
      </w:r>
      <w:r w:rsidR="0017445B">
        <w:t>CAR = continuous abstinence rate; CO = carbon monoxide; NRT = nicotine replacement therapy; PPA = point prevalence abstinence; RCT = randomised controlled trial</w:t>
      </w:r>
      <w:r w:rsidR="0017445B" w:rsidRPr="00061F78">
        <w:t xml:space="preserve"> </w:t>
      </w:r>
    </w:p>
    <w:p w14:paraId="7ED1DE6B" w14:textId="58329310" w:rsidR="00FB4A7A" w:rsidRDefault="00FB4A7A" w:rsidP="00AB4506">
      <w:pPr>
        <w:pStyle w:val="TableFooter"/>
        <w:keepNext/>
        <w:jc w:val="both"/>
      </w:pPr>
      <w:r w:rsidRPr="00061F78">
        <w:rPr>
          <w:highlight w:val="lightGray"/>
        </w:rPr>
        <w:t>Shaded</w:t>
      </w:r>
      <w:r w:rsidRPr="00061F78">
        <w:t xml:space="preserve"> = previously considered by the PBAC</w:t>
      </w:r>
    </w:p>
    <w:p w14:paraId="544EB0F2" w14:textId="1B59E2F5" w:rsidR="00FB4A7A" w:rsidRDefault="00FB4A7A" w:rsidP="00AB4506">
      <w:pPr>
        <w:pStyle w:val="TableFooter"/>
        <w:keepNext/>
        <w:jc w:val="both"/>
      </w:pPr>
      <w:r>
        <w:t>1 Only the number of patients (n) in the relevant arms were included</w:t>
      </w:r>
      <w:r w:rsidR="00AB5FA3">
        <w:t>.</w:t>
      </w:r>
      <w:r>
        <w:t xml:space="preserve"> </w:t>
      </w:r>
    </w:p>
    <w:p w14:paraId="1F304A0A" w14:textId="4E7937AE" w:rsidR="00016B50" w:rsidRDefault="00FB4A7A" w:rsidP="00AB4506">
      <w:pPr>
        <w:pStyle w:val="TableFooter"/>
        <w:keepNext/>
        <w:jc w:val="both"/>
      </w:pPr>
      <w:r>
        <w:t xml:space="preserve">2 </w:t>
      </w:r>
      <w:r w:rsidR="003874E1" w:rsidRPr="003874E1">
        <w:t>The studies of NRT gum versus control (n=56) and NRT patches versus control (n=54) w</w:t>
      </w:r>
      <w:r w:rsidR="00C14F02">
        <w:t>ere</w:t>
      </w:r>
      <w:r w:rsidR="003874E1" w:rsidRPr="003874E1">
        <w:t xml:space="preserve"> updated in the </w:t>
      </w:r>
      <w:r w:rsidR="003874E1">
        <w:t xml:space="preserve">July 2017 </w:t>
      </w:r>
      <w:r w:rsidR="003874E1" w:rsidRPr="003874E1">
        <w:t>submission with an additional 11 studies comparing NRT patches with control</w:t>
      </w:r>
      <w:r w:rsidR="00AB5FA3">
        <w:t>.</w:t>
      </w:r>
    </w:p>
    <w:p w14:paraId="3A8C4F6C" w14:textId="747FC4FC" w:rsidR="00790AF1" w:rsidRDefault="00016B50" w:rsidP="00AB4506">
      <w:pPr>
        <w:pStyle w:val="TableFooter"/>
        <w:keepNext/>
        <w:jc w:val="both"/>
      </w:pPr>
      <w:r>
        <w:t xml:space="preserve">3 </w:t>
      </w:r>
      <w:r w:rsidR="00FB4A7A">
        <w:t xml:space="preserve">The characteristics of the individual studies comparing NRT lozenge or gum with NRT </w:t>
      </w:r>
      <w:r w:rsidR="00573F59">
        <w:t>patches</w:t>
      </w:r>
      <w:r w:rsidR="00FB4A7A">
        <w:t xml:space="preserve"> included in Lindson et al. (2019) are presented in </w:t>
      </w:r>
      <w:r w:rsidR="00FB4A7A" w:rsidRPr="0079330A">
        <w:t>Appendix</w:t>
      </w:r>
      <w:r w:rsidR="000B683C">
        <w:t xml:space="preserve"> Table 150</w:t>
      </w:r>
      <w:r w:rsidR="00FB4A7A">
        <w:t xml:space="preserve">. </w:t>
      </w:r>
      <w:r w:rsidR="00A10F8C">
        <w:t>Four studies</w:t>
      </w:r>
      <w:r w:rsidR="00FB4A7A">
        <w:t xml:space="preserve"> previously considered by the PBAC (</w:t>
      </w:r>
      <w:r w:rsidR="00723239">
        <w:t xml:space="preserve">Moolchan et al. 2005, </w:t>
      </w:r>
      <w:r w:rsidR="0030565B" w:rsidRPr="0030565B">
        <w:t>Piper et al. 2009, Smith et al. 2009</w:t>
      </w:r>
      <w:r w:rsidR="00723239">
        <w:t xml:space="preserve"> and</w:t>
      </w:r>
      <w:r w:rsidR="0030565B" w:rsidRPr="0030565B">
        <w:t xml:space="preserve"> Schnoll et al. 2010</w:t>
      </w:r>
      <w:r w:rsidR="00FB4A7A" w:rsidRPr="005B2A6C">
        <w:t>)</w:t>
      </w:r>
      <w:r w:rsidR="00FB4A7A">
        <w:t xml:space="preserve"> were </w:t>
      </w:r>
      <w:r w:rsidR="00A10F8C">
        <w:t>included in</w:t>
      </w:r>
      <w:r w:rsidR="00FB4A7A">
        <w:t xml:space="preserve"> the</w:t>
      </w:r>
      <w:r w:rsidR="00A10F8C">
        <w:t xml:space="preserve"> </w:t>
      </w:r>
      <w:r w:rsidR="0030565B">
        <w:t xml:space="preserve">primary </w:t>
      </w:r>
      <w:r w:rsidR="00FB4A7A">
        <w:t xml:space="preserve">efficacy analysis of </w:t>
      </w:r>
      <w:r w:rsidR="00A10F8C">
        <w:t>Lindson</w:t>
      </w:r>
      <w:r w:rsidR="00FB4A7A">
        <w:t xml:space="preserve"> et al. (201</w:t>
      </w:r>
      <w:r w:rsidR="005279EB">
        <w:t>9</w:t>
      </w:r>
      <w:r w:rsidR="00FB4A7A">
        <w:t>).</w:t>
      </w:r>
    </w:p>
    <w:p w14:paraId="6A824BA3" w14:textId="77777777" w:rsidR="00790AF1" w:rsidRDefault="00790AF1" w:rsidP="00C83EDA">
      <w:pPr>
        <w:sectPr w:rsidR="00790AF1" w:rsidSect="00790AF1">
          <w:pgSz w:w="16838" w:h="11906" w:orient="landscape"/>
          <w:pgMar w:top="1440" w:right="1440" w:bottom="1440" w:left="1440" w:header="708" w:footer="708" w:gutter="0"/>
          <w:cols w:space="708"/>
          <w:titlePg/>
          <w:docGrid w:linePitch="360"/>
        </w:sectPr>
      </w:pPr>
    </w:p>
    <w:p w14:paraId="3A84B867" w14:textId="234CF564" w:rsidR="005E6DBB" w:rsidRPr="005E6DBB" w:rsidRDefault="005E6DBB" w:rsidP="00AB4506">
      <w:pPr>
        <w:spacing w:after="120"/>
        <w:jc w:val="both"/>
        <w:rPr>
          <w:u w:val="single"/>
        </w:rPr>
      </w:pPr>
      <w:r w:rsidRPr="005E6DBB">
        <w:rPr>
          <w:u w:val="single"/>
        </w:rPr>
        <w:lastRenderedPageBreak/>
        <w:t>Efficacy</w:t>
      </w:r>
    </w:p>
    <w:p w14:paraId="0A85FC23" w14:textId="1D0FBC4B" w:rsidR="00AA58F4" w:rsidRDefault="005E6DBB" w:rsidP="00AB4506">
      <w:pPr>
        <w:spacing w:after="120"/>
        <w:jc w:val="both"/>
      </w:pPr>
      <w:r>
        <w:t xml:space="preserve">A summary of the smoking cessation rates </w:t>
      </w:r>
      <w:r w:rsidR="00B317AF">
        <w:t>for</w:t>
      </w:r>
      <w:r>
        <w:t xml:space="preserve"> at least six months follow-up </w:t>
      </w:r>
      <w:r w:rsidR="00552AA0">
        <w:t xml:space="preserve">comparing NRT </w:t>
      </w:r>
      <w:r w:rsidR="00573F59">
        <w:t>lozenges</w:t>
      </w:r>
      <w:r w:rsidR="00552AA0">
        <w:t xml:space="preserve"> or gum with NRT </w:t>
      </w:r>
      <w:r w:rsidR="00573F59">
        <w:t>patches</w:t>
      </w:r>
      <w:r>
        <w:t xml:space="preserve"> is presented in </w:t>
      </w:r>
      <w:r>
        <w:fldChar w:fldCharType="begin" w:fldLock="1"/>
      </w:r>
      <w:r>
        <w:instrText xml:space="preserve"> REF _Ref54622259 \h </w:instrText>
      </w:r>
      <w:r>
        <w:fldChar w:fldCharType="separate"/>
      </w:r>
      <w:r w:rsidR="00EC5CC7">
        <w:t xml:space="preserve">Table </w:t>
      </w:r>
      <w:r w:rsidR="00EC5CC7">
        <w:rPr>
          <w:noProof/>
        </w:rPr>
        <w:t>30</w:t>
      </w:r>
      <w:r>
        <w:fldChar w:fldCharType="end"/>
      </w:r>
      <w:r>
        <w:t xml:space="preserve">. The results of the </w:t>
      </w:r>
      <w:r w:rsidR="00BC44F3">
        <w:t xml:space="preserve">four studies previously considered by the PBAC demonstrated no statistically significant difference in long-term cessation rates between NRT </w:t>
      </w:r>
      <w:r w:rsidR="00573F59">
        <w:t>lozenges</w:t>
      </w:r>
      <w:r w:rsidR="00BC44F3">
        <w:t xml:space="preserve"> or gum and NRT </w:t>
      </w:r>
      <w:r w:rsidR="00573F59">
        <w:t>patches</w:t>
      </w:r>
      <w:r>
        <w:t>.</w:t>
      </w:r>
    </w:p>
    <w:p w14:paraId="6D958BE0" w14:textId="229647FA" w:rsidR="00AA58F4" w:rsidRDefault="00AA58F4" w:rsidP="00AB4506">
      <w:pPr>
        <w:spacing w:after="120"/>
        <w:jc w:val="both"/>
      </w:pPr>
      <w:r>
        <w:t>For NRT lozenges versus NRT patches, t</w:t>
      </w:r>
      <w:r w:rsidR="00B46E24">
        <w:t>he meta-analys</w:t>
      </w:r>
      <w:r w:rsidR="004A3DC8">
        <w:t>i</w:t>
      </w:r>
      <w:r w:rsidR="006030F7">
        <w:t>s</w:t>
      </w:r>
      <w:r w:rsidR="00B46E24">
        <w:t xml:space="preserve"> of the </w:t>
      </w:r>
      <w:r w:rsidR="00D73986">
        <w:t>three studies comparing NRT lozenge</w:t>
      </w:r>
      <w:r w:rsidR="008957D4">
        <w:t>s</w:t>
      </w:r>
      <w:r w:rsidR="00D73986">
        <w:t xml:space="preserve"> to NRT patches </w:t>
      </w:r>
      <w:r w:rsidR="00E03366">
        <w:t>(</w:t>
      </w:r>
      <w:r w:rsidR="006030F7">
        <w:t>RR</w:t>
      </w:r>
      <w:r w:rsidR="008957D4">
        <w:t>:</w:t>
      </w:r>
      <w:r w:rsidR="006030F7">
        <w:t xml:space="preserve"> 0.94</w:t>
      </w:r>
      <w:r w:rsidR="008957D4">
        <w:t>;</w:t>
      </w:r>
      <w:r w:rsidR="006030F7">
        <w:t xml:space="preserve"> 95%</w:t>
      </w:r>
      <w:r w:rsidR="008957D4">
        <w:t xml:space="preserve"> </w:t>
      </w:r>
      <w:r w:rsidR="006030F7">
        <w:t>CI</w:t>
      </w:r>
      <w:r w:rsidR="008957D4">
        <w:t>:</w:t>
      </w:r>
      <w:r w:rsidR="006030F7">
        <w:t xml:space="preserve"> 0.74, 1.18) </w:t>
      </w:r>
      <w:r w:rsidR="00AC3888">
        <w:t xml:space="preserve">that was previously considered by the PBAC </w:t>
      </w:r>
      <w:r w:rsidR="001D0EC7">
        <w:t xml:space="preserve">to support </w:t>
      </w:r>
      <w:r w:rsidR="00A004BF">
        <w:t xml:space="preserve">the claim of non-inferiority </w:t>
      </w:r>
      <w:r w:rsidR="008D384D">
        <w:t>wa</w:t>
      </w:r>
      <w:r w:rsidR="00333B5C">
        <w:t xml:space="preserve">s </w:t>
      </w:r>
      <w:r w:rsidR="007C259B">
        <w:t>c</w:t>
      </w:r>
      <w:r w:rsidR="00F248A6">
        <w:t>om</w:t>
      </w:r>
      <w:r w:rsidR="007C259B">
        <w:t xml:space="preserve">posed of </w:t>
      </w:r>
      <w:r w:rsidR="00333B5C">
        <w:t xml:space="preserve">the same </w:t>
      </w:r>
      <w:r w:rsidR="007C259B">
        <w:t xml:space="preserve">studies that were included </w:t>
      </w:r>
      <w:r w:rsidR="00333B5C">
        <w:t>in</w:t>
      </w:r>
      <w:r w:rsidR="007C259B">
        <w:t xml:space="preserve"> the meta-analysis by</w:t>
      </w:r>
      <w:r w:rsidR="00333B5C">
        <w:t xml:space="preserve"> Lindson et al. (2019)</w:t>
      </w:r>
      <w:r w:rsidR="008D384D">
        <w:t xml:space="preserve"> </w:t>
      </w:r>
      <w:r w:rsidR="00A004BF">
        <w:t>identified in this review</w:t>
      </w:r>
      <w:r w:rsidR="008D384D">
        <w:t>.</w:t>
      </w:r>
      <w:r w:rsidR="007C259B">
        <w:t xml:space="preserve"> </w:t>
      </w:r>
      <w:r w:rsidR="00407C59">
        <w:t>The slight difference in 95%</w:t>
      </w:r>
      <w:r w:rsidR="00713487">
        <w:t xml:space="preserve"> </w:t>
      </w:r>
      <w:r w:rsidR="00407C59">
        <w:t xml:space="preserve">CI </w:t>
      </w:r>
      <w:r w:rsidR="00C50B6D">
        <w:t>wa</w:t>
      </w:r>
      <w:r w:rsidR="00407C59">
        <w:t>s likely due to the application of a fixed</w:t>
      </w:r>
      <w:r w:rsidR="00713487">
        <w:t>-</w:t>
      </w:r>
      <w:r w:rsidR="00407C59">
        <w:t xml:space="preserve">effects model by Lindson et al. (2019). </w:t>
      </w:r>
    </w:p>
    <w:p w14:paraId="4B0A7807" w14:textId="51081D9D" w:rsidR="00E953F2" w:rsidRDefault="002B1433" w:rsidP="00AB4506">
      <w:pPr>
        <w:spacing w:after="120"/>
        <w:jc w:val="both"/>
      </w:pPr>
      <w:r>
        <w:t>For NRT gum versus NRT patches, t</w:t>
      </w:r>
      <w:r w:rsidR="00F248A6">
        <w:t>he</w:t>
      </w:r>
      <w:r w:rsidR="004A3DC8">
        <w:t xml:space="preserve"> indirect comparison of NRT gum to NRT patches (RR</w:t>
      </w:r>
      <w:r w:rsidR="00713487">
        <w:t>:</w:t>
      </w:r>
      <w:r w:rsidR="004A3DC8">
        <w:t xml:space="preserve"> </w:t>
      </w:r>
      <w:r w:rsidR="00811404">
        <w:t>0.91</w:t>
      </w:r>
      <w:r w:rsidR="00713487">
        <w:t>;</w:t>
      </w:r>
      <w:r w:rsidR="00811404">
        <w:t xml:space="preserve"> 95%</w:t>
      </w:r>
      <w:r w:rsidR="00713487">
        <w:t xml:space="preserve"> </w:t>
      </w:r>
      <w:r w:rsidR="00811404">
        <w:t>CI</w:t>
      </w:r>
      <w:r w:rsidR="00713487">
        <w:t>:</w:t>
      </w:r>
      <w:r w:rsidR="00811404">
        <w:t xml:space="preserve"> 0.80</w:t>
      </w:r>
      <w:r w:rsidR="00713487">
        <w:t>,</w:t>
      </w:r>
      <w:r w:rsidR="00811404">
        <w:t xml:space="preserve"> 1.04)</w:t>
      </w:r>
      <w:r w:rsidR="00AB4506">
        <w:t>,</w:t>
      </w:r>
      <w:r w:rsidR="00811404">
        <w:t xml:space="preserve"> </w:t>
      </w:r>
      <w:r w:rsidR="00217B42">
        <w:t xml:space="preserve">using </w:t>
      </w:r>
      <w:r w:rsidR="0027158E">
        <w:t xml:space="preserve">evidence from the Cochrane </w:t>
      </w:r>
      <w:r w:rsidR="00713487">
        <w:t>R</w:t>
      </w:r>
      <w:r w:rsidR="0027158E">
        <w:t>eview by Stead et al</w:t>
      </w:r>
      <w:r w:rsidR="00713487">
        <w:t>.</w:t>
      </w:r>
      <w:r w:rsidR="0027158E">
        <w:t xml:space="preserve"> (2012) and </w:t>
      </w:r>
      <w:r w:rsidR="0013609C">
        <w:t>considered by the PBAC</w:t>
      </w:r>
      <w:r w:rsidR="00AB4506">
        <w:t>,</w:t>
      </w:r>
      <w:r w:rsidR="0013609C">
        <w:t xml:space="preserve"> </w:t>
      </w:r>
      <w:r w:rsidR="00D73986">
        <w:t xml:space="preserve">demonstrated no statistically significant </w:t>
      </w:r>
      <w:r w:rsidR="004C4EA7">
        <w:t>differences,</w:t>
      </w:r>
      <w:r w:rsidR="001E7BAF">
        <w:t xml:space="preserve"> and </w:t>
      </w:r>
      <w:r w:rsidR="00975E83">
        <w:t xml:space="preserve">was considered </w:t>
      </w:r>
      <w:r w:rsidR="001E7BAF">
        <w:t xml:space="preserve">to support </w:t>
      </w:r>
      <w:r w:rsidR="0077421C">
        <w:t>the claim of non-inferiority</w:t>
      </w:r>
      <w:r w:rsidR="00811404">
        <w:t>.</w:t>
      </w:r>
      <w:r w:rsidR="005E6DBB">
        <w:t xml:space="preserve"> Similarly, the results of the meta-analysis based on the Cochrane </w:t>
      </w:r>
      <w:r w:rsidR="00DC6241">
        <w:t>R</w:t>
      </w:r>
      <w:r w:rsidR="005E6DBB">
        <w:t xml:space="preserve">eview by </w:t>
      </w:r>
      <w:r w:rsidR="00BC44F3">
        <w:t>Lindson</w:t>
      </w:r>
      <w:r w:rsidR="005E6DBB">
        <w:t xml:space="preserve"> et al. (201</w:t>
      </w:r>
      <w:r w:rsidR="00BC44F3">
        <w:t>9</w:t>
      </w:r>
      <w:r w:rsidR="005E6DBB">
        <w:t>)</w:t>
      </w:r>
      <w:r w:rsidR="008575A4">
        <w:t xml:space="preserve"> </w:t>
      </w:r>
      <w:r w:rsidR="005E6DBB">
        <w:t xml:space="preserve">demonstrated </w:t>
      </w:r>
      <w:r w:rsidR="00BC44F3">
        <w:t>no</w:t>
      </w:r>
      <w:r w:rsidR="005E6DBB">
        <w:t xml:space="preserve"> statistically significant difference in long-term smoking cessation rates</w:t>
      </w:r>
      <w:r w:rsidR="00BC44F3">
        <w:t xml:space="preserve"> between the two treatment arms</w:t>
      </w:r>
      <w:r w:rsidR="0077421C">
        <w:t xml:space="preserve"> however </w:t>
      </w:r>
      <w:r w:rsidR="002C3B20">
        <w:t>with a less precise estimate</w:t>
      </w:r>
      <w:r w:rsidR="00E03D5B">
        <w:t>.</w:t>
      </w:r>
      <w:r w:rsidR="0011143D">
        <w:t xml:space="preserve"> </w:t>
      </w:r>
      <w:r w:rsidR="00550DD5">
        <w:t>However,</w:t>
      </w:r>
      <w:r w:rsidR="0011143D">
        <w:t xml:space="preserve"> </w:t>
      </w:r>
      <w:r w:rsidR="00465758">
        <w:t xml:space="preserve">only </w:t>
      </w:r>
      <w:r w:rsidR="0011143D">
        <w:t xml:space="preserve">two studies </w:t>
      </w:r>
      <w:r w:rsidR="00465758">
        <w:t xml:space="preserve">were </w:t>
      </w:r>
      <w:r w:rsidR="0011143D">
        <w:t>included in the meta-analysis by Lindson et al. (2019)</w:t>
      </w:r>
      <w:r w:rsidR="00465758">
        <w:t xml:space="preserve">, as compared to the </w:t>
      </w:r>
      <w:r w:rsidR="00D0248F">
        <w:t>110 trials included in the indirect comparison considered by the PBAC. Furthermore, the two studies included in the meta-analysis by Lindson et al. (2019)</w:t>
      </w:r>
      <w:r w:rsidR="0011143D">
        <w:t xml:space="preserve"> </w:t>
      </w:r>
      <w:r w:rsidR="00F437BF">
        <w:t>ha</w:t>
      </w:r>
      <w:r w:rsidR="00D0248F">
        <w:t>d</w:t>
      </w:r>
      <w:r w:rsidR="00F437BF">
        <w:t xml:space="preserve"> small sample sizes, </w:t>
      </w:r>
      <w:r w:rsidR="00D0248F">
        <w:t>w</w:t>
      </w:r>
      <w:r w:rsidR="00AF51ED">
        <w:t>as</w:t>
      </w:r>
      <w:r w:rsidR="00F437BF">
        <w:t xml:space="preserve"> at high risk of bias (</w:t>
      </w:r>
      <w:r w:rsidR="005A6F38">
        <w:t>Kupe</w:t>
      </w:r>
      <w:r w:rsidR="00F52116">
        <w:t xml:space="preserve">cz 2006) </w:t>
      </w:r>
      <w:r w:rsidR="0060679A">
        <w:t>or wa</w:t>
      </w:r>
      <w:r w:rsidR="00AF51ED">
        <w:t>s</w:t>
      </w:r>
      <w:r w:rsidR="00F52116">
        <w:t xml:space="preserve"> </w:t>
      </w:r>
      <w:r w:rsidR="00AF51ED">
        <w:t xml:space="preserve">previously </w:t>
      </w:r>
      <w:r w:rsidR="00F52116">
        <w:t xml:space="preserve">considered </w:t>
      </w:r>
      <w:r w:rsidR="0060679A">
        <w:t xml:space="preserve">by the PBAC to </w:t>
      </w:r>
      <w:r w:rsidR="00084B08">
        <w:t>provide inadequate evidence for the relative efficacy and safety of NRT gum to patches</w:t>
      </w:r>
      <w:r w:rsidR="0056073E">
        <w:t xml:space="preserve"> (Moolchan 200</w:t>
      </w:r>
      <w:r w:rsidR="003D6922">
        <w:t>5</w:t>
      </w:r>
      <w:r w:rsidR="0056073E">
        <w:t>)</w:t>
      </w:r>
      <w:r w:rsidR="00084B08">
        <w:t xml:space="preserve">. </w:t>
      </w:r>
    </w:p>
    <w:p w14:paraId="74BD8E8D" w14:textId="45D0BE03" w:rsidR="00790AF1" w:rsidRDefault="009C4266" w:rsidP="00AB4506">
      <w:pPr>
        <w:spacing w:after="120"/>
        <w:jc w:val="both"/>
      </w:pPr>
      <w:r>
        <w:t>As reported in</w:t>
      </w:r>
      <w:r w:rsidR="008575A4">
        <w:t xml:space="preserve"> the NRT patches versus placebo section</w:t>
      </w:r>
      <w:r w:rsidR="009907B5">
        <w:t>, t</w:t>
      </w:r>
      <w:r w:rsidR="00192001">
        <w:t>he</w:t>
      </w:r>
      <w:r w:rsidR="001A15DB">
        <w:t xml:space="preserve"> effect estimate</w:t>
      </w:r>
      <w:r w:rsidR="00824AA0">
        <w:t>s</w:t>
      </w:r>
      <w:r w:rsidR="001A15DB">
        <w:t xml:space="preserve"> </w:t>
      </w:r>
      <w:r w:rsidR="00783099">
        <w:t xml:space="preserve">(RR) </w:t>
      </w:r>
      <w:r w:rsidR="001A15DB">
        <w:t xml:space="preserve">for NRT patches </w:t>
      </w:r>
      <w:r w:rsidR="00773677">
        <w:t xml:space="preserve">and gum </w:t>
      </w:r>
      <w:r w:rsidR="001A15DB">
        <w:t xml:space="preserve">versus placebo/control </w:t>
      </w:r>
      <w:r w:rsidR="00773677">
        <w:t>reported in</w:t>
      </w:r>
      <w:r w:rsidR="00192001">
        <w:t xml:space="preserve"> Hartmann-Boyce et al. (2018) </w:t>
      </w:r>
      <w:r w:rsidR="00783099">
        <w:t>w</w:t>
      </w:r>
      <w:r w:rsidR="008B5F8F">
        <w:t>ere</w:t>
      </w:r>
      <w:r w:rsidR="00783099">
        <w:t xml:space="preserve"> </w:t>
      </w:r>
      <w:r w:rsidR="004C7837">
        <w:t>1.64 (95%</w:t>
      </w:r>
      <w:r w:rsidR="003D6922">
        <w:t xml:space="preserve"> </w:t>
      </w:r>
      <w:r w:rsidR="004C7837">
        <w:t>CI</w:t>
      </w:r>
      <w:r w:rsidR="003D6922">
        <w:t>:</w:t>
      </w:r>
      <w:r w:rsidR="004C7837">
        <w:t xml:space="preserve"> 1.53, 1.75)</w:t>
      </w:r>
      <w:r w:rsidR="00081139">
        <w:t xml:space="preserve"> and 1.49 (95%</w:t>
      </w:r>
      <w:r w:rsidR="003D6922">
        <w:t xml:space="preserve"> </w:t>
      </w:r>
      <w:r w:rsidR="00081139">
        <w:t>CI</w:t>
      </w:r>
      <w:r w:rsidR="003D6922">
        <w:t>:</w:t>
      </w:r>
      <w:r w:rsidR="00081139">
        <w:t xml:space="preserve"> 1.40, 1.60)</w:t>
      </w:r>
      <w:r w:rsidR="003D6922">
        <w:t>,</w:t>
      </w:r>
      <w:r w:rsidR="00773677">
        <w:t xml:space="preserve"> respectively</w:t>
      </w:r>
      <w:r w:rsidR="00081139">
        <w:t>.</w:t>
      </w:r>
      <w:r w:rsidR="004C7837">
        <w:t xml:space="preserve"> Th</w:t>
      </w:r>
      <w:r w:rsidR="002311CE">
        <w:t>e</w:t>
      </w:r>
      <w:r w:rsidR="004C7837">
        <w:t>s</w:t>
      </w:r>
      <w:r w:rsidR="002311CE">
        <w:t>e</w:t>
      </w:r>
      <w:r w:rsidR="004C7837">
        <w:t xml:space="preserve"> w</w:t>
      </w:r>
      <w:r w:rsidR="002311CE">
        <w:t>ere</w:t>
      </w:r>
      <w:r w:rsidR="004C7837">
        <w:t xml:space="preserve"> </w:t>
      </w:r>
      <w:r w:rsidR="006D193F">
        <w:t xml:space="preserve">consistent </w:t>
      </w:r>
      <w:r w:rsidR="00E93BF2">
        <w:t>with the effect estimate</w:t>
      </w:r>
      <w:r w:rsidR="002311CE">
        <w:t>s</w:t>
      </w:r>
      <w:r w:rsidR="004C7837">
        <w:t xml:space="preserve"> for NRT patches</w:t>
      </w:r>
      <w:r w:rsidR="00B84EA9">
        <w:t xml:space="preserve"> (RR</w:t>
      </w:r>
      <w:r w:rsidR="003D6922">
        <w:t>:</w:t>
      </w:r>
      <w:r w:rsidR="00B84EA9">
        <w:t xml:space="preserve"> 1.63</w:t>
      </w:r>
      <w:r w:rsidR="003D6922">
        <w:t>;</w:t>
      </w:r>
      <w:r w:rsidR="00B84EA9">
        <w:t xml:space="preserve"> 95%</w:t>
      </w:r>
      <w:r w:rsidR="003D6922">
        <w:t xml:space="preserve"> </w:t>
      </w:r>
      <w:r w:rsidR="00B84EA9">
        <w:t>CI</w:t>
      </w:r>
      <w:r w:rsidR="003D6922">
        <w:t>:</w:t>
      </w:r>
      <w:r w:rsidR="00B84EA9">
        <w:t xml:space="preserve"> 1.49, 1.79) and NRT gum (RR</w:t>
      </w:r>
      <w:r w:rsidR="003D6922">
        <w:t>:</w:t>
      </w:r>
      <w:r w:rsidR="00B84EA9">
        <w:t xml:space="preserve"> 1.49</w:t>
      </w:r>
      <w:r w:rsidR="003D6922">
        <w:t>;</w:t>
      </w:r>
      <w:r w:rsidR="00B84EA9">
        <w:t xml:space="preserve"> 95%</w:t>
      </w:r>
      <w:r w:rsidR="003D6922">
        <w:t xml:space="preserve"> </w:t>
      </w:r>
      <w:r w:rsidR="00B84EA9">
        <w:t>CI</w:t>
      </w:r>
      <w:r w:rsidR="003D6922">
        <w:t>:</w:t>
      </w:r>
      <w:r w:rsidR="00B84EA9">
        <w:t xml:space="preserve"> 1.36, 1.64)</w:t>
      </w:r>
      <w:r w:rsidR="002311CE">
        <w:t xml:space="preserve"> </w:t>
      </w:r>
      <w:r w:rsidR="00C91CD6">
        <w:t>that</w:t>
      </w:r>
      <w:r w:rsidR="002F1CCF">
        <w:t xml:space="preserve"> were </w:t>
      </w:r>
      <w:r w:rsidR="009D790E">
        <w:t>updated</w:t>
      </w:r>
      <w:r w:rsidR="00841773">
        <w:t xml:space="preserve"> from </w:t>
      </w:r>
      <w:r w:rsidR="008B5F8F">
        <w:t xml:space="preserve">Stead et al. (2012) - </w:t>
      </w:r>
      <w:r w:rsidR="00841773">
        <w:t>an earlier version of Hartmann-Boyce et al. (2018)</w:t>
      </w:r>
      <w:r w:rsidR="008B5F8F">
        <w:t xml:space="preserve"> -</w:t>
      </w:r>
      <w:r w:rsidR="00841773">
        <w:t xml:space="preserve"> and used to</w:t>
      </w:r>
      <w:r w:rsidR="00C91CD6">
        <w:t xml:space="preserve"> inform</w:t>
      </w:r>
      <w:r w:rsidR="00841773">
        <w:t xml:space="preserve"> </w:t>
      </w:r>
      <w:r w:rsidR="00D675C6">
        <w:t>the</w:t>
      </w:r>
      <w:r w:rsidR="00A31703">
        <w:t xml:space="preserve"> indirect comparison </w:t>
      </w:r>
      <w:r w:rsidR="0038570D">
        <w:t xml:space="preserve">of NRT gum to NRT patches </w:t>
      </w:r>
      <w:r w:rsidR="00A31703">
        <w:t>considered by the PBAC</w:t>
      </w:r>
      <w:r w:rsidR="00B84EA9">
        <w:t xml:space="preserve">. </w:t>
      </w:r>
      <w:r w:rsidR="00D03B0A">
        <w:t>Th</w:t>
      </w:r>
      <w:r w:rsidR="00843F5B">
        <w:t>e</w:t>
      </w:r>
      <w:r w:rsidR="00D03B0A">
        <w:t xml:space="preserve"> </w:t>
      </w:r>
      <w:r w:rsidR="00015419">
        <w:t>stability of this evidence base</w:t>
      </w:r>
      <w:r w:rsidR="006338D2">
        <w:t xml:space="preserve"> between updates</w:t>
      </w:r>
      <w:r w:rsidR="00015419">
        <w:t xml:space="preserve"> </w:t>
      </w:r>
      <w:r w:rsidR="00D03B0A">
        <w:t xml:space="preserve">is consistent with the conclusions drawn by </w:t>
      </w:r>
      <w:r w:rsidR="00B84EA9">
        <w:t>Hartmann-Boyce et al</w:t>
      </w:r>
      <w:r w:rsidR="003D6922">
        <w:t>.</w:t>
      </w:r>
      <w:r w:rsidR="00773677">
        <w:t xml:space="preserve"> (2018)</w:t>
      </w:r>
      <w:r w:rsidR="00D73EAA">
        <w:t xml:space="preserve">, and subsequent decision for Hartmann-Boyce et al. (2018) to </w:t>
      </w:r>
      <w:r w:rsidR="00600B1F">
        <w:t>cease</w:t>
      </w:r>
      <w:r w:rsidR="00D73EAA">
        <w:t xml:space="preserve"> updat</w:t>
      </w:r>
      <w:r w:rsidR="00600B1F">
        <w:t>ing</w:t>
      </w:r>
      <w:r w:rsidR="00D73EAA">
        <w:t xml:space="preserve"> this Cochrane review.</w:t>
      </w:r>
    </w:p>
    <w:p w14:paraId="541FDB2E" w14:textId="6A81C539" w:rsidR="005E6DBB" w:rsidRDefault="005E6DBB" w:rsidP="00AB4506">
      <w:pPr>
        <w:pStyle w:val="Caption"/>
        <w:keepNext/>
        <w:spacing w:before="0" w:after="120"/>
        <w:jc w:val="both"/>
      </w:pPr>
      <w:bookmarkStart w:id="72" w:name="_Ref54622259"/>
      <w:r>
        <w:lastRenderedPageBreak/>
        <w:t xml:space="preserve">Table </w:t>
      </w:r>
      <w:r w:rsidR="00BF3F75">
        <w:fldChar w:fldCharType="begin"/>
      </w:r>
      <w:r w:rsidR="00BF3F75">
        <w:instrText xml:space="preserve"> SEQ Table \* ARABIC </w:instrText>
      </w:r>
      <w:r w:rsidR="00BF3F75">
        <w:fldChar w:fldCharType="separate"/>
      </w:r>
      <w:r w:rsidR="00EC5CC7">
        <w:rPr>
          <w:noProof/>
        </w:rPr>
        <w:t>30</w:t>
      </w:r>
      <w:r w:rsidR="00BF3F75">
        <w:rPr>
          <w:noProof/>
        </w:rPr>
        <w:fldChar w:fldCharType="end"/>
      </w:r>
      <w:bookmarkEnd w:id="72"/>
      <w:r>
        <w:t xml:space="preserve">: </w:t>
      </w:r>
      <w:r w:rsidRPr="00767182">
        <w:t>Results of smoking cessation f</w:t>
      </w:r>
      <w:r w:rsidR="00584A53">
        <w:t>or</w:t>
      </w:r>
      <w:r w:rsidRPr="00767182">
        <w:t xml:space="preserve"> at least six months follow-up, NRT </w:t>
      </w:r>
      <w:r>
        <w:t xml:space="preserve">lozenge or gum versus NRT </w:t>
      </w:r>
      <w:r w:rsidRPr="00767182">
        <w:t>patch</w:t>
      </w:r>
    </w:p>
    <w:tbl>
      <w:tblPr>
        <w:tblStyle w:val="TableGrid"/>
        <w:tblW w:w="5000" w:type="pct"/>
        <w:tblLook w:val="04A0" w:firstRow="1" w:lastRow="0" w:firstColumn="1" w:lastColumn="0" w:noHBand="0" w:noVBand="1"/>
        <w:tblCaption w:val="Efficacy results of adalimumab trials (PASI 75 and DLQI)"/>
      </w:tblPr>
      <w:tblGrid>
        <w:gridCol w:w="1702"/>
        <w:gridCol w:w="1702"/>
        <w:gridCol w:w="1971"/>
        <w:gridCol w:w="1814"/>
        <w:gridCol w:w="1827"/>
      </w:tblGrid>
      <w:tr w:rsidR="00F16EB9" w:rsidRPr="00061F78" w14:paraId="35039845" w14:textId="77777777" w:rsidTr="00F16EB9">
        <w:trPr>
          <w:cantSplit/>
          <w:trHeight w:val="299"/>
          <w:tblHeader/>
        </w:trPr>
        <w:tc>
          <w:tcPr>
            <w:tcW w:w="944" w:type="pct"/>
            <w:shd w:val="clear" w:color="auto" w:fill="BFBFBF" w:themeFill="background1" w:themeFillShade="BF"/>
            <w:tcMar>
              <w:left w:w="28" w:type="dxa"/>
              <w:right w:w="28" w:type="dxa"/>
            </w:tcMar>
          </w:tcPr>
          <w:p w14:paraId="3A220080" w14:textId="294AE758" w:rsidR="00F16EB9" w:rsidRPr="00061F78" w:rsidRDefault="00F16EB9" w:rsidP="00A833AE">
            <w:pPr>
              <w:pStyle w:val="Tableheading"/>
              <w:keepNext/>
              <w:rPr>
                <w:rFonts w:eastAsia="MS Mincho"/>
              </w:rPr>
            </w:pPr>
            <w:r>
              <w:rPr>
                <w:rFonts w:eastAsia="MS Mincho"/>
              </w:rPr>
              <w:t>Study</w:t>
            </w:r>
          </w:p>
        </w:tc>
        <w:tc>
          <w:tcPr>
            <w:tcW w:w="944" w:type="pct"/>
            <w:shd w:val="clear" w:color="auto" w:fill="BFBFBF" w:themeFill="background1" w:themeFillShade="BF"/>
            <w:vAlign w:val="center"/>
          </w:tcPr>
          <w:p w14:paraId="457A0FAF" w14:textId="77777777" w:rsidR="00F16EB9" w:rsidRDefault="00F16EB9" w:rsidP="00A833AE">
            <w:pPr>
              <w:pStyle w:val="Tableheading"/>
              <w:keepNext/>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14:paraId="76B8769A" w14:textId="42695ED1" w:rsidR="00F16EB9" w:rsidRPr="00061F78" w:rsidRDefault="00F16EB9" w:rsidP="00A833AE">
            <w:pPr>
              <w:pStyle w:val="Tableheading"/>
              <w:keepNext/>
              <w:jc w:val="center"/>
              <w:rPr>
                <w:rFonts w:eastAsia="MS Mincho"/>
              </w:rPr>
            </w:pPr>
            <w:r>
              <w:rPr>
                <w:rFonts w:eastAsia="MS Mincho"/>
              </w:rPr>
              <w:t>NRT lozenge/gum</w:t>
            </w:r>
          </w:p>
        </w:tc>
        <w:tc>
          <w:tcPr>
            <w:tcW w:w="1006" w:type="pct"/>
            <w:shd w:val="clear" w:color="auto" w:fill="BFBFBF" w:themeFill="background1" w:themeFillShade="BF"/>
            <w:tcMar>
              <w:left w:w="28" w:type="dxa"/>
              <w:right w:w="28" w:type="dxa"/>
            </w:tcMar>
            <w:vAlign w:val="center"/>
          </w:tcPr>
          <w:p w14:paraId="1DAADD78" w14:textId="0D3256FC" w:rsidR="00F16EB9" w:rsidRPr="00061F78" w:rsidRDefault="00F16EB9" w:rsidP="00A833AE">
            <w:pPr>
              <w:pStyle w:val="Tableheading"/>
              <w:keepNext/>
              <w:jc w:val="center"/>
              <w:rPr>
                <w:rFonts w:eastAsia="MS Mincho"/>
              </w:rPr>
            </w:pPr>
            <w:r>
              <w:rPr>
                <w:rFonts w:eastAsia="MS Mincho"/>
              </w:rPr>
              <w:t>NRT patch</w:t>
            </w:r>
          </w:p>
        </w:tc>
        <w:tc>
          <w:tcPr>
            <w:tcW w:w="1013" w:type="pct"/>
            <w:shd w:val="clear" w:color="auto" w:fill="BFBFBF" w:themeFill="background1" w:themeFillShade="BF"/>
            <w:tcMar>
              <w:left w:w="28" w:type="dxa"/>
              <w:right w:w="28" w:type="dxa"/>
            </w:tcMar>
            <w:vAlign w:val="center"/>
          </w:tcPr>
          <w:p w14:paraId="3EFF113F" w14:textId="09546AA7" w:rsidR="00F16EB9" w:rsidRPr="00D468CF" w:rsidRDefault="00F16EB9" w:rsidP="00A833AE">
            <w:pPr>
              <w:pStyle w:val="Tableheading"/>
              <w:keepNext/>
              <w:jc w:val="center"/>
              <w:rPr>
                <w:rFonts w:eastAsia="MS Mincho"/>
                <w:vertAlign w:val="superscript"/>
              </w:rPr>
            </w:pPr>
            <w:r>
              <w:rPr>
                <w:rFonts w:eastAsia="MS Mincho"/>
              </w:rPr>
              <w:t>RR (95% CI)</w:t>
            </w:r>
          </w:p>
        </w:tc>
      </w:tr>
      <w:tr w:rsidR="00F16EB9" w:rsidRPr="00061F78" w14:paraId="40A26AFB" w14:textId="77777777" w:rsidTr="00E97C7D">
        <w:trPr>
          <w:cantSplit/>
          <w:trHeight w:val="99"/>
        </w:trPr>
        <w:tc>
          <w:tcPr>
            <w:tcW w:w="5000" w:type="pct"/>
            <w:gridSpan w:val="5"/>
            <w:shd w:val="clear" w:color="auto" w:fill="auto"/>
            <w:tcMar>
              <w:left w:w="28" w:type="dxa"/>
              <w:right w:w="28" w:type="dxa"/>
            </w:tcMar>
          </w:tcPr>
          <w:p w14:paraId="67C5EFB9" w14:textId="41C76EED" w:rsidR="00F16EB9" w:rsidRPr="00C324F3" w:rsidRDefault="00F16EB9" w:rsidP="005E6DBB">
            <w:pPr>
              <w:pStyle w:val="Tablewriting"/>
              <w:keepNext/>
              <w:rPr>
                <w:rFonts w:eastAsia="MS Mincho"/>
                <w:b/>
                <w:vertAlign w:val="superscript"/>
              </w:rPr>
            </w:pPr>
            <w:r w:rsidRPr="00E97C7D">
              <w:rPr>
                <w:rFonts w:eastAsia="MS Mincho"/>
                <w:b/>
                <w:bCs/>
              </w:rPr>
              <w:t>NRT lozenge versus NRT patch</w:t>
            </w:r>
            <w:r w:rsidR="00D35E6F">
              <w:rPr>
                <w:rFonts w:eastAsia="MS Mincho"/>
                <w:b/>
                <w:bCs/>
                <w:vertAlign w:val="superscript"/>
              </w:rPr>
              <w:t>6</w:t>
            </w:r>
          </w:p>
        </w:tc>
      </w:tr>
      <w:tr w:rsidR="00F16EB9" w:rsidRPr="00061F78" w14:paraId="136AB6EE" w14:textId="77777777" w:rsidTr="00015CD6">
        <w:trPr>
          <w:cantSplit/>
          <w:trHeight w:val="99"/>
        </w:trPr>
        <w:tc>
          <w:tcPr>
            <w:tcW w:w="944" w:type="pct"/>
            <w:shd w:val="clear" w:color="auto" w:fill="D9D9D9" w:themeFill="background1" w:themeFillShade="D9"/>
            <w:tcMar>
              <w:left w:w="28" w:type="dxa"/>
              <w:right w:w="28" w:type="dxa"/>
            </w:tcMar>
          </w:tcPr>
          <w:p w14:paraId="6554895A" w14:textId="01D64C26" w:rsidR="00F16EB9" w:rsidRDefault="00F16EB9" w:rsidP="00A833AE">
            <w:pPr>
              <w:pStyle w:val="Tablewriting"/>
              <w:keepNext/>
              <w:rPr>
                <w:rFonts w:eastAsia="MS Mincho"/>
              </w:rPr>
            </w:pPr>
            <w:r>
              <w:rPr>
                <w:rFonts w:eastAsia="MS Mincho"/>
              </w:rPr>
              <w:t>Piper</w:t>
            </w:r>
          </w:p>
          <w:p w14:paraId="12A6BF61" w14:textId="396BEEC2" w:rsidR="00F16EB9" w:rsidRPr="005E6DBB" w:rsidRDefault="00F16EB9" w:rsidP="00A833AE">
            <w:pPr>
              <w:pStyle w:val="Tablewriting"/>
              <w:keepNext/>
              <w:rPr>
                <w:rFonts w:eastAsia="MS Mincho"/>
                <w:vertAlign w:val="superscript"/>
              </w:rPr>
            </w:pPr>
            <w:r>
              <w:rPr>
                <w:rFonts w:eastAsia="MS Mincho"/>
              </w:rPr>
              <w:t>(2009)</w:t>
            </w:r>
            <w:r>
              <w:rPr>
                <w:rFonts w:eastAsia="MS Mincho"/>
                <w:vertAlign w:val="superscript"/>
              </w:rPr>
              <w:t>1</w:t>
            </w:r>
          </w:p>
        </w:tc>
        <w:tc>
          <w:tcPr>
            <w:tcW w:w="944" w:type="pct"/>
            <w:shd w:val="clear" w:color="auto" w:fill="D9D9D9" w:themeFill="background1" w:themeFillShade="D9"/>
            <w:vAlign w:val="center"/>
          </w:tcPr>
          <w:p w14:paraId="2208A63C" w14:textId="579E0A3C"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14:paraId="40DE15E7" w14:textId="0102AC6C" w:rsidR="00F16EB9" w:rsidRPr="0078171D" w:rsidRDefault="00F16EB9" w:rsidP="00A833AE">
            <w:pPr>
              <w:pStyle w:val="Tablewriting"/>
              <w:keepNext/>
              <w:jc w:val="center"/>
              <w:rPr>
                <w:rFonts w:eastAsia="MS Mincho"/>
              </w:rPr>
            </w:pPr>
            <w:r>
              <w:rPr>
                <w:rFonts w:eastAsia="MS Mincho"/>
              </w:rPr>
              <w:t>87</w:t>
            </w:r>
            <w:r w:rsidRPr="0078171D">
              <w:rPr>
                <w:rFonts w:eastAsia="MS Mincho"/>
              </w:rPr>
              <w:t>/</w:t>
            </w:r>
            <w:r>
              <w:rPr>
                <w:rFonts w:eastAsia="MS Mincho"/>
              </w:rPr>
              <w:t>260</w:t>
            </w:r>
            <w:r w:rsidRPr="0078171D">
              <w:rPr>
                <w:rFonts w:eastAsia="MS Mincho"/>
              </w:rPr>
              <w:t xml:space="preserve"> </w:t>
            </w:r>
          </w:p>
          <w:p w14:paraId="22FB0B0C" w14:textId="10075D43" w:rsidR="00F16EB9" w:rsidRPr="0078171D" w:rsidRDefault="00F16EB9" w:rsidP="00A833AE">
            <w:pPr>
              <w:pStyle w:val="Tablewriting"/>
              <w:keepNext/>
              <w:jc w:val="center"/>
              <w:rPr>
                <w:rFonts w:eastAsia="MS Mincho"/>
              </w:rPr>
            </w:pPr>
            <w:r w:rsidRPr="0078171D">
              <w:rPr>
                <w:rFonts w:eastAsia="MS Mincho"/>
              </w:rPr>
              <w:t>(</w:t>
            </w:r>
            <w:r>
              <w:rPr>
                <w:rFonts w:eastAsia="MS Mincho"/>
              </w:rPr>
              <w:t>33.5</w:t>
            </w:r>
            <w:r w:rsidRPr="0078171D">
              <w:rPr>
                <w:rFonts w:eastAsia="MS Mincho"/>
              </w:rPr>
              <w:t>%)</w:t>
            </w:r>
          </w:p>
        </w:tc>
        <w:tc>
          <w:tcPr>
            <w:tcW w:w="1006" w:type="pct"/>
            <w:shd w:val="clear" w:color="auto" w:fill="D9D9D9" w:themeFill="background1" w:themeFillShade="D9"/>
            <w:tcMar>
              <w:left w:w="28" w:type="dxa"/>
              <w:right w:w="28" w:type="dxa"/>
            </w:tcMar>
            <w:vAlign w:val="center"/>
          </w:tcPr>
          <w:p w14:paraId="13E393D1" w14:textId="0219CE53" w:rsidR="00F16EB9" w:rsidRPr="0078171D" w:rsidRDefault="00F16EB9" w:rsidP="00A833AE">
            <w:pPr>
              <w:pStyle w:val="Tablewriting"/>
              <w:keepNext/>
              <w:jc w:val="center"/>
              <w:rPr>
                <w:rFonts w:eastAsia="MS Mincho"/>
              </w:rPr>
            </w:pPr>
            <w:r>
              <w:rPr>
                <w:rFonts w:eastAsia="MS Mincho"/>
              </w:rPr>
              <w:t>90</w:t>
            </w:r>
            <w:r w:rsidRPr="0078171D">
              <w:rPr>
                <w:rFonts w:eastAsia="MS Mincho"/>
              </w:rPr>
              <w:t>/</w:t>
            </w:r>
            <w:r>
              <w:rPr>
                <w:rFonts w:eastAsia="MS Mincho"/>
              </w:rPr>
              <w:t>262</w:t>
            </w:r>
            <w:r w:rsidRPr="0078171D">
              <w:rPr>
                <w:rFonts w:eastAsia="MS Mincho"/>
              </w:rPr>
              <w:t xml:space="preserve"> </w:t>
            </w:r>
          </w:p>
          <w:p w14:paraId="1CAA8535" w14:textId="3FB410A2" w:rsidR="00F16EB9" w:rsidRPr="0078171D" w:rsidRDefault="00F16EB9" w:rsidP="00A833AE">
            <w:pPr>
              <w:pStyle w:val="Tablewriting"/>
              <w:keepNext/>
              <w:jc w:val="center"/>
              <w:rPr>
                <w:rFonts w:eastAsia="MS Mincho"/>
              </w:rPr>
            </w:pPr>
            <w:r w:rsidRPr="0078171D">
              <w:rPr>
                <w:rFonts w:eastAsia="MS Mincho"/>
              </w:rPr>
              <w:t>(</w:t>
            </w:r>
            <w:r>
              <w:rPr>
                <w:rFonts w:eastAsia="MS Mincho"/>
              </w:rPr>
              <w:t>34.4</w:t>
            </w:r>
            <w:r w:rsidRPr="0078171D">
              <w:rPr>
                <w:rFonts w:eastAsia="MS Mincho"/>
              </w:rPr>
              <w:t>%)</w:t>
            </w:r>
          </w:p>
        </w:tc>
        <w:tc>
          <w:tcPr>
            <w:tcW w:w="1013" w:type="pct"/>
            <w:shd w:val="clear" w:color="auto" w:fill="D9D9D9" w:themeFill="background1" w:themeFillShade="D9"/>
            <w:tcMar>
              <w:left w:w="28" w:type="dxa"/>
              <w:right w:w="28" w:type="dxa"/>
            </w:tcMar>
            <w:vAlign w:val="center"/>
          </w:tcPr>
          <w:p w14:paraId="54C4F248" w14:textId="6CC62113" w:rsidR="00F16EB9" w:rsidRPr="00BC44F3" w:rsidRDefault="00F16EB9" w:rsidP="00A833AE">
            <w:pPr>
              <w:pStyle w:val="Tablewriting"/>
              <w:keepNext/>
              <w:jc w:val="center"/>
              <w:rPr>
                <w:rFonts w:eastAsia="MS Mincho"/>
              </w:rPr>
            </w:pPr>
            <w:r w:rsidRPr="00BC44F3">
              <w:rPr>
                <w:rFonts w:eastAsia="MS Mincho"/>
              </w:rPr>
              <w:t>0.97</w:t>
            </w:r>
          </w:p>
          <w:p w14:paraId="228F9E8E" w14:textId="6D4D060B" w:rsidR="00F16EB9" w:rsidRPr="00BC44F3" w:rsidRDefault="00F16EB9" w:rsidP="00A833AE">
            <w:pPr>
              <w:pStyle w:val="Tablewriting"/>
              <w:keepNext/>
              <w:jc w:val="center"/>
              <w:rPr>
                <w:rFonts w:eastAsia="MS Mincho"/>
              </w:rPr>
            </w:pPr>
            <w:r w:rsidRPr="00BC44F3">
              <w:rPr>
                <w:rFonts w:eastAsia="MS Mincho"/>
              </w:rPr>
              <w:t>(0.77, 1.24)</w:t>
            </w:r>
          </w:p>
        </w:tc>
      </w:tr>
      <w:tr w:rsidR="00F16EB9" w:rsidRPr="00061F78" w14:paraId="21218437" w14:textId="77777777" w:rsidTr="00015CD6">
        <w:trPr>
          <w:cantSplit/>
          <w:trHeight w:val="99"/>
        </w:trPr>
        <w:tc>
          <w:tcPr>
            <w:tcW w:w="944" w:type="pct"/>
            <w:shd w:val="clear" w:color="auto" w:fill="D9D9D9" w:themeFill="background1" w:themeFillShade="D9"/>
            <w:tcMar>
              <w:left w:w="28" w:type="dxa"/>
              <w:right w:w="28" w:type="dxa"/>
            </w:tcMar>
          </w:tcPr>
          <w:p w14:paraId="2C6D605A" w14:textId="77777777" w:rsidR="00F16EB9" w:rsidRDefault="00F16EB9" w:rsidP="005E6DBB">
            <w:pPr>
              <w:pStyle w:val="Tablewriting"/>
              <w:keepNext/>
              <w:rPr>
                <w:rFonts w:eastAsia="MS Mincho"/>
              </w:rPr>
            </w:pPr>
            <w:r>
              <w:rPr>
                <w:rFonts w:eastAsia="MS Mincho"/>
              </w:rPr>
              <w:t>Smith</w:t>
            </w:r>
          </w:p>
          <w:p w14:paraId="27CA5BB3" w14:textId="4FC892E8" w:rsidR="00F16EB9" w:rsidRPr="005E6DBB" w:rsidRDefault="00F16EB9" w:rsidP="005E6DBB">
            <w:pPr>
              <w:pStyle w:val="Tablewriting"/>
              <w:keepNext/>
              <w:rPr>
                <w:rFonts w:eastAsia="MS Mincho"/>
                <w:vertAlign w:val="superscript"/>
              </w:rPr>
            </w:pPr>
            <w:r>
              <w:rPr>
                <w:rFonts w:eastAsia="MS Mincho"/>
              </w:rPr>
              <w:t>(2009)</w:t>
            </w:r>
            <w:r>
              <w:rPr>
                <w:rFonts w:eastAsia="MS Mincho"/>
                <w:vertAlign w:val="superscript"/>
              </w:rPr>
              <w:t>1</w:t>
            </w:r>
          </w:p>
        </w:tc>
        <w:tc>
          <w:tcPr>
            <w:tcW w:w="944" w:type="pct"/>
            <w:shd w:val="clear" w:color="auto" w:fill="D9D9D9" w:themeFill="background1" w:themeFillShade="D9"/>
            <w:vAlign w:val="center"/>
          </w:tcPr>
          <w:p w14:paraId="192CADB5" w14:textId="2043228E" w:rsidR="00F16EB9" w:rsidRDefault="00F16EB9" w:rsidP="005E6DBB">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14:paraId="6A329184" w14:textId="42A588AF" w:rsidR="00F16EB9" w:rsidRPr="0078171D" w:rsidRDefault="00F16EB9" w:rsidP="005E6DBB">
            <w:pPr>
              <w:pStyle w:val="Tablewriting"/>
              <w:keepNext/>
              <w:jc w:val="center"/>
              <w:rPr>
                <w:rFonts w:eastAsia="MS Mincho"/>
              </w:rPr>
            </w:pPr>
            <w:r>
              <w:rPr>
                <w:rFonts w:eastAsia="MS Mincho"/>
              </w:rPr>
              <w:t>52</w:t>
            </w:r>
            <w:r w:rsidRPr="0078171D">
              <w:rPr>
                <w:rFonts w:eastAsia="MS Mincho"/>
              </w:rPr>
              <w:t>/</w:t>
            </w:r>
            <w:r>
              <w:rPr>
                <w:rFonts w:eastAsia="MS Mincho"/>
              </w:rPr>
              <w:t>261</w:t>
            </w:r>
            <w:r w:rsidRPr="0078171D">
              <w:rPr>
                <w:rFonts w:eastAsia="MS Mincho"/>
              </w:rPr>
              <w:t xml:space="preserve"> </w:t>
            </w:r>
          </w:p>
          <w:p w14:paraId="6210BDC3" w14:textId="6E493565" w:rsidR="00F16EB9" w:rsidRPr="0078171D" w:rsidRDefault="00F16EB9" w:rsidP="005E6DBB">
            <w:pPr>
              <w:pStyle w:val="Tablewriting"/>
              <w:keepNext/>
              <w:jc w:val="center"/>
              <w:rPr>
                <w:rFonts w:eastAsia="MS Mincho"/>
              </w:rPr>
            </w:pPr>
            <w:r w:rsidRPr="0078171D">
              <w:rPr>
                <w:rFonts w:eastAsia="MS Mincho"/>
              </w:rPr>
              <w:t>(</w:t>
            </w:r>
            <w:r>
              <w:rPr>
                <w:rFonts w:eastAsia="MS Mincho"/>
              </w:rPr>
              <w:t>19.9</w:t>
            </w:r>
            <w:r w:rsidRPr="0078171D">
              <w:rPr>
                <w:rFonts w:eastAsia="MS Mincho"/>
              </w:rPr>
              <w:t>%)</w:t>
            </w:r>
          </w:p>
        </w:tc>
        <w:tc>
          <w:tcPr>
            <w:tcW w:w="1006" w:type="pct"/>
            <w:shd w:val="clear" w:color="auto" w:fill="D9D9D9" w:themeFill="background1" w:themeFillShade="D9"/>
            <w:tcMar>
              <w:left w:w="28" w:type="dxa"/>
              <w:right w:w="28" w:type="dxa"/>
            </w:tcMar>
            <w:vAlign w:val="center"/>
          </w:tcPr>
          <w:p w14:paraId="35A67CA8" w14:textId="31175551" w:rsidR="00F16EB9" w:rsidRPr="0078171D" w:rsidRDefault="00F16EB9" w:rsidP="005E6DBB">
            <w:pPr>
              <w:pStyle w:val="Tablewriting"/>
              <w:keepNext/>
              <w:jc w:val="center"/>
              <w:rPr>
                <w:rFonts w:eastAsia="MS Mincho"/>
              </w:rPr>
            </w:pPr>
            <w:r>
              <w:rPr>
                <w:rFonts w:eastAsia="MS Mincho"/>
              </w:rPr>
              <w:t>50</w:t>
            </w:r>
            <w:r w:rsidRPr="0078171D">
              <w:rPr>
                <w:rFonts w:eastAsia="MS Mincho"/>
              </w:rPr>
              <w:t>/</w:t>
            </w:r>
            <w:r>
              <w:rPr>
                <w:rFonts w:eastAsia="MS Mincho"/>
              </w:rPr>
              <w:t>282</w:t>
            </w:r>
            <w:r w:rsidRPr="0078171D">
              <w:rPr>
                <w:rFonts w:eastAsia="MS Mincho"/>
              </w:rPr>
              <w:t xml:space="preserve"> </w:t>
            </w:r>
          </w:p>
          <w:p w14:paraId="374CC6D8" w14:textId="60C886BE" w:rsidR="00F16EB9" w:rsidRDefault="00F16EB9" w:rsidP="005E6DBB">
            <w:pPr>
              <w:pStyle w:val="Tablewriting"/>
              <w:keepNext/>
              <w:jc w:val="center"/>
              <w:rPr>
                <w:rFonts w:eastAsia="MS Mincho"/>
              </w:rPr>
            </w:pPr>
            <w:r w:rsidRPr="0078171D">
              <w:rPr>
                <w:rFonts w:eastAsia="MS Mincho"/>
              </w:rPr>
              <w:t>(</w:t>
            </w:r>
            <w:r>
              <w:rPr>
                <w:rFonts w:eastAsia="MS Mincho"/>
              </w:rPr>
              <w:t>17.7</w:t>
            </w:r>
            <w:r w:rsidRPr="0078171D">
              <w:rPr>
                <w:rFonts w:eastAsia="MS Mincho"/>
              </w:rPr>
              <w:t>%)</w:t>
            </w:r>
          </w:p>
        </w:tc>
        <w:tc>
          <w:tcPr>
            <w:tcW w:w="1013" w:type="pct"/>
            <w:shd w:val="clear" w:color="auto" w:fill="D9D9D9" w:themeFill="background1" w:themeFillShade="D9"/>
            <w:tcMar>
              <w:left w:w="28" w:type="dxa"/>
              <w:right w:w="28" w:type="dxa"/>
            </w:tcMar>
            <w:vAlign w:val="center"/>
          </w:tcPr>
          <w:p w14:paraId="2A9E8141" w14:textId="499C9873" w:rsidR="00F16EB9" w:rsidRPr="00BC44F3" w:rsidRDefault="00F16EB9" w:rsidP="005E6DBB">
            <w:pPr>
              <w:pStyle w:val="Tablewriting"/>
              <w:keepNext/>
              <w:jc w:val="center"/>
              <w:rPr>
                <w:rFonts w:eastAsia="MS Mincho"/>
              </w:rPr>
            </w:pPr>
            <w:r w:rsidRPr="00BC44F3">
              <w:rPr>
                <w:rFonts w:eastAsia="MS Mincho"/>
              </w:rPr>
              <w:t>1.12</w:t>
            </w:r>
          </w:p>
          <w:p w14:paraId="1775209E" w14:textId="1667F052" w:rsidR="00F16EB9" w:rsidRPr="00BC44F3" w:rsidRDefault="00F16EB9" w:rsidP="005E6DBB">
            <w:pPr>
              <w:pStyle w:val="Tablewriting"/>
              <w:keepNext/>
              <w:jc w:val="center"/>
              <w:rPr>
                <w:rFonts w:eastAsia="MS Mincho"/>
              </w:rPr>
            </w:pPr>
            <w:r w:rsidRPr="00BC44F3">
              <w:rPr>
                <w:rFonts w:eastAsia="MS Mincho"/>
              </w:rPr>
              <w:t>(0.79, 1.59)</w:t>
            </w:r>
          </w:p>
        </w:tc>
      </w:tr>
      <w:tr w:rsidR="00F16EB9" w:rsidRPr="00061F78" w14:paraId="63D7E629" w14:textId="77777777" w:rsidTr="00015CD6">
        <w:trPr>
          <w:cantSplit/>
          <w:trHeight w:val="99"/>
        </w:trPr>
        <w:tc>
          <w:tcPr>
            <w:tcW w:w="944" w:type="pct"/>
            <w:shd w:val="clear" w:color="auto" w:fill="D9D9D9" w:themeFill="background1" w:themeFillShade="D9"/>
            <w:tcMar>
              <w:left w:w="28" w:type="dxa"/>
              <w:right w:w="28" w:type="dxa"/>
            </w:tcMar>
          </w:tcPr>
          <w:p w14:paraId="7FF8768A" w14:textId="2EFD62CC" w:rsidR="00F16EB9" w:rsidRDefault="00F16EB9" w:rsidP="00A833AE">
            <w:pPr>
              <w:pStyle w:val="Tablewriting"/>
              <w:keepNext/>
              <w:rPr>
                <w:rFonts w:eastAsia="MS Mincho"/>
              </w:rPr>
            </w:pPr>
            <w:bookmarkStart w:id="73" w:name="_Hlk54620267"/>
            <w:r>
              <w:rPr>
                <w:rFonts w:eastAsia="MS Mincho"/>
              </w:rPr>
              <w:t>Schnoll</w:t>
            </w:r>
          </w:p>
          <w:p w14:paraId="79E8812B" w14:textId="76FD72FB" w:rsidR="00F16EB9" w:rsidRPr="005E6DBB" w:rsidRDefault="00F16EB9" w:rsidP="00A833AE">
            <w:pPr>
              <w:pStyle w:val="Tablewriting"/>
              <w:keepNext/>
              <w:rPr>
                <w:rFonts w:eastAsia="MS Mincho"/>
                <w:vertAlign w:val="superscript"/>
              </w:rPr>
            </w:pPr>
            <w:r>
              <w:rPr>
                <w:rFonts w:eastAsia="MS Mincho"/>
              </w:rPr>
              <w:t>(2010)</w:t>
            </w:r>
            <w:r>
              <w:rPr>
                <w:rFonts w:eastAsia="MS Mincho"/>
                <w:vertAlign w:val="superscript"/>
              </w:rPr>
              <w:t>2</w:t>
            </w:r>
          </w:p>
        </w:tc>
        <w:tc>
          <w:tcPr>
            <w:tcW w:w="944" w:type="pct"/>
            <w:shd w:val="clear" w:color="auto" w:fill="D9D9D9" w:themeFill="background1" w:themeFillShade="D9"/>
            <w:vAlign w:val="center"/>
          </w:tcPr>
          <w:p w14:paraId="67B04455" w14:textId="48392D4A"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14:paraId="703A5881" w14:textId="5F75FAF6" w:rsidR="00F16EB9" w:rsidRPr="0078171D" w:rsidRDefault="00F16EB9" w:rsidP="00A833AE">
            <w:pPr>
              <w:pStyle w:val="Tablewriting"/>
              <w:keepNext/>
              <w:jc w:val="center"/>
              <w:rPr>
                <w:rFonts w:eastAsia="MS Mincho"/>
              </w:rPr>
            </w:pPr>
            <w:r>
              <w:rPr>
                <w:rFonts w:eastAsia="MS Mincho"/>
              </w:rPr>
              <w:t>35</w:t>
            </w:r>
            <w:r w:rsidRPr="0078171D">
              <w:rPr>
                <w:rFonts w:eastAsia="MS Mincho"/>
              </w:rPr>
              <w:t>/</w:t>
            </w:r>
            <w:r>
              <w:rPr>
                <w:rFonts w:eastAsia="MS Mincho"/>
              </w:rPr>
              <w:t>321</w:t>
            </w:r>
            <w:r w:rsidRPr="0078171D">
              <w:rPr>
                <w:rFonts w:eastAsia="MS Mincho"/>
              </w:rPr>
              <w:t xml:space="preserve"> </w:t>
            </w:r>
          </w:p>
          <w:p w14:paraId="09622EB9" w14:textId="593CC9A4" w:rsidR="00F16EB9" w:rsidRPr="0078171D" w:rsidRDefault="00F16EB9" w:rsidP="00A833AE">
            <w:pPr>
              <w:pStyle w:val="Tablewriting"/>
              <w:keepNext/>
              <w:jc w:val="center"/>
              <w:rPr>
                <w:rFonts w:eastAsia="MS Mincho"/>
              </w:rPr>
            </w:pPr>
            <w:r w:rsidRPr="0078171D">
              <w:rPr>
                <w:rFonts w:eastAsia="MS Mincho"/>
              </w:rPr>
              <w:t>(</w:t>
            </w:r>
            <w:r>
              <w:rPr>
                <w:rFonts w:eastAsia="MS Mincho"/>
              </w:rPr>
              <w:t>10.9</w:t>
            </w:r>
            <w:r w:rsidRPr="0078171D">
              <w:rPr>
                <w:rFonts w:eastAsia="MS Mincho"/>
              </w:rPr>
              <w:t>%)</w:t>
            </w:r>
          </w:p>
        </w:tc>
        <w:tc>
          <w:tcPr>
            <w:tcW w:w="1006" w:type="pct"/>
            <w:shd w:val="clear" w:color="auto" w:fill="D9D9D9" w:themeFill="background1" w:themeFillShade="D9"/>
            <w:tcMar>
              <w:left w:w="28" w:type="dxa"/>
              <w:right w:w="28" w:type="dxa"/>
            </w:tcMar>
            <w:vAlign w:val="center"/>
          </w:tcPr>
          <w:p w14:paraId="16A72B61" w14:textId="3FB1E312" w:rsidR="00F16EB9" w:rsidRPr="0078171D" w:rsidRDefault="00F16EB9" w:rsidP="00A833AE">
            <w:pPr>
              <w:pStyle w:val="Tablewriting"/>
              <w:keepNext/>
              <w:jc w:val="center"/>
              <w:rPr>
                <w:rFonts w:eastAsia="MS Mincho"/>
              </w:rPr>
            </w:pPr>
            <w:r>
              <w:rPr>
                <w:rFonts w:eastAsia="MS Mincho"/>
              </w:rPr>
              <w:t>50</w:t>
            </w:r>
            <w:r w:rsidRPr="0078171D">
              <w:rPr>
                <w:rFonts w:eastAsia="MS Mincho"/>
              </w:rPr>
              <w:t>/</w:t>
            </w:r>
            <w:r>
              <w:rPr>
                <w:rFonts w:eastAsia="MS Mincho"/>
              </w:rPr>
              <w:t>321</w:t>
            </w:r>
            <w:r w:rsidRPr="0078171D">
              <w:rPr>
                <w:rFonts w:eastAsia="MS Mincho"/>
              </w:rPr>
              <w:t xml:space="preserve"> </w:t>
            </w:r>
          </w:p>
          <w:p w14:paraId="2637D63F" w14:textId="30E2CEF5" w:rsidR="00F16EB9" w:rsidRPr="0078171D" w:rsidRDefault="00F16EB9" w:rsidP="00A833AE">
            <w:pPr>
              <w:pStyle w:val="Tablewriting"/>
              <w:keepNext/>
              <w:jc w:val="center"/>
              <w:rPr>
                <w:rFonts w:eastAsia="MS Mincho"/>
              </w:rPr>
            </w:pPr>
            <w:r w:rsidRPr="0078171D">
              <w:rPr>
                <w:rFonts w:eastAsia="MS Mincho"/>
              </w:rPr>
              <w:t>(</w:t>
            </w:r>
            <w:r>
              <w:rPr>
                <w:rFonts w:eastAsia="MS Mincho"/>
              </w:rPr>
              <w:t>15.6</w:t>
            </w:r>
            <w:r w:rsidRPr="0078171D">
              <w:rPr>
                <w:rFonts w:eastAsia="MS Mincho"/>
              </w:rPr>
              <w:t>%)</w:t>
            </w:r>
          </w:p>
        </w:tc>
        <w:tc>
          <w:tcPr>
            <w:tcW w:w="1013" w:type="pct"/>
            <w:shd w:val="clear" w:color="auto" w:fill="D9D9D9" w:themeFill="background1" w:themeFillShade="D9"/>
            <w:tcMar>
              <w:left w:w="28" w:type="dxa"/>
              <w:right w:w="28" w:type="dxa"/>
            </w:tcMar>
            <w:vAlign w:val="center"/>
          </w:tcPr>
          <w:p w14:paraId="4722F698" w14:textId="24B62619" w:rsidR="00F16EB9" w:rsidRPr="00BC44F3" w:rsidRDefault="00F16EB9" w:rsidP="00A833AE">
            <w:pPr>
              <w:pStyle w:val="Tablewriting"/>
              <w:keepNext/>
              <w:jc w:val="center"/>
              <w:rPr>
                <w:rFonts w:eastAsia="MS Mincho"/>
              </w:rPr>
            </w:pPr>
            <w:r w:rsidRPr="00BC44F3">
              <w:rPr>
                <w:rFonts w:eastAsia="MS Mincho"/>
              </w:rPr>
              <w:t>0.7</w:t>
            </w:r>
          </w:p>
          <w:p w14:paraId="235AF88B" w14:textId="5186B31C" w:rsidR="00F16EB9" w:rsidRPr="00BC44F3" w:rsidRDefault="00F16EB9" w:rsidP="00A833AE">
            <w:pPr>
              <w:pStyle w:val="Tablewriting"/>
              <w:keepNext/>
              <w:jc w:val="center"/>
              <w:rPr>
                <w:rFonts w:eastAsia="MS Mincho"/>
              </w:rPr>
            </w:pPr>
            <w:r w:rsidRPr="00BC44F3">
              <w:rPr>
                <w:rFonts w:eastAsia="MS Mincho"/>
              </w:rPr>
              <w:t>(0.47, 1.05)</w:t>
            </w:r>
          </w:p>
        </w:tc>
      </w:tr>
      <w:tr w:rsidR="00F16EB9" w:rsidRPr="00061F78" w14:paraId="78EDDA37" w14:textId="77777777" w:rsidTr="00F16EB9">
        <w:trPr>
          <w:cantSplit/>
          <w:trHeight w:val="149"/>
        </w:trPr>
        <w:tc>
          <w:tcPr>
            <w:tcW w:w="944" w:type="pct"/>
            <w:tcMar>
              <w:left w:w="28" w:type="dxa"/>
              <w:right w:w="28" w:type="dxa"/>
            </w:tcMar>
          </w:tcPr>
          <w:p w14:paraId="6CA5AD66" w14:textId="2D0AC471" w:rsidR="00F16EB9" w:rsidRDefault="00F16EB9" w:rsidP="00A833AE">
            <w:pPr>
              <w:pStyle w:val="Tablewriting"/>
              <w:keepNext/>
              <w:rPr>
                <w:rFonts w:eastAsia="MS Mincho"/>
              </w:rPr>
            </w:pPr>
            <w:r>
              <w:rPr>
                <w:rFonts w:eastAsia="MS Mincho"/>
              </w:rPr>
              <w:t xml:space="preserve">Lindson </w:t>
            </w:r>
          </w:p>
          <w:p w14:paraId="2AFA2196" w14:textId="2A023604" w:rsidR="00F16EB9" w:rsidRPr="00D468CF" w:rsidRDefault="00F16EB9" w:rsidP="00A833AE">
            <w:pPr>
              <w:pStyle w:val="Tablewriting"/>
              <w:keepNext/>
              <w:rPr>
                <w:rFonts w:eastAsia="MS Mincho"/>
                <w:vertAlign w:val="superscript"/>
              </w:rPr>
            </w:pPr>
            <w:r>
              <w:rPr>
                <w:rFonts w:eastAsia="MS Mincho"/>
              </w:rPr>
              <w:t>(2019)</w:t>
            </w:r>
            <w:r>
              <w:rPr>
                <w:rFonts w:eastAsia="MS Mincho"/>
                <w:vertAlign w:val="superscript"/>
              </w:rPr>
              <w:t>3,5</w:t>
            </w:r>
          </w:p>
        </w:tc>
        <w:tc>
          <w:tcPr>
            <w:tcW w:w="944" w:type="pct"/>
            <w:vAlign w:val="center"/>
          </w:tcPr>
          <w:p w14:paraId="58E730F6" w14:textId="19A33ACF" w:rsidR="00F16EB9" w:rsidRDefault="00F16EB9" w:rsidP="00A833AE">
            <w:pPr>
              <w:pStyle w:val="Tablewriting"/>
              <w:keepNext/>
              <w:jc w:val="center"/>
              <w:rPr>
                <w:rFonts w:eastAsia="MS Mincho"/>
              </w:rPr>
            </w:pPr>
            <w:r>
              <w:rPr>
                <w:rFonts w:eastAsia="MS Mincho"/>
              </w:rPr>
              <w:t>Cochrane Review (3 RCTs)</w:t>
            </w:r>
          </w:p>
        </w:tc>
        <w:tc>
          <w:tcPr>
            <w:tcW w:w="1093" w:type="pct"/>
            <w:tcMar>
              <w:left w:w="28" w:type="dxa"/>
              <w:right w:w="28" w:type="dxa"/>
            </w:tcMar>
            <w:vAlign w:val="center"/>
          </w:tcPr>
          <w:p w14:paraId="384E336C" w14:textId="55426706" w:rsidR="00F16EB9" w:rsidRPr="0078171D" w:rsidRDefault="00F16EB9" w:rsidP="00A833AE">
            <w:pPr>
              <w:pStyle w:val="Tablewriting"/>
              <w:keepNext/>
              <w:jc w:val="center"/>
              <w:rPr>
                <w:rFonts w:eastAsia="MS Mincho"/>
              </w:rPr>
            </w:pPr>
            <w:r>
              <w:rPr>
                <w:rFonts w:eastAsia="MS Mincho"/>
              </w:rPr>
              <w:t>174</w:t>
            </w:r>
            <w:r w:rsidRPr="0078171D">
              <w:rPr>
                <w:rFonts w:eastAsia="MS Mincho"/>
              </w:rPr>
              <w:t>/</w:t>
            </w:r>
            <w:r>
              <w:rPr>
                <w:rFonts w:eastAsia="MS Mincho"/>
              </w:rPr>
              <w:t>842</w:t>
            </w:r>
            <w:r w:rsidRPr="0078171D">
              <w:rPr>
                <w:rFonts w:eastAsia="MS Mincho"/>
              </w:rPr>
              <w:t xml:space="preserve"> </w:t>
            </w:r>
          </w:p>
          <w:p w14:paraId="2B1778D9" w14:textId="550BC33A" w:rsidR="00F16EB9" w:rsidRPr="0078171D" w:rsidRDefault="00F16EB9" w:rsidP="00A833AE">
            <w:pPr>
              <w:pStyle w:val="Tablewriting"/>
              <w:keepNext/>
              <w:jc w:val="center"/>
              <w:rPr>
                <w:rFonts w:eastAsia="MS Mincho"/>
              </w:rPr>
            </w:pPr>
            <w:r w:rsidRPr="0078171D">
              <w:rPr>
                <w:rFonts w:eastAsia="MS Mincho"/>
              </w:rPr>
              <w:t>(</w:t>
            </w:r>
            <w:r>
              <w:rPr>
                <w:rFonts w:eastAsia="MS Mincho"/>
              </w:rPr>
              <w:t>20.7</w:t>
            </w:r>
            <w:r w:rsidRPr="0078171D">
              <w:rPr>
                <w:rFonts w:eastAsia="MS Mincho"/>
              </w:rPr>
              <w:t>%)</w:t>
            </w:r>
          </w:p>
        </w:tc>
        <w:tc>
          <w:tcPr>
            <w:tcW w:w="1006" w:type="pct"/>
            <w:tcMar>
              <w:left w:w="28" w:type="dxa"/>
              <w:right w:w="28" w:type="dxa"/>
            </w:tcMar>
            <w:vAlign w:val="center"/>
          </w:tcPr>
          <w:p w14:paraId="3E83E2AA" w14:textId="1F6E7233" w:rsidR="00F16EB9" w:rsidRPr="0078171D" w:rsidRDefault="00F16EB9" w:rsidP="00A833AE">
            <w:pPr>
              <w:pStyle w:val="Tablewriting"/>
              <w:keepNext/>
              <w:jc w:val="center"/>
              <w:rPr>
                <w:rFonts w:eastAsia="MS Mincho"/>
              </w:rPr>
            </w:pPr>
            <w:r>
              <w:rPr>
                <w:rFonts w:eastAsia="MS Mincho"/>
              </w:rPr>
              <w:t>190</w:t>
            </w:r>
            <w:r w:rsidRPr="0078171D">
              <w:rPr>
                <w:rFonts w:eastAsia="MS Mincho"/>
              </w:rPr>
              <w:t>/</w:t>
            </w:r>
            <w:r>
              <w:rPr>
                <w:rFonts w:eastAsia="MS Mincho"/>
              </w:rPr>
              <w:t>865</w:t>
            </w:r>
            <w:r w:rsidRPr="0078171D">
              <w:rPr>
                <w:rFonts w:eastAsia="MS Mincho"/>
              </w:rPr>
              <w:t xml:space="preserve"> </w:t>
            </w:r>
          </w:p>
          <w:p w14:paraId="649B78AF" w14:textId="6DFF59D2" w:rsidR="00F16EB9" w:rsidRPr="0078171D" w:rsidRDefault="00F16EB9" w:rsidP="00A833AE">
            <w:pPr>
              <w:pStyle w:val="Tablewriting"/>
              <w:keepNext/>
              <w:jc w:val="center"/>
              <w:rPr>
                <w:rFonts w:eastAsia="MS Mincho"/>
              </w:rPr>
            </w:pPr>
            <w:r w:rsidRPr="0078171D">
              <w:rPr>
                <w:rFonts w:eastAsia="MS Mincho"/>
              </w:rPr>
              <w:t>(</w:t>
            </w:r>
            <w:r>
              <w:rPr>
                <w:rFonts w:eastAsia="MS Mincho"/>
              </w:rPr>
              <w:t>22.0</w:t>
            </w:r>
            <w:r w:rsidRPr="0078171D">
              <w:rPr>
                <w:rFonts w:eastAsia="MS Mincho"/>
              </w:rPr>
              <w:t>%)</w:t>
            </w:r>
          </w:p>
        </w:tc>
        <w:tc>
          <w:tcPr>
            <w:tcW w:w="1013" w:type="pct"/>
            <w:tcMar>
              <w:left w:w="28" w:type="dxa"/>
              <w:right w:w="28" w:type="dxa"/>
            </w:tcMar>
            <w:vAlign w:val="center"/>
          </w:tcPr>
          <w:p w14:paraId="3B71C51D" w14:textId="578E1FEF" w:rsidR="00F16EB9" w:rsidRPr="00BC44F3" w:rsidRDefault="00F16EB9" w:rsidP="00A833AE">
            <w:pPr>
              <w:pStyle w:val="Tablewriting"/>
              <w:keepNext/>
              <w:jc w:val="center"/>
              <w:rPr>
                <w:rFonts w:eastAsia="MS Mincho"/>
              </w:rPr>
            </w:pPr>
            <w:r w:rsidRPr="00BC44F3">
              <w:rPr>
                <w:rFonts w:eastAsia="MS Mincho"/>
              </w:rPr>
              <w:t>0.94</w:t>
            </w:r>
          </w:p>
          <w:p w14:paraId="16A3C6D3" w14:textId="0807714D" w:rsidR="00F16EB9" w:rsidRPr="00BC44F3" w:rsidRDefault="00F16EB9" w:rsidP="00A833AE">
            <w:pPr>
              <w:pStyle w:val="Tablewriting"/>
              <w:keepNext/>
              <w:jc w:val="center"/>
              <w:rPr>
                <w:rFonts w:eastAsia="MS Mincho"/>
              </w:rPr>
            </w:pPr>
            <w:r w:rsidRPr="00BC44F3">
              <w:rPr>
                <w:rFonts w:eastAsia="MS Mincho"/>
              </w:rPr>
              <w:t>(0.79, 1.12)</w:t>
            </w:r>
          </w:p>
        </w:tc>
      </w:tr>
      <w:tr w:rsidR="00F16EB9" w:rsidRPr="00061F78" w14:paraId="6C61E4E8" w14:textId="77777777" w:rsidTr="00E97C7D">
        <w:trPr>
          <w:cantSplit/>
          <w:trHeight w:val="99"/>
        </w:trPr>
        <w:tc>
          <w:tcPr>
            <w:tcW w:w="5000" w:type="pct"/>
            <w:gridSpan w:val="5"/>
            <w:shd w:val="clear" w:color="auto" w:fill="auto"/>
            <w:tcMar>
              <w:left w:w="28" w:type="dxa"/>
              <w:right w:w="28" w:type="dxa"/>
            </w:tcMar>
          </w:tcPr>
          <w:p w14:paraId="6BBCE347" w14:textId="1EC8FF70" w:rsidR="00F16EB9" w:rsidRPr="00E97C7D" w:rsidRDefault="00F16EB9" w:rsidP="005E6DBB">
            <w:pPr>
              <w:pStyle w:val="Tablewriting"/>
              <w:keepNext/>
              <w:rPr>
                <w:rFonts w:eastAsia="MS Mincho"/>
                <w:b/>
                <w:bCs/>
              </w:rPr>
            </w:pPr>
            <w:r w:rsidRPr="00E97C7D">
              <w:rPr>
                <w:rFonts w:eastAsia="MS Mincho"/>
                <w:b/>
                <w:bCs/>
              </w:rPr>
              <w:t>NRT gum versus NRT patch</w:t>
            </w:r>
            <w:r w:rsidR="00D35E6F">
              <w:rPr>
                <w:rFonts w:eastAsia="MS Mincho"/>
                <w:b/>
                <w:bCs/>
                <w:vertAlign w:val="superscript"/>
              </w:rPr>
              <w:t>7</w:t>
            </w:r>
          </w:p>
        </w:tc>
      </w:tr>
      <w:bookmarkEnd w:id="73"/>
      <w:tr w:rsidR="00F16EB9" w:rsidRPr="00061F78" w14:paraId="1E7FDCD2" w14:textId="77777777" w:rsidTr="00015CD6">
        <w:trPr>
          <w:cantSplit/>
          <w:trHeight w:val="99"/>
        </w:trPr>
        <w:tc>
          <w:tcPr>
            <w:tcW w:w="944" w:type="pct"/>
            <w:shd w:val="clear" w:color="auto" w:fill="D9D9D9" w:themeFill="background1" w:themeFillShade="D9"/>
            <w:tcMar>
              <w:left w:w="28" w:type="dxa"/>
              <w:right w:w="28" w:type="dxa"/>
            </w:tcMar>
          </w:tcPr>
          <w:p w14:paraId="5E71768F" w14:textId="1F106BC1" w:rsidR="00F16EB9" w:rsidRDefault="00F16EB9" w:rsidP="00A833AE">
            <w:pPr>
              <w:pStyle w:val="Tablewriting"/>
              <w:keepNext/>
              <w:rPr>
                <w:rFonts w:eastAsia="MS Mincho"/>
              </w:rPr>
            </w:pPr>
            <w:r>
              <w:rPr>
                <w:rFonts w:eastAsia="MS Mincho"/>
              </w:rPr>
              <w:t>Moolchan</w:t>
            </w:r>
          </w:p>
          <w:p w14:paraId="41DE3500" w14:textId="7252B7F5" w:rsidR="00F16EB9" w:rsidRPr="005E6DBB" w:rsidRDefault="00F16EB9" w:rsidP="00A833AE">
            <w:pPr>
              <w:pStyle w:val="Tablewriting"/>
              <w:keepNext/>
              <w:rPr>
                <w:rFonts w:eastAsia="MS Mincho"/>
                <w:vertAlign w:val="superscript"/>
              </w:rPr>
            </w:pPr>
            <w:r>
              <w:rPr>
                <w:rFonts w:eastAsia="MS Mincho"/>
              </w:rPr>
              <w:t>(2005)</w:t>
            </w:r>
            <w:r>
              <w:rPr>
                <w:rFonts w:eastAsia="MS Mincho"/>
                <w:vertAlign w:val="superscript"/>
              </w:rPr>
              <w:t>4</w:t>
            </w:r>
          </w:p>
        </w:tc>
        <w:tc>
          <w:tcPr>
            <w:tcW w:w="944" w:type="pct"/>
            <w:shd w:val="clear" w:color="auto" w:fill="D9D9D9" w:themeFill="background1" w:themeFillShade="D9"/>
            <w:vAlign w:val="center"/>
          </w:tcPr>
          <w:p w14:paraId="04A40DCE" w14:textId="7F3908A2" w:rsidR="00F16EB9" w:rsidRDefault="00F16EB9" w:rsidP="00A833AE">
            <w:pPr>
              <w:pStyle w:val="Tablewriting"/>
              <w:keepNext/>
              <w:jc w:val="center"/>
              <w:rPr>
                <w:rFonts w:eastAsia="MS Mincho"/>
              </w:rPr>
            </w:pPr>
            <w:r>
              <w:rPr>
                <w:rFonts w:eastAsia="MS Mincho"/>
              </w:rPr>
              <w:t>RCT</w:t>
            </w:r>
          </w:p>
        </w:tc>
        <w:tc>
          <w:tcPr>
            <w:tcW w:w="1093" w:type="pct"/>
            <w:shd w:val="clear" w:color="auto" w:fill="D9D9D9" w:themeFill="background1" w:themeFillShade="D9"/>
            <w:tcMar>
              <w:left w:w="28" w:type="dxa"/>
              <w:right w:w="28" w:type="dxa"/>
            </w:tcMar>
            <w:vAlign w:val="center"/>
          </w:tcPr>
          <w:p w14:paraId="24B25248" w14:textId="73C30149" w:rsidR="00F16EB9" w:rsidRPr="0078171D" w:rsidRDefault="00F16EB9" w:rsidP="00A833AE">
            <w:pPr>
              <w:pStyle w:val="Tablewriting"/>
              <w:keepNext/>
              <w:jc w:val="center"/>
              <w:rPr>
                <w:rFonts w:eastAsia="MS Mincho"/>
              </w:rPr>
            </w:pPr>
            <w:r>
              <w:rPr>
                <w:rFonts w:eastAsia="MS Mincho"/>
              </w:rPr>
              <w:t>8</w:t>
            </w:r>
            <w:r w:rsidRPr="0078171D">
              <w:rPr>
                <w:rFonts w:eastAsia="MS Mincho"/>
              </w:rPr>
              <w:t>/</w:t>
            </w:r>
            <w:r>
              <w:rPr>
                <w:rFonts w:eastAsia="MS Mincho"/>
              </w:rPr>
              <w:t>46</w:t>
            </w:r>
          </w:p>
          <w:p w14:paraId="680B61B4" w14:textId="735BD1E3" w:rsidR="00F16EB9" w:rsidRPr="0078171D" w:rsidRDefault="00F16EB9" w:rsidP="00A833AE">
            <w:pPr>
              <w:pStyle w:val="Tablewriting"/>
              <w:keepNext/>
              <w:jc w:val="center"/>
              <w:rPr>
                <w:rFonts w:eastAsia="MS Mincho"/>
              </w:rPr>
            </w:pPr>
            <w:r w:rsidRPr="0078171D">
              <w:rPr>
                <w:rFonts w:eastAsia="MS Mincho"/>
              </w:rPr>
              <w:t>(</w:t>
            </w:r>
            <w:r>
              <w:rPr>
                <w:rFonts w:eastAsia="MS Mincho"/>
              </w:rPr>
              <w:t>17.4</w:t>
            </w:r>
            <w:r w:rsidRPr="0078171D">
              <w:rPr>
                <w:rFonts w:eastAsia="MS Mincho"/>
              </w:rPr>
              <w:t>%)</w:t>
            </w:r>
          </w:p>
        </w:tc>
        <w:tc>
          <w:tcPr>
            <w:tcW w:w="1006" w:type="pct"/>
            <w:shd w:val="clear" w:color="auto" w:fill="D9D9D9" w:themeFill="background1" w:themeFillShade="D9"/>
            <w:tcMar>
              <w:left w:w="28" w:type="dxa"/>
              <w:right w:w="28" w:type="dxa"/>
            </w:tcMar>
            <w:vAlign w:val="center"/>
          </w:tcPr>
          <w:p w14:paraId="17B03685" w14:textId="73461959" w:rsidR="00F16EB9" w:rsidRPr="0078171D" w:rsidRDefault="00F16EB9" w:rsidP="00A833AE">
            <w:pPr>
              <w:pStyle w:val="Tablewriting"/>
              <w:keepNext/>
              <w:jc w:val="center"/>
              <w:rPr>
                <w:rFonts w:eastAsia="MS Mincho"/>
              </w:rPr>
            </w:pPr>
            <w:r>
              <w:rPr>
                <w:rFonts w:eastAsia="MS Mincho"/>
              </w:rPr>
              <w:t>9</w:t>
            </w:r>
            <w:r w:rsidRPr="0078171D">
              <w:rPr>
                <w:rFonts w:eastAsia="MS Mincho"/>
              </w:rPr>
              <w:t>/</w:t>
            </w:r>
            <w:r>
              <w:rPr>
                <w:rFonts w:eastAsia="MS Mincho"/>
              </w:rPr>
              <w:t>34</w:t>
            </w:r>
            <w:r w:rsidRPr="0078171D">
              <w:rPr>
                <w:rFonts w:eastAsia="MS Mincho"/>
              </w:rPr>
              <w:t xml:space="preserve"> </w:t>
            </w:r>
          </w:p>
          <w:p w14:paraId="5E285705" w14:textId="3273A675" w:rsidR="00F16EB9" w:rsidRPr="0078171D" w:rsidRDefault="00F16EB9" w:rsidP="00A833AE">
            <w:pPr>
              <w:pStyle w:val="Tablewriting"/>
              <w:keepNext/>
              <w:jc w:val="center"/>
              <w:rPr>
                <w:rFonts w:eastAsia="MS Mincho"/>
              </w:rPr>
            </w:pPr>
            <w:r w:rsidRPr="0078171D">
              <w:rPr>
                <w:rFonts w:eastAsia="MS Mincho"/>
              </w:rPr>
              <w:t>(</w:t>
            </w:r>
            <w:r>
              <w:rPr>
                <w:rFonts w:eastAsia="MS Mincho"/>
              </w:rPr>
              <w:t>26.5</w:t>
            </w:r>
            <w:r w:rsidRPr="0078171D">
              <w:rPr>
                <w:rFonts w:eastAsia="MS Mincho"/>
              </w:rPr>
              <w:t>%)</w:t>
            </w:r>
          </w:p>
        </w:tc>
        <w:tc>
          <w:tcPr>
            <w:tcW w:w="1013" w:type="pct"/>
            <w:shd w:val="clear" w:color="auto" w:fill="D9D9D9" w:themeFill="background1" w:themeFillShade="D9"/>
            <w:tcMar>
              <w:left w:w="28" w:type="dxa"/>
              <w:right w:w="28" w:type="dxa"/>
            </w:tcMar>
            <w:vAlign w:val="center"/>
          </w:tcPr>
          <w:p w14:paraId="4C9F3854" w14:textId="63D09364" w:rsidR="00F16EB9" w:rsidRPr="00BC44F3" w:rsidRDefault="00F16EB9" w:rsidP="00A833AE">
            <w:pPr>
              <w:pStyle w:val="Tablewriting"/>
              <w:keepNext/>
              <w:jc w:val="center"/>
              <w:rPr>
                <w:rFonts w:eastAsia="MS Mincho"/>
              </w:rPr>
            </w:pPr>
            <w:r w:rsidRPr="00BC44F3">
              <w:rPr>
                <w:rFonts w:eastAsia="MS Mincho"/>
              </w:rPr>
              <w:t>0.66</w:t>
            </w:r>
          </w:p>
          <w:p w14:paraId="1340BC5F" w14:textId="7127E1DE" w:rsidR="00F16EB9" w:rsidRPr="00BC44F3" w:rsidRDefault="00F16EB9" w:rsidP="00A833AE">
            <w:pPr>
              <w:pStyle w:val="Tablewriting"/>
              <w:keepNext/>
              <w:jc w:val="center"/>
              <w:rPr>
                <w:rFonts w:eastAsia="MS Mincho"/>
              </w:rPr>
            </w:pPr>
            <w:r w:rsidRPr="00BC44F3">
              <w:rPr>
                <w:rFonts w:eastAsia="MS Mincho"/>
              </w:rPr>
              <w:t>(0.28, 1.53)</w:t>
            </w:r>
          </w:p>
        </w:tc>
      </w:tr>
      <w:tr w:rsidR="00F16EB9" w:rsidRPr="00061F78" w14:paraId="789213A6" w14:textId="77777777" w:rsidTr="00F16EB9">
        <w:trPr>
          <w:cantSplit/>
          <w:trHeight w:val="149"/>
        </w:trPr>
        <w:tc>
          <w:tcPr>
            <w:tcW w:w="944" w:type="pct"/>
            <w:tcMar>
              <w:left w:w="28" w:type="dxa"/>
              <w:right w:w="28" w:type="dxa"/>
            </w:tcMar>
          </w:tcPr>
          <w:p w14:paraId="2A471CF0" w14:textId="77777777" w:rsidR="00F16EB9" w:rsidRDefault="00F16EB9" w:rsidP="00A833AE">
            <w:pPr>
              <w:pStyle w:val="Tablewriting"/>
              <w:keepNext/>
              <w:rPr>
                <w:rFonts w:eastAsia="MS Mincho"/>
              </w:rPr>
            </w:pPr>
            <w:r>
              <w:rPr>
                <w:rFonts w:eastAsia="MS Mincho"/>
              </w:rPr>
              <w:t xml:space="preserve">Lindson </w:t>
            </w:r>
          </w:p>
          <w:p w14:paraId="052DE2F5" w14:textId="52D2DC82" w:rsidR="00F16EB9" w:rsidRPr="00D468CF" w:rsidRDefault="00F16EB9" w:rsidP="00A833AE">
            <w:pPr>
              <w:pStyle w:val="Tablewriting"/>
              <w:keepNext/>
              <w:rPr>
                <w:rFonts w:eastAsia="MS Mincho"/>
                <w:vertAlign w:val="superscript"/>
              </w:rPr>
            </w:pPr>
            <w:r>
              <w:rPr>
                <w:rFonts w:eastAsia="MS Mincho"/>
              </w:rPr>
              <w:t>(2019)</w:t>
            </w:r>
            <w:r>
              <w:rPr>
                <w:rFonts w:eastAsia="MS Mincho"/>
                <w:vertAlign w:val="superscript"/>
              </w:rPr>
              <w:t>3,5</w:t>
            </w:r>
          </w:p>
        </w:tc>
        <w:tc>
          <w:tcPr>
            <w:tcW w:w="944" w:type="pct"/>
            <w:vAlign w:val="center"/>
          </w:tcPr>
          <w:p w14:paraId="4C687438" w14:textId="3512DC15" w:rsidR="00F16EB9" w:rsidRDefault="00F16EB9" w:rsidP="00A833AE">
            <w:pPr>
              <w:pStyle w:val="Tablewriting"/>
              <w:keepNext/>
              <w:jc w:val="center"/>
              <w:rPr>
                <w:rFonts w:eastAsia="MS Mincho"/>
              </w:rPr>
            </w:pPr>
            <w:r>
              <w:rPr>
                <w:rFonts w:eastAsia="MS Mincho"/>
              </w:rPr>
              <w:t>Cochrane Review (2 RCTs)</w:t>
            </w:r>
          </w:p>
        </w:tc>
        <w:tc>
          <w:tcPr>
            <w:tcW w:w="1093" w:type="pct"/>
            <w:tcMar>
              <w:left w:w="28" w:type="dxa"/>
              <w:right w:w="28" w:type="dxa"/>
            </w:tcMar>
            <w:vAlign w:val="center"/>
          </w:tcPr>
          <w:p w14:paraId="5E3F706B" w14:textId="198D741C" w:rsidR="00F16EB9" w:rsidRPr="0078171D" w:rsidRDefault="00F16EB9" w:rsidP="00A833AE">
            <w:pPr>
              <w:pStyle w:val="Tablewriting"/>
              <w:keepNext/>
              <w:jc w:val="center"/>
              <w:rPr>
                <w:rFonts w:eastAsia="MS Mincho"/>
              </w:rPr>
            </w:pPr>
            <w:r>
              <w:rPr>
                <w:rFonts w:eastAsia="MS Mincho"/>
              </w:rPr>
              <w:t>8/63</w:t>
            </w:r>
            <w:r w:rsidRPr="0078171D">
              <w:rPr>
                <w:rFonts w:eastAsia="MS Mincho"/>
              </w:rPr>
              <w:t xml:space="preserve"> </w:t>
            </w:r>
          </w:p>
          <w:p w14:paraId="42C89E2D" w14:textId="21AB25FE" w:rsidR="00F16EB9" w:rsidRPr="0078171D" w:rsidRDefault="00F16EB9" w:rsidP="00A833AE">
            <w:pPr>
              <w:pStyle w:val="Tablewriting"/>
              <w:keepNext/>
              <w:jc w:val="center"/>
              <w:rPr>
                <w:rFonts w:eastAsia="MS Mincho"/>
              </w:rPr>
            </w:pPr>
            <w:r w:rsidRPr="0078171D">
              <w:rPr>
                <w:rFonts w:eastAsia="MS Mincho"/>
              </w:rPr>
              <w:t>(</w:t>
            </w:r>
            <w:r>
              <w:rPr>
                <w:rFonts w:eastAsia="MS Mincho"/>
              </w:rPr>
              <w:t>12.7</w:t>
            </w:r>
            <w:r w:rsidRPr="0078171D">
              <w:rPr>
                <w:rFonts w:eastAsia="MS Mincho"/>
              </w:rPr>
              <w:t>%)</w:t>
            </w:r>
          </w:p>
        </w:tc>
        <w:tc>
          <w:tcPr>
            <w:tcW w:w="1006" w:type="pct"/>
            <w:tcMar>
              <w:left w:w="28" w:type="dxa"/>
              <w:right w:w="28" w:type="dxa"/>
            </w:tcMar>
            <w:vAlign w:val="center"/>
          </w:tcPr>
          <w:p w14:paraId="2568EE01" w14:textId="10C92595" w:rsidR="00F16EB9" w:rsidRPr="0078171D" w:rsidRDefault="00F16EB9" w:rsidP="00A833AE">
            <w:pPr>
              <w:pStyle w:val="Tablewriting"/>
              <w:keepNext/>
              <w:jc w:val="center"/>
              <w:rPr>
                <w:rFonts w:eastAsia="MS Mincho"/>
              </w:rPr>
            </w:pPr>
            <w:r>
              <w:rPr>
                <w:rFonts w:eastAsia="MS Mincho"/>
              </w:rPr>
              <w:t>11</w:t>
            </w:r>
            <w:r w:rsidRPr="0078171D">
              <w:rPr>
                <w:rFonts w:eastAsia="MS Mincho"/>
              </w:rPr>
              <w:t>/</w:t>
            </w:r>
            <w:r>
              <w:rPr>
                <w:rFonts w:eastAsia="MS Mincho"/>
              </w:rPr>
              <w:t>55</w:t>
            </w:r>
            <w:r w:rsidRPr="0078171D">
              <w:rPr>
                <w:rFonts w:eastAsia="MS Mincho"/>
              </w:rPr>
              <w:t xml:space="preserve"> </w:t>
            </w:r>
          </w:p>
          <w:p w14:paraId="457F650B" w14:textId="7A460C6B" w:rsidR="00F16EB9" w:rsidRPr="0078171D" w:rsidRDefault="00F16EB9" w:rsidP="00A833AE">
            <w:pPr>
              <w:pStyle w:val="Tablewriting"/>
              <w:keepNext/>
              <w:jc w:val="center"/>
              <w:rPr>
                <w:rFonts w:eastAsia="MS Mincho"/>
              </w:rPr>
            </w:pPr>
            <w:r w:rsidRPr="0078171D">
              <w:rPr>
                <w:rFonts w:eastAsia="MS Mincho"/>
              </w:rPr>
              <w:t>(</w:t>
            </w:r>
            <w:r>
              <w:rPr>
                <w:rFonts w:eastAsia="MS Mincho"/>
              </w:rPr>
              <w:t>20.0</w:t>
            </w:r>
            <w:r w:rsidRPr="0078171D">
              <w:rPr>
                <w:rFonts w:eastAsia="MS Mincho"/>
              </w:rPr>
              <w:t>%)</w:t>
            </w:r>
          </w:p>
        </w:tc>
        <w:tc>
          <w:tcPr>
            <w:tcW w:w="1013" w:type="pct"/>
            <w:tcMar>
              <w:left w:w="28" w:type="dxa"/>
              <w:right w:w="28" w:type="dxa"/>
            </w:tcMar>
            <w:vAlign w:val="center"/>
          </w:tcPr>
          <w:p w14:paraId="4354382E" w14:textId="430C85E1" w:rsidR="00F16EB9" w:rsidRPr="00BC44F3" w:rsidRDefault="00F16EB9" w:rsidP="00A833AE">
            <w:pPr>
              <w:pStyle w:val="Tablewriting"/>
              <w:keepNext/>
              <w:jc w:val="center"/>
              <w:rPr>
                <w:rFonts w:eastAsia="MS Mincho"/>
              </w:rPr>
            </w:pPr>
            <w:r w:rsidRPr="00BC44F3">
              <w:rPr>
                <w:rFonts w:eastAsia="MS Mincho"/>
              </w:rPr>
              <w:t>0.58</w:t>
            </w:r>
          </w:p>
          <w:p w14:paraId="10FC06BE" w14:textId="44D3B3E9" w:rsidR="00F16EB9" w:rsidRPr="00BC44F3" w:rsidRDefault="00F16EB9" w:rsidP="00A833AE">
            <w:pPr>
              <w:pStyle w:val="Tablewriting"/>
              <w:keepNext/>
              <w:jc w:val="center"/>
              <w:rPr>
                <w:rFonts w:eastAsia="MS Mincho"/>
              </w:rPr>
            </w:pPr>
            <w:r w:rsidRPr="00BC44F3">
              <w:rPr>
                <w:rFonts w:eastAsia="MS Mincho"/>
              </w:rPr>
              <w:t>(0.26, 1.31)</w:t>
            </w:r>
          </w:p>
        </w:tc>
      </w:tr>
    </w:tbl>
    <w:p w14:paraId="3502AF6D" w14:textId="3DC13DC8" w:rsidR="005E6DBB" w:rsidRDefault="005E6DBB" w:rsidP="005E6DBB">
      <w:pPr>
        <w:pStyle w:val="TableFooter"/>
        <w:keepNext/>
      </w:pPr>
      <w:r>
        <w:t>Source: Lindson et al. (2019)</w:t>
      </w:r>
    </w:p>
    <w:p w14:paraId="4310B3C0" w14:textId="77777777" w:rsidR="005E6DBB" w:rsidRDefault="005E6DBB" w:rsidP="005E6DBB">
      <w:pPr>
        <w:pStyle w:val="TableFooter"/>
        <w:keepNext/>
        <w:rPr>
          <w:i/>
        </w:rPr>
      </w:pPr>
      <w:r>
        <w:t>Abbreviations: CI = confidence interval; RCT = randomised controlled trial; RD = risk difference; RR = risk ratio</w:t>
      </w:r>
      <w:r w:rsidRPr="00061F78">
        <w:t xml:space="preserve"> </w:t>
      </w:r>
    </w:p>
    <w:p w14:paraId="72CCADB4" w14:textId="77777777" w:rsidR="005E6DBB" w:rsidRDefault="005E6DBB" w:rsidP="005E6DBB">
      <w:pPr>
        <w:pStyle w:val="TableFooter"/>
        <w:keepNext/>
      </w:pPr>
      <w:r w:rsidRPr="00061F78">
        <w:rPr>
          <w:highlight w:val="lightGray"/>
        </w:rPr>
        <w:t>Shaded</w:t>
      </w:r>
      <w:r w:rsidRPr="00061F78">
        <w:t xml:space="preserve"> = previously considered by the PBAC</w:t>
      </w:r>
    </w:p>
    <w:p w14:paraId="2CBB7357" w14:textId="1826C8A6" w:rsidR="005E6DBB" w:rsidRDefault="005E6DBB" w:rsidP="005E6DBB">
      <w:pPr>
        <w:pStyle w:val="TableFooter"/>
        <w:keepNext/>
      </w:pPr>
      <w:r w:rsidRPr="00D468CF">
        <w:t>Note</w:t>
      </w:r>
      <w:r>
        <w:t>s</w:t>
      </w:r>
      <w:r w:rsidRPr="00D468CF">
        <w:t>: Bold indicates statistically significant difference.</w:t>
      </w:r>
      <w:r>
        <w:br/>
        <w:t>1 7-day point prevalen</w:t>
      </w:r>
      <w:r w:rsidR="004677E9">
        <w:t>ce</w:t>
      </w:r>
      <w:r>
        <w:t xml:space="preserve"> abstinence at </w:t>
      </w:r>
      <w:r w:rsidR="007C00EF">
        <w:t>six</w:t>
      </w:r>
      <w:r>
        <w:t xml:space="preserve"> months</w:t>
      </w:r>
      <w:r w:rsidR="00AB5FA3">
        <w:t>.</w:t>
      </w:r>
    </w:p>
    <w:p w14:paraId="75C84E9D" w14:textId="6A78E838" w:rsidR="005E6DBB" w:rsidRDefault="005E6DBB" w:rsidP="00AB4506">
      <w:pPr>
        <w:pStyle w:val="TableFooter"/>
        <w:keepNext/>
        <w:jc w:val="both"/>
      </w:pPr>
      <w:r>
        <w:t>2 24-hour point prevalen</w:t>
      </w:r>
      <w:r w:rsidR="004677E9">
        <w:t>ce</w:t>
      </w:r>
      <w:r>
        <w:t xml:space="preserve"> abstinence at </w:t>
      </w:r>
      <w:r w:rsidR="007C00EF">
        <w:t>six</w:t>
      </w:r>
      <w:r>
        <w:t xml:space="preserve"> months</w:t>
      </w:r>
      <w:r w:rsidR="00AB5FA3">
        <w:t>.</w:t>
      </w:r>
    </w:p>
    <w:p w14:paraId="7B75982D" w14:textId="3E3D92DB" w:rsidR="005E6DBB" w:rsidRDefault="005E6DBB" w:rsidP="00AB4506">
      <w:pPr>
        <w:pStyle w:val="TableFooter"/>
        <w:keepNext/>
        <w:jc w:val="both"/>
      </w:pPr>
      <w:r>
        <w:t>3 Where cessation was assessed at multiple intervals, the longest follow-up data were used. Where multiple definitions of abstinence were assessed, the strictest of these definitions was used (</w:t>
      </w:r>
      <w:r w:rsidR="004C4EA7">
        <w:t>e.g.,</w:t>
      </w:r>
      <w:r>
        <w:t xml:space="preserve"> continuous/prolonged abstinence over point prevalence abstinence). See </w:t>
      </w:r>
      <w:r w:rsidRPr="0079330A">
        <w:t xml:space="preserve">Appendix </w:t>
      </w:r>
      <w:r w:rsidR="000B683C">
        <w:t>Table 150</w:t>
      </w:r>
      <w:r w:rsidR="00A833AE">
        <w:t xml:space="preserve"> </w:t>
      </w:r>
      <w:r>
        <w:t>for the definition used in each study.</w:t>
      </w:r>
      <w:r w:rsidR="007D52F7" w:rsidRPr="007D52F7">
        <w:t xml:space="preserve"> </w:t>
      </w:r>
      <w:bookmarkStart w:id="74" w:name="_Hlk55138285"/>
      <w:r w:rsidR="00896F78">
        <w:t>S</w:t>
      </w:r>
      <w:r w:rsidR="007D52F7" w:rsidRPr="007D52F7">
        <w:t xml:space="preserve">tudies previously considered by the PBAC were included in the </w:t>
      </w:r>
      <w:r w:rsidR="00896F78">
        <w:t>meta-analysis</w:t>
      </w:r>
      <w:r w:rsidR="007D52F7" w:rsidRPr="007D52F7">
        <w:t xml:space="preserve"> </w:t>
      </w:r>
      <w:bookmarkEnd w:id="74"/>
      <w:r w:rsidR="007D52F7" w:rsidRPr="007D52F7">
        <w:t xml:space="preserve">of </w:t>
      </w:r>
      <w:r w:rsidR="00896F78">
        <w:t>Lindson</w:t>
      </w:r>
      <w:r w:rsidR="007D52F7" w:rsidRPr="007D52F7">
        <w:t xml:space="preserve"> et al. (201</w:t>
      </w:r>
      <w:r w:rsidR="00896F78">
        <w:t>9</w:t>
      </w:r>
      <w:r w:rsidR="007D52F7" w:rsidRPr="007D52F7">
        <w:t>)</w:t>
      </w:r>
      <w:r w:rsidR="00896F78">
        <w:t>.</w:t>
      </w:r>
    </w:p>
    <w:p w14:paraId="695BFA25" w14:textId="619128EC" w:rsidR="005E6DBB" w:rsidRDefault="005E6DBB" w:rsidP="00AB4506">
      <w:pPr>
        <w:pStyle w:val="TableFooter"/>
        <w:keepNext/>
        <w:jc w:val="both"/>
      </w:pPr>
      <w:r>
        <w:t>4 7-day point prevalen</w:t>
      </w:r>
      <w:r w:rsidR="004677E9">
        <w:t>ce</w:t>
      </w:r>
      <w:r>
        <w:t xml:space="preserve"> abstinence at </w:t>
      </w:r>
      <w:r w:rsidR="007C00EF">
        <w:t>one</w:t>
      </w:r>
      <w:r>
        <w:t xml:space="preserve"> week after quit date</w:t>
      </w:r>
      <w:r w:rsidR="00AB5FA3">
        <w:t>.</w:t>
      </w:r>
    </w:p>
    <w:p w14:paraId="394B201F" w14:textId="1E7EC739" w:rsidR="005E6DBB" w:rsidRDefault="005E6DBB" w:rsidP="00AB4506">
      <w:pPr>
        <w:pStyle w:val="TableFooter"/>
        <w:keepNext/>
        <w:jc w:val="both"/>
      </w:pPr>
      <w:r w:rsidRPr="0079330A">
        <w:t>5 Calculated</w:t>
      </w:r>
      <w:r w:rsidR="00F16EB9" w:rsidRPr="0079330A">
        <w:t xml:space="preserve"> by Cochrane Review authors</w:t>
      </w:r>
      <w:r w:rsidRPr="0079330A">
        <w:t xml:space="preserve"> using a fixed-effect model</w:t>
      </w:r>
      <w:r w:rsidR="00AB5FA3">
        <w:t>.</w:t>
      </w:r>
    </w:p>
    <w:p w14:paraId="001D51B0" w14:textId="3C9C7343" w:rsidR="00D35E6F" w:rsidRDefault="00F350D4" w:rsidP="00AB4506">
      <w:pPr>
        <w:pStyle w:val="TableFooter"/>
        <w:keepNext/>
        <w:jc w:val="both"/>
      </w:pPr>
      <w:r>
        <w:t xml:space="preserve">6 </w:t>
      </w:r>
      <w:r w:rsidR="009F7121" w:rsidRPr="009F7121">
        <w:rPr>
          <w:color w:val="000000"/>
          <w:w w:val="65"/>
          <w:shd w:val="solid" w:color="000000" w:fill="000000"/>
          <w:fitText w:val="8730" w:id="-1402753792"/>
          <w14:textFill>
            <w14:solidFill>
              <w14:srgbClr w14:val="000000">
                <w14:alpha w14:val="100000"/>
              </w14:srgbClr>
            </w14:solidFill>
          </w14:textFill>
        </w:rPr>
        <w:t>||||||||||||||||||||||||||||||||||||||||||||||||||||||||||||||||||||||||  |||||||||||||||||||||||||||||||||||||||||||||||||||||||||||||||||||||||</w:t>
      </w:r>
      <w:r w:rsidR="009F7121" w:rsidRPr="009F7121">
        <w:rPr>
          <w:color w:val="000000"/>
          <w:spacing w:val="64"/>
          <w:w w:val="65"/>
          <w:shd w:val="solid" w:color="000000" w:fill="000000"/>
          <w:fitText w:val="8730" w:id="-1402753792"/>
          <w14:textFill>
            <w14:solidFill>
              <w14:srgbClr w14:val="000000">
                <w14:alpha w14:val="100000"/>
              </w14:srgbClr>
            </w14:solidFill>
          </w14:textFill>
        </w:rPr>
        <w:t>|</w:t>
      </w:r>
      <w:r w:rsidR="009F7121">
        <w:rPr>
          <w:highlight w:val="lightGray"/>
          <w:shd w:val="clear" w:color="auto" w:fill="C0C0C1"/>
        </w:rPr>
        <w:t xml:space="preserve"> </w:t>
      </w:r>
      <w:r w:rsidR="009F7121" w:rsidRPr="009F7121">
        <w:rPr>
          <w:color w:val="000000"/>
          <w:spacing w:val="1"/>
          <w:w w:val="65"/>
          <w:shd w:val="solid" w:color="000000" w:fill="000000"/>
          <w:fitText w:val="8910" w:id="-1402753791"/>
          <w14:textFill>
            <w14:solidFill>
              <w14:srgbClr w14:val="000000">
                <w14:alpha w14:val="100000"/>
              </w14:srgbClr>
            </w14:solidFill>
          </w14:textFill>
        </w:rPr>
        <w:t>|||||||||||||||||||||||||||||||||||||||||||||||||||||||||||||||||||||||||  ||||||||||||||||||||||||||||||||||||||||||||||||||||||||||||||||||||||||</w:t>
      </w:r>
      <w:r w:rsidR="009F7121" w:rsidRPr="009F7121">
        <w:rPr>
          <w:color w:val="000000"/>
          <w:spacing w:val="-21"/>
          <w:w w:val="65"/>
          <w:shd w:val="solid" w:color="000000" w:fill="000000"/>
          <w:fitText w:val="8910" w:id="-1402753791"/>
          <w14:textFill>
            <w14:solidFill>
              <w14:srgbClr w14:val="000000">
                <w14:alpha w14:val="100000"/>
              </w14:srgbClr>
            </w14:solidFill>
          </w14:textFill>
        </w:rPr>
        <w:t>|</w:t>
      </w:r>
      <w:r w:rsidR="009F7121">
        <w:rPr>
          <w:highlight w:val="lightGray"/>
          <w:shd w:val="clear" w:color="auto" w:fill="C0C0C1"/>
        </w:rPr>
        <w:t xml:space="preserve"> </w:t>
      </w:r>
      <w:r w:rsidR="009F7121" w:rsidRPr="009F7121">
        <w:rPr>
          <w:color w:val="000000"/>
          <w:w w:val="72"/>
          <w:shd w:val="solid" w:color="000000" w:fill="000000"/>
          <w:fitText w:val="600" w:id="-1402753790"/>
          <w14:textFill>
            <w14:solidFill>
              <w14:srgbClr w14:val="000000">
                <w14:alpha w14:val="100000"/>
              </w14:srgbClr>
            </w14:solidFill>
          </w14:textFill>
        </w:rPr>
        <w:t>||||  ||||</w:t>
      </w:r>
    </w:p>
    <w:p w14:paraId="183ACB18" w14:textId="7142850C" w:rsidR="00F350D4" w:rsidRDefault="00D35E6F" w:rsidP="00AB4506">
      <w:pPr>
        <w:pStyle w:val="TableFooter"/>
        <w:keepNext/>
        <w:spacing w:after="120"/>
        <w:contextualSpacing w:val="0"/>
        <w:jc w:val="both"/>
      </w:pPr>
      <w:r>
        <w:t>7</w:t>
      </w:r>
      <w:r w:rsidR="00F350D4">
        <w:t xml:space="preserve"> The risk ratio of the indirect comparison conducted for the July 2017 submission was 0.91 (95% CI: 0.80, 1.04) (</w:t>
      </w:r>
      <w:r w:rsidR="00F350D4" w:rsidRPr="0079330A">
        <w:t xml:space="preserve">NRT PSD, </w:t>
      </w:r>
      <w:r w:rsidR="0054731C" w:rsidRPr="0079330A">
        <w:t xml:space="preserve">July </w:t>
      </w:r>
      <w:r w:rsidR="00F350D4" w:rsidRPr="0079330A">
        <w:t>2017</w:t>
      </w:r>
      <w:r w:rsidR="0054731C" w:rsidRPr="0079330A">
        <w:t xml:space="preserve"> PBAC meeting</w:t>
      </w:r>
      <w:r w:rsidR="00F350D4">
        <w:t>).</w:t>
      </w:r>
    </w:p>
    <w:p w14:paraId="3610B5FA" w14:textId="5CDBF3A1" w:rsidR="005E6DBB" w:rsidRDefault="00BC44F3" w:rsidP="00AB4506">
      <w:pPr>
        <w:spacing w:after="120"/>
        <w:jc w:val="both"/>
      </w:pPr>
      <w:r w:rsidRPr="00BC44F3">
        <w:t xml:space="preserve">The results of the individual studies included in </w:t>
      </w:r>
      <w:r w:rsidR="00A833AE">
        <w:t>Lindson</w:t>
      </w:r>
      <w:r w:rsidRPr="00BC44F3">
        <w:t xml:space="preserve"> et al. (201</w:t>
      </w:r>
      <w:r w:rsidR="00A833AE">
        <w:t>9</w:t>
      </w:r>
      <w:r w:rsidRPr="00BC44F3">
        <w:t xml:space="preserve">) are presented using a forest plot in </w:t>
      </w:r>
      <w:r w:rsidR="00A833AE">
        <w:fldChar w:fldCharType="begin" w:fldLock="1"/>
      </w:r>
      <w:r w:rsidR="00A833AE">
        <w:instrText xml:space="preserve"> REF _Ref54622919 \h </w:instrText>
      </w:r>
      <w:r w:rsidR="00A833AE">
        <w:fldChar w:fldCharType="separate"/>
      </w:r>
      <w:r w:rsidR="00EC5CC7">
        <w:t xml:space="preserve">Figure </w:t>
      </w:r>
      <w:r w:rsidR="00EC5CC7">
        <w:rPr>
          <w:noProof/>
        </w:rPr>
        <w:t>8</w:t>
      </w:r>
      <w:r w:rsidR="00A833AE">
        <w:fldChar w:fldCharType="end"/>
      </w:r>
      <w:r w:rsidRPr="00BC44F3">
        <w:t xml:space="preserve">. </w:t>
      </w:r>
      <w:r w:rsidR="00A833AE" w:rsidRPr="00A833AE">
        <w:t xml:space="preserve">The results comparing </w:t>
      </w:r>
      <w:r w:rsidR="00A833AE">
        <w:t>other NRT formulation</w:t>
      </w:r>
      <w:r w:rsidR="00D110A1">
        <w:t>s</w:t>
      </w:r>
      <w:r w:rsidR="00A833AE">
        <w:t xml:space="preserve"> (</w:t>
      </w:r>
      <w:r w:rsidR="004C4EA7">
        <w:t>e.g.,</w:t>
      </w:r>
      <w:r w:rsidR="00A833AE">
        <w:t xml:space="preserve"> inhaler) are </w:t>
      </w:r>
      <w:r w:rsidR="00A833AE" w:rsidRPr="00A833AE">
        <w:t xml:space="preserve">discussed in </w:t>
      </w:r>
      <w:r w:rsidR="00A833AE" w:rsidRPr="0079330A">
        <w:t>Section</w:t>
      </w:r>
      <w:r w:rsidR="00AB4506">
        <w:t xml:space="preserve"> 3.1.12</w:t>
      </w:r>
      <w:r w:rsidR="00A833AE" w:rsidRPr="0079330A">
        <w:t>.</w:t>
      </w:r>
    </w:p>
    <w:p w14:paraId="77ED8B8A" w14:textId="77777777" w:rsidR="00BC44F3" w:rsidRDefault="00BC44F3" w:rsidP="00BC44F3">
      <w:pPr>
        <w:keepNext/>
      </w:pPr>
      <w:r>
        <w:rPr>
          <w:noProof/>
        </w:rPr>
        <w:lastRenderedPageBreak/>
        <w:drawing>
          <wp:inline distT="0" distB="0" distL="0" distR="0" wp14:anchorId="1A9FE1D7" wp14:editId="0B6A084A">
            <wp:extent cx="5731510" cy="3924300"/>
            <wp:effectExtent l="0" t="0" r="2540" b="0"/>
            <wp:docPr id="29" name="Picture 29" descr="P34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3437#yIS1"/>
                    <pic:cNvPicPr/>
                  </pic:nvPicPr>
                  <pic:blipFill>
                    <a:blip r:embed="rId27">
                      <a:extLst>
                        <a:ext uri="{28A0092B-C50C-407E-A947-70E740481C1C}">
                          <a14:useLocalDpi xmlns:a14="http://schemas.microsoft.com/office/drawing/2010/main" val="0"/>
                        </a:ext>
                      </a:extLst>
                    </a:blip>
                    <a:stretch>
                      <a:fillRect/>
                    </a:stretch>
                  </pic:blipFill>
                  <pic:spPr>
                    <a:xfrm>
                      <a:off x="0" y="0"/>
                      <a:ext cx="5731510" cy="3924300"/>
                    </a:xfrm>
                    <a:prstGeom prst="rect">
                      <a:avLst/>
                    </a:prstGeom>
                  </pic:spPr>
                </pic:pic>
              </a:graphicData>
            </a:graphic>
          </wp:inline>
        </w:drawing>
      </w:r>
    </w:p>
    <w:p w14:paraId="22CA5815" w14:textId="36907ACF" w:rsidR="00BC44F3" w:rsidRDefault="00BC44F3" w:rsidP="00AB4506">
      <w:pPr>
        <w:pStyle w:val="Caption"/>
        <w:spacing w:before="120" w:after="60"/>
        <w:jc w:val="both"/>
      </w:pPr>
      <w:bookmarkStart w:id="75" w:name="_Ref54622919"/>
      <w:r>
        <w:t xml:space="preserve">Figure </w:t>
      </w:r>
      <w:r w:rsidR="00BF3F75">
        <w:fldChar w:fldCharType="begin"/>
      </w:r>
      <w:r w:rsidR="00BF3F75">
        <w:instrText xml:space="preserve"> SEQ Figure \* ARABIC </w:instrText>
      </w:r>
      <w:r w:rsidR="00BF3F75">
        <w:fldChar w:fldCharType="separate"/>
      </w:r>
      <w:r w:rsidR="00EC5CC7">
        <w:rPr>
          <w:noProof/>
        </w:rPr>
        <w:t>8</w:t>
      </w:r>
      <w:r w:rsidR="00BF3F75">
        <w:rPr>
          <w:noProof/>
        </w:rPr>
        <w:fldChar w:fldCharType="end"/>
      </w:r>
      <w:bookmarkEnd w:id="75"/>
      <w:r>
        <w:t xml:space="preserve">: </w:t>
      </w:r>
      <w:r w:rsidRPr="00C966EB">
        <w:t>Results of smoking cessation f</w:t>
      </w:r>
      <w:r w:rsidR="00584A53">
        <w:t>or</w:t>
      </w:r>
      <w:r w:rsidRPr="00C966EB">
        <w:t xml:space="preserve"> at least six months follow-up in </w:t>
      </w:r>
      <w:r>
        <w:t>Lindson</w:t>
      </w:r>
      <w:r w:rsidRPr="00C966EB">
        <w:t xml:space="preserve"> et al. (201</w:t>
      </w:r>
      <w:r>
        <w:t>9</w:t>
      </w:r>
      <w:r w:rsidRPr="00C966EB">
        <w:t xml:space="preserve">), </w:t>
      </w:r>
      <w:r>
        <w:t>NRT lozenge or gum versus NRT patch</w:t>
      </w:r>
    </w:p>
    <w:p w14:paraId="74DF46D0" w14:textId="73B71C3C" w:rsidR="00BC44F3" w:rsidRDefault="00BC44F3" w:rsidP="00AB4506">
      <w:pPr>
        <w:pStyle w:val="FigureFooter"/>
        <w:jc w:val="both"/>
      </w:pPr>
      <w:r>
        <w:t>Source: Lindson et al. (2019)</w:t>
      </w:r>
    </w:p>
    <w:p w14:paraId="6E44A833" w14:textId="248947DF" w:rsidR="00BC44F3" w:rsidRDefault="00BC44F3" w:rsidP="00AB4506">
      <w:pPr>
        <w:pStyle w:val="FigureFooter"/>
        <w:spacing w:after="120"/>
        <w:contextualSpacing w:val="0"/>
        <w:jc w:val="both"/>
      </w:pPr>
      <w:r w:rsidRPr="00D041F9">
        <w:t>Abbreviations: CI = confidence interval</w:t>
      </w:r>
    </w:p>
    <w:p w14:paraId="23C3F751" w14:textId="12DE87F8" w:rsidR="007D2A70" w:rsidRPr="007D2A70" w:rsidRDefault="007D2A70" w:rsidP="00AB4506">
      <w:pPr>
        <w:spacing w:after="120"/>
        <w:jc w:val="both"/>
        <w:rPr>
          <w:u w:val="single"/>
        </w:rPr>
      </w:pPr>
      <w:r w:rsidRPr="007D2A70">
        <w:rPr>
          <w:u w:val="single"/>
        </w:rPr>
        <w:t>Safety</w:t>
      </w:r>
    </w:p>
    <w:p w14:paraId="4F6687A6" w14:textId="258FC778" w:rsidR="00BC44F3" w:rsidRDefault="007D2A70" w:rsidP="007C00EF">
      <w:pPr>
        <w:jc w:val="both"/>
      </w:pPr>
      <w:r w:rsidRPr="007D2A70">
        <w:t xml:space="preserve">A summary of key adverse events </w:t>
      </w:r>
      <w:r w:rsidR="00AE4767">
        <w:t xml:space="preserve">comparing NRT </w:t>
      </w:r>
      <w:r w:rsidR="00573F59">
        <w:t>lozenges</w:t>
      </w:r>
      <w:r w:rsidR="00AE4767">
        <w:t xml:space="preserve"> or gum with NRT </w:t>
      </w:r>
      <w:r w:rsidR="00573F59">
        <w:t>patches</w:t>
      </w:r>
      <w:r w:rsidR="00AE4767">
        <w:t xml:space="preserve"> </w:t>
      </w:r>
      <w:r w:rsidRPr="007D2A70">
        <w:t>is presented in</w:t>
      </w:r>
      <w:r w:rsidR="007C00EF">
        <w:t xml:space="preserve"> Table 31</w:t>
      </w:r>
      <w:r w:rsidRPr="007D2A70">
        <w:t xml:space="preserve">. Based on the </w:t>
      </w:r>
      <w:r w:rsidR="00F61EDA">
        <w:t xml:space="preserve">Cochrane </w:t>
      </w:r>
      <w:r w:rsidR="00DC6241">
        <w:t>R</w:t>
      </w:r>
      <w:r w:rsidR="00F61EDA">
        <w:t xml:space="preserve">eview </w:t>
      </w:r>
      <w:r w:rsidRPr="007D2A70">
        <w:t xml:space="preserve">by </w:t>
      </w:r>
      <w:r w:rsidR="00F61EDA">
        <w:t>Lindson</w:t>
      </w:r>
      <w:r w:rsidRPr="007D2A70">
        <w:t xml:space="preserve"> et al. (20</w:t>
      </w:r>
      <w:r w:rsidR="00E174EF">
        <w:t>19</w:t>
      </w:r>
      <w:r w:rsidRPr="007D2A70">
        <w:t xml:space="preserve">), </w:t>
      </w:r>
      <w:r w:rsidR="00E174EF">
        <w:t>t</w:t>
      </w:r>
      <w:r w:rsidRPr="007D2A70">
        <w:t xml:space="preserve">here were no statistically significant differences </w:t>
      </w:r>
      <w:r w:rsidR="009A27D8" w:rsidRPr="007D2A70">
        <w:t>in</w:t>
      </w:r>
      <w:r w:rsidRPr="007D2A70">
        <w:t xml:space="preserve"> serious adverse events </w:t>
      </w:r>
      <w:r w:rsidR="00E174EF">
        <w:t>and withdrawals due to treatment</w:t>
      </w:r>
      <w:r w:rsidR="009A27D8" w:rsidRPr="007D2A70">
        <w:t xml:space="preserve"> </w:t>
      </w:r>
      <w:r w:rsidRPr="007D2A70">
        <w:t xml:space="preserve">between </w:t>
      </w:r>
      <w:r w:rsidR="00E174EF">
        <w:t xml:space="preserve">NRT </w:t>
      </w:r>
      <w:r w:rsidR="00573F59">
        <w:t>lozenges</w:t>
      </w:r>
      <w:r w:rsidR="00E174EF">
        <w:t xml:space="preserve"> or gum and NRT </w:t>
      </w:r>
      <w:r w:rsidR="00573F59">
        <w:t>patches</w:t>
      </w:r>
      <w:r w:rsidR="00E174EF">
        <w:t xml:space="preserve">. For cardiac adverse events, only one small study comparing NRT gum with NRT </w:t>
      </w:r>
      <w:r w:rsidR="00573F59">
        <w:t>patches</w:t>
      </w:r>
      <w:r w:rsidR="00E174EF">
        <w:t xml:space="preserve"> reported this outcome (Kupecz et al. 1996). In this study, there were no events in either the NRT gum or </w:t>
      </w:r>
      <w:r w:rsidR="00573F59">
        <w:t>patches</w:t>
      </w:r>
      <w:r w:rsidR="00E174EF">
        <w:t xml:space="preserve"> groups. It was </w:t>
      </w:r>
      <w:r w:rsidR="007D51E9">
        <w:t>not</w:t>
      </w:r>
      <w:r w:rsidR="00E174EF">
        <w:t xml:space="preserve">ed that only a limited number of studies reported the key safety outcomes. </w:t>
      </w:r>
    </w:p>
    <w:p w14:paraId="37A9733A" w14:textId="77777777" w:rsidR="00AB4506" w:rsidRDefault="00AB4506">
      <w:pPr>
        <w:spacing w:line="276" w:lineRule="auto"/>
        <w:rPr>
          <w:rFonts w:asciiTheme="minorHAnsi" w:eastAsia="Times New Roman" w:hAnsiTheme="minorHAnsi" w:cs="Times New Roman"/>
          <w:b/>
          <w:bCs/>
          <w:szCs w:val="18"/>
        </w:rPr>
      </w:pPr>
      <w:bookmarkStart w:id="76" w:name="_Ref54625637"/>
      <w:r>
        <w:br w:type="page"/>
      </w:r>
    </w:p>
    <w:p w14:paraId="728E7BE7" w14:textId="2C7181D6" w:rsidR="00F61EDA" w:rsidRDefault="00F61EDA" w:rsidP="00AB450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31</w:t>
      </w:r>
      <w:r w:rsidR="00BF3F75">
        <w:rPr>
          <w:noProof/>
        </w:rPr>
        <w:fldChar w:fldCharType="end"/>
      </w:r>
      <w:bookmarkEnd w:id="76"/>
      <w:r>
        <w:t xml:space="preserve">: </w:t>
      </w:r>
      <w:r w:rsidRPr="00897E72">
        <w:t xml:space="preserve">Summary of key adverse events, </w:t>
      </w:r>
      <w:r>
        <w:t>NRT lozenge or gum</w:t>
      </w:r>
      <w:r w:rsidRPr="00897E72">
        <w:t xml:space="preserve"> versus </w:t>
      </w:r>
      <w:r w:rsidR="000D7B54">
        <w:t>NRT patch</w:t>
      </w:r>
    </w:p>
    <w:tbl>
      <w:tblPr>
        <w:tblStyle w:val="TableGrid"/>
        <w:tblW w:w="5000" w:type="pct"/>
        <w:tblLook w:val="04A0" w:firstRow="1" w:lastRow="0" w:firstColumn="1" w:lastColumn="0" w:noHBand="0" w:noVBand="1"/>
        <w:tblCaption w:val="Efficacy results of adalimumab trials (PASI 75 and DLQI)"/>
      </w:tblPr>
      <w:tblGrid>
        <w:gridCol w:w="999"/>
        <w:gridCol w:w="1702"/>
        <w:gridCol w:w="2146"/>
        <w:gridCol w:w="1446"/>
        <w:gridCol w:w="1282"/>
        <w:gridCol w:w="1441"/>
      </w:tblGrid>
      <w:tr w:rsidR="00C1384E" w:rsidRPr="00061F78" w14:paraId="43D74D35" w14:textId="77777777" w:rsidTr="00C1384E">
        <w:trPr>
          <w:cantSplit/>
          <w:trHeight w:val="299"/>
          <w:tblHeader/>
        </w:trPr>
        <w:tc>
          <w:tcPr>
            <w:tcW w:w="554" w:type="pct"/>
            <w:shd w:val="clear" w:color="auto" w:fill="BFBFBF" w:themeFill="background1" w:themeFillShade="BF"/>
            <w:tcMar>
              <w:left w:w="28" w:type="dxa"/>
              <w:right w:w="28" w:type="dxa"/>
            </w:tcMar>
            <w:vAlign w:val="center"/>
          </w:tcPr>
          <w:p w14:paraId="7748E09E" w14:textId="623D5BC6" w:rsidR="00C1384E" w:rsidRPr="00061F78" w:rsidRDefault="00C1384E" w:rsidP="00884DBF">
            <w:pPr>
              <w:pStyle w:val="Tableheading"/>
              <w:rPr>
                <w:rFonts w:eastAsia="MS Mincho"/>
              </w:rPr>
            </w:pPr>
            <w:r>
              <w:rPr>
                <w:rFonts w:eastAsia="MS Mincho"/>
              </w:rPr>
              <w:t>Study</w:t>
            </w:r>
          </w:p>
        </w:tc>
        <w:tc>
          <w:tcPr>
            <w:tcW w:w="944" w:type="pct"/>
            <w:shd w:val="clear" w:color="auto" w:fill="BFBFBF" w:themeFill="background1" w:themeFillShade="BF"/>
            <w:vAlign w:val="center"/>
          </w:tcPr>
          <w:p w14:paraId="41DDF985" w14:textId="77777777" w:rsidR="00C1384E" w:rsidRDefault="00C1384E" w:rsidP="00884DBF">
            <w:pPr>
              <w:pStyle w:val="Tableheading"/>
              <w:jc w:val="center"/>
              <w:rPr>
                <w:rFonts w:eastAsia="MS Mincho"/>
              </w:rPr>
            </w:pPr>
            <w:r>
              <w:rPr>
                <w:rFonts w:eastAsia="MS Mincho"/>
              </w:rPr>
              <w:t>Study type</w:t>
            </w:r>
          </w:p>
        </w:tc>
        <w:tc>
          <w:tcPr>
            <w:tcW w:w="1190" w:type="pct"/>
            <w:shd w:val="clear" w:color="auto" w:fill="BFBFBF" w:themeFill="background1" w:themeFillShade="BF"/>
            <w:tcMar>
              <w:left w:w="28" w:type="dxa"/>
              <w:right w:w="28" w:type="dxa"/>
            </w:tcMar>
            <w:vAlign w:val="center"/>
          </w:tcPr>
          <w:p w14:paraId="7BBA4159" w14:textId="77777777" w:rsidR="00C1384E" w:rsidRPr="002D7608" w:rsidRDefault="00C1384E" w:rsidP="00884DBF">
            <w:pPr>
              <w:pStyle w:val="Tableheading"/>
              <w:jc w:val="center"/>
              <w:rPr>
                <w:rFonts w:eastAsia="MS Mincho"/>
                <w:vertAlign w:val="superscript"/>
              </w:rPr>
            </w:pPr>
            <w:r>
              <w:rPr>
                <w:rFonts w:eastAsia="MS Mincho"/>
              </w:rPr>
              <w:t>Previously considered studies included</w:t>
            </w:r>
            <w:r>
              <w:rPr>
                <w:rFonts w:eastAsia="MS Mincho"/>
                <w:vertAlign w:val="superscript"/>
              </w:rPr>
              <w:t>1</w:t>
            </w:r>
          </w:p>
        </w:tc>
        <w:tc>
          <w:tcPr>
            <w:tcW w:w="802" w:type="pct"/>
            <w:shd w:val="clear" w:color="auto" w:fill="BFBFBF" w:themeFill="background1" w:themeFillShade="BF"/>
            <w:tcMar>
              <w:left w:w="28" w:type="dxa"/>
              <w:right w:w="28" w:type="dxa"/>
            </w:tcMar>
            <w:vAlign w:val="center"/>
          </w:tcPr>
          <w:p w14:paraId="3369F1F6" w14:textId="3EAB5E9E" w:rsidR="00C1384E" w:rsidRPr="00061F78" w:rsidRDefault="00C1384E" w:rsidP="00884DBF">
            <w:pPr>
              <w:pStyle w:val="Tableheading"/>
              <w:jc w:val="center"/>
              <w:rPr>
                <w:rFonts w:eastAsia="MS Mincho"/>
              </w:rPr>
            </w:pPr>
            <w:r>
              <w:rPr>
                <w:rFonts w:eastAsia="MS Mincho"/>
              </w:rPr>
              <w:t>NRT lozenge/gum</w:t>
            </w:r>
          </w:p>
        </w:tc>
        <w:tc>
          <w:tcPr>
            <w:tcW w:w="711" w:type="pct"/>
            <w:shd w:val="clear" w:color="auto" w:fill="BFBFBF" w:themeFill="background1" w:themeFillShade="BF"/>
            <w:tcMar>
              <w:left w:w="28" w:type="dxa"/>
              <w:right w:w="28" w:type="dxa"/>
            </w:tcMar>
            <w:vAlign w:val="center"/>
          </w:tcPr>
          <w:p w14:paraId="02744350" w14:textId="02D37FBC" w:rsidR="00C1384E" w:rsidRPr="00061F78" w:rsidRDefault="00C1384E" w:rsidP="00884DBF">
            <w:pPr>
              <w:pStyle w:val="Tableheading"/>
              <w:jc w:val="center"/>
              <w:rPr>
                <w:rFonts w:eastAsia="MS Mincho"/>
              </w:rPr>
            </w:pPr>
            <w:r>
              <w:rPr>
                <w:rFonts w:eastAsia="MS Mincho"/>
              </w:rPr>
              <w:t>NRT patch</w:t>
            </w:r>
          </w:p>
        </w:tc>
        <w:tc>
          <w:tcPr>
            <w:tcW w:w="799" w:type="pct"/>
            <w:shd w:val="clear" w:color="auto" w:fill="BFBFBF" w:themeFill="background1" w:themeFillShade="BF"/>
            <w:tcMar>
              <w:left w:w="28" w:type="dxa"/>
              <w:right w:w="28" w:type="dxa"/>
            </w:tcMar>
            <w:vAlign w:val="center"/>
          </w:tcPr>
          <w:p w14:paraId="4146F87A" w14:textId="77777777" w:rsidR="00C1384E" w:rsidRPr="00D468CF" w:rsidRDefault="00C1384E" w:rsidP="00884DBF">
            <w:pPr>
              <w:pStyle w:val="Tableheading"/>
              <w:jc w:val="center"/>
              <w:rPr>
                <w:rFonts w:eastAsia="MS Mincho"/>
                <w:vertAlign w:val="superscript"/>
              </w:rPr>
            </w:pPr>
            <w:r>
              <w:rPr>
                <w:rFonts w:eastAsia="MS Mincho"/>
              </w:rPr>
              <w:t>RR (95% CI)</w:t>
            </w:r>
            <w:r>
              <w:rPr>
                <w:rFonts w:eastAsia="MS Mincho"/>
                <w:vertAlign w:val="superscript"/>
              </w:rPr>
              <w:t>2</w:t>
            </w:r>
          </w:p>
        </w:tc>
      </w:tr>
      <w:tr w:rsidR="00C1384E" w:rsidRPr="00061F78" w14:paraId="2FC1DFA1" w14:textId="77777777" w:rsidTr="00E97C7D">
        <w:trPr>
          <w:cantSplit/>
          <w:trHeight w:val="99"/>
        </w:trPr>
        <w:tc>
          <w:tcPr>
            <w:tcW w:w="5000" w:type="pct"/>
            <w:gridSpan w:val="6"/>
            <w:shd w:val="clear" w:color="auto" w:fill="auto"/>
            <w:tcMar>
              <w:left w:w="28" w:type="dxa"/>
              <w:right w:w="28" w:type="dxa"/>
            </w:tcMar>
            <w:vAlign w:val="center"/>
          </w:tcPr>
          <w:p w14:paraId="7914184D" w14:textId="77777777" w:rsidR="00C1384E" w:rsidRPr="00E97C7D" w:rsidRDefault="00C1384E" w:rsidP="00884DBF">
            <w:pPr>
              <w:pStyle w:val="Tablewriting"/>
              <w:rPr>
                <w:rFonts w:eastAsia="MS Mincho"/>
                <w:b/>
                <w:bCs/>
              </w:rPr>
            </w:pPr>
            <w:r w:rsidRPr="00E97C7D">
              <w:rPr>
                <w:rFonts w:eastAsia="MS Mincho"/>
                <w:b/>
                <w:bCs/>
              </w:rPr>
              <w:t>Cardiac adverse event</w:t>
            </w:r>
          </w:p>
        </w:tc>
      </w:tr>
      <w:tr w:rsidR="00C1384E" w:rsidRPr="00061F78" w14:paraId="63AF3E91" w14:textId="77777777" w:rsidTr="00C1384E">
        <w:trPr>
          <w:cantSplit/>
          <w:trHeight w:val="149"/>
        </w:trPr>
        <w:tc>
          <w:tcPr>
            <w:tcW w:w="554" w:type="pct"/>
            <w:tcMar>
              <w:left w:w="28" w:type="dxa"/>
              <w:right w:w="28" w:type="dxa"/>
            </w:tcMar>
          </w:tcPr>
          <w:p w14:paraId="31EA6BA6" w14:textId="3CC15F23" w:rsidR="00C1384E" w:rsidRDefault="00C1384E" w:rsidP="00884DBF">
            <w:pPr>
              <w:pStyle w:val="Tablewriting"/>
              <w:rPr>
                <w:rFonts w:eastAsia="MS Mincho"/>
              </w:rPr>
            </w:pPr>
            <w:r>
              <w:rPr>
                <w:rFonts w:eastAsia="MS Mincho"/>
              </w:rPr>
              <w:t>Lozenge</w:t>
            </w:r>
          </w:p>
        </w:tc>
        <w:tc>
          <w:tcPr>
            <w:tcW w:w="944" w:type="pct"/>
            <w:vAlign w:val="center"/>
          </w:tcPr>
          <w:p w14:paraId="0930922E" w14:textId="03492C47" w:rsidR="00C1384E" w:rsidRDefault="00C1384E" w:rsidP="00884DBF">
            <w:pPr>
              <w:pStyle w:val="Tablewriting"/>
              <w:jc w:val="center"/>
              <w:rPr>
                <w:rFonts w:eastAsia="MS Mincho"/>
              </w:rPr>
            </w:pPr>
            <w:r>
              <w:rPr>
                <w:rFonts w:eastAsia="MS Mincho"/>
              </w:rPr>
              <w:t>NR</w:t>
            </w:r>
          </w:p>
        </w:tc>
        <w:tc>
          <w:tcPr>
            <w:tcW w:w="1190" w:type="pct"/>
            <w:tcMar>
              <w:left w:w="28" w:type="dxa"/>
              <w:right w:w="28" w:type="dxa"/>
            </w:tcMar>
            <w:vAlign w:val="center"/>
          </w:tcPr>
          <w:p w14:paraId="27649E24" w14:textId="57379211" w:rsidR="00C1384E" w:rsidRDefault="00C1384E" w:rsidP="00884DBF">
            <w:pPr>
              <w:pStyle w:val="Tablewriting"/>
              <w:jc w:val="center"/>
              <w:rPr>
                <w:rFonts w:eastAsia="MS Mincho"/>
              </w:rPr>
            </w:pPr>
            <w:r>
              <w:rPr>
                <w:rFonts w:eastAsia="MS Mincho"/>
              </w:rPr>
              <w:t>NR</w:t>
            </w:r>
          </w:p>
        </w:tc>
        <w:tc>
          <w:tcPr>
            <w:tcW w:w="802" w:type="pct"/>
            <w:tcMar>
              <w:left w:w="28" w:type="dxa"/>
              <w:right w:w="28" w:type="dxa"/>
            </w:tcMar>
            <w:vAlign w:val="center"/>
          </w:tcPr>
          <w:p w14:paraId="5A13A417" w14:textId="2B349899" w:rsidR="00C1384E" w:rsidRDefault="00C1384E" w:rsidP="00884DBF">
            <w:pPr>
              <w:pStyle w:val="Tablewriting"/>
              <w:jc w:val="center"/>
              <w:rPr>
                <w:rFonts w:eastAsia="MS Mincho"/>
              </w:rPr>
            </w:pPr>
            <w:r>
              <w:rPr>
                <w:rFonts w:eastAsia="MS Mincho"/>
              </w:rPr>
              <w:t>NR</w:t>
            </w:r>
          </w:p>
        </w:tc>
        <w:tc>
          <w:tcPr>
            <w:tcW w:w="711" w:type="pct"/>
            <w:tcMar>
              <w:left w:w="28" w:type="dxa"/>
              <w:right w:w="28" w:type="dxa"/>
            </w:tcMar>
            <w:vAlign w:val="center"/>
          </w:tcPr>
          <w:p w14:paraId="3E8AFE77" w14:textId="6B2D31D1" w:rsidR="00C1384E" w:rsidRDefault="00C1384E" w:rsidP="00884DBF">
            <w:pPr>
              <w:pStyle w:val="Tablewriting"/>
              <w:jc w:val="center"/>
              <w:rPr>
                <w:rFonts w:eastAsia="MS Mincho"/>
              </w:rPr>
            </w:pPr>
            <w:r>
              <w:rPr>
                <w:rFonts w:eastAsia="MS Mincho"/>
              </w:rPr>
              <w:t>NR</w:t>
            </w:r>
          </w:p>
        </w:tc>
        <w:tc>
          <w:tcPr>
            <w:tcW w:w="799" w:type="pct"/>
            <w:tcMar>
              <w:left w:w="28" w:type="dxa"/>
              <w:right w:w="28" w:type="dxa"/>
            </w:tcMar>
            <w:vAlign w:val="center"/>
          </w:tcPr>
          <w:p w14:paraId="7550FB96" w14:textId="1BF560E1" w:rsidR="00C1384E" w:rsidRPr="002F73AB" w:rsidRDefault="00C1384E" w:rsidP="00884DBF">
            <w:pPr>
              <w:pStyle w:val="Tablewriting"/>
              <w:jc w:val="center"/>
              <w:rPr>
                <w:rFonts w:eastAsia="MS Mincho"/>
              </w:rPr>
            </w:pPr>
            <w:r w:rsidRPr="002F73AB">
              <w:rPr>
                <w:rFonts w:eastAsia="MS Mincho"/>
              </w:rPr>
              <w:t>NR</w:t>
            </w:r>
          </w:p>
        </w:tc>
      </w:tr>
      <w:tr w:rsidR="00C1384E" w:rsidRPr="00061F78" w14:paraId="5C6CB769" w14:textId="77777777" w:rsidTr="00C1384E">
        <w:trPr>
          <w:cantSplit/>
          <w:trHeight w:val="149"/>
        </w:trPr>
        <w:tc>
          <w:tcPr>
            <w:tcW w:w="554" w:type="pct"/>
            <w:tcMar>
              <w:left w:w="28" w:type="dxa"/>
              <w:right w:w="28" w:type="dxa"/>
            </w:tcMar>
          </w:tcPr>
          <w:p w14:paraId="3BACEDD1" w14:textId="140FB34F" w:rsidR="00C1384E" w:rsidRDefault="00C1384E" w:rsidP="00884DBF">
            <w:pPr>
              <w:pStyle w:val="Tablewriting"/>
              <w:rPr>
                <w:rFonts w:eastAsia="MS Mincho"/>
              </w:rPr>
            </w:pPr>
            <w:r>
              <w:rPr>
                <w:rFonts w:eastAsia="MS Mincho"/>
              </w:rPr>
              <w:t>Gum; Lindson</w:t>
            </w:r>
            <w:r w:rsidRPr="00061F78">
              <w:rPr>
                <w:rFonts w:eastAsia="MS Mincho"/>
              </w:rPr>
              <w:t xml:space="preserve"> </w:t>
            </w:r>
          </w:p>
          <w:p w14:paraId="742C4BF4" w14:textId="4C33FD17" w:rsidR="00C1384E" w:rsidRPr="00D468CF" w:rsidRDefault="00C1384E" w:rsidP="00884DBF">
            <w:pPr>
              <w:pStyle w:val="Tablewriting"/>
              <w:rPr>
                <w:rFonts w:eastAsia="MS Mincho"/>
                <w:vertAlign w:val="superscript"/>
              </w:rPr>
            </w:pPr>
            <w:r w:rsidRPr="00061F78">
              <w:rPr>
                <w:rFonts w:eastAsia="MS Mincho"/>
              </w:rPr>
              <w:t>(20</w:t>
            </w:r>
            <w:r>
              <w:rPr>
                <w:rFonts w:eastAsia="MS Mincho"/>
              </w:rPr>
              <w:t>19)</w:t>
            </w:r>
          </w:p>
        </w:tc>
        <w:tc>
          <w:tcPr>
            <w:tcW w:w="944" w:type="pct"/>
            <w:vAlign w:val="center"/>
          </w:tcPr>
          <w:p w14:paraId="626AD875" w14:textId="28A4ED50"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14:paraId="37FEF46B" w14:textId="77777777" w:rsidR="00C1384E" w:rsidRPr="00061F78"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14:paraId="4AF386A3" w14:textId="39AD1663"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17</w:t>
            </w:r>
            <w:r w:rsidRPr="00061F78">
              <w:rPr>
                <w:rFonts w:eastAsia="MS Mincho"/>
              </w:rPr>
              <w:t xml:space="preserve"> </w:t>
            </w:r>
          </w:p>
          <w:p w14:paraId="7B80E5EA" w14:textId="0610D551"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14:paraId="1B0145E2" w14:textId="761635D2"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21</w:t>
            </w:r>
            <w:r w:rsidRPr="00061F78">
              <w:rPr>
                <w:rFonts w:eastAsia="MS Mincho"/>
              </w:rPr>
              <w:t xml:space="preserve"> </w:t>
            </w:r>
          </w:p>
          <w:p w14:paraId="1AE2BCF4" w14:textId="2D83583E"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14:paraId="150B1098" w14:textId="12133C24" w:rsidR="00C1384E" w:rsidRPr="00F61EDA" w:rsidRDefault="00C1384E" w:rsidP="00884DBF">
            <w:pPr>
              <w:pStyle w:val="Tablewriting"/>
              <w:jc w:val="center"/>
              <w:rPr>
                <w:rFonts w:eastAsia="MS Mincho"/>
              </w:rPr>
            </w:pPr>
            <w:r w:rsidRPr="00F61EDA">
              <w:rPr>
                <w:rFonts w:eastAsia="MS Mincho"/>
              </w:rPr>
              <w:t>NE</w:t>
            </w:r>
          </w:p>
        </w:tc>
      </w:tr>
      <w:tr w:rsidR="00C1384E" w:rsidRPr="00061F78" w14:paraId="13795F12" w14:textId="77777777" w:rsidTr="00E97C7D">
        <w:trPr>
          <w:cantSplit/>
          <w:trHeight w:val="149"/>
        </w:trPr>
        <w:tc>
          <w:tcPr>
            <w:tcW w:w="5000" w:type="pct"/>
            <w:gridSpan w:val="6"/>
            <w:shd w:val="clear" w:color="auto" w:fill="auto"/>
            <w:tcMar>
              <w:left w:w="28" w:type="dxa"/>
              <w:right w:w="28" w:type="dxa"/>
            </w:tcMar>
          </w:tcPr>
          <w:p w14:paraId="030DDB93" w14:textId="77777777" w:rsidR="00C1384E" w:rsidRPr="00E97C7D" w:rsidRDefault="00C1384E" w:rsidP="00884DBF">
            <w:pPr>
              <w:pStyle w:val="Tablewriting"/>
              <w:rPr>
                <w:rFonts w:eastAsia="MS Mincho"/>
                <w:b/>
                <w:bCs/>
              </w:rPr>
            </w:pPr>
            <w:r w:rsidRPr="00E97C7D">
              <w:rPr>
                <w:rFonts w:eastAsia="MS Mincho"/>
                <w:b/>
                <w:bCs/>
              </w:rPr>
              <w:t>Serious adverse events</w:t>
            </w:r>
          </w:p>
        </w:tc>
      </w:tr>
      <w:tr w:rsidR="00C1384E" w:rsidRPr="00061F78" w14:paraId="43A9BDF0" w14:textId="77777777" w:rsidTr="00C1384E">
        <w:trPr>
          <w:cantSplit/>
          <w:trHeight w:val="149"/>
        </w:trPr>
        <w:tc>
          <w:tcPr>
            <w:tcW w:w="554" w:type="pct"/>
            <w:tcMar>
              <w:left w:w="28" w:type="dxa"/>
              <w:right w:w="28" w:type="dxa"/>
            </w:tcMar>
          </w:tcPr>
          <w:p w14:paraId="46495CE8" w14:textId="395E9539" w:rsidR="00C1384E" w:rsidRDefault="00C1384E" w:rsidP="00884DBF">
            <w:pPr>
              <w:pStyle w:val="Tablewriting"/>
              <w:rPr>
                <w:rFonts w:eastAsia="MS Mincho"/>
              </w:rPr>
            </w:pPr>
            <w:r>
              <w:rPr>
                <w:rFonts w:eastAsia="MS Mincho"/>
              </w:rPr>
              <w:t>Lozenge; Lindson</w:t>
            </w:r>
            <w:r w:rsidRPr="00061F78">
              <w:rPr>
                <w:rFonts w:eastAsia="MS Mincho"/>
              </w:rPr>
              <w:t xml:space="preserve"> </w:t>
            </w:r>
          </w:p>
          <w:p w14:paraId="74590B32" w14:textId="077E05B4"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14:paraId="170F7474" w14:textId="08AD8091"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14:paraId="46F34036" w14:textId="5ABC8072" w:rsidR="00C1384E" w:rsidRDefault="00C1384E" w:rsidP="00884DBF">
            <w:pPr>
              <w:pStyle w:val="Tablewriting"/>
              <w:jc w:val="center"/>
              <w:rPr>
                <w:rFonts w:eastAsia="MS Mincho"/>
              </w:rPr>
            </w:pPr>
            <w:r>
              <w:rPr>
                <w:rFonts w:eastAsia="MS Mincho"/>
              </w:rPr>
              <w:t>Schnoll (2010)</w:t>
            </w:r>
          </w:p>
        </w:tc>
        <w:tc>
          <w:tcPr>
            <w:tcW w:w="802" w:type="pct"/>
            <w:tcMar>
              <w:left w:w="28" w:type="dxa"/>
              <w:right w:w="28" w:type="dxa"/>
            </w:tcMar>
            <w:vAlign w:val="center"/>
          </w:tcPr>
          <w:p w14:paraId="7C822A3D" w14:textId="3FC0F5C7" w:rsidR="00C1384E" w:rsidRDefault="00C1384E" w:rsidP="00884DBF">
            <w:pPr>
              <w:pStyle w:val="Tablewriting"/>
              <w:jc w:val="center"/>
              <w:rPr>
                <w:rFonts w:eastAsia="MS Mincho"/>
              </w:rPr>
            </w:pPr>
            <w:r>
              <w:rPr>
                <w:rFonts w:eastAsia="MS Mincho"/>
              </w:rPr>
              <w:t>7</w:t>
            </w:r>
            <w:r w:rsidRPr="00061F78">
              <w:rPr>
                <w:rFonts w:eastAsia="MS Mincho"/>
              </w:rPr>
              <w:t>/</w:t>
            </w:r>
            <w:r>
              <w:rPr>
                <w:rFonts w:eastAsia="MS Mincho"/>
              </w:rPr>
              <w:t>321</w:t>
            </w:r>
            <w:r w:rsidRPr="00061F78">
              <w:rPr>
                <w:rFonts w:eastAsia="MS Mincho"/>
              </w:rPr>
              <w:t xml:space="preserve"> </w:t>
            </w:r>
          </w:p>
          <w:p w14:paraId="7CF328B0" w14:textId="40FCB326" w:rsidR="00C1384E" w:rsidRDefault="00C1384E" w:rsidP="00884DBF">
            <w:pPr>
              <w:pStyle w:val="Tablewriting"/>
              <w:jc w:val="center"/>
              <w:rPr>
                <w:rFonts w:eastAsia="MS Mincho"/>
              </w:rPr>
            </w:pPr>
            <w:r w:rsidRPr="00061F78">
              <w:rPr>
                <w:rFonts w:eastAsia="MS Mincho"/>
              </w:rPr>
              <w:t>(</w:t>
            </w:r>
            <w:r>
              <w:rPr>
                <w:rFonts w:eastAsia="MS Mincho"/>
              </w:rPr>
              <w:t>21.8</w:t>
            </w:r>
            <w:r w:rsidRPr="00061F78">
              <w:rPr>
                <w:rFonts w:eastAsia="MS Mincho"/>
              </w:rPr>
              <w:t>%)</w:t>
            </w:r>
          </w:p>
        </w:tc>
        <w:tc>
          <w:tcPr>
            <w:tcW w:w="711" w:type="pct"/>
            <w:tcMar>
              <w:left w:w="28" w:type="dxa"/>
              <w:right w:w="28" w:type="dxa"/>
            </w:tcMar>
            <w:vAlign w:val="center"/>
          </w:tcPr>
          <w:p w14:paraId="6CFAC34D" w14:textId="02CF92F9" w:rsidR="00C1384E" w:rsidRDefault="00C1384E" w:rsidP="00884DBF">
            <w:pPr>
              <w:pStyle w:val="Tablewriting"/>
              <w:jc w:val="center"/>
              <w:rPr>
                <w:rFonts w:eastAsia="MS Mincho"/>
              </w:rPr>
            </w:pPr>
            <w:r>
              <w:rPr>
                <w:rFonts w:eastAsia="MS Mincho"/>
              </w:rPr>
              <w:t>4</w:t>
            </w:r>
            <w:r w:rsidRPr="00061F78">
              <w:rPr>
                <w:rFonts w:eastAsia="MS Mincho"/>
              </w:rPr>
              <w:t>/</w:t>
            </w:r>
            <w:r>
              <w:rPr>
                <w:rFonts w:eastAsia="MS Mincho"/>
              </w:rPr>
              <w:t>321</w:t>
            </w:r>
            <w:r w:rsidRPr="00061F78">
              <w:rPr>
                <w:rFonts w:eastAsia="MS Mincho"/>
              </w:rPr>
              <w:t xml:space="preserve"> </w:t>
            </w:r>
          </w:p>
          <w:p w14:paraId="176CD64F" w14:textId="78EDF815" w:rsidR="00C1384E" w:rsidRDefault="00C1384E" w:rsidP="00884DBF">
            <w:pPr>
              <w:pStyle w:val="Tablewriting"/>
              <w:jc w:val="center"/>
              <w:rPr>
                <w:rFonts w:eastAsia="MS Mincho"/>
              </w:rPr>
            </w:pPr>
            <w:r w:rsidRPr="00061F78">
              <w:rPr>
                <w:rFonts w:eastAsia="MS Mincho"/>
              </w:rPr>
              <w:t>(</w:t>
            </w:r>
            <w:r>
              <w:rPr>
                <w:rFonts w:eastAsia="MS Mincho"/>
              </w:rPr>
              <w:t>1.2</w:t>
            </w:r>
            <w:r w:rsidRPr="00061F78">
              <w:rPr>
                <w:rFonts w:eastAsia="MS Mincho"/>
              </w:rPr>
              <w:t>%)</w:t>
            </w:r>
          </w:p>
        </w:tc>
        <w:tc>
          <w:tcPr>
            <w:tcW w:w="799" w:type="pct"/>
            <w:tcMar>
              <w:left w:w="28" w:type="dxa"/>
              <w:right w:w="28" w:type="dxa"/>
            </w:tcMar>
            <w:vAlign w:val="center"/>
          </w:tcPr>
          <w:p w14:paraId="43011EF6" w14:textId="5C205618" w:rsidR="00C1384E" w:rsidRPr="00F61EDA" w:rsidRDefault="00C1384E" w:rsidP="00884DBF">
            <w:pPr>
              <w:pStyle w:val="Tablewriting"/>
              <w:jc w:val="center"/>
              <w:rPr>
                <w:rFonts w:eastAsia="MS Mincho"/>
              </w:rPr>
            </w:pPr>
            <w:r w:rsidRPr="00F61EDA">
              <w:rPr>
                <w:rFonts w:eastAsia="MS Mincho"/>
              </w:rPr>
              <w:t>1.75</w:t>
            </w:r>
          </w:p>
          <w:p w14:paraId="45665D9B" w14:textId="252F979E" w:rsidR="00C1384E" w:rsidRPr="00893F2B" w:rsidRDefault="00C1384E" w:rsidP="00884DBF">
            <w:pPr>
              <w:pStyle w:val="Tablewriting"/>
              <w:jc w:val="center"/>
              <w:rPr>
                <w:rFonts w:eastAsia="MS Mincho"/>
                <w:b/>
                <w:bCs/>
              </w:rPr>
            </w:pPr>
            <w:r w:rsidRPr="00F61EDA">
              <w:rPr>
                <w:rFonts w:eastAsia="MS Mincho"/>
              </w:rPr>
              <w:t>(0.52, 5.92)</w:t>
            </w:r>
          </w:p>
        </w:tc>
      </w:tr>
      <w:tr w:rsidR="00C1384E" w:rsidRPr="00061F78" w14:paraId="27273618" w14:textId="77777777" w:rsidTr="00C1384E">
        <w:trPr>
          <w:cantSplit/>
          <w:trHeight w:val="149"/>
        </w:trPr>
        <w:tc>
          <w:tcPr>
            <w:tcW w:w="554" w:type="pct"/>
            <w:tcMar>
              <w:left w:w="28" w:type="dxa"/>
              <w:right w:w="28" w:type="dxa"/>
            </w:tcMar>
          </w:tcPr>
          <w:p w14:paraId="5643C3E8" w14:textId="7C8F7608" w:rsidR="00C1384E" w:rsidRDefault="00C1384E" w:rsidP="00884DBF">
            <w:pPr>
              <w:pStyle w:val="Tablewriting"/>
              <w:rPr>
                <w:rFonts w:eastAsia="MS Mincho"/>
              </w:rPr>
            </w:pPr>
            <w:r>
              <w:rPr>
                <w:rFonts w:eastAsia="MS Mincho"/>
              </w:rPr>
              <w:t>Gum; Lindson</w:t>
            </w:r>
            <w:r w:rsidRPr="00061F78">
              <w:rPr>
                <w:rFonts w:eastAsia="MS Mincho"/>
              </w:rPr>
              <w:t xml:space="preserve"> </w:t>
            </w:r>
          </w:p>
          <w:p w14:paraId="00EFDC58" w14:textId="00BF8070"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14:paraId="0CE4BE4A" w14:textId="4E48DAB4"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14:paraId="3E64D7B4" w14:textId="4AB93AF0" w:rsidR="00C1384E"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14:paraId="6CA2EE9E" w14:textId="71DFEA02" w:rsidR="00C1384E" w:rsidRDefault="00C1384E" w:rsidP="00884DBF">
            <w:pPr>
              <w:pStyle w:val="Tablewriting"/>
              <w:jc w:val="center"/>
              <w:rPr>
                <w:rFonts w:eastAsia="MS Mincho"/>
              </w:rPr>
            </w:pPr>
            <w:r>
              <w:rPr>
                <w:rFonts w:eastAsia="MS Mincho"/>
              </w:rPr>
              <w:t>0/17</w:t>
            </w:r>
            <w:r w:rsidRPr="00061F78">
              <w:rPr>
                <w:rFonts w:eastAsia="MS Mincho"/>
              </w:rPr>
              <w:t xml:space="preserve"> </w:t>
            </w:r>
          </w:p>
          <w:p w14:paraId="3A21D681" w14:textId="1244FC59"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14:paraId="35C6603B" w14:textId="11E0AC0A" w:rsidR="00C1384E" w:rsidRDefault="00C1384E" w:rsidP="00884DBF">
            <w:pPr>
              <w:pStyle w:val="Tablewriting"/>
              <w:jc w:val="center"/>
              <w:rPr>
                <w:rFonts w:eastAsia="MS Mincho"/>
              </w:rPr>
            </w:pPr>
            <w:r>
              <w:rPr>
                <w:rFonts w:eastAsia="MS Mincho"/>
              </w:rPr>
              <w:t>0/21</w:t>
            </w:r>
            <w:r w:rsidRPr="00061F78">
              <w:rPr>
                <w:rFonts w:eastAsia="MS Mincho"/>
              </w:rPr>
              <w:t xml:space="preserve"> </w:t>
            </w:r>
          </w:p>
          <w:p w14:paraId="06A8C227" w14:textId="6F0D1761"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14:paraId="40B462D2" w14:textId="5CA878D7" w:rsidR="00C1384E" w:rsidRPr="00F61EDA" w:rsidRDefault="00C1384E" w:rsidP="00884DBF">
            <w:pPr>
              <w:pStyle w:val="Tablewriting"/>
              <w:jc w:val="center"/>
              <w:rPr>
                <w:rFonts w:eastAsia="MS Mincho"/>
              </w:rPr>
            </w:pPr>
            <w:r w:rsidRPr="00F61EDA">
              <w:rPr>
                <w:rFonts w:eastAsia="MS Mincho"/>
              </w:rPr>
              <w:t>NE</w:t>
            </w:r>
          </w:p>
        </w:tc>
      </w:tr>
      <w:tr w:rsidR="00C1384E" w:rsidRPr="00061F78" w14:paraId="7C95EE3A" w14:textId="77777777" w:rsidTr="00E97C7D">
        <w:trPr>
          <w:cantSplit/>
          <w:trHeight w:val="149"/>
        </w:trPr>
        <w:tc>
          <w:tcPr>
            <w:tcW w:w="5000" w:type="pct"/>
            <w:gridSpan w:val="6"/>
            <w:shd w:val="clear" w:color="auto" w:fill="auto"/>
            <w:tcMar>
              <w:left w:w="28" w:type="dxa"/>
              <w:right w:w="28" w:type="dxa"/>
            </w:tcMar>
          </w:tcPr>
          <w:p w14:paraId="76987379" w14:textId="77777777" w:rsidR="00C1384E" w:rsidRPr="00E97C7D" w:rsidRDefault="00C1384E" w:rsidP="00884DBF">
            <w:pPr>
              <w:pStyle w:val="Tablewriting"/>
              <w:rPr>
                <w:rFonts w:eastAsia="MS Mincho"/>
                <w:b/>
                <w:bCs/>
              </w:rPr>
            </w:pPr>
            <w:r w:rsidRPr="00E97C7D">
              <w:rPr>
                <w:rFonts w:eastAsia="MS Mincho"/>
                <w:b/>
                <w:bCs/>
              </w:rPr>
              <w:t>Withdrawals due to treatment</w:t>
            </w:r>
          </w:p>
        </w:tc>
      </w:tr>
      <w:tr w:rsidR="00C1384E" w:rsidRPr="00061F78" w14:paraId="4A7DD110" w14:textId="77777777" w:rsidTr="00C1384E">
        <w:trPr>
          <w:cantSplit/>
          <w:trHeight w:val="149"/>
        </w:trPr>
        <w:tc>
          <w:tcPr>
            <w:tcW w:w="554" w:type="pct"/>
            <w:tcMar>
              <w:left w:w="28" w:type="dxa"/>
              <w:right w:w="28" w:type="dxa"/>
            </w:tcMar>
          </w:tcPr>
          <w:p w14:paraId="645E8499" w14:textId="08130981" w:rsidR="00C1384E" w:rsidRDefault="00C1384E" w:rsidP="00884DBF">
            <w:pPr>
              <w:pStyle w:val="Tablewriting"/>
              <w:rPr>
                <w:rFonts w:eastAsia="MS Mincho"/>
              </w:rPr>
            </w:pPr>
            <w:r>
              <w:rPr>
                <w:rFonts w:eastAsia="MS Mincho"/>
              </w:rPr>
              <w:t>Lozenge; Lindson</w:t>
            </w:r>
            <w:r w:rsidRPr="00061F78">
              <w:rPr>
                <w:rFonts w:eastAsia="MS Mincho"/>
              </w:rPr>
              <w:t xml:space="preserve"> </w:t>
            </w:r>
          </w:p>
          <w:p w14:paraId="0EA4E871" w14:textId="1911BE1F"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14:paraId="6775E38E" w14:textId="58B76B40"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14:paraId="30A7BABE" w14:textId="19D1936E" w:rsidR="00C1384E" w:rsidRDefault="00C1384E" w:rsidP="00884DBF">
            <w:pPr>
              <w:pStyle w:val="Tablewriting"/>
              <w:jc w:val="center"/>
              <w:rPr>
                <w:rFonts w:eastAsia="MS Mincho"/>
              </w:rPr>
            </w:pPr>
            <w:r>
              <w:rPr>
                <w:rFonts w:eastAsia="MS Mincho"/>
              </w:rPr>
              <w:t>Piper (2009)</w:t>
            </w:r>
          </w:p>
        </w:tc>
        <w:tc>
          <w:tcPr>
            <w:tcW w:w="802" w:type="pct"/>
            <w:tcMar>
              <w:left w:w="28" w:type="dxa"/>
              <w:right w:w="28" w:type="dxa"/>
            </w:tcMar>
            <w:vAlign w:val="center"/>
          </w:tcPr>
          <w:p w14:paraId="2EB18C03" w14:textId="1A0E6928"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260</w:t>
            </w:r>
            <w:r w:rsidRPr="00061F78">
              <w:rPr>
                <w:rFonts w:eastAsia="MS Mincho"/>
              </w:rPr>
              <w:t xml:space="preserve"> </w:t>
            </w:r>
          </w:p>
          <w:p w14:paraId="2DB3E40A" w14:textId="25DB004D"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11" w:type="pct"/>
            <w:tcMar>
              <w:left w:w="28" w:type="dxa"/>
              <w:right w:w="28" w:type="dxa"/>
            </w:tcMar>
            <w:vAlign w:val="center"/>
          </w:tcPr>
          <w:p w14:paraId="163330A0" w14:textId="0BE298A4"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262</w:t>
            </w:r>
            <w:r w:rsidRPr="00061F78">
              <w:rPr>
                <w:rFonts w:eastAsia="MS Mincho"/>
              </w:rPr>
              <w:t xml:space="preserve"> </w:t>
            </w:r>
          </w:p>
          <w:p w14:paraId="69402561" w14:textId="59241095" w:rsidR="00C1384E"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14:paraId="5CE6DA98" w14:textId="1D9632E5" w:rsidR="00C1384E" w:rsidRPr="00F61EDA" w:rsidRDefault="00C1384E" w:rsidP="00884DBF">
            <w:pPr>
              <w:pStyle w:val="Tablewriting"/>
              <w:jc w:val="center"/>
              <w:rPr>
                <w:rFonts w:eastAsia="MS Mincho"/>
              </w:rPr>
            </w:pPr>
            <w:r w:rsidRPr="00F61EDA">
              <w:rPr>
                <w:rFonts w:eastAsia="MS Mincho"/>
              </w:rPr>
              <w:t>NE</w:t>
            </w:r>
          </w:p>
        </w:tc>
      </w:tr>
      <w:tr w:rsidR="00C1384E" w:rsidRPr="00061F78" w14:paraId="7B549855" w14:textId="77777777" w:rsidTr="00C1384E">
        <w:trPr>
          <w:cantSplit/>
          <w:trHeight w:val="149"/>
        </w:trPr>
        <w:tc>
          <w:tcPr>
            <w:tcW w:w="554" w:type="pct"/>
            <w:tcMar>
              <w:left w:w="28" w:type="dxa"/>
              <w:right w:w="28" w:type="dxa"/>
            </w:tcMar>
          </w:tcPr>
          <w:p w14:paraId="37E68FDB" w14:textId="71864C7B" w:rsidR="00C1384E" w:rsidRDefault="00C1384E" w:rsidP="00884DBF">
            <w:pPr>
              <w:pStyle w:val="Tablewriting"/>
              <w:rPr>
                <w:rFonts w:eastAsia="MS Mincho"/>
              </w:rPr>
            </w:pPr>
            <w:r>
              <w:rPr>
                <w:rFonts w:eastAsia="MS Mincho"/>
              </w:rPr>
              <w:t>Gum; Lindson</w:t>
            </w:r>
            <w:r w:rsidRPr="00061F78">
              <w:rPr>
                <w:rFonts w:eastAsia="MS Mincho"/>
              </w:rPr>
              <w:t xml:space="preserve"> </w:t>
            </w:r>
          </w:p>
          <w:p w14:paraId="3D480A37" w14:textId="232986CC" w:rsidR="00C1384E" w:rsidRDefault="00C1384E" w:rsidP="00884DBF">
            <w:pPr>
              <w:pStyle w:val="Tablewriting"/>
              <w:rPr>
                <w:rFonts w:eastAsia="MS Mincho"/>
              </w:rPr>
            </w:pPr>
            <w:r w:rsidRPr="00061F78">
              <w:rPr>
                <w:rFonts w:eastAsia="MS Mincho"/>
              </w:rPr>
              <w:t>(20</w:t>
            </w:r>
            <w:r>
              <w:rPr>
                <w:rFonts w:eastAsia="MS Mincho"/>
              </w:rPr>
              <w:t>19</w:t>
            </w:r>
            <w:r w:rsidRPr="00061F78">
              <w:rPr>
                <w:rFonts w:eastAsia="MS Mincho"/>
              </w:rPr>
              <w:t>)</w:t>
            </w:r>
          </w:p>
        </w:tc>
        <w:tc>
          <w:tcPr>
            <w:tcW w:w="944" w:type="pct"/>
            <w:vAlign w:val="center"/>
          </w:tcPr>
          <w:p w14:paraId="0FBCA644" w14:textId="26E8ED67" w:rsidR="00C1384E" w:rsidRDefault="00C1384E" w:rsidP="00884DBF">
            <w:pPr>
              <w:pStyle w:val="Tablewriting"/>
              <w:jc w:val="center"/>
              <w:rPr>
                <w:rFonts w:eastAsia="MS Mincho"/>
              </w:rPr>
            </w:pPr>
            <w:r>
              <w:rPr>
                <w:rFonts w:eastAsia="MS Mincho"/>
              </w:rPr>
              <w:t>Cochrane Review (1 RCT)</w:t>
            </w:r>
          </w:p>
        </w:tc>
        <w:tc>
          <w:tcPr>
            <w:tcW w:w="1190" w:type="pct"/>
            <w:tcMar>
              <w:left w:w="28" w:type="dxa"/>
              <w:right w:w="28" w:type="dxa"/>
            </w:tcMar>
            <w:vAlign w:val="center"/>
          </w:tcPr>
          <w:p w14:paraId="534340B7" w14:textId="4597EC47" w:rsidR="00C1384E" w:rsidRDefault="00C1384E" w:rsidP="00884DBF">
            <w:pPr>
              <w:pStyle w:val="Tablewriting"/>
              <w:jc w:val="center"/>
              <w:rPr>
                <w:rFonts w:eastAsia="MS Mincho"/>
              </w:rPr>
            </w:pPr>
            <w:r>
              <w:rPr>
                <w:rFonts w:eastAsia="MS Mincho"/>
              </w:rPr>
              <w:t>No</w:t>
            </w:r>
          </w:p>
        </w:tc>
        <w:tc>
          <w:tcPr>
            <w:tcW w:w="802" w:type="pct"/>
            <w:tcMar>
              <w:left w:w="28" w:type="dxa"/>
              <w:right w:w="28" w:type="dxa"/>
            </w:tcMar>
            <w:vAlign w:val="center"/>
          </w:tcPr>
          <w:p w14:paraId="0C0BEFA2" w14:textId="2A78F5A2" w:rsidR="00C1384E" w:rsidRDefault="00C1384E" w:rsidP="00884DBF">
            <w:pPr>
              <w:pStyle w:val="Tablewriting"/>
              <w:jc w:val="center"/>
              <w:rPr>
                <w:rFonts w:eastAsia="MS Mincho"/>
              </w:rPr>
            </w:pPr>
            <w:r>
              <w:rPr>
                <w:rFonts w:eastAsia="MS Mincho"/>
              </w:rPr>
              <w:t>4</w:t>
            </w:r>
            <w:r w:rsidRPr="00061F78">
              <w:rPr>
                <w:rFonts w:eastAsia="MS Mincho"/>
              </w:rPr>
              <w:t>/</w:t>
            </w:r>
            <w:r>
              <w:rPr>
                <w:rFonts w:eastAsia="MS Mincho"/>
              </w:rPr>
              <w:t>17</w:t>
            </w:r>
            <w:r w:rsidRPr="00061F78">
              <w:rPr>
                <w:rFonts w:eastAsia="MS Mincho"/>
              </w:rPr>
              <w:t xml:space="preserve"> </w:t>
            </w:r>
          </w:p>
          <w:p w14:paraId="395127C8" w14:textId="0F7E0706" w:rsidR="00C1384E" w:rsidRDefault="00C1384E" w:rsidP="00884DBF">
            <w:pPr>
              <w:pStyle w:val="Tablewriting"/>
              <w:jc w:val="center"/>
              <w:rPr>
                <w:rFonts w:eastAsia="MS Mincho"/>
              </w:rPr>
            </w:pPr>
            <w:r w:rsidRPr="00061F78">
              <w:rPr>
                <w:rFonts w:eastAsia="MS Mincho"/>
              </w:rPr>
              <w:t>(</w:t>
            </w:r>
            <w:r>
              <w:rPr>
                <w:rFonts w:eastAsia="MS Mincho"/>
              </w:rPr>
              <w:t>23.5</w:t>
            </w:r>
            <w:r w:rsidRPr="00061F78">
              <w:rPr>
                <w:rFonts w:eastAsia="MS Mincho"/>
              </w:rPr>
              <w:t>%)</w:t>
            </w:r>
          </w:p>
        </w:tc>
        <w:tc>
          <w:tcPr>
            <w:tcW w:w="711" w:type="pct"/>
            <w:tcMar>
              <w:left w:w="28" w:type="dxa"/>
              <w:right w:w="28" w:type="dxa"/>
            </w:tcMar>
            <w:vAlign w:val="center"/>
          </w:tcPr>
          <w:p w14:paraId="327D5CD2" w14:textId="4B85250A" w:rsidR="00C1384E" w:rsidRDefault="00C1384E" w:rsidP="00884DBF">
            <w:pPr>
              <w:pStyle w:val="Tablewriting"/>
              <w:jc w:val="center"/>
              <w:rPr>
                <w:rFonts w:eastAsia="MS Mincho"/>
              </w:rPr>
            </w:pPr>
            <w:r>
              <w:rPr>
                <w:rFonts w:eastAsia="MS Mincho"/>
              </w:rPr>
              <w:t>0</w:t>
            </w:r>
            <w:r w:rsidRPr="00061F78">
              <w:rPr>
                <w:rFonts w:eastAsia="MS Mincho"/>
              </w:rPr>
              <w:t>/</w:t>
            </w:r>
            <w:r>
              <w:rPr>
                <w:rFonts w:eastAsia="MS Mincho"/>
              </w:rPr>
              <w:t>21</w:t>
            </w:r>
            <w:r w:rsidRPr="00061F78">
              <w:rPr>
                <w:rFonts w:eastAsia="MS Mincho"/>
              </w:rPr>
              <w:t xml:space="preserve"> </w:t>
            </w:r>
          </w:p>
          <w:p w14:paraId="5603FDD6" w14:textId="54F049FD" w:rsidR="00C1384E" w:rsidRPr="00061F78" w:rsidRDefault="00C1384E" w:rsidP="00884DBF">
            <w:pPr>
              <w:pStyle w:val="Tablewriting"/>
              <w:jc w:val="center"/>
              <w:rPr>
                <w:rFonts w:eastAsia="MS Mincho"/>
              </w:rPr>
            </w:pPr>
            <w:r w:rsidRPr="00061F78">
              <w:rPr>
                <w:rFonts w:eastAsia="MS Mincho"/>
              </w:rPr>
              <w:t>(</w:t>
            </w:r>
            <w:r>
              <w:rPr>
                <w:rFonts w:eastAsia="MS Mincho"/>
              </w:rPr>
              <w:t>0</w:t>
            </w:r>
            <w:r w:rsidRPr="00061F78">
              <w:rPr>
                <w:rFonts w:eastAsia="MS Mincho"/>
              </w:rPr>
              <w:t>%)</w:t>
            </w:r>
          </w:p>
        </w:tc>
        <w:tc>
          <w:tcPr>
            <w:tcW w:w="799" w:type="pct"/>
            <w:tcMar>
              <w:left w:w="28" w:type="dxa"/>
              <w:right w:w="28" w:type="dxa"/>
            </w:tcMar>
            <w:vAlign w:val="center"/>
          </w:tcPr>
          <w:p w14:paraId="5D2D8DBB" w14:textId="7A727F02" w:rsidR="00C1384E" w:rsidRPr="00F61EDA" w:rsidRDefault="00C1384E" w:rsidP="00884DBF">
            <w:pPr>
              <w:pStyle w:val="Tablewriting"/>
              <w:jc w:val="center"/>
              <w:rPr>
                <w:rFonts w:eastAsia="MS Mincho"/>
              </w:rPr>
            </w:pPr>
            <w:r w:rsidRPr="00F61EDA">
              <w:rPr>
                <w:rFonts w:eastAsia="MS Mincho"/>
              </w:rPr>
              <w:t>11</w:t>
            </w:r>
          </w:p>
          <w:p w14:paraId="65CACC92" w14:textId="5274FB9E" w:rsidR="00C1384E" w:rsidRPr="00D468CF" w:rsidRDefault="00C1384E" w:rsidP="00884DBF">
            <w:pPr>
              <w:pStyle w:val="Tablewriting"/>
              <w:jc w:val="center"/>
              <w:rPr>
                <w:rFonts w:eastAsia="MS Mincho"/>
                <w:b/>
                <w:bCs/>
              </w:rPr>
            </w:pPr>
            <w:r w:rsidRPr="00F61EDA">
              <w:rPr>
                <w:rFonts w:eastAsia="MS Mincho"/>
              </w:rPr>
              <w:t>(0.63, 191.04)</w:t>
            </w:r>
          </w:p>
        </w:tc>
      </w:tr>
    </w:tbl>
    <w:p w14:paraId="1F214D89" w14:textId="41146A60" w:rsidR="002F73AB" w:rsidRDefault="002F73AB" w:rsidP="00AB4506">
      <w:pPr>
        <w:pStyle w:val="TableFooter"/>
        <w:keepNext/>
        <w:jc w:val="both"/>
      </w:pPr>
      <w:r>
        <w:t>Source: Lindson et al. (2019)</w:t>
      </w:r>
    </w:p>
    <w:p w14:paraId="5BA83930" w14:textId="3A58C406" w:rsidR="002F73AB" w:rsidRDefault="002F73AB" w:rsidP="00AB4506">
      <w:pPr>
        <w:pStyle w:val="TableFooter"/>
        <w:keepNext/>
        <w:jc w:val="both"/>
      </w:pPr>
      <w:r>
        <w:t xml:space="preserve">Abbreviations: CI = confidence interval; </w:t>
      </w:r>
      <w:r w:rsidR="00F61EDA">
        <w:t xml:space="preserve">NE = not estimable; </w:t>
      </w:r>
      <w:r>
        <w:t>NR = not reported; RCT = randomised controlled trial; RR = risk ratio</w:t>
      </w:r>
    </w:p>
    <w:p w14:paraId="5FA6DE05" w14:textId="7205CDDA" w:rsidR="002F73AB" w:rsidRDefault="002F73AB" w:rsidP="00AB4506">
      <w:pPr>
        <w:pStyle w:val="TableFooter"/>
        <w:keepNext/>
        <w:jc w:val="both"/>
      </w:pPr>
      <w:r w:rsidRPr="00FD4061">
        <w:t>Note</w:t>
      </w:r>
      <w:r>
        <w:t>s</w:t>
      </w:r>
      <w:r w:rsidRPr="00FD4061">
        <w:t>: Bold indicates statistically significant difference.</w:t>
      </w:r>
      <w:r>
        <w:t xml:space="preserve"> See </w:t>
      </w:r>
      <w:r w:rsidRPr="009A27D8">
        <w:t>Appendix</w:t>
      </w:r>
      <w:r>
        <w:t xml:space="preserve"> </w:t>
      </w:r>
      <w:r w:rsidR="003808BC">
        <w:fldChar w:fldCharType="begin" w:fldLock="1"/>
      </w:r>
      <w:r w:rsidR="003808BC">
        <w:instrText xml:space="preserve"> REF _Ref54626416 \h </w:instrText>
      </w:r>
      <w:r w:rsidR="00AB4506">
        <w:instrText xml:space="preserve"> \* MERGEFORMAT </w:instrText>
      </w:r>
      <w:r w:rsidR="003808BC">
        <w:fldChar w:fldCharType="separate"/>
      </w:r>
      <w:r w:rsidR="00EC5CC7">
        <w:t xml:space="preserve">Figure </w:t>
      </w:r>
      <w:r w:rsidR="00EC5CC7">
        <w:rPr>
          <w:noProof/>
        </w:rPr>
        <w:t>71</w:t>
      </w:r>
      <w:r w:rsidR="003808BC">
        <w:fldChar w:fldCharType="end"/>
      </w:r>
      <w:r w:rsidR="003808BC">
        <w:t xml:space="preserve"> to </w:t>
      </w:r>
      <w:r w:rsidR="003808BC">
        <w:fldChar w:fldCharType="begin" w:fldLock="1"/>
      </w:r>
      <w:r w:rsidR="003808BC">
        <w:instrText xml:space="preserve"> REF _Ref54626417 \h </w:instrText>
      </w:r>
      <w:r w:rsidR="00AB4506">
        <w:instrText xml:space="preserve"> \* MERGEFORMAT </w:instrText>
      </w:r>
      <w:r w:rsidR="003808BC">
        <w:fldChar w:fldCharType="separate"/>
      </w:r>
      <w:r w:rsidR="00EC5CC7">
        <w:t xml:space="preserve">Figure </w:t>
      </w:r>
      <w:r w:rsidR="00EC5CC7">
        <w:rPr>
          <w:noProof/>
        </w:rPr>
        <w:t>73</w:t>
      </w:r>
      <w:r w:rsidR="003808BC">
        <w:fldChar w:fldCharType="end"/>
      </w:r>
      <w:r w:rsidR="003808BC">
        <w:t xml:space="preserve"> f</w:t>
      </w:r>
      <w:r>
        <w:t xml:space="preserve">or forest plots </w:t>
      </w:r>
      <w:r w:rsidR="0054731C" w:rsidRPr="0054731C">
        <w:t>of the respective outcomes which included the results of individual studies.</w:t>
      </w:r>
    </w:p>
    <w:p w14:paraId="1FA06220" w14:textId="02424AB5" w:rsidR="002F73AB" w:rsidRDefault="002F73AB" w:rsidP="00AB4506">
      <w:pPr>
        <w:pStyle w:val="TableFooter"/>
        <w:keepNext/>
        <w:jc w:val="both"/>
      </w:pPr>
      <w:r>
        <w:t>1 Where previously considered studies were not included, this was due to the outcome not being reported</w:t>
      </w:r>
      <w:r w:rsidR="00AB5FA3">
        <w:t>.</w:t>
      </w:r>
    </w:p>
    <w:p w14:paraId="66E12636" w14:textId="1D633704" w:rsidR="002F73AB" w:rsidRDefault="002F73AB" w:rsidP="00AB4506">
      <w:pPr>
        <w:pStyle w:val="TableFooter"/>
        <w:keepNext/>
        <w:spacing w:after="120"/>
        <w:contextualSpacing w:val="0"/>
        <w:jc w:val="both"/>
      </w:pPr>
      <w:r w:rsidRPr="009A27D8">
        <w:t xml:space="preserve">2 Calculated </w:t>
      </w:r>
      <w:r w:rsidR="00982E98" w:rsidRPr="009A27D8">
        <w:t xml:space="preserve">by Cochrane Review authors </w:t>
      </w:r>
      <w:r w:rsidRPr="009A27D8">
        <w:t>using a fixed-effect model</w:t>
      </w:r>
      <w:r w:rsidR="00AB5FA3">
        <w:t>.</w:t>
      </w:r>
    </w:p>
    <w:p w14:paraId="1C204D3A" w14:textId="6917D808" w:rsidR="00470EC3" w:rsidRDefault="00470EC3" w:rsidP="00AB4506">
      <w:pPr>
        <w:pStyle w:val="Heading4"/>
        <w:numPr>
          <w:ilvl w:val="0"/>
          <w:numId w:val="0"/>
        </w:numPr>
        <w:spacing w:before="120" w:after="120"/>
        <w:jc w:val="both"/>
      </w:pPr>
      <w:r>
        <w:t>Treatment-experienced population</w:t>
      </w:r>
    </w:p>
    <w:p w14:paraId="52C795C1" w14:textId="20C97154" w:rsidR="00470EC3" w:rsidRDefault="00470EC3" w:rsidP="00AB4506">
      <w:pPr>
        <w:pStyle w:val="Heading5"/>
        <w:numPr>
          <w:ilvl w:val="0"/>
          <w:numId w:val="0"/>
        </w:numPr>
        <w:spacing w:before="120" w:after="120"/>
        <w:jc w:val="both"/>
      </w:pPr>
      <w:r>
        <w:t>Varenicline</w:t>
      </w:r>
    </w:p>
    <w:p w14:paraId="2958110B" w14:textId="30300462" w:rsidR="003B4B27" w:rsidRDefault="003B4B27" w:rsidP="00AB4506">
      <w:pPr>
        <w:spacing w:after="120"/>
        <w:jc w:val="both"/>
      </w:pPr>
      <w:r>
        <w:t xml:space="preserve">In November 2009, the PBAC recommended the listing of varenicline on the PBS be extended to make available a second 12-week course for patients who have successfully completed an initial 12-week course of </w:t>
      </w:r>
      <w:r w:rsidR="004C4EA7">
        <w:t>varenicline but</w:t>
      </w:r>
      <w:r>
        <w:t xml:space="preserve"> require a further 12-week course to aid in maintaining abstinence (</w:t>
      </w:r>
      <w:r w:rsidR="004C4EA7">
        <w:t>i.e.,</w:t>
      </w:r>
      <w:r>
        <w:t xml:space="preserve"> treatment-experienced patients). The </w:t>
      </w:r>
      <w:r w:rsidR="005267D8">
        <w:t xml:space="preserve">recommendation was based on </w:t>
      </w:r>
      <w:r w:rsidR="009C163F">
        <w:t>a</w:t>
      </w:r>
      <w:r w:rsidR="000801BA">
        <w:t>n</w:t>
      </w:r>
      <w:r w:rsidR="009C163F">
        <w:t xml:space="preserve"> </w:t>
      </w:r>
      <w:r w:rsidR="00B86304">
        <w:t>RCT</w:t>
      </w:r>
      <w:r w:rsidR="009C163F">
        <w:t xml:space="preserve"> comparing varenicline 1 mg twice a day with placebo in patients </w:t>
      </w:r>
      <w:r w:rsidR="00BB6EF8">
        <w:t xml:space="preserve">who were </w:t>
      </w:r>
      <w:r w:rsidR="009C163F">
        <w:t>abstinent after an initial 12 weeks of treatment with varenicline (Tonstad et al. 2006).</w:t>
      </w:r>
      <w:r w:rsidR="000801BA">
        <w:t xml:space="preserve"> The PBAC accepted the clinical claim that varenicline </w:t>
      </w:r>
      <w:r w:rsidR="00D24CEE">
        <w:t>was</w:t>
      </w:r>
      <w:r w:rsidR="000801BA">
        <w:t xml:space="preserve"> of superior efficacy and inferior safety to placebo</w:t>
      </w:r>
      <w:r w:rsidR="00701677">
        <w:t xml:space="preserve"> (</w:t>
      </w:r>
      <w:r w:rsidR="00701677" w:rsidRPr="009A27D8">
        <w:t xml:space="preserve">Varenicline PSD, </w:t>
      </w:r>
      <w:r w:rsidR="00146DD7" w:rsidRPr="009A27D8">
        <w:t xml:space="preserve">November </w:t>
      </w:r>
      <w:r w:rsidR="00701677" w:rsidRPr="009A27D8">
        <w:t>2009</w:t>
      </w:r>
      <w:r w:rsidR="00146DD7" w:rsidRPr="009A27D8">
        <w:t xml:space="preserve"> PBAC meeting</w:t>
      </w:r>
      <w:r w:rsidR="00701677">
        <w:t>)</w:t>
      </w:r>
      <w:r w:rsidR="000801BA">
        <w:t>.</w:t>
      </w:r>
      <w:r w:rsidR="00502018">
        <w:t xml:space="preserve"> </w:t>
      </w:r>
      <w:r w:rsidR="00502018" w:rsidRPr="00502018">
        <w:t xml:space="preserve">The </w:t>
      </w:r>
      <w:r w:rsidR="004B5F17">
        <w:t>updated</w:t>
      </w:r>
      <w:r w:rsidR="00990805">
        <w:t xml:space="preserve"> </w:t>
      </w:r>
      <w:r w:rsidR="00502018" w:rsidRPr="00502018">
        <w:t>listing allowed for only one 12-24 week course of varenicline per year (</w:t>
      </w:r>
      <w:r w:rsidR="004C4EA7" w:rsidRPr="00502018">
        <w:t>i.e.,</w:t>
      </w:r>
      <w:r w:rsidR="00502018" w:rsidRPr="00502018">
        <w:t xml:space="preserve"> an additional 12 weeks of treatment for those who ha</w:t>
      </w:r>
      <w:r w:rsidR="00F67E13">
        <w:t>d</w:t>
      </w:r>
      <w:r w:rsidR="00502018" w:rsidRPr="00502018">
        <w:t xml:space="preserve"> abstained from smoking)</w:t>
      </w:r>
      <w:r w:rsidR="00990805">
        <w:t>.</w:t>
      </w:r>
    </w:p>
    <w:p w14:paraId="6B0D5F75" w14:textId="2EFF6E35" w:rsidR="003F229D" w:rsidRDefault="003B4B27" w:rsidP="008948F0">
      <w:pPr>
        <w:spacing w:after="120"/>
        <w:jc w:val="both"/>
      </w:pPr>
      <w:r>
        <w:t xml:space="preserve">In November 2012 and March 2014, the PBAC considered a request to reduce the time to retreatment with varenicline from 12 to </w:t>
      </w:r>
      <w:r w:rsidR="007C00EF">
        <w:t>six</w:t>
      </w:r>
      <w:r>
        <w:t xml:space="preserve"> months. In March 2014, the PBAC recommended a change to the listing of varenicline to allow an additional course within a 12-month period for patients who </w:t>
      </w:r>
      <w:r w:rsidR="00F67E13">
        <w:t>were</w:t>
      </w:r>
      <w:r>
        <w:t xml:space="preserve"> unsuccessful in achieving abstinence from smoking during or after a course of PBS-subsidised varenicline. The</w:t>
      </w:r>
      <w:r w:rsidR="00F56D7D">
        <w:t xml:space="preserve"> recommendation was based on</w:t>
      </w:r>
      <w:r w:rsidR="00F02E09">
        <w:t xml:space="preserve"> a pivotal trial</w:t>
      </w:r>
      <w:r w:rsidR="001001F6">
        <w:t xml:space="preserve"> which compared varenicline with placebo in a varenicline experienced population</w:t>
      </w:r>
      <w:r w:rsidR="00140BE8">
        <w:t xml:space="preserve"> (</w:t>
      </w:r>
      <w:r w:rsidR="00293135">
        <w:t xml:space="preserve">Gonzales et al. </w:t>
      </w:r>
      <w:r w:rsidR="00293135">
        <w:lastRenderedPageBreak/>
        <w:t>2014</w:t>
      </w:r>
      <w:r w:rsidR="00DD2E6B">
        <w:t>; referred to as Trial A3051139 in March 2014 PBAC meeting</w:t>
      </w:r>
      <w:r w:rsidR="00293135">
        <w:t>)</w:t>
      </w:r>
      <w:r w:rsidR="00C06CAF">
        <w:t xml:space="preserve"> and </w:t>
      </w:r>
      <w:r>
        <w:t>trial evidence in varenicline-naïve patients as supportive evidence.</w:t>
      </w:r>
      <w:r w:rsidR="003040EA">
        <w:t xml:space="preserve"> </w:t>
      </w:r>
      <w:r w:rsidR="0086505C">
        <w:t xml:space="preserve">The PBAC accepted the clinical claim that </w:t>
      </w:r>
      <w:r w:rsidR="0086505C" w:rsidRPr="0086505C">
        <w:t xml:space="preserve">varenicline </w:t>
      </w:r>
      <w:r w:rsidR="00F67E13">
        <w:t>wa</w:t>
      </w:r>
      <w:r w:rsidR="0086505C" w:rsidRPr="0086505C">
        <w:t>s of superior efficacy to placebo, bupropion and NRT, and no worse in terms of safety to bupropion</w:t>
      </w:r>
      <w:r w:rsidR="0086505C">
        <w:t xml:space="preserve">. </w:t>
      </w:r>
      <w:r w:rsidR="00A948E2" w:rsidRPr="00A948E2">
        <w:t xml:space="preserve">The PBAC considered that varenicline </w:t>
      </w:r>
      <w:r w:rsidR="00F67E13">
        <w:t>wa</w:t>
      </w:r>
      <w:r w:rsidR="00A948E2" w:rsidRPr="00A948E2">
        <w:t>s of inferior safety to placebo and NRT</w:t>
      </w:r>
      <w:r w:rsidR="00A948E2">
        <w:t xml:space="preserve"> (</w:t>
      </w:r>
      <w:r w:rsidR="00A948E2" w:rsidRPr="00CE7A46">
        <w:t xml:space="preserve">Varenicline PSD, </w:t>
      </w:r>
      <w:r w:rsidR="00B45ECB" w:rsidRPr="00CE7A46">
        <w:t xml:space="preserve">March </w:t>
      </w:r>
      <w:r w:rsidR="00A948E2" w:rsidRPr="00CE7A46">
        <w:t>2014</w:t>
      </w:r>
      <w:r w:rsidR="00B45ECB" w:rsidRPr="00CE7A46">
        <w:t xml:space="preserve"> PBAC meeting</w:t>
      </w:r>
      <w:r w:rsidR="00A948E2">
        <w:t>)</w:t>
      </w:r>
      <w:r w:rsidR="00A948E2" w:rsidRPr="00A948E2">
        <w:t>.</w:t>
      </w:r>
      <w:r w:rsidR="00990805">
        <w:t xml:space="preserve"> </w:t>
      </w:r>
      <w:r w:rsidR="00990805" w:rsidRPr="00990805">
        <w:t xml:space="preserve">The </w:t>
      </w:r>
      <w:r w:rsidR="00990805">
        <w:t xml:space="preserve">current </w:t>
      </w:r>
      <w:r w:rsidR="00990805" w:rsidRPr="00990805">
        <w:t>listing required the period between commencing varenicline and a further course of varenicline</w:t>
      </w:r>
      <w:r w:rsidR="00E71C9A">
        <w:t xml:space="preserve"> for non-abstainer</w:t>
      </w:r>
      <w:r w:rsidR="00630B4D">
        <w:t>s</w:t>
      </w:r>
      <w:r w:rsidR="00990805" w:rsidRPr="00990805">
        <w:t xml:space="preserve"> to be at least </w:t>
      </w:r>
      <w:r w:rsidR="007C00EF">
        <w:t>six</w:t>
      </w:r>
      <w:r w:rsidR="00990805" w:rsidRPr="00990805">
        <w:t xml:space="preserve"> months, with a total of 24 weeks of PBS-subsidised varenicline allowed per 12-month period.</w:t>
      </w:r>
    </w:p>
    <w:p w14:paraId="355B69DB" w14:textId="5E2C8E78" w:rsidR="00B953C7" w:rsidRDefault="00F20770" w:rsidP="008948F0">
      <w:pPr>
        <w:spacing w:after="120"/>
        <w:jc w:val="both"/>
        <w:rPr>
          <w:b/>
          <w:bCs/>
        </w:rPr>
      </w:pPr>
      <w:r w:rsidRPr="00F20770">
        <w:rPr>
          <w:b/>
          <w:bCs/>
        </w:rPr>
        <w:t>Varenicline versus placebo – a</w:t>
      </w:r>
      <w:r w:rsidR="00B953C7" w:rsidRPr="00F20770">
        <w:rPr>
          <w:b/>
          <w:bCs/>
        </w:rPr>
        <w:t>b</w:t>
      </w:r>
      <w:r w:rsidR="00C44BA5">
        <w:rPr>
          <w:b/>
          <w:bCs/>
        </w:rPr>
        <w:t>stainers (relapse prevention</w:t>
      </w:r>
      <w:r w:rsidR="003B297F">
        <w:rPr>
          <w:b/>
          <w:bCs/>
        </w:rPr>
        <w:t>)</w:t>
      </w:r>
    </w:p>
    <w:p w14:paraId="63A1379D" w14:textId="0046FF1B" w:rsidR="00297534" w:rsidRDefault="009F67CC" w:rsidP="008948F0">
      <w:pPr>
        <w:spacing w:after="120"/>
        <w:jc w:val="both"/>
      </w:pPr>
      <w:r w:rsidRPr="009F67CC">
        <w:t>A summary of the citation details for the studies comparing varenicline with placebo</w:t>
      </w:r>
      <w:r w:rsidR="00CE778E">
        <w:t xml:space="preserve"> in abstainers for relapse prevention</w:t>
      </w:r>
      <w:r w:rsidRPr="009F67CC">
        <w:t xml:space="preserve"> is presented in </w:t>
      </w:r>
      <w:r w:rsidR="00DF2D84">
        <w:fldChar w:fldCharType="begin" w:fldLock="1"/>
      </w:r>
      <w:r w:rsidR="00DF2D84">
        <w:instrText xml:space="preserve"> REF _Ref54709980 \h </w:instrText>
      </w:r>
      <w:r w:rsidR="00DF2D84">
        <w:fldChar w:fldCharType="separate"/>
      </w:r>
      <w:r w:rsidR="00EC5CC7">
        <w:t xml:space="preserve">Table </w:t>
      </w:r>
      <w:r w:rsidR="00EC5CC7">
        <w:rPr>
          <w:noProof/>
        </w:rPr>
        <w:t>32</w:t>
      </w:r>
      <w:r w:rsidR="00DF2D84">
        <w:fldChar w:fldCharType="end"/>
      </w:r>
      <w:r w:rsidRPr="009F67CC">
        <w:t xml:space="preserve">. </w:t>
      </w:r>
      <w:r w:rsidR="00DF2D84">
        <w:t>One study</w:t>
      </w:r>
      <w:r w:rsidRPr="009F67CC">
        <w:t xml:space="preserve"> w</w:t>
      </w:r>
      <w:r w:rsidR="00DF670B">
        <w:t>as</w:t>
      </w:r>
      <w:r w:rsidRPr="009F67CC">
        <w:t xml:space="preserve"> previously considered by the PBAC (</w:t>
      </w:r>
      <w:r w:rsidR="00E4529D">
        <w:t>Tonstad et al. 2006</w:t>
      </w:r>
      <w:r w:rsidRPr="009F67CC">
        <w:t xml:space="preserve">). A recently conducted Cochrane </w:t>
      </w:r>
      <w:r w:rsidR="0006534B">
        <w:t>R</w:t>
      </w:r>
      <w:r w:rsidRPr="009F67CC">
        <w:t xml:space="preserve">eview by </w:t>
      </w:r>
      <w:r w:rsidR="0022351F">
        <w:t>Livingstone-Banks</w:t>
      </w:r>
      <w:r w:rsidRPr="009F67CC">
        <w:t xml:space="preserve"> et al. (201</w:t>
      </w:r>
      <w:r w:rsidR="0022351F">
        <w:t>9</w:t>
      </w:r>
      <w:r w:rsidRPr="009F67CC">
        <w:t xml:space="preserve">) was identified in the systematic literature review that compared varenicline </w:t>
      </w:r>
      <w:r w:rsidR="00405973">
        <w:t>with</w:t>
      </w:r>
      <w:r w:rsidRPr="009F67CC">
        <w:t xml:space="preserve"> placebo</w:t>
      </w:r>
      <w:r w:rsidR="00CF66E4">
        <w:t xml:space="preserve"> for relapse prevention</w:t>
      </w:r>
      <w:r w:rsidRPr="009F67CC">
        <w:t xml:space="preserve"> and was included in this report.</w:t>
      </w:r>
      <w:r w:rsidR="00D4641D">
        <w:t xml:space="preserve"> </w:t>
      </w:r>
      <w:r w:rsidR="00297534" w:rsidRPr="00297534">
        <w:t>One new study was identified in the supplemental literature search that informed this comparison and was included in this report (</w:t>
      </w:r>
      <w:r w:rsidR="00297534">
        <w:t>Schnoll</w:t>
      </w:r>
      <w:r w:rsidR="00297534" w:rsidRPr="00297534">
        <w:t xml:space="preserve"> et al. 201</w:t>
      </w:r>
      <w:r w:rsidR="00297534">
        <w:t>9</w:t>
      </w:r>
      <w:r w:rsidR="00297534" w:rsidRPr="00297534">
        <w:t>)</w:t>
      </w:r>
      <w:r w:rsidR="004C4EA7" w:rsidRPr="00297534">
        <w:t xml:space="preserve">. </w:t>
      </w:r>
    </w:p>
    <w:p w14:paraId="1C0F976E" w14:textId="2DE72263" w:rsidR="0071295C" w:rsidRDefault="0071295C" w:rsidP="00EE1633">
      <w:pPr>
        <w:pStyle w:val="Caption"/>
        <w:keepNext/>
        <w:spacing w:before="0" w:after="120"/>
        <w:jc w:val="both"/>
      </w:pPr>
      <w:bookmarkStart w:id="77" w:name="_Ref54709980"/>
      <w:r>
        <w:t xml:space="preserve">Table </w:t>
      </w:r>
      <w:r w:rsidR="00BF3F75">
        <w:fldChar w:fldCharType="begin"/>
      </w:r>
      <w:r w:rsidR="00BF3F75">
        <w:instrText xml:space="preserve"> SEQ Table \* ARABIC </w:instrText>
      </w:r>
      <w:r w:rsidR="00BF3F75">
        <w:fldChar w:fldCharType="separate"/>
      </w:r>
      <w:r w:rsidR="00EC5CC7">
        <w:rPr>
          <w:noProof/>
        </w:rPr>
        <w:t>32</w:t>
      </w:r>
      <w:r w:rsidR="00BF3F75">
        <w:rPr>
          <w:noProof/>
        </w:rPr>
        <w:fldChar w:fldCharType="end"/>
      </w:r>
      <w:bookmarkEnd w:id="77"/>
      <w:r>
        <w:t xml:space="preserve">: </w:t>
      </w:r>
      <w:r w:rsidRPr="00CC02B6">
        <w:t>List of studies comparing varenicline with placebo</w:t>
      </w:r>
      <w:r>
        <w:t xml:space="preserve"> </w:t>
      </w:r>
      <w:r w:rsidR="0066615D">
        <w:t xml:space="preserve">in </w:t>
      </w:r>
      <w:r w:rsidR="0017182A">
        <w:t>abstainers</w:t>
      </w:r>
      <w:r w:rsidR="0066615D">
        <w:t xml:space="preserve">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324959" w:rsidRPr="00061F78" w14:paraId="593B0776" w14:textId="77777777" w:rsidTr="0071295C">
        <w:trPr>
          <w:cantSplit/>
          <w:trHeight w:val="329"/>
          <w:tblHeader/>
        </w:trPr>
        <w:tc>
          <w:tcPr>
            <w:tcW w:w="566" w:type="pct"/>
            <w:shd w:val="clear" w:color="auto" w:fill="BFBFBF" w:themeFill="background1" w:themeFillShade="BF"/>
            <w:tcMar>
              <w:left w:w="28" w:type="dxa"/>
              <w:right w:w="28" w:type="dxa"/>
            </w:tcMar>
          </w:tcPr>
          <w:p w14:paraId="5FE6A2CB" w14:textId="20F78A3A" w:rsidR="007401AE" w:rsidRPr="00061F78" w:rsidRDefault="00126B7B" w:rsidP="008078D4">
            <w:pPr>
              <w:pStyle w:val="Tableheading"/>
              <w:keepNext/>
              <w:rPr>
                <w:rFonts w:eastAsia="MS Mincho"/>
              </w:rPr>
            </w:pPr>
            <w:r>
              <w:rPr>
                <w:rFonts w:eastAsia="MS Mincho"/>
              </w:rPr>
              <w:t>Study</w:t>
            </w:r>
          </w:p>
        </w:tc>
        <w:tc>
          <w:tcPr>
            <w:tcW w:w="4434" w:type="pct"/>
            <w:shd w:val="clear" w:color="auto" w:fill="BFBFBF" w:themeFill="background1" w:themeFillShade="BF"/>
          </w:tcPr>
          <w:p w14:paraId="2E003697" w14:textId="77777777" w:rsidR="007401AE" w:rsidRDefault="007401AE" w:rsidP="008078D4">
            <w:pPr>
              <w:pStyle w:val="Tableheading"/>
              <w:keepNext/>
              <w:jc w:val="center"/>
              <w:rPr>
                <w:rFonts w:eastAsia="MS Mincho"/>
              </w:rPr>
            </w:pPr>
            <w:r>
              <w:rPr>
                <w:rFonts w:eastAsia="MS Mincho"/>
              </w:rPr>
              <w:t>Citation</w:t>
            </w:r>
          </w:p>
        </w:tc>
      </w:tr>
      <w:tr w:rsidR="00324959" w:rsidRPr="00061F78" w14:paraId="6B6678E3" w14:textId="77777777" w:rsidTr="00015CD6">
        <w:trPr>
          <w:cantSplit/>
          <w:trHeight w:val="109"/>
        </w:trPr>
        <w:tc>
          <w:tcPr>
            <w:tcW w:w="566" w:type="pct"/>
            <w:shd w:val="clear" w:color="auto" w:fill="D9D9D9" w:themeFill="background1" w:themeFillShade="D9"/>
            <w:tcMar>
              <w:left w:w="28" w:type="dxa"/>
              <w:right w:w="28" w:type="dxa"/>
            </w:tcMar>
          </w:tcPr>
          <w:p w14:paraId="46915DE6" w14:textId="77777777" w:rsidR="007401AE" w:rsidRDefault="00F45F4F" w:rsidP="008078D4">
            <w:pPr>
              <w:pStyle w:val="Tablewriting"/>
              <w:keepNext/>
              <w:rPr>
                <w:rFonts w:eastAsia="MS Mincho"/>
              </w:rPr>
            </w:pPr>
            <w:r>
              <w:rPr>
                <w:rFonts w:eastAsia="MS Mincho"/>
              </w:rPr>
              <w:t>Tonstad</w:t>
            </w:r>
          </w:p>
          <w:p w14:paraId="749FE0D7" w14:textId="7DE2921E" w:rsidR="00F45F4F" w:rsidRDefault="00F45F4F" w:rsidP="008078D4">
            <w:pPr>
              <w:pStyle w:val="Tablewriting"/>
              <w:keepNext/>
              <w:rPr>
                <w:rFonts w:eastAsia="MS Mincho"/>
              </w:rPr>
            </w:pPr>
            <w:r>
              <w:rPr>
                <w:rFonts w:eastAsia="MS Mincho"/>
              </w:rPr>
              <w:t>(2006)</w:t>
            </w:r>
            <w:hyperlink w:anchor="_ENREF_39" w:tooltip="Tonstad, 2006 #611" w:history="1">
              <w:r w:rsidR="0039468B">
                <w:rPr>
                  <w:rFonts w:eastAsia="MS Mincho"/>
                </w:rPr>
                <w:fldChar w:fldCharType="begin"/>
              </w:r>
              <w:r w:rsidR="0039468B">
                <w:rPr>
                  <w:rFonts w:eastAsia="MS Mincho"/>
                </w:rPr>
                <w:instrText xml:space="preserve"> ADDIN EN.CITE &lt;EndNote&gt;&lt;Cite&gt;&lt;Author&gt;Tonstad&lt;/Author&gt;&lt;Year&gt;2006&lt;/Year&gt;&lt;RecNum&gt;611&lt;/RecNum&gt;&lt;DisplayText&gt;&lt;style face="superscript"&gt;39&lt;/style&gt;&lt;/DisplayText&gt;&lt;record&gt;&lt;rec-number&gt;611&lt;/rec-number&gt;&lt;foreign-keys&gt;&lt;key app="EN" db-id="2xwa055rhevv2yef5v75fepy2azsv0xvx9w9" timestamp="1603777504"&gt;611&lt;/key&gt;&lt;/foreign-keys&gt;&lt;ref-type name="Journal Article"&gt;17&lt;/ref-type&gt;&lt;contributors&gt;&lt;authors&gt;&lt;author&gt;Tonstad, S.&lt;/author&gt;&lt;author&gt;Tonnesen, P.&lt;/author&gt;&lt;author&gt;Hajek, P.&lt;/author&gt;&lt;author&gt;Williams, K. E.&lt;/author&gt;&lt;author&gt;Billing, C. B.&lt;/author&gt;&lt;author&gt;Reeves, K. R.&lt;/author&gt;&lt;author&gt;Varenicline Phase 3 Study, Group&lt;/author&gt;&lt;/authors&gt;&lt;/contributors&gt;&lt;auth-address&gt;Department of Preventive Cardiology, Ulleval University Hospital, and University of Oslo, Oslo, Norway. serena.tonstad@uus.no&lt;/auth-address&gt;&lt;titles&gt;&lt;title&gt;Effect of maintenance therapy with varenicline on smoking cessation: a randomized controlled trial&lt;/title&gt;&lt;secondary-title&gt;JAMA&lt;/secondary-title&gt;&lt;/titles&gt;&lt;periodical&gt;&lt;full-title&gt;JAMA&lt;/full-title&gt;&lt;/periodical&gt;&lt;pages&gt;64-71&lt;/pages&gt;&lt;volume&gt;296&lt;/volume&gt;&lt;number&gt;1&lt;/number&gt;&lt;edition&gt;2006/07/06&lt;/edition&gt;&lt;keywords&gt;&lt;keyword&gt;Adult&lt;/keyword&gt;&lt;keyword&gt;Benzazepines/*therapeutic use&lt;/keyword&gt;&lt;keyword&gt;Double-Blind Method&lt;/keyword&gt;&lt;keyword&gt;Female&lt;/keyword&gt;&lt;keyword&gt;Humans&lt;/keyword&gt;&lt;keyword&gt;Male&lt;/keyword&gt;&lt;keyword&gt;Middle Aged&lt;/keyword&gt;&lt;keyword&gt;Nicotinic Agonists/*therapeutic use&lt;/keyword&gt;&lt;keyword&gt;Quinoxalines/*therapeutic use&lt;/keyword&gt;&lt;keyword&gt;Receptors, Nicotinic&lt;/keyword&gt;&lt;keyword&gt;*Smoking Cessation&lt;/keyword&gt;&lt;keyword&gt;Varenicline&lt;/keyword&gt;&lt;/keywords&gt;&lt;dates&gt;&lt;year&gt;2006&lt;/year&gt;&lt;pub-dates&gt;&lt;date&gt;Jul 5&lt;/date&gt;&lt;/pub-dates&gt;&lt;/dates&gt;&lt;isbn&gt;1538-3598 (Electronic)&amp;#xD;0098-7484 (Linking)&lt;/isbn&gt;&lt;accession-num&gt;16820548&lt;/accession-num&gt;&lt;urls&gt;&lt;related-urls&gt;&lt;url&gt;https://www.ncbi.nlm.nih.gov/pubmed/16820548&lt;/url&gt;&lt;/related-urls&gt;&lt;/urls&gt;&lt;electronic-resource-num&gt;10.1001/jama.296.1.64&lt;/electronic-resource-num&gt;&lt;/record&gt;&lt;/Cite&gt;&lt;/EndNote&gt;</w:instrText>
              </w:r>
              <w:r w:rsidR="0039468B">
                <w:rPr>
                  <w:rFonts w:eastAsia="MS Mincho"/>
                </w:rPr>
                <w:fldChar w:fldCharType="separate"/>
              </w:r>
              <w:r w:rsidR="0039468B" w:rsidRPr="00693911">
                <w:rPr>
                  <w:rFonts w:eastAsia="MS Mincho"/>
                  <w:noProof/>
                  <w:vertAlign w:val="superscript"/>
                </w:rPr>
                <w:t>39</w:t>
              </w:r>
              <w:r w:rsidR="0039468B">
                <w:rPr>
                  <w:rFonts w:eastAsia="MS Mincho"/>
                </w:rPr>
                <w:fldChar w:fldCharType="end"/>
              </w:r>
            </w:hyperlink>
          </w:p>
        </w:tc>
        <w:tc>
          <w:tcPr>
            <w:tcW w:w="4434" w:type="pct"/>
            <w:shd w:val="clear" w:color="auto" w:fill="D9D9D9" w:themeFill="background1" w:themeFillShade="D9"/>
          </w:tcPr>
          <w:p w14:paraId="34819CBB" w14:textId="66ACD5ED" w:rsidR="007401AE" w:rsidRPr="003B6CC8" w:rsidRDefault="007A6C7D" w:rsidP="008078D4">
            <w:pPr>
              <w:pStyle w:val="Tablewriting"/>
              <w:keepNext/>
              <w:rPr>
                <w:rFonts w:eastAsia="MS Mincho"/>
              </w:rPr>
            </w:pPr>
            <w:r w:rsidRPr="007A6C7D">
              <w:rPr>
                <w:rFonts w:eastAsia="MS Mincho"/>
              </w:rPr>
              <w:t>Tonstad S, Tønnesen P, Hajek P, Williams KE, Billing CB, Reeves KR; Varenicline Phase 3 Study Group. Effect of maintenance therapy with varenicline on smoking cessation: a randomized controlled trial. JAMA. 2006 Jul 5;296(1):64-71.</w:t>
            </w:r>
          </w:p>
        </w:tc>
      </w:tr>
      <w:tr w:rsidR="00324959" w:rsidRPr="00061F78" w14:paraId="4979731C" w14:textId="77777777" w:rsidTr="0071295C">
        <w:trPr>
          <w:cantSplit/>
          <w:trHeight w:val="164"/>
        </w:trPr>
        <w:tc>
          <w:tcPr>
            <w:tcW w:w="566" w:type="pct"/>
            <w:tcMar>
              <w:left w:w="28" w:type="dxa"/>
              <w:right w:w="28" w:type="dxa"/>
            </w:tcMar>
          </w:tcPr>
          <w:p w14:paraId="55389D31" w14:textId="780C84FA" w:rsidR="007401AE" w:rsidRPr="00D07303" w:rsidRDefault="004212B9" w:rsidP="008078D4">
            <w:pPr>
              <w:pStyle w:val="Tablewriting"/>
              <w:keepNext/>
              <w:rPr>
                <w:rFonts w:eastAsia="MS Mincho"/>
                <w:vertAlign w:val="superscript"/>
              </w:rPr>
            </w:pPr>
            <w:r>
              <w:rPr>
                <w:rFonts w:eastAsia="MS Mincho"/>
              </w:rPr>
              <w:t>Livingstone-Banks</w:t>
            </w:r>
            <w:r w:rsidR="007401AE">
              <w:rPr>
                <w:rFonts w:eastAsia="MS Mincho"/>
              </w:rPr>
              <w:t xml:space="preserve"> (201</w:t>
            </w:r>
            <w:r>
              <w:rPr>
                <w:rFonts w:eastAsia="MS Mincho"/>
              </w:rPr>
              <w:t>9</w:t>
            </w:r>
            <w:r w:rsidR="007401AE">
              <w:rPr>
                <w:rFonts w:eastAsia="MS Mincho"/>
              </w:rPr>
              <w:t>)</w:t>
            </w:r>
            <w:hyperlink w:anchor="_ENREF_40" w:tooltip="Livingstone-Banks, 2019 #627" w:history="1">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 </w:instrText>
              </w:r>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40</w:t>
              </w:r>
              <w:r w:rsidR="0039468B">
                <w:rPr>
                  <w:rFonts w:eastAsia="MS Mincho"/>
                </w:rPr>
                <w:fldChar w:fldCharType="end"/>
              </w:r>
            </w:hyperlink>
            <w:r w:rsidR="00322560" w:rsidRPr="00D07303">
              <w:rPr>
                <w:rFonts w:eastAsia="MS Mincho"/>
                <w:vertAlign w:val="superscript"/>
              </w:rPr>
              <w:t xml:space="preserve"> </w:t>
            </w:r>
          </w:p>
        </w:tc>
        <w:tc>
          <w:tcPr>
            <w:tcW w:w="4434" w:type="pct"/>
          </w:tcPr>
          <w:p w14:paraId="77F33D09" w14:textId="351FD7DA" w:rsidR="007401AE" w:rsidRDefault="00CE2EF9" w:rsidP="008078D4">
            <w:pPr>
              <w:pStyle w:val="Tablewriting"/>
              <w:keepNext/>
              <w:rPr>
                <w:rFonts w:eastAsia="MS Mincho"/>
              </w:rPr>
            </w:pPr>
            <w:r w:rsidRPr="00CE2EF9">
              <w:rPr>
                <w:rFonts w:eastAsia="MS Mincho"/>
              </w:rPr>
              <w:t>Livingstone‐</w:t>
            </w:r>
            <w:r w:rsidR="004C4EA7" w:rsidRPr="00CE2EF9">
              <w:rPr>
                <w:rFonts w:eastAsia="MS Mincho"/>
              </w:rPr>
              <w:t>Banks J</w:t>
            </w:r>
            <w:r w:rsidRPr="00CE2EF9">
              <w:rPr>
                <w:rFonts w:eastAsia="MS Mincho"/>
              </w:rPr>
              <w:t xml:space="preserve">, </w:t>
            </w:r>
            <w:r w:rsidR="004C4EA7" w:rsidRPr="00CE2EF9">
              <w:rPr>
                <w:rFonts w:eastAsia="MS Mincho"/>
              </w:rPr>
              <w:t>Norris E</w:t>
            </w:r>
            <w:r w:rsidRPr="00CE2EF9">
              <w:rPr>
                <w:rFonts w:eastAsia="MS Mincho"/>
              </w:rPr>
              <w:t>, Hartmann‐</w:t>
            </w:r>
            <w:r w:rsidR="004C4EA7" w:rsidRPr="00CE2EF9">
              <w:rPr>
                <w:rFonts w:eastAsia="MS Mincho"/>
              </w:rPr>
              <w:t>Boyce J</w:t>
            </w:r>
            <w:r w:rsidRPr="00CE2EF9">
              <w:rPr>
                <w:rFonts w:eastAsia="MS Mincho"/>
              </w:rPr>
              <w:t xml:space="preserve">, </w:t>
            </w:r>
            <w:r w:rsidR="004C4EA7" w:rsidRPr="00CE2EF9">
              <w:rPr>
                <w:rFonts w:eastAsia="MS Mincho"/>
              </w:rPr>
              <w:t>West R</w:t>
            </w:r>
            <w:r w:rsidRPr="00CE2EF9">
              <w:rPr>
                <w:rFonts w:eastAsia="MS Mincho"/>
              </w:rPr>
              <w:t xml:space="preserve">, </w:t>
            </w:r>
            <w:r w:rsidR="004C4EA7" w:rsidRPr="00CE2EF9">
              <w:rPr>
                <w:rFonts w:eastAsia="MS Mincho"/>
              </w:rPr>
              <w:t>Jarvis M</w:t>
            </w:r>
            <w:r w:rsidRPr="00CE2EF9">
              <w:rPr>
                <w:rFonts w:eastAsia="MS Mincho"/>
              </w:rPr>
              <w:t xml:space="preserve">, </w:t>
            </w:r>
            <w:r w:rsidR="004C4EA7" w:rsidRPr="00CE2EF9">
              <w:rPr>
                <w:rFonts w:eastAsia="MS Mincho"/>
              </w:rPr>
              <w:t>Hajek P.</w:t>
            </w:r>
            <w:r w:rsidRPr="00CE2EF9">
              <w:rPr>
                <w:rFonts w:eastAsia="MS Mincho"/>
              </w:rPr>
              <w:t xml:space="preserve"> Relapse prevention interventions for smoking cessation. Cochrane Database of Systematic Reviews 2019, Issue 2. Art. No.: CD003999.</w:t>
            </w:r>
          </w:p>
        </w:tc>
      </w:tr>
      <w:tr w:rsidR="00324959" w:rsidRPr="00061F78" w14:paraId="6389B220" w14:textId="77777777" w:rsidTr="0071295C">
        <w:trPr>
          <w:cantSplit/>
          <w:trHeight w:val="164"/>
        </w:trPr>
        <w:tc>
          <w:tcPr>
            <w:tcW w:w="566" w:type="pct"/>
            <w:tcMar>
              <w:left w:w="28" w:type="dxa"/>
              <w:right w:w="28" w:type="dxa"/>
            </w:tcMar>
          </w:tcPr>
          <w:p w14:paraId="59666833" w14:textId="1356633C" w:rsidR="00297534" w:rsidRDefault="00297534" w:rsidP="008078D4">
            <w:pPr>
              <w:pStyle w:val="Tablewriting"/>
              <w:keepNext/>
              <w:rPr>
                <w:rFonts w:eastAsia="MS Mincho"/>
              </w:rPr>
            </w:pPr>
            <w:r>
              <w:rPr>
                <w:rFonts w:eastAsia="MS Mincho"/>
              </w:rPr>
              <w:t>Schnoll</w:t>
            </w:r>
            <w:r w:rsidR="00395849">
              <w:rPr>
                <w:rFonts w:eastAsia="MS Mincho"/>
              </w:rPr>
              <w:t xml:space="preserve"> (2019)</w:t>
            </w:r>
            <w:hyperlink w:anchor="_ENREF_41" w:tooltip="Schnoll, 2019 #39" w:history="1">
              <w:r w:rsidR="0039468B">
                <w:rPr>
                  <w:rFonts w:eastAsia="MS Mincho"/>
                </w:rPr>
                <w:fldChar w:fldCharType="begin">
                  <w:fldData xml:space="preserve">PEVuZE5vdGU+PENpdGU+PEF1dGhvcj5TY2hub2xsPC9BdXRob3I+PFllYXI+MjAxOTwvWWVhcj48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PjxDaXRlPjxBdXRob3I+U2Nobm9sbDwvQXV0aG9yPjxZZWFyPjIwMTk8L1llYXI+PFJlY051bT4z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PEVuZE5vdGU+PENpdGU+PEF1dGhvcj5TY2hub2xsPC9BdXRob3I+PFllYXI+MjAxOTwvWWVhcj48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41</w:t>
              </w:r>
              <w:r w:rsidR="0039468B">
                <w:rPr>
                  <w:rFonts w:eastAsia="MS Mincho"/>
                </w:rPr>
                <w:fldChar w:fldCharType="end"/>
              </w:r>
            </w:hyperlink>
          </w:p>
        </w:tc>
        <w:tc>
          <w:tcPr>
            <w:tcW w:w="4434" w:type="pct"/>
          </w:tcPr>
          <w:p w14:paraId="48B85B0C" w14:textId="75710274" w:rsidR="00297534" w:rsidRPr="00CE2EF9" w:rsidRDefault="00743810" w:rsidP="008078D4">
            <w:pPr>
              <w:pStyle w:val="Tablewriting"/>
              <w:keepNext/>
              <w:rPr>
                <w:rFonts w:eastAsia="MS Mincho"/>
              </w:rPr>
            </w:pPr>
            <w:r w:rsidRPr="00743810">
              <w:rPr>
                <w:rFonts w:eastAsia="MS Mincho"/>
              </w:rPr>
              <w:t>Schnoll R, Leone F, Veluz-Wilkins A, Miele A, Hole A, Jao NC, Paul Wileyto E, Carroll AJ, Kalhan R, Patel J, Langer C, Lubitz SF, Hitsman B. A randomized controlled trial of 24 weeks of varenicline for tobacco use among cancer patients: Efficacy, safety, and adherence. Psychooncology. 2019 Mar;28(3):561-569</w:t>
            </w:r>
          </w:p>
        </w:tc>
      </w:tr>
    </w:tbl>
    <w:p w14:paraId="03831442" w14:textId="77777777" w:rsidR="00BB64D9" w:rsidRPr="00D14993" w:rsidRDefault="00BB64D9" w:rsidP="00EE1633">
      <w:pPr>
        <w:pStyle w:val="TableFooter"/>
        <w:keepNext/>
        <w:jc w:val="both"/>
      </w:pPr>
      <w:r w:rsidRPr="00061F78">
        <w:rPr>
          <w:highlight w:val="lightGray"/>
        </w:rPr>
        <w:t>Shaded</w:t>
      </w:r>
      <w:r w:rsidRPr="00061F78">
        <w:t xml:space="preserve"> = previously considered by the PBAC</w:t>
      </w:r>
    </w:p>
    <w:p w14:paraId="56ACD635" w14:textId="2E48CDAE" w:rsidR="00BB64D9" w:rsidRDefault="00BB64D9" w:rsidP="00EE1633">
      <w:pPr>
        <w:pStyle w:val="TableFooter"/>
        <w:keepNext/>
        <w:spacing w:after="120"/>
        <w:contextualSpacing w:val="0"/>
        <w:jc w:val="both"/>
      </w:pPr>
      <w:r>
        <w:t xml:space="preserve">Notes: </w:t>
      </w:r>
      <w:r w:rsidR="00BD2843">
        <w:t>Tonstad</w:t>
      </w:r>
      <w:r>
        <w:t xml:space="preserve"> et al. (2006) w</w:t>
      </w:r>
      <w:r w:rsidR="00BD2843">
        <w:t>as</w:t>
      </w:r>
      <w:r>
        <w:t xml:space="preserve"> considered at the </w:t>
      </w:r>
      <w:r w:rsidR="009136C5">
        <w:t>November</w:t>
      </w:r>
      <w:r>
        <w:t xml:space="preserve"> 200</w:t>
      </w:r>
      <w:r w:rsidR="009136C5">
        <w:t>9</w:t>
      </w:r>
      <w:r>
        <w:t xml:space="preserve"> PBAC meeting</w:t>
      </w:r>
      <w:r w:rsidR="009136C5">
        <w:t>.</w:t>
      </w:r>
    </w:p>
    <w:p w14:paraId="64256D91" w14:textId="69D41F73" w:rsidR="009F67CC" w:rsidRPr="009F67CC" w:rsidRDefault="00B932E4" w:rsidP="000B683C">
      <w:pPr>
        <w:spacing w:after="120"/>
        <w:jc w:val="both"/>
      </w:pPr>
      <w:r w:rsidRPr="00B932E4">
        <w:t xml:space="preserve">A summary of the characteristics of the studies comparing varenicline with placebo </w:t>
      </w:r>
      <w:r w:rsidR="00FC193A">
        <w:t xml:space="preserve">in abstainers for relapse prevention </w:t>
      </w:r>
      <w:r w:rsidRPr="00B932E4">
        <w:t xml:space="preserve">is presented in </w:t>
      </w:r>
      <w:r w:rsidR="00FC193A">
        <w:fldChar w:fldCharType="begin" w:fldLock="1"/>
      </w:r>
      <w:r w:rsidR="00FC193A">
        <w:instrText xml:space="preserve"> REF _Ref54782181 \h </w:instrText>
      </w:r>
      <w:r w:rsidR="000B683C">
        <w:instrText xml:space="preserve"> \* MERGEFORMAT </w:instrText>
      </w:r>
      <w:r w:rsidR="00FC193A">
        <w:fldChar w:fldCharType="separate"/>
      </w:r>
      <w:r w:rsidR="00EC5CC7">
        <w:t xml:space="preserve">Table </w:t>
      </w:r>
      <w:r w:rsidR="00EC5CC7">
        <w:rPr>
          <w:noProof/>
        </w:rPr>
        <w:t>33</w:t>
      </w:r>
      <w:r w:rsidR="00FC193A">
        <w:fldChar w:fldCharType="end"/>
      </w:r>
      <w:r w:rsidRPr="00B932E4">
        <w:t xml:space="preserve">. </w:t>
      </w:r>
      <w:r w:rsidR="00CA0239" w:rsidRPr="00CA0239">
        <w:t xml:space="preserve">A total of </w:t>
      </w:r>
      <w:r w:rsidR="00CA0239">
        <w:t>two</w:t>
      </w:r>
      <w:r w:rsidR="00CA0239" w:rsidRPr="00CA0239">
        <w:t xml:space="preserve"> RCTs comparing </w:t>
      </w:r>
      <w:r w:rsidR="00CA0239">
        <w:t>varenicline</w:t>
      </w:r>
      <w:r w:rsidR="00CA0239" w:rsidRPr="00CA0239">
        <w:t xml:space="preserve"> with placebo were identified by </w:t>
      </w:r>
      <w:r w:rsidR="00CA0239">
        <w:t>Livingstone-Banks</w:t>
      </w:r>
      <w:r w:rsidR="00CA0239" w:rsidRPr="00CA0239">
        <w:t xml:space="preserve"> et al. (20</w:t>
      </w:r>
      <w:r w:rsidR="00CA0239">
        <w:t>19</w:t>
      </w:r>
      <w:r w:rsidR="00CA0239" w:rsidRPr="00CA0239">
        <w:t xml:space="preserve">). </w:t>
      </w:r>
      <w:r w:rsidR="00FC193A">
        <w:t>O</w:t>
      </w:r>
      <w:r w:rsidR="00CA0239">
        <w:t>f these, o</w:t>
      </w:r>
      <w:r w:rsidR="00FC193A">
        <w:t xml:space="preserve">ne </w:t>
      </w:r>
      <w:r w:rsidR="00D8784F">
        <w:t>study</w:t>
      </w:r>
      <w:r w:rsidR="00FC193A">
        <w:t xml:space="preserve"> was</w:t>
      </w:r>
      <w:r w:rsidRPr="00B932E4">
        <w:t xml:space="preserve"> previously considered by the PBAC</w:t>
      </w:r>
      <w:r w:rsidR="00FC193A">
        <w:t xml:space="preserve"> (Tonstad et al. 2006)</w:t>
      </w:r>
      <w:r w:rsidRPr="00B932E4">
        <w:t xml:space="preserve">. The characteristics of the individual studies are presented in </w:t>
      </w:r>
      <w:r w:rsidRPr="00F65ABC">
        <w:t>Appendix</w:t>
      </w:r>
      <w:r w:rsidR="000B683C">
        <w:t xml:space="preserve"> Table 151</w:t>
      </w:r>
      <w:r w:rsidR="00FC193A">
        <w:t>.</w:t>
      </w:r>
    </w:p>
    <w:p w14:paraId="46FD0CD0" w14:textId="05A9A6B4" w:rsidR="000806F4" w:rsidRPr="009F67CC" w:rsidRDefault="000806F4" w:rsidP="000B683C">
      <w:pPr>
        <w:spacing w:after="120"/>
        <w:jc w:val="both"/>
      </w:pPr>
      <w:r>
        <w:t>Schnoll et al. (2019) was a</w:t>
      </w:r>
      <w:r w:rsidRPr="000806F4">
        <w:t xml:space="preserve"> placebo-controlled randomi</w:t>
      </w:r>
      <w:r>
        <w:t>s</w:t>
      </w:r>
      <w:r w:rsidRPr="000806F4">
        <w:t xml:space="preserve">ed trial </w:t>
      </w:r>
      <w:r w:rsidR="00A5403A">
        <w:t>comparing</w:t>
      </w:r>
      <w:r w:rsidRPr="000806F4">
        <w:t xml:space="preserve"> 12 weeks of varenicline plus 12 weeks of placebo v</w:t>
      </w:r>
      <w:r w:rsidR="00CD0B33">
        <w:t>ersus</w:t>
      </w:r>
      <w:r w:rsidRPr="000806F4">
        <w:t xml:space="preserve"> 24 weeks of varenicline </w:t>
      </w:r>
      <w:r w:rsidR="00CD0B33">
        <w:t>in</w:t>
      </w:r>
      <w:r w:rsidRPr="000806F4">
        <w:t xml:space="preserve"> treatment-seeking cancer patients who smoke</w:t>
      </w:r>
      <w:r w:rsidR="00862E17">
        <w:t>d</w:t>
      </w:r>
      <w:r w:rsidRPr="000806F4">
        <w:t xml:space="preserve"> (N=207).</w:t>
      </w:r>
      <w:r w:rsidR="009B6B3A">
        <w:t xml:space="preserve"> </w:t>
      </w:r>
      <w:r w:rsidR="003309CF">
        <w:t xml:space="preserve">In this study, patients were not </w:t>
      </w:r>
      <w:r w:rsidR="00E97DAE">
        <w:t xml:space="preserve">required to </w:t>
      </w:r>
      <w:r w:rsidR="00A90059">
        <w:t>have successfully abstained</w:t>
      </w:r>
      <w:r w:rsidR="00E97DAE">
        <w:t xml:space="preserve"> at 12 weeks to receive another 12 weeks of</w:t>
      </w:r>
      <w:r w:rsidR="000A6FEB">
        <w:t xml:space="preserve"> varenicline</w:t>
      </w:r>
      <w:r w:rsidR="005412CF">
        <w:t xml:space="preserve"> or placebo</w:t>
      </w:r>
      <w:r w:rsidR="00E97DAE">
        <w:t xml:space="preserve"> treatment.</w:t>
      </w:r>
      <w:r w:rsidR="008D6462">
        <w:t xml:space="preserve"> As such, both arms of the study may</w:t>
      </w:r>
      <w:r w:rsidR="00862E17">
        <w:t xml:space="preserve"> have</w:t>
      </w:r>
      <w:r w:rsidR="008D6462">
        <w:t xml:space="preserve"> include</w:t>
      </w:r>
      <w:r w:rsidR="00862E17">
        <w:t>d</w:t>
      </w:r>
      <w:r w:rsidR="008D6462">
        <w:t xml:space="preserve"> both abstainer</w:t>
      </w:r>
      <w:r w:rsidR="00826CB5">
        <w:t>s</w:t>
      </w:r>
      <w:r w:rsidR="008D6462">
        <w:t xml:space="preserve"> and non-abstainer</w:t>
      </w:r>
      <w:r w:rsidR="00826CB5">
        <w:t>s</w:t>
      </w:r>
      <w:r w:rsidR="0037789D">
        <w:t xml:space="preserve"> after receiving 12 weeks of varenicline treatment</w:t>
      </w:r>
      <w:r w:rsidR="008D6462">
        <w:t>.</w:t>
      </w:r>
    </w:p>
    <w:p w14:paraId="1C2C9701" w14:textId="77777777" w:rsidR="00F20770" w:rsidRDefault="00F20770" w:rsidP="003B4B27"/>
    <w:p w14:paraId="46813264" w14:textId="77777777" w:rsidR="000970B9" w:rsidRDefault="000970B9" w:rsidP="003B4B27">
      <w:pPr>
        <w:sectPr w:rsidR="000970B9" w:rsidSect="006356D2">
          <w:pgSz w:w="11906" w:h="16838"/>
          <w:pgMar w:top="1440" w:right="1440" w:bottom="1440" w:left="1440" w:header="708" w:footer="708" w:gutter="0"/>
          <w:cols w:space="708"/>
          <w:titlePg/>
          <w:docGrid w:linePitch="360"/>
        </w:sectPr>
      </w:pPr>
    </w:p>
    <w:p w14:paraId="7223710A" w14:textId="7AB6E25C" w:rsidR="00C3237A" w:rsidRDefault="00C3237A" w:rsidP="00EE1633">
      <w:pPr>
        <w:pStyle w:val="Caption"/>
        <w:keepNext/>
        <w:spacing w:before="0" w:after="120"/>
        <w:jc w:val="both"/>
      </w:pPr>
      <w:bookmarkStart w:id="78" w:name="_Ref54782181"/>
      <w:r>
        <w:lastRenderedPageBreak/>
        <w:t xml:space="preserve">Table </w:t>
      </w:r>
      <w:r w:rsidR="00BF3F75">
        <w:fldChar w:fldCharType="begin"/>
      </w:r>
      <w:r w:rsidR="00BF3F75">
        <w:instrText xml:space="preserve"> SEQ Table \* ARABIC </w:instrText>
      </w:r>
      <w:r w:rsidR="00BF3F75">
        <w:fldChar w:fldCharType="separate"/>
      </w:r>
      <w:r w:rsidR="00EC5CC7">
        <w:rPr>
          <w:noProof/>
        </w:rPr>
        <w:t>33</w:t>
      </w:r>
      <w:r w:rsidR="00BF3F75">
        <w:rPr>
          <w:noProof/>
        </w:rPr>
        <w:fldChar w:fldCharType="end"/>
      </w:r>
      <w:bookmarkEnd w:id="78"/>
      <w:r>
        <w:t xml:space="preserve">: </w:t>
      </w:r>
      <w:r w:rsidRPr="003F5487">
        <w:t>Characteristics of the studies comparing varenicline with placebo</w:t>
      </w:r>
      <w:r w:rsidR="00555061">
        <w:t xml:space="preserve"> </w:t>
      </w:r>
      <w:r w:rsidR="00555061" w:rsidRPr="00555061">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1075"/>
        <w:gridCol w:w="967"/>
        <w:gridCol w:w="5181"/>
        <w:gridCol w:w="2305"/>
        <w:gridCol w:w="3382"/>
      </w:tblGrid>
      <w:tr w:rsidR="00260CD7" w:rsidRPr="00061F78" w14:paraId="5987B1D5" w14:textId="77777777" w:rsidTr="00C3237A">
        <w:trPr>
          <w:trHeight w:val="299"/>
          <w:tblHeader/>
        </w:trPr>
        <w:tc>
          <w:tcPr>
            <w:tcW w:w="371" w:type="pct"/>
            <w:shd w:val="clear" w:color="auto" w:fill="BFBFBF" w:themeFill="background1" w:themeFillShade="BF"/>
            <w:tcMar>
              <w:left w:w="28" w:type="dxa"/>
              <w:right w:w="28" w:type="dxa"/>
            </w:tcMar>
          </w:tcPr>
          <w:p w14:paraId="222D90E2" w14:textId="3991C84C" w:rsidR="000970B9" w:rsidRPr="00061F78" w:rsidRDefault="00126B7B" w:rsidP="00576F26">
            <w:pPr>
              <w:pStyle w:val="Tableheading"/>
              <w:rPr>
                <w:rFonts w:eastAsia="MS Mincho"/>
              </w:rPr>
            </w:pPr>
            <w:r>
              <w:rPr>
                <w:rFonts w:eastAsia="MS Mincho"/>
              </w:rPr>
              <w:t>Study</w:t>
            </w:r>
          </w:p>
        </w:tc>
        <w:tc>
          <w:tcPr>
            <w:tcW w:w="386" w:type="pct"/>
            <w:shd w:val="clear" w:color="auto" w:fill="BFBFBF" w:themeFill="background1" w:themeFillShade="BF"/>
          </w:tcPr>
          <w:p w14:paraId="491BEE8A" w14:textId="77777777" w:rsidR="000970B9" w:rsidRDefault="000970B9" w:rsidP="00576F26">
            <w:pPr>
              <w:pStyle w:val="Tableheading"/>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14:paraId="4F9B0610" w14:textId="77777777" w:rsidR="000970B9" w:rsidRPr="00AE21E9" w:rsidRDefault="000970B9" w:rsidP="00576F26">
            <w:pPr>
              <w:pStyle w:val="Tableheading"/>
              <w:jc w:val="center"/>
              <w:rPr>
                <w:rFonts w:eastAsia="MS Mincho"/>
                <w:vertAlign w:val="superscript"/>
              </w:rPr>
            </w:pPr>
            <w:r>
              <w:rPr>
                <w:rFonts w:eastAsia="MS Mincho"/>
              </w:rPr>
              <w:t>N</w:t>
            </w:r>
            <w:r>
              <w:rPr>
                <w:rFonts w:eastAsia="MS Mincho"/>
                <w:vertAlign w:val="superscript"/>
              </w:rPr>
              <w:t>1</w:t>
            </w:r>
          </w:p>
        </w:tc>
        <w:tc>
          <w:tcPr>
            <w:tcW w:w="1858" w:type="pct"/>
            <w:shd w:val="clear" w:color="auto" w:fill="BFBFBF" w:themeFill="background1" w:themeFillShade="BF"/>
            <w:tcMar>
              <w:left w:w="28" w:type="dxa"/>
              <w:right w:w="28" w:type="dxa"/>
            </w:tcMar>
          </w:tcPr>
          <w:p w14:paraId="09447D2A" w14:textId="77777777" w:rsidR="000970B9" w:rsidRPr="00061F78" w:rsidRDefault="000970B9" w:rsidP="00576F26">
            <w:pPr>
              <w:pStyle w:val="Tableheading"/>
              <w:jc w:val="center"/>
              <w:rPr>
                <w:rFonts w:eastAsia="MS Mincho"/>
              </w:rPr>
            </w:pPr>
            <w:r w:rsidRPr="00061F78">
              <w:rPr>
                <w:rFonts w:eastAsia="MS Mincho"/>
              </w:rPr>
              <w:t>P</w:t>
            </w:r>
            <w:r>
              <w:rPr>
                <w:rFonts w:eastAsia="MS Mincho"/>
              </w:rPr>
              <w:t>opulation</w:t>
            </w:r>
          </w:p>
        </w:tc>
        <w:tc>
          <w:tcPr>
            <w:tcW w:w="827" w:type="pct"/>
            <w:shd w:val="clear" w:color="auto" w:fill="BFBFBF" w:themeFill="background1" w:themeFillShade="BF"/>
          </w:tcPr>
          <w:p w14:paraId="23827692" w14:textId="77777777" w:rsidR="000970B9" w:rsidRDefault="000970B9" w:rsidP="00576F26">
            <w:pPr>
              <w:pStyle w:val="Tableheading"/>
              <w:jc w:val="center"/>
              <w:rPr>
                <w:rFonts w:eastAsia="MS Mincho"/>
              </w:rPr>
            </w:pPr>
            <w:r>
              <w:rPr>
                <w:rFonts w:eastAsia="MS Mincho"/>
              </w:rPr>
              <w:t>Intervention and comparator</w:t>
            </w:r>
          </w:p>
        </w:tc>
        <w:tc>
          <w:tcPr>
            <w:tcW w:w="1213" w:type="pct"/>
            <w:shd w:val="clear" w:color="auto" w:fill="BFBFBF" w:themeFill="background1" w:themeFillShade="BF"/>
            <w:tcMar>
              <w:left w:w="28" w:type="dxa"/>
              <w:right w:w="28" w:type="dxa"/>
            </w:tcMar>
          </w:tcPr>
          <w:p w14:paraId="5F0B8F5C" w14:textId="77777777" w:rsidR="000970B9" w:rsidRPr="00061F78" w:rsidRDefault="000970B9" w:rsidP="00576F26">
            <w:pPr>
              <w:pStyle w:val="Tableheading"/>
              <w:jc w:val="center"/>
              <w:rPr>
                <w:rFonts w:eastAsia="MS Mincho"/>
              </w:rPr>
            </w:pPr>
            <w:r>
              <w:rPr>
                <w:rFonts w:eastAsia="MS Mincho"/>
              </w:rPr>
              <w:t>Outcomes</w:t>
            </w:r>
          </w:p>
        </w:tc>
      </w:tr>
      <w:tr w:rsidR="00260CD7" w:rsidRPr="00061F78" w14:paraId="429F8725" w14:textId="77777777" w:rsidTr="00015CD6">
        <w:trPr>
          <w:trHeight w:val="99"/>
        </w:trPr>
        <w:tc>
          <w:tcPr>
            <w:tcW w:w="371" w:type="pct"/>
            <w:shd w:val="clear" w:color="auto" w:fill="D9D9D9" w:themeFill="background1" w:themeFillShade="D9"/>
            <w:tcMar>
              <w:left w:w="28" w:type="dxa"/>
              <w:right w:w="28" w:type="dxa"/>
            </w:tcMar>
          </w:tcPr>
          <w:p w14:paraId="1E25C9EB" w14:textId="77777777" w:rsidR="000970B9" w:rsidRDefault="000970B9" w:rsidP="00576F26">
            <w:pPr>
              <w:pStyle w:val="Tablewriting"/>
              <w:rPr>
                <w:rFonts w:eastAsia="MS Mincho"/>
              </w:rPr>
            </w:pPr>
            <w:r>
              <w:rPr>
                <w:rFonts w:eastAsia="MS Mincho"/>
              </w:rPr>
              <w:t>Tonstad</w:t>
            </w:r>
          </w:p>
          <w:p w14:paraId="2B6E363F" w14:textId="0C2F46C6" w:rsidR="000970B9" w:rsidRDefault="000970B9" w:rsidP="00576F26">
            <w:pPr>
              <w:pStyle w:val="Tablewriting"/>
              <w:rPr>
                <w:rFonts w:eastAsia="MS Mincho"/>
              </w:rPr>
            </w:pPr>
            <w:r>
              <w:rPr>
                <w:rFonts w:eastAsia="MS Mincho"/>
              </w:rPr>
              <w:t>(2006)</w:t>
            </w:r>
          </w:p>
        </w:tc>
        <w:tc>
          <w:tcPr>
            <w:tcW w:w="386" w:type="pct"/>
            <w:shd w:val="clear" w:color="auto" w:fill="D9D9D9" w:themeFill="background1" w:themeFillShade="D9"/>
          </w:tcPr>
          <w:p w14:paraId="3E23CD87" w14:textId="77777777" w:rsidR="000970B9" w:rsidRDefault="000970B9" w:rsidP="00576F26">
            <w:pPr>
              <w:pStyle w:val="Tablewriting"/>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7E90882F" w14:textId="44BB310F" w:rsidR="000970B9" w:rsidRDefault="000970B9" w:rsidP="00576F26">
            <w:pPr>
              <w:pStyle w:val="Tablewriting"/>
              <w:rPr>
                <w:rFonts w:eastAsia="MS Mincho"/>
              </w:rPr>
            </w:pPr>
            <w:r>
              <w:rPr>
                <w:rFonts w:eastAsia="MS Mincho"/>
              </w:rPr>
              <w:t>N=1</w:t>
            </w:r>
            <w:r w:rsidR="005814A2">
              <w:rPr>
                <w:rFonts w:eastAsia="MS Mincho"/>
              </w:rPr>
              <w:t>,210</w:t>
            </w:r>
          </w:p>
          <w:p w14:paraId="09C5729B" w14:textId="31216DE7" w:rsidR="000970B9" w:rsidRDefault="000970B9" w:rsidP="00576F26">
            <w:pPr>
              <w:pStyle w:val="Tablewriting"/>
              <w:rPr>
                <w:rFonts w:eastAsia="MS Mincho"/>
              </w:rPr>
            </w:pPr>
            <w:r>
              <w:rPr>
                <w:rFonts w:eastAsia="MS Mincho"/>
              </w:rPr>
              <w:t>Varenicline (n=</w:t>
            </w:r>
            <w:r w:rsidR="005814A2">
              <w:rPr>
                <w:rFonts w:eastAsia="MS Mincho"/>
              </w:rPr>
              <w:t>603</w:t>
            </w:r>
            <w:r>
              <w:rPr>
                <w:rFonts w:eastAsia="MS Mincho"/>
              </w:rPr>
              <w:t>), Placebo (n=</w:t>
            </w:r>
            <w:r w:rsidR="005814A2">
              <w:rPr>
                <w:rFonts w:eastAsia="MS Mincho"/>
              </w:rPr>
              <w:t>607</w:t>
            </w:r>
            <w:r>
              <w:rPr>
                <w:rFonts w:eastAsia="MS Mincho"/>
              </w:rPr>
              <w:t>)</w:t>
            </w:r>
          </w:p>
        </w:tc>
        <w:tc>
          <w:tcPr>
            <w:tcW w:w="1858" w:type="pct"/>
            <w:shd w:val="clear" w:color="auto" w:fill="D9D9D9" w:themeFill="background1" w:themeFillShade="D9"/>
            <w:tcMar>
              <w:left w:w="28" w:type="dxa"/>
              <w:right w:w="28" w:type="dxa"/>
            </w:tcMar>
          </w:tcPr>
          <w:p w14:paraId="76CA5DC7" w14:textId="3606BA52" w:rsidR="000970B9" w:rsidRDefault="000970B9" w:rsidP="00576F26">
            <w:pPr>
              <w:pStyle w:val="Tablewriting"/>
              <w:rPr>
                <w:rFonts w:eastAsia="MS Mincho"/>
              </w:rPr>
            </w:pPr>
            <w:r w:rsidRPr="007F28D7">
              <w:rPr>
                <w:rFonts w:eastAsia="MS Mincho"/>
                <w:u w:val="single"/>
              </w:rPr>
              <w:t>Inclusion</w:t>
            </w:r>
            <w:r>
              <w:rPr>
                <w:rFonts w:eastAsia="MS Mincho"/>
              </w:rPr>
              <w:t xml:space="preserve">: </w:t>
            </w:r>
            <w:r w:rsidR="005814A2">
              <w:rPr>
                <w:rFonts w:eastAsia="MS Mincho"/>
              </w:rPr>
              <w:t>18-75 years</w:t>
            </w:r>
            <w:r w:rsidR="005814A2" w:rsidRPr="005814A2">
              <w:rPr>
                <w:rFonts w:eastAsia="MS Mincho"/>
              </w:rPr>
              <w:t xml:space="preserve"> </w:t>
            </w:r>
            <w:r w:rsidR="00B45ECB">
              <w:rPr>
                <w:rFonts w:eastAsia="MS Mincho"/>
              </w:rPr>
              <w:t xml:space="preserve">old, </w:t>
            </w:r>
            <w:r w:rsidR="00B45ECB">
              <w:rPr>
                <w:rFonts w:eastAsia="MS Mincho" w:cstheme="minorHAnsi"/>
              </w:rPr>
              <w:t>≥</w:t>
            </w:r>
            <w:r w:rsidR="005814A2" w:rsidRPr="005814A2">
              <w:rPr>
                <w:rFonts w:eastAsia="MS Mincho"/>
              </w:rPr>
              <w:t>10 cigarettes per day</w:t>
            </w:r>
            <w:r w:rsidR="005814A2">
              <w:rPr>
                <w:rFonts w:eastAsia="MS Mincho"/>
              </w:rPr>
              <w:t xml:space="preserve"> </w:t>
            </w:r>
            <w:r w:rsidR="005814A2" w:rsidRPr="005814A2">
              <w:rPr>
                <w:rFonts w:eastAsia="MS Mincho"/>
              </w:rPr>
              <w:t>during the past year and over the month</w:t>
            </w:r>
            <w:r w:rsidR="005814A2">
              <w:rPr>
                <w:rFonts w:eastAsia="MS Mincho"/>
              </w:rPr>
              <w:t xml:space="preserve"> </w:t>
            </w:r>
            <w:r w:rsidR="005814A2" w:rsidRPr="005814A2">
              <w:rPr>
                <w:rFonts w:eastAsia="MS Mincho"/>
              </w:rPr>
              <w:t>prior to the screening visit with no period</w:t>
            </w:r>
            <w:r w:rsidR="005814A2">
              <w:rPr>
                <w:rFonts w:eastAsia="MS Mincho"/>
              </w:rPr>
              <w:t xml:space="preserve"> </w:t>
            </w:r>
            <w:r w:rsidR="005814A2" w:rsidRPr="005814A2">
              <w:rPr>
                <w:rFonts w:eastAsia="MS Mincho"/>
              </w:rPr>
              <w:t>of abstinence longer than 3 months</w:t>
            </w:r>
            <w:r w:rsidR="005814A2">
              <w:rPr>
                <w:rFonts w:eastAsia="MS Mincho"/>
              </w:rPr>
              <w:t xml:space="preserve"> </w:t>
            </w:r>
            <w:r w:rsidR="005814A2" w:rsidRPr="005814A2">
              <w:rPr>
                <w:rFonts w:eastAsia="MS Mincho"/>
              </w:rPr>
              <w:t>in the past year</w:t>
            </w:r>
            <w:r w:rsidR="00BB5E7F">
              <w:rPr>
                <w:rFonts w:eastAsia="MS Mincho"/>
              </w:rPr>
              <w:t>,</w:t>
            </w:r>
            <w:r w:rsidR="005814A2" w:rsidRPr="005814A2">
              <w:rPr>
                <w:rFonts w:eastAsia="MS Mincho"/>
              </w:rPr>
              <w:t xml:space="preserve"> motivated</w:t>
            </w:r>
            <w:r w:rsidR="005814A2">
              <w:rPr>
                <w:rFonts w:eastAsia="MS Mincho"/>
              </w:rPr>
              <w:t xml:space="preserve"> </w:t>
            </w:r>
            <w:r w:rsidR="005814A2" w:rsidRPr="005814A2">
              <w:rPr>
                <w:rFonts w:eastAsia="MS Mincho"/>
              </w:rPr>
              <w:t>to quit.</w:t>
            </w:r>
          </w:p>
          <w:p w14:paraId="0B3FCA7E" w14:textId="6974FAE2" w:rsidR="000970B9" w:rsidRPr="00061F78" w:rsidRDefault="000970B9" w:rsidP="00576F26">
            <w:pPr>
              <w:pStyle w:val="Tablewriting"/>
              <w:rPr>
                <w:rFonts w:eastAsia="MS Mincho"/>
              </w:rPr>
            </w:pPr>
            <w:r w:rsidRPr="007F28D7">
              <w:rPr>
                <w:rFonts w:eastAsia="MS Mincho"/>
                <w:u w:val="single"/>
              </w:rPr>
              <w:t>Exclusion</w:t>
            </w:r>
            <w:r>
              <w:rPr>
                <w:rFonts w:eastAsia="MS Mincho"/>
              </w:rPr>
              <w:t xml:space="preserve">: </w:t>
            </w:r>
            <w:r w:rsidR="005814A2" w:rsidRPr="005814A2">
              <w:rPr>
                <w:rFonts w:eastAsia="MS Mincho"/>
              </w:rPr>
              <w:t>serious or unstable disease within the</w:t>
            </w:r>
            <w:r w:rsidR="00824735">
              <w:rPr>
                <w:rFonts w:eastAsia="MS Mincho"/>
              </w:rPr>
              <w:t xml:space="preserve"> </w:t>
            </w:r>
            <w:r w:rsidR="005814A2" w:rsidRPr="005814A2">
              <w:rPr>
                <w:rFonts w:eastAsia="MS Mincho"/>
              </w:rPr>
              <w:t>past 6 months</w:t>
            </w:r>
            <w:r w:rsidR="00BB5E7F">
              <w:rPr>
                <w:rFonts w:eastAsia="MS Mincho"/>
              </w:rPr>
              <w:t>,</w:t>
            </w:r>
            <w:r w:rsidR="005814A2" w:rsidRPr="005814A2">
              <w:rPr>
                <w:rFonts w:eastAsia="MS Mincho"/>
              </w:rPr>
              <w:t xml:space="preserve"> required treatment for</w:t>
            </w:r>
            <w:r w:rsidR="00824735">
              <w:rPr>
                <w:rFonts w:eastAsia="MS Mincho"/>
              </w:rPr>
              <w:t xml:space="preserve"> </w:t>
            </w:r>
            <w:r w:rsidR="005814A2" w:rsidRPr="005814A2">
              <w:rPr>
                <w:rFonts w:eastAsia="MS Mincho"/>
              </w:rPr>
              <w:t>depression within the past 12 months</w:t>
            </w:r>
            <w:r w:rsidR="00BB5E7F">
              <w:rPr>
                <w:rFonts w:eastAsia="MS Mincho"/>
              </w:rPr>
              <w:t>,</w:t>
            </w:r>
            <w:r w:rsidR="00824735">
              <w:rPr>
                <w:rFonts w:eastAsia="MS Mincho"/>
              </w:rPr>
              <w:t xml:space="preserve"> </w:t>
            </w:r>
            <w:r w:rsidR="005814A2" w:rsidRPr="005814A2">
              <w:rPr>
                <w:rFonts w:eastAsia="MS Mincho"/>
              </w:rPr>
              <w:t>a history of or current panic disorder,</w:t>
            </w:r>
            <w:r w:rsidR="00824735">
              <w:rPr>
                <w:rFonts w:eastAsia="MS Mincho"/>
              </w:rPr>
              <w:t xml:space="preserve"> </w:t>
            </w:r>
            <w:r w:rsidR="005814A2" w:rsidRPr="005814A2">
              <w:rPr>
                <w:rFonts w:eastAsia="MS Mincho"/>
              </w:rPr>
              <w:t>psychosis, or bipolar disorder</w:t>
            </w:r>
            <w:r w:rsidR="00BB5E7F">
              <w:rPr>
                <w:rFonts w:eastAsia="MS Mincho"/>
              </w:rPr>
              <w:t>,</w:t>
            </w:r>
            <w:r w:rsidR="00824735">
              <w:rPr>
                <w:rFonts w:eastAsia="MS Mincho"/>
              </w:rPr>
              <w:t xml:space="preserve"> </w:t>
            </w:r>
            <w:r w:rsidR="005814A2" w:rsidRPr="005814A2">
              <w:rPr>
                <w:rFonts w:eastAsia="MS Mincho"/>
              </w:rPr>
              <w:t xml:space="preserve">severe </w:t>
            </w:r>
            <w:r w:rsidR="00BB5E7F">
              <w:rPr>
                <w:rFonts w:eastAsia="MS Mincho"/>
              </w:rPr>
              <w:t>COPD</w:t>
            </w:r>
            <w:r w:rsidR="005814A2" w:rsidRPr="005814A2">
              <w:rPr>
                <w:rFonts w:eastAsia="MS Mincho"/>
              </w:rPr>
              <w:t>, a history of cancer, evidence</w:t>
            </w:r>
            <w:r w:rsidR="00824735">
              <w:rPr>
                <w:rFonts w:eastAsia="MS Mincho"/>
              </w:rPr>
              <w:t xml:space="preserve"> </w:t>
            </w:r>
            <w:r w:rsidR="005814A2" w:rsidRPr="005814A2">
              <w:rPr>
                <w:rFonts w:eastAsia="MS Mincho"/>
              </w:rPr>
              <w:t>or history of clinically significant</w:t>
            </w:r>
            <w:r w:rsidR="00824735">
              <w:rPr>
                <w:rFonts w:eastAsia="MS Mincho"/>
              </w:rPr>
              <w:t xml:space="preserve"> </w:t>
            </w:r>
            <w:r w:rsidR="005814A2" w:rsidRPr="005814A2">
              <w:rPr>
                <w:rFonts w:eastAsia="MS Mincho"/>
              </w:rPr>
              <w:t>allergic reactions, laboratory</w:t>
            </w:r>
            <w:r w:rsidR="00824735">
              <w:rPr>
                <w:rFonts w:eastAsia="MS Mincho"/>
              </w:rPr>
              <w:t xml:space="preserve"> </w:t>
            </w:r>
            <w:r w:rsidR="005814A2" w:rsidRPr="005814A2">
              <w:rPr>
                <w:rFonts w:eastAsia="MS Mincho"/>
              </w:rPr>
              <w:t>abnormalities, cardiovascular disease</w:t>
            </w:r>
            <w:r w:rsidR="005814A2">
              <w:rPr>
                <w:rFonts w:eastAsia="MS Mincho"/>
              </w:rPr>
              <w:t xml:space="preserve"> </w:t>
            </w:r>
            <w:r w:rsidR="005814A2" w:rsidRPr="005814A2">
              <w:rPr>
                <w:rFonts w:eastAsia="MS Mincho"/>
              </w:rPr>
              <w:t>within the past 6 months, uncontrolled</w:t>
            </w:r>
            <w:r w:rsidR="00824735">
              <w:rPr>
                <w:rFonts w:eastAsia="MS Mincho"/>
              </w:rPr>
              <w:t xml:space="preserve"> </w:t>
            </w:r>
            <w:r w:rsidR="005814A2" w:rsidRPr="005814A2">
              <w:rPr>
                <w:rFonts w:eastAsia="MS Mincho"/>
              </w:rPr>
              <w:t>hypertension, or a history of</w:t>
            </w:r>
            <w:r w:rsidR="00824735">
              <w:rPr>
                <w:rFonts w:eastAsia="MS Mincho"/>
              </w:rPr>
              <w:t xml:space="preserve"> </w:t>
            </w:r>
            <w:r w:rsidR="005814A2" w:rsidRPr="005814A2">
              <w:rPr>
                <w:rFonts w:eastAsia="MS Mincho"/>
              </w:rPr>
              <w:t>drug or alcohol abuse or dependence</w:t>
            </w:r>
            <w:r w:rsidR="00824735">
              <w:rPr>
                <w:rFonts w:eastAsia="MS Mincho"/>
              </w:rPr>
              <w:t xml:space="preserve"> </w:t>
            </w:r>
            <w:r w:rsidR="005814A2" w:rsidRPr="005814A2">
              <w:rPr>
                <w:rFonts w:eastAsia="MS Mincho"/>
              </w:rPr>
              <w:t>within the past 12 months</w:t>
            </w:r>
            <w:r w:rsidR="009C0FE3">
              <w:rPr>
                <w:rFonts w:eastAsia="MS Mincho"/>
              </w:rPr>
              <w:t>,</w:t>
            </w:r>
            <w:r w:rsidR="005814A2" w:rsidRPr="005814A2">
              <w:rPr>
                <w:rFonts w:eastAsia="MS Mincho"/>
              </w:rPr>
              <w:t xml:space="preserve"> used a</w:t>
            </w:r>
            <w:r w:rsidR="00824735">
              <w:rPr>
                <w:rFonts w:eastAsia="MS Mincho"/>
              </w:rPr>
              <w:t xml:space="preserve"> </w:t>
            </w:r>
            <w:r w:rsidR="005814A2" w:rsidRPr="005814A2">
              <w:rPr>
                <w:rFonts w:eastAsia="MS Mincho"/>
              </w:rPr>
              <w:t>smoking cessation aid (i</w:t>
            </w:r>
            <w:r w:rsidR="00824735">
              <w:rPr>
                <w:rFonts w:eastAsia="MS Mincho"/>
              </w:rPr>
              <w:t>.</w:t>
            </w:r>
            <w:r w:rsidR="005814A2" w:rsidRPr="005814A2">
              <w:rPr>
                <w:rFonts w:eastAsia="MS Mincho"/>
              </w:rPr>
              <w:t>e</w:t>
            </w:r>
            <w:r w:rsidR="00824735">
              <w:rPr>
                <w:rFonts w:eastAsia="MS Mincho"/>
              </w:rPr>
              <w:t>.</w:t>
            </w:r>
            <w:r w:rsidR="005814A2" w:rsidRPr="005814A2">
              <w:rPr>
                <w:rFonts w:eastAsia="MS Mincho"/>
              </w:rPr>
              <w:t xml:space="preserve"> NRT, bupropion,</w:t>
            </w:r>
            <w:r w:rsidR="00824735">
              <w:rPr>
                <w:rFonts w:eastAsia="MS Mincho"/>
              </w:rPr>
              <w:t xml:space="preserve"> </w:t>
            </w:r>
            <w:r w:rsidR="005814A2" w:rsidRPr="005814A2">
              <w:rPr>
                <w:rFonts w:eastAsia="MS Mincho"/>
              </w:rPr>
              <w:t>clonidine, or nortriptyline) within</w:t>
            </w:r>
            <w:r w:rsidR="00824735">
              <w:rPr>
                <w:rFonts w:eastAsia="MS Mincho"/>
              </w:rPr>
              <w:t xml:space="preserve"> </w:t>
            </w:r>
            <w:r w:rsidR="005814A2" w:rsidRPr="005814A2">
              <w:rPr>
                <w:rFonts w:eastAsia="MS Mincho"/>
              </w:rPr>
              <w:t>the previous month</w:t>
            </w:r>
            <w:r w:rsidR="009C0FE3">
              <w:rPr>
                <w:rFonts w:eastAsia="MS Mincho"/>
              </w:rPr>
              <w:t>,</w:t>
            </w:r>
            <w:r w:rsidR="005814A2" w:rsidRPr="005814A2">
              <w:rPr>
                <w:rFonts w:eastAsia="MS Mincho"/>
              </w:rPr>
              <w:t xml:space="preserve"> used tobacco products</w:t>
            </w:r>
            <w:r w:rsidR="00824735">
              <w:rPr>
                <w:rFonts w:eastAsia="MS Mincho"/>
              </w:rPr>
              <w:t xml:space="preserve"> </w:t>
            </w:r>
            <w:r w:rsidR="005814A2" w:rsidRPr="005814A2">
              <w:rPr>
                <w:rFonts w:eastAsia="MS Mincho"/>
              </w:rPr>
              <w:t>other than cigarettes or marijuana</w:t>
            </w:r>
            <w:r w:rsidR="00824735">
              <w:rPr>
                <w:rFonts w:eastAsia="MS Mincho"/>
              </w:rPr>
              <w:t xml:space="preserve"> </w:t>
            </w:r>
            <w:r w:rsidR="005814A2" w:rsidRPr="005814A2">
              <w:rPr>
                <w:rFonts w:eastAsia="MS Mincho"/>
              </w:rPr>
              <w:t>within the past month and did not</w:t>
            </w:r>
            <w:r w:rsidR="00824735">
              <w:rPr>
                <w:rFonts w:eastAsia="MS Mincho"/>
              </w:rPr>
              <w:t xml:space="preserve"> </w:t>
            </w:r>
            <w:r w:rsidR="005814A2" w:rsidRPr="005814A2">
              <w:rPr>
                <w:rFonts w:eastAsia="MS Mincho"/>
              </w:rPr>
              <w:t>agree to abstain from use of these products</w:t>
            </w:r>
            <w:r w:rsidR="00824735">
              <w:rPr>
                <w:rFonts w:eastAsia="MS Mincho"/>
              </w:rPr>
              <w:t xml:space="preserve"> </w:t>
            </w:r>
            <w:r w:rsidR="005814A2" w:rsidRPr="005814A2">
              <w:rPr>
                <w:rFonts w:eastAsia="MS Mincho"/>
              </w:rPr>
              <w:t>during study participation</w:t>
            </w:r>
            <w:r w:rsidR="009C0FE3">
              <w:rPr>
                <w:rFonts w:eastAsia="MS Mincho"/>
              </w:rPr>
              <w:t>,</w:t>
            </w:r>
            <w:r w:rsidR="005814A2" w:rsidRPr="005814A2">
              <w:rPr>
                <w:rFonts w:eastAsia="MS Mincho"/>
              </w:rPr>
              <w:t xml:space="preserve"> a</w:t>
            </w:r>
            <w:r w:rsidR="00824735">
              <w:rPr>
                <w:rFonts w:eastAsia="MS Mincho"/>
              </w:rPr>
              <w:t xml:space="preserve"> </w:t>
            </w:r>
            <w:r w:rsidR="005814A2" w:rsidRPr="005814A2">
              <w:rPr>
                <w:rFonts w:eastAsia="MS Mincho"/>
              </w:rPr>
              <w:t xml:space="preserve">body mass index of </w:t>
            </w:r>
            <w:r w:rsidR="009C0FE3">
              <w:rPr>
                <w:rFonts w:eastAsia="MS Mincho"/>
              </w:rPr>
              <w:t>&lt;</w:t>
            </w:r>
            <w:r w:rsidR="005814A2" w:rsidRPr="005814A2">
              <w:rPr>
                <w:rFonts w:eastAsia="MS Mincho"/>
              </w:rPr>
              <w:t xml:space="preserve">15 or </w:t>
            </w:r>
            <w:r w:rsidR="009C0FE3">
              <w:rPr>
                <w:rFonts w:eastAsia="MS Mincho"/>
              </w:rPr>
              <w:t>&gt;</w:t>
            </w:r>
            <w:r w:rsidR="005814A2" w:rsidRPr="005814A2">
              <w:rPr>
                <w:rFonts w:eastAsia="MS Mincho"/>
              </w:rPr>
              <w:t>38</w:t>
            </w:r>
            <w:r w:rsidR="009C0FE3">
              <w:rPr>
                <w:rFonts w:eastAsia="MS Mincho"/>
              </w:rPr>
              <w:t>,</w:t>
            </w:r>
            <w:r w:rsidR="005814A2" w:rsidRPr="005814A2">
              <w:rPr>
                <w:rFonts w:eastAsia="MS Mincho"/>
              </w:rPr>
              <w:t xml:space="preserve"> used any of the following</w:t>
            </w:r>
            <w:r w:rsidR="00824735">
              <w:rPr>
                <w:rFonts w:eastAsia="MS Mincho"/>
              </w:rPr>
              <w:t xml:space="preserve"> </w:t>
            </w:r>
            <w:r w:rsidR="005814A2" w:rsidRPr="005814A2">
              <w:rPr>
                <w:rFonts w:eastAsia="MS Mincho"/>
              </w:rPr>
              <w:t>medications: NRT, antidepressants,</w:t>
            </w:r>
            <w:r w:rsidR="00824735">
              <w:rPr>
                <w:rFonts w:eastAsia="MS Mincho"/>
              </w:rPr>
              <w:t xml:space="preserve"> </w:t>
            </w:r>
            <w:r w:rsidR="005814A2" w:rsidRPr="005814A2">
              <w:rPr>
                <w:rFonts w:eastAsia="MS Mincho"/>
              </w:rPr>
              <w:t>antipsychotics, mood stabilizers/anticonvulsants, naltrexone, steroids,</w:t>
            </w:r>
            <w:r w:rsidR="00824735">
              <w:rPr>
                <w:rFonts w:eastAsia="MS Mincho"/>
              </w:rPr>
              <w:t xml:space="preserve"> </w:t>
            </w:r>
            <w:r w:rsidR="005814A2" w:rsidRPr="005814A2">
              <w:rPr>
                <w:rFonts w:eastAsia="MS Mincho"/>
              </w:rPr>
              <w:t>or insulin</w:t>
            </w:r>
            <w:r w:rsidR="009C0FE3">
              <w:rPr>
                <w:rFonts w:eastAsia="MS Mincho"/>
              </w:rPr>
              <w:t>,</w:t>
            </w:r>
            <w:r w:rsidR="00824735">
              <w:rPr>
                <w:rFonts w:eastAsia="MS Mincho"/>
              </w:rPr>
              <w:t xml:space="preserve"> pregnancy.</w:t>
            </w:r>
          </w:p>
        </w:tc>
        <w:tc>
          <w:tcPr>
            <w:tcW w:w="827" w:type="pct"/>
            <w:shd w:val="clear" w:color="auto" w:fill="D9D9D9" w:themeFill="background1" w:themeFillShade="D9"/>
          </w:tcPr>
          <w:p w14:paraId="49525F02" w14:textId="434DE13D" w:rsidR="000970B9" w:rsidRDefault="000970B9" w:rsidP="00576F26">
            <w:pPr>
              <w:pStyle w:val="Tablewriting"/>
              <w:rPr>
                <w:rFonts w:eastAsia="MS Mincho"/>
              </w:rPr>
            </w:pPr>
            <w:r>
              <w:rPr>
                <w:rFonts w:eastAsia="MS Mincho"/>
              </w:rPr>
              <w:t>Varenicline</w:t>
            </w:r>
            <w:r w:rsidRPr="00A34E7B">
              <w:rPr>
                <w:rFonts w:eastAsia="MS Mincho"/>
              </w:rPr>
              <w:t xml:space="preserve">: </w:t>
            </w:r>
            <w:r w:rsidRPr="00985785">
              <w:rPr>
                <w:rFonts w:eastAsia="MS Mincho"/>
              </w:rPr>
              <w:t>1</w:t>
            </w:r>
            <w:r w:rsidR="0047142A">
              <w:rPr>
                <w:rFonts w:eastAsia="MS Mincho"/>
              </w:rPr>
              <w:t xml:space="preserve"> </w:t>
            </w:r>
            <w:r w:rsidRPr="00985785">
              <w:rPr>
                <w:rFonts w:eastAsia="MS Mincho"/>
              </w:rPr>
              <w:t>mg twice per</w:t>
            </w:r>
            <w:r>
              <w:rPr>
                <w:rFonts w:eastAsia="MS Mincho"/>
              </w:rPr>
              <w:t xml:space="preserve"> </w:t>
            </w:r>
            <w:r w:rsidRPr="00985785">
              <w:rPr>
                <w:rFonts w:eastAsia="MS Mincho"/>
              </w:rPr>
              <w:t xml:space="preserve">day </w:t>
            </w:r>
            <w:r w:rsidR="00824735">
              <w:rPr>
                <w:rFonts w:eastAsia="MS Mincho"/>
              </w:rPr>
              <w:t xml:space="preserve">for </w:t>
            </w:r>
            <w:r w:rsidRPr="00985785">
              <w:rPr>
                <w:rFonts w:eastAsia="MS Mincho"/>
              </w:rPr>
              <w:t>12</w:t>
            </w:r>
            <w:r w:rsidR="00824735">
              <w:rPr>
                <w:rFonts w:eastAsia="MS Mincho"/>
              </w:rPr>
              <w:t xml:space="preserve"> weeks</w:t>
            </w:r>
            <w:r w:rsidR="002C5CB8">
              <w:rPr>
                <w:rFonts w:eastAsia="MS Mincho"/>
              </w:rPr>
              <w:t>;</w:t>
            </w:r>
          </w:p>
          <w:p w14:paraId="51C695F3" w14:textId="4438ADD9" w:rsidR="000970B9" w:rsidRDefault="000970B9" w:rsidP="00576F26">
            <w:pPr>
              <w:pStyle w:val="Tablewriting"/>
              <w:rPr>
                <w:rFonts w:eastAsia="MS Mincho"/>
              </w:rPr>
            </w:pPr>
            <w:r>
              <w:rPr>
                <w:rFonts w:eastAsia="MS Mincho"/>
              </w:rPr>
              <w:t>Placebo: placebo tablet for 12 weeks, same regimen</w:t>
            </w:r>
            <w:r w:rsidR="00AB5FA3">
              <w:rPr>
                <w:rFonts w:eastAsia="MS Mincho"/>
              </w:rPr>
              <w:t>.</w:t>
            </w:r>
          </w:p>
          <w:p w14:paraId="63C8E648" w14:textId="77777777" w:rsidR="00267C15" w:rsidRDefault="00267C15" w:rsidP="00576F26">
            <w:pPr>
              <w:pStyle w:val="Tablewriting"/>
              <w:rPr>
                <w:rFonts w:eastAsia="MS Mincho"/>
              </w:rPr>
            </w:pPr>
          </w:p>
          <w:p w14:paraId="3B3DB886" w14:textId="19BAEEDD" w:rsidR="00267C15" w:rsidRDefault="00267C15" w:rsidP="00576F26">
            <w:pPr>
              <w:pStyle w:val="Tablewriting"/>
              <w:rPr>
                <w:rFonts w:eastAsia="MS Mincho"/>
              </w:rPr>
            </w:pPr>
            <w:r w:rsidRPr="00267C15">
              <w:rPr>
                <w:rFonts w:eastAsia="MS Mincho"/>
              </w:rPr>
              <w:t>Behavioural support provided in both arms.</w:t>
            </w:r>
          </w:p>
          <w:p w14:paraId="47D2C361" w14:textId="77777777" w:rsidR="00824735" w:rsidRDefault="00824735" w:rsidP="00576F26">
            <w:pPr>
              <w:pStyle w:val="Tablewriting"/>
              <w:rPr>
                <w:rFonts w:eastAsia="MS Mincho"/>
              </w:rPr>
            </w:pPr>
          </w:p>
          <w:p w14:paraId="7813A5F7" w14:textId="35D54B12" w:rsidR="00824735" w:rsidRPr="00061F78" w:rsidRDefault="00824735" w:rsidP="00576F26">
            <w:pPr>
              <w:pStyle w:val="Tablewriting"/>
              <w:rPr>
                <w:rFonts w:eastAsia="MS Mincho"/>
              </w:rPr>
            </w:pPr>
            <w:r>
              <w:rPr>
                <w:rFonts w:eastAsia="MS Mincho"/>
              </w:rPr>
              <w:t>Prior to randomisation, all participants had 12 weeks of open-label treatment with varenicline. Only participants who had successfully abstained from smoking and use of tobacco and NRT for at least the last 7 days of the treatment period were eligible.</w:t>
            </w:r>
          </w:p>
        </w:tc>
        <w:tc>
          <w:tcPr>
            <w:tcW w:w="1213" w:type="pct"/>
            <w:shd w:val="clear" w:color="auto" w:fill="D9D9D9" w:themeFill="background1" w:themeFillShade="D9"/>
            <w:tcMar>
              <w:left w:w="28" w:type="dxa"/>
              <w:right w:w="28" w:type="dxa"/>
            </w:tcMar>
          </w:tcPr>
          <w:p w14:paraId="24D2F78F" w14:textId="5AD22F1C" w:rsidR="000970B9" w:rsidRDefault="000970B9" w:rsidP="00576F26">
            <w:pPr>
              <w:pStyle w:val="Tablewriting"/>
              <w:rPr>
                <w:rFonts w:eastAsia="MS Mincho"/>
              </w:rPr>
            </w:pPr>
            <w:r w:rsidRPr="008C39E4">
              <w:rPr>
                <w:rFonts w:eastAsia="MS Mincho"/>
                <w:u w:val="single"/>
              </w:rPr>
              <w:t>Primary</w:t>
            </w:r>
            <w:r>
              <w:rPr>
                <w:rFonts w:eastAsia="MS Mincho"/>
              </w:rPr>
              <w:t xml:space="preserve">: </w:t>
            </w:r>
            <w:r w:rsidR="009C0FE3">
              <w:rPr>
                <w:rFonts w:eastAsia="MS Mincho"/>
              </w:rPr>
              <w:t>CAR</w:t>
            </w:r>
            <w:r>
              <w:rPr>
                <w:rFonts w:eastAsia="MS Mincho"/>
              </w:rPr>
              <w:t xml:space="preserve"> at </w:t>
            </w:r>
            <w:r w:rsidR="00D562FA">
              <w:rPr>
                <w:rFonts w:eastAsia="MS Mincho"/>
              </w:rPr>
              <w:t>w</w:t>
            </w:r>
            <w:r>
              <w:rPr>
                <w:rFonts w:eastAsia="MS Mincho"/>
              </w:rPr>
              <w:t xml:space="preserve">eek </w:t>
            </w:r>
            <w:r w:rsidR="00824735">
              <w:rPr>
                <w:rFonts w:eastAsia="MS Mincho"/>
              </w:rPr>
              <w:t>13-24</w:t>
            </w:r>
            <w:r>
              <w:rPr>
                <w:rFonts w:eastAsia="MS Mincho"/>
              </w:rPr>
              <w:t>. Validated by CO</w:t>
            </w:r>
            <w:r w:rsidR="008B0FD1">
              <w:rPr>
                <w:rFonts w:eastAsia="MS Mincho"/>
              </w:rPr>
              <w:t xml:space="preserve"> </w:t>
            </w:r>
            <w:r>
              <w:rPr>
                <w:rFonts w:eastAsia="MS Mincho" w:cstheme="minorHAnsi"/>
              </w:rPr>
              <w:t>≤</w:t>
            </w:r>
            <w:r>
              <w:rPr>
                <w:rFonts w:eastAsia="MS Mincho"/>
              </w:rPr>
              <w:t>10</w:t>
            </w:r>
            <w:r w:rsidR="0047142A">
              <w:rPr>
                <w:rFonts w:eastAsia="MS Mincho"/>
              </w:rPr>
              <w:t xml:space="preserve"> </w:t>
            </w:r>
            <w:r>
              <w:rPr>
                <w:rFonts w:eastAsia="MS Mincho"/>
              </w:rPr>
              <w:t>ppm.</w:t>
            </w:r>
          </w:p>
          <w:p w14:paraId="4C6FE21E" w14:textId="1AB5FB56" w:rsidR="000970B9" w:rsidRDefault="000970B9" w:rsidP="00576F26">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D562FA">
              <w:rPr>
                <w:rFonts w:eastAsia="MS Mincho"/>
              </w:rPr>
              <w:t>w</w:t>
            </w:r>
            <w:r>
              <w:rPr>
                <w:rFonts w:eastAsia="MS Mincho"/>
              </w:rPr>
              <w:t>eek</w:t>
            </w:r>
            <w:r w:rsidRPr="005B56AA">
              <w:rPr>
                <w:rFonts w:eastAsia="MS Mincho"/>
              </w:rPr>
              <w:t xml:space="preserve"> </w:t>
            </w:r>
            <w:r w:rsidR="00824735">
              <w:rPr>
                <w:rFonts w:eastAsia="MS Mincho"/>
              </w:rPr>
              <w:t>13-52</w:t>
            </w:r>
            <w:r w:rsidRPr="005B56AA">
              <w:rPr>
                <w:rFonts w:eastAsia="MS Mincho"/>
              </w:rPr>
              <w:t xml:space="preserve">; 7-day PPA at </w:t>
            </w:r>
            <w:r w:rsidR="00D562FA">
              <w:rPr>
                <w:rFonts w:eastAsia="MS Mincho"/>
              </w:rPr>
              <w:t>w</w:t>
            </w:r>
            <w:r>
              <w:rPr>
                <w:rFonts w:eastAsia="MS Mincho"/>
              </w:rPr>
              <w:t>eek</w:t>
            </w:r>
            <w:r w:rsidR="00824735">
              <w:rPr>
                <w:rFonts w:eastAsia="MS Mincho"/>
              </w:rPr>
              <w:t xml:space="preserve"> </w:t>
            </w:r>
            <w:r w:rsidRPr="005B56AA">
              <w:rPr>
                <w:rFonts w:eastAsia="MS Mincho"/>
              </w:rPr>
              <w:t>24 and 52</w:t>
            </w:r>
            <w:r w:rsidR="00A4752C">
              <w:rPr>
                <w:rFonts w:eastAsia="MS Mincho"/>
              </w:rPr>
              <w:t xml:space="preserve">. </w:t>
            </w:r>
            <w:r w:rsidR="00AF43A1">
              <w:rPr>
                <w:rFonts w:eastAsia="MS Mincho"/>
              </w:rPr>
              <w:t xml:space="preserve">Validated by CO </w:t>
            </w:r>
            <w:r w:rsidR="00AF43A1">
              <w:rPr>
                <w:rFonts w:eastAsia="MS Mincho" w:cstheme="minorHAnsi"/>
              </w:rPr>
              <w:t>≤</w:t>
            </w:r>
            <w:r w:rsidR="00AF43A1">
              <w:rPr>
                <w:rFonts w:eastAsia="MS Mincho"/>
              </w:rPr>
              <w:t>10</w:t>
            </w:r>
            <w:r w:rsidR="0047142A">
              <w:rPr>
                <w:rFonts w:eastAsia="MS Mincho"/>
              </w:rPr>
              <w:t xml:space="preserve"> </w:t>
            </w:r>
            <w:r w:rsidR="00AF43A1">
              <w:rPr>
                <w:rFonts w:eastAsia="MS Mincho"/>
              </w:rPr>
              <w:t>ppm.</w:t>
            </w:r>
          </w:p>
          <w:p w14:paraId="7B428970" w14:textId="4D7246D9" w:rsidR="000970B9" w:rsidRPr="00061F78" w:rsidRDefault="000970B9" w:rsidP="00576F26">
            <w:pPr>
              <w:pStyle w:val="Tablewriting"/>
              <w:rPr>
                <w:rFonts w:eastAsia="MS Mincho"/>
              </w:rPr>
            </w:pPr>
            <w:r w:rsidRPr="0055171C">
              <w:rPr>
                <w:rFonts w:eastAsia="MS Mincho"/>
                <w:u w:val="single"/>
              </w:rPr>
              <w:t>Other</w:t>
            </w:r>
            <w:r>
              <w:rPr>
                <w:rFonts w:eastAsia="MS Mincho"/>
              </w:rPr>
              <w:t xml:space="preserve">: </w:t>
            </w:r>
            <w:r w:rsidR="00824735">
              <w:rPr>
                <w:rFonts w:eastAsia="MS Mincho"/>
              </w:rPr>
              <w:t>time to first lapse</w:t>
            </w:r>
            <w:r w:rsidRPr="00EC37F8">
              <w:rPr>
                <w:rFonts w:eastAsia="MS Mincho"/>
              </w:rPr>
              <w:t>, withdrawal symptoms (using MNWS), adverse</w:t>
            </w:r>
            <w:r>
              <w:rPr>
                <w:rFonts w:eastAsia="MS Mincho"/>
              </w:rPr>
              <w:t xml:space="preserve"> </w:t>
            </w:r>
            <w:r w:rsidRPr="00EC37F8">
              <w:rPr>
                <w:rFonts w:eastAsia="MS Mincho"/>
              </w:rPr>
              <w:t>events</w:t>
            </w:r>
            <w:r w:rsidR="00AB5FA3">
              <w:rPr>
                <w:rFonts w:eastAsia="MS Mincho"/>
              </w:rPr>
              <w:t>.</w:t>
            </w:r>
          </w:p>
        </w:tc>
      </w:tr>
      <w:tr w:rsidR="00260CD7" w:rsidRPr="00061F78" w14:paraId="0C377310" w14:textId="77777777" w:rsidTr="00C3237A">
        <w:trPr>
          <w:trHeight w:val="149"/>
        </w:trPr>
        <w:tc>
          <w:tcPr>
            <w:tcW w:w="371" w:type="pct"/>
            <w:tcMar>
              <w:left w:w="28" w:type="dxa"/>
              <w:right w:w="28" w:type="dxa"/>
            </w:tcMar>
          </w:tcPr>
          <w:p w14:paraId="61CA893C" w14:textId="3CA44043" w:rsidR="000970B9" w:rsidRPr="004F1864" w:rsidRDefault="000970B9" w:rsidP="00576F26">
            <w:pPr>
              <w:pStyle w:val="Tablewriting"/>
              <w:rPr>
                <w:rFonts w:eastAsia="MS Mincho"/>
              </w:rPr>
            </w:pPr>
            <w:r>
              <w:rPr>
                <w:rFonts w:eastAsia="MS Mincho"/>
              </w:rPr>
              <w:t>Livingstone-Banks (2019)</w:t>
            </w:r>
            <w:r w:rsidR="00322560" w:rsidRPr="004F1864">
              <w:rPr>
                <w:rFonts w:eastAsia="MS Mincho"/>
              </w:rPr>
              <w:t xml:space="preserve"> </w:t>
            </w:r>
          </w:p>
        </w:tc>
        <w:tc>
          <w:tcPr>
            <w:tcW w:w="386" w:type="pct"/>
          </w:tcPr>
          <w:p w14:paraId="31FFA135" w14:textId="6117FBC9" w:rsidR="000970B9" w:rsidRDefault="000970B9" w:rsidP="00576F26">
            <w:pPr>
              <w:pStyle w:val="Tablewriting"/>
              <w:rPr>
                <w:rFonts w:eastAsia="MS Mincho"/>
              </w:rPr>
            </w:pPr>
            <w:r>
              <w:rPr>
                <w:rFonts w:eastAsia="MS Mincho"/>
              </w:rPr>
              <w:t xml:space="preserve">Cochrane </w:t>
            </w:r>
            <w:r w:rsidR="004C4EA7">
              <w:rPr>
                <w:rFonts w:eastAsia="MS Mincho"/>
              </w:rPr>
              <w:t>Review (</w:t>
            </w:r>
            <w:r>
              <w:rPr>
                <w:rFonts w:eastAsia="MS Mincho"/>
              </w:rPr>
              <w:t>2 RCTs</w:t>
            </w:r>
            <w:r w:rsidR="00B621E0">
              <w:rPr>
                <w:rFonts w:eastAsia="MS Mincho"/>
                <w:vertAlign w:val="superscript"/>
              </w:rPr>
              <w:t>2</w:t>
            </w:r>
            <w:r>
              <w:rPr>
                <w:rFonts w:eastAsia="MS Mincho"/>
              </w:rPr>
              <w:t>)</w:t>
            </w:r>
          </w:p>
          <w:p w14:paraId="36D84300" w14:textId="77777777" w:rsidR="000970B9" w:rsidRDefault="000970B9" w:rsidP="00576F26">
            <w:pPr>
              <w:pStyle w:val="Tablewriting"/>
              <w:rPr>
                <w:rFonts w:eastAsia="MS Mincho"/>
              </w:rPr>
            </w:pPr>
          </w:p>
        </w:tc>
        <w:tc>
          <w:tcPr>
            <w:tcW w:w="345" w:type="pct"/>
            <w:tcMar>
              <w:left w:w="28" w:type="dxa"/>
              <w:right w:w="28" w:type="dxa"/>
            </w:tcMar>
          </w:tcPr>
          <w:p w14:paraId="218F1B30" w14:textId="609268F3" w:rsidR="000970B9" w:rsidRDefault="000970B9" w:rsidP="00576F26">
            <w:pPr>
              <w:pStyle w:val="Tablewriting"/>
              <w:rPr>
                <w:rFonts w:eastAsia="MS Mincho"/>
              </w:rPr>
            </w:pPr>
            <w:r>
              <w:rPr>
                <w:rFonts w:eastAsia="MS Mincho"/>
              </w:rPr>
              <w:t>N=1,297</w:t>
            </w:r>
          </w:p>
          <w:p w14:paraId="0A12BF28" w14:textId="33C0E3F4" w:rsidR="000970B9" w:rsidRDefault="000970B9" w:rsidP="00576F26">
            <w:pPr>
              <w:pStyle w:val="Tablewriting"/>
              <w:rPr>
                <w:rFonts w:eastAsia="MS Mincho"/>
              </w:rPr>
            </w:pPr>
            <w:r>
              <w:rPr>
                <w:rFonts w:eastAsia="MS Mincho"/>
              </w:rPr>
              <w:t>Varenicline (n=6</w:t>
            </w:r>
            <w:r w:rsidR="00B40A4F">
              <w:rPr>
                <w:rFonts w:eastAsia="MS Mincho"/>
              </w:rPr>
              <w:t>43</w:t>
            </w:r>
            <w:r>
              <w:rPr>
                <w:rFonts w:eastAsia="MS Mincho"/>
              </w:rPr>
              <w:t>),</w:t>
            </w:r>
          </w:p>
          <w:p w14:paraId="0C3C1649" w14:textId="7F20AA18" w:rsidR="000970B9" w:rsidRPr="00061F78" w:rsidRDefault="000970B9" w:rsidP="00576F26">
            <w:pPr>
              <w:pStyle w:val="Tablewriting"/>
              <w:rPr>
                <w:rFonts w:eastAsia="MS Mincho"/>
              </w:rPr>
            </w:pPr>
            <w:r>
              <w:rPr>
                <w:rFonts w:eastAsia="MS Mincho"/>
              </w:rPr>
              <w:t>Placebo (n=</w:t>
            </w:r>
            <w:r w:rsidR="00B40A4F">
              <w:rPr>
                <w:rFonts w:eastAsia="MS Mincho"/>
              </w:rPr>
              <w:t>654</w:t>
            </w:r>
            <w:r>
              <w:rPr>
                <w:rFonts w:eastAsia="MS Mincho"/>
              </w:rPr>
              <w:t>)</w:t>
            </w:r>
          </w:p>
        </w:tc>
        <w:tc>
          <w:tcPr>
            <w:tcW w:w="1858" w:type="pct"/>
            <w:tcMar>
              <w:left w:w="28" w:type="dxa"/>
              <w:right w:w="28" w:type="dxa"/>
            </w:tcMar>
          </w:tcPr>
          <w:p w14:paraId="782F9D32" w14:textId="465D2C42" w:rsidR="000970B9" w:rsidRDefault="000970B9" w:rsidP="00576F26">
            <w:pPr>
              <w:pStyle w:val="Tablewriting"/>
              <w:rPr>
                <w:rFonts w:eastAsia="MS Mincho"/>
              </w:rPr>
            </w:pPr>
            <w:r w:rsidRPr="002C19B4">
              <w:rPr>
                <w:rFonts w:eastAsia="MS Mincho"/>
                <w:u w:val="single"/>
              </w:rPr>
              <w:t>Inclusion</w:t>
            </w:r>
            <w:r>
              <w:rPr>
                <w:rFonts w:eastAsia="MS Mincho"/>
              </w:rPr>
              <w:t xml:space="preserve">: </w:t>
            </w:r>
            <w:r w:rsidR="0015031A" w:rsidRPr="0015031A">
              <w:rPr>
                <w:rFonts w:eastAsia="MS Mincho"/>
              </w:rPr>
              <w:t>smokers who quit on their own, were undergoing enforced abstinence, or were participating in treatment programs</w:t>
            </w:r>
            <w:r w:rsidR="001E685B">
              <w:rPr>
                <w:rFonts w:eastAsia="MS Mincho"/>
              </w:rPr>
              <w:t xml:space="preserve"> to assist initial cessation</w:t>
            </w:r>
            <w:r w:rsidR="006A3243">
              <w:rPr>
                <w:rFonts w:eastAsia="MS Mincho"/>
              </w:rPr>
              <w:t>.</w:t>
            </w:r>
          </w:p>
          <w:p w14:paraId="55AE8D96" w14:textId="3414BFEF" w:rsidR="000970B9" w:rsidRPr="00061F78" w:rsidRDefault="000970B9" w:rsidP="00576F26">
            <w:pPr>
              <w:pStyle w:val="Tablewriting"/>
              <w:rPr>
                <w:rFonts w:eastAsia="MS Mincho"/>
              </w:rPr>
            </w:pPr>
            <w:r w:rsidRPr="002C19B4">
              <w:rPr>
                <w:rFonts w:eastAsia="MS Mincho"/>
                <w:u w:val="single"/>
              </w:rPr>
              <w:t>Exclusion</w:t>
            </w:r>
            <w:r>
              <w:rPr>
                <w:rFonts w:eastAsia="MS Mincho"/>
              </w:rPr>
              <w:t xml:space="preserve">: </w:t>
            </w:r>
            <w:r w:rsidR="001E685B">
              <w:rPr>
                <w:rFonts w:eastAsia="MS Mincho"/>
              </w:rPr>
              <w:t>NR</w:t>
            </w:r>
            <w:r w:rsidR="00AB5FA3">
              <w:rPr>
                <w:rFonts w:eastAsia="MS Mincho"/>
              </w:rPr>
              <w:t>.</w:t>
            </w:r>
          </w:p>
        </w:tc>
        <w:tc>
          <w:tcPr>
            <w:tcW w:w="827" w:type="pct"/>
          </w:tcPr>
          <w:p w14:paraId="451C250C" w14:textId="1B140A25" w:rsidR="000970B9" w:rsidRPr="00061F78" w:rsidRDefault="000970B9" w:rsidP="00576F26">
            <w:pPr>
              <w:pStyle w:val="Tablewriting"/>
              <w:rPr>
                <w:rFonts w:eastAsia="MS Mincho"/>
              </w:rPr>
            </w:pPr>
            <w:r>
              <w:rPr>
                <w:rFonts w:eastAsia="MS Mincho"/>
              </w:rPr>
              <w:t>Varenicline: 1</w:t>
            </w:r>
            <w:r w:rsidR="0047142A">
              <w:rPr>
                <w:rFonts w:eastAsia="MS Mincho"/>
              </w:rPr>
              <w:t xml:space="preserve"> </w:t>
            </w:r>
            <w:r>
              <w:rPr>
                <w:rFonts w:eastAsia="MS Mincho"/>
              </w:rPr>
              <w:t>mg twice daily</w:t>
            </w:r>
            <w:r w:rsidR="002C5CB8">
              <w:rPr>
                <w:rFonts w:eastAsia="MS Mincho"/>
              </w:rPr>
              <w:t xml:space="preserve">; </w:t>
            </w:r>
            <w:r>
              <w:rPr>
                <w:rFonts w:eastAsia="MS Mincho"/>
              </w:rPr>
              <w:t>Placebo: placebo tablets, same regimen</w:t>
            </w:r>
            <w:r w:rsidR="00AB5FA3">
              <w:rPr>
                <w:rFonts w:eastAsia="MS Mincho"/>
              </w:rPr>
              <w:t>.</w:t>
            </w:r>
          </w:p>
        </w:tc>
        <w:tc>
          <w:tcPr>
            <w:tcW w:w="1213" w:type="pct"/>
            <w:tcMar>
              <w:left w:w="28" w:type="dxa"/>
              <w:right w:w="28" w:type="dxa"/>
            </w:tcMar>
          </w:tcPr>
          <w:p w14:paraId="63C61878" w14:textId="6AD5EA81" w:rsidR="000970B9" w:rsidRDefault="000970B9" w:rsidP="00576F26">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14:paraId="41A5AF00" w14:textId="36B674D5" w:rsidR="000970B9" w:rsidRPr="00061F78" w:rsidRDefault="000970B9" w:rsidP="00576F26">
            <w:pPr>
              <w:pStyle w:val="Tablewriting"/>
              <w:rPr>
                <w:rFonts w:eastAsia="MS Mincho"/>
              </w:rPr>
            </w:pPr>
          </w:p>
        </w:tc>
      </w:tr>
      <w:tr w:rsidR="001A0C32" w:rsidRPr="00061F78" w14:paraId="57054BA7" w14:textId="77777777" w:rsidTr="00C3237A">
        <w:trPr>
          <w:trHeight w:val="149"/>
        </w:trPr>
        <w:tc>
          <w:tcPr>
            <w:tcW w:w="371" w:type="pct"/>
            <w:tcMar>
              <w:left w:w="28" w:type="dxa"/>
              <w:right w:w="28" w:type="dxa"/>
            </w:tcMar>
          </w:tcPr>
          <w:p w14:paraId="1CB95A73" w14:textId="1B65CCBF" w:rsidR="001A0C32" w:rsidRDefault="001A0C32" w:rsidP="00576F26">
            <w:pPr>
              <w:pStyle w:val="Tablewriting"/>
              <w:rPr>
                <w:rFonts w:eastAsia="MS Mincho"/>
              </w:rPr>
            </w:pPr>
            <w:r>
              <w:rPr>
                <w:rFonts w:eastAsia="MS Mincho"/>
              </w:rPr>
              <w:t>Schnoll (2019)</w:t>
            </w:r>
          </w:p>
        </w:tc>
        <w:tc>
          <w:tcPr>
            <w:tcW w:w="386" w:type="pct"/>
          </w:tcPr>
          <w:p w14:paraId="0DCFC1A0" w14:textId="6E6F4367" w:rsidR="001A0C32" w:rsidRPr="005E64E8" w:rsidRDefault="001A0C32" w:rsidP="00576F26">
            <w:pPr>
              <w:pStyle w:val="Tablewriting"/>
              <w:rPr>
                <w:rFonts w:eastAsia="MS Mincho"/>
                <w:vertAlign w:val="superscript"/>
              </w:rPr>
            </w:pPr>
            <w:r>
              <w:rPr>
                <w:rFonts w:eastAsia="MS Mincho"/>
              </w:rPr>
              <w:t>RCT</w:t>
            </w:r>
            <w:r w:rsidR="000C0FCC">
              <w:rPr>
                <w:rFonts w:eastAsia="MS Mincho"/>
                <w:vertAlign w:val="superscript"/>
              </w:rPr>
              <w:t>3</w:t>
            </w:r>
          </w:p>
        </w:tc>
        <w:tc>
          <w:tcPr>
            <w:tcW w:w="345" w:type="pct"/>
            <w:tcMar>
              <w:left w:w="28" w:type="dxa"/>
              <w:right w:w="28" w:type="dxa"/>
            </w:tcMar>
          </w:tcPr>
          <w:p w14:paraId="2B794111" w14:textId="6D9E9025" w:rsidR="001A0C32" w:rsidRDefault="001A0C32" w:rsidP="00576F26">
            <w:pPr>
              <w:pStyle w:val="Tablewriting"/>
              <w:rPr>
                <w:rFonts w:eastAsia="MS Mincho"/>
              </w:rPr>
            </w:pPr>
            <w:r>
              <w:rPr>
                <w:rFonts w:eastAsia="MS Mincho"/>
              </w:rPr>
              <w:t>N=207</w:t>
            </w:r>
          </w:p>
          <w:p w14:paraId="7643D46A" w14:textId="77F446E0" w:rsidR="001A0C32" w:rsidRDefault="004C4EA7" w:rsidP="00576F26">
            <w:pPr>
              <w:pStyle w:val="Tablewriting"/>
              <w:rPr>
                <w:rFonts w:eastAsia="MS Mincho"/>
              </w:rPr>
            </w:pPr>
            <w:r>
              <w:rPr>
                <w:rFonts w:eastAsia="MS Mincho"/>
              </w:rPr>
              <w:t>Varenicline (</w:t>
            </w:r>
            <w:r w:rsidR="001A0C32">
              <w:rPr>
                <w:rFonts w:eastAsia="MS Mincho"/>
              </w:rPr>
              <w:t>n=</w:t>
            </w:r>
            <w:r w:rsidR="009C5856">
              <w:rPr>
                <w:rFonts w:eastAsia="MS Mincho"/>
              </w:rPr>
              <w:t>105</w:t>
            </w:r>
            <w:r w:rsidR="001A0C32">
              <w:rPr>
                <w:rFonts w:eastAsia="MS Mincho"/>
              </w:rPr>
              <w:t>), Placebo (n=</w:t>
            </w:r>
            <w:r w:rsidR="009C5856">
              <w:rPr>
                <w:rFonts w:eastAsia="MS Mincho"/>
              </w:rPr>
              <w:t>102</w:t>
            </w:r>
            <w:r w:rsidR="001A0C32">
              <w:rPr>
                <w:rFonts w:eastAsia="MS Mincho"/>
              </w:rPr>
              <w:t>)</w:t>
            </w:r>
          </w:p>
        </w:tc>
        <w:tc>
          <w:tcPr>
            <w:tcW w:w="1858" w:type="pct"/>
            <w:tcMar>
              <w:left w:w="28" w:type="dxa"/>
              <w:right w:w="28" w:type="dxa"/>
            </w:tcMar>
          </w:tcPr>
          <w:p w14:paraId="5E0BECDC" w14:textId="2B92587E" w:rsidR="001A0C32" w:rsidRDefault="001A0C32" w:rsidP="00576F26">
            <w:pPr>
              <w:pStyle w:val="Tablewriting"/>
              <w:rPr>
                <w:rFonts w:eastAsia="MS Mincho"/>
              </w:rPr>
            </w:pPr>
            <w:r w:rsidRPr="007F28D7">
              <w:rPr>
                <w:rFonts w:eastAsia="MS Mincho"/>
                <w:u w:val="single"/>
              </w:rPr>
              <w:t>Inclusion</w:t>
            </w:r>
            <w:r>
              <w:rPr>
                <w:rFonts w:eastAsia="MS Mincho"/>
              </w:rPr>
              <w:t xml:space="preserve">: </w:t>
            </w:r>
            <w:r w:rsidR="00D46C90" w:rsidRPr="00D46C90">
              <w:rPr>
                <w:rFonts w:eastAsia="MS Mincho"/>
              </w:rPr>
              <w:t>≥18 years o</w:t>
            </w:r>
            <w:r w:rsidR="00D46C90">
              <w:rPr>
                <w:rFonts w:eastAsia="MS Mincho"/>
              </w:rPr>
              <w:t>ld</w:t>
            </w:r>
            <w:r w:rsidR="00D46C90" w:rsidRPr="00D46C90">
              <w:rPr>
                <w:rFonts w:eastAsia="MS Mincho"/>
              </w:rPr>
              <w:t>, diagnosis of cancer or a recurrence within the past 5 years, ≥5 cigarettes per week, self-report an interest in quitting smoking</w:t>
            </w:r>
            <w:r w:rsidR="00AB5FA3">
              <w:rPr>
                <w:rFonts w:eastAsia="MS Mincho"/>
              </w:rPr>
              <w:t>.</w:t>
            </w:r>
          </w:p>
          <w:p w14:paraId="2338D6AD" w14:textId="2859968B" w:rsidR="001A0C32" w:rsidRPr="002C19B4" w:rsidRDefault="001A0C32" w:rsidP="00576F26">
            <w:pPr>
              <w:pStyle w:val="Tablewriting"/>
              <w:rPr>
                <w:rFonts w:eastAsia="MS Mincho"/>
                <w:u w:val="single"/>
              </w:rPr>
            </w:pPr>
            <w:r w:rsidRPr="007F28D7">
              <w:rPr>
                <w:rFonts w:eastAsia="MS Mincho"/>
                <w:u w:val="single"/>
              </w:rPr>
              <w:t>Exclusion</w:t>
            </w:r>
            <w:r>
              <w:rPr>
                <w:rFonts w:eastAsia="MS Mincho"/>
              </w:rPr>
              <w:t xml:space="preserve">: </w:t>
            </w:r>
            <w:r w:rsidR="009F2BAC" w:rsidRPr="009F2BAC">
              <w:rPr>
                <w:rFonts w:eastAsia="MS Mincho"/>
              </w:rPr>
              <w:t>daily use of nicotine products other than cigarettes, and unstable substance abuse/dependence in the last year</w:t>
            </w:r>
            <w:r w:rsidR="00AB5FA3">
              <w:rPr>
                <w:rFonts w:eastAsia="MS Mincho"/>
              </w:rPr>
              <w:t>.</w:t>
            </w:r>
          </w:p>
        </w:tc>
        <w:tc>
          <w:tcPr>
            <w:tcW w:w="827" w:type="pct"/>
          </w:tcPr>
          <w:p w14:paraId="7FE069D8" w14:textId="3B0C85C6" w:rsidR="001A0C32" w:rsidRDefault="001A0C32" w:rsidP="00576F26">
            <w:pPr>
              <w:pStyle w:val="Tablewriting"/>
              <w:rPr>
                <w:rFonts w:eastAsia="MS Mincho"/>
              </w:rPr>
            </w:pPr>
            <w:r>
              <w:rPr>
                <w:rFonts w:eastAsia="MS Mincho"/>
              </w:rPr>
              <w:t>Varenicline</w:t>
            </w:r>
            <w:r w:rsidRPr="00A34E7B">
              <w:rPr>
                <w:rFonts w:eastAsia="MS Mincho"/>
              </w:rPr>
              <w:t xml:space="preserve">: </w:t>
            </w:r>
            <w:r w:rsidR="009F2BAC" w:rsidRPr="00372F18">
              <w:rPr>
                <w:rFonts w:eastAsia="MS Mincho"/>
              </w:rPr>
              <w:t>1</w:t>
            </w:r>
            <w:r w:rsidR="009F2BAC">
              <w:rPr>
                <w:rFonts w:eastAsia="MS Mincho"/>
              </w:rPr>
              <w:t xml:space="preserve"> </w:t>
            </w:r>
            <w:r w:rsidR="009F2BAC" w:rsidRPr="00372F18">
              <w:rPr>
                <w:rFonts w:eastAsia="MS Mincho"/>
              </w:rPr>
              <w:t>mg twice daily titrated</w:t>
            </w:r>
            <w:r w:rsidR="009F2BAC">
              <w:rPr>
                <w:rFonts w:eastAsia="MS Mincho"/>
              </w:rPr>
              <w:t xml:space="preserve"> over 12 weeks</w:t>
            </w:r>
            <w:r w:rsidR="009F2BAC"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9F2BAC" w:rsidRPr="00372F18">
              <w:rPr>
                <w:rFonts w:eastAsia="MS Mincho"/>
              </w:rPr>
              <w:t xml:space="preserve"> 0.5</w:t>
            </w:r>
            <w:r w:rsidR="009F2BAC">
              <w:rPr>
                <w:rFonts w:eastAsia="MS Mincho"/>
              </w:rPr>
              <w:t xml:space="preserve"> </w:t>
            </w:r>
            <w:r w:rsidR="009F2BAC" w:rsidRPr="00372F18">
              <w:rPr>
                <w:rFonts w:eastAsia="MS Mincho"/>
              </w:rPr>
              <w:t>mg once</w:t>
            </w:r>
            <w:r w:rsidR="009F2BAC">
              <w:rPr>
                <w:rFonts w:eastAsia="MS Mincho"/>
              </w:rPr>
              <w:t xml:space="preserve"> </w:t>
            </w:r>
            <w:r w:rsidR="009F2BAC" w:rsidRPr="00372F18">
              <w:rPr>
                <w:rFonts w:eastAsia="MS Mincho"/>
              </w:rPr>
              <w:t>daily for 3 days, then 0.5</w:t>
            </w:r>
            <w:r w:rsidR="009F2BAC">
              <w:rPr>
                <w:rFonts w:eastAsia="MS Mincho"/>
              </w:rPr>
              <w:t xml:space="preserve"> </w:t>
            </w:r>
            <w:r w:rsidR="009F2BAC" w:rsidRPr="00372F18">
              <w:rPr>
                <w:rFonts w:eastAsia="MS Mincho"/>
              </w:rPr>
              <w:t>mg twice daily for 4 days, then 1</w:t>
            </w:r>
            <w:r w:rsidR="009F2BAC">
              <w:rPr>
                <w:rFonts w:eastAsia="MS Mincho"/>
              </w:rPr>
              <w:t xml:space="preserve"> </w:t>
            </w:r>
            <w:r w:rsidR="009F2BAC" w:rsidRPr="00372F18">
              <w:rPr>
                <w:rFonts w:eastAsia="MS Mincho"/>
              </w:rPr>
              <w:t>mg twice daily)</w:t>
            </w:r>
            <w:r w:rsidR="009F2BAC">
              <w:rPr>
                <w:rFonts w:eastAsia="MS Mincho"/>
              </w:rPr>
              <w:t xml:space="preserve"> </w:t>
            </w:r>
            <w:r w:rsidR="009F2BAC">
              <w:rPr>
                <w:rFonts w:eastAsia="MS Mincho"/>
              </w:rPr>
              <w:lastRenderedPageBreak/>
              <w:t xml:space="preserve">followed by </w:t>
            </w:r>
            <w:r w:rsidRPr="00985785">
              <w:rPr>
                <w:rFonts w:eastAsia="MS Mincho"/>
              </w:rPr>
              <w:t>1</w:t>
            </w:r>
            <w:r>
              <w:rPr>
                <w:rFonts w:eastAsia="MS Mincho"/>
              </w:rPr>
              <w:t xml:space="preserve"> </w:t>
            </w:r>
            <w:r w:rsidRPr="00985785">
              <w:rPr>
                <w:rFonts w:eastAsia="MS Mincho"/>
              </w:rPr>
              <w:t>mg twice per</w:t>
            </w:r>
            <w:r>
              <w:rPr>
                <w:rFonts w:eastAsia="MS Mincho"/>
              </w:rPr>
              <w:t xml:space="preserve"> </w:t>
            </w:r>
            <w:r w:rsidRPr="00985785">
              <w:rPr>
                <w:rFonts w:eastAsia="MS Mincho"/>
              </w:rPr>
              <w:t xml:space="preserve">day </w:t>
            </w:r>
            <w:r>
              <w:rPr>
                <w:rFonts w:eastAsia="MS Mincho"/>
              </w:rPr>
              <w:t xml:space="preserve">for </w:t>
            </w:r>
            <w:r w:rsidRPr="00985785">
              <w:rPr>
                <w:rFonts w:eastAsia="MS Mincho"/>
              </w:rPr>
              <w:t>12</w:t>
            </w:r>
            <w:r>
              <w:rPr>
                <w:rFonts w:eastAsia="MS Mincho"/>
              </w:rPr>
              <w:t xml:space="preserve"> weeks</w:t>
            </w:r>
            <w:r w:rsidR="002C5CB8">
              <w:rPr>
                <w:rFonts w:eastAsia="MS Mincho"/>
              </w:rPr>
              <w:t>;</w:t>
            </w:r>
          </w:p>
          <w:p w14:paraId="5F498D56" w14:textId="035FDE41" w:rsidR="001A0C32" w:rsidRDefault="001A0C32" w:rsidP="00576F26">
            <w:pPr>
              <w:pStyle w:val="Tablewriting"/>
              <w:rPr>
                <w:rFonts w:eastAsia="MS Mincho"/>
              </w:rPr>
            </w:pPr>
            <w:r>
              <w:rPr>
                <w:rFonts w:eastAsia="MS Mincho"/>
              </w:rPr>
              <w:t xml:space="preserve">Placebo: </w:t>
            </w:r>
            <w:r w:rsidR="00DC7416" w:rsidRPr="00372F18">
              <w:rPr>
                <w:rFonts w:eastAsia="MS Mincho"/>
              </w:rPr>
              <w:t>1</w:t>
            </w:r>
            <w:r w:rsidR="00DC7416">
              <w:rPr>
                <w:rFonts w:eastAsia="MS Mincho"/>
              </w:rPr>
              <w:t xml:space="preserve"> </w:t>
            </w:r>
            <w:r w:rsidR="00DC7416" w:rsidRPr="00372F18">
              <w:rPr>
                <w:rFonts w:eastAsia="MS Mincho"/>
              </w:rPr>
              <w:t>mg twice daily titrated</w:t>
            </w:r>
            <w:r w:rsidR="00DC7416">
              <w:rPr>
                <w:rFonts w:eastAsia="MS Mincho"/>
              </w:rPr>
              <w:t xml:space="preserve"> over 12 weeks</w:t>
            </w:r>
            <w:r w:rsidR="00DC7416"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DC7416" w:rsidRPr="00372F18">
              <w:rPr>
                <w:rFonts w:eastAsia="MS Mincho"/>
              </w:rPr>
              <w:t xml:space="preserve"> 0.5</w:t>
            </w:r>
            <w:r w:rsidR="00DC7416">
              <w:rPr>
                <w:rFonts w:eastAsia="MS Mincho"/>
              </w:rPr>
              <w:t xml:space="preserve"> </w:t>
            </w:r>
            <w:r w:rsidR="00DC7416" w:rsidRPr="00372F18">
              <w:rPr>
                <w:rFonts w:eastAsia="MS Mincho"/>
              </w:rPr>
              <w:t>mg once</w:t>
            </w:r>
            <w:r w:rsidR="00DC7416">
              <w:rPr>
                <w:rFonts w:eastAsia="MS Mincho"/>
              </w:rPr>
              <w:t xml:space="preserve"> </w:t>
            </w:r>
            <w:r w:rsidR="00DC7416" w:rsidRPr="00372F18">
              <w:rPr>
                <w:rFonts w:eastAsia="MS Mincho"/>
              </w:rPr>
              <w:t>daily for 3 days, then 0.5</w:t>
            </w:r>
            <w:r w:rsidR="00DC7416">
              <w:rPr>
                <w:rFonts w:eastAsia="MS Mincho"/>
              </w:rPr>
              <w:t xml:space="preserve"> </w:t>
            </w:r>
            <w:r w:rsidR="00DC7416" w:rsidRPr="00372F18">
              <w:rPr>
                <w:rFonts w:eastAsia="MS Mincho"/>
              </w:rPr>
              <w:t>mg twice daily for 4 days, then 1</w:t>
            </w:r>
            <w:r w:rsidR="00DC7416">
              <w:rPr>
                <w:rFonts w:eastAsia="MS Mincho"/>
              </w:rPr>
              <w:t xml:space="preserve"> </w:t>
            </w:r>
            <w:r w:rsidR="00DC7416" w:rsidRPr="00372F18">
              <w:rPr>
                <w:rFonts w:eastAsia="MS Mincho"/>
              </w:rPr>
              <w:t>mg twice daily)</w:t>
            </w:r>
            <w:r w:rsidR="00DC7416">
              <w:rPr>
                <w:rFonts w:eastAsia="MS Mincho"/>
              </w:rPr>
              <w:t xml:space="preserve"> followed by </w:t>
            </w:r>
            <w:r>
              <w:rPr>
                <w:rFonts w:eastAsia="MS Mincho"/>
              </w:rPr>
              <w:t>placebo tablet for 12 weeks, same regimen</w:t>
            </w:r>
            <w:r w:rsidR="00AB5FA3">
              <w:rPr>
                <w:rFonts w:eastAsia="MS Mincho"/>
              </w:rPr>
              <w:t>.</w:t>
            </w:r>
          </w:p>
          <w:p w14:paraId="23BFFE7A" w14:textId="77777777" w:rsidR="001A0C32" w:rsidRDefault="001A0C32" w:rsidP="00576F26">
            <w:pPr>
              <w:pStyle w:val="Tablewriting"/>
              <w:rPr>
                <w:rFonts w:eastAsia="MS Mincho"/>
              </w:rPr>
            </w:pPr>
          </w:p>
          <w:p w14:paraId="5690818A" w14:textId="79EF6892" w:rsidR="001A0C32" w:rsidRDefault="001A0C32" w:rsidP="00576F26">
            <w:pPr>
              <w:pStyle w:val="Tablewriting"/>
              <w:rPr>
                <w:rFonts w:eastAsia="MS Mincho"/>
              </w:rPr>
            </w:pPr>
            <w:r w:rsidRPr="00267C15">
              <w:rPr>
                <w:rFonts w:eastAsia="MS Mincho"/>
              </w:rPr>
              <w:t>Behavioural support provided in both arms.</w:t>
            </w:r>
          </w:p>
        </w:tc>
        <w:tc>
          <w:tcPr>
            <w:tcW w:w="1213" w:type="pct"/>
            <w:tcMar>
              <w:left w:w="28" w:type="dxa"/>
              <w:right w:w="28" w:type="dxa"/>
            </w:tcMar>
          </w:tcPr>
          <w:p w14:paraId="378CE22C" w14:textId="581CB330" w:rsidR="001A0C32" w:rsidRDefault="001A0C32" w:rsidP="00576F26">
            <w:pPr>
              <w:pStyle w:val="Tablewriting"/>
              <w:rPr>
                <w:rFonts w:eastAsia="MS Mincho"/>
              </w:rPr>
            </w:pPr>
            <w:r w:rsidRPr="008C39E4">
              <w:rPr>
                <w:rFonts w:eastAsia="MS Mincho"/>
                <w:u w:val="single"/>
              </w:rPr>
              <w:lastRenderedPageBreak/>
              <w:t>Primary</w:t>
            </w:r>
            <w:r>
              <w:rPr>
                <w:rFonts w:eastAsia="MS Mincho"/>
              </w:rPr>
              <w:t xml:space="preserve">: </w:t>
            </w:r>
            <w:r w:rsidR="00631C7B">
              <w:rPr>
                <w:rFonts w:eastAsia="MS Mincho"/>
              </w:rPr>
              <w:t>7-day PPA</w:t>
            </w:r>
            <w:r w:rsidR="00A25BE2">
              <w:rPr>
                <w:rFonts w:eastAsia="MS Mincho"/>
              </w:rPr>
              <w:t xml:space="preserve"> at </w:t>
            </w:r>
            <w:r w:rsidR="00D562FA">
              <w:rPr>
                <w:rFonts w:eastAsia="MS Mincho"/>
              </w:rPr>
              <w:t>w</w:t>
            </w:r>
            <w:r w:rsidR="00A25BE2">
              <w:rPr>
                <w:rFonts w:eastAsia="MS Mincho"/>
              </w:rPr>
              <w:t>eek 24 and 52</w:t>
            </w:r>
            <w:r>
              <w:rPr>
                <w:rFonts w:eastAsia="MS Mincho"/>
              </w:rPr>
              <w:t xml:space="preserve">. Validated by CO </w:t>
            </w:r>
            <w:r w:rsidR="00A25BE2">
              <w:rPr>
                <w:rFonts w:eastAsia="MS Mincho"/>
              </w:rPr>
              <w:t>&lt;</w:t>
            </w:r>
            <w:r>
              <w:rPr>
                <w:rFonts w:eastAsia="MS Mincho"/>
              </w:rPr>
              <w:t>10 ppm.</w:t>
            </w:r>
          </w:p>
          <w:p w14:paraId="32CD77F8" w14:textId="57017BD8" w:rsidR="001A0C32" w:rsidRDefault="001A0C32" w:rsidP="00576F26">
            <w:pPr>
              <w:pStyle w:val="Tablewriting"/>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D562FA">
              <w:rPr>
                <w:rFonts w:eastAsia="MS Mincho"/>
              </w:rPr>
              <w:t>w</w:t>
            </w:r>
            <w:r>
              <w:rPr>
                <w:rFonts w:eastAsia="MS Mincho"/>
              </w:rPr>
              <w:t>eek</w:t>
            </w:r>
            <w:r w:rsidRPr="005B56AA">
              <w:rPr>
                <w:rFonts w:eastAsia="MS Mincho"/>
              </w:rPr>
              <w:t xml:space="preserve"> </w:t>
            </w:r>
            <w:r w:rsidR="00A25BE2">
              <w:rPr>
                <w:rFonts w:eastAsia="MS Mincho"/>
              </w:rPr>
              <w:t>9-24 and 9</w:t>
            </w:r>
            <w:r>
              <w:rPr>
                <w:rFonts w:eastAsia="MS Mincho"/>
              </w:rPr>
              <w:t xml:space="preserve">-52. Validated by CO </w:t>
            </w:r>
            <w:r w:rsidR="008223CA">
              <w:rPr>
                <w:rFonts w:eastAsia="MS Mincho"/>
              </w:rPr>
              <w:t>&lt;</w:t>
            </w:r>
            <w:r>
              <w:rPr>
                <w:rFonts w:eastAsia="MS Mincho"/>
              </w:rPr>
              <w:t>10 ppm.</w:t>
            </w:r>
          </w:p>
          <w:p w14:paraId="00C66B0C" w14:textId="2E47FE91" w:rsidR="001A0C32" w:rsidRPr="0036499C" w:rsidRDefault="001A0C32" w:rsidP="00576F26">
            <w:pPr>
              <w:pStyle w:val="Tablewriting"/>
              <w:rPr>
                <w:rFonts w:eastAsia="MS Mincho"/>
                <w:u w:val="single"/>
              </w:rPr>
            </w:pPr>
            <w:r w:rsidRPr="0055171C">
              <w:rPr>
                <w:rFonts w:eastAsia="MS Mincho"/>
                <w:u w:val="single"/>
              </w:rPr>
              <w:t>Other</w:t>
            </w:r>
            <w:r>
              <w:rPr>
                <w:rFonts w:eastAsia="MS Mincho"/>
              </w:rPr>
              <w:t xml:space="preserve">: </w:t>
            </w:r>
            <w:r w:rsidR="008223CA">
              <w:rPr>
                <w:rFonts w:eastAsia="MS Mincho"/>
              </w:rPr>
              <w:t>treatment adherence, adverse events</w:t>
            </w:r>
            <w:r w:rsidR="00AB5FA3">
              <w:rPr>
                <w:rFonts w:eastAsia="MS Mincho"/>
              </w:rPr>
              <w:t>.</w:t>
            </w:r>
          </w:p>
        </w:tc>
      </w:tr>
    </w:tbl>
    <w:p w14:paraId="55435FC8" w14:textId="46C231C8" w:rsidR="002C7300" w:rsidRDefault="005814A2" w:rsidP="00EE1633">
      <w:pPr>
        <w:pStyle w:val="TableFooter"/>
        <w:keepNext/>
        <w:jc w:val="both"/>
      </w:pPr>
      <w:r>
        <w:t xml:space="preserve">Abbreviations: </w:t>
      </w:r>
      <w:r w:rsidR="002C7300" w:rsidRPr="002C7300">
        <w:t xml:space="preserve">CAR = continuous abstinence rate; CO = carbon monoxide; COPD = chronic obstructive pulmonary disease; MNWS = Minnesota Tobacco Withdrawal Scale; NRT = nicotine replacement therapy; PPA = point prevalence abstinence; RCT = randomised controlled trial </w:t>
      </w:r>
    </w:p>
    <w:p w14:paraId="563674B2" w14:textId="69AE0D5C" w:rsidR="005814A2" w:rsidRDefault="005814A2" w:rsidP="00EE1633">
      <w:pPr>
        <w:pStyle w:val="TableFooter"/>
        <w:keepNext/>
        <w:jc w:val="both"/>
      </w:pPr>
      <w:r w:rsidRPr="00061F78">
        <w:rPr>
          <w:highlight w:val="lightGray"/>
        </w:rPr>
        <w:t>Shaded</w:t>
      </w:r>
      <w:r w:rsidRPr="00061F78">
        <w:t xml:space="preserve"> = previously considered by the PBAC</w:t>
      </w:r>
    </w:p>
    <w:p w14:paraId="0227B466" w14:textId="1AFDD6FF" w:rsidR="005814A2" w:rsidRDefault="005814A2" w:rsidP="00EE1633">
      <w:pPr>
        <w:pStyle w:val="TableFooter"/>
        <w:keepNext/>
        <w:jc w:val="both"/>
      </w:pPr>
      <w:r>
        <w:t>1 Only the number of patients (n) in the relevant arms were included</w:t>
      </w:r>
      <w:r w:rsidR="00AB5FA3">
        <w:t>.</w:t>
      </w:r>
      <w:r>
        <w:t xml:space="preserve"> </w:t>
      </w:r>
    </w:p>
    <w:p w14:paraId="23118EFE" w14:textId="5984E7A0" w:rsidR="000970B9" w:rsidRDefault="00B621E0" w:rsidP="00EE1633">
      <w:pPr>
        <w:pStyle w:val="TableFooter"/>
        <w:keepNext/>
        <w:jc w:val="both"/>
      </w:pPr>
      <w:r>
        <w:t>2</w:t>
      </w:r>
      <w:r w:rsidR="005814A2">
        <w:t xml:space="preserve"> The characteristics of the individual studies comparing varenicline with placebo included in </w:t>
      </w:r>
      <w:r w:rsidR="00555061">
        <w:t xml:space="preserve">Livingstone-Banks </w:t>
      </w:r>
      <w:r w:rsidR="005814A2">
        <w:t>et al. (201</w:t>
      </w:r>
      <w:r w:rsidR="00555061">
        <w:t>9</w:t>
      </w:r>
      <w:r w:rsidR="005814A2">
        <w:t xml:space="preserve">) are presented in </w:t>
      </w:r>
      <w:r w:rsidR="005814A2" w:rsidRPr="009E4D54">
        <w:t>Appendix</w:t>
      </w:r>
      <w:r w:rsidR="000B683C">
        <w:t xml:space="preserve"> Table 151</w:t>
      </w:r>
      <w:r w:rsidR="005814A2">
        <w:t xml:space="preserve">. </w:t>
      </w:r>
      <w:r w:rsidR="00D76C1C">
        <w:t>One study</w:t>
      </w:r>
      <w:r w:rsidR="005814A2">
        <w:t xml:space="preserve"> previously considered by the PBAC (</w:t>
      </w:r>
      <w:r w:rsidR="00D76C1C">
        <w:t>Tonstad et al. 2006</w:t>
      </w:r>
      <w:r w:rsidR="005814A2" w:rsidRPr="005B2A6C">
        <w:t xml:space="preserve">) </w:t>
      </w:r>
      <w:r w:rsidR="005814A2">
        <w:t>w</w:t>
      </w:r>
      <w:r w:rsidR="00D76C1C">
        <w:t>as</w:t>
      </w:r>
      <w:r w:rsidR="005814A2">
        <w:t xml:space="preserve"> included in the primary efficacy analysis of </w:t>
      </w:r>
      <w:r w:rsidR="00D76C1C">
        <w:t>Livingstone-Banks et al. (2019)</w:t>
      </w:r>
      <w:r w:rsidR="005814A2">
        <w:t>.</w:t>
      </w:r>
    </w:p>
    <w:p w14:paraId="799416ED" w14:textId="1AB19EBA" w:rsidR="0087198D" w:rsidRDefault="000228C8" w:rsidP="00EE1633">
      <w:pPr>
        <w:pStyle w:val="TableFooter"/>
        <w:keepNext/>
        <w:jc w:val="both"/>
      </w:pPr>
      <w:r>
        <w:t>3 I</w:t>
      </w:r>
      <w:r w:rsidRPr="000228C8">
        <w:t>n Schnoll et al. (2019)</w:t>
      </w:r>
      <w:r>
        <w:t>, there w</w:t>
      </w:r>
      <w:r w:rsidR="008C349E">
        <w:t>as</w:t>
      </w:r>
      <w:r>
        <w:t xml:space="preserve"> no information reported on the</w:t>
      </w:r>
      <w:r w:rsidRPr="000228C8">
        <w:t xml:space="preserve"> blinding of patients</w:t>
      </w:r>
      <w:r>
        <w:t>.</w:t>
      </w:r>
    </w:p>
    <w:p w14:paraId="6A5035D1" w14:textId="77777777" w:rsidR="000970B9" w:rsidRDefault="000970B9" w:rsidP="003B4B27">
      <w:pPr>
        <w:sectPr w:rsidR="000970B9" w:rsidSect="000970B9">
          <w:pgSz w:w="16838" w:h="11906" w:orient="landscape"/>
          <w:pgMar w:top="1440" w:right="1440" w:bottom="1440" w:left="1440" w:header="708" w:footer="708" w:gutter="0"/>
          <w:cols w:space="708"/>
          <w:titlePg/>
          <w:docGrid w:linePitch="360"/>
        </w:sectPr>
      </w:pPr>
    </w:p>
    <w:p w14:paraId="45502A78" w14:textId="677E1298" w:rsidR="00FC193A" w:rsidRPr="00FC193A" w:rsidRDefault="00FC193A" w:rsidP="00EE1633">
      <w:pPr>
        <w:spacing w:after="120"/>
        <w:jc w:val="both"/>
        <w:rPr>
          <w:u w:val="single"/>
        </w:rPr>
      </w:pPr>
      <w:r w:rsidRPr="00FC193A">
        <w:rPr>
          <w:u w:val="single"/>
        </w:rPr>
        <w:lastRenderedPageBreak/>
        <w:t>Efficacy</w:t>
      </w:r>
    </w:p>
    <w:p w14:paraId="0817C855" w14:textId="7035BE5C" w:rsidR="00FD71B4" w:rsidRDefault="00FC193A" w:rsidP="00EE1633">
      <w:pPr>
        <w:spacing w:after="120"/>
        <w:jc w:val="both"/>
      </w:pPr>
      <w:r>
        <w:t xml:space="preserve">A summary of the smoking cessation rates at </w:t>
      </w:r>
      <w:r w:rsidR="00FD71B4">
        <w:t>12 months</w:t>
      </w:r>
      <w:r>
        <w:t xml:space="preserve"> </w:t>
      </w:r>
      <w:r w:rsidR="003E6D80">
        <w:t xml:space="preserve">comparing varenicline with placebo </w:t>
      </w:r>
      <w:r w:rsidR="009E4D54">
        <w:t xml:space="preserve">in abstainers for relapse prevention </w:t>
      </w:r>
      <w:r>
        <w:t xml:space="preserve">is presented in </w:t>
      </w:r>
      <w:r w:rsidR="00FD71B4">
        <w:fldChar w:fldCharType="begin" w:fldLock="1"/>
      </w:r>
      <w:r w:rsidR="00FD71B4">
        <w:instrText xml:space="preserve"> REF _Ref54783364 \h </w:instrText>
      </w:r>
      <w:r w:rsidR="00FD71B4">
        <w:fldChar w:fldCharType="separate"/>
      </w:r>
      <w:r w:rsidR="00EC5CC7">
        <w:t xml:space="preserve">Table </w:t>
      </w:r>
      <w:r w:rsidR="00EC5CC7">
        <w:rPr>
          <w:noProof/>
        </w:rPr>
        <w:t>34</w:t>
      </w:r>
      <w:r w:rsidR="00FD71B4">
        <w:fldChar w:fldCharType="end"/>
      </w:r>
      <w:r>
        <w:t xml:space="preserve">. </w:t>
      </w:r>
      <w:r w:rsidR="00FD71B4">
        <w:t xml:space="preserve">The results of Tonstad et al. (2006) demonstrated a statistically significant difference in continuous abstinence rate, in favour of varenicline. Similarly, the results of the meta-analysis comprising two RCTs </w:t>
      </w:r>
      <w:r w:rsidR="00377C0D">
        <w:t xml:space="preserve">conducted </w:t>
      </w:r>
      <w:r w:rsidR="00FD71B4">
        <w:t xml:space="preserve">by </w:t>
      </w:r>
      <w:r w:rsidR="00FD71B4" w:rsidRPr="00FD71B4">
        <w:t>Livingstone-Banks et al. (2019)</w:t>
      </w:r>
      <w:r w:rsidR="00FD71B4">
        <w:t xml:space="preserve"> demonstrated a statistically significant difference in long-term smoking cessation rates, in favour of varenicline.</w:t>
      </w:r>
    </w:p>
    <w:p w14:paraId="0361467F" w14:textId="312F3619" w:rsidR="00FD71B4" w:rsidRDefault="00FD71B4" w:rsidP="00EE1633">
      <w:pPr>
        <w:pStyle w:val="Caption"/>
        <w:keepNext/>
        <w:spacing w:before="0" w:after="120"/>
        <w:jc w:val="both"/>
      </w:pPr>
      <w:bookmarkStart w:id="79" w:name="_Ref54783364"/>
      <w:r>
        <w:t xml:space="preserve">Table </w:t>
      </w:r>
      <w:r w:rsidR="00BF3F75">
        <w:fldChar w:fldCharType="begin"/>
      </w:r>
      <w:r w:rsidR="00BF3F75">
        <w:instrText xml:space="preserve"> SEQ Table \* ARABIC </w:instrText>
      </w:r>
      <w:r w:rsidR="00BF3F75">
        <w:fldChar w:fldCharType="separate"/>
      </w:r>
      <w:r w:rsidR="00EC5CC7">
        <w:rPr>
          <w:noProof/>
        </w:rPr>
        <w:t>34</w:t>
      </w:r>
      <w:r w:rsidR="00BF3F75">
        <w:rPr>
          <w:noProof/>
        </w:rPr>
        <w:fldChar w:fldCharType="end"/>
      </w:r>
      <w:bookmarkEnd w:id="79"/>
      <w:r>
        <w:t xml:space="preserve">: </w:t>
      </w:r>
      <w:r w:rsidRPr="00BB4A53">
        <w:t>Results of smoking cessation</w:t>
      </w:r>
      <w:r>
        <w:t xml:space="preserve"> </w:t>
      </w:r>
      <w:r w:rsidRPr="00BB4A53">
        <w:t xml:space="preserve">at </w:t>
      </w:r>
      <w:r>
        <w:t>12</w:t>
      </w:r>
      <w:r w:rsidRPr="00BB4A53">
        <w:t xml:space="preserve"> months </w:t>
      </w:r>
      <w:r>
        <w:t>after quit date</w:t>
      </w:r>
      <w:r w:rsidRPr="00BB4A53">
        <w:t>, varenicline versus placebo</w:t>
      </w:r>
      <w:r w:rsidR="002F03FD">
        <w:t xml:space="preserve"> </w:t>
      </w:r>
      <w:r w:rsidR="002F03FD" w:rsidRPr="00555061">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2092"/>
        <w:gridCol w:w="1830"/>
        <w:gridCol w:w="1828"/>
      </w:tblGrid>
      <w:tr w:rsidR="00FD71B4" w:rsidRPr="00061F78" w14:paraId="63E58530" w14:textId="77777777" w:rsidTr="00523CCB">
        <w:trPr>
          <w:cantSplit/>
          <w:trHeight w:val="299"/>
          <w:tblHeader/>
        </w:trPr>
        <w:tc>
          <w:tcPr>
            <w:tcW w:w="859" w:type="pct"/>
            <w:shd w:val="clear" w:color="auto" w:fill="BFBFBF" w:themeFill="background1" w:themeFillShade="BF"/>
            <w:tcMar>
              <w:left w:w="28" w:type="dxa"/>
              <w:right w:w="28" w:type="dxa"/>
            </w:tcMar>
          </w:tcPr>
          <w:p w14:paraId="37E4CA4D" w14:textId="172F68ED" w:rsidR="00FD71B4" w:rsidRPr="00061F78" w:rsidRDefault="00126B7B" w:rsidP="002C1625">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14:paraId="5F31C3B6" w14:textId="77777777" w:rsidR="00FD71B4" w:rsidRDefault="00FD71B4" w:rsidP="002C1625">
            <w:pPr>
              <w:pStyle w:val="Tableheading"/>
              <w:keepNext/>
              <w:jc w:val="center"/>
              <w:rPr>
                <w:rFonts w:eastAsia="MS Mincho"/>
              </w:rPr>
            </w:pPr>
            <w:r>
              <w:rPr>
                <w:rFonts w:eastAsia="MS Mincho"/>
              </w:rPr>
              <w:t>Study type</w:t>
            </w:r>
          </w:p>
        </w:tc>
        <w:tc>
          <w:tcPr>
            <w:tcW w:w="1160" w:type="pct"/>
            <w:shd w:val="clear" w:color="auto" w:fill="BFBFBF" w:themeFill="background1" w:themeFillShade="BF"/>
            <w:tcMar>
              <w:left w:w="28" w:type="dxa"/>
              <w:right w:w="28" w:type="dxa"/>
            </w:tcMar>
            <w:vAlign w:val="center"/>
          </w:tcPr>
          <w:p w14:paraId="132E11DC" w14:textId="77777777" w:rsidR="00FD71B4" w:rsidRPr="00061F78" w:rsidRDefault="00FD71B4" w:rsidP="002C1625">
            <w:pPr>
              <w:pStyle w:val="Tableheading"/>
              <w:keepNext/>
              <w:jc w:val="center"/>
              <w:rPr>
                <w:rFonts w:eastAsia="MS Mincho"/>
              </w:rPr>
            </w:pPr>
            <w:r>
              <w:rPr>
                <w:rFonts w:eastAsia="MS Mincho"/>
              </w:rPr>
              <w:t>Varenicline</w:t>
            </w:r>
          </w:p>
        </w:tc>
        <w:tc>
          <w:tcPr>
            <w:tcW w:w="1015" w:type="pct"/>
            <w:shd w:val="clear" w:color="auto" w:fill="BFBFBF" w:themeFill="background1" w:themeFillShade="BF"/>
            <w:tcMar>
              <w:left w:w="28" w:type="dxa"/>
              <w:right w:w="28" w:type="dxa"/>
            </w:tcMar>
            <w:vAlign w:val="center"/>
          </w:tcPr>
          <w:p w14:paraId="696FD83F" w14:textId="77777777" w:rsidR="00FD71B4" w:rsidRPr="00061F78" w:rsidRDefault="00FD71B4" w:rsidP="002C1625">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14:paraId="02C7D2FD" w14:textId="64A3A487" w:rsidR="00FD71B4" w:rsidRPr="00D468CF" w:rsidRDefault="00FD71B4" w:rsidP="002C1625">
            <w:pPr>
              <w:pStyle w:val="Tableheading"/>
              <w:keepNext/>
              <w:jc w:val="center"/>
              <w:rPr>
                <w:rFonts w:eastAsia="MS Mincho"/>
                <w:vertAlign w:val="superscript"/>
              </w:rPr>
            </w:pPr>
            <w:r>
              <w:rPr>
                <w:rFonts w:eastAsia="MS Mincho"/>
              </w:rPr>
              <w:t>RR (95% CI)</w:t>
            </w:r>
          </w:p>
        </w:tc>
      </w:tr>
      <w:tr w:rsidR="00FD71B4" w:rsidRPr="00061F78" w14:paraId="03DE10C6" w14:textId="77777777" w:rsidTr="00015CD6">
        <w:trPr>
          <w:cantSplit/>
          <w:trHeight w:val="99"/>
        </w:trPr>
        <w:tc>
          <w:tcPr>
            <w:tcW w:w="859" w:type="pct"/>
            <w:shd w:val="clear" w:color="auto" w:fill="D9D9D9" w:themeFill="background1" w:themeFillShade="D9"/>
            <w:tcMar>
              <w:left w:w="28" w:type="dxa"/>
              <w:right w:w="28" w:type="dxa"/>
            </w:tcMar>
          </w:tcPr>
          <w:p w14:paraId="77336C3C" w14:textId="383B7538" w:rsidR="00FD71B4" w:rsidRDefault="00FD71B4" w:rsidP="002C1625">
            <w:pPr>
              <w:pStyle w:val="Tablewriting"/>
              <w:keepNext/>
              <w:rPr>
                <w:rFonts w:eastAsia="MS Mincho"/>
              </w:rPr>
            </w:pPr>
            <w:r>
              <w:rPr>
                <w:rFonts w:eastAsia="MS Mincho"/>
              </w:rPr>
              <w:t>Tonstad (2006)</w:t>
            </w:r>
            <w:r>
              <w:rPr>
                <w:rFonts w:eastAsia="MS Mincho"/>
                <w:vertAlign w:val="superscript"/>
              </w:rPr>
              <w:t>1</w:t>
            </w:r>
            <w:r>
              <w:rPr>
                <w:rFonts w:eastAsia="MS Mincho"/>
              </w:rPr>
              <w:t xml:space="preserve"> </w:t>
            </w:r>
          </w:p>
        </w:tc>
        <w:tc>
          <w:tcPr>
            <w:tcW w:w="951" w:type="pct"/>
            <w:shd w:val="clear" w:color="auto" w:fill="D9D9D9" w:themeFill="background1" w:themeFillShade="D9"/>
            <w:vAlign w:val="center"/>
          </w:tcPr>
          <w:p w14:paraId="0ACC25EC" w14:textId="77777777" w:rsidR="00FD71B4" w:rsidRDefault="00FD71B4" w:rsidP="002C1625">
            <w:pPr>
              <w:pStyle w:val="Tablewriting"/>
              <w:keepNext/>
              <w:jc w:val="center"/>
              <w:rPr>
                <w:rFonts w:eastAsia="MS Mincho"/>
              </w:rPr>
            </w:pPr>
            <w:r>
              <w:rPr>
                <w:rFonts w:eastAsia="MS Mincho"/>
              </w:rPr>
              <w:t>RCT</w:t>
            </w:r>
          </w:p>
        </w:tc>
        <w:tc>
          <w:tcPr>
            <w:tcW w:w="1160" w:type="pct"/>
            <w:shd w:val="clear" w:color="auto" w:fill="D9D9D9" w:themeFill="background1" w:themeFillShade="D9"/>
            <w:tcMar>
              <w:left w:w="28" w:type="dxa"/>
              <w:right w:w="28" w:type="dxa"/>
            </w:tcMar>
            <w:vAlign w:val="center"/>
          </w:tcPr>
          <w:p w14:paraId="54D78668" w14:textId="43F90482" w:rsidR="00FD71B4" w:rsidRPr="00F423F8" w:rsidRDefault="00FD71B4" w:rsidP="002C1625">
            <w:pPr>
              <w:pStyle w:val="Tablewriting"/>
              <w:keepNext/>
              <w:jc w:val="center"/>
              <w:rPr>
                <w:rFonts w:eastAsia="MS Mincho"/>
                <w:vertAlign w:val="superscript"/>
              </w:rPr>
            </w:pPr>
            <w:r>
              <w:rPr>
                <w:rFonts w:eastAsia="MS Mincho"/>
              </w:rPr>
              <w:t>263/603</w:t>
            </w:r>
            <w:r w:rsidR="00F423F8">
              <w:rPr>
                <w:rFonts w:eastAsia="MS Mincho"/>
                <w:vertAlign w:val="superscript"/>
              </w:rPr>
              <w:t>4</w:t>
            </w:r>
          </w:p>
          <w:p w14:paraId="6B4C1C0B" w14:textId="42A0B2B6" w:rsidR="00FD71B4" w:rsidRDefault="00FD71B4" w:rsidP="002C1625">
            <w:pPr>
              <w:pStyle w:val="Tablewriting"/>
              <w:keepNext/>
              <w:jc w:val="center"/>
              <w:rPr>
                <w:rFonts w:eastAsia="MS Mincho"/>
              </w:rPr>
            </w:pPr>
            <w:r>
              <w:rPr>
                <w:rFonts w:eastAsia="MS Mincho"/>
              </w:rPr>
              <w:t>(</w:t>
            </w:r>
            <w:r w:rsidR="00F423F8">
              <w:rPr>
                <w:rFonts w:eastAsia="MS Mincho"/>
              </w:rPr>
              <w:t>43.6</w:t>
            </w:r>
            <w:r>
              <w:rPr>
                <w:rFonts w:eastAsia="MS Mincho"/>
              </w:rPr>
              <w:t>%)</w:t>
            </w:r>
          </w:p>
        </w:tc>
        <w:tc>
          <w:tcPr>
            <w:tcW w:w="1015" w:type="pct"/>
            <w:shd w:val="clear" w:color="auto" w:fill="D9D9D9" w:themeFill="background1" w:themeFillShade="D9"/>
            <w:tcMar>
              <w:left w:w="28" w:type="dxa"/>
              <w:right w:w="28" w:type="dxa"/>
            </w:tcMar>
            <w:vAlign w:val="center"/>
          </w:tcPr>
          <w:p w14:paraId="61DCD126" w14:textId="4F6717A3" w:rsidR="00FD71B4" w:rsidRDefault="00FD71B4" w:rsidP="002C1625">
            <w:pPr>
              <w:pStyle w:val="Tablewriting"/>
              <w:keepNext/>
              <w:jc w:val="center"/>
              <w:rPr>
                <w:rFonts w:eastAsia="MS Mincho"/>
              </w:rPr>
            </w:pPr>
            <w:r>
              <w:rPr>
                <w:rFonts w:eastAsia="MS Mincho"/>
              </w:rPr>
              <w:t>224/607</w:t>
            </w:r>
          </w:p>
          <w:p w14:paraId="6F508215" w14:textId="08C48057" w:rsidR="00FD71B4" w:rsidRDefault="00FD71B4" w:rsidP="002C1625">
            <w:pPr>
              <w:pStyle w:val="Tablewriting"/>
              <w:keepNext/>
              <w:jc w:val="center"/>
              <w:rPr>
                <w:rFonts w:eastAsia="MS Mincho"/>
              </w:rPr>
            </w:pPr>
            <w:r>
              <w:rPr>
                <w:rFonts w:eastAsia="MS Mincho"/>
              </w:rPr>
              <w:t>(</w:t>
            </w:r>
            <w:r w:rsidR="00F423F8">
              <w:rPr>
                <w:rFonts w:eastAsia="MS Mincho"/>
              </w:rPr>
              <w:t>36.9</w:t>
            </w:r>
            <w:r>
              <w:rPr>
                <w:rFonts w:eastAsia="MS Mincho"/>
              </w:rPr>
              <w:t>%)</w:t>
            </w:r>
          </w:p>
        </w:tc>
        <w:tc>
          <w:tcPr>
            <w:tcW w:w="1014" w:type="pct"/>
            <w:shd w:val="clear" w:color="auto" w:fill="D9D9D9" w:themeFill="background1" w:themeFillShade="D9"/>
            <w:tcMar>
              <w:left w:w="28" w:type="dxa"/>
              <w:right w:w="28" w:type="dxa"/>
            </w:tcMar>
            <w:vAlign w:val="center"/>
          </w:tcPr>
          <w:p w14:paraId="7E9B5351" w14:textId="0362F8FA" w:rsidR="00FD71B4" w:rsidRPr="00F360FD" w:rsidRDefault="00FD71B4" w:rsidP="002C1625">
            <w:pPr>
              <w:pStyle w:val="Tablewriting"/>
              <w:keepNext/>
              <w:jc w:val="center"/>
              <w:rPr>
                <w:rFonts w:eastAsia="MS Mincho"/>
                <w:b/>
                <w:bCs/>
              </w:rPr>
            </w:pPr>
            <w:r>
              <w:rPr>
                <w:rFonts w:eastAsia="MS Mincho"/>
                <w:b/>
                <w:bCs/>
              </w:rPr>
              <w:t>1.18</w:t>
            </w:r>
          </w:p>
          <w:p w14:paraId="27D835A6" w14:textId="4C979F09" w:rsidR="00FD71B4" w:rsidRPr="00F360FD" w:rsidRDefault="00FD71B4" w:rsidP="002C1625">
            <w:pPr>
              <w:pStyle w:val="Tablewriting"/>
              <w:keepNext/>
              <w:jc w:val="center"/>
              <w:rPr>
                <w:rFonts w:eastAsia="MS Mincho"/>
                <w:b/>
              </w:rPr>
            </w:pPr>
            <w:r w:rsidRPr="00F360FD">
              <w:rPr>
                <w:rFonts w:eastAsia="MS Mincho"/>
                <w:b/>
                <w:bCs/>
              </w:rPr>
              <w:t>(</w:t>
            </w:r>
            <w:r>
              <w:rPr>
                <w:rFonts w:eastAsia="MS Mincho"/>
                <w:b/>
                <w:bCs/>
              </w:rPr>
              <w:t>1.03</w:t>
            </w:r>
            <w:r w:rsidRPr="00F360FD">
              <w:rPr>
                <w:rFonts w:eastAsia="MS Mincho"/>
                <w:b/>
                <w:bCs/>
              </w:rPr>
              <w:t xml:space="preserve">, </w:t>
            </w:r>
            <w:r>
              <w:rPr>
                <w:rFonts w:eastAsia="MS Mincho"/>
                <w:b/>
                <w:bCs/>
              </w:rPr>
              <w:t>1.36</w:t>
            </w:r>
            <w:r w:rsidRPr="00F360FD">
              <w:rPr>
                <w:rFonts w:eastAsia="MS Mincho"/>
                <w:b/>
                <w:bCs/>
              </w:rPr>
              <w:t>)</w:t>
            </w:r>
          </w:p>
        </w:tc>
      </w:tr>
      <w:tr w:rsidR="00FD71B4" w:rsidRPr="00061F78" w14:paraId="5A5703D0" w14:textId="77777777" w:rsidTr="00523CCB">
        <w:trPr>
          <w:cantSplit/>
          <w:trHeight w:val="149"/>
        </w:trPr>
        <w:tc>
          <w:tcPr>
            <w:tcW w:w="859" w:type="pct"/>
            <w:tcMar>
              <w:left w:w="28" w:type="dxa"/>
              <w:right w:w="28" w:type="dxa"/>
            </w:tcMar>
          </w:tcPr>
          <w:p w14:paraId="715CB0BE" w14:textId="79632356" w:rsidR="00FD71B4" w:rsidRDefault="00FD71B4" w:rsidP="002C1625">
            <w:pPr>
              <w:pStyle w:val="Tablewriting"/>
              <w:keepNext/>
              <w:rPr>
                <w:rFonts w:eastAsia="MS Mincho"/>
              </w:rPr>
            </w:pPr>
            <w:r>
              <w:rPr>
                <w:rFonts w:eastAsia="MS Mincho"/>
              </w:rPr>
              <w:t xml:space="preserve">Livingstone-Banks </w:t>
            </w:r>
          </w:p>
          <w:p w14:paraId="3A7E43F0" w14:textId="5CB69CA1" w:rsidR="00FD71B4" w:rsidRPr="00D468CF" w:rsidRDefault="00FD71B4" w:rsidP="002C1625">
            <w:pPr>
              <w:pStyle w:val="Tablewriting"/>
              <w:keepNext/>
              <w:rPr>
                <w:rFonts w:eastAsia="MS Mincho"/>
                <w:vertAlign w:val="superscript"/>
              </w:rPr>
            </w:pPr>
            <w:r>
              <w:rPr>
                <w:rFonts w:eastAsia="MS Mincho"/>
              </w:rPr>
              <w:t>(2019)</w:t>
            </w:r>
            <w:r>
              <w:rPr>
                <w:rFonts w:eastAsia="MS Mincho"/>
                <w:vertAlign w:val="superscript"/>
              </w:rPr>
              <w:t>2</w:t>
            </w:r>
            <w:r w:rsidR="00523CCB">
              <w:rPr>
                <w:rFonts w:eastAsia="MS Mincho"/>
                <w:vertAlign w:val="superscript"/>
              </w:rPr>
              <w:t>,3</w:t>
            </w:r>
          </w:p>
        </w:tc>
        <w:tc>
          <w:tcPr>
            <w:tcW w:w="951" w:type="pct"/>
            <w:vAlign w:val="center"/>
          </w:tcPr>
          <w:p w14:paraId="190127CE" w14:textId="4482F1A6" w:rsidR="00FD71B4" w:rsidRDefault="00FD71B4" w:rsidP="002C1625">
            <w:pPr>
              <w:pStyle w:val="Tablewriting"/>
              <w:keepNext/>
              <w:jc w:val="center"/>
              <w:rPr>
                <w:rFonts w:eastAsia="MS Mincho"/>
              </w:rPr>
            </w:pPr>
            <w:r>
              <w:rPr>
                <w:rFonts w:eastAsia="MS Mincho"/>
              </w:rPr>
              <w:t>Cochrane Review (2 RCTs)</w:t>
            </w:r>
          </w:p>
        </w:tc>
        <w:tc>
          <w:tcPr>
            <w:tcW w:w="1160" w:type="pct"/>
            <w:tcMar>
              <w:left w:w="28" w:type="dxa"/>
              <w:right w:w="28" w:type="dxa"/>
            </w:tcMar>
            <w:vAlign w:val="center"/>
          </w:tcPr>
          <w:p w14:paraId="5C60C69A" w14:textId="0FFD818B" w:rsidR="00FD71B4" w:rsidRPr="00FD71B4" w:rsidRDefault="00FD71B4" w:rsidP="002C1625">
            <w:pPr>
              <w:pStyle w:val="Tablewriting"/>
              <w:keepNext/>
              <w:jc w:val="center"/>
              <w:rPr>
                <w:rFonts w:eastAsia="MS Mincho"/>
              </w:rPr>
            </w:pPr>
            <w:r>
              <w:rPr>
                <w:rFonts w:eastAsia="MS Mincho"/>
              </w:rPr>
              <w:t>281/643</w:t>
            </w:r>
            <w:r w:rsidRPr="00FD71B4">
              <w:rPr>
                <w:rFonts w:eastAsia="MS Mincho"/>
              </w:rPr>
              <w:t xml:space="preserve"> </w:t>
            </w:r>
          </w:p>
          <w:p w14:paraId="07AFE7B4" w14:textId="6225D359" w:rsidR="00FD71B4" w:rsidRPr="00FD71B4" w:rsidRDefault="00FD71B4" w:rsidP="002C1625">
            <w:pPr>
              <w:pStyle w:val="Tablewriting"/>
              <w:keepNext/>
              <w:jc w:val="center"/>
              <w:rPr>
                <w:rFonts w:eastAsia="MS Mincho"/>
              </w:rPr>
            </w:pPr>
            <w:r w:rsidRPr="00FD71B4">
              <w:rPr>
                <w:rFonts w:eastAsia="MS Mincho"/>
              </w:rPr>
              <w:t>(</w:t>
            </w:r>
            <w:r w:rsidR="00F423F8">
              <w:rPr>
                <w:rFonts w:eastAsia="MS Mincho"/>
              </w:rPr>
              <w:t>43.7</w:t>
            </w:r>
            <w:r w:rsidRPr="00FD71B4">
              <w:rPr>
                <w:rFonts w:eastAsia="MS Mincho"/>
              </w:rPr>
              <w:t>%)</w:t>
            </w:r>
          </w:p>
        </w:tc>
        <w:tc>
          <w:tcPr>
            <w:tcW w:w="1015" w:type="pct"/>
            <w:tcMar>
              <w:left w:w="28" w:type="dxa"/>
              <w:right w:w="28" w:type="dxa"/>
            </w:tcMar>
            <w:vAlign w:val="center"/>
          </w:tcPr>
          <w:p w14:paraId="02588B22" w14:textId="18252D67" w:rsidR="00FD71B4" w:rsidRPr="00FD71B4" w:rsidRDefault="00FD71B4" w:rsidP="002C1625">
            <w:pPr>
              <w:pStyle w:val="Tablewriting"/>
              <w:keepNext/>
              <w:jc w:val="center"/>
              <w:rPr>
                <w:rFonts w:eastAsia="MS Mincho"/>
              </w:rPr>
            </w:pPr>
            <w:r>
              <w:rPr>
                <w:rFonts w:eastAsia="MS Mincho"/>
              </w:rPr>
              <w:t>231/654</w:t>
            </w:r>
            <w:r w:rsidRPr="00FD71B4">
              <w:rPr>
                <w:rFonts w:eastAsia="MS Mincho"/>
              </w:rPr>
              <w:t xml:space="preserve"> </w:t>
            </w:r>
          </w:p>
          <w:p w14:paraId="19DE474F" w14:textId="0F5089E6" w:rsidR="00FD71B4" w:rsidRPr="00FD71B4" w:rsidRDefault="00FD71B4" w:rsidP="002C1625">
            <w:pPr>
              <w:pStyle w:val="Tablewriting"/>
              <w:keepNext/>
              <w:jc w:val="center"/>
              <w:rPr>
                <w:rFonts w:eastAsia="MS Mincho"/>
              </w:rPr>
            </w:pPr>
            <w:r w:rsidRPr="00FD71B4">
              <w:rPr>
                <w:rFonts w:eastAsia="MS Mincho"/>
              </w:rPr>
              <w:t>(</w:t>
            </w:r>
            <w:r w:rsidR="00F423F8">
              <w:rPr>
                <w:rFonts w:eastAsia="MS Mincho"/>
              </w:rPr>
              <w:t>35.3</w:t>
            </w:r>
            <w:r w:rsidRPr="00FD71B4">
              <w:rPr>
                <w:rFonts w:eastAsia="MS Mincho"/>
              </w:rPr>
              <w:t>%)</w:t>
            </w:r>
          </w:p>
        </w:tc>
        <w:tc>
          <w:tcPr>
            <w:tcW w:w="1014" w:type="pct"/>
            <w:tcMar>
              <w:left w:w="28" w:type="dxa"/>
              <w:right w:w="28" w:type="dxa"/>
            </w:tcMar>
            <w:vAlign w:val="center"/>
          </w:tcPr>
          <w:p w14:paraId="7F625EC4" w14:textId="0B2738EB" w:rsidR="00FD71B4" w:rsidRPr="00FD71B4" w:rsidRDefault="00FD71B4" w:rsidP="002C1625">
            <w:pPr>
              <w:pStyle w:val="Tablewriting"/>
              <w:keepNext/>
              <w:jc w:val="center"/>
              <w:rPr>
                <w:rFonts w:eastAsia="MS Mincho"/>
                <w:b/>
              </w:rPr>
            </w:pPr>
            <w:r>
              <w:rPr>
                <w:rFonts w:eastAsia="MS Mincho"/>
                <w:b/>
                <w:bCs/>
              </w:rPr>
              <w:t>1.23</w:t>
            </w:r>
          </w:p>
          <w:p w14:paraId="7BDA7777" w14:textId="0D0181B0" w:rsidR="00FD71B4" w:rsidRPr="00FD71B4" w:rsidRDefault="00FD71B4" w:rsidP="002C1625">
            <w:pPr>
              <w:pStyle w:val="Tablewriting"/>
              <w:keepNext/>
              <w:jc w:val="center"/>
              <w:rPr>
                <w:rFonts w:eastAsia="MS Mincho"/>
              </w:rPr>
            </w:pPr>
            <w:r w:rsidRPr="00FD71B4">
              <w:rPr>
                <w:rFonts w:eastAsia="MS Mincho"/>
                <w:b/>
                <w:bCs/>
              </w:rPr>
              <w:t>(</w:t>
            </w:r>
            <w:r>
              <w:rPr>
                <w:rFonts w:eastAsia="MS Mincho"/>
                <w:b/>
                <w:bCs/>
              </w:rPr>
              <w:t>1.08</w:t>
            </w:r>
            <w:r w:rsidRPr="00FD71B4">
              <w:rPr>
                <w:rFonts w:eastAsia="MS Mincho"/>
                <w:b/>
                <w:bCs/>
              </w:rPr>
              <w:t xml:space="preserve">, </w:t>
            </w:r>
            <w:r>
              <w:rPr>
                <w:rFonts w:eastAsia="MS Mincho"/>
                <w:b/>
                <w:bCs/>
              </w:rPr>
              <w:t>1</w:t>
            </w:r>
            <w:r w:rsidRPr="00FD71B4">
              <w:rPr>
                <w:rFonts w:eastAsia="MS Mincho"/>
                <w:b/>
                <w:bCs/>
              </w:rPr>
              <w:t>.4</w:t>
            </w:r>
            <w:r>
              <w:rPr>
                <w:rFonts w:eastAsia="MS Mincho"/>
                <w:b/>
                <w:bCs/>
              </w:rPr>
              <w:t>1</w:t>
            </w:r>
            <w:r w:rsidRPr="00FD71B4">
              <w:rPr>
                <w:rFonts w:eastAsia="MS Mincho"/>
                <w:b/>
                <w:bCs/>
              </w:rPr>
              <w:t>)</w:t>
            </w:r>
          </w:p>
        </w:tc>
      </w:tr>
    </w:tbl>
    <w:p w14:paraId="554A9B94" w14:textId="28CC6891" w:rsidR="00FD71B4" w:rsidRDefault="00FD71B4" w:rsidP="00FD71B4">
      <w:pPr>
        <w:pStyle w:val="TableFooter"/>
        <w:keepNext/>
      </w:pPr>
      <w:r>
        <w:t>Source: Livingstone-Banks et al. (2019)</w:t>
      </w:r>
    </w:p>
    <w:p w14:paraId="2A3F4E4A" w14:textId="77777777" w:rsidR="00FD71B4" w:rsidRDefault="00FD71B4" w:rsidP="00FD71B4">
      <w:pPr>
        <w:pStyle w:val="TableFooter"/>
        <w:keepNext/>
        <w:rPr>
          <w:i/>
        </w:rPr>
      </w:pPr>
      <w:r>
        <w:t>Abbreviations: CI = confidence interval; RCT = randomised controlled trial; RR = risk ratio</w:t>
      </w:r>
      <w:r w:rsidRPr="00061F78">
        <w:t xml:space="preserve"> </w:t>
      </w:r>
    </w:p>
    <w:p w14:paraId="59AB3856" w14:textId="77777777" w:rsidR="00FD71B4" w:rsidRDefault="00FD71B4" w:rsidP="00FD71B4">
      <w:pPr>
        <w:pStyle w:val="TableFooter"/>
        <w:keepNext/>
      </w:pPr>
      <w:r w:rsidRPr="00061F78">
        <w:rPr>
          <w:highlight w:val="lightGray"/>
        </w:rPr>
        <w:t>Shaded</w:t>
      </w:r>
      <w:r w:rsidRPr="00061F78">
        <w:t xml:space="preserve"> = previously considered by the PBAC</w:t>
      </w:r>
    </w:p>
    <w:p w14:paraId="189D11B6" w14:textId="5DB1D4AA" w:rsidR="00FD71B4" w:rsidRDefault="00FD71B4" w:rsidP="00FD71B4">
      <w:pPr>
        <w:pStyle w:val="TableFooter"/>
        <w:keepNext/>
      </w:pPr>
      <w:r w:rsidRPr="00D468CF">
        <w:t>Note</w:t>
      </w:r>
      <w:r>
        <w:t>s</w:t>
      </w:r>
      <w:r w:rsidRPr="00D468CF">
        <w:t>: Bold indicates statistically significant difference.</w:t>
      </w:r>
      <w:r>
        <w:br/>
        <w:t>1 Continuous abstinence rate at 12 months (</w:t>
      </w:r>
      <w:r w:rsidR="00D562FA">
        <w:t>w</w:t>
      </w:r>
      <w:r>
        <w:t>eek 13-52)</w:t>
      </w:r>
      <w:r w:rsidR="00AB5FA3">
        <w:t>.</w:t>
      </w:r>
    </w:p>
    <w:p w14:paraId="6304FE48" w14:textId="376097D8" w:rsidR="00FD71B4" w:rsidRDefault="00FD71B4" w:rsidP="00EE1633">
      <w:pPr>
        <w:pStyle w:val="TableFooter"/>
        <w:keepNext/>
        <w:jc w:val="both"/>
      </w:pPr>
      <w:r>
        <w:t>2 Where cessation was assessed at multiple intervals, the longest follow-up data were used. Where multiple definitions of abstinence were assessed, the strictest of these definitions was used (</w:t>
      </w:r>
      <w:r w:rsidR="004C4EA7">
        <w:t>e.g.,</w:t>
      </w:r>
      <w:r>
        <w:t xml:space="preserve"> continuous/prolonged abstinence over point prevalence abstinence). See </w:t>
      </w:r>
      <w:r w:rsidRPr="009E4D54">
        <w:t xml:space="preserve">Appendix </w:t>
      </w:r>
      <w:r w:rsidR="000B683C">
        <w:t xml:space="preserve">Table 151 </w:t>
      </w:r>
      <w:r>
        <w:t>for the definition used in each study.</w:t>
      </w:r>
      <w:r w:rsidR="002C2A52" w:rsidRPr="002C2A52">
        <w:t xml:space="preserve"> Stud</w:t>
      </w:r>
      <w:r w:rsidR="00F75AB4">
        <w:t>y</w:t>
      </w:r>
      <w:r w:rsidR="002C2A52" w:rsidRPr="002C2A52">
        <w:t xml:space="preserve"> previously considered by the PBAC w</w:t>
      </w:r>
      <w:r w:rsidR="00F75AB4">
        <w:t>as</w:t>
      </w:r>
      <w:r w:rsidR="002C2A52" w:rsidRPr="002C2A52">
        <w:t xml:space="preserve"> included in the meta-analysis</w:t>
      </w:r>
      <w:r w:rsidR="002C2A52">
        <w:t xml:space="preserve"> of Livingstone-Banks et al. (2019).</w:t>
      </w:r>
    </w:p>
    <w:p w14:paraId="519BF3E3" w14:textId="4F0721A7" w:rsidR="00FD71B4" w:rsidRDefault="00FD71B4" w:rsidP="00EE1633">
      <w:pPr>
        <w:pStyle w:val="TableFooter"/>
        <w:keepNext/>
        <w:jc w:val="both"/>
      </w:pPr>
      <w:r w:rsidRPr="009E4D54">
        <w:t xml:space="preserve">3 Calculated </w:t>
      </w:r>
      <w:r w:rsidR="00523CCB" w:rsidRPr="009E4D54">
        <w:t>by Cochrane Review authors</w:t>
      </w:r>
      <w:r w:rsidRPr="009E4D54">
        <w:t xml:space="preserve"> using a fixed-effect model</w:t>
      </w:r>
      <w:r w:rsidR="00AB5FA3">
        <w:t>.</w:t>
      </w:r>
    </w:p>
    <w:p w14:paraId="56BF906E" w14:textId="432EC52B" w:rsidR="00F423F8" w:rsidRDefault="00F423F8" w:rsidP="00EE1633">
      <w:pPr>
        <w:pStyle w:val="TableFooter"/>
        <w:keepNext/>
        <w:spacing w:after="120"/>
        <w:contextualSpacing w:val="0"/>
        <w:jc w:val="both"/>
      </w:pPr>
      <w:r>
        <w:t xml:space="preserve">4 </w:t>
      </w:r>
      <w:r w:rsidRPr="00F423F8">
        <w:t xml:space="preserve">The number of events (n) reported in </w:t>
      </w:r>
      <w:r>
        <w:t>Livingstone-Banks</w:t>
      </w:r>
      <w:r w:rsidRPr="00F423F8">
        <w:t xml:space="preserve"> et al. (201</w:t>
      </w:r>
      <w:r>
        <w:t>9</w:t>
      </w:r>
      <w:r w:rsidRPr="00F423F8">
        <w:t>) differed from the number stated in the Varenicline PSD (200</w:t>
      </w:r>
      <w:r>
        <w:t>9</w:t>
      </w:r>
      <w:r w:rsidRPr="00F423F8">
        <w:t>); (</w:t>
      </w:r>
      <w:r>
        <w:t>Varenicline</w:t>
      </w:r>
      <w:r w:rsidRPr="00F423F8">
        <w:t>, n=</w:t>
      </w:r>
      <w:r>
        <w:t>263</w:t>
      </w:r>
      <w:r w:rsidRPr="00F423F8">
        <w:t xml:space="preserve"> versus </w:t>
      </w:r>
      <w:r>
        <w:t>265</w:t>
      </w:r>
      <w:r w:rsidRPr="00F423F8">
        <w:t xml:space="preserve">). The number reported in </w:t>
      </w:r>
      <w:r>
        <w:t>Livingstone-Banks</w:t>
      </w:r>
      <w:r w:rsidRPr="00F423F8">
        <w:t xml:space="preserve"> et al. (20</w:t>
      </w:r>
      <w:r>
        <w:t>19</w:t>
      </w:r>
      <w:r w:rsidRPr="00F423F8">
        <w:t>) w</w:t>
      </w:r>
      <w:r>
        <w:t>as</w:t>
      </w:r>
      <w:r w:rsidRPr="00F423F8">
        <w:t xml:space="preserve"> used as th</w:t>
      </w:r>
      <w:r>
        <w:t xml:space="preserve">is number </w:t>
      </w:r>
      <w:r w:rsidRPr="00F423F8">
        <w:t xml:space="preserve">corresponded with the </w:t>
      </w:r>
      <w:r>
        <w:t>number</w:t>
      </w:r>
      <w:r w:rsidRPr="00F423F8">
        <w:t xml:space="preserve"> reported in the key publication.</w:t>
      </w:r>
    </w:p>
    <w:p w14:paraId="374623F9" w14:textId="33F3FA20" w:rsidR="00F423F8" w:rsidRDefault="00F423F8" w:rsidP="00EE1633">
      <w:pPr>
        <w:spacing w:after="120"/>
        <w:jc w:val="both"/>
      </w:pPr>
      <w:r w:rsidRPr="00F423F8">
        <w:t xml:space="preserve">The results of the individual studies included in </w:t>
      </w:r>
      <w:r>
        <w:t>Livingstone-Banks</w:t>
      </w:r>
      <w:r w:rsidRPr="00F423F8">
        <w:t xml:space="preserve"> et al. (201</w:t>
      </w:r>
      <w:r>
        <w:t>9</w:t>
      </w:r>
      <w:r w:rsidRPr="00F423F8">
        <w:t xml:space="preserve">) are presented using a forest plot in </w:t>
      </w:r>
      <w:r>
        <w:fldChar w:fldCharType="begin" w:fldLock="1"/>
      </w:r>
      <w:r>
        <w:instrText xml:space="preserve"> REF _Ref54784071 \h </w:instrText>
      </w:r>
      <w:r>
        <w:fldChar w:fldCharType="separate"/>
      </w:r>
      <w:r w:rsidR="00EC5CC7">
        <w:t xml:space="preserve">Figure </w:t>
      </w:r>
      <w:r w:rsidR="00EC5CC7">
        <w:rPr>
          <w:noProof/>
        </w:rPr>
        <w:t>9</w:t>
      </w:r>
      <w:r>
        <w:fldChar w:fldCharType="end"/>
      </w:r>
      <w:r w:rsidRPr="00F423F8">
        <w:t xml:space="preserve">. </w:t>
      </w:r>
      <w:r>
        <w:t>It was noted the other RCT that was included in the meta-analysis (Evins et al. 2014) administered varenicline over 40 weeks (</w:t>
      </w:r>
      <w:r w:rsidR="00D562FA">
        <w:t>w</w:t>
      </w:r>
      <w:r>
        <w:t>eek 12 to 52) as a relapse prevention treatment instead of a standard 12-week treatment regimen.</w:t>
      </w:r>
    </w:p>
    <w:p w14:paraId="6CC13C63" w14:textId="77777777" w:rsidR="00F423F8" w:rsidRDefault="00F423F8" w:rsidP="00F423F8">
      <w:pPr>
        <w:keepNext/>
      </w:pPr>
      <w:r>
        <w:rPr>
          <w:noProof/>
        </w:rPr>
        <w:drawing>
          <wp:inline distT="0" distB="0" distL="0" distR="0" wp14:anchorId="45ACF894" wp14:editId="42B1C868">
            <wp:extent cx="5731510" cy="1591310"/>
            <wp:effectExtent l="0" t="0" r="2540" b="8890"/>
            <wp:docPr id="33" name="Picture 33" descr="P36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3641#yIS1"/>
                    <pic:cNvPicPr/>
                  </pic:nvPicPr>
                  <pic:blipFill>
                    <a:blip r:embed="rId28">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75CBE3BE" w14:textId="7911761F" w:rsidR="00ED79C1" w:rsidRDefault="00F423F8" w:rsidP="0070341B">
      <w:pPr>
        <w:pStyle w:val="Caption"/>
        <w:spacing w:after="60"/>
        <w:jc w:val="both"/>
      </w:pPr>
      <w:bookmarkStart w:id="80" w:name="_Ref54784071"/>
      <w:r>
        <w:t xml:space="preserve">Figure </w:t>
      </w:r>
      <w:r w:rsidR="00BF3F75">
        <w:fldChar w:fldCharType="begin"/>
      </w:r>
      <w:r w:rsidR="00BF3F75">
        <w:instrText xml:space="preserve"> SEQ Figure \* ARABIC </w:instrText>
      </w:r>
      <w:r w:rsidR="00BF3F75">
        <w:fldChar w:fldCharType="separate"/>
      </w:r>
      <w:r w:rsidR="00EC5CC7">
        <w:rPr>
          <w:noProof/>
        </w:rPr>
        <w:t>9</w:t>
      </w:r>
      <w:r w:rsidR="00BF3F75">
        <w:rPr>
          <w:noProof/>
        </w:rPr>
        <w:fldChar w:fldCharType="end"/>
      </w:r>
      <w:bookmarkEnd w:id="80"/>
      <w:r>
        <w:t xml:space="preserve">: </w:t>
      </w:r>
      <w:r w:rsidRPr="00F20B2A">
        <w:t xml:space="preserve">Results of smoking cessation at </w:t>
      </w:r>
      <w:r>
        <w:t>12</w:t>
      </w:r>
      <w:r w:rsidRPr="00F20B2A">
        <w:t xml:space="preserve"> months </w:t>
      </w:r>
      <w:r>
        <w:t xml:space="preserve">after quit date </w:t>
      </w:r>
      <w:r w:rsidRPr="00F20B2A">
        <w:t xml:space="preserve">in </w:t>
      </w:r>
      <w:r>
        <w:t>Livingstone-Banks</w:t>
      </w:r>
      <w:r w:rsidRPr="00F20B2A">
        <w:t xml:space="preserve"> et al. (201</w:t>
      </w:r>
      <w:r>
        <w:t>9</w:t>
      </w:r>
      <w:r w:rsidRPr="00F20B2A">
        <w:t>), varenicline versus placebo</w:t>
      </w:r>
      <w:r w:rsidR="002F03FD">
        <w:t xml:space="preserve"> </w:t>
      </w:r>
      <w:r w:rsidR="002F03FD" w:rsidRPr="00555061">
        <w:t>in abstainers for relapse prevention</w:t>
      </w:r>
    </w:p>
    <w:p w14:paraId="7F71517D" w14:textId="0896235A" w:rsidR="00F423F8" w:rsidRDefault="00F423F8" w:rsidP="00F423F8">
      <w:pPr>
        <w:pStyle w:val="FigureFooter"/>
      </w:pPr>
      <w:r>
        <w:t>Source: Livingstone-Banks et al. (2019)</w:t>
      </w:r>
    </w:p>
    <w:p w14:paraId="39501DF9" w14:textId="45A4A0E4" w:rsidR="00F423F8" w:rsidRDefault="00F423F8" w:rsidP="0070341B">
      <w:pPr>
        <w:pStyle w:val="FigureFooter"/>
        <w:spacing w:after="120"/>
        <w:contextualSpacing w:val="0"/>
        <w:jc w:val="both"/>
      </w:pPr>
      <w:r w:rsidRPr="00D041F9">
        <w:t>Abbreviations: CI = confidence interval</w:t>
      </w:r>
    </w:p>
    <w:p w14:paraId="7451A3B3" w14:textId="3765248C" w:rsidR="001C1416" w:rsidRDefault="00D7564C" w:rsidP="0070341B">
      <w:pPr>
        <w:spacing w:after="120"/>
        <w:jc w:val="both"/>
      </w:pPr>
      <w:r>
        <w:t xml:space="preserve">As Schnoll et al. (2019) did not require </w:t>
      </w:r>
      <w:r w:rsidRPr="00D7564C">
        <w:t xml:space="preserve">patients to </w:t>
      </w:r>
      <w:r w:rsidR="00D92764">
        <w:t>have</w:t>
      </w:r>
      <w:r w:rsidRPr="00D7564C">
        <w:t xml:space="preserve"> successfully abstained at 12 weeks to receive another 12 weeks of varenicline or placebo treatment</w:t>
      </w:r>
      <w:r>
        <w:t xml:space="preserve">, the results of this study were </w:t>
      </w:r>
      <w:r w:rsidR="007C584E">
        <w:t xml:space="preserve">not directly applicable in the Australian setting and were </w:t>
      </w:r>
      <w:r w:rsidR="00960001">
        <w:t>presented separately</w:t>
      </w:r>
      <w:r w:rsidR="003C799A">
        <w:t xml:space="preserve">. </w:t>
      </w:r>
      <w:r w:rsidR="00FA68C6">
        <w:t xml:space="preserve">The </w:t>
      </w:r>
      <w:r w:rsidR="005F7EF5">
        <w:t>p</w:t>
      </w:r>
      <w:r w:rsidR="005F7EF5" w:rsidRPr="005F7EF5">
        <w:t xml:space="preserve">oint </w:t>
      </w:r>
      <w:r w:rsidR="005F7EF5" w:rsidRPr="005F7EF5">
        <w:lastRenderedPageBreak/>
        <w:t>prevalence and continuous abstinence quit rates at weeks 24 and 52 were not significantly different across</w:t>
      </w:r>
      <w:r w:rsidR="005F7EF5">
        <w:t xml:space="preserve"> the two</w:t>
      </w:r>
      <w:r w:rsidR="005F7EF5" w:rsidRPr="005F7EF5">
        <w:t xml:space="preserve"> treatment arms</w:t>
      </w:r>
      <w:r w:rsidR="005F7EF5">
        <w:t xml:space="preserve">. </w:t>
      </w:r>
      <w:r w:rsidR="0058276E">
        <w:t xml:space="preserve">When stratified based on medication adherence, adherent patients who received </w:t>
      </w:r>
      <w:r w:rsidR="00BC57FE">
        <w:t>24 weeks of varenicline reported significantly higher abstinence rates compared with adherent patients who received 12 weeks of varenicline plus 12 weeks of placebo; the</w:t>
      </w:r>
      <w:r w:rsidR="0051578E">
        <w:t xml:space="preserve"> results were not statistically significant between treatment arms in non-adherent patients</w:t>
      </w:r>
      <w:r w:rsidR="00BC57FE">
        <w:t>.</w:t>
      </w:r>
      <w:r w:rsidR="00333269">
        <w:t xml:space="preserve"> </w:t>
      </w:r>
      <w:r w:rsidR="001C1416">
        <w:t xml:space="preserve">A sensitivity analysis was conducted during the review by meta-analysing </w:t>
      </w:r>
      <w:r w:rsidR="00960001">
        <w:t xml:space="preserve">Schnoll et al. (2019) with Evins et al. (2014) and Tonstad et al. (2006). </w:t>
      </w:r>
      <w:r w:rsidR="00C62403">
        <w:t>The results of the meta-analysis were no longer statistically significant</w:t>
      </w:r>
      <w:r w:rsidR="000658DD">
        <w:t xml:space="preserve"> between </w:t>
      </w:r>
      <w:r w:rsidR="00DF194C">
        <w:t>the two treatment arms</w:t>
      </w:r>
      <w:r w:rsidR="000658DD">
        <w:t>, although the results numerically favoured vareniclin</w:t>
      </w:r>
      <w:r w:rsidR="0040513B">
        <w:t>e</w:t>
      </w:r>
      <w:r w:rsidR="00C62403">
        <w:t xml:space="preserve"> (RR: 1.30, 95% CI: 0.69, 2.45).</w:t>
      </w:r>
    </w:p>
    <w:p w14:paraId="36636D43" w14:textId="6A9C4BCD" w:rsidR="00F423F8" w:rsidRPr="0073597F" w:rsidRDefault="00F423F8" w:rsidP="0070341B">
      <w:pPr>
        <w:spacing w:after="120"/>
        <w:jc w:val="both"/>
        <w:rPr>
          <w:u w:val="single"/>
        </w:rPr>
      </w:pPr>
      <w:r w:rsidRPr="0073597F">
        <w:rPr>
          <w:u w:val="single"/>
        </w:rPr>
        <w:t>Safety</w:t>
      </w:r>
    </w:p>
    <w:p w14:paraId="772D5B8C" w14:textId="6581AA0F" w:rsidR="005D6AA0" w:rsidRDefault="00F423F8" w:rsidP="0070341B">
      <w:pPr>
        <w:spacing w:after="120"/>
        <w:jc w:val="both"/>
      </w:pPr>
      <w:r w:rsidRPr="00F423F8">
        <w:t xml:space="preserve">The </w:t>
      </w:r>
      <w:r w:rsidR="00573F59">
        <w:t xml:space="preserve">safety </w:t>
      </w:r>
      <w:r w:rsidR="00B05DCD" w:rsidRPr="00F423F8">
        <w:t>of varenicline</w:t>
      </w:r>
      <w:r w:rsidR="002C1625">
        <w:t xml:space="preserve"> </w:t>
      </w:r>
      <w:r w:rsidR="00573F59">
        <w:t>versus</w:t>
      </w:r>
      <w:r w:rsidR="002C1625">
        <w:t xml:space="preserve"> placebo</w:t>
      </w:r>
      <w:r w:rsidRPr="00F423F8">
        <w:t xml:space="preserve"> </w:t>
      </w:r>
      <w:r w:rsidR="00F15CF6">
        <w:t>in abstainers for relapse prevention</w:t>
      </w:r>
      <w:r w:rsidRPr="00F423F8">
        <w:t xml:space="preserve"> was not </w:t>
      </w:r>
      <w:r w:rsidR="003B47EB">
        <w:t>assessed</w:t>
      </w:r>
      <w:r w:rsidRPr="00F423F8">
        <w:t xml:space="preserve"> by </w:t>
      </w:r>
      <w:r w:rsidR="002C1625" w:rsidRPr="002C1625">
        <w:t>Livingstone-Banks et al. (2019)</w:t>
      </w:r>
      <w:r w:rsidRPr="00F423F8">
        <w:t>.</w:t>
      </w:r>
      <w:r w:rsidR="002C1625">
        <w:t xml:space="preserve"> In November 2009, t</w:t>
      </w:r>
      <w:r w:rsidR="002C1625" w:rsidRPr="002C1625">
        <w:t xml:space="preserve">he PBAC accepted the clinical claim that varenicline </w:t>
      </w:r>
      <w:r w:rsidR="00601B80">
        <w:t>was</w:t>
      </w:r>
      <w:r w:rsidR="002C1625">
        <w:t xml:space="preserve"> </w:t>
      </w:r>
      <w:r w:rsidR="002C1625" w:rsidRPr="002C1625">
        <w:t>inferior to placebo</w:t>
      </w:r>
      <w:r w:rsidR="002C1625">
        <w:t xml:space="preserve"> in terms of comparative safety in patients who </w:t>
      </w:r>
      <w:r w:rsidR="00601B80">
        <w:t>we</w:t>
      </w:r>
      <w:r w:rsidR="002C1625">
        <w:t>re abstinent from smoking after an initial 12</w:t>
      </w:r>
      <w:r w:rsidR="00AD2ECD">
        <w:t>-</w:t>
      </w:r>
      <w:r w:rsidR="002C1625">
        <w:t>week course of varenicline</w:t>
      </w:r>
      <w:r w:rsidR="002C1625" w:rsidRPr="002C1625">
        <w:t xml:space="preserve"> (</w:t>
      </w:r>
      <w:r w:rsidR="002C1625" w:rsidRPr="005B09B5">
        <w:t>Varenicline PSD,</w:t>
      </w:r>
      <w:r w:rsidR="00B92197" w:rsidRPr="005B09B5">
        <w:t xml:space="preserve"> November </w:t>
      </w:r>
      <w:r w:rsidR="002C1625" w:rsidRPr="005B09B5">
        <w:t>2009</w:t>
      </w:r>
      <w:r w:rsidR="00B92197" w:rsidRPr="005B09B5">
        <w:t xml:space="preserve"> PBAC meeting</w:t>
      </w:r>
      <w:r w:rsidR="002C1625" w:rsidRPr="002C1625">
        <w:t>).</w:t>
      </w:r>
      <w:r w:rsidR="00333269">
        <w:t xml:space="preserve"> </w:t>
      </w:r>
    </w:p>
    <w:p w14:paraId="27C2DFF7" w14:textId="2DF6418B" w:rsidR="006A6AC2" w:rsidRDefault="00B5560F" w:rsidP="0070341B">
      <w:pPr>
        <w:spacing w:after="120"/>
        <w:jc w:val="both"/>
      </w:pPr>
      <w:r>
        <w:t xml:space="preserve">In </w:t>
      </w:r>
      <w:r w:rsidR="00E45493">
        <w:t>Tonstad et al. (2006), t</w:t>
      </w:r>
      <w:r w:rsidR="00E45493" w:rsidRPr="00E45493">
        <w:t xml:space="preserve">he most commonly reported adverse events during </w:t>
      </w:r>
      <w:r w:rsidR="00D34F2A">
        <w:t xml:space="preserve">the initial </w:t>
      </w:r>
      <w:r w:rsidR="00E45493" w:rsidRPr="00E45493">
        <w:t>open</w:t>
      </w:r>
      <w:r w:rsidR="00E45493">
        <w:t>-</w:t>
      </w:r>
      <w:r w:rsidR="00E45493" w:rsidRPr="00E45493">
        <w:t xml:space="preserve">label varenicline treatment </w:t>
      </w:r>
      <w:r w:rsidR="00D34F2A">
        <w:t xml:space="preserve">phase </w:t>
      </w:r>
      <w:r w:rsidR="00E45493" w:rsidRPr="00E45493">
        <w:t>were nausea (3</w:t>
      </w:r>
      <w:r w:rsidR="00252055">
        <w:t>3.5</w:t>
      </w:r>
      <w:r w:rsidR="00E45493" w:rsidRPr="00E45493">
        <w:t>%), insomnia (1</w:t>
      </w:r>
      <w:r w:rsidR="00252055">
        <w:t>9</w:t>
      </w:r>
      <w:r w:rsidR="00E45493" w:rsidRPr="00E45493">
        <w:t>.6%), abnormal dreams (14</w:t>
      </w:r>
      <w:r w:rsidR="00252055">
        <w:t>.3</w:t>
      </w:r>
      <w:r w:rsidR="00E45493" w:rsidRPr="00E45493">
        <w:t>%) and headache (1</w:t>
      </w:r>
      <w:r w:rsidR="00AD185A">
        <w:t>5.8</w:t>
      </w:r>
      <w:r w:rsidR="00E45493" w:rsidRPr="00E45493">
        <w:t>%)</w:t>
      </w:r>
      <w:r w:rsidR="00AD185A">
        <w:t>.</w:t>
      </w:r>
      <w:r w:rsidR="006A6AC2">
        <w:t xml:space="preserve"> </w:t>
      </w:r>
      <w:r w:rsidR="006A6AC2" w:rsidRPr="006A6AC2">
        <w:t>The incidence of adverse events during the double-blind treatment phase was similar for the varenicline and placebo groups (46% and 45%, respectively).</w:t>
      </w:r>
      <w:r w:rsidR="00E45493" w:rsidRPr="00E45493">
        <w:t xml:space="preserve"> </w:t>
      </w:r>
    </w:p>
    <w:p w14:paraId="571A3C18" w14:textId="712AEF4E" w:rsidR="006A6AC2" w:rsidRDefault="006A6AC2" w:rsidP="0070341B">
      <w:pPr>
        <w:spacing w:after="120"/>
        <w:jc w:val="both"/>
      </w:pPr>
      <w:r>
        <w:t xml:space="preserve">In Evins et al. (2014), </w:t>
      </w:r>
      <w:r w:rsidR="001D5BC7">
        <w:t>t</w:t>
      </w:r>
      <w:r w:rsidR="001D5BC7" w:rsidRPr="00E45493">
        <w:t>he most commonly reported adverse events during open</w:t>
      </w:r>
      <w:r w:rsidR="001D5BC7">
        <w:t>-</w:t>
      </w:r>
      <w:r w:rsidR="001D5BC7" w:rsidRPr="00E45493">
        <w:t xml:space="preserve">label varenicline treatment </w:t>
      </w:r>
      <w:r w:rsidR="001D5BC7">
        <w:t xml:space="preserve">(after quit date, week </w:t>
      </w:r>
      <w:r w:rsidR="007C00EF">
        <w:t>five</w:t>
      </w:r>
      <w:r w:rsidR="001D5BC7">
        <w:t xml:space="preserve"> to 12) </w:t>
      </w:r>
      <w:r w:rsidR="001D5BC7" w:rsidRPr="00E45493">
        <w:t xml:space="preserve">were </w:t>
      </w:r>
      <w:r w:rsidR="00022937">
        <w:t>agitation (32%), anxiety (30%), headache (30%) and excitement (28%)</w:t>
      </w:r>
      <w:r w:rsidR="001D5BC7">
        <w:t>.</w:t>
      </w:r>
      <w:r w:rsidR="008447D5">
        <w:t xml:space="preserve"> There were no statistically significant differences in nausea, insomnia, abnormal dreams, headache, depression, suicidal </w:t>
      </w:r>
      <w:r w:rsidR="004C4EA7">
        <w:t>ideation,</w:t>
      </w:r>
      <w:r w:rsidR="008C32C3">
        <w:t xml:space="preserve"> and serious adverse events during the double-blind treatment phase, as reported by Cahill et al. (2016).</w:t>
      </w:r>
    </w:p>
    <w:p w14:paraId="18FE97DC" w14:textId="4D72A2F6" w:rsidR="00B5560F" w:rsidRDefault="00B5560F" w:rsidP="0070341B">
      <w:pPr>
        <w:spacing w:after="120"/>
        <w:jc w:val="both"/>
      </w:pPr>
      <w:r>
        <w:t xml:space="preserve">In Schnoll et al. (2019), </w:t>
      </w:r>
      <w:r w:rsidR="006927EA">
        <w:t xml:space="preserve">there were no significant differences </w:t>
      </w:r>
      <w:r w:rsidR="004D2711">
        <w:t>in</w:t>
      </w:r>
      <w:r w:rsidR="006927EA" w:rsidRPr="006927EA">
        <w:t xml:space="preserve"> side effects, adverse and serious adverse </w:t>
      </w:r>
      <w:r w:rsidR="004C4EA7" w:rsidRPr="006927EA">
        <w:t>events,</w:t>
      </w:r>
      <w:r w:rsidR="006927EA" w:rsidRPr="006927EA">
        <w:t xml:space="preserve"> and rates of high blood pres</w:t>
      </w:r>
      <w:r w:rsidR="006927EA">
        <w:t>sure</w:t>
      </w:r>
      <w:r w:rsidR="004D2711" w:rsidRPr="004D2711">
        <w:t xml:space="preserve"> between </w:t>
      </w:r>
      <w:r w:rsidR="008E106B">
        <w:t xml:space="preserve">patients receiving </w:t>
      </w:r>
      <w:r w:rsidR="002B10E8" w:rsidRPr="002B10E8">
        <w:t>12 weeks of varenicline plus 12 weeks of placebo versus 24 weeks of varenicline</w:t>
      </w:r>
      <w:r w:rsidR="006927EA">
        <w:t xml:space="preserve">. </w:t>
      </w:r>
    </w:p>
    <w:p w14:paraId="4E829CD6" w14:textId="2F5073EE" w:rsidR="002C1625" w:rsidRDefault="002C1625" w:rsidP="0070341B">
      <w:pPr>
        <w:spacing w:after="120"/>
        <w:jc w:val="both"/>
        <w:rPr>
          <w:b/>
          <w:bCs/>
        </w:rPr>
      </w:pPr>
      <w:r w:rsidRPr="00F20770">
        <w:rPr>
          <w:b/>
          <w:bCs/>
        </w:rPr>
        <w:t xml:space="preserve">Varenicline versus placebo – </w:t>
      </w:r>
      <w:r w:rsidR="00FB365D">
        <w:rPr>
          <w:b/>
          <w:bCs/>
        </w:rPr>
        <w:t>non-</w:t>
      </w:r>
      <w:r w:rsidRPr="00F20770">
        <w:rPr>
          <w:b/>
          <w:bCs/>
        </w:rPr>
        <w:t>ab</w:t>
      </w:r>
      <w:r>
        <w:rPr>
          <w:b/>
          <w:bCs/>
        </w:rPr>
        <w:t>stainers (retreatment)</w:t>
      </w:r>
    </w:p>
    <w:p w14:paraId="41749960" w14:textId="6026633B" w:rsidR="002C1625" w:rsidRDefault="00FB365D" w:rsidP="0070341B">
      <w:pPr>
        <w:spacing w:after="120"/>
        <w:jc w:val="both"/>
      </w:pPr>
      <w:r w:rsidRPr="00FB365D">
        <w:t xml:space="preserve">A summary of the citation details for the studies comparing varenicline with placebo in </w:t>
      </w:r>
      <w:r>
        <w:t>non-</w:t>
      </w:r>
      <w:r w:rsidRPr="00FB365D">
        <w:t xml:space="preserve">abstainers </w:t>
      </w:r>
      <w:r>
        <w:t>as</w:t>
      </w:r>
      <w:r w:rsidRPr="00FB365D">
        <w:t xml:space="preserve"> re</w:t>
      </w:r>
      <w:r>
        <w:t>treatment</w:t>
      </w:r>
      <w:r w:rsidRPr="00FB365D">
        <w:t xml:space="preserve"> is presented in </w:t>
      </w:r>
      <w:r>
        <w:fldChar w:fldCharType="begin" w:fldLock="1"/>
      </w:r>
      <w:r>
        <w:instrText xml:space="preserve"> REF _Ref54786319 \h </w:instrText>
      </w:r>
      <w:r>
        <w:fldChar w:fldCharType="separate"/>
      </w:r>
      <w:r w:rsidR="00EC5CC7">
        <w:t xml:space="preserve">Table </w:t>
      </w:r>
      <w:r w:rsidR="00EC5CC7">
        <w:rPr>
          <w:noProof/>
        </w:rPr>
        <w:t>35</w:t>
      </w:r>
      <w:r>
        <w:fldChar w:fldCharType="end"/>
      </w:r>
      <w:r w:rsidRPr="00FB365D">
        <w:t>. One study was previously considered by the PBAC (</w:t>
      </w:r>
      <w:r>
        <w:t>Gonzales</w:t>
      </w:r>
      <w:r w:rsidRPr="00FB365D">
        <w:t xml:space="preserve"> et al. 20</w:t>
      </w:r>
      <w:r>
        <w:t>14</w:t>
      </w:r>
      <w:r w:rsidR="00877F36">
        <w:t>; referred to as Trial A3051139 in March 2014 PBAC meeting</w:t>
      </w:r>
      <w:r w:rsidRPr="00FB365D">
        <w:t xml:space="preserve">). A recently conducted Cochrane </w:t>
      </w:r>
      <w:r w:rsidR="00BB7AD6">
        <w:t>R</w:t>
      </w:r>
      <w:r w:rsidRPr="00FB365D">
        <w:t xml:space="preserve">eview by </w:t>
      </w:r>
      <w:r>
        <w:t>Cahill</w:t>
      </w:r>
      <w:r w:rsidRPr="00FB365D">
        <w:t xml:space="preserve"> et al. (201</w:t>
      </w:r>
      <w:r>
        <w:t>6</w:t>
      </w:r>
      <w:r w:rsidRPr="00FB365D">
        <w:t xml:space="preserve">) was identified in the systematic literature review that compared varenicline with placebo </w:t>
      </w:r>
      <w:r>
        <w:t>as retreatment</w:t>
      </w:r>
      <w:r w:rsidRPr="00FB365D">
        <w:t xml:space="preserve"> and was included in this report.</w:t>
      </w:r>
      <w:r w:rsidR="006927EA">
        <w:t xml:space="preserve"> </w:t>
      </w:r>
      <w:r w:rsidR="006927EA" w:rsidRPr="006927EA">
        <w:t xml:space="preserve">No new studies comparing </w:t>
      </w:r>
      <w:r w:rsidR="006927EA">
        <w:t xml:space="preserve">varenicline </w:t>
      </w:r>
      <w:r w:rsidR="006927EA" w:rsidRPr="006927EA">
        <w:t>with placebo</w:t>
      </w:r>
      <w:r w:rsidR="006927EA">
        <w:t xml:space="preserve"> </w:t>
      </w:r>
      <w:r w:rsidR="00457F7E">
        <w:t>in non-abstainers as retreatment</w:t>
      </w:r>
      <w:r w:rsidR="006927EA" w:rsidRPr="006927EA">
        <w:t xml:space="preserve"> were identified in the supplemental literature search.</w:t>
      </w:r>
    </w:p>
    <w:p w14:paraId="391B48C7" w14:textId="371E364F" w:rsidR="00FB365D" w:rsidRDefault="00FB365D" w:rsidP="0070341B">
      <w:pPr>
        <w:pStyle w:val="Caption"/>
        <w:keepNext/>
        <w:spacing w:after="120"/>
        <w:jc w:val="both"/>
      </w:pPr>
      <w:bookmarkStart w:id="81" w:name="_Ref54786319"/>
      <w:r>
        <w:lastRenderedPageBreak/>
        <w:t xml:space="preserve">Table </w:t>
      </w:r>
      <w:r w:rsidR="00BF3F75">
        <w:fldChar w:fldCharType="begin"/>
      </w:r>
      <w:r w:rsidR="00BF3F75">
        <w:instrText xml:space="preserve"> SEQ Table \* ARABIC </w:instrText>
      </w:r>
      <w:r w:rsidR="00BF3F75">
        <w:fldChar w:fldCharType="separate"/>
      </w:r>
      <w:r w:rsidR="00EC5CC7">
        <w:rPr>
          <w:noProof/>
        </w:rPr>
        <w:t>35</w:t>
      </w:r>
      <w:r w:rsidR="00BF3F75">
        <w:rPr>
          <w:noProof/>
        </w:rPr>
        <w:fldChar w:fldCharType="end"/>
      </w:r>
      <w:bookmarkEnd w:id="81"/>
      <w:r>
        <w:t xml:space="preserve">: </w:t>
      </w:r>
      <w:r w:rsidRPr="003756F6">
        <w:t xml:space="preserve">List of studies comparing varenicline with placebo in </w:t>
      </w:r>
      <w:r>
        <w:t>non-</w:t>
      </w:r>
      <w:r w:rsidRPr="003756F6">
        <w:t xml:space="preserve">abstainers </w:t>
      </w:r>
      <w:r w:rsidR="004250A7">
        <w:t>as</w:t>
      </w:r>
      <w:r w:rsidRPr="003756F6">
        <w:t xml:space="preserve"> re</w:t>
      </w:r>
      <w:r>
        <w:t>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843C2E" w:rsidRPr="00061F78" w14:paraId="51DC04AB" w14:textId="77777777" w:rsidTr="00FB365D">
        <w:trPr>
          <w:cantSplit/>
          <w:trHeight w:val="329"/>
          <w:tblHeader/>
        </w:trPr>
        <w:tc>
          <w:tcPr>
            <w:tcW w:w="566" w:type="pct"/>
            <w:shd w:val="clear" w:color="auto" w:fill="BFBFBF" w:themeFill="background1" w:themeFillShade="BF"/>
            <w:tcMar>
              <w:left w:w="28" w:type="dxa"/>
              <w:right w:w="28" w:type="dxa"/>
            </w:tcMar>
          </w:tcPr>
          <w:p w14:paraId="07DB176C" w14:textId="73C82E6B" w:rsidR="00FB365D" w:rsidRPr="00061F78" w:rsidRDefault="00126B7B" w:rsidP="00FB365D">
            <w:pPr>
              <w:pStyle w:val="Tableheading"/>
              <w:keepNext/>
              <w:rPr>
                <w:rFonts w:eastAsia="MS Mincho"/>
              </w:rPr>
            </w:pPr>
            <w:r>
              <w:rPr>
                <w:rFonts w:eastAsia="MS Mincho"/>
              </w:rPr>
              <w:t>Study</w:t>
            </w:r>
          </w:p>
        </w:tc>
        <w:tc>
          <w:tcPr>
            <w:tcW w:w="4434" w:type="pct"/>
            <w:shd w:val="clear" w:color="auto" w:fill="BFBFBF" w:themeFill="background1" w:themeFillShade="BF"/>
          </w:tcPr>
          <w:p w14:paraId="7B1E3B76" w14:textId="77777777" w:rsidR="00FB365D" w:rsidRDefault="00FB365D" w:rsidP="00FB365D">
            <w:pPr>
              <w:pStyle w:val="Tableheading"/>
              <w:keepNext/>
              <w:jc w:val="center"/>
              <w:rPr>
                <w:rFonts w:eastAsia="MS Mincho"/>
              </w:rPr>
            </w:pPr>
            <w:r>
              <w:rPr>
                <w:rFonts w:eastAsia="MS Mincho"/>
              </w:rPr>
              <w:t>Citation</w:t>
            </w:r>
          </w:p>
        </w:tc>
      </w:tr>
      <w:tr w:rsidR="00843C2E" w:rsidRPr="00061F78" w14:paraId="3964F2C5" w14:textId="77777777" w:rsidTr="00015CD6">
        <w:trPr>
          <w:cantSplit/>
          <w:trHeight w:val="109"/>
        </w:trPr>
        <w:tc>
          <w:tcPr>
            <w:tcW w:w="566" w:type="pct"/>
            <w:shd w:val="clear" w:color="auto" w:fill="D9D9D9" w:themeFill="background1" w:themeFillShade="D9"/>
            <w:tcMar>
              <w:left w:w="28" w:type="dxa"/>
              <w:right w:w="28" w:type="dxa"/>
            </w:tcMar>
          </w:tcPr>
          <w:p w14:paraId="14602A19" w14:textId="77777777" w:rsidR="00FB365D" w:rsidRDefault="00FB365D" w:rsidP="00FB365D">
            <w:pPr>
              <w:pStyle w:val="Tablewriting"/>
              <w:keepNext/>
              <w:rPr>
                <w:rFonts w:eastAsia="MS Mincho"/>
              </w:rPr>
            </w:pPr>
            <w:r>
              <w:rPr>
                <w:rFonts w:eastAsia="MS Mincho"/>
              </w:rPr>
              <w:t>Gonzales</w:t>
            </w:r>
          </w:p>
          <w:p w14:paraId="600B3A12" w14:textId="4563CF9F" w:rsidR="00FB365D" w:rsidRDefault="00FB365D" w:rsidP="00FB365D">
            <w:pPr>
              <w:pStyle w:val="Tablewriting"/>
              <w:keepNext/>
              <w:rPr>
                <w:rFonts w:eastAsia="MS Mincho"/>
              </w:rPr>
            </w:pPr>
            <w:r>
              <w:rPr>
                <w:rFonts w:eastAsia="MS Mincho"/>
              </w:rPr>
              <w:t>(2014)</w:t>
            </w:r>
            <w:hyperlink w:anchor="_ENREF_42" w:tooltip="Gonzales, 2014 #612" w:history="1">
              <w:r w:rsidR="0039468B">
                <w:rPr>
                  <w:rFonts w:eastAsia="MS Mincho"/>
                </w:rPr>
                <w:fldChar w:fldCharType="begin">
                  <w:fldData xml:space="preserve">PEVuZE5vdGU+PENpdGU+PEF1dGhvcj5Hb256YWxlczwvQXV0aG9yPjxZZWFyPjIwMTQ8L1llYXI+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</w:fldData>
                </w:fldChar>
              </w:r>
              <w:r w:rsidR="0039468B">
                <w:rPr>
                  <w:rFonts w:eastAsia="MS Mincho"/>
                </w:rPr>
                <w:instrText xml:space="preserve"> ADDIN EN.CITE </w:instrText>
              </w:r>
              <w:r w:rsidR="0039468B">
                <w:rPr>
                  <w:rFonts w:eastAsia="MS Mincho"/>
                </w:rPr>
                <w:fldChar w:fldCharType="begin">
                  <w:fldData xml:space="preserve">PEVuZE5vdGU+PENpdGU+PEF1dGhvcj5Hb256YWxlczwvQXV0aG9yPjxZZWFyPjIwMTQ8L1llYXI+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42</w:t>
              </w:r>
              <w:r w:rsidR="0039468B">
                <w:rPr>
                  <w:rFonts w:eastAsia="MS Mincho"/>
                </w:rPr>
                <w:fldChar w:fldCharType="end"/>
              </w:r>
            </w:hyperlink>
          </w:p>
        </w:tc>
        <w:tc>
          <w:tcPr>
            <w:tcW w:w="4434" w:type="pct"/>
            <w:shd w:val="clear" w:color="auto" w:fill="D9D9D9" w:themeFill="background1" w:themeFillShade="D9"/>
          </w:tcPr>
          <w:p w14:paraId="29BFAD37" w14:textId="7EBF6D73" w:rsidR="00FB365D" w:rsidRPr="003B6CC8" w:rsidRDefault="00FB365D" w:rsidP="00FB365D">
            <w:pPr>
              <w:pStyle w:val="Tablewriting"/>
              <w:keepNext/>
              <w:rPr>
                <w:rFonts w:eastAsia="MS Mincho"/>
              </w:rPr>
            </w:pPr>
            <w:r w:rsidRPr="00FB365D">
              <w:rPr>
                <w:rFonts w:eastAsia="MS Mincho"/>
              </w:rPr>
              <w:t>Gonzales D, Hajek P, Pliamm L, Nackaerts K, Tseng LJ, McRae TD, Treadow J. Retreatment with varenicline for smoking cessation in smokers who have previously taken varenicline: a randomized, placebo-controlled trial. Clin Pharmacol Ther. 2014 Sep;96(3):390-6.</w:t>
            </w:r>
          </w:p>
        </w:tc>
      </w:tr>
      <w:tr w:rsidR="00843C2E" w:rsidRPr="00061F78" w14:paraId="7C20250C" w14:textId="77777777" w:rsidTr="00FB365D">
        <w:trPr>
          <w:cantSplit/>
          <w:trHeight w:val="164"/>
        </w:trPr>
        <w:tc>
          <w:tcPr>
            <w:tcW w:w="566" w:type="pct"/>
            <w:tcMar>
              <w:left w:w="28" w:type="dxa"/>
              <w:right w:w="28" w:type="dxa"/>
            </w:tcMar>
          </w:tcPr>
          <w:p w14:paraId="70C23699" w14:textId="2120D703" w:rsidR="00FB365D" w:rsidRPr="00D07303" w:rsidRDefault="00FB365D" w:rsidP="00FB365D">
            <w:pPr>
              <w:pStyle w:val="Tablewriting"/>
              <w:keepNext/>
              <w:rPr>
                <w:rFonts w:eastAsia="MS Mincho"/>
                <w:vertAlign w:val="superscript"/>
              </w:rPr>
            </w:pPr>
            <w:r>
              <w:rPr>
                <w:rFonts w:eastAsia="MS Mincho"/>
              </w:rPr>
              <w:t>Cahill (2016)</w:t>
            </w:r>
            <w:hyperlink w:anchor="_ENREF_19" w:tooltip="Cahill, 2016 #20" w:history="1">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 </w:instrText>
              </w:r>
              <w:r w:rsidR="0039468B">
                <w:rPr>
                  <w:rFonts w:eastAsia="MS Mincho"/>
                  <w:vertAlign w:val="superscript"/>
                </w:rPr>
                <w:fldChar w:fldCharType="begin">
                  <w:fldData xml:space="preserve">PEVuZE5vdGU+PENpdGU+PEF1dGhvcj5DYWhpbGw8L0F1dGhvcj48WWVhcj4yMDE2PC9ZZWFyPjxS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</w:fldData>
                </w:fldChar>
              </w:r>
              <w:r w:rsidR="0039468B">
                <w:rPr>
                  <w:rFonts w:eastAsia="MS Mincho"/>
                  <w:vertAlign w:val="superscript"/>
                </w:rPr>
                <w:instrText xml:space="preserve"> ADDIN EN.CITE.DATA </w:instrText>
              </w:r>
              <w:r w:rsidR="0039468B">
                <w:rPr>
                  <w:rFonts w:eastAsia="MS Mincho"/>
                  <w:vertAlign w:val="superscript"/>
                </w:rPr>
              </w:r>
              <w:r w:rsidR="0039468B">
                <w:rPr>
                  <w:rFonts w:eastAsia="MS Mincho"/>
                  <w:vertAlign w:val="superscript"/>
                </w:rPr>
                <w:fldChar w:fldCharType="end"/>
              </w:r>
              <w:r w:rsidR="0039468B">
                <w:rPr>
                  <w:rFonts w:eastAsia="MS Mincho"/>
                  <w:vertAlign w:val="superscript"/>
                </w:rPr>
              </w:r>
              <w:r w:rsidR="0039468B">
                <w:rPr>
                  <w:rFonts w:eastAsia="MS Mincho"/>
                  <w:vertAlign w:val="superscript"/>
                </w:rPr>
                <w:fldChar w:fldCharType="separate"/>
              </w:r>
              <w:r w:rsidR="0039468B">
                <w:rPr>
                  <w:rFonts w:eastAsia="MS Mincho"/>
                  <w:noProof/>
                  <w:vertAlign w:val="superscript"/>
                </w:rPr>
                <w:t>19</w:t>
              </w:r>
              <w:r w:rsidR="0039468B">
                <w:rPr>
                  <w:rFonts w:eastAsia="MS Mincho"/>
                  <w:vertAlign w:val="superscript"/>
                </w:rPr>
                <w:fldChar w:fldCharType="end"/>
              </w:r>
            </w:hyperlink>
          </w:p>
        </w:tc>
        <w:tc>
          <w:tcPr>
            <w:tcW w:w="4434" w:type="pct"/>
          </w:tcPr>
          <w:p w14:paraId="65B56CE9" w14:textId="63109068" w:rsidR="00FB365D" w:rsidRDefault="004C4EA7" w:rsidP="00FB365D">
            <w:pPr>
              <w:pStyle w:val="Tablewriting"/>
              <w:keepNext/>
              <w:rPr>
                <w:rFonts w:eastAsia="MS Mincho"/>
              </w:rPr>
            </w:pPr>
            <w:r w:rsidRPr="00C01E20">
              <w:rPr>
                <w:rFonts w:eastAsia="MS Mincho"/>
              </w:rPr>
              <w:t>Cahill K</w:t>
            </w:r>
            <w:r w:rsidR="00FB365D" w:rsidRPr="00C01E20">
              <w:rPr>
                <w:rFonts w:eastAsia="MS Mincho"/>
              </w:rPr>
              <w:t>, Lindson‐</w:t>
            </w:r>
            <w:r w:rsidRPr="00C01E20">
              <w:rPr>
                <w:rFonts w:eastAsia="MS Mincho"/>
              </w:rPr>
              <w:t>Hawley N</w:t>
            </w:r>
            <w:r w:rsidR="00FB365D" w:rsidRPr="00C01E20">
              <w:rPr>
                <w:rFonts w:eastAsia="MS Mincho"/>
              </w:rPr>
              <w:t xml:space="preserve">, </w:t>
            </w:r>
            <w:r w:rsidRPr="00C01E20">
              <w:rPr>
                <w:rFonts w:eastAsia="MS Mincho"/>
              </w:rPr>
              <w:t>Thomas KH</w:t>
            </w:r>
            <w:r w:rsidR="00FB365D" w:rsidRPr="00C01E20">
              <w:rPr>
                <w:rFonts w:eastAsia="MS Mincho"/>
              </w:rPr>
              <w:t xml:space="preserve">, </w:t>
            </w:r>
            <w:r w:rsidRPr="00C01E20">
              <w:rPr>
                <w:rFonts w:eastAsia="MS Mincho"/>
              </w:rPr>
              <w:t>Fanshawe TR</w:t>
            </w:r>
            <w:r w:rsidR="00FB365D" w:rsidRPr="00C01E20">
              <w:rPr>
                <w:rFonts w:eastAsia="MS Mincho"/>
              </w:rPr>
              <w:t xml:space="preserve">, </w:t>
            </w:r>
            <w:r w:rsidRPr="00C01E20">
              <w:rPr>
                <w:rFonts w:eastAsia="MS Mincho"/>
              </w:rPr>
              <w:t>Lancaster T.</w:t>
            </w:r>
            <w:r w:rsidR="00FB365D" w:rsidRPr="00C01E20">
              <w:rPr>
                <w:rFonts w:eastAsia="MS Mincho"/>
              </w:rPr>
              <w:t xml:space="preserve"> Nicotine receptor partial agonists for smoking cessation. Cochrane Database of Systematic Reviews 2016, Issue 5. Art. No.: CD006103.</w:t>
            </w:r>
          </w:p>
        </w:tc>
      </w:tr>
    </w:tbl>
    <w:p w14:paraId="0A3A378E" w14:textId="77777777" w:rsidR="004250A7" w:rsidRPr="00D14993" w:rsidRDefault="004250A7" w:rsidP="0070341B">
      <w:pPr>
        <w:pStyle w:val="TableFooter"/>
        <w:keepNext/>
        <w:jc w:val="both"/>
      </w:pPr>
      <w:r w:rsidRPr="00061F78">
        <w:rPr>
          <w:highlight w:val="lightGray"/>
        </w:rPr>
        <w:t>Shaded</w:t>
      </w:r>
      <w:r w:rsidRPr="00061F78">
        <w:t xml:space="preserve"> = previously considered by the PBAC</w:t>
      </w:r>
    </w:p>
    <w:p w14:paraId="767204BF" w14:textId="55F1CD3D" w:rsidR="004250A7" w:rsidRDefault="004250A7" w:rsidP="0070341B">
      <w:pPr>
        <w:pStyle w:val="TableFooter"/>
        <w:keepNext/>
        <w:spacing w:after="120"/>
        <w:contextualSpacing w:val="0"/>
        <w:jc w:val="both"/>
      </w:pPr>
      <w:r>
        <w:t>Notes: Gonzales et al. (2014</w:t>
      </w:r>
      <w:r w:rsidR="00787A58">
        <w:t>; referred to as Trial A3051139</w:t>
      </w:r>
      <w:r>
        <w:t>) was considered at the March 2014 PBAC meeting.</w:t>
      </w:r>
    </w:p>
    <w:p w14:paraId="452A0F93" w14:textId="66F33E50" w:rsidR="00FA6470" w:rsidRDefault="00FA6470" w:rsidP="000B683C">
      <w:pPr>
        <w:spacing w:after="120"/>
        <w:jc w:val="both"/>
        <w:sectPr w:rsidR="00FA6470" w:rsidSect="006356D2">
          <w:pgSz w:w="11906" w:h="16838"/>
          <w:pgMar w:top="1440" w:right="1440" w:bottom="1440" w:left="1440" w:header="708" w:footer="708" w:gutter="0"/>
          <w:cols w:space="708"/>
          <w:titlePg/>
          <w:docGrid w:linePitch="360"/>
        </w:sectPr>
      </w:pPr>
      <w:r w:rsidRPr="00FA6470">
        <w:t xml:space="preserve">A summary of the characteristics of the studies comparing varenicline with placebo in </w:t>
      </w:r>
      <w:r w:rsidR="001D6DCC">
        <w:t>non-</w:t>
      </w:r>
      <w:r w:rsidRPr="00FA6470">
        <w:t xml:space="preserve">abstainers </w:t>
      </w:r>
      <w:r w:rsidR="001D6DCC">
        <w:t>as retreatment</w:t>
      </w:r>
      <w:r w:rsidRPr="00FA6470">
        <w:t xml:space="preserve"> is presented in </w:t>
      </w:r>
      <w:r w:rsidR="001D6DCC">
        <w:fldChar w:fldCharType="begin" w:fldLock="1"/>
      </w:r>
      <w:r w:rsidR="001D6DCC">
        <w:instrText xml:space="preserve"> REF _Ref54789752 \h </w:instrText>
      </w:r>
      <w:r w:rsidR="000B683C">
        <w:instrText xml:space="preserve"> \* MERGEFORMAT </w:instrText>
      </w:r>
      <w:r w:rsidR="001D6DCC">
        <w:fldChar w:fldCharType="separate"/>
      </w:r>
      <w:r w:rsidR="00EC5CC7">
        <w:t xml:space="preserve">Table </w:t>
      </w:r>
      <w:r w:rsidR="00EC5CC7">
        <w:rPr>
          <w:noProof/>
        </w:rPr>
        <w:t>36</w:t>
      </w:r>
      <w:r w:rsidR="001D6DCC">
        <w:fldChar w:fldCharType="end"/>
      </w:r>
      <w:r w:rsidRPr="00FA6470">
        <w:t xml:space="preserve">. </w:t>
      </w:r>
      <w:r w:rsidR="00CA0239">
        <w:t>One</w:t>
      </w:r>
      <w:r w:rsidR="00CA0239" w:rsidRPr="00CA0239">
        <w:t xml:space="preserve"> </w:t>
      </w:r>
      <w:r w:rsidR="00CA0239">
        <w:t>RCT</w:t>
      </w:r>
      <w:r w:rsidR="00CA0239" w:rsidRPr="00CA0239">
        <w:t xml:space="preserve"> comparing </w:t>
      </w:r>
      <w:r w:rsidR="00CA0239">
        <w:t>varenicline</w:t>
      </w:r>
      <w:r w:rsidR="00CA0239" w:rsidRPr="00CA0239">
        <w:t xml:space="preserve"> with </w:t>
      </w:r>
      <w:r w:rsidR="00CA0239">
        <w:t>p</w:t>
      </w:r>
      <w:r w:rsidR="00CA0239" w:rsidRPr="00CA0239">
        <w:t>lacebo w</w:t>
      </w:r>
      <w:r w:rsidR="00CA0239">
        <w:t>as</w:t>
      </w:r>
      <w:r w:rsidR="00CA0239" w:rsidRPr="00CA0239">
        <w:t xml:space="preserve"> identified by </w:t>
      </w:r>
      <w:r w:rsidR="00CA0239">
        <w:t>Cahill</w:t>
      </w:r>
      <w:r w:rsidR="00CA0239" w:rsidRPr="00CA0239">
        <w:t xml:space="preserve"> et al. (20</w:t>
      </w:r>
      <w:r w:rsidR="00CA0239">
        <w:t>16</w:t>
      </w:r>
      <w:r w:rsidR="00CA0239" w:rsidRPr="00CA0239">
        <w:t xml:space="preserve">). </w:t>
      </w:r>
      <w:r w:rsidR="0097632B">
        <w:t>This</w:t>
      </w:r>
      <w:r w:rsidRPr="00FA6470">
        <w:t xml:space="preserve"> </w:t>
      </w:r>
      <w:r w:rsidR="00D8784F">
        <w:t>study</w:t>
      </w:r>
      <w:r w:rsidRPr="00FA6470">
        <w:t xml:space="preserve"> was previously considered by the PBAC (</w:t>
      </w:r>
      <w:r w:rsidR="001D6DCC">
        <w:t>Gonzales</w:t>
      </w:r>
      <w:r w:rsidRPr="00FA6470">
        <w:t xml:space="preserve"> et al. 20</w:t>
      </w:r>
      <w:r w:rsidR="001D6DCC">
        <w:t>14</w:t>
      </w:r>
      <w:r w:rsidR="002352EF">
        <w:t>; referred to as Trial A3051139</w:t>
      </w:r>
      <w:r w:rsidRPr="00FA6470">
        <w:t xml:space="preserve">). The characteristics of the individual studies are presented in </w:t>
      </w:r>
      <w:r w:rsidRPr="00AD2ECD">
        <w:t>Appendix</w:t>
      </w:r>
      <w:r w:rsidR="000B683C">
        <w:t xml:space="preserve"> Table 152.</w:t>
      </w:r>
    </w:p>
    <w:p w14:paraId="4AA21CD1" w14:textId="3C70A746" w:rsidR="001D6DCC" w:rsidRDefault="001D6DCC" w:rsidP="0070341B">
      <w:pPr>
        <w:pStyle w:val="Caption"/>
        <w:keepNext/>
        <w:spacing w:after="120"/>
        <w:jc w:val="both"/>
      </w:pPr>
      <w:bookmarkStart w:id="82" w:name="_Ref54789752"/>
      <w:r>
        <w:lastRenderedPageBreak/>
        <w:t xml:space="preserve">Table </w:t>
      </w:r>
      <w:r w:rsidR="00BF3F75">
        <w:fldChar w:fldCharType="begin"/>
      </w:r>
      <w:r w:rsidR="00BF3F75">
        <w:instrText xml:space="preserve"> SEQ Table \* ARABIC </w:instrText>
      </w:r>
      <w:r w:rsidR="00BF3F75">
        <w:fldChar w:fldCharType="separate"/>
      </w:r>
      <w:r w:rsidR="00EC5CC7">
        <w:rPr>
          <w:noProof/>
        </w:rPr>
        <w:t>36</w:t>
      </w:r>
      <w:r w:rsidR="00BF3F75">
        <w:rPr>
          <w:noProof/>
        </w:rPr>
        <w:fldChar w:fldCharType="end"/>
      </w:r>
      <w:bookmarkEnd w:id="82"/>
      <w:r>
        <w:t xml:space="preserve">: </w:t>
      </w:r>
      <w:r w:rsidRPr="003E6838">
        <w:t xml:space="preserve">Characteristics of the studies comparing varenicline with placebo in </w:t>
      </w:r>
      <w:r>
        <w:t>non-</w:t>
      </w:r>
      <w:r w:rsidRPr="003E6838">
        <w:t xml:space="preserve">abstainers </w:t>
      </w:r>
      <w:r>
        <w:t>as retreatment</w:t>
      </w:r>
    </w:p>
    <w:tbl>
      <w:tblPr>
        <w:tblStyle w:val="TableGrid"/>
        <w:tblW w:w="5000" w:type="pct"/>
        <w:tblLook w:val="04A0" w:firstRow="1" w:lastRow="0" w:firstColumn="1" w:lastColumn="0" w:noHBand="0" w:noVBand="1"/>
        <w:tblCaption w:val="Efficacy results of adalimumab trials (PASI 75 and DLQI)"/>
      </w:tblPr>
      <w:tblGrid>
        <w:gridCol w:w="1034"/>
        <w:gridCol w:w="1076"/>
        <w:gridCol w:w="967"/>
        <w:gridCol w:w="6123"/>
        <w:gridCol w:w="2396"/>
        <w:gridCol w:w="2352"/>
      </w:tblGrid>
      <w:tr w:rsidR="00F64373" w:rsidRPr="00061F78" w14:paraId="735A967A" w14:textId="77777777" w:rsidTr="00670E78">
        <w:trPr>
          <w:trHeight w:val="299"/>
          <w:tblHeader/>
        </w:trPr>
        <w:tc>
          <w:tcPr>
            <w:tcW w:w="371" w:type="pct"/>
            <w:shd w:val="clear" w:color="auto" w:fill="BFBFBF" w:themeFill="background1" w:themeFillShade="BF"/>
            <w:tcMar>
              <w:left w:w="28" w:type="dxa"/>
              <w:right w:w="28" w:type="dxa"/>
            </w:tcMar>
          </w:tcPr>
          <w:p w14:paraId="5DB3F730" w14:textId="4878A933" w:rsidR="00FA6470" w:rsidRPr="00061F78" w:rsidRDefault="00126B7B" w:rsidP="00FC6133">
            <w:pPr>
              <w:pStyle w:val="Tableheading"/>
              <w:keepNext/>
              <w:rPr>
                <w:rFonts w:eastAsia="MS Mincho"/>
              </w:rPr>
            </w:pPr>
            <w:r>
              <w:rPr>
                <w:rFonts w:eastAsia="MS Mincho"/>
              </w:rPr>
              <w:t>Study</w:t>
            </w:r>
          </w:p>
        </w:tc>
        <w:tc>
          <w:tcPr>
            <w:tcW w:w="386" w:type="pct"/>
            <w:shd w:val="clear" w:color="auto" w:fill="BFBFBF" w:themeFill="background1" w:themeFillShade="BF"/>
          </w:tcPr>
          <w:p w14:paraId="5C1EDCE7" w14:textId="77777777" w:rsidR="00FA6470" w:rsidRDefault="00FA6470" w:rsidP="00FC6133">
            <w:pPr>
              <w:pStyle w:val="Tableheading"/>
              <w:keepNext/>
              <w:jc w:val="center"/>
              <w:rPr>
                <w:rFonts w:eastAsia="MS Mincho"/>
              </w:rPr>
            </w:pPr>
            <w:r>
              <w:rPr>
                <w:rFonts w:eastAsia="MS Mincho"/>
              </w:rPr>
              <w:t>Study type</w:t>
            </w:r>
          </w:p>
        </w:tc>
        <w:tc>
          <w:tcPr>
            <w:tcW w:w="345" w:type="pct"/>
            <w:shd w:val="clear" w:color="auto" w:fill="BFBFBF" w:themeFill="background1" w:themeFillShade="BF"/>
            <w:tcMar>
              <w:left w:w="28" w:type="dxa"/>
              <w:right w:w="28" w:type="dxa"/>
            </w:tcMar>
          </w:tcPr>
          <w:p w14:paraId="270D7C69" w14:textId="77777777" w:rsidR="00FA6470" w:rsidRPr="00AE21E9" w:rsidRDefault="00FA6470" w:rsidP="00FC6133">
            <w:pPr>
              <w:pStyle w:val="Tableheading"/>
              <w:keepNext/>
              <w:jc w:val="center"/>
              <w:rPr>
                <w:rFonts w:eastAsia="MS Mincho"/>
                <w:vertAlign w:val="superscript"/>
              </w:rPr>
            </w:pPr>
            <w:r>
              <w:rPr>
                <w:rFonts w:eastAsia="MS Mincho"/>
              </w:rPr>
              <w:t>N</w:t>
            </w:r>
            <w:r>
              <w:rPr>
                <w:rFonts w:eastAsia="MS Mincho"/>
                <w:vertAlign w:val="superscript"/>
              </w:rPr>
              <w:t>1</w:t>
            </w:r>
          </w:p>
        </w:tc>
        <w:tc>
          <w:tcPr>
            <w:tcW w:w="2195" w:type="pct"/>
            <w:shd w:val="clear" w:color="auto" w:fill="BFBFBF" w:themeFill="background1" w:themeFillShade="BF"/>
            <w:tcMar>
              <w:left w:w="28" w:type="dxa"/>
              <w:right w:w="28" w:type="dxa"/>
            </w:tcMar>
          </w:tcPr>
          <w:p w14:paraId="4B6A909A" w14:textId="77777777" w:rsidR="00FA6470" w:rsidRPr="00061F78" w:rsidRDefault="00FA6470" w:rsidP="00FC6133">
            <w:pPr>
              <w:pStyle w:val="Tableheading"/>
              <w:keepNext/>
              <w:jc w:val="center"/>
              <w:rPr>
                <w:rFonts w:eastAsia="MS Mincho"/>
              </w:rPr>
            </w:pPr>
            <w:r w:rsidRPr="00061F78">
              <w:rPr>
                <w:rFonts w:eastAsia="MS Mincho"/>
              </w:rPr>
              <w:t>P</w:t>
            </w:r>
            <w:r>
              <w:rPr>
                <w:rFonts w:eastAsia="MS Mincho"/>
              </w:rPr>
              <w:t>opulation</w:t>
            </w:r>
          </w:p>
        </w:tc>
        <w:tc>
          <w:tcPr>
            <w:tcW w:w="859" w:type="pct"/>
            <w:shd w:val="clear" w:color="auto" w:fill="BFBFBF" w:themeFill="background1" w:themeFillShade="BF"/>
          </w:tcPr>
          <w:p w14:paraId="523A3039" w14:textId="77777777" w:rsidR="00FA6470" w:rsidRDefault="00FA6470" w:rsidP="00FC6133">
            <w:pPr>
              <w:pStyle w:val="Tableheading"/>
              <w:keepNext/>
              <w:jc w:val="center"/>
              <w:rPr>
                <w:rFonts w:eastAsia="MS Mincho"/>
              </w:rPr>
            </w:pPr>
            <w:r>
              <w:rPr>
                <w:rFonts w:eastAsia="MS Mincho"/>
              </w:rPr>
              <w:t>Intervention and comparator</w:t>
            </w:r>
          </w:p>
        </w:tc>
        <w:tc>
          <w:tcPr>
            <w:tcW w:w="843" w:type="pct"/>
            <w:shd w:val="clear" w:color="auto" w:fill="BFBFBF" w:themeFill="background1" w:themeFillShade="BF"/>
            <w:tcMar>
              <w:left w:w="28" w:type="dxa"/>
              <w:right w:w="28" w:type="dxa"/>
            </w:tcMar>
          </w:tcPr>
          <w:p w14:paraId="1D58D11A" w14:textId="77777777" w:rsidR="00FA6470" w:rsidRPr="00061F78" w:rsidRDefault="00FA6470" w:rsidP="00FC6133">
            <w:pPr>
              <w:pStyle w:val="Tableheading"/>
              <w:keepNext/>
              <w:jc w:val="center"/>
              <w:rPr>
                <w:rFonts w:eastAsia="MS Mincho"/>
              </w:rPr>
            </w:pPr>
            <w:r>
              <w:rPr>
                <w:rFonts w:eastAsia="MS Mincho"/>
              </w:rPr>
              <w:t>Outcomes</w:t>
            </w:r>
          </w:p>
        </w:tc>
      </w:tr>
      <w:tr w:rsidR="00F64373" w:rsidRPr="00061F78" w14:paraId="76EC227A" w14:textId="77777777" w:rsidTr="00015CD6">
        <w:trPr>
          <w:trHeight w:val="99"/>
        </w:trPr>
        <w:tc>
          <w:tcPr>
            <w:tcW w:w="371" w:type="pct"/>
            <w:shd w:val="clear" w:color="auto" w:fill="D9D9D9" w:themeFill="background1" w:themeFillShade="D9"/>
            <w:tcMar>
              <w:left w:w="28" w:type="dxa"/>
              <w:right w:w="28" w:type="dxa"/>
            </w:tcMar>
          </w:tcPr>
          <w:p w14:paraId="15B5CB40" w14:textId="77777777" w:rsidR="001D6DCC" w:rsidRDefault="001D6DCC" w:rsidP="001D6DCC">
            <w:pPr>
              <w:pStyle w:val="Tablewriting"/>
              <w:keepNext/>
              <w:rPr>
                <w:rFonts w:eastAsia="MS Mincho"/>
              </w:rPr>
            </w:pPr>
            <w:r>
              <w:rPr>
                <w:rFonts w:eastAsia="MS Mincho"/>
              </w:rPr>
              <w:t>Gonzales</w:t>
            </w:r>
          </w:p>
          <w:p w14:paraId="76A45914" w14:textId="2B6C833F" w:rsidR="00FA6470" w:rsidRDefault="001D6DCC" w:rsidP="001D6DCC">
            <w:pPr>
              <w:pStyle w:val="Tablewriting"/>
              <w:keepNext/>
              <w:rPr>
                <w:rFonts w:eastAsia="MS Mincho"/>
              </w:rPr>
            </w:pPr>
            <w:r>
              <w:rPr>
                <w:rFonts w:eastAsia="MS Mincho"/>
              </w:rPr>
              <w:t>(2014)</w:t>
            </w:r>
          </w:p>
        </w:tc>
        <w:tc>
          <w:tcPr>
            <w:tcW w:w="386" w:type="pct"/>
            <w:shd w:val="clear" w:color="auto" w:fill="D9D9D9" w:themeFill="background1" w:themeFillShade="D9"/>
          </w:tcPr>
          <w:p w14:paraId="19FA55F8" w14:textId="77777777" w:rsidR="00FA6470" w:rsidRDefault="00FA6470" w:rsidP="00FC6133">
            <w:pPr>
              <w:pStyle w:val="Tablewriting"/>
              <w:keepNext/>
              <w:rPr>
                <w:rFonts w:eastAsia="MS Mincho"/>
              </w:rPr>
            </w:pPr>
            <w:r>
              <w:rPr>
                <w:rFonts w:eastAsia="MS Mincho"/>
              </w:rPr>
              <w:t>RCT</w:t>
            </w:r>
          </w:p>
        </w:tc>
        <w:tc>
          <w:tcPr>
            <w:tcW w:w="345" w:type="pct"/>
            <w:shd w:val="clear" w:color="auto" w:fill="D9D9D9" w:themeFill="background1" w:themeFillShade="D9"/>
            <w:tcMar>
              <w:left w:w="28" w:type="dxa"/>
              <w:right w:w="28" w:type="dxa"/>
            </w:tcMar>
          </w:tcPr>
          <w:p w14:paraId="70FEA245" w14:textId="77777777" w:rsidR="00F10711" w:rsidRDefault="00F10711" w:rsidP="00F10711">
            <w:pPr>
              <w:pStyle w:val="Tablewriting"/>
              <w:keepNext/>
              <w:rPr>
                <w:rFonts w:eastAsia="MS Mincho"/>
              </w:rPr>
            </w:pPr>
            <w:r>
              <w:rPr>
                <w:rFonts w:eastAsia="MS Mincho"/>
              </w:rPr>
              <w:t>N=498</w:t>
            </w:r>
          </w:p>
          <w:p w14:paraId="73A41B3D" w14:textId="77777777" w:rsidR="00F10711" w:rsidRDefault="00F10711" w:rsidP="00F10711">
            <w:pPr>
              <w:pStyle w:val="Tablewriting"/>
              <w:keepNext/>
              <w:rPr>
                <w:rFonts w:eastAsia="MS Mincho"/>
              </w:rPr>
            </w:pPr>
            <w:r>
              <w:rPr>
                <w:rFonts w:eastAsia="MS Mincho"/>
              </w:rPr>
              <w:t>Varenicline (n=251),</w:t>
            </w:r>
          </w:p>
          <w:p w14:paraId="06C89CC8" w14:textId="79B5DBD5" w:rsidR="00FA6470" w:rsidRDefault="00F10711" w:rsidP="00F10711">
            <w:pPr>
              <w:pStyle w:val="Tablewriting"/>
              <w:keepNext/>
              <w:rPr>
                <w:rFonts w:eastAsia="MS Mincho"/>
              </w:rPr>
            </w:pPr>
            <w:r>
              <w:rPr>
                <w:rFonts w:eastAsia="MS Mincho"/>
              </w:rPr>
              <w:t>Placebo (n=247)</w:t>
            </w:r>
          </w:p>
        </w:tc>
        <w:tc>
          <w:tcPr>
            <w:tcW w:w="2195" w:type="pct"/>
            <w:shd w:val="clear" w:color="auto" w:fill="D9D9D9" w:themeFill="background1" w:themeFillShade="D9"/>
            <w:tcMar>
              <w:left w:w="28" w:type="dxa"/>
              <w:right w:w="28" w:type="dxa"/>
            </w:tcMar>
          </w:tcPr>
          <w:p w14:paraId="59334FE3" w14:textId="07774620" w:rsidR="00FA6470" w:rsidRDefault="00FA6470" w:rsidP="00FC6133">
            <w:pPr>
              <w:pStyle w:val="Tablewriting"/>
              <w:keepNext/>
              <w:rPr>
                <w:rFonts w:eastAsia="MS Mincho"/>
              </w:rPr>
            </w:pPr>
            <w:r w:rsidRPr="007F28D7">
              <w:rPr>
                <w:rFonts w:eastAsia="MS Mincho"/>
                <w:u w:val="single"/>
              </w:rPr>
              <w:t>Inclusion</w:t>
            </w:r>
            <w:r>
              <w:rPr>
                <w:rFonts w:eastAsia="MS Mincho"/>
              </w:rPr>
              <w:t xml:space="preserve">: </w:t>
            </w:r>
            <w:r w:rsidR="000A6E6B">
              <w:rPr>
                <w:rFonts w:eastAsia="MS Mincho" w:cstheme="minorHAnsi"/>
              </w:rPr>
              <w:t>≥</w:t>
            </w:r>
            <w:r w:rsidR="000A6E6B" w:rsidRPr="000A6E6B">
              <w:rPr>
                <w:rFonts w:eastAsia="MS Mincho"/>
              </w:rPr>
              <w:t xml:space="preserve">18 years of age, smoked </w:t>
            </w:r>
            <w:r w:rsidR="00F75AB4">
              <w:rPr>
                <w:rFonts w:eastAsia="MS Mincho" w:cstheme="minorHAnsi"/>
              </w:rPr>
              <w:t>≥</w:t>
            </w:r>
            <w:r w:rsidR="000A6E6B" w:rsidRPr="000A6E6B">
              <w:rPr>
                <w:rFonts w:eastAsia="MS Mincho"/>
              </w:rPr>
              <w:t>10 cigarettes</w:t>
            </w:r>
            <w:r w:rsidR="00F75AB4">
              <w:rPr>
                <w:rFonts w:eastAsia="MS Mincho"/>
              </w:rPr>
              <w:t xml:space="preserve"> per </w:t>
            </w:r>
            <w:r w:rsidR="000A6E6B" w:rsidRPr="000A6E6B">
              <w:rPr>
                <w:rFonts w:eastAsia="MS Mincho"/>
              </w:rPr>
              <w:t>day during the 4 weeks before</w:t>
            </w:r>
            <w:r w:rsidR="000A6E6B">
              <w:rPr>
                <w:rFonts w:eastAsia="MS Mincho"/>
              </w:rPr>
              <w:t xml:space="preserve"> </w:t>
            </w:r>
            <w:r w:rsidR="000A6E6B" w:rsidRPr="000A6E6B">
              <w:rPr>
                <w:rFonts w:eastAsia="MS Mincho"/>
              </w:rPr>
              <w:t xml:space="preserve">screening, exhaled </w:t>
            </w:r>
            <w:r w:rsidR="00F75AB4">
              <w:rPr>
                <w:rFonts w:eastAsia="MS Mincho"/>
              </w:rPr>
              <w:t>CO</w:t>
            </w:r>
            <w:r w:rsidR="000A6E6B" w:rsidRPr="000A6E6B">
              <w:rPr>
                <w:rFonts w:eastAsia="MS Mincho"/>
              </w:rPr>
              <w:t xml:space="preserve"> &gt;10ppm at screening, no quit attempts in the previous</w:t>
            </w:r>
            <w:r w:rsidR="007578CC">
              <w:rPr>
                <w:rFonts w:eastAsia="MS Mincho"/>
              </w:rPr>
              <w:t xml:space="preserve"> </w:t>
            </w:r>
            <w:r w:rsidR="000A6E6B" w:rsidRPr="000A6E6B">
              <w:rPr>
                <w:rFonts w:eastAsia="MS Mincho"/>
              </w:rPr>
              <w:t>3 months, previously taken varenicline for 2 or more weeks, with</w:t>
            </w:r>
            <w:r w:rsidR="007578CC">
              <w:rPr>
                <w:rFonts w:eastAsia="MS Mincho"/>
              </w:rPr>
              <w:t xml:space="preserve"> </w:t>
            </w:r>
            <w:r w:rsidR="000A6E6B" w:rsidRPr="000A6E6B">
              <w:rPr>
                <w:rFonts w:eastAsia="MS Mincho"/>
              </w:rPr>
              <w:t>the last dose taken ≥3 months before screening, motivate</w:t>
            </w:r>
            <w:r w:rsidR="002C7300">
              <w:rPr>
                <w:rFonts w:eastAsia="MS Mincho"/>
              </w:rPr>
              <w:t xml:space="preserve">d </w:t>
            </w:r>
            <w:r w:rsidR="000A6E6B" w:rsidRPr="000A6E6B">
              <w:rPr>
                <w:rFonts w:eastAsia="MS Mincho"/>
              </w:rPr>
              <w:t>to</w:t>
            </w:r>
            <w:r w:rsidR="007578CC">
              <w:rPr>
                <w:rFonts w:eastAsia="MS Mincho"/>
              </w:rPr>
              <w:t xml:space="preserve"> </w:t>
            </w:r>
            <w:r w:rsidR="000A6E6B" w:rsidRPr="000A6E6B">
              <w:rPr>
                <w:rFonts w:eastAsia="MS Mincho"/>
              </w:rPr>
              <w:t>stop smoking</w:t>
            </w:r>
            <w:r w:rsidR="00AB5FA3">
              <w:rPr>
                <w:rFonts w:eastAsia="MS Mincho"/>
              </w:rPr>
              <w:t>.</w:t>
            </w:r>
          </w:p>
          <w:p w14:paraId="208CB040" w14:textId="1D09FF3B" w:rsidR="00FA6470" w:rsidRPr="00061F78" w:rsidRDefault="00FA6470" w:rsidP="00FC6133">
            <w:pPr>
              <w:pStyle w:val="Tablewriting"/>
              <w:keepNext/>
              <w:rPr>
                <w:rFonts w:eastAsia="MS Mincho"/>
              </w:rPr>
            </w:pPr>
            <w:r w:rsidRPr="007F28D7">
              <w:rPr>
                <w:rFonts w:eastAsia="MS Mincho"/>
                <w:u w:val="single"/>
              </w:rPr>
              <w:t>Exclusion</w:t>
            </w:r>
            <w:r>
              <w:rPr>
                <w:rFonts w:eastAsia="MS Mincho"/>
              </w:rPr>
              <w:t xml:space="preserve">: </w:t>
            </w:r>
            <w:r w:rsidR="00253936" w:rsidRPr="00253936">
              <w:rPr>
                <w:rFonts w:eastAsia="MS Mincho"/>
              </w:rPr>
              <w:t>any previous significant adverse</w:t>
            </w:r>
            <w:r w:rsidR="00253936">
              <w:rPr>
                <w:rFonts w:eastAsia="MS Mincho"/>
              </w:rPr>
              <w:t xml:space="preserve"> </w:t>
            </w:r>
            <w:r w:rsidR="00253936" w:rsidRPr="00253936">
              <w:rPr>
                <w:rFonts w:eastAsia="MS Mincho"/>
              </w:rPr>
              <w:t>reaction to varenicline</w:t>
            </w:r>
            <w:r w:rsidR="002C7300">
              <w:rPr>
                <w:rFonts w:eastAsia="MS Mincho"/>
              </w:rPr>
              <w:t>,</w:t>
            </w:r>
            <w:r w:rsidR="00253936" w:rsidRPr="00253936">
              <w:rPr>
                <w:rFonts w:eastAsia="MS Mincho"/>
              </w:rPr>
              <w:t xml:space="preserve"> previous participation in a varenicline study,</w:t>
            </w:r>
            <w:r w:rsidR="00253936">
              <w:rPr>
                <w:rFonts w:eastAsia="MS Mincho"/>
              </w:rPr>
              <w:t xml:space="preserve"> </w:t>
            </w:r>
            <w:r w:rsidR="00253936" w:rsidRPr="00253936">
              <w:rPr>
                <w:rFonts w:eastAsia="MS Mincho"/>
              </w:rPr>
              <w:t>severe</w:t>
            </w:r>
            <w:r w:rsidR="002C7300">
              <w:rPr>
                <w:rFonts w:eastAsia="MS Mincho"/>
              </w:rPr>
              <w:t xml:space="preserve"> COPD,</w:t>
            </w:r>
            <w:r w:rsidR="00253936" w:rsidRPr="00253936">
              <w:rPr>
                <w:rFonts w:eastAsia="MS Mincho"/>
              </w:rPr>
              <w:t xml:space="preserve"> recent history</w:t>
            </w:r>
            <w:r w:rsidR="004A62B8">
              <w:rPr>
                <w:rFonts w:eastAsia="MS Mincho"/>
              </w:rPr>
              <w:t xml:space="preserve"> </w:t>
            </w:r>
            <w:r w:rsidR="00253936" w:rsidRPr="00253936">
              <w:rPr>
                <w:rFonts w:eastAsia="MS Mincho"/>
              </w:rPr>
              <w:t>of cancer</w:t>
            </w:r>
            <w:r w:rsidR="002C7300">
              <w:rPr>
                <w:rFonts w:eastAsia="MS Mincho"/>
              </w:rPr>
              <w:t>,</w:t>
            </w:r>
            <w:r w:rsidR="00253936" w:rsidRPr="00253936">
              <w:rPr>
                <w:rFonts w:eastAsia="MS Mincho"/>
              </w:rPr>
              <w:t xml:space="preserve"> clinically significant cardiovascular disease or cerebrovascular</w:t>
            </w:r>
            <w:r w:rsidR="004A62B8">
              <w:rPr>
                <w:rFonts w:eastAsia="MS Mincho"/>
              </w:rPr>
              <w:t xml:space="preserve"> </w:t>
            </w:r>
            <w:r w:rsidR="00253936" w:rsidRPr="00253936">
              <w:rPr>
                <w:rFonts w:eastAsia="MS Mincho"/>
              </w:rPr>
              <w:t>disease in the previous 2 months</w:t>
            </w:r>
            <w:r w:rsidR="002C7300">
              <w:rPr>
                <w:rFonts w:eastAsia="MS Mincho"/>
              </w:rPr>
              <w:t>,</w:t>
            </w:r>
            <w:r w:rsidR="00253936" w:rsidRPr="00253936">
              <w:rPr>
                <w:rFonts w:eastAsia="MS Mincho"/>
              </w:rPr>
              <w:t xml:space="preserve"> history of a suicide attempt or any</w:t>
            </w:r>
            <w:r w:rsidR="004A62B8">
              <w:rPr>
                <w:rFonts w:eastAsia="MS Mincho"/>
              </w:rPr>
              <w:t xml:space="preserve"> </w:t>
            </w:r>
            <w:r w:rsidR="00253936" w:rsidRPr="00253936">
              <w:rPr>
                <w:rFonts w:eastAsia="MS Mincho"/>
              </w:rPr>
              <w:t xml:space="preserve">suicidal </w:t>
            </w:r>
            <w:r w:rsidR="004A62B8" w:rsidRPr="00253936">
              <w:rPr>
                <w:rFonts w:eastAsia="MS Mincho"/>
              </w:rPr>
              <w:t>behaviour</w:t>
            </w:r>
            <w:r w:rsidR="00253936" w:rsidRPr="00253936">
              <w:rPr>
                <w:rFonts w:eastAsia="MS Mincho"/>
              </w:rPr>
              <w:t xml:space="preserve"> in the past 2 years or current suicidal ideation</w:t>
            </w:r>
            <w:r w:rsidR="00A8184F">
              <w:rPr>
                <w:rFonts w:eastAsia="MS Mincho"/>
              </w:rPr>
              <w:t>,</w:t>
            </w:r>
            <w:r w:rsidR="00253936" w:rsidRPr="00253936">
              <w:rPr>
                <w:rFonts w:eastAsia="MS Mincho"/>
              </w:rPr>
              <w:t xml:space="preserve"> current depression </w:t>
            </w:r>
            <w:r w:rsidR="00166B24" w:rsidRPr="00253936">
              <w:rPr>
                <w:rFonts w:eastAsia="MS Mincho"/>
              </w:rPr>
              <w:t>sel</w:t>
            </w:r>
            <w:r w:rsidR="00166B24">
              <w:rPr>
                <w:rFonts w:eastAsia="MS Mincho"/>
              </w:rPr>
              <w:t>f-</w:t>
            </w:r>
            <w:r w:rsidR="00166B24" w:rsidRPr="00253936">
              <w:rPr>
                <w:rFonts w:eastAsia="MS Mincho"/>
              </w:rPr>
              <w:t>reported</w:t>
            </w:r>
            <w:r w:rsidR="004A62B8">
              <w:rPr>
                <w:rFonts w:eastAsia="MS Mincho"/>
              </w:rPr>
              <w:t xml:space="preserve"> </w:t>
            </w:r>
            <w:r w:rsidR="00253936" w:rsidRPr="00253936">
              <w:rPr>
                <w:rFonts w:eastAsia="MS Mincho"/>
              </w:rPr>
              <w:t>at screening or with a diagnosis of depression or treatment</w:t>
            </w:r>
            <w:r w:rsidR="004A62B8">
              <w:rPr>
                <w:rFonts w:eastAsia="MS Mincho"/>
              </w:rPr>
              <w:t xml:space="preserve"> </w:t>
            </w:r>
            <w:r w:rsidR="00253936" w:rsidRPr="00253936">
              <w:rPr>
                <w:rFonts w:eastAsia="MS Mincho"/>
              </w:rPr>
              <w:t>with antidepressants during the previous 12 month</w:t>
            </w:r>
            <w:r w:rsidR="00A8184F">
              <w:rPr>
                <w:rFonts w:eastAsia="MS Mincho"/>
              </w:rPr>
              <w:t>s,</w:t>
            </w:r>
            <w:r w:rsidR="00253936" w:rsidRPr="00253936">
              <w:rPr>
                <w:rFonts w:eastAsia="MS Mincho"/>
              </w:rPr>
              <w:t xml:space="preserve"> lifetime diagnosis of psychosis, panic disorder, other anxiety</w:t>
            </w:r>
            <w:r w:rsidR="00166B24">
              <w:rPr>
                <w:rFonts w:eastAsia="MS Mincho"/>
              </w:rPr>
              <w:t xml:space="preserve"> </w:t>
            </w:r>
            <w:r w:rsidR="00253936" w:rsidRPr="00253936">
              <w:rPr>
                <w:rFonts w:eastAsia="MS Mincho"/>
              </w:rPr>
              <w:t>disorders, or bipolar disorder</w:t>
            </w:r>
            <w:r w:rsidR="00A8184F">
              <w:rPr>
                <w:rFonts w:eastAsia="MS Mincho"/>
              </w:rPr>
              <w:t>,</w:t>
            </w:r>
            <w:r w:rsidR="00253936" w:rsidRPr="00253936">
              <w:rPr>
                <w:rFonts w:eastAsia="MS Mincho"/>
              </w:rPr>
              <w:t xml:space="preserve"> active alcohol or substance abuse/dependence (except nicotine) within the past 12 months</w:t>
            </w:r>
            <w:r w:rsidR="00A8184F">
              <w:rPr>
                <w:rFonts w:eastAsia="MS Mincho"/>
              </w:rPr>
              <w:t>,</w:t>
            </w:r>
            <w:r w:rsidR="00253936" w:rsidRPr="00253936">
              <w:rPr>
                <w:rFonts w:eastAsia="MS Mincho"/>
              </w:rPr>
              <w:t xml:space="preserve"> severe</w:t>
            </w:r>
            <w:r w:rsidR="00166B24">
              <w:rPr>
                <w:rFonts w:eastAsia="MS Mincho"/>
              </w:rPr>
              <w:t xml:space="preserve"> </w:t>
            </w:r>
            <w:r w:rsidR="00253936" w:rsidRPr="00253936">
              <w:rPr>
                <w:rFonts w:eastAsia="MS Mincho"/>
              </w:rPr>
              <w:t>medical or psychiatric condition or laboratory abnormality</w:t>
            </w:r>
            <w:r w:rsidR="00A8184F">
              <w:rPr>
                <w:rFonts w:eastAsia="MS Mincho"/>
              </w:rPr>
              <w:t>,</w:t>
            </w:r>
            <w:r w:rsidR="00166B24">
              <w:rPr>
                <w:rFonts w:eastAsia="MS Mincho"/>
              </w:rPr>
              <w:t xml:space="preserve"> </w:t>
            </w:r>
            <w:r w:rsidR="00253936" w:rsidRPr="00253936">
              <w:rPr>
                <w:rFonts w:eastAsia="MS Mincho"/>
              </w:rPr>
              <w:t>use of NRT, bupropion, or other smoking cessation aids during</w:t>
            </w:r>
            <w:r w:rsidR="00166B24">
              <w:rPr>
                <w:rFonts w:eastAsia="MS Mincho"/>
              </w:rPr>
              <w:t xml:space="preserve"> </w:t>
            </w:r>
            <w:r w:rsidR="00253936" w:rsidRPr="00253936">
              <w:rPr>
                <w:rFonts w:eastAsia="MS Mincho"/>
              </w:rPr>
              <w:t>treatment</w:t>
            </w:r>
            <w:r w:rsidR="00A8184F">
              <w:rPr>
                <w:rFonts w:eastAsia="MS Mincho"/>
              </w:rPr>
              <w:t>,</w:t>
            </w:r>
            <w:r w:rsidR="00253936" w:rsidRPr="00253936">
              <w:rPr>
                <w:rFonts w:eastAsia="MS Mincho"/>
              </w:rPr>
              <w:t xml:space="preserve"> and use of other tobacco products,</w:t>
            </w:r>
            <w:r w:rsidR="00166B24">
              <w:rPr>
                <w:rFonts w:eastAsia="MS Mincho"/>
              </w:rPr>
              <w:t xml:space="preserve"> </w:t>
            </w:r>
            <w:r w:rsidR="00253936" w:rsidRPr="00253936">
              <w:rPr>
                <w:rFonts w:eastAsia="MS Mincho"/>
              </w:rPr>
              <w:t>electronic cigarettes, marijuana, or illegal or street drugs at any time</w:t>
            </w:r>
            <w:r w:rsidR="00166B24">
              <w:rPr>
                <w:rFonts w:eastAsia="MS Mincho"/>
              </w:rPr>
              <w:t xml:space="preserve"> </w:t>
            </w:r>
            <w:r w:rsidR="00253936" w:rsidRPr="00253936">
              <w:rPr>
                <w:rFonts w:eastAsia="MS Mincho"/>
              </w:rPr>
              <w:t>during the study</w:t>
            </w:r>
            <w:r w:rsidR="00A8184F">
              <w:rPr>
                <w:rFonts w:eastAsia="MS Mincho"/>
              </w:rPr>
              <w:t>,</w:t>
            </w:r>
            <w:r w:rsidR="00D20A1B">
              <w:rPr>
                <w:rFonts w:eastAsia="MS Mincho"/>
              </w:rPr>
              <w:t xml:space="preserve"> pregnancy and breastfeeding.</w:t>
            </w:r>
          </w:p>
        </w:tc>
        <w:tc>
          <w:tcPr>
            <w:tcW w:w="859" w:type="pct"/>
            <w:shd w:val="clear" w:color="auto" w:fill="D9D9D9" w:themeFill="background1" w:themeFillShade="D9"/>
          </w:tcPr>
          <w:p w14:paraId="50525998" w14:textId="5DFE8449" w:rsidR="00FA6470" w:rsidRDefault="00FA6470" w:rsidP="00FC6133">
            <w:pPr>
              <w:pStyle w:val="Tablewriting"/>
              <w:keepNext/>
              <w:rPr>
                <w:rFonts w:eastAsia="MS Mincho"/>
              </w:rPr>
            </w:pPr>
            <w:r>
              <w:rPr>
                <w:rFonts w:eastAsia="MS Mincho"/>
              </w:rPr>
              <w:t>Varenicline</w:t>
            </w:r>
            <w:r w:rsidRPr="00A34E7B">
              <w:rPr>
                <w:rFonts w:eastAsia="MS Mincho"/>
              </w:rPr>
              <w:t xml:space="preserve">: </w:t>
            </w:r>
            <w:r w:rsidR="00807C27" w:rsidRPr="00372F18">
              <w:rPr>
                <w:rFonts w:eastAsia="MS Mincho"/>
              </w:rPr>
              <w:t>1</w:t>
            </w:r>
            <w:r w:rsidR="00EB3600">
              <w:rPr>
                <w:rFonts w:eastAsia="MS Mincho"/>
              </w:rPr>
              <w:t xml:space="preserve"> </w:t>
            </w:r>
            <w:r w:rsidR="00807C27" w:rsidRPr="00372F18">
              <w:rPr>
                <w:rFonts w:eastAsia="MS Mincho"/>
              </w:rPr>
              <w:t>mg twice daily titrated</w:t>
            </w:r>
            <w:r w:rsidR="00807C27">
              <w:rPr>
                <w:rFonts w:eastAsia="MS Mincho"/>
              </w:rPr>
              <w:t xml:space="preserve"> over 12 weeks</w:t>
            </w:r>
            <w:r w:rsidR="00807C27" w:rsidRPr="00372F18">
              <w:rPr>
                <w:rFonts w:eastAsia="MS Mincho"/>
              </w:rPr>
              <w:t xml:space="preserve"> (</w:t>
            </w:r>
            <w:r w:rsidR="004C4EA7" w:rsidRPr="00372F18">
              <w:rPr>
                <w:rFonts w:eastAsia="MS Mincho"/>
              </w:rPr>
              <w:t>i</w:t>
            </w:r>
            <w:r w:rsidR="004C4EA7">
              <w:rPr>
                <w:rFonts w:eastAsia="MS Mincho"/>
              </w:rPr>
              <w:t>.</w:t>
            </w:r>
            <w:r w:rsidR="004C4EA7" w:rsidRPr="00372F18">
              <w:rPr>
                <w:rFonts w:eastAsia="MS Mincho"/>
              </w:rPr>
              <w:t>e</w:t>
            </w:r>
            <w:r w:rsidR="004C4EA7">
              <w:rPr>
                <w:rFonts w:eastAsia="MS Mincho"/>
              </w:rPr>
              <w:t>.,</w:t>
            </w:r>
            <w:r w:rsidR="00807C27" w:rsidRPr="00372F18">
              <w:rPr>
                <w:rFonts w:eastAsia="MS Mincho"/>
              </w:rPr>
              <w:t xml:space="preserve"> 0.5</w:t>
            </w:r>
            <w:r w:rsidR="00EB3600">
              <w:rPr>
                <w:rFonts w:eastAsia="MS Mincho"/>
              </w:rPr>
              <w:t xml:space="preserve"> </w:t>
            </w:r>
            <w:r w:rsidR="00807C27" w:rsidRPr="00372F18">
              <w:rPr>
                <w:rFonts w:eastAsia="MS Mincho"/>
              </w:rPr>
              <w:t>mg once</w:t>
            </w:r>
            <w:r w:rsidR="00807C27">
              <w:rPr>
                <w:rFonts w:eastAsia="MS Mincho"/>
              </w:rPr>
              <w:t xml:space="preserve"> </w:t>
            </w:r>
            <w:r w:rsidR="00807C27" w:rsidRPr="00372F18">
              <w:rPr>
                <w:rFonts w:eastAsia="MS Mincho"/>
              </w:rPr>
              <w:t>daily for 3 days, then 0.5</w:t>
            </w:r>
            <w:r w:rsidR="00EB3600">
              <w:rPr>
                <w:rFonts w:eastAsia="MS Mincho"/>
              </w:rPr>
              <w:t xml:space="preserve"> </w:t>
            </w:r>
            <w:r w:rsidR="00807C27" w:rsidRPr="00372F18">
              <w:rPr>
                <w:rFonts w:eastAsia="MS Mincho"/>
              </w:rPr>
              <w:t>mg twice daily for 4 days, then 1</w:t>
            </w:r>
            <w:r w:rsidR="00EB3600">
              <w:rPr>
                <w:rFonts w:eastAsia="MS Mincho"/>
              </w:rPr>
              <w:t xml:space="preserve"> </w:t>
            </w:r>
            <w:r w:rsidR="00807C27" w:rsidRPr="00372F18">
              <w:rPr>
                <w:rFonts w:eastAsia="MS Mincho"/>
              </w:rPr>
              <w:t>mg twice daily)</w:t>
            </w:r>
            <w:r w:rsidR="003E68B5">
              <w:rPr>
                <w:rFonts w:eastAsia="MS Mincho"/>
              </w:rPr>
              <w:t>;</w:t>
            </w:r>
          </w:p>
          <w:p w14:paraId="55DC9896" w14:textId="05C9E89C" w:rsidR="00FA6470" w:rsidRDefault="00FA6470" w:rsidP="00FC6133">
            <w:pPr>
              <w:pStyle w:val="Tablewriting"/>
              <w:keepNext/>
              <w:rPr>
                <w:rFonts w:eastAsia="MS Mincho"/>
              </w:rPr>
            </w:pPr>
            <w:r>
              <w:rPr>
                <w:rFonts w:eastAsia="MS Mincho"/>
              </w:rPr>
              <w:t>Placebo: placebo tablet for 12 weeks, same regimen</w:t>
            </w:r>
            <w:r w:rsidR="00AB5FA3">
              <w:rPr>
                <w:rFonts w:eastAsia="MS Mincho"/>
              </w:rPr>
              <w:t>.</w:t>
            </w:r>
          </w:p>
          <w:p w14:paraId="6450E4DC" w14:textId="77777777" w:rsidR="00670E78" w:rsidRDefault="00670E78" w:rsidP="00FC6133">
            <w:pPr>
              <w:pStyle w:val="Tablewriting"/>
              <w:keepNext/>
              <w:rPr>
                <w:rFonts w:eastAsia="MS Mincho"/>
              </w:rPr>
            </w:pPr>
          </w:p>
          <w:p w14:paraId="13C8C4C7" w14:textId="3A617719" w:rsidR="00670E78" w:rsidRPr="00061F78" w:rsidRDefault="00670E78" w:rsidP="00FC6133">
            <w:pPr>
              <w:pStyle w:val="Tablewriting"/>
              <w:keepNext/>
              <w:rPr>
                <w:rFonts w:eastAsia="MS Mincho"/>
              </w:rPr>
            </w:pPr>
            <w:r w:rsidRPr="00670E78">
              <w:rPr>
                <w:rFonts w:eastAsia="MS Mincho"/>
              </w:rPr>
              <w:t>Behavioural support provided in both arms.</w:t>
            </w:r>
          </w:p>
        </w:tc>
        <w:tc>
          <w:tcPr>
            <w:tcW w:w="843" w:type="pct"/>
            <w:shd w:val="clear" w:color="auto" w:fill="D9D9D9" w:themeFill="background1" w:themeFillShade="D9"/>
            <w:tcMar>
              <w:left w:w="28" w:type="dxa"/>
              <w:right w:w="28" w:type="dxa"/>
            </w:tcMar>
          </w:tcPr>
          <w:p w14:paraId="1831C992" w14:textId="565B8013" w:rsidR="00FA6470" w:rsidRDefault="00FA6470" w:rsidP="00FC6133">
            <w:pPr>
              <w:pStyle w:val="Tablewriting"/>
              <w:keepNext/>
              <w:rPr>
                <w:rFonts w:eastAsia="MS Mincho"/>
              </w:rPr>
            </w:pPr>
            <w:r w:rsidRPr="008C39E4">
              <w:rPr>
                <w:rFonts w:eastAsia="MS Mincho"/>
                <w:u w:val="single"/>
              </w:rPr>
              <w:t>Primary</w:t>
            </w:r>
            <w:r>
              <w:rPr>
                <w:rFonts w:eastAsia="MS Mincho"/>
              </w:rPr>
              <w:t xml:space="preserve">: </w:t>
            </w:r>
            <w:r w:rsidR="008B0FD1">
              <w:rPr>
                <w:rFonts w:eastAsia="MS Mincho"/>
              </w:rPr>
              <w:t>CAR</w:t>
            </w:r>
            <w:r>
              <w:rPr>
                <w:rFonts w:eastAsia="MS Mincho"/>
              </w:rPr>
              <w:t xml:space="preserve"> at </w:t>
            </w:r>
            <w:r w:rsidR="00D562FA">
              <w:rPr>
                <w:rFonts w:eastAsia="MS Mincho"/>
              </w:rPr>
              <w:t>w</w:t>
            </w:r>
            <w:r>
              <w:rPr>
                <w:rFonts w:eastAsia="MS Mincho"/>
              </w:rPr>
              <w:t xml:space="preserve">eek </w:t>
            </w:r>
            <w:r w:rsidR="00266065">
              <w:rPr>
                <w:rFonts w:eastAsia="MS Mincho"/>
              </w:rPr>
              <w:t>9-12</w:t>
            </w:r>
            <w:r>
              <w:rPr>
                <w:rFonts w:eastAsia="MS Mincho"/>
              </w:rPr>
              <w:t>. Validated by CO</w:t>
            </w:r>
            <w:r w:rsidR="008B0FD1">
              <w:rPr>
                <w:rFonts w:eastAsia="MS Mincho"/>
              </w:rPr>
              <w:t xml:space="preserve"> </w:t>
            </w:r>
            <w:r>
              <w:rPr>
                <w:rFonts w:eastAsia="MS Mincho" w:cstheme="minorHAnsi"/>
              </w:rPr>
              <w:t>≤</w:t>
            </w:r>
            <w:r>
              <w:rPr>
                <w:rFonts w:eastAsia="MS Mincho"/>
              </w:rPr>
              <w:t>10</w:t>
            </w:r>
            <w:r w:rsidR="00EB3600">
              <w:rPr>
                <w:rFonts w:eastAsia="MS Mincho"/>
              </w:rPr>
              <w:t xml:space="preserve"> </w:t>
            </w:r>
            <w:r>
              <w:rPr>
                <w:rFonts w:eastAsia="MS Mincho"/>
              </w:rPr>
              <w:t>ppm.</w:t>
            </w:r>
          </w:p>
          <w:p w14:paraId="490EB4FA" w14:textId="430D317F" w:rsidR="00FA6470" w:rsidRDefault="00FA6470" w:rsidP="00FC6133">
            <w:pPr>
              <w:pStyle w:val="Tablewriting"/>
              <w:keepNext/>
              <w:rPr>
                <w:rFonts w:eastAsia="MS Mincho"/>
              </w:rPr>
            </w:pPr>
            <w:r w:rsidRPr="008C39E4">
              <w:rPr>
                <w:rFonts w:eastAsia="MS Mincho"/>
                <w:u w:val="single"/>
              </w:rPr>
              <w:t>Secondary</w:t>
            </w:r>
            <w:r>
              <w:rPr>
                <w:rFonts w:eastAsia="MS Mincho"/>
              </w:rPr>
              <w:t xml:space="preserve">: </w:t>
            </w:r>
            <w:r w:rsidRPr="005B56AA">
              <w:rPr>
                <w:rFonts w:eastAsia="MS Mincho"/>
              </w:rPr>
              <w:t>CAR at</w:t>
            </w:r>
            <w:r>
              <w:rPr>
                <w:rFonts w:eastAsia="MS Mincho"/>
              </w:rPr>
              <w:t xml:space="preserve"> </w:t>
            </w:r>
            <w:r w:rsidR="00D562FA">
              <w:rPr>
                <w:rFonts w:eastAsia="MS Mincho"/>
              </w:rPr>
              <w:t>w</w:t>
            </w:r>
            <w:r>
              <w:rPr>
                <w:rFonts w:eastAsia="MS Mincho"/>
              </w:rPr>
              <w:t>eek</w:t>
            </w:r>
            <w:r w:rsidRPr="005B56AA">
              <w:rPr>
                <w:rFonts w:eastAsia="MS Mincho"/>
              </w:rPr>
              <w:t xml:space="preserve"> </w:t>
            </w:r>
            <w:r w:rsidR="00C62B08">
              <w:rPr>
                <w:rFonts w:eastAsia="MS Mincho"/>
              </w:rPr>
              <w:t xml:space="preserve">9-24 and </w:t>
            </w:r>
            <w:r w:rsidR="008B4636">
              <w:rPr>
                <w:rFonts w:eastAsia="MS Mincho"/>
              </w:rPr>
              <w:t>9</w:t>
            </w:r>
            <w:r>
              <w:rPr>
                <w:rFonts w:eastAsia="MS Mincho"/>
              </w:rPr>
              <w:t>-52</w:t>
            </w:r>
            <w:r w:rsidRPr="005B56AA">
              <w:rPr>
                <w:rFonts w:eastAsia="MS Mincho"/>
              </w:rPr>
              <w:t xml:space="preserve">; 7-day PPA at </w:t>
            </w:r>
            <w:r w:rsidR="00D562FA">
              <w:rPr>
                <w:rFonts w:eastAsia="MS Mincho"/>
              </w:rPr>
              <w:t>w</w:t>
            </w:r>
            <w:r>
              <w:rPr>
                <w:rFonts w:eastAsia="MS Mincho"/>
              </w:rPr>
              <w:t xml:space="preserve">eek </w:t>
            </w:r>
            <w:r w:rsidR="00C62B08">
              <w:rPr>
                <w:rFonts w:eastAsia="MS Mincho"/>
              </w:rPr>
              <w:t xml:space="preserve">12, </w:t>
            </w:r>
            <w:r w:rsidRPr="005B56AA">
              <w:rPr>
                <w:rFonts w:eastAsia="MS Mincho"/>
              </w:rPr>
              <w:t>24 and 52</w:t>
            </w:r>
            <w:r w:rsidR="00AF43A1">
              <w:rPr>
                <w:rFonts w:eastAsia="MS Mincho"/>
              </w:rPr>
              <w:t xml:space="preserve">. </w:t>
            </w:r>
            <w:r w:rsidR="007E1903">
              <w:rPr>
                <w:rFonts w:eastAsia="MS Mincho"/>
              </w:rPr>
              <w:t xml:space="preserve">Validated by CO </w:t>
            </w:r>
            <w:r w:rsidR="007E1903">
              <w:rPr>
                <w:rFonts w:eastAsia="MS Mincho" w:cstheme="minorHAnsi"/>
              </w:rPr>
              <w:t>≤</w:t>
            </w:r>
            <w:r w:rsidR="007E1903">
              <w:rPr>
                <w:rFonts w:eastAsia="MS Mincho"/>
              </w:rPr>
              <w:t>10</w:t>
            </w:r>
            <w:r w:rsidR="00EB3600">
              <w:rPr>
                <w:rFonts w:eastAsia="MS Mincho"/>
              </w:rPr>
              <w:t xml:space="preserve"> </w:t>
            </w:r>
            <w:r w:rsidR="007E1903">
              <w:rPr>
                <w:rFonts w:eastAsia="MS Mincho"/>
              </w:rPr>
              <w:t>ppm.</w:t>
            </w:r>
          </w:p>
          <w:p w14:paraId="5441AF3A" w14:textId="01159AA8" w:rsidR="00FA6470" w:rsidRPr="00061F78" w:rsidRDefault="00FA6470" w:rsidP="00FC6133">
            <w:pPr>
              <w:pStyle w:val="Tablewriting"/>
              <w:keepNext/>
              <w:rPr>
                <w:rFonts w:eastAsia="MS Mincho"/>
              </w:rPr>
            </w:pPr>
            <w:r w:rsidRPr="0055171C">
              <w:rPr>
                <w:rFonts w:eastAsia="MS Mincho"/>
                <w:u w:val="single"/>
              </w:rPr>
              <w:t>Other</w:t>
            </w:r>
            <w:r>
              <w:rPr>
                <w:rFonts w:eastAsia="MS Mincho"/>
              </w:rPr>
              <w:t xml:space="preserve">: </w:t>
            </w:r>
            <w:r w:rsidRPr="00EC37F8">
              <w:rPr>
                <w:rFonts w:eastAsia="MS Mincho"/>
              </w:rPr>
              <w:t>adverse</w:t>
            </w:r>
            <w:r>
              <w:rPr>
                <w:rFonts w:eastAsia="MS Mincho"/>
              </w:rPr>
              <w:t xml:space="preserve"> </w:t>
            </w:r>
            <w:r w:rsidRPr="00EC37F8">
              <w:rPr>
                <w:rFonts w:eastAsia="MS Mincho"/>
              </w:rPr>
              <w:t>events</w:t>
            </w:r>
          </w:p>
        </w:tc>
      </w:tr>
      <w:tr w:rsidR="002C7950" w:rsidRPr="00061F78" w14:paraId="632F52B7" w14:textId="77777777" w:rsidTr="00670E78">
        <w:trPr>
          <w:trHeight w:val="149"/>
        </w:trPr>
        <w:tc>
          <w:tcPr>
            <w:tcW w:w="371" w:type="pct"/>
            <w:tcMar>
              <w:left w:w="28" w:type="dxa"/>
              <w:right w:w="28" w:type="dxa"/>
            </w:tcMar>
          </w:tcPr>
          <w:p w14:paraId="44F430B8" w14:textId="77777777" w:rsidR="001D6DCC" w:rsidRDefault="001D6DCC" w:rsidP="001D6DCC">
            <w:pPr>
              <w:pStyle w:val="Tablewriting"/>
              <w:keepNext/>
              <w:rPr>
                <w:rFonts w:eastAsia="MS Mincho"/>
              </w:rPr>
            </w:pPr>
            <w:r>
              <w:rPr>
                <w:rFonts w:eastAsia="MS Mincho"/>
              </w:rPr>
              <w:t>Cahill</w:t>
            </w:r>
          </w:p>
          <w:p w14:paraId="5BF39D6D" w14:textId="7CF3C2C7" w:rsidR="001D6DCC" w:rsidRPr="004F1864" w:rsidRDefault="001D6DCC" w:rsidP="001D6DCC">
            <w:pPr>
              <w:pStyle w:val="Tablewriting"/>
              <w:keepNext/>
              <w:rPr>
                <w:rFonts w:eastAsia="MS Mincho"/>
              </w:rPr>
            </w:pPr>
            <w:r>
              <w:rPr>
                <w:rFonts w:eastAsia="MS Mincho"/>
              </w:rPr>
              <w:t>(2016)</w:t>
            </w:r>
          </w:p>
        </w:tc>
        <w:tc>
          <w:tcPr>
            <w:tcW w:w="386" w:type="pct"/>
          </w:tcPr>
          <w:p w14:paraId="360D5FF8" w14:textId="32615ECA" w:rsidR="001D6DCC" w:rsidRDefault="001D6DCC" w:rsidP="001D6DCC">
            <w:pPr>
              <w:pStyle w:val="Tablewriting"/>
              <w:keepNext/>
              <w:rPr>
                <w:rFonts w:eastAsia="MS Mincho"/>
              </w:rPr>
            </w:pPr>
            <w:r>
              <w:rPr>
                <w:rFonts w:eastAsia="MS Mincho"/>
              </w:rPr>
              <w:t xml:space="preserve">Cochrane </w:t>
            </w:r>
            <w:r w:rsidR="004C4EA7">
              <w:rPr>
                <w:rFonts w:eastAsia="MS Mincho"/>
              </w:rPr>
              <w:t>Review (</w:t>
            </w:r>
            <w:r w:rsidR="00714E70">
              <w:rPr>
                <w:rFonts w:eastAsia="MS Mincho"/>
              </w:rPr>
              <w:t>1</w:t>
            </w:r>
            <w:r>
              <w:rPr>
                <w:rFonts w:eastAsia="MS Mincho"/>
              </w:rPr>
              <w:t xml:space="preserve"> RCT</w:t>
            </w:r>
            <w:r w:rsidR="009F2A08">
              <w:rPr>
                <w:rFonts w:eastAsia="MS Mincho"/>
                <w:vertAlign w:val="superscript"/>
              </w:rPr>
              <w:t>2</w:t>
            </w:r>
            <w:r>
              <w:rPr>
                <w:rFonts w:eastAsia="MS Mincho"/>
              </w:rPr>
              <w:t>)</w:t>
            </w:r>
          </w:p>
          <w:p w14:paraId="7C64D563" w14:textId="77777777" w:rsidR="001D6DCC" w:rsidRDefault="001D6DCC" w:rsidP="001D6DCC">
            <w:pPr>
              <w:pStyle w:val="Tablewriting"/>
              <w:keepNext/>
              <w:rPr>
                <w:rFonts w:eastAsia="MS Mincho"/>
              </w:rPr>
            </w:pPr>
          </w:p>
        </w:tc>
        <w:tc>
          <w:tcPr>
            <w:tcW w:w="345" w:type="pct"/>
            <w:tcMar>
              <w:left w:w="28" w:type="dxa"/>
              <w:right w:w="28" w:type="dxa"/>
            </w:tcMar>
          </w:tcPr>
          <w:p w14:paraId="1770A785" w14:textId="7C376169" w:rsidR="001D6DCC" w:rsidRDefault="001D6DCC" w:rsidP="001D6DCC">
            <w:pPr>
              <w:pStyle w:val="Tablewriting"/>
              <w:keepNext/>
              <w:rPr>
                <w:rFonts w:eastAsia="MS Mincho"/>
              </w:rPr>
            </w:pPr>
            <w:r>
              <w:rPr>
                <w:rFonts w:eastAsia="MS Mincho"/>
              </w:rPr>
              <w:t>N=</w:t>
            </w:r>
            <w:r w:rsidR="007432E3">
              <w:rPr>
                <w:rFonts w:eastAsia="MS Mincho"/>
              </w:rPr>
              <w:t>49</w:t>
            </w:r>
            <w:r w:rsidR="00F10711">
              <w:rPr>
                <w:rFonts w:eastAsia="MS Mincho"/>
              </w:rPr>
              <w:t>8</w:t>
            </w:r>
          </w:p>
          <w:p w14:paraId="57D750FD" w14:textId="410DF61A" w:rsidR="001D6DCC" w:rsidRDefault="001D6DCC" w:rsidP="001D6DCC">
            <w:pPr>
              <w:pStyle w:val="Tablewriting"/>
              <w:keepNext/>
              <w:rPr>
                <w:rFonts w:eastAsia="MS Mincho"/>
              </w:rPr>
            </w:pPr>
            <w:r>
              <w:rPr>
                <w:rFonts w:eastAsia="MS Mincho"/>
              </w:rPr>
              <w:t>Varenicline (n=</w:t>
            </w:r>
            <w:r w:rsidR="007432E3">
              <w:rPr>
                <w:rFonts w:eastAsia="MS Mincho"/>
              </w:rPr>
              <w:t>2</w:t>
            </w:r>
            <w:r w:rsidR="00F10711">
              <w:rPr>
                <w:rFonts w:eastAsia="MS Mincho"/>
              </w:rPr>
              <w:t>51</w:t>
            </w:r>
            <w:r>
              <w:rPr>
                <w:rFonts w:eastAsia="MS Mincho"/>
              </w:rPr>
              <w:t>),</w:t>
            </w:r>
          </w:p>
          <w:p w14:paraId="31D1C4AA" w14:textId="560A8E7F" w:rsidR="001D6DCC" w:rsidRPr="00061F78" w:rsidRDefault="001D6DCC" w:rsidP="001D6DCC">
            <w:pPr>
              <w:pStyle w:val="Tablewriting"/>
              <w:keepNext/>
              <w:rPr>
                <w:rFonts w:eastAsia="MS Mincho"/>
              </w:rPr>
            </w:pPr>
            <w:r>
              <w:rPr>
                <w:rFonts w:eastAsia="MS Mincho"/>
              </w:rPr>
              <w:t>Placebo (n=</w:t>
            </w:r>
            <w:r w:rsidR="007432E3">
              <w:rPr>
                <w:rFonts w:eastAsia="MS Mincho"/>
              </w:rPr>
              <w:t>24</w:t>
            </w:r>
            <w:r w:rsidR="00F10711">
              <w:rPr>
                <w:rFonts w:eastAsia="MS Mincho"/>
              </w:rPr>
              <w:t>7</w:t>
            </w:r>
            <w:r>
              <w:rPr>
                <w:rFonts w:eastAsia="MS Mincho"/>
              </w:rPr>
              <w:t>)</w:t>
            </w:r>
          </w:p>
        </w:tc>
        <w:tc>
          <w:tcPr>
            <w:tcW w:w="2195" w:type="pct"/>
            <w:tcMar>
              <w:left w:w="28" w:type="dxa"/>
              <w:right w:w="28" w:type="dxa"/>
            </w:tcMar>
          </w:tcPr>
          <w:p w14:paraId="4962DEFF" w14:textId="505AF5E8" w:rsidR="001D6DCC" w:rsidRDefault="001D6DCC" w:rsidP="001D6DCC">
            <w:pPr>
              <w:pStyle w:val="Tablewriting"/>
              <w:keepNext/>
              <w:rPr>
                <w:rFonts w:eastAsia="MS Mincho"/>
              </w:rPr>
            </w:pPr>
            <w:r w:rsidRPr="002C19B4">
              <w:rPr>
                <w:rFonts w:eastAsia="MS Mincho"/>
                <w:u w:val="single"/>
              </w:rPr>
              <w:t>Inclusion</w:t>
            </w:r>
            <w:r>
              <w:rPr>
                <w:rFonts w:eastAsia="MS Mincho"/>
              </w:rPr>
              <w:t>: a</w:t>
            </w:r>
            <w:r w:rsidRPr="00054702">
              <w:rPr>
                <w:rFonts w:eastAsia="MS Mincho"/>
              </w:rPr>
              <w:t>dult smokers</w:t>
            </w:r>
            <w:r w:rsidR="00AB5FA3">
              <w:rPr>
                <w:rFonts w:eastAsia="MS Mincho"/>
              </w:rPr>
              <w:t>.</w:t>
            </w:r>
            <w:r>
              <w:rPr>
                <w:rFonts w:eastAsia="MS Mincho"/>
              </w:rPr>
              <w:t xml:space="preserve"> </w:t>
            </w:r>
          </w:p>
          <w:p w14:paraId="5B4AFDFC" w14:textId="4C989DD9" w:rsidR="001D6DCC" w:rsidRPr="00061F78" w:rsidRDefault="001D6DCC" w:rsidP="001D6DCC">
            <w:pPr>
              <w:pStyle w:val="Tablewriting"/>
              <w:keepNext/>
              <w:rPr>
                <w:rFonts w:eastAsia="MS Mincho"/>
              </w:rPr>
            </w:pPr>
            <w:r w:rsidRPr="002C19B4">
              <w:rPr>
                <w:rFonts w:eastAsia="MS Mincho"/>
                <w:u w:val="single"/>
              </w:rPr>
              <w:t>Exclusion</w:t>
            </w:r>
            <w:r>
              <w:rPr>
                <w:rFonts w:eastAsia="MS Mincho"/>
              </w:rPr>
              <w:t>: t</w:t>
            </w:r>
            <w:r w:rsidRPr="00490E8A">
              <w:rPr>
                <w:rFonts w:eastAsia="MS Mincho"/>
              </w:rPr>
              <w:t>rials which target users of smokeless tobacco</w:t>
            </w:r>
            <w:r w:rsidR="00AB5FA3">
              <w:rPr>
                <w:rFonts w:eastAsia="MS Mincho"/>
              </w:rPr>
              <w:t>.</w:t>
            </w:r>
          </w:p>
        </w:tc>
        <w:tc>
          <w:tcPr>
            <w:tcW w:w="859" w:type="pct"/>
          </w:tcPr>
          <w:p w14:paraId="55B30E02" w14:textId="18B5BBBA" w:rsidR="001D6DCC" w:rsidRPr="00061F78" w:rsidRDefault="001D6DCC" w:rsidP="001D6DCC">
            <w:pPr>
              <w:pStyle w:val="Tablewriting"/>
              <w:keepNext/>
              <w:rPr>
                <w:rFonts w:eastAsia="MS Mincho"/>
              </w:rPr>
            </w:pPr>
            <w:r>
              <w:rPr>
                <w:rFonts w:eastAsia="MS Mincho"/>
              </w:rPr>
              <w:t>Varenicline: 1</w:t>
            </w:r>
            <w:r w:rsidR="00EB3600">
              <w:rPr>
                <w:rFonts w:eastAsia="MS Mincho"/>
              </w:rPr>
              <w:t xml:space="preserve"> </w:t>
            </w:r>
            <w:r>
              <w:rPr>
                <w:rFonts w:eastAsia="MS Mincho"/>
              </w:rPr>
              <w:t>mg twice daily including titration</w:t>
            </w:r>
            <w:r w:rsidRPr="001B0165">
              <w:rPr>
                <w:rFonts w:eastAsia="MS Mincho"/>
              </w:rPr>
              <w:t xml:space="preserve"> (</w:t>
            </w:r>
            <w:r w:rsidR="004C4EA7" w:rsidRPr="001B0165">
              <w:rPr>
                <w:rFonts w:eastAsia="MS Mincho"/>
              </w:rPr>
              <w:t>i.e.,</w:t>
            </w:r>
            <w:r w:rsidRPr="001B0165">
              <w:rPr>
                <w:rFonts w:eastAsia="MS Mincho"/>
              </w:rPr>
              <w:t xml:space="preserve"> 0.5</w:t>
            </w:r>
            <w:r w:rsidR="00EB3600">
              <w:rPr>
                <w:rFonts w:eastAsia="MS Mincho"/>
              </w:rPr>
              <w:t xml:space="preserve"> </w:t>
            </w:r>
            <w:r w:rsidRPr="001B0165">
              <w:rPr>
                <w:rFonts w:eastAsia="MS Mincho"/>
              </w:rPr>
              <w:t>mg once daily for 3 days, then 0.5</w:t>
            </w:r>
            <w:r w:rsidR="00EB3600">
              <w:rPr>
                <w:rFonts w:eastAsia="MS Mincho"/>
              </w:rPr>
              <w:t xml:space="preserve"> </w:t>
            </w:r>
            <w:r w:rsidRPr="001B0165">
              <w:rPr>
                <w:rFonts w:eastAsia="MS Mincho"/>
              </w:rPr>
              <w:t>mg twice daily for 4 days, then 1</w:t>
            </w:r>
            <w:r w:rsidR="00EB3600">
              <w:rPr>
                <w:rFonts w:eastAsia="MS Mincho"/>
              </w:rPr>
              <w:t xml:space="preserve"> </w:t>
            </w:r>
            <w:r w:rsidRPr="001B0165">
              <w:rPr>
                <w:rFonts w:eastAsia="MS Mincho"/>
              </w:rPr>
              <w:t>mg twice daily)</w:t>
            </w:r>
            <w:r w:rsidR="003E68B5">
              <w:rPr>
                <w:rFonts w:eastAsia="MS Mincho"/>
              </w:rPr>
              <w:t xml:space="preserve">; </w:t>
            </w:r>
            <w:r>
              <w:rPr>
                <w:rFonts w:eastAsia="MS Mincho"/>
              </w:rPr>
              <w:t>Placebo: placebo tablets, same regimen</w:t>
            </w:r>
            <w:r w:rsidR="00AB5FA3">
              <w:rPr>
                <w:rFonts w:eastAsia="MS Mincho"/>
              </w:rPr>
              <w:t>.</w:t>
            </w:r>
          </w:p>
        </w:tc>
        <w:tc>
          <w:tcPr>
            <w:tcW w:w="843" w:type="pct"/>
            <w:tcMar>
              <w:left w:w="28" w:type="dxa"/>
              <w:right w:w="28" w:type="dxa"/>
            </w:tcMar>
          </w:tcPr>
          <w:p w14:paraId="523F5867" w14:textId="2DED57E1" w:rsidR="001D6DCC" w:rsidRPr="00061F78" w:rsidRDefault="001D6DCC" w:rsidP="001D6DC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tc>
      </w:tr>
    </w:tbl>
    <w:p w14:paraId="2A6A0110" w14:textId="3AE38DAC" w:rsidR="002C7300" w:rsidRDefault="009F2A08" w:rsidP="0070341B">
      <w:pPr>
        <w:pStyle w:val="TableFooter"/>
        <w:keepNext/>
        <w:jc w:val="both"/>
      </w:pPr>
      <w:r>
        <w:t xml:space="preserve">Abbreviations: </w:t>
      </w:r>
      <w:r w:rsidR="002C7300" w:rsidRPr="002C7300">
        <w:t xml:space="preserve">CAR = continuous abstinence rate; CO = carbon monoxide; COPD = chronic obstructive pulmonary disease; NRT = nicotine replacement therapy; PPA = point prevalence abstinence; RCT = randomised controlled trial </w:t>
      </w:r>
    </w:p>
    <w:p w14:paraId="5D049438" w14:textId="404ECF0D" w:rsidR="009F2A08" w:rsidRDefault="009F2A08" w:rsidP="0070341B">
      <w:pPr>
        <w:pStyle w:val="TableFooter"/>
        <w:keepNext/>
        <w:jc w:val="both"/>
      </w:pPr>
      <w:r w:rsidRPr="00061F78">
        <w:rPr>
          <w:highlight w:val="lightGray"/>
        </w:rPr>
        <w:t>Shaded</w:t>
      </w:r>
      <w:r w:rsidRPr="00061F78">
        <w:t xml:space="preserve"> = previously considered by the PBAC</w:t>
      </w:r>
    </w:p>
    <w:p w14:paraId="734823CA" w14:textId="521F7BE5" w:rsidR="009F2A08" w:rsidRDefault="009F2A08" w:rsidP="0070341B">
      <w:pPr>
        <w:pStyle w:val="TableFooter"/>
        <w:keepNext/>
        <w:jc w:val="both"/>
      </w:pPr>
      <w:r>
        <w:t xml:space="preserve">1 Only the number of patients (n) in the relevant arms were included </w:t>
      </w:r>
    </w:p>
    <w:p w14:paraId="28D3BADA" w14:textId="61FA6271" w:rsidR="00FA6470" w:rsidRDefault="009F2A08" w:rsidP="0070341B">
      <w:pPr>
        <w:pStyle w:val="TableFooter"/>
        <w:keepNext/>
        <w:jc w:val="both"/>
      </w:pPr>
      <w:r>
        <w:lastRenderedPageBreak/>
        <w:t xml:space="preserve">2 The characteristics of the individual studies comparing varenicline with placebo included in Cahill et al. (2016) are presented in </w:t>
      </w:r>
      <w:r w:rsidRPr="00960710">
        <w:t>Appendix</w:t>
      </w:r>
      <w:r w:rsidR="000B683C">
        <w:t xml:space="preserve"> Table 152</w:t>
      </w:r>
      <w:r>
        <w:t>. One study previously considered by the PBAC (</w:t>
      </w:r>
      <w:r w:rsidR="00F76390">
        <w:t>Gonzales</w:t>
      </w:r>
      <w:r>
        <w:t xml:space="preserve"> et al. 20</w:t>
      </w:r>
      <w:r w:rsidR="00F76390">
        <w:t>14</w:t>
      </w:r>
      <w:r w:rsidR="002352EF">
        <w:t>; referred to as Trial A3051139</w:t>
      </w:r>
      <w:r w:rsidRPr="005B2A6C">
        <w:t xml:space="preserve">) </w:t>
      </w:r>
      <w:r>
        <w:t xml:space="preserve">was included in the primary efficacy analysis of </w:t>
      </w:r>
      <w:r w:rsidR="00F76390">
        <w:t>Cahill</w:t>
      </w:r>
      <w:r>
        <w:t xml:space="preserve"> et al. (201</w:t>
      </w:r>
      <w:r w:rsidR="00F76390">
        <w:t>6</w:t>
      </w:r>
      <w:r>
        <w:t>).</w:t>
      </w:r>
    </w:p>
    <w:p w14:paraId="581A663A" w14:textId="77777777" w:rsidR="00FA6470" w:rsidRDefault="00FA6470" w:rsidP="002C1625">
      <w:pPr>
        <w:sectPr w:rsidR="00FA6470" w:rsidSect="00FA6470">
          <w:pgSz w:w="16838" w:h="11906" w:orient="landscape"/>
          <w:pgMar w:top="1440" w:right="1440" w:bottom="1440" w:left="1440" w:header="708" w:footer="708" w:gutter="0"/>
          <w:cols w:space="708"/>
          <w:titlePg/>
          <w:docGrid w:linePitch="360"/>
        </w:sectPr>
      </w:pPr>
    </w:p>
    <w:p w14:paraId="68FDEFB2" w14:textId="77777777" w:rsidR="002A0473" w:rsidRPr="00F618DC" w:rsidRDefault="002A0473" w:rsidP="0070341B">
      <w:pPr>
        <w:spacing w:after="120"/>
        <w:jc w:val="both"/>
        <w:rPr>
          <w:u w:val="single"/>
        </w:rPr>
      </w:pPr>
      <w:r w:rsidRPr="00F618DC">
        <w:rPr>
          <w:u w:val="single"/>
        </w:rPr>
        <w:lastRenderedPageBreak/>
        <w:t>Efficacy</w:t>
      </w:r>
    </w:p>
    <w:p w14:paraId="2F29CCBE" w14:textId="322BF1D8" w:rsidR="00FA6470" w:rsidRDefault="002A0473" w:rsidP="0070341B">
      <w:pPr>
        <w:spacing w:after="120"/>
        <w:jc w:val="both"/>
      </w:pPr>
      <w:r>
        <w:t xml:space="preserve">A summary of the smoking cessation rates at 12 months </w:t>
      </w:r>
      <w:r w:rsidR="00960710">
        <w:t xml:space="preserve">comparing varenicline with placebo in non-abstainers as retreatment </w:t>
      </w:r>
      <w:r>
        <w:t xml:space="preserve">is presented in </w:t>
      </w:r>
      <w:r w:rsidR="00C5041C">
        <w:fldChar w:fldCharType="begin" w:fldLock="1"/>
      </w:r>
      <w:r w:rsidR="00C5041C">
        <w:instrText xml:space="preserve"> REF _Ref54792390 \h </w:instrText>
      </w:r>
      <w:r w:rsidR="00C5041C">
        <w:fldChar w:fldCharType="separate"/>
      </w:r>
      <w:r w:rsidR="00EC5CC7">
        <w:t xml:space="preserve">Table </w:t>
      </w:r>
      <w:r w:rsidR="00EC5CC7">
        <w:rPr>
          <w:noProof/>
        </w:rPr>
        <w:t>37</w:t>
      </w:r>
      <w:r w:rsidR="00C5041C">
        <w:fldChar w:fldCharType="end"/>
      </w:r>
      <w:r>
        <w:t xml:space="preserve">. The results of </w:t>
      </w:r>
      <w:r w:rsidR="00C5041C">
        <w:t>Gonzales</w:t>
      </w:r>
      <w:r>
        <w:t xml:space="preserve"> et al. (20</w:t>
      </w:r>
      <w:r w:rsidR="00C5041C">
        <w:t>14</w:t>
      </w:r>
      <w:r>
        <w:t>)</w:t>
      </w:r>
      <w:r w:rsidR="00305316">
        <w:t>,</w:t>
      </w:r>
      <w:r>
        <w:t xml:space="preserve"> </w:t>
      </w:r>
      <w:r w:rsidR="005F2542">
        <w:t>which was the only study identified by Cahill et al. (2016)</w:t>
      </w:r>
      <w:r w:rsidR="00305316">
        <w:t>,</w:t>
      </w:r>
      <w:r>
        <w:t xml:space="preserve"> demonstrated a statistically significant difference in continuous abstinence rate, in favour of varenicline. </w:t>
      </w:r>
      <w:r w:rsidR="00B55608" w:rsidRPr="00B55608">
        <w:t>It was noted that the results of th</w:t>
      </w:r>
      <w:r w:rsidR="00743955">
        <w:t>is study</w:t>
      </w:r>
      <w:r w:rsidR="00B55608" w:rsidRPr="00B55608">
        <w:t xml:space="preserve"> were included in the primary efficacy analysis of </w:t>
      </w:r>
      <w:r w:rsidR="00743955">
        <w:t>varenicline</w:t>
      </w:r>
      <w:r w:rsidR="00B55608" w:rsidRPr="00B55608">
        <w:t xml:space="preserve"> versus placebo conducted by</w:t>
      </w:r>
      <w:r w:rsidR="00743955">
        <w:t xml:space="preserve"> Cahill</w:t>
      </w:r>
      <w:r w:rsidR="00B55608" w:rsidRPr="00B55608">
        <w:t xml:space="preserve"> et al. (20</w:t>
      </w:r>
      <w:r w:rsidR="00743955">
        <w:t>16</w:t>
      </w:r>
      <w:r w:rsidR="00B55608" w:rsidRPr="00B55608">
        <w:t>),</w:t>
      </w:r>
      <w:r w:rsidR="00250E8A">
        <w:t xml:space="preserve"> as</w:t>
      </w:r>
      <w:r w:rsidR="00B55608" w:rsidRPr="00B55608">
        <w:t xml:space="preserve"> presented in the treatment-naïve population section</w:t>
      </w:r>
      <w:r w:rsidR="00743955">
        <w:t>.</w:t>
      </w:r>
    </w:p>
    <w:p w14:paraId="5184A220" w14:textId="1DA10EB7" w:rsidR="006A6520" w:rsidRDefault="006A6520" w:rsidP="00A46402">
      <w:pPr>
        <w:pStyle w:val="Caption"/>
        <w:keepNext/>
        <w:spacing w:before="0" w:after="120"/>
        <w:jc w:val="both"/>
      </w:pPr>
      <w:bookmarkStart w:id="83" w:name="_Ref54792390"/>
      <w:r>
        <w:t xml:space="preserve">Table </w:t>
      </w:r>
      <w:r w:rsidR="00BF3F75">
        <w:fldChar w:fldCharType="begin"/>
      </w:r>
      <w:r w:rsidR="00BF3F75">
        <w:instrText xml:space="preserve"> SEQ Table \* ARABIC </w:instrText>
      </w:r>
      <w:r w:rsidR="00BF3F75">
        <w:fldChar w:fldCharType="separate"/>
      </w:r>
      <w:r w:rsidR="00EC5CC7">
        <w:rPr>
          <w:noProof/>
        </w:rPr>
        <w:t>37</w:t>
      </w:r>
      <w:r w:rsidR="00BF3F75">
        <w:rPr>
          <w:noProof/>
        </w:rPr>
        <w:fldChar w:fldCharType="end"/>
      </w:r>
      <w:bookmarkEnd w:id="83"/>
      <w:r>
        <w:t xml:space="preserve">: </w:t>
      </w:r>
      <w:r w:rsidRPr="003002E7">
        <w:t>Results of smoking cessation at 12 months, varenicline versus placebo</w:t>
      </w:r>
      <w:r w:rsidR="003E68B5">
        <w:t xml:space="preserve"> in non-</w:t>
      </w:r>
      <w:r w:rsidR="003E68B5" w:rsidRPr="003756F6">
        <w:t xml:space="preserve">abstainers </w:t>
      </w:r>
      <w:r w:rsidR="003E68B5">
        <w:t>as</w:t>
      </w:r>
      <w:r w:rsidR="003E68B5" w:rsidRPr="003756F6">
        <w:t xml:space="preserve"> re</w:t>
      </w:r>
      <w:r w:rsidR="003E68B5">
        <w:t>treatment</w:t>
      </w:r>
    </w:p>
    <w:tbl>
      <w:tblPr>
        <w:tblStyle w:val="TableGrid"/>
        <w:tblW w:w="5000" w:type="pct"/>
        <w:tblLook w:val="04A0" w:firstRow="1" w:lastRow="0" w:firstColumn="1" w:lastColumn="0" w:noHBand="0" w:noVBand="1"/>
        <w:tblCaption w:val="Efficacy results of adalimumab trials (PASI 75 and DLQI)"/>
      </w:tblPr>
      <w:tblGrid>
        <w:gridCol w:w="1296"/>
        <w:gridCol w:w="1818"/>
        <w:gridCol w:w="1984"/>
        <w:gridCol w:w="2090"/>
        <w:gridCol w:w="1828"/>
      </w:tblGrid>
      <w:tr w:rsidR="00EC49F4" w:rsidRPr="00061F78" w14:paraId="5B7781E6" w14:textId="77777777" w:rsidTr="00AB0402">
        <w:trPr>
          <w:cantSplit/>
          <w:trHeight w:val="299"/>
          <w:tblHeader/>
        </w:trPr>
        <w:tc>
          <w:tcPr>
            <w:tcW w:w="719" w:type="pct"/>
            <w:shd w:val="clear" w:color="auto" w:fill="BFBFBF" w:themeFill="background1" w:themeFillShade="BF"/>
            <w:tcMar>
              <w:left w:w="28" w:type="dxa"/>
              <w:right w:w="28" w:type="dxa"/>
            </w:tcMar>
          </w:tcPr>
          <w:p w14:paraId="20C7E53B" w14:textId="0C6999DA" w:rsidR="00EC49F4" w:rsidRPr="00061F78" w:rsidRDefault="00126B7B" w:rsidP="00FC6133">
            <w:pPr>
              <w:pStyle w:val="Tableheading"/>
              <w:keepNext/>
              <w:rPr>
                <w:rFonts w:eastAsia="MS Mincho"/>
              </w:rPr>
            </w:pPr>
            <w:r>
              <w:rPr>
                <w:rFonts w:eastAsia="MS Mincho"/>
              </w:rPr>
              <w:t>Study</w:t>
            </w:r>
          </w:p>
        </w:tc>
        <w:tc>
          <w:tcPr>
            <w:tcW w:w="1008" w:type="pct"/>
            <w:shd w:val="clear" w:color="auto" w:fill="BFBFBF" w:themeFill="background1" w:themeFillShade="BF"/>
            <w:vAlign w:val="center"/>
          </w:tcPr>
          <w:p w14:paraId="2FB1BBC3" w14:textId="77777777" w:rsidR="00EC49F4" w:rsidRDefault="00EC49F4" w:rsidP="00FC6133">
            <w:pPr>
              <w:pStyle w:val="Tableheading"/>
              <w:keepNext/>
              <w:jc w:val="center"/>
              <w:rPr>
                <w:rFonts w:eastAsia="MS Mincho"/>
              </w:rPr>
            </w:pPr>
            <w:r>
              <w:rPr>
                <w:rFonts w:eastAsia="MS Mincho"/>
              </w:rPr>
              <w:t>Study type</w:t>
            </w:r>
          </w:p>
        </w:tc>
        <w:tc>
          <w:tcPr>
            <w:tcW w:w="1100" w:type="pct"/>
            <w:shd w:val="clear" w:color="auto" w:fill="BFBFBF" w:themeFill="background1" w:themeFillShade="BF"/>
            <w:tcMar>
              <w:left w:w="28" w:type="dxa"/>
              <w:right w:w="28" w:type="dxa"/>
            </w:tcMar>
            <w:vAlign w:val="center"/>
          </w:tcPr>
          <w:p w14:paraId="507CEB93" w14:textId="77777777" w:rsidR="00EC49F4" w:rsidRPr="00061F78" w:rsidRDefault="00EC49F4" w:rsidP="00FC6133">
            <w:pPr>
              <w:pStyle w:val="Tableheading"/>
              <w:keepNext/>
              <w:jc w:val="center"/>
              <w:rPr>
                <w:rFonts w:eastAsia="MS Mincho"/>
              </w:rPr>
            </w:pPr>
            <w:r>
              <w:rPr>
                <w:rFonts w:eastAsia="MS Mincho"/>
              </w:rPr>
              <w:t>Varenicline</w:t>
            </w:r>
          </w:p>
        </w:tc>
        <w:tc>
          <w:tcPr>
            <w:tcW w:w="1159" w:type="pct"/>
            <w:shd w:val="clear" w:color="auto" w:fill="BFBFBF" w:themeFill="background1" w:themeFillShade="BF"/>
            <w:tcMar>
              <w:left w:w="28" w:type="dxa"/>
              <w:right w:w="28" w:type="dxa"/>
            </w:tcMar>
            <w:vAlign w:val="center"/>
          </w:tcPr>
          <w:p w14:paraId="63664808" w14:textId="77777777" w:rsidR="00EC49F4" w:rsidRPr="00061F78" w:rsidRDefault="00EC49F4" w:rsidP="00FC6133">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14:paraId="65E64EBE" w14:textId="4BC9A1D4" w:rsidR="00EC49F4" w:rsidRPr="00D468CF" w:rsidRDefault="00EC49F4" w:rsidP="00FC6133">
            <w:pPr>
              <w:pStyle w:val="Tableheading"/>
              <w:keepNext/>
              <w:jc w:val="center"/>
              <w:rPr>
                <w:rFonts w:eastAsia="MS Mincho"/>
                <w:vertAlign w:val="superscript"/>
              </w:rPr>
            </w:pPr>
            <w:r>
              <w:rPr>
                <w:rFonts w:eastAsia="MS Mincho"/>
              </w:rPr>
              <w:t>RR (95% CI)</w:t>
            </w:r>
          </w:p>
        </w:tc>
      </w:tr>
      <w:tr w:rsidR="00EC49F4" w:rsidRPr="00061F78" w14:paraId="507AB951" w14:textId="77777777" w:rsidTr="00015CD6">
        <w:trPr>
          <w:cantSplit/>
          <w:trHeight w:val="99"/>
        </w:trPr>
        <w:tc>
          <w:tcPr>
            <w:tcW w:w="719" w:type="pct"/>
            <w:shd w:val="clear" w:color="auto" w:fill="D9D9D9" w:themeFill="background1" w:themeFillShade="D9"/>
            <w:tcMar>
              <w:left w:w="28" w:type="dxa"/>
              <w:right w:w="28" w:type="dxa"/>
            </w:tcMar>
          </w:tcPr>
          <w:p w14:paraId="12BF31B2" w14:textId="1631F789" w:rsidR="00EC49F4" w:rsidRDefault="0061540B" w:rsidP="00FC6133">
            <w:pPr>
              <w:pStyle w:val="Tablewriting"/>
              <w:keepNext/>
              <w:rPr>
                <w:rFonts w:eastAsia="MS Mincho"/>
              </w:rPr>
            </w:pPr>
            <w:r>
              <w:rPr>
                <w:rFonts w:eastAsia="MS Mincho"/>
              </w:rPr>
              <w:t>Gonzales</w:t>
            </w:r>
            <w:r w:rsidR="00EC49F4">
              <w:rPr>
                <w:rFonts w:eastAsia="MS Mincho"/>
              </w:rPr>
              <w:t xml:space="preserve"> (20</w:t>
            </w:r>
            <w:r>
              <w:rPr>
                <w:rFonts w:eastAsia="MS Mincho"/>
              </w:rPr>
              <w:t>14</w:t>
            </w:r>
            <w:r w:rsidR="00EC49F4">
              <w:rPr>
                <w:rFonts w:eastAsia="MS Mincho"/>
              </w:rPr>
              <w:t>)</w:t>
            </w:r>
            <w:r w:rsidR="00EC49F4">
              <w:rPr>
                <w:rFonts w:eastAsia="MS Mincho"/>
                <w:vertAlign w:val="superscript"/>
              </w:rPr>
              <w:t>1</w:t>
            </w:r>
            <w:r w:rsidR="00EC49F4">
              <w:rPr>
                <w:rFonts w:eastAsia="MS Mincho"/>
              </w:rPr>
              <w:t xml:space="preserve"> </w:t>
            </w:r>
          </w:p>
        </w:tc>
        <w:tc>
          <w:tcPr>
            <w:tcW w:w="1008" w:type="pct"/>
            <w:shd w:val="clear" w:color="auto" w:fill="D9D9D9" w:themeFill="background1" w:themeFillShade="D9"/>
            <w:vAlign w:val="center"/>
          </w:tcPr>
          <w:p w14:paraId="4BE224AC" w14:textId="77777777" w:rsidR="00EC49F4" w:rsidRDefault="00EC49F4" w:rsidP="00FC6133">
            <w:pPr>
              <w:pStyle w:val="Tablewriting"/>
              <w:keepNext/>
              <w:jc w:val="center"/>
              <w:rPr>
                <w:rFonts w:eastAsia="MS Mincho"/>
              </w:rPr>
            </w:pPr>
            <w:r>
              <w:rPr>
                <w:rFonts w:eastAsia="MS Mincho"/>
              </w:rPr>
              <w:t>RCT</w:t>
            </w:r>
          </w:p>
        </w:tc>
        <w:tc>
          <w:tcPr>
            <w:tcW w:w="1100" w:type="pct"/>
            <w:shd w:val="clear" w:color="auto" w:fill="D9D9D9" w:themeFill="background1" w:themeFillShade="D9"/>
            <w:tcMar>
              <w:left w:w="28" w:type="dxa"/>
              <w:right w:w="28" w:type="dxa"/>
            </w:tcMar>
            <w:vAlign w:val="center"/>
          </w:tcPr>
          <w:p w14:paraId="3DA5BE5D" w14:textId="651C99AC" w:rsidR="00EC49F4" w:rsidRPr="00F423F8" w:rsidRDefault="00E175D2" w:rsidP="00FC6133">
            <w:pPr>
              <w:pStyle w:val="Tablewriting"/>
              <w:keepNext/>
              <w:jc w:val="center"/>
              <w:rPr>
                <w:rFonts w:eastAsia="MS Mincho"/>
                <w:vertAlign w:val="superscript"/>
              </w:rPr>
            </w:pPr>
            <w:r>
              <w:rPr>
                <w:rFonts w:eastAsia="MS Mincho"/>
              </w:rPr>
              <w:t>50</w:t>
            </w:r>
            <w:r w:rsidR="00EC49F4">
              <w:rPr>
                <w:rFonts w:eastAsia="MS Mincho"/>
              </w:rPr>
              <w:t>/</w:t>
            </w:r>
            <w:r>
              <w:rPr>
                <w:rFonts w:eastAsia="MS Mincho"/>
              </w:rPr>
              <w:t>251</w:t>
            </w:r>
          </w:p>
          <w:p w14:paraId="1A84D47F" w14:textId="01C77A7C" w:rsidR="00EC49F4" w:rsidRDefault="00EC49F4" w:rsidP="00FC6133">
            <w:pPr>
              <w:pStyle w:val="Tablewriting"/>
              <w:keepNext/>
              <w:jc w:val="center"/>
              <w:rPr>
                <w:rFonts w:eastAsia="MS Mincho"/>
              </w:rPr>
            </w:pPr>
            <w:r>
              <w:rPr>
                <w:rFonts w:eastAsia="MS Mincho"/>
              </w:rPr>
              <w:t>(</w:t>
            </w:r>
            <w:r w:rsidR="00497986">
              <w:rPr>
                <w:rFonts w:eastAsia="MS Mincho"/>
              </w:rPr>
              <w:t>19.9</w:t>
            </w:r>
            <w:r>
              <w:rPr>
                <w:rFonts w:eastAsia="MS Mincho"/>
              </w:rPr>
              <w:t>%)</w:t>
            </w:r>
          </w:p>
        </w:tc>
        <w:tc>
          <w:tcPr>
            <w:tcW w:w="1159" w:type="pct"/>
            <w:shd w:val="clear" w:color="auto" w:fill="D9D9D9" w:themeFill="background1" w:themeFillShade="D9"/>
            <w:tcMar>
              <w:left w:w="28" w:type="dxa"/>
              <w:right w:w="28" w:type="dxa"/>
            </w:tcMar>
            <w:vAlign w:val="center"/>
          </w:tcPr>
          <w:p w14:paraId="74D8D663" w14:textId="3EC9C5C3" w:rsidR="00EC49F4" w:rsidRDefault="00E175D2" w:rsidP="00FC6133">
            <w:pPr>
              <w:pStyle w:val="Tablewriting"/>
              <w:keepNext/>
              <w:jc w:val="center"/>
              <w:rPr>
                <w:rFonts w:eastAsia="MS Mincho"/>
              </w:rPr>
            </w:pPr>
            <w:r>
              <w:rPr>
                <w:rFonts w:eastAsia="MS Mincho"/>
              </w:rPr>
              <w:t>8</w:t>
            </w:r>
            <w:r w:rsidR="00EC49F4">
              <w:rPr>
                <w:rFonts w:eastAsia="MS Mincho"/>
              </w:rPr>
              <w:t>/</w:t>
            </w:r>
            <w:r>
              <w:rPr>
                <w:rFonts w:eastAsia="MS Mincho"/>
              </w:rPr>
              <w:t>247</w:t>
            </w:r>
          </w:p>
          <w:p w14:paraId="3DA59464" w14:textId="784CCBEF" w:rsidR="00EC49F4" w:rsidRDefault="00EC49F4" w:rsidP="00FC6133">
            <w:pPr>
              <w:pStyle w:val="Tablewriting"/>
              <w:keepNext/>
              <w:jc w:val="center"/>
              <w:rPr>
                <w:rFonts w:eastAsia="MS Mincho"/>
              </w:rPr>
            </w:pPr>
            <w:r>
              <w:rPr>
                <w:rFonts w:eastAsia="MS Mincho"/>
              </w:rPr>
              <w:t>(3</w:t>
            </w:r>
            <w:r w:rsidR="00F06115">
              <w:rPr>
                <w:rFonts w:eastAsia="MS Mincho"/>
              </w:rPr>
              <w:t>.2</w:t>
            </w:r>
            <w:r>
              <w:rPr>
                <w:rFonts w:eastAsia="MS Mincho"/>
              </w:rPr>
              <w:t>%)</w:t>
            </w:r>
          </w:p>
        </w:tc>
        <w:tc>
          <w:tcPr>
            <w:tcW w:w="1014" w:type="pct"/>
            <w:shd w:val="clear" w:color="auto" w:fill="D9D9D9" w:themeFill="background1" w:themeFillShade="D9"/>
            <w:tcMar>
              <w:left w:w="28" w:type="dxa"/>
              <w:right w:w="28" w:type="dxa"/>
            </w:tcMar>
            <w:vAlign w:val="center"/>
          </w:tcPr>
          <w:p w14:paraId="143AA70F" w14:textId="5BFBAB55" w:rsidR="00EC49F4" w:rsidRPr="00F360FD" w:rsidRDefault="007B67DB" w:rsidP="00FC6133">
            <w:pPr>
              <w:pStyle w:val="Tablewriting"/>
              <w:keepNext/>
              <w:jc w:val="center"/>
              <w:rPr>
                <w:rFonts w:eastAsia="MS Mincho"/>
                <w:b/>
                <w:bCs/>
              </w:rPr>
            </w:pPr>
            <w:r>
              <w:rPr>
                <w:rFonts w:eastAsia="MS Mincho"/>
                <w:b/>
                <w:bCs/>
              </w:rPr>
              <w:t>6.15</w:t>
            </w:r>
          </w:p>
          <w:p w14:paraId="29279F0D" w14:textId="079967FB" w:rsidR="00EC49F4" w:rsidRPr="00F360FD" w:rsidRDefault="00EC49F4" w:rsidP="00FC6133">
            <w:pPr>
              <w:pStyle w:val="Tablewriting"/>
              <w:keepNext/>
              <w:jc w:val="center"/>
              <w:rPr>
                <w:rFonts w:eastAsia="MS Mincho"/>
                <w:b/>
              </w:rPr>
            </w:pPr>
            <w:r w:rsidRPr="00F360FD">
              <w:rPr>
                <w:rFonts w:eastAsia="MS Mincho"/>
                <w:b/>
                <w:bCs/>
              </w:rPr>
              <w:t>(</w:t>
            </w:r>
            <w:r w:rsidR="007B67DB">
              <w:rPr>
                <w:rFonts w:eastAsia="MS Mincho"/>
                <w:b/>
                <w:bCs/>
              </w:rPr>
              <w:t>2.98</w:t>
            </w:r>
            <w:r w:rsidRPr="00F360FD">
              <w:rPr>
                <w:rFonts w:eastAsia="MS Mincho"/>
                <w:b/>
                <w:bCs/>
              </w:rPr>
              <w:t xml:space="preserve">, </w:t>
            </w:r>
            <w:r w:rsidR="007B67DB">
              <w:rPr>
                <w:rFonts w:eastAsia="MS Mincho"/>
                <w:b/>
                <w:bCs/>
              </w:rPr>
              <w:t>12.7</w:t>
            </w:r>
            <w:r w:rsidRPr="00F360FD">
              <w:rPr>
                <w:rFonts w:eastAsia="MS Mincho"/>
                <w:b/>
                <w:bCs/>
              </w:rPr>
              <w:t>)</w:t>
            </w:r>
          </w:p>
        </w:tc>
      </w:tr>
      <w:tr w:rsidR="00EC49F4" w:rsidRPr="00061F78" w14:paraId="6D965128" w14:textId="77777777" w:rsidTr="00AB0402">
        <w:trPr>
          <w:cantSplit/>
          <w:trHeight w:val="149"/>
        </w:trPr>
        <w:tc>
          <w:tcPr>
            <w:tcW w:w="719" w:type="pct"/>
            <w:tcMar>
              <w:left w:w="28" w:type="dxa"/>
              <w:right w:w="28" w:type="dxa"/>
            </w:tcMar>
          </w:tcPr>
          <w:p w14:paraId="0F242C46" w14:textId="5F1889CD" w:rsidR="00EC49F4" w:rsidRDefault="0061540B" w:rsidP="00FC6133">
            <w:pPr>
              <w:pStyle w:val="Tablewriting"/>
              <w:keepNext/>
              <w:rPr>
                <w:rFonts w:eastAsia="MS Mincho"/>
              </w:rPr>
            </w:pPr>
            <w:r>
              <w:rPr>
                <w:rFonts w:eastAsia="MS Mincho"/>
              </w:rPr>
              <w:t>Cahill</w:t>
            </w:r>
          </w:p>
          <w:p w14:paraId="79C336B8" w14:textId="749634F7" w:rsidR="00EC49F4" w:rsidRPr="00D468CF" w:rsidRDefault="00EC49F4" w:rsidP="00FC6133">
            <w:pPr>
              <w:pStyle w:val="Tablewriting"/>
              <w:keepNext/>
              <w:rPr>
                <w:rFonts w:eastAsia="MS Mincho"/>
                <w:vertAlign w:val="superscript"/>
              </w:rPr>
            </w:pPr>
            <w:r>
              <w:rPr>
                <w:rFonts w:eastAsia="MS Mincho"/>
              </w:rPr>
              <w:t>(201</w:t>
            </w:r>
            <w:r w:rsidR="0061540B">
              <w:rPr>
                <w:rFonts w:eastAsia="MS Mincho"/>
              </w:rPr>
              <w:t>6</w:t>
            </w:r>
            <w:r>
              <w:rPr>
                <w:rFonts w:eastAsia="MS Mincho"/>
              </w:rPr>
              <w:t>)</w:t>
            </w:r>
            <w:r>
              <w:rPr>
                <w:rFonts w:eastAsia="MS Mincho"/>
                <w:vertAlign w:val="superscript"/>
              </w:rPr>
              <w:t>2</w:t>
            </w:r>
          </w:p>
        </w:tc>
        <w:tc>
          <w:tcPr>
            <w:tcW w:w="1008" w:type="pct"/>
            <w:vAlign w:val="center"/>
          </w:tcPr>
          <w:p w14:paraId="51172103" w14:textId="713EBFEE" w:rsidR="00EC49F4" w:rsidRDefault="00EC49F4" w:rsidP="00FC6133">
            <w:pPr>
              <w:pStyle w:val="Tablewriting"/>
              <w:keepNext/>
              <w:jc w:val="center"/>
              <w:rPr>
                <w:rFonts w:eastAsia="MS Mincho"/>
              </w:rPr>
            </w:pPr>
            <w:r>
              <w:rPr>
                <w:rFonts w:eastAsia="MS Mincho"/>
              </w:rPr>
              <w:t>Cochrane Review (</w:t>
            </w:r>
            <w:r w:rsidR="001D583E">
              <w:rPr>
                <w:rFonts w:eastAsia="MS Mincho"/>
              </w:rPr>
              <w:t>1</w:t>
            </w:r>
            <w:r>
              <w:rPr>
                <w:rFonts w:eastAsia="MS Mincho"/>
              </w:rPr>
              <w:t xml:space="preserve"> RCT)</w:t>
            </w:r>
          </w:p>
        </w:tc>
        <w:tc>
          <w:tcPr>
            <w:tcW w:w="1100" w:type="pct"/>
            <w:tcMar>
              <w:left w:w="28" w:type="dxa"/>
              <w:right w:w="28" w:type="dxa"/>
            </w:tcMar>
            <w:vAlign w:val="center"/>
          </w:tcPr>
          <w:p w14:paraId="455A4691" w14:textId="156081EC" w:rsidR="00EC49F4" w:rsidRPr="00923953" w:rsidRDefault="006A6520" w:rsidP="00FC6133">
            <w:pPr>
              <w:pStyle w:val="Tablewriting"/>
              <w:keepNext/>
              <w:jc w:val="center"/>
              <w:rPr>
                <w:rFonts w:eastAsia="MS Mincho"/>
                <w:vertAlign w:val="superscript"/>
              </w:rPr>
            </w:pPr>
            <w:r w:rsidRPr="006A6520">
              <w:rPr>
                <w:rFonts w:eastAsia="MS Mincho"/>
              </w:rPr>
              <w:t>See above</w:t>
            </w:r>
            <w:r w:rsidR="00923953">
              <w:rPr>
                <w:rFonts w:eastAsia="MS Mincho"/>
                <w:vertAlign w:val="superscript"/>
              </w:rPr>
              <w:t>3</w:t>
            </w:r>
          </w:p>
        </w:tc>
        <w:tc>
          <w:tcPr>
            <w:tcW w:w="1159" w:type="pct"/>
            <w:tcMar>
              <w:left w:w="28" w:type="dxa"/>
              <w:right w:w="28" w:type="dxa"/>
            </w:tcMar>
            <w:vAlign w:val="center"/>
          </w:tcPr>
          <w:p w14:paraId="695774BB" w14:textId="3265018B" w:rsidR="00EC49F4" w:rsidRPr="00923953" w:rsidRDefault="006A6520" w:rsidP="00FC6133">
            <w:pPr>
              <w:pStyle w:val="Tablewriting"/>
              <w:keepNext/>
              <w:jc w:val="center"/>
              <w:rPr>
                <w:rFonts w:eastAsia="MS Mincho"/>
                <w:vertAlign w:val="superscript"/>
              </w:rPr>
            </w:pPr>
            <w:r w:rsidRPr="006A6520">
              <w:rPr>
                <w:rFonts w:eastAsia="MS Mincho"/>
              </w:rPr>
              <w:t>See above</w:t>
            </w:r>
            <w:r w:rsidR="00923953">
              <w:rPr>
                <w:rFonts w:eastAsia="MS Mincho"/>
                <w:vertAlign w:val="superscript"/>
              </w:rPr>
              <w:t>3</w:t>
            </w:r>
          </w:p>
        </w:tc>
        <w:tc>
          <w:tcPr>
            <w:tcW w:w="1014" w:type="pct"/>
            <w:tcMar>
              <w:left w:w="28" w:type="dxa"/>
              <w:right w:w="28" w:type="dxa"/>
            </w:tcMar>
            <w:vAlign w:val="center"/>
          </w:tcPr>
          <w:p w14:paraId="5F3A3445" w14:textId="5B09BEE7" w:rsidR="00EC49F4" w:rsidRPr="00FD71B4" w:rsidRDefault="006A6520" w:rsidP="00FC6133">
            <w:pPr>
              <w:pStyle w:val="Tablewriting"/>
              <w:keepNext/>
              <w:jc w:val="center"/>
              <w:rPr>
                <w:rFonts w:eastAsia="MS Mincho"/>
              </w:rPr>
            </w:pPr>
            <w:r w:rsidRPr="006A6520">
              <w:rPr>
                <w:rFonts w:eastAsia="MS Mincho"/>
              </w:rPr>
              <w:t>See above</w:t>
            </w:r>
          </w:p>
        </w:tc>
      </w:tr>
    </w:tbl>
    <w:p w14:paraId="7907C46B" w14:textId="69EBB349" w:rsidR="006A6520" w:rsidRDefault="006A6520" w:rsidP="006A6520">
      <w:pPr>
        <w:pStyle w:val="TableFooter"/>
        <w:keepNext/>
      </w:pPr>
      <w:r>
        <w:t xml:space="preserve">Source: </w:t>
      </w:r>
      <w:r w:rsidR="00FE076B">
        <w:t>Cahill</w:t>
      </w:r>
      <w:r>
        <w:t xml:space="preserve"> et al. (201</w:t>
      </w:r>
      <w:r w:rsidR="00FE076B">
        <w:t>6</w:t>
      </w:r>
      <w:r>
        <w:t>)</w:t>
      </w:r>
    </w:p>
    <w:p w14:paraId="3A073103" w14:textId="4467A4F7" w:rsidR="006A6520" w:rsidRDefault="006A6520" w:rsidP="00565211">
      <w:pPr>
        <w:pStyle w:val="TableFooter"/>
        <w:keepNext/>
        <w:jc w:val="both"/>
        <w:rPr>
          <w:i/>
        </w:rPr>
      </w:pPr>
      <w:r>
        <w:t xml:space="preserve">Abbreviations: CI = confidence interval; RCT = randomised controlled trial; </w:t>
      </w:r>
      <w:r w:rsidR="00755A16">
        <w:t xml:space="preserve">RD = risk difference; </w:t>
      </w:r>
      <w:r>
        <w:t>RR = risk ratio</w:t>
      </w:r>
      <w:r w:rsidRPr="00061F78">
        <w:t xml:space="preserve"> </w:t>
      </w:r>
    </w:p>
    <w:p w14:paraId="40F0088C" w14:textId="77777777" w:rsidR="006A6520" w:rsidRDefault="006A6520" w:rsidP="006A6520">
      <w:pPr>
        <w:pStyle w:val="TableFooter"/>
        <w:keepNext/>
      </w:pPr>
      <w:r w:rsidRPr="00061F78">
        <w:rPr>
          <w:highlight w:val="lightGray"/>
        </w:rPr>
        <w:t>Shaded</w:t>
      </w:r>
      <w:r w:rsidRPr="00061F78">
        <w:t xml:space="preserve"> = previously considered by the PBAC</w:t>
      </w:r>
    </w:p>
    <w:p w14:paraId="5384AF23" w14:textId="22708199" w:rsidR="006A6520" w:rsidRDefault="006A6520" w:rsidP="006A6520">
      <w:pPr>
        <w:pStyle w:val="TableFooter"/>
        <w:keepNext/>
      </w:pPr>
      <w:r w:rsidRPr="00D468CF">
        <w:t>Note</w:t>
      </w:r>
      <w:r>
        <w:t>s</w:t>
      </w:r>
      <w:r w:rsidRPr="00D468CF">
        <w:t>: Bold indicates statistically significant difference.</w:t>
      </w:r>
      <w:r>
        <w:br/>
        <w:t>1 Continuous abstinence rate at 12 months (</w:t>
      </w:r>
      <w:r w:rsidR="00D562FA">
        <w:t>w</w:t>
      </w:r>
      <w:r>
        <w:t xml:space="preserve">eek </w:t>
      </w:r>
      <w:r w:rsidR="009A0C19">
        <w:t>9</w:t>
      </w:r>
      <w:r>
        <w:t>-52)</w:t>
      </w:r>
      <w:r w:rsidR="00914B81">
        <w:t>.</w:t>
      </w:r>
    </w:p>
    <w:p w14:paraId="243FA81C" w14:textId="5A00DC54" w:rsidR="006A6520" w:rsidRDefault="006A6520" w:rsidP="0070341B">
      <w:pPr>
        <w:pStyle w:val="TableFooter"/>
        <w:keepNext/>
        <w:jc w:val="both"/>
      </w:pPr>
      <w:r>
        <w:t xml:space="preserve">2 </w:t>
      </w:r>
      <w:r w:rsidR="007B0E52">
        <w:t>The RCT included in Cahill et al. (2016) is the same study previously considered by the PBAC (Gonzales et al. 2014</w:t>
      </w:r>
      <w:r w:rsidR="00914B81">
        <w:t>; referred to as Trial A3051139</w:t>
      </w:r>
      <w:r w:rsidR="007B0E52">
        <w:t>)</w:t>
      </w:r>
      <w:r w:rsidR="00914B81">
        <w:t>.</w:t>
      </w:r>
    </w:p>
    <w:p w14:paraId="41C50E65" w14:textId="68E89DFA" w:rsidR="006A6520" w:rsidRDefault="00923953" w:rsidP="00565211">
      <w:pPr>
        <w:pStyle w:val="TableFooter"/>
        <w:keepNext/>
        <w:spacing w:after="120"/>
        <w:contextualSpacing w:val="0"/>
        <w:jc w:val="both"/>
      </w:pPr>
      <w:r>
        <w:t>3</w:t>
      </w:r>
      <w:r w:rsidR="006A6520">
        <w:t xml:space="preserve"> </w:t>
      </w:r>
      <w:r w:rsidR="006A6520" w:rsidRPr="00F423F8">
        <w:t xml:space="preserve">The number of </w:t>
      </w:r>
      <w:r w:rsidR="00234A7A">
        <w:t>patients (N)</w:t>
      </w:r>
      <w:r w:rsidR="006A6520" w:rsidRPr="00F423F8">
        <w:t xml:space="preserve"> reported in </w:t>
      </w:r>
      <w:r w:rsidR="00234A7A">
        <w:t>Cahill</w:t>
      </w:r>
      <w:r w:rsidR="006A6520" w:rsidRPr="00F423F8">
        <w:t xml:space="preserve"> et al. (201</w:t>
      </w:r>
      <w:r w:rsidR="004A5105">
        <w:t>6</w:t>
      </w:r>
      <w:r w:rsidR="006A6520" w:rsidRPr="00F423F8">
        <w:t xml:space="preserve">) </w:t>
      </w:r>
      <w:r w:rsidR="004A5105">
        <w:t xml:space="preserve">was based on </w:t>
      </w:r>
      <w:r w:rsidR="00E42C27">
        <w:t>t</w:t>
      </w:r>
      <w:r w:rsidR="00221B47">
        <w:t>reated patients instead of randomised patients</w:t>
      </w:r>
      <w:r w:rsidR="006A6520" w:rsidRPr="00F423F8">
        <w:t xml:space="preserve"> (</w:t>
      </w:r>
      <w:r w:rsidR="006A6520">
        <w:t>Varenicline</w:t>
      </w:r>
      <w:r w:rsidR="006A6520" w:rsidRPr="00F423F8">
        <w:t xml:space="preserve">, </w:t>
      </w:r>
      <w:r w:rsidR="002775B8">
        <w:t>N</w:t>
      </w:r>
      <w:r w:rsidR="006A6520" w:rsidRPr="00F423F8">
        <w:t>=</w:t>
      </w:r>
      <w:r w:rsidR="006A6520">
        <w:t>2</w:t>
      </w:r>
      <w:r w:rsidR="00622017">
        <w:t>49</w:t>
      </w:r>
      <w:r w:rsidR="006A6520" w:rsidRPr="00F423F8">
        <w:t xml:space="preserve"> versus </w:t>
      </w:r>
      <w:r w:rsidR="006A6520">
        <w:t>2</w:t>
      </w:r>
      <w:r w:rsidR="00622017">
        <w:t>51</w:t>
      </w:r>
      <w:r w:rsidR="00155E0F">
        <w:t xml:space="preserve">; Placebo, </w:t>
      </w:r>
      <w:r w:rsidR="002775B8">
        <w:t>N</w:t>
      </w:r>
      <w:r w:rsidR="00155E0F">
        <w:t>=245 versus 247</w:t>
      </w:r>
      <w:r w:rsidR="006A6520" w:rsidRPr="00F423F8">
        <w:t xml:space="preserve">). The number </w:t>
      </w:r>
      <w:r w:rsidR="002814D4">
        <w:t xml:space="preserve">of randomised patients </w:t>
      </w:r>
      <w:r w:rsidR="006A6520" w:rsidRPr="00F423F8">
        <w:t>w</w:t>
      </w:r>
      <w:r w:rsidR="006A6520">
        <w:t>as</w:t>
      </w:r>
      <w:r w:rsidR="006A6520" w:rsidRPr="00F423F8">
        <w:t xml:space="preserve"> used </w:t>
      </w:r>
      <w:r w:rsidR="003F0760">
        <w:t>instead as this represents the ITT population.</w:t>
      </w:r>
    </w:p>
    <w:p w14:paraId="3A05A2BE" w14:textId="77777777" w:rsidR="00F15CF6" w:rsidRPr="0073597F" w:rsidRDefault="00F15CF6" w:rsidP="00565211">
      <w:pPr>
        <w:spacing w:after="120"/>
        <w:jc w:val="both"/>
        <w:rPr>
          <w:u w:val="single"/>
        </w:rPr>
      </w:pPr>
      <w:r w:rsidRPr="0073597F">
        <w:rPr>
          <w:u w:val="single"/>
        </w:rPr>
        <w:t>Safety</w:t>
      </w:r>
    </w:p>
    <w:p w14:paraId="506B01AE" w14:textId="2D597AA1" w:rsidR="00CD3351" w:rsidRDefault="00F15CF6" w:rsidP="00565211">
      <w:pPr>
        <w:spacing w:after="120"/>
        <w:jc w:val="both"/>
      </w:pPr>
      <w:r w:rsidRPr="00F423F8">
        <w:t xml:space="preserve">The incidence of adverse events comparing </w:t>
      </w:r>
      <w:r>
        <w:t>varenicline with placebo in non-abstainers as retreatment</w:t>
      </w:r>
      <w:r w:rsidRPr="00F423F8">
        <w:t xml:space="preserve"> was not synthesised quantitatively by </w:t>
      </w:r>
      <w:r w:rsidR="006B234B">
        <w:t>Cahill</w:t>
      </w:r>
      <w:r w:rsidRPr="002C1625">
        <w:t xml:space="preserve"> et al. (201</w:t>
      </w:r>
      <w:r w:rsidR="006B234B">
        <w:t>6</w:t>
      </w:r>
      <w:r w:rsidRPr="002C1625">
        <w:t>)</w:t>
      </w:r>
      <w:r w:rsidRPr="00F423F8">
        <w:t>.</w:t>
      </w:r>
      <w:r>
        <w:t xml:space="preserve"> </w:t>
      </w:r>
      <w:r w:rsidR="00370D48" w:rsidRPr="00370D48">
        <w:t>It was noted that the safety results of Gonzales et al. (20</w:t>
      </w:r>
      <w:r w:rsidR="00370D48">
        <w:t>14</w:t>
      </w:r>
      <w:r w:rsidR="00370D48" w:rsidRPr="00370D48">
        <w:t>) w</w:t>
      </w:r>
      <w:r w:rsidR="00370D48">
        <w:t>ere</w:t>
      </w:r>
      <w:r w:rsidR="00370D48" w:rsidRPr="00370D48">
        <w:t xml:space="preserve"> included in the overall safety analysis of </w:t>
      </w:r>
      <w:r w:rsidR="00BB7AD6">
        <w:t>varenicline</w:t>
      </w:r>
      <w:r w:rsidR="00370D48" w:rsidRPr="00370D48">
        <w:t xml:space="preserve"> versus placebo conducted by </w:t>
      </w:r>
      <w:r w:rsidR="00BB7AD6">
        <w:t>Cahill</w:t>
      </w:r>
      <w:r w:rsidR="00370D48" w:rsidRPr="00370D48">
        <w:t xml:space="preserve"> et al. (20</w:t>
      </w:r>
      <w:r w:rsidR="00BB7AD6">
        <w:t>16</w:t>
      </w:r>
      <w:r w:rsidR="00370D48" w:rsidRPr="00370D48">
        <w:t xml:space="preserve">), </w:t>
      </w:r>
      <w:r w:rsidR="00250E8A">
        <w:t>as</w:t>
      </w:r>
      <w:r w:rsidR="00370D48" w:rsidRPr="00370D48">
        <w:t xml:space="preserve"> presented in the treatment-naïve population section.</w:t>
      </w:r>
      <w:r w:rsidR="00BB7AD6">
        <w:t xml:space="preserve"> </w:t>
      </w:r>
      <w:r>
        <w:t xml:space="preserve">In </w:t>
      </w:r>
      <w:r w:rsidR="009B17FE">
        <w:t>March 2014,</w:t>
      </w:r>
      <w:r>
        <w:t xml:space="preserve"> </w:t>
      </w:r>
      <w:r w:rsidR="009B17FE">
        <w:t>t</w:t>
      </w:r>
      <w:r w:rsidR="009B17FE" w:rsidRPr="00A948E2">
        <w:t xml:space="preserve">he PBAC considered that varenicline </w:t>
      </w:r>
      <w:r w:rsidR="002769AD">
        <w:t>wa</w:t>
      </w:r>
      <w:r w:rsidR="009B17FE" w:rsidRPr="00A948E2">
        <w:t>s of inferior safety to placebo</w:t>
      </w:r>
      <w:r w:rsidR="009B17FE">
        <w:t xml:space="preserve"> (</w:t>
      </w:r>
      <w:r w:rsidR="009B17FE" w:rsidRPr="00AE0738">
        <w:t>Varenicline PSD, 2014</w:t>
      </w:r>
      <w:r w:rsidR="009B17FE">
        <w:t>)</w:t>
      </w:r>
      <w:r w:rsidR="009B17FE" w:rsidRPr="00A948E2">
        <w:t>.</w:t>
      </w:r>
    </w:p>
    <w:p w14:paraId="5CC23459" w14:textId="09C8A6DA" w:rsidR="00487D59" w:rsidRDefault="00487D59" w:rsidP="007C00EF">
      <w:pPr>
        <w:jc w:val="both"/>
      </w:pPr>
      <w:r w:rsidRPr="00487D59">
        <w:t xml:space="preserve">Based on the </w:t>
      </w:r>
      <w:r>
        <w:t>study by</w:t>
      </w:r>
      <w:r w:rsidRPr="00487D59">
        <w:t xml:space="preserve"> Gonzales et al. (20</w:t>
      </w:r>
      <w:r>
        <w:t>14</w:t>
      </w:r>
      <w:r w:rsidRPr="00487D59">
        <w:t xml:space="preserve">), a significantly higher proportion of patients in the </w:t>
      </w:r>
      <w:r>
        <w:t>varenicline</w:t>
      </w:r>
      <w:r w:rsidRPr="00487D59">
        <w:t xml:space="preserve"> arm experienced </w:t>
      </w:r>
      <w:r>
        <w:t>nausea and abnormal dreams</w:t>
      </w:r>
      <w:r w:rsidRPr="00487D59">
        <w:t xml:space="preserve"> compared to patients in the placebo arm (</w:t>
      </w:r>
      <w:r w:rsidR="007C00EF">
        <w:t>Table 38</w:t>
      </w:r>
      <w:r w:rsidRPr="00487D59">
        <w:t xml:space="preserve">). There were no statistically significant differences between the two treatment arms for </w:t>
      </w:r>
      <w:r>
        <w:t>insomnia, headache, depression</w:t>
      </w:r>
      <w:r w:rsidR="00506E5D">
        <w:t xml:space="preserve">, serious adverse </w:t>
      </w:r>
      <w:r w:rsidR="004C4EA7">
        <w:t>events,</w:t>
      </w:r>
      <w:r w:rsidR="00506E5D">
        <w:t xml:space="preserve"> a</w:t>
      </w:r>
      <w:r w:rsidR="00997DFD">
        <w:t>nd cardiac serious adverse events</w:t>
      </w:r>
      <w:r w:rsidRPr="00487D59">
        <w:t xml:space="preserve">, although a numerically higher incidence rate was observed in the </w:t>
      </w:r>
      <w:r w:rsidR="00997DFD">
        <w:t>varenicline</w:t>
      </w:r>
      <w:r w:rsidRPr="00487D59">
        <w:t xml:space="preserve"> arm</w:t>
      </w:r>
      <w:r w:rsidR="00997DFD">
        <w:t xml:space="preserve"> except for cardiac serious adverse events. There were no </w:t>
      </w:r>
      <w:r w:rsidR="00B05DCD">
        <w:t>suicidal</w:t>
      </w:r>
      <w:r w:rsidR="00997DFD">
        <w:t xml:space="preserve"> ideation events</w:t>
      </w:r>
      <w:r w:rsidR="00D41669">
        <w:t xml:space="preserve"> observed</w:t>
      </w:r>
      <w:r w:rsidR="00997DFD">
        <w:t xml:space="preserve"> in either arm</w:t>
      </w:r>
      <w:r w:rsidRPr="00487D59">
        <w:t>.</w:t>
      </w:r>
    </w:p>
    <w:p w14:paraId="4F7A55DC" w14:textId="77777777" w:rsidR="00A46402" w:rsidRDefault="00A46402">
      <w:pPr>
        <w:spacing w:line="276" w:lineRule="auto"/>
        <w:rPr>
          <w:rFonts w:asciiTheme="minorHAnsi" w:eastAsia="Times New Roman" w:hAnsiTheme="minorHAnsi" w:cs="Times New Roman"/>
          <w:b/>
          <w:bCs/>
          <w:szCs w:val="18"/>
        </w:rPr>
      </w:pPr>
      <w:bookmarkStart w:id="84" w:name="_Ref62070798"/>
      <w:r>
        <w:br w:type="page"/>
      </w:r>
    </w:p>
    <w:p w14:paraId="2854C614" w14:textId="4B1C895A" w:rsidR="00487D59" w:rsidRDefault="00487D59" w:rsidP="001B7B92">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38</w:t>
      </w:r>
      <w:r w:rsidR="00BF3F75">
        <w:rPr>
          <w:noProof/>
        </w:rPr>
        <w:fldChar w:fldCharType="end"/>
      </w:r>
      <w:bookmarkEnd w:id="84"/>
      <w:r>
        <w:t xml:space="preserve">: </w:t>
      </w:r>
      <w:r w:rsidRPr="00C07E55">
        <w:t xml:space="preserve">Summary of key adverse events, </w:t>
      </w:r>
      <w:r>
        <w:t>varenicline</w:t>
      </w:r>
      <w:r w:rsidRPr="00C07E55">
        <w:t xml:space="preserve"> versus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972"/>
        <w:gridCol w:w="1484"/>
        <w:gridCol w:w="1520"/>
        <w:gridCol w:w="1520"/>
        <w:gridCol w:w="1520"/>
      </w:tblGrid>
      <w:tr w:rsidR="00FC0EF0" w:rsidRPr="00061F78" w14:paraId="7C9D7979" w14:textId="77777777" w:rsidTr="0005238C">
        <w:trPr>
          <w:cantSplit/>
          <w:trHeight w:val="299"/>
          <w:tblHeader/>
        </w:trPr>
        <w:tc>
          <w:tcPr>
            <w:tcW w:w="1648" w:type="pct"/>
            <w:shd w:val="clear" w:color="auto" w:fill="BFBFBF" w:themeFill="background1" w:themeFillShade="BF"/>
            <w:tcMar>
              <w:left w:w="28" w:type="dxa"/>
              <w:right w:w="28" w:type="dxa"/>
            </w:tcMar>
          </w:tcPr>
          <w:p w14:paraId="427409BE" w14:textId="77777777" w:rsidR="00FC0EF0" w:rsidRDefault="00FC0EF0" w:rsidP="00C52073">
            <w:pPr>
              <w:pStyle w:val="Tableheading"/>
              <w:rPr>
                <w:rFonts w:eastAsia="MS Mincho"/>
              </w:rPr>
            </w:pPr>
            <w:r>
              <w:rPr>
                <w:rFonts w:eastAsia="MS Mincho"/>
              </w:rPr>
              <w:t>Outcome</w:t>
            </w:r>
          </w:p>
        </w:tc>
        <w:tc>
          <w:tcPr>
            <w:tcW w:w="823" w:type="pct"/>
            <w:shd w:val="clear" w:color="auto" w:fill="BFBFBF" w:themeFill="background1" w:themeFillShade="BF"/>
          </w:tcPr>
          <w:p w14:paraId="78A68AAC" w14:textId="77777777" w:rsidR="00FC0EF0" w:rsidRDefault="00FC0EF0" w:rsidP="00C52073">
            <w:pPr>
              <w:pStyle w:val="Tableheading"/>
              <w:jc w:val="center"/>
              <w:rPr>
                <w:rFonts w:eastAsia="MS Mincho"/>
              </w:rPr>
            </w:pPr>
            <w:r>
              <w:rPr>
                <w:rFonts w:eastAsia="MS Mincho"/>
              </w:rPr>
              <w:t>Study type</w:t>
            </w:r>
          </w:p>
        </w:tc>
        <w:tc>
          <w:tcPr>
            <w:tcW w:w="843" w:type="pct"/>
            <w:shd w:val="clear" w:color="auto" w:fill="BFBFBF" w:themeFill="background1" w:themeFillShade="BF"/>
            <w:tcMar>
              <w:left w:w="28" w:type="dxa"/>
              <w:right w:w="28" w:type="dxa"/>
            </w:tcMar>
            <w:vAlign w:val="center"/>
          </w:tcPr>
          <w:p w14:paraId="2822E1B8" w14:textId="38316836" w:rsidR="00FC0EF0" w:rsidRPr="00061F78" w:rsidRDefault="00FC0EF0" w:rsidP="00C52073">
            <w:pPr>
              <w:pStyle w:val="Tableheading"/>
              <w:jc w:val="center"/>
              <w:rPr>
                <w:rFonts w:eastAsia="MS Mincho"/>
              </w:rPr>
            </w:pPr>
            <w:r>
              <w:rPr>
                <w:rFonts w:eastAsia="MS Mincho"/>
              </w:rPr>
              <w:t>Varenicline</w:t>
            </w:r>
          </w:p>
        </w:tc>
        <w:tc>
          <w:tcPr>
            <w:tcW w:w="843" w:type="pct"/>
            <w:shd w:val="clear" w:color="auto" w:fill="BFBFBF" w:themeFill="background1" w:themeFillShade="BF"/>
            <w:tcMar>
              <w:left w:w="28" w:type="dxa"/>
              <w:right w:w="28" w:type="dxa"/>
            </w:tcMar>
            <w:vAlign w:val="center"/>
          </w:tcPr>
          <w:p w14:paraId="5D3A25C9" w14:textId="77777777" w:rsidR="00FC0EF0" w:rsidRPr="00061F78" w:rsidRDefault="00FC0EF0" w:rsidP="00C52073">
            <w:pPr>
              <w:pStyle w:val="Tableheading"/>
              <w:jc w:val="center"/>
              <w:rPr>
                <w:rFonts w:eastAsia="MS Mincho"/>
              </w:rPr>
            </w:pPr>
            <w:r w:rsidRPr="00061F78">
              <w:rPr>
                <w:rFonts w:eastAsia="MS Mincho"/>
              </w:rPr>
              <w:t>Placebo</w:t>
            </w:r>
          </w:p>
        </w:tc>
        <w:tc>
          <w:tcPr>
            <w:tcW w:w="843" w:type="pct"/>
            <w:shd w:val="clear" w:color="auto" w:fill="BFBFBF" w:themeFill="background1" w:themeFillShade="BF"/>
            <w:tcMar>
              <w:left w:w="28" w:type="dxa"/>
              <w:right w:w="28" w:type="dxa"/>
            </w:tcMar>
            <w:vAlign w:val="center"/>
          </w:tcPr>
          <w:p w14:paraId="1AC876F9" w14:textId="5D721F03" w:rsidR="00FC0EF0" w:rsidRPr="00487D59" w:rsidRDefault="00FC0EF0" w:rsidP="00C52073">
            <w:pPr>
              <w:pStyle w:val="Tableheading"/>
              <w:jc w:val="center"/>
              <w:rPr>
                <w:rFonts w:eastAsia="MS Mincho"/>
                <w:vertAlign w:val="superscript"/>
              </w:rPr>
            </w:pPr>
            <w:r>
              <w:rPr>
                <w:rFonts w:eastAsia="MS Mincho"/>
              </w:rPr>
              <w:t>RR (95% CI)</w:t>
            </w:r>
            <w:r w:rsidR="00487D59">
              <w:rPr>
                <w:rFonts w:eastAsia="MS Mincho"/>
                <w:vertAlign w:val="superscript"/>
              </w:rPr>
              <w:t>1</w:t>
            </w:r>
          </w:p>
        </w:tc>
      </w:tr>
      <w:tr w:rsidR="00FC0EF0" w:rsidRPr="00061F78" w14:paraId="45B6ED1A" w14:textId="77777777" w:rsidTr="0005238C">
        <w:trPr>
          <w:cantSplit/>
          <w:trHeight w:val="99"/>
        </w:trPr>
        <w:tc>
          <w:tcPr>
            <w:tcW w:w="1648" w:type="pct"/>
            <w:shd w:val="clear" w:color="auto" w:fill="auto"/>
            <w:tcMar>
              <w:left w:w="28" w:type="dxa"/>
              <w:right w:w="28" w:type="dxa"/>
            </w:tcMar>
          </w:tcPr>
          <w:p w14:paraId="404A0062" w14:textId="2C9FAD77" w:rsidR="00FC0EF0" w:rsidRPr="001B4846" w:rsidRDefault="00FC0EF0" w:rsidP="00C52073">
            <w:pPr>
              <w:pStyle w:val="Tablewriting"/>
              <w:rPr>
                <w:rFonts w:eastAsia="MS Mincho"/>
                <w:vertAlign w:val="superscript"/>
              </w:rPr>
            </w:pPr>
            <w:r>
              <w:rPr>
                <w:rFonts w:eastAsia="MS Mincho"/>
              </w:rPr>
              <w:t>Adverse event – nausea</w:t>
            </w:r>
          </w:p>
        </w:tc>
        <w:tc>
          <w:tcPr>
            <w:tcW w:w="823" w:type="pct"/>
            <w:vAlign w:val="center"/>
          </w:tcPr>
          <w:p w14:paraId="71FD78F4" w14:textId="05F11502" w:rsidR="00FC0EF0" w:rsidRDefault="00FC0EF0" w:rsidP="00C52073">
            <w:pPr>
              <w:pStyle w:val="Tablewriting"/>
              <w:jc w:val="center"/>
              <w:rPr>
                <w:rFonts w:eastAsia="MS Mincho"/>
              </w:rPr>
            </w:pPr>
            <w:r>
              <w:rPr>
                <w:rFonts w:eastAsia="MS Mincho"/>
              </w:rPr>
              <w:t>RCT</w:t>
            </w:r>
          </w:p>
        </w:tc>
        <w:tc>
          <w:tcPr>
            <w:tcW w:w="843" w:type="pct"/>
            <w:shd w:val="clear" w:color="auto" w:fill="auto"/>
            <w:tcMar>
              <w:left w:w="28" w:type="dxa"/>
              <w:right w:w="28" w:type="dxa"/>
            </w:tcMar>
            <w:vAlign w:val="center"/>
          </w:tcPr>
          <w:p w14:paraId="4F4A8B79" w14:textId="77777777" w:rsidR="00FC0EF0" w:rsidRDefault="00FC0EF0" w:rsidP="00C52073">
            <w:pPr>
              <w:pStyle w:val="Tablewriting"/>
              <w:jc w:val="center"/>
              <w:rPr>
                <w:rFonts w:eastAsia="MS Mincho"/>
              </w:rPr>
            </w:pPr>
            <w:r>
              <w:rPr>
                <w:rFonts w:eastAsia="MS Mincho"/>
              </w:rPr>
              <w:t>66/249</w:t>
            </w:r>
          </w:p>
          <w:p w14:paraId="0029E3CE" w14:textId="3640F32C" w:rsidR="00FC0EF0" w:rsidRDefault="00FC0EF0" w:rsidP="00C52073">
            <w:pPr>
              <w:pStyle w:val="Tablewriting"/>
              <w:jc w:val="center"/>
              <w:rPr>
                <w:rFonts w:eastAsia="MS Mincho"/>
              </w:rPr>
            </w:pPr>
            <w:r>
              <w:rPr>
                <w:rFonts w:eastAsia="MS Mincho"/>
              </w:rPr>
              <w:t>(</w:t>
            </w:r>
            <w:r w:rsidR="000D6252">
              <w:rPr>
                <w:rFonts w:eastAsia="MS Mincho"/>
              </w:rPr>
              <w:t>26.5</w:t>
            </w:r>
            <w:r>
              <w:rPr>
                <w:rFonts w:eastAsia="MS Mincho"/>
              </w:rPr>
              <w:t>%)</w:t>
            </w:r>
          </w:p>
        </w:tc>
        <w:tc>
          <w:tcPr>
            <w:tcW w:w="843" w:type="pct"/>
            <w:shd w:val="clear" w:color="auto" w:fill="auto"/>
            <w:tcMar>
              <w:left w:w="28" w:type="dxa"/>
              <w:right w:w="28" w:type="dxa"/>
            </w:tcMar>
            <w:vAlign w:val="center"/>
          </w:tcPr>
          <w:p w14:paraId="511B69E9" w14:textId="77777777" w:rsidR="00FC0EF0" w:rsidRDefault="00FC0EF0" w:rsidP="00C52073">
            <w:pPr>
              <w:pStyle w:val="Tablewriting"/>
              <w:jc w:val="center"/>
              <w:rPr>
                <w:rFonts w:eastAsia="MS Mincho"/>
              </w:rPr>
            </w:pPr>
            <w:r>
              <w:rPr>
                <w:rFonts w:eastAsia="MS Mincho"/>
              </w:rPr>
              <w:t>22/245</w:t>
            </w:r>
          </w:p>
          <w:p w14:paraId="5B91B98E" w14:textId="4F8CE023" w:rsidR="00FC0EF0" w:rsidRDefault="00FC0EF0" w:rsidP="00C52073">
            <w:pPr>
              <w:pStyle w:val="Tablewriting"/>
              <w:jc w:val="center"/>
              <w:rPr>
                <w:rFonts w:eastAsia="MS Mincho"/>
              </w:rPr>
            </w:pPr>
            <w:r>
              <w:rPr>
                <w:rFonts w:eastAsia="MS Mincho"/>
              </w:rPr>
              <w:t>(</w:t>
            </w:r>
            <w:r w:rsidR="000D6252">
              <w:rPr>
                <w:rFonts w:eastAsia="MS Mincho"/>
              </w:rPr>
              <w:t>9.0</w:t>
            </w:r>
            <w:r>
              <w:rPr>
                <w:rFonts w:eastAsia="MS Mincho"/>
              </w:rPr>
              <w:t>%)</w:t>
            </w:r>
          </w:p>
        </w:tc>
        <w:tc>
          <w:tcPr>
            <w:tcW w:w="843" w:type="pct"/>
            <w:shd w:val="clear" w:color="auto" w:fill="auto"/>
            <w:tcMar>
              <w:left w:w="28" w:type="dxa"/>
              <w:right w:w="28" w:type="dxa"/>
            </w:tcMar>
            <w:vAlign w:val="center"/>
          </w:tcPr>
          <w:p w14:paraId="5C73896F" w14:textId="77777777" w:rsidR="00FC0EF0" w:rsidRDefault="006D0B48" w:rsidP="00C52073">
            <w:pPr>
              <w:pStyle w:val="Tablewriting"/>
              <w:jc w:val="center"/>
              <w:rPr>
                <w:rFonts w:eastAsia="MS Mincho"/>
                <w:b/>
              </w:rPr>
            </w:pPr>
            <w:r>
              <w:rPr>
                <w:rFonts w:eastAsia="MS Mincho"/>
                <w:b/>
              </w:rPr>
              <w:t>2.95</w:t>
            </w:r>
          </w:p>
          <w:p w14:paraId="0A8AB836" w14:textId="07693C4E" w:rsidR="006D0B48" w:rsidRPr="00F360FD" w:rsidRDefault="006D0B48" w:rsidP="00C52073">
            <w:pPr>
              <w:pStyle w:val="Tablewriting"/>
              <w:jc w:val="center"/>
              <w:rPr>
                <w:rFonts w:eastAsia="MS Mincho"/>
                <w:b/>
              </w:rPr>
            </w:pPr>
            <w:r>
              <w:rPr>
                <w:rFonts w:eastAsia="MS Mincho"/>
                <w:b/>
              </w:rPr>
              <w:t>(1.88, 4.63)</w:t>
            </w:r>
          </w:p>
        </w:tc>
      </w:tr>
      <w:tr w:rsidR="00FC0EF0" w:rsidRPr="00061F78" w14:paraId="5F44B9A9" w14:textId="77777777" w:rsidTr="0005238C">
        <w:trPr>
          <w:cantSplit/>
          <w:trHeight w:val="149"/>
        </w:trPr>
        <w:tc>
          <w:tcPr>
            <w:tcW w:w="1648" w:type="pct"/>
            <w:tcMar>
              <w:left w:w="28" w:type="dxa"/>
              <w:right w:w="28" w:type="dxa"/>
            </w:tcMar>
          </w:tcPr>
          <w:p w14:paraId="15B2E7B0" w14:textId="04CE67DB" w:rsidR="00FC0EF0" w:rsidRPr="001B4846" w:rsidRDefault="006D0B48" w:rsidP="00C52073">
            <w:pPr>
              <w:pStyle w:val="Tablewriting"/>
              <w:rPr>
                <w:rFonts w:eastAsia="MS Mincho"/>
                <w:vertAlign w:val="superscript"/>
              </w:rPr>
            </w:pPr>
            <w:r>
              <w:rPr>
                <w:rFonts w:eastAsia="MS Mincho"/>
              </w:rPr>
              <w:t>Adverse event – insomnia</w:t>
            </w:r>
          </w:p>
        </w:tc>
        <w:tc>
          <w:tcPr>
            <w:tcW w:w="823" w:type="pct"/>
            <w:vAlign w:val="center"/>
          </w:tcPr>
          <w:p w14:paraId="0B6EFB1F" w14:textId="51847F3E" w:rsidR="00FC0EF0" w:rsidRDefault="00FC0EF0"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3280C695" w14:textId="77777777" w:rsidR="00FC0EF0" w:rsidRPr="00F77D35" w:rsidRDefault="00F77D35" w:rsidP="00C52073">
            <w:pPr>
              <w:pStyle w:val="Tablewriting"/>
              <w:jc w:val="center"/>
              <w:rPr>
                <w:rFonts w:eastAsia="MS Mincho"/>
              </w:rPr>
            </w:pPr>
            <w:r w:rsidRPr="00F77D35">
              <w:rPr>
                <w:rFonts w:eastAsia="MS Mincho"/>
              </w:rPr>
              <w:t>17/249</w:t>
            </w:r>
          </w:p>
          <w:p w14:paraId="30CA5CEA" w14:textId="3FDDA38C" w:rsidR="00F77D35" w:rsidRPr="00F77D35" w:rsidRDefault="00F77D35" w:rsidP="00C52073">
            <w:pPr>
              <w:pStyle w:val="Tablewriting"/>
              <w:jc w:val="center"/>
              <w:rPr>
                <w:rFonts w:eastAsia="MS Mincho"/>
              </w:rPr>
            </w:pPr>
            <w:r w:rsidRPr="00F77D35">
              <w:rPr>
                <w:rFonts w:eastAsia="MS Mincho"/>
              </w:rPr>
              <w:t>(</w:t>
            </w:r>
            <w:r w:rsidR="000D6252">
              <w:rPr>
                <w:rFonts w:eastAsia="MS Mincho"/>
              </w:rPr>
              <w:t>6.8</w:t>
            </w:r>
            <w:r w:rsidRPr="00F77D35">
              <w:rPr>
                <w:rFonts w:eastAsia="MS Mincho"/>
              </w:rPr>
              <w:t>%)</w:t>
            </w:r>
          </w:p>
        </w:tc>
        <w:tc>
          <w:tcPr>
            <w:tcW w:w="843" w:type="pct"/>
            <w:tcMar>
              <w:left w:w="28" w:type="dxa"/>
              <w:right w:w="28" w:type="dxa"/>
            </w:tcMar>
            <w:vAlign w:val="center"/>
          </w:tcPr>
          <w:p w14:paraId="1408F70B" w14:textId="77777777" w:rsidR="00FC0EF0" w:rsidRDefault="00F77D35" w:rsidP="00C52073">
            <w:pPr>
              <w:pStyle w:val="Tablewriting"/>
              <w:jc w:val="center"/>
              <w:rPr>
                <w:rFonts w:eastAsia="MS Mincho"/>
              </w:rPr>
            </w:pPr>
            <w:r>
              <w:rPr>
                <w:rFonts w:eastAsia="MS Mincho"/>
              </w:rPr>
              <w:t>10/245</w:t>
            </w:r>
          </w:p>
          <w:p w14:paraId="6CE9A500" w14:textId="50CA8E25" w:rsidR="00F77D35" w:rsidRPr="00F77D35" w:rsidRDefault="00F77D35" w:rsidP="00C52073">
            <w:pPr>
              <w:pStyle w:val="Tablewriting"/>
              <w:jc w:val="center"/>
              <w:rPr>
                <w:rFonts w:eastAsia="MS Mincho"/>
              </w:rPr>
            </w:pPr>
            <w:r>
              <w:rPr>
                <w:rFonts w:eastAsia="MS Mincho"/>
              </w:rPr>
              <w:t>(</w:t>
            </w:r>
            <w:r w:rsidR="00B15B38">
              <w:rPr>
                <w:rFonts w:eastAsia="MS Mincho"/>
              </w:rPr>
              <w:t>4.1</w:t>
            </w:r>
            <w:r>
              <w:rPr>
                <w:rFonts w:eastAsia="MS Mincho"/>
              </w:rPr>
              <w:t>%)</w:t>
            </w:r>
          </w:p>
        </w:tc>
        <w:tc>
          <w:tcPr>
            <w:tcW w:w="843" w:type="pct"/>
            <w:tcMar>
              <w:left w:w="28" w:type="dxa"/>
              <w:right w:w="28" w:type="dxa"/>
            </w:tcMar>
            <w:vAlign w:val="center"/>
          </w:tcPr>
          <w:p w14:paraId="2275C76E" w14:textId="77777777" w:rsidR="00FC0EF0" w:rsidRDefault="005063A3" w:rsidP="00C52073">
            <w:pPr>
              <w:pStyle w:val="Tablewriting"/>
              <w:jc w:val="center"/>
              <w:rPr>
                <w:rFonts w:eastAsia="MS Mincho"/>
              </w:rPr>
            </w:pPr>
            <w:r>
              <w:rPr>
                <w:rFonts w:eastAsia="MS Mincho"/>
              </w:rPr>
              <w:t>1.67</w:t>
            </w:r>
          </w:p>
          <w:p w14:paraId="75E0F9F3" w14:textId="77DAE241" w:rsidR="005063A3" w:rsidRPr="00F77D35" w:rsidRDefault="005063A3" w:rsidP="00C52073">
            <w:pPr>
              <w:pStyle w:val="Tablewriting"/>
              <w:jc w:val="center"/>
              <w:rPr>
                <w:rFonts w:eastAsia="MS Mincho"/>
              </w:rPr>
            </w:pPr>
            <w:r>
              <w:rPr>
                <w:rFonts w:eastAsia="MS Mincho"/>
              </w:rPr>
              <w:t>(0.78, 3.58)</w:t>
            </w:r>
          </w:p>
        </w:tc>
      </w:tr>
      <w:tr w:rsidR="00FC0EF0" w:rsidRPr="00061F78" w14:paraId="772A82F9" w14:textId="77777777" w:rsidTr="0005238C">
        <w:trPr>
          <w:cantSplit/>
          <w:trHeight w:val="149"/>
        </w:trPr>
        <w:tc>
          <w:tcPr>
            <w:tcW w:w="1648" w:type="pct"/>
            <w:tcMar>
              <w:left w:w="28" w:type="dxa"/>
              <w:right w:w="28" w:type="dxa"/>
            </w:tcMar>
          </w:tcPr>
          <w:p w14:paraId="6A93788F" w14:textId="7D72E3D1" w:rsidR="00FC0EF0" w:rsidRDefault="005063A3" w:rsidP="00C52073">
            <w:pPr>
              <w:pStyle w:val="Tablewriting"/>
              <w:rPr>
                <w:rFonts w:eastAsia="MS Mincho"/>
              </w:rPr>
            </w:pPr>
            <w:r>
              <w:rPr>
                <w:rFonts w:eastAsia="MS Mincho"/>
              </w:rPr>
              <w:t>Adverse event – abnormal dreams</w:t>
            </w:r>
          </w:p>
        </w:tc>
        <w:tc>
          <w:tcPr>
            <w:tcW w:w="823" w:type="pct"/>
            <w:vAlign w:val="center"/>
          </w:tcPr>
          <w:p w14:paraId="27CE3D67" w14:textId="0D5D9F98" w:rsidR="00FC0EF0" w:rsidRDefault="00FC0EF0"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60EA0272" w14:textId="77777777" w:rsidR="00FC0EF0" w:rsidRPr="00764279" w:rsidRDefault="0043058F" w:rsidP="00C52073">
            <w:pPr>
              <w:pStyle w:val="Tablewriting"/>
              <w:jc w:val="center"/>
              <w:rPr>
                <w:rFonts w:eastAsia="MS Mincho"/>
              </w:rPr>
            </w:pPr>
            <w:r w:rsidRPr="00764279">
              <w:rPr>
                <w:rFonts w:eastAsia="MS Mincho"/>
              </w:rPr>
              <w:t>36/249</w:t>
            </w:r>
          </w:p>
          <w:p w14:paraId="2BE859A5" w14:textId="29BAD169" w:rsidR="0043058F" w:rsidRPr="00764279" w:rsidRDefault="0043058F" w:rsidP="00C52073">
            <w:pPr>
              <w:pStyle w:val="Tablewriting"/>
              <w:jc w:val="center"/>
              <w:rPr>
                <w:rFonts w:eastAsia="MS Mincho"/>
              </w:rPr>
            </w:pPr>
            <w:r w:rsidRPr="00764279">
              <w:rPr>
                <w:rFonts w:eastAsia="MS Mincho"/>
              </w:rPr>
              <w:t>(</w:t>
            </w:r>
            <w:r w:rsidR="00B15B38">
              <w:rPr>
                <w:rFonts w:eastAsia="MS Mincho"/>
              </w:rPr>
              <w:t>14.5</w:t>
            </w:r>
            <w:r w:rsidRPr="00764279">
              <w:rPr>
                <w:rFonts w:eastAsia="MS Mincho"/>
              </w:rPr>
              <w:t>%)</w:t>
            </w:r>
          </w:p>
        </w:tc>
        <w:tc>
          <w:tcPr>
            <w:tcW w:w="843" w:type="pct"/>
            <w:tcMar>
              <w:left w:w="28" w:type="dxa"/>
              <w:right w:w="28" w:type="dxa"/>
            </w:tcMar>
            <w:vAlign w:val="center"/>
          </w:tcPr>
          <w:p w14:paraId="4808592A" w14:textId="77777777" w:rsidR="00FC0EF0" w:rsidRDefault="0043058F" w:rsidP="00C52073">
            <w:pPr>
              <w:pStyle w:val="Tablewriting"/>
              <w:jc w:val="center"/>
              <w:rPr>
                <w:rFonts w:eastAsia="MS Mincho"/>
              </w:rPr>
            </w:pPr>
            <w:r>
              <w:rPr>
                <w:rFonts w:eastAsia="MS Mincho"/>
              </w:rPr>
              <w:t>8/245</w:t>
            </w:r>
          </w:p>
          <w:p w14:paraId="735C0E21" w14:textId="08C85291" w:rsidR="0043058F" w:rsidRPr="00764279" w:rsidRDefault="0043058F" w:rsidP="00C52073">
            <w:pPr>
              <w:pStyle w:val="Tablewriting"/>
              <w:jc w:val="center"/>
              <w:rPr>
                <w:rFonts w:eastAsia="MS Mincho"/>
              </w:rPr>
            </w:pPr>
            <w:r>
              <w:rPr>
                <w:rFonts w:eastAsia="MS Mincho"/>
              </w:rPr>
              <w:t>(</w:t>
            </w:r>
            <w:r w:rsidR="00B15B38">
              <w:rPr>
                <w:rFonts w:eastAsia="MS Mincho"/>
              </w:rPr>
              <w:t>3.3</w:t>
            </w:r>
            <w:r>
              <w:rPr>
                <w:rFonts w:eastAsia="MS Mincho"/>
              </w:rPr>
              <w:t>%)</w:t>
            </w:r>
          </w:p>
        </w:tc>
        <w:tc>
          <w:tcPr>
            <w:tcW w:w="843" w:type="pct"/>
            <w:tcMar>
              <w:left w:w="28" w:type="dxa"/>
              <w:right w:w="28" w:type="dxa"/>
            </w:tcMar>
            <w:vAlign w:val="center"/>
          </w:tcPr>
          <w:p w14:paraId="0CA93C09" w14:textId="77777777" w:rsidR="00FC0EF0" w:rsidRPr="00764279" w:rsidRDefault="0043058F" w:rsidP="00C52073">
            <w:pPr>
              <w:pStyle w:val="Tablewriting"/>
              <w:jc w:val="center"/>
              <w:rPr>
                <w:rFonts w:eastAsia="MS Mincho"/>
                <w:b/>
                <w:bCs/>
              </w:rPr>
            </w:pPr>
            <w:r w:rsidRPr="00764279">
              <w:rPr>
                <w:rFonts w:eastAsia="MS Mincho"/>
                <w:b/>
                <w:bCs/>
              </w:rPr>
              <w:t>4.43</w:t>
            </w:r>
          </w:p>
          <w:p w14:paraId="169DAC10" w14:textId="6DA2B7AE" w:rsidR="0043058F" w:rsidRPr="0043058F" w:rsidRDefault="0043058F" w:rsidP="00C52073">
            <w:pPr>
              <w:pStyle w:val="Tablewriting"/>
              <w:jc w:val="center"/>
              <w:rPr>
                <w:rFonts w:eastAsia="MS Mincho"/>
              </w:rPr>
            </w:pPr>
            <w:r w:rsidRPr="00764279">
              <w:rPr>
                <w:rFonts w:eastAsia="MS Mincho"/>
                <w:b/>
                <w:bCs/>
              </w:rPr>
              <w:t>(2.1, 9.33)</w:t>
            </w:r>
          </w:p>
        </w:tc>
      </w:tr>
      <w:tr w:rsidR="00FC0EF0" w:rsidRPr="00061F78" w14:paraId="30F2483D" w14:textId="77777777" w:rsidTr="0005238C">
        <w:trPr>
          <w:cantSplit/>
          <w:trHeight w:val="149"/>
        </w:trPr>
        <w:tc>
          <w:tcPr>
            <w:tcW w:w="1648" w:type="pct"/>
            <w:tcMar>
              <w:left w:w="28" w:type="dxa"/>
              <w:right w:w="28" w:type="dxa"/>
            </w:tcMar>
          </w:tcPr>
          <w:p w14:paraId="709FAE1C" w14:textId="3B9AD006" w:rsidR="00FC0EF0" w:rsidRDefault="0043058F" w:rsidP="00C52073">
            <w:pPr>
              <w:pStyle w:val="Tablewriting"/>
              <w:rPr>
                <w:rFonts w:eastAsia="MS Mincho"/>
              </w:rPr>
            </w:pPr>
            <w:r>
              <w:rPr>
                <w:rFonts w:eastAsia="MS Mincho"/>
              </w:rPr>
              <w:t>Adverse event – headache</w:t>
            </w:r>
          </w:p>
        </w:tc>
        <w:tc>
          <w:tcPr>
            <w:tcW w:w="823" w:type="pct"/>
            <w:vAlign w:val="center"/>
          </w:tcPr>
          <w:p w14:paraId="38E7606F" w14:textId="0BEA5E46" w:rsidR="00FC0EF0" w:rsidRDefault="0043058F"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1E9AA970" w14:textId="77777777" w:rsidR="00FC0EF0" w:rsidRPr="00764279" w:rsidRDefault="00764279" w:rsidP="00C52073">
            <w:pPr>
              <w:pStyle w:val="Tablewriting"/>
              <w:jc w:val="center"/>
              <w:rPr>
                <w:rFonts w:eastAsia="MS Mincho"/>
              </w:rPr>
            </w:pPr>
            <w:r w:rsidRPr="00764279">
              <w:rPr>
                <w:rFonts w:eastAsia="MS Mincho"/>
              </w:rPr>
              <w:t>26/249</w:t>
            </w:r>
          </w:p>
          <w:p w14:paraId="1F6B4A55" w14:textId="002CDD6B" w:rsidR="00764279" w:rsidRPr="00764279" w:rsidRDefault="00764279" w:rsidP="00C52073">
            <w:pPr>
              <w:pStyle w:val="Tablewriting"/>
              <w:jc w:val="center"/>
              <w:rPr>
                <w:rFonts w:eastAsia="MS Mincho"/>
              </w:rPr>
            </w:pPr>
            <w:r w:rsidRPr="00764279">
              <w:rPr>
                <w:rFonts w:eastAsia="MS Mincho"/>
              </w:rPr>
              <w:t>(</w:t>
            </w:r>
            <w:r w:rsidR="00B15B38">
              <w:rPr>
                <w:rFonts w:eastAsia="MS Mincho"/>
              </w:rPr>
              <w:t>10.4</w:t>
            </w:r>
            <w:r w:rsidRPr="00764279">
              <w:rPr>
                <w:rFonts w:eastAsia="MS Mincho"/>
              </w:rPr>
              <w:t>%)</w:t>
            </w:r>
          </w:p>
        </w:tc>
        <w:tc>
          <w:tcPr>
            <w:tcW w:w="843" w:type="pct"/>
            <w:tcMar>
              <w:left w:w="28" w:type="dxa"/>
              <w:right w:w="28" w:type="dxa"/>
            </w:tcMar>
            <w:vAlign w:val="center"/>
          </w:tcPr>
          <w:p w14:paraId="133C2863" w14:textId="77777777" w:rsidR="00FC0EF0" w:rsidRDefault="00764279" w:rsidP="00C52073">
            <w:pPr>
              <w:pStyle w:val="Tablewriting"/>
              <w:jc w:val="center"/>
              <w:rPr>
                <w:rFonts w:eastAsia="MS Mincho"/>
              </w:rPr>
            </w:pPr>
            <w:r>
              <w:rPr>
                <w:rFonts w:eastAsia="MS Mincho"/>
              </w:rPr>
              <w:t>24/245</w:t>
            </w:r>
          </w:p>
          <w:p w14:paraId="720F67B5" w14:textId="03946CAC" w:rsidR="00764279" w:rsidRPr="00764279" w:rsidRDefault="00764279" w:rsidP="00C52073">
            <w:pPr>
              <w:pStyle w:val="Tablewriting"/>
              <w:jc w:val="center"/>
              <w:rPr>
                <w:rFonts w:eastAsia="MS Mincho"/>
              </w:rPr>
            </w:pPr>
            <w:r>
              <w:rPr>
                <w:rFonts w:eastAsia="MS Mincho"/>
              </w:rPr>
              <w:t>(</w:t>
            </w:r>
            <w:r w:rsidR="00D41669">
              <w:rPr>
                <w:rFonts w:eastAsia="MS Mincho"/>
              </w:rPr>
              <w:t>9.8</w:t>
            </w:r>
            <w:r>
              <w:rPr>
                <w:rFonts w:eastAsia="MS Mincho"/>
              </w:rPr>
              <w:t>%)</w:t>
            </w:r>
          </w:p>
        </w:tc>
        <w:tc>
          <w:tcPr>
            <w:tcW w:w="843" w:type="pct"/>
            <w:tcMar>
              <w:left w:w="28" w:type="dxa"/>
              <w:right w:w="28" w:type="dxa"/>
            </w:tcMar>
            <w:vAlign w:val="center"/>
          </w:tcPr>
          <w:p w14:paraId="0B37356A" w14:textId="77777777" w:rsidR="00FC0EF0" w:rsidRDefault="00764279" w:rsidP="00C52073">
            <w:pPr>
              <w:pStyle w:val="Tablewriting"/>
              <w:jc w:val="center"/>
              <w:rPr>
                <w:rFonts w:eastAsia="MS Mincho"/>
              </w:rPr>
            </w:pPr>
            <w:r>
              <w:rPr>
                <w:rFonts w:eastAsia="MS Mincho"/>
              </w:rPr>
              <w:t>1.07</w:t>
            </w:r>
          </w:p>
          <w:p w14:paraId="540A79DF" w14:textId="35458E6E" w:rsidR="00764279" w:rsidRPr="00764279" w:rsidRDefault="00764279" w:rsidP="00C52073">
            <w:pPr>
              <w:pStyle w:val="Tablewriting"/>
              <w:jc w:val="center"/>
              <w:rPr>
                <w:rFonts w:eastAsia="MS Mincho"/>
              </w:rPr>
            </w:pPr>
            <w:r>
              <w:rPr>
                <w:rFonts w:eastAsia="MS Mincho"/>
              </w:rPr>
              <w:t>(0.63, 1.8)</w:t>
            </w:r>
          </w:p>
        </w:tc>
      </w:tr>
      <w:tr w:rsidR="00FC0EF0" w:rsidRPr="00061F78" w14:paraId="584DEC30" w14:textId="77777777" w:rsidTr="0005238C">
        <w:trPr>
          <w:cantSplit/>
          <w:trHeight w:val="149"/>
        </w:trPr>
        <w:tc>
          <w:tcPr>
            <w:tcW w:w="1648" w:type="pct"/>
            <w:tcMar>
              <w:left w:w="28" w:type="dxa"/>
              <w:right w:w="28" w:type="dxa"/>
            </w:tcMar>
          </w:tcPr>
          <w:p w14:paraId="59CA1909" w14:textId="3D2B3CD6" w:rsidR="00FC0EF0" w:rsidRDefault="00764279" w:rsidP="00C52073">
            <w:pPr>
              <w:pStyle w:val="Tablewriting"/>
              <w:rPr>
                <w:rFonts w:eastAsia="MS Mincho"/>
              </w:rPr>
            </w:pPr>
            <w:r>
              <w:rPr>
                <w:rFonts w:eastAsia="MS Mincho"/>
              </w:rPr>
              <w:t>Adverse event – depression</w:t>
            </w:r>
          </w:p>
        </w:tc>
        <w:tc>
          <w:tcPr>
            <w:tcW w:w="823" w:type="pct"/>
            <w:vAlign w:val="center"/>
          </w:tcPr>
          <w:p w14:paraId="392F560C" w14:textId="6EB6CBD2" w:rsidR="00FC0EF0" w:rsidRDefault="00764279"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77DEA8C8" w14:textId="77777777" w:rsidR="00FC0EF0" w:rsidRPr="0005238C" w:rsidRDefault="0005238C" w:rsidP="00C52073">
            <w:pPr>
              <w:pStyle w:val="Tablewriting"/>
              <w:jc w:val="center"/>
              <w:rPr>
                <w:rFonts w:eastAsia="MS Mincho"/>
              </w:rPr>
            </w:pPr>
            <w:r w:rsidRPr="0005238C">
              <w:rPr>
                <w:rFonts w:eastAsia="MS Mincho"/>
              </w:rPr>
              <w:t>5/249</w:t>
            </w:r>
          </w:p>
          <w:p w14:paraId="6804D3C9" w14:textId="19692194" w:rsidR="0005238C" w:rsidRPr="0005238C" w:rsidRDefault="0005238C" w:rsidP="00C52073">
            <w:pPr>
              <w:pStyle w:val="Tablewriting"/>
              <w:jc w:val="center"/>
              <w:rPr>
                <w:rFonts w:eastAsia="MS Mincho"/>
              </w:rPr>
            </w:pPr>
            <w:r w:rsidRPr="0005238C">
              <w:rPr>
                <w:rFonts w:eastAsia="MS Mincho"/>
              </w:rPr>
              <w:t>(</w:t>
            </w:r>
            <w:r w:rsidR="00D41669">
              <w:rPr>
                <w:rFonts w:eastAsia="MS Mincho"/>
              </w:rPr>
              <w:t>2.0</w:t>
            </w:r>
            <w:r w:rsidRPr="0005238C">
              <w:rPr>
                <w:rFonts w:eastAsia="MS Mincho"/>
              </w:rPr>
              <w:t>%)</w:t>
            </w:r>
          </w:p>
        </w:tc>
        <w:tc>
          <w:tcPr>
            <w:tcW w:w="843" w:type="pct"/>
            <w:tcMar>
              <w:left w:w="28" w:type="dxa"/>
              <w:right w:w="28" w:type="dxa"/>
            </w:tcMar>
            <w:vAlign w:val="center"/>
          </w:tcPr>
          <w:p w14:paraId="7088B9F0" w14:textId="77777777" w:rsidR="00FC0EF0" w:rsidRPr="0005238C" w:rsidRDefault="0005238C" w:rsidP="00C52073">
            <w:pPr>
              <w:pStyle w:val="Tablewriting"/>
              <w:jc w:val="center"/>
              <w:rPr>
                <w:rFonts w:eastAsia="MS Mincho"/>
              </w:rPr>
            </w:pPr>
            <w:r w:rsidRPr="0005238C">
              <w:rPr>
                <w:rFonts w:eastAsia="MS Mincho"/>
              </w:rPr>
              <w:t>2/245</w:t>
            </w:r>
          </w:p>
          <w:p w14:paraId="1C3DC686" w14:textId="61C836D6" w:rsidR="0005238C" w:rsidRPr="0005238C" w:rsidRDefault="0005238C" w:rsidP="00C52073">
            <w:pPr>
              <w:pStyle w:val="Tablewriting"/>
              <w:jc w:val="center"/>
              <w:rPr>
                <w:rFonts w:eastAsia="MS Mincho"/>
              </w:rPr>
            </w:pPr>
            <w:r w:rsidRPr="0005238C">
              <w:rPr>
                <w:rFonts w:eastAsia="MS Mincho"/>
              </w:rPr>
              <w:t>(</w:t>
            </w:r>
            <w:r w:rsidR="00D41669">
              <w:rPr>
                <w:rFonts w:eastAsia="MS Mincho"/>
              </w:rPr>
              <w:t>0.8</w:t>
            </w:r>
            <w:r w:rsidRPr="0005238C">
              <w:rPr>
                <w:rFonts w:eastAsia="MS Mincho"/>
              </w:rPr>
              <w:t>%)</w:t>
            </w:r>
          </w:p>
        </w:tc>
        <w:tc>
          <w:tcPr>
            <w:tcW w:w="843" w:type="pct"/>
            <w:tcMar>
              <w:left w:w="28" w:type="dxa"/>
              <w:right w:w="28" w:type="dxa"/>
            </w:tcMar>
            <w:vAlign w:val="center"/>
          </w:tcPr>
          <w:p w14:paraId="70595B4D" w14:textId="77777777" w:rsidR="00FC0EF0" w:rsidRPr="0005238C" w:rsidRDefault="0005238C" w:rsidP="00C52073">
            <w:pPr>
              <w:pStyle w:val="Tablewriting"/>
              <w:jc w:val="center"/>
              <w:rPr>
                <w:rFonts w:eastAsia="MS Mincho"/>
              </w:rPr>
            </w:pPr>
            <w:r w:rsidRPr="0005238C">
              <w:rPr>
                <w:rFonts w:eastAsia="MS Mincho"/>
              </w:rPr>
              <w:t>2.46</w:t>
            </w:r>
          </w:p>
          <w:p w14:paraId="08F5C9DE" w14:textId="0211148F" w:rsidR="0005238C" w:rsidRPr="0005238C" w:rsidRDefault="0005238C" w:rsidP="00C52073">
            <w:pPr>
              <w:pStyle w:val="Tablewriting"/>
              <w:jc w:val="center"/>
              <w:rPr>
                <w:rFonts w:eastAsia="MS Mincho"/>
              </w:rPr>
            </w:pPr>
            <w:r w:rsidRPr="0005238C">
              <w:rPr>
                <w:rFonts w:eastAsia="MS Mincho"/>
              </w:rPr>
              <w:t>(0.48, 12.56)</w:t>
            </w:r>
          </w:p>
        </w:tc>
      </w:tr>
      <w:tr w:rsidR="0005238C" w:rsidRPr="00061F78" w14:paraId="44B81ED7" w14:textId="77777777" w:rsidTr="0005238C">
        <w:trPr>
          <w:cantSplit/>
          <w:trHeight w:val="149"/>
        </w:trPr>
        <w:tc>
          <w:tcPr>
            <w:tcW w:w="1648" w:type="pct"/>
            <w:tcMar>
              <w:left w:w="28" w:type="dxa"/>
              <w:right w:w="28" w:type="dxa"/>
            </w:tcMar>
          </w:tcPr>
          <w:p w14:paraId="26B41A65" w14:textId="3EC9C299" w:rsidR="0005238C" w:rsidRDefault="0005238C" w:rsidP="00C52073">
            <w:pPr>
              <w:pStyle w:val="Tablewriting"/>
              <w:rPr>
                <w:rFonts w:eastAsia="MS Mincho"/>
              </w:rPr>
            </w:pPr>
            <w:r>
              <w:rPr>
                <w:rFonts w:eastAsia="MS Mincho"/>
              </w:rPr>
              <w:t>Adverse event – suicidal ideation</w:t>
            </w:r>
          </w:p>
        </w:tc>
        <w:tc>
          <w:tcPr>
            <w:tcW w:w="823" w:type="pct"/>
            <w:vAlign w:val="center"/>
          </w:tcPr>
          <w:p w14:paraId="66656876" w14:textId="22B4BEC2" w:rsidR="0005238C" w:rsidRDefault="0005238C"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1A57BB48" w14:textId="77777777" w:rsidR="0005238C" w:rsidRDefault="0021254E" w:rsidP="00C52073">
            <w:pPr>
              <w:pStyle w:val="Tablewriting"/>
              <w:jc w:val="center"/>
              <w:rPr>
                <w:rFonts w:eastAsia="MS Mincho"/>
              </w:rPr>
            </w:pPr>
            <w:r>
              <w:rPr>
                <w:rFonts w:eastAsia="MS Mincho"/>
              </w:rPr>
              <w:t>0/249</w:t>
            </w:r>
          </w:p>
          <w:p w14:paraId="5B65538D" w14:textId="58EC8A67" w:rsidR="0021254E" w:rsidRPr="0005238C" w:rsidRDefault="0021254E" w:rsidP="00C52073">
            <w:pPr>
              <w:pStyle w:val="Tablewriting"/>
              <w:jc w:val="center"/>
              <w:rPr>
                <w:rFonts w:eastAsia="MS Mincho"/>
              </w:rPr>
            </w:pPr>
            <w:r>
              <w:rPr>
                <w:rFonts w:eastAsia="MS Mincho"/>
              </w:rPr>
              <w:t>(</w:t>
            </w:r>
            <w:r w:rsidR="00D41669">
              <w:rPr>
                <w:rFonts w:eastAsia="MS Mincho"/>
              </w:rPr>
              <w:t>0</w:t>
            </w:r>
            <w:r>
              <w:rPr>
                <w:rFonts w:eastAsia="MS Mincho"/>
              </w:rPr>
              <w:t>%)</w:t>
            </w:r>
          </w:p>
        </w:tc>
        <w:tc>
          <w:tcPr>
            <w:tcW w:w="843" w:type="pct"/>
            <w:tcMar>
              <w:left w:w="28" w:type="dxa"/>
              <w:right w:w="28" w:type="dxa"/>
            </w:tcMar>
            <w:vAlign w:val="center"/>
          </w:tcPr>
          <w:p w14:paraId="0D5ED01C" w14:textId="77777777" w:rsidR="0005238C" w:rsidRDefault="0021254E" w:rsidP="00C52073">
            <w:pPr>
              <w:pStyle w:val="Tablewriting"/>
              <w:jc w:val="center"/>
              <w:rPr>
                <w:rFonts w:eastAsia="MS Mincho"/>
              </w:rPr>
            </w:pPr>
            <w:r>
              <w:rPr>
                <w:rFonts w:eastAsia="MS Mincho"/>
              </w:rPr>
              <w:t>0/245</w:t>
            </w:r>
          </w:p>
          <w:p w14:paraId="59433C83" w14:textId="05868962" w:rsidR="0021254E" w:rsidRPr="0005238C" w:rsidRDefault="0021254E" w:rsidP="00C52073">
            <w:pPr>
              <w:pStyle w:val="Tablewriting"/>
              <w:jc w:val="center"/>
              <w:rPr>
                <w:rFonts w:eastAsia="MS Mincho"/>
              </w:rPr>
            </w:pPr>
            <w:r>
              <w:rPr>
                <w:rFonts w:eastAsia="MS Mincho"/>
              </w:rPr>
              <w:t>(</w:t>
            </w:r>
            <w:r w:rsidR="00D41669">
              <w:rPr>
                <w:rFonts w:eastAsia="MS Mincho"/>
              </w:rPr>
              <w:t>0</w:t>
            </w:r>
            <w:r>
              <w:rPr>
                <w:rFonts w:eastAsia="MS Mincho"/>
              </w:rPr>
              <w:t>%)</w:t>
            </w:r>
          </w:p>
        </w:tc>
        <w:tc>
          <w:tcPr>
            <w:tcW w:w="843" w:type="pct"/>
            <w:tcMar>
              <w:left w:w="28" w:type="dxa"/>
              <w:right w:w="28" w:type="dxa"/>
            </w:tcMar>
            <w:vAlign w:val="center"/>
          </w:tcPr>
          <w:p w14:paraId="037543D6" w14:textId="5C08B7CA" w:rsidR="0005238C" w:rsidRPr="0005238C" w:rsidRDefault="0021254E" w:rsidP="00C52073">
            <w:pPr>
              <w:pStyle w:val="Tablewriting"/>
              <w:jc w:val="center"/>
              <w:rPr>
                <w:rFonts w:eastAsia="MS Mincho"/>
              </w:rPr>
            </w:pPr>
            <w:r>
              <w:rPr>
                <w:rFonts w:eastAsia="MS Mincho"/>
              </w:rPr>
              <w:t>NE</w:t>
            </w:r>
          </w:p>
        </w:tc>
      </w:tr>
      <w:tr w:rsidR="0005238C" w:rsidRPr="00061F78" w14:paraId="03EFF904" w14:textId="77777777" w:rsidTr="0005238C">
        <w:trPr>
          <w:cantSplit/>
          <w:trHeight w:val="149"/>
        </w:trPr>
        <w:tc>
          <w:tcPr>
            <w:tcW w:w="1648" w:type="pct"/>
            <w:tcMar>
              <w:left w:w="28" w:type="dxa"/>
              <w:right w:w="28" w:type="dxa"/>
            </w:tcMar>
          </w:tcPr>
          <w:p w14:paraId="6683FD7D" w14:textId="0E14522F" w:rsidR="0005238C" w:rsidRDefault="0021254E" w:rsidP="00C52073">
            <w:pPr>
              <w:pStyle w:val="Tablewriting"/>
              <w:rPr>
                <w:rFonts w:eastAsia="MS Mincho"/>
              </w:rPr>
            </w:pPr>
            <w:r>
              <w:rPr>
                <w:rFonts w:eastAsia="MS Mincho"/>
              </w:rPr>
              <w:t>Serious adverse events</w:t>
            </w:r>
          </w:p>
        </w:tc>
        <w:tc>
          <w:tcPr>
            <w:tcW w:w="823" w:type="pct"/>
            <w:vAlign w:val="center"/>
          </w:tcPr>
          <w:p w14:paraId="70A08703" w14:textId="0BFDBD31" w:rsidR="0005238C" w:rsidRDefault="0021254E"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11211D0D" w14:textId="77777777" w:rsidR="0005238C" w:rsidRDefault="001E2564" w:rsidP="00C52073">
            <w:pPr>
              <w:pStyle w:val="Tablewriting"/>
              <w:jc w:val="center"/>
              <w:rPr>
                <w:rFonts w:eastAsia="MS Mincho"/>
              </w:rPr>
            </w:pPr>
            <w:r>
              <w:rPr>
                <w:rFonts w:eastAsia="MS Mincho"/>
              </w:rPr>
              <w:t>7/249</w:t>
            </w:r>
          </w:p>
          <w:p w14:paraId="59687FCA" w14:textId="3FFF7758" w:rsidR="001E2564" w:rsidRPr="0005238C" w:rsidRDefault="001E2564" w:rsidP="00C52073">
            <w:pPr>
              <w:pStyle w:val="Tablewriting"/>
              <w:jc w:val="center"/>
              <w:rPr>
                <w:rFonts w:eastAsia="MS Mincho"/>
              </w:rPr>
            </w:pPr>
            <w:r>
              <w:rPr>
                <w:rFonts w:eastAsia="MS Mincho"/>
              </w:rPr>
              <w:t>(</w:t>
            </w:r>
            <w:r w:rsidR="006E1C4F">
              <w:rPr>
                <w:rFonts w:eastAsia="MS Mincho"/>
              </w:rPr>
              <w:t>2.8</w:t>
            </w:r>
            <w:r>
              <w:rPr>
                <w:rFonts w:eastAsia="MS Mincho"/>
              </w:rPr>
              <w:t>%)</w:t>
            </w:r>
          </w:p>
        </w:tc>
        <w:tc>
          <w:tcPr>
            <w:tcW w:w="843" w:type="pct"/>
            <w:tcMar>
              <w:left w:w="28" w:type="dxa"/>
              <w:right w:w="28" w:type="dxa"/>
            </w:tcMar>
            <w:vAlign w:val="center"/>
          </w:tcPr>
          <w:p w14:paraId="6A19BE66" w14:textId="77777777" w:rsidR="0005238C" w:rsidRDefault="001E2564" w:rsidP="00C52073">
            <w:pPr>
              <w:pStyle w:val="Tablewriting"/>
              <w:jc w:val="center"/>
              <w:rPr>
                <w:rFonts w:eastAsia="MS Mincho"/>
              </w:rPr>
            </w:pPr>
            <w:r>
              <w:rPr>
                <w:rFonts w:eastAsia="MS Mincho"/>
              </w:rPr>
              <w:t>4/245</w:t>
            </w:r>
          </w:p>
          <w:p w14:paraId="18FB5269" w14:textId="13870F31" w:rsidR="001E2564" w:rsidRPr="0005238C" w:rsidRDefault="001E2564" w:rsidP="00C52073">
            <w:pPr>
              <w:pStyle w:val="Tablewriting"/>
              <w:jc w:val="center"/>
              <w:rPr>
                <w:rFonts w:eastAsia="MS Mincho"/>
              </w:rPr>
            </w:pPr>
            <w:r>
              <w:rPr>
                <w:rFonts w:eastAsia="MS Mincho"/>
              </w:rPr>
              <w:t>(</w:t>
            </w:r>
            <w:r w:rsidR="006E1C4F">
              <w:rPr>
                <w:rFonts w:eastAsia="MS Mincho"/>
              </w:rPr>
              <w:t>1.6</w:t>
            </w:r>
            <w:r>
              <w:rPr>
                <w:rFonts w:eastAsia="MS Mincho"/>
              </w:rPr>
              <w:t>%)</w:t>
            </w:r>
          </w:p>
        </w:tc>
        <w:tc>
          <w:tcPr>
            <w:tcW w:w="843" w:type="pct"/>
            <w:tcMar>
              <w:left w:w="28" w:type="dxa"/>
              <w:right w:w="28" w:type="dxa"/>
            </w:tcMar>
            <w:vAlign w:val="center"/>
          </w:tcPr>
          <w:p w14:paraId="07D8C004" w14:textId="77777777" w:rsidR="0005238C" w:rsidRDefault="00F46BC1" w:rsidP="00C52073">
            <w:pPr>
              <w:pStyle w:val="Tablewriting"/>
              <w:jc w:val="center"/>
              <w:rPr>
                <w:rFonts w:eastAsia="MS Mincho"/>
              </w:rPr>
            </w:pPr>
            <w:r>
              <w:rPr>
                <w:rFonts w:eastAsia="MS Mincho"/>
              </w:rPr>
              <w:t>1.72</w:t>
            </w:r>
          </w:p>
          <w:p w14:paraId="7C953A71" w14:textId="4871C9DE" w:rsidR="00F46BC1" w:rsidRPr="0005238C" w:rsidRDefault="00F46BC1" w:rsidP="00C52073">
            <w:pPr>
              <w:pStyle w:val="Tablewriting"/>
              <w:jc w:val="center"/>
              <w:rPr>
                <w:rFonts w:eastAsia="MS Mincho"/>
              </w:rPr>
            </w:pPr>
            <w:r>
              <w:rPr>
                <w:rFonts w:eastAsia="MS Mincho"/>
              </w:rPr>
              <w:t>(0.51, 5.81)</w:t>
            </w:r>
          </w:p>
        </w:tc>
      </w:tr>
      <w:tr w:rsidR="00557FA9" w:rsidRPr="00061F78" w14:paraId="2721495A" w14:textId="77777777" w:rsidTr="0005238C">
        <w:trPr>
          <w:cantSplit/>
          <w:trHeight w:val="149"/>
        </w:trPr>
        <w:tc>
          <w:tcPr>
            <w:tcW w:w="1648" w:type="pct"/>
            <w:tcMar>
              <w:left w:w="28" w:type="dxa"/>
              <w:right w:w="28" w:type="dxa"/>
            </w:tcMar>
          </w:tcPr>
          <w:p w14:paraId="72FDBA2F" w14:textId="78669B3F" w:rsidR="00557FA9" w:rsidRDefault="00557FA9" w:rsidP="00C52073">
            <w:pPr>
              <w:pStyle w:val="Tablewriting"/>
              <w:rPr>
                <w:rFonts w:eastAsia="MS Mincho"/>
              </w:rPr>
            </w:pPr>
            <w:r>
              <w:rPr>
                <w:rFonts w:eastAsia="MS Mincho"/>
              </w:rPr>
              <w:t>Serious a</w:t>
            </w:r>
            <w:r w:rsidRPr="00426FB6">
              <w:rPr>
                <w:rFonts w:eastAsia="MS Mincho"/>
              </w:rPr>
              <w:t>dverse event</w:t>
            </w:r>
            <w:r>
              <w:rPr>
                <w:rFonts w:eastAsia="MS Mincho"/>
              </w:rPr>
              <w:t>s – cardiac (including deaths)</w:t>
            </w:r>
          </w:p>
        </w:tc>
        <w:tc>
          <w:tcPr>
            <w:tcW w:w="823" w:type="pct"/>
            <w:vAlign w:val="center"/>
          </w:tcPr>
          <w:p w14:paraId="0ADC9749" w14:textId="6FA17A49" w:rsidR="00557FA9" w:rsidRDefault="00557FA9" w:rsidP="00C52073">
            <w:pPr>
              <w:pStyle w:val="Tablewriting"/>
              <w:jc w:val="center"/>
              <w:rPr>
                <w:rFonts w:eastAsia="MS Mincho"/>
              </w:rPr>
            </w:pPr>
            <w:r>
              <w:rPr>
                <w:rFonts w:eastAsia="MS Mincho"/>
              </w:rPr>
              <w:t>RCT</w:t>
            </w:r>
          </w:p>
        </w:tc>
        <w:tc>
          <w:tcPr>
            <w:tcW w:w="843" w:type="pct"/>
            <w:tcMar>
              <w:left w:w="28" w:type="dxa"/>
              <w:right w:w="28" w:type="dxa"/>
            </w:tcMar>
            <w:vAlign w:val="center"/>
          </w:tcPr>
          <w:p w14:paraId="2FBCE8E3" w14:textId="77777777" w:rsidR="00557FA9" w:rsidRPr="00487D59" w:rsidRDefault="00557FA9" w:rsidP="00C52073">
            <w:pPr>
              <w:pStyle w:val="Tablewriting"/>
              <w:jc w:val="center"/>
              <w:rPr>
                <w:rFonts w:eastAsia="MS Mincho"/>
              </w:rPr>
            </w:pPr>
            <w:r w:rsidRPr="00487D59">
              <w:rPr>
                <w:rFonts w:eastAsia="MS Mincho"/>
              </w:rPr>
              <w:t>1/249</w:t>
            </w:r>
          </w:p>
          <w:p w14:paraId="4BA488E3" w14:textId="2721A491" w:rsidR="00557FA9" w:rsidRPr="00487D59" w:rsidRDefault="00557FA9" w:rsidP="00C52073">
            <w:pPr>
              <w:pStyle w:val="Tablewriting"/>
              <w:jc w:val="center"/>
              <w:rPr>
                <w:rFonts w:eastAsia="MS Mincho"/>
              </w:rPr>
            </w:pPr>
            <w:r w:rsidRPr="00487D59">
              <w:rPr>
                <w:rFonts w:eastAsia="MS Mincho"/>
              </w:rPr>
              <w:t>(</w:t>
            </w:r>
            <w:r w:rsidR="006E1C4F">
              <w:rPr>
                <w:rFonts w:eastAsia="MS Mincho"/>
              </w:rPr>
              <w:t>0.4</w:t>
            </w:r>
            <w:r w:rsidRPr="00487D59">
              <w:rPr>
                <w:rFonts w:eastAsia="MS Mincho"/>
              </w:rPr>
              <w:t>%)</w:t>
            </w:r>
          </w:p>
        </w:tc>
        <w:tc>
          <w:tcPr>
            <w:tcW w:w="843" w:type="pct"/>
            <w:tcMar>
              <w:left w:w="28" w:type="dxa"/>
              <w:right w:w="28" w:type="dxa"/>
            </w:tcMar>
            <w:vAlign w:val="center"/>
          </w:tcPr>
          <w:p w14:paraId="5C6097E3" w14:textId="77777777" w:rsidR="00557FA9" w:rsidRPr="00487D59" w:rsidRDefault="00487D59" w:rsidP="00C52073">
            <w:pPr>
              <w:pStyle w:val="Tablewriting"/>
              <w:jc w:val="center"/>
              <w:rPr>
                <w:rFonts w:eastAsia="MS Mincho"/>
              </w:rPr>
            </w:pPr>
            <w:r w:rsidRPr="00487D59">
              <w:rPr>
                <w:rFonts w:eastAsia="MS Mincho"/>
              </w:rPr>
              <w:t>1/245</w:t>
            </w:r>
          </w:p>
          <w:p w14:paraId="02243D3E" w14:textId="6625C623" w:rsidR="00487D59" w:rsidRPr="00487D59" w:rsidRDefault="00487D59" w:rsidP="00C52073">
            <w:pPr>
              <w:pStyle w:val="Tablewriting"/>
              <w:jc w:val="center"/>
              <w:rPr>
                <w:rFonts w:eastAsia="MS Mincho"/>
              </w:rPr>
            </w:pPr>
            <w:r w:rsidRPr="00487D59">
              <w:rPr>
                <w:rFonts w:eastAsia="MS Mincho"/>
              </w:rPr>
              <w:t>(</w:t>
            </w:r>
            <w:r w:rsidR="006E1C4F">
              <w:rPr>
                <w:rFonts w:eastAsia="MS Mincho"/>
              </w:rPr>
              <w:t>0.4</w:t>
            </w:r>
            <w:r w:rsidRPr="00487D59">
              <w:rPr>
                <w:rFonts w:eastAsia="MS Mincho"/>
              </w:rPr>
              <w:t>%)</w:t>
            </w:r>
          </w:p>
        </w:tc>
        <w:tc>
          <w:tcPr>
            <w:tcW w:w="843" w:type="pct"/>
            <w:tcMar>
              <w:left w:w="28" w:type="dxa"/>
              <w:right w:w="28" w:type="dxa"/>
            </w:tcMar>
            <w:vAlign w:val="center"/>
          </w:tcPr>
          <w:p w14:paraId="3310BFB4" w14:textId="77777777" w:rsidR="00557FA9" w:rsidRDefault="00487D59" w:rsidP="00C52073">
            <w:pPr>
              <w:pStyle w:val="Tablewriting"/>
              <w:jc w:val="center"/>
              <w:rPr>
                <w:rFonts w:eastAsia="MS Mincho"/>
              </w:rPr>
            </w:pPr>
            <w:r>
              <w:rPr>
                <w:rFonts w:eastAsia="MS Mincho"/>
              </w:rPr>
              <w:t>0.98</w:t>
            </w:r>
          </w:p>
          <w:p w14:paraId="434E1FA8" w14:textId="73C7EB74" w:rsidR="00487D59" w:rsidRPr="006A6520" w:rsidRDefault="00487D59" w:rsidP="00C52073">
            <w:pPr>
              <w:pStyle w:val="Tablewriting"/>
              <w:jc w:val="center"/>
              <w:rPr>
                <w:rFonts w:eastAsia="MS Mincho"/>
              </w:rPr>
            </w:pPr>
            <w:r>
              <w:rPr>
                <w:rFonts w:eastAsia="MS Mincho"/>
              </w:rPr>
              <w:t>(0.06, 15.64)</w:t>
            </w:r>
          </w:p>
        </w:tc>
      </w:tr>
    </w:tbl>
    <w:p w14:paraId="564E6B0C" w14:textId="36484678" w:rsidR="00487D59" w:rsidRDefault="00487D59" w:rsidP="00A46402">
      <w:pPr>
        <w:pStyle w:val="TableFooter"/>
        <w:keepNext/>
        <w:jc w:val="both"/>
      </w:pPr>
      <w:r>
        <w:t>Source: Cahill et al. (2016)</w:t>
      </w:r>
    </w:p>
    <w:p w14:paraId="196D8C52" w14:textId="313F4E86" w:rsidR="00487D59" w:rsidRDefault="00487D59" w:rsidP="00A46402">
      <w:pPr>
        <w:pStyle w:val="TableFooter"/>
        <w:keepNext/>
        <w:jc w:val="both"/>
      </w:pPr>
      <w:r>
        <w:t>Abbreviations: CI = confidence interval; RR = risk ratio</w:t>
      </w:r>
    </w:p>
    <w:p w14:paraId="1AACDAEA" w14:textId="10148A9D" w:rsidR="00487D59" w:rsidRDefault="00487D59" w:rsidP="00A46402">
      <w:pPr>
        <w:pStyle w:val="TableFooter"/>
        <w:keepNext/>
        <w:jc w:val="both"/>
      </w:pPr>
      <w:r w:rsidRPr="00FD4061">
        <w:t>Note</w:t>
      </w:r>
      <w:r>
        <w:t>s</w:t>
      </w:r>
      <w:r w:rsidRPr="00FD4061">
        <w:t>: Bold indicates statistically significant difference.</w:t>
      </w:r>
      <w:r w:rsidRPr="001B4846">
        <w:t xml:space="preserve"> </w:t>
      </w:r>
    </w:p>
    <w:p w14:paraId="74571487" w14:textId="15EC5C23" w:rsidR="00487D59" w:rsidRDefault="00487D59" w:rsidP="00A46402">
      <w:pPr>
        <w:pStyle w:val="TableFooter"/>
        <w:keepNext/>
        <w:spacing w:after="120"/>
        <w:contextualSpacing w:val="0"/>
        <w:jc w:val="both"/>
      </w:pPr>
      <w:r w:rsidRPr="001E7610">
        <w:t xml:space="preserve">1 Calculated </w:t>
      </w:r>
      <w:r>
        <w:t>by Cochrane Review authors using a fixed-effect model</w:t>
      </w:r>
      <w:r w:rsidR="00AB5FA3">
        <w:t>.</w:t>
      </w:r>
    </w:p>
    <w:p w14:paraId="39C9DE8B" w14:textId="18633C82" w:rsidR="00EC49F4" w:rsidRDefault="00F2656C" w:rsidP="00A46402">
      <w:pPr>
        <w:pStyle w:val="Heading5"/>
        <w:numPr>
          <w:ilvl w:val="0"/>
          <w:numId w:val="0"/>
        </w:numPr>
        <w:spacing w:after="120"/>
        <w:jc w:val="both"/>
      </w:pPr>
      <w:r>
        <w:t>Bupropion</w:t>
      </w:r>
    </w:p>
    <w:p w14:paraId="6A9A94C9" w14:textId="693AAF97" w:rsidR="00F2656C" w:rsidRPr="00F2656C" w:rsidRDefault="004809E0" w:rsidP="00A46402">
      <w:pPr>
        <w:spacing w:after="120"/>
        <w:jc w:val="both"/>
      </w:pPr>
      <w:r>
        <w:t xml:space="preserve">Bupropion has not been previously considered by the PBAC for relapse prevention </w:t>
      </w:r>
      <w:r w:rsidR="00A20C9E">
        <w:t>in abstainers</w:t>
      </w:r>
      <w:r>
        <w:t xml:space="preserve"> </w:t>
      </w:r>
      <w:r w:rsidR="00E021BC">
        <w:t>or retreatment</w:t>
      </w:r>
      <w:r w:rsidR="00A20C9E">
        <w:t xml:space="preserve"> in non-abstainers</w:t>
      </w:r>
      <w:r w:rsidR="00E021BC">
        <w:t xml:space="preserve">. </w:t>
      </w:r>
      <w:r w:rsidR="00EA00C8">
        <w:t>As previously noted, t</w:t>
      </w:r>
      <w:r w:rsidR="00EA00C8" w:rsidRPr="00EA00C8">
        <w:t xml:space="preserve">he </w:t>
      </w:r>
      <w:r w:rsidR="000973E7">
        <w:t xml:space="preserve">current </w:t>
      </w:r>
      <w:r w:rsidR="00EA00C8" w:rsidRPr="00EA00C8">
        <w:t xml:space="preserve">listing allowed for a maximum of </w:t>
      </w:r>
      <w:r w:rsidR="00BC2232">
        <w:t>nine</w:t>
      </w:r>
      <w:r w:rsidR="00EA00C8" w:rsidRPr="00EA00C8">
        <w:t xml:space="preserve"> weeks of PBS-subsidised bupropion treatment per year.</w:t>
      </w:r>
      <w:r w:rsidR="000F4C18">
        <w:t xml:space="preserve"> </w:t>
      </w:r>
      <w:r w:rsidR="00A46402">
        <w:t>P</w:t>
      </w:r>
      <w:r w:rsidR="000F4C18">
        <w:t xml:space="preserve">atients who </w:t>
      </w:r>
      <w:r w:rsidR="00286C7D" w:rsidRPr="00286C7D">
        <w:t xml:space="preserve">have been unsuccessful in achieving abstinence from smoking during or after a course of PBS-subsidised </w:t>
      </w:r>
      <w:r w:rsidR="00286C7D">
        <w:t>bupropion may</w:t>
      </w:r>
      <w:r w:rsidR="003E4D4B">
        <w:t xml:space="preserve"> access another course of PBS-subsidised bupropion </w:t>
      </w:r>
      <w:r w:rsidR="00A46402">
        <w:t>after waiting</w:t>
      </w:r>
      <w:r w:rsidR="008B6781">
        <w:t xml:space="preserve"> </w:t>
      </w:r>
      <w:r w:rsidR="00A65490">
        <w:t>12</w:t>
      </w:r>
      <w:r w:rsidR="008B6781">
        <w:t xml:space="preserve"> </w:t>
      </w:r>
      <w:r w:rsidR="00A65490">
        <w:t>month</w:t>
      </w:r>
      <w:r w:rsidR="008B6781">
        <w:t>s</w:t>
      </w:r>
      <w:r w:rsidR="003E4D4B">
        <w:t>.</w:t>
      </w:r>
    </w:p>
    <w:p w14:paraId="6423ACE0" w14:textId="1E87E276" w:rsidR="00A32C0D" w:rsidRDefault="00A32C0D" w:rsidP="00A46402">
      <w:pPr>
        <w:spacing w:after="120"/>
        <w:jc w:val="both"/>
        <w:rPr>
          <w:b/>
          <w:bCs/>
        </w:rPr>
      </w:pPr>
      <w:r>
        <w:rPr>
          <w:b/>
          <w:bCs/>
        </w:rPr>
        <w:t>Bupropion</w:t>
      </w:r>
      <w:r w:rsidRPr="00F20770">
        <w:rPr>
          <w:b/>
          <w:bCs/>
        </w:rPr>
        <w:t xml:space="preserve"> versus placebo – ab</w:t>
      </w:r>
      <w:r>
        <w:rPr>
          <w:b/>
          <w:bCs/>
        </w:rPr>
        <w:t>stainers (relapse prevention)</w:t>
      </w:r>
    </w:p>
    <w:p w14:paraId="720857C0" w14:textId="637B0C4E" w:rsidR="00EC49F4" w:rsidRDefault="00227CA8" w:rsidP="00A46402">
      <w:pPr>
        <w:spacing w:after="120"/>
        <w:jc w:val="both"/>
      </w:pPr>
      <w:r w:rsidRPr="00227CA8">
        <w:t xml:space="preserve">A summary of the citation details for the studies comparing </w:t>
      </w:r>
      <w:r w:rsidR="00393E6A">
        <w:t>bupropion</w:t>
      </w:r>
      <w:r w:rsidRPr="00227CA8">
        <w:t xml:space="preserve"> with placebo in abstainers for relapse prevention is presented in </w:t>
      </w:r>
      <w:r w:rsidR="00944F4B">
        <w:fldChar w:fldCharType="begin" w:fldLock="1"/>
      </w:r>
      <w:r w:rsidR="00944F4B">
        <w:instrText xml:space="preserve"> REF _Ref54865040 \h </w:instrText>
      </w:r>
      <w:r w:rsidR="00944F4B">
        <w:fldChar w:fldCharType="separate"/>
      </w:r>
      <w:r w:rsidR="00EC5CC7">
        <w:t xml:space="preserve">Table </w:t>
      </w:r>
      <w:r w:rsidR="00EC5CC7">
        <w:rPr>
          <w:noProof/>
        </w:rPr>
        <w:t>39</w:t>
      </w:r>
      <w:r w:rsidR="00944F4B">
        <w:fldChar w:fldCharType="end"/>
      </w:r>
      <w:r w:rsidRPr="00227CA8">
        <w:t xml:space="preserve">. A recently conducted Cochrane </w:t>
      </w:r>
      <w:r w:rsidR="00736B4F">
        <w:t>R</w:t>
      </w:r>
      <w:r w:rsidRPr="00227CA8">
        <w:t xml:space="preserve">eview by Livingstone-Banks et al. (2019) was identified in the systematic literature review that compared </w:t>
      </w:r>
      <w:r w:rsidR="001207B7">
        <w:t>bupropion</w:t>
      </w:r>
      <w:r w:rsidRPr="00227CA8">
        <w:t xml:space="preserve"> with placebo for relapse prevention and was included in this report.</w:t>
      </w:r>
      <w:r w:rsidR="00457F7E">
        <w:t xml:space="preserve"> </w:t>
      </w:r>
      <w:r w:rsidR="00457F7E" w:rsidRPr="00457F7E">
        <w:t xml:space="preserve">No new studies comparing </w:t>
      </w:r>
      <w:r w:rsidR="00457F7E">
        <w:t>bupropion</w:t>
      </w:r>
      <w:r w:rsidR="00457F7E" w:rsidRPr="00457F7E">
        <w:t xml:space="preserve"> with placebo</w:t>
      </w:r>
      <w:r w:rsidR="00457F7E">
        <w:t xml:space="preserve"> in abstainers for relapse prevention</w:t>
      </w:r>
      <w:r w:rsidR="00457F7E" w:rsidRPr="00457F7E">
        <w:t xml:space="preserve"> were identified in the supplemental literature search.</w:t>
      </w:r>
    </w:p>
    <w:p w14:paraId="5112433B" w14:textId="5F6CD8AB" w:rsidR="00944F4B" w:rsidRDefault="00944F4B" w:rsidP="00A46402">
      <w:pPr>
        <w:pStyle w:val="Caption"/>
        <w:keepNext/>
        <w:spacing w:before="0" w:after="120"/>
        <w:jc w:val="both"/>
      </w:pPr>
      <w:bookmarkStart w:id="85" w:name="_Ref54865040"/>
      <w:r>
        <w:t xml:space="preserve">Table </w:t>
      </w:r>
      <w:r w:rsidR="00BF3F75">
        <w:fldChar w:fldCharType="begin"/>
      </w:r>
      <w:r w:rsidR="00BF3F75">
        <w:instrText xml:space="preserve"> SEQ Table \* ARABIC </w:instrText>
      </w:r>
      <w:r w:rsidR="00BF3F75">
        <w:fldChar w:fldCharType="separate"/>
      </w:r>
      <w:r w:rsidR="00EC5CC7">
        <w:rPr>
          <w:noProof/>
        </w:rPr>
        <w:t>39</w:t>
      </w:r>
      <w:r w:rsidR="00BF3F75">
        <w:rPr>
          <w:noProof/>
        </w:rPr>
        <w:fldChar w:fldCharType="end"/>
      </w:r>
      <w:bookmarkEnd w:id="85"/>
      <w:r>
        <w:t xml:space="preserve">: </w:t>
      </w:r>
      <w:r w:rsidRPr="000A7C67">
        <w:t xml:space="preserve">List of studies comparing </w:t>
      </w:r>
      <w:r>
        <w:t>bupropion</w:t>
      </w:r>
      <w:r w:rsidRPr="000A7C67">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85037A" w:rsidRPr="00061F78" w14:paraId="402E8989" w14:textId="77777777" w:rsidTr="00731548">
        <w:trPr>
          <w:cantSplit/>
          <w:trHeight w:val="329"/>
          <w:tblHeader/>
        </w:trPr>
        <w:tc>
          <w:tcPr>
            <w:tcW w:w="566" w:type="pct"/>
            <w:shd w:val="clear" w:color="auto" w:fill="BFBFBF" w:themeFill="background1" w:themeFillShade="BF"/>
            <w:tcMar>
              <w:left w:w="28" w:type="dxa"/>
              <w:right w:w="28" w:type="dxa"/>
            </w:tcMar>
          </w:tcPr>
          <w:p w14:paraId="2E4946EA" w14:textId="14FAA210" w:rsidR="00D96EB2" w:rsidRPr="00061F78" w:rsidRDefault="00126B7B" w:rsidP="00731548">
            <w:pPr>
              <w:pStyle w:val="Tableheading"/>
              <w:keepNext/>
              <w:rPr>
                <w:rFonts w:eastAsia="MS Mincho"/>
              </w:rPr>
            </w:pPr>
            <w:r>
              <w:rPr>
                <w:rFonts w:eastAsia="MS Mincho"/>
              </w:rPr>
              <w:t>Study</w:t>
            </w:r>
          </w:p>
        </w:tc>
        <w:tc>
          <w:tcPr>
            <w:tcW w:w="4434" w:type="pct"/>
            <w:shd w:val="clear" w:color="auto" w:fill="BFBFBF" w:themeFill="background1" w:themeFillShade="BF"/>
          </w:tcPr>
          <w:p w14:paraId="4C324930" w14:textId="77777777" w:rsidR="00D96EB2" w:rsidRDefault="00D96EB2" w:rsidP="00731548">
            <w:pPr>
              <w:pStyle w:val="Tableheading"/>
              <w:keepNext/>
              <w:jc w:val="center"/>
              <w:rPr>
                <w:rFonts w:eastAsia="MS Mincho"/>
              </w:rPr>
            </w:pPr>
            <w:r>
              <w:rPr>
                <w:rFonts w:eastAsia="MS Mincho"/>
              </w:rPr>
              <w:t>Citation</w:t>
            </w:r>
          </w:p>
        </w:tc>
      </w:tr>
      <w:tr w:rsidR="0085037A" w:rsidRPr="00061F78" w14:paraId="1B452127" w14:textId="77777777" w:rsidTr="00731548">
        <w:trPr>
          <w:cantSplit/>
          <w:trHeight w:val="164"/>
        </w:trPr>
        <w:tc>
          <w:tcPr>
            <w:tcW w:w="566" w:type="pct"/>
            <w:tcMar>
              <w:left w:w="28" w:type="dxa"/>
              <w:right w:w="28" w:type="dxa"/>
            </w:tcMar>
          </w:tcPr>
          <w:p w14:paraId="1DBA2528" w14:textId="1FED83D5" w:rsidR="00D96EB2" w:rsidRPr="00D07303" w:rsidRDefault="00D96EB2" w:rsidP="00731548">
            <w:pPr>
              <w:pStyle w:val="Tablewriting"/>
              <w:keepNext/>
              <w:rPr>
                <w:rFonts w:eastAsia="MS Mincho"/>
                <w:vertAlign w:val="superscript"/>
              </w:rPr>
            </w:pPr>
            <w:r>
              <w:rPr>
                <w:rFonts w:eastAsia="MS Mincho"/>
              </w:rPr>
              <w:t>Livingstone-Banks (2019)</w:t>
            </w:r>
            <w:hyperlink w:anchor="_ENREF_40" w:tooltip="Livingstone-Banks, 2019 #627" w:history="1">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 </w:instrText>
              </w:r>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40</w:t>
              </w:r>
              <w:r w:rsidR="0039468B">
                <w:rPr>
                  <w:rFonts w:eastAsia="MS Mincho"/>
                </w:rPr>
                <w:fldChar w:fldCharType="end"/>
              </w:r>
            </w:hyperlink>
            <w:r w:rsidR="00322560" w:rsidRPr="00D07303">
              <w:rPr>
                <w:rFonts w:eastAsia="MS Mincho"/>
                <w:vertAlign w:val="superscript"/>
              </w:rPr>
              <w:t xml:space="preserve"> </w:t>
            </w:r>
          </w:p>
        </w:tc>
        <w:tc>
          <w:tcPr>
            <w:tcW w:w="4434" w:type="pct"/>
          </w:tcPr>
          <w:p w14:paraId="09304148" w14:textId="77B28BCF" w:rsidR="00D96EB2" w:rsidRDefault="00D96EB2" w:rsidP="00731548">
            <w:pPr>
              <w:pStyle w:val="Tablewriting"/>
              <w:keepNext/>
              <w:rPr>
                <w:rFonts w:eastAsia="MS Mincho"/>
              </w:rPr>
            </w:pPr>
            <w:r w:rsidRPr="00CE2EF9">
              <w:rPr>
                <w:rFonts w:eastAsia="MS Mincho"/>
              </w:rPr>
              <w:t>Livingstone‐</w:t>
            </w:r>
            <w:r w:rsidR="004C4EA7" w:rsidRPr="00CE2EF9">
              <w:rPr>
                <w:rFonts w:eastAsia="MS Mincho"/>
              </w:rPr>
              <w:t>Banks J</w:t>
            </w:r>
            <w:r w:rsidRPr="00CE2EF9">
              <w:rPr>
                <w:rFonts w:eastAsia="MS Mincho"/>
              </w:rPr>
              <w:t xml:space="preserve">, </w:t>
            </w:r>
            <w:r w:rsidR="004C4EA7" w:rsidRPr="00CE2EF9">
              <w:rPr>
                <w:rFonts w:eastAsia="MS Mincho"/>
              </w:rPr>
              <w:t>Norris E</w:t>
            </w:r>
            <w:r w:rsidRPr="00CE2EF9">
              <w:rPr>
                <w:rFonts w:eastAsia="MS Mincho"/>
              </w:rPr>
              <w:t>, Hartmann‐</w:t>
            </w:r>
            <w:r w:rsidR="004C4EA7" w:rsidRPr="00CE2EF9">
              <w:rPr>
                <w:rFonts w:eastAsia="MS Mincho"/>
              </w:rPr>
              <w:t>Boyce J</w:t>
            </w:r>
            <w:r w:rsidRPr="00CE2EF9">
              <w:rPr>
                <w:rFonts w:eastAsia="MS Mincho"/>
              </w:rPr>
              <w:t xml:space="preserve">, </w:t>
            </w:r>
            <w:r w:rsidR="004C4EA7" w:rsidRPr="00CE2EF9">
              <w:rPr>
                <w:rFonts w:eastAsia="MS Mincho"/>
              </w:rPr>
              <w:t>West R</w:t>
            </w:r>
            <w:r w:rsidRPr="00CE2EF9">
              <w:rPr>
                <w:rFonts w:eastAsia="MS Mincho"/>
              </w:rPr>
              <w:t xml:space="preserve">, </w:t>
            </w:r>
            <w:r w:rsidR="004C4EA7" w:rsidRPr="00CE2EF9">
              <w:rPr>
                <w:rFonts w:eastAsia="MS Mincho"/>
              </w:rPr>
              <w:t>Jarvis M</w:t>
            </w:r>
            <w:r w:rsidRPr="00CE2EF9">
              <w:rPr>
                <w:rFonts w:eastAsia="MS Mincho"/>
              </w:rPr>
              <w:t xml:space="preserve">, </w:t>
            </w:r>
            <w:r w:rsidR="004C4EA7" w:rsidRPr="00CE2EF9">
              <w:rPr>
                <w:rFonts w:eastAsia="MS Mincho"/>
              </w:rPr>
              <w:t>Hajek P.</w:t>
            </w:r>
            <w:r w:rsidRPr="00CE2EF9">
              <w:rPr>
                <w:rFonts w:eastAsia="MS Mincho"/>
              </w:rPr>
              <w:t xml:space="preserve"> Relapse prevention interventions for smoking cessation. Cochrane Database of Systematic Reviews 2019, Issue 2. Art. No.: CD003999.</w:t>
            </w:r>
          </w:p>
        </w:tc>
      </w:tr>
    </w:tbl>
    <w:p w14:paraId="1C563E9D" w14:textId="77777777" w:rsidR="00227CA8" w:rsidRDefault="00227CA8" w:rsidP="002A0473"/>
    <w:p w14:paraId="0E2747A8" w14:textId="55E93DE2" w:rsidR="00A3760B" w:rsidRDefault="00A3760B" w:rsidP="000B683C">
      <w:pPr>
        <w:spacing w:after="120"/>
        <w:jc w:val="both"/>
      </w:pPr>
      <w:r w:rsidRPr="00A3760B">
        <w:lastRenderedPageBreak/>
        <w:t xml:space="preserve">A summary of the characteristics of the studies comparing </w:t>
      </w:r>
      <w:r w:rsidR="00EA3AC5">
        <w:t>bupropion</w:t>
      </w:r>
      <w:r w:rsidRPr="00A3760B">
        <w:t xml:space="preserve"> with placebo in abstainers for relapse prevention is presented in </w:t>
      </w:r>
      <w:r w:rsidR="00EA3AC5">
        <w:fldChar w:fldCharType="begin" w:fldLock="1"/>
      </w:r>
      <w:r w:rsidR="00EA3AC5">
        <w:instrText xml:space="preserve"> REF _Ref54868402 \h </w:instrText>
      </w:r>
      <w:r w:rsidR="000B683C">
        <w:instrText xml:space="preserve"> \* MERGEFORMAT </w:instrText>
      </w:r>
      <w:r w:rsidR="00EA3AC5">
        <w:fldChar w:fldCharType="separate"/>
      </w:r>
      <w:r w:rsidR="00EC5CC7">
        <w:t xml:space="preserve">Table </w:t>
      </w:r>
      <w:r w:rsidR="00EC5CC7">
        <w:rPr>
          <w:noProof/>
        </w:rPr>
        <w:t>40</w:t>
      </w:r>
      <w:r w:rsidR="00EA3AC5">
        <w:fldChar w:fldCharType="end"/>
      </w:r>
      <w:r w:rsidR="00EA3AC5">
        <w:t>.</w:t>
      </w:r>
      <w:r w:rsidRPr="00A3760B">
        <w:t xml:space="preserve"> A total of </w:t>
      </w:r>
      <w:r w:rsidR="00EA3AC5">
        <w:t>six</w:t>
      </w:r>
      <w:r w:rsidRPr="00A3760B">
        <w:t xml:space="preserve"> RCTs comparing </w:t>
      </w:r>
      <w:r w:rsidR="00EA3AC5">
        <w:t>bupropion</w:t>
      </w:r>
      <w:r w:rsidRPr="00A3760B">
        <w:t xml:space="preserve"> with placebo were identified by Livingstone-Banks et al. (2019). The characteristics of the individual studies are presented in </w:t>
      </w:r>
      <w:r w:rsidRPr="00A638FB">
        <w:t>Appendix</w:t>
      </w:r>
      <w:r w:rsidR="000B683C">
        <w:t xml:space="preserve"> Table 153</w:t>
      </w:r>
      <w:r w:rsidRPr="00A3760B">
        <w:t>.</w:t>
      </w:r>
    </w:p>
    <w:p w14:paraId="16EB3F79" w14:textId="21E9D5F0" w:rsidR="00B621E0" w:rsidRDefault="00B621E0" w:rsidP="00A46402">
      <w:pPr>
        <w:pStyle w:val="Caption"/>
        <w:keepNext/>
        <w:spacing w:before="0" w:after="120"/>
        <w:jc w:val="both"/>
      </w:pPr>
      <w:bookmarkStart w:id="86" w:name="_Ref54868402"/>
      <w:r>
        <w:t xml:space="preserve">Table </w:t>
      </w:r>
      <w:r w:rsidR="00BF3F75">
        <w:fldChar w:fldCharType="begin"/>
      </w:r>
      <w:r w:rsidR="00BF3F75">
        <w:instrText xml:space="preserve"> SEQ Table \* ARABIC </w:instrText>
      </w:r>
      <w:r w:rsidR="00BF3F75">
        <w:fldChar w:fldCharType="separate"/>
      </w:r>
      <w:r w:rsidR="00EC5CC7">
        <w:rPr>
          <w:noProof/>
        </w:rPr>
        <w:t>40</w:t>
      </w:r>
      <w:r w:rsidR="00BF3F75">
        <w:rPr>
          <w:noProof/>
        </w:rPr>
        <w:fldChar w:fldCharType="end"/>
      </w:r>
      <w:bookmarkEnd w:id="86"/>
      <w:r>
        <w:t xml:space="preserve">: </w:t>
      </w:r>
      <w:r w:rsidRPr="00731DD1">
        <w:t xml:space="preserve">Characteristics of the studies comparing </w:t>
      </w:r>
      <w:r>
        <w:t xml:space="preserve">bupropion </w:t>
      </w:r>
      <w:r w:rsidRPr="00731DD1">
        <w:t>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912"/>
        <w:gridCol w:w="2169"/>
        <w:gridCol w:w="2101"/>
        <w:gridCol w:w="1808"/>
      </w:tblGrid>
      <w:tr w:rsidR="00F64373" w:rsidRPr="00061F78" w14:paraId="732E43D1" w14:textId="77777777" w:rsidTr="007177ED">
        <w:trPr>
          <w:trHeight w:val="299"/>
          <w:tblHeader/>
        </w:trPr>
        <w:tc>
          <w:tcPr>
            <w:tcW w:w="571" w:type="pct"/>
            <w:shd w:val="clear" w:color="auto" w:fill="BFBFBF" w:themeFill="background1" w:themeFillShade="BF"/>
            <w:tcMar>
              <w:left w:w="28" w:type="dxa"/>
              <w:right w:w="28" w:type="dxa"/>
            </w:tcMar>
          </w:tcPr>
          <w:p w14:paraId="28B0B201" w14:textId="0CA1DB96" w:rsidR="00A3760B" w:rsidRPr="00061F78" w:rsidRDefault="00126B7B" w:rsidP="001814E0">
            <w:pPr>
              <w:pStyle w:val="Tableheading"/>
              <w:keepNext/>
              <w:rPr>
                <w:rFonts w:eastAsia="MS Mincho"/>
              </w:rPr>
            </w:pPr>
            <w:r>
              <w:rPr>
                <w:rFonts w:eastAsia="MS Mincho"/>
              </w:rPr>
              <w:t>Study</w:t>
            </w:r>
          </w:p>
        </w:tc>
        <w:tc>
          <w:tcPr>
            <w:tcW w:w="544" w:type="pct"/>
            <w:shd w:val="clear" w:color="auto" w:fill="BFBFBF" w:themeFill="background1" w:themeFillShade="BF"/>
          </w:tcPr>
          <w:p w14:paraId="1DA98CD5" w14:textId="77777777" w:rsidR="00A3760B" w:rsidRDefault="00A3760B" w:rsidP="001814E0">
            <w:pPr>
              <w:pStyle w:val="Tableheading"/>
              <w:keepNext/>
              <w:jc w:val="center"/>
              <w:rPr>
                <w:rFonts w:eastAsia="MS Mincho"/>
              </w:rPr>
            </w:pPr>
            <w:r>
              <w:rPr>
                <w:rFonts w:eastAsia="MS Mincho"/>
              </w:rPr>
              <w:t>Study type</w:t>
            </w:r>
          </w:p>
        </w:tc>
        <w:tc>
          <w:tcPr>
            <w:tcW w:w="502" w:type="pct"/>
            <w:shd w:val="clear" w:color="auto" w:fill="BFBFBF" w:themeFill="background1" w:themeFillShade="BF"/>
            <w:tcMar>
              <w:left w:w="28" w:type="dxa"/>
              <w:right w:w="28" w:type="dxa"/>
            </w:tcMar>
          </w:tcPr>
          <w:p w14:paraId="0C8C9143" w14:textId="77777777" w:rsidR="00A3760B" w:rsidRPr="00AE21E9" w:rsidRDefault="00A3760B" w:rsidP="001814E0">
            <w:pPr>
              <w:pStyle w:val="Tableheading"/>
              <w:keepNext/>
              <w:jc w:val="center"/>
              <w:rPr>
                <w:rFonts w:eastAsia="MS Mincho"/>
                <w:vertAlign w:val="superscript"/>
              </w:rPr>
            </w:pPr>
            <w:r>
              <w:rPr>
                <w:rFonts w:eastAsia="MS Mincho"/>
              </w:rPr>
              <w:t>N</w:t>
            </w:r>
            <w:r>
              <w:rPr>
                <w:rFonts w:eastAsia="MS Mincho"/>
                <w:vertAlign w:val="superscript"/>
              </w:rPr>
              <w:t>1</w:t>
            </w:r>
          </w:p>
        </w:tc>
        <w:tc>
          <w:tcPr>
            <w:tcW w:w="1207" w:type="pct"/>
            <w:shd w:val="clear" w:color="auto" w:fill="BFBFBF" w:themeFill="background1" w:themeFillShade="BF"/>
            <w:tcMar>
              <w:left w:w="28" w:type="dxa"/>
              <w:right w:w="28" w:type="dxa"/>
            </w:tcMar>
          </w:tcPr>
          <w:p w14:paraId="07AD6E91" w14:textId="77777777" w:rsidR="00A3760B" w:rsidRPr="00061F78" w:rsidRDefault="00A3760B" w:rsidP="001814E0">
            <w:pPr>
              <w:pStyle w:val="Tableheading"/>
              <w:keepNext/>
              <w:jc w:val="center"/>
              <w:rPr>
                <w:rFonts w:eastAsia="MS Mincho"/>
              </w:rPr>
            </w:pPr>
            <w:r w:rsidRPr="00061F78">
              <w:rPr>
                <w:rFonts w:eastAsia="MS Mincho"/>
              </w:rPr>
              <w:t>P</w:t>
            </w:r>
            <w:r>
              <w:rPr>
                <w:rFonts w:eastAsia="MS Mincho"/>
              </w:rPr>
              <w:t>opulation</w:t>
            </w:r>
          </w:p>
        </w:tc>
        <w:tc>
          <w:tcPr>
            <w:tcW w:w="1169" w:type="pct"/>
            <w:shd w:val="clear" w:color="auto" w:fill="BFBFBF" w:themeFill="background1" w:themeFillShade="BF"/>
          </w:tcPr>
          <w:p w14:paraId="23775F22" w14:textId="77777777" w:rsidR="00A3760B" w:rsidRDefault="00A3760B" w:rsidP="001814E0">
            <w:pPr>
              <w:pStyle w:val="Tableheading"/>
              <w:keepNext/>
              <w:jc w:val="center"/>
              <w:rPr>
                <w:rFonts w:eastAsia="MS Mincho"/>
              </w:rPr>
            </w:pPr>
            <w:r>
              <w:rPr>
                <w:rFonts w:eastAsia="MS Mincho"/>
              </w:rPr>
              <w:t>Intervention and comparator</w:t>
            </w:r>
          </w:p>
        </w:tc>
        <w:tc>
          <w:tcPr>
            <w:tcW w:w="1006" w:type="pct"/>
            <w:shd w:val="clear" w:color="auto" w:fill="BFBFBF" w:themeFill="background1" w:themeFillShade="BF"/>
            <w:tcMar>
              <w:left w:w="28" w:type="dxa"/>
              <w:right w:w="28" w:type="dxa"/>
            </w:tcMar>
          </w:tcPr>
          <w:p w14:paraId="35896681" w14:textId="77777777" w:rsidR="00A3760B" w:rsidRPr="00061F78" w:rsidRDefault="00A3760B" w:rsidP="001814E0">
            <w:pPr>
              <w:pStyle w:val="Tableheading"/>
              <w:keepNext/>
              <w:jc w:val="center"/>
              <w:rPr>
                <w:rFonts w:eastAsia="MS Mincho"/>
              </w:rPr>
            </w:pPr>
            <w:r>
              <w:rPr>
                <w:rFonts w:eastAsia="MS Mincho"/>
              </w:rPr>
              <w:t>Outcomes</w:t>
            </w:r>
          </w:p>
        </w:tc>
      </w:tr>
      <w:tr w:rsidR="00F64373" w:rsidRPr="00061F78" w14:paraId="0715ADB1" w14:textId="77777777" w:rsidTr="007177ED">
        <w:trPr>
          <w:trHeight w:val="149"/>
        </w:trPr>
        <w:tc>
          <w:tcPr>
            <w:tcW w:w="571" w:type="pct"/>
            <w:tcMar>
              <w:left w:w="28" w:type="dxa"/>
              <w:right w:w="28" w:type="dxa"/>
            </w:tcMar>
          </w:tcPr>
          <w:p w14:paraId="75EB3CBD" w14:textId="6F8F6115" w:rsidR="00A3760B" w:rsidRPr="004F1864" w:rsidRDefault="00A3760B" w:rsidP="001814E0">
            <w:pPr>
              <w:pStyle w:val="Tablewriting"/>
              <w:keepNext/>
              <w:rPr>
                <w:rFonts w:eastAsia="MS Mincho"/>
              </w:rPr>
            </w:pPr>
            <w:r>
              <w:rPr>
                <w:rFonts w:eastAsia="MS Mincho"/>
              </w:rPr>
              <w:t>Livingstone-Banks (2019)</w:t>
            </w:r>
            <w:r w:rsidR="00322560" w:rsidRPr="004F1864">
              <w:rPr>
                <w:rFonts w:eastAsia="MS Mincho"/>
              </w:rPr>
              <w:t xml:space="preserve"> </w:t>
            </w:r>
          </w:p>
        </w:tc>
        <w:tc>
          <w:tcPr>
            <w:tcW w:w="544" w:type="pct"/>
          </w:tcPr>
          <w:p w14:paraId="5C8604DC" w14:textId="5DFEBAA8" w:rsidR="00A3760B" w:rsidRDefault="00A3760B" w:rsidP="001814E0">
            <w:pPr>
              <w:pStyle w:val="Tablewriting"/>
              <w:keepNext/>
              <w:rPr>
                <w:rFonts w:eastAsia="MS Mincho"/>
              </w:rPr>
            </w:pPr>
            <w:r>
              <w:rPr>
                <w:rFonts w:eastAsia="MS Mincho"/>
              </w:rPr>
              <w:t xml:space="preserve">Cochrane </w:t>
            </w:r>
            <w:r w:rsidR="004C4EA7">
              <w:rPr>
                <w:rFonts w:eastAsia="MS Mincho"/>
              </w:rPr>
              <w:t>Review (</w:t>
            </w:r>
            <w:r w:rsidR="00176C0F">
              <w:rPr>
                <w:rFonts w:eastAsia="MS Mincho"/>
              </w:rPr>
              <w:t>6</w:t>
            </w:r>
            <w:r>
              <w:rPr>
                <w:rFonts w:eastAsia="MS Mincho"/>
              </w:rPr>
              <w:t xml:space="preserve"> RCTs</w:t>
            </w:r>
            <w:r>
              <w:rPr>
                <w:rFonts w:eastAsia="MS Mincho"/>
                <w:vertAlign w:val="superscript"/>
              </w:rPr>
              <w:t>3</w:t>
            </w:r>
            <w:r>
              <w:rPr>
                <w:rFonts w:eastAsia="MS Mincho"/>
              </w:rPr>
              <w:t>)</w:t>
            </w:r>
          </w:p>
          <w:p w14:paraId="1C7562D6" w14:textId="77777777" w:rsidR="00A3760B" w:rsidRDefault="00A3760B" w:rsidP="001814E0">
            <w:pPr>
              <w:pStyle w:val="Tablewriting"/>
              <w:keepNext/>
              <w:rPr>
                <w:rFonts w:eastAsia="MS Mincho"/>
              </w:rPr>
            </w:pPr>
          </w:p>
        </w:tc>
        <w:tc>
          <w:tcPr>
            <w:tcW w:w="502" w:type="pct"/>
            <w:tcMar>
              <w:left w:w="28" w:type="dxa"/>
              <w:right w:w="28" w:type="dxa"/>
            </w:tcMar>
          </w:tcPr>
          <w:p w14:paraId="5E5D6955" w14:textId="109EAF11" w:rsidR="00A3760B" w:rsidRDefault="00A3760B" w:rsidP="001814E0">
            <w:pPr>
              <w:pStyle w:val="Tablewriting"/>
              <w:keepNext/>
              <w:rPr>
                <w:rFonts w:eastAsia="MS Mincho"/>
              </w:rPr>
            </w:pPr>
            <w:r>
              <w:rPr>
                <w:rFonts w:eastAsia="MS Mincho"/>
              </w:rPr>
              <w:t>N=1,</w:t>
            </w:r>
            <w:r w:rsidR="00176C0F">
              <w:rPr>
                <w:rFonts w:eastAsia="MS Mincho"/>
              </w:rPr>
              <w:t>6</w:t>
            </w:r>
            <w:r>
              <w:rPr>
                <w:rFonts w:eastAsia="MS Mincho"/>
              </w:rPr>
              <w:t>97</w:t>
            </w:r>
          </w:p>
          <w:p w14:paraId="409EC78F" w14:textId="6523C7E3" w:rsidR="00A3760B" w:rsidRDefault="00980AF2" w:rsidP="001814E0">
            <w:pPr>
              <w:pStyle w:val="Tablewriting"/>
              <w:keepNext/>
              <w:rPr>
                <w:rFonts w:eastAsia="MS Mincho"/>
              </w:rPr>
            </w:pPr>
            <w:r>
              <w:rPr>
                <w:rFonts w:eastAsia="MS Mincho"/>
              </w:rPr>
              <w:t>Bupropion</w:t>
            </w:r>
            <w:r w:rsidR="00A3760B">
              <w:rPr>
                <w:rFonts w:eastAsia="MS Mincho"/>
              </w:rPr>
              <w:t xml:space="preserve"> (n=</w:t>
            </w:r>
            <w:r w:rsidR="006A1407">
              <w:rPr>
                <w:rFonts w:eastAsia="MS Mincho"/>
              </w:rPr>
              <w:t>852</w:t>
            </w:r>
            <w:r w:rsidR="00A3760B">
              <w:rPr>
                <w:rFonts w:eastAsia="MS Mincho"/>
              </w:rPr>
              <w:t>),</w:t>
            </w:r>
          </w:p>
          <w:p w14:paraId="265A7F16" w14:textId="018DF42C" w:rsidR="00A3760B" w:rsidRPr="00061F78" w:rsidRDefault="00A3760B" w:rsidP="001814E0">
            <w:pPr>
              <w:pStyle w:val="Tablewriting"/>
              <w:keepNext/>
              <w:rPr>
                <w:rFonts w:eastAsia="MS Mincho"/>
              </w:rPr>
            </w:pPr>
            <w:r>
              <w:rPr>
                <w:rFonts w:eastAsia="MS Mincho"/>
              </w:rPr>
              <w:t>Placebo (n=</w:t>
            </w:r>
            <w:r w:rsidR="006A1407">
              <w:rPr>
                <w:rFonts w:eastAsia="MS Mincho"/>
              </w:rPr>
              <w:t>845</w:t>
            </w:r>
            <w:r>
              <w:rPr>
                <w:rFonts w:eastAsia="MS Mincho"/>
              </w:rPr>
              <w:t>)</w:t>
            </w:r>
          </w:p>
        </w:tc>
        <w:tc>
          <w:tcPr>
            <w:tcW w:w="1207" w:type="pct"/>
            <w:tcMar>
              <w:left w:w="28" w:type="dxa"/>
              <w:right w:w="28" w:type="dxa"/>
            </w:tcMar>
          </w:tcPr>
          <w:p w14:paraId="78CA2310" w14:textId="312E60EF" w:rsidR="00A3760B" w:rsidRDefault="00A3760B" w:rsidP="001814E0">
            <w:pPr>
              <w:pStyle w:val="Tablewriting"/>
              <w:keepNext/>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programs</w:t>
            </w:r>
            <w:r>
              <w:rPr>
                <w:rFonts w:eastAsia="MS Mincho"/>
              </w:rPr>
              <w:t xml:space="preserve"> to assist initial cessation.</w:t>
            </w:r>
          </w:p>
          <w:p w14:paraId="7DB0263A" w14:textId="77777777" w:rsidR="00A3760B" w:rsidRPr="00061F78" w:rsidRDefault="00A3760B" w:rsidP="001814E0">
            <w:pPr>
              <w:pStyle w:val="Tablewriting"/>
              <w:keepNext/>
              <w:rPr>
                <w:rFonts w:eastAsia="MS Mincho"/>
              </w:rPr>
            </w:pPr>
            <w:r w:rsidRPr="002C19B4">
              <w:rPr>
                <w:rFonts w:eastAsia="MS Mincho"/>
                <w:u w:val="single"/>
              </w:rPr>
              <w:t>Exclusion</w:t>
            </w:r>
            <w:r>
              <w:rPr>
                <w:rFonts w:eastAsia="MS Mincho"/>
              </w:rPr>
              <w:t>: NR</w:t>
            </w:r>
          </w:p>
        </w:tc>
        <w:tc>
          <w:tcPr>
            <w:tcW w:w="1169" w:type="pct"/>
          </w:tcPr>
          <w:p w14:paraId="6DCF2945" w14:textId="7F0C989A" w:rsidR="00A3760B" w:rsidRPr="00061F78" w:rsidRDefault="006A1407" w:rsidP="001814E0">
            <w:pPr>
              <w:pStyle w:val="Tablewriting"/>
              <w:keepNext/>
              <w:rPr>
                <w:rFonts w:eastAsia="MS Mincho"/>
              </w:rPr>
            </w:pPr>
            <w:r w:rsidRPr="006A1407">
              <w:rPr>
                <w:rFonts w:eastAsia="MS Mincho"/>
              </w:rPr>
              <w:t>Bupropion: 150</w:t>
            </w:r>
            <w:r w:rsidR="00736B4F">
              <w:rPr>
                <w:rFonts w:eastAsia="MS Mincho"/>
              </w:rPr>
              <w:t xml:space="preserve"> </w:t>
            </w:r>
            <w:r w:rsidRPr="006A1407">
              <w:rPr>
                <w:rFonts w:eastAsia="MS Mincho"/>
              </w:rPr>
              <w:t>mg twice daily including titration (</w:t>
            </w:r>
            <w:r w:rsidR="004C4EA7" w:rsidRPr="006A1407">
              <w:rPr>
                <w:rFonts w:eastAsia="MS Mincho"/>
              </w:rPr>
              <w:t>i.e.,</w:t>
            </w:r>
            <w:r w:rsidRPr="006A1407">
              <w:rPr>
                <w:rFonts w:eastAsia="MS Mincho"/>
              </w:rPr>
              <w:t xml:space="preserve"> 150</w:t>
            </w:r>
            <w:r w:rsidR="00736B4F">
              <w:rPr>
                <w:rFonts w:eastAsia="MS Mincho"/>
              </w:rPr>
              <w:t xml:space="preserve"> </w:t>
            </w:r>
            <w:r w:rsidRPr="006A1407">
              <w:rPr>
                <w:rFonts w:eastAsia="MS Mincho"/>
              </w:rPr>
              <w:t>mg once daily for 3 days, then 150</w:t>
            </w:r>
            <w:r w:rsidR="00736B4F">
              <w:rPr>
                <w:rFonts w:eastAsia="MS Mincho"/>
              </w:rPr>
              <w:t xml:space="preserve"> </w:t>
            </w:r>
            <w:r w:rsidRPr="006A1407">
              <w:rPr>
                <w:rFonts w:eastAsia="MS Mincho"/>
              </w:rPr>
              <w:t>mg twice daily)</w:t>
            </w:r>
            <w:r w:rsidR="00E2370E">
              <w:rPr>
                <w:rFonts w:eastAsia="MS Mincho"/>
              </w:rPr>
              <w:t xml:space="preserve">; </w:t>
            </w:r>
            <w:r w:rsidR="00A3760B">
              <w:rPr>
                <w:rFonts w:eastAsia="MS Mincho"/>
              </w:rPr>
              <w:t>Placebo: placebo tablets, same regimen</w:t>
            </w:r>
            <w:r w:rsidR="00AB5FA3">
              <w:rPr>
                <w:rFonts w:eastAsia="MS Mincho"/>
              </w:rPr>
              <w:t>.</w:t>
            </w:r>
          </w:p>
        </w:tc>
        <w:tc>
          <w:tcPr>
            <w:tcW w:w="1006" w:type="pct"/>
            <w:tcMar>
              <w:left w:w="28" w:type="dxa"/>
              <w:right w:w="28" w:type="dxa"/>
            </w:tcMar>
          </w:tcPr>
          <w:p w14:paraId="3F6F1FA5" w14:textId="73F43BC1" w:rsidR="00A3760B" w:rsidRDefault="00A3760B" w:rsidP="001814E0">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14:paraId="251DE638" w14:textId="77777777" w:rsidR="00A3760B" w:rsidRPr="00061F78" w:rsidRDefault="00A3760B" w:rsidP="001814E0">
            <w:pPr>
              <w:pStyle w:val="Tablewriting"/>
              <w:keepNext/>
              <w:rPr>
                <w:rFonts w:eastAsia="MS Mincho"/>
              </w:rPr>
            </w:pPr>
          </w:p>
        </w:tc>
      </w:tr>
    </w:tbl>
    <w:p w14:paraId="305E105B" w14:textId="2E1B0957" w:rsidR="00496F11" w:rsidRDefault="00496F11" w:rsidP="00A46402">
      <w:pPr>
        <w:pStyle w:val="TableFooter"/>
        <w:keepNext/>
        <w:jc w:val="both"/>
        <w:rPr>
          <w:i/>
        </w:rPr>
      </w:pPr>
      <w:r>
        <w:t>Abbreviations: NR = not reported; RCT = randomised controlled trial</w:t>
      </w:r>
      <w:r w:rsidRPr="00061F78">
        <w:t xml:space="preserve"> </w:t>
      </w:r>
    </w:p>
    <w:p w14:paraId="3C68562B" w14:textId="7BA562BB" w:rsidR="00496F11" w:rsidRDefault="00496F11" w:rsidP="00A46402">
      <w:pPr>
        <w:pStyle w:val="TableFooter"/>
        <w:keepNext/>
        <w:jc w:val="both"/>
      </w:pPr>
      <w:r>
        <w:t>1 Only the number of patients (n) in the relevant arms were included</w:t>
      </w:r>
      <w:r w:rsidR="00AB5FA3">
        <w:t>.</w:t>
      </w:r>
      <w:r>
        <w:t xml:space="preserve"> </w:t>
      </w:r>
    </w:p>
    <w:p w14:paraId="6E056187" w14:textId="00074829" w:rsidR="00496F11" w:rsidRPr="00061F78" w:rsidRDefault="00496F11" w:rsidP="00A46402">
      <w:pPr>
        <w:pStyle w:val="TableFooter"/>
        <w:keepNext/>
        <w:spacing w:after="120"/>
        <w:jc w:val="both"/>
      </w:pPr>
      <w:r>
        <w:t xml:space="preserve">2 The characteristics of the individual studies comparing </w:t>
      </w:r>
      <w:r w:rsidR="00B621E0">
        <w:t>bupropion</w:t>
      </w:r>
      <w:r>
        <w:t xml:space="preserve"> with placebo included in Livingstone-Banks et al. (2019) are presented in </w:t>
      </w:r>
      <w:r w:rsidRPr="00A638FB">
        <w:t>Appendix</w:t>
      </w:r>
      <w:r w:rsidR="000B683C">
        <w:t xml:space="preserve"> Table 153</w:t>
      </w:r>
      <w:r>
        <w:t>.</w:t>
      </w:r>
    </w:p>
    <w:p w14:paraId="00548211" w14:textId="77777777" w:rsidR="00EA3AC5" w:rsidRPr="00EA3AC5" w:rsidRDefault="00EA3AC5" w:rsidP="00A46402">
      <w:pPr>
        <w:spacing w:after="120"/>
        <w:jc w:val="both"/>
        <w:rPr>
          <w:u w:val="single"/>
        </w:rPr>
      </w:pPr>
      <w:r w:rsidRPr="00EA3AC5">
        <w:rPr>
          <w:u w:val="single"/>
        </w:rPr>
        <w:t>Efficacy</w:t>
      </w:r>
    </w:p>
    <w:p w14:paraId="4B4D9768" w14:textId="6CCA32DE" w:rsidR="004C53DE" w:rsidRPr="004C53DE" w:rsidRDefault="00EA3AC5" w:rsidP="00A46402">
      <w:pPr>
        <w:spacing w:after="120"/>
        <w:jc w:val="both"/>
      </w:pPr>
      <w:r>
        <w:t xml:space="preserve">A summary of the smoking cessation rates at 12 months </w:t>
      </w:r>
      <w:r w:rsidR="001E02D1">
        <w:t>comparing bupropion with placebo</w:t>
      </w:r>
      <w:r>
        <w:t xml:space="preserve"> </w:t>
      </w:r>
      <w:r w:rsidR="0093566D">
        <w:t xml:space="preserve">in abstainers for relapse prevention </w:t>
      </w:r>
      <w:r>
        <w:t xml:space="preserve">is presented in </w:t>
      </w:r>
      <w:r w:rsidR="004E3996">
        <w:fldChar w:fldCharType="begin" w:fldLock="1"/>
      </w:r>
      <w:r w:rsidR="004E3996">
        <w:instrText xml:space="preserve"> REF _Ref54868868 \h </w:instrText>
      </w:r>
      <w:r w:rsidR="004E3996">
        <w:fldChar w:fldCharType="separate"/>
      </w:r>
      <w:r w:rsidR="00EC5CC7">
        <w:t xml:space="preserve">Table </w:t>
      </w:r>
      <w:r w:rsidR="00EC5CC7">
        <w:rPr>
          <w:noProof/>
        </w:rPr>
        <w:t>41</w:t>
      </w:r>
      <w:r w:rsidR="004E3996">
        <w:fldChar w:fldCharType="end"/>
      </w:r>
      <w:r>
        <w:t xml:space="preserve">. The results of the meta-analysis comprising </w:t>
      </w:r>
      <w:r w:rsidR="004E3996">
        <w:t>six</w:t>
      </w:r>
      <w:r>
        <w:t xml:space="preserve"> RCTs by Livingstone-Banks et al. (2019) demonstrated </w:t>
      </w:r>
      <w:r w:rsidR="004E3996">
        <w:t>no</w:t>
      </w:r>
      <w:r>
        <w:t xml:space="preserve"> statistically significant difference in long-term smoking cessation rates</w:t>
      </w:r>
      <w:r w:rsidR="004E3996">
        <w:t xml:space="preserve"> between </w:t>
      </w:r>
      <w:r w:rsidR="002C2327">
        <w:t>bupropion and placebo for relapse prevention</w:t>
      </w:r>
      <w:r>
        <w:t>.</w:t>
      </w:r>
    </w:p>
    <w:p w14:paraId="2E026FB5" w14:textId="71567890" w:rsidR="004E3996" w:rsidRDefault="004E3996" w:rsidP="00A46402">
      <w:pPr>
        <w:pStyle w:val="Caption"/>
        <w:keepNext/>
        <w:spacing w:before="0" w:after="120"/>
        <w:jc w:val="both"/>
      </w:pPr>
      <w:bookmarkStart w:id="87" w:name="_Ref54868868"/>
      <w:r>
        <w:t xml:space="preserve">Table </w:t>
      </w:r>
      <w:r w:rsidR="00BF3F75">
        <w:fldChar w:fldCharType="begin"/>
      </w:r>
      <w:r w:rsidR="00BF3F75">
        <w:instrText xml:space="preserve"> SEQ Table \* ARABIC </w:instrText>
      </w:r>
      <w:r w:rsidR="00BF3F75">
        <w:fldChar w:fldCharType="separate"/>
      </w:r>
      <w:r w:rsidR="00EC5CC7">
        <w:rPr>
          <w:noProof/>
        </w:rPr>
        <w:t>41</w:t>
      </w:r>
      <w:r w:rsidR="00BF3F75">
        <w:rPr>
          <w:noProof/>
        </w:rPr>
        <w:fldChar w:fldCharType="end"/>
      </w:r>
      <w:bookmarkEnd w:id="87"/>
      <w:r>
        <w:t xml:space="preserve">: </w:t>
      </w:r>
      <w:r w:rsidRPr="00330D48">
        <w:t xml:space="preserve">Results of smoking cessation at 12 months after quit date, </w:t>
      </w:r>
      <w:r>
        <w:t>bupropion</w:t>
      </w:r>
      <w:r w:rsidRPr="00330D48">
        <w:t xml:space="preserve"> versus placebo</w:t>
      </w:r>
      <w:r w:rsidR="00267C5C">
        <w:t xml:space="preserve">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1969"/>
        <w:gridCol w:w="1953"/>
        <w:gridCol w:w="1828"/>
      </w:tblGrid>
      <w:tr w:rsidR="00EA3AC5" w:rsidRPr="00061F78" w14:paraId="32D1EA36" w14:textId="77777777" w:rsidTr="002775B8">
        <w:trPr>
          <w:cantSplit/>
          <w:trHeight w:val="299"/>
          <w:tblHeader/>
        </w:trPr>
        <w:tc>
          <w:tcPr>
            <w:tcW w:w="859" w:type="pct"/>
            <w:shd w:val="clear" w:color="auto" w:fill="BFBFBF" w:themeFill="background1" w:themeFillShade="BF"/>
            <w:tcMar>
              <w:left w:w="28" w:type="dxa"/>
              <w:right w:w="28" w:type="dxa"/>
            </w:tcMar>
          </w:tcPr>
          <w:p w14:paraId="06B4E206" w14:textId="7E4E890E" w:rsidR="00EA3AC5" w:rsidRPr="00061F78" w:rsidRDefault="00126B7B" w:rsidP="00EA3AC5">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14:paraId="644FBA52" w14:textId="77777777" w:rsidR="00EA3AC5" w:rsidRDefault="00EA3AC5" w:rsidP="00EA3AC5">
            <w:pPr>
              <w:pStyle w:val="Tableheading"/>
              <w:keepNext/>
              <w:jc w:val="center"/>
              <w:rPr>
                <w:rFonts w:eastAsia="MS Mincho"/>
              </w:rPr>
            </w:pPr>
            <w:r>
              <w:rPr>
                <w:rFonts w:eastAsia="MS Mincho"/>
              </w:rPr>
              <w:t>Study type</w:t>
            </w:r>
          </w:p>
        </w:tc>
        <w:tc>
          <w:tcPr>
            <w:tcW w:w="1092" w:type="pct"/>
            <w:shd w:val="clear" w:color="auto" w:fill="BFBFBF" w:themeFill="background1" w:themeFillShade="BF"/>
            <w:tcMar>
              <w:left w:w="28" w:type="dxa"/>
              <w:right w:w="28" w:type="dxa"/>
            </w:tcMar>
            <w:vAlign w:val="center"/>
          </w:tcPr>
          <w:p w14:paraId="61ABDA31" w14:textId="3F561025" w:rsidR="00EA3AC5" w:rsidRPr="00061F78" w:rsidRDefault="004E3996" w:rsidP="00EA3AC5">
            <w:pPr>
              <w:pStyle w:val="Tableheading"/>
              <w:keepNext/>
              <w:jc w:val="center"/>
              <w:rPr>
                <w:rFonts w:eastAsia="MS Mincho"/>
              </w:rPr>
            </w:pPr>
            <w:r>
              <w:rPr>
                <w:rFonts w:eastAsia="MS Mincho"/>
              </w:rPr>
              <w:t>Bupropion</w:t>
            </w:r>
          </w:p>
        </w:tc>
        <w:tc>
          <w:tcPr>
            <w:tcW w:w="1083" w:type="pct"/>
            <w:shd w:val="clear" w:color="auto" w:fill="BFBFBF" w:themeFill="background1" w:themeFillShade="BF"/>
            <w:tcMar>
              <w:left w:w="28" w:type="dxa"/>
              <w:right w:w="28" w:type="dxa"/>
            </w:tcMar>
            <w:vAlign w:val="center"/>
          </w:tcPr>
          <w:p w14:paraId="18DE740D" w14:textId="77777777" w:rsidR="00EA3AC5" w:rsidRPr="00061F78" w:rsidRDefault="00EA3AC5" w:rsidP="00EA3AC5">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14:paraId="2916DFEE" w14:textId="57C8AD1B" w:rsidR="00EA3AC5" w:rsidRPr="00D468CF" w:rsidRDefault="00EA3AC5" w:rsidP="00EA3AC5">
            <w:pPr>
              <w:pStyle w:val="Tableheading"/>
              <w:keepNext/>
              <w:jc w:val="center"/>
              <w:rPr>
                <w:rFonts w:eastAsia="MS Mincho"/>
                <w:vertAlign w:val="superscript"/>
              </w:rPr>
            </w:pPr>
            <w:r>
              <w:rPr>
                <w:rFonts w:eastAsia="MS Mincho"/>
              </w:rPr>
              <w:t>RR (95% CI)</w:t>
            </w:r>
            <w:r w:rsidR="004E3996">
              <w:rPr>
                <w:rFonts w:eastAsia="MS Mincho"/>
                <w:vertAlign w:val="superscript"/>
              </w:rPr>
              <w:t>2</w:t>
            </w:r>
          </w:p>
        </w:tc>
      </w:tr>
      <w:tr w:rsidR="00EA3AC5" w:rsidRPr="00061F78" w14:paraId="4F5F89DE" w14:textId="77777777" w:rsidTr="002775B8">
        <w:trPr>
          <w:cantSplit/>
          <w:trHeight w:val="149"/>
        </w:trPr>
        <w:tc>
          <w:tcPr>
            <w:tcW w:w="859" w:type="pct"/>
            <w:tcMar>
              <w:left w:w="28" w:type="dxa"/>
              <w:right w:w="28" w:type="dxa"/>
            </w:tcMar>
          </w:tcPr>
          <w:p w14:paraId="26515B24" w14:textId="77777777" w:rsidR="00EA3AC5" w:rsidRDefault="00EA3AC5" w:rsidP="00EA3AC5">
            <w:pPr>
              <w:pStyle w:val="Tablewriting"/>
              <w:keepNext/>
              <w:rPr>
                <w:rFonts w:eastAsia="MS Mincho"/>
              </w:rPr>
            </w:pPr>
            <w:r>
              <w:rPr>
                <w:rFonts w:eastAsia="MS Mincho"/>
              </w:rPr>
              <w:t xml:space="preserve">Livingstone-Banks </w:t>
            </w:r>
          </w:p>
          <w:p w14:paraId="1A222C47" w14:textId="26F7C2D1" w:rsidR="00EA3AC5" w:rsidRPr="00D468CF" w:rsidRDefault="00EA3AC5" w:rsidP="00EA3AC5">
            <w:pPr>
              <w:pStyle w:val="Tablewriting"/>
              <w:keepNext/>
              <w:rPr>
                <w:rFonts w:eastAsia="MS Mincho"/>
                <w:vertAlign w:val="superscript"/>
              </w:rPr>
            </w:pPr>
            <w:r>
              <w:rPr>
                <w:rFonts w:eastAsia="MS Mincho"/>
              </w:rPr>
              <w:t>(2019)</w:t>
            </w:r>
            <w:r w:rsidR="002775B8">
              <w:rPr>
                <w:rFonts w:eastAsia="MS Mincho"/>
                <w:vertAlign w:val="superscript"/>
              </w:rPr>
              <w:t>1</w:t>
            </w:r>
          </w:p>
        </w:tc>
        <w:tc>
          <w:tcPr>
            <w:tcW w:w="951" w:type="pct"/>
            <w:vAlign w:val="center"/>
          </w:tcPr>
          <w:p w14:paraId="2C095C1D" w14:textId="76513418" w:rsidR="00EA3AC5" w:rsidRDefault="00EA3AC5" w:rsidP="00EA3AC5">
            <w:pPr>
              <w:pStyle w:val="Tablewriting"/>
              <w:keepNext/>
              <w:jc w:val="center"/>
              <w:rPr>
                <w:rFonts w:eastAsia="MS Mincho"/>
              </w:rPr>
            </w:pPr>
            <w:r>
              <w:rPr>
                <w:rFonts w:eastAsia="MS Mincho"/>
              </w:rPr>
              <w:t>Cochrane Review (</w:t>
            </w:r>
            <w:r w:rsidR="004E3996">
              <w:rPr>
                <w:rFonts w:eastAsia="MS Mincho"/>
              </w:rPr>
              <w:t>6</w:t>
            </w:r>
            <w:r>
              <w:rPr>
                <w:rFonts w:eastAsia="MS Mincho"/>
              </w:rPr>
              <w:t xml:space="preserve"> RCTs)</w:t>
            </w:r>
          </w:p>
        </w:tc>
        <w:tc>
          <w:tcPr>
            <w:tcW w:w="1092" w:type="pct"/>
            <w:tcMar>
              <w:left w:w="28" w:type="dxa"/>
              <w:right w:w="28" w:type="dxa"/>
            </w:tcMar>
            <w:vAlign w:val="center"/>
          </w:tcPr>
          <w:p w14:paraId="7E1F8079" w14:textId="604148E7" w:rsidR="00EA3AC5" w:rsidRPr="00FD71B4" w:rsidRDefault="00EA3AC5" w:rsidP="00EA3AC5">
            <w:pPr>
              <w:pStyle w:val="Tablewriting"/>
              <w:keepNext/>
              <w:jc w:val="center"/>
              <w:rPr>
                <w:rFonts w:eastAsia="MS Mincho"/>
              </w:rPr>
            </w:pPr>
            <w:r>
              <w:rPr>
                <w:rFonts w:eastAsia="MS Mincho"/>
              </w:rPr>
              <w:t>2</w:t>
            </w:r>
            <w:r w:rsidR="004E3996">
              <w:rPr>
                <w:rFonts w:eastAsia="MS Mincho"/>
              </w:rPr>
              <w:t>38</w:t>
            </w:r>
            <w:r>
              <w:rPr>
                <w:rFonts w:eastAsia="MS Mincho"/>
              </w:rPr>
              <w:t>/</w:t>
            </w:r>
            <w:r w:rsidR="004E3996">
              <w:rPr>
                <w:rFonts w:eastAsia="MS Mincho"/>
              </w:rPr>
              <w:t>852</w:t>
            </w:r>
            <w:r w:rsidRPr="00FD71B4">
              <w:rPr>
                <w:rFonts w:eastAsia="MS Mincho"/>
              </w:rPr>
              <w:t xml:space="preserve"> </w:t>
            </w:r>
          </w:p>
          <w:p w14:paraId="1990AE27" w14:textId="3E3088D1" w:rsidR="00EA3AC5" w:rsidRPr="00FD71B4" w:rsidRDefault="00EA3AC5" w:rsidP="00EA3AC5">
            <w:pPr>
              <w:pStyle w:val="Tablewriting"/>
              <w:keepNext/>
              <w:jc w:val="center"/>
              <w:rPr>
                <w:rFonts w:eastAsia="MS Mincho"/>
              </w:rPr>
            </w:pPr>
            <w:r w:rsidRPr="00FD71B4">
              <w:rPr>
                <w:rFonts w:eastAsia="MS Mincho"/>
              </w:rPr>
              <w:t>(</w:t>
            </w:r>
            <w:r w:rsidR="00146544">
              <w:rPr>
                <w:rFonts w:eastAsia="MS Mincho"/>
              </w:rPr>
              <w:t>27.9</w:t>
            </w:r>
            <w:r w:rsidRPr="00FD71B4">
              <w:rPr>
                <w:rFonts w:eastAsia="MS Mincho"/>
              </w:rPr>
              <w:t>%)</w:t>
            </w:r>
          </w:p>
        </w:tc>
        <w:tc>
          <w:tcPr>
            <w:tcW w:w="1083" w:type="pct"/>
            <w:tcMar>
              <w:left w:w="28" w:type="dxa"/>
              <w:right w:w="28" w:type="dxa"/>
            </w:tcMar>
            <w:vAlign w:val="center"/>
          </w:tcPr>
          <w:p w14:paraId="5E75BBF3" w14:textId="3F6C2B64" w:rsidR="00EA3AC5" w:rsidRPr="00FD71B4" w:rsidRDefault="00EA3AC5" w:rsidP="00EA3AC5">
            <w:pPr>
              <w:pStyle w:val="Tablewriting"/>
              <w:keepNext/>
              <w:jc w:val="center"/>
              <w:rPr>
                <w:rFonts w:eastAsia="MS Mincho"/>
              </w:rPr>
            </w:pPr>
            <w:r>
              <w:rPr>
                <w:rFonts w:eastAsia="MS Mincho"/>
              </w:rPr>
              <w:t>2</w:t>
            </w:r>
            <w:r w:rsidR="004E3996">
              <w:rPr>
                <w:rFonts w:eastAsia="MS Mincho"/>
              </w:rPr>
              <w:t>05</w:t>
            </w:r>
            <w:r>
              <w:rPr>
                <w:rFonts w:eastAsia="MS Mincho"/>
              </w:rPr>
              <w:t>/</w:t>
            </w:r>
            <w:r w:rsidR="004E3996">
              <w:rPr>
                <w:rFonts w:eastAsia="MS Mincho"/>
              </w:rPr>
              <w:t>845</w:t>
            </w:r>
            <w:r w:rsidRPr="00FD71B4">
              <w:rPr>
                <w:rFonts w:eastAsia="MS Mincho"/>
              </w:rPr>
              <w:t xml:space="preserve"> </w:t>
            </w:r>
          </w:p>
          <w:p w14:paraId="65B83271" w14:textId="6623FD23" w:rsidR="00EA3AC5" w:rsidRPr="00FD71B4" w:rsidRDefault="00EA3AC5" w:rsidP="00EA3AC5">
            <w:pPr>
              <w:pStyle w:val="Tablewriting"/>
              <w:keepNext/>
              <w:jc w:val="center"/>
              <w:rPr>
                <w:rFonts w:eastAsia="MS Mincho"/>
              </w:rPr>
            </w:pPr>
            <w:r w:rsidRPr="00FD71B4">
              <w:rPr>
                <w:rFonts w:eastAsia="MS Mincho"/>
              </w:rPr>
              <w:t>(</w:t>
            </w:r>
            <w:r w:rsidR="00146544">
              <w:rPr>
                <w:rFonts w:eastAsia="MS Mincho"/>
              </w:rPr>
              <w:t>24.3</w:t>
            </w:r>
            <w:r w:rsidRPr="00FD71B4">
              <w:rPr>
                <w:rFonts w:eastAsia="MS Mincho"/>
              </w:rPr>
              <w:t>%)</w:t>
            </w:r>
          </w:p>
        </w:tc>
        <w:tc>
          <w:tcPr>
            <w:tcW w:w="1014" w:type="pct"/>
            <w:tcMar>
              <w:left w:w="28" w:type="dxa"/>
              <w:right w:w="28" w:type="dxa"/>
            </w:tcMar>
            <w:vAlign w:val="center"/>
          </w:tcPr>
          <w:p w14:paraId="6673F8BB" w14:textId="4B7C8514" w:rsidR="00EA3AC5" w:rsidRPr="004E3996" w:rsidRDefault="00EA3AC5" w:rsidP="00EA3AC5">
            <w:pPr>
              <w:pStyle w:val="Tablewriting"/>
              <w:keepNext/>
              <w:jc w:val="center"/>
              <w:rPr>
                <w:rFonts w:eastAsia="MS Mincho"/>
              </w:rPr>
            </w:pPr>
            <w:r w:rsidRPr="004E3996">
              <w:rPr>
                <w:rFonts w:eastAsia="MS Mincho"/>
              </w:rPr>
              <w:t>1.</w:t>
            </w:r>
            <w:r w:rsidR="004E3996" w:rsidRPr="004E3996">
              <w:rPr>
                <w:rFonts w:eastAsia="MS Mincho"/>
              </w:rPr>
              <w:t>15</w:t>
            </w:r>
          </w:p>
          <w:p w14:paraId="0A1A1C6B" w14:textId="7450AFED" w:rsidR="00EA3AC5" w:rsidRPr="00FD71B4" w:rsidRDefault="00EA3AC5" w:rsidP="00EA3AC5">
            <w:pPr>
              <w:pStyle w:val="Tablewriting"/>
              <w:keepNext/>
              <w:jc w:val="center"/>
              <w:rPr>
                <w:rFonts w:eastAsia="MS Mincho"/>
              </w:rPr>
            </w:pPr>
            <w:r w:rsidRPr="004E3996">
              <w:rPr>
                <w:rFonts w:eastAsia="MS Mincho"/>
              </w:rPr>
              <w:t>(</w:t>
            </w:r>
            <w:r w:rsidR="004E3996" w:rsidRPr="004E3996">
              <w:rPr>
                <w:rFonts w:eastAsia="MS Mincho"/>
              </w:rPr>
              <w:t>0.98</w:t>
            </w:r>
            <w:r w:rsidRPr="004E3996">
              <w:rPr>
                <w:rFonts w:eastAsia="MS Mincho"/>
              </w:rPr>
              <w:t>, 1.</w:t>
            </w:r>
            <w:r w:rsidR="004E3996" w:rsidRPr="004E3996">
              <w:rPr>
                <w:rFonts w:eastAsia="MS Mincho"/>
              </w:rPr>
              <w:t>35</w:t>
            </w:r>
            <w:r w:rsidRPr="004E3996">
              <w:rPr>
                <w:rFonts w:eastAsia="MS Mincho"/>
              </w:rPr>
              <w:t>)</w:t>
            </w:r>
          </w:p>
        </w:tc>
      </w:tr>
    </w:tbl>
    <w:p w14:paraId="3A4F410F" w14:textId="77777777" w:rsidR="004E3996" w:rsidRDefault="004E3996" w:rsidP="00A46402">
      <w:pPr>
        <w:pStyle w:val="TableFooter"/>
        <w:keepNext/>
      </w:pPr>
      <w:r>
        <w:t>Source: Livingstone-Banks et al. (2019)</w:t>
      </w:r>
    </w:p>
    <w:p w14:paraId="0D7FAAD4" w14:textId="3ABE241C" w:rsidR="004E3996" w:rsidRDefault="004E3996" w:rsidP="00A46402">
      <w:pPr>
        <w:pStyle w:val="TableFooter"/>
        <w:keepNext/>
        <w:rPr>
          <w:i/>
        </w:rPr>
      </w:pPr>
      <w:r>
        <w:t>Abbreviations: CI = confidence interval; RCT = randomised controlled trial; RD = risk difference; RR = risk ratio</w:t>
      </w:r>
      <w:r w:rsidRPr="00061F78">
        <w:t xml:space="preserve"> </w:t>
      </w:r>
    </w:p>
    <w:p w14:paraId="1E77AC06" w14:textId="76EE821B" w:rsidR="004E3996" w:rsidRDefault="004E3996" w:rsidP="00A46402">
      <w:pPr>
        <w:pStyle w:val="TableFooter"/>
        <w:keepNext/>
      </w:pPr>
      <w:r w:rsidRPr="00D468CF">
        <w:t>Note</w:t>
      </w:r>
      <w:r>
        <w:t>s</w:t>
      </w:r>
      <w:r w:rsidRPr="00D468CF">
        <w:t>: Bold indicates statistically significant difference.</w:t>
      </w:r>
      <w:r>
        <w:br/>
        <w:t>1 Where cessation was assessed at multiple intervals, the longest follow-up data were used. Where multiple definitions of abstinence were assessed, the strictest of these definitions was used (</w:t>
      </w:r>
      <w:r w:rsidR="004C4EA7">
        <w:t>e.g.,</w:t>
      </w:r>
      <w:r>
        <w:t xml:space="preserve"> continuous/prolonged abstinence over point prevalence abstinence). See </w:t>
      </w:r>
      <w:r w:rsidRPr="00A61634">
        <w:t xml:space="preserve">Appendix </w:t>
      </w:r>
      <w:r w:rsidR="000B683C">
        <w:t>Table 153</w:t>
      </w:r>
      <w:r>
        <w:t xml:space="preserve"> for the definition used in each study.</w:t>
      </w:r>
    </w:p>
    <w:p w14:paraId="700F2FA7" w14:textId="12C99773" w:rsidR="004E3996" w:rsidRDefault="004E3996" w:rsidP="00A46402">
      <w:pPr>
        <w:pStyle w:val="TableFooter"/>
        <w:keepNext/>
        <w:spacing w:after="120"/>
        <w:contextualSpacing w:val="0"/>
        <w:jc w:val="both"/>
      </w:pPr>
      <w:r w:rsidRPr="00A61634">
        <w:t xml:space="preserve">2 Calculated </w:t>
      </w:r>
      <w:r w:rsidR="009439B1" w:rsidRPr="00A61634">
        <w:t xml:space="preserve">by Cochrane Review authors </w:t>
      </w:r>
      <w:r w:rsidRPr="00A61634">
        <w:t>using a fixed-effect model</w:t>
      </w:r>
      <w:r w:rsidR="00AB5FA3">
        <w:t>.</w:t>
      </w:r>
    </w:p>
    <w:p w14:paraId="63BDE2DB" w14:textId="1CB6D3A7" w:rsidR="00EA3AC5" w:rsidRDefault="004E3996" w:rsidP="00A46402">
      <w:pPr>
        <w:spacing w:after="120"/>
        <w:jc w:val="both"/>
      </w:pPr>
      <w:r w:rsidRPr="004E3996">
        <w:t xml:space="preserve">The results of the individual studies included in Livingstone-Banks et al. (2019) are presented using a forest plot in </w:t>
      </w:r>
      <w:r w:rsidR="00146544">
        <w:fldChar w:fldCharType="begin" w:fldLock="1"/>
      </w:r>
      <w:r w:rsidR="00146544">
        <w:instrText xml:space="preserve"> REF _Ref54884608 \h </w:instrText>
      </w:r>
      <w:r w:rsidR="00146544">
        <w:fldChar w:fldCharType="separate"/>
      </w:r>
      <w:r w:rsidR="00EC5CC7">
        <w:t xml:space="preserve">Figure </w:t>
      </w:r>
      <w:r w:rsidR="00EC5CC7">
        <w:rPr>
          <w:noProof/>
        </w:rPr>
        <w:t>10</w:t>
      </w:r>
      <w:r w:rsidR="00146544">
        <w:fldChar w:fldCharType="end"/>
      </w:r>
      <w:r w:rsidRPr="004E3996">
        <w:t>.</w:t>
      </w:r>
      <w:r w:rsidR="00146544">
        <w:t xml:space="preserve"> </w:t>
      </w:r>
      <w:r w:rsidR="00C04CB6">
        <w:t>T</w:t>
      </w:r>
      <w:r w:rsidR="00146544">
        <w:t>here w</w:t>
      </w:r>
      <w:r w:rsidR="00CF1004">
        <w:t>ere</w:t>
      </w:r>
      <w:r w:rsidR="00146544">
        <w:t xml:space="preserve"> no statistically significant difference</w:t>
      </w:r>
      <w:r w:rsidR="00CF1004">
        <w:t>s</w:t>
      </w:r>
      <w:r w:rsidR="00146544">
        <w:t xml:space="preserve"> </w:t>
      </w:r>
      <w:r w:rsidR="00351296">
        <w:t xml:space="preserve">detected </w:t>
      </w:r>
      <w:r w:rsidR="00146544">
        <w:t xml:space="preserve">in </w:t>
      </w:r>
      <w:r w:rsidR="00743DB7">
        <w:t>any</w:t>
      </w:r>
      <w:r w:rsidR="001B5A6B">
        <w:t xml:space="preserve"> of</w:t>
      </w:r>
      <w:r w:rsidR="00146544">
        <w:t xml:space="preserve"> </w:t>
      </w:r>
      <w:r w:rsidR="00F0656C">
        <w:t>the individual RCTs included in the meta-analysis</w:t>
      </w:r>
      <w:r w:rsidR="00146544">
        <w:t>.</w:t>
      </w:r>
      <w:r w:rsidR="004B20AD">
        <w:t xml:space="preserve"> The authors of the review stated that w</w:t>
      </w:r>
      <w:r w:rsidR="004B20AD" w:rsidRPr="004B20AD">
        <w:t>hil</w:t>
      </w:r>
      <w:r w:rsidR="004B20AD">
        <w:t>e</w:t>
      </w:r>
      <w:r w:rsidR="004B20AD" w:rsidRPr="004B20AD">
        <w:t xml:space="preserve"> there was no evidence of statistical heterogeneity, some clinical heterogeneity was noted in the intervention used for the cessation induction phase, the duration of treatment, and the duration of follow-up a</w:t>
      </w:r>
      <w:r w:rsidR="007F275E">
        <w:t>ft</w:t>
      </w:r>
      <w:r w:rsidR="004B20AD" w:rsidRPr="004B20AD">
        <w:t>er cessation of medication.</w:t>
      </w:r>
    </w:p>
    <w:p w14:paraId="7128DE85" w14:textId="77777777" w:rsidR="004E3996" w:rsidRDefault="004E3996" w:rsidP="004E3996">
      <w:pPr>
        <w:keepNext/>
      </w:pPr>
      <w:r>
        <w:rPr>
          <w:noProof/>
        </w:rPr>
        <w:lastRenderedPageBreak/>
        <w:drawing>
          <wp:inline distT="0" distB="0" distL="0" distR="0" wp14:anchorId="0018414F" wp14:editId="6E6D50D2">
            <wp:extent cx="5731510" cy="5947408"/>
            <wp:effectExtent l="0" t="0" r="2540" b="0"/>
            <wp:docPr id="34" name="Picture 34" descr="P38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3885#yIS1"/>
                    <pic:cNvPicPr/>
                  </pic:nvPicPr>
                  <pic:blipFill>
                    <a:blip r:embed="rId29">
                      <a:extLst>
                        <a:ext uri="{28A0092B-C50C-407E-A947-70E740481C1C}">
                          <a14:useLocalDpi xmlns:a14="http://schemas.microsoft.com/office/drawing/2010/main" val="0"/>
                        </a:ext>
                      </a:extLst>
                    </a:blip>
                    <a:stretch>
                      <a:fillRect/>
                    </a:stretch>
                  </pic:blipFill>
                  <pic:spPr>
                    <a:xfrm>
                      <a:off x="0" y="0"/>
                      <a:ext cx="5731510" cy="5947408"/>
                    </a:xfrm>
                    <a:prstGeom prst="rect">
                      <a:avLst/>
                    </a:prstGeom>
                  </pic:spPr>
                </pic:pic>
              </a:graphicData>
            </a:graphic>
          </wp:inline>
        </w:drawing>
      </w:r>
    </w:p>
    <w:p w14:paraId="60550E31" w14:textId="1F257AA2" w:rsidR="004E3996" w:rsidRDefault="004E3996" w:rsidP="00A46402">
      <w:pPr>
        <w:pStyle w:val="Caption"/>
        <w:spacing w:before="120" w:after="60"/>
        <w:jc w:val="both"/>
      </w:pPr>
      <w:bookmarkStart w:id="88" w:name="_Ref54884608"/>
      <w:r>
        <w:t xml:space="preserve">Figure </w:t>
      </w:r>
      <w:r w:rsidR="00BF3F75">
        <w:fldChar w:fldCharType="begin"/>
      </w:r>
      <w:r w:rsidR="00BF3F75">
        <w:instrText xml:space="preserve"> SEQ Figure \* ARABIC </w:instrText>
      </w:r>
      <w:r w:rsidR="00BF3F75">
        <w:fldChar w:fldCharType="separate"/>
      </w:r>
      <w:r w:rsidR="00EC5CC7">
        <w:rPr>
          <w:noProof/>
        </w:rPr>
        <w:t>10</w:t>
      </w:r>
      <w:r w:rsidR="00BF3F75">
        <w:rPr>
          <w:noProof/>
        </w:rPr>
        <w:fldChar w:fldCharType="end"/>
      </w:r>
      <w:bookmarkEnd w:id="88"/>
      <w:r>
        <w:t xml:space="preserve">: </w:t>
      </w:r>
      <w:r w:rsidRPr="00431891">
        <w:t xml:space="preserve">Results of smoking cessation at 12 months after quit date in Livingstone-Banks et al. (2019), </w:t>
      </w:r>
      <w:r>
        <w:t>bupropion</w:t>
      </w:r>
      <w:r w:rsidRPr="00431891">
        <w:t xml:space="preserve"> versus placebo</w:t>
      </w:r>
      <w:r w:rsidR="00267C5C">
        <w:t xml:space="preserve"> in abstainers for relapse prevention</w:t>
      </w:r>
    </w:p>
    <w:p w14:paraId="0E6F5289" w14:textId="77777777" w:rsidR="004E3996" w:rsidRDefault="004E3996" w:rsidP="00A46402">
      <w:pPr>
        <w:pStyle w:val="FigureFooter"/>
        <w:jc w:val="both"/>
      </w:pPr>
      <w:r>
        <w:t>Source: Livingstone-Banks et al. (2019)</w:t>
      </w:r>
    </w:p>
    <w:p w14:paraId="5FBDFD87" w14:textId="77777777" w:rsidR="004E3996" w:rsidRDefault="004E3996" w:rsidP="00A46402">
      <w:pPr>
        <w:pStyle w:val="FigureFooter"/>
        <w:jc w:val="both"/>
      </w:pPr>
      <w:r w:rsidRPr="00D041F9">
        <w:t>Abbreviations: CI = confidence interval</w:t>
      </w:r>
    </w:p>
    <w:p w14:paraId="45B67AAE" w14:textId="76406390" w:rsidR="00D14FC3" w:rsidRDefault="00D14FC3" w:rsidP="00A46402">
      <w:pPr>
        <w:pStyle w:val="FigureFooter"/>
        <w:spacing w:after="120"/>
        <w:contextualSpacing w:val="0"/>
        <w:jc w:val="both"/>
      </w:pPr>
      <w:r>
        <w:t>Note: In Hays et al. (2009) and Hurt et al. (2003), patients were provided NRT patches in the open-label treatment phase</w:t>
      </w:r>
      <w:r w:rsidR="003D4BF8">
        <w:t xml:space="preserve"> followed by bupropion and placebo in the double-blind treatment phase</w:t>
      </w:r>
      <w:r>
        <w:t xml:space="preserve">. </w:t>
      </w:r>
      <w:r w:rsidR="003D1CEF">
        <w:t>In Covey et al. (2007), patients were provided bupropion and NRT patch</w:t>
      </w:r>
      <w:r w:rsidR="003B5A21">
        <w:t>es</w:t>
      </w:r>
      <w:r w:rsidR="003D1CEF">
        <w:t xml:space="preserve"> in the open-label treatment phase</w:t>
      </w:r>
      <w:r w:rsidR="003D4BF8">
        <w:t xml:space="preserve"> followed by bupropion, NRT gum, or both and placebo in the double-blind treatment phase</w:t>
      </w:r>
      <w:r w:rsidR="003B5A21">
        <w:t>.</w:t>
      </w:r>
      <w:r w:rsidR="003D1CEF">
        <w:t xml:space="preserve"> </w:t>
      </w:r>
      <w:r w:rsidR="0045562A">
        <w:t>In Croghan et al. (2007), patients were provided bupropion, NRT inhaler or both, followed by the same medications or placebo in the double-blind treatment phase.</w:t>
      </w:r>
      <w:r w:rsidR="00C86A06">
        <w:t xml:space="preserve"> In Killen et al. (2006), patients were provided bupropion and NRT patches in the open-label phase followed by bupropion and placebo in the double-blind treatment phase.</w:t>
      </w:r>
    </w:p>
    <w:p w14:paraId="7308A294" w14:textId="51A94B86" w:rsidR="00655CCE" w:rsidRPr="000F3331" w:rsidRDefault="00655CCE" w:rsidP="00A46402">
      <w:pPr>
        <w:spacing w:after="120"/>
        <w:jc w:val="both"/>
      </w:pPr>
      <w:r>
        <w:t xml:space="preserve">Of the </w:t>
      </w:r>
      <w:r w:rsidR="001D6826">
        <w:t xml:space="preserve">studies identified </w:t>
      </w:r>
      <w:r w:rsidR="00110394">
        <w:t xml:space="preserve">by Livingstone-Banks et al. (2019), </w:t>
      </w:r>
      <w:r w:rsidR="00A451D0">
        <w:t xml:space="preserve">Croghan et al. (2007) was the only study that </w:t>
      </w:r>
      <w:r w:rsidR="00B775DE">
        <w:t>co</w:t>
      </w:r>
      <w:r w:rsidR="00946748">
        <w:t>mpared</w:t>
      </w:r>
      <w:r w:rsidR="00701356">
        <w:t xml:space="preserve"> bupropion</w:t>
      </w:r>
      <w:r w:rsidR="00946748">
        <w:t xml:space="preserve"> with placebo in patients who </w:t>
      </w:r>
      <w:r w:rsidR="00FC0A8A">
        <w:t xml:space="preserve">achieved abstinence </w:t>
      </w:r>
      <w:r w:rsidR="00CE2F1B">
        <w:t xml:space="preserve">after </w:t>
      </w:r>
      <w:r w:rsidR="001518E0">
        <w:t xml:space="preserve">initial </w:t>
      </w:r>
      <w:r w:rsidR="00CE2F1B">
        <w:t>treatment with bupropion monotherapy</w:t>
      </w:r>
      <w:r w:rsidR="00526E04">
        <w:t>; t</w:t>
      </w:r>
      <w:r w:rsidR="001518E0">
        <w:t xml:space="preserve">he other studies provided either </w:t>
      </w:r>
      <w:r w:rsidR="00DA547B">
        <w:t xml:space="preserve">NRT patches or bupropion plus NRT patches in the initial treatment phase. </w:t>
      </w:r>
      <w:r w:rsidR="004718C8">
        <w:t xml:space="preserve">The key limitation of Croghan et </w:t>
      </w:r>
      <w:r w:rsidR="004718C8">
        <w:lastRenderedPageBreak/>
        <w:t xml:space="preserve">al. (2007) </w:t>
      </w:r>
      <w:r w:rsidR="0057477B">
        <w:t xml:space="preserve">was </w:t>
      </w:r>
      <w:r w:rsidR="00526E04">
        <w:t>related to the duration of</w:t>
      </w:r>
      <w:r w:rsidR="0057477B">
        <w:t xml:space="preserve"> bupropion monotherapy </w:t>
      </w:r>
      <w:r w:rsidR="00526E04">
        <w:t xml:space="preserve">administered </w:t>
      </w:r>
      <w:r w:rsidR="0057477B">
        <w:t xml:space="preserve">in the initial treatment phase </w:t>
      </w:r>
      <w:r w:rsidR="003B32DA">
        <w:t>(</w:t>
      </w:r>
      <w:r w:rsidR="00BC2232">
        <w:t>three</w:t>
      </w:r>
      <w:r w:rsidR="0057477B">
        <w:t xml:space="preserve"> months versus </w:t>
      </w:r>
      <w:r w:rsidR="00BC2232">
        <w:t>nine</w:t>
      </w:r>
      <w:r w:rsidR="0057477B">
        <w:t xml:space="preserve"> weeks on the PBS) </w:t>
      </w:r>
      <w:r w:rsidR="00526E04">
        <w:t xml:space="preserve">and </w:t>
      </w:r>
      <w:r w:rsidR="003B32DA">
        <w:t>the relapse prevention phase (</w:t>
      </w:r>
      <w:r w:rsidR="00BC2232">
        <w:t>nine</w:t>
      </w:r>
      <w:r w:rsidR="003B32DA">
        <w:t xml:space="preserve"> months).</w:t>
      </w:r>
      <w:r w:rsidR="004718C8">
        <w:t xml:space="preserve"> </w:t>
      </w:r>
      <w:r w:rsidR="00A30077">
        <w:t xml:space="preserve">No evidence was identified </w:t>
      </w:r>
      <w:r w:rsidR="00AB091F">
        <w:t>comparing</w:t>
      </w:r>
      <w:r w:rsidR="00A30077">
        <w:t xml:space="preserve"> bupropion with placebo as relapse prevention treatment</w:t>
      </w:r>
      <w:r w:rsidR="00AB091F">
        <w:t xml:space="preserve"> (</w:t>
      </w:r>
      <w:r w:rsidR="00BC2232">
        <w:t>nine</w:t>
      </w:r>
      <w:r w:rsidR="00AB091F">
        <w:t xml:space="preserve"> weeks)</w:t>
      </w:r>
      <w:r w:rsidR="00A30077">
        <w:t xml:space="preserve"> in abstainers</w:t>
      </w:r>
      <w:r w:rsidR="00AB091F">
        <w:t xml:space="preserve"> who completed a </w:t>
      </w:r>
      <w:r w:rsidR="00BC2232">
        <w:t>nine</w:t>
      </w:r>
      <w:r w:rsidR="00AB091F">
        <w:t>-week course of initial bupropion monotherapy treatment.</w:t>
      </w:r>
      <w:r w:rsidR="00CE2F1B">
        <w:t xml:space="preserve"> </w:t>
      </w:r>
    </w:p>
    <w:p w14:paraId="2C41A749" w14:textId="3B101529" w:rsidR="00B849C6" w:rsidRPr="0073597F" w:rsidRDefault="00B849C6" w:rsidP="006D0973">
      <w:pPr>
        <w:spacing w:after="120"/>
        <w:jc w:val="both"/>
        <w:rPr>
          <w:u w:val="single"/>
        </w:rPr>
      </w:pPr>
      <w:r w:rsidRPr="0073597F">
        <w:rPr>
          <w:u w:val="single"/>
        </w:rPr>
        <w:t>Safety</w:t>
      </w:r>
    </w:p>
    <w:p w14:paraId="715C61BD" w14:textId="5054FED0" w:rsidR="004E3996" w:rsidRDefault="00B849C6" w:rsidP="006D0973">
      <w:pPr>
        <w:spacing w:after="120"/>
        <w:jc w:val="both"/>
      </w:pPr>
      <w:r w:rsidRPr="00F423F8">
        <w:t xml:space="preserve">The </w:t>
      </w:r>
      <w:r w:rsidR="00573F59">
        <w:t>safety</w:t>
      </w:r>
      <w:r w:rsidRPr="00F423F8">
        <w:t xml:space="preserve"> of </w:t>
      </w:r>
      <w:r>
        <w:t xml:space="preserve">bupropion </w:t>
      </w:r>
      <w:r w:rsidR="00573F59">
        <w:t>versus</w:t>
      </w:r>
      <w:r>
        <w:t xml:space="preserve"> placebo in abstainers for relapse prevention</w:t>
      </w:r>
      <w:r w:rsidRPr="00F423F8">
        <w:t xml:space="preserve"> was not </w:t>
      </w:r>
      <w:r w:rsidR="00300FEF">
        <w:t>assessed</w:t>
      </w:r>
      <w:r w:rsidRPr="00F423F8">
        <w:t xml:space="preserve"> by </w:t>
      </w:r>
      <w:r w:rsidRPr="002C1625">
        <w:t>Livingstone-Banks et al. (2019)</w:t>
      </w:r>
      <w:r w:rsidR="00C86A06">
        <w:t xml:space="preserve"> and Croghan et al. (2007)</w:t>
      </w:r>
      <w:r w:rsidRPr="00F423F8">
        <w:t>.</w:t>
      </w:r>
      <w:r w:rsidR="006364FD">
        <w:t xml:space="preserve"> </w:t>
      </w:r>
    </w:p>
    <w:p w14:paraId="3E8752D8" w14:textId="59E4C9F8" w:rsidR="008C32C3" w:rsidRDefault="008C32C3" w:rsidP="006D0973">
      <w:pPr>
        <w:spacing w:after="120"/>
        <w:jc w:val="both"/>
      </w:pPr>
      <w:r>
        <w:t xml:space="preserve">In Hays et al. (2009), </w:t>
      </w:r>
      <w:r w:rsidR="0083206C">
        <w:t xml:space="preserve">there were no </w:t>
      </w:r>
      <w:r w:rsidR="0083206C" w:rsidRPr="0083206C">
        <w:t>significant differences between bupropion and placebo in the rates of any adverse events. No serious adverse events no</w:t>
      </w:r>
      <w:r w:rsidR="00954545">
        <w:t>r</w:t>
      </w:r>
      <w:r w:rsidR="0083206C" w:rsidRPr="0083206C">
        <w:t xml:space="preserve"> deaths occurred during the randomi</w:t>
      </w:r>
      <w:r w:rsidR="0083206C">
        <w:t>s</w:t>
      </w:r>
      <w:r w:rsidR="0083206C" w:rsidRPr="0083206C">
        <w:t xml:space="preserve">ed phase of the trial. </w:t>
      </w:r>
      <w:r w:rsidR="0083206C">
        <w:t>However, f</w:t>
      </w:r>
      <w:r w:rsidR="0083206C" w:rsidRPr="0083206C">
        <w:t>our participants dropped out of the study due to adverse events (all assigned to bupropion).</w:t>
      </w:r>
      <w:r w:rsidR="00F342E4">
        <w:t xml:space="preserve"> </w:t>
      </w:r>
    </w:p>
    <w:p w14:paraId="464C4DF6" w14:textId="5836602B" w:rsidR="0083206C" w:rsidRDefault="0083206C" w:rsidP="006D0973">
      <w:pPr>
        <w:spacing w:after="120"/>
        <w:jc w:val="both"/>
      </w:pPr>
      <w:r>
        <w:t xml:space="preserve">In Hays et al. (2001), </w:t>
      </w:r>
      <w:r w:rsidR="00A62107" w:rsidRPr="00A62107">
        <w:t xml:space="preserve">the most commonly reported adverse events during open-label </w:t>
      </w:r>
      <w:r w:rsidR="00A62107">
        <w:t>bupropion</w:t>
      </w:r>
      <w:r w:rsidR="00A62107" w:rsidRPr="00A62107">
        <w:t xml:space="preserve"> treatment were</w:t>
      </w:r>
      <w:r w:rsidR="00A62107">
        <w:t xml:space="preserve"> insomnia (49.5%), headache (33.3%), dry mouth (15.3%), nausea (12.9%) and restlessness (12.0%). </w:t>
      </w:r>
      <w:r w:rsidR="007D3354" w:rsidRPr="007D3354">
        <w:t xml:space="preserve">There were no statistically significant differences in </w:t>
      </w:r>
      <w:r w:rsidR="007D3354">
        <w:t>the frequency of any adverse events</w:t>
      </w:r>
      <w:r w:rsidR="007D3354" w:rsidRPr="007D3354">
        <w:t xml:space="preserve"> during the double-blind treatment phase</w:t>
      </w:r>
      <w:r w:rsidR="007D3354">
        <w:t>.</w:t>
      </w:r>
    </w:p>
    <w:p w14:paraId="5D6FC383" w14:textId="76F5AAF2" w:rsidR="003B5A21" w:rsidRDefault="003B5A21" w:rsidP="008B6781">
      <w:pPr>
        <w:spacing w:after="120"/>
        <w:jc w:val="both"/>
      </w:pPr>
      <w:r>
        <w:t xml:space="preserve">In Hurt et al. (2003), there were no statistically significant differences between bupropion and placebo in the reported adverse events during the double-blind treatment phase. </w:t>
      </w:r>
      <w:r w:rsidR="003D4BF8">
        <w:t>In</w:t>
      </w:r>
      <w:r>
        <w:t xml:space="preserve"> Covey et al. (2007), t</w:t>
      </w:r>
      <w:r w:rsidRPr="003B5A21">
        <w:t xml:space="preserve">he number of reported </w:t>
      </w:r>
      <w:r>
        <w:t>adverse events</w:t>
      </w:r>
      <w:r w:rsidRPr="003B5A21">
        <w:t xml:space="preserve"> </w:t>
      </w:r>
      <w:r w:rsidR="00B927AF">
        <w:t>such as</w:t>
      </w:r>
      <w:r w:rsidRPr="003B5A21">
        <w:t xml:space="preserve"> nervousness, constipation, insomnia, </w:t>
      </w:r>
      <w:r w:rsidR="004C4EA7" w:rsidRPr="003B5A21">
        <w:t>stomach-ache,</w:t>
      </w:r>
      <w:r w:rsidR="00B927AF">
        <w:t xml:space="preserve"> and</w:t>
      </w:r>
      <w:r w:rsidRPr="003B5A21">
        <w:t xml:space="preserve"> depressed mood was low, and did not vary by treatment group (P = 0.69)</w:t>
      </w:r>
      <w:r w:rsidR="00B927AF">
        <w:t>.</w:t>
      </w:r>
    </w:p>
    <w:p w14:paraId="58BD2D35" w14:textId="57B7B237" w:rsidR="00C86A06" w:rsidRDefault="00C86A06" w:rsidP="008B6781">
      <w:pPr>
        <w:spacing w:after="120"/>
        <w:jc w:val="both"/>
      </w:pPr>
      <w:r>
        <w:t>In Killen et al. (2006)</w:t>
      </w:r>
      <w:r w:rsidR="00D71FD5">
        <w:t>,</w:t>
      </w:r>
      <w:r w:rsidR="00D71FD5" w:rsidRPr="00D71FD5">
        <w:t xml:space="preserve"> </w:t>
      </w:r>
      <w:r w:rsidR="00D71FD5" w:rsidRPr="00A62107">
        <w:t xml:space="preserve">the most commonly reported adverse events during open-label </w:t>
      </w:r>
      <w:r w:rsidR="00D71FD5">
        <w:t>bupropion and NRT patches</w:t>
      </w:r>
      <w:r w:rsidR="00D71FD5" w:rsidRPr="00A62107">
        <w:t xml:space="preserve"> treatment were</w:t>
      </w:r>
      <w:r w:rsidR="00D71FD5">
        <w:t xml:space="preserve"> insomnia (53%), dry mouth (47%), vivid dreams (44%), nausea (23%) and headache (22%). </w:t>
      </w:r>
      <w:r w:rsidR="004002E8" w:rsidRPr="004002E8">
        <w:t>A total of 13 adverse events were reported by p</w:t>
      </w:r>
      <w:r w:rsidR="004002E8">
        <w:t>atient</w:t>
      </w:r>
      <w:r w:rsidR="004002E8" w:rsidRPr="004002E8">
        <w:t>s in the bupropion treatment group, and a total of 17 adverse events were reported by those receiving placebo during extended treatment.</w:t>
      </w:r>
    </w:p>
    <w:p w14:paraId="7CD2F8C9" w14:textId="307143B3" w:rsidR="007E481B" w:rsidRPr="007E481B" w:rsidRDefault="007E481B" w:rsidP="008B6781">
      <w:pPr>
        <w:spacing w:after="120"/>
        <w:jc w:val="both"/>
        <w:rPr>
          <w:b/>
          <w:bCs/>
        </w:rPr>
      </w:pPr>
      <w:r>
        <w:rPr>
          <w:b/>
          <w:bCs/>
        </w:rPr>
        <w:t>Bupropion</w:t>
      </w:r>
      <w:r w:rsidRPr="007E481B">
        <w:rPr>
          <w:b/>
          <w:bCs/>
        </w:rPr>
        <w:t xml:space="preserve"> versus placebo – non-abstainers (retreatment)</w:t>
      </w:r>
    </w:p>
    <w:p w14:paraId="477801E5" w14:textId="48EA18FE" w:rsidR="00E3098F" w:rsidRDefault="007E481B" w:rsidP="008B6781">
      <w:pPr>
        <w:spacing w:after="120"/>
        <w:jc w:val="both"/>
      </w:pPr>
      <w:r>
        <w:t xml:space="preserve">A summary of the citation details for the studies comparing </w:t>
      </w:r>
      <w:r w:rsidR="004E328D">
        <w:t>bupropion</w:t>
      </w:r>
      <w:r>
        <w:t xml:space="preserve"> with placebo in non-abstainers as retreatment is presented in </w:t>
      </w:r>
      <w:r w:rsidR="001168F7">
        <w:fldChar w:fldCharType="begin" w:fldLock="1"/>
      </w:r>
      <w:r w:rsidR="001168F7">
        <w:instrText xml:space="preserve"> REF _Ref54955557 \h </w:instrText>
      </w:r>
      <w:r w:rsidR="001168F7">
        <w:fldChar w:fldCharType="separate"/>
      </w:r>
      <w:r w:rsidR="00EC5CC7">
        <w:t xml:space="preserve">Table </w:t>
      </w:r>
      <w:r w:rsidR="00EC5CC7">
        <w:rPr>
          <w:noProof/>
        </w:rPr>
        <w:t>42</w:t>
      </w:r>
      <w:r w:rsidR="001168F7">
        <w:fldChar w:fldCharType="end"/>
      </w:r>
      <w:r>
        <w:t xml:space="preserve">. </w:t>
      </w:r>
      <w:r w:rsidR="007F2276">
        <w:t>Two RCTs</w:t>
      </w:r>
      <w:r w:rsidR="00E01BB9">
        <w:t xml:space="preserve"> that compared bupropion with placebo as retreatment</w:t>
      </w:r>
      <w:r w:rsidR="007F2276">
        <w:t xml:space="preserve"> </w:t>
      </w:r>
      <w:r w:rsidR="00422789">
        <w:t xml:space="preserve">(Gonzales et al. 2001 and Selby et al. 2003) </w:t>
      </w:r>
      <w:r w:rsidR="007F2276">
        <w:t xml:space="preserve">were identified </w:t>
      </w:r>
      <w:r w:rsidR="0012734D" w:rsidRPr="0012734D">
        <w:t xml:space="preserve">in a recently conducted Cochrane </w:t>
      </w:r>
      <w:r w:rsidR="00565611">
        <w:t>R</w:t>
      </w:r>
      <w:r w:rsidR="0012734D" w:rsidRPr="0012734D">
        <w:t>eview</w:t>
      </w:r>
      <w:r w:rsidR="00565611" w:rsidRPr="00565611">
        <w:t xml:space="preserve"> </w:t>
      </w:r>
      <w:r w:rsidR="00565611">
        <w:t>by Howes et al. (2020)</w:t>
      </w:r>
      <w:r w:rsidR="0012734D" w:rsidRPr="0012734D">
        <w:t xml:space="preserve"> </w:t>
      </w:r>
      <w:r>
        <w:t>and w</w:t>
      </w:r>
      <w:r w:rsidR="00565611">
        <w:t>ere</w:t>
      </w:r>
      <w:r>
        <w:t xml:space="preserve"> included in this report.</w:t>
      </w:r>
      <w:r w:rsidR="00966977">
        <w:t xml:space="preserve"> These studies enrolled smokers who had previousl</w:t>
      </w:r>
      <w:r w:rsidR="000E1409">
        <w:t xml:space="preserve">y had an unsuccessful quit attempt </w:t>
      </w:r>
      <w:r w:rsidR="00B05E01">
        <w:t xml:space="preserve">using bupropion. </w:t>
      </w:r>
      <w:r w:rsidR="002775B8" w:rsidRPr="002775B8">
        <w:t xml:space="preserve">No new studies comparing bupropion with placebo in </w:t>
      </w:r>
      <w:r w:rsidR="002775B8">
        <w:t>non-</w:t>
      </w:r>
      <w:r w:rsidR="002775B8" w:rsidRPr="002775B8">
        <w:t xml:space="preserve">abstainers </w:t>
      </w:r>
      <w:r w:rsidR="002775B8">
        <w:t>as retreatment</w:t>
      </w:r>
      <w:r w:rsidR="002775B8" w:rsidRPr="002775B8">
        <w:t xml:space="preserve"> were identified in the supplemental literature search</w:t>
      </w:r>
      <w:r w:rsidR="002775B8">
        <w:t>.</w:t>
      </w:r>
    </w:p>
    <w:p w14:paraId="384E1B58" w14:textId="778839FC" w:rsidR="001168F7" w:rsidRDefault="001168F7" w:rsidP="008B6781">
      <w:pPr>
        <w:pStyle w:val="Caption"/>
        <w:keepNext/>
        <w:spacing w:before="0" w:after="120"/>
        <w:jc w:val="both"/>
      </w:pPr>
      <w:bookmarkStart w:id="89" w:name="_Ref54955557"/>
      <w:r>
        <w:lastRenderedPageBreak/>
        <w:t xml:space="preserve">Table </w:t>
      </w:r>
      <w:r w:rsidR="00BF3F75">
        <w:fldChar w:fldCharType="begin"/>
      </w:r>
      <w:r w:rsidR="00BF3F75">
        <w:instrText xml:space="preserve"> SEQ Table \* ARABIC </w:instrText>
      </w:r>
      <w:r w:rsidR="00BF3F75">
        <w:fldChar w:fldCharType="separate"/>
      </w:r>
      <w:r w:rsidR="00EC5CC7">
        <w:rPr>
          <w:noProof/>
        </w:rPr>
        <w:t>42</w:t>
      </w:r>
      <w:r w:rsidR="00BF3F75">
        <w:rPr>
          <w:noProof/>
        </w:rPr>
        <w:fldChar w:fldCharType="end"/>
      </w:r>
      <w:bookmarkEnd w:id="89"/>
      <w:r>
        <w:t xml:space="preserve">: </w:t>
      </w:r>
      <w:r w:rsidRPr="0074518D">
        <w:t xml:space="preserve">List of studies comparing </w:t>
      </w:r>
      <w:r>
        <w:t>bupropion</w:t>
      </w:r>
      <w:r w:rsidRPr="0074518D">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85037A" w:rsidRPr="00061F78" w14:paraId="1E39A05E" w14:textId="77777777" w:rsidTr="00245D9D">
        <w:trPr>
          <w:cantSplit/>
          <w:trHeight w:val="329"/>
          <w:tblHeader/>
        </w:trPr>
        <w:tc>
          <w:tcPr>
            <w:tcW w:w="566" w:type="pct"/>
            <w:shd w:val="clear" w:color="auto" w:fill="BFBFBF" w:themeFill="background1" w:themeFillShade="BF"/>
            <w:tcMar>
              <w:left w:w="28" w:type="dxa"/>
              <w:right w:w="28" w:type="dxa"/>
            </w:tcMar>
          </w:tcPr>
          <w:p w14:paraId="34C2FF33" w14:textId="0B748A7F" w:rsidR="00E52A41" w:rsidRPr="00061F78" w:rsidRDefault="00126B7B" w:rsidP="00245D9D">
            <w:pPr>
              <w:pStyle w:val="Tableheading"/>
              <w:keepNext/>
              <w:rPr>
                <w:rFonts w:eastAsia="MS Mincho"/>
              </w:rPr>
            </w:pPr>
            <w:r>
              <w:rPr>
                <w:rFonts w:eastAsia="MS Mincho"/>
              </w:rPr>
              <w:t>Study</w:t>
            </w:r>
          </w:p>
        </w:tc>
        <w:tc>
          <w:tcPr>
            <w:tcW w:w="4434" w:type="pct"/>
            <w:shd w:val="clear" w:color="auto" w:fill="BFBFBF" w:themeFill="background1" w:themeFillShade="BF"/>
          </w:tcPr>
          <w:p w14:paraId="37C51168" w14:textId="77777777" w:rsidR="00E52A41" w:rsidRDefault="00E52A41" w:rsidP="00245D9D">
            <w:pPr>
              <w:pStyle w:val="Tableheading"/>
              <w:keepNext/>
              <w:jc w:val="center"/>
              <w:rPr>
                <w:rFonts w:eastAsia="MS Mincho"/>
              </w:rPr>
            </w:pPr>
            <w:r>
              <w:rPr>
                <w:rFonts w:eastAsia="MS Mincho"/>
              </w:rPr>
              <w:t>Citation</w:t>
            </w:r>
          </w:p>
        </w:tc>
      </w:tr>
      <w:tr w:rsidR="0085037A" w:rsidRPr="00061F78" w14:paraId="0B8EDD9C" w14:textId="77777777" w:rsidTr="00245D9D">
        <w:trPr>
          <w:cantSplit/>
          <w:trHeight w:val="164"/>
        </w:trPr>
        <w:tc>
          <w:tcPr>
            <w:tcW w:w="566" w:type="pct"/>
            <w:tcMar>
              <w:left w:w="28" w:type="dxa"/>
              <w:right w:w="28" w:type="dxa"/>
            </w:tcMar>
          </w:tcPr>
          <w:p w14:paraId="02BC24C6" w14:textId="77777777" w:rsidR="004E328D" w:rsidRDefault="00CB6040" w:rsidP="004E328D">
            <w:pPr>
              <w:pStyle w:val="Tablewriting"/>
              <w:keepNext/>
              <w:rPr>
                <w:rFonts w:eastAsia="MS Mincho"/>
              </w:rPr>
            </w:pPr>
            <w:r>
              <w:rPr>
                <w:rFonts w:eastAsia="MS Mincho"/>
              </w:rPr>
              <w:t>Gonzales</w:t>
            </w:r>
          </w:p>
          <w:p w14:paraId="1EC1C987" w14:textId="572D0678" w:rsidR="00CB6040" w:rsidRPr="00CB6040" w:rsidRDefault="00CB6040" w:rsidP="004E328D">
            <w:pPr>
              <w:pStyle w:val="Tablewriting"/>
              <w:keepNext/>
              <w:rPr>
                <w:rFonts w:eastAsia="MS Mincho"/>
              </w:rPr>
            </w:pPr>
            <w:r>
              <w:rPr>
                <w:rFonts w:eastAsia="MS Mincho"/>
              </w:rPr>
              <w:t>(2001)</w:t>
            </w:r>
            <w:hyperlink w:anchor="_ENREF_43" w:tooltip="Gonzales, 2001 #613" w:history="1">
              <w:r w:rsidR="0039468B">
                <w:rPr>
                  <w:rFonts w:eastAsia="MS Mincho"/>
                </w:rPr>
                <w:fldChar w:fldCharType="begin"/>
              </w:r>
              <w:r w:rsidR="0039468B">
                <w:rPr>
                  <w:rFonts w:eastAsia="MS Mincho"/>
                </w:rPr>
                <w:instrText xml:space="preserve"> ADDIN EN.CITE &lt;EndNote&gt;&lt;Cite&gt;&lt;Author&gt;Gonzales&lt;/Author&gt;&lt;Year&gt;2001&lt;/Year&gt;&lt;RecNum&gt;613&lt;/RecNum&gt;&lt;DisplayText&gt;&lt;style face="superscript"&gt;43&lt;/style&gt;&lt;/DisplayText&gt;&lt;record&gt;&lt;rec-number&gt;613&lt;/rec-number&gt;&lt;foreign-keys&gt;&lt;key app="EN" db-id="2xwa055rhevv2yef5v75fepy2azsv0xvx9w9" timestamp="1604024603"&gt;613&lt;/key&gt;&lt;/foreign-keys&gt;&lt;ref-type name="Journal Article"&gt;17&lt;/ref-type&gt;&lt;contributors&gt;&lt;authors&gt;&lt;author&gt;Gonzales, David H&lt;/author&gt;&lt;author&gt;Nides, Mitchell A&lt;/author&gt;&lt;author&gt;Ferry, Linda H&lt;/author&gt;&lt;author&gt;Kustra, Robert P&lt;/author&gt;&lt;author&gt;Jamerson, Brenda D&lt;/author&gt;&lt;author&gt;Segall, Nathan&lt;/author&gt;&lt;author&gt;Herrero, Luis A&lt;/author&gt;&lt;author&gt;Krishen, Alok&lt;/author&gt;&lt;author&gt;Sweeney, Addison&lt;/author&gt;&lt;author&gt;Buaron, Kathleen&lt;/author&gt;&lt;/authors&gt;&lt;/contributors&gt;&lt;titles&gt;&lt;title&gt;Bupropion SR as an </w:instrText>
              </w:r>
              <w:r w:rsidR="0039468B">
                <w:rPr>
                  <w:rFonts w:eastAsia="MS Mincho" w:hint="eastAsia"/>
                </w:rPr>
                <w:instrText>aid to smoking cessation in smokers treated previously with bupropion: a randomized placebo</w:instrText>
              </w:r>
              <w:r w:rsidR="0039468B">
                <w:rPr>
                  <w:rFonts w:eastAsia="MS Mincho" w:hint="eastAsia"/>
                </w:rPr>
                <w:instrText>‐</w:instrText>
              </w:r>
              <w:r w:rsidR="0039468B">
                <w:rPr>
                  <w:rFonts w:eastAsia="MS Mincho" w:hint="eastAsia"/>
                </w:rPr>
                <w:instrText>controlled study&lt;/title&gt;&lt;secondary-title&gt;Clinical Pharmacology &amp;amp; Therapeutics&lt;/secondary-title&gt;&lt;/titles&gt;&lt;periodical&gt;&lt;full-title&gt;Clinical Pharmacology &amp;amp; The</w:instrText>
              </w:r>
              <w:r w:rsidR="0039468B">
                <w:rPr>
                  <w:rFonts w:eastAsia="MS Mincho"/>
                </w:rPr>
                <w:instrText>rapeutics&lt;/full-title&gt;&lt;/periodical&gt;&lt;pages&gt;438-444&lt;/pages&gt;&lt;volume&gt;69&lt;/volume&gt;&lt;number&gt;6&lt;/number&gt;&lt;dates&gt;&lt;year&gt;2001&lt;/year&gt;&lt;/dates&gt;&lt;isbn&gt;0009-9236&lt;/isbn&gt;&lt;urls&gt;&lt;/urls&gt;&lt;/record&gt;&lt;/Cite&gt;&lt;/EndNote&gt;</w:instrText>
              </w:r>
              <w:r w:rsidR="0039468B">
                <w:rPr>
                  <w:rFonts w:eastAsia="MS Mincho"/>
                </w:rPr>
                <w:fldChar w:fldCharType="separate"/>
              </w:r>
              <w:r w:rsidR="0039468B" w:rsidRPr="00693911">
                <w:rPr>
                  <w:rFonts w:eastAsia="MS Mincho"/>
                  <w:noProof/>
                  <w:vertAlign w:val="superscript"/>
                </w:rPr>
                <w:t>43</w:t>
              </w:r>
              <w:r w:rsidR="0039468B">
                <w:rPr>
                  <w:rFonts w:eastAsia="MS Mincho"/>
                </w:rPr>
                <w:fldChar w:fldCharType="end"/>
              </w:r>
            </w:hyperlink>
          </w:p>
        </w:tc>
        <w:tc>
          <w:tcPr>
            <w:tcW w:w="4434" w:type="pct"/>
          </w:tcPr>
          <w:p w14:paraId="0B5D0B80" w14:textId="5AF2D797" w:rsidR="00960634" w:rsidRDefault="00572526" w:rsidP="004E328D">
            <w:pPr>
              <w:pStyle w:val="Tablewriting"/>
              <w:keepNext/>
              <w:rPr>
                <w:rFonts w:eastAsia="MS Mincho"/>
              </w:rPr>
            </w:pPr>
            <w:r w:rsidRPr="00572526">
              <w:rPr>
                <w:rFonts w:eastAsia="MS Mincho"/>
              </w:rPr>
              <w:t>Gonzales DH, Nides MA, Ferry LH, Kustra RP, Jamerson BD, Segall N, Herrero LA, Krishen A, Sweeney A, Buaron K, Metz A. Bupropion SR as an aid to smoking cessation in smokers treated previously with bupropion: a randomized placebo-controlled study. Clin Pharmacol Ther. 2001 Jun;69(6):438-44.</w:t>
            </w:r>
          </w:p>
        </w:tc>
      </w:tr>
      <w:tr w:rsidR="0085037A" w:rsidRPr="00061F78" w14:paraId="1E8F3FC2" w14:textId="77777777" w:rsidTr="00245D9D">
        <w:trPr>
          <w:cantSplit/>
          <w:trHeight w:val="164"/>
        </w:trPr>
        <w:tc>
          <w:tcPr>
            <w:tcW w:w="566" w:type="pct"/>
            <w:tcMar>
              <w:left w:w="28" w:type="dxa"/>
              <w:right w:w="28" w:type="dxa"/>
            </w:tcMar>
          </w:tcPr>
          <w:p w14:paraId="5BFBC2B0" w14:textId="77777777" w:rsidR="00CB6040" w:rsidRDefault="00CB6040" w:rsidP="004E328D">
            <w:pPr>
              <w:pStyle w:val="Tablewriting"/>
              <w:keepNext/>
              <w:rPr>
                <w:rFonts w:eastAsia="MS Mincho"/>
              </w:rPr>
            </w:pPr>
            <w:r>
              <w:rPr>
                <w:rFonts w:eastAsia="MS Mincho"/>
              </w:rPr>
              <w:t>Selby</w:t>
            </w:r>
          </w:p>
          <w:p w14:paraId="28632601" w14:textId="755E2047" w:rsidR="00CB6040" w:rsidRDefault="00CB6040" w:rsidP="004E328D">
            <w:pPr>
              <w:pStyle w:val="Tablewriting"/>
              <w:keepNext/>
              <w:rPr>
                <w:rFonts w:eastAsia="MS Mincho"/>
              </w:rPr>
            </w:pPr>
            <w:r>
              <w:rPr>
                <w:rFonts w:eastAsia="MS Mincho"/>
              </w:rPr>
              <w:t>(2003)</w:t>
            </w:r>
            <w:hyperlink w:anchor="_ENREF_44" w:tooltip="Selby, 2003 #614" w:history="1">
              <w:r w:rsidR="0039468B">
                <w:rPr>
                  <w:rFonts w:eastAsia="MS Mincho"/>
                </w:rPr>
                <w:fldChar w:fldCharType="begin"/>
              </w:r>
              <w:r w:rsidR="0039468B">
                <w:rPr>
                  <w:rFonts w:eastAsia="MS Mincho"/>
                </w:rPr>
                <w:instrText xml:space="preserve"> ADDIN EN.CITE &lt;EndNote&gt;&lt;Cite&gt;&lt;Author&gt;Selby&lt;/Author&gt;&lt;Year&gt;2003&lt;/Year&gt;&lt;RecNum&gt;614&lt;/RecNum&gt;&lt;DisplayText&gt;&lt;style face="superscript"&gt;44&lt;/style&gt;&lt;/DisplayText&gt;&lt;record&gt;&lt;rec-number&gt;614&lt;/rec-number&gt;&lt;foreign-keys&gt;&lt;key app="EN" db-id="2xwa055rhevv2yef5v75fepy2azsv0xvx9w9" timestamp="1604024639"&gt;614&lt;/key&gt;&lt;/foreign-keys&gt;&lt;ref-type name="Journal Article"&gt;17&lt;/ref-type&gt;&lt;contributors&gt;&lt;authors&gt;&lt;author&gt;Selby, P&lt;/author&gt;&lt;author&gt;Ainslie, M&lt;/author&gt;&lt;author&gt;Stepner, N&lt;/author&gt;&lt;author&gt;Roberts, J&lt;/author&gt;&lt;/authors&gt;&lt;/contributors&gt;&lt;t</w:instrText>
              </w:r>
              <w:r w:rsidR="0039468B">
                <w:rPr>
                  <w:rFonts w:eastAsia="MS Mincho" w:hint="eastAsia"/>
                </w:rPr>
                <w:instrText>itles&gt;&lt;title&gt;Sustained</w:instrText>
              </w:r>
              <w:r w:rsidR="0039468B">
                <w:rPr>
                  <w:rFonts w:eastAsia="MS Mincho" w:hint="eastAsia"/>
                </w:rPr>
                <w:instrText>‐</w:instrText>
              </w:r>
              <w:r w:rsidR="0039468B">
                <w:rPr>
                  <w:rFonts w:eastAsia="MS Mincho" w:hint="eastAsia"/>
                </w:rPr>
                <w:instrText>release bupropion (Zybanr) is effective in the re</w:instrText>
              </w:r>
              <w:r w:rsidR="0039468B">
                <w:rPr>
                  <w:rFonts w:eastAsia="MS Mincho" w:hint="eastAsia"/>
                </w:rPr>
                <w:instrText>‐</w:instrText>
              </w:r>
              <w:r w:rsidR="0039468B">
                <w:rPr>
                  <w:rFonts w:eastAsia="MS Mincho" w:hint="eastAsia"/>
                </w:rPr>
                <w:instrText>treatment of relapsed adult smokers&lt;/title&gt;&lt;secondary-title&gt;American Journal of Respiratory and Critical Care Medicine&lt;/secondary-title&gt;&lt;/titles&gt;&lt;periodical&gt;&lt;full-title&gt;American Jour</w:instrText>
              </w:r>
              <w:r w:rsidR="0039468B">
                <w:rPr>
                  <w:rFonts w:eastAsia="MS Mincho"/>
                </w:rPr>
                <w:instrText>nal of Respiratory and Critical Care Medicine&lt;/full-title&gt;&lt;/periodical&gt;&lt;pages&gt;A47&lt;/pages&gt;&lt;volume&gt;167&lt;/volume&gt;&lt;number&gt;7&lt;/number&gt;&lt;dates&gt;&lt;year&gt;2003&lt;/year&gt;&lt;/dates&gt;&lt;urls&gt;&lt;/urls&gt;&lt;/record&gt;&lt;/Cite&gt;&lt;/EndNote&gt;</w:instrText>
              </w:r>
              <w:r w:rsidR="0039468B">
                <w:rPr>
                  <w:rFonts w:eastAsia="MS Mincho"/>
                </w:rPr>
                <w:fldChar w:fldCharType="separate"/>
              </w:r>
              <w:r w:rsidR="0039468B" w:rsidRPr="00693911">
                <w:rPr>
                  <w:rFonts w:eastAsia="MS Mincho"/>
                  <w:noProof/>
                  <w:vertAlign w:val="superscript"/>
                </w:rPr>
                <w:t>44</w:t>
              </w:r>
              <w:r w:rsidR="0039468B">
                <w:rPr>
                  <w:rFonts w:eastAsia="MS Mincho"/>
                </w:rPr>
                <w:fldChar w:fldCharType="end"/>
              </w:r>
            </w:hyperlink>
          </w:p>
        </w:tc>
        <w:tc>
          <w:tcPr>
            <w:tcW w:w="4434" w:type="pct"/>
          </w:tcPr>
          <w:p w14:paraId="7EB5C68E" w14:textId="6E946435" w:rsidR="00CB6040" w:rsidRDefault="001168F7" w:rsidP="004E328D">
            <w:pPr>
              <w:pStyle w:val="Tablewriting"/>
              <w:keepNext/>
              <w:rPr>
                <w:rFonts w:eastAsia="MS Mincho"/>
              </w:rPr>
            </w:pPr>
            <w:r w:rsidRPr="001168F7">
              <w:rPr>
                <w:rFonts w:eastAsia="MS Mincho"/>
              </w:rPr>
              <w:t>Selby P, Ainslie M, Stepner N, Roberts J. Sustained‐release bupropion (</w:t>
            </w:r>
            <w:r w:rsidR="00826C95" w:rsidRPr="001168F7">
              <w:rPr>
                <w:rFonts w:eastAsia="MS Mincho"/>
              </w:rPr>
              <w:t>Zyban</w:t>
            </w:r>
            <w:r w:rsidRPr="001168F7">
              <w:rPr>
                <w:rFonts w:eastAsia="MS Mincho"/>
              </w:rPr>
              <w:t>) is effective in the re‐treatment of relapsed adult smokers. American Journal of Respiratory and Critical Care Medicine. 2003;167(7</w:t>
            </w:r>
            <w:r w:rsidR="00826C95" w:rsidRPr="001168F7">
              <w:rPr>
                <w:rFonts w:eastAsia="MS Mincho"/>
              </w:rPr>
              <w:t>): A</w:t>
            </w:r>
            <w:r w:rsidRPr="001168F7">
              <w:rPr>
                <w:rFonts w:eastAsia="MS Mincho"/>
              </w:rPr>
              <w:t>47.</w:t>
            </w:r>
          </w:p>
        </w:tc>
      </w:tr>
    </w:tbl>
    <w:p w14:paraId="613AFC9B" w14:textId="50EC5760" w:rsidR="00CF0A36" w:rsidRDefault="00CF0A36" w:rsidP="008B6781">
      <w:pPr>
        <w:pStyle w:val="TableFooter"/>
        <w:keepNext/>
        <w:spacing w:after="120"/>
        <w:contextualSpacing w:val="0"/>
        <w:jc w:val="both"/>
      </w:pPr>
      <w:r>
        <w:t xml:space="preserve">Notes: Gonzales et al. (2001) and Selby et al. (2003) were included in the Cochrane </w:t>
      </w:r>
      <w:r w:rsidR="0092387D" w:rsidRPr="0092387D">
        <w:t>R</w:t>
      </w:r>
      <w:r>
        <w:t>eview by Howes et al. (2020).</w:t>
      </w:r>
      <w:r w:rsidR="00714997">
        <w:t xml:space="preserve"> Howes et al. (2020) did not conduct a subgroup</w:t>
      </w:r>
      <w:r w:rsidR="004B6214">
        <w:t xml:space="preserve"> analysis</w:t>
      </w:r>
      <w:r w:rsidR="00B23BCA">
        <w:t xml:space="preserve"> on retreatment.</w:t>
      </w:r>
    </w:p>
    <w:p w14:paraId="463E3FCE" w14:textId="0493916D" w:rsidR="00380A0B" w:rsidRDefault="00350FFA" w:rsidP="008B6781">
      <w:pPr>
        <w:spacing w:after="120"/>
        <w:jc w:val="both"/>
      </w:pPr>
      <w:r w:rsidRPr="00350FFA">
        <w:t xml:space="preserve">A summary of the characteristics of the studies comparing </w:t>
      </w:r>
      <w:r>
        <w:t>bupropion</w:t>
      </w:r>
      <w:r w:rsidRPr="00350FFA">
        <w:t xml:space="preserve"> with placebo in non-abstainers as retreatment is presented in </w:t>
      </w:r>
      <w:r>
        <w:fldChar w:fldCharType="begin" w:fldLock="1"/>
      </w:r>
      <w:r>
        <w:instrText xml:space="preserve"> REF _Ref54957147 \h </w:instrText>
      </w:r>
      <w:r>
        <w:fldChar w:fldCharType="separate"/>
      </w:r>
      <w:r w:rsidR="00EC5CC7">
        <w:t xml:space="preserve">Table </w:t>
      </w:r>
      <w:r w:rsidR="00EC5CC7">
        <w:rPr>
          <w:noProof/>
        </w:rPr>
        <w:t>43</w:t>
      </w:r>
      <w:r>
        <w:fldChar w:fldCharType="end"/>
      </w:r>
      <w:r w:rsidRPr="00350FFA">
        <w:t xml:space="preserve">. </w:t>
      </w:r>
    </w:p>
    <w:p w14:paraId="0B526D27" w14:textId="77777777" w:rsidR="00380A0B" w:rsidRDefault="00380A0B" w:rsidP="007E481B">
      <w:pPr>
        <w:sectPr w:rsidR="00380A0B" w:rsidSect="006356D2">
          <w:pgSz w:w="11906" w:h="16838"/>
          <w:pgMar w:top="1440" w:right="1440" w:bottom="1440" w:left="1440" w:header="708" w:footer="708" w:gutter="0"/>
          <w:cols w:space="708"/>
          <w:titlePg/>
          <w:docGrid w:linePitch="360"/>
        </w:sectPr>
      </w:pPr>
    </w:p>
    <w:p w14:paraId="15001938" w14:textId="3BBBBF8D" w:rsidR="00386CC2" w:rsidRDefault="00386CC2" w:rsidP="008B6781">
      <w:pPr>
        <w:pStyle w:val="Caption"/>
        <w:keepNext/>
        <w:spacing w:before="0" w:after="120"/>
        <w:jc w:val="both"/>
      </w:pPr>
      <w:bookmarkStart w:id="90" w:name="_Ref54957147"/>
      <w:r>
        <w:lastRenderedPageBreak/>
        <w:t xml:space="preserve">Table </w:t>
      </w:r>
      <w:r w:rsidR="00BF3F75">
        <w:fldChar w:fldCharType="begin"/>
      </w:r>
      <w:r w:rsidR="00BF3F75">
        <w:instrText xml:space="preserve"> SEQ Table \* ARABIC </w:instrText>
      </w:r>
      <w:r w:rsidR="00BF3F75">
        <w:fldChar w:fldCharType="separate"/>
      </w:r>
      <w:r w:rsidR="00EC5CC7">
        <w:rPr>
          <w:noProof/>
        </w:rPr>
        <w:t>43</w:t>
      </w:r>
      <w:r w:rsidR="00BF3F75">
        <w:rPr>
          <w:noProof/>
        </w:rPr>
        <w:fldChar w:fldCharType="end"/>
      </w:r>
      <w:bookmarkEnd w:id="90"/>
      <w:r>
        <w:t xml:space="preserve">: </w:t>
      </w:r>
      <w:r w:rsidRPr="003F3F3A">
        <w:t xml:space="preserve">Characteristics of the studies comparing </w:t>
      </w:r>
      <w:r w:rsidR="00724DAD">
        <w:t>bupropion</w:t>
      </w:r>
      <w:r w:rsidRPr="003F3F3A">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16"/>
        <w:gridCol w:w="1058"/>
        <w:gridCol w:w="1055"/>
        <w:gridCol w:w="5165"/>
        <w:gridCol w:w="2287"/>
        <w:gridCol w:w="3367"/>
      </w:tblGrid>
      <w:tr w:rsidR="00F64373" w:rsidRPr="00061F78" w14:paraId="6EAE83AD" w14:textId="77777777" w:rsidTr="00EC1350">
        <w:trPr>
          <w:trHeight w:val="299"/>
          <w:tblHeader/>
        </w:trPr>
        <w:tc>
          <w:tcPr>
            <w:tcW w:w="364" w:type="pct"/>
            <w:shd w:val="clear" w:color="auto" w:fill="BFBFBF" w:themeFill="background1" w:themeFillShade="BF"/>
            <w:tcMar>
              <w:left w:w="28" w:type="dxa"/>
              <w:right w:w="28" w:type="dxa"/>
            </w:tcMar>
          </w:tcPr>
          <w:p w14:paraId="26A47232" w14:textId="2845D36D" w:rsidR="00380A0B" w:rsidRPr="00061F78" w:rsidRDefault="00126B7B" w:rsidP="00245D9D">
            <w:pPr>
              <w:pStyle w:val="Tableheading"/>
              <w:keepNext/>
              <w:rPr>
                <w:rFonts w:eastAsia="MS Mincho"/>
              </w:rPr>
            </w:pPr>
            <w:r>
              <w:rPr>
                <w:rFonts w:eastAsia="MS Mincho"/>
              </w:rPr>
              <w:t>Study</w:t>
            </w:r>
          </w:p>
        </w:tc>
        <w:tc>
          <w:tcPr>
            <w:tcW w:w="379" w:type="pct"/>
            <w:shd w:val="clear" w:color="auto" w:fill="BFBFBF" w:themeFill="background1" w:themeFillShade="BF"/>
          </w:tcPr>
          <w:p w14:paraId="0DBDB498" w14:textId="77777777" w:rsidR="00380A0B" w:rsidRDefault="00380A0B" w:rsidP="00245D9D">
            <w:pPr>
              <w:pStyle w:val="Tableheading"/>
              <w:keepNext/>
              <w:jc w:val="center"/>
              <w:rPr>
                <w:rFonts w:eastAsia="MS Mincho"/>
              </w:rPr>
            </w:pPr>
            <w:r>
              <w:rPr>
                <w:rFonts w:eastAsia="MS Mincho"/>
              </w:rPr>
              <w:t>Study type</w:t>
            </w:r>
          </w:p>
        </w:tc>
        <w:tc>
          <w:tcPr>
            <w:tcW w:w="378" w:type="pct"/>
            <w:shd w:val="clear" w:color="auto" w:fill="BFBFBF" w:themeFill="background1" w:themeFillShade="BF"/>
            <w:tcMar>
              <w:left w:w="28" w:type="dxa"/>
              <w:right w:w="28" w:type="dxa"/>
            </w:tcMar>
          </w:tcPr>
          <w:p w14:paraId="41C5E92F" w14:textId="77777777" w:rsidR="00380A0B" w:rsidRPr="00AE21E9" w:rsidRDefault="00380A0B" w:rsidP="00245D9D">
            <w:pPr>
              <w:pStyle w:val="Tableheading"/>
              <w:keepNext/>
              <w:jc w:val="center"/>
              <w:rPr>
                <w:rFonts w:eastAsia="MS Mincho"/>
                <w:vertAlign w:val="superscript"/>
              </w:rPr>
            </w:pPr>
            <w:r>
              <w:rPr>
                <w:rFonts w:eastAsia="MS Mincho"/>
              </w:rPr>
              <w:t>N</w:t>
            </w:r>
            <w:r>
              <w:rPr>
                <w:rFonts w:eastAsia="MS Mincho"/>
                <w:vertAlign w:val="superscript"/>
              </w:rPr>
              <w:t>1</w:t>
            </w:r>
          </w:p>
        </w:tc>
        <w:tc>
          <w:tcPr>
            <w:tcW w:w="1851" w:type="pct"/>
            <w:shd w:val="clear" w:color="auto" w:fill="BFBFBF" w:themeFill="background1" w:themeFillShade="BF"/>
            <w:tcMar>
              <w:left w:w="28" w:type="dxa"/>
              <w:right w:w="28" w:type="dxa"/>
            </w:tcMar>
          </w:tcPr>
          <w:p w14:paraId="608F923B" w14:textId="77777777" w:rsidR="00380A0B" w:rsidRPr="00061F78" w:rsidRDefault="00380A0B" w:rsidP="00245D9D">
            <w:pPr>
              <w:pStyle w:val="Tableheading"/>
              <w:keepNext/>
              <w:jc w:val="center"/>
              <w:rPr>
                <w:rFonts w:eastAsia="MS Mincho"/>
              </w:rPr>
            </w:pPr>
            <w:r w:rsidRPr="00061F78">
              <w:rPr>
                <w:rFonts w:eastAsia="MS Mincho"/>
              </w:rPr>
              <w:t>P</w:t>
            </w:r>
            <w:r>
              <w:rPr>
                <w:rFonts w:eastAsia="MS Mincho"/>
              </w:rPr>
              <w:t>opulation</w:t>
            </w:r>
          </w:p>
        </w:tc>
        <w:tc>
          <w:tcPr>
            <w:tcW w:w="820" w:type="pct"/>
            <w:shd w:val="clear" w:color="auto" w:fill="BFBFBF" w:themeFill="background1" w:themeFillShade="BF"/>
          </w:tcPr>
          <w:p w14:paraId="7EE9B952" w14:textId="77777777" w:rsidR="00380A0B" w:rsidRDefault="00380A0B" w:rsidP="00245D9D">
            <w:pPr>
              <w:pStyle w:val="Tableheading"/>
              <w:keepNext/>
              <w:jc w:val="center"/>
              <w:rPr>
                <w:rFonts w:eastAsia="MS Mincho"/>
              </w:rPr>
            </w:pPr>
            <w:r>
              <w:rPr>
                <w:rFonts w:eastAsia="MS Mincho"/>
              </w:rPr>
              <w:t>Intervention and comparator</w:t>
            </w:r>
          </w:p>
        </w:tc>
        <w:tc>
          <w:tcPr>
            <w:tcW w:w="1207" w:type="pct"/>
            <w:shd w:val="clear" w:color="auto" w:fill="BFBFBF" w:themeFill="background1" w:themeFillShade="BF"/>
            <w:tcMar>
              <w:left w:w="28" w:type="dxa"/>
              <w:right w:w="28" w:type="dxa"/>
            </w:tcMar>
          </w:tcPr>
          <w:p w14:paraId="67778176" w14:textId="77777777" w:rsidR="00380A0B" w:rsidRPr="00061F78" w:rsidRDefault="00380A0B" w:rsidP="00245D9D">
            <w:pPr>
              <w:pStyle w:val="Tableheading"/>
              <w:keepNext/>
              <w:jc w:val="center"/>
              <w:rPr>
                <w:rFonts w:eastAsia="MS Mincho"/>
              </w:rPr>
            </w:pPr>
            <w:r>
              <w:rPr>
                <w:rFonts w:eastAsia="MS Mincho"/>
              </w:rPr>
              <w:t>Outcomes</w:t>
            </w:r>
          </w:p>
        </w:tc>
      </w:tr>
      <w:tr w:rsidR="00305930" w:rsidRPr="00061F78" w14:paraId="37CBD0EC" w14:textId="77777777" w:rsidTr="00EC1350">
        <w:trPr>
          <w:trHeight w:val="149"/>
        </w:trPr>
        <w:tc>
          <w:tcPr>
            <w:tcW w:w="364" w:type="pct"/>
            <w:tcMar>
              <w:left w:w="28" w:type="dxa"/>
              <w:right w:w="28" w:type="dxa"/>
            </w:tcMar>
          </w:tcPr>
          <w:p w14:paraId="1FB37478" w14:textId="77777777" w:rsidR="00812E4D" w:rsidRDefault="00812E4D" w:rsidP="00812E4D">
            <w:pPr>
              <w:pStyle w:val="Tablewriting"/>
              <w:keepNext/>
              <w:rPr>
                <w:rFonts w:eastAsia="MS Mincho"/>
              </w:rPr>
            </w:pPr>
            <w:r>
              <w:rPr>
                <w:rFonts w:eastAsia="MS Mincho"/>
              </w:rPr>
              <w:t>Gonzales</w:t>
            </w:r>
          </w:p>
          <w:p w14:paraId="37FE6EB2" w14:textId="2E8443A8" w:rsidR="00380A0B" w:rsidRPr="004F1864" w:rsidRDefault="00812E4D" w:rsidP="00812E4D">
            <w:pPr>
              <w:pStyle w:val="Tablewriting"/>
              <w:keepNext/>
              <w:rPr>
                <w:rFonts w:eastAsia="MS Mincho"/>
              </w:rPr>
            </w:pPr>
            <w:r>
              <w:rPr>
                <w:rFonts w:eastAsia="MS Mincho"/>
              </w:rPr>
              <w:t>(2001)</w:t>
            </w:r>
          </w:p>
        </w:tc>
        <w:tc>
          <w:tcPr>
            <w:tcW w:w="379" w:type="pct"/>
          </w:tcPr>
          <w:p w14:paraId="36E97D67" w14:textId="360F7888" w:rsidR="00380A0B" w:rsidRDefault="00812E4D" w:rsidP="00245D9D">
            <w:pPr>
              <w:pStyle w:val="Tablewriting"/>
              <w:keepNext/>
              <w:rPr>
                <w:rFonts w:eastAsia="MS Mincho"/>
              </w:rPr>
            </w:pPr>
            <w:r>
              <w:rPr>
                <w:rFonts w:eastAsia="MS Mincho"/>
              </w:rPr>
              <w:t>RCT</w:t>
            </w:r>
          </w:p>
          <w:p w14:paraId="367CB0FC" w14:textId="77777777" w:rsidR="00380A0B" w:rsidRDefault="00380A0B" w:rsidP="00245D9D">
            <w:pPr>
              <w:pStyle w:val="Tablewriting"/>
              <w:keepNext/>
              <w:rPr>
                <w:rFonts w:eastAsia="MS Mincho"/>
              </w:rPr>
            </w:pPr>
          </w:p>
        </w:tc>
        <w:tc>
          <w:tcPr>
            <w:tcW w:w="378" w:type="pct"/>
            <w:tcMar>
              <w:left w:w="28" w:type="dxa"/>
              <w:right w:w="28" w:type="dxa"/>
            </w:tcMar>
          </w:tcPr>
          <w:p w14:paraId="689E81D8" w14:textId="5F0C9DEB" w:rsidR="00380A0B" w:rsidRPr="003B53A1" w:rsidRDefault="00380A0B" w:rsidP="00245D9D">
            <w:pPr>
              <w:pStyle w:val="Tablewriting"/>
              <w:keepNext/>
              <w:rPr>
                <w:rFonts w:eastAsia="MS Mincho"/>
              </w:rPr>
            </w:pPr>
            <w:r w:rsidRPr="003B53A1">
              <w:rPr>
                <w:rFonts w:eastAsia="MS Mincho"/>
              </w:rPr>
              <w:t>N=</w:t>
            </w:r>
            <w:r w:rsidR="003B53A1" w:rsidRPr="003B53A1">
              <w:rPr>
                <w:rFonts w:eastAsia="MS Mincho"/>
              </w:rPr>
              <w:t>450</w:t>
            </w:r>
          </w:p>
          <w:p w14:paraId="23E8348E" w14:textId="50B67423" w:rsidR="00380A0B" w:rsidRPr="003B53A1" w:rsidRDefault="00380A0B" w:rsidP="00245D9D">
            <w:pPr>
              <w:pStyle w:val="Tablewriting"/>
              <w:keepNext/>
              <w:rPr>
                <w:rFonts w:eastAsia="MS Mincho"/>
              </w:rPr>
            </w:pPr>
            <w:r w:rsidRPr="003B53A1">
              <w:rPr>
                <w:rFonts w:eastAsia="MS Mincho"/>
              </w:rPr>
              <w:t>Bupropion (n=</w:t>
            </w:r>
            <w:r w:rsidR="00E4397A" w:rsidRPr="003B53A1">
              <w:rPr>
                <w:rFonts w:eastAsia="MS Mincho"/>
              </w:rPr>
              <w:t>226</w:t>
            </w:r>
            <w:r w:rsidRPr="003B53A1">
              <w:rPr>
                <w:rFonts w:eastAsia="MS Mincho"/>
              </w:rPr>
              <w:t>),</w:t>
            </w:r>
          </w:p>
          <w:p w14:paraId="1E34F372" w14:textId="41AD21D0" w:rsidR="00380A0B" w:rsidRPr="004B359D" w:rsidRDefault="00380A0B" w:rsidP="00245D9D">
            <w:pPr>
              <w:pStyle w:val="Tablewriting"/>
              <w:keepNext/>
              <w:rPr>
                <w:rFonts w:eastAsia="MS Mincho"/>
                <w:highlight w:val="yellow"/>
              </w:rPr>
            </w:pPr>
            <w:r w:rsidRPr="003B53A1">
              <w:rPr>
                <w:rFonts w:eastAsia="MS Mincho"/>
              </w:rPr>
              <w:t>Placebo (n=</w:t>
            </w:r>
            <w:r w:rsidR="00110F80" w:rsidRPr="003B53A1">
              <w:rPr>
                <w:rFonts w:eastAsia="MS Mincho"/>
              </w:rPr>
              <w:t>224</w:t>
            </w:r>
            <w:r w:rsidRPr="003B53A1">
              <w:rPr>
                <w:rFonts w:eastAsia="MS Mincho"/>
              </w:rPr>
              <w:t>)</w:t>
            </w:r>
          </w:p>
        </w:tc>
        <w:tc>
          <w:tcPr>
            <w:tcW w:w="1851" w:type="pct"/>
            <w:tcMar>
              <w:left w:w="28" w:type="dxa"/>
              <w:right w:w="28" w:type="dxa"/>
            </w:tcMar>
          </w:tcPr>
          <w:p w14:paraId="20CBDAC3" w14:textId="38D28DF4" w:rsidR="008C01AD" w:rsidRPr="003B53A1" w:rsidRDefault="003B3E2A" w:rsidP="008C01AD">
            <w:pPr>
              <w:pStyle w:val="Tablewriting"/>
              <w:keepNext/>
              <w:rPr>
                <w:rFonts w:eastAsia="MS Mincho"/>
              </w:rPr>
            </w:pPr>
            <w:r w:rsidRPr="003B53A1">
              <w:rPr>
                <w:rFonts w:eastAsia="MS Mincho"/>
                <w:u w:val="single"/>
              </w:rPr>
              <w:t>Inclusion</w:t>
            </w:r>
            <w:r w:rsidRPr="003B53A1">
              <w:rPr>
                <w:rFonts w:eastAsia="MS Mincho"/>
              </w:rPr>
              <w:t xml:space="preserve">: </w:t>
            </w:r>
            <w:r w:rsidR="008C01AD" w:rsidRPr="003B53A1">
              <w:rPr>
                <w:rFonts w:eastAsia="MS Mincho"/>
              </w:rPr>
              <w:t>≥18 years</w:t>
            </w:r>
            <w:r w:rsidR="00B83909" w:rsidRPr="003B53A1">
              <w:rPr>
                <w:rFonts w:eastAsia="MS Mincho"/>
              </w:rPr>
              <w:t xml:space="preserve"> </w:t>
            </w:r>
            <w:r w:rsidR="00DC2774">
              <w:rPr>
                <w:rFonts w:eastAsia="MS Mincho"/>
              </w:rPr>
              <w:t>old,</w:t>
            </w:r>
            <w:r w:rsidR="00B83909" w:rsidRPr="003B53A1">
              <w:rPr>
                <w:rFonts w:eastAsia="MS Mincho"/>
              </w:rPr>
              <w:t xml:space="preserve"> </w:t>
            </w:r>
            <w:r w:rsidR="00DC2774">
              <w:rPr>
                <w:rFonts w:eastAsia="MS Mincho" w:cstheme="minorHAnsi"/>
              </w:rPr>
              <w:t>≥</w:t>
            </w:r>
            <w:r w:rsidR="008C01AD" w:rsidRPr="003B53A1">
              <w:rPr>
                <w:rFonts w:eastAsia="MS Mincho"/>
              </w:rPr>
              <w:t>15</w:t>
            </w:r>
            <w:r w:rsidR="00B83909" w:rsidRPr="003B53A1">
              <w:rPr>
                <w:rFonts w:eastAsia="MS Mincho"/>
              </w:rPr>
              <w:t xml:space="preserve"> </w:t>
            </w:r>
            <w:r w:rsidR="008C01AD" w:rsidRPr="003B53A1">
              <w:rPr>
                <w:rFonts w:eastAsia="MS Mincho"/>
              </w:rPr>
              <w:t xml:space="preserve">cigarettes per day during the previous </w:t>
            </w:r>
            <w:r w:rsidR="00DC5DE5" w:rsidRPr="003B53A1">
              <w:rPr>
                <w:rFonts w:eastAsia="MS Mincho"/>
              </w:rPr>
              <w:t xml:space="preserve">month, </w:t>
            </w:r>
            <w:r w:rsidR="008C01AD" w:rsidRPr="003B53A1">
              <w:rPr>
                <w:rFonts w:eastAsia="MS Mincho"/>
              </w:rPr>
              <w:t xml:space="preserve">exhaled CO </w:t>
            </w:r>
            <w:r w:rsidR="00DC2774">
              <w:rPr>
                <w:rFonts w:eastAsia="MS Mincho"/>
              </w:rPr>
              <w:t>&gt;</w:t>
            </w:r>
            <w:r w:rsidR="008C01AD" w:rsidRPr="003B53A1">
              <w:rPr>
                <w:rFonts w:eastAsia="MS Mincho"/>
              </w:rPr>
              <w:t>10 ppm</w:t>
            </w:r>
            <w:r w:rsidR="006649A6">
              <w:rPr>
                <w:rFonts w:eastAsia="MS Mincho"/>
              </w:rPr>
              <w:t>,</w:t>
            </w:r>
            <w:r w:rsidR="008C01AD" w:rsidRPr="003B53A1">
              <w:rPr>
                <w:rFonts w:eastAsia="MS Mincho"/>
              </w:rPr>
              <w:t xml:space="preserve"> motivated to stop smoking, not had</w:t>
            </w:r>
            <w:r w:rsidR="00DC5DE5" w:rsidRPr="003B53A1">
              <w:rPr>
                <w:rFonts w:eastAsia="MS Mincho"/>
              </w:rPr>
              <w:t xml:space="preserve"> </w:t>
            </w:r>
            <w:r w:rsidR="008C01AD" w:rsidRPr="003B53A1">
              <w:rPr>
                <w:rFonts w:eastAsia="MS Mincho"/>
              </w:rPr>
              <w:t>more than 24 hours’ abstinence during the previous</w:t>
            </w:r>
            <w:r w:rsidR="00DC5DE5" w:rsidRPr="003B53A1">
              <w:rPr>
                <w:rFonts w:eastAsia="MS Mincho"/>
              </w:rPr>
              <w:t xml:space="preserve"> </w:t>
            </w:r>
            <w:r w:rsidR="008C01AD" w:rsidRPr="003B53A1">
              <w:rPr>
                <w:rFonts w:eastAsia="MS Mincho"/>
              </w:rPr>
              <w:t>month</w:t>
            </w:r>
            <w:r w:rsidR="00DC2774">
              <w:rPr>
                <w:rFonts w:eastAsia="MS Mincho"/>
              </w:rPr>
              <w:t>,</w:t>
            </w:r>
            <w:r w:rsidR="008C01AD" w:rsidRPr="003B53A1">
              <w:rPr>
                <w:rFonts w:eastAsia="MS Mincho"/>
              </w:rPr>
              <w:t xml:space="preserve"> used bupropion</w:t>
            </w:r>
            <w:r w:rsidR="00DC2774">
              <w:rPr>
                <w:rFonts w:eastAsia="MS Mincho"/>
              </w:rPr>
              <w:t xml:space="preserve"> </w:t>
            </w:r>
            <w:r w:rsidR="008C01AD" w:rsidRPr="003B53A1">
              <w:rPr>
                <w:rFonts w:eastAsia="MS Mincho"/>
              </w:rPr>
              <w:t>as an aid to smoking cessation for at least 2 weeks</w:t>
            </w:r>
            <w:r w:rsidR="0090488A">
              <w:rPr>
                <w:rFonts w:eastAsia="MS Mincho"/>
              </w:rPr>
              <w:t xml:space="preserve"> </w:t>
            </w:r>
            <w:r w:rsidR="008C01AD" w:rsidRPr="003B53A1">
              <w:rPr>
                <w:rFonts w:eastAsia="MS Mincho"/>
              </w:rPr>
              <w:t>without experiencing serious adverse events.</w:t>
            </w:r>
          </w:p>
          <w:p w14:paraId="60BE8521" w14:textId="5643208F" w:rsidR="005067FD" w:rsidRPr="003B53A1" w:rsidRDefault="003B3E2A" w:rsidP="005067FD">
            <w:pPr>
              <w:pStyle w:val="Tablewriting"/>
              <w:keepNext/>
              <w:rPr>
                <w:rFonts w:eastAsia="MS Mincho"/>
                <w:highlight w:val="yellow"/>
              </w:rPr>
            </w:pPr>
            <w:r w:rsidRPr="003B53A1">
              <w:rPr>
                <w:rFonts w:eastAsia="MS Mincho"/>
                <w:u w:val="single"/>
              </w:rPr>
              <w:t>Exclusion</w:t>
            </w:r>
            <w:r w:rsidRPr="003B53A1">
              <w:rPr>
                <w:rFonts w:eastAsia="MS Mincho"/>
              </w:rPr>
              <w:t>:</w:t>
            </w:r>
            <w:r w:rsidR="00715B7B">
              <w:rPr>
                <w:rFonts w:eastAsia="MS Mincho"/>
              </w:rPr>
              <w:t xml:space="preserve"> any</w:t>
            </w:r>
            <w:r w:rsidR="004E30F8" w:rsidRPr="003B53A1">
              <w:rPr>
                <w:rFonts w:eastAsia="MS Mincho"/>
              </w:rPr>
              <w:t xml:space="preserve"> </w:t>
            </w:r>
            <w:r w:rsidR="005067FD" w:rsidRPr="003B53A1">
              <w:rPr>
                <w:rFonts w:eastAsia="MS Mincho"/>
              </w:rPr>
              <w:t>predispos</w:t>
            </w:r>
            <w:r w:rsidR="004D7137">
              <w:rPr>
                <w:rFonts w:eastAsia="MS Mincho"/>
              </w:rPr>
              <w:t>ition</w:t>
            </w:r>
            <w:r w:rsidR="005067FD" w:rsidRPr="003B53A1">
              <w:rPr>
                <w:rFonts w:eastAsia="MS Mincho"/>
              </w:rPr>
              <w:t xml:space="preserve"> to seizure, history of bulimia or anorexia nervosa, history of severe renal, hepatic, neurologic</w:t>
            </w:r>
            <w:r w:rsidR="005067FD" w:rsidRPr="005067FD">
              <w:rPr>
                <w:rFonts w:eastAsia="MS Mincho"/>
              </w:rPr>
              <w:t>, or</w:t>
            </w:r>
            <w:r w:rsidR="005067FD">
              <w:rPr>
                <w:rFonts w:eastAsia="MS Mincho"/>
              </w:rPr>
              <w:t xml:space="preserve"> </w:t>
            </w:r>
            <w:r w:rsidR="005067FD" w:rsidRPr="005067FD">
              <w:rPr>
                <w:rFonts w:eastAsia="MS Mincho"/>
              </w:rPr>
              <w:t>chronic pulmonary disease, current diagnosis of</w:t>
            </w:r>
            <w:r w:rsidR="00827CF0">
              <w:rPr>
                <w:rFonts w:eastAsia="MS Mincho"/>
              </w:rPr>
              <w:t xml:space="preserve"> </w:t>
            </w:r>
            <w:r w:rsidR="005067FD" w:rsidRPr="005067FD">
              <w:rPr>
                <w:rFonts w:eastAsia="MS Mincho"/>
              </w:rPr>
              <w:t>major depression, or were currently using another treatment</w:t>
            </w:r>
            <w:r w:rsidR="00827CF0">
              <w:rPr>
                <w:rFonts w:eastAsia="MS Mincho"/>
              </w:rPr>
              <w:t xml:space="preserve"> </w:t>
            </w:r>
            <w:r w:rsidR="005067FD" w:rsidRPr="005067FD">
              <w:rPr>
                <w:rFonts w:eastAsia="MS Mincho"/>
              </w:rPr>
              <w:t>for smoking cessation.</w:t>
            </w:r>
          </w:p>
          <w:p w14:paraId="469DDAF6" w14:textId="77777777" w:rsidR="00027A90" w:rsidRPr="003B0E29" w:rsidRDefault="00027A90" w:rsidP="003B3E2A">
            <w:pPr>
              <w:pStyle w:val="Tablewriting"/>
              <w:keepNext/>
              <w:rPr>
                <w:rFonts w:eastAsia="MS Mincho"/>
              </w:rPr>
            </w:pPr>
          </w:p>
          <w:p w14:paraId="7DC702B1" w14:textId="664CB542" w:rsidR="00027A90" w:rsidRPr="004B359D" w:rsidRDefault="00027A90" w:rsidP="003B3E2A">
            <w:pPr>
              <w:pStyle w:val="Tablewriting"/>
              <w:keepNext/>
              <w:rPr>
                <w:rFonts w:eastAsia="MS Mincho"/>
                <w:highlight w:val="yellow"/>
              </w:rPr>
            </w:pPr>
            <w:r w:rsidRPr="003B0E29">
              <w:rPr>
                <w:rFonts w:eastAsia="MS Mincho"/>
              </w:rPr>
              <w:t xml:space="preserve">The </w:t>
            </w:r>
            <w:r w:rsidR="009F3027" w:rsidRPr="003B0E29">
              <w:rPr>
                <w:rFonts w:eastAsia="MS Mincho"/>
              </w:rPr>
              <w:t>duration</w:t>
            </w:r>
            <w:r w:rsidRPr="003B0E29">
              <w:rPr>
                <w:rFonts w:eastAsia="MS Mincho"/>
              </w:rPr>
              <w:t xml:space="preserve"> between </w:t>
            </w:r>
            <w:r w:rsidR="001252BC" w:rsidRPr="003B0E29">
              <w:rPr>
                <w:rFonts w:eastAsia="MS Mincho"/>
              </w:rPr>
              <w:t xml:space="preserve">previous </w:t>
            </w:r>
            <w:r w:rsidR="009508DB" w:rsidRPr="003B0E29">
              <w:rPr>
                <w:rFonts w:eastAsia="MS Mincho"/>
              </w:rPr>
              <w:t>bupropion treatment</w:t>
            </w:r>
            <w:r w:rsidRPr="003B0E29">
              <w:rPr>
                <w:rFonts w:eastAsia="MS Mincho"/>
              </w:rPr>
              <w:t xml:space="preserve"> and retreatment was </w:t>
            </w:r>
            <w:r w:rsidR="009508DB" w:rsidRPr="003B0E29">
              <w:rPr>
                <w:rFonts w:eastAsia="MS Mincho"/>
              </w:rPr>
              <w:t>not reported</w:t>
            </w:r>
            <w:r w:rsidRPr="003B0E29">
              <w:rPr>
                <w:rFonts w:eastAsia="MS Mincho"/>
              </w:rPr>
              <w:t>.</w:t>
            </w:r>
            <w:r w:rsidR="00FC7A1A">
              <w:rPr>
                <w:rFonts w:eastAsia="MS Mincho"/>
              </w:rPr>
              <w:t xml:space="preserve"> </w:t>
            </w:r>
            <w:r w:rsidR="00727ED0">
              <w:rPr>
                <w:rFonts w:eastAsia="MS Mincho"/>
              </w:rPr>
              <w:t xml:space="preserve">Mean duration of previous bupropion treatment </w:t>
            </w:r>
            <w:r w:rsidR="00057D5F">
              <w:rPr>
                <w:rFonts w:eastAsia="MS Mincho"/>
              </w:rPr>
              <w:t xml:space="preserve">was </w:t>
            </w:r>
            <w:r w:rsidR="0047323B">
              <w:rPr>
                <w:rFonts w:eastAsia="MS Mincho"/>
              </w:rPr>
              <w:t>6.5 weeks</w:t>
            </w:r>
            <w:r w:rsidR="007B36B7">
              <w:rPr>
                <w:rFonts w:eastAsia="MS Mincho"/>
              </w:rPr>
              <w:t xml:space="preserve"> (bupropion arm) and </w:t>
            </w:r>
            <w:r w:rsidR="00C12A33">
              <w:rPr>
                <w:rFonts w:eastAsia="MS Mincho"/>
              </w:rPr>
              <w:t>6.3 weeks (placebo arm).</w:t>
            </w:r>
          </w:p>
        </w:tc>
        <w:tc>
          <w:tcPr>
            <w:tcW w:w="820" w:type="pct"/>
            <w:shd w:val="clear" w:color="auto" w:fill="auto"/>
          </w:tcPr>
          <w:p w14:paraId="56BF4E24" w14:textId="3D9890E0" w:rsidR="00380A0B" w:rsidRPr="00907FD8" w:rsidRDefault="00380A0B" w:rsidP="00245D9D">
            <w:pPr>
              <w:pStyle w:val="Tablewriting"/>
              <w:keepNext/>
              <w:rPr>
                <w:rFonts w:eastAsia="MS Mincho"/>
              </w:rPr>
            </w:pPr>
            <w:r w:rsidRPr="00907FD8">
              <w:rPr>
                <w:rFonts w:eastAsia="MS Mincho"/>
              </w:rPr>
              <w:t>Bupropion: 150</w:t>
            </w:r>
            <w:r w:rsidR="00565611">
              <w:rPr>
                <w:rFonts w:eastAsia="MS Mincho"/>
              </w:rPr>
              <w:t xml:space="preserve"> </w:t>
            </w:r>
            <w:r w:rsidRPr="00907FD8">
              <w:rPr>
                <w:rFonts w:eastAsia="MS Mincho"/>
              </w:rPr>
              <w:t>mg twice daily including titration</w:t>
            </w:r>
            <w:r w:rsidR="003B3E2A" w:rsidRPr="00907FD8">
              <w:rPr>
                <w:rFonts w:eastAsia="MS Mincho"/>
              </w:rPr>
              <w:t xml:space="preserve"> over </w:t>
            </w:r>
            <w:r w:rsidR="00D07817">
              <w:rPr>
                <w:rFonts w:eastAsia="MS Mincho"/>
              </w:rPr>
              <w:t>12</w:t>
            </w:r>
            <w:r w:rsidR="003B3E2A" w:rsidRPr="00907FD8">
              <w:rPr>
                <w:rFonts w:eastAsia="MS Mincho"/>
              </w:rPr>
              <w:t xml:space="preserve"> weeks</w:t>
            </w:r>
            <w:r w:rsidRPr="00907FD8">
              <w:rPr>
                <w:rFonts w:eastAsia="MS Mincho"/>
              </w:rPr>
              <w:t xml:space="preserve"> (</w:t>
            </w:r>
            <w:r w:rsidR="00826C95" w:rsidRPr="00907FD8">
              <w:rPr>
                <w:rFonts w:eastAsia="MS Mincho"/>
              </w:rPr>
              <w:t>i.e.,</w:t>
            </w:r>
            <w:r w:rsidRPr="00907FD8">
              <w:rPr>
                <w:rFonts w:eastAsia="MS Mincho"/>
              </w:rPr>
              <w:t xml:space="preserve"> 150</w:t>
            </w:r>
            <w:r w:rsidR="00565611">
              <w:rPr>
                <w:rFonts w:eastAsia="MS Mincho"/>
              </w:rPr>
              <w:t xml:space="preserve"> </w:t>
            </w:r>
            <w:r w:rsidRPr="00907FD8">
              <w:rPr>
                <w:rFonts w:eastAsia="MS Mincho"/>
              </w:rPr>
              <w:t>mg once daily for 3 days, then 150</w:t>
            </w:r>
            <w:r w:rsidR="00565611">
              <w:rPr>
                <w:rFonts w:eastAsia="MS Mincho"/>
              </w:rPr>
              <w:t xml:space="preserve"> </w:t>
            </w:r>
            <w:r w:rsidRPr="00907FD8">
              <w:rPr>
                <w:rFonts w:eastAsia="MS Mincho"/>
              </w:rPr>
              <w:t>mg twice daily)</w:t>
            </w:r>
            <w:r w:rsidR="00155324">
              <w:rPr>
                <w:rFonts w:eastAsia="MS Mincho"/>
              </w:rPr>
              <w:t>;</w:t>
            </w:r>
          </w:p>
          <w:p w14:paraId="2F91207B" w14:textId="229503E9" w:rsidR="00380A0B" w:rsidRDefault="00380A0B" w:rsidP="00245D9D">
            <w:pPr>
              <w:pStyle w:val="Tablewriting"/>
              <w:keepNext/>
              <w:rPr>
                <w:rFonts w:eastAsia="MS Mincho"/>
              </w:rPr>
            </w:pPr>
            <w:r w:rsidRPr="00907FD8">
              <w:rPr>
                <w:rFonts w:eastAsia="MS Mincho"/>
              </w:rPr>
              <w:t>Placebo: placebo tablets, same regimen</w:t>
            </w:r>
            <w:r w:rsidR="00AB5FA3">
              <w:rPr>
                <w:rFonts w:eastAsia="MS Mincho"/>
              </w:rPr>
              <w:t>.</w:t>
            </w:r>
          </w:p>
          <w:p w14:paraId="76FF9703" w14:textId="77777777" w:rsidR="00E81F2B" w:rsidRDefault="00E81F2B" w:rsidP="00245D9D">
            <w:pPr>
              <w:pStyle w:val="Tablewriting"/>
              <w:keepNext/>
              <w:rPr>
                <w:rFonts w:eastAsia="MS Mincho"/>
                <w:highlight w:val="yellow"/>
              </w:rPr>
            </w:pPr>
          </w:p>
          <w:p w14:paraId="2FEE9722" w14:textId="7F3A5754" w:rsidR="00E81F2B" w:rsidRPr="004B359D" w:rsidRDefault="00E81F2B" w:rsidP="00245D9D">
            <w:pPr>
              <w:pStyle w:val="Tablewriting"/>
              <w:keepNext/>
              <w:rPr>
                <w:rFonts w:eastAsia="MS Mincho"/>
                <w:highlight w:val="yellow"/>
              </w:rPr>
            </w:pPr>
            <w:r w:rsidRPr="00E81F2B">
              <w:rPr>
                <w:rFonts w:eastAsia="MS Mincho"/>
              </w:rPr>
              <w:t>Behavioural support provided in both arms.</w:t>
            </w:r>
          </w:p>
        </w:tc>
        <w:tc>
          <w:tcPr>
            <w:tcW w:w="1207" w:type="pct"/>
            <w:tcMar>
              <w:left w:w="28" w:type="dxa"/>
              <w:right w:w="28" w:type="dxa"/>
            </w:tcMar>
          </w:tcPr>
          <w:p w14:paraId="0B6A25C1" w14:textId="1CC0315C" w:rsidR="00A15FCF" w:rsidRPr="003E0470" w:rsidRDefault="003B3E2A" w:rsidP="00A15FCF">
            <w:pPr>
              <w:pStyle w:val="Tablewriting"/>
              <w:keepNext/>
              <w:rPr>
                <w:rFonts w:eastAsia="MS Mincho"/>
              </w:rPr>
            </w:pPr>
            <w:r w:rsidRPr="003E0470">
              <w:rPr>
                <w:rFonts w:eastAsia="MS Mincho"/>
                <w:u w:val="single"/>
              </w:rPr>
              <w:t>Primary</w:t>
            </w:r>
            <w:r w:rsidRPr="003E0470">
              <w:rPr>
                <w:rFonts w:eastAsia="MS Mincho"/>
              </w:rPr>
              <w:t xml:space="preserve">: </w:t>
            </w:r>
            <w:r w:rsidR="00047182" w:rsidRPr="003E0470">
              <w:rPr>
                <w:rFonts w:eastAsia="MS Mincho"/>
              </w:rPr>
              <w:t>C</w:t>
            </w:r>
            <w:r w:rsidR="00020630">
              <w:rPr>
                <w:rFonts w:eastAsia="MS Mincho"/>
              </w:rPr>
              <w:t xml:space="preserve">AR </w:t>
            </w:r>
            <w:r w:rsidR="008871B7">
              <w:rPr>
                <w:rFonts w:eastAsia="MS Mincho"/>
              </w:rPr>
              <w:t xml:space="preserve">at </w:t>
            </w:r>
            <w:r w:rsidR="00D562FA">
              <w:rPr>
                <w:rFonts w:eastAsia="MS Mincho"/>
              </w:rPr>
              <w:t>w</w:t>
            </w:r>
            <w:r w:rsidR="00CD334E" w:rsidRPr="003E0470">
              <w:rPr>
                <w:rFonts w:eastAsia="MS Mincho"/>
              </w:rPr>
              <w:t>eek 4</w:t>
            </w:r>
            <w:r w:rsidR="00020630">
              <w:rPr>
                <w:rFonts w:eastAsia="MS Mincho"/>
              </w:rPr>
              <w:t>-7</w:t>
            </w:r>
            <w:r w:rsidR="00A15FCF" w:rsidRPr="003E0470">
              <w:rPr>
                <w:rFonts w:eastAsia="MS Mincho"/>
              </w:rPr>
              <w:t xml:space="preserve">. </w:t>
            </w:r>
            <w:r w:rsidR="00F662C0" w:rsidRPr="003E0470">
              <w:rPr>
                <w:rFonts w:eastAsia="MS Mincho"/>
              </w:rPr>
              <w:t xml:space="preserve">Validated </w:t>
            </w:r>
            <w:r w:rsidR="00705BC9" w:rsidRPr="003E0470">
              <w:rPr>
                <w:rFonts w:eastAsia="MS Mincho"/>
              </w:rPr>
              <w:t>by expired CO</w:t>
            </w:r>
            <w:r w:rsidR="00F662C0" w:rsidRPr="003E0470">
              <w:rPr>
                <w:rFonts w:eastAsia="MS Mincho"/>
              </w:rPr>
              <w:t xml:space="preserve"> </w:t>
            </w:r>
            <w:r w:rsidR="00705BC9" w:rsidRPr="003E0470">
              <w:rPr>
                <w:rFonts w:eastAsia="MS Mincho"/>
              </w:rPr>
              <w:t>≤10 ppm.</w:t>
            </w:r>
          </w:p>
          <w:p w14:paraId="07B14C61" w14:textId="4E41FDA5" w:rsidR="00705BC9" w:rsidRPr="00BA1D94" w:rsidRDefault="003B3E2A" w:rsidP="00705BC9">
            <w:pPr>
              <w:pStyle w:val="Tablewriting"/>
              <w:keepNext/>
              <w:rPr>
                <w:rFonts w:eastAsia="MS Mincho"/>
              </w:rPr>
            </w:pPr>
            <w:r w:rsidRPr="003E0470">
              <w:rPr>
                <w:rFonts w:eastAsia="MS Mincho"/>
                <w:u w:val="single"/>
              </w:rPr>
              <w:t>Secondary</w:t>
            </w:r>
            <w:r w:rsidR="003E0470" w:rsidRPr="003E0470">
              <w:rPr>
                <w:rFonts w:eastAsia="MS Mincho"/>
                <w:u w:val="single"/>
              </w:rPr>
              <w:t xml:space="preserve">: </w:t>
            </w:r>
            <w:r w:rsidR="00C91F5E" w:rsidRPr="003E0470">
              <w:rPr>
                <w:rFonts w:eastAsia="MS Mincho"/>
              </w:rPr>
              <w:t>C</w:t>
            </w:r>
            <w:r w:rsidR="00020630">
              <w:rPr>
                <w:rFonts w:eastAsia="MS Mincho"/>
              </w:rPr>
              <w:t>AR</w:t>
            </w:r>
            <w:r w:rsidR="008871B7">
              <w:rPr>
                <w:rFonts w:eastAsia="MS Mincho"/>
              </w:rPr>
              <w:t xml:space="preserve"> at</w:t>
            </w:r>
            <w:r w:rsidR="00705BC9" w:rsidRPr="003E0470">
              <w:rPr>
                <w:rFonts w:eastAsia="MS Mincho"/>
              </w:rPr>
              <w:t xml:space="preserve"> </w:t>
            </w:r>
            <w:r w:rsidR="00D562FA">
              <w:rPr>
                <w:rFonts w:eastAsia="MS Mincho"/>
              </w:rPr>
              <w:t>w</w:t>
            </w:r>
            <w:r w:rsidR="00705BC9" w:rsidRPr="003E0470">
              <w:rPr>
                <w:rFonts w:eastAsia="MS Mincho"/>
              </w:rPr>
              <w:t>eek 9</w:t>
            </w:r>
            <w:r w:rsidR="001C3604" w:rsidRPr="003E0470">
              <w:rPr>
                <w:rFonts w:eastAsia="MS Mincho"/>
              </w:rPr>
              <w:t>-</w:t>
            </w:r>
            <w:r w:rsidR="00705BC9" w:rsidRPr="003E0470">
              <w:rPr>
                <w:rFonts w:eastAsia="MS Mincho"/>
              </w:rPr>
              <w:t xml:space="preserve">12 and </w:t>
            </w:r>
            <w:r w:rsidR="00D562FA">
              <w:rPr>
                <w:rFonts w:eastAsia="MS Mincho"/>
              </w:rPr>
              <w:t>w</w:t>
            </w:r>
            <w:r w:rsidR="00705BC9" w:rsidRPr="003E0470">
              <w:rPr>
                <w:rFonts w:eastAsia="MS Mincho"/>
              </w:rPr>
              <w:t>eek 4</w:t>
            </w:r>
            <w:r w:rsidR="001C3604" w:rsidRPr="003E0470">
              <w:rPr>
                <w:rFonts w:eastAsia="MS Mincho"/>
              </w:rPr>
              <w:t>-</w:t>
            </w:r>
            <w:r w:rsidR="00705BC9" w:rsidRPr="003E0470">
              <w:rPr>
                <w:rFonts w:eastAsia="MS Mincho"/>
              </w:rPr>
              <w:t xml:space="preserve">26. </w:t>
            </w:r>
            <w:r w:rsidR="0034211B">
              <w:rPr>
                <w:rFonts w:eastAsia="MS Mincho"/>
              </w:rPr>
              <w:t>7-day PPA</w:t>
            </w:r>
            <w:r w:rsidR="00FF527B">
              <w:rPr>
                <w:rFonts w:eastAsia="MS Mincho"/>
              </w:rPr>
              <w:t xml:space="preserve"> a</w:t>
            </w:r>
            <w:r w:rsidR="00705BC9" w:rsidRPr="00705BC9">
              <w:rPr>
                <w:rFonts w:eastAsia="MS Mincho"/>
              </w:rPr>
              <w:t>t each clinic visit</w:t>
            </w:r>
            <w:r w:rsidR="001C3604">
              <w:rPr>
                <w:rFonts w:eastAsia="MS Mincho"/>
              </w:rPr>
              <w:t xml:space="preserve"> </w:t>
            </w:r>
            <w:r w:rsidR="00705BC9" w:rsidRPr="00705BC9">
              <w:rPr>
                <w:rFonts w:eastAsia="MS Mincho"/>
              </w:rPr>
              <w:t>throughout the treatment phase and at the follow-up</w:t>
            </w:r>
            <w:r w:rsidR="00E06302">
              <w:rPr>
                <w:rFonts w:eastAsia="MS Mincho"/>
              </w:rPr>
              <w:t xml:space="preserve"> </w:t>
            </w:r>
            <w:r w:rsidR="00705BC9" w:rsidRPr="00705BC9">
              <w:rPr>
                <w:rFonts w:eastAsia="MS Mincho"/>
              </w:rPr>
              <w:t>visit at month 6.</w:t>
            </w:r>
            <w:r w:rsidR="00EC1350">
              <w:rPr>
                <w:rFonts w:eastAsia="MS Mincho"/>
              </w:rPr>
              <w:t xml:space="preserve"> </w:t>
            </w:r>
            <w:r w:rsidR="00705BC9" w:rsidRPr="00705BC9">
              <w:rPr>
                <w:rFonts w:eastAsia="MS Mincho"/>
              </w:rPr>
              <w:t>C</w:t>
            </w:r>
            <w:r w:rsidR="00EC1350">
              <w:rPr>
                <w:rFonts w:eastAsia="MS Mincho"/>
              </w:rPr>
              <w:t>AR</w:t>
            </w:r>
            <w:r w:rsidR="00705BC9" w:rsidRPr="00705BC9">
              <w:rPr>
                <w:rFonts w:eastAsia="MS Mincho"/>
              </w:rPr>
              <w:t xml:space="preserve"> from day 22 through each</w:t>
            </w:r>
            <w:r w:rsidR="00BA1D94">
              <w:rPr>
                <w:rFonts w:eastAsia="MS Mincho"/>
              </w:rPr>
              <w:t xml:space="preserve"> </w:t>
            </w:r>
            <w:r w:rsidR="00705BC9" w:rsidRPr="00705BC9">
              <w:rPr>
                <w:rFonts w:eastAsia="MS Mincho"/>
              </w:rPr>
              <w:t>clinic visit during</w:t>
            </w:r>
            <w:r w:rsidR="00BA1D94">
              <w:rPr>
                <w:rFonts w:eastAsia="MS Mincho"/>
              </w:rPr>
              <w:t xml:space="preserve"> </w:t>
            </w:r>
            <w:r w:rsidR="00705BC9" w:rsidRPr="00705BC9">
              <w:rPr>
                <w:rFonts w:eastAsia="MS Mincho"/>
              </w:rPr>
              <w:t>the treatment phase.</w:t>
            </w:r>
            <w:r w:rsidR="00391926">
              <w:rPr>
                <w:rFonts w:eastAsia="MS Mincho"/>
              </w:rPr>
              <w:t xml:space="preserve"> Validated by CO </w:t>
            </w:r>
            <w:r w:rsidR="00391926">
              <w:rPr>
                <w:rFonts w:eastAsia="MS Mincho" w:cstheme="minorHAnsi"/>
              </w:rPr>
              <w:t>≤</w:t>
            </w:r>
            <w:r w:rsidR="00391926">
              <w:rPr>
                <w:rFonts w:eastAsia="MS Mincho"/>
              </w:rPr>
              <w:t>10</w:t>
            </w:r>
            <w:r w:rsidR="00565611">
              <w:rPr>
                <w:rFonts w:eastAsia="MS Mincho"/>
              </w:rPr>
              <w:t xml:space="preserve"> </w:t>
            </w:r>
            <w:r w:rsidR="00391926">
              <w:rPr>
                <w:rFonts w:eastAsia="MS Mincho"/>
              </w:rPr>
              <w:t>ppm.</w:t>
            </w:r>
          </w:p>
        </w:tc>
      </w:tr>
      <w:tr w:rsidR="00305930" w:rsidRPr="00061F78" w14:paraId="6B13A93C" w14:textId="77777777" w:rsidTr="00EC1350">
        <w:trPr>
          <w:trHeight w:val="149"/>
        </w:trPr>
        <w:tc>
          <w:tcPr>
            <w:tcW w:w="364" w:type="pct"/>
            <w:tcMar>
              <w:left w:w="28" w:type="dxa"/>
              <w:right w:w="28" w:type="dxa"/>
            </w:tcMar>
          </w:tcPr>
          <w:p w14:paraId="2D0564D0" w14:textId="77777777" w:rsidR="00812E4D" w:rsidRDefault="00812E4D" w:rsidP="00812E4D">
            <w:pPr>
              <w:pStyle w:val="Tablewriting"/>
              <w:keepNext/>
              <w:rPr>
                <w:rFonts w:eastAsia="MS Mincho"/>
              </w:rPr>
            </w:pPr>
            <w:r>
              <w:rPr>
                <w:rFonts w:eastAsia="MS Mincho"/>
              </w:rPr>
              <w:t>Selby</w:t>
            </w:r>
          </w:p>
          <w:p w14:paraId="5FD5963B" w14:textId="76C0BB97" w:rsidR="00812E4D" w:rsidRDefault="00812E4D" w:rsidP="00812E4D">
            <w:pPr>
              <w:pStyle w:val="Tablewriting"/>
              <w:keepNext/>
              <w:rPr>
                <w:rFonts w:eastAsia="MS Mincho"/>
              </w:rPr>
            </w:pPr>
            <w:r>
              <w:rPr>
                <w:rFonts w:eastAsia="MS Mincho"/>
              </w:rPr>
              <w:t>(2003)</w:t>
            </w:r>
          </w:p>
        </w:tc>
        <w:tc>
          <w:tcPr>
            <w:tcW w:w="379" w:type="pct"/>
          </w:tcPr>
          <w:p w14:paraId="1FF137BE" w14:textId="26DC30BD" w:rsidR="00812E4D" w:rsidRDefault="00812E4D" w:rsidP="00812E4D">
            <w:pPr>
              <w:pStyle w:val="Tablewriting"/>
              <w:keepNext/>
              <w:rPr>
                <w:rFonts w:eastAsia="MS Mincho"/>
              </w:rPr>
            </w:pPr>
            <w:r>
              <w:rPr>
                <w:rFonts w:eastAsia="MS Mincho"/>
              </w:rPr>
              <w:t>RCT</w:t>
            </w:r>
          </w:p>
        </w:tc>
        <w:tc>
          <w:tcPr>
            <w:tcW w:w="378" w:type="pct"/>
            <w:tcMar>
              <w:left w:w="28" w:type="dxa"/>
              <w:right w:w="28" w:type="dxa"/>
            </w:tcMar>
          </w:tcPr>
          <w:p w14:paraId="1EFE4FE0" w14:textId="41992ADC" w:rsidR="00812E4D" w:rsidRPr="00AB3DCB" w:rsidRDefault="00812E4D" w:rsidP="00812E4D">
            <w:pPr>
              <w:pStyle w:val="Tablewriting"/>
              <w:keepNext/>
              <w:rPr>
                <w:rFonts w:eastAsia="MS Mincho"/>
              </w:rPr>
            </w:pPr>
            <w:r w:rsidRPr="00AB3DCB">
              <w:rPr>
                <w:rFonts w:eastAsia="MS Mincho"/>
              </w:rPr>
              <w:t>N=</w:t>
            </w:r>
            <w:r w:rsidR="00AB3DCB" w:rsidRPr="00AB3DCB">
              <w:rPr>
                <w:rFonts w:eastAsia="MS Mincho"/>
              </w:rPr>
              <w:t>284</w:t>
            </w:r>
          </w:p>
          <w:p w14:paraId="1D4AFE26" w14:textId="1B160AC8" w:rsidR="00812E4D" w:rsidRPr="00AB3DCB" w:rsidRDefault="00812E4D" w:rsidP="00812E4D">
            <w:pPr>
              <w:pStyle w:val="Tablewriting"/>
              <w:keepNext/>
              <w:rPr>
                <w:rFonts w:eastAsia="MS Mincho"/>
              </w:rPr>
            </w:pPr>
            <w:r w:rsidRPr="00AB3DCB">
              <w:rPr>
                <w:rFonts w:eastAsia="MS Mincho"/>
              </w:rPr>
              <w:t>Bupropion (n=</w:t>
            </w:r>
            <w:r w:rsidR="00A42D7F" w:rsidRPr="00AB3DCB">
              <w:rPr>
                <w:rFonts w:eastAsia="MS Mincho"/>
              </w:rPr>
              <w:t>141</w:t>
            </w:r>
            <w:r w:rsidRPr="00AB3DCB">
              <w:rPr>
                <w:rFonts w:eastAsia="MS Mincho"/>
              </w:rPr>
              <w:t>),</w:t>
            </w:r>
          </w:p>
          <w:p w14:paraId="03F4337E" w14:textId="275F891B" w:rsidR="00812E4D" w:rsidRPr="004B359D" w:rsidRDefault="00812E4D" w:rsidP="00812E4D">
            <w:pPr>
              <w:pStyle w:val="Tablewriting"/>
              <w:keepNext/>
              <w:rPr>
                <w:rFonts w:eastAsia="MS Mincho"/>
                <w:highlight w:val="yellow"/>
              </w:rPr>
            </w:pPr>
            <w:r w:rsidRPr="00AB3DCB">
              <w:rPr>
                <w:rFonts w:eastAsia="MS Mincho"/>
              </w:rPr>
              <w:t>Placebo (n=</w:t>
            </w:r>
            <w:r w:rsidR="00AB3DCB" w:rsidRPr="00AB3DCB">
              <w:rPr>
                <w:rFonts w:eastAsia="MS Mincho"/>
              </w:rPr>
              <w:t>143</w:t>
            </w:r>
            <w:r w:rsidRPr="00AB3DCB">
              <w:rPr>
                <w:rFonts w:eastAsia="MS Mincho"/>
              </w:rPr>
              <w:t>)</w:t>
            </w:r>
          </w:p>
        </w:tc>
        <w:tc>
          <w:tcPr>
            <w:tcW w:w="1851" w:type="pct"/>
            <w:tcMar>
              <w:left w:w="28" w:type="dxa"/>
              <w:right w:w="28" w:type="dxa"/>
            </w:tcMar>
          </w:tcPr>
          <w:p w14:paraId="672158A1" w14:textId="677EA099" w:rsidR="001221BB" w:rsidRPr="001937EF" w:rsidRDefault="003B3E2A" w:rsidP="003B3E2A">
            <w:pPr>
              <w:pStyle w:val="Tablewriting"/>
              <w:keepNext/>
              <w:rPr>
                <w:rFonts w:eastAsia="MS Mincho"/>
              </w:rPr>
            </w:pPr>
            <w:r w:rsidRPr="001937EF">
              <w:rPr>
                <w:rFonts w:eastAsia="MS Mincho"/>
                <w:u w:val="single"/>
              </w:rPr>
              <w:t>Inclusion</w:t>
            </w:r>
            <w:r w:rsidRPr="001937EF">
              <w:rPr>
                <w:rFonts w:eastAsia="MS Mincho"/>
              </w:rPr>
              <w:t xml:space="preserve">: </w:t>
            </w:r>
            <w:r w:rsidR="0039699B" w:rsidRPr="003B53A1">
              <w:rPr>
                <w:rFonts w:eastAsia="MS Mincho"/>
              </w:rPr>
              <w:t>≥</w:t>
            </w:r>
            <w:r w:rsidR="001221BB">
              <w:rPr>
                <w:rFonts w:eastAsia="MS Mincho"/>
              </w:rPr>
              <w:t xml:space="preserve">18 years </w:t>
            </w:r>
            <w:r w:rsidR="0039699B">
              <w:rPr>
                <w:rFonts w:eastAsia="MS Mincho"/>
              </w:rPr>
              <w:t>old</w:t>
            </w:r>
            <w:r w:rsidR="001221BB">
              <w:rPr>
                <w:rFonts w:eastAsia="MS Mincho"/>
              </w:rPr>
              <w:t xml:space="preserve">, </w:t>
            </w:r>
            <w:r w:rsidR="0039699B">
              <w:rPr>
                <w:rFonts w:eastAsia="MS Mincho" w:cstheme="minorHAnsi"/>
              </w:rPr>
              <w:t>≥</w:t>
            </w:r>
            <w:r w:rsidR="001221BB">
              <w:rPr>
                <w:rFonts w:eastAsia="MS Mincho"/>
              </w:rPr>
              <w:t>15 cigarettes</w:t>
            </w:r>
            <w:r w:rsidR="0039699B">
              <w:rPr>
                <w:rFonts w:eastAsia="MS Mincho"/>
              </w:rPr>
              <w:t xml:space="preserve"> per </w:t>
            </w:r>
            <w:r w:rsidR="00CD6682">
              <w:rPr>
                <w:rFonts w:eastAsia="MS Mincho"/>
              </w:rPr>
              <w:t>day during the previous month and not to have quit for more than 24 hours during that month, previous exposure to bupropion for a minimum of 2 weeks</w:t>
            </w:r>
            <w:r w:rsidR="000F5997">
              <w:rPr>
                <w:rFonts w:eastAsia="MS Mincho"/>
              </w:rPr>
              <w:t xml:space="preserve">, </w:t>
            </w:r>
            <w:r w:rsidR="00D7115F">
              <w:rPr>
                <w:rFonts w:eastAsia="MS Mincho"/>
              </w:rPr>
              <w:t>motivated to quit smoking.</w:t>
            </w:r>
          </w:p>
          <w:p w14:paraId="5146B25C" w14:textId="77777777" w:rsidR="00C12A33" w:rsidRDefault="003B3E2A" w:rsidP="003B3E2A">
            <w:pPr>
              <w:pStyle w:val="Tablewriting"/>
              <w:keepNext/>
              <w:rPr>
                <w:rFonts w:eastAsia="MS Mincho"/>
              </w:rPr>
            </w:pPr>
            <w:r w:rsidRPr="001937EF">
              <w:rPr>
                <w:rFonts w:eastAsia="MS Mincho"/>
                <w:u w:val="single"/>
              </w:rPr>
              <w:t>Exclusion</w:t>
            </w:r>
            <w:r w:rsidRPr="001937EF">
              <w:rPr>
                <w:rFonts w:eastAsia="MS Mincho"/>
              </w:rPr>
              <w:t xml:space="preserve">: </w:t>
            </w:r>
            <w:r w:rsidR="00D7115F" w:rsidRPr="001937EF">
              <w:rPr>
                <w:rFonts w:eastAsia="MS Mincho"/>
              </w:rPr>
              <w:t xml:space="preserve">Uncontrolled chronic </w:t>
            </w:r>
            <w:r w:rsidR="00C54B71" w:rsidRPr="001937EF">
              <w:rPr>
                <w:rFonts w:eastAsia="MS Mincho"/>
              </w:rPr>
              <w:t xml:space="preserve">disease, any predisposition to seizures, a history of psychiatric disorder, or a current </w:t>
            </w:r>
            <w:r w:rsidR="001937EF" w:rsidRPr="001937EF">
              <w:rPr>
                <w:rFonts w:eastAsia="MS Mincho"/>
              </w:rPr>
              <w:t xml:space="preserve">history of </w:t>
            </w:r>
            <w:r w:rsidR="00C54B71" w:rsidRPr="001937EF">
              <w:rPr>
                <w:rFonts w:eastAsia="MS Mincho"/>
              </w:rPr>
              <w:t>chemical dependency, including alcohol.</w:t>
            </w:r>
          </w:p>
          <w:p w14:paraId="37FE93B8" w14:textId="77777777" w:rsidR="00C12A33" w:rsidRDefault="00C12A33" w:rsidP="003B3E2A">
            <w:pPr>
              <w:pStyle w:val="Tablewriting"/>
              <w:keepNext/>
              <w:rPr>
                <w:rFonts w:eastAsia="MS Mincho"/>
              </w:rPr>
            </w:pPr>
          </w:p>
          <w:p w14:paraId="4A68167B" w14:textId="60045012" w:rsidR="003B3E2A" w:rsidRPr="004B359D" w:rsidRDefault="00C12A33" w:rsidP="003B3E2A">
            <w:pPr>
              <w:pStyle w:val="Tablewriting"/>
              <w:keepNext/>
              <w:rPr>
                <w:rFonts w:eastAsia="MS Mincho"/>
                <w:highlight w:val="yellow"/>
                <w:u w:val="single"/>
              </w:rPr>
            </w:pPr>
            <w:r>
              <w:rPr>
                <w:rFonts w:eastAsia="MS Mincho"/>
              </w:rPr>
              <w:t xml:space="preserve">The </w:t>
            </w:r>
            <w:r w:rsidR="0095082B">
              <w:rPr>
                <w:rFonts w:eastAsia="MS Mincho"/>
              </w:rPr>
              <w:t>duration</w:t>
            </w:r>
            <w:r>
              <w:rPr>
                <w:rFonts w:eastAsia="MS Mincho"/>
              </w:rPr>
              <w:t xml:space="preserve"> between previous bupropion treatment and retreatment</w:t>
            </w:r>
            <w:r w:rsidR="004E596C">
              <w:rPr>
                <w:rFonts w:eastAsia="MS Mincho"/>
              </w:rPr>
              <w:t xml:space="preserve"> </w:t>
            </w:r>
            <w:r>
              <w:rPr>
                <w:rFonts w:eastAsia="MS Mincho"/>
              </w:rPr>
              <w:t>was not reported.</w:t>
            </w:r>
            <w:r w:rsidR="004E596C">
              <w:rPr>
                <w:rFonts w:eastAsia="MS Mincho"/>
              </w:rPr>
              <w:t xml:space="preserve"> D</w:t>
            </w:r>
            <w:r w:rsidR="00C71432">
              <w:rPr>
                <w:rFonts w:eastAsia="MS Mincho"/>
              </w:rPr>
              <w:t>uration of previous bupropion treatment was at least 2 weeks</w:t>
            </w:r>
            <w:r w:rsidR="00826C95">
              <w:rPr>
                <w:rFonts w:eastAsia="MS Mincho"/>
              </w:rPr>
              <w:t xml:space="preserve">. </w:t>
            </w:r>
          </w:p>
        </w:tc>
        <w:tc>
          <w:tcPr>
            <w:tcW w:w="820" w:type="pct"/>
          </w:tcPr>
          <w:p w14:paraId="394808AC" w14:textId="5AFA5E28" w:rsidR="00812E4D" w:rsidRPr="00907FD8" w:rsidRDefault="00812E4D" w:rsidP="00812E4D">
            <w:pPr>
              <w:pStyle w:val="Tablewriting"/>
              <w:keepNext/>
              <w:rPr>
                <w:rFonts w:eastAsia="MS Mincho"/>
              </w:rPr>
            </w:pPr>
            <w:r w:rsidRPr="00907FD8">
              <w:rPr>
                <w:rFonts w:eastAsia="MS Mincho"/>
              </w:rPr>
              <w:t>Bupropion: 150</w:t>
            </w:r>
            <w:r w:rsidR="00565611">
              <w:rPr>
                <w:rFonts w:eastAsia="MS Mincho"/>
              </w:rPr>
              <w:t xml:space="preserve"> </w:t>
            </w:r>
            <w:r w:rsidRPr="00907FD8">
              <w:rPr>
                <w:rFonts w:eastAsia="MS Mincho"/>
              </w:rPr>
              <w:t xml:space="preserve">mg twice daily including titration </w:t>
            </w:r>
            <w:r w:rsidR="004D60BF" w:rsidRPr="004D60BF">
              <w:rPr>
                <w:rFonts w:eastAsia="MS Mincho"/>
              </w:rPr>
              <w:t xml:space="preserve">over </w:t>
            </w:r>
            <w:r w:rsidR="00313854">
              <w:rPr>
                <w:rFonts w:eastAsia="MS Mincho"/>
              </w:rPr>
              <w:t>12</w:t>
            </w:r>
            <w:r w:rsidR="004D60BF" w:rsidRPr="004D60BF">
              <w:rPr>
                <w:rFonts w:eastAsia="MS Mincho"/>
              </w:rPr>
              <w:t xml:space="preserve"> weeks </w:t>
            </w:r>
            <w:r w:rsidRPr="00907FD8">
              <w:rPr>
                <w:rFonts w:eastAsia="MS Mincho"/>
              </w:rPr>
              <w:t>(</w:t>
            </w:r>
            <w:r w:rsidR="00826C95" w:rsidRPr="00907FD8">
              <w:rPr>
                <w:rFonts w:eastAsia="MS Mincho"/>
              </w:rPr>
              <w:t>i.e.,</w:t>
            </w:r>
            <w:r w:rsidRPr="00907FD8">
              <w:rPr>
                <w:rFonts w:eastAsia="MS Mincho"/>
              </w:rPr>
              <w:t xml:space="preserve"> 150</w:t>
            </w:r>
            <w:r w:rsidR="00565611">
              <w:rPr>
                <w:rFonts w:eastAsia="MS Mincho"/>
              </w:rPr>
              <w:t xml:space="preserve"> </w:t>
            </w:r>
            <w:r w:rsidRPr="00907FD8">
              <w:rPr>
                <w:rFonts w:eastAsia="MS Mincho"/>
              </w:rPr>
              <w:t>mg once daily for 3 days, then 150</w:t>
            </w:r>
            <w:r w:rsidR="00565611">
              <w:rPr>
                <w:rFonts w:eastAsia="MS Mincho"/>
              </w:rPr>
              <w:t xml:space="preserve"> </w:t>
            </w:r>
            <w:r w:rsidRPr="00907FD8">
              <w:rPr>
                <w:rFonts w:eastAsia="MS Mincho"/>
              </w:rPr>
              <w:t>mg twice daily)</w:t>
            </w:r>
            <w:r w:rsidR="00155324">
              <w:rPr>
                <w:rFonts w:eastAsia="MS Mincho"/>
              </w:rPr>
              <w:t>;</w:t>
            </w:r>
            <w:r w:rsidR="003B3E2A" w:rsidRPr="00907FD8">
              <w:rPr>
                <w:rFonts w:eastAsia="MS Mincho"/>
              </w:rPr>
              <w:t xml:space="preserve"> </w:t>
            </w:r>
          </w:p>
          <w:p w14:paraId="1D938AAF" w14:textId="49C3C6A7" w:rsidR="00812E4D" w:rsidRDefault="00812E4D" w:rsidP="00812E4D">
            <w:pPr>
              <w:pStyle w:val="Tablewriting"/>
              <w:keepNext/>
              <w:rPr>
                <w:rFonts w:eastAsia="MS Mincho"/>
              </w:rPr>
            </w:pPr>
            <w:r w:rsidRPr="00907FD8">
              <w:rPr>
                <w:rFonts w:eastAsia="MS Mincho"/>
              </w:rPr>
              <w:t>Placebo: placebo tablets, same regimen</w:t>
            </w:r>
            <w:r w:rsidR="00AB5FA3">
              <w:rPr>
                <w:rFonts w:eastAsia="MS Mincho"/>
              </w:rPr>
              <w:t>.</w:t>
            </w:r>
          </w:p>
          <w:p w14:paraId="5B2B769E" w14:textId="77777777" w:rsidR="00E81F2B" w:rsidRDefault="00E81F2B" w:rsidP="00812E4D">
            <w:pPr>
              <w:pStyle w:val="Tablewriting"/>
              <w:keepNext/>
              <w:rPr>
                <w:rFonts w:eastAsia="MS Mincho"/>
                <w:highlight w:val="yellow"/>
              </w:rPr>
            </w:pPr>
          </w:p>
          <w:p w14:paraId="16333EE2" w14:textId="34C88C31" w:rsidR="00E81F2B" w:rsidRPr="004B359D" w:rsidRDefault="00E81F2B" w:rsidP="00812E4D">
            <w:pPr>
              <w:pStyle w:val="Tablewriting"/>
              <w:keepNext/>
              <w:rPr>
                <w:rFonts w:eastAsia="MS Mincho"/>
                <w:highlight w:val="yellow"/>
              </w:rPr>
            </w:pPr>
            <w:r w:rsidRPr="00E81F2B">
              <w:rPr>
                <w:rFonts w:eastAsia="MS Mincho"/>
              </w:rPr>
              <w:t xml:space="preserve">Behavioural support </w:t>
            </w:r>
            <w:r>
              <w:rPr>
                <w:rFonts w:eastAsia="MS Mincho"/>
              </w:rPr>
              <w:t>not described</w:t>
            </w:r>
            <w:r w:rsidRPr="00E81F2B">
              <w:rPr>
                <w:rFonts w:eastAsia="MS Mincho"/>
              </w:rPr>
              <w:t>.</w:t>
            </w:r>
          </w:p>
        </w:tc>
        <w:tc>
          <w:tcPr>
            <w:tcW w:w="1207" w:type="pct"/>
            <w:tcMar>
              <w:left w:w="28" w:type="dxa"/>
              <w:right w:w="28" w:type="dxa"/>
            </w:tcMar>
          </w:tcPr>
          <w:p w14:paraId="2C477918" w14:textId="7BD3ACF1" w:rsidR="00555487" w:rsidRPr="00D046AB" w:rsidRDefault="003B3E2A" w:rsidP="00555487">
            <w:pPr>
              <w:pStyle w:val="Tablewriting"/>
              <w:keepNext/>
              <w:rPr>
                <w:rFonts w:eastAsia="MS Mincho"/>
              </w:rPr>
            </w:pPr>
            <w:r w:rsidRPr="00D046AB">
              <w:rPr>
                <w:rFonts w:eastAsia="MS Mincho"/>
                <w:u w:val="single"/>
              </w:rPr>
              <w:t>Primary</w:t>
            </w:r>
            <w:r w:rsidRPr="00D046AB">
              <w:rPr>
                <w:rFonts w:eastAsia="MS Mincho"/>
              </w:rPr>
              <w:t>: C</w:t>
            </w:r>
            <w:r w:rsidR="004A2E16">
              <w:rPr>
                <w:rFonts w:eastAsia="MS Mincho"/>
              </w:rPr>
              <w:t>AR</w:t>
            </w:r>
            <w:r w:rsidR="008871B7">
              <w:rPr>
                <w:rFonts w:eastAsia="MS Mincho"/>
              </w:rPr>
              <w:t xml:space="preserve"> </w:t>
            </w:r>
            <w:r w:rsidRPr="00D046AB">
              <w:rPr>
                <w:rFonts w:eastAsia="MS Mincho"/>
              </w:rPr>
              <w:t xml:space="preserve">at </w:t>
            </w:r>
            <w:r w:rsidR="00D562FA">
              <w:rPr>
                <w:rFonts w:eastAsia="MS Mincho"/>
              </w:rPr>
              <w:t>w</w:t>
            </w:r>
            <w:r w:rsidRPr="00D046AB">
              <w:rPr>
                <w:rFonts w:eastAsia="MS Mincho"/>
              </w:rPr>
              <w:t xml:space="preserve">eek </w:t>
            </w:r>
            <w:r w:rsidR="00AE509D" w:rsidRPr="00D046AB">
              <w:rPr>
                <w:rFonts w:eastAsia="MS Mincho"/>
              </w:rPr>
              <w:t>4-7</w:t>
            </w:r>
            <w:r w:rsidRPr="00D046AB">
              <w:rPr>
                <w:rFonts w:eastAsia="MS Mincho"/>
              </w:rPr>
              <w:t>. Validated by CO</w:t>
            </w:r>
            <w:r w:rsidR="00A8344A">
              <w:rPr>
                <w:rFonts w:eastAsia="MS Mincho"/>
              </w:rPr>
              <w:t xml:space="preserve"> </w:t>
            </w:r>
            <w:r w:rsidRPr="00D046AB">
              <w:rPr>
                <w:rFonts w:eastAsia="MS Mincho" w:cstheme="minorHAnsi"/>
              </w:rPr>
              <w:t>≤</w:t>
            </w:r>
            <w:r w:rsidRPr="00D046AB">
              <w:rPr>
                <w:rFonts w:eastAsia="MS Mincho"/>
              </w:rPr>
              <w:t>10</w:t>
            </w:r>
            <w:r w:rsidR="00565611">
              <w:rPr>
                <w:rFonts w:eastAsia="MS Mincho"/>
              </w:rPr>
              <w:t xml:space="preserve"> </w:t>
            </w:r>
            <w:r w:rsidRPr="00D046AB">
              <w:rPr>
                <w:rFonts w:eastAsia="MS Mincho"/>
              </w:rPr>
              <w:t>ppm.</w:t>
            </w:r>
          </w:p>
          <w:p w14:paraId="4CFD4923" w14:textId="05E198E1" w:rsidR="00555487" w:rsidRPr="00D046AB" w:rsidRDefault="003B3E2A" w:rsidP="00555487">
            <w:pPr>
              <w:pStyle w:val="Tablewriting"/>
              <w:keepNext/>
              <w:rPr>
                <w:rFonts w:eastAsia="MS Mincho"/>
              </w:rPr>
            </w:pPr>
            <w:r w:rsidRPr="00D046AB">
              <w:rPr>
                <w:rFonts w:eastAsia="MS Mincho"/>
                <w:u w:val="single"/>
              </w:rPr>
              <w:t>Secondary</w:t>
            </w:r>
            <w:r w:rsidRPr="00D046AB">
              <w:rPr>
                <w:rFonts w:eastAsia="MS Mincho"/>
              </w:rPr>
              <w:t>: C</w:t>
            </w:r>
            <w:r w:rsidR="008871B7">
              <w:rPr>
                <w:rFonts w:eastAsia="MS Mincho"/>
              </w:rPr>
              <w:t>AR</w:t>
            </w:r>
            <w:r w:rsidRPr="00D046AB">
              <w:rPr>
                <w:rFonts w:eastAsia="MS Mincho"/>
              </w:rPr>
              <w:t xml:space="preserve"> at </w:t>
            </w:r>
            <w:r w:rsidR="00D562FA">
              <w:rPr>
                <w:rFonts w:eastAsia="MS Mincho"/>
              </w:rPr>
              <w:t>w</w:t>
            </w:r>
            <w:r w:rsidRPr="00D046AB">
              <w:rPr>
                <w:rFonts w:eastAsia="MS Mincho"/>
              </w:rPr>
              <w:t xml:space="preserve">eek </w:t>
            </w:r>
            <w:r w:rsidR="00D052A1" w:rsidRPr="00D046AB">
              <w:rPr>
                <w:rFonts w:eastAsia="MS Mincho"/>
              </w:rPr>
              <w:t>9-12</w:t>
            </w:r>
            <w:r w:rsidR="0039699B">
              <w:rPr>
                <w:rFonts w:eastAsia="MS Mincho"/>
              </w:rPr>
              <w:t>.</w:t>
            </w:r>
            <w:r w:rsidRPr="00D046AB">
              <w:rPr>
                <w:rFonts w:eastAsia="MS Mincho"/>
              </w:rPr>
              <w:t xml:space="preserve"> 7-day PPA </w:t>
            </w:r>
            <w:r w:rsidR="00D052A1" w:rsidRPr="00D046AB">
              <w:rPr>
                <w:rFonts w:eastAsia="MS Mincho"/>
              </w:rPr>
              <w:t xml:space="preserve">during the treatment </w:t>
            </w:r>
            <w:r w:rsidR="00826C95" w:rsidRPr="00D046AB">
              <w:rPr>
                <w:rFonts w:eastAsia="MS Mincho"/>
              </w:rPr>
              <w:t>period</w:t>
            </w:r>
            <w:r w:rsidR="00826C95">
              <w:rPr>
                <w:rFonts w:eastAsia="MS Mincho"/>
              </w:rPr>
              <w:t xml:space="preserve"> and</w:t>
            </w:r>
            <w:r w:rsidR="00EC6B19">
              <w:rPr>
                <w:rFonts w:eastAsia="MS Mincho"/>
              </w:rPr>
              <w:t xml:space="preserve"> at </w:t>
            </w:r>
            <w:r w:rsidR="00313854">
              <w:rPr>
                <w:rFonts w:eastAsia="MS Mincho"/>
              </w:rPr>
              <w:t>12</w:t>
            </w:r>
            <w:r w:rsidR="00EC6B19">
              <w:rPr>
                <w:rFonts w:eastAsia="MS Mincho"/>
              </w:rPr>
              <w:t xml:space="preserve"> months</w:t>
            </w:r>
            <w:r w:rsidR="00D046AB" w:rsidRPr="00D046AB">
              <w:rPr>
                <w:rFonts w:eastAsia="MS Mincho"/>
              </w:rPr>
              <w:t>.</w:t>
            </w:r>
            <w:r w:rsidR="00B838F6">
              <w:rPr>
                <w:rFonts w:eastAsia="MS Mincho"/>
              </w:rPr>
              <w:t xml:space="preserve"> Validated by CO </w:t>
            </w:r>
            <w:r w:rsidR="00B838F6">
              <w:rPr>
                <w:rFonts w:eastAsia="MS Mincho" w:cstheme="minorHAnsi"/>
              </w:rPr>
              <w:t>≤</w:t>
            </w:r>
            <w:r w:rsidR="00B838F6">
              <w:rPr>
                <w:rFonts w:eastAsia="MS Mincho"/>
              </w:rPr>
              <w:t>10</w:t>
            </w:r>
            <w:r w:rsidR="00565611">
              <w:rPr>
                <w:rFonts w:eastAsia="MS Mincho"/>
              </w:rPr>
              <w:t xml:space="preserve"> </w:t>
            </w:r>
            <w:r w:rsidR="00B838F6">
              <w:rPr>
                <w:rFonts w:eastAsia="MS Mincho"/>
              </w:rPr>
              <w:t>ppm.</w:t>
            </w:r>
          </w:p>
          <w:p w14:paraId="4700218B" w14:textId="039C6A15" w:rsidR="00812E4D" w:rsidRPr="004B359D" w:rsidRDefault="00812E4D" w:rsidP="003B3E2A">
            <w:pPr>
              <w:pStyle w:val="Tablewriting"/>
              <w:keepNext/>
              <w:rPr>
                <w:rFonts w:eastAsia="MS Mincho"/>
                <w:highlight w:val="yellow"/>
                <w:u w:val="single"/>
              </w:rPr>
            </w:pPr>
          </w:p>
        </w:tc>
      </w:tr>
    </w:tbl>
    <w:p w14:paraId="29010330" w14:textId="6C63056A" w:rsidR="00EC1350" w:rsidRDefault="00EC1350" w:rsidP="008B6781">
      <w:pPr>
        <w:pStyle w:val="TableFooter"/>
        <w:keepNext/>
        <w:jc w:val="both"/>
      </w:pPr>
      <w:r w:rsidRPr="00EC1350">
        <w:t xml:space="preserve">Abbreviations: CAR = continuous abstinence rate; CO = carbon monoxide; PPA = point prevalence abstinence; RCT = randomised controlled trial </w:t>
      </w:r>
    </w:p>
    <w:p w14:paraId="6DF0BCA7" w14:textId="29F8B453" w:rsidR="002D09A1" w:rsidRDefault="002D09A1" w:rsidP="008B6781">
      <w:pPr>
        <w:pStyle w:val="TableFooter"/>
        <w:keepNext/>
        <w:jc w:val="both"/>
      </w:pPr>
      <w:r>
        <w:t xml:space="preserve">Notes: Gonzales et al. (2001) and Selby et al. (2003) were included in the Cochrane </w:t>
      </w:r>
      <w:r w:rsidR="00565611">
        <w:t>R</w:t>
      </w:r>
      <w:r>
        <w:t>eview by Howes et al. (2020).</w:t>
      </w:r>
    </w:p>
    <w:p w14:paraId="0EAB14E5" w14:textId="2986321F" w:rsidR="00380A0B" w:rsidRDefault="00724DAD" w:rsidP="008B6781">
      <w:pPr>
        <w:pStyle w:val="TableFooter"/>
        <w:keepNext/>
        <w:jc w:val="both"/>
        <w:sectPr w:rsidR="00380A0B" w:rsidSect="00380A0B">
          <w:pgSz w:w="16838" w:h="11906" w:orient="landscape"/>
          <w:pgMar w:top="1440" w:right="1440" w:bottom="1440" w:left="1440" w:header="708" w:footer="708" w:gutter="0"/>
          <w:cols w:space="708"/>
          <w:titlePg/>
          <w:docGrid w:linePitch="360"/>
        </w:sectPr>
      </w:pPr>
      <w:r>
        <w:t>1 Only the number of patients (n) in the relevant arms were included</w:t>
      </w:r>
      <w:r w:rsidR="00826C95">
        <w:t xml:space="preserve">. </w:t>
      </w:r>
    </w:p>
    <w:p w14:paraId="60F4EF6B" w14:textId="77777777" w:rsidR="00181041" w:rsidRPr="00181041" w:rsidRDefault="00181041" w:rsidP="008B6781">
      <w:pPr>
        <w:spacing w:after="120"/>
        <w:jc w:val="both"/>
        <w:rPr>
          <w:u w:val="single"/>
        </w:rPr>
      </w:pPr>
      <w:r w:rsidRPr="00181041">
        <w:rPr>
          <w:u w:val="single"/>
        </w:rPr>
        <w:lastRenderedPageBreak/>
        <w:t>Efficacy</w:t>
      </w:r>
    </w:p>
    <w:p w14:paraId="44276EEE" w14:textId="0CF9F777" w:rsidR="00380A0B" w:rsidRDefault="00181041" w:rsidP="008B6781">
      <w:pPr>
        <w:spacing w:after="120"/>
        <w:jc w:val="both"/>
      </w:pPr>
      <w:r>
        <w:t xml:space="preserve">A summary of the smoking cessation rates at 12 months </w:t>
      </w:r>
      <w:r w:rsidR="00155324">
        <w:t xml:space="preserve">comparing bupropion with placebo </w:t>
      </w:r>
      <w:r w:rsidR="00EA06F7">
        <w:t xml:space="preserve">in non-abstainers as retreatment </w:t>
      </w:r>
      <w:r>
        <w:t xml:space="preserve">is presented in </w:t>
      </w:r>
      <w:r w:rsidR="00656636">
        <w:fldChar w:fldCharType="begin" w:fldLock="1"/>
      </w:r>
      <w:r w:rsidR="00656636">
        <w:instrText xml:space="preserve"> REF _Ref54959353 \h </w:instrText>
      </w:r>
      <w:r w:rsidR="00656636">
        <w:fldChar w:fldCharType="separate"/>
      </w:r>
      <w:r w:rsidR="00EC5CC7">
        <w:t xml:space="preserve">Table </w:t>
      </w:r>
      <w:r w:rsidR="00EC5CC7">
        <w:rPr>
          <w:noProof/>
        </w:rPr>
        <w:t>44</w:t>
      </w:r>
      <w:r w:rsidR="00656636">
        <w:fldChar w:fldCharType="end"/>
      </w:r>
      <w:r>
        <w:t xml:space="preserve">. </w:t>
      </w:r>
      <w:r w:rsidR="0053108C" w:rsidRPr="0053108C">
        <w:t xml:space="preserve">The results of </w:t>
      </w:r>
      <w:r w:rsidR="0053108C">
        <w:t>Gonzales</w:t>
      </w:r>
      <w:r w:rsidR="0053108C" w:rsidRPr="0053108C">
        <w:t xml:space="preserve"> et al. (</w:t>
      </w:r>
      <w:r w:rsidR="0053108C">
        <w:t>2001</w:t>
      </w:r>
      <w:r w:rsidR="0053108C" w:rsidRPr="0053108C">
        <w:t xml:space="preserve">) demonstrated a statistically significant difference in continuous abstinence rate, in favour of bupropion. In contrast, no statistically significant difference was observed between the two treatment arms in </w:t>
      </w:r>
      <w:r w:rsidR="00B82CE0">
        <w:t>Selby</w:t>
      </w:r>
      <w:r w:rsidR="0053108C" w:rsidRPr="0053108C">
        <w:t xml:space="preserve"> et al. (</w:t>
      </w:r>
      <w:r w:rsidR="00B82CE0">
        <w:t>2003</w:t>
      </w:r>
      <w:r w:rsidR="0053108C" w:rsidRPr="0053108C">
        <w:t>), although the results numerically favoured bupropion.</w:t>
      </w:r>
      <w:r w:rsidR="00182F86">
        <w:t xml:space="preserve"> It was noted that the results of these studies were included in the primary efficacy analysis of bupropion versus placebo</w:t>
      </w:r>
      <w:r w:rsidR="0024305F">
        <w:t xml:space="preserve"> conducted by Howes et al. (2020)</w:t>
      </w:r>
      <w:r w:rsidR="00245D9D">
        <w:t>,</w:t>
      </w:r>
      <w:r w:rsidR="00182F86">
        <w:t xml:space="preserve"> </w:t>
      </w:r>
      <w:r w:rsidR="00245D9D">
        <w:t xml:space="preserve">presented </w:t>
      </w:r>
      <w:r w:rsidR="00182F86">
        <w:t xml:space="preserve">in the </w:t>
      </w:r>
      <w:r w:rsidR="00F171AF">
        <w:t xml:space="preserve">treatment-naïve </w:t>
      </w:r>
      <w:r w:rsidR="00182F86">
        <w:t>population</w:t>
      </w:r>
      <w:r w:rsidR="00245D9D">
        <w:t xml:space="preserve"> section</w:t>
      </w:r>
      <w:r w:rsidR="00182F86">
        <w:t>.</w:t>
      </w:r>
    </w:p>
    <w:p w14:paraId="3BD88428" w14:textId="49F229F2" w:rsidR="00D07C34" w:rsidRDefault="00D07C34" w:rsidP="008B6781">
      <w:pPr>
        <w:spacing w:after="120"/>
        <w:jc w:val="both"/>
      </w:pPr>
      <w:r>
        <w:t>The results of the meta-analysis of the two studies conducted during the review demonstrated</w:t>
      </w:r>
      <w:r w:rsidR="009C001F">
        <w:t xml:space="preserve"> no statistically significant difference between the two treatment arms </w:t>
      </w:r>
      <w:r w:rsidR="004D2EA4">
        <w:t xml:space="preserve">in terms of risk ratio. However, the results were </w:t>
      </w:r>
      <w:r w:rsidR="00147CAF">
        <w:t xml:space="preserve">statistically </w:t>
      </w:r>
      <w:r w:rsidR="004D2EA4">
        <w:t>significant</w:t>
      </w:r>
      <w:r w:rsidR="00CC69C7">
        <w:t>, in favour of bupropion,</w:t>
      </w:r>
      <w:r w:rsidR="004D2EA4">
        <w:t xml:space="preserve"> when </w:t>
      </w:r>
      <w:r w:rsidR="00321CCB">
        <w:t>risk difference</w:t>
      </w:r>
      <w:r w:rsidR="00770F4C">
        <w:t xml:space="preserve"> (</w:t>
      </w:r>
      <w:r w:rsidR="00321CCB">
        <w:t xml:space="preserve">absolute </w:t>
      </w:r>
      <w:r w:rsidR="006401E7">
        <w:t xml:space="preserve">measure of </w:t>
      </w:r>
      <w:r w:rsidR="00321CCB">
        <w:t>effect) was used.</w:t>
      </w:r>
    </w:p>
    <w:p w14:paraId="3AC7D7B6" w14:textId="70A8F700" w:rsidR="00690C66" w:rsidRDefault="00690C66" w:rsidP="008B6781">
      <w:pPr>
        <w:pStyle w:val="Caption"/>
        <w:keepNext/>
        <w:spacing w:before="0" w:after="120"/>
        <w:jc w:val="both"/>
      </w:pPr>
      <w:bookmarkStart w:id="91" w:name="_Ref54959353"/>
      <w:r>
        <w:t xml:space="preserve">Table </w:t>
      </w:r>
      <w:r w:rsidR="00BF3F75">
        <w:fldChar w:fldCharType="begin"/>
      </w:r>
      <w:r w:rsidR="00BF3F75">
        <w:instrText xml:space="preserve"> SEQ Table \* ARABIC </w:instrText>
      </w:r>
      <w:r w:rsidR="00BF3F75">
        <w:fldChar w:fldCharType="separate"/>
      </w:r>
      <w:r w:rsidR="00EC5CC7">
        <w:rPr>
          <w:noProof/>
        </w:rPr>
        <w:t>44</w:t>
      </w:r>
      <w:r w:rsidR="00BF3F75">
        <w:rPr>
          <w:noProof/>
        </w:rPr>
        <w:fldChar w:fldCharType="end"/>
      </w:r>
      <w:bookmarkEnd w:id="91"/>
      <w:r>
        <w:t xml:space="preserve">: </w:t>
      </w:r>
      <w:r w:rsidRPr="00924F11">
        <w:t xml:space="preserve">Results </w:t>
      </w:r>
      <w:r w:rsidR="00A164FE">
        <w:t xml:space="preserve">of </w:t>
      </w:r>
      <w:r w:rsidR="00A164FE" w:rsidRPr="00A164FE">
        <w:t xml:space="preserve">smoking cessation at </w:t>
      </w:r>
      <w:r w:rsidR="00656636">
        <w:t>12 months</w:t>
      </w:r>
      <w:r w:rsidR="00A164FE" w:rsidRPr="00A164FE">
        <w:t>, bupropion versus placebo</w:t>
      </w:r>
      <w:r w:rsidR="00267C5C">
        <w:t xml:space="preserve"> </w:t>
      </w:r>
      <w:r w:rsidR="00267C5C" w:rsidRPr="0074518D">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3A784A" w:rsidRPr="00061F78" w14:paraId="38193C6A" w14:textId="77777777" w:rsidTr="00245D9D">
        <w:trPr>
          <w:cantSplit/>
          <w:trHeight w:val="299"/>
          <w:tblHeader/>
        </w:trPr>
        <w:tc>
          <w:tcPr>
            <w:tcW w:w="721" w:type="pct"/>
            <w:shd w:val="clear" w:color="auto" w:fill="BFBFBF" w:themeFill="background1" w:themeFillShade="BF"/>
            <w:tcMar>
              <w:left w:w="28" w:type="dxa"/>
              <w:right w:w="28" w:type="dxa"/>
            </w:tcMar>
          </w:tcPr>
          <w:p w14:paraId="536F0A1C" w14:textId="60994BE3" w:rsidR="003A784A" w:rsidRPr="00061F78" w:rsidRDefault="00126B7B" w:rsidP="00245D9D">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14:paraId="65E3C23D" w14:textId="77777777" w:rsidR="003A784A" w:rsidRDefault="003A784A" w:rsidP="00245D9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6D9F97D7" w14:textId="58E98E9F" w:rsidR="003A784A" w:rsidRPr="00061F78" w:rsidRDefault="00143B65" w:rsidP="00245D9D">
            <w:pPr>
              <w:pStyle w:val="Tableheading"/>
              <w:keepNext/>
              <w:jc w:val="center"/>
              <w:rPr>
                <w:rFonts w:eastAsia="MS Mincho"/>
              </w:rPr>
            </w:pPr>
            <w:r>
              <w:rPr>
                <w:rFonts w:eastAsia="MS Mincho"/>
              </w:rPr>
              <w:t>Bupropion</w:t>
            </w:r>
          </w:p>
        </w:tc>
        <w:tc>
          <w:tcPr>
            <w:tcW w:w="851" w:type="pct"/>
            <w:shd w:val="clear" w:color="auto" w:fill="BFBFBF" w:themeFill="background1" w:themeFillShade="BF"/>
            <w:tcMar>
              <w:left w:w="28" w:type="dxa"/>
              <w:right w:w="28" w:type="dxa"/>
            </w:tcMar>
            <w:vAlign w:val="center"/>
          </w:tcPr>
          <w:p w14:paraId="1E9112B6" w14:textId="77777777" w:rsidR="003A784A" w:rsidRPr="00061F78" w:rsidRDefault="003A784A" w:rsidP="00245D9D">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14:paraId="3E87907B" w14:textId="5ED58AE0" w:rsidR="003A784A" w:rsidRPr="002D09A1" w:rsidRDefault="003A784A" w:rsidP="00245D9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71BE99A5" w14:textId="77777777" w:rsidR="003A784A" w:rsidRDefault="003A784A" w:rsidP="00245D9D">
            <w:pPr>
              <w:pStyle w:val="Tableheading"/>
              <w:keepNext/>
              <w:jc w:val="center"/>
              <w:rPr>
                <w:rFonts w:eastAsia="MS Mincho"/>
              </w:rPr>
            </w:pPr>
            <w:r>
              <w:rPr>
                <w:rFonts w:eastAsia="MS Mincho"/>
              </w:rPr>
              <w:t>RD (95% CI)</w:t>
            </w:r>
          </w:p>
        </w:tc>
      </w:tr>
      <w:tr w:rsidR="003A784A" w:rsidRPr="00061F78" w14:paraId="002AF62C" w14:textId="77777777" w:rsidTr="00251B64">
        <w:trPr>
          <w:cantSplit/>
          <w:trHeight w:val="99"/>
        </w:trPr>
        <w:tc>
          <w:tcPr>
            <w:tcW w:w="721" w:type="pct"/>
            <w:shd w:val="clear" w:color="auto" w:fill="auto"/>
            <w:tcMar>
              <w:left w:w="28" w:type="dxa"/>
              <w:right w:w="28" w:type="dxa"/>
            </w:tcMar>
          </w:tcPr>
          <w:p w14:paraId="3B2F7085" w14:textId="60C064F9" w:rsidR="003A784A" w:rsidRPr="00251B64" w:rsidRDefault="003A784A" w:rsidP="00245D9D">
            <w:pPr>
              <w:pStyle w:val="Tablewriting"/>
              <w:keepNext/>
              <w:rPr>
                <w:rFonts w:eastAsia="MS Mincho"/>
              </w:rPr>
            </w:pPr>
            <w:r w:rsidRPr="00251B64">
              <w:rPr>
                <w:rFonts w:eastAsia="MS Mincho"/>
              </w:rPr>
              <w:t>Gonzales (20</w:t>
            </w:r>
            <w:r w:rsidR="00251B64">
              <w:rPr>
                <w:rFonts w:eastAsia="MS Mincho"/>
              </w:rPr>
              <w:t>01</w:t>
            </w:r>
            <w:r w:rsidRPr="00251B64">
              <w:rPr>
                <w:rFonts w:eastAsia="MS Mincho"/>
              </w:rPr>
              <w:t>)</w:t>
            </w:r>
            <w:r w:rsidRPr="00251B64">
              <w:rPr>
                <w:rFonts w:eastAsia="MS Mincho"/>
                <w:vertAlign w:val="superscript"/>
              </w:rPr>
              <w:t>1</w:t>
            </w:r>
            <w:r w:rsidRPr="00251B64">
              <w:rPr>
                <w:rFonts w:eastAsia="MS Mincho"/>
              </w:rPr>
              <w:t xml:space="preserve"> </w:t>
            </w:r>
          </w:p>
        </w:tc>
        <w:tc>
          <w:tcPr>
            <w:tcW w:w="920" w:type="pct"/>
            <w:shd w:val="clear" w:color="auto" w:fill="auto"/>
            <w:vAlign w:val="center"/>
          </w:tcPr>
          <w:p w14:paraId="25FC7922" w14:textId="77777777" w:rsidR="003A784A" w:rsidRPr="00251B64" w:rsidRDefault="003A784A" w:rsidP="00245D9D">
            <w:pPr>
              <w:pStyle w:val="Tablewriting"/>
              <w:keepNext/>
              <w:jc w:val="center"/>
              <w:rPr>
                <w:rFonts w:eastAsia="MS Mincho"/>
              </w:rPr>
            </w:pPr>
            <w:r w:rsidRPr="00251B64">
              <w:rPr>
                <w:rFonts w:eastAsia="MS Mincho"/>
              </w:rPr>
              <w:t>RCT</w:t>
            </w:r>
          </w:p>
        </w:tc>
        <w:tc>
          <w:tcPr>
            <w:tcW w:w="850" w:type="pct"/>
            <w:shd w:val="clear" w:color="auto" w:fill="auto"/>
            <w:tcMar>
              <w:left w:w="28" w:type="dxa"/>
              <w:right w:w="28" w:type="dxa"/>
            </w:tcMar>
            <w:vAlign w:val="center"/>
          </w:tcPr>
          <w:p w14:paraId="61BFC685" w14:textId="1987B64D" w:rsidR="003A784A" w:rsidRPr="00251B64" w:rsidRDefault="00E40D59" w:rsidP="00245D9D">
            <w:pPr>
              <w:pStyle w:val="Tablewriting"/>
              <w:keepNext/>
              <w:jc w:val="center"/>
              <w:rPr>
                <w:rFonts w:eastAsia="MS Mincho"/>
                <w:vertAlign w:val="superscript"/>
              </w:rPr>
            </w:pPr>
            <w:r>
              <w:rPr>
                <w:rFonts w:eastAsia="MS Mincho"/>
              </w:rPr>
              <w:t>20</w:t>
            </w:r>
            <w:r w:rsidR="003A784A" w:rsidRPr="00251B64">
              <w:rPr>
                <w:rFonts w:eastAsia="MS Mincho"/>
              </w:rPr>
              <w:t>/</w:t>
            </w:r>
            <w:r>
              <w:rPr>
                <w:rFonts w:eastAsia="MS Mincho"/>
              </w:rPr>
              <w:t>226</w:t>
            </w:r>
          </w:p>
          <w:p w14:paraId="152FCCDD" w14:textId="43429E23" w:rsidR="003A784A" w:rsidRPr="00251B64" w:rsidRDefault="003A784A" w:rsidP="00245D9D">
            <w:pPr>
              <w:pStyle w:val="Tablewriting"/>
              <w:keepNext/>
              <w:jc w:val="center"/>
              <w:rPr>
                <w:rFonts w:eastAsia="MS Mincho"/>
              </w:rPr>
            </w:pPr>
            <w:r w:rsidRPr="00251B64">
              <w:rPr>
                <w:rFonts w:eastAsia="MS Mincho"/>
              </w:rPr>
              <w:t>(</w:t>
            </w:r>
            <w:r w:rsidR="00A02BB2">
              <w:rPr>
                <w:rFonts w:eastAsia="MS Mincho"/>
              </w:rPr>
              <w:t>8.8</w:t>
            </w:r>
            <w:r w:rsidRPr="00251B64">
              <w:rPr>
                <w:rFonts w:eastAsia="MS Mincho"/>
              </w:rPr>
              <w:t>%)</w:t>
            </w:r>
          </w:p>
        </w:tc>
        <w:tc>
          <w:tcPr>
            <w:tcW w:w="851" w:type="pct"/>
            <w:shd w:val="clear" w:color="auto" w:fill="auto"/>
            <w:tcMar>
              <w:left w:w="28" w:type="dxa"/>
              <w:right w:w="28" w:type="dxa"/>
            </w:tcMar>
            <w:vAlign w:val="center"/>
          </w:tcPr>
          <w:p w14:paraId="65D2E704" w14:textId="2F03D004" w:rsidR="003A784A" w:rsidRPr="00251B64" w:rsidRDefault="00340F5D" w:rsidP="00245D9D">
            <w:pPr>
              <w:pStyle w:val="Tablewriting"/>
              <w:keepNext/>
              <w:jc w:val="center"/>
              <w:rPr>
                <w:rFonts w:eastAsia="MS Mincho"/>
              </w:rPr>
            </w:pPr>
            <w:r>
              <w:rPr>
                <w:rFonts w:eastAsia="MS Mincho"/>
              </w:rPr>
              <w:t>5</w:t>
            </w:r>
            <w:r w:rsidR="003A784A" w:rsidRPr="00251B64">
              <w:rPr>
                <w:rFonts w:eastAsia="MS Mincho"/>
              </w:rPr>
              <w:t>/2</w:t>
            </w:r>
            <w:r>
              <w:rPr>
                <w:rFonts w:eastAsia="MS Mincho"/>
              </w:rPr>
              <w:t>2</w:t>
            </w:r>
            <w:r w:rsidR="003A784A" w:rsidRPr="00251B64">
              <w:rPr>
                <w:rFonts w:eastAsia="MS Mincho"/>
              </w:rPr>
              <w:t>4</w:t>
            </w:r>
          </w:p>
          <w:p w14:paraId="66F56F26" w14:textId="1D6ED248" w:rsidR="003A784A" w:rsidRPr="00251B64" w:rsidRDefault="003A784A" w:rsidP="00245D9D">
            <w:pPr>
              <w:pStyle w:val="Tablewriting"/>
              <w:keepNext/>
              <w:jc w:val="center"/>
              <w:rPr>
                <w:rFonts w:eastAsia="MS Mincho"/>
              </w:rPr>
            </w:pPr>
            <w:r w:rsidRPr="00251B64">
              <w:rPr>
                <w:rFonts w:eastAsia="MS Mincho"/>
              </w:rPr>
              <w:t>(</w:t>
            </w:r>
            <w:r w:rsidR="00B8237C">
              <w:rPr>
                <w:rFonts w:eastAsia="MS Mincho"/>
              </w:rPr>
              <w:t>2.2</w:t>
            </w:r>
            <w:r w:rsidRPr="00251B64">
              <w:rPr>
                <w:rFonts w:eastAsia="MS Mincho"/>
              </w:rPr>
              <w:t>%)</w:t>
            </w:r>
          </w:p>
        </w:tc>
        <w:tc>
          <w:tcPr>
            <w:tcW w:w="851" w:type="pct"/>
            <w:shd w:val="clear" w:color="auto" w:fill="auto"/>
            <w:tcMar>
              <w:left w:w="28" w:type="dxa"/>
              <w:right w:w="28" w:type="dxa"/>
            </w:tcMar>
            <w:vAlign w:val="center"/>
          </w:tcPr>
          <w:p w14:paraId="70B5F7D1" w14:textId="5DFEDC67" w:rsidR="003A784A" w:rsidRPr="00251B64" w:rsidRDefault="00C62BDB" w:rsidP="00245D9D">
            <w:pPr>
              <w:pStyle w:val="Tablewriting"/>
              <w:keepNext/>
              <w:jc w:val="center"/>
              <w:rPr>
                <w:rFonts w:eastAsia="MS Mincho"/>
                <w:b/>
                <w:bCs/>
              </w:rPr>
            </w:pPr>
            <w:r>
              <w:rPr>
                <w:rFonts w:eastAsia="MS Mincho"/>
                <w:b/>
                <w:bCs/>
              </w:rPr>
              <w:t>3.96</w:t>
            </w:r>
          </w:p>
          <w:p w14:paraId="0FF1062A" w14:textId="6FFFE820" w:rsidR="003A784A" w:rsidRPr="00251B64" w:rsidRDefault="003A784A" w:rsidP="00245D9D">
            <w:pPr>
              <w:pStyle w:val="Tablewriting"/>
              <w:keepNext/>
              <w:jc w:val="center"/>
              <w:rPr>
                <w:rFonts w:eastAsia="MS Mincho"/>
                <w:b/>
              </w:rPr>
            </w:pPr>
            <w:r w:rsidRPr="00251B64">
              <w:rPr>
                <w:rFonts w:eastAsia="MS Mincho"/>
                <w:b/>
                <w:bCs/>
              </w:rPr>
              <w:t>(</w:t>
            </w:r>
            <w:r w:rsidR="00DA255A">
              <w:rPr>
                <w:rFonts w:eastAsia="MS Mincho"/>
                <w:b/>
                <w:bCs/>
              </w:rPr>
              <w:t>1.51</w:t>
            </w:r>
            <w:r w:rsidRPr="00251B64">
              <w:rPr>
                <w:rFonts w:eastAsia="MS Mincho"/>
                <w:b/>
                <w:bCs/>
              </w:rPr>
              <w:t>, 1</w:t>
            </w:r>
            <w:r w:rsidR="00DA255A">
              <w:rPr>
                <w:rFonts w:eastAsia="MS Mincho"/>
                <w:b/>
                <w:bCs/>
              </w:rPr>
              <w:t>0.38</w:t>
            </w:r>
            <w:r w:rsidRPr="00251B64">
              <w:rPr>
                <w:rFonts w:eastAsia="MS Mincho"/>
                <w:b/>
                <w:bCs/>
              </w:rPr>
              <w:t>)</w:t>
            </w:r>
          </w:p>
        </w:tc>
        <w:tc>
          <w:tcPr>
            <w:tcW w:w="807" w:type="pct"/>
            <w:shd w:val="clear" w:color="auto" w:fill="auto"/>
            <w:vAlign w:val="center"/>
          </w:tcPr>
          <w:p w14:paraId="06F9A593" w14:textId="77777777" w:rsidR="003A784A" w:rsidRDefault="00D849A1" w:rsidP="00245D9D">
            <w:pPr>
              <w:pStyle w:val="Tablewriting"/>
              <w:keepNext/>
              <w:jc w:val="center"/>
              <w:rPr>
                <w:rFonts w:eastAsia="MS Mincho"/>
                <w:b/>
                <w:bCs/>
              </w:rPr>
            </w:pPr>
            <w:r>
              <w:rPr>
                <w:rFonts w:eastAsia="MS Mincho"/>
                <w:b/>
                <w:bCs/>
              </w:rPr>
              <w:t>0.07</w:t>
            </w:r>
          </w:p>
          <w:p w14:paraId="31D980B2" w14:textId="2CF22725" w:rsidR="003A784A" w:rsidRPr="00251B64" w:rsidRDefault="00D849A1" w:rsidP="00245D9D">
            <w:pPr>
              <w:pStyle w:val="Tablewriting"/>
              <w:keepNext/>
              <w:jc w:val="center"/>
              <w:rPr>
                <w:rFonts w:eastAsia="MS Mincho"/>
              </w:rPr>
            </w:pPr>
            <w:r>
              <w:rPr>
                <w:rFonts w:eastAsia="MS Mincho"/>
                <w:b/>
                <w:bCs/>
              </w:rPr>
              <w:t>(0.02, 0.11)</w:t>
            </w:r>
          </w:p>
        </w:tc>
      </w:tr>
      <w:tr w:rsidR="00690C66" w:rsidRPr="00061F78" w14:paraId="7DCC1448" w14:textId="77777777" w:rsidTr="00245D9D">
        <w:trPr>
          <w:cantSplit/>
          <w:trHeight w:val="149"/>
        </w:trPr>
        <w:tc>
          <w:tcPr>
            <w:tcW w:w="721" w:type="pct"/>
            <w:tcMar>
              <w:left w:w="28" w:type="dxa"/>
              <w:right w:w="28" w:type="dxa"/>
            </w:tcMar>
          </w:tcPr>
          <w:p w14:paraId="0B32B0BB" w14:textId="03B7804A" w:rsidR="00690C66" w:rsidRDefault="00690C66" w:rsidP="00690C66">
            <w:pPr>
              <w:pStyle w:val="Tablewriting"/>
              <w:keepNext/>
              <w:rPr>
                <w:rFonts w:eastAsia="MS Mincho"/>
              </w:rPr>
            </w:pPr>
            <w:r>
              <w:rPr>
                <w:rFonts w:eastAsia="MS Mincho"/>
              </w:rPr>
              <w:t>Selby</w:t>
            </w:r>
          </w:p>
          <w:p w14:paraId="32B2B8FF" w14:textId="3966DC5B" w:rsidR="00690C66" w:rsidRPr="00D468CF" w:rsidRDefault="00690C66" w:rsidP="00690C66">
            <w:pPr>
              <w:pStyle w:val="Tablewriting"/>
              <w:keepNext/>
              <w:rPr>
                <w:rFonts w:eastAsia="MS Mincho"/>
                <w:vertAlign w:val="superscript"/>
              </w:rPr>
            </w:pPr>
            <w:r>
              <w:rPr>
                <w:rFonts w:eastAsia="MS Mincho"/>
              </w:rPr>
              <w:t>(2003)</w:t>
            </w:r>
            <w:r>
              <w:rPr>
                <w:rFonts w:eastAsia="MS Mincho"/>
                <w:vertAlign w:val="superscript"/>
              </w:rPr>
              <w:t>2</w:t>
            </w:r>
          </w:p>
        </w:tc>
        <w:tc>
          <w:tcPr>
            <w:tcW w:w="920" w:type="pct"/>
            <w:vAlign w:val="center"/>
          </w:tcPr>
          <w:p w14:paraId="0D6FE64C" w14:textId="0564CC0C" w:rsidR="00690C66" w:rsidRDefault="00690C66" w:rsidP="00690C66">
            <w:pPr>
              <w:pStyle w:val="Tablewriting"/>
              <w:keepNext/>
              <w:jc w:val="center"/>
              <w:rPr>
                <w:rFonts w:eastAsia="MS Mincho"/>
              </w:rPr>
            </w:pPr>
            <w:r>
              <w:rPr>
                <w:rFonts w:eastAsia="MS Mincho"/>
              </w:rPr>
              <w:t>RCT</w:t>
            </w:r>
          </w:p>
        </w:tc>
        <w:tc>
          <w:tcPr>
            <w:tcW w:w="850" w:type="pct"/>
            <w:tcMar>
              <w:left w:w="28" w:type="dxa"/>
              <w:right w:w="28" w:type="dxa"/>
            </w:tcMar>
            <w:vAlign w:val="center"/>
          </w:tcPr>
          <w:p w14:paraId="2DC03C3D" w14:textId="070D5178" w:rsidR="00690C66" w:rsidRPr="00251B64" w:rsidRDefault="002C5370" w:rsidP="00690C66">
            <w:pPr>
              <w:pStyle w:val="Tablewriting"/>
              <w:keepNext/>
              <w:jc w:val="center"/>
              <w:rPr>
                <w:rFonts w:eastAsia="MS Mincho"/>
                <w:vertAlign w:val="superscript"/>
              </w:rPr>
            </w:pPr>
            <w:r>
              <w:rPr>
                <w:rFonts w:eastAsia="MS Mincho"/>
              </w:rPr>
              <w:t>18</w:t>
            </w:r>
            <w:r w:rsidR="00690C66" w:rsidRPr="00251B64">
              <w:rPr>
                <w:rFonts w:eastAsia="MS Mincho"/>
              </w:rPr>
              <w:t>/</w:t>
            </w:r>
            <w:r>
              <w:rPr>
                <w:rFonts w:eastAsia="MS Mincho"/>
              </w:rPr>
              <w:t>141</w:t>
            </w:r>
          </w:p>
          <w:p w14:paraId="18E2A9C5" w14:textId="532C1BF9" w:rsidR="00690C66" w:rsidRPr="00923953" w:rsidRDefault="00690C66" w:rsidP="00690C66">
            <w:pPr>
              <w:pStyle w:val="Tablewriting"/>
              <w:keepNext/>
              <w:jc w:val="center"/>
              <w:rPr>
                <w:rFonts w:eastAsia="MS Mincho"/>
                <w:vertAlign w:val="superscript"/>
              </w:rPr>
            </w:pPr>
            <w:r w:rsidRPr="00251B64">
              <w:rPr>
                <w:rFonts w:eastAsia="MS Mincho"/>
              </w:rPr>
              <w:t>(</w:t>
            </w:r>
            <w:r w:rsidR="00BF7692">
              <w:rPr>
                <w:rFonts w:eastAsia="MS Mincho"/>
              </w:rPr>
              <w:t>12.8</w:t>
            </w:r>
            <w:r w:rsidRPr="00251B64">
              <w:rPr>
                <w:rFonts w:eastAsia="MS Mincho"/>
              </w:rPr>
              <w:t>%)</w:t>
            </w:r>
          </w:p>
        </w:tc>
        <w:tc>
          <w:tcPr>
            <w:tcW w:w="851" w:type="pct"/>
            <w:tcMar>
              <w:left w:w="28" w:type="dxa"/>
              <w:right w:w="28" w:type="dxa"/>
            </w:tcMar>
            <w:vAlign w:val="center"/>
          </w:tcPr>
          <w:p w14:paraId="7BF8A5BA" w14:textId="0C051B13" w:rsidR="00690C66" w:rsidRPr="00251B64" w:rsidRDefault="006C6690" w:rsidP="00690C66">
            <w:pPr>
              <w:pStyle w:val="Tablewriting"/>
              <w:keepNext/>
              <w:jc w:val="center"/>
              <w:rPr>
                <w:rFonts w:eastAsia="MS Mincho"/>
              </w:rPr>
            </w:pPr>
            <w:r>
              <w:rPr>
                <w:rFonts w:eastAsia="MS Mincho"/>
              </w:rPr>
              <w:t>12</w:t>
            </w:r>
            <w:r w:rsidR="00690C66" w:rsidRPr="00251B64">
              <w:rPr>
                <w:rFonts w:eastAsia="MS Mincho"/>
              </w:rPr>
              <w:t>/</w:t>
            </w:r>
            <w:r>
              <w:rPr>
                <w:rFonts w:eastAsia="MS Mincho"/>
              </w:rPr>
              <w:t>143</w:t>
            </w:r>
          </w:p>
          <w:p w14:paraId="4A97B695" w14:textId="05945EF5" w:rsidR="00690C66" w:rsidRPr="00923953" w:rsidRDefault="00690C66" w:rsidP="00690C66">
            <w:pPr>
              <w:pStyle w:val="Tablewriting"/>
              <w:keepNext/>
              <w:jc w:val="center"/>
              <w:rPr>
                <w:rFonts w:eastAsia="MS Mincho"/>
                <w:vertAlign w:val="superscript"/>
              </w:rPr>
            </w:pPr>
            <w:r w:rsidRPr="00251B64">
              <w:rPr>
                <w:rFonts w:eastAsia="MS Mincho"/>
              </w:rPr>
              <w:t>(</w:t>
            </w:r>
            <w:r w:rsidR="00E246E2">
              <w:rPr>
                <w:rFonts w:eastAsia="MS Mincho"/>
              </w:rPr>
              <w:t>8.4</w:t>
            </w:r>
            <w:r w:rsidRPr="00251B64">
              <w:rPr>
                <w:rFonts w:eastAsia="MS Mincho"/>
              </w:rPr>
              <w:t>%)</w:t>
            </w:r>
          </w:p>
        </w:tc>
        <w:tc>
          <w:tcPr>
            <w:tcW w:w="851" w:type="pct"/>
            <w:tcMar>
              <w:left w:w="28" w:type="dxa"/>
              <w:right w:w="28" w:type="dxa"/>
            </w:tcMar>
            <w:vAlign w:val="center"/>
          </w:tcPr>
          <w:p w14:paraId="276DAB75" w14:textId="22F5C4EE" w:rsidR="00690C66" w:rsidRPr="008A019D" w:rsidRDefault="006C0A11" w:rsidP="00690C66">
            <w:pPr>
              <w:pStyle w:val="Tablewriting"/>
              <w:keepNext/>
              <w:jc w:val="center"/>
              <w:rPr>
                <w:rFonts w:eastAsia="MS Mincho"/>
              </w:rPr>
            </w:pPr>
            <w:r w:rsidRPr="008A019D">
              <w:rPr>
                <w:rFonts w:eastAsia="MS Mincho"/>
              </w:rPr>
              <w:t>1.52</w:t>
            </w:r>
          </w:p>
          <w:p w14:paraId="39444350" w14:textId="78C98C75" w:rsidR="00690C66" w:rsidRPr="006A6520" w:rsidRDefault="00690C66" w:rsidP="00690C66">
            <w:pPr>
              <w:pStyle w:val="Tablewriting"/>
              <w:keepNext/>
              <w:jc w:val="center"/>
              <w:rPr>
                <w:rFonts w:eastAsia="MS Mincho"/>
              </w:rPr>
            </w:pPr>
            <w:r w:rsidRPr="008A019D">
              <w:rPr>
                <w:rFonts w:eastAsia="MS Mincho"/>
              </w:rPr>
              <w:t>(</w:t>
            </w:r>
            <w:r w:rsidR="008A019D" w:rsidRPr="008A019D">
              <w:rPr>
                <w:rFonts w:eastAsia="MS Mincho"/>
              </w:rPr>
              <w:t>0.76</w:t>
            </w:r>
            <w:r w:rsidRPr="008A019D">
              <w:rPr>
                <w:rFonts w:eastAsia="MS Mincho"/>
              </w:rPr>
              <w:t xml:space="preserve">, </w:t>
            </w:r>
            <w:r w:rsidR="008A019D" w:rsidRPr="008A019D">
              <w:rPr>
                <w:rFonts w:eastAsia="MS Mincho"/>
              </w:rPr>
              <w:t>3.04</w:t>
            </w:r>
            <w:r w:rsidRPr="008A019D">
              <w:rPr>
                <w:rFonts w:eastAsia="MS Mincho"/>
              </w:rPr>
              <w:t>)</w:t>
            </w:r>
          </w:p>
        </w:tc>
        <w:tc>
          <w:tcPr>
            <w:tcW w:w="807" w:type="pct"/>
            <w:vAlign w:val="center"/>
          </w:tcPr>
          <w:p w14:paraId="5258DB4F" w14:textId="77777777" w:rsidR="00690C66" w:rsidRPr="00D849A1" w:rsidRDefault="00D849A1" w:rsidP="00690C66">
            <w:pPr>
              <w:pStyle w:val="Tablewriting"/>
              <w:keepNext/>
              <w:jc w:val="center"/>
              <w:rPr>
                <w:rFonts w:eastAsia="MS Mincho"/>
              </w:rPr>
            </w:pPr>
            <w:r w:rsidRPr="00D849A1">
              <w:rPr>
                <w:rFonts w:eastAsia="MS Mincho"/>
              </w:rPr>
              <w:t>0.04</w:t>
            </w:r>
          </w:p>
          <w:p w14:paraId="0AD739AB" w14:textId="543F29C5" w:rsidR="00690C66" w:rsidRPr="006A6520" w:rsidRDefault="00D849A1" w:rsidP="00690C66">
            <w:pPr>
              <w:pStyle w:val="Tablewriting"/>
              <w:keepNext/>
              <w:jc w:val="center"/>
              <w:rPr>
                <w:rFonts w:eastAsia="MS Mincho"/>
              </w:rPr>
            </w:pPr>
            <w:r w:rsidRPr="00D849A1">
              <w:rPr>
                <w:rFonts w:eastAsia="MS Mincho"/>
              </w:rPr>
              <w:t>(-0.03, 0.12)</w:t>
            </w:r>
          </w:p>
        </w:tc>
      </w:tr>
      <w:tr w:rsidR="009D7BEC" w:rsidRPr="00061F78" w14:paraId="15CBA3B5" w14:textId="77777777" w:rsidTr="00245D9D">
        <w:trPr>
          <w:cantSplit/>
          <w:trHeight w:val="149"/>
        </w:trPr>
        <w:tc>
          <w:tcPr>
            <w:tcW w:w="721" w:type="pct"/>
            <w:tcMar>
              <w:left w:w="28" w:type="dxa"/>
              <w:right w:w="28" w:type="dxa"/>
            </w:tcMar>
          </w:tcPr>
          <w:p w14:paraId="4373B864" w14:textId="02AB8044" w:rsidR="009D7BEC" w:rsidRPr="009439B1" w:rsidRDefault="009D7BEC" w:rsidP="00690C66">
            <w:pPr>
              <w:pStyle w:val="Tablewriting"/>
              <w:keepNext/>
              <w:rPr>
                <w:rFonts w:eastAsia="MS Mincho"/>
                <w:vertAlign w:val="superscript"/>
              </w:rPr>
            </w:pPr>
            <w:r w:rsidRPr="006771BE">
              <w:rPr>
                <w:rFonts w:eastAsia="MS Mincho"/>
              </w:rPr>
              <w:t>Meta-analysis</w:t>
            </w:r>
            <w:r w:rsidR="009439B1">
              <w:rPr>
                <w:rFonts w:eastAsia="MS Mincho"/>
                <w:vertAlign w:val="superscript"/>
              </w:rPr>
              <w:t>3</w:t>
            </w:r>
          </w:p>
        </w:tc>
        <w:tc>
          <w:tcPr>
            <w:tcW w:w="920" w:type="pct"/>
            <w:vAlign w:val="center"/>
          </w:tcPr>
          <w:p w14:paraId="4975B3DD" w14:textId="426D8B67" w:rsidR="009D7BEC" w:rsidRDefault="006771BE" w:rsidP="00690C66">
            <w:pPr>
              <w:pStyle w:val="Tablewriting"/>
              <w:keepNext/>
              <w:jc w:val="center"/>
              <w:rPr>
                <w:rFonts w:eastAsia="MS Mincho"/>
              </w:rPr>
            </w:pPr>
            <w:r>
              <w:rPr>
                <w:rFonts w:eastAsia="MS Mincho"/>
              </w:rPr>
              <w:t>2 RCTs</w:t>
            </w:r>
          </w:p>
        </w:tc>
        <w:tc>
          <w:tcPr>
            <w:tcW w:w="850" w:type="pct"/>
            <w:tcMar>
              <w:left w:w="28" w:type="dxa"/>
              <w:right w:w="28" w:type="dxa"/>
            </w:tcMar>
            <w:vAlign w:val="center"/>
          </w:tcPr>
          <w:p w14:paraId="11E6567C" w14:textId="77777777" w:rsidR="009D7BEC" w:rsidRDefault="003027F2" w:rsidP="00690C66">
            <w:pPr>
              <w:pStyle w:val="Tablewriting"/>
              <w:keepNext/>
              <w:jc w:val="center"/>
              <w:rPr>
                <w:rFonts w:eastAsia="MS Mincho"/>
              </w:rPr>
            </w:pPr>
            <w:r>
              <w:rPr>
                <w:rFonts w:eastAsia="MS Mincho"/>
              </w:rPr>
              <w:t>38/367</w:t>
            </w:r>
          </w:p>
          <w:p w14:paraId="4381EF77" w14:textId="762F4355" w:rsidR="009D7BEC" w:rsidRDefault="003027F2" w:rsidP="00690C66">
            <w:pPr>
              <w:pStyle w:val="Tablewriting"/>
              <w:keepNext/>
              <w:jc w:val="center"/>
              <w:rPr>
                <w:rFonts w:eastAsia="MS Mincho"/>
              </w:rPr>
            </w:pPr>
            <w:r>
              <w:rPr>
                <w:rFonts w:eastAsia="MS Mincho"/>
              </w:rPr>
              <w:t>(</w:t>
            </w:r>
            <w:r w:rsidR="00D37A5C">
              <w:rPr>
                <w:rFonts w:eastAsia="MS Mincho"/>
              </w:rPr>
              <w:t>10.4</w:t>
            </w:r>
            <w:r>
              <w:rPr>
                <w:rFonts w:eastAsia="MS Mincho"/>
              </w:rPr>
              <w:t>%)</w:t>
            </w:r>
          </w:p>
        </w:tc>
        <w:tc>
          <w:tcPr>
            <w:tcW w:w="851" w:type="pct"/>
            <w:tcMar>
              <w:left w:w="28" w:type="dxa"/>
              <w:right w:w="28" w:type="dxa"/>
            </w:tcMar>
            <w:vAlign w:val="center"/>
          </w:tcPr>
          <w:p w14:paraId="7B808ED1" w14:textId="77777777" w:rsidR="009D7BEC" w:rsidRDefault="003027F2" w:rsidP="00690C66">
            <w:pPr>
              <w:pStyle w:val="Tablewriting"/>
              <w:keepNext/>
              <w:jc w:val="center"/>
              <w:rPr>
                <w:rFonts w:eastAsia="MS Mincho"/>
              </w:rPr>
            </w:pPr>
            <w:r>
              <w:rPr>
                <w:rFonts w:eastAsia="MS Mincho"/>
              </w:rPr>
              <w:t>17/367</w:t>
            </w:r>
          </w:p>
          <w:p w14:paraId="6ACC7B53" w14:textId="2F5F349A" w:rsidR="009D7BEC" w:rsidRDefault="003027F2" w:rsidP="00690C66">
            <w:pPr>
              <w:pStyle w:val="Tablewriting"/>
              <w:keepNext/>
              <w:jc w:val="center"/>
              <w:rPr>
                <w:rFonts w:eastAsia="MS Mincho"/>
              </w:rPr>
            </w:pPr>
            <w:r>
              <w:rPr>
                <w:rFonts w:eastAsia="MS Mincho"/>
              </w:rPr>
              <w:t>(</w:t>
            </w:r>
            <w:r w:rsidR="00D37A5C">
              <w:rPr>
                <w:rFonts w:eastAsia="MS Mincho"/>
              </w:rPr>
              <w:t>4.6</w:t>
            </w:r>
            <w:r>
              <w:rPr>
                <w:rFonts w:eastAsia="MS Mincho"/>
              </w:rPr>
              <w:t>%)</w:t>
            </w:r>
          </w:p>
        </w:tc>
        <w:tc>
          <w:tcPr>
            <w:tcW w:w="851" w:type="pct"/>
            <w:tcMar>
              <w:left w:w="28" w:type="dxa"/>
              <w:right w:w="28" w:type="dxa"/>
            </w:tcMar>
            <w:vAlign w:val="center"/>
          </w:tcPr>
          <w:p w14:paraId="4BA9E0AA" w14:textId="77777777" w:rsidR="009D7BEC" w:rsidRDefault="009A2217" w:rsidP="00690C66">
            <w:pPr>
              <w:pStyle w:val="Tablewriting"/>
              <w:keepNext/>
              <w:jc w:val="center"/>
              <w:rPr>
                <w:rFonts w:eastAsia="MS Mincho"/>
              </w:rPr>
            </w:pPr>
            <w:r>
              <w:rPr>
                <w:rFonts w:eastAsia="MS Mincho"/>
              </w:rPr>
              <w:t>2.31</w:t>
            </w:r>
          </w:p>
          <w:p w14:paraId="41A409DA" w14:textId="3C311A2E" w:rsidR="009D7BEC" w:rsidRPr="008A019D" w:rsidRDefault="009A2217" w:rsidP="00690C66">
            <w:pPr>
              <w:pStyle w:val="Tablewriting"/>
              <w:keepNext/>
              <w:jc w:val="center"/>
              <w:rPr>
                <w:rFonts w:eastAsia="MS Mincho"/>
              </w:rPr>
            </w:pPr>
            <w:r>
              <w:rPr>
                <w:rFonts w:eastAsia="MS Mincho"/>
              </w:rPr>
              <w:t>(0.90, 5.92)</w:t>
            </w:r>
          </w:p>
        </w:tc>
        <w:tc>
          <w:tcPr>
            <w:tcW w:w="807" w:type="pct"/>
            <w:vAlign w:val="center"/>
          </w:tcPr>
          <w:p w14:paraId="4A41CE50" w14:textId="77777777" w:rsidR="009D7BEC" w:rsidRDefault="00D849A1" w:rsidP="00690C66">
            <w:pPr>
              <w:pStyle w:val="Tablewriting"/>
              <w:keepNext/>
              <w:jc w:val="center"/>
              <w:rPr>
                <w:rFonts w:eastAsia="MS Mincho"/>
                <w:b/>
                <w:bCs/>
              </w:rPr>
            </w:pPr>
            <w:r>
              <w:rPr>
                <w:rFonts w:eastAsia="MS Mincho"/>
                <w:b/>
                <w:bCs/>
              </w:rPr>
              <w:t>0.06</w:t>
            </w:r>
          </w:p>
          <w:p w14:paraId="4D1ABCD9" w14:textId="65373051" w:rsidR="009D7BEC" w:rsidRDefault="00D849A1" w:rsidP="00690C66">
            <w:pPr>
              <w:pStyle w:val="Tablewriting"/>
              <w:keepNext/>
              <w:jc w:val="center"/>
              <w:rPr>
                <w:rFonts w:eastAsia="MS Mincho"/>
                <w:b/>
                <w:bCs/>
              </w:rPr>
            </w:pPr>
            <w:r>
              <w:rPr>
                <w:rFonts w:eastAsia="MS Mincho"/>
                <w:b/>
                <w:bCs/>
              </w:rPr>
              <w:t>(0.02, 0.10)</w:t>
            </w:r>
          </w:p>
        </w:tc>
      </w:tr>
    </w:tbl>
    <w:p w14:paraId="2DDE038E" w14:textId="6190BC0F" w:rsidR="002D09A1" w:rsidRDefault="002D09A1" w:rsidP="002D09A1">
      <w:pPr>
        <w:pStyle w:val="TableFooter"/>
        <w:keepNext/>
      </w:pPr>
      <w:r>
        <w:t>Source: Howes et al. (2020)</w:t>
      </w:r>
    </w:p>
    <w:p w14:paraId="393B1C1A" w14:textId="77777777" w:rsidR="002D09A1" w:rsidRDefault="002D09A1" w:rsidP="002D09A1">
      <w:pPr>
        <w:pStyle w:val="TableFooter"/>
        <w:keepNext/>
        <w:rPr>
          <w:i/>
        </w:rPr>
      </w:pPr>
      <w:r>
        <w:t>Abbreviations: CI = confidence interval; RCT = randomised controlled trial; RR = risk ratio</w:t>
      </w:r>
      <w:r w:rsidRPr="00061F78">
        <w:t xml:space="preserve"> </w:t>
      </w:r>
    </w:p>
    <w:p w14:paraId="6456F8C9" w14:textId="72B87D1D" w:rsidR="002D09A1" w:rsidRDefault="002D09A1" w:rsidP="002D09A1">
      <w:pPr>
        <w:pStyle w:val="TableFooter"/>
        <w:keepNext/>
      </w:pPr>
      <w:r w:rsidRPr="00D468CF">
        <w:t>Note</w:t>
      </w:r>
      <w:r>
        <w:t>s</w:t>
      </w:r>
      <w:r w:rsidRPr="00D468CF">
        <w:t>: Bold indicates statistically significant difference.</w:t>
      </w:r>
      <w:r>
        <w:br/>
        <w:t>1 Continuous abstinence rate at 12 months (</w:t>
      </w:r>
      <w:r w:rsidR="00D562FA">
        <w:t>w</w:t>
      </w:r>
      <w:r w:rsidRPr="004A7BDC">
        <w:t xml:space="preserve">eek </w:t>
      </w:r>
      <w:r w:rsidR="004A7BDC" w:rsidRPr="004A7BDC">
        <w:t>4</w:t>
      </w:r>
      <w:r w:rsidRPr="004A7BDC">
        <w:t>-52</w:t>
      </w:r>
      <w:r>
        <w:t>)</w:t>
      </w:r>
      <w:r w:rsidR="00AB5FA3">
        <w:t>.</w:t>
      </w:r>
    </w:p>
    <w:p w14:paraId="77931115" w14:textId="33D04225" w:rsidR="002D09A1" w:rsidRDefault="002D09A1" w:rsidP="002D09A1">
      <w:pPr>
        <w:pStyle w:val="TableFooter"/>
        <w:keepNext/>
      </w:pPr>
      <w:r>
        <w:t xml:space="preserve">2 </w:t>
      </w:r>
      <w:r w:rsidR="00412409">
        <w:t>Point prevalen</w:t>
      </w:r>
      <w:r w:rsidR="004677E9">
        <w:t>ce</w:t>
      </w:r>
      <w:r w:rsidR="00412409">
        <w:t xml:space="preserve"> abstinence</w:t>
      </w:r>
      <w:r w:rsidRPr="00383947">
        <w:t xml:space="preserve"> at </w:t>
      </w:r>
      <w:r w:rsidR="00412409">
        <w:t>12</w:t>
      </w:r>
      <w:r w:rsidRPr="00383947">
        <w:t xml:space="preserve"> months</w:t>
      </w:r>
      <w:r w:rsidR="00AB5FA3">
        <w:t>.</w:t>
      </w:r>
    </w:p>
    <w:p w14:paraId="7D13ABAE" w14:textId="59D3F563" w:rsidR="009A2217" w:rsidRDefault="009A2217" w:rsidP="008B6781">
      <w:pPr>
        <w:pStyle w:val="TableFooter"/>
        <w:keepNext/>
        <w:spacing w:after="120"/>
        <w:contextualSpacing w:val="0"/>
      </w:pPr>
      <w:r w:rsidRPr="00A304FC">
        <w:t>3 Calculated during the review using a random-effect model</w:t>
      </w:r>
      <w:r w:rsidR="00AB5FA3">
        <w:t>.</w:t>
      </w:r>
    </w:p>
    <w:p w14:paraId="71ADC107" w14:textId="3D7C8D8D" w:rsidR="00233626" w:rsidRDefault="00233626" w:rsidP="008B6781">
      <w:pPr>
        <w:spacing w:after="120"/>
        <w:jc w:val="both"/>
      </w:pPr>
      <w:r w:rsidRPr="004E3996">
        <w:t xml:space="preserve">The results of the individual studies included in </w:t>
      </w:r>
      <w:r>
        <w:t>the meta-analysis</w:t>
      </w:r>
      <w:r w:rsidR="00323EA3">
        <w:t xml:space="preserve"> </w:t>
      </w:r>
      <w:r w:rsidRPr="004E3996">
        <w:t>are presented using a forest plot</w:t>
      </w:r>
      <w:r w:rsidR="00323EA3">
        <w:t xml:space="preserve"> in </w:t>
      </w:r>
      <w:r w:rsidR="00323EA3">
        <w:fldChar w:fldCharType="begin" w:fldLock="1"/>
      </w:r>
      <w:r w:rsidR="00323EA3">
        <w:instrText xml:space="preserve"> REF _Ref61204312 \h </w:instrText>
      </w:r>
      <w:r w:rsidR="00323EA3">
        <w:fldChar w:fldCharType="separate"/>
      </w:r>
      <w:r w:rsidR="00EC5CC7">
        <w:t xml:space="preserve">Figure </w:t>
      </w:r>
      <w:r w:rsidR="00EC5CC7">
        <w:rPr>
          <w:noProof/>
        </w:rPr>
        <w:t>11</w:t>
      </w:r>
      <w:r w:rsidR="00323EA3">
        <w:fldChar w:fldCharType="end"/>
      </w:r>
      <w:r w:rsidR="00323EA3">
        <w:t>.</w:t>
      </w:r>
    </w:p>
    <w:p w14:paraId="064FBFA3" w14:textId="77777777" w:rsidR="009C7DA8" w:rsidRDefault="00A9520E" w:rsidP="009C7DA8">
      <w:pPr>
        <w:keepNext/>
      </w:pPr>
      <w:r>
        <w:rPr>
          <w:noProof/>
        </w:rPr>
        <w:drawing>
          <wp:inline distT="0" distB="0" distL="0" distR="0" wp14:anchorId="4861F15E" wp14:editId="3FB6F225">
            <wp:extent cx="5731510" cy="1180465"/>
            <wp:effectExtent l="0" t="0" r="2540" b="635"/>
            <wp:docPr id="12" name="Picture 12" descr="P40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4012#yIS1"/>
                    <pic:cNvPicPr/>
                  </pic:nvPicPr>
                  <pic:blipFill>
                    <a:blip r:embed="rId30">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14:paraId="48EAFC10" w14:textId="70C59606" w:rsidR="00A9520E" w:rsidRDefault="009C7DA8" w:rsidP="008B6781">
      <w:pPr>
        <w:pStyle w:val="Caption"/>
        <w:spacing w:before="120" w:after="60"/>
        <w:jc w:val="both"/>
      </w:pPr>
      <w:bookmarkStart w:id="92" w:name="_Ref61204312"/>
      <w:r>
        <w:t xml:space="preserve">Figure </w:t>
      </w:r>
      <w:r w:rsidR="00BF3F75">
        <w:fldChar w:fldCharType="begin"/>
      </w:r>
      <w:r w:rsidR="00BF3F75">
        <w:instrText xml:space="preserve"> SEQ Figure \* ARABIC </w:instrText>
      </w:r>
      <w:r w:rsidR="00BF3F75">
        <w:fldChar w:fldCharType="separate"/>
      </w:r>
      <w:r w:rsidR="00EC5CC7">
        <w:rPr>
          <w:noProof/>
        </w:rPr>
        <w:t>11</w:t>
      </w:r>
      <w:r w:rsidR="00BF3F75">
        <w:rPr>
          <w:noProof/>
        </w:rPr>
        <w:fldChar w:fldCharType="end"/>
      </w:r>
      <w:bookmarkEnd w:id="92"/>
      <w:r>
        <w:t xml:space="preserve">: </w:t>
      </w:r>
      <w:r w:rsidRPr="00712294">
        <w:t xml:space="preserve">Results of smoking cessation at 12 months, </w:t>
      </w:r>
      <w:r w:rsidR="00233626">
        <w:t>bupropion</w:t>
      </w:r>
      <w:r w:rsidRPr="00712294">
        <w:t xml:space="preserve"> versus placebo</w:t>
      </w:r>
      <w:r w:rsidR="00C90A5F">
        <w:t xml:space="preserve"> </w:t>
      </w:r>
      <w:r w:rsidR="00C90A5F" w:rsidRPr="0074518D">
        <w:t>in non-abstainers as retreatment</w:t>
      </w:r>
    </w:p>
    <w:p w14:paraId="5B05C78A" w14:textId="66EF8E54" w:rsidR="00233626" w:rsidRDefault="00233626" w:rsidP="00233626">
      <w:pPr>
        <w:pStyle w:val="FigureFooter"/>
      </w:pPr>
      <w:r>
        <w:t>Source: Howes et al. (2020)</w:t>
      </w:r>
    </w:p>
    <w:p w14:paraId="1BD6C67E" w14:textId="35527697" w:rsidR="00233626" w:rsidRPr="00233626" w:rsidRDefault="00233626" w:rsidP="008B6781">
      <w:pPr>
        <w:pStyle w:val="FigureFooter"/>
        <w:spacing w:after="120"/>
        <w:contextualSpacing w:val="0"/>
        <w:jc w:val="both"/>
      </w:pPr>
      <w:r w:rsidRPr="00D041F9">
        <w:t>Abbreviations: CI = confidence interval</w:t>
      </w:r>
    </w:p>
    <w:p w14:paraId="42AB0149" w14:textId="77777777" w:rsidR="00FD745A" w:rsidRPr="0073597F" w:rsidRDefault="00FD745A" w:rsidP="008B6781">
      <w:pPr>
        <w:spacing w:after="120"/>
        <w:jc w:val="both"/>
        <w:rPr>
          <w:u w:val="single"/>
        </w:rPr>
      </w:pPr>
      <w:r w:rsidRPr="0073597F">
        <w:rPr>
          <w:u w:val="single"/>
        </w:rPr>
        <w:t>Safety</w:t>
      </w:r>
    </w:p>
    <w:p w14:paraId="355D32AC" w14:textId="46A723DF" w:rsidR="00A770B3" w:rsidRPr="00A770B3" w:rsidRDefault="00FD745A" w:rsidP="008B6781">
      <w:pPr>
        <w:spacing w:after="120"/>
        <w:jc w:val="both"/>
      </w:pPr>
      <w:r w:rsidRPr="00F423F8">
        <w:t xml:space="preserve">The incidence of adverse events comparing </w:t>
      </w:r>
      <w:r>
        <w:t>bupropion with placebo in non-abstainers as retreatment</w:t>
      </w:r>
      <w:r w:rsidRPr="00F423F8">
        <w:t xml:space="preserve"> was not synthesised quantitatively by </w:t>
      </w:r>
      <w:r w:rsidR="00135CD6">
        <w:t>Howes</w:t>
      </w:r>
      <w:r w:rsidRPr="002C1625">
        <w:t xml:space="preserve"> et al. (20</w:t>
      </w:r>
      <w:r w:rsidR="00135CD6">
        <w:t>20</w:t>
      </w:r>
      <w:r w:rsidRPr="002C1625">
        <w:t>)</w:t>
      </w:r>
      <w:r w:rsidRPr="00F423F8">
        <w:t>.</w:t>
      </w:r>
      <w:r w:rsidR="00680920">
        <w:t xml:space="preserve"> It was noted that </w:t>
      </w:r>
      <w:r w:rsidR="00DA1357">
        <w:t xml:space="preserve">the </w:t>
      </w:r>
      <w:r w:rsidR="00F70B11">
        <w:t xml:space="preserve">safety </w:t>
      </w:r>
      <w:r w:rsidR="00DA1357">
        <w:t xml:space="preserve">results </w:t>
      </w:r>
      <w:r w:rsidR="00F70B11">
        <w:t xml:space="preserve">of Gonzales et al. (2001) were included in the </w:t>
      </w:r>
      <w:r w:rsidR="00D9419B">
        <w:t>overall</w:t>
      </w:r>
      <w:r w:rsidR="00C96C82">
        <w:t xml:space="preserve"> </w:t>
      </w:r>
      <w:r w:rsidR="006313B1">
        <w:t xml:space="preserve">safety analysis of </w:t>
      </w:r>
      <w:r w:rsidR="006313B1">
        <w:lastRenderedPageBreak/>
        <w:t>bupropion versus placebo conducted by Howes</w:t>
      </w:r>
      <w:r w:rsidR="00DE013D">
        <w:t xml:space="preserve"> et al. (2020), presented in the treatment-naïve population section.</w:t>
      </w:r>
    </w:p>
    <w:p w14:paraId="56BFBEF2" w14:textId="113351E1" w:rsidR="004A7AD0" w:rsidRDefault="004A7AD0" w:rsidP="008B6781">
      <w:pPr>
        <w:spacing w:after="120"/>
        <w:jc w:val="both"/>
      </w:pPr>
      <w:r w:rsidRPr="004A7AD0">
        <w:t xml:space="preserve">Based on the </w:t>
      </w:r>
      <w:r w:rsidR="00BA484B">
        <w:t>meta-analysis of</w:t>
      </w:r>
      <w:r w:rsidRPr="004A7AD0">
        <w:t xml:space="preserve"> Gonzales et al. (20</w:t>
      </w:r>
      <w:r>
        <w:t>01</w:t>
      </w:r>
      <w:r w:rsidRPr="004A7AD0">
        <w:t>)</w:t>
      </w:r>
      <w:r w:rsidR="00BA484B">
        <w:t xml:space="preserve"> and Selby et al. (2003</w:t>
      </w:r>
      <w:r w:rsidRPr="004A7AD0">
        <w:t xml:space="preserve">), a significantly higher proportion of patients in the </w:t>
      </w:r>
      <w:r w:rsidR="00926621">
        <w:t>bupropion</w:t>
      </w:r>
      <w:r w:rsidRPr="004A7AD0">
        <w:t xml:space="preserve"> arm experienced a</w:t>
      </w:r>
      <w:r w:rsidR="00926621">
        <w:t>ny a</w:t>
      </w:r>
      <w:r w:rsidRPr="004A7AD0">
        <w:t>dverse events compared to patients in the placebo arm (</w:t>
      </w:r>
      <w:r w:rsidR="00DE013D">
        <w:fldChar w:fldCharType="begin" w:fldLock="1"/>
      </w:r>
      <w:r w:rsidR="00DE013D">
        <w:instrText xml:space="preserve"> REF _Ref54968727 \h </w:instrText>
      </w:r>
      <w:r w:rsidR="00DE013D">
        <w:fldChar w:fldCharType="separate"/>
      </w:r>
      <w:r w:rsidR="00EC5CC7">
        <w:t xml:space="preserve">Table </w:t>
      </w:r>
      <w:r w:rsidR="00EC5CC7">
        <w:rPr>
          <w:noProof/>
        </w:rPr>
        <w:t>45</w:t>
      </w:r>
      <w:r w:rsidR="00DE013D">
        <w:fldChar w:fldCharType="end"/>
      </w:r>
      <w:r w:rsidRPr="004A7AD0">
        <w:t>). There were no statistically significant differences between the two treatment arms for serious adverse events</w:t>
      </w:r>
      <w:r w:rsidR="003E0E40">
        <w:t xml:space="preserve"> and discontinuation due to adverse events</w:t>
      </w:r>
      <w:r w:rsidRPr="004A7AD0">
        <w:t xml:space="preserve">, although a </w:t>
      </w:r>
      <w:r w:rsidR="00FF6D45">
        <w:t xml:space="preserve">numerically </w:t>
      </w:r>
      <w:r w:rsidRPr="004A7AD0">
        <w:t>higher incidence</w:t>
      </w:r>
      <w:r w:rsidR="00FF6D45">
        <w:t xml:space="preserve"> rate</w:t>
      </w:r>
      <w:r w:rsidRPr="004A7AD0">
        <w:t xml:space="preserve"> was observed in the </w:t>
      </w:r>
      <w:r w:rsidR="00DA2039">
        <w:t>bupropion</w:t>
      </w:r>
      <w:r w:rsidRPr="004A7AD0">
        <w:t xml:space="preserve"> arm</w:t>
      </w:r>
      <w:r w:rsidR="002D22C9">
        <w:t xml:space="preserve">, noting that </w:t>
      </w:r>
      <w:r w:rsidR="00D6117E">
        <w:t>the outcome of discontinuation due to adverse events was not reported in Selby et al. (2003).</w:t>
      </w:r>
    </w:p>
    <w:p w14:paraId="49DC7127" w14:textId="1AC2492B" w:rsidR="00DA2039" w:rsidRDefault="00DA2039" w:rsidP="008B6781">
      <w:pPr>
        <w:pStyle w:val="Caption"/>
        <w:keepNext/>
        <w:spacing w:before="0" w:after="120"/>
        <w:jc w:val="both"/>
      </w:pPr>
      <w:bookmarkStart w:id="93" w:name="_Ref54968727"/>
      <w:r>
        <w:t xml:space="preserve">Table </w:t>
      </w:r>
      <w:r w:rsidR="00BF3F75">
        <w:fldChar w:fldCharType="begin"/>
      </w:r>
      <w:r w:rsidR="00BF3F75">
        <w:instrText xml:space="preserve"> SEQ Table \* ARABIC </w:instrText>
      </w:r>
      <w:r w:rsidR="00BF3F75">
        <w:fldChar w:fldCharType="separate"/>
      </w:r>
      <w:r w:rsidR="00EC5CC7">
        <w:rPr>
          <w:noProof/>
        </w:rPr>
        <w:t>45</w:t>
      </w:r>
      <w:r w:rsidR="00BF3F75">
        <w:rPr>
          <w:noProof/>
        </w:rPr>
        <w:fldChar w:fldCharType="end"/>
      </w:r>
      <w:bookmarkEnd w:id="93"/>
      <w:r>
        <w:t xml:space="preserve">: </w:t>
      </w:r>
      <w:r w:rsidRPr="001E6825">
        <w:t xml:space="preserve">Summary of key adverse events, </w:t>
      </w:r>
      <w:r>
        <w:t>bupropion</w:t>
      </w:r>
      <w:r w:rsidRPr="001E6825">
        <w:t xml:space="preserve"> versus placebo</w:t>
      </w:r>
      <w:r w:rsidR="00C90A5F">
        <w:t xml:space="preserve"> </w:t>
      </w:r>
      <w:r w:rsidR="00C90A5F" w:rsidRPr="0074518D">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260"/>
        <w:gridCol w:w="1581"/>
        <w:gridCol w:w="1311"/>
        <w:gridCol w:w="1311"/>
        <w:gridCol w:w="1311"/>
        <w:gridCol w:w="1242"/>
      </w:tblGrid>
      <w:tr w:rsidR="00861780" w:rsidRPr="00061F78" w14:paraId="7930D017" w14:textId="77777777" w:rsidTr="006418CF">
        <w:trPr>
          <w:cantSplit/>
          <w:trHeight w:val="299"/>
          <w:tblHeader/>
        </w:trPr>
        <w:tc>
          <w:tcPr>
            <w:tcW w:w="1253" w:type="pct"/>
            <w:shd w:val="clear" w:color="auto" w:fill="BFBFBF" w:themeFill="background1" w:themeFillShade="BF"/>
            <w:tcMar>
              <w:left w:w="28" w:type="dxa"/>
              <w:right w:w="28" w:type="dxa"/>
            </w:tcMar>
          </w:tcPr>
          <w:p w14:paraId="2363D459" w14:textId="77777777" w:rsidR="00861780" w:rsidRDefault="00861780" w:rsidP="004766D2">
            <w:pPr>
              <w:pStyle w:val="Tableheading"/>
              <w:keepNext/>
              <w:rPr>
                <w:rFonts w:eastAsia="MS Mincho"/>
              </w:rPr>
            </w:pPr>
            <w:r>
              <w:rPr>
                <w:rFonts w:eastAsia="MS Mincho"/>
              </w:rPr>
              <w:t>Outcome</w:t>
            </w:r>
          </w:p>
        </w:tc>
        <w:tc>
          <w:tcPr>
            <w:tcW w:w="877" w:type="pct"/>
            <w:shd w:val="clear" w:color="auto" w:fill="BFBFBF" w:themeFill="background1" w:themeFillShade="BF"/>
          </w:tcPr>
          <w:p w14:paraId="0117C212" w14:textId="71A6C6EB" w:rsidR="00DB4B70" w:rsidRDefault="00DB4B70" w:rsidP="004766D2">
            <w:pPr>
              <w:pStyle w:val="Tableheading"/>
              <w:keepNext/>
              <w:jc w:val="center"/>
              <w:rPr>
                <w:rFonts w:eastAsia="MS Mincho"/>
              </w:rPr>
            </w:pPr>
            <w:r>
              <w:rPr>
                <w:rFonts w:eastAsia="MS Mincho"/>
              </w:rPr>
              <w:t>Study type</w:t>
            </w:r>
          </w:p>
        </w:tc>
        <w:tc>
          <w:tcPr>
            <w:tcW w:w="727" w:type="pct"/>
            <w:shd w:val="clear" w:color="auto" w:fill="BFBFBF" w:themeFill="background1" w:themeFillShade="BF"/>
            <w:tcMar>
              <w:left w:w="28" w:type="dxa"/>
              <w:right w:w="28" w:type="dxa"/>
            </w:tcMar>
            <w:vAlign w:val="center"/>
          </w:tcPr>
          <w:p w14:paraId="47D630A6" w14:textId="5B87BAD7" w:rsidR="00861780" w:rsidRPr="00061F78" w:rsidRDefault="00861780" w:rsidP="004766D2">
            <w:pPr>
              <w:pStyle w:val="Tableheading"/>
              <w:keepNext/>
              <w:jc w:val="center"/>
              <w:rPr>
                <w:rFonts w:eastAsia="MS Mincho"/>
              </w:rPr>
            </w:pPr>
            <w:r>
              <w:rPr>
                <w:rFonts w:eastAsia="MS Mincho"/>
              </w:rPr>
              <w:t>Bupropion</w:t>
            </w:r>
          </w:p>
        </w:tc>
        <w:tc>
          <w:tcPr>
            <w:tcW w:w="727" w:type="pct"/>
            <w:shd w:val="clear" w:color="auto" w:fill="BFBFBF" w:themeFill="background1" w:themeFillShade="BF"/>
            <w:tcMar>
              <w:left w:w="28" w:type="dxa"/>
              <w:right w:w="28" w:type="dxa"/>
            </w:tcMar>
            <w:vAlign w:val="center"/>
          </w:tcPr>
          <w:p w14:paraId="7F1533BB" w14:textId="77777777" w:rsidR="00861780" w:rsidRPr="00061F78" w:rsidRDefault="00861780" w:rsidP="004766D2">
            <w:pPr>
              <w:pStyle w:val="Tableheading"/>
              <w:keepNext/>
              <w:jc w:val="center"/>
              <w:rPr>
                <w:rFonts w:eastAsia="MS Mincho"/>
              </w:rPr>
            </w:pPr>
            <w:r w:rsidRPr="00061F78">
              <w:rPr>
                <w:rFonts w:eastAsia="MS Mincho"/>
              </w:rPr>
              <w:t>Placebo</w:t>
            </w:r>
          </w:p>
        </w:tc>
        <w:tc>
          <w:tcPr>
            <w:tcW w:w="727" w:type="pct"/>
            <w:shd w:val="clear" w:color="auto" w:fill="BFBFBF" w:themeFill="background1" w:themeFillShade="BF"/>
            <w:tcMar>
              <w:left w:w="28" w:type="dxa"/>
              <w:right w:w="28" w:type="dxa"/>
            </w:tcMar>
            <w:vAlign w:val="center"/>
          </w:tcPr>
          <w:p w14:paraId="6B6E8E8F" w14:textId="77777777" w:rsidR="00861780" w:rsidRPr="00D468CF" w:rsidRDefault="00861780" w:rsidP="004766D2">
            <w:pPr>
              <w:pStyle w:val="Tableheading"/>
              <w:keepNext/>
              <w:jc w:val="center"/>
              <w:rPr>
                <w:rFonts w:eastAsia="MS Mincho"/>
                <w:vertAlign w:val="superscript"/>
              </w:rPr>
            </w:pPr>
            <w:r>
              <w:rPr>
                <w:rFonts w:eastAsia="MS Mincho"/>
              </w:rPr>
              <w:t>RR (95% CI)</w:t>
            </w:r>
          </w:p>
        </w:tc>
        <w:tc>
          <w:tcPr>
            <w:tcW w:w="689" w:type="pct"/>
            <w:shd w:val="clear" w:color="auto" w:fill="BFBFBF" w:themeFill="background1" w:themeFillShade="BF"/>
            <w:vAlign w:val="center"/>
          </w:tcPr>
          <w:p w14:paraId="0B5FE715" w14:textId="77777777" w:rsidR="00861780" w:rsidRDefault="00861780" w:rsidP="004766D2">
            <w:pPr>
              <w:pStyle w:val="Tableheading"/>
              <w:keepNext/>
              <w:jc w:val="center"/>
              <w:rPr>
                <w:rFonts w:eastAsia="MS Mincho"/>
              </w:rPr>
            </w:pPr>
            <w:r>
              <w:rPr>
                <w:rFonts w:eastAsia="MS Mincho"/>
              </w:rPr>
              <w:t>RD (95% CI)</w:t>
            </w:r>
          </w:p>
        </w:tc>
      </w:tr>
      <w:tr w:rsidR="00861780" w:rsidRPr="00061F78" w14:paraId="4B5C03AD" w14:textId="77777777" w:rsidTr="006418CF">
        <w:trPr>
          <w:cantSplit/>
          <w:trHeight w:val="99"/>
        </w:trPr>
        <w:tc>
          <w:tcPr>
            <w:tcW w:w="1253" w:type="pct"/>
            <w:shd w:val="clear" w:color="auto" w:fill="auto"/>
            <w:tcMar>
              <w:left w:w="28" w:type="dxa"/>
              <w:right w:w="28" w:type="dxa"/>
            </w:tcMar>
          </w:tcPr>
          <w:p w14:paraId="60ABFCC9" w14:textId="4E97AF9B" w:rsidR="00861780" w:rsidRPr="001B4846" w:rsidRDefault="00861780" w:rsidP="004766D2">
            <w:pPr>
              <w:pStyle w:val="Tablewriting"/>
              <w:keepNext/>
              <w:rPr>
                <w:rFonts w:eastAsia="MS Mincho"/>
                <w:vertAlign w:val="superscript"/>
              </w:rPr>
            </w:pPr>
            <w:r>
              <w:rPr>
                <w:rFonts w:eastAsia="MS Mincho"/>
              </w:rPr>
              <w:t xml:space="preserve">Adverse </w:t>
            </w:r>
            <w:r w:rsidR="00DB4B70">
              <w:rPr>
                <w:rFonts w:eastAsia="MS Mincho"/>
              </w:rPr>
              <w:t>events</w:t>
            </w:r>
            <w:r w:rsidR="001B4846">
              <w:rPr>
                <w:rFonts w:eastAsia="MS Mincho"/>
                <w:vertAlign w:val="superscript"/>
              </w:rPr>
              <w:t>1</w:t>
            </w:r>
          </w:p>
        </w:tc>
        <w:tc>
          <w:tcPr>
            <w:tcW w:w="877" w:type="pct"/>
            <w:vAlign w:val="center"/>
          </w:tcPr>
          <w:p w14:paraId="1922F3B8" w14:textId="59AA5BA9" w:rsidR="00DB4B70" w:rsidRDefault="00DB4B70" w:rsidP="00DB4B70">
            <w:pPr>
              <w:pStyle w:val="Tablewriting"/>
              <w:keepNext/>
              <w:jc w:val="center"/>
              <w:rPr>
                <w:rFonts w:eastAsia="MS Mincho"/>
              </w:rPr>
            </w:pPr>
            <w:r>
              <w:rPr>
                <w:rFonts w:eastAsia="MS Mincho"/>
              </w:rPr>
              <w:t>2 RCTs</w:t>
            </w:r>
          </w:p>
        </w:tc>
        <w:tc>
          <w:tcPr>
            <w:tcW w:w="727" w:type="pct"/>
            <w:shd w:val="clear" w:color="auto" w:fill="auto"/>
            <w:tcMar>
              <w:left w:w="28" w:type="dxa"/>
              <w:right w:w="28" w:type="dxa"/>
            </w:tcMar>
            <w:vAlign w:val="center"/>
          </w:tcPr>
          <w:p w14:paraId="410DA3BB" w14:textId="7CC93649" w:rsidR="00861780" w:rsidRPr="00F423F8" w:rsidRDefault="001B5EE3" w:rsidP="004766D2">
            <w:pPr>
              <w:pStyle w:val="Tablewriting"/>
              <w:keepNext/>
              <w:jc w:val="center"/>
              <w:rPr>
                <w:rFonts w:eastAsia="MS Mincho"/>
                <w:vertAlign w:val="superscript"/>
              </w:rPr>
            </w:pPr>
            <w:r>
              <w:rPr>
                <w:rFonts w:eastAsia="MS Mincho"/>
              </w:rPr>
              <w:t>284</w:t>
            </w:r>
            <w:r w:rsidR="00DB4B70">
              <w:rPr>
                <w:rFonts w:eastAsia="MS Mincho"/>
              </w:rPr>
              <w:t>/</w:t>
            </w:r>
            <w:r>
              <w:rPr>
                <w:rFonts w:eastAsia="MS Mincho"/>
              </w:rPr>
              <w:t>367</w:t>
            </w:r>
          </w:p>
          <w:p w14:paraId="434F0850" w14:textId="0AD3F722" w:rsidR="00861780" w:rsidRDefault="00861780" w:rsidP="004766D2">
            <w:pPr>
              <w:pStyle w:val="Tablewriting"/>
              <w:keepNext/>
              <w:jc w:val="center"/>
              <w:rPr>
                <w:rFonts w:eastAsia="MS Mincho"/>
              </w:rPr>
            </w:pPr>
            <w:r>
              <w:rPr>
                <w:rFonts w:eastAsia="MS Mincho"/>
              </w:rPr>
              <w:t>(</w:t>
            </w:r>
            <w:r w:rsidR="005C39B1">
              <w:rPr>
                <w:rFonts w:eastAsia="MS Mincho"/>
              </w:rPr>
              <w:t>77.4</w:t>
            </w:r>
            <w:r>
              <w:rPr>
                <w:rFonts w:eastAsia="MS Mincho"/>
              </w:rPr>
              <w:t>%)</w:t>
            </w:r>
          </w:p>
        </w:tc>
        <w:tc>
          <w:tcPr>
            <w:tcW w:w="727" w:type="pct"/>
            <w:shd w:val="clear" w:color="auto" w:fill="auto"/>
            <w:tcMar>
              <w:left w:w="28" w:type="dxa"/>
              <w:right w:w="28" w:type="dxa"/>
            </w:tcMar>
            <w:vAlign w:val="center"/>
          </w:tcPr>
          <w:p w14:paraId="49FEB490" w14:textId="143382C3" w:rsidR="00861780" w:rsidRDefault="00490129" w:rsidP="004766D2">
            <w:pPr>
              <w:pStyle w:val="Tablewriting"/>
              <w:keepNext/>
              <w:jc w:val="center"/>
              <w:rPr>
                <w:rFonts w:eastAsia="MS Mincho"/>
              </w:rPr>
            </w:pPr>
            <w:r>
              <w:rPr>
                <w:rFonts w:eastAsia="MS Mincho"/>
              </w:rPr>
              <w:t>229</w:t>
            </w:r>
            <w:r w:rsidR="00DB4B70">
              <w:rPr>
                <w:rFonts w:eastAsia="MS Mincho"/>
              </w:rPr>
              <w:t>/</w:t>
            </w:r>
            <w:r>
              <w:rPr>
                <w:rFonts w:eastAsia="MS Mincho"/>
              </w:rPr>
              <w:t>367</w:t>
            </w:r>
          </w:p>
          <w:p w14:paraId="4B61C770" w14:textId="4847D89D" w:rsidR="00861780" w:rsidRDefault="00861780" w:rsidP="004766D2">
            <w:pPr>
              <w:pStyle w:val="Tablewriting"/>
              <w:keepNext/>
              <w:jc w:val="center"/>
              <w:rPr>
                <w:rFonts w:eastAsia="MS Mincho"/>
              </w:rPr>
            </w:pPr>
            <w:r>
              <w:rPr>
                <w:rFonts w:eastAsia="MS Mincho"/>
              </w:rPr>
              <w:t>(</w:t>
            </w:r>
            <w:r w:rsidR="00DD6A90">
              <w:rPr>
                <w:rFonts w:eastAsia="MS Mincho"/>
              </w:rPr>
              <w:t>62.4</w:t>
            </w:r>
            <w:r>
              <w:rPr>
                <w:rFonts w:eastAsia="MS Mincho"/>
              </w:rPr>
              <w:t>%)</w:t>
            </w:r>
          </w:p>
        </w:tc>
        <w:tc>
          <w:tcPr>
            <w:tcW w:w="727" w:type="pct"/>
            <w:shd w:val="clear" w:color="auto" w:fill="auto"/>
            <w:tcMar>
              <w:left w:w="28" w:type="dxa"/>
              <w:right w:w="28" w:type="dxa"/>
            </w:tcMar>
            <w:vAlign w:val="center"/>
          </w:tcPr>
          <w:p w14:paraId="5C668778" w14:textId="77777777" w:rsidR="00DB4B70" w:rsidRDefault="00490129" w:rsidP="004766D2">
            <w:pPr>
              <w:pStyle w:val="Tablewriting"/>
              <w:keepNext/>
              <w:jc w:val="center"/>
              <w:rPr>
                <w:rFonts w:eastAsia="MS Mincho"/>
                <w:b/>
                <w:bCs/>
              </w:rPr>
            </w:pPr>
            <w:r>
              <w:rPr>
                <w:rFonts w:eastAsia="MS Mincho"/>
                <w:b/>
                <w:bCs/>
              </w:rPr>
              <w:t>1.25</w:t>
            </w:r>
          </w:p>
          <w:p w14:paraId="328D3222" w14:textId="5A3144F4" w:rsidR="00861780" w:rsidRPr="00F360FD" w:rsidRDefault="00861780" w:rsidP="004766D2">
            <w:pPr>
              <w:pStyle w:val="Tablewriting"/>
              <w:keepNext/>
              <w:jc w:val="center"/>
              <w:rPr>
                <w:rFonts w:eastAsia="MS Mincho"/>
                <w:b/>
              </w:rPr>
            </w:pPr>
            <w:r w:rsidRPr="00F360FD">
              <w:rPr>
                <w:rFonts w:eastAsia="MS Mincho"/>
                <w:b/>
                <w:bCs/>
              </w:rPr>
              <w:t>(</w:t>
            </w:r>
            <w:r>
              <w:rPr>
                <w:rFonts w:eastAsia="MS Mincho"/>
                <w:b/>
                <w:bCs/>
              </w:rPr>
              <w:t>1.</w:t>
            </w:r>
            <w:r w:rsidR="00490129">
              <w:rPr>
                <w:rFonts w:eastAsia="MS Mincho"/>
                <w:b/>
                <w:bCs/>
              </w:rPr>
              <w:t>13</w:t>
            </w:r>
            <w:r w:rsidRPr="00F360FD">
              <w:rPr>
                <w:rFonts w:eastAsia="MS Mincho"/>
                <w:b/>
                <w:bCs/>
              </w:rPr>
              <w:t xml:space="preserve">, </w:t>
            </w:r>
            <w:r>
              <w:rPr>
                <w:rFonts w:eastAsia="MS Mincho"/>
                <w:b/>
                <w:bCs/>
              </w:rPr>
              <w:t>1.</w:t>
            </w:r>
            <w:r w:rsidR="00490129">
              <w:rPr>
                <w:rFonts w:eastAsia="MS Mincho"/>
                <w:b/>
                <w:bCs/>
              </w:rPr>
              <w:t>37</w:t>
            </w:r>
            <w:r w:rsidRPr="00F360FD">
              <w:rPr>
                <w:rFonts w:eastAsia="MS Mincho"/>
                <w:b/>
                <w:bCs/>
              </w:rPr>
              <w:t>)</w:t>
            </w:r>
          </w:p>
        </w:tc>
        <w:tc>
          <w:tcPr>
            <w:tcW w:w="689" w:type="pct"/>
            <w:shd w:val="clear" w:color="auto" w:fill="auto"/>
            <w:vAlign w:val="center"/>
          </w:tcPr>
          <w:p w14:paraId="5BFD3A30" w14:textId="77777777" w:rsidR="00DB4B70" w:rsidRPr="001B4846" w:rsidRDefault="00490129" w:rsidP="004766D2">
            <w:pPr>
              <w:pStyle w:val="Tablewriting"/>
              <w:keepNext/>
              <w:jc w:val="center"/>
              <w:rPr>
                <w:rFonts w:eastAsia="MS Mincho"/>
                <w:b/>
                <w:bCs/>
              </w:rPr>
            </w:pPr>
            <w:r w:rsidRPr="001B4846">
              <w:rPr>
                <w:rFonts w:eastAsia="MS Mincho"/>
                <w:b/>
                <w:bCs/>
              </w:rPr>
              <w:t>0.15</w:t>
            </w:r>
          </w:p>
          <w:p w14:paraId="53464F46" w14:textId="152245B1" w:rsidR="00861780" w:rsidRPr="00061F78" w:rsidRDefault="00490129" w:rsidP="004766D2">
            <w:pPr>
              <w:pStyle w:val="Tablewriting"/>
              <w:keepNext/>
              <w:jc w:val="center"/>
              <w:rPr>
                <w:rFonts w:eastAsia="MS Mincho"/>
              </w:rPr>
            </w:pPr>
            <w:r w:rsidRPr="001B4846">
              <w:rPr>
                <w:rFonts w:eastAsia="MS Mincho"/>
                <w:b/>
                <w:bCs/>
              </w:rPr>
              <w:t>(0.09, 0.22)</w:t>
            </w:r>
          </w:p>
        </w:tc>
      </w:tr>
      <w:tr w:rsidR="00861780" w:rsidRPr="00061F78" w14:paraId="1574679A" w14:textId="77777777" w:rsidTr="006418CF">
        <w:trPr>
          <w:cantSplit/>
          <w:trHeight w:val="149"/>
        </w:trPr>
        <w:tc>
          <w:tcPr>
            <w:tcW w:w="1253" w:type="pct"/>
            <w:tcMar>
              <w:left w:w="28" w:type="dxa"/>
              <w:right w:w="28" w:type="dxa"/>
            </w:tcMar>
          </w:tcPr>
          <w:p w14:paraId="2405D61F" w14:textId="2C38A161" w:rsidR="00861780" w:rsidRPr="001B4846" w:rsidRDefault="00861780" w:rsidP="004766D2">
            <w:pPr>
              <w:pStyle w:val="Tablewriting"/>
              <w:keepNext/>
              <w:rPr>
                <w:rFonts w:eastAsia="MS Mincho"/>
                <w:vertAlign w:val="superscript"/>
              </w:rPr>
            </w:pPr>
            <w:r>
              <w:rPr>
                <w:rFonts w:eastAsia="MS Mincho"/>
              </w:rPr>
              <w:t xml:space="preserve">Serious adverse </w:t>
            </w:r>
            <w:r w:rsidR="00DB4B70">
              <w:rPr>
                <w:rFonts w:eastAsia="MS Mincho"/>
              </w:rPr>
              <w:t>events</w:t>
            </w:r>
            <w:r w:rsidR="001B4846">
              <w:rPr>
                <w:rFonts w:eastAsia="MS Mincho"/>
                <w:vertAlign w:val="superscript"/>
              </w:rPr>
              <w:t>1</w:t>
            </w:r>
          </w:p>
        </w:tc>
        <w:tc>
          <w:tcPr>
            <w:tcW w:w="877" w:type="pct"/>
            <w:vAlign w:val="center"/>
          </w:tcPr>
          <w:p w14:paraId="05465C8C" w14:textId="4C61BE6F" w:rsidR="00DB4B70" w:rsidRDefault="00DB4B70" w:rsidP="00DB4B70">
            <w:pPr>
              <w:pStyle w:val="Tablewriting"/>
              <w:keepNext/>
              <w:jc w:val="center"/>
              <w:rPr>
                <w:rFonts w:eastAsia="MS Mincho"/>
              </w:rPr>
            </w:pPr>
            <w:r>
              <w:rPr>
                <w:rFonts w:eastAsia="MS Mincho"/>
              </w:rPr>
              <w:t>2 RCTs</w:t>
            </w:r>
          </w:p>
        </w:tc>
        <w:tc>
          <w:tcPr>
            <w:tcW w:w="727" w:type="pct"/>
            <w:tcMar>
              <w:left w:w="28" w:type="dxa"/>
              <w:right w:w="28" w:type="dxa"/>
            </w:tcMar>
            <w:vAlign w:val="center"/>
          </w:tcPr>
          <w:p w14:paraId="0EF427AD" w14:textId="54FAFA58" w:rsidR="00861780" w:rsidRPr="00F423F8" w:rsidRDefault="001025F6" w:rsidP="004766D2">
            <w:pPr>
              <w:pStyle w:val="Tablewriting"/>
              <w:keepNext/>
              <w:jc w:val="center"/>
              <w:rPr>
                <w:rFonts w:eastAsia="MS Mincho"/>
                <w:vertAlign w:val="superscript"/>
              </w:rPr>
            </w:pPr>
            <w:r>
              <w:rPr>
                <w:rFonts w:eastAsia="MS Mincho"/>
              </w:rPr>
              <w:t>6</w:t>
            </w:r>
            <w:r w:rsidR="00DB4B70">
              <w:rPr>
                <w:rFonts w:eastAsia="MS Mincho"/>
              </w:rPr>
              <w:t>/</w:t>
            </w:r>
            <w:r>
              <w:rPr>
                <w:rFonts w:eastAsia="MS Mincho"/>
              </w:rPr>
              <w:t>367</w:t>
            </w:r>
          </w:p>
          <w:p w14:paraId="47A2C51B" w14:textId="797BFCED" w:rsidR="00861780" w:rsidRPr="00923953" w:rsidRDefault="00861780" w:rsidP="004766D2">
            <w:pPr>
              <w:pStyle w:val="Tablewriting"/>
              <w:keepNext/>
              <w:jc w:val="center"/>
              <w:rPr>
                <w:rFonts w:eastAsia="MS Mincho"/>
                <w:vertAlign w:val="superscript"/>
              </w:rPr>
            </w:pPr>
            <w:r>
              <w:rPr>
                <w:rFonts w:eastAsia="MS Mincho"/>
              </w:rPr>
              <w:t>(</w:t>
            </w:r>
            <w:r w:rsidR="00CA2340">
              <w:rPr>
                <w:rFonts w:eastAsia="MS Mincho"/>
              </w:rPr>
              <w:t>1.</w:t>
            </w:r>
            <w:r w:rsidR="00DD6A90">
              <w:rPr>
                <w:rFonts w:eastAsia="MS Mincho"/>
              </w:rPr>
              <w:t>6</w:t>
            </w:r>
            <w:r>
              <w:rPr>
                <w:rFonts w:eastAsia="MS Mincho"/>
              </w:rPr>
              <w:t>%)</w:t>
            </w:r>
          </w:p>
        </w:tc>
        <w:tc>
          <w:tcPr>
            <w:tcW w:w="727" w:type="pct"/>
            <w:tcMar>
              <w:left w:w="28" w:type="dxa"/>
              <w:right w:w="28" w:type="dxa"/>
            </w:tcMar>
            <w:vAlign w:val="center"/>
          </w:tcPr>
          <w:p w14:paraId="4A706B8F" w14:textId="2B8B31C6" w:rsidR="00861780" w:rsidRDefault="001025F6" w:rsidP="004766D2">
            <w:pPr>
              <w:pStyle w:val="Tablewriting"/>
              <w:keepNext/>
              <w:jc w:val="center"/>
              <w:rPr>
                <w:rFonts w:eastAsia="MS Mincho"/>
              </w:rPr>
            </w:pPr>
            <w:r>
              <w:rPr>
                <w:rFonts w:eastAsia="MS Mincho"/>
              </w:rPr>
              <w:t>4</w:t>
            </w:r>
            <w:r w:rsidR="00DB4B70">
              <w:rPr>
                <w:rFonts w:eastAsia="MS Mincho"/>
              </w:rPr>
              <w:t>/</w:t>
            </w:r>
            <w:r>
              <w:rPr>
                <w:rFonts w:eastAsia="MS Mincho"/>
              </w:rPr>
              <w:t>367</w:t>
            </w:r>
          </w:p>
          <w:p w14:paraId="55DB231E" w14:textId="38D38E3A" w:rsidR="00861780" w:rsidRPr="00923953" w:rsidRDefault="00861780" w:rsidP="004766D2">
            <w:pPr>
              <w:pStyle w:val="Tablewriting"/>
              <w:keepNext/>
              <w:jc w:val="center"/>
              <w:rPr>
                <w:rFonts w:eastAsia="MS Mincho"/>
                <w:vertAlign w:val="superscript"/>
              </w:rPr>
            </w:pPr>
            <w:r>
              <w:rPr>
                <w:rFonts w:eastAsia="MS Mincho"/>
              </w:rPr>
              <w:t>(</w:t>
            </w:r>
            <w:r w:rsidR="00DD6A90">
              <w:rPr>
                <w:rFonts w:eastAsia="MS Mincho"/>
              </w:rPr>
              <w:t>1.1</w:t>
            </w:r>
            <w:r>
              <w:rPr>
                <w:rFonts w:eastAsia="MS Mincho"/>
              </w:rPr>
              <w:t>%)</w:t>
            </w:r>
          </w:p>
        </w:tc>
        <w:tc>
          <w:tcPr>
            <w:tcW w:w="727" w:type="pct"/>
            <w:tcMar>
              <w:left w:w="28" w:type="dxa"/>
              <w:right w:w="28" w:type="dxa"/>
            </w:tcMar>
            <w:vAlign w:val="center"/>
          </w:tcPr>
          <w:p w14:paraId="52DF0B64" w14:textId="31711207" w:rsidR="00861780" w:rsidRPr="00A0110E" w:rsidRDefault="00861780" w:rsidP="004766D2">
            <w:pPr>
              <w:pStyle w:val="Tablewriting"/>
              <w:keepNext/>
              <w:jc w:val="center"/>
              <w:rPr>
                <w:rFonts w:eastAsia="MS Mincho"/>
              </w:rPr>
            </w:pPr>
            <w:r w:rsidRPr="00A0110E">
              <w:rPr>
                <w:rFonts w:eastAsia="MS Mincho"/>
              </w:rPr>
              <w:t>1.</w:t>
            </w:r>
            <w:r w:rsidR="001025F6">
              <w:rPr>
                <w:rFonts w:eastAsia="MS Mincho"/>
              </w:rPr>
              <w:t>49</w:t>
            </w:r>
          </w:p>
          <w:p w14:paraId="51C4DED5" w14:textId="2B913B13" w:rsidR="00861780" w:rsidRPr="00A0110E" w:rsidRDefault="00DB4B70" w:rsidP="004766D2">
            <w:pPr>
              <w:pStyle w:val="Tablewriting"/>
              <w:keepNext/>
              <w:jc w:val="center"/>
              <w:rPr>
                <w:rFonts w:eastAsia="MS Mincho"/>
              </w:rPr>
            </w:pPr>
            <w:r w:rsidRPr="00A0110E">
              <w:rPr>
                <w:rFonts w:eastAsia="MS Mincho"/>
              </w:rPr>
              <w:t>(0.</w:t>
            </w:r>
            <w:r w:rsidR="001025F6">
              <w:rPr>
                <w:rFonts w:eastAsia="MS Mincho"/>
              </w:rPr>
              <w:t>42</w:t>
            </w:r>
            <w:r w:rsidRPr="00A0110E">
              <w:rPr>
                <w:rFonts w:eastAsia="MS Mincho"/>
              </w:rPr>
              <w:t xml:space="preserve">, </w:t>
            </w:r>
            <w:r w:rsidR="001025F6">
              <w:rPr>
                <w:rFonts w:eastAsia="MS Mincho"/>
              </w:rPr>
              <w:t>5.32</w:t>
            </w:r>
            <w:r w:rsidRPr="00A0110E">
              <w:rPr>
                <w:rFonts w:eastAsia="MS Mincho"/>
              </w:rPr>
              <w:t>)</w:t>
            </w:r>
          </w:p>
        </w:tc>
        <w:tc>
          <w:tcPr>
            <w:tcW w:w="689" w:type="pct"/>
            <w:vAlign w:val="center"/>
          </w:tcPr>
          <w:p w14:paraId="719E0698" w14:textId="77777777" w:rsidR="00DB4B70" w:rsidRDefault="001025F6" w:rsidP="004766D2">
            <w:pPr>
              <w:pStyle w:val="Tablewriting"/>
              <w:keepNext/>
              <w:jc w:val="center"/>
              <w:rPr>
                <w:rFonts w:eastAsia="MS Mincho"/>
              </w:rPr>
            </w:pPr>
            <w:r>
              <w:rPr>
                <w:rFonts w:eastAsia="MS Mincho"/>
              </w:rPr>
              <w:t>0.01</w:t>
            </w:r>
          </w:p>
          <w:p w14:paraId="4E510688" w14:textId="52820D94" w:rsidR="00861780" w:rsidRPr="00A0110E" w:rsidRDefault="001025F6" w:rsidP="004766D2">
            <w:pPr>
              <w:pStyle w:val="Tablewriting"/>
              <w:keepNext/>
              <w:jc w:val="center"/>
              <w:rPr>
                <w:rFonts w:eastAsia="MS Mincho"/>
              </w:rPr>
            </w:pPr>
            <w:r>
              <w:rPr>
                <w:rFonts w:eastAsia="MS Mincho"/>
              </w:rPr>
              <w:t>(-0.01, 0.02)</w:t>
            </w:r>
          </w:p>
        </w:tc>
      </w:tr>
      <w:tr w:rsidR="00861780" w:rsidRPr="00061F78" w14:paraId="51479C8A" w14:textId="77777777" w:rsidTr="006418CF">
        <w:trPr>
          <w:cantSplit/>
          <w:trHeight w:val="149"/>
        </w:trPr>
        <w:tc>
          <w:tcPr>
            <w:tcW w:w="1253" w:type="pct"/>
            <w:tcMar>
              <w:left w:w="28" w:type="dxa"/>
              <w:right w:w="28" w:type="dxa"/>
            </w:tcMar>
          </w:tcPr>
          <w:p w14:paraId="2DB72A68" w14:textId="77777777" w:rsidR="00861780" w:rsidRDefault="00861780" w:rsidP="004766D2">
            <w:pPr>
              <w:pStyle w:val="Tablewriting"/>
              <w:keepNext/>
              <w:rPr>
                <w:rFonts w:eastAsia="MS Mincho"/>
              </w:rPr>
            </w:pPr>
            <w:r>
              <w:rPr>
                <w:rFonts w:eastAsia="MS Mincho"/>
              </w:rPr>
              <w:t>Discontinuation due to adverse events</w:t>
            </w:r>
          </w:p>
        </w:tc>
        <w:tc>
          <w:tcPr>
            <w:tcW w:w="877" w:type="pct"/>
            <w:vAlign w:val="center"/>
          </w:tcPr>
          <w:p w14:paraId="2CB7C00A" w14:textId="77777777" w:rsidR="006418CF" w:rsidRDefault="006418CF" w:rsidP="00DB4B70">
            <w:pPr>
              <w:pStyle w:val="Tablewriting"/>
              <w:keepNext/>
              <w:jc w:val="center"/>
              <w:rPr>
                <w:rFonts w:eastAsia="MS Mincho"/>
              </w:rPr>
            </w:pPr>
            <w:r>
              <w:rPr>
                <w:rFonts w:eastAsia="MS Mincho"/>
              </w:rPr>
              <w:t>1 RCT</w:t>
            </w:r>
          </w:p>
          <w:p w14:paraId="41293B69" w14:textId="14A6178B" w:rsidR="006418CF" w:rsidRDefault="006418CF" w:rsidP="00DB4B70">
            <w:pPr>
              <w:pStyle w:val="Tablewriting"/>
              <w:keepNext/>
              <w:jc w:val="center"/>
              <w:rPr>
                <w:rFonts w:eastAsia="MS Mincho"/>
              </w:rPr>
            </w:pPr>
            <w:r>
              <w:rPr>
                <w:rFonts w:eastAsia="MS Mincho"/>
              </w:rPr>
              <w:t>(</w:t>
            </w:r>
            <w:r w:rsidR="00DB4B70">
              <w:rPr>
                <w:rFonts w:eastAsia="MS Mincho"/>
              </w:rPr>
              <w:t>Gonzales</w:t>
            </w:r>
            <w:r>
              <w:rPr>
                <w:rFonts w:eastAsia="MS Mincho"/>
              </w:rPr>
              <w:t xml:space="preserve"> </w:t>
            </w:r>
            <w:r w:rsidR="00DB4B70">
              <w:rPr>
                <w:rFonts w:eastAsia="MS Mincho"/>
              </w:rPr>
              <w:t>2001)</w:t>
            </w:r>
          </w:p>
        </w:tc>
        <w:tc>
          <w:tcPr>
            <w:tcW w:w="727" w:type="pct"/>
            <w:tcMar>
              <w:left w:w="28" w:type="dxa"/>
              <w:right w:w="28" w:type="dxa"/>
            </w:tcMar>
            <w:vAlign w:val="center"/>
          </w:tcPr>
          <w:p w14:paraId="66E298BE" w14:textId="70712F1C" w:rsidR="00861780" w:rsidRPr="00F423F8" w:rsidRDefault="00861780" w:rsidP="004766D2">
            <w:pPr>
              <w:pStyle w:val="Tablewriting"/>
              <w:keepNext/>
              <w:jc w:val="center"/>
              <w:rPr>
                <w:rFonts w:eastAsia="MS Mincho"/>
                <w:vertAlign w:val="superscript"/>
              </w:rPr>
            </w:pPr>
            <w:r>
              <w:rPr>
                <w:rFonts w:eastAsia="MS Mincho"/>
              </w:rPr>
              <w:t>1</w:t>
            </w:r>
            <w:r w:rsidR="009E2FD0">
              <w:rPr>
                <w:rFonts w:eastAsia="MS Mincho"/>
              </w:rPr>
              <w:t>9</w:t>
            </w:r>
            <w:r>
              <w:rPr>
                <w:rFonts w:eastAsia="MS Mincho"/>
              </w:rPr>
              <w:t>/2</w:t>
            </w:r>
            <w:r w:rsidR="009E2FD0">
              <w:rPr>
                <w:rFonts w:eastAsia="MS Mincho"/>
              </w:rPr>
              <w:t>26</w:t>
            </w:r>
          </w:p>
          <w:p w14:paraId="1E0A9D5F" w14:textId="6AA209F7" w:rsidR="00861780" w:rsidRPr="00923953" w:rsidRDefault="00861780" w:rsidP="004766D2">
            <w:pPr>
              <w:pStyle w:val="Tablewriting"/>
              <w:keepNext/>
              <w:jc w:val="center"/>
              <w:rPr>
                <w:rFonts w:eastAsia="MS Mincho"/>
                <w:vertAlign w:val="superscript"/>
              </w:rPr>
            </w:pPr>
            <w:r>
              <w:rPr>
                <w:rFonts w:eastAsia="MS Mincho"/>
              </w:rPr>
              <w:t>(</w:t>
            </w:r>
            <w:r w:rsidR="00116A84">
              <w:rPr>
                <w:rFonts w:eastAsia="MS Mincho"/>
              </w:rPr>
              <w:t>8.4</w:t>
            </w:r>
            <w:r>
              <w:rPr>
                <w:rFonts w:eastAsia="MS Mincho"/>
              </w:rPr>
              <w:t>%)</w:t>
            </w:r>
          </w:p>
        </w:tc>
        <w:tc>
          <w:tcPr>
            <w:tcW w:w="727" w:type="pct"/>
            <w:tcMar>
              <w:left w:w="28" w:type="dxa"/>
              <w:right w:w="28" w:type="dxa"/>
            </w:tcMar>
            <w:vAlign w:val="center"/>
          </w:tcPr>
          <w:p w14:paraId="18441204" w14:textId="369F26DF" w:rsidR="00861780" w:rsidRDefault="009E2FD0" w:rsidP="004766D2">
            <w:pPr>
              <w:pStyle w:val="Tablewriting"/>
              <w:keepNext/>
              <w:jc w:val="center"/>
              <w:rPr>
                <w:rFonts w:eastAsia="MS Mincho"/>
              </w:rPr>
            </w:pPr>
            <w:r>
              <w:rPr>
                <w:rFonts w:eastAsia="MS Mincho"/>
              </w:rPr>
              <w:t>11</w:t>
            </w:r>
            <w:r w:rsidR="00861780">
              <w:rPr>
                <w:rFonts w:eastAsia="MS Mincho"/>
              </w:rPr>
              <w:t>/2</w:t>
            </w:r>
            <w:r>
              <w:rPr>
                <w:rFonts w:eastAsia="MS Mincho"/>
              </w:rPr>
              <w:t>2</w:t>
            </w:r>
            <w:r w:rsidR="00861780">
              <w:rPr>
                <w:rFonts w:eastAsia="MS Mincho"/>
              </w:rPr>
              <w:t>4</w:t>
            </w:r>
          </w:p>
          <w:p w14:paraId="0673E864" w14:textId="2A1E6C6A" w:rsidR="00861780" w:rsidRPr="00923953" w:rsidRDefault="00861780" w:rsidP="004766D2">
            <w:pPr>
              <w:pStyle w:val="Tablewriting"/>
              <w:keepNext/>
              <w:jc w:val="center"/>
              <w:rPr>
                <w:rFonts w:eastAsia="MS Mincho"/>
                <w:vertAlign w:val="superscript"/>
              </w:rPr>
            </w:pPr>
            <w:r>
              <w:rPr>
                <w:rFonts w:eastAsia="MS Mincho"/>
              </w:rPr>
              <w:t>(</w:t>
            </w:r>
            <w:r w:rsidR="008F2886">
              <w:rPr>
                <w:rFonts w:eastAsia="MS Mincho"/>
              </w:rPr>
              <w:t>4.9</w:t>
            </w:r>
            <w:r>
              <w:rPr>
                <w:rFonts w:eastAsia="MS Mincho"/>
              </w:rPr>
              <w:t>%)</w:t>
            </w:r>
          </w:p>
        </w:tc>
        <w:tc>
          <w:tcPr>
            <w:tcW w:w="727" w:type="pct"/>
            <w:tcMar>
              <w:left w:w="28" w:type="dxa"/>
              <w:right w:w="28" w:type="dxa"/>
            </w:tcMar>
            <w:vAlign w:val="center"/>
          </w:tcPr>
          <w:p w14:paraId="27A6FC00" w14:textId="7CBCA63C" w:rsidR="00861780" w:rsidRPr="00682ACE" w:rsidRDefault="006E6BAC" w:rsidP="004766D2">
            <w:pPr>
              <w:pStyle w:val="Tablewriting"/>
              <w:keepNext/>
              <w:jc w:val="center"/>
              <w:rPr>
                <w:rFonts w:eastAsia="MS Mincho"/>
              </w:rPr>
            </w:pPr>
            <w:r w:rsidRPr="00682ACE">
              <w:rPr>
                <w:rFonts w:eastAsia="MS Mincho"/>
              </w:rPr>
              <w:t>1.71</w:t>
            </w:r>
          </w:p>
          <w:p w14:paraId="4C1E6444" w14:textId="3E8F5486" w:rsidR="00861780" w:rsidRPr="006A6520" w:rsidRDefault="00861780" w:rsidP="004766D2">
            <w:pPr>
              <w:pStyle w:val="Tablewriting"/>
              <w:keepNext/>
              <w:jc w:val="center"/>
              <w:rPr>
                <w:rFonts w:eastAsia="MS Mincho"/>
              </w:rPr>
            </w:pPr>
            <w:r w:rsidRPr="00682ACE">
              <w:rPr>
                <w:rFonts w:eastAsia="MS Mincho"/>
              </w:rPr>
              <w:t>(</w:t>
            </w:r>
            <w:r w:rsidR="006E6BAC" w:rsidRPr="00682ACE">
              <w:rPr>
                <w:rFonts w:eastAsia="MS Mincho"/>
              </w:rPr>
              <w:t>0.83</w:t>
            </w:r>
            <w:r w:rsidRPr="00682ACE">
              <w:rPr>
                <w:rFonts w:eastAsia="MS Mincho"/>
              </w:rPr>
              <w:t xml:space="preserve">, </w:t>
            </w:r>
            <w:r w:rsidR="006E6BAC" w:rsidRPr="00682ACE">
              <w:rPr>
                <w:rFonts w:eastAsia="MS Mincho"/>
              </w:rPr>
              <w:t>3.51</w:t>
            </w:r>
            <w:r w:rsidRPr="00682ACE">
              <w:rPr>
                <w:rFonts w:eastAsia="MS Mincho"/>
              </w:rPr>
              <w:t>)</w:t>
            </w:r>
          </w:p>
        </w:tc>
        <w:tc>
          <w:tcPr>
            <w:tcW w:w="689" w:type="pct"/>
            <w:vAlign w:val="center"/>
          </w:tcPr>
          <w:p w14:paraId="000A1464" w14:textId="77777777" w:rsidR="00DB4B70" w:rsidRDefault="001B4846" w:rsidP="004766D2">
            <w:pPr>
              <w:pStyle w:val="Tablewriting"/>
              <w:keepNext/>
              <w:jc w:val="center"/>
              <w:rPr>
                <w:rFonts w:eastAsia="MS Mincho"/>
              </w:rPr>
            </w:pPr>
            <w:r>
              <w:rPr>
                <w:rFonts w:eastAsia="MS Mincho"/>
              </w:rPr>
              <w:t>0.03</w:t>
            </w:r>
          </w:p>
          <w:p w14:paraId="2D848DFB" w14:textId="45BA3C4D" w:rsidR="00861780" w:rsidRPr="006A6520" w:rsidRDefault="001B4846" w:rsidP="004766D2">
            <w:pPr>
              <w:pStyle w:val="Tablewriting"/>
              <w:keepNext/>
              <w:jc w:val="center"/>
              <w:rPr>
                <w:rFonts w:eastAsia="MS Mincho"/>
              </w:rPr>
            </w:pPr>
            <w:r>
              <w:rPr>
                <w:rFonts w:eastAsia="MS Mincho"/>
              </w:rPr>
              <w:t>(-0.01, 0.08)</w:t>
            </w:r>
          </w:p>
        </w:tc>
      </w:tr>
    </w:tbl>
    <w:p w14:paraId="658C286D" w14:textId="4CA043A3" w:rsidR="00833725" w:rsidRDefault="00833725" w:rsidP="008B6781">
      <w:pPr>
        <w:pStyle w:val="TableFooter"/>
        <w:keepNext/>
        <w:jc w:val="both"/>
      </w:pPr>
      <w:r>
        <w:t>Source: Howes et al. (2020)</w:t>
      </w:r>
      <w:r w:rsidR="001B5EE3">
        <w:t>, Gonzales et al. (2001), Selby et al. (2003)</w:t>
      </w:r>
    </w:p>
    <w:p w14:paraId="4CF7C573" w14:textId="77777777" w:rsidR="00833725" w:rsidRDefault="00833725" w:rsidP="008B6781">
      <w:pPr>
        <w:pStyle w:val="TableFooter"/>
        <w:keepNext/>
        <w:jc w:val="both"/>
      </w:pPr>
      <w:r>
        <w:t>Abbreviations: CI = confidence interval; RD = risk difference; RR = risk ratio</w:t>
      </w:r>
    </w:p>
    <w:p w14:paraId="713683E6" w14:textId="79C4C431" w:rsidR="003A784A" w:rsidRDefault="00833725" w:rsidP="008B6781">
      <w:pPr>
        <w:pStyle w:val="TableFooter"/>
        <w:keepNext/>
        <w:jc w:val="both"/>
      </w:pPr>
      <w:r w:rsidRPr="00FD4061">
        <w:t>Note</w:t>
      </w:r>
      <w:r>
        <w:t>s</w:t>
      </w:r>
      <w:r w:rsidRPr="00FD4061">
        <w:t>: Bold indicates statistically significant difference.</w:t>
      </w:r>
      <w:r w:rsidR="001B4846" w:rsidRPr="001B4846">
        <w:t xml:space="preserve"> See </w:t>
      </w:r>
      <w:r w:rsidR="001B4846" w:rsidRPr="001E7610">
        <w:t>Appendix</w:t>
      </w:r>
      <w:r w:rsidR="001B4846" w:rsidRPr="001B4846">
        <w:t xml:space="preserve"> </w:t>
      </w:r>
      <w:r w:rsidR="00A63ACE">
        <w:fldChar w:fldCharType="begin" w:fldLock="1"/>
      </w:r>
      <w:r w:rsidR="00A63ACE">
        <w:instrText xml:space="preserve"> REF _Ref61252137 \h </w:instrText>
      </w:r>
      <w:r w:rsidR="008B6781">
        <w:instrText xml:space="preserve"> \* MERGEFORMAT </w:instrText>
      </w:r>
      <w:r w:rsidR="00A63ACE">
        <w:fldChar w:fldCharType="separate"/>
      </w:r>
      <w:r w:rsidR="00EC5CC7">
        <w:t xml:space="preserve">Figure </w:t>
      </w:r>
      <w:r w:rsidR="00EC5CC7">
        <w:rPr>
          <w:noProof/>
        </w:rPr>
        <w:t>74</w:t>
      </w:r>
      <w:r w:rsidR="00A63ACE">
        <w:fldChar w:fldCharType="end"/>
      </w:r>
      <w:r w:rsidR="00A63ACE">
        <w:t xml:space="preserve"> and </w:t>
      </w:r>
      <w:r w:rsidR="00A63ACE">
        <w:fldChar w:fldCharType="begin" w:fldLock="1"/>
      </w:r>
      <w:r w:rsidR="00A63ACE">
        <w:instrText xml:space="preserve"> REF _Ref61252140 \h </w:instrText>
      </w:r>
      <w:r w:rsidR="008B6781">
        <w:instrText xml:space="preserve"> \* MERGEFORMAT </w:instrText>
      </w:r>
      <w:r w:rsidR="00A63ACE">
        <w:fldChar w:fldCharType="separate"/>
      </w:r>
      <w:r w:rsidR="00EC5CC7">
        <w:t xml:space="preserve">Figure </w:t>
      </w:r>
      <w:r w:rsidR="00EC5CC7">
        <w:rPr>
          <w:noProof/>
        </w:rPr>
        <w:t>75</w:t>
      </w:r>
      <w:r w:rsidR="00A63ACE">
        <w:fldChar w:fldCharType="end"/>
      </w:r>
      <w:r w:rsidR="001B4846" w:rsidRPr="001B4846">
        <w:t xml:space="preserve"> for forest plots of the respective outcomes which included the results of individual studies.</w:t>
      </w:r>
    </w:p>
    <w:p w14:paraId="43D720ED" w14:textId="5F5836CF" w:rsidR="003E4921" w:rsidRDefault="001B4846" w:rsidP="008B6781">
      <w:pPr>
        <w:pStyle w:val="TableFooter"/>
        <w:keepNext/>
        <w:spacing w:after="120"/>
        <w:contextualSpacing w:val="0"/>
        <w:jc w:val="both"/>
      </w:pPr>
      <w:r w:rsidRPr="001E7610">
        <w:t>1 Calculated during the review using a random-effect model</w:t>
      </w:r>
      <w:r w:rsidR="00AB5FA3">
        <w:t>.</w:t>
      </w:r>
    </w:p>
    <w:p w14:paraId="4E7FB041" w14:textId="21F809CD" w:rsidR="00FC6439" w:rsidRDefault="00FC6439" w:rsidP="008B6781">
      <w:pPr>
        <w:pStyle w:val="Heading5"/>
        <w:numPr>
          <w:ilvl w:val="0"/>
          <w:numId w:val="0"/>
        </w:numPr>
        <w:spacing w:after="120"/>
        <w:jc w:val="both"/>
      </w:pPr>
      <w:r>
        <w:t>Nicotine replacement therapy</w:t>
      </w:r>
    </w:p>
    <w:p w14:paraId="13997ED7" w14:textId="32A64998" w:rsidR="00FC6439" w:rsidRDefault="00FC6439" w:rsidP="008B6781">
      <w:pPr>
        <w:spacing w:after="120"/>
        <w:jc w:val="both"/>
      </w:pPr>
      <w:r>
        <w:t xml:space="preserve">NRT has not been previously considered by the PBAC for relapse prevention in abstainers or retreatment in non-abstainers. As previously noted, </w:t>
      </w:r>
      <w:r w:rsidR="004C0C32">
        <w:t>t</w:t>
      </w:r>
      <w:r w:rsidR="004C0C32" w:rsidRPr="004C0C32">
        <w:t xml:space="preserve">he </w:t>
      </w:r>
      <w:r w:rsidR="000973E7">
        <w:t xml:space="preserve">current </w:t>
      </w:r>
      <w:r w:rsidR="004C0C32" w:rsidRPr="004C0C32">
        <w:t>listing</w:t>
      </w:r>
      <w:r w:rsidR="00F2612B">
        <w:t xml:space="preserve"> </w:t>
      </w:r>
      <w:r w:rsidR="004C0C32" w:rsidRPr="004C0C32">
        <w:t xml:space="preserve">allowed for a maximum of </w:t>
      </w:r>
      <w:r w:rsidR="00BC2232">
        <w:t>two</w:t>
      </w:r>
      <w:r w:rsidR="004C0C32">
        <w:t xml:space="preserve"> courses of PBS-subsidised NRT treatment per 12-month period in the </w:t>
      </w:r>
      <w:r w:rsidR="00D26229" w:rsidRPr="00D26229">
        <w:t>Aboriginal and Torres Strait Islander</w:t>
      </w:r>
      <w:r w:rsidR="00D26229" w:rsidRPr="00D26229" w:rsidDel="00D26229">
        <w:t xml:space="preserve"> </w:t>
      </w:r>
      <w:r w:rsidR="004C0C32">
        <w:t xml:space="preserve">population or </w:t>
      </w:r>
      <w:r w:rsidR="004C0C32" w:rsidRPr="004C0C32">
        <w:t xml:space="preserve">12 weeks of PBS-subsidised NRT treatment per </w:t>
      </w:r>
      <w:r w:rsidR="004C0C32">
        <w:t>12-month period in the general population</w:t>
      </w:r>
      <w:r w:rsidR="00F2612B">
        <w:t xml:space="preserve">, irrespective of formulation (patch, </w:t>
      </w:r>
      <w:r w:rsidR="00826C95">
        <w:t>lozenge,</w:t>
      </w:r>
      <w:r w:rsidR="00F2612B">
        <w:t xml:space="preserve"> or gum)</w:t>
      </w:r>
      <w:r w:rsidRPr="00EA00C8">
        <w:t>.</w:t>
      </w:r>
      <w:r>
        <w:t xml:space="preserve"> </w:t>
      </w:r>
      <w:r w:rsidR="008B6781">
        <w:t>P</w:t>
      </w:r>
      <w:r>
        <w:t xml:space="preserve">atients who </w:t>
      </w:r>
      <w:r w:rsidRPr="00286C7D">
        <w:t xml:space="preserve">have been unsuccessful in achieving abstinence from smoking after a course of PBS-subsidised </w:t>
      </w:r>
      <w:r w:rsidR="004C0C32">
        <w:t>NRT</w:t>
      </w:r>
      <w:r>
        <w:t xml:space="preserve"> may access another course of PBS-subsidised </w:t>
      </w:r>
      <w:r w:rsidR="004C0C32">
        <w:t>NRT</w:t>
      </w:r>
      <w:r>
        <w:t xml:space="preserve"> </w:t>
      </w:r>
      <w:r w:rsidR="004C0C32">
        <w:t xml:space="preserve">after </w:t>
      </w:r>
      <w:r w:rsidR="008B6781">
        <w:t xml:space="preserve">waiting </w:t>
      </w:r>
      <w:r w:rsidR="004C0C32">
        <w:t>12 months</w:t>
      </w:r>
      <w:r>
        <w:t>.</w:t>
      </w:r>
    </w:p>
    <w:p w14:paraId="5D601306" w14:textId="09C6FD03" w:rsidR="004C0C32" w:rsidRPr="004C0C32" w:rsidRDefault="004C0C32" w:rsidP="008B6781">
      <w:pPr>
        <w:spacing w:after="120"/>
        <w:jc w:val="both"/>
        <w:rPr>
          <w:b/>
          <w:bCs/>
        </w:rPr>
      </w:pPr>
      <w:r>
        <w:rPr>
          <w:b/>
          <w:bCs/>
        </w:rPr>
        <w:t>NRT</w:t>
      </w:r>
      <w:r w:rsidRPr="004C0C32">
        <w:rPr>
          <w:b/>
          <w:bCs/>
        </w:rPr>
        <w:t xml:space="preserve"> versus placebo – abstainers (relapse prevention)</w:t>
      </w:r>
    </w:p>
    <w:p w14:paraId="0B3EC79B" w14:textId="0A800455" w:rsidR="00B849C6" w:rsidRDefault="004C0C32" w:rsidP="008B6781">
      <w:pPr>
        <w:spacing w:after="120"/>
        <w:jc w:val="both"/>
      </w:pPr>
      <w:r>
        <w:t xml:space="preserve">A summary of the citation details for the studies comparing </w:t>
      </w:r>
      <w:r w:rsidR="00F2612B">
        <w:t>NRT</w:t>
      </w:r>
      <w:r>
        <w:t xml:space="preserve"> with placebo in abstainers for relapse prevention is presented in </w:t>
      </w:r>
      <w:r w:rsidR="00F2612B">
        <w:fldChar w:fldCharType="begin" w:fldLock="1"/>
      </w:r>
      <w:r w:rsidR="00F2612B">
        <w:instrText xml:space="preserve"> REF _Ref54888450 \h </w:instrText>
      </w:r>
      <w:r w:rsidR="00F2612B">
        <w:fldChar w:fldCharType="separate"/>
      </w:r>
      <w:r w:rsidR="00EC5CC7">
        <w:t xml:space="preserve">Table </w:t>
      </w:r>
      <w:r w:rsidR="00EC5CC7">
        <w:rPr>
          <w:noProof/>
        </w:rPr>
        <w:t>46</w:t>
      </w:r>
      <w:r w:rsidR="00F2612B">
        <w:fldChar w:fldCharType="end"/>
      </w:r>
      <w:r>
        <w:t xml:space="preserve">. A recently conducted Cochrane </w:t>
      </w:r>
      <w:r w:rsidR="00105434">
        <w:t>R</w:t>
      </w:r>
      <w:r>
        <w:t xml:space="preserve">eview by Livingstone-Banks et al. (2019) was identified in the systematic literature review that compared </w:t>
      </w:r>
      <w:r w:rsidR="00F2612B">
        <w:t>NRT</w:t>
      </w:r>
      <w:r>
        <w:t xml:space="preserve"> with placebo for relapse prevention and was included in this report.</w:t>
      </w:r>
      <w:r w:rsidR="00105434">
        <w:t xml:space="preserve"> </w:t>
      </w:r>
      <w:r w:rsidR="00105434" w:rsidRPr="002775B8">
        <w:t xml:space="preserve">No new studies comparing </w:t>
      </w:r>
      <w:r w:rsidR="00105434">
        <w:t>NRT</w:t>
      </w:r>
      <w:r w:rsidR="00105434" w:rsidRPr="002775B8">
        <w:t xml:space="preserve"> with placebo in abstainers </w:t>
      </w:r>
      <w:r w:rsidR="00105434">
        <w:t>for relapse prevention</w:t>
      </w:r>
      <w:r w:rsidR="00105434" w:rsidRPr="002775B8">
        <w:t xml:space="preserve"> were identified in the supplemental literature search</w:t>
      </w:r>
      <w:r w:rsidR="00105434">
        <w:t>.</w:t>
      </w:r>
    </w:p>
    <w:p w14:paraId="1AB373C2" w14:textId="227C0DF9" w:rsidR="004C0C32" w:rsidRDefault="004C0C32" w:rsidP="008B6781">
      <w:pPr>
        <w:pStyle w:val="Caption"/>
        <w:keepNext/>
        <w:spacing w:before="0" w:after="120"/>
        <w:jc w:val="both"/>
      </w:pPr>
      <w:bookmarkStart w:id="94" w:name="_Ref54888450"/>
      <w:r>
        <w:t xml:space="preserve">Table </w:t>
      </w:r>
      <w:r w:rsidR="00BF3F75">
        <w:fldChar w:fldCharType="begin"/>
      </w:r>
      <w:r w:rsidR="00BF3F75">
        <w:instrText xml:space="preserve"> SEQ Table \* ARABIC </w:instrText>
      </w:r>
      <w:r w:rsidR="00BF3F75">
        <w:fldChar w:fldCharType="separate"/>
      </w:r>
      <w:r w:rsidR="00EC5CC7">
        <w:rPr>
          <w:noProof/>
        </w:rPr>
        <w:t>46</w:t>
      </w:r>
      <w:r w:rsidR="00BF3F75">
        <w:rPr>
          <w:noProof/>
        </w:rPr>
        <w:fldChar w:fldCharType="end"/>
      </w:r>
      <w:bookmarkEnd w:id="94"/>
      <w:r>
        <w:t xml:space="preserve">: </w:t>
      </w:r>
      <w:r w:rsidRPr="00222BCC">
        <w:t xml:space="preserve">List of studies comparing </w:t>
      </w:r>
      <w:r>
        <w:t>NRT</w:t>
      </w:r>
      <w:r w:rsidRPr="00222BCC">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483C3A" w:rsidRPr="00061F78" w14:paraId="36CE08F5" w14:textId="77777777" w:rsidTr="00ED247A">
        <w:trPr>
          <w:cantSplit/>
          <w:trHeight w:val="95"/>
          <w:tblHeader/>
        </w:trPr>
        <w:tc>
          <w:tcPr>
            <w:tcW w:w="566" w:type="pct"/>
            <w:shd w:val="clear" w:color="auto" w:fill="BFBFBF" w:themeFill="background1" w:themeFillShade="BF"/>
            <w:tcMar>
              <w:left w:w="28" w:type="dxa"/>
              <w:right w:w="28" w:type="dxa"/>
            </w:tcMar>
          </w:tcPr>
          <w:p w14:paraId="407161BB" w14:textId="6B019D2B" w:rsidR="004C0C32" w:rsidRPr="00061F78" w:rsidRDefault="00126B7B" w:rsidP="00ED247A">
            <w:pPr>
              <w:pStyle w:val="Tableheading"/>
              <w:rPr>
                <w:rFonts w:eastAsia="MS Mincho"/>
              </w:rPr>
            </w:pPr>
            <w:r>
              <w:rPr>
                <w:rFonts w:eastAsia="MS Mincho"/>
              </w:rPr>
              <w:t>Study</w:t>
            </w:r>
          </w:p>
        </w:tc>
        <w:tc>
          <w:tcPr>
            <w:tcW w:w="4434" w:type="pct"/>
            <w:shd w:val="clear" w:color="auto" w:fill="BFBFBF" w:themeFill="background1" w:themeFillShade="BF"/>
          </w:tcPr>
          <w:p w14:paraId="58BF1D25" w14:textId="77777777" w:rsidR="004C0C32" w:rsidRDefault="004C0C32" w:rsidP="00ED247A">
            <w:pPr>
              <w:pStyle w:val="Tableheading"/>
              <w:jc w:val="center"/>
              <w:rPr>
                <w:rFonts w:eastAsia="MS Mincho"/>
              </w:rPr>
            </w:pPr>
            <w:r>
              <w:rPr>
                <w:rFonts w:eastAsia="MS Mincho"/>
              </w:rPr>
              <w:t>Citation</w:t>
            </w:r>
          </w:p>
        </w:tc>
      </w:tr>
      <w:tr w:rsidR="00483C3A" w:rsidRPr="00061F78" w14:paraId="25D2AB31" w14:textId="77777777" w:rsidTr="00FF4A1C">
        <w:trPr>
          <w:cantSplit/>
          <w:trHeight w:val="164"/>
        </w:trPr>
        <w:tc>
          <w:tcPr>
            <w:tcW w:w="566" w:type="pct"/>
            <w:tcMar>
              <w:left w:w="28" w:type="dxa"/>
              <w:right w:w="28" w:type="dxa"/>
            </w:tcMar>
          </w:tcPr>
          <w:p w14:paraId="193A63CA" w14:textId="6F2A0806" w:rsidR="004C0C32" w:rsidRPr="00D07303" w:rsidRDefault="004C0C32" w:rsidP="00ED247A">
            <w:pPr>
              <w:pStyle w:val="Tablewriting"/>
              <w:rPr>
                <w:rFonts w:eastAsia="MS Mincho"/>
                <w:vertAlign w:val="superscript"/>
              </w:rPr>
            </w:pPr>
            <w:r>
              <w:rPr>
                <w:rFonts w:eastAsia="MS Mincho"/>
              </w:rPr>
              <w:t>Livingstone-Banks (2019)</w:t>
            </w:r>
            <w:hyperlink w:anchor="_ENREF_40" w:tooltip="Livingstone-Banks, 2019 #627" w:history="1">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 </w:instrText>
              </w:r>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40</w:t>
              </w:r>
              <w:r w:rsidR="0039468B">
                <w:rPr>
                  <w:rFonts w:eastAsia="MS Mincho"/>
                </w:rPr>
                <w:fldChar w:fldCharType="end"/>
              </w:r>
            </w:hyperlink>
            <w:r w:rsidR="00322560" w:rsidRPr="00D07303">
              <w:rPr>
                <w:rFonts w:eastAsia="MS Mincho"/>
                <w:vertAlign w:val="superscript"/>
              </w:rPr>
              <w:t xml:space="preserve"> </w:t>
            </w:r>
          </w:p>
        </w:tc>
        <w:tc>
          <w:tcPr>
            <w:tcW w:w="4434" w:type="pct"/>
          </w:tcPr>
          <w:p w14:paraId="70130C7B" w14:textId="638EC11A" w:rsidR="004C0C32" w:rsidRDefault="004C0C32" w:rsidP="00ED247A">
            <w:pPr>
              <w:pStyle w:val="Tablewriting"/>
              <w:rPr>
                <w:rFonts w:eastAsia="MS Mincho"/>
              </w:rPr>
            </w:pPr>
            <w:r w:rsidRPr="00CE2EF9">
              <w:rPr>
                <w:rFonts w:eastAsia="MS Mincho"/>
              </w:rPr>
              <w:t>Livingstone‐</w:t>
            </w:r>
            <w:r w:rsidR="00826C95" w:rsidRPr="00CE2EF9">
              <w:rPr>
                <w:rFonts w:eastAsia="MS Mincho"/>
              </w:rPr>
              <w:t>Banks J</w:t>
            </w:r>
            <w:r w:rsidRPr="00CE2EF9">
              <w:rPr>
                <w:rFonts w:eastAsia="MS Mincho"/>
              </w:rPr>
              <w:t xml:space="preserve">, </w:t>
            </w:r>
            <w:r w:rsidR="00826C95" w:rsidRPr="00CE2EF9">
              <w:rPr>
                <w:rFonts w:eastAsia="MS Mincho"/>
              </w:rPr>
              <w:t>Norris E</w:t>
            </w:r>
            <w:r w:rsidRPr="00CE2EF9">
              <w:rPr>
                <w:rFonts w:eastAsia="MS Mincho"/>
              </w:rPr>
              <w:t>, Hartmann‐</w:t>
            </w:r>
            <w:r w:rsidR="00826C95" w:rsidRPr="00CE2EF9">
              <w:rPr>
                <w:rFonts w:eastAsia="MS Mincho"/>
              </w:rPr>
              <w:t>Boyce J</w:t>
            </w:r>
            <w:r w:rsidRPr="00CE2EF9">
              <w:rPr>
                <w:rFonts w:eastAsia="MS Mincho"/>
              </w:rPr>
              <w:t xml:space="preserve">, </w:t>
            </w:r>
            <w:r w:rsidR="00826C95" w:rsidRPr="00CE2EF9">
              <w:rPr>
                <w:rFonts w:eastAsia="MS Mincho"/>
              </w:rPr>
              <w:t>West R</w:t>
            </w:r>
            <w:r w:rsidRPr="00CE2EF9">
              <w:rPr>
                <w:rFonts w:eastAsia="MS Mincho"/>
              </w:rPr>
              <w:t xml:space="preserve">, </w:t>
            </w:r>
            <w:r w:rsidR="00826C95" w:rsidRPr="00CE2EF9">
              <w:rPr>
                <w:rFonts w:eastAsia="MS Mincho"/>
              </w:rPr>
              <w:t>Jarvis M</w:t>
            </w:r>
            <w:r w:rsidRPr="00CE2EF9">
              <w:rPr>
                <w:rFonts w:eastAsia="MS Mincho"/>
              </w:rPr>
              <w:t xml:space="preserve">, </w:t>
            </w:r>
            <w:r w:rsidR="00826C95" w:rsidRPr="00CE2EF9">
              <w:rPr>
                <w:rFonts w:eastAsia="MS Mincho"/>
              </w:rPr>
              <w:t>Hajek P.</w:t>
            </w:r>
            <w:r w:rsidRPr="00CE2EF9">
              <w:rPr>
                <w:rFonts w:eastAsia="MS Mincho"/>
              </w:rPr>
              <w:t xml:space="preserve"> Relapse prevention interventions for smoking cessation. Cochrane Database of Systematic Reviews 2019, Issue 2. Art. No.: CD003999.</w:t>
            </w:r>
          </w:p>
        </w:tc>
      </w:tr>
    </w:tbl>
    <w:p w14:paraId="21003D1F" w14:textId="3DBFF836" w:rsidR="004E3996" w:rsidRDefault="00F2612B" w:rsidP="000B683C">
      <w:pPr>
        <w:spacing w:after="120"/>
        <w:jc w:val="both"/>
      </w:pPr>
      <w:r w:rsidRPr="00F2612B">
        <w:lastRenderedPageBreak/>
        <w:t xml:space="preserve">A summary of the characteristics of the studies comparing </w:t>
      </w:r>
      <w:r>
        <w:t>NRT</w:t>
      </w:r>
      <w:r w:rsidRPr="00F2612B">
        <w:t xml:space="preserve"> with placebo in abstainers for relapse prevention is presented in </w:t>
      </w:r>
      <w:r w:rsidR="002C2327">
        <w:fldChar w:fldCharType="begin" w:fldLock="1"/>
      </w:r>
      <w:r w:rsidR="002C2327">
        <w:instrText xml:space="preserve"> REF _Ref54888930 \h </w:instrText>
      </w:r>
      <w:r w:rsidR="000B683C">
        <w:instrText xml:space="preserve"> \* MERGEFORMAT </w:instrText>
      </w:r>
      <w:r w:rsidR="002C2327">
        <w:fldChar w:fldCharType="separate"/>
      </w:r>
      <w:r w:rsidR="00EC5CC7">
        <w:t xml:space="preserve">Table </w:t>
      </w:r>
      <w:r w:rsidR="00EC5CC7">
        <w:rPr>
          <w:noProof/>
        </w:rPr>
        <w:t>47</w:t>
      </w:r>
      <w:r w:rsidR="002C2327">
        <w:fldChar w:fldCharType="end"/>
      </w:r>
      <w:r w:rsidRPr="00F2612B">
        <w:t xml:space="preserve">. A total of </w:t>
      </w:r>
      <w:r w:rsidR="002C2327">
        <w:t>two</w:t>
      </w:r>
      <w:r w:rsidRPr="00F2612B">
        <w:t xml:space="preserve"> RCTs comparing </w:t>
      </w:r>
      <w:r w:rsidR="002C2327">
        <w:t>NRT</w:t>
      </w:r>
      <w:r w:rsidRPr="00F2612B">
        <w:t xml:space="preserve"> with placebo were identified by Livingstone-Banks et al. (2019). The characteristics of the individual studies are presented in </w:t>
      </w:r>
      <w:r w:rsidRPr="00E32C5A">
        <w:t>Appendix</w:t>
      </w:r>
      <w:r w:rsidR="000B683C">
        <w:t xml:space="preserve"> Table 154</w:t>
      </w:r>
      <w:r w:rsidRPr="00F2612B">
        <w:t>.</w:t>
      </w:r>
    </w:p>
    <w:p w14:paraId="36EB6FEE" w14:textId="73FB75BA" w:rsidR="00F2612B" w:rsidRDefault="00F2612B" w:rsidP="008B6781">
      <w:pPr>
        <w:pStyle w:val="Caption"/>
        <w:keepNext/>
        <w:spacing w:before="0" w:after="120"/>
        <w:jc w:val="both"/>
      </w:pPr>
      <w:bookmarkStart w:id="95" w:name="_Ref54888930"/>
      <w:r>
        <w:t xml:space="preserve">Table </w:t>
      </w:r>
      <w:r w:rsidR="00BF3F75">
        <w:fldChar w:fldCharType="begin"/>
      </w:r>
      <w:r w:rsidR="00BF3F75">
        <w:instrText xml:space="preserve"> SEQ Table \* ARABIC </w:instrText>
      </w:r>
      <w:r w:rsidR="00BF3F75">
        <w:fldChar w:fldCharType="separate"/>
      </w:r>
      <w:r w:rsidR="00EC5CC7">
        <w:rPr>
          <w:noProof/>
        </w:rPr>
        <w:t>47</w:t>
      </w:r>
      <w:r w:rsidR="00BF3F75">
        <w:rPr>
          <w:noProof/>
        </w:rPr>
        <w:fldChar w:fldCharType="end"/>
      </w:r>
      <w:bookmarkEnd w:id="95"/>
      <w:r>
        <w:t xml:space="preserve">: </w:t>
      </w:r>
      <w:r w:rsidRPr="00B62DB4">
        <w:t xml:space="preserve">Characteristics of the studies comparing </w:t>
      </w:r>
      <w:r>
        <w:t>NRT</w:t>
      </w:r>
      <w:r w:rsidRPr="00B62DB4">
        <w:t xml:space="preserve">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736"/>
        <w:gridCol w:w="2626"/>
        <w:gridCol w:w="1703"/>
        <w:gridCol w:w="1925"/>
      </w:tblGrid>
      <w:tr w:rsidR="00F64373" w:rsidRPr="00061F78" w14:paraId="4770F6E8" w14:textId="77777777" w:rsidTr="00915371">
        <w:trPr>
          <w:trHeight w:val="299"/>
          <w:tblHeader/>
        </w:trPr>
        <w:tc>
          <w:tcPr>
            <w:tcW w:w="572" w:type="pct"/>
            <w:shd w:val="clear" w:color="auto" w:fill="BFBFBF" w:themeFill="background1" w:themeFillShade="BF"/>
            <w:tcMar>
              <w:left w:w="28" w:type="dxa"/>
              <w:right w:w="28" w:type="dxa"/>
            </w:tcMar>
          </w:tcPr>
          <w:p w14:paraId="0C75DD1B" w14:textId="294A23C4" w:rsidR="00F2612B" w:rsidRPr="00061F78" w:rsidRDefault="00126B7B" w:rsidP="00FF4A1C">
            <w:pPr>
              <w:pStyle w:val="Tableheading"/>
              <w:keepNext/>
              <w:rPr>
                <w:rFonts w:eastAsia="MS Mincho"/>
              </w:rPr>
            </w:pPr>
            <w:r>
              <w:rPr>
                <w:rFonts w:eastAsia="MS Mincho"/>
              </w:rPr>
              <w:t>Study</w:t>
            </w:r>
          </w:p>
        </w:tc>
        <w:tc>
          <w:tcPr>
            <w:tcW w:w="544" w:type="pct"/>
            <w:shd w:val="clear" w:color="auto" w:fill="BFBFBF" w:themeFill="background1" w:themeFillShade="BF"/>
          </w:tcPr>
          <w:p w14:paraId="20B0067D" w14:textId="77777777" w:rsidR="00F2612B" w:rsidRDefault="00F2612B" w:rsidP="00FF4A1C">
            <w:pPr>
              <w:pStyle w:val="Tableheading"/>
              <w:keepNext/>
              <w:jc w:val="center"/>
              <w:rPr>
                <w:rFonts w:eastAsia="MS Mincho"/>
              </w:rPr>
            </w:pPr>
            <w:r>
              <w:rPr>
                <w:rFonts w:eastAsia="MS Mincho"/>
              </w:rPr>
              <w:t>Study type</w:t>
            </w:r>
          </w:p>
        </w:tc>
        <w:tc>
          <w:tcPr>
            <w:tcW w:w="405" w:type="pct"/>
            <w:shd w:val="clear" w:color="auto" w:fill="BFBFBF" w:themeFill="background1" w:themeFillShade="BF"/>
            <w:tcMar>
              <w:left w:w="28" w:type="dxa"/>
              <w:right w:w="28" w:type="dxa"/>
            </w:tcMar>
          </w:tcPr>
          <w:p w14:paraId="1BF5AD4C" w14:textId="77777777" w:rsidR="00F2612B" w:rsidRPr="00AE21E9" w:rsidRDefault="00F2612B" w:rsidP="00FF4A1C">
            <w:pPr>
              <w:pStyle w:val="Tableheading"/>
              <w:keepNext/>
              <w:jc w:val="center"/>
              <w:rPr>
                <w:rFonts w:eastAsia="MS Mincho"/>
                <w:vertAlign w:val="superscript"/>
              </w:rPr>
            </w:pPr>
            <w:r>
              <w:rPr>
                <w:rFonts w:eastAsia="MS Mincho"/>
              </w:rPr>
              <w:t>N</w:t>
            </w:r>
            <w:r>
              <w:rPr>
                <w:rFonts w:eastAsia="MS Mincho"/>
                <w:vertAlign w:val="superscript"/>
              </w:rPr>
              <w:t>1</w:t>
            </w:r>
          </w:p>
        </w:tc>
        <w:tc>
          <w:tcPr>
            <w:tcW w:w="1460" w:type="pct"/>
            <w:shd w:val="clear" w:color="auto" w:fill="BFBFBF" w:themeFill="background1" w:themeFillShade="BF"/>
            <w:tcMar>
              <w:left w:w="28" w:type="dxa"/>
              <w:right w:w="28" w:type="dxa"/>
            </w:tcMar>
          </w:tcPr>
          <w:p w14:paraId="3B0605D1" w14:textId="77777777" w:rsidR="00F2612B" w:rsidRPr="00061F78" w:rsidRDefault="00F2612B" w:rsidP="00FF4A1C">
            <w:pPr>
              <w:pStyle w:val="Tableheading"/>
              <w:keepNext/>
              <w:jc w:val="center"/>
              <w:rPr>
                <w:rFonts w:eastAsia="MS Mincho"/>
              </w:rPr>
            </w:pPr>
            <w:r w:rsidRPr="00061F78">
              <w:rPr>
                <w:rFonts w:eastAsia="MS Mincho"/>
              </w:rPr>
              <w:t>P</w:t>
            </w:r>
            <w:r>
              <w:rPr>
                <w:rFonts w:eastAsia="MS Mincho"/>
              </w:rPr>
              <w:t>opulation</w:t>
            </w:r>
          </w:p>
        </w:tc>
        <w:tc>
          <w:tcPr>
            <w:tcW w:w="948" w:type="pct"/>
            <w:shd w:val="clear" w:color="auto" w:fill="BFBFBF" w:themeFill="background1" w:themeFillShade="BF"/>
          </w:tcPr>
          <w:p w14:paraId="7119E828" w14:textId="77777777" w:rsidR="00F2612B" w:rsidRDefault="00F2612B" w:rsidP="00FF4A1C">
            <w:pPr>
              <w:pStyle w:val="Tableheading"/>
              <w:keepNext/>
              <w:jc w:val="center"/>
              <w:rPr>
                <w:rFonts w:eastAsia="MS Mincho"/>
              </w:rPr>
            </w:pPr>
            <w:r>
              <w:rPr>
                <w:rFonts w:eastAsia="MS Mincho"/>
              </w:rPr>
              <w:t>Intervention and comparator</w:t>
            </w:r>
          </w:p>
        </w:tc>
        <w:tc>
          <w:tcPr>
            <w:tcW w:w="1071" w:type="pct"/>
            <w:shd w:val="clear" w:color="auto" w:fill="BFBFBF" w:themeFill="background1" w:themeFillShade="BF"/>
            <w:tcMar>
              <w:left w:w="28" w:type="dxa"/>
              <w:right w:w="28" w:type="dxa"/>
            </w:tcMar>
          </w:tcPr>
          <w:p w14:paraId="09EC4071" w14:textId="77777777" w:rsidR="00F2612B" w:rsidRPr="00061F78" w:rsidRDefault="00F2612B" w:rsidP="00FF4A1C">
            <w:pPr>
              <w:pStyle w:val="Tableheading"/>
              <w:keepNext/>
              <w:jc w:val="center"/>
              <w:rPr>
                <w:rFonts w:eastAsia="MS Mincho"/>
              </w:rPr>
            </w:pPr>
            <w:r>
              <w:rPr>
                <w:rFonts w:eastAsia="MS Mincho"/>
              </w:rPr>
              <w:t>Outcomes</w:t>
            </w:r>
          </w:p>
        </w:tc>
      </w:tr>
      <w:tr w:rsidR="00F64373" w:rsidRPr="00061F78" w14:paraId="617785E4" w14:textId="77777777" w:rsidTr="00915371">
        <w:trPr>
          <w:trHeight w:val="149"/>
        </w:trPr>
        <w:tc>
          <w:tcPr>
            <w:tcW w:w="572" w:type="pct"/>
            <w:tcMar>
              <w:left w:w="28" w:type="dxa"/>
              <w:right w:w="28" w:type="dxa"/>
            </w:tcMar>
          </w:tcPr>
          <w:p w14:paraId="53BD038A" w14:textId="7DE76A05" w:rsidR="00F2612B" w:rsidRPr="004F1864" w:rsidRDefault="00F2612B" w:rsidP="00FF4A1C">
            <w:pPr>
              <w:pStyle w:val="Tablewriting"/>
              <w:keepNext/>
              <w:rPr>
                <w:rFonts w:eastAsia="MS Mincho"/>
              </w:rPr>
            </w:pPr>
            <w:r>
              <w:rPr>
                <w:rFonts w:eastAsia="MS Mincho"/>
              </w:rPr>
              <w:t>Livingstone-Banks (2019)</w:t>
            </w:r>
            <w:r w:rsidR="00322560" w:rsidRPr="004F1864">
              <w:rPr>
                <w:rFonts w:eastAsia="MS Mincho"/>
              </w:rPr>
              <w:t xml:space="preserve"> </w:t>
            </w:r>
          </w:p>
        </w:tc>
        <w:tc>
          <w:tcPr>
            <w:tcW w:w="544" w:type="pct"/>
          </w:tcPr>
          <w:p w14:paraId="153D9622" w14:textId="79EF172C" w:rsidR="00F2612B" w:rsidRDefault="00F2612B" w:rsidP="00FF4A1C">
            <w:pPr>
              <w:pStyle w:val="Tablewriting"/>
              <w:keepNext/>
              <w:rPr>
                <w:rFonts w:eastAsia="MS Mincho"/>
              </w:rPr>
            </w:pPr>
            <w:r>
              <w:rPr>
                <w:rFonts w:eastAsia="MS Mincho"/>
              </w:rPr>
              <w:t xml:space="preserve">Cochrane </w:t>
            </w:r>
            <w:r w:rsidR="00826C95">
              <w:rPr>
                <w:rFonts w:eastAsia="MS Mincho"/>
              </w:rPr>
              <w:t>Review (</w:t>
            </w:r>
            <w:r>
              <w:rPr>
                <w:rFonts w:eastAsia="MS Mincho"/>
              </w:rPr>
              <w:t>2 RCTs</w:t>
            </w:r>
            <w:r w:rsidR="003363A6">
              <w:rPr>
                <w:rFonts w:eastAsia="MS Mincho"/>
                <w:vertAlign w:val="superscript"/>
              </w:rPr>
              <w:t>2</w:t>
            </w:r>
            <w:r>
              <w:rPr>
                <w:rFonts w:eastAsia="MS Mincho"/>
              </w:rPr>
              <w:t>)</w:t>
            </w:r>
          </w:p>
          <w:p w14:paraId="76B55763" w14:textId="77777777" w:rsidR="00F2612B" w:rsidRDefault="00F2612B" w:rsidP="00FF4A1C">
            <w:pPr>
              <w:pStyle w:val="Tablewriting"/>
              <w:keepNext/>
              <w:rPr>
                <w:rFonts w:eastAsia="MS Mincho"/>
              </w:rPr>
            </w:pPr>
          </w:p>
        </w:tc>
        <w:tc>
          <w:tcPr>
            <w:tcW w:w="405" w:type="pct"/>
            <w:tcMar>
              <w:left w:w="28" w:type="dxa"/>
              <w:right w:w="28" w:type="dxa"/>
            </w:tcMar>
          </w:tcPr>
          <w:p w14:paraId="25E66448" w14:textId="586BBBEE" w:rsidR="00F2612B" w:rsidRDefault="00F2612B" w:rsidP="00FF4A1C">
            <w:pPr>
              <w:pStyle w:val="Tablewriting"/>
              <w:keepNext/>
              <w:rPr>
                <w:rFonts w:eastAsia="MS Mincho"/>
              </w:rPr>
            </w:pPr>
            <w:r>
              <w:rPr>
                <w:rFonts w:eastAsia="MS Mincho"/>
              </w:rPr>
              <w:t>N=553</w:t>
            </w:r>
          </w:p>
          <w:p w14:paraId="12A1E69D" w14:textId="74F81B54" w:rsidR="00F2612B" w:rsidRDefault="00F2612B" w:rsidP="00FF4A1C">
            <w:pPr>
              <w:pStyle w:val="Tablewriting"/>
              <w:keepNext/>
              <w:rPr>
                <w:rFonts w:eastAsia="MS Mincho"/>
              </w:rPr>
            </w:pPr>
            <w:r>
              <w:rPr>
                <w:rFonts w:eastAsia="MS Mincho"/>
              </w:rPr>
              <w:t>NRT (n=275),</w:t>
            </w:r>
          </w:p>
          <w:p w14:paraId="6818E14F" w14:textId="692C8E7C" w:rsidR="00F2612B" w:rsidRPr="00061F78" w:rsidRDefault="00F2612B" w:rsidP="00FF4A1C">
            <w:pPr>
              <w:pStyle w:val="Tablewriting"/>
              <w:keepNext/>
              <w:rPr>
                <w:rFonts w:eastAsia="MS Mincho"/>
              </w:rPr>
            </w:pPr>
            <w:r>
              <w:rPr>
                <w:rFonts w:eastAsia="MS Mincho"/>
              </w:rPr>
              <w:t>Placebo (n=278)</w:t>
            </w:r>
          </w:p>
        </w:tc>
        <w:tc>
          <w:tcPr>
            <w:tcW w:w="1460" w:type="pct"/>
            <w:tcMar>
              <w:left w:w="28" w:type="dxa"/>
              <w:right w:w="28" w:type="dxa"/>
            </w:tcMar>
          </w:tcPr>
          <w:p w14:paraId="1D889075" w14:textId="2B8259A9" w:rsidR="00F2612B" w:rsidRDefault="00F2612B" w:rsidP="00FF4A1C">
            <w:pPr>
              <w:pStyle w:val="Tablewriting"/>
              <w:keepNext/>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programs</w:t>
            </w:r>
            <w:r>
              <w:rPr>
                <w:rFonts w:eastAsia="MS Mincho"/>
              </w:rPr>
              <w:t xml:space="preserve"> to assist initial cessation.</w:t>
            </w:r>
          </w:p>
          <w:p w14:paraId="1B1A9C8B" w14:textId="563B7A6A" w:rsidR="00F2612B" w:rsidRPr="00061F78" w:rsidRDefault="00F2612B" w:rsidP="00FF4A1C">
            <w:pPr>
              <w:pStyle w:val="Tablewriting"/>
              <w:keepNext/>
              <w:rPr>
                <w:rFonts w:eastAsia="MS Mincho"/>
              </w:rPr>
            </w:pPr>
            <w:r w:rsidRPr="002C19B4">
              <w:rPr>
                <w:rFonts w:eastAsia="MS Mincho"/>
                <w:u w:val="single"/>
              </w:rPr>
              <w:t>Exclusion</w:t>
            </w:r>
            <w:r>
              <w:rPr>
                <w:rFonts w:eastAsia="MS Mincho"/>
              </w:rPr>
              <w:t>: NR</w:t>
            </w:r>
            <w:r w:rsidR="00AB5FA3">
              <w:rPr>
                <w:rFonts w:eastAsia="MS Mincho"/>
              </w:rPr>
              <w:t>.</w:t>
            </w:r>
          </w:p>
        </w:tc>
        <w:tc>
          <w:tcPr>
            <w:tcW w:w="948" w:type="pct"/>
          </w:tcPr>
          <w:p w14:paraId="66F43146" w14:textId="0207B89F" w:rsidR="00F2612B" w:rsidRDefault="00F2612B" w:rsidP="00FF4A1C">
            <w:pPr>
              <w:pStyle w:val="Tablewriting"/>
              <w:keepNext/>
              <w:rPr>
                <w:rFonts w:eastAsia="MS Mincho"/>
              </w:rPr>
            </w:pPr>
            <w:r>
              <w:rPr>
                <w:rFonts w:eastAsia="MS Mincho"/>
              </w:rPr>
              <w:t>NRT: NRT of various formulation</w:t>
            </w:r>
            <w:r w:rsidR="0065088C">
              <w:rPr>
                <w:rFonts w:eastAsia="MS Mincho"/>
              </w:rPr>
              <w:t>;</w:t>
            </w:r>
          </w:p>
          <w:p w14:paraId="17D04C51" w14:textId="42D41ED5" w:rsidR="00F2612B" w:rsidRPr="00061F78" w:rsidRDefault="00F2612B" w:rsidP="00FF4A1C">
            <w:pPr>
              <w:pStyle w:val="Tablewriting"/>
              <w:keepNext/>
              <w:rPr>
                <w:rFonts w:eastAsia="MS Mincho"/>
              </w:rPr>
            </w:pPr>
            <w:r>
              <w:rPr>
                <w:rFonts w:eastAsia="MS Mincho"/>
              </w:rPr>
              <w:t>Placebo: placebo, same regimen</w:t>
            </w:r>
            <w:r w:rsidR="00AB5FA3">
              <w:rPr>
                <w:rFonts w:eastAsia="MS Mincho"/>
              </w:rPr>
              <w:t>.</w:t>
            </w:r>
          </w:p>
        </w:tc>
        <w:tc>
          <w:tcPr>
            <w:tcW w:w="1071" w:type="pct"/>
            <w:tcMar>
              <w:left w:w="28" w:type="dxa"/>
              <w:right w:w="28" w:type="dxa"/>
            </w:tcMar>
          </w:tcPr>
          <w:p w14:paraId="2D0C802A" w14:textId="5EAFA18D" w:rsidR="00F2612B" w:rsidRDefault="00F2612B" w:rsidP="00FF4A1C">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14:paraId="539DA2B3" w14:textId="77777777" w:rsidR="00F2612B" w:rsidRPr="00061F78" w:rsidRDefault="00F2612B" w:rsidP="00FF4A1C">
            <w:pPr>
              <w:pStyle w:val="Tablewriting"/>
              <w:keepNext/>
              <w:rPr>
                <w:rFonts w:eastAsia="MS Mincho"/>
              </w:rPr>
            </w:pPr>
          </w:p>
        </w:tc>
      </w:tr>
    </w:tbl>
    <w:p w14:paraId="1AAF7341" w14:textId="77777777" w:rsidR="00F2612B" w:rsidRDefault="00F2612B" w:rsidP="008B6781">
      <w:pPr>
        <w:pStyle w:val="TableFooter"/>
        <w:keepNext/>
        <w:jc w:val="both"/>
        <w:rPr>
          <w:i/>
        </w:rPr>
      </w:pPr>
      <w:r>
        <w:t>Abbreviations: NR = not reported; RCT = randomised controlled trial</w:t>
      </w:r>
      <w:r w:rsidRPr="00061F78">
        <w:t xml:space="preserve"> </w:t>
      </w:r>
    </w:p>
    <w:p w14:paraId="57E538E9" w14:textId="12D585B4" w:rsidR="00F2612B" w:rsidRDefault="00F2612B" w:rsidP="008B6781">
      <w:pPr>
        <w:pStyle w:val="TableFooter"/>
        <w:keepNext/>
        <w:jc w:val="both"/>
      </w:pPr>
      <w:r>
        <w:t>1 Only the number of patients (n) in the relevant arms were included</w:t>
      </w:r>
      <w:r w:rsidR="00AB5FA3">
        <w:t>.</w:t>
      </w:r>
      <w:r>
        <w:t xml:space="preserve"> </w:t>
      </w:r>
    </w:p>
    <w:p w14:paraId="0FC53A9C" w14:textId="157DA4F5" w:rsidR="00F2612B" w:rsidRPr="00061F78" w:rsidRDefault="00F2612B" w:rsidP="008B6781">
      <w:pPr>
        <w:pStyle w:val="TableFooter"/>
        <w:keepNext/>
        <w:spacing w:after="120"/>
        <w:jc w:val="both"/>
      </w:pPr>
      <w:r>
        <w:t xml:space="preserve">2 The characteristics of the individual studies comparing NRT with placebo included in Livingstone-Banks et al. (2019) are presented in </w:t>
      </w:r>
      <w:r w:rsidRPr="00E32C5A">
        <w:t>Appendix</w:t>
      </w:r>
      <w:r w:rsidR="000B683C">
        <w:t xml:space="preserve"> Table 154</w:t>
      </w:r>
      <w:r>
        <w:t>.</w:t>
      </w:r>
    </w:p>
    <w:p w14:paraId="1BF68214" w14:textId="77777777" w:rsidR="002C2327" w:rsidRPr="00C52253" w:rsidRDefault="002C2327" w:rsidP="008B6781">
      <w:pPr>
        <w:spacing w:after="120"/>
        <w:jc w:val="both"/>
        <w:rPr>
          <w:u w:val="single"/>
        </w:rPr>
      </w:pPr>
      <w:r w:rsidRPr="00C52253">
        <w:rPr>
          <w:u w:val="single"/>
        </w:rPr>
        <w:t>Efficacy</w:t>
      </w:r>
    </w:p>
    <w:p w14:paraId="7C655E1D" w14:textId="19DE4AA3" w:rsidR="00F2612B" w:rsidRDefault="002C2327" w:rsidP="008B6781">
      <w:pPr>
        <w:spacing w:after="120"/>
        <w:jc w:val="both"/>
      </w:pPr>
      <w:r>
        <w:t xml:space="preserve">A summary of the smoking cessation rates at 12 months </w:t>
      </w:r>
      <w:r w:rsidR="0065088C">
        <w:t xml:space="preserve">comparing NRT </w:t>
      </w:r>
      <w:r w:rsidR="0019005E">
        <w:t>with placebo</w:t>
      </w:r>
      <w:r w:rsidR="009E1A97">
        <w:t xml:space="preserve"> in abstainers for relapse prevention</w:t>
      </w:r>
      <w:r>
        <w:t xml:space="preserve"> is presented in </w:t>
      </w:r>
      <w:r>
        <w:fldChar w:fldCharType="begin" w:fldLock="1"/>
      </w:r>
      <w:r>
        <w:instrText xml:space="preserve"> REF _Ref54889114 \h </w:instrText>
      </w:r>
      <w:r>
        <w:fldChar w:fldCharType="separate"/>
      </w:r>
      <w:r w:rsidR="00EC5CC7">
        <w:t xml:space="preserve">Table </w:t>
      </w:r>
      <w:r w:rsidR="00EC5CC7">
        <w:rPr>
          <w:noProof/>
        </w:rPr>
        <w:t>48</w:t>
      </w:r>
      <w:r>
        <w:fldChar w:fldCharType="end"/>
      </w:r>
      <w:r>
        <w:t>. The results of the meta-analysis comprising two RCTs by Livingstone-Banks et al. (2019) demonstrated no statistically significant difference in long-term smoking cessation rates between NRT and placebo for relapse prevention.</w:t>
      </w:r>
    </w:p>
    <w:p w14:paraId="2A1298ED" w14:textId="02BBD60F" w:rsidR="002C2327" w:rsidRDefault="002C2327" w:rsidP="00E316A9">
      <w:pPr>
        <w:pStyle w:val="Caption"/>
        <w:keepNext/>
        <w:spacing w:before="0" w:after="120"/>
        <w:jc w:val="both"/>
      </w:pPr>
      <w:bookmarkStart w:id="96" w:name="_Ref54889114"/>
      <w:r>
        <w:t xml:space="preserve">Table </w:t>
      </w:r>
      <w:r w:rsidR="00BF3F75">
        <w:fldChar w:fldCharType="begin"/>
      </w:r>
      <w:r w:rsidR="00BF3F75">
        <w:instrText xml:space="preserve"> SEQ Table \* ARABIC </w:instrText>
      </w:r>
      <w:r w:rsidR="00BF3F75">
        <w:fldChar w:fldCharType="separate"/>
      </w:r>
      <w:r w:rsidR="00EC5CC7">
        <w:rPr>
          <w:noProof/>
        </w:rPr>
        <w:t>48</w:t>
      </w:r>
      <w:r w:rsidR="00BF3F75">
        <w:rPr>
          <w:noProof/>
        </w:rPr>
        <w:fldChar w:fldCharType="end"/>
      </w:r>
      <w:bookmarkEnd w:id="96"/>
      <w:r>
        <w:t xml:space="preserve">: </w:t>
      </w:r>
      <w:r w:rsidRPr="009916CA">
        <w:t xml:space="preserve">Results of smoking cessation at 12 months after quit date, </w:t>
      </w:r>
      <w:r>
        <w:t>NRT</w:t>
      </w:r>
      <w:r w:rsidRPr="009916CA">
        <w:t xml:space="preserve"> versus placebo</w:t>
      </w:r>
      <w:r w:rsidR="0065088C">
        <w:t xml:space="preserve"> </w:t>
      </w:r>
      <w:r w:rsidR="0065088C" w:rsidRPr="00B62DB4">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0"/>
        <w:gridCol w:w="1716"/>
        <w:gridCol w:w="1969"/>
        <w:gridCol w:w="1953"/>
        <w:gridCol w:w="1828"/>
      </w:tblGrid>
      <w:tr w:rsidR="002C2327" w:rsidRPr="00061F78" w14:paraId="3A0ED363" w14:textId="77777777" w:rsidTr="00296D30">
        <w:trPr>
          <w:cantSplit/>
          <w:trHeight w:val="299"/>
          <w:tblHeader/>
        </w:trPr>
        <w:tc>
          <w:tcPr>
            <w:tcW w:w="859" w:type="pct"/>
            <w:shd w:val="clear" w:color="auto" w:fill="BFBFBF" w:themeFill="background1" w:themeFillShade="BF"/>
            <w:tcMar>
              <w:left w:w="28" w:type="dxa"/>
              <w:right w:w="28" w:type="dxa"/>
            </w:tcMar>
          </w:tcPr>
          <w:p w14:paraId="39D6A325" w14:textId="013E0F4D" w:rsidR="002C2327" w:rsidRPr="00061F78" w:rsidRDefault="00126B7B" w:rsidP="00FF4A1C">
            <w:pPr>
              <w:pStyle w:val="Tableheading"/>
              <w:keepNext/>
              <w:rPr>
                <w:rFonts w:eastAsia="MS Mincho"/>
              </w:rPr>
            </w:pPr>
            <w:r>
              <w:rPr>
                <w:rFonts w:eastAsia="MS Mincho"/>
              </w:rPr>
              <w:t>Study</w:t>
            </w:r>
          </w:p>
        </w:tc>
        <w:tc>
          <w:tcPr>
            <w:tcW w:w="951" w:type="pct"/>
            <w:shd w:val="clear" w:color="auto" w:fill="BFBFBF" w:themeFill="background1" w:themeFillShade="BF"/>
            <w:vAlign w:val="center"/>
          </w:tcPr>
          <w:p w14:paraId="7A3D8666" w14:textId="77777777" w:rsidR="002C2327" w:rsidRDefault="002C2327" w:rsidP="00FF4A1C">
            <w:pPr>
              <w:pStyle w:val="Tableheading"/>
              <w:keepNext/>
              <w:jc w:val="center"/>
              <w:rPr>
                <w:rFonts w:eastAsia="MS Mincho"/>
              </w:rPr>
            </w:pPr>
            <w:r>
              <w:rPr>
                <w:rFonts w:eastAsia="MS Mincho"/>
              </w:rPr>
              <w:t>Study type</w:t>
            </w:r>
          </w:p>
        </w:tc>
        <w:tc>
          <w:tcPr>
            <w:tcW w:w="1092" w:type="pct"/>
            <w:shd w:val="clear" w:color="auto" w:fill="BFBFBF" w:themeFill="background1" w:themeFillShade="BF"/>
            <w:tcMar>
              <w:left w:w="28" w:type="dxa"/>
              <w:right w:w="28" w:type="dxa"/>
            </w:tcMar>
            <w:vAlign w:val="center"/>
          </w:tcPr>
          <w:p w14:paraId="2559ED98" w14:textId="11723472" w:rsidR="002C2327" w:rsidRPr="00061F78" w:rsidRDefault="002C2327" w:rsidP="00FF4A1C">
            <w:pPr>
              <w:pStyle w:val="Tableheading"/>
              <w:keepNext/>
              <w:jc w:val="center"/>
              <w:rPr>
                <w:rFonts w:eastAsia="MS Mincho"/>
              </w:rPr>
            </w:pPr>
            <w:r>
              <w:rPr>
                <w:rFonts w:eastAsia="MS Mincho"/>
              </w:rPr>
              <w:t>NRT</w:t>
            </w:r>
          </w:p>
        </w:tc>
        <w:tc>
          <w:tcPr>
            <w:tcW w:w="1083" w:type="pct"/>
            <w:shd w:val="clear" w:color="auto" w:fill="BFBFBF" w:themeFill="background1" w:themeFillShade="BF"/>
            <w:tcMar>
              <w:left w:w="28" w:type="dxa"/>
              <w:right w:w="28" w:type="dxa"/>
            </w:tcMar>
            <w:vAlign w:val="center"/>
          </w:tcPr>
          <w:p w14:paraId="05FCA17C" w14:textId="77777777" w:rsidR="002C2327" w:rsidRPr="00061F78" w:rsidRDefault="002C2327" w:rsidP="00FF4A1C">
            <w:pPr>
              <w:pStyle w:val="Tableheading"/>
              <w:keepNext/>
              <w:jc w:val="center"/>
              <w:rPr>
                <w:rFonts w:eastAsia="MS Mincho"/>
              </w:rPr>
            </w:pPr>
            <w:r w:rsidRPr="00061F78">
              <w:rPr>
                <w:rFonts w:eastAsia="MS Mincho"/>
              </w:rPr>
              <w:t>Placebo</w:t>
            </w:r>
          </w:p>
        </w:tc>
        <w:tc>
          <w:tcPr>
            <w:tcW w:w="1014" w:type="pct"/>
            <w:shd w:val="clear" w:color="auto" w:fill="BFBFBF" w:themeFill="background1" w:themeFillShade="BF"/>
            <w:tcMar>
              <w:left w:w="28" w:type="dxa"/>
              <w:right w:w="28" w:type="dxa"/>
            </w:tcMar>
            <w:vAlign w:val="center"/>
          </w:tcPr>
          <w:p w14:paraId="47CBCD8A" w14:textId="36E12FC9" w:rsidR="002C2327" w:rsidRPr="00D468CF" w:rsidRDefault="002C2327" w:rsidP="00FF4A1C">
            <w:pPr>
              <w:pStyle w:val="Tableheading"/>
              <w:keepNext/>
              <w:jc w:val="center"/>
              <w:rPr>
                <w:rFonts w:eastAsia="MS Mincho"/>
                <w:vertAlign w:val="superscript"/>
              </w:rPr>
            </w:pPr>
            <w:r>
              <w:rPr>
                <w:rFonts w:eastAsia="MS Mincho"/>
              </w:rPr>
              <w:t>RR (95% CI)</w:t>
            </w:r>
          </w:p>
        </w:tc>
      </w:tr>
      <w:tr w:rsidR="002C2327" w:rsidRPr="00061F78" w14:paraId="678EBEAB" w14:textId="77777777" w:rsidTr="00296D30">
        <w:trPr>
          <w:cantSplit/>
          <w:trHeight w:val="149"/>
        </w:trPr>
        <w:tc>
          <w:tcPr>
            <w:tcW w:w="859" w:type="pct"/>
            <w:tcMar>
              <w:left w:w="28" w:type="dxa"/>
              <w:right w:w="28" w:type="dxa"/>
            </w:tcMar>
          </w:tcPr>
          <w:p w14:paraId="65D04CE9" w14:textId="77777777" w:rsidR="002C2327" w:rsidRDefault="002C2327" w:rsidP="00FF4A1C">
            <w:pPr>
              <w:pStyle w:val="Tablewriting"/>
              <w:keepNext/>
              <w:rPr>
                <w:rFonts w:eastAsia="MS Mincho"/>
              </w:rPr>
            </w:pPr>
            <w:r>
              <w:rPr>
                <w:rFonts w:eastAsia="MS Mincho"/>
              </w:rPr>
              <w:t xml:space="preserve">Livingstone-Banks </w:t>
            </w:r>
          </w:p>
          <w:p w14:paraId="03237F95" w14:textId="028B58FA" w:rsidR="002C2327" w:rsidRPr="00D468CF" w:rsidRDefault="002C2327" w:rsidP="00FF4A1C">
            <w:pPr>
              <w:pStyle w:val="Tablewriting"/>
              <w:keepNext/>
              <w:rPr>
                <w:rFonts w:eastAsia="MS Mincho"/>
                <w:vertAlign w:val="superscript"/>
              </w:rPr>
            </w:pPr>
            <w:r>
              <w:rPr>
                <w:rFonts w:eastAsia="MS Mincho"/>
              </w:rPr>
              <w:t>(2019)</w:t>
            </w:r>
            <w:r w:rsidR="00296D30">
              <w:rPr>
                <w:rFonts w:eastAsia="MS Mincho"/>
                <w:vertAlign w:val="superscript"/>
              </w:rPr>
              <w:t>1,</w:t>
            </w:r>
            <w:r>
              <w:rPr>
                <w:rFonts w:eastAsia="MS Mincho"/>
                <w:vertAlign w:val="superscript"/>
              </w:rPr>
              <w:t>2</w:t>
            </w:r>
          </w:p>
        </w:tc>
        <w:tc>
          <w:tcPr>
            <w:tcW w:w="951" w:type="pct"/>
            <w:vAlign w:val="center"/>
          </w:tcPr>
          <w:p w14:paraId="03E2310D" w14:textId="2442E4DD" w:rsidR="002C2327" w:rsidRDefault="002C2327" w:rsidP="00FF4A1C">
            <w:pPr>
              <w:pStyle w:val="Tablewriting"/>
              <w:keepNext/>
              <w:jc w:val="center"/>
              <w:rPr>
                <w:rFonts w:eastAsia="MS Mincho"/>
              </w:rPr>
            </w:pPr>
            <w:r>
              <w:rPr>
                <w:rFonts w:eastAsia="MS Mincho"/>
              </w:rPr>
              <w:t>Cochrane Review (2 RCTs)</w:t>
            </w:r>
          </w:p>
        </w:tc>
        <w:tc>
          <w:tcPr>
            <w:tcW w:w="1092" w:type="pct"/>
            <w:tcMar>
              <w:left w:w="28" w:type="dxa"/>
              <w:right w:w="28" w:type="dxa"/>
            </w:tcMar>
            <w:vAlign w:val="center"/>
          </w:tcPr>
          <w:p w14:paraId="178082DD" w14:textId="4AA09432" w:rsidR="002C2327" w:rsidRPr="00FD71B4" w:rsidRDefault="002C2327" w:rsidP="00FF4A1C">
            <w:pPr>
              <w:pStyle w:val="Tablewriting"/>
              <w:keepNext/>
              <w:jc w:val="center"/>
              <w:rPr>
                <w:rFonts w:eastAsia="MS Mincho"/>
              </w:rPr>
            </w:pPr>
            <w:r>
              <w:rPr>
                <w:rFonts w:eastAsia="MS Mincho"/>
              </w:rPr>
              <w:t>67/275</w:t>
            </w:r>
            <w:r w:rsidRPr="00FD71B4">
              <w:rPr>
                <w:rFonts w:eastAsia="MS Mincho"/>
              </w:rPr>
              <w:t xml:space="preserve"> </w:t>
            </w:r>
          </w:p>
          <w:p w14:paraId="3829192A" w14:textId="3E101578" w:rsidR="002C2327" w:rsidRPr="00FD71B4" w:rsidRDefault="002C2327" w:rsidP="00FF4A1C">
            <w:pPr>
              <w:pStyle w:val="Tablewriting"/>
              <w:keepNext/>
              <w:jc w:val="center"/>
              <w:rPr>
                <w:rFonts w:eastAsia="MS Mincho"/>
              </w:rPr>
            </w:pPr>
            <w:r w:rsidRPr="00FD71B4">
              <w:rPr>
                <w:rFonts w:eastAsia="MS Mincho"/>
              </w:rPr>
              <w:t>(</w:t>
            </w:r>
            <w:r>
              <w:rPr>
                <w:rFonts w:eastAsia="MS Mincho"/>
              </w:rPr>
              <w:t>24.4</w:t>
            </w:r>
            <w:r w:rsidRPr="00FD71B4">
              <w:rPr>
                <w:rFonts w:eastAsia="MS Mincho"/>
              </w:rPr>
              <w:t>%)</w:t>
            </w:r>
          </w:p>
        </w:tc>
        <w:tc>
          <w:tcPr>
            <w:tcW w:w="1083" w:type="pct"/>
            <w:tcMar>
              <w:left w:w="28" w:type="dxa"/>
              <w:right w:w="28" w:type="dxa"/>
            </w:tcMar>
            <w:vAlign w:val="center"/>
          </w:tcPr>
          <w:p w14:paraId="1BB73664" w14:textId="0008745E" w:rsidR="002C2327" w:rsidRPr="00FD71B4" w:rsidRDefault="002C2327" w:rsidP="00FF4A1C">
            <w:pPr>
              <w:pStyle w:val="Tablewriting"/>
              <w:keepNext/>
              <w:jc w:val="center"/>
              <w:rPr>
                <w:rFonts w:eastAsia="MS Mincho"/>
              </w:rPr>
            </w:pPr>
            <w:r>
              <w:rPr>
                <w:rFonts w:eastAsia="MS Mincho"/>
              </w:rPr>
              <w:t>65/278</w:t>
            </w:r>
            <w:r w:rsidRPr="00FD71B4">
              <w:rPr>
                <w:rFonts w:eastAsia="MS Mincho"/>
              </w:rPr>
              <w:t xml:space="preserve"> </w:t>
            </w:r>
          </w:p>
          <w:p w14:paraId="5EAE591E" w14:textId="5B2403C9" w:rsidR="002C2327" w:rsidRPr="00FD71B4" w:rsidRDefault="002C2327" w:rsidP="00FF4A1C">
            <w:pPr>
              <w:pStyle w:val="Tablewriting"/>
              <w:keepNext/>
              <w:jc w:val="center"/>
              <w:rPr>
                <w:rFonts w:eastAsia="MS Mincho"/>
              </w:rPr>
            </w:pPr>
            <w:r w:rsidRPr="00FD71B4">
              <w:rPr>
                <w:rFonts w:eastAsia="MS Mincho"/>
              </w:rPr>
              <w:t>(</w:t>
            </w:r>
            <w:r>
              <w:rPr>
                <w:rFonts w:eastAsia="MS Mincho"/>
              </w:rPr>
              <w:t>23.4</w:t>
            </w:r>
            <w:r w:rsidRPr="00FD71B4">
              <w:rPr>
                <w:rFonts w:eastAsia="MS Mincho"/>
              </w:rPr>
              <w:t>%)</w:t>
            </w:r>
          </w:p>
        </w:tc>
        <w:tc>
          <w:tcPr>
            <w:tcW w:w="1014" w:type="pct"/>
            <w:tcMar>
              <w:left w:w="28" w:type="dxa"/>
              <w:right w:w="28" w:type="dxa"/>
            </w:tcMar>
            <w:vAlign w:val="center"/>
          </w:tcPr>
          <w:p w14:paraId="619DB5FA" w14:textId="410D0E9A" w:rsidR="002C2327" w:rsidRPr="004E3996" w:rsidRDefault="002C2327" w:rsidP="00FF4A1C">
            <w:pPr>
              <w:pStyle w:val="Tablewriting"/>
              <w:keepNext/>
              <w:jc w:val="center"/>
              <w:rPr>
                <w:rFonts w:eastAsia="MS Mincho"/>
              </w:rPr>
            </w:pPr>
            <w:r w:rsidRPr="004E3996">
              <w:rPr>
                <w:rFonts w:eastAsia="MS Mincho"/>
              </w:rPr>
              <w:t>1.</w:t>
            </w:r>
            <w:r>
              <w:rPr>
                <w:rFonts w:eastAsia="MS Mincho"/>
              </w:rPr>
              <w:t>04</w:t>
            </w:r>
          </w:p>
          <w:p w14:paraId="7A5B2F1A" w14:textId="0EFBF47F" w:rsidR="002C2327" w:rsidRPr="00FD71B4" w:rsidRDefault="002C2327" w:rsidP="00FF4A1C">
            <w:pPr>
              <w:pStyle w:val="Tablewriting"/>
              <w:keepNext/>
              <w:jc w:val="center"/>
              <w:rPr>
                <w:rFonts w:eastAsia="MS Mincho"/>
              </w:rPr>
            </w:pPr>
            <w:r w:rsidRPr="004E3996">
              <w:rPr>
                <w:rFonts w:eastAsia="MS Mincho"/>
              </w:rPr>
              <w:t>(</w:t>
            </w:r>
            <w:r>
              <w:rPr>
                <w:rFonts w:eastAsia="MS Mincho"/>
              </w:rPr>
              <w:t>0.77</w:t>
            </w:r>
            <w:r w:rsidRPr="004E3996">
              <w:rPr>
                <w:rFonts w:eastAsia="MS Mincho"/>
              </w:rPr>
              <w:t>, 1.</w:t>
            </w:r>
            <w:r>
              <w:rPr>
                <w:rFonts w:eastAsia="MS Mincho"/>
              </w:rPr>
              <w:t>4</w:t>
            </w:r>
            <w:r w:rsidRPr="004E3996">
              <w:rPr>
                <w:rFonts w:eastAsia="MS Mincho"/>
              </w:rPr>
              <w:t>)</w:t>
            </w:r>
          </w:p>
        </w:tc>
      </w:tr>
    </w:tbl>
    <w:p w14:paraId="3AAD6D57" w14:textId="77777777" w:rsidR="002C2327" w:rsidRPr="000B683C" w:rsidRDefault="002C2327" w:rsidP="000B683C">
      <w:pPr>
        <w:pStyle w:val="TableFooter"/>
        <w:keepNext/>
        <w:rPr>
          <w:szCs w:val="20"/>
        </w:rPr>
      </w:pPr>
      <w:r w:rsidRPr="000B683C">
        <w:rPr>
          <w:szCs w:val="20"/>
        </w:rPr>
        <w:t>Source: Livingstone-Banks et al. (2019)</w:t>
      </w:r>
    </w:p>
    <w:p w14:paraId="2A487301" w14:textId="77777777" w:rsidR="002C2327" w:rsidRPr="000B683C" w:rsidRDefault="002C2327" w:rsidP="000B683C">
      <w:pPr>
        <w:pStyle w:val="TableFooter"/>
        <w:keepNext/>
        <w:spacing w:after="0"/>
        <w:contextualSpacing w:val="0"/>
        <w:rPr>
          <w:i/>
          <w:szCs w:val="20"/>
        </w:rPr>
      </w:pPr>
      <w:r w:rsidRPr="000B683C">
        <w:rPr>
          <w:szCs w:val="20"/>
        </w:rPr>
        <w:t xml:space="preserve">Abbreviations: CI = confidence interval; RCT = randomised controlled trial; RD = risk difference; RR = risk ratio </w:t>
      </w:r>
    </w:p>
    <w:p w14:paraId="3870C362" w14:textId="3E9715AF" w:rsidR="002C2327" w:rsidRPr="000B683C" w:rsidRDefault="002C2327" w:rsidP="000B683C">
      <w:pPr>
        <w:spacing w:after="0"/>
        <w:rPr>
          <w:sz w:val="20"/>
          <w:szCs w:val="20"/>
        </w:rPr>
      </w:pPr>
      <w:r w:rsidRPr="000B683C">
        <w:rPr>
          <w:sz w:val="20"/>
          <w:szCs w:val="20"/>
        </w:rPr>
        <w:t>Notes: Bold indicates statistically significant difference.</w:t>
      </w:r>
      <w:r w:rsidRPr="000B683C">
        <w:rPr>
          <w:sz w:val="20"/>
          <w:szCs w:val="20"/>
        </w:rPr>
        <w:br/>
        <w:t>1 Where cessation was assessed at multiple intervals, the longest follow-up data were used. Where multiple definitions of abstinence were assessed, the strictest of these definitions was used (</w:t>
      </w:r>
      <w:r w:rsidR="00826C95" w:rsidRPr="000B683C">
        <w:rPr>
          <w:sz w:val="20"/>
          <w:szCs w:val="20"/>
        </w:rPr>
        <w:t>e.g.,</w:t>
      </w:r>
      <w:r w:rsidRPr="000B683C">
        <w:rPr>
          <w:sz w:val="20"/>
          <w:szCs w:val="20"/>
        </w:rPr>
        <w:t xml:space="preserve"> continuous/prolonged abstinence over point prevalence abstinence). See Appendix </w:t>
      </w:r>
      <w:r w:rsidR="000B683C" w:rsidRPr="000B683C">
        <w:rPr>
          <w:sz w:val="20"/>
          <w:szCs w:val="20"/>
        </w:rPr>
        <w:t>Table 154</w:t>
      </w:r>
      <w:r w:rsidRPr="000B683C">
        <w:rPr>
          <w:sz w:val="20"/>
          <w:szCs w:val="20"/>
        </w:rPr>
        <w:t xml:space="preserve"> for the definition used in each study.</w:t>
      </w:r>
    </w:p>
    <w:p w14:paraId="59044E28" w14:textId="2476F7F3" w:rsidR="002C2327" w:rsidRPr="000B683C" w:rsidRDefault="002C2327" w:rsidP="000B683C">
      <w:pPr>
        <w:pStyle w:val="TableFooter"/>
        <w:keepNext/>
        <w:spacing w:after="120"/>
        <w:contextualSpacing w:val="0"/>
        <w:rPr>
          <w:szCs w:val="20"/>
        </w:rPr>
      </w:pPr>
      <w:r w:rsidRPr="000B683C">
        <w:rPr>
          <w:szCs w:val="20"/>
        </w:rPr>
        <w:t xml:space="preserve">2 Calculated </w:t>
      </w:r>
      <w:r w:rsidR="00296D30" w:rsidRPr="000B683C">
        <w:rPr>
          <w:szCs w:val="20"/>
        </w:rPr>
        <w:t>by Cochrane Review authors</w:t>
      </w:r>
      <w:r w:rsidRPr="000B683C">
        <w:rPr>
          <w:szCs w:val="20"/>
        </w:rPr>
        <w:t xml:space="preserve"> using a fixed-effect model</w:t>
      </w:r>
      <w:r w:rsidR="00AB5FA3" w:rsidRPr="000B683C">
        <w:rPr>
          <w:szCs w:val="20"/>
        </w:rPr>
        <w:t>.</w:t>
      </w:r>
    </w:p>
    <w:p w14:paraId="253A4577" w14:textId="23B6D163" w:rsidR="002C2327" w:rsidRDefault="00FF4A1C" w:rsidP="00E316A9">
      <w:pPr>
        <w:spacing w:after="120"/>
        <w:jc w:val="both"/>
      </w:pPr>
      <w:r w:rsidRPr="00FF4A1C">
        <w:t xml:space="preserve">The results of the individual studies included in Livingstone-Banks et al. (2019) are presented using a forest plot in </w:t>
      </w:r>
      <w:r>
        <w:fldChar w:fldCharType="begin" w:fldLock="1"/>
      </w:r>
      <w:r>
        <w:instrText xml:space="preserve"> REF _Ref54889389 \h </w:instrText>
      </w:r>
      <w:r>
        <w:fldChar w:fldCharType="separate"/>
      </w:r>
      <w:r w:rsidR="00EC5CC7">
        <w:t xml:space="preserve">Figure </w:t>
      </w:r>
      <w:r w:rsidR="00EC5CC7">
        <w:rPr>
          <w:noProof/>
        </w:rPr>
        <w:t>12</w:t>
      </w:r>
      <w:r>
        <w:fldChar w:fldCharType="end"/>
      </w:r>
      <w:r w:rsidRPr="00FF4A1C">
        <w:t xml:space="preserve">. </w:t>
      </w:r>
      <w:r w:rsidR="009B06A7" w:rsidRPr="00FF4A1C">
        <w:t>T</w:t>
      </w:r>
      <w:r w:rsidRPr="00FF4A1C">
        <w:t>here w</w:t>
      </w:r>
      <w:r w:rsidR="000231A1">
        <w:t>ere</w:t>
      </w:r>
      <w:r w:rsidRPr="00FF4A1C">
        <w:t xml:space="preserve"> no statistically significant difference</w:t>
      </w:r>
      <w:r w:rsidR="00A03FAF">
        <w:t>s</w:t>
      </w:r>
      <w:r w:rsidRPr="00FF4A1C">
        <w:t xml:space="preserve"> between </w:t>
      </w:r>
      <w:r>
        <w:t>NRT</w:t>
      </w:r>
      <w:r w:rsidRPr="00FF4A1C">
        <w:t xml:space="preserve"> and placebo in </w:t>
      </w:r>
      <w:r w:rsidR="009B06A7">
        <w:t>any</w:t>
      </w:r>
      <w:r w:rsidRPr="00FF4A1C">
        <w:t xml:space="preserve"> of the individual RCTs included in the meta-analysis</w:t>
      </w:r>
      <w:r w:rsidR="009B06A7">
        <w:t xml:space="preserve">, noting that </w:t>
      </w:r>
      <w:r w:rsidR="009B06A7" w:rsidRPr="009B06A7">
        <w:t>the formulation and duration of NRT treatment differed across the RCTs</w:t>
      </w:r>
      <w:r w:rsidRPr="00FF4A1C">
        <w:t>.</w:t>
      </w:r>
    </w:p>
    <w:p w14:paraId="1737FD6B" w14:textId="77777777" w:rsidR="00FF4A1C" w:rsidRDefault="00FF4A1C" w:rsidP="00FF4A1C">
      <w:pPr>
        <w:keepNext/>
      </w:pPr>
      <w:r>
        <w:rPr>
          <w:noProof/>
        </w:rPr>
        <w:lastRenderedPageBreak/>
        <w:drawing>
          <wp:inline distT="0" distB="0" distL="0" distR="0" wp14:anchorId="647AB024" wp14:editId="0E4279A3">
            <wp:extent cx="5731510" cy="3317240"/>
            <wp:effectExtent l="0" t="0" r="2540" b="0"/>
            <wp:docPr id="35" name="Picture 35" descr="P41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4125#yIS1"/>
                    <pic:cNvPicPr/>
                  </pic:nvPicPr>
                  <pic:blipFill>
                    <a:blip r:embed="rId31">
                      <a:extLst>
                        <a:ext uri="{28A0092B-C50C-407E-A947-70E740481C1C}">
                          <a14:useLocalDpi xmlns:a14="http://schemas.microsoft.com/office/drawing/2010/main" val="0"/>
                        </a:ext>
                      </a:extLst>
                    </a:blip>
                    <a:stretch>
                      <a:fillRect/>
                    </a:stretch>
                  </pic:blipFill>
                  <pic:spPr>
                    <a:xfrm>
                      <a:off x="0" y="0"/>
                      <a:ext cx="5731510" cy="3317240"/>
                    </a:xfrm>
                    <a:prstGeom prst="rect">
                      <a:avLst/>
                    </a:prstGeom>
                  </pic:spPr>
                </pic:pic>
              </a:graphicData>
            </a:graphic>
          </wp:inline>
        </w:drawing>
      </w:r>
    </w:p>
    <w:p w14:paraId="73E6FF71" w14:textId="492DC68D" w:rsidR="00FF4A1C" w:rsidRDefault="00FF4A1C" w:rsidP="00E316A9">
      <w:pPr>
        <w:pStyle w:val="Caption"/>
        <w:spacing w:before="120" w:after="60"/>
        <w:jc w:val="both"/>
      </w:pPr>
      <w:bookmarkStart w:id="97" w:name="_Ref54889389"/>
      <w:r>
        <w:t xml:space="preserve">Figure </w:t>
      </w:r>
      <w:r w:rsidR="00BF3F75">
        <w:fldChar w:fldCharType="begin"/>
      </w:r>
      <w:r w:rsidR="00BF3F75">
        <w:instrText xml:space="preserve"> SEQ Figure \* ARABIC </w:instrText>
      </w:r>
      <w:r w:rsidR="00BF3F75">
        <w:fldChar w:fldCharType="separate"/>
      </w:r>
      <w:r w:rsidR="00EC5CC7">
        <w:rPr>
          <w:noProof/>
        </w:rPr>
        <w:t>12</w:t>
      </w:r>
      <w:r w:rsidR="00BF3F75">
        <w:rPr>
          <w:noProof/>
        </w:rPr>
        <w:fldChar w:fldCharType="end"/>
      </w:r>
      <w:bookmarkEnd w:id="97"/>
      <w:r>
        <w:t xml:space="preserve">: </w:t>
      </w:r>
      <w:r w:rsidRPr="002E7882">
        <w:t xml:space="preserve">Results of smoking cessation at 12 months after quit date in Livingstone-Banks et al. (2019), </w:t>
      </w:r>
      <w:r>
        <w:t>NRT</w:t>
      </w:r>
      <w:r w:rsidRPr="002E7882">
        <w:t xml:space="preserve"> versus placebo</w:t>
      </w:r>
      <w:r w:rsidR="00A03FAF">
        <w:t xml:space="preserve"> </w:t>
      </w:r>
      <w:r w:rsidR="00A03FAF" w:rsidRPr="00B62DB4">
        <w:t>in abstainers for relapse prevention</w:t>
      </w:r>
    </w:p>
    <w:p w14:paraId="7755D0FF" w14:textId="77777777" w:rsidR="00FF4A1C" w:rsidRDefault="00FF4A1C" w:rsidP="00E316A9">
      <w:pPr>
        <w:pStyle w:val="FigureFooter"/>
        <w:jc w:val="both"/>
      </w:pPr>
      <w:r>
        <w:t>Source: Livingstone-Banks et al. (2019)</w:t>
      </w:r>
    </w:p>
    <w:p w14:paraId="323FC62A" w14:textId="77777777" w:rsidR="00FF4A1C" w:rsidRDefault="00FF4A1C" w:rsidP="00E316A9">
      <w:pPr>
        <w:pStyle w:val="FigureFooter"/>
        <w:jc w:val="both"/>
      </w:pPr>
      <w:r w:rsidRPr="00D041F9">
        <w:t>Abbreviations: CI = confidence interval</w:t>
      </w:r>
    </w:p>
    <w:p w14:paraId="63122E7A" w14:textId="20F13E2A" w:rsidR="004002E8" w:rsidRDefault="004002E8" w:rsidP="00E316A9">
      <w:pPr>
        <w:pStyle w:val="FigureFooter"/>
        <w:spacing w:after="120"/>
        <w:contextualSpacing w:val="0"/>
        <w:jc w:val="both"/>
      </w:pPr>
      <w:r>
        <w:t>Notes: In Covey et al. (2007), patients were provided bupropion and NRT patches in the open-label treatment phase followed by bupropion, NRT gum, or both and placebo in the double-blind treatment phase. In Croghan et al. (2007), patients were provided bupropion, NRT inhaler or both, followed by the same medications or placebo in the double-blind treatment phase.</w:t>
      </w:r>
    </w:p>
    <w:p w14:paraId="082682B5" w14:textId="65279E5F" w:rsidR="009B06A7" w:rsidRPr="000F3331" w:rsidRDefault="00B05046" w:rsidP="00E316A9">
      <w:pPr>
        <w:spacing w:after="120"/>
        <w:jc w:val="both"/>
      </w:pPr>
      <w:bookmarkStart w:id="98" w:name="_Hlk66271398"/>
      <w:r>
        <w:t>None o</w:t>
      </w:r>
      <w:r w:rsidR="009B06A7" w:rsidRPr="009B06A7">
        <w:t>f the studies identified by Livingstone-Banks et al. (2019)</w:t>
      </w:r>
      <w:r>
        <w:t xml:space="preserve"> compared NRT </w:t>
      </w:r>
      <w:r w:rsidR="003B3817">
        <w:t xml:space="preserve">monotherapy (either as patch, </w:t>
      </w:r>
      <w:r w:rsidR="00826C95">
        <w:t>gum,</w:t>
      </w:r>
      <w:r w:rsidR="003B3817">
        <w:t xml:space="preserve"> or lozenge)</w:t>
      </w:r>
      <w:r w:rsidR="009B06A7" w:rsidRPr="009B06A7">
        <w:t xml:space="preserve"> with placebo in patients who achieved abstinence after initial treatment with </w:t>
      </w:r>
      <w:r w:rsidR="003B3817">
        <w:t xml:space="preserve">NRT monotherapy using the same formulation. In Covey et al. (2007), patients were provided bupropion plus NRT patches in the initial treatment phase while patients were provided NRT inhaler in </w:t>
      </w:r>
      <w:r w:rsidR="00D100BF">
        <w:t>Croghan et al. (2007)</w:t>
      </w:r>
      <w:bookmarkEnd w:id="98"/>
      <w:r w:rsidR="00D100BF">
        <w:t>.</w:t>
      </w:r>
    </w:p>
    <w:p w14:paraId="679D98B6" w14:textId="77777777" w:rsidR="00FF4A1C" w:rsidRPr="0073597F" w:rsidRDefault="00FF4A1C" w:rsidP="00E316A9">
      <w:pPr>
        <w:spacing w:after="120"/>
        <w:jc w:val="both"/>
        <w:rPr>
          <w:u w:val="single"/>
        </w:rPr>
      </w:pPr>
      <w:r w:rsidRPr="0073597F">
        <w:rPr>
          <w:u w:val="single"/>
        </w:rPr>
        <w:t>Safety</w:t>
      </w:r>
    </w:p>
    <w:p w14:paraId="23F8605A" w14:textId="32CCF469" w:rsidR="00FF4A1C" w:rsidRDefault="00FF4A1C" w:rsidP="00E316A9">
      <w:pPr>
        <w:spacing w:after="120"/>
        <w:jc w:val="both"/>
      </w:pPr>
      <w:r w:rsidRPr="00F423F8">
        <w:t xml:space="preserve">The </w:t>
      </w:r>
      <w:r w:rsidR="00573F59">
        <w:t>safety</w:t>
      </w:r>
      <w:r w:rsidRPr="00F423F8">
        <w:t xml:space="preserve"> of </w:t>
      </w:r>
      <w:r>
        <w:t xml:space="preserve">NRT </w:t>
      </w:r>
      <w:r w:rsidR="00573F59">
        <w:t>versus</w:t>
      </w:r>
      <w:r>
        <w:t xml:space="preserve"> placebo in abstainers for relapse prevention</w:t>
      </w:r>
      <w:r w:rsidRPr="00F423F8">
        <w:t xml:space="preserve"> was not </w:t>
      </w:r>
      <w:r w:rsidR="00A03FAF">
        <w:t>assessed</w:t>
      </w:r>
      <w:r w:rsidRPr="00F423F8">
        <w:t xml:space="preserve"> by </w:t>
      </w:r>
      <w:r w:rsidRPr="002C1625">
        <w:t>Livingstone-Banks et al. (2019)</w:t>
      </w:r>
      <w:r w:rsidR="004002E8">
        <w:t xml:space="preserve"> and Croghan et al. (2007)</w:t>
      </w:r>
      <w:r w:rsidRPr="00F423F8">
        <w:t>.</w:t>
      </w:r>
    </w:p>
    <w:p w14:paraId="10F5401B" w14:textId="2BBE7FC0" w:rsidR="004002E8" w:rsidRDefault="004002E8" w:rsidP="00E316A9">
      <w:pPr>
        <w:spacing w:after="120"/>
        <w:jc w:val="both"/>
      </w:pPr>
      <w:r>
        <w:t>In Covey et al. (2007), t</w:t>
      </w:r>
      <w:r w:rsidRPr="003B5A21">
        <w:t xml:space="preserve">he number of reported </w:t>
      </w:r>
      <w:r>
        <w:t>adverse events</w:t>
      </w:r>
      <w:r w:rsidRPr="003B5A21">
        <w:t xml:space="preserve"> </w:t>
      </w:r>
      <w:r>
        <w:t>such as</w:t>
      </w:r>
      <w:r w:rsidRPr="003B5A21">
        <w:t xml:space="preserve"> nervousness, constipation, insomnia, </w:t>
      </w:r>
      <w:r w:rsidR="00826C95" w:rsidRPr="003B5A21">
        <w:t>stomach-ache,</w:t>
      </w:r>
      <w:r>
        <w:t xml:space="preserve"> and</w:t>
      </w:r>
      <w:r w:rsidRPr="003B5A21">
        <w:t xml:space="preserve"> depressed mood was low, and did not vary by treatment group (P = 0.69)</w:t>
      </w:r>
      <w:r>
        <w:t>.</w:t>
      </w:r>
    </w:p>
    <w:p w14:paraId="7E32FD5E" w14:textId="0B5D86BD" w:rsidR="006607A6" w:rsidRPr="006607A6" w:rsidRDefault="006D3125" w:rsidP="00E316A9">
      <w:pPr>
        <w:spacing w:after="120"/>
        <w:jc w:val="both"/>
        <w:rPr>
          <w:b/>
          <w:bCs/>
        </w:rPr>
      </w:pPr>
      <w:r>
        <w:rPr>
          <w:b/>
          <w:bCs/>
        </w:rPr>
        <w:t>NRT</w:t>
      </w:r>
      <w:r w:rsidR="006607A6" w:rsidRPr="006607A6">
        <w:rPr>
          <w:b/>
          <w:bCs/>
        </w:rPr>
        <w:t xml:space="preserve"> versus placebo – non-abstainers (retreatment)</w:t>
      </w:r>
    </w:p>
    <w:p w14:paraId="2CB4B0A0" w14:textId="1A395582" w:rsidR="006607A6" w:rsidRDefault="006607A6" w:rsidP="00E316A9">
      <w:pPr>
        <w:jc w:val="both"/>
      </w:pPr>
      <w:r>
        <w:t xml:space="preserve">A summary of the citation details for the studies comparing </w:t>
      </w:r>
      <w:r w:rsidR="006C34A4">
        <w:t>NRT</w:t>
      </w:r>
      <w:r>
        <w:t xml:space="preserve"> with placebo in non-abstainers as retreatment is presented in </w:t>
      </w:r>
      <w:r w:rsidR="009E6A51">
        <w:fldChar w:fldCharType="begin" w:fldLock="1"/>
      </w:r>
      <w:r w:rsidR="009E6A51">
        <w:instrText xml:space="preserve"> REF _Ref54968998 \h </w:instrText>
      </w:r>
      <w:r w:rsidR="009E6A51">
        <w:fldChar w:fldCharType="separate"/>
      </w:r>
      <w:r w:rsidR="00EC5CC7">
        <w:t xml:space="preserve">Table </w:t>
      </w:r>
      <w:r w:rsidR="00EC5CC7">
        <w:rPr>
          <w:noProof/>
        </w:rPr>
        <w:t>49</w:t>
      </w:r>
      <w:r w:rsidR="009E6A51">
        <w:fldChar w:fldCharType="end"/>
      </w:r>
      <w:r>
        <w:t xml:space="preserve">. </w:t>
      </w:r>
      <w:r w:rsidR="00370DE9">
        <w:t>One</w:t>
      </w:r>
      <w:r>
        <w:t xml:space="preserve"> RCT that compared </w:t>
      </w:r>
      <w:r w:rsidR="00370DE9">
        <w:t xml:space="preserve">NRT </w:t>
      </w:r>
      <w:r w:rsidR="00573F59">
        <w:t>patches</w:t>
      </w:r>
      <w:r>
        <w:t xml:space="preserve"> with placebo as retreatment </w:t>
      </w:r>
      <w:r w:rsidR="00710FE9">
        <w:t>(Gourlay et al. 1995)</w:t>
      </w:r>
      <w:r>
        <w:t xml:space="preserve"> w</w:t>
      </w:r>
      <w:r w:rsidR="0007332A">
        <w:t>as</w:t>
      </w:r>
      <w:r>
        <w:t xml:space="preserve"> identified </w:t>
      </w:r>
      <w:r w:rsidR="0058624F" w:rsidRPr="0058624F">
        <w:t xml:space="preserve">in a recently conducted Cochrane </w:t>
      </w:r>
      <w:r w:rsidR="00296D30">
        <w:t>R</w:t>
      </w:r>
      <w:r w:rsidR="0058624F" w:rsidRPr="0058624F">
        <w:t xml:space="preserve">eview </w:t>
      </w:r>
      <w:r w:rsidR="00296D30">
        <w:t xml:space="preserve">by Hartmann-Boyce et al. (2018) </w:t>
      </w:r>
      <w:r>
        <w:t xml:space="preserve">and was included in this report. </w:t>
      </w:r>
      <w:r w:rsidR="00710FE9">
        <w:t>Gourlay et al. (1995)</w:t>
      </w:r>
      <w:r>
        <w:t xml:space="preserve"> enrolled smokers who had previously </w:t>
      </w:r>
      <w:r w:rsidR="000E1409">
        <w:t>had an unsuccessful quit attempt</w:t>
      </w:r>
      <w:r>
        <w:t xml:space="preserve"> using </w:t>
      </w:r>
      <w:r w:rsidR="006600EE">
        <w:t xml:space="preserve">NRT </w:t>
      </w:r>
      <w:r w:rsidR="00573F59">
        <w:t>patches</w:t>
      </w:r>
      <w:r>
        <w:t>.</w:t>
      </w:r>
      <w:r w:rsidR="00296D30" w:rsidRPr="00296D30">
        <w:t xml:space="preserve"> No new studies comparing </w:t>
      </w:r>
      <w:r w:rsidR="00296D30">
        <w:t>NRT</w:t>
      </w:r>
      <w:r w:rsidR="00296D30" w:rsidRPr="00296D30">
        <w:t xml:space="preserve"> with placebo in non-abstainers as retreatment were identified in the supplemental literature search</w:t>
      </w:r>
      <w:r w:rsidR="00296D30">
        <w:t>.</w:t>
      </w:r>
    </w:p>
    <w:p w14:paraId="05CA12F2" w14:textId="7FC76E4E" w:rsidR="00C52253" w:rsidRDefault="00C52253" w:rsidP="00E316A9">
      <w:pPr>
        <w:pStyle w:val="Caption"/>
        <w:keepNext/>
        <w:spacing w:before="0" w:after="120"/>
        <w:jc w:val="both"/>
      </w:pPr>
      <w:bookmarkStart w:id="99" w:name="_Ref54968998"/>
      <w:r>
        <w:lastRenderedPageBreak/>
        <w:t xml:space="preserve">Table </w:t>
      </w:r>
      <w:r w:rsidR="00BF3F75">
        <w:fldChar w:fldCharType="begin"/>
      </w:r>
      <w:r w:rsidR="00BF3F75">
        <w:instrText xml:space="preserve"> SEQ Table \* ARABIC </w:instrText>
      </w:r>
      <w:r w:rsidR="00BF3F75">
        <w:fldChar w:fldCharType="separate"/>
      </w:r>
      <w:r w:rsidR="00EC5CC7">
        <w:rPr>
          <w:noProof/>
        </w:rPr>
        <w:t>49</w:t>
      </w:r>
      <w:r w:rsidR="00BF3F75">
        <w:rPr>
          <w:noProof/>
        </w:rPr>
        <w:fldChar w:fldCharType="end"/>
      </w:r>
      <w:bookmarkEnd w:id="99"/>
      <w:r>
        <w:t xml:space="preserve">: </w:t>
      </w:r>
      <w:r w:rsidRPr="009A0BAA">
        <w:t>List of studies comparing bupropion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021"/>
        <w:gridCol w:w="7995"/>
      </w:tblGrid>
      <w:tr w:rsidR="00483C3A" w:rsidRPr="00061F78" w14:paraId="16CCD53C" w14:textId="77777777" w:rsidTr="00AB6056">
        <w:trPr>
          <w:cantSplit/>
          <w:trHeight w:val="329"/>
          <w:tblHeader/>
        </w:trPr>
        <w:tc>
          <w:tcPr>
            <w:tcW w:w="566" w:type="pct"/>
            <w:shd w:val="clear" w:color="auto" w:fill="BFBFBF" w:themeFill="background1" w:themeFillShade="BF"/>
            <w:tcMar>
              <w:left w:w="28" w:type="dxa"/>
              <w:right w:w="28" w:type="dxa"/>
            </w:tcMar>
          </w:tcPr>
          <w:p w14:paraId="65A13EB8" w14:textId="09A707DB" w:rsidR="006D3125" w:rsidRPr="00061F78" w:rsidRDefault="00126B7B" w:rsidP="00DC7A3C">
            <w:pPr>
              <w:pStyle w:val="Tableheading"/>
              <w:rPr>
                <w:rFonts w:eastAsia="MS Mincho"/>
              </w:rPr>
            </w:pPr>
            <w:r>
              <w:rPr>
                <w:rFonts w:eastAsia="MS Mincho"/>
              </w:rPr>
              <w:t>Study</w:t>
            </w:r>
          </w:p>
        </w:tc>
        <w:tc>
          <w:tcPr>
            <w:tcW w:w="4434" w:type="pct"/>
            <w:shd w:val="clear" w:color="auto" w:fill="BFBFBF" w:themeFill="background1" w:themeFillShade="BF"/>
          </w:tcPr>
          <w:p w14:paraId="75F017C5" w14:textId="77777777" w:rsidR="006D3125" w:rsidRDefault="006D3125" w:rsidP="00DC7A3C">
            <w:pPr>
              <w:pStyle w:val="Tableheading"/>
              <w:jc w:val="center"/>
              <w:rPr>
                <w:rFonts w:eastAsia="MS Mincho"/>
              </w:rPr>
            </w:pPr>
            <w:r>
              <w:rPr>
                <w:rFonts w:eastAsia="MS Mincho"/>
              </w:rPr>
              <w:t>Citation</w:t>
            </w:r>
          </w:p>
        </w:tc>
      </w:tr>
      <w:tr w:rsidR="00483C3A" w:rsidRPr="00061F78" w14:paraId="25B1D3E9" w14:textId="77777777" w:rsidTr="00AB6056">
        <w:trPr>
          <w:cantSplit/>
          <w:trHeight w:val="164"/>
        </w:trPr>
        <w:tc>
          <w:tcPr>
            <w:tcW w:w="566" w:type="pct"/>
            <w:tcMar>
              <w:left w:w="28" w:type="dxa"/>
              <w:right w:w="28" w:type="dxa"/>
            </w:tcMar>
          </w:tcPr>
          <w:p w14:paraId="15DD8CCC" w14:textId="77777777" w:rsidR="006D3125" w:rsidRDefault="001666D1" w:rsidP="00DC7A3C">
            <w:pPr>
              <w:pStyle w:val="Tablewriting"/>
              <w:rPr>
                <w:rFonts w:eastAsia="MS Mincho"/>
              </w:rPr>
            </w:pPr>
            <w:r>
              <w:rPr>
                <w:rFonts w:eastAsia="MS Mincho"/>
              </w:rPr>
              <w:t>Gourlay</w:t>
            </w:r>
          </w:p>
          <w:p w14:paraId="3444A542" w14:textId="7FACA347" w:rsidR="006D3125" w:rsidRPr="00CB6040" w:rsidRDefault="001666D1" w:rsidP="00DC7A3C">
            <w:pPr>
              <w:pStyle w:val="Tablewriting"/>
              <w:rPr>
                <w:rFonts w:eastAsia="MS Mincho"/>
              </w:rPr>
            </w:pPr>
            <w:r>
              <w:rPr>
                <w:rFonts w:eastAsia="MS Mincho"/>
              </w:rPr>
              <w:t>(1995)</w:t>
            </w:r>
            <w:hyperlink w:anchor="_ENREF_45" w:tooltip="Gourlay, 1995 #615" w:history="1">
              <w:r w:rsidR="0039468B">
                <w:rPr>
                  <w:rFonts w:eastAsia="MS Mincho"/>
                </w:rPr>
                <w:fldChar w:fldCharType="begin"/>
              </w:r>
              <w:r w:rsidR="0039468B">
                <w:rPr>
                  <w:rFonts w:eastAsia="MS Mincho"/>
                </w:rPr>
                <w:instrText xml:space="preserve"> ADDIN EN.CITE &lt;EndNote&gt;&lt;Cite&gt;&lt;Author&gt;Gourlay&lt;/Author&gt;&lt;Year&gt;1995&lt;/Year&gt;&lt;RecNum&gt;615&lt;/RecNum&gt;&lt;DisplayText&gt;&lt;style face="superscript"&gt;45&lt;/style&gt;&lt;/DisplayText&gt;&lt;record&gt;&lt;rec-number&gt;615&lt;/rec-number&gt;&lt;foreign-keys&gt;&lt;key app="EN" db-id="2xwa055rhevv2yef5v75fepy2azsv0xvx9w9" timestamp="1604040316"&gt;615&lt;/key&gt;&lt;/foreign-keys&gt;&lt;ref-type name="Journal Article"&gt;17&lt;/ref-type&gt;&lt;contributors&gt;&lt;authors&gt;&lt;author&gt;Gourlay, S. G.&lt;/author&gt;&lt;author&gt;Forbes, A.&lt;/author&gt;&lt;author&gt;Marriner, T.&lt;/author&gt;&lt;author&gt;Pethica, D.&lt;/author&gt;&lt;author&gt;McNeil, J. J.&lt;/author&gt;&lt;/authors&gt;&lt;/contributors&gt;&lt;auth-address&gt;Department of Social and Preventive Medicine, Monash University, Melbourne, Australia.&lt;/auth-address&gt;&lt;titles&gt;&lt;title&gt;Double blind trial of repeated treatment with transdermal nicotine for relapsed smokers&lt;/title&gt;&lt;secondary-title&gt;BMJ&lt;/secondary-title&gt;&lt;/titles&gt;&lt;periodical&gt;&lt;full-title&gt;BMJ&lt;/full-title&gt;&lt;/periodical&gt;&lt;pages&gt;363-6&lt;/pages&gt;&lt;volume&gt;311&lt;/volume&gt;&lt;number&gt;7001&lt;/number&gt;&lt;edition&gt;1995/08/05&lt;/edition&gt;&lt;keywords&gt;&lt;keyword&gt;Administration, Cutaneous&lt;/keyword&gt;&lt;keyword&gt;Adult&lt;/keyword&gt;&lt;keyword&gt;Counseling&lt;/keyword&gt;&lt;keyword&gt;Double-Blind Method&lt;/keyword&gt;&lt;keyword&gt;Female&lt;/keyword&gt;&lt;keyword&gt;Follow-Up Studies&lt;/keyword&gt;&lt;keyword&gt;Humans&lt;/keyword&gt;&lt;keyword&gt;Male&lt;/keyword&gt;&lt;keyword&gt;Nicotine/*administration &amp;amp; dosage/adverse effects&lt;/keyword&gt;&lt;keyword&gt;Patient Compliance&lt;/keyword&gt;&lt;keyword&gt;Recurrence&lt;/keyword&gt;&lt;keyword&gt;Smoking Cessation/*methods&lt;/keyword&gt;&lt;keyword&gt;Treatment Outcome&lt;/keyword&gt;&lt;keyword&gt;Weight Gain&lt;/keyword&gt;&lt;/keywords&gt;&lt;dates&gt;&lt;year&gt;1995&lt;/year&gt;&lt;pub-dates&gt;&lt;date&gt;Aug 5&lt;/date&gt;&lt;/pub-dates&gt;&lt;/dates&gt;&lt;isbn&gt;0959-8138 (Print)&amp;#xD;0959-8138 (Linking)&lt;/isbn&gt;&lt;accession-num&gt;7640544&lt;/accession-num&gt;&lt;urls&gt;&lt;related-urls&gt;&lt;url&gt;https://www.ncbi.nlm.nih.gov/pubmed/7640544&lt;/url&gt;&lt;/related-urls&gt;&lt;/urls&gt;&lt;custom2&gt;PMC2550432&lt;/custom2&gt;&lt;electronic-resource-num&gt;10.1136/bmj.311.7001.363&lt;/electronic-resource-num&gt;&lt;/record&gt;&lt;/Cite&gt;&lt;/EndNote&gt;</w:instrText>
              </w:r>
              <w:r w:rsidR="0039468B">
                <w:rPr>
                  <w:rFonts w:eastAsia="MS Mincho"/>
                </w:rPr>
                <w:fldChar w:fldCharType="separate"/>
              </w:r>
              <w:r w:rsidR="0039468B" w:rsidRPr="00693911">
                <w:rPr>
                  <w:rFonts w:eastAsia="MS Mincho"/>
                  <w:noProof/>
                  <w:vertAlign w:val="superscript"/>
                </w:rPr>
                <w:t>45</w:t>
              </w:r>
              <w:r w:rsidR="0039468B">
                <w:rPr>
                  <w:rFonts w:eastAsia="MS Mincho"/>
                </w:rPr>
                <w:fldChar w:fldCharType="end"/>
              </w:r>
            </w:hyperlink>
            <w:r w:rsidR="00436D7C" w:rsidRPr="00CB6040">
              <w:rPr>
                <w:rFonts w:eastAsia="MS Mincho"/>
              </w:rPr>
              <w:t xml:space="preserve"> </w:t>
            </w:r>
          </w:p>
        </w:tc>
        <w:tc>
          <w:tcPr>
            <w:tcW w:w="4434" w:type="pct"/>
          </w:tcPr>
          <w:p w14:paraId="4884B21D" w14:textId="73B78942" w:rsidR="006D3125" w:rsidRDefault="008F3878" w:rsidP="00DC7A3C">
            <w:pPr>
              <w:pStyle w:val="Tablewriting"/>
              <w:rPr>
                <w:rFonts w:eastAsia="MS Mincho"/>
              </w:rPr>
            </w:pPr>
            <w:r w:rsidRPr="008F3878">
              <w:rPr>
                <w:rFonts w:eastAsia="MS Mincho"/>
              </w:rPr>
              <w:t xml:space="preserve">Gourlay SG, Forbes A, Marriner T, Pethica D, McNeil JJ. Double blind trial of repeated treatment with transdermal nicotine for relapsed smokers. </w:t>
            </w:r>
            <w:r w:rsidR="00A67513" w:rsidRPr="00A67513">
              <w:rPr>
                <w:rFonts w:eastAsia="MS Mincho"/>
              </w:rPr>
              <w:t>BMJ</w:t>
            </w:r>
            <w:r w:rsidRPr="008F3878">
              <w:rPr>
                <w:rFonts w:eastAsia="MS Mincho"/>
              </w:rPr>
              <w:t>. 1995 Aug 5;311(7001):363-6.</w:t>
            </w:r>
          </w:p>
        </w:tc>
      </w:tr>
    </w:tbl>
    <w:p w14:paraId="16BC56F8" w14:textId="5C740FEB" w:rsidR="006600EE" w:rsidRDefault="006600EE" w:rsidP="00E316A9">
      <w:pPr>
        <w:pStyle w:val="TableFooter"/>
        <w:spacing w:after="120"/>
        <w:contextualSpacing w:val="0"/>
        <w:jc w:val="both"/>
      </w:pPr>
      <w:r>
        <w:t>Notes: Go</w:t>
      </w:r>
      <w:r w:rsidR="006A7126">
        <w:t>urlay</w:t>
      </w:r>
      <w:r>
        <w:t xml:space="preserve"> et al. (</w:t>
      </w:r>
      <w:r w:rsidR="0014291B">
        <w:t>1995</w:t>
      </w:r>
      <w:r>
        <w:t>) w</w:t>
      </w:r>
      <w:r w:rsidR="0014291B">
        <w:t>as</w:t>
      </w:r>
      <w:r>
        <w:t xml:space="preserve"> included in the Cochrane </w:t>
      </w:r>
      <w:r w:rsidR="00FD650E">
        <w:t>R</w:t>
      </w:r>
      <w:r>
        <w:t>eview by H</w:t>
      </w:r>
      <w:r w:rsidR="0014291B">
        <w:t>artmann-Boyce</w:t>
      </w:r>
      <w:r>
        <w:t xml:space="preserve"> et al. (20</w:t>
      </w:r>
      <w:r w:rsidR="0014291B">
        <w:t>18</w:t>
      </w:r>
      <w:r>
        <w:t>).</w:t>
      </w:r>
      <w:r w:rsidR="005460C9" w:rsidRPr="005460C9">
        <w:t xml:space="preserve"> H</w:t>
      </w:r>
      <w:r w:rsidR="005460C9">
        <w:t xml:space="preserve">artmann-Boyce </w:t>
      </w:r>
      <w:r w:rsidR="005460C9" w:rsidRPr="005460C9">
        <w:t>et al. (20</w:t>
      </w:r>
      <w:r w:rsidR="005460C9">
        <w:t>18</w:t>
      </w:r>
      <w:r w:rsidR="005460C9" w:rsidRPr="005460C9">
        <w:t>) did not conduct a subgroup analysis on retreatment</w:t>
      </w:r>
      <w:r w:rsidR="005460C9">
        <w:t xml:space="preserve"> (summarised qualitatively)</w:t>
      </w:r>
      <w:r w:rsidR="005460C9" w:rsidRPr="005460C9">
        <w:t>.</w:t>
      </w:r>
    </w:p>
    <w:p w14:paraId="0F80AD2B" w14:textId="7D27A8DE" w:rsidR="002177BB" w:rsidRPr="002177BB" w:rsidRDefault="00BA0A3D" w:rsidP="00E316A9">
      <w:pPr>
        <w:spacing w:after="120"/>
        <w:jc w:val="both"/>
      </w:pPr>
      <w:r w:rsidRPr="00BA0A3D">
        <w:t xml:space="preserve">A summary of the characteristics of the studies comparing </w:t>
      </w:r>
      <w:r w:rsidR="00717046">
        <w:t xml:space="preserve">NRT </w:t>
      </w:r>
      <w:r w:rsidR="00573F59">
        <w:t>patches</w:t>
      </w:r>
      <w:r w:rsidRPr="00BA0A3D">
        <w:t xml:space="preserve"> with placebo in non-abstainers as retreatment is presented in </w:t>
      </w:r>
      <w:r w:rsidR="00717046">
        <w:fldChar w:fldCharType="begin" w:fldLock="1"/>
      </w:r>
      <w:r w:rsidR="00717046">
        <w:instrText xml:space="preserve"> REF _Ref54969974 \h </w:instrText>
      </w:r>
      <w:r w:rsidR="00717046">
        <w:fldChar w:fldCharType="separate"/>
      </w:r>
      <w:r w:rsidR="00EC5CC7">
        <w:t xml:space="preserve">Table </w:t>
      </w:r>
      <w:r w:rsidR="00EC5CC7">
        <w:rPr>
          <w:noProof/>
        </w:rPr>
        <w:t>50</w:t>
      </w:r>
      <w:r w:rsidR="00717046">
        <w:fldChar w:fldCharType="end"/>
      </w:r>
      <w:r w:rsidRPr="00BA0A3D">
        <w:t>.</w:t>
      </w:r>
    </w:p>
    <w:p w14:paraId="57F851AB" w14:textId="77777777" w:rsidR="00BA0A3D" w:rsidRDefault="00BA0A3D" w:rsidP="006607A6">
      <w:pPr>
        <w:sectPr w:rsidR="00BA0A3D" w:rsidSect="006356D2">
          <w:pgSz w:w="11906" w:h="16838"/>
          <w:pgMar w:top="1440" w:right="1440" w:bottom="1440" w:left="1440" w:header="708" w:footer="708" w:gutter="0"/>
          <w:cols w:space="708"/>
          <w:titlePg/>
          <w:docGrid w:linePitch="360"/>
        </w:sectPr>
      </w:pPr>
    </w:p>
    <w:p w14:paraId="3F2B2835" w14:textId="7FEA0A2D" w:rsidR="00717046" w:rsidRDefault="00717046" w:rsidP="00E316A9">
      <w:pPr>
        <w:pStyle w:val="Caption"/>
        <w:keepNext/>
        <w:spacing w:before="0" w:after="120"/>
        <w:jc w:val="both"/>
      </w:pPr>
      <w:bookmarkStart w:id="100" w:name="_Ref54969974"/>
      <w:r>
        <w:lastRenderedPageBreak/>
        <w:t xml:space="preserve">Table </w:t>
      </w:r>
      <w:r w:rsidR="00BF3F75">
        <w:fldChar w:fldCharType="begin"/>
      </w:r>
      <w:r w:rsidR="00BF3F75">
        <w:instrText xml:space="preserve"> SEQ Table \* ARABIC </w:instrText>
      </w:r>
      <w:r w:rsidR="00BF3F75">
        <w:fldChar w:fldCharType="separate"/>
      </w:r>
      <w:r w:rsidR="00EC5CC7">
        <w:rPr>
          <w:noProof/>
        </w:rPr>
        <w:t>50</w:t>
      </w:r>
      <w:r w:rsidR="00BF3F75">
        <w:rPr>
          <w:noProof/>
        </w:rPr>
        <w:fldChar w:fldCharType="end"/>
      </w:r>
      <w:bookmarkEnd w:id="100"/>
      <w:r>
        <w:t xml:space="preserve">: </w:t>
      </w:r>
      <w:r w:rsidRPr="00B57492">
        <w:t xml:space="preserve">Characteristics of the studies comparing </w:t>
      </w:r>
      <w:r>
        <w:t>NRT patch</w:t>
      </w:r>
      <w:r w:rsidRPr="00B57492">
        <w:t xml:space="preserve"> with placebo 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113"/>
        <w:gridCol w:w="1060"/>
        <w:gridCol w:w="946"/>
        <w:gridCol w:w="5166"/>
        <w:gridCol w:w="2293"/>
        <w:gridCol w:w="3370"/>
      </w:tblGrid>
      <w:tr w:rsidR="00305930" w:rsidRPr="00061F78" w14:paraId="4F9953F7" w14:textId="77777777" w:rsidTr="00717046">
        <w:trPr>
          <w:trHeight w:val="299"/>
          <w:tblHeader/>
        </w:trPr>
        <w:tc>
          <w:tcPr>
            <w:tcW w:w="399" w:type="pct"/>
            <w:shd w:val="clear" w:color="auto" w:fill="BFBFBF" w:themeFill="background1" w:themeFillShade="BF"/>
            <w:tcMar>
              <w:left w:w="28" w:type="dxa"/>
              <w:right w:w="28" w:type="dxa"/>
            </w:tcMar>
          </w:tcPr>
          <w:p w14:paraId="1918C8B0" w14:textId="5BA4A3EC" w:rsidR="007B2CD5" w:rsidRPr="00061F78" w:rsidRDefault="00126B7B" w:rsidP="00863B57">
            <w:pPr>
              <w:pStyle w:val="Tableheading"/>
              <w:keepNext/>
              <w:rPr>
                <w:rFonts w:eastAsia="MS Mincho"/>
              </w:rPr>
            </w:pPr>
            <w:r>
              <w:rPr>
                <w:rFonts w:eastAsia="MS Mincho"/>
              </w:rPr>
              <w:t>Study</w:t>
            </w:r>
          </w:p>
        </w:tc>
        <w:tc>
          <w:tcPr>
            <w:tcW w:w="380" w:type="pct"/>
            <w:shd w:val="clear" w:color="auto" w:fill="BFBFBF" w:themeFill="background1" w:themeFillShade="BF"/>
          </w:tcPr>
          <w:p w14:paraId="66D7B771" w14:textId="77777777" w:rsidR="007B2CD5" w:rsidRDefault="007B2CD5" w:rsidP="00863B57">
            <w:pPr>
              <w:pStyle w:val="Tableheading"/>
              <w:keepNext/>
              <w:jc w:val="center"/>
              <w:rPr>
                <w:rFonts w:eastAsia="MS Mincho"/>
              </w:rPr>
            </w:pPr>
            <w:r>
              <w:rPr>
                <w:rFonts w:eastAsia="MS Mincho"/>
              </w:rPr>
              <w:t>Study type</w:t>
            </w:r>
          </w:p>
        </w:tc>
        <w:tc>
          <w:tcPr>
            <w:tcW w:w="339" w:type="pct"/>
            <w:shd w:val="clear" w:color="auto" w:fill="BFBFBF" w:themeFill="background1" w:themeFillShade="BF"/>
            <w:tcMar>
              <w:left w:w="28" w:type="dxa"/>
              <w:right w:w="28" w:type="dxa"/>
            </w:tcMar>
          </w:tcPr>
          <w:p w14:paraId="7CA54A08" w14:textId="77777777" w:rsidR="007B2CD5" w:rsidRPr="00AE21E9" w:rsidRDefault="007B2CD5" w:rsidP="00863B57">
            <w:pPr>
              <w:pStyle w:val="Tableheading"/>
              <w:keepNext/>
              <w:jc w:val="center"/>
              <w:rPr>
                <w:rFonts w:eastAsia="MS Mincho"/>
                <w:vertAlign w:val="superscript"/>
              </w:rPr>
            </w:pPr>
            <w:r>
              <w:rPr>
                <w:rFonts w:eastAsia="MS Mincho"/>
              </w:rPr>
              <w:t>N</w:t>
            </w:r>
            <w:r>
              <w:rPr>
                <w:rFonts w:eastAsia="MS Mincho"/>
                <w:vertAlign w:val="superscript"/>
              </w:rPr>
              <w:t>1</w:t>
            </w:r>
          </w:p>
        </w:tc>
        <w:tc>
          <w:tcPr>
            <w:tcW w:w="1852" w:type="pct"/>
            <w:shd w:val="clear" w:color="auto" w:fill="BFBFBF" w:themeFill="background1" w:themeFillShade="BF"/>
            <w:tcMar>
              <w:left w:w="28" w:type="dxa"/>
              <w:right w:w="28" w:type="dxa"/>
            </w:tcMar>
          </w:tcPr>
          <w:p w14:paraId="6C1608E5" w14:textId="77777777" w:rsidR="007B2CD5" w:rsidRPr="00061F78" w:rsidRDefault="007B2CD5" w:rsidP="00863B57">
            <w:pPr>
              <w:pStyle w:val="Tableheading"/>
              <w:keepNext/>
              <w:jc w:val="center"/>
              <w:rPr>
                <w:rFonts w:eastAsia="MS Mincho"/>
              </w:rPr>
            </w:pPr>
            <w:r w:rsidRPr="00061F78">
              <w:rPr>
                <w:rFonts w:eastAsia="MS Mincho"/>
              </w:rPr>
              <w:t>P</w:t>
            </w:r>
            <w:r>
              <w:rPr>
                <w:rFonts w:eastAsia="MS Mincho"/>
              </w:rPr>
              <w:t>opulation</w:t>
            </w:r>
          </w:p>
        </w:tc>
        <w:tc>
          <w:tcPr>
            <w:tcW w:w="822" w:type="pct"/>
            <w:shd w:val="clear" w:color="auto" w:fill="BFBFBF" w:themeFill="background1" w:themeFillShade="BF"/>
          </w:tcPr>
          <w:p w14:paraId="246019ED" w14:textId="77777777" w:rsidR="007B2CD5" w:rsidRDefault="007B2CD5" w:rsidP="00863B57">
            <w:pPr>
              <w:pStyle w:val="Tableheading"/>
              <w:keepNext/>
              <w:jc w:val="center"/>
              <w:rPr>
                <w:rFonts w:eastAsia="MS Mincho"/>
              </w:rPr>
            </w:pPr>
            <w:r>
              <w:rPr>
                <w:rFonts w:eastAsia="MS Mincho"/>
              </w:rPr>
              <w:t>Intervention and comparator</w:t>
            </w:r>
          </w:p>
        </w:tc>
        <w:tc>
          <w:tcPr>
            <w:tcW w:w="1208" w:type="pct"/>
            <w:shd w:val="clear" w:color="auto" w:fill="BFBFBF" w:themeFill="background1" w:themeFillShade="BF"/>
            <w:tcMar>
              <w:left w:w="28" w:type="dxa"/>
              <w:right w:w="28" w:type="dxa"/>
            </w:tcMar>
          </w:tcPr>
          <w:p w14:paraId="15CF5FC2" w14:textId="77777777" w:rsidR="007B2CD5" w:rsidRPr="00061F78" w:rsidRDefault="007B2CD5" w:rsidP="00863B57">
            <w:pPr>
              <w:pStyle w:val="Tableheading"/>
              <w:keepNext/>
              <w:jc w:val="center"/>
              <w:rPr>
                <w:rFonts w:eastAsia="MS Mincho"/>
              </w:rPr>
            </w:pPr>
            <w:r>
              <w:rPr>
                <w:rFonts w:eastAsia="MS Mincho"/>
              </w:rPr>
              <w:t>Outcomes</w:t>
            </w:r>
          </w:p>
        </w:tc>
      </w:tr>
      <w:tr w:rsidR="002C7950" w:rsidRPr="00061F78" w14:paraId="453428BE" w14:textId="77777777" w:rsidTr="00717046">
        <w:trPr>
          <w:trHeight w:val="149"/>
        </w:trPr>
        <w:tc>
          <w:tcPr>
            <w:tcW w:w="399" w:type="pct"/>
            <w:tcMar>
              <w:left w:w="28" w:type="dxa"/>
              <w:right w:w="28" w:type="dxa"/>
            </w:tcMar>
          </w:tcPr>
          <w:p w14:paraId="2147F705" w14:textId="77777777" w:rsidR="007B2CD5" w:rsidRDefault="00717046" w:rsidP="00802504">
            <w:pPr>
              <w:pStyle w:val="Tablewriting"/>
              <w:keepNext/>
              <w:rPr>
                <w:rFonts w:eastAsia="MS Mincho"/>
              </w:rPr>
            </w:pPr>
            <w:r>
              <w:rPr>
                <w:rFonts w:eastAsia="MS Mincho"/>
              </w:rPr>
              <w:t>Gourlay</w:t>
            </w:r>
          </w:p>
          <w:p w14:paraId="24005095" w14:textId="035FD257" w:rsidR="007B2CD5" w:rsidRDefault="00717046" w:rsidP="00863B57">
            <w:pPr>
              <w:pStyle w:val="Tablewriting"/>
              <w:keepNext/>
              <w:rPr>
                <w:rFonts w:eastAsia="MS Mincho"/>
              </w:rPr>
            </w:pPr>
            <w:r>
              <w:rPr>
                <w:rFonts w:eastAsia="MS Mincho"/>
              </w:rPr>
              <w:t>(1995)</w:t>
            </w:r>
          </w:p>
        </w:tc>
        <w:tc>
          <w:tcPr>
            <w:tcW w:w="380" w:type="pct"/>
          </w:tcPr>
          <w:p w14:paraId="3B202EFC" w14:textId="77777777" w:rsidR="007B2CD5" w:rsidRDefault="007B2CD5" w:rsidP="00863B57">
            <w:pPr>
              <w:pStyle w:val="Tablewriting"/>
              <w:keepNext/>
              <w:rPr>
                <w:rFonts w:eastAsia="MS Mincho"/>
              </w:rPr>
            </w:pPr>
            <w:r>
              <w:rPr>
                <w:rFonts w:eastAsia="MS Mincho"/>
              </w:rPr>
              <w:t>RCT</w:t>
            </w:r>
          </w:p>
        </w:tc>
        <w:tc>
          <w:tcPr>
            <w:tcW w:w="339" w:type="pct"/>
            <w:tcMar>
              <w:left w:w="28" w:type="dxa"/>
              <w:right w:w="28" w:type="dxa"/>
            </w:tcMar>
          </w:tcPr>
          <w:p w14:paraId="5CB73EA1" w14:textId="0CCC6C15" w:rsidR="007B2CD5" w:rsidRPr="00D873BD" w:rsidRDefault="007B2CD5" w:rsidP="00863B57">
            <w:pPr>
              <w:pStyle w:val="Tablewriting"/>
              <w:keepNext/>
              <w:rPr>
                <w:rFonts w:eastAsia="MS Mincho"/>
              </w:rPr>
            </w:pPr>
            <w:r w:rsidRPr="00D873BD">
              <w:rPr>
                <w:rFonts w:eastAsia="MS Mincho"/>
              </w:rPr>
              <w:t>N=</w:t>
            </w:r>
            <w:r w:rsidR="00D873BD" w:rsidRPr="00D873BD">
              <w:rPr>
                <w:rFonts w:eastAsia="MS Mincho"/>
              </w:rPr>
              <w:t>629</w:t>
            </w:r>
          </w:p>
          <w:p w14:paraId="7CEA9275" w14:textId="5F3BF0FE" w:rsidR="007B2CD5" w:rsidRPr="00D873BD" w:rsidRDefault="00717046" w:rsidP="00863B57">
            <w:pPr>
              <w:pStyle w:val="Tablewriting"/>
              <w:keepNext/>
              <w:rPr>
                <w:rFonts w:eastAsia="MS Mincho"/>
              </w:rPr>
            </w:pPr>
            <w:r w:rsidRPr="00D873BD">
              <w:rPr>
                <w:rFonts w:eastAsia="MS Mincho"/>
              </w:rPr>
              <w:t>NRT patch</w:t>
            </w:r>
            <w:r w:rsidR="007B2CD5" w:rsidRPr="00D873BD">
              <w:rPr>
                <w:rFonts w:eastAsia="MS Mincho"/>
              </w:rPr>
              <w:t xml:space="preserve"> (n=</w:t>
            </w:r>
            <w:r w:rsidR="00D873BD" w:rsidRPr="00D873BD">
              <w:rPr>
                <w:rFonts w:eastAsia="MS Mincho"/>
              </w:rPr>
              <w:t>315</w:t>
            </w:r>
            <w:r w:rsidR="007B2CD5" w:rsidRPr="00D873BD">
              <w:rPr>
                <w:rFonts w:eastAsia="MS Mincho"/>
              </w:rPr>
              <w:t>),</w:t>
            </w:r>
          </w:p>
          <w:p w14:paraId="4E0188E4" w14:textId="79C2E406" w:rsidR="007B2CD5" w:rsidRPr="004B359D" w:rsidRDefault="007B2CD5" w:rsidP="00863B57">
            <w:pPr>
              <w:pStyle w:val="Tablewriting"/>
              <w:keepNext/>
              <w:rPr>
                <w:rFonts w:eastAsia="MS Mincho"/>
                <w:highlight w:val="yellow"/>
              </w:rPr>
            </w:pPr>
            <w:r w:rsidRPr="00D873BD">
              <w:rPr>
                <w:rFonts w:eastAsia="MS Mincho"/>
              </w:rPr>
              <w:t>Placebo (n=</w:t>
            </w:r>
            <w:r w:rsidR="00D873BD" w:rsidRPr="00D873BD">
              <w:rPr>
                <w:rFonts w:eastAsia="MS Mincho"/>
              </w:rPr>
              <w:t>314</w:t>
            </w:r>
            <w:r w:rsidRPr="00D873BD">
              <w:rPr>
                <w:rFonts w:eastAsia="MS Mincho"/>
              </w:rPr>
              <w:t>)</w:t>
            </w:r>
          </w:p>
        </w:tc>
        <w:tc>
          <w:tcPr>
            <w:tcW w:w="1852" w:type="pct"/>
            <w:tcMar>
              <w:left w:w="28" w:type="dxa"/>
              <w:right w:w="28" w:type="dxa"/>
            </w:tcMar>
          </w:tcPr>
          <w:p w14:paraId="34969A06" w14:textId="4EABC9F4" w:rsidR="00C90FBE" w:rsidRPr="00CE6D3C" w:rsidRDefault="007B2CD5" w:rsidP="00863B57">
            <w:pPr>
              <w:pStyle w:val="Tablewriting"/>
              <w:keepNext/>
              <w:rPr>
                <w:rFonts w:eastAsia="MS Mincho"/>
              </w:rPr>
            </w:pPr>
            <w:r w:rsidRPr="00CE6D3C">
              <w:rPr>
                <w:rFonts w:eastAsia="MS Mincho"/>
                <w:u w:val="single"/>
              </w:rPr>
              <w:t>Inclusion</w:t>
            </w:r>
            <w:r w:rsidRPr="00CE6D3C">
              <w:rPr>
                <w:rFonts w:eastAsia="MS Mincho"/>
              </w:rPr>
              <w:t xml:space="preserve">: </w:t>
            </w:r>
            <w:r w:rsidR="009C5363" w:rsidRPr="00CE6D3C">
              <w:rPr>
                <w:rFonts w:eastAsia="MS Mincho"/>
              </w:rPr>
              <w:t>s</w:t>
            </w:r>
            <w:r w:rsidR="00C90FBE" w:rsidRPr="00CE6D3C">
              <w:rPr>
                <w:rFonts w:eastAsia="MS Mincho"/>
              </w:rPr>
              <w:t xml:space="preserve">mokers who </w:t>
            </w:r>
            <w:r w:rsidR="00A251AD" w:rsidRPr="00CE6D3C">
              <w:rPr>
                <w:rFonts w:eastAsia="MS Mincho"/>
              </w:rPr>
              <w:t>are motivated to quit again and had rela</w:t>
            </w:r>
            <w:r w:rsidR="0027609A" w:rsidRPr="00CE6D3C">
              <w:rPr>
                <w:rFonts w:eastAsia="MS Mincho"/>
              </w:rPr>
              <w:t>p</w:t>
            </w:r>
            <w:r w:rsidR="00A251AD" w:rsidRPr="00CE6D3C">
              <w:rPr>
                <w:rFonts w:eastAsia="MS Mincho"/>
              </w:rPr>
              <w:t xml:space="preserve">sed to regular smoking </w:t>
            </w:r>
            <w:r w:rsidR="0027609A" w:rsidRPr="00CE6D3C">
              <w:rPr>
                <w:rFonts w:eastAsia="MS Mincho"/>
              </w:rPr>
              <w:t xml:space="preserve">of </w:t>
            </w:r>
            <w:r w:rsidR="002C797B" w:rsidRPr="00CE6D3C">
              <w:rPr>
                <w:rFonts w:eastAsia="MS Mincho"/>
              </w:rPr>
              <w:t>≥</w:t>
            </w:r>
            <w:r w:rsidR="0027609A" w:rsidRPr="00CE6D3C">
              <w:rPr>
                <w:rFonts w:eastAsia="MS Mincho"/>
              </w:rPr>
              <w:t>15 cigarettes a day</w:t>
            </w:r>
            <w:r w:rsidR="00034276">
              <w:rPr>
                <w:rFonts w:eastAsia="MS Mincho"/>
              </w:rPr>
              <w:t xml:space="preserve"> (from Phase I of the study)</w:t>
            </w:r>
            <w:r w:rsidR="0027609A" w:rsidRPr="00CE6D3C">
              <w:rPr>
                <w:rFonts w:eastAsia="MS Mincho"/>
              </w:rPr>
              <w:t xml:space="preserve">. </w:t>
            </w:r>
          </w:p>
          <w:p w14:paraId="2A3A464B" w14:textId="7500DE6E" w:rsidR="00717046" w:rsidRPr="0058278D" w:rsidRDefault="007B2CD5" w:rsidP="00802504">
            <w:pPr>
              <w:pStyle w:val="Tablewriting"/>
              <w:keepNext/>
              <w:rPr>
                <w:rFonts w:eastAsia="MS Mincho"/>
                <w:highlight w:val="yellow"/>
              </w:rPr>
            </w:pPr>
            <w:r w:rsidRPr="00CE6D3C">
              <w:rPr>
                <w:rFonts w:eastAsia="MS Mincho"/>
                <w:u w:val="single"/>
              </w:rPr>
              <w:t>Exclusion</w:t>
            </w:r>
            <w:r w:rsidRPr="00CE6D3C">
              <w:rPr>
                <w:rFonts w:eastAsia="MS Mincho"/>
              </w:rPr>
              <w:t xml:space="preserve">: </w:t>
            </w:r>
            <w:r w:rsidR="00B10C99" w:rsidRPr="00CE6D3C">
              <w:rPr>
                <w:rFonts w:eastAsia="MS Mincho"/>
              </w:rPr>
              <w:t>medications that might interfere with symptoms of tobacco withdrawal</w:t>
            </w:r>
            <w:r w:rsidR="00730805" w:rsidRPr="00CE6D3C">
              <w:rPr>
                <w:rFonts w:eastAsia="MS Mincho"/>
              </w:rPr>
              <w:t>,</w:t>
            </w:r>
            <w:r w:rsidR="00B10C99" w:rsidRPr="00CE6D3C">
              <w:rPr>
                <w:rFonts w:eastAsia="MS Mincho"/>
              </w:rPr>
              <w:t xml:space="preserve"> pregnancy</w:t>
            </w:r>
            <w:r w:rsidR="00B10C99" w:rsidRPr="00F40D76">
              <w:rPr>
                <w:rFonts w:eastAsia="MS Mincho"/>
              </w:rPr>
              <w:t>, lactation, or potential pregnancy</w:t>
            </w:r>
            <w:r w:rsidR="00730805" w:rsidRPr="00F40D76">
              <w:rPr>
                <w:rFonts w:eastAsia="MS Mincho"/>
              </w:rPr>
              <w:t xml:space="preserve">, </w:t>
            </w:r>
            <w:r w:rsidR="00B10C99" w:rsidRPr="00F40D76">
              <w:rPr>
                <w:rFonts w:eastAsia="MS Mincho"/>
              </w:rPr>
              <w:t>mental or psychiatric</w:t>
            </w:r>
            <w:r w:rsidR="00DB0A5F" w:rsidRPr="00F40D76">
              <w:rPr>
                <w:rFonts w:eastAsia="MS Mincho"/>
              </w:rPr>
              <w:t xml:space="preserve"> i</w:t>
            </w:r>
            <w:r w:rsidR="00B10C99" w:rsidRPr="00F40D76">
              <w:rPr>
                <w:rFonts w:eastAsia="MS Mincho"/>
              </w:rPr>
              <w:t>llness</w:t>
            </w:r>
            <w:r w:rsidR="00730805" w:rsidRPr="00F40D76">
              <w:rPr>
                <w:rFonts w:eastAsia="MS Mincho"/>
              </w:rPr>
              <w:t xml:space="preserve">, </w:t>
            </w:r>
            <w:r w:rsidR="00B10C99" w:rsidRPr="00F40D76">
              <w:rPr>
                <w:rFonts w:eastAsia="MS Mincho"/>
              </w:rPr>
              <w:t>symptomatic ischaemic heart disease or</w:t>
            </w:r>
            <w:r w:rsidR="00DB0A5F" w:rsidRPr="00F40D76">
              <w:rPr>
                <w:rFonts w:eastAsia="MS Mincho"/>
              </w:rPr>
              <w:t xml:space="preserve"> </w:t>
            </w:r>
            <w:r w:rsidR="00B10C99" w:rsidRPr="00F40D76">
              <w:rPr>
                <w:rFonts w:eastAsia="MS Mincho"/>
              </w:rPr>
              <w:t>cerebrovascular disease within the past three months</w:t>
            </w:r>
            <w:r w:rsidR="00730805" w:rsidRPr="00F40D76">
              <w:rPr>
                <w:rFonts w:eastAsia="MS Mincho"/>
              </w:rPr>
              <w:t>,</w:t>
            </w:r>
            <w:r w:rsidR="00DB0A5F" w:rsidRPr="00F40D76">
              <w:rPr>
                <w:rFonts w:eastAsia="MS Mincho"/>
              </w:rPr>
              <w:t xml:space="preserve"> </w:t>
            </w:r>
            <w:r w:rsidR="00B10C99" w:rsidRPr="00F40D76">
              <w:rPr>
                <w:rFonts w:eastAsia="MS Mincho"/>
              </w:rPr>
              <w:t>alcoholism</w:t>
            </w:r>
            <w:r w:rsidR="00730805" w:rsidRPr="00F40D76">
              <w:rPr>
                <w:rFonts w:eastAsia="MS Mincho"/>
              </w:rPr>
              <w:t>,</w:t>
            </w:r>
            <w:r w:rsidR="00B10C99" w:rsidRPr="00F40D76">
              <w:rPr>
                <w:rFonts w:eastAsia="MS Mincho"/>
              </w:rPr>
              <w:t xml:space="preserve"> active malignancy</w:t>
            </w:r>
            <w:r w:rsidR="00730805" w:rsidRPr="00F40D76">
              <w:rPr>
                <w:rFonts w:eastAsia="MS Mincho"/>
              </w:rPr>
              <w:t>,</w:t>
            </w:r>
            <w:r w:rsidR="00B10C99" w:rsidRPr="00F40D76">
              <w:rPr>
                <w:rFonts w:eastAsia="MS Mincho"/>
              </w:rPr>
              <w:t xml:space="preserve"> major medical disorders</w:t>
            </w:r>
            <w:r w:rsidR="00730805">
              <w:rPr>
                <w:rFonts w:eastAsia="MS Mincho"/>
              </w:rPr>
              <w:t>,</w:t>
            </w:r>
            <w:r w:rsidR="00DB0A5F">
              <w:rPr>
                <w:rFonts w:eastAsia="MS Mincho"/>
              </w:rPr>
              <w:t xml:space="preserve"> </w:t>
            </w:r>
            <w:r w:rsidR="00B10C99" w:rsidRPr="00B10C99">
              <w:rPr>
                <w:rFonts w:eastAsia="MS Mincho"/>
              </w:rPr>
              <w:t>extensive skin lesions precluding application</w:t>
            </w:r>
            <w:r w:rsidR="00DB0A5F">
              <w:rPr>
                <w:rFonts w:eastAsia="MS Mincho"/>
              </w:rPr>
              <w:t xml:space="preserve"> </w:t>
            </w:r>
            <w:r w:rsidR="00B10C99" w:rsidRPr="00B10C99">
              <w:rPr>
                <w:rFonts w:eastAsia="MS Mincho"/>
              </w:rPr>
              <w:t>of patches</w:t>
            </w:r>
            <w:r w:rsidR="0058278D">
              <w:rPr>
                <w:rFonts w:eastAsia="MS Mincho"/>
              </w:rPr>
              <w:t xml:space="preserve">, </w:t>
            </w:r>
            <w:r w:rsidR="00B10C99" w:rsidRPr="00B10C99">
              <w:rPr>
                <w:rFonts w:eastAsia="MS Mincho"/>
              </w:rPr>
              <w:t>had experienced adverse reactions to transdermal</w:t>
            </w:r>
            <w:r w:rsidR="00DB0A5F">
              <w:rPr>
                <w:rFonts w:eastAsia="MS Mincho"/>
              </w:rPr>
              <w:t xml:space="preserve"> </w:t>
            </w:r>
            <w:r w:rsidR="00B10C99" w:rsidRPr="00B10C99">
              <w:rPr>
                <w:rFonts w:eastAsia="MS Mincho"/>
              </w:rPr>
              <w:t>nicotine that caused permanent</w:t>
            </w:r>
            <w:r w:rsidR="00AA400F">
              <w:rPr>
                <w:rFonts w:eastAsia="MS Mincho"/>
              </w:rPr>
              <w:t xml:space="preserve"> </w:t>
            </w:r>
            <w:r w:rsidR="00B10C99" w:rsidRPr="00B10C99">
              <w:rPr>
                <w:rFonts w:eastAsia="MS Mincho"/>
              </w:rPr>
              <w:t>discontinuation of</w:t>
            </w:r>
            <w:r w:rsidR="00093678">
              <w:rPr>
                <w:rFonts w:eastAsia="MS Mincho"/>
              </w:rPr>
              <w:t xml:space="preserve"> the initial</w:t>
            </w:r>
            <w:r w:rsidR="00AA400F">
              <w:rPr>
                <w:rFonts w:eastAsia="MS Mincho"/>
              </w:rPr>
              <w:t xml:space="preserve"> </w:t>
            </w:r>
            <w:r w:rsidR="00B10C99" w:rsidRPr="00B10C99">
              <w:rPr>
                <w:rFonts w:eastAsia="MS Mincho"/>
              </w:rPr>
              <w:t xml:space="preserve">treatment. </w:t>
            </w:r>
          </w:p>
          <w:p w14:paraId="3A89F72C" w14:textId="77777777" w:rsidR="00F40D76" w:rsidRPr="00AA400F" w:rsidRDefault="00F40D76" w:rsidP="00B10C99">
            <w:pPr>
              <w:pStyle w:val="Tablewriting"/>
              <w:keepNext/>
              <w:rPr>
                <w:rFonts w:eastAsia="MS Mincho"/>
              </w:rPr>
            </w:pPr>
          </w:p>
          <w:p w14:paraId="4E632E4F" w14:textId="153BCFD7" w:rsidR="007B2CD5" w:rsidRPr="004B359D" w:rsidRDefault="00717046" w:rsidP="00863B57">
            <w:pPr>
              <w:pStyle w:val="Tablewriting"/>
              <w:keepNext/>
              <w:rPr>
                <w:rFonts w:eastAsia="MS Mincho"/>
                <w:highlight w:val="yellow"/>
                <w:u w:val="single"/>
              </w:rPr>
            </w:pPr>
            <w:r w:rsidRPr="00C16ECA">
              <w:rPr>
                <w:rFonts w:eastAsia="MS Mincho"/>
              </w:rPr>
              <w:t xml:space="preserve">The </w:t>
            </w:r>
            <w:r w:rsidR="00D6765D" w:rsidRPr="00C16ECA">
              <w:rPr>
                <w:rFonts w:eastAsia="MS Mincho"/>
              </w:rPr>
              <w:t>duration</w:t>
            </w:r>
            <w:r w:rsidRPr="00C16ECA">
              <w:rPr>
                <w:rFonts w:eastAsia="MS Mincho"/>
              </w:rPr>
              <w:t xml:space="preserve"> between </w:t>
            </w:r>
            <w:r w:rsidR="00D6765D" w:rsidRPr="00C16ECA">
              <w:rPr>
                <w:rFonts w:eastAsia="MS Mincho"/>
              </w:rPr>
              <w:t>previous NRT treatment</w:t>
            </w:r>
            <w:r w:rsidRPr="00C16ECA">
              <w:rPr>
                <w:rFonts w:eastAsia="MS Mincho"/>
              </w:rPr>
              <w:t xml:space="preserve"> and retreatment was</w:t>
            </w:r>
            <w:r w:rsidR="006D3832" w:rsidRPr="00C16ECA">
              <w:rPr>
                <w:rFonts w:eastAsia="MS Mincho"/>
              </w:rPr>
              <w:t xml:space="preserve"> </w:t>
            </w:r>
            <w:r w:rsidR="0013285F" w:rsidRPr="00C16ECA">
              <w:rPr>
                <w:rFonts w:eastAsia="MS Mincho"/>
              </w:rPr>
              <w:t>around 17-30 weeks</w:t>
            </w:r>
            <w:r w:rsidR="009928FD">
              <w:rPr>
                <w:rFonts w:eastAsia="MS Mincho"/>
              </w:rPr>
              <w:t xml:space="preserve"> (first quit date to second attempt at qui</w:t>
            </w:r>
            <w:r w:rsidR="0091068A">
              <w:rPr>
                <w:rFonts w:eastAsia="MS Mincho"/>
              </w:rPr>
              <w:t>t</w:t>
            </w:r>
            <w:r w:rsidR="009928FD">
              <w:rPr>
                <w:rFonts w:eastAsia="MS Mincho"/>
              </w:rPr>
              <w:t>ting)</w:t>
            </w:r>
            <w:r w:rsidRPr="00C16ECA">
              <w:rPr>
                <w:rFonts w:eastAsia="MS Mincho"/>
              </w:rPr>
              <w:t>.</w:t>
            </w:r>
            <w:r w:rsidR="007D3AE9" w:rsidRPr="00C16ECA">
              <w:rPr>
                <w:rFonts w:eastAsia="MS Mincho"/>
              </w:rPr>
              <w:t xml:space="preserve"> Duration of previous NRT treatment was 12 weeks.</w:t>
            </w:r>
          </w:p>
        </w:tc>
        <w:tc>
          <w:tcPr>
            <w:tcW w:w="822" w:type="pct"/>
          </w:tcPr>
          <w:p w14:paraId="3FF3FB08" w14:textId="66128273" w:rsidR="000D2EE8" w:rsidRDefault="0049667D" w:rsidP="001F431C">
            <w:pPr>
              <w:pStyle w:val="Tablewriting"/>
              <w:keepNext/>
              <w:rPr>
                <w:rFonts w:eastAsia="MS Mincho"/>
              </w:rPr>
            </w:pPr>
            <w:r>
              <w:rPr>
                <w:rFonts w:eastAsia="MS Mincho"/>
              </w:rPr>
              <w:t>NRT patch</w:t>
            </w:r>
            <w:r w:rsidR="0068056E">
              <w:rPr>
                <w:rFonts w:eastAsia="MS Mincho"/>
              </w:rPr>
              <w:t>:</w:t>
            </w:r>
            <w:r w:rsidR="00300ED3">
              <w:rPr>
                <w:rFonts w:eastAsia="MS Mincho"/>
              </w:rPr>
              <w:t xml:space="preserve"> </w:t>
            </w:r>
            <w:r w:rsidR="001F431C" w:rsidRPr="001F431C">
              <w:rPr>
                <w:rFonts w:eastAsia="MS Mincho"/>
              </w:rPr>
              <w:t>four weeks</w:t>
            </w:r>
            <w:r w:rsidR="001F431C">
              <w:rPr>
                <w:rFonts w:eastAsia="MS Mincho"/>
              </w:rPr>
              <w:t xml:space="preserve"> </w:t>
            </w:r>
            <w:r w:rsidR="001F431C" w:rsidRPr="001F431C">
              <w:rPr>
                <w:rFonts w:eastAsia="MS Mincho"/>
              </w:rPr>
              <w:t>each of a</w:t>
            </w:r>
            <w:r w:rsidR="001F431C">
              <w:rPr>
                <w:rFonts w:eastAsia="MS Mincho"/>
              </w:rPr>
              <w:t xml:space="preserve"> </w:t>
            </w:r>
            <w:r w:rsidR="007E7CAA" w:rsidRPr="007E7CAA">
              <w:rPr>
                <w:rFonts w:eastAsia="MS Mincho"/>
              </w:rPr>
              <w:t>30 cm</w:t>
            </w:r>
            <w:r w:rsidR="007E7CAA" w:rsidRPr="007E7CAA">
              <w:rPr>
                <w:rFonts w:eastAsia="MS Mincho"/>
                <w:vertAlign w:val="superscript"/>
              </w:rPr>
              <w:t>2</w:t>
            </w:r>
            <w:r w:rsidR="007E7CAA" w:rsidRPr="007E7CAA">
              <w:rPr>
                <w:rFonts w:eastAsia="MS Mincho"/>
              </w:rPr>
              <w:t xml:space="preserve"> patch (active 21 mg/24 hour</w:t>
            </w:r>
            <w:r w:rsidR="000D2EE8">
              <w:rPr>
                <w:rFonts w:eastAsia="MS Mincho"/>
              </w:rPr>
              <w:t>s</w:t>
            </w:r>
            <w:r w:rsidR="007E7CAA" w:rsidRPr="007E7CAA">
              <w:rPr>
                <w:rFonts w:eastAsia="MS Mincho"/>
              </w:rPr>
              <w:t>), a 20 cm</w:t>
            </w:r>
            <w:r w:rsidR="007E7CAA" w:rsidRPr="007E7CAA">
              <w:rPr>
                <w:rFonts w:eastAsia="MS Mincho"/>
                <w:vertAlign w:val="superscript"/>
              </w:rPr>
              <w:t>2</w:t>
            </w:r>
            <w:r w:rsidR="007E7CAA" w:rsidRPr="007E7CAA">
              <w:rPr>
                <w:rFonts w:eastAsia="MS Mincho"/>
              </w:rPr>
              <w:t xml:space="preserve"> patch (active 14 mg/24 hours), and a 10 cm</w:t>
            </w:r>
            <w:r w:rsidR="007E7CAA" w:rsidRPr="007E7CAA">
              <w:rPr>
                <w:rFonts w:eastAsia="MS Mincho"/>
                <w:vertAlign w:val="superscript"/>
              </w:rPr>
              <w:t>2</w:t>
            </w:r>
            <w:r w:rsidR="007E7CAA">
              <w:rPr>
                <w:rFonts w:eastAsia="MS Mincho"/>
                <w:vertAlign w:val="superscript"/>
              </w:rPr>
              <w:t xml:space="preserve"> </w:t>
            </w:r>
            <w:r w:rsidR="007E7CAA" w:rsidRPr="007E7CAA">
              <w:rPr>
                <w:rFonts w:eastAsia="MS Mincho"/>
              </w:rPr>
              <w:t>patch (active 7 mg/24 hours)</w:t>
            </w:r>
            <w:r w:rsidR="00C16ECA">
              <w:rPr>
                <w:rFonts w:eastAsia="MS Mincho"/>
              </w:rPr>
              <w:t>, over 12 weeks</w:t>
            </w:r>
            <w:r w:rsidR="007E7CAA" w:rsidRPr="007E7CAA">
              <w:rPr>
                <w:rFonts w:eastAsia="MS Mincho"/>
              </w:rPr>
              <w:t>.</w:t>
            </w:r>
            <w:r w:rsidR="00DC7A3C">
              <w:rPr>
                <w:rFonts w:eastAsia="MS Mincho"/>
              </w:rPr>
              <w:t xml:space="preserve">; </w:t>
            </w:r>
            <w:r w:rsidR="000D2EE8">
              <w:rPr>
                <w:rFonts w:eastAsia="MS Mincho"/>
              </w:rPr>
              <w:t>Placebo:</w:t>
            </w:r>
            <w:r w:rsidR="000D2EE8">
              <w:t xml:space="preserve"> </w:t>
            </w:r>
            <w:r w:rsidR="000D2EE8" w:rsidRPr="000D2EE8">
              <w:rPr>
                <w:rFonts w:eastAsia="MS Mincho"/>
              </w:rPr>
              <w:t>four weeks each of a 30 cm</w:t>
            </w:r>
            <w:r w:rsidR="000D2EE8" w:rsidRPr="004C7920">
              <w:rPr>
                <w:rFonts w:eastAsia="MS Mincho"/>
                <w:vertAlign w:val="superscript"/>
              </w:rPr>
              <w:t>2</w:t>
            </w:r>
            <w:r w:rsidR="000D2EE8" w:rsidRPr="000D2EE8">
              <w:rPr>
                <w:rFonts w:eastAsia="MS Mincho"/>
              </w:rPr>
              <w:t xml:space="preserve"> patch (placebo 2-7 mg/24 hours), a 20 cm</w:t>
            </w:r>
            <w:r w:rsidR="000D2EE8" w:rsidRPr="004C7920">
              <w:rPr>
                <w:rFonts w:eastAsia="MS Mincho"/>
                <w:vertAlign w:val="superscript"/>
              </w:rPr>
              <w:t>2</w:t>
            </w:r>
            <w:r w:rsidR="000D2EE8" w:rsidRPr="000D2EE8">
              <w:rPr>
                <w:rFonts w:eastAsia="MS Mincho"/>
              </w:rPr>
              <w:t xml:space="preserve"> patch (placebo 1.8 mg/24 hours), and a 10 cm</w:t>
            </w:r>
            <w:r w:rsidR="000D2EE8" w:rsidRPr="004C7920">
              <w:rPr>
                <w:rFonts w:eastAsia="MS Mincho"/>
                <w:vertAlign w:val="superscript"/>
              </w:rPr>
              <w:t>2</w:t>
            </w:r>
            <w:r w:rsidR="000D2EE8" w:rsidRPr="000D2EE8">
              <w:rPr>
                <w:rFonts w:eastAsia="MS Mincho"/>
              </w:rPr>
              <w:t xml:space="preserve"> patch (placebo 0.9 mg/24 hours)</w:t>
            </w:r>
            <w:r w:rsidR="00C16ECA">
              <w:rPr>
                <w:rFonts w:eastAsia="MS Mincho"/>
              </w:rPr>
              <w:t>, over 12 weeks</w:t>
            </w:r>
            <w:r w:rsidR="000D2EE8" w:rsidRPr="000D2EE8">
              <w:rPr>
                <w:rFonts w:eastAsia="MS Mincho"/>
              </w:rPr>
              <w:t>.</w:t>
            </w:r>
          </w:p>
          <w:p w14:paraId="46F25136" w14:textId="77777777" w:rsidR="00B33E8A" w:rsidRDefault="00B33E8A" w:rsidP="001F431C">
            <w:pPr>
              <w:pStyle w:val="Tablewriting"/>
              <w:keepNext/>
              <w:rPr>
                <w:rFonts w:eastAsia="MS Mincho"/>
              </w:rPr>
            </w:pPr>
          </w:p>
          <w:p w14:paraId="3675B221" w14:textId="21EF8A12" w:rsidR="007B2CD5" w:rsidRPr="007E7CAA" w:rsidRDefault="00424C81" w:rsidP="00863B57">
            <w:pPr>
              <w:pStyle w:val="Tablewriting"/>
              <w:keepNext/>
              <w:rPr>
                <w:rFonts w:eastAsia="MS Mincho"/>
              </w:rPr>
            </w:pPr>
            <w:r>
              <w:rPr>
                <w:rFonts w:eastAsia="MS Mincho"/>
              </w:rPr>
              <w:t>B</w:t>
            </w:r>
            <w:r w:rsidR="00B33E8A" w:rsidRPr="00B33E8A">
              <w:rPr>
                <w:rFonts w:eastAsia="MS Mincho"/>
              </w:rPr>
              <w:t>ehavioural</w:t>
            </w:r>
            <w:r w:rsidR="00B33E8A">
              <w:rPr>
                <w:rFonts w:eastAsia="MS Mincho"/>
              </w:rPr>
              <w:t xml:space="preserve"> </w:t>
            </w:r>
            <w:r w:rsidR="00954AB2">
              <w:rPr>
                <w:rFonts w:eastAsia="MS Mincho"/>
              </w:rPr>
              <w:t>support</w:t>
            </w:r>
            <w:r w:rsidR="0087534A">
              <w:rPr>
                <w:rFonts w:eastAsia="MS Mincho"/>
              </w:rPr>
              <w:t xml:space="preserve"> </w:t>
            </w:r>
            <w:r w:rsidR="00280F92">
              <w:rPr>
                <w:rFonts w:eastAsia="MS Mincho"/>
              </w:rPr>
              <w:t>provid</w:t>
            </w:r>
            <w:r w:rsidR="0087534A">
              <w:rPr>
                <w:rFonts w:eastAsia="MS Mincho"/>
              </w:rPr>
              <w:t>ed in both arms</w:t>
            </w:r>
            <w:r w:rsidR="00B33E8A" w:rsidRPr="00B33E8A">
              <w:rPr>
                <w:rFonts w:eastAsia="MS Mincho"/>
              </w:rPr>
              <w:t>.</w:t>
            </w:r>
          </w:p>
        </w:tc>
        <w:tc>
          <w:tcPr>
            <w:tcW w:w="1208" w:type="pct"/>
            <w:tcMar>
              <w:left w:w="28" w:type="dxa"/>
              <w:right w:w="28" w:type="dxa"/>
            </w:tcMar>
          </w:tcPr>
          <w:p w14:paraId="5C3F75D3" w14:textId="17B269A5" w:rsidR="007B2CD5" w:rsidRPr="00BC2FEB" w:rsidRDefault="007B2CD5" w:rsidP="00863B57">
            <w:pPr>
              <w:pStyle w:val="Tablewriting"/>
              <w:keepNext/>
              <w:rPr>
                <w:rFonts w:eastAsia="MS Mincho"/>
              </w:rPr>
            </w:pPr>
            <w:r w:rsidRPr="00BC2FEB">
              <w:rPr>
                <w:rFonts w:eastAsia="MS Mincho"/>
                <w:u w:val="single"/>
              </w:rPr>
              <w:t>Primary</w:t>
            </w:r>
            <w:r w:rsidRPr="00BC2FEB">
              <w:rPr>
                <w:rFonts w:eastAsia="MS Mincho"/>
              </w:rPr>
              <w:t xml:space="preserve">: </w:t>
            </w:r>
            <w:r w:rsidR="00D2692C" w:rsidRPr="00BC2FEB">
              <w:rPr>
                <w:rFonts w:eastAsia="MS Mincho"/>
              </w:rPr>
              <w:t xml:space="preserve">Sustained </w:t>
            </w:r>
            <w:r w:rsidR="00E15635">
              <w:rPr>
                <w:rFonts w:eastAsia="MS Mincho"/>
              </w:rPr>
              <w:t>abstinence</w:t>
            </w:r>
            <w:r w:rsidR="00D2692C" w:rsidRPr="00BC2FEB">
              <w:rPr>
                <w:rFonts w:eastAsia="MS Mincho"/>
              </w:rPr>
              <w:t xml:space="preserve"> for 28 days before visit at week 12</w:t>
            </w:r>
            <w:r w:rsidR="007F77C4" w:rsidRPr="00BC2FEB">
              <w:rPr>
                <w:rFonts w:eastAsia="MS Mincho"/>
              </w:rPr>
              <w:t>.</w:t>
            </w:r>
            <w:r w:rsidR="00BC2FEB" w:rsidRPr="00BC2FEB">
              <w:rPr>
                <w:rFonts w:eastAsia="MS Mincho"/>
              </w:rPr>
              <w:t xml:space="preserve"> </w:t>
            </w:r>
            <w:r w:rsidRPr="00BC2FEB">
              <w:rPr>
                <w:rFonts w:eastAsia="MS Mincho"/>
              </w:rPr>
              <w:t>Validated by CO</w:t>
            </w:r>
            <w:r w:rsidR="00077687">
              <w:rPr>
                <w:rFonts w:eastAsia="MS Mincho"/>
              </w:rPr>
              <w:t xml:space="preserve"> </w:t>
            </w:r>
            <w:r w:rsidRPr="00BC2FEB">
              <w:rPr>
                <w:rFonts w:eastAsia="MS Mincho" w:cstheme="minorHAnsi"/>
              </w:rPr>
              <w:t>≤</w:t>
            </w:r>
            <w:r w:rsidR="00F77BEF" w:rsidRPr="00BC2FEB">
              <w:rPr>
                <w:rFonts w:eastAsia="MS Mincho"/>
              </w:rPr>
              <w:t>8</w:t>
            </w:r>
            <w:r w:rsidR="00296D30">
              <w:rPr>
                <w:rFonts w:eastAsia="MS Mincho"/>
              </w:rPr>
              <w:t xml:space="preserve"> </w:t>
            </w:r>
            <w:r w:rsidRPr="00BC2FEB">
              <w:rPr>
                <w:rFonts w:eastAsia="MS Mincho"/>
              </w:rPr>
              <w:t>ppm.</w:t>
            </w:r>
          </w:p>
          <w:p w14:paraId="3B2B3B69" w14:textId="0B421D16" w:rsidR="006E72B3" w:rsidRDefault="007B2CD5" w:rsidP="006E72B3">
            <w:pPr>
              <w:pStyle w:val="Tablewriting"/>
              <w:keepNext/>
              <w:rPr>
                <w:rFonts w:eastAsia="MS Mincho"/>
              </w:rPr>
            </w:pPr>
            <w:r w:rsidRPr="00BC2FEB">
              <w:rPr>
                <w:rFonts w:eastAsia="MS Mincho"/>
                <w:u w:val="single"/>
              </w:rPr>
              <w:t>Secondary</w:t>
            </w:r>
            <w:r w:rsidRPr="00BC2FEB">
              <w:rPr>
                <w:rFonts w:eastAsia="MS Mincho"/>
              </w:rPr>
              <w:t xml:space="preserve">: </w:t>
            </w:r>
            <w:r w:rsidR="006E72B3" w:rsidRPr="00BC2FEB">
              <w:rPr>
                <w:rFonts w:eastAsia="MS Mincho"/>
              </w:rPr>
              <w:t>C</w:t>
            </w:r>
            <w:r w:rsidR="00077687">
              <w:rPr>
                <w:rFonts w:eastAsia="MS Mincho"/>
              </w:rPr>
              <w:t xml:space="preserve">AR </w:t>
            </w:r>
            <w:r w:rsidR="006E72B3" w:rsidRPr="00BC2FEB">
              <w:rPr>
                <w:rFonts w:eastAsia="MS Mincho"/>
              </w:rPr>
              <w:t xml:space="preserve">at </w:t>
            </w:r>
            <w:r w:rsidR="00D562FA">
              <w:rPr>
                <w:rFonts w:eastAsia="MS Mincho"/>
              </w:rPr>
              <w:t>w</w:t>
            </w:r>
            <w:r w:rsidR="006E72B3" w:rsidRPr="00BC2FEB">
              <w:rPr>
                <w:rFonts w:eastAsia="MS Mincho"/>
              </w:rPr>
              <w:t xml:space="preserve">eek </w:t>
            </w:r>
            <w:r w:rsidR="00C634CB">
              <w:rPr>
                <w:rFonts w:eastAsia="MS Mincho"/>
              </w:rPr>
              <w:t>4, 8, 12 and 26</w:t>
            </w:r>
            <w:r w:rsidR="006E72B3" w:rsidRPr="00BC2FEB">
              <w:rPr>
                <w:rFonts w:eastAsia="MS Mincho"/>
              </w:rPr>
              <w:t xml:space="preserve">. </w:t>
            </w:r>
            <w:r w:rsidR="005C302F" w:rsidRPr="00BC2FEB">
              <w:rPr>
                <w:rFonts w:eastAsia="MS Mincho"/>
              </w:rPr>
              <w:t>Validated by CO</w:t>
            </w:r>
            <w:r w:rsidR="005C302F">
              <w:rPr>
                <w:rFonts w:eastAsia="MS Mincho"/>
              </w:rPr>
              <w:t xml:space="preserve"> </w:t>
            </w:r>
            <w:r w:rsidR="005C302F" w:rsidRPr="00BC2FEB">
              <w:rPr>
                <w:rFonts w:eastAsia="MS Mincho" w:cstheme="minorHAnsi"/>
              </w:rPr>
              <w:t>≤</w:t>
            </w:r>
            <w:r w:rsidR="005C302F" w:rsidRPr="00BC2FEB">
              <w:rPr>
                <w:rFonts w:eastAsia="MS Mincho"/>
              </w:rPr>
              <w:t>8</w:t>
            </w:r>
            <w:r w:rsidR="00296D30">
              <w:rPr>
                <w:rFonts w:eastAsia="MS Mincho"/>
              </w:rPr>
              <w:t xml:space="preserve"> </w:t>
            </w:r>
            <w:r w:rsidR="005C302F" w:rsidRPr="00BC2FEB">
              <w:rPr>
                <w:rFonts w:eastAsia="MS Mincho"/>
              </w:rPr>
              <w:t>ppm.</w:t>
            </w:r>
            <w:r w:rsidR="006E72B3" w:rsidRPr="00BC2FEB">
              <w:rPr>
                <w:rFonts w:eastAsia="MS Mincho"/>
              </w:rPr>
              <w:t xml:space="preserve"> </w:t>
            </w:r>
          </w:p>
          <w:p w14:paraId="2AD19454" w14:textId="29012326" w:rsidR="007B2CD5" w:rsidRPr="004B359D" w:rsidRDefault="007B2CD5" w:rsidP="00863B57">
            <w:pPr>
              <w:pStyle w:val="Tablewriting"/>
              <w:keepNext/>
              <w:rPr>
                <w:rFonts w:eastAsia="MS Mincho"/>
                <w:highlight w:val="yellow"/>
                <w:u w:val="single"/>
              </w:rPr>
            </w:pPr>
          </w:p>
        </w:tc>
      </w:tr>
    </w:tbl>
    <w:p w14:paraId="078BDB1D" w14:textId="34CA98F5" w:rsidR="00D95814" w:rsidRDefault="00717046" w:rsidP="00E316A9">
      <w:pPr>
        <w:pStyle w:val="TableFooter"/>
        <w:keepNext/>
        <w:jc w:val="both"/>
      </w:pPr>
      <w:r>
        <w:t xml:space="preserve">Abbreviations: </w:t>
      </w:r>
      <w:r w:rsidR="00D95814" w:rsidRPr="00D95814">
        <w:t xml:space="preserve">CAR = continuous abstinence rate; CO = carbon monoxide; RCT = randomised controlled trial </w:t>
      </w:r>
    </w:p>
    <w:p w14:paraId="503D08B3" w14:textId="28D17BEC" w:rsidR="00717046" w:rsidRDefault="00717046" w:rsidP="00E316A9">
      <w:pPr>
        <w:pStyle w:val="TableFooter"/>
        <w:keepNext/>
        <w:jc w:val="both"/>
      </w:pPr>
      <w:r>
        <w:t>Notes: G</w:t>
      </w:r>
      <w:r w:rsidR="00E15720">
        <w:t>ourlay et al. (1995) was included</w:t>
      </w:r>
      <w:r>
        <w:t xml:space="preserve"> in the Cochrane review by H</w:t>
      </w:r>
      <w:r w:rsidR="00E15720">
        <w:t>artmann-Boyce</w:t>
      </w:r>
      <w:r>
        <w:t xml:space="preserve"> et al. (20</w:t>
      </w:r>
      <w:r w:rsidR="00E15720">
        <w:t>18</w:t>
      </w:r>
      <w:r>
        <w:t>).</w:t>
      </w:r>
    </w:p>
    <w:p w14:paraId="738D2BAA" w14:textId="079618D2" w:rsidR="00BA0A3D" w:rsidRDefault="00717046" w:rsidP="00E316A9">
      <w:pPr>
        <w:pStyle w:val="TableFooter"/>
        <w:keepNext/>
        <w:jc w:val="both"/>
      </w:pPr>
      <w:r>
        <w:t>1 Only the number of patients (n) in the relevant arms were included</w:t>
      </w:r>
      <w:r w:rsidR="00AB5FA3">
        <w:t>.</w:t>
      </w:r>
    </w:p>
    <w:p w14:paraId="06F10E7C" w14:textId="77777777" w:rsidR="001B1668" w:rsidRPr="001B1668" w:rsidRDefault="001B1668" w:rsidP="001B1668"/>
    <w:p w14:paraId="7DAD80D8" w14:textId="77777777" w:rsidR="00BA0A3D" w:rsidRDefault="00BA0A3D" w:rsidP="006607A6">
      <w:pPr>
        <w:sectPr w:rsidR="00BA0A3D" w:rsidSect="00BA0A3D">
          <w:pgSz w:w="16838" w:h="11906" w:orient="landscape"/>
          <w:pgMar w:top="1440" w:right="1440" w:bottom="1440" w:left="1440" w:header="708" w:footer="708" w:gutter="0"/>
          <w:cols w:space="708"/>
          <w:titlePg/>
          <w:docGrid w:linePitch="360"/>
        </w:sectPr>
      </w:pPr>
    </w:p>
    <w:p w14:paraId="71DFECCD" w14:textId="77777777" w:rsidR="00422789" w:rsidRPr="00422789" w:rsidRDefault="00422789" w:rsidP="00E316A9">
      <w:pPr>
        <w:spacing w:after="120"/>
        <w:jc w:val="both"/>
        <w:rPr>
          <w:u w:val="single"/>
        </w:rPr>
      </w:pPr>
      <w:r w:rsidRPr="00422789">
        <w:rPr>
          <w:u w:val="single"/>
        </w:rPr>
        <w:lastRenderedPageBreak/>
        <w:t>Efficacy</w:t>
      </w:r>
    </w:p>
    <w:p w14:paraId="797EA875" w14:textId="002C27AF" w:rsidR="00422789" w:rsidRDefault="00422789" w:rsidP="00E316A9">
      <w:pPr>
        <w:spacing w:after="120"/>
        <w:jc w:val="both"/>
      </w:pPr>
      <w:r>
        <w:t xml:space="preserve">A summary of the smoking cessation rates at </w:t>
      </w:r>
      <w:r w:rsidR="00FA0CE9">
        <w:t>6 months</w:t>
      </w:r>
      <w:r>
        <w:t xml:space="preserve"> </w:t>
      </w:r>
      <w:r w:rsidR="00DC7A3C">
        <w:t xml:space="preserve">comparing NRT </w:t>
      </w:r>
      <w:r w:rsidR="00573F59">
        <w:t>patches</w:t>
      </w:r>
      <w:r w:rsidR="00DC7A3C">
        <w:t xml:space="preserve"> with placebo</w:t>
      </w:r>
      <w:r>
        <w:t xml:space="preserve"> is presented in </w:t>
      </w:r>
      <w:r w:rsidR="00CC304C">
        <w:fldChar w:fldCharType="begin" w:fldLock="1"/>
      </w:r>
      <w:r w:rsidR="00CC304C">
        <w:instrText xml:space="preserve"> REF _Ref54972831 \h </w:instrText>
      </w:r>
      <w:r w:rsidR="00CC304C">
        <w:fldChar w:fldCharType="separate"/>
      </w:r>
      <w:r w:rsidR="00EC5CC7">
        <w:t xml:space="preserve">Table </w:t>
      </w:r>
      <w:r w:rsidR="00EC5CC7">
        <w:rPr>
          <w:noProof/>
        </w:rPr>
        <w:t>51</w:t>
      </w:r>
      <w:r w:rsidR="00CC304C">
        <w:fldChar w:fldCharType="end"/>
      </w:r>
      <w:r>
        <w:t>. The results of Go</w:t>
      </w:r>
      <w:r w:rsidR="00CC304C">
        <w:t xml:space="preserve">urlay </w:t>
      </w:r>
      <w:r>
        <w:t>et al. (</w:t>
      </w:r>
      <w:r w:rsidR="00CC304C">
        <w:t>1995</w:t>
      </w:r>
      <w:r>
        <w:t xml:space="preserve">) </w:t>
      </w:r>
      <w:r w:rsidR="0087425A">
        <w:t xml:space="preserve">based on continuous abstinence rate </w:t>
      </w:r>
      <w:r>
        <w:t xml:space="preserve">demonstrated no statistically significant difference </w:t>
      </w:r>
      <w:r w:rsidR="00FD56B2">
        <w:t>b</w:t>
      </w:r>
      <w:r>
        <w:t xml:space="preserve">etween </w:t>
      </w:r>
      <w:r w:rsidR="00FD56B2">
        <w:t xml:space="preserve">NRT </w:t>
      </w:r>
      <w:r w:rsidR="00573F59">
        <w:t>patches</w:t>
      </w:r>
      <w:r w:rsidR="00FD56B2">
        <w:t xml:space="preserve"> and placebo</w:t>
      </w:r>
      <w:r w:rsidR="00554771">
        <w:t xml:space="preserve"> in non-abstainers as retreatment</w:t>
      </w:r>
      <w:r>
        <w:t>.</w:t>
      </w:r>
      <w:r w:rsidR="0087425A">
        <w:t xml:space="preserve"> However, </w:t>
      </w:r>
      <w:r w:rsidR="0073257E">
        <w:t xml:space="preserve">there was </w:t>
      </w:r>
      <w:r w:rsidR="000508C7">
        <w:t xml:space="preserve">a </w:t>
      </w:r>
      <w:r w:rsidR="0073257E">
        <w:t xml:space="preserve">statistically </w:t>
      </w:r>
      <w:r w:rsidR="000508C7">
        <w:t>significant improvement in smokin</w:t>
      </w:r>
      <w:r w:rsidR="000721C2">
        <w:t xml:space="preserve">g cessation rates </w:t>
      </w:r>
      <w:r w:rsidR="006C610D">
        <w:t xml:space="preserve">using NRT patches </w:t>
      </w:r>
      <w:r w:rsidR="00D64A34">
        <w:t>based on 28-day point prevalence abstinence</w:t>
      </w:r>
      <w:r w:rsidR="00DA52D8">
        <w:t xml:space="preserve"> (RR</w:t>
      </w:r>
      <w:r w:rsidR="003107B9">
        <w:t>:</w:t>
      </w:r>
      <w:r w:rsidR="00DA52D8">
        <w:t xml:space="preserve"> 2.49; 95% CI: </w:t>
      </w:r>
      <w:r w:rsidR="00AC1DD7">
        <w:t>1.11, 5.57)</w:t>
      </w:r>
      <w:r w:rsidR="00D64A34">
        <w:t>.</w:t>
      </w:r>
      <w:r w:rsidR="00AB2087">
        <w:t xml:space="preserve"> </w:t>
      </w:r>
      <w:r w:rsidR="00803755">
        <w:t>It was noted that the quit rate</w:t>
      </w:r>
      <w:r w:rsidR="001C2CBB">
        <w:t>s</w:t>
      </w:r>
      <w:r w:rsidR="00803755">
        <w:t xml:space="preserve"> were low in both groups with either definition of abstinence.</w:t>
      </w:r>
    </w:p>
    <w:p w14:paraId="5296580C" w14:textId="2E09E777" w:rsidR="00FB5C43" w:rsidRDefault="00FB5C43" w:rsidP="00FC2387">
      <w:pPr>
        <w:pStyle w:val="Caption"/>
        <w:keepNext/>
        <w:spacing w:before="0" w:after="120"/>
        <w:jc w:val="both"/>
      </w:pPr>
      <w:bookmarkStart w:id="101" w:name="_Ref54972831"/>
      <w:r>
        <w:t xml:space="preserve">Table </w:t>
      </w:r>
      <w:r w:rsidR="00BF3F75">
        <w:fldChar w:fldCharType="begin"/>
      </w:r>
      <w:r w:rsidR="00BF3F75">
        <w:instrText xml:space="preserve"> SEQ Table \* ARABIC </w:instrText>
      </w:r>
      <w:r w:rsidR="00BF3F75">
        <w:fldChar w:fldCharType="separate"/>
      </w:r>
      <w:r w:rsidR="00EC5CC7">
        <w:rPr>
          <w:noProof/>
        </w:rPr>
        <w:t>51</w:t>
      </w:r>
      <w:r w:rsidR="00BF3F75">
        <w:rPr>
          <w:noProof/>
        </w:rPr>
        <w:fldChar w:fldCharType="end"/>
      </w:r>
      <w:bookmarkEnd w:id="101"/>
      <w:r>
        <w:t xml:space="preserve">: </w:t>
      </w:r>
      <w:r w:rsidRPr="006D581C">
        <w:t xml:space="preserve">Results of smoking cessation at </w:t>
      </w:r>
      <w:r w:rsidR="00BC2232">
        <w:t>six</w:t>
      </w:r>
      <w:r w:rsidR="00FA0CE9">
        <w:t xml:space="preserve"> months</w:t>
      </w:r>
      <w:r w:rsidRPr="006D581C">
        <w:t xml:space="preserve">, </w:t>
      </w:r>
      <w:r w:rsidR="00FA0CE9">
        <w:t>NRT patch</w:t>
      </w:r>
      <w:r w:rsidRPr="006D581C">
        <w:t xml:space="preserve"> versus placebo</w:t>
      </w:r>
      <w:r w:rsidR="00DC7A3C">
        <w:t xml:space="preserve"> </w:t>
      </w:r>
      <w:r w:rsidR="00DC7A3C" w:rsidRPr="009A0BAA">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70249F" w:rsidRPr="00061F78" w14:paraId="331CA3AA" w14:textId="77777777" w:rsidTr="0070249F">
        <w:trPr>
          <w:cantSplit/>
          <w:trHeight w:val="299"/>
          <w:tblHeader/>
        </w:trPr>
        <w:tc>
          <w:tcPr>
            <w:tcW w:w="721" w:type="pct"/>
            <w:shd w:val="clear" w:color="auto" w:fill="BFBFBF" w:themeFill="background1" w:themeFillShade="BF"/>
            <w:tcMar>
              <w:left w:w="28" w:type="dxa"/>
              <w:right w:w="28" w:type="dxa"/>
            </w:tcMar>
          </w:tcPr>
          <w:p w14:paraId="31E486E2" w14:textId="40A857DE" w:rsidR="0070249F" w:rsidRPr="00061F78" w:rsidRDefault="00126B7B" w:rsidP="0070249F">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14:paraId="27174712" w14:textId="77777777" w:rsidR="0070249F" w:rsidRDefault="0070249F" w:rsidP="0070249F">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430E5581" w14:textId="021EC0B0" w:rsidR="0070249F" w:rsidRPr="00061F78" w:rsidRDefault="009246A3" w:rsidP="0070249F">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14:paraId="17F31925" w14:textId="77777777" w:rsidR="0070249F" w:rsidRPr="00061F78" w:rsidRDefault="0070249F" w:rsidP="0070249F">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14:paraId="64186DC4" w14:textId="5C883F80" w:rsidR="0070249F" w:rsidRPr="002D09A1" w:rsidRDefault="0070249F" w:rsidP="0070249F">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1837E36E" w14:textId="77777777" w:rsidR="0070249F" w:rsidRDefault="0070249F" w:rsidP="0070249F">
            <w:pPr>
              <w:pStyle w:val="Tableheading"/>
              <w:keepNext/>
              <w:jc w:val="center"/>
              <w:rPr>
                <w:rFonts w:eastAsia="MS Mincho"/>
              </w:rPr>
            </w:pPr>
            <w:r>
              <w:rPr>
                <w:rFonts w:eastAsia="MS Mincho"/>
              </w:rPr>
              <w:t>RD (95% CI)</w:t>
            </w:r>
          </w:p>
        </w:tc>
      </w:tr>
      <w:tr w:rsidR="0070249F" w:rsidRPr="00061F78" w14:paraId="4414D8EA" w14:textId="77777777" w:rsidTr="0070249F">
        <w:trPr>
          <w:cantSplit/>
          <w:trHeight w:val="99"/>
        </w:trPr>
        <w:tc>
          <w:tcPr>
            <w:tcW w:w="721" w:type="pct"/>
            <w:shd w:val="clear" w:color="auto" w:fill="auto"/>
            <w:tcMar>
              <w:left w:w="28" w:type="dxa"/>
              <w:right w:w="28" w:type="dxa"/>
            </w:tcMar>
          </w:tcPr>
          <w:p w14:paraId="6CBF8D24" w14:textId="5CB2AC9D" w:rsidR="0070249F" w:rsidRPr="00251B64" w:rsidRDefault="0070249F" w:rsidP="0070249F">
            <w:pPr>
              <w:pStyle w:val="Tablewriting"/>
              <w:keepNext/>
              <w:rPr>
                <w:rFonts w:eastAsia="MS Mincho"/>
              </w:rPr>
            </w:pPr>
            <w:r w:rsidRPr="00251B64">
              <w:rPr>
                <w:rFonts w:eastAsia="MS Mincho"/>
              </w:rPr>
              <w:t>Go</w:t>
            </w:r>
            <w:r w:rsidR="00BC7A82">
              <w:rPr>
                <w:rFonts w:eastAsia="MS Mincho"/>
              </w:rPr>
              <w:t>urlay</w:t>
            </w:r>
            <w:r w:rsidRPr="00251B64">
              <w:rPr>
                <w:rFonts w:eastAsia="MS Mincho"/>
              </w:rPr>
              <w:t xml:space="preserve"> (</w:t>
            </w:r>
            <w:r w:rsidR="00BC7A82">
              <w:rPr>
                <w:rFonts w:eastAsia="MS Mincho"/>
              </w:rPr>
              <w:t>1995</w:t>
            </w:r>
            <w:r w:rsidRPr="00251B64">
              <w:rPr>
                <w:rFonts w:eastAsia="MS Mincho"/>
              </w:rPr>
              <w:t>)</w:t>
            </w:r>
            <w:r w:rsidRPr="00251B64">
              <w:rPr>
                <w:rFonts w:eastAsia="MS Mincho"/>
                <w:vertAlign w:val="superscript"/>
              </w:rPr>
              <w:t>1</w:t>
            </w:r>
            <w:r w:rsidR="00A939AD">
              <w:rPr>
                <w:rFonts w:eastAsia="MS Mincho"/>
                <w:vertAlign w:val="superscript"/>
              </w:rPr>
              <w:t>,2</w:t>
            </w:r>
            <w:r w:rsidRPr="00251B64">
              <w:rPr>
                <w:rFonts w:eastAsia="MS Mincho"/>
              </w:rPr>
              <w:t xml:space="preserve"> </w:t>
            </w:r>
          </w:p>
        </w:tc>
        <w:tc>
          <w:tcPr>
            <w:tcW w:w="920" w:type="pct"/>
            <w:shd w:val="clear" w:color="auto" w:fill="auto"/>
            <w:vAlign w:val="center"/>
          </w:tcPr>
          <w:p w14:paraId="0B969CDC" w14:textId="77777777" w:rsidR="0070249F" w:rsidRPr="00251B64" w:rsidRDefault="0070249F" w:rsidP="0070249F">
            <w:pPr>
              <w:pStyle w:val="Tablewriting"/>
              <w:keepNext/>
              <w:jc w:val="center"/>
              <w:rPr>
                <w:rFonts w:eastAsia="MS Mincho"/>
              </w:rPr>
            </w:pPr>
            <w:r w:rsidRPr="00251B64">
              <w:rPr>
                <w:rFonts w:eastAsia="MS Mincho"/>
              </w:rPr>
              <w:t>RCT</w:t>
            </w:r>
          </w:p>
        </w:tc>
        <w:tc>
          <w:tcPr>
            <w:tcW w:w="850" w:type="pct"/>
            <w:shd w:val="clear" w:color="auto" w:fill="auto"/>
            <w:tcMar>
              <w:left w:w="28" w:type="dxa"/>
              <w:right w:w="28" w:type="dxa"/>
            </w:tcMar>
            <w:vAlign w:val="center"/>
          </w:tcPr>
          <w:p w14:paraId="2C0C6449" w14:textId="5C074D61" w:rsidR="0070249F" w:rsidRPr="00251B64" w:rsidRDefault="001900FF" w:rsidP="0070249F">
            <w:pPr>
              <w:pStyle w:val="Tablewriting"/>
              <w:keepNext/>
              <w:jc w:val="center"/>
              <w:rPr>
                <w:rFonts w:eastAsia="MS Mincho"/>
                <w:vertAlign w:val="superscript"/>
              </w:rPr>
            </w:pPr>
            <w:r>
              <w:rPr>
                <w:rFonts w:eastAsia="MS Mincho"/>
              </w:rPr>
              <w:t>5</w:t>
            </w:r>
            <w:r w:rsidR="0070249F" w:rsidRPr="00251B64">
              <w:rPr>
                <w:rFonts w:eastAsia="MS Mincho"/>
              </w:rPr>
              <w:t>/</w:t>
            </w:r>
            <w:r w:rsidR="00205540">
              <w:rPr>
                <w:rFonts w:eastAsia="MS Mincho"/>
              </w:rPr>
              <w:t>315</w:t>
            </w:r>
          </w:p>
          <w:p w14:paraId="72701F7B" w14:textId="1F307AF3" w:rsidR="0070249F" w:rsidRPr="00251B64" w:rsidRDefault="0070249F" w:rsidP="0070249F">
            <w:pPr>
              <w:pStyle w:val="Tablewriting"/>
              <w:keepNext/>
              <w:jc w:val="center"/>
              <w:rPr>
                <w:rFonts w:eastAsia="MS Mincho"/>
              </w:rPr>
            </w:pPr>
            <w:r w:rsidRPr="00251B64">
              <w:rPr>
                <w:rFonts w:eastAsia="MS Mincho"/>
              </w:rPr>
              <w:t>(</w:t>
            </w:r>
            <w:r w:rsidR="00494296">
              <w:rPr>
                <w:rFonts w:eastAsia="MS Mincho"/>
              </w:rPr>
              <w:t>1.6</w:t>
            </w:r>
            <w:r w:rsidRPr="00251B64">
              <w:rPr>
                <w:rFonts w:eastAsia="MS Mincho"/>
              </w:rPr>
              <w:t>%)</w:t>
            </w:r>
          </w:p>
        </w:tc>
        <w:tc>
          <w:tcPr>
            <w:tcW w:w="851" w:type="pct"/>
            <w:shd w:val="clear" w:color="auto" w:fill="auto"/>
            <w:tcMar>
              <w:left w:w="28" w:type="dxa"/>
              <w:right w:w="28" w:type="dxa"/>
            </w:tcMar>
            <w:vAlign w:val="center"/>
          </w:tcPr>
          <w:p w14:paraId="52749F27" w14:textId="21E987A8" w:rsidR="0070249F" w:rsidRPr="00251B64" w:rsidRDefault="001900FF" w:rsidP="0070249F">
            <w:pPr>
              <w:pStyle w:val="Tablewriting"/>
              <w:keepNext/>
              <w:jc w:val="center"/>
              <w:rPr>
                <w:rFonts w:eastAsia="MS Mincho"/>
              </w:rPr>
            </w:pPr>
            <w:r>
              <w:rPr>
                <w:rFonts w:eastAsia="MS Mincho"/>
              </w:rPr>
              <w:t>4</w:t>
            </w:r>
            <w:r w:rsidR="0070249F" w:rsidRPr="00251B64">
              <w:rPr>
                <w:rFonts w:eastAsia="MS Mincho"/>
              </w:rPr>
              <w:t>/</w:t>
            </w:r>
            <w:r w:rsidR="00205540">
              <w:rPr>
                <w:rFonts w:eastAsia="MS Mincho"/>
              </w:rPr>
              <w:t>314</w:t>
            </w:r>
          </w:p>
          <w:p w14:paraId="5F0A838B" w14:textId="17060788" w:rsidR="0070249F" w:rsidRPr="00251B64" w:rsidRDefault="0070249F" w:rsidP="0070249F">
            <w:pPr>
              <w:pStyle w:val="Tablewriting"/>
              <w:keepNext/>
              <w:jc w:val="center"/>
              <w:rPr>
                <w:rFonts w:eastAsia="MS Mincho"/>
              </w:rPr>
            </w:pPr>
            <w:r w:rsidRPr="00251B64">
              <w:rPr>
                <w:rFonts w:eastAsia="MS Mincho"/>
              </w:rPr>
              <w:t>(</w:t>
            </w:r>
            <w:r w:rsidR="00494296">
              <w:rPr>
                <w:rFonts w:eastAsia="MS Mincho"/>
              </w:rPr>
              <w:t>1.3</w:t>
            </w:r>
            <w:r w:rsidRPr="00251B64">
              <w:rPr>
                <w:rFonts w:eastAsia="MS Mincho"/>
              </w:rPr>
              <w:t>%)</w:t>
            </w:r>
          </w:p>
        </w:tc>
        <w:tc>
          <w:tcPr>
            <w:tcW w:w="851" w:type="pct"/>
            <w:shd w:val="clear" w:color="auto" w:fill="auto"/>
            <w:tcMar>
              <w:left w:w="28" w:type="dxa"/>
              <w:right w:w="28" w:type="dxa"/>
            </w:tcMar>
            <w:vAlign w:val="center"/>
          </w:tcPr>
          <w:p w14:paraId="2E4A6AEE" w14:textId="5D5BBB87" w:rsidR="0070249F" w:rsidRDefault="00A939AD" w:rsidP="0070249F">
            <w:pPr>
              <w:pStyle w:val="Tablewriting"/>
              <w:keepNext/>
              <w:jc w:val="center"/>
              <w:rPr>
                <w:rFonts w:eastAsia="MS Mincho"/>
              </w:rPr>
            </w:pPr>
            <w:r>
              <w:rPr>
                <w:rFonts w:eastAsia="MS Mincho"/>
              </w:rPr>
              <w:t>1.</w:t>
            </w:r>
            <w:r w:rsidR="00860A43">
              <w:rPr>
                <w:rFonts w:eastAsia="MS Mincho"/>
              </w:rPr>
              <w:t>25</w:t>
            </w:r>
          </w:p>
          <w:p w14:paraId="1547243C" w14:textId="2336230E" w:rsidR="0070249F" w:rsidRPr="00D56406" w:rsidRDefault="00A939AD" w:rsidP="0070249F">
            <w:pPr>
              <w:pStyle w:val="Tablewriting"/>
              <w:keepNext/>
              <w:jc w:val="center"/>
              <w:rPr>
                <w:rFonts w:eastAsia="MS Mincho"/>
              </w:rPr>
            </w:pPr>
            <w:r>
              <w:rPr>
                <w:rFonts w:eastAsia="MS Mincho"/>
              </w:rPr>
              <w:t>(0.</w:t>
            </w:r>
            <w:r w:rsidR="00860A43">
              <w:rPr>
                <w:rFonts w:eastAsia="MS Mincho"/>
              </w:rPr>
              <w:t>34</w:t>
            </w:r>
            <w:r>
              <w:rPr>
                <w:rFonts w:eastAsia="MS Mincho"/>
              </w:rPr>
              <w:t xml:space="preserve">, </w:t>
            </w:r>
            <w:r w:rsidR="00860A43">
              <w:rPr>
                <w:rFonts w:eastAsia="MS Mincho"/>
              </w:rPr>
              <w:t>4.60</w:t>
            </w:r>
            <w:r>
              <w:rPr>
                <w:rFonts w:eastAsia="MS Mincho"/>
              </w:rPr>
              <w:t>)</w:t>
            </w:r>
          </w:p>
        </w:tc>
        <w:tc>
          <w:tcPr>
            <w:tcW w:w="807" w:type="pct"/>
            <w:shd w:val="clear" w:color="auto" w:fill="auto"/>
            <w:vAlign w:val="center"/>
          </w:tcPr>
          <w:p w14:paraId="6BEE3ACD" w14:textId="6EEB90F9" w:rsidR="0070249F" w:rsidRDefault="00A939AD" w:rsidP="0070249F">
            <w:pPr>
              <w:pStyle w:val="Tablewriting"/>
              <w:keepNext/>
              <w:jc w:val="center"/>
              <w:rPr>
                <w:rFonts w:eastAsia="MS Mincho"/>
              </w:rPr>
            </w:pPr>
            <w:r>
              <w:rPr>
                <w:rFonts w:eastAsia="MS Mincho"/>
              </w:rPr>
              <w:t>0.00</w:t>
            </w:r>
          </w:p>
          <w:p w14:paraId="6545DBF9" w14:textId="608C3370" w:rsidR="0070249F" w:rsidRPr="00D56406" w:rsidRDefault="00A939AD" w:rsidP="0070249F">
            <w:pPr>
              <w:pStyle w:val="Tablewriting"/>
              <w:keepNext/>
              <w:jc w:val="center"/>
              <w:rPr>
                <w:rFonts w:eastAsia="MS Mincho"/>
              </w:rPr>
            </w:pPr>
            <w:r>
              <w:rPr>
                <w:rFonts w:eastAsia="MS Mincho"/>
              </w:rPr>
              <w:t>(-0.0</w:t>
            </w:r>
            <w:r w:rsidR="00860A43">
              <w:rPr>
                <w:rFonts w:eastAsia="MS Mincho"/>
              </w:rPr>
              <w:t>2</w:t>
            </w:r>
            <w:r>
              <w:rPr>
                <w:rFonts w:eastAsia="MS Mincho"/>
              </w:rPr>
              <w:t>, 0.0</w:t>
            </w:r>
            <w:r w:rsidR="00860A43">
              <w:rPr>
                <w:rFonts w:eastAsia="MS Mincho"/>
              </w:rPr>
              <w:t>2</w:t>
            </w:r>
            <w:r>
              <w:rPr>
                <w:rFonts w:eastAsia="MS Mincho"/>
              </w:rPr>
              <w:t>)</w:t>
            </w:r>
          </w:p>
        </w:tc>
      </w:tr>
    </w:tbl>
    <w:p w14:paraId="0BA07B83" w14:textId="37756BBA" w:rsidR="005417BD" w:rsidRDefault="005417BD" w:rsidP="005417BD">
      <w:pPr>
        <w:pStyle w:val="TableFooter"/>
        <w:keepNext/>
      </w:pPr>
      <w:r>
        <w:t>Source: Hartmann-Boyce et al. (2018) and Gourlay et al. (1995)</w:t>
      </w:r>
    </w:p>
    <w:p w14:paraId="26AEFA7A" w14:textId="77777777" w:rsidR="005417BD" w:rsidRDefault="005417BD" w:rsidP="005417BD">
      <w:pPr>
        <w:pStyle w:val="TableFooter"/>
        <w:keepNext/>
        <w:rPr>
          <w:i/>
        </w:rPr>
      </w:pPr>
      <w:r>
        <w:t>Abbreviations: CI = confidence interval; RCT = randomised controlled trial; RR = risk ratio</w:t>
      </w:r>
      <w:r w:rsidRPr="00061F78">
        <w:t xml:space="preserve"> </w:t>
      </w:r>
    </w:p>
    <w:p w14:paraId="21CBE267" w14:textId="51561641" w:rsidR="005417BD" w:rsidRDefault="005417BD" w:rsidP="005417BD">
      <w:pPr>
        <w:pStyle w:val="TableFooter"/>
        <w:keepNext/>
      </w:pPr>
      <w:r w:rsidRPr="00D468CF">
        <w:t>Note</w:t>
      </w:r>
      <w:r>
        <w:t>s</w:t>
      </w:r>
      <w:r w:rsidRPr="00D468CF">
        <w:t>: Bold indicates statistically significant difference.</w:t>
      </w:r>
      <w:r>
        <w:br/>
        <w:t xml:space="preserve">1 Continuous abstinence rate at </w:t>
      </w:r>
      <w:r w:rsidR="00BC2232">
        <w:t>six</w:t>
      </w:r>
      <w:r>
        <w:t xml:space="preserve"> months (</w:t>
      </w:r>
      <w:r w:rsidR="00CC304C">
        <w:t xml:space="preserve">Quit day to </w:t>
      </w:r>
      <w:r w:rsidR="00D562FA">
        <w:t>w</w:t>
      </w:r>
      <w:r w:rsidRPr="004A7BDC">
        <w:t xml:space="preserve">eek </w:t>
      </w:r>
      <w:r w:rsidR="00CC304C">
        <w:t>26</w:t>
      </w:r>
      <w:r>
        <w:t>)</w:t>
      </w:r>
      <w:r w:rsidR="00AB5FA3">
        <w:t>.</w:t>
      </w:r>
    </w:p>
    <w:p w14:paraId="625D7562" w14:textId="2442E0EC" w:rsidR="00A939AD" w:rsidRDefault="00A939AD" w:rsidP="00FC2387">
      <w:pPr>
        <w:pStyle w:val="TableFooter"/>
        <w:keepNext/>
        <w:spacing w:after="120"/>
        <w:contextualSpacing w:val="0"/>
        <w:jc w:val="both"/>
      </w:pPr>
      <w:r>
        <w:t>2 Calculated during the review</w:t>
      </w:r>
      <w:r w:rsidR="00AB5FA3">
        <w:t>.</w:t>
      </w:r>
    </w:p>
    <w:p w14:paraId="126F787A" w14:textId="77777777" w:rsidR="00D52359" w:rsidRPr="0073597F" w:rsidRDefault="00D52359" w:rsidP="00FC2387">
      <w:pPr>
        <w:spacing w:after="120"/>
        <w:jc w:val="both"/>
        <w:rPr>
          <w:u w:val="single"/>
        </w:rPr>
      </w:pPr>
      <w:r w:rsidRPr="0073597F">
        <w:rPr>
          <w:u w:val="single"/>
        </w:rPr>
        <w:t>Safety</w:t>
      </w:r>
    </w:p>
    <w:p w14:paraId="596D91D9" w14:textId="5433E34D" w:rsidR="00D52359" w:rsidRDefault="00D52359" w:rsidP="00FC2387">
      <w:pPr>
        <w:spacing w:after="120"/>
        <w:jc w:val="both"/>
      </w:pPr>
      <w:r w:rsidRPr="00F423F8">
        <w:t xml:space="preserve">The incidence of adverse events comparing </w:t>
      </w:r>
      <w:r w:rsidR="00AB2ACB">
        <w:t>NRT</w:t>
      </w:r>
      <w:r>
        <w:t xml:space="preserve"> with placebo in non-abstainers as retreatment</w:t>
      </w:r>
      <w:r w:rsidRPr="00F423F8">
        <w:t xml:space="preserve"> was not synthesised quantitatively by </w:t>
      </w:r>
      <w:r>
        <w:t>H</w:t>
      </w:r>
      <w:r w:rsidR="00AB2ACB">
        <w:t>artmann-Boyce</w:t>
      </w:r>
      <w:r w:rsidRPr="002C1625">
        <w:t xml:space="preserve"> et al. (20</w:t>
      </w:r>
      <w:r w:rsidR="00AB2ACB">
        <w:t>18</w:t>
      </w:r>
      <w:r w:rsidRPr="002C1625">
        <w:t>)</w:t>
      </w:r>
      <w:r w:rsidRPr="00F423F8">
        <w:t>.</w:t>
      </w:r>
      <w:r>
        <w:t xml:space="preserve"> It was noted that the safety results of Go</w:t>
      </w:r>
      <w:r w:rsidR="00332315">
        <w:t>urlay</w:t>
      </w:r>
      <w:r>
        <w:t xml:space="preserve"> et al. (</w:t>
      </w:r>
      <w:r w:rsidR="00332315">
        <w:t>1995</w:t>
      </w:r>
      <w:r>
        <w:t xml:space="preserve">) were included in the general safety analysis of </w:t>
      </w:r>
      <w:r w:rsidR="00AB2ACB">
        <w:t>NRT</w:t>
      </w:r>
      <w:r>
        <w:t xml:space="preserve"> versus placebo conducted by H</w:t>
      </w:r>
      <w:r w:rsidR="00291B11">
        <w:t>artmann-Boyce</w:t>
      </w:r>
      <w:r>
        <w:t xml:space="preserve"> et al. (20</w:t>
      </w:r>
      <w:r w:rsidR="00291B11">
        <w:t>18</w:t>
      </w:r>
      <w:r>
        <w:t xml:space="preserve">), </w:t>
      </w:r>
      <w:r w:rsidR="00491FB0">
        <w:t>as</w:t>
      </w:r>
      <w:r>
        <w:t xml:space="preserve"> presented in the treatment-naïve population section.</w:t>
      </w:r>
    </w:p>
    <w:p w14:paraId="378144E8" w14:textId="604CA47D" w:rsidR="00E77D6A" w:rsidRDefault="00E77D6A" w:rsidP="00FC2387">
      <w:pPr>
        <w:spacing w:after="120"/>
        <w:jc w:val="both"/>
      </w:pPr>
      <w:r w:rsidRPr="00E77D6A">
        <w:t>Based on the study by Go</w:t>
      </w:r>
      <w:r>
        <w:t>urlay</w:t>
      </w:r>
      <w:r w:rsidRPr="00E77D6A">
        <w:t xml:space="preserve"> et al. (</w:t>
      </w:r>
      <w:r>
        <w:t>1995</w:t>
      </w:r>
      <w:r w:rsidRPr="00E77D6A">
        <w:t xml:space="preserve">), </w:t>
      </w:r>
      <w:r w:rsidR="004629CA">
        <w:t>t</w:t>
      </w:r>
      <w:r w:rsidR="004629CA" w:rsidRPr="004629CA">
        <w:t>here were no statistically significant differences between the two treatment arms</w:t>
      </w:r>
      <w:r w:rsidR="004629CA">
        <w:t xml:space="preserve"> for </w:t>
      </w:r>
      <w:r w:rsidR="004629CA" w:rsidRPr="004629CA">
        <w:t xml:space="preserve">palpitations, </w:t>
      </w:r>
      <w:r w:rsidR="00826C95" w:rsidRPr="004629CA">
        <w:t>tachycardia,</w:t>
      </w:r>
      <w:r w:rsidR="004629CA" w:rsidRPr="004629CA">
        <w:t xml:space="preserve"> or chest pain</w:t>
      </w:r>
      <w:r w:rsidR="002B57EA">
        <w:t xml:space="preserve">, although a </w:t>
      </w:r>
      <w:r w:rsidR="00FF6D45">
        <w:t xml:space="preserve">numerically </w:t>
      </w:r>
      <w:r w:rsidR="002B57EA">
        <w:t>higher incidence</w:t>
      </w:r>
      <w:r w:rsidR="00FF6D45">
        <w:t xml:space="preserve"> rate</w:t>
      </w:r>
      <w:r w:rsidR="002B57EA">
        <w:t xml:space="preserve"> was observed in the NRT </w:t>
      </w:r>
      <w:r w:rsidR="00573F59">
        <w:t>patches</w:t>
      </w:r>
      <w:r w:rsidR="002B57EA">
        <w:t xml:space="preserve"> arm</w:t>
      </w:r>
      <w:r w:rsidR="004629CA" w:rsidRPr="004629CA">
        <w:t xml:space="preserve"> </w:t>
      </w:r>
      <w:r w:rsidRPr="00E77D6A">
        <w:t>(</w:t>
      </w:r>
      <w:r w:rsidR="00AB53C1">
        <w:fldChar w:fldCharType="begin" w:fldLock="1"/>
      </w:r>
      <w:r w:rsidR="00AB53C1">
        <w:instrText xml:space="preserve"> REF _Ref55396884 \h </w:instrText>
      </w:r>
      <w:r w:rsidR="00AB53C1">
        <w:fldChar w:fldCharType="separate"/>
      </w:r>
      <w:r w:rsidR="00EC5CC7">
        <w:t xml:space="preserve">Table </w:t>
      </w:r>
      <w:r w:rsidR="00EC5CC7">
        <w:rPr>
          <w:noProof/>
        </w:rPr>
        <w:t>52</w:t>
      </w:r>
      <w:r w:rsidR="00AB53C1">
        <w:fldChar w:fldCharType="end"/>
      </w:r>
      <w:r w:rsidRPr="00E77D6A">
        <w:t xml:space="preserve">). </w:t>
      </w:r>
    </w:p>
    <w:p w14:paraId="4528376D" w14:textId="7B1F1A78" w:rsidR="00445E2E" w:rsidRDefault="00445E2E" w:rsidP="00FC2387">
      <w:pPr>
        <w:pStyle w:val="Caption"/>
        <w:keepNext/>
        <w:spacing w:before="0" w:after="120"/>
        <w:jc w:val="both"/>
      </w:pPr>
      <w:bookmarkStart w:id="102" w:name="_Ref55396884"/>
      <w:r>
        <w:t xml:space="preserve">Table </w:t>
      </w:r>
      <w:r w:rsidR="00BF3F75">
        <w:fldChar w:fldCharType="begin"/>
      </w:r>
      <w:r w:rsidR="00BF3F75">
        <w:instrText xml:space="preserve"> SEQ Table \* ARABIC </w:instrText>
      </w:r>
      <w:r w:rsidR="00BF3F75">
        <w:fldChar w:fldCharType="separate"/>
      </w:r>
      <w:r w:rsidR="00EC5CC7">
        <w:rPr>
          <w:noProof/>
        </w:rPr>
        <w:t>52</w:t>
      </w:r>
      <w:r w:rsidR="00BF3F75">
        <w:rPr>
          <w:noProof/>
        </w:rPr>
        <w:fldChar w:fldCharType="end"/>
      </w:r>
      <w:bookmarkEnd w:id="102"/>
      <w:r>
        <w:t xml:space="preserve">: </w:t>
      </w:r>
      <w:r w:rsidRPr="002D314D">
        <w:t xml:space="preserve">Results of palpitations or chest pains in </w:t>
      </w:r>
      <w:r>
        <w:t>Gourlay</w:t>
      </w:r>
      <w:r w:rsidRPr="002D314D">
        <w:t xml:space="preserve"> et al. (</w:t>
      </w:r>
      <w:r>
        <w:t>1995</w:t>
      </w:r>
      <w:r w:rsidRPr="002D314D">
        <w:t>), NRT</w:t>
      </w:r>
      <w:r>
        <w:t xml:space="preserve"> patch</w:t>
      </w:r>
      <w:r w:rsidRPr="002D314D">
        <w:t xml:space="preserve"> versus placebo</w:t>
      </w:r>
      <w:r w:rsidR="00DC7A3C">
        <w:t xml:space="preserve"> </w:t>
      </w:r>
      <w:r w:rsidR="00DC7A3C" w:rsidRPr="009A0BAA">
        <w:t>in non-abstainers as retreatment</w:t>
      </w:r>
    </w:p>
    <w:tbl>
      <w:tblPr>
        <w:tblStyle w:val="TableGrid"/>
        <w:tblW w:w="5000" w:type="pct"/>
        <w:tblLook w:val="04A0" w:firstRow="1" w:lastRow="0" w:firstColumn="1" w:lastColumn="0" w:noHBand="0" w:noVBand="1"/>
        <w:tblCaption w:val="Efficacy results of adalimumab trials (PASI 75 and DLQI)"/>
      </w:tblPr>
      <w:tblGrid>
        <w:gridCol w:w="2958"/>
        <w:gridCol w:w="1533"/>
        <w:gridCol w:w="1535"/>
        <w:gridCol w:w="1535"/>
        <w:gridCol w:w="1455"/>
      </w:tblGrid>
      <w:tr w:rsidR="00445E2E" w:rsidRPr="00061F78" w14:paraId="200AE91A" w14:textId="77777777" w:rsidTr="0025105B">
        <w:trPr>
          <w:cantSplit/>
          <w:trHeight w:val="299"/>
          <w:tblHeader/>
        </w:trPr>
        <w:tc>
          <w:tcPr>
            <w:tcW w:w="1641" w:type="pct"/>
            <w:shd w:val="clear" w:color="auto" w:fill="BFBFBF" w:themeFill="background1" w:themeFillShade="BF"/>
            <w:tcMar>
              <w:left w:w="28" w:type="dxa"/>
              <w:right w:w="28" w:type="dxa"/>
            </w:tcMar>
          </w:tcPr>
          <w:p w14:paraId="6227F0AC" w14:textId="77777777" w:rsidR="00445E2E" w:rsidRDefault="00445E2E" w:rsidP="0025105B">
            <w:pPr>
              <w:pStyle w:val="Tableheading"/>
              <w:keepNext/>
              <w:rPr>
                <w:rFonts w:eastAsia="MS Mincho"/>
              </w:rPr>
            </w:pPr>
            <w:r>
              <w:rPr>
                <w:rFonts w:eastAsia="MS Mincho"/>
              </w:rPr>
              <w:t>Outcome</w:t>
            </w:r>
          </w:p>
        </w:tc>
        <w:tc>
          <w:tcPr>
            <w:tcW w:w="850" w:type="pct"/>
            <w:shd w:val="clear" w:color="auto" w:fill="BFBFBF" w:themeFill="background1" w:themeFillShade="BF"/>
            <w:tcMar>
              <w:left w:w="28" w:type="dxa"/>
              <w:right w:w="28" w:type="dxa"/>
            </w:tcMar>
            <w:vAlign w:val="center"/>
          </w:tcPr>
          <w:p w14:paraId="3148E5FB" w14:textId="695595D6" w:rsidR="00445E2E" w:rsidRPr="00061F78" w:rsidRDefault="00CC2947" w:rsidP="0025105B">
            <w:pPr>
              <w:pStyle w:val="Tableheading"/>
              <w:keepNext/>
              <w:jc w:val="center"/>
              <w:rPr>
                <w:rFonts w:eastAsia="MS Mincho"/>
              </w:rPr>
            </w:pPr>
            <w:r>
              <w:rPr>
                <w:rFonts w:eastAsia="MS Mincho"/>
              </w:rPr>
              <w:t>NRT patch</w:t>
            </w:r>
          </w:p>
        </w:tc>
        <w:tc>
          <w:tcPr>
            <w:tcW w:w="851" w:type="pct"/>
            <w:shd w:val="clear" w:color="auto" w:fill="BFBFBF" w:themeFill="background1" w:themeFillShade="BF"/>
            <w:tcMar>
              <w:left w:w="28" w:type="dxa"/>
              <w:right w:w="28" w:type="dxa"/>
            </w:tcMar>
            <w:vAlign w:val="center"/>
          </w:tcPr>
          <w:p w14:paraId="54AB8C73" w14:textId="77777777" w:rsidR="00445E2E" w:rsidRPr="00061F78" w:rsidRDefault="00445E2E" w:rsidP="0025105B">
            <w:pPr>
              <w:pStyle w:val="Tableheading"/>
              <w:keepNext/>
              <w:jc w:val="center"/>
              <w:rPr>
                <w:rFonts w:eastAsia="MS Mincho"/>
              </w:rPr>
            </w:pPr>
            <w:r w:rsidRPr="00061F78">
              <w:rPr>
                <w:rFonts w:eastAsia="MS Mincho"/>
              </w:rPr>
              <w:t>Placebo</w:t>
            </w:r>
          </w:p>
        </w:tc>
        <w:tc>
          <w:tcPr>
            <w:tcW w:w="851" w:type="pct"/>
            <w:shd w:val="clear" w:color="auto" w:fill="BFBFBF" w:themeFill="background1" w:themeFillShade="BF"/>
            <w:tcMar>
              <w:left w:w="28" w:type="dxa"/>
              <w:right w:w="28" w:type="dxa"/>
            </w:tcMar>
            <w:vAlign w:val="center"/>
          </w:tcPr>
          <w:p w14:paraId="5437EF71" w14:textId="77777777" w:rsidR="00445E2E" w:rsidRPr="00D468CF" w:rsidRDefault="00445E2E" w:rsidP="0025105B">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00E9AFD3" w14:textId="77777777" w:rsidR="00445E2E" w:rsidRDefault="00445E2E" w:rsidP="0025105B">
            <w:pPr>
              <w:pStyle w:val="Tableheading"/>
              <w:keepNext/>
              <w:jc w:val="center"/>
              <w:rPr>
                <w:rFonts w:eastAsia="MS Mincho"/>
              </w:rPr>
            </w:pPr>
            <w:r>
              <w:rPr>
                <w:rFonts w:eastAsia="MS Mincho"/>
              </w:rPr>
              <w:t>RD (95% CI)</w:t>
            </w:r>
          </w:p>
        </w:tc>
      </w:tr>
      <w:tr w:rsidR="00445E2E" w:rsidRPr="00061F78" w14:paraId="4D1C9303" w14:textId="77777777" w:rsidTr="0025105B">
        <w:trPr>
          <w:cantSplit/>
          <w:trHeight w:val="99"/>
        </w:trPr>
        <w:tc>
          <w:tcPr>
            <w:tcW w:w="1641" w:type="pct"/>
            <w:shd w:val="clear" w:color="auto" w:fill="auto"/>
            <w:tcMar>
              <w:left w:w="28" w:type="dxa"/>
              <w:right w:w="28" w:type="dxa"/>
            </w:tcMar>
          </w:tcPr>
          <w:p w14:paraId="5D9D4DCE" w14:textId="204C4438" w:rsidR="00445E2E" w:rsidRPr="000345E0" w:rsidRDefault="00445E2E" w:rsidP="0025105B">
            <w:pPr>
              <w:pStyle w:val="Tablewriting"/>
              <w:keepNext/>
              <w:rPr>
                <w:rFonts w:eastAsia="MS Mincho"/>
                <w:vertAlign w:val="superscript"/>
              </w:rPr>
            </w:pPr>
            <w:r>
              <w:rPr>
                <w:rFonts w:eastAsia="MS Mincho"/>
              </w:rPr>
              <w:t>Palpitations</w:t>
            </w:r>
            <w:r w:rsidR="00544265">
              <w:rPr>
                <w:rFonts w:eastAsia="MS Mincho"/>
              </w:rPr>
              <w:t xml:space="preserve"> or chest pain</w:t>
            </w:r>
            <w:r w:rsidR="000345E0">
              <w:rPr>
                <w:rFonts w:eastAsia="MS Mincho"/>
                <w:vertAlign w:val="superscript"/>
              </w:rPr>
              <w:t>1</w:t>
            </w:r>
          </w:p>
        </w:tc>
        <w:tc>
          <w:tcPr>
            <w:tcW w:w="850" w:type="pct"/>
            <w:shd w:val="clear" w:color="auto" w:fill="auto"/>
            <w:tcMar>
              <w:left w:w="28" w:type="dxa"/>
              <w:right w:w="28" w:type="dxa"/>
            </w:tcMar>
            <w:vAlign w:val="center"/>
          </w:tcPr>
          <w:p w14:paraId="76BEC87D" w14:textId="45C1900A" w:rsidR="00445E2E" w:rsidRPr="00F423F8" w:rsidRDefault="00CC2947" w:rsidP="0025105B">
            <w:pPr>
              <w:pStyle w:val="Tablewriting"/>
              <w:keepNext/>
              <w:jc w:val="center"/>
              <w:rPr>
                <w:rFonts w:eastAsia="MS Mincho"/>
                <w:vertAlign w:val="superscript"/>
              </w:rPr>
            </w:pPr>
            <w:r>
              <w:rPr>
                <w:rFonts w:eastAsia="MS Mincho"/>
              </w:rPr>
              <w:t>5</w:t>
            </w:r>
            <w:r w:rsidR="00445E2E">
              <w:rPr>
                <w:rFonts w:eastAsia="MS Mincho"/>
              </w:rPr>
              <w:t>/</w:t>
            </w:r>
            <w:r>
              <w:rPr>
                <w:rFonts w:eastAsia="MS Mincho"/>
              </w:rPr>
              <w:t>179</w:t>
            </w:r>
          </w:p>
          <w:p w14:paraId="101E541B" w14:textId="777C2AF8" w:rsidR="00445E2E" w:rsidRDefault="00445E2E" w:rsidP="0025105B">
            <w:pPr>
              <w:pStyle w:val="Tablewriting"/>
              <w:keepNext/>
              <w:jc w:val="center"/>
              <w:rPr>
                <w:rFonts w:eastAsia="MS Mincho"/>
              </w:rPr>
            </w:pPr>
            <w:r>
              <w:rPr>
                <w:rFonts w:eastAsia="MS Mincho"/>
              </w:rPr>
              <w:t>(</w:t>
            </w:r>
            <w:r w:rsidR="00696B89">
              <w:rPr>
                <w:rFonts w:eastAsia="MS Mincho"/>
              </w:rPr>
              <w:t>2.8</w:t>
            </w:r>
            <w:r>
              <w:rPr>
                <w:rFonts w:eastAsia="MS Mincho"/>
              </w:rPr>
              <w:t>%)</w:t>
            </w:r>
          </w:p>
        </w:tc>
        <w:tc>
          <w:tcPr>
            <w:tcW w:w="851" w:type="pct"/>
            <w:shd w:val="clear" w:color="auto" w:fill="auto"/>
            <w:tcMar>
              <w:left w:w="28" w:type="dxa"/>
              <w:right w:w="28" w:type="dxa"/>
            </w:tcMar>
            <w:vAlign w:val="center"/>
          </w:tcPr>
          <w:p w14:paraId="768D4A79" w14:textId="7CE4AFA4" w:rsidR="00445E2E" w:rsidRDefault="00CC2947" w:rsidP="0025105B">
            <w:pPr>
              <w:pStyle w:val="Tablewriting"/>
              <w:keepNext/>
              <w:jc w:val="center"/>
              <w:rPr>
                <w:rFonts w:eastAsia="MS Mincho"/>
              </w:rPr>
            </w:pPr>
            <w:r>
              <w:rPr>
                <w:rFonts w:eastAsia="MS Mincho"/>
              </w:rPr>
              <w:t>3</w:t>
            </w:r>
            <w:r w:rsidR="00445E2E">
              <w:rPr>
                <w:rFonts w:eastAsia="MS Mincho"/>
              </w:rPr>
              <w:t>/</w:t>
            </w:r>
            <w:r>
              <w:rPr>
                <w:rFonts w:eastAsia="MS Mincho"/>
              </w:rPr>
              <w:t>143</w:t>
            </w:r>
          </w:p>
          <w:p w14:paraId="256F0CC7" w14:textId="297F3A02" w:rsidR="00445E2E" w:rsidRDefault="00445E2E" w:rsidP="0025105B">
            <w:pPr>
              <w:pStyle w:val="Tablewriting"/>
              <w:keepNext/>
              <w:jc w:val="center"/>
              <w:rPr>
                <w:rFonts w:eastAsia="MS Mincho"/>
              </w:rPr>
            </w:pPr>
            <w:r>
              <w:rPr>
                <w:rFonts w:eastAsia="MS Mincho"/>
              </w:rPr>
              <w:t>(</w:t>
            </w:r>
            <w:r w:rsidR="00E77D6A">
              <w:rPr>
                <w:rFonts w:eastAsia="MS Mincho"/>
              </w:rPr>
              <w:t>2.1</w:t>
            </w:r>
            <w:r>
              <w:rPr>
                <w:rFonts w:eastAsia="MS Mincho"/>
              </w:rPr>
              <w:t>%)</w:t>
            </w:r>
          </w:p>
        </w:tc>
        <w:tc>
          <w:tcPr>
            <w:tcW w:w="851" w:type="pct"/>
            <w:shd w:val="clear" w:color="auto" w:fill="auto"/>
            <w:tcMar>
              <w:left w:w="28" w:type="dxa"/>
              <w:right w:w="28" w:type="dxa"/>
            </w:tcMar>
            <w:vAlign w:val="center"/>
          </w:tcPr>
          <w:p w14:paraId="7543E0DE" w14:textId="49903769" w:rsidR="00445E2E" w:rsidRPr="00D56406" w:rsidRDefault="00D56406" w:rsidP="0025105B">
            <w:pPr>
              <w:pStyle w:val="Tablewriting"/>
              <w:keepNext/>
              <w:jc w:val="center"/>
              <w:rPr>
                <w:rFonts w:eastAsia="MS Mincho"/>
              </w:rPr>
            </w:pPr>
            <w:r w:rsidRPr="00D56406">
              <w:rPr>
                <w:rFonts w:eastAsia="MS Mincho"/>
              </w:rPr>
              <w:t>1.3</w:t>
            </w:r>
            <w:r w:rsidR="000345E0">
              <w:rPr>
                <w:rFonts w:eastAsia="MS Mincho"/>
              </w:rPr>
              <w:t>3</w:t>
            </w:r>
          </w:p>
          <w:p w14:paraId="214F673C" w14:textId="20D4E074" w:rsidR="00D56406" w:rsidRPr="00F360FD" w:rsidRDefault="00D56406" w:rsidP="0025105B">
            <w:pPr>
              <w:pStyle w:val="Tablewriting"/>
              <w:keepNext/>
              <w:jc w:val="center"/>
              <w:rPr>
                <w:rFonts w:eastAsia="MS Mincho"/>
                <w:b/>
              </w:rPr>
            </w:pPr>
            <w:r w:rsidRPr="00D56406">
              <w:rPr>
                <w:rFonts w:eastAsia="MS Mincho"/>
              </w:rPr>
              <w:t>(0.32, 5.</w:t>
            </w:r>
            <w:r w:rsidR="000345E0">
              <w:rPr>
                <w:rFonts w:eastAsia="MS Mincho"/>
              </w:rPr>
              <w:t>48</w:t>
            </w:r>
            <w:r w:rsidRPr="00D56406">
              <w:rPr>
                <w:rFonts w:eastAsia="MS Mincho"/>
              </w:rPr>
              <w:t>)</w:t>
            </w:r>
          </w:p>
        </w:tc>
        <w:tc>
          <w:tcPr>
            <w:tcW w:w="807" w:type="pct"/>
            <w:shd w:val="clear" w:color="auto" w:fill="auto"/>
            <w:vAlign w:val="center"/>
          </w:tcPr>
          <w:p w14:paraId="0D92D3DC" w14:textId="77777777" w:rsidR="00445E2E" w:rsidRDefault="000345E0" w:rsidP="0025105B">
            <w:pPr>
              <w:pStyle w:val="Tablewriting"/>
              <w:keepNext/>
              <w:jc w:val="center"/>
              <w:rPr>
                <w:rFonts w:eastAsia="MS Mincho"/>
              </w:rPr>
            </w:pPr>
            <w:r>
              <w:rPr>
                <w:rFonts w:eastAsia="MS Mincho"/>
              </w:rPr>
              <w:t>0.01</w:t>
            </w:r>
          </w:p>
          <w:p w14:paraId="7E38337F" w14:textId="7413ABA4" w:rsidR="00445E2E" w:rsidRPr="00061F78" w:rsidRDefault="000345E0" w:rsidP="0025105B">
            <w:pPr>
              <w:pStyle w:val="Tablewriting"/>
              <w:keepNext/>
              <w:jc w:val="center"/>
              <w:rPr>
                <w:rFonts w:eastAsia="MS Mincho"/>
              </w:rPr>
            </w:pPr>
            <w:r>
              <w:rPr>
                <w:rFonts w:eastAsia="MS Mincho"/>
              </w:rPr>
              <w:t>(-0.03, 0.04)</w:t>
            </w:r>
          </w:p>
        </w:tc>
      </w:tr>
    </w:tbl>
    <w:p w14:paraId="3EF81A17" w14:textId="77777777" w:rsidR="00D56406" w:rsidRDefault="00D56406" w:rsidP="00D56406">
      <w:pPr>
        <w:pStyle w:val="TableFooter"/>
        <w:keepNext/>
      </w:pPr>
      <w:r>
        <w:t>Source: Hartmann-Boyce et al. (2018) and Gourlay et al. (1995)</w:t>
      </w:r>
    </w:p>
    <w:p w14:paraId="4F0DB308" w14:textId="77777777" w:rsidR="00D56406" w:rsidRDefault="00D56406" w:rsidP="00D56406">
      <w:pPr>
        <w:pStyle w:val="TableFooter"/>
        <w:keepNext/>
        <w:rPr>
          <w:i/>
        </w:rPr>
      </w:pPr>
      <w:r>
        <w:t>Abbreviations: CI = confidence interval; RCT = randomised controlled trial; RR = risk ratio</w:t>
      </w:r>
      <w:r w:rsidRPr="00061F78">
        <w:t xml:space="preserve"> </w:t>
      </w:r>
    </w:p>
    <w:p w14:paraId="09482B4F" w14:textId="473DBE46" w:rsidR="00D22260" w:rsidRDefault="00D56406" w:rsidP="00D013A0">
      <w:pPr>
        <w:pStyle w:val="TableFooter"/>
        <w:keepNext/>
      </w:pPr>
      <w:r w:rsidRPr="00D468CF">
        <w:t>Note</w:t>
      </w:r>
      <w:r>
        <w:t>s</w:t>
      </w:r>
      <w:r w:rsidRPr="00D468CF">
        <w:t>: Bold indicates statistically significant difference.</w:t>
      </w:r>
    </w:p>
    <w:p w14:paraId="26B94FEF" w14:textId="18BB7A3F" w:rsidR="000345E0" w:rsidRDefault="000345E0" w:rsidP="00FC2387">
      <w:pPr>
        <w:pStyle w:val="TableFooter"/>
        <w:keepNext/>
        <w:spacing w:after="120"/>
        <w:contextualSpacing w:val="0"/>
        <w:jc w:val="both"/>
      </w:pPr>
      <w:r>
        <w:t>1 Calculated during the review</w:t>
      </w:r>
      <w:r w:rsidR="00AB5FA3">
        <w:t>.</w:t>
      </w:r>
    </w:p>
    <w:p w14:paraId="5346C4FB" w14:textId="575E3869" w:rsidR="00D22260" w:rsidRDefault="00E800F8" w:rsidP="00FC2387">
      <w:pPr>
        <w:pStyle w:val="Heading4"/>
        <w:numPr>
          <w:ilvl w:val="0"/>
          <w:numId w:val="0"/>
        </w:numPr>
        <w:spacing w:after="120"/>
        <w:jc w:val="both"/>
      </w:pPr>
      <w:r>
        <w:t>Summary of evidence for monotherapy</w:t>
      </w:r>
    </w:p>
    <w:p w14:paraId="2130480F" w14:textId="48C54722" w:rsidR="007D193F" w:rsidRDefault="00F53D6D" w:rsidP="00FC2387">
      <w:pPr>
        <w:spacing w:after="120"/>
        <w:jc w:val="both"/>
        <w:rPr>
          <w:b/>
        </w:rPr>
      </w:pPr>
      <w:r w:rsidRPr="00D27D4A">
        <w:rPr>
          <w:b/>
        </w:rPr>
        <w:t>Bupropion</w:t>
      </w:r>
    </w:p>
    <w:p w14:paraId="1EB7C09C" w14:textId="68CD9552" w:rsidR="00D27D4A" w:rsidRPr="00D27D4A" w:rsidRDefault="00D27D4A" w:rsidP="00FC2387">
      <w:pPr>
        <w:spacing w:after="120"/>
        <w:jc w:val="both"/>
        <w:rPr>
          <w:i/>
          <w:iCs/>
        </w:rPr>
      </w:pPr>
      <w:r w:rsidRPr="00D27D4A">
        <w:rPr>
          <w:i/>
          <w:iCs/>
        </w:rPr>
        <w:t xml:space="preserve">Treatment-naïve population </w:t>
      </w:r>
    </w:p>
    <w:p w14:paraId="350BE9D4" w14:textId="218FE55A" w:rsidR="0073226A" w:rsidRDefault="00F53D6D" w:rsidP="00FC2387">
      <w:pPr>
        <w:spacing w:after="120"/>
        <w:jc w:val="both"/>
      </w:pPr>
      <w:r>
        <w:t>Based on the evidence</w:t>
      </w:r>
      <w:r w:rsidR="000F54C7">
        <w:t xml:space="preserve"> presented</w:t>
      </w:r>
      <w:r w:rsidR="000C4092">
        <w:t xml:space="preserve"> (Howes et al. </w:t>
      </w:r>
      <w:r w:rsidR="0073043C">
        <w:t>2020, Benowitz et al. 2018)</w:t>
      </w:r>
      <w:r w:rsidR="000F54C7">
        <w:t xml:space="preserve">, bupropion </w:t>
      </w:r>
      <w:r w:rsidR="00542C96">
        <w:t>was shown to provide a</w:t>
      </w:r>
      <w:r w:rsidR="001E131F">
        <w:t xml:space="preserve"> </w:t>
      </w:r>
      <w:r w:rsidR="00361A2C">
        <w:t>statistically significant improvement in long-term smoking cessation rates compared with placebo</w:t>
      </w:r>
      <w:r w:rsidR="00FB6449">
        <w:t>,</w:t>
      </w:r>
      <w:r w:rsidR="00B263CD">
        <w:t xml:space="preserve"> noting the significantly higher incidence of </w:t>
      </w:r>
      <w:r w:rsidR="00B26489">
        <w:t xml:space="preserve">adverse events, psychiatric adverse </w:t>
      </w:r>
      <w:r w:rsidR="00826C95">
        <w:t>events,</w:t>
      </w:r>
      <w:r w:rsidR="00B26489">
        <w:t xml:space="preserve"> and </w:t>
      </w:r>
      <w:r w:rsidR="00FB6449">
        <w:t>discontinuation due to adverse events in the bupropion arm</w:t>
      </w:r>
      <w:r w:rsidR="00B55E3F">
        <w:t xml:space="preserve">. </w:t>
      </w:r>
      <w:r w:rsidR="00BD5B88">
        <w:lastRenderedPageBreak/>
        <w:t xml:space="preserve">This </w:t>
      </w:r>
      <w:r w:rsidR="00E251BA">
        <w:t>is</w:t>
      </w:r>
      <w:r w:rsidR="00BD5B88">
        <w:t xml:space="preserve"> consistent with the</w:t>
      </w:r>
      <w:r w:rsidR="00D9635D">
        <w:t xml:space="preserve"> evidence previously considered by the PBAC</w:t>
      </w:r>
      <w:r w:rsidR="0073043C">
        <w:t xml:space="preserve"> </w:t>
      </w:r>
      <w:r w:rsidR="009F7121" w:rsidRPr="00BF3F75">
        <w:rPr>
          <w:color w:val="000000"/>
          <w:w w:val="55"/>
          <w:shd w:val="solid" w:color="000000" w:fill="000000"/>
          <w:fitText w:val="1910" w:id="-1402753536"/>
          <w14:textFill>
            <w14:solidFill>
              <w14:srgbClr w14:val="000000">
                <w14:alpha w14:val="100000"/>
              </w14:srgbClr>
            </w14:solidFill>
          </w14:textFill>
        </w:rPr>
        <w:t>|||||||||||||||  ||||||||||||||</w:t>
      </w:r>
      <w:r w:rsidR="009F7121" w:rsidRPr="00BF3F75">
        <w:rPr>
          <w:color w:val="000000"/>
          <w:spacing w:val="29"/>
          <w:w w:val="55"/>
          <w:shd w:val="solid" w:color="000000" w:fill="000000"/>
          <w:fitText w:val="1910" w:id="-1402753536"/>
          <w14:textFill>
            <w14:solidFill>
              <w14:srgbClr w14:val="000000">
                <w14:alpha w14:val="100000"/>
              </w14:srgbClr>
            </w14:solidFill>
          </w14:textFill>
        </w:rPr>
        <w:t>|</w:t>
      </w:r>
      <w:r w:rsidR="009F7121">
        <w:rPr>
          <w:highlight w:val="green"/>
          <w:shd w:val="clear" w:color="auto" w:fill="C0C0C1"/>
        </w:rPr>
        <w:t xml:space="preserve"> </w:t>
      </w:r>
      <w:r w:rsidR="009F7121" w:rsidRPr="00BF3F75">
        <w:rPr>
          <w:color w:val="000000"/>
          <w:w w:val="58"/>
          <w:shd w:val="solid" w:color="000000" w:fill="000000"/>
          <w:fitText w:val="1480" w:id="-1402753535"/>
          <w14:textFill>
            <w14:solidFill>
              <w14:srgbClr w14:val="000000">
                <w14:alpha w14:val="100000"/>
              </w14:srgbClr>
            </w14:solidFill>
          </w14:textFill>
        </w:rPr>
        <w:t>|||||||||||  ||||||||||</w:t>
      </w:r>
      <w:r w:rsidR="009F7121" w:rsidRPr="00BF3F75">
        <w:rPr>
          <w:color w:val="000000"/>
          <w:spacing w:val="9"/>
          <w:w w:val="58"/>
          <w:shd w:val="solid" w:color="000000" w:fill="000000"/>
          <w:fitText w:val="1480" w:id="-1402753535"/>
          <w14:textFill>
            <w14:solidFill>
              <w14:srgbClr w14:val="000000">
                <w14:alpha w14:val="100000"/>
              </w14:srgbClr>
            </w14:solidFill>
          </w14:textFill>
        </w:rPr>
        <w:t>|</w:t>
      </w:r>
      <w:r w:rsidR="009F7121">
        <w:rPr>
          <w:highlight w:val="green"/>
          <w:shd w:val="clear" w:color="auto" w:fill="C0C0C1"/>
        </w:rPr>
        <w:t xml:space="preserve"> </w:t>
      </w:r>
    </w:p>
    <w:p w14:paraId="74F6E93E" w14:textId="41DABA44" w:rsidR="007776D3" w:rsidRDefault="000B5B2E" w:rsidP="00FC2387">
      <w:pPr>
        <w:spacing w:after="120"/>
        <w:jc w:val="both"/>
      </w:pPr>
      <w:r>
        <w:t>For the comparison of bupropion versus NRT</w:t>
      </w:r>
      <w:r w:rsidR="0093754A">
        <w:t xml:space="preserve"> (either as patch, </w:t>
      </w:r>
      <w:r w:rsidR="00826C95">
        <w:t>lozenge,</w:t>
      </w:r>
      <w:r w:rsidR="0093754A">
        <w:t xml:space="preserve"> or choice of NRT)</w:t>
      </w:r>
      <w:r>
        <w:t xml:space="preserve">, </w:t>
      </w:r>
      <w:r w:rsidR="00A763EC">
        <w:t>t</w:t>
      </w:r>
      <w:r w:rsidR="00B34E9A">
        <w:t xml:space="preserve">here were no statistically significant differences in </w:t>
      </w:r>
      <w:r w:rsidR="002C0D9B">
        <w:t xml:space="preserve">long-term </w:t>
      </w:r>
      <w:r w:rsidR="00B34E9A">
        <w:t xml:space="preserve">smoking cessation rates, adverse events, </w:t>
      </w:r>
      <w:r w:rsidR="00F35A6B">
        <w:t xml:space="preserve">serious adverse </w:t>
      </w:r>
      <w:r w:rsidR="00826C95">
        <w:t>events,</w:t>
      </w:r>
      <w:r w:rsidR="00352841">
        <w:t xml:space="preserve"> and</w:t>
      </w:r>
      <w:r w:rsidR="00F35A6B">
        <w:t xml:space="preserve"> discontinuation due to adverse events</w:t>
      </w:r>
      <w:r w:rsidR="00EE2CBC">
        <w:t xml:space="preserve"> between the two treatment arms</w:t>
      </w:r>
      <w:r w:rsidR="00A763EC">
        <w:t xml:space="preserve"> </w:t>
      </w:r>
      <w:r w:rsidR="00A763EC" w:rsidRPr="00A763EC">
        <w:t>(Howes et al. 2020, Benowitz et al. 2018)</w:t>
      </w:r>
      <w:r w:rsidR="00F35A6B">
        <w:t xml:space="preserve">. </w:t>
      </w:r>
      <w:r w:rsidR="000A3374">
        <w:t>This is consistent with the evidence previously considered by the PBAC</w:t>
      </w:r>
      <w:r w:rsidR="00FE7FC4">
        <w:t xml:space="preserve"> to support non-inferiority</w:t>
      </w:r>
      <w:r w:rsidR="000A3374">
        <w:t xml:space="preserve"> (</w:t>
      </w:r>
      <w:r w:rsidR="00860B07" w:rsidRPr="00860B07">
        <w:t>Jorenby et al. 1999, Gorecka et al. 2003, Uyar et al. 2007</w:t>
      </w:r>
      <w:r w:rsidR="002D536F">
        <w:t>,</w:t>
      </w:r>
      <w:r w:rsidR="00860B07" w:rsidRPr="00860B07">
        <w:t xml:space="preserve"> Piper et al. 2009</w:t>
      </w:r>
      <w:r w:rsidR="000A3374">
        <w:t>).</w:t>
      </w:r>
    </w:p>
    <w:p w14:paraId="5A992D85" w14:textId="2510ABAC" w:rsidR="0092484C" w:rsidRPr="00D27D4A" w:rsidRDefault="0092484C" w:rsidP="00FC2387">
      <w:pPr>
        <w:spacing w:after="120"/>
        <w:jc w:val="both"/>
        <w:rPr>
          <w:i/>
          <w:iCs/>
        </w:rPr>
      </w:pPr>
      <w:r w:rsidRPr="00D27D4A">
        <w:rPr>
          <w:i/>
          <w:iCs/>
        </w:rPr>
        <w:t>Treatment-</w:t>
      </w:r>
      <w:r>
        <w:rPr>
          <w:i/>
          <w:iCs/>
        </w:rPr>
        <w:t>experienced</w:t>
      </w:r>
      <w:r w:rsidRPr="00D27D4A">
        <w:rPr>
          <w:i/>
          <w:iCs/>
        </w:rPr>
        <w:t xml:space="preserve"> population </w:t>
      </w:r>
    </w:p>
    <w:p w14:paraId="554F9A68" w14:textId="1E9038D4" w:rsidR="00702DFF" w:rsidRDefault="003E01DA" w:rsidP="00FC2387">
      <w:pPr>
        <w:spacing w:after="120"/>
        <w:jc w:val="both"/>
      </w:pPr>
      <w:r>
        <w:t xml:space="preserve">Bupropion has not been previously considered by the PBAC for relapse prevention in abstainers or retreatment in non-abstainers. Based on the evidence presented (Livingstone-Banks et al. 2019), </w:t>
      </w:r>
      <w:r w:rsidR="00CC4C25" w:rsidRPr="00CC4C25">
        <w:t xml:space="preserve">there were no statistically significant differences in </w:t>
      </w:r>
      <w:r w:rsidR="00D42A15">
        <w:t xml:space="preserve">long-term smoking cessation rates between </w:t>
      </w:r>
      <w:r>
        <w:t xml:space="preserve">bupropion </w:t>
      </w:r>
      <w:r w:rsidR="00D42A15">
        <w:t>and</w:t>
      </w:r>
      <w:r>
        <w:t xml:space="preserve"> placebo</w:t>
      </w:r>
      <w:r w:rsidDel="00D42A15">
        <w:t xml:space="preserve"> </w:t>
      </w:r>
      <w:r w:rsidR="00641104">
        <w:t>as a</w:t>
      </w:r>
      <w:r w:rsidR="0068629C" w:rsidRPr="0068629C">
        <w:t xml:space="preserve"> relapse prevention</w:t>
      </w:r>
      <w:r w:rsidR="00641104">
        <w:t xml:space="preserve"> treatment in abstainers</w:t>
      </w:r>
      <w:r w:rsidR="00C91D45">
        <w:t>, irrespective of treatment duration</w:t>
      </w:r>
      <w:r w:rsidR="0068629C">
        <w:t>.</w:t>
      </w:r>
      <w:r w:rsidR="00436A90" w:rsidRPr="00436A90">
        <w:t xml:space="preserve"> </w:t>
      </w:r>
      <w:r w:rsidR="00436A90">
        <w:t>The safety of</w:t>
      </w:r>
      <w:r w:rsidR="00436A90" w:rsidRPr="00436A90">
        <w:t xml:space="preserve"> bupropion</w:t>
      </w:r>
      <w:r w:rsidR="00436A90">
        <w:t xml:space="preserve"> versus</w:t>
      </w:r>
      <w:r w:rsidR="00436A90" w:rsidRPr="00436A90">
        <w:t xml:space="preserve"> placebo in abstainers for relapse prevention was not assessed by Livingstone-Banks et al. </w:t>
      </w:r>
      <w:r w:rsidR="00436A90" w:rsidRPr="00055555">
        <w:t>(2019)</w:t>
      </w:r>
      <w:r w:rsidR="0058458C" w:rsidRPr="005A14C0">
        <w:t xml:space="preserve"> and Croghan et al. (2007), however the adverse events reported were consistent with those expected of bupropion</w:t>
      </w:r>
      <w:r w:rsidR="00436A90" w:rsidRPr="00055555">
        <w:t>.</w:t>
      </w:r>
      <w:r w:rsidR="007175C4">
        <w:t xml:space="preserve"> </w:t>
      </w:r>
      <w:r w:rsidR="0000573E" w:rsidRPr="0000573E">
        <w:t>No evidence was identified comparing bupropion with placebo as relapse prevention treatment (</w:t>
      </w:r>
      <w:r w:rsidR="00BC2232">
        <w:t>nine</w:t>
      </w:r>
      <w:r w:rsidR="0000573E" w:rsidRPr="0000573E">
        <w:t xml:space="preserve"> weeks) in abstainers who completed a </w:t>
      </w:r>
      <w:r w:rsidR="00BC2232">
        <w:t>nine</w:t>
      </w:r>
      <w:r w:rsidR="0000573E" w:rsidRPr="0000573E">
        <w:t>-week course of initial bupropion monotherapy treatment.</w:t>
      </w:r>
    </w:p>
    <w:p w14:paraId="324CF994" w14:textId="37C8FE96" w:rsidR="0092484C" w:rsidRDefault="007175C4" w:rsidP="00FC2387">
      <w:pPr>
        <w:spacing w:after="120"/>
        <w:jc w:val="both"/>
      </w:pPr>
      <w:r>
        <w:t xml:space="preserve">For use as retreatment in non-abstainers, </w:t>
      </w:r>
      <w:r w:rsidR="008A354F" w:rsidRPr="008A354F">
        <w:t>there were no statistically significant differences</w:t>
      </w:r>
      <w:r w:rsidR="00DE5426">
        <w:t xml:space="preserve"> (risk ratio)</w:t>
      </w:r>
      <w:r w:rsidR="008A354F" w:rsidRPr="008A354F">
        <w:t xml:space="preserve"> in </w:t>
      </w:r>
      <w:r w:rsidR="008A354F">
        <w:t xml:space="preserve">long-term smoking cessation rates between </w:t>
      </w:r>
      <w:r>
        <w:t xml:space="preserve">bupropion </w:t>
      </w:r>
      <w:r w:rsidR="008A354F">
        <w:t>and</w:t>
      </w:r>
      <w:r w:rsidR="00287F8C">
        <w:t xml:space="preserve"> placebo</w:t>
      </w:r>
      <w:r w:rsidR="00287F8C" w:rsidDel="00DE5426">
        <w:t xml:space="preserve"> </w:t>
      </w:r>
      <w:r w:rsidR="00816CC2">
        <w:t>based on</w:t>
      </w:r>
      <w:r w:rsidR="00136FBB">
        <w:t xml:space="preserve"> the</w:t>
      </w:r>
      <w:r w:rsidR="00816CC2">
        <w:t xml:space="preserve"> </w:t>
      </w:r>
      <w:r w:rsidR="00136FBB">
        <w:t xml:space="preserve">meta-analysis of </w:t>
      </w:r>
      <w:r w:rsidR="00136FBB" w:rsidRPr="004A7AD0">
        <w:t>Gonzales et al. (20</w:t>
      </w:r>
      <w:r w:rsidR="00136FBB">
        <w:t>01</w:t>
      </w:r>
      <w:r w:rsidR="00136FBB" w:rsidRPr="004A7AD0">
        <w:t>)</w:t>
      </w:r>
      <w:r w:rsidR="00136FBB">
        <w:t xml:space="preserve"> and Selby et al. (2003)</w:t>
      </w:r>
      <w:r w:rsidR="00B4696F">
        <w:t>, noting that the results were statistically significant</w:t>
      </w:r>
      <w:r w:rsidR="00B4696F" w:rsidDel="00DE5426">
        <w:t xml:space="preserve"> based on risk </w:t>
      </w:r>
      <w:r w:rsidR="00B4696F">
        <w:t>difference</w:t>
      </w:r>
      <w:r w:rsidR="00136FBB">
        <w:t>.</w:t>
      </w:r>
      <w:r w:rsidR="00CE7D8C">
        <w:t xml:space="preserve"> </w:t>
      </w:r>
      <w:r w:rsidR="00B72D99">
        <w:t>While</w:t>
      </w:r>
      <w:r w:rsidR="00CE7D8C">
        <w:t xml:space="preserve"> </w:t>
      </w:r>
      <w:r w:rsidR="00CE7D8C" w:rsidRPr="00CE7D8C">
        <w:t>a significantly higher proportion of patients in the bupropion arm experienced any adverse events compared to patients in the placebo arm</w:t>
      </w:r>
      <w:r w:rsidR="00B72D99">
        <w:t>,</w:t>
      </w:r>
      <w:r w:rsidR="00EE2CBC">
        <w:t xml:space="preserve"> </w:t>
      </w:r>
      <w:r w:rsidR="00B72D99">
        <w:t>t</w:t>
      </w:r>
      <w:r w:rsidR="00EE2CBC">
        <w:t xml:space="preserve">here were no statistically significant differences in serious adverse events and discontinuation due to adverse events. </w:t>
      </w:r>
    </w:p>
    <w:p w14:paraId="4D6104A6" w14:textId="7F22F10B" w:rsidR="003727F6" w:rsidRPr="003727F6" w:rsidRDefault="003727F6" w:rsidP="00FC2387">
      <w:pPr>
        <w:spacing w:after="120"/>
        <w:jc w:val="both"/>
        <w:rPr>
          <w:b/>
          <w:bCs/>
        </w:rPr>
      </w:pPr>
      <w:r w:rsidRPr="003727F6">
        <w:rPr>
          <w:b/>
          <w:bCs/>
        </w:rPr>
        <w:t>Varenicline</w:t>
      </w:r>
    </w:p>
    <w:p w14:paraId="2EBF8F89" w14:textId="77777777" w:rsidR="003727F6" w:rsidRPr="00D27D4A" w:rsidRDefault="003727F6" w:rsidP="00FC2387">
      <w:pPr>
        <w:spacing w:after="120"/>
        <w:jc w:val="both"/>
        <w:rPr>
          <w:i/>
          <w:iCs/>
        </w:rPr>
      </w:pPr>
      <w:r w:rsidRPr="00D27D4A">
        <w:rPr>
          <w:i/>
          <w:iCs/>
        </w:rPr>
        <w:t xml:space="preserve">Treatment-naïve population </w:t>
      </w:r>
    </w:p>
    <w:p w14:paraId="136A08CF" w14:textId="29566B2A" w:rsidR="006D4D66" w:rsidRDefault="003727F6" w:rsidP="00FC2387">
      <w:pPr>
        <w:spacing w:after="120"/>
        <w:jc w:val="both"/>
      </w:pPr>
      <w:r>
        <w:t>Based on the evidence presented (</w:t>
      </w:r>
      <w:r w:rsidR="0049450E" w:rsidRPr="0049450E">
        <w:t>Lerman et al. 2015, Littlewood et al. 2017, Benowitz et al. 2018, Hurt et al. 2018, Mercie et al. 2018, Windle et al. 2018, Ashare et al. 2019, Chen et al. 2020</w:t>
      </w:r>
      <w:r>
        <w:t xml:space="preserve">), </w:t>
      </w:r>
      <w:r w:rsidR="0049450E">
        <w:t>varenicline</w:t>
      </w:r>
      <w:r>
        <w:t xml:space="preserve"> was shown to provide a statistically significant improvement in long-term smoking cessation rates compared with placebo</w:t>
      </w:r>
      <w:r w:rsidR="006B69F3">
        <w:t>. In terms of safety</w:t>
      </w:r>
      <w:r>
        <w:t xml:space="preserve">, </w:t>
      </w:r>
      <w:r w:rsidR="006B69F3">
        <w:t>a</w:t>
      </w:r>
      <w:r>
        <w:t xml:space="preserve"> significantly higher incidence rate of </w:t>
      </w:r>
      <w:r w:rsidR="00E953A5" w:rsidRPr="00E953A5">
        <w:t xml:space="preserve">adverse events (nausea, insomnia, abnormal dreams, </w:t>
      </w:r>
      <w:r w:rsidR="00B05DCD" w:rsidRPr="00E953A5">
        <w:t>and headache</w:t>
      </w:r>
      <w:r w:rsidR="00E953A5" w:rsidRPr="00E953A5">
        <w:t>) and serious adverse events</w:t>
      </w:r>
      <w:r w:rsidR="00E953A5">
        <w:t xml:space="preserve"> </w:t>
      </w:r>
      <w:r w:rsidR="00EC6189">
        <w:t>w</w:t>
      </w:r>
      <w:r w:rsidR="005D07D2">
        <w:t>ere</w:t>
      </w:r>
      <w:r w:rsidR="00EC6189">
        <w:t xml:space="preserve"> observed</w:t>
      </w:r>
      <w:r w:rsidR="00E953A5">
        <w:t xml:space="preserve"> in the varenicline a</w:t>
      </w:r>
      <w:r>
        <w:t>rm</w:t>
      </w:r>
      <w:r w:rsidR="00EC6189">
        <w:t>, noting that the results for headache and serious adverse events were no longer statistically significant in the updated re-analysis</w:t>
      </w:r>
      <w:r>
        <w:t xml:space="preserve">. </w:t>
      </w:r>
      <w:r w:rsidR="00804A76">
        <w:t xml:space="preserve">There were no statistically significant differences between the two treatment arms for </w:t>
      </w:r>
      <w:r w:rsidR="005D776C">
        <w:t xml:space="preserve">depression, suicidal ideation, </w:t>
      </w:r>
      <w:r w:rsidR="00804A76">
        <w:t xml:space="preserve">neuropsychiatric </w:t>
      </w:r>
      <w:r w:rsidR="005D776C">
        <w:t xml:space="preserve">serious adverse </w:t>
      </w:r>
      <w:r w:rsidR="00826C95">
        <w:t>events,</w:t>
      </w:r>
      <w:r w:rsidR="00804A76">
        <w:t xml:space="preserve"> and cardiac serious adverse events.</w:t>
      </w:r>
      <w:r>
        <w:t xml:space="preserve"> This is consistent with the evidence previously considered by the PBAC (</w:t>
      </w:r>
      <w:r w:rsidR="00275681" w:rsidRPr="00275681">
        <w:t>Gonzales et al. 2006, Jorenby et al. 2006, Oncken et al. 2006, Nakamura et al. 2007, Tsai et al. 2007, Wang et al. 2009, Bolliger et al. 2011, Rigotti et al. 2010, Tashkin et al. 2011, Rennard et al. 2012</w:t>
      </w:r>
      <w:r w:rsidR="002D536F">
        <w:t>,</w:t>
      </w:r>
      <w:r w:rsidR="00275681" w:rsidRPr="00275681">
        <w:t xml:space="preserve"> EAGLES 2016</w:t>
      </w:r>
      <w:r>
        <w:t>).</w:t>
      </w:r>
    </w:p>
    <w:p w14:paraId="3882E5F0" w14:textId="3F2ABC0E" w:rsidR="003727F6" w:rsidRDefault="006D4D66" w:rsidP="00FC2387">
      <w:pPr>
        <w:spacing w:after="120"/>
        <w:jc w:val="both"/>
      </w:pPr>
      <w:r>
        <w:t xml:space="preserve">For the comparison of varenicline versus bupropion, </w:t>
      </w:r>
      <w:r w:rsidR="00304C4A">
        <w:t>t</w:t>
      </w:r>
      <w:r w:rsidR="005D07D2">
        <w:t xml:space="preserve">here was </w:t>
      </w:r>
      <w:r w:rsidR="005D07D2" w:rsidRPr="006843FB">
        <w:t xml:space="preserve">a statistically significant difference in </w:t>
      </w:r>
      <w:r w:rsidR="00BC4FFD">
        <w:t>long-term</w:t>
      </w:r>
      <w:r w:rsidR="006843FB" w:rsidRPr="006843FB">
        <w:t xml:space="preserve"> smoking cessation rates, in favour of varenicline</w:t>
      </w:r>
      <w:r w:rsidR="006843FB">
        <w:t>, while</w:t>
      </w:r>
      <w:r w:rsidR="006843FB" w:rsidRPr="006843FB">
        <w:t xml:space="preserve"> </w:t>
      </w:r>
      <w:r w:rsidR="006843FB">
        <w:t>t</w:t>
      </w:r>
      <w:r w:rsidR="00642823" w:rsidRPr="00642823">
        <w:t xml:space="preserve">here were no statistically significant differences </w:t>
      </w:r>
      <w:r w:rsidR="00642823">
        <w:t>in</w:t>
      </w:r>
      <w:r w:rsidR="00642823" w:rsidRPr="00642823">
        <w:t xml:space="preserve"> adverse events, psychiatric adverse events, serious </w:t>
      </w:r>
      <w:r w:rsidR="00642823" w:rsidRPr="00642823">
        <w:lastRenderedPageBreak/>
        <w:t>adverse events and discontinuation due to adverse events</w:t>
      </w:r>
      <w:r w:rsidR="00186278">
        <w:t xml:space="preserve"> between the two treatment arms</w:t>
      </w:r>
      <w:r w:rsidR="00304C4A">
        <w:t xml:space="preserve"> </w:t>
      </w:r>
      <w:r w:rsidR="00E32CDE">
        <w:t>(Howes et al. 2020, Benowitz et al. 2018). This is consistent with the evidence previously considered by the PBAC (</w:t>
      </w:r>
      <w:r w:rsidR="00526F1D" w:rsidRPr="004C7519">
        <w:t>Gonzales et al. 2006, Jorenby et al. 2006</w:t>
      </w:r>
      <w:r w:rsidR="002D536F">
        <w:t>,</w:t>
      </w:r>
      <w:r w:rsidR="00526F1D" w:rsidRPr="004C7519">
        <w:t xml:space="preserve"> </w:t>
      </w:r>
      <w:r w:rsidR="00B05DCD">
        <w:t>and EAGLES</w:t>
      </w:r>
      <w:r w:rsidR="00526F1D" w:rsidRPr="004C7519">
        <w:t xml:space="preserve"> 2016</w:t>
      </w:r>
      <w:r w:rsidR="00E32CDE">
        <w:t>).</w:t>
      </w:r>
    </w:p>
    <w:p w14:paraId="2081A934" w14:textId="77777777" w:rsidR="00836893" w:rsidRPr="00D27D4A" w:rsidRDefault="00836893" w:rsidP="00FC2387">
      <w:pPr>
        <w:spacing w:after="120"/>
        <w:jc w:val="both"/>
        <w:rPr>
          <w:i/>
          <w:iCs/>
        </w:rPr>
      </w:pPr>
      <w:r w:rsidRPr="00D27D4A">
        <w:rPr>
          <w:i/>
          <w:iCs/>
        </w:rPr>
        <w:t>Treatment-</w:t>
      </w:r>
      <w:r>
        <w:rPr>
          <w:i/>
          <w:iCs/>
        </w:rPr>
        <w:t>experienced</w:t>
      </w:r>
      <w:r w:rsidRPr="00D27D4A">
        <w:rPr>
          <w:i/>
          <w:iCs/>
        </w:rPr>
        <w:t xml:space="preserve"> population </w:t>
      </w:r>
    </w:p>
    <w:p w14:paraId="7A862243" w14:textId="0A616712" w:rsidR="003727F6" w:rsidRDefault="005D7273" w:rsidP="00FC2387">
      <w:pPr>
        <w:spacing w:after="120"/>
        <w:jc w:val="both"/>
      </w:pPr>
      <w:r>
        <w:t>Based on the evidence presented (Livingstone-Banks et al. 2019), varenicline was shown to provide a statistically significant improvement in long-term smoking cessation rates compared with placebo as a</w:t>
      </w:r>
      <w:r w:rsidRPr="0068629C">
        <w:t xml:space="preserve"> relapse prevention</w:t>
      </w:r>
      <w:r>
        <w:t xml:space="preserve"> treatment in abstainers.</w:t>
      </w:r>
      <w:r w:rsidR="00B8738A">
        <w:t xml:space="preserve"> This is </w:t>
      </w:r>
      <w:r w:rsidR="00034551">
        <w:t xml:space="preserve">largely based </w:t>
      </w:r>
      <w:r w:rsidR="0037396F">
        <w:t>on</w:t>
      </w:r>
      <w:r w:rsidR="00034551">
        <w:t xml:space="preserve"> and thus</w:t>
      </w:r>
      <w:r w:rsidR="00B8738A">
        <w:t xml:space="preserve"> is consistent with the evidence previously considered by the PBAC (</w:t>
      </w:r>
      <w:r w:rsidR="00286ABF">
        <w:t>Tonstad</w:t>
      </w:r>
      <w:r w:rsidR="00B8738A" w:rsidRPr="004C7519">
        <w:t xml:space="preserve"> et al. 2006</w:t>
      </w:r>
      <w:r w:rsidR="00B8738A">
        <w:t>).</w:t>
      </w:r>
      <w:r w:rsidR="00436A90">
        <w:t xml:space="preserve"> The safety of</w:t>
      </w:r>
      <w:r w:rsidR="00436A90" w:rsidRPr="00436A90">
        <w:t xml:space="preserve"> </w:t>
      </w:r>
      <w:r w:rsidR="00304C4A">
        <w:t>varenicline</w:t>
      </w:r>
      <w:r w:rsidR="00436A90">
        <w:t xml:space="preserve"> versus</w:t>
      </w:r>
      <w:r w:rsidR="00436A90" w:rsidRPr="00436A90">
        <w:t xml:space="preserve"> placebo in abstainers for relapse prevention was not assessed by Livingstone-Banks et al. </w:t>
      </w:r>
      <w:r w:rsidR="00436A90" w:rsidRPr="00055555">
        <w:t>(2019)</w:t>
      </w:r>
      <w:r w:rsidR="00B906BA" w:rsidRPr="00C454A4">
        <w:t>,</w:t>
      </w:r>
      <w:r w:rsidR="00FC2387">
        <w:t xml:space="preserve"> </w:t>
      </w:r>
      <w:r w:rsidR="00B906BA" w:rsidRPr="00C454A4">
        <w:t>however the adverse events reported were consistent with those expected of varenicline</w:t>
      </w:r>
      <w:r w:rsidR="00436A90" w:rsidRPr="00055555">
        <w:t>.</w:t>
      </w:r>
    </w:p>
    <w:p w14:paraId="00113D06" w14:textId="2815934C" w:rsidR="00286ABF" w:rsidRDefault="00286ABF" w:rsidP="00FC2387">
      <w:pPr>
        <w:spacing w:after="120"/>
        <w:jc w:val="both"/>
        <w:rPr>
          <w:i/>
        </w:rPr>
      </w:pPr>
      <w:r>
        <w:t>For use as retreatment in non-abstainers</w:t>
      </w:r>
      <w:r w:rsidR="008B5CA0">
        <w:t xml:space="preserve">, </w:t>
      </w:r>
      <w:r w:rsidR="00250E8A">
        <w:t>varenicline was shown to provide a statistically significant improvement in long-term smoking cessation rates compared with placebo</w:t>
      </w:r>
      <w:r w:rsidR="00692E48">
        <w:t xml:space="preserve"> (Cahill et al. 2016)</w:t>
      </w:r>
      <w:r w:rsidR="00250E8A">
        <w:t>.</w:t>
      </w:r>
      <w:r w:rsidR="00692E48">
        <w:t xml:space="preserve"> </w:t>
      </w:r>
      <w:r w:rsidR="00EB087B">
        <w:t>A</w:t>
      </w:r>
      <w:r w:rsidR="00EB087B" w:rsidRPr="00EB087B">
        <w:t xml:space="preserve"> significantly higher proportion of patients in the varenicline arm experienced nausea and abnormal dreams compared to patients in the placebo arm</w:t>
      </w:r>
      <w:r w:rsidR="00E35230">
        <w:t>, while t</w:t>
      </w:r>
      <w:r w:rsidR="00EB087B" w:rsidRPr="00EB087B">
        <w:t xml:space="preserve">here were no statistically significant differences </w:t>
      </w:r>
      <w:r w:rsidR="00256142">
        <w:t xml:space="preserve">between the two treatment arms </w:t>
      </w:r>
      <w:r w:rsidR="00EB087B" w:rsidRPr="00EB087B">
        <w:t xml:space="preserve">for insomnia, headache, depression, serious adverse </w:t>
      </w:r>
      <w:r w:rsidR="00826C95" w:rsidRPr="00EB087B">
        <w:t>events,</w:t>
      </w:r>
      <w:r w:rsidR="00EB087B" w:rsidRPr="00EB087B">
        <w:t xml:space="preserve"> and cardiac serious adverse events, although a numerically higher incidence rate was observed in the varenicline arm except for cardiac serious adverse events</w:t>
      </w:r>
      <w:r w:rsidR="00E35230">
        <w:t xml:space="preserve">. </w:t>
      </w:r>
      <w:r w:rsidR="00692E48">
        <w:t>This is consistent with the evidence previously considered by the PBAC (Gonzales</w:t>
      </w:r>
      <w:r w:rsidR="00692E48" w:rsidRPr="004C7519">
        <w:t xml:space="preserve"> et al. 20</w:t>
      </w:r>
      <w:r w:rsidR="00692E48">
        <w:t>14</w:t>
      </w:r>
      <w:r w:rsidR="009D19F2">
        <w:t>; referred to as Trial A3051139</w:t>
      </w:r>
      <w:r w:rsidR="00242E43">
        <w:t xml:space="preserve"> in March 2014 PBAC meeting</w:t>
      </w:r>
      <w:r w:rsidR="00692E48">
        <w:t>).</w:t>
      </w:r>
      <w:r w:rsidR="00062E61" w:rsidRPr="00062E61">
        <w:t xml:space="preserve"> It was noted </w:t>
      </w:r>
      <w:r w:rsidR="007577DE">
        <w:t>that</w:t>
      </w:r>
      <w:r w:rsidR="00062E61" w:rsidRPr="00062E61">
        <w:t xml:space="preserve"> the one study (Gonzales et al. 2014) identified by Cahill et al. (2014) required patients to have had previously taken varenicline for two or more weeks, with the last dose taken ≥3 months before screening.</w:t>
      </w:r>
    </w:p>
    <w:p w14:paraId="5DA8D58A" w14:textId="624A3F10" w:rsidR="000B7B40" w:rsidRPr="000B7B40" w:rsidRDefault="000B7B40" w:rsidP="00FC2387">
      <w:pPr>
        <w:spacing w:after="120"/>
        <w:jc w:val="both"/>
        <w:rPr>
          <w:b/>
          <w:bCs/>
        </w:rPr>
      </w:pPr>
      <w:r w:rsidRPr="000B7B40">
        <w:rPr>
          <w:b/>
          <w:bCs/>
        </w:rPr>
        <w:t>N</w:t>
      </w:r>
      <w:r w:rsidR="00C73F66">
        <w:rPr>
          <w:b/>
          <w:bCs/>
        </w:rPr>
        <w:t xml:space="preserve">icotine </w:t>
      </w:r>
      <w:r w:rsidR="00FC2387">
        <w:rPr>
          <w:b/>
          <w:bCs/>
        </w:rPr>
        <w:t>r</w:t>
      </w:r>
      <w:r w:rsidR="00C73F66">
        <w:rPr>
          <w:b/>
          <w:bCs/>
        </w:rPr>
        <w:t xml:space="preserve">eplacement </w:t>
      </w:r>
      <w:r w:rsidR="00FC2387">
        <w:rPr>
          <w:b/>
          <w:bCs/>
        </w:rPr>
        <w:t>t</w:t>
      </w:r>
      <w:r w:rsidR="00C73F66">
        <w:rPr>
          <w:b/>
          <w:bCs/>
        </w:rPr>
        <w:t>herapy</w:t>
      </w:r>
    </w:p>
    <w:p w14:paraId="62AF2FAE" w14:textId="1D1E35A8" w:rsidR="000B7B40" w:rsidRPr="00D27D4A" w:rsidRDefault="000B7B40" w:rsidP="00FC2387">
      <w:pPr>
        <w:spacing w:after="120"/>
        <w:jc w:val="both"/>
        <w:rPr>
          <w:i/>
          <w:iCs/>
        </w:rPr>
      </w:pPr>
      <w:r>
        <w:rPr>
          <w:i/>
          <w:iCs/>
        </w:rPr>
        <w:t>Treatment-naïve population</w:t>
      </w:r>
    </w:p>
    <w:p w14:paraId="3AFFBB70" w14:textId="5148C24F" w:rsidR="00C852C6" w:rsidRDefault="00C852C6" w:rsidP="00FC2387">
      <w:pPr>
        <w:spacing w:after="120"/>
        <w:jc w:val="both"/>
      </w:pPr>
      <w:r>
        <w:t>Based on the evidence presented (H</w:t>
      </w:r>
      <w:r w:rsidR="00D83992">
        <w:t>artmann-Boyce</w:t>
      </w:r>
      <w:r>
        <w:t xml:space="preserve"> et al. 20</w:t>
      </w:r>
      <w:r w:rsidR="00D83992">
        <w:t>18</w:t>
      </w:r>
      <w:r>
        <w:t xml:space="preserve">), </w:t>
      </w:r>
      <w:r w:rsidR="00D83992">
        <w:t>NRT patch</w:t>
      </w:r>
      <w:r w:rsidR="007577DE">
        <w:t>es</w:t>
      </w:r>
      <w:r>
        <w:t xml:space="preserve"> w</w:t>
      </w:r>
      <w:r w:rsidR="007577DE">
        <w:t>ere</w:t>
      </w:r>
      <w:r>
        <w:t xml:space="preserve"> shown to provide a statistically significant improvement in long-term smoking cessation rates compared with placebo, noting th</w:t>
      </w:r>
      <w:r w:rsidR="00FA46E8">
        <w:t xml:space="preserve">at similar results were observed for NRT gum or </w:t>
      </w:r>
      <w:r w:rsidR="00573F59">
        <w:t>lozenges</w:t>
      </w:r>
      <w:r w:rsidR="00FA46E8">
        <w:t xml:space="preserve"> versus placebo. </w:t>
      </w:r>
      <w:r w:rsidR="00D420E0">
        <w:t>There were</w:t>
      </w:r>
      <w:r>
        <w:t xml:space="preserve"> </w:t>
      </w:r>
      <w:r w:rsidR="00453B71">
        <w:t xml:space="preserve">a </w:t>
      </w:r>
      <w:r>
        <w:t xml:space="preserve">significantly higher incidence of </w:t>
      </w:r>
      <w:r w:rsidR="000F6000" w:rsidRPr="000F6000">
        <w:t xml:space="preserve">palpitations, </w:t>
      </w:r>
      <w:r w:rsidR="00826C95" w:rsidRPr="000F6000">
        <w:t>tachycardia,</w:t>
      </w:r>
      <w:r w:rsidR="000F6000" w:rsidRPr="000F6000">
        <w:t xml:space="preserve"> or chest pains</w:t>
      </w:r>
      <w:r>
        <w:t xml:space="preserve"> </w:t>
      </w:r>
      <w:r w:rsidR="002C2E68">
        <w:t>with</w:t>
      </w:r>
      <w:r>
        <w:t xml:space="preserve"> </w:t>
      </w:r>
      <w:r w:rsidR="000F6000">
        <w:t>NRT</w:t>
      </w:r>
      <w:r>
        <w:t xml:space="preserve"> </w:t>
      </w:r>
      <w:r w:rsidR="002C2E68">
        <w:t>(</w:t>
      </w:r>
      <w:r w:rsidR="00711A4F">
        <w:t>various formulation</w:t>
      </w:r>
      <w:r w:rsidR="002C2E68">
        <w:t>)</w:t>
      </w:r>
      <w:r w:rsidR="00D420E0">
        <w:t xml:space="preserve"> compared with placebo</w:t>
      </w:r>
      <w:r>
        <w:t>. This is consistent with the evidence previously considered by the PBAC (</w:t>
      </w:r>
      <w:r w:rsidR="00C37DAF" w:rsidRPr="00C37DAF">
        <w:rPr>
          <w:color w:val="000000"/>
          <w:spacing w:val="1"/>
          <w:w w:val="55"/>
          <w:shd w:val="solid" w:color="000000" w:fill="000000"/>
          <w:fitText w:val="1050" w:id="-1402753280"/>
          <w14:textFill>
            <w14:solidFill>
              <w14:srgbClr w14:val="000000">
                <w14:alpha w14:val="100000"/>
              </w14:srgbClr>
            </w14:solidFill>
          </w14:textFill>
        </w:rPr>
        <w:t>||||||||  |||||||</w:t>
      </w:r>
      <w:r w:rsidR="00C37DAF" w:rsidRPr="00C37DAF">
        <w:rPr>
          <w:color w:val="000000"/>
          <w:spacing w:val="2"/>
          <w:w w:val="55"/>
          <w:shd w:val="solid" w:color="000000" w:fill="000000"/>
          <w:fitText w:val="1050" w:id="-1402753280"/>
          <w14:textFill>
            <w14:solidFill>
              <w14:srgbClr w14:val="000000">
                <w14:alpha w14:val="100000"/>
              </w14:srgbClr>
            </w14:solidFill>
          </w14:textFill>
        </w:rPr>
        <w:t>|</w:t>
      </w:r>
      <w:r w:rsidR="00404408" w:rsidRPr="00404408">
        <w:t>Stead et al. 2008</w:t>
      </w:r>
      <w:r w:rsidR="00404408">
        <w:t>,</w:t>
      </w:r>
      <w:r w:rsidR="00404408" w:rsidRPr="00404408">
        <w:t xml:space="preserve"> </w:t>
      </w:r>
      <w:r w:rsidR="0049102A" w:rsidRPr="0049102A">
        <w:rPr>
          <w:color w:val="000000"/>
          <w:w w:val="54"/>
          <w:shd w:val="solid" w:color="000000" w:fill="000000"/>
          <w:fitText w:val="1510" w:id="-1402753024"/>
          <w14:textFill>
            <w14:solidFill>
              <w14:srgbClr w14:val="000000">
                <w14:alpha w14:val="100000"/>
              </w14:srgbClr>
            </w14:solidFill>
          </w14:textFill>
        </w:rPr>
        <w:t>||||||||||||  |||||||||||</w:t>
      </w:r>
      <w:r w:rsidR="0049102A" w:rsidRPr="0049102A">
        <w:rPr>
          <w:color w:val="000000"/>
          <w:spacing w:val="19"/>
          <w:w w:val="54"/>
          <w:shd w:val="solid" w:color="000000" w:fill="000000"/>
          <w:fitText w:val="1510" w:id="-1402753024"/>
          <w14:textFill>
            <w14:solidFill>
              <w14:srgbClr w14:val="000000">
                <w14:alpha w14:val="100000"/>
              </w14:srgbClr>
            </w14:solidFill>
          </w14:textFill>
        </w:rPr>
        <w:t>|</w:t>
      </w:r>
      <w:r>
        <w:t xml:space="preserve">). </w:t>
      </w:r>
    </w:p>
    <w:p w14:paraId="1B4B7808" w14:textId="120D7EDE" w:rsidR="00663000" w:rsidRDefault="00663000" w:rsidP="00453B71">
      <w:pPr>
        <w:spacing w:after="120"/>
        <w:jc w:val="both"/>
      </w:pPr>
      <w:r>
        <w:t xml:space="preserve">For the comparison of NRT </w:t>
      </w:r>
      <w:r w:rsidR="00573F59">
        <w:t>patches</w:t>
      </w:r>
      <w:r>
        <w:t xml:space="preserve"> versus varenicline, </w:t>
      </w:r>
      <w:r w:rsidR="00481910">
        <w:t>NRT</w:t>
      </w:r>
      <w:r w:rsidR="000857B5">
        <w:t xml:space="preserve"> </w:t>
      </w:r>
      <w:r w:rsidR="00573F59">
        <w:t>patches</w:t>
      </w:r>
      <w:r>
        <w:t xml:space="preserve"> w</w:t>
      </w:r>
      <w:r w:rsidR="00453B71">
        <w:t>ere</w:t>
      </w:r>
      <w:r>
        <w:t xml:space="preserve"> shown to be </w:t>
      </w:r>
      <w:r w:rsidR="000857B5">
        <w:t>inferior to varenicline</w:t>
      </w:r>
      <w:r>
        <w:t xml:space="preserve"> in terms of efficacy </w:t>
      </w:r>
      <w:r w:rsidR="003A4345">
        <w:t xml:space="preserve">based on </w:t>
      </w:r>
      <w:r w:rsidR="006B6036" w:rsidRPr="006B6036">
        <w:t xml:space="preserve">a statistically significant difference in point prevalence abstinence at 24 weeks, in favour of varenicline </w:t>
      </w:r>
      <w:r>
        <w:t>(</w:t>
      </w:r>
      <w:r w:rsidR="00632646" w:rsidRPr="00632646">
        <w:t>Cahill et al. 2016, Lerman</w:t>
      </w:r>
      <w:r w:rsidR="00632646">
        <w:t xml:space="preserve"> et al.</w:t>
      </w:r>
      <w:r w:rsidR="00632646" w:rsidRPr="00632646">
        <w:t xml:space="preserve"> 2015, Tulloch</w:t>
      </w:r>
      <w:r w:rsidR="00632646">
        <w:t xml:space="preserve"> et al.</w:t>
      </w:r>
      <w:r w:rsidR="00632646" w:rsidRPr="00632646">
        <w:t xml:space="preserve"> 2016, Rohsenow </w:t>
      </w:r>
      <w:r w:rsidR="00632646">
        <w:t xml:space="preserve">et al. </w:t>
      </w:r>
      <w:r w:rsidR="00632646" w:rsidRPr="00632646">
        <w:t>2017</w:t>
      </w:r>
      <w:r>
        <w:t xml:space="preserve">, Benowitz et al. 2018). </w:t>
      </w:r>
      <w:r w:rsidR="003A4345">
        <w:t>In terms of safety,</w:t>
      </w:r>
      <w:r w:rsidR="00C3176E" w:rsidDel="003A4345">
        <w:t xml:space="preserve"> </w:t>
      </w:r>
      <w:r w:rsidR="00C3176E">
        <w:t>there</w:t>
      </w:r>
      <w:r w:rsidR="00C3176E" w:rsidRPr="00C3176E">
        <w:t xml:space="preserve"> </w:t>
      </w:r>
      <w:r w:rsidR="00C3176E" w:rsidRPr="00642823">
        <w:t xml:space="preserve">were no statistically significant differences </w:t>
      </w:r>
      <w:r w:rsidR="00C3176E">
        <w:t>in</w:t>
      </w:r>
      <w:r w:rsidR="00C3176E" w:rsidRPr="00642823">
        <w:t xml:space="preserve"> </w:t>
      </w:r>
      <w:r w:rsidR="00C3176E">
        <w:t xml:space="preserve">side effects (including neuropsychiatric and cardiovascular safety profile) between the two treatment arms. </w:t>
      </w:r>
      <w:r>
        <w:t>This is consistent with the evidence previously considered by the PBAC (</w:t>
      </w:r>
      <w:r w:rsidR="008B73A0" w:rsidRPr="008B73A0">
        <w:t>Aubin</w:t>
      </w:r>
      <w:r w:rsidRPr="004C7519">
        <w:t xml:space="preserve"> et al. </w:t>
      </w:r>
      <w:r w:rsidR="008B73A0" w:rsidRPr="008B73A0">
        <w:t>2008</w:t>
      </w:r>
      <w:r>
        <w:t>,</w:t>
      </w:r>
      <w:r w:rsidRPr="004C7519">
        <w:t xml:space="preserve"> </w:t>
      </w:r>
      <w:r>
        <w:t>EAGLES</w:t>
      </w:r>
      <w:r w:rsidRPr="004C7519">
        <w:t xml:space="preserve"> 2016</w:t>
      </w:r>
      <w:r>
        <w:t>).</w:t>
      </w:r>
    </w:p>
    <w:p w14:paraId="4FA0F193" w14:textId="583D99ED" w:rsidR="00884DBF" w:rsidRDefault="001D4E53" w:rsidP="00453B71">
      <w:pPr>
        <w:spacing w:after="120"/>
        <w:jc w:val="both"/>
      </w:pPr>
      <w:r>
        <w:t>T</w:t>
      </w:r>
      <w:r w:rsidR="00D818A6" w:rsidRPr="00D818A6">
        <w:t xml:space="preserve">here were no statistically significant differences in </w:t>
      </w:r>
      <w:r w:rsidR="00486D27">
        <w:t xml:space="preserve">long-term </w:t>
      </w:r>
      <w:r w:rsidR="00D818A6">
        <w:t xml:space="preserve">smoking cessation rates, </w:t>
      </w:r>
      <w:r w:rsidR="00D818A6" w:rsidRPr="00D818A6">
        <w:t xml:space="preserve">serious adverse </w:t>
      </w:r>
      <w:r w:rsidR="00826C95" w:rsidRPr="00D818A6">
        <w:t>events,</w:t>
      </w:r>
      <w:r w:rsidR="00D818A6" w:rsidRPr="00D818A6">
        <w:t xml:space="preserve"> and withdrawals due to treatment</w:t>
      </w:r>
      <w:r w:rsidR="00D818A6">
        <w:t xml:space="preserve"> between </w:t>
      </w:r>
      <w:r w:rsidR="00C73F66" w:rsidRPr="00C73F66">
        <w:t>NRT lozenges or gum (as a monotherapy) versus NRT patches</w:t>
      </w:r>
      <w:r w:rsidR="003A79E5">
        <w:t xml:space="preserve"> </w:t>
      </w:r>
      <w:r w:rsidR="003A79E5" w:rsidRPr="003A79E5">
        <w:t>(Lindson et al. 2019)</w:t>
      </w:r>
      <w:r w:rsidR="00D818A6">
        <w:t>.</w:t>
      </w:r>
      <w:r w:rsidR="00D818A6" w:rsidRPr="00D818A6">
        <w:t xml:space="preserve"> </w:t>
      </w:r>
      <w:r w:rsidR="00884DBF">
        <w:t>This is consistent with the evidence previously considered by the PBAC</w:t>
      </w:r>
      <w:r w:rsidR="003E2EE1">
        <w:t xml:space="preserve"> to support non-inferiority</w:t>
      </w:r>
      <w:r w:rsidR="00884DBF">
        <w:t xml:space="preserve"> (</w:t>
      </w:r>
      <w:r w:rsidR="00C03A45" w:rsidRPr="00C03A45">
        <w:t>Piper et al. 2009, Smith et al. 2009</w:t>
      </w:r>
      <w:r w:rsidR="00C03A45">
        <w:t>,</w:t>
      </w:r>
      <w:r w:rsidR="00C03A45" w:rsidRPr="00C03A45">
        <w:t xml:space="preserve"> Schnoll et al. 2010</w:t>
      </w:r>
      <w:r w:rsidR="00C03A45">
        <w:t xml:space="preserve">, </w:t>
      </w:r>
      <w:r w:rsidR="00B05DCD">
        <w:t>and Moolchan</w:t>
      </w:r>
      <w:r w:rsidR="00C03A45">
        <w:t xml:space="preserve"> et al. 20</w:t>
      </w:r>
      <w:r w:rsidR="0018344E">
        <w:t>0</w:t>
      </w:r>
      <w:r w:rsidR="00C03A45">
        <w:t>5</w:t>
      </w:r>
      <w:r w:rsidR="00884DBF">
        <w:t>).</w:t>
      </w:r>
    </w:p>
    <w:p w14:paraId="12D49E4E" w14:textId="13047855" w:rsidR="00C03A45" w:rsidRPr="00D53AD2" w:rsidRDefault="00C03A45" w:rsidP="00453B71">
      <w:pPr>
        <w:spacing w:after="120"/>
        <w:jc w:val="both"/>
        <w:rPr>
          <w:i/>
        </w:rPr>
      </w:pPr>
      <w:r w:rsidRPr="00D53AD2">
        <w:rPr>
          <w:i/>
        </w:rPr>
        <w:lastRenderedPageBreak/>
        <w:t>Treatment-experienced population</w:t>
      </w:r>
    </w:p>
    <w:p w14:paraId="0D4F27A2" w14:textId="17660360" w:rsidR="00F9502D" w:rsidRDefault="00F9502D" w:rsidP="00453B71">
      <w:pPr>
        <w:spacing w:after="120"/>
        <w:jc w:val="both"/>
      </w:pPr>
      <w:r w:rsidRPr="00F9502D">
        <w:t>NRT has not been previously considered by the PBAC for relapse prevention in abstainers or retreatment in non-abstainers</w:t>
      </w:r>
      <w:r>
        <w:t>.</w:t>
      </w:r>
      <w:r w:rsidRPr="00F9502D">
        <w:t xml:space="preserve"> </w:t>
      </w:r>
      <w:r>
        <w:t xml:space="preserve">Based on the evidence presented (Livingstone-Banks et al. 2019), </w:t>
      </w:r>
      <w:r w:rsidR="00DA6678" w:rsidRPr="00DA6678">
        <w:t xml:space="preserve">there were no statistically significant differences in </w:t>
      </w:r>
      <w:r w:rsidR="00DA6678">
        <w:t xml:space="preserve">long-term smoking cessation rates between </w:t>
      </w:r>
      <w:r w:rsidR="00A03FAF">
        <w:t xml:space="preserve">NRT </w:t>
      </w:r>
      <w:r w:rsidR="00AC611B">
        <w:t>(</w:t>
      </w:r>
      <w:r w:rsidR="00DA6678">
        <w:t xml:space="preserve">either as </w:t>
      </w:r>
      <w:r w:rsidR="00AC611B">
        <w:t>gum</w:t>
      </w:r>
      <w:r w:rsidR="00DA6678">
        <w:t xml:space="preserve"> or</w:t>
      </w:r>
      <w:r w:rsidR="00AC611B">
        <w:t xml:space="preserve"> inhaler)</w:t>
      </w:r>
      <w:r>
        <w:t xml:space="preserve"> </w:t>
      </w:r>
      <w:r w:rsidR="00700977">
        <w:t>and</w:t>
      </w:r>
      <w:r>
        <w:t xml:space="preserve"> placebo as a</w:t>
      </w:r>
      <w:r w:rsidRPr="0068629C">
        <w:t xml:space="preserve"> relapse prevention</w:t>
      </w:r>
      <w:r>
        <w:t xml:space="preserve"> treatment in abstainers. </w:t>
      </w:r>
      <w:r w:rsidR="00436A90">
        <w:t>The safety of</w:t>
      </w:r>
      <w:r w:rsidR="00436A90" w:rsidRPr="00436A90">
        <w:t xml:space="preserve"> </w:t>
      </w:r>
      <w:r w:rsidR="00304C4A">
        <w:t xml:space="preserve">NRT </w:t>
      </w:r>
      <w:r w:rsidR="00AC611B">
        <w:t>(</w:t>
      </w:r>
      <w:r w:rsidR="00700977">
        <w:t xml:space="preserve">either as </w:t>
      </w:r>
      <w:r w:rsidR="00AC611B">
        <w:t>gum</w:t>
      </w:r>
      <w:r w:rsidR="00700977">
        <w:t xml:space="preserve"> or</w:t>
      </w:r>
      <w:r w:rsidR="00AC611B">
        <w:t xml:space="preserve"> inhaler)</w:t>
      </w:r>
      <w:r w:rsidR="00436A90">
        <w:t xml:space="preserve"> versus</w:t>
      </w:r>
      <w:r w:rsidR="00436A90" w:rsidRPr="00436A90">
        <w:t xml:space="preserve"> placebo in abstainers for relapse prevention was not assessed by Livingstone-Banks et al. (2019)</w:t>
      </w:r>
      <w:r w:rsidR="001634E5">
        <w:t xml:space="preserve"> and Croghan et al. 2007, however </w:t>
      </w:r>
      <w:r w:rsidR="001634E5" w:rsidRPr="00C454A4">
        <w:t>the adverse events reported were consistent with those expected of NRT</w:t>
      </w:r>
      <w:r w:rsidR="00436A90" w:rsidRPr="00055555">
        <w:t>.</w:t>
      </w:r>
      <w:r w:rsidR="000978B7" w:rsidRPr="000978B7">
        <w:t xml:space="preserve"> No</w:t>
      </w:r>
      <w:r w:rsidR="000978B7">
        <w:t xml:space="preserve"> evidence was identified</w:t>
      </w:r>
      <w:r w:rsidR="000978B7" w:rsidRPr="000978B7">
        <w:t xml:space="preserve"> compar</w:t>
      </w:r>
      <w:r w:rsidR="000978B7">
        <w:t>ing</w:t>
      </w:r>
      <w:r w:rsidR="000978B7" w:rsidRPr="000978B7">
        <w:t xml:space="preserve"> NRT monotherapy (either as patch, </w:t>
      </w:r>
      <w:r w:rsidR="00826C95" w:rsidRPr="000978B7">
        <w:t>gum,</w:t>
      </w:r>
      <w:r w:rsidR="000978B7" w:rsidRPr="000978B7">
        <w:t xml:space="preserve"> or lozenge) with placebo in patients who achieved abstinence after initial treatment with NRT monotherapy using the same formulation.</w:t>
      </w:r>
    </w:p>
    <w:p w14:paraId="785BD0DA" w14:textId="212FCDBB" w:rsidR="00453B71" w:rsidRDefault="00F9502D" w:rsidP="00453B71">
      <w:pPr>
        <w:spacing w:after="120"/>
        <w:jc w:val="both"/>
      </w:pPr>
      <w:r>
        <w:t xml:space="preserve">For use as retreatment in non-abstainers, </w:t>
      </w:r>
      <w:r w:rsidR="00700977" w:rsidRPr="00700977">
        <w:t xml:space="preserve">there were no statistically significant differences in </w:t>
      </w:r>
      <w:r w:rsidR="00700977">
        <w:t>long-term smoking cessation rates</w:t>
      </w:r>
      <w:r w:rsidR="000124D4">
        <w:t xml:space="preserve"> </w:t>
      </w:r>
      <w:r w:rsidR="00574E4E">
        <w:t>(</w:t>
      </w:r>
      <w:r w:rsidR="000124D4">
        <w:t>continuous abstinence rate</w:t>
      </w:r>
      <w:r w:rsidR="00574E4E">
        <w:t>)</w:t>
      </w:r>
      <w:r w:rsidR="00700977">
        <w:t xml:space="preserve"> between </w:t>
      </w:r>
      <w:r w:rsidR="00D236D0">
        <w:t xml:space="preserve">NRT </w:t>
      </w:r>
      <w:r w:rsidR="00573F59">
        <w:t>patches</w:t>
      </w:r>
      <w:r>
        <w:t xml:space="preserve"> </w:t>
      </w:r>
      <w:r w:rsidR="00700977">
        <w:t>and</w:t>
      </w:r>
      <w:r>
        <w:t xml:space="preserve"> placebo based on </w:t>
      </w:r>
      <w:r w:rsidR="000E49B9">
        <w:t>one RCT (Gourlay</w:t>
      </w:r>
      <w:r w:rsidRPr="004A7AD0">
        <w:t xml:space="preserve"> et al. </w:t>
      </w:r>
      <w:r w:rsidR="000E49B9">
        <w:t>1995) identified by Hartmann-Boyce et al. (2018)</w:t>
      </w:r>
      <w:r>
        <w:t>.</w:t>
      </w:r>
      <w:r w:rsidR="00280431">
        <w:t xml:space="preserve"> </w:t>
      </w:r>
      <w:r w:rsidR="003A7817" w:rsidRPr="003A7817">
        <w:t>However, there was a statistically significant improvement in smoking cessation rates using NRT patches based on 28-day point prevalence abstinence (RR: 2.49; 95% CI: 1.11, 5.57). It was noted that the quit rates were low in both groups with either definition of abstinence.</w:t>
      </w:r>
      <w:r w:rsidR="000124D4">
        <w:t xml:space="preserve"> </w:t>
      </w:r>
      <w:r w:rsidR="00280431">
        <w:t xml:space="preserve">For safety, </w:t>
      </w:r>
      <w:r w:rsidR="00280431" w:rsidRPr="00280431">
        <w:t xml:space="preserve">there were no statistically significant differences between the two treatment arms for palpitations, </w:t>
      </w:r>
      <w:r w:rsidR="00826C95" w:rsidRPr="00280431">
        <w:t>tachycardia,</w:t>
      </w:r>
      <w:r w:rsidR="00280431" w:rsidRPr="00280431">
        <w:t xml:space="preserve"> or chest pains</w:t>
      </w:r>
      <w:r w:rsidR="00280431">
        <w:t>.</w:t>
      </w:r>
    </w:p>
    <w:p w14:paraId="377B687C" w14:textId="77777777" w:rsidR="00453B71" w:rsidRDefault="00453B71">
      <w:pPr>
        <w:spacing w:line="276" w:lineRule="auto"/>
      </w:pPr>
      <w:r>
        <w:br w:type="page"/>
      </w:r>
    </w:p>
    <w:p w14:paraId="17ADACE5" w14:textId="3A975C58" w:rsidR="009252AD" w:rsidRPr="009252AD" w:rsidRDefault="008E0F8C" w:rsidP="00453B71">
      <w:pPr>
        <w:pStyle w:val="Heading3"/>
        <w:spacing w:before="120" w:after="120"/>
        <w:jc w:val="both"/>
      </w:pPr>
      <w:bookmarkStart w:id="103" w:name="_Ref61966664"/>
      <w:bookmarkStart w:id="104" w:name="_Ref61966744"/>
      <w:bookmarkStart w:id="105" w:name="_Ref62112579"/>
      <w:bookmarkStart w:id="106" w:name="_Toc115254512"/>
      <w:r>
        <w:lastRenderedPageBreak/>
        <w:t>Combination therap</w:t>
      </w:r>
      <w:r w:rsidR="003045D2">
        <w:t>y</w:t>
      </w:r>
      <w:r>
        <w:t xml:space="preserve"> in </w:t>
      </w:r>
      <w:r w:rsidR="0023207B">
        <w:t xml:space="preserve">the </w:t>
      </w:r>
      <w:r>
        <w:t>general population</w:t>
      </w:r>
      <w:bookmarkEnd w:id="103"/>
      <w:bookmarkEnd w:id="104"/>
      <w:bookmarkEnd w:id="105"/>
      <w:bookmarkEnd w:id="106"/>
    </w:p>
    <w:p w14:paraId="6F40068B" w14:textId="0C387496" w:rsidR="002C1C20" w:rsidRDefault="002C1C20" w:rsidP="00453B71">
      <w:pPr>
        <w:spacing w:after="120"/>
        <w:jc w:val="both"/>
      </w:pPr>
      <w:r>
        <w:t>The aim of this section was to s</w:t>
      </w:r>
      <w:r w:rsidRPr="002C1C20">
        <w:t>ummarise the comparative efficacy and safety of PBS-listed treatments when used as combination therapy</w:t>
      </w:r>
      <w:r>
        <w:t>.</w:t>
      </w:r>
    </w:p>
    <w:p w14:paraId="44D640CD" w14:textId="2F09A6A0" w:rsidR="008F0D17" w:rsidRDefault="005457DC" w:rsidP="00453B71">
      <w:pPr>
        <w:spacing w:after="120"/>
        <w:jc w:val="both"/>
      </w:pPr>
      <w:r>
        <w:t xml:space="preserve">A summary of the new evidence identified </w:t>
      </w:r>
      <w:r w:rsidR="000A4AA8">
        <w:t>assessing the use of</w:t>
      </w:r>
      <w:r>
        <w:t xml:space="preserve"> </w:t>
      </w:r>
      <w:r w:rsidR="00AD6683">
        <w:t>combination therap</w:t>
      </w:r>
      <w:r w:rsidR="00C6766A">
        <w:t>ies</w:t>
      </w:r>
      <w:r w:rsidR="000F223E">
        <w:t xml:space="preserve"> </w:t>
      </w:r>
      <w:r w:rsidR="004E1031">
        <w:t>for</w:t>
      </w:r>
      <w:r>
        <w:t xml:space="preserve"> smoking cessation is presented in </w:t>
      </w:r>
      <w:r w:rsidR="008F0D17">
        <w:fldChar w:fldCharType="begin" w:fldLock="1"/>
      </w:r>
      <w:r w:rsidR="008F0D17">
        <w:instrText xml:space="preserve"> REF _Ref58491140 \h </w:instrText>
      </w:r>
      <w:r w:rsidR="008F0D17">
        <w:fldChar w:fldCharType="separate"/>
      </w:r>
      <w:r w:rsidR="00EC5CC7">
        <w:t xml:space="preserve">Table </w:t>
      </w:r>
      <w:r w:rsidR="00EC5CC7">
        <w:rPr>
          <w:noProof/>
        </w:rPr>
        <w:t>53</w:t>
      </w:r>
      <w:r w:rsidR="008F0D17">
        <w:fldChar w:fldCharType="end"/>
      </w:r>
      <w:r>
        <w:t xml:space="preserve">. </w:t>
      </w:r>
      <w:r w:rsidR="008F0D17" w:rsidRPr="008F0D17">
        <w:t>The evidence is presented according to the population type (treatment-naïve or treatment-experienced)</w:t>
      </w:r>
      <w:r w:rsidR="008F0D17">
        <w:t>.</w:t>
      </w:r>
      <w:r w:rsidR="008F0D17" w:rsidRPr="008F0D17">
        <w:t xml:space="preserve"> </w:t>
      </w:r>
    </w:p>
    <w:p w14:paraId="251E2E67" w14:textId="10FF8936" w:rsidR="00CD36A3" w:rsidRDefault="008F0D17" w:rsidP="00453B71">
      <w:pPr>
        <w:spacing w:after="120"/>
        <w:jc w:val="both"/>
      </w:pPr>
      <w:r w:rsidRPr="008F0D17">
        <w:t xml:space="preserve">Combination therapies for smoking cessation have not been previously considered by the PBAC. </w:t>
      </w:r>
      <w:r w:rsidR="008E2F8C">
        <w:t>In March 2018, the PBAC noted</w:t>
      </w:r>
      <w:r>
        <w:t xml:space="preserve"> that</w:t>
      </w:r>
      <w:r w:rsidR="005A41C9">
        <w:t xml:space="preserve"> the latest clinical guidelines </w:t>
      </w:r>
      <w:r w:rsidR="00CF2559">
        <w:t>encourage</w:t>
      </w:r>
      <w:r w:rsidR="00ED39E2">
        <w:t>d</w:t>
      </w:r>
      <w:r w:rsidR="00CD61C1">
        <w:t xml:space="preserve"> health professionals to</w:t>
      </w:r>
      <w:r w:rsidR="00B76A2D">
        <w:t xml:space="preserve"> consider recommending the use of combination NRT</w:t>
      </w:r>
      <w:r w:rsidR="00F90497">
        <w:t xml:space="preserve"> (</w:t>
      </w:r>
      <w:r w:rsidR="00826C95">
        <w:t>e.g.,</w:t>
      </w:r>
      <w:r w:rsidR="00F90497">
        <w:t xml:space="preserve"> NRT patch with NRT gum</w:t>
      </w:r>
      <w:r w:rsidR="002F651E">
        <w:t xml:space="preserve"> or </w:t>
      </w:r>
      <w:r w:rsidR="00573F59">
        <w:t>lozenges</w:t>
      </w:r>
      <w:r w:rsidR="00F90497">
        <w:t>)</w:t>
      </w:r>
      <w:r w:rsidR="0064608A">
        <w:t xml:space="preserve"> (</w:t>
      </w:r>
      <w:r w:rsidR="0064608A" w:rsidRPr="00136998">
        <w:t xml:space="preserve">NRT PSD, </w:t>
      </w:r>
      <w:r w:rsidR="00962255" w:rsidRPr="00136998">
        <w:t xml:space="preserve">March </w:t>
      </w:r>
      <w:r w:rsidR="0064608A" w:rsidRPr="00136998">
        <w:t>2018</w:t>
      </w:r>
      <w:r w:rsidR="00962255" w:rsidRPr="00136998">
        <w:t xml:space="preserve"> PBAC meeting</w:t>
      </w:r>
      <w:r w:rsidR="0064608A">
        <w:t>)</w:t>
      </w:r>
      <w:r w:rsidR="002F651E">
        <w:t xml:space="preserve">. </w:t>
      </w:r>
      <w:r w:rsidR="00727C7E">
        <w:t>As such, t</w:t>
      </w:r>
      <w:r w:rsidR="007E611F">
        <w:t xml:space="preserve">he comparison of </w:t>
      </w:r>
      <w:r w:rsidR="008E48E7">
        <w:t xml:space="preserve">combination </w:t>
      </w:r>
      <w:r w:rsidR="007E611F">
        <w:t xml:space="preserve">NRT </w:t>
      </w:r>
      <w:r w:rsidR="00CD36A3">
        <w:t xml:space="preserve">is presented first, followed by </w:t>
      </w:r>
      <w:r w:rsidR="00317AB1">
        <w:t xml:space="preserve">different </w:t>
      </w:r>
      <w:r w:rsidR="008E48E7">
        <w:t>combination</w:t>
      </w:r>
      <w:r w:rsidR="00317AB1">
        <w:t>s</w:t>
      </w:r>
      <w:r w:rsidR="008E48E7">
        <w:t xml:space="preserve"> </w:t>
      </w:r>
      <w:r w:rsidR="00317AB1">
        <w:t>including</w:t>
      </w:r>
      <w:r w:rsidR="008E48E7">
        <w:t xml:space="preserve"> v</w:t>
      </w:r>
      <w:r w:rsidR="00CD36A3">
        <w:t xml:space="preserve">arenicline and </w:t>
      </w:r>
      <w:r w:rsidR="00317AB1">
        <w:t xml:space="preserve">different </w:t>
      </w:r>
      <w:r w:rsidR="008E48E7">
        <w:t>combination</w:t>
      </w:r>
      <w:r w:rsidR="00317AB1">
        <w:t xml:space="preserve">s </w:t>
      </w:r>
      <w:r w:rsidR="00B05DCD">
        <w:t>including</w:t>
      </w:r>
      <w:r w:rsidR="008E48E7">
        <w:t xml:space="preserve"> </w:t>
      </w:r>
      <w:r w:rsidR="00CD36A3">
        <w:t xml:space="preserve">bupropion. </w:t>
      </w:r>
    </w:p>
    <w:p w14:paraId="022743B4" w14:textId="6FFE5FC9" w:rsidR="0064608A" w:rsidRDefault="0064608A" w:rsidP="00453B71">
      <w:pPr>
        <w:pStyle w:val="Caption"/>
        <w:keepNext/>
        <w:spacing w:before="0" w:after="120"/>
        <w:jc w:val="both"/>
      </w:pPr>
      <w:bookmarkStart w:id="107" w:name="_Ref58491140"/>
      <w:r>
        <w:t xml:space="preserve">Table </w:t>
      </w:r>
      <w:r w:rsidR="00BF3F75">
        <w:fldChar w:fldCharType="begin"/>
      </w:r>
      <w:r w:rsidR="00BF3F75">
        <w:instrText xml:space="preserve"> SEQ Table \* ARABIC </w:instrText>
      </w:r>
      <w:r w:rsidR="00BF3F75">
        <w:fldChar w:fldCharType="separate"/>
      </w:r>
      <w:r w:rsidR="00EC5CC7">
        <w:rPr>
          <w:noProof/>
        </w:rPr>
        <w:t>53</w:t>
      </w:r>
      <w:r w:rsidR="00BF3F75">
        <w:rPr>
          <w:noProof/>
        </w:rPr>
        <w:fldChar w:fldCharType="end"/>
      </w:r>
      <w:bookmarkEnd w:id="107"/>
      <w:r>
        <w:t xml:space="preserve">: </w:t>
      </w:r>
      <w:r w:rsidRPr="00BB5494">
        <w:t xml:space="preserve">New evidence identified comparing </w:t>
      </w:r>
      <w:r w:rsidR="00DA051E">
        <w:t xml:space="preserve">combination </w:t>
      </w:r>
      <w:r w:rsidRPr="00BB5494">
        <w:t>therapy intervention in smoking cessation</w:t>
      </w:r>
    </w:p>
    <w:tbl>
      <w:tblPr>
        <w:tblStyle w:val="TableGrid"/>
        <w:tblW w:w="5000" w:type="pct"/>
        <w:tblLook w:val="04A0" w:firstRow="1" w:lastRow="0" w:firstColumn="1" w:lastColumn="0" w:noHBand="0" w:noVBand="1"/>
      </w:tblPr>
      <w:tblGrid>
        <w:gridCol w:w="1288"/>
        <w:gridCol w:w="3163"/>
        <w:gridCol w:w="2283"/>
        <w:gridCol w:w="2282"/>
      </w:tblGrid>
      <w:tr w:rsidR="00EF18B9" w14:paraId="0F2AA451" w14:textId="0E946BF0" w:rsidTr="006E4F2B">
        <w:trPr>
          <w:trHeight w:val="241"/>
        </w:trPr>
        <w:tc>
          <w:tcPr>
            <w:tcW w:w="697" w:type="pct"/>
            <w:tcBorders>
              <w:tl2br w:val="nil"/>
            </w:tcBorders>
            <w:shd w:val="clear" w:color="auto" w:fill="BFBFBF" w:themeFill="background1" w:themeFillShade="BF"/>
          </w:tcPr>
          <w:p w14:paraId="469622CB" w14:textId="6CF057AD" w:rsidR="00EF18B9" w:rsidRDefault="00EF18B9" w:rsidP="00255AF9">
            <w:pPr>
              <w:pStyle w:val="Tableheading"/>
              <w:keepNext/>
            </w:pPr>
            <w:r>
              <w:t>Intervention</w:t>
            </w:r>
          </w:p>
        </w:tc>
        <w:tc>
          <w:tcPr>
            <w:tcW w:w="1760" w:type="pct"/>
            <w:shd w:val="clear" w:color="auto" w:fill="BFBFBF" w:themeFill="background1" w:themeFillShade="BF"/>
          </w:tcPr>
          <w:p w14:paraId="08C1AF66" w14:textId="77777777" w:rsidR="00EF18B9" w:rsidRDefault="00EF18B9" w:rsidP="00255AF9">
            <w:pPr>
              <w:pStyle w:val="Tableheading"/>
              <w:keepNext/>
              <w:jc w:val="center"/>
            </w:pPr>
            <w:r>
              <w:t>Intervention and comparator</w:t>
            </w:r>
          </w:p>
        </w:tc>
        <w:tc>
          <w:tcPr>
            <w:tcW w:w="1272" w:type="pct"/>
            <w:shd w:val="clear" w:color="auto" w:fill="BFBFBF" w:themeFill="background1" w:themeFillShade="BF"/>
          </w:tcPr>
          <w:p w14:paraId="7887039A" w14:textId="77777777" w:rsidR="00EF18B9" w:rsidRDefault="00EF18B9" w:rsidP="00255AF9">
            <w:pPr>
              <w:pStyle w:val="Tableheading"/>
              <w:keepNext/>
              <w:jc w:val="center"/>
            </w:pPr>
            <w:r>
              <w:t>New evidence identified</w:t>
            </w:r>
          </w:p>
          <w:p w14:paraId="0B9FDE95" w14:textId="4B694D68" w:rsidR="00EF18B9" w:rsidRDefault="00EF18B9" w:rsidP="00255AF9">
            <w:pPr>
              <w:pStyle w:val="Tableheading"/>
              <w:keepNext/>
              <w:jc w:val="center"/>
            </w:pPr>
            <w:r>
              <w:t>(Cochrane Review)</w:t>
            </w:r>
          </w:p>
        </w:tc>
        <w:tc>
          <w:tcPr>
            <w:tcW w:w="1271" w:type="pct"/>
            <w:shd w:val="clear" w:color="auto" w:fill="BFBFBF" w:themeFill="background1" w:themeFillShade="BF"/>
          </w:tcPr>
          <w:p w14:paraId="6EFD98F2" w14:textId="1749E714" w:rsidR="00EF18B9" w:rsidRDefault="008D6C59" w:rsidP="00255AF9">
            <w:pPr>
              <w:pStyle w:val="Tableheading"/>
              <w:keepNext/>
              <w:jc w:val="center"/>
            </w:pPr>
            <w:r>
              <w:t>Additional empirical evidence identified</w:t>
            </w:r>
          </w:p>
        </w:tc>
      </w:tr>
      <w:tr w:rsidR="006E4F2B" w14:paraId="1D62CE3A" w14:textId="77777777" w:rsidTr="004B53F8">
        <w:tc>
          <w:tcPr>
            <w:tcW w:w="5000" w:type="pct"/>
            <w:gridSpan w:val="4"/>
            <w:shd w:val="clear" w:color="auto" w:fill="auto"/>
          </w:tcPr>
          <w:p w14:paraId="612D2EA1" w14:textId="31C1CE8F" w:rsidR="006E4F2B" w:rsidRPr="005E265F" w:rsidRDefault="006E4F2B" w:rsidP="00255AF9">
            <w:pPr>
              <w:pStyle w:val="Tablewriting"/>
              <w:keepNext/>
              <w:rPr>
                <w:b/>
              </w:rPr>
            </w:pPr>
            <w:r w:rsidRPr="005E265F">
              <w:rPr>
                <w:b/>
              </w:rPr>
              <w:t>Treatment-naïve population</w:t>
            </w:r>
          </w:p>
        </w:tc>
      </w:tr>
      <w:tr w:rsidR="00EF18B9" w14:paraId="1D053F36" w14:textId="24A16507" w:rsidTr="006E4F2B">
        <w:tc>
          <w:tcPr>
            <w:tcW w:w="697" w:type="pct"/>
            <w:vMerge w:val="restart"/>
          </w:tcPr>
          <w:p w14:paraId="169C7DFA" w14:textId="671DFA68" w:rsidR="00EF18B9" w:rsidRDefault="00EF18B9" w:rsidP="00255AF9">
            <w:pPr>
              <w:pStyle w:val="Tablewriting"/>
              <w:keepNext/>
              <w:rPr>
                <w:b/>
                <w:bCs/>
              </w:rPr>
            </w:pPr>
            <w:r>
              <w:rPr>
                <w:b/>
                <w:bCs/>
              </w:rPr>
              <w:t>Combination NRT</w:t>
            </w:r>
          </w:p>
        </w:tc>
        <w:tc>
          <w:tcPr>
            <w:tcW w:w="1760" w:type="pct"/>
          </w:tcPr>
          <w:p w14:paraId="0C99A13C" w14:textId="4C37C2D9" w:rsidR="00EF18B9" w:rsidRDefault="00EF18B9" w:rsidP="00255AF9">
            <w:pPr>
              <w:pStyle w:val="Tablewriting"/>
              <w:keepNext/>
            </w:pPr>
            <w:r>
              <w:t>Combination NRT versus placebo</w:t>
            </w:r>
          </w:p>
        </w:tc>
        <w:tc>
          <w:tcPr>
            <w:tcW w:w="1272" w:type="pct"/>
          </w:tcPr>
          <w:p w14:paraId="7CCB4439" w14:textId="3051C91E" w:rsidR="00EF18B9" w:rsidRDefault="00EF18B9" w:rsidP="00255AF9">
            <w:pPr>
              <w:pStyle w:val="Tablewriting"/>
              <w:keepNext/>
            </w:pPr>
            <w:r>
              <w:t>Hartmann-Boyce 2018</w:t>
            </w:r>
          </w:p>
        </w:tc>
        <w:tc>
          <w:tcPr>
            <w:tcW w:w="1271" w:type="pct"/>
          </w:tcPr>
          <w:p w14:paraId="5EAD8B8B" w14:textId="39223B66" w:rsidR="00EF18B9" w:rsidRDefault="00EF18B9" w:rsidP="00255AF9">
            <w:pPr>
              <w:pStyle w:val="Tablewriting"/>
              <w:keepNext/>
            </w:pPr>
            <w:r>
              <w:t>Chen 2020</w:t>
            </w:r>
            <w:r>
              <w:rPr>
                <w:vertAlign w:val="superscript"/>
              </w:rPr>
              <w:t>1</w:t>
            </w:r>
          </w:p>
        </w:tc>
      </w:tr>
      <w:tr w:rsidR="00EF18B9" w14:paraId="3155D9B1" w14:textId="2282407B" w:rsidTr="006E4F2B">
        <w:tc>
          <w:tcPr>
            <w:tcW w:w="697" w:type="pct"/>
            <w:vMerge/>
          </w:tcPr>
          <w:p w14:paraId="00FFF55C" w14:textId="7EA1CDD2" w:rsidR="00EF18B9" w:rsidRPr="00512781" w:rsidRDefault="00EF18B9" w:rsidP="00255AF9">
            <w:pPr>
              <w:pStyle w:val="Tablewriting"/>
              <w:keepNext/>
              <w:rPr>
                <w:b/>
                <w:bCs/>
              </w:rPr>
            </w:pPr>
          </w:p>
        </w:tc>
        <w:tc>
          <w:tcPr>
            <w:tcW w:w="1760" w:type="pct"/>
          </w:tcPr>
          <w:p w14:paraId="6ED2296E" w14:textId="17C119E4" w:rsidR="00EF18B9" w:rsidRDefault="00EF18B9" w:rsidP="00255AF9">
            <w:pPr>
              <w:pStyle w:val="Tablewriting"/>
              <w:keepNext/>
            </w:pPr>
            <w:r>
              <w:t>Combination NRT versus NRT monotherapy</w:t>
            </w:r>
          </w:p>
        </w:tc>
        <w:tc>
          <w:tcPr>
            <w:tcW w:w="1272" w:type="pct"/>
          </w:tcPr>
          <w:p w14:paraId="0CEE6999" w14:textId="60035E85" w:rsidR="00EF18B9" w:rsidRDefault="00EF18B9" w:rsidP="00255AF9">
            <w:pPr>
              <w:pStyle w:val="Tablewriting"/>
              <w:keepNext/>
            </w:pPr>
            <w:r>
              <w:t>Lindson 2019</w:t>
            </w:r>
          </w:p>
        </w:tc>
        <w:tc>
          <w:tcPr>
            <w:tcW w:w="1271" w:type="pct"/>
          </w:tcPr>
          <w:p w14:paraId="79F06767" w14:textId="6DCCD64B" w:rsidR="00EF18B9" w:rsidRPr="00583632" w:rsidRDefault="005F1D0E" w:rsidP="00255AF9">
            <w:pPr>
              <w:pStyle w:val="Tablewriting"/>
              <w:keepNext/>
              <w:rPr>
                <w:highlight w:val="yellow"/>
              </w:rPr>
            </w:pPr>
            <w:r w:rsidRPr="00D86305">
              <w:t>Leung 2019</w:t>
            </w:r>
          </w:p>
        </w:tc>
      </w:tr>
      <w:tr w:rsidR="00EF18B9" w14:paraId="0D11CE62" w14:textId="3F381C98" w:rsidTr="006E4F2B">
        <w:tc>
          <w:tcPr>
            <w:tcW w:w="697" w:type="pct"/>
            <w:vMerge/>
          </w:tcPr>
          <w:p w14:paraId="458D1D3D" w14:textId="77777777" w:rsidR="00EF18B9" w:rsidRPr="00512781" w:rsidRDefault="00EF18B9" w:rsidP="00255AF9">
            <w:pPr>
              <w:pStyle w:val="Tablewriting"/>
              <w:keepNext/>
              <w:rPr>
                <w:b/>
                <w:bCs/>
              </w:rPr>
            </w:pPr>
          </w:p>
        </w:tc>
        <w:tc>
          <w:tcPr>
            <w:tcW w:w="1760" w:type="pct"/>
          </w:tcPr>
          <w:p w14:paraId="51A78101" w14:textId="504F648A" w:rsidR="00EF18B9" w:rsidRDefault="00EF18B9" w:rsidP="00255AF9">
            <w:pPr>
              <w:pStyle w:val="Tablewriting"/>
              <w:keepNext/>
            </w:pPr>
            <w:r>
              <w:t>Combination NRT versus varenicline</w:t>
            </w:r>
          </w:p>
        </w:tc>
        <w:tc>
          <w:tcPr>
            <w:tcW w:w="1272" w:type="pct"/>
          </w:tcPr>
          <w:p w14:paraId="6407749E" w14:textId="0864FD0D" w:rsidR="00EF18B9" w:rsidRPr="0012484D" w:rsidRDefault="00EF18B9" w:rsidP="00325DC5">
            <w:pPr>
              <w:pStyle w:val="Tablewriting"/>
              <w:keepNext/>
            </w:pPr>
            <w:r>
              <w:t>Cahill 2013</w:t>
            </w:r>
            <w:r>
              <w:rPr>
                <w:vertAlign w:val="superscript"/>
              </w:rPr>
              <w:t xml:space="preserve">2 </w:t>
            </w:r>
          </w:p>
        </w:tc>
        <w:tc>
          <w:tcPr>
            <w:tcW w:w="1271" w:type="pct"/>
          </w:tcPr>
          <w:p w14:paraId="66ADD500" w14:textId="7D6D3744" w:rsidR="00EF18B9" w:rsidRDefault="00806DF9" w:rsidP="00325DC5">
            <w:pPr>
              <w:pStyle w:val="Tablewriting"/>
              <w:keepNext/>
            </w:pPr>
            <w:r>
              <w:t>Chen 2020</w:t>
            </w:r>
            <w:r>
              <w:rPr>
                <w:vertAlign w:val="superscript"/>
              </w:rPr>
              <w:t>1</w:t>
            </w:r>
          </w:p>
        </w:tc>
      </w:tr>
      <w:tr w:rsidR="00EF18B9" w14:paraId="2FE76EEC" w14:textId="34BC2A63" w:rsidTr="006E4F2B">
        <w:tc>
          <w:tcPr>
            <w:tcW w:w="697" w:type="pct"/>
            <w:vMerge/>
          </w:tcPr>
          <w:p w14:paraId="7833A276" w14:textId="77777777" w:rsidR="00EF18B9" w:rsidRPr="00512781" w:rsidRDefault="00EF18B9" w:rsidP="00255AF9">
            <w:pPr>
              <w:pStyle w:val="Tablewriting"/>
              <w:keepNext/>
              <w:rPr>
                <w:b/>
                <w:bCs/>
              </w:rPr>
            </w:pPr>
          </w:p>
        </w:tc>
        <w:tc>
          <w:tcPr>
            <w:tcW w:w="1760" w:type="pct"/>
          </w:tcPr>
          <w:p w14:paraId="6FEC7104" w14:textId="35D3454E" w:rsidR="00EF18B9" w:rsidRDefault="00EF18B9" w:rsidP="00255AF9">
            <w:pPr>
              <w:pStyle w:val="Tablewriting"/>
              <w:keepNext/>
            </w:pPr>
            <w:r>
              <w:t>Combination NRT versus bupropion</w:t>
            </w:r>
          </w:p>
        </w:tc>
        <w:tc>
          <w:tcPr>
            <w:tcW w:w="1272" w:type="pct"/>
          </w:tcPr>
          <w:p w14:paraId="5CB892DF" w14:textId="06317DE1" w:rsidR="00EF18B9" w:rsidRPr="00E62111" w:rsidRDefault="00EF18B9" w:rsidP="00255AF9">
            <w:pPr>
              <w:pStyle w:val="Tablewriting"/>
              <w:keepNext/>
              <w:rPr>
                <w:vertAlign w:val="superscript"/>
              </w:rPr>
            </w:pPr>
            <w:r>
              <w:t>Cahill 2013</w:t>
            </w:r>
            <w:r>
              <w:rPr>
                <w:vertAlign w:val="superscript"/>
              </w:rPr>
              <w:t>2</w:t>
            </w:r>
          </w:p>
        </w:tc>
        <w:tc>
          <w:tcPr>
            <w:tcW w:w="1271" w:type="pct"/>
          </w:tcPr>
          <w:p w14:paraId="31B2EE0F" w14:textId="6645E6C4" w:rsidR="00EF18B9" w:rsidRPr="00583632" w:rsidRDefault="00BB4AB9" w:rsidP="00255AF9">
            <w:pPr>
              <w:pStyle w:val="Tablewriting"/>
              <w:keepNext/>
              <w:rPr>
                <w:highlight w:val="yellow"/>
              </w:rPr>
            </w:pPr>
            <w:r w:rsidRPr="009E3316">
              <w:t>N</w:t>
            </w:r>
            <w:r>
              <w:t>one identified</w:t>
            </w:r>
          </w:p>
        </w:tc>
      </w:tr>
      <w:tr w:rsidR="00EF18B9" w14:paraId="336E1330" w14:textId="6B773A7C" w:rsidTr="006E4F2B">
        <w:tc>
          <w:tcPr>
            <w:tcW w:w="697" w:type="pct"/>
            <w:vMerge w:val="restart"/>
          </w:tcPr>
          <w:p w14:paraId="6F632B09" w14:textId="7549F20C" w:rsidR="00EF18B9" w:rsidRPr="00512781" w:rsidRDefault="00EF18B9" w:rsidP="00DA2BE2">
            <w:pPr>
              <w:pStyle w:val="Tablewriting"/>
              <w:keepNext/>
              <w:rPr>
                <w:b/>
                <w:bCs/>
              </w:rPr>
            </w:pPr>
            <w:r>
              <w:rPr>
                <w:b/>
                <w:bCs/>
              </w:rPr>
              <w:t>Combination varenicline</w:t>
            </w:r>
          </w:p>
        </w:tc>
        <w:tc>
          <w:tcPr>
            <w:tcW w:w="1760" w:type="pct"/>
          </w:tcPr>
          <w:p w14:paraId="4A76F64C" w14:textId="09CE6150" w:rsidR="00EF18B9" w:rsidRDefault="00EF18B9" w:rsidP="00255AF9">
            <w:pPr>
              <w:pStyle w:val="Tablewriting"/>
              <w:keepNext/>
            </w:pPr>
            <w:r>
              <w:t>Varenicline + NRT versus varenicline</w:t>
            </w:r>
          </w:p>
        </w:tc>
        <w:tc>
          <w:tcPr>
            <w:tcW w:w="1272" w:type="pct"/>
          </w:tcPr>
          <w:p w14:paraId="31415BDE" w14:textId="353A340F" w:rsidR="00EF18B9" w:rsidRPr="00583632" w:rsidRDefault="008D6C59" w:rsidP="00255AF9">
            <w:pPr>
              <w:pStyle w:val="Tablewriting"/>
              <w:keepNext/>
            </w:pPr>
            <w:r>
              <w:t>Chang 2015</w:t>
            </w:r>
            <w:r>
              <w:rPr>
                <w:vertAlign w:val="superscript"/>
              </w:rPr>
              <w:t>3</w:t>
            </w:r>
          </w:p>
        </w:tc>
        <w:tc>
          <w:tcPr>
            <w:tcW w:w="1271" w:type="pct"/>
          </w:tcPr>
          <w:p w14:paraId="580B896D" w14:textId="22B2E038" w:rsidR="00EF18B9" w:rsidRDefault="00BB4AB9" w:rsidP="00255AF9">
            <w:pPr>
              <w:pStyle w:val="Tablewriting"/>
              <w:keepNext/>
            </w:pPr>
            <w:r w:rsidRPr="009E3316">
              <w:t>N</w:t>
            </w:r>
            <w:r>
              <w:t>one identified</w:t>
            </w:r>
          </w:p>
        </w:tc>
      </w:tr>
      <w:tr w:rsidR="00EF18B9" w14:paraId="6B056F1D" w14:textId="5073390A" w:rsidTr="006E4F2B">
        <w:trPr>
          <w:trHeight w:val="243"/>
        </w:trPr>
        <w:tc>
          <w:tcPr>
            <w:tcW w:w="697" w:type="pct"/>
            <w:vMerge/>
          </w:tcPr>
          <w:p w14:paraId="20E2F37A" w14:textId="77777777" w:rsidR="00EF18B9" w:rsidRPr="00512781" w:rsidRDefault="00EF18B9" w:rsidP="00255AF9">
            <w:pPr>
              <w:pStyle w:val="Tablewriting"/>
              <w:keepNext/>
              <w:rPr>
                <w:b/>
                <w:bCs/>
              </w:rPr>
            </w:pPr>
          </w:p>
        </w:tc>
        <w:tc>
          <w:tcPr>
            <w:tcW w:w="1760" w:type="pct"/>
          </w:tcPr>
          <w:p w14:paraId="3DA35D65" w14:textId="5D5BCA6E" w:rsidR="00EF18B9" w:rsidRDefault="00EF18B9" w:rsidP="00255AF9">
            <w:pPr>
              <w:pStyle w:val="Tablewriting"/>
              <w:keepNext/>
            </w:pPr>
            <w:r>
              <w:t>Varenicline + bupropion versus varenicline</w:t>
            </w:r>
          </w:p>
        </w:tc>
        <w:tc>
          <w:tcPr>
            <w:tcW w:w="1272" w:type="pct"/>
          </w:tcPr>
          <w:p w14:paraId="3308933E" w14:textId="54957BD7" w:rsidR="00EF18B9" w:rsidRDefault="00EF18B9" w:rsidP="00255AF9">
            <w:pPr>
              <w:pStyle w:val="Tablewriting"/>
              <w:keepNext/>
            </w:pPr>
            <w:r>
              <w:t>Howes 2020</w:t>
            </w:r>
          </w:p>
        </w:tc>
        <w:tc>
          <w:tcPr>
            <w:tcW w:w="1271" w:type="pct"/>
          </w:tcPr>
          <w:p w14:paraId="6F60154A" w14:textId="43509737" w:rsidR="00EF18B9" w:rsidRPr="00583632" w:rsidRDefault="00BB4AB9" w:rsidP="00255AF9">
            <w:pPr>
              <w:pStyle w:val="Tablewriting"/>
              <w:keepNext/>
              <w:rPr>
                <w:highlight w:val="yellow"/>
              </w:rPr>
            </w:pPr>
            <w:r w:rsidRPr="009E3316">
              <w:t>N</w:t>
            </w:r>
            <w:r>
              <w:t>one identified</w:t>
            </w:r>
          </w:p>
        </w:tc>
      </w:tr>
      <w:tr w:rsidR="00EF18B9" w14:paraId="3AB93849" w14:textId="543A6E49" w:rsidTr="006E4F2B">
        <w:trPr>
          <w:trHeight w:val="103"/>
        </w:trPr>
        <w:tc>
          <w:tcPr>
            <w:tcW w:w="697" w:type="pct"/>
          </w:tcPr>
          <w:p w14:paraId="20715FD9" w14:textId="7628532D" w:rsidR="00EF18B9" w:rsidRPr="00B97ECE" w:rsidRDefault="00EF18B9" w:rsidP="00255AF9">
            <w:pPr>
              <w:pStyle w:val="Tablewriting"/>
              <w:keepNext/>
              <w:rPr>
                <w:b/>
                <w:vertAlign w:val="superscript"/>
              </w:rPr>
            </w:pPr>
            <w:r>
              <w:rPr>
                <w:b/>
                <w:bCs/>
              </w:rPr>
              <w:t>Combination bupropion</w:t>
            </w:r>
          </w:p>
        </w:tc>
        <w:tc>
          <w:tcPr>
            <w:tcW w:w="1760" w:type="pct"/>
          </w:tcPr>
          <w:p w14:paraId="3876C067" w14:textId="1CBEE493" w:rsidR="00EF18B9" w:rsidRDefault="00EF18B9" w:rsidP="00255AF9">
            <w:pPr>
              <w:pStyle w:val="Tablewriting"/>
              <w:keepNext/>
            </w:pPr>
            <w:r>
              <w:t>Bupropion + NRT versus NRT</w:t>
            </w:r>
          </w:p>
        </w:tc>
        <w:tc>
          <w:tcPr>
            <w:tcW w:w="1272" w:type="pct"/>
          </w:tcPr>
          <w:p w14:paraId="2936E9EF" w14:textId="6E6F568F" w:rsidR="00EF18B9" w:rsidRDefault="00EF18B9" w:rsidP="00255AF9">
            <w:pPr>
              <w:pStyle w:val="Tablewriting"/>
              <w:keepNext/>
            </w:pPr>
            <w:r>
              <w:t>Howes 2020</w:t>
            </w:r>
          </w:p>
        </w:tc>
        <w:tc>
          <w:tcPr>
            <w:tcW w:w="1271" w:type="pct"/>
          </w:tcPr>
          <w:p w14:paraId="60A5C6F3" w14:textId="05C5EEC7" w:rsidR="00EF18B9" w:rsidRPr="00583632" w:rsidRDefault="00BB4AB9" w:rsidP="00255AF9">
            <w:pPr>
              <w:pStyle w:val="Tablewriting"/>
              <w:keepNext/>
              <w:rPr>
                <w:highlight w:val="yellow"/>
              </w:rPr>
            </w:pPr>
            <w:r w:rsidRPr="009E3316">
              <w:t>N</w:t>
            </w:r>
            <w:r>
              <w:t>one identified</w:t>
            </w:r>
          </w:p>
        </w:tc>
      </w:tr>
      <w:tr w:rsidR="00F82E46" w14:paraId="697E4F62" w14:textId="77777777" w:rsidTr="004B53F8">
        <w:trPr>
          <w:trHeight w:val="103"/>
        </w:trPr>
        <w:tc>
          <w:tcPr>
            <w:tcW w:w="5000" w:type="pct"/>
            <w:gridSpan w:val="4"/>
            <w:shd w:val="clear" w:color="auto" w:fill="auto"/>
          </w:tcPr>
          <w:p w14:paraId="3BE8B541" w14:textId="5251D41E" w:rsidR="00F82E46" w:rsidRPr="00583632" w:rsidRDefault="00F82E46" w:rsidP="00255AF9">
            <w:pPr>
              <w:pStyle w:val="Tablewriting"/>
              <w:keepNext/>
              <w:rPr>
                <w:highlight w:val="yellow"/>
              </w:rPr>
            </w:pPr>
            <w:r w:rsidRPr="005E265F">
              <w:rPr>
                <w:b/>
                <w:bCs/>
              </w:rPr>
              <w:t>Treatment-</w:t>
            </w:r>
            <w:r>
              <w:rPr>
                <w:b/>
                <w:bCs/>
              </w:rPr>
              <w:t>experienced</w:t>
            </w:r>
            <w:r w:rsidRPr="005E265F">
              <w:rPr>
                <w:b/>
                <w:bCs/>
              </w:rPr>
              <w:t xml:space="preserve"> population</w:t>
            </w:r>
          </w:p>
        </w:tc>
      </w:tr>
      <w:tr w:rsidR="00F82E46" w14:paraId="5300AAE6" w14:textId="77777777" w:rsidTr="006E4F2B">
        <w:trPr>
          <w:trHeight w:val="103"/>
        </w:trPr>
        <w:tc>
          <w:tcPr>
            <w:tcW w:w="697" w:type="pct"/>
          </w:tcPr>
          <w:p w14:paraId="65C1E910" w14:textId="7ABA495E" w:rsidR="00F82E46" w:rsidRDefault="007E18D0" w:rsidP="00255AF9">
            <w:pPr>
              <w:pStyle w:val="Tablewriting"/>
              <w:keepNext/>
              <w:rPr>
                <w:b/>
                <w:bCs/>
              </w:rPr>
            </w:pPr>
            <w:r>
              <w:rPr>
                <w:b/>
                <w:bCs/>
              </w:rPr>
              <w:t xml:space="preserve">Combination </w:t>
            </w:r>
            <w:r w:rsidR="00F3134E">
              <w:rPr>
                <w:b/>
                <w:bCs/>
              </w:rPr>
              <w:t>bupropion</w:t>
            </w:r>
          </w:p>
        </w:tc>
        <w:tc>
          <w:tcPr>
            <w:tcW w:w="1760" w:type="pct"/>
          </w:tcPr>
          <w:p w14:paraId="5B16F07D" w14:textId="15E721C8" w:rsidR="00F82E46" w:rsidRDefault="00C17E09" w:rsidP="00255AF9">
            <w:pPr>
              <w:pStyle w:val="Tablewriting"/>
              <w:keepNext/>
            </w:pPr>
            <w:r>
              <w:t>Bupropion +</w:t>
            </w:r>
            <w:r w:rsidR="00085188">
              <w:t xml:space="preserve"> NRT versus placebo</w:t>
            </w:r>
          </w:p>
        </w:tc>
        <w:tc>
          <w:tcPr>
            <w:tcW w:w="1272" w:type="pct"/>
          </w:tcPr>
          <w:p w14:paraId="1A14D7E9" w14:textId="483AC9B0" w:rsidR="00F82E46" w:rsidRDefault="00085188" w:rsidP="00255AF9">
            <w:pPr>
              <w:pStyle w:val="Tablewriting"/>
              <w:keepNext/>
            </w:pPr>
            <w:r>
              <w:t>Livingstone-Banks 201</w:t>
            </w:r>
            <w:r w:rsidR="006C55D6">
              <w:t>9</w:t>
            </w:r>
          </w:p>
        </w:tc>
        <w:tc>
          <w:tcPr>
            <w:tcW w:w="1271" w:type="pct"/>
          </w:tcPr>
          <w:p w14:paraId="2CABB9B9" w14:textId="1565FAF3" w:rsidR="00F82E46" w:rsidRPr="00583632" w:rsidRDefault="006C55D6" w:rsidP="00255AF9">
            <w:pPr>
              <w:pStyle w:val="Tablewriting"/>
              <w:keepNext/>
              <w:rPr>
                <w:highlight w:val="yellow"/>
              </w:rPr>
            </w:pPr>
            <w:r w:rsidRPr="00F207DC">
              <w:t>N</w:t>
            </w:r>
            <w:r w:rsidR="00BB4AB9">
              <w:t>one identified</w:t>
            </w:r>
          </w:p>
        </w:tc>
      </w:tr>
    </w:tbl>
    <w:p w14:paraId="06E6BF1E" w14:textId="6B5A0A8F" w:rsidR="004111C5" w:rsidRDefault="00EA237E" w:rsidP="00453B71">
      <w:pPr>
        <w:pStyle w:val="TableFooter"/>
        <w:jc w:val="both"/>
      </w:pPr>
      <w:r>
        <w:t>Abbreviations: NRT = nicotine replacement therapy</w:t>
      </w:r>
    </w:p>
    <w:p w14:paraId="7853F566" w14:textId="24E8B219" w:rsidR="001E39E6" w:rsidRDefault="001E39E6" w:rsidP="00453B71">
      <w:pPr>
        <w:pStyle w:val="TableFooter"/>
        <w:jc w:val="both"/>
      </w:pPr>
      <w:r>
        <w:t>Notes:</w:t>
      </w:r>
    </w:p>
    <w:p w14:paraId="58A01308" w14:textId="34CB1897" w:rsidR="00BE7EF0" w:rsidRDefault="00E62111" w:rsidP="00453B71">
      <w:pPr>
        <w:pStyle w:val="TableFooter"/>
        <w:jc w:val="both"/>
      </w:pPr>
      <w:r>
        <w:t xml:space="preserve">1 </w:t>
      </w:r>
      <w:r w:rsidR="00BE7EF0">
        <w:t xml:space="preserve">Chen et al. (2020) </w:t>
      </w:r>
      <w:r w:rsidR="000E157B">
        <w:t>i</w:t>
      </w:r>
      <w:r w:rsidR="0012484D">
        <w:t>s a direct evidence</w:t>
      </w:r>
      <w:r w:rsidR="00BE7EF0">
        <w:t xml:space="preserve"> </w:t>
      </w:r>
      <w:r w:rsidR="0012484D">
        <w:t>(</w:t>
      </w:r>
      <w:r w:rsidR="00BE7EF0">
        <w:t>RCT</w:t>
      </w:r>
      <w:r w:rsidR="0012484D">
        <w:t>)</w:t>
      </w:r>
      <w:r w:rsidR="00BE7EF0">
        <w:t xml:space="preserve"> identified in the updated literature search</w:t>
      </w:r>
      <w:r w:rsidR="00E91171">
        <w:t>. This RCT was a three-arm study comparing combination NRT (patch and lozenge), varenicline and placebo.</w:t>
      </w:r>
    </w:p>
    <w:p w14:paraId="6E4988B8" w14:textId="79C6C9C2" w:rsidR="00E62111" w:rsidRDefault="00BE7EF0" w:rsidP="00453B71">
      <w:pPr>
        <w:pStyle w:val="TableFooter"/>
        <w:jc w:val="both"/>
      </w:pPr>
      <w:r>
        <w:t xml:space="preserve">2 </w:t>
      </w:r>
      <w:r w:rsidR="00E62111">
        <w:t>Network meta-analysis</w:t>
      </w:r>
      <w:r w:rsidR="00785FDF">
        <w:t xml:space="preserve"> included as supportive evidence</w:t>
      </w:r>
      <w:r w:rsidR="00E62111">
        <w:t>. No direct evidence identified</w:t>
      </w:r>
      <w:r w:rsidR="00785FDF">
        <w:t xml:space="preserve"> for combination NRT versus bupropion</w:t>
      </w:r>
      <w:r w:rsidR="00E62111">
        <w:t>.</w:t>
      </w:r>
    </w:p>
    <w:p w14:paraId="45F7CD54" w14:textId="73C98405" w:rsidR="0012484D" w:rsidRDefault="0012484D" w:rsidP="00453B71">
      <w:pPr>
        <w:pStyle w:val="TableFooter"/>
        <w:spacing w:after="120"/>
        <w:contextualSpacing w:val="0"/>
        <w:jc w:val="both"/>
      </w:pPr>
      <w:r>
        <w:t>3 Chang</w:t>
      </w:r>
      <w:r w:rsidR="00641B1C">
        <w:t xml:space="preserve"> et al.</w:t>
      </w:r>
      <w:r>
        <w:t xml:space="preserve"> </w:t>
      </w:r>
      <w:r w:rsidR="00641B1C">
        <w:t>(</w:t>
      </w:r>
      <w:r>
        <w:t>2015</w:t>
      </w:r>
      <w:r w:rsidR="00641B1C">
        <w:t>)</w:t>
      </w:r>
      <w:r>
        <w:t xml:space="preserve"> is a systematic review and meta-analysis identifi</w:t>
      </w:r>
      <w:r w:rsidR="007333DD">
        <w:t>ed in the systematic literature review.</w:t>
      </w:r>
    </w:p>
    <w:p w14:paraId="33458CB4" w14:textId="3349F12B" w:rsidR="002F0E13" w:rsidRDefault="002F0E13" w:rsidP="00453B71">
      <w:pPr>
        <w:pStyle w:val="Heading4"/>
        <w:numPr>
          <w:ilvl w:val="0"/>
          <w:numId w:val="0"/>
        </w:numPr>
        <w:spacing w:after="120"/>
        <w:jc w:val="both"/>
      </w:pPr>
      <w:r>
        <w:t>Treatment-naïve population</w:t>
      </w:r>
    </w:p>
    <w:p w14:paraId="30DBF231" w14:textId="072168D8" w:rsidR="006274EF" w:rsidRDefault="00AF49A2" w:rsidP="00453B71">
      <w:pPr>
        <w:pStyle w:val="Heading5"/>
        <w:numPr>
          <w:ilvl w:val="0"/>
          <w:numId w:val="0"/>
        </w:numPr>
        <w:spacing w:before="120" w:after="120"/>
        <w:jc w:val="both"/>
      </w:pPr>
      <w:r>
        <w:t>C</w:t>
      </w:r>
      <w:r w:rsidR="006274EF">
        <w:t>ombination</w:t>
      </w:r>
      <w:r>
        <w:t xml:space="preserve"> NRT</w:t>
      </w:r>
    </w:p>
    <w:p w14:paraId="47BCA8CA" w14:textId="0B782066" w:rsidR="007F7A17" w:rsidRDefault="000C077C" w:rsidP="00453B71">
      <w:pPr>
        <w:spacing w:after="120"/>
        <w:jc w:val="both"/>
      </w:pPr>
      <w:r w:rsidRPr="000C077C">
        <w:t xml:space="preserve">In July 2017 and March 2018, the PBAC considered a request that NRT </w:t>
      </w:r>
      <w:r w:rsidR="00573F59">
        <w:t>lozenges</w:t>
      </w:r>
      <w:r w:rsidRPr="000C077C">
        <w:t xml:space="preserve"> and gum be listed as monotherapies on the PBS</w:t>
      </w:r>
      <w:r>
        <w:t xml:space="preserve">. </w:t>
      </w:r>
      <w:r w:rsidR="007F7A17">
        <w:t xml:space="preserve">While the </w:t>
      </w:r>
      <w:r w:rsidR="001F5EFF">
        <w:t>requested listing was for monotherapy</w:t>
      </w:r>
      <w:r w:rsidR="001E6426">
        <w:t xml:space="preserve">, </w:t>
      </w:r>
      <w:r w:rsidR="007F7A17" w:rsidRPr="007F7A17">
        <w:t>the PBAC considered that the likely</w:t>
      </w:r>
      <w:r w:rsidR="001F5EFF">
        <w:t xml:space="preserve"> </w:t>
      </w:r>
      <w:r w:rsidR="007F7A17" w:rsidRPr="007F7A17">
        <w:t xml:space="preserve">place in clinical therapy for nicotine </w:t>
      </w:r>
      <w:r w:rsidR="00573F59">
        <w:t>lozenges</w:t>
      </w:r>
      <w:r w:rsidR="001F5EFF">
        <w:t xml:space="preserve"> and gum</w:t>
      </w:r>
      <w:r w:rsidR="007F7A17" w:rsidRPr="007F7A17">
        <w:t xml:space="preserve"> would be as combination</w:t>
      </w:r>
      <w:r w:rsidR="001F5EFF">
        <w:t xml:space="preserve"> </w:t>
      </w:r>
      <w:r w:rsidR="007F7A17" w:rsidRPr="007F7A17">
        <w:t>therapy with long</w:t>
      </w:r>
      <w:r w:rsidR="004F036E">
        <w:t>-</w:t>
      </w:r>
      <w:r w:rsidR="007F7A17" w:rsidRPr="007F7A17">
        <w:t xml:space="preserve">acting forms of currently listed </w:t>
      </w:r>
      <w:r w:rsidR="00453B71">
        <w:t>smoking cessation pharmacotherapies</w:t>
      </w:r>
      <w:r w:rsidR="007F7A17" w:rsidRPr="007F7A17">
        <w:t xml:space="preserve"> (nicotine patches, varenicline</w:t>
      </w:r>
      <w:r w:rsidR="001F5EFF">
        <w:t xml:space="preserve"> </w:t>
      </w:r>
      <w:r w:rsidR="007F7A17" w:rsidRPr="007F7A17">
        <w:t>or bupropion)</w:t>
      </w:r>
      <w:r w:rsidR="002037AE">
        <w:t xml:space="preserve"> (</w:t>
      </w:r>
      <w:r w:rsidR="002037AE" w:rsidRPr="005C687C">
        <w:t>NRT PSD, July 2017 PBAC meeting</w:t>
      </w:r>
      <w:r w:rsidR="002037AE">
        <w:t>)</w:t>
      </w:r>
      <w:r w:rsidR="007F7A17" w:rsidRPr="007F7A17">
        <w:t xml:space="preserve">. </w:t>
      </w:r>
    </w:p>
    <w:p w14:paraId="4BD80D54" w14:textId="1E442D6A" w:rsidR="00E91171" w:rsidRPr="00AC62D6" w:rsidRDefault="002C4292" w:rsidP="00453B71">
      <w:pPr>
        <w:spacing w:after="120"/>
        <w:jc w:val="both"/>
      </w:pPr>
      <w:r w:rsidRPr="002C4292">
        <w:lastRenderedPageBreak/>
        <w:t>The PBAC noted that varenicline</w:t>
      </w:r>
      <w:r>
        <w:t xml:space="preserve"> </w:t>
      </w:r>
      <w:r w:rsidRPr="002C4292">
        <w:t>was proposed as a relevant comparator for combination use of NRTs in the pre-PBAC</w:t>
      </w:r>
      <w:r w:rsidR="008E485E">
        <w:t xml:space="preserve"> </w:t>
      </w:r>
      <w:r w:rsidRPr="002C4292">
        <w:t>response. The PBAC considered that while varenicline was likely to be an</w:t>
      </w:r>
      <w:r w:rsidR="00FD6D92">
        <w:t xml:space="preserve"> </w:t>
      </w:r>
      <w:r w:rsidRPr="002C4292">
        <w:t xml:space="preserve">appropriate comparator for the use of nicotine </w:t>
      </w:r>
      <w:r w:rsidR="00573F59">
        <w:t>lozenges</w:t>
      </w:r>
      <w:r w:rsidR="00FD6D92">
        <w:t xml:space="preserve"> or </w:t>
      </w:r>
      <w:r w:rsidRPr="002C4292">
        <w:t>gum in combination with</w:t>
      </w:r>
      <w:r w:rsidR="00FD6D92">
        <w:t xml:space="preserve"> </w:t>
      </w:r>
      <w:r w:rsidRPr="002C4292">
        <w:t xml:space="preserve">nicotine patches, nicotine </w:t>
      </w:r>
      <w:r w:rsidR="00573F59">
        <w:t>lozenges</w:t>
      </w:r>
      <w:r w:rsidR="00FD6D92">
        <w:t xml:space="preserve"> or gum cou</w:t>
      </w:r>
      <w:r w:rsidRPr="002C4292">
        <w:t>ld be used in combination with</w:t>
      </w:r>
      <w:r w:rsidR="00FD6D92">
        <w:t xml:space="preserve"> </w:t>
      </w:r>
      <w:r w:rsidRPr="002C4292">
        <w:t>varenicline as well in practice. The PBAC noted that no clinical evidence on the</w:t>
      </w:r>
      <w:r w:rsidR="00FD6D92">
        <w:t xml:space="preserve"> </w:t>
      </w:r>
      <w:r w:rsidRPr="002C4292">
        <w:t>potential comparator/s for either of the combinations was presented in the</w:t>
      </w:r>
      <w:r w:rsidR="00FD6D92">
        <w:t xml:space="preserve"> </w:t>
      </w:r>
      <w:r w:rsidRPr="002C4292">
        <w:t>submission or the pre-PBAC response</w:t>
      </w:r>
      <w:r w:rsidR="00755595">
        <w:t xml:space="preserve"> (</w:t>
      </w:r>
      <w:r w:rsidR="00755595" w:rsidRPr="005C687C">
        <w:t>NRT PSD, July 2017 PBAC meeting</w:t>
      </w:r>
      <w:r w:rsidR="00755595">
        <w:t>)</w:t>
      </w:r>
      <w:r w:rsidRPr="002C4292">
        <w:t>.</w:t>
      </w:r>
    </w:p>
    <w:p w14:paraId="00E71619" w14:textId="75C6716D" w:rsidR="00B95A63" w:rsidRDefault="00596FFB" w:rsidP="00453B71">
      <w:pPr>
        <w:spacing w:after="120"/>
        <w:jc w:val="both"/>
        <w:rPr>
          <w:b/>
          <w:bCs/>
        </w:rPr>
      </w:pPr>
      <w:r>
        <w:rPr>
          <w:b/>
          <w:bCs/>
        </w:rPr>
        <w:t>C</w:t>
      </w:r>
      <w:r w:rsidR="00B95A63" w:rsidRPr="00944A49">
        <w:rPr>
          <w:b/>
          <w:bCs/>
        </w:rPr>
        <w:t>ombination</w:t>
      </w:r>
      <w:r>
        <w:rPr>
          <w:b/>
          <w:bCs/>
        </w:rPr>
        <w:t xml:space="preserve"> NRT</w:t>
      </w:r>
      <w:r w:rsidR="00B95A63" w:rsidRPr="00944A49">
        <w:rPr>
          <w:b/>
          <w:bCs/>
        </w:rPr>
        <w:t xml:space="preserve"> versus </w:t>
      </w:r>
      <w:r w:rsidR="00AC62D6">
        <w:rPr>
          <w:b/>
          <w:bCs/>
        </w:rPr>
        <w:t>placebo</w:t>
      </w:r>
    </w:p>
    <w:p w14:paraId="73C152DD" w14:textId="314AD0D9" w:rsidR="00AC62D6" w:rsidRDefault="00AC62D6" w:rsidP="00453B71">
      <w:pPr>
        <w:spacing w:after="120"/>
        <w:jc w:val="both"/>
      </w:pPr>
      <w:r w:rsidRPr="0003104C">
        <w:t>A summary of the citation details for the studies comparing combination</w:t>
      </w:r>
      <w:r w:rsidR="00C96DF9">
        <w:t xml:space="preserve"> NRT</w:t>
      </w:r>
      <w:r w:rsidRPr="0003104C">
        <w:t xml:space="preserve"> with placebo is presented in </w:t>
      </w:r>
      <w:r w:rsidR="00C96DF9">
        <w:fldChar w:fldCharType="begin" w:fldLock="1"/>
      </w:r>
      <w:r w:rsidR="00C96DF9">
        <w:instrText xml:space="preserve"> REF _Ref55291312 \h </w:instrText>
      </w:r>
      <w:r w:rsidR="00C96DF9">
        <w:fldChar w:fldCharType="separate"/>
      </w:r>
      <w:r w:rsidR="00EC5CC7">
        <w:t xml:space="preserve">Table </w:t>
      </w:r>
      <w:r w:rsidR="00EC5CC7">
        <w:rPr>
          <w:noProof/>
        </w:rPr>
        <w:t>54</w:t>
      </w:r>
      <w:r w:rsidR="00C96DF9">
        <w:fldChar w:fldCharType="end"/>
      </w:r>
      <w:r w:rsidRPr="0003104C">
        <w:t xml:space="preserve">. A recently conducted Cochrane </w:t>
      </w:r>
      <w:r w:rsidR="009A0902">
        <w:t>R</w:t>
      </w:r>
      <w:r w:rsidRPr="0003104C">
        <w:t xml:space="preserve">eview by Hartmann-Boyce et al. (2018) was identified in the systematic literature review that compared </w:t>
      </w:r>
      <w:r w:rsidR="003C15A0" w:rsidRPr="0003104C">
        <w:t>combination</w:t>
      </w:r>
      <w:r w:rsidR="007F11EC">
        <w:t xml:space="preserve"> NRT</w:t>
      </w:r>
      <w:r w:rsidRPr="0003104C">
        <w:t xml:space="preserve"> with placebo and was included in this report.</w:t>
      </w:r>
      <w:r w:rsidRPr="00AC62D6">
        <w:t xml:space="preserve"> </w:t>
      </w:r>
      <w:r w:rsidR="00595F19">
        <w:t>One</w:t>
      </w:r>
      <w:r w:rsidR="00E91171" w:rsidRPr="00E91171">
        <w:t xml:space="preserve"> RCT was identified in the </w:t>
      </w:r>
      <w:r w:rsidR="006947FE">
        <w:t>supplemental</w:t>
      </w:r>
      <w:r w:rsidR="00E91171" w:rsidRPr="00E91171">
        <w:t xml:space="preserve"> literature search </w:t>
      </w:r>
      <w:r w:rsidR="00595F19">
        <w:t xml:space="preserve">that informed this comparison </w:t>
      </w:r>
      <w:r w:rsidR="00E91171" w:rsidRPr="00E91171">
        <w:t>and was included in this report</w:t>
      </w:r>
      <w:r w:rsidR="00595F19">
        <w:t xml:space="preserve"> (Chen et al. 2020)</w:t>
      </w:r>
      <w:r w:rsidR="00E91171" w:rsidRPr="00E91171">
        <w:t>.</w:t>
      </w:r>
    </w:p>
    <w:p w14:paraId="3882C6AC" w14:textId="5D077418" w:rsidR="0003104C" w:rsidRDefault="0003104C" w:rsidP="00AD227B">
      <w:pPr>
        <w:pStyle w:val="Caption"/>
        <w:keepNext/>
        <w:spacing w:before="0" w:after="120"/>
        <w:jc w:val="both"/>
      </w:pPr>
      <w:bookmarkStart w:id="108" w:name="_Ref55291312"/>
      <w:r>
        <w:t xml:space="preserve">Table </w:t>
      </w:r>
      <w:r w:rsidR="00BF3F75">
        <w:fldChar w:fldCharType="begin"/>
      </w:r>
      <w:r w:rsidR="00BF3F75">
        <w:instrText xml:space="preserve"> SEQ Table \* ARABIC </w:instrText>
      </w:r>
      <w:r w:rsidR="00BF3F75">
        <w:fldChar w:fldCharType="separate"/>
      </w:r>
      <w:r w:rsidR="00EC5CC7">
        <w:rPr>
          <w:noProof/>
        </w:rPr>
        <w:t>54</w:t>
      </w:r>
      <w:r w:rsidR="00BF3F75">
        <w:rPr>
          <w:noProof/>
        </w:rPr>
        <w:fldChar w:fldCharType="end"/>
      </w:r>
      <w:bookmarkEnd w:id="108"/>
      <w:r>
        <w:t xml:space="preserve">: </w:t>
      </w:r>
      <w:r w:rsidRPr="007003B7">
        <w:t xml:space="preserve">List of studies comparing </w:t>
      </w:r>
      <w:r>
        <w:t>combination</w:t>
      </w:r>
      <w:r w:rsidRPr="007003B7">
        <w:t xml:space="preserve"> </w:t>
      </w:r>
      <w:r w:rsidR="00C96DF9">
        <w:t xml:space="preserve">NRT </w:t>
      </w:r>
      <w:r w:rsidRPr="007003B7">
        <w:t>with placebo</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14:paraId="68612E8D" w14:textId="77777777" w:rsidTr="0025105B">
        <w:trPr>
          <w:cantSplit/>
          <w:trHeight w:val="329"/>
          <w:tblHeader/>
        </w:trPr>
        <w:tc>
          <w:tcPr>
            <w:tcW w:w="557" w:type="pct"/>
            <w:shd w:val="clear" w:color="auto" w:fill="BFBFBF" w:themeFill="background1" w:themeFillShade="BF"/>
            <w:tcMar>
              <w:left w:w="28" w:type="dxa"/>
              <w:right w:w="28" w:type="dxa"/>
            </w:tcMar>
          </w:tcPr>
          <w:p w14:paraId="6B4DBA1D" w14:textId="4A6AEEAF" w:rsidR="00AC62D6" w:rsidRPr="00061F78" w:rsidRDefault="00126B7B" w:rsidP="0025105B">
            <w:pPr>
              <w:pStyle w:val="Tableheading"/>
              <w:keepNext/>
              <w:rPr>
                <w:rFonts w:eastAsia="MS Mincho"/>
              </w:rPr>
            </w:pPr>
            <w:r>
              <w:rPr>
                <w:rFonts w:eastAsia="MS Mincho"/>
              </w:rPr>
              <w:t>Study</w:t>
            </w:r>
          </w:p>
        </w:tc>
        <w:tc>
          <w:tcPr>
            <w:tcW w:w="4443" w:type="pct"/>
            <w:shd w:val="clear" w:color="auto" w:fill="BFBFBF" w:themeFill="background1" w:themeFillShade="BF"/>
          </w:tcPr>
          <w:p w14:paraId="1FE9D370" w14:textId="77777777" w:rsidR="00AC62D6" w:rsidRDefault="00AC62D6" w:rsidP="0025105B">
            <w:pPr>
              <w:pStyle w:val="Tableheading"/>
              <w:keepNext/>
              <w:jc w:val="center"/>
              <w:rPr>
                <w:rFonts w:eastAsia="MS Mincho"/>
              </w:rPr>
            </w:pPr>
            <w:r>
              <w:rPr>
                <w:rFonts w:eastAsia="MS Mincho"/>
              </w:rPr>
              <w:t>Citation</w:t>
            </w:r>
          </w:p>
        </w:tc>
      </w:tr>
      <w:tr w:rsidR="0085037A" w:rsidRPr="00061F78" w14:paraId="0025CB9A" w14:textId="77777777" w:rsidTr="004A509B">
        <w:trPr>
          <w:cantSplit/>
          <w:trHeight w:val="164"/>
        </w:trPr>
        <w:tc>
          <w:tcPr>
            <w:tcW w:w="557" w:type="pct"/>
            <w:tcMar>
              <w:left w:w="28" w:type="dxa"/>
              <w:right w:w="28" w:type="dxa"/>
            </w:tcMar>
          </w:tcPr>
          <w:p w14:paraId="3A57DDF9" w14:textId="34531D85" w:rsidR="00903F46" w:rsidRPr="00305930" w:rsidRDefault="00903F46" w:rsidP="00903F46">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hyperlink w:anchor="_ENREF_30" w:tooltip="Hartmann-Boyce, 2018 #655" w:history="1">
              <w:r w:rsidR="0039468B">
                <w:rPr>
                  <w:rFonts w:eastAsia="MS Mincho"/>
                </w:rPr>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3432C8">
                <w:rPr>
                  <w:rFonts w:eastAsia="MS Mincho"/>
                  <w:noProof/>
                  <w:vertAlign w:val="superscript"/>
                </w:rPr>
                <w:t>30</w:t>
              </w:r>
              <w:r w:rsidR="0039468B">
                <w:rPr>
                  <w:rFonts w:eastAsia="MS Mincho"/>
                </w:rPr>
                <w:fldChar w:fldCharType="end"/>
              </w:r>
            </w:hyperlink>
            <w:r w:rsidRPr="00D07303">
              <w:rPr>
                <w:rFonts w:eastAsia="MS Mincho"/>
                <w:vertAlign w:val="superscript"/>
              </w:rPr>
              <w:t xml:space="preserve"> </w:t>
            </w:r>
          </w:p>
        </w:tc>
        <w:tc>
          <w:tcPr>
            <w:tcW w:w="4443" w:type="pct"/>
          </w:tcPr>
          <w:p w14:paraId="57EB7CF6" w14:textId="53B3B937" w:rsidR="00903F46" w:rsidRDefault="00903F46" w:rsidP="00903F46">
            <w:pPr>
              <w:pStyle w:val="Tablewriting"/>
              <w:keepNext/>
              <w:rPr>
                <w:rFonts w:eastAsia="MS Mincho"/>
              </w:rPr>
            </w:pPr>
            <w:r w:rsidRPr="008E38BA">
              <w:rPr>
                <w:rFonts w:eastAsia="MS Mincho"/>
              </w:rPr>
              <w:t>Hartmann‐</w:t>
            </w:r>
            <w:r w:rsidR="00826C95" w:rsidRPr="008E38BA">
              <w:rPr>
                <w:rFonts w:eastAsia="MS Mincho"/>
              </w:rPr>
              <w:t>Boyce J</w:t>
            </w:r>
            <w:r w:rsidRPr="008E38BA">
              <w:rPr>
                <w:rFonts w:eastAsia="MS Mincho"/>
              </w:rPr>
              <w:t xml:space="preserve">, </w:t>
            </w:r>
            <w:r w:rsidR="00826C95" w:rsidRPr="008E38BA">
              <w:rPr>
                <w:rFonts w:eastAsia="MS Mincho"/>
              </w:rPr>
              <w:t>Chepkin SC</w:t>
            </w:r>
            <w:r w:rsidRPr="008E38BA">
              <w:rPr>
                <w:rFonts w:eastAsia="MS Mincho"/>
              </w:rPr>
              <w:t xml:space="preserve">, </w:t>
            </w:r>
            <w:r w:rsidR="00826C95" w:rsidRPr="008E38BA">
              <w:rPr>
                <w:rFonts w:eastAsia="MS Mincho"/>
              </w:rPr>
              <w:t>Ye W</w:t>
            </w:r>
            <w:r w:rsidRPr="008E38BA">
              <w:rPr>
                <w:rFonts w:eastAsia="MS Mincho"/>
              </w:rPr>
              <w:t xml:space="preserve">, </w:t>
            </w:r>
            <w:r w:rsidR="00826C95" w:rsidRPr="008E38BA">
              <w:rPr>
                <w:rFonts w:eastAsia="MS Mincho"/>
              </w:rPr>
              <w:t>Bullen C</w:t>
            </w:r>
            <w:r w:rsidRPr="008E38BA">
              <w:rPr>
                <w:rFonts w:eastAsia="MS Mincho"/>
              </w:rPr>
              <w:t xml:space="preserve">, </w:t>
            </w:r>
            <w:r w:rsidR="00826C95" w:rsidRPr="008E38BA">
              <w:rPr>
                <w:rFonts w:eastAsia="MS Mincho"/>
              </w:rPr>
              <w:t>Lancaster T.</w:t>
            </w:r>
            <w:r w:rsidRPr="008E38BA">
              <w:rPr>
                <w:rFonts w:eastAsia="MS Mincho"/>
              </w:rPr>
              <w:t xml:space="preserve"> Nicotine replacement therapy versus control for smoking cessation. Cochrane Database of Systematic Reviews 2018, Issue 5. Art. No.: CD000146.</w:t>
            </w:r>
          </w:p>
        </w:tc>
      </w:tr>
      <w:tr w:rsidR="0085037A" w:rsidRPr="00061F78" w14:paraId="0DFD1897" w14:textId="77777777" w:rsidTr="004A509B">
        <w:trPr>
          <w:cantSplit/>
          <w:trHeight w:val="164"/>
        </w:trPr>
        <w:tc>
          <w:tcPr>
            <w:tcW w:w="557" w:type="pct"/>
            <w:tcMar>
              <w:left w:w="28" w:type="dxa"/>
              <w:right w:w="28" w:type="dxa"/>
            </w:tcMar>
          </w:tcPr>
          <w:p w14:paraId="4EF8E6D8" w14:textId="77777777" w:rsidR="0012484D" w:rsidRDefault="0012484D" w:rsidP="0012484D">
            <w:pPr>
              <w:pStyle w:val="Tablewriting"/>
              <w:keepNext/>
              <w:rPr>
                <w:rFonts w:eastAsia="MS Mincho"/>
              </w:rPr>
            </w:pPr>
            <w:r>
              <w:rPr>
                <w:rFonts w:eastAsia="MS Mincho"/>
              </w:rPr>
              <w:t>Chen</w:t>
            </w:r>
          </w:p>
          <w:p w14:paraId="598E3CB7" w14:textId="73A05859" w:rsidR="0012484D" w:rsidRDefault="0012484D" w:rsidP="0012484D">
            <w:pPr>
              <w:pStyle w:val="Tablewriting"/>
              <w:keepNext/>
              <w:rPr>
                <w:rFonts w:eastAsia="MS Mincho"/>
              </w:rPr>
            </w:pPr>
            <w:r>
              <w:rPr>
                <w:rFonts w:eastAsia="MS Mincho"/>
              </w:rPr>
              <w:t>(2020)</w:t>
            </w:r>
            <w:hyperlink w:anchor="_ENREF_46" w:tooltip="Chen, 2020 #617" w:history="1">
              <w:r w:rsidR="0039468B">
                <w:rPr>
                  <w:rFonts w:eastAsia="MS Mincho"/>
                </w:rPr>
                <w:fldChar w:fldCharType="begin">
                  <w:fldData xml:space="preserve">PEVuZE5vdGU+PENpdGU+PEF1dGhvcj5DaGVuPC9BdXRob3I+PFllYXI+MjAyMDwvWWVhcj48UmVj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PEVuZE5vdGU+PENpdGU+PEF1dGhvcj5DaGVuPC9BdXRob3I+PFllYXI+MjAyMDwvWWVhcj48UmVj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7A53BC">
                <w:rPr>
                  <w:rFonts w:eastAsia="MS Mincho"/>
                  <w:noProof/>
                  <w:vertAlign w:val="superscript"/>
                </w:rPr>
                <w:t>46</w:t>
              </w:r>
              <w:r w:rsidR="0039468B">
                <w:rPr>
                  <w:rFonts w:eastAsia="MS Mincho"/>
                </w:rPr>
                <w:fldChar w:fldCharType="end"/>
              </w:r>
            </w:hyperlink>
          </w:p>
        </w:tc>
        <w:tc>
          <w:tcPr>
            <w:tcW w:w="4443" w:type="pct"/>
          </w:tcPr>
          <w:p w14:paraId="40BC2C52" w14:textId="0C7B489C" w:rsidR="0012484D" w:rsidRPr="008E38BA" w:rsidRDefault="0012484D" w:rsidP="0012484D">
            <w:pPr>
              <w:pStyle w:val="Tablewriting"/>
              <w:keepNext/>
              <w:rPr>
                <w:rFonts w:eastAsia="MS Mincho"/>
              </w:rPr>
            </w:pPr>
            <w:r w:rsidRPr="002E3D2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Jun 29.</w:t>
            </w:r>
          </w:p>
        </w:tc>
      </w:tr>
    </w:tbl>
    <w:p w14:paraId="59B2BDC0" w14:textId="083F7999" w:rsidR="00AC62D6" w:rsidRDefault="00AC62D6" w:rsidP="000B683C">
      <w:pPr>
        <w:spacing w:before="120" w:after="120"/>
        <w:jc w:val="both"/>
      </w:pPr>
      <w:r w:rsidRPr="00713891">
        <w:t xml:space="preserve">A summary of the characteristics of the studies comparing </w:t>
      </w:r>
      <w:r w:rsidR="00713891">
        <w:t xml:space="preserve">combination </w:t>
      </w:r>
      <w:r w:rsidRPr="00713891">
        <w:t xml:space="preserve">NRT with placebo is presented in </w:t>
      </w:r>
      <w:r w:rsidR="00AE3111">
        <w:fldChar w:fldCharType="begin" w:fldLock="1"/>
      </w:r>
      <w:r w:rsidR="00AE3111">
        <w:instrText xml:space="preserve"> REF _Ref55292641 \h </w:instrText>
      </w:r>
      <w:r w:rsidR="000B683C">
        <w:instrText xml:space="preserve"> \* MERGEFORMAT </w:instrText>
      </w:r>
      <w:r w:rsidR="00AE3111">
        <w:fldChar w:fldCharType="separate"/>
      </w:r>
      <w:r w:rsidR="00EC5CC7">
        <w:t xml:space="preserve">Table </w:t>
      </w:r>
      <w:r w:rsidR="00EC5CC7">
        <w:rPr>
          <w:noProof/>
        </w:rPr>
        <w:t>55</w:t>
      </w:r>
      <w:r w:rsidR="00AE3111">
        <w:fldChar w:fldCharType="end"/>
      </w:r>
      <w:r w:rsidRPr="00713891">
        <w:t xml:space="preserve">. A total of </w:t>
      </w:r>
      <w:r w:rsidR="00AE3111">
        <w:t>five</w:t>
      </w:r>
      <w:r w:rsidRPr="00713891">
        <w:t xml:space="preserve"> RCTs comparing </w:t>
      </w:r>
      <w:r w:rsidR="00AE3111">
        <w:t xml:space="preserve">combination </w:t>
      </w:r>
      <w:r w:rsidRPr="00713891">
        <w:t>NRT with placebo were identified by Hartmann-Boyce et al. (2018)</w:t>
      </w:r>
      <w:r w:rsidRPr="00AC62D6">
        <w:t xml:space="preserve"> </w:t>
      </w:r>
      <w:r w:rsidR="001F14D5">
        <w:t>a</w:t>
      </w:r>
      <w:r w:rsidR="00161E08" w:rsidRPr="00161E08">
        <w:t>nd w</w:t>
      </w:r>
      <w:r w:rsidR="00161E08">
        <w:t>ere</w:t>
      </w:r>
      <w:r w:rsidR="00161E08" w:rsidRPr="00161E08">
        <w:t xml:space="preserve"> included in this report</w:t>
      </w:r>
      <w:r w:rsidR="00161E08">
        <w:t>.</w:t>
      </w:r>
      <w:r w:rsidR="00796FC8">
        <w:t xml:space="preserve"> </w:t>
      </w:r>
      <w:r w:rsidR="00796FC8" w:rsidRPr="00796FC8">
        <w:t xml:space="preserve">The characteristics of the individual studies are presented in </w:t>
      </w:r>
      <w:r w:rsidR="00796FC8" w:rsidRPr="002B38F3">
        <w:t>Appendix</w:t>
      </w:r>
      <w:r w:rsidR="000B683C">
        <w:t xml:space="preserve"> Table 155.</w:t>
      </w:r>
    </w:p>
    <w:p w14:paraId="28AC287C" w14:textId="40E75A84" w:rsidR="0012484D" w:rsidRDefault="00202E2C" w:rsidP="000B683C">
      <w:pPr>
        <w:spacing w:after="120"/>
        <w:jc w:val="both"/>
      </w:pPr>
      <w:r>
        <w:t xml:space="preserve">Chen et al. </w:t>
      </w:r>
      <w:r w:rsidR="00AC1662">
        <w:t>(</w:t>
      </w:r>
      <w:r>
        <w:t>2020</w:t>
      </w:r>
      <w:r w:rsidR="00AC1662">
        <w:t>)</w:t>
      </w:r>
      <w:r>
        <w:t xml:space="preserve"> </w:t>
      </w:r>
      <w:r w:rsidR="007E690D">
        <w:t xml:space="preserve">was a </w:t>
      </w:r>
      <w:r w:rsidR="007E690D" w:rsidRPr="007E690D">
        <w:t>genotype-stratified randomi</w:t>
      </w:r>
      <w:r w:rsidR="007E690D">
        <w:t>s</w:t>
      </w:r>
      <w:r w:rsidR="007E690D" w:rsidRPr="007E690D">
        <w:t xml:space="preserve">ed, double-blind, placebo-controlled clinical trial </w:t>
      </w:r>
      <w:r w:rsidR="007E690D">
        <w:t>comparing</w:t>
      </w:r>
      <w:r w:rsidR="007E690D" w:rsidRPr="007E690D">
        <w:t xml:space="preserve"> 12 weeks of placebo, combination nicotine patch and lozenge</w:t>
      </w:r>
      <w:r w:rsidR="007E690D">
        <w:t xml:space="preserve"> and</w:t>
      </w:r>
      <w:r w:rsidR="007E690D" w:rsidRPr="007E690D">
        <w:t xml:space="preserve"> varenicline. </w:t>
      </w:r>
      <w:r w:rsidR="007E690D">
        <w:t>This study was included in the</w:t>
      </w:r>
      <w:r w:rsidR="00F70E10">
        <w:t xml:space="preserve"> updated efficacy and safety re-analysis where outcomes were reported</w:t>
      </w:r>
      <w:r w:rsidR="00826C95">
        <w:t xml:space="preserve">. </w:t>
      </w:r>
    </w:p>
    <w:p w14:paraId="7F28A513" w14:textId="77777777" w:rsidR="007E690D" w:rsidRDefault="007E690D" w:rsidP="00944A49"/>
    <w:p w14:paraId="2F1457A5" w14:textId="6F99ED11" w:rsidR="0012484D" w:rsidRDefault="0012484D" w:rsidP="00944A49">
      <w:pPr>
        <w:sectPr w:rsidR="0012484D" w:rsidSect="006356D2">
          <w:pgSz w:w="11906" w:h="16838"/>
          <w:pgMar w:top="1440" w:right="1440" w:bottom="1440" w:left="1440" w:header="708" w:footer="708" w:gutter="0"/>
          <w:cols w:space="708"/>
          <w:titlePg/>
          <w:docGrid w:linePitch="360"/>
        </w:sectPr>
      </w:pPr>
    </w:p>
    <w:p w14:paraId="662674BB" w14:textId="66AD0825" w:rsidR="007E02A9" w:rsidRDefault="007E02A9" w:rsidP="00AD227B">
      <w:pPr>
        <w:pStyle w:val="Caption"/>
        <w:keepNext/>
        <w:spacing w:before="0" w:after="120"/>
        <w:jc w:val="both"/>
      </w:pPr>
      <w:bookmarkStart w:id="109" w:name="_Ref55292641"/>
      <w:r>
        <w:lastRenderedPageBreak/>
        <w:t xml:space="preserve">Table </w:t>
      </w:r>
      <w:r w:rsidR="00BF3F75">
        <w:fldChar w:fldCharType="begin"/>
      </w:r>
      <w:r w:rsidR="00BF3F75">
        <w:instrText xml:space="preserve"> SEQ Table \* ARABIC </w:instrText>
      </w:r>
      <w:r w:rsidR="00BF3F75">
        <w:fldChar w:fldCharType="separate"/>
      </w:r>
      <w:r w:rsidR="00EC5CC7">
        <w:rPr>
          <w:noProof/>
        </w:rPr>
        <w:t>55</w:t>
      </w:r>
      <w:r w:rsidR="00BF3F75">
        <w:rPr>
          <w:noProof/>
        </w:rPr>
        <w:fldChar w:fldCharType="end"/>
      </w:r>
      <w:bookmarkEnd w:id="109"/>
      <w:r>
        <w:t xml:space="preserve">: </w:t>
      </w:r>
      <w:r w:rsidRPr="0075049D">
        <w:t xml:space="preserve">Characteristics of the studies comparing </w:t>
      </w:r>
      <w:r>
        <w:t>combination NRT</w:t>
      </w:r>
      <w:r w:rsidRPr="0075049D">
        <w:t xml:space="preserve"> with placebo</w:t>
      </w:r>
    </w:p>
    <w:tbl>
      <w:tblPr>
        <w:tblStyle w:val="TableGrid"/>
        <w:tblW w:w="5000" w:type="pct"/>
        <w:tblLook w:val="04A0" w:firstRow="1" w:lastRow="0" w:firstColumn="1" w:lastColumn="0" w:noHBand="0" w:noVBand="1"/>
        <w:tblCaption w:val="Efficacy results of adalimumab trials (PASI 75 and DLQI)"/>
      </w:tblPr>
      <w:tblGrid>
        <w:gridCol w:w="1444"/>
        <w:gridCol w:w="988"/>
        <w:gridCol w:w="2395"/>
        <w:gridCol w:w="3949"/>
        <w:gridCol w:w="3244"/>
        <w:gridCol w:w="1928"/>
      </w:tblGrid>
      <w:tr w:rsidR="007709D9" w:rsidRPr="00061F78" w14:paraId="43383CF0" w14:textId="77777777" w:rsidTr="007709D9">
        <w:trPr>
          <w:trHeight w:val="299"/>
          <w:tblHeader/>
        </w:trPr>
        <w:tc>
          <w:tcPr>
            <w:tcW w:w="518" w:type="pct"/>
            <w:shd w:val="clear" w:color="auto" w:fill="BFBFBF" w:themeFill="background1" w:themeFillShade="BF"/>
            <w:tcMar>
              <w:left w:w="28" w:type="dxa"/>
              <w:right w:w="28" w:type="dxa"/>
            </w:tcMar>
          </w:tcPr>
          <w:p w14:paraId="346A4F8A" w14:textId="36138175" w:rsidR="00F64373" w:rsidRPr="00061F78" w:rsidRDefault="00126B7B" w:rsidP="0025105B">
            <w:pPr>
              <w:pStyle w:val="Tableheading"/>
              <w:keepNext/>
              <w:rPr>
                <w:rFonts w:eastAsia="MS Mincho"/>
              </w:rPr>
            </w:pPr>
            <w:r>
              <w:rPr>
                <w:rFonts w:eastAsia="MS Mincho"/>
              </w:rPr>
              <w:t>Study</w:t>
            </w:r>
          </w:p>
        </w:tc>
        <w:tc>
          <w:tcPr>
            <w:tcW w:w="353" w:type="pct"/>
            <w:shd w:val="clear" w:color="auto" w:fill="BFBFBF" w:themeFill="background1" w:themeFillShade="BF"/>
          </w:tcPr>
          <w:p w14:paraId="6D7A2BFC" w14:textId="77777777" w:rsidR="00F64373" w:rsidRDefault="00F64373" w:rsidP="0025105B">
            <w:pPr>
              <w:pStyle w:val="Tableheading"/>
              <w:keepNext/>
              <w:jc w:val="center"/>
              <w:rPr>
                <w:rFonts w:eastAsia="MS Mincho"/>
              </w:rPr>
            </w:pPr>
            <w:r>
              <w:rPr>
                <w:rFonts w:eastAsia="MS Mincho"/>
              </w:rPr>
              <w:t>Study type</w:t>
            </w:r>
          </w:p>
        </w:tc>
        <w:tc>
          <w:tcPr>
            <w:tcW w:w="859" w:type="pct"/>
            <w:shd w:val="clear" w:color="auto" w:fill="BFBFBF" w:themeFill="background1" w:themeFillShade="BF"/>
            <w:tcMar>
              <w:left w:w="28" w:type="dxa"/>
              <w:right w:w="28" w:type="dxa"/>
            </w:tcMar>
          </w:tcPr>
          <w:p w14:paraId="02F64E00" w14:textId="77777777" w:rsidR="00F64373" w:rsidRPr="00AE21E9" w:rsidRDefault="00F64373" w:rsidP="0025105B">
            <w:pPr>
              <w:pStyle w:val="Tableheading"/>
              <w:keepNext/>
              <w:jc w:val="center"/>
              <w:rPr>
                <w:rFonts w:eastAsia="MS Mincho"/>
                <w:vertAlign w:val="superscript"/>
              </w:rPr>
            </w:pPr>
            <w:r>
              <w:rPr>
                <w:rFonts w:eastAsia="MS Mincho"/>
              </w:rPr>
              <w:t>N</w:t>
            </w:r>
            <w:r>
              <w:rPr>
                <w:rFonts w:eastAsia="MS Mincho"/>
                <w:vertAlign w:val="superscript"/>
              </w:rPr>
              <w:t>1</w:t>
            </w:r>
          </w:p>
        </w:tc>
        <w:tc>
          <w:tcPr>
            <w:tcW w:w="1416" w:type="pct"/>
            <w:shd w:val="clear" w:color="auto" w:fill="BFBFBF" w:themeFill="background1" w:themeFillShade="BF"/>
            <w:tcMar>
              <w:left w:w="28" w:type="dxa"/>
              <w:right w:w="28" w:type="dxa"/>
            </w:tcMar>
          </w:tcPr>
          <w:p w14:paraId="3E1AF565" w14:textId="77777777" w:rsidR="00F64373" w:rsidRPr="00061F78" w:rsidRDefault="00F64373" w:rsidP="0025105B">
            <w:pPr>
              <w:pStyle w:val="Tableheading"/>
              <w:keepNext/>
              <w:jc w:val="center"/>
              <w:rPr>
                <w:rFonts w:eastAsia="MS Mincho"/>
              </w:rPr>
            </w:pPr>
            <w:r w:rsidRPr="00061F78">
              <w:rPr>
                <w:rFonts w:eastAsia="MS Mincho"/>
              </w:rPr>
              <w:t>P</w:t>
            </w:r>
            <w:r>
              <w:rPr>
                <w:rFonts w:eastAsia="MS Mincho"/>
              </w:rPr>
              <w:t>opulation</w:t>
            </w:r>
          </w:p>
        </w:tc>
        <w:tc>
          <w:tcPr>
            <w:tcW w:w="1163" w:type="pct"/>
            <w:shd w:val="clear" w:color="auto" w:fill="BFBFBF" w:themeFill="background1" w:themeFillShade="BF"/>
          </w:tcPr>
          <w:p w14:paraId="2B4501A8" w14:textId="77777777" w:rsidR="00F64373" w:rsidRDefault="00F64373" w:rsidP="0025105B">
            <w:pPr>
              <w:pStyle w:val="Tableheading"/>
              <w:keepNext/>
              <w:jc w:val="center"/>
              <w:rPr>
                <w:rFonts w:eastAsia="MS Mincho"/>
              </w:rPr>
            </w:pPr>
            <w:r>
              <w:rPr>
                <w:rFonts w:eastAsia="MS Mincho"/>
              </w:rPr>
              <w:t>Intervention and comparator</w:t>
            </w:r>
          </w:p>
        </w:tc>
        <w:tc>
          <w:tcPr>
            <w:tcW w:w="691" w:type="pct"/>
            <w:shd w:val="clear" w:color="auto" w:fill="BFBFBF" w:themeFill="background1" w:themeFillShade="BF"/>
            <w:tcMar>
              <w:left w:w="28" w:type="dxa"/>
              <w:right w:w="28" w:type="dxa"/>
            </w:tcMar>
          </w:tcPr>
          <w:p w14:paraId="115D4BF9" w14:textId="77777777" w:rsidR="00F64373" w:rsidRPr="00061F78" w:rsidRDefault="00F64373" w:rsidP="0025105B">
            <w:pPr>
              <w:pStyle w:val="Tableheading"/>
              <w:keepNext/>
              <w:jc w:val="center"/>
              <w:rPr>
                <w:rFonts w:eastAsia="MS Mincho"/>
              </w:rPr>
            </w:pPr>
            <w:r>
              <w:rPr>
                <w:rFonts w:eastAsia="MS Mincho"/>
              </w:rPr>
              <w:t>Outcomes</w:t>
            </w:r>
          </w:p>
        </w:tc>
      </w:tr>
      <w:tr w:rsidR="007709D9" w:rsidRPr="00061F78" w14:paraId="4BF80E4D" w14:textId="77777777" w:rsidTr="007709D9">
        <w:trPr>
          <w:trHeight w:val="149"/>
        </w:trPr>
        <w:tc>
          <w:tcPr>
            <w:tcW w:w="518" w:type="pct"/>
            <w:tcMar>
              <w:left w:w="28" w:type="dxa"/>
              <w:right w:w="28" w:type="dxa"/>
            </w:tcMar>
          </w:tcPr>
          <w:p w14:paraId="4BBB7646" w14:textId="5500FAEE" w:rsidR="00FB757E" w:rsidRDefault="00FB757E" w:rsidP="00FB757E">
            <w:pPr>
              <w:pStyle w:val="Tablewriting"/>
              <w:keepNext/>
              <w:rPr>
                <w:rFonts w:eastAsia="MS Mincho"/>
              </w:rPr>
            </w:pPr>
            <w:r>
              <w:rPr>
                <w:rFonts w:eastAsia="MS Mincho"/>
              </w:rPr>
              <w:t>Hartmann-Boyce</w:t>
            </w:r>
            <w:r w:rsidRPr="00061F78">
              <w:rPr>
                <w:rFonts w:eastAsia="MS Mincho"/>
              </w:rPr>
              <w:t xml:space="preserve"> (20</w:t>
            </w:r>
            <w:r>
              <w:rPr>
                <w:rFonts w:eastAsia="MS Mincho"/>
              </w:rPr>
              <w:t>18</w:t>
            </w:r>
            <w:r w:rsidRPr="00061F78">
              <w:rPr>
                <w:rFonts w:eastAsia="MS Mincho"/>
              </w:rPr>
              <w:t>)</w:t>
            </w:r>
          </w:p>
        </w:tc>
        <w:tc>
          <w:tcPr>
            <w:tcW w:w="353" w:type="pct"/>
          </w:tcPr>
          <w:p w14:paraId="71B5320B" w14:textId="54027BE7" w:rsidR="00FB757E" w:rsidRDefault="00FB757E" w:rsidP="00FB757E">
            <w:pPr>
              <w:pStyle w:val="Tablewriting"/>
              <w:keepNext/>
              <w:rPr>
                <w:rFonts w:eastAsia="MS Mincho"/>
              </w:rPr>
            </w:pPr>
            <w:r>
              <w:rPr>
                <w:rFonts w:eastAsia="MS Mincho"/>
              </w:rPr>
              <w:t xml:space="preserve">Cochrane </w:t>
            </w:r>
            <w:r w:rsidR="00826C95">
              <w:rPr>
                <w:rFonts w:eastAsia="MS Mincho"/>
              </w:rPr>
              <w:t>review (</w:t>
            </w:r>
            <w:r>
              <w:rPr>
                <w:rFonts w:eastAsia="MS Mincho"/>
              </w:rPr>
              <w:t>5 RCTs</w:t>
            </w:r>
            <w:r w:rsidRPr="00AB145F">
              <w:rPr>
                <w:rFonts w:eastAsia="MS Mincho"/>
                <w:vertAlign w:val="superscript"/>
              </w:rPr>
              <w:t>2</w:t>
            </w:r>
            <w:r>
              <w:rPr>
                <w:rFonts w:eastAsia="MS Mincho"/>
              </w:rPr>
              <w:t>)</w:t>
            </w:r>
          </w:p>
        </w:tc>
        <w:tc>
          <w:tcPr>
            <w:tcW w:w="859" w:type="pct"/>
            <w:tcMar>
              <w:left w:w="28" w:type="dxa"/>
              <w:right w:w="28" w:type="dxa"/>
            </w:tcMar>
          </w:tcPr>
          <w:p w14:paraId="4CEE2DCE" w14:textId="2DD4023C" w:rsidR="001D2106" w:rsidRPr="001D2106" w:rsidRDefault="001D2106" w:rsidP="00FB757E">
            <w:pPr>
              <w:pStyle w:val="Tablewriting"/>
              <w:keepNext/>
              <w:rPr>
                <w:rFonts w:eastAsia="MS Mincho"/>
                <w:u w:val="single"/>
              </w:rPr>
            </w:pPr>
            <w:r w:rsidRPr="001D2106">
              <w:rPr>
                <w:rFonts w:eastAsia="MS Mincho"/>
                <w:u w:val="single"/>
              </w:rPr>
              <w:t>NRT patch and lozenge</w:t>
            </w:r>
          </w:p>
          <w:p w14:paraId="4D2A5F04" w14:textId="32F49BF5" w:rsidR="00FB757E" w:rsidRDefault="00FB757E" w:rsidP="00FB757E">
            <w:pPr>
              <w:pStyle w:val="Tablewriting"/>
              <w:keepNext/>
              <w:rPr>
                <w:rFonts w:eastAsia="MS Mincho"/>
              </w:rPr>
            </w:pPr>
            <w:r>
              <w:rPr>
                <w:rFonts w:eastAsia="MS Mincho"/>
              </w:rPr>
              <w:t>N=</w:t>
            </w:r>
            <w:r w:rsidR="001F794D">
              <w:rPr>
                <w:rFonts w:eastAsia="MS Mincho"/>
              </w:rPr>
              <w:t>3</w:t>
            </w:r>
            <w:r w:rsidR="001D2106">
              <w:rPr>
                <w:rFonts w:eastAsia="MS Mincho"/>
              </w:rPr>
              <w:t>08</w:t>
            </w:r>
            <w:r w:rsidR="008F080D">
              <w:rPr>
                <w:rFonts w:eastAsia="MS Mincho"/>
              </w:rPr>
              <w:t xml:space="preserve"> (1 RCT)</w:t>
            </w:r>
          </w:p>
          <w:p w14:paraId="6D8BF0E5" w14:textId="1CCA56D1" w:rsidR="00FB757E" w:rsidRDefault="00BA3803" w:rsidP="00FB757E">
            <w:pPr>
              <w:pStyle w:val="Tablewriting"/>
              <w:keepNext/>
              <w:rPr>
                <w:rFonts w:eastAsia="MS Mincho"/>
              </w:rPr>
            </w:pPr>
            <w:r>
              <w:rPr>
                <w:rFonts w:eastAsia="MS Mincho"/>
              </w:rPr>
              <w:t>Intervention</w:t>
            </w:r>
            <w:r w:rsidR="00FB757E">
              <w:rPr>
                <w:rFonts w:eastAsia="MS Mincho"/>
              </w:rPr>
              <w:t xml:space="preserve"> (n=</w:t>
            </w:r>
            <w:r w:rsidR="00BD16F6">
              <w:rPr>
                <w:rFonts w:eastAsia="MS Mincho"/>
              </w:rPr>
              <w:t>267</w:t>
            </w:r>
            <w:r w:rsidR="00FB757E">
              <w:rPr>
                <w:rFonts w:eastAsia="MS Mincho"/>
              </w:rPr>
              <w:t>),</w:t>
            </w:r>
          </w:p>
          <w:p w14:paraId="0BA64B10" w14:textId="2B55BF85" w:rsidR="00FB757E" w:rsidRDefault="00FB757E" w:rsidP="00FB757E">
            <w:pPr>
              <w:pStyle w:val="Tablewriting"/>
              <w:keepNext/>
              <w:rPr>
                <w:rFonts w:eastAsia="MS Mincho"/>
              </w:rPr>
            </w:pPr>
            <w:r>
              <w:rPr>
                <w:rFonts w:eastAsia="MS Mincho"/>
              </w:rPr>
              <w:t>Placebo (n=</w:t>
            </w:r>
            <w:r w:rsidR="00BD16F6">
              <w:rPr>
                <w:rFonts w:eastAsia="MS Mincho"/>
              </w:rPr>
              <w:t>41</w:t>
            </w:r>
            <w:r>
              <w:rPr>
                <w:rFonts w:eastAsia="MS Mincho"/>
              </w:rPr>
              <w:t>)</w:t>
            </w:r>
          </w:p>
          <w:p w14:paraId="059A6E3F" w14:textId="69C72EA0" w:rsidR="001F794D" w:rsidRPr="001D2106" w:rsidRDefault="001F794D" w:rsidP="001F794D">
            <w:pPr>
              <w:pStyle w:val="Tablewriting"/>
              <w:keepNext/>
              <w:rPr>
                <w:rFonts w:eastAsia="MS Mincho"/>
                <w:u w:val="single"/>
              </w:rPr>
            </w:pPr>
            <w:r w:rsidRPr="001D2106">
              <w:rPr>
                <w:rFonts w:eastAsia="MS Mincho"/>
                <w:u w:val="single"/>
              </w:rPr>
              <w:t xml:space="preserve">NRT patch and </w:t>
            </w:r>
            <w:r>
              <w:rPr>
                <w:rFonts w:eastAsia="MS Mincho"/>
                <w:u w:val="single"/>
              </w:rPr>
              <w:t>gum</w:t>
            </w:r>
          </w:p>
          <w:p w14:paraId="10841AAA" w14:textId="6728EE19" w:rsidR="001F794D" w:rsidRDefault="001F794D" w:rsidP="001F794D">
            <w:pPr>
              <w:pStyle w:val="Tablewriting"/>
              <w:keepNext/>
              <w:rPr>
                <w:rFonts w:eastAsia="MS Mincho"/>
              </w:rPr>
            </w:pPr>
            <w:r>
              <w:rPr>
                <w:rFonts w:eastAsia="MS Mincho"/>
              </w:rPr>
              <w:t>N=</w:t>
            </w:r>
            <w:r w:rsidR="0087059B">
              <w:rPr>
                <w:rFonts w:eastAsia="MS Mincho"/>
              </w:rPr>
              <w:t>259</w:t>
            </w:r>
            <w:r w:rsidR="008F080D">
              <w:rPr>
                <w:rFonts w:eastAsia="MS Mincho"/>
              </w:rPr>
              <w:t xml:space="preserve"> (2 RCTs)</w:t>
            </w:r>
          </w:p>
          <w:p w14:paraId="36FFB2F1" w14:textId="174F388F" w:rsidR="001F794D" w:rsidRDefault="001F794D" w:rsidP="001F794D">
            <w:pPr>
              <w:pStyle w:val="Tablewriting"/>
              <w:keepNext/>
              <w:rPr>
                <w:rFonts w:eastAsia="MS Mincho"/>
              </w:rPr>
            </w:pPr>
            <w:r>
              <w:rPr>
                <w:rFonts w:eastAsia="MS Mincho"/>
              </w:rPr>
              <w:t>Intervention (n=</w:t>
            </w:r>
            <w:r w:rsidR="00AA65D4">
              <w:rPr>
                <w:rFonts w:eastAsia="MS Mincho"/>
              </w:rPr>
              <w:t>173</w:t>
            </w:r>
            <w:r>
              <w:rPr>
                <w:rFonts w:eastAsia="MS Mincho"/>
              </w:rPr>
              <w:t>),</w:t>
            </w:r>
          </w:p>
          <w:p w14:paraId="6FDCF3C7" w14:textId="087C03D3" w:rsidR="001F794D" w:rsidRDefault="001F794D" w:rsidP="001F794D">
            <w:pPr>
              <w:pStyle w:val="Tablewriting"/>
              <w:keepNext/>
              <w:rPr>
                <w:rFonts w:eastAsia="MS Mincho"/>
              </w:rPr>
            </w:pPr>
            <w:r>
              <w:rPr>
                <w:rFonts w:eastAsia="MS Mincho"/>
              </w:rPr>
              <w:t>Placebo (n=</w:t>
            </w:r>
            <w:r w:rsidR="00D520C4">
              <w:rPr>
                <w:rFonts w:eastAsia="MS Mincho"/>
              </w:rPr>
              <w:t>86</w:t>
            </w:r>
            <w:r>
              <w:rPr>
                <w:rFonts w:eastAsia="MS Mincho"/>
              </w:rPr>
              <w:t>)</w:t>
            </w:r>
          </w:p>
          <w:p w14:paraId="0A8103E1" w14:textId="2207D553" w:rsidR="0087059B" w:rsidRPr="001D2106" w:rsidRDefault="0087059B" w:rsidP="0087059B">
            <w:pPr>
              <w:pStyle w:val="Tablewriting"/>
              <w:keepNext/>
              <w:rPr>
                <w:rFonts w:eastAsia="MS Mincho"/>
                <w:u w:val="single"/>
              </w:rPr>
            </w:pPr>
            <w:r w:rsidRPr="001D2106">
              <w:rPr>
                <w:rFonts w:eastAsia="MS Mincho"/>
                <w:u w:val="single"/>
              </w:rPr>
              <w:t xml:space="preserve">NRT patch and </w:t>
            </w:r>
            <w:r w:rsidR="00913106">
              <w:rPr>
                <w:rFonts w:eastAsia="MS Mincho"/>
                <w:u w:val="single"/>
              </w:rPr>
              <w:t>inhalator</w:t>
            </w:r>
          </w:p>
          <w:p w14:paraId="127E763B" w14:textId="482561F5" w:rsidR="0087059B" w:rsidRDefault="0087059B" w:rsidP="0087059B">
            <w:pPr>
              <w:pStyle w:val="Tablewriting"/>
              <w:keepNext/>
              <w:rPr>
                <w:rFonts w:eastAsia="MS Mincho"/>
              </w:rPr>
            </w:pPr>
            <w:r>
              <w:rPr>
                <w:rFonts w:eastAsia="MS Mincho"/>
              </w:rPr>
              <w:t>N=</w:t>
            </w:r>
            <w:r w:rsidR="00913106">
              <w:rPr>
                <w:rFonts w:eastAsia="MS Mincho"/>
              </w:rPr>
              <w:t>245</w:t>
            </w:r>
            <w:r w:rsidR="008F080D">
              <w:rPr>
                <w:rFonts w:eastAsia="MS Mincho"/>
              </w:rPr>
              <w:t xml:space="preserve"> (1 RCT)</w:t>
            </w:r>
          </w:p>
          <w:p w14:paraId="188A5E59" w14:textId="78906F67" w:rsidR="0087059B" w:rsidRDefault="0087059B" w:rsidP="0087059B">
            <w:pPr>
              <w:pStyle w:val="Tablewriting"/>
              <w:keepNext/>
              <w:rPr>
                <w:rFonts w:eastAsia="MS Mincho"/>
              </w:rPr>
            </w:pPr>
            <w:r>
              <w:rPr>
                <w:rFonts w:eastAsia="MS Mincho"/>
              </w:rPr>
              <w:t>Intervention (n=</w:t>
            </w:r>
            <w:r w:rsidR="00027AF6">
              <w:rPr>
                <w:rFonts w:eastAsia="MS Mincho"/>
              </w:rPr>
              <w:t>136</w:t>
            </w:r>
            <w:r>
              <w:rPr>
                <w:rFonts w:eastAsia="MS Mincho"/>
              </w:rPr>
              <w:t>),</w:t>
            </w:r>
          </w:p>
          <w:p w14:paraId="782D0E80" w14:textId="02073844" w:rsidR="0087059B" w:rsidRDefault="0087059B" w:rsidP="0087059B">
            <w:pPr>
              <w:pStyle w:val="Tablewriting"/>
              <w:keepNext/>
              <w:rPr>
                <w:rFonts w:eastAsia="MS Mincho"/>
              </w:rPr>
            </w:pPr>
            <w:r>
              <w:rPr>
                <w:rFonts w:eastAsia="MS Mincho"/>
              </w:rPr>
              <w:t>Placebo (n=</w:t>
            </w:r>
            <w:r w:rsidR="00027AF6">
              <w:rPr>
                <w:rFonts w:eastAsia="MS Mincho"/>
              </w:rPr>
              <w:t>109</w:t>
            </w:r>
            <w:r>
              <w:rPr>
                <w:rFonts w:eastAsia="MS Mincho"/>
              </w:rPr>
              <w:t>)</w:t>
            </w:r>
          </w:p>
          <w:p w14:paraId="739234BD" w14:textId="22CF021A" w:rsidR="00027AF6" w:rsidRPr="001D2106" w:rsidRDefault="00027AF6" w:rsidP="00027AF6">
            <w:pPr>
              <w:pStyle w:val="Tablewriting"/>
              <w:keepNext/>
              <w:rPr>
                <w:rFonts w:eastAsia="MS Mincho"/>
                <w:u w:val="single"/>
              </w:rPr>
            </w:pPr>
            <w:r w:rsidRPr="001D2106">
              <w:rPr>
                <w:rFonts w:eastAsia="MS Mincho"/>
                <w:u w:val="single"/>
              </w:rPr>
              <w:t>NRT patch</w:t>
            </w:r>
            <w:r>
              <w:rPr>
                <w:rFonts w:eastAsia="MS Mincho"/>
                <w:u w:val="single"/>
              </w:rPr>
              <w:t xml:space="preserve">, </w:t>
            </w:r>
            <w:r w:rsidR="00826C95">
              <w:rPr>
                <w:rFonts w:eastAsia="MS Mincho"/>
                <w:u w:val="single"/>
              </w:rPr>
              <w:t>gum,</w:t>
            </w:r>
            <w:r w:rsidRPr="001D2106">
              <w:rPr>
                <w:rFonts w:eastAsia="MS Mincho"/>
                <w:u w:val="single"/>
              </w:rPr>
              <w:t xml:space="preserve"> and lozenge</w:t>
            </w:r>
          </w:p>
          <w:p w14:paraId="4AFE3AC2" w14:textId="4933FBDD" w:rsidR="00027AF6" w:rsidRDefault="00027AF6" w:rsidP="00027AF6">
            <w:pPr>
              <w:pStyle w:val="Tablewriting"/>
              <w:keepNext/>
              <w:rPr>
                <w:rFonts w:eastAsia="MS Mincho"/>
              </w:rPr>
            </w:pPr>
            <w:r>
              <w:rPr>
                <w:rFonts w:eastAsia="MS Mincho"/>
              </w:rPr>
              <w:t>N=424</w:t>
            </w:r>
            <w:r w:rsidR="003E53B1">
              <w:rPr>
                <w:rFonts w:eastAsia="MS Mincho"/>
              </w:rPr>
              <w:t xml:space="preserve"> (1 RCT)</w:t>
            </w:r>
          </w:p>
          <w:p w14:paraId="1621074F" w14:textId="53431C4B" w:rsidR="00027AF6" w:rsidRDefault="00027AF6" w:rsidP="00027AF6">
            <w:pPr>
              <w:pStyle w:val="Tablewriting"/>
              <w:keepNext/>
              <w:rPr>
                <w:rFonts w:eastAsia="MS Mincho"/>
              </w:rPr>
            </w:pPr>
            <w:r>
              <w:rPr>
                <w:rFonts w:eastAsia="MS Mincho"/>
              </w:rPr>
              <w:t>Intervention (n=</w:t>
            </w:r>
            <w:r w:rsidR="00D520C4">
              <w:rPr>
                <w:rFonts w:eastAsia="MS Mincho"/>
              </w:rPr>
              <w:t>212</w:t>
            </w:r>
            <w:r>
              <w:rPr>
                <w:rFonts w:eastAsia="MS Mincho"/>
              </w:rPr>
              <w:t>),</w:t>
            </w:r>
          </w:p>
          <w:p w14:paraId="3665951A" w14:textId="44290F99" w:rsidR="00027AF6" w:rsidRPr="004B359D" w:rsidRDefault="00027AF6" w:rsidP="00027AF6">
            <w:pPr>
              <w:pStyle w:val="Tablewriting"/>
              <w:keepNext/>
              <w:rPr>
                <w:rFonts w:eastAsia="MS Mincho"/>
                <w:highlight w:val="yellow"/>
              </w:rPr>
            </w:pPr>
            <w:r>
              <w:rPr>
                <w:rFonts w:eastAsia="MS Mincho"/>
              </w:rPr>
              <w:t>Placebo (n=</w:t>
            </w:r>
            <w:r w:rsidR="00D520C4">
              <w:rPr>
                <w:rFonts w:eastAsia="MS Mincho"/>
              </w:rPr>
              <w:t>212</w:t>
            </w:r>
            <w:r>
              <w:rPr>
                <w:rFonts w:eastAsia="MS Mincho"/>
              </w:rPr>
              <w:t>)</w:t>
            </w:r>
          </w:p>
        </w:tc>
        <w:tc>
          <w:tcPr>
            <w:tcW w:w="1416" w:type="pct"/>
            <w:tcMar>
              <w:left w:w="28" w:type="dxa"/>
              <w:right w:w="28" w:type="dxa"/>
            </w:tcMar>
          </w:tcPr>
          <w:p w14:paraId="55E0D024" w14:textId="40AE3D08" w:rsidR="00FB757E" w:rsidRDefault="00FB757E" w:rsidP="00FB757E">
            <w:pPr>
              <w:pStyle w:val="Tablewriting"/>
              <w:keepNext/>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sidR="0038776A">
              <w:rPr>
                <w:rFonts w:eastAsia="MS Mincho"/>
              </w:rPr>
              <w:t xml:space="preserve"> </w:t>
            </w:r>
            <w:r w:rsidRPr="007B7C66">
              <w:rPr>
                <w:rFonts w:eastAsia="MS Mincho"/>
              </w:rPr>
              <w:t>quit, irrespective of the setting from which they were recruited</w:t>
            </w:r>
            <w:r w:rsidR="0038776A">
              <w:rPr>
                <w:rFonts w:eastAsia="MS Mincho"/>
              </w:rPr>
              <w:t xml:space="preserve"> </w:t>
            </w:r>
            <w:r w:rsidRPr="007B7C66">
              <w:rPr>
                <w:rFonts w:eastAsia="MS Mincho"/>
              </w:rPr>
              <w:t>or their initial level of nicotine dependence, or both</w:t>
            </w:r>
            <w:r>
              <w:rPr>
                <w:rFonts w:eastAsia="MS Mincho"/>
              </w:rPr>
              <w:t>.</w:t>
            </w:r>
          </w:p>
          <w:p w14:paraId="7C206E6C" w14:textId="6B4D71E7" w:rsidR="00FB757E" w:rsidRPr="00EA1E9A" w:rsidRDefault="00FB757E" w:rsidP="00FB757E">
            <w:pPr>
              <w:pStyle w:val="Tablewriting"/>
              <w:keepNext/>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AB5FA3">
              <w:rPr>
                <w:rFonts w:eastAsia="MS Mincho"/>
              </w:rPr>
              <w:t>.</w:t>
            </w:r>
          </w:p>
        </w:tc>
        <w:tc>
          <w:tcPr>
            <w:tcW w:w="1163" w:type="pct"/>
          </w:tcPr>
          <w:p w14:paraId="427ACA24" w14:textId="15179728" w:rsidR="00FB757E" w:rsidRPr="004B359D" w:rsidRDefault="00FB757E" w:rsidP="00F669D2">
            <w:pPr>
              <w:pStyle w:val="Tablewriting"/>
              <w:keepNext/>
              <w:rPr>
                <w:rFonts w:eastAsia="MS Mincho"/>
                <w:highlight w:val="yellow"/>
              </w:rPr>
            </w:pPr>
            <w:r>
              <w:rPr>
                <w:rFonts w:eastAsia="MS Mincho"/>
              </w:rPr>
              <w:t xml:space="preserve">NRT: </w:t>
            </w:r>
            <w:r w:rsidR="00CD2D6F">
              <w:rPr>
                <w:rFonts w:eastAsia="MS Mincho"/>
              </w:rPr>
              <w:t xml:space="preserve">combination </w:t>
            </w:r>
            <w:r>
              <w:rPr>
                <w:rFonts w:eastAsia="MS Mincho"/>
              </w:rPr>
              <w:t>NRT</w:t>
            </w:r>
            <w:r w:rsidR="00F669D2">
              <w:rPr>
                <w:rFonts w:eastAsia="MS Mincho"/>
              </w:rPr>
              <w:t xml:space="preserve">; </w:t>
            </w:r>
            <w:r>
              <w:rPr>
                <w:rFonts w:eastAsia="MS Mincho"/>
              </w:rPr>
              <w:t>Placebo: placebo or no NRT control</w:t>
            </w:r>
            <w:r w:rsidR="00AB5FA3">
              <w:rPr>
                <w:rFonts w:eastAsia="MS Mincho"/>
              </w:rPr>
              <w:t>.</w:t>
            </w:r>
          </w:p>
        </w:tc>
        <w:tc>
          <w:tcPr>
            <w:tcW w:w="691" w:type="pct"/>
            <w:tcMar>
              <w:left w:w="28" w:type="dxa"/>
              <w:right w:w="28" w:type="dxa"/>
            </w:tcMar>
          </w:tcPr>
          <w:p w14:paraId="3BFBD075" w14:textId="5997DF28" w:rsidR="00FB757E" w:rsidRDefault="00FB757E" w:rsidP="00FB757E">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AB5FA3">
              <w:rPr>
                <w:rFonts w:eastAsia="MS Mincho"/>
              </w:rPr>
              <w:t>.</w:t>
            </w:r>
          </w:p>
          <w:p w14:paraId="6F132179" w14:textId="450E8883" w:rsidR="00FB757E" w:rsidRPr="004B359D" w:rsidRDefault="00FB757E" w:rsidP="00FB757E">
            <w:pPr>
              <w:pStyle w:val="Tablewriting"/>
              <w:keepNext/>
              <w:rPr>
                <w:rFonts w:eastAsia="MS Mincho"/>
                <w:highlight w:val="yellow"/>
                <w:u w:val="single"/>
              </w:rPr>
            </w:pPr>
            <w:r w:rsidRPr="0036499C">
              <w:rPr>
                <w:rFonts w:eastAsia="MS Mincho"/>
                <w:u w:val="single"/>
              </w:rPr>
              <w:t>Secondary</w:t>
            </w:r>
            <w:r>
              <w:rPr>
                <w:rFonts w:eastAsia="MS Mincho"/>
              </w:rPr>
              <w:t>: adverse event including palpitations/chest pains</w:t>
            </w:r>
            <w:r w:rsidR="00AB5FA3">
              <w:rPr>
                <w:rFonts w:eastAsia="MS Mincho"/>
              </w:rPr>
              <w:t>.</w:t>
            </w:r>
          </w:p>
        </w:tc>
      </w:tr>
      <w:tr w:rsidR="007709D9" w:rsidRPr="00061F78" w14:paraId="0DE9D2F5" w14:textId="77777777" w:rsidTr="007709D9">
        <w:trPr>
          <w:trHeight w:val="149"/>
        </w:trPr>
        <w:tc>
          <w:tcPr>
            <w:tcW w:w="518" w:type="pct"/>
            <w:tcMar>
              <w:left w:w="28" w:type="dxa"/>
              <w:right w:w="28" w:type="dxa"/>
            </w:tcMar>
          </w:tcPr>
          <w:p w14:paraId="2A9C0721" w14:textId="77777777" w:rsidR="00A27BBE" w:rsidRDefault="00A27BBE" w:rsidP="00A27BBE">
            <w:pPr>
              <w:pStyle w:val="Tablewriting"/>
              <w:keepNext/>
              <w:rPr>
                <w:rFonts w:eastAsia="MS Mincho"/>
              </w:rPr>
            </w:pPr>
            <w:r>
              <w:rPr>
                <w:rFonts w:eastAsia="MS Mincho"/>
              </w:rPr>
              <w:t>Chen</w:t>
            </w:r>
          </w:p>
          <w:p w14:paraId="7DFCEFC4" w14:textId="21A76B48" w:rsidR="00A27BBE" w:rsidRDefault="00A27BBE" w:rsidP="00A27BBE">
            <w:pPr>
              <w:pStyle w:val="Tablewriting"/>
              <w:keepNext/>
              <w:rPr>
                <w:rFonts w:eastAsia="MS Mincho"/>
              </w:rPr>
            </w:pPr>
            <w:r>
              <w:rPr>
                <w:rFonts w:eastAsia="MS Mincho"/>
              </w:rPr>
              <w:t>(2020)</w:t>
            </w:r>
          </w:p>
        </w:tc>
        <w:tc>
          <w:tcPr>
            <w:tcW w:w="353" w:type="pct"/>
          </w:tcPr>
          <w:p w14:paraId="6B871B66" w14:textId="73C25110" w:rsidR="00A27BBE" w:rsidRDefault="00A27BBE" w:rsidP="00A27BBE">
            <w:pPr>
              <w:pStyle w:val="Tablewriting"/>
              <w:keepNext/>
              <w:rPr>
                <w:rFonts w:eastAsia="MS Mincho"/>
              </w:rPr>
            </w:pPr>
            <w:r>
              <w:rPr>
                <w:rFonts w:eastAsia="MS Mincho"/>
              </w:rPr>
              <w:t>RCT</w:t>
            </w:r>
          </w:p>
        </w:tc>
        <w:tc>
          <w:tcPr>
            <w:tcW w:w="859" w:type="pct"/>
            <w:tcMar>
              <w:left w:w="28" w:type="dxa"/>
              <w:right w:w="28" w:type="dxa"/>
            </w:tcMar>
          </w:tcPr>
          <w:p w14:paraId="00ACD245" w14:textId="77777777" w:rsidR="00A27BBE" w:rsidRDefault="00A27BBE" w:rsidP="00A27BBE">
            <w:pPr>
              <w:pStyle w:val="Tablewriting"/>
              <w:keepNext/>
              <w:rPr>
                <w:rFonts w:eastAsia="MS Mincho"/>
              </w:rPr>
            </w:pPr>
            <w:r>
              <w:rPr>
                <w:rFonts w:eastAsia="MS Mincho"/>
              </w:rPr>
              <w:t>N=822</w:t>
            </w:r>
          </w:p>
          <w:p w14:paraId="010B537F" w14:textId="61DAA0BA" w:rsidR="00A27BBE" w:rsidRDefault="00A27BBE" w:rsidP="00A27BBE">
            <w:pPr>
              <w:pStyle w:val="Tablewriting"/>
              <w:keepNext/>
              <w:rPr>
                <w:rFonts w:eastAsia="MS Mincho"/>
              </w:rPr>
            </w:pPr>
            <w:r>
              <w:rPr>
                <w:rFonts w:eastAsia="MS Mincho"/>
              </w:rPr>
              <w:t>NRT</w:t>
            </w:r>
            <w:r w:rsidR="004E1C59">
              <w:rPr>
                <w:rFonts w:eastAsia="MS Mincho"/>
              </w:rPr>
              <w:t xml:space="preserve"> patch and lozenge</w:t>
            </w:r>
            <w:r>
              <w:rPr>
                <w:rFonts w:eastAsia="MS Mincho"/>
              </w:rPr>
              <w:t xml:space="preserve"> (n=275),</w:t>
            </w:r>
          </w:p>
          <w:p w14:paraId="39331928" w14:textId="03FF8FFF" w:rsidR="00A27BBE" w:rsidRPr="001D2106" w:rsidRDefault="004E1C59" w:rsidP="00A27BBE">
            <w:pPr>
              <w:pStyle w:val="Tablewriting"/>
              <w:keepNext/>
              <w:rPr>
                <w:rFonts w:eastAsia="MS Mincho"/>
                <w:u w:val="single"/>
              </w:rPr>
            </w:pPr>
            <w:r>
              <w:rPr>
                <w:rFonts w:eastAsia="MS Mincho"/>
              </w:rPr>
              <w:t>Placebo</w:t>
            </w:r>
            <w:r w:rsidR="00A27BBE">
              <w:rPr>
                <w:rFonts w:eastAsia="MS Mincho"/>
              </w:rPr>
              <w:t xml:space="preserve"> (n=27</w:t>
            </w:r>
            <w:r w:rsidR="007709D9">
              <w:rPr>
                <w:rFonts w:eastAsia="MS Mincho"/>
              </w:rPr>
              <w:t>3</w:t>
            </w:r>
            <w:r w:rsidR="00A27BBE">
              <w:rPr>
                <w:rFonts w:eastAsia="MS Mincho"/>
              </w:rPr>
              <w:t>)</w:t>
            </w:r>
          </w:p>
        </w:tc>
        <w:tc>
          <w:tcPr>
            <w:tcW w:w="1416" w:type="pct"/>
            <w:tcMar>
              <w:left w:w="28" w:type="dxa"/>
              <w:right w:w="28" w:type="dxa"/>
            </w:tcMar>
          </w:tcPr>
          <w:p w14:paraId="4D9D2DBC" w14:textId="1F7EC131" w:rsidR="00A27BBE" w:rsidRDefault="007709D9" w:rsidP="00A27BBE">
            <w:pPr>
              <w:pStyle w:val="Tablewriting"/>
              <w:keepNext/>
              <w:rPr>
                <w:rFonts w:eastAsia="MS Mincho"/>
              </w:rPr>
            </w:pPr>
            <w:r>
              <w:rPr>
                <w:rFonts w:eastAsia="MS Mincho"/>
                <w:u w:val="single"/>
              </w:rPr>
              <w:t>Inclusion</w:t>
            </w:r>
            <w:r w:rsidRPr="007709D9">
              <w:rPr>
                <w:rFonts w:eastAsia="MS Mincho"/>
              </w:rPr>
              <w:t xml:space="preserve">: ≥21 years </w:t>
            </w:r>
            <w:r>
              <w:rPr>
                <w:rFonts w:eastAsia="MS Mincho"/>
              </w:rPr>
              <w:t>old</w:t>
            </w:r>
            <w:r w:rsidRPr="007709D9">
              <w:rPr>
                <w:rFonts w:eastAsia="MS Mincho"/>
              </w:rPr>
              <w:t xml:space="preserve"> seeking treatment for smoking cessation</w:t>
            </w:r>
            <w:r>
              <w:rPr>
                <w:rFonts w:eastAsia="MS Mincho"/>
              </w:rPr>
              <w:t xml:space="preserve">, </w:t>
            </w:r>
            <w:r w:rsidRPr="007709D9">
              <w:rPr>
                <w:rFonts w:eastAsia="MS Mincho"/>
              </w:rPr>
              <w:t>≥5</w:t>
            </w:r>
            <w:r>
              <w:rPr>
                <w:rFonts w:eastAsia="MS Mincho"/>
              </w:rPr>
              <w:t xml:space="preserve"> cigarettes per day</w:t>
            </w:r>
            <w:r w:rsidRPr="007709D9">
              <w:rPr>
                <w:rFonts w:eastAsia="MS Mincho"/>
              </w:rPr>
              <w:t xml:space="preserve">, </w:t>
            </w:r>
            <w:r>
              <w:rPr>
                <w:rFonts w:eastAsia="MS Mincho"/>
              </w:rPr>
              <w:t xml:space="preserve">exhaled </w:t>
            </w:r>
            <w:r w:rsidRPr="007709D9">
              <w:rPr>
                <w:rFonts w:eastAsia="MS Mincho"/>
              </w:rPr>
              <w:t>CO ≥8 ppm</w:t>
            </w:r>
            <w:r w:rsidR="00AB5FA3">
              <w:rPr>
                <w:rFonts w:eastAsia="MS Mincho"/>
              </w:rPr>
              <w:t>.</w:t>
            </w:r>
          </w:p>
          <w:p w14:paraId="7858EC2B" w14:textId="45F64C36" w:rsidR="007709D9" w:rsidRPr="002C19B4" w:rsidRDefault="007709D9" w:rsidP="00A27BBE">
            <w:pPr>
              <w:pStyle w:val="Tablewriting"/>
              <w:keepNext/>
              <w:rPr>
                <w:rFonts w:eastAsia="MS Mincho"/>
                <w:u w:val="single"/>
              </w:rPr>
            </w:pPr>
            <w:r>
              <w:rPr>
                <w:rFonts w:eastAsia="MS Mincho"/>
                <w:u w:val="single"/>
              </w:rPr>
              <w:t>Exclusion</w:t>
            </w:r>
            <w:r w:rsidRPr="007709D9">
              <w:rPr>
                <w:rFonts w:eastAsia="MS Mincho"/>
              </w:rPr>
              <w:t xml:space="preserve">: </w:t>
            </w:r>
            <w:r>
              <w:rPr>
                <w:rFonts w:eastAsia="MS Mincho"/>
              </w:rPr>
              <w:t>p</w:t>
            </w:r>
            <w:r w:rsidRPr="007709D9">
              <w:rPr>
                <w:rFonts w:eastAsia="MS Mincho"/>
              </w:rPr>
              <w:t xml:space="preserve">regnancy or breast feeding, </w:t>
            </w:r>
            <w:r>
              <w:rPr>
                <w:rFonts w:eastAsia="MS Mincho"/>
              </w:rPr>
              <w:t>a</w:t>
            </w:r>
            <w:r w:rsidRPr="007709D9">
              <w:rPr>
                <w:rFonts w:eastAsia="MS Mincho"/>
              </w:rPr>
              <w:t xml:space="preserve">ctive use or recent use of medication or e-cigarettes for nicotine dependence/smoking cessation, </w:t>
            </w:r>
            <w:r>
              <w:rPr>
                <w:rFonts w:eastAsia="MS Mincho"/>
              </w:rPr>
              <w:t>a</w:t>
            </w:r>
            <w:r w:rsidRPr="007709D9">
              <w:rPr>
                <w:rFonts w:eastAsia="MS Mincho"/>
              </w:rPr>
              <w:t xml:space="preserve">llergy to nicotine patch, lozenge, or varenicline, </w:t>
            </w:r>
            <w:r>
              <w:rPr>
                <w:rFonts w:eastAsia="MS Mincho"/>
              </w:rPr>
              <w:t>s</w:t>
            </w:r>
            <w:r w:rsidRPr="007709D9">
              <w:rPr>
                <w:rFonts w:eastAsia="MS Mincho"/>
              </w:rPr>
              <w:t xml:space="preserve">ignificant cardiac conditions or serious arrhythmia in past 6 months, </w:t>
            </w:r>
            <w:r>
              <w:rPr>
                <w:rFonts w:eastAsia="MS Mincho"/>
              </w:rPr>
              <w:t>c</w:t>
            </w:r>
            <w:r w:rsidRPr="007709D9">
              <w:rPr>
                <w:rFonts w:eastAsia="MS Mincho"/>
              </w:rPr>
              <w:t>urrent heavy alcohol consumptio</w:t>
            </w:r>
            <w:r>
              <w:rPr>
                <w:rFonts w:eastAsia="MS Mincho"/>
              </w:rPr>
              <w:t>n</w:t>
            </w:r>
            <w:r w:rsidRPr="007709D9">
              <w:rPr>
                <w:rFonts w:eastAsia="MS Mincho"/>
              </w:rPr>
              <w:t xml:space="preserve">, </w:t>
            </w:r>
            <w:r>
              <w:rPr>
                <w:rFonts w:eastAsia="MS Mincho"/>
              </w:rPr>
              <w:t>a</w:t>
            </w:r>
            <w:r w:rsidRPr="007709D9">
              <w:rPr>
                <w:rFonts w:eastAsia="MS Mincho"/>
              </w:rPr>
              <w:t xml:space="preserve">ctive psychosis or poorly controlled depression within the past 6 months, </w:t>
            </w:r>
            <w:r>
              <w:rPr>
                <w:rFonts w:eastAsia="MS Mincho"/>
              </w:rPr>
              <w:t>a</w:t>
            </w:r>
            <w:r w:rsidRPr="007709D9">
              <w:rPr>
                <w:rFonts w:eastAsia="MS Mincho"/>
              </w:rPr>
              <w:t xml:space="preserve">ny prior suicide attempt or suicidal ideation within the past 6 months, </w:t>
            </w:r>
            <w:r>
              <w:rPr>
                <w:rFonts w:eastAsia="MS Mincho"/>
              </w:rPr>
              <w:t>e</w:t>
            </w:r>
            <w:r w:rsidRPr="007709D9">
              <w:rPr>
                <w:rFonts w:eastAsia="MS Mincho"/>
              </w:rPr>
              <w:t>nd stage renal disease with h</w:t>
            </w:r>
            <w:r>
              <w:rPr>
                <w:rFonts w:eastAsia="MS Mincho"/>
              </w:rPr>
              <w:t>a</w:t>
            </w:r>
            <w:r w:rsidRPr="007709D9">
              <w:rPr>
                <w:rFonts w:eastAsia="MS Mincho"/>
              </w:rPr>
              <w:t>emodialysis.</w:t>
            </w:r>
          </w:p>
        </w:tc>
        <w:tc>
          <w:tcPr>
            <w:tcW w:w="1163" w:type="pct"/>
          </w:tcPr>
          <w:p w14:paraId="27727FF9" w14:textId="1862C07A" w:rsidR="00A27BBE" w:rsidRDefault="00A27BBE" w:rsidP="00A27BBE">
            <w:pPr>
              <w:pStyle w:val="Tablewriting"/>
              <w:keepNext/>
              <w:rPr>
                <w:rFonts w:eastAsia="MS Mincho"/>
              </w:rPr>
            </w:pPr>
            <w:r>
              <w:rPr>
                <w:rFonts w:eastAsia="MS Mincho"/>
              </w:rPr>
              <w:t>NRT:</w:t>
            </w:r>
            <w:r>
              <w:t xml:space="preserve"> </w:t>
            </w:r>
            <w:r w:rsidRPr="00CD358E">
              <w:rPr>
                <w:rFonts w:eastAsia="MS Mincho"/>
              </w:rPr>
              <w:t>12 weeks of patches (21 mg for 8 weeks, 14 mg for 2 weeks, and 7 mg for 2 weeks) as well as 13 weeks of nicotine lozenges for use as needed (4 mg for those who smoke within 30 min of awaking and 2 mg otherwise</w:t>
            </w:r>
            <w:r w:rsidR="00F669D2">
              <w:rPr>
                <w:rFonts w:eastAsia="MS Mincho"/>
              </w:rPr>
              <w:t xml:space="preserve">; </w:t>
            </w:r>
            <w:r w:rsidR="00203434">
              <w:rPr>
                <w:rFonts w:eastAsia="MS Mincho"/>
              </w:rPr>
              <w:t xml:space="preserve">Placebo: </w:t>
            </w:r>
            <w:r w:rsidR="00E257AD">
              <w:rPr>
                <w:rFonts w:eastAsia="MS Mincho"/>
              </w:rPr>
              <w:t>placebo patch and lozenge</w:t>
            </w:r>
            <w:r w:rsidR="004968BF">
              <w:rPr>
                <w:rFonts w:eastAsia="MS Mincho"/>
              </w:rPr>
              <w:t xml:space="preserve"> or placebo varenicline</w:t>
            </w:r>
            <w:r w:rsidR="00E257AD">
              <w:rPr>
                <w:rFonts w:eastAsia="MS Mincho"/>
              </w:rPr>
              <w:t xml:space="preserve"> for 12 weeks</w:t>
            </w:r>
            <w:r w:rsidR="00AB5FA3">
              <w:rPr>
                <w:rFonts w:eastAsia="MS Mincho"/>
              </w:rPr>
              <w:t>.</w:t>
            </w:r>
          </w:p>
          <w:p w14:paraId="6EA42F9F" w14:textId="77777777" w:rsidR="00A27BBE" w:rsidRDefault="00A27BBE" w:rsidP="00A27BBE">
            <w:pPr>
              <w:pStyle w:val="Tablewriting"/>
              <w:keepNext/>
              <w:rPr>
                <w:rFonts w:eastAsia="MS Mincho"/>
              </w:rPr>
            </w:pPr>
          </w:p>
          <w:p w14:paraId="06692942" w14:textId="2BC3E17F" w:rsidR="00A27BBE" w:rsidRDefault="00A27BBE" w:rsidP="00A27BBE">
            <w:pPr>
              <w:pStyle w:val="Tablewriting"/>
              <w:keepNext/>
              <w:rPr>
                <w:rFonts w:eastAsia="MS Mincho"/>
              </w:rPr>
            </w:pPr>
            <w:r w:rsidRPr="006C01A1">
              <w:rPr>
                <w:rFonts w:eastAsia="MS Mincho"/>
              </w:rPr>
              <w:t>Behavioural support provided in both arms.</w:t>
            </w:r>
          </w:p>
        </w:tc>
        <w:tc>
          <w:tcPr>
            <w:tcW w:w="691" w:type="pct"/>
            <w:tcMar>
              <w:left w:w="28" w:type="dxa"/>
              <w:right w:w="28" w:type="dxa"/>
            </w:tcMar>
          </w:tcPr>
          <w:p w14:paraId="14AE8CFF" w14:textId="02C51D60" w:rsidR="00A27BBE" w:rsidRDefault="00A27BBE" w:rsidP="00A27BBE">
            <w:pPr>
              <w:pStyle w:val="Tablewriting"/>
              <w:keepNext/>
              <w:rPr>
                <w:rFonts w:eastAsia="MS Mincho"/>
              </w:rPr>
            </w:pPr>
            <w:r w:rsidRPr="0036499C">
              <w:rPr>
                <w:rFonts w:eastAsia="MS Mincho"/>
                <w:u w:val="single"/>
              </w:rPr>
              <w:t>Primary</w:t>
            </w:r>
            <w:r>
              <w:rPr>
                <w:rFonts w:eastAsia="MS Mincho"/>
              </w:rPr>
              <w:t xml:space="preserve">: 7-day PPA at </w:t>
            </w:r>
            <w:r w:rsidR="00D562FA">
              <w:rPr>
                <w:rFonts w:eastAsia="MS Mincho"/>
              </w:rPr>
              <w:t>w</w:t>
            </w:r>
            <w:r>
              <w:rPr>
                <w:rFonts w:eastAsia="MS Mincho"/>
              </w:rPr>
              <w:t>eek 12. Validated by CO &lt;8</w:t>
            </w:r>
            <w:r w:rsidR="002703C8">
              <w:rPr>
                <w:rFonts w:eastAsia="MS Mincho"/>
              </w:rPr>
              <w:t xml:space="preserve"> </w:t>
            </w:r>
            <w:r>
              <w:rPr>
                <w:rFonts w:eastAsia="MS Mincho"/>
              </w:rPr>
              <w:t>ppm.</w:t>
            </w:r>
          </w:p>
          <w:p w14:paraId="0B60715E" w14:textId="3258EC01" w:rsidR="00A27BBE" w:rsidRPr="0036499C" w:rsidRDefault="00A27BBE" w:rsidP="00A27BBE">
            <w:pPr>
              <w:pStyle w:val="Tablewriting"/>
              <w:keepNext/>
              <w:rPr>
                <w:rFonts w:eastAsia="MS Mincho"/>
                <w:u w:val="single"/>
              </w:rPr>
            </w:pPr>
            <w:r w:rsidRPr="0036499C">
              <w:rPr>
                <w:rFonts w:eastAsia="MS Mincho"/>
                <w:u w:val="single"/>
              </w:rPr>
              <w:t>Secondary</w:t>
            </w:r>
            <w:r>
              <w:rPr>
                <w:rFonts w:eastAsia="MS Mincho"/>
              </w:rPr>
              <w:t>: 7-day PPA at 6 (CO-validated) and 12 months (self-report), adverse events, adherence</w:t>
            </w:r>
            <w:r w:rsidR="00AB5FA3">
              <w:rPr>
                <w:rFonts w:eastAsia="MS Mincho"/>
              </w:rPr>
              <w:t>.</w:t>
            </w:r>
          </w:p>
        </w:tc>
      </w:tr>
    </w:tbl>
    <w:p w14:paraId="2144ED40" w14:textId="47951A33" w:rsidR="007E02A9" w:rsidRDefault="007E02A9" w:rsidP="00AD227B">
      <w:pPr>
        <w:pStyle w:val="TableFooter"/>
        <w:keepNext/>
        <w:jc w:val="both"/>
        <w:rPr>
          <w:i/>
        </w:rPr>
      </w:pPr>
      <w:r>
        <w:t>Abbreviations:</w:t>
      </w:r>
      <w:r w:rsidR="00AD0762">
        <w:t xml:space="preserve"> CO = carbon monoxide;</w:t>
      </w:r>
      <w:r>
        <w:t xml:space="preserve"> NRT = nicotine replacement therapy; RCT = randomised controlled trial</w:t>
      </w:r>
      <w:r w:rsidRPr="00061F78">
        <w:t xml:space="preserve"> </w:t>
      </w:r>
    </w:p>
    <w:p w14:paraId="1B59A570" w14:textId="5CC64978" w:rsidR="007E02A9" w:rsidRDefault="007E02A9" w:rsidP="00AD227B">
      <w:pPr>
        <w:pStyle w:val="TableFooter"/>
        <w:keepNext/>
        <w:jc w:val="both"/>
      </w:pPr>
      <w:r>
        <w:lastRenderedPageBreak/>
        <w:t>1 Only the number of patients (n) in the relevant arms were included</w:t>
      </w:r>
      <w:r w:rsidR="00AB5FA3">
        <w:t>.</w:t>
      </w:r>
      <w:r>
        <w:t xml:space="preserve"> </w:t>
      </w:r>
    </w:p>
    <w:p w14:paraId="6FCB00D8" w14:textId="3D4AB53A" w:rsidR="0012484D" w:rsidRDefault="007E02A9" w:rsidP="00AD227B">
      <w:pPr>
        <w:pStyle w:val="TableFooter"/>
        <w:jc w:val="both"/>
      </w:pPr>
      <w:r>
        <w:t xml:space="preserve">2 The characteristics of the individual studies comparing </w:t>
      </w:r>
      <w:r w:rsidR="0025351E">
        <w:t>combination NRT</w:t>
      </w:r>
      <w:r>
        <w:t xml:space="preserve"> with placebo included in H</w:t>
      </w:r>
      <w:r w:rsidR="0025351E">
        <w:t>artmann-Boyce</w:t>
      </w:r>
      <w:r>
        <w:t xml:space="preserve"> et al. (20</w:t>
      </w:r>
      <w:r w:rsidR="0025351E">
        <w:t>18</w:t>
      </w:r>
      <w:r>
        <w:t xml:space="preserve">) are presented in </w:t>
      </w:r>
      <w:r w:rsidRPr="001F14D5">
        <w:t>Appendix</w:t>
      </w:r>
      <w:r w:rsidR="000B683C">
        <w:t xml:space="preserve"> Table 155</w:t>
      </w:r>
      <w:r>
        <w:t>.</w:t>
      </w:r>
    </w:p>
    <w:p w14:paraId="70F6826C" w14:textId="77777777" w:rsidR="0012484D" w:rsidRDefault="0012484D" w:rsidP="0012484D">
      <w:pPr>
        <w:sectPr w:rsidR="0012484D" w:rsidSect="0012484D">
          <w:pgSz w:w="16838" w:h="11906" w:orient="landscape"/>
          <w:pgMar w:top="1440" w:right="1440" w:bottom="1440" w:left="1440" w:header="708" w:footer="708" w:gutter="0"/>
          <w:cols w:space="708"/>
          <w:titlePg/>
          <w:docGrid w:linePitch="360"/>
        </w:sectPr>
      </w:pPr>
    </w:p>
    <w:p w14:paraId="3D98DCFA" w14:textId="77777777" w:rsidR="00F664B9" w:rsidRPr="00F664B9" w:rsidRDefault="00F664B9" w:rsidP="00AD227B">
      <w:pPr>
        <w:spacing w:after="120"/>
        <w:jc w:val="both"/>
        <w:rPr>
          <w:u w:val="single"/>
        </w:rPr>
      </w:pPr>
      <w:r w:rsidRPr="00F664B9">
        <w:rPr>
          <w:u w:val="single"/>
        </w:rPr>
        <w:lastRenderedPageBreak/>
        <w:t>Efficacy</w:t>
      </w:r>
    </w:p>
    <w:p w14:paraId="3CE33773" w14:textId="48A296B0" w:rsidR="00A546FF" w:rsidRDefault="00F664B9" w:rsidP="00AD227B">
      <w:pPr>
        <w:spacing w:after="120"/>
        <w:jc w:val="both"/>
      </w:pPr>
      <w:r>
        <w:t>A summary of the smoking cessation rates</w:t>
      </w:r>
      <w:r w:rsidDel="0074280A">
        <w:t xml:space="preserve"> </w:t>
      </w:r>
      <w:r w:rsidR="0074280A">
        <w:t>for</w:t>
      </w:r>
      <w:r>
        <w:t xml:space="preserve"> at </w:t>
      </w:r>
      <w:r w:rsidR="00075A33">
        <w:t>least six</w:t>
      </w:r>
      <w:r>
        <w:t xml:space="preserve"> months </w:t>
      </w:r>
      <w:r w:rsidR="00EA3F1B">
        <w:t>follow-up</w:t>
      </w:r>
      <w:r w:rsidR="00F669D2">
        <w:t xml:space="preserve"> comparing combination NRT with placebo</w:t>
      </w:r>
      <w:r w:rsidR="00EA3F1B">
        <w:t xml:space="preserve"> </w:t>
      </w:r>
      <w:r>
        <w:t xml:space="preserve">is presented in </w:t>
      </w:r>
      <w:r w:rsidR="008D6765">
        <w:fldChar w:fldCharType="begin" w:fldLock="1"/>
      </w:r>
      <w:r w:rsidR="008D6765">
        <w:instrText xml:space="preserve"> REF _Ref55296762 \h </w:instrText>
      </w:r>
      <w:r w:rsidR="008D6765">
        <w:fldChar w:fldCharType="separate"/>
      </w:r>
      <w:r w:rsidR="00EC5CC7">
        <w:t xml:space="preserve">Table </w:t>
      </w:r>
      <w:r w:rsidR="00EC5CC7">
        <w:rPr>
          <w:noProof/>
        </w:rPr>
        <w:t>56</w:t>
      </w:r>
      <w:r w:rsidR="008D6765">
        <w:fldChar w:fldCharType="end"/>
      </w:r>
      <w:r>
        <w:t xml:space="preserve">. </w:t>
      </w:r>
      <w:r w:rsidR="00B30F47">
        <w:t>For the comparison of NRT</w:t>
      </w:r>
      <w:r w:rsidR="005E35F2">
        <w:t xml:space="preserve"> patch + lozenge versus placebo, there was a stat</w:t>
      </w:r>
      <w:r>
        <w:t xml:space="preserve">istically significant difference in long-term smoking cessation rates between </w:t>
      </w:r>
      <w:r w:rsidR="00364E10">
        <w:t>the two treatment arms, in favour of combination NRT</w:t>
      </w:r>
      <w:r w:rsidR="00E058CB">
        <w:t xml:space="preserve"> (Piper et al. 2009)</w:t>
      </w:r>
      <w:r w:rsidR="00364E10">
        <w:t>.</w:t>
      </w:r>
      <w:r w:rsidR="00AD0762">
        <w:t xml:space="preserve"> </w:t>
      </w:r>
      <w:r w:rsidR="00CC41BE">
        <w:t>In Chen et al. (2020),</w:t>
      </w:r>
      <w:r w:rsidR="00E058CB">
        <w:t xml:space="preserve"> there were no statistically significant differences between</w:t>
      </w:r>
      <w:r w:rsidR="00652C07">
        <w:t xml:space="preserve"> </w:t>
      </w:r>
      <w:r w:rsidR="00CC41BE">
        <w:t xml:space="preserve">the two treatment arms, although the results numerically favoured </w:t>
      </w:r>
      <w:r w:rsidR="007A16F5">
        <w:t>NRT patch + lozenge. The results of the meta-analysis based on the updated re-analysis were statistically significant based on risk ratio but not risk difference.</w:t>
      </w:r>
      <w:r w:rsidR="00E058CB">
        <w:t xml:space="preserve"> </w:t>
      </w:r>
    </w:p>
    <w:p w14:paraId="554BA1ED" w14:textId="2B7DFE41" w:rsidR="00652C07" w:rsidRDefault="007A16F5" w:rsidP="00AD227B">
      <w:pPr>
        <w:spacing w:after="120"/>
        <w:jc w:val="both"/>
      </w:pPr>
      <w:r>
        <w:t xml:space="preserve">For </w:t>
      </w:r>
      <w:r w:rsidR="00F57385">
        <w:t xml:space="preserve">the comparison of </w:t>
      </w:r>
      <w:r w:rsidR="00652C07">
        <w:t xml:space="preserve">NRT patch + gum </w:t>
      </w:r>
      <w:r>
        <w:t>versus</w:t>
      </w:r>
      <w:r w:rsidR="00652C07">
        <w:t xml:space="preserve"> placebo</w:t>
      </w:r>
      <w:r>
        <w:t xml:space="preserve">, </w:t>
      </w:r>
      <w:r w:rsidR="00E058CB">
        <w:t>there were no statistically significant differences between</w:t>
      </w:r>
      <w:r w:rsidR="00652C07">
        <w:t xml:space="preserve"> </w:t>
      </w:r>
      <w:r w:rsidR="00F42F81">
        <w:t xml:space="preserve">the two treatment arms based on the meta-analysis </w:t>
      </w:r>
      <w:r w:rsidR="00F57385">
        <w:t xml:space="preserve">of two studies </w:t>
      </w:r>
      <w:r w:rsidR="00F42F81">
        <w:t>conducted by Hartmann-Boyce et al. (201</w:t>
      </w:r>
      <w:r w:rsidR="00232CA6">
        <w:t>8</w:t>
      </w:r>
      <w:r w:rsidR="00F42F81">
        <w:t>)</w:t>
      </w:r>
      <w:r w:rsidR="00B349FD">
        <w:t>, although the results numerically favoured NRT patch + gum</w:t>
      </w:r>
      <w:r w:rsidR="00F42F81">
        <w:t xml:space="preserve">. </w:t>
      </w:r>
      <w:r w:rsidR="005605DA">
        <w:t>The non-significant result of NRT patch + gum was likely due to the study design, such as small sample size, leading to insufficient power to detect a modest treatment effect with reasonable certainty.</w:t>
      </w:r>
    </w:p>
    <w:p w14:paraId="722414E7" w14:textId="2DAEB6D7" w:rsidR="00AD227B" w:rsidRDefault="00BC296A" w:rsidP="00AD227B">
      <w:pPr>
        <w:spacing w:after="120"/>
        <w:jc w:val="both"/>
      </w:pPr>
      <w:r>
        <w:t>The comparisons of NRT patch + inhalator and NRT patch + lozenge and gum versus placebo were included for additional information purposes.</w:t>
      </w:r>
      <w:r w:rsidR="008D1523">
        <w:t xml:space="preserve"> For the comparison of NRT patch + inhalator versus placebo, there w</w:t>
      </w:r>
      <w:r w:rsidR="005407A1">
        <w:t>ere</w:t>
      </w:r>
      <w:r w:rsidR="008D1523">
        <w:t xml:space="preserve"> no statistically significant difference</w:t>
      </w:r>
      <w:r w:rsidR="005407A1">
        <w:t>s</w:t>
      </w:r>
      <w:r w:rsidR="008D1523">
        <w:t xml:space="preserve"> </w:t>
      </w:r>
      <w:r w:rsidR="007E2906">
        <w:t xml:space="preserve">between the two treatment arms (Hand et al. 2002). For the comparison of NRT patch + lozenge and gum versus placebo, </w:t>
      </w:r>
      <w:r w:rsidR="0003297A">
        <w:t>there was a statistically significant difference in long-term smoking cessation rates between the two treatment arms, in favour of combination NRT (Heydari et al. 2013).</w:t>
      </w:r>
    </w:p>
    <w:p w14:paraId="22A933FE" w14:textId="77777777" w:rsidR="00AD227B" w:rsidRDefault="00AD227B">
      <w:pPr>
        <w:spacing w:line="276" w:lineRule="auto"/>
      </w:pPr>
      <w:r>
        <w:br w:type="page"/>
      </w:r>
    </w:p>
    <w:p w14:paraId="72DF146F" w14:textId="429654F4" w:rsidR="001D7A85" w:rsidRDefault="001D7A85" w:rsidP="00AD227B">
      <w:pPr>
        <w:pStyle w:val="Caption"/>
        <w:keepNext/>
        <w:spacing w:before="0" w:after="120"/>
        <w:jc w:val="both"/>
      </w:pPr>
      <w:bookmarkStart w:id="110" w:name="_Ref55296762"/>
      <w:r>
        <w:lastRenderedPageBreak/>
        <w:t xml:space="preserve">Table </w:t>
      </w:r>
      <w:r w:rsidR="00BF3F75">
        <w:fldChar w:fldCharType="begin"/>
      </w:r>
      <w:r w:rsidR="00BF3F75">
        <w:instrText xml:space="preserve"> SEQ Table \* ARABI</w:instrText>
      </w:r>
      <w:r w:rsidR="00BF3F75">
        <w:instrText xml:space="preserve">C </w:instrText>
      </w:r>
      <w:r w:rsidR="00BF3F75">
        <w:fldChar w:fldCharType="separate"/>
      </w:r>
      <w:r w:rsidR="00EC5CC7">
        <w:rPr>
          <w:noProof/>
        </w:rPr>
        <w:t>56</w:t>
      </w:r>
      <w:r w:rsidR="00BF3F75">
        <w:rPr>
          <w:noProof/>
        </w:rPr>
        <w:fldChar w:fldCharType="end"/>
      </w:r>
      <w:bookmarkEnd w:id="110"/>
      <w:r>
        <w:t xml:space="preserve">: </w:t>
      </w:r>
      <w:r w:rsidRPr="00991980">
        <w:t>Results of smoking cessation f</w:t>
      </w:r>
      <w:r w:rsidR="00004EEA">
        <w:t>or</w:t>
      </w:r>
      <w:r w:rsidRPr="00991980">
        <w:t xml:space="preserve"> at least six months follow-up, </w:t>
      </w:r>
      <w:r>
        <w:t xml:space="preserve">combination </w:t>
      </w:r>
      <w:r w:rsidRPr="00991980">
        <w:t>NRT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700"/>
        <w:gridCol w:w="1516"/>
        <w:gridCol w:w="1394"/>
        <w:gridCol w:w="1533"/>
        <w:gridCol w:w="1318"/>
      </w:tblGrid>
      <w:tr w:rsidR="00877A41" w:rsidRPr="00061F78" w14:paraId="18349600" w14:textId="77777777" w:rsidTr="00F968F3">
        <w:trPr>
          <w:cantSplit/>
          <w:trHeight w:val="299"/>
          <w:tblHeader/>
        </w:trPr>
        <w:tc>
          <w:tcPr>
            <w:tcW w:w="862" w:type="pct"/>
            <w:shd w:val="clear" w:color="auto" w:fill="BFBFBF" w:themeFill="background1" w:themeFillShade="BF"/>
            <w:tcMar>
              <w:left w:w="28" w:type="dxa"/>
              <w:right w:w="28" w:type="dxa"/>
            </w:tcMar>
          </w:tcPr>
          <w:p w14:paraId="3C6E9E57" w14:textId="77777777" w:rsidR="008410CB" w:rsidRPr="00061F78" w:rsidRDefault="008410CB" w:rsidP="00F207DC">
            <w:pPr>
              <w:pStyle w:val="Tableheading"/>
              <w:rPr>
                <w:rFonts w:eastAsia="MS Mincho"/>
              </w:rPr>
            </w:pPr>
            <w:r>
              <w:rPr>
                <w:rFonts w:eastAsia="MS Mincho"/>
              </w:rPr>
              <w:t>Study</w:t>
            </w:r>
          </w:p>
        </w:tc>
        <w:tc>
          <w:tcPr>
            <w:tcW w:w="943" w:type="pct"/>
            <w:shd w:val="clear" w:color="auto" w:fill="BFBFBF" w:themeFill="background1" w:themeFillShade="BF"/>
            <w:vAlign w:val="center"/>
          </w:tcPr>
          <w:p w14:paraId="7ABD403A" w14:textId="77777777" w:rsidR="008410CB" w:rsidRDefault="008410CB" w:rsidP="00F207DC">
            <w:pPr>
              <w:pStyle w:val="Tableheading"/>
              <w:jc w:val="center"/>
              <w:rPr>
                <w:rFonts w:eastAsia="MS Mincho"/>
              </w:rPr>
            </w:pPr>
            <w:r>
              <w:rPr>
                <w:rFonts w:eastAsia="MS Mincho"/>
              </w:rPr>
              <w:t>Study type</w:t>
            </w:r>
          </w:p>
        </w:tc>
        <w:tc>
          <w:tcPr>
            <w:tcW w:w="841" w:type="pct"/>
            <w:shd w:val="clear" w:color="auto" w:fill="BFBFBF" w:themeFill="background1" w:themeFillShade="BF"/>
            <w:tcMar>
              <w:left w:w="28" w:type="dxa"/>
              <w:right w:w="28" w:type="dxa"/>
            </w:tcMar>
            <w:vAlign w:val="center"/>
          </w:tcPr>
          <w:p w14:paraId="4955DBFE" w14:textId="33B5F88B" w:rsidR="008410CB" w:rsidRPr="00061F78" w:rsidRDefault="00C31E82" w:rsidP="00F207DC">
            <w:pPr>
              <w:pStyle w:val="Tableheading"/>
              <w:jc w:val="center"/>
              <w:rPr>
                <w:rFonts w:eastAsia="MS Mincho"/>
              </w:rPr>
            </w:pPr>
            <w:r>
              <w:rPr>
                <w:rFonts w:eastAsia="MS Mincho"/>
              </w:rPr>
              <w:t xml:space="preserve">Combination </w:t>
            </w:r>
            <w:r w:rsidR="008410CB">
              <w:rPr>
                <w:rFonts w:eastAsia="MS Mincho"/>
              </w:rPr>
              <w:t>NRT</w:t>
            </w:r>
          </w:p>
        </w:tc>
        <w:tc>
          <w:tcPr>
            <w:tcW w:w="773" w:type="pct"/>
            <w:shd w:val="clear" w:color="auto" w:fill="BFBFBF" w:themeFill="background1" w:themeFillShade="BF"/>
            <w:tcMar>
              <w:left w:w="28" w:type="dxa"/>
              <w:right w:w="28" w:type="dxa"/>
            </w:tcMar>
            <w:vAlign w:val="center"/>
          </w:tcPr>
          <w:p w14:paraId="7DE580E7" w14:textId="77777777" w:rsidR="008410CB" w:rsidRPr="00061F78" w:rsidRDefault="008410CB" w:rsidP="00F207DC">
            <w:pPr>
              <w:pStyle w:val="Tableheading"/>
              <w:jc w:val="center"/>
              <w:rPr>
                <w:rFonts w:eastAsia="MS Mincho"/>
              </w:rPr>
            </w:pPr>
            <w:r w:rsidRPr="00061F78">
              <w:rPr>
                <w:rFonts w:eastAsia="MS Mincho"/>
              </w:rPr>
              <w:t>Placebo</w:t>
            </w:r>
          </w:p>
        </w:tc>
        <w:tc>
          <w:tcPr>
            <w:tcW w:w="850" w:type="pct"/>
            <w:shd w:val="clear" w:color="auto" w:fill="BFBFBF" w:themeFill="background1" w:themeFillShade="BF"/>
            <w:tcMar>
              <w:left w:w="28" w:type="dxa"/>
              <w:right w:w="28" w:type="dxa"/>
            </w:tcMar>
            <w:vAlign w:val="center"/>
          </w:tcPr>
          <w:p w14:paraId="688F11C1" w14:textId="77777777" w:rsidR="008410CB" w:rsidRPr="002D09A1" w:rsidRDefault="008410CB" w:rsidP="00F207DC">
            <w:pPr>
              <w:pStyle w:val="Tableheading"/>
              <w:jc w:val="center"/>
              <w:rPr>
                <w:rFonts w:eastAsia="MS Mincho"/>
                <w:vertAlign w:val="superscript"/>
              </w:rPr>
            </w:pPr>
            <w:r>
              <w:rPr>
                <w:rFonts w:eastAsia="MS Mincho"/>
              </w:rPr>
              <w:t>RR (95% CI)</w:t>
            </w:r>
          </w:p>
        </w:tc>
        <w:tc>
          <w:tcPr>
            <w:tcW w:w="730" w:type="pct"/>
            <w:shd w:val="clear" w:color="auto" w:fill="BFBFBF" w:themeFill="background1" w:themeFillShade="BF"/>
            <w:vAlign w:val="center"/>
          </w:tcPr>
          <w:p w14:paraId="53A9126C" w14:textId="77777777" w:rsidR="008410CB" w:rsidRDefault="008410CB" w:rsidP="00F207DC">
            <w:pPr>
              <w:pStyle w:val="Tableheading"/>
              <w:jc w:val="center"/>
              <w:rPr>
                <w:rFonts w:eastAsia="MS Mincho"/>
              </w:rPr>
            </w:pPr>
            <w:r>
              <w:rPr>
                <w:rFonts w:eastAsia="MS Mincho"/>
              </w:rPr>
              <w:t>RD (95% CI)</w:t>
            </w:r>
          </w:p>
        </w:tc>
      </w:tr>
      <w:tr w:rsidR="00C31E82" w:rsidRPr="00061F78" w14:paraId="4F6B7079" w14:textId="77777777" w:rsidTr="004B53F8">
        <w:trPr>
          <w:cantSplit/>
          <w:trHeight w:val="99"/>
        </w:trPr>
        <w:tc>
          <w:tcPr>
            <w:tcW w:w="5000" w:type="pct"/>
            <w:gridSpan w:val="6"/>
            <w:shd w:val="clear" w:color="auto" w:fill="auto"/>
            <w:tcMar>
              <w:left w:w="28" w:type="dxa"/>
              <w:right w:w="28" w:type="dxa"/>
            </w:tcMar>
          </w:tcPr>
          <w:p w14:paraId="692BC683" w14:textId="3C9588A8" w:rsidR="00C31E82" w:rsidRPr="004B53F8" w:rsidRDefault="00C31E82" w:rsidP="00F207DC">
            <w:pPr>
              <w:pStyle w:val="Tablewriting"/>
              <w:rPr>
                <w:rFonts w:eastAsia="MS Mincho"/>
                <w:b/>
                <w:bCs/>
              </w:rPr>
            </w:pPr>
            <w:r w:rsidRPr="004B53F8">
              <w:rPr>
                <w:rFonts w:eastAsia="MS Mincho"/>
                <w:b/>
                <w:bCs/>
              </w:rPr>
              <w:t>NRT patch</w:t>
            </w:r>
            <w:r w:rsidR="001206A7" w:rsidRPr="004B53F8">
              <w:rPr>
                <w:rFonts w:eastAsia="MS Mincho"/>
                <w:b/>
                <w:bCs/>
              </w:rPr>
              <w:t xml:space="preserve"> + lozenge versus placebo</w:t>
            </w:r>
          </w:p>
        </w:tc>
      </w:tr>
      <w:tr w:rsidR="008410CB" w:rsidRPr="00061F78" w14:paraId="15EC423C" w14:textId="77777777" w:rsidTr="00F968F3">
        <w:trPr>
          <w:cantSplit/>
          <w:trHeight w:val="99"/>
        </w:trPr>
        <w:tc>
          <w:tcPr>
            <w:tcW w:w="862" w:type="pct"/>
            <w:shd w:val="clear" w:color="auto" w:fill="auto"/>
            <w:tcMar>
              <w:left w:w="28" w:type="dxa"/>
              <w:right w:w="28" w:type="dxa"/>
            </w:tcMar>
          </w:tcPr>
          <w:p w14:paraId="2FED1405" w14:textId="29F7CF38" w:rsidR="002B5CCF" w:rsidRDefault="00356E00" w:rsidP="00F207DC">
            <w:pPr>
              <w:pStyle w:val="Tablewriting"/>
              <w:rPr>
                <w:rFonts w:eastAsia="MS Mincho"/>
              </w:rPr>
            </w:pPr>
            <w:r>
              <w:rPr>
                <w:rFonts w:eastAsia="MS Mincho"/>
              </w:rPr>
              <w:t>Hartmann-Boyce</w:t>
            </w:r>
          </w:p>
          <w:p w14:paraId="346B2C88" w14:textId="47FB1E9A" w:rsidR="008410CB" w:rsidRPr="00251B64" w:rsidRDefault="008410CB" w:rsidP="00F207DC">
            <w:pPr>
              <w:pStyle w:val="Tablewriting"/>
              <w:rPr>
                <w:rFonts w:eastAsia="MS Mincho"/>
              </w:rPr>
            </w:pPr>
            <w:r w:rsidRPr="00251B64">
              <w:rPr>
                <w:rFonts w:eastAsia="MS Mincho"/>
              </w:rPr>
              <w:t>(</w:t>
            </w:r>
            <w:r w:rsidR="002B5CCF">
              <w:rPr>
                <w:rFonts w:eastAsia="MS Mincho"/>
              </w:rPr>
              <w:t>20</w:t>
            </w:r>
            <w:r w:rsidR="00356E00">
              <w:rPr>
                <w:rFonts w:eastAsia="MS Mincho"/>
              </w:rPr>
              <w:t>18</w:t>
            </w:r>
            <w:r w:rsidRPr="00251B64">
              <w:rPr>
                <w:rFonts w:eastAsia="MS Mincho"/>
              </w:rPr>
              <w:t>)</w:t>
            </w:r>
            <w:r w:rsidRPr="00251B64">
              <w:rPr>
                <w:rFonts w:eastAsia="MS Mincho"/>
                <w:vertAlign w:val="superscript"/>
              </w:rPr>
              <w:t>1</w:t>
            </w:r>
            <w:r w:rsidRPr="00251B64">
              <w:rPr>
                <w:rFonts w:eastAsia="MS Mincho"/>
              </w:rPr>
              <w:t xml:space="preserve"> </w:t>
            </w:r>
          </w:p>
        </w:tc>
        <w:tc>
          <w:tcPr>
            <w:tcW w:w="943" w:type="pct"/>
            <w:shd w:val="clear" w:color="auto" w:fill="auto"/>
            <w:vAlign w:val="center"/>
          </w:tcPr>
          <w:p w14:paraId="58CF8385" w14:textId="4D176CF1" w:rsidR="00356E00" w:rsidRDefault="00714E65" w:rsidP="00F207DC">
            <w:pPr>
              <w:pStyle w:val="Tablewriting"/>
              <w:jc w:val="center"/>
              <w:rPr>
                <w:rFonts w:eastAsia="MS Mincho"/>
              </w:rPr>
            </w:pPr>
            <w:r>
              <w:rPr>
                <w:rFonts w:eastAsia="MS Mincho"/>
              </w:rPr>
              <w:t>Cochrane Review</w:t>
            </w:r>
          </w:p>
          <w:p w14:paraId="0E982F88" w14:textId="7E0B2555" w:rsidR="008410CB" w:rsidRPr="00251B64" w:rsidRDefault="00C90166" w:rsidP="00F207DC">
            <w:pPr>
              <w:pStyle w:val="Tablewriting"/>
              <w:jc w:val="center"/>
              <w:rPr>
                <w:rFonts w:eastAsia="MS Mincho"/>
              </w:rPr>
            </w:pPr>
            <w:r>
              <w:rPr>
                <w:rFonts w:eastAsia="MS Mincho"/>
              </w:rPr>
              <w:t>(</w:t>
            </w:r>
            <w:r w:rsidR="00714E65">
              <w:rPr>
                <w:rFonts w:eastAsia="MS Mincho"/>
              </w:rPr>
              <w:t>1</w:t>
            </w:r>
            <w:r>
              <w:rPr>
                <w:rFonts w:eastAsia="MS Mincho"/>
              </w:rPr>
              <w:t xml:space="preserve"> </w:t>
            </w:r>
            <w:r w:rsidR="00714E65">
              <w:rPr>
                <w:rFonts w:eastAsia="MS Mincho"/>
              </w:rPr>
              <w:t>RCT</w:t>
            </w:r>
            <w:r w:rsidR="00AA5959">
              <w:rPr>
                <w:rFonts w:eastAsia="MS Mincho"/>
                <w:vertAlign w:val="superscript"/>
              </w:rPr>
              <w:t>2</w:t>
            </w:r>
            <w:r>
              <w:rPr>
                <w:rFonts w:eastAsia="MS Mincho"/>
              </w:rPr>
              <w:t>)</w:t>
            </w:r>
          </w:p>
        </w:tc>
        <w:tc>
          <w:tcPr>
            <w:tcW w:w="841" w:type="pct"/>
            <w:shd w:val="clear" w:color="auto" w:fill="auto"/>
            <w:tcMar>
              <w:left w:w="28" w:type="dxa"/>
              <w:right w:w="28" w:type="dxa"/>
            </w:tcMar>
            <w:vAlign w:val="center"/>
          </w:tcPr>
          <w:p w14:paraId="7F642AE0" w14:textId="51BDFCD7" w:rsidR="008410CB" w:rsidRPr="00251B64" w:rsidRDefault="00D5363A" w:rsidP="00F207DC">
            <w:pPr>
              <w:pStyle w:val="Tablewriting"/>
              <w:jc w:val="center"/>
              <w:rPr>
                <w:rFonts w:eastAsia="MS Mincho"/>
                <w:vertAlign w:val="superscript"/>
              </w:rPr>
            </w:pPr>
            <w:r>
              <w:rPr>
                <w:rFonts w:eastAsia="MS Mincho"/>
              </w:rPr>
              <w:t>107</w:t>
            </w:r>
            <w:r w:rsidR="008410CB" w:rsidRPr="00251B64">
              <w:rPr>
                <w:rFonts w:eastAsia="MS Mincho"/>
              </w:rPr>
              <w:t>/</w:t>
            </w:r>
            <w:r>
              <w:rPr>
                <w:rFonts w:eastAsia="MS Mincho"/>
              </w:rPr>
              <w:t>267</w:t>
            </w:r>
          </w:p>
          <w:p w14:paraId="40CDD59A" w14:textId="6AD5AAFD" w:rsidR="008410CB" w:rsidRPr="00251B64" w:rsidRDefault="008410CB" w:rsidP="00F207DC">
            <w:pPr>
              <w:pStyle w:val="Tablewriting"/>
              <w:jc w:val="center"/>
              <w:rPr>
                <w:rFonts w:eastAsia="MS Mincho"/>
              </w:rPr>
            </w:pPr>
            <w:r w:rsidRPr="00251B64">
              <w:rPr>
                <w:rFonts w:eastAsia="MS Mincho"/>
              </w:rPr>
              <w:t>(</w:t>
            </w:r>
            <w:r w:rsidR="00224709">
              <w:rPr>
                <w:rFonts w:eastAsia="MS Mincho"/>
              </w:rPr>
              <w:t>40.1</w:t>
            </w:r>
            <w:r w:rsidRPr="00251B64">
              <w:rPr>
                <w:rFonts w:eastAsia="MS Mincho"/>
              </w:rPr>
              <w:t>%)</w:t>
            </w:r>
          </w:p>
        </w:tc>
        <w:tc>
          <w:tcPr>
            <w:tcW w:w="773" w:type="pct"/>
            <w:shd w:val="clear" w:color="auto" w:fill="auto"/>
            <w:tcMar>
              <w:left w:w="28" w:type="dxa"/>
              <w:right w:w="28" w:type="dxa"/>
            </w:tcMar>
            <w:vAlign w:val="center"/>
          </w:tcPr>
          <w:p w14:paraId="33884319" w14:textId="32E07644" w:rsidR="008410CB" w:rsidRPr="006F3FC8" w:rsidRDefault="0006293E" w:rsidP="00F207DC">
            <w:pPr>
              <w:pStyle w:val="Tablewriting"/>
              <w:jc w:val="center"/>
              <w:rPr>
                <w:rFonts w:eastAsia="MS Mincho"/>
                <w:vertAlign w:val="superscript"/>
              </w:rPr>
            </w:pPr>
            <w:r>
              <w:rPr>
                <w:rFonts w:eastAsia="MS Mincho"/>
              </w:rPr>
              <w:t>9/41</w:t>
            </w:r>
          </w:p>
          <w:p w14:paraId="0D82DADF" w14:textId="6ADC71A5" w:rsidR="008410CB" w:rsidRPr="00251B64" w:rsidRDefault="008410CB" w:rsidP="00F207DC">
            <w:pPr>
              <w:pStyle w:val="Tablewriting"/>
              <w:jc w:val="center"/>
              <w:rPr>
                <w:rFonts w:eastAsia="MS Mincho"/>
              </w:rPr>
            </w:pPr>
            <w:r w:rsidRPr="00251B64">
              <w:rPr>
                <w:rFonts w:eastAsia="MS Mincho"/>
              </w:rPr>
              <w:t>(</w:t>
            </w:r>
            <w:r w:rsidR="00BC04EB">
              <w:rPr>
                <w:rFonts w:eastAsia="MS Mincho"/>
              </w:rPr>
              <w:t>22.</w:t>
            </w:r>
            <w:r w:rsidR="001F640F">
              <w:rPr>
                <w:rFonts w:eastAsia="MS Mincho"/>
              </w:rPr>
              <w:t>0</w:t>
            </w:r>
            <w:r w:rsidRPr="00251B64">
              <w:rPr>
                <w:rFonts w:eastAsia="MS Mincho"/>
              </w:rPr>
              <w:t>%)</w:t>
            </w:r>
          </w:p>
        </w:tc>
        <w:tc>
          <w:tcPr>
            <w:tcW w:w="850" w:type="pct"/>
            <w:shd w:val="clear" w:color="auto" w:fill="auto"/>
            <w:tcMar>
              <w:left w:w="28" w:type="dxa"/>
              <w:right w:w="28" w:type="dxa"/>
            </w:tcMar>
            <w:vAlign w:val="center"/>
          </w:tcPr>
          <w:p w14:paraId="4D0B2903" w14:textId="77777777" w:rsidR="00604C9D" w:rsidRPr="00906E44" w:rsidRDefault="00906E44" w:rsidP="00F207DC">
            <w:pPr>
              <w:pStyle w:val="Tablewriting"/>
              <w:jc w:val="center"/>
              <w:rPr>
                <w:rFonts w:eastAsia="MS Mincho"/>
                <w:b/>
                <w:bCs/>
              </w:rPr>
            </w:pPr>
            <w:r w:rsidRPr="00906E44">
              <w:rPr>
                <w:rFonts w:eastAsia="MS Mincho"/>
                <w:b/>
                <w:bCs/>
              </w:rPr>
              <w:t>1.83</w:t>
            </w:r>
          </w:p>
          <w:p w14:paraId="701346BF" w14:textId="5C558172" w:rsidR="00604C9D" w:rsidRPr="00D56406" w:rsidRDefault="00906E44" w:rsidP="00F207DC">
            <w:pPr>
              <w:pStyle w:val="Tablewriting"/>
              <w:jc w:val="center"/>
              <w:rPr>
                <w:rFonts w:eastAsia="MS Mincho"/>
              </w:rPr>
            </w:pPr>
            <w:r w:rsidRPr="00906E44">
              <w:rPr>
                <w:rFonts w:eastAsia="MS Mincho"/>
                <w:b/>
                <w:bCs/>
              </w:rPr>
              <w:t>(1.01, 3.31)</w:t>
            </w:r>
          </w:p>
        </w:tc>
        <w:tc>
          <w:tcPr>
            <w:tcW w:w="730" w:type="pct"/>
            <w:shd w:val="clear" w:color="auto" w:fill="auto"/>
            <w:vAlign w:val="center"/>
          </w:tcPr>
          <w:p w14:paraId="2E8DEDE5" w14:textId="016F5442" w:rsidR="008410CB" w:rsidRPr="00D56406" w:rsidRDefault="00F24309" w:rsidP="00F207DC">
            <w:pPr>
              <w:pStyle w:val="Tablewriting"/>
              <w:jc w:val="center"/>
              <w:rPr>
                <w:rFonts w:eastAsia="MS Mincho"/>
              </w:rPr>
            </w:pPr>
            <w:r>
              <w:rPr>
                <w:rFonts w:eastAsia="MS Mincho"/>
              </w:rPr>
              <w:t>NR</w:t>
            </w:r>
          </w:p>
        </w:tc>
      </w:tr>
      <w:tr w:rsidR="00AD0762" w:rsidRPr="00061F78" w14:paraId="6A913097" w14:textId="77777777" w:rsidTr="00F968F3">
        <w:trPr>
          <w:cantSplit/>
          <w:trHeight w:val="99"/>
        </w:trPr>
        <w:tc>
          <w:tcPr>
            <w:tcW w:w="862" w:type="pct"/>
            <w:shd w:val="clear" w:color="auto" w:fill="auto"/>
            <w:tcMar>
              <w:left w:w="28" w:type="dxa"/>
              <w:right w:w="28" w:type="dxa"/>
            </w:tcMar>
          </w:tcPr>
          <w:p w14:paraId="3BCB1C22" w14:textId="77777777" w:rsidR="00AD0762" w:rsidRDefault="00AD0762" w:rsidP="00F207DC">
            <w:pPr>
              <w:pStyle w:val="Tablewriting"/>
              <w:rPr>
                <w:rFonts w:eastAsia="MS Mincho"/>
              </w:rPr>
            </w:pPr>
            <w:r>
              <w:rPr>
                <w:rFonts w:eastAsia="MS Mincho"/>
              </w:rPr>
              <w:t>Chen</w:t>
            </w:r>
          </w:p>
          <w:p w14:paraId="2912B380" w14:textId="6810307A" w:rsidR="00AD0762" w:rsidRPr="00AD0762" w:rsidRDefault="00AD0762" w:rsidP="00F207DC">
            <w:pPr>
              <w:pStyle w:val="Tablewriting"/>
              <w:rPr>
                <w:rFonts w:eastAsia="MS Mincho"/>
                <w:vertAlign w:val="superscript"/>
              </w:rPr>
            </w:pPr>
            <w:r>
              <w:rPr>
                <w:rFonts w:eastAsia="MS Mincho"/>
              </w:rPr>
              <w:t>(2020)</w:t>
            </w:r>
            <w:r w:rsidR="00AA5959">
              <w:rPr>
                <w:rFonts w:eastAsia="MS Mincho"/>
                <w:vertAlign w:val="superscript"/>
              </w:rPr>
              <w:t>2</w:t>
            </w:r>
          </w:p>
        </w:tc>
        <w:tc>
          <w:tcPr>
            <w:tcW w:w="943" w:type="pct"/>
            <w:shd w:val="clear" w:color="auto" w:fill="auto"/>
            <w:vAlign w:val="center"/>
          </w:tcPr>
          <w:p w14:paraId="4D7CEF45" w14:textId="0555FBCF" w:rsidR="00AD0762" w:rsidRPr="00251B64" w:rsidRDefault="00AD0762" w:rsidP="00F207DC">
            <w:pPr>
              <w:pStyle w:val="Tablewriting"/>
              <w:jc w:val="center"/>
              <w:rPr>
                <w:rFonts w:eastAsia="MS Mincho"/>
              </w:rPr>
            </w:pPr>
            <w:r>
              <w:rPr>
                <w:rFonts w:eastAsia="MS Mincho"/>
              </w:rPr>
              <w:t>RCT</w:t>
            </w:r>
          </w:p>
        </w:tc>
        <w:tc>
          <w:tcPr>
            <w:tcW w:w="841" w:type="pct"/>
            <w:shd w:val="clear" w:color="auto" w:fill="auto"/>
            <w:tcMar>
              <w:left w:w="28" w:type="dxa"/>
              <w:right w:w="28" w:type="dxa"/>
            </w:tcMar>
            <w:vAlign w:val="center"/>
          </w:tcPr>
          <w:p w14:paraId="109905EB" w14:textId="77777777" w:rsidR="00AD0762" w:rsidRDefault="00AD0762" w:rsidP="00297140">
            <w:pPr>
              <w:pStyle w:val="Tablewriting"/>
              <w:jc w:val="center"/>
              <w:rPr>
                <w:rFonts w:eastAsia="MS Mincho"/>
              </w:rPr>
            </w:pPr>
            <w:r>
              <w:rPr>
                <w:rFonts w:eastAsia="MS Mincho"/>
              </w:rPr>
              <w:t>37/275</w:t>
            </w:r>
          </w:p>
          <w:p w14:paraId="4CF405A1" w14:textId="5984BCAB" w:rsidR="00AD0762" w:rsidRDefault="00AD0762" w:rsidP="00F207DC">
            <w:pPr>
              <w:pStyle w:val="Tablewriting"/>
              <w:jc w:val="center"/>
              <w:rPr>
                <w:rFonts w:eastAsia="MS Mincho"/>
              </w:rPr>
            </w:pPr>
            <w:r>
              <w:rPr>
                <w:rFonts w:eastAsia="MS Mincho"/>
              </w:rPr>
              <w:t>(13.5%)</w:t>
            </w:r>
          </w:p>
        </w:tc>
        <w:tc>
          <w:tcPr>
            <w:tcW w:w="773" w:type="pct"/>
            <w:shd w:val="clear" w:color="auto" w:fill="auto"/>
            <w:tcMar>
              <w:left w:w="28" w:type="dxa"/>
              <w:right w:w="28" w:type="dxa"/>
            </w:tcMar>
            <w:vAlign w:val="center"/>
          </w:tcPr>
          <w:p w14:paraId="5446E415" w14:textId="40FCBC7E" w:rsidR="00AD0762" w:rsidRDefault="00AD0762" w:rsidP="00297140">
            <w:pPr>
              <w:pStyle w:val="Tablewriting"/>
              <w:jc w:val="center"/>
              <w:rPr>
                <w:rFonts w:eastAsia="MS Mincho"/>
              </w:rPr>
            </w:pPr>
            <w:r>
              <w:rPr>
                <w:rFonts w:eastAsia="MS Mincho"/>
              </w:rPr>
              <w:t>25/273</w:t>
            </w:r>
          </w:p>
          <w:p w14:paraId="4888C9FA" w14:textId="29403D3F" w:rsidR="00AD0762" w:rsidRDefault="00AD0762" w:rsidP="00F207DC">
            <w:pPr>
              <w:pStyle w:val="Tablewriting"/>
              <w:jc w:val="center"/>
              <w:rPr>
                <w:rFonts w:eastAsia="MS Mincho"/>
              </w:rPr>
            </w:pPr>
            <w:r>
              <w:rPr>
                <w:rFonts w:eastAsia="MS Mincho"/>
              </w:rPr>
              <w:t>(9.2%)</w:t>
            </w:r>
          </w:p>
        </w:tc>
        <w:tc>
          <w:tcPr>
            <w:tcW w:w="850" w:type="pct"/>
            <w:shd w:val="clear" w:color="auto" w:fill="auto"/>
            <w:tcMar>
              <w:left w:w="28" w:type="dxa"/>
              <w:right w:w="28" w:type="dxa"/>
            </w:tcMar>
          </w:tcPr>
          <w:p w14:paraId="6500DADE" w14:textId="77777777" w:rsidR="00AD0762" w:rsidRDefault="00AD0762" w:rsidP="00F207DC">
            <w:pPr>
              <w:pStyle w:val="Tablewriting"/>
              <w:jc w:val="center"/>
            </w:pPr>
            <w:r w:rsidRPr="00CD4DCC">
              <w:t xml:space="preserve">1.47 </w:t>
            </w:r>
          </w:p>
          <w:p w14:paraId="42B96984" w14:textId="4E105E5C" w:rsidR="00AD0762" w:rsidRPr="009D16D9" w:rsidRDefault="00AD0762" w:rsidP="00F207DC">
            <w:pPr>
              <w:pStyle w:val="Tablewriting"/>
              <w:jc w:val="center"/>
              <w:rPr>
                <w:rFonts w:eastAsia="MS Mincho"/>
                <w:b/>
                <w:bCs/>
              </w:rPr>
            </w:pPr>
            <w:r w:rsidRPr="00CD4DCC">
              <w:t>(0.91, 2.37)</w:t>
            </w:r>
          </w:p>
        </w:tc>
        <w:tc>
          <w:tcPr>
            <w:tcW w:w="730" w:type="pct"/>
            <w:shd w:val="clear" w:color="auto" w:fill="auto"/>
          </w:tcPr>
          <w:p w14:paraId="42C5C85E" w14:textId="77777777" w:rsidR="00AD0762" w:rsidRDefault="008108DE" w:rsidP="00F207DC">
            <w:pPr>
              <w:pStyle w:val="Tablewriting"/>
              <w:jc w:val="center"/>
            </w:pPr>
            <w:r>
              <w:t>0.04</w:t>
            </w:r>
          </w:p>
          <w:p w14:paraId="5E11C3CB" w14:textId="19450F01" w:rsidR="00AD0762" w:rsidRPr="00D56406" w:rsidRDefault="008108DE" w:rsidP="00F207DC">
            <w:pPr>
              <w:pStyle w:val="Tablewriting"/>
              <w:jc w:val="center"/>
              <w:rPr>
                <w:rFonts w:eastAsia="MS Mincho"/>
              </w:rPr>
            </w:pPr>
            <w:r>
              <w:t>(-0.01, 0.10)</w:t>
            </w:r>
          </w:p>
        </w:tc>
      </w:tr>
      <w:tr w:rsidR="00AD0762" w:rsidRPr="00061F78" w14:paraId="1EC58A8E" w14:textId="77777777" w:rsidTr="00F968F3">
        <w:trPr>
          <w:cantSplit/>
          <w:trHeight w:val="99"/>
        </w:trPr>
        <w:tc>
          <w:tcPr>
            <w:tcW w:w="862" w:type="pct"/>
            <w:shd w:val="clear" w:color="auto" w:fill="auto"/>
            <w:tcMar>
              <w:left w:w="28" w:type="dxa"/>
              <w:right w:w="28" w:type="dxa"/>
            </w:tcMar>
          </w:tcPr>
          <w:p w14:paraId="0141435D" w14:textId="77777777" w:rsidR="008F36FB" w:rsidRDefault="00356E00" w:rsidP="00F207DC">
            <w:pPr>
              <w:pStyle w:val="Tablewriting"/>
              <w:rPr>
                <w:rFonts w:eastAsia="MS Mincho"/>
              </w:rPr>
            </w:pPr>
            <w:r w:rsidRPr="00356E00">
              <w:rPr>
                <w:rFonts w:eastAsia="MS Mincho"/>
              </w:rPr>
              <w:t xml:space="preserve">Updated </w:t>
            </w:r>
          </w:p>
          <w:p w14:paraId="5EF0E20D" w14:textId="761791CC" w:rsidR="00AD0762" w:rsidRPr="00BA6621" w:rsidRDefault="00356E00" w:rsidP="00F207DC">
            <w:pPr>
              <w:pStyle w:val="Tablewriting"/>
              <w:rPr>
                <w:rFonts w:eastAsia="MS Mincho"/>
                <w:vertAlign w:val="superscript"/>
              </w:rPr>
            </w:pPr>
            <w:r w:rsidRPr="00356E00">
              <w:rPr>
                <w:rFonts w:eastAsia="MS Mincho"/>
              </w:rPr>
              <w:t>re-</w:t>
            </w:r>
            <w:r w:rsidR="00AD0762" w:rsidRPr="00356E00">
              <w:rPr>
                <w:rFonts w:eastAsia="MS Mincho"/>
              </w:rPr>
              <w:t>analysis</w:t>
            </w:r>
            <w:r w:rsidR="00867A16">
              <w:rPr>
                <w:rFonts w:eastAsia="MS Mincho"/>
                <w:vertAlign w:val="superscript"/>
              </w:rPr>
              <w:t>3</w:t>
            </w:r>
          </w:p>
        </w:tc>
        <w:tc>
          <w:tcPr>
            <w:tcW w:w="943" w:type="pct"/>
            <w:shd w:val="clear" w:color="auto" w:fill="auto"/>
            <w:vAlign w:val="center"/>
          </w:tcPr>
          <w:p w14:paraId="5A1CF998" w14:textId="0BCB3DCD" w:rsidR="00AD0762" w:rsidRDefault="00C04924" w:rsidP="00F207DC">
            <w:pPr>
              <w:pStyle w:val="Tablewriting"/>
              <w:jc w:val="center"/>
              <w:rPr>
                <w:rFonts w:eastAsia="MS Mincho"/>
              </w:rPr>
            </w:pPr>
            <w:r>
              <w:rPr>
                <w:rFonts w:eastAsia="MS Mincho"/>
              </w:rPr>
              <w:t>2 RCTs</w:t>
            </w:r>
          </w:p>
        </w:tc>
        <w:tc>
          <w:tcPr>
            <w:tcW w:w="841" w:type="pct"/>
            <w:shd w:val="clear" w:color="auto" w:fill="auto"/>
            <w:tcMar>
              <w:left w:w="28" w:type="dxa"/>
              <w:right w:w="28" w:type="dxa"/>
            </w:tcMar>
            <w:vAlign w:val="center"/>
          </w:tcPr>
          <w:p w14:paraId="06316A87" w14:textId="77777777" w:rsidR="00AD0762" w:rsidRDefault="00C04924" w:rsidP="00F207DC">
            <w:pPr>
              <w:pStyle w:val="Tablewriting"/>
              <w:jc w:val="center"/>
              <w:rPr>
                <w:rFonts w:eastAsia="MS Mincho"/>
              </w:rPr>
            </w:pPr>
            <w:r>
              <w:rPr>
                <w:rFonts w:eastAsia="MS Mincho"/>
              </w:rPr>
              <w:t>144/542</w:t>
            </w:r>
          </w:p>
          <w:p w14:paraId="24A01323" w14:textId="7BC4ADEA" w:rsidR="00AD0762" w:rsidRDefault="00C04924" w:rsidP="00F207DC">
            <w:pPr>
              <w:pStyle w:val="Tablewriting"/>
              <w:jc w:val="center"/>
              <w:rPr>
                <w:rFonts w:eastAsia="MS Mincho"/>
              </w:rPr>
            </w:pPr>
            <w:r>
              <w:rPr>
                <w:rFonts w:eastAsia="MS Mincho"/>
              </w:rPr>
              <w:t>(</w:t>
            </w:r>
            <w:r w:rsidR="00C661C3">
              <w:rPr>
                <w:rFonts w:eastAsia="MS Mincho"/>
              </w:rPr>
              <w:t>26.6</w:t>
            </w:r>
            <w:r>
              <w:rPr>
                <w:rFonts w:eastAsia="MS Mincho"/>
              </w:rPr>
              <w:t>%)</w:t>
            </w:r>
          </w:p>
        </w:tc>
        <w:tc>
          <w:tcPr>
            <w:tcW w:w="773" w:type="pct"/>
            <w:shd w:val="clear" w:color="auto" w:fill="auto"/>
            <w:tcMar>
              <w:left w:w="28" w:type="dxa"/>
              <w:right w:w="28" w:type="dxa"/>
            </w:tcMar>
            <w:vAlign w:val="center"/>
          </w:tcPr>
          <w:p w14:paraId="2D512112" w14:textId="77777777" w:rsidR="00AD0762" w:rsidRDefault="00C04924" w:rsidP="00F207DC">
            <w:pPr>
              <w:pStyle w:val="Tablewriting"/>
              <w:jc w:val="center"/>
              <w:rPr>
                <w:rFonts w:eastAsia="MS Mincho"/>
              </w:rPr>
            </w:pPr>
            <w:r>
              <w:rPr>
                <w:rFonts w:eastAsia="MS Mincho"/>
              </w:rPr>
              <w:t>34/314</w:t>
            </w:r>
          </w:p>
          <w:p w14:paraId="2C0AF42B" w14:textId="517E6066" w:rsidR="00AD0762" w:rsidRDefault="00C04924" w:rsidP="00F207DC">
            <w:pPr>
              <w:pStyle w:val="Tablewriting"/>
              <w:jc w:val="center"/>
              <w:rPr>
                <w:rFonts w:eastAsia="MS Mincho"/>
              </w:rPr>
            </w:pPr>
            <w:r>
              <w:rPr>
                <w:rFonts w:eastAsia="MS Mincho"/>
              </w:rPr>
              <w:t>(</w:t>
            </w:r>
            <w:r w:rsidR="00C661C3">
              <w:rPr>
                <w:rFonts w:eastAsia="MS Mincho"/>
              </w:rPr>
              <w:t>10.8</w:t>
            </w:r>
            <w:r>
              <w:rPr>
                <w:rFonts w:eastAsia="MS Mincho"/>
              </w:rPr>
              <w:t>%)</w:t>
            </w:r>
          </w:p>
        </w:tc>
        <w:tc>
          <w:tcPr>
            <w:tcW w:w="850" w:type="pct"/>
            <w:shd w:val="clear" w:color="auto" w:fill="auto"/>
            <w:tcMar>
              <w:left w:w="28" w:type="dxa"/>
              <w:right w:w="28" w:type="dxa"/>
            </w:tcMar>
            <w:vAlign w:val="center"/>
          </w:tcPr>
          <w:p w14:paraId="4141BE3A" w14:textId="77777777" w:rsidR="00AD0762" w:rsidRDefault="00C04924" w:rsidP="00F207DC">
            <w:pPr>
              <w:pStyle w:val="Tablewriting"/>
              <w:jc w:val="center"/>
              <w:rPr>
                <w:rFonts w:eastAsia="MS Mincho"/>
                <w:b/>
                <w:bCs/>
              </w:rPr>
            </w:pPr>
            <w:r>
              <w:rPr>
                <w:rFonts w:eastAsia="MS Mincho"/>
                <w:b/>
                <w:bCs/>
              </w:rPr>
              <w:t>1.60</w:t>
            </w:r>
          </w:p>
          <w:p w14:paraId="3B45CFEA" w14:textId="227B2C0F" w:rsidR="00AD0762" w:rsidRPr="009D16D9" w:rsidRDefault="00C04924" w:rsidP="00F207DC">
            <w:pPr>
              <w:pStyle w:val="Tablewriting"/>
              <w:jc w:val="center"/>
              <w:rPr>
                <w:rFonts w:eastAsia="MS Mincho"/>
                <w:b/>
                <w:bCs/>
              </w:rPr>
            </w:pPr>
            <w:r>
              <w:rPr>
                <w:rFonts w:eastAsia="MS Mincho"/>
                <w:b/>
                <w:bCs/>
              </w:rPr>
              <w:t>(1.10, 2.32)</w:t>
            </w:r>
          </w:p>
        </w:tc>
        <w:tc>
          <w:tcPr>
            <w:tcW w:w="730" w:type="pct"/>
            <w:shd w:val="clear" w:color="auto" w:fill="auto"/>
            <w:vAlign w:val="center"/>
          </w:tcPr>
          <w:p w14:paraId="711EF07C" w14:textId="77777777" w:rsidR="00AD0762" w:rsidRDefault="008108DE" w:rsidP="00F207DC">
            <w:pPr>
              <w:pStyle w:val="Tablewriting"/>
              <w:jc w:val="center"/>
              <w:rPr>
                <w:rFonts w:eastAsia="MS Mincho"/>
              </w:rPr>
            </w:pPr>
            <w:r>
              <w:rPr>
                <w:rFonts w:eastAsia="MS Mincho"/>
              </w:rPr>
              <w:t>0.10</w:t>
            </w:r>
          </w:p>
          <w:p w14:paraId="004629FD" w14:textId="242A9CC6" w:rsidR="00AD0762" w:rsidRPr="00D56406" w:rsidRDefault="008108DE" w:rsidP="00F207DC">
            <w:pPr>
              <w:pStyle w:val="Tablewriting"/>
              <w:jc w:val="center"/>
              <w:rPr>
                <w:rFonts w:eastAsia="MS Mincho"/>
              </w:rPr>
            </w:pPr>
            <w:r>
              <w:rPr>
                <w:rFonts w:eastAsia="MS Mincho"/>
              </w:rPr>
              <w:t>(-0.04, 0.23)</w:t>
            </w:r>
          </w:p>
        </w:tc>
      </w:tr>
      <w:tr w:rsidR="007D432C" w:rsidRPr="00061F78" w14:paraId="1167CDA7" w14:textId="77777777" w:rsidTr="004B53F8">
        <w:trPr>
          <w:cantSplit/>
          <w:trHeight w:val="99"/>
        </w:trPr>
        <w:tc>
          <w:tcPr>
            <w:tcW w:w="5000" w:type="pct"/>
            <w:gridSpan w:val="6"/>
            <w:shd w:val="clear" w:color="auto" w:fill="auto"/>
            <w:tcMar>
              <w:left w:w="28" w:type="dxa"/>
              <w:right w:w="28" w:type="dxa"/>
            </w:tcMar>
          </w:tcPr>
          <w:p w14:paraId="363B0627" w14:textId="10BEE63D" w:rsidR="007D432C" w:rsidRPr="004B53F8" w:rsidRDefault="007D432C" w:rsidP="00F207DC">
            <w:pPr>
              <w:pStyle w:val="Tablewriting"/>
              <w:rPr>
                <w:rFonts w:eastAsia="MS Mincho"/>
                <w:b/>
                <w:bCs/>
              </w:rPr>
            </w:pPr>
            <w:r w:rsidRPr="004B53F8">
              <w:rPr>
                <w:rFonts w:eastAsia="MS Mincho"/>
                <w:b/>
                <w:bCs/>
              </w:rPr>
              <w:t xml:space="preserve">NRT patch + </w:t>
            </w:r>
            <w:r w:rsidR="003F1257" w:rsidRPr="004B53F8">
              <w:rPr>
                <w:rFonts w:eastAsia="MS Mincho"/>
                <w:b/>
                <w:bCs/>
              </w:rPr>
              <w:t>gum</w:t>
            </w:r>
            <w:r w:rsidRPr="004B53F8">
              <w:rPr>
                <w:rFonts w:eastAsia="MS Mincho"/>
                <w:b/>
                <w:bCs/>
              </w:rPr>
              <w:t xml:space="preserve"> versus placebo</w:t>
            </w:r>
          </w:p>
        </w:tc>
      </w:tr>
      <w:tr w:rsidR="002B5CCF" w:rsidRPr="00061F78" w14:paraId="52988D48" w14:textId="77777777" w:rsidTr="00F968F3">
        <w:trPr>
          <w:cantSplit/>
          <w:trHeight w:val="99"/>
        </w:trPr>
        <w:tc>
          <w:tcPr>
            <w:tcW w:w="862" w:type="pct"/>
            <w:shd w:val="clear" w:color="auto" w:fill="auto"/>
            <w:tcMar>
              <w:left w:w="28" w:type="dxa"/>
              <w:right w:w="28" w:type="dxa"/>
            </w:tcMar>
          </w:tcPr>
          <w:p w14:paraId="55A3191F" w14:textId="77777777" w:rsidR="00DE4137" w:rsidRDefault="00DE4137" w:rsidP="00F207DC">
            <w:pPr>
              <w:pStyle w:val="Tablewriting"/>
              <w:rPr>
                <w:rFonts w:eastAsia="MS Mincho"/>
              </w:rPr>
            </w:pPr>
            <w:r>
              <w:rPr>
                <w:rFonts w:eastAsia="MS Mincho"/>
              </w:rPr>
              <w:t>Hartmann-Boyce</w:t>
            </w:r>
          </w:p>
          <w:p w14:paraId="56493E15" w14:textId="2C66C934" w:rsidR="003F1257" w:rsidRPr="00AE12C1" w:rsidRDefault="00DE4137"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14:paraId="12C84595" w14:textId="77777777" w:rsidR="00714E65" w:rsidRDefault="00714E65" w:rsidP="00F207DC">
            <w:pPr>
              <w:pStyle w:val="Tablewriting"/>
              <w:jc w:val="center"/>
              <w:rPr>
                <w:rFonts w:eastAsia="MS Mincho"/>
              </w:rPr>
            </w:pPr>
            <w:r>
              <w:rPr>
                <w:rFonts w:eastAsia="MS Mincho"/>
              </w:rPr>
              <w:t>Cochrane Review</w:t>
            </w:r>
          </w:p>
          <w:p w14:paraId="52DF913B" w14:textId="3C28FECB" w:rsidR="002B5CCF" w:rsidRPr="00714E65" w:rsidRDefault="00714E65" w:rsidP="00F207DC">
            <w:pPr>
              <w:pStyle w:val="Tablewriting"/>
              <w:jc w:val="center"/>
              <w:rPr>
                <w:rFonts w:eastAsia="MS Mincho"/>
              </w:rPr>
            </w:pPr>
            <w:r>
              <w:rPr>
                <w:rFonts w:eastAsia="MS Mincho"/>
              </w:rPr>
              <w:t>(</w:t>
            </w:r>
            <w:r w:rsidR="00356E00">
              <w:rPr>
                <w:rFonts w:eastAsia="MS Mincho"/>
              </w:rPr>
              <w:t xml:space="preserve">2 </w:t>
            </w:r>
            <w:r w:rsidR="00850AA1">
              <w:rPr>
                <w:rFonts w:eastAsia="MS Mincho"/>
              </w:rPr>
              <w:t>RCT</w:t>
            </w:r>
            <w:r w:rsidR="00356E00">
              <w:rPr>
                <w:rFonts w:eastAsia="MS Mincho"/>
              </w:rPr>
              <w:t>s</w:t>
            </w:r>
            <w:r w:rsidR="00AA5959">
              <w:rPr>
                <w:rFonts w:eastAsia="MS Mincho"/>
                <w:vertAlign w:val="superscript"/>
              </w:rPr>
              <w:t>2</w:t>
            </w:r>
            <w:r>
              <w:rPr>
                <w:rFonts w:eastAsia="MS Mincho"/>
              </w:rPr>
              <w:t>)</w:t>
            </w:r>
          </w:p>
        </w:tc>
        <w:tc>
          <w:tcPr>
            <w:tcW w:w="841" w:type="pct"/>
            <w:shd w:val="clear" w:color="auto" w:fill="auto"/>
            <w:tcMar>
              <w:left w:w="28" w:type="dxa"/>
              <w:right w:w="28" w:type="dxa"/>
            </w:tcMar>
            <w:vAlign w:val="center"/>
          </w:tcPr>
          <w:p w14:paraId="1EAAC2A8" w14:textId="349EDADA" w:rsidR="002B5CCF" w:rsidRDefault="00476126" w:rsidP="00F207DC">
            <w:pPr>
              <w:pStyle w:val="Tablewriting"/>
              <w:jc w:val="center"/>
              <w:rPr>
                <w:rFonts w:eastAsia="MS Mincho"/>
              </w:rPr>
            </w:pPr>
            <w:r>
              <w:rPr>
                <w:rFonts w:eastAsia="MS Mincho"/>
              </w:rPr>
              <w:t>24/173</w:t>
            </w:r>
          </w:p>
          <w:p w14:paraId="65D369F6" w14:textId="09211F2A" w:rsidR="003F1E91" w:rsidRDefault="003F1E91" w:rsidP="00F207DC">
            <w:pPr>
              <w:pStyle w:val="Tablewriting"/>
              <w:jc w:val="center"/>
              <w:rPr>
                <w:rFonts w:eastAsia="MS Mincho"/>
              </w:rPr>
            </w:pPr>
            <w:r>
              <w:rPr>
                <w:rFonts w:eastAsia="MS Mincho"/>
              </w:rPr>
              <w:t>(</w:t>
            </w:r>
            <w:r w:rsidR="00C661C3">
              <w:rPr>
                <w:rFonts w:eastAsia="MS Mincho"/>
              </w:rPr>
              <w:t>13.9</w:t>
            </w:r>
            <w:r>
              <w:rPr>
                <w:rFonts w:eastAsia="MS Mincho"/>
              </w:rPr>
              <w:t>%)</w:t>
            </w:r>
          </w:p>
        </w:tc>
        <w:tc>
          <w:tcPr>
            <w:tcW w:w="773" w:type="pct"/>
            <w:shd w:val="clear" w:color="auto" w:fill="auto"/>
            <w:tcMar>
              <w:left w:w="28" w:type="dxa"/>
              <w:right w:w="28" w:type="dxa"/>
            </w:tcMar>
            <w:vAlign w:val="center"/>
          </w:tcPr>
          <w:p w14:paraId="3698EA6E" w14:textId="56469545" w:rsidR="002B5CCF" w:rsidRDefault="00897E19" w:rsidP="00F207DC">
            <w:pPr>
              <w:pStyle w:val="Tablewriting"/>
              <w:jc w:val="center"/>
              <w:rPr>
                <w:rFonts w:eastAsia="MS Mincho"/>
              </w:rPr>
            </w:pPr>
            <w:r>
              <w:rPr>
                <w:rFonts w:eastAsia="MS Mincho"/>
              </w:rPr>
              <w:t>1</w:t>
            </w:r>
            <w:r w:rsidR="00476126">
              <w:rPr>
                <w:rFonts w:eastAsia="MS Mincho"/>
              </w:rPr>
              <w:t>6/86</w:t>
            </w:r>
          </w:p>
          <w:p w14:paraId="7A94E0EC" w14:textId="3A287615" w:rsidR="00897E19" w:rsidRDefault="00897E19" w:rsidP="00F207DC">
            <w:pPr>
              <w:pStyle w:val="Tablewriting"/>
              <w:jc w:val="center"/>
              <w:rPr>
                <w:rFonts w:eastAsia="MS Mincho"/>
              </w:rPr>
            </w:pPr>
            <w:r>
              <w:rPr>
                <w:rFonts w:eastAsia="MS Mincho"/>
              </w:rPr>
              <w:t>(</w:t>
            </w:r>
            <w:r w:rsidR="00C661C3">
              <w:rPr>
                <w:rFonts w:eastAsia="MS Mincho"/>
              </w:rPr>
              <w:t>18</w:t>
            </w:r>
            <w:r w:rsidR="00EA7CF2">
              <w:rPr>
                <w:rFonts w:eastAsia="MS Mincho"/>
              </w:rPr>
              <w:t>.6</w:t>
            </w:r>
            <w:r>
              <w:rPr>
                <w:rFonts w:eastAsia="MS Mincho"/>
              </w:rPr>
              <w:t>%)</w:t>
            </w:r>
          </w:p>
        </w:tc>
        <w:tc>
          <w:tcPr>
            <w:tcW w:w="850" w:type="pct"/>
            <w:shd w:val="clear" w:color="auto" w:fill="auto"/>
            <w:tcMar>
              <w:left w:w="28" w:type="dxa"/>
              <w:right w:w="28" w:type="dxa"/>
            </w:tcMar>
            <w:vAlign w:val="center"/>
          </w:tcPr>
          <w:p w14:paraId="5E395E32" w14:textId="2CAB8AAF" w:rsidR="002B5CCF" w:rsidRDefault="008221D1" w:rsidP="00F207DC">
            <w:pPr>
              <w:pStyle w:val="Tablewriting"/>
              <w:jc w:val="center"/>
              <w:rPr>
                <w:rFonts w:eastAsia="MS Mincho"/>
              </w:rPr>
            </w:pPr>
            <w:r>
              <w:rPr>
                <w:rFonts w:eastAsia="MS Mincho"/>
              </w:rPr>
              <w:t>1.15</w:t>
            </w:r>
          </w:p>
          <w:p w14:paraId="3C85C6C7" w14:textId="7235DF60" w:rsidR="00B22D98" w:rsidRPr="00D56406" w:rsidRDefault="00B22D98" w:rsidP="00F207DC">
            <w:pPr>
              <w:pStyle w:val="Tablewriting"/>
              <w:jc w:val="center"/>
              <w:rPr>
                <w:rFonts w:eastAsia="MS Mincho"/>
              </w:rPr>
            </w:pPr>
            <w:r>
              <w:rPr>
                <w:rFonts w:eastAsia="MS Mincho"/>
              </w:rPr>
              <w:t>(0.</w:t>
            </w:r>
            <w:r w:rsidR="008221D1">
              <w:rPr>
                <w:rFonts w:eastAsia="MS Mincho"/>
              </w:rPr>
              <w:t>64</w:t>
            </w:r>
            <w:r>
              <w:rPr>
                <w:rFonts w:eastAsia="MS Mincho"/>
              </w:rPr>
              <w:t xml:space="preserve">, </w:t>
            </w:r>
            <w:r w:rsidR="008221D1">
              <w:rPr>
                <w:rFonts w:eastAsia="MS Mincho"/>
              </w:rPr>
              <w:t>2.06</w:t>
            </w:r>
            <w:r>
              <w:rPr>
                <w:rFonts w:eastAsia="MS Mincho"/>
              </w:rPr>
              <w:t>)</w:t>
            </w:r>
          </w:p>
        </w:tc>
        <w:tc>
          <w:tcPr>
            <w:tcW w:w="730" w:type="pct"/>
            <w:shd w:val="clear" w:color="auto" w:fill="auto"/>
            <w:vAlign w:val="center"/>
          </w:tcPr>
          <w:p w14:paraId="7327A2AC" w14:textId="6BE288FA" w:rsidR="002B5CCF" w:rsidRPr="00D56406" w:rsidRDefault="00906E44" w:rsidP="00F207DC">
            <w:pPr>
              <w:pStyle w:val="Tablewriting"/>
              <w:jc w:val="center"/>
              <w:rPr>
                <w:rFonts w:eastAsia="MS Mincho"/>
              </w:rPr>
            </w:pPr>
            <w:r>
              <w:rPr>
                <w:rFonts w:eastAsia="MS Mincho"/>
              </w:rPr>
              <w:t>NR</w:t>
            </w:r>
          </w:p>
        </w:tc>
      </w:tr>
      <w:tr w:rsidR="004C539D" w:rsidRPr="00061F78" w14:paraId="07B39DCE" w14:textId="77777777" w:rsidTr="004B53F8">
        <w:trPr>
          <w:cantSplit/>
          <w:trHeight w:val="99"/>
        </w:trPr>
        <w:tc>
          <w:tcPr>
            <w:tcW w:w="5000" w:type="pct"/>
            <w:gridSpan w:val="6"/>
            <w:shd w:val="clear" w:color="auto" w:fill="auto"/>
            <w:tcMar>
              <w:left w:w="28" w:type="dxa"/>
              <w:right w:w="28" w:type="dxa"/>
            </w:tcMar>
          </w:tcPr>
          <w:p w14:paraId="6B8C7D66" w14:textId="309B44F5" w:rsidR="004C539D" w:rsidRPr="004B53F8" w:rsidRDefault="004C539D" w:rsidP="00F207DC">
            <w:pPr>
              <w:pStyle w:val="Tablewriting"/>
              <w:rPr>
                <w:rFonts w:eastAsia="MS Mincho"/>
                <w:b/>
                <w:bCs/>
              </w:rPr>
            </w:pPr>
            <w:r w:rsidRPr="004B53F8">
              <w:rPr>
                <w:rFonts w:eastAsia="MS Mincho"/>
                <w:b/>
                <w:bCs/>
              </w:rPr>
              <w:t>NRT patch + inhalator versus placebo</w:t>
            </w:r>
          </w:p>
        </w:tc>
      </w:tr>
      <w:tr w:rsidR="00F05794" w:rsidRPr="00061F78" w14:paraId="0D224320" w14:textId="77777777" w:rsidTr="00F968F3">
        <w:trPr>
          <w:cantSplit/>
          <w:trHeight w:val="99"/>
        </w:trPr>
        <w:tc>
          <w:tcPr>
            <w:tcW w:w="862" w:type="pct"/>
            <w:shd w:val="clear" w:color="auto" w:fill="auto"/>
            <w:tcMar>
              <w:left w:w="28" w:type="dxa"/>
              <w:right w:w="28" w:type="dxa"/>
            </w:tcMar>
          </w:tcPr>
          <w:p w14:paraId="4DDE455A" w14:textId="77777777" w:rsidR="00B3328C" w:rsidRDefault="00B3328C" w:rsidP="00F207DC">
            <w:pPr>
              <w:pStyle w:val="Tablewriting"/>
              <w:rPr>
                <w:rFonts w:eastAsia="MS Mincho"/>
              </w:rPr>
            </w:pPr>
            <w:r>
              <w:rPr>
                <w:rFonts w:eastAsia="MS Mincho"/>
              </w:rPr>
              <w:t>Hartmann-Boyce</w:t>
            </w:r>
          </w:p>
          <w:p w14:paraId="10B9A31C" w14:textId="36786F5C" w:rsidR="006D00CF" w:rsidRPr="00F82B95" w:rsidRDefault="00B3328C"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14:paraId="6954B275" w14:textId="405C3F00" w:rsidR="00B3328C" w:rsidRDefault="00714E65" w:rsidP="00F207DC">
            <w:pPr>
              <w:pStyle w:val="Tablewriting"/>
              <w:jc w:val="center"/>
              <w:rPr>
                <w:rFonts w:eastAsia="MS Mincho"/>
              </w:rPr>
            </w:pPr>
            <w:r>
              <w:rPr>
                <w:rFonts w:eastAsia="MS Mincho"/>
              </w:rPr>
              <w:t>Cochrane Review</w:t>
            </w:r>
          </w:p>
          <w:p w14:paraId="3CB31049" w14:textId="343B059B" w:rsidR="00F05794" w:rsidRPr="00251B64" w:rsidRDefault="00B3328C" w:rsidP="00F207DC">
            <w:pPr>
              <w:pStyle w:val="Tablewriting"/>
              <w:jc w:val="center"/>
              <w:rPr>
                <w:rFonts w:eastAsia="MS Mincho"/>
              </w:rPr>
            </w:pPr>
            <w:r>
              <w:rPr>
                <w:rFonts w:eastAsia="MS Mincho"/>
              </w:rPr>
              <w:t>(</w:t>
            </w:r>
            <w:r w:rsidR="00714E65">
              <w:rPr>
                <w:rFonts w:eastAsia="MS Mincho"/>
              </w:rPr>
              <w:t>1 RCT</w:t>
            </w:r>
            <w:r w:rsidR="00867A16">
              <w:rPr>
                <w:rFonts w:eastAsia="MS Mincho"/>
                <w:vertAlign w:val="superscript"/>
              </w:rPr>
              <w:t>4</w:t>
            </w:r>
            <w:r>
              <w:rPr>
                <w:rFonts w:eastAsia="MS Mincho"/>
              </w:rPr>
              <w:t>)</w:t>
            </w:r>
          </w:p>
        </w:tc>
        <w:tc>
          <w:tcPr>
            <w:tcW w:w="841" w:type="pct"/>
            <w:shd w:val="clear" w:color="auto" w:fill="auto"/>
            <w:tcMar>
              <w:left w:w="28" w:type="dxa"/>
              <w:right w:w="28" w:type="dxa"/>
            </w:tcMar>
            <w:vAlign w:val="center"/>
          </w:tcPr>
          <w:p w14:paraId="3335C569" w14:textId="77777777" w:rsidR="00F05794" w:rsidRDefault="00162247" w:rsidP="00F207DC">
            <w:pPr>
              <w:pStyle w:val="Tablewriting"/>
              <w:jc w:val="center"/>
              <w:rPr>
                <w:rFonts w:eastAsia="MS Mincho"/>
              </w:rPr>
            </w:pPr>
            <w:r>
              <w:rPr>
                <w:rFonts w:eastAsia="MS Mincho"/>
              </w:rPr>
              <w:t>20/136</w:t>
            </w:r>
          </w:p>
          <w:p w14:paraId="3C849351" w14:textId="4B8F3C7F" w:rsidR="00162247" w:rsidRDefault="00162247" w:rsidP="00F207DC">
            <w:pPr>
              <w:pStyle w:val="Tablewriting"/>
              <w:jc w:val="center"/>
              <w:rPr>
                <w:rFonts w:eastAsia="MS Mincho"/>
              </w:rPr>
            </w:pPr>
            <w:r>
              <w:rPr>
                <w:rFonts w:eastAsia="MS Mincho"/>
              </w:rPr>
              <w:t>(</w:t>
            </w:r>
            <w:r w:rsidR="00CA1A5E">
              <w:rPr>
                <w:rFonts w:eastAsia="MS Mincho"/>
              </w:rPr>
              <w:t>14.7</w:t>
            </w:r>
            <w:r>
              <w:rPr>
                <w:rFonts w:eastAsia="MS Mincho"/>
              </w:rPr>
              <w:t>%)</w:t>
            </w:r>
          </w:p>
        </w:tc>
        <w:tc>
          <w:tcPr>
            <w:tcW w:w="773" w:type="pct"/>
            <w:shd w:val="clear" w:color="auto" w:fill="auto"/>
            <w:tcMar>
              <w:left w:w="28" w:type="dxa"/>
              <w:right w:w="28" w:type="dxa"/>
            </w:tcMar>
            <w:vAlign w:val="center"/>
          </w:tcPr>
          <w:p w14:paraId="0D9E8E19" w14:textId="77777777" w:rsidR="00F05794" w:rsidRDefault="00162247" w:rsidP="00F207DC">
            <w:pPr>
              <w:pStyle w:val="Tablewriting"/>
              <w:jc w:val="center"/>
              <w:rPr>
                <w:rFonts w:eastAsia="MS Mincho"/>
              </w:rPr>
            </w:pPr>
            <w:r>
              <w:rPr>
                <w:rFonts w:eastAsia="MS Mincho"/>
              </w:rPr>
              <w:t>15/109</w:t>
            </w:r>
          </w:p>
          <w:p w14:paraId="45145940" w14:textId="030D6B67" w:rsidR="00162247" w:rsidRDefault="00162247" w:rsidP="00F207DC">
            <w:pPr>
              <w:pStyle w:val="Tablewriting"/>
              <w:jc w:val="center"/>
              <w:rPr>
                <w:rFonts w:eastAsia="MS Mincho"/>
              </w:rPr>
            </w:pPr>
            <w:r>
              <w:rPr>
                <w:rFonts w:eastAsia="MS Mincho"/>
              </w:rPr>
              <w:t>(</w:t>
            </w:r>
            <w:r w:rsidR="0034680E">
              <w:rPr>
                <w:rFonts w:eastAsia="MS Mincho"/>
              </w:rPr>
              <w:t>13.8</w:t>
            </w:r>
            <w:r>
              <w:rPr>
                <w:rFonts w:eastAsia="MS Mincho"/>
              </w:rPr>
              <w:t>%)</w:t>
            </w:r>
          </w:p>
        </w:tc>
        <w:tc>
          <w:tcPr>
            <w:tcW w:w="850" w:type="pct"/>
            <w:shd w:val="clear" w:color="auto" w:fill="auto"/>
            <w:tcMar>
              <w:left w:w="28" w:type="dxa"/>
              <w:right w:w="28" w:type="dxa"/>
            </w:tcMar>
            <w:vAlign w:val="center"/>
          </w:tcPr>
          <w:p w14:paraId="69E893C5" w14:textId="77777777" w:rsidR="00F05794" w:rsidRDefault="00600936" w:rsidP="00F207DC">
            <w:pPr>
              <w:pStyle w:val="Tablewriting"/>
              <w:jc w:val="center"/>
              <w:rPr>
                <w:rFonts w:eastAsia="MS Mincho"/>
              </w:rPr>
            </w:pPr>
            <w:r>
              <w:rPr>
                <w:rFonts w:eastAsia="MS Mincho"/>
              </w:rPr>
              <w:t>1.07</w:t>
            </w:r>
          </w:p>
          <w:p w14:paraId="38B0C963" w14:textId="6D15E52B" w:rsidR="00600936" w:rsidRPr="00D56406" w:rsidRDefault="00600936" w:rsidP="00F207DC">
            <w:pPr>
              <w:pStyle w:val="Tablewriting"/>
              <w:jc w:val="center"/>
              <w:rPr>
                <w:rFonts w:eastAsia="MS Mincho"/>
              </w:rPr>
            </w:pPr>
            <w:r>
              <w:rPr>
                <w:rFonts w:eastAsia="MS Mincho"/>
              </w:rPr>
              <w:t>(0.57, 1.99)</w:t>
            </w:r>
          </w:p>
        </w:tc>
        <w:tc>
          <w:tcPr>
            <w:tcW w:w="730" w:type="pct"/>
            <w:shd w:val="clear" w:color="auto" w:fill="auto"/>
            <w:vAlign w:val="center"/>
          </w:tcPr>
          <w:p w14:paraId="712AAC56" w14:textId="58AF4FF1" w:rsidR="00F05794" w:rsidRPr="00D56406" w:rsidRDefault="00F0337B" w:rsidP="00F207DC">
            <w:pPr>
              <w:pStyle w:val="Tablewriting"/>
              <w:jc w:val="center"/>
              <w:rPr>
                <w:rFonts w:eastAsia="MS Mincho"/>
              </w:rPr>
            </w:pPr>
            <w:r>
              <w:rPr>
                <w:rFonts w:eastAsia="MS Mincho"/>
              </w:rPr>
              <w:t>NR</w:t>
            </w:r>
          </w:p>
        </w:tc>
      </w:tr>
      <w:tr w:rsidR="006D00CF" w:rsidRPr="00061F78" w14:paraId="2A259AFB" w14:textId="77777777" w:rsidTr="004B53F8">
        <w:trPr>
          <w:cantSplit/>
          <w:trHeight w:val="99"/>
        </w:trPr>
        <w:tc>
          <w:tcPr>
            <w:tcW w:w="5000" w:type="pct"/>
            <w:gridSpan w:val="6"/>
            <w:shd w:val="clear" w:color="auto" w:fill="auto"/>
            <w:tcMar>
              <w:left w:w="28" w:type="dxa"/>
              <w:right w:w="28" w:type="dxa"/>
            </w:tcMar>
          </w:tcPr>
          <w:p w14:paraId="5BB782E6" w14:textId="3CD9414F" w:rsidR="006D00CF" w:rsidRPr="004B53F8" w:rsidRDefault="006D00CF" w:rsidP="00F207DC">
            <w:pPr>
              <w:pStyle w:val="Tablewriting"/>
              <w:rPr>
                <w:rFonts w:eastAsia="MS Mincho"/>
                <w:b/>
                <w:bCs/>
              </w:rPr>
            </w:pPr>
            <w:r w:rsidRPr="004B53F8">
              <w:rPr>
                <w:rFonts w:eastAsia="MS Mincho"/>
                <w:b/>
                <w:bCs/>
              </w:rPr>
              <w:t xml:space="preserve">NRT patch + </w:t>
            </w:r>
            <w:r w:rsidR="007E2906" w:rsidRPr="004B53F8">
              <w:rPr>
                <w:rFonts w:eastAsia="MS Mincho"/>
                <w:b/>
                <w:bCs/>
              </w:rPr>
              <w:t xml:space="preserve">lozenge and </w:t>
            </w:r>
            <w:r w:rsidRPr="004B53F8">
              <w:rPr>
                <w:rFonts w:eastAsia="MS Mincho"/>
                <w:b/>
                <w:bCs/>
              </w:rPr>
              <w:t>gum versus placebo</w:t>
            </w:r>
          </w:p>
        </w:tc>
      </w:tr>
      <w:tr w:rsidR="00F05794" w:rsidRPr="00061F78" w14:paraId="47E61F11" w14:textId="77777777" w:rsidTr="00F968F3">
        <w:trPr>
          <w:cantSplit/>
          <w:trHeight w:val="99"/>
        </w:trPr>
        <w:tc>
          <w:tcPr>
            <w:tcW w:w="862" w:type="pct"/>
            <w:shd w:val="clear" w:color="auto" w:fill="auto"/>
            <w:tcMar>
              <w:left w:w="28" w:type="dxa"/>
              <w:right w:w="28" w:type="dxa"/>
            </w:tcMar>
          </w:tcPr>
          <w:p w14:paraId="7EB7F48B" w14:textId="77777777" w:rsidR="00B3328C" w:rsidRDefault="00B3328C" w:rsidP="00F207DC">
            <w:pPr>
              <w:pStyle w:val="Tablewriting"/>
              <w:rPr>
                <w:rFonts w:eastAsia="MS Mincho"/>
              </w:rPr>
            </w:pPr>
            <w:r>
              <w:rPr>
                <w:rFonts w:eastAsia="MS Mincho"/>
              </w:rPr>
              <w:t>Hartmann-Boyce</w:t>
            </w:r>
          </w:p>
          <w:p w14:paraId="7FB75876" w14:textId="5245D5E5" w:rsidR="006D00CF" w:rsidRPr="00191973" w:rsidRDefault="00B3328C" w:rsidP="00F207DC">
            <w:pPr>
              <w:pStyle w:val="Tablewriting"/>
              <w:rPr>
                <w:rFonts w:eastAsia="MS Mincho"/>
                <w:vertAlign w:val="superscript"/>
              </w:rPr>
            </w:pPr>
            <w:r w:rsidRPr="00251B64">
              <w:rPr>
                <w:rFonts w:eastAsia="MS Mincho"/>
              </w:rPr>
              <w:t>(</w:t>
            </w:r>
            <w:r>
              <w:rPr>
                <w:rFonts w:eastAsia="MS Mincho"/>
              </w:rPr>
              <w:t>2018</w:t>
            </w:r>
            <w:r w:rsidRPr="00251B64">
              <w:rPr>
                <w:rFonts w:eastAsia="MS Mincho"/>
              </w:rPr>
              <w:t>)</w:t>
            </w:r>
            <w:r w:rsidR="00AA5959">
              <w:rPr>
                <w:rFonts w:eastAsia="MS Mincho"/>
                <w:vertAlign w:val="superscript"/>
              </w:rPr>
              <w:t>1</w:t>
            </w:r>
          </w:p>
        </w:tc>
        <w:tc>
          <w:tcPr>
            <w:tcW w:w="943" w:type="pct"/>
            <w:shd w:val="clear" w:color="auto" w:fill="auto"/>
            <w:vAlign w:val="center"/>
          </w:tcPr>
          <w:p w14:paraId="3DA582F0" w14:textId="097FA93B" w:rsidR="00B3328C" w:rsidRDefault="00714E65" w:rsidP="00F207DC">
            <w:pPr>
              <w:pStyle w:val="Tablewriting"/>
              <w:jc w:val="center"/>
              <w:rPr>
                <w:rFonts w:eastAsia="MS Mincho"/>
              </w:rPr>
            </w:pPr>
            <w:r>
              <w:rPr>
                <w:rFonts w:eastAsia="MS Mincho"/>
              </w:rPr>
              <w:t>Cochrane Review</w:t>
            </w:r>
          </w:p>
          <w:p w14:paraId="37C9996F" w14:textId="605C9819" w:rsidR="00F05794" w:rsidRPr="00251B64" w:rsidRDefault="00B3328C" w:rsidP="00F207DC">
            <w:pPr>
              <w:pStyle w:val="Tablewriting"/>
              <w:jc w:val="center"/>
              <w:rPr>
                <w:rFonts w:eastAsia="MS Mincho"/>
              </w:rPr>
            </w:pPr>
            <w:r>
              <w:rPr>
                <w:rFonts w:eastAsia="MS Mincho"/>
              </w:rPr>
              <w:t>(</w:t>
            </w:r>
            <w:r w:rsidR="00714E65">
              <w:rPr>
                <w:rFonts w:eastAsia="MS Mincho"/>
              </w:rPr>
              <w:t>1 RCT</w:t>
            </w:r>
            <w:r w:rsidR="00867A16" w:rsidRPr="00867A16">
              <w:rPr>
                <w:rFonts w:eastAsia="MS Mincho"/>
                <w:vertAlign w:val="superscript"/>
              </w:rPr>
              <w:t>5</w:t>
            </w:r>
            <w:r>
              <w:rPr>
                <w:rFonts w:eastAsia="MS Mincho"/>
              </w:rPr>
              <w:t>)</w:t>
            </w:r>
          </w:p>
        </w:tc>
        <w:tc>
          <w:tcPr>
            <w:tcW w:w="841" w:type="pct"/>
            <w:shd w:val="clear" w:color="auto" w:fill="auto"/>
            <w:tcMar>
              <w:left w:w="28" w:type="dxa"/>
              <w:right w:w="28" w:type="dxa"/>
            </w:tcMar>
            <w:vAlign w:val="center"/>
          </w:tcPr>
          <w:p w14:paraId="7155A21E" w14:textId="77777777" w:rsidR="00F05794" w:rsidRDefault="003B4A0C" w:rsidP="00F207DC">
            <w:pPr>
              <w:pStyle w:val="Tablewriting"/>
              <w:jc w:val="center"/>
              <w:rPr>
                <w:rFonts w:eastAsia="MS Mincho"/>
              </w:rPr>
            </w:pPr>
            <w:r>
              <w:rPr>
                <w:rFonts w:eastAsia="MS Mincho"/>
              </w:rPr>
              <w:t>15/212</w:t>
            </w:r>
          </w:p>
          <w:p w14:paraId="4C1006D3" w14:textId="537C2262" w:rsidR="003B4A0C" w:rsidRDefault="003B4A0C" w:rsidP="00F207DC">
            <w:pPr>
              <w:pStyle w:val="Tablewriting"/>
              <w:jc w:val="center"/>
              <w:rPr>
                <w:rFonts w:eastAsia="MS Mincho"/>
              </w:rPr>
            </w:pPr>
            <w:r>
              <w:rPr>
                <w:rFonts w:eastAsia="MS Mincho"/>
              </w:rPr>
              <w:t>(</w:t>
            </w:r>
            <w:r w:rsidR="00EA6CC3">
              <w:rPr>
                <w:rFonts w:eastAsia="MS Mincho"/>
              </w:rPr>
              <w:t>7.1</w:t>
            </w:r>
            <w:r>
              <w:rPr>
                <w:rFonts w:eastAsia="MS Mincho"/>
              </w:rPr>
              <w:t>%)</w:t>
            </w:r>
          </w:p>
        </w:tc>
        <w:tc>
          <w:tcPr>
            <w:tcW w:w="773" w:type="pct"/>
            <w:shd w:val="clear" w:color="auto" w:fill="auto"/>
            <w:tcMar>
              <w:left w:w="28" w:type="dxa"/>
              <w:right w:w="28" w:type="dxa"/>
            </w:tcMar>
            <w:vAlign w:val="center"/>
          </w:tcPr>
          <w:p w14:paraId="0897AA7C" w14:textId="77777777" w:rsidR="00F05794" w:rsidRDefault="003B4A0C" w:rsidP="00F207DC">
            <w:pPr>
              <w:pStyle w:val="Tablewriting"/>
              <w:jc w:val="center"/>
              <w:rPr>
                <w:rFonts w:eastAsia="MS Mincho"/>
              </w:rPr>
            </w:pPr>
            <w:r>
              <w:rPr>
                <w:rFonts w:eastAsia="MS Mincho"/>
              </w:rPr>
              <w:t>1/212</w:t>
            </w:r>
          </w:p>
          <w:p w14:paraId="1DE29BC7" w14:textId="1D0229D0" w:rsidR="003B4A0C" w:rsidRDefault="003B4A0C" w:rsidP="00F207DC">
            <w:pPr>
              <w:pStyle w:val="Tablewriting"/>
              <w:jc w:val="center"/>
              <w:rPr>
                <w:rFonts w:eastAsia="MS Mincho"/>
              </w:rPr>
            </w:pPr>
            <w:r>
              <w:rPr>
                <w:rFonts w:eastAsia="MS Mincho"/>
              </w:rPr>
              <w:t>(</w:t>
            </w:r>
            <w:r w:rsidR="00074151">
              <w:rPr>
                <w:rFonts w:eastAsia="MS Mincho"/>
              </w:rPr>
              <w:t>0.5</w:t>
            </w:r>
            <w:r>
              <w:rPr>
                <w:rFonts w:eastAsia="MS Mincho"/>
              </w:rPr>
              <w:t>%)</w:t>
            </w:r>
          </w:p>
        </w:tc>
        <w:tc>
          <w:tcPr>
            <w:tcW w:w="850" w:type="pct"/>
            <w:shd w:val="clear" w:color="auto" w:fill="auto"/>
            <w:tcMar>
              <w:left w:w="28" w:type="dxa"/>
              <w:right w:w="28" w:type="dxa"/>
            </w:tcMar>
            <w:vAlign w:val="center"/>
          </w:tcPr>
          <w:p w14:paraId="574B4254" w14:textId="288AE473" w:rsidR="00F05794" w:rsidRPr="0070738C" w:rsidRDefault="003B4A0C" w:rsidP="00F207DC">
            <w:pPr>
              <w:pStyle w:val="Tablewriting"/>
              <w:jc w:val="center"/>
              <w:rPr>
                <w:rFonts w:eastAsia="MS Mincho"/>
                <w:b/>
                <w:bCs/>
              </w:rPr>
            </w:pPr>
            <w:r w:rsidRPr="0070738C">
              <w:rPr>
                <w:rFonts w:eastAsia="MS Mincho"/>
                <w:b/>
                <w:bCs/>
              </w:rPr>
              <w:t>15</w:t>
            </w:r>
            <w:r w:rsidR="0040762B">
              <w:rPr>
                <w:rFonts w:eastAsia="MS Mincho"/>
                <w:b/>
                <w:bCs/>
              </w:rPr>
              <w:t>.00</w:t>
            </w:r>
          </w:p>
          <w:p w14:paraId="197EF3F1" w14:textId="070D9ED6" w:rsidR="003B4A0C" w:rsidRPr="00D56406" w:rsidRDefault="003B4A0C" w:rsidP="00F207DC">
            <w:pPr>
              <w:pStyle w:val="Tablewriting"/>
              <w:jc w:val="center"/>
              <w:rPr>
                <w:rFonts w:eastAsia="MS Mincho"/>
              </w:rPr>
            </w:pPr>
            <w:r w:rsidRPr="0070738C">
              <w:rPr>
                <w:rFonts w:eastAsia="MS Mincho"/>
                <w:b/>
                <w:bCs/>
              </w:rPr>
              <w:t>(2, 112.54)</w:t>
            </w:r>
          </w:p>
        </w:tc>
        <w:tc>
          <w:tcPr>
            <w:tcW w:w="730" w:type="pct"/>
            <w:shd w:val="clear" w:color="auto" w:fill="auto"/>
            <w:vAlign w:val="center"/>
          </w:tcPr>
          <w:p w14:paraId="36612571" w14:textId="0AA937AB" w:rsidR="00F05794" w:rsidRPr="00D56406" w:rsidRDefault="00F0337B" w:rsidP="00F207DC">
            <w:pPr>
              <w:pStyle w:val="Tablewriting"/>
              <w:jc w:val="center"/>
              <w:rPr>
                <w:rFonts w:eastAsia="MS Mincho"/>
              </w:rPr>
            </w:pPr>
            <w:r>
              <w:rPr>
                <w:rFonts w:eastAsia="MS Mincho"/>
              </w:rPr>
              <w:t>NR</w:t>
            </w:r>
          </w:p>
        </w:tc>
      </w:tr>
    </w:tbl>
    <w:p w14:paraId="3F9F4056" w14:textId="60C976EE" w:rsidR="001D7A85" w:rsidRDefault="001D7A85" w:rsidP="00F968F3">
      <w:pPr>
        <w:pStyle w:val="TableFooter"/>
      </w:pPr>
      <w:r>
        <w:t>Source: Hartmann-Boyce et al. (2018)</w:t>
      </w:r>
      <w:r w:rsidR="00F968F3">
        <w:t>,</w:t>
      </w:r>
      <w:r w:rsidR="003B5B2D">
        <w:t xml:space="preserve"> Chen et al. (2020)</w:t>
      </w:r>
    </w:p>
    <w:p w14:paraId="0A7C0EEB" w14:textId="4C429C35" w:rsidR="001D7A85" w:rsidRPr="0070738C" w:rsidRDefault="001D7A85" w:rsidP="00F968F3">
      <w:pPr>
        <w:pStyle w:val="TableFooter"/>
        <w:rPr>
          <w:i/>
        </w:rPr>
      </w:pPr>
      <w:r>
        <w:t xml:space="preserve">Abbreviations: CI = confidence interval; </w:t>
      </w:r>
      <w:r w:rsidR="00017019">
        <w:t xml:space="preserve">NR = not reported; </w:t>
      </w:r>
      <w:r>
        <w:t>RCT = randomised controlled trial; RD = risk difference; RR = risk ratio</w:t>
      </w:r>
      <w:r w:rsidRPr="00061F78">
        <w:t xml:space="preserve"> </w:t>
      </w:r>
    </w:p>
    <w:p w14:paraId="635E184A" w14:textId="3DFD642D" w:rsidR="00AA5959" w:rsidRDefault="001D7A85" w:rsidP="00F968F3">
      <w:pPr>
        <w:pStyle w:val="TableFooter"/>
      </w:pPr>
      <w:r w:rsidRPr="00D468CF">
        <w:t>Note</w:t>
      </w:r>
      <w:r>
        <w:t>s</w:t>
      </w:r>
      <w:r w:rsidRPr="00D468CF">
        <w:t xml:space="preserve">: </w:t>
      </w:r>
      <w:r w:rsidR="00AD0762">
        <w:t xml:space="preserve">Calculated during the review. </w:t>
      </w:r>
      <w:r w:rsidRPr="00D468CF">
        <w:t>Bold indicates statistically significant difference.</w:t>
      </w:r>
      <w:r>
        <w:br/>
      </w:r>
      <w:r w:rsidR="00AA5959">
        <w:t>1</w:t>
      </w:r>
      <w:r w:rsidR="00867A16">
        <w:t xml:space="preserve"> </w:t>
      </w:r>
      <w:r w:rsidR="00867A16" w:rsidRPr="00D66153">
        <w:t>Calculated by Cochrane Review authors using a fixed-effect model</w:t>
      </w:r>
      <w:r w:rsidR="00AB5FA3">
        <w:t>.</w:t>
      </w:r>
    </w:p>
    <w:p w14:paraId="545505B7" w14:textId="0980290D" w:rsidR="001D7A85" w:rsidRDefault="00AA5959" w:rsidP="00F968F3">
      <w:pPr>
        <w:pStyle w:val="TableFooter"/>
      </w:pPr>
      <w:r>
        <w:t>2</w:t>
      </w:r>
      <w:r w:rsidR="001D7A85">
        <w:t xml:space="preserve"> </w:t>
      </w:r>
      <w:r w:rsidR="00E63788">
        <w:t xml:space="preserve">7-day </w:t>
      </w:r>
      <w:r w:rsidR="004677E9">
        <w:t xml:space="preserve">point prevalence abstinence at </w:t>
      </w:r>
      <w:r w:rsidR="00BC2232">
        <w:t>six</w:t>
      </w:r>
      <w:r w:rsidR="004677E9">
        <w:t xml:space="preserve"> months</w:t>
      </w:r>
      <w:r w:rsidR="00AB5FA3">
        <w:t>.</w:t>
      </w:r>
    </w:p>
    <w:p w14:paraId="561F3124" w14:textId="311746D0" w:rsidR="00867A16" w:rsidRDefault="00867A16" w:rsidP="00F968F3">
      <w:pPr>
        <w:pStyle w:val="TableFooter"/>
      </w:pPr>
      <w:r w:rsidRPr="00D66153">
        <w:t>3 Calculated during the review using a random-effect mode</w:t>
      </w:r>
      <w:r w:rsidR="00A61D73" w:rsidRPr="00D66153">
        <w:t>l</w:t>
      </w:r>
      <w:r w:rsidR="00AB5FA3">
        <w:t>.</w:t>
      </w:r>
    </w:p>
    <w:p w14:paraId="24AE14EB" w14:textId="65047220" w:rsidR="00F82B95" w:rsidRDefault="00867A16" w:rsidP="00F968F3">
      <w:pPr>
        <w:pStyle w:val="TableFooter"/>
      </w:pPr>
      <w:r>
        <w:t>4</w:t>
      </w:r>
      <w:r w:rsidR="00F82B95">
        <w:t xml:space="preserve"> Sustained abstinence at 12 months</w:t>
      </w:r>
      <w:r w:rsidR="00AB5FA3">
        <w:t>.</w:t>
      </w:r>
    </w:p>
    <w:p w14:paraId="0848C225" w14:textId="43B35D71" w:rsidR="00AC62D6" w:rsidRDefault="00867A16" w:rsidP="00AD227B">
      <w:pPr>
        <w:pStyle w:val="TableFooter"/>
        <w:spacing w:after="120"/>
        <w:contextualSpacing w:val="0"/>
      </w:pPr>
      <w:r>
        <w:t>5</w:t>
      </w:r>
      <w:r w:rsidR="00191973">
        <w:t xml:space="preserve"> Abstinence at </w:t>
      </w:r>
      <w:r w:rsidR="00BC2232">
        <w:t>six</w:t>
      </w:r>
      <w:r w:rsidR="00191973">
        <w:t xml:space="preserve"> months (type of measure not specified)</w:t>
      </w:r>
      <w:r w:rsidR="00AB5FA3">
        <w:t>.</w:t>
      </w:r>
    </w:p>
    <w:p w14:paraId="511F04AA" w14:textId="235BA732" w:rsidR="00042A09" w:rsidRDefault="00042A09" w:rsidP="00AD227B">
      <w:pPr>
        <w:spacing w:after="120"/>
        <w:jc w:val="both"/>
      </w:pPr>
      <w:r>
        <w:t xml:space="preserve">The results of the individual studies included in Hartmann-Boyce et al. (2018) are presented using a forest plot in </w:t>
      </w:r>
      <w:r w:rsidR="00F20E1B">
        <w:fldChar w:fldCharType="begin" w:fldLock="1"/>
      </w:r>
      <w:r w:rsidR="00F20E1B">
        <w:instrText xml:space="preserve"> REF _Ref55300466 \h </w:instrText>
      </w:r>
      <w:r w:rsidR="00F20E1B">
        <w:fldChar w:fldCharType="separate"/>
      </w:r>
      <w:r w:rsidR="00EC5CC7">
        <w:t xml:space="preserve">Figure </w:t>
      </w:r>
      <w:r w:rsidR="00EC5CC7">
        <w:rPr>
          <w:noProof/>
        </w:rPr>
        <w:t>13</w:t>
      </w:r>
      <w:r w:rsidR="00F20E1B">
        <w:fldChar w:fldCharType="end"/>
      </w:r>
      <w:r>
        <w:t xml:space="preserve">. </w:t>
      </w:r>
    </w:p>
    <w:p w14:paraId="7234AD01" w14:textId="0042DB7E" w:rsidR="00F20E1B" w:rsidRDefault="00167EF4" w:rsidP="00F20E1B">
      <w:pPr>
        <w:keepNext/>
      </w:pPr>
      <w:r>
        <w:rPr>
          <w:noProof/>
        </w:rPr>
        <w:lastRenderedPageBreak/>
        <w:drawing>
          <wp:inline distT="0" distB="0" distL="0" distR="0" wp14:anchorId="4D4C6421" wp14:editId="301A6935">
            <wp:extent cx="5730875" cy="3712845"/>
            <wp:effectExtent l="0" t="0" r="3175" b="1905"/>
            <wp:docPr id="79" name="Picture 79" descr="P44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P4482#yIS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3712845"/>
                    </a:xfrm>
                    <a:prstGeom prst="rect">
                      <a:avLst/>
                    </a:prstGeom>
                    <a:noFill/>
                  </pic:spPr>
                </pic:pic>
              </a:graphicData>
            </a:graphic>
          </wp:inline>
        </w:drawing>
      </w:r>
    </w:p>
    <w:p w14:paraId="519CAB84" w14:textId="481D67AF" w:rsidR="00042A09" w:rsidRDefault="00F20E1B" w:rsidP="00AD227B">
      <w:pPr>
        <w:pStyle w:val="Caption"/>
        <w:spacing w:before="120" w:after="60"/>
        <w:jc w:val="both"/>
      </w:pPr>
      <w:bookmarkStart w:id="111" w:name="_Ref55300466"/>
      <w:r>
        <w:t xml:space="preserve">Figure </w:t>
      </w:r>
      <w:r w:rsidR="00BF3F75">
        <w:fldChar w:fldCharType="begin"/>
      </w:r>
      <w:r w:rsidR="00BF3F75">
        <w:instrText xml:space="preserve"> SEQ Figure \* ARABIC </w:instrText>
      </w:r>
      <w:r w:rsidR="00BF3F75">
        <w:fldChar w:fldCharType="separate"/>
      </w:r>
      <w:r w:rsidR="00EC5CC7">
        <w:rPr>
          <w:noProof/>
        </w:rPr>
        <w:t>13</w:t>
      </w:r>
      <w:r w:rsidR="00BF3F75">
        <w:rPr>
          <w:noProof/>
        </w:rPr>
        <w:fldChar w:fldCharType="end"/>
      </w:r>
      <w:bookmarkEnd w:id="111"/>
      <w:r>
        <w:t xml:space="preserve">: </w:t>
      </w:r>
      <w:r w:rsidRPr="00F12C5C">
        <w:t>Results</w:t>
      </w:r>
      <w:r w:rsidR="00C74EE2" w:rsidRPr="00C74EE2">
        <w:t xml:space="preserve"> </w:t>
      </w:r>
      <w:r w:rsidRPr="00F12C5C">
        <w:t>of smoking cessation f</w:t>
      </w:r>
      <w:r w:rsidR="00004EEA">
        <w:t>or</w:t>
      </w:r>
      <w:r w:rsidRPr="00F12C5C">
        <w:t xml:space="preserve"> at least six months follow-up in Hartmann-Boyce et al. (2018), </w:t>
      </w:r>
      <w:r>
        <w:t xml:space="preserve">combination </w:t>
      </w:r>
      <w:r w:rsidRPr="00F12C5C">
        <w:t>NRT versus placebo</w:t>
      </w:r>
    </w:p>
    <w:p w14:paraId="4D2DCFA2" w14:textId="77777777" w:rsidR="00F20E1B" w:rsidRDefault="00F20E1B" w:rsidP="00F20E1B">
      <w:pPr>
        <w:pStyle w:val="FigureFooter"/>
      </w:pPr>
      <w:r>
        <w:t>Source: Hartmann-Boyce et al. (2018)</w:t>
      </w:r>
    </w:p>
    <w:p w14:paraId="7183472D" w14:textId="201E3CE9" w:rsidR="00F20E1B" w:rsidRDefault="00F20E1B" w:rsidP="00AD227B">
      <w:pPr>
        <w:pStyle w:val="FigureFooter"/>
        <w:spacing w:after="120"/>
        <w:contextualSpacing w:val="0"/>
      </w:pPr>
      <w:r>
        <w:t>Abbreviations: CI = confidence interval</w:t>
      </w:r>
    </w:p>
    <w:p w14:paraId="43137283" w14:textId="7DA5A9CD" w:rsidR="00BA6621" w:rsidRDefault="004D7FE0" w:rsidP="00AD227B">
      <w:pPr>
        <w:spacing w:after="120"/>
        <w:jc w:val="both"/>
      </w:pPr>
      <w:r>
        <w:t xml:space="preserve">The results of the individual studies included in the updated re-analysis for NRT patch + lozenge versus placebo are presented using a forest plot in </w:t>
      </w:r>
      <w:r>
        <w:fldChar w:fldCharType="begin" w:fldLock="1"/>
      </w:r>
      <w:r>
        <w:instrText xml:space="preserve"> REF _Ref61261990 \h </w:instrText>
      </w:r>
      <w:r>
        <w:fldChar w:fldCharType="separate"/>
      </w:r>
      <w:r w:rsidR="00EC5CC7">
        <w:t xml:space="preserve">Figure </w:t>
      </w:r>
      <w:r w:rsidR="00EC5CC7">
        <w:rPr>
          <w:noProof/>
        </w:rPr>
        <w:t>14</w:t>
      </w:r>
      <w:r>
        <w:fldChar w:fldCharType="end"/>
      </w:r>
      <w:r>
        <w:t>.</w:t>
      </w:r>
    </w:p>
    <w:p w14:paraId="2662504A" w14:textId="77777777" w:rsidR="001F640F" w:rsidRDefault="00BA6621" w:rsidP="001F640F">
      <w:pPr>
        <w:keepNext/>
      </w:pPr>
      <w:r>
        <w:rPr>
          <w:noProof/>
        </w:rPr>
        <w:drawing>
          <wp:inline distT="0" distB="0" distL="0" distR="0" wp14:anchorId="22286101" wp14:editId="3FF8CC7A">
            <wp:extent cx="5731510" cy="1054100"/>
            <wp:effectExtent l="0" t="0" r="2540" b="0"/>
            <wp:docPr id="27" name="Picture 27" descr="P44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4487#yIS1"/>
                    <pic:cNvPicPr/>
                  </pic:nvPicPr>
                  <pic:blipFill>
                    <a:blip r:embed="rId33">
                      <a:extLst>
                        <a:ext uri="{28A0092B-C50C-407E-A947-70E740481C1C}">
                          <a14:useLocalDpi xmlns:a14="http://schemas.microsoft.com/office/drawing/2010/main" val="0"/>
                        </a:ext>
                      </a:extLst>
                    </a:blip>
                    <a:stretch>
                      <a:fillRect/>
                    </a:stretch>
                  </pic:blipFill>
                  <pic:spPr>
                    <a:xfrm>
                      <a:off x="0" y="0"/>
                      <a:ext cx="5731510" cy="1054100"/>
                    </a:xfrm>
                    <a:prstGeom prst="rect">
                      <a:avLst/>
                    </a:prstGeom>
                  </pic:spPr>
                </pic:pic>
              </a:graphicData>
            </a:graphic>
          </wp:inline>
        </w:drawing>
      </w:r>
    </w:p>
    <w:p w14:paraId="4C0A2EDE" w14:textId="780263A6" w:rsidR="001F640F" w:rsidRDefault="001F640F" w:rsidP="00AD227B">
      <w:pPr>
        <w:pStyle w:val="Caption"/>
        <w:spacing w:before="120" w:after="60"/>
        <w:jc w:val="both"/>
      </w:pPr>
      <w:bookmarkStart w:id="112" w:name="_Ref61261990"/>
      <w:r>
        <w:t xml:space="preserve">Figure </w:t>
      </w:r>
      <w:r w:rsidR="00BF3F75">
        <w:fldChar w:fldCharType="begin"/>
      </w:r>
      <w:r w:rsidR="00BF3F75">
        <w:instrText xml:space="preserve"> SEQ Figure \* ARABIC </w:instrText>
      </w:r>
      <w:r w:rsidR="00BF3F75">
        <w:fldChar w:fldCharType="separate"/>
      </w:r>
      <w:r w:rsidR="00EC5CC7">
        <w:rPr>
          <w:noProof/>
        </w:rPr>
        <w:t>14</w:t>
      </w:r>
      <w:r w:rsidR="00BF3F75">
        <w:rPr>
          <w:noProof/>
        </w:rPr>
        <w:fldChar w:fldCharType="end"/>
      </w:r>
      <w:bookmarkEnd w:id="112"/>
      <w:r>
        <w:t xml:space="preserve">: </w:t>
      </w:r>
      <w:r w:rsidRPr="006065EF">
        <w:t xml:space="preserve">Results of smoking cessation of at least six months follow-up </w:t>
      </w:r>
      <w:r>
        <w:t>based on updated re-analysis</w:t>
      </w:r>
      <w:r w:rsidRPr="006065EF">
        <w:t xml:space="preserve">, combination NRT </w:t>
      </w:r>
      <w:r>
        <w:t xml:space="preserve">patch and lozenge </w:t>
      </w:r>
      <w:r w:rsidRPr="006065EF">
        <w:t>versus placebo</w:t>
      </w:r>
    </w:p>
    <w:p w14:paraId="6652055A" w14:textId="370510F1" w:rsidR="001F640F" w:rsidRDefault="001F640F" w:rsidP="001F640F">
      <w:pPr>
        <w:pStyle w:val="FigureFooter"/>
      </w:pPr>
      <w:r>
        <w:t>Source: Hartmann-Boyce et al. (2018), Piper et al. (2009), Chen et al. (2020)</w:t>
      </w:r>
    </w:p>
    <w:p w14:paraId="29561435" w14:textId="1DAA1C29" w:rsidR="001F640F" w:rsidRPr="001F640F" w:rsidRDefault="001F640F" w:rsidP="00AD227B">
      <w:pPr>
        <w:pStyle w:val="FigureFooter"/>
        <w:spacing w:after="120"/>
        <w:contextualSpacing w:val="0"/>
      </w:pPr>
      <w:r>
        <w:t>Abbreviations: CI = confidence interval</w:t>
      </w:r>
    </w:p>
    <w:p w14:paraId="340A41F1" w14:textId="77777777" w:rsidR="00622B9F" w:rsidRPr="0073597F" w:rsidRDefault="00622B9F" w:rsidP="00AD227B">
      <w:pPr>
        <w:spacing w:after="120"/>
        <w:jc w:val="both"/>
        <w:rPr>
          <w:u w:val="single"/>
        </w:rPr>
      </w:pPr>
      <w:r w:rsidRPr="0073597F">
        <w:rPr>
          <w:u w:val="single"/>
        </w:rPr>
        <w:t>Safety</w:t>
      </w:r>
    </w:p>
    <w:p w14:paraId="194F6E93" w14:textId="564A2F19" w:rsidR="003B5B2D" w:rsidRDefault="00622B9F" w:rsidP="00AD227B">
      <w:pPr>
        <w:spacing w:after="120"/>
        <w:jc w:val="both"/>
      </w:pPr>
      <w:r w:rsidRPr="00F423F8">
        <w:t xml:space="preserve">The incidence of adverse events comparing </w:t>
      </w:r>
      <w:r>
        <w:t xml:space="preserve">combination NRT with placebo </w:t>
      </w:r>
      <w:r w:rsidRPr="00F423F8">
        <w:t xml:space="preserve">was not synthesised quantitatively by </w:t>
      </w:r>
      <w:r>
        <w:t>Hartmann-Boyce</w:t>
      </w:r>
      <w:r w:rsidRPr="002C1625">
        <w:t xml:space="preserve"> et al. (20</w:t>
      </w:r>
      <w:r>
        <w:t>18</w:t>
      </w:r>
      <w:r w:rsidRPr="002C1625">
        <w:t>)</w:t>
      </w:r>
      <w:r w:rsidRPr="00F423F8">
        <w:t>.</w:t>
      </w:r>
      <w:r w:rsidR="008E02FB">
        <w:t xml:space="preserve"> </w:t>
      </w:r>
      <w:r w:rsidR="008E02FB" w:rsidRPr="008E02FB">
        <w:t xml:space="preserve">Based on the study by </w:t>
      </w:r>
      <w:r w:rsidR="008E02FB">
        <w:t>Chen</w:t>
      </w:r>
      <w:r w:rsidR="008E02FB" w:rsidRPr="008E02FB">
        <w:t xml:space="preserve"> et al. (20</w:t>
      </w:r>
      <w:r w:rsidR="008E02FB">
        <w:t>20</w:t>
      </w:r>
      <w:r w:rsidR="008E02FB" w:rsidRPr="008E02FB">
        <w:t xml:space="preserve">), </w:t>
      </w:r>
      <w:r w:rsidR="008E02FB">
        <w:t>t</w:t>
      </w:r>
      <w:r w:rsidR="008E02FB" w:rsidRPr="008E02FB">
        <w:t xml:space="preserve">here were no statistically significant differences between </w:t>
      </w:r>
      <w:r w:rsidR="00017C8C">
        <w:t xml:space="preserve">NRT patch + </w:t>
      </w:r>
      <w:r w:rsidR="00B05DCD">
        <w:t>lozenge and</w:t>
      </w:r>
      <w:r w:rsidR="00017C8C">
        <w:t xml:space="preserve"> placebo in terms of</w:t>
      </w:r>
      <w:r w:rsidR="008E02FB" w:rsidRPr="008E02FB">
        <w:t xml:space="preserve"> </w:t>
      </w:r>
      <w:r w:rsidR="008E02FB">
        <w:t xml:space="preserve">any adverse events and </w:t>
      </w:r>
      <w:r w:rsidR="008E02FB" w:rsidRPr="008E02FB">
        <w:t>serious adverse events</w:t>
      </w:r>
      <w:r w:rsidR="008E02FB">
        <w:t xml:space="preserve"> (</w:t>
      </w:r>
      <w:r w:rsidR="008E02FB">
        <w:fldChar w:fldCharType="begin" w:fldLock="1"/>
      </w:r>
      <w:r w:rsidR="008E02FB">
        <w:instrText xml:space="preserve"> REF _Ref55401637 \h </w:instrText>
      </w:r>
      <w:r w:rsidR="008E02FB">
        <w:fldChar w:fldCharType="separate"/>
      </w:r>
      <w:r w:rsidR="00EC5CC7">
        <w:t xml:space="preserve">Table </w:t>
      </w:r>
      <w:r w:rsidR="00EC5CC7">
        <w:rPr>
          <w:noProof/>
        </w:rPr>
        <w:t>57</w:t>
      </w:r>
      <w:r w:rsidR="008E02FB">
        <w:fldChar w:fldCharType="end"/>
      </w:r>
      <w:r w:rsidR="008E02FB">
        <w:t>).</w:t>
      </w:r>
    </w:p>
    <w:p w14:paraId="67F1BAF2" w14:textId="1D0DC691" w:rsidR="003B5B2D" w:rsidRDefault="003B5B2D" w:rsidP="00AD227B">
      <w:pPr>
        <w:pStyle w:val="Caption"/>
        <w:keepNext/>
        <w:spacing w:before="0" w:after="120"/>
        <w:jc w:val="both"/>
      </w:pPr>
      <w:bookmarkStart w:id="113" w:name="_Ref55401637"/>
      <w:r>
        <w:lastRenderedPageBreak/>
        <w:t xml:space="preserve">Table </w:t>
      </w:r>
      <w:r w:rsidR="00BF3F75">
        <w:fldChar w:fldCharType="begin"/>
      </w:r>
      <w:r w:rsidR="00BF3F75">
        <w:instrText xml:space="preserve"> SEQ Table \* ARABIC </w:instrText>
      </w:r>
      <w:r w:rsidR="00BF3F75">
        <w:fldChar w:fldCharType="separate"/>
      </w:r>
      <w:r w:rsidR="00EC5CC7">
        <w:rPr>
          <w:noProof/>
        </w:rPr>
        <w:t>57</w:t>
      </w:r>
      <w:r w:rsidR="00BF3F75">
        <w:rPr>
          <w:noProof/>
        </w:rPr>
        <w:fldChar w:fldCharType="end"/>
      </w:r>
      <w:bookmarkEnd w:id="113"/>
      <w:r>
        <w:t xml:space="preserve">: </w:t>
      </w:r>
      <w:r w:rsidRPr="00BF614E">
        <w:t>Summary of key adverse events</w:t>
      </w:r>
      <w:r w:rsidR="008E02FB">
        <w:t xml:space="preserve"> in Chen et al. (2020)</w:t>
      </w:r>
      <w:r w:rsidRPr="00BF614E">
        <w:t xml:space="preserve">, combination NRT versus </w:t>
      </w:r>
      <w:r>
        <w:t>placebo</w:t>
      </w:r>
    </w:p>
    <w:tbl>
      <w:tblPr>
        <w:tblStyle w:val="TableGrid"/>
        <w:tblW w:w="5000" w:type="pct"/>
        <w:tblLook w:val="04A0" w:firstRow="1" w:lastRow="0" w:firstColumn="1" w:lastColumn="0" w:noHBand="0" w:noVBand="1"/>
        <w:tblCaption w:val="Efficacy results of adalimumab trials (PASI 75 and DLQI)"/>
      </w:tblPr>
      <w:tblGrid>
        <w:gridCol w:w="2958"/>
        <w:gridCol w:w="1533"/>
        <w:gridCol w:w="1535"/>
        <w:gridCol w:w="1535"/>
        <w:gridCol w:w="1455"/>
      </w:tblGrid>
      <w:tr w:rsidR="003B5B2D" w:rsidRPr="00061F78" w14:paraId="0C1B26C1" w14:textId="77777777" w:rsidTr="00017C8C">
        <w:trPr>
          <w:cantSplit/>
          <w:trHeight w:val="299"/>
          <w:tblHeader/>
        </w:trPr>
        <w:tc>
          <w:tcPr>
            <w:tcW w:w="1641" w:type="pct"/>
            <w:shd w:val="clear" w:color="auto" w:fill="BFBFBF" w:themeFill="background1" w:themeFillShade="BF"/>
            <w:tcMar>
              <w:left w:w="28" w:type="dxa"/>
              <w:right w:w="28" w:type="dxa"/>
            </w:tcMar>
          </w:tcPr>
          <w:p w14:paraId="7E7989F8" w14:textId="77777777" w:rsidR="003B5B2D" w:rsidRDefault="003B5B2D" w:rsidP="00017C8C">
            <w:pPr>
              <w:pStyle w:val="Tableheading"/>
              <w:keepNext/>
              <w:rPr>
                <w:rFonts w:eastAsia="MS Mincho"/>
              </w:rPr>
            </w:pPr>
            <w:r>
              <w:rPr>
                <w:rFonts w:eastAsia="MS Mincho"/>
              </w:rPr>
              <w:t>Outcome</w:t>
            </w:r>
          </w:p>
        </w:tc>
        <w:tc>
          <w:tcPr>
            <w:tcW w:w="850" w:type="pct"/>
            <w:shd w:val="clear" w:color="auto" w:fill="BFBFBF" w:themeFill="background1" w:themeFillShade="BF"/>
            <w:tcMar>
              <w:left w:w="28" w:type="dxa"/>
              <w:right w:w="28" w:type="dxa"/>
            </w:tcMar>
            <w:vAlign w:val="center"/>
          </w:tcPr>
          <w:p w14:paraId="17AEF7FE" w14:textId="51480671" w:rsidR="003B5B2D" w:rsidRPr="00061F78" w:rsidRDefault="003B5B2D" w:rsidP="00017C8C">
            <w:pPr>
              <w:pStyle w:val="Tableheading"/>
              <w:keepNext/>
              <w:jc w:val="center"/>
              <w:rPr>
                <w:rFonts w:eastAsia="MS Mincho"/>
              </w:rPr>
            </w:pPr>
            <w:r>
              <w:rPr>
                <w:rFonts w:eastAsia="MS Mincho"/>
              </w:rPr>
              <w:t>NRT</w:t>
            </w:r>
            <w:r w:rsidR="00017C8C">
              <w:rPr>
                <w:rFonts w:eastAsia="MS Mincho"/>
              </w:rPr>
              <w:t xml:space="preserve"> patch + lozenge</w:t>
            </w:r>
          </w:p>
        </w:tc>
        <w:tc>
          <w:tcPr>
            <w:tcW w:w="851" w:type="pct"/>
            <w:shd w:val="clear" w:color="auto" w:fill="BFBFBF" w:themeFill="background1" w:themeFillShade="BF"/>
            <w:tcMar>
              <w:left w:w="28" w:type="dxa"/>
              <w:right w:w="28" w:type="dxa"/>
            </w:tcMar>
            <w:vAlign w:val="center"/>
          </w:tcPr>
          <w:p w14:paraId="2E6C795B" w14:textId="30435B1D" w:rsidR="003B5B2D" w:rsidRPr="00061F78" w:rsidRDefault="003B5B2D" w:rsidP="00017C8C">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14:paraId="127866BD" w14:textId="77777777" w:rsidR="003B5B2D" w:rsidRPr="00D468CF" w:rsidRDefault="003B5B2D" w:rsidP="00017C8C">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300A097F" w14:textId="77777777" w:rsidR="003B5B2D" w:rsidRDefault="003B5B2D" w:rsidP="00017C8C">
            <w:pPr>
              <w:pStyle w:val="Tableheading"/>
              <w:keepNext/>
              <w:jc w:val="center"/>
              <w:rPr>
                <w:rFonts w:eastAsia="MS Mincho"/>
              </w:rPr>
            </w:pPr>
            <w:r>
              <w:rPr>
                <w:rFonts w:eastAsia="MS Mincho"/>
              </w:rPr>
              <w:t>RD (95% CI)</w:t>
            </w:r>
          </w:p>
        </w:tc>
      </w:tr>
      <w:tr w:rsidR="003B5B2D" w:rsidRPr="00061F78" w14:paraId="6CE1F43F" w14:textId="77777777" w:rsidTr="00017C8C">
        <w:trPr>
          <w:cantSplit/>
          <w:trHeight w:val="99"/>
        </w:trPr>
        <w:tc>
          <w:tcPr>
            <w:tcW w:w="1641" w:type="pct"/>
            <w:shd w:val="clear" w:color="auto" w:fill="auto"/>
            <w:tcMar>
              <w:left w:w="28" w:type="dxa"/>
              <w:right w:w="28" w:type="dxa"/>
            </w:tcMar>
          </w:tcPr>
          <w:p w14:paraId="08AA76E2" w14:textId="77777777" w:rsidR="003B5B2D" w:rsidRDefault="003B5B2D" w:rsidP="003B5B2D">
            <w:pPr>
              <w:pStyle w:val="Tablewriting"/>
              <w:keepNext/>
              <w:rPr>
                <w:rFonts w:eastAsia="MS Mincho"/>
              </w:rPr>
            </w:pPr>
            <w:r>
              <w:rPr>
                <w:rFonts w:eastAsia="MS Mincho"/>
              </w:rPr>
              <w:t>Any adverse events</w:t>
            </w:r>
          </w:p>
        </w:tc>
        <w:tc>
          <w:tcPr>
            <w:tcW w:w="850" w:type="pct"/>
            <w:shd w:val="clear" w:color="auto" w:fill="auto"/>
            <w:tcMar>
              <w:left w:w="28" w:type="dxa"/>
              <w:right w:w="28" w:type="dxa"/>
            </w:tcMar>
            <w:vAlign w:val="center"/>
          </w:tcPr>
          <w:p w14:paraId="0E9F7B7F" w14:textId="77777777" w:rsidR="003B5B2D" w:rsidRDefault="003B5B2D" w:rsidP="003B5B2D">
            <w:pPr>
              <w:pStyle w:val="Tablewriting"/>
              <w:keepNext/>
              <w:jc w:val="center"/>
              <w:rPr>
                <w:rFonts w:eastAsia="MS Mincho"/>
              </w:rPr>
            </w:pPr>
            <w:r>
              <w:rPr>
                <w:rFonts w:eastAsia="MS Mincho"/>
              </w:rPr>
              <w:t>193/275</w:t>
            </w:r>
          </w:p>
          <w:p w14:paraId="17515DE1" w14:textId="77777777" w:rsidR="003B5B2D" w:rsidRDefault="003B5B2D" w:rsidP="003B5B2D">
            <w:pPr>
              <w:pStyle w:val="Tablewriting"/>
              <w:keepNext/>
              <w:jc w:val="center"/>
              <w:rPr>
                <w:rFonts w:eastAsia="MS Mincho"/>
              </w:rPr>
            </w:pPr>
            <w:r>
              <w:rPr>
                <w:rFonts w:eastAsia="MS Mincho"/>
              </w:rPr>
              <w:t>(70.2%)</w:t>
            </w:r>
          </w:p>
        </w:tc>
        <w:tc>
          <w:tcPr>
            <w:tcW w:w="851" w:type="pct"/>
            <w:shd w:val="clear" w:color="auto" w:fill="auto"/>
            <w:tcMar>
              <w:left w:w="28" w:type="dxa"/>
              <w:right w:w="28" w:type="dxa"/>
            </w:tcMar>
            <w:vAlign w:val="center"/>
          </w:tcPr>
          <w:p w14:paraId="278B30B2" w14:textId="699CABB0" w:rsidR="003B5B2D" w:rsidRDefault="003B5B2D" w:rsidP="003B5B2D">
            <w:pPr>
              <w:pStyle w:val="Tablewriting"/>
              <w:keepNext/>
              <w:jc w:val="center"/>
              <w:rPr>
                <w:rFonts w:eastAsia="MS Mincho"/>
              </w:rPr>
            </w:pPr>
            <w:r>
              <w:rPr>
                <w:rFonts w:eastAsia="MS Mincho"/>
              </w:rPr>
              <w:t>175/273</w:t>
            </w:r>
          </w:p>
          <w:p w14:paraId="21D7D9BC" w14:textId="41629AE5" w:rsidR="003B5B2D" w:rsidRDefault="003B5B2D" w:rsidP="003B5B2D">
            <w:pPr>
              <w:pStyle w:val="Tablewriting"/>
              <w:keepNext/>
              <w:jc w:val="center"/>
              <w:rPr>
                <w:rFonts w:eastAsia="MS Mincho"/>
              </w:rPr>
            </w:pPr>
            <w:r>
              <w:rPr>
                <w:rFonts w:eastAsia="MS Mincho"/>
              </w:rPr>
              <w:t>(64.1%)</w:t>
            </w:r>
          </w:p>
        </w:tc>
        <w:tc>
          <w:tcPr>
            <w:tcW w:w="851" w:type="pct"/>
            <w:shd w:val="clear" w:color="auto" w:fill="auto"/>
            <w:tcMar>
              <w:left w:w="28" w:type="dxa"/>
              <w:right w:w="28" w:type="dxa"/>
            </w:tcMar>
          </w:tcPr>
          <w:p w14:paraId="5724C30D" w14:textId="77777777" w:rsidR="003B5B2D" w:rsidRDefault="003B5B2D" w:rsidP="003B5B2D">
            <w:pPr>
              <w:pStyle w:val="Tablewriting"/>
              <w:jc w:val="center"/>
            </w:pPr>
            <w:r w:rsidRPr="00034663">
              <w:t xml:space="preserve">1.09 </w:t>
            </w:r>
          </w:p>
          <w:p w14:paraId="5F027F25" w14:textId="1773F904" w:rsidR="003B5B2D" w:rsidRPr="00AB53C1" w:rsidRDefault="003B5B2D" w:rsidP="003B5B2D">
            <w:pPr>
              <w:pStyle w:val="Tablewriting"/>
              <w:jc w:val="center"/>
              <w:rPr>
                <w:rFonts w:eastAsia="MS Mincho"/>
              </w:rPr>
            </w:pPr>
            <w:r w:rsidRPr="00034663">
              <w:t>(0.97, 1.23)</w:t>
            </w:r>
          </w:p>
        </w:tc>
        <w:tc>
          <w:tcPr>
            <w:tcW w:w="807" w:type="pct"/>
            <w:shd w:val="clear" w:color="auto" w:fill="auto"/>
          </w:tcPr>
          <w:p w14:paraId="649FF5E1" w14:textId="77777777" w:rsidR="003B5B2D" w:rsidRDefault="003B5B2D" w:rsidP="003B5B2D">
            <w:pPr>
              <w:pStyle w:val="Tablewriting"/>
              <w:jc w:val="center"/>
            </w:pPr>
            <w:r w:rsidRPr="00034663">
              <w:t xml:space="preserve">0.06 </w:t>
            </w:r>
          </w:p>
          <w:p w14:paraId="5D324730" w14:textId="093F8362" w:rsidR="003B5B2D" w:rsidRPr="00AB53C1" w:rsidRDefault="003B5B2D" w:rsidP="003B5B2D">
            <w:pPr>
              <w:pStyle w:val="Tablewriting"/>
              <w:jc w:val="center"/>
              <w:rPr>
                <w:rFonts w:eastAsia="MS Mincho"/>
              </w:rPr>
            </w:pPr>
            <w:r w:rsidRPr="00034663">
              <w:t>(-0.02, 0.14)</w:t>
            </w:r>
          </w:p>
        </w:tc>
      </w:tr>
      <w:tr w:rsidR="003B5B2D" w:rsidRPr="00061F78" w14:paraId="182CB3EB" w14:textId="77777777" w:rsidTr="00017C8C">
        <w:trPr>
          <w:cantSplit/>
          <w:trHeight w:val="149"/>
        </w:trPr>
        <w:tc>
          <w:tcPr>
            <w:tcW w:w="1641" w:type="pct"/>
            <w:tcMar>
              <w:left w:w="28" w:type="dxa"/>
              <w:right w:w="28" w:type="dxa"/>
            </w:tcMar>
          </w:tcPr>
          <w:p w14:paraId="3363FFBC" w14:textId="77777777" w:rsidR="003B5B2D" w:rsidRDefault="003B5B2D" w:rsidP="003B5B2D">
            <w:pPr>
              <w:pStyle w:val="Tablewriting"/>
              <w:keepNext/>
              <w:rPr>
                <w:rFonts w:eastAsia="MS Mincho"/>
              </w:rPr>
            </w:pPr>
            <w:r>
              <w:rPr>
                <w:rFonts w:eastAsia="MS Mincho"/>
              </w:rPr>
              <w:t xml:space="preserve">     Nausea</w:t>
            </w:r>
          </w:p>
        </w:tc>
        <w:tc>
          <w:tcPr>
            <w:tcW w:w="850" w:type="pct"/>
            <w:tcMar>
              <w:left w:w="28" w:type="dxa"/>
              <w:right w:w="28" w:type="dxa"/>
            </w:tcMar>
            <w:vAlign w:val="center"/>
          </w:tcPr>
          <w:p w14:paraId="1E56AA0A" w14:textId="77777777" w:rsidR="003B5B2D" w:rsidRDefault="003B5B2D" w:rsidP="003B5B2D">
            <w:pPr>
              <w:pStyle w:val="Tablewriting"/>
              <w:keepNext/>
              <w:jc w:val="center"/>
              <w:rPr>
                <w:rFonts w:eastAsia="MS Mincho"/>
              </w:rPr>
            </w:pPr>
            <w:r>
              <w:rPr>
                <w:rFonts w:eastAsia="MS Mincho"/>
              </w:rPr>
              <w:t>53/275</w:t>
            </w:r>
          </w:p>
          <w:p w14:paraId="7DC5F3D5" w14:textId="77777777" w:rsidR="003B5B2D" w:rsidRDefault="003B5B2D" w:rsidP="003B5B2D">
            <w:pPr>
              <w:pStyle w:val="Tablewriting"/>
              <w:keepNext/>
              <w:jc w:val="center"/>
              <w:rPr>
                <w:rFonts w:eastAsia="MS Mincho"/>
              </w:rPr>
            </w:pPr>
            <w:r>
              <w:rPr>
                <w:rFonts w:eastAsia="MS Mincho"/>
              </w:rPr>
              <w:t>(19.3%)</w:t>
            </w:r>
          </w:p>
        </w:tc>
        <w:tc>
          <w:tcPr>
            <w:tcW w:w="851" w:type="pct"/>
            <w:tcMar>
              <w:left w:w="28" w:type="dxa"/>
              <w:right w:w="28" w:type="dxa"/>
            </w:tcMar>
            <w:vAlign w:val="center"/>
          </w:tcPr>
          <w:p w14:paraId="2E28270B" w14:textId="0450A822" w:rsidR="003B5B2D" w:rsidRDefault="003B5B2D" w:rsidP="003B5B2D">
            <w:pPr>
              <w:pStyle w:val="Tablewriting"/>
              <w:keepNext/>
              <w:jc w:val="center"/>
              <w:rPr>
                <w:rFonts w:eastAsia="MS Mincho"/>
              </w:rPr>
            </w:pPr>
            <w:r>
              <w:rPr>
                <w:rFonts w:eastAsia="MS Mincho"/>
              </w:rPr>
              <w:t>59/273</w:t>
            </w:r>
          </w:p>
          <w:p w14:paraId="556EA3CA" w14:textId="0662480A" w:rsidR="003B5B2D" w:rsidRDefault="003B5B2D" w:rsidP="003B5B2D">
            <w:pPr>
              <w:pStyle w:val="Tablewriting"/>
              <w:keepNext/>
              <w:jc w:val="center"/>
              <w:rPr>
                <w:rFonts w:eastAsia="MS Mincho"/>
              </w:rPr>
            </w:pPr>
            <w:r>
              <w:rPr>
                <w:rFonts w:eastAsia="MS Mincho"/>
              </w:rPr>
              <w:t>(21.6%)</w:t>
            </w:r>
          </w:p>
        </w:tc>
        <w:tc>
          <w:tcPr>
            <w:tcW w:w="851" w:type="pct"/>
            <w:tcMar>
              <w:left w:w="28" w:type="dxa"/>
              <w:right w:w="28" w:type="dxa"/>
            </w:tcMar>
          </w:tcPr>
          <w:p w14:paraId="318FBB1A" w14:textId="77777777" w:rsidR="003B5B2D" w:rsidRDefault="003B5B2D" w:rsidP="003B5B2D">
            <w:pPr>
              <w:pStyle w:val="Tablewriting"/>
              <w:jc w:val="center"/>
            </w:pPr>
            <w:r w:rsidRPr="00034663">
              <w:t xml:space="preserve">0.89 </w:t>
            </w:r>
          </w:p>
          <w:p w14:paraId="43A7CB2D" w14:textId="385BB732" w:rsidR="003B5B2D" w:rsidRPr="00AB53C1" w:rsidRDefault="003B5B2D" w:rsidP="003B5B2D">
            <w:pPr>
              <w:pStyle w:val="Tablewriting"/>
              <w:jc w:val="center"/>
              <w:rPr>
                <w:rFonts w:eastAsia="MS Mincho"/>
                <w:b/>
                <w:bCs/>
              </w:rPr>
            </w:pPr>
            <w:r w:rsidRPr="00034663">
              <w:t>(0.64, 1.24)</w:t>
            </w:r>
          </w:p>
        </w:tc>
        <w:tc>
          <w:tcPr>
            <w:tcW w:w="807" w:type="pct"/>
          </w:tcPr>
          <w:p w14:paraId="4C9580B3" w14:textId="77777777" w:rsidR="003B5B2D" w:rsidRDefault="003B5B2D" w:rsidP="003B5B2D">
            <w:pPr>
              <w:pStyle w:val="Tablewriting"/>
              <w:jc w:val="center"/>
            </w:pPr>
            <w:r w:rsidRPr="00034663">
              <w:t xml:space="preserve">-0.02 </w:t>
            </w:r>
          </w:p>
          <w:p w14:paraId="4D1ACCB9" w14:textId="67A8AA2D" w:rsidR="003B5B2D" w:rsidRPr="00AB53C1" w:rsidRDefault="003B5B2D" w:rsidP="003B5B2D">
            <w:pPr>
              <w:pStyle w:val="Tablewriting"/>
              <w:jc w:val="center"/>
              <w:rPr>
                <w:rFonts w:eastAsia="MS Mincho"/>
                <w:b/>
                <w:bCs/>
              </w:rPr>
            </w:pPr>
            <w:r w:rsidRPr="00034663">
              <w:t>(-0.09, 0.04)</w:t>
            </w:r>
          </w:p>
        </w:tc>
      </w:tr>
      <w:tr w:rsidR="003B5B2D" w:rsidRPr="00061F78" w14:paraId="2EE1B491" w14:textId="77777777" w:rsidTr="00017C8C">
        <w:trPr>
          <w:cantSplit/>
          <w:trHeight w:val="149"/>
        </w:trPr>
        <w:tc>
          <w:tcPr>
            <w:tcW w:w="1641" w:type="pct"/>
            <w:tcMar>
              <w:left w:w="28" w:type="dxa"/>
              <w:right w:w="28" w:type="dxa"/>
            </w:tcMar>
          </w:tcPr>
          <w:p w14:paraId="05FF08A1" w14:textId="77777777" w:rsidR="003B5B2D" w:rsidRDefault="003B5B2D" w:rsidP="003B5B2D">
            <w:pPr>
              <w:pStyle w:val="Tablewriting"/>
              <w:keepNext/>
              <w:rPr>
                <w:rFonts w:eastAsia="MS Mincho"/>
              </w:rPr>
            </w:pPr>
            <w:r>
              <w:rPr>
                <w:rFonts w:eastAsia="MS Mincho"/>
              </w:rPr>
              <w:t xml:space="preserve">     Vomiting</w:t>
            </w:r>
          </w:p>
        </w:tc>
        <w:tc>
          <w:tcPr>
            <w:tcW w:w="850" w:type="pct"/>
            <w:tcMar>
              <w:left w:w="28" w:type="dxa"/>
              <w:right w:w="28" w:type="dxa"/>
            </w:tcMar>
            <w:vAlign w:val="center"/>
          </w:tcPr>
          <w:p w14:paraId="23FABC31" w14:textId="77777777" w:rsidR="003B5B2D" w:rsidRDefault="003B5B2D" w:rsidP="003B5B2D">
            <w:pPr>
              <w:pStyle w:val="Tablewriting"/>
              <w:keepNext/>
              <w:jc w:val="center"/>
              <w:rPr>
                <w:rFonts w:eastAsia="MS Mincho"/>
              </w:rPr>
            </w:pPr>
            <w:r>
              <w:rPr>
                <w:rFonts w:eastAsia="MS Mincho"/>
              </w:rPr>
              <w:t>28/275</w:t>
            </w:r>
          </w:p>
          <w:p w14:paraId="65126403" w14:textId="77777777" w:rsidR="003B5B2D" w:rsidRDefault="003B5B2D" w:rsidP="003B5B2D">
            <w:pPr>
              <w:pStyle w:val="Tablewriting"/>
              <w:keepNext/>
              <w:jc w:val="center"/>
              <w:rPr>
                <w:rFonts w:eastAsia="MS Mincho"/>
              </w:rPr>
            </w:pPr>
            <w:r>
              <w:rPr>
                <w:rFonts w:eastAsia="MS Mincho"/>
              </w:rPr>
              <w:t>(10.2%)</w:t>
            </w:r>
          </w:p>
        </w:tc>
        <w:tc>
          <w:tcPr>
            <w:tcW w:w="851" w:type="pct"/>
            <w:tcMar>
              <w:left w:w="28" w:type="dxa"/>
              <w:right w:w="28" w:type="dxa"/>
            </w:tcMar>
            <w:vAlign w:val="center"/>
          </w:tcPr>
          <w:p w14:paraId="0D93BA7C" w14:textId="2DA77D60" w:rsidR="003B5B2D" w:rsidRDefault="003B5B2D" w:rsidP="003B5B2D">
            <w:pPr>
              <w:pStyle w:val="Tablewriting"/>
              <w:keepNext/>
              <w:jc w:val="center"/>
              <w:rPr>
                <w:rFonts w:eastAsia="MS Mincho"/>
              </w:rPr>
            </w:pPr>
            <w:r>
              <w:rPr>
                <w:rFonts w:eastAsia="MS Mincho"/>
              </w:rPr>
              <w:t>27/273</w:t>
            </w:r>
          </w:p>
          <w:p w14:paraId="7765D008" w14:textId="3EE9B714" w:rsidR="003B5B2D" w:rsidRDefault="003B5B2D" w:rsidP="003B5B2D">
            <w:pPr>
              <w:pStyle w:val="Tablewriting"/>
              <w:keepNext/>
              <w:jc w:val="center"/>
              <w:rPr>
                <w:rFonts w:eastAsia="MS Mincho"/>
              </w:rPr>
            </w:pPr>
            <w:r>
              <w:rPr>
                <w:rFonts w:eastAsia="MS Mincho"/>
              </w:rPr>
              <w:t>(9.9%)</w:t>
            </w:r>
          </w:p>
        </w:tc>
        <w:tc>
          <w:tcPr>
            <w:tcW w:w="851" w:type="pct"/>
            <w:tcMar>
              <w:left w:w="28" w:type="dxa"/>
              <w:right w:w="28" w:type="dxa"/>
            </w:tcMar>
          </w:tcPr>
          <w:p w14:paraId="778A0289" w14:textId="77777777" w:rsidR="003B5B2D" w:rsidRDefault="003B5B2D" w:rsidP="003B5B2D">
            <w:pPr>
              <w:pStyle w:val="Tablewriting"/>
              <w:jc w:val="center"/>
            </w:pPr>
            <w:r w:rsidRPr="00034663">
              <w:t xml:space="preserve">1.03 </w:t>
            </w:r>
          </w:p>
          <w:p w14:paraId="209A258B" w14:textId="7209A84A" w:rsidR="003B5B2D" w:rsidRPr="00AB53C1" w:rsidRDefault="003B5B2D" w:rsidP="003B5B2D">
            <w:pPr>
              <w:pStyle w:val="Tablewriting"/>
              <w:jc w:val="center"/>
              <w:rPr>
                <w:rFonts w:eastAsia="MS Mincho"/>
              </w:rPr>
            </w:pPr>
            <w:r w:rsidRPr="00034663">
              <w:t>(0.62, 1.70)</w:t>
            </w:r>
          </w:p>
        </w:tc>
        <w:tc>
          <w:tcPr>
            <w:tcW w:w="807" w:type="pct"/>
          </w:tcPr>
          <w:p w14:paraId="5DDE685C" w14:textId="77777777" w:rsidR="003B5B2D" w:rsidRDefault="003B5B2D" w:rsidP="003B5B2D">
            <w:pPr>
              <w:pStyle w:val="Tablewriting"/>
              <w:jc w:val="center"/>
            </w:pPr>
            <w:r w:rsidRPr="00034663">
              <w:t xml:space="preserve">0.00 </w:t>
            </w:r>
          </w:p>
          <w:p w14:paraId="75BEAC37" w14:textId="1E7732A3" w:rsidR="003B5B2D" w:rsidRPr="00AB53C1" w:rsidRDefault="003B5B2D" w:rsidP="003B5B2D">
            <w:pPr>
              <w:pStyle w:val="Tablewriting"/>
              <w:jc w:val="center"/>
              <w:rPr>
                <w:rFonts w:eastAsia="MS Mincho"/>
              </w:rPr>
            </w:pPr>
            <w:r w:rsidRPr="00034663">
              <w:t>(-0.05, 0.05)</w:t>
            </w:r>
          </w:p>
        </w:tc>
      </w:tr>
      <w:tr w:rsidR="003B5B2D" w:rsidRPr="00061F78" w14:paraId="03D031A8" w14:textId="77777777" w:rsidTr="00017C8C">
        <w:trPr>
          <w:cantSplit/>
          <w:trHeight w:val="149"/>
        </w:trPr>
        <w:tc>
          <w:tcPr>
            <w:tcW w:w="1641" w:type="pct"/>
            <w:tcMar>
              <w:left w:w="28" w:type="dxa"/>
              <w:right w:w="28" w:type="dxa"/>
            </w:tcMar>
          </w:tcPr>
          <w:p w14:paraId="23D8D873" w14:textId="77777777" w:rsidR="003B5B2D" w:rsidRDefault="003B5B2D" w:rsidP="003B5B2D">
            <w:pPr>
              <w:pStyle w:val="Tablewriting"/>
              <w:keepNext/>
              <w:rPr>
                <w:rFonts w:eastAsia="MS Mincho"/>
              </w:rPr>
            </w:pPr>
            <w:r>
              <w:rPr>
                <w:rFonts w:eastAsia="MS Mincho"/>
              </w:rPr>
              <w:t xml:space="preserve">     Headache</w:t>
            </w:r>
          </w:p>
        </w:tc>
        <w:tc>
          <w:tcPr>
            <w:tcW w:w="850" w:type="pct"/>
            <w:tcMar>
              <w:left w:w="28" w:type="dxa"/>
              <w:right w:w="28" w:type="dxa"/>
            </w:tcMar>
            <w:vAlign w:val="center"/>
          </w:tcPr>
          <w:p w14:paraId="50F468FA" w14:textId="77777777" w:rsidR="003B5B2D" w:rsidRDefault="003B5B2D" w:rsidP="003B5B2D">
            <w:pPr>
              <w:pStyle w:val="Tablewriting"/>
              <w:keepNext/>
              <w:jc w:val="center"/>
              <w:rPr>
                <w:rFonts w:eastAsia="MS Mincho"/>
              </w:rPr>
            </w:pPr>
            <w:r>
              <w:rPr>
                <w:rFonts w:eastAsia="MS Mincho"/>
              </w:rPr>
              <w:t>81/275</w:t>
            </w:r>
          </w:p>
          <w:p w14:paraId="4B6C174F" w14:textId="77777777" w:rsidR="003B5B2D" w:rsidRDefault="003B5B2D" w:rsidP="003B5B2D">
            <w:pPr>
              <w:pStyle w:val="Tablewriting"/>
              <w:keepNext/>
              <w:jc w:val="center"/>
              <w:rPr>
                <w:rFonts w:eastAsia="MS Mincho"/>
              </w:rPr>
            </w:pPr>
            <w:r>
              <w:rPr>
                <w:rFonts w:eastAsia="MS Mincho"/>
              </w:rPr>
              <w:t>(29.5%)</w:t>
            </w:r>
          </w:p>
        </w:tc>
        <w:tc>
          <w:tcPr>
            <w:tcW w:w="851" w:type="pct"/>
            <w:tcMar>
              <w:left w:w="28" w:type="dxa"/>
              <w:right w:w="28" w:type="dxa"/>
            </w:tcMar>
            <w:vAlign w:val="center"/>
          </w:tcPr>
          <w:p w14:paraId="0CC71F66" w14:textId="01B05566" w:rsidR="003B5B2D" w:rsidRDefault="003B5B2D" w:rsidP="003B5B2D">
            <w:pPr>
              <w:pStyle w:val="Tablewriting"/>
              <w:keepNext/>
              <w:jc w:val="center"/>
              <w:rPr>
                <w:rFonts w:eastAsia="MS Mincho"/>
              </w:rPr>
            </w:pPr>
            <w:r>
              <w:rPr>
                <w:rFonts w:eastAsia="MS Mincho"/>
              </w:rPr>
              <w:t>71/273</w:t>
            </w:r>
          </w:p>
          <w:p w14:paraId="4E0C3C88" w14:textId="6B1B82B4" w:rsidR="003B5B2D" w:rsidRDefault="003B5B2D" w:rsidP="003B5B2D">
            <w:pPr>
              <w:pStyle w:val="Tablewriting"/>
              <w:keepNext/>
              <w:jc w:val="center"/>
              <w:rPr>
                <w:rFonts w:eastAsia="MS Mincho"/>
              </w:rPr>
            </w:pPr>
            <w:r>
              <w:rPr>
                <w:rFonts w:eastAsia="MS Mincho"/>
              </w:rPr>
              <w:t>(26.0%)</w:t>
            </w:r>
          </w:p>
        </w:tc>
        <w:tc>
          <w:tcPr>
            <w:tcW w:w="851" w:type="pct"/>
            <w:tcMar>
              <w:left w:w="28" w:type="dxa"/>
              <w:right w:w="28" w:type="dxa"/>
            </w:tcMar>
          </w:tcPr>
          <w:p w14:paraId="2ADE5A9F" w14:textId="77777777" w:rsidR="003B5B2D" w:rsidRDefault="003B5B2D" w:rsidP="003B5B2D">
            <w:pPr>
              <w:pStyle w:val="Tablewriting"/>
              <w:jc w:val="center"/>
            </w:pPr>
            <w:r w:rsidRPr="00034663">
              <w:t xml:space="preserve">1.13 </w:t>
            </w:r>
          </w:p>
          <w:p w14:paraId="7BD14B06" w14:textId="04903217" w:rsidR="003B5B2D" w:rsidRPr="00AB53C1" w:rsidRDefault="003B5B2D" w:rsidP="003B5B2D">
            <w:pPr>
              <w:pStyle w:val="Tablewriting"/>
              <w:jc w:val="center"/>
              <w:rPr>
                <w:rFonts w:eastAsia="MS Mincho"/>
              </w:rPr>
            </w:pPr>
            <w:r w:rsidRPr="00034663">
              <w:t>(0.86, 1.49)</w:t>
            </w:r>
          </w:p>
        </w:tc>
        <w:tc>
          <w:tcPr>
            <w:tcW w:w="807" w:type="pct"/>
          </w:tcPr>
          <w:p w14:paraId="6A7CAB8C" w14:textId="77777777" w:rsidR="003B5B2D" w:rsidRDefault="003B5B2D" w:rsidP="003B5B2D">
            <w:pPr>
              <w:pStyle w:val="Tablewriting"/>
              <w:jc w:val="center"/>
            </w:pPr>
            <w:r w:rsidRPr="00034663">
              <w:t xml:space="preserve">0.03 </w:t>
            </w:r>
          </w:p>
          <w:p w14:paraId="31C23DF8" w14:textId="385686C3" w:rsidR="003B5B2D" w:rsidRPr="00AB53C1" w:rsidRDefault="003B5B2D" w:rsidP="003B5B2D">
            <w:pPr>
              <w:pStyle w:val="Tablewriting"/>
              <w:jc w:val="center"/>
              <w:rPr>
                <w:rFonts w:eastAsia="MS Mincho"/>
              </w:rPr>
            </w:pPr>
            <w:r w:rsidRPr="00034663">
              <w:t>(-0.04, 0.11)</w:t>
            </w:r>
          </w:p>
        </w:tc>
      </w:tr>
      <w:tr w:rsidR="003B5B2D" w:rsidRPr="00061F78" w14:paraId="4FCCE1E2" w14:textId="77777777" w:rsidTr="00017C8C">
        <w:trPr>
          <w:cantSplit/>
          <w:trHeight w:val="149"/>
        </w:trPr>
        <w:tc>
          <w:tcPr>
            <w:tcW w:w="1641" w:type="pct"/>
            <w:tcMar>
              <w:left w:w="28" w:type="dxa"/>
              <w:right w:w="28" w:type="dxa"/>
            </w:tcMar>
          </w:tcPr>
          <w:p w14:paraId="650DB659" w14:textId="77777777" w:rsidR="003B5B2D" w:rsidRDefault="003B5B2D" w:rsidP="003B5B2D">
            <w:pPr>
              <w:pStyle w:val="Tablewriting"/>
              <w:keepNext/>
              <w:rPr>
                <w:rFonts w:eastAsia="MS Mincho"/>
              </w:rPr>
            </w:pPr>
            <w:r>
              <w:rPr>
                <w:rFonts w:eastAsia="MS Mincho"/>
              </w:rPr>
              <w:t xml:space="preserve">     Rapid, slow, pounding or </w:t>
            </w:r>
          </w:p>
          <w:p w14:paraId="5A1956A3" w14:textId="77777777" w:rsidR="003B5B2D" w:rsidRDefault="003B5B2D" w:rsidP="003B5B2D">
            <w:pPr>
              <w:pStyle w:val="Tablewriting"/>
              <w:keepNext/>
              <w:rPr>
                <w:rFonts w:eastAsia="MS Mincho"/>
              </w:rPr>
            </w:pPr>
            <w:r>
              <w:rPr>
                <w:rFonts w:eastAsia="MS Mincho"/>
              </w:rPr>
              <w:t xml:space="preserve">     irregular heartbeat</w:t>
            </w:r>
          </w:p>
        </w:tc>
        <w:tc>
          <w:tcPr>
            <w:tcW w:w="850" w:type="pct"/>
            <w:tcMar>
              <w:left w:w="28" w:type="dxa"/>
              <w:right w:w="28" w:type="dxa"/>
            </w:tcMar>
            <w:vAlign w:val="center"/>
          </w:tcPr>
          <w:p w14:paraId="191D910C" w14:textId="77777777" w:rsidR="003B5B2D" w:rsidRDefault="003B5B2D" w:rsidP="003B5B2D">
            <w:pPr>
              <w:pStyle w:val="Tablewriting"/>
              <w:keepNext/>
              <w:jc w:val="center"/>
              <w:rPr>
                <w:rFonts w:eastAsia="MS Mincho"/>
              </w:rPr>
            </w:pPr>
            <w:r>
              <w:rPr>
                <w:rFonts w:eastAsia="MS Mincho"/>
              </w:rPr>
              <w:t>27/275</w:t>
            </w:r>
          </w:p>
          <w:p w14:paraId="1E522711" w14:textId="77777777" w:rsidR="003B5B2D" w:rsidRDefault="003B5B2D" w:rsidP="003B5B2D">
            <w:pPr>
              <w:pStyle w:val="Tablewriting"/>
              <w:keepNext/>
              <w:jc w:val="center"/>
              <w:rPr>
                <w:rFonts w:eastAsia="MS Mincho"/>
              </w:rPr>
            </w:pPr>
            <w:r>
              <w:rPr>
                <w:rFonts w:eastAsia="MS Mincho"/>
              </w:rPr>
              <w:t>(9.8%)</w:t>
            </w:r>
          </w:p>
        </w:tc>
        <w:tc>
          <w:tcPr>
            <w:tcW w:w="851" w:type="pct"/>
            <w:tcMar>
              <w:left w:w="28" w:type="dxa"/>
              <w:right w:w="28" w:type="dxa"/>
            </w:tcMar>
            <w:vAlign w:val="center"/>
          </w:tcPr>
          <w:p w14:paraId="50B1895F" w14:textId="593964FD" w:rsidR="003B5B2D" w:rsidRDefault="003B5B2D" w:rsidP="003B5B2D">
            <w:pPr>
              <w:pStyle w:val="Tablewriting"/>
              <w:keepNext/>
              <w:jc w:val="center"/>
              <w:rPr>
                <w:rFonts w:eastAsia="MS Mincho"/>
              </w:rPr>
            </w:pPr>
            <w:r>
              <w:rPr>
                <w:rFonts w:eastAsia="MS Mincho"/>
              </w:rPr>
              <w:t>17/273</w:t>
            </w:r>
          </w:p>
          <w:p w14:paraId="45EFE551" w14:textId="53A5BF3D" w:rsidR="003B5B2D" w:rsidRDefault="003B5B2D" w:rsidP="003B5B2D">
            <w:pPr>
              <w:pStyle w:val="Tablewriting"/>
              <w:keepNext/>
              <w:jc w:val="center"/>
              <w:rPr>
                <w:rFonts w:eastAsia="MS Mincho"/>
              </w:rPr>
            </w:pPr>
            <w:r>
              <w:rPr>
                <w:rFonts w:eastAsia="MS Mincho"/>
              </w:rPr>
              <w:t>(6.2%)</w:t>
            </w:r>
          </w:p>
        </w:tc>
        <w:tc>
          <w:tcPr>
            <w:tcW w:w="851" w:type="pct"/>
            <w:tcMar>
              <w:left w:w="28" w:type="dxa"/>
              <w:right w:w="28" w:type="dxa"/>
            </w:tcMar>
          </w:tcPr>
          <w:p w14:paraId="5FD80C5E" w14:textId="77777777" w:rsidR="003B5B2D" w:rsidRDefault="003B5B2D" w:rsidP="003B5B2D">
            <w:pPr>
              <w:pStyle w:val="Tablewriting"/>
              <w:jc w:val="center"/>
            </w:pPr>
            <w:r w:rsidRPr="00034663">
              <w:t xml:space="preserve">1.58 </w:t>
            </w:r>
          </w:p>
          <w:p w14:paraId="08D43C00" w14:textId="2F475D6E" w:rsidR="003B5B2D" w:rsidRPr="00AB53C1" w:rsidRDefault="003B5B2D" w:rsidP="003B5B2D">
            <w:pPr>
              <w:pStyle w:val="Tablewriting"/>
              <w:jc w:val="center"/>
              <w:rPr>
                <w:rFonts w:eastAsia="MS Mincho"/>
              </w:rPr>
            </w:pPr>
            <w:r w:rsidRPr="00034663">
              <w:t>(0.88, 2.83)</w:t>
            </w:r>
          </w:p>
        </w:tc>
        <w:tc>
          <w:tcPr>
            <w:tcW w:w="807" w:type="pct"/>
          </w:tcPr>
          <w:p w14:paraId="3A49A653" w14:textId="77777777" w:rsidR="003B5B2D" w:rsidRDefault="003B5B2D" w:rsidP="003B5B2D">
            <w:pPr>
              <w:pStyle w:val="Tablewriting"/>
              <w:jc w:val="center"/>
            </w:pPr>
            <w:r w:rsidRPr="00034663">
              <w:t xml:space="preserve">0.04 </w:t>
            </w:r>
          </w:p>
          <w:p w14:paraId="34377D40" w14:textId="4BCE095A" w:rsidR="003B5B2D" w:rsidRPr="00AB53C1" w:rsidRDefault="003B5B2D" w:rsidP="003B5B2D">
            <w:pPr>
              <w:pStyle w:val="Tablewriting"/>
              <w:jc w:val="center"/>
              <w:rPr>
                <w:rFonts w:eastAsia="MS Mincho"/>
              </w:rPr>
            </w:pPr>
            <w:r w:rsidRPr="00034663">
              <w:t>(-0.01, 0.08)</w:t>
            </w:r>
          </w:p>
        </w:tc>
      </w:tr>
      <w:tr w:rsidR="003B5B2D" w:rsidRPr="00061F78" w14:paraId="00132B55" w14:textId="77777777" w:rsidTr="00017C8C">
        <w:trPr>
          <w:cantSplit/>
          <w:trHeight w:val="149"/>
        </w:trPr>
        <w:tc>
          <w:tcPr>
            <w:tcW w:w="1641" w:type="pct"/>
            <w:tcMar>
              <w:left w:w="28" w:type="dxa"/>
              <w:right w:w="28" w:type="dxa"/>
            </w:tcMar>
          </w:tcPr>
          <w:p w14:paraId="02026895" w14:textId="77777777" w:rsidR="003B5B2D" w:rsidRDefault="003B5B2D" w:rsidP="003B5B2D">
            <w:pPr>
              <w:pStyle w:val="Tablewriting"/>
              <w:keepNext/>
              <w:rPr>
                <w:rFonts w:eastAsia="MS Mincho"/>
              </w:rPr>
            </w:pPr>
            <w:r>
              <w:rPr>
                <w:rFonts w:eastAsia="MS Mincho"/>
              </w:rPr>
              <w:t xml:space="preserve">     Insomnia</w:t>
            </w:r>
          </w:p>
        </w:tc>
        <w:tc>
          <w:tcPr>
            <w:tcW w:w="850" w:type="pct"/>
            <w:tcMar>
              <w:left w:w="28" w:type="dxa"/>
              <w:right w:w="28" w:type="dxa"/>
            </w:tcMar>
            <w:vAlign w:val="center"/>
          </w:tcPr>
          <w:p w14:paraId="3172C890" w14:textId="77777777" w:rsidR="003B5B2D" w:rsidRDefault="003B5B2D" w:rsidP="003B5B2D">
            <w:pPr>
              <w:pStyle w:val="Tablewriting"/>
              <w:keepNext/>
              <w:jc w:val="center"/>
              <w:rPr>
                <w:rFonts w:eastAsia="MS Mincho"/>
              </w:rPr>
            </w:pPr>
            <w:r>
              <w:rPr>
                <w:rFonts w:eastAsia="MS Mincho"/>
              </w:rPr>
              <w:t>49/275</w:t>
            </w:r>
          </w:p>
          <w:p w14:paraId="1B850B24" w14:textId="77777777" w:rsidR="003B5B2D" w:rsidRDefault="003B5B2D" w:rsidP="003B5B2D">
            <w:pPr>
              <w:pStyle w:val="Tablewriting"/>
              <w:keepNext/>
              <w:jc w:val="center"/>
              <w:rPr>
                <w:rFonts w:eastAsia="MS Mincho"/>
              </w:rPr>
            </w:pPr>
            <w:r>
              <w:rPr>
                <w:rFonts w:eastAsia="MS Mincho"/>
              </w:rPr>
              <w:t>(17.8%)</w:t>
            </w:r>
          </w:p>
        </w:tc>
        <w:tc>
          <w:tcPr>
            <w:tcW w:w="851" w:type="pct"/>
            <w:tcMar>
              <w:left w:w="28" w:type="dxa"/>
              <w:right w:w="28" w:type="dxa"/>
            </w:tcMar>
            <w:vAlign w:val="center"/>
          </w:tcPr>
          <w:p w14:paraId="5A0931DA" w14:textId="144A2254" w:rsidR="003B5B2D" w:rsidRDefault="003B5B2D" w:rsidP="003B5B2D">
            <w:pPr>
              <w:pStyle w:val="Tablewriting"/>
              <w:keepNext/>
              <w:jc w:val="center"/>
              <w:rPr>
                <w:rFonts w:eastAsia="MS Mincho"/>
              </w:rPr>
            </w:pPr>
            <w:r>
              <w:rPr>
                <w:rFonts w:eastAsia="MS Mincho"/>
              </w:rPr>
              <w:t>42/273</w:t>
            </w:r>
          </w:p>
          <w:p w14:paraId="2DCA66DE" w14:textId="3D76EE32" w:rsidR="003B5B2D" w:rsidRDefault="003B5B2D" w:rsidP="003B5B2D">
            <w:pPr>
              <w:pStyle w:val="Tablewriting"/>
              <w:keepNext/>
              <w:jc w:val="center"/>
              <w:rPr>
                <w:rFonts w:eastAsia="MS Mincho"/>
              </w:rPr>
            </w:pPr>
            <w:r>
              <w:rPr>
                <w:rFonts w:eastAsia="MS Mincho"/>
              </w:rPr>
              <w:t>(15.4%)</w:t>
            </w:r>
          </w:p>
        </w:tc>
        <w:tc>
          <w:tcPr>
            <w:tcW w:w="851" w:type="pct"/>
            <w:tcMar>
              <w:left w:w="28" w:type="dxa"/>
              <w:right w:w="28" w:type="dxa"/>
            </w:tcMar>
          </w:tcPr>
          <w:p w14:paraId="298B53BB" w14:textId="77777777" w:rsidR="003B5B2D" w:rsidRDefault="003B5B2D" w:rsidP="003B5B2D">
            <w:pPr>
              <w:pStyle w:val="Tablewriting"/>
              <w:jc w:val="center"/>
            </w:pPr>
            <w:r w:rsidRPr="00034663">
              <w:t xml:space="preserve">1.16 </w:t>
            </w:r>
          </w:p>
          <w:p w14:paraId="4A6D988B" w14:textId="7E5F4FF5" w:rsidR="003B5B2D" w:rsidRPr="00AB53C1" w:rsidRDefault="003B5B2D" w:rsidP="003B5B2D">
            <w:pPr>
              <w:pStyle w:val="Tablewriting"/>
              <w:jc w:val="center"/>
              <w:rPr>
                <w:rFonts w:eastAsia="MS Mincho"/>
              </w:rPr>
            </w:pPr>
            <w:r w:rsidRPr="00034663">
              <w:t>(0.79, 1.69)</w:t>
            </w:r>
          </w:p>
        </w:tc>
        <w:tc>
          <w:tcPr>
            <w:tcW w:w="807" w:type="pct"/>
          </w:tcPr>
          <w:p w14:paraId="314660B2" w14:textId="77777777" w:rsidR="003B5B2D" w:rsidRDefault="003B5B2D" w:rsidP="003B5B2D">
            <w:pPr>
              <w:pStyle w:val="Tablewriting"/>
              <w:jc w:val="center"/>
            </w:pPr>
            <w:r w:rsidRPr="00034663">
              <w:t xml:space="preserve">0.02 </w:t>
            </w:r>
          </w:p>
          <w:p w14:paraId="39CCC7A1" w14:textId="367E95D2" w:rsidR="003B5B2D" w:rsidRPr="00AB53C1" w:rsidRDefault="003B5B2D" w:rsidP="003B5B2D">
            <w:pPr>
              <w:pStyle w:val="Tablewriting"/>
              <w:jc w:val="center"/>
              <w:rPr>
                <w:rFonts w:eastAsia="MS Mincho"/>
              </w:rPr>
            </w:pPr>
            <w:r w:rsidRPr="00034663">
              <w:t>(-0.04, 0.09)</w:t>
            </w:r>
          </w:p>
        </w:tc>
      </w:tr>
      <w:tr w:rsidR="003B5B2D" w:rsidRPr="00061F78" w14:paraId="667E32D6" w14:textId="77777777" w:rsidTr="00017C8C">
        <w:trPr>
          <w:cantSplit/>
          <w:trHeight w:val="149"/>
        </w:trPr>
        <w:tc>
          <w:tcPr>
            <w:tcW w:w="1641" w:type="pct"/>
            <w:tcMar>
              <w:left w:w="28" w:type="dxa"/>
              <w:right w:w="28" w:type="dxa"/>
            </w:tcMar>
          </w:tcPr>
          <w:p w14:paraId="7A72060F" w14:textId="77777777" w:rsidR="003B5B2D" w:rsidRDefault="003B5B2D" w:rsidP="003B5B2D">
            <w:pPr>
              <w:pStyle w:val="Tablewriting"/>
              <w:keepNext/>
              <w:rPr>
                <w:rFonts w:eastAsia="MS Mincho"/>
              </w:rPr>
            </w:pPr>
            <w:r>
              <w:rPr>
                <w:rFonts w:eastAsia="MS Mincho"/>
              </w:rPr>
              <w:t xml:space="preserve">     Vivid dreams</w:t>
            </w:r>
          </w:p>
        </w:tc>
        <w:tc>
          <w:tcPr>
            <w:tcW w:w="850" w:type="pct"/>
            <w:tcMar>
              <w:left w:w="28" w:type="dxa"/>
              <w:right w:w="28" w:type="dxa"/>
            </w:tcMar>
            <w:vAlign w:val="center"/>
          </w:tcPr>
          <w:p w14:paraId="035F77C6" w14:textId="77777777" w:rsidR="003B5B2D" w:rsidRDefault="003B5B2D" w:rsidP="003B5B2D">
            <w:pPr>
              <w:pStyle w:val="Tablewriting"/>
              <w:keepNext/>
              <w:jc w:val="center"/>
              <w:rPr>
                <w:rFonts w:eastAsia="MS Mincho"/>
              </w:rPr>
            </w:pPr>
            <w:r>
              <w:rPr>
                <w:rFonts w:eastAsia="MS Mincho"/>
              </w:rPr>
              <w:t>63/275</w:t>
            </w:r>
          </w:p>
          <w:p w14:paraId="00828DAC" w14:textId="77777777" w:rsidR="003B5B2D" w:rsidRDefault="003B5B2D" w:rsidP="003B5B2D">
            <w:pPr>
              <w:pStyle w:val="Tablewriting"/>
              <w:keepNext/>
              <w:jc w:val="center"/>
              <w:rPr>
                <w:rFonts w:eastAsia="MS Mincho"/>
              </w:rPr>
            </w:pPr>
            <w:r>
              <w:rPr>
                <w:rFonts w:eastAsia="MS Mincho"/>
              </w:rPr>
              <w:t>(22.9%)</w:t>
            </w:r>
          </w:p>
        </w:tc>
        <w:tc>
          <w:tcPr>
            <w:tcW w:w="851" w:type="pct"/>
            <w:tcMar>
              <w:left w:w="28" w:type="dxa"/>
              <w:right w:w="28" w:type="dxa"/>
            </w:tcMar>
            <w:vAlign w:val="center"/>
          </w:tcPr>
          <w:p w14:paraId="2B81AF71" w14:textId="47F34D0C" w:rsidR="003B5B2D" w:rsidRDefault="003B5B2D" w:rsidP="003B5B2D">
            <w:pPr>
              <w:pStyle w:val="Tablewriting"/>
              <w:keepNext/>
              <w:jc w:val="center"/>
              <w:rPr>
                <w:rFonts w:eastAsia="MS Mincho"/>
              </w:rPr>
            </w:pPr>
            <w:r>
              <w:rPr>
                <w:rFonts w:eastAsia="MS Mincho"/>
              </w:rPr>
              <w:t>60/273</w:t>
            </w:r>
          </w:p>
          <w:p w14:paraId="29343F1F" w14:textId="4E281236" w:rsidR="003B5B2D" w:rsidRDefault="003B5B2D" w:rsidP="003B5B2D">
            <w:pPr>
              <w:pStyle w:val="Tablewriting"/>
              <w:keepNext/>
              <w:jc w:val="center"/>
              <w:rPr>
                <w:rFonts w:eastAsia="MS Mincho"/>
              </w:rPr>
            </w:pPr>
            <w:r>
              <w:rPr>
                <w:rFonts w:eastAsia="MS Mincho"/>
              </w:rPr>
              <w:t>(22.0%)</w:t>
            </w:r>
          </w:p>
        </w:tc>
        <w:tc>
          <w:tcPr>
            <w:tcW w:w="851" w:type="pct"/>
            <w:tcMar>
              <w:left w:w="28" w:type="dxa"/>
              <w:right w:w="28" w:type="dxa"/>
            </w:tcMar>
          </w:tcPr>
          <w:p w14:paraId="6DBDDA28" w14:textId="77777777" w:rsidR="003B5B2D" w:rsidRDefault="003B5B2D" w:rsidP="003B5B2D">
            <w:pPr>
              <w:pStyle w:val="Tablewriting"/>
              <w:jc w:val="center"/>
            </w:pPr>
            <w:r w:rsidRPr="00034663">
              <w:t xml:space="preserve">1.04 </w:t>
            </w:r>
          </w:p>
          <w:p w14:paraId="72FE6D05" w14:textId="6117EBCC" w:rsidR="003B5B2D" w:rsidRPr="00AB53C1" w:rsidRDefault="003B5B2D" w:rsidP="003B5B2D">
            <w:pPr>
              <w:pStyle w:val="Tablewriting"/>
              <w:jc w:val="center"/>
              <w:rPr>
                <w:rFonts w:eastAsia="MS Mincho"/>
                <w:b/>
                <w:bCs/>
              </w:rPr>
            </w:pPr>
            <w:r w:rsidRPr="00034663">
              <w:t>(0.76, 1.42)</w:t>
            </w:r>
          </w:p>
        </w:tc>
        <w:tc>
          <w:tcPr>
            <w:tcW w:w="807" w:type="pct"/>
          </w:tcPr>
          <w:p w14:paraId="1C198DAF" w14:textId="77777777" w:rsidR="003B5B2D" w:rsidRDefault="003B5B2D" w:rsidP="003B5B2D">
            <w:pPr>
              <w:pStyle w:val="Tablewriting"/>
              <w:jc w:val="center"/>
            </w:pPr>
            <w:r w:rsidRPr="00034663">
              <w:t xml:space="preserve">0.01 </w:t>
            </w:r>
          </w:p>
          <w:p w14:paraId="6C8C895A" w14:textId="73F86A79" w:rsidR="003B5B2D" w:rsidRPr="00AB53C1" w:rsidRDefault="003B5B2D" w:rsidP="003B5B2D">
            <w:pPr>
              <w:pStyle w:val="Tablewriting"/>
              <w:jc w:val="center"/>
              <w:rPr>
                <w:rFonts w:eastAsia="MS Mincho"/>
                <w:b/>
                <w:bCs/>
              </w:rPr>
            </w:pPr>
            <w:r w:rsidRPr="00034663">
              <w:t>(-0.06, 0.08)</w:t>
            </w:r>
          </w:p>
        </w:tc>
      </w:tr>
      <w:tr w:rsidR="003B5B2D" w:rsidRPr="00061F78" w14:paraId="49F05AE3" w14:textId="77777777" w:rsidTr="00017C8C">
        <w:trPr>
          <w:cantSplit/>
          <w:trHeight w:val="149"/>
        </w:trPr>
        <w:tc>
          <w:tcPr>
            <w:tcW w:w="1641" w:type="pct"/>
            <w:tcMar>
              <w:left w:w="28" w:type="dxa"/>
              <w:right w:w="28" w:type="dxa"/>
            </w:tcMar>
          </w:tcPr>
          <w:p w14:paraId="12712060" w14:textId="77777777" w:rsidR="003B5B2D" w:rsidRDefault="003B5B2D" w:rsidP="003B5B2D">
            <w:pPr>
              <w:pStyle w:val="Tablewriting"/>
              <w:keepNext/>
              <w:rPr>
                <w:rFonts w:eastAsia="MS Mincho"/>
              </w:rPr>
            </w:pPr>
            <w:r>
              <w:rPr>
                <w:rFonts w:eastAsia="MS Mincho"/>
              </w:rPr>
              <w:t>Serious adverse events</w:t>
            </w:r>
          </w:p>
        </w:tc>
        <w:tc>
          <w:tcPr>
            <w:tcW w:w="850" w:type="pct"/>
            <w:tcMar>
              <w:left w:w="28" w:type="dxa"/>
              <w:right w:w="28" w:type="dxa"/>
            </w:tcMar>
            <w:vAlign w:val="center"/>
          </w:tcPr>
          <w:p w14:paraId="18F3B42E" w14:textId="77777777" w:rsidR="003B5B2D" w:rsidRPr="00325EF5" w:rsidRDefault="003B5B2D" w:rsidP="003B5B2D">
            <w:pPr>
              <w:pStyle w:val="Tablewriting"/>
              <w:keepNext/>
              <w:jc w:val="center"/>
              <w:rPr>
                <w:rFonts w:eastAsia="MS Mincho"/>
              </w:rPr>
            </w:pPr>
            <w:r w:rsidRPr="00325EF5">
              <w:rPr>
                <w:rFonts w:eastAsia="MS Mincho"/>
              </w:rPr>
              <w:t>23/275</w:t>
            </w:r>
          </w:p>
          <w:p w14:paraId="5854101E" w14:textId="77777777" w:rsidR="003B5B2D" w:rsidRPr="00325EF5" w:rsidRDefault="003B5B2D" w:rsidP="003B5B2D">
            <w:pPr>
              <w:pStyle w:val="Tablewriting"/>
              <w:keepNext/>
              <w:jc w:val="center"/>
              <w:rPr>
                <w:rFonts w:eastAsia="MS Mincho"/>
              </w:rPr>
            </w:pPr>
            <w:r w:rsidRPr="00325EF5">
              <w:rPr>
                <w:rFonts w:eastAsia="MS Mincho"/>
              </w:rPr>
              <w:t>(8.4%)</w:t>
            </w:r>
          </w:p>
        </w:tc>
        <w:tc>
          <w:tcPr>
            <w:tcW w:w="851" w:type="pct"/>
            <w:tcMar>
              <w:left w:w="28" w:type="dxa"/>
              <w:right w:w="28" w:type="dxa"/>
            </w:tcMar>
            <w:vAlign w:val="center"/>
          </w:tcPr>
          <w:p w14:paraId="2BFB2CB6" w14:textId="763FB5FD" w:rsidR="003B5B2D" w:rsidRDefault="003B5B2D" w:rsidP="003B5B2D">
            <w:pPr>
              <w:pStyle w:val="Tablewriting"/>
              <w:keepNext/>
              <w:jc w:val="center"/>
              <w:rPr>
                <w:rFonts w:eastAsia="MS Mincho"/>
              </w:rPr>
            </w:pPr>
            <w:r>
              <w:rPr>
                <w:rFonts w:eastAsia="MS Mincho"/>
              </w:rPr>
              <w:t>27/273</w:t>
            </w:r>
          </w:p>
          <w:p w14:paraId="5DEF057A" w14:textId="2FA38790" w:rsidR="003B5B2D" w:rsidRPr="00325EF5" w:rsidRDefault="003B5B2D" w:rsidP="003B5B2D">
            <w:pPr>
              <w:pStyle w:val="Tablewriting"/>
              <w:keepNext/>
              <w:jc w:val="center"/>
              <w:rPr>
                <w:rFonts w:eastAsia="MS Mincho"/>
              </w:rPr>
            </w:pPr>
            <w:r>
              <w:rPr>
                <w:rFonts w:eastAsia="MS Mincho"/>
              </w:rPr>
              <w:t>(9.9%)</w:t>
            </w:r>
          </w:p>
        </w:tc>
        <w:tc>
          <w:tcPr>
            <w:tcW w:w="851" w:type="pct"/>
            <w:tcMar>
              <w:left w:w="28" w:type="dxa"/>
              <w:right w:w="28" w:type="dxa"/>
            </w:tcMar>
          </w:tcPr>
          <w:p w14:paraId="3AD1448C" w14:textId="77777777" w:rsidR="003B5B2D" w:rsidRDefault="003B5B2D" w:rsidP="003B5B2D">
            <w:pPr>
              <w:pStyle w:val="Tablewriting"/>
              <w:jc w:val="center"/>
            </w:pPr>
            <w:r w:rsidRPr="00034663">
              <w:t xml:space="preserve">0.85 </w:t>
            </w:r>
          </w:p>
          <w:p w14:paraId="087C4A0B" w14:textId="276723B3" w:rsidR="003B5B2D" w:rsidRPr="00AB53C1" w:rsidRDefault="003B5B2D" w:rsidP="003B5B2D">
            <w:pPr>
              <w:pStyle w:val="Tablewriting"/>
              <w:jc w:val="center"/>
              <w:rPr>
                <w:rFonts w:eastAsia="MS Mincho"/>
              </w:rPr>
            </w:pPr>
            <w:r w:rsidRPr="00034663">
              <w:t>(0.50, 1.44)</w:t>
            </w:r>
          </w:p>
        </w:tc>
        <w:tc>
          <w:tcPr>
            <w:tcW w:w="807" w:type="pct"/>
          </w:tcPr>
          <w:p w14:paraId="613E7EBC" w14:textId="77777777" w:rsidR="003B5B2D" w:rsidRDefault="003B5B2D" w:rsidP="003B5B2D">
            <w:pPr>
              <w:pStyle w:val="Tablewriting"/>
              <w:jc w:val="center"/>
            </w:pPr>
            <w:r w:rsidRPr="00034663">
              <w:t xml:space="preserve">-0.02 </w:t>
            </w:r>
          </w:p>
          <w:p w14:paraId="316D5205" w14:textId="1B5D3171" w:rsidR="003B5B2D" w:rsidRPr="00AB53C1" w:rsidRDefault="003B5B2D" w:rsidP="003B5B2D">
            <w:pPr>
              <w:pStyle w:val="Tablewriting"/>
              <w:jc w:val="center"/>
              <w:rPr>
                <w:rFonts w:eastAsia="MS Mincho"/>
              </w:rPr>
            </w:pPr>
            <w:r w:rsidRPr="00034663">
              <w:t>(-0.06, 0.03)</w:t>
            </w:r>
          </w:p>
        </w:tc>
      </w:tr>
    </w:tbl>
    <w:p w14:paraId="70D7F712" w14:textId="77777777" w:rsidR="003B5B2D" w:rsidRDefault="003B5B2D" w:rsidP="00AD227B">
      <w:pPr>
        <w:pStyle w:val="TableFooter"/>
        <w:keepNext/>
        <w:jc w:val="both"/>
      </w:pPr>
      <w:r>
        <w:t>Source: Chen et al. (2020)</w:t>
      </w:r>
    </w:p>
    <w:p w14:paraId="282E66DA" w14:textId="77777777" w:rsidR="003B5B2D" w:rsidRDefault="003B5B2D" w:rsidP="00AD227B">
      <w:pPr>
        <w:pStyle w:val="TableFooter"/>
        <w:keepNext/>
        <w:jc w:val="both"/>
      </w:pPr>
      <w:r>
        <w:t>Abbreviations: CI = confidence interval; NRT = nicotine replacement therapy; RCT = randomised controlled trial; RD = risk difference; RR = risk ratio</w:t>
      </w:r>
    </w:p>
    <w:p w14:paraId="172C6FAC" w14:textId="77777777" w:rsidR="003B5B2D" w:rsidRDefault="003B5B2D" w:rsidP="00AD227B">
      <w:pPr>
        <w:pStyle w:val="TableFooter"/>
        <w:keepNext/>
        <w:spacing w:after="120"/>
        <w:contextualSpacing w:val="0"/>
        <w:jc w:val="both"/>
      </w:pPr>
      <w:r w:rsidRPr="00FD4061">
        <w:t>Note</w:t>
      </w:r>
      <w:r>
        <w:t>s</w:t>
      </w:r>
      <w:r w:rsidRPr="00FD4061">
        <w:t xml:space="preserve">: </w:t>
      </w:r>
      <w:r>
        <w:t xml:space="preserve">Calculated during the review. </w:t>
      </w:r>
      <w:r w:rsidRPr="00FD4061">
        <w:t>Bold indicates statistically significant difference.</w:t>
      </w:r>
      <w:r>
        <w:t xml:space="preserve"> </w:t>
      </w:r>
    </w:p>
    <w:p w14:paraId="645C9BBF" w14:textId="57683924" w:rsidR="00CC6C58" w:rsidRPr="00CC6C58" w:rsidRDefault="00CC6C58" w:rsidP="00AD227B">
      <w:pPr>
        <w:spacing w:after="120"/>
        <w:jc w:val="both"/>
        <w:rPr>
          <w:b/>
          <w:bCs/>
        </w:rPr>
      </w:pPr>
      <w:r w:rsidRPr="00CC6C58">
        <w:rPr>
          <w:b/>
          <w:bCs/>
        </w:rPr>
        <w:t>Combination NRT versus NRT monotherapy</w:t>
      </w:r>
    </w:p>
    <w:p w14:paraId="6A104041" w14:textId="04039848" w:rsidR="00CC6C58" w:rsidRDefault="00CC6C58" w:rsidP="00AD227B">
      <w:pPr>
        <w:spacing w:after="120"/>
        <w:jc w:val="both"/>
      </w:pPr>
      <w:r w:rsidRPr="00CC6C58">
        <w:t xml:space="preserve">A summary of the citation details for the studies comparing combination NRT with </w:t>
      </w:r>
      <w:r w:rsidR="00780FEC">
        <w:t>NRT monotherapy</w:t>
      </w:r>
      <w:r w:rsidRPr="00CC6C58">
        <w:t xml:space="preserve"> is presented in </w:t>
      </w:r>
      <w:r w:rsidR="00847625">
        <w:fldChar w:fldCharType="begin" w:fldLock="1"/>
      </w:r>
      <w:r w:rsidR="00847625">
        <w:instrText xml:space="preserve"> REF _Ref55297685 \h </w:instrText>
      </w:r>
      <w:r w:rsidR="00847625">
        <w:fldChar w:fldCharType="separate"/>
      </w:r>
      <w:r w:rsidR="00EC5CC7">
        <w:t xml:space="preserve">Table </w:t>
      </w:r>
      <w:r w:rsidR="00EC5CC7">
        <w:rPr>
          <w:noProof/>
        </w:rPr>
        <w:t>58</w:t>
      </w:r>
      <w:r w:rsidR="00847625">
        <w:fldChar w:fldCharType="end"/>
      </w:r>
      <w:r w:rsidRPr="00CC6C58">
        <w:t xml:space="preserve">. A recently conducted Cochrane </w:t>
      </w:r>
      <w:r w:rsidR="009654FD">
        <w:t>R</w:t>
      </w:r>
      <w:r w:rsidRPr="00CC6C58">
        <w:t xml:space="preserve">eview by </w:t>
      </w:r>
      <w:r w:rsidR="00847625">
        <w:t>Lindson</w:t>
      </w:r>
      <w:r w:rsidRPr="00CC6C58">
        <w:t xml:space="preserve"> et al. (201</w:t>
      </w:r>
      <w:r w:rsidR="00796FC8">
        <w:t>9</w:t>
      </w:r>
      <w:r w:rsidRPr="00CC6C58">
        <w:t xml:space="preserve">) was identified in the systematic literature review that compared combination NRT with </w:t>
      </w:r>
      <w:r w:rsidR="00C81AE9">
        <w:t>NRT monotherapy</w:t>
      </w:r>
      <w:r w:rsidRPr="00CC6C58">
        <w:t xml:space="preserve"> and was included in this report.</w:t>
      </w:r>
      <w:r w:rsidR="00373EA9">
        <w:t xml:space="preserve"> One</w:t>
      </w:r>
      <w:r w:rsidR="00373EA9" w:rsidRPr="00E91171">
        <w:t xml:space="preserve"> RCT was identified in the </w:t>
      </w:r>
      <w:r w:rsidR="00373EA9">
        <w:t>supplemental</w:t>
      </w:r>
      <w:r w:rsidR="00373EA9" w:rsidRPr="00E91171">
        <w:t xml:space="preserve"> literature search </w:t>
      </w:r>
      <w:r w:rsidR="00373EA9">
        <w:t xml:space="preserve">that informed this comparison </w:t>
      </w:r>
      <w:r w:rsidR="00373EA9" w:rsidRPr="00E91171">
        <w:t>and was included in this report</w:t>
      </w:r>
      <w:r w:rsidR="00373EA9">
        <w:t xml:space="preserve"> (Leung et al. 2019)</w:t>
      </w:r>
      <w:r w:rsidR="00373EA9" w:rsidRPr="00E91171">
        <w:t>.</w:t>
      </w:r>
    </w:p>
    <w:p w14:paraId="5B9374D5" w14:textId="7DE75D5D" w:rsidR="008473C0" w:rsidRDefault="008473C0" w:rsidP="00AD227B">
      <w:pPr>
        <w:pStyle w:val="Caption"/>
        <w:keepNext/>
        <w:spacing w:before="0" w:after="120"/>
        <w:jc w:val="both"/>
      </w:pPr>
      <w:bookmarkStart w:id="114" w:name="_Ref55297685"/>
      <w:r>
        <w:t xml:space="preserve">Table </w:t>
      </w:r>
      <w:r w:rsidR="00BF3F75">
        <w:fldChar w:fldCharType="begin"/>
      </w:r>
      <w:r w:rsidR="00BF3F75">
        <w:instrText xml:space="preserve"> SEQ Table \* ARABIC </w:instrText>
      </w:r>
      <w:r w:rsidR="00BF3F75">
        <w:fldChar w:fldCharType="separate"/>
      </w:r>
      <w:r w:rsidR="00EC5CC7">
        <w:rPr>
          <w:noProof/>
        </w:rPr>
        <w:t>58</w:t>
      </w:r>
      <w:r w:rsidR="00BF3F75">
        <w:rPr>
          <w:noProof/>
        </w:rPr>
        <w:fldChar w:fldCharType="end"/>
      </w:r>
      <w:bookmarkEnd w:id="114"/>
      <w:r>
        <w:t xml:space="preserve">: </w:t>
      </w:r>
      <w:r w:rsidRPr="00A247A2">
        <w:t xml:space="preserve">List of studies comparing combination NRT with </w:t>
      </w:r>
      <w:r>
        <w:t>NRT monotherapy</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14:paraId="4069FB7D" w14:textId="77777777" w:rsidTr="000708B4">
        <w:trPr>
          <w:cantSplit/>
          <w:trHeight w:val="329"/>
          <w:tblHeader/>
        </w:trPr>
        <w:tc>
          <w:tcPr>
            <w:tcW w:w="557" w:type="pct"/>
            <w:shd w:val="clear" w:color="auto" w:fill="BFBFBF" w:themeFill="background1" w:themeFillShade="BF"/>
            <w:tcMar>
              <w:left w:w="28" w:type="dxa"/>
              <w:right w:w="28" w:type="dxa"/>
            </w:tcMar>
          </w:tcPr>
          <w:p w14:paraId="537CEC88" w14:textId="77777777" w:rsidR="00CC6C58" w:rsidRPr="00061F78" w:rsidRDefault="00CC6C58" w:rsidP="000708B4">
            <w:pPr>
              <w:pStyle w:val="Tableheading"/>
              <w:keepNext/>
              <w:rPr>
                <w:rFonts w:eastAsia="MS Mincho"/>
              </w:rPr>
            </w:pPr>
            <w:r>
              <w:rPr>
                <w:rFonts w:eastAsia="MS Mincho"/>
              </w:rPr>
              <w:t>Study</w:t>
            </w:r>
          </w:p>
        </w:tc>
        <w:tc>
          <w:tcPr>
            <w:tcW w:w="4443" w:type="pct"/>
            <w:shd w:val="clear" w:color="auto" w:fill="BFBFBF" w:themeFill="background1" w:themeFillShade="BF"/>
          </w:tcPr>
          <w:p w14:paraId="7A8AF871" w14:textId="77777777" w:rsidR="00CC6C58" w:rsidRDefault="00CC6C58" w:rsidP="000708B4">
            <w:pPr>
              <w:pStyle w:val="Tableheading"/>
              <w:keepNext/>
              <w:jc w:val="center"/>
              <w:rPr>
                <w:rFonts w:eastAsia="MS Mincho"/>
              </w:rPr>
            </w:pPr>
            <w:r>
              <w:rPr>
                <w:rFonts w:eastAsia="MS Mincho"/>
              </w:rPr>
              <w:t>Citation</w:t>
            </w:r>
          </w:p>
        </w:tc>
      </w:tr>
      <w:tr w:rsidR="0085037A" w:rsidRPr="00061F78" w14:paraId="4B3CCBD1" w14:textId="77777777" w:rsidTr="000708B4">
        <w:trPr>
          <w:cantSplit/>
          <w:trHeight w:val="164"/>
        </w:trPr>
        <w:tc>
          <w:tcPr>
            <w:tcW w:w="557" w:type="pct"/>
            <w:tcMar>
              <w:left w:w="28" w:type="dxa"/>
              <w:right w:w="28" w:type="dxa"/>
            </w:tcMar>
          </w:tcPr>
          <w:p w14:paraId="5BC9040D" w14:textId="77777777" w:rsidR="00CC6C58" w:rsidRDefault="00CC6C58" w:rsidP="00CC6C58">
            <w:pPr>
              <w:pStyle w:val="Tablewriting"/>
              <w:keepNext/>
              <w:rPr>
                <w:rFonts w:eastAsia="MS Mincho"/>
              </w:rPr>
            </w:pPr>
            <w:r>
              <w:rPr>
                <w:rFonts w:eastAsia="MS Mincho"/>
              </w:rPr>
              <w:t>Lindson</w:t>
            </w:r>
          </w:p>
          <w:p w14:paraId="3CE1CEBD" w14:textId="6976125E" w:rsidR="00CC6C58" w:rsidRPr="00305930" w:rsidRDefault="00CC6C58" w:rsidP="00CC6C58">
            <w:pPr>
              <w:pStyle w:val="Tablewriting"/>
              <w:keepNext/>
              <w:rPr>
                <w:rFonts w:eastAsia="MS Mincho"/>
              </w:rPr>
            </w:pPr>
            <w:r>
              <w:rPr>
                <w:rFonts w:eastAsia="MS Mincho"/>
              </w:rPr>
              <w:t>(2019)</w:t>
            </w:r>
            <w:hyperlink w:anchor="_ENREF_38" w:tooltip="Lindson, 2019 #13" w:history="1">
              <w:r w:rsidR="0039468B">
                <w:rPr>
                  <w:rFonts w:eastAsia="MS Mincho"/>
                </w:rPr>
                <w:fldChar w:fldCharType="begin"/>
              </w:r>
              <w:r w:rsidR="0039468B">
                <w:rPr>
                  <w:rFonts w:eastAsia="MS Mincho"/>
                </w:rPr>
                <w:instrText xml:space="preserve"> ADDIN EN.CITE &lt;EndNote&gt;&lt;Cite&gt;&lt;Author&gt;Lindson&lt;/Author&gt;&lt;Year&gt;2019&lt;/Year&gt;&lt;RecNum&gt;8&lt;/RecNum&gt;&lt;DisplayText&gt;&lt;style face="superscript"&gt;38&lt;/style&gt;&lt;/DisplayText&gt;&lt;record&gt;&lt;rec-number&gt;8&lt;/rec-number&gt;&lt;foreign-keys&gt;&lt;key app="EN" db-id="asfweasp02090oe9zepvset2waewte9x0rws" timestamp="1603671680"&gt;8&lt;/key&gt;&lt;/foreign-keys&gt;&lt;ref-type name="Journal Article"&gt;17&lt;/ref-type&gt;&lt;contributors&gt;&lt;authors&gt;&lt;author&gt;Lindson, N.&lt;/author&gt;&lt;author&gt;Chepkin, S. C.&lt;/author&gt;&lt;author&gt;Ye, W.&lt;/author&gt;&lt;author&gt;Fanshawe, T. R.&lt;/author&gt;&lt;author&gt;Bullen, C.&lt;/aut</w:instrText>
              </w:r>
              <w:r w:rsidR="0039468B">
                <w:rPr>
                  <w:rFonts w:eastAsia="MS Mincho" w:hint="eastAsia"/>
                </w:rPr>
                <w:instrText>hor&gt;&lt;author&gt;Hartmann</w:instrText>
              </w:r>
              <w:r w:rsidR="0039468B">
                <w:rPr>
                  <w:rFonts w:eastAsia="MS Mincho" w:hint="eastAsia"/>
                </w:rPr>
                <w:instrText>‐</w:instrText>
              </w:r>
              <w:r w:rsidR="0039468B">
                <w:rPr>
                  <w:rFonts w:eastAsia="MS Mincho" w:hint="eastAsia"/>
                </w:rPr>
                <w:instrText>Boyce, J.&lt;/author&gt;&lt;/authors&gt;&lt;/contributors&gt;&lt;titles&gt;&lt;title&gt;Different doses, durations and modes of delivery of nicotine replacement therapy for smoking cessation&lt;/title&gt;&lt;secondary-title&gt;Cochrane Database of Systematic Reviews&lt;/secondar</w:instrText>
              </w:r>
              <w:r w:rsidR="0039468B">
                <w:rPr>
                  <w:rFonts w:eastAsia="MS Mincho"/>
                </w:rPr>
                <w:instrText>y-title&gt;&lt;/titles&gt;&lt;number&gt;4&lt;/number&gt;&lt;keywords&gt;&lt;keyword&gt;*Chewing Gum&lt;/keyword&gt;&lt;keyword&gt;*Tobacco Use Cessation Devices&lt;/keyword&gt;&lt;keyword&gt;Administration, Cutaneous&lt;/keyword&gt;&lt;keyword&gt;Administration, Inhalation&lt;/keyword&gt;&lt;keyword&gt;Administration, Oral&lt;/keyword&gt;&lt;keyword&gt;Humans&lt;/keyword&gt;&lt;keyword&gt;Nicotine [administration &amp;amp; dosage]&lt;/keyword&gt;&lt;keyword&gt;Nicotinic Agonists [*therapeutic use]&lt;/keyword&gt;&lt;keyword&gt;Randomized Controlled Trials as Topic&lt;/keyword&gt;&lt;keyword&gt;Smoking Cessation [*methods]&lt;/keyword&gt;&lt;keyword&gt;Smoking Prevention&lt;/keyword&gt;&lt;keyword&gt;Smoking [drug therapy]&lt;/keyword&gt;&lt;/keywords&gt;&lt;dates&gt;&lt;year&gt;2019&lt;/year&gt;&lt;/dates&gt;&lt;publisher&gt;John Wiley &amp;amp; Sons, Ltd&lt;/publisher&gt;&lt;isbn&gt;1465-1858&lt;/isbn&gt;&lt;accession-num&gt;CD013308&lt;/accession-num&gt;&lt;urls&gt;&lt;related-urls&gt;&lt;url&gt;http://dx.doi.org/10.1002/14651858.CD013308&lt;/url&gt;&lt;/related-urls&gt;&lt;/urls&gt;&lt;electronic-resource-num&gt;10.1002/14651858.CD013308&lt;/electronic-resource-num&gt;&lt;/record&gt;&lt;/Cite&gt;&lt;/EndNote&gt;</w:instrText>
              </w:r>
              <w:r w:rsidR="0039468B">
                <w:rPr>
                  <w:rFonts w:eastAsia="MS Mincho"/>
                </w:rPr>
                <w:fldChar w:fldCharType="separate"/>
              </w:r>
              <w:r w:rsidR="0039468B" w:rsidRPr="00693911">
                <w:rPr>
                  <w:rFonts w:eastAsia="MS Mincho"/>
                  <w:noProof/>
                  <w:vertAlign w:val="superscript"/>
                </w:rPr>
                <w:t>38</w:t>
              </w:r>
              <w:r w:rsidR="0039468B">
                <w:rPr>
                  <w:rFonts w:eastAsia="MS Mincho"/>
                </w:rPr>
                <w:fldChar w:fldCharType="end"/>
              </w:r>
            </w:hyperlink>
          </w:p>
        </w:tc>
        <w:tc>
          <w:tcPr>
            <w:tcW w:w="4443" w:type="pct"/>
          </w:tcPr>
          <w:p w14:paraId="3DC50AD1" w14:textId="211BFB77" w:rsidR="00CC6C58" w:rsidRDefault="00826C95" w:rsidP="00CC6C58">
            <w:pPr>
              <w:pStyle w:val="Tablewriting"/>
              <w:keepNext/>
              <w:rPr>
                <w:rFonts w:eastAsia="MS Mincho"/>
              </w:rPr>
            </w:pPr>
            <w:r w:rsidRPr="003D33C1">
              <w:rPr>
                <w:rFonts w:eastAsia="MS Mincho"/>
              </w:rPr>
              <w:t>Lindson N</w:t>
            </w:r>
            <w:r w:rsidR="00CC6C58" w:rsidRPr="003D33C1">
              <w:rPr>
                <w:rFonts w:eastAsia="MS Mincho"/>
              </w:rPr>
              <w:t xml:space="preserve">, </w:t>
            </w:r>
            <w:r w:rsidRPr="003D33C1">
              <w:rPr>
                <w:rFonts w:eastAsia="MS Mincho"/>
              </w:rPr>
              <w:t>Chepkin SC</w:t>
            </w:r>
            <w:r w:rsidR="00CC6C58" w:rsidRPr="003D33C1">
              <w:rPr>
                <w:rFonts w:eastAsia="MS Mincho"/>
              </w:rPr>
              <w:t xml:space="preserve">, </w:t>
            </w:r>
            <w:r w:rsidRPr="003D33C1">
              <w:rPr>
                <w:rFonts w:eastAsia="MS Mincho"/>
              </w:rPr>
              <w:t>Ye W</w:t>
            </w:r>
            <w:r w:rsidR="00CC6C58" w:rsidRPr="003D33C1">
              <w:rPr>
                <w:rFonts w:eastAsia="MS Mincho"/>
              </w:rPr>
              <w:t xml:space="preserve">, </w:t>
            </w:r>
            <w:r w:rsidRPr="003D33C1">
              <w:rPr>
                <w:rFonts w:eastAsia="MS Mincho"/>
              </w:rPr>
              <w:t>Fanshawe TR</w:t>
            </w:r>
            <w:r w:rsidR="00CC6C58" w:rsidRPr="003D33C1">
              <w:rPr>
                <w:rFonts w:eastAsia="MS Mincho"/>
              </w:rPr>
              <w:t xml:space="preserve">, </w:t>
            </w:r>
            <w:r w:rsidRPr="003D33C1">
              <w:rPr>
                <w:rFonts w:eastAsia="MS Mincho"/>
              </w:rPr>
              <w:t>Bullen C</w:t>
            </w:r>
            <w:r w:rsidR="00CC6C58" w:rsidRPr="003D33C1">
              <w:rPr>
                <w:rFonts w:eastAsia="MS Mincho"/>
              </w:rPr>
              <w:t>, Hartmann‐</w:t>
            </w:r>
            <w:r w:rsidRPr="003D33C1">
              <w:rPr>
                <w:rFonts w:eastAsia="MS Mincho"/>
              </w:rPr>
              <w:t>Boyce J.</w:t>
            </w:r>
            <w:r w:rsidR="00CC6C58" w:rsidRPr="003D33C1">
              <w:rPr>
                <w:rFonts w:eastAsia="MS Mincho"/>
              </w:rPr>
              <w:t xml:space="preserve"> Different doses, </w:t>
            </w:r>
            <w:r w:rsidRPr="003D33C1">
              <w:rPr>
                <w:rFonts w:eastAsia="MS Mincho"/>
              </w:rPr>
              <w:t>durations,</w:t>
            </w:r>
            <w:r w:rsidR="00CC6C58" w:rsidRPr="003D33C1">
              <w:rPr>
                <w:rFonts w:eastAsia="MS Mincho"/>
              </w:rPr>
              <w:t xml:space="preserve"> and modes of delivery of nicotine replacement therapy for smoking cessation. Cochrane Database of Systematic Reviews 2019, Issue 4. Art. No.: CD013308.</w:t>
            </w:r>
          </w:p>
        </w:tc>
      </w:tr>
      <w:tr w:rsidR="0085037A" w:rsidRPr="00061F78" w14:paraId="3DC75997" w14:textId="77777777" w:rsidTr="000708B4">
        <w:trPr>
          <w:cantSplit/>
          <w:trHeight w:val="164"/>
        </w:trPr>
        <w:tc>
          <w:tcPr>
            <w:tcW w:w="557" w:type="pct"/>
            <w:tcMar>
              <w:left w:w="28" w:type="dxa"/>
              <w:right w:w="28" w:type="dxa"/>
            </w:tcMar>
          </w:tcPr>
          <w:p w14:paraId="06FE4EBD" w14:textId="77777777" w:rsidR="00373EA9" w:rsidRDefault="00373EA9" w:rsidP="00CC6C58">
            <w:pPr>
              <w:pStyle w:val="Tablewriting"/>
              <w:keepNext/>
              <w:rPr>
                <w:rFonts w:eastAsia="MS Mincho"/>
              </w:rPr>
            </w:pPr>
            <w:r>
              <w:rPr>
                <w:rFonts w:eastAsia="MS Mincho"/>
              </w:rPr>
              <w:t>Leung</w:t>
            </w:r>
          </w:p>
          <w:p w14:paraId="222D4BA4" w14:textId="71AB8C6B" w:rsidR="00373EA9" w:rsidRDefault="00373EA9" w:rsidP="00CC6C58">
            <w:pPr>
              <w:pStyle w:val="Tablewriting"/>
              <w:keepNext/>
              <w:rPr>
                <w:rFonts w:eastAsia="MS Mincho"/>
              </w:rPr>
            </w:pPr>
            <w:r>
              <w:rPr>
                <w:rFonts w:eastAsia="MS Mincho"/>
              </w:rPr>
              <w:t>(2019)</w:t>
            </w:r>
            <w:hyperlink w:anchor="_ENREF_47" w:tooltip="Leung, 2019 #15" w:history="1">
              <w:r w:rsidR="0039468B">
                <w:rPr>
                  <w:rFonts w:eastAsia="MS Mincho"/>
                </w:rPr>
                <w:fldChar w:fldCharType="begin">
                  <w:fldData xml:space="preserve">PEVuZE5vdGU+PENpdGU+PEF1dGhvcj5MZXVuZzwvQXV0aG9yPjxZZWFyPjIwMTk8L1llYXI+PFJl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PEVuZE5vdGU+PENpdGU+PEF1dGhvcj5MZXVuZzwvQXV0aG9yPjxZZWFyPjIwMTk8L1llYXI+PFJl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7A53BC">
                <w:rPr>
                  <w:rFonts w:eastAsia="MS Mincho"/>
                  <w:noProof/>
                  <w:vertAlign w:val="superscript"/>
                </w:rPr>
                <w:t>47</w:t>
              </w:r>
              <w:r w:rsidR="0039468B">
                <w:rPr>
                  <w:rFonts w:eastAsia="MS Mincho"/>
                </w:rPr>
                <w:fldChar w:fldCharType="end"/>
              </w:r>
            </w:hyperlink>
          </w:p>
        </w:tc>
        <w:tc>
          <w:tcPr>
            <w:tcW w:w="4443" w:type="pct"/>
          </w:tcPr>
          <w:p w14:paraId="3EBB981D" w14:textId="200BFB77" w:rsidR="00373EA9" w:rsidRPr="003D33C1" w:rsidRDefault="00373EA9" w:rsidP="00CC6C58">
            <w:pPr>
              <w:pStyle w:val="Tablewriting"/>
              <w:keepNext/>
              <w:rPr>
                <w:rFonts w:eastAsia="MS Mincho"/>
              </w:rPr>
            </w:pPr>
            <w:r w:rsidRPr="00373EA9">
              <w:rPr>
                <w:rFonts w:eastAsia="MS Mincho"/>
              </w:rPr>
              <w:t>Leung MKW, Bai D, Yip BHK, Fong MY, Lai PMH, Lai P, Lai ISY, Lam ZHW, Leung ATF, To DKY, Wong MT, Wong TK, Chao DVK. Combined nicotine patch with gum versus nicotine patch alone in smoking cessation in Hong Kong primary care clinics: a randomised controlled trial. BMC Public Health. 2019 Oct 16;19(1):1302.</w:t>
            </w:r>
          </w:p>
        </w:tc>
      </w:tr>
    </w:tbl>
    <w:p w14:paraId="7EB009CC" w14:textId="4DD2E26B" w:rsidR="009904D3" w:rsidRDefault="009904D3" w:rsidP="000B683C">
      <w:pPr>
        <w:spacing w:before="120" w:after="120"/>
        <w:jc w:val="both"/>
      </w:pPr>
      <w:r w:rsidRPr="00713891">
        <w:t xml:space="preserve">A summary of the characteristics of the studies comparing </w:t>
      </w:r>
      <w:r>
        <w:t xml:space="preserve">combination </w:t>
      </w:r>
      <w:r w:rsidRPr="00713891">
        <w:t xml:space="preserve">NRT with </w:t>
      </w:r>
      <w:r w:rsidR="003E17D5">
        <w:t>NRT monotherapy</w:t>
      </w:r>
      <w:r w:rsidRPr="00713891">
        <w:t xml:space="preserve"> is presented in</w:t>
      </w:r>
      <w:r w:rsidR="003E17D5">
        <w:t xml:space="preserve"> </w:t>
      </w:r>
      <w:r w:rsidR="003E17D5">
        <w:fldChar w:fldCharType="begin" w:fldLock="1"/>
      </w:r>
      <w:r w:rsidR="003E17D5">
        <w:instrText xml:space="preserve"> REF _Ref55299925 \h </w:instrText>
      </w:r>
      <w:r w:rsidR="0033480B">
        <w:instrText xml:space="preserve"> \* MERGEFORMAT </w:instrText>
      </w:r>
      <w:r w:rsidR="003E17D5">
        <w:fldChar w:fldCharType="separate"/>
      </w:r>
      <w:r w:rsidR="00EC5CC7">
        <w:t xml:space="preserve">Table </w:t>
      </w:r>
      <w:r w:rsidR="00EC5CC7">
        <w:rPr>
          <w:noProof/>
        </w:rPr>
        <w:t>59</w:t>
      </w:r>
      <w:r w:rsidR="003E17D5">
        <w:fldChar w:fldCharType="end"/>
      </w:r>
      <w:r w:rsidRPr="00713891">
        <w:t xml:space="preserve">. A total of </w:t>
      </w:r>
      <w:r w:rsidR="00F030E4">
        <w:t>14</w:t>
      </w:r>
      <w:r w:rsidRPr="00713891">
        <w:t xml:space="preserve"> RCTs comparing </w:t>
      </w:r>
      <w:r>
        <w:t xml:space="preserve">combination </w:t>
      </w:r>
      <w:r w:rsidRPr="00713891">
        <w:t xml:space="preserve">NRT with </w:t>
      </w:r>
      <w:r w:rsidR="00F030E4">
        <w:t>NRT monotherapy</w:t>
      </w:r>
      <w:r w:rsidRPr="00713891">
        <w:t xml:space="preserve"> were identified </w:t>
      </w:r>
      <w:r w:rsidR="009A688B">
        <w:t>b</w:t>
      </w:r>
      <w:r w:rsidR="00CD716F" w:rsidRPr="00713891">
        <w:t xml:space="preserve">y </w:t>
      </w:r>
      <w:r w:rsidR="00CD716F">
        <w:t>Lindson</w:t>
      </w:r>
      <w:r w:rsidR="00CD716F" w:rsidRPr="00713891">
        <w:t xml:space="preserve"> et al. (201</w:t>
      </w:r>
      <w:r w:rsidR="00CD716F">
        <w:t>9</w:t>
      </w:r>
      <w:r w:rsidR="00CD716F" w:rsidRPr="00713891">
        <w:t>)</w:t>
      </w:r>
      <w:r w:rsidR="00CD716F" w:rsidRPr="00AC62D6">
        <w:t xml:space="preserve"> </w:t>
      </w:r>
      <w:r w:rsidRPr="00161E08">
        <w:t>and w</w:t>
      </w:r>
      <w:r>
        <w:t>ere</w:t>
      </w:r>
      <w:r w:rsidRPr="00161E08">
        <w:t xml:space="preserve"> included in this report</w:t>
      </w:r>
      <w:r>
        <w:t>.</w:t>
      </w:r>
      <w:r w:rsidR="00796FC8">
        <w:t xml:space="preserve"> </w:t>
      </w:r>
      <w:r w:rsidR="00BD7CE4">
        <w:t xml:space="preserve">Four RCTs compared combination NRT with NRT patch </w:t>
      </w:r>
      <w:r w:rsidR="00DC017F">
        <w:t xml:space="preserve">or fast-acting NRT (Croghan et al. 2003, </w:t>
      </w:r>
      <w:r w:rsidR="009C79C3">
        <w:t>Piper et al. 2009, Smith et al. 2009 and Tonnesen et al. 2000).</w:t>
      </w:r>
      <w:r w:rsidR="00DC017F">
        <w:t xml:space="preserve"> </w:t>
      </w:r>
      <w:r w:rsidR="00796FC8" w:rsidRPr="00796FC8">
        <w:t xml:space="preserve">The characteristics of the individual studies are presented in </w:t>
      </w:r>
      <w:r w:rsidR="00796FC8" w:rsidRPr="009A688B">
        <w:t>Appendix</w:t>
      </w:r>
      <w:r w:rsidR="000B683C">
        <w:t xml:space="preserve"> Table 156.</w:t>
      </w:r>
    </w:p>
    <w:p w14:paraId="18020272" w14:textId="04D9E542" w:rsidR="001C1E33" w:rsidRDefault="001C1E33" w:rsidP="002C2DB9">
      <w:pPr>
        <w:spacing w:after="120"/>
        <w:jc w:val="both"/>
      </w:pPr>
      <w:r>
        <w:lastRenderedPageBreak/>
        <w:t xml:space="preserve">Leung et al. (2019) was a </w:t>
      </w:r>
      <w:r w:rsidRPr="001C1E33">
        <w:t>one-year, two-arm, parallel randomised trial</w:t>
      </w:r>
      <w:r>
        <w:t xml:space="preserve"> comparing </w:t>
      </w:r>
      <w:r w:rsidR="00AC1662">
        <w:t>combination NRT patch and gum with NRT patch alone. This study was included in the updated efficacy and safety re-analysis where outcomes were reported.</w:t>
      </w:r>
    </w:p>
    <w:p w14:paraId="785CDECD" w14:textId="52046B3B" w:rsidR="007B19F0" w:rsidRDefault="007B19F0" w:rsidP="00537F1F">
      <w:pPr>
        <w:pStyle w:val="Caption"/>
        <w:keepNext/>
        <w:spacing w:before="0" w:after="120"/>
        <w:jc w:val="both"/>
      </w:pPr>
      <w:bookmarkStart w:id="115" w:name="_Ref55299925"/>
      <w:r>
        <w:t xml:space="preserve">Table </w:t>
      </w:r>
      <w:r w:rsidR="00BF3F75">
        <w:fldChar w:fldCharType="begin"/>
      </w:r>
      <w:r w:rsidR="00BF3F75">
        <w:instrText xml:space="preserve"> SEQ Table \* ARABIC </w:instrText>
      </w:r>
      <w:r w:rsidR="00BF3F75">
        <w:fldChar w:fldCharType="separate"/>
      </w:r>
      <w:r w:rsidR="00EC5CC7">
        <w:rPr>
          <w:noProof/>
        </w:rPr>
        <w:t>59</w:t>
      </w:r>
      <w:r w:rsidR="00BF3F75">
        <w:rPr>
          <w:noProof/>
        </w:rPr>
        <w:fldChar w:fldCharType="end"/>
      </w:r>
      <w:bookmarkEnd w:id="115"/>
      <w:r>
        <w:t xml:space="preserve">: </w:t>
      </w:r>
      <w:r w:rsidRPr="009F6F38">
        <w:t xml:space="preserve">Characteristics of the studies comparing combination NRT with </w:t>
      </w:r>
      <w:r>
        <w:t>NRT monotherapy</w:t>
      </w:r>
    </w:p>
    <w:tbl>
      <w:tblPr>
        <w:tblStyle w:val="TableGrid"/>
        <w:tblW w:w="5000" w:type="pct"/>
        <w:tblLook w:val="04A0" w:firstRow="1" w:lastRow="0" w:firstColumn="1" w:lastColumn="0" w:noHBand="0" w:noVBand="1"/>
        <w:tblCaption w:val="Efficacy results of adalimumab trials (PASI 75 and DLQI)"/>
      </w:tblPr>
      <w:tblGrid>
        <w:gridCol w:w="916"/>
        <w:gridCol w:w="988"/>
        <w:gridCol w:w="1894"/>
        <w:gridCol w:w="2004"/>
        <w:gridCol w:w="1827"/>
        <w:gridCol w:w="1387"/>
      </w:tblGrid>
      <w:tr w:rsidR="00ED508B" w:rsidRPr="00061F78" w14:paraId="5BBABFFD" w14:textId="77777777" w:rsidTr="008B6793">
        <w:trPr>
          <w:trHeight w:val="299"/>
          <w:tblHeader/>
        </w:trPr>
        <w:tc>
          <w:tcPr>
            <w:tcW w:w="509" w:type="pct"/>
            <w:shd w:val="clear" w:color="auto" w:fill="BFBFBF" w:themeFill="background1" w:themeFillShade="BF"/>
            <w:tcMar>
              <w:left w:w="28" w:type="dxa"/>
              <w:right w:w="28" w:type="dxa"/>
            </w:tcMar>
          </w:tcPr>
          <w:p w14:paraId="2FFEB284" w14:textId="77777777" w:rsidR="00CC724D" w:rsidRPr="00061F78" w:rsidRDefault="00CC724D" w:rsidP="00F207DC">
            <w:pPr>
              <w:pStyle w:val="Tableheading"/>
              <w:rPr>
                <w:rFonts w:eastAsia="MS Mincho"/>
              </w:rPr>
            </w:pPr>
            <w:r>
              <w:rPr>
                <w:rFonts w:eastAsia="MS Mincho"/>
              </w:rPr>
              <w:t>Study</w:t>
            </w:r>
          </w:p>
        </w:tc>
        <w:tc>
          <w:tcPr>
            <w:tcW w:w="544" w:type="pct"/>
            <w:shd w:val="clear" w:color="auto" w:fill="BFBFBF" w:themeFill="background1" w:themeFillShade="BF"/>
          </w:tcPr>
          <w:p w14:paraId="59134233" w14:textId="77777777" w:rsidR="00CC724D" w:rsidRDefault="00CC724D" w:rsidP="00F207DC">
            <w:pPr>
              <w:pStyle w:val="Tableheading"/>
              <w:jc w:val="center"/>
              <w:rPr>
                <w:rFonts w:eastAsia="MS Mincho"/>
              </w:rPr>
            </w:pPr>
            <w:r>
              <w:rPr>
                <w:rFonts w:eastAsia="MS Mincho"/>
              </w:rPr>
              <w:t>Study type</w:t>
            </w:r>
          </w:p>
        </w:tc>
        <w:tc>
          <w:tcPr>
            <w:tcW w:w="1051" w:type="pct"/>
            <w:shd w:val="clear" w:color="auto" w:fill="BFBFBF" w:themeFill="background1" w:themeFillShade="BF"/>
            <w:tcMar>
              <w:left w:w="28" w:type="dxa"/>
              <w:right w:w="28" w:type="dxa"/>
            </w:tcMar>
          </w:tcPr>
          <w:p w14:paraId="52DF8CF9" w14:textId="77777777" w:rsidR="00CC724D" w:rsidRPr="00AE21E9" w:rsidRDefault="00CC724D" w:rsidP="00F207DC">
            <w:pPr>
              <w:pStyle w:val="Tableheading"/>
              <w:jc w:val="center"/>
              <w:rPr>
                <w:rFonts w:eastAsia="MS Mincho"/>
                <w:vertAlign w:val="superscript"/>
              </w:rPr>
            </w:pPr>
            <w:r>
              <w:rPr>
                <w:rFonts w:eastAsia="MS Mincho"/>
              </w:rPr>
              <w:t>N</w:t>
            </w:r>
            <w:r>
              <w:rPr>
                <w:rFonts w:eastAsia="MS Mincho"/>
                <w:vertAlign w:val="superscript"/>
              </w:rPr>
              <w:t>1</w:t>
            </w:r>
          </w:p>
        </w:tc>
        <w:tc>
          <w:tcPr>
            <w:tcW w:w="1112" w:type="pct"/>
            <w:shd w:val="clear" w:color="auto" w:fill="BFBFBF" w:themeFill="background1" w:themeFillShade="BF"/>
            <w:tcMar>
              <w:left w:w="28" w:type="dxa"/>
              <w:right w:w="28" w:type="dxa"/>
            </w:tcMar>
          </w:tcPr>
          <w:p w14:paraId="652FFC41" w14:textId="77777777" w:rsidR="00CC724D" w:rsidRPr="00061F78" w:rsidRDefault="00CC724D" w:rsidP="00F207DC">
            <w:pPr>
              <w:pStyle w:val="Tableheading"/>
              <w:jc w:val="center"/>
              <w:rPr>
                <w:rFonts w:eastAsia="MS Mincho"/>
              </w:rPr>
            </w:pPr>
            <w:r w:rsidRPr="00061F78">
              <w:rPr>
                <w:rFonts w:eastAsia="MS Mincho"/>
              </w:rPr>
              <w:t>P</w:t>
            </w:r>
            <w:r>
              <w:rPr>
                <w:rFonts w:eastAsia="MS Mincho"/>
              </w:rPr>
              <w:t>opulation</w:t>
            </w:r>
          </w:p>
        </w:tc>
        <w:tc>
          <w:tcPr>
            <w:tcW w:w="1014" w:type="pct"/>
            <w:shd w:val="clear" w:color="auto" w:fill="BFBFBF" w:themeFill="background1" w:themeFillShade="BF"/>
          </w:tcPr>
          <w:p w14:paraId="7CED349C" w14:textId="77777777" w:rsidR="00CC724D" w:rsidRDefault="00CC724D" w:rsidP="00F207DC">
            <w:pPr>
              <w:pStyle w:val="Tableheading"/>
              <w:jc w:val="center"/>
              <w:rPr>
                <w:rFonts w:eastAsia="MS Mincho"/>
              </w:rPr>
            </w:pPr>
            <w:r>
              <w:rPr>
                <w:rFonts w:eastAsia="MS Mincho"/>
              </w:rPr>
              <w:t>Intervention and comparator</w:t>
            </w:r>
          </w:p>
        </w:tc>
        <w:tc>
          <w:tcPr>
            <w:tcW w:w="770" w:type="pct"/>
            <w:shd w:val="clear" w:color="auto" w:fill="BFBFBF" w:themeFill="background1" w:themeFillShade="BF"/>
            <w:tcMar>
              <w:left w:w="28" w:type="dxa"/>
              <w:right w:w="28" w:type="dxa"/>
            </w:tcMar>
          </w:tcPr>
          <w:p w14:paraId="33082D33" w14:textId="77777777" w:rsidR="00CC724D" w:rsidRPr="00061F78" w:rsidRDefault="00CC724D" w:rsidP="00F207DC">
            <w:pPr>
              <w:pStyle w:val="Tableheading"/>
              <w:jc w:val="center"/>
              <w:rPr>
                <w:rFonts w:eastAsia="MS Mincho"/>
              </w:rPr>
            </w:pPr>
            <w:r>
              <w:rPr>
                <w:rFonts w:eastAsia="MS Mincho"/>
              </w:rPr>
              <w:t>Outcomes</w:t>
            </w:r>
          </w:p>
        </w:tc>
      </w:tr>
      <w:tr w:rsidR="00ED508B" w:rsidRPr="00061F78" w14:paraId="00361AD8" w14:textId="77777777" w:rsidTr="008B6793">
        <w:trPr>
          <w:trHeight w:val="149"/>
        </w:trPr>
        <w:tc>
          <w:tcPr>
            <w:tcW w:w="509" w:type="pct"/>
            <w:tcMar>
              <w:left w:w="28" w:type="dxa"/>
              <w:right w:w="28" w:type="dxa"/>
            </w:tcMar>
          </w:tcPr>
          <w:p w14:paraId="1AE732E5" w14:textId="77777777" w:rsidR="00ED508B" w:rsidRDefault="00ED508B" w:rsidP="00F207DC">
            <w:pPr>
              <w:pStyle w:val="Tablewriting"/>
              <w:rPr>
                <w:rFonts w:eastAsia="MS Mincho"/>
              </w:rPr>
            </w:pPr>
            <w:r>
              <w:rPr>
                <w:rFonts w:eastAsia="MS Mincho"/>
              </w:rPr>
              <w:t>Lindson</w:t>
            </w:r>
          </w:p>
          <w:p w14:paraId="26642B2C" w14:textId="2ECB756F" w:rsidR="00ED508B" w:rsidRDefault="00ED508B" w:rsidP="00F207DC">
            <w:pPr>
              <w:pStyle w:val="Tablewriting"/>
              <w:rPr>
                <w:rFonts w:eastAsia="MS Mincho"/>
              </w:rPr>
            </w:pPr>
            <w:r>
              <w:rPr>
                <w:rFonts w:eastAsia="MS Mincho"/>
              </w:rPr>
              <w:t>(2019)</w:t>
            </w:r>
          </w:p>
        </w:tc>
        <w:tc>
          <w:tcPr>
            <w:tcW w:w="544" w:type="pct"/>
          </w:tcPr>
          <w:p w14:paraId="6BD8FDCA" w14:textId="01D4DF04" w:rsidR="00ED508B" w:rsidRDefault="00ED508B" w:rsidP="00F207DC">
            <w:pPr>
              <w:pStyle w:val="Tablewriting"/>
              <w:rPr>
                <w:rFonts w:eastAsia="MS Mincho"/>
              </w:rPr>
            </w:pPr>
            <w:r>
              <w:rPr>
                <w:rFonts w:eastAsia="MS Mincho"/>
              </w:rPr>
              <w:t xml:space="preserve">Cochrane </w:t>
            </w:r>
            <w:r w:rsidR="00826C95">
              <w:rPr>
                <w:rFonts w:eastAsia="MS Mincho"/>
              </w:rPr>
              <w:t>Review (</w:t>
            </w:r>
            <w:r>
              <w:rPr>
                <w:rFonts w:eastAsia="MS Mincho"/>
              </w:rPr>
              <w:t>14 RCTs</w:t>
            </w:r>
            <w:r w:rsidRPr="00AB145F">
              <w:rPr>
                <w:rFonts w:eastAsia="MS Mincho"/>
                <w:vertAlign w:val="superscript"/>
              </w:rPr>
              <w:t>2</w:t>
            </w:r>
            <w:r>
              <w:rPr>
                <w:rFonts w:eastAsia="MS Mincho"/>
              </w:rPr>
              <w:t>)</w:t>
            </w:r>
          </w:p>
        </w:tc>
        <w:tc>
          <w:tcPr>
            <w:tcW w:w="1051" w:type="pct"/>
            <w:tcMar>
              <w:left w:w="28" w:type="dxa"/>
              <w:right w:w="28" w:type="dxa"/>
            </w:tcMar>
          </w:tcPr>
          <w:p w14:paraId="7E8D212B" w14:textId="368A334D" w:rsidR="00ED508B" w:rsidRPr="001D2106" w:rsidRDefault="00ED508B" w:rsidP="00F207DC">
            <w:pPr>
              <w:pStyle w:val="Tablewriting"/>
              <w:rPr>
                <w:rFonts w:eastAsia="MS Mincho"/>
                <w:u w:val="single"/>
              </w:rPr>
            </w:pPr>
            <w:r>
              <w:rPr>
                <w:rFonts w:eastAsia="MS Mincho"/>
                <w:u w:val="single"/>
              </w:rPr>
              <w:t xml:space="preserve">Combination NRT versus </w:t>
            </w:r>
            <w:r w:rsidR="00F030E4">
              <w:rPr>
                <w:rFonts w:eastAsia="MS Mincho"/>
                <w:u w:val="single"/>
              </w:rPr>
              <w:t xml:space="preserve">NRT </w:t>
            </w:r>
            <w:r>
              <w:rPr>
                <w:rFonts w:eastAsia="MS Mincho"/>
                <w:u w:val="single"/>
              </w:rPr>
              <w:t>patch</w:t>
            </w:r>
          </w:p>
          <w:p w14:paraId="073E7951" w14:textId="4BEB2A30" w:rsidR="00ED508B" w:rsidRDefault="00ED508B" w:rsidP="00F207DC">
            <w:pPr>
              <w:pStyle w:val="Tablewriting"/>
              <w:rPr>
                <w:rFonts w:eastAsia="MS Mincho"/>
              </w:rPr>
            </w:pPr>
            <w:r>
              <w:rPr>
                <w:rFonts w:eastAsia="MS Mincho"/>
              </w:rPr>
              <w:t>N=8,992 (12 RCTs)</w:t>
            </w:r>
          </w:p>
          <w:p w14:paraId="02C0D44C" w14:textId="2916627D" w:rsidR="00ED508B" w:rsidRDefault="00ED508B" w:rsidP="00F207DC">
            <w:pPr>
              <w:pStyle w:val="Tablewriting"/>
              <w:rPr>
                <w:rFonts w:eastAsia="MS Mincho"/>
              </w:rPr>
            </w:pPr>
            <w:r>
              <w:rPr>
                <w:rFonts w:eastAsia="MS Mincho"/>
              </w:rPr>
              <w:t>Combination NRT (n=4,306),</w:t>
            </w:r>
          </w:p>
          <w:p w14:paraId="3A9D201B" w14:textId="6773CC92" w:rsidR="00ED508B" w:rsidRDefault="00ED508B" w:rsidP="00F207DC">
            <w:pPr>
              <w:pStyle w:val="Tablewriting"/>
              <w:rPr>
                <w:rFonts w:eastAsia="MS Mincho"/>
              </w:rPr>
            </w:pPr>
            <w:r>
              <w:rPr>
                <w:rFonts w:eastAsia="MS Mincho"/>
              </w:rPr>
              <w:t>NRT patch (n=4,686)</w:t>
            </w:r>
          </w:p>
          <w:p w14:paraId="38E58401" w14:textId="2E0024F1" w:rsidR="00ED508B" w:rsidRPr="001D2106" w:rsidRDefault="00ED508B" w:rsidP="00F207DC">
            <w:pPr>
              <w:pStyle w:val="Tablewriting"/>
              <w:rPr>
                <w:rFonts w:eastAsia="MS Mincho"/>
                <w:u w:val="single"/>
              </w:rPr>
            </w:pPr>
            <w:r>
              <w:rPr>
                <w:rFonts w:eastAsia="MS Mincho"/>
                <w:u w:val="single"/>
              </w:rPr>
              <w:t>Combination NRT</w:t>
            </w:r>
            <w:r w:rsidR="00F030E4">
              <w:rPr>
                <w:rFonts w:eastAsia="MS Mincho"/>
                <w:u w:val="single"/>
              </w:rPr>
              <w:t xml:space="preserve"> versus fast-acting NRT</w:t>
            </w:r>
          </w:p>
          <w:p w14:paraId="5805DCD3" w14:textId="7AC0BBFF" w:rsidR="00ED508B" w:rsidRDefault="00ED508B" w:rsidP="00F207DC">
            <w:pPr>
              <w:pStyle w:val="Tablewriting"/>
              <w:rPr>
                <w:rFonts w:eastAsia="MS Mincho"/>
              </w:rPr>
            </w:pPr>
            <w:r>
              <w:rPr>
                <w:rFonts w:eastAsia="MS Mincho"/>
              </w:rPr>
              <w:t>N=2,364 (6 RCTs)</w:t>
            </w:r>
          </w:p>
          <w:p w14:paraId="73F568E9" w14:textId="1EABF024" w:rsidR="00ED508B" w:rsidRDefault="00ED508B" w:rsidP="00F207DC">
            <w:pPr>
              <w:pStyle w:val="Tablewriting"/>
              <w:rPr>
                <w:rFonts w:eastAsia="MS Mincho"/>
              </w:rPr>
            </w:pPr>
            <w:r>
              <w:rPr>
                <w:rFonts w:eastAsia="MS Mincho"/>
              </w:rPr>
              <w:t>Combination NRT (n=912),</w:t>
            </w:r>
          </w:p>
          <w:p w14:paraId="28C69FD1" w14:textId="49BF4A36" w:rsidR="00ED508B" w:rsidRDefault="00ED508B" w:rsidP="00F207DC">
            <w:pPr>
              <w:pStyle w:val="Tablewriting"/>
              <w:rPr>
                <w:rFonts w:eastAsia="MS Mincho"/>
              </w:rPr>
            </w:pPr>
            <w:r>
              <w:rPr>
                <w:rFonts w:eastAsia="MS Mincho"/>
              </w:rPr>
              <w:t>Fast-acting NRT (n=1,452)</w:t>
            </w:r>
          </w:p>
          <w:p w14:paraId="3B836D10" w14:textId="25ECEFCB" w:rsidR="00ED508B" w:rsidRPr="004B359D" w:rsidRDefault="00ED508B" w:rsidP="00F207DC">
            <w:pPr>
              <w:pStyle w:val="Tablewriting"/>
              <w:rPr>
                <w:rFonts w:eastAsia="MS Mincho"/>
                <w:highlight w:val="yellow"/>
              </w:rPr>
            </w:pPr>
          </w:p>
        </w:tc>
        <w:tc>
          <w:tcPr>
            <w:tcW w:w="1112" w:type="pct"/>
            <w:tcMar>
              <w:left w:w="28" w:type="dxa"/>
              <w:right w:w="28" w:type="dxa"/>
            </w:tcMar>
          </w:tcPr>
          <w:p w14:paraId="5ABEF0E2" w14:textId="77777777" w:rsidR="00ED508B" w:rsidRPr="007B7C66" w:rsidRDefault="00ED508B" w:rsidP="00F207DC">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p>
          <w:p w14:paraId="6A2BF7D3" w14:textId="77777777" w:rsidR="00ED508B" w:rsidRPr="007B7C66" w:rsidRDefault="00ED508B" w:rsidP="00F207DC">
            <w:pPr>
              <w:pStyle w:val="Tablewriting"/>
              <w:rPr>
                <w:rFonts w:eastAsia="MS Mincho"/>
              </w:rPr>
            </w:pPr>
            <w:r w:rsidRPr="007B7C66">
              <w:rPr>
                <w:rFonts w:eastAsia="MS Mincho"/>
              </w:rPr>
              <w:t>quit, irrespective of the setting from which they were recruited</w:t>
            </w:r>
          </w:p>
          <w:p w14:paraId="33CF3ECE" w14:textId="77777777" w:rsidR="00ED508B" w:rsidRDefault="00ED508B" w:rsidP="00F207DC">
            <w:pPr>
              <w:pStyle w:val="Tablewriting"/>
              <w:rPr>
                <w:rFonts w:eastAsia="MS Mincho"/>
              </w:rPr>
            </w:pPr>
            <w:r w:rsidRPr="007B7C66">
              <w:rPr>
                <w:rFonts w:eastAsia="MS Mincho"/>
              </w:rPr>
              <w:t>or their initial level of nicotine dependence, or both</w:t>
            </w:r>
            <w:r>
              <w:rPr>
                <w:rFonts w:eastAsia="MS Mincho"/>
              </w:rPr>
              <w:t>.</w:t>
            </w:r>
          </w:p>
          <w:p w14:paraId="4748F520" w14:textId="30A946EB" w:rsidR="00ED508B" w:rsidRPr="00EA1E9A" w:rsidRDefault="00ED508B" w:rsidP="00F207DC">
            <w:pPr>
              <w:pStyle w:val="Tablewriting"/>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p>
        </w:tc>
        <w:tc>
          <w:tcPr>
            <w:tcW w:w="1014" w:type="pct"/>
          </w:tcPr>
          <w:p w14:paraId="2EF8575C" w14:textId="1EB2D9E4" w:rsidR="00ED508B" w:rsidRPr="004B359D" w:rsidRDefault="00174F37" w:rsidP="00F207DC">
            <w:pPr>
              <w:pStyle w:val="Tablewriting"/>
              <w:rPr>
                <w:rFonts w:eastAsia="MS Mincho"/>
                <w:highlight w:val="yellow"/>
              </w:rPr>
            </w:pPr>
            <w:r w:rsidRPr="00174F37">
              <w:rPr>
                <w:rFonts w:eastAsia="MS Mincho"/>
              </w:rPr>
              <w:t>Combination NRT versus NRT monotherapy (patch or fast-acting)</w:t>
            </w:r>
          </w:p>
        </w:tc>
        <w:tc>
          <w:tcPr>
            <w:tcW w:w="770" w:type="pct"/>
            <w:tcMar>
              <w:left w:w="28" w:type="dxa"/>
              <w:right w:w="28" w:type="dxa"/>
            </w:tcMar>
          </w:tcPr>
          <w:p w14:paraId="31D41349" w14:textId="77777777" w:rsidR="00ED508B" w:rsidRDefault="00ED508B" w:rsidP="00F207DC">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p>
          <w:p w14:paraId="0A588013" w14:textId="38B5822D" w:rsidR="00ED508B" w:rsidRPr="004B359D" w:rsidRDefault="00ED508B" w:rsidP="00F207DC">
            <w:pPr>
              <w:pStyle w:val="Tablewriting"/>
              <w:rPr>
                <w:rFonts w:eastAsia="MS Mincho"/>
                <w:highlight w:val="yellow"/>
                <w:u w:val="single"/>
              </w:rPr>
            </w:pPr>
            <w:r w:rsidRPr="0036499C">
              <w:rPr>
                <w:rFonts w:eastAsia="MS Mincho"/>
                <w:u w:val="single"/>
              </w:rPr>
              <w:t>Secondary</w:t>
            </w:r>
            <w:r>
              <w:rPr>
                <w:rFonts w:eastAsia="MS Mincho"/>
              </w:rPr>
              <w:t xml:space="preserve">: safety including cardiac adverse events, serious adverse </w:t>
            </w:r>
            <w:r w:rsidR="00826C95">
              <w:rPr>
                <w:rFonts w:eastAsia="MS Mincho"/>
              </w:rPr>
              <w:t>events,</w:t>
            </w:r>
            <w:r>
              <w:rPr>
                <w:rFonts w:eastAsia="MS Mincho"/>
              </w:rPr>
              <w:t xml:space="preserve"> and withdrawals due to treatment</w:t>
            </w:r>
          </w:p>
        </w:tc>
      </w:tr>
      <w:tr w:rsidR="00C041B1" w:rsidRPr="00061F78" w14:paraId="2D2B3955" w14:textId="77777777" w:rsidTr="008B6793">
        <w:trPr>
          <w:trHeight w:val="149"/>
        </w:trPr>
        <w:tc>
          <w:tcPr>
            <w:tcW w:w="509" w:type="pct"/>
            <w:tcMar>
              <w:left w:w="28" w:type="dxa"/>
              <w:right w:w="28" w:type="dxa"/>
            </w:tcMar>
          </w:tcPr>
          <w:p w14:paraId="5C3D435A" w14:textId="77777777" w:rsidR="00C041B1" w:rsidRDefault="00C041B1" w:rsidP="00F207DC">
            <w:pPr>
              <w:pStyle w:val="Tablewriting"/>
              <w:rPr>
                <w:rFonts w:eastAsia="MS Mincho"/>
              </w:rPr>
            </w:pPr>
            <w:r>
              <w:rPr>
                <w:rFonts w:eastAsia="MS Mincho"/>
              </w:rPr>
              <w:t>Leung</w:t>
            </w:r>
          </w:p>
          <w:p w14:paraId="1C740F65" w14:textId="42795A3E" w:rsidR="00C041B1" w:rsidRDefault="00C041B1" w:rsidP="00F207DC">
            <w:pPr>
              <w:pStyle w:val="Tablewriting"/>
              <w:rPr>
                <w:rFonts w:eastAsia="MS Mincho"/>
              </w:rPr>
            </w:pPr>
            <w:r>
              <w:rPr>
                <w:rFonts w:eastAsia="MS Mincho"/>
              </w:rPr>
              <w:t>(2019)</w:t>
            </w:r>
          </w:p>
        </w:tc>
        <w:tc>
          <w:tcPr>
            <w:tcW w:w="544" w:type="pct"/>
          </w:tcPr>
          <w:p w14:paraId="2B7F633E" w14:textId="3BE02AE0" w:rsidR="00C041B1" w:rsidRPr="005E64E8" w:rsidRDefault="00C041B1" w:rsidP="00F207DC">
            <w:pPr>
              <w:pStyle w:val="Tablewriting"/>
              <w:rPr>
                <w:rFonts w:eastAsia="MS Mincho"/>
                <w:vertAlign w:val="superscript"/>
              </w:rPr>
            </w:pPr>
            <w:r>
              <w:rPr>
                <w:rFonts w:eastAsia="MS Mincho"/>
              </w:rPr>
              <w:t>RCT</w:t>
            </w:r>
            <w:r w:rsidR="00C95A52">
              <w:rPr>
                <w:rFonts w:eastAsia="MS Mincho"/>
                <w:vertAlign w:val="superscript"/>
              </w:rPr>
              <w:t>3</w:t>
            </w:r>
          </w:p>
        </w:tc>
        <w:tc>
          <w:tcPr>
            <w:tcW w:w="1051" w:type="pct"/>
            <w:tcMar>
              <w:left w:w="28" w:type="dxa"/>
              <w:right w:w="28" w:type="dxa"/>
            </w:tcMar>
          </w:tcPr>
          <w:p w14:paraId="6307B0EB" w14:textId="77777777" w:rsidR="00C041B1" w:rsidRDefault="00C041B1" w:rsidP="00F207DC">
            <w:pPr>
              <w:pStyle w:val="Tablewriting"/>
              <w:rPr>
                <w:rFonts w:eastAsia="MS Mincho"/>
              </w:rPr>
            </w:pPr>
            <w:r>
              <w:rPr>
                <w:rFonts w:eastAsia="MS Mincho"/>
              </w:rPr>
              <w:t>N=560</w:t>
            </w:r>
          </w:p>
          <w:p w14:paraId="6174AD5E" w14:textId="77777777" w:rsidR="00C041B1" w:rsidRDefault="00C041B1" w:rsidP="00F207DC">
            <w:pPr>
              <w:pStyle w:val="Tablewriting"/>
              <w:rPr>
                <w:rFonts w:eastAsia="MS Mincho"/>
              </w:rPr>
            </w:pPr>
            <w:r>
              <w:rPr>
                <w:rFonts w:eastAsia="MS Mincho"/>
              </w:rPr>
              <w:t>NRT patch and gum (n=274),</w:t>
            </w:r>
          </w:p>
          <w:p w14:paraId="510F1B49" w14:textId="00B8F3D3" w:rsidR="00C041B1" w:rsidRPr="00AC1662" w:rsidRDefault="00C041B1" w:rsidP="00F207DC">
            <w:pPr>
              <w:pStyle w:val="Tablewriting"/>
              <w:rPr>
                <w:rFonts w:eastAsia="MS Mincho"/>
              </w:rPr>
            </w:pPr>
            <w:r>
              <w:rPr>
                <w:rFonts w:eastAsia="MS Mincho"/>
              </w:rPr>
              <w:t>NRT patch alone (n=286)</w:t>
            </w:r>
          </w:p>
        </w:tc>
        <w:tc>
          <w:tcPr>
            <w:tcW w:w="1112" w:type="pct"/>
            <w:tcMar>
              <w:left w:w="28" w:type="dxa"/>
              <w:right w:w="28" w:type="dxa"/>
            </w:tcMar>
          </w:tcPr>
          <w:p w14:paraId="2DCBF20E" w14:textId="1465BF4B" w:rsidR="00C041B1" w:rsidRDefault="00C041B1" w:rsidP="00F207DC">
            <w:pPr>
              <w:pStyle w:val="Tablewriting"/>
              <w:rPr>
                <w:rFonts w:eastAsia="MS Mincho"/>
              </w:rPr>
            </w:pPr>
            <w:r>
              <w:rPr>
                <w:rFonts w:eastAsia="MS Mincho"/>
                <w:u w:val="single"/>
              </w:rPr>
              <w:t>Inclusion</w:t>
            </w:r>
            <w:r w:rsidRPr="007709D9">
              <w:rPr>
                <w:rFonts w:eastAsia="MS Mincho"/>
              </w:rPr>
              <w:t xml:space="preserve">: </w:t>
            </w:r>
            <w:r w:rsidR="005F2C44">
              <w:rPr>
                <w:rFonts w:eastAsia="MS Mincho"/>
              </w:rPr>
              <w:t>current smokers</w:t>
            </w:r>
            <w:r>
              <w:rPr>
                <w:rFonts w:eastAsia="MS Mincho"/>
              </w:rPr>
              <w:t xml:space="preserve">, </w:t>
            </w:r>
            <w:r w:rsidRPr="007709D9">
              <w:rPr>
                <w:rFonts w:eastAsia="MS Mincho"/>
              </w:rPr>
              <w:t>≥</w:t>
            </w:r>
            <w:r w:rsidR="005F2C44">
              <w:rPr>
                <w:rFonts w:eastAsia="MS Mincho"/>
              </w:rPr>
              <w:t>10</w:t>
            </w:r>
            <w:r>
              <w:rPr>
                <w:rFonts w:eastAsia="MS Mincho"/>
              </w:rPr>
              <w:t xml:space="preserve"> cigarettes per day</w:t>
            </w:r>
            <w:r w:rsidR="005F2C44">
              <w:rPr>
                <w:rFonts w:eastAsia="MS Mincho"/>
              </w:rPr>
              <w:t xml:space="preserve"> for at least 1 year</w:t>
            </w:r>
          </w:p>
          <w:p w14:paraId="4B96B096" w14:textId="6363E236" w:rsidR="00C041B1" w:rsidRPr="002C19B4" w:rsidRDefault="00C041B1" w:rsidP="00F207DC">
            <w:pPr>
              <w:pStyle w:val="Tablewriting"/>
              <w:rPr>
                <w:rFonts w:eastAsia="MS Mincho"/>
                <w:u w:val="single"/>
              </w:rPr>
            </w:pPr>
            <w:r>
              <w:rPr>
                <w:rFonts w:eastAsia="MS Mincho"/>
                <w:u w:val="single"/>
              </w:rPr>
              <w:t>Exclusion</w:t>
            </w:r>
            <w:r w:rsidRPr="007709D9">
              <w:rPr>
                <w:rFonts w:eastAsia="MS Mincho"/>
              </w:rPr>
              <w:t xml:space="preserve">: </w:t>
            </w:r>
            <w:r w:rsidR="0087780D">
              <w:rPr>
                <w:rFonts w:eastAsia="MS Mincho"/>
              </w:rPr>
              <w:t>s</w:t>
            </w:r>
            <w:r w:rsidR="0087780D" w:rsidRPr="0087780D">
              <w:rPr>
                <w:rFonts w:eastAsia="MS Mincho"/>
              </w:rPr>
              <w:t xml:space="preserve">mokers with unstable angina, severe cardiac arrhythmia, recent acute myocardial </w:t>
            </w:r>
            <w:r w:rsidR="00826C95" w:rsidRPr="0087780D">
              <w:rPr>
                <w:rFonts w:eastAsia="MS Mincho"/>
              </w:rPr>
              <w:t>infarction,</w:t>
            </w:r>
            <w:r w:rsidR="0087780D" w:rsidRPr="0087780D">
              <w:rPr>
                <w:rFonts w:eastAsia="MS Mincho"/>
              </w:rPr>
              <w:t xml:space="preserve"> or cerebrovascular accident in preceding 3 months, below 18 years old, </w:t>
            </w:r>
            <w:r w:rsidR="00826C95" w:rsidRPr="0087780D">
              <w:rPr>
                <w:rFonts w:eastAsia="MS Mincho"/>
              </w:rPr>
              <w:t>pregnant,</w:t>
            </w:r>
            <w:r w:rsidR="0087780D" w:rsidRPr="0087780D">
              <w:rPr>
                <w:rFonts w:eastAsia="MS Mincho"/>
              </w:rPr>
              <w:t xml:space="preserve"> or breastfeeding, unable to use gum,</w:t>
            </w:r>
            <w:r w:rsidR="0087780D">
              <w:rPr>
                <w:rFonts w:eastAsia="MS Mincho"/>
              </w:rPr>
              <w:t xml:space="preserve"> </w:t>
            </w:r>
            <w:r w:rsidR="0087780D" w:rsidRPr="0087780D">
              <w:rPr>
                <w:rFonts w:eastAsia="MS Mincho"/>
              </w:rPr>
              <w:t xml:space="preserve">previous history of </w:t>
            </w:r>
            <w:r w:rsidR="000E1409">
              <w:rPr>
                <w:rFonts w:eastAsia="MS Mincho"/>
              </w:rPr>
              <w:t>unsuccessfully quitting with</w:t>
            </w:r>
            <w:r w:rsidR="0087780D" w:rsidRPr="0087780D">
              <w:rPr>
                <w:rFonts w:eastAsia="MS Mincho"/>
              </w:rPr>
              <w:t xml:space="preserve"> NRT</w:t>
            </w:r>
          </w:p>
        </w:tc>
        <w:tc>
          <w:tcPr>
            <w:tcW w:w="1014" w:type="pct"/>
          </w:tcPr>
          <w:p w14:paraId="74AF5464" w14:textId="6F5CC4EE" w:rsidR="00C041B1" w:rsidRDefault="00FD016B" w:rsidP="00F207DC">
            <w:pPr>
              <w:pStyle w:val="Tablewriting"/>
              <w:rPr>
                <w:rFonts w:eastAsia="MS Mincho"/>
              </w:rPr>
            </w:pPr>
            <w:r>
              <w:rPr>
                <w:rFonts w:eastAsia="MS Mincho"/>
              </w:rPr>
              <w:t xml:space="preserve">Combination </w:t>
            </w:r>
            <w:r w:rsidR="00C041B1">
              <w:rPr>
                <w:rFonts w:eastAsia="MS Mincho"/>
              </w:rPr>
              <w:t>NRT:</w:t>
            </w:r>
            <w:r w:rsidR="00C041B1">
              <w:t xml:space="preserve"> </w:t>
            </w:r>
            <w:r w:rsidR="00771A9E">
              <w:t>8</w:t>
            </w:r>
            <w:r w:rsidR="00C041B1" w:rsidRPr="00CD358E">
              <w:rPr>
                <w:rFonts w:eastAsia="MS Mincho"/>
              </w:rPr>
              <w:t xml:space="preserve"> weeks of patches (</w:t>
            </w:r>
            <w:r w:rsidR="00771A9E">
              <w:rPr>
                <w:rFonts w:eastAsia="MS Mincho" w:cstheme="minorHAnsi"/>
              </w:rPr>
              <w:t>≥</w:t>
            </w:r>
            <w:r w:rsidR="00771A9E">
              <w:rPr>
                <w:rFonts w:eastAsia="MS Mincho"/>
              </w:rPr>
              <w:t xml:space="preserve">20 cigarettes per day: </w:t>
            </w:r>
            <w:r w:rsidR="00C041B1" w:rsidRPr="00CD358E">
              <w:rPr>
                <w:rFonts w:eastAsia="MS Mincho"/>
              </w:rPr>
              <w:t xml:space="preserve">21 mg for </w:t>
            </w:r>
            <w:r w:rsidR="00196FCA">
              <w:rPr>
                <w:rFonts w:eastAsia="MS Mincho"/>
              </w:rPr>
              <w:t>4</w:t>
            </w:r>
            <w:r w:rsidR="00C041B1" w:rsidRPr="00CD358E">
              <w:rPr>
                <w:rFonts w:eastAsia="MS Mincho"/>
              </w:rPr>
              <w:t xml:space="preserve"> weeks, 14 mg for 2 weeks, and 7 mg for 2 weeks</w:t>
            </w:r>
            <w:r w:rsidR="00196FCA">
              <w:rPr>
                <w:rFonts w:eastAsia="MS Mincho"/>
              </w:rPr>
              <w:t>; 10-19 cigarettes per day:</w:t>
            </w:r>
            <w:r w:rsidR="00756790" w:rsidRPr="00CD358E">
              <w:rPr>
                <w:rFonts w:eastAsia="MS Mincho"/>
              </w:rPr>
              <w:t xml:space="preserve"> 14 mg for </w:t>
            </w:r>
            <w:r w:rsidR="00756790">
              <w:rPr>
                <w:rFonts w:eastAsia="MS Mincho"/>
              </w:rPr>
              <w:t>4</w:t>
            </w:r>
            <w:r w:rsidR="00756790" w:rsidRPr="00CD358E">
              <w:rPr>
                <w:rFonts w:eastAsia="MS Mincho"/>
              </w:rPr>
              <w:t xml:space="preserve"> weeks, and 7 mg for </w:t>
            </w:r>
            <w:r w:rsidR="00756790">
              <w:rPr>
                <w:rFonts w:eastAsia="MS Mincho"/>
              </w:rPr>
              <w:t>4</w:t>
            </w:r>
            <w:r w:rsidR="00756790" w:rsidRPr="00CD358E">
              <w:rPr>
                <w:rFonts w:eastAsia="MS Mincho"/>
              </w:rPr>
              <w:t xml:space="preserve"> weeks</w:t>
            </w:r>
            <w:r w:rsidR="00C041B1" w:rsidRPr="00CD358E">
              <w:rPr>
                <w:rFonts w:eastAsia="MS Mincho"/>
              </w:rPr>
              <w:t xml:space="preserve">) as well as </w:t>
            </w:r>
            <w:r w:rsidR="00756790">
              <w:rPr>
                <w:rFonts w:eastAsia="MS Mincho"/>
              </w:rPr>
              <w:t>2 mg gum every 1-2 hours when required</w:t>
            </w:r>
            <w:r w:rsidR="00707142">
              <w:rPr>
                <w:rFonts w:eastAsia="MS Mincho"/>
              </w:rPr>
              <w:t xml:space="preserve">; </w:t>
            </w:r>
            <w:r>
              <w:rPr>
                <w:rFonts w:eastAsia="MS Mincho"/>
              </w:rPr>
              <w:t>NRT alone</w:t>
            </w:r>
            <w:r w:rsidR="00C041B1">
              <w:rPr>
                <w:rFonts w:eastAsia="MS Mincho"/>
              </w:rPr>
              <w:t xml:space="preserve">: </w:t>
            </w:r>
            <w:r w:rsidR="00E226C4">
              <w:rPr>
                <w:rFonts w:eastAsia="MS Mincho"/>
              </w:rPr>
              <w:t xml:space="preserve">NRT patch, </w:t>
            </w:r>
            <w:r>
              <w:rPr>
                <w:rFonts w:eastAsia="MS Mincho"/>
              </w:rPr>
              <w:t>same regimen</w:t>
            </w:r>
          </w:p>
          <w:p w14:paraId="0545736C" w14:textId="77777777" w:rsidR="00C041B1" w:rsidRDefault="00C041B1" w:rsidP="00F207DC">
            <w:pPr>
              <w:pStyle w:val="Tablewriting"/>
              <w:rPr>
                <w:rFonts w:eastAsia="MS Mincho"/>
              </w:rPr>
            </w:pPr>
          </w:p>
          <w:p w14:paraId="6F014800" w14:textId="5469A9B6" w:rsidR="00C041B1" w:rsidRPr="00174F37" w:rsidRDefault="00C041B1" w:rsidP="00F207DC">
            <w:pPr>
              <w:pStyle w:val="Tablewriting"/>
              <w:rPr>
                <w:rFonts w:eastAsia="MS Mincho"/>
              </w:rPr>
            </w:pPr>
            <w:r w:rsidRPr="006C01A1">
              <w:rPr>
                <w:rFonts w:eastAsia="MS Mincho"/>
              </w:rPr>
              <w:t>Behavioural support provided in both arms.</w:t>
            </w:r>
          </w:p>
        </w:tc>
        <w:tc>
          <w:tcPr>
            <w:tcW w:w="770" w:type="pct"/>
            <w:tcMar>
              <w:left w:w="28" w:type="dxa"/>
              <w:right w:w="28" w:type="dxa"/>
            </w:tcMar>
          </w:tcPr>
          <w:p w14:paraId="74A07CC9" w14:textId="4F28AAF4" w:rsidR="00C041B1" w:rsidRDefault="00C041B1" w:rsidP="00F207DC">
            <w:pPr>
              <w:pStyle w:val="Tablewriting"/>
              <w:rPr>
                <w:rFonts w:eastAsia="MS Mincho"/>
              </w:rPr>
            </w:pPr>
            <w:r w:rsidRPr="0036499C">
              <w:rPr>
                <w:rFonts w:eastAsia="MS Mincho"/>
                <w:u w:val="single"/>
              </w:rPr>
              <w:t>Primary</w:t>
            </w:r>
            <w:r>
              <w:rPr>
                <w:rFonts w:eastAsia="MS Mincho"/>
              </w:rPr>
              <w:t xml:space="preserve">: 7-day PPA at </w:t>
            </w:r>
            <w:r w:rsidR="00D562FA">
              <w:rPr>
                <w:rFonts w:eastAsia="MS Mincho"/>
              </w:rPr>
              <w:t>w</w:t>
            </w:r>
            <w:r>
              <w:rPr>
                <w:rFonts w:eastAsia="MS Mincho"/>
              </w:rPr>
              <w:t xml:space="preserve">eek </w:t>
            </w:r>
            <w:r w:rsidR="00E226C4">
              <w:rPr>
                <w:rFonts w:eastAsia="MS Mincho"/>
              </w:rPr>
              <w:t>5</w:t>
            </w:r>
            <w:r>
              <w:rPr>
                <w:rFonts w:eastAsia="MS Mincho"/>
              </w:rPr>
              <w:t xml:space="preserve">2. Validated by CO </w:t>
            </w:r>
            <w:r w:rsidR="00D10CCD">
              <w:rPr>
                <w:rFonts w:eastAsia="MS Mincho" w:cstheme="minorHAnsi"/>
              </w:rPr>
              <w:t>≤</w:t>
            </w:r>
            <w:r w:rsidR="00D10CCD">
              <w:rPr>
                <w:rFonts w:eastAsia="MS Mincho"/>
              </w:rPr>
              <w:t>6</w:t>
            </w:r>
            <w:r>
              <w:rPr>
                <w:rFonts w:eastAsia="MS Mincho"/>
              </w:rPr>
              <w:t xml:space="preserve"> ppm.</w:t>
            </w:r>
          </w:p>
          <w:p w14:paraId="1F341C37" w14:textId="52867024" w:rsidR="00C041B1" w:rsidRPr="0036499C" w:rsidRDefault="00C041B1" w:rsidP="00F207DC">
            <w:pPr>
              <w:pStyle w:val="Tablewriting"/>
              <w:rPr>
                <w:rFonts w:eastAsia="MS Mincho"/>
                <w:u w:val="single"/>
              </w:rPr>
            </w:pPr>
            <w:r w:rsidRPr="0036499C">
              <w:rPr>
                <w:rFonts w:eastAsia="MS Mincho"/>
                <w:u w:val="single"/>
              </w:rPr>
              <w:t>Secondary</w:t>
            </w:r>
            <w:r>
              <w:rPr>
                <w:rFonts w:eastAsia="MS Mincho"/>
              </w:rPr>
              <w:t>: 7-day PPA at</w:t>
            </w:r>
            <w:r w:rsidR="00D10CCD">
              <w:rPr>
                <w:rFonts w:eastAsia="MS Mincho"/>
              </w:rPr>
              <w:t xml:space="preserve"> </w:t>
            </w:r>
            <w:r w:rsidR="00D562FA">
              <w:rPr>
                <w:rFonts w:eastAsia="MS Mincho"/>
              </w:rPr>
              <w:t>w</w:t>
            </w:r>
            <w:r w:rsidR="00D10CCD">
              <w:rPr>
                <w:rFonts w:eastAsia="MS Mincho"/>
              </w:rPr>
              <w:t>eek</w:t>
            </w:r>
            <w:r>
              <w:rPr>
                <w:rFonts w:eastAsia="MS Mincho"/>
              </w:rPr>
              <w:t xml:space="preserve"> </w:t>
            </w:r>
            <w:r w:rsidR="00D10CCD">
              <w:rPr>
                <w:rFonts w:eastAsia="MS Mincho"/>
              </w:rPr>
              <w:t>4, 12 and 2</w:t>
            </w:r>
            <w:r>
              <w:rPr>
                <w:rFonts w:eastAsia="MS Mincho"/>
              </w:rPr>
              <w:t>6 (CO-validated), adverse events</w:t>
            </w:r>
          </w:p>
        </w:tc>
      </w:tr>
    </w:tbl>
    <w:p w14:paraId="3DBD6F02" w14:textId="226686D7" w:rsidR="0054145A" w:rsidRDefault="0054145A" w:rsidP="00537F1F">
      <w:pPr>
        <w:pStyle w:val="TableFooter"/>
        <w:jc w:val="both"/>
        <w:rPr>
          <w:i/>
        </w:rPr>
      </w:pPr>
      <w:r>
        <w:t xml:space="preserve">Abbreviations: NRT = nicotine replacement therapy; </w:t>
      </w:r>
      <w:r w:rsidR="001F1294">
        <w:t xml:space="preserve">PPA = point prevalence abstinence; </w:t>
      </w:r>
      <w:r>
        <w:t>RCT = randomised controlled trial</w:t>
      </w:r>
      <w:r w:rsidRPr="00061F78">
        <w:t xml:space="preserve"> </w:t>
      </w:r>
    </w:p>
    <w:p w14:paraId="27586D47" w14:textId="77777777" w:rsidR="0054145A" w:rsidRDefault="0054145A" w:rsidP="00537F1F">
      <w:pPr>
        <w:pStyle w:val="TableFooter"/>
        <w:jc w:val="both"/>
      </w:pPr>
      <w:r>
        <w:t xml:space="preserve">1 Only the number of patients (n) in the relevant arms were included </w:t>
      </w:r>
    </w:p>
    <w:p w14:paraId="06651690" w14:textId="3FD04C75" w:rsidR="0054145A" w:rsidRPr="00061F78" w:rsidRDefault="0054145A" w:rsidP="00537F1F">
      <w:pPr>
        <w:pStyle w:val="TableFooter"/>
        <w:jc w:val="both"/>
      </w:pPr>
      <w:r>
        <w:t xml:space="preserve">2 The characteristics of the individual studies comparing combination NRT with </w:t>
      </w:r>
      <w:r w:rsidR="003E17D5">
        <w:t>NRT monotherapy</w:t>
      </w:r>
      <w:r>
        <w:t xml:space="preserve"> included in </w:t>
      </w:r>
      <w:r w:rsidR="003E17D5">
        <w:t>Lindson</w:t>
      </w:r>
      <w:r>
        <w:t xml:space="preserve"> et al. (201</w:t>
      </w:r>
      <w:r w:rsidR="003E17D5">
        <w:t>9</w:t>
      </w:r>
      <w:r>
        <w:t xml:space="preserve">) are presented in </w:t>
      </w:r>
      <w:r w:rsidRPr="008B1DAA">
        <w:t>Appendix</w:t>
      </w:r>
      <w:r w:rsidR="002C2DB9">
        <w:t xml:space="preserve"> Table 156.</w:t>
      </w:r>
    </w:p>
    <w:p w14:paraId="34BA80F7" w14:textId="16B9A113" w:rsidR="00C95A52" w:rsidRPr="00061F78" w:rsidRDefault="00094EE9" w:rsidP="00537F1F">
      <w:pPr>
        <w:pStyle w:val="TableFooter"/>
        <w:spacing w:after="120"/>
        <w:contextualSpacing w:val="0"/>
        <w:jc w:val="both"/>
      </w:pPr>
      <w:r>
        <w:t xml:space="preserve">3 </w:t>
      </w:r>
      <w:r w:rsidRPr="00094EE9">
        <w:t>In Leung et al. (2019), both the patients and counsellors were aware of treatment allocation (</w:t>
      </w:r>
      <w:r w:rsidR="00826C95" w:rsidRPr="00094EE9">
        <w:t>i.e.,</w:t>
      </w:r>
      <w:r w:rsidRPr="00094EE9">
        <w:t xml:space="preserve"> open-label study)</w:t>
      </w:r>
      <w:r w:rsidR="002F57E9">
        <w:t>.</w:t>
      </w:r>
    </w:p>
    <w:p w14:paraId="67CB19B8" w14:textId="468399B4" w:rsidR="009C79C3" w:rsidRPr="009C79C3" w:rsidRDefault="009C79C3" w:rsidP="00537F1F">
      <w:pPr>
        <w:spacing w:after="120"/>
        <w:jc w:val="both"/>
        <w:rPr>
          <w:u w:val="single"/>
        </w:rPr>
      </w:pPr>
      <w:r w:rsidRPr="009C79C3">
        <w:rPr>
          <w:u w:val="single"/>
        </w:rPr>
        <w:t>Efficacy</w:t>
      </w:r>
    </w:p>
    <w:p w14:paraId="49472F76" w14:textId="0B246DCD" w:rsidR="00416C44" w:rsidRDefault="009C79C3" w:rsidP="00537F1F">
      <w:pPr>
        <w:spacing w:after="120"/>
        <w:jc w:val="both"/>
      </w:pPr>
      <w:r>
        <w:t>A summary of the smoking cessation rates of at least six months follow-up</w:t>
      </w:r>
      <w:r w:rsidR="00707142">
        <w:t xml:space="preserve"> comparing combination NRT with NRT monotherapy</w:t>
      </w:r>
      <w:r>
        <w:t xml:space="preserve"> is presented in </w:t>
      </w:r>
      <w:r w:rsidR="006E0F48">
        <w:fldChar w:fldCharType="begin" w:fldLock="1"/>
      </w:r>
      <w:r w:rsidR="006E0F48">
        <w:instrText xml:space="preserve"> REF _Ref55301003 \h </w:instrText>
      </w:r>
      <w:r w:rsidR="006E0F48">
        <w:fldChar w:fldCharType="separate"/>
      </w:r>
      <w:r w:rsidR="00EC5CC7">
        <w:t xml:space="preserve">Table </w:t>
      </w:r>
      <w:r w:rsidR="00EC5CC7">
        <w:rPr>
          <w:noProof/>
        </w:rPr>
        <w:t>60</w:t>
      </w:r>
      <w:r w:rsidR="006E0F48">
        <w:fldChar w:fldCharType="end"/>
      </w:r>
      <w:r>
        <w:t xml:space="preserve">. For the comparison of </w:t>
      </w:r>
      <w:r w:rsidR="00CF3E91">
        <w:lastRenderedPageBreak/>
        <w:t xml:space="preserve">combination </w:t>
      </w:r>
      <w:r>
        <w:t>NRT versus</w:t>
      </w:r>
      <w:r w:rsidR="00CF3E91">
        <w:t xml:space="preserve"> NRT </w:t>
      </w:r>
      <w:r w:rsidR="00573F59">
        <w:t>patches</w:t>
      </w:r>
      <w:r w:rsidR="00CF3E91">
        <w:t xml:space="preserve"> alone</w:t>
      </w:r>
      <w:r>
        <w:t xml:space="preserve">, </w:t>
      </w:r>
      <w:r w:rsidR="00CF3E91" w:rsidRPr="00CF3E91">
        <w:t xml:space="preserve">the results of the meta-analysis comprising </w:t>
      </w:r>
      <w:r w:rsidR="00CF3E91">
        <w:t>12</w:t>
      </w:r>
      <w:r w:rsidR="00CF3E91" w:rsidRPr="00CF3E91">
        <w:t xml:space="preserve"> RCTs by </w:t>
      </w:r>
      <w:r w:rsidR="00CF3E91">
        <w:t>Lindson</w:t>
      </w:r>
      <w:r w:rsidR="00CF3E91" w:rsidRPr="00CF3E91">
        <w:t xml:space="preserve"> et al. (201</w:t>
      </w:r>
      <w:r w:rsidR="00CF3E91">
        <w:t>9</w:t>
      </w:r>
      <w:r w:rsidR="00CF3E91" w:rsidRPr="00CF3E91">
        <w:t xml:space="preserve">) demonstrated a significantly higher rate of long-term smoking cessation with </w:t>
      </w:r>
      <w:r w:rsidR="00CF3E91">
        <w:t>combination NRT</w:t>
      </w:r>
      <w:r w:rsidR="00CF3E91" w:rsidRPr="00CF3E91">
        <w:t xml:space="preserve"> compared with </w:t>
      </w:r>
      <w:r w:rsidR="00573F59">
        <w:t>patches</w:t>
      </w:r>
      <w:r w:rsidR="007531A0">
        <w:t xml:space="preserve"> alone</w:t>
      </w:r>
      <w:r w:rsidR="00CF3E91" w:rsidRPr="00CF3E91">
        <w:t>.</w:t>
      </w:r>
      <w:r w:rsidR="007531A0">
        <w:t xml:space="preserve"> </w:t>
      </w:r>
      <w:r w:rsidR="00DB06A9">
        <w:t>The results of the updated re-analysis comprising 13 RCTs (including Leung et al. 2019) were consistent with the</w:t>
      </w:r>
      <w:r w:rsidR="00B80696">
        <w:t xml:space="preserve"> results from Lindson et al. (2019) (</w:t>
      </w:r>
      <w:r w:rsidR="00746A6D">
        <w:t>RR: 1.26, 95% CI: 1.11, 1.42).</w:t>
      </w:r>
    </w:p>
    <w:p w14:paraId="260BD4A9" w14:textId="7368B9EF" w:rsidR="00416C44" w:rsidRDefault="00746A6D" w:rsidP="00537F1F">
      <w:pPr>
        <w:spacing w:after="120"/>
        <w:jc w:val="both"/>
      </w:pPr>
      <w:r>
        <w:t>For the comparison of combination NRT versus fast-acting NRT</w:t>
      </w:r>
      <w:r w:rsidR="0007107B">
        <w:t xml:space="preserve">, </w:t>
      </w:r>
      <w:r w:rsidR="0007107B" w:rsidRPr="0007107B">
        <w:t xml:space="preserve">the results of the meta-analysis comprising </w:t>
      </w:r>
      <w:r w:rsidR="0007107B">
        <w:t>six</w:t>
      </w:r>
      <w:r w:rsidR="0007107B" w:rsidRPr="0007107B">
        <w:t xml:space="preserve"> RCTs demonstrated a significantly higher rate of long-term smoking cessation with </w:t>
      </w:r>
      <w:r w:rsidR="0015222F">
        <w:t xml:space="preserve">combination NRT </w:t>
      </w:r>
      <w:r w:rsidR="0007107B" w:rsidRPr="0007107B">
        <w:t xml:space="preserve">compared with </w:t>
      </w:r>
      <w:r w:rsidR="0015222F">
        <w:t>fast-acting NRT</w:t>
      </w:r>
      <w:r w:rsidR="005572C2">
        <w:t xml:space="preserve"> monotherapy</w:t>
      </w:r>
      <w:r w:rsidR="0007107B" w:rsidRPr="0007107B">
        <w:t>.</w:t>
      </w:r>
      <w:r w:rsidR="00A06B62">
        <w:t xml:space="preserve"> </w:t>
      </w:r>
    </w:p>
    <w:p w14:paraId="3F675EFA" w14:textId="15FCA69C" w:rsidR="005144AD" w:rsidRDefault="00A06B62" w:rsidP="0014001D">
      <w:pPr>
        <w:spacing w:after="120"/>
        <w:jc w:val="both"/>
      </w:pPr>
      <w:r>
        <w:t xml:space="preserve">By pooling the two comparisons, </w:t>
      </w:r>
      <w:r w:rsidR="00397FED">
        <w:t xml:space="preserve">the results of the </w:t>
      </w:r>
      <w:r w:rsidR="00BA22BD">
        <w:t>updated re-analysis</w:t>
      </w:r>
      <w:r w:rsidR="00397FED">
        <w:t xml:space="preserve"> remained </w:t>
      </w:r>
      <w:r w:rsidRPr="00A06B62">
        <w:t>statistically significant</w:t>
      </w:r>
      <w:r w:rsidR="00CC7634">
        <w:t>ly</w:t>
      </w:r>
      <w:r w:rsidR="00FB3C3E">
        <w:t xml:space="preserve"> different, in favour of combination NRT</w:t>
      </w:r>
      <w:r w:rsidRPr="00A06B62">
        <w:t xml:space="preserve"> (</w:t>
      </w:r>
      <w:r w:rsidR="00FB3C3E" w:rsidRPr="00BA22BD">
        <w:t>R</w:t>
      </w:r>
      <w:r w:rsidRPr="00BA22BD">
        <w:t>R: 1.</w:t>
      </w:r>
      <w:r w:rsidR="00FB3C3E" w:rsidRPr="00BA22BD">
        <w:t>2</w:t>
      </w:r>
      <w:r w:rsidR="00BA22BD" w:rsidRPr="00BA22BD">
        <w:t>4</w:t>
      </w:r>
      <w:r w:rsidRPr="00BA22BD">
        <w:t>; 95% CI: 1.</w:t>
      </w:r>
      <w:r w:rsidR="00FB3C3E" w:rsidRPr="00BA22BD">
        <w:t>1</w:t>
      </w:r>
      <w:r w:rsidR="00BA22BD" w:rsidRPr="00BA22BD">
        <w:t>4</w:t>
      </w:r>
      <w:r w:rsidRPr="00BA22BD">
        <w:t xml:space="preserve">, </w:t>
      </w:r>
      <w:r w:rsidR="00FB3C3E" w:rsidRPr="00BA22BD">
        <w:t>1.3</w:t>
      </w:r>
      <w:r w:rsidR="00BA22BD" w:rsidRPr="00BA22BD">
        <w:t>5</w:t>
      </w:r>
      <w:r w:rsidRPr="00BA22BD">
        <w:t>).</w:t>
      </w:r>
      <w:r w:rsidR="00580945">
        <w:t xml:space="preserve"> The test </w:t>
      </w:r>
      <w:r w:rsidR="0054132C">
        <w:t>of interaction for subgroup effects was not statistically significant.</w:t>
      </w:r>
    </w:p>
    <w:p w14:paraId="64893229" w14:textId="6BDCDB1E" w:rsidR="00DA425A" w:rsidRDefault="00DA425A" w:rsidP="0014001D">
      <w:pPr>
        <w:pStyle w:val="Caption"/>
        <w:keepNext/>
        <w:spacing w:before="0" w:after="120"/>
        <w:jc w:val="both"/>
      </w:pPr>
      <w:bookmarkStart w:id="116" w:name="_Ref55301003"/>
      <w:r>
        <w:t xml:space="preserve">Table </w:t>
      </w:r>
      <w:r w:rsidR="00BF3F75">
        <w:fldChar w:fldCharType="begin"/>
      </w:r>
      <w:r w:rsidR="00BF3F75">
        <w:instrText xml:space="preserve"> SEQ Table \* ARABIC </w:instrText>
      </w:r>
      <w:r w:rsidR="00BF3F75">
        <w:fldChar w:fldCharType="separate"/>
      </w:r>
      <w:r w:rsidR="00EC5CC7">
        <w:rPr>
          <w:noProof/>
        </w:rPr>
        <w:t>60</w:t>
      </w:r>
      <w:r w:rsidR="00BF3F75">
        <w:rPr>
          <w:noProof/>
        </w:rPr>
        <w:fldChar w:fldCharType="end"/>
      </w:r>
      <w:bookmarkEnd w:id="116"/>
      <w:r>
        <w:t xml:space="preserve">: </w:t>
      </w:r>
      <w:r w:rsidRPr="00A2689D">
        <w:t>Results of smoking cessation f</w:t>
      </w:r>
      <w:r w:rsidR="008A27A8">
        <w:t>or</w:t>
      </w:r>
      <w:r w:rsidRPr="00A2689D">
        <w:t xml:space="preserve"> at least six months follow-up, combination NRT versus </w:t>
      </w:r>
      <w:r w:rsidR="00704CE8">
        <w:t>NRT monotherapy</w:t>
      </w:r>
    </w:p>
    <w:tbl>
      <w:tblPr>
        <w:tblStyle w:val="TableGrid"/>
        <w:tblW w:w="5000" w:type="pct"/>
        <w:tblLook w:val="04A0" w:firstRow="1" w:lastRow="0" w:firstColumn="1" w:lastColumn="0" w:noHBand="0" w:noVBand="1"/>
        <w:tblCaption w:val="Efficacy results of adalimumab trials (PASI 75 and DLQI)"/>
      </w:tblPr>
      <w:tblGrid>
        <w:gridCol w:w="1299"/>
        <w:gridCol w:w="1659"/>
        <w:gridCol w:w="1533"/>
        <w:gridCol w:w="1535"/>
        <w:gridCol w:w="1535"/>
        <w:gridCol w:w="1455"/>
      </w:tblGrid>
      <w:tr w:rsidR="009C79C3" w:rsidRPr="00061F78" w14:paraId="3A703736" w14:textId="77777777" w:rsidTr="000708B4">
        <w:trPr>
          <w:cantSplit/>
          <w:trHeight w:val="299"/>
          <w:tblHeader/>
        </w:trPr>
        <w:tc>
          <w:tcPr>
            <w:tcW w:w="721" w:type="pct"/>
            <w:shd w:val="clear" w:color="auto" w:fill="BFBFBF" w:themeFill="background1" w:themeFillShade="BF"/>
            <w:tcMar>
              <w:left w:w="28" w:type="dxa"/>
              <w:right w:w="28" w:type="dxa"/>
            </w:tcMar>
          </w:tcPr>
          <w:p w14:paraId="71FEBA66" w14:textId="77777777" w:rsidR="009C79C3" w:rsidRPr="00061F78" w:rsidRDefault="009C79C3" w:rsidP="005144AD">
            <w:pPr>
              <w:pStyle w:val="Tableheading"/>
              <w:keepNext/>
              <w:rPr>
                <w:rFonts w:eastAsia="MS Mincho"/>
              </w:rPr>
            </w:pPr>
            <w:r>
              <w:rPr>
                <w:rFonts w:eastAsia="MS Mincho"/>
              </w:rPr>
              <w:t>Study</w:t>
            </w:r>
          </w:p>
        </w:tc>
        <w:tc>
          <w:tcPr>
            <w:tcW w:w="920" w:type="pct"/>
            <w:shd w:val="clear" w:color="auto" w:fill="BFBFBF" w:themeFill="background1" w:themeFillShade="BF"/>
            <w:vAlign w:val="center"/>
          </w:tcPr>
          <w:p w14:paraId="5441D915" w14:textId="77777777" w:rsidR="009C79C3" w:rsidRDefault="009C79C3" w:rsidP="005144AD">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7D31E88C" w14:textId="77777777" w:rsidR="009C79C3" w:rsidRPr="00061F78" w:rsidRDefault="009C79C3" w:rsidP="005144AD">
            <w:pPr>
              <w:pStyle w:val="Tableheading"/>
              <w:keepNext/>
              <w:jc w:val="center"/>
              <w:rPr>
                <w:rFonts w:eastAsia="MS Mincho"/>
              </w:rPr>
            </w:pPr>
            <w:r>
              <w:rPr>
                <w:rFonts w:eastAsia="MS Mincho"/>
              </w:rPr>
              <w:t>Combination NRT</w:t>
            </w:r>
          </w:p>
        </w:tc>
        <w:tc>
          <w:tcPr>
            <w:tcW w:w="851" w:type="pct"/>
            <w:shd w:val="clear" w:color="auto" w:fill="BFBFBF" w:themeFill="background1" w:themeFillShade="BF"/>
            <w:tcMar>
              <w:left w:w="28" w:type="dxa"/>
              <w:right w:w="28" w:type="dxa"/>
            </w:tcMar>
            <w:vAlign w:val="center"/>
          </w:tcPr>
          <w:p w14:paraId="7EB32E9A" w14:textId="0D263435" w:rsidR="009C79C3" w:rsidRPr="00061F78" w:rsidRDefault="00F62C02" w:rsidP="005144AD">
            <w:pPr>
              <w:pStyle w:val="Tableheading"/>
              <w:keepNext/>
              <w:jc w:val="center"/>
              <w:rPr>
                <w:rFonts w:eastAsia="MS Mincho"/>
              </w:rPr>
            </w:pPr>
            <w:r>
              <w:rPr>
                <w:rFonts w:eastAsia="MS Mincho"/>
              </w:rPr>
              <w:t>NRT monotherapy</w:t>
            </w:r>
          </w:p>
        </w:tc>
        <w:tc>
          <w:tcPr>
            <w:tcW w:w="851" w:type="pct"/>
            <w:shd w:val="clear" w:color="auto" w:fill="BFBFBF" w:themeFill="background1" w:themeFillShade="BF"/>
            <w:tcMar>
              <w:left w:w="28" w:type="dxa"/>
              <w:right w:w="28" w:type="dxa"/>
            </w:tcMar>
            <w:vAlign w:val="center"/>
          </w:tcPr>
          <w:p w14:paraId="3B0FD1F1" w14:textId="208067BF" w:rsidR="009C79C3" w:rsidRPr="00704CE8" w:rsidRDefault="009C79C3" w:rsidP="005144AD">
            <w:pPr>
              <w:pStyle w:val="Tableheading"/>
              <w:keepNext/>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68F5D819" w14:textId="77777777" w:rsidR="009C79C3" w:rsidRDefault="009C79C3" w:rsidP="005144AD">
            <w:pPr>
              <w:pStyle w:val="Tableheading"/>
              <w:keepNext/>
              <w:jc w:val="center"/>
              <w:rPr>
                <w:rFonts w:eastAsia="MS Mincho"/>
              </w:rPr>
            </w:pPr>
            <w:r>
              <w:rPr>
                <w:rFonts w:eastAsia="MS Mincho"/>
              </w:rPr>
              <w:t>RD (95% CI)</w:t>
            </w:r>
          </w:p>
        </w:tc>
      </w:tr>
      <w:tr w:rsidR="009C79C3" w:rsidRPr="00061F78" w14:paraId="4EF1704D" w14:textId="77777777" w:rsidTr="004B53F8">
        <w:trPr>
          <w:cantSplit/>
          <w:trHeight w:val="99"/>
        </w:trPr>
        <w:tc>
          <w:tcPr>
            <w:tcW w:w="5000" w:type="pct"/>
            <w:gridSpan w:val="6"/>
            <w:shd w:val="clear" w:color="auto" w:fill="auto"/>
            <w:tcMar>
              <w:left w:w="28" w:type="dxa"/>
              <w:right w:w="28" w:type="dxa"/>
            </w:tcMar>
          </w:tcPr>
          <w:p w14:paraId="7E02DD51" w14:textId="1A5FC978" w:rsidR="009C79C3" w:rsidRPr="004B53F8" w:rsidRDefault="00F62C02" w:rsidP="005144AD">
            <w:pPr>
              <w:pStyle w:val="Tablewriting"/>
              <w:keepNext/>
              <w:rPr>
                <w:rFonts w:eastAsia="MS Mincho"/>
                <w:b/>
                <w:bCs/>
              </w:rPr>
            </w:pPr>
            <w:r w:rsidRPr="004B53F8">
              <w:rPr>
                <w:rFonts w:eastAsia="MS Mincho"/>
                <w:b/>
                <w:bCs/>
              </w:rPr>
              <w:t xml:space="preserve">Combination </w:t>
            </w:r>
            <w:r w:rsidR="009C79C3" w:rsidRPr="004B53F8">
              <w:rPr>
                <w:rFonts w:eastAsia="MS Mincho"/>
                <w:b/>
                <w:bCs/>
              </w:rPr>
              <w:t xml:space="preserve">NRT </w:t>
            </w:r>
            <w:r w:rsidRPr="004B53F8">
              <w:rPr>
                <w:rFonts w:eastAsia="MS Mincho"/>
                <w:b/>
                <w:bCs/>
              </w:rPr>
              <w:t>versus patch alone</w:t>
            </w:r>
          </w:p>
        </w:tc>
      </w:tr>
      <w:tr w:rsidR="009C79C3" w:rsidRPr="00061F78" w14:paraId="79667D25" w14:textId="77777777" w:rsidTr="000708B4">
        <w:trPr>
          <w:cantSplit/>
          <w:trHeight w:val="99"/>
        </w:trPr>
        <w:tc>
          <w:tcPr>
            <w:tcW w:w="721" w:type="pct"/>
            <w:shd w:val="clear" w:color="auto" w:fill="auto"/>
            <w:tcMar>
              <w:left w:w="28" w:type="dxa"/>
              <w:right w:w="28" w:type="dxa"/>
            </w:tcMar>
          </w:tcPr>
          <w:p w14:paraId="1F6E07D3" w14:textId="168D0E8F" w:rsidR="009C79C3" w:rsidRDefault="00F62C02" w:rsidP="005144AD">
            <w:pPr>
              <w:pStyle w:val="Tablewriting"/>
              <w:keepNext/>
              <w:rPr>
                <w:rFonts w:eastAsia="MS Mincho"/>
              </w:rPr>
            </w:pPr>
            <w:r>
              <w:rPr>
                <w:rFonts w:eastAsia="MS Mincho"/>
              </w:rPr>
              <w:t>Lindson</w:t>
            </w:r>
          </w:p>
          <w:p w14:paraId="5B2EF8ED" w14:textId="1B2CCB4F" w:rsidR="009C79C3" w:rsidRPr="00251B64" w:rsidRDefault="009C79C3" w:rsidP="005144AD">
            <w:pPr>
              <w:pStyle w:val="Tablewriting"/>
              <w:keepNext/>
              <w:rPr>
                <w:rFonts w:eastAsia="MS Mincho"/>
              </w:rPr>
            </w:pPr>
            <w:r w:rsidRPr="00251B64">
              <w:rPr>
                <w:rFonts w:eastAsia="MS Mincho"/>
              </w:rPr>
              <w:t>(</w:t>
            </w:r>
            <w:r>
              <w:rPr>
                <w:rFonts w:eastAsia="MS Mincho"/>
              </w:rPr>
              <w:t>20</w:t>
            </w:r>
            <w:r w:rsidR="00F62C02">
              <w:rPr>
                <w:rFonts w:eastAsia="MS Mincho"/>
              </w:rPr>
              <w:t>1</w:t>
            </w:r>
            <w:r>
              <w:rPr>
                <w:rFonts w:eastAsia="MS Mincho"/>
              </w:rPr>
              <w:t>9</w:t>
            </w:r>
            <w:r w:rsidRPr="00251B64">
              <w:rPr>
                <w:rFonts w:eastAsia="MS Mincho"/>
              </w:rPr>
              <w:t>)</w:t>
            </w:r>
            <w:r w:rsidRPr="00251B64">
              <w:rPr>
                <w:rFonts w:eastAsia="MS Mincho"/>
                <w:vertAlign w:val="superscript"/>
              </w:rPr>
              <w:t>1</w:t>
            </w:r>
            <w:r w:rsidR="00133E66">
              <w:rPr>
                <w:rFonts w:eastAsia="MS Mincho"/>
                <w:vertAlign w:val="superscript"/>
              </w:rPr>
              <w:t>,2</w:t>
            </w:r>
            <w:r w:rsidRPr="00251B64">
              <w:rPr>
                <w:rFonts w:eastAsia="MS Mincho"/>
              </w:rPr>
              <w:t xml:space="preserve"> </w:t>
            </w:r>
          </w:p>
        </w:tc>
        <w:tc>
          <w:tcPr>
            <w:tcW w:w="920" w:type="pct"/>
            <w:shd w:val="clear" w:color="auto" w:fill="auto"/>
            <w:vAlign w:val="center"/>
          </w:tcPr>
          <w:p w14:paraId="106F1C63" w14:textId="77777777" w:rsidR="00F62C02" w:rsidRDefault="00F62C02" w:rsidP="005144AD">
            <w:pPr>
              <w:pStyle w:val="Tablewriting"/>
              <w:keepNext/>
              <w:jc w:val="center"/>
              <w:rPr>
                <w:rFonts w:eastAsia="MS Mincho"/>
              </w:rPr>
            </w:pPr>
            <w:r>
              <w:rPr>
                <w:rFonts w:eastAsia="MS Mincho"/>
              </w:rPr>
              <w:t>Cochrane Review</w:t>
            </w:r>
          </w:p>
          <w:p w14:paraId="34107CAE" w14:textId="04392E41" w:rsidR="009C79C3" w:rsidRPr="00251B64" w:rsidRDefault="00F62C02" w:rsidP="005144AD">
            <w:pPr>
              <w:pStyle w:val="Tablewriting"/>
              <w:keepNext/>
              <w:jc w:val="center"/>
              <w:rPr>
                <w:rFonts w:eastAsia="MS Mincho"/>
              </w:rPr>
            </w:pPr>
            <w:r>
              <w:rPr>
                <w:rFonts w:eastAsia="MS Mincho"/>
              </w:rPr>
              <w:t>(</w:t>
            </w:r>
            <w:r w:rsidR="0007413C">
              <w:rPr>
                <w:rFonts w:eastAsia="MS Mincho"/>
              </w:rPr>
              <w:t xml:space="preserve">12 </w:t>
            </w:r>
            <w:r w:rsidR="009C79C3" w:rsidRPr="00251B64">
              <w:rPr>
                <w:rFonts w:eastAsia="MS Mincho"/>
              </w:rPr>
              <w:t>RCT</w:t>
            </w:r>
            <w:r w:rsidR="0007413C">
              <w:rPr>
                <w:rFonts w:eastAsia="MS Mincho"/>
              </w:rPr>
              <w:t>s)</w:t>
            </w:r>
          </w:p>
        </w:tc>
        <w:tc>
          <w:tcPr>
            <w:tcW w:w="850" w:type="pct"/>
            <w:shd w:val="clear" w:color="auto" w:fill="auto"/>
            <w:tcMar>
              <w:left w:w="28" w:type="dxa"/>
              <w:right w:w="28" w:type="dxa"/>
            </w:tcMar>
            <w:vAlign w:val="center"/>
          </w:tcPr>
          <w:p w14:paraId="778BFE38" w14:textId="330409BC" w:rsidR="009C79C3" w:rsidRPr="00251B64" w:rsidRDefault="0007413C" w:rsidP="005144AD">
            <w:pPr>
              <w:pStyle w:val="Tablewriting"/>
              <w:keepNext/>
              <w:jc w:val="center"/>
              <w:rPr>
                <w:rFonts w:eastAsia="MS Mincho"/>
                <w:vertAlign w:val="superscript"/>
              </w:rPr>
            </w:pPr>
            <w:r>
              <w:rPr>
                <w:rFonts w:eastAsia="MS Mincho"/>
              </w:rPr>
              <w:t>691</w:t>
            </w:r>
            <w:r w:rsidR="009C79C3" w:rsidRPr="00251B64">
              <w:rPr>
                <w:rFonts w:eastAsia="MS Mincho"/>
              </w:rPr>
              <w:t>/</w:t>
            </w:r>
            <w:r w:rsidR="000708C6">
              <w:rPr>
                <w:rFonts w:eastAsia="MS Mincho"/>
              </w:rPr>
              <w:t>4,306</w:t>
            </w:r>
          </w:p>
          <w:p w14:paraId="50A49078" w14:textId="01BF5980" w:rsidR="009C79C3" w:rsidRPr="00251B64" w:rsidRDefault="009C79C3" w:rsidP="005144AD">
            <w:pPr>
              <w:pStyle w:val="Tablewriting"/>
              <w:keepNext/>
              <w:jc w:val="center"/>
              <w:rPr>
                <w:rFonts w:eastAsia="MS Mincho"/>
              </w:rPr>
            </w:pPr>
            <w:r w:rsidRPr="00251B64">
              <w:rPr>
                <w:rFonts w:eastAsia="MS Mincho"/>
              </w:rPr>
              <w:t>(</w:t>
            </w:r>
            <w:r w:rsidR="00464D22">
              <w:rPr>
                <w:rFonts w:eastAsia="MS Mincho"/>
              </w:rPr>
              <w:t>16.0</w:t>
            </w:r>
            <w:r w:rsidRPr="00251B64">
              <w:rPr>
                <w:rFonts w:eastAsia="MS Mincho"/>
              </w:rPr>
              <w:t>%)</w:t>
            </w:r>
          </w:p>
        </w:tc>
        <w:tc>
          <w:tcPr>
            <w:tcW w:w="851" w:type="pct"/>
            <w:shd w:val="clear" w:color="auto" w:fill="auto"/>
            <w:tcMar>
              <w:left w:w="28" w:type="dxa"/>
              <w:right w:w="28" w:type="dxa"/>
            </w:tcMar>
            <w:vAlign w:val="center"/>
          </w:tcPr>
          <w:p w14:paraId="54473B9C" w14:textId="31A65BBF" w:rsidR="009C79C3" w:rsidRPr="006F3FC8" w:rsidRDefault="000708C6" w:rsidP="005144AD">
            <w:pPr>
              <w:pStyle w:val="Tablewriting"/>
              <w:keepNext/>
              <w:jc w:val="center"/>
              <w:rPr>
                <w:rFonts w:eastAsia="MS Mincho"/>
                <w:vertAlign w:val="superscript"/>
              </w:rPr>
            </w:pPr>
            <w:r>
              <w:rPr>
                <w:rFonts w:eastAsia="MS Mincho"/>
              </w:rPr>
              <w:t>621</w:t>
            </w:r>
            <w:r w:rsidR="009C79C3" w:rsidRPr="00251B64">
              <w:rPr>
                <w:rFonts w:eastAsia="MS Mincho"/>
              </w:rPr>
              <w:t>/</w:t>
            </w:r>
            <w:r>
              <w:rPr>
                <w:rFonts w:eastAsia="MS Mincho"/>
              </w:rPr>
              <w:t>4,686</w:t>
            </w:r>
          </w:p>
          <w:p w14:paraId="4BC6BEB7" w14:textId="4FED6F82" w:rsidR="009C79C3" w:rsidRPr="00251B64" w:rsidRDefault="009C79C3" w:rsidP="005144AD">
            <w:pPr>
              <w:pStyle w:val="Tablewriting"/>
              <w:keepNext/>
              <w:jc w:val="center"/>
              <w:rPr>
                <w:rFonts w:eastAsia="MS Mincho"/>
              </w:rPr>
            </w:pPr>
            <w:r w:rsidRPr="00251B64">
              <w:rPr>
                <w:rFonts w:eastAsia="MS Mincho"/>
              </w:rPr>
              <w:t>(</w:t>
            </w:r>
            <w:r w:rsidR="00552062">
              <w:rPr>
                <w:rFonts w:eastAsia="MS Mincho"/>
              </w:rPr>
              <w:t>13.3</w:t>
            </w:r>
            <w:r w:rsidRPr="00251B64">
              <w:rPr>
                <w:rFonts w:eastAsia="MS Mincho"/>
              </w:rPr>
              <w:t>%)</w:t>
            </w:r>
          </w:p>
        </w:tc>
        <w:tc>
          <w:tcPr>
            <w:tcW w:w="851" w:type="pct"/>
            <w:shd w:val="clear" w:color="auto" w:fill="auto"/>
            <w:tcMar>
              <w:left w:w="28" w:type="dxa"/>
              <w:right w:w="28" w:type="dxa"/>
            </w:tcMar>
            <w:vAlign w:val="center"/>
          </w:tcPr>
          <w:p w14:paraId="228F53AA" w14:textId="4FD97FB9" w:rsidR="009C79C3" w:rsidRPr="006A5716" w:rsidRDefault="006A5716" w:rsidP="005144AD">
            <w:pPr>
              <w:pStyle w:val="Tablewriting"/>
              <w:keepNext/>
              <w:jc w:val="center"/>
              <w:rPr>
                <w:rFonts w:eastAsia="MS Mincho"/>
                <w:b/>
                <w:bCs/>
              </w:rPr>
            </w:pPr>
            <w:r>
              <w:rPr>
                <w:rFonts w:eastAsia="MS Mincho"/>
                <w:b/>
                <w:bCs/>
              </w:rPr>
              <w:t>1.23</w:t>
            </w:r>
          </w:p>
          <w:p w14:paraId="6F896AC9" w14:textId="040487E3" w:rsidR="009C79C3" w:rsidRPr="00D56406" w:rsidRDefault="009C79C3" w:rsidP="005144AD">
            <w:pPr>
              <w:pStyle w:val="Tablewriting"/>
              <w:keepNext/>
              <w:jc w:val="center"/>
              <w:rPr>
                <w:rFonts w:eastAsia="MS Mincho"/>
              </w:rPr>
            </w:pPr>
            <w:r w:rsidRPr="009D16D9">
              <w:rPr>
                <w:rFonts w:eastAsia="MS Mincho"/>
                <w:b/>
                <w:bCs/>
              </w:rPr>
              <w:t>(1</w:t>
            </w:r>
            <w:r w:rsidR="006A5716">
              <w:rPr>
                <w:rFonts w:eastAsia="MS Mincho"/>
                <w:b/>
                <w:bCs/>
              </w:rPr>
              <w:t>.12</w:t>
            </w:r>
            <w:r w:rsidRPr="009D16D9">
              <w:rPr>
                <w:rFonts w:eastAsia="MS Mincho"/>
                <w:b/>
                <w:bCs/>
              </w:rPr>
              <w:t xml:space="preserve">, </w:t>
            </w:r>
            <w:r w:rsidR="006A5716">
              <w:rPr>
                <w:rFonts w:eastAsia="MS Mincho"/>
                <w:b/>
                <w:bCs/>
              </w:rPr>
              <w:t>1.36</w:t>
            </w:r>
            <w:r w:rsidRPr="009D16D9">
              <w:rPr>
                <w:rFonts w:eastAsia="MS Mincho"/>
                <w:b/>
                <w:bCs/>
              </w:rPr>
              <w:t>)</w:t>
            </w:r>
          </w:p>
        </w:tc>
        <w:tc>
          <w:tcPr>
            <w:tcW w:w="807" w:type="pct"/>
            <w:shd w:val="clear" w:color="auto" w:fill="auto"/>
            <w:vAlign w:val="center"/>
          </w:tcPr>
          <w:p w14:paraId="05D28C8C" w14:textId="1C5F0505" w:rsidR="009C79C3" w:rsidRPr="00D56406" w:rsidRDefault="00133E66" w:rsidP="005144AD">
            <w:pPr>
              <w:pStyle w:val="Tablewriting"/>
              <w:keepNext/>
              <w:jc w:val="center"/>
              <w:rPr>
                <w:rFonts w:eastAsia="MS Mincho"/>
              </w:rPr>
            </w:pPr>
            <w:r>
              <w:rPr>
                <w:rFonts w:eastAsia="MS Mincho"/>
              </w:rPr>
              <w:t>NR</w:t>
            </w:r>
          </w:p>
        </w:tc>
      </w:tr>
      <w:tr w:rsidR="00B67F26" w:rsidRPr="00061F78" w14:paraId="270A258C" w14:textId="77777777" w:rsidTr="000708B4">
        <w:trPr>
          <w:cantSplit/>
          <w:trHeight w:val="99"/>
        </w:trPr>
        <w:tc>
          <w:tcPr>
            <w:tcW w:w="721" w:type="pct"/>
            <w:shd w:val="clear" w:color="auto" w:fill="auto"/>
            <w:tcMar>
              <w:left w:w="28" w:type="dxa"/>
              <w:right w:w="28" w:type="dxa"/>
            </w:tcMar>
          </w:tcPr>
          <w:p w14:paraId="0248FCBE" w14:textId="77777777" w:rsidR="00B67F26" w:rsidRDefault="00B67F26" w:rsidP="005144AD">
            <w:pPr>
              <w:pStyle w:val="Tablewriting"/>
              <w:keepNext/>
              <w:rPr>
                <w:rFonts w:eastAsia="MS Mincho"/>
              </w:rPr>
            </w:pPr>
            <w:r>
              <w:rPr>
                <w:rFonts w:eastAsia="MS Mincho"/>
              </w:rPr>
              <w:t>Leung</w:t>
            </w:r>
          </w:p>
          <w:p w14:paraId="507979B5" w14:textId="5DE6C0AB" w:rsidR="00B67F26" w:rsidRDefault="00B67F26" w:rsidP="005144AD">
            <w:pPr>
              <w:pStyle w:val="Tablewriting"/>
              <w:keepNext/>
              <w:rPr>
                <w:rFonts w:eastAsia="MS Mincho"/>
              </w:rPr>
            </w:pPr>
            <w:r>
              <w:rPr>
                <w:rFonts w:eastAsia="MS Mincho"/>
              </w:rPr>
              <w:t>(2019)</w:t>
            </w:r>
          </w:p>
        </w:tc>
        <w:tc>
          <w:tcPr>
            <w:tcW w:w="920" w:type="pct"/>
            <w:shd w:val="clear" w:color="auto" w:fill="auto"/>
            <w:vAlign w:val="center"/>
          </w:tcPr>
          <w:p w14:paraId="5F3EFF73" w14:textId="19622CFF" w:rsidR="00B67F26" w:rsidRDefault="00B67F26" w:rsidP="005144AD">
            <w:pPr>
              <w:pStyle w:val="Tablewriting"/>
              <w:keepNext/>
              <w:jc w:val="center"/>
              <w:rPr>
                <w:rFonts w:eastAsia="MS Mincho"/>
              </w:rPr>
            </w:pPr>
            <w:r>
              <w:rPr>
                <w:rFonts w:eastAsia="MS Mincho"/>
              </w:rPr>
              <w:t>RCT</w:t>
            </w:r>
          </w:p>
        </w:tc>
        <w:tc>
          <w:tcPr>
            <w:tcW w:w="850" w:type="pct"/>
            <w:shd w:val="clear" w:color="auto" w:fill="auto"/>
            <w:tcMar>
              <w:left w:w="28" w:type="dxa"/>
              <w:right w:w="28" w:type="dxa"/>
            </w:tcMar>
            <w:vAlign w:val="center"/>
          </w:tcPr>
          <w:p w14:paraId="67E9D169" w14:textId="77777777" w:rsidR="00B67F26" w:rsidRDefault="00B67F26" w:rsidP="005144AD">
            <w:pPr>
              <w:pStyle w:val="Tablewriting"/>
              <w:keepNext/>
              <w:jc w:val="center"/>
              <w:rPr>
                <w:rFonts w:eastAsia="MS Mincho"/>
              </w:rPr>
            </w:pPr>
            <w:r>
              <w:rPr>
                <w:rFonts w:eastAsia="MS Mincho"/>
              </w:rPr>
              <w:t>55/274</w:t>
            </w:r>
          </w:p>
          <w:p w14:paraId="0EDAD1CC" w14:textId="4EB4E8AE" w:rsidR="00B67F26" w:rsidRDefault="00B67F26" w:rsidP="005144AD">
            <w:pPr>
              <w:pStyle w:val="Tablewriting"/>
              <w:keepNext/>
              <w:jc w:val="center"/>
              <w:rPr>
                <w:rFonts w:eastAsia="MS Mincho"/>
              </w:rPr>
            </w:pPr>
            <w:r>
              <w:rPr>
                <w:rFonts w:eastAsia="MS Mincho"/>
              </w:rPr>
              <w:t>(</w:t>
            </w:r>
            <w:r w:rsidR="000B3CA3">
              <w:rPr>
                <w:rFonts w:eastAsia="MS Mincho"/>
              </w:rPr>
              <w:t>20.1</w:t>
            </w:r>
            <w:r>
              <w:rPr>
                <w:rFonts w:eastAsia="MS Mincho"/>
              </w:rPr>
              <w:t>%)</w:t>
            </w:r>
          </w:p>
        </w:tc>
        <w:tc>
          <w:tcPr>
            <w:tcW w:w="851" w:type="pct"/>
            <w:shd w:val="clear" w:color="auto" w:fill="auto"/>
            <w:tcMar>
              <w:left w:w="28" w:type="dxa"/>
              <w:right w:w="28" w:type="dxa"/>
            </w:tcMar>
            <w:vAlign w:val="center"/>
          </w:tcPr>
          <w:p w14:paraId="6C59C719" w14:textId="77777777" w:rsidR="00B67F26" w:rsidRDefault="00B67F26" w:rsidP="005144AD">
            <w:pPr>
              <w:pStyle w:val="Tablewriting"/>
              <w:keepNext/>
              <w:jc w:val="center"/>
              <w:rPr>
                <w:rFonts w:eastAsia="MS Mincho"/>
              </w:rPr>
            </w:pPr>
            <w:r>
              <w:rPr>
                <w:rFonts w:eastAsia="MS Mincho"/>
              </w:rPr>
              <w:t>41/286</w:t>
            </w:r>
          </w:p>
          <w:p w14:paraId="7BAF2B9D" w14:textId="487E5BE1" w:rsidR="00B67F26" w:rsidRDefault="00B67F26" w:rsidP="005144AD">
            <w:pPr>
              <w:pStyle w:val="Tablewriting"/>
              <w:keepNext/>
              <w:jc w:val="center"/>
              <w:rPr>
                <w:rFonts w:eastAsia="MS Mincho"/>
              </w:rPr>
            </w:pPr>
            <w:r>
              <w:rPr>
                <w:rFonts w:eastAsia="MS Mincho"/>
              </w:rPr>
              <w:t>(</w:t>
            </w:r>
            <w:r w:rsidR="000B3CA3">
              <w:rPr>
                <w:rFonts w:eastAsia="MS Mincho"/>
              </w:rPr>
              <w:t>14.3</w:t>
            </w:r>
            <w:r>
              <w:rPr>
                <w:rFonts w:eastAsia="MS Mincho"/>
              </w:rPr>
              <w:t>%)</w:t>
            </w:r>
          </w:p>
        </w:tc>
        <w:tc>
          <w:tcPr>
            <w:tcW w:w="851" w:type="pct"/>
            <w:shd w:val="clear" w:color="auto" w:fill="auto"/>
            <w:tcMar>
              <w:left w:w="28" w:type="dxa"/>
              <w:right w:w="28" w:type="dxa"/>
            </w:tcMar>
            <w:vAlign w:val="center"/>
          </w:tcPr>
          <w:p w14:paraId="6A551D95" w14:textId="77777777" w:rsidR="00B67F26" w:rsidRPr="00F207DC" w:rsidRDefault="00B67F26" w:rsidP="005144AD">
            <w:pPr>
              <w:pStyle w:val="Tablewriting"/>
              <w:keepNext/>
              <w:jc w:val="center"/>
              <w:rPr>
                <w:rFonts w:eastAsia="MS Mincho"/>
              </w:rPr>
            </w:pPr>
            <w:r w:rsidRPr="00F207DC">
              <w:rPr>
                <w:rFonts w:eastAsia="MS Mincho"/>
              </w:rPr>
              <w:t>1.40</w:t>
            </w:r>
          </w:p>
          <w:p w14:paraId="0A292232" w14:textId="4AB89920" w:rsidR="00B67F26" w:rsidRDefault="00B67F26" w:rsidP="005144AD">
            <w:pPr>
              <w:pStyle w:val="Tablewriting"/>
              <w:keepNext/>
              <w:jc w:val="center"/>
              <w:rPr>
                <w:rFonts w:eastAsia="MS Mincho"/>
                <w:b/>
                <w:bCs/>
              </w:rPr>
            </w:pPr>
            <w:r w:rsidRPr="00F207DC">
              <w:rPr>
                <w:rFonts w:eastAsia="MS Mincho"/>
              </w:rPr>
              <w:t>(0.97, 2.02)</w:t>
            </w:r>
          </w:p>
        </w:tc>
        <w:tc>
          <w:tcPr>
            <w:tcW w:w="807" w:type="pct"/>
            <w:shd w:val="clear" w:color="auto" w:fill="auto"/>
            <w:vAlign w:val="center"/>
          </w:tcPr>
          <w:p w14:paraId="3E5FD842" w14:textId="2FB060C6" w:rsidR="00B67F26" w:rsidRDefault="007D70B8" w:rsidP="005144AD">
            <w:pPr>
              <w:pStyle w:val="Tablewriting"/>
              <w:keepNext/>
              <w:jc w:val="center"/>
              <w:rPr>
                <w:rFonts w:eastAsia="MS Mincho"/>
              </w:rPr>
            </w:pPr>
            <w:r>
              <w:rPr>
                <w:rFonts w:eastAsia="MS Mincho"/>
              </w:rPr>
              <w:t>0.06</w:t>
            </w:r>
          </w:p>
          <w:p w14:paraId="67118AE3" w14:textId="4F4EF60B" w:rsidR="00B67F26" w:rsidRDefault="007D70B8" w:rsidP="005144AD">
            <w:pPr>
              <w:pStyle w:val="Tablewriting"/>
              <w:keepNext/>
              <w:jc w:val="center"/>
              <w:rPr>
                <w:rFonts w:eastAsia="MS Mincho"/>
              </w:rPr>
            </w:pPr>
            <w:r>
              <w:rPr>
                <w:rFonts w:eastAsia="MS Mincho"/>
              </w:rPr>
              <w:t>(-0.01, 0.12)</w:t>
            </w:r>
          </w:p>
        </w:tc>
      </w:tr>
      <w:tr w:rsidR="008B5070" w:rsidRPr="00061F78" w14:paraId="48AB9334" w14:textId="77777777" w:rsidTr="008B5070">
        <w:trPr>
          <w:cantSplit/>
          <w:trHeight w:val="99"/>
        </w:trPr>
        <w:tc>
          <w:tcPr>
            <w:tcW w:w="5000" w:type="pct"/>
            <w:gridSpan w:val="6"/>
            <w:shd w:val="clear" w:color="auto" w:fill="auto"/>
            <w:tcMar>
              <w:left w:w="28" w:type="dxa"/>
              <w:right w:w="28" w:type="dxa"/>
            </w:tcMar>
          </w:tcPr>
          <w:p w14:paraId="3F1FF94B" w14:textId="5F5945C4" w:rsidR="008B5070" w:rsidRPr="00D56406" w:rsidRDefault="008B5070" w:rsidP="008B5070">
            <w:pPr>
              <w:pStyle w:val="Tablewriting"/>
              <w:keepNext/>
              <w:rPr>
                <w:rFonts w:eastAsia="MS Mincho"/>
              </w:rPr>
            </w:pPr>
            <w:r>
              <w:rPr>
                <w:rFonts w:eastAsia="MS Mincho"/>
              </w:rPr>
              <w:t>Meta-analysis of Lindson (2019) and Leung (2019)</w:t>
            </w:r>
          </w:p>
        </w:tc>
      </w:tr>
      <w:tr w:rsidR="008B5070" w:rsidRPr="00061F78" w14:paraId="275FC7AD" w14:textId="77777777" w:rsidTr="000708B4">
        <w:trPr>
          <w:cantSplit/>
          <w:trHeight w:val="99"/>
        </w:trPr>
        <w:tc>
          <w:tcPr>
            <w:tcW w:w="721" w:type="pct"/>
            <w:shd w:val="clear" w:color="auto" w:fill="auto"/>
            <w:tcMar>
              <w:left w:w="28" w:type="dxa"/>
              <w:right w:w="28" w:type="dxa"/>
            </w:tcMar>
          </w:tcPr>
          <w:p w14:paraId="265AD52C" w14:textId="77777777" w:rsidR="00F9381D" w:rsidRDefault="008B5070" w:rsidP="005144AD">
            <w:pPr>
              <w:pStyle w:val="Tablewriting"/>
              <w:keepNext/>
              <w:rPr>
                <w:rFonts w:eastAsia="MS Mincho"/>
              </w:rPr>
            </w:pPr>
            <w:r>
              <w:rPr>
                <w:rFonts w:eastAsia="MS Mincho"/>
              </w:rPr>
              <w:t xml:space="preserve">Updated </w:t>
            </w:r>
          </w:p>
          <w:p w14:paraId="4ECE07E4" w14:textId="7C60BDB5" w:rsidR="008B5070" w:rsidRPr="00133E66" w:rsidRDefault="008B5070" w:rsidP="005144AD">
            <w:pPr>
              <w:pStyle w:val="Tablewriting"/>
              <w:keepNext/>
              <w:rPr>
                <w:rFonts w:eastAsia="MS Mincho"/>
                <w:vertAlign w:val="superscript"/>
              </w:rPr>
            </w:pPr>
            <w:r>
              <w:rPr>
                <w:rFonts w:eastAsia="MS Mincho"/>
              </w:rPr>
              <w:t>re-analysis</w:t>
            </w:r>
            <w:r w:rsidR="00133E66">
              <w:rPr>
                <w:rFonts w:eastAsia="MS Mincho"/>
                <w:vertAlign w:val="superscript"/>
              </w:rPr>
              <w:t>3</w:t>
            </w:r>
          </w:p>
        </w:tc>
        <w:tc>
          <w:tcPr>
            <w:tcW w:w="920" w:type="pct"/>
            <w:shd w:val="clear" w:color="auto" w:fill="auto"/>
            <w:vAlign w:val="center"/>
          </w:tcPr>
          <w:p w14:paraId="51118C4B" w14:textId="1692C225" w:rsidR="008B5070" w:rsidRDefault="008B5070" w:rsidP="005144AD">
            <w:pPr>
              <w:pStyle w:val="Tablewriting"/>
              <w:keepNext/>
              <w:jc w:val="center"/>
              <w:rPr>
                <w:rFonts w:eastAsia="MS Mincho"/>
              </w:rPr>
            </w:pPr>
            <w:r>
              <w:rPr>
                <w:rFonts w:eastAsia="MS Mincho"/>
              </w:rPr>
              <w:t>13 RCTs</w:t>
            </w:r>
          </w:p>
        </w:tc>
        <w:tc>
          <w:tcPr>
            <w:tcW w:w="850" w:type="pct"/>
            <w:shd w:val="clear" w:color="auto" w:fill="auto"/>
            <w:tcMar>
              <w:left w:w="28" w:type="dxa"/>
              <w:right w:w="28" w:type="dxa"/>
            </w:tcMar>
            <w:vAlign w:val="center"/>
          </w:tcPr>
          <w:p w14:paraId="46E6D2C9" w14:textId="77777777" w:rsidR="008B5070" w:rsidRDefault="00DA1F73" w:rsidP="005144AD">
            <w:pPr>
              <w:pStyle w:val="Tablewriting"/>
              <w:keepNext/>
              <w:jc w:val="center"/>
              <w:rPr>
                <w:rFonts w:eastAsia="MS Mincho"/>
              </w:rPr>
            </w:pPr>
            <w:r>
              <w:rPr>
                <w:rFonts w:eastAsia="MS Mincho"/>
              </w:rPr>
              <w:t>746/4,580</w:t>
            </w:r>
          </w:p>
          <w:p w14:paraId="29400A9D" w14:textId="10742CF7" w:rsidR="00DA1F73" w:rsidRDefault="00DA1F73" w:rsidP="005144AD">
            <w:pPr>
              <w:pStyle w:val="Tablewriting"/>
              <w:keepNext/>
              <w:jc w:val="center"/>
              <w:rPr>
                <w:rFonts w:eastAsia="MS Mincho"/>
              </w:rPr>
            </w:pPr>
            <w:r>
              <w:rPr>
                <w:rFonts w:eastAsia="MS Mincho"/>
              </w:rPr>
              <w:t>(</w:t>
            </w:r>
            <w:r w:rsidR="00AF3991">
              <w:rPr>
                <w:rFonts w:eastAsia="MS Mincho"/>
              </w:rPr>
              <w:t>16.3</w:t>
            </w:r>
            <w:r>
              <w:rPr>
                <w:rFonts w:eastAsia="MS Mincho"/>
              </w:rPr>
              <w:t>%)</w:t>
            </w:r>
          </w:p>
        </w:tc>
        <w:tc>
          <w:tcPr>
            <w:tcW w:w="851" w:type="pct"/>
            <w:shd w:val="clear" w:color="auto" w:fill="auto"/>
            <w:tcMar>
              <w:left w:w="28" w:type="dxa"/>
              <w:right w:w="28" w:type="dxa"/>
            </w:tcMar>
            <w:vAlign w:val="center"/>
          </w:tcPr>
          <w:p w14:paraId="0A33F435" w14:textId="0E05E7FA" w:rsidR="008B5070" w:rsidRDefault="00DA1F73" w:rsidP="005144AD">
            <w:pPr>
              <w:pStyle w:val="Tablewriting"/>
              <w:keepNext/>
              <w:jc w:val="center"/>
              <w:rPr>
                <w:rFonts w:eastAsia="MS Mincho"/>
              </w:rPr>
            </w:pPr>
            <w:r>
              <w:rPr>
                <w:rFonts w:eastAsia="MS Mincho"/>
              </w:rPr>
              <w:t>662/4</w:t>
            </w:r>
            <w:r w:rsidR="009654FD">
              <w:rPr>
                <w:rFonts w:eastAsia="MS Mincho"/>
              </w:rPr>
              <w:t>,</w:t>
            </w:r>
            <w:r>
              <w:rPr>
                <w:rFonts w:eastAsia="MS Mincho"/>
              </w:rPr>
              <w:t>972</w:t>
            </w:r>
          </w:p>
          <w:p w14:paraId="18E3FC0F" w14:textId="433BE594" w:rsidR="00DA1F73" w:rsidRDefault="00DA1F73" w:rsidP="005144AD">
            <w:pPr>
              <w:pStyle w:val="Tablewriting"/>
              <w:keepNext/>
              <w:jc w:val="center"/>
              <w:rPr>
                <w:rFonts w:eastAsia="MS Mincho"/>
              </w:rPr>
            </w:pPr>
            <w:r>
              <w:rPr>
                <w:rFonts w:eastAsia="MS Mincho"/>
              </w:rPr>
              <w:t>(</w:t>
            </w:r>
            <w:r w:rsidR="00F828BF">
              <w:rPr>
                <w:rFonts w:eastAsia="MS Mincho"/>
              </w:rPr>
              <w:t>13.3</w:t>
            </w:r>
            <w:r>
              <w:rPr>
                <w:rFonts w:eastAsia="MS Mincho"/>
              </w:rPr>
              <w:t>%)</w:t>
            </w:r>
          </w:p>
        </w:tc>
        <w:tc>
          <w:tcPr>
            <w:tcW w:w="851" w:type="pct"/>
            <w:shd w:val="clear" w:color="auto" w:fill="auto"/>
            <w:tcMar>
              <w:left w:w="28" w:type="dxa"/>
              <w:right w:w="28" w:type="dxa"/>
            </w:tcMar>
            <w:vAlign w:val="center"/>
          </w:tcPr>
          <w:p w14:paraId="370C880A" w14:textId="77777777" w:rsidR="008B5070" w:rsidRDefault="00DA1F73" w:rsidP="005144AD">
            <w:pPr>
              <w:pStyle w:val="Tablewriting"/>
              <w:keepNext/>
              <w:jc w:val="center"/>
              <w:rPr>
                <w:rFonts w:eastAsia="MS Mincho"/>
                <w:b/>
                <w:bCs/>
              </w:rPr>
            </w:pPr>
            <w:r>
              <w:rPr>
                <w:rFonts w:eastAsia="MS Mincho"/>
                <w:b/>
                <w:bCs/>
              </w:rPr>
              <w:t>1.26</w:t>
            </w:r>
          </w:p>
          <w:p w14:paraId="7D4988D0" w14:textId="2072638C" w:rsidR="00DA1F73" w:rsidRDefault="00DA1F73" w:rsidP="005144AD">
            <w:pPr>
              <w:pStyle w:val="Tablewriting"/>
              <w:keepNext/>
              <w:jc w:val="center"/>
              <w:rPr>
                <w:rFonts w:eastAsia="MS Mincho"/>
                <w:b/>
                <w:bCs/>
              </w:rPr>
            </w:pPr>
            <w:r>
              <w:rPr>
                <w:rFonts w:eastAsia="MS Mincho"/>
                <w:b/>
                <w:bCs/>
              </w:rPr>
              <w:t>(1.11, 1.42)</w:t>
            </w:r>
          </w:p>
        </w:tc>
        <w:tc>
          <w:tcPr>
            <w:tcW w:w="807" w:type="pct"/>
            <w:shd w:val="clear" w:color="auto" w:fill="auto"/>
            <w:vAlign w:val="center"/>
          </w:tcPr>
          <w:p w14:paraId="0850992C" w14:textId="77777777" w:rsidR="008B5070" w:rsidRPr="009654FD" w:rsidRDefault="009654FD" w:rsidP="005144AD">
            <w:pPr>
              <w:pStyle w:val="Tablewriting"/>
              <w:keepNext/>
              <w:jc w:val="center"/>
              <w:rPr>
                <w:rFonts w:eastAsia="MS Mincho"/>
                <w:b/>
                <w:bCs/>
              </w:rPr>
            </w:pPr>
            <w:r w:rsidRPr="009654FD">
              <w:rPr>
                <w:rFonts w:eastAsia="MS Mincho"/>
                <w:b/>
                <w:bCs/>
              </w:rPr>
              <w:t>0.04</w:t>
            </w:r>
          </w:p>
          <w:p w14:paraId="09128AB4" w14:textId="06A5499E" w:rsidR="009654FD" w:rsidRPr="00D56406" w:rsidRDefault="009654FD" w:rsidP="005144AD">
            <w:pPr>
              <w:pStyle w:val="Tablewriting"/>
              <w:keepNext/>
              <w:jc w:val="center"/>
              <w:rPr>
                <w:rFonts w:eastAsia="MS Mincho"/>
              </w:rPr>
            </w:pPr>
            <w:r w:rsidRPr="009654FD">
              <w:rPr>
                <w:rFonts w:eastAsia="MS Mincho"/>
                <w:b/>
                <w:bCs/>
              </w:rPr>
              <w:t>(0.01, 0.06)</w:t>
            </w:r>
          </w:p>
        </w:tc>
      </w:tr>
      <w:tr w:rsidR="009C79C3" w:rsidRPr="00061F78" w14:paraId="6F39DBCA" w14:textId="77777777" w:rsidTr="004B53F8">
        <w:trPr>
          <w:cantSplit/>
          <w:trHeight w:val="99"/>
        </w:trPr>
        <w:tc>
          <w:tcPr>
            <w:tcW w:w="5000" w:type="pct"/>
            <w:gridSpan w:val="6"/>
            <w:shd w:val="clear" w:color="auto" w:fill="auto"/>
            <w:tcMar>
              <w:left w:w="28" w:type="dxa"/>
              <w:right w:w="28" w:type="dxa"/>
            </w:tcMar>
          </w:tcPr>
          <w:p w14:paraId="6BDBEDAC" w14:textId="7920A022" w:rsidR="009C79C3" w:rsidRPr="004B53F8" w:rsidRDefault="00F62C02" w:rsidP="005144AD">
            <w:pPr>
              <w:pStyle w:val="Tablewriting"/>
              <w:keepNext/>
              <w:rPr>
                <w:rFonts w:eastAsia="MS Mincho"/>
                <w:b/>
                <w:bCs/>
              </w:rPr>
            </w:pPr>
            <w:r w:rsidRPr="004B53F8">
              <w:rPr>
                <w:rFonts w:eastAsia="MS Mincho"/>
                <w:b/>
                <w:bCs/>
              </w:rPr>
              <w:t>Combination NRT versus fast-acting NRT</w:t>
            </w:r>
          </w:p>
        </w:tc>
      </w:tr>
      <w:tr w:rsidR="009C79C3" w:rsidRPr="00061F78" w14:paraId="56E4D8C5" w14:textId="77777777" w:rsidTr="000708B4">
        <w:trPr>
          <w:cantSplit/>
          <w:trHeight w:val="99"/>
        </w:trPr>
        <w:tc>
          <w:tcPr>
            <w:tcW w:w="721" w:type="pct"/>
            <w:shd w:val="clear" w:color="auto" w:fill="auto"/>
            <w:tcMar>
              <w:left w:w="28" w:type="dxa"/>
              <w:right w:w="28" w:type="dxa"/>
            </w:tcMar>
          </w:tcPr>
          <w:p w14:paraId="19B1BB69" w14:textId="5D2334B4" w:rsidR="009C79C3" w:rsidRDefault="00F62C02" w:rsidP="005144AD">
            <w:pPr>
              <w:pStyle w:val="Tablewriting"/>
              <w:keepNext/>
              <w:rPr>
                <w:rFonts w:eastAsia="MS Mincho"/>
              </w:rPr>
            </w:pPr>
            <w:r>
              <w:rPr>
                <w:rFonts w:eastAsia="MS Mincho"/>
              </w:rPr>
              <w:t>Lindson</w:t>
            </w:r>
          </w:p>
          <w:p w14:paraId="526F7BB1" w14:textId="5F90A448" w:rsidR="009C79C3" w:rsidRPr="00AE12C1" w:rsidRDefault="009C79C3" w:rsidP="005144AD">
            <w:pPr>
              <w:pStyle w:val="Tablewriting"/>
              <w:keepNext/>
              <w:rPr>
                <w:rFonts w:eastAsia="MS Mincho"/>
                <w:vertAlign w:val="superscript"/>
              </w:rPr>
            </w:pPr>
            <w:r>
              <w:rPr>
                <w:rFonts w:eastAsia="MS Mincho"/>
              </w:rPr>
              <w:t>(201</w:t>
            </w:r>
            <w:r w:rsidR="00F62C02">
              <w:rPr>
                <w:rFonts w:eastAsia="MS Mincho"/>
              </w:rPr>
              <w:t>9</w:t>
            </w:r>
            <w:r>
              <w:rPr>
                <w:rFonts w:eastAsia="MS Mincho"/>
              </w:rPr>
              <w:t>)</w:t>
            </w:r>
            <w:r>
              <w:rPr>
                <w:rFonts w:eastAsia="MS Mincho"/>
                <w:vertAlign w:val="superscript"/>
              </w:rPr>
              <w:t>1</w:t>
            </w:r>
            <w:r w:rsidR="00133E66">
              <w:rPr>
                <w:rFonts w:eastAsia="MS Mincho"/>
                <w:vertAlign w:val="superscript"/>
              </w:rPr>
              <w:t>,2</w:t>
            </w:r>
          </w:p>
        </w:tc>
        <w:tc>
          <w:tcPr>
            <w:tcW w:w="920" w:type="pct"/>
            <w:shd w:val="clear" w:color="auto" w:fill="auto"/>
            <w:vAlign w:val="center"/>
          </w:tcPr>
          <w:p w14:paraId="44E7EC01" w14:textId="77777777" w:rsidR="0007413C" w:rsidRDefault="0007413C" w:rsidP="005144AD">
            <w:pPr>
              <w:pStyle w:val="Tablewriting"/>
              <w:keepNext/>
              <w:jc w:val="center"/>
              <w:rPr>
                <w:rFonts w:eastAsia="MS Mincho"/>
              </w:rPr>
            </w:pPr>
            <w:r>
              <w:rPr>
                <w:rFonts w:eastAsia="MS Mincho"/>
              </w:rPr>
              <w:t>Cochrane Review</w:t>
            </w:r>
          </w:p>
          <w:p w14:paraId="19E91942" w14:textId="3EC1F898" w:rsidR="009C79C3" w:rsidRPr="00251B64" w:rsidRDefault="0007413C" w:rsidP="005144AD">
            <w:pPr>
              <w:pStyle w:val="Tablewriting"/>
              <w:keepNext/>
              <w:jc w:val="center"/>
              <w:rPr>
                <w:rFonts w:eastAsia="MS Mincho"/>
              </w:rPr>
            </w:pPr>
            <w:r>
              <w:rPr>
                <w:rFonts w:eastAsia="MS Mincho"/>
              </w:rPr>
              <w:t xml:space="preserve">(6 </w:t>
            </w:r>
            <w:r w:rsidR="009C79C3">
              <w:rPr>
                <w:rFonts w:eastAsia="MS Mincho"/>
              </w:rPr>
              <w:t>RCT</w:t>
            </w:r>
            <w:r>
              <w:rPr>
                <w:rFonts w:eastAsia="MS Mincho"/>
              </w:rPr>
              <w:t>s)</w:t>
            </w:r>
          </w:p>
        </w:tc>
        <w:tc>
          <w:tcPr>
            <w:tcW w:w="850" w:type="pct"/>
            <w:shd w:val="clear" w:color="auto" w:fill="auto"/>
            <w:tcMar>
              <w:left w:w="28" w:type="dxa"/>
              <w:right w:w="28" w:type="dxa"/>
            </w:tcMar>
            <w:vAlign w:val="center"/>
          </w:tcPr>
          <w:p w14:paraId="1E7AB84B" w14:textId="2F4BF8DD" w:rsidR="009C79C3" w:rsidRDefault="009C79C3" w:rsidP="005144AD">
            <w:pPr>
              <w:pStyle w:val="Tablewriting"/>
              <w:keepNext/>
              <w:jc w:val="center"/>
              <w:rPr>
                <w:rFonts w:eastAsia="MS Mincho"/>
              </w:rPr>
            </w:pPr>
            <w:r>
              <w:rPr>
                <w:rFonts w:eastAsia="MS Mincho"/>
              </w:rPr>
              <w:t>1</w:t>
            </w:r>
            <w:r w:rsidR="00DF4C7B">
              <w:rPr>
                <w:rFonts w:eastAsia="MS Mincho"/>
              </w:rPr>
              <w:t>90</w:t>
            </w:r>
            <w:r>
              <w:rPr>
                <w:rFonts w:eastAsia="MS Mincho"/>
              </w:rPr>
              <w:t>/</w:t>
            </w:r>
            <w:r w:rsidR="00DF4C7B">
              <w:rPr>
                <w:rFonts w:eastAsia="MS Mincho"/>
              </w:rPr>
              <w:t>912</w:t>
            </w:r>
          </w:p>
          <w:p w14:paraId="64FCDB61" w14:textId="7760A6F6" w:rsidR="009C79C3" w:rsidRDefault="009C79C3" w:rsidP="005144AD">
            <w:pPr>
              <w:pStyle w:val="Tablewriting"/>
              <w:keepNext/>
              <w:jc w:val="center"/>
              <w:rPr>
                <w:rFonts w:eastAsia="MS Mincho"/>
              </w:rPr>
            </w:pPr>
            <w:r>
              <w:rPr>
                <w:rFonts w:eastAsia="MS Mincho"/>
              </w:rPr>
              <w:t>(</w:t>
            </w:r>
            <w:r w:rsidR="000868E5">
              <w:rPr>
                <w:rFonts w:eastAsia="MS Mincho"/>
              </w:rPr>
              <w:t>20.8</w:t>
            </w:r>
            <w:r>
              <w:rPr>
                <w:rFonts w:eastAsia="MS Mincho"/>
              </w:rPr>
              <w:t>%)</w:t>
            </w:r>
          </w:p>
        </w:tc>
        <w:tc>
          <w:tcPr>
            <w:tcW w:w="851" w:type="pct"/>
            <w:shd w:val="clear" w:color="auto" w:fill="auto"/>
            <w:tcMar>
              <w:left w:w="28" w:type="dxa"/>
              <w:right w:w="28" w:type="dxa"/>
            </w:tcMar>
            <w:vAlign w:val="center"/>
          </w:tcPr>
          <w:p w14:paraId="5378F2AD" w14:textId="367DA860" w:rsidR="009C79C3" w:rsidRDefault="00DF4C7B" w:rsidP="005144AD">
            <w:pPr>
              <w:pStyle w:val="Tablewriting"/>
              <w:keepNext/>
              <w:jc w:val="center"/>
              <w:rPr>
                <w:rFonts w:eastAsia="MS Mincho"/>
              </w:rPr>
            </w:pPr>
            <w:r>
              <w:rPr>
                <w:rFonts w:eastAsia="MS Mincho"/>
              </w:rPr>
              <w:t>231</w:t>
            </w:r>
            <w:r w:rsidR="009C79C3">
              <w:rPr>
                <w:rFonts w:eastAsia="MS Mincho"/>
              </w:rPr>
              <w:t>/</w:t>
            </w:r>
            <w:r>
              <w:rPr>
                <w:rFonts w:eastAsia="MS Mincho"/>
              </w:rPr>
              <w:t>1,452</w:t>
            </w:r>
          </w:p>
          <w:p w14:paraId="6202B9E7" w14:textId="0511DBE8" w:rsidR="009C79C3" w:rsidRDefault="009C79C3" w:rsidP="005144AD">
            <w:pPr>
              <w:pStyle w:val="Tablewriting"/>
              <w:keepNext/>
              <w:jc w:val="center"/>
              <w:rPr>
                <w:rFonts w:eastAsia="MS Mincho"/>
              </w:rPr>
            </w:pPr>
            <w:r>
              <w:rPr>
                <w:rFonts w:eastAsia="MS Mincho"/>
              </w:rPr>
              <w:t>(</w:t>
            </w:r>
            <w:r w:rsidR="00B725A6">
              <w:rPr>
                <w:rFonts w:eastAsia="MS Mincho"/>
              </w:rPr>
              <w:t>15.9</w:t>
            </w:r>
            <w:r>
              <w:rPr>
                <w:rFonts w:eastAsia="MS Mincho"/>
              </w:rPr>
              <w:t>%)</w:t>
            </w:r>
          </w:p>
        </w:tc>
        <w:tc>
          <w:tcPr>
            <w:tcW w:w="851" w:type="pct"/>
            <w:shd w:val="clear" w:color="auto" w:fill="auto"/>
            <w:tcMar>
              <w:left w:w="28" w:type="dxa"/>
              <w:right w:w="28" w:type="dxa"/>
            </w:tcMar>
            <w:vAlign w:val="center"/>
          </w:tcPr>
          <w:p w14:paraId="1DA2B1B4" w14:textId="4B214D43" w:rsidR="009C79C3" w:rsidRPr="005A7326" w:rsidRDefault="005A7326" w:rsidP="005144AD">
            <w:pPr>
              <w:pStyle w:val="Tablewriting"/>
              <w:keepNext/>
              <w:jc w:val="center"/>
              <w:rPr>
                <w:rFonts w:eastAsia="MS Mincho"/>
                <w:b/>
                <w:bCs/>
              </w:rPr>
            </w:pPr>
            <w:r w:rsidRPr="005A7326">
              <w:rPr>
                <w:rFonts w:eastAsia="MS Mincho"/>
                <w:b/>
                <w:bCs/>
              </w:rPr>
              <w:t>1.3</w:t>
            </w:r>
          </w:p>
          <w:p w14:paraId="0588179E" w14:textId="732E8E3E" w:rsidR="009C79C3" w:rsidRPr="00D56406" w:rsidRDefault="009C79C3" w:rsidP="005144AD">
            <w:pPr>
              <w:pStyle w:val="Tablewriting"/>
              <w:keepNext/>
              <w:jc w:val="center"/>
              <w:rPr>
                <w:rFonts w:eastAsia="MS Mincho"/>
              </w:rPr>
            </w:pPr>
            <w:r w:rsidRPr="005A7326">
              <w:rPr>
                <w:rFonts w:eastAsia="MS Mincho"/>
                <w:b/>
                <w:bCs/>
              </w:rPr>
              <w:t>(</w:t>
            </w:r>
            <w:r w:rsidR="005A7326" w:rsidRPr="005A7326">
              <w:rPr>
                <w:rFonts w:eastAsia="MS Mincho"/>
                <w:b/>
                <w:bCs/>
              </w:rPr>
              <w:t>1.09</w:t>
            </w:r>
            <w:r w:rsidRPr="005A7326">
              <w:rPr>
                <w:rFonts w:eastAsia="MS Mincho"/>
                <w:b/>
                <w:bCs/>
              </w:rPr>
              <w:t>, 1.</w:t>
            </w:r>
            <w:r w:rsidR="005A7326" w:rsidRPr="005A7326">
              <w:rPr>
                <w:rFonts w:eastAsia="MS Mincho"/>
                <w:b/>
                <w:bCs/>
              </w:rPr>
              <w:t>54</w:t>
            </w:r>
            <w:r w:rsidRPr="005A7326">
              <w:rPr>
                <w:rFonts w:eastAsia="MS Mincho"/>
                <w:b/>
                <w:bCs/>
              </w:rPr>
              <w:t>)</w:t>
            </w:r>
          </w:p>
        </w:tc>
        <w:tc>
          <w:tcPr>
            <w:tcW w:w="807" w:type="pct"/>
            <w:shd w:val="clear" w:color="auto" w:fill="auto"/>
            <w:vAlign w:val="center"/>
          </w:tcPr>
          <w:p w14:paraId="50FEB7FA" w14:textId="04F650A4" w:rsidR="009C79C3" w:rsidRPr="00D56406" w:rsidRDefault="00F40201" w:rsidP="005144AD">
            <w:pPr>
              <w:pStyle w:val="Tablewriting"/>
              <w:keepNext/>
              <w:jc w:val="center"/>
              <w:rPr>
                <w:rFonts w:eastAsia="MS Mincho"/>
              </w:rPr>
            </w:pPr>
            <w:r>
              <w:rPr>
                <w:rFonts w:eastAsia="MS Mincho"/>
              </w:rPr>
              <w:t>NR</w:t>
            </w:r>
          </w:p>
        </w:tc>
      </w:tr>
      <w:tr w:rsidR="009E03BB" w:rsidRPr="00061F78" w14:paraId="6F1400A6" w14:textId="77777777" w:rsidTr="004B53F8">
        <w:trPr>
          <w:cantSplit/>
          <w:trHeight w:val="99"/>
        </w:trPr>
        <w:tc>
          <w:tcPr>
            <w:tcW w:w="5000" w:type="pct"/>
            <w:gridSpan w:val="6"/>
            <w:shd w:val="clear" w:color="auto" w:fill="auto"/>
            <w:tcMar>
              <w:left w:w="28" w:type="dxa"/>
              <w:right w:w="28" w:type="dxa"/>
            </w:tcMar>
          </w:tcPr>
          <w:p w14:paraId="0DD63DF8" w14:textId="190E85C7" w:rsidR="009E03BB" w:rsidRPr="004B53F8" w:rsidRDefault="009E03BB" w:rsidP="009E03BB">
            <w:pPr>
              <w:pStyle w:val="Tablewriting"/>
              <w:keepNext/>
              <w:rPr>
                <w:rFonts w:eastAsia="MS Mincho"/>
                <w:b/>
                <w:bCs/>
              </w:rPr>
            </w:pPr>
            <w:r w:rsidRPr="004B53F8">
              <w:rPr>
                <w:rFonts w:eastAsia="MS Mincho"/>
                <w:b/>
                <w:bCs/>
              </w:rPr>
              <w:t>Combination NRT versus p</w:t>
            </w:r>
            <w:r w:rsidR="00B72E41" w:rsidRPr="004B53F8">
              <w:rPr>
                <w:rFonts w:eastAsia="MS Mincho"/>
                <w:b/>
                <w:bCs/>
              </w:rPr>
              <w:t>atch alone/fast-acting NRT</w:t>
            </w:r>
          </w:p>
        </w:tc>
      </w:tr>
      <w:tr w:rsidR="009E03BB" w:rsidRPr="00061F78" w14:paraId="74CC82BB" w14:textId="77777777" w:rsidTr="000708B4">
        <w:trPr>
          <w:cantSplit/>
          <w:trHeight w:val="99"/>
        </w:trPr>
        <w:tc>
          <w:tcPr>
            <w:tcW w:w="721" w:type="pct"/>
            <w:shd w:val="clear" w:color="auto" w:fill="auto"/>
            <w:tcMar>
              <w:left w:w="28" w:type="dxa"/>
              <w:right w:w="28" w:type="dxa"/>
            </w:tcMar>
          </w:tcPr>
          <w:p w14:paraId="5F520AE8" w14:textId="77777777" w:rsidR="009E03BB" w:rsidRDefault="009E03BB" w:rsidP="009E03BB">
            <w:pPr>
              <w:pStyle w:val="Tablewriting"/>
              <w:keepNext/>
              <w:rPr>
                <w:rFonts w:eastAsia="MS Mincho"/>
              </w:rPr>
            </w:pPr>
            <w:r>
              <w:rPr>
                <w:rFonts w:eastAsia="MS Mincho"/>
              </w:rPr>
              <w:t>Lindson</w:t>
            </w:r>
          </w:p>
          <w:p w14:paraId="6D69CAED" w14:textId="24B3CB63" w:rsidR="009E03BB" w:rsidRDefault="009E03BB" w:rsidP="009E03BB">
            <w:pPr>
              <w:pStyle w:val="Tablewriting"/>
              <w:keepNext/>
              <w:rPr>
                <w:rFonts w:eastAsia="MS Mincho"/>
              </w:rPr>
            </w:pPr>
            <w:r>
              <w:rPr>
                <w:rFonts w:eastAsia="MS Mincho"/>
              </w:rPr>
              <w:t>(2019)</w:t>
            </w:r>
            <w:r>
              <w:rPr>
                <w:rFonts w:eastAsia="MS Mincho"/>
                <w:vertAlign w:val="superscript"/>
              </w:rPr>
              <w:t>1</w:t>
            </w:r>
            <w:r w:rsidR="00133E66">
              <w:rPr>
                <w:rFonts w:eastAsia="MS Mincho"/>
                <w:vertAlign w:val="superscript"/>
              </w:rPr>
              <w:t>,2</w:t>
            </w:r>
          </w:p>
        </w:tc>
        <w:tc>
          <w:tcPr>
            <w:tcW w:w="920" w:type="pct"/>
            <w:shd w:val="clear" w:color="auto" w:fill="auto"/>
            <w:vAlign w:val="center"/>
          </w:tcPr>
          <w:p w14:paraId="6F0A6F7D" w14:textId="77777777" w:rsidR="009E03BB" w:rsidRDefault="009E03BB" w:rsidP="009E03BB">
            <w:pPr>
              <w:pStyle w:val="Tablewriting"/>
              <w:keepNext/>
              <w:jc w:val="center"/>
              <w:rPr>
                <w:rFonts w:eastAsia="MS Mincho"/>
              </w:rPr>
            </w:pPr>
            <w:r>
              <w:rPr>
                <w:rFonts w:eastAsia="MS Mincho"/>
              </w:rPr>
              <w:t>Cochrane Review</w:t>
            </w:r>
          </w:p>
          <w:p w14:paraId="0E9AD239" w14:textId="125A04EE" w:rsidR="009E03BB" w:rsidRDefault="009E03BB" w:rsidP="009E03BB">
            <w:pPr>
              <w:pStyle w:val="Tablewriting"/>
              <w:keepNext/>
              <w:jc w:val="center"/>
              <w:rPr>
                <w:rFonts w:eastAsia="MS Mincho"/>
              </w:rPr>
            </w:pPr>
            <w:r>
              <w:rPr>
                <w:rFonts w:eastAsia="MS Mincho"/>
              </w:rPr>
              <w:t>(</w:t>
            </w:r>
            <w:r w:rsidR="00B72E41">
              <w:rPr>
                <w:rFonts w:eastAsia="MS Mincho"/>
              </w:rPr>
              <w:t>14</w:t>
            </w:r>
            <w:r>
              <w:rPr>
                <w:rFonts w:eastAsia="MS Mincho"/>
              </w:rPr>
              <w:t xml:space="preserve"> RCTs)</w:t>
            </w:r>
          </w:p>
        </w:tc>
        <w:tc>
          <w:tcPr>
            <w:tcW w:w="850" w:type="pct"/>
            <w:shd w:val="clear" w:color="auto" w:fill="auto"/>
            <w:tcMar>
              <w:left w:w="28" w:type="dxa"/>
              <w:right w:w="28" w:type="dxa"/>
            </w:tcMar>
            <w:vAlign w:val="center"/>
          </w:tcPr>
          <w:p w14:paraId="5B1C4233" w14:textId="66BDCBA0" w:rsidR="009E03BB" w:rsidRDefault="00464AF3" w:rsidP="009E03BB">
            <w:pPr>
              <w:pStyle w:val="Tablewriting"/>
              <w:keepNext/>
              <w:jc w:val="center"/>
              <w:rPr>
                <w:rFonts w:eastAsia="MS Mincho"/>
              </w:rPr>
            </w:pPr>
            <w:r>
              <w:rPr>
                <w:rFonts w:eastAsia="MS Mincho"/>
              </w:rPr>
              <w:t>881</w:t>
            </w:r>
            <w:r w:rsidR="009E03BB">
              <w:rPr>
                <w:rFonts w:eastAsia="MS Mincho"/>
              </w:rPr>
              <w:t>/</w:t>
            </w:r>
            <w:r w:rsidR="00B72E41">
              <w:rPr>
                <w:rFonts w:eastAsia="MS Mincho"/>
              </w:rPr>
              <w:t>5,218</w:t>
            </w:r>
          </w:p>
          <w:p w14:paraId="647F8C60" w14:textId="5A053C08" w:rsidR="009E03BB" w:rsidRDefault="009E03BB" w:rsidP="009E03BB">
            <w:pPr>
              <w:pStyle w:val="Tablewriting"/>
              <w:keepNext/>
              <w:jc w:val="center"/>
              <w:rPr>
                <w:rFonts w:eastAsia="MS Mincho"/>
              </w:rPr>
            </w:pPr>
            <w:r>
              <w:rPr>
                <w:rFonts w:eastAsia="MS Mincho"/>
              </w:rPr>
              <w:t>(</w:t>
            </w:r>
            <w:r w:rsidR="00035831">
              <w:rPr>
                <w:rFonts w:eastAsia="MS Mincho"/>
              </w:rPr>
              <w:t>16.9</w:t>
            </w:r>
            <w:r>
              <w:rPr>
                <w:rFonts w:eastAsia="MS Mincho"/>
              </w:rPr>
              <w:t>%)</w:t>
            </w:r>
          </w:p>
        </w:tc>
        <w:tc>
          <w:tcPr>
            <w:tcW w:w="851" w:type="pct"/>
            <w:shd w:val="clear" w:color="auto" w:fill="auto"/>
            <w:tcMar>
              <w:left w:w="28" w:type="dxa"/>
              <w:right w:w="28" w:type="dxa"/>
            </w:tcMar>
            <w:vAlign w:val="center"/>
          </w:tcPr>
          <w:p w14:paraId="202A7FD3" w14:textId="362192A1" w:rsidR="009E03BB" w:rsidRDefault="00464AF3" w:rsidP="009E03BB">
            <w:pPr>
              <w:pStyle w:val="Tablewriting"/>
              <w:keepNext/>
              <w:jc w:val="center"/>
              <w:rPr>
                <w:rFonts w:eastAsia="MS Mincho"/>
              </w:rPr>
            </w:pPr>
            <w:r>
              <w:rPr>
                <w:rFonts w:eastAsia="MS Mincho"/>
              </w:rPr>
              <w:t>852</w:t>
            </w:r>
            <w:r w:rsidR="009E03BB">
              <w:rPr>
                <w:rFonts w:eastAsia="MS Mincho"/>
              </w:rPr>
              <w:t>/</w:t>
            </w:r>
            <w:r w:rsidR="00B72E41">
              <w:rPr>
                <w:rFonts w:eastAsia="MS Mincho"/>
              </w:rPr>
              <w:t>6,138</w:t>
            </w:r>
          </w:p>
          <w:p w14:paraId="0C393D82" w14:textId="19DE3397" w:rsidR="009E03BB" w:rsidRDefault="009E03BB" w:rsidP="009E03BB">
            <w:pPr>
              <w:pStyle w:val="Tablewriting"/>
              <w:keepNext/>
              <w:jc w:val="center"/>
              <w:rPr>
                <w:rFonts w:eastAsia="MS Mincho"/>
              </w:rPr>
            </w:pPr>
            <w:r>
              <w:rPr>
                <w:rFonts w:eastAsia="MS Mincho"/>
              </w:rPr>
              <w:t>(</w:t>
            </w:r>
            <w:r w:rsidR="00F10E94">
              <w:rPr>
                <w:rFonts w:eastAsia="MS Mincho"/>
              </w:rPr>
              <w:t>13.9</w:t>
            </w:r>
            <w:r>
              <w:rPr>
                <w:rFonts w:eastAsia="MS Mincho"/>
              </w:rPr>
              <w:t>%)</w:t>
            </w:r>
          </w:p>
        </w:tc>
        <w:tc>
          <w:tcPr>
            <w:tcW w:w="851" w:type="pct"/>
            <w:shd w:val="clear" w:color="auto" w:fill="auto"/>
            <w:tcMar>
              <w:left w:w="28" w:type="dxa"/>
              <w:right w:w="28" w:type="dxa"/>
            </w:tcMar>
            <w:vAlign w:val="center"/>
          </w:tcPr>
          <w:p w14:paraId="7067056F" w14:textId="38724954" w:rsidR="009E03BB" w:rsidRPr="005A7326" w:rsidRDefault="009E03BB" w:rsidP="009E03BB">
            <w:pPr>
              <w:pStyle w:val="Tablewriting"/>
              <w:keepNext/>
              <w:jc w:val="center"/>
              <w:rPr>
                <w:rFonts w:eastAsia="MS Mincho"/>
                <w:b/>
                <w:bCs/>
              </w:rPr>
            </w:pPr>
            <w:r w:rsidRPr="005A7326">
              <w:rPr>
                <w:rFonts w:eastAsia="MS Mincho"/>
                <w:b/>
                <w:bCs/>
              </w:rPr>
              <w:t>1.</w:t>
            </w:r>
            <w:r w:rsidR="00464AF3">
              <w:rPr>
                <w:rFonts w:eastAsia="MS Mincho"/>
                <w:b/>
                <w:bCs/>
              </w:rPr>
              <w:t>25</w:t>
            </w:r>
          </w:p>
          <w:p w14:paraId="0AF956A8" w14:textId="4B938D89" w:rsidR="009E03BB" w:rsidRPr="005A7326" w:rsidRDefault="009E03BB" w:rsidP="009E03BB">
            <w:pPr>
              <w:pStyle w:val="Tablewriting"/>
              <w:keepNext/>
              <w:jc w:val="center"/>
              <w:rPr>
                <w:rFonts w:eastAsia="MS Mincho"/>
                <w:b/>
                <w:bCs/>
              </w:rPr>
            </w:pPr>
            <w:r w:rsidRPr="005A7326">
              <w:rPr>
                <w:rFonts w:eastAsia="MS Mincho"/>
                <w:b/>
                <w:bCs/>
              </w:rPr>
              <w:t>(1.</w:t>
            </w:r>
            <w:r w:rsidR="00464AF3">
              <w:rPr>
                <w:rFonts w:eastAsia="MS Mincho"/>
                <w:b/>
                <w:bCs/>
              </w:rPr>
              <w:t>15</w:t>
            </w:r>
            <w:r w:rsidRPr="005A7326">
              <w:rPr>
                <w:rFonts w:eastAsia="MS Mincho"/>
                <w:b/>
                <w:bCs/>
              </w:rPr>
              <w:t>, 1.</w:t>
            </w:r>
            <w:r w:rsidR="00464AF3">
              <w:rPr>
                <w:rFonts w:eastAsia="MS Mincho"/>
                <w:b/>
                <w:bCs/>
              </w:rPr>
              <w:t>36</w:t>
            </w:r>
            <w:r w:rsidRPr="005A7326">
              <w:rPr>
                <w:rFonts w:eastAsia="MS Mincho"/>
                <w:b/>
                <w:bCs/>
              </w:rPr>
              <w:t>)</w:t>
            </w:r>
          </w:p>
        </w:tc>
        <w:tc>
          <w:tcPr>
            <w:tcW w:w="807" w:type="pct"/>
            <w:shd w:val="clear" w:color="auto" w:fill="auto"/>
            <w:vAlign w:val="center"/>
          </w:tcPr>
          <w:p w14:paraId="1A7E27E0" w14:textId="054341DC" w:rsidR="009E03BB" w:rsidRDefault="00DC308F" w:rsidP="009E03BB">
            <w:pPr>
              <w:pStyle w:val="Tablewriting"/>
              <w:keepNext/>
              <w:jc w:val="center"/>
              <w:rPr>
                <w:rFonts w:eastAsia="MS Mincho"/>
              </w:rPr>
            </w:pPr>
            <w:r>
              <w:rPr>
                <w:rFonts w:eastAsia="MS Mincho"/>
              </w:rPr>
              <w:t>NR</w:t>
            </w:r>
          </w:p>
        </w:tc>
      </w:tr>
      <w:tr w:rsidR="00CD28FB" w:rsidRPr="00061F78" w14:paraId="2699D1BC" w14:textId="77777777" w:rsidTr="000708B4">
        <w:trPr>
          <w:cantSplit/>
          <w:trHeight w:val="99"/>
        </w:trPr>
        <w:tc>
          <w:tcPr>
            <w:tcW w:w="721" w:type="pct"/>
            <w:shd w:val="clear" w:color="auto" w:fill="auto"/>
            <w:tcMar>
              <w:left w:w="28" w:type="dxa"/>
              <w:right w:w="28" w:type="dxa"/>
            </w:tcMar>
          </w:tcPr>
          <w:p w14:paraId="4961407E" w14:textId="06628E10" w:rsidR="00CD28FB" w:rsidRDefault="00CD28FB" w:rsidP="00CD28FB">
            <w:pPr>
              <w:pStyle w:val="Tablewriting"/>
              <w:keepNext/>
              <w:rPr>
                <w:rFonts w:eastAsia="MS Mincho"/>
              </w:rPr>
            </w:pPr>
            <w:r>
              <w:rPr>
                <w:rFonts w:eastAsia="MS Mincho"/>
              </w:rPr>
              <w:t>Updated re-analysis</w:t>
            </w:r>
            <w:r>
              <w:rPr>
                <w:rFonts w:eastAsia="MS Mincho"/>
                <w:vertAlign w:val="superscript"/>
              </w:rPr>
              <w:t>3</w:t>
            </w:r>
          </w:p>
        </w:tc>
        <w:tc>
          <w:tcPr>
            <w:tcW w:w="920" w:type="pct"/>
            <w:shd w:val="clear" w:color="auto" w:fill="auto"/>
            <w:vAlign w:val="center"/>
          </w:tcPr>
          <w:p w14:paraId="32F3F0E6" w14:textId="3C80DBDF" w:rsidR="00CD28FB" w:rsidRDefault="00CD28FB" w:rsidP="00CD28FB">
            <w:pPr>
              <w:pStyle w:val="Tablewriting"/>
              <w:keepNext/>
              <w:jc w:val="center"/>
              <w:rPr>
                <w:rFonts w:eastAsia="MS Mincho"/>
              </w:rPr>
            </w:pPr>
            <w:r>
              <w:rPr>
                <w:rFonts w:eastAsia="MS Mincho"/>
              </w:rPr>
              <w:t>1</w:t>
            </w:r>
            <w:r w:rsidR="00780BFF">
              <w:rPr>
                <w:rFonts w:eastAsia="MS Mincho"/>
              </w:rPr>
              <w:t>5</w:t>
            </w:r>
            <w:r>
              <w:rPr>
                <w:rFonts w:eastAsia="MS Mincho"/>
              </w:rPr>
              <w:t xml:space="preserve"> RCTs</w:t>
            </w:r>
          </w:p>
        </w:tc>
        <w:tc>
          <w:tcPr>
            <w:tcW w:w="850" w:type="pct"/>
            <w:shd w:val="clear" w:color="auto" w:fill="auto"/>
            <w:tcMar>
              <w:left w:w="28" w:type="dxa"/>
              <w:right w:w="28" w:type="dxa"/>
            </w:tcMar>
            <w:vAlign w:val="center"/>
          </w:tcPr>
          <w:p w14:paraId="6841BBDE" w14:textId="78C3A902" w:rsidR="00CD28FB" w:rsidRDefault="00780BFF" w:rsidP="00CD28FB">
            <w:pPr>
              <w:pStyle w:val="Tablewriting"/>
              <w:keepNext/>
              <w:jc w:val="center"/>
              <w:rPr>
                <w:rFonts w:eastAsia="MS Mincho"/>
              </w:rPr>
            </w:pPr>
            <w:r>
              <w:rPr>
                <w:rFonts w:eastAsia="MS Mincho"/>
              </w:rPr>
              <w:t>936</w:t>
            </w:r>
            <w:r w:rsidR="00CD28FB">
              <w:rPr>
                <w:rFonts w:eastAsia="MS Mincho"/>
              </w:rPr>
              <w:t>/</w:t>
            </w:r>
            <w:r>
              <w:rPr>
                <w:rFonts w:eastAsia="MS Mincho"/>
              </w:rPr>
              <w:t>5,492</w:t>
            </w:r>
          </w:p>
          <w:p w14:paraId="536D7A33" w14:textId="110A0107" w:rsidR="00CD28FB" w:rsidRDefault="00CD28FB" w:rsidP="00CD28FB">
            <w:pPr>
              <w:pStyle w:val="Tablewriting"/>
              <w:keepNext/>
              <w:jc w:val="center"/>
              <w:rPr>
                <w:rFonts w:eastAsia="MS Mincho"/>
              </w:rPr>
            </w:pPr>
            <w:r>
              <w:rPr>
                <w:rFonts w:eastAsia="MS Mincho"/>
              </w:rPr>
              <w:t>(</w:t>
            </w:r>
            <w:r w:rsidR="00F828BF">
              <w:rPr>
                <w:rFonts w:eastAsia="MS Mincho"/>
              </w:rPr>
              <w:t>17.0</w:t>
            </w:r>
            <w:r>
              <w:rPr>
                <w:rFonts w:eastAsia="MS Mincho"/>
              </w:rPr>
              <w:t>%)</w:t>
            </w:r>
          </w:p>
        </w:tc>
        <w:tc>
          <w:tcPr>
            <w:tcW w:w="851" w:type="pct"/>
            <w:shd w:val="clear" w:color="auto" w:fill="auto"/>
            <w:tcMar>
              <w:left w:w="28" w:type="dxa"/>
              <w:right w:w="28" w:type="dxa"/>
            </w:tcMar>
            <w:vAlign w:val="center"/>
          </w:tcPr>
          <w:p w14:paraId="3ED939B9" w14:textId="2C7015AB" w:rsidR="00CD28FB" w:rsidRDefault="003B7E43" w:rsidP="00CD28FB">
            <w:pPr>
              <w:pStyle w:val="Tablewriting"/>
              <w:keepNext/>
              <w:jc w:val="center"/>
              <w:rPr>
                <w:rFonts w:eastAsia="MS Mincho"/>
              </w:rPr>
            </w:pPr>
            <w:r>
              <w:rPr>
                <w:rFonts w:eastAsia="MS Mincho"/>
              </w:rPr>
              <w:t>893</w:t>
            </w:r>
            <w:r w:rsidR="00CD28FB">
              <w:rPr>
                <w:rFonts w:eastAsia="MS Mincho"/>
              </w:rPr>
              <w:t>/</w:t>
            </w:r>
            <w:r>
              <w:rPr>
                <w:rFonts w:eastAsia="MS Mincho"/>
              </w:rPr>
              <w:t>6,424</w:t>
            </w:r>
          </w:p>
          <w:p w14:paraId="29F5DDC8" w14:textId="7CFA51EE" w:rsidR="00CD28FB" w:rsidRDefault="00CD28FB" w:rsidP="00CD28FB">
            <w:pPr>
              <w:pStyle w:val="Tablewriting"/>
              <w:keepNext/>
              <w:jc w:val="center"/>
              <w:rPr>
                <w:rFonts w:eastAsia="MS Mincho"/>
              </w:rPr>
            </w:pPr>
            <w:r>
              <w:rPr>
                <w:rFonts w:eastAsia="MS Mincho"/>
              </w:rPr>
              <w:t>(</w:t>
            </w:r>
            <w:r w:rsidR="00F828BF">
              <w:rPr>
                <w:rFonts w:eastAsia="MS Mincho"/>
              </w:rPr>
              <w:t>13.9</w:t>
            </w:r>
            <w:r>
              <w:rPr>
                <w:rFonts w:eastAsia="MS Mincho"/>
              </w:rPr>
              <w:t>%)</w:t>
            </w:r>
          </w:p>
        </w:tc>
        <w:tc>
          <w:tcPr>
            <w:tcW w:w="851" w:type="pct"/>
            <w:shd w:val="clear" w:color="auto" w:fill="auto"/>
            <w:tcMar>
              <w:left w:w="28" w:type="dxa"/>
              <w:right w:w="28" w:type="dxa"/>
            </w:tcMar>
            <w:vAlign w:val="center"/>
          </w:tcPr>
          <w:p w14:paraId="3E129C97" w14:textId="7B4A308E" w:rsidR="00CD28FB" w:rsidRDefault="00CD28FB" w:rsidP="00CD28FB">
            <w:pPr>
              <w:pStyle w:val="Tablewriting"/>
              <w:keepNext/>
              <w:jc w:val="center"/>
              <w:rPr>
                <w:rFonts w:eastAsia="MS Mincho"/>
                <w:b/>
                <w:bCs/>
              </w:rPr>
            </w:pPr>
            <w:r>
              <w:rPr>
                <w:rFonts w:eastAsia="MS Mincho"/>
                <w:b/>
                <w:bCs/>
              </w:rPr>
              <w:t>1.2</w:t>
            </w:r>
            <w:r w:rsidR="003B7E43">
              <w:rPr>
                <w:rFonts w:eastAsia="MS Mincho"/>
                <w:b/>
                <w:bCs/>
              </w:rPr>
              <w:t>4</w:t>
            </w:r>
          </w:p>
          <w:p w14:paraId="584A00AB" w14:textId="7D381654" w:rsidR="00CD28FB" w:rsidRPr="005A7326" w:rsidRDefault="00CD28FB" w:rsidP="00CD28FB">
            <w:pPr>
              <w:pStyle w:val="Tablewriting"/>
              <w:keepNext/>
              <w:jc w:val="center"/>
              <w:rPr>
                <w:rFonts w:eastAsia="MS Mincho"/>
                <w:b/>
                <w:bCs/>
              </w:rPr>
            </w:pPr>
            <w:r>
              <w:rPr>
                <w:rFonts w:eastAsia="MS Mincho"/>
                <w:b/>
                <w:bCs/>
              </w:rPr>
              <w:t>(1.1</w:t>
            </w:r>
            <w:r w:rsidR="003B7E43">
              <w:rPr>
                <w:rFonts w:eastAsia="MS Mincho"/>
                <w:b/>
                <w:bCs/>
              </w:rPr>
              <w:t>4</w:t>
            </w:r>
            <w:r>
              <w:rPr>
                <w:rFonts w:eastAsia="MS Mincho"/>
                <w:b/>
                <w:bCs/>
              </w:rPr>
              <w:t>, 1.</w:t>
            </w:r>
            <w:r w:rsidR="003B7E43">
              <w:rPr>
                <w:rFonts w:eastAsia="MS Mincho"/>
                <w:b/>
                <w:bCs/>
              </w:rPr>
              <w:t>35</w:t>
            </w:r>
            <w:r>
              <w:rPr>
                <w:rFonts w:eastAsia="MS Mincho"/>
                <w:b/>
                <w:bCs/>
              </w:rPr>
              <w:t>)</w:t>
            </w:r>
          </w:p>
        </w:tc>
        <w:tc>
          <w:tcPr>
            <w:tcW w:w="807" w:type="pct"/>
            <w:shd w:val="clear" w:color="auto" w:fill="auto"/>
            <w:vAlign w:val="center"/>
          </w:tcPr>
          <w:p w14:paraId="19C6E2A4" w14:textId="77777777" w:rsidR="00CD28FB" w:rsidRPr="009654FD" w:rsidRDefault="00CD28FB" w:rsidP="00CD28FB">
            <w:pPr>
              <w:pStyle w:val="Tablewriting"/>
              <w:keepNext/>
              <w:jc w:val="center"/>
              <w:rPr>
                <w:rFonts w:eastAsia="MS Mincho"/>
                <w:b/>
                <w:bCs/>
              </w:rPr>
            </w:pPr>
            <w:r w:rsidRPr="009654FD">
              <w:rPr>
                <w:rFonts w:eastAsia="MS Mincho"/>
                <w:b/>
                <w:bCs/>
              </w:rPr>
              <w:t>0.04</w:t>
            </w:r>
          </w:p>
          <w:p w14:paraId="2A08971C" w14:textId="7F99C504" w:rsidR="00CD28FB" w:rsidRDefault="00CD28FB" w:rsidP="00CD28FB">
            <w:pPr>
              <w:pStyle w:val="Tablewriting"/>
              <w:keepNext/>
              <w:jc w:val="center"/>
              <w:rPr>
                <w:rFonts w:eastAsia="MS Mincho"/>
              </w:rPr>
            </w:pPr>
            <w:r w:rsidRPr="009654FD">
              <w:rPr>
                <w:rFonts w:eastAsia="MS Mincho"/>
                <w:b/>
                <w:bCs/>
              </w:rPr>
              <w:t>(0.0</w:t>
            </w:r>
            <w:r w:rsidR="003B7E43">
              <w:rPr>
                <w:rFonts w:eastAsia="MS Mincho"/>
                <w:b/>
                <w:bCs/>
              </w:rPr>
              <w:t>2</w:t>
            </w:r>
            <w:r w:rsidRPr="009654FD">
              <w:rPr>
                <w:rFonts w:eastAsia="MS Mincho"/>
                <w:b/>
                <w:bCs/>
              </w:rPr>
              <w:t>, 0.0</w:t>
            </w:r>
            <w:r w:rsidR="003B7E43">
              <w:rPr>
                <w:rFonts w:eastAsia="MS Mincho"/>
                <w:b/>
                <w:bCs/>
              </w:rPr>
              <w:t>5</w:t>
            </w:r>
            <w:r w:rsidRPr="009654FD">
              <w:rPr>
                <w:rFonts w:eastAsia="MS Mincho"/>
                <w:b/>
                <w:bCs/>
              </w:rPr>
              <w:t>)</w:t>
            </w:r>
          </w:p>
        </w:tc>
      </w:tr>
    </w:tbl>
    <w:p w14:paraId="7504A5AE" w14:textId="7878FE05" w:rsidR="00704CE8" w:rsidRPr="002C2DB9" w:rsidRDefault="00704CE8" w:rsidP="002C2DB9">
      <w:pPr>
        <w:pStyle w:val="TableFooter"/>
        <w:keepNext/>
        <w:rPr>
          <w:szCs w:val="20"/>
        </w:rPr>
      </w:pPr>
      <w:r w:rsidRPr="002C2DB9">
        <w:rPr>
          <w:szCs w:val="20"/>
        </w:rPr>
        <w:t>Source: Lindson et al. (2019)</w:t>
      </w:r>
      <w:r w:rsidR="00133E66" w:rsidRPr="002C2DB9">
        <w:rPr>
          <w:szCs w:val="20"/>
        </w:rPr>
        <w:t xml:space="preserve">, Leung et al. </w:t>
      </w:r>
      <w:r w:rsidRPr="002C2DB9">
        <w:rPr>
          <w:szCs w:val="20"/>
        </w:rPr>
        <w:t>(2019)</w:t>
      </w:r>
    </w:p>
    <w:p w14:paraId="4E54EB9D" w14:textId="77777777" w:rsidR="00704CE8" w:rsidRPr="002C2DB9" w:rsidRDefault="00704CE8" w:rsidP="002C2DB9">
      <w:pPr>
        <w:pStyle w:val="TableFooter"/>
        <w:keepNext/>
        <w:spacing w:after="0"/>
        <w:contextualSpacing w:val="0"/>
        <w:rPr>
          <w:i/>
          <w:szCs w:val="20"/>
        </w:rPr>
      </w:pPr>
      <w:r w:rsidRPr="002C2DB9">
        <w:rPr>
          <w:szCs w:val="20"/>
        </w:rPr>
        <w:t xml:space="preserve">Abbreviations: CI = confidence interval; RCT = randomised controlled trial; RD = risk difference; RR = risk ratio </w:t>
      </w:r>
    </w:p>
    <w:p w14:paraId="4B3C41E3" w14:textId="6DD00570" w:rsidR="00704CE8" w:rsidRPr="002C2DB9" w:rsidRDefault="00704CE8" w:rsidP="002C2DB9">
      <w:pPr>
        <w:spacing w:after="0"/>
        <w:rPr>
          <w:sz w:val="20"/>
          <w:szCs w:val="20"/>
        </w:rPr>
      </w:pPr>
      <w:r w:rsidRPr="002C2DB9">
        <w:rPr>
          <w:sz w:val="20"/>
          <w:szCs w:val="20"/>
        </w:rPr>
        <w:t>Notes: Bold indicates statistically significant difference.</w:t>
      </w:r>
      <w:r w:rsidRPr="002C2DB9">
        <w:rPr>
          <w:sz w:val="20"/>
          <w:szCs w:val="20"/>
        </w:rPr>
        <w:br/>
        <w:t>1 Where cessation was assessed at multiple intervals, the longest follow-up data were used. Where multiple definitions of abstinence were assessed, the strictest of these definitions was used (</w:t>
      </w:r>
      <w:r w:rsidR="00826C95" w:rsidRPr="002C2DB9">
        <w:rPr>
          <w:sz w:val="20"/>
          <w:szCs w:val="20"/>
        </w:rPr>
        <w:t>e.g.,</w:t>
      </w:r>
      <w:r w:rsidRPr="002C2DB9">
        <w:rPr>
          <w:sz w:val="20"/>
          <w:szCs w:val="20"/>
        </w:rPr>
        <w:t xml:space="preserve"> continuous/prolonged abstinence over point prevalence abstinence). See Appendix</w:t>
      </w:r>
      <w:r w:rsidR="00A33550" w:rsidRPr="002C2DB9">
        <w:rPr>
          <w:sz w:val="20"/>
          <w:szCs w:val="20"/>
        </w:rPr>
        <w:t xml:space="preserve"> </w:t>
      </w:r>
      <w:r w:rsidR="002C2DB9" w:rsidRPr="002C2DB9">
        <w:rPr>
          <w:sz w:val="20"/>
          <w:szCs w:val="20"/>
        </w:rPr>
        <w:t>Table 156</w:t>
      </w:r>
      <w:r w:rsidRPr="002C2DB9">
        <w:rPr>
          <w:sz w:val="20"/>
          <w:szCs w:val="20"/>
        </w:rPr>
        <w:t xml:space="preserve"> for the definition used in each study. </w:t>
      </w:r>
    </w:p>
    <w:p w14:paraId="61B87DC6" w14:textId="68C53CF3" w:rsidR="00704CE8" w:rsidRPr="002C2DB9" w:rsidRDefault="00704CE8" w:rsidP="002C2DB9">
      <w:pPr>
        <w:pStyle w:val="TableFooter"/>
        <w:keepNext/>
        <w:rPr>
          <w:szCs w:val="20"/>
        </w:rPr>
      </w:pPr>
      <w:r w:rsidRPr="002C2DB9">
        <w:rPr>
          <w:szCs w:val="20"/>
        </w:rPr>
        <w:t xml:space="preserve">2 Calculated </w:t>
      </w:r>
      <w:r w:rsidR="00133E66" w:rsidRPr="002C2DB9">
        <w:rPr>
          <w:szCs w:val="20"/>
        </w:rPr>
        <w:t xml:space="preserve">by Cochrane Review authors </w:t>
      </w:r>
      <w:r w:rsidRPr="002C2DB9">
        <w:rPr>
          <w:szCs w:val="20"/>
        </w:rPr>
        <w:t>using a fixed-effect model</w:t>
      </w:r>
    </w:p>
    <w:p w14:paraId="71C0241F" w14:textId="690E167B" w:rsidR="00C839CF" w:rsidRPr="002C2DB9" w:rsidRDefault="00C839CF" w:rsidP="002C2DB9">
      <w:pPr>
        <w:pStyle w:val="TableFooter"/>
        <w:spacing w:after="120"/>
        <w:contextualSpacing w:val="0"/>
        <w:rPr>
          <w:szCs w:val="20"/>
        </w:rPr>
      </w:pPr>
      <w:r w:rsidRPr="002C2DB9">
        <w:rPr>
          <w:szCs w:val="20"/>
        </w:rPr>
        <w:t>3 Calculated during the review using a random-effect model</w:t>
      </w:r>
    </w:p>
    <w:p w14:paraId="786ED43A" w14:textId="6BD86304" w:rsidR="00914746" w:rsidRDefault="005144AD" w:rsidP="0014001D">
      <w:pPr>
        <w:spacing w:after="120"/>
        <w:jc w:val="both"/>
      </w:pPr>
      <w:r w:rsidRPr="005144AD">
        <w:t xml:space="preserve">The results of the individual studies included in </w:t>
      </w:r>
      <w:r w:rsidR="003904D1">
        <w:t>the updated re-analysis</w:t>
      </w:r>
      <w:r w:rsidRPr="005144AD">
        <w:t xml:space="preserve"> are presented using a forest plot in </w:t>
      </w:r>
      <w:r w:rsidR="0073343B">
        <w:fldChar w:fldCharType="begin" w:fldLock="1"/>
      </w:r>
      <w:r w:rsidR="0073343B">
        <w:instrText xml:space="preserve"> REF _Ref55301626 \h </w:instrText>
      </w:r>
      <w:r w:rsidR="0073343B">
        <w:fldChar w:fldCharType="separate"/>
      </w:r>
      <w:r w:rsidR="00EC5CC7">
        <w:t xml:space="preserve">Figure </w:t>
      </w:r>
      <w:r w:rsidR="00EC5CC7">
        <w:rPr>
          <w:noProof/>
        </w:rPr>
        <w:t>15</w:t>
      </w:r>
      <w:r w:rsidR="0073343B">
        <w:fldChar w:fldCharType="end"/>
      </w:r>
      <w:r w:rsidRPr="005144AD">
        <w:t>.</w:t>
      </w:r>
      <w:r w:rsidR="00DA3460">
        <w:t xml:space="preserve"> </w:t>
      </w:r>
      <w:r w:rsidR="00BC3A51">
        <w:t xml:space="preserve">To avoid double counting, Lindson et al. (2019) </w:t>
      </w:r>
      <w:r w:rsidR="001E49BB">
        <w:t xml:space="preserve">split the intervention group (combination NRT) in half </w:t>
      </w:r>
      <w:r w:rsidR="0044351A">
        <w:t>for</w:t>
      </w:r>
      <w:r w:rsidR="006604FC">
        <w:t xml:space="preserve"> the four studies</w:t>
      </w:r>
      <w:r w:rsidR="005A4296" w:rsidRPr="005A4296">
        <w:t xml:space="preserve"> </w:t>
      </w:r>
      <w:r w:rsidR="0044351A">
        <w:t>(</w:t>
      </w:r>
      <w:r w:rsidR="005A4296" w:rsidRPr="005A4296">
        <w:t>Croghan et al. 2003, Piper et al. 2009, Smith et al. 2009 and Tonnesen et al. 2000)</w:t>
      </w:r>
      <w:r w:rsidR="006604FC">
        <w:t xml:space="preserve"> </w:t>
      </w:r>
      <w:r w:rsidR="005A4296">
        <w:t>in the pooled analysis</w:t>
      </w:r>
      <w:r w:rsidR="0044351A">
        <w:t>.</w:t>
      </w:r>
      <w:r w:rsidR="005A4296">
        <w:t xml:space="preserve"> </w:t>
      </w:r>
    </w:p>
    <w:p w14:paraId="30C5FAD2" w14:textId="098AF9F4" w:rsidR="00AC2BFF" w:rsidRDefault="28C1969A" w:rsidP="00AC2BFF">
      <w:pPr>
        <w:keepNext/>
      </w:pPr>
      <w:r>
        <w:rPr>
          <w:noProof/>
        </w:rPr>
        <w:lastRenderedPageBreak/>
        <w:drawing>
          <wp:inline distT="0" distB="0" distL="0" distR="0" wp14:anchorId="4D62E056" wp14:editId="10B20C0E">
            <wp:extent cx="5731510" cy="3710940"/>
            <wp:effectExtent l="0" t="0" r="2540" b="3810"/>
            <wp:docPr id="113" name="Picture 113" descr="P47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P4743#yIS1"/>
                    <pic:cNvPicPr/>
                  </pic:nvPicPr>
                  <pic:blipFill>
                    <a:blip r:embed="rId34">
                      <a:extLst>
                        <a:ext uri="{28A0092B-C50C-407E-A947-70E740481C1C}">
                          <a14:useLocalDpi xmlns:a14="http://schemas.microsoft.com/office/drawing/2010/main" val="0"/>
                        </a:ext>
                      </a:extLst>
                    </a:blip>
                    <a:stretch>
                      <a:fillRect/>
                    </a:stretch>
                  </pic:blipFill>
                  <pic:spPr>
                    <a:xfrm>
                      <a:off x="0" y="0"/>
                      <a:ext cx="5731510" cy="3710940"/>
                    </a:xfrm>
                    <a:prstGeom prst="rect">
                      <a:avLst/>
                    </a:prstGeom>
                  </pic:spPr>
                </pic:pic>
              </a:graphicData>
            </a:graphic>
          </wp:inline>
        </w:drawing>
      </w:r>
    </w:p>
    <w:p w14:paraId="7074E9D8" w14:textId="75138309" w:rsidR="003F3FE7" w:rsidRDefault="00AC2BFF" w:rsidP="0014001D">
      <w:pPr>
        <w:pStyle w:val="Caption"/>
        <w:spacing w:before="120" w:after="60"/>
        <w:jc w:val="both"/>
      </w:pPr>
      <w:bookmarkStart w:id="117" w:name="_Ref55301626"/>
      <w:r>
        <w:t xml:space="preserve">Figure </w:t>
      </w:r>
      <w:r w:rsidR="00BF3F75">
        <w:fldChar w:fldCharType="begin"/>
      </w:r>
      <w:r w:rsidR="00BF3F75">
        <w:instrText xml:space="preserve"> SEQ Figure \* ARABIC </w:instrText>
      </w:r>
      <w:r w:rsidR="00BF3F75">
        <w:fldChar w:fldCharType="separate"/>
      </w:r>
      <w:r w:rsidR="00EC5CC7">
        <w:rPr>
          <w:noProof/>
        </w:rPr>
        <w:t>15</w:t>
      </w:r>
      <w:r w:rsidR="00BF3F75">
        <w:rPr>
          <w:noProof/>
        </w:rPr>
        <w:fldChar w:fldCharType="end"/>
      </w:r>
      <w:bookmarkEnd w:id="117"/>
      <w:r>
        <w:t xml:space="preserve">: </w:t>
      </w:r>
      <w:r w:rsidRPr="000849DA">
        <w:t>Results of smoking cessation f</w:t>
      </w:r>
      <w:r w:rsidR="008A27A8">
        <w:t>or</w:t>
      </w:r>
      <w:r w:rsidRPr="000849DA">
        <w:t xml:space="preserve"> at least six months follow-up </w:t>
      </w:r>
      <w:r w:rsidR="003904D1">
        <w:t>based on updated re-analysis</w:t>
      </w:r>
      <w:r w:rsidRPr="000849DA">
        <w:t xml:space="preserve">, combination NRT versus </w:t>
      </w:r>
      <w:r w:rsidR="0073343B">
        <w:t>NRT monotherapy</w:t>
      </w:r>
    </w:p>
    <w:p w14:paraId="30ADA72C" w14:textId="6E73683D" w:rsidR="0073343B" w:rsidRDefault="0073343B" w:rsidP="0014001D">
      <w:pPr>
        <w:pStyle w:val="FigureFooter"/>
        <w:jc w:val="both"/>
      </w:pPr>
      <w:r>
        <w:t>Source: Lindson et al. (2019)</w:t>
      </w:r>
      <w:r w:rsidR="003904D1">
        <w:t xml:space="preserve">, Leung et al. </w:t>
      </w:r>
      <w:r>
        <w:t>(2019)</w:t>
      </w:r>
    </w:p>
    <w:p w14:paraId="4FFFBB15" w14:textId="0E18EBCD" w:rsidR="00A20F00" w:rsidRDefault="0073343B" w:rsidP="0014001D">
      <w:pPr>
        <w:pStyle w:val="FigureFooter"/>
        <w:jc w:val="both"/>
      </w:pPr>
      <w:r>
        <w:t>Abbreviations: CI = confidence interval</w:t>
      </w:r>
    </w:p>
    <w:p w14:paraId="6D1ADDFA" w14:textId="3C1313A5" w:rsidR="00B261A7" w:rsidRDefault="00B261A7" w:rsidP="0014001D">
      <w:pPr>
        <w:pStyle w:val="FigureFooter"/>
        <w:spacing w:after="120"/>
        <w:contextualSpacing w:val="0"/>
        <w:jc w:val="both"/>
      </w:pPr>
      <w:r>
        <w:t xml:space="preserve">Notes: The </w:t>
      </w:r>
      <w:r w:rsidR="005A2BFE">
        <w:t>type of formulation used</w:t>
      </w:r>
      <w:r>
        <w:t xml:space="preserve"> in </w:t>
      </w:r>
      <w:r w:rsidR="005A2BFE">
        <w:t xml:space="preserve">the </w:t>
      </w:r>
      <w:r>
        <w:t xml:space="preserve">combination NRT treatment arm were: NRT patch + lozenge (Piper 2009, Smith 2009, Baker 2016, </w:t>
      </w:r>
      <w:r w:rsidR="00B05DCD">
        <w:t>and Krupski</w:t>
      </w:r>
      <w:r>
        <w:t xml:space="preserve"> 2016), NRT patch + gum (Kornitzer 1995, Puska 1995, Cooney 2009, Smith 2013, Leung 2019), NRT patch + nasal spray (Blondal 1999, Croghan 2003), NRT patch + inhaler (Bohadana 2000, Tonnesen 2000, Caldwell 2016), NRT patch + oral spray (Caldwell 2014)</w:t>
      </w:r>
      <w:r w:rsidR="00AB5FA3">
        <w:t>.</w:t>
      </w:r>
    </w:p>
    <w:p w14:paraId="6F029082" w14:textId="69737838" w:rsidR="005D6D26" w:rsidRDefault="008F0FCD" w:rsidP="0014001D">
      <w:pPr>
        <w:spacing w:after="120"/>
        <w:jc w:val="both"/>
      </w:pPr>
      <w:r>
        <w:t>To determin</w:t>
      </w:r>
      <w:r w:rsidR="00820990">
        <w:t xml:space="preserve">e the </w:t>
      </w:r>
      <w:r w:rsidR="001C0C6B">
        <w:t xml:space="preserve">comparative effectiveness of the </w:t>
      </w:r>
      <w:r w:rsidR="00962243">
        <w:t xml:space="preserve">different </w:t>
      </w:r>
      <w:r w:rsidR="009E4619">
        <w:t xml:space="preserve">types of </w:t>
      </w:r>
      <w:r w:rsidR="0027066A">
        <w:t>combination NRT formulations, a</w:t>
      </w:r>
      <w:r w:rsidR="007840CF">
        <w:t xml:space="preserve">dditional subgroup analyses were conducted during the review </w:t>
      </w:r>
      <w:r>
        <w:t>based</w:t>
      </w:r>
      <w:r w:rsidR="007840CF">
        <w:t xml:space="preserve"> on the type of formulation used in the combination NRT treatment arm. The results of the meta-analysis for </w:t>
      </w:r>
      <w:r w:rsidR="007840CF" w:rsidRPr="004949E4">
        <w:t xml:space="preserve">combination NRT (subgroup based on formulation) versus NRT </w:t>
      </w:r>
      <w:r w:rsidR="00573F59">
        <w:t>patches</w:t>
      </w:r>
      <w:r w:rsidR="007840CF">
        <w:t xml:space="preserve"> and </w:t>
      </w:r>
      <w:r w:rsidR="007840CF" w:rsidRPr="004949E4">
        <w:t xml:space="preserve">combination NRT (subgroup based on formulation) versus </w:t>
      </w:r>
      <w:r w:rsidR="007840CF">
        <w:t xml:space="preserve">fast-acting </w:t>
      </w:r>
      <w:r w:rsidR="007840CF" w:rsidRPr="004949E4">
        <w:t xml:space="preserve">NRT </w:t>
      </w:r>
      <w:r w:rsidR="007840CF">
        <w:t xml:space="preserve">are presented in </w:t>
      </w:r>
      <w:r w:rsidR="005D6D26">
        <w:fldChar w:fldCharType="begin" w:fldLock="1"/>
      </w:r>
      <w:r w:rsidR="005D6D26">
        <w:instrText xml:space="preserve"> REF _Ref62124868 \h </w:instrText>
      </w:r>
      <w:r w:rsidR="005D6D26">
        <w:fldChar w:fldCharType="separate"/>
      </w:r>
      <w:r w:rsidR="00EC5CC7">
        <w:t xml:space="preserve">Figure </w:t>
      </w:r>
      <w:r w:rsidR="00EC5CC7">
        <w:rPr>
          <w:noProof/>
        </w:rPr>
        <w:t>16</w:t>
      </w:r>
      <w:r w:rsidR="005D6D26">
        <w:fldChar w:fldCharType="end"/>
      </w:r>
      <w:r w:rsidR="005D6D26">
        <w:t xml:space="preserve"> and </w:t>
      </w:r>
      <w:r w:rsidR="005D6D26">
        <w:fldChar w:fldCharType="begin" w:fldLock="1"/>
      </w:r>
      <w:r w:rsidR="005D6D26">
        <w:instrText xml:space="preserve"> REF _Ref62124869 \h </w:instrText>
      </w:r>
      <w:r w:rsidR="005D6D26">
        <w:fldChar w:fldCharType="separate"/>
      </w:r>
      <w:r w:rsidR="00EC5CC7">
        <w:t xml:space="preserve">Figure </w:t>
      </w:r>
      <w:r w:rsidR="00EC5CC7">
        <w:rPr>
          <w:noProof/>
        </w:rPr>
        <w:t>17</w:t>
      </w:r>
      <w:r w:rsidR="005D6D26">
        <w:fldChar w:fldCharType="end"/>
      </w:r>
      <w:r w:rsidR="005D6D26">
        <w:t>, respectively.</w:t>
      </w:r>
    </w:p>
    <w:p w14:paraId="57F893E8" w14:textId="7C0F3B85" w:rsidR="007840CF" w:rsidRDefault="007840CF" w:rsidP="0014001D">
      <w:pPr>
        <w:spacing w:after="120"/>
        <w:jc w:val="both"/>
      </w:pPr>
      <w:r>
        <w:t xml:space="preserve">For </w:t>
      </w:r>
      <w:r w:rsidRPr="004949E4">
        <w:t xml:space="preserve">combination NRT versus NRT </w:t>
      </w:r>
      <w:r w:rsidR="00573F59">
        <w:t>patches</w:t>
      </w:r>
      <w:r>
        <w:t xml:space="preserve">, NRT patch + lozenge and NRT patch + gum were shown to provide </w:t>
      </w:r>
      <w:r w:rsidRPr="005D6D26">
        <w:t xml:space="preserve">a significantly higher rate of long-term smoking cessation </w:t>
      </w:r>
      <w:r>
        <w:t xml:space="preserve">compared to NRT </w:t>
      </w:r>
      <w:r w:rsidR="00573F59">
        <w:t>patches</w:t>
      </w:r>
      <w:r>
        <w:t xml:space="preserve"> alone. There were no statistically significant differences observed for the other types of combination NRT formulations (patch + nasal spray, patch + inhaler, patch + oral spray).</w:t>
      </w:r>
    </w:p>
    <w:p w14:paraId="764F04F8" w14:textId="77777777" w:rsidR="007840CF" w:rsidRDefault="007840CF" w:rsidP="0014001D">
      <w:pPr>
        <w:spacing w:after="120"/>
        <w:jc w:val="both"/>
      </w:pPr>
      <w:r>
        <w:t xml:space="preserve">For </w:t>
      </w:r>
      <w:r w:rsidRPr="004949E4">
        <w:t xml:space="preserve">combination NRT versus </w:t>
      </w:r>
      <w:r>
        <w:t xml:space="preserve">fast-acting </w:t>
      </w:r>
      <w:r w:rsidRPr="004949E4">
        <w:t>NRT</w:t>
      </w:r>
      <w:r>
        <w:t xml:space="preserve">, only NRT patch + lozenge was shown to provide </w:t>
      </w:r>
      <w:r w:rsidRPr="005D6D26">
        <w:t xml:space="preserve">a significantly higher rate of long-term smoking cessation </w:t>
      </w:r>
      <w:r>
        <w:t>compared to fast-acting NRT alone. There were no statistically significant differences observed for the other types of combination NRT formulations (patch + gum, patch + nasal spray, patch + inhaler).</w:t>
      </w:r>
    </w:p>
    <w:p w14:paraId="7352273E" w14:textId="77777777" w:rsidR="00AD4EBA" w:rsidRDefault="00AD4EBA" w:rsidP="00E05F1C"/>
    <w:p w14:paraId="42FE4BE3" w14:textId="688F6541" w:rsidR="00B02A4F" w:rsidRDefault="54158360" w:rsidP="00B02A4F">
      <w:pPr>
        <w:keepNext/>
      </w:pPr>
      <w:r>
        <w:rPr>
          <w:noProof/>
        </w:rPr>
        <w:lastRenderedPageBreak/>
        <w:drawing>
          <wp:inline distT="0" distB="0" distL="0" distR="0" wp14:anchorId="08D1B0D3" wp14:editId="63866B12">
            <wp:extent cx="5731510" cy="5306693"/>
            <wp:effectExtent l="0" t="0" r="2540" b="8255"/>
            <wp:docPr id="111" name="Picture 111" descr="P47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P4752#yIS1"/>
                    <pic:cNvPicPr/>
                  </pic:nvPicPr>
                  <pic:blipFill>
                    <a:blip r:embed="rId35">
                      <a:extLst>
                        <a:ext uri="{28A0092B-C50C-407E-A947-70E740481C1C}">
                          <a14:useLocalDpi xmlns:a14="http://schemas.microsoft.com/office/drawing/2010/main" val="0"/>
                        </a:ext>
                      </a:extLst>
                    </a:blip>
                    <a:stretch>
                      <a:fillRect/>
                    </a:stretch>
                  </pic:blipFill>
                  <pic:spPr>
                    <a:xfrm>
                      <a:off x="0" y="0"/>
                      <a:ext cx="5731510" cy="5306693"/>
                    </a:xfrm>
                    <a:prstGeom prst="rect">
                      <a:avLst/>
                    </a:prstGeom>
                  </pic:spPr>
                </pic:pic>
              </a:graphicData>
            </a:graphic>
          </wp:inline>
        </w:drawing>
      </w:r>
    </w:p>
    <w:p w14:paraId="6F7C6EF6" w14:textId="0CCE4709" w:rsidR="00E05F1C" w:rsidRDefault="00B02A4F" w:rsidP="0014001D">
      <w:pPr>
        <w:pStyle w:val="Caption"/>
        <w:spacing w:before="120" w:after="60"/>
        <w:jc w:val="both"/>
      </w:pPr>
      <w:bookmarkStart w:id="118" w:name="_Ref62124868"/>
      <w:r>
        <w:t xml:space="preserve">Figure </w:t>
      </w:r>
      <w:r w:rsidR="00BF3F75">
        <w:fldChar w:fldCharType="begin"/>
      </w:r>
      <w:r w:rsidR="00BF3F75">
        <w:instrText xml:space="preserve"> SEQ Figure \* ARABIC </w:instrText>
      </w:r>
      <w:r w:rsidR="00BF3F75">
        <w:fldChar w:fldCharType="separate"/>
      </w:r>
      <w:r w:rsidR="00EC5CC7">
        <w:rPr>
          <w:noProof/>
        </w:rPr>
        <w:t>16</w:t>
      </w:r>
      <w:r w:rsidR="00BF3F75">
        <w:rPr>
          <w:noProof/>
        </w:rPr>
        <w:fldChar w:fldCharType="end"/>
      </w:r>
      <w:bookmarkEnd w:id="118"/>
      <w:r>
        <w:t xml:space="preserve">: </w:t>
      </w:r>
      <w:r w:rsidRPr="008D7D3A">
        <w:t>Results of smoking cessation f</w:t>
      </w:r>
      <w:r w:rsidR="008A27A8">
        <w:t>or</w:t>
      </w:r>
      <w:r w:rsidRPr="008D7D3A">
        <w:t xml:space="preserve"> at least six months follow-up based on updated re-analysis, combination NRT </w:t>
      </w:r>
      <w:r>
        <w:t xml:space="preserve">(subgroup based on formulation) </w:t>
      </w:r>
      <w:r w:rsidRPr="008D7D3A">
        <w:t xml:space="preserve">versus NRT </w:t>
      </w:r>
      <w:r>
        <w:t>patch</w:t>
      </w:r>
    </w:p>
    <w:p w14:paraId="0234EB12" w14:textId="465B1EA8" w:rsidR="00C558A9" w:rsidRDefault="00C558A9" w:rsidP="0014001D">
      <w:pPr>
        <w:pStyle w:val="FigureFooter"/>
        <w:jc w:val="both"/>
      </w:pPr>
      <w:r>
        <w:t xml:space="preserve">Source: </w:t>
      </w:r>
      <w:r w:rsidR="009232E0">
        <w:t xml:space="preserve">constructed during the review </w:t>
      </w:r>
      <w:r w:rsidR="00EB369D">
        <w:t>based on</w:t>
      </w:r>
      <w:r w:rsidR="009232E0">
        <w:t xml:space="preserve"> </w:t>
      </w:r>
      <w:r>
        <w:t>Lindson et al. (2019), Leung et al. (2019)</w:t>
      </w:r>
    </w:p>
    <w:p w14:paraId="08FE7CA2" w14:textId="2ADF6278" w:rsidR="00B02A4F" w:rsidRDefault="00C558A9" w:rsidP="0014001D">
      <w:pPr>
        <w:pStyle w:val="FigureFooter"/>
        <w:jc w:val="both"/>
      </w:pPr>
      <w:r>
        <w:t>Abbreviations: CI = confidence interval</w:t>
      </w:r>
    </w:p>
    <w:p w14:paraId="41606A19" w14:textId="6DBB31FA" w:rsidR="00A2255C" w:rsidRDefault="0D6931A4" w:rsidP="00A2255C">
      <w:pPr>
        <w:keepNext/>
      </w:pPr>
      <w:r>
        <w:rPr>
          <w:noProof/>
        </w:rPr>
        <w:lastRenderedPageBreak/>
        <w:drawing>
          <wp:inline distT="0" distB="0" distL="0" distR="0" wp14:anchorId="45905E46" wp14:editId="446304B0">
            <wp:extent cx="5731510" cy="3720465"/>
            <wp:effectExtent l="0" t="0" r="2540" b="0"/>
            <wp:docPr id="114" name="Picture 114" descr="P47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P4756#yIS1"/>
                    <pic:cNvPicPr/>
                  </pic:nvPicPr>
                  <pic:blipFill>
                    <a:blip r:embed="rId36">
                      <a:extLst>
                        <a:ext uri="{28A0092B-C50C-407E-A947-70E740481C1C}">
                          <a14:useLocalDpi xmlns:a14="http://schemas.microsoft.com/office/drawing/2010/main" val="0"/>
                        </a:ext>
                      </a:extLst>
                    </a:blip>
                    <a:stretch>
                      <a:fillRect/>
                    </a:stretch>
                  </pic:blipFill>
                  <pic:spPr>
                    <a:xfrm>
                      <a:off x="0" y="0"/>
                      <a:ext cx="5731510" cy="3720465"/>
                    </a:xfrm>
                    <a:prstGeom prst="rect">
                      <a:avLst/>
                    </a:prstGeom>
                  </pic:spPr>
                </pic:pic>
              </a:graphicData>
            </a:graphic>
          </wp:inline>
        </w:drawing>
      </w:r>
    </w:p>
    <w:p w14:paraId="589C2D0D" w14:textId="282E69B3" w:rsidR="00A2255C" w:rsidRDefault="00A2255C" w:rsidP="0014001D">
      <w:pPr>
        <w:pStyle w:val="Caption"/>
        <w:spacing w:before="120" w:after="60"/>
        <w:jc w:val="both"/>
      </w:pPr>
      <w:bookmarkStart w:id="119" w:name="_Ref62124869"/>
      <w:r>
        <w:t xml:space="preserve">Figure </w:t>
      </w:r>
      <w:r w:rsidR="00BF3F75">
        <w:fldChar w:fldCharType="begin"/>
      </w:r>
      <w:r w:rsidR="00BF3F75">
        <w:instrText xml:space="preserve"> SEQ Figure \* ARABIC </w:instrText>
      </w:r>
      <w:r w:rsidR="00BF3F75">
        <w:fldChar w:fldCharType="separate"/>
      </w:r>
      <w:r w:rsidR="00EC5CC7">
        <w:rPr>
          <w:noProof/>
        </w:rPr>
        <w:t>17</w:t>
      </w:r>
      <w:r w:rsidR="00BF3F75">
        <w:rPr>
          <w:noProof/>
        </w:rPr>
        <w:fldChar w:fldCharType="end"/>
      </w:r>
      <w:bookmarkEnd w:id="119"/>
      <w:r>
        <w:t xml:space="preserve">: </w:t>
      </w:r>
      <w:r w:rsidRPr="001653A7">
        <w:t xml:space="preserve">Results of smoking cessation </w:t>
      </w:r>
      <w:r w:rsidR="00F610DC">
        <w:t>for</w:t>
      </w:r>
      <w:r w:rsidRPr="001653A7">
        <w:t xml:space="preserve"> at least six months follow-up based on updated re-analysis, combination NRT (subgroup based on formulation) versus </w:t>
      </w:r>
      <w:r>
        <w:t>fast</w:t>
      </w:r>
      <w:r w:rsidR="00077BB6">
        <w:t>-</w:t>
      </w:r>
      <w:r>
        <w:t>acting</w:t>
      </w:r>
      <w:r w:rsidR="00077BB6">
        <w:t xml:space="preserve"> </w:t>
      </w:r>
      <w:r w:rsidRPr="001653A7">
        <w:t>NRT</w:t>
      </w:r>
    </w:p>
    <w:p w14:paraId="371CE235" w14:textId="02A5816E" w:rsidR="00077BB6" w:rsidRDefault="00077BB6" w:rsidP="0014001D">
      <w:pPr>
        <w:pStyle w:val="FigureFooter"/>
        <w:jc w:val="both"/>
      </w:pPr>
      <w:r>
        <w:t>Source:</w:t>
      </w:r>
      <w:r w:rsidR="00EB369D">
        <w:t xml:space="preserve"> constructed during the review based on</w:t>
      </w:r>
      <w:r>
        <w:t xml:space="preserve"> Lindson et al. (2019), Leung et al. (2019)</w:t>
      </w:r>
    </w:p>
    <w:p w14:paraId="6A1ED787" w14:textId="77777777" w:rsidR="00077BB6" w:rsidRDefault="00077BB6" w:rsidP="0014001D">
      <w:pPr>
        <w:pStyle w:val="FigureFooter"/>
        <w:spacing w:after="120"/>
        <w:contextualSpacing w:val="0"/>
        <w:jc w:val="both"/>
      </w:pPr>
      <w:r>
        <w:t>Abbreviations: CI = confidence interval</w:t>
      </w:r>
    </w:p>
    <w:p w14:paraId="083025AD" w14:textId="563A04C8" w:rsidR="00B430D0" w:rsidRPr="0073597F" w:rsidRDefault="00B430D0" w:rsidP="0014001D">
      <w:pPr>
        <w:spacing w:after="120"/>
        <w:jc w:val="both"/>
        <w:rPr>
          <w:u w:val="single"/>
        </w:rPr>
      </w:pPr>
      <w:r w:rsidRPr="0073597F">
        <w:rPr>
          <w:u w:val="single"/>
        </w:rPr>
        <w:t>Safety</w:t>
      </w:r>
    </w:p>
    <w:p w14:paraId="69B0191D" w14:textId="7D02B9DB" w:rsidR="00861DBA" w:rsidRDefault="00A22BF4" w:rsidP="00BC2232">
      <w:pPr>
        <w:spacing w:after="120"/>
        <w:jc w:val="both"/>
      </w:pPr>
      <w:r w:rsidRPr="00A22BF4">
        <w:t xml:space="preserve">A summary of key adverse events </w:t>
      </w:r>
      <w:r w:rsidR="00BA7E32">
        <w:t xml:space="preserve">comparing combination NRT with NRT monotherapy </w:t>
      </w:r>
      <w:r w:rsidRPr="00A22BF4">
        <w:t>is presented in</w:t>
      </w:r>
      <w:r w:rsidR="00BC2232">
        <w:t xml:space="preserve"> Table 61</w:t>
      </w:r>
      <w:r w:rsidRPr="00A22BF4">
        <w:t xml:space="preserve">. Based on the Cochrane </w:t>
      </w:r>
      <w:r w:rsidR="00861DBA">
        <w:t>R</w:t>
      </w:r>
      <w:r w:rsidRPr="00A22BF4">
        <w:t xml:space="preserve">eview by Lindson et al. (2019), there were no statistically significant differences between </w:t>
      </w:r>
      <w:r w:rsidR="00A71AD6">
        <w:t xml:space="preserve">combination </w:t>
      </w:r>
      <w:r w:rsidRPr="00A22BF4">
        <w:t xml:space="preserve">NRT and NRT </w:t>
      </w:r>
      <w:r w:rsidR="00A71AD6">
        <w:t>monotherapy</w:t>
      </w:r>
      <w:r w:rsidR="00E02944">
        <w:t xml:space="preserve"> (NRT </w:t>
      </w:r>
      <w:r w:rsidR="00573F59">
        <w:t>patches</w:t>
      </w:r>
      <w:r w:rsidR="00E02944">
        <w:t xml:space="preserve"> alone or fast-acting NRT)</w:t>
      </w:r>
      <w:r w:rsidRPr="00A22BF4">
        <w:t xml:space="preserve"> in terms of </w:t>
      </w:r>
      <w:r w:rsidR="006351C3">
        <w:t>cardiac adverse event</w:t>
      </w:r>
      <w:r w:rsidR="00F610DC">
        <w:t>s</w:t>
      </w:r>
      <w:r w:rsidR="006351C3">
        <w:t xml:space="preserve">, </w:t>
      </w:r>
      <w:r w:rsidRPr="00A22BF4">
        <w:t xml:space="preserve">serious adverse </w:t>
      </w:r>
      <w:r w:rsidR="00826C95" w:rsidRPr="00A22BF4">
        <w:t>events,</w:t>
      </w:r>
      <w:r w:rsidRPr="00A22BF4">
        <w:t xml:space="preserve"> </w:t>
      </w:r>
      <w:r w:rsidR="00386769">
        <w:t>or</w:t>
      </w:r>
      <w:r w:rsidRPr="00A22BF4">
        <w:t xml:space="preserve"> withdrawals due to treatment.</w:t>
      </w:r>
    </w:p>
    <w:p w14:paraId="3A2203B0" w14:textId="34097045" w:rsidR="00B430D0" w:rsidRDefault="00861DBA" w:rsidP="00BC2232">
      <w:pPr>
        <w:spacing w:after="120"/>
        <w:jc w:val="both"/>
      </w:pPr>
      <w:r>
        <w:t>The results of the updated re-analysis for cardiac adverse event</w:t>
      </w:r>
      <w:r w:rsidR="00F610DC">
        <w:t>s</w:t>
      </w:r>
      <w:r>
        <w:t xml:space="preserve"> were consistent with</w:t>
      </w:r>
      <w:r w:rsidR="00A22BF4" w:rsidRPr="00A22BF4">
        <w:t xml:space="preserve"> </w:t>
      </w:r>
      <w:r w:rsidR="00BA5F64">
        <w:t xml:space="preserve">the results from Lindson et al. (2019), although the point estimate </w:t>
      </w:r>
      <w:r w:rsidR="00F610DC">
        <w:t>was</w:t>
      </w:r>
      <w:r w:rsidR="00BA5F64">
        <w:t xml:space="preserve"> now less than </w:t>
      </w:r>
      <w:r w:rsidR="00BC2232">
        <w:t>one</w:t>
      </w:r>
      <w:r w:rsidR="00BA5F64">
        <w:t xml:space="preserve"> which suggests that cardiac adverse events were lower in the combination NRT treatment arm.</w:t>
      </w:r>
      <w:r w:rsidR="00A22BF4" w:rsidRPr="00A22BF4">
        <w:t xml:space="preserve"> </w:t>
      </w:r>
    </w:p>
    <w:p w14:paraId="23ECA099" w14:textId="77777777" w:rsidR="00D44ACF" w:rsidRDefault="00D44ACF">
      <w:pPr>
        <w:spacing w:line="276" w:lineRule="auto"/>
        <w:rPr>
          <w:rFonts w:asciiTheme="minorHAnsi" w:eastAsia="Times New Roman" w:hAnsiTheme="minorHAnsi" w:cs="Times New Roman"/>
          <w:b/>
          <w:bCs/>
          <w:szCs w:val="18"/>
        </w:rPr>
      </w:pPr>
      <w:bookmarkStart w:id="120" w:name="_Ref55308301"/>
      <w:r>
        <w:br w:type="page"/>
      </w:r>
    </w:p>
    <w:p w14:paraId="099EF44D" w14:textId="418F3D60" w:rsidR="00B032C3" w:rsidRDefault="00B032C3" w:rsidP="00D44ACF">
      <w:pPr>
        <w:pStyle w:val="Caption"/>
        <w:keepNext/>
        <w:spacing w:before="0" w:after="120"/>
        <w:jc w:val="both"/>
      </w:pPr>
      <w:r>
        <w:lastRenderedPageBreak/>
        <w:t xml:space="preserve">Table </w:t>
      </w:r>
      <w:r w:rsidR="00BF3F75">
        <w:fldChar w:fldCharType="begin"/>
      </w:r>
      <w:r w:rsidR="00BF3F75">
        <w:instrText xml:space="preserve"> SE</w:instrText>
      </w:r>
      <w:r w:rsidR="00BF3F75">
        <w:instrText xml:space="preserve">Q Table \* ARABIC </w:instrText>
      </w:r>
      <w:r w:rsidR="00BF3F75">
        <w:fldChar w:fldCharType="separate"/>
      </w:r>
      <w:r w:rsidR="00EC5CC7">
        <w:rPr>
          <w:noProof/>
        </w:rPr>
        <w:t>61</w:t>
      </w:r>
      <w:r w:rsidR="00BF3F75">
        <w:rPr>
          <w:noProof/>
        </w:rPr>
        <w:fldChar w:fldCharType="end"/>
      </w:r>
      <w:bookmarkEnd w:id="120"/>
      <w:r>
        <w:t xml:space="preserve">: </w:t>
      </w:r>
      <w:r w:rsidRPr="00462BC3">
        <w:t xml:space="preserve">Summary of key adverse events in </w:t>
      </w:r>
      <w:r>
        <w:t>Lindson</w:t>
      </w:r>
      <w:r w:rsidRPr="00462BC3">
        <w:t xml:space="preserve"> et al. (20</w:t>
      </w:r>
      <w:r>
        <w:t>19</w:t>
      </w:r>
      <w:r w:rsidRPr="00462BC3">
        <w:t xml:space="preserve">), </w:t>
      </w:r>
      <w:r>
        <w:t>combination NRT</w:t>
      </w:r>
      <w:r w:rsidRPr="00462BC3">
        <w:t xml:space="preserve"> versus </w:t>
      </w:r>
      <w:r>
        <w:t>NRT monotherapy</w:t>
      </w:r>
    </w:p>
    <w:tbl>
      <w:tblPr>
        <w:tblStyle w:val="TableGrid"/>
        <w:tblW w:w="5000" w:type="pct"/>
        <w:tblLook w:val="04A0" w:firstRow="1" w:lastRow="0" w:firstColumn="1" w:lastColumn="0" w:noHBand="0" w:noVBand="1"/>
        <w:tblCaption w:val="Efficacy results of adalimumab trials (PASI 75 and DLQI)"/>
      </w:tblPr>
      <w:tblGrid>
        <w:gridCol w:w="1980"/>
        <w:gridCol w:w="1861"/>
        <w:gridCol w:w="1311"/>
        <w:gridCol w:w="1311"/>
        <w:gridCol w:w="1311"/>
        <w:gridCol w:w="1242"/>
      </w:tblGrid>
      <w:tr w:rsidR="004D48D6" w:rsidRPr="00061F78" w14:paraId="7435EB42" w14:textId="77777777" w:rsidTr="007D70B8">
        <w:trPr>
          <w:cantSplit/>
          <w:trHeight w:val="299"/>
          <w:tblHeader/>
        </w:trPr>
        <w:tc>
          <w:tcPr>
            <w:tcW w:w="1098" w:type="pct"/>
            <w:shd w:val="clear" w:color="auto" w:fill="BFBFBF" w:themeFill="background1" w:themeFillShade="BF"/>
            <w:tcMar>
              <w:left w:w="28" w:type="dxa"/>
              <w:right w:w="28" w:type="dxa"/>
            </w:tcMar>
          </w:tcPr>
          <w:p w14:paraId="35615155" w14:textId="77777777" w:rsidR="00AC43C2" w:rsidRDefault="00AC43C2" w:rsidP="00F9381D">
            <w:pPr>
              <w:pStyle w:val="Tableheading"/>
              <w:rPr>
                <w:rFonts w:eastAsia="MS Mincho"/>
              </w:rPr>
            </w:pPr>
            <w:r>
              <w:rPr>
                <w:rFonts w:eastAsia="MS Mincho"/>
              </w:rPr>
              <w:t>Outcome</w:t>
            </w:r>
          </w:p>
        </w:tc>
        <w:tc>
          <w:tcPr>
            <w:tcW w:w="1032" w:type="pct"/>
            <w:shd w:val="clear" w:color="auto" w:fill="BFBFBF" w:themeFill="background1" w:themeFillShade="BF"/>
          </w:tcPr>
          <w:p w14:paraId="65E2E45B" w14:textId="0E1DCE27" w:rsidR="00AC43C2" w:rsidRDefault="00AC43C2" w:rsidP="00F9381D">
            <w:pPr>
              <w:pStyle w:val="Tableheading"/>
              <w:jc w:val="center"/>
              <w:rPr>
                <w:rFonts w:eastAsia="MS Mincho"/>
              </w:rPr>
            </w:pPr>
            <w:r>
              <w:rPr>
                <w:rFonts w:eastAsia="MS Mincho"/>
              </w:rPr>
              <w:t>Study type</w:t>
            </w:r>
          </w:p>
        </w:tc>
        <w:tc>
          <w:tcPr>
            <w:tcW w:w="727" w:type="pct"/>
            <w:shd w:val="clear" w:color="auto" w:fill="BFBFBF" w:themeFill="background1" w:themeFillShade="BF"/>
            <w:tcMar>
              <w:left w:w="28" w:type="dxa"/>
              <w:right w:w="28" w:type="dxa"/>
            </w:tcMar>
            <w:vAlign w:val="center"/>
          </w:tcPr>
          <w:p w14:paraId="717A0883" w14:textId="3FEF998F" w:rsidR="00AC43C2" w:rsidRPr="00061F78" w:rsidRDefault="00AC43C2" w:rsidP="00F9381D">
            <w:pPr>
              <w:pStyle w:val="Tableheading"/>
              <w:jc w:val="center"/>
              <w:rPr>
                <w:rFonts w:eastAsia="MS Mincho"/>
              </w:rPr>
            </w:pPr>
            <w:r>
              <w:rPr>
                <w:rFonts w:eastAsia="MS Mincho"/>
              </w:rPr>
              <w:t>Combination NRT</w:t>
            </w:r>
          </w:p>
        </w:tc>
        <w:tc>
          <w:tcPr>
            <w:tcW w:w="727" w:type="pct"/>
            <w:shd w:val="clear" w:color="auto" w:fill="BFBFBF" w:themeFill="background1" w:themeFillShade="BF"/>
            <w:tcMar>
              <w:left w:w="28" w:type="dxa"/>
              <w:right w:w="28" w:type="dxa"/>
            </w:tcMar>
            <w:vAlign w:val="center"/>
          </w:tcPr>
          <w:p w14:paraId="71A5733C" w14:textId="306F6390" w:rsidR="00AC43C2" w:rsidRPr="00061F78" w:rsidRDefault="00AC43C2" w:rsidP="00F9381D">
            <w:pPr>
              <w:pStyle w:val="Tableheading"/>
              <w:jc w:val="center"/>
              <w:rPr>
                <w:rFonts w:eastAsia="MS Mincho"/>
              </w:rPr>
            </w:pPr>
            <w:r>
              <w:rPr>
                <w:rFonts w:eastAsia="MS Mincho"/>
              </w:rPr>
              <w:t>NRT monotherapy</w:t>
            </w:r>
          </w:p>
        </w:tc>
        <w:tc>
          <w:tcPr>
            <w:tcW w:w="727" w:type="pct"/>
            <w:shd w:val="clear" w:color="auto" w:fill="BFBFBF" w:themeFill="background1" w:themeFillShade="BF"/>
            <w:tcMar>
              <w:left w:w="28" w:type="dxa"/>
              <w:right w:w="28" w:type="dxa"/>
            </w:tcMar>
            <w:vAlign w:val="center"/>
          </w:tcPr>
          <w:p w14:paraId="7342C97E" w14:textId="2256A552" w:rsidR="00AC43C2" w:rsidRPr="00681ACA" w:rsidRDefault="00AC43C2" w:rsidP="00F9381D">
            <w:pPr>
              <w:pStyle w:val="Tableheading"/>
              <w:jc w:val="center"/>
              <w:rPr>
                <w:rFonts w:eastAsia="MS Mincho"/>
                <w:vertAlign w:val="superscript"/>
              </w:rPr>
            </w:pPr>
            <w:r>
              <w:rPr>
                <w:rFonts w:eastAsia="MS Mincho"/>
              </w:rPr>
              <w:t>RR (95% CI)</w:t>
            </w:r>
          </w:p>
        </w:tc>
        <w:tc>
          <w:tcPr>
            <w:tcW w:w="689" w:type="pct"/>
            <w:shd w:val="clear" w:color="auto" w:fill="BFBFBF" w:themeFill="background1" w:themeFillShade="BF"/>
            <w:vAlign w:val="center"/>
          </w:tcPr>
          <w:p w14:paraId="6438DAFC" w14:textId="77777777" w:rsidR="00AC43C2" w:rsidRDefault="00AC43C2" w:rsidP="00F9381D">
            <w:pPr>
              <w:pStyle w:val="Tableheading"/>
              <w:jc w:val="center"/>
              <w:rPr>
                <w:rFonts w:eastAsia="MS Mincho"/>
              </w:rPr>
            </w:pPr>
            <w:r>
              <w:rPr>
                <w:rFonts w:eastAsia="MS Mincho"/>
              </w:rPr>
              <w:t>RD (95% CI)</w:t>
            </w:r>
          </w:p>
        </w:tc>
      </w:tr>
      <w:tr w:rsidR="000708B4" w:rsidRPr="00061F78" w14:paraId="09B73538" w14:textId="77777777" w:rsidTr="004B53F8">
        <w:trPr>
          <w:cantSplit/>
          <w:trHeight w:val="99"/>
        </w:trPr>
        <w:tc>
          <w:tcPr>
            <w:tcW w:w="5000" w:type="pct"/>
            <w:gridSpan w:val="6"/>
            <w:shd w:val="clear" w:color="auto" w:fill="auto"/>
            <w:tcMar>
              <w:left w:w="28" w:type="dxa"/>
              <w:right w:w="28" w:type="dxa"/>
            </w:tcMar>
          </w:tcPr>
          <w:p w14:paraId="5F884475" w14:textId="099ED3F9" w:rsidR="000708B4" w:rsidRPr="004B53F8" w:rsidRDefault="000708B4" w:rsidP="00F9381D">
            <w:pPr>
              <w:pStyle w:val="Tablewriting"/>
              <w:rPr>
                <w:rFonts w:eastAsia="MS Mincho"/>
                <w:b/>
                <w:bCs/>
              </w:rPr>
            </w:pPr>
            <w:r w:rsidRPr="004B53F8">
              <w:rPr>
                <w:rFonts w:eastAsia="MS Mincho"/>
                <w:b/>
                <w:bCs/>
              </w:rPr>
              <w:t>Cardiac adverse event</w:t>
            </w:r>
            <w:r w:rsidR="008A27A8">
              <w:rPr>
                <w:rFonts w:eastAsia="MS Mincho"/>
                <w:b/>
                <w:bCs/>
              </w:rPr>
              <w:t>s</w:t>
            </w:r>
          </w:p>
        </w:tc>
      </w:tr>
      <w:tr w:rsidR="00AC43C2" w:rsidRPr="00061F78" w14:paraId="0A4D173C" w14:textId="77777777" w:rsidTr="0027217C">
        <w:trPr>
          <w:cantSplit/>
          <w:trHeight w:val="99"/>
        </w:trPr>
        <w:tc>
          <w:tcPr>
            <w:tcW w:w="1098" w:type="pct"/>
            <w:vMerge w:val="restart"/>
            <w:shd w:val="clear" w:color="auto" w:fill="auto"/>
            <w:tcMar>
              <w:left w:w="28" w:type="dxa"/>
              <w:right w:w="28" w:type="dxa"/>
            </w:tcMar>
          </w:tcPr>
          <w:p w14:paraId="538F2A87" w14:textId="46D2A848" w:rsidR="00AC43C2" w:rsidRDefault="00AC43C2" w:rsidP="00F9381D">
            <w:pPr>
              <w:pStyle w:val="Tablewriting"/>
              <w:rPr>
                <w:rFonts w:eastAsia="MS Mincho"/>
              </w:rPr>
            </w:pPr>
            <w:r>
              <w:rPr>
                <w:rFonts w:eastAsia="MS Mincho"/>
              </w:rPr>
              <w:t>Combination NRT versus NRT patch</w:t>
            </w:r>
          </w:p>
        </w:tc>
        <w:tc>
          <w:tcPr>
            <w:tcW w:w="1032" w:type="pct"/>
          </w:tcPr>
          <w:p w14:paraId="7076DA63" w14:textId="77777777" w:rsidR="00AC43C2" w:rsidRDefault="00AC43C2" w:rsidP="00F9381D">
            <w:pPr>
              <w:pStyle w:val="Tablewriting"/>
              <w:jc w:val="center"/>
              <w:rPr>
                <w:rFonts w:eastAsia="MS Mincho"/>
              </w:rPr>
            </w:pPr>
            <w:r>
              <w:rPr>
                <w:rFonts w:eastAsia="MS Mincho"/>
              </w:rPr>
              <w:t>Cochrane Review</w:t>
            </w:r>
          </w:p>
          <w:p w14:paraId="2114CDE2" w14:textId="56FFF833" w:rsidR="00AC43C2" w:rsidRPr="00A8247E" w:rsidRDefault="00AC43C2" w:rsidP="00F9381D">
            <w:pPr>
              <w:pStyle w:val="Tablewriting"/>
              <w:jc w:val="center"/>
              <w:rPr>
                <w:rFonts w:eastAsia="MS Mincho"/>
                <w:vertAlign w:val="superscript"/>
              </w:rPr>
            </w:pPr>
            <w:r>
              <w:rPr>
                <w:rFonts w:eastAsia="MS Mincho"/>
              </w:rPr>
              <w:t>(1 RCT)</w:t>
            </w:r>
            <w:r w:rsidR="008C13F8">
              <w:rPr>
                <w:rFonts w:eastAsia="MS Mincho"/>
                <w:vertAlign w:val="superscript"/>
              </w:rPr>
              <w:t>4</w:t>
            </w:r>
          </w:p>
        </w:tc>
        <w:tc>
          <w:tcPr>
            <w:tcW w:w="727" w:type="pct"/>
            <w:shd w:val="clear" w:color="auto" w:fill="auto"/>
            <w:tcMar>
              <w:left w:w="28" w:type="dxa"/>
              <w:right w:w="28" w:type="dxa"/>
            </w:tcMar>
            <w:vAlign w:val="center"/>
          </w:tcPr>
          <w:p w14:paraId="365F5815" w14:textId="64827F6F" w:rsidR="00AC43C2" w:rsidRPr="00F423F8" w:rsidRDefault="00A77C46" w:rsidP="00F9381D">
            <w:pPr>
              <w:pStyle w:val="Tablewriting"/>
              <w:jc w:val="center"/>
              <w:rPr>
                <w:rFonts w:eastAsia="MS Mincho"/>
                <w:vertAlign w:val="superscript"/>
              </w:rPr>
            </w:pPr>
            <w:r>
              <w:rPr>
                <w:rFonts w:eastAsia="MS Mincho"/>
              </w:rPr>
              <w:t>4</w:t>
            </w:r>
            <w:r w:rsidR="00AC43C2">
              <w:rPr>
                <w:rFonts w:eastAsia="MS Mincho"/>
              </w:rPr>
              <w:t>/</w:t>
            </w:r>
            <w:r>
              <w:rPr>
                <w:rFonts w:eastAsia="MS Mincho"/>
              </w:rPr>
              <w:t>45</w:t>
            </w:r>
          </w:p>
          <w:p w14:paraId="02C2EBB5" w14:textId="778B2D5D" w:rsidR="00AC43C2" w:rsidRDefault="00AC43C2" w:rsidP="00F9381D">
            <w:pPr>
              <w:pStyle w:val="Tablewriting"/>
              <w:jc w:val="center"/>
              <w:rPr>
                <w:rFonts w:eastAsia="MS Mincho"/>
              </w:rPr>
            </w:pPr>
            <w:r>
              <w:rPr>
                <w:rFonts w:eastAsia="MS Mincho"/>
              </w:rPr>
              <w:t>(</w:t>
            </w:r>
            <w:r w:rsidR="00110959">
              <w:rPr>
                <w:rFonts w:eastAsia="MS Mincho"/>
              </w:rPr>
              <w:t>8.9</w:t>
            </w:r>
            <w:r>
              <w:rPr>
                <w:rFonts w:eastAsia="MS Mincho"/>
              </w:rPr>
              <w:t>%)</w:t>
            </w:r>
          </w:p>
        </w:tc>
        <w:tc>
          <w:tcPr>
            <w:tcW w:w="727" w:type="pct"/>
            <w:shd w:val="clear" w:color="auto" w:fill="auto"/>
            <w:tcMar>
              <w:left w:w="28" w:type="dxa"/>
              <w:right w:w="28" w:type="dxa"/>
            </w:tcMar>
            <w:vAlign w:val="center"/>
          </w:tcPr>
          <w:p w14:paraId="0AD93C93" w14:textId="5E157B5D" w:rsidR="00AC43C2" w:rsidRDefault="0011032E" w:rsidP="00F9381D">
            <w:pPr>
              <w:pStyle w:val="Tablewriting"/>
              <w:jc w:val="center"/>
              <w:rPr>
                <w:rFonts w:eastAsia="MS Mincho"/>
              </w:rPr>
            </w:pPr>
            <w:r>
              <w:rPr>
                <w:rFonts w:eastAsia="MS Mincho"/>
              </w:rPr>
              <w:t>4</w:t>
            </w:r>
            <w:r w:rsidR="00AC43C2">
              <w:rPr>
                <w:rFonts w:eastAsia="MS Mincho"/>
              </w:rPr>
              <w:t>/</w:t>
            </w:r>
            <w:r>
              <w:rPr>
                <w:rFonts w:eastAsia="MS Mincho"/>
              </w:rPr>
              <w:t>51</w:t>
            </w:r>
          </w:p>
          <w:p w14:paraId="4AF58143" w14:textId="1A634D7F" w:rsidR="00AC43C2" w:rsidRDefault="00AC43C2" w:rsidP="00F9381D">
            <w:pPr>
              <w:pStyle w:val="Tablewriting"/>
              <w:jc w:val="center"/>
              <w:rPr>
                <w:rFonts w:eastAsia="MS Mincho"/>
              </w:rPr>
            </w:pPr>
            <w:r>
              <w:rPr>
                <w:rFonts w:eastAsia="MS Mincho"/>
              </w:rPr>
              <w:t>(</w:t>
            </w:r>
            <w:r w:rsidR="00DF3AEC">
              <w:rPr>
                <w:rFonts w:eastAsia="MS Mincho"/>
              </w:rPr>
              <w:t>7.8</w:t>
            </w:r>
            <w:r>
              <w:rPr>
                <w:rFonts w:eastAsia="MS Mincho"/>
              </w:rPr>
              <w:t>%)</w:t>
            </w:r>
          </w:p>
        </w:tc>
        <w:tc>
          <w:tcPr>
            <w:tcW w:w="727" w:type="pct"/>
            <w:shd w:val="clear" w:color="auto" w:fill="auto"/>
            <w:tcMar>
              <w:left w:w="28" w:type="dxa"/>
              <w:right w:w="28" w:type="dxa"/>
            </w:tcMar>
            <w:vAlign w:val="center"/>
          </w:tcPr>
          <w:p w14:paraId="2186E6A0" w14:textId="77777777" w:rsidR="00AC43C2" w:rsidRPr="0011032E" w:rsidRDefault="00AC43C2" w:rsidP="00F9381D">
            <w:pPr>
              <w:pStyle w:val="Tablewriting"/>
              <w:jc w:val="center"/>
              <w:rPr>
                <w:rFonts w:eastAsia="MS Mincho"/>
              </w:rPr>
            </w:pPr>
            <w:r w:rsidRPr="0011032E">
              <w:rPr>
                <w:rFonts w:eastAsia="MS Mincho"/>
              </w:rPr>
              <w:t>1.</w:t>
            </w:r>
            <w:r w:rsidR="0011032E" w:rsidRPr="0011032E">
              <w:rPr>
                <w:rFonts w:eastAsia="MS Mincho"/>
              </w:rPr>
              <w:t>13</w:t>
            </w:r>
          </w:p>
          <w:p w14:paraId="30DFA705" w14:textId="41F77603" w:rsidR="0011032E" w:rsidRPr="00F360FD" w:rsidRDefault="0011032E" w:rsidP="00F9381D">
            <w:pPr>
              <w:pStyle w:val="Tablewriting"/>
              <w:jc w:val="center"/>
              <w:rPr>
                <w:rFonts w:eastAsia="MS Mincho"/>
                <w:b/>
              </w:rPr>
            </w:pPr>
            <w:r w:rsidRPr="0011032E">
              <w:rPr>
                <w:rFonts w:eastAsia="MS Mincho"/>
              </w:rPr>
              <w:t>(0.3, 4.27)</w:t>
            </w:r>
          </w:p>
        </w:tc>
        <w:tc>
          <w:tcPr>
            <w:tcW w:w="689" w:type="pct"/>
            <w:shd w:val="clear" w:color="auto" w:fill="auto"/>
            <w:vAlign w:val="center"/>
          </w:tcPr>
          <w:p w14:paraId="0F174209" w14:textId="701B8C2A" w:rsidR="00AC43C2" w:rsidRPr="00061F78" w:rsidRDefault="007D70B8" w:rsidP="00F9381D">
            <w:pPr>
              <w:pStyle w:val="Tablewriting"/>
              <w:jc w:val="center"/>
              <w:rPr>
                <w:rFonts w:eastAsia="MS Mincho"/>
              </w:rPr>
            </w:pPr>
            <w:r>
              <w:rPr>
                <w:rFonts w:eastAsia="MS Mincho"/>
              </w:rPr>
              <w:t>NR</w:t>
            </w:r>
          </w:p>
        </w:tc>
      </w:tr>
      <w:tr w:rsidR="007D70B8" w:rsidRPr="00061F78" w14:paraId="396AA5B7" w14:textId="77777777" w:rsidTr="0027217C">
        <w:trPr>
          <w:cantSplit/>
          <w:trHeight w:val="149"/>
        </w:trPr>
        <w:tc>
          <w:tcPr>
            <w:tcW w:w="1098" w:type="pct"/>
            <w:vMerge/>
            <w:tcMar>
              <w:left w:w="28" w:type="dxa"/>
              <w:right w:w="28" w:type="dxa"/>
            </w:tcMar>
          </w:tcPr>
          <w:p w14:paraId="1D713DD9" w14:textId="77777777" w:rsidR="007D70B8" w:rsidRDefault="007D70B8" w:rsidP="00F9381D">
            <w:pPr>
              <w:pStyle w:val="Tablewriting"/>
              <w:rPr>
                <w:rFonts w:eastAsia="MS Mincho"/>
              </w:rPr>
            </w:pPr>
          </w:p>
        </w:tc>
        <w:tc>
          <w:tcPr>
            <w:tcW w:w="1032" w:type="pct"/>
          </w:tcPr>
          <w:p w14:paraId="1C5E64AF" w14:textId="37CAFC08" w:rsidR="007D70B8" w:rsidRPr="00A8247E" w:rsidRDefault="007D70B8" w:rsidP="00F9381D">
            <w:pPr>
              <w:pStyle w:val="Tablewriting"/>
              <w:jc w:val="center"/>
              <w:rPr>
                <w:rFonts w:eastAsia="MS Mincho"/>
                <w:vertAlign w:val="superscript"/>
              </w:rPr>
            </w:pPr>
            <w:r>
              <w:rPr>
                <w:rFonts w:eastAsia="MS Mincho"/>
              </w:rPr>
              <w:t>Updated re-analysis (2 RCTs)</w:t>
            </w:r>
            <w:r w:rsidR="008C13F8">
              <w:rPr>
                <w:rFonts w:eastAsia="MS Mincho"/>
                <w:vertAlign w:val="superscript"/>
              </w:rPr>
              <w:t>5</w:t>
            </w:r>
          </w:p>
        </w:tc>
        <w:tc>
          <w:tcPr>
            <w:tcW w:w="727" w:type="pct"/>
            <w:tcMar>
              <w:left w:w="28" w:type="dxa"/>
              <w:right w:w="28" w:type="dxa"/>
            </w:tcMar>
            <w:vAlign w:val="center"/>
          </w:tcPr>
          <w:p w14:paraId="622D1613" w14:textId="1CE3F253" w:rsidR="007D70B8" w:rsidRDefault="008C13F8" w:rsidP="00F9381D">
            <w:pPr>
              <w:pStyle w:val="Tablewriting"/>
              <w:jc w:val="center"/>
              <w:rPr>
                <w:rFonts w:eastAsia="MS Mincho"/>
              </w:rPr>
            </w:pPr>
            <w:r w:rsidRPr="665EE49C">
              <w:rPr>
                <w:rFonts w:eastAsia="MS Mincho"/>
              </w:rPr>
              <w:t>4/319</w:t>
            </w:r>
          </w:p>
          <w:p w14:paraId="6C493F8D" w14:textId="5A031D99" w:rsidR="007D70B8" w:rsidRDefault="008C13F8" w:rsidP="00F9381D">
            <w:pPr>
              <w:pStyle w:val="Tablewriting"/>
              <w:jc w:val="center"/>
              <w:rPr>
                <w:rFonts w:eastAsia="MS Mincho"/>
              </w:rPr>
            </w:pPr>
            <w:r>
              <w:rPr>
                <w:rFonts w:eastAsia="MS Mincho"/>
              </w:rPr>
              <w:t>(</w:t>
            </w:r>
            <w:r w:rsidR="005F1D0E">
              <w:rPr>
                <w:rFonts w:eastAsia="MS Mincho"/>
              </w:rPr>
              <w:t>1.3</w:t>
            </w:r>
            <w:r>
              <w:rPr>
                <w:rFonts w:eastAsia="MS Mincho"/>
              </w:rPr>
              <w:t>%)</w:t>
            </w:r>
          </w:p>
        </w:tc>
        <w:tc>
          <w:tcPr>
            <w:tcW w:w="727" w:type="pct"/>
            <w:tcMar>
              <w:left w:w="28" w:type="dxa"/>
              <w:right w:w="28" w:type="dxa"/>
            </w:tcMar>
            <w:vAlign w:val="center"/>
          </w:tcPr>
          <w:p w14:paraId="326E2826" w14:textId="1CE3F253" w:rsidR="007D70B8" w:rsidRDefault="008C13F8" w:rsidP="00F9381D">
            <w:pPr>
              <w:pStyle w:val="Tablewriting"/>
              <w:jc w:val="center"/>
              <w:rPr>
                <w:rFonts w:eastAsia="MS Mincho"/>
              </w:rPr>
            </w:pPr>
            <w:r w:rsidRPr="665EE49C">
              <w:rPr>
                <w:rFonts w:eastAsia="MS Mincho"/>
              </w:rPr>
              <w:t>7/337</w:t>
            </w:r>
          </w:p>
          <w:p w14:paraId="5117E3FB" w14:textId="0C535091" w:rsidR="007D70B8" w:rsidRDefault="008C13F8" w:rsidP="00F9381D">
            <w:pPr>
              <w:pStyle w:val="Tablewriting"/>
              <w:jc w:val="center"/>
              <w:rPr>
                <w:rFonts w:eastAsia="MS Mincho"/>
              </w:rPr>
            </w:pPr>
            <w:r>
              <w:rPr>
                <w:rFonts w:eastAsia="MS Mincho"/>
              </w:rPr>
              <w:t>(</w:t>
            </w:r>
            <w:r w:rsidR="005F1D0E">
              <w:rPr>
                <w:rFonts w:eastAsia="MS Mincho"/>
              </w:rPr>
              <w:t>2.1</w:t>
            </w:r>
            <w:r>
              <w:rPr>
                <w:rFonts w:eastAsia="MS Mincho"/>
              </w:rPr>
              <w:t>%)</w:t>
            </w:r>
          </w:p>
        </w:tc>
        <w:tc>
          <w:tcPr>
            <w:tcW w:w="727" w:type="pct"/>
            <w:tcMar>
              <w:left w:w="28" w:type="dxa"/>
              <w:right w:w="28" w:type="dxa"/>
            </w:tcMar>
            <w:vAlign w:val="center"/>
          </w:tcPr>
          <w:p w14:paraId="7E6AE5F1" w14:textId="1CE3F253" w:rsidR="007D70B8" w:rsidRDefault="008C13F8" w:rsidP="00F9381D">
            <w:pPr>
              <w:pStyle w:val="Tablewriting"/>
              <w:jc w:val="center"/>
              <w:rPr>
                <w:rFonts w:eastAsia="MS Mincho"/>
              </w:rPr>
            </w:pPr>
            <w:r w:rsidRPr="665EE49C">
              <w:rPr>
                <w:rFonts w:eastAsia="MS Mincho"/>
              </w:rPr>
              <w:t>0.63</w:t>
            </w:r>
          </w:p>
          <w:p w14:paraId="1C91F36C" w14:textId="1CE3F253" w:rsidR="007D70B8" w:rsidRDefault="008C13F8" w:rsidP="00F9381D">
            <w:pPr>
              <w:pStyle w:val="Tablewriting"/>
              <w:jc w:val="center"/>
              <w:rPr>
                <w:rFonts w:eastAsia="MS Mincho"/>
              </w:rPr>
            </w:pPr>
            <w:r w:rsidRPr="665EE49C">
              <w:rPr>
                <w:rFonts w:eastAsia="MS Mincho"/>
              </w:rPr>
              <w:t>(0.10, 4.05)</w:t>
            </w:r>
          </w:p>
        </w:tc>
        <w:tc>
          <w:tcPr>
            <w:tcW w:w="689" w:type="pct"/>
            <w:vAlign w:val="center"/>
          </w:tcPr>
          <w:p w14:paraId="7B6D8800" w14:textId="1CE3F253" w:rsidR="007D70B8" w:rsidRDefault="008C13F8" w:rsidP="00F9381D">
            <w:pPr>
              <w:pStyle w:val="Tablewriting"/>
              <w:jc w:val="center"/>
              <w:rPr>
                <w:rFonts w:eastAsia="MS Mincho"/>
              </w:rPr>
            </w:pPr>
            <w:r w:rsidRPr="665EE49C">
              <w:rPr>
                <w:rFonts w:eastAsia="MS Mincho"/>
              </w:rPr>
              <w:t>-0.01</w:t>
            </w:r>
          </w:p>
          <w:p w14:paraId="2634248B" w14:textId="1CE3F253" w:rsidR="007D70B8" w:rsidRDefault="008C13F8" w:rsidP="00F9381D">
            <w:pPr>
              <w:pStyle w:val="Tablewriting"/>
              <w:jc w:val="center"/>
              <w:rPr>
                <w:rFonts w:eastAsia="MS Mincho"/>
              </w:rPr>
            </w:pPr>
            <w:r w:rsidRPr="665EE49C">
              <w:rPr>
                <w:rFonts w:eastAsia="MS Mincho"/>
              </w:rPr>
              <w:t>(-0.02, 0)</w:t>
            </w:r>
          </w:p>
        </w:tc>
      </w:tr>
      <w:tr w:rsidR="00AC43C2" w:rsidRPr="00061F78" w14:paraId="2314C09B" w14:textId="77777777" w:rsidTr="0027217C">
        <w:trPr>
          <w:cantSplit/>
          <w:trHeight w:val="149"/>
        </w:trPr>
        <w:tc>
          <w:tcPr>
            <w:tcW w:w="1098" w:type="pct"/>
            <w:tcMar>
              <w:left w:w="28" w:type="dxa"/>
              <w:right w:w="28" w:type="dxa"/>
            </w:tcMar>
          </w:tcPr>
          <w:p w14:paraId="4A81029B" w14:textId="0D0FA8B7" w:rsidR="00AC43C2" w:rsidRDefault="00AC43C2" w:rsidP="00F9381D">
            <w:pPr>
              <w:pStyle w:val="Tablewriting"/>
              <w:rPr>
                <w:rFonts w:eastAsia="MS Mincho"/>
              </w:rPr>
            </w:pPr>
            <w:r>
              <w:rPr>
                <w:rFonts w:eastAsia="MS Mincho"/>
              </w:rPr>
              <w:t>Combination NRT versus fast-acting NRT</w:t>
            </w:r>
          </w:p>
        </w:tc>
        <w:tc>
          <w:tcPr>
            <w:tcW w:w="1032" w:type="pct"/>
          </w:tcPr>
          <w:p w14:paraId="6F104DA7" w14:textId="77777777" w:rsidR="00CB51B9" w:rsidRDefault="000708B4" w:rsidP="00F9381D">
            <w:pPr>
              <w:pStyle w:val="Tablewriting"/>
              <w:jc w:val="center"/>
              <w:rPr>
                <w:rFonts w:eastAsia="MS Mincho"/>
              </w:rPr>
            </w:pPr>
            <w:r>
              <w:rPr>
                <w:rFonts w:eastAsia="MS Mincho"/>
              </w:rPr>
              <w:t>Cochrane Review</w:t>
            </w:r>
          </w:p>
          <w:p w14:paraId="397EA811" w14:textId="31A3AD39" w:rsidR="000708B4" w:rsidRDefault="000708B4" w:rsidP="00F9381D">
            <w:pPr>
              <w:pStyle w:val="Tablewriting"/>
              <w:jc w:val="center"/>
              <w:rPr>
                <w:rFonts w:eastAsia="MS Mincho"/>
              </w:rPr>
            </w:pPr>
            <w:r>
              <w:rPr>
                <w:rFonts w:eastAsia="MS Mincho"/>
              </w:rPr>
              <w:t>(N</w:t>
            </w:r>
            <w:r w:rsidR="009C2180">
              <w:rPr>
                <w:rFonts w:eastAsia="MS Mincho"/>
              </w:rPr>
              <w:t>R</w:t>
            </w:r>
            <w:r>
              <w:rPr>
                <w:rFonts w:eastAsia="MS Mincho"/>
              </w:rPr>
              <w:t>)</w:t>
            </w:r>
          </w:p>
        </w:tc>
        <w:tc>
          <w:tcPr>
            <w:tcW w:w="727" w:type="pct"/>
            <w:tcMar>
              <w:left w:w="28" w:type="dxa"/>
              <w:right w:w="28" w:type="dxa"/>
            </w:tcMar>
            <w:vAlign w:val="center"/>
          </w:tcPr>
          <w:p w14:paraId="0FF581F1" w14:textId="7BF3227A" w:rsidR="00AC43C2" w:rsidRPr="00923953" w:rsidRDefault="00AC43C2" w:rsidP="00F9381D">
            <w:pPr>
              <w:pStyle w:val="Tablewriting"/>
              <w:jc w:val="center"/>
              <w:rPr>
                <w:rFonts w:eastAsia="MS Mincho"/>
                <w:vertAlign w:val="superscript"/>
              </w:rPr>
            </w:pPr>
            <w:r>
              <w:rPr>
                <w:rFonts w:eastAsia="MS Mincho"/>
              </w:rPr>
              <w:t>NR</w:t>
            </w:r>
          </w:p>
        </w:tc>
        <w:tc>
          <w:tcPr>
            <w:tcW w:w="727" w:type="pct"/>
            <w:tcMar>
              <w:left w:w="28" w:type="dxa"/>
              <w:right w:w="28" w:type="dxa"/>
            </w:tcMar>
            <w:vAlign w:val="center"/>
          </w:tcPr>
          <w:p w14:paraId="4452F73F" w14:textId="52FA68C7" w:rsidR="00AC43C2" w:rsidRPr="00923953" w:rsidRDefault="00AC43C2" w:rsidP="00F9381D">
            <w:pPr>
              <w:pStyle w:val="Tablewriting"/>
              <w:jc w:val="center"/>
              <w:rPr>
                <w:rFonts w:eastAsia="MS Mincho"/>
                <w:vertAlign w:val="superscript"/>
              </w:rPr>
            </w:pPr>
            <w:r>
              <w:rPr>
                <w:rFonts w:eastAsia="MS Mincho"/>
              </w:rPr>
              <w:t>NR</w:t>
            </w:r>
          </w:p>
        </w:tc>
        <w:tc>
          <w:tcPr>
            <w:tcW w:w="727" w:type="pct"/>
            <w:tcMar>
              <w:left w:w="28" w:type="dxa"/>
              <w:right w:w="28" w:type="dxa"/>
            </w:tcMar>
            <w:vAlign w:val="center"/>
          </w:tcPr>
          <w:p w14:paraId="6F4F4727" w14:textId="0AD759A3" w:rsidR="00AC43C2" w:rsidRPr="00A0110E" w:rsidRDefault="00AC43C2" w:rsidP="00F9381D">
            <w:pPr>
              <w:pStyle w:val="Tablewriting"/>
              <w:jc w:val="center"/>
              <w:rPr>
                <w:rFonts w:eastAsia="MS Mincho"/>
              </w:rPr>
            </w:pPr>
            <w:r>
              <w:rPr>
                <w:rFonts w:eastAsia="MS Mincho"/>
              </w:rPr>
              <w:t>NR</w:t>
            </w:r>
          </w:p>
        </w:tc>
        <w:tc>
          <w:tcPr>
            <w:tcW w:w="689" w:type="pct"/>
            <w:vAlign w:val="center"/>
          </w:tcPr>
          <w:p w14:paraId="4F69A611" w14:textId="139031C2" w:rsidR="00AC43C2" w:rsidRPr="00A0110E" w:rsidRDefault="00AC43C2" w:rsidP="00F9381D">
            <w:pPr>
              <w:pStyle w:val="Tablewriting"/>
              <w:jc w:val="center"/>
              <w:rPr>
                <w:rFonts w:eastAsia="MS Mincho"/>
              </w:rPr>
            </w:pPr>
            <w:r>
              <w:rPr>
                <w:rFonts w:eastAsia="MS Mincho"/>
              </w:rPr>
              <w:t>NR</w:t>
            </w:r>
          </w:p>
        </w:tc>
      </w:tr>
      <w:tr w:rsidR="00475838" w:rsidRPr="00061F78" w14:paraId="75CE5F4A" w14:textId="77777777" w:rsidTr="004B53F8">
        <w:trPr>
          <w:cantSplit/>
          <w:trHeight w:val="255"/>
        </w:trPr>
        <w:tc>
          <w:tcPr>
            <w:tcW w:w="5000" w:type="pct"/>
            <w:gridSpan w:val="6"/>
            <w:shd w:val="clear" w:color="auto" w:fill="auto"/>
            <w:tcMar>
              <w:left w:w="28" w:type="dxa"/>
              <w:right w:w="28" w:type="dxa"/>
            </w:tcMar>
          </w:tcPr>
          <w:p w14:paraId="4F7926B2" w14:textId="0A27785C" w:rsidR="00475838" w:rsidRPr="004B53F8" w:rsidRDefault="00475838" w:rsidP="00F9381D">
            <w:pPr>
              <w:pStyle w:val="Tablewriting"/>
              <w:rPr>
                <w:rFonts w:eastAsia="MS Mincho"/>
                <w:b/>
                <w:bCs/>
              </w:rPr>
            </w:pPr>
            <w:r w:rsidRPr="004B53F8">
              <w:rPr>
                <w:rFonts w:eastAsia="MS Mincho"/>
                <w:b/>
                <w:bCs/>
              </w:rPr>
              <w:t>Serious adverse events</w:t>
            </w:r>
          </w:p>
        </w:tc>
      </w:tr>
      <w:tr w:rsidR="00475838" w:rsidRPr="00061F78" w14:paraId="0FA2A515" w14:textId="77777777" w:rsidTr="0027217C">
        <w:trPr>
          <w:cantSplit/>
          <w:trHeight w:val="149"/>
        </w:trPr>
        <w:tc>
          <w:tcPr>
            <w:tcW w:w="1098" w:type="pct"/>
            <w:tcMar>
              <w:left w:w="28" w:type="dxa"/>
              <w:right w:w="28" w:type="dxa"/>
            </w:tcMar>
          </w:tcPr>
          <w:p w14:paraId="6E2DB965" w14:textId="1C2AB94A" w:rsidR="00475838" w:rsidRDefault="00475838" w:rsidP="00F9381D">
            <w:pPr>
              <w:pStyle w:val="Tablewriting"/>
              <w:rPr>
                <w:rFonts w:eastAsia="MS Mincho"/>
              </w:rPr>
            </w:pPr>
            <w:r>
              <w:rPr>
                <w:rFonts w:eastAsia="MS Mincho"/>
              </w:rPr>
              <w:t>Combination NRT versus NRT patch</w:t>
            </w:r>
          </w:p>
        </w:tc>
        <w:tc>
          <w:tcPr>
            <w:tcW w:w="1032" w:type="pct"/>
          </w:tcPr>
          <w:p w14:paraId="2E131012" w14:textId="77777777" w:rsidR="00475838" w:rsidRDefault="00475838" w:rsidP="00F9381D">
            <w:pPr>
              <w:pStyle w:val="Tablewriting"/>
              <w:jc w:val="center"/>
              <w:rPr>
                <w:rFonts w:eastAsia="MS Mincho"/>
              </w:rPr>
            </w:pPr>
            <w:r>
              <w:rPr>
                <w:rFonts w:eastAsia="MS Mincho"/>
              </w:rPr>
              <w:t>Cochrane Review</w:t>
            </w:r>
          </w:p>
          <w:p w14:paraId="15A5799C" w14:textId="4E385B79" w:rsidR="00475838" w:rsidRPr="00E55FAA" w:rsidRDefault="00475838" w:rsidP="00F9381D">
            <w:pPr>
              <w:pStyle w:val="Tablewriting"/>
              <w:jc w:val="center"/>
              <w:rPr>
                <w:rFonts w:eastAsia="MS Mincho"/>
                <w:vertAlign w:val="superscript"/>
              </w:rPr>
            </w:pPr>
            <w:r>
              <w:rPr>
                <w:rFonts w:eastAsia="MS Mincho"/>
              </w:rPr>
              <w:t>(</w:t>
            </w:r>
            <w:r w:rsidR="007533FF">
              <w:rPr>
                <w:rFonts w:eastAsia="MS Mincho"/>
              </w:rPr>
              <w:t>4</w:t>
            </w:r>
            <w:r>
              <w:rPr>
                <w:rFonts w:eastAsia="MS Mincho"/>
              </w:rPr>
              <w:t xml:space="preserve"> RCT</w:t>
            </w:r>
            <w:r w:rsidR="007533FF">
              <w:rPr>
                <w:rFonts w:eastAsia="MS Mincho"/>
              </w:rPr>
              <w:t>s</w:t>
            </w:r>
            <w:r>
              <w:rPr>
                <w:rFonts w:eastAsia="MS Mincho"/>
              </w:rPr>
              <w:t>)</w:t>
            </w:r>
            <w:r w:rsidR="00E55FAA">
              <w:rPr>
                <w:rFonts w:eastAsia="MS Mincho"/>
                <w:vertAlign w:val="superscript"/>
              </w:rPr>
              <w:t>1</w:t>
            </w:r>
            <w:r w:rsidR="008C13F8">
              <w:rPr>
                <w:rFonts w:eastAsia="MS Mincho"/>
                <w:vertAlign w:val="superscript"/>
              </w:rPr>
              <w:t>,4</w:t>
            </w:r>
          </w:p>
        </w:tc>
        <w:tc>
          <w:tcPr>
            <w:tcW w:w="727" w:type="pct"/>
            <w:tcMar>
              <w:left w:w="28" w:type="dxa"/>
              <w:right w:w="28" w:type="dxa"/>
            </w:tcMar>
            <w:vAlign w:val="center"/>
          </w:tcPr>
          <w:p w14:paraId="3C59F59D" w14:textId="0BA8769C" w:rsidR="00475838" w:rsidRPr="00F423F8" w:rsidRDefault="005D44E6" w:rsidP="00F9381D">
            <w:pPr>
              <w:pStyle w:val="Tablewriting"/>
              <w:jc w:val="center"/>
              <w:rPr>
                <w:rFonts w:eastAsia="MS Mincho"/>
                <w:vertAlign w:val="superscript"/>
              </w:rPr>
            </w:pPr>
            <w:r>
              <w:rPr>
                <w:rFonts w:eastAsia="MS Mincho"/>
              </w:rPr>
              <w:t>5</w:t>
            </w:r>
            <w:r w:rsidR="00475838">
              <w:rPr>
                <w:rFonts w:eastAsia="MS Mincho"/>
              </w:rPr>
              <w:t>/</w:t>
            </w:r>
            <w:r w:rsidR="003C50AC">
              <w:rPr>
                <w:rFonts w:eastAsia="MS Mincho"/>
              </w:rPr>
              <w:t>1,218</w:t>
            </w:r>
          </w:p>
          <w:p w14:paraId="6B9881D1" w14:textId="2F3FEE15" w:rsidR="00475838" w:rsidRPr="00923953" w:rsidRDefault="00475838" w:rsidP="00F9381D">
            <w:pPr>
              <w:pStyle w:val="Tablewriting"/>
              <w:jc w:val="center"/>
              <w:rPr>
                <w:rFonts w:eastAsia="MS Mincho"/>
                <w:vertAlign w:val="superscript"/>
              </w:rPr>
            </w:pPr>
            <w:r>
              <w:rPr>
                <w:rFonts w:eastAsia="MS Mincho"/>
              </w:rPr>
              <w:t>(</w:t>
            </w:r>
            <w:r w:rsidR="00292677">
              <w:rPr>
                <w:rFonts w:eastAsia="MS Mincho"/>
              </w:rPr>
              <w:t>0.4</w:t>
            </w:r>
            <w:r>
              <w:rPr>
                <w:rFonts w:eastAsia="MS Mincho"/>
              </w:rPr>
              <w:t>%)</w:t>
            </w:r>
          </w:p>
        </w:tc>
        <w:tc>
          <w:tcPr>
            <w:tcW w:w="727" w:type="pct"/>
            <w:tcMar>
              <w:left w:w="28" w:type="dxa"/>
              <w:right w:w="28" w:type="dxa"/>
            </w:tcMar>
            <w:vAlign w:val="center"/>
          </w:tcPr>
          <w:p w14:paraId="4D081AAC" w14:textId="61A9DB49" w:rsidR="00475838" w:rsidRDefault="00312371" w:rsidP="00F9381D">
            <w:pPr>
              <w:pStyle w:val="Tablewriting"/>
              <w:jc w:val="center"/>
              <w:rPr>
                <w:rFonts w:eastAsia="MS Mincho"/>
              </w:rPr>
            </w:pPr>
            <w:r>
              <w:rPr>
                <w:rFonts w:eastAsia="MS Mincho"/>
              </w:rPr>
              <w:t>0</w:t>
            </w:r>
            <w:r w:rsidR="00475838">
              <w:rPr>
                <w:rFonts w:eastAsia="MS Mincho"/>
              </w:rPr>
              <w:t>/</w:t>
            </w:r>
            <w:r w:rsidR="003C50AC">
              <w:rPr>
                <w:rFonts w:eastAsia="MS Mincho"/>
              </w:rPr>
              <w:t>1,095</w:t>
            </w:r>
          </w:p>
          <w:p w14:paraId="5BD6BED3" w14:textId="0C5B8F2C" w:rsidR="00475838" w:rsidRPr="00923953" w:rsidRDefault="00475838" w:rsidP="00F9381D">
            <w:pPr>
              <w:pStyle w:val="Tablewriting"/>
              <w:jc w:val="center"/>
              <w:rPr>
                <w:rFonts w:eastAsia="MS Mincho"/>
                <w:vertAlign w:val="superscript"/>
              </w:rPr>
            </w:pPr>
            <w:r>
              <w:rPr>
                <w:rFonts w:eastAsia="MS Mincho"/>
              </w:rPr>
              <w:t>(</w:t>
            </w:r>
            <w:r w:rsidR="005108B7">
              <w:rPr>
                <w:rFonts w:eastAsia="MS Mincho"/>
              </w:rPr>
              <w:t>0</w:t>
            </w:r>
            <w:r>
              <w:rPr>
                <w:rFonts w:eastAsia="MS Mincho"/>
              </w:rPr>
              <w:t>%)</w:t>
            </w:r>
          </w:p>
        </w:tc>
        <w:tc>
          <w:tcPr>
            <w:tcW w:w="727" w:type="pct"/>
            <w:tcMar>
              <w:left w:w="28" w:type="dxa"/>
              <w:right w:w="28" w:type="dxa"/>
            </w:tcMar>
            <w:vAlign w:val="center"/>
          </w:tcPr>
          <w:p w14:paraId="2B6EC29E" w14:textId="22AC008B" w:rsidR="00475838" w:rsidRPr="002070F6" w:rsidRDefault="00312371" w:rsidP="00F9381D">
            <w:pPr>
              <w:pStyle w:val="Tablewriting"/>
              <w:jc w:val="center"/>
              <w:rPr>
                <w:rFonts w:eastAsia="MS Mincho"/>
              </w:rPr>
            </w:pPr>
            <w:r w:rsidRPr="002070F6">
              <w:rPr>
                <w:rFonts w:eastAsia="MS Mincho"/>
              </w:rPr>
              <w:t>11.45</w:t>
            </w:r>
          </w:p>
          <w:p w14:paraId="7EAD3A46" w14:textId="77DD6D82" w:rsidR="00475838" w:rsidRPr="006A6520" w:rsidRDefault="00475838" w:rsidP="00F9381D">
            <w:pPr>
              <w:pStyle w:val="Tablewriting"/>
              <w:jc w:val="center"/>
              <w:rPr>
                <w:rFonts w:eastAsia="MS Mincho"/>
              </w:rPr>
            </w:pPr>
            <w:r w:rsidRPr="002070F6">
              <w:rPr>
                <w:rFonts w:eastAsia="MS Mincho"/>
              </w:rPr>
              <w:t>(</w:t>
            </w:r>
            <w:r w:rsidR="00312371" w:rsidRPr="002070F6">
              <w:rPr>
                <w:rFonts w:eastAsia="MS Mincho"/>
              </w:rPr>
              <w:t>0.64</w:t>
            </w:r>
            <w:r w:rsidRPr="002070F6">
              <w:rPr>
                <w:rFonts w:eastAsia="MS Mincho"/>
              </w:rPr>
              <w:t xml:space="preserve">, </w:t>
            </w:r>
            <w:r w:rsidR="00312371" w:rsidRPr="002070F6">
              <w:rPr>
                <w:rFonts w:eastAsia="MS Mincho"/>
              </w:rPr>
              <w:t>205.9</w:t>
            </w:r>
            <w:r w:rsidRPr="002070F6">
              <w:rPr>
                <w:rFonts w:eastAsia="MS Mincho"/>
              </w:rPr>
              <w:t>)</w:t>
            </w:r>
          </w:p>
        </w:tc>
        <w:tc>
          <w:tcPr>
            <w:tcW w:w="689" w:type="pct"/>
            <w:vAlign w:val="center"/>
          </w:tcPr>
          <w:p w14:paraId="56A19374" w14:textId="647BA8F8" w:rsidR="00475838" w:rsidRPr="006A6520" w:rsidRDefault="008C13F8" w:rsidP="00F9381D">
            <w:pPr>
              <w:pStyle w:val="Tablewriting"/>
              <w:jc w:val="center"/>
              <w:rPr>
                <w:rFonts w:eastAsia="MS Mincho"/>
              </w:rPr>
            </w:pPr>
            <w:r>
              <w:rPr>
                <w:rFonts w:eastAsia="MS Mincho"/>
              </w:rPr>
              <w:t>NR</w:t>
            </w:r>
          </w:p>
        </w:tc>
      </w:tr>
      <w:tr w:rsidR="00475838" w:rsidRPr="00061F78" w14:paraId="4369ED69" w14:textId="77777777" w:rsidTr="0027217C">
        <w:trPr>
          <w:cantSplit/>
          <w:trHeight w:val="149"/>
        </w:trPr>
        <w:tc>
          <w:tcPr>
            <w:tcW w:w="1098" w:type="pct"/>
            <w:tcMar>
              <w:left w:w="28" w:type="dxa"/>
              <w:right w:w="28" w:type="dxa"/>
            </w:tcMar>
          </w:tcPr>
          <w:p w14:paraId="33178DF8" w14:textId="4EE0881A" w:rsidR="00475838" w:rsidRDefault="00475838" w:rsidP="00F9381D">
            <w:pPr>
              <w:pStyle w:val="Tablewriting"/>
              <w:rPr>
                <w:rFonts w:eastAsia="MS Mincho"/>
              </w:rPr>
            </w:pPr>
            <w:r>
              <w:rPr>
                <w:rFonts w:eastAsia="MS Mincho"/>
              </w:rPr>
              <w:t>Combination NRT versus fast-acting NRT</w:t>
            </w:r>
          </w:p>
        </w:tc>
        <w:tc>
          <w:tcPr>
            <w:tcW w:w="1032" w:type="pct"/>
          </w:tcPr>
          <w:p w14:paraId="16D22EB4" w14:textId="77777777" w:rsidR="00475838" w:rsidRDefault="00475838" w:rsidP="00F9381D">
            <w:pPr>
              <w:pStyle w:val="Tablewriting"/>
              <w:jc w:val="center"/>
              <w:rPr>
                <w:rFonts w:eastAsia="MS Mincho"/>
              </w:rPr>
            </w:pPr>
            <w:r>
              <w:rPr>
                <w:rFonts w:eastAsia="MS Mincho"/>
              </w:rPr>
              <w:t>Cochrane Review</w:t>
            </w:r>
          </w:p>
          <w:p w14:paraId="29AE433A" w14:textId="7B61ABA7" w:rsidR="00475838" w:rsidRPr="00E55FAA" w:rsidRDefault="00475838" w:rsidP="00F9381D">
            <w:pPr>
              <w:pStyle w:val="Tablewriting"/>
              <w:jc w:val="center"/>
              <w:rPr>
                <w:rFonts w:eastAsia="MS Mincho"/>
                <w:vertAlign w:val="superscript"/>
              </w:rPr>
            </w:pPr>
            <w:r>
              <w:rPr>
                <w:rFonts w:eastAsia="MS Mincho"/>
              </w:rPr>
              <w:t>(</w:t>
            </w:r>
            <w:r w:rsidR="00635BF1">
              <w:rPr>
                <w:rFonts w:eastAsia="MS Mincho"/>
              </w:rPr>
              <w:t>2 RCTs</w:t>
            </w:r>
            <w:r>
              <w:rPr>
                <w:rFonts w:eastAsia="MS Mincho"/>
              </w:rPr>
              <w:t>)</w:t>
            </w:r>
            <w:r w:rsidR="00742B71">
              <w:rPr>
                <w:rFonts w:eastAsia="MS Mincho"/>
                <w:vertAlign w:val="superscript"/>
              </w:rPr>
              <w:t>2</w:t>
            </w:r>
            <w:r w:rsidR="008C13F8">
              <w:rPr>
                <w:rFonts w:eastAsia="MS Mincho"/>
                <w:vertAlign w:val="superscript"/>
              </w:rPr>
              <w:t>,4</w:t>
            </w:r>
          </w:p>
        </w:tc>
        <w:tc>
          <w:tcPr>
            <w:tcW w:w="727" w:type="pct"/>
            <w:tcMar>
              <w:left w:w="28" w:type="dxa"/>
              <w:right w:w="28" w:type="dxa"/>
            </w:tcMar>
            <w:vAlign w:val="center"/>
          </w:tcPr>
          <w:p w14:paraId="0598EBB4" w14:textId="7B75A933" w:rsidR="00475838" w:rsidRDefault="00092014" w:rsidP="00F9381D">
            <w:pPr>
              <w:pStyle w:val="Tablewriting"/>
              <w:jc w:val="center"/>
              <w:rPr>
                <w:rFonts w:eastAsia="MS Mincho"/>
              </w:rPr>
            </w:pPr>
            <w:r>
              <w:rPr>
                <w:rFonts w:eastAsia="MS Mincho"/>
              </w:rPr>
              <w:t>1/2</w:t>
            </w:r>
            <w:r w:rsidR="003C50AC">
              <w:rPr>
                <w:rFonts w:eastAsia="MS Mincho"/>
              </w:rPr>
              <w:t>57</w:t>
            </w:r>
          </w:p>
          <w:p w14:paraId="1D55E3A3" w14:textId="7A6B1ABA" w:rsidR="00092014" w:rsidRDefault="00092014" w:rsidP="00F9381D">
            <w:pPr>
              <w:pStyle w:val="Tablewriting"/>
              <w:jc w:val="center"/>
              <w:rPr>
                <w:rFonts w:eastAsia="MS Mincho"/>
              </w:rPr>
            </w:pPr>
            <w:r>
              <w:rPr>
                <w:rFonts w:eastAsia="MS Mincho"/>
              </w:rPr>
              <w:t>(</w:t>
            </w:r>
            <w:r w:rsidR="005108B7">
              <w:rPr>
                <w:rFonts w:eastAsia="MS Mincho"/>
              </w:rPr>
              <w:t>0.4</w:t>
            </w:r>
            <w:r>
              <w:rPr>
                <w:rFonts w:eastAsia="MS Mincho"/>
              </w:rPr>
              <w:t>%)</w:t>
            </w:r>
          </w:p>
        </w:tc>
        <w:tc>
          <w:tcPr>
            <w:tcW w:w="727" w:type="pct"/>
            <w:tcMar>
              <w:left w:w="28" w:type="dxa"/>
              <w:right w:w="28" w:type="dxa"/>
            </w:tcMar>
            <w:vAlign w:val="center"/>
          </w:tcPr>
          <w:p w14:paraId="0146AF45" w14:textId="1C67E4C0" w:rsidR="00475838" w:rsidRDefault="00420A49" w:rsidP="00F9381D">
            <w:pPr>
              <w:pStyle w:val="Tablewriting"/>
              <w:jc w:val="center"/>
              <w:rPr>
                <w:rFonts w:eastAsia="MS Mincho"/>
              </w:rPr>
            </w:pPr>
            <w:r>
              <w:rPr>
                <w:rFonts w:eastAsia="MS Mincho"/>
              </w:rPr>
              <w:t>1/</w:t>
            </w:r>
            <w:r w:rsidR="003C50AC">
              <w:rPr>
                <w:rFonts w:eastAsia="MS Mincho"/>
              </w:rPr>
              <w:t>318</w:t>
            </w:r>
          </w:p>
          <w:p w14:paraId="030A9659" w14:textId="631F0CB3" w:rsidR="00420A49" w:rsidRDefault="00420A49" w:rsidP="00F9381D">
            <w:pPr>
              <w:pStyle w:val="Tablewriting"/>
              <w:jc w:val="center"/>
              <w:rPr>
                <w:rFonts w:eastAsia="MS Mincho"/>
              </w:rPr>
            </w:pPr>
            <w:r>
              <w:rPr>
                <w:rFonts w:eastAsia="MS Mincho"/>
              </w:rPr>
              <w:t>(</w:t>
            </w:r>
            <w:r w:rsidR="00490DE2">
              <w:rPr>
                <w:rFonts w:eastAsia="MS Mincho"/>
              </w:rPr>
              <w:t>0.3</w:t>
            </w:r>
            <w:r>
              <w:rPr>
                <w:rFonts w:eastAsia="MS Mincho"/>
              </w:rPr>
              <w:t>%)</w:t>
            </w:r>
          </w:p>
        </w:tc>
        <w:tc>
          <w:tcPr>
            <w:tcW w:w="727" w:type="pct"/>
            <w:tcMar>
              <w:left w:w="28" w:type="dxa"/>
              <w:right w:w="28" w:type="dxa"/>
            </w:tcMar>
            <w:vAlign w:val="center"/>
          </w:tcPr>
          <w:p w14:paraId="6FDE8F2B" w14:textId="77777777" w:rsidR="00475838" w:rsidRDefault="002070F6" w:rsidP="00F9381D">
            <w:pPr>
              <w:pStyle w:val="Tablewriting"/>
              <w:jc w:val="center"/>
              <w:rPr>
                <w:rFonts w:eastAsia="MS Mincho"/>
              </w:rPr>
            </w:pPr>
            <w:r>
              <w:rPr>
                <w:rFonts w:eastAsia="MS Mincho"/>
              </w:rPr>
              <w:t>1</w:t>
            </w:r>
          </w:p>
          <w:p w14:paraId="4836754D" w14:textId="117E5FB2" w:rsidR="002070F6" w:rsidRPr="00682ACE" w:rsidRDefault="002070F6" w:rsidP="00F9381D">
            <w:pPr>
              <w:pStyle w:val="Tablewriting"/>
              <w:jc w:val="center"/>
              <w:rPr>
                <w:rFonts w:eastAsia="MS Mincho"/>
              </w:rPr>
            </w:pPr>
            <w:r>
              <w:rPr>
                <w:rFonts w:eastAsia="MS Mincho"/>
              </w:rPr>
              <w:t>(0.06, 15.88)</w:t>
            </w:r>
          </w:p>
        </w:tc>
        <w:tc>
          <w:tcPr>
            <w:tcW w:w="689" w:type="pct"/>
            <w:vAlign w:val="center"/>
          </w:tcPr>
          <w:p w14:paraId="6C3EE1D1" w14:textId="4EEDDDD3" w:rsidR="00475838" w:rsidRPr="006A6520" w:rsidRDefault="008C13F8" w:rsidP="00F9381D">
            <w:pPr>
              <w:pStyle w:val="Tablewriting"/>
              <w:jc w:val="center"/>
              <w:rPr>
                <w:rFonts w:eastAsia="MS Mincho"/>
              </w:rPr>
            </w:pPr>
            <w:r>
              <w:rPr>
                <w:rFonts w:eastAsia="MS Mincho"/>
              </w:rPr>
              <w:t>NR</w:t>
            </w:r>
          </w:p>
        </w:tc>
      </w:tr>
      <w:tr w:rsidR="00FF769F" w:rsidRPr="00061F78" w14:paraId="7F5562DE" w14:textId="77777777" w:rsidTr="00FF769F">
        <w:trPr>
          <w:cantSplit/>
          <w:trHeight w:val="149"/>
        </w:trPr>
        <w:tc>
          <w:tcPr>
            <w:tcW w:w="2130" w:type="pct"/>
            <w:gridSpan w:val="2"/>
            <w:tcMar>
              <w:left w:w="28" w:type="dxa"/>
              <w:right w:w="28" w:type="dxa"/>
            </w:tcMar>
          </w:tcPr>
          <w:p w14:paraId="282187DC" w14:textId="6D0330F5" w:rsidR="00FF769F" w:rsidRPr="00A8247E" w:rsidRDefault="00FF769F" w:rsidP="00F9381D">
            <w:pPr>
              <w:pStyle w:val="Tablewriting"/>
              <w:jc w:val="center"/>
              <w:rPr>
                <w:rFonts w:eastAsia="MS Mincho"/>
                <w:vertAlign w:val="superscript"/>
              </w:rPr>
            </w:pPr>
            <w:r w:rsidRPr="00FF769F">
              <w:rPr>
                <w:rFonts w:eastAsia="MS Mincho"/>
              </w:rPr>
              <w:t>Meta-analysis</w:t>
            </w:r>
            <w:r w:rsidR="008C13F8">
              <w:rPr>
                <w:rFonts w:eastAsia="MS Mincho"/>
                <w:vertAlign w:val="superscript"/>
              </w:rPr>
              <w:t>4</w:t>
            </w:r>
          </w:p>
        </w:tc>
        <w:tc>
          <w:tcPr>
            <w:tcW w:w="727" w:type="pct"/>
            <w:tcMar>
              <w:left w:w="28" w:type="dxa"/>
              <w:right w:w="28" w:type="dxa"/>
            </w:tcMar>
            <w:vAlign w:val="center"/>
          </w:tcPr>
          <w:p w14:paraId="697FDD17" w14:textId="77777777" w:rsidR="00FF769F" w:rsidRDefault="00FF769F" w:rsidP="00F9381D">
            <w:pPr>
              <w:pStyle w:val="Tablewriting"/>
              <w:jc w:val="center"/>
              <w:rPr>
                <w:rFonts w:eastAsia="MS Mincho"/>
              </w:rPr>
            </w:pPr>
            <w:r>
              <w:rPr>
                <w:rFonts w:eastAsia="MS Mincho"/>
              </w:rPr>
              <w:t>6/1,475</w:t>
            </w:r>
          </w:p>
          <w:p w14:paraId="2965BDE4" w14:textId="5BFB13DF" w:rsidR="00FF769F" w:rsidRPr="00AC4506" w:rsidRDefault="00FF769F" w:rsidP="00F9381D">
            <w:pPr>
              <w:pStyle w:val="Tablewriting"/>
              <w:jc w:val="center"/>
              <w:rPr>
                <w:rFonts w:eastAsia="MS Mincho"/>
                <w:vertAlign w:val="superscript"/>
              </w:rPr>
            </w:pPr>
            <w:r>
              <w:rPr>
                <w:rFonts w:eastAsia="MS Mincho"/>
              </w:rPr>
              <w:t>(0.4%)</w:t>
            </w:r>
          </w:p>
        </w:tc>
        <w:tc>
          <w:tcPr>
            <w:tcW w:w="727" w:type="pct"/>
            <w:tcMar>
              <w:left w:w="28" w:type="dxa"/>
              <w:right w:w="28" w:type="dxa"/>
            </w:tcMar>
            <w:vAlign w:val="center"/>
          </w:tcPr>
          <w:p w14:paraId="7A792D7A" w14:textId="77777777" w:rsidR="00FF769F" w:rsidRDefault="00FF769F" w:rsidP="00F9381D">
            <w:pPr>
              <w:pStyle w:val="Tablewriting"/>
              <w:jc w:val="center"/>
              <w:rPr>
                <w:rFonts w:eastAsia="MS Mincho"/>
              </w:rPr>
            </w:pPr>
            <w:r>
              <w:rPr>
                <w:rFonts w:eastAsia="MS Mincho"/>
              </w:rPr>
              <w:t>1/1,413</w:t>
            </w:r>
          </w:p>
          <w:p w14:paraId="3F32ABCB" w14:textId="4A36342B" w:rsidR="00FF769F" w:rsidRPr="00AC4506" w:rsidRDefault="00FF769F" w:rsidP="00F9381D">
            <w:pPr>
              <w:pStyle w:val="Tablewriting"/>
              <w:jc w:val="center"/>
              <w:rPr>
                <w:rFonts w:eastAsia="MS Mincho"/>
                <w:vertAlign w:val="superscript"/>
              </w:rPr>
            </w:pPr>
            <w:r>
              <w:rPr>
                <w:rFonts w:eastAsia="MS Mincho"/>
              </w:rPr>
              <w:t>(0.1%)</w:t>
            </w:r>
          </w:p>
        </w:tc>
        <w:tc>
          <w:tcPr>
            <w:tcW w:w="727" w:type="pct"/>
            <w:tcMar>
              <w:left w:w="28" w:type="dxa"/>
              <w:right w:w="28" w:type="dxa"/>
            </w:tcMar>
            <w:vAlign w:val="center"/>
          </w:tcPr>
          <w:p w14:paraId="1BD0F8CD" w14:textId="77777777" w:rsidR="00FF769F" w:rsidRDefault="00FF769F" w:rsidP="00F9381D">
            <w:pPr>
              <w:pStyle w:val="Tablewriting"/>
              <w:jc w:val="center"/>
              <w:rPr>
                <w:rFonts w:eastAsia="MS Mincho"/>
              </w:rPr>
            </w:pPr>
            <w:r>
              <w:rPr>
                <w:rFonts w:eastAsia="MS Mincho"/>
              </w:rPr>
              <w:t>4.44</w:t>
            </w:r>
          </w:p>
          <w:p w14:paraId="15F56E07" w14:textId="123566DF" w:rsidR="00FF769F" w:rsidRPr="00682ACE" w:rsidRDefault="00FF769F" w:rsidP="00F9381D">
            <w:pPr>
              <w:pStyle w:val="Tablewriting"/>
              <w:jc w:val="center"/>
              <w:rPr>
                <w:rFonts w:eastAsia="MS Mincho"/>
              </w:rPr>
            </w:pPr>
            <w:r>
              <w:rPr>
                <w:rFonts w:eastAsia="MS Mincho"/>
              </w:rPr>
              <w:t>(0.76, 25.85)</w:t>
            </w:r>
          </w:p>
        </w:tc>
        <w:tc>
          <w:tcPr>
            <w:tcW w:w="689" w:type="pct"/>
            <w:vAlign w:val="center"/>
          </w:tcPr>
          <w:p w14:paraId="038ACFDF" w14:textId="0D9DDDF5" w:rsidR="00FF769F" w:rsidRPr="006A6520" w:rsidRDefault="008C13F8" w:rsidP="00F9381D">
            <w:pPr>
              <w:pStyle w:val="Tablewriting"/>
              <w:jc w:val="center"/>
              <w:rPr>
                <w:rFonts w:eastAsia="MS Mincho"/>
              </w:rPr>
            </w:pPr>
            <w:r>
              <w:rPr>
                <w:rFonts w:eastAsia="MS Mincho"/>
              </w:rPr>
              <w:t>NR</w:t>
            </w:r>
          </w:p>
        </w:tc>
      </w:tr>
      <w:tr w:rsidR="008A7A51" w:rsidRPr="00061F78" w14:paraId="20213D92" w14:textId="77777777" w:rsidTr="004B53F8">
        <w:trPr>
          <w:cantSplit/>
          <w:trHeight w:val="149"/>
        </w:trPr>
        <w:tc>
          <w:tcPr>
            <w:tcW w:w="5000" w:type="pct"/>
            <w:gridSpan w:val="6"/>
            <w:shd w:val="clear" w:color="auto" w:fill="auto"/>
            <w:tcMar>
              <w:left w:w="28" w:type="dxa"/>
              <w:right w:w="28" w:type="dxa"/>
            </w:tcMar>
          </w:tcPr>
          <w:p w14:paraId="288C0ED1" w14:textId="1A09780B" w:rsidR="008A7A51" w:rsidRPr="004B53F8" w:rsidRDefault="008A7A51" w:rsidP="00F9381D">
            <w:pPr>
              <w:pStyle w:val="Tablewriting"/>
              <w:rPr>
                <w:rFonts w:eastAsia="MS Mincho"/>
                <w:b/>
                <w:bCs/>
              </w:rPr>
            </w:pPr>
            <w:r w:rsidRPr="004B53F8">
              <w:rPr>
                <w:rFonts w:eastAsia="MS Mincho"/>
                <w:b/>
                <w:bCs/>
              </w:rPr>
              <w:t>Withdrawals due to treatment</w:t>
            </w:r>
          </w:p>
        </w:tc>
      </w:tr>
      <w:tr w:rsidR="007D7378" w:rsidRPr="00061F78" w14:paraId="1A883ACB" w14:textId="77777777" w:rsidTr="0027217C">
        <w:trPr>
          <w:cantSplit/>
          <w:trHeight w:val="149"/>
        </w:trPr>
        <w:tc>
          <w:tcPr>
            <w:tcW w:w="1098" w:type="pct"/>
            <w:tcMar>
              <w:left w:w="28" w:type="dxa"/>
              <w:right w:w="28" w:type="dxa"/>
            </w:tcMar>
          </w:tcPr>
          <w:p w14:paraId="3643D51E" w14:textId="3DCE0D8A" w:rsidR="007D7378" w:rsidRDefault="007D7378" w:rsidP="00F9381D">
            <w:pPr>
              <w:pStyle w:val="Tablewriting"/>
              <w:rPr>
                <w:rFonts w:eastAsia="MS Mincho"/>
              </w:rPr>
            </w:pPr>
            <w:r>
              <w:rPr>
                <w:rFonts w:eastAsia="MS Mincho"/>
              </w:rPr>
              <w:t>Combination NRT versus NRT patch</w:t>
            </w:r>
          </w:p>
        </w:tc>
        <w:tc>
          <w:tcPr>
            <w:tcW w:w="1032" w:type="pct"/>
          </w:tcPr>
          <w:p w14:paraId="24EA301D" w14:textId="77777777" w:rsidR="007D7378" w:rsidRDefault="007D7378" w:rsidP="00F9381D">
            <w:pPr>
              <w:pStyle w:val="Tablewriting"/>
              <w:jc w:val="center"/>
              <w:rPr>
                <w:rFonts w:eastAsia="MS Mincho"/>
              </w:rPr>
            </w:pPr>
            <w:r>
              <w:rPr>
                <w:rFonts w:eastAsia="MS Mincho"/>
              </w:rPr>
              <w:t>Cochrane Review</w:t>
            </w:r>
          </w:p>
          <w:p w14:paraId="6353B9E3" w14:textId="1D5C03BB" w:rsidR="007D7378" w:rsidRPr="00B704B7" w:rsidRDefault="007D7378" w:rsidP="00F9381D">
            <w:pPr>
              <w:pStyle w:val="Tablewriting"/>
              <w:jc w:val="center"/>
              <w:rPr>
                <w:rFonts w:eastAsia="MS Mincho"/>
                <w:vertAlign w:val="superscript"/>
              </w:rPr>
            </w:pPr>
            <w:r>
              <w:rPr>
                <w:rFonts w:eastAsia="MS Mincho"/>
              </w:rPr>
              <w:t>(5 RCTs)</w:t>
            </w:r>
            <w:r w:rsidR="00B704B7">
              <w:rPr>
                <w:rFonts w:eastAsia="MS Mincho"/>
                <w:vertAlign w:val="superscript"/>
              </w:rPr>
              <w:t>3</w:t>
            </w:r>
            <w:r w:rsidR="008C13F8">
              <w:rPr>
                <w:rFonts w:eastAsia="MS Mincho"/>
                <w:vertAlign w:val="superscript"/>
              </w:rPr>
              <w:t>,4</w:t>
            </w:r>
          </w:p>
        </w:tc>
        <w:tc>
          <w:tcPr>
            <w:tcW w:w="727" w:type="pct"/>
            <w:tcMar>
              <w:left w:w="28" w:type="dxa"/>
              <w:right w:w="28" w:type="dxa"/>
            </w:tcMar>
            <w:vAlign w:val="center"/>
          </w:tcPr>
          <w:p w14:paraId="2E9D53FB" w14:textId="478D3A94" w:rsidR="007D7378" w:rsidRPr="00F423F8" w:rsidRDefault="000907D3" w:rsidP="00F9381D">
            <w:pPr>
              <w:pStyle w:val="Tablewriting"/>
              <w:jc w:val="center"/>
              <w:rPr>
                <w:rFonts w:eastAsia="MS Mincho"/>
                <w:vertAlign w:val="superscript"/>
              </w:rPr>
            </w:pPr>
            <w:r>
              <w:rPr>
                <w:rFonts w:eastAsia="MS Mincho"/>
              </w:rPr>
              <w:t>17</w:t>
            </w:r>
            <w:r w:rsidR="007D7378">
              <w:rPr>
                <w:rFonts w:eastAsia="MS Mincho"/>
              </w:rPr>
              <w:t>/</w:t>
            </w:r>
            <w:r w:rsidR="00D86B65">
              <w:rPr>
                <w:rFonts w:eastAsia="MS Mincho"/>
              </w:rPr>
              <w:t>804</w:t>
            </w:r>
          </w:p>
          <w:p w14:paraId="1E0F1913" w14:textId="4B3601E2" w:rsidR="007D7378" w:rsidRDefault="007D7378" w:rsidP="00F9381D">
            <w:pPr>
              <w:pStyle w:val="Tablewriting"/>
              <w:jc w:val="center"/>
              <w:rPr>
                <w:rFonts w:eastAsia="MS Mincho"/>
              </w:rPr>
            </w:pPr>
            <w:r>
              <w:rPr>
                <w:rFonts w:eastAsia="MS Mincho"/>
              </w:rPr>
              <w:t>(</w:t>
            </w:r>
            <w:r w:rsidR="00721DC4">
              <w:rPr>
                <w:rFonts w:eastAsia="MS Mincho"/>
              </w:rPr>
              <w:t>2.1</w:t>
            </w:r>
            <w:r>
              <w:rPr>
                <w:rFonts w:eastAsia="MS Mincho"/>
              </w:rPr>
              <w:t>%)</w:t>
            </w:r>
          </w:p>
        </w:tc>
        <w:tc>
          <w:tcPr>
            <w:tcW w:w="727" w:type="pct"/>
            <w:tcMar>
              <w:left w:w="28" w:type="dxa"/>
              <w:right w:w="28" w:type="dxa"/>
            </w:tcMar>
            <w:vAlign w:val="center"/>
          </w:tcPr>
          <w:p w14:paraId="23FA3EF6" w14:textId="29D0552E" w:rsidR="007D7378" w:rsidRDefault="00216121" w:rsidP="00F9381D">
            <w:pPr>
              <w:pStyle w:val="Tablewriting"/>
              <w:jc w:val="center"/>
              <w:rPr>
                <w:rFonts w:eastAsia="MS Mincho"/>
              </w:rPr>
            </w:pPr>
            <w:r>
              <w:rPr>
                <w:rFonts w:eastAsia="MS Mincho"/>
              </w:rPr>
              <w:t>9</w:t>
            </w:r>
            <w:r w:rsidR="007D7378">
              <w:rPr>
                <w:rFonts w:eastAsia="MS Mincho"/>
              </w:rPr>
              <w:t>/</w:t>
            </w:r>
            <w:r>
              <w:rPr>
                <w:rFonts w:eastAsia="MS Mincho"/>
              </w:rPr>
              <w:t>1,178</w:t>
            </w:r>
          </w:p>
          <w:p w14:paraId="4441BF0D" w14:textId="10EA9FFA" w:rsidR="007D7378" w:rsidRDefault="007D7378" w:rsidP="00F9381D">
            <w:pPr>
              <w:pStyle w:val="Tablewriting"/>
              <w:jc w:val="center"/>
              <w:rPr>
                <w:rFonts w:eastAsia="MS Mincho"/>
              </w:rPr>
            </w:pPr>
            <w:r>
              <w:rPr>
                <w:rFonts w:eastAsia="MS Mincho"/>
              </w:rPr>
              <w:t>(</w:t>
            </w:r>
            <w:r w:rsidR="00187427">
              <w:rPr>
                <w:rFonts w:eastAsia="MS Mincho"/>
              </w:rPr>
              <w:t>0.8</w:t>
            </w:r>
            <w:r>
              <w:rPr>
                <w:rFonts w:eastAsia="MS Mincho"/>
              </w:rPr>
              <w:t>%)</w:t>
            </w:r>
          </w:p>
        </w:tc>
        <w:tc>
          <w:tcPr>
            <w:tcW w:w="727" w:type="pct"/>
            <w:tcMar>
              <w:left w:w="28" w:type="dxa"/>
              <w:right w:w="28" w:type="dxa"/>
            </w:tcMar>
            <w:vAlign w:val="center"/>
          </w:tcPr>
          <w:p w14:paraId="1B9DCDD0" w14:textId="0FE959FA" w:rsidR="007D7378" w:rsidRPr="002070F6" w:rsidRDefault="00216121" w:rsidP="00F9381D">
            <w:pPr>
              <w:pStyle w:val="Tablewriting"/>
              <w:jc w:val="center"/>
              <w:rPr>
                <w:rFonts w:eastAsia="MS Mincho"/>
              </w:rPr>
            </w:pPr>
            <w:r>
              <w:rPr>
                <w:rFonts w:eastAsia="MS Mincho"/>
              </w:rPr>
              <w:t>2.32</w:t>
            </w:r>
          </w:p>
          <w:p w14:paraId="294B24B3" w14:textId="7224B1A0" w:rsidR="007D7378" w:rsidRPr="00682ACE" w:rsidRDefault="007D7378" w:rsidP="00F9381D">
            <w:pPr>
              <w:pStyle w:val="Tablewriting"/>
              <w:jc w:val="center"/>
              <w:rPr>
                <w:rFonts w:eastAsia="MS Mincho"/>
              </w:rPr>
            </w:pPr>
            <w:r w:rsidRPr="002070F6">
              <w:rPr>
                <w:rFonts w:eastAsia="MS Mincho"/>
              </w:rPr>
              <w:t>(0.</w:t>
            </w:r>
            <w:r w:rsidR="00216121">
              <w:rPr>
                <w:rFonts w:eastAsia="MS Mincho"/>
              </w:rPr>
              <w:t>99</w:t>
            </w:r>
            <w:r w:rsidRPr="002070F6">
              <w:rPr>
                <w:rFonts w:eastAsia="MS Mincho"/>
              </w:rPr>
              <w:t xml:space="preserve">, </w:t>
            </w:r>
            <w:r w:rsidR="00216121">
              <w:rPr>
                <w:rFonts w:eastAsia="MS Mincho"/>
              </w:rPr>
              <w:t>5.4</w:t>
            </w:r>
            <w:r w:rsidRPr="002070F6">
              <w:rPr>
                <w:rFonts w:eastAsia="MS Mincho"/>
              </w:rPr>
              <w:t>)</w:t>
            </w:r>
          </w:p>
        </w:tc>
        <w:tc>
          <w:tcPr>
            <w:tcW w:w="689" w:type="pct"/>
            <w:vAlign w:val="center"/>
          </w:tcPr>
          <w:p w14:paraId="42CBABBD" w14:textId="6FC5400E" w:rsidR="007D7378" w:rsidRPr="006A6520" w:rsidRDefault="008C13F8" w:rsidP="00F9381D">
            <w:pPr>
              <w:pStyle w:val="Tablewriting"/>
              <w:jc w:val="center"/>
              <w:rPr>
                <w:rFonts w:eastAsia="MS Mincho"/>
              </w:rPr>
            </w:pPr>
            <w:r>
              <w:rPr>
                <w:rFonts w:eastAsia="MS Mincho"/>
              </w:rPr>
              <w:t>NR</w:t>
            </w:r>
          </w:p>
        </w:tc>
      </w:tr>
      <w:tr w:rsidR="007D7378" w:rsidRPr="00061F78" w14:paraId="035C891B" w14:textId="77777777" w:rsidTr="0027217C">
        <w:trPr>
          <w:cantSplit/>
          <w:trHeight w:val="149"/>
        </w:trPr>
        <w:tc>
          <w:tcPr>
            <w:tcW w:w="1098" w:type="pct"/>
            <w:tcMar>
              <w:left w:w="28" w:type="dxa"/>
              <w:right w:w="28" w:type="dxa"/>
            </w:tcMar>
          </w:tcPr>
          <w:p w14:paraId="0FFFAFD6" w14:textId="201AC083" w:rsidR="007D7378" w:rsidRDefault="007D7378" w:rsidP="00F9381D">
            <w:pPr>
              <w:pStyle w:val="Tablewriting"/>
              <w:rPr>
                <w:rFonts w:eastAsia="MS Mincho"/>
              </w:rPr>
            </w:pPr>
            <w:r>
              <w:rPr>
                <w:rFonts w:eastAsia="MS Mincho"/>
              </w:rPr>
              <w:t>Combination NRT versus fast-acting NRT</w:t>
            </w:r>
          </w:p>
        </w:tc>
        <w:tc>
          <w:tcPr>
            <w:tcW w:w="1032" w:type="pct"/>
          </w:tcPr>
          <w:p w14:paraId="3D582F4A" w14:textId="77777777" w:rsidR="007D7378" w:rsidRDefault="007D7378" w:rsidP="00F9381D">
            <w:pPr>
              <w:pStyle w:val="Tablewriting"/>
              <w:jc w:val="center"/>
              <w:rPr>
                <w:rFonts w:eastAsia="MS Mincho"/>
              </w:rPr>
            </w:pPr>
            <w:r>
              <w:rPr>
                <w:rFonts w:eastAsia="MS Mincho"/>
              </w:rPr>
              <w:t>Cochrane Review</w:t>
            </w:r>
          </w:p>
          <w:p w14:paraId="5F0965A1" w14:textId="3E122F76" w:rsidR="007D7378" w:rsidRPr="00EB51AB" w:rsidRDefault="007D7378" w:rsidP="00F9381D">
            <w:pPr>
              <w:pStyle w:val="Tablewriting"/>
              <w:jc w:val="center"/>
              <w:rPr>
                <w:rFonts w:eastAsia="MS Mincho"/>
                <w:vertAlign w:val="superscript"/>
              </w:rPr>
            </w:pPr>
            <w:r>
              <w:rPr>
                <w:rFonts w:eastAsia="MS Mincho"/>
              </w:rPr>
              <w:t>(2 RCTs)</w:t>
            </w:r>
            <w:r w:rsidR="00EB51AB">
              <w:rPr>
                <w:rFonts w:eastAsia="MS Mincho"/>
                <w:vertAlign w:val="superscript"/>
              </w:rPr>
              <w:t>2</w:t>
            </w:r>
            <w:r w:rsidR="008C13F8">
              <w:rPr>
                <w:rFonts w:eastAsia="MS Mincho"/>
                <w:vertAlign w:val="superscript"/>
              </w:rPr>
              <w:t>,4</w:t>
            </w:r>
          </w:p>
        </w:tc>
        <w:tc>
          <w:tcPr>
            <w:tcW w:w="727" w:type="pct"/>
            <w:tcMar>
              <w:left w:w="28" w:type="dxa"/>
              <w:right w:w="28" w:type="dxa"/>
            </w:tcMar>
            <w:vAlign w:val="center"/>
          </w:tcPr>
          <w:p w14:paraId="587E69F4" w14:textId="55CAD20D" w:rsidR="007D7378" w:rsidRDefault="007D7378" w:rsidP="00F9381D">
            <w:pPr>
              <w:pStyle w:val="Tablewriting"/>
              <w:jc w:val="center"/>
              <w:rPr>
                <w:rFonts w:eastAsia="MS Mincho"/>
              </w:rPr>
            </w:pPr>
            <w:r>
              <w:rPr>
                <w:rFonts w:eastAsia="MS Mincho"/>
              </w:rPr>
              <w:t>1/</w:t>
            </w:r>
            <w:r w:rsidR="003934E1">
              <w:rPr>
                <w:rFonts w:eastAsia="MS Mincho"/>
              </w:rPr>
              <w:t>365</w:t>
            </w:r>
          </w:p>
          <w:p w14:paraId="068CB6DF" w14:textId="7B1484AE" w:rsidR="007D7378" w:rsidRDefault="007D7378" w:rsidP="00F9381D">
            <w:pPr>
              <w:pStyle w:val="Tablewriting"/>
              <w:jc w:val="center"/>
              <w:rPr>
                <w:rFonts w:eastAsia="MS Mincho"/>
              </w:rPr>
            </w:pPr>
            <w:r>
              <w:rPr>
                <w:rFonts w:eastAsia="MS Mincho"/>
              </w:rPr>
              <w:t>(</w:t>
            </w:r>
            <w:r w:rsidR="00F76EEE">
              <w:rPr>
                <w:rFonts w:eastAsia="MS Mincho"/>
              </w:rPr>
              <w:t>0.3</w:t>
            </w:r>
            <w:r>
              <w:rPr>
                <w:rFonts w:eastAsia="MS Mincho"/>
              </w:rPr>
              <w:t>%)</w:t>
            </w:r>
          </w:p>
        </w:tc>
        <w:tc>
          <w:tcPr>
            <w:tcW w:w="727" w:type="pct"/>
            <w:tcMar>
              <w:left w:w="28" w:type="dxa"/>
              <w:right w:w="28" w:type="dxa"/>
            </w:tcMar>
            <w:vAlign w:val="center"/>
          </w:tcPr>
          <w:p w14:paraId="7840AB98" w14:textId="067C5B82" w:rsidR="007D7378" w:rsidRDefault="007D7378" w:rsidP="00F9381D">
            <w:pPr>
              <w:pStyle w:val="Tablewriting"/>
              <w:jc w:val="center"/>
              <w:rPr>
                <w:rFonts w:eastAsia="MS Mincho"/>
              </w:rPr>
            </w:pPr>
            <w:r>
              <w:rPr>
                <w:rFonts w:eastAsia="MS Mincho"/>
              </w:rPr>
              <w:t>1</w:t>
            </w:r>
            <w:r w:rsidR="00D36469">
              <w:rPr>
                <w:rFonts w:eastAsia="MS Mincho"/>
              </w:rPr>
              <w:t>4</w:t>
            </w:r>
            <w:r>
              <w:rPr>
                <w:rFonts w:eastAsia="MS Mincho"/>
              </w:rPr>
              <w:t>/</w:t>
            </w:r>
            <w:r w:rsidR="00D36469">
              <w:rPr>
                <w:rFonts w:eastAsia="MS Mincho"/>
              </w:rPr>
              <w:t>723</w:t>
            </w:r>
          </w:p>
          <w:p w14:paraId="5F503345" w14:textId="289FFDA0" w:rsidR="007D7378" w:rsidRDefault="007D7378" w:rsidP="00F9381D">
            <w:pPr>
              <w:pStyle w:val="Tablewriting"/>
              <w:jc w:val="center"/>
              <w:rPr>
                <w:rFonts w:eastAsia="MS Mincho"/>
              </w:rPr>
            </w:pPr>
            <w:r>
              <w:rPr>
                <w:rFonts w:eastAsia="MS Mincho"/>
              </w:rPr>
              <w:t>(</w:t>
            </w:r>
            <w:r w:rsidR="00D8461B">
              <w:rPr>
                <w:rFonts w:eastAsia="MS Mincho"/>
              </w:rPr>
              <w:t>1.9</w:t>
            </w:r>
            <w:r>
              <w:rPr>
                <w:rFonts w:eastAsia="MS Mincho"/>
              </w:rPr>
              <w:t>%)</w:t>
            </w:r>
          </w:p>
        </w:tc>
        <w:tc>
          <w:tcPr>
            <w:tcW w:w="727" w:type="pct"/>
            <w:tcMar>
              <w:left w:w="28" w:type="dxa"/>
              <w:right w:w="28" w:type="dxa"/>
            </w:tcMar>
            <w:vAlign w:val="center"/>
          </w:tcPr>
          <w:p w14:paraId="020AED3F" w14:textId="2F1E46C7" w:rsidR="007D7378" w:rsidRDefault="00D36469" w:rsidP="00F9381D">
            <w:pPr>
              <w:pStyle w:val="Tablewriting"/>
              <w:jc w:val="center"/>
              <w:rPr>
                <w:rFonts w:eastAsia="MS Mincho"/>
              </w:rPr>
            </w:pPr>
            <w:r>
              <w:rPr>
                <w:rFonts w:eastAsia="MS Mincho"/>
              </w:rPr>
              <w:t>0.14</w:t>
            </w:r>
          </w:p>
          <w:p w14:paraId="22CBC8FE" w14:textId="6AC6A5C1" w:rsidR="007D7378" w:rsidRPr="00682ACE" w:rsidRDefault="007D7378" w:rsidP="00F9381D">
            <w:pPr>
              <w:pStyle w:val="Tablewriting"/>
              <w:jc w:val="center"/>
              <w:rPr>
                <w:rFonts w:eastAsia="MS Mincho"/>
              </w:rPr>
            </w:pPr>
            <w:r>
              <w:rPr>
                <w:rFonts w:eastAsia="MS Mincho"/>
              </w:rPr>
              <w:t>(0.</w:t>
            </w:r>
            <w:r w:rsidR="00D36469">
              <w:rPr>
                <w:rFonts w:eastAsia="MS Mincho"/>
              </w:rPr>
              <w:t>02</w:t>
            </w:r>
            <w:r>
              <w:rPr>
                <w:rFonts w:eastAsia="MS Mincho"/>
              </w:rPr>
              <w:t xml:space="preserve">, </w:t>
            </w:r>
            <w:r w:rsidR="00D36469">
              <w:rPr>
                <w:rFonts w:eastAsia="MS Mincho"/>
              </w:rPr>
              <w:t>1.08</w:t>
            </w:r>
            <w:r>
              <w:rPr>
                <w:rFonts w:eastAsia="MS Mincho"/>
              </w:rPr>
              <w:t>)</w:t>
            </w:r>
          </w:p>
        </w:tc>
        <w:tc>
          <w:tcPr>
            <w:tcW w:w="689" w:type="pct"/>
            <w:vAlign w:val="center"/>
          </w:tcPr>
          <w:p w14:paraId="7EEA7377" w14:textId="4C94DE38" w:rsidR="007D7378" w:rsidRPr="006A6520" w:rsidRDefault="008C13F8" w:rsidP="00F9381D">
            <w:pPr>
              <w:pStyle w:val="Tablewriting"/>
              <w:jc w:val="center"/>
              <w:rPr>
                <w:rFonts w:eastAsia="MS Mincho"/>
              </w:rPr>
            </w:pPr>
            <w:r>
              <w:rPr>
                <w:rFonts w:eastAsia="MS Mincho"/>
              </w:rPr>
              <w:t>NR</w:t>
            </w:r>
          </w:p>
        </w:tc>
      </w:tr>
      <w:tr w:rsidR="00FF769F" w:rsidRPr="00061F78" w14:paraId="0104EBCC" w14:textId="77777777" w:rsidTr="00FF769F">
        <w:trPr>
          <w:cantSplit/>
          <w:trHeight w:val="149"/>
        </w:trPr>
        <w:tc>
          <w:tcPr>
            <w:tcW w:w="2130" w:type="pct"/>
            <w:gridSpan w:val="2"/>
            <w:tcMar>
              <w:left w:w="28" w:type="dxa"/>
              <w:right w:w="28" w:type="dxa"/>
            </w:tcMar>
          </w:tcPr>
          <w:p w14:paraId="0FBF16C2" w14:textId="5AB39E41" w:rsidR="00FF769F" w:rsidRPr="00A8247E" w:rsidRDefault="00FF769F" w:rsidP="00F9381D">
            <w:pPr>
              <w:pStyle w:val="Tablewriting"/>
              <w:jc w:val="center"/>
              <w:rPr>
                <w:rFonts w:eastAsia="MS Mincho"/>
                <w:vertAlign w:val="superscript"/>
              </w:rPr>
            </w:pPr>
            <w:r>
              <w:rPr>
                <w:rFonts w:eastAsia="MS Mincho"/>
              </w:rPr>
              <w:t>Meta-analysis</w:t>
            </w:r>
            <w:r w:rsidR="008C13F8">
              <w:rPr>
                <w:rFonts w:eastAsia="MS Mincho"/>
                <w:vertAlign w:val="superscript"/>
              </w:rPr>
              <w:t>4</w:t>
            </w:r>
          </w:p>
        </w:tc>
        <w:tc>
          <w:tcPr>
            <w:tcW w:w="727" w:type="pct"/>
            <w:tcMar>
              <w:left w:w="28" w:type="dxa"/>
              <w:right w:w="28" w:type="dxa"/>
            </w:tcMar>
            <w:vAlign w:val="center"/>
          </w:tcPr>
          <w:p w14:paraId="156E8864" w14:textId="77777777" w:rsidR="00FF769F" w:rsidRDefault="00FF769F" w:rsidP="00F9381D">
            <w:pPr>
              <w:pStyle w:val="Tablewriting"/>
              <w:jc w:val="center"/>
              <w:rPr>
                <w:rFonts w:eastAsia="MS Mincho"/>
              </w:rPr>
            </w:pPr>
            <w:r>
              <w:rPr>
                <w:rFonts w:eastAsia="MS Mincho"/>
              </w:rPr>
              <w:t>18/1,169</w:t>
            </w:r>
          </w:p>
          <w:p w14:paraId="30D8D809" w14:textId="62EAD6E6" w:rsidR="00FF769F" w:rsidRPr="00AC4506" w:rsidRDefault="00FF769F" w:rsidP="00F9381D">
            <w:pPr>
              <w:pStyle w:val="Tablewriting"/>
              <w:jc w:val="center"/>
              <w:rPr>
                <w:rFonts w:eastAsia="MS Mincho"/>
                <w:vertAlign w:val="superscript"/>
              </w:rPr>
            </w:pPr>
            <w:r>
              <w:rPr>
                <w:rFonts w:eastAsia="MS Mincho"/>
              </w:rPr>
              <w:t>(1.5%)</w:t>
            </w:r>
          </w:p>
        </w:tc>
        <w:tc>
          <w:tcPr>
            <w:tcW w:w="727" w:type="pct"/>
            <w:tcMar>
              <w:left w:w="28" w:type="dxa"/>
              <w:right w:w="28" w:type="dxa"/>
            </w:tcMar>
            <w:vAlign w:val="center"/>
          </w:tcPr>
          <w:p w14:paraId="11F703C3" w14:textId="77777777" w:rsidR="00FF769F" w:rsidRDefault="00FF769F" w:rsidP="00F9381D">
            <w:pPr>
              <w:pStyle w:val="Tablewriting"/>
              <w:jc w:val="center"/>
              <w:rPr>
                <w:rFonts w:eastAsia="MS Mincho"/>
              </w:rPr>
            </w:pPr>
            <w:r>
              <w:rPr>
                <w:rFonts w:eastAsia="MS Mincho"/>
              </w:rPr>
              <w:t>23/1,901</w:t>
            </w:r>
          </w:p>
          <w:p w14:paraId="09E496A8" w14:textId="1C7C2D84" w:rsidR="00FF769F" w:rsidRPr="00AC4506" w:rsidRDefault="00FF769F" w:rsidP="00F9381D">
            <w:pPr>
              <w:pStyle w:val="Tablewriting"/>
              <w:jc w:val="center"/>
              <w:rPr>
                <w:rFonts w:eastAsia="MS Mincho"/>
                <w:vertAlign w:val="superscript"/>
              </w:rPr>
            </w:pPr>
            <w:r>
              <w:rPr>
                <w:rFonts w:eastAsia="MS Mincho"/>
              </w:rPr>
              <w:t>(1.2%)</w:t>
            </w:r>
          </w:p>
        </w:tc>
        <w:tc>
          <w:tcPr>
            <w:tcW w:w="727" w:type="pct"/>
            <w:tcMar>
              <w:left w:w="28" w:type="dxa"/>
              <w:right w:w="28" w:type="dxa"/>
            </w:tcMar>
            <w:vAlign w:val="center"/>
          </w:tcPr>
          <w:p w14:paraId="540F87D1" w14:textId="77777777" w:rsidR="00FF769F" w:rsidRDefault="00FF769F" w:rsidP="00F9381D">
            <w:pPr>
              <w:pStyle w:val="Tablewriting"/>
              <w:jc w:val="center"/>
              <w:rPr>
                <w:rFonts w:eastAsia="MS Mincho"/>
              </w:rPr>
            </w:pPr>
            <w:r>
              <w:rPr>
                <w:rFonts w:eastAsia="MS Mincho"/>
              </w:rPr>
              <w:t>1.12</w:t>
            </w:r>
          </w:p>
          <w:p w14:paraId="21746627" w14:textId="3D57409D" w:rsidR="00FF769F" w:rsidRPr="00682ACE" w:rsidRDefault="00FF769F" w:rsidP="00F9381D">
            <w:pPr>
              <w:pStyle w:val="Tablewriting"/>
              <w:jc w:val="center"/>
              <w:rPr>
                <w:rFonts w:eastAsia="MS Mincho"/>
              </w:rPr>
            </w:pPr>
            <w:r>
              <w:rPr>
                <w:rFonts w:eastAsia="MS Mincho"/>
              </w:rPr>
              <w:t>(0.57, 2.2)</w:t>
            </w:r>
          </w:p>
        </w:tc>
        <w:tc>
          <w:tcPr>
            <w:tcW w:w="689" w:type="pct"/>
            <w:vAlign w:val="center"/>
          </w:tcPr>
          <w:p w14:paraId="097FA5B6" w14:textId="452C20B6" w:rsidR="00FF769F" w:rsidRPr="006A6520" w:rsidRDefault="008C13F8" w:rsidP="00F9381D">
            <w:pPr>
              <w:pStyle w:val="Tablewriting"/>
              <w:jc w:val="center"/>
              <w:rPr>
                <w:rFonts w:eastAsia="MS Mincho"/>
              </w:rPr>
            </w:pPr>
            <w:r>
              <w:rPr>
                <w:rFonts w:eastAsia="MS Mincho"/>
              </w:rPr>
              <w:t>NR</w:t>
            </w:r>
          </w:p>
        </w:tc>
      </w:tr>
    </w:tbl>
    <w:p w14:paraId="56AAE7F8" w14:textId="5B713DD3" w:rsidR="000F01C1" w:rsidRDefault="000F01C1" w:rsidP="00D44ACF">
      <w:pPr>
        <w:pStyle w:val="TableFooter"/>
        <w:keepNext/>
        <w:jc w:val="both"/>
      </w:pPr>
      <w:r>
        <w:t>Source: Lindson et al. (2019)</w:t>
      </w:r>
    </w:p>
    <w:p w14:paraId="7591FC58" w14:textId="17CB6CE4" w:rsidR="000F01C1" w:rsidRDefault="000F01C1" w:rsidP="00D44ACF">
      <w:pPr>
        <w:pStyle w:val="TableFooter"/>
        <w:keepNext/>
        <w:jc w:val="both"/>
      </w:pPr>
      <w:r>
        <w:t xml:space="preserve">Abbreviations: CI = confidence interval; </w:t>
      </w:r>
      <w:r w:rsidR="008C13F8">
        <w:t xml:space="preserve">NR = not reported; </w:t>
      </w:r>
      <w:r w:rsidR="00B032C3">
        <w:t xml:space="preserve">RCT = randomised controlled trial; </w:t>
      </w:r>
      <w:r>
        <w:t>RD = risk difference; RR = risk ratio</w:t>
      </w:r>
    </w:p>
    <w:p w14:paraId="7C8AA158" w14:textId="01054795" w:rsidR="000F01C1" w:rsidRDefault="000F01C1" w:rsidP="00D44ACF">
      <w:pPr>
        <w:pStyle w:val="TableFooter"/>
        <w:keepNext/>
        <w:jc w:val="both"/>
      </w:pPr>
      <w:r w:rsidRPr="00FD4061">
        <w:t>Note</w:t>
      </w:r>
      <w:r>
        <w:t>s</w:t>
      </w:r>
      <w:r w:rsidRPr="00FD4061">
        <w:t>: Bold indicates statistically significant difference.</w:t>
      </w:r>
      <w:r w:rsidR="00B032C3">
        <w:t xml:space="preserve"> </w:t>
      </w:r>
      <w:r w:rsidR="00B032C3" w:rsidRPr="00B032C3">
        <w:t xml:space="preserve">See </w:t>
      </w:r>
      <w:r w:rsidR="00B032C3" w:rsidRPr="00477553">
        <w:t>Appendix</w:t>
      </w:r>
      <w:r w:rsidR="00B032C3" w:rsidRPr="00B032C3">
        <w:t xml:space="preserve"> </w:t>
      </w:r>
      <w:r w:rsidR="00A22BF4">
        <w:fldChar w:fldCharType="begin" w:fldLock="1"/>
      </w:r>
      <w:r w:rsidR="00A22BF4">
        <w:instrText xml:space="preserve"> REF _Ref55308182 \h </w:instrText>
      </w:r>
      <w:r w:rsidR="00D44ACF">
        <w:instrText xml:space="preserve"> \* MERGEFORMAT </w:instrText>
      </w:r>
      <w:r w:rsidR="00A22BF4">
        <w:fldChar w:fldCharType="separate"/>
      </w:r>
      <w:r w:rsidR="00EC5CC7">
        <w:t xml:space="preserve">Figure </w:t>
      </w:r>
      <w:r w:rsidR="00EC5CC7">
        <w:rPr>
          <w:noProof/>
        </w:rPr>
        <w:t>76</w:t>
      </w:r>
      <w:r w:rsidR="00A22BF4">
        <w:fldChar w:fldCharType="end"/>
      </w:r>
      <w:r w:rsidR="00A22BF4">
        <w:t xml:space="preserve"> to </w:t>
      </w:r>
      <w:r w:rsidR="00A22BF4">
        <w:fldChar w:fldCharType="begin" w:fldLock="1"/>
      </w:r>
      <w:r w:rsidR="00A22BF4">
        <w:instrText xml:space="preserve"> REF _Ref55308183 \h </w:instrText>
      </w:r>
      <w:r w:rsidR="00D44ACF">
        <w:instrText xml:space="preserve"> \* MERGEFORMAT </w:instrText>
      </w:r>
      <w:r w:rsidR="00A22BF4">
        <w:fldChar w:fldCharType="separate"/>
      </w:r>
      <w:r w:rsidR="00EC5CC7">
        <w:t xml:space="preserve">Figure </w:t>
      </w:r>
      <w:r w:rsidR="00EC5CC7">
        <w:rPr>
          <w:noProof/>
        </w:rPr>
        <w:t>78</w:t>
      </w:r>
      <w:r w:rsidR="00A22BF4">
        <w:fldChar w:fldCharType="end"/>
      </w:r>
      <w:r w:rsidR="00B032C3" w:rsidRPr="00B032C3">
        <w:t xml:space="preserve"> for forest plots of the respective outcomes which included the results of individual studies.</w:t>
      </w:r>
    </w:p>
    <w:p w14:paraId="4ABF380F" w14:textId="18AEF108" w:rsidR="00E55FAA" w:rsidRDefault="00E55FAA" w:rsidP="00D44ACF">
      <w:pPr>
        <w:pStyle w:val="TableFooter"/>
        <w:keepNext/>
        <w:jc w:val="both"/>
      </w:pPr>
      <w:r>
        <w:t xml:space="preserve">1 </w:t>
      </w:r>
      <w:r w:rsidR="008C2395">
        <w:t xml:space="preserve">No event was observed in </w:t>
      </w:r>
      <w:r w:rsidR="00742B71">
        <w:t>both</w:t>
      </w:r>
      <w:r w:rsidR="008C2395">
        <w:t xml:space="preserve"> arms in </w:t>
      </w:r>
      <w:r w:rsidR="00D714F6">
        <w:t>three RCTs</w:t>
      </w:r>
      <w:r w:rsidR="00AB5FA3">
        <w:t>.</w:t>
      </w:r>
    </w:p>
    <w:p w14:paraId="5D9F3D92" w14:textId="0A618AC3" w:rsidR="00D714F6" w:rsidRDefault="00D714F6" w:rsidP="00D44ACF">
      <w:pPr>
        <w:pStyle w:val="TableFooter"/>
        <w:keepNext/>
        <w:jc w:val="both"/>
      </w:pPr>
      <w:r>
        <w:t xml:space="preserve">2 No event was observed in </w:t>
      </w:r>
      <w:r w:rsidR="00742B71">
        <w:t>both</w:t>
      </w:r>
      <w:r>
        <w:t xml:space="preserve"> arms</w:t>
      </w:r>
      <w:r w:rsidR="00841E4E">
        <w:t xml:space="preserve"> in one RCT</w:t>
      </w:r>
      <w:r w:rsidR="00AB5FA3">
        <w:t>.</w:t>
      </w:r>
    </w:p>
    <w:p w14:paraId="38E4C0DC" w14:textId="5B151FEC" w:rsidR="00B704B7" w:rsidRDefault="00B704B7" w:rsidP="00D44ACF">
      <w:pPr>
        <w:pStyle w:val="TableFooter"/>
        <w:keepNext/>
        <w:jc w:val="both"/>
      </w:pPr>
      <w:r>
        <w:t>3 No event was observed in both arms in two RCTs</w:t>
      </w:r>
      <w:r w:rsidR="00AB5FA3">
        <w:t>.</w:t>
      </w:r>
    </w:p>
    <w:p w14:paraId="453BD526" w14:textId="54768CB5" w:rsidR="00681ACA" w:rsidRDefault="00681ACA" w:rsidP="00D44ACF">
      <w:pPr>
        <w:pStyle w:val="TableFooter"/>
        <w:keepNext/>
        <w:jc w:val="both"/>
      </w:pPr>
      <w:r w:rsidRPr="00477553">
        <w:t xml:space="preserve">4 Calculated </w:t>
      </w:r>
      <w:r w:rsidR="00A1000C" w:rsidRPr="00477553">
        <w:t>by Cochrane Review authors</w:t>
      </w:r>
      <w:r w:rsidRPr="00477553">
        <w:t xml:space="preserve"> using a fixed-effect model</w:t>
      </w:r>
      <w:r w:rsidR="00AB5FA3">
        <w:t>.</w:t>
      </w:r>
    </w:p>
    <w:p w14:paraId="7062319E" w14:textId="6300CBC7" w:rsidR="00A20F00" w:rsidRDefault="008C13F8" w:rsidP="00D44ACF">
      <w:pPr>
        <w:pStyle w:val="TableFooter"/>
        <w:keepNext/>
        <w:spacing w:after="120"/>
        <w:contextualSpacing w:val="0"/>
        <w:jc w:val="both"/>
      </w:pPr>
      <w:r>
        <w:t>5 Calculated during review using a random-effect model</w:t>
      </w:r>
      <w:r w:rsidR="00AB5FA3">
        <w:t>.</w:t>
      </w:r>
    </w:p>
    <w:p w14:paraId="0FDDA627" w14:textId="4AF958A2" w:rsidR="00681ACA" w:rsidRPr="00925D53" w:rsidRDefault="00925D53" w:rsidP="00D44ACF">
      <w:pPr>
        <w:spacing w:after="120"/>
        <w:jc w:val="both"/>
        <w:rPr>
          <w:b/>
          <w:bCs/>
        </w:rPr>
      </w:pPr>
      <w:r w:rsidRPr="00925D53">
        <w:rPr>
          <w:b/>
          <w:bCs/>
        </w:rPr>
        <w:t>Combination NRT versus varenicline</w:t>
      </w:r>
      <w:r w:rsidR="002D338E">
        <w:rPr>
          <w:b/>
          <w:bCs/>
        </w:rPr>
        <w:t xml:space="preserve"> or bupropion</w:t>
      </w:r>
    </w:p>
    <w:p w14:paraId="6606C358" w14:textId="4702BD7F" w:rsidR="00925D53" w:rsidRDefault="00096949" w:rsidP="00D44ACF">
      <w:pPr>
        <w:spacing w:after="120"/>
        <w:jc w:val="both"/>
      </w:pPr>
      <w:r w:rsidRPr="00096949">
        <w:t xml:space="preserve">A summary of the citation details for the studies comparing combination NRT with </w:t>
      </w:r>
      <w:r w:rsidR="007F1642">
        <w:t>varenicline</w:t>
      </w:r>
      <w:r w:rsidR="00E6399E">
        <w:t xml:space="preserve"> or bupropion</w:t>
      </w:r>
      <w:r w:rsidRPr="00096949">
        <w:t xml:space="preserve"> is presented in </w:t>
      </w:r>
      <w:r w:rsidR="00096A42">
        <w:fldChar w:fldCharType="begin" w:fldLock="1"/>
      </w:r>
      <w:r w:rsidR="00096A42">
        <w:instrText xml:space="preserve"> REF _Ref55312105 \h </w:instrText>
      </w:r>
      <w:r w:rsidR="00096A42">
        <w:fldChar w:fldCharType="separate"/>
      </w:r>
      <w:r w:rsidR="00EC5CC7">
        <w:t xml:space="preserve">Table </w:t>
      </w:r>
      <w:r w:rsidR="00EC5CC7">
        <w:rPr>
          <w:noProof/>
        </w:rPr>
        <w:t>62</w:t>
      </w:r>
      <w:r w:rsidR="00096A42">
        <w:fldChar w:fldCharType="end"/>
      </w:r>
      <w:r w:rsidRPr="00096949">
        <w:t xml:space="preserve">. A Cochrane </w:t>
      </w:r>
      <w:r w:rsidR="00841034" w:rsidRPr="00096949">
        <w:t>R</w:t>
      </w:r>
      <w:r w:rsidRPr="00096949">
        <w:t xml:space="preserve">eview by </w:t>
      </w:r>
      <w:r w:rsidR="003C7A9A">
        <w:t>Cahill</w:t>
      </w:r>
      <w:r w:rsidRPr="00096949">
        <w:t xml:space="preserve"> et al. (201</w:t>
      </w:r>
      <w:r w:rsidR="003C7A9A">
        <w:t>3</w:t>
      </w:r>
      <w:r w:rsidRPr="00096949">
        <w:t xml:space="preserve">) was identified in the systematic literature review that compared combination NRT with </w:t>
      </w:r>
      <w:r w:rsidR="003C7A9A">
        <w:t>varenicline</w:t>
      </w:r>
      <w:r w:rsidR="00E6399E">
        <w:t xml:space="preserve"> or bupropion</w:t>
      </w:r>
      <w:r w:rsidRPr="00096949">
        <w:t xml:space="preserve"> and was included in this report.</w:t>
      </w:r>
      <w:r w:rsidR="00E91171">
        <w:t xml:space="preserve"> </w:t>
      </w:r>
      <w:r w:rsidR="003F3C7F">
        <w:t>One</w:t>
      </w:r>
      <w:r w:rsidR="003F3C7F" w:rsidRPr="00E91171">
        <w:t xml:space="preserve"> RCT was identified in the </w:t>
      </w:r>
      <w:r w:rsidR="003F3C7F">
        <w:t>supplemental</w:t>
      </w:r>
      <w:r w:rsidR="003F3C7F" w:rsidRPr="00E91171">
        <w:t xml:space="preserve"> literature search </w:t>
      </w:r>
      <w:r w:rsidR="003F3C7F">
        <w:t xml:space="preserve">that informed this comparison </w:t>
      </w:r>
      <w:r w:rsidR="003F3C7F" w:rsidRPr="00E91171">
        <w:t>and was included in this report</w:t>
      </w:r>
      <w:r w:rsidR="003F3C7F">
        <w:t xml:space="preserve"> (Chen et al. 2020)</w:t>
      </w:r>
      <w:r w:rsidR="003F3C7F" w:rsidRPr="00E91171">
        <w:t>.</w:t>
      </w:r>
      <w:r w:rsidR="003F3C7F">
        <w:t xml:space="preserve"> It was noted that </w:t>
      </w:r>
      <w:r w:rsidR="00A264A7">
        <w:t>one of</w:t>
      </w:r>
      <w:r w:rsidR="003F3C7F">
        <w:t xml:space="preserve"> the </w:t>
      </w:r>
      <w:r w:rsidR="00A264A7">
        <w:t>new studies included in the NRT patch</w:t>
      </w:r>
      <w:r w:rsidR="00841034">
        <w:t xml:space="preserve"> monotherapy</w:t>
      </w:r>
      <w:r w:rsidR="00A264A7">
        <w:t xml:space="preserve"> versus varenicline section had a combination NRT arm (Tulloch et al. 2016)</w:t>
      </w:r>
      <w:r w:rsidR="00841034">
        <w:t xml:space="preserve">; this </w:t>
      </w:r>
      <w:r w:rsidR="003F3C7F">
        <w:t xml:space="preserve">study </w:t>
      </w:r>
      <w:r w:rsidR="00841034">
        <w:t>was excluded from this section due to the incorrect dose (</w:t>
      </w:r>
      <w:r w:rsidR="00826C95">
        <w:t>i.e.,</w:t>
      </w:r>
      <w:r w:rsidR="00841034">
        <w:t xml:space="preserve"> up to 35 mg per day).</w:t>
      </w:r>
      <w:r w:rsidR="003F3C7F">
        <w:t xml:space="preserve"> </w:t>
      </w:r>
    </w:p>
    <w:p w14:paraId="202944DE" w14:textId="28577DA7" w:rsidR="007F1642" w:rsidRDefault="007F1642" w:rsidP="00D44ACF">
      <w:pPr>
        <w:pStyle w:val="Caption"/>
        <w:keepNext/>
        <w:spacing w:before="0" w:after="120"/>
        <w:jc w:val="both"/>
      </w:pPr>
      <w:bookmarkStart w:id="121" w:name="_Ref55312105"/>
      <w:r>
        <w:lastRenderedPageBreak/>
        <w:t xml:space="preserve">Table </w:t>
      </w:r>
      <w:r w:rsidR="00BF3F75">
        <w:fldChar w:fldCharType="begin"/>
      </w:r>
      <w:r w:rsidR="00BF3F75">
        <w:instrText xml:space="preserve"> SEQ Table \* ARABIC </w:instrText>
      </w:r>
      <w:r w:rsidR="00BF3F75">
        <w:fldChar w:fldCharType="separate"/>
      </w:r>
      <w:r w:rsidR="00EC5CC7">
        <w:rPr>
          <w:noProof/>
        </w:rPr>
        <w:t>62</w:t>
      </w:r>
      <w:r w:rsidR="00BF3F75">
        <w:rPr>
          <w:noProof/>
        </w:rPr>
        <w:fldChar w:fldCharType="end"/>
      </w:r>
      <w:bookmarkEnd w:id="121"/>
      <w:r>
        <w:t xml:space="preserve">: </w:t>
      </w:r>
      <w:r w:rsidRPr="000079BF">
        <w:t xml:space="preserve">List of studies comparing combination NRT with </w:t>
      </w:r>
      <w:r>
        <w:t>varenicline</w:t>
      </w:r>
      <w:r w:rsidR="0039246C">
        <w:t xml:space="preserve"> or bupropion</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037A" w:rsidRPr="00061F78" w14:paraId="166064BE" w14:textId="77777777" w:rsidTr="00246AF7">
        <w:trPr>
          <w:cantSplit/>
          <w:trHeight w:val="329"/>
          <w:tblHeader/>
        </w:trPr>
        <w:tc>
          <w:tcPr>
            <w:tcW w:w="557" w:type="pct"/>
            <w:shd w:val="clear" w:color="auto" w:fill="BFBFBF" w:themeFill="background1" w:themeFillShade="BF"/>
            <w:tcMar>
              <w:left w:w="28" w:type="dxa"/>
              <w:right w:w="28" w:type="dxa"/>
            </w:tcMar>
          </w:tcPr>
          <w:p w14:paraId="5C0A85DE" w14:textId="77777777" w:rsidR="00096949" w:rsidRPr="00061F78" w:rsidRDefault="00096949" w:rsidP="00410B67">
            <w:pPr>
              <w:pStyle w:val="Tableheading"/>
              <w:rPr>
                <w:rFonts w:eastAsia="MS Mincho"/>
              </w:rPr>
            </w:pPr>
            <w:r>
              <w:rPr>
                <w:rFonts w:eastAsia="MS Mincho"/>
              </w:rPr>
              <w:t>Study</w:t>
            </w:r>
          </w:p>
        </w:tc>
        <w:tc>
          <w:tcPr>
            <w:tcW w:w="4443" w:type="pct"/>
            <w:shd w:val="clear" w:color="auto" w:fill="BFBFBF" w:themeFill="background1" w:themeFillShade="BF"/>
          </w:tcPr>
          <w:p w14:paraId="1ABE6CCB" w14:textId="77777777" w:rsidR="00096949" w:rsidRDefault="00096949" w:rsidP="00410B67">
            <w:pPr>
              <w:pStyle w:val="Tableheading"/>
              <w:jc w:val="center"/>
              <w:rPr>
                <w:rFonts w:eastAsia="MS Mincho"/>
              </w:rPr>
            </w:pPr>
            <w:r>
              <w:rPr>
                <w:rFonts w:eastAsia="MS Mincho"/>
              </w:rPr>
              <w:t>Citation</w:t>
            </w:r>
          </w:p>
        </w:tc>
      </w:tr>
      <w:tr w:rsidR="0085037A" w:rsidRPr="00061F78" w14:paraId="0C2A5578" w14:textId="77777777" w:rsidTr="00246AF7">
        <w:trPr>
          <w:cantSplit/>
          <w:trHeight w:val="164"/>
        </w:trPr>
        <w:tc>
          <w:tcPr>
            <w:tcW w:w="557" w:type="pct"/>
            <w:tcMar>
              <w:left w:w="28" w:type="dxa"/>
              <w:right w:w="28" w:type="dxa"/>
            </w:tcMar>
          </w:tcPr>
          <w:p w14:paraId="0B057AF5" w14:textId="3F5D1E11" w:rsidR="00096949" w:rsidRPr="00305930" w:rsidRDefault="001B67AA" w:rsidP="00410B67">
            <w:pPr>
              <w:pStyle w:val="Tablewriting"/>
              <w:rPr>
                <w:rFonts w:eastAsia="MS Mincho"/>
              </w:rPr>
            </w:pPr>
            <w:r>
              <w:rPr>
                <w:rFonts w:eastAsia="MS Mincho"/>
              </w:rPr>
              <w:t>Cahill</w:t>
            </w:r>
            <w:r w:rsidR="00096949" w:rsidRPr="00061F78">
              <w:rPr>
                <w:rFonts w:eastAsia="MS Mincho"/>
              </w:rPr>
              <w:t xml:space="preserve"> (20</w:t>
            </w:r>
            <w:r w:rsidR="00096949">
              <w:rPr>
                <w:rFonts w:eastAsia="MS Mincho"/>
              </w:rPr>
              <w:t>1</w:t>
            </w:r>
            <w:r>
              <w:rPr>
                <w:rFonts w:eastAsia="MS Mincho"/>
              </w:rPr>
              <w:t>3</w:t>
            </w:r>
            <w:r w:rsidR="00096949" w:rsidRPr="00061F78">
              <w:rPr>
                <w:rFonts w:eastAsia="MS Mincho"/>
              </w:rPr>
              <w:t>)</w:t>
            </w:r>
            <w:hyperlink w:anchor="_ENREF_48" w:tooltip="Cahill, 2013 #26" w:history="1">
              <w:r w:rsidR="0039468B">
                <w:rPr>
                  <w:rFonts w:eastAsia="MS Mincho"/>
                </w:rPr>
                <w:fldChar w:fldCharType="begin">
                  <w:fldData xml:space="preserve">PEVuZE5vdGU+PENpdGU+PEF1dGhvcj5DYWhpbGw8L0F1dGhvcj48WWVhcj4yMDEzPC9ZZWFyPjxS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PEVuZE5vdGU+PENpdGU+PEF1dGhvcj5DYWhpbGw8L0F1dGhvcj48WWVhcj4yMDEzPC9ZZWFyPjxS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7A53BC">
                <w:rPr>
                  <w:rFonts w:eastAsia="MS Mincho"/>
                  <w:noProof/>
                  <w:vertAlign w:val="superscript"/>
                </w:rPr>
                <w:t>48</w:t>
              </w:r>
              <w:r w:rsidR="0039468B">
                <w:rPr>
                  <w:rFonts w:eastAsia="MS Mincho"/>
                </w:rPr>
                <w:fldChar w:fldCharType="end"/>
              </w:r>
            </w:hyperlink>
            <w:r w:rsidR="00096949" w:rsidRPr="00D07303">
              <w:rPr>
                <w:rFonts w:eastAsia="MS Mincho"/>
                <w:vertAlign w:val="superscript"/>
              </w:rPr>
              <w:t xml:space="preserve"> </w:t>
            </w:r>
          </w:p>
        </w:tc>
        <w:tc>
          <w:tcPr>
            <w:tcW w:w="4443" w:type="pct"/>
          </w:tcPr>
          <w:p w14:paraId="6C4AC9BD" w14:textId="61D8EEFA" w:rsidR="00096949" w:rsidRDefault="00826C95" w:rsidP="00410B67">
            <w:pPr>
              <w:pStyle w:val="Tablewriting"/>
              <w:rPr>
                <w:rFonts w:eastAsia="MS Mincho"/>
              </w:rPr>
            </w:pPr>
            <w:r w:rsidRPr="007F1642">
              <w:rPr>
                <w:rFonts w:eastAsia="MS Mincho"/>
              </w:rPr>
              <w:t>Cahill K</w:t>
            </w:r>
            <w:r w:rsidR="007F1642" w:rsidRPr="007F1642">
              <w:rPr>
                <w:rFonts w:eastAsia="MS Mincho"/>
              </w:rPr>
              <w:t xml:space="preserve">, </w:t>
            </w:r>
            <w:r w:rsidRPr="007F1642">
              <w:rPr>
                <w:rFonts w:eastAsia="MS Mincho"/>
              </w:rPr>
              <w:t>Stevens S</w:t>
            </w:r>
            <w:r w:rsidR="007F1642" w:rsidRPr="007F1642">
              <w:rPr>
                <w:rFonts w:eastAsia="MS Mincho"/>
              </w:rPr>
              <w:t xml:space="preserve">, </w:t>
            </w:r>
            <w:r w:rsidRPr="007F1642">
              <w:rPr>
                <w:rFonts w:eastAsia="MS Mincho"/>
              </w:rPr>
              <w:t>Perera R</w:t>
            </w:r>
            <w:r w:rsidR="007F1642" w:rsidRPr="007F1642">
              <w:rPr>
                <w:rFonts w:eastAsia="MS Mincho"/>
              </w:rPr>
              <w:t xml:space="preserve">, </w:t>
            </w:r>
            <w:r w:rsidRPr="007F1642">
              <w:rPr>
                <w:rFonts w:eastAsia="MS Mincho"/>
              </w:rPr>
              <w:t>Lancaster T.</w:t>
            </w:r>
            <w:r w:rsidR="007F1642" w:rsidRPr="007F1642">
              <w:rPr>
                <w:rFonts w:eastAsia="MS Mincho"/>
              </w:rPr>
              <w:t xml:space="preserve"> Pharmacological interventions for smoking cessation: an overview and network meta‐analysis. Cochrane Database of Systematic Reviews 2013, Issue 5. Art. No.: CD009329. </w:t>
            </w:r>
          </w:p>
        </w:tc>
      </w:tr>
      <w:tr w:rsidR="0085037A" w:rsidRPr="00061F78" w14:paraId="62C056A2" w14:textId="77777777" w:rsidTr="00246AF7">
        <w:trPr>
          <w:cantSplit/>
          <w:trHeight w:val="164"/>
        </w:trPr>
        <w:tc>
          <w:tcPr>
            <w:tcW w:w="557" w:type="pct"/>
            <w:tcMar>
              <w:left w:w="28" w:type="dxa"/>
              <w:right w:w="28" w:type="dxa"/>
            </w:tcMar>
          </w:tcPr>
          <w:p w14:paraId="0B4320B7" w14:textId="77777777" w:rsidR="001D1290" w:rsidRDefault="001D1290" w:rsidP="00410B67">
            <w:pPr>
              <w:pStyle w:val="Tablewriting"/>
              <w:rPr>
                <w:rFonts w:eastAsia="MS Mincho"/>
              </w:rPr>
            </w:pPr>
            <w:r>
              <w:rPr>
                <w:rFonts w:eastAsia="MS Mincho"/>
              </w:rPr>
              <w:t>Chen</w:t>
            </w:r>
          </w:p>
          <w:p w14:paraId="0706E9FA" w14:textId="72575959" w:rsidR="001D1290" w:rsidRDefault="001D1290" w:rsidP="00410B67">
            <w:pPr>
              <w:pStyle w:val="Tablewriting"/>
              <w:rPr>
                <w:rFonts w:eastAsia="MS Mincho"/>
              </w:rPr>
            </w:pPr>
            <w:r>
              <w:rPr>
                <w:rFonts w:eastAsia="MS Mincho"/>
              </w:rPr>
              <w:t>(2020)</w:t>
            </w:r>
            <w:hyperlink w:anchor="_ENREF_46" w:tooltip="Chen, 2020 #617" w:history="1">
              <w:r w:rsidR="0039468B">
                <w:rPr>
                  <w:rFonts w:eastAsia="MS Mincho"/>
                </w:rPr>
                <w:fldChar w:fldCharType="begin">
                  <w:fldData xml:space="preserve">PEVuZE5vdGU+PENpdGU+PEF1dGhvcj5DaGVuPC9BdXRob3I+PFllYXI+MjAyMDwvWWVhcj48UmVj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</w:fldData>
                </w:fldChar>
              </w:r>
              <w:r w:rsidR="0039468B">
                <w:rPr>
                  <w:rFonts w:eastAsia="MS Mincho"/>
                </w:rPr>
                <w:instrText xml:space="preserve"> ADDIN EN.CITE </w:instrText>
              </w:r>
              <w:r w:rsidR="0039468B">
                <w:rPr>
                  <w:rFonts w:eastAsia="MS Mincho"/>
                </w:rPr>
                <w:fldChar w:fldCharType="begin">
                  <w:fldData xml:space="preserve">PEVuZE5vdGU+PENpdGU+PEF1dGhvcj5DaGVuPC9BdXRob3I+PFllYXI+MjAyMDwvWWVhcj48UmVj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7A53BC">
                <w:rPr>
                  <w:rFonts w:eastAsia="MS Mincho"/>
                  <w:noProof/>
                  <w:vertAlign w:val="superscript"/>
                </w:rPr>
                <w:t>46</w:t>
              </w:r>
              <w:r w:rsidR="0039468B">
                <w:rPr>
                  <w:rFonts w:eastAsia="MS Mincho"/>
                </w:rPr>
                <w:fldChar w:fldCharType="end"/>
              </w:r>
            </w:hyperlink>
          </w:p>
        </w:tc>
        <w:tc>
          <w:tcPr>
            <w:tcW w:w="4443" w:type="pct"/>
          </w:tcPr>
          <w:p w14:paraId="2F4AC6FB" w14:textId="3470A324" w:rsidR="001D1290" w:rsidRPr="007F1642" w:rsidRDefault="001D1290" w:rsidP="00410B67">
            <w:pPr>
              <w:pStyle w:val="Tablewriting"/>
              <w:rPr>
                <w:rFonts w:eastAsia="MS Mincho"/>
              </w:rPr>
            </w:pPr>
            <w:r w:rsidRPr="002E3D2F">
              <w:rPr>
                <w:rFonts w:eastAsia="MS Mincho"/>
              </w:rPr>
              <w:t>Chen LS, Baker TB, Miller JP, Bray M, Smock N, Chen J, Stoneking F, Culverhouse RC, Saccone NL, Amos CI, Carney RM. Genetic Variant in CHRNA5 and Response to Varenicline and Combination Nicotine Replacement in a randomized placebo‐controlled trial. Clinical Pharmacology &amp; Therapeutics. 2020 Jun 29.</w:t>
            </w:r>
          </w:p>
        </w:tc>
      </w:tr>
    </w:tbl>
    <w:p w14:paraId="67FD0CC3" w14:textId="611D4767" w:rsidR="000A2A40" w:rsidRDefault="003C7A9A" w:rsidP="00D44ACF">
      <w:pPr>
        <w:spacing w:before="120" w:after="120"/>
        <w:jc w:val="both"/>
      </w:pPr>
      <w:r w:rsidRPr="003C7A9A">
        <w:t xml:space="preserve">A summary of the characteristics of the studies comparing combination NRT with </w:t>
      </w:r>
      <w:r w:rsidR="006703CA">
        <w:t>varenicline</w:t>
      </w:r>
      <w:r w:rsidRPr="003C7A9A">
        <w:t xml:space="preserve"> </w:t>
      </w:r>
      <w:r w:rsidR="001D1290">
        <w:t xml:space="preserve">or bupropion </w:t>
      </w:r>
      <w:r w:rsidRPr="003C7A9A">
        <w:t xml:space="preserve">is presented in Table </w:t>
      </w:r>
      <w:r w:rsidR="00D44ACF">
        <w:t>63</w:t>
      </w:r>
      <w:r w:rsidRPr="003C7A9A">
        <w:t xml:space="preserve">. </w:t>
      </w:r>
      <w:r w:rsidR="00E6217D">
        <w:t xml:space="preserve">No direct </w:t>
      </w:r>
      <w:r w:rsidRPr="003C7A9A">
        <w:t>RCT</w:t>
      </w:r>
      <w:r w:rsidR="005D7306">
        <w:t xml:space="preserve">s </w:t>
      </w:r>
      <w:r w:rsidRPr="003C7A9A">
        <w:t xml:space="preserve">comparing combination NRT with </w:t>
      </w:r>
      <w:r w:rsidR="001D01E5">
        <w:t>varenicline</w:t>
      </w:r>
      <w:r w:rsidRPr="003C7A9A">
        <w:t xml:space="preserve"> </w:t>
      </w:r>
      <w:r w:rsidR="00E6399E">
        <w:t xml:space="preserve">or bupropion </w:t>
      </w:r>
      <w:r w:rsidRPr="003C7A9A">
        <w:t xml:space="preserve">were identified by </w:t>
      </w:r>
      <w:r w:rsidR="001D01E5">
        <w:t>Cahill</w:t>
      </w:r>
      <w:r w:rsidRPr="003C7A9A">
        <w:t xml:space="preserve"> et al. (201</w:t>
      </w:r>
      <w:r w:rsidR="001D01E5">
        <w:t>3</w:t>
      </w:r>
      <w:r w:rsidRPr="003C7A9A">
        <w:t>).</w:t>
      </w:r>
      <w:r w:rsidR="001D01E5">
        <w:t xml:space="preserve"> </w:t>
      </w:r>
      <w:r w:rsidR="005D7306">
        <w:t>Cahill et al. (2</w:t>
      </w:r>
      <w:r w:rsidR="00442F52">
        <w:t>013) conducted an overview of Cochrane reviews</w:t>
      </w:r>
      <w:r w:rsidR="00937F90">
        <w:t xml:space="preserve"> </w:t>
      </w:r>
      <w:r w:rsidR="00937F90" w:rsidRPr="00937F90">
        <w:t>which assess</w:t>
      </w:r>
      <w:r w:rsidR="00BF7790">
        <w:t>ed</w:t>
      </w:r>
      <w:r w:rsidR="00937F90" w:rsidRPr="00937F90">
        <w:t xml:space="preserve"> the</w:t>
      </w:r>
      <w:r w:rsidR="00937F90">
        <w:t xml:space="preserve"> eff</w:t>
      </w:r>
      <w:r w:rsidR="00937F90" w:rsidRPr="00937F90">
        <w:t>icacy and safety of pharmacological interventions designed to</w:t>
      </w:r>
      <w:r w:rsidR="00937F90">
        <w:t xml:space="preserve"> </w:t>
      </w:r>
      <w:r w:rsidR="00937F90" w:rsidRPr="00937F90">
        <w:t>support smoking cessation attempts.</w:t>
      </w:r>
      <w:r w:rsidR="00937F90">
        <w:t xml:space="preserve"> </w:t>
      </w:r>
      <w:r w:rsidR="009C2D04">
        <w:t xml:space="preserve">Using study level data and a Bayesian hierarchical model approach, </w:t>
      </w:r>
      <w:r w:rsidR="001502E2">
        <w:t xml:space="preserve">the authors </w:t>
      </w:r>
      <w:r w:rsidR="00E93413">
        <w:t xml:space="preserve">conducted a network meta-analysis comparing </w:t>
      </w:r>
      <w:r w:rsidR="001502E2">
        <w:t>NRT (including combination), varenicline and bupropion</w:t>
      </w:r>
      <w:r w:rsidR="00E93413">
        <w:t>.</w:t>
      </w:r>
      <w:r w:rsidRPr="003C7A9A">
        <w:t xml:space="preserve"> </w:t>
      </w:r>
    </w:p>
    <w:p w14:paraId="28A85EB0" w14:textId="4F858D3E" w:rsidR="003C7A9A" w:rsidRDefault="000A2A40" w:rsidP="00D44ACF">
      <w:pPr>
        <w:spacing w:after="120"/>
        <w:jc w:val="both"/>
      </w:pPr>
      <w:r w:rsidRPr="000A2A40">
        <w:t xml:space="preserve">A general limitation of network meta-analyses is that the indirect comparisons made may be influenced by potential biases and uncertainties </w:t>
      </w:r>
      <w:r w:rsidR="000B66B9">
        <w:t>due to</w:t>
      </w:r>
      <w:r w:rsidRPr="000A2A40">
        <w:t xml:space="preserve"> heterogeneity and inconsistent outcomes between studies. As such, the results of th</w:t>
      </w:r>
      <w:r w:rsidR="006823C4">
        <w:t>e network meta-analysis</w:t>
      </w:r>
      <w:r w:rsidRPr="000A2A40">
        <w:t xml:space="preserve"> should be interpreted with caution.</w:t>
      </w:r>
    </w:p>
    <w:p w14:paraId="48AC0BE6" w14:textId="77777777" w:rsidR="006A71BA" w:rsidRDefault="006917C8" w:rsidP="00D44ACF">
      <w:pPr>
        <w:spacing w:after="120"/>
        <w:jc w:val="both"/>
      </w:pPr>
      <w:r>
        <w:t>As direct evidence was available f</w:t>
      </w:r>
      <w:r w:rsidR="00F93C34">
        <w:t xml:space="preserve">or the comparison of </w:t>
      </w:r>
      <w:r w:rsidR="008F6C6F">
        <w:t xml:space="preserve">combination NRT versus varenicline, </w:t>
      </w:r>
      <w:r w:rsidR="00B3401F">
        <w:t>Chen et al. (2020)</w:t>
      </w:r>
      <w:r w:rsidR="008F6C6F">
        <w:t xml:space="preserve"> was included as primary evidence</w:t>
      </w:r>
      <w:r w:rsidR="00B3401F">
        <w:t xml:space="preserve"> while the network meta-analysis by Cahill et al. (2013) was included as supportive evidence</w:t>
      </w:r>
      <w:r w:rsidR="00C60239">
        <w:t>.</w:t>
      </w:r>
      <w:r w:rsidR="00817FA5">
        <w:t xml:space="preserve"> For the comparison of combination NRT versus bupropion, no direct evidence was identified in the updated literature search</w:t>
      </w:r>
      <w:r w:rsidR="0004401F">
        <w:t>.</w:t>
      </w:r>
    </w:p>
    <w:p w14:paraId="33BC3AAB" w14:textId="77777777" w:rsidR="006A71BA" w:rsidRDefault="006A71BA" w:rsidP="00FB17CD">
      <w:pPr>
        <w:sectPr w:rsidR="006A71BA" w:rsidSect="006356D2">
          <w:pgSz w:w="11906" w:h="16838"/>
          <w:pgMar w:top="1440" w:right="1440" w:bottom="1440" w:left="1440" w:header="708" w:footer="708" w:gutter="0"/>
          <w:cols w:space="708"/>
          <w:titlePg/>
          <w:docGrid w:linePitch="360"/>
        </w:sectPr>
      </w:pPr>
    </w:p>
    <w:p w14:paraId="56A7F699" w14:textId="05D6EBCC" w:rsidR="00BE1C08" w:rsidRDefault="00BE1C08" w:rsidP="00D44ACF">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63</w:t>
      </w:r>
      <w:r w:rsidR="00BF3F75">
        <w:rPr>
          <w:noProof/>
        </w:rPr>
        <w:fldChar w:fldCharType="end"/>
      </w:r>
      <w:r>
        <w:t xml:space="preserve">: </w:t>
      </w:r>
      <w:r w:rsidRPr="00E12EAF">
        <w:t xml:space="preserve">Characteristics of the studies comparing combination NRT with </w:t>
      </w:r>
      <w:r>
        <w:t>varenicline</w:t>
      </w:r>
      <w:r w:rsidR="000F3AE3">
        <w:t xml:space="preserve"> or bupropion</w:t>
      </w:r>
    </w:p>
    <w:tbl>
      <w:tblPr>
        <w:tblStyle w:val="TableGrid"/>
        <w:tblW w:w="5000" w:type="pct"/>
        <w:tblLook w:val="04A0" w:firstRow="1" w:lastRow="0" w:firstColumn="1" w:lastColumn="0" w:noHBand="0" w:noVBand="1"/>
        <w:tblCaption w:val="Efficacy results of adalimumab trials (PASI 75 and DLQI)"/>
      </w:tblPr>
      <w:tblGrid>
        <w:gridCol w:w="1015"/>
        <w:gridCol w:w="988"/>
        <w:gridCol w:w="3387"/>
        <w:gridCol w:w="1693"/>
        <w:gridCol w:w="4374"/>
        <w:gridCol w:w="2491"/>
      </w:tblGrid>
      <w:tr w:rsidR="00C379D2" w:rsidRPr="00061F78" w14:paraId="0C9A9CB2" w14:textId="77777777" w:rsidTr="006C01A1">
        <w:trPr>
          <w:trHeight w:val="299"/>
          <w:tblHeader/>
        </w:trPr>
        <w:tc>
          <w:tcPr>
            <w:tcW w:w="364" w:type="pct"/>
            <w:shd w:val="clear" w:color="auto" w:fill="BFBFBF" w:themeFill="background1" w:themeFillShade="BF"/>
            <w:tcMar>
              <w:left w:w="28" w:type="dxa"/>
              <w:right w:w="28" w:type="dxa"/>
            </w:tcMar>
          </w:tcPr>
          <w:p w14:paraId="6833B959" w14:textId="77777777" w:rsidR="006703CA" w:rsidRPr="00061F78" w:rsidRDefault="006703CA" w:rsidP="00E93413">
            <w:pPr>
              <w:pStyle w:val="Tableheading"/>
              <w:keepNext/>
              <w:rPr>
                <w:rFonts w:eastAsia="MS Mincho"/>
              </w:rPr>
            </w:pPr>
            <w:r>
              <w:rPr>
                <w:rFonts w:eastAsia="MS Mincho"/>
              </w:rPr>
              <w:t>Study</w:t>
            </w:r>
          </w:p>
        </w:tc>
        <w:tc>
          <w:tcPr>
            <w:tcW w:w="354" w:type="pct"/>
            <w:shd w:val="clear" w:color="auto" w:fill="BFBFBF" w:themeFill="background1" w:themeFillShade="BF"/>
          </w:tcPr>
          <w:p w14:paraId="235A6E9D" w14:textId="77777777" w:rsidR="006703CA" w:rsidRDefault="006703CA" w:rsidP="00E93413">
            <w:pPr>
              <w:pStyle w:val="Tableheading"/>
              <w:keepNext/>
              <w:jc w:val="center"/>
              <w:rPr>
                <w:rFonts w:eastAsia="MS Mincho"/>
              </w:rPr>
            </w:pPr>
            <w:r>
              <w:rPr>
                <w:rFonts w:eastAsia="MS Mincho"/>
              </w:rPr>
              <w:t>Study type</w:t>
            </w:r>
          </w:p>
        </w:tc>
        <w:tc>
          <w:tcPr>
            <w:tcW w:w="1214" w:type="pct"/>
            <w:shd w:val="clear" w:color="auto" w:fill="BFBFBF" w:themeFill="background1" w:themeFillShade="BF"/>
            <w:tcMar>
              <w:left w:w="28" w:type="dxa"/>
              <w:right w:w="28" w:type="dxa"/>
            </w:tcMar>
          </w:tcPr>
          <w:p w14:paraId="5F524A5C" w14:textId="17994EAC" w:rsidR="006703CA" w:rsidRPr="00AE21E9" w:rsidRDefault="006703CA" w:rsidP="00E93413">
            <w:pPr>
              <w:pStyle w:val="Tableheading"/>
              <w:keepNext/>
              <w:jc w:val="center"/>
              <w:rPr>
                <w:rFonts w:eastAsia="MS Mincho"/>
                <w:vertAlign w:val="superscript"/>
              </w:rPr>
            </w:pPr>
            <w:r>
              <w:rPr>
                <w:rFonts w:eastAsia="MS Mincho"/>
              </w:rPr>
              <w:t>N</w:t>
            </w:r>
            <w:r w:rsidR="00FD4436">
              <w:rPr>
                <w:rFonts w:eastAsia="MS Mincho"/>
                <w:vertAlign w:val="superscript"/>
              </w:rPr>
              <w:t>1</w:t>
            </w:r>
          </w:p>
        </w:tc>
        <w:tc>
          <w:tcPr>
            <w:tcW w:w="607" w:type="pct"/>
            <w:shd w:val="clear" w:color="auto" w:fill="BFBFBF" w:themeFill="background1" w:themeFillShade="BF"/>
            <w:tcMar>
              <w:left w:w="28" w:type="dxa"/>
              <w:right w:w="28" w:type="dxa"/>
            </w:tcMar>
          </w:tcPr>
          <w:p w14:paraId="72FB96A4" w14:textId="77777777" w:rsidR="006703CA" w:rsidRPr="00061F78" w:rsidRDefault="006703CA" w:rsidP="00E93413">
            <w:pPr>
              <w:pStyle w:val="Tableheading"/>
              <w:keepNext/>
              <w:jc w:val="center"/>
              <w:rPr>
                <w:rFonts w:eastAsia="MS Mincho"/>
              </w:rPr>
            </w:pPr>
            <w:r w:rsidRPr="00061F78">
              <w:rPr>
                <w:rFonts w:eastAsia="MS Mincho"/>
              </w:rPr>
              <w:t>P</w:t>
            </w:r>
            <w:r>
              <w:rPr>
                <w:rFonts w:eastAsia="MS Mincho"/>
              </w:rPr>
              <w:t>opulation</w:t>
            </w:r>
          </w:p>
        </w:tc>
        <w:tc>
          <w:tcPr>
            <w:tcW w:w="1568" w:type="pct"/>
            <w:shd w:val="clear" w:color="auto" w:fill="BFBFBF" w:themeFill="background1" w:themeFillShade="BF"/>
          </w:tcPr>
          <w:p w14:paraId="38CF0F02" w14:textId="77777777" w:rsidR="006703CA" w:rsidRDefault="006703CA" w:rsidP="00E93413">
            <w:pPr>
              <w:pStyle w:val="Tableheading"/>
              <w:keepNext/>
              <w:jc w:val="center"/>
              <w:rPr>
                <w:rFonts w:eastAsia="MS Mincho"/>
              </w:rPr>
            </w:pPr>
            <w:r>
              <w:rPr>
                <w:rFonts w:eastAsia="MS Mincho"/>
              </w:rPr>
              <w:t>Intervention and comparator</w:t>
            </w:r>
          </w:p>
        </w:tc>
        <w:tc>
          <w:tcPr>
            <w:tcW w:w="893" w:type="pct"/>
            <w:shd w:val="clear" w:color="auto" w:fill="BFBFBF" w:themeFill="background1" w:themeFillShade="BF"/>
            <w:tcMar>
              <w:left w:w="28" w:type="dxa"/>
              <w:right w:w="28" w:type="dxa"/>
            </w:tcMar>
          </w:tcPr>
          <w:p w14:paraId="7A7F9C42" w14:textId="77777777" w:rsidR="006703CA" w:rsidRPr="00061F78" w:rsidRDefault="006703CA" w:rsidP="00E93413">
            <w:pPr>
              <w:pStyle w:val="Tableheading"/>
              <w:keepNext/>
              <w:jc w:val="center"/>
              <w:rPr>
                <w:rFonts w:eastAsia="MS Mincho"/>
              </w:rPr>
            </w:pPr>
            <w:r>
              <w:rPr>
                <w:rFonts w:eastAsia="MS Mincho"/>
              </w:rPr>
              <w:t>Outcomes</w:t>
            </w:r>
          </w:p>
        </w:tc>
      </w:tr>
      <w:tr w:rsidR="006703CA" w:rsidRPr="00061F78" w14:paraId="6C8D1731" w14:textId="77777777" w:rsidTr="006C01A1">
        <w:trPr>
          <w:trHeight w:val="149"/>
        </w:trPr>
        <w:tc>
          <w:tcPr>
            <w:tcW w:w="364" w:type="pct"/>
            <w:tcMar>
              <w:left w:w="28" w:type="dxa"/>
              <w:right w:w="28" w:type="dxa"/>
            </w:tcMar>
          </w:tcPr>
          <w:p w14:paraId="227A10F0" w14:textId="7585C551" w:rsidR="006703CA" w:rsidRDefault="00322560" w:rsidP="00E93413">
            <w:pPr>
              <w:pStyle w:val="Tablewriting"/>
              <w:keepNext/>
              <w:rPr>
                <w:rFonts w:eastAsia="MS Mincho"/>
              </w:rPr>
            </w:pPr>
            <w:r>
              <w:rPr>
                <w:rFonts w:eastAsia="MS Mincho"/>
              </w:rPr>
              <w:t>Cahill</w:t>
            </w:r>
            <w:r w:rsidRPr="00061F78">
              <w:rPr>
                <w:rFonts w:eastAsia="MS Mincho"/>
              </w:rPr>
              <w:t xml:space="preserve"> (20</w:t>
            </w:r>
            <w:r>
              <w:rPr>
                <w:rFonts w:eastAsia="MS Mincho"/>
              </w:rPr>
              <w:t>13</w:t>
            </w:r>
            <w:r w:rsidRPr="00061F78">
              <w:rPr>
                <w:rFonts w:eastAsia="MS Mincho"/>
              </w:rPr>
              <w:t>)</w:t>
            </w:r>
          </w:p>
        </w:tc>
        <w:tc>
          <w:tcPr>
            <w:tcW w:w="354" w:type="pct"/>
          </w:tcPr>
          <w:p w14:paraId="5C6CAAC2" w14:textId="400DC752" w:rsidR="006703CA" w:rsidRDefault="006703CA" w:rsidP="00E93413">
            <w:pPr>
              <w:pStyle w:val="Tablewriting"/>
              <w:keepNext/>
              <w:rPr>
                <w:rFonts w:eastAsia="MS Mincho"/>
              </w:rPr>
            </w:pPr>
            <w:r>
              <w:rPr>
                <w:rFonts w:eastAsia="MS Mincho"/>
              </w:rPr>
              <w:t xml:space="preserve">Cochrane </w:t>
            </w:r>
            <w:r w:rsidR="00253D5E">
              <w:rPr>
                <w:rFonts w:eastAsia="MS Mincho"/>
              </w:rPr>
              <w:t>R</w:t>
            </w:r>
            <w:r>
              <w:rPr>
                <w:rFonts w:eastAsia="MS Mincho"/>
              </w:rPr>
              <w:t>eview</w:t>
            </w:r>
          </w:p>
          <w:p w14:paraId="3FE88A79" w14:textId="746CF35F" w:rsidR="006703CA" w:rsidRDefault="000B005B" w:rsidP="00E93413">
            <w:pPr>
              <w:pStyle w:val="Tablewriting"/>
              <w:keepNext/>
              <w:rPr>
                <w:rFonts w:eastAsia="MS Mincho"/>
              </w:rPr>
            </w:pPr>
            <w:r>
              <w:rPr>
                <w:rFonts w:eastAsia="MS Mincho"/>
              </w:rPr>
              <w:t>(N</w:t>
            </w:r>
            <w:r w:rsidR="004A489C">
              <w:rPr>
                <w:rFonts w:eastAsia="MS Mincho"/>
              </w:rPr>
              <w:t>MA)</w:t>
            </w:r>
          </w:p>
        </w:tc>
        <w:tc>
          <w:tcPr>
            <w:tcW w:w="1214" w:type="pct"/>
            <w:tcMar>
              <w:left w:w="28" w:type="dxa"/>
              <w:right w:w="28" w:type="dxa"/>
            </w:tcMar>
          </w:tcPr>
          <w:p w14:paraId="57152224" w14:textId="1FD1538F" w:rsidR="006703CA" w:rsidRPr="001D2106" w:rsidRDefault="00FB4045" w:rsidP="00E93413">
            <w:pPr>
              <w:pStyle w:val="Tablewriting"/>
              <w:keepNext/>
              <w:rPr>
                <w:rFonts w:eastAsia="MS Mincho"/>
                <w:u w:val="single"/>
              </w:rPr>
            </w:pPr>
            <w:r>
              <w:rPr>
                <w:rFonts w:eastAsia="MS Mincho"/>
                <w:u w:val="single"/>
              </w:rPr>
              <w:t xml:space="preserve">Combination </w:t>
            </w:r>
            <w:r w:rsidR="006703CA" w:rsidRPr="001D2106">
              <w:rPr>
                <w:rFonts w:eastAsia="MS Mincho"/>
                <w:u w:val="single"/>
              </w:rPr>
              <w:t xml:space="preserve">NRT </w:t>
            </w:r>
            <w:r w:rsidR="00443314">
              <w:rPr>
                <w:rFonts w:eastAsia="MS Mincho"/>
                <w:u w:val="single"/>
              </w:rPr>
              <w:t>versus placebo</w:t>
            </w:r>
          </w:p>
          <w:p w14:paraId="674C5C58" w14:textId="6D93652C" w:rsidR="006703CA" w:rsidRDefault="00A62CFE" w:rsidP="00E93413">
            <w:pPr>
              <w:pStyle w:val="Tablewriting"/>
              <w:keepNext/>
              <w:rPr>
                <w:rFonts w:eastAsia="MS Mincho"/>
              </w:rPr>
            </w:pPr>
            <w:r>
              <w:rPr>
                <w:rFonts w:eastAsia="MS Mincho"/>
              </w:rPr>
              <w:t>2 RCTs</w:t>
            </w:r>
          </w:p>
          <w:p w14:paraId="3AC882FA" w14:textId="57CB7E85" w:rsidR="00C4616E" w:rsidRPr="00FC4736" w:rsidRDefault="00C4616E" w:rsidP="00E93413">
            <w:pPr>
              <w:pStyle w:val="Tablewriting"/>
              <w:keepNext/>
              <w:rPr>
                <w:rFonts w:eastAsia="MS Mincho"/>
                <w:u w:val="single"/>
              </w:rPr>
            </w:pPr>
            <w:r w:rsidRPr="00FC4736">
              <w:rPr>
                <w:rFonts w:eastAsia="MS Mincho"/>
                <w:u w:val="single"/>
              </w:rPr>
              <w:t>Combination NRT versus NRT patch</w:t>
            </w:r>
          </w:p>
          <w:p w14:paraId="4E74B32D" w14:textId="4E9C40F0" w:rsidR="00FC4736" w:rsidRDefault="00FC4736" w:rsidP="00E93413">
            <w:pPr>
              <w:pStyle w:val="Tablewriting"/>
              <w:keepNext/>
              <w:rPr>
                <w:rFonts w:eastAsia="MS Mincho"/>
              </w:rPr>
            </w:pPr>
            <w:r>
              <w:rPr>
                <w:rFonts w:eastAsia="MS Mincho"/>
              </w:rPr>
              <w:t>3 RCTs</w:t>
            </w:r>
          </w:p>
          <w:p w14:paraId="1BD883F5" w14:textId="4A28FE00" w:rsidR="00FC4736" w:rsidRPr="00984E83" w:rsidRDefault="00FC4736" w:rsidP="00E93413">
            <w:pPr>
              <w:pStyle w:val="Tablewriting"/>
              <w:keepNext/>
              <w:rPr>
                <w:rFonts w:eastAsia="MS Mincho"/>
                <w:u w:val="single"/>
              </w:rPr>
            </w:pPr>
            <w:r w:rsidRPr="00984E83">
              <w:rPr>
                <w:rFonts w:eastAsia="MS Mincho"/>
                <w:u w:val="single"/>
              </w:rPr>
              <w:t>Combinatio</w:t>
            </w:r>
            <w:r w:rsidR="00B23B71" w:rsidRPr="00984E83">
              <w:rPr>
                <w:rFonts w:eastAsia="MS Mincho"/>
                <w:u w:val="single"/>
              </w:rPr>
              <w:t>n NRT versus NRT gum</w:t>
            </w:r>
          </w:p>
          <w:p w14:paraId="685B97D9" w14:textId="25F18077" w:rsidR="007912BA" w:rsidRDefault="007912BA" w:rsidP="00E93413">
            <w:pPr>
              <w:pStyle w:val="Tablewriting"/>
              <w:keepNext/>
              <w:rPr>
                <w:rFonts w:eastAsia="MS Mincho"/>
              </w:rPr>
            </w:pPr>
            <w:r>
              <w:rPr>
                <w:rFonts w:eastAsia="MS Mincho"/>
              </w:rPr>
              <w:t>1 RCT</w:t>
            </w:r>
          </w:p>
          <w:p w14:paraId="30E0CFDE" w14:textId="7A224B62" w:rsidR="00984E83" w:rsidRPr="00612B85" w:rsidRDefault="00984E83" w:rsidP="00E93413">
            <w:pPr>
              <w:pStyle w:val="Tablewriting"/>
              <w:keepNext/>
              <w:rPr>
                <w:rFonts w:eastAsia="MS Mincho"/>
                <w:u w:val="single"/>
              </w:rPr>
            </w:pPr>
            <w:r w:rsidRPr="00612B85">
              <w:rPr>
                <w:rFonts w:eastAsia="MS Mincho"/>
                <w:u w:val="single"/>
              </w:rPr>
              <w:t>Combination</w:t>
            </w:r>
            <w:r w:rsidR="00113A4F" w:rsidRPr="00612B85">
              <w:rPr>
                <w:rFonts w:eastAsia="MS Mincho"/>
                <w:u w:val="single"/>
              </w:rPr>
              <w:t xml:space="preserve"> NRT</w:t>
            </w:r>
            <w:r w:rsidR="00AC4682" w:rsidRPr="00612B85">
              <w:rPr>
                <w:rFonts w:eastAsia="MS Mincho"/>
                <w:u w:val="single"/>
              </w:rPr>
              <w:t xml:space="preserve"> versus other NRT</w:t>
            </w:r>
          </w:p>
          <w:p w14:paraId="7E43D6EE" w14:textId="77777777" w:rsidR="006703CA" w:rsidRDefault="00E6399E" w:rsidP="00E93413">
            <w:pPr>
              <w:pStyle w:val="Tablewriting"/>
              <w:keepNext/>
              <w:rPr>
                <w:rFonts w:eastAsia="MS Mincho"/>
              </w:rPr>
            </w:pPr>
            <w:r w:rsidRPr="00E6399E">
              <w:rPr>
                <w:rFonts w:eastAsia="MS Mincho"/>
              </w:rPr>
              <w:t>1 RCT</w:t>
            </w:r>
          </w:p>
          <w:p w14:paraId="4485ADDE" w14:textId="77777777" w:rsidR="00103A01" w:rsidRPr="00F149C3" w:rsidRDefault="00103A01" w:rsidP="00E93413">
            <w:pPr>
              <w:pStyle w:val="Tablewriting"/>
              <w:keepNext/>
              <w:rPr>
                <w:rFonts w:eastAsia="MS Mincho"/>
                <w:u w:val="single"/>
              </w:rPr>
            </w:pPr>
            <w:r w:rsidRPr="00F149C3">
              <w:rPr>
                <w:rFonts w:eastAsia="MS Mincho"/>
                <w:u w:val="single"/>
              </w:rPr>
              <w:t>Varenicline versus placebo</w:t>
            </w:r>
          </w:p>
          <w:p w14:paraId="12F25EDB" w14:textId="77777777" w:rsidR="00103A01" w:rsidRPr="00F149C3" w:rsidRDefault="00103A01" w:rsidP="00E93413">
            <w:pPr>
              <w:pStyle w:val="Tablewriting"/>
              <w:keepNext/>
              <w:rPr>
                <w:rFonts w:eastAsia="MS Mincho"/>
              </w:rPr>
            </w:pPr>
            <w:r w:rsidRPr="00F149C3">
              <w:rPr>
                <w:rFonts w:eastAsia="MS Mincho"/>
              </w:rPr>
              <w:t>15 RCTs</w:t>
            </w:r>
          </w:p>
          <w:p w14:paraId="0ED9452C" w14:textId="35398A0A" w:rsidR="00A1635C" w:rsidRPr="00F149C3" w:rsidRDefault="00F15950" w:rsidP="00E93413">
            <w:pPr>
              <w:pStyle w:val="Tablewriting"/>
              <w:keepNext/>
              <w:rPr>
                <w:rFonts w:eastAsia="MS Mincho"/>
                <w:u w:val="single"/>
              </w:rPr>
            </w:pPr>
            <w:r w:rsidRPr="00F149C3">
              <w:rPr>
                <w:rFonts w:eastAsia="MS Mincho"/>
                <w:u w:val="single"/>
              </w:rPr>
              <w:t>Bupropion versus placebo</w:t>
            </w:r>
          </w:p>
          <w:p w14:paraId="4A391289" w14:textId="5C6A8C8D" w:rsidR="00F15950" w:rsidRPr="00F149C3" w:rsidRDefault="00793458" w:rsidP="00E93413">
            <w:pPr>
              <w:pStyle w:val="Tablewriting"/>
              <w:keepNext/>
              <w:rPr>
                <w:rFonts w:eastAsia="MS Mincho"/>
              </w:rPr>
            </w:pPr>
            <w:r w:rsidRPr="00F149C3">
              <w:rPr>
                <w:rFonts w:eastAsia="MS Mincho"/>
              </w:rPr>
              <w:t>36 RCTs</w:t>
            </w:r>
          </w:p>
          <w:p w14:paraId="2F906845" w14:textId="6CA3CA73" w:rsidR="00793458" w:rsidRPr="00F149C3" w:rsidRDefault="00EB657C" w:rsidP="00E93413">
            <w:pPr>
              <w:pStyle w:val="Tablewriting"/>
              <w:keepNext/>
              <w:rPr>
                <w:rFonts w:eastAsia="MS Mincho"/>
                <w:u w:val="single"/>
              </w:rPr>
            </w:pPr>
            <w:r w:rsidRPr="00F149C3">
              <w:rPr>
                <w:rFonts w:eastAsia="MS Mincho"/>
                <w:u w:val="single"/>
              </w:rPr>
              <w:t>Bupropion versus NRT patch</w:t>
            </w:r>
          </w:p>
          <w:p w14:paraId="5D97DB5D" w14:textId="130AC9EC" w:rsidR="00EB657C" w:rsidRPr="00F149C3" w:rsidRDefault="00830933" w:rsidP="00E93413">
            <w:pPr>
              <w:pStyle w:val="Tablewriting"/>
              <w:keepNext/>
              <w:rPr>
                <w:rFonts w:eastAsia="MS Mincho"/>
              </w:rPr>
            </w:pPr>
            <w:r w:rsidRPr="00F149C3">
              <w:rPr>
                <w:rFonts w:eastAsia="MS Mincho"/>
              </w:rPr>
              <w:t>6 RCTs</w:t>
            </w:r>
          </w:p>
          <w:p w14:paraId="5E31601F" w14:textId="168CB3D9" w:rsidR="00891D7F" w:rsidRPr="00F149C3" w:rsidRDefault="00891D7F" w:rsidP="00E93413">
            <w:pPr>
              <w:pStyle w:val="Tablewriting"/>
              <w:keepNext/>
              <w:rPr>
                <w:rFonts w:eastAsia="MS Mincho"/>
                <w:u w:val="single"/>
              </w:rPr>
            </w:pPr>
            <w:r w:rsidRPr="00F149C3">
              <w:rPr>
                <w:rFonts w:eastAsia="MS Mincho"/>
                <w:u w:val="single"/>
              </w:rPr>
              <w:t>Bupropion versus other NRT</w:t>
            </w:r>
          </w:p>
          <w:p w14:paraId="0B48B66F" w14:textId="6C0D9199" w:rsidR="005B3D9A" w:rsidRPr="004B359D" w:rsidRDefault="00F149C3" w:rsidP="00ED12CB">
            <w:pPr>
              <w:pStyle w:val="Tablewriting"/>
              <w:keepNext/>
              <w:rPr>
                <w:rFonts w:eastAsia="MS Mincho"/>
                <w:highlight w:val="yellow"/>
              </w:rPr>
            </w:pPr>
            <w:r w:rsidRPr="00F149C3">
              <w:rPr>
                <w:rFonts w:eastAsia="MS Mincho"/>
              </w:rPr>
              <w:t>2 RCTs</w:t>
            </w:r>
          </w:p>
        </w:tc>
        <w:tc>
          <w:tcPr>
            <w:tcW w:w="607" w:type="pct"/>
            <w:tcMar>
              <w:left w:w="28" w:type="dxa"/>
              <w:right w:w="28" w:type="dxa"/>
            </w:tcMar>
          </w:tcPr>
          <w:p w14:paraId="25AF5C95" w14:textId="70E9C829" w:rsidR="006703CA" w:rsidRPr="00190685" w:rsidRDefault="006703CA" w:rsidP="00E93413">
            <w:pPr>
              <w:pStyle w:val="Tablewriting"/>
              <w:keepNext/>
              <w:rPr>
                <w:rFonts w:eastAsia="MS Mincho"/>
              </w:rPr>
            </w:pPr>
            <w:r w:rsidRPr="002C19B4">
              <w:rPr>
                <w:rFonts w:eastAsia="MS Mincho"/>
                <w:u w:val="single"/>
              </w:rPr>
              <w:t>Inclusion</w:t>
            </w:r>
            <w:r>
              <w:rPr>
                <w:rFonts w:eastAsia="MS Mincho"/>
              </w:rPr>
              <w:t>:</w:t>
            </w:r>
            <w:r w:rsidR="00307795">
              <w:rPr>
                <w:rFonts w:eastAsia="MS Mincho"/>
              </w:rPr>
              <w:t xml:space="preserve"> all participants covered by the pharmacotherapy-based (primary) reviews,</w:t>
            </w:r>
            <w:r>
              <w:rPr>
                <w:rFonts w:eastAsia="MS Mincho"/>
              </w:rPr>
              <w:t xml:space="preserve"> </w:t>
            </w:r>
            <w:r w:rsidR="00066770" w:rsidRPr="00066770">
              <w:rPr>
                <w:rFonts w:eastAsia="MS Mincho"/>
              </w:rPr>
              <w:t>adult smokers, of either gender, and of any nationality</w:t>
            </w:r>
            <w:r w:rsidR="00066770">
              <w:rPr>
                <w:rFonts w:eastAsia="MS Mincho"/>
              </w:rPr>
              <w:t xml:space="preserve"> </w:t>
            </w:r>
            <w:r w:rsidR="00066770" w:rsidRPr="00066770">
              <w:rPr>
                <w:rFonts w:eastAsia="MS Mincho"/>
              </w:rPr>
              <w:t>and ethnicity.</w:t>
            </w:r>
          </w:p>
        </w:tc>
        <w:tc>
          <w:tcPr>
            <w:tcW w:w="1568" w:type="pct"/>
          </w:tcPr>
          <w:p w14:paraId="60BE56B7" w14:textId="43EE71AA" w:rsidR="006703CA" w:rsidRPr="004B359D" w:rsidRDefault="00F60DF2" w:rsidP="00D5274D">
            <w:pPr>
              <w:pStyle w:val="Tablewriting"/>
              <w:keepNext/>
              <w:rPr>
                <w:rFonts w:eastAsia="MS Mincho"/>
                <w:highlight w:val="yellow"/>
              </w:rPr>
            </w:pPr>
            <w:r w:rsidRPr="00E574B7">
              <w:rPr>
                <w:rFonts w:eastAsia="MS Mincho"/>
              </w:rPr>
              <w:t>Smoking cessation interventions</w:t>
            </w:r>
            <w:r w:rsidR="00044A5D" w:rsidRPr="00E574B7">
              <w:rPr>
                <w:rFonts w:eastAsia="MS Mincho"/>
              </w:rPr>
              <w:t xml:space="preserve">, including NRT, varenicline and bupropion. </w:t>
            </w:r>
            <w:r w:rsidR="00E574B7" w:rsidRPr="00E574B7">
              <w:rPr>
                <w:rFonts w:eastAsia="MS Mincho"/>
              </w:rPr>
              <w:t>These interventions may be delivered as monotherapies or in combination.</w:t>
            </w:r>
          </w:p>
        </w:tc>
        <w:tc>
          <w:tcPr>
            <w:tcW w:w="893" w:type="pct"/>
            <w:tcMar>
              <w:left w:w="28" w:type="dxa"/>
              <w:right w:w="28" w:type="dxa"/>
            </w:tcMar>
          </w:tcPr>
          <w:p w14:paraId="011181A0" w14:textId="30966AD5" w:rsidR="006703CA" w:rsidRPr="00C324F3" w:rsidRDefault="006703CA" w:rsidP="00E93413">
            <w:pPr>
              <w:pStyle w:val="Tablewriting"/>
              <w:keepNext/>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651E7A">
              <w:rPr>
                <w:rFonts w:eastAsia="MS Mincho"/>
                <w:vertAlign w:val="superscript"/>
              </w:rPr>
              <w:t>2</w:t>
            </w:r>
            <w:r w:rsidR="00AB5FA3">
              <w:rPr>
                <w:rFonts w:eastAsia="MS Mincho"/>
              </w:rPr>
              <w:t>.</w:t>
            </w:r>
          </w:p>
          <w:p w14:paraId="17A6941F" w14:textId="158D498B" w:rsidR="006703CA" w:rsidRPr="004B359D" w:rsidRDefault="006703CA" w:rsidP="00E93413">
            <w:pPr>
              <w:pStyle w:val="Tablewriting"/>
              <w:keepNext/>
              <w:rPr>
                <w:rFonts w:eastAsia="MS Mincho"/>
                <w:highlight w:val="yellow"/>
                <w:u w:val="single"/>
              </w:rPr>
            </w:pPr>
            <w:r w:rsidRPr="0036499C">
              <w:rPr>
                <w:rFonts w:eastAsia="MS Mincho"/>
                <w:u w:val="single"/>
              </w:rPr>
              <w:t>Secondary</w:t>
            </w:r>
            <w:r>
              <w:rPr>
                <w:rFonts w:eastAsia="MS Mincho"/>
              </w:rPr>
              <w:t xml:space="preserve">: </w:t>
            </w:r>
            <w:r w:rsidR="0059378F">
              <w:rPr>
                <w:rFonts w:eastAsia="MS Mincho"/>
              </w:rPr>
              <w:t>reduction of withdrawal symptoms, reduction of craving</w:t>
            </w:r>
            <w:r w:rsidR="00572561">
              <w:rPr>
                <w:rFonts w:eastAsia="MS Mincho"/>
              </w:rPr>
              <w:t>, safety including adverse events</w:t>
            </w:r>
            <w:r w:rsidR="00AB5FA3">
              <w:rPr>
                <w:rFonts w:eastAsia="MS Mincho"/>
              </w:rPr>
              <w:t>.</w:t>
            </w:r>
          </w:p>
        </w:tc>
      </w:tr>
      <w:tr w:rsidR="00A72D78" w:rsidRPr="00061F78" w14:paraId="056979FC" w14:textId="77777777" w:rsidTr="006C01A1">
        <w:trPr>
          <w:trHeight w:val="149"/>
        </w:trPr>
        <w:tc>
          <w:tcPr>
            <w:tcW w:w="364" w:type="pct"/>
            <w:tcMar>
              <w:left w:w="28" w:type="dxa"/>
              <w:right w:w="28" w:type="dxa"/>
            </w:tcMar>
          </w:tcPr>
          <w:p w14:paraId="679B61BF" w14:textId="77777777" w:rsidR="00A72D78" w:rsidRDefault="00A72D78" w:rsidP="00A72D78">
            <w:pPr>
              <w:pStyle w:val="Tablewriting"/>
              <w:keepNext/>
              <w:rPr>
                <w:rFonts w:eastAsia="MS Mincho"/>
              </w:rPr>
            </w:pPr>
            <w:r>
              <w:rPr>
                <w:rFonts w:eastAsia="MS Mincho"/>
              </w:rPr>
              <w:t>Chen</w:t>
            </w:r>
          </w:p>
          <w:p w14:paraId="505A7129" w14:textId="27EFAE09" w:rsidR="00A72D78" w:rsidRDefault="00A72D78" w:rsidP="00A72D78">
            <w:pPr>
              <w:pStyle w:val="Tablewriting"/>
              <w:keepNext/>
              <w:rPr>
                <w:rFonts w:eastAsia="MS Mincho"/>
              </w:rPr>
            </w:pPr>
            <w:r>
              <w:rPr>
                <w:rFonts w:eastAsia="MS Mincho"/>
              </w:rPr>
              <w:t>(2020)</w:t>
            </w:r>
          </w:p>
        </w:tc>
        <w:tc>
          <w:tcPr>
            <w:tcW w:w="354" w:type="pct"/>
          </w:tcPr>
          <w:p w14:paraId="38B41A1F" w14:textId="7E831C3D" w:rsidR="00A72D78" w:rsidRDefault="00436917" w:rsidP="00E93413">
            <w:pPr>
              <w:pStyle w:val="Tablewriting"/>
              <w:keepNext/>
              <w:rPr>
                <w:rFonts w:eastAsia="MS Mincho"/>
              </w:rPr>
            </w:pPr>
            <w:r>
              <w:rPr>
                <w:rFonts w:eastAsia="MS Mincho"/>
              </w:rPr>
              <w:t>RCT</w:t>
            </w:r>
          </w:p>
        </w:tc>
        <w:tc>
          <w:tcPr>
            <w:tcW w:w="1214" w:type="pct"/>
            <w:tcMar>
              <w:left w:w="28" w:type="dxa"/>
              <w:right w:w="28" w:type="dxa"/>
            </w:tcMar>
          </w:tcPr>
          <w:p w14:paraId="4C07C743" w14:textId="31AB66F3" w:rsidR="00FD4436" w:rsidRDefault="00FD4436" w:rsidP="00FD4436">
            <w:pPr>
              <w:pStyle w:val="Tablewriting"/>
              <w:keepNext/>
              <w:rPr>
                <w:rFonts w:eastAsia="MS Mincho"/>
              </w:rPr>
            </w:pPr>
            <w:r>
              <w:rPr>
                <w:rFonts w:eastAsia="MS Mincho"/>
              </w:rPr>
              <w:t>N=822</w:t>
            </w:r>
          </w:p>
          <w:p w14:paraId="6A32C4CF" w14:textId="6A3A0E51" w:rsidR="00FD14A4" w:rsidRDefault="00FD14A4" w:rsidP="00FD4436">
            <w:pPr>
              <w:pStyle w:val="Tablewriting"/>
              <w:keepNext/>
              <w:rPr>
                <w:rFonts w:eastAsia="MS Mincho"/>
              </w:rPr>
            </w:pPr>
            <w:r>
              <w:rPr>
                <w:rFonts w:eastAsia="MS Mincho"/>
              </w:rPr>
              <w:t>Combination NRT (n=275),</w:t>
            </w:r>
          </w:p>
          <w:p w14:paraId="705AE423" w14:textId="1899F30B" w:rsidR="00A72D78" w:rsidRDefault="00FD4436" w:rsidP="00E93413">
            <w:pPr>
              <w:pStyle w:val="Tablewriting"/>
              <w:keepNext/>
              <w:rPr>
                <w:rFonts w:eastAsia="MS Mincho"/>
                <w:u w:val="single"/>
              </w:rPr>
            </w:pPr>
            <w:r>
              <w:rPr>
                <w:rFonts w:eastAsia="MS Mincho"/>
              </w:rPr>
              <w:t>Varenicline (n=274)</w:t>
            </w:r>
          </w:p>
        </w:tc>
        <w:tc>
          <w:tcPr>
            <w:tcW w:w="607" w:type="pct"/>
            <w:tcMar>
              <w:left w:w="28" w:type="dxa"/>
              <w:right w:w="28" w:type="dxa"/>
            </w:tcMar>
          </w:tcPr>
          <w:p w14:paraId="69EEFA7D" w14:textId="084B4536" w:rsidR="00A72D78" w:rsidRPr="001F7755" w:rsidRDefault="001F7755" w:rsidP="00E93413">
            <w:pPr>
              <w:pStyle w:val="Tablewriting"/>
              <w:keepNext/>
              <w:rPr>
                <w:rFonts w:eastAsia="MS Mincho"/>
              </w:rPr>
            </w:pPr>
            <w:r w:rsidRPr="00A20F00">
              <w:rPr>
                <w:rFonts w:eastAsia="MS Mincho"/>
              </w:rPr>
              <w:t xml:space="preserve">See </w:t>
            </w:r>
            <w:r w:rsidR="00A20F00">
              <w:rPr>
                <w:rFonts w:eastAsia="MS Mincho"/>
              </w:rPr>
              <w:fldChar w:fldCharType="begin" w:fldLock="1"/>
            </w:r>
            <w:r w:rsidR="00A20F00">
              <w:rPr>
                <w:rFonts w:eastAsia="MS Mincho"/>
              </w:rPr>
              <w:instrText xml:space="preserve"> REF _Ref55292641 \h </w:instrText>
            </w:r>
            <w:r w:rsidR="00A20F00">
              <w:rPr>
                <w:rFonts w:eastAsia="MS Mincho"/>
              </w:rPr>
            </w:r>
            <w:r w:rsidR="00A20F00">
              <w:rPr>
                <w:rFonts w:eastAsia="MS Mincho"/>
              </w:rPr>
              <w:fldChar w:fldCharType="separate"/>
            </w:r>
            <w:r w:rsidR="00EC5CC7">
              <w:t xml:space="preserve">Table </w:t>
            </w:r>
            <w:r w:rsidR="00EC5CC7">
              <w:rPr>
                <w:noProof/>
              </w:rPr>
              <w:t>55</w:t>
            </w:r>
            <w:r w:rsidR="00A20F00">
              <w:rPr>
                <w:rFonts w:eastAsia="MS Mincho"/>
              </w:rPr>
              <w:fldChar w:fldCharType="end"/>
            </w:r>
            <w:r w:rsidRPr="00A20F00">
              <w:rPr>
                <w:rFonts w:eastAsia="MS Mincho"/>
              </w:rPr>
              <w:t xml:space="preserve"> for inclusion and exclusion criteria of this study</w:t>
            </w:r>
            <w:r w:rsidR="00AB5FA3">
              <w:rPr>
                <w:rFonts w:eastAsia="MS Mincho"/>
              </w:rPr>
              <w:t>.</w:t>
            </w:r>
          </w:p>
        </w:tc>
        <w:tc>
          <w:tcPr>
            <w:tcW w:w="1568" w:type="pct"/>
          </w:tcPr>
          <w:p w14:paraId="423E2108" w14:textId="1A9CEEFB" w:rsidR="00A72D78" w:rsidRDefault="004623BD" w:rsidP="00D5274D">
            <w:pPr>
              <w:pStyle w:val="Tablewriting"/>
              <w:keepNext/>
              <w:rPr>
                <w:rFonts w:eastAsia="MS Mincho"/>
              </w:rPr>
            </w:pPr>
            <w:r>
              <w:rPr>
                <w:rFonts w:eastAsia="MS Mincho"/>
              </w:rPr>
              <w:t>NRT:</w:t>
            </w:r>
            <w:r w:rsidR="00CD358E">
              <w:t xml:space="preserve"> </w:t>
            </w:r>
            <w:r w:rsidR="00CD358E" w:rsidRPr="00CD358E">
              <w:rPr>
                <w:rFonts w:eastAsia="MS Mincho"/>
              </w:rPr>
              <w:t>12 weeks of patches (21 mg for 8 weeks, 14 mg for 2 weeks, and 7 mg for 2 weeks) as well as 13 weeks of nicotine lozenges for use as needed (4 mg for those who smoke within 30 min of awaking and 2 mg otherwise</w:t>
            </w:r>
            <w:r w:rsidR="00BE37DB">
              <w:rPr>
                <w:rFonts w:eastAsia="MS Mincho"/>
              </w:rPr>
              <w:t xml:space="preserve">; </w:t>
            </w:r>
            <w:r w:rsidR="00831FF8">
              <w:rPr>
                <w:rFonts w:eastAsia="MS Mincho"/>
              </w:rPr>
              <w:t>Varenicline</w:t>
            </w:r>
            <w:r w:rsidR="00831FF8" w:rsidRPr="00A34E7B">
              <w:rPr>
                <w:rFonts w:eastAsia="MS Mincho"/>
              </w:rPr>
              <w:t xml:space="preserve">: </w:t>
            </w:r>
            <w:r w:rsidR="00831FF8" w:rsidRPr="00372F18">
              <w:rPr>
                <w:rFonts w:eastAsia="MS Mincho"/>
              </w:rPr>
              <w:t>1</w:t>
            </w:r>
            <w:r w:rsidR="00253D5E">
              <w:rPr>
                <w:rFonts w:eastAsia="MS Mincho"/>
              </w:rPr>
              <w:t xml:space="preserve"> </w:t>
            </w:r>
            <w:r w:rsidR="00831FF8" w:rsidRPr="00372F18">
              <w:rPr>
                <w:rFonts w:eastAsia="MS Mincho"/>
              </w:rPr>
              <w:t>mg twice daily titrated</w:t>
            </w:r>
            <w:r w:rsidR="00831FF8">
              <w:rPr>
                <w:rFonts w:eastAsia="MS Mincho"/>
              </w:rPr>
              <w:t xml:space="preserve"> over 12 weeks</w:t>
            </w:r>
            <w:r w:rsidR="00831FF8" w:rsidRPr="00372F18">
              <w:rPr>
                <w:rFonts w:eastAsia="MS Mincho"/>
              </w:rPr>
              <w:t xml:space="preserve"> (</w:t>
            </w:r>
            <w:r w:rsidR="00826C95" w:rsidRPr="00372F18">
              <w:rPr>
                <w:rFonts w:eastAsia="MS Mincho"/>
              </w:rPr>
              <w:t>i</w:t>
            </w:r>
            <w:r w:rsidR="00826C95">
              <w:rPr>
                <w:rFonts w:eastAsia="MS Mincho"/>
              </w:rPr>
              <w:t>.</w:t>
            </w:r>
            <w:r w:rsidR="00826C95" w:rsidRPr="00372F18">
              <w:rPr>
                <w:rFonts w:eastAsia="MS Mincho"/>
              </w:rPr>
              <w:t>e</w:t>
            </w:r>
            <w:r w:rsidR="00826C95">
              <w:rPr>
                <w:rFonts w:eastAsia="MS Mincho"/>
              </w:rPr>
              <w:t>.,</w:t>
            </w:r>
            <w:r w:rsidR="00831FF8" w:rsidRPr="00372F18">
              <w:rPr>
                <w:rFonts w:eastAsia="MS Mincho"/>
              </w:rPr>
              <w:t xml:space="preserve"> 0.5</w:t>
            </w:r>
            <w:r w:rsidR="00253D5E">
              <w:rPr>
                <w:rFonts w:eastAsia="MS Mincho"/>
              </w:rPr>
              <w:t xml:space="preserve"> </w:t>
            </w:r>
            <w:r w:rsidR="00831FF8" w:rsidRPr="00372F18">
              <w:rPr>
                <w:rFonts w:eastAsia="MS Mincho"/>
              </w:rPr>
              <w:t>mg once</w:t>
            </w:r>
            <w:r w:rsidR="00831FF8">
              <w:rPr>
                <w:rFonts w:eastAsia="MS Mincho"/>
              </w:rPr>
              <w:t xml:space="preserve"> </w:t>
            </w:r>
            <w:r w:rsidR="00831FF8" w:rsidRPr="00372F18">
              <w:rPr>
                <w:rFonts w:eastAsia="MS Mincho"/>
              </w:rPr>
              <w:t>daily for 3 days, then 0.5</w:t>
            </w:r>
            <w:r w:rsidR="00253D5E">
              <w:rPr>
                <w:rFonts w:eastAsia="MS Mincho"/>
              </w:rPr>
              <w:t xml:space="preserve"> </w:t>
            </w:r>
            <w:r w:rsidR="00831FF8" w:rsidRPr="00372F18">
              <w:rPr>
                <w:rFonts w:eastAsia="MS Mincho"/>
              </w:rPr>
              <w:t>mg twice daily for 4 days, then 1</w:t>
            </w:r>
            <w:r w:rsidR="00253D5E">
              <w:rPr>
                <w:rFonts w:eastAsia="MS Mincho"/>
              </w:rPr>
              <w:t xml:space="preserve"> </w:t>
            </w:r>
            <w:r w:rsidR="00831FF8" w:rsidRPr="00372F18">
              <w:rPr>
                <w:rFonts w:eastAsia="MS Mincho"/>
              </w:rPr>
              <w:t>mg twice daily)</w:t>
            </w:r>
            <w:r w:rsidR="00AB5FA3">
              <w:rPr>
                <w:rFonts w:eastAsia="MS Mincho"/>
              </w:rPr>
              <w:t>.</w:t>
            </w:r>
          </w:p>
          <w:p w14:paraId="0F4E5C46" w14:textId="77777777" w:rsidR="006C01A1" w:rsidRDefault="006C01A1" w:rsidP="00D5274D">
            <w:pPr>
              <w:pStyle w:val="Tablewriting"/>
              <w:keepNext/>
              <w:rPr>
                <w:rFonts w:eastAsia="MS Mincho"/>
              </w:rPr>
            </w:pPr>
          </w:p>
          <w:p w14:paraId="100C7D48" w14:textId="744D20F8" w:rsidR="006C01A1" w:rsidRPr="00E574B7" w:rsidRDefault="006C01A1" w:rsidP="00D5274D">
            <w:pPr>
              <w:pStyle w:val="Tablewriting"/>
              <w:keepNext/>
              <w:rPr>
                <w:rFonts w:eastAsia="MS Mincho"/>
              </w:rPr>
            </w:pPr>
            <w:r w:rsidRPr="006C01A1">
              <w:rPr>
                <w:rFonts w:eastAsia="MS Mincho"/>
              </w:rPr>
              <w:t>Behavioural support provided in both arms.</w:t>
            </w:r>
          </w:p>
        </w:tc>
        <w:tc>
          <w:tcPr>
            <w:tcW w:w="893" w:type="pct"/>
            <w:tcMar>
              <w:left w:w="28" w:type="dxa"/>
              <w:right w:w="28" w:type="dxa"/>
            </w:tcMar>
          </w:tcPr>
          <w:p w14:paraId="23035785" w14:textId="44B242FB" w:rsidR="00F37296" w:rsidRDefault="00F37296" w:rsidP="00F37296">
            <w:pPr>
              <w:pStyle w:val="Tablewriting"/>
              <w:keepNext/>
              <w:rPr>
                <w:rFonts w:eastAsia="MS Mincho"/>
              </w:rPr>
            </w:pPr>
            <w:r w:rsidRPr="0036499C">
              <w:rPr>
                <w:rFonts w:eastAsia="MS Mincho"/>
                <w:u w:val="single"/>
              </w:rPr>
              <w:t>Primary</w:t>
            </w:r>
            <w:r>
              <w:rPr>
                <w:rFonts w:eastAsia="MS Mincho"/>
              </w:rPr>
              <w:t xml:space="preserve">: </w:t>
            </w:r>
            <w:r w:rsidR="00DD576B">
              <w:rPr>
                <w:rFonts w:eastAsia="MS Mincho"/>
              </w:rPr>
              <w:t>7-day PPA</w:t>
            </w:r>
            <w:r w:rsidR="004C12A9">
              <w:rPr>
                <w:rFonts w:eastAsia="MS Mincho"/>
              </w:rPr>
              <w:t xml:space="preserve"> at </w:t>
            </w:r>
            <w:r w:rsidR="00D562FA">
              <w:rPr>
                <w:rFonts w:eastAsia="MS Mincho"/>
              </w:rPr>
              <w:t>w</w:t>
            </w:r>
            <w:r w:rsidR="004C12A9">
              <w:rPr>
                <w:rFonts w:eastAsia="MS Mincho"/>
              </w:rPr>
              <w:t>eek 12</w:t>
            </w:r>
            <w:r w:rsidR="000C5FB0">
              <w:rPr>
                <w:rFonts w:eastAsia="MS Mincho"/>
              </w:rPr>
              <w:t>. Validated by CO &lt;8</w:t>
            </w:r>
            <w:r w:rsidR="00253D5E">
              <w:rPr>
                <w:rFonts w:eastAsia="MS Mincho"/>
              </w:rPr>
              <w:t xml:space="preserve"> </w:t>
            </w:r>
            <w:r w:rsidR="000C5FB0">
              <w:rPr>
                <w:rFonts w:eastAsia="MS Mincho"/>
              </w:rPr>
              <w:t>ppm.</w:t>
            </w:r>
          </w:p>
          <w:p w14:paraId="4A2EEDE6" w14:textId="684B1D01" w:rsidR="00A72D78" w:rsidRPr="0036499C" w:rsidRDefault="00F37296" w:rsidP="00E93413">
            <w:pPr>
              <w:pStyle w:val="Tablewriting"/>
              <w:keepNext/>
              <w:rPr>
                <w:rFonts w:eastAsia="MS Mincho"/>
                <w:u w:val="single"/>
              </w:rPr>
            </w:pPr>
            <w:r w:rsidRPr="0036499C">
              <w:rPr>
                <w:rFonts w:eastAsia="MS Mincho"/>
                <w:u w:val="single"/>
              </w:rPr>
              <w:t>Secondary</w:t>
            </w:r>
            <w:r>
              <w:rPr>
                <w:rFonts w:eastAsia="MS Mincho"/>
              </w:rPr>
              <w:t xml:space="preserve">: </w:t>
            </w:r>
            <w:r w:rsidR="00335925">
              <w:rPr>
                <w:rFonts w:eastAsia="MS Mincho"/>
              </w:rPr>
              <w:t xml:space="preserve">7-day PPA at 6 </w:t>
            </w:r>
            <w:r w:rsidR="00ED2F96">
              <w:rPr>
                <w:rFonts w:eastAsia="MS Mincho"/>
              </w:rPr>
              <w:t>(CO-validated)</w:t>
            </w:r>
            <w:r w:rsidR="00335925">
              <w:rPr>
                <w:rFonts w:eastAsia="MS Mincho"/>
              </w:rPr>
              <w:t xml:space="preserve"> </w:t>
            </w:r>
            <w:r w:rsidR="000F0654">
              <w:rPr>
                <w:rFonts w:eastAsia="MS Mincho"/>
              </w:rPr>
              <w:t>and 12 months</w:t>
            </w:r>
            <w:r w:rsidR="00ED2F96">
              <w:rPr>
                <w:rFonts w:eastAsia="MS Mincho"/>
              </w:rPr>
              <w:t xml:space="preserve"> (self-report)</w:t>
            </w:r>
            <w:r w:rsidR="000F0654">
              <w:rPr>
                <w:rFonts w:eastAsia="MS Mincho"/>
              </w:rPr>
              <w:t xml:space="preserve">, </w:t>
            </w:r>
            <w:r w:rsidR="00341504">
              <w:rPr>
                <w:rFonts w:eastAsia="MS Mincho"/>
              </w:rPr>
              <w:t>adverse events, adherence</w:t>
            </w:r>
            <w:r w:rsidR="00AB5FA3">
              <w:rPr>
                <w:rFonts w:eastAsia="MS Mincho"/>
              </w:rPr>
              <w:t>.</w:t>
            </w:r>
          </w:p>
        </w:tc>
      </w:tr>
    </w:tbl>
    <w:p w14:paraId="6E6CDC8D" w14:textId="749D8CC3" w:rsidR="0036590A" w:rsidRDefault="00572561" w:rsidP="00D44ACF">
      <w:pPr>
        <w:pStyle w:val="TableFooter"/>
        <w:keepNext/>
        <w:jc w:val="both"/>
      </w:pPr>
      <w:r>
        <w:t xml:space="preserve">Abbreviations: </w:t>
      </w:r>
      <w:r w:rsidR="00A06BB8">
        <w:t xml:space="preserve">CO = carbon monoxide; </w:t>
      </w:r>
      <w:r w:rsidR="004A489C">
        <w:t xml:space="preserve">NMA = network meta-analysis; </w:t>
      </w:r>
      <w:r>
        <w:t xml:space="preserve">NRT = nicotine replacement therapy; </w:t>
      </w:r>
      <w:r w:rsidR="001D4627">
        <w:t xml:space="preserve">PPA = point prevalence abstinence; </w:t>
      </w:r>
      <w:r>
        <w:t>RCT = randomised controlled trial</w:t>
      </w:r>
    </w:p>
    <w:p w14:paraId="433EA9B4" w14:textId="20CD0FDC" w:rsidR="00651E7A" w:rsidRDefault="0036590A" w:rsidP="00D44ACF">
      <w:pPr>
        <w:pStyle w:val="TableFooter"/>
        <w:keepNext/>
        <w:jc w:val="both"/>
      </w:pPr>
      <w:r>
        <w:t>1 Only the number of patients (n) in the relevant arms were included</w:t>
      </w:r>
      <w:r w:rsidR="00AB5FA3">
        <w:t>.</w:t>
      </w:r>
    </w:p>
    <w:p w14:paraId="6155FB84" w14:textId="3E274991" w:rsidR="0036590A" w:rsidRDefault="00651E7A" w:rsidP="00D44ACF">
      <w:pPr>
        <w:pStyle w:val="TableFooter"/>
        <w:keepNext/>
        <w:jc w:val="both"/>
      </w:pPr>
      <w:r>
        <w:t xml:space="preserve">2 </w:t>
      </w:r>
      <w:r w:rsidRPr="00651E7A">
        <w:t>Where cessation was assessed at multiple intervals, the longest follow-up data were used. Where multiple definitions of abstinence were assessed, the strictest of these definitions was used (</w:t>
      </w:r>
      <w:r w:rsidR="00826C95" w:rsidRPr="00651E7A">
        <w:t>e.g.,</w:t>
      </w:r>
      <w:r w:rsidRPr="00651E7A">
        <w:t xml:space="preserve"> continuous/prolonged abstinence over point prevalence abstinence)</w:t>
      </w:r>
      <w:r w:rsidR="00826C95" w:rsidRPr="00651E7A">
        <w:t xml:space="preserve">. </w:t>
      </w:r>
    </w:p>
    <w:p w14:paraId="624CB065" w14:textId="77777777" w:rsidR="006A71BA" w:rsidRDefault="006A71BA" w:rsidP="00C57190">
      <w:pPr>
        <w:rPr>
          <w:u w:val="single"/>
        </w:rPr>
        <w:sectPr w:rsidR="006A71BA" w:rsidSect="006A71BA">
          <w:pgSz w:w="16838" w:h="11906" w:orient="landscape"/>
          <w:pgMar w:top="1440" w:right="1440" w:bottom="1440" w:left="1440" w:header="708" w:footer="708" w:gutter="0"/>
          <w:cols w:space="708"/>
          <w:titlePg/>
          <w:docGrid w:linePitch="360"/>
        </w:sectPr>
      </w:pPr>
    </w:p>
    <w:p w14:paraId="64A51D1E" w14:textId="56369378" w:rsidR="000969AC" w:rsidRPr="000969AC" w:rsidRDefault="000969AC" w:rsidP="00D44ACF">
      <w:pPr>
        <w:spacing w:after="120"/>
        <w:jc w:val="both"/>
        <w:rPr>
          <w:b/>
          <w:bCs/>
        </w:rPr>
      </w:pPr>
      <w:r w:rsidRPr="000969AC">
        <w:rPr>
          <w:b/>
          <w:bCs/>
        </w:rPr>
        <w:lastRenderedPageBreak/>
        <w:t xml:space="preserve">Primary evidence </w:t>
      </w:r>
      <w:r w:rsidR="00986D2E">
        <w:rPr>
          <w:b/>
          <w:bCs/>
        </w:rPr>
        <w:t>(</w:t>
      </w:r>
      <w:r w:rsidRPr="000969AC">
        <w:rPr>
          <w:b/>
          <w:bCs/>
        </w:rPr>
        <w:t>Chen et al. 2020</w:t>
      </w:r>
      <w:r w:rsidR="00986D2E">
        <w:rPr>
          <w:b/>
          <w:bCs/>
        </w:rPr>
        <w:t>) – combination NRT versus varenicline</w:t>
      </w:r>
    </w:p>
    <w:p w14:paraId="0B19313F" w14:textId="10A650EC" w:rsidR="00C57190" w:rsidRDefault="00C57190" w:rsidP="00D44ACF">
      <w:pPr>
        <w:spacing w:after="120"/>
        <w:jc w:val="both"/>
        <w:rPr>
          <w:u w:val="single"/>
        </w:rPr>
      </w:pPr>
      <w:r w:rsidRPr="009C79C3">
        <w:rPr>
          <w:u w:val="single"/>
        </w:rPr>
        <w:t>Efficacy</w:t>
      </w:r>
      <w:r w:rsidR="00436917">
        <w:rPr>
          <w:u w:val="single"/>
        </w:rPr>
        <w:t xml:space="preserve"> – combination NRT versus varenicline</w:t>
      </w:r>
    </w:p>
    <w:p w14:paraId="144DCD6F" w14:textId="2A99C795" w:rsidR="001270AE" w:rsidRPr="000932FC" w:rsidRDefault="001270AE" w:rsidP="00D44ACF">
      <w:pPr>
        <w:spacing w:after="120"/>
        <w:jc w:val="both"/>
      </w:pPr>
      <w:r w:rsidRPr="001270AE">
        <w:t xml:space="preserve">A summary of the </w:t>
      </w:r>
      <w:r w:rsidR="00F67036">
        <w:t xml:space="preserve">point prevalence abstinence </w:t>
      </w:r>
      <w:r w:rsidRPr="001270AE">
        <w:t xml:space="preserve">at </w:t>
      </w:r>
      <w:r w:rsidR="00C156C8">
        <w:t>six</w:t>
      </w:r>
      <w:r w:rsidRPr="001270AE">
        <w:t xml:space="preserve"> months </w:t>
      </w:r>
      <w:r w:rsidR="00071A0F">
        <w:t>comparing combination NRT</w:t>
      </w:r>
      <w:r w:rsidR="007571C6">
        <w:t xml:space="preserve"> (NRT patch plus lozenge)</w:t>
      </w:r>
      <w:r w:rsidR="00071A0F">
        <w:t xml:space="preserve"> with varenicline </w:t>
      </w:r>
      <w:r w:rsidR="000944A0">
        <w:t>in</w:t>
      </w:r>
      <w:r w:rsidR="00B04BF6">
        <w:t xml:space="preserve"> Chen et al. (2020) </w:t>
      </w:r>
      <w:r w:rsidRPr="001270AE">
        <w:t xml:space="preserve">is presented in </w:t>
      </w:r>
      <w:r w:rsidR="00B04BF6">
        <w:fldChar w:fldCharType="begin" w:fldLock="1"/>
      </w:r>
      <w:r w:rsidR="00B04BF6">
        <w:instrText xml:space="preserve"> REF _Ref55381040 \h </w:instrText>
      </w:r>
      <w:r w:rsidR="00B04BF6">
        <w:fldChar w:fldCharType="separate"/>
      </w:r>
      <w:r w:rsidR="00EC5CC7">
        <w:t xml:space="preserve">Table </w:t>
      </w:r>
      <w:r w:rsidR="00EC5CC7">
        <w:rPr>
          <w:noProof/>
        </w:rPr>
        <w:t>64</w:t>
      </w:r>
      <w:r w:rsidR="00B04BF6">
        <w:fldChar w:fldCharType="end"/>
      </w:r>
      <w:r w:rsidRPr="001270AE">
        <w:t xml:space="preserve">. The results demonstrated a statistically significant difference in </w:t>
      </w:r>
      <w:r w:rsidR="0059148F">
        <w:t>point prevalence</w:t>
      </w:r>
      <w:r w:rsidRPr="001270AE">
        <w:t xml:space="preserve"> abstinence between the two treatment arms, in favour of </w:t>
      </w:r>
      <w:r w:rsidR="00E10815">
        <w:t>varenicline</w:t>
      </w:r>
      <w:r w:rsidRPr="001270AE">
        <w:t>.</w:t>
      </w:r>
    </w:p>
    <w:p w14:paraId="47CA4883" w14:textId="77724268" w:rsidR="005B2FD8" w:rsidRDefault="005B2FD8" w:rsidP="00D44ACF">
      <w:pPr>
        <w:pStyle w:val="Caption"/>
        <w:keepNext/>
        <w:spacing w:before="0" w:after="120"/>
        <w:jc w:val="both"/>
      </w:pPr>
      <w:bookmarkStart w:id="122" w:name="_Ref55381040"/>
      <w:r>
        <w:t xml:space="preserve">Table </w:t>
      </w:r>
      <w:r w:rsidR="00BF3F75">
        <w:fldChar w:fldCharType="begin"/>
      </w:r>
      <w:r w:rsidR="00BF3F75">
        <w:instrText xml:space="preserve"> SEQ Table \* ARABIC </w:instrText>
      </w:r>
      <w:r w:rsidR="00BF3F75">
        <w:fldChar w:fldCharType="separate"/>
      </w:r>
      <w:r w:rsidR="00EC5CC7">
        <w:rPr>
          <w:noProof/>
        </w:rPr>
        <w:t>64</w:t>
      </w:r>
      <w:r w:rsidR="00BF3F75">
        <w:rPr>
          <w:noProof/>
        </w:rPr>
        <w:fldChar w:fldCharType="end"/>
      </w:r>
      <w:bookmarkEnd w:id="122"/>
      <w:r>
        <w:t xml:space="preserve">: </w:t>
      </w:r>
      <w:r w:rsidRPr="008C2CAC">
        <w:t xml:space="preserve">Results of </w:t>
      </w:r>
      <w:r>
        <w:t xml:space="preserve">7-day point prevalence abstinence at </w:t>
      </w:r>
      <w:r w:rsidR="00BC2232">
        <w:t>six</w:t>
      </w:r>
      <w:r>
        <w:t xml:space="preserve"> months</w:t>
      </w:r>
      <w:r w:rsidRPr="008C2CAC">
        <w:t xml:space="preserve">, </w:t>
      </w:r>
      <w:r w:rsidR="001508F0">
        <w:t>combination NRT versus varenicline</w:t>
      </w:r>
    </w:p>
    <w:tbl>
      <w:tblPr>
        <w:tblStyle w:val="TableGrid"/>
        <w:tblW w:w="5000" w:type="pct"/>
        <w:tblLook w:val="04A0" w:firstRow="1" w:lastRow="0" w:firstColumn="1" w:lastColumn="0" w:noHBand="0" w:noVBand="1"/>
        <w:tblCaption w:val="Efficacy results of adalimumab trials (PASI 75 and DLQI)"/>
      </w:tblPr>
      <w:tblGrid>
        <w:gridCol w:w="1138"/>
        <w:gridCol w:w="1890"/>
        <w:gridCol w:w="1733"/>
        <w:gridCol w:w="1419"/>
        <w:gridCol w:w="1419"/>
        <w:gridCol w:w="1417"/>
      </w:tblGrid>
      <w:tr w:rsidR="007E33A3" w:rsidRPr="00061F78" w14:paraId="1B1D655A" w14:textId="77777777" w:rsidTr="00291491">
        <w:trPr>
          <w:cantSplit/>
          <w:trHeight w:val="299"/>
          <w:tblHeader/>
        </w:trPr>
        <w:tc>
          <w:tcPr>
            <w:tcW w:w="631" w:type="pct"/>
            <w:shd w:val="clear" w:color="auto" w:fill="BFBFBF" w:themeFill="background1" w:themeFillShade="BF"/>
            <w:tcMar>
              <w:left w:w="28" w:type="dxa"/>
              <w:right w:w="28" w:type="dxa"/>
            </w:tcMar>
          </w:tcPr>
          <w:p w14:paraId="284D4FC1" w14:textId="77777777" w:rsidR="007E33A3" w:rsidRPr="00061F78" w:rsidRDefault="007E33A3" w:rsidP="00291491">
            <w:pPr>
              <w:pStyle w:val="Tableheading"/>
              <w:rPr>
                <w:rFonts w:eastAsia="MS Mincho"/>
              </w:rPr>
            </w:pPr>
            <w:r>
              <w:rPr>
                <w:rFonts w:eastAsia="MS Mincho"/>
              </w:rPr>
              <w:t>Study</w:t>
            </w:r>
          </w:p>
        </w:tc>
        <w:tc>
          <w:tcPr>
            <w:tcW w:w="1048" w:type="pct"/>
            <w:shd w:val="clear" w:color="auto" w:fill="BFBFBF" w:themeFill="background1" w:themeFillShade="BF"/>
            <w:vAlign w:val="center"/>
          </w:tcPr>
          <w:p w14:paraId="38F966F8" w14:textId="77777777" w:rsidR="007E33A3" w:rsidRDefault="007E33A3" w:rsidP="00291491">
            <w:pPr>
              <w:pStyle w:val="Tableheading"/>
              <w:jc w:val="center"/>
              <w:rPr>
                <w:rFonts w:eastAsia="MS Mincho"/>
              </w:rPr>
            </w:pPr>
            <w:r>
              <w:rPr>
                <w:rFonts w:eastAsia="MS Mincho"/>
              </w:rPr>
              <w:t>Study type</w:t>
            </w:r>
          </w:p>
        </w:tc>
        <w:tc>
          <w:tcPr>
            <w:tcW w:w="961" w:type="pct"/>
            <w:shd w:val="clear" w:color="auto" w:fill="BFBFBF" w:themeFill="background1" w:themeFillShade="BF"/>
            <w:tcMar>
              <w:left w:w="28" w:type="dxa"/>
              <w:right w:w="28" w:type="dxa"/>
            </w:tcMar>
            <w:vAlign w:val="center"/>
          </w:tcPr>
          <w:p w14:paraId="72633949" w14:textId="77777777" w:rsidR="007E33A3" w:rsidRDefault="007E33A3" w:rsidP="00291491">
            <w:pPr>
              <w:pStyle w:val="Tableheading"/>
              <w:jc w:val="center"/>
              <w:rPr>
                <w:rFonts w:eastAsia="MS Mincho"/>
              </w:rPr>
            </w:pPr>
            <w:r>
              <w:rPr>
                <w:rFonts w:eastAsia="MS Mincho"/>
              </w:rPr>
              <w:t>Combination NRT</w:t>
            </w:r>
          </w:p>
          <w:p w14:paraId="52F0195A" w14:textId="27FB04CB" w:rsidR="007571C6" w:rsidRPr="00061F78" w:rsidRDefault="00092FA8" w:rsidP="00291491">
            <w:pPr>
              <w:pStyle w:val="Tableheading"/>
              <w:jc w:val="center"/>
              <w:rPr>
                <w:rFonts w:eastAsia="MS Mincho"/>
              </w:rPr>
            </w:pPr>
            <w:r>
              <w:rPr>
                <w:rFonts w:eastAsia="MS Mincho"/>
              </w:rPr>
              <w:t>(patch + lozenge)</w:t>
            </w:r>
          </w:p>
        </w:tc>
        <w:tc>
          <w:tcPr>
            <w:tcW w:w="787" w:type="pct"/>
            <w:shd w:val="clear" w:color="auto" w:fill="BFBFBF" w:themeFill="background1" w:themeFillShade="BF"/>
            <w:tcMar>
              <w:left w:w="28" w:type="dxa"/>
              <w:right w:w="28" w:type="dxa"/>
            </w:tcMar>
            <w:vAlign w:val="center"/>
          </w:tcPr>
          <w:p w14:paraId="600962B1" w14:textId="6B5BF5C2" w:rsidR="007E33A3" w:rsidRPr="00061F78" w:rsidRDefault="007E33A3" w:rsidP="00291491">
            <w:pPr>
              <w:pStyle w:val="Tableheading"/>
              <w:jc w:val="center"/>
              <w:rPr>
                <w:rFonts w:eastAsia="MS Mincho"/>
              </w:rPr>
            </w:pPr>
            <w:r>
              <w:rPr>
                <w:rFonts w:eastAsia="MS Mincho"/>
              </w:rPr>
              <w:t>Varenicline</w:t>
            </w:r>
          </w:p>
        </w:tc>
        <w:tc>
          <w:tcPr>
            <w:tcW w:w="787" w:type="pct"/>
            <w:shd w:val="clear" w:color="auto" w:fill="BFBFBF" w:themeFill="background1" w:themeFillShade="BF"/>
            <w:tcMar>
              <w:left w:w="28" w:type="dxa"/>
              <w:right w:w="28" w:type="dxa"/>
            </w:tcMar>
            <w:vAlign w:val="center"/>
          </w:tcPr>
          <w:p w14:paraId="631C07B3" w14:textId="41F0049E" w:rsidR="007E33A3" w:rsidRPr="00D468CF" w:rsidRDefault="007E33A3" w:rsidP="00291491">
            <w:pPr>
              <w:pStyle w:val="Tableheading"/>
              <w:jc w:val="center"/>
              <w:rPr>
                <w:rFonts w:eastAsia="MS Mincho"/>
                <w:vertAlign w:val="superscript"/>
              </w:rPr>
            </w:pPr>
            <w:r>
              <w:rPr>
                <w:rFonts w:eastAsia="MS Mincho"/>
              </w:rPr>
              <w:t>RR (95% CI)</w:t>
            </w:r>
          </w:p>
        </w:tc>
        <w:tc>
          <w:tcPr>
            <w:tcW w:w="786" w:type="pct"/>
            <w:shd w:val="clear" w:color="auto" w:fill="BFBFBF" w:themeFill="background1" w:themeFillShade="BF"/>
            <w:vAlign w:val="center"/>
          </w:tcPr>
          <w:p w14:paraId="45605158" w14:textId="77777777" w:rsidR="007E33A3" w:rsidRDefault="007E33A3" w:rsidP="00291491">
            <w:pPr>
              <w:pStyle w:val="Tableheading"/>
              <w:jc w:val="center"/>
              <w:rPr>
                <w:rFonts w:eastAsia="MS Mincho"/>
              </w:rPr>
            </w:pPr>
            <w:r>
              <w:rPr>
                <w:rFonts w:eastAsia="MS Mincho"/>
              </w:rPr>
              <w:t>RD (95% CI)</w:t>
            </w:r>
          </w:p>
        </w:tc>
      </w:tr>
      <w:tr w:rsidR="007E33A3" w:rsidRPr="00061F78" w14:paraId="2CD41769" w14:textId="77777777" w:rsidTr="00291491">
        <w:trPr>
          <w:cantSplit/>
          <w:trHeight w:val="149"/>
        </w:trPr>
        <w:tc>
          <w:tcPr>
            <w:tcW w:w="631" w:type="pct"/>
            <w:tcMar>
              <w:left w:w="28" w:type="dxa"/>
              <w:right w:w="28" w:type="dxa"/>
            </w:tcMar>
          </w:tcPr>
          <w:p w14:paraId="70277C0D" w14:textId="4C911F7E" w:rsidR="007E33A3" w:rsidRDefault="007E33A3" w:rsidP="00291491">
            <w:pPr>
              <w:pStyle w:val="Tablewriting"/>
              <w:rPr>
                <w:rFonts w:eastAsia="MS Mincho"/>
              </w:rPr>
            </w:pPr>
            <w:r>
              <w:rPr>
                <w:rFonts w:eastAsia="MS Mincho"/>
              </w:rPr>
              <w:t>Chen</w:t>
            </w:r>
            <w:r w:rsidRPr="00061F78">
              <w:rPr>
                <w:rFonts w:eastAsia="MS Mincho"/>
              </w:rPr>
              <w:t xml:space="preserve"> </w:t>
            </w:r>
          </w:p>
          <w:p w14:paraId="35CEEF0B" w14:textId="7D8AF3F2" w:rsidR="007E33A3" w:rsidRPr="00D468CF" w:rsidRDefault="007E33A3" w:rsidP="00291491">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r w:rsidR="00CF23AA">
              <w:rPr>
                <w:rFonts w:eastAsia="MS Mincho"/>
                <w:vertAlign w:val="superscript"/>
              </w:rPr>
              <w:t>1</w:t>
            </w:r>
            <w:r w:rsidR="00B703FF">
              <w:rPr>
                <w:rFonts w:eastAsia="MS Mincho"/>
                <w:vertAlign w:val="superscript"/>
              </w:rPr>
              <w:t>,2</w:t>
            </w:r>
          </w:p>
        </w:tc>
        <w:tc>
          <w:tcPr>
            <w:tcW w:w="1048" w:type="pct"/>
            <w:vAlign w:val="center"/>
          </w:tcPr>
          <w:p w14:paraId="5EB53743" w14:textId="0AC34D9A" w:rsidR="007E33A3" w:rsidRDefault="007E33A3" w:rsidP="00291491">
            <w:pPr>
              <w:pStyle w:val="Tablewriting"/>
              <w:jc w:val="center"/>
              <w:rPr>
                <w:rFonts w:eastAsia="MS Mincho"/>
              </w:rPr>
            </w:pPr>
            <w:r>
              <w:rPr>
                <w:rFonts w:eastAsia="MS Mincho"/>
              </w:rPr>
              <w:t>RCT</w:t>
            </w:r>
          </w:p>
        </w:tc>
        <w:tc>
          <w:tcPr>
            <w:tcW w:w="961" w:type="pct"/>
            <w:tcMar>
              <w:left w:w="28" w:type="dxa"/>
              <w:right w:w="28" w:type="dxa"/>
            </w:tcMar>
            <w:vAlign w:val="center"/>
          </w:tcPr>
          <w:p w14:paraId="5055DAE4" w14:textId="3DF9C5D6" w:rsidR="007E33A3" w:rsidRDefault="007A14ED" w:rsidP="001D02E7">
            <w:pPr>
              <w:pStyle w:val="Tablewriting"/>
              <w:jc w:val="center"/>
              <w:rPr>
                <w:rFonts w:eastAsia="MS Mincho"/>
              </w:rPr>
            </w:pPr>
            <w:r>
              <w:rPr>
                <w:rFonts w:eastAsia="MS Mincho"/>
              </w:rPr>
              <w:t>3</w:t>
            </w:r>
            <w:r w:rsidR="006C01A1">
              <w:rPr>
                <w:rFonts w:eastAsia="MS Mincho"/>
              </w:rPr>
              <w:t>7</w:t>
            </w:r>
            <w:r>
              <w:rPr>
                <w:rFonts w:eastAsia="MS Mincho"/>
              </w:rPr>
              <w:t>/275</w:t>
            </w:r>
          </w:p>
          <w:p w14:paraId="06CC5D23" w14:textId="605B89A7" w:rsidR="007E33A3" w:rsidRPr="00061F78" w:rsidRDefault="007A14ED" w:rsidP="00291491">
            <w:pPr>
              <w:pStyle w:val="Tablewriting"/>
              <w:jc w:val="center"/>
              <w:rPr>
                <w:rFonts w:eastAsia="MS Mincho"/>
              </w:rPr>
            </w:pPr>
            <w:r>
              <w:rPr>
                <w:rFonts w:eastAsia="MS Mincho"/>
              </w:rPr>
              <w:t>(</w:t>
            </w:r>
            <w:r w:rsidR="003C3748">
              <w:rPr>
                <w:rFonts w:eastAsia="MS Mincho"/>
              </w:rPr>
              <w:t>1</w:t>
            </w:r>
            <w:r w:rsidR="006C01A1">
              <w:rPr>
                <w:rFonts w:eastAsia="MS Mincho"/>
              </w:rPr>
              <w:t>3.5</w:t>
            </w:r>
            <w:r>
              <w:rPr>
                <w:rFonts w:eastAsia="MS Mincho"/>
              </w:rPr>
              <w:t>%)</w:t>
            </w:r>
          </w:p>
        </w:tc>
        <w:tc>
          <w:tcPr>
            <w:tcW w:w="787" w:type="pct"/>
            <w:tcMar>
              <w:left w:w="28" w:type="dxa"/>
              <w:right w:w="28" w:type="dxa"/>
            </w:tcMar>
            <w:vAlign w:val="center"/>
          </w:tcPr>
          <w:p w14:paraId="565BF0EF" w14:textId="2E36E512" w:rsidR="007E33A3" w:rsidRDefault="00155EFD" w:rsidP="001D02E7">
            <w:pPr>
              <w:pStyle w:val="Tablewriting"/>
              <w:jc w:val="center"/>
              <w:rPr>
                <w:rFonts w:eastAsia="MS Mincho"/>
              </w:rPr>
            </w:pPr>
            <w:r>
              <w:rPr>
                <w:rFonts w:eastAsia="MS Mincho"/>
              </w:rPr>
              <w:t>5</w:t>
            </w:r>
            <w:r w:rsidR="006C01A1">
              <w:rPr>
                <w:rFonts w:eastAsia="MS Mincho"/>
              </w:rPr>
              <w:t>6</w:t>
            </w:r>
            <w:r>
              <w:rPr>
                <w:rFonts w:eastAsia="MS Mincho"/>
              </w:rPr>
              <w:t>/274</w:t>
            </w:r>
          </w:p>
          <w:p w14:paraId="353B719F" w14:textId="38E3EECC" w:rsidR="007E33A3" w:rsidRPr="00061F78" w:rsidRDefault="00155EFD" w:rsidP="00291491">
            <w:pPr>
              <w:pStyle w:val="Tablewriting"/>
              <w:jc w:val="center"/>
              <w:rPr>
                <w:rFonts w:eastAsia="MS Mincho"/>
              </w:rPr>
            </w:pPr>
            <w:r>
              <w:rPr>
                <w:rFonts w:eastAsia="MS Mincho"/>
              </w:rPr>
              <w:t>(</w:t>
            </w:r>
            <w:r w:rsidR="006C01A1">
              <w:rPr>
                <w:rFonts w:eastAsia="MS Mincho"/>
              </w:rPr>
              <w:t>20.4</w:t>
            </w:r>
            <w:r>
              <w:rPr>
                <w:rFonts w:eastAsia="MS Mincho"/>
              </w:rPr>
              <w:t>%)</w:t>
            </w:r>
          </w:p>
        </w:tc>
        <w:tc>
          <w:tcPr>
            <w:tcW w:w="787" w:type="pct"/>
            <w:tcMar>
              <w:left w:w="28" w:type="dxa"/>
              <w:right w:w="28" w:type="dxa"/>
            </w:tcMar>
            <w:vAlign w:val="center"/>
          </w:tcPr>
          <w:p w14:paraId="273530B8" w14:textId="77777777" w:rsidR="007E33A3" w:rsidRPr="00D742D5" w:rsidRDefault="00D742D5" w:rsidP="00F27EF0">
            <w:pPr>
              <w:pStyle w:val="Tablewriting"/>
              <w:jc w:val="center"/>
              <w:rPr>
                <w:rFonts w:eastAsia="MS Mincho"/>
                <w:b/>
                <w:bCs/>
              </w:rPr>
            </w:pPr>
            <w:r w:rsidRPr="00D742D5">
              <w:rPr>
                <w:rFonts w:eastAsia="MS Mincho"/>
                <w:b/>
                <w:bCs/>
              </w:rPr>
              <w:t>0.66</w:t>
            </w:r>
          </w:p>
          <w:p w14:paraId="622FC64D" w14:textId="1E84AFB0" w:rsidR="007E33A3" w:rsidRPr="00D742D5" w:rsidRDefault="00D742D5" w:rsidP="00291491">
            <w:pPr>
              <w:pStyle w:val="Tablewriting"/>
              <w:jc w:val="center"/>
              <w:rPr>
                <w:rFonts w:eastAsia="MS Mincho"/>
                <w:b/>
              </w:rPr>
            </w:pPr>
            <w:r w:rsidRPr="00D742D5">
              <w:rPr>
                <w:rFonts w:eastAsia="MS Mincho"/>
                <w:b/>
                <w:bCs/>
              </w:rPr>
              <w:t>(0.4</w:t>
            </w:r>
            <w:r w:rsidR="006C01A1">
              <w:rPr>
                <w:rFonts w:eastAsia="MS Mincho"/>
                <w:b/>
                <w:bCs/>
              </w:rPr>
              <w:t>5</w:t>
            </w:r>
            <w:r w:rsidRPr="00D742D5">
              <w:rPr>
                <w:rFonts w:eastAsia="MS Mincho"/>
                <w:b/>
                <w:bCs/>
              </w:rPr>
              <w:t>, 0.9</w:t>
            </w:r>
            <w:r w:rsidR="006C01A1">
              <w:rPr>
                <w:rFonts w:eastAsia="MS Mincho"/>
                <w:b/>
                <w:bCs/>
              </w:rPr>
              <w:t>6</w:t>
            </w:r>
            <w:r w:rsidRPr="00D742D5">
              <w:rPr>
                <w:rFonts w:eastAsia="MS Mincho"/>
                <w:b/>
                <w:bCs/>
              </w:rPr>
              <w:t>)</w:t>
            </w:r>
          </w:p>
        </w:tc>
        <w:tc>
          <w:tcPr>
            <w:tcW w:w="786" w:type="pct"/>
            <w:vAlign w:val="center"/>
          </w:tcPr>
          <w:p w14:paraId="05776042" w14:textId="77777777" w:rsidR="007E33A3" w:rsidRPr="00D742D5" w:rsidRDefault="00D742D5" w:rsidP="00F27EF0">
            <w:pPr>
              <w:pStyle w:val="Tablewriting"/>
              <w:jc w:val="center"/>
              <w:rPr>
                <w:rFonts w:eastAsia="MS Mincho"/>
                <w:b/>
                <w:bCs/>
              </w:rPr>
            </w:pPr>
            <w:r w:rsidRPr="00D742D5">
              <w:rPr>
                <w:rFonts w:eastAsia="MS Mincho"/>
                <w:b/>
                <w:bCs/>
              </w:rPr>
              <w:t>-0.07</w:t>
            </w:r>
          </w:p>
          <w:p w14:paraId="5DD76F42" w14:textId="7EBC5F61" w:rsidR="007E33A3" w:rsidRPr="00D742D5" w:rsidRDefault="00D742D5" w:rsidP="00291491">
            <w:pPr>
              <w:pStyle w:val="Tablewriting"/>
              <w:jc w:val="center"/>
              <w:rPr>
                <w:rFonts w:eastAsia="MS Mincho"/>
                <w:b/>
              </w:rPr>
            </w:pPr>
            <w:r w:rsidRPr="00D742D5">
              <w:rPr>
                <w:rFonts w:eastAsia="MS Mincho"/>
                <w:b/>
                <w:bCs/>
              </w:rPr>
              <w:t>(-0.13, -0.01)</w:t>
            </w:r>
          </w:p>
        </w:tc>
      </w:tr>
    </w:tbl>
    <w:p w14:paraId="07CD07FA" w14:textId="1850A7AE" w:rsidR="001508F0" w:rsidRDefault="001508F0" w:rsidP="00D44ACF">
      <w:pPr>
        <w:pStyle w:val="TableFooter"/>
        <w:jc w:val="both"/>
      </w:pPr>
      <w:r>
        <w:t>Source: Chen et al. (2020)</w:t>
      </w:r>
    </w:p>
    <w:p w14:paraId="5FB7B9DD" w14:textId="104A6097" w:rsidR="001508F0" w:rsidRDefault="001508F0" w:rsidP="00D44ACF">
      <w:pPr>
        <w:pStyle w:val="TableFooter"/>
        <w:jc w:val="both"/>
        <w:rPr>
          <w:i/>
        </w:rPr>
      </w:pPr>
      <w:r>
        <w:t xml:space="preserve">Abbreviations: CI = confidence interval; </w:t>
      </w:r>
      <w:r w:rsidR="00F860FD">
        <w:t xml:space="preserve">NRT = nicotine replacement therapy; </w:t>
      </w:r>
      <w:r>
        <w:t xml:space="preserve">RCT = randomised controlled trial; </w:t>
      </w:r>
      <w:r w:rsidR="00350DBE">
        <w:t xml:space="preserve">RD = risk difference; </w:t>
      </w:r>
      <w:r>
        <w:t>RR = risk ratio</w:t>
      </w:r>
      <w:r w:rsidRPr="00061F78">
        <w:t xml:space="preserve"> </w:t>
      </w:r>
    </w:p>
    <w:p w14:paraId="33143741" w14:textId="6986FBA8" w:rsidR="001508F0" w:rsidRDefault="001508F0" w:rsidP="00D44ACF">
      <w:pPr>
        <w:pStyle w:val="TableFooter"/>
        <w:jc w:val="both"/>
      </w:pPr>
      <w:r w:rsidRPr="00D468CF">
        <w:t>Note</w:t>
      </w:r>
      <w:r>
        <w:t>s</w:t>
      </w:r>
      <w:r w:rsidRPr="00D468CF">
        <w:t>: Bold indicates statistically significant difference.</w:t>
      </w:r>
      <w:r w:rsidR="00D742D5">
        <w:t xml:space="preserve"> </w:t>
      </w:r>
    </w:p>
    <w:p w14:paraId="07DC77D5" w14:textId="407E0B4C" w:rsidR="00CF23AA" w:rsidRDefault="00CF23AA" w:rsidP="00D44ACF">
      <w:pPr>
        <w:pStyle w:val="TableFooter"/>
        <w:jc w:val="both"/>
      </w:pPr>
      <w:r>
        <w:t>1</w:t>
      </w:r>
      <w:r w:rsidR="00F8440A" w:rsidRPr="00F8440A">
        <w:t xml:space="preserve"> PPA at </w:t>
      </w:r>
      <w:r w:rsidR="00BC2232">
        <w:t>six</w:t>
      </w:r>
      <w:r w:rsidR="00F8440A">
        <w:t xml:space="preserve"> months was chosen </w:t>
      </w:r>
      <w:r w:rsidR="00C2548D">
        <w:t>because</w:t>
      </w:r>
      <w:r w:rsidR="00BE12D0">
        <w:t xml:space="preserve"> PPA</w:t>
      </w:r>
      <w:r w:rsidR="00F8440A" w:rsidRPr="00F8440A">
        <w:t xml:space="preserve"> </w:t>
      </w:r>
      <w:r w:rsidR="00BE12D0">
        <w:t>at</w:t>
      </w:r>
      <w:r w:rsidR="00F8440A" w:rsidRPr="00F8440A">
        <w:t xml:space="preserve"> 12 months</w:t>
      </w:r>
      <w:r w:rsidR="00BE12D0">
        <w:t xml:space="preserve"> was not CO-validated</w:t>
      </w:r>
      <w:r w:rsidR="00F8440A" w:rsidRPr="00F8440A">
        <w:t xml:space="preserve"> (</w:t>
      </w:r>
      <w:r w:rsidR="00826C95">
        <w:t>i.e.,</w:t>
      </w:r>
      <w:r w:rsidR="00BE12D0">
        <w:t xml:space="preserve"> </w:t>
      </w:r>
      <w:r w:rsidR="00F8440A" w:rsidRPr="00F8440A">
        <w:t>self-report</w:t>
      </w:r>
      <w:r w:rsidR="006556CC">
        <w:t>ed</w:t>
      </w:r>
      <w:r w:rsidR="00F8440A" w:rsidRPr="00F8440A">
        <w:t>)</w:t>
      </w:r>
      <w:r w:rsidR="00AB5FA3">
        <w:t>.</w:t>
      </w:r>
    </w:p>
    <w:p w14:paraId="0596C587" w14:textId="7D2E1C95" w:rsidR="00B703FF" w:rsidRDefault="00B703FF" w:rsidP="00D44ACF">
      <w:pPr>
        <w:pStyle w:val="TableFooter"/>
        <w:spacing w:after="120"/>
        <w:contextualSpacing w:val="0"/>
        <w:jc w:val="both"/>
      </w:pPr>
      <w:r>
        <w:t xml:space="preserve">2 </w:t>
      </w:r>
      <w:r w:rsidRPr="00B703FF">
        <w:t>Calculated during the review.</w:t>
      </w:r>
    </w:p>
    <w:p w14:paraId="082F9CB4" w14:textId="37C82CB5" w:rsidR="00F8248E" w:rsidRDefault="00F8248E" w:rsidP="00D44ACF">
      <w:pPr>
        <w:spacing w:after="120"/>
        <w:jc w:val="both"/>
        <w:rPr>
          <w:u w:val="single"/>
        </w:rPr>
      </w:pPr>
      <w:r w:rsidRPr="00952CCE">
        <w:rPr>
          <w:u w:val="single"/>
        </w:rPr>
        <w:t>Safety</w:t>
      </w:r>
      <w:r>
        <w:rPr>
          <w:u w:val="single"/>
        </w:rPr>
        <w:t xml:space="preserve"> – combination NRT versus varenicline</w:t>
      </w:r>
    </w:p>
    <w:p w14:paraId="13818ED2" w14:textId="04EB9455" w:rsidR="000944A0" w:rsidRPr="00076806" w:rsidRDefault="000944A0" w:rsidP="00D44ACF">
      <w:pPr>
        <w:spacing w:after="120"/>
        <w:jc w:val="both"/>
      </w:pPr>
      <w:r w:rsidRPr="000944A0">
        <w:t>A summary of key adverse events</w:t>
      </w:r>
      <w:r>
        <w:t xml:space="preserve"> reported in Chen et al. (2020)</w:t>
      </w:r>
      <w:r w:rsidRPr="000944A0">
        <w:t xml:space="preserve"> is presented in </w:t>
      </w:r>
      <w:r>
        <w:fldChar w:fldCharType="begin" w:fldLock="1"/>
      </w:r>
      <w:r>
        <w:instrText xml:space="preserve"> REF _Ref55395554 \h </w:instrText>
      </w:r>
      <w:r>
        <w:fldChar w:fldCharType="separate"/>
      </w:r>
      <w:r w:rsidR="00EC5CC7">
        <w:t xml:space="preserve">Table </w:t>
      </w:r>
      <w:r w:rsidR="00EC5CC7">
        <w:rPr>
          <w:noProof/>
        </w:rPr>
        <w:t>65</w:t>
      </w:r>
      <w:r>
        <w:fldChar w:fldCharType="end"/>
      </w:r>
      <w:r w:rsidRPr="000944A0">
        <w:t xml:space="preserve">. </w:t>
      </w:r>
      <w:r w:rsidR="008914CB">
        <w:t xml:space="preserve">Overall, </w:t>
      </w:r>
      <w:r w:rsidR="008914CB" w:rsidRPr="008914CB">
        <w:t xml:space="preserve">there were no statistically significant differences between the two treatment arms </w:t>
      </w:r>
      <w:r w:rsidR="008914CB">
        <w:t>across the key adverse events</w:t>
      </w:r>
      <w:r w:rsidR="00577111">
        <w:t>,</w:t>
      </w:r>
      <w:r w:rsidR="008914CB">
        <w:t xml:space="preserve"> except for nausea and vivid dreams</w:t>
      </w:r>
      <w:r w:rsidR="00BF7790">
        <w:t xml:space="preserve"> which were significantly higher in the varenicline arm compared with patients in the combination NRT arm</w:t>
      </w:r>
      <w:r w:rsidR="008914CB">
        <w:t xml:space="preserve">. </w:t>
      </w:r>
    </w:p>
    <w:p w14:paraId="1A29B61C" w14:textId="0CCAC35C" w:rsidR="000944A0" w:rsidRDefault="000944A0" w:rsidP="00D44ACF">
      <w:pPr>
        <w:pStyle w:val="Caption"/>
        <w:keepNext/>
        <w:spacing w:before="0" w:after="120"/>
        <w:jc w:val="both"/>
      </w:pPr>
      <w:bookmarkStart w:id="123" w:name="_Ref55395554"/>
      <w:r>
        <w:t xml:space="preserve">Table </w:t>
      </w:r>
      <w:r w:rsidR="00BF3F75">
        <w:fldChar w:fldCharType="begin"/>
      </w:r>
      <w:r w:rsidR="00BF3F75">
        <w:instrText xml:space="preserve"> SEQ Table \* ARABIC </w:instrText>
      </w:r>
      <w:r w:rsidR="00BF3F75">
        <w:fldChar w:fldCharType="separate"/>
      </w:r>
      <w:r w:rsidR="00EC5CC7">
        <w:rPr>
          <w:noProof/>
        </w:rPr>
        <w:t>65</w:t>
      </w:r>
      <w:r w:rsidR="00BF3F75">
        <w:rPr>
          <w:noProof/>
        </w:rPr>
        <w:fldChar w:fldCharType="end"/>
      </w:r>
      <w:bookmarkEnd w:id="123"/>
      <w:r>
        <w:t xml:space="preserve">: </w:t>
      </w:r>
      <w:r w:rsidRPr="004F7250">
        <w:t xml:space="preserve">Summary of key adverse events, </w:t>
      </w:r>
      <w:r>
        <w:t xml:space="preserve">combination NRT versus </w:t>
      </w:r>
      <w:r w:rsidRPr="004F7250">
        <w:t>varenicline</w:t>
      </w:r>
    </w:p>
    <w:tbl>
      <w:tblPr>
        <w:tblStyle w:val="TableGrid"/>
        <w:tblW w:w="5000" w:type="pct"/>
        <w:tblLook w:val="04A0" w:firstRow="1" w:lastRow="0" w:firstColumn="1" w:lastColumn="0" w:noHBand="0" w:noVBand="1"/>
        <w:tblCaption w:val="Efficacy results of adalimumab trials (PASI 75 and DLQI)"/>
      </w:tblPr>
      <w:tblGrid>
        <w:gridCol w:w="2547"/>
        <w:gridCol w:w="1843"/>
        <w:gridCol w:w="1636"/>
        <w:gridCol w:w="1535"/>
        <w:gridCol w:w="1455"/>
      </w:tblGrid>
      <w:tr w:rsidR="00323A0E" w:rsidRPr="00061F78" w14:paraId="42C5BEB7" w14:textId="77777777" w:rsidTr="00092FA8">
        <w:trPr>
          <w:cantSplit/>
          <w:trHeight w:val="299"/>
          <w:tblHeader/>
        </w:trPr>
        <w:tc>
          <w:tcPr>
            <w:tcW w:w="1412" w:type="pct"/>
            <w:shd w:val="clear" w:color="auto" w:fill="BFBFBF" w:themeFill="background1" w:themeFillShade="BF"/>
            <w:tcMar>
              <w:left w:w="28" w:type="dxa"/>
              <w:right w:w="28" w:type="dxa"/>
            </w:tcMar>
          </w:tcPr>
          <w:p w14:paraId="08449362" w14:textId="77777777" w:rsidR="00323A0E" w:rsidRDefault="00323A0E" w:rsidP="00A8247E">
            <w:pPr>
              <w:pStyle w:val="Tableheading"/>
              <w:rPr>
                <w:rFonts w:eastAsia="MS Mincho"/>
              </w:rPr>
            </w:pPr>
            <w:r>
              <w:rPr>
                <w:rFonts w:eastAsia="MS Mincho"/>
              </w:rPr>
              <w:t>Outcome</w:t>
            </w:r>
          </w:p>
        </w:tc>
        <w:tc>
          <w:tcPr>
            <w:tcW w:w="1022" w:type="pct"/>
            <w:shd w:val="clear" w:color="auto" w:fill="BFBFBF" w:themeFill="background1" w:themeFillShade="BF"/>
            <w:tcMar>
              <w:left w:w="28" w:type="dxa"/>
              <w:right w:w="28" w:type="dxa"/>
            </w:tcMar>
            <w:vAlign w:val="center"/>
          </w:tcPr>
          <w:p w14:paraId="0389176A" w14:textId="77777777" w:rsidR="00323A0E" w:rsidRDefault="00323A0E" w:rsidP="00A8247E">
            <w:pPr>
              <w:pStyle w:val="Tableheading"/>
              <w:jc w:val="center"/>
              <w:rPr>
                <w:rFonts w:eastAsia="MS Mincho"/>
              </w:rPr>
            </w:pPr>
            <w:r>
              <w:rPr>
                <w:rFonts w:eastAsia="MS Mincho"/>
              </w:rPr>
              <w:t>Combination NRT</w:t>
            </w:r>
          </w:p>
          <w:p w14:paraId="49D6CAD4" w14:textId="20CCFD73" w:rsidR="00092FA8" w:rsidRPr="00061F78" w:rsidRDefault="00092FA8" w:rsidP="00A8247E">
            <w:pPr>
              <w:pStyle w:val="Tableheading"/>
              <w:jc w:val="center"/>
              <w:rPr>
                <w:rFonts w:eastAsia="MS Mincho"/>
              </w:rPr>
            </w:pPr>
            <w:r>
              <w:rPr>
                <w:rFonts w:eastAsia="MS Mincho"/>
              </w:rPr>
              <w:t>(patch + lozenge)</w:t>
            </w:r>
          </w:p>
        </w:tc>
        <w:tc>
          <w:tcPr>
            <w:tcW w:w="907" w:type="pct"/>
            <w:shd w:val="clear" w:color="auto" w:fill="BFBFBF" w:themeFill="background1" w:themeFillShade="BF"/>
            <w:tcMar>
              <w:left w:w="28" w:type="dxa"/>
              <w:right w:w="28" w:type="dxa"/>
            </w:tcMar>
            <w:vAlign w:val="center"/>
          </w:tcPr>
          <w:p w14:paraId="502FF1A5" w14:textId="11FB00E9" w:rsidR="00323A0E" w:rsidRPr="00061F78" w:rsidRDefault="00323A0E" w:rsidP="00A8247E">
            <w:pPr>
              <w:pStyle w:val="Tableheading"/>
              <w:jc w:val="center"/>
              <w:rPr>
                <w:rFonts w:eastAsia="MS Mincho"/>
              </w:rPr>
            </w:pPr>
            <w:r>
              <w:rPr>
                <w:rFonts w:eastAsia="MS Mincho"/>
              </w:rPr>
              <w:t>Varenicline</w:t>
            </w:r>
          </w:p>
        </w:tc>
        <w:tc>
          <w:tcPr>
            <w:tcW w:w="851" w:type="pct"/>
            <w:shd w:val="clear" w:color="auto" w:fill="BFBFBF" w:themeFill="background1" w:themeFillShade="BF"/>
            <w:tcMar>
              <w:left w:w="28" w:type="dxa"/>
              <w:right w:w="28" w:type="dxa"/>
            </w:tcMar>
            <w:vAlign w:val="center"/>
          </w:tcPr>
          <w:p w14:paraId="5A561D7B" w14:textId="77777777" w:rsidR="00323A0E" w:rsidRPr="00D468CF" w:rsidRDefault="00323A0E" w:rsidP="00A8247E">
            <w:pPr>
              <w:pStyle w:val="Tableheading"/>
              <w:jc w:val="center"/>
              <w:rPr>
                <w:rFonts w:eastAsia="MS Mincho"/>
                <w:vertAlign w:val="superscript"/>
              </w:rPr>
            </w:pPr>
            <w:r>
              <w:rPr>
                <w:rFonts w:eastAsia="MS Mincho"/>
              </w:rPr>
              <w:t>RR (95% CI)</w:t>
            </w:r>
          </w:p>
        </w:tc>
        <w:tc>
          <w:tcPr>
            <w:tcW w:w="807" w:type="pct"/>
            <w:shd w:val="clear" w:color="auto" w:fill="BFBFBF" w:themeFill="background1" w:themeFillShade="BF"/>
            <w:vAlign w:val="center"/>
          </w:tcPr>
          <w:p w14:paraId="34B5F005" w14:textId="77777777" w:rsidR="00323A0E" w:rsidRDefault="00323A0E" w:rsidP="00A8247E">
            <w:pPr>
              <w:pStyle w:val="Tableheading"/>
              <w:jc w:val="center"/>
              <w:rPr>
                <w:rFonts w:eastAsia="MS Mincho"/>
              </w:rPr>
            </w:pPr>
            <w:r>
              <w:rPr>
                <w:rFonts w:eastAsia="MS Mincho"/>
              </w:rPr>
              <w:t>RD (95% CI)</w:t>
            </w:r>
          </w:p>
        </w:tc>
      </w:tr>
      <w:tr w:rsidR="00AB53C1" w:rsidRPr="00061F78" w14:paraId="154AEE4D" w14:textId="77777777" w:rsidTr="00092FA8">
        <w:trPr>
          <w:cantSplit/>
          <w:trHeight w:val="99"/>
        </w:trPr>
        <w:tc>
          <w:tcPr>
            <w:tcW w:w="1412" w:type="pct"/>
            <w:shd w:val="clear" w:color="auto" w:fill="auto"/>
            <w:tcMar>
              <w:left w:w="28" w:type="dxa"/>
              <w:right w:w="28" w:type="dxa"/>
            </w:tcMar>
          </w:tcPr>
          <w:p w14:paraId="37325696" w14:textId="45D76FFE" w:rsidR="00AB53C1" w:rsidRDefault="00AB53C1" w:rsidP="00A8247E">
            <w:pPr>
              <w:pStyle w:val="Tablewriting"/>
              <w:rPr>
                <w:rFonts w:eastAsia="MS Mincho"/>
              </w:rPr>
            </w:pPr>
            <w:r>
              <w:rPr>
                <w:rFonts w:eastAsia="MS Mincho"/>
              </w:rPr>
              <w:t>Any adverse events</w:t>
            </w:r>
          </w:p>
        </w:tc>
        <w:tc>
          <w:tcPr>
            <w:tcW w:w="1022" w:type="pct"/>
            <w:shd w:val="clear" w:color="auto" w:fill="auto"/>
            <w:tcMar>
              <w:left w:w="28" w:type="dxa"/>
              <w:right w:w="28" w:type="dxa"/>
            </w:tcMar>
            <w:vAlign w:val="center"/>
          </w:tcPr>
          <w:p w14:paraId="170D52EC" w14:textId="77777777" w:rsidR="00AB53C1" w:rsidRDefault="00AB53C1" w:rsidP="00A8247E">
            <w:pPr>
              <w:pStyle w:val="Tablewriting"/>
              <w:jc w:val="center"/>
              <w:rPr>
                <w:rFonts w:eastAsia="MS Mincho"/>
              </w:rPr>
            </w:pPr>
            <w:r>
              <w:rPr>
                <w:rFonts w:eastAsia="MS Mincho"/>
              </w:rPr>
              <w:t>193/275</w:t>
            </w:r>
          </w:p>
          <w:p w14:paraId="5D87AE47" w14:textId="021954CE" w:rsidR="00AB53C1" w:rsidRDefault="00AB53C1" w:rsidP="00A8247E">
            <w:pPr>
              <w:pStyle w:val="Tablewriting"/>
              <w:jc w:val="center"/>
              <w:rPr>
                <w:rFonts w:eastAsia="MS Mincho"/>
              </w:rPr>
            </w:pPr>
            <w:r>
              <w:rPr>
                <w:rFonts w:eastAsia="MS Mincho"/>
              </w:rPr>
              <w:t>(70.2%)</w:t>
            </w:r>
          </w:p>
        </w:tc>
        <w:tc>
          <w:tcPr>
            <w:tcW w:w="907" w:type="pct"/>
            <w:shd w:val="clear" w:color="auto" w:fill="auto"/>
            <w:tcMar>
              <w:left w:w="28" w:type="dxa"/>
              <w:right w:w="28" w:type="dxa"/>
            </w:tcMar>
            <w:vAlign w:val="center"/>
          </w:tcPr>
          <w:p w14:paraId="38F70465" w14:textId="77777777" w:rsidR="00AB53C1" w:rsidRDefault="00AB53C1" w:rsidP="00A8247E">
            <w:pPr>
              <w:pStyle w:val="Tablewriting"/>
              <w:jc w:val="center"/>
              <w:rPr>
                <w:rFonts w:eastAsia="MS Mincho"/>
              </w:rPr>
            </w:pPr>
            <w:r>
              <w:rPr>
                <w:rFonts w:eastAsia="MS Mincho"/>
              </w:rPr>
              <w:t>204/274</w:t>
            </w:r>
          </w:p>
          <w:p w14:paraId="5C6CDD32" w14:textId="27D72044" w:rsidR="00AB53C1" w:rsidRDefault="00AB53C1" w:rsidP="00A8247E">
            <w:pPr>
              <w:pStyle w:val="Tablewriting"/>
              <w:jc w:val="center"/>
              <w:rPr>
                <w:rFonts w:eastAsia="MS Mincho"/>
              </w:rPr>
            </w:pPr>
            <w:r>
              <w:rPr>
                <w:rFonts w:eastAsia="MS Mincho"/>
              </w:rPr>
              <w:t>(74.5%)</w:t>
            </w:r>
          </w:p>
        </w:tc>
        <w:tc>
          <w:tcPr>
            <w:tcW w:w="851" w:type="pct"/>
            <w:shd w:val="clear" w:color="auto" w:fill="auto"/>
            <w:tcMar>
              <w:left w:w="28" w:type="dxa"/>
              <w:right w:w="28" w:type="dxa"/>
            </w:tcMar>
          </w:tcPr>
          <w:p w14:paraId="3EA0F18A" w14:textId="77777777" w:rsidR="00AB53C1" w:rsidRDefault="00AB53C1" w:rsidP="006F73C6">
            <w:pPr>
              <w:pStyle w:val="Tablewriting"/>
              <w:jc w:val="center"/>
            </w:pPr>
            <w:r w:rsidRPr="00AB53C1">
              <w:t xml:space="preserve">0.94 </w:t>
            </w:r>
          </w:p>
          <w:p w14:paraId="4A73F16A" w14:textId="1F13333A" w:rsidR="00AB53C1" w:rsidRPr="00AB53C1" w:rsidRDefault="00AB53C1">
            <w:pPr>
              <w:pStyle w:val="Tablewriting"/>
              <w:jc w:val="center"/>
              <w:rPr>
                <w:rFonts w:eastAsia="MS Mincho"/>
              </w:rPr>
            </w:pPr>
            <w:r w:rsidRPr="00AB53C1">
              <w:t>(0.85, 1.05)</w:t>
            </w:r>
          </w:p>
        </w:tc>
        <w:tc>
          <w:tcPr>
            <w:tcW w:w="807" w:type="pct"/>
            <w:shd w:val="clear" w:color="auto" w:fill="auto"/>
          </w:tcPr>
          <w:p w14:paraId="795AC154" w14:textId="77777777" w:rsidR="00AB53C1" w:rsidRDefault="00AB53C1">
            <w:pPr>
              <w:pStyle w:val="Tablewriting"/>
              <w:jc w:val="center"/>
            </w:pPr>
            <w:r w:rsidRPr="00AB53C1">
              <w:t xml:space="preserve">-0.04 </w:t>
            </w:r>
          </w:p>
          <w:p w14:paraId="5D014899" w14:textId="7F54F57D" w:rsidR="00AB53C1" w:rsidRPr="00AB53C1" w:rsidRDefault="00AB53C1">
            <w:pPr>
              <w:pStyle w:val="Tablewriting"/>
              <w:jc w:val="center"/>
              <w:rPr>
                <w:rFonts w:eastAsia="MS Mincho"/>
              </w:rPr>
            </w:pPr>
            <w:r w:rsidRPr="00AB53C1">
              <w:t>(-0.12, 0.03)</w:t>
            </w:r>
          </w:p>
        </w:tc>
      </w:tr>
      <w:tr w:rsidR="00AB53C1" w:rsidRPr="00061F78" w14:paraId="323F9FBA" w14:textId="77777777" w:rsidTr="00092FA8">
        <w:trPr>
          <w:cantSplit/>
          <w:trHeight w:val="149"/>
        </w:trPr>
        <w:tc>
          <w:tcPr>
            <w:tcW w:w="1412" w:type="pct"/>
            <w:tcMar>
              <w:left w:w="28" w:type="dxa"/>
              <w:right w:w="28" w:type="dxa"/>
            </w:tcMar>
          </w:tcPr>
          <w:p w14:paraId="220E42EB" w14:textId="73048FA0" w:rsidR="00AB53C1" w:rsidRDefault="00AB53C1" w:rsidP="00A8247E">
            <w:pPr>
              <w:pStyle w:val="Tablewriting"/>
              <w:rPr>
                <w:rFonts w:eastAsia="MS Mincho"/>
              </w:rPr>
            </w:pPr>
            <w:r>
              <w:rPr>
                <w:rFonts w:eastAsia="MS Mincho"/>
              </w:rPr>
              <w:t xml:space="preserve">     Nausea</w:t>
            </w:r>
          </w:p>
        </w:tc>
        <w:tc>
          <w:tcPr>
            <w:tcW w:w="1022" w:type="pct"/>
            <w:tcMar>
              <w:left w:w="28" w:type="dxa"/>
              <w:right w:w="28" w:type="dxa"/>
            </w:tcMar>
            <w:vAlign w:val="center"/>
          </w:tcPr>
          <w:p w14:paraId="5865D3FC" w14:textId="77777777" w:rsidR="00AB53C1" w:rsidRDefault="00AB53C1" w:rsidP="00A8247E">
            <w:pPr>
              <w:pStyle w:val="Tablewriting"/>
              <w:jc w:val="center"/>
              <w:rPr>
                <w:rFonts w:eastAsia="MS Mincho"/>
              </w:rPr>
            </w:pPr>
            <w:r>
              <w:rPr>
                <w:rFonts w:eastAsia="MS Mincho"/>
              </w:rPr>
              <w:t>53/275</w:t>
            </w:r>
          </w:p>
          <w:p w14:paraId="1829E812" w14:textId="7B0B5ACE" w:rsidR="00AB53C1" w:rsidRDefault="00AB53C1" w:rsidP="00A8247E">
            <w:pPr>
              <w:pStyle w:val="Tablewriting"/>
              <w:jc w:val="center"/>
              <w:rPr>
                <w:rFonts w:eastAsia="MS Mincho"/>
              </w:rPr>
            </w:pPr>
            <w:r>
              <w:rPr>
                <w:rFonts w:eastAsia="MS Mincho"/>
              </w:rPr>
              <w:t>(19.3%)</w:t>
            </w:r>
          </w:p>
        </w:tc>
        <w:tc>
          <w:tcPr>
            <w:tcW w:w="907" w:type="pct"/>
            <w:tcMar>
              <w:left w:w="28" w:type="dxa"/>
              <w:right w:w="28" w:type="dxa"/>
            </w:tcMar>
            <w:vAlign w:val="center"/>
          </w:tcPr>
          <w:p w14:paraId="77525868" w14:textId="77777777" w:rsidR="00AB53C1" w:rsidRDefault="00AB53C1" w:rsidP="00A8247E">
            <w:pPr>
              <w:pStyle w:val="Tablewriting"/>
              <w:jc w:val="center"/>
              <w:rPr>
                <w:rFonts w:eastAsia="MS Mincho"/>
              </w:rPr>
            </w:pPr>
            <w:r>
              <w:rPr>
                <w:rFonts w:eastAsia="MS Mincho"/>
              </w:rPr>
              <w:t>92/274</w:t>
            </w:r>
          </w:p>
          <w:p w14:paraId="1AB8C4F2" w14:textId="14A82D7A" w:rsidR="00AB53C1" w:rsidRDefault="00AB53C1" w:rsidP="00A8247E">
            <w:pPr>
              <w:pStyle w:val="Tablewriting"/>
              <w:jc w:val="center"/>
              <w:rPr>
                <w:rFonts w:eastAsia="MS Mincho"/>
              </w:rPr>
            </w:pPr>
            <w:r>
              <w:rPr>
                <w:rFonts w:eastAsia="MS Mincho"/>
              </w:rPr>
              <w:t>(33.6%)</w:t>
            </w:r>
          </w:p>
        </w:tc>
        <w:tc>
          <w:tcPr>
            <w:tcW w:w="851" w:type="pct"/>
            <w:tcMar>
              <w:left w:w="28" w:type="dxa"/>
              <w:right w:w="28" w:type="dxa"/>
            </w:tcMar>
          </w:tcPr>
          <w:p w14:paraId="3F88F10D" w14:textId="77777777" w:rsidR="00AB53C1" w:rsidRPr="00AB53C1" w:rsidRDefault="00AB53C1" w:rsidP="006F73C6">
            <w:pPr>
              <w:pStyle w:val="Tablewriting"/>
              <w:jc w:val="center"/>
              <w:rPr>
                <w:b/>
                <w:bCs/>
              </w:rPr>
            </w:pPr>
            <w:r w:rsidRPr="00AB53C1">
              <w:rPr>
                <w:b/>
                <w:bCs/>
              </w:rPr>
              <w:t xml:space="preserve">0.57 </w:t>
            </w:r>
          </w:p>
          <w:p w14:paraId="3D68398D" w14:textId="3F5F212F" w:rsidR="00AB53C1" w:rsidRPr="00AB53C1" w:rsidRDefault="00AB53C1">
            <w:pPr>
              <w:pStyle w:val="Tablewriting"/>
              <w:jc w:val="center"/>
              <w:rPr>
                <w:rFonts w:eastAsia="MS Mincho"/>
                <w:b/>
                <w:bCs/>
              </w:rPr>
            </w:pPr>
            <w:r w:rsidRPr="00AB53C1">
              <w:rPr>
                <w:b/>
                <w:bCs/>
              </w:rPr>
              <w:t>(0.43, 0.77)</w:t>
            </w:r>
          </w:p>
        </w:tc>
        <w:tc>
          <w:tcPr>
            <w:tcW w:w="807" w:type="pct"/>
          </w:tcPr>
          <w:p w14:paraId="08CF5C13" w14:textId="77777777" w:rsidR="00AB53C1" w:rsidRPr="00AB53C1" w:rsidRDefault="00AB53C1">
            <w:pPr>
              <w:pStyle w:val="Tablewriting"/>
              <w:jc w:val="center"/>
              <w:rPr>
                <w:b/>
                <w:bCs/>
              </w:rPr>
            </w:pPr>
            <w:r w:rsidRPr="00AB53C1">
              <w:rPr>
                <w:b/>
                <w:bCs/>
              </w:rPr>
              <w:t xml:space="preserve">-0.14 </w:t>
            </w:r>
          </w:p>
          <w:p w14:paraId="6274B48E" w14:textId="29B7BCB6" w:rsidR="00AB53C1" w:rsidRPr="00AB53C1" w:rsidRDefault="00AB53C1">
            <w:pPr>
              <w:pStyle w:val="Tablewriting"/>
              <w:jc w:val="center"/>
              <w:rPr>
                <w:rFonts w:eastAsia="MS Mincho"/>
                <w:b/>
                <w:bCs/>
              </w:rPr>
            </w:pPr>
            <w:r w:rsidRPr="00AB53C1">
              <w:rPr>
                <w:b/>
                <w:bCs/>
              </w:rPr>
              <w:t>(-0.22, -0.07)</w:t>
            </w:r>
          </w:p>
        </w:tc>
      </w:tr>
      <w:tr w:rsidR="00AB53C1" w:rsidRPr="00061F78" w14:paraId="1515A583" w14:textId="77777777" w:rsidTr="00092FA8">
        <w:trPr>
          <w:cantSplit/>
          <w:trHeight w:val="149"/>
        </w:trPr>
        <w:tc>
          <w:tcPr>
            <w:tcW w:w="1412" w:type="pct"/>
            <w:tcMar>
              <w:left w:w="28" w:type="dxa"/>
              <w:right w:w="28" w:type="dxa"/>
            </w:tcMar>
          </w:tcPr>
          <w:p w14:paraId="487BE456" w14:textId="51BD21FC" w:rsidR="00AB53C1" w:rsidRDefault="00AB53C1" w:rsidP="00A8247E">
            <w:pPr>
              <w:pStyle w:val="Tablewriting"/>
              <w:rPr>
                <w:rFonts w:eastAsia="MS Mincho"/>
              </w:rPr>
            </w:pPr>
            <w:r>
              <w:rPr>
                <w:rFonts w:eastAsia="MS Mincho"/>
              </w:rPr>
              <w:t xml:space="preserve">     Vomiting</w:t>
            </w:r>
          </w:p>
        </w:tc>
        <w:tc>
          <w:tcPr>
            <w:tcW w:w="1022" w:type="pct"/>
            <w:tcMar>
              <w:left w:w="28" w:type="dxa"/>
              <w:right w:w="28" w:type="dxa"/>
            </w:tcMar>
            <w:vAlign w:val="center"/>
          </w:tcPr>
          <w:p w14:paraId="7D25C3CC" w14:textId="77777777" w:rsidR="00AB53C1" w:rsidRDefault="00AB53C1" w:rsidP="00A8247E">
            <w:pPr>
              <w:pStyle w:val="Tablewriting"/>
              <w:jc w:val="center"/>
              <w:rPr>
                <w:rFonts w:eastAsia="MS Mincho"/>
              </w:rPr>
            </w:pPr>
            <w:r>
              <w:rPr>
                <w:rFonts w:eastAsia="MS Mincho"/>
              </w:rPr>
              <w:t>28/275</w:t>
            </w:r>
          </w:p>
          <w:p w14:paraId="53F38EFB" w14:textId="0D1D1DC2" w:rsidR="00AB53C1" w:rsidRDefault="00AB53C1" w:rsidP="00A8247E">
            <w:pPr>
              <w:pStyle w:val="Tablewriting"/>
              <w:jc w:val="center"/>
              <w:rPr>
                <w:rFonts w:eastAsia="MS Mincho"/>
              </w:rPr>
            </w:pPr>
            <w:r>
              <w:rPr>
                <w:rFonts w:eastAsia="MS Mincho"/>
              </w:rPr>
              <w:t>(10.2%)</w:t>
            </w:r>
          </w:p>
        </w:tc>
        <w:tc>
          <w:tcPr>
            <w:tcW w:w="907" w:type="pct"/>
            <w:tcMar>
              <w:left w:w="28" w:type="dxa"/>
              <w:right w:w="28" w:type="dxa"/>
            </w:tcMar>
            <w:vAlign w:val="center"/>
          </w:tcPr>
          <w:p w14:paraId="50C24257" w14:textId="77777777" w:rsidR="00AB53C1" w:rsidRDefault="00AB53C1" w:rsidP="00A8247E">
            <w:pPr>
              <w:pStyle w:val="Tablewriting"/>
              <w:jc w:val="center"/>
              <w:rPr>
                <w:rFonts w:eastAsia="MS Mincho"/>
              </w:rPr>
            </w:pPr>
            <w:r>
              <w:rPr>
                <w:rFonts w:eastAsia="MS Mincho"/>
              </w:rPr>
              <w:t>36/274</w:t>
            </w:r>
          </w:p>
          <w:p w14:paraId="41C127EC" w14:textId="241FEAF7" w:rsidR="00AB53C1" w:rsidRDefault="00AB53C1" w:rsidP="00A8247E">
            <w:pPr>
              <w:pStyle w:val="Tablewriting"/>
              <w:jc w:val="center"/>
              <w:rPr>
                <w:rFonts w:eastAsia="MS Mincho"/>
              </w:rPr>
            </w:pPr>
            <w:r>
              <w:rPr>
                <w:rFonts w:eastAsia="MS Mincho"/>
              </w:rPr>
              <w:t>(13.1%)</w:t>
            </w:r>
          </w:p>
        </w:tc>
        <w:tc>
          <w:tcPr>
            <w:tcW w:w="851" w:type="pct"/>
            <w:tcMar>
              <w:left w:w="28" w:type="dxa"/>
              <w:right w:w="28" w:type="dxa"/>
            </w:tcMar>
          </w:tcPr>
          <w:p w14:paraId="6A3D3D83" w14:textId="77777777" w:rsidR="00AB53C1" w:rsidRDefault="00AB53C1" w:rsidP="006F73C6">
            <w:pPr>
              <w:pStyle w:val="Tablewriting"/>
              <w:jc w:val="center"/>
            </w:pPr>
            <w:r w:rsidRPr="00AB53C1">
              <w:t xml:space="preserve">0.77 </w:t>
            </w:r>
          </w:p>
          <w:p w14:paraId="2A25626D" w14:textId="0394458F" w:rsidR="00AB53C1" w:rsidRPr="00AB53C1" w:rsidRDefault="00AB53C1">
            <w:pPr>
              <w:pStyle w:val="Tablewriting"/>
              <w:jc w:val="center"/>
              <w:rPr>
                <w:rFonts w:eastAsia="MS Mincho"/>
              </w:rPr>
            </w:pPr>
            <w:r w:rsidRPr="00AB53C1">
              <w:t>(0.49, 1.23)</w:t>
            </w:r>
          </w:p>
        </w:tc>
        <w:tc>
          <w:tcPr>
            <w:tcW w:w="807" w:type="pct"/>
          </w:tcPr>
          <w:p w14:paraId="65DF806A" w14:textId="77777777" w:rsidR="00AB53C1" w:rsidRDefault="00AB53C1">
            <w:pPr>
              <w:pStyle w:val="Tablewriting"/>
              <w:jc w:val="center"/>
            </w:pPr>
            <w:r w:rsidRPr="00AB53C1">
              <w:t xml:space="preserve">-0.03 </w:t>
            </w:r>
          </w:p>
          <w:p w14:paraId="773DB354" w14:textId="160C0319" w:rsidR="00AB53C1" w:rsidRPr="00AB53C1" w:rsidRDefault="00AB53C1">
            <w:pPr>
              <w:pStyle w:val="Tablewriting"/>
              <w:jc w:val="center"/>
              <w:rPr>
                <w:rFonts w:eastAsia="MS Mincho"/>
              </w:rPr>
            </w:pPr>
            <w:r w:rsidRPr="00AB53C1">
              <w:t>(-0.08, 0.02)</w:t>
            </w:r>
          </w:p>
        </w:tc>
      </w:tr>
      <w:tr w:rsidR="00AB53C1" w:rsidRPr="00061F78" w14:paraId="2B19E297" w14:textId="77777777" w:rsidTr="00092FA8">
        <w:trPr>
          <w:cantSplit/>
          <w:trHeight w:val="149"/>
        </w:trPr>
        <w:tc>
          <w:tcPr>
            <w:tcW w:w="1412" w:type="pct"/>
            <w:tcMar>
              <w:left w:w="28" w:type="dxa"/>
              <w:right w:w="28" w:type="dxa"/>
            </w:tcMar>
          </w:tcPr>
          <w:p w14:paraId="7A7B6023" w14:textId="6D04C101" w:rsidR="00AB53C1" w:rsidRDefault="00AB53C1" w:rsidP="00A8247E">
            <w:pPr>
              <w:pStyle w:val="Tablewriting"/>
              <w:rPr>
                <w:rFonts w:eastAsia="MS Mincho"/>
              </w:rPr>
            </w:pPr>
            <w:r>
              <w:rPr>
                <w:rFonts w:eastAsia="MS Mincho"/>
              </w:rPr>
              <w:t xml:space="preserve">     Headache</w:t>
            </w:r>
          </w:p>
        </w:tc>
        <w:tc>
          <w:tcPr>
            <w:tcW w:w="1022" w:type="pct"/>
            <w:tcMar>
              <w:left w:w="28" w:type="dxa"/>
              <w:right w:w="28" w:type="dxa"/>
            </w:tcMar>
            <w:vAlign w:val="center"/>
          </w:tcPr>
          <w:p w14:paraId="158CAAAC" w14:textId="77777777" w:rsidR="00AB53C1" w:rsidRDefault="00AB53C1" w:rsidP="00A8247E">
            <w:pPr>
              <w:pStyle w:val="Tablewriting"/>
              <w:jc w:val="center"/>
              <w:rPr>
                <w:rFonts w:eastAsia="MS Mincho"/>
              </w:rPr>
            </w:pPr>
            <w:r>
              <w:rPr>
                <w:rFonts w:eastAsia="MS Mincho"/>
              </w:rPr>
              <w:t>81/275</w:t>
            </w:r>
          </w:p>
          <w:p w14:paraId="6A241ED7" w14:textId="58E08F01" w:rsidR="00AB53C1" w:rsidRDefault="00AB53C1" w:rsidP="00A8247E">
            <w:pPr>
              <w:pStyle w:val="Tablewriting"/>
              <w:jc w:val="center"/>
              <w:rPr>
                <w:rFonts w:eastAsia="MS Mincho"/>
              </w:rPr>
            </w:pPr>
            <w:r>
              <w:rPr>
                <w:rFonts w:eastAsia="MS Mincho"/>
              </w:rPr>
              <w:t>(29.5%)</w:t>
            </w:r>
          </w:p>
        </w:tc>
        <w:tc>
          <w:tcPr>
            <w:tcW w:w="907" w:type="pct"/>
            <w:tcMar>
              <w:left w:w="28" w:type="dxa"/>
              <w:right w:w="28" w:type="dxa"/>
            </w:tcMar>
            <w:vAlign w:val="center"/>
          </w:tcPr>
          <w:p w14:paraId="58C9CC69" w14:textId="77777777" w:rsidR="00AB53C1" w:rsidRDefault="00AB53C1" w:rsidP="00A8247E">
            <w:pPr>
              <w:pStyle w:val="Tablewriting"/>
              <w:jc w:val="center"/>
              <w:rPr>
                <w:rFonts w:eastAsia="MS Mincho"/>
              </w:rPr>
            </w:pPr>
            <w:r>
              <w:rPr>
                <w:rFonts w:eastAsia="MS Mincho"/>
              </w:rPr>
              <w:t>81/274</w:t>
            </w:r>
          </w:p>
          <w:p w14:paraId="06C00F53" w14:textId="6A7AC041" w:rsidR="00AB53C1" w:rsidRDefault="00AB53C1" w:rsidP="00A8247E">
            <w:pPr>
              <w:pStyle w:val="Tablewriting"/>
              <w:jc w:val="center"/>
              <w:rPr>
                <w:rFonts w:eastAsia="MS Mincho"/>
              </w:rPr>
            </w:pPr>
            <w:r>
              <w:rPr>
                <w:rFonts w:eastAsia="MS Mincho"/>
              </w:rPr>
              <w:t>(29.6%)</w:t>
            </w:r>
          </w:p>
        </w:tc>
        <w:tc>
          <w:tcPr>
            <w:tcW w:w="851" w:type="pct"/>
            <w:tcMar>
              <w:left w:w="28" w:type="dxa"/>
              <w:right w:w="28" w:type="dxa"/>
            </w:tcMar>
          </w:tcPr>
          <w:p w14:paraId="6F23D545" w14:textId="77777777" w:rsidR="00AB53C1" w:rsidRDefault="00AB53C1" w:rsidP="006F73C6">
            <w:pPr>
              <w:pStyle w:val="Tablewriting"/>
              <w:jc w:val="center"/>
            </w:pPr>
            <w:r w:rsidRPr="00AB53C1">
              <w:t xml:space="preserve">1.00 </w:t>
            </w:r>
          </w:p>
          <w:p w14:paraId="1118A83D" w14:textId="4A6DBE21" w:rsidR="00AB53C1" w:rsidRPr="00AB53C1" w:rsidRDefault="00AB53C1">
            <w:pPr>
              <w:pStyle w:val="Tablewriting"/>
              <w:jc w:val="center"/>
              <w:rPr>
                <w:rFonts w:eastAsia="MS Mincho"/>
              </w:rPr>
            </w:pPr>
            <w:r w:rsidRPr="00AB53C1">
              <w:t>(0.77, 1.29)</w:t>
            </w:r>
          </w:p>
        </w:tc>
        <w:tc>
          <w:tcPr>
            <w:tcW w:w="807" w:type="pct"/>
          </w:tcPr>
          <w:p w14:paraId="3A08AA7E" w14:textId="77777777" w:rsidR="00AB53C1" w:rsidRDefault="00AB53C1">
            <w:pPr>
              <w:pStyle w:val="Tablewriting"/>
              <w:jc w:val="center"/>
            </w:pPr>
            <w:r w:rsidRPr="00AB53C1">
              <w:t xml:space="preserve">0.00 </w:t>
            </w:r>
          </w:p>
          <w:p w14:paraId="79FAF1C4" w14:textId="4A4E5466" w:rsidR="00AB53C1" w:rsidRPr="00AB53C1" w:rsidRDefault="00AB53C1">
            <w:pPr>
              <w:pStyle w:val="Tablewriting"/>
              <w:jc w:val="center"/>
              <w:rPr>
                <w:rFonts w:eastAsia="MS Mincho"/>
              </w:rPr>
            </w:pPr>
            <w:r w:rsidRPr="00AB53C1">
              <w:t>(-0.08, 0.08)</w:t>
            </w:r>
          </w:p>
        </w:tc>
      </w:tr>
      <w:tr w:rsidR="00AB53C1" w:rsidRPr="00061F78" w14:paraId="301B4C98" w14:textId="77777777" w:rsidTr="00092FA8">
        <w:trPr>
          <w:cantSplit/>
          <w:trHeight w:val="149"/>
        </w:trPr>
        <w:tc>
          <w:tcPr>
            <w:tcW w:w="1412" w:type="pct"/>
            <w:tcMar>
              <w:left w:w="28" w:type="dxa"/>
              <w:right w:w="28" w:type="dxa"/>
            </w:tcMar>
          </w:tcPr>
          <w:p w14:paraId="61F00091" w14:textId="77777777" w:rsidR="00AB53C1" w:rsidRDefault="00AB53C1" w:rsidP="00A8247E">
            <w:pPr>
              <w:pStyle w:val="Tablewriting"/>
              <w:rPr>
                <w:rFonts w:eastAsia="MS Mincho"/>
              </w:rPr>
            </w:pPr>
            <w:r>
              <w:rPr>
                <w:rFonts w:eastAsia="MS Mincho"/>
              </w:rPr>
              <w:t xml:space="preserve">     Rapid, slow, pounding or </w:t>
            </w:r>
          </w:p>
          <w:p w14:paraId="445B9B56" w14:textId="26909EFE" w:rsidR="00AB53C1" w:rsidRDefault="00AB53C1" w:rsidP="00A8247E">
            <w:pPr>
              <w:pStyle w:val="Tablewriting"/>
              <w:rPr>
                <w:rFonts w:eastAsia="MS Mincho"/>
              </w:rPr>
            </w:pPr>
            <w:r>
              <w:rPr>
                <w:rFonts w:eastAsia="MS Mincho"/>
              </w:rPr>
              <w:t xml:space="preserve">     irregular heartbeat</w:t>
            </w:r>
          </w:p>
        </w:tc>
        <w:tc>
          <w:tcPr>
            <w:tcW w:w="1022" w:type="pct"/>
            <w:tcMar>
              <w:left w:w="28" w:type="dxa"/>
              <w:right w:w="28" w:type="dxa"/>
            </w:tcMar>
            <w:vAlign w:val="center"/>
          </w:tcPr>
          <w:p w14:paraId="7758487D" w14:textId="77777777" w:rsidR="00AB53C1" w:rsidRDefault="00AB53C1" w:rsidP="00A8247E">
            <w:pPr>
              <w:pStyle w:val="Tablewriting"/>
              <w:jc w:val="center"/>
              <w:rPr>
                <w:rFonts w:eastAsia="MS Mincho"/>
              </w:rPr>
            </w:pPr>
            <w:r>
              <w:rPr>
                <w:rFonts w:eastAsia="MS Mincho"/>
              </w:rPr>
              <w:t>27/275</w:t>
            </w:r>
          </w:p>
          <w:p w14:paraId="0962F95A" w14:textId="7B448550" w:rsidR="00AB53C1" w:rsidRDefault="00AB53C1" w:rsidP="00A8247E">
            <w:pPr>
              <w:pStyle w:val="Tablewriting"/>
              <w:jc w:val="center"/>
              <w:rPr>
                <w:rFonts w:eastAsia="MS Mincho"/>
              </w:rPr>
            </w:pPr>
            <w:r>
              <w:rPr>
                <w:rFonts w:eastAsia="MS Mincho"/>
              </w:rPr>
              <w:t>(9.8%)</w:t>
            </w:r>
          </w:p>
        </w:tc>
        <w:tc>
          <w:tcPr>
            <w:tcW w:w="907" w:type="pct"/>
            <w:tcMar>
              <w:left w:w="28" w:type="dxa"/>
              <w:right w:w="28" w:type="dxa"/>
            </w:tcMar>
            <w:vAlign w:val="center"/>
          </w:tcPr>
          <w:p w14:paraId="67D6F4FF" w14:textId="77777777" w:rsidR="00AB53C1" w:rsidRDefault="00AB53C1" w:rsidP="00A8247E">
            <w:pPr>
              <w:pStyle w:val="Tablewriting"/>
              <w:jc w:val="center"/>
              <w:rPr>
                <w:rFonts w:eastAsia="MS Mincho"/>
              </w:rPr>
            </w:pPr>
            <w:r>
              <w:rPr>
                <w:rFonts w:eastAsia="MS Mincho"/>
              </w:rPr>
              <w:t>24/274</w:t>
            </w:r>
          </w:p>
          <w:p w14:paraId="3504B3A2" w14:textId="76D24240" w:rsidR="00AB53C1" w:rsidRDefault="00AB53C1" w:rsidP="00A8247E">
            <w:pPr>
              <w:pStyle w:val="Tablewriting"/>
              <w:jc w:val="center"/>
              <w:rPr>
                <w:rFonts w:eastAsia="MS Mincho"/>
              </w:rPr>
            </w:pPr>
            <w:r>
              <w:rPr>
                <w:rFonts w:eastAsia="MS Mincho"/>
              </w:rPr>
              <w:t>(8.8%)</w:t>
            </w:r>
          </w:p>
        </w:tc>
        <w:tc>
          <w:tcPr>
            <w:tcW w:w="851" w:type="pct"/>
            <w:tcMar>
              <w:left w:w="28" w:type="dxa"/>
              <w:right w:w="28" w:type="dxa"/>
            </w:tcMar>
          </w:tcPr>
          <w:p w14:paraId="0CB0D74D" w14:textId="77777777" w:rsidR="00AB53C1" w:rsidRDefault="00AB53C1" w:rsidP="006F73C6">
            <w:pPr>
              <w:pStyle w:val="Tablewriting"/>
              <w:jc w:val="center"/>
            </w:pPr>
            <w:r w:rsidRPr="00AB53C1">
              <w:t xml:space="preserve">1.12 </w:t>
            </w:r>
          </w:p>
          <w:p w14:paraId="106C21B3" w14:textId="4CB9BDBD" w:rsidR="00AB53C1" w:rsidRPr="00AB53C1" w:rsidRDefault="00AB53C1">
            <w:pPr>
              <w:pStyle w:val="Tablewriting"/>
              <w:jc w:val="center"/>
              <w:rPr>
                <w:rFonts w:eastAsia="MS Mincho"/>
              </w:rPr>
            </w:pPr>
            <w:r w:rsidRPr="00AB53C1">
              <w:t>(0.66, 1.89)</w:t>
            </w:r>
          </w:p>
        </w:tc>
        <w:tc>
          <w:tcPr>
            <w:tcW w:w="807" w:type="pct"/>
          </w:tcPr>
          <w:p w14:paraId="74E5826C" w14:textId="77777777" w:rsidR="00AB53C1" w:rsidRDefault="00AB53C1">
            <w:pPr>
              <w:pStyle w:val="Tablewriting"/>
              <w:jc w:val="center"/>
            </w:pPr>
            <w:r w:rsidRPr="00AB53C1">
              <w:t xml:space="preserve">0.01 </w:t>
            </w:r>
          </w:p>
          <w:p w14:paraId="1F558D52" w14:textId="79816AA7" w:rsidR="00AB53C1" w:rsidRPr="00AB53C1" w:rsidRDefault="00AB53C1">
            <w:pPr>
              <w:pStyle w:val="Tablewriting"/>
              <w:jc w:val="center"/>
              <w:rPr>
                <w:rFonts w:eastAsia="MS Mincho"/>
              </w:rPr>
            </w:pPr>
            <w:r w:rsidRPr="00AB53C1">
              <w:t>(-0.04, 0.06)</w:t>
            </w:r>
          </w:p>
        </w:tc>
      </w:tr>
      <w:tr w:rsidR="00AB53C1" w:rsidRPr="00061F78" w14:paraId="0B9C13D6" w14:textId="77777777" w:rsidTr="00092FA8">
        <w:trPr>
          <w:cantSplit/>
          <w:trHeight w:val="149"/>
        </w:trPr>
        <w:tc>
          <w:tcPr>
            <w:tcW w:w="1412" w:type="pct"/>
            <w:tcMar>
              <w:left w:w="28" w:type="dxa"/>
              <w:right w:w="28" w:type="dxa"/>
            </w:tcMar>
          </w:tcPr>
          <w:p w14:paraId="6B52BEA2" w14:textId="759E86D2" w:rsidR="00AB53C1" w:rsidRDefault="00AB53C1" w:rsidP="00A8247E">
            <w:pPr>
              <w:pStyle w:val="Tablewriting"/>
              <w:rPr>
                <w:rFonts w:eastAsia="MS Mincho"/>
              </w:rPr>
            </w:pPr>
            <w:r>
              <w:rPr>
                <w:rFonts w:eastAsia="MS Mincho"/>
              </w:rPr>
              <w:t xml:space="preserve">     Insomnia</w:t>
            </w:r>
          </w:p>
        </w:tc>
        <w:tc>
          <w:tcPr>
            <w:tcW w:w="1022" w:type="pct"/>
            <w:tcMar>
              <w:left w:w="28" w:type="dxa"/>
              <w:right w:w="28" w:type="dxa"/>
            </w:tcMar>
            <w:vAlign w:val="center"/>
          </w:tcPr>
          <w:p w14:paraId="71A3C76B" w14:textId="77777777" w:rsidR="00AB53C1" w:rsidRDefault="00AB53C1" w:rsidP="00A8247E">
            <w:pPr>
              <w:pStyle w:val="Tablewriting"/>
              <w:jc w:val="center"/>
              <w:rPr>
                <w:rFonts w:eastAsia="MS Mincho"/>
              </w:rPr>
            </w:pPr>
            <w:r>
              <w:rPr>
                <w:rFonts w:eastAsia="MS Mincho"/>
              </w:rPr>
              <w:t>49/275</w:t>
            </w:r>
          </w:p>
          <w:p w14:paraId="60684AE1" w14:textId="0EBB35D7" w:rsidR="00AB53C1" w:rsidRDefault="00AB53C1" w:rsidP="00A8247E">
            <w:pPr>
              <w:pStyle w:val="Tablewriting"/>
              <w:jc w:val="center"/>
              <w:rPr>
                <w:rFonts w:eastAsia="MS Mincho"/>
              </w:rPr>
            </w:pPr>
            <w:r>
              <w:rPr>
                <w:rFonts w:eastAsia="MS Mincho"/>
              </w:rPr>
              <w:t>(17.8%)</w:t>
            </w:r>
          </w:p>
        </w:tc>
        <w:tc>
          <w:tcPr>
            <w:tcW w:w="907" w:type="pct"/>
            <w:tcMar>
              <w:left w:w="28" w:type="dxa"/>
              <w:right w:w="28" w:type="dxa"/>
            </w:tcMar>
            <w:vAlign w:val="center"/>
          </w:tcPr>
          <w:p w14:paraId="78E83F63" w14:textId="77777777" w:rsidR="00AB53C1" w:rsidRDefault="00AB53C1" w:rsidP="00A8247E">
            <w:pPr>
              <w:pStyle w:val="Tablewriting"/>
              <w:jc w:val="center"/>
              <w:rPr>
                <w:rFonts w:eastAsia="MS Mincho"/>
              </w:rPr>
            </w:pPr>
            <w:r>
              <w:rPr>
                <w:rFonts w:eastAsia="MS Mincho"/>
              </w:rPr>
              <w:t>55/274</w:t>
            </w:r>
          </w:p>
          <w:p w14:paraId="1C0D87A9" w14:textId="0BE802E3" w:rsidR="00AB53C1" w:rsidRDefault="00AB53C1" w:rsidP="00A8247E">
            <w:pPr>
              <w:pStyle w:val="Tablewriting"/>
              <w:jc w:val="center"/>
              <w:rPr>
                <w:rFonts w:eastAsia="MS Mincho"/>
              </w:rPr>
            </w:pPr>
            <w:r>
              <w:rPr>
                <w:rFonts w:eastAsia="MS Mincho"/>
              </w:rPr>
              <w:t>(20.1%)</w:t>
            </w:r>
          </w:p>
        </w:tc>
        <w:tc>
          <w:tcPr>
            <w:tcW w:w="851" w:type="pct"/>
            <w:tcMar>
              <w:left w:w="28" w:type="dxa"/>
              <w:right w:w="28" w:type="dxa"/>
            </w:tcMar>
          </w:tcPr>
          <w:p w14:paraId="0414EC0C" w14:textId="77777777" w:rsidR="00AB53C1" w:rsidRDefault="00AB53C1" w:rsidP="006F73C6">
            <w:pPr>
              <w:pStyle w:val="Tablewriting"/>
              <w:jc w:val="center"/>
            </w:pPr>
            <w:r w:rsidRPr="00AB53C1">
              <w:t xml:space="preserve">0.89 </w:t>
            </w:r>
          </w:p>
          <w:p w14:paraId="4E1A23C7" w14:textId="7B659BBF" w:rsidR="00AB53C1" w:rsidRPr="00AB53C1" w:rsidRDefault="00AB53C1">
            <w:pPr>
              <w:pStyle w:val="Tablewriting"/>
              <w:jc w:val="center"/>
              <w:rPr>
                <w:rFonts w:eastAsia="MS Mincho"/>
              </w:rPr>
            </w:pPr>
            <w:r w:rsidRPr="00AB53C1">
              <w:t>(0.63, 1.26)</w:t>
            </w:r>
          </w:p>
        </w:tc>
        <w:tc>
          <w:tcPr>
            <w:tcW w:w="807" w:type="pct"/>
          </w:tcPr>
          <w:p w14:paraId="01D5F451" w14:textId="77777777" w:rsidR="00AB53C1" w:rsidRDefault="00AB53C1">
            <w:pPr>
              <w:pStyle w:val="Tablewriting"/>
              <w:jc w:val="center"/>
            </w:pPr>
            <w:r w:rsidRPr="00AB53C1">
              <w:t xml:space="preserve">-0.02 </w:t>
            </w:r>
          </w:p>
          <w:p w14:paraId="5BDB6AC6" w14:textId="23C96FE2" w:rsidR="00AB53C1" w:rsidRPr="00AB53C1" w:rsidRDefault="00AB53C1">
            <w:pPr>
              <w:pStyle w:val="Tablewriting"/>
              <w:jc w:val="center"/>
              <w:rPr>
                <w:rFonts w:eastAsia="MS Mincho"/>
              </w:rPr>
            </w:pPr>
            <w:r w:rsidRPr="00AB53C1">
              <w:t>(-0.09, 0.04)</w:t>
            </w:r>
          </w:p>
        </w:tc>
      </w:tr>
      <w:tr w:rsidR="00AB53C1" w:rsidRPr="00061F78" w14:paraId="085E53C3" w14:textId="77777777" w:rsidTr="00092FA8">
        <w:trPr>
          <w:cantSplit/>
          <w:trHeight w:val="149"/>
        </w:trPr>
        <w:tc>
          <w:tcPr>
            <w:tcW w:w="1412" w:type="pct"/>
            <w:tcMar>
              <w:left w:w="28" w:type="dxa"/>
              <w:right w:w="28" w:type="dxa"/>
            </w:tcMar>
          </w:tcPr>
          <w:p w14:paraId="7DB1AD6A" w14:textId="70C45E36" w:rsidR="00AB53C1" w:rsidRDefault="00AB53C1" w:rsidP="00A8247E">
            <w:pPr>
              <w:pStyle w:val="Tablewriting"/>
              <w:rPr>
                <w:rFonts w:eastAsia="MS Mincho"/>
              </w:rPr>
            </w:pPr>
            <w:r>
              <w:rPr>
                <w:rFonts w:eastAsia="MS Mincho"/>
              </w:rPr>
              <w:t xml:space="preserve">     Vivid dreams</w:t>
            </w:r>
          </w:p>
        </w:tc>
        <w:tc>
          <w:tcPr>
            <w:tcW w:w="1022" w:type="pct"/>
            <w:tcMar>
              <w:left w:w="28" w:type="dxa"/>
              <w:right w:w="28" w:type="dxa"/>
            </w:tcMar>
            <w:vAlign w:val="center"/>
          </w:tcPr>
          <w:p w14:paraId="7B440A19" w14:textId="77777777" w:rsidR="00AB53C1" w:rsidRDefault="00AB53C1" w:rsidP="00A8247E">
            <w:pPr>
              <w:pStyle w:val="Tablewriting"/>
              <w:jc w:val="center"/>
              <w:rPr>
                <w:rFonts w:eastAsia="MS Mincho"/>
              </w:rPr>
            </w:pPr>
            <w:r>
              <w:rPr>
                <w:rFonts w:eastAsia="MS Mincho"/>
              </w:rPr>
              <w:t>63/275</w:t>
            </w:r>
          </w:p>
          <w:p w14:paraId="2456AFF3" w14:textId="280AE471" w:rsidR="00AB53C1" w:rsidRDefault="00AB53C1" w:rsidP="00A8247E">
            <w:pPr>
              <w:pStyle w:val="Tablewriting"/>
              <w:jc w:val="center"/>
              <w:rPr>
                <w:rFonts w:eastAsia="MS Mincho"/>
              </w:rPr>
            </w:pPr>
            <w:r>
              <w:rPr>
                <w:rFonts w:eastAsia="MS Mincho"/>
              </w:rPr>
              <w:t>(22.9%)</w:t>
            </w:r>
          </w:p>
        </w:tc>
        <w:tc>
          <w:tcPr>
            <w:tcW w:w="907" w:type="pct"/>
            <w:tcMar>
              <w:left w:w="28" w:type="dxa"/>
              <w:right w:w="28" w:type="dxa"/>
            </w:tcMar>
            <w:vAlign w:val="center"/>
          </w:tcPr>
          <w:p w14:paraId="5ED7E243" w14:textId="77777777" w:rsidR="00AB53C1" w:rsidRDefault="00AB53C1" w:rsidP="00A8247E">
            <w:pPr>
              <w:pStyle w:val="Tablewriting"/>
              <w:jc w:val="center"/>
              <w:rPr>
                <w:rFonts w:eastAsia="MS Mincho"/>
              </w:rPr>
            </w:pPr>
            <w:r>
              <w:rPr>
                <w:rFonts w:eastAsia="MS Mincho"/>
              </w:rPr>
              <w:t>100/274</w:t>
            </w:r>
          </w:p>
          <w:p w14:paraId="2CA8BB3F" w14:textId="458114D7" w:rsidR="00AB53C1" w:rsidRDefault="00AB53C1" w:rsidP="00A8247E">
            <w:pPr>
              <w:pStyle w:val="Tablewriting"/>
              <w:jc w:val="center"/>
              <w:rPr>
                <w:rFonts w:eastAsia="MS Mincho"/>
              </w:rPr>
            </w:pPr>
            <w:r>
              <w:rPr>
                <w:rFonts w:eastAsia="MS Mincho"/>
              </w:rPr>
              <w:t>(36.5%)</w:t>
            </w:r>
          </w:p>
        </w:tc>
        <w:tc>
          <w:tcPr>
            <w:tcW w:w="851" w:type="pct"/>
            <w:tcMar>
              <w:left w:w="28" w:type="dxa"/>
              <w:right w:w="28" w:type="dxa"/>
            </w:tcMar>
          </w:tcPr>
          <w:p w14:paraId="4EBB2C05" w14:textId="77777777" w:rsidR="00AB53C1" w:rsidRPr="00AB53C1" w:rsidRDefault="00AB53C1" w:rsidP="006F73C6">
            <w:pPr>
              <w:pStyle w:val="Tablewriting"/>
              <w:jc w:val="center"/>
              <w:rPr>
                <w:b/>
                <w:bCs/>
              </w:rPr>
            </w:pPr>
            <w:r w:rsidRPr="00AB53C1">
              <w:rPr>
                <w:b/>
                <w:bCs/>
              </w:rPr>
              <w:t xml:space="preserve">0.63 </w:t>
            </w:r>
          </w:p>
          <w:p w14:paraId="60241BAE" w14:textId="31B02D00" w:rsidR="00AB53C1" w:rsidRPr="00AB53C1" w:rsidRDefault="00AB53C1">
            <w:pPr>
              <w:pStyle w:val="Tablewriting"/>
              <w:jc w:val="center"/>
              <w:rPr>
                <w:rFonts w:eastAsia="MS Mincho"/>
                <w:b/>
                <w:bCs/>
              </w:rPr>
            </w:pPr>
            <w:r w:rsidRPr="00AB53C1">
              <w:rPr>
                <w:b/>
                <w:bCs/>
              </w:rPr>
              <w:t>(0.48, 0.82)</w:t>
            </w:r>
          </w:p>
        </w:tc>
        <w:tc>
          <w:tcPr>
            <w:tcW w:w="807" w:type="pct"/>
          </w:tcPr>
          <w:p w14:paraId="14B5261F" w14:textId="77777777" w:rsidR="00AB53C1" w:rsidRPr="00AB53C1" w:rsidRDefault="00AB53C1">
            <w:pPr>
              <w:pStyle w:val="Tablewriting"/>
              <w:jc w:val="center"/>
              <w:rPr>
                <w:b/>
                <w:bCs/>
              </w:rPr>
            </w:pPr>
            <w:r w:rsidRPr="00AB53C1">
              <w:rPr>
                <w:b/>
                <w:bCs/>
              </w:rPr>
              <w:t xml:space="preserve">-0.14 </w:t>
            </w:r>
          </w:p>
          <w:p w14:paraId="6446BA1A" w14:textId="080A7848" w:rsidR="00AB53C1" w:rsidRPr="00AB53C1" w:rsidRDefault="00AB53C1">
            <w:pPr>
              <w:pStyle w:val="Tablewriting"/>
              <w:jc w:val="center"/>
              <w:rPr>
                <w:rFonts w:eastAsia="MS Mincho"/>
                <w:b/>
                <w:bCs/>
              </w:rPr>
            </w:pPr>
            <w:r w:rsidRPr="00AB53C1">
              <w:rPr>
                <w:b/>
                <w:bCs/>
              </w:rPr>
              <w:t>(-0.21, -0.06)</w:t>
            </w:r>
          </w:p>
        </w:tc>
      </w:tr>
      <w:tr w:rsidR="00AB53C1" w:rsidRPr="00061F78" w14:paraId="544216C9" w14:textId="77777777" w:rsidTr="00092FA8">
        <w:trPr>
          <w:cantSplit/>
          <w:trHeight w:val="149"/>
        </w:trPr>
        <w:tc>
          <w:tcPr>
            <w:tcW w:w="1412" w:type="pct"/>
            <w:tcMar>
              <w:left w:w="28" w:type="dxa"/>
              <w:right w:w="28" w:type="dxa"/>
            </w:tcMar>
          </w:tcPr>
          <w:p w14:paraId="76A4B5D8" w14:textId="77777777" w:rsidR="00AB53C1" w:rsidRDefault="00AB53C1" w:rsidP="00A8247E">
            <w:pPr>
              <w:pStyle w:val="Tablewriting"/>
              <w:rPr>
                <w:rFonts w:eastAsia="MS Mincho"/>
              </w:rPr>
            </w:pPr>
            <w:r>
              <w:rPr>
                <w:rFonts w:eastAsia="MS Mincho"/>
              </w:rPr>
              <w:t>Serious adverse events</w:t>
            </w:r>
          </w:p>
        </w:tc>
        <w:tc>
          <w:tcPr>
            <w:tcW w:w="1022" w:type="pct"/>
            <w:tcMar>
              <w:left w:w="28" w:type="dxa"/>
              <w:right w:w="28" w:type="dxa"/>
            </w:tcMar>
            <w:vAlign w:val="center"/>
          </w:tcPr>
          <w:p w14:paraId="4D0CF1F6" w14:textId="77777777" w:rsidR="00AB53C1" w:rsidRPr="00325EF5" w:rsidRDefault="00AB53C1" w:rsidP="00A8247E">
            <w:pPr>
              <w:pStyle w:val="Tablewriting"/>
              <w:jc w:val="center"/>
              <w:rPr>
                <w:rFonts w:eastAsia="MS Mincho"/>
              </w:rPr>
            </w:pPr>
            <w:r w:rsidRPr="00325EF5">
              <w:rPr>
                <w:rFonts w:eastAsia="MS Mincho"/>
              </w:rPr>
              <w:t>23/275</w:t>
            </w:r>
          </w:p>
          <w:p w14:paraId="003B95D2" w14:textId="568A1431" w:rsidR="00AB53C1" w:rsidRPr="00325EF5" w:rsidRDefault="00AB53C1" w:rsidP="00A8247E">
            <w:pPr>
              <w:pStyle w:val="Tablewriting"/>
              <w:jc w:val="center"/>
              <w:rPr>
                <w:rFonts w:eastAsia="MS Mincho"/>
              </w:rPr>
            </w:pPr>
            <w:r w:rsidRPr="00325EF5">
              <w:rPr>
                <w:rFonts w:eastAsia="MS Mincho"/>
              </w:rPr>
              <w:t>(8.4%)</w:t>
            </w:r>
          </w:p>
        </w:tc>
        <w:tc>
          <w:tcPr>
            <w:tcW w:w="907" w:type="pct"/>
            <w:tcMar>
              <w:left w:w="28" w:type="dxa"/>
              <w:right w:w="28" w:type="dxa"/>
            </w:tcMar>
            <w:vAlign w:val="center"/>
          </w:tcPr>
          <w:p w14:paraId="2C3D0289" w14:textId="77777777" w:rsidR="00AB53C1" w:rsidRDefault="00AB53C1" w:rsidP="00A8247E">
            <w:pPr>
              <w:pStyle w:val="Tablewriting"/>
              <w:jc w:val="center"/>
              <w:rPr>
                <w:rFonts w:eastAsia="MS Mincho"/>
              </w:rPr>
            </w:pPr>
            <w:r>
              <w:rPr>
                <w:rFonts w:eastAsia="MS Mincho"/>
              </w:rPr>
              <w:t>17/274</w:t>
            </w:r>
          </w:p>
          <w:p w14:paraId="6185D42C" w14:textId="6E1138F0" w:rsidR="00AB53C1" w:rsidRPr="00325EF5" w:rsidRDefault="00AB53C1" w:rsidP="00A8247E">
            <w:pPr>
              <w:pStyle w:val="Tablewriting"/>
              <w:jc w:val="center"/>
              <w:rPr>
                <w:rFonts w:eastAsia="MS Mincho"/>
              </w:rPr>
            </w:pPr>
            <w:r>
              <w:rPr>
                <w:rFonts w:eastAsia="MS Mincho"/>
              </w:rPr>
              <w:t>(6.2%)</w:t>
            </w:r>
          </w:p>
        </w:tc>
        <w:tc>
          <w:tcPr>
            <w:tcW w:w="851" w:type="pct"/>
            <w:tcMar>
              <w:left w:w="28" w:type="dxa"/>
              <w:right w:w="28" w:type="dxa"/>
            </w:tcMar>
          </w:tcPr>
          <w:p w14:paraId="6EA1AF7F" w14:textId="77777777" w:rsidR="00AB53C1" w:rsidRDefault="00AB53C1" w:rsidP="006F73C6">
            <w:pPr>
              <w:pStyle w:val="Tablewriting"/>
              <w:jc w:val="center"/>
            </w:pPr>
            <w:r w:rsidRPr="00AB53C1">
              <w:t xml:space="preserve">1.35 </w:t>
            </w:r>
          </w:p>
          <w:p w14:paraId="64763D50" w14:textId="49B98EA2" w:rsidR="00AB53C1" w:rsidRPr="00AB53C1" w:rsidRDefault="00AB53C1">
            <w:pPr>
              <w:pStyle w:val="Tablewriting"/>
              <w:jc w:val="center"/>
              <w:rPr>
                <w:rFonts w:eastAsia="MS Mincho"/>
              </w:rPr>
            </w:pPr>
            <w:r w:rsidRPr="00AB53C1">
              <w:t>(0.74, 2.47)</w:t>
            </w:r>
          </w:p>
        </w:tc>
        <w:tc>
          <w:tcPr>
            <w:tcW w:w="807" w:type="pct"/>
          </w:tcPr>
          <w:p w14:paraId="5ECE3F56" w14:textId="77777777" w:rsidR="00AB53C1" w:rsidRDefault="00AB53C1">
            <w:pPr>
              <w:pStyle w:val="Tablewriting"/>
              <w:jc w:val="center"/>
            </w:pPr>
            <w:r w:rsidRPr="00AB53C1">
              <w:t xml:space="preserve">0.02 </w:t>
            </w:r>
          </w:p>
          <w:p w14:paraId="271B1003" w14:textId="04843412" w:rsidR="00AB53C1" w:rsidRPr="00AB53C1" w:rsidRDefault="00AB53C1">
            <w:pPr>
              <w:pStyle w:val="Tablewriting"/>
              <w:jc w:val="center"/>
              <w:rPr>
                <w:rFonts w:eastAsia="MS Mincho"/>
              </w:rPr>
            </w:pPr>
            <w:r w:rsidRPr="00AB53C1">
              <w:t>(-0.02, 0.07)</w:t>
            </w:r>
          </w:p>
        </w:tc>
      </w:tr>
    </w:tbl>
    <w:p w14:paraId="66E03E36" w14:textId="72241357" w:rsidR="000944A0" w:rsidRDefault="000944A0" w:rsidP="00D44ACF">
      <w:pPr>
        <w:pStyle w:val="TableFooter"/>
        <w:jc w:val="both"/>
      </w:pPr>
      <w:r>
        <w:t>Source: Chen et al. (2020)</w:t>
      </w:r>
    </w:p>
    <w:p w14:paraId="43BF7B21" w14:textId="7A8B4806" w:rsidR="000944A0" w:rsidRDefault="000944A0" w:rsidP="00D44ACF">
      <w:pPr>
        <w:pStyle w:val="TableFooter"/>
        <w:jc w:val="both"/>
      </w:pPr>
      <w:r>
        <w:t>Abbreviations: CI = confidence interval;</w:t>
      </w:r>
      <w:r w:rsidR="00F860FD">
        <w:t xml:space="preserve"> NRT = nicotine replacement therapy;</w:t>
      </w:r>
      <w:r>
        <w:t xml:space="preserve"> RCT = randomised controlled trial; RD = risk difference; RR = risk ratio</w:t>
      </w:r>
    </w:p>
    <w:p w14:paraId="23E36ED7" w14:textId="440B2A5C" w:rsidR="000944A0" w:rsidRDefault="000944A0" w:rsidP="00D44ACF">
      <w:pPr>
        <w:pStyle w:val="TableFooter"/>
        <w:jc w:val="both"/>
      </w:pPr>
      <w:r w:rsidRPr="00FD4061">
        <w:t>Note</w:t>
      </w:r>
      <w:r>
        <w:t>s</w:t>
      </w:r>
      <w:r w:rsidRPr="00FD4061">
        <w:t xml:space="preserve">: </w:t>
      </w:r>
      <w:r>
        <w:t xml:space="preserve">Calculated during the review. </w:t>
      </w:r>
      <w:r w:rsidRPr="00FD4061">
        <w:t>Bold indicates statistically significant difference.</w:t>
      </w:r>
      <w:r>
        <w:t xml:space="preserve"> </w:t>
      </w:r>
    </w:p>
    <w:p w14:paraId="19D8B0D8" w14:textId="1A6CAA9D" w:rsidR="00F8248E" w:rsidRPr="00D0573E" w:rsidRDefault="00D0573E" w:rsidP="00D44ACF">
      <w:pPr>
        <w:spacing w:after="120"/>
        <w:jc w:val="both"/>
        <w:rPr>
          <w:b/>
        </w:rPr>
      </w:pPr>
      <w:r w:rsidRPr="00D0573E">
        <w:rPr>
          <w:b/>
          <w:bCs/>
        </w:rPr>
        <w:lastRenderedPageBreak/>
        <w:t>Supportive evidence (Cahill et al. 2013) – combination NRT versus varenicline or bupropion</w:t>
      </w:r>
    </w:p>
    <w:p w14:paraId="13378D2B" w14:textId="260C8706" w:rsidR="00436917" w:rsidRDefault="00436917" w:rsidP="00D44ACF">
      <w:pPr>
        <w:spacing w:after="120"/>
        <w:jc w:val="both"/>
        <w:rPr>
          <w:u w:val="single"/>
        </w:rPr>
      </w:pPr>
      <w:r w:rsidRPr="009C79C3">
        <w:rPr>
          <w:u w:val="single"/>
        </w:rPr>
        <w:t>Efficacy</w:t>
      </w:r>
      <w:r>
        <w:rPr>
          <w:u w:val="single"/>
        </w:rPr>
        <w:t xml:space="preserve"> – combination NRT versus varenicline or bupropion</w:t>
      </w:r>
    </w:p>
    <w:p w14:paraId="1A58469A" w14:textId="1C131659" w:rsidR="0068348D" w:rsidRDefault="00995E7C" w:rsidP="00D44ACF">
      <w:pPr>
        <w:spacing w:after="120"/>
        <w:jc w:val="both"/>
      </w:pPr>
      <w:r>
        <w:t xml:space="preserve">The results of the network meta-analysis by </w:t>
      </w:r>
      <w:r w:rsidR="00FC05D1">
        <w:t>Cahill et al. (2013) based on</w:t>
      </w:r>
      <w:r w:rsidR="00C57190">
        <w:t xml:space="preserve"> smoking cessation rates </w:t>
      </w:r>
      <w:r w:rsidR="00B61C60">
        <w:t>for</w:t>
      </w:r>
      <w:r w:rsidR="00C57190">
        <w:t xml:space="preserve"> at least six months follow-up is presented </w:t>
      </w:r>
      <w:r w:rsidR="00D23F96">
        <w:t xml:space="preserve">using a forest plot </w:t>
      </w:r>
      <w:r w:rsidR="00C57190">
        <w:t>in</w:t>
      </w:r>
      <w:r w:rsidR="00D23F96">
        <w:t xml:space="preserve"> </w:t>
      </w:r>
      <w:r w:rsidR="00D23F96">
        <w:fldChar w:fldCharType="begin" w:fldLock="1"/>
      </w:r>
      <w:r w:rsidR="00D23F96">
        <w:instrText xml:space="preserve"> REF _Ref55315815 \h </w:instrText>
      </w:r>
      <w:r w:rsidR="00D23F96">
        <w:fldChar w:fldCharType="separate"/>
      </w:r>
      <w:r w:rsidR="00EC5CC7">
        <w:t xml:space="preserve">Figure </w:t>
      </w:r>
      <w:r w:rsidR="00EC5CC7">
        <w:rPr>
          <w:noProof/>
        </w:rPr>
        <w:t>18</w:t>
      </w:r>
      <w:r w:rsidR="00D23F96">
        <w:fldChar w:fldCharType="end"/>
      </w:r>
      <w:r w:rsidR="00C57190">
        <w:t xml:space="preserve">. </w:t>
      </w:r>
      <w:r w:rsidR="009F16A2">
        <w:t>C</w:t>
      </w:r>
      <w:r w:rsidR="00C45E39">
        <w:t>ombination NRT, NRT monotherapy</w:t>
      </w:r>
      <w:r w:rsidR="00212DCB">
        <w:t xml:space="preserve">, varenicline and bupropion </w:t>
      </w:r>
      <w:r w:rsidR="00F23227">
        <w:t>significantly increased the odds of quitting</w:t>
      </w:r>
      <w:r w:rsidR="009F16A2">
        <w:t xml:space="preserve"> compared with placebo</w:t>
      </w:r>
      <w:r w:rsidR="00F23227">
        <w:t>.</w:t>
      </w:r>
      <w:r w:rsidR="00002B29">
        <w:t xml:space="preserve"> </w:t>
      </w:r>
    </w:p>
    <w:p w14:paraId="692A020E" w14:textId="0C2361A4" w:rsidR="0068348D" w:rsidRDefault="0068348D" w:rsidP="00D44ACF">
      <w:pPr>
        <w:spacing w:after="120"/>
        <w:jc w:val="both"/>
      </w:pPr>
      <w:r>
        <w:t>For the comparison of combination NRT versus varenicline, t</w:t>
      </w:r>
      <w:r w:rsidR="00C10815">
        <w:t xml:space="preserve">he results of the network meta-analysis demonstrated no statistically significant difference between </w:t>
      </w:r>
      <w:r>
        <w:t>the two treatment arms</w:t>
      </w:r>
      <w:r w:rsidR="00DB16DC">
        <w:t>, although the results numerically favoured varenicline</w:t>
      </w:r>
      <w:r w:rsidR="00427137">
        <w:t xml:space="preserve"> (</w:t>
      </w:r>
      <w:r w:rsidR="00427137" w:rsidRPr="004E4DF3">
        <w:t>OR: 1.</w:t>
      </w:r>
      <w:r w:rsidR="00B529BF" w:rsidRPr="004E4DF3">
        <w:t>06</w:t>
      </w:r>
      <w:r w:rsidR="00427137" w:rsidRPr="004E4DF3">
        <w:t xml:space="preserve">; 95% CI: </w:t>
      </w:r>
      <w:r w:rsidR="00BF1334" w:rsidRPr="004E4DF3">
        <w:t>0.75</w:t>
      </w:r>
      <w:r w:rsidR="00427137" w:rsidRPr="004E4DF3">
        <w:t>, 1.</w:t>
      </w:r>
      <w:r w:rsidR="00BF1334" w:rsidRPr="004E4DF3">
        <w:t>48</w:t>
      </w:r>
      <w:r w:rsidR="00427137">
        <w:t>)</w:t>
      </w:r>
      <w:r w:rsidR="00DB16DC">
        <w:t>.</w:t>
      </w:r>
      <w:r>
        <w:t xml:space="preserve"> As previously noted, the primary evidence by Chen et al. (2020, head-to-head RCT) demonstrated</w:t>
      </w:r>
      <w:r w:rsidR="00DB16DC">
        <w:t xml:space="preserve"> </w:t>
      </w:r>
      <w:r w:rsidRPr="001270AE">
        <w:t>a statistically significant difference</w:t>
      </w:r>
      <w:r>
        <w:t xml:space="preserve"> in point prevalence abstinence, in favour of varenicline.</w:t>
      </w:r>
    </w:p>
    <w:p w14:paraId="6082F5C8" w14:textId="26F40CF8" w:rsidR="00D44ACF" w:rsidRDefault="0068348D" w:rsidP="00D44ACF">
      <w:pPr>
        <w:spacing w:after="120"/>
        <w:jc w:val="both"/>
      </w:pPr>
      <w:r>
        <w:t>For the comparison of combination NRT versus bupropion</w:t>
      </w:r>
      <w:r w:rsidR="008E6D18">
        <w:t>, the results</w:t>
      </w:r>
      <w:r w:rsidR="00FA2603">
        <w:t xml:space="preserve"> </w:t>
      </w:r>
      <w:r w:rsidR="00043623">
        <w:t>demonstrated a statistically significant difference between the two treatment arms, in favour of combination NRT (</w:t>
      </w:r>
      <w:r w:rsidR="00043623" w:rsidRPr="004E4DF3">
        <w:t xml:space="preserve">OR: 0.68; 95% CI: 0.5, </w:t>
      </w:r>
      <w:r w:rsidR="004F14D2" w:rsidRPr="004E4DF3">
        <w:t>0.91</w:t>
      </w:r>
      <w:r w:rsidR="00043623">
        <w:t>).</w:t>
      </w:r>
    </w:p>
    <w:p w14:paraId="7BA25C8F" w14:textId="77777777" w:rsidR="00D44ACF" w:rsidRDefault="00D44ACF">
      <w:pPr>
        <w:spacing w:line="276" w:lineRule="auto"/>
      </w:pPr>
      <w:r>
        <w:br w:type="page"/>
      </w:r>
    </w:p>
    <w:p w14:paraId="61F87DED" w14:textId="77777777" w:rsidR="00494F7D" w:rsidRDefault="00EB2417" w:rsidP="00494F7D">
      <w:pPr>
        <w:keepNext/>
      </w:pPr>
      <w:r>
        <w:rPr>
          <w:noProof/>
        </w:rPr>
        <w:lastRenderedPageBreak/>
        <w:drawing>
          <wp:inline distT="0" distB="0" distL="0" distR="0" wp14:anchorId="0E366B40" wp14:editId="04A36D2A">
            <wp:extent cx="5731510" cy="3867150"/>
            <wp:effectExtent l="0" t="0" r="2540" b="0"/>
            <wp:docPr id="41" name="Picture 41" descr="P50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5073#yIS1"/>
                    <pic:cNvPicPr/>
                  </pic:nvPicPr>
                  <pic:blipFill>
                    <a:blip r:embed="rId37">
                      <a:extLst>
                        <a:ext uri="{28A0092B-C50C-407E-A947-70E740481C1C}">
                          <a14:useLocalDpi xmlns:a14="http://schemas.microsoft.com/office/drawing/2010/main" val="0"/>
                        </a:ext>
                      </a:extLst>
                    </a:blip>
                    <a:stretch>
                      <a:fillRect/>
                    </a:stretch>
                  </pic:blipFill>
                  <pic:spPr>
                    <a:xfrm>
                      <a:off x="0" y="0"/>
                      <a:ext cx="5731510" cy="3867150"/>
                    </a:xfrm>
                    <a:prstGeom prst="rect">
                      <a:avLst/>
                    </a:prstGeom>
                  </pic:spPr>
                </pic:pic>
              </a:graphicData>
            </a:graphic>
          </wp:inline>
        </w:drawing>
      </w:r>
    </w:p>
    <w:p w14:paraId="368BBC70" w14:textId="45D857CB" w:rsidR="003C7A9A" w:rsidRDefault="00494F7D" w:rsidP="00D44ACF">
      <w:pPr>
        <w:pStyle w:val="Caption"/>
        <w:spacing w:before="120" w:after="60"/>
        <w:jc w:val="both"/>
      </w:pPr>
      <w:bookmarkStart w:id="124" w:name="_Ref55315815"/>
      <w:r>
        <w:t xml:space="preserve">Figure </w:t>
      </w:r>
      <w:r w:rsidR="00BF3F75">
        <w:fldChar w:fldCharType="begin"/>
      </w:r>
      <w:r w:rsidR="00BF3F75">
        <w:instrText xml:space="preserve"> SEQ Figure \* ARABIC </w:instrText>
      </w:r>
      <w:r w:rsidR="00BF3F75">
        <w:fldChar w:fldCharType="separate"/>
      </w:r>
      <w:r w:rsidR="00EC5CC7">
        <w:rPr>
          <w:noProof/>
        </w:rPr>
        <w:t>18</w:t>
      </w:r>
      <w:r w:rsidR="00BF3F75">
        <w:rPr>
          <w:noProof/>
        </w:rPr>
        <w:fldChar w:fldCharType="end"/>
      </w:r>
      <w:bookmarkEnd w:id="124"/>
      <w:r>
        <w:t>: Network meta-analysis of first-line pharmacotherapies versus placebo and versus each other, with NRT</w:t>
      </w:r>
    </w:p>
    <w:p w14:paraId="50516A7F" w14:textId="5E8FDD06" w:rsidR="000F1F3B" w:rsidRDefault="00640968" w:rsidP="00D44ACF">
      <w:pPr>
        <w:pStyle w:val="FigureFooter"/>
        <w:jc w:val="both"/>
      </w:pPr>
      <w:r>
        <w:t>Source: Cahill et al. (201</w:t>
      </w:r>
      <w:r w:rsidR="00A11845">
        <w:t>3</w:t>
      </w:r>
      <w:r>
        <w:t>)</w:t>
      </w:r>
    </w:p>
    <w:p w14:paraId="501F0A84" w14:textId="1CD28935" w:rsidR="00557792" w:rsidRPr="000F1F3B" w:rsidRDefault="00557792" w:rsidP="00D44ACF">
      <w:pPr>
        <w:pStyle w:val="FigureFooter"/>
        <w:spacing w:after="120"/>
        <w:contextualSpacing w:val="0"/>
        <w:jc w:val="both"/>
      </w:pPr>
      <w:r>
        <w:t xml:space="preserve">Note: It was not stated in Cahill et al. (2013) the type of </w:t>
      </w:r>
      <w:r w:rsidR="005A2BFE">
        <w:t>formulation</w:t>
      </w:r>
      <w:r>
        <w:t xml:space="preserve"> used in the combination NRT treatment arm. </w:t>
      </w:r>
      <w:r w:rsidR="007575F9">
        <w:t>Based on one</w:t>
      </w:r>
      <w:r w:rsidR="00480D58">
        <w:t xml:space="preserve"> of the included reviews (NRT 2012</w:t>
      </w:r>
      <w:r w:rsidR="000D7708">
        <w:t xml:space="preserve">, </w:t>
      </w:r>
      <w:r w:rsidR="00760F69">
        <w:t xml:space="preserve">also known as </w:t>
      </w:r>
      <w:r w:rsidR="000D7708">
        <w:t>Stead 2008</w:t>
      </w:r>
      <w:r w:rsidR="00480D58">
        <w:t>) in Cahill et al. (2013)</w:t>
      </w:r>
      <w:r w:rsidR="00C94EA9">
        <w:t>,</w:t>
      </w:r>
      <w:r w:rsidR="00480D58">
        <w:t xml:space="preserve"> </w:t>
      </w:r>
      <w:r w:rsidR="00C94EA9">
        <w:t>6 RCTs</w:t>
      </w:r>
      <w:r w:rsidR="00C94EA9" w:rsidRPr="00C94EA9">
        <w:t xml:space="preserve">  compared combinations of two forms of nicotine therapy with only one form; patch with gum to </w:t>
      </w:r>
      <w:r w:rsidR="00573F59">
        <w:t>patches</w:t>
      </w:r>
      <w:r w:rsidR="00C94EA9" w:rsidRPr="00C94EA9">
        <w:t xml:space="preserve"> alone (Kornitzer 1995); patch with gum to gum alone (Puska 1995); patch with nasal spray to </w:t>
      </w:r>
      <w:r w:rsidR="00573F59">
        <w:t>patches</w:t>
      </w:r>
      <w:r w:rsidR="00C94EA9" w:rsidRPr="00C94EA9">
        <w:t xml:space="preserve"> alone (Blondal 1999); patch with inhaler to inhaler alone (Bohadana 2000), patch with inhaler to either one alone (Tonnesen 2000) and patch with nasal spray to either one alone (Croghan 2003). In addition to these last two trials allowing a direct comparison between two single types, Lerman </w:t>
      </w:r>
      <w:r w:rsidR="001D1654">
        <w:t>(</w:t>
      </w:r>
      <w:r w:rsidR="00C94EA9" w:rsidRPr="00C94EA9">
        <w:t>2004</w:t>
      </w:r>
      <w:r w:rsidR="001D1654">
        <w:t>)</w:t>
      </w:r>
      <w:r w:rsidR="00C94EA9" w:rsidRPr="00C94EA9">
        <w:t xml:space="preserve"> compared </w:t>
      </w:r>
      <w:r w:rsidR="00573F59">
        <w:t>patches</w:t>
      </w:r>
      <w:r w:rsidR="00C94EA9" w:rsidRPr="00C94EA9">
        <w:t xml:space="preserve"> to nasal spray. A factorial trial compared nicotine and bupropion (Jorenby 1999)</w:t>
      </w:r>
      <w:r w:rsidR="00480D58">
        <w:t>.</w:t>
      </w:r>
    </w:p>
    <w:p w14:paraId="78C961DD" w14:textId="4ECBB5FE" w:rsidR="00952CCE" w:rsidRPr="00952CCE" w:rsidRDefault="00952CCE" w:rsidP="00D44ACF">
      <w:pPr>
        <w:spacing w:after="120"/>
        <w:jc w:val="both"/>
        <w:rPr>
          <w:u w:val="single"/>
        </w:rPr>
      </w:pPr>
      <w:r w:rsidRPr="00952CCE">
        <w:rPr>
          <w:u w:val="single"/>
        </w:rPr>
        <w:t>Safety</w:t>
      </w:r>
      <w:r w:rsidR="00F8248E">
        <w:rPr>
          <w:u w:val="single"/>
        </w:rPr>
        <w:t xml:space="preserve"> – combination NRT versus varenicline or bupropion</w:t>
      </w:r>
    </w:p>
    <w:p w14:paraId="3A78472C" w14:textId="5D537EDE" w:rsidR="00EB2417" w:rsidRDefault="00952CCE" w:rsidP="00D44ACF">
      <w:pPr>
        <w:spacing w:after="120"/>
        <w:jc w:val="both"/>
      </w:pPr>
      <w:r>
        <w:t xml:space="preserve">The incidence of adverse events comparing </w:t>
      </w:r>
      <w:r w:rsidR="006212AC">
        <w:t>combination</w:t>
      </w:r>
      <w:r>
        <w:t xml:space="preserve"> NRT with </w:t>
      </w:r>
      <w:r w:rsidR="006212AC">
        <w:t xml:space="preserve">varenicline </w:t>
      </w:r>
      <w:r w:rsidR="00B45482">
        <w:t>or bupropion</w:t>
      </w:r>
      <w:r>
        <w:t xml:space="preserve"> was not synthesised quantitatively by </w:t>
      </w:r>
      <w:r w:rsidR="00FE0C71">
        <w:t>Cahill</w:t>
      </w:r>
      <w:r>
        <w:t xml:space="preserve"> et al. (201</w:t>
      </w:r>
      <w:r w:rsidR="00FE0C71">
        <w:t>3</w:t>
      </w:r>
      <w:r>
        <w:t xml:space="preserve">). </w:t>
      </w:r>
      <w:r w:rsidR="00BD19BF">
        <w:t xml:space="preserve">The authors of the Cochrane </w:t>
      </w:r>
      <w:r w:rsidR="00497485">
        <w:t>R</w:t>
      </w:r>
      <w:r w:rsidR="00BD19BF">
        <w:t xml:space="preserve">eview assessed adverse events </w:t>
      </w:r>
      <w:r w:rsidR="00283A81">
        <w:t xml:space="preserve">of the </w:t>
      </w:r>
      <w:r w:rsidR="00B31170">
        <w:t>interventions</w:t>
      </w:r>
      <w:r w:rsidR="00BD19BF">
        <w:t xml:space="preserve"> </w:t>
      </w:r>
      <w:r w:rsidR="00283A81">
        <w:t>based on the individual trials</w:t>
      </w:r>
      <w:r w:rsidR="00B31170">
        <w:t xml:space="preserve"> instead of a network meta-analysis.</w:t>
      </w:r>
    </w:p>
    <w:p w14:paraId="20E5EF62" w14:textId="1D7AE870" w:rsidR="00983B47" w:rsidRDefault="00566315" w:rsidP="00B57674">
      <w:pPr>
        <w:pStyle w:val="Heading5"/>
        <w:numPr>
          <w:ilvl w:val="0"/>
          <w:numId w:val="0"/>
        </w:numPr>
        <w:spacing w:after="120"/>
        <w:jc w:val="both"/>
      </w:pPr>
      <w:r>
        <w:t>C</w:t>
      </w:r>
      <w:r w:rsidR="00983B47">
        <w:t>ombination</w:t>
      </w:r>
      <w:r>
        <w:t xml:space="preserve"> varenicline</w:t>
      </w:r>
    </w:p>
    <w:p w14:paraId="0F954912" w14:textId="4D1652B4" w:rsidR="00BE7EF0" w:rsidRDefault="00BE7EF0" w:rsidP="00B57674">
      <w:pPr>
        <w:spacing w:after="120"/>
        <w:jc w:val="both"/>
      </w:pPr>
      <w:r>
        <w:t>Varenicline in combination with NRT or bupropion ha</w:t>
      </w:r>
      <w:r w:rsidR="0018773E">
        <w:t>s</w:t>
      </w:r>
      <w:r>
        <w:t xml:space="preserve"> not been previously considered by the PBAC. </w:t>
      </w:r>
      <w:r w:rsidRPr="00BE7EF0">
        <w:t xml:space="preserve">The PBAC </w:t>
      </w:r>
      <w:r>
        <w:t xml:space="preserve">previously </w:t>
      </w:r>
      <w:r w:rsidRPr="00BE7EF0">
        <w:t>considered that</w:t>
      </w:r>
      <w:r>
        <w:t xml:space="preserve"> in clinical practice,</w:t>
      </w:r>
      <w:r w:rsidRPr="00BE7EF0">
        <w:t xml:space="preserve"> nicotine </w:t>
      </w:r>
      <w:r w:rsidR="00573F59">
        <w:t>lozenges</w:t>
      </w:r>
      <w:r w:rsidRPr="00BE7EF0">
        <w:t xml:space="preserve"> or gum could be used in combination with varenicline (NRT PSD, July 2017 PBAC meeting).</w:t>
      </w:r>
    </w:p>
    <w:p w14:paraId="0EB081E0" w14:textId="159CE4B8" w:rsidR="00BE7EF0" w:rsidRPr="00BE7EF0" w:rsidRDefault="00BE7EF0" w:rsidP="00B57674">
      <w:pPr>
        <w:spacing w:after="120"/>
        <w:jc w:val="both"/>
        <w:rPr>
          <w:b/>
          <w:bCs/>
        </w:rPr>
      </w:pPr>
      <w:r w:rsidRPr="00BE7EF0">
        <w:rPr>
          <w:b/>
          <w:bCs/>
        </w:rPr>
        <w:t>Varenicline in combination with NRT versus varenicline</w:t>
      </w:r>
      <w:r w:rsidR="000E157B">
        <w:rPr>
          <w:b/>
          <w:bCs/>
        </w:rPr>
        <w:t xml:space="preserve"> alone</w:t>
      </w:r>
    </w:p>
    <w:p w14:paraId="4BB00901" w14:textId="379195EA" w:rsidR="00BE7EF0" w:rsidRDefault="0013314B" w:rsidP="00B57674">
      <w:pPr>
        <w:spacing w:after="120"/>
        <w:jc w:val="both"/>
      </w:pPr>
      <w:r w:rsidRPr="0013314B">
        <w:t xml:space="preserve">A summary of the citation details for the studies comparing </w:t>
      </w:r>
      <w:r>
        <w:t>varenicline plus</w:t>
      </w:r>
      <w:r w:rsidRPr="0013314B">
        <w:t xml:space="preserve"> NRT with </w:t>
      </w:r>
      <w:r>
        <w:t>varenicline alone</w:t>
      </w:r>
      <w:r w:rsidRPr="0013314B">
        <w:t xml:space="preserve"> is presented in </w:t>
      </w:r>
      <w:r>
        <w:fldChar w:fldCharType="begin" w:fldLock="1"/>
      </w:r>
      <w:r>
        <w:instrText xml:space="preserve"> REF _Ref55464643 \h </w:instrText>
      </w:r>
      <w:r>
        <w:fldChar w:fldCharType="separate"/>
      </w:r>
      <w:r w:rsidR="00EC5CC7">
        <w:t xml:space="preserve">Table </w:t>
      </w:r>
      <w:r w:rsidR="00EC5CC7">
        <w:rPr>
          <w:noProof/>
        </w:rPr>
        <w:t>66</w:t>
      </w:r>
      <w:r>
        <w:fldChar w:fldCharType="end"/>
      </w:r>
      <w:r w:rsidRPr="0013314B">
        <w:t xml:space="preserve">. A recently conducted </w:t>
      </w:r>
      <w:r>
        <w:t>systematic review and meta-analysis</w:t>
      </w:r>
      <w:r w:rsidRPr="0013314B">
        <w:t xml:space="preserve"> by </w:t>
      </w:r>
      <w:r>
        <w:t>Chang</w:t>
      </w:r>
      <w:r w:rsidRPr="0013314B">
        <w:t xml:space="preserve"> et al. (201</w:t>
      </w:r>
      <w:r>
        <w:t>5</w:t>
      </w:r>
      <w:r w:rsidRPr="0013314B">
        <w:t xml:space="preserve">) was identified in the systematic literature review that compared </w:t>
      </w:r>
      <w:r>
        <w:t>varenicline plus</w:t>
      </w:r>
      <w:r w:rsidRPr="0013314B">
        <w:t xml:space="preserve"> NRT with </w:t>
      </w:r>
      <w:r>
        <w:t xml:space="preserve">varenicline plus </w:t>
      </w:r>
      <w:r w:rsidRPr="0013314B">
        <w:t>placebo</w:t>
      </w:r>
      <w:r>
        <w:t xml:space="preserve"> (</w:t>
      </w:r>
      <w:r w:rsidR="00826C95">
        <w:t>i.e.,</w:t>
      </w:r>
      <w:r>
        <w:t xml:space="preserve"> varenicline alone)</w:t>
      </w:r>
      <w:r w:rsidRPr="0013314B">
        <w:t xml:space="preserve"> and was </w:t>
      </w:r>
      <w:r w:rsidRPr="0013314B">
        <w:lastRenderedPageBreak/>
        <w:t xml:space="preserve">included in this report. </w:t>
      </w:r>
      <w:r w:rsidR="009F204F" w:rsidRPr="00457F7E">
        <w:t xml:space="preserve">No new studies comparing </w:t>
      </w:r>
      <w:r w:rsidR="009F204F">
        <w:t>varenicline plus</w:t>
      </w:r>
      <w:r w:rsidR="009F204F" w:rsidRPr="0013314B">
        <w:t xml:space="preserve"> NRT with </w:t>
      </w:r>
      <w:r w:rsidR="009F204F">
        <w:t>varenicline alone</w:t>
      </w:r>
      <w:r w:rsidR="009F204F" w:rsidRPr="00457F7E">
        <w:t xml:space="preserve"> were identified in the supplemental literature search.</w:t>
      </w:r>
    </w:p>
    <w:p w14:paraId="43512E55" w14:textId="28019EC2" w:rsidR="0013314B" w:rsidRDefault="0013314B" w:rsidP="00B57674">
      <w:pPr>
        <w:pStyle w:val="Caption"/>
        <w:keepNext/>
        <w:spacing w:before="0" w:after="120"/>
        <w:jc w:val="both"/>
      </w:pPr>
      <w:bookmarkStart w:id="125" w:name="_Ref55464643"/>
      <w:r>
        <w:t xml:space="preserve">Table </w:t>
      </w:r>
      <w:r w:rsidR="00BF3F75">
        <w:fldChar w:fldCharType="begin"/>
      </w:r>
      <w:r w:rsidR="00BF3F75">
        <w:instrText xml:space="preserve"> SEQ Table \* ARABIC </w:instrText>
      </w:r>
      <w:r w:rsidR="00BF3F75">
        <w:fldChar w:fldCharType="separate"/>
      </w:r>
      <w:r w:rsidR="00EC5CC7">
        <w:rPr>
          <w:noProof/>
        </w:rPr>
        <w:t>66</w:t>
      </w:r>
      <w:r w:rsidR="00BF3F75">
        <w:rPr>
          <w:noProof/>
        </w:rPr>
        <w:fldChar w:fldCharType="end"/>
      </w:r>
      <w:bookmarkEnd w:id="125"/>
      <w:r>
        <w:t xml:space="preserve">: </w:t>
      </w:r>
      <w:r w:rsidRPr="006D633F">
        <w:t xml:space="preserve">List of studies comparing </w:t>
      </w:r>
      <w:r>
        <w:t xml:space="preserve">varenicline </w:t>
      </w:r>
      <w:r w:rsidR="00FB7B83">
        <w:t>plus</w:t>
      </w:r>
      <w:r>
        <w:t xml:space="preserve"> </w:t>
      </w:r>
      <w:r w:rsidRPr="006D633F">
        <w:t xml:space="preserve">NRT with </w:t>
      </w:r>
      <w:r>
        <w:t>varenicline</w:t>
      </w:r>
      <w:r w:rsidR="00FB7B83">
        <w:t xml:space="preserv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13314B" w:rsidRPr="00061F78" w14:paraId="4042E09F" w14:textId="77777777" w:rsidTr="00B60FDA">
        <w:trPr>
          <w:cantSplit/>
          <w:trHeight w:val="329"/>
          <w:tblHeader/>
        </w:trPr>
        <w:tc>
          <w:tcPr>
            <w:tcW w:w="557" w:type="pct"/>
            <w:shd w:val="clear" w:color="auto" w:fill="BFBFBF" w:themeFill="background1" w:themeFillShade="BF"/>
            <w:tcMar>
              <w:left w:w="28" w:type="dxa"/>
              <w:right w:w="28" w:type="dxa"/>
            </w:tcMar>
          </w:tcPr>
          <w:p w14:paraId="024E75AE" w14:textId="77777777" w:rsidR="0013314B" w:rsidRPr="00061F78" w:rsidRDefault="0013314B" w:rsidP="00B60FDA">
            <w:pPr>
              <w:pStyle w:val="Tableheading"/>
              <w:keepNext/>
              <w:rPr>
                <w:rFonts w:eastAsia="MS Mincho"/>
              </w:rPr>
            </w:pPr>
            <w:r>
              <w:rPr>
                <w:rFonts w:eastAsia="MS Mincho"/>
              </w:rPr>
              <w:t>Study</w:t>
            </w:r>
          </w:p>
        </w:tc>
        <w:tc>
          <w:tcPr>
            <w:tcW w:w="4443" w:type="pct"/>
            <w:shd w:val="clear" w:color="auto" w:fill="BFBFBF" w:themeFill="background1" w:themeFillShade="BF"/>
          </w:tcPr>
          <w:p w14:paraId="1705455E" w14:textId="77777777" w:rsidR="0013314B" w:rsidRDefault="0013314B" w:rsidP="00B60FDA">
            <w:pPr>
              <w:pStyle w:val="Tableheading"/>
              <w:keepNext/>
              <w:jc w:val="center"/>
              <w:rPr>
                <w:rFonts w:eastAsia="MS Mincho"/>
              </w:rPr>
            </w:pPr>
            <w:r>
              <w:rPr>
                <w:rFonts w:eastAsia="MS Mincho"/>
              </w:rPr>
              <w:t>Citation</w:t>
            </w:r>
          </w:p>
        </w:tc>
      </w:tr>
      <w:tr w:rsidR="0013314B" w:rsidRPr="00061F78" w14:paraId="3FABF5CC" w14:textId="77777777" w:rsidTr="00B60FDA">
        <w:trPr>
          <w:cantSplit/>
          <w:trHeight w:val="164"/>
        </w:trPr>
        <w:tc>
          <w:tcPr>
            <w:tcW w:w="557" w:type="pct"/>
            <w:tcMar>
              <w:left w:w="28" w:type="dxa"/>
              <w:right w:w="28" w:type="dxa"/>
            </w:tcMar>
          </w:tcPr>
          <w:p w14:paraId="1C3658AD" w14:textId="77777777" w:rsidR="0013314B" w:rsidRDefault="0013314B" w:rsidP="00B60FDA">
            <w:pPr>
              <w:pStyle w:val="Tablewriting"/>
              <w:keepNext/>
              <w:rPr>
                <w:rFonts w:eastAsia="MS Mincho"/>
              </w:rPr>
            </w:pPr>
            <w:r>
              <w:rPr>
                <w:rFonts w:eastAsia="MS Mincho"/>
              </w:rPr>
              <w:t>Chang</w:t>
            </w:r>
          </w:p>
          <w:p w14:paraId="3F6509ED" w14:textId="40A7367F" w:rsidR="0013314B" w:rsidRDefault="0013314B" w:rsidP="00B60FDA">
            <w:pPr>
              <w:pStyle w:val="Tablewriting"/>
              <w:keepNext/>
              <w:rPr>
                <w:rFonts w:eastAsia="MS Mincho"/>
              </w:rPr>
            </w:pPr>
            <w:r>
              <w:rPr>
                <w:rFonts w:eastAsia="MS Mincho"/>
              </w:rPr>
              <w:t>(2015)</w:t>
            </w:r>
            <w:hyperlink w:anchor="_ENREF_49" w:tooltip="Chang, 2015 #621" w:history="1">
              <w:r w:rsidR="0039468B">
                <w:rPr>
                  <w:rFonts w:eastAsia="MS Mincho"/>
                </w:rPr>
                <w:fldChar w:fldCharType="begin">
                  <w:fldData xml:space="preserve">PEVuZE5vdGU+PENpdGU+PEF1dGhvcj5DaGFuZzwvQXV0aG9yPjxZZWFyPjIwMTU8L1llYXI+PFJl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</w:fldData>
                </w:fldChar>
              </w:r>
              <w:r w:rsidR="0039468B">
                <w:rPr>
                  <w:rFonts w:eastAsia="MS Mincho"/>
                </w:rPr>
                <w:instrText xml:space="preserve"> ADDIN EN.CITE </w:instrText>
              </w:r>
              <w:r w:rsidR="0039468B">
                <w:rPr>
                  <w:rFonts w:eastAsia="MS Mincho"/>
                </w:rPr>
                <w:fldChar w:fldCharType="begin">
                  <w:fldData xml:space="preserve">PEVuZE5vdGU+PENpdGU+PEF1dGhvcj5DaGFuZzwvQXV0aG9yPjxZZWFyPjIwMTU8L1llYXI+PFJl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7A53BC">
                <w:rPr>
                  <w:rFonts w:eastAsia="MS Mincho"/>
                  <w:noProof/>
                  <w:vertAlign w:val="superscript"/>
                </w:rPr>
                <w:t>49</w:t>
              </w:r>
              <w:r w:rsidR="0039468B">
                <w:rPr>
                  <w:rFonts w:eastAsia="MS Mincho"/>
                </w:rPr>
                <w:fldChar w:fldCharType="end"/>
              </w:r>
            </w:hyperlink>
          </w:p>
        </w:tc>
        <w:tc>
          <w:tcPr>
            <w:tcW w:w="4443" w:type="pct"/>
          </w:tcPr>
          <w:p w14:paraId="223AAA82" w14:textId="1E511E0E" w:rsidR="0013314B" w:rsidRPr="008E38BA" w:rsidRDefault="0013314B" w:rsidP="00B60FDA">
            <w:pPr>
              <w:pStyle w:val="Tablewriting"/>
              <w:keepNext/>
              <w:rPr>
                <w:rFonts w:eastAsia="MS Mincho"/>
              </w:rPr>
            </w:pPr>
            <w:r w:rsidRPr="0013314B">
              <w:rPr>
                <w:rFonts w:eastAsia="MS Mincho"/>
              </w:rPr>
              <w:t xml:space="preserve">Chang PH, Chiang CH, Ho WC, Wu PZ, Tsai JS, Guo FR. Combination therapy of varenicline with nicotine replacement therapy is better than varenicline alone: a systematic review and meta-analysis of randomized controlled trials. BMC Public Health. 2015 Jul </w:t>
            </w:r>
            <w:r w:rsidR="00826C95" w:rsidRPr="0013314B">
              <w:rPr>
                <w:rFonts w:eastAsia="MS Mincho"/>
              </w:rPr>
              <w:t>22; 15:689</w:t>
            </w:r>
            <w:r w:rsidRPr="0013314B">
              <w:rPr>
                <w:rFonts w:eastAsia="MS Mincho"/>
              </w:rPr>
              <w:t>.</w:t>
            </w:r>
          </w:p>
        </w:tc>
      </w:tr>
    </w:tbl>
    <w:p w14:paraId="2F31F5D4" w14:textId="360F0978" w:rsidR="0013314B" w:rsidRDefault="0013314B" w:rsidP="002C2DB9">
      <w:pPr>
        <w:spacing w:before="120" w:after="120"/>
        <w:jc w:val="both"/>
      </w:pPr>
      <w:r w:rsidRPr="0013314B">
        <w:t xml:space="preserve">A summary of the characteristics of the studies comparing </w:t>
      </w:r>
      <w:r>
        <w:t>varenicline plus NRT with varenicline alone</w:t>
      </w:r>
      <w:r w:rsidRPr="0013314B">
        <w:t xml:space="preserve"> is presented in </w:t>
      </w:r>
      <w:r w:rsidR="004E214B">
        <w:fldChar w:fldCharType="begin" w:fldLock="1"/>
      </w:r>
      <w:r w:rsidR="004E214B">
        <w:instrText xml:space="preserve"> REF _Ref58418825 \h </w:instrText>
      </w:r>
      <w:r w:rsidR="002C2DB9">
        <w:instrText xml:space="preserve"> \* MERGEFORMAT </w:instrText>
      </w:r>
      <w:r w:rsidR="004E214B">
        <w:fldChar w:fldCharType="separate"/>
      </w:r>
      <w:r w:rsidR="00EC5CC7">
        <w:t xml:space="preserve">Table </w:t>
      </w:r>
      <w:r w:rsidR="00EC5CC7">
        <w:rPr>
          <w:noProof/>
        </w:rPr>
        <w:t>67</w:t>
      </w:r>
      <w:r w:rsidR="004E214B">
        <w:fldChar w:fldCharType="end"/>
      </w:r>
      <w:r w:rsidRPr="0013314B">
        <w:t xml:space="preserve">. A total of </w:t>
      </w:r>
      <w:r>
        <w:t xml:space="preserve">three </w:t>
      </w:r>
      <w:r w:rsidRPr="0013314B">
        <w:t xml:space="preserve">RCTs comparing </w:t>
      </w:r>
      <w:r>
        <w:t>varenicline plus</w:t>
      </w:r>
      <w:r w:rsidRPr="0013314B">
        <w:t xml:space="preserve"> NRT</w:t>
      </w:r>
      <w:r w:rsidR="00FB7B83">
        <w:t xml:space="preserve"> patch</w:t>
      </w:r>
      <w:r w:rsidRPr="0013314B">
        <w:t xml:space="preserve"> with </w:t>
      </w:r>
      <w:r>
        <w:t xml:space="preserve">varenicline plus </w:t>
      </w:r>
      <w:r w:rsidRPr="0013314B">
        <w:t>placebo</w:t>
      </w:r>
      <w:r>
        <w:t xml:space="preserve"> </w:t>
      </w:r>
      <w:r w:rsidR="00FB7B83">
        <w:t xml:space="preserve">patch </w:t>
      </w:r>
      <w:r>
        <w:t>(</w:t>
      </w:r>
      <w:r w:rsidR="00826C95">
        <w:t>i.e.,</w:t>
      </w:r>
      <w:r>
        <w:t xml:space="preserve"> varenicline alone)</w:t>
      </w:r>
      <w:r w:rsidRPr="0013314B">
        <w:t xml:space="preserve"> were identified by </w:t>
      </w:r>
      <w:r>
        <w:t>Chang</w:t>
      </w:r>
      <w:r w:rsidRPr="0013314B">
        <w:t xml:space="preserve"> et al. (20</w:t>
      </w:r>
      <w:r>
        <w:t>15</w:t>
      </w:r>
      <w:r w:rsidRPr="0013314B">
        <w:t xml:space="preserve">). The characteristics of the individual studies are presented in </w:t>
      </w:r>
      <w:r w:rsidRPr="00C44BB6">
        <w:t>Appendix</w:t>
      </w:r>
      <w:r w:rsidR="002C2DB9">
        <w:t xml:space="preserve"> Table 157.</w:t>
      </w:r>
    </w:p>
    <w:p w14:paraId="6B11BB56" w14:textId="68B114A4" w:rsidR="00FB7B83" w:rsidRDefault="00FB7B83" w:rsidP="00B57674">
      <w:pPr>
        <w:pStyle w:val="Caption"/>
        <w:keepNext/>
        <w:spacing w:before="0" w:after="120"/>
        <w:jc w:val="both"/>
      </w:pPr>
      <w:bookmarkStart w:id="126" w:name="_Ref58418825"/>
      <w:r>
        <w:t xml:space="preserve">Table </w:t>
      </w:r>
      <w:r w:rsidR="00BF3F75">
        <w:fldChar w:fldCharType="begin"/>
      </w:r>
      <w:r w:rsidR="00BF3F75">
        <w:instrText xml:space="preserve"> SEQ Table \* ARABIC </w:instrText>
      </w:r>
      <w:r w:rsidR="00BF3F75">
        <w:fldChar w:fldCharType="separate"/>
      </w:r>
      <w:r w:rsidR="00EC5CC7">
        <w:rPr>
          <w:noProof/>
        </w:rPr>
        <w:t>67</w:t>
      </w:r>
      <w:r w:rsidR="00BF3F75">
        <w:rPr>
          <w:noProof/>
        </w:rPr>
        <w:fldChar w:fldCharType="end"/>
      </w:r>
      <w:bookmarkEnd w:id="126"/>
      <w:r>
        <w:t xml:space="preserve">: </w:t>
      </w:r>
      <w:r w:rsidRPr="00A5384C">
        <w:t xml:space="preserve">Characteristics of the studies comparing </w:t>
      </w:r>
      <w:r>
        <w:t>varenicline plus</w:t>
      </w:r>
      <w:r w:rsidRPr="00A5384C">
        <w:t xml:space="preserve"> NRT with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730"/>
        <w:gridCol w:w="985"/>
        <w:gridCol w:w="1408"/>
        <w:gridCol w:w="2393"/>
        <w:gridCol w:w="1549"/>
        <w:gridCol w:w="1951"/>
      </w:tblGrid>
      <w:tr w:rsidR="005B504B" w:rsidRPr="00061F78" w14:paraId="5C55312F" w14:textId="77777777" w:rsidTr="005B504B">
        <w:trPr>
          <w:trHeight w:val="299"/>
          <w:tblHeader/>
        </w:trPr>
        <w:tc>
          <w:tcPr>
            <w:tcW w:w="405" w:type="pct"/>
            <w:shd w:val="clear" w:color="auto" w:fill="BFBFBF" w:themeFill="background1" w:themeFillShade="BF"/>
            <w:tcMar>
              <w:left w:w="28" w:type="dxa"/>
              <w:right w:w="28" w:type="dxa"/>
            </w:tcMar>
          </w:tcPr>
          <w:p w14:paraId="0C517AEF" w14:textId="77777777" w:rsidR="0013314B" w:rsidRPr="00061F78" w:rsidRDefault="0013314B" w:rsidP="005C1814">
            <w:pPr>
              <w:pStyle w:val="Tableheading"/>
              <w:rPr>
                <w:rFonts w:eastAsia="MS Mincho"/>
              </w:rPr>
            </w:pPr>
            <w:r>
              <w:rPr>
                <w:rFonts w:eastAsia="MS Mincho"/>
              </w:rPr>
              <w:t>Study</w:t>
            </w:r>
          </w:p>
        </w:tc>
        <w:tc>
          <w:tcPr>
            <w:tcW w:w="546" w:type="pct"/>
            <w:shd w:val="clear" w:color="auto" w:fill="BFBFBF" w:themeFill="background1" w:themeFillShade="BF"/>
          </w:tcPr>
          <w:p w14:paraId="2CE5E6B6" w14:textId="77777777" w:rsidR="0013314B" w:rsidRDefault="0013314B" w:rsidP="005C1814">
            <w:pPr>
              <w:pStyle w:val="Tableheading"/>
              <w:jc w:val="center"/>
              <w:rPr>
                <w:rFonts w:eastAsia="MS Mincho"/>
              </w:rPr>
            </w:pPr>
            <w:r>
              <w:rPr>
                <w:rFonts w:eastAsia="MS Mincho"/>
              </w:rPr>
              <w:t>Study type</w:t>
            </w:r>
          </w:p>
        </w:tc>
        <w:tc>
          <w:tcPr>
            <w:tcW w:w="781" w:type="pct"/>
            <w:shd w:val="clear" w:color="auto" w:fill="BFBFBF" w:themeFill="background1" w:themeFillShade="BF"/>
            <w:tcMar>
              <w:left w:w="28" w:type="dxa"/>
              <w:right w:w="28" w:type="dxa"/>
            </w:tcMar>
          </w:tcPr>
          <w:p w14:paraId="0AD09D53" w14:textId="77777777" w:rsidR="0013314B" w:rsidRPr="00AE21E9" w:rsidRDefault="0013314B" w:rsidP="005C1814">
            <w:pPr>
              <w:pStyle w:val="Tableheading"/>
              <w:jc w:val="center"/>
              <w:rPr>
                <w:rFonts w:eastAsia="MS Mincho"/>
                <w:vertAlign w:val="superscript"/>
              </w:rPr>
            </w:pPr>
            <w:r>
              <w:rPr>
                <w:rFonts w:eastAsia="MS Mincho"/>
              </w:rPr>
              <w:t>N</w:t>
            </w:r>
            <w:r>
              <w:rPr>
                <w:rFonts w:eastAsia="MS Mincho"/>
                <w:vertAlign w:val="superscript"/>
              </w:rPr>
              <w:t>1</w:t>
            </w:r>
          </w:p>
        </w:tc>
        <w:tc>
          <w:tcPr>
            <w:tcW w:w="1327" w:type="pct"/>
            <w:shd w:val="clear" w:color="auto" w:fill="BFBFBF" w:themeFill="background1" w:themeFillShade="BF"/>
            <w:tcMar>
              <w:left w:w="28" w:type="dxa"/>
              <w:right w:w="28" w:type="dxa"/>
            </w:tcMar>
          </w:tcPr>
          <w:p w14:paraId="00303E64" w14:textId="77777777" w:rsidR="0013314B" w:rsidRPr="00061F78" w:rsidRDefault="0013314B" w:rsidP="005C1814">
            <w:pPr>
              <w:pStyle w:val="Tableheading"/>
              <w:jc w:val="center"/>
              <w:rPr>
                <w:rFonts w:eastAsia="MS Mincho"/>
              </w:rPr>
            </w:pPr>
            <w:r w:rsidRPr="00061F78">
              <w:rPr>
                <w:rFonts w:eastAsia="MS Mincho"/>
              </w:rPr>
              <w:t>P</w:t>
            </w:r>
            <w:r>
              <w:rPr>
                <w:rFonts w:eastAsia="MS Mincho"/>
              </w:rPr>
              <w:t>opulation</w:t>
            </w:r>
          </w:p>
        </w:tc>
        <w:tc>
          <w:tcPr>
            <w:tcW w:w="859" w:type="pct"/>
            <w:shd w:val="clear" w:color="auto" w:fill="BFBFBF" w:themeFill="background1" w:themeFillShade="BF"/>
          </w:tcPr>
          <w:p w14:paraId="55D62F82" w14:textId="77777777" w:rsidR="0013314B" w:rsidRDefault="0013314B" w:rsidP="005C1814">
            <w:pPr>
              <w:pStyle w:val="Tableheading"/>
              <w:jc w:val="center"/>
              <w:rPr>
                <w:rFonts w:eastAsia="MS Mincho"/>
              </w:rPr>
            </w:pPr>
            <w:r>
              <w:rPr>
                <w:rFonts w:eastAsia="MS Mincho"/>
              </w:rPr>
              <w:t>Intervention and comparator</w:t>
            </w:r>
          </w:p>
        </w:tc>
        <w:tc>
          <w:tcPr>
            <w:tcW w:w="1082" w:type="pct"/>
            <w:shd w:val="clear" w:color="auto" w:fill="BFBFBF" w:themeFill="background1" w:themeFillShade="BF"/>
            <w:tcMar>
              <w:left w:w="28" w:type="dxa"/>
              <w:right w:w="28" w:type="dxa"/>
            </w:tcMar>
          </w:tcPr>
          <w:p w14:paraId="14E97C60" w14:textId="77777777" w:rsidR="0013314B" w:rsidRPr="00061F78" w:rsidRDefault="0013314B" w:rsidP="005C1814">
            <w:pPr>
              <w:pStyle w:val="Tableheading"/>
              <w:jc w:val="center"/>
              <w:rPr>
                <w:rFonts w:eastAsia="MS Mincho"/>
              </w:rPr>
            </w:pPr>
            <w:r>
              <w:rPr>
                <w:rFonts w:eastAsia="MS Mincho"/>
              </w:rPr>
              <w:t>Outcomes</w:t>
            </w:r>
          </w:p>
        </w:tc>
      </w:tr>
      <w:tr w:rsidR="005B504B" w:rsidRPr="00061F78" w14:paraId="4736FEB0" w14:textId="77777777" w:rsidTr="005B504B">
        <w:trPr>
          <w:trHeight w:val="149"/>
        </w:trPr>
        <w:tc>
          <w:tcPr>
            <w:tcW w:w="405" w:type="pct"/>
            <w:tcMar>
              <w:left w:w="28" w:type="dxa"/>
              <w:right w:w="28" w:type="dxa"/>
            </w:tcMar>
          </w:tcPr>
          <w:p w14:paraId="42002DEA" w14:textId="77777777" w:rsidR="00FB7B83" w:rsidRDefault="00FB7B83" w:rsidP="005C1814">
            <w:pPr>
              <w:pStyle w:val="Tablewriting"/>
              <w:rPr>
                <w:rFonts w:eastAsia="MS Mincho"/>
              </w:rPr>
            </w:pPr>
            <w:r>
              <w:rPr>
                <w:rFonts w:eastAsia="MS Mincho"/>
              </w:rPr>
              <w:t>Chang</w:t>
            </w:r>
          </w:p>
          <w:p w14:paraId="5CA4DDE3" w14:textId="30F4619E" w:rsidR="0013314B" w:rsidRDefault="00FB7B83" w:rsidP="005C1814">
            <w:pPr>
              <w:pStyle w:val="Tablewriting"/>
              <w:rPr>
                <w:rFonts w:eastAsia="MS Mincho"/>
              </w:rPr>
            </w:pPr>
            <w:r>
              <w:rPr>
                <w:rFonts w:eastAsia="MS Mincho"/>
              </w:rPr>
              <w:t>(2015)</w:t>
            </w:r>
          </w:p>
        </w:tc>
        <w:tc>
          <w:tcPr>
            <w:tcW w:w="546" w:type="pct"/>
          </w:tcPr>
          <w:p w14:paraId="3BE13F82" w14:textId="223328E8" w:rsidR="0013314B" w:rsidRDefault="00FB7B83" w:rsidP="005C1814">
            <w:pPr>
              <w:pStyle w:val="Tablewriting"/>
              <w:rPr>
                <w:rFonts w:eastAsia="MS Mincho"/>
              </w:rPr>
            </w:pPr>
            <w:r>
              <w:rPr>
                <w:rFonts w:eastAsia="MS Mincho"/>
              </w:rPr>
              <w:t xml:space="preserve">SR &amp; </w:t>
            </w:r>
            <w:r w:rsidR="00826C95">
              <w:rPr>
                <w:rFonts w:eastAsia="MS Mincho"/>
              </w:rPr>
              <w:t>MA (</w:t>
            </w:r>
            <w:r>
              <w:rPr>
                <w:rFonts w:eastAsia="MS Mincho"/>
              </w:rPr>
              <w:t>3</w:t>
            </w:r>
            <w:r w:rsidR="0013314B">
              <w:rPr>
                <w:rFonts w:eastAsia="MS Mincho"/>
              </w:rPr>
              <w:t xml:space="preserve"> RCTs</w:t>
            </w:r>
            <w:r w:rsidR="0013314B" w:rsidRPr="00AB145F">
              <w:rPr>
                <w:rFonts w:eastAsia="MS Mincho"/>
                <w:vertAlign w:val="superscript"/>
              </w:rPr>
              <w:t>2</w:t>
            </w:r>
            <w:r w:rsidR="0013314B">
              <w:rPr>
                <w:rFonts w:eastAsia="MS Mincho"/>
              </w:rPr>
              <w:t>)</w:t>
            </w:r>
          </w:p>
        </w:tc>
        <w:tc>
          <w:tcPr>
            <w:tcW w:w="781" w:type="pct"/>
            <w:tcMar>
              <w:left w:w="28" w:type="dxa"/>
              <w:right w:w="28" w:type="dxa"/>
            </w:tcMar>
          </w:tcPr>
          <w:p w14:paraId="0FAA99CE" w14:textId="184A0A09" w:rsidR="0013314B" w:rsidRDefault="0013314B" w:rsidP="005C1814">
            <w:pPr>
              <w:pStyle w:val="Tablewriting"/>
              <w:rPr>
                <w:rFonts w:eastAsia="MS Mincho"/>
              </w:rPr>
            </w:pPr>
            <w:r>
              <w:rPr>
                <w:rFonts w:eastAsia="MS Mincho"/>
              </w:rPr>
              <w:t>N=</w:t>
            </w:r>
            <w:r w:rsidR="00FB7B83">
              <w:rPr>
                <w:rFonts w:eastAsia="MS Mincho"/>
              </w:rPr>
              <w:t>904</w:t>
            </w:r>
            <w:r>
              <w:rPr>
                <w:rFonts w:eastAsia="MS Mincho"/>
              </w:rPr>
              <w:t xml:space="preserve"> (</w:t>
            </w:r>
            <w:r w:rsidR="00FB7B83">
              <w:rPr>
                <w:rFonts w:eastAsia="MS Mincho"/>
              </w:rPr>
              <w:t>3</w:t>
            </w:r>
            <w:r>
              <w:rPr>
                <w:rFonts w:eastAsia="MS Mincho"/>
              </w:rPr>
              <w:t xml:space="preserve"> RCTs)</w:t>
            </w:r>
          </w:p>
          <w:p w14:paraId="1EDB219F" w14:textId="3CD5F81F" w:rsidR="0013314B" w:rsidRDefault="00FB7B83" w:rsidP="005C1814">
            <w:pPr>
              <w:pStyle w:val="Tablewriting"/>
              <w:rPr>
                <w:rFonts w:eastAsia="MS Mincho"/>
              </w:rPr>
            </w:pPr>
            <w:r>
              <w:rPr>
                <w:rFonts w:eastAsia="MS Mincho"/>
              </w:rPr>
              <w:t xml:space="preserve">Varenicline plus </w:t>
            </w:r>
            <w:r w:rsidR="0013314B">
              <w:rPr>
                <w:rFonts w:eastAsia="MS Mincho"/>
              </w:rPr>
              <w:t>NRT (n=4</w:t>
            </w:r>
            <w:r>
              <w:rPr>
                <w:rFonts w:eastAsia="MS Mincho"/>
              </w:rPr>
              <w:t>50</w:t>
            </w:r>
            <w:r w:rsidR="0013314B">
              <w:rPr>
                <w:rFonts w:eastAsia="MS Mincho"/>
              </w:rPr>
              <w:t>),</w:t>
            </w:r>
          </w:p>
          <w:p w14:paraId="57A58390" w14:textId="75AC1C82" w:rsidR="0013314B" w:rsidRDefault="00FB7B83" w:rsidP="005C1814">
            <w:pPr>
              <w:pStyle w:val="Tablewriting"/>
              <w:rPr>
                <w:rFonts w:eastAsia="MS Mincho"/>
              </w:rPr>
            </w:pPr>
            <w:r>
              <w:rPr>
                <w:rFonts w:eastAsia="MS Mincho"/>
              </w:rPr>
              <w:t>Varenicline plus placebo</w:t>
            </w:r>
            <w:r w:rsidR="0013314B">
              <w:rPr>
                <w:rFonts w:eastAsia="MS Mincho"/>
              </w:rPr>
              <w:t xml:space="preserve"> (n=4</w:t>
            </w:r>
            <w:r>
              <w:rPr>
                <w:rFonts w:eastAsia="MS Mincho"/>
              </w:rPr>
              <w:t>54</w:t>
            </w:r>
            <w:r w:rsidR="0013314B">
              <w:rPr>
                <w:rFonts w:eastAsia="MS Mincho"/>
              </w:rPr>
              <w:t>)</w:t>
            </w:r>
          </w:p>
          <w:p w14:paraId="6191D351" w14:textId="77777777" w:rsidR="0013314B" w:rsidRPr="004B359D" w:rsidRDefault="0013314B" w:rsidP="005C1814">
            <w:pPr>
              <w:pStyle w:val="Tablewriting"/>
              <w:rPr>
                <w:rFonts w:eastAsia="MS Mincho"/>
                <w:highlight w:val="yellow"/>
              </w:rPr>
            </w:pPr>
          </w:p>
        </w:tc>
        <w:tc>
          <w:tcPr>
            <w:tcW w:w="1327" w:type="pct"/>
            <w:tcMar>
              <w:left w:w="28" w:type="dxa"/>
              <w:right w:w="28" w:type="dxa"/>
            </w:tcMar>
          </w:tcPr>
          <w:p w14:paraId="252460ED" w14:textId="1817C181" w:rsidR="00FB7B83" w:rsidRDefault="0013314B" w:rsidP="005C1814">
            <w:pPr>
              <w:pStyle w:val="Tablewriting"/>
              <w:rPr>
                <w:rFonts w:eastAsia="MS Mincho"/>
              </w:rPr>
            </w:pPr>
            <w:r w:rsidRPr="002C19B4">
              <w:rPr>
                <w:rFonts w:eastAsia="MS Mincho"/>
                <w:u w:val="single"/>
              </w:rPr>
              <w:t>Inclusion</w:t>
            </w:r>
            <w:r>
              <w:rPr>
                <w:rFonts w:eastAsia="MS Mincho"/>
              </w:rPr>
              <w:t xml:space="preserve">: </w:t>
            </w:r>
            <w:r w:rsidR="00FB7B83" w:rsidRPr="00FB7B83">
              <w:rPr>
                <w:rFonts w:eastAsia="MS Mincho"/>
              </w:rPr>
              <w:t>adult population</w:t>
            </w:r>
            <w:r w:rsidR="00AB5FA3">
              <w:rPr>
                <w:rFonts w:eastAsia="MS Mincho"/>
              </w:rPr>
              <w:t>.</w:t>
            </w:r>
          </w:p>
          <w:p w14:paraId="6F18EE2E" w14:textId="4C6346CD" w:rsidR="0013314B" w:rsidRPr="00EA1E9A" w:rsidRDefault="0013314B" w:rsidP="005C1814">
            <w:pPr>
              <w:pStyle w:val="Tablewriting"/>
              <w:rPr>
                <w:rFonts w:eastAsia="MS Mincho"/>
                <w:highlight w:val="yellow"/>
              </w:rPr>
            </w:pPr>
            <w:r w:rsidRPr="002C19B4">
              <w:rPr>
                <w:rFonts w:eastAsia="MS Mincho"/>
                <w:u w:val="single"/>
              </w:rPr>
              <w:t>Exclusion</w:t>
            </w:r>
            <w:r>
              <w:rPr>
                <w:rFonts w:eastAsia="MS Mincho"/>
              </w:rPr>
              <w:t xml:space="preserve">: </w:t>
            </w:r>
            <w:r w:rsidR="00FB7B83" w:rsidRPr="00FB7B83">
              <w:rPr>
                <w:rFonts w:eastAsia="MS Mincho"/>
              </w:rPr>
              <w:t>trials using smoking cessation</w:t>
            </w:r>
            <w:r w:rsidR="00FB7B83">
              <w:rPr>
                <w:rFonts w:eastAsia="MS Mincho"/>
              </w:rPr>
              <w:t xml:space="preserve"> </w:t>
            </w:r>
            <w:r w:rsidR="00FB7B83" w:rsidRPr="00FB7B83">
              <w:rPr>
                <w:rFonts w:eastAsia="MS Mincho"/>
              </w:rPr>
              <w:t>medications but not aiming to stop cigarette</w:t>
            </w:r>
            <w:r w:rsidR="00FB7B83">
              <w:rPr>
                <w:rFonts w:eastAsia="MS Mincho"/>
              </w:rPr>
              <w:t xml:space="preserve"> </w:t>
            </w:r>
            <w:r w:rsidR="00FB7B83" w:rsidRPr="00FB7B83">
              <w:rPr>
                <w:rFonts w:eastAsia="MS Mincho"/>
              </w:rPr>
              <w:t>smoking (</w:t>
            </w:r>
            <w:r w:rsidR="00826C95" w:rsidRPr="00FB7B83">
              <w:rPr>
                <w:rFonts w:eastAsia="MS Mincho"/>
              </w:rPr>
              <w:t>e</w:t>
            </w:r>
            <w:r w:rsidR="00826C95">
              <w:rPr>
                <w:rFonts w:eastAsia="MS Mincho"/>
              </w:rPr>
              <w:t>.</w:t>
            </w:r>
            <w:r w:rsidR="00826C95" w:rsidRPr="00FB7B83">
              <w:rPr>
                <w:rFonts w:eastAsia="MS Mincho"/>
              </w:rPr>
              <w:t>g.,</w:t>
            </w:r>
            <w:r w:rsidR="00FB7B83" w:rsidRPr="00FB7B83">
              <w:rPr>
                <w:rFonts w:eastAsia="MS Mincho"/>
              </w:rPr>
              <w:t xml:space="preserve"> stop alcohol use or long term NRT use)</w:t>
            </w:r>
            <w:r w:rsidR="00AB5FA3">
              <w:rPr>
                <w:rFonts w:eastAsia="MS Mincho"/>
              </w:rPr>
              <w:t>.</w:t>
            </w:r>
          </w:p>
        </w:tc>
        <w:tc>
          <w:tcPr>
            <w:tcW w:w="859" w:type="pct"/>
          </w:tcPr>
          <w:p w14:paraId="2A764DCD" w14:textId="2DB3A261" w:rsidR="0013314B" w:rsidRPr="004B359D" w:rsidRDefault="00FB7B83" w:rsidP="005C1814">
            <w:pPr>
              <w:pStyle w:val="Tablewriting"/>
              <w:rPr>
                <w:rFonts w:eastAsia="MS Mincho"/>
                <w:highlight w:val="yellow"/>
              </w:rPr>
            </w:pPr>
            <w:r>
              <w:rPr>
                <w:rFonts w:eastAsia="MS Mincho"/>
              </w:rPr>
              <w:t>Varenicline plus NRT patch versus varenicline plus placebo patch</w:t>
            </w:r>
            <w:r w:rsidR="00AB5FA3">
              <w:rPr>
                <w:rFonts w:eastAsia="MS Mincho"/>
              </w:rPr>
              <w:t>.</w:t>
            </w:r>
          </w:p>
        </w:tc>
        <w:tc>
          <w:tcPr>
            <w:tcW w:w="1082" w:type="pct"/>
            <w:tcMar>
              <w:left w:w="28" w:type="dxa"/>
              <w:right w:w="28" w:type="dxa"/>
            </w:tcMar>
          </w:tcPr>
          <w:p w14:paraId="17938B51" w14:textId="5F691DC1" w:rsidR="0013314B" w:rsidRPr="00C324F3" w:rsidRDefault="00FB7B83" w:rsidP="005C1814">
            <w:pPr>
              <w:pStyle w:val="Tablewriting"/>
              <w:rPr>
                <w:rFonts w:eastAsia="MS Mincho"/>
              </w:rPr>
            </w:pPr>
            <w:r w:rsidRPr="00FB7B83">
              <w:rPr>
                <w:rFonts w:eastAsia="MS Mincho"/>
                <w:u w:val="single"/>
              </w:rPr>
              <w:t>Efficacy</w:t>
            </w:r>
            <w:r w:rsidR="0013314B">
              <w:rPr>
                <w:rFonts w:eastAsia="MS Mincho"/>
              </w:rPr>
              <w:t xml:space="preserve">: </w:t>
            </w:r>
            <w:r>
              <w:rPr>
                <w:rFonts w:eastAsia="MS Mincho"/>
              </w:rPr>
              <w:t>early outcome</w:t>
            </w:r>
            <w:r w:rsidR="008C50C7">
              <w:rPr>
                <w:rFonts w:eastAsia="MS Mincho"/>
                <w:vertAlign w:val="superscript"/>
              </w:rPr>
              <w:t>3</w:t>
            </w:r>
            <w:r>
              <w:rPr>
                <w:rFonts w:eastAsia="MS Mincho"/>
              </w:rPr>
              <w:t xml:space="preserve"> and late outcome</w:t>
            </w:r>
            <w:r w:rsidR="008C50C7">
              <w:rPr>
                <w:rFonts w:eastAsia="MS Mincho"/>
                <w:vertAlign w:val="superscript"/>
              </w:rPr>
              <w:t>4</w:t>
            </w:r>
            <w:r w:rsidR="00AB5FA3">
              <w:rPr>
                <w:rFonts w:eastAsia="MS Mincho"/>
              </w:rPr>
              <w:t>.</w:t>
            </w:r>
          </w:p>
          <w:p w14:paraId="12544DBD" w14:textId="4961CCC2" w:rsidR="0013314B" w:rsidRPr="004B359D" w:rsidRDefault="0013314B" w:rsidP="005C1814">
            <w:pPr>
              <w:pStyle w:val="Tablewriting"/>
              <w:rPr>
                <w:rFonts w:eastAsia="MS Mincho"/>
                <w:highlight w:val="yellow"/>
                <w:u w:val="single"/>
              </w:rPr>
            </w:pPr>
            <w:r w:rsidRPr="0036499C">
              <w:rPr>
                <w:rFonts w:eastAsia="MS Mincho"/>
                <w:u w:val="single"/>
              </w:rPr>
              <w:t>S</w:t>
            </w:r>
            <w:r w:rsidR="00FB7B83">
              <w:rPr>
                <w:rFonts w:eastAsia="MS Mincho"/>
                <w:u w:val="single"/>
              </w:rPr>
              <w:t>afety</w:t>
            </w:r>
            <w:r>
              <w:rPr>
                <w:rFonts w:eastAsia="MS Mincho"/>
              </w:rPr>
              <w:t xml:space="preserve">: </w:t>
            </w:r>
            <w:r w:rsidR="00FB7B83">
              <w:rPr>
                <w:rFonts w:eastAsia="MS Mincho"/>
              </w:rPr>
              <w:t>adverse events (nausea, insomnia, abnormal dreams, headache)</w:t>
            </w:r>
            <w:r w:rsidR="00AB5FA3">
              <w:rPr>
                <w:rFonts w:eastAsia="MS Mincho"/>
              </w:rPr>
              <w:t>.</w:t>
            </w:r>
          </w:p>
        </w:tc>
      </w:tr>
    </w:tbl>
    <w:p w14:paraId="2CDDC0D0" w14:textId="0E77AE3E" w:rsidR="00FB7B83" w:rsidRDefault="00FB7B83" w:rsidP="00B57674">
      <w:pPr>
        <w:pStyle w:val="TableFooter"/>
        <w:jc w:val="both"/>
        <w:rPr>
          <w:i/>
        </w:rPr>
      </w:pPr>
      <w:r>
        <w:t>Abbreviations: MA = meta-analysis; NRT = nicotine replacement therapy; RCT = randomised controlled trial; SR = systematic review</w:t>
      </w:r>
      <w:r w:rsidRPr="00061F78">
        <w:t xml:space="preserve"> </w:t>
      </w:r>
    </w:p>
    <w:p w14:paraId="523AB6CA" w14:textId="58805F47" w:rsidR="00FB7B83" w:rsidRDefault="00FB7B83" w:rsidP="00B57674">
      <w:pPr>
        <w:pStyle w:val="TableFooter"/>
        <w:jc w:val="both"/>
      </w:pPr>
      <w:r>
        <w:t>1 Only the number of patients (n) in the relevant arms were included</w:t>
      </w:r>
      <w:r w:rsidR="00AB5FA3">
        <w:t>.</w:t>
      </w:r>
      <w:r>
        <w:t xml:space="preserve"> </w:t>
      </w:r>
    </w:p>
    <w:p w14:paraId="31834B4F" w14:textId="64BF763A" w:rsidR="00FB7B83" w:rsidRDefault="00FB7B83" w:rsidP="00B57674">
      <w:pPr>
        <w:pStyle w:val="TableFooter"/>
        <w:jc w:val="both"/>
      </w:pPr>
      <w:r>
        <w:t xml:space="preserve">2 The characteristics of the individual studies comparing varenicline plus NRT patch with varenicline plus placebo patch included in Chang et al. (2015) are presented in </w:t>
      </w:r>
      <w:r w:rsidRPr="00C44BB6">
        <w:t>Appendix</w:t>
      </w:r>
      <w:r w:rsidR="002C2DB9">
        <w:t xml:space="preserve"> Table 157.</w:t>
      </w:r>
      <w:r w:rsidR="00730363" w:rsidRPr="00730363">
        <w:t xml:space="preserve"> </w:t>
      </w:r>
      <w:r w:rsidR="00730363">
        <w:t>Chang</w:t>
      </w:r>
      <w:r w:rsidR="00730363" w:rsidRPr="00730363">
        <w:t xml:space="preserve"> et al. (201</w:t>
      </w:r>
      <w:r w:rsidR="00730363">
        <w:t>5</w:t>
      </w:r>
      <w:r w:rsidR="00730363" w:rsidRPr="00730363">
        <w:t>) did not state whether a protocol was registered before commencement of the review</w:t>
      </w:r>
      <w:r w:rsidR="00730363">
        <w:t xml:space="preserve"> and</w:t>
      </w:r>
      <w:r w:rsidR="00730363" w:rsidRPr="00730363">
        <w:t xml:space="preserve"> did not provide a list</w:t>
      </w:r>
      <w:r w:rsidR="006661D7">
        <w:t xml:space="preserve"> and justification</w:t>
      </w:r>
      <w:r w:rsidR="00730363" w:rsidRPr="00730363">
        <w:t xml:space="preserve"> of excluded studies</w:t>
      </w:r>
      <w:r w:rsidR="00730363" w:rsidRPr="00730363" w:rsidDel="006661D7">
        <w:t xml:space="preserve"> </w:t>
      </w:r>
      <w:r w:rsidR="00730363" w:rsidRPr="00730363">
        <w:t>(AMSTAR 2 critical domain).</w:t>
      </w:r>
    </w:p>
    <w:p w14:paraId="51CB1BC7" w14:textId="2D847661" w:rsidR="008C50C7" w:rsidRDefault="008C50C7" w:rsidP="00B57674">
      <w:pPr>
        <w:pStyle w:val="TableFooter"/>
        <w:jc w:val="both"/>
      </w:pPr>
      <w:r>
        <w:t>3 Early outcome was defined as the quit rate assessed before or at the end of treatment completion.</w:t>
      </w:r>
    </w:p>
    <w:p w14:paraId="14D3C4F6" w14:textId="53E5CD33" w:rsidR="008C50C7" w:rsidRPr="00061F78" w:rsidRDefault="008C50C7" w:rsidP="00B57674">
      <w:pPr>
        <w:pStyle w:val="TableFooter"/>
        <w:spacing w:after="120"/>
        <w:contextualSpacing w:val="0"/>
        <w:jc w:val="both"/>
      </w:pPr>
      <w:r>
        <w:t>4 Late outcome was defined as the quit rate assessed for a period of time after the end of treatment completion, majorly at 24 or more weeks.</w:t>
      </w:r>
    </w:p>
    <w:p w14:paraId="46151AD0" w14:textId="29EF6092" w:rsidR="007144D3" w:rsidRDefault="007144D3" w:rsidP="00B57674">
      <w:pPr>
        <w:spacing w:after="120"/>
        <w:jc w:val="both"/>
      </w:pPr>
      <w:r w:rsidRPr="007144D3">
        <w:t>Treatment interventions differed among the</w:t>
      </w:r>
      <w:r>
        <w:t xml:space="preserve"> three</w:t>
      </w:r>
      <w:r w:rsidRPr="007144D3">
        <w:t xml:space="preserve"> studies.</w:t>
      </w:r>
      <w:r>
        <w:t xml:space="preserve"> O</w:t>
      </w:r>
      <w:r w:rsidRPr="007144D3">
        <w:t xml:space="preserve">ne study administered </w:t>
      </w:r>
      <w:r w:rsidR="0018773E">
        <w:t>the</w:t>
      </w:r>
      <w:r w:rsidRPr="007144D3">
        <w:t xml:space="preserve"> trial </w:t>
      </w:r>
      <w:r w:rsidR="00573F59">
        <w:t>patches</w:t>
      </w:r>
      <w:r w:rsidRPr="007144D3">
        <w:t xml:space="preserve"> two weeks before the</w:t>
      </w:r>
      <w:r>
        <w:t xml:space="preserve"> treatment quit date (Koegelenberg et al. 2014)</w:t>
      </w:r>
      <w:r w:rsidRPr="007144D3">
        <w:t>, while the other two studies started patch use on the</w:t>
      </w:r>
      <w:r>
        <w:t xml:space="preserve"> treatment quit date (Hajek et al. 2013, Ramon et al. 2014)</w:t>
      </w:r>
      <w:r w:rsidRPr="007144D3">
        <w:t xml:space="preserve">. Two studies used a 15 mg/16 hours </w:t>
      </w:r>
      <w:r w:rsidR="00573F59">
        <w:t>patches</w:t>
      </w:r>
      <w:r>
        <w:t xml:space="preserve"> (Hajek et al. 2013, Koegelenberg et al. 2014)</w:t>
      </w:r>
      <w:r w:rsidRPr="007144D3">
        <w:t>, while</w:t>
      </w:r>
      <w:r>
        <w:t xml:space="preserve"> </w:t>
      </w:r>
      <w:r w:rsidRPr="007144D3">
        <w:t xml:space="preserve">the other </w:t>
      </w:r>
      <w:r>
        <w:t>study</w:t>
      </w:r>
      <w:r w:rsidRPr="007144D3">
        <w:t xml:space="preserve"> used a 21 mg/24 hours </w:t>
      </w:r>
      <w:r w:rsidR="00573F59">
        <w:t>patches</w:t>
      </w:r>
      <w:r>
        <w:t xml:space="preserve"> (Ramon et al. 2014)</w:t>
      </w:r>
      <w:r w:rsidRPr="007144D3">
        <w:t xml:space="preserve">. </w:t>
      </w:r>
      <w:r>
        <w:t>T</w:t>
      </w:r>
      <w:r w:rsidRPr="007144D3">
        <w:t>he use of varenicline was similar among</w:t>
      </w:r>
      <w:r>
        <w:t xml:space="preserve"> </w:t>
      </w:r>
      <w:r w:rsidRPr="007144D3">
        <w:t>the studies. All started at 0.5 mg per day one week before</w:t>
      </w:r>
      <w:r>
        <w:t xml:space="preserve"> </w:t>
      </w:r>
      <w:r w:rsidR="00B57674">
        <w:t xml:space="preserve">the </w:t>
      </w:r>
      <w:r>
        <w:t>treatment quit date</w:t>
      </w:r>
      <w:r w:rsidRPr="007144D3">
        <w:t xml:space="preserve">, with </w:t>
      </w:r>
      <w:r w:rsidR="00B57674">
        <w:t xml:space="preserve">an </w:t>
      </w:r>
      <w:r w:rsidRPr="007144D3">
        <w:t xml:space="preserve">increase to 2 mg/day on </w:t>
      </w:r>
      <w:r>
        <w:t>treatment quit date</w:t>
      </w:r>
      <w:r w:rsidRPr="007144D3">
        <w:t xml:space="preserve"> and</w:t>
      </w:r>
      <w:r>
        <w:t xml:space="preserve"> </w:t>
      </w:r>
      <w:r w:rsidRPr="007144D3">
        <w:t>continued for 12 weeks. One study tapered the</w:t>
      </w:r>
      <w:r>
        <w:t xml:space="preserve"> </w:t>
      </w:r>
      <w:r w:rsidRPr="007144D3">
        <w:t>dose of varenicline on the 13</w:t>
      </w:r>
      <w:r w:rsidRPr="007144D3">
        <w:rPr>
          <w:vertAlign w:val="superscript"/>
        </w:rPr>
        <w:t>th</w:t>
      </w:r>
      <w:r>
        <w:t xml:space="preserve"> </w:t>
      </w:r>
      <w:r w:rsidRPr="007144D3">
        <w:t>week</w:t>
      </w:r>
      <w:r>
        <w:t xml:space="preserve"> (Koegelenberg et al. 2014)</w:t>
      </w:r>
      <w:r w:rsidRPr="007144D3">
        <w:t>. All studies provided</w:t>
      </w:r>
      <w:r>
        <w:t xml:space="preserve"> </w:t>
      </w:r>
      <w:r w:rsidRPr="007144D3">
        <w:t>concurrent behavio</w:t>
      </w:r>
      <w:r>
        <w:t>u</w:t>
      </w:r>
      <w:r w:rsidRPr="007144D3">
        <w:t>ral counsel</w:t>
      </w:r>
      <w:r>
        <w:t>l</w:t>
      </w:r>
      <w:r w:rsidRPr="007144D3">
        <w:t>ing during the</w:t>
      </w:r>
      <w:r>
        <w:t xml:space="preserve"> </w:t>
      </w:r>
      <w:r w:rsidRPr="007144D3">
        <w:t xml:space="preserve">treatment phase. </w:t>
      </w:r>
    </w:p>
    <w:p w14:paraId="6710DC92" w14:textId="7DE952DB" w:rsidR="007144D3" w:rsidRPr="007144D3" w:rsidRDefault="007144D3" w:rsidP="00B57674">
      <w:pPr>
        <w:spacing w:after="120"/>
        <w:jc w:val="both"/>
      </w:pPr>
      <w:r>
        <w:t>In terms of outcomes, a</w:t>
      </w:r>
      <w:r w:rsidRPr="007144D3">
        <w:t>ll studies used exhaled carbon monoxide</w:t>
      </w:r>
      <w:r>
        <w:t xml:space="preserve"> </w:t>
      </w:r>
      <w:r w:rsidRPr="007144D3">
        <w:t>to confirm continuous abstinence</w:t>
      </w:r>
      <w:r w:rsidR="003E10B4">
        <w:t xml:space="preserve"> based on early</w:t>
      </w:r>
      <w:r w:rsidR="00844BCC">
        <w:t xml:space="preserve"> and late outcomes</w:t>
      </w:r>
      <w:r w:rsidRPr="007144D3">
        <w:t>.</w:t>
      </w:r>
      <w:r w:rsidR="00D44EAE">
        <w:t xml:space="preserve"> </w:t>
      </w:r>
      <w:r w:rsidR="00844BCC" w:rsidRPr="00844BCC">
        <w:t>Early outcome was defined as the quit rate assessed before</w:t>
      </w:r>
      <w:r w:rsidR="00B57674">
        <w:t>,</w:t>
      </w:r>
      <w:r w:rsidR="00844BCC" w:rsidRPr="00844BCC">
        <w:t xml:space="preserve"> or at the end of</w:t>
      </w:r>
      <w:r w:rsidR="00B57674">
        <w:t>,</w:t>
      </w:r>
      <w:r w:rsidR="00844BCC" w:rsidRPr="00844BCC">
        <w:t xml:space="preserve"> treatment completion</w:t>
      </w:r>
      <w:r w:rsidR="00844BCC">
        <w:t>, while l</w:t>
      </w:r>
      <w:r w:rsidR="00844BCC" w:rsidRPr="00844BCC">
        <w:t>ate outcome was defined as the quit rate assessed for a period of time after the end of treatment completion</w:t>
      </w:r>
      <w:r w:rsidR="00844BCC">
        <w:t>.</w:t>
      </w:r>
      <w:r w:rsidR="00D44EAE">
        <w:t xml:space="preserve"> Outcomes </w:t>
      </w:r>
      <w:r w:rsidR="00D44EAE">
        <w:lastRenderedPageBreak/>
        <w:t>without biochemical verification were excluded from the analysis.</w:t>
      </w:r>
      <w:r w:rsidRPr="007144D3">
        <w:t xml:space="preserve"> One study measured the early</w:t>
      </w:r>
      <w:r>
        <w:t xml:space="preserve"> </w:t>
      </w:r>
      <w:r w:rsidRPr="007144D3">
        <w:t>outcome at 4 weeks</w:t>
      </w:r>
      <w:r>
        <w:t xml:space="preserve"> (Hajek et al. 2013), while</w:t>
      </w:r>
      <w:r w:rsidRPr="007144D3">
        <w:t xml:space="preserve"> the other two measured it at</w:t>
      </w:r>
      <w:r>
        <w:t xml:space="preserve"> </w:t>
      </w:r>
      <w:r w:rsidRPr="007144D3">
        <w:t>12 weeks</w:t>
      </w:r>
      <w:r>
        <w:t xml:space="preserve"> (Koegelenberg et al. 2014,</w:t>
      </w:r>
      <w:r w:rsidRPr="007144D3">
        <w:t xml:space="preserve"> </w:t>
      </w:r>
      <w:r>
        <w:t>Ramon et al. 2014)</w:t>
      </w:r>
      <w:r w:rsidRPr="007144D3">
        <w:t>. For the late outcome,</w:t>
      </w:r>
      <w:r>
        <w:t xml:space="preserve"> Koegelenberg et al. (2014)</w:t>
      </w:r>
      <w:r w:rsidRPr="007144D3">
        <w:t xml:space="preserve"> measured </w:t>
      </w:r>
      <w:r w:rsidR="00602CA6">
        <w:t>nine</w:t>
      </w:r>
      <w:r w:rsidRPr="007144D3">
        <w:t xml:space="preserve"> to 24 weeks of continuous</w:t>
      </w:r>
      <w:r>
        <w:t xml:space="preserve"> </w:t>
      </w:r>
      <w:r w:rsidRPr="007144D3">
        <w:t xml:space="preserve">abstinence, </w:t>
      </w:r>
      <w:r>
        <w:t>Ramon et al. (2014)</w:t>
      </w:r>
      <w:r w:rsidRPr="007144D3">
        <w:t xml:space="preserve"> measured </w:t>
      </w:r>
      <w:r w:rsidR="00602CA6">
        <w:t>two</w:t>
      </w:r>
      <w:r w:rsidRPr="007144D3">
        <w:t xml:space="preserve"> to 24 weeks</w:t>
      </w:r>
      <w:r>
        <w:t xml:space="preserve"> </w:t>
      </w:r>
      <w:r w:rsidRPr="007144D3">
        <w:t xml:space="preserve">of continuous abstinence, and </w:t>
      </w:r>
      <w:r>
        <w:t>Hajek et al. (2013)</w:t>
      </w:r>
      <w:r w:rsidRPr="007144D3">
        <w:t xml:space="preserve"> did not</w:t>
      </w:r>
      <w:r>
        <w:t xml:space="preserve"> </w:t>
      </w:r>
      <w:r w:rsidRPr="007144D3">
        <w:t>measure outcome</w:t>
      </w:r>
      <w:r w:rsidR="00B46758">
        <w:t>s</w:t>
      </w:r>
      <w:r w:rsidRPr="007144D3">
        <w:t xml:space="preserve"> after </w:t>
      </w:r>
      <w:r w:rsidR="00B46758">
        <w:t xml:space="preserve">the </w:t>
      </w:r>
      <w:r w:rsidRPr="007144D3">
        <w:t>treatment phase.</w:t>
      </w:r>
    </w:p>
    <w:p w14:paraId="6003B2F6" w14:textId="1BA6BF98" w:rsidR="007144D3" w:rsidRPr="007144D3" w:rsidRDefault="007144D3" w:rsidP="00B57674">
      <w:pPr>
        <w:spacing w:after="120"/>
        <w:jc w:val="both"/>
        <w:rPr>
          <w:u w:val="single"/>
        </w:rPr>
      </w:pPr>
      <w:r w:rsidRPr="007144D3">
        <w:rPr>
          <w:u w:val="single"/>
        </w:rPr>
        <w:t>Efficacy</w:t>
      </w:r>
    </w:p>
    <w:p w14:paraId="0D7D94D3" w14:textId="5CC7FD9E" w:rsidR="00EB410B" w:rsidRDefault="007144D3" w:rsidP="00B57674">
      <w:pPr>
        <w:spacing w:after="120"/>
        <w:jc w:val="both"/>
      </w:pPr>
      <w:r>
        <w:t xml:space="preserve">A summary of the smoking cessation rates </w:t>
      </w:r>
      <w:r w:rsidR="003A6E6A">
        <w:t>comparing varenicline p</w:t>
      </w:r>
      <w:r w:rsidR="00E03D40">
        <w:t xml:space="preserve">lus NRT with varenicline alone </w:t>
      </w:r>
      <w:r w:rsidR="004021FA">
        <w:t>in terms of early and late outcomes</w:t>
      </w:r>
      <w:r>
        <w:t xml:space="preserve"> is presented in </w:t>
      </w:r>
      <w:r w:rsidR="00EB410B">
        <w:fldChar w:fldCharType="begin" w:fldLock="1"/>
      </w:r>
      <w:r w:rsidR="00EB410B">
        <w:instrText xml:space="preserve"> REF _Ref55471475 \h </w:instrText>
      </w:r>
      <w:r w:rsidR="00EB410B">
        <w:fldChar w:fldCharType="separate"/>
      </w:r>
      <w:r w:rsidR="00EC5CC7">
        <w:t xml:space="preserve">Table </w:t>
      </w:r>
      <w:r w:rsidR="00EC5CC7">
        <w:rPr>
          <w:noProof/>
        </w:rPr>
        <w:t>68</w:t>
      </w:r>
      <w:r w:rsidR="00EB410B">
        <w:fldChar w:fldCharType="end"/>
      </w:r>
      <w:r>
        <w:t xml:space="preserve">. For </w:t>
      </w:r>
      <w:r w:rsidR="00EB410B">
        <w:t>early outcome</w:t>
      </w:r>
      <w:r w:rsidR="003E5DD6">
        <w:t>s</w:t>
      </w:r>
      <w:r w:rsidR="00EB410B">
        <w:t xml:space="preserve">, </w:t>
      </w:r>
      <w:r w:rsidR="00EB410B" w:rsidRPr="00EB410B">
        <w:t xml:space="preserve">the results of the meta-analysis comprising </w:t>
      </w:r>
      <w:r w:rsidR="00EB410B">
        <w:t>three</w:t>
      </w:r>
      <w:r w:rsidR="00EB410B" w:rsidRPr="00EB410B">
        <w:t xml:space="preserve"> RCTs demonstrated a statistically significant difference in favour of </w:t>
      </w:r>
      <w:r w:rsidR="00EB410B">
        <w:t>varenicline plus NRT patch</w:t>
      </w:r>
      <w:r w:rsidR="00EB410B" w:rsidRPr="00EB410B">
        <w:t>.</w:t>
      </w:r>
      <w:r w:rsidR="00EB410B">
        <w:t xml:space="preserve"> For late outcome</w:t>
      </w:r>
      <w:r w:rsidR="003E5DD6">
        <w:t>s</w:t>
      </w:r>
      <w:r w:rsidR="00EB410B">
        <w:t xml:space="preserve">, </w:t>
      </w:r>
      <w:r w:rsidR="00EB410B" w:rsidRPr="00EB410B">
        <w:t xml:space="preserve">the results of the meta-analysis comprising </w:t>
      </w:r>
      <w:r w:rsidR="00EB410B">
        <w:t>two</w:t>
      </w:r>
      <w:r w:rsidR="00EB410B" w:rsidRPr="00EB410B">
        <w:t xml:space="preserve"> RCTs demonstrated a statistically significant difference in favour of </w:t>
      </w:r>
      <w:r w:rsidR="00EB410B">
        <w:t>varenicline plus NRT patch</w:t>
      </w:r>
      <w:r w:rsidR="00EB410B" w:rsidRPr="00EB410B">
        <w:t>.</w:t>
      </w:r>
      <w:r w:rsidR="00EB410B">
        <w:t xml:space="preserve"> </w:t>
      </w:r>
    </w:p>
    <w:p w14:paraId="616A0C8D" w14:textId="24AD0C44" w:rsidR="00FE02FD" w:rsidRDefault="00FE02FD" w:rsidP="00B57674">
      <w:pPr>
        <w:pStyle w:val="Caption"/>
        <w:keepNext/>
        <w:spacing w:before="0" w:after="120"/>
        <w:jc w:val="both"/>
      </w:pPr>
      <w:bookmarkStart w:id="127" w:name="_Ref55471475"/>
      <w:r>
        <w:t xml:space="preserve">Table </w:t>
      </w:r>
      <w:r w:rsidR="00BF3F75">
        <w:fldChar w:fldCharType="begin"/>
      </w:r>
      <w:r w:rsidR="00BF3F75">
        <w:instrText xml:space="preserve"> SEQ Table \* ARABIC </w:instrText>
      </w:r>
      <w:r w:rsidR="00BF3F75">
        <w:fldChar w:fldCharType="separate"/>
      </w:r>
      <w:r w:rsidR="00EC5CC7">
        <w:rPr>
          <w:noProof/>
        </w:rPr>
        <w:t>68</w:t>
      </w:r>
      <w:r w:rsidR="00BF3F75">
        <w:rPr>
          <w:noProof/>
        </w:rPr>
        <w:fldChar w:fldCharType="end"/>
      </w:r>
      <w:bookmarkEnd w:id="127"/>
      <w:r>
        <w:t xml:space="preserve">: </w:t>
      </w:r>
      <w:r w:rsidRPr="00624001">
        <w:t xml:space="preserve">Results of smoking cessation </w:t>
      </w:r>
      <w:r>
        <w:t>in terms of</w:t>
      </w:r>
      <w:r w:rsidRPr="00624001">
        <w:t xml:space="preserve"> </w:t>
      </w:r>
      <w:r>
        <w:t xml:space="preserve">early and late </w:t>
      </w:r>
      <w:r w:rsidR="004021FA">
        <w:t xml:space="preserve">efficacy </w:t>
      </w:r>
      <w:r>
        <w:t>outcome</w:t>
      </w:r>
      <w:r w:rsidR="004021FA">
        <w:t>s</w:t>
      </w:r>
      <w:r w:rsidRPr="00624001">
        <w:t xml:space="preserve">, </w:t>
      </w:r>
      <w:r>
        <w:t>varenicline plus</w:t>
      </w:r>
      <w:r w:rsidRPr="00624001">
        <w:t xml:space="preserve"> NRT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167"/>
        <w:gridCol w:w="1855"/>
        <w:gridCol w:w="2119"/>
        <w:gridCol w:w="2066"/>
        <w:gridCol w:w="1809"/>
      </w:tblGrid>
      <w:tr w:rsidR="0008509E" w:rsidRPr="00061F78" w14:paraId="23C05834" w14:textId="77777777" w:rsidTr="000B3CA3">
        <w:trPr>
          <w:cantSplit/>
          <w:trHeight w:val="299"/>
          <w:tblHeader/>
        </w:trPr>
        <w:tc>
          <w:tcPr>
            <w:tcW w:w="647" w:type="pct"/>
            <w:shd w:val="clear" w:color="auto" w:fill="BFBFBF" w:themeFill="background1" w:themeFillShade="BF"/>
            <w:tcMar>
              <w:left w:w="28" w:type="dxa"/>
              <w:right w:w="28" w:type="dxa"/>
            </w:tcMar>
          </w:tcPr>
          <w:p w14:paraId="362FF939" w14:textId="77777777" w:rsidR="00FE02FD" w:rsidRPr="00061F78" w:rsidRDefault="00FE02FD" w:rsidP="003A6E6A">
            <w:pPr>
              <w:pStyle w:val="Tableheading"/>
              <w:rPr>
                <w:rFonts w:eastAsia="MS Mincho"/>
              </w:rPr>
            </w:pPr>
            <w:r>
              <w:rPr>
                <w:rFonts w:eastAsia="MS Mincho"/>
              </w:rPr>
              <w:t>Study</w:t>
            </w:r>
          </w:p>
        </w:tc>
        <w:tc>
          <w:tcPr>
            <w:tcW w:w="1029" w:type="pct"/>
            <w:shd w:val="clear" w:color="auto" w:fill="BFBFBF" w:themeFill="background1" w:themeFillShade="BF"/>
            <w:vAlign w:val="center"/>
          </w:tcPr>
          <w:p w14:paraId="6978BEA5" w14:textId="77777777" w:rsidR="00FE02FD" w:rsidRDefault="00FE02FD" w:rsidP="003A6E6A">
            <w:pPr>
              <w:pStyle w:val="Tableheading"/>
              <w:jc w:val="center"/>
              <w:rPr>
                <w:rFonts w:eastAsia="MS Mincho"/>
              </w:rPr>
            </w:pPr>
            <w:r>
              <w:rPr>
                <w:rFonts w:eastAsia="MS Mincho"/>
              </w:rPr>
              <w:t>Study type</w:t>
            </w:r>
          </w:p>
        </w:tc>
        <w:tc>
          <w:tcPr>
            <w:tcW w:w="1175" w:type="pct"/>
            <w:shd w:val="clear" w:color="auto" w:fill="BFBFBF" w:themeFill="background1" w:themeFillShade="BF"/>
            <w:tcMar>
              <w:left w:w="28" w:type="dxa"/>
              <w:right w:w="28" w:type="dxa"/>
            </w:tcMar>
            <w:vAlign w:val="center"/>
          </w:tcPr>
          <w:p w14:paraId="5836AFF5" w14:textId="777613FC" w:rsidR="00FE02FD" w:rsidRPr="00061F78" w:rsidRDefault="00FE02FD" w:rsidP="003A6E6A">
            <w:pPr>
              <w:pStyle w:val="Tableheading"/>
              <w:jc w:val="center"/>
              <w:rPr>
                <w:rFonts w:eastAsia="MS Mincho"/>
              </w:rPr>
            </w:pPr>
            <w:r>
              <w:rPr>
                <w:rFonts w:eastAsia="MS Mincho"/>
              </w:rPr>
              <w:t>Varenicline plus NRT patch</w:t>
            </w:r>
          </w:p>
        </w:tc>
        <w:tc>
          <w:tcPr>
            <w:tcW w:w="1146" w:type="pct"/>
            <w:shd w:val="clear" w:color="auto" w:fill="BFBFBF" w:themeFill="background1" w:themeFillShade="BF"/>
            <w:tcMar>
              <w:left w:w="28" w:type="dxa"/>
              <w:right w:w="28" w:type="dxa"/>
            </w:tcMar>
            <w:vAlign w:val="center"/>
          </w:tcPr>
          <w:p w14:paraId="4509390C" w14:textId="37C4CBBE" w:rsidR="00FE02FD" w:rsidRPr="00061F78" w:rsidRDefault="00FE02FD" w:rsidP="003A6E6A">
            <w:pPr>
              <w:pStyle w:val="Tableheading"/>
              <w:jc w:val="center"/>
              <w:rPr>
                <w:rFonts w:eastAsia="MS Mincho"/>
              </w:rPr>
            </w:pPr>
            <w:r>
              <w:rPr>
                <w:rFonts w:eastAsia="MS Mincho"/>
              </w:rPr>
              <w:t>Varenicline plus placebo patch</w:t>
            </w:r>
          </w:p>
        </w:tc>
        <w:tc>
          <w:tcPr>
            <w:tcW w:w="1004" w:type="pct"/>
            <w:shd w:val="clear" w:color="auto" w:fill="BFBFBF" w:themeFill="background1" w:themeFillShade="BF"/>
            <w:vAlign w:val="center"/>
          </w:tcPr>
          <w:p w14:paraId="4ED4A0BF" w14:textId="39097A03" w:rsidR="00FE02FD" w:rsidRPr="00D44EAE" w:rsidRDefault="00FE02FD" w:rsidP="003A6E6A">
            <w:pPr>
              <w:pStyle w:val="Tableheading"/>
              <w:jc w:val="center"/>
              <w:rPr>
                <w:rFonts w:eastAsia="MS Mincho"/>
                <w:vertAlign w:val="superscript"/>
              </w:rPr>
            </w:pPr>
            <w:r>
              <w:t>O</w:t>
            </w:r>
            <w:r w:rsidRPr="006A66DE">
              <w:t>R (95% CI)</w:t>
            </w:r>
            <w:r w:rsidR="00527108">
              <w:rPr>
                <w:vertAlign w:val="superscript"/>
              </w:rPr>
              <w:t>1</w:t>
            </w:r>
          </w:p>
        </w:tc>
      </w:tr>
      <w:tr w:rsidR="00FE02FD" w:rsidRPr="00061F78" w14:paraId="0E363477" w14:textId="77777777" w:rsidTr="004B53F8">
        <w:trPr>
          <w:cantSplit/>
          <w:trHeight w:val="99"/>
        </w:trPr>
        <w:tc>
          <w:tcPr>
            <w:tcW w:w="5000" w:type="pct"/>
            <w:gridSpan w:val="5"/>
            <w:shd w:val="clear" w:color="auto" w:fill="auto"/>
            <w:tcMar>
              <w:left w:w="28" w:type="dxa"/>
              <w:right w:w="28" w:type="dxa"/>
            </w:tcMar>
          </w:tcPr>
          <w:p w14:paraId="206722D8" w14:textId="7B9DC83E" w:rsidR="00527108" w:rsidRPr="004B53F8" w:rsidRDefault="00527108" w:rsidP="003A6E6A">
            <w:pPr>
              <w:pStyle w:val="Tablewriting"/>
              <w:rPr>
                <w:rFonts w:eastAsia="MS Mincho"/>
                <w:b/>
                <w:bCs/>
                <w:vertAlign w:val="superscript"/>
              </w:rPr>
            </w:pPr>
            <w:r w:rsidRPr="004B53F8">
              <w:rPr>
                <w:rFonts w:eastAsia="MS Mincho"/>
                <w:b/>
                <w:bCs/>
              </w:rPr>
              <w:t>Early outcome</w:t>
            </w:r>
            <w:r w:rsidR="004B53F8">
              <w:rPr>
                <w:rFonts w:eastAsia="MS Mincho"/>
                <w:b/>
                <w:bCs/>
                <w:vertAlign w:val="superscript"/>
              </w:rPr>
              <w:t>2</w:t>
            </w:r>
          </w:p>
        </w:tc>
      </w:tr>
      <w:tr w:rsidR="00FE02FD" w:rsidRPr="00061F78" w14:paraId="27238362" w14:textId="77777777" w:rsidTr="000B3CA3">
        <w:trPr>
          <w:cantSplit/>
          <w:trHeight w:val="99"/>
        </w:trPr>
        <w:tc>
          <w:tcPr>
            <w:tcW w:w="647" w:type="pct"/>
            <w:shd w:val="clear" w:color="auto" w:fill="auto"/>
            <w:tcMar>
              <w:left w:w="28" w:type="dxa"/>
              <w:right w:w="28" w:type="dxa"/>
            </w:tcMar>
          </w:tcPr>
          <w:p w14:paraId="5D0A3801" w14:textId="718334BF" w:rsidR="00527108" w:rsidRDefault="00527108" w:rsidP="003A6E6A">
            <w:pPr>
              <w:pStyle w:val="Tablewriting"/>
              <w:rPr>
                <w:rFonts w:eastAsia="MS Mincho"/>
              </w:rPr>
            </w:pPr>
            <w:r>
              <w:rPr>
                <w:rFonts w:eastAsia="MS Mincho"/>
              </w:rPr>
              <w:t xml:space="preserve">Chang </w:t>
            </w:r>
          </w:p>
          <w:p w14:paraId="5413EF5D" w14:textId="779CCADD" w:rsidR="00FE02FD" w:rsidRPr="00251B64" w:rsidRDefault="00527108" w:rsidP="003A6E6A">
            <w:pPr>
              <w:pStyle w:val="Tablewriting"/>
              <w:rPr>
                <w:rFonts w:eastAsia="MS Mincho"/>
              </w:rPr>
            </w:pPr>
            <w:r>
              <w:rPr>
                <w:rFonts w:eastAsia="MS Mincho"/>
              </w:rPr>
              <w:t>(2015)</w:t>
            </w:r>
            <w:r w:rsidR="00FE02FD" w:rsidRPr="00251B64">
              <w:rPr>
                <w:rFonts w:eastAsia="MS Mincho"/>
              </w:rPr>
              <w:t xml:space="preserve"> </w:t>
            </w:r>
          </w:p>
        </w:tc>
        <w:tc>
          <w:tcPr>
            <w:tcW w:w="1029" w:type="pct"/>
            <w:shd w:val="clear" w:color="auto" w:fill="auto"/>
            <w:vAlign w:val="center"/>
          </w:tcPr>
          <w:p w14:paraId="6FEA7A89" w14:textId="77777777" w:rsidR="00527108" w:rsidRDefault="00527108" w:rsidP="003A6E6A">
            <w:pPr>
              <w:pStyle w:val="Tablewriting"/>
              <w:jc w:val="center"/>
              <w:rPr>
                <w:rFonts w:eastAsia="MS Mincho"/>
              </w:rPr>
            </w:pPr>
            <w:r>
              <w:rPr>
                <w:rFonts w:eastAsia="MS Mincho"/>
              </w:rPr>
              <w:t>SR &amp; MA</w:t>
            </w:r>
          </w:p>
          <w:p w14:paraId="1BD2980E" w14:textId="6DECE15D" w:rsidR="00FE02FD" w:rsidRPr="00251B64" w:rsidRDefault="00527108" w:rsidP="003A6E6A">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175" w:type="pct"/>
            <w:shd w:val="clear" w:color="auto" w:fill="auto"/>
            <w:tcMar>
              <w:left w:w="28" w:type="dxa"/>
              <w:right w:w="28" w:type="dxa"/>
            </w:tcMar>
            <w:vAlign w:val="center"/>
          </w:tcPr>
          <w:p w14:paraId="5DAF5465" w14:textId="77777777" w:rsidR="00527108" w:rsidRDefault="00527108" w:rsidP="003A6E6A">
            <w:pPr>
              <w:pStyle w:val="Tablewriting"/>
              <w:jc w:val="center"/>
              <w:rPr>
                <w:rFonts w:eastAsia="MS Mincho"/>
              </w:rPr>
            </w:pPr>
            <w:r>
              <w:rPr>
                <w:rFonts w:eastAsia="MS Mincho"/>
              </w:rPr>
              <w:t>200/450</w:t>
            </w:r>
          </w:p>
          <w:p w14:paraId="606C6B2B" w14:textId="4882AECF" w:rsidR="00FE02FD" w:rsidRPr="00251B64" w:rsidRDefault="00527108" w:rsidP="003A6E6A">
            <w:pPr>
              <w:pStyle w:val="Tablewriting"/>
              <w:jc w:val="center"/>
              <w:rPr>
                <w:rFonts w:eastAsia="MS Mincho"/>
              </w:rPr>
            </w:pPr>
            <w:r>
              <w:rPr>
                <w:rFonts w:eastAsia="MS Mincho"/>
              </w:rPr>
              <w:t>(44.4%)</w:t>
            </w:r>
          </w:p>
        </w:tc>
        <w:tc>
          <w:tcPr>
            <w:tcW w:w="1146" w:type="pct"/>
            <w:shd w:val="clear" w:color="auto" w:fill="auto"/>
            <w:tcMar>
              <w:left w:w="28" w:type="dxa"/>
              <w:right w:w="28" w:type="dxa"/>
            </w:tcMar>
            <w:vAlign w:val="center"/>
          </w:tcPr>
          <w:p w14:paraId="23899779" w14:textId="77777777" w:rsidR="00527108" w:rsidRPr="00FE02FD" w:rsidRDefault="00527108" w:rsidP="003A6E6A">
            <w:pPr>
              <w:pStyle w:val="Tablewriting"/>
              <w:jc w:val="center"/>
              <w:rPr>
                <w:rFonts w:eastAsia="MS Mincho"/>
              </w:rPr>
            </w:pPr>
            <w:r w:rsidRPr="00FE02FD">
              <w:rPr>
                <w:rFonts w:eastAsia="MS Mincho"/>
              </w:rPr>
              <w:t>159/454</w:t>
            </w:r>
          </w:p>
          <w:p w14:paraId="63F73BD0" w14:textId="70601082" w:rsidR="00FE02FD" w:rsidRPr="00251B64" w:rsidRDefault="00527108" w:rsidP="003A6E6A">
            <w:pPr>
              <w:pStyle w:val="Tablewriting"/>
              <w:jc w:val="center"/>
              <w:rPr>
                <w:rFonts w:eastAsia="MS Mincho"/>
              </w:rPr>
            </w:pPr>
            <w:r w:rsidRPr="00FE02FD">
              <w:rPr>
                <w:rFonts w:eastAsia="MS Mincho"/>
              </w:rPr>
              <w:t>(</w:t>
            </w:r>
            <w:r>
              <w:rPr>
                <w:rFonts w:eastAsia="MS Mincho"/>
              </w:rPr>
              <w:t>35.0</w:t>
            </w:r>
            <w:r w:rsidRPr="00FE02FD">
              <w:rPr>
                <w:rFonts w:eastAsia="MS Mincho"/>
              </w:rPr>
              <w:t>%)</w:t>
            </w:r>
          </w:p>
        </w:tc>
        <w:tc>
          <w:tcPr>
            <w:tcW w:w="1004" w:type="pct"/>
            <w:vAlign w:val="center"/>
          </w:tcPr>
          <w:p w14:paraId="6A736CE7" w14:textId="77777777" w:rsidR="00527108" w:rsidRPr="00FE02FD" w:rsidRDefault="00527108" w:rsidP="003A6E6A">
            <w:pPr>
              <w:pStyle w:val="Tablewriting"/>
              <w:jc w:val="center"/>
              <w:rPr>
                <w:b/>
                <w:bCs/>
              </w:rPr>
            </w:pPr>
            <w:r w:rsidRPr="00FE02FD">
              <w:rPr>
                <w:b/>
                <w:bCs/>
              </w:rPr>
              <w:t>1.50</w:t>
            </w:r>
          </w:p>
          <w:p w14:paraId="12ACDD2B" w14:textId="67B0A5E4" w:rsidR="00FE02FD" w:rsidRPr="00FE02FD" w:rsidRDefault="00527108" w:rsidP="003A6E6A">
            <w:pPr>
              <w:pStyle w:val="Tablewriting"/>
              <w:jc w:val="center"/>
              <w:rPr>
                <w:rFonts w:eastAsia="MS Mincho"/>
              </w:rPr>
            </w:pPr>
            <w:r w:rsidRPr="00FE02FD">
              <w:rPr>
                <w:b/>
                <w:bCs/>
              </w:rPr>
              <w:t>(1.14, 1.97)</w:t>
            </w:r>
          </w:p>
        </w:tc>
      </w:tr>
      <w:tr w:rsidR="00FE02FD" w:rsidRPr="00061F78" w14:paraId="5EE0F276" w14:textId="77777777" w:rsidTr="004B53F8">
        <w:trPr>
          <w:cantSplit/>
          <w:trHeight w:val="99"/>
        </w:trPr>
        <w:tc>
          <w:tcPr>
            <w:tcW w:w="5000" w:type="pct"/>
            <w:gridSpan w:val="5"/>
            <w:shd w:val="clear" w:color="auto" w:fill="auto"/>
            <w:tcMar>
              <w:left w:w="28" w:type="dxa"/>
              <w:right w:w="28" w:type="dxa"/>
            </w:tcMar>
          </w:tcPr>
          <w:p w14:paraId="5F0FE8FE" w14:textId="6F17F5F2" w:rsidR="00527108" w:rsidRPr="004B53F8" w:rsidRDefault="00527108" w:rsidP="003A6E6A">
            <w:pPr>
              <w:pStyle w:val="Tablewriting"/>
              <w:rPr>
                <w:rFonts w:eastAsia="MS Mincho"/>
                <w:b/>
                <w:bCs/>
                <w:highlight w:val="yellow"/>
                <w:vertAlign w:val="superscript"/>
              </w:rPr>
            </w:pPr>
            <w:r w:rsidRPr="004B53F8">
              <w:rPr>
                <w:rFonts w:eastAsia="MS Mincho"/>
                <w:b/>
                <w:bCs/>
              </w:rPr>
              <w:t>Late outcome</w:t>
            </w:r>
            <w:r w:rsidR="004B53F8">
              <w:rPr>
                <w:rFonts w:eastAsia="MS Mincho"/>
                <w:b/>
                <w:bCs/>
                <w:vertAlign w:val="superscript"/>
              </w:rPr>
              <w:t>3</w:t>
            </w:r>
          </w:p>
        </w:tc>
      </w:tr>
      <w:tr w:rsidR="00FE02FD" w:rsidRPr="00061F78" w14:paraId="2898CBE7" w14:textId="77777777" w:rsidTr="000B3CA3">
        <w:trPr>
          <w:cantSplit/>
          <w:trHeight w:val="99"/>
        </w:trPr>
        <w:tc>
          <w:tcPr>
            <w:tcW w:w="647" w:type="pct"/>
            <w:shd w:val="clear" w:color="auto" w:fill="auto"/>
            <w:tcMar>
              <w:left w:w="28" w:type="dxa"/>
              <w:right w:w="28" w:type="dxa"/>
            </w:tcMar>
          </w:tcPr>
          <w:p w14:paraId="5A0D663A" w14:textId="77777777" w:rsidR="00527108" w:rsidRDefault="00527108" w:rsidP="003A6E6A">
            <w:pPr>
              <w:pStyle w:val="Tablewriting"/>
              <w:rPr>
                <w:rFonts w:eastAsia="MS Mincho"/>
              </w:rPr>
            </w:pPr>
            <w:r>
              <w:rPr>
                <w:rFonts w:eastAsia="MS Mincho"/>
              </w:rPr>
              <w:t xml:space="preserve">Chang </w:t>
            </w:r>
          </w:p>
          <w:p w14:paraId="76C275A0" w14:textId="4A6316D1" w:rsidR="00FE02FD" w:rsidRPr="005C3469" w:rsidRDefault="00527108" w:rsidP="003A6E6A">
            <w:pPr>
              <w:pStyle w:val="Tablewriting"/>
              <w:rPr>
                <w:rFonts w:eastAsia="MS Mincho"/>
                <w:highlight w:val="yellow"/>
              </w:rPr>
            </w:pPr>
            <w:r>
              <w:rPr>
                <w:rFonts w:eastAsia="MS Mincho"/>
              </w:rPr>
              <w:t>(2015)</w:t>
            </w:r>
            <w:r w:rsidRPr="00251B64">
              <w:rPr>
                <w:rFonts w:eastAsia="MS Mincho"/>
              </w:rPr>
              <w:t xml:space="preserve"> </w:t>
            </w:r>
          </w:p>
        </w:tc>
        <w:tc>
          <w:tcPr>
            <w:tcW w:w="1029" w:type="pct"/>
            <w:shd w:val="clear" w:color="auto" w:fill="auto"/>
            <w:vAlign w:val="center"/>
          </w:tcPr>
          <w:p w14:paraId="4E221640" w14:textId="77777777" w:rsidR="00527108" w:rsidRDefault="00527108" w:rsidP="003A6E6A">
            <w:pPr>
              <w:pStyle w:val="Tablewriting"/>
              <w:jc w:val="center"/>
              <w:rPr>
                <w:rFonts w:eastAsia="MS Mincho"/>
              </w:rPr>
            </w:pPr>
            <w:r>
              <w:rPr>
                <w:rFonts w:eastAsia="MS Mincho"/>
              </w:rPr>
              <w:t>SR &amp; MA</w:t>
            </w:r>
          </w:p>
          <w:p w14:paraId="1D277662" w14:textId="52B9BB67" w:rsidR="00FE02FD" w:rsidRDefault="00527108" w:rsidP="003A6E6A">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175" w:type="pct"/>
            <w:shd w:val="clear" w:color="auto" w:fill="auto"/>
            <w:tcMar>
              <w:left w:w="28" w:type="dxa"/>
              <w:right w:w="28" w:type="dxa"/>
            </w:tcMar>
            <w:vAlign w:val="center"/>
          </w:tcPr>
          <w:p w14:paraId="26834E0D" w14:textId="77777777" w:rsidR="00527108" w:rsidRPr="00FE02FD" w:rsidRDefault="00527108" w:rsidP="003A6E6A">
            <w:pPr>
              <w:pStyle w:val="Tablewriting"/>
              <w:jc w:val="center"/>
              <w:rPr>
                <w:rFonts w:eastAsia="MS Mincho"/>
              </w:rPr>
            </w:pPr>
            <w:r w:rsidRPr="00FE02FD">
              <w:rPr>
                <w:rFonts w:eastAsia="MS Mincho"/>
              </w:rPr>
              <w:t>127/392</w:t>
            </w:r>
          </w:p>
          <w:p w14:paraId="0DF55FCD" w14:textId="21961603" w:rsidR="00FE02FD" w:rsidRPr="005C3469" w:rsidRDefault="00527108" w:rsidP="003A6E6A">
            <w:pPr>
              <w:pStyle w:val="Tablewriting"/>
              <w:jc w:val="center"/>
              <w:rPr>
                <w:rFonts w:eastAsia="MS Mincho"/>
                <w:highlight w:val="yellow"/>
              </w:rPr>
            </w:pPr>
            <w:r w:rsidRPr="00FE02FD">
              <w:rPr>
                <w:rFonts w:eastAsia="MS Mincho"/>
              </w:rPr>
              <w:t>(</w:t>
            </w:r>
            <w:r>
              <w:rPr>
                <w:rFonts w:eastAsia="MS Mincho"/>
              </w:rPr>
              <w:t>32.4</w:t>
            </w:r>
            <w:r w:rsidRPr="00FE02FD">
              <w:rPr>
                <w:rFonts w:eastAsia="MS Mincho"/>
              </w:rPr>
              <w:t>%)</w:t>
            </w:r>
          </w:p>
        </w:tc>
        <w:tc>
          <w:tcPr>
            <w:tcW w:w="1146" w:type="pct"/>
            <w:shd w:val="clear" w:color="auto" w:fill="auto"/>
            <w:tcMar>
              <w:left w:w="28" w:type="dxa"/>
              <w:right w:w="28" w:type="dxa"/>
            </w:tcMar>
            <w:vAlign w:val="center"/>
          </w:tcPr>
          <w:p w14:paraId="1F319823" w14:textId="77777777" w:rsidR="00527108" w:rsidRPr="00FE02FD" w:rsidRDefault="00527108" w:rsidP="003A6E6A">
            <w:pPr>
              <w:pStyle w:val="Tablewriting"/>
              <w:jc w:val="center"/>
              <w:rPr>
                <w:rFonts w:eastAsia="MS Mincho"/>
              </w:rPr>
            </w:pPr>
            <w:r w:rsidRPr="00FE02FD">
              <w:rPr>
                <w:rFonts w:eastAsia="MS Mincho"/>
              </w:rPr>
              <w:t>90/395</w:t>
            </w:r>
          </w:p>
          <w:p w14:paraId="1968F8EB" w14:textId="6E62ECF2" w:rsidR="00FE02FD" w:rsidRPr="005C3469" w:rsidRDefault="00527108" w:rsidP="003A6E6A">
            <w:pPr>
              <w:pStyle w:val="Tablewriting"/>
              <w:jc w:val="center"/>
              <w:rPr>
                <w:rFonts w:eastAsia="MS Mincho"/>
                <w:highlight w:val="yellow"/>
              </w:rPr>
            </w:pPr>
            <w:r w:rsidRPr="00FE02FD">
              <w:rPr>
                <w:rFonts w:eastAsia="MS Mincho"/>
              </w:rPr>
              <w:t>(</w:t>
            </w:r>
            <w:r>
              <w:rPr>
                <w:rFonts w:eastAsia="MS Mincho"/>
              </w:rPr>
              <w:t>22.8</w:t>
            </w:r>
            <w:r w:rsidRPr="00FE02FD">
              <w:rPr>
                <w:rFonts w:eastAsia="MS Mincho"/>
              </w:rPr>
              <w:t>%)</w:t>
            </w:r>
          </w:p>
        </w:tc>
        <w:tc>
          <w:tcPr>
            <w:tcW w:w="1004" w:type="pct"/>
            <w:vAlign w:val="center"/>
          </w:tcPr>
          <w:p w14:paraId="58F3C1B9" w14:textId="77777777" w:rsidR="00527108" w:rsidRPr="00FE02FD" w:rsidRDefault="00527108" w:rsidP="003A6E6A">
            <w:pPr>
              <w:pStyle w:val="Tablewriting"/>
              <w:jc w:val="center"/>
              <w:rPr>
                <w:b/>
                <w:bCs/>
              </w:rPr>
            </w:pPr>
            <w:r w:rsidRPr="00FE02FD">
              <w:rPr>
                <w:b/>
                <w:bCs/>
              </w:rPr>
              <w:t>1.62</w:t>
            </w:r>
          </w:p>
          <w:p w14:paraId="6B2200BF" w14:textId="3F1F5E39" w:rsidR="00FE02FD" w:rsidRPr="006A66DE" w:rsidRDefault="00527108" w:rsidP="003A6E6A">
            <w:pPr>
              <w:pStyle w:val="Tablewriting"/>
              <w:jc w:val="center"/>
            </w:pPr>
            <w:r w:rsidRPr="00FE02FD">
              <w:rPr>
                <w:b/>
                <w:bCs/>
              </w:rPr>
              <w:t>(1.18, 2.23)</w:t>
            </w:r>
          </w:p>
        </w:tc>
      </w:tr>
    </w:tbl>
    <w:p w14:paraId="62380960" w14:textId="1695F7BE" w:rsidR="00FE02FD" w:rsidRDefault="00FE02FD" w:rsidP="00B57674">
      <w:pPr>
        <w:pStyle w:val="TableFooter"/>
        <w:jc w:val="both"/>
      </w:pPr>
      <w:r>
        <w:t>Source: Chang et al. (2015)</w:t>
      </w:r>
    </w:p>
    <w:p w14:paraId="1ACC902E" w14:textId="60565CD7" w:rsidR="00FE02FD" w:rsidRPr="0070738C" w:rsidRDefault="00FE02FD" w:rsidP="00B57674">
      <w:pPr>
        <w:pStyle w:val="TableFooter"/>
        <w:jc w:val="both"/>
        <w:rPr>
          <w:i/>
        </w:rPr>
      </w:pPr>
      <w:r>
        <w:t xml:space="preserve">Abbreviations: CI = confidence interval; </w:t>
      </w:r>
      <w:r w:rsidR="00ED2613">
        <w:t xml:space="preserve">MA = meta-analysis; </w:t>
      </w:r>
      <w:r>
        <w:t xml:space="preserve">OR = odds ratio; RCT = randomised controlled trial; </w:t>
      </w:r>
      <w:r w:rsidR="00ED2613">
        <w:t>SR = systematic review</w:t>
      </w:r>
    </w:p>
    <w:p w14:paraId="4ED63B02" w14:textId="5A89360A" w:rsidR="0013314B" w:rsidRDefault="00FE02FD" w:rsidP="00B57674">
      <w:pPr>
        <w:pStyle w:val="TableFooter"/>
        <w:jc w:val="both"/>
      </w:pPr>
      <w:r w:rsidRPr="00D468CF">
        <w:t>Note</w:t>
      </w:r>
      <w:r>
        <w:t>s</w:t>
      </w:r>
      <w:r w:rsidRPr="00D468CF">
        <w:t xml:space="preserve">: </w:t>
      </w:r>
      <w:r>
        <w:t xml:space="preserve">Calculated during the review. </w:t>
      </w:r>
      <w:r w:rsidRPr="00D468CF">
        <w:t>Bold indicates statistically significant difference.</w:t>
      </w:r>
      <w:r>
        <w:br/>
        <w:t>1</w:t>
      </w:r>
      <w:r w:rsidR="00D44EAE">
        <w:t xml:space="preserve"> </w:t>
      </w:r>
      <w:r w:rsidR="00D44EAE" w:rsidRPr="00C44BB6">
        <w:t xml:space="preserve">Calculated </w:t>
      </w:r>
      <w:r w:rsidR="00E024D8" w:rsidRPr="00C44BB6">
        <w:t xml:space="preserve">by </w:t>
      </w:r>
      <w:r w:rsidR="00B852F8" w:rsidRPr="00C44BB6">
        <w:t>Chang et al. (2015)</w:t>
      </w:r>
      <w:r w:rsidR="00D44EAE" w:rsidRPr="00C44BB6">
        <w:t xml:space="preserve"> using a fixed-effect model</w:t>
      </w:r>
      <w:r w:rsidR="004021FA">
        <w:t>. Odds ratio was reported in the original publication.</w:t>
      </w:r>
    </w:p>
    <w:p w14:paraId="33AAF564" w14:textId="6BDC3116" w:rsidR="004B53F8" w:rsidRDefault="004B53F8" w:rsidP="00B57674">
      <w:pPr>
        <w:pStyle w:val="TableFooter"/>
        <w:jc w:val="both"/>
      </w:pPr>
      <w:r>
        <w:t>2 Early outcome was defined as the quit rate assessed before or at the end of treatment completion.</w:t>
      </w:r>
    </w:p>
    <w:p w14:paraId="5CEB0DCD" w14:textId="35C8F988" w:rsidR="004B53F8" w:rsidRDefault="004B53F8" w:rsidP="00B57674">
      <w:pPr>
        <w:pStyle w:val="TableFooter"/>
        <w:spacing w:after="120"/>
        <w:contextualSpacing w:val="0"/>
        <w:jc w:val="both"/>
      </w:pPr>
      <w:r>
        <w:t>3 Late outcome was defined as the quit rate assessed for a period of time after the end of treatment completion, majorly at 24 or more weeks.</w:t>
      </w:r>
    </w:p>
    <w:p w14:paraId="60DC7FFB" w14:textId="1DECE15F" w:rsidR="00B57674" w:rsidRDefault="00310024" w:rsidP="00B57674">
      <w:pPr>
        <w:spacing w:after="120"/>
        <w:jc w:val="both"/>
      </w:pPr>
      <w:r w:rsidRPr="00310024">
        <w:t xml:space="preserve">The results of the individual studies included in </w:t>
      </w:r>
      <w:r w:rsidR="00111C50">
        <w:t>Chang</w:t>
      </w:r>
      <w:r w:rsidRPr="00310024">
        <w:t xml:space="preserve"> et al. (201</w:t>
      </w:r>
      <w:r w:rsidR="00111C50">
        <w:t>5</w:t>
      </w:r>
      <w:r w:rsidRPr="00310024">
        <w:t xml:space="preserve">) are presented using a forest plot in </w:t>
      </w:r>
      <w:r w:rsidR="009B1121">
        <w:fldChar w:fldCharType="begin" w:fldLock="1"/>
      </w:r>
      <w:r w:rsidR="009B1121">
        <w:instrText xml:space="preserve"> REF _Ref55473685 \h </w:instrText>
      </w:r>
      <w:r w:rsidR="009B1121">
        <w:fldChar w:fldCharType="separate"/>
      </w:r>
      <w:r w:rsidR="00EC5CC7">
        <w:t xml:space="preserve">Figure </w:t>
      </w:r>
      <w:r w:rsidR="00EC5CC7">
        <w:rPr>
          <w:noProof/>
        </w:rPr>
        <w:t>19</w:t>
      </w:r>
      <w:r w:rsidR="009B1121">
        <w:fldChar w:fldCharType="end"/>
      </w:r>
      <w:r w:rsidR="009B1121">
        <w:t xml:space="preserve"> and </w:t>
      </w:r>
      <w:r w:rsidR="009B1121">
        <w:fldChar w:fldCharType="begin" w:fldLock="1"/>
      </w:r>
      <w:r w:rsidR="009B1121">
        <w:instrText xml:space="preserve"> REF _Ref55473686 \h </w:instrText>
      </w:r>
      <w:r w:rsidR="009B1121">
        <w:fldChar w:fldCharType="separate"/>
      </w:r>
      <w:r w:rsidR="00EC5CC7">
        <w:t xml:space="preserve">Figure </w:t>
      </w:r>
      <w:r w:rsidR="00EC5CC7">
        <w:rPr>
          <w:noProof/>
        </w:rPr>
        <w:t>20</w:t>
      </w:r>
      <w:r w:rsidR="009B1121">
        <w:fldChar w:fldCharType="end"/>
      </w:r>
      <w:r w:rsidRPr="00310024">
        <w:t>.</w:t>
      </w:r>
      <w:r w:rsidR="00D52925">
        <w:t xml:space="preserve"> </w:t>
      </w:r>
      <w:r w:rsidR="00BA11C6">
        <w:t xml:space="preserve">Chang et al. (2015) conducted a sensitivity analysis by excluding </w:t>
      </w:r>
      <w:r w:rsidR="00FC208C">
        <w:t>one RCT</w:t>
      </w:r>
      <w:r w:rsidR="0058346F">
        <w:t xml:space="preserve"> </w:t>
      </w:r>
      <w:r w:rsidR="004D542D">
        <w:t xml:space="preserve">(Koegelenberg et al. 2014) </w:t>
      </w:r>
      <w:r w:rsidR="0058346F">
        <w:t>identified to be different in study design</w:t>
      </w:r>
      <w:r w:rsidR="00F451AC">
        <w:t xml:space="preserve"> </w:t>
      </w:r>
      <w:r w:rsidR="00F451AC" w:rsidRPr="00F451AC">
        <w:t>(pre-cessation treatment with patch) and</w:t>
      </w:r>
      <w:r w:rsidR="000220DF">
        <w:t xml:space="preserve"> </w:t>
      </w:r>
      <w:r w:rsidR="00F451AC" w:rsidRPr="00F451AC">
        <w:t>participant characteristics (more females than males)</w:t>
      </w:r>
      <w:r w:rsidR="004D542D">
        <w:t>.</w:t>
      </w:r>
      <w:r w:rsidR="00FA45DA">
        <w:t xml:space="preserve"> It was noted that the </w:t>
      </w:r>
      <w:r w:rsidR="001562C2">
        <w:t>result</w:t>
      </w:r>
      <w:r w:rsidR="00026B80">
        <w:t>s were not significant</w:t>
      </w:r>
      <w:r w:rsidR="00741050">
        <w:t>ly different</w:t>
      </w:r>
      <w:r w:rsidR="00856C27">
        <w:t xml:space="preserve"> </w:t>
      </w:r>
      <w:r w:rsidR="003112C7">
        <w:t xml:space="preserve">between treatment arms </w:t>
      </w:r>
      <w:r w:rsidR="00856C27">
        <w:t>in both early and late outcomes after excluding Koegelenberg et al. (2014).</w:t>
      </w:r>
    </w:p>
    <w:p w14:paraId="325AD71E" w14:textId="77777777" w:rsidR="00B57674" w:rsidRDefault="00B57674">
      <w:pPr>
        <w:spacing w:line="276" w:lineRule="auto"/>
      </w:pPr>
      <w:r>
        <w:br w:type="page"/>
      </w:r>
    </w:p>
    <w:p w14:paraId="0E88700B" w14:textId="77777777" w:rsidR="0087052F" w:rsidRDefault="00352E83" w:rsidP="0087052F">
      <w:pPr>
        <w:keepNext/>
      </w:pPr>
      <w:r>
        <w:rPr>
          <w:noProof/>
        </w:rPr>
        <w:lastRenderedPageBreak/>
        <w:drawing>
          <wp:inline distT="0" distB="0" distL="0" distR="0" wp14:anchorId="652EFE65" wp14:editId="72B4AFFD">
            <wp:extent cx="5731510" cy="1165225"/>
            <wp:effectExtent l="0" t="0" r="2540" b="0"/>
            <wp:docPr id="42" name="Picture 42" descr="P51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5162#yIS1"/>
                    <pic:cNvPicPr/>
                  </pic:nvPicPr>
                  <pic:blipFill>
                    <a:blip r:embed="rId38">
                      <a:extLst>
                        <a:ext uri="{28A0092B-C50C-407E-A947-70E740481C1C}">
                          <a14:useLocalDpi xmlns:a14="http://schemas.microsoft.com/office/drawing/2010/main" val="0"/>
                        </a:ext>
                      </a:extLst>
                    </a:blip>
                    <a:stretch>
                      <a:fillRect/>
                    </a:stretch>
                  </pic:blipFill>
                  <pic:spPr>
                    <a:xfrm>
                      <a:off x="0" y="0"/>
                      <a:ext cx="5731510" cy="1165225"/>
                    </a:xfrm>
                    <a:prstGeom prst="rect">
                      <a:avLst/>
                    </a:prstGeom>
                  </pic:spPr>
                </pic:pic>
              </a:graphicData>
            </a:graphic>
          </wp:inline>
        </w:drawing>
      </w:r>
    </w:p>
    <w:p w14:paraId="3BC7E2BF" w14:textId="712E2251" w:rsidR="0084665F" w:rsidRDefault="0087052F" w:rsidP="00B57674">
      <w:pPr>
        <w:pStyle w:val="Caption"/>
        <w:spacing w:before="120" w:after="60"/>
        <w:jc w:val="both"/>
      </w:pPr>
      <w:bookmarkStart w:id="128" w:name="_Ref55473685"/>
      <w:r>
        <w:t xml:space="preserve">Figure </w:t>
      </w:r>
      <w:r w:rsidR="00BF3F75">
        <w:fldChar w:fldCharType="begin"/>
      </w:r>
      <w:r w:rsidR="00BF3F75">
        <w:instrText xml:space="preserve"> SEQ Figure \* ARABIC </w:instrText>
      </w:r>
      <w:r w:rsidR="00BF3F75">
        <w:fldChar w:fldCharType="separate"/>
      </w:r>
      <w:r w:rsidR="00EC5CC7">
        <w:rPr>
          <w:noProof/>
        </w:rPr>
        <w:t>19</w:t>
      </w:r>
      <w:r w:rsidR="00BF3F75">
        <w:rPr>
          <w:noProof/>
        </w:rPr>
        <w:fldChar w:fldCharType="end"/>
      </w:r>
      <w:bookmarkEnd w:id="128"/>
      <w:r>
        <w:t xml:space="preserve">: </w:t>
      </w:r>
      <w:r w:rsidRPr="000E4F14">
        <w:t xml:space="preserve">Results of smoking cessation </w:t>
      </w:r>
      <w:r w:rsidR="00710D40">
        <w:t xml:space="preserve">in terms of early efficacy outcome in </w:t>
      </w:r>
      <w:r w:rsidR="000F5972">
        <w:t>Chang</w:t>
      </w:r>
      <w:r w:rsidRPr="000E4F14">
        <w:t xml:space="preserve"> et al. (201</w:t>
      </w:r>
      <w:r w:rsidR="000F5972">
        <w:t>5</w:t>
      </w:r>
      <w:r w:rsidRPr="000E4F14">
        <w:t xml:space="preserve">), </w:t>
      </w:r>
      <w:r w:rsidR="000F5972">
        <w:t>varenicline plus</w:t>
      </w:r>
      <w:r w:rsidRPr="000E4F14">
        <w:t xml:space="preserve"> NRT versus </w:t>
      </w:r>
      <w:r w:rsidR="000F5972">
        <w:t>varenicline alone</w:t>
      </w:r>
    </w:p>
    <w:p w14:paraId="0AFF1CAE" w14:textId="3B459787" w:rsidR="000F5972" w:rsidRDefault="000F5972" w:rsidP="00B57674">
      <w:pPr>
        <w:pStyle w:val="FigureFooter"/>
        <w:jc w:val="both"/>
      </w:pPr>
      <w:r>
        <w:t>Source: Chang et al. (2015)</w:t>
      </w:r>
    </w:p>
    <w:p w14:paraId="77FBF23C" w14:textId="77777777" w:rsidR="000F5972" w:rsidRDefault="000F5972" w:rsidP="00B57674">
      <w:pPr>
        <w:pStyle w:val="FigureFooter"/>
        <w:spacing w:after="120"/>
        <w:contextualSpacing w:val="0"/>
        <w:jc w:val="both"/>
      </w:pPr>
      <w:r>
        <w:t>Abbreviations: CI = confidence interval</w:t>
      </w:r>
    </w:p>
    <w:p w14:paraId="3D0482F1" w14:textId="77777777" w:rsidR="000F5972" w:rsidRDefault="0087052F" w:rsidP="000F5972">
      <w:pPr>
        <w:keepNext/>
      </w:pPr>
      <w:r>
        <w:rPr>
          <w:noProof/>
        </w:rPr>
        <w:drawing>
          <wp:inline distT="0" distB="0" distL="0" distR="0" wp14:anchorId="6A07D990" wp14:editId="0F21F37F">
            <wp:extent cx="5731510" cy="1060450"/>
            <wp:effectExtent l="0" t="0" r="2540" b="6350"/>
            <wp:docPr id="43" name="Picture 43" descr="P51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P5166#yIS1"/>
                    <pic:cNvPicPr/>
                  </pic:nvPicPr>
                  <pic:blipFill>
                    <a:blip r:embed="rId39">
                      <a:extLst>
                        <a:ext uri="{28A0092B-C50C-407E-A947-70E740481C1C}">
                          <a14:useLocalDpi xmlns:a14="http://schemas.microsoft.com/office/drawing/2010/main" val="0"/>
                        </a:ext>
                      </a:extLst>
                    </a:blip>
                    <a:stretch>
                      <a:fillRect/>
                    </a:stretch>
                  </pic:blipFill>
                  <pic:spPr>
                    <a:xfrm>
                      <a:off x="0" y="0"/>
                      <a:ext cx="5731510" cy="1060450"/>
                    </a:xfrm>
                    <a:prstGeom prst="rect">
                      <a:avLst/>
                    </a:prstGeom>
                  </pic:spPr>
                </pic:pic>
              </a:graphicData>
            </a:graphic>
          </wp:inline>
        </w:drawing>
      </w:r>
    </w:p>
    <w:p w14:paraId="37B9B81C" w14:textId="52724FC8" w:rsidR="00352E83" w:rsidRDefault="000F5972" w:rsidP="00B57674">
      <w:pPr>
        <w:pStyle w:val="Caption"/>
        <w:spacing w:before="120" w:after="60"/>
        <w:jc w:val="both"/>
      </w:pPr>
      <w:bookmarkStart w:id="129" w:name="_Ref55473686"/>
      <w:r>
        <w:t xml:space="preserve">Figure </w:t>
      </w:r>
      <w:r w:rsidR="00BF3F75">
        <w:fldChar w:fldCharType="begin"/>
      </w:r>
      <w:r w:rsidR="00BF3F75">
        <w:instrText xml:space="preserve"> SEQ Figure \* ARABIC </w:instrText>
      </w:r>
      <w:r w:rsidR="00BF3F75">
        <w:fldChar w:fldCharType="separate"/>
      </w:r>
      <w:r w:rsidR="00EC5CC7">
        <w:rPr>
          <w:noProof/>
        </w:rPr>
        <w:t>20</w:t>
      </w:r>
      <w:r w:rsidR="00BF3F75">
        <w:rPr>
          <w:noProof/>
        </w:rPr>
        <w:fldChar w:fldCharType="end"/>
      </w:r>
      <w:bookmarkEnd w:id="129"/>
      <w:r>
        <w:t xml:space="preserve">: </w:t>
      </w:r>
      <w:r w:rsidRPr="009B63FA">
        <w:t xml:space="preserve">Results of smoking cessation in terms of </w:t>
      </w:r>
      <w:r>
        <w:t>late</w:t>
      </w:r>
      <w:r w:rsidRPr="009B63FA">
        <w:t xml:space="preserve"> efficacy outcome in Chang et al. (2015), varenicline plus NRT versus varenicline alone</w:t>
      </w:r>
    </w:p>
    <w:p w14:paraId="6E98B781" w14:textId="77777777" w:rsidR="000F5972" w:rsidRDefault="000F5972" w:rsidP="00B57674">
      <w:pPr>
        <w:pStyle w:val="FigureFooter"/>
        <w:jc w:val="both"/>
      </w:pPr>
      <w:r>
        <w:t>Source: Chang et al. (2015)</w:t>
      </w:r>
    </w:p>
    <w:p w14:paraId="73C4C0C7" w14:textId="77777777" w:rsidR="000F5972" w:rsidRDefault="000F5972" w:rsidP="00B57674">
      <w:pPr>
        <w:pStyle w:val="FigureFooter"/>
        <w:spacing w:after="120"/>
        <w:contextualSpacing w:val="0"/>
        <w:jc w:val="both"/>
      </w:pPr>
      <w:r>
        <w:t>Abbreviations: CI = confidence interval</w:t>
      </w:r>
    </w:p>
    <w:p w14:paraId="4A8A63B8" w14:textId="77777777" w:rsidR="0092721A" w:rsidRPr="0092721A" w:rsidRDefault="0092721A" w:rsidP="00B57674">
      <w:pPr>
        <w:spacing w:after="120"/>
        <w:jc w:val="both"/>
        <w:rPr>
          <w:u w:val="single"/>
        </w:rPr>
      </w:pPr>
      <w:r w:rsidRPr="0092721A">
        <w:rPr>
          <w:u w:val="single"/>
        </w:rPr>
        <w:t>Safety</w:t>
      </w:r>
    </w:p>
    <w:p w14:paraId="5BE8D861" w14:textId="00DACBD3" w:rsidR="00B57674" w:rsidRDefault="00721E27" w:rsidP="00B57674">
      <w:pPr>
        <w:spacing w:after="120"/>
        <w:jc w:val="both"/>
      </w:pPr>
      <w:r w:rsidRPr="00721E27">
        <w:t xml:space="preserve">A summary of adverse events </w:t>
      </w:r>
      <w:r>
        <w:t xml:space="preserve">comparing varenicline plus NRT patch with varenicline alone </w:t>
      </w:r>
      <w:r w:rsidRPr="00721E27">
        <w:t xml:space="preserve">is presented in </w:t>
      </w:r>
      <w:r>
        <w:fldChar w:fldCharType="begin" w:fldLock="1"/>
      </w:r>
      <w:r>
        <w:instrText xml:space="preserve"> REF _Ref55477353 \h </w:instrText>
      </w:r>
      <w:r>
        <w:fldChar w:fldCharType="separate"/>
      </w:r>
      <w:r w:rsidR="00EC5CC7">
        <w:t xml:space="preserve">Table </w:t>
      </w:r>
      <w:r w:rsidR="00EC5CC7">
        <w:rPr>
          <w:noProof/>
        </w:rPr>
        <w:t>69</w:t>
      </w:r>
      <w:r>
        <w:fldChar w:fldCharType="end"/>
      </w:r>
      <w:r w:rsidRPr="00721E27">
        <w:t xml:space="preserve">. Based on the </w:t>
      </w:r>
      <w:r>
        <w:t xml:space="preserve">meta-analysis </w:t>
      </w:r>
      <w:r w:rsidRPr="00721E27">
        <w:t xml:space="preserve">by </w:t>
      </w:r>
      <w:r>
        <w:t>Chang</w:t>
      </w:r>
      <w:r w:rsidRPr="00721E27">
        <w:t xml:space="preserve"> et al. (201</w:t>
      </w:r>
      <w:r>
        <w:t>5</w:t>
      </w:r>
      <w:r w:rsidRPr="00721E27">
        <w:t xml:space="preserve">), there were no statistically significant differences between </w:t>
      </w:r>
      <w:r w:rsidR="00FF6D45">
        <w:t>varenicline plus</w:t>
      </w:r>
      <w:r w:rsidRPr="00721E27">
        <w:t xml:space="preserve"> NRT</w:t>
      </w:r>
      <w:r w:rsidR="00FF6D45">
        <w:t xml:space="preserve"> patch</w:t>
      </w:r>
      <w:r w:rsidRPr="00721E27">
        <w:t xml:space="preserve"> and </w:t>
      </w:r>
      <w:r w:rsidR="00FF6D45">
        <w:t>varenicline plus placebo patch (</w:t>
      </w:r>
      <w:r w:rsidR="00826C95">
        <w:t>i.e.,</w:t>
      </w:r>
      <w:r w:rsidR="00FF6D45">
        <w:t xml:space="preserve"> varenicline alone) </w:t>
      </w:r>
      <w:r w:rsidRPr="00721E27">
        <w:t xml:space="preserve">in terms of </w:t>
      </w:r>
      <w:r w:rsidR="00FF6D45">
        <w:t xml:space="preserve">nausea, insomnia, abnormal </w:t>
      </w:r>
      <w:r w:rsidR="00826C95">
        <w:t>dreams,</w:t>
      </w:r>
      <w:r w:rsidR="00FF6D45">
        <w:t xml:space="preserve"> or headache, although a numerically higher incidence rate was observed in the varenicline plus NRT patch arm</w:t>
      </w:r>
      <w:r w:rsidRPr="00721E27">
        <w:t xml:space="preserve">. </w:t>
      </w:r>
    </w:p>
    <w:p w14:paraId="0679F345" w14:textId="77777777" w:rsidR="00B57674" w:rsidRDefault="00B57674">
      <w:pPr>
        <w:spacing w:line="276" w:lineRule="auto"/>
      </w:pPr>
      <w:r>
        <w:br w:type="page"/>
      </w:r>
    </w:p>
    <w:p w14:paraId="1E00FDF2" w14:textId="246847CA" w:rsidR="00A6390F" w:rsidRDefault="00A6390F" w:rsidP="00B57674">
      <w:pPr>
        <w:pStyle w:val="Caption"/>
        <w:keepNext/>
        <w:spacing w:before="0" w:after="120"/>
        <w:jc w:val="both"/>
      </w:pPr>
      <w:bookmarkStart w:id="130" w:name="_Ref55477353"/>
      <w:r>
        <w:lastRenderedPageBreak/>
        <w:t xml:space="preserve">Table </w:t>
      </w:r>
      <w:r w:rsidR="00BF3F75">
        <w:fldChar w:fldCharType="begin"/>
      </w:r>
      <w:r w:rsidR="00BF3F75">
        <w:instrText xml:space="preserve"> SEQ Table \* ARABIC </w:instrText>
      </w:r>
      <w:r w:rsidR="00BF3F75">
        <w:fldChar w:fldCharType="separate"/>
      </w:r>
      <w:r w:rsidR="00EC5CC7">
        <w:rPr>
          <w:noProof/>
        </w:rPr>
        <w:t>69</w:t>
      </w:r>
      <w:r w:rsidR="00BF3F75">
        <w:rPr>
          <w:noProof/>
        </w:rPr>
        <w:fldChar w:fldCharType="end"/>
      </w:r>
      <w:bookmarkEnd w:id="130"/>
      <w:r>
        <w:t xml:space="preserve">: </w:t>
      </w:r>
      <w:r w:rsidRPr="00E75D7B">
        <w:t xml:space="preserve">Summary of adverse events in </w:t>
      </w:r>
      <w:r>
        <w:t>Chang</w:t>
      </w:r>
      <w:r w:rsidRPr="00E75D7B">
        <w:t xml:space="preserve"> et al. (20</w:t>
      </w:r>
      <w:r>
        <w:t>15</w:t>
      </w:r>
      <w:r w:rsidRPr="00E75D7B">
        <w:t xml:space="preserve">), </w:t>
      </w:r>
      <w:r>
        <w:t xml:space="preserve">varenicline plus </w:t>
      </w:r>
      <w:r w:rsidRPr="00E75D7B">
        <w:t xml:space="preserve">NRT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601"/>
        <w:gridCol w:w="1562"/>
        <w:gridCol w:w="1953"/>
        <w:gridCol w:w="2144"/>
        <w:gridCol w:w="1756"/>
      </w:tblGrid>
      <w:tr w:rsidR="0008509E" w:rsidRPr="00061F78" w14:paraId="788C0E06" w14:textId="77777777" w:rsidTr="00A8247E">
        <w:trPr>
          <w:cantSplit/>
          <w:trHeight w:val="299"/>
          <w:tblHeader/>
        </w:trPr>
        <w:tc>
          <w:tcPr>
            <w:tcW w:w="888" w:type="pct"/>
            <w:shd w:val="clear" w:color="auto" w:fill="BFBFBF" w:themeFill="background1" w:themeFillShade="BF"/>
            <w:tcMar>
              <w:left w:w="28" w:type="dxa"/>
              <w:right w:w="28" w:type="dxa"/>
            </w:tcMar>
          </w:tcPr>
          <w:p w14:paraId="16A3BB08" w14:textId="77777777" w:rsidR="00721E27" w:rsidRDefault="00721E27" w:rsidP="00503D09">
            <w:pPr>
              <w:pStyle w:val="Tableheading"/>
              <w:rPr>
                <w:rFonts w:eastAsia="MS Mincho"/>
              </w:rPr>
            </w:pPr>
            <w:r>
              <w:rPr>
                <w:rFonts w:eastAsia="MS Mincho"/>
              </w:rPr>
              <w:t>Outcome</w:t>
            </w:r>
          </w:p>
        </w:tc>
        <w:tc>
          <w:tcPr>
            <w:tcW w:w="866" w:type="pct"/>
            <w:shd w:val="clear" w:color="auto" w:fill="BFBFBF" w:themeFill="background1" w:themeFillShade="BF"/>
          </w:tcPr>
          <w:p w14:paraId="6EB4CCC8" w14:textId="73EB2177" w:rsidR="00721E27" w:rsidRDefault="00721E27" w:rsidP="00503D09">
            <w:pPr>
              <w:pStyle w:val="Tableheading"/>
              <w:jc w:val="center"/>
              <w:rPr>
                <w:rFonts w:eastAsia="MS Mincho"/>
              </w:rPr>
            </w:pPr>
            <w:r>
              <w:rPr>
                <w:rFonts w:eastAsia="MS Mincho"/>
              </w:rPr>
              <w:t>Study type</w:t>
            </w:r>
          </w:p>
        </w:tc>
        <w:tc>
          <w:tcPr>
            <w:tcW w:w="1083" w:type="pct"/>
            <w:shd w:val="clear" w:color="auto" w:fill="BFBFBF" w:themeFill="background1" w:themeFillShade="BF"/>
            <w:tcMar>
              <w:left w:w="28" w:type="dxa"/>
              <w:right w:w="28" w:type="dxa"/>
            </w:tcMar>
            <w:vAlign w:val="center"/>
          </w:tcPr>
          <w:p w14:paraId="224AD024" w14:textId="2D963975" w:rsidR="00721E27" w:rsidRPr="00520D7D" w:rsidRDefault="00721E27" w:rsidP="00503D09">
            <w:pPr>
              <w:pStyle w:val="Tableheading"/>
              <w:jc w:val="center"/>
              <w:rPr>
                <w:rFonts w:eastAsia="MS Mincho"/>
                <w:vertAlign w:val="superscript"/>
              </w:rPr>
            </w:pPr>
            <w:r>
              <w:rPr>
                <w:rFonts w:eastAsia="MS Mincho"/>
              </w:rPr>
              <w:t>Varenicline plus NRT patch</w:t>
            </w:r>
            <w:r>
              <w:rPr>
                <w:rFonts w:eastAsia="MS Mincho"/>
                <w:vertAlign w:val="superscript"/>
              </w:rPr>
              <w:t>1</w:t>
            </w:r>
          </w:p>
        </w:tc>
        <w:tc>
          <w:tcPr>
            <w:tcW w:w="1189" w:type="pct"/>
            <w:shd w:val="clear" w:color="auto" w:fill="BFBFBF" w:themeFill="background1" w:themeFillShade="BF"/>
            <w:tcMar>
              <w:left w:w="28" w:type="dxa"/>
              <w:right w:w="28" w:type="dxa"/>
            </w:tcMar>
            <w:vAlign w:val="center"/>
          </w:tcPr>
          <w:p w14:paraId="2B1FAB54" w14:textId="0582E29F" w:rsidR="00721E27" w:rsidRPr="00F46EC0" w:rsidRDefault="00721E27" w:rsidP="00503D09">
            <w:pPr>
              <w:pStyle w:val="Tableheading"/>
              <w:jc w:val="center"/>
              <w:rPr>
                <w:rFonts w:eastAsia="MS Mincho"/>
                <w:vertAlign w:val="superscript"/>
              </w:rPr>
            </w:pPr>
            <w:r>
              <w:rPr>
                <w:rFonts w:eastAsia="MS Mincho"/>
              </w:rPr>
              <w:t>Varenicline plus placebo patch</w:t>
            </w:r>
            <w:r>
              <w:rPr>
                <w:rFonts w:eastAsia="MS Mincho"/>
                <w:vertAlign w:val="superscript"/>
              </w:rPr>
              <w:t>1</w:t>
            </w:r>
          </w:p>
        </w:tc>
        <w:tc>
          <w:tcPr>
            <w:tcW w:w="974" w:type="pct"/>
            <w:shd w:val="clear" w:color="auto" w:fill="BFBFBF" w:themeFill="background1" w:themeFillShade="BF"/>
            <w:vAlign w:val="center"/>
          </w:tcPr>
          <w:p w14:paraId="78521CD7" w14:textId="37906A35" w:rsidR="00721E27" w:rsidRDefault="00721E27" w:rsidP="00503D09">
            <w:pPr>
              <w:pStyle w:val="Tableheading"/>
              <w:jc w:val="center"/>
              <w:rPr>
                <w:rFonts w:eastAsia="MS Mincho"/>
              </w:rPr>
            </w:pPr>
            <w:r>
              <w:t>O</w:t>
            </w:r>
            <w:r w:rsidRPr="006A66DE">
              <w:t>R (95% CI)</w:t>
            </w:r>
            <w:r>
              <w:rPr>
                <w:vertAlign w:val="superscript"/>
              </w:rPr>
              <w:t>2</w:t>
            </w:r>
          </w:p>
        </w:tc>
      </w:tr>
      <w:tr w:rsidR="00721E27" w:rsidRPr="00061F78" w14:paraId="47D3DDF3" w14:textId="77777777" w:rsidTr="00A8247E">
        <w:trPr>
          <w:cantSplit/>
          <w:trHeight w:val="149"/>
        </w:trPr>
        <w:tc>
          <w:tcPr>
            <w:tcW w:w="888" w:type="pct"/>
            <w:tcMar>
              <w:left w:w="28" w:type="dxa"/>
              <w:right w:w="28" w:type="dxa"/>
            </w:tcMar>
          </w:tcPr>
          <w:p w14:paraId="56230775" w14:textId="7B2D951B" w:rsidR="00721E27" w:rsidRDefault="00721E27" w:rsidP="00503D09">
            <w:pPr>
              <w:pStyle w:val="Tablewriting"/>
              <w:rPr>
                <w:rFonts w:eastAsia="MS Mincho"/>
              </w:rPr>
            </w:pPr>
            <w:r>
              <w:rPr>
                <w:rFonts w:eastAsia="MS Mincho"/>
              </w:rPr>
              <w:t>Nausea</w:t>
            </w:r>
          </w:p>
        </w:tc>
        <w:tc>
          <w:tcPr>
            <w:tcW w:w="866" w:type="pct"/>
          </w:tcPr>
          <w:p w14:paraId="56668DA9" w14:textId="77777777" w:rsidR="00721E27" w:rsidRDefault="00721E27" w:rsidP="00503D09">
            <w:pPr>
              <w:pStyle w:val="Tablewriting"/>
              <w:jc w:val="center"/>
              <w:rPr>
                <w:rFonts w:eastAsia="MS Mincho"/>
              </w:rPr>
            </w:pPr>
            <w:r>
              <w:rPr>
                <w:rFonts w:eastAsia="MS Mincho"/>
              </w:rPr>
              <w:t>SR &amp; MA</w:t>
            </w:r>
          </w:p>
          <w:p w14:paraId="79156742" w14:textId="35F6E1F3"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14:paraId="386BE568" w14:textId="031EC786" w:rsidR="00721E27" w:rsidRDefault="00721E27" w:rsidP="00503D09">
            <w:pPr>
              <w:pStyle w:val="Tablewriting"/>
              <w:jc w:val="center"/>
              <w:rPr>
                <w:rFonts w:eastAsia="MS Mincho"/>
              </w:rPr>
            </w:pPr>
            <w:r>
              <w:rPr>
                <w:rFonts w:eastAsia="MS Mincho"/>
              </w:rPr>
              <w:t>123/444</w:t>
            </w:r>
          </w:p>
          <w:p w14:paraId="2F3E306D" w14:textId="3547E55D" w:rsidR="00721E27" w:rsidRPr="00F46EC0" w:rsidRDefault="00721E27" w:rsidP="00503D09">
            <w:pPr>
              <w:pStyle w:val="Tablewriting"/>
              <w:jc w:val="center"/>
              <w:rPr>
                <w:rFonts w:eastAsia="MS Mincho"/>
                <w:vertAlign w:val="superscript"/>
              </w:rPr>
            </w:pPr>
            <w:r>
              <w:rPr>
                <w:rFonts w:eastAsia="MS Mincho"/>
              </w:rPr>
              <w:t>(27.7</w:t>
            </w:r>
            <w:r w:rsidR="002871E9">
              <w:rPr>
                <w:rFonts w:eastAsia="MS Mincho"/>
              </w:rPr>
              <w:t>%)</w:t>
            </w:r>
            <w:r w:rsidR="002871E9">
              <w:rPr>
                <w:rFonts w:eastAsia="MS Mincho"/>
                <w:vertAlign w:val="superscript"/>
              </w:rPr>
              <w:t xml:space="preserve"> a</w:t>
            </w:r>
          </w:p>
        </w:tc>
        <w:tc>
          <w:tcPr>
            <w:tcW w:w="1189" w:type="pct"/>
            <w:tcMar>
              <w:left w:w="28" w:type="dxa"/>
              <w:right w:w="28" w:type="dxa"/>
            </w:tcMar>
            <w:vAlign w:val="center"/>
          </w:tcPr>
          <w:p w14:paraId="362D9539" w14:textId="3141E144" w:rsidR="00721E27" w:rsidRDefault="00721E27" w:rsidP="00503D09">
            <w:pPr>
              <w:pStyle w:val="Tablewriting"/>
              <w:jc w:val="center"/>
              <w:rPr>
                <w:rFonts w:eastAsia="MS Mincho"/>
              </w:rPr>
            </w:pPr>
            <w:r>
              <w:rPr>
                <w:rFonts w:eastAsia="MS Mincho"/>
              </w:rPr>
              <w:t>113/449</w:t>
            </w:r>
          </w:p>
          <w:p w14:paraId="18185E57" w14:textId="36852C0B" w:rsidR="00721E27" w:rsidRPr="00F46EC0" w:rsidRDefault="00721E27" w:rsidP="00503D09">
            <w:pPr>
              <w:pStyle w:val="Tablewriting"/>
              <w:jc w:val="center"/>
              <w:rPr>
                <w:rFonts w:eastAsia="MS Mincho"/>
                <w:vertAlign w:val="superscript"/>
              </w:rPr>
            </w:pPr>
            <w:r>
              <w:rPr>
                <w:rFonts w:eastAsia="MS Mincho"/>
              </w:rPr>
              <w:t>(25.2</w:t>
            </w:r>
            <w:r w:rsidR="002871E9">
              <w:rPr>
                <w:rFonts w:eastAsia="MS Mincho"/>
              </w:rPr>
              <w:t>%)</w:t>
            </w:r>
            <w:r w:rsidR="002871E9">
              <w:rPr>
                <w:rFonts w:eastAsia="MS Mincho"/>
                <w:vertAlign w:val="superscript"/>
              </w:rPr>
              <w:t xml:space="preserve"> a</w:t>
            </w:r>
          </w:p>
        </w:tc>
        <w:tc>
          <w:tcPr>
            <w:tcW w:w="974" w:type="pct"/>
          </w:tcPr>
          <w:p w14:paraId="74BEEAF9" w14:textId="77777777" w:rsidR="00721E27" w:rsidRPr="00A8247E" w:rsidRDefault="00721E27" w:rsidP="00503D09">
            <w:pPr>
              <w:pStyle w:val="Tablewriting"/>
              <w:jc w:val="center"/>
            </w:pPr>
            <w:r w:rsidRPr="00A8247E">
              <w:t>1.15</w:t>
            </w:r>
          </w:p>
          <w:p w14:paraId="75F35B7B" w14:textId="084211C1" w:rsidR="00721E27" w:rsidRPr="00A8247E" w:rsidRDefault="00721E27" w:rsidP="00503D09">
            <w:pPr>
              <w:pStyle w:val="Tablewriting"/>
              <w:jc w:val="center"/>
            </w:pPr>
            <w:r w:rsidRPr="00A8247E">
              <w:t>(0.85, 1.56)</w:t>
            </w:r>
          </w:p>
        </w:tc>
      </w:tr>
      <w:tr w:rsidR="00721E27" w:rsidRPr="00061F78" w14:paraId="0C4B68AE" w14:textId="77777777" w:rsidTr="00A8247E">
        <w:trPr>
          <w:cantSplit/>
          <w:trHeight w:val="149"/>
        </w:trPr>
        <w:tc>
          <w:tcPr>
            <w:tcW w:w="888" w:type="pct"/>
            <w:tcMar>
              <w:left w:w="28" w:type="dxa"/>
              <w:right w:w="28" w:type="dxa"/>
            </w:tcMar>
          </w:tcPr>
          <w:p w14:paraId="25F68C85" w14:textId="19BAD22F" w:rsidR="00721E27" w:rsidRDefault="00721E27" w:rsidP="00503D09">
            <w:pPr>
              <w:pStyle w:val="Tablewriting"/>
              <w:rPr>
                <w:rFonts w:eastAsia="MS Mincho"/>
              </w:rPr>
            </w:pPr>
            <w:r>
              <w:rPr>
                <w:rFonts w:eastAsia="MS Mincho"/>
              </w:rPr>
              <w:t>Insomnia</w:t>
            </w:r>
          </w:p>
        </w:tc>
        <w:tc>
          <w:tcPr>
            <w:tcW w:w="866" w:type="pct"/>
          </w:tcPr>
          <w:p w14:paraId="6B6A0D99" w14:textId="77777777" w:rsidR="00721E27" w:rsidRDefault="00721E27" w:rsidP="00503D09">
            <w:pPr>
              <w:pStyle w:val="Tablewriting"/>
              <w:jc w:val="center"/>
              <w:rPr>
                <w:rFonts w:eastAsia="MS Mincho"/>
              </w:rPr>
            </w:pPr>
            <w:r>
              <w:rPr>
                <w:rFonts w:eastAsia="MS Mincho"/>
              </w:rPr>
              <w:t>SR &amp; MA</w:t>
            </w:r>
          </w:p>
          <w:p w14:paraId="3B160400" w14:textId="5E98A848"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14:paraId="357F3FBD" w14:textId="7AF03CEC" w:rsidR="00721E27" w:rsidRDefault="00721E27" w:rsidP="00503D09">
            <w:pPr>
              <w:pStyle w:val="Tablewriting"/>
              <w:jc w:val="center"/>
              <w:rPr>
                <w:rFonts w:eastAsia="MS Mincho"/>
              </w:rPr>
            </w:pPr>
            <w:r>
              <w:rPr>
                <w:rFonts w:eastAsia="MS Mincho"/>
              </w:rPr>
              <w:t>83/444</w:t>
            </w:r>
          </w:p>
          <w:p w14:paraId="17C7304E" w14:textId="7F19EE8C" w:rsidR="00721E27" w:rsidRDefault="00721E27" w:rsidP="00503D09">
            <w:pPr>
              <w:pStyle w:val="Tablewriting"/>
              <w:jc w:val="center"/>
              <w:rPr>
                <w:rFonts w:eastAsia="MS Mincho"/>
              </w:rPr>
            </w:pPr>
            <w:r>
              <w:rPr>
                <w:rFonts w:eastAsia="MS Mincho"/>
              </w:rPr>
              <w:t>(18.7%)</w:t>
            </w:r>
          </w:p>
        </w:tc>
        <w:tc>
          <w:tcPr>
            <w:tcW w:w="1189" w:type="pct"/>
            <w:tcMar>
              <w:left w:w="28" w:type="dxa"/>
              <w:right w:w="28" w:type="dxa"/>
            </w:tcMar>
            <w:vAlign w:val="center"/>
          </w:tcPr>
          <w:p w14:paraId="56C0B018" w14:textId="0533BA34" w:rsidR="00721E27" w:rsidRDefault="00721E27" w:rsidP="00503D09">
            <w:pPr>
              <w:pStyle w:val="Tablewriting"/>
              <w:jc w:val="center"/>
              <w:rPr>
                <w:rFonts w:eastAsia="MS Mincho"/>
              </w:rPr>
            </w:pPr>
            <w:r>
              <w:rPr>
                <w:rFonts w:eastAsia="MS Mincho"/>
              </w:rPr>
              <w:t>69/449</w:t>
            </w:r>
          </w:p>
          <w:p w14:paraId="1F20BB1C" w14:textId="7AF13E5C" w:rsidR="00721E27" w:rsidRDefault="00721E27" w:rsidP="00503D09">
            <w:pPr>
              <w:pStyle w:val="Tablewriting"/>
              <w:jc w:val="center"/>
              <w:rPr>
                <w:rFonts w:eastAsia="MS Mincho"/>
              </w:rPr>
            </w:pPr>
            <w:r>
              <w:rPr>
                <w:rFonts w:eastAsia="MS Mincho"/>
              </w:rPr>
              <w:t>(15.4%)</w:t>
            </w:r>
          </w:p>
        </w:tc>
        <w:tc>
          <w:tcPr>
            <w:tcW w:w="974" w:type="pct"/>
          </w:tcPr>
          <w:p w14:paraId="6B23AD46" w14:textId="77777777" w:rsidR="00721E27" w:rsidRPr="00A8247E" w:rsidRDefault="00721E27" w:rsidP="00503D09">
            <w:pPr>
              <w:pStyle w:val="Tablewriting"/>
              <w:jc w:val="center"/>
            </w:pPr>
            <w:r w:rsidRPr="00A8247E">
              <w:t>1.27</w:t>
            </w:r>
          </w:p>
          <w:p w14:paraId="3C72F4BD" w14:textId="7A840D9A" w:rsidR="00721E27" w:rsidRPr="00A8247E" w:rsidRDefault="00721E27" w:rsidP="00503D09">
            <w:pPr>
              <w:pStyle w:val="Tablewriting"/>
              <w:jc w:val="center"/>
            </w:pPr>
            <w:r w:rsidRPr="00A8247E">
              <w:t>(0.89, 1.80)</w:t>
            </w:r>
          </w:p>
        </w:tc>
      </w:tr>
      <w:tr w:rsidR="00721E27" w:rsidRPr="00061F78" w14:paraId="426B0C0E" w14:textId="77777777" w:rsidTr="00A8247E">
        <w:trPr>
          <w:cantSplit/>
          <w:trHeight w:val="149"/>
        </w:trPr>
        <w:tc>
          <w:tcPr>
            <w:tcW w:w="888" w:type="pct"/>
            <w:tcMar>
              <w:left w:w="28" w:type="dxa"/>
              <w:right w:w="28" w:type="dxa"/>
            </w:tcMar>
          </w:tcPr>
          <w:p w14:paraId="43FB8B04" w14:textId="15C9D445" w:rsidR="00721E27" w:rsidRDefault="00721E27" w:rsidP="00503D09">
            <w:pPr>
              <w:pStyle w:val="Tablewriting"/>
              <w:rPr>
                <w:rFonts w:eastAsia="MS Mincho"/>
              </w:rPr>
            </w:pPr>
            <w:r>
              <w:rPr>
                <w:rFonts w:eastAsia="MS Mincho"/>
              </w:rPr>
              <w:t>Abnormal dreams</w:t>
            </w:r>
          </w:p>
        </w:tc>
        <w:tc>
          <w:tcPr>
            <w:tcW w:w="866" w:type="pct"/>
          </w:tcPr>
          <w:p w14:paraId="217CBC2F" w14:textId="77777777" w:rsidR="00721E27" w:rsidRDefault="00721E27" w:rsidP="00503D09">
            <w:pPr>
              <w:pStyle w:val="Tablewriting"/>
              <w:jc w:val="center"/>
              <w:rPr>
                <w:rFonts w:eastAsia="MS Mincho"/>
              </w:rPr>
            </w:pPr>
            <w:r>
              <w:rPr>
                <w:rFonts w:eastAsia="MS Mincho"/>
              </w:rPr>
              <w:t>SR &amp; MA</w:t>
            </w:r>
          </w:p>
          <w:p w14:paraId="2E646A55" w14:textId="494C0B60"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14:paraId="37C2A504" w14:textId="29CDA183" w:rsidR="00721E27" w:rsidRDefault="00721E27" w:rsidP="00503D09">
            <w:pPr>
              <w:pStyle w:val="Tablewriting"/>
              <w:jc w:val="center"/>
              <w:rPr>
                <w:rFonts w:eastAsia="MS Mincho"/>
              </w:rPr>
            </w:pPr>
            <w:r>
              <w:rPr>
                <w:rFonts w:eastAsia="MS Mincho"/>
              </w:rPr>
              <w:t>51/444</w:t>
            </w:r>
          </w:p>
          <w:p w14:paraId="3885406B" w14:textId="2E23D6C8" w:rsidR="00721E27" w:rsidRPr="00520D7D" w:rsidRDefault="00721E27" w:rsidP="00503D09">
            <w:pPr>
              <w:pStyle w:val="Tablewriting"/>
              <w:jc w:val="center"/>
              <w:rPr>
                <w:rFonts w:eastAsia="MS Mincho"/>
                <w:vertAlign w:val="superscript"/>
              </w:rPr>
            </w:pPr>
            <w:r>
              <w:rPr>
                <w:rFonts w:eastAsia="MS Mincho"/>
              </w:rPr>
              <w:t>(11.5</w:t>
            </w:r>
            <w:r w:rsidR="002871E9">
              <w:rPr>
                <w:rFonts w:eastAsia="MS Mincho"/>
              </w:rPr>
              <w:t>%)</w:t>
            </w:r>
            <w:r w:rsidR="002871E9">
              <w:rPr>
                <w:rFonts w:eastAsia="MS Mincho"/>
                <w:vertAlign w:val="superscript"/>
              </w:rPr>
              <w:t xml:space="preserve"> a</w:t>
            </w:r>
          </w:p>
        </w:tc>
        <w:tc>
          <w:tcPr>
            <w:tcW w:w="1189" w:type="pct"/>
            <w:tcMar>
              <w:left w:w="28" w:type="dxa"/>
              <w:right w:w="28" w:type="dxa"/>
            </w:tcMar>
            <w:vAlign w:val="center"/>
          </w:tcPr>
          <w:p w14:paraId="732244A9" w14:textId="49704DE0" w:rsidR="00721E27" w:rsidRDefault="00721E27" w:rsidP="00503D09">
            <w:pPr>
              <w:pStyle w:val="Tablewriting"/>
              <w:jc w:val="center"/>
              <w:rPr>
                <w:rFonts w:eastAsia="MS Mincho"/>
              </w:rPr>
            </w:pPr>
            <w:r>
              <w:rPr>
                <w:rFonts w:eastAsia="MS Mincho"/>
              </w:rPr>
              <w:t>44/449</w:t>
            </w:r>
          </w:p>
          <w:p w14:paraId="4053634E" w14:textId="2F745FF6" w:rsidR="00721E27" w:rsidRPr="00520D7D" w:rsidRDefault="00721E27" w:rsidP="00503D09">
            <w:pPr>
              <w:pStyle w:val="Tablewriting"/>
              <w:jc w:val="center"/>
              <w:rPr>
                <w:rFonts w:eastAsia="MS Mincho"/>
                <w:vertAlign w:val="superscript"/>
              </w:rPr>
            </w:pPr>
            <w:r>
              <w:rPr>
                <w:rFonts w:eastAsia="MS Mincho"/>
              </w:rPr>
              <w:t>(9.8</w:t>
            </w:r>
            <w:r w:rsidR="002871E9">
              <w:rPr>
                <w:rFonts w:eastAsia="MS Mincho"/>
              </w:rPr>
              <w:t>%)</w:t>
            </w:r>
            <w:r w:rsidR="002871E9">
              <w:rPr>
                <w:rFonts w:eastAsia="MS Mincho"/>
                <w:vertAlign w:val="superscript"/>
              </w:rPr>
              <w:t xml:space="preserve"> a</w:t>
            </w:r>
          </w:p>
        </w:tc>
        <w:tc>
          <w:tcPr>
            <w:tcW w:w="974" w:type="pct"/>
          </w:tcPr>
          <w:p w14:paraId="2A1AEB64" w14:textId="77777777" w:rsidR="00721E27" w:rsidRPr="00A8247E" w:rsidRDefault="00721E27" w:rsidP="00503D09">
            <w:pPr>
              <w:pStyle w:val="Tablewriting"/>
              <w:jc w:val="center"/>
            </w:pPr>
            <w:r w:rsidRPr="00A8247E">
              <w:t>1.20</w:t>
            </w:r>
          </w:p>
          <w:p w14:paraId="3D1AA4F1" w14:textId="788A7767" w:rsidR="00721E27" w:rsidRPr="00A8247E" w:rsidRDefault="00721E27" w:rsidP="00503D09">
            <w:pPr>
              <w:pStyle w:val="Tablewriting"/>
              <w:jc w:val="center"/>
            </w:pPr>
            <w:r w:rsidRPr="00A8247E">
              <w:t>(0.78, 1.84)</w:t>
            </w:r>
          </w:p>
        </w:tc>
      </w:tr>
      <w:tr w:rsidR="00721E27" w:rsidRPr="00061F78" w14:paraId="5CCD6D3D" w14:textId="77777777" w:rsidTr="00A8247E">
        <w:trPr>
          <w:cantSplit/>
          <w:trHeight w:val="149"/>
        </w:trPr>
        <w:tc>
          <w:tcPr>
            <w:tcW w:w="888" w:type="pct"/>
            <w:tcMar>
              <w:left w:w="28" w:type="dxa"/>
              <w:right w:w="28" w:type="dxa"/>
            </w:tcMar>
          </w:tcPr>
          <w:p w14:paraId="4BA3328D" w14:textId="5F892496" w:rsidR="00721E27" w:rsidRDefault="00721E27" w:rsidP="00503D09">
            <w:pPr>
              <w:pStyle w:val="Tablewriting"/>
              <w:rPr>
                <w:rFonts w:eastAsia="MS Mincho"/>
              </w:rPr>
            </w:pPr>
            <w:r>
              <w:rPr>
                <w:rFonts w:eastAsia="MS Mincho"/>
              </w:rPr>
              <w:t>Headache</w:t>
            </w:r>
          </w:p>
        </w:tc>
        <w:tc>
          <w:tcPr>
            <w:tcW w:w="866" w:type="pct"/>
          </w:tcPr>
          <w:p w14:paraId="055D337A" w14:textId="77777777" w:rsidR="00721E27" w:rsidRDefault="00721E27" w:rsidP="00503D09">
            <w:pPr>
              <w:pStyle w:val="Tablewriting"/>
              <w:jc w:val="center"/>
              <w:rPr>
                <w:rFonts w:eastAsia="MS Mincho"/>
              </w:rPr>
            </w:pPr>
            <w:r>
              <w:rPr>
                <w:rFonts w:eastAsia="MS Mincho"/>
              </w:rPr>
              <w:t>SR &amp; MA</w:t>
            </w:r>
          </w:p>
          <w:p w14:paraId="4AF29864" w14:textId="638C7B60" w:rsidR="00721E27" w:rsidRDefault="00721E27" w:rsidP="00503D09">
            <w:pPr>
              <w:pStyle w:val="Tablewriting"/>
              <w:jc w:val="center"/>
              <w:rPr>
                <w:rFonts w:eastAsia="MS Mincho"/>
              </w:rPr>
            </w:pPr>
            <w:r>
              <w:rPr>
                <w:rFonts w:eastAsia="MS Mincho"/>
              </w:rPr>
              <w:t>(3 RCTs)</w:t>
            </w:r>
          </w:p>
        </w:tc>
        <w:tc>
          <w:tcPr>
            <w:tcW w:w="1083" w:type="pct"/>
            <w:tcMar>
              <w:left w:w="28" w:type="dxa"/>
              <w:right w:w="28" w:type="dxa"/>
            </w:tcMar>
            <w:vAlign w:val="center"/>
          </w:tcPr>
          <w:p w14:paraId="48D0EEA9" w14:textId="5F571847" w:rsidR="00721E27" w:rsidRDefault="00721E27" w:rsidP="00503D09">
            <w:pPr>
              <w:pStyle w:val="Tablewriting"/>
              <w:jc w:val="center"/>
              <w:rPr>
                <w:rFonts w:eastAsia="MS Mincho"/>
              </w:rPr>
            </w:pPr>
            <w:r>
              <w:rPr>
                <w:rFonts w:eastAsia="MS Mincho"/>
              </w:rPr>
              <w:t>30/444</w:t>
            </w:r>
          </w:p>
          <w:p w14:paraId="2EF205C5" w14:textId="697F3B47" w:rsidR="00721E27" w:rsidRPr="00520D7D" w:rsidRDefault="00721E27" w:rsidP="00503D09">
            <w:pPr>
              <w:pStyle w:val="Tablewriting"/>
              <w:jc w:val="center"/>
              <w:rPr>
                <w:rFonts w:eastAsia="MS Mincho"/>
                <w:vertAlign w:val="superscript"/>
              </w:rPr>
            </w:pPr>
            <w:r>
              <w:rPr>
                <w:rFonts w:eastAsia="MS Mincho"/>
              </w:rPr>
              <w:t>(6.8</w:t>
            </w:r>
            <w:r w:rsidR="002871E9">
              <w:rPr>
                <w:rFonts w:eastAsia="MS Mincho"/>
              </w:rPr>
              <w:t>%)</w:t>
            </w:r>
            <w:r w:rsidR="002871E9">
              <w:rPr>
                <w:rFonts w:eastAsia="MS Mincho"/>
                <w:vertAlign w:val="superscript"/>
              </w:rPr>
              <w:t xml:space="preserve"> a</w:t>
            </w:r>
          </w:p>
        </w:tc>
        <w:tc>
          <w:tcPr>
            <w:tcW w:w="1189" w:type="pct"/>
            <w:tcMar>
              <w:left w:w="28" w:type="dxa"/>
              <w:right w:w="28" w:type="dxa"/>
            </w:tcMar>
            <w:vAlign w:val="center"/>
          </w:tcPr>
          <w:p w14:paraId="16EA5A20" w14:textId="19ACD009" w:rsidR="00721E27" w:rsidRDefault="00721E27" w:rsidP="00503D09">
            <w:pPr>
              <w:pStyle w:val="Tablewriting"/>
              <w:jc w:val="center"/>
              <w:rPr>
                <w:rFonts w:eastAsia="MS Mincho"/>
              </w:rPr>
            </w:pPr>
            <w:r>
              <w:rPr>
                <w:rFonts w:eastAsia="MS Mincho"/>
              </w:rPr>
              <w:t>30/449</w:t>
            </w:r>
          </w:p>
          <w:p w14:paraId="06C8092D" w14:textId="27F77B10" w:rsidR="00721E27" w:rsidRPr="00520D7D" w:rsidRDefault="00721E27" w:rsidP="00503D09">
            <w:pPr>
              <w:pStyle w:val="Tablewriting"/>
              <w:jc w:val="center"/>
              <w:rPr>
                <w:rFonts w:eastAsia="MS Mincho"/>
                <w:vertAlign w:val="superscript"/>
              </w:rPr>
            </w:pPr>
            <w:r>
              <w:rPr>
                <w:rFonts w:eastAsia="MS Mincho"/>
              </w:rPr>
              <w:t>(6.7</w:t>
            </w:r>
            <w:r w:rsidR="002871E9">
              <w:rPr>
                <w:rFonts w:eastAsia="MS Mincho"/>
              </w:rPr>
              <w:t>%)</w:t>
            </w:r>
            <w:r w:rsidR="002871E9">
              <w:rPr>
                <w:rFonts w:eastAsia="MS Mincho"/>
                <w:vertAlign w:val="superscript"/>
              </w:rPr>
              <w:t xml:space="preserve"> a</w:t>
            </w:r>
          </w:p>
        </w:tc>
        <w:tc>
          <w:tcPr>
            <w:tcW w:w="974" w:type="pct"/>
          </w:tcPr>
          <w:p w14:paraId="1912E603" w14:textId="77777777" w:rsidR="00721E27" w:rsidRPr="00A8247E" w:rsidRDefault="00721E27" w:rsidP="00503D09">
            <w:pPr>
              <w:pStyle w:val="Tablewriting"/>
              <w:jc w:val="center"/>
            </w:pPr>
            <w:r w:rsidRPr="00A8247E">
              <w:t>1.01</w:t>
            </w:r>
          </w:p>
          <w:p w14:paraId="197EC11C" w14:textId="5984BFED" w:rsidR="00721E27" w:rsidRPr="00A8247E" w:rsidRDefault="00721E27" w:rsidP="00503D09">
            <w:pPr>
              <w:pStyle w:val="Tablewriting"/>
              <w:jc w:val="center"/>
            </w:pPr>
            <w:r w:rsidRPr="00A8247E">
              <w:t>(0.60, 1.72)</w:t>
            </w:r>
          </w:p>
        </w:tc>
      </w:tr>
    </w:tbl>
    <w:p w14:paraId="5B4B5DD5" w14:textId="4197FE5A" w:rsidR="00F46EC0" w:rsidRDefault="00F46EC0" w:rsidP="00B57674">
      <w:pPr>
        <w:pStyle w:val="TableFooter"/>
        <w:keepNext/>
        <w:jc w:val="both"/>
      </w:pPr>
      <w:r>
        <w:t>Source: Chang et al. (2015)</w:t>
      </w:r>
    </w:p>
    <w:p w14:paraId="755BAB5D" w14:textId="5E05C72F" w:rsidR="00F46EC0" w:rsidRDefault="00F46EC0" w:rsidP="00B57674">
      <w:pPr>
        <w:pStyle w:val="TableFooter"/>
        <w:keepNext/>
        <w:jc w:val="both"/>
      </w:pPr>
      <w:r>
        <w:t xml:space="preserve">Abbreviations: CI = confidence interval; </w:t>
      </w:r>
      <w:r w:rsidR="00721E27">
        <w:t xml:space="preserve">MA = meta-analysis; </w:t>
      </w:r>
      <w:r>
        <w:t xml:space="preserve">NRT = nicotine replacement therapy; RCT = randomised controlled trial; </w:t>
      </w:r>
      <w:r w:rsidR="00721E27">
        <w:t>SR = systematic review</w:t>
      </w:r>
    </w:p>
    <w:p w14:paraId="5BE26D8D" w14:textId="7DF0695C" w:rsidR="00F46EC0" w:rsidRDefault="00F46EC0" w:rsidP="00B57674">
      <w:pPr>
        <w:pStyle w:val="TableFooter"/>
        <w:keepNext/>
        <w:jc w:val="both"/>
      </w:pPr>
      <w:r w:rsidRPr="00FD4061">
        <w:t>Note</w:t>
      </w:r>
      <w:r>
        <w:t>s</w:t>
      </w:r>
      <w:r w:rsidRPr="00FD4061">
        <w:t>: Bold indicates statistically significant difference.</w:t>
      </w:r>
    </w:p>
    <w:p w14:paraId="448A0B19" w14:textId="6063D7DF" w:rsidR="00F46EC0" w:rsidRDefault="00F46EC0" w:rsidP="00B57674">
      <w:pPr>
        <w:pStyle w:val="TableFooter"/>
        <w:keepNext/>
        <w:jc w:val="both"/>
      </w:pPr>
      <w:r>
        <w:t xml:space="preserve">1 Pooled safety population (N) was not reported in Chang et al. (2015). Calculated based on the numbers reported in individual studies. </w:t>
      </w:r>
    </w:p>
    <w:p w14:paraId="27219523" w14:textId="2EDF84AE" w:rsidR="00520D7D" w:rsidRDefault="00F46EC0" w:rsidP="00B57674">
      <w:pPr>
        <w:pStyle w:val="TableFooter"/>
        <w:keepNext/>
        <w:jc w:val="both"/>
      </w:pPr>
      <w:r>
        <w:t xml:space="preserve">2 </w:t>
      </w:r>
      <w:r w:rsidRPr="00406215">
        <w:t>Calculated</w:t>
      </w:r>
      <w:r w:rsidR="00825575" w:rsidRPr="00406215">
        <w:t xml:space="preserve"> by Chang et al. (2015)</w:t>
      </w:r>
      <w:r w:rsidRPr="00406215">
        <w:t xml:space="preserve"> using a fixed-effect model.</w:t>
      </w:r>
      <w:r w:rsidRPr="00F46EC0">
        <w:t xml:space="preserve"> Odds ratio was reported in the original publication.</w:t>
      </w:r>
    </w:p>
    <w:p w14:paraId="77E00C55" w14:textId="05D6E4CD" w:rsidR="00F46EC0" w:rsidRDefault="00826C95" w:rsidP="00B57674">
      <w:pPr>
        <w:pStyle w:val="TableFooter"/>
        <w:keepNext/>
        <w:spacing w:after="120"/>
        <w:contextualSpacing w:val="0"/>
        <w:jc w:val="both"/>
      </w:pPr>
      <w:r>
        <w:t>a While</w:t>
      </w:r>
      <w:r w:rsidR="00520D7D" w:rsidRPr="00520D7D">
        <w:t xml:space="preserve"> the total number of events (n) was correct, the percentages reported in Chang et al. (2015) did not correspond to the n/N calculated. Accordingly, the percentages from the n/N</w:t>
      </w:r>
      <w:r w:rsidR="00721E27">
        <w:t xml:space="preserve"> calculation</w:t>
      </w:r>
      <w:r w:rsidR="00520D7D" w:rsidRPr="00520D7D">
        <w:t xml:space="preserve"> </w:t>
      </w:r>
      <w:r w:rsidRPr="00520D7D">
        <w:t>were</w:t>
      </w:r>
      <w:r w:rsidR="00520D7D" w:rsidRPr="00520D7D">
        <w:t xml:space="preserve"> adopted in this table.</w:t>
      </w:r>
    </w:p>
    <w:p w14:paraId="7CF7164A" w14:textId="7F30F681" w:rsidR="008576E7" w:rsidRPr="008576E7" w:rsidRDefault="008576E7" w:rsidP="00B57674">
      <w:pPr>
        <w:spacing w:after="120"/>
        <w:jc w:val="both"/>
        <w:rPr>
          <w:b/>
          <w:bCs/>
        </w:rPr>
      </w:pPr>
      <w:r w:rsidRPr="008576E7">
        <w:rPr>
          <w:b/>
          <w:bCs/>
        </w:rPr>
        <w:t xml:space="preserve">Varenicline in combination with </w:t>
      </w:r>
      <w:r>
        <w:rPr>
          <w:b/>
          <w:bCs/>
        </w:rPr>
        <w:t>bupropion</w:t>
      </w:r>
      <w:r w:rsidRPr="008576E7">
        <w:rPr>
          <w:b/>
          <w:bCs/>
        </w:rPr>
        <w:t xml:space="preserve"> versus varenicline</w:t>
      </w:r>
      <w:r w:rsidR="000E157B">
        <w:rPr>
          <w:b/>
          <w:bCs/>
        </w:rPr>
        <w:t xml:space="preserve"> alone</w:t>
      </w:r>
    </w:p>
    <w:p w14:paraId="629DEDE5" w14:textId="7ACA5E41" w:rsidR="0092721A" w:rsidRDefault="008576E7" w:rsidP="00B57674">
      <w:pPr>
        <w:spacing w:after="120"/>
        <w:jc w:val="both"/>
      </w:pPr>
      <w:r>
        <w:t xml:space="preserve">A summary of the citation details for the studies comparing varenicline plus </w:t>
      </w:r>
      <w:r w:rsidR="000E157B">
        <w:t>bupropion</w:t>
      </w:r>
      <w:r>
        <w:t xml:space="preserve"> with varenicline alone is presented in </w:t>
      </w:r>
      <w:r w:rsidR="000E157B">
        <w:fldChar w:fldCharType="begin" w:fldLock="1"/>
      </w:r>
      <w:r w:rsidR="000E157B">
        <w:instrText xml:space="preserve"> REF _Ref55481223 \h </w:instrText>
      </w:r>
      <w:r w:rsidR="000E157B">
        <w:fldChar w:fldCharType="separate"/>
      </w:r>
      <w:r w:rsidR="00EC5CC7">
        <w:t xml:space="preserve">Table </w:t>
      </w:r>
      <w:r w:rsidR="00EC5CC7">
        <w:rPr>
          <w:noProof/>
        </w:rPr>
        <w:t>70</w:t>
      </w:r>
      <w:r w:rsidR="000E157B">
        <w:fldChar w:fldCharType="end"/>
      </w:r>
      <w:r>
        <w:t xml:space="preserve">. </w:t>
      </w:r>
      <w:r w:rsidR="000E157B" w:rsidRPr="000E157B">
        <w:t xml:space="preserve">A recently conducted Cochrane </w:t>
      </w:r>
      <w:r w:rsidR="004A7E2B" w:rsidRPr="000E157B">
        <w:t>R</w:t>
      </w:r>
      <w:r w:rsidR="000E157B" w:rsidRPr="000E157B">
        <w:t>eview by H</w:t>
      </w:r>
      <w:r w:rsidR="000E157B">
        <w:t>owes</w:t>
      </w:r>
      <w:r w:rsidR="000E157B" w:rsidRPr="000E157B">
        <w:t xml:space="preserve"> et al. (20</w:t>
      </w:r>
      <w:r w:rsidR="000E157B">
        <w:t>20</w:t>
      </w:r>
      <w:r w:rsidR="000E157B" w:rsidRPr="000E157B">
        <w:t xml:space="preserve">) was identified in the systematic literature review that compared </w:t>
      </w:r>
      <w:r w:rsidR="000E157B">
        <w:t>varenicline plus bupropion with varenicline</w:t>
      </w:r>
      <w:r w:rsidR="000E157B" w:rsidRPr="000E157B">
        <w:t xml:space="preserve"> and was included in this report.</w:t>
      </w:r>
      <w:r w:rsidR="004A7E2B">
        <w:t xml:space="preserve"> </w:t>
      </w:r>
      <w:r w:rsidR="004A7E2B" w:rsidRPr="00457F7E">
        <w:t xml:space="preserve">No new studies comparing </w:t>
      </w:r>
      <w:r w:rsidR="004A7E2B">
        <w:t>varenicline plus bupropion</w:t>
      </w:r>
      <w:r w:rsidR="004A7E2B" w:rsidRPr="0013314B">
        <w:t xml:space="preserve"> with </w:t>
      </w:r>
      <w:r w:rsidR="004A7E2B">
        <w:t>varenicline alone</w:t>
      </w:r>
      <w:r w:rsidR="004A7E2B" w:rsidRPr="00457F7E">
        <w:t xml:space="preserve"> were identified in the supplemental literature search.</w:t>
      </w:r>
    </w:p>
    <w:p w14:paraId="2A66E1E4" w14:textId="1C39BA79" w:rsidR="000E157B" w:rsidRDefault="000E157B" w:rsidP="00BB1733">
      <w:pPr>
        <w:pStyle w:val="Caption"/>
        <w:keepNext/>
        <w:spacing w:before="0" w:after="120"/>
        <w:jc w:val="both"/>
      </w:pPr>
      <w:bookmarkStart w:id="131" w:name="_Ref55481223"/>
      <w:r>
        <w:t xml:space="preserve">Table </w:t>
      </w:r>
      <w:r w:rsidR="00BF3F75">
        <w:fldChar w:fldCharType="begin"/>
      </w:r>
      <w:r w:rsidR="00BF3F75">
        <w:instrText xml:space="preserve"> SEQ Table \* ARABIC </w:instrText>
      </w:r>
      <w:r w:rsidR="00BF3F75">
        <w:fldChar w:fldCharType="separate"/>
      </w:r>
      <w:r w:rsidR="00EC5CC7">
        <w:rPr>
          <w:noProof/>
        </w:rPr>
        <w:t>70</w:t>
      </w:r>
      <w:r w:rsidR="00BF3F75">
        <w:rPr>
          <w:noProof/>
        </w:rPr>
        <w:fldChar w:fldCharType="end"/>
      </w:r>
      <w:bookmarkEnd w:id="131"/>
      <w:r>
        <w:t xml:space="preserve">: </w:t>
      </w:r>
      <w:r w:rsidRPr="00103228">
        <w:t xml:space="preserve">List of studies comparing varenicline plus </w:t>
      </w:r>
      <w:r>
        <w:t>bupropion</w:t>
      </w:r>
      <w:r w:rsidRPr="00103228">
        <w:t xml:space="preserve"> with varenicline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8576E7" w:rsidRPr="00061F78" w14:paraId="6AEDDD79" w14:textId="77777777" w:rsidTr="008576E7">
        <w:trPr>
          <w:cantSplit/>
          <w:trHeight w:val="329"/>
          <w:tblHeader/>
        </w:trPr>
        <w:tc>
          <w:tcPr>
            <w:tcW w:w="557" w:type="pct"/>
            <w:shd w:val="clear" w:color="auto" w:fill="BFBFBF" w:themeFill="background1" w:themeFillShade="BF"/>
            <w:tcMar>
              <w:left w:w="28" w:type="dxa"/>
              <w:right w:w="28" w:type="dxa"/>
            </w:tcMar>
          </w:tcPr>
          <w:p w14:paraId="7BE9DE15" w14:textId="77777777" w:rsidR="008576E7" w:rsidRPr="00061F78" w:rsidRDefault="008576E7" w:rsidP="008576E7">
            <w:pPr>
              <w:pStyle w:val="Tableheading"/>
              <w:keepNext/>
              <w:rPr>
                <w:rFonts w:eastAsia="MS Mincho"/>
              </w:rPr>
            </w:pPr>
            <w:r>
              <w:rPr>
                <w:rFonts w:eastAsia="MS Mincho"/>
              </w:rPr>
              <w:t>Study</w:t>
            </w:r>
          </w:p>
        </w:tc>
        <w:tc>
          <w:tcPr>
            <w:tcW w:w="4443" w:type="pct"/>
            <w:shd w:val="clear" w:color="auto" w:fill="BFBFBF" w:themeFill="background1" w:themeFillShade="BF"/>
          </w:tcPr>
          <w:p w14:paraId="55F9CB02" w14:textId="77777777" w:rsidR="008576E7" w:rsidRDefault="008576E7" w:rsidP="008576E7">
            <w:pPr>
              <w:pStyle w:val="Tableheading"/>
              <w:keepNext/>
              <w:jc w:val="center"/>
              <w:rPr>
                <w:rFonts w:eastAsia="MS Mincho"/>
              </w:rPr>
            </w:pPr>
            <w:r>
              <w:rPr>
                <w:rFonts w:eastAsia="MS Mincho"/>
              </w:rPr>
              <w:t>Citation</w:t>
            </w:r>
          </w:p>
        </w:tc>
      </w:tr>
      <w:tr w:rsidR="000E157B" w:rsidRPr="00061F78" w14:paraId="6682E946" w14:textId="77777777" w:rsidTr="008576E7">
        <w:trPr>
          <w:cantSplit/>
          <w:trHeight w:val="164"/>
        </w:trPr>
        <w:tc>
          <w:tcPr>
            <w:tcW w:w="557" w:type="pct"/>
            <w:tcMar>
              <w:left w:w="28" w:type="dxa"/>
              <w:right w:w="28" w:type="dxa"/>
            </w:tcMar>
          </w:tcPr>
          <w:p w14:paraId="42564B51" w14:textId="33AB9D2E" w:rsidR="000E157B" w:rsidRPr="00305930" w:rsidRDefault="000E157B" w:rsidP="000E157B">
            <w:pPr>
              <w:pStyle w:val="Tablewriting"/>
              <w:keepNext/>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hyperlink w:anchor="_ENREF_3" w:tooltip="Howes, 2020 #530" w:history="1">
              <w:r w:rsidR="0039468B">
                <w:rPr>
                  <w:rFonts w:eastAsia="MS Mincho"/>
                </w:rPr>
                <w:fldChar w:fldCharType="begin"/>
              </w:r>
              <w:r w:rsidR="0039468B">
                <w:rPr>
                  <w:rFonts w:eastAsia="MS Mincho"/>
                </w:rPr>
                <w:instrText xml:space="preserve"> ADDIN EN.CITE &lt;EndNote&gt;&lt;Cite&gt;&lt;Author&gt;Howes&lt;/Author&gt;&lt;Year&gt;2020&lt;/Year&gt;&lt;RecNum&gt;530&lt;/RecNum&gt;&lt;DisplayText&gt;&lt;style face="superscript"&gt;3&lt;/style&gt;&lt;/DisplayText&gt;&lt;record&gt;&lt;rec-number&gt;530&lt;/rec-number&gt;&lt;foreign-keys&gt;&lt;key app="EN" db-id="2xwa055rhevv2yef5v75fepy2azsv0xvx</w:instrText>
              </w:r>
              <w:r w:rsidR="0039468B">
                <w:rPr>
                  <w:rFonts w:eastAsia="MS Mincho" w:hint="eastAsia"/>
                </w:rPr>
                <w:instrText>9w9" timestamp="1602031206"&gt;530&lt;/key&gt;&lt;/foreign-keys&gt;&lt;ref-type name="Journal Article"&gt;17&lt;/ref-type&gt;&lt;contributors&gt;&lt;authors&gt;&lt;author&gt;Howes, S.&lt;/author&gt;&lt;author&gt;Hartmann</w:instrText>
              </w:r>
              <w:r w:rsidR="0039468B">
                <w:rPr>
                  <w:rFonts w:eastAsia="MS Mincho" w:hint="eastAsia"/>
                </w:rPr>
                <w:instrText>‐</w:instrText>
              </w:r>
              <w:r w:rsidR="0039468B">
                <w:rPr>
                  <w:rFonts w:eastAsia="MS Mincho" w:hint="eastAsia"/>
                </w:rPr>
                <w:instrText>Boyce, J.&lt;/author&gt;&lt;author&gt;Livingstone</w:instrText>
              </w:r>
              <w:r w:rsidR="0039468B">
                <w:rPr>
                  <w:rFonts w:eastAsia="MS Mincho" w:hint="eastAsia"/>
                </w:rPr>
                <w:instrText>‐</w:instrText>
              </w:r>
              <w:r w:rsidR="0039468B">
                <w:rPr>
                  <w:rFonts w:eastAsia="MS Mincho" w:hint="eastAsia"/>
                </w:rPr>
                <w:instrText>Banks, J.&lt;/author&gt;&lt;author&gt;Hong, B.&lt;/author&gt;&lt;author&gt;Li</w:instrText>
              </w:r>
              <w:r w:rsidR="0039468B">
                <w:rPr>
                  <w:rFonts w:eastAsia="MS Mincho"/>
                </w:rPr>
                <w:instrText>ndson, N.&lt;/author&gt;&lt;/authors&gt;&lt;/contributors&gt;&lt;titles&gt;&lt;title&gt;Antidepressants for smoking cessation&lt;/title&gt;&lt;secondary-title&gt;Cochrane Database of Systematic Reviews&lt;/secondary-title&gt;&lt;/titles&gt;&lt;periodical&gt;&lt;full-title&gt;Cochrane Database of Systematic Reviews&lt;/full</w:instrText>
              </w:r>
              <w:r w:rsidR="0039468B">
                <w:rPr>
                  <w:rFonts w:eastAsia="MS Mincho" w:hint="eastAsia"/>
                </w:rPr>
                <w:instrText>-title&gt;&lt;/periodical&gt;&lt;number&gt;4&lt;/number&gt;&lt;keywords&gt;&lt;keyword&gt;Antidepressive Agents [adverse effects, *therapeutic use]&lt;/keyword&gt;&lt;keyword&gt;Anti</w:instrText>
              </w:r>
              <w:r w:rsidR="0039468B">
                <w:rPr>
                  <w:rFonts w:eastAsia="MS Mincho" w:hint="eastAsia"/>
                </w:rPr>
                <w:instrText>‐</w:instrText>
              </w:r>
              <w:r w:rsidR="0039468B">
                <w:rPr>
                  <w:rFonts w:eastAsia="MS Mincho" w:hint="eastAsia"/>
                </w:rPr>
                <w:instrText>Anxiety Agents [adverse effects, *therapeutic use]&lt;/keyword&gt;&lt;keyword&gt;Bupropion [adverse effects, therapeutic use]&lt;/ke</w:instrText>
              </w:r>
              <w:r w:rsidR="0039468B">
                <w:rPr>
                  <w:rFonts w:eastAsia="MS Mincho"/>
                </w:rPr>
                <w:instrText>yword&gt;&lt;keyword&gt;Humans&lt;/keyword&gt;&lt;keyword&gt;Nortriptyline [therapeutic use]&lt;/keyword&gt;&lt;keyword&gt;Randomized Controlled Trials as Topic&lt;/keyword&gt;&lt;keyword&gt;Serotonin Uptake Inhibitors [therapeutic use]&lt;/keyword&gt;&lt;keyword&gt;Smoking Cessation [*methods, psychology]&lt;/keyword&gt;&lt;keyword&gt;Smoking [*drug therapy, psychology]&lt;/keyword&gt;&lt;keyword&gt;Tobacco Use Cessation Devices&lt;/keyword&gt;&lt;keyword&gt;Varenicline [adverse effects, therapeutic use]&lt;/keyword&gt;&lt;/keywords&gt;&lt;dates&gt;&lt;year&gt;2020&lt;/year&gt;&lt;/dates&gt;&lt;publisher&gt;John Wiley &amp;amp; Sons, Ltd&lt;/publisher&gt;&lt;isbn&gt;1465-1858&lt;/isbn&gt;&lt;accession-num&gt;CD000031&lt;/accession-num&gt;&lt;urls&gt;&lt;related-urls&gt;&lt;url&gt;https://doi.org//10.1002/14651858.CD000031.pub5&lt;/url&gt;&lt;/related-urls&gt;&lt;/urls&gt;&lt;electronic-resource-num&gt;10.1002/14651858.CD000031.pub5&lt;/electronic-resource-num&gt;&lt;/record&gt;&lt;/Cite&gt;&lt;/EndNote&gt;</w:instrText>
              </w:r>
              <w:r w:rsidR="0039468B">
                <w:rPr>
                  <w:rFonts w:eastAsia="MS Mincho"/>
                </w:rPr>
                <w:fldChar w:fldCharType="separate"/>
              </w:r>
              <w:r w:rsidR="0039468B" w:rsidRPr="007A3AB0">
                <w:rPr>
                  <w:rFonts w:eastAsia="MS Mincho"/>
                  <w:noProof/>
                  <w:vertAlign w:val="superscript"/>
                </w:rPr>
                <w:t>3</w:t>
              </w:r>
              <w:r w:rsidR="0039468B">
                <w:rPr>
                  <w:rFonts w:eastAsia="MS Mincho"/>
                </w:rPr>
                <w:fldChar w:fldCharType="end"/>
              </w:r>
            </w:hyperlink>
            <w:r w:rsidRPr="00D07303">
              <w:rPr>
                <w:rFonts w:eastAsia="MS Mincho"/>
                <w:vertAlign w:val="superscript"/>
              </w:rPr>
              <w:t xml:space="preserve"> </w:t>
            </w:r>
          </w:p>
        </w:tc>
        <w:tc>
          <w:tcPr>
            <w:tcW w:w="4443" w:type="pct"/>
          </w:tcPr>
          <w:p w14:paraId="03942CAF" w14:textId="2691A445" w:rsidR="000E157B" w:rsidRDefault="00826C95" w:rsidP="000E157B">
            <w:pPr>
              <w:pStyle w:val="Tablewriting"/>
              <w:keepNext/>
              <w:rPr>
                <w:rFonts w:eastAsia="MS Mincho"/>
              </w:rPr>
            </w:pPr>
            <w:r w:rsidRPr="002764E0">
              <w:rPr>
                <w:rFonts w:eastAsia="MS Mincho"/>
              </w:rPr>
              <w:t>Howes S</w:t>
            </w:r>
            <w:r w:rsidR="000E157B" w:rsidRPr="002764E0">
              <w:rPr>
                <w:rFonts w:eastAsia="MS Mincho"/>
              </w:rPr>
              <w:t>, Hartmann‐</w:t>
            </w:r>
            <w:r w:rsidRPr="002764E0">
              <w:rPr>
                <w:rFonts w:eastAsia="MS Mincho"/>
              </w:rPr>
              <w:t>Boyce J</w:t>
            </w:r>
            <w:r w:rsidR="000E157B" w:rsidRPr="002764E0">
              <w:rPr>
                <w:rFonts w:eastAsia="MS Mincho"/>
              </w:rPr>
              <w:t>, Livingstone‐</w:t>
            </w:r>
            <w:r w:rsidRPr="002764E0">
              <w:rPr>
                <w:rFonts w:eastAsia="MS Mincho"/>
              </w:rPr>
              <w:t>Banks J</w:t>
            </w:r>
            <w:r w:rsidR="000E157B" w:rsidRPr="002764E0">
              <w:rPr>
                <w:rFonts w:eastAsia="MS Mincho"/>
              </w:rPr>
              <w:t xml:space="preserve">, </w:t>
            </w:r>
            <w:r w:rsidRPr="002764E0">
              <w:rPr>
                <w:rFonts w:eastAsia="MS Mincho"/>
              </w:rPr>
              <w:t>Hong B</w:t>
            </w:r>
            <w:r w:rsidR="000E157B" w:rsidRPr="002764E0">
              <w:rPr>
                <w:rFonts w:eastAsia="MS Mincho"/>
              </w:rPr>
              <w:t xml:space="preserve">, </w:t>
            </w:r>
            <w:r w:rsidRPr="002764E0">
              <w:rPr>
                <w:rFonts w:eastAsia="MS Mincho"/>
              </w:rPr>
              <w:t>Lindson N.</w:t>
            </w:r>
            <w:r w:rsidR="000E157B" w:rsidRPr="002764E0">
              <w:rPr>
                <w:rFonts w:eastAsia="MS Mincho"/>
              </w:rPr>
              <w:t xml:space="preserve"> Antidepressants for smoking cessation. Cochrane Database of Systematic Reviews 2020, Issue 4. Art. No.: CD000031.</w:t>
            </w:r>
          </w:p>
        </w:tc>
      </w:tr>
    </w:tbl>
    <w:p w14:paraId="24B88568" w14:textId="0AD292F3" w:rsidR="000E157B" w:rsidRDefault="000E157B" w:rsidP="002C2DB9">
      <w:pPr>
        <w:spacing w:before="120" w:after="120"/>
        <w:jc w:val="both"/>
      </w:pPr>
      <w:r w:rsidRPr="00BB1733">
        <w:rPr>
          <w:szCs w:val="24"/>
        </w:rPr>
        <w:t xml:space="preserve">A summary of the characteristics of the studies comparing </w:t>
      </w:r>
      <w:r w:rsidR="004662EA" w:rsidRPr="00BB1733">
        <w:rPr>
          <w:szCs w:val="24"/>
        </w:rPr>
        <w:t>varenicline plus bupropion</w:t>
      </w:r>
      <w:r w:rsidRPr="00BB1733">
        <w:rPr>
          <w:szCs w:val="24"/>
        </w:rPr>
        <w:t xml:space="preserve"> with </w:t>
      </w:r>
      <w:r w:rsidR="004662EA" w:rsidRPr="00BB1733">
        <w:rPr>
          <w:szCs w:val="24"/>
        </w:rPr>
        <w:t>varenicline alone</w:t>
      </w:r>
      <w:r w:rsidRPr="00BB1733">
        <w:rPr>
          <w:szCs w:val="24"/>
        </w:rPr>
        <w:t xml:space="preserve"> is presented in </w:t>
      </w:r>
      <w:r w:rsidR="004662EA" w:rsidRPr="00BB1733">
        <w:rPr>
          <w:szCs w:val="24"/>
        </w:rPr>
        <w:fldChar w:fldCharType="begin" w:fldLock="1"/>
      </w:r>
      <w:r w:rsidR="004662EA" w:rsidRPr="00BB1733">
        <w:rPr>
          <w:szCs w:val="24"/>
        </w:rPr>
        <w:instrText xml:space="preserve"> REF _Ref55482655 \h </w:instrText>
      </w:r>
      <w:r w:rsidR="004A7E2B" w:rsidRPr="00BB1733">
        <w:rPr>
          <w:szCs w:val="24"/>
        </w:rPr>
        <w:instrText xml:space="preserve"> \* MERGEFORMAT </w:instrText>
      </w:r>
      <w:r w:rsidR="004662EA" w:rsidRPr="00BB1733">
        <w:rPr>
          <w:szCs w:val="24"/>
        </w:rPr>
      </w:r>
      <w:r w:rsidR="004662EA" w:rsidRPr="00BB1733">
        <w:rPr>
          <w:szCs w:val="24"/>
        </w:rPr>
        <w:fldChar w:fldCharType="separate"/>
      </w:r>
      <w:r w:rsidR="00EC5CC7" w:rsidRPr="00EC5CC7">
        <w:rPr>
          <w:szCs w:val="24"/>
        </w:rPr>
        <w:t xml:space="preserve">Table </w:t>
      </w:r>
      <w:r w:rsidR="00EC5CC7" w:rsidRPr="00EC5CC7">
        <w:rPr>
          <w:noProof/>
          <w:szCs w:val="24"/>
        </w:rPr>
        <w:t>71</w:t>
      </w:r>
      <w:r w:rsidR="004662EA" w:rsidRPr="00BB1733">
        <w:rPr>
          <w:szCs w:val="24"/>
        </w:rPr>
        <w:fldChar w:fldCharType="end"/>
      </w:r>
      <w:r w:rsidRPr="00BB1733">
        <w:rPr>
          <w:szCs w:val="24"/>
        </w:rPr>
        <w:t xml:space="preserve">. </w:t>
      </w:r>
      <w:r w:rsidR="004662EA" w:rsidRPr="00BB1733">
        <w:rPr>
          <w:szCs w:val="24"/>
        </w:rPr>
        <w:t xml:space="preserve">A total of five RCTs comparing varenicline plus bupropion with varenicline </w:t>
      </w:r>
      <w:r w:rsidR="00A93680" w:rsidRPr="00BB1733">
        <w:rPr>
          <w:szCs w:val="24"/>
        </w:rPr>
        <w:t>plus placebo (</w:t>
      </w:r>
      <w:r w:rsidR="00826C95" w:rsidRPr="00BB1733">
        <w:rPr>
          <w:szCs w:val="24"/>
        </w:rPr>
        <w:t>i.e.,</w:t>
      </w:r>
      <w:r w:rsidR="00A93680" w:rsidRPr="00BB1733">
        <w:rPr>
          <w:szCs w:val="24"/>
        </w:rPr>
        <w:t xml:space="preserve"> varenicline </w:t>
      </w:r>
      <w:r w:rsidR="004662EA" w:rsidRPr="00BB1733">
        <w:rPr>
          <w:szCs w:val="24"/>
        </w:rPr>
        <w:t>alone</w:t>
      </w:r>
      <w:r w:rsidR="00A93680" w:rsidRPr="00BB1733">
        <w:rPr>
          <w:szCs w:val="24"/>
        </w:rPr>
        <w:t>)</w:t>
      </w:r>
      <w:r w:rsidR="004662EA" w:rsidRPr="00BB1733">
        <w:rPr>
          <w:szCs w:val="24"/>
        </w:rPr>
        <w:t xml:space="preserve"> were identified by Howes et al. (2020), with three RCTs </w:t>
      </w:r>
      <w:r w:rsidR="003771BB" w:rsidRPr="00BB1733">
        <w:rPr>
          <w:szCs w:val="24"/>
        </w:rPr>
        <w:t xml:space="preserve">(Cinciripini et al. 2018, Ebbert et al. 2014 and Rose et al. 2014) </w:t>
      </w:r>
      <w:r w:rsidR="004662EA" w:rsidRPr="00BB1733">
        <w:rPr>
          <w:szCs w:val="24"/>
        </w:rPr>
        <w:t>included in the primary efficacy analysis</w:t>
      </w:r>
      <w:r w:rsidRPr="00BB1733">
        <w:rPr>
          <w:szCs w:val="24"/>
        </w:rPr>
        <w:t>. The characteristics of the individual studies are presented in Appendix</w:t>
      </w:r>
      <w:r w:rsidR="00BB1733" w:rsidRPr="00BB1733">
        <w:rPr>
          <w:szCs w:val="24"/>
        </w:rPr>
        <w:t xml:space="preserve"> Table 158</w:t>
      </w:r>
      <w:r w:rsidRPr="000E157B">
        <w:t>.</w:t>
      </w:r>
    </w:p>
    <w:p w14:paraId="484A337A" w14:textId="7388C7F9" w:rsidR="004662EA" w:rsidRDefault="004662EA" w:rsidP="00BB1733">
      <w:pPr>
        <w:pStyle w:val="Caption"/>
        <w:keepNext/>
        <w:spacing w:before="0" w:after="120"/>
        <w:jc w:val="both"/>
      </w:pPr>
      <w:bookmarkStart w:id="132" w:name="_Ref55482655"/>
      <w:r>
        <w:lastRenderedPageBreak/>
        <w:t xml:space="preserve">Table </w:t>
      </w:r>
      <w:r w:rsidR="00BF3F75">
        <w:fldChar w:fldCharType="begin"/>
      </w:r>
      <w:r w:rsidR="00BF3F75">
        <w:instrText xml:space="preserve"> SEQ Table \* ARABIC </w:instrText>
      </w:r>
      <w:r w:rsidR="00BF3F75">
        <w:fldChar w:fldCharType="separate"/>
      </w:r>
      <w:r w:rsidR="00EC5CC7">
        <w:rPr>
          <w:noProof/>
        </w:rPr>
        <w:t>71</w:t>
      </w:r>
      <w:r w:rsidR="00BF3F75">
        <w:rPr>
          <w:noProof/>
        </w:rPr>
        <w:fldChar w:fldCharType="end"/>
      </w:r>
      <w:bookmarkEnd w:id="132"/>
      <w:r>
        <w:t xml:space="preserve">: </w:t>
      </w:r>
      <w:r w:rsidRPr="00E06F12">
        <w:t xml:space="preserve">Characteristics of the studies comparing varenicline plus </w:t>
      </w:r>
      <w:r>
        <w:t>bupropion</w:t>
      </w:r>
      <w:r w:rsidRPr="00E06F12">
        <w:t xml:space="preserve"> with varenicline alone</w:t>
      </w:r>
    </w:p>
    <w:tbl>
      <w:tblPr>
        <w:tblStyle w:val="TableGrid"/>
        <w:tblW w:w="5000" w:type="pct"/>
        <w:tblLook w:val="04A0" w:firstRow="1" w:lastRow="0" w:firstColumn="1" w:lastColumn="0" w:noHBand="0" w:noVBand="1"/>
        <w:tblCaption w:val="Efficacy results of adalimumab trials (PASI 75 and DLQI)"/>
      </w:tblPr>
      <w:tblGrid>
        <w:gridCol w:w="693"/>
        <w:gridCol w:w="989"/>
        <w:gridCol w:w="1306"/>
        <w:gridCol w:w="1967"/>
        <w:gridCol w:w="2270"/>
        <w:gridCol w:w="1791"/>
      </w:tblGrid>
      <w:tr w:rsidR="00A74292" w:rsidRPr="00061F78" w14:paraId="1415F9E4" w14:textId="77777777" w:rsidTr="00BB5C56">
        <w:trPr>
          <w:trHeight w:val="299"/>
          <w:tblHeader/>
        </w:trPr>
        <w:tc>
          <w:tcPr>
            <w:tcW w:w="384" w:type="pct"/>
            <w:shd w:val="clear" w:color="auto" w:fill="BFBFBF" w:themeFill="background1" w:themeFillShade="BF"/>
            <w:tcMar>
              <w:left w:w="28" w:type="dxa"/>
              <w:right w:w="28" w:type="dxa"/>
            </w:tcMar>
          </w:tcPr>
          <w:p w14:paraId="2B62D2E1" w14:textId="77777777" w:rsidR="000E157B" w:rsidRPr="00061F78" w:rsidRDefault="000E157B" w:rsidP="00BB5C56">
            <w:pPr>
              <w:pStyle w:val="Tableheading"/>
              <w:rPr>
                <w:rFonts w:eastAsia="MS Mincho"/>
              </w:rPr>
            </w:pPr>
            <w:r>
              <w:rPr>
                <w:rFonts w:eastAsia="MS Mincho"/>
              </w:rPr>
              <w:t>Study</w:t>
            </w:r>
          </w:p>
        </w:tc>
        <w:tc>
          <w:tcPr>
            <w:tcW w:w="548" w:type="pct"/>
            <w:shd w:val="clear" w:color="auto" w:fill="BFBFBF" w:themeFill="background1" w:themeFillShade="BF"/>
          </w:tcPr>
          <w:p w14:paraId="0940BAEA" w14:textId="77777777" w:rsidR="000E157B" w:rsidRDefault="000E157B" w:rsidP="00BB5C56">
            <w:pPr>
              <w:pStyle w:val="Tableheading"/>
              <w:jc w:val="center"/>
              <w:rPr>
                <w:rFonts w:eastAsia="MS Mincho"/>
              </w:rPr>
            </w:pPr>
            <w:r>
              <w:rPr>
                <w:rFonts w:eastAsia="MS Mincho"/>
              </w:rPr>
              <w:t>Study type</w:t>
            </w:r>
          </w:p>
        </w:tc>
        <w:tc>
          <w:tcPr>
            <w:tcW w:w="724" w:type="pct"/>
            <w:shd w:val="clear" w:color="auto" w:fill="BFBFBF" w:themeFill="background1" w:themeFillShade="BF"/>
            <w:tcMar>
              <w:left w:w="28" w:type="dxa"/>
              <w:right w:w="28" w:type="dxa"/>
            </w:tcMar>
          </w:tcPr>
          <w:p w14:paraId="134F46D4" w14:textId="77777777" w:rsidR="000E157B" w:rsidRPr="00AB145F" w:rsidRDefault="000E157B" w:rsidP="00BB5C56">
            <w:pPr>
              <w:pStyle w:val="Tableheading"/>
              <w:jc w:val="center"/>
              <w:rPr>
                <w:rFonts w:eastAsia="MS Mincho"/>
                <w:vertAlign w:val="superscript"/>
              </w:rPr>
            </w:pPr>
            <w:r>
              <w:rPr>
                <w:rFonts w:eastAsia="MS Mincho"/>
              </w:rPr>
              <w:t>N</w:t>
            </w:r>
            <w:r>
              <w:rPr>
                <w:rFonts w:eastAsia="MS Mincho"/>
                <w:vertAlign w:val="superscript"/>
              </w:rPr>
              <w:t>1</w:t>
            </w:r>
          </w:p>
        </w:tc>
        <w:tc>
          <w:tcPr>
            <w:tcW w:w="1091" w:type="pct"/>
            <w:shd w:val="clear" w:color="auto" w:fill="BFBFBF" w:themeFill="background1" w:themeFillShade="BF"/>
            <w:tcMar>
              <w:left w:w="28" w:type="dxa"/>
              <w:right w:w="28" w:type="dxa"/>
            </w:tcMar>
          </w:tcPr>
          <w:p w14:paraId="635CDFBF" w14:textId="77777777" w:rsidR="000E157B" w:rsidRPr="00061F78" w:rsidRDefault="000E157B" w:rsidP="00BB5C56">
            <w:pPr>
              <w:pStyle w:val="Tableheading"/>
              <w:jc w:val="center"/>
              <w:rPr>
                <w:rFonts w:eastAsia="MS Mincho"/>
              </w:rPr>
            </w:pPr>
            <w:r w:rsidRPr="00061F78">
              <w:rPr>
                <w:rFonts w:eastAsia="MS Mincho"/>
              </w:rPr>
              <w:t>P</w:t>
            </w:r>
            <w:r>
              <w:rPr>
                <w:rFonts w:eastAsia="MS Mincho"/>
              </w:rPr>
              <w:t>opulation</w:t>
            </w:r>
          </w:p>
        </w:tc>
        <w:tc>
          <w:tcPr>
            <w:tcW w:w="1259" w:type="pct"/>
            <w:shd w:val="clear" w:color="auto" w:fill="BFBFBF" w:themeFill="background1" w:themeFillShade="BF"/>
          </w:tcPr>
          <w:p w14:paraId="7D008D15" w14:textId="77777777" w:rsidR="000E157B" w:rsidRDefault="000E157B" w:rsidP="00BB5C56">
            <w:pPr>
              <w:pStyle w:val="Tableheading"/>
              <w:jc w:val="center"/>
              <w:rPr>
                <w:rFonts w:eastAsia="MS Mincho"/>
              </w:rPr>
            </w:pPr>
            <w:r>
              <w:rPr>
                <w:rFonts w:eastAsia="MS Mincho"/>
              </w:rPr>
              <w:t>Intervention and comparator</w:t>
            </w:r>
          </w:p>
        </w:tc>
        <w:tc>
          <w:tcPr>
            <w:tcW w:w="993" w:type="pct"/>
            <w:shd w:val="clear" w:color="auto" w:fill="BFBFBF" w:themeFill="background1" w:themeFillShade="BF"/>
            <w:tcMar>
              <w:left w:w="28" w:type="dxa"/>
              <w:right w:w="28" w:type="dxa"/>
            </w:tcMar>
          </w:tcPr>
          <w:p w14:paraId="193151A6" w14:textId="77777777" w:rsidR="000E157B" w:rsidRPr="00061F78" w:rsidRDefault="000E157B" w:rsidP="00BB5C56">
            <w:pPr>
              <w:pStyle w:val="Tableheading"/>
              <w:jc w:val="center"/>
              <w:rPr>
                <w:rFonts w:eastAsia="MS Mincho"/>
              </w:rPr>
            </w:pPr>
            <w:r>
              <w:rPr>
                <w:rFonts w:eastAsia="MS Mincho"/>
              </w:rPr>
              <w:t>Outcomes</w:t>
            </w:r>
          </w:p>
        </w:tc>
      </w:tr>
      <w:tr w:rsidR="00A74292" w:rsidRPr="00061F78" w14:paraId="4D769AC8" w14:textId="77777777" w:rsidTr="00BB5C56">
        <w:trPr>
          <w:trHeight w:val="149"/>
        </w:trPr>
        <w:tc>
          <w:tcPr>
            <w:tcW w:w="384" w:type="pct"/>
            <w:tcMar>
              <w:left w:w="28" w:type="dxa"/>
              <w:right w:w="28" w:type="dxa"/>
            </w:tcMar>
          </w:tcPr>
          <w:p w14:paraId="076012DA" w14:textId="2A51B5C7" w:rsidR="000E157B" w:rsidRPr="00D07303" w:rsidRDefault="000E157B" w:rsidP="00BB5C56">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548" w:type="pct"/>
          </w:tcPr>
          <w:p w14:paraId="0BBFE1C8" w14:textId="3DA1E6C1" w:rsidR="000E157B" w:rsidRDefault="000E157B" w:rsidP="00BB5C56">
            <w:pPr>
              <w:pStyle w:val="Tablewriting"/>
              <w:rPr>
                <w:rFonts w:eastAsia="MS Mincho"/>
              </w:rPr>
            </w:pPr>
            <w:r>
              <w:rPr>
                <w:rFonts w:eastAsia="MS Mincho"/>
              </w:rPr>
              <w:t xml:space="preserve">Cochrane </w:t>
            </w:r>
            <w:r w:rsidR="00826C95">
              <w:rPr>
                <w:rFonts w:eastAsia="MS Mincho"/>
              </w:rPr>
              <w:t>Review (</w:t>
            </w:r>
            <w:r w:rsidR="005E6D5A">
              <w:rPr>
                <w:rFonts w:eastAsia="MS Mincho"/>
              </w:rPr>
              <w:t>5</w:t>
            </w:r>
            <w:r>
              <w:rPr>
                <w:rFonts w:eastAsia="MS Mincho"/>
              </w:rPr>
              <w:t xml:space="preserve"> RCTs</w:t>
            </w:r>
            <w:r w:rsidRPr="00AB145F">
              <w:rPr>
                <w:rFonts w:eastAsia="MS Mincho"/>
                <w:vertAlign w:val="superscript"/>
              </w:rPr>
              <w:t>2</w:t>
            </w:r>
            <w:r>
              <w:rPr>
                <w:rFonts w:eastAsia="MS Mincho"/>
              </w:rPr>
              <w:t>)</w:t>
            </w:r>
          </w:p>
        </w:tc>
        <w:tc>
          <w:tcPr>
            <w:tcW w:w="724" w:type="pct"/>
            <w:tcMar>
              <w:left w:w="28" w:type="dxa"/>
              <w:right w:w="28" w:type="dxa"/>
            </w:tcMar>
          </w:tcPr>
          <w:p w14:paraId="0CB5358F" w14:textId="77777777" w:rsidR="005E6D5A" w:rsidRDefault="005E6D5A" w:rsidP="00BB5C56">
            <w:pPr>
              <w:pStyle w:val="Tablewriting"/>
              <w:rPr>
                <w:rFonts w:eastAsia="MS Mincho"/>
                <w:u w:val="single"/>
              </w:rPr>
            </w:pPr>
            <w:r w:rsidRPr="00A8247E">
              <w:rPr>
                <w:rFonts w:eastAsia="MS Mincho"/>
                <w:u w:val="single"/>
              </w:rPr>
              <w:t xml:space="preserve">Efficacy </w:t>
            </w:r>
          </w:p>
          <w:p w14:paraId="77C8DF75" w14:textId="43A78564" w:rsidR="005E6D5A" w:rsidRPr="00A8247E" w:rsidRDefault="005E6D5A" w:rsidP="00BB5C56">
            <w:pPr>
              <w:pStyle w:val="Tablewriting"/>
              <w:rPr>
                <w:rFonts w:eastAsia="MS Mincho"/>
                <w:u w:val="single"/>
              </w:rPr>
            </w:pPr>
            <w:r w:rsidRPr="00A8247E">
              <w:rPr>
                <w:rFonts w:eastAsia="MS Mincho"/>
                <w:u w:val="single"/>
              </w:rPr>
              <w:t>(3 RCTs)</w:t>
            </w:r>
          </w:p>
          <w:p w14:paraId="5B456C0E" w14:textId="31CBF027" w:rsidR="000E157B" w:rsidRDefault="000E4F92" w:rsidP="00BB5C56">
            <w:pPr>
              <w:pStyle w:val="Tablewriting"/>
              <w:rPr>
                <w:rFonts w:eastAsia="MS Mincho"/>
              </w:rPr>
            </w:pPr>
            <w:r>
              <w:rPr>
                <w:rFonts w:eastAsia="MS Mincho"/>
              </w:rPr>
              <w:t>N=1,057</w:t>
            </w:r>
          </w:p>
          <w:p w14:paraId="114F29FC" w14:textId="5C87638F" w:rsidR="000E157B" w:rsidRDefault="000E4F92" w:rsidP="00BB5C56">
            <w:pPr>
              <w:pStyle w:val="Tablewriting"/>
              <w:rPr>
                <w:rFonts w:eastAsia="MS Mincho"/>
              </w:rPr>
            </w:pPr>
            <w:r>
              <w:rPr>
                <w:rFonts w:eastAsia="MS Mincho"/>
              </w:rPr>
              <w:t>Varenicline plus b</w:t>
            </w:r>
            <w:r w:rsidR="000E157B">
              <w:rPr>
                <w:rFonts w:eastAsia="MS Mincho"/>
              </w:rPr>
              <w:t>upropion (n=</w:t>
            </w:r>
            <w:r>
              <w:rPr>
                <w:rFonts w:eastAsia="MS Mincho"/>
              </w:rPr>
              <w:t>525</w:t>
            </w:r>
            <w:r w:rsidR="000E157B">
              <w:rPr>
                <w:rFonts w:eastAsia="MS Mincho"/>
              </w:rPr>
              <w:t>),</w:t>
            </w:r>
          </w:p>
          <w:p w14:paraId="250A544F" w14:textId="06AAA833" w:rsidR="000E157B" w:rsidRPr="00061F78" w:rsidRDefault="000E4F92" w:rsidP="00BB5C56">
            <w:pPr>
              <w:pStyle w:val="Tablewriting"/>
              <w:rPr>
                <w:rFonts w:eastAsia="MS Mincho"/>
              </w:rPr>
            </w:pPr>
            <w:r>
              <w:rPr>
                <w:rFonts w:eastAsia="MS Mincho"/>
              </w:rPr>
              <w:t>Varenicline</w:t>
            </w:r>
            <w:r w:rsidR="000E157B">
              <w:rPr>
                <w:rFonts w:eastAsia="MS Mincho"/>
              </w:rPr>
              <w:t xml:space="preserve"> (n=</w:t>
            </w:r>
            <w:r>
              <w:rPr>
                <w:rFonts w:eastAsia="MS Mincho"/>
              </w:rPr>
              <w:t>532</w:t>
            </w:r>
            <w:r w:rsidR="000E157B">
              <w:rPr>
                <w:rFonts w:eastAsia="MS Mincho"/>
              </w:rPr>
              <w:t>)</w:t>
            </w:r>
          </w:p>
        </w:tc>
        <w:tc>
          <w:tcPr>
            <w:tcW w:w="1091" w:type="pct"/>
            <w:tcMar>
              <w:left w:w="28" w:type="dxa"/>
              <w:right w:w="28" w:type="dxa"/>
            </w:tcMar>
          </w:tcPr>
          <w:p w14:paraId="1851112D" w14:textId="77777777" w:rsidR="000E157B" w:rsidRDefault="000E157B" w:rsidP="00BB5C56">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14:paraId="790CA0D8" w14:textId="77777777" w:rsidR="000E157B" w:rsidRPr="00061F78" w:rsidRDefault="000E157B" w:rsidP="00BB5C56">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1259" w:type="pct"/>
          </w:tcPr>
          <w:p w14:paraId="71D932A9" w14:textId="2F4A88BE" w:rsidR="000E157B" w:rsidRPr="00061F78" w:rsidRDefault="000E4F92" w:rsidP="00BB5C56">
            <w:pPr>
              <w:pStyle w:val="Tablewriting"/>
              <w:rPr>
                <w:rFonts w:eastAsia="MS Mincho"/>
              </w:rPr>
            </w:pPr>
            <w:r>
              <w:rPr>
                <w:rFonts w:eastAsia="MS Mincho"/>
              </w:rPr>
              <w:t>Varenicline plus b</w:t>
            </w:r>
            <w:r w:rsidR="000E157B">
              <w:rPr>
                <w:rFonts w:eastAsia="MS Mincho"/>
              </w:rPr>
              <w:t xml:space="preserve">upropion: </w:t>
            </w:r>
            <w:r w:rsidR="00A74292" w:rsidRPr="00A74292">
              <w:rPr>
                <w:rFonts w:eastAsia="MS Mincho"/>
              </w:rPr>
              <w:t>1</w:t>
            </w:r>
            <w:r w:rsidR="00A74292">
              <w:rPr>
                <w:rFonts w:eastAsia="MS Mincho"/>
              </w:rPr>
              <w:t xml:space="preserve"> </w:t>
            </w:r>
            <w:r w:rsidR="00A74292" w:rsidRPr="00A74292">
              <w:rPr>
                <w:rFonts w:eastAsia="MS Mincho"/>
              </w:rPr>
              <w:t>mg</w:t>
            </w:r>
            <w:r w:rsidR="00A74292">
              <w:rPr>
                <w:rFonts w:eastAsia="MS Mincho"/>
              </w:rPr>
              <w:t xml:space="preserve"> varenicline</w:t>
            </w:r>
            <w:r w:rsidR="00A74292" w:rsidRPr="00A74292">
              <w:rPr>
                <w:rFonts w:eastAsia="MS Mincho"/>
              </w:rPr>
              <w:t xml:space="preserve"> twice daily including titration</w:t>
            </w:r>
            <w:r w:rsidR="00A74292">
              <w:rPr>
                <w:rFonts w:eastAsia="MS Mincho"/>
              </w:rPr>
              <w:t xml:space="preserve"> and </w:t>
            </w:r>
            <w:r w:rsidR="000E157B">
              <w:rPr>
                <w:rFonts w:eastAsia="MS Mincho"/>
              </w:rPr>
              <w:t>150</w:t>
            </w:r>
            <w:r w:rsidR="00A74292">
              <w:rPr>
                <w:rFonts w:eastAsia="MS Mincho"/>
              </w:rPr>
              <w:t xml:space="preserve"> </w:t>
            </w:r>
            <w:r w:rsidR="000E157B">
              <w:rPr>
                <w:rFonts w:eastAsia="MS Mincho"/>
              </w:rPr>
              <w:t>mg</w:t>
            </w:r>
            <w:r w:rsidR="00A74292">
              <w:rPr>
                <w:rFonts w:eastAsia="MS Mincho"/>
              </w:rPr>
              <w:t xml:space="preserve"> bupropion</w:t>
            </w:r>
            <w:r w:rsidR="000E157B">
              <w:rPr>
                <w:rFonts w:eastAsia="MS Mincho"/>
              </w:rPr>
              <w:t xml:space="preserve"> twice</w:t>
            </w:r>
            <w:r w:rsidR="00A74292">
              <w:rPr>
                <w:rFonts w:eastAsia="MS Mincho"/>
              </w:rPr>
              <w:t xml:space="preserve"> </w:t>
            </w:r>
            <w:r w:rsidR="000E157B">
              <w:rPr>
                <w:rFonts w:eastAsia="MS Mincho"/>
              </w:rPr>
              <w:t>daily including titration</w:t>
            </w:r>
            <w:r w:rsidR="003771BB">
              <w:rPr>
                <w:rFonts w:eastAsia="MS Mincho"/>
              </w:rPr>
              <w:t xml:space="preserve"> (over 12 weeks)</w:t>
            </w:r>
            <w:r w:rsidR="00BB5C56">
              <w:rPr>
                <w:rFonts w:eastAsia="MS Mincho"/>
              </w:rPr>
              <w:t xml:space="preserve">; </w:t>
            </w:r>
            <w:r>
              <w:rPr>
                <w:rFonts w:eastAsia="MS Mincho"/>
              </w:rPr>
              <w:t>Varenicline</w:t>
            </w:r>
            <w:r w:rsidR="00A93680">
              <w:rPr>
                <w:rFonts w:eastAsia="MS Mincho"/>
              </w:rPr>
              <w:t xml:space="preserve"> alone</w:t>
            </w:r>
            <w:r>
              <w:rPr>
                <w:rFonts w:eastAsia="MS Mincho"/>
              </w:rPr>
              <w:t>:</w:t>
            </w:r>
            <w:r w:rsidR="00A74292">
              <w:rPr>
                <w:rFonts w:eastAsia="MS Mincho"/>
              </w:rPr>
              <w:t xml:space="preserve"> standard </w:t>
            </w:r>
            <w:r w:rsidR="00A93680">
              <w:rPr>
                <w:rFonts w:eastAsia="MS Mincho"/>
              </w:rPr>
              <w:t xml:space="preserve">varenicline </w:t>
            </w:r>
            <w:r w:rsidR="00A74292">
              <w:rPr>
                <w:rFonts w:eastAsia="MS Mincho"/>
              </w:rPr>
              <w:t>regimen including titration</w:t>
            </w:r>
            <w:r w:rsidR="00A93680">
              <w:rPr>
                <w:rFonts w:eastAsia="MS Mincho"/>
              </w:rPr>
              <w:t xml:space="preserve"> and matching placebo for bupropion</w:t>
            </w:r>
            <w:r w:rsidR="003771BB">
              <w:rPr>
                <w:rFonts w:eastAsia="MS Mincho"/>
              </w:rPr>
              <w:t xml:space="preserve"> (over 12 weeks)</w:t>
            </w:r>
            <w:r w:rsidR="00C410DE">
              <w:rPr>
                <w:rFonts w:eastAsia="MS Mincho"/>
              </w:rPr>
              <w:t>.</w:t>
            </w:r>
          </w:p>
        </w:tc>
        <w:tc>
          <w:tcPr>
            <w:tcW w:w="993" w:type="pct"/>
            <w:tcMar>
              <w:left w:w="28" w:type="dxa"/>
              <w:right w:w="28" w:type="dxa"/>
            </w:tcMar>
          </w:tcPr>
          <w:p w14:paraId="34798324" w14:textId="3CA3460E" w:rsidR="000E157B" w:rsidRDefault="000E157B" w:rsidP="00BB5C56">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14:paraId="34A8DEC2" w14:textId="27F80684" w:rsidR="000E157B" w:rsidRPr="00061F78" w:rsidRDefault="000E157B" w:rsidP="00BB5C56">
            <w:pPr>
              <w:pStyle w:val="Tablewriting"/>
              <w:rPr>
                <w:rFonts w:eastAsia="MS Mincho"/>
              </w:rPr>
            </w:pPr>
            <w:r w:rsidRPr="0036499C">
              <w:rPr>
                <w:rFonts w:eastAsia="MS Mincho"/>
                <w:u w:val="single"/>
              </w:rPr>
              <w:t>Secondary</w:t>
            </w:r>
            <w:r>
              <w:rPr>
                <w:rFonts w:eastAsia="MS Mincho"/>
              </w:rPr>
              <w:t xml:space="preserve">: safety including any adverse events, psychiatric adverse events, serious adverse </w:t>
            </w:r>
            <w:r w:rsidR="00826C95">
              <w:rPr>
                <w:rFonts w:eastAsia="MS Mincho"/>
              </w:rPr>
              <w:t>events,</w:t>
            </w:r>
            <w:r>
              <w:rPr>
                <w:rFonts w:eastAsia="MS Mincho"/>
              </w:rPr>
              <w:t xml:space="preserve"> and dropouts due to adverse events</w:t>
            </w:r>
            <w:r w:rsidR="00C410DE">
              <w:rPr>
                <w:rFonts w:eastAsia="MS Mincho"/>
              </w:rPr>
              <w:t>.</w:t>
            </w:r>
          </w:p>
        </w:tc>
      </w:tr>
    </w:tbl>
    <w:p w14:paraId="460FC2AD" w14:textId="255DDCA8" w:rsidR="0025165F" w:rsidRDefault="0025165F" w:rsidP="00DC14A6">
      <w:pPr>
        <w:pStyle w:val="TableFooter"/>
        <w:keepNext/>
        <w:jc w:val="both"/>
        <w:rPr>
          <w:i/>
        </w:rPr>
      </w:pPr>
      <w:r>
        <w:t>Abbreviations: NRT = nicotine replacement therapy; RCT = randomised controlled trial</w:t>
      </w:r>
      <w:r w:rsidRPr="00061F78">
        <w:t xml:space="preserve"> </w:t>
      </w:r>
    </w:p>
    <w:p w14:paraId="65AC53B7" w14:textId="77777777" w:rsidR="0025165F" w:rsidRDefault="0025165F" w:rsidP="00DC14A6">
      <w:pPr>
        <w:pStyle w:val="TableFooter"/>
        <w:keepNext/>
        <w:jc w:val="both"/>
      </w:pPr>
      <w:r>
        <w:t xml:space="preserve">1 Only the number of patients (n) in the relevant arms were included </w:t>
      </w:r>
    </w:p>
    <w:p w14:paraId="3EAFFAF7" w14:textId="1D23274C" w:rsidR="00BB1733" w:rsidRDefault="0025165F" w:rsidP="00DC14A6">
      <w:pPr>
        <w:pStyle w:val="TableFooter"/>
        <w:spacing w:after="120"/>
        <w:contextualSpacing w:val="0"/>
        <w:jc w:val="both"/>
      </w:pPr>
      <w:r>
        <w:t xml:space="preserve">2 </w:t>
      </w:r>
      <w:r w:rsidRPr="001507A4">
        <w:t xml:space="preserve">A total of </w:t>
      </w:r>
      <w:r>
        <w:t>five</w:t>
      </w:r>
      <w:r w:rsidRPr="001507A4">
        <w:t xml:space="preserve"> RCTs comparing varenicline</w:t>
      </w:r>
      <w:r>
        <w:t xml:space="preserve"> plus bupropion</w:t>
      </w:r>
      <w:r w:rsidRPr="001507A4">
        <w:t xml:space="preserve"> with </w:t>
      </w:r>
      <w:r>
        <w:t>varenicline alone</w:t>
      </w:r>
      <w:r w:rsidRPr="001507A4">
        <w:t xml:space="preserve"> were identified. Of the </w:t>
      </w:r>
      <w:r>
        <w:t>five</w:t>
      </w:r>
      <w:r w:rsidRPr="001507A4">
        <w:t xml:space="preserve"> RCTs, </w:t>
      </w:r>
      <w:r>
        <w:t>three</w:t>
      </w:r>
      <w:r w:rsidRPr="001507A4">
        <w:t xml:space="preserve"> RCTs </w:t>
      </w:r>
      <w:r w:rsidR="000E4F92">
        <w:t xml:space="preserve">(Cinciripini et al. 2018, Ebbert et al. 2014 and Rose et al. 2014) </w:t>
      </w:r>
      <w:r w:rsidRPr="001507A4">
        <w:t>were included in the primary efficacy analysis.</w:t>
      </w:r>
      <w:r>
        <w:t xml:space="preserve"> The characteristics of the individual studies comparing varenicline plus bupropion with varenicline alone included in Howes et al. (2020) are presented </w:t>
      </w:r>
      <w:r w:rsidRPr="008E7E0C">
        <w:t>in Appendix</w:t>
      </w:r>
      <w:r w:rsidR="00BB1733">
        <w:t xml:space="preserve"> Table 158.</w:t>
      </w:r>
      <w:r w:rsidR="008E7E0C">
        <w:t xml:space="preserve"> </w:t>
      </w:r>
    </w:p>
    <w:p w14:paraId="34E4C5AF" w14:textId="77777777" w:rsidR="00A93680" w:rsidRPr="00A93680" w:rsidRDefault="00A93680" w:rsidP="00DC14A6">
      <w:pPr>
        <w:spacing w:after="120"/>
        <w:jc w:val="both"/>
        <w:rPr>
          <w:u w:val="single"/>
        </w:rPr>
      </w:pPr>
      <w:r w:rsidRPr="00A93680">
        <w:rPr>
          <w:u w:val="single"/>
        </w:rPr>
        <w:t>Efficacy</w:t>
      </w:r>
    </w:p>
    <w:p w14:paraId="4780A337" w14:textId="25DA94CD" w:rsidR="00A93680" w:rsidRDefault="00A93680" w:rsidP="00DC14A6">
      <w:pPr>
        <w:spacing w:after="120"/>
        <w:jc w:val="both"/>
      </w:pPr>
      <w:r>
        <w:t>A summary of the smoking cessation rates f</w:t>
      </w:r>
      <w:r w:rsidR="00D654DE">
        <w:t>or</w:t>
      </w:r>
      <w:r>
        <w:t xml:space="preserve"> at least six months follow-up </w:t>
      </w:r>
      <w:r w:rsidR="00970B04">
        <w:t xml:space="preserve">comparing varenicline plus bupropion with varenicline alone </w:t>
      </w:r>
      <w:r>
        <w:t xml:space="preserve">is presented in </w:t>
      </w:r>
      <w:r w:rsidR="003771BB">
        <w:fldChar w:fldCharType="begin" w:fldLock="1"/>
      </w:r>
      <w:r w:rsidR="003771BB">
        <w:instrText xml:space="preserve"> REF _Ref55483843 \h </w:instrText>
      </w:r>
      <w:r w:rsidR="003771BB">
        <w:fldChar w:fldCharType="separate"/>
      </w:r>
      <w:r w:rsidR="00EC5CC7">
        <w:t xml:space="preserve">Table </w:t>
      </w:r>
      <w:r w:rsidR="00EC5CC7">
        <w:rPr>
          <w:noProof/>
        </w:rPr>
        <w:t>72</w:t>
      </w:r>
      <w:r w:rsidR="003771BB">
        <w:fldChar w:fldCharType="end"/>
      </w:r>
      <w:r>
        <w:t xml:space="preserve">. </w:t>
      </w:r>
      <w:r w:rsidR="003771BB">
        <w:t>T</w:t>
      </w:r>
      <w:r w:rsidR="003771BB" w:rsidRPr="003771BB">
        <w:t xml:space="preserve">he results of the meta-analysis comprising </w:t>
      </w:r>
      <w:r w:rsidR="003771BB">
        <w:t>three</w:t>
      </w:r>
      <w:r w:rsidR="003771BB" w:rsidRPr="003771BB">
        <w:t xml:space="preserve"> RCTs by </w:t>
      </w:r>
      <w:r w:rsidR="003771BB">
        <w:t>Howes</w:t>
      </w:r>
      <w:r w:rsidR="003771BB" w:rsidRPr="003771BB">
        <w:t xml:space="preserve"> et al. (20</w:t>
      </w:r>
      <w:r w:rsidR="003771BB">
        <w:t>20</w:t>
      </w:r>
      <w:r w:rsidR="003771BB" w:rsidRPr="003771BB">
        <w:t xml:space="preserve">) demonstrated </w:t>
      </w:r>
      <w:r w:rsidR="003771BB">
        <w:t>no</w:t>
      </w:r>
      <w:r w:rsidR="003771BB" w:rsidRPr="003771BB">
        <w:t xml:space="preserve"> significant</w:t>
      </w:r>
      <w:r w:rsidR="003771BB">
        <w:t xml:space="preserve"> differences in</w:t>
      </w:r>
      <w:r w:rsidR="003771BB" w:rsidRPr="003771BB">
        <w:t xml:space="preserve"> long-term smoking cessation rates </w:t>
      </w:r>
      <w:r w:rsidR="00970B04">
        <w:t>between the two treatment arms</w:t>
      </w:r>
      <w:r w:rsidR="003771BB">
        <w:t>, although the results numerically favoured varenicline plus bupropion.</w:t>
      </w:r>
    </w:p>
    <w:p w14:paraId="73D7F527" w14:textId="27608312" w:rsidR="00A93680" w:rsidRDefault="00A93680" w:rsidP="00DC14A6">
      <w:pPr>
        <w:pStyle w:val="Caption"/>
        <w:keepNext/>
        <w:spacing w:before="0" w:after="120"/>
        <w:jc w:val="both"/>
      </w:pPr>
      <w:bookmarkStart w:id="133" w:name="_Ref55483843"/>
      <w:r>
        <w:t xml:space="preserve">Table </w:t>
      </w:r>
      <w:r w:rsidR="00BF3F75">
        <w:fldChar w:fldCharType="begin"/>
      </w:r>
      <w:r w:rsidR="00BF3F75">
        <w:instrText xml:space="preserve"> SEQ Table \* ARABIC </w:instrText>
      </w:r>
      <w:r w:rsidR="00BF3F75">
        <w:fldChar w:fldCharType="separate"/>
      </w:r>
      <w:r w:rsidR="00EC5CC7">
        <w:rPr>
          <w:noProof/>
        </w:rPr>
        <w:t>72</w:t>
      </w:r>
      <w:r w:rsidR="00BF3F75">
        <w:rPr>
          <w:noProof/>
        </w:rPr>
        <w:fldChar w:fldCharType="end"/>
      </w:r>
      <w:bookmarkEnd w:id="133"/>
      <w:r>
        <w:t xml:space="preserve">: </w:t>
      </w:r>
      <w:r w:rsidRPr="00F04F59">
        <w:t>Results of smoking cessation f</w:t>
      </w:r>
      <w:r w:rsidR="00D654DE">
        <w:t>or</w:t>
      </w:r>
      <w:r w:rsidRPr="00F04F59">
        <w:t xml:space="preserve"> at least six months follow-up, </w:t>
      </w:r>
      <w:r>
        <w:t xml:space="preserve">varenicline plus </w:t>
      </w:r>
      <w:r w:rsidRPr="00F04F59">
        <w:t xml:space="preserve">bupropion versus </w:t>
      </w:r>
      <w:r>
        <w:t>varenicline alone</w:t>
      </w:r>
    </w:p>
    <w:tbl>
      <w:tblPr>
        <w:tblStyle w:val="TableGrid"/>
        <w:tblW w:w="5000" w:type="pct"/>
        <w:tblLook w:val="04A0" w:firstRow="1" w:lastRow="0" w:firstColumn="1" w:lastColumn="0" w:noHBand="0" w:noVBand="1"/>
        <w:tblCaption w:val="Efficacy results of adalimumab trials (PASI 75 and DLQI)"/>
      </w:tblPr>
      <w:tblGrid>
        <w:gridCol w:w="1550"/>
        <w:gridCol w:w="1978"/>
        <w:gridCol w:w="1828"/>
        <w:gridCol w:w="1830"/>
        <w:gridCol w:w="1830"/>
      </w:tblGrid>
      <w:tr w:rsidR="00A93680" w:rsidRPr="00061F78" w14:paraId="66BE04AA" w14:textId="77777777" w:rsidTr="00A8247E">
        <w:trPr>
          <w:cantSplit/>
          <w:trHeight w:val="299"/>
          <w:tblHeader/>
        </w:trPr>
        <w:tc>
          <w:tcPr>
            <w:tcW w:w="859" w:type="pct"/>
            <w:shd w:val="clear" w:color="auto" w:fill="BFBFBF" w:themeFill="background1" w:themeFillShade="BF"/>
            <w:tcMar>
              <w:left w:w="28" w:type="dxa"/>
              <w:right w:w="28" w:type="dxa"/>
            </w:tcMar>
          </w:tcPr>
          <w:p w14:paraId="77CEA23C" w14:textId="77777777" w:rsidR="00A93680" w:rsidRPr="00061F78" w:rsidRDefault="00A93680" w:rsidP="004D7CE3">
            <w:pPr>
              <w:pStyle w:val="Tableheading"/>
              <w:rPr>
                <w:rFonts w:eastAsia="MS Mincho"/>
              </w:rPr>
            </w:pPr>
            <w:r>
              <w:rPr>
                <w:rFonts w:eastAsia="MS Mincho"/>
              </w:rPr>
              <w:t>Study</w:t>
            </w:r>
          </w:p>
        </w:tc>
        <w:tc>
          <w:tcPr>
            <w:tcW w:w="1097" w:type="pct"/>
            <w:shd w:val="clear" w:color="auto" w:fill="BFBFBF" w:themeFill="background1" w:themeFillShade="BF"/>
            <w:vAlign w:val="center"/>
          </w:tcPr>
          <w:p w14:paraId="4D32CFC2" w14:textId="77777777" w:rsidR="00A93680" w:rsidRDefault="00A93680" w:rsidP="004D7CE3">
            <w:pPr>
              <w:pStyle w:val="Tableheading"/>
              <w:jc w:val="center"/>
              <w:rPr>
                <w:rFonts w:eastAsia="MS Mincho"/>
              </w:rPr>
            </w:pPr>
            <w:r>
              <w:rPr>
                <w:rFonts w:eastAsia="MS Mincho"/>
              </w:rPr>
              <w:t>Study type</w:t>
            </w:r>
          </w:p>
        </w:tc>
        <w:tc>
          <w:tcPr>
            <w:tcW w:w="1014" w:type="pct"/>
            <w:shd w:val="clear" w:color="auto" w:fill="BFBFBF" w:themeFill="background1" w:themeFillShade="BF"/>
            <w:tcMar>
              <w:left w:w="28" w:type="dxa"/>
              <w:right w:w="28" w:type="dxa"/>
            </w:tcMar>
            <w:vAlign w:val="center"/>
          </w:tcPr>
          <w:p w14:paraId="315917F9" w14:textId="7E74BAAB" w:rsidR="00A93680" w:rsidRPr="00061F78" w:rsidRDefault="00A93680" w:rsidP="004D7CE3">
            <w:pPr>
              <w:pStyle w:val="Tableheading"/>
              <w:jc w:val="center"/>
              <w:rPr>
                <w:rFonts w:eastAsia="MS Mincho"/>
              </w:rPr>
            </w:pPr>
            <w:r>
              <w:rPr>
                <w:rFonts w:eastAsia="MS Mincho"/>
              </w:rPr>
              <w:t>Varenicline plus bupropion</w:t>
            </w:r>
          </w:p>
        </w:tc>
        <w:tc>
          <w:tcPr>
            <w:tcW w:w="1015" w:type="pct"/>
            <w:shd w:val="clear" w:color="auto" w:fill="BFBFBF" w:themeFill="background1" w:themeFillShade="BF"/>
            <w:tcMar>
              <w:left w:w="28" w:type="dxa"/>
              <w:right w:w="28" w:type="dxa"/>
            </w:tcMar>
            <w:vAlign w:val="center"/>
          </w:tcPr>
          <w:p w14:paraId="41F984C6" w14:textId="4FE16654" w:rsidR="00A93680" w:rsidRPr="00061F78" w:rsidRDefault="00A93680" w:rsidP="004D7CE3">
            <w:pPr>
              <w:pStyle w:val="Tableheading"/>
              <w:jc w:val="center"/>
              <w:rPr>
                <w:rFonts w:eastAsia="MS Mincho"/>
              </w:rPr>
            </w:pPr>
            <w:r>
              <w:rPr>
                <w:rFonts w:eastAsia="MS Mincho"/>
              </w:rPr>
              <w:t>Varenicline alone</w:t>
            </w:r>
          </w:p>
        </w:tc>
        <w:tc>
          <w:tcPr>
            <w:tcW w:w="1015" w:type="pct"/>
            <w:shd w:val="clear" w:color="auto" w:fill="BFBFBF" w:themeFill="background1" w:themeFillShade="BF"/>
            <w:tcMar>
              <w:left w:w="28" w:type="dxa"/>
              <w:right w:w="28" w:type="dxa"/>
            </w:tcMar>
            <w:vAlign w:val="center"/>
          </w:tcPr>
          <w:p w14:paraId="1C676730" w14:textId="77777777" w:rsidR="00A93680" w:rsidRPr="00704CE8" w:rsidRDefault="00A93680" w:rsidP="004D7CE3">
            <w:pPr>
              <w:pStyle w:val="Tableheading"/>
              <w:jc w:val="center"/>
              <w:rPr>
                <w:rFonts w:eastAsia="MS Mincho"/>
                <w:vertAlign w:val="superscript"/>
              </w:rPr>
            </w:pPr>
            <w:r>
              <w:rPr>
                <w:rFonts w:eastAsia="MS Mincho"/>
              </w:rPr>
              <w:t>RR (95% CI)</w:t>
            </w:r>
            <w:r>
              <w:rPr>
                <w:rFonts w:eastAsia="MS Mincho"/>
                <w:vertAlign w:val="superscript"/>
              </w:rPr>
              <w:t>2</w:t>
            </w:r>
          </w:p>
        </w:tc>
      </w:tr>
      <w:tr w:rsidR="00A93680" w:rsidRPr="00061F78" w14:paraId="5A97DA5E" w14:textId="77777777" w:rsidTr="00A8247E">
        <w:trPr>
          <w:cantSplit/>
          <w:trHeight w:val="99"/>
        </w:trPr>
        <w:tc>
          <w:tcPr>
            <w:tcW w:w="859" w:type="pct"/>
            <w:shd w:val="clear" w:color="auto" w:fill="auto"/>
            <w:tcMar>
              <w:left w:w="28" w:type="dxa"/>
              <w:right w:w="28" w:type="dxa"/>
            </w:tcMar>
          </w:tcPr>
          <w:p w14:paraId="4C698B96" w14:textId="544C2229" w:rsidR="00A93680" w:rsidRDefault="00A93680" w:rsidP="004D7CE3">
            <w:pPr>
              <w:pStyle w:val="Tablewriting"/>
              <w:rPr>
                <w:rFonts w:eastAsia="MS Mincho"/>
              </w:rPr>
            </w:pPr>
            <w:r>
              <w:rPr>
                <w:rFonts w:eastAsia="MS Mincho"/>
              </w:rPr>
              <w:t>Howes</w:t>
            </w:r>
          </w:p>
          <w:p w14:paraId="081CD62F" w14:textId="7F2C746E" w:rsidR="00A93680" w:rsidRPr="00251B64" w:rsidRDefault="00A93680" w:rsidP="004D7CE3">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97" w:type="pct"/>
            <w:shd w:val="clear" w:color="auto" w:fill="auto"/>
            <w:vAlign w:val="center"/>
          </w:tcPr>
          <w:p w14:paraId="555170A3" w14:textId="77777777" w:rsidR="00A93680" w:rsidRDefault="00A93680" w:rsidP="004D7CE3">
            <w:pPr>
              <w:pStyle w:val="Tablewriting"/>
              <w:jc w:val="center"/>
              <w:rPr>
                <w:rFonts w:eastAsia="MS Mincho"/>
              </w:rPr>
            </w:pPr>
            <w:r>
              <w:rPr>
                <w:rFonts w:eastAsia="MS Mincho"/>
              </w:rPr>
              <w:t>Cochrane Review</w:t>
            </w:r>
          </w:p>
          <w:p w14:paraId="305AF375" w14:textId="6306BB06" w:rsidR="00A93680" w:rsidRPr="00251B64" w:rsidRDefault="00A93680" w:rsidP="004D7CE3">
            <w:pPr>
              <w:pStyle w:val="Tablewriting"/>
              <w:jc w:val="center"/>
              <w:rPr>
                <w:rFonts w:eastAsia="MS Mincho"/>
              </w:rPr>
            </w:pPr>
            <w:r>
              <w:rPr>
                <w:rFonts w:eastAsia="MS Mincho"/>
              </w:rPr>
              <w:t xml:space="preserve">(3 </w:t>
            </w:r>
            <w:r w:rsidRPr="00251B64">
              <w:rPr>
                <w:rFonts w:eastAsia="MS Mincho"/>
              </w:rPr>
              <w:t>RCT</w:t>
            </w:r>
            <w:r>
              <w:rPr>
                <w:rFonts w:eastAsia="MS Mincho"/>
              </w:rPr>
              <w:t>s)</w:t>
            </w:r>
          </w:p>
        </w:tc>
        <w:tc>
          <w:tcPr>
            <w:tcW w:w="1014" w:type="pct"/>
            <w:shd w:val="clear" w:color="auto" w:fill="auto"/>
            <w:tcMar>
              <w:left w:w="28" w:type="dxa"/>
              <w:right w:w="28" w:type="dxa"/>
            </w:tcMar>
            <w:vAlign w:val="center"/>
          </w:tcPr>
          <w:p w14:paraId="2C3AABF8" w14:textId="1E5974D3" w:rsidR="00A93680" w:rsidRPr="00251B64" w:rsidRDefault="00A93680" w:rsidP="004D7CE3">
            <w:pPr>
              <w:pStyle w:val="Tablewriting"/>
              <w:jc w:val="center"/>
              <w:rPr>
                <w:rFonts w:eastAsia="MS Mincho"/>
                <w:vertAlign w:val="superscript"/>
              </w:rPr>
            </w:pPr>
            <w:r>
              <w:rPr>
                <w:rFonts w:eastAsia="MS Mincho"/>
              </w:rPr>
              <w:t>136</w:t>
            </w:r>
            <w:r w:rsidRPr="00251B64">
              <w:rPr>
                <w:rFonts w:eastAsia="MS Mincho"/>
              </w:rPr>
              <w:t>/</w:t>
            </w:r>
            <w:r>
              <w:rPr>
                <w:rFonts w:eastAsia="MS Mincho"/>
              </w:rPr>
              <w:t>525</w:t>
            </w:r>
          </w:p>
          <w:p w14:paraId="61E4021D" w14:textId="3F630116" w:rsidR="00A93680" w:rsidRPr="00251B64" w:rsidRDefault="00A93680" w:rsidP="004D7CE3">
            <w:pPr>
              <w:pStyle w:val="Tablewriting"/>
              <w:jc w:val="center"/>
              <w:rPr>
                <w:rFonts w:eastAsia="MS Mincho"/>
              </w:rPr>
            </w:pPr>
            <w:r w:rsidRPr="00251B64">
              <w:rPr>
                <w:rFonts w:eastAsia="MS Mincho"/>
              </w:rPr>
              <w:t>(</w:t>
            </w:r>
            <w:r w:rsidR="003771BB">
              <w:rPr>
                <w:rFonts w:eastAsia="MS Mincho"/>
              </w:rPr>
              <w:t>25.9</w:t>
            </w:r>
            <w:r w:rsidRPr="00251B64">
              <w:rPr>
                <w:rFonts w:eastAsia="MS Mincho"/>
              </w:rPr>
              <w:t>%)</w:t>
            </w:r>
          </w:p>
        </w:tc>
        <w:tc>
          <w:tcPr>
            <w:tcW w:w="1015" w:type="pct"/>
            <w:shd w:val="clear" w:color="auto" w:fill="auto"/>
            <w:tcMar>
              <w:left w:w="28" w:type="dxa"/>
              <w:right w:w="28" w:type="dxa"/>
            </w:tcMar>
            <w:vAlign w:val="center"/>
          </w:tcPr>
          <w:p w14:paraId="0331F525" w14:textId="7CB774C3" w:rsidR="00A93680" w:rsidRPr="006F3FC8" w:rsidRDefault="00A93680" w:rsidP="004D7CE3">
            <w:pPr>
              <w:pStyle w:val="Tablewriting"/>
              <w:jc w:val="center"/>
              <w:rPr>
                <w:rFonts w:eastAsia="MS Mincho"/>
                <w:vertAlign w:val="superscript"/>
              </w:rPr>
            </w:pPr>
            <w:r>
              <w:rPr>
                <w:rFonts w:eastAsia="MS Mincho"/>
              </w:rPr>
              <w:t>114</w:t>
            </w:r>
            <w:r w:rsidRPr="00251B64">
              <w:rPr>
                <w:rFonts w:eastAsia="MS Mincho"/>
              </w:rPr>
              <w:t>/</w:t>
            </w:r>
            <w:r>
              <w:rPr>
                <w:rFonts w:eastAsia="MS Mincho"/>
              </w:rPr>
              <w:t>532</w:t>
            </w:r>
          </w:p>
          <w:p w14:paraId="2E96416B" w14:textId="680772A5" w:rsidR="00A93680" w:rsidRPr="00251B64" w:rsidRDefault="00A93680" w:rsidP="004D7CE3">
            <w:pPr>
              <w:pStyle w:val="Tablewriting"/>
              <w:jc w:val="center"/>
              <w:rPr>
                <w:rFonts w:eastAsia="MS Mincho"/>
              </w:rPr>
            </w:pPr>
            <w:r w:rsidRPr="00251B64">
              <w:rPr>
                <w:rFonts w:eastAsia="MS Mincho"/>
              </w:rPr>
              <w:t>(</w:t>
            </w:r>
            <w:r w:rsidR="003771BB">
              <w:rPr>
                <w:rFonts w:eastAsia="MS Mincho"/>
              </w:rPr>
              <w:t>21.4</w:t>
            </w:r>
            <w:r w:rsidRPr="00251B64">
              <w:rPr>
                <w:rFonts w:eastAsia="MS Mincho"/>
              </w:rPr>
              <w:t>%)</w:t>
            </w:r>
          </w:p>
        </w:tc>
        <w:tc>
          <w:tcPr>
            <w:tcW w:w="1015" w:type="pct"/>
            <w:shd w:val="clear" w:color="auto" w:fill="auto"/>
            <w:tcMar>
              <w:left w:w="28" w:type="dxa"/>
              <w:right w:w="28" w:type="dxa"/>
            </w:tcMar>
            <w:vAlign w:val="center"/>
          </w:tcPr>
          <w:p w14:paraId="55586975" w14:textId="068B072B" w:rsidR="00A93680" w:rsidRPr="00A93680" w:rsidRDefault="00A93680" w:rsidP="004D7CE3">
            <w:pPr>
              <w:pStyle w:val="Tablewriting"/>
              <w:jc w:val="center"/>
              <w:rPr>
                <w:rFonts w:eastAsia="MS Mincho"/>
              </w:rPr>
            </w:pPr>
            <w:r w:rsidRPr="00A93680">
              <w:rPr>
                <w:rFonts w:eastAsia="MS Mincho"/>
              </w:rPr>
              <w:t>1.21</w:t>
            </w:r>
          </w:p>
          <w:p w14:paraId="3BD29834" w14:textId="61AC29B1" w:rsidR="00A93680" w:rsidRPr="00D56406" w:rsidRDefault="00A93680" w:rsidP="004D7CE3">
            <w:pPr>
              <w:pStyle w:val="Tablewriting"/>
              <w:jc w:val="center"/>
              <w:rPr>
                <w:rFonts w:eastAsia="MS Mincho"/>
              </w:rPr>
            </w:pPr>
            <w:r w:rsidRPr="00A93680">
              <w:rPr>
                <w:rFonts w:eastAsia="MS Mincho"/>
              </w:rPr>
              <w:t>(0.95, 1.55)</w:t>
            </w:r>
          </w:p>
        </w:tc>
      </w:tr>
    </w:tbl>
    <w:p w14:paraId="772FBE90" w14:textId="77777777" w:rsidR="00383A2A" w:rsidRDefault="00383A2A" w:rsidP="004D7CE3">
      <w:pPr>
        <w:pStyle w:val="TableFooter"/>
      </w:pPr>
      <w:r>
        <w:t>Source: Howes et al. (2020)</w:t>
      </w:r>
    </w:p>
    <w:p w14:paraId="7DAE9198" w14:textId="77777777" w:rsidR="00383A2A" w:rsidRDefault="00383A2A" w:rsidP="004D7CE3">
      <w:pPr>
        <w:pStyle w:val="TableFooter"/>
        <w:rPr>
          <w:i/>
        </w:rPr>
      </w:pPr>
      <w:r>
        <w:t>Abbreviations: CI = confidence interval; RCT = randomised controlled trial; RR = risk ratio</w:t>
      </w:r>
      <w:r w:rsidRPr="00061F78">
        <w:t xml:space="preserve"> </w:t>
      </w:r>
    </w:p>
    <w:p w14:paraId="35A2F7EC" w14:textId="52BF8C97" w:rsidR="00383A2A" w:rsidRDefault="00383A2A" w:rsidP="004D7CE3">
      <w:pPr>
        <w:pStyle w:val="TableFooter"/>
      </w:pPr>
      <w:r w:rsidRPr="00D468CF">
        <w:t>Note</w:t>
      </w:r>
      <w:r>
        <w:t>s</w:t>
      </w:r>
      <w:r w:rsidRPr="00D468CF">
        <w:t>: Bold indicates statistically significant difference.</w:t>
      </w:r>
      <w:r>
        <w:br/>
        <w:t>1 Where cessation was assessed at multiple intervals, the longest follow-up data were used. Where multiple definitions of abstinence were assessed, the strictest of these definitions was used (</w:t>
      </w:r>
      <w:r w:rsidR="00826C95">
        <w:t>e.g.,</w:t>
      </w:r>
      <w:r>
        <w:t xml:space="preserve"> continuous/prolonged abstinence over point prevalence abstinence). See </w:t>
      </w:r>
      <w:r w:rsidRPr="006E1B1D">
        <w:t>Appendix</w:t>
      </w:r>
      <w:r w:rsidR="00BB1733">
        <w:t xml:space="preserve"> Table 158 </w:t>
      </w:r>
      <w:r>
        <w:t xml:space="preserve">for the definition used in each study. </w:t>
      </w:r>
    </w:p>
    <w:p w14:paraId="480DDD72" w14:textId="074DA294" w:rsidR="00383A2A" w:rsidRDefault="00383A2A" w:rsidP="004D7CE3">
      <w:pPr>
        <w:pStyle w:val="TableFooter"/>
      </w:pPr>
      <w:r w:rsidRPr="006E1B1D">
        <w:t xml:space="preserve">2 Calculated </w:t>
      </w:r>
      <w:r w:rsidR="00D555E8" w:rsidRPr="006E1B1D">
        <w:t xml:space="preserve">by Cochrane Review authors </w:t>
      </w:r>
      <w:r w:rsidRPr="006E1B1D">
        <w:t>using a fixed-effect model</w:t>
      </w:r>
      <w:r w:rsidR="00C410DE">
        <w:t>.</w:t>
      </w:r>
    </w:p>
    <w:p w14:paraId="7CC6F5BF" w14:textId="2559A8FA" w:rsidR="00A93680" w:rsidRDefault="003771BB" w:rsidP="00DC14A6">
      <w:pPr>
        <w:spacing w:after="120"/>
        <w:jc w:val="both"/>
      </w:pPr>
      <w:bookmarkStart w:id="134" w:name="_Hlk58425076"/>
      <w:r w:rsidRPr="003771BB">
        <w:t xml:space="preserve">The results of the individual studies included in Howes et al. (2020) are presented using a forest plot in </w:t>
      </w:r>
      <w:bookmarkEnd w:id="134"/>
      <w:r w:rsidR="00463F05">
        <w:fldChar w:fldCharType="begin" w:fldLock="1"/>
      </w:r>
      <w:r w:rsidR="00463F05">
        <w:instrText xml:space="preserve"> REF _Ref58425054 \h </w:instrText>
      </w:r>
      <w:r w:rsidR="00463F05">
        <w:fldChar w:fldCharType="separate"/>
      </w:r>
      <w:r w:rsidR="00EC5CC7">
        <w:t xml:space="preserve">Figure </w:t>
      </w:r>
      <w:r w:rsidR="00EC5CC7">
        <w:rPr>
          <w:noProof/>
        </w:rPr>
        <w:t>21</w:t>
      </w:r>
      <w:r w:rsidR="00463F05">
        <w:fldChar w:fldCharType="end"/>
      </w:r>
      <w:r w:rsidRPr="003771BB">
        <w:t xml:space="preserve">. </w:t>
      </w:r>
    </w:p>
    <w:p w14:paraId="7B3CA8D2" w14:textId="77777777" w:rsidR="002D4C8F" w:rsidRDefault="002D4C8F" w:rsidP="002D4C8F">
      <w:pPr>
        <w:keepNext/>
      </w:pPr>
      <w:r>
        <w:rPr>
          <w:noProof/>
        </w:rPr>
        <w:lastRenderedPageBreak/>
        <w:drawing>
          <wp:inline distT="0" distB="0" distL="0" distR="0" wp14:anchorId="7492CE9A" wp14:editId="4F768B1B">
            <wp:extent cx="5731510" cy="1562100"/>
            <wp:effectExtent l="0" t="0" r="2540" b="0"/>
            <wp:docPr id="44" name="Picture 44" descr="P52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5285#yIS1"/>
                    <pic:cNvPicPr/>
                  </pic:nvPicPr>
                  <pic:blipFill>
                    <a:blip r:embed="rId40">
                      <a:extLst>
                        <a:ext uri="{28A0092B-C50C-407E-A947-70E740481C1C}">
                          <a14:useLocalDpi xmlns:a14="http://schemas.microsoft.com/office/drawing/2010/main" val="0"/>
                        </a:ext>
                      </a:extLst>
                    </a:blip>
                    <a:stretch>
                      <a:fillRect/>
                    </a:stretch>
                  </pic:blipFill>
                  <pic:spPr>
                    <a:xfrm>
                      <a:off x="0" y="0"/>
                      <a:ext cx="5731510" cy="1562100"/>
                    </a:xfrm>
                    <a:prstGeom prst="rect">
                      <a:avLst/>
                    </a:prstGeom>
                  </pic:spPr>
                </pic:pic>
              </a:graphicData>
            </a:graphic>
          </wp:inline>
        </w:drawing>
      </w:r>
    </w:p>
    <w:p w14:paraId="23907303" w14:textId="196FA3E7" w:rsidR="003771BB" w:rsidRDefault="002D4C8F" w:rsidP="00DC14A6">
      <w:pPr>
        <w:pStyle w:val="Caption"/>
        <w:spacing w:before="120" w:after="60"/>
        <w:jc w:val="both"/>
      </w:pPr>
      <w:bookmarkStart w:id="135" w:name="_Ref58425054"/>
      <w:r>
        <w:t xml:space="preserve">Figure </w:t>
      </w:r>
      <w:r w:rsidR="00BF3F75">
        <w:fldChar w:fldCharType="begin"/>
      </w:r>
      <w:r w:rsidR="00BF3F75">
        <w:instrText xml:space="preserve"> SEQ Figure \* ARABIC </w:instrText>
      </w:r>
      <w:r w:rsidR="00BF3F75">
        <w:fldChar w:fldCharType="separate"/>
      </w:r>
      <w:r w:rsidR="00EC5CC7">
        <w:rPr>
          <w:noProof/>
        </w:rPr>
        <w:t>21</w:t>
      </w:r>
      <w:r w:rsidR="00BF3F75">
        <w:rPr>
          <w:noProof/>
        </w:rPr>
        <w:fldChar w:fldCharType="end"/>
      </w:r>
      <w:bookmarkEnd w:id="135"/>
      <w:r>
        <w:t xml:space="preserve">: </w:t>
      </w:r>
      <w:r w:rsidRPr="00970EE4">
        <w:t>Results of smoking cessation f</w:t>
      </w:r>
      <w:r w:rsidR="00D654DE">
        <w:t>or</w:t>
      </w:r>
      <w:r w:rsidRPr="00970EE4">
        <w:t xml:space="preserve"> at least six months follow-up in Howes et al. (2020),</w:t>
      </w:r>
      <w:r>
        <w:t xml:space="preserve"> varenicline plus</w:t>
      </w:r>
      <w:r w:rsidRPr="00970EE4">
        <w:t xml:space="preserve"> bupropion versus </w:t>
      </w:r>
      <w:r>
        <w:t>varenicline alone</w:t>
      </w:r>
    </w:p>
    <w:p w14:paraId="40F4D6BF" w14:textId="77777777" w:rsidR="002D4C8F" w:rsidRDefault="002D4C8F" w:rsidP="002D4C8F">
      <w:pPr>
        <w:pStyle w:val="FigureFooter"/>
      </w:pPr>
      <w:r>
        <w:t>Source: Howes et al. (2020)</w:t>
      </w:r>
    </w:p>
    <w:p w14:paraId="0BDF26BF" w14:textId="77777777" w:rsidR="002D4C8F" w:rsidRDefault="002D4C8F" w:rsidP="00DC14A6">
      <w:pPr>
        <w:pStyle w:val="FigureFooter"/>
        <w:spacing w:after="120"/>
        <w:contextualSpacing w:val="0"/>
        <w:jc w:val="both"/>
      </w:pPr>
      <w:r>
        <w:t>Abbreviations: CI = confidence interval</w:t>
      </w:r>
    </w:p>
    <w:p w14:paraId="55293254" w14:textId="77777777" w:rsidR="006615F0" w:rsidRPr="006615F0" w:rsidRDefault="006615F0" w:rsidP="00DC14A6">
      <w:pPr>
        <w:spacing w:before="120" w:after="120"/>
        <w:jc w:val="both"/>
        <w:rPr>
          <w:u w:val="single"/>
        </w:rPr>
      </w:pPr>
      <w:r w:rsidRPr="006615F0">
        <w:rPr>
          <w:u w:val="single"/>
        </w:rPr>
        <w:t>Safety</w:t>
      </w:r>
    </w:p>
    <w:p w14:paraId="510762D4" w14:textId="4A1AF5C3" w:rsidR="002D4C8F" w:rsidRDefault="006615F0" w:rsidP="00DC14A6">
      <w:pPr>
        <w:spacing w:after="120"/>
        <w:jc w:val="both"/>
      </w:pPr>
      <w:r>
        <w:t xml:space="preserve">A summary of key adverse events </w:t>
      </w:r>
      <w:r w:rsidR="00D44180">
        <w:t xml:space="preserve">comparing varenicline plus bupropion with varenicline alone </w:t>
      </w:r>
      <w:r>
        <w:t xml:space="preserve">is presented in </w:t>
      </w:r>
      <w:r w:rsidR="00E847A4">
        <w:fldChar w:fldCharType="begin" w:fldLock="1"/>
      </w:r>
      <w:r w:rsidR="00E847A4">
        <w:instrText xml:space="preserve"> REF _Ref55486802 \h </w:instrText>
      </w:r>
      <w:r w:rsidR="00E847A4">
        <w:fldChar w:fldCharType="separate"/>
      </w:r>
      <w:r w:rsidR="00EC5CC7">
        <w:t xml:space="preserve">Table </w:t>
      </w:r>
      <w:r w:rsidR="00EC5CC7">
        <w:rPr>
          <w:noProof/>
        </w:rPr>
        <w:t>73</w:t>
      </w:r>
      <w:r w:rsidR="00E847A4">
        <w:fldChar w:fldCharType="end"/>
      </w:r>
      <w:r>
        <w:t xml:space="preserve">. Based on the meta-analysis conducted by Howes et al. (2020), a significantly higher proportion of patients in the </w:t>
      </w:r>
      <w:r w:rsidR="00E847A4">
        <w:t xml:space="preserve">varenicline plus </w:t>
      </w:r>
      <w:r>
        <w:t>bupropion arm experienced any adverse events</w:t>
      </w:r>
      <w:r w:rsidR="00E847A4">
        <w:t xml:space="preserve"> and</w:t>
      </w:r>
      <w:r>
        <w:t xml:space="preserve"> psychiatric adverse events compared with patients in the </w:t>
      </w:r>
      <w:r w:rsidR="00E847A4">
        <w:t>varenicline alone</w:t>
      </w:r>
      <w:r>
        <w:t xml:space="preserve"> arm. There were no statistically significant differences between the two treatment arms in terms of serious adverse events </w:t>
      </w:r>
      <w:r w:rsidR="00E847A4">
        <w:t xml:space="preserve">and discontinuation due to adverse events. It was noted that </w:t>
      </w:r>
      <w:r>
        <w:t xml:space="preserve">the proportion of patients experiencing serious adverse events was numerically higher in the </w:t>
      </w:r>
      <w:r w:rsidR="00E847A4">
        <w:t xml:space="preserve">varenicline plus </w:t>
      </w:r>
      <w:r>
        <w:t>bupropion arm</w:t>
      </w:r>
      <w:r w:rsidR="00E847A4">
        <w:t>. Conversely, the proportion of patients who discontinued treatment due to adverse events was numerically higher in the varenicline alone arm.</w:t>
      </w:r>
    </w:p>
    <w:p w14:paraId="6A75733C" w14:textId="2C0B97B6" w:rsidR="002C230D" w:rsidRDefault="002C230D" w:rsidP="00DC14A6">
      <w:pPr>
        <w:pStyle w:val="Caption"/>
        <w:keepNext/>
        <w:spacing w:before="0" w:after="120"/>
        <w:jc w:val="both"/>
      </w:pPr>
      <w:bookmarkStart w:id="136" w:name="_Ref55486802"/>
      <w:r>
        <w:t xml:space="preserve">Table </w:t>
      </w:r>
      <w:r w:rsidR="00BF3F75">
        <w:fldChar w:fldCharType="begin"/>
      </w:r>
      <w:r w:rsidR="00BF3F75">
        <w:instrText xml:space="preserve"> SEQ Table \* ARABIC </w:instrText>
      </w:r>
      <w:r w:rsidR="00BF3F75">
        <w:fldChar w:fldCharType="separate"/>
      </w:r>
      <w:r w:rsidR="00EC5CC7">
        <w:rPr>
          <w:noProof/>
        </w:rPr>
        <w:t>73</w:t>
      </w:r>
      <w:r w:rsidR="00BF3F75">
        <w:rPr>
          <w:noProof/>
        </w:rPr>
        <w:fldChar w:fldCharType="end"/>
      </w:r>
      <w:bookmarkEnd w:id="136"/>
      <w:r>
        <w:t xml:space="preserve">: </w:t>
      </w:r>
      <w:r w:rsidRPr="006E2688">
        <w:t xml:space="preserve">Summary of key adverse events, </w:t>
      </w:r>
      <w:r>
        <w:t xml:space="preserve">varenicline plus </w:t>
      </w:r>
      <w:r w:rsidRPr="006E2688">
        <w:t xml:space="preserve">bupropion versus </w:t>
      </w:r>
      <w:r>
        <w:t>varenicline alone</w:t>
      </w:r>
    </w:p>
    <w:tbl>
      <w:tblPr>
        <w:tblStyle w:val="TableGrid"/>
        <w:tblW w:w="5000" w:type="pct"/>
        <w:tblLayout w:type="fixed"/>
        <w:tblLook w:val="04A0" w:firstRow="1" w:lastRow="0" w:firstColumn="1" w:lastColumn="0" w:noHBand="0" w:noVBand="1"/>
        <w:tblCaption w:val="Efficacy results of adalimumab trials (PASI 75 and DLQI)"/>
      </w:tblPr>
      <w:tblGrid>
        <w:gridCol w:w="1003"/>
        <w:gridCol w:w="1688"/>
        <w:gridCol w:w="2185"/>
        <w:gridCol w:w="2101"/>
        <w:gridCol w:w="2039"/>
      </w:tblGrid>
      <w:tr w:rsidR="0008509E" w:rsidRPr="00061F78" w14:paraId="367020FE" w14:textId="77777777" w:rsidTr="00A8247E">
        <w:trPr>
          <w:cantSplit/>
          <w:trHeight w:val="299"/>
          <w:tblHeader/>
        </w:trPr>
        <w:tc>
          <w:tcPr>
            <w:tcW w:w="556" w:type="pct"/>
            <w:shd w:val="clear" w:color="auto" w:fill="BFBFBF" w:themeFill="background1" w:themeFillShade="BF"/>
            <w:tcMar>
              <w:left w:w="28" w:type="dxa"/>
              <w:right w:w="28" w:type="dxa"/>
            </w:tcMar>
            <w:vAlign w:val="center"/>
          </w:tcPr>
          <w:p w14:paraId="6DDEF180" w14:textId="77777777" w:rsidR="002C230D" w:rsidRPr="00061F78" w:rsidRDefault="002C230D" w:rsidP="004D7CE3">
            <w:pPr>
              <w:pStyle w:val="Tableheading"/>
              <w:rPr>
                <w:rFonts w:eastAsia="MS Mincho"/>
              </w:rPr>
            </w:pPr>
            <w:r>
              <w:rPr>
                <w:rFonts w:eastAsia="MS Mincho"/>
              </w:rPr>
              <w:t>Study</w:t>
            </w:r>
          </w:p>
        </w:tc>
        <w:tc>
          <w:tcPr>
            <w:tcW w:w="936" w:type="pct"/>
            <w:shd w:val="clear" w:color="auto" w:fill="BFBFBF" w:themeFill="background1" w:themeFillShade="BF"/>
            <w:vAlign w:val="center"/>
          </w:tcPr>
          <w:p w14:paraId="62DF112D" w14:textId="16659D50" w:rsidR="002C230D" w:rsidRPr="002D7608" w:rsidRDefault="002C230D" w:rsidP="004D7CE3">
            <w:pPr>
              <w:pStyle w:val="Tableheading"/>
              <w:jc w:val="center"/>
              <w:rPr>
                <w:rFonts w:eastAsia="MS Mincho"/>
                <w:vertAlign w:val="superscript"/>
              </w:rPr>
            </w:pPr>
            <w:r>
              <w:rPr>
                <w:rFonts w:eastAsia="MS Mincho"/>
              </w:rPr>
              <w:t>Study type</w:t>
            </w:r>
          </w:p>
        </w:tc>
        <w:tc>
          <w:tcPr>
            <w:tcW w:w="1212" w:type="pct"/>
            <w:shd w:val="clear" w:color="auto" w:fill="BFBFBF" w:themeFill="background1" w:themeFillShade="BF"/>
            <w:tcMar>
              <w:left w:w="28" w:type="dxa"/>
              <w:right w:w="28" w:type="dxa"/>
            </w:tcMar>
            <w:vAlign w:val="center"/>
          </w:tcPr>
          <w:p w14:paraId="22A2C56A" w14:textId="1EFE9CCD" w:rsidR="002C230D" w:rsidRPr="00061F78" w:rsidRDefault="002C230D" w:rsidP="004D7CE3">
            <w:pPr>
              <w:pStyle w:val="Tableheading"/>
              <w:jc w:val="center"/>
              <w:rPr>
                <w:rFonts w:eastAsia="MS Mincho"/>
              </w:rPr>
            </w:pPr>
            <w:r>
              <w:rPr>
                <w:rFonts w:eastAsia="MS Mincho"/>
              </w:rPr>
              <w:t>Varenicline plus bupropion</w:t>
            </w:r>
          </w:p>
        </w:tc>
        <w:tc>
          <w:tcPr>
            <w:tcW w:w="1165" w:type="pct"/>
            <w:shd w:val="clear" w:color="auto" w:fill="BFBFBF" w:themeFill="background1" w:themeFillShade="BF"/>
            <w:tcMar>
              <w:left w:w="28" w:type="dxa"/>
              <w:right w:w="28" w:type="dxa"/>
            </w:tcMar>
            <w:vAlign w:val="center"/>
          </w:tcPr>
          <w:p w14:paraId="597C33B8" w14:textId="1E639D29" w:rsidR="002C230D" w:rsidRPr="00061F78" w:rsidRDefault="002C230D" w:rsidP="004D7CE3">
            <w:pPr>
              <w:pStyle w:val="Tableheading"/>
              <w:jc w:val="center"/>
              <w:rPr>
                <w:rFonts w:eastAsia="MS Mincho"/>
              </w:rPr>
            </w:pPr>
            <w:r>
              <w:rPr>
                <w:rFonts w:eastAsia="MS Mincho"/>
              </w:rPr>
              <w:t>Varenicline alone</w:t>
            </w:r>
          </w:p>
        </w:tc>
        <w:tc>
          <w:tcPr>
            <w:tcW w:w="1132" w:type="pct"/>
            <w:shd w:val="clear" w:color="auto" w:fill="BFBFBF" w:themeFill="background1" w:themeFillShade="BF"/>
            <w:tcMar>
              <w:left w:w="28" w:type="dxa"/>
              <w:right w:w="28" w:type="dxa"/>
            </w:tcMar>
            <w:vAlign w:val="center"/>
          </w:tcPr>
          <w:p w14:paraId="0CD90D3D" w14:textId="771200C4" w:rsidR="002C230D" w:rsidRPr="00D468CF" w:rsidRDefault="002C230D" w:rsidP="004D7CE3">
            <w:pPr>
              <w:pStyle w:val="Tableheading"/>
              <w:jc w:val="center"/>
              <w:rPr>
                <w:rFonts w:eastAsia="MS Mincho"/>
                <w:vertAlign w:val="superscript"/>
              </w:rPr>
            </w:pPr>
            <w:r>
              <w:rPr>
                <w:rFonts w:eastAsia="MS Mincho"/>
              </w:rPr>
              <w:t>RR (95% CI)</w:t>
            </w:r>
            <w:r w:rsidR="008D3E35">
              <w:rPr>
                <w:rFonts w:eastAsia="MS Mincho"/>
                <w:vertAlign w:val="superscript"/>
              </w:rPr>
              <w:t>1</w:t>
            </w:r>
          </w:p>
        </w:tc>
      </w:tr>
      <w:tr w:rsidR="006615F0" w:rsidRPr="00061F78" w14:paraId="71234A23" w14:textId="77777777" w:rsidTr="004B53F8">
        <w:trPr>
          <w:cantSplit/>
          <w:trHeight w:val="99"/>
        </w:trPr>
        <w:tc>
          <w:tcPr>
            <w:tcW w:w="5000" w:type="pct"/>
            <w:gridSpan w:val="5"/>
            <w:shd w:val="clear" w:color="auto" w:fill="auto"/>
            <w:tcMar>
              <w:left w:w="28" w:type="dxa"/>
              <w:right w:w="28" w:type="dxa"/>
            </w:tcMar>
            <w:vAlign w:val="center"/>
          </w:tcPr>
          <w:p w14:paraId="1CEB71B5" w14:textId="77777777" w:rsidR="00356A70" w:rsidRPr="004B53F8" w:rsidRDefault="00356A70" w:rsidP="004D7CE3">
            <w:pPr>
              <w:pStyle w:val="Tablewriting"/>
              <w:rPr>
                <w:rFonts w:eastAsia="MS Mincho"/>
                <w:b/>
                <w:bCs/>
              </w:rPr>
            </w:pPr>
            <w:r w:rsidRPr="004B53F8">
              <w:rPr>
                <w:rFonts w:eastAsia="MS Mincho"/>
                <w:b/>
                <w:bCs/>
              </w:rPr>
              <w:t>Adverse events</w:t>
            </w:r>
          </w:p>
        </w:tc>
      </w:tr>
      <w:tr w:rsidR="002C230D" w:rsidRPr="00061F78" w14:paraId="3519EF4B" w14:textId="77777777" w:rsidTr="00A8247E">
        <w:trPr>
          <w:cantSplit/>
          <w:trHeight w:val="149"/>
        </w:trPr>
        <w:tc>
          <w:tcPr>
            <w:tcW w:w="556" w:type="pct"/>
            <w:tcMar>
              <w:left w:w="28" w:type="dxa"/>
              <w:right w:w="28" w:type="dxa"/>
            </w:tcMar>
          </w:tcPr>
          <w:p w14:paraId="71E004E4" w14:textId="77777777" w:rsidR="002C230D" w:rsidRDefault="002C230D" w:rsidP="004D7CE3">
            <w:pPr>
              <w:pStyle w:val="Tablewriting"/>
              <w:rPr>
                <w:rFonts w:eastAsia="MS Mincho"/>
              </w:rPr>
            </w:pPr>
            <w:r>
              <w:rPr>
                <w:rFonts w:eastAsia="MS Mincho"/>
              </w:rPr>
              <w:t>Howes</w:t>
            </w:r>
            <w:r w:rsidRPr="00061F78">
              <w:rPr>
                <w:rFonts w:eastAsia="MS Mincho"/>
              </w:rPr>
              <w:t xml:space="preserve"> </w:t>
            </w:r>
          </w:p>
          <w:p w14:paraId="3A28997D" w14:textId="77777777" w:rsidR="002C230D" w:rsidRPr="00D468CF" w:rsidRDefault="002C230D" w:rsidP="004D7CE3">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p>
        </w:tc>
        <w:tc>
          <w:tcPr>
            <w:tcW w:w="936" w:type="pct"/>
            <w:vAlign w:val="center"/>
          </w:tcPr>
          <w:p w14:paraId="6BC2961D" w14:textId="72BDD4BE" w:rsidR="002C230D" w:rsidRPr="00061F78" w:rsidRDefault="002C230D" w:rsidP="004D7CE3">
            <w:pPr>
              <w:pStyle w:val="Tablewriting"/>
              <w:jc w:val="center"/>
              <w:rPr>
                <w:rFonts w:eastAsia="MS Mincho"/>
              </w:rPr>
            </w:pPr>
            <w:r>
              <w:rPr>
                <w:rFonts w:eastAsia="MS Mincho"/>
              </w:rPr>
              <w:t>Cochrane Review (4 RCTs)</w:t>
            </w:r>
          </w:p>
        </w:tc>
        <w:tc>
          <w:tcPr>
            <w:tcW w:w="1212" w:type="pct"/>
            <w:tcMar>
              <w:left w:w="28" w:type="dxa"/>
              <w:right w:w="28" w:type="dxa"/>
            </w:tcMar>
            <w:vAlign w:val="center"/>
          </w:tcPr>
          <w:p w14:paraId="7006F7C1" w14:textId="77777777" w:rsidR="002C230D" w:rsidRDefault="002C230D" w:rsidP="004D7CE3">
            <w:pPr>
              <w:pStyle w:val="Tablewriting"/>
              <w:jc w:val="center"/>
              <w:rPr>
                <w:rFonts w:eastAsia="MS Mincho"/>
              </w:rPr>
            </w:pPr>
            <w:r>
              <w:rPr>
                <w:rFonts w:eastAsia="MS Mincho"/>
              </w:rPr>
              <w:t>384/515</w:t>
            </w:r>
          </w:p>
          <w:p w14:paraId="31486B34" w14:textId="30208E08" w:rsidR="002C230D" w:rsidRPr="00061F78" w:rsidRDefault="002C230D" w:rsidP="004D7CE3">
            <w:pPr>
              <w:pStyle w:val="Tablewriting"/>
              <w:jc w:val="center"/>
              <w:rPr>
                <w:rFonts w:eastAsia="MS Mincho"/>
              </w:rPr>
            </w:pPr>
            <w:r>
              <w:rPr>
                <w:rFonts w:eastAsia="MS Mincho"/>
              </w:rPr>
              <w:t>(</w:t>
            </w:r>
            <w:r w:rsidR="008D3E35">
              <w:rPr>
                <w:rFonts w:eastAsia="MS Mincho"/>
              </w:rPr>
              <w:t>74.6</w:t>
            </w:r>
            <w:r>
              <w:rPr>
                <w:rFonts w:eastAsia="MS Mincho"/>
              </w:rPr>
              <w:t>%)</w:t>
            </w:r>
          </w:p>
        </w:tc>
        <w:tc>
          <w:tcPr>
            <w:tcW w:w="1165" w:type="pct"/>
            <w:tcMar>
              <w:left w:w="28" w:type="dxa"/>
              <w:right w:w="28" w:type="dxa"/>
            </w:tcMar>
            <w:vAlign w:val="center"/>
          </w:tcPr>
          <w:p w14:paraId="7AC3A980" w14:textId="77777777" w:rsidR="002C230D" w:rsidRDefault="002C230D" w:rsidP="004D7CE3">
            <w:pPr>
              <w:pStyle w:val="Tablewriting"/>
              <w:jc w:val="center"/>
              <w:rPr>
                <w:rFonts w:eastAsia="MS Mincho"/>
              </w:rPr>
            </w:pPr>
            <w:r>
              <w:rPr>
                <w:rFonts w:eastAsia="MS Mincho"/>
              </w:rPr>
              <w:t>362/528</w:t>
            </w:r>
          </w:p>
          <w:p w14:paraId="7CD63164" w14:textId="74D45A82" w:rsidR="002C230D" w:rsidRPr="00061F78" w:rsidRDefault="002C230D" w:rsidP="004D7CE3">
            <w:pPr>
              <w:pStyle w:val="Tablewriting"/>
              <w:jc w:val="center"/>
              <w:rPr>
                <w:rFonts w:eastAsia="MS Mincho"/>
              </w:rPr>
            </w:pPr>
            <w:r>
              <w:rPr>
                <w:rFonts w:eastAsia="MS Mincho"/>
              </w:rPr>
              <w:t>(</w:t>
            </w:r>
            <w:r w:rsidR="008D3E35">
              <w:rPr>
                <w:rFonts w:eastAsia="MS Mincho"/>
              </w:rPr>
              <w:t>68.6</w:t>
            </w:r>
            <w:r>
              <w:rPr>
                <w:rFonts w:eastAsia="MS Mincho"/>
              </w:rPr>
              <w:t>%)</w:t>
            </w:r>
          </w:p>
        </w:tc>
        <w:tc>
          <w:tcPr>
            <w:tcW w:w="1132" w:type="pct"/>
            <w:tcMar>
              <w:left w:w="28" w:type="dxa"/>
              <w:right w:w="28" w:type="dxa"/>
            </w:tcMar>
            <w:vAlign w:val="center"/>
          </w:tcPr>
          <w:p w14:paraId="605C44F0" w14:textId="77777777" w:rsidR="002C230D" w:rsidRPr="002C230D" w:rsidRDefault="002C230D" w:rsidP="004D7CE3">
            <w:pPr>
              <w:pStyle w:val="Tablewriting"/>
              <w:jc w:val="center"/>
              <w:rPr>
                <w:rFonts w:eastAsia="MS Mincho"/>
                <w:b/>
                <w:bCs/>
              </w:rPr>
            </w:pPr>
            <w:r w:rsidRPr="002C230D">
              <w:rPr>
                <w:rFonts w:eastAsia="MS Mincho"/>
                <w:b/>
                <w:bCs/>
              </w:rPr>
              <w:t>1.09</w:t>
            </w:r>
          </w:p>
          <w:p w14:paraId="50639FB5" w14:textId="17296186" w:rsidR="002C230D" w:rsidRPr="00061F78" w:rsidRDefault="002C230D" w:rsidP="004D7CE3">
            <w:pPr>
              <w:pStyle w:val="Tablewriting"/>
              <w:jc w:val="center"/>
              <w:rPr>
                <w:rFonts w:eastAsia="MS Mincho"/>
              </w:rPr>
            </w:pPr>
            <w:r w:rsidRPr="002C230D">
              <w:rPr>
                <w:rFonts w:eastAsia="MS Mincho"/>
                <w:b/>
                <w:bCs/>
              </w:rPr>
              <w:t>(1.02, 1.17)</w:t>
            </w:r>
          </w:p>
        </w:tc>
      </w:tr>
      <w:tr w:rsidR="006615F0" w:rsidRPr="00061F78" w14:paraId="2E51FC6F" w14:textId="77777777" w:rsidTr="004B53F8">
        <w:trPr>
          <w:cantSplit/>
          <w:trHeight w:val="149"/>
        </w:trPr>
        <w:tc>
          <w:tcPr>
            <w:tcW w:w="5000" w:type="pct"/>
            <w:gridSpan w:val="5"/>
            <w:shd w:val="clear" w:color="auto" w:fill="auto"/>
            <w:tcMar>
              <w:left w:w="28" w:type="dxa"/>
              <w:right w:w="28" w:type="dxa"/>
            </w:tcMar>
          </w:tcPr>
          <w:p w14:paraId="29FCDEBD" w14:textId="77777777" w:rsidR="00356A70" w:rsidRPr="004B53F8" w:rsidRDefault="00356A70" w:rsidP="004D7CE3">
            <w:pPr>
              <w:pStyle w:val="Tablewriting"/>
              <w:rPr>
                <w:rFonts w:eastAsia="MS Mincho"/>
                <w:b/>
                <w:bCs/>
              </w:rPr>
            </w:pPr>
            <w:r w:rsidRPr="004B53F8">
              <w:rPr>
                <w:rFonts w:eastAsia="MS Mincho"/>
                <w:b/>
                <w:bCs/>
              </w:rPr>
              <w:t>Psychiatric adverse events</w:t>
            </w:r>
          </w:p>
        </w:tc>
      </w:tr>
      <w:tr w:rsidR="002C230D" w:rsidRPr="00061F78" w14:paraId="1F12D929" w14:textId="77777777" w:rsidTr="00A8247E">
        <w:trPr>
          <w:cantSplit/>
          <w:trHeight w:val="149"/>
        </w:trPr>
        <w:tc>
          <w:tcPr>
            <w:tcW w:w="556" w:type="pct"/>
            <w:tcMar>
              <w:left w:w="28" w:type="dxa"/>
              <w:right w:w="28" w:type="dxa"/>
            </w:tcMar>
          </w:tcPr>
          <w:p w14:paraId="1A4DED6B" w14:textId="77777777" w:rsidR="002C230D" w:rsidRDefault="002C230D" w:rsidP="004D7CE3">
            <w:pPr>
              <w:pStyle w:val="Tablewriting"/>
              <w:rPr>
                <w:rFonts w:eastAsia="MS Mincho"/>
              </w:rPr>
            </w:pPr>
            <w:r>
              <w:rPr>
                <w:rFonts w:eastAsia="MS Mincho"/>
              </w:rPr>
              <w:t>Howes</w:t>
            </w:r>
            <w:r w:rsidRPr="00061F78">
              <w:rPr>
                <w:rFonts w:eastAsia="MS Mincho"/>
              </w:rPr>
              <w:t xml:space="preserve"> </w:t>
            </w:r>
          </w:p>
          <w:p w14:paraId="3A99D31A" w14:textId="77777777"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14:paraId="69465C08" w14:textId="08DCF522" w:rsidR="002C230D" w:rsidRDefault="002C230D" w:rsidP="004D7CE3">
            <w:pPr>
              <w:pStyle w:val="Tablewriting"/>
              <w:jc w:val="center"/>
              <w:rPr>
                <w:rFonts w:eastAsia="MS Mincho"/>
              </w:rPr>
            </w:pPr>
            <w:r>
              <w:rPr>
                <w:rFonts w:eastAsia="MS Mincho"/>
              </w:rPr>
              <w:t>Cochrane Review (2 RCTs)</w:t>
            </w:r>
          </w:p>
        </w:tc>
        <w:tc>
          <w:tcPr>
            <w:tcW w:w="1212" w:type="pct"/>
            <w:tcMar>
              <w:left w:w="28" w:type="dxa"/>
              <w:right w:w="28" w:type="dxa"/>
            </w:tcMar>
            <w:vAlign w:val="center"/>
          </w:tcPr>
          <w:p w14:paraId="5099206E" w14:textId="77777777" w:rsidR="002C230D" w:rsidRDefault="002C230D" w:rsidP="004D7CE3">
            <w:pPr>
              <w:pStyle w:val="Tablewriting"/>
              <w:jc w:val="center"/>
              <w:rPr>
                <w:rFonts w:eastAsia="MS Mincho"/>
              </w:rPr>
            </w:pPr>
            <w:r>
              <w:rPr>
                <w:rFonts w:eastAsia="MS Mincho"/>
              </w:rPr>
              <w:t>145/412</w:t>
            </w:r>
          </w:p>
          <w:p w14:paraId="45890E4A" w14:textId="5E9C555F" w:rsidR="002C230D" w:rsidRDefault="002C230D" w:rsidP="004D7CE3">
            <w:pPr>
              <w:pStyle w:val="Tablewriting"/>
              <w:jc w:val="center"/>
              <w:rPr>
                <w:rFonts w:eastAsia="MS Mincho"/>
              </w:rPr>
            </w:pPr>
            <w:r>
              <w:rPr>
                <w:rFonts w:eastAsia="MS Mincho"/>
              </w:rPr>
              <w:t>(</w:t>
            </w:r>
            <w:r w:rsidR="00E847A4">
              <w:rPr>
                <w:rFonts w:eastAsia="MS Mincho"/>
              </w:rPr>
              <w:t>35.2</w:t>
            </w:r>
            <w:r>
              <w:rPr>
                <w:rFonts w:eastAsia="MS Mincho"/>
              </w:rPr>
              <w:t>%)</w:t>
            </w:r>
          </w:p>
        </w:tc>
        <w:tc>
          <w:tcPr>
            <w:tcW w:w="1165" w:type="pct"/>
            <w:tcMar>
              <w:left w:w="28" w:type="dxa"/>
              <w:right w:w="28" w:type="dxa"/>
            </w:tcMar>
            <w:vAlign w:val="center"/>
          </w:tcPr>
          <w:p w14:paraId="42F903A4" w14:textId="5544860F" w:rsidR="002C230D" w:rsidRDefault="002C230D" w:rsidP="004D7CE3">
            <w:pPr>
              <w:pStyle w:val="Tablewriting"/>
              <w:jc w:val="center"/>
              <w:rPr>
                <w:rFonts w:eastAsia="MS Mincho"/>
              </w:rPr>
            </w:pPr>
            <w:r>
              <w:rPr>
                <w:rFonts w:eastAsia="MS Mincho"/>
              </w:rPr>
              <w:t>128/423</w:t>
            </w:r>
          </w:p>
          <w:p w14:paraId="38FFA94E" w14:textId="515355DE" w:rsidR="002C230D" w:rsidRDefault="002C230D" w:rsidP="004D7CE3">
            <w:pPr>
              <w:pStyle w:val="Tablewriting"/>
              <w:jc w:val="center"/>
              <w:rPr>
                <w:rFonts w:eastAsia="MS Mincho"/>
              </w:rPr>
            </w:pPr>
            <w:r>
              <w:rPr>
                <w:rFonts w:eastAsia="MS Mincho"/>
              </w:rPr>
              <w:t>(</w:t>
            </w:r>
            <w:r w:rsidR="00E847A4">
              <w:rPr>
                <w:rFonts w:eastAsia="MS Mincho"/>
              </w:rPr>
              <w:t>30.3</w:t>
            </w:r>
            <w:r>
              <w:rPr>
                <w:rFonts w:eastAsia="MS Mincho"/>
              </w:rPr>
              <w:t>%)</w:t>
            </w:r>
          </w:p>
        </w:tc>
        <w:tc>
          <w:tcPr>
            <w:tcW w:w="1132" w:type="pct"/>
            <w:tcMar>
              <w:left w:w="28" w:type="dxa"/>
              <w:right w:w="28" w:type="dxa"/>
            </w:tcMar>
            <w:vAlign w:val="center"/>
          </w:tcPr>
          <w:p w14:paraId="689054EC" w14:textId="77777777" w:rsidR="002C230D" w:rsidRDefault="002C230D" w:rsidP="004D7CE3">
            <w:pPr>
              <w:pStyle w:val="Tablewriting"/>
              <w:jc w:val="center"/>
              <w:rPr>
                <w:rFonts w:eastAsia="MS Mincho"/>
                <w:b/>
                <w:bCs/>
              </w:rPr>
            </w:pPr>
            <w:r>
              <w:rPr>
                <w:rFonts w:eastAsia="MS Mincho"/>
                <w:b/>
                <w:bCs/>
              </w:rPr>
              <w:t>1.15</w:t>
            </w:r>
          </w:p>
          <w:p w14:paraId="2CDB1B77" w14:textId="55CFA7DD" w:rsidR="002C230D" w:rsidRPr="00D468CF" w:rsidRDefault="002C230D" w:rsidP="004D7CE3">
            <w:pPr>
              <w:pStyle w:val="Tablewriting"/>
              <w:jc w:val="center"/>
              <w:rPr>
                <w:rFonts w:eastAsia="MS Mincho"/>
                <w:b/>
                <w:bCs/>
              </w:rPr>
            </w:pPr>
            <w:r>
              <w:rPr>
                <w:rFonts w:eastAsia="MS Mincho"/>
                <w:b/>
                <w:bCs/>
              </w:rPr>
              <w:t>(1.03, 1.3)</w:t>
            </w:r>
          </w:p>
        </w:tc>
      </w:tr>
      <w:tr w:rsidR="006615F0" w:rsidRPr="00061F78" w14:paraId="73EDE837" w14:textId="77777777" w:rsidTr="004B53F8">
        <w:trPr>
          <w:cantSplit/>
          <w:trHeight w:val="149"/>
        </w:trPr>
        <w:tc>
          <w:tcPr>
            <w:tcW w:w="5000" w:type="pct"/>
            <w:gridSpan w:val="5"/>
            <w:shd w:val="clear" w:color="auto" w:fill="auto"/>
            <w:tcMar>
              <w:left w:w="28" w:type="dxa"/>
              <w:right w:w="28" w:type="dxa"/>
            </w:tcMar>
            <w:vAlign w:val="center"/>
          </w:tcPr>
          <w:p w14:paraId="5FE4484C" w14:textId="77777777" w:rsidR="00356A70" w:rsidRPr="004B53F8" w:rsidRDefault="00356A70" w:rsidP="004D7CE3">
            <w:pPr>
              <w:pStyle w:val="Tablewriting"/>
              <w:rPr>
                <w:rFonts w:eastAsia="MS Mincho"/>
                <w:b/>
                <w:bCs/>
              </w:rPr>
            </w:pPr>
            <w:r w:rsidRPr="004B53F8">
              <w:rPr>
                <w:rFonts w:eastAsia="MS Mincho"/>
                <w:b/>
                <w:bCs/>
              </w:rPr>
              <w:t>Serious adverse events</w:t>
            </w:r>
          </w:p>
        </w:tc>
      </w:tr>
      <w:tr w:rsidR="002C230D" w:rsidRPr="00061F78" w14:paraId="0479D768" w14:textId="77777777" w:rsidTr="00A8247E">
        <w:trPr>
          <w:cantSplit/>
          <w:trHeight w:val="149"/>
        </w:trPr>
        <w:tc>
          <w:tcPr>
            <w:tcW w:w="556" w:type="pct"/>
            <w:tcMar>
              <w:left w:w="28" w:type="dxa"/>
              <w:right w:w="28" w:type="dxa"/>
            </w:tcMar>
          </w:tcPr>
          <w:p w14:paraId="08F28058" w14:textId="77777777" w:rsidR="002C230D" w:rsidRDefault="002C230D" w:rsidP="004D7CE3">
            <w:pPr>
              <w:pStyle w:val="Tablewriting"/>
              <w:rPr>
                <w:rFonts w:eastAsia="MS Mincho"/>
              </w:rPr>
            </w:pPr>
            <w:r>
              <w:rPr>
                <w:rFonts w:eastAsia="MS Mincho"/>
              </w:rPr>
              <w:t>Howes</w:t>
            </w:r>
            <w:r w:rsidRPr="00061F78">
              <w:rPr>
                <w:rFonts w:eastAsia="MS Mincho"/>
              </w:rPr>
              <w:t xml:space="preserve"> </w:t>
            </w:r>
          </w:p>
          <w:p w14:paraId="5A3254E8" w14:textId="77777777"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14:paraId="35818C98" w14:textId="7EFA0892" w:rsidR="002C230D" w:rsidRDefault="002C230D" w:rsidP="004D7CE3">
            <w:pPr>
              <w:pStyle w:val="Tablewriting"/>
              <w:jc w:val="center"/>
              <w:rPr>
                <w:rFonts w:eastAsia="MS Mincho"/>
              </w:rPr>
            </w:pPr>
            <w:r>
              <w:rPr>
                <w:rFonts w:eastAsia="MS Mincho"/>
              </w:rPr>
              <w:t>Cochrane Review (5 RCTs)</w:t>
            </w:r>
          </w:p>
        </w:tc>
        <w:tc>
          <w:tcPr>
            <w:tcW w:w="1212" w:type="pct"/>
            <w:tcMar>
              <w:left w:w="28" w:type="dxa"/>
              <w:right w:w="28" w:type="dxa"/>
            </w:tcMar>
            <w:vAlign w:val="center"/>
          </w:tcPr>
          <w:p w14:paraId="33B13117" w14:textId="77777777" w:rsidR="002C230D" w:rsidRDefault="002C230D" w:rsidP="004D7CE3">
            <w:pPr>
              <w:pStyle w:val="Tablewriting"/>
              <w:jc w:val="center"/>
              <w:rPr>
                <w:rFonts w:eastAsia="MS Mincho"/>
              </w:rPr>
            </w:pPr>
            <w:r>
              <w:rPr>
                <w:rFonts w:eastAsia="MS Mincho"/>
              </w:rPr>
              <w:t>18/629</w:t>
            </w:r>
          </w:p>
          <w:p w14:paraId="5AD7272F" w14:textId="1B702C9D" w:rsidR="002C230D" w:rsidRDefault="002C230D" w:rsidP="004D7CE3">
            <w:pPr>
              <w:pStyle w:val="Tablewriting"/>
              <w:jc w:val="center"/>
              <w:rPr>
                <w:rFonts w:eastAsia="MS Mincho"/>
              </w:rPr>
            </w:pPr>
            <w:r>
              <w:rPr>
                <w:rFonts w:eastAsia="MS Mincho"/>
              </w:rPr>
              <w:t>(</w:t>
            </w:r>
            <w:r w:rsidR="00E847A4">
              <w:rPr>
                <w:rFonts w:eastAsia="MS Mincho"/>
              </w:rPr>
              <w:t>2.9</w:t>
            </w:r>
            <w:r>
              <w:rPr>
                <w:rFonts w:eastAsia="MS Mincho"/>
              </w:rPr>
              <w:t>%)</w:t>
            </w:r>
          </w:p>
        </w:tc>
        <w:tc>
          <w:tcPr>
            <w:tcW w:w="1165" w:type="pct"/>
            <w:tcMar>
              <w:left w:w="28" w:type="dxa"/>
              <w:right w:w="28" w:type="dxa"/>
            </w:tcMar>
            <w:vAlign w:val="center"/>
          </w:tcPr>
          <w:p w14:paraId="5DB08E5F" w14:textId="23E912BC" w:rsidR="002C230D" w:rsidRDefault="002C230D" w:rsidP="004D7CE3">
            <w:pPr>
              <w:pStyle w:val="Tablewriting"/>
              <w:jc w:val="center"/>
              <w:rPr>
                <w:rFonts w:eastAsia="MS Mincho"/>
              </w:rPr>
            </w:pPr>
            <w:r>
              <w:rPr>
                <w:rFonts w:eastAsia="MS Mincho"/>
              </w:rPr>
              <w:t>15/639</w:t>
            </w:r>
          </w:p>
          <w:p w14:paraId="280BC06A" w14:textId="57A04F92" w:rsidR="002C230D" w:rsidRPr="00061F78" w:rsidRDefault="002C230D" w:rsidP="004D7CE3">
            <w:pPr>
              <w:pStyle w:val="Tablewriting"/>
              <w:jc w:val="center"/>
              <w:rPr>
                <w:rFonts w:eastAsia="MS Mincho"/>
              </w:rPr>
            </w:pPr>
            <w:r>
              <w:rPr>
                <w:rFonts w:eastAsia="MS Mincho"/>
              </w:rPr>
              <w:t>(</w:t>
            </w:r>
            <w:r w:rsidR="00E847A4">
              <w:rPr>
                <w:rFonts w:eastAsia="MS Mincho"/>
              </w:rPr>
              <w:t>2.3</w:t>
            </w:r>
            <w:r>
              <w:rPr>
                <w:rFonts w:eastAsia="MS Mincho"/>
              </w:rPr>
              <w:t>%)</w:t>
            </w:r>
          </w:p>
        </w:tc>
        <w:tc>
          <w:tcPr>
            <w:tcW w:w="1132" w:type="pct"/>
            <w:tcMar>
              <w:left w:w="28" w:type="dxa"/>
              <w:right w:w="28" w:type="dxa"/>
            </w:tcMar>
            <w:vAlign w:val="center"/>
          </w:tcPr>
          <w:p w14:paraId="623D404C" w14:textId="77777777" w:rsidR="002C230D" w:rsidRDefault="002C230D" w:rsidP="004D7CE3">
            <w:pPr>
              <w:pStyle w:val="Tablewriting"/>
              <w:jc w:val="center"/>
              <w:rPr>
                <w:rFonts w:eastAsia="MS Mincho"/>
              </w:rPr>
            </w:pPr>
            <w:r>
              <w:rPr>
                <w:rFonts w:eastAsia="MS Mincho"/>
              </w:rPr>
              <w:t>1.23</w:t>
            </w:r>
          </w:p>
          <w:p w14:paraId="15DF5A58" w14:textId="3C58A005" w:rsidR="002C230D" w:rsidRPr="00275BAC" w:rsidRDefault="002C230D" w:rsidP="004D7CE3">
            <w:pPr>
              <w:pStyle w:val="Tablewriting"/>
              <w:jc w:val="center"/>
              <w:rPr>
                <w:rFonts w:eastAsia="MS Mincho"/>
              </w:rPr>
            </w:pPr>
            <w:r>
              <w:rPr>
                <w:rFonts w:eastAsia="MS Mincho"/>
              </w:rPr>
              <w:t>(0.63, 2.42)</w:t>
            </w:r>
          </w:p>
        </w:tc>
      </w:tr>
      <w:tr w:rsidR="006615F0" w:rsidRPr="00061F78" w14:paraId="0858A0FD" w14:textId="77777777" w:rsidTr="004B53F8">
        <w:trPr>
          <w:cantSplit/>
          <w:trHeight w:val="149"/>
        </w:trPr>
        <w:tc>
          <w:tcPr>
            <w:tcW w:w="5000" w:type="pct"/>
            <w:gridSpan w:val="5"/>
            <w:shd w:val="clear" w:color="auto" w:fill="auto"/>
            <w:tcMar>
              <w:left w:w="28" w:type="dxa"/>
              <w:right w:w="28" w:type="dxa"/>
            </w:tcMar>
          </w:tcPr>
          <w:p w14:paraId="43329100" w14:textId="77777777" w:rsidR="00356A70" w:rsidRPr="004B53F8" w:rsidRDefault="00356A70" w:rsidP="004D7CE3">
            <w:pPr>
              <w:pStyle w:val="Tablewriting"/>
              <w:rPr>
                <w:rFonts w:eastAsia="MS Mincho"/>
                <w:b/>
                <w:bCs/>
              </w:rPr>
            </w:pPr>
            <w:r w:rsidRPr="004B53F8">
              <w:rPr>
                <w:rFonts w:eastAsia="MS Mincho"/>
                <w:b/>
                <w:bCs/>
              </w:rPr>
              <w:t>Discontinuation due to adverse events</w:t>
            </w:r>
          </w:p>
        </w:tc>
      </w:tr>
      <w:tr w:rsidR="002C230D" w:rsidRPr="00061F78" w14:paraId="0EC0CD0A" w14:textId="77777777" w:rsidTr="00A8247E">
        <w:trPr>
          <w:cantSplit/>
          <w:trHeight w:val="149"/>
        </w:trPr>
        <w:tc>
          <w:tcPr>
            <w:tcW w:w="556" w:type="pct"/>
            <w:tcMar>
              <w:left w:w="28" w:type="dxa"/>
              <w:right w:w="28" w:type="dxa"/>
            </w:tcMar>
          </w:tcPr>
          <w:p w14:paraId="4B24B55E" w14:textId="77777777" w:rsidR="002C230D" w:rsidRDefault="002C230D" w:rsidP="004D7CE3">
            <w:pPr>
              <w:pStyle w:val="Tablewriting"/>
              <w:rPr>
                <w:rFonts w:eastAsia="MS Mincho"/>
              </w:rPr>
            </w:pPr>
            <w:r>
              <w:rPr>
                <w:rFonts w:eastAsia="MS Mincho"/>
              </w:rPr>
              <w:t>Howes</w:t>
            </w:r>
            <w:r w:rsidRPr="00061F78">
              <w:rPr>
                <w:rFonts w:eastAsia="MS Mincho"/>
              </w:rPr>
              <w:t xml:space="preserve"> </w:t>
            </w:r>
          </w:p>
          <w:p w14:paraId="5A4EBE79" w14:textId="77777777" w:rsidR="002C230D" w:rsidRDefault="002C230D" w:rsidP="004D7CE3">
            <w:pPr>
              <w:pStyle w:val="Tablewriting"/>
              <w:rPr>
                <w:rFonts w:eastAsia="MS Mincho"/>
              </w:rPr>
            </w:pPr>
            <w:r w:rsidRPr="00061F78">
              <w:rPr>
                <w:rFonts w:eastAsia="MS Mincho"/>
              </w:rPr>
              <w:t>(20</w:t>
            </w:r>
            <w:r>
              <w:rPr>
                <w:rFonts w:eastAsia="MS Mincho"/>
              </w:rPr>
              <w:t>20</w:t>
            </w:r>
            <w:r w:rsidRPr="00061F78">
              <w:rPr>
                <w:rFonts w:eastAsia="MS Mincho"/>
              </w:rPr>
              <w:t>)</w:t>
            </w:r>
          </w:p>
        </w:tc>
        <w:tc>
          <w:tcPr>
            <w:tcW w:w="936" w:type="pct"/>
            <w:vAlign w:val="center"/>
          </w:tcPr>
          <w:p w14:paraId="5D8DC0D6" w14:textId="655E0385" w:rsidR="002C230D" w:rsidRDefault="002C230D" w:rsidP="004D7CE3">
            <w:pPr>
              <w:pStyle w:val="Tablewriting"/>
              <w:jc w:val="center"/>
              <w:rPr>
                <w:rFonts w:eastAsia="MS Mincho"/>
              </w:rPr>
            </w:pPr>
            <w:r>
              <w:rPr>
                <w:rFonts w:eastAsia="MS Mincho"/>
              </w:rPr>
              <w:t>Cochrane Review (4 RCTs)</w:t>
            </w:r>
          </w:p>
        </w:tc>
        <w:tc>
          <w:tcPr>
            <w:tcW w:w="1212" w:type="pct"/>
            <w:tcMar>
              <w:left w:w="28" w:type="dxa"/>
              <w:right w:w="28" w:type="dxa"/>
            </w:tcMar>
            <w:vAlign w:val="center"/>
          </w:tcPr>
          <w:p w14:paraId="460E723C" w14:textId="77777777" w:rsidR="002C230D" w:rsidRDefault="002C230D" w:rsidP="004D7CE3">
            <w:pPr>
              <w:pStyle w:val="Tablewriting"/>
              <w:jc w:val="center"/>
              <w:rPr>
                <w:rFonts w:eastAsia="MS Mincho"/>
              </w:rPr>
            </w:pPr>
            <w:r>
              <w:rPr>
                <w:rFonts w:eastAsia="MS Mincho"/>
              </w:rPr>
              <w:t>19/609</w:t>
            </w:r>
          </w:p>
          <w:p w14:paraId="030006AC" w14:textId="7439D4B6" w:rsidR="002C230D" w:rsidRDefault="002C230D" w:rsidP="004D7CE3">
            <w:pPr>
              <w:pStyle w:val="Tablewriting"/>
              <w:jc w:val="center"/>
              <w:rPr>
                <w:rFonts w:eastAsia="MS Mincho"/>
              </w:rPr>
            </w:pPr>
            <w:r>
              <w:rPr>
                <w:rFonts w:eastAsia="MS Mincho"/>
              </w:rPr>
              <w:t>(</w:t>
            </w:r>
            <w:r w:rsidR="00E847A4">
              <w:rPr>
                <w:rFonts w:eastAsia="MS Mincho"/>
              </w:rPr>
              <w:t>3.1</w:t>
            </w:r>
            <w:r>
              <w:rPr>
                <w:rFonts w:eastAsia="MS Mincho"/>
              </w:rPr>
              <w:t>%)</w:t>
            </w:r>
          </w:p>
        </w:tc>
        <w:tc>
          <w:tcPr>
            <w:tcW w:w="1165" w:type="pct"/>
            <w:tcMar>
              <w:left w:w="28" w:type="dxa"/>
              <w:right w:w="28" w:type="dxa"/>
            </w:tcMar>
            <w:vAlign w:val="center"/>
          </w:tcPr>
          <w:p w14:paraId="7C544388" w14:textId="77777777" w:rsidR="002C230D" w:rsidRDefault="002C230D" w:rsidP="004D7CE3">
            <w:pPr>
              <w:pStyle w:val="Tablewriting"/>
              <w:jc w:val="center"/>
              <w:rPr>
                <w:rFonts w:eastAsia="MS Mincho"/>
              </w:rPr>
            </w:pPr>
            <w:r>
              <w:rPr>
                <w:rFonts w:eastAsia="MS Mincho"/>
              </w:rPr>
              <w:t>24/621</w:t>
            </w:r>
          </w:p>
          <w:p w14:paraId="0757FCC3" w14:textId="30361DF0" w:rsidR="002C230D" w:rsidRPr="00061F78" w:rsidRDefault="002C230D" w:rsidP="004D7CE3">
            <w:pPr>
              <w:pStyle w:val="Tablewriting"/>
              <w:jc w:val="center"/>
              <w:rPr>
                <w:rFonts w:eastAsia="MS Mincho"/>
              </w:rPr>
            </w:pPr>
            <w:r>
              <w:rPr>
                <w:rFonts w:eastAsia="MS Mincho"/>
              </w:rPr>
              <w:t>(</w:t>
            </w:r>
            <w:r w:rsidR="00E847A4">
              <w:rPr>
                <w:rFonts w:eastAsia="MS Mincho"/>
              </w:rPr>
              <w:t>3.9</w:t>
            </w:r>
            <w:r>
              <w:rPr>
                <w:rFonts w:eastAsia="MS Mincho"/>
              </w:rPr>
              <w:t>%)</w:t>
            </w:r>
          </w:p>
        </w:tc>
        <w:tc>
          <w:tcPr>
            <w:tcW w:w="1132" w:type="pct"/>
            <w:tcMar>
              <w:left w:w="28" w:type="dxa"/>
              <w:right w:w="28" w:type="dxa"/>
            </w:tcMar>
            <w:vAlign w:val="center"/>
          </w:tcPr>
          <w:p w14:paraId="286C8597" w14:textId="77777777" w:rsidR="002C230D" w:rsidRPr="002C230D" w:rsidRDefault="002C230D" w:rsidP="004D7CE3">
            <w:pPr>
              <w:pStyle w:val="Tablewriting"/>
              <w:jc w:val="center"/>
              <w:rPr>
                <w:rFonts w:eastAsia="MS Mincho"/>
              </w:rPr>
            </w:pPr>
            <w:r w:rsidRPr="002C230D">
              <w:rPr>
                <w:rFonts w:eastAsia="MS Mincho"/>
              </w:rPr>
              <w:t>0.8</w:t>
            </w:r>
          </w:p>
          <w:p w14:paraId="6E969771" w14:textId="4AFBD4B8" w:rsidR="002C230D" w:rsidRPr="00D468CF" w:rsidRDefault="002C230D" w:rsidP="004D7CE3">
            <w:pPr>
              <w:pStyle w:val="Tablewriting"/>
              <w:jc w:val="center"/>
              <w:rPr>
                <w:rFonts w:eastAsia="MS Mincho"/>
                <w:b/>
                <w:bCs/>
              </w:rPr>
            </w:pPr>
            <w:r w:rsidRPr="002C230D">
              <w:rPr>
                <w:rFonts w:eastAsia="MS Mincho"/>
              </w:rPr>
              <w:t>(0.45, 1.45)</w:t>
            </w:r>
          </w:p>
        </w:tc>
      </w:tr>
    </w:tbl>
    <w:p w14:paraId="4389DD73" w14:textId="77777777" w:rsidR="008D3E35" w:rsidRDefault="008D3E35" w:rsidP="00DC14A6">
      <w:pPr>
        <w:pStyle w:val="TableFooter"/>
        <w:jc w:val="both"/>
      </w:pPr>
      <w:r>
        <w:t>Source: Howes et al. (2020)</w:t>
      </w:r>
    </w:p>
    <w:p w14:paraId="1B0163DE" w14:textId="086D3A0E" w:rsidR="008D3E35" w:rsidRDefault="008D3E35" w:rsidP="00DC14A6">
      <w:pPr>
        <w:pStyle w:val="TableFooter"/>
        <w:jc w:val="both"/>
      </w:pPr>
      <w:r>
        <w:t>Abbreviations: CI = confidence interval; RCT = randomised controlled trial; RD = risk difference; RR = risk ratio</w:t>
      </w:r>
    </w:p>
    <w:p w14:paraId="1F60F306" w14:textId="1B333E4D" w:rsidR="008D3E35" w:rsidRPr="004D7CE3" w:rsidRDefault="008D3E35" w:rsidP="00DC14A6">
      <w:pPr>
        <w:pStyle w:val="TableFooter"/>
        <w:jc w:val="both"/>
      </w:pPr>
      <w:r w:rsidRPr="00FD4061">
        <w:t>Note</w:t>
      </w:r>
      <w:r>
        <w:t>s</w:t>
      </w:r>
      <w:r w:rsidRPr="00FD4061">
        <w:t>: Bold indicates statistically significant difference.</w:t>
      </w:r>
      <w:r>
        <w:t xml:space="preserve"> </w:t>
      </w:r>
      <w:r w:rsidRPr="00FF2899">
        <w:t xml:space="preserve">See </w:t>
      </w:r>
      <w:r w:rsidRPr="004D7CE3">
        <w:t>Appendix</w:t>
      </w:r>
      <w:r w:rsidR="009777E6" w:rsidRPr="004D7CE3">
        <w:t xml:space="preserve"> </w:t>
      </w:r>
      <w:r w:rsidR="009777E6" w:rsidRPr="004D7CE3">
        <w:fldChar w:fldCharType="begin" w:fldLock="1"/>
      </w:r>
      <w:r w:rsidR="009777E6" w:rsidRPr="004D7CE3">
        <w:instrText xml:space="preserve"> REF _Ref55487439 \h </w:instrText>
      </w:r>
      <w:r w:rsidR="004D7CE3">
        <w:instrText xml:space="preserve"> \* MERGEFORMAT </w:instrText>
      </w:r>
      <w:r w:rsidR="009777E6" w:rsidRPr="004D7CE3">
        <w:fldChar w:fldCharType="separate"/>
      </w:r>
      <w:r w:rsidR="00EC5CC7">
        <w:t xml:space="preserve">Figure </w:t>
      </w:r>
      <w:r w:rsidR="00EC5CC7">
        <w:rPr>
          <w:noProof/>
        </w:rPr>
        <w:t>79</w:t>
      </w:r>
      <w:r w:rsidR="009777E6" w:rsidRPr="004D7CE3">
        <w:fldChar w:fldCharType="end"/>
      </w:r>
      <w:r w:rsidR="009777E6" w:rsidRPr="004D7CE3">
        <w:t xml:space="preserve"> to </w:t>
      </w:r>
      <w:r w:rsidR="009777E6" w:rsidRPr="004D7CE3">
        <w:fldChar w:fldCharType="begin" w:fldLock="1"/>
      </w:r>
      <w:r w:rsidR="009777E6" w:rsidRPr="004D7CE3">
        <w:instrText xml:space="preserve"> REF _Ref55487440 \h </w:instrText>
      </w:r>
      <w:r w:rsidR="004D7CE3">
        <w:instrText xml:space="preserve"> \* MERGEFORMAT </w:instrText>
      </w:r>
      <w:r w:rsidR="009777E6" w:rsidRPr="004D7CE3">
        <w:fldChar w:fldCharType="separate"/>
      </w:r>
      <w:r w:rsidR="00EC5CC7">
        <w:t xml:space="preserve">Figure </w:t>
      </w:r>
      <w:r w:rsidR="00EC5CC7">
        <w:rPr>
          <w:noProof/>
        </w:rPr>
        <w:t>82</w:t>
      </w:r>
      <w:r w:rsidR="009777E6" w:rsidRPr="004D7CE3">
        <w:fldChar w:fldCharType="end"/>
      </w:r>
      <w:r w:rsidRPr="004D7CE3">
        <w:t xml:space="preserve"> for forest plots of the respective outcomes which included the results of individual studies.</w:t>
      </w:r>
    </w:p>
    <w:p w14:paraId="78A86F4F" w14:textId="5A2AD37D" w:rsidR="008D3E35" w:rsidRDefault="008D3E35" w:rsidP="00DC14A6">
      <w:pPr>
        <w:pStyle w:val="TableFooter"/>
        <w:jc w:val="both"/>
      </w:pPr>
      <w:r w:rsidRPr="004D7CE3">
        <w:t xml:space="preserve">1 Calculated </w:t>
      </w:r>
      <w:r w:rsidR="00356A70" w:rsidRPr="004D7CE3">
        <w:t>by Cochrane Review authors</w:t>
      </w:r>
      <w:r w:rsidRPr="004D7CE3">
        <w:t xml:space="preserve"> using a fixed-effect model</w:t>
      </w:r>
      <w:r w:rsidR="00C410DE">
        <w:t>.</w:t>
      </w:r>
    </w:p>
    <w:p w14:paraId="7D36CC83" w14:textId="3E2B268B" w:rsidR="006274EF" w:rsidRDefault="00792963" w:rsidP="00DC14A6">
      <w:pPr>
        <w:pStyle w:val="Heading5"/>
        <w:numPr>
          <w:ilvl w:val="0"/>
          <w:numId w:val="0"/>
        </w:numPr>
        <w:spacing w:after="120"/>
        <w:jc w:val="both"/>
      </w:pPr>
      <w:r>
        <w:lastRenderedPageBreak/>
        <w:t>C</w:t>
      </w:r>
      <w:r w:rsidR="006274EF">
        <w:t>ombination</w:t>
      </w:r>
      <w:r>
        <w:t xml:space="preserve"> bupropion</w:t>
      </w:r>
    </w:p>
    <w:p w14:paraId="71F1F169" w14:textId="0BEDE828" w:rsidR="00E92A2B" w:rsidRPr="00E92A2B" w:rsidRDefault="005B21A5" w:rsidP="00DC14A6">
      <w:pPr>
        <w:spacing w:after="120"/>
        <w:jc w:val="both"/>
      </w:pPr>
      <w:r>
        <w:t>Bupropion</w:t>
      </w:r>
      <w:r w:rsidR="00E92A2B" w:rsidRPr="00E92A2B">
        <w:t xml:space="preserve"> in combination with NRT ha</w:t>
      </w:r>
      <w:r w:rsidR="004C2E15">
        <w:t>s</w:t>
      </w:r>
      <w:r w:rsidR="00E92A2B" w:rsidRPr="00E92A2B">
        <w:t xml:space="preserve"> not been previously considered by the PBAC</w:t>
      </w:r>
      <w:r w:rsidR="001C7C4C">
        <w:t xml:space="preserve"> (see combination varenicline section for</w:t>
      </w:r>
      <w:r w:rsidR="00661733">
        <w:t xml:space="preserve"> the use of</w:t>
      </w:r>
      <w:r w:rsidR="001C7C4C">
        <w:t xml:space="preserve"> </w:t>
      </w:r>
      <w:r w:rsidR="00661733">
        <w:t>bupropion in combination with varenicline)</w:t>
      </w:r>
      <w:r w:rsidR="00E92A2B" w:rsidRPr="00E92A2B">
        <w:t xml:space="preserve">. </w:t>
      </w:r>
    </w:p>
    <w:p w14:paraId="3A50C18A" w14:textId="2D635B1B" w:rsidR="006274EF" w:rsidRDefault="006274EF" w:rsidP="00DC14A6">
      <w:pPr>
        <w:spacing w:after="120"/>
        <w:jc w:val="both"/>
        <w:rPr>
          <w:b/>
          <w:strike/>
        </w:rPr>
      </w:pPr>
      <w:r w:rsidRPr="00944A49">
        <w:rPr>
          <w:b/>
          <w:bCs/>
        </w:rPr>
        <w:t xml:space="preserve">Bupropion </w:t>
      </w:r>
      <w:r w:rsidR="00693DA2">
        <w:rPr>
          <w:b/>
          <w:bCs/>
        </w:rPr>
        <w:t>in</w:t>
      </w:r>
      <w:r w:rsidR="00276EE7">
        <w:rPr>
          <w:b/>
          <w:bCs/>
        </w:rPr>
        <w:t xml:space="preserve"> </w:t>
      </w:r>
      <w:r w:rsidRPr="00944A49">
        <w:rPr>
          <w:b/>
          <w:bCs/>
        </w:rPr>
        <w:t xml:space="preserve">combination </w:t>
      </w:r>
      <w:r w:rsidR="00276EE7">
        <w:rPr>
          <w:b/>
          <w:bCs/>
        </w:rPr>
        <w:t xml:space="preserve">with </w:t>
      </w:r>
      <w:r w:rsidRPr="00944A49">
        <w:rPr>
          <w:b/>
          <w:bCs/>
        </w:rPr>
        <w:t>NRT</w:t>
      </w:r>
      <w:r w:rsidR="00407E2C">
        <w:rPr>
          <w:b/>
          <w:bCs/>
        </w:rPr>
        <w:t xml:space="preserve"> versus NRT</w:t>
      </w:r>
    </w:p>
    <w:p w14:paraId="1E088B5C" w14:textId="2C882440" w:rsidR="00407E2C" w:rsidRPr="00407E2C" w:rsidRDefault="00407E2C" w:rsidP="00DC14A6">
      <w:pPr>
        <w:spacing w:after="120"/>
        <w:jc w:val="both"/>
      </w:pPr>
      <w:bookmarkStart w:id="137" w:name="_Hlk58492833"/>
      <w:r w:rsidRPr="00407E2C">
        <w:t>A summary of the citation details for the studies comparing</w:t>
      </w:r>
      <w:r>
        <w:t xml:space="preserve"> bupropion</w:t>
      </w:r>
      <w:r w:rsidRPr="00407E2C">
        <w:t xml:space="preserve"> plus NRT with </w:t>
      </w:r>
      <w:r>
        <w:t>NRT</w:t>
      </w:r>
      <w:r w:rsidRPr="00407E2C">
        <w:t xml:space="preserve"> alone is presented in </w:t>
      </w:r>
      <w:r w:rsidR="004715E2">
        <w:fldChar w:fldCharType="begin" w:fldLock="1"/>
      </w:r>
      <w:r w:rsidR="004715E2">
        <w:instrText xml:space="preserve"> REF _Ref58418782 \h </w:instrText>
      </w:r>
      <w:r w:rsidR="004715E2">
        <w:fldChar w:fldCharType="separate"/>
      </w:r>
      <w:r w:rsidR="00EC5CC7">
        <w:t xml:space="preserve">Table </w:t>
      </w:r>
      <w:r w:rsidR="00EC5CC7">
        <w:rPr>
          <w:noProof/>
        </w:rPr>
        <w:t>74</w:t>
      </w:r>
      <w:r w:rsidR="004715E2">
        <w:fldChar w:fldCharType="end"/>
      </w:r>
      <w:r w:rsidRPr="00407E2C">
        <w:t xml:space="preserve">. A recently conducted </w:t>
      </w:r>
      <w:r w:rsidR="00142C2E">
        <w:t>Cochrane</w:t>
      </w:r>
      <w:r w:rsidRPr="00407E2C">
        <w:t xml:space="preserve"> </w:t>
      </w:r>
      <w:r w:rsidR="00696736" w:rsidRPr="00407E2C">
        <w:t>R</w:t>
      </w:r>
      <w:r w:rsidRPr="00407E2C">
        <w:t xml:space="preserve">eview by </w:t>
      </w:r>
      <w:r w:rsidR="00142C2E">
        <w:t>Howes</w:t>
      </w:r>
      <w:r w:rsidRPr="00407E2C">
        <w:t xml:space="preserve"> et al. (20</w:t>
      </w:r>
      <w:r w:rsidR="00142C2E">
        <w:t>20</w:t>
      </w:r>
      <w:r w:rsidRPr="00407E2C">
        <w:t xml:space="preserve">) was identified in the systematic literature review that compared </w:t>
      </w:r>
      <w:r w:rsidR="004715E2">
        <w:t>bupropion</w:t>
      </w:r>
      <w:r w:rsidRPr="00407E2C">
        <w:t xml:space="preserve"> plus NRT with </w:t>
      </w:r>
      <w:r w:rsidR="004715E2">
        <w:t>NRT</w:t>
      </w:r>
      <w:r w:rsidRPr="00407E2C">
        <w:t xml:space="preserve"> alone and was included in this report.</w:t>
      </w:r>
      <w:r w:rsidR="00696736" w:rsidRPr="00696736">
        <w:t xml:space="preserve"> No new studies comparing </w:t>
      </w:r>
      <w:r w:rsidR="00696736">
        <w:t>bupropion</w:t>
      </w:r>
      <w:r w:rsidR="00696736" w:rsidRPr="00407E2C">
        <w:t xml:space="preserve"> plus NRT with </w:t>
      </w:r>
      <w:r w:rsidR="00696736">
        <w:t>NRT</w:t>
      </w:r>
      <w:r w:rsidR="00696736" w:rsidRPr="00407E2C">
        <w:t xml:space="preserve"> alone</w:t>
      </w:r>
      <w:r w:rsidR="00696736" w:rsidRPr="00696736">
        <w:t xml:space="preserve"> were identified in the supplemental literature search.</w:t>
      </w:r>
    </w:p>
    <w:p w14:paraId="7156EA08" w14:textId="2957D7F2" w:rsidR="005D367C" w:rsidRDefault="005D367C" w:rsidP="00DC14A6">
      <w:pPr>
        <w:pStyle w:val="Caption"/>
        <w:keepNext/>
        <w:spacing w:before="0" w:after="120"/>
        <w:jc w:val="both"/>
      </w:pPr>
      <w:bookmarkStart w:id="138" w:name="_Ref58418782"/>
      <w:bookmarkEnd w:id="137"/>
      <w:r>
        <w:t xml:space="preserve">Table </w:t>
      </w:r>
      <w:r w:rsidR="00BF3F75">
        <w:fldChar w:fldCharType="begin"/>
      </w:r>
      <w:r w:rsidR="00BF3F75">
        <w:instrText xml:space="preserve"> SEQ Table \* ARABIC </w:instrText>
      </w:r>
      <w:r w:rsidR="00BF3F75">
        <w:fldChar w:fldCharType="separate"/>
      </w:r>
      <w:r w:rsidR="00EC5CC7">
        <w:rPr>
          <w:noProof/>
        </w:rPr>
        <w:t>74</w:t>
      </w:r>
      <w:r w:rsidR="00BF3F75">
        <w:rPr>
          <w:noProof/>
        </w:rPr>
        <w:fldChar w:fldCharType="end"/>
      </w:r>
      <w:bookmarkEnd w:id="138"/>
      <w:r>
        <w:t xml:space="preserve">: </w:t>
      </w:r>
      <w:r w:rsidRPr="008207E2">
        <w:t xml:space="preserve">List of studies comparing </w:t>
      </w:r>
      <w:r>
        <w:t>bupropion</w:t>
      </w:r>
      <w:r w:rsidRPr="008207E2">
        <w:t xml:space="preserve"> plus NRT with </w:t>
      </w:r>
      <w:r>
        <w:t>NRT</w:t>
      </w:r>
      <w:r w:rsidRPr="008207E2">
        <w:t xml:space="preserve"> alone</w:t>
      </w:r>
    </w:p>
    <w:tbl>
      <w:tblPr>
        <w:tblStyle w:val="TableGrid"/>
        <w:tblW w:w="5000" w:type="pct"/>
        <w:tblLook w:val="04A0" w:firstRow="1" w:lastRow="0" w:firstColumn="1" w:lastColumn="0" w:noHBand="0" w:noVBand="1"/>
        <w:tblCaption w:val="Efficacy results of adalimumab trials (PASI 75 and DLQI)"/>
      </w:tblPr>
      <w:tblGrid>
        <w:gridCol w:w="1004"/>
        <w:gridCol w:w="8012"/>
      </w:tblGrid>
      <w:tr w:rsidR="00407E2C" w:rsidRPr="00061F78" w14:paraId="0D4C8297" w14:textId="77777777" w:rsidTr="00EB33BB">
        <w:trPr>
          <w:cantSplit/>
          <w:trHeight w:val="329"/>
          <w:tblHeader/>
        </w:trPr>
        <w:tc>
          <w:tcPr>
            <w:tcW w:w="557" w:type="pct"/>
            <w:shd w:val="clear" w:color="auto" w:fill="BFBFBF" w:themeFill="background1" w:themeFillShade="BF"/>
            <w:tcMar>
              <w:left w:w="28" w:type="dxa"/>
              <w:right w:w="28" w:type="dxa"/>
            </w:tcMar>
          </w:tcPr>
          <w:p w14:paraId="704F8C25" w14:textId="77777777" w:rsidR="00407E2C" w:rsidRPr="00061F78" w:rsidRDefault="00407E2C" w:rsidP="00EB33BB">
            <w:pPr>
              <w:pStyle w:val="Tableheading"/>
              <w:keepNext/>
              <w:rPr>
                <w:rFonts w:eastAsia="MS Mincho"/>
              </w:rPr>
            </w:pPr>
            <w:r>
              <w:rPr>
                <w:rFonts w:eastAsia="MS Mincho"/>
              </w:rPr>
              <w:t>Study</w:t>
            </w:r>
          </w:p>
        </w:tc>
        <w:tc>
          <w:tcPr>
            <w:tcW w:w="4443" w:type="pct"/>
            <w:shd w:val="clear" w:color="auto" w:fill="BFBFBF" w:themeFill="background1" w:themeFillShade="BF"/>
          </w:tcPr>
          <w:p w14:paraId="36C060C0" w14:textId="77777777" w:rsidR="00407E2C" w:rsidRDefault="00407E2C" w:rsidP="00EB33BB">
            <w:pPr>
              <w:pStyle w:val="Tableheading"/>
              <w:keepNext/>
              <w:jc w:val="center"/>
              <w:rPr>
                <w:rFonts w:eastAsia="MS Mincho"/>
              </w:rPr>
            </w:pPr>
            <w:r>
              <w:rPr>
                <w:rFonts w:eastAsia="MS Mincho"/>
              </w:rPr>
              <w:t>Citation</w:t>
            </w:r>
          </w:p>
        </w:tc>
      </w:tr>
      <w:tr w:rsidR="00407E2C" w:rsidRPr="00061F78" w14:paraId="329FE0BC" w14:textId="77777777" w:rsidTr="00EB33BB">
        <w:trPr>
          <w:cantSplit/>
          <w:trHeight w:val="164"/>
        </w:trPr>
        <w:tc>
          <w:tcPr>
            <w:tcW w:w="557" w:type="pct"/>
            <w:tcMar>
              <w:left w:w="28" w:type="dxa"/>
              <w:right w:w="28" w:type="dxa"/>
            </w:tcMar>
          </w:tcPr>
          <w:p w14:paraId="20C0C110" w14:textId="6845D14B" w:rsidR="00407E2C" w:rsidRDefault="00407E2C" w:rsidP="00407E2C">
            <w:pPr>
              <w:pStyle w:val="Tablewriting"/>
              <w:keepNext/>
              <w:rPr>
                <w:rFonts w:eastAsia="MS Mincho"/>
              </w:rPr>
            </w:pPr>
            <w:r>
              <w:rPr>
                <w:rFonts w:eastAsia="MS Mincho"/>
              </w:rPr>
              <w:t>Howes</w:t>
            </w:r>
            <w:r w:rsidRPr="00061F78">
              <w:rPr>
                <w:rFonts w:eastAsia="MS Mincho"/>
              </w:rPr>
              <w:t xml:space="preserve"> (20</w:t>
            </w:r>
            <w:r>
              <w:rPr>
                <w:rFonts w:eastAsia="MS Mincho"/>
              </w:rPr>
              <w:t>20</w:t>
            </w:r>
            <w:r w:rsidRPr="00061F78">
              <w:rPr>
                <w:rFonts w:eastAsia="MS Mincho"/>
              </w:rPr>
              <w:t>)</w:t>
            </w:r>
            <w:hyperlink w:anchor="_ENREF_3" w:tooltip="Howes, 2020 #530" w:history="1">
              <w:r w:rsidR="0039468B">
                <w:rPr>
                  <w:rFonts w:eastAsia="MS Mincho"/>
                </w:rPr>
                <w:fldChar w:fldCharType="begin"/>
              </w:r>
              <w:r w:rsidR="0039468B">
                <w:rPr>
                  <w:rFonts w:eastAsia="MS Mincho"/>
                </w:rPr>
                <w:instrText xml:space="preserve"> ADDIN EN.CITE &lt;EndNote&gt;&lt;Cite&gt;&lt;Author&gt;Howes&lt;/Author&gt;&lt;Year&gt;2020&lt;/Year&gt;&lt;RecNum&gt;530&lt;/RecNum&gt;&lt;DisplayText&gt;&lt;style face="superscript"&gt;3&lt;/style&gt;&lt;/DisplayText&gt;&lt;record&gt;&lt;rec-number&gt;530&lt;/rec-number&gt;&lt;foreign-keys&gt;&lt;key app="EN" db-id="2xwa055rhevv2yef5v75fepy2azsv0xvx</w:instrText>
              </w:r>
              <w:r w:rsidR="0039468B">
                <w:rPr>
                  <w:rFonts w:eastAsia="MS Mincho" w:hint="eastAsia"/>
                </w:rPr>
                <w:instrText>9w9" timestamp="1602031206"&gt;530&lt;/key&gt;&lt;/foreign-keys&gt;&lt;ref-type name="Journal Article"&gt;17&lt;/ref-type&gt;&lt;contributors&gt;&lt;authors&gt;&lt;author&gt;Howes, S.&lt;/author&gt;&lt;author&gt;Hartmann</w:instrText>
              </w:r>
              <w:r w:rsidR="0039468B">
                <w:rPr>
                  <w:rFonts w:eastAsia="MS Mincho" w:hint="eastAsia"/>
                </w:rPr>
                <w:instrText>‐</w:instrText>
              </w:r>
              <w:r w:rsidR="0039468B">
                <w:rPr>
                  <w:rFonts w:eastAsia="MS Mincho" w:hint="eastAsia"/>
                </w:rPr>
                <w:instrText>Boyce, J.&lt;/author&gt;&lt;author&gt;Livingstone</w:instrText>
              </w:r>
              <w:r w:rsidR="0039468B">
                <w:rPr>
                  <w:rFonts w:eastAsia="MS Mincho" w:hint="eastAsia"/>
                </w:rPr>
                <w:instrText>‐</w:instrText>
              </w:r>
              <w:r w:rsidR="0039468B">
                <w:rPr>
                  <w:rFonts w:eastAsia="MS Mincho" w:hint="eastAsia"/>
                </w:rPr>
                <w:instrText>Banks, J.&lt;/author&gt;&lt;author&gt;Hong, B.&lt;/author&gt;&lt;author&gt;Li</w:instrText>
              </w:r>
              <w:r w:rsidR="0039468B">
                <w:rPr>
                  <w:rFonts w:eastAsia="MS Mincho"/>
                </w:rPr>
                <w:instrText>ndson, N.&lt;/author&gt;&lt;/authors&gt;&lt;/contributors&gt;&lt;titles&gt;&lt;title&gt;Antidepressants for smoking cessation&lt;/title&gt;&lt;secondary-title&gt;Cochrane Database of Systematic Reviews&lt;/secondary-title&gt;&lt;/titles&gt;&lt;periodical&gt;&lt;full-title&gt;Cochrane Database of Systematic Reviews&lt;/full</w:instrText>
              </w:r>
              <w:r w:rsidR="0039468B">
                <w:rPr>
                  <w:rFonts w:eastAsia="MS Mincho" w:hint="eastAsia"/>
                </w:rPr>
                <w:instrText>-title&gt;&lt;/periodical&gt;&lt;number&gt;4&lt;/number&gt;&lt;keywords&gt;&lt;keyword&gt;Antidepressive Agents [adverse effects, *therapeutic use]&lt;/keyword&gt;&lt;keyword&gt;Anti</w:instrText>
              </w:r>
              <w:r w:rsidR="0039468B">
                <w:rPr>
                  <w:rFonts w:eastAsia="MS Mincho" w:hint="eastAsia"/>
                </w:rPr>
                <w:instrText>‐</w:instrText>
              </w:r>
              <w:r w:rsidR="0039468B">
                <w:rPr>
                  <w:rFonts w:eastAsia="MS Mincho" w:hint="eastAsia"/>
                </w:rPr>
                <w:instrText>Anxiety Agents [adverse effects, *therapeutic use]&lt;/keyword&gt;&lt;keyword&gt;Bupropion [adverse effects, therapeutic use]&lt;/ke</w:instrText>
              </w:r>
              <w:r w:rsidR="0039468B">
                <w:rPr>
                  <w:rFonts w:eastAsia="MS Mincho"/>
                </w:rPr>
                <w:instrText>yword&gt;&lt;keyword&gt;Humans&lt;/keyword&gt;&lt;keyword&gt;Nortriptyline [therapeutic use]&lt;/keyword&gt;&lt;keyword&gt;Randomized Controlled Trials as Topic&lt;/keyword&gt;&lt;keyword&gt;Serotonin Uptake Inhibitors [therapeutic use]&lt;/keyword&gt;&lt;keyword&gt;Smoking Cessation [*methods, psychology]&lt;/keyword&gt;&lt;keyword&gt;Smoking [*drug therapy, psychology]&lt;/keyword&gt;&lt;keyword&gt;Tobacco Use Cessation Devices&lt;/keyword&gt;&lt;keyword&gt;Varenicline [adverse effects, therapeutic use]&lt;/keyword&gt;&lt;/keywords&gt;&lt;dates&gt;&lt;year&gt;2020&lt;/year&gt;&lt;/dates&gt;&lt;publisher&gt;John Wiley &amp;amp; Sons, Ltd&lt;/publisher&gt;&lt;isbn&gt;1465-1858&lt;/isbn&gt;&lt;accession-num&gt;CD000031&lt;/accession-num&gt;&lt;urls&gt;&lt;related-urls&gt;&lt;url&gt;https://doi.org//10.1002/14651858.CD000031.pub5&lt;/url&gt;&lt;/related-urls&gt;&lt;/urls&gt;&lt;electronic-resource-num&gt;10.1002/14651858.CD000031.pub5&lt;/electronic-resource-num&gt;&lt;/record&gt;&lt;/Cite&gt;&lt;/EndNote&gt;</w:instrText>
              </w:r>
              <w:r w:rsidR="0039468B">
                <w:rPr>
                  <w:rFonts w:eastAsia="MS Mincho"/>
                </w:rPr>
                <w:fldChar w:fldCharType="separate"/>
              </w:r>
              <w:r w:rsidR="0039468B" w:rsidRPr="007A3AB0">
                <w:rPr>
                  <w:rFonts w:eastAsia="MS Mincho"/>
                  <w:noProof/>
                  <w:vertAlign w:val="superscript"/>
                </w:rPr>
                <w:t>3</w:t>
              </w:r>
              <w:r w:rsidR="0039468B">
                <w:rPr>
                  <w:rFonts w:eastAsia="MS Mincho"/>
                </w:rPr>
                <w:fldChar w:fldCharType="end"/>
              </w:r>
            </w:hyperlink>
            <w:r w:rsidRPr="00D07303">
              <w:rPr>
                <w:rFonts w:eastAsia="MS Mincho"/>
                <w:vertAlign w:val="superscript"/>
              </w:rPr>
              <w:t xml:space="preserve"> </w:t>
            </w:r>
          </w:p>
        </w:tc>
        <w:tc>
          <w:tcPr>
            <w:tcW w:w="4443" w:type="pct"/>
          </w:tcPr>
          <w:p w14:paraId="1DBB39AA" w14:textId="2B098D44" w:rsidR="00407E2C" w:rsidRPr="008E38BA" w:rsidRDefault="00826C95" w:rsidP="00407E2C">
            <w:pPr>
              <w:pStyle w:val="Tablewriting"/>
              <w:keepNext/>
              <w:rPr>
                <w:rFonts w:eastAsia="MS Mincho"/>
              </w:rPr>
            </w:pPr>
            <w:r w:rsidRPr="002764E0">
              <w:rPr>
                <w:rFonts w:eastAsia="MS Mincho"/>
              </w:rPr>
              <w:t>Howes S</w:t>
            </w:r>
            <w:r w:rsidR="00407E2C" w:rsidRPr="002764E0">
              <w:rPr>
                <w:rFonts w:eastAsia="MS Mincho"/>
              </w:rPr>
              <w:t>, Hartmann‐</w:t>
            </w:r>
            <w:r w:rsidRPr="002764E0">
              <w:rPr>
                <w:rFonts w:eastAsia="MS Mincho"/>
              </w:rPr>
              <w:t>Boyce J</w:t>
            </w:r>
            <w:r w:rsidR="00407E2C" w:rsidRPr="002764E0">
              <w:rPr>
                <w:rFonts w:eastAsia="MS Mincho"/>
              </w:rPr>
              <w:t>, Livingstone‐</w:t>
            </w:r>
            <w:r w:rsidRPr="002764E0">
              <w:rPr>
                <w:rFonts w:eastAsia="MS Mincho"/>
              </w:rPr>
              <w:t>Banks J</w:t>
            </w:r>
            <w:r w:rsidR="00407E2C" w:rsidRPr="002764E0">
              <w:rPr>
                <w:rFonts w:eastAsia="MS Mincho"/>
              </w:rPr>
              <w:t xml:space="preserve">, </w:t>
            </w:r>
            <w:r w:rsidRPr="002764E0">
              <w:rPr>
                <w:rFonts w:eastAsia="MS Mincho"/>
              </w:rPr>
              <w:t>Hong B</w:t>
            </w:r>
            <w:r w:rsidR="00407E2C" w:rsidRPr="002764E0">
              <w:rPr>
                <w:rFonts w:eastAsia="MS Mincho"/>
              </w:rPr>
              <w:t xml:space="preserve">, </w:t>
            </w:r>
            <w:r w:rsidRPr="002764E0">
              <w:rPr>
                <w:rFonts w:eastAsia="MS Mincho"/>
              </w:rPr>
              <w:t>Lindson N.</w:t>
            </w:r>
            <w:r w:rsidR="00407E2C" w:rsidRPr="002764E0">
              <w:rPr>
                <w:rFonts w:eastAsia="MS Mincho"/>
              </w:rPr>
              <w:t xml:space="preserve"> Antidepressants for smoking cessation. Cochrane Database of Systematic Reviews 2020, Issue 4. Art. No.: CD000031.</w:t>
            </w:r>
          </w:p>
        </w:tc>
      </w:tr>
    </w:tbl>
    <w:p w14:paraId="3099794F" w14:textId="7A44E6B9" w:rsidR="00B139BB" w:rsidRDefault="004E214B" w:rsidP="002C2DB9">
      <w:pPr>
        <w:spacing w:before="120" w:after="120"/>
        <w:jc w:val="both"/>
      </w:pPr>
      <w:r w:rsidRPr="004E214B">
        <w:t>A summary of the characteristics of the studies comparing bupropion</w:t>
      </w:r>
      <w:r>
        <w:t xml:space="preserve"> plus NRT</w:t>
      </w:r>
      <w:r w:rsidRPr="004E214B">
        <w:t xml:space="preserve"> with </w:t>
      </w:r>
      <w:r>
        <w:t>NRT alone</w:t>
      </w:r>
      <w:r w:rsidRPr="004E214B">
        <w:t xml:space="preserve"> is presented in Table </w:t>
      </w:r>
      <w:r w:rsidR="00DC14A6">
        <w:t>75</w:t>
      </w:r>
      <w:r w:rsidRPr="004E214B">
        <w:t xml:space="preserve">. A total of </w:t>
      </w:r>
      <w:r w:rsidR="00F01A46">
        <w:t>1</w:t>
      </w:r>
      <w:r w:rsidR="00E024D1">
        <w:t>2</w:t>
      </w:r>
      <w:r w:rsidR="00F01A46" w:rsidRPr="00F01A46">
        <w:t xml:space="preserve"> </w:t>
      </w:r>
      <w:r w:rsidRPr="004E214B">
        <w:t xml:space="preserve">RCTs comparing bupropion </w:t>
      </w:r>
      <w:r w:rsidR="00F01A46">
        <w:t>plus NRT</w:t>
      </w:r>
      <w:r w:rsidR="00F01A46" w:rsidRPr="004E214B">
        <w:t xml:space="preserve"> </w:t>
      </w:r>
      <w:r w:rsidRPr="004E214B">
        <w:t xml:space="preserve">with </w:t>
      </w:r>
      <w:r w:rsidR="00F01A46">
        <w:t>NRT alone</w:t>
      </w:r>
      <w:r w:rsidRPr="004E214B">
        <w:t xml:space="preserve"> were identified by Howes et al. (2020</w:t>
      </w:r>
      <w:r w:rsidR="00F01A46" w:rsidRPr="00F01A46">
        <w:t>)</w:t>
      </w:r>
      <w:r w:rsidRPr="004E214B">
        <w:t xml:space="preserve">. The characteristics of the individual studies are presented in </w:t>
      </w:r>
      <w:r w:rsidRPr="008340F4">
        <w:t>Appendix</w:t>
      </w:r>
      <w:r w:rsidR="002C2DB9">
        <w:t xml:space="preserve"> Table 159.</w:t>
      </w:r>
    </w:p>
    <w:p w14:paraId="22ECC061" w14:textId="43EA6CDD" w:rsidR="00E61486" w:rsidRDefault="00E61486" w:rsidP="00DC14A6">
      <w:pPr>
        <w:pStyle w:val="Caption"/>
        <w:keepNext/>
        <w:spacing w:before="0" w:after="120"/>
        <w:jc w:val="both"/>
      </w:pPr>
      <w:r>
        <w:t xml:space="preserve">Table </w:t>
      </w:r>
      <w:r w:rsidR="00BF3F75">
        <w:fldChar w:fldCharType="begin"/>
      </w:r>
      <w:r w:rsidR="00BF3F75">
        <w:instrText xml:space="preserve"> SEQ Table \* ARABIC </w:instrText>
      </w:r>
      <w:r w:rsidR="00BF3F75">
        <w:fldChar w:fldCharType="separate"/>
      </w:r>
      <w:r w:rsidR="00EC5CC7">
        <w:rPr>
          <w:noProof/>
        </w:rPr>
        <w:t>75</w:t>
      </w:r>
      <w:r w:rsidR="00BF3F75">
        <w:rPr>
          <w:noProof/>
        </w:rPr>
        <w:fldChar w:fldCharType="end"/>
      </w:r>
      <w:r>
        <w:t xml:space="preserve">: </w:t>
      </w:r>
      <w:r w:rsidRPr="00545E48">
        <w:t xml:space="preserve">Characteristics of the studies comparing </w:t>
      </w:r>
      <w:r>
        <w:t xml:space="preserve">bupropion </w:t>
      </w:r>
      <w:r w:rsidRPr="00545E48">
        <w:t xml:space="preserve">plus NRT with </w:t>
      </w:r>
      <w:r>
        <w:t>NRT</w:t>
      </w:r>
      <w:r w:rsidRPr="00545E48">
        <w:t xml:space="preserve"> alone</w:t>
      </w:r>
    </w:p>
    <w:tbl>
      <w:tblPr>
        <w:tblStyle w:val="TableGrid"/>
        <w:tblW w:w="5000" w:type="pct"/>
        <w:tblLook w:val="04A0" w:firstRow="1" w:lastRow="0" w:firstColumn="1" w:lastColumn="0" w:noHBand="0" w:noVBand="1"/>
        <w:tblCaption w:val="Efficacy results of adalimumab trials (PASI 75 and DLQI)"/>
      </w:tblPr>
      <w:tblGrid>
        <w:gridCol w:w="646"/>
        <w:gridCol w:w="1049"/>
        <w:gridCol w:w="1008"/>
        <w:gridCol w:w="2672"/>
        <w:gridCol w:w="1654"/>
        <w:gridCol w:w="1987"/>
      </w:tblGrid>
      <w:tr w:rsidR="001B2B34" w:rsidRPr="00061F78" w14:paraId="4289B1FF" w14:textId="77777777" w:rsidTr="00B45A47">
        <w:trPr>
          <w:trHeight w:val="299"/>
          <w:tblHeader/>
        </w:trPr>
        <w:tc>
          <w:tcPr>
            <w:tcW w:w="358" w:type="pct"/>
            <w:shd w:val="clear" w:color="auto" w:fill="BFBFBF" w:themeFill="background1" w:themeFillShade="BF"/>
            <w:tcMar>
              <w:left w:w="28" w:type="dxa"/>
              <w:right w:w="28" w:type="dxa"/>
            </w:tcMar>
          </w:tcPr>
          <w:p w14:paraId="537CDD7D" w14:textId="77777777" w:rsidR="00CA458B" w:rsidRPr="00061F78" w:rsidRDefault="00CA458B" w:rsidP="00B139BB">
            <w:pPr>
              <w:pStyle w:val="Tableheading"/>
              <w:rPr>
                <w:rFonts w:eastAsia="MS Mincho"/>
              </w:rPr>
            </w:pPr>
            <w:r>
              <w:rPr>
                <w:rFonts w:eastAsia="MS Mincho"/>
              </w:rPr>
              <w:t>Study</w:t>
            </w:r>
          </w:p>
        </w:tc>
        <w:tc>
          <w:tcPr>
            <w:tcW w:w="582" w:type="pct"/>
            <w:shd w:val="clear" w:color="auto" w:fill="BFBFBF" w:themeFill="background1" w:themeFillShade="BF"/>
          </w:tcPr>
          <w:p w14:paraId="7849E105" w14:textId="77777777" w:rsidR="00CA458B" w:rsidRDefault="00CA458B" w:rsidP="00B139BB">
            <w:pPr>
              <w:pStyle w:val="Tableheading"/>
              <w:jc w:val="center"/>
              <w:rPr>
                <w:rFonts w:eastAsia="MS Mincho"/>
              </w:rPr>
            </w:pPr>
            <w:r>
              <w:rPr>
                <w:rFonts w:eastAsia="MS Mincho"/>
              </w:rPr>
              <w:t>Study type</w:t>
            </w:r>
          </w:p>
        </w:tc>
        <w:tc>
          <w:tcPr>
            <w:tcW w:w="559" w:type="pct"/>
            <w:shd w:val="clear" w:color="auto" w:fill="BFBFBF" w:themeFill="background1" w:themeFillShade="BF"/>
            <w:tcMar>
              <w:left w:w="28" w:type="dxa"/>
              <w:right w:w="28" w:type="dxa"/>
            </w:tcMar>
          </w:tcPr>
          <w:p w14:paraId="454A6A23" w14:textId="77777777" w:rsidR="00CA458B" w:rsidRPr="00AB145F" w:rsidRDefault="00CA458B" w:rsidP="00B139BB">
            <w:pPr>
              <w:pStyle w:val="Tableheading"/>
              <w:jc w:val="center"/>
              <w:rPr>
                <w:rFonts w:eastAsia="MS Mincho"/>
                <w:vertAlign w:val="superscript"/>
              </w:rPr>
            </w:pPr>
            <w:r>
              <w:rPr>
                <w:rFonts w:eastAsia="MS Mincho"/>
              </w:rPr>
              <w:t>N</w:t>
            </w:r>
            <w:r>
              <w:rPr>
                <w:rFonts w:eastAsia="MS Mincho"/>
                <w:vertAlign w:val="superscript"/>
              </w:rPr>
              <w:t>1</w:t>
            </w:r>
          </w:p>
        </w:tc>
        <w:tc>
          <w:tcPr>
            <w:tcW w:w="1482" w:type="pct"/>
            <w:shd w:val="clear" w:color="auto" w:fill="BFBFBF" w:themeFill="background1" w:themeFillShade="BF"/>
            <w:tcMar>
              <w:left w:w="28" w:type="dxa"/>
              <w:right w:w="28" w:type="dxa"/>
            </w:tcMar>
          </w:tcPr>
          <w:p w14:paraId="52D69B27" w14:textId="77777777" w:rsidR="00CA458B" w:rsidRPr="00061F78" w:rsidRDefault="00CA458B" w:rsidP="00B139BB">
            <w:pPr>
              <w:pStyle w:val="Tableheading"/>
              <w:jc w:val="center"/>
              <w:rPr>
                <w:rFonts w:eastAsia="MS Mincho"/>
              </w:rPr>
            </w:pPr>
            <w:r w:rsidRPr="00061F78">
              <w:rPr>
                <w:rFonts w:eastAsia="MS Mincho"/>
              </w:rPr>
              <w:t>P</w:t>
            </w:r>
            <w:r>
              <w:rPr>
                <w:rFonts w:eastAsia="MS Mincho"/>
              </w:rPr>
              <w:t>opulation</w:t>
            </w:r>
          </w:p>
        </w:tc>
        <w:tc>
          <w:tcPr>
            <w:tcW w:w="917" w:type="pct"/>
            <w:shd w:val="clear" w:color="auto" w:fill="BFBFBF" w:themeFill="background1" w:themeFillShade="BF"/>
          </w:tcPr>
          <w:p w14:paraId="0E0B0A3A" w14:textId="77777777" w:rsidR="00CA458B" w:rsidRDefault="00CA458B" w:rsidP="00B139BB">
            <w:pPr>
              <w:pStyle w:val="Tableheading"/>
              <w:jc w:val="center"/>
              <w:rPr>
                <w:rFonts w:eastAsia="MS Mincho"/>
              </w:rPr>
            </w:pPr>
            <w:r>
              <w:rPr>
                <w:rFonts w:eastAsia="MS Mincho"/>
              </w:rPr>
              <w:t>Intervention and comparator</w:t>
            </w:r>
          </w:p>
        </w:tc>
        <w:tc>
          <w:tcPr>
            <w:tcW w:w="1102" w:type="pct"/>
            <w:shd w:val="clear" w:color="auto" w:fill="BFBFBF" w:themeFill="background1" w:themeFillShade="BF"/>
            <w:tcMar>
              <w:left w:w="28" w:type="dxa"/>
              <w:right w:w="28" w:type="dxa"/>
            </w:tcMar>
          </w:tcPr>
          <w:p w14:paraId="58940B7D" w14:textId="77777777" w:rsidR="00CA458B" w:rsidRPr="00061F78" w:rsidRDefault="00CA458B" w:rsidP="00B139BB">
            <w:pPr>
              <w:pStyle w:val="Tableheading"/>
              <w:jc w:val="center"/>
              <w:rPr>
                <w:rFonts w:eastAsia="MS Mincho"/>
              </w:rPr>
            </w:pPr>
            <w:r>
              <w:rPr>
                <w:rFonts w:eastAsia="MS Mincho"/>
              </w:rPr>
              <w:t>Outcomes</w:t>
            </w:r>
          </w:p>
        </w:tc>
      </w:tr>
      <w:tr w:rsidR="00CA458B" w:rsidRPr="00061F78" w14:paraId="132B0823" w14:textId="77777777" w:rsidTr="00564063">
        <w:trPr>
          <w:trHeight w:val="149"/>
        </w:trPr>
        <w:tc>
          <w:tcPr>
            <w:tcW w:w="358" w:type="pct"/>
            <w:tcMar>
              <w:left w:w="28" w:type="dxa"/>
              <w:right w:w="28" w:type="dxa"/>
            </w:tcMar>
          </w:tcPr>
          <w:p w14:paraId="715236C7" w14:textId="5AE59B1F" w:rsidR="00CA458B" w:rsidRPr="00D07303" w:rsidRDefault="00CA458B" w:rsidP="00B139BB">
            <w:pPr>
              <w:pStyle w:val="Tablewriting"/>
              <w:rPr>
                <w:rFonts w:eastAsia="MS Mincho"/>
                <w:vertAlign w:val="superscript"/>
              </w:rPr>
            </w:pPr>
            <w:r>
              <w:rPr>
                <w:rFonts w:eastAsia="MS Mincho"/>
              </w:rPr>
              <w:t>Howes</w:t>
            </w:r>
            <w:r w:rsidRPr="00061F78">
              <w:rPr>
                <w:rFonts w:eastAsia="MS Mincho"/>
              </w:rPr>
              <w:t xml:space="preserve"> (20</w:t>
            </w:r>
            <w:r>
              <w:rPr>
                <w:rFonts w:eastAsia="MS Mincho"/>
              </w:rPr>
              <w:t>20</w:t>
            </w:r>
            <w:r w:rsidRPr="00061F78">
              <w:rPr>
                <w:rFonts w:eastAsia="MS Mincho"/>
              </w:rPr>
              <w:t>)</w:t>
            </w:r>
            <w:r w:rsidRPr="00D07303">
              <w:rPr>
                <w:rFonts w:eastAsia="MS Mincho"/>
                <w:vertAlign w:val="superscript"/>
              </w:rPr>
              <w:t xml:space="preserve"> </w:t>
            </w:r>
          </w:p>
        </w:tc>
        <w:tc>
          <w:tcPr>
            <w:tcW w:w="582" w:type="pct"/>
          </w:tcPr>
          <w:p w14:paraId="7A0C713E" w14:textId="75F3DC38" w:rsidR="00CA458B" w:rsidRDefault="00CA458B" w:rsidP="00B139BB">
            <w:pPr>
              <w:pStyle w:val="Tablewriting"/>
              <w:rPr>
                <w:rFonts w:eastAsia="MS Mincho"/>
              </w:rPr>
            </w:pPr>
            <w:r>
              <w:rPr>
                <w:rFonts w:eastAsia="MS Mincho"/>
              </w:rPr>
              <w:t xml:space="preserve">Cochrane </w:t>
            </w:r>
            <w:r w:rsidR="00826C95">
              <w:rPr>
                <w:rFonts w:eastAsia="MS Mincho"/>
              </w:rPr>
              <w:t>Review (</w:t>
            </w:r>
            <w:r w:rsidR="00564063">
              <w:rPr>
                <w:rFonts w:eastAsia="MS Mincho"/>
              </w:rPr>
              <w:t>12</w:t>
            </w:r>
            <w:r>
              <w:rPr>
                <w:rFonts w:eastAsia="MS Mincho"/>
              </w:rPr>
              <w:t xml:space="preserve"> RCTs</w:t>
            </w:r>
            <w:r w:rsidRPr="00AB145F">
              <w:rPr>
                <w:rFonts w:eastAsia="MS Mincho"/>
                <w:vertAlign w:val="superscript"/>
              </w:rPr>
              <w:t>2</w:t>
            </w:r>
            <w:r>
              <w:rPr>
                <w:rFonts w:eastAsia="MS Mincho"/>
              </w:rPr>
              <w:t>)</w:t>
            </w:r>
          </w:p>
        </w:tc>
        <w:tc>
          <w:tcPr>
            <w:tcW w:w="559" w:type="pct"/>
            <w:tcMar>
              <w:left w:w="28" w:type="dxa"/>
              <w:right w:w="28" w:type="dxa"/>
            </w:tcMar>
          </w:tcPr>
          <w:p w14:paraId="4A614897" w14:textId="53439FD5" w:rsidR="00CA458B" w:rsidRDefault="00CA458B" w:rsidP="00B139BB">
            <w:pPr>
              <w:pStyle w:val="Tablewriting"/>
              <w:rPr>
                <w:rFonts w:eastAsia="MS Mincho"/>
              </w:rPr>
            </w:pPr>
            <w:r>
              <w:rPr>
                <w:rFonts w:eastAsia="MS Mincho"/>
              </w:rPr>
              <w:t>N</w:t>
            </w:r>
            <w:r w:rsidR="00564063">
              <w:rPr>
                <w:rFonts w:eastAsia="MS Mincho"/>
              </w:rPr>
              <w:t>=3</w:t>
            </w:r>
            <w:r>
              <w:rPr>
                <w:rFonts w:eastAsia="MS Mincho"/>
              </w:rPr>
              <w:t>,</w:t>
            </w:r>
            <w:r w:rsidR="00564063">
              <w:rPr>
                <w:rFonts w:eastAsia="MS Mincho"/>
              </w:rPr>
              <w:t>487</w:t>
            </w:r>
          </w:p>
          <w:p w14:paraId="112AA672" w14:textId="36B910E7" w:rsidR="00CA458B" w:rsidRDefault="00CA458B" w:rsidP="00B139BB">
            <w:pPr>
              <w:pStyle w:val="Tablewriting"/>
              <w:rPr>
                <w:rFonts w:eastAsia="MS Mincho"/>
              </w:rPr>
            </w:pPr>
            <w:r>
              <w:rPr>
                <w:rFonts w:eastAsia="MS Mincho"/>
              </w:rPr>
              <w:t xml:space="preserve">Bupropion </w:t>
            </w:r>
            <w:r w:rsidR="00833749">
              <w:rPr>
                <w:rFonts w:eastAsia="MS Mincho"/>
              </w:rPr>
              <w:t>plus NRT</w:t>
            </w:r>
            <w:r>
              <w:rPr>
                <w:rFonts w:eastAsia="MS Mincho"/>
              </w:rPr>
              <w:t xml:space="preserve"> (n=</w:t>
            </w:r>
            <w:r w:rsidR="00564063">
              <w:rPr>
                <w:rFonts w:eastAsia="MS Mincho"/>
              </w:rPr>
              <w:t>1</w:t>
            </w:r>
            <w:r>
              <w:rPr>
                <w:rFonts w:eastAsia="MS Mincho"/>
              </w:rPr>
              <w:t>,</w:t>
            </w:r>
            <w:r w:rsidR="00564063">
              <w:rPr>
                <w:rFonts w:eastAsia="MS Mincho"/>
              </w:rPr>
              <w:t>648</w:t>
            </w:r>
            <w:r>
              <w:rPr>
                <w:rFonts w:eastAsia="MS Mincho"/>
              </w:rPr>
              <w:t>),</w:t>
            </w:r>
          </w:p>
          <w:p w14:paraId="2C4011DF" w14:textId="6EA75671" w:rsidR="00CA458B" w:rsidRPr="00061F78" w:rsidRDefault="00833749" w:rsidP="00B139BB">
            <w:pPr>
              <w:pStyle w:val="Tablewriting"/>
              <w:rPr>
                <w:rFonts w:eastAsia="MS Mincho"/>
              </w:rPr>
            </w:pPr>
            <w:r>
              <w:rPr>
                <w:rFonts w:eastAsia="MS Mincho"/>
              </w:rPr>
              <w:t>NRT alone</w:t>
            </w:r>
            <w:r w:rsidR="00CA458B">
              <w:rPr>
                <w:rFonts w:eastAsia="MS Mincho"/>
              </w:rPr>
              <w:t xml:space="preserve"> (n=</w:t>
            </w:r>
            <w:r>
              <w:rPr>
                <w:rFonts w:eastAsia="MS Mincho"/>
              </w:rPr>
              <w:t>1,839</w:t>
            </w:r>
            <w:r w:rsidR="00CA458B">
              <w:rPr>
                <w:rFonts w:eastAsia="MS Mincho"/>
              </w:rPr>
              <w:t>)</w:t>
            </w:r>
          </w:p>
        </w:tc>
        <w:tc>
          <w:tcPr>
            <w:tcW w:w="1482" w:type="pct"/>
            <w:tcMar>
              <w:left w:w="28" w:type="dxa"/>
              <w:right w:w="28" w:type="dxa"/>
            </w:tcMar>
          </w:tcPr>
          <w:p w14:paraId="30FA632B" w14:textId="77777777" w:rsidR="00CA458B" w:rsidRDefault="00CA458B" w:rsidP="00B139BB">
            <w:pPr>
              <w:pStyle w:val="Tablewriting"/>
              <w:rPr>
                <w:rFonts w:eastAsia="MS Mincho"/>
              </w:rPr>
            </w:pPr>
            <w:r w:rsidRPr="002C19B4">
              <w:rPr>
                <w:rFonts w:eastAsia="MS Mincho"/>
                <w:u w:val="single"/>
              </w:rPr>
              <w:t>Inclusion</w:t>
            </w:r>
            <w:r>
              <w:rPr>
                <w:rFonts w:eastAsia="MS Mincho"/>
              </w:rPr>
              <w:t>: t</w:t>
            </w:r>
            <w:r w:rsidRPr="002C19B4">
              <w:rPr>
                <w:rFonts w:eastAsia="MS Mincho"/>
              </w:rPr>
              <w:t>obacco smokers of any age, with or without a history</w:t>
            </w:r>
            <w:r>
              <w:rPr>
                <w:rFonts w:eastAsia="MS Mincho"/>
              </w:rPr>
              <w:t xml:space="preserve"> </w:t>
            </w:r>
            <w:r w:rsidRPr="002C19B4">
              <w:rPr>
                <w:rFonts w:eastAsia="MS Mincho"/>
              </w:rPr>
              <w:t>of mental illness.</w:t>
            </w:r>
          </w:p>
          <w:p w14:paraId="10BB2338" w14:textId="77777777" w:rsidR="00CA458B" w:rsidRPr="00061F78" w:rsidRDefault="00CA458B" w:rsidP="00B139BB">
            <w:pPr>
              <w:pStyle w:val="Tablewriting"/>
              <w:rPr>
                <w:rFonts w:eastAsia="MS Mincho"/>
              </w:rPr>
            </w:pPr>
            <w:r w:rsidRPr="002C19B4">
              <w:rPr>
                <w:rFonts w:eastAsia="MS Mincho"/>
                <w:u w:val="single"/>
              </w:rPr>
              <w:t>Exclusion</w:t>
            </w:r>
            <w:r>
              <w:rPr>
                <w:rFonts w:eastAsia="MS Mincho"/>
              </w:rPr>
              <w:t>: p</w:t>
            </w:r>
            <w:r w:rsidRPr="002C19B4">
              <w:rPr>
                <w:rFonts w:eastAsia="MS Mincho"/>
              </w:rPr>
              <w:t>regnant women</w:t>
            </w:r>
            <w:r>
              <w:rPr>
                <w:rFonts w:eastAsia="MS Mincho"/>
              </w:rPr>
              <w:t xml:space="preserve"> and</w:t>
            </w:r>
            <w:r>
              <w:t xml:space="preserve"> </w:t>
            </w:r>
            <w:r w:rsidRPr="00593CA5">
              <w:rPr>
                <w:rFonts w:eastAsia="MS Mincho"/>
              </w:rPr>
              <w:t>trials investigating use for smoking harm reduction</w:t>
            </w:r>
            <w:r>
              <w:rPr>
                <w:rFonts w:eastAsia="MS Mincho"/>
              </w:rPr>
              <w:t xml:space="preserve"> </w:t>
            </w:r>
            <w:r w:rsidRPr="00593CA5">
              <w:rPr>
                <w:rFonts w:eastAsia="MS Mincho"/>
              </w:rPr>
              <w:t>or relapse prevention</w:t>
            </w:r>
            <w:r>
              <w:rPr>
                <w:rFonts w:eastAsia="MS Mincho"/>
              </w:rPr>
              <w:t>.</w:t>
            </w:r>
          </w:p>
        </w:tc>
        <w:tc>
          <w:tcPr>
            <w:tcW w:w="917" w:type="pct"/>
          </w:tcPr>
          <w:p w14:paraId="7C445D1D" w14:textId="4F9A70F6" w:rsidR="00CA458B" w:rsidRPr="00061F78" w:rsidRDefault="00CA458B" w:rsidP="00B139BB">
            <w:pPr>
              <w:pStyle w:val="Tablewriting"/>
              <w:rPr>
                <w:rFonts w:eastAsia="MS Mincho"/>
              </w:rPr>
            </w:pPr>
            <w:r>
              <w:rPr>
                <w:rFonts w:eastAsia="MS Mincho"/>
              </w:rPr>
              <w:t>Bupropion</w:t>
            </w:r>
            <w:r w:rsidR="003B506F">
              <w:rPr>
                <w:rFonts w:eastAsia="MS Mincho"/>
              </w:rPr>
              <w:t xml:space="preserve"> plus NRT versus NRT alone (NRT</w:t>
            </w:r>
            <w:r w:rsidR="00664846">
              <w:rPr>
                <w:rFonts w:eastAsia="MS Mincho"/>
              </w:rPr>
              <w:t xml:space="preserve"> as patch alone, lozenge alone or choice of NRT)</w:t>
            </w:r>
            <w:r w:rsidR="00C410DE">
              <w:rPr>
                <w:rFonts w:eastAsia="MS Mincho"/>
              </w:rPr>
              <w:t>.</w:t>
            </w:r>
          </w:p>
        </w:tc>
        <w:tc>
          <w:tcPr>
            <w:tcW w:w="1102" w:type="pct"/>
            <w:tcMar>
              <w:left w:w="28" w:type="dxa"/>
              <w:right w:w="28" w:type="dxa"/>
            </w:tcMar>
          </w:tcPr>
          <w:p w14:paraId="65B51359" w14:textId="49C2C019" w:rsidR="00CA458B" w:rsidRDefault="00CA458B" w:rsidP="00B139BB">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14:paraId="6EB43A3C" w14:textId="5E7763BB" w:rsidR="00CA458B" w:rsidRPr="00061F78" w:rsidRDefault="00CA458B" w:rsidP="00B139BB">
            <w:pPr>
              <w:pStyle w:val="Tablewriting"/>
              <w:rPr>
                <w:rFonts w:eastAsia="MS Mincho"/>
              </w:rPr>
            </w:pPr>
            <w:r w:rsidRPr="0036499C">
              <w:rPr>
                <w:rFonts w:eastAsia="MS Mincho"/>
                <w:u w:val="single"/>
              </w:rPr>
              <w:t>Secondary</w:t>
            </w:r>
            <w:r>
              <w:rPr>
                <w:rFonts w:eastAsia="MS Mincho"/>
              </w:rPr>
              <w:t xml:space="preserve">: safety including any adverse events, serious adverse </w:t>
            </w:r>
            <w:r w:rsidR="00826C95">
              <w:rPr>
                <w:rFonts w:eastAsia="MS Mincho"/>
              </w:rPr>
              <w:t>events,</w:t>
            </w:r>
            <w:r>
              <w:rPr>
                <w:rFonts w:eastAsia="MS Mincho"/>
              </w:rPr>
              <w:t xml:space="preserve"> and dropouts due to adverse events</w:t>
            </w:r>
            <w:r w:rsidR="00C410DE">
              <w:rPr>
                <w:rFonts w:eastAsia="MS Mincho"/>
              </w:rPr>
              <w:t>.</w:t>
            </w:r>
          </w:p>
        </w:tc>
      </w:tr>
    </w:tbl>
    <w:p w14:paraId="62437846" w14:textId="77777777" w:rsidR="00833749" w:rsidRDefault="00833749" w:rsidP="00DC14A6">
      <w:pPr>
        <w:pStyle w:val="TableFooter"/>
        <w:keepNext/>
        <w:jc w:val="both"/>
        <w:rPr>
          <w:i/>
        </w:rPr>
      </w:pPr>
      <w:r>
        <w:t>Abbreviations: NRT = nicotine replacement therapy; RCT = randomised controlled trial</w:t>
      </w:r>
      <w:r w:rsidRPr="00061F78">
        <w:t xml:space="preserve"> </w:t>
      </w:r>
    </w:p>
    <w:p w14:paraId="516A0D77" w14:textId="77777777" w:rsidR="00833749" w:rsidRDefault="00833749" w:rsidP="00DC14A6">
      <w:pPr>
        <w:pStyle w:val="TableFooter"/>
        <w:keepNext/>
        <w:jc w:val="both"/>
      </w:pPr>
      <w:r>
        <w:t xml:space="preserve">1 Only the number of patients (n) in the relevant arms were included </w:t>
      </w:r>
    </w:p>
    <w:p w14:paraId="6C93679E" w14:textId="355B4931" w:rsidR="00833749" w:rsidRDefault="00833749" w:rsidP="00DC14A6">
      <w:pPr>
        <w:pStyle w:val="TableFooter"/>
        <w:spacing w:after="120"/>
        <w:jc w:val="both"/>
      </w:pPr>
      <w:r>
        <w:t xml:space="preserve">2 </w:t>
      </w:r>
      <w:r w:rsidRPr="001507A4">
        <w:t xml:space="preserve">Of the </w:t>
      </w:r>
      <w:r w:rsidR="003261C3">
        <w:t>1</w:t>
      </w:r>
      <w:r w:rsidR="0041026F">
        <w:t>2</w:t>
      </w:r>
      <w:r w:rsidRPr="001507A4">
        <w:t xml:space="preserve"> RCTs, </w:t>
      </w:r>
      <w:r w:rsidR="00CD3415">
        <w:t>nine</w:t>
      </w:r>
      <w:r w:rsidRPr="001507A4">
        <w:t xml:space="preserve"> RCTs</w:t>
      </w:r>
      <w:r>
        <w:t xml:space="preserve"> </w:t>
      </w:r>
      <w:r w:rsidR="00CD3415">
        <w:t xml:space="preserve">compared bupropion plus NRT with NRT </w:t>
      </w:r>
      <w:r w:rsidR="00573F59">
        <w:t>patches</w:t>
      </w:r>
      <w:r w:rsidR="00E44487">
        <w:t xml:space="preserve"> alone, </w:t>
      </w:r>
      <w:r w:rsidR="00F90DC5">
        <w:t xml:space="preserve">two RCTs compared bupropion plus NRT with NRT </w:t>
      </w:r>
      <w:r w:rsidR="00573F59">
        <w:t>lozenges</w:t>
      </w:r>
      <w:r w:rsidR="00F90DC5">
        <w:t xml:space="preserve"> alone and one RCT compared bupropion plus NRT with choice of NRT</w:t>
      </w:r>
      <w:r w:rsidRPr="001507A4">
        <w:t>.</w:t>
      </w:r>
      <w:r>
        <w:t xml:space="preserve"> The characteristics of the individual studies comparing bupropion </w:t>
      </w:r>
      <w:r w:rsidR="00B45A47">
        <w:t>plus NRT</w:t>
      </w:r>
      <w:r>
        <w:t xml:space="preserve"> with </w:t>
      </w:r>
      <w:r w:rsidR="00B45A47">
        <w:t>NRT</w:t>
      </w:r>
      <w:r>
        <w:t xml:space="preserve"> alone included in Howes et al. (2020) are presented in </w:t>
      </w:r>
      <w:r w:rsidRPr="008340F4">
        <w:t>Appendix</w:t>
      </w:r>
      <w:r w:rsidR="002C2DB9">
        <w:t xml:space="preserve"> Table 159.</w:t>
      </w:r>
      <w:r>
        <w:t xml:space="preserve"> </w:t>
      </w:r>
    </w:p>
    <w:p w14:paraId="37541B9B" w14:textId="77777777" w:rsidR="00546C91" w:rsidRPr="005C0DCB" w:rsidRDefault="00546C91" w:rsidP="00DC14A6">
      <w:pPr>
        <w:spacing w:after="120"/>
        <w:jc w:val="both"/>
        <w:rPr>
          <w:u w:val="single"/>
        </w:rPr>
      </w:pPr>
      <w:r w:rsidRPr="005C0DCB">
        <w:rPr>
          <w:u w:val="single"/>
        </w:rPr>
        <w:t>Efficacy</w:t>
      </w:r>
    </w:p>
    <w:p w14:paraId="0E469E68" w14:textId="39D736A7" w:rsidR="00A25438" w:rsidRDefault="00546C91" w:rsidP="00DC14A6">
      <w:pPr>
        <w:spacing w:after="120"/>
        <w:jc w:val="both"/>
      </w:pPr>
      <w:r>
        <w:t>A summary of the smoking cessation rates f</w:t>
      </w:r>
      <w:r w:rsidR="00247918">
        <w:t>or</w:t>
      </w:r>
      <w:r>
        <w:t xml:space="preserve"> at least six months follow-up</w:t>
      </w:r>
      <w:r w:rsidR="00753E05">
        <w:t xml:space="preserve"> comparing bupropion plus NRT with NRT alone</w:t>
      </w:r>
      <w:r>
        <w:t xml:space="preserve"> is presented in </w:t>
      </w:r>
      <w:r w:rsidR="00965EEC">
        <w:fldChar w:fldCharType="begin" w:fldLock="1"/>
      </w:r>
      <w:r w:rsidR="00965EEC">
        <w:instrText xml:space="preserve"> REF _Ref58422057 \h </w:instrText>
      </w:r>
      <w:r w:rsidR="00965EEC">
        <w:fldChar w:fldCharType="separate"/>
      </w:r>
      <w:r w:rsidR="00EC5CC7">
        <w:t xml:space="preserve">Table </w:t>
      </w:r>
      <w:r w:rsidR="00EC5CC7">
        <w:rPr>
          <w:noProof/>
        </w:rPr>
        <w:t>76</w:t>
      </w:r>
      <w:r w:rsidR="00965EEC">
        <w:fldChar w:fldCharType="end"/>
      </w:r>
      <w:r>
        <w:t xml:space="preserve">. </w:t>
      </w:r>
      <w:r w:rsidR="007E3BE0" w:rsidRPr="007E3BE0">
        <w:t>For the comparison</w:t>
      </w:r>
      <w:r>
        <w:t xml:space="preserve"> of </w:t>
      </w:r>
      <w:r w:rsidR="007E3BE0">
        <w:t>bupropion plus</w:t>
      </w:r>
      <w:r w:rsidR="007E3BE0" w:rsidRPr="007E3BE0">
        <w:t xml:space="preserve"> NRT versus NRT </w:t>
      </w:r>
      <w:r w:rsidR="00573F59">
        <w:t>patches</w:t>
      </w:r>
      <w:r w:rsidR="007E3BE0" w:rsidRPr="007E3BE0">
        <w:t xml:space="preserve"> alone, the results of </w:t>
      </w:r>
      <w:r>
        <w:t xml:space="preserve">the meta-analysis comprising </w:t>
      </w:r>
      <w:r w:rsidR="007E3BE0">
        <w:t>nine</w:t>
      </w:r>
      <w:r>
        <w:t xml:space="preserve"> RCTs by Howes et al. (2020) demonstrated no significant </w:t>
      </w:r>
      <w:r w:rsidR="007E3BE0">
        <w:t>difference</w:t>
      </w:r>
      <w:r>
        <w:t xml:space="preserve"> in long-term smoking cessation rates </w:t>
      </w:r>
      <w:r w:rsidR="00485D1C">
        <w:t>between the two treatment groups</w:t>
      </w:r>
      <w:r w:rsidR="007E3BE0" w:rsidRPr="007E3BE0">
        <w:t xml:space="preserve">. Similarly, the results of the meta-analysis comprising </w:t>
      </w:r>
      <w:r w:rsidR="00B94279">
        <w:t>two</w:t>
      </w:r>
      <w:r w:rsidR="007E3BE0" w:rsidRPr="007E3BE0">
        <w:t xml:space="preserve"> RCTs for the comparison of </w:t>
      </w:r>
      <w:r w:rsidR="00B94279">
        <w:t>bupropion plus</w:t>
      </w:r>
      <w:r w:rsidR="007E3BE0" w:rsidRPr="007E3BE0">
        <w:t xml:space="preserve"> NRT versus NRT </w:t>
      </w:r>
      <w:r w:rsidR="00573F59">
        <w:t>lozenges</w:t>
      </w:r>
      <w:r w:rsidR="00B94279">
        <w:t xml:space="preserve"> alone </w:t>
      </w:r>
      <w:r w:rsidR="007E3BE0" w:rsidRPr="007E3BE0">
        <w:t xml:space="preserve">demonstrated </w:t>
      </w:r>
      <w:r w:rsidR="00B33AD9">
        <w:t xml:space="preserve">no significant difference </w:t>
      </w:r>
      <w:r w:rsidR="005B0975">
        <w:t>in</w:t>
      </w:r>
      <w:r w:rsidR="007E3BE0" w:rsidRPr="007E3BE0">
        <w:t xml:space="preserve"> long-term smoking cessation rates </w:t>
      </w:r>
      <w:r w:rsidR="005B0975">
        <w:t>between the two treatment groups</w:t>
      </w:r>
      <w:r w:rsidR="007E3BE0" w:rsidRPr="007E3BE0">
        <w:t xml:space="preserve">. </w:t>
      </w:r>
      <w:r w:rsidR="00820FD9" w:rsidRPr="007E3BE0">
        <w:t xml:space="preserve">For the comparison of </w:t>
      </w:r>
      <w:r w:rsidR="00820FD9">
        <w:t>bupropion plus</w:t>
      </w:r>
      <w:r w:rsidR="007E3BE0" w:rsidRPr="007E3BE0">
        <w:t xml:space="preserve"> NRT </w:t>
      </w:r>
      <w:r w:rsidR="00820FD9" w:rsidRPr="007E3BE0">
        <w:t xml:space="preserve">versus </w:t>
      </w:r>
      <w:r w:rsidR="00820FD9">
        <w:t xml:space="preserve">choice of </w:t>
      </w:r>
      <w:r w:rsidR="007E3BE0" w:rsidRPr="007E3BE0">
        <w:t>NRT</w:t>
      </w:r>
      <w:r w:rsidR="00820FD9">
        <w:t xml:space="preserve">, one RCT </w:t>
      </w:r>
      <w:r w:rsidR="000A0EE7">
        <w:lastRenderedPageBreak/>
        <w:t>was identified by Howes et al. (2020) which demonstrated no significant difference in long-term smoking cessation rates between the two treatment groups.</w:t>
      </w:r>
      <w:r w:rsidR="007E3BE0" w:rsidRPr="007E3BE0">
        <w:t xml:space="preserve"> </w:t>
      </w:r>
    </w:p>
    <w:p w14:paraId="71288095" w14:textId="417A5CCB" w:rsidR="009B4A64" w:rsidRDefault="00ED7138" w:rsidP="00DC14A6">
      <w:pPr>
        <w:spacing w:after="120"/>
        <w:jc w:val="both"/>
      </w:pPr>
      <w:r>
        <w:t>Overall</w:t>
      </w:r>
      <w:r w:rsidR="007E3BE0" w:rsidRPr="007E3BE0">
        <w:t xml:space="preserve">, the results of the </w:t>
      </w:r>
      <w:r>
        <w:t>pooled</w:t>
      </w:r>
      <w:r w:rsidR="007E3BE0" w:rsidRPr="007E3BE0">
        <w:t xml:space="preserve"> meta-analysis </w:t>
      </w:r>
      <w:r>
        <w:t>(comprising the three comparisons)</w:t>
      </w:r>
      <w:r w:rsidR="007E3BE0" w:rsidRPr="007E3BE0">
        <w:t xml:space="preserve"> </w:t>
      </w:r>
      <w:r w:rsidR="00760E2E">
        <w:t>remained</w:t>
      </w:r>
      <w:r w:rsidR="00EC49DF">
        <w:t xml:space="preserve"> consistent</w:t>
      </w:r>
      <w:r w:rsidR="00E133D1">
        <w:t xml:space="preserve"> with</w:t>
      </w:r>
      <w:r w:rsidR="00760E2E">
        <w:t xml:space="preserve"> no significant difference </w:t>
      </w:r>
      <w:r w:rsidR="00AF146F">
        <w:t>in long-term smoking cessation rates</w:t>
      </w:r>
      <w:r w:rsidR="00760E2E">
        <w:t xml:space="preserve"> between bupropion plus</w:t>
      </w:r>
      <w:r w:rsidR="007E3BE0" w:rsidRPr="007E3BE0">
        <w:t xml:space="preserve"> NRT </w:t>
      </w:r>
      <w:r w:rsidR="00760E2E">
        <w:t>and NRT alone</w:t>
      </w:r>
      <w:r w:rsidR="007E3BE0" w:rsidRPr="007E3BE0">
        <w:t xml:space="preserve"> (RR: 1.</w:t>
      </w:r>
      <w:r w:rsidR="00760E2E">
        <w:t>19</w:t>
      </w:r>
      <w:r w:rsidR="007E3BE0" w:rsidRPr="007E3BE0">
        <w:t xml:space="preserve">; 95% CI: </w:t>
      </w:r>
      <w:r w:rsidR="00760E2E">
        <w:t>0.94</w:t>
      </w:r>
      <w:r w:rsidR="007E3BE0" w:rsidRPr="007E3BE0">
        <w:t>, 1.</w:t>
      </w:r>
      <w:r w:rsidR="00760E2E">
        <w:t>51</w:t>
      </w:r>
      <w:r w:rsidR="007E3BE0" w:rsidRPr="007E3BE0">
        <w:t>). The test of interaction for subgroup effects was not statistically significant</w:t>
      </w:r>
      <w:r w:rsidR="00546C91">
        <w:t>.</w:t>
      </w:r>
    </w:p>
    <w:p w14:paraId="3617AF3C" w14:textId="690F5D6C" w:rsidR="006D0A43" w:rsidRDefault="006D0A43" w:rsidP="00DC14A6">
      <w:pPr>
        <w:pStyle w:val="Caption"/>
        <w:spacing w:before="0" w:after="120"/>
        <w:jc w:val="both"/>
      </w:pPr>
      <w:bookmarkStart w:id="139" w:name="_Ref58422057"/>
      <w:r>
        <w:t xml:space="preserve">Table </w:t>
      </w:r>
      <w:r w:rsidR="00BF3F75">
        <w:fldChar w:fldCharType="begin"/>
      </w:r>
      <w:r w:rsidR="00BF3F75">
        <w:instrText xml:space="preserve"> SEQ Table \* ARABIC </w:instrText>
      </w:r>
      <w:r w:rsidR="00BF3F75">
        <w:fldChar w:fldCharType="separate"/>
      </w:r>
      <w:r w:rsidR="00EC5CC7">
        <w:rPr>
          <w:noProof/>
        </w:rPr>
        <w:t>76</w:t>
      </w:r>
      <w:r w:rsidR="00BF3F75">
        <w:rPr>
          <w:noProof/>
        </w:rPr>
        <w:fldChar w:fldCharType="end"/>
      </w:r>
      <w:bookmarkEnd w:id="139"/>
      <w:r>
        <w:t xml:space="preserve">: </w:t>
      </w:r>
      <w:r w:rsidRPr="0096378D">
        <w:t>Results of smoking cessation f</w:t>
      </w:r>
      <w:r w:rsidR="00247918">
        <w:t>or</w:t>
      </w:r>
      <w:r w:rsidRPr="0096378D">
        <w:t xml:space="preserve"> at least six months follow-up, </w:t>
      </w:r>
      <w:r>
        <w:t>bupropion</w:t>
      </w:r>
      <w:r w:rsidRPr="0096378D">
        <w:t xml:space="preserve"> plus </w:t>
      </w:r>
      <w:r>
        <w:t>NRT</w:t>
      </w:r>
      <w:r w:rsidRPr="0096378D">
        <w:t xml:space="preserve"> versus </w:t>
      </w:r>
      <w:r>
        <w:t>NRT</w:t>
      </w:r>
      <w:r w:rsidRPr="0096378D">
        <w:t xml:space="preserve"> alone</w:t>
      </w:r>
    </w:p>
    <w:tbl>
      <w:tblPr>
        <w:tblStyle w:val="TableGrid"/>
        <w:tblW w:w="5000" w:type="pct"/>
        <w:tblLook w:val="04A0" w:firstRow="1" w:lastRow="0" w:firstColumn="1" w:lastColumn="0" w:noHBand="0" w:noVBand="1"/>
        <w:tblCaption w:val="Efficacy results of adalimumab trials (PASI 75 and DLQI)"/>
      </w:tblPr>
      <w:tblGrid>
        <w:gridCol w:w="987"/>
        <w:gridCol w:w="1843"/>
        <w:gridCol w:w="2267"/>
        <w:gridCol w:w="2094"/>
        <w:gridCol w:w="1825"/>
      </w:tblGrid>
      <w:tr w:rsidR="006D0A43" w:rsidRPr="00061F78" w14:paraId="2BFDBD2D" w14:textId="77777777" w:rsidTr="00A8247E">
        <w:trPr>
          <w:cantSplit/>
          <w:trHeight w:val="299"/>
          <w:tblHeader/>
        </w:trPr>
        <w:tc>
          <w:tcPr>
            <w:tcW w:w="548" w:type="pct"/>
            <w:shd w:val="clear" w:color="auto" w:fill="BFBFBF" w:themeFill="background1" w:themeFillShade="BF"/>
            <w:tcMar>
              <w:left w:w="28" w:type="dxa"/>
              <w:right w:w="28" w:type="dxa"/>
            </w:tcMar>
          </w:tcPr>
          <w:p w14:paraId="7522F479" w14:textId="77777777" w:rsidR="006D0A43" w:rsidRPr="00061F78" w:rsidRDefault="006D0A43" w:rsidP="00A8247E">
            <w:pPr>
              <w:pStyle w:val="Tableheading"/>
              <w:rPr>
                <w:rFonts w:eastAsia="MS Mincho"/>
              </w:rPr>
            </w:pPr>
            <w:r>
              <w:rPr>
                <w:rFonts w:eastAsia="MS Mincho"/>
              </w:rPr>
              <w:t>Study</w:t>
            </w:r>
          </w:p>
        </w:tc>
        <w:tc>
          <w:tcPr>
            <w:tcW w:w="1022" w:type="pct"/>
            <w:shd w:val="clear" w:color="auto" w:fill="BFBFBF" w:themeFill="background1" w:themeFillShade="BF"/>
            <w:vAlign w:val="center"/>
          </w:tcPr>
          <w:p w14:paraId="5909AB8F" w14:textId="77777777" w:rsidR="006D0A43" w:rsidRDefault="006D0A43" w:rsidP="00A8247E">
            <w:pPr>
              <w:pStyle w:val="Tableheading"/>
              <w:jc w:val="center"/>
              <w:rPr>
                <w:rFonts w:eastAsia="MS Mincho"/>
              </w:rPr>
            </w:pPr>
            <w:r>
              <w:rPr>
                <w:rFonts w:eastAsia="MS Mincho"/>
              </w:rPr>
              <w:t>Study type</w:t>
            </w:r>
          </w:p>
        </w:tc>
        <w:tc>
          <w:tcPr>
            <w:tcW w:w="1257" w:type="pct"/>
            <w:shd w:val="clear" w:color="auto" w:fill="BFBFBF" w:themeFill="background1" w:themeFillShade="BF"/>
            <w:tcMar>
              <w:left w:w="28" w:type="dxa"/>
              <w:right w:w="28" w:type="dxa"/>
            </w:tcMar>
            <w:vAlign w:val="center"/>
          </w:tcPr>
          <w:p w14:paraId="6307727A" w14:textId="3674E9C5" w:rsidR="006D0A43" w:rsidRPr="00061F78" w:rsidRDefault="006D0A43" w:rsidP="00A8247E">
            <w:pPr>
              <w:pStyle w:val="Tableheading"/>
              <w:jc w:val="center"/>
              <w:rPr>
                <w:rFonts w:eastAsia="MS Mincho"/>
              </w:rPr>
            </w:pPr>
            <w:r>
              <w:rPr>
                <w:rFonts w:eastAsia="MS Mincho"/>
              </w:rPr>
              <w:t>Bupropion plus NRT</w:t>
            </w:r>
          </w:p>
        </w:tc>
        <w:tc>
          <w:tcPr>
            <w:tcW w:w="1161" w:type="pct"/>
            <w:shd w:val="clear" w:color="auto" w:fill="BFBFBF" w:themeFill="background1" w:themeFillShade="BF"/>
            <w:tcMar>
              <w:left w:w="28" w:type="dxa"/>
              <w:right w:w="28" w:type="dxa"/>
            </w:tcMar>
            <w:vAlign w:val="center"/>
          </w:tcPr>
          <w:p w14:paraId="2FBF90E2" w14:textId="2464ECAB" w:rsidR="006D0A43" w:rsidRPr="00061F78" w:rsidRDefault="006D0A43" w:rsidP="00A8247E">
            <w:pPr>
              <w:pStyle w:val="Tableheading"/>
              <w:jc w:val="center"/>
              <w:rPr>
                <w:rFonts w:eastAsia="MS Mincho"/>
              </w:rPr>
            </w:pPr>
            <w:r>
              <w:rPr>
                <w:rFonts w:eastAsia="MS Mincho"/>
              </w:rPr>
              <w:t>NRT alone</w:t>
            </w:r>
          </w:p>
        </w:tc>
        <w:tc>
          <w:tcPr>
            <w:tcW w:w="1012" w:type="pct"/>
            <w:shd w:val="clear" w:color="auto" w:fill="BFBFBF" w:themeFill="background1" w:themeFillShade="BF"/>
            <w:tcMar>
              <w:left w:w="28" w:type="dxa"/>
              <w:right w:w="28" w:type="dxa"/>
            </w:tcMar>
            <w:vAlign w:val="center"/>
          </w:tcPr>
          <w:p w14:paraId="6325EA6B" w14:textId="77777777" w:rsidR="006D0A43" w:rsidRPr="00704CE8" w:rsidRDefault="006D0A43" w:rsidP="00A8247E">
            <w:pPr>
              <w:pStyle w:val="Tableheading"/>
              <w:jc w:val="center"/>
              <w:rPr>
                <w:rFonts w:eastAsia="MS Mincho"/>
                <w:vertAlign w:val="superscript"/>
              </w:rPr>
            </w:pPr>
            <w:r>
              <w:rPr>
                <w:rFonts w:eastAsia="MS Mincho"/>
              </w:rPr>
              <w:t>RR (95% CI)</w:t>
            </w:r>
            <w:r>
              <w:rPr>
                <w:rFonts w:eastAsia="MS Mincho"/>
                <w:vertAlign w:val="superscript"/>
              </w:rPr>
              <w:t>2</w:t>
            </w:r>
          </w:p>
        </w:tc>
      </w:tr>
      <w:tr w:rsidR="00907257" w:rsidRPr="00061F78" w14:paraId="28EA8EC9" w14:textId="77777777" w:rsidTr="004B53F8">
        <w:trPr>
          <w:cantSplit/>
          <w:trHeight w:val="99"/>
        </w:trPr>
        <w:tc>
          <w:tcPr>
            <w:tcW w:w="5000" w:type="pct"/>
            <w:gridSpan w:val="5"/>
            <w:shd w:val="clear" w:color="auto" w:fill="auto"/>
            <w:tcMar>
              <w:left w:w="28" w:type="dxa"/>
              <w:right w:w="28" w:type="dxa"/>
            </w:tcMar>
          </w:tcPr>
          <w:p w14:paraId="6E89AEA9" w14:textId="3A69C73F" w:rsidR="00783A22" w:rsidRPr="004B53F8" w:rsidRDefault="00783A22" w:rsidP="00A8247E">
            <w:pPr>
              <w:pStyle w:val="Tablewriting"/>
              <w:rPr>
                <w:rFonts w:eastAsia="MS Mincho"/>
                <w:b/>
                <w:bCs/>
              </w:rPr>
            </w:pPr>
            <w:r w:rsidRPr="004B53F8">
              <w:rPr>
                <w:rFonts w:eastAsia="MS Mincho"/>
                <w:b/>
                <w:bCs/>
              </w:rPr>
              <w:t>Bupropion plus NRT versus NRT patch alone</w:t>
            </w:r>
            <w:r w:rsidR="004B53F8">
              <w:rPr>
                <w:rFonts w:eastAsia="MS Mincho"/>
                <w:b/>
                <w:bCs/>
              </w:rPr>
              <w:t xml:space="preserve"> subgroup</w:t>
            </w:r>
          </w:p>
        </w:tc>
      </w:tr>
      <w:tr w:rsidR="006D0A43" w:rsidRPr="00061F78" w14:paraId="36E3EA5F" w14:textId="77777777" w:rsidTr="000B3CA3">
        <w:trPr>
          <w:cantSplit/>
          <w:trHeight w:val="99"/>
        </w:trPr>
        <w:tc>
          <w:tcPr>
            <w:tcW w:w="548" w:type="pct"/>
            <w:shd w:val="clear" w:color="auto" w:fill="auto"/>
            <w:tcMar>
              <w:left w:w="28" w:type="dxa"/>
              <w:right w:w="28" w:type="dxa"/>
            </w:tcMar>
          </w:tcPr>
          <w:p w14:paraId="404F3B6B" w14:textId="77777777" w:rsidR="006D0A43" w:rsidRDefault="006D0A43" w:rsidP="00A8247E">
            <w:pPr>
              <w:pStyle w:val="Tablewriting"/>
              <w:rPr>
                <w:rFonts w:eastAsia="MS Mincho"/>
              </w:rPr>
            </w:pPr>
            <w:r>
              <w:rPr>
                <w:rFonts w:eastAsia="MS Mincho"/>
              </w:rPr>
              <w:t>Howes</w:t>
            </w:r>
          </w:p>
          <w:p w14:paraId="3AA74A11" w14:textId="77777777" w:rsidR="006D0A43" w:rsidRPr="00251B64" w:rsidRDefault="006D0A43"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14:paraId="3ED151FB" w14:textId="77777777" w:rsidR="006D0A43" w:rsidRDefault="006D0A43" w:rsidP="00A8247E">
            <w:pPr>
              <w:pStyle w:val="Tablewriting"/>
              <w:jc w:val="center"/>
              <w:rPr>
                <w:rFonts w:eastAsia="MS Mincho"/>
              </w:rPr>
            </w:pPr>
            <w:r>
              <w:rPr>
                <w:rFonts w:eastAsia="MS Mincho"/>
              </w:rPr>
              <w:t>Cochrane Review</w:t>
            </w:r>
          </w:p>
          <w:p w14:paraId="7F42E1EC" w14:textId="6C5AC222" w:rsidR="006D0A43" w:rsidRPr="00251B64" w:rsidRDefault="006D0A43" w:rsidP="00A8247E">
            <w:pPr>
              <w:pStyle w:val="Tablewriting"/>
              <w:jc w:val="center"/>
              <w:rPr>
                <w:rFonts w:eastAsia="MS Mincho"/>
              </w:rPr>
            </w:pPr>
            <w:r>
              <w:rPr>
                <w:rFonts w:eastAsia="MS Mincho"/>
              </w:rPr>
              <w:t>(</w:t>
            </w:r>
            <w:r w:rsidR="00D63D30">
              <w:rPr>
                <w:rFonts w:eastAsia="MS Mincho"/>
              </w:rPr>
              <w:t>9</w:t>
            </w:r>
            <w:r>
              <w:rPr>
                <w:rFonts w:eastAsia="MS Mincho"/>
              </w:rPr>
              <w:t xml:space="preserve">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14:paraId="43E20F79" w14:textId="0AA4B400" w:rsidR="006D0A43" w:rsidRPr="00251B64" w:rsidRDefault="006D0A43" w:rsidP="00A8247E">
            <w:pPr>
              <w:pStyle w:val="Tablewriting"/>
              <w:jc w:val="center"/>
              <w:rPr>
                <w:rFonts w:eastAsia="MS Mincho"/>
                <w:vertAlign w:val="superscript"/>
              </w:rPr>
            </w:pPr>
            <w:r>
              <w:rPr>
                <w:rFonts w:eastAsia="MS Mincho"/>
              </w:rPr>
              <w:t>136</w:t>
            </w:r>
            <w:r w:rsidRPr="00251B64">
              <w:rPr>
                <w:rFonts w:eastAsia="MS Mincho"/>
              </w:rPr>
              <w:t>/</w:t>
            </w:r>
            <w:r w:rsidR="00D75D6F">
              <w:rPr>
                <w:rFonts w:eastAsia="MS Mincho"/>
              </w:rPr>
              <w:t>874</w:t>
            </w:r>
          </w:p>
          <w:p w14:paraId="52786ECC" w14:textId="2DD20825" w:rsidR="006D0A43" w:rsidRPr="00251B64" w:rsidRDefault="006D0A43" w:rsidP="00A8247E">
            <w:pPr>
              <w:pStyle w:val="Tablewriting"/>
              <w:jc w:val="center"/>
              <w:rPr>
                <w:rFonts w:eastAsia="MS Mincho"/>
              </w:rPr>
            </w:pPr>
            <w:r w:rsidRPr="00251B64">
              <w:rPr>
                <w:rFonts w:eastAsia="MS Mincho"/>
              </w:rPr>
              <w:t>(</w:t>
            </w:r>
            <w:r w:rsidR="00297958">
              <w:rPr>
                <w:rFonts w:eastAsia="MS Mincho"/>
              </w:rPr>
              <w:t>15.6</w:t>
            </w:r>
            <w:r w:rsidRPr="00251B64">
              <w:rPr>
                <w:rFonts w:eastAsia="MS Mincho"/>
              </w:rPr>
              <w:t>%)</w:t>
            </w:r>
          </w:p>
        </w:tc>
        <w:tc>
          <w:tcPr>
            <w:tcW w:w="1161" w:type="pct"/>
            <w:shd w:val="clear" w:color="auto" w:fill="auto"/>
            <w:tcMar>
              <w:left w:w="28" w:type="dxa"/>
              <w:right w:w="28" w:type="dxa"/>
            </w:tcMar>
            <w:vAlign w:val="center"/>
          </w:tcPr>
          <w:p w14:paraId="713F59C7" w14:textId="72D8D8D1" w:rsidR="006D0A43" w:rsidRPr="006F3FC8" w:rsidRDefault="006D0A43" w:rsidP="00A8247E">
            <w:pPr>
              <w:pStyle w:val="Tablewriting"/>
              <w:jc w:val="center"/>
              <w:rPr>
                <w:rFonts w:eastAsia="MS Mincho"/>
                <w:vertAlign w:val="superscript"/>
              </w:rPr>
            </w:pPr>
            <w:r>
              <w:rPr>
                <w:rFonts w:eastAsia="MS Mincho"/>
              </w:rPr>
              <w:t>1</w:t>
            </w:r>
            <w:r w:rsidR="00D75D6F">
              <w:rPr>
                <w:rFonts w:eastAsia="MS Mincho"/>
              </w:rPr>
              <w:t>02</w:t>
            </w:r>
            <w:r w:rsidRPr="00251B64">
              <w:rPr>
                <w:rFonts w:eastAsia="MS Mincho"/>
              </w:rPr>
              <w:t>/</w:t>
            </w:r>
            <w:r w:rsidR="00D75D6F">
              <w:rPr>
                <w:rFonts w:eastAsia="MS Mincho"/>
              </w:rPr>
              <w:t>900</w:t>
            </w:r>
          </w:p>
          <w:p w14:paraId="2664270C" w14:textId="7362B830" w:rsidR="006D0A43" w:rsidRPr="00251B64" w:rsidRDefault="006D0A43" w:rsidP="00A8247E">
            <w:pPr>
              <w:pStyle w:val="Tablewriting"/>
              <w:jc w:val="center"/>
              <w:rPr>
                <w:rFonts w:eastAsia="MS Mincho"/>
              </w:rPr>
            </w:pPr>
            <w:r w:rsidRPr="00251B64">
              <w:rPr>
                <w:rFonts w:eastAsia="MS Mincho"/>
              </w:rPr>
              <w:t>(</w:t>
            </w:r>
            <w:r w:rsidR="009E37B2">
              <w:rPr>
                <w:rFonts w:eastAsia="MS Mincho"/>
              </w:rPr>
              <w:t>11.3</w:t>
            </w:r>
            <w:r w:rsidRPr="00251B64">
              <w:rPr>
                <w:rFonts w:eastAsia="MS Mincho"/>
              </w:rPr>
              <w:t>%)</w:t>
            </w:r>
          </w:p>
        </w:tc>
        <w:tc>
          <w:tcPr>
            <w:tcW w:w="1012" w:type="pct"/>
            <w:shd w:val="clear" w:color="auto" w:fill="auto"/>
            <w:tcMar>
              <w:left w:w="28" w:type="dxa"/>
              <w:right w:w="28" w:type="dxa"/>
            </w:tcMar>
            <w:vAlign w:val="center"/>
          </w:tcPr>
          <w:p w14:paraId="787BEECD" w14:textId="77777777" w:rsidR="006D0A43" w:rsidRDefault="00F90F7C" w:rsidP="00A8247E">
            <w:pPr>
              <w:pStyle w:val="Tablewriting"/>
              <w:jc w:val="center"/>
              <w:rPr>
                <w:rFonts w:eastAsia="MS Mincho"/>
              </w:rPr>
            </w:pPr>
            <w:r>
              <w:rPr>
                <w:rFonts w:eastAsia="MS Mincho"/>
              </w:rPr>
              <w:t>1.24</w:t>
            </w:r>
          </w:p>
          <w:p w14:paraId="48BDB71D" w14:textId="206B21AE" w:rsidR="006D0A43" w:rsidRPr="00D56406" w:rsidRDefault="006D0A43" w:rsidP="00A8247E">
            <w:pPr>
              <w:pStyle w:val="Tablewriting"/>
              <w:jc w:val="center"/>
              <w:rPr>
                <w:rFonts w:eastAsia="MS Mincho"/>
              </w:rPr>
            </w:pPr>
            <w:r w:rsidRPr="00A93680">
              <w:rPr>
                <w:rFonts w:eastAsia="MS Mincho"/>
              </w:rPr>
              <w:t>(0.</w:t>
            </w:r>
            <w:r w:rsidR="00F90F7C">
              <w:rPr>
                <w:rFonts w:eastAsia="MS Mincho"/>
              </w:rPr>
              <w:t>84</w:t>
            </w:r>
            <w:r w:rsidRPr="00A93680">
              <w:rPr>
                <w:rFonts w:eastAsia="MS Mincho"/>
              </w:rPr>
              <w:t>, 1.</w:t>
            </w:r>
            <w:r w:rsidR="00F90F7C">
              <w:rPr>
                <w:rFonts w:eastAsia="MS Mincho"/>
              </w:rPr>
              <w:t>84</w:t>
            </w:r>
            <w:r w:rsidRPr="00A93680">
              <w:rPr>
                <w:rFonts w:eastAsia="MS Mincho"/>
              </w:rPr>
              <w:t>)</w:t>
            </w:r>
          </w:p>
        </w:tc>
      </w:tr>
      <w:tr w:rsidR="00554A99" w:rsidRPr="00061F78" w14:paraId="7EEF93A3" w14:textId="77777777" w:rsidTr="004B53F8">
        <w:trPr>
          <w:cantSplit/>
          <w:trHeight w:val="99"/>
        </w:trPr>
        <w:tc>
          <w:tcPr>
            <w:tcW w:w="5000" w:type="pct"/>
            <w:gridSpan w:val="5"/>
            <w:shd w:val="clear" w:color="auto" w:fill="auto"/>
            <w:tcMar>
              <w:left w:w="28" w:type="dxa"/>
              <w:right w:w="28" w:type="dxa"/>
            </w:tcMar>
          </w:tcPr>
          <w:p w14:paraId="76EA3FCA" w14:textId="16CA1104" w:rsidR="00783A22" w:rsidRPr="004B53F8" w:rsidRDefault="00783A22" w:rsidP="00A8247E">
            <w:pPr>
              <w:pStyle w:val="Tablewriting"/>
              <w:rPr>
                <w:rFonts w:eastAsia="MS Mincho"/>
                <w:b/>
                <w:bCs/>
              </w:rPr>
            </w:pPr>
            <w:r w:rsidRPr="004B53F8">
              <w:rPr>
                <w:rFonts w:eastAsia="MS Mincho"/>
                <w:b/>
                <w:bCs/>
              </w:rPr>
              <w:t>Bupropion plus NRT versus NRT lozenge alone</w:t>
            </w:r>
            <w:r w:rsidR="004B53F8">
              <w:rPr>
                <w:rFonts w:eastAsia="MS Mincho"/>
                <w:b/>
                <w:bCs/>
              </w:rPr>
              <w:t xml:space="preserve"> subgroup</w:t>
            </w:r>
          </w:p>
        </w:tc>
      </w:tr>
      <w:tr w:rsidR="00554A99" w:rsidRPr="00061F78" w14:paraId="62094F40" w14:textId="77777777" w:rsidTr="000B3CA3">
        <w:trPr>
          <w:cantSplit/>
          <w:trHeight w:val="99"/>
        </w:trPr>
        <w:tc>
          <w:tcPr>
            <w:tcW w:w="548" w:type="pct"/>
            <w:shd w:val="clear" w:color="auto" w:fill="auto"/>
            <w:tcMar>
              <w:left w:w="28" w:type="dxa"/>
              <w:right w:w="28" w:type="dxa"/>
            </w:tcMar>
          </w:tcPr>
          <w:p w14:paraId="26F5603F" w14:textId="77777777" w:rsidR="006351A1" w:rsidRDefault="006351A1" w:rsidP="00A8247E">
            <w:pPr>
              <w:pStyle w:val="Tablewriting"/>
              <w:rPr>
                <w:rFonts w:eastAsia="MS Mincho"/>
              </w:rPr>
            </w:pPr>
            <w:r>
              <w:rPr>
                <w:rFonts w:eastAsia="MS Mincho"/>
              </w:rPr>
              <w:t>Howes</w:t>
            </w:r>
          </w:p>
          <w:p w14:paraId="47FFBE77" w14:textId="2E7A13E0" w:rsidR="00554A99"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14:paraId="1C593AB0" w14:textId="77777777" w:rsidR="006351A1" w:rsidRDefault="006351A1" w:rsidP="00A8247E">
            <w:pPr>
              <w:pStyle w:val="Tablewriting"/>
              <w:jc w:val="center"/>
              <w:rPr>
                <w:rFonts w:eastAsia="MS Mincho"/>
              </w:rPr>
            </w:pPr>
            <w:r>
              <w:rPr>
                <w:rFonts w:eastAsia="MS Mincho"/>
              </w:rPr>
              <w:t>Cochrane Review</w:t>
            </w:r>
          </w:p>
          <w:p w14:paraId="393AA496" w14:textId="516CAACF" w:rsidR="00554A99" w:rsidRDefault="006351A1" w:rsidP="00A8247E">
            <w:pPr>
              <w:pStyle w:val="Tablewriting"/>
              <w:jc w:val="center"/>
              <w:rPr>
                <w:rFonts w:eastAsia="MS Mincho"/>
              </w:rPr>
            </w:pPr>
            <w:r>
              <w:rPr>
                <w:rFonts w:eastAsia="MS Mincho"/>
              </w:rPr>
              <w:t xml:space="preserve">(2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14:paraId="3153D364" w14:textId="7D79C0EB" w:rsidR="006351A1" w:rsidRPr="00251B64" w:rsidRDefault="006351A1" w:rsidP="00A8247E">
            <w:pPr>
              <w:pStyle w:val="Tablewriting"/>
              <w:jc w:val="center"/>
              <w:rPr>
                <w:rFonts w:eastAsia="MS Mincho"/>
                <w:vertAlign w:val="superscript"/>
              </w:rPr>
            </w:pPr>
            <w:r>
              <w:rPr>
                <w:rFonts w:eastAsia="MS Mincho"/>
              </w:rPr>
              <w:t>1</w:t>
            </w:r>
            <w:r w:rsidR="002B5835">
              <w:rPr>
                <w:rFonts w:eastAsia="MS Mincho"/>
              </w:rPr>
              <w:t>67</w:t>
            </w:r>
            <w:r w:rsidRPr="00251B64">
              <w:rPr>
                <w:rFonts w:eastAsia="MS Mincho"/>
              </w:rPr>
              <w:t>/</w:t>
            </w:r>
            <w:r>
              <w:rPr>
                <w:rFonts w:eastAsia="MS Mincho"/>
              </w:rPr>
              <w:t>5</w:t>
            </w:r>
            <w:r w:rsidR="002B5835">
              <w:rPr>
                <w:rFonts w:eastAsia="MS Mincho"/>
              </w:rPr>
              <w:t>30</w:t>
            </w:r>
          </w:p>
          <w:p w14:paraId="19C8E1AA" w14:textId="42EAE9C9" w:rsidR="00554A99" w:rsidRDefault="006351A1" w:rsidP="00A8247E">
            <w:pPr>
              <w:pStyle w:val="Tablewriting"/>
              <w:jc w:val="center"/>
              <w:rPr>
                <w:rFonts w:eastAsia="MS Mincho"/>
              </w:rPr>
            </w:pPr>
            <w:r w:rsidRPr="00251B64">
              <w:rPr>
                <w:rFonts w:eastAsia="MS Mincho"/>
              </w:rPr>
              <w:t>(</w:t>
            </w:r>
            <w:r w:rsidR="007C2063">
              <w:rPr>
                <w:rFonts w:eastAsia="MS Mincho"/>
              </w:rPr>
              <w:t>31.5</w:t>
            </w:r>
            <w:r w:rsidRPr="00251B64">
              <w:rPr>
                <w:rFonts w:eastAsia="MS Mincho"/>
              </w:rPr>
              <w:t>%)</w:t>
            </w:r>
          </w:p>
        </w:tc>
        <w:tc>
          <w:tcPr>
            <w:tcW w:w="1161" w:type="pct"/>
            <w:shd w:val="clear" w:color="auto" w:fill="auto"/>
            <w:tcMar>
              <w:left w:w="28" w:type="dxa"/>
              <w:right w:w="28" w:type="dxa"/>
            </w:tcMar>
            <w:vAlign w:val="center"/>
          </w:tcPr>
          <w:p w14:paraId="1E6C64BD" w14:textId="2C2C3A48" w:rsidR="006351A1" w:rsidRPr="006F3FC8" w:rsidRDefault="006351A1" w:rsidP="00A8247E">
            <w:pPr>
              <w:pStyle w:val="Tablewriting"/>
              <w:jc w:val="center"/>
              <w:rPr>
                <w:rFonts w:eastAsia="MS Mincho"/>
                <w:vertAlign w:val="superscript"/>
              </w:rPr>
            </w:pPr>
            <w:r>
              <w:rPr>
                <w:rFonts w:eastAsia="MS Mincho"/>
              </w:rPr>
              <w:t>1</w:t>
            </w:r>
            <w:r w:rsidR="002B5835">
              <w:rPr>
                <w:rFonts w:eastAsia="MS Mincho"/>
              </w:rPr>
              <w:t>39</w:t>
            </w:r>
            <w:r w:rsidRPr="00251B64">
              <w:rPr>
                <w:rFonts w:eastAsia="MS Mincho"/>
              </w:rPr>
              <w:t>/</w:t>
            </w:r>
            <w:r>
              <w:rPr>
                <w:rFonts w:eastAsia="MS Mincho"/>
              </w:rPr>
              <w:t>5</w:t>
            </w:r>
            <w:r w:rsidR="002B5835">
              <w:rPr>
                <w:rFonts w:eastAsia="MS Mincho"/>
              </w:rPr>
              <w:t>21</w:t>
            </w:r>
          </w:p>
          <w:p w14:paraId="4A86020F" w14:textId="37C4AE0E" w:rsidR="00554A99" w:rsidRDefault="006351A1" w:rsidP="00A8247E">
            <w:pPr>
              <w:pStyle w:val="Tablewriting"/>
              <w:jc w:val="center"/>
              <w:rPr>
                <w:rFonts w:eastAsia="MS Mincho"/>
              </w:rPr>
            </w:pPr>
            <w:r w:rsidRPr="00251B64">
              <w:rPr>
                <w:rFonts w:eastAsia="MS Mincho"/>
              </w:rPr>
              <w:t>(</w:t>
            </w:r>
            <w:r w:rsidR="007C2063">
              <w:rPr>
                <w:rFonts w:eastAsia="MS Mincho"/>
              </w:rPr>
              <w:t>26.7</w:t>
            </w:r>
            <w:r w:rsidRPr="00251B64">
              <w:rPr>
                <w:rFonts w:eastAsia="MS Mincho"/>
              </w:rPr>
              <w:t>%)</w:t>
            </w:r>
          </w:p>
        </w:tc>
        <w:tc>
          <w:tcPr>
            <w:tcW w:w="1012" w:type="pct"/>
            <w:shd w:val="clear" w:color="auto" w:fill="auto"/>
            <w:tcMar>
              <w:left w:w="28" w:type="dxa"/>
              <w:right w:w="28" w:type="dxa"/>
            </w:tcMar>
            <w:vAlign w:val="center"/>
          </w:tcPr>
          <w:p w14:paraId="167AEEFE" w14:textId="77777777" w:rsidR="006351A1" w:rsidRPr="00A93680" w:rsidRDefault="006351A1" w:rsidP="00A8247E">
            <w:pPr>
              <w:pStyle w:val="Tablewriting"/>
              <w:jc w:val="center"/>
              <w:rPr>
                <w:rFonts w:eastAsia="MS Mincho"/>
              </w:rPr>
            </w:pPr>
            <w:r w:rsidRPr="00A93680">
              <w:rPr>
                <w:rFonts w:eastAsia="MS Mincho"/>
              </w:rPr>
              <w:t>1.21</w:t>
            </w:r>
          </w:p>
          <w:p w14:paraId="1209E859" w14:textId="74BDDCAD" w:rsidR="00554A99" w:rsidRPr="00A93680" w:rsidRDefault="006351A1" w:rsidP="00A8247E">
            <w:pPr>
              <w:pStyle w:val="Tablewriting"/>
              <w:jc w:val="center"/>
              <w:rPr>
                <w:rFonts w:eastAsia="MS Mincho"/>
              </w:rPr>
            </w:pPr>
            <w:r w:rsidRPr="00A93680">
              <w:rPr>
                <w:rFonts w:eastAsia="MS Mincho"/>
              </w:rPr>
              <w:t>(0.</w:t>
            </w:r>
            <w:r w:rsidR="00A820B8">
              <w:rPr>
                <w:rFonts w:eastAsia="MS Mincho"/>
              </w:rPr>
              <w:t>81</w:t>
            </w:r>
            <w:r w:rsidRPr="00A93680">
              <w:rPr>
                <w:rFonts w:eastAsia="MS Mincho"/>
              </w:rPr>
              <w:t>, 1.</w:t>
            </w:r>
            <w:r w:rsidR="00A820B8">
              <w:rPr>
                <w:rFonts w:eastAsia="MS Mincho"/>
              </w:rPr>
              <w:t>81</w:t>
            </w:r>
            <w:r w:rsidRPr="00A93680">
              <w:rPr>
                <w:rFonts w:eastAsia="MS Mincho"/>
              </w:rPr>
              <w:t>)</w:t>
            </w:r>
          </w:p>
        </w:tc>
      </w:tr>
      <w:tr w:rsidR="00554A99" w:rsidRPr="00061F78" w14:paraId="53EFE492" w14:textId="77777777" w:rsidTr="004B53F8">
        <w:trPr>
          <w:cantSplit/>
          <w:trHeight w:val="99"/>
        </w:trPr>
        <w:tc>
          <w:tcPr>
            <w:tcW w:w="5000" w:type="pct"/>
            <w:gridSpan w:val="5"/>
            <w:shd w:val="clear" w:color="auto" w:fill="auto"/>
            <w:tcMar>
              <w:left w:w="28" w:type="dxa"/>
              <w:right w:w="28" w:type="dxa"/>
            </w:tcMar>
          </w:tcPr>
          <w:p w14:paraId="03595D06" w14:textId="32C5FF92" w:rsidR="00783A22" w:rsidRPr="004B53F8" w:rsidRDefault="00783A22" w:rsidP="00A8247E">
            <w:pPr>
              <w:pStyle w:val="Tablewriting"/>
              <w:rPr>
                <w:rFonts w:eastAsia="MS Mincho"/>
                <w:b/>
                <w:bCs/>
              </w:rPr>
            </w:pPr>
            <w:r w:rsidRPr="004B53F8">
              <w:rPr>
                <w:rFonts w:eastAsia="MS Mincho"/>
                <w:b/>
                <w:bCs/>
              </w:rPr>
              <w:t>Bupropion plus NRT versus choice of NRT</w:t>
            </w:r>
            <w:r w:rsidR="004B53F8">
              <w:rPr>
                <w:rFonts w:eastAsia="MS Mincho"/>
                <w:b/>
                <w:bCs/>
              </w:rPr>
              <w:t xml:space="preserve"> subgroup</w:t>
            </w:r>
          </w:p>
        </w:tc>
      </w:tr>
      <w:tr w:rsidR="00554A99" w:rsidRPr="00061F78" w14:paraId="4E026CA7" w14:textId="77777777" w:rsidTr="000B3CA3">
        <w:trPr>
          <w:cantSplit/>
          <w:trHeight w:val="99"/>
        </w:trPr>
        <w:tc>
          <w:tcPr>
            <w:tcW w:w="548" w:type="pct"/>
            <w:shd w:val="clear" w:color="auto" w:fill="auto"/>
            <w:tcMar>
              <w:left w:w="28" w:type="dxa"/>
              <w:right w:w="28" w:type="dxa"/>
            </w:tcMar>
          </w:tcPr>
          <w:p w14:paraId="7D06F27F" w14:textId="77777777" w:rsidR="006351A1" w:rsidRDefault="006351A1" w:rsidP="00A8247E">
            <w:pPr>
              <w:pStyle w:val="Tablewriting"/>
              <w:rPr>
                <w:rFonts w:eastAsia="MS Mincho"/>
              </w:rPr>
            </w:pPr>
            <w:r>
              <w:rPr>
                <w:rFonts w:eastAsia="MS Mincho"/>
              </w:rPr>
              <w:t>Howes</w:t>
            </w:r>
          </w:p>
          <w:p w14:paraId="35209E9D" w14:textId="0E91F0B2" w:rsidR="00554A99"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14:paraId="0FCB8833" w14:textId="77777777" w:rsidR="006351A1" w:rsidRDefault="006351A1" w:rsidP="00A8247E">
            <w:pPr>
              <w:pStyle w:val="Tablewriting"/>
              <w:jc w:val="center"/>
              <w:rPr>
                <w:rFonts w:eastAsia="MS Mincho"/>
              </w:rPr>
            </w:pPr>
            <w:r>
              <w:rPr>
                <w:rFonts w:eastAsia="MS Mincho"/>
              </w:rPr>
              <w:t>Cochrane Review</w:t>
            </w:r>
          </w:p>
          <w:p w14:paraId="3F71C441" w14:textId="32C7CC17" w:rsidR="00554A99" w:rsidRDefault="006351A1" w:rsidP="00A8247E">
            <w:pPr>
              <w:pStyle w:val="Tablewriting"/>
              <w:jc w:val="center"/>
              <w:rPr>
                <w:rFonts w:eastAsia="MS Mincho"/>
              </w:rPr>
            </w:pPr>
            <w:r>
              <w:rPr>
                <w:rFonts w:eastAsia="MS Mincho"/>
              </w:rPr>
              <w:t xml:space="preserve">(1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14:paraId="1BC774BB" w14:textId="6C1FC1BC" w:rsidR="006351A1" w:rsidRPr="00251B64" w:rsidRDefault="00A820B8" w:rsidP="00A8247E">
            <w:pPr>
              <w:pStyle w:val="Tablewriting"/>
              <w:jc w:val="center"/>
              <w:rPr>
                <w:rFonts w:eastAsia="MS Mincho"/>
                <w:vertAlign w:val="superscript"/>
              </w:rPr>
            </w:pPr>
            <w:r>
              <w:rPr>
                <w:rFonts w:eastAsia="MS Mincho"/>
              </w:rPr>
              <w:t>57</w:t>
            </w:r>
            <w:r w:rsidR="006351A1" w:rsidRPr="00251B64">
              <w:rPr>
                <w:rFonts w:eastAsia="MS Mincho"/>
              </w:rPr>
              <w:t>/</w:t>
            </w:r>
            <w:r>
              <w:rPr>
                <w:rFonts w:eastAsia="MS Mincho"/>
              </w:rPr>
              <w:t>244</w:t>
            </w:r>
          </w:p>
          <w:p w14:paraId="0A82B594" w14:textId="1958418F" w:rsidR="00554A99" w:rsidRDefault="006351A1" w:rsidP="00A8247E">
            <w:pPr>
              <w:pStyle w:val="Tablewriting"/>
              <w:jc w:val="center"/>
              <w:rPr>
                <w:rFonts w:eastAsia="MS Mincho"/>
              </w:rPr>
            </w:pPr>
            <w:r w:rsidRPr="00251B64">
              <w:rPr>
                <w:rFonts w:eastAsia="MS Mincho"/>
              </w:rPr>
              <w:t>(</w:t>
            </w:r>
            <w:r w:rsidR="002B6D97">
              <w:rPr>
                <w:rFonts w:eastAsia="MS Mincho"/>
              </w:rPr>
              <w:t>23.4</w:t>
            </w:r>
            <w:r w:rsidRPr="00251B64">
              <w:rPr>
                <w:rFonts w:eastAsia="MS Mincho"/>
              </w:rPr>
              <w:t>%)</w:t>
            </w:r>
          </w:p>
        </w:tc>
        <w:tc>
          <w:tcPr>
            <w:tcW w:w="1161" w:type="pct"/>
            <w:shd w:val="clear" w:color="auto" w:fill="auto"/>
            <w:tcMar>
              <w:left w:w="28" w:type="dxa"/>
              <w:right w:w="28" w:type="dxa"/>
            </w:tcMar>
            <w:vAlign w:val="center"/>
          </w:tcPr>
          <w:p w14:paraId="246A4AFA" w14:textId="17C4C9D6" w:rsidR="006351A1" w:rsidRPr="006F3FC8" w:rsidRDefault="00967AB0" w:rsidP="00A8247E">
            <w:pPr>
              <w:pStyle w:val="Tablewriting"/>
              <w:jc w:val="center"/>
              <w:rPr>
                <w:rFonts w:eastAsia="MS Mincho"/>
                <w:vertAlign w:val="superscript"/>
              </w:rPr>
            </w:pPr>
            <w:r>
              <w:rPr>
                <w:rFonts w:eastAsia="MS Mincho"/>
              </w:rPr>
              <w:t>101</w:t>
            </w:r>
            <w:r w:rsidR="006351A1" w:rsidRPr="00251B64">
              <w:rPr>
                <w:rFonts w:eastAsia="MS Mincho"/>
              </w:rPr>
              <w:t>/</w:t>
            </w:r>
            <w:r>
              <w:rPr>
                <w:rFonts w:eastAsia="MS Mincho"/>
              </w:rPr>
              <w:t>418</w:t>
            </w:r>
          </w:p>
          <w:p w14:paraId="537C9893" w14:textId="737FDF7F" w:rsidR="00554A99" w:rsidRDefault="006351A1" w:rsidP="00A8247E">
            <w:pPr>
              <w:pStyle w:val="Tablewriting"/>
              <w:jc w:val="center"/>
              <w:rPr>
                <w:rFonts w:eastAsia="MS Mincho"/>
              </w:rPr>
            </w:pPr>
            <w:r w:rsidRPr="00251B64">
              <w:rPr>
                <w:rFonts w:eastAsia="MS Mincho"/>
              </w:rPr>
              <w:t>(</w:t>
            </w:r>
            <w:r w:rsidR="00FB1A55">
              <w:rPr>
                <w:rFonts w:eastAsia="MS Mincho"/>
              </w:rPr>
              <w:t>24.2</w:t>
            </w:r>
            <w:r w:rsidRPr="00251B64">
              <w:rPr>
                <w:rFonts w:eastAsia="MS Mincho"/>
              </w:rPr>
              <w:t>%)</w:t>
            </w:r>
          </w:p>
        </w:tc>
        <w:tc>
          <w:tcPr>
            <w:tcW w:w="1012" w:type="pct"/>
            <w:shd w:val="clear" w:color="auto" w:fill="auto"/>
            <w:tcMar>
              <w:left w:w="28" w:type="dxa"/>
              <w:right w:w="28" w:type="dxa"/>
            </w:tcMar>
            <w:vAlign w:val="center"/>
          </w:tcPr>
          <w:p w14:paraId="37EDCB64" w14:textId="0BADF34A" w:rsidR="006351A1" w:rsidRPr="00A93680" w:rsidRDefault="00891955" w:rsidP="00A8247E">
            <w:pPr>
              <w:pStyle w:val="Tablewriting"/>
              <w:jc w:val="center"/>
              <w:rPr>
                <w:rFonts w:eastAsia="MS Mincho"/>
              </w:rPr>
            </w:pPr>
            <w:r>
              <w:rPr>
                <w:rFonts w:eastAsia="MS Mincho"/>
              </w:rPr>
              <w:t>0.97</w:t>
            </w:r>
          </w:p>
          <w:p w14:paraId="6DF626E0" w14:textId="627EA805" w:rsidR="00554A99" w:rsidRPr="00A93680" w:rsidRDefault="006351A1" w:rsidP="00A8247E">
            <w:pPr>
              <w:pStyle w:val="Tablewriting"/>
              <w:jc w:val="center"/>
              <w:rPr>
                <w:rFonts w:eastAsia="MS Mincho"/>
              </w:rPr>
            </w:pPr>
            <w:r w:rsidRPr="00A93680">
              <w:rPr>
                <w:rFonts w:eastAsia="MS Mincho"/>
              </w:rPr>
              <w:t>(0.</w:t>
            </w:r>
            <w:r w:rsidR="00891955">
              <w:rPr>
                <w:rFonts w:eastAsia="MS Mincho"/>
              </w:rPr>
              <w:t>73</w:t>
            </w:r>
            <w:r w:rsidRPr="00A93680">
              <w:rPr>
                <w:rFonts w:eastAsia="MS Mincho"/>
              </w:rPr>
              <w:t>, 1.</w:t>
            </w:r>
            <w:r w:rsidR="00891955">
              <w:rPr>
                <w:rFonts w:eastAsia="MS Mincho"/>
              </w:rPr>
              <w:t>28</w:t>
            </w:r>
            <w:r w:rsidRPr="00A93680">
              <w:rPr>
                <w:rFonts w:eastAsia="MS Mincho"/>
              </w:rPr>
              <w:t>)</w:t>
            </w:r>
          </w:p>
        </w:tc>
      </w:tr>
      <w:tr w:rsidR="006351A1" w:rsidRPr="00061F78" w14:paraId="05A3A5DF" w14:textId="77777777" w:rsidTr="004B53F8">
        <w:trPr>
          <w:cantSplit/>
          <w:trHeight w:val="99"/>
        </w:trPr>
        <w:tc>
          <w:tcPr>
            <w:tcW w:w="5000" w:type="pct"/>
            <w:gridSpan w:val="5"/>
            <w:shd w:val="clear" w:color="auto" w:fill="auto"/>
            <w:tcMar>
              <w:left w:w="28" w:type="dxa"/>
              <w:right w:w="28" w:type="dxa"/>
            </w:tcMar>
          </w:tcPr>
          <w:p w14:paraId="7A848D35" w14:textId="4719B606" w:rsidR="00783A22" w:rsidRPr="004B53F8" w:rsidRDefault="00783A22" w:rsidP="00A8247E">
            <w:pPr>
              <w:pStyle w:val="Tablewriting"/>
              <w:rPr>
                <w:rFonts w:eastAsia="MS Mincho"/>
                <w:b/>
                <w:bCs/>
              </w:rPr>
            </w:pPr>
            <w:r w:rsidRPr="004B53F8">
              <w:rPr>
                <w:rFonts w:eastAsia="MS Mincho"/>
                <w:b/>
                <w:bCs/>
              </w:rPr>
              <w:t>Bupropion plus NRT versus NRT alone (pooled)</w:t>
            </w:r>
          </w:p>
        </w:tc>
      </w:tr>
      <w:tr w:rsidR="006351A1" w:rsidRPr="00061F78" w14:paraId="40F1128A" w14:textId="77777777" w:rsidTr="000B3CA3">
        <w:trPr>
          <w:cantSplit/>
          <w:trHeight w:val="99"/>
        </w:trPr>
        <w:tc>
          <w:tcPr>
            <w:tcW w:w="548" w:type="pct"/>
            <w:shd w:val="clear" w:color="auto" w:fill="auto"/>
            <w:tcMar>
              <w:left w:w="28" w:type="dxa"/>
              <w:right w:w="28" w:type="dxa"/>
            </w:tcMar>
          </w:tcPr>
          <w:p w14:paraId="1E0D5EA1" w14:textId="77777777" w:rsidR="006351A1" w:rsidRDefault="006351A1" w:rsidP="00A8247E">
            <w:pPr>
              <w:pStyle w:val="Tablewriting"/>
              <w:rPr>
                <w:rFonts w:eastAsia="MS Mincho"/>
              </w:rPr>
            </w:pPr>
            <w:r>
              <w:rPr>
                <w:rFonts w:eastAsia="MS Mincho"/>
              </w:rPr>
              <w:t>Howes</w:t>
            </w:r>
          </w:p>
          <w:p w14:paraId="721F0F69" w14:textId="01F40163" w:rsidR="006351A1" w:rsidRDefault="006351A1" w:rsidP="00A8247E">
            <w:pPr>
              <w:pStyle w:val="Tablewriting"/>
              <w:rPr>
                <w:rFonts w:eastAsia="MS Mincho"/>
              </w:rPr>
            </w:pPr>
            <w:r w:rsidRPr="00251B64">
              <w:rPr>
                <w:rFonts w:eastAsia="MS Mincho"/>
              </w:rPr>
              <w:t>(</w:t>
            </w:r>
            <w:r>
              <w:rPr>
                <w:rFonts w:eastAsia="MS Mincho"/>
              </w:rPr>
              <w:t>2020</w:t>
            </w:r>
            <w:r w:rsidRPr="00251B64">
              <w:rPr>
                <w:rFonts w:eastAsia="MS Mincho"/>
              </w:rPr>
              <w:t>)</w:t>
            </w:r>
            <w:r w:rsidRPr="00251B64">
              <w:rPr>
                <w:rFonts w:eastAsia="MS Mincho"/>
                <w:vertAlign w:val="superscript"/>
              </w:rPr>
              <w:t>1</w:t>
            </w:r>
            <w:r w:rsidRPr="00251B64">
              <w:rPr>
                <w:rFonts w:eastAsia="MS Mincho"/>
              </w:rPr>
              <w:t xml:space="preserve"> </w:t>
            </w:r>
          </w:p>
        </w:tc>
        <w:tc>
          <w:tcPr>
            <w:tcW w:w="1022" w:type="pct"/>
            <w:shd w:val="clear" w:color="auto" w:fill="auto"/>
            <w:vAlign w:val="center"/>
          </w:tcPr>
          <w:p w14:paraId="08E5DD9A" w14:textId="77777777" w:rsidR="006351A1" w:rsidRDefault="006351A1" w:rsidP="00A8247E">
            <w:pPr>
              <w:pStyle w:val="Tablewriting"/>
              <w:jc w:val="center"/>
              <w:rPr>
                <w:rFonts w:eastAsia="MS Mincho"/>
              </w:rPr>
            </w:pPr>
            <w:r>
              <w:rPr>
                <w:rFonts w:eastAsia="MS Mincho"/>
              </w:rPr>
              <w:t>Cochrane Review</w:t>
            </w:r>
          </w:p>
          <w:p w14:paraId="2C9F2036" w14:textId="75731DFC" w:rsidR="006351A1" w:rsidRDefault="006351A1" w:rsidP="00A8247E">
            <w:pPr>
              <w:pStyle w:val="Tablewriting"/>
              <w:jc w:val="center"/>
              <w:rPr>
                <w:rFonts w:eastAsia="MS Mincho"/>
              </w:rPr>
            </w:pPr>
            <w:r>
              <w:rPr>
                <w:rFonts w:eastAsia="MS Mincho"/>
              </w:rPr>
              <w:t xml:space="preserve">(12 </w:t>
            </w:r>
            <w:r w:rsidRPr="00251B64">
              <w:rPr>
                <w:rFonts w:eastAsia="MS Mincho"/>
              </w:rPr>
              <w:t>RCT</w:t>
            </w:r>
            <w:r>
              <w:rPr>
                <w:rFonts w:eastAsia="MS Mincho"/>
              </w:rPr>
              <w:t>s)</w:t>
            </w:r>
          </w:p>
        </w:tc>
        <w:tc>
          <w:tcPr>
            <w:tcW w:w="1257" w:type="pct"/>
            <w:shd w:val="clear" w:color="auto" w:fill="auto"/>
            <w:tcMar>
              <w:left w:w="28" w:type="dxa"/>
              <w:right w:w="28" w:type="dxa"/>
            </w:tcMar>
            <w:vAlign w:val="center"/>
          </w:tcPr>
          <w:p w14:paraId="5C52307E" w14:textId="254624AF" w:rsidR="006351A1" w:rsidRPr="00251B64" w:rsidRDefault="00F77638" w:rsidP="00A8247E">
            <w:pPr>
              <w:pStyle w:val="Tablewriting"/>
              <w:jc w:val="center"/>
              <w:rPr>
                <w:rFonts w:eastAsia="MS Mincho"/>
                <w:vertAlign w:val="superscript"/>
              </w:rPr>
            </w:pPr>
            <w:r>
              <w:rPr>
                <w:rFonts w:eastAsia="MS Mincho"/>
              </w:rPr>
              <w:t>360</w:t>
            </w:r>
            <w:r w:rsidR="006351A1" w:rsidRPr="00251B64">
              <w:rPr>
                <w:rFonts w:eastAsia="MS Mincho"/>
              </w:rPr>
              <w:t>/</w:t>
            </w:r>
            <w:r>
              <w:rPr>
                <w:rFonts w:eastAsia="MS Mincho"/>
              </w:rPr>
              <w:t>1,648</w:t>
            </w:r>
          </w:p>
          <w:p w14:paraId="6FA39533" w14:textId="0EFA2252" w:rsidR="006351A1" w:rsidRDefault="006351A1" w:rsidP="00A8247E">
            <w:pPr>
              <w:pStyle w:val="Tablewriting"/>
              <w:jc w:val="center"/>
              <w:rPr>
                <w:rFonts w:eastAsia="MS Mincho"/>
              </w:rPr>
            </w:pPr>
            <w:r w:rsidRPr="00251B64">
              <w:rPr>
                <w:rFonts w:eastAsia="MS Mincho"/>
              </w:rPr>
              <w:t>(</w:t>
            </w:r>
            <w:r w:rsidR="002E037F">
              <w:rPr>
                <w:rFonts w:eastAsia="MS Mincho"/>
              </w:rPr>
              <w:t>21.8</w:t>
            </w:r>
            <w:r w:rsidRPr="00251B64">
              <w:rPr>
                <w:rFonts w:eastAsia="MS Mincho"/>
              </w:rPr>
              <w:t>%)</w:t>
            </w:r>
          </w:p>
        </w:tc>
        <w:tc>
          <w:tcPr>
            <w:tcW w:w="1161" w:type="pct"/>
            <w:shd w:val="clear" w:color="auto" w:fill="auto"/>
            <w:tcMar>
              <w:left w:w="28" w:type="dxa"/>
              <w:right w:w="28" w:type="dxa"/>
            </w:tcMar>
            <w:vAlign w:val="center"/>
          </w:tcPr>
          <w:p w14:paraId="24E67D66" w14:textId="76B8A088" w:rsidR="006351A1" w:rsidRPr="006F3FC8" w:rsidRDefault="00F47B5D" w:rsidP="00A8247E">
            <w:pPr>
              <w:pStyle w:val="Tablewriting"/>
              <w:jc w:val="center"/>
              <w:rPr>
                <w:rFonts w:eastAsia="MS Mincho"/>
                <w:vertAlign w:val="superscript"/>
              </w:rPr>
            </w:pPr>
            <w:r>
              <w:rPr>
                <w:rFonts w:eastAsia="MS Mincho"/>
              </w:rPr>
              <w:t>342</w:t>
            </w:r>
            <w:r w:rsidR="006351A1" w:rsidRPr="00251B64">
              <w:rPr>
                <w:rFonts w:eastAsia="MS Mincho"/>
              </w:rPr>
              <w:t>/</w:t>
            </w:r>
            <w:r>
              <w:rPr>
                <w:rFonts w:eastAsia="MS Mincho"/>
              </w:rPr>
              <w:t>1,839</w:t>
            </w:r>
          </w:p>
          <w:p w14:paraId="719FC0B5" w14:textId="23F382E2" w:rsidR="006351A1" w:rsidRDefault="006351A1" w:rsidP="00A8247E">
            <w:pPr>
              <w:pStyle w:val="Tablewriting"/>
              <w:jc w:val="center"/>
              <w:rPr>
                <w:rFonts w:eastAsia="MS Mincho"/>
              </w:rPr>
            </w:pPr>
            <w:r w:rsidRPr="00251B64">
              <w:rPr>
                <w:rFonts w:eastAsia="MS Mincho"/>
              </w:rPr>
              <w:t>(</w:t>
            </w:r>
            <w:r w:rsidR="00C96AE9">
              <w:rPr>
                <w:rFonts w:eastAsia="MS Mincho"/>
              </w:rPr>
              <w:t>18.6</w:t>
            </w:r>
            <w:r w:rsidRPr="00251B64">
              <w:rPr>
                <w:rFonts w:eastAsia="MS Mincho"/>
              </w:rPr>
              <w:t>%)</w:t>
            </w:r>
          </w:p>
        </w:tc>
        <w:tc>
          <w:tcPr>
            <w:tcW w:w="1012" w:type="pct"/>
            <w:shd w:val="clear" w:color="auto" w:fill="auto"/>
            <w:tcMar>
              <w:left w:w="28" w:type="dxa"/>
              <w:right w:w="28" w:type="dxa"/>
            </w:tcMar>
            <w:vAlign w:val="center"/>
          </w:tcPr>
          <w:p w14:paraId="0610F4C0" w14:textId="4FF0ED25" w:rsidR="006351A1" w:rsidRPr="00A93680" w:rsidRDefault="00F47B5D" w:rsidP="00A8247E">
            <w:pPr>
              <w:pStyle w:val="Tablewriting"/>
              <w:jc w:val="center"/>
              <w:rPr>
                <w:rFonts w:eastAsia="MS Mincho"/>
              </w:rPr>
            </w:pPr>
            <w:r>
              <w:rPr>
                <w:rFonts w:eastAsia="MS Mincho"/>
              </w:rPr>
              <w:t>1.19</w:t>
            </w:r>
          </w:p>
          <w:p w14:paraId="18B0D146" w14:textId="22D5F719" w:rsidR="006351A1" w:rsidRPr="00A93680" w:rsidRDefault="006351A1" w:rsidP="00A8247E">
            <w:pPr>
              <w:pStyle w:val="Tablewriting"/>
              <w:jc w:val="center"/>
              <w:rPr>
                <w:rFonts w:eastAsia="MS Mincho"/>
              </w:rPr>
            </w:pPr>
            <w:r w:rsidRPr="00A93680">
              <w:rPr>
                <w:rFonts w:eastAsia="MS Mincho"/>
              </w:rPr>
              <w:t>(0.9</w:t>
            </w:r>
            <w:r w:rsidR="00F47B5D">
              <w:rPr>
                <w:rFonts w:eastAsia="MS Mincho"/>
              </w:rPr>
              <w:t>4</w:t>
            </w:r>
            <w:r w:rsidRPr="00A93680">
              <w:rPr>
                <w:rFonts w:eastAsia="MS Mincho"/>
              </w:rPr>
              <w:t>, 1.5</w:t>
            </w:r>
            <w:r w:rsidR="00F47B5D">
              <w:rPr>
                <w:rFonts w:eastAsia="MS Mincho"/>
              </w:rPr>
              <w:t>1</w:t>
            </w:r>
            <w:r w:rsidRPr="00A93680">
              <w:rPr>
                <w:rFonts w:eastAsia="MS Mincho"/>
              </w:rPr>
              <w:t>)</w:t>
            </w:r>
          </w:p>
        </w:tc>
      </w:tr>
    </w:tbl>
    <w:p w14:paraId="71523A3E" w14:textId="77777777" w:rsidR="00F47B5D" w:rsidRPr="002C2DB9" w:rsidRDefault="00F47B5D" w:rsidP="002C2DB9">
      <w:pPr>
        <w:pStyle w:val="TableFooter"/>
        <w:spacing w:after="0"/>
        <w:rPr>
          <w:szCs w:val="20"/>
        </w:rPr>
      </w:pPr>
      <w:r w:rsidRPr="002C2DB9">
        <w:rPr>
          <w:szCs w:val="20"/>
        </w:rPr>
        <w:t>Source: Howes et al. (2020)</w:t>
      </w:r>
    </w:p>
    <w:p w14:paraId="7A913FBA" w14:textId="77777777" w:rsidR="00F47B5D" w:rsidRPr="002C2DB9" w:rsidRDefault="00F47B5D" w:rsidP="002C2DB9">
      <w:pPr>
        <w:pStyle w:val="TableFooter"/>
        <w:spacing w:after="0"/>
        <w:rPr>
          <w:i/>
          <w:szCs w:val="20"/>
        </w:rPr>
      </w:pPr>
      <w:r w:rsidRPr="002C2DB9">
        <w:rPr>
          <w:szCs w:val="20"/>
        </w:rPr>
        <w:t xml:space="preserve">Abbreviations: CI = confidence interval; RCT = randomised controlled trial; RR = risk ratio </w:t>
      </w:r>
    </w:p>
    <w:p w14:paraId="3146AF4B" w14:textId="104176B6" w:rsidR="00F47B5D" w:rsidRPr="002C2DB9" w:rsidRDefault="00F47B5D" w:rsidP="002C2DB9">
      <w:pPr>
        <w:spacing w:after="0"/>
        <w:rPr>
          <w:sz w:val="20"/>
          <w:szCs w:val="20"/>
        </w:rPr>
      </w:pPr>
      <w:r w:rsidRPr="002C2DB9">
        <w:rPr>
          <w:sz w:val="20"/>
          <w:szCs w:val="20"/>
        </w:rPr>
        <w:t>Notes: Bold indicates statistically significant difference.</w:t>
      </w:r>
      <w:r w:rsidRPr="002C2DB9">
        <w:rPr>
          <w:sz w:val="20"/>
          <w:szCs w:val="20"/>
        </w:rPr>
        <w:br/>
        <w:t>1 Where cessation was assessed at multiple intervals, the longest follow-up data were used. Where multiple definitions of abstinence were assessed, the strictest of these definitions was used (</w:t>
      </w:r>
      <w:r w:rsidR="00826C95" w:rsidRPr="002C2DB9">
        <w:rPr>
          <w:sz w:val="20"/>
          <w:szCs w:val="20"/>
        </w:rPr>
        <w:t>e.g.,</w:t>
      </w:r>
      <w:r w:rsidRPr="002C2DB9">
        <w:rPr>
          <w:sz w:val="20"/>
          <w:szCs w:val="20"/>
        </w:rPr>
        <w:t xml:space="preserve"> continuous/prolonged abstinence over point prevalence abstinence). See Appendix </w:t>
      </w:r>
      <w:r w:rsidR="002C2DB9" w:rsidRPr="002C2DB9">
        <w:rPr>
          <w:sz w:val="20"/>
          <w:szCs w:val="20"/>
        </w:rPr>
        <w:t>Table 159</w:t>
      </w:r>
      <w:r w:rsidR="008340F4" w:rsidRPr="002C2DB9">
        <w:rPr>
          <w:sz w:val="20"/>
          <w:szCs w:val="20"/>
        </w:rPr>
        <w:t xml:space="preserve"> </w:t>
      </w:r>
      <w:r w:rsidRPr="002C2DB9">
        <w:rPr>
          <w:sz w:val="20"/>
          <w:szCs w:val="20"/>
        </w:rPr>
        <w:t xml:space="preserve">for the definition used in each study. </w:t>
      </w:r>
    </w:p>
    <w:p w14:paraId="7FBF994C" w14:textId="55C281A8" w:rsidR="00F47B5D" w:rsidRPr="002C2DB9" w:rsidRDefault="00F47B5D" w:rsidP="00FA64DE">
      <w:pPr>
        <w:pStyle w:val="TableFooter"/>
        <w:spacing w:after="120"/>
        <w:contextualSpacing w:val="0"/>
        <w:rPr>
          <w:szCs w:val="20"/>
        </w:rPr>
      </w:pPr>
      <w:r w:rsidRPr="002C2DB9">
        <w:rPr>
          <w:szCs w:val="20"/>
        </w:rPr>
        <w:t xml:space="preserve">2 Calculated </w:t>
      </w:r>
      <w:r w:rsidR="00783A22" w:rsidRPr="002C2DB9">
        <w:rPr>
          <w:szCs w:val="20"/>
        </w:rPr>
        <w:t>by Cochrane Review authors</w:t>
      </w:r>
      <w:r w:rsidRPr="002C2DB9">
        <w:rPr>
          <w:szCs w:val="20"/>
        </w:rPr>
        <w:t xml:space="preserve"> using a </w:t>
      </w:r>
      <w:r w:rsidR="001E5B01" w:rsidRPr="002C2DB9">
        <w:rPr>
          <w:szCs w:val="20"/>
        </w:rPr>
        <w:t>random</w:t>
      </w:r>
      <w:r w:rsidRPr="002C2DB9">
        <w:rPr>
          <w:szCs w:val="20"/>
        </w:rPr>
        <w:t>-effect model</w:t>
      </w:r>
      <w:r w:rsidR="00C410DE" w:rsidRPr="002C2DB9">
        <w:rPr>
          <w:szCs w:val="20"/>
        </w:rPr>
        <w:t>.</w:t>
      </w:r>
    </w:p>
    <w:p w14:paraId="2AB5A0AC" w14:textId="547D0F40" w:rsidR="009B4A64" w:rsidRPr="004E214B" w:rsidRDefault="00463F05" w:rsidP="00DC14A6">
      <w:pPr>
        <w:spacing w:after="120"/>
        <w:jc w:val="both"/>
      </w:pPr>
      <w:r w:rsidRPr="00463F05">
        <w:t>The results of the individual studies included in Howes et al. (2020) are presented using a forest plot in</w:t>
      </w:r>
      <w:r w:rsidR="002728D8">
        <w:t xml:space="preserve"> </w:t>
      </w:r>
      <w:r w:rsidR="0041485A">
        <w:fldChar w:fldCharType="begin" w:fldLock="1"/>
      </w:r>
      <w:r w:rsidR="0041485A">
        <w:instrText xml:space="preserve"> REF _Ref58425286 \h </w:instrText>
      </w:r>
      <w:r w:rsidR="0041485A">
        <w:fldChar w:fldCharType="separate"/>
      </w:r>
      <w:r w:rsidR="00EC5CC7">
        <w:t xml:space="preserve">Figure </w:t>
      </w:r>
      <w:r w:rsidR="00EC5CC7">
        <w:rPr>
          <w:noProof/>
        </w:rPr>
        <w:t>22</w:t>
      </w:r>
      <w:r w:rsidR="0041485A">
        <w:fldChar w:fldCharType="end"/>
      </w:r>
      <w:r w:rsidR="0041485A">
        <w:t>.</w:t>
      </w:r>
    </w:p>
    <w:p w14:paraId="706FB7A7" w14:textId="77777777" w:rsidR="002728D8" w:rsidRDefault="002728D8" w:rsidP="0041485A">
      <w:pPr>
        <w:keepNext/>
      </w:pPr>
      <w:r>
        <w:rPr>
          <w:noProof/>
        </w:rPr>
        <w:lastRenderedPageBreak/>
        <w:drawing>
          <wp:inline distT="0" distB="0" distL="0" distR="0" wp14:anchorId="3C5A4569" wp14:editId="16ED9DC2">
            <wp:extent cx="5731510" cy="3286125"/>
            <wp:effectExtent l="0" t="0" r="2540" b="9525"/>
            <wp:docPr id="46" name="Picture 46" descr="P54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5451#yIS1"/>
                    <pic:cNvPicPr/>
                  </pic:nvPicPr>
                  <pic:blipFill>
                    <a:blip r:embed="rId41">
                      <a:extLst>
                        <a:ext uri="{28A0092B-C50C-407E-A947-70E740481C1C}">
                          <a14:useLocalDpi xmlns:a14="http://schemas.microsoft.com/office/drawing/2010/main" val="0"/>
                        </a:ext>
                      </a:extLst>
                    </a:blip>
                    <a:stretch>
                      <a:fillRect/>
                    </a:stretch>
                  </pic:blipFill>
                  <pic:spPr>
                    <a:xfrm>
                      <a:off x="0" y="0"/>
                      <a:ext cx="5731510" cy="3286125"/>
                    </a:xfrm>
                    <a:prstGeom prst="rect">
                      <a:avLst/>
                    </a:prstGeom>
                  </pic:spPr>
                </pic:pic>
              </a:graphicData>
            </a:graphic>
          </wp:inline>
        </w:drawing>
      </w:r>
    </w:p>
    <w:p w14:paraId="3A88B305" w14:textId="276E44E5" w:rsidR="003C4519" w:rsidRDefault="002728D8" w:rsidP="00DC14A6">
      <w:pPr>
        <w:pStyle w:val="Caption"/>
        <w:spacing w:before="120" w:after="60"/>
        <w:jc w:val="both"/>
      </w:pPr>
      <w:bookmarkStart w:id="140" w:name="_Ref58425286"/>
      <w:r>
        <w:t xml:space="preserve">Figure </w:t>
      </w:r>
      <w:r w:rsidR="00BF3F75">
        <w:fldChar w:fldCharType="begin"/>
      </w:r>
      <w:r w:rsidR="00BF3F75">
        <w:instrText xml:space="preserve"> SEQ Figure \* ARABIC </w:instrText>
      </w:r>
      <w:r w:rsidR="00BF3F75">
        <w:fldChar w:fldCharType="separate"/>
      </w:r>
      <w:r w:rsidR="00EC5CC7">
        <w:rPr>
          <w:noProof/>
        </w:rPr>
        <w:t>22</w:t>
      </w:r>
      <w:r w:rsidR="00BF3F75">
        <w:rPr>
          <w:noProof/>
        </w:rPr>
        <w:fldChar w:fldCharType="end"/>
      </w:r>
      <w:bookmarkEnd w:id="140"/>
      <w:r>
        <w:t xml:space="preserve">: </w:t>
      </w:r>
      <w:r w:rsidRPr="00E67B14">
        <w:t>Results of smoking cessation f</w:t>
      </w:r>
      <w:r w:rsidR="00247918">
        <w:t>or</w:t>
      </w:r>
      <w:r w:rsidRPr="00E67B14">
        <w:t xml:space="preserve"> at least six months follow-up in Howes et al. (2020), bupropion </w:t>
      </w:r>
      <w:r>
        <w:t xml:space="preserve">plus NRT </w:t>
      </w:r>
      <w:r w:rsidRPr="00E67B14">
        <w:t xml:space="preserve">versus </w:t>
      </w:r>
      <w:r>
        <w:t>NRT</w:t>
      </w:r>
      <w:r w:rsidRPr="00E67B14">
        <w:t xml:space="preserve"> alone</w:t>
      </w:r>
    </w:p>
    <w:p w14:paraId="31C75272" w14:textId="77777777" w:rsidR="002728D8" w:rsidRDefault="002728D8" w:rsidP="00DC14A6">
      <w:pPr>
        <w:pStyle w:val="FigureFooter"/>
        <w:jc w:val="both"/>
      </w:pPr>
      <w:r>
        <w:t>Source: Howes et al. (2020)</w:t>
      </w:r>
    </w:p>
    <w:p w14:paraId="46B2AC4A" w14:textId="77777777" w:rsidR="002728D8" w:rsidRDefault="002728D8" w:rsidP="00DC14A6">
      <w:pPr>
        <w:pStyle w:val="FigureFooter"/>
        <w:spacing w:after="120"/>
        <w:contextualSpacing w:val="0"/>
        <w:jc w:val="both"/>
      </w:pPr>
      <w:r>
        <w:t>Abbreviations: CI = confidence interval</w:t>
      </w:r>
    </w:p>
    <w:p w14:paraId="1AF8DA22" w14:textId="77777777" w:rsidR="004A55A8" w:rsidRPr="001C0D68" w:rsidRDefault="004A55A8" w:rsidP="00602CA6">
      <w:pPr>
        <w:spacing w:after="120"/>
        <w:jc w:val="both"/>
        <w:rPr>
          <w:u w:val="single"/>
        </w:rPr>
      </w:pPr>
      <w:r w:rsidRPr="001C0D68">
        <w:rPr>
          <w:u w:val="single"/>
        </w:rPr>
        <w:t>Safety</w:t>
      </w:r>
    </w:p>
    <w:p w14:paraId="3151FF99" w14:textId="5FBE2A6C" w:rsidR="002728D8" w:rsidRPr="0041485A" w:rsidRDefault="004A55A8" w:rsidP="00602CA6">
      <w:pPr>
        <w:spacing w:after="120"/>
        <w:jc w:val="both"/>
      </w:pPr>
      <w:r>
        <w:t xml:space="preserve">A summary of key adverse events </w:t>
      </w:r>
      <w:r w:rsidR="008468F9">
        <w:t xml:space="preserve">comparing bupropion plus NRT with NRT alone </w:t>
      </w:r>
      <w:r>
        <w:t>is presented in</w:t>
      </w:r>
      <w:r w:rsidR="00602CA6">
        <w:t xml:space="preserve"> Table 77</w:t>
      </w:r>
      <w:r>
        <w:t xml:space="preserve">. Based on the meta-analysis conducted by Howes et al. (2020), a significantly higher proportion of patients in the bupropion </w:t>
      </w:r>
      <w:r w:rsidR="009D1C6A">
        <w:t>plus NRT</w:t>
      </w:r>
      <w:r>
        <w:t xml:space="preserve"> arm experienced any adverse events compared with patients in the </w:t>
      </w:r>
      <w:r w:rsidR="009D1C6A">
        <w:t>NRT</w:t>
      </w:r>
      <w:r>
        <w:t xml:space="preserve"> alone arm. There were no statistically significant differences between the two treatment arms in terms of serious adverse events and discontinuation due to adverse events. It was noted that the proportion</w:t>
      </w:r>
      <w:r w:rsidR="001C0D68">
        <w:t>s</w:t>
      </w:r>
      <w:r>
        <w:t xml:space="preserve"> of patients who experienc</w:t>
      </w:r>
      <w:r w:rsidR="001C0D68">
        <w:t>ed</w:t>
      </w:r>
      <w:r>
        <w:t xml:space="preserve"> serious adverse events </w:t>
      </w:r>
      <w:r w:rsidR="001C0D68">
        <w:t xml:space="preserve">and </w:t>
      </w:r>
      <w:r>
        <w:t>discontinued treatment due to adverse events w</w:t>
      </w:r>
      <w:r w:rsidR="001C0D68">
        <w:t>ere</w:t>
      </w:r>
      <w:r>
        <w:t xml:space="preserve"> numerically higher in the bupropion </w:t>
      </w:r>
      <w:r w:rsidR="001C0D68">
        <w:t>plus NRT</w:t>
      </w:r>
      <w:r>
        <w:t xml:space="preserve"> arm. </w:t>
      </w:r>
    </w:p>
    <w:p w14:paraId="5EC939D0" w14:textId="77777777" w:rsidR="00830DB8" w:rsidRDefault="00830DB8">
      <w:pPr>
        <w:spacing w:line="276" w:lineRule="auto"/>
        <w:rPr>
          <w:rFonts w:asciiTheme="minorHAnsi" w:eastAsia="Times New Roman" w:hAnsiTheme="minorHAnsi" w:cs="Times New Roman"/>
          <w:b/>
          <w:bCs/>
          <w:szCs w:val="18"/>
        </w:rPr>
      </w:pPr>
      <w:bookmarkStart w:id="141" w:name="_Ref58425914"/>
      <w:r>
        <w:br w:type="page"/>
      </w:r>
    </w:p>
    <w:p w14:paraId="6DD9C342" w14:textId="6D41A81F" w:rsidR="00FF3472" w:rsidRDefault="00FF3472" w:rsidP="00DC14A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77</w:t>
      </w:r>
      <w:r w:rsidR="00BF3F75">
        <w:rPr>
          <w:noProof/>
        </w:rPr>
        <w:fldChar w:fldCharType="end"/>
      </w:r>
      <w:bookmarkEnd w:id="141"/>
      <w:r>
        <w:t xml:space="preserve">: </w:t>
      </w:r>
      <w:r w:rsidRPr="0088396C">
        <w:t>Summary of key adverse events, bupropion</w:t>
      </w:r>
      <w:r>
        <w:t xml:space="preserve"> plus NRT</w:t>
      </w:r>
      <w:r w:rsidRPr="0088396C">
        <w:t xml:space="preserve"> versus </w:t>
      </w:r>
      <w:r>
        <w:t>NRT</w:t>
      </w:r>
      <w:r w:rsidRPr="0088396C">
        <w:t xml:space="preserve"> alone</w:t>
      </w:r>
    </w:p>
    <w:tbl>
      <w:tblPr>
        <w:tblStyle w:val="TableGrid"/>
        <w:tblW w:w="5000" w:type="pct"/>
        <w:tblLook w:val="04A0" w:firstRow="1" w:lastRow="0" w:firstColumn="1" w:lastColumn="0" w:noHBand="0" w:noVBand="1"/>
        <w:tblCaption w:val="Efficacy results of adalimumab trials (PASI 75 and DLQI)"/>
      </w:tblPr>
      <w:tblGrid>
        <w:gridCol w:w="1020"/>
        <w:gridCol w:w="1810"/>
        <w:gridCol w:w="2133"/>
        <w:gridCol w:w="2140"/>
        <w:gridCol w:w="1913"/>
      </w:tblGrid>
      <w:tr w:rsidR="00FF3472" w:rsidRPr="00061F78" w14:paraId="65D23611" w14:textId="77777777" w:rsidTr="00A8247E">
        <w:trPr>
          <w:cantSplit/>
          <w:trHeight w:val="299"/>
          <w:tblHeader/>
        </w:trPr>
        <w:tc>
          <w:tcPr>
            <w:tcW w:w="565" w:type="pct"/>
            <w:shd w:val="clear" w:color="auto" w:fill="BFBFBF" w:themeFill="background1" w:themeFillShade="BF"/>
            <w:tcMar>
              <w:left w:w="28" w:type="dxa"/>
              <w:right w:w="28" w:type="dxa"/>
            </w:tcMar>
            <w:vAlign w:val="center"/>
          </w:tcPr>
          <w:p w14:paraId="63A7628F" w14:textId="77777777" w:rsidR="00FF3472" w:rsidRPr="00061F78" w:rsidRDefault="00FF3472" w:rsidP="00EA69BE">
            <w:pPr>
              <w:pStyle w:val="Tableheading"/>
              <w:rPr>
                <w:rFonts w:eastAsia="MS Mincho"/>
              </w:rPr>
            </w:pPr>
            <w:r>
              <w:rPr>
                <w:rFonts w:eastAsia="MS Mincho"/>
              </w:rPr>
              <w:t>Study</w:t>
            </w:r>
          </w:p>
        </w:tc>
        <w:tc>
          <w:tcPr>
            <w:tcW w:w="1004" w:type="pct"/>
            <w:shd w:val="clear" w:color="auto" w:fill="BFBFBF" w:themeFill="background1" w:themeFillShade="BF"/>
            <w:vAlign w:val="center"/>
          </w:tcPr>
          <w:p w14:paraId="277CFB7E" w14:textId="77777777" w:rsidR="00FF3472" w:rsidRPr="002D7608" w:rsidRDefault="00FF3472" w:rsidP="00EA69BE">
            <w:pPr>
              <w:pStyle w:val="Tableheading"/>
              <w:jc w:val="center"/>
              <w:rPr>
                <w:rFonts w:eastAsia="MS Mincho"/>
                <w:vertAlign w:val="superscript"/>
              </w:rPr>
            </w:pPr>
            <w:r>
              <w:rPr>
                <w:rFonts w:eastAsia="MS Mincho"/>
              </w:rPr>
              <w:t>Study type</w:t>
            </w:r>
          </w:p>
        </w:tc>
        <w:tc>
          <w:tcPr>
            <w:tcW w:w="1183" w:type="pct"/>
            <w:shd w:val="clear" w:color="auto" w:fill="BFBFBF" w:themeFill="background1" w:themeFillShade="BF"/>
            <w:tcMar>
              <w:left w:w="28" w:type="dxa"/>
              <w:right w:w="28" w:type="dxa"/>
            </w:tcMar>
            <w:vAlign w:val="center"/>
          </w:tcPr>
          <w:p w14:paraId="00C8C7B3" w14:textId="4F47C5C9" w:rsidR="00FF3472" w:rsidRPr="00061F78" w:rsidRDefault="00FF3472" w:rsidP="00EA69BE">
            <w:pPr>
              <w:pStyle w:val="Tableheading"/>
              <w:jc w:val="center"/>
              <w:rPr>
                <w:rFonts w:eastAsia="MS Mincho"/>
              </w:rPr>
            </w:pPr>
            <w:r>
              <w:rPr>
                <w:rFonts w:eastAsia="MS Mincho"/>
              </w:rPr>
              <w:t>Bupropion plus NRT</w:t>
            </w:r>
          </w:p>
        </w:tc>
        <w:tc>
          <w:tcPr>
            <w:tcW w:w="1187" w:type="pct"/>
            <w:shd w:val="clear" w:color="auto" w:fill="BFBFBF" w:themeFill="background1" w:themeFillShade="BF"/>
            <w:tcMar>
              <w:left w:w="28" w:type="dxa"/>
              <w:right w:w="28" w:type="dxa"/>
            </w:tcMar>
            <w:vAlign w:val="center"/>
          </w:tcPr>
          <w:p w14:paraId="31A1D6F9" w14:textId="4A88E723" w:rsidR="00FF3472" w:rsidRPr="00061F78" w:rsidRDefault="00FF3472" w:rsidP="00EA69BE">
            <w:pPr>
              <w:pStyle w:val="Tableheading"/>
              <w:jc w:val="center"/>
              <w:rPr>
                <w:rFonts w:eastAsia="MS Mincho"/>
              </w:rPr>
            </w:pPr>
            <w:r>
              <w:rPr>
                <w:rFonts w:eastAsia="MS Mincho"/>
              </w:rPr>
              <w:t>NRT alone</w:t>
            </w:r>
          </w:p>
        </w:tc>
        <w:tc>
          <w:tcPr>
            <w:tcW w:w="1061" w:type="pct"/>
            <w:shd w:val="clear" w:color="auto" w:fill="BFBFBF" w:themeFill="background1" w:themeFillShade="BF"/>
            <w:tcMar>
              <w:left w:w="28" w:type="dxa"/>
              <w:right w:w="28" w:type="dxa"/>
            </w:tcMar>
            <w:vAlign w:val="center"/>
          </w:tcPr>
          <w:p w14:paraId="28C0EA19" w14:textId="77777777" w:rsidR="00FF3472" w:rsidRPr="00D468CF" w:rsidRDefault="00FF3472" w:rsidP="00EA69BE">
            <w:pPr>
              <w:pStyle w:val="Tableheading"/>
              <w:jc w:val="center"/>
              <w:rPr>
                <w:rFonts w:eastAsia="MS Mincho"/>
                <w:vertAlign w:val="superscript"/>
              </w:rPr>
            </w:pPr>
            <w:r>
              <w:rPr>
                <w:rFonts w:eastAsia="MS Mincho"/>
              </w:rPr>
              <w:t>RR (95% CI)</w:t>
            </w:r>
            <w:r>
              <w:rPr>
                <w:rFonts w:eastAsia="MS Mincho"/>
                <w:vertAlign w:val="superscript"/>
              </w:rPr>
              <w:t>1</w:t>
            </w:r>
          </w:p>
        </w:tc>
      </w:tr>
      <w:tr w:rsidR="00FF3472" w:rsidRPr="00061F78" w14:paraId="2C1ED0B0" w14:textId="77777777" w:rsidTr="004B53F8">
        <w:trPr>
          <w:cantSplit/>
          <w:trHeight w:val="99"/>
        </w:trPr>
        <w:tc>
          <w:tcPr>
            <w:tcW w:w="5000" w:type="pct"/>
            <w:gridSpan w:val="5"/>
            <w:shd w:val="clear" w:color="auto" w:fill="auto"/>
            <w:tcMar>
              <w:left w:w="28" w:type="dxa"/>
              <w:right w:w="28" w:type="dxa"/>
            </w:tcMar>
            <w:vAlign w:val="center"/>
          </w:tcPr>
          <w:p w14:paraId="0623864A" w14:textId="77777777" w:rsidR="00A25438" w:rsidRPr="004B53F8" w:rsidRDefault="00A25438" w:rsidP="00EA69BE">
            <w:pPr>
              <w:pStyle w:val="Tablewriting"/>
              <w:rPr>
                <w:rFonts w:eastAsia="MS Mincho"/>
                <w:b/>
                <w:bCs/>
              </w:rPr>
            </w:pPr>
            <w:r w:rsidRPr="004B53F8">
              <w:rPr>
                <w:rFonts w:eastAsia="MS Mincho"/>
                <w:b/>
                <w:bCs/>
              </w:rPr>
              <w:t>Adverse events</w:t>
            </w:r>
          </w:p>
        </w:tc>
      </w:tr>
      <w:tr w:rsidR="00FF3472" w:rsidRPr="00061F78" w14:paraId="5C72A489" w14:textId="77777777" w:rsidTr="00A8247E">
        <w:trPr>
          <w:cantSplit/>
          <w:trHeight w:val="149"/>
        </w:trPr>
        <w:tc>
          <w:tcPr>
            <w:tcW w:w="565" w:type="pct"/>
            <w:tcMar>
              <w:left w:w="28" w:type="dxa"/>
              <w:right w:w="28" w:type="dxa"/>
            </w:tcMar>
          </w:tcPr>
          <w:p w14:paraId="3538CC53" w14:textId="77777777" w:rsidR="00FF3472" w:rsidRDefault="00FF3472" w:rsidP="00EA69BE">
            <w:pPr>
              <w:pStyle w:val="Tablewriting"/>
              <w:rPr>
                <w:rFonts w:eastAsia="MS Mincho"/>
              </w:rPr>
            </w:pPr>
            <w:r>
              <w:rPr>
                <w:rFonts w:eastAsia="MS Mincho"/>
              </w:rPr>
              <w:t>Howes</w:t>
            </w:r>
            <w:r w:rsidRPr="00061F78">
              <w:rPr>
                <w:rFonts w:eastAsia="MS Mincho"/>
              </w:rPr>
              <w:t xml:space="preserve"> </w:t>
            </w:r>
          </w:p>
          <w:p w14:paraId="5F036491" w14:textId="77777777" w:rsidR="00FF3472" w:rsidRPr="00D468CF" w:rsidRDefault="00FF3472" w:rsidP="00EA69BE">
            <w:pPr>
              <w:pStyle w:val="Tablewriting"/>
              <w:rPr>
                <w:rFonts w:eastAsia="MS Mincho"/>
                <w:vertAlign w:val="superscript"/>
              </w:rPr>
            </w:pPr>
            <w:r w:rsidRPr="00061F78">
              <w:rPr>
                <w:rFonts w:eastAsia="MS Mincho"/>
              </w:rPr>
              <w:t>(20</w:t>
            </w:r>
            <w:r>
              <w:rPr>
                <w:rFonts w:eastAsia="MS Mincho"/>
              </w:rPr>
              <w:t>20</w:t>
            </w:r>
            <w:r w:rsidRPr="00061F78">
              <w:rPr>
                <w:rFonts w:eastAsia="MS Mincho"/>
              </w:rPr>
              <w:t>)</w:t>
            </w:r>
          </w:p>
        </w:tc>
        <w:tc>
          <w:tcPr>
            <w:tcW w:w="1004" w:type="pct"/>
            <w:vAlign w:val="center"/>
          </w:tcPr>
          <w:p w14:paraId="2035F568" w14:textId="69CF1245" w:rsidR="00FF3472" w:rsidRPr="00061F78" w:rsidRDefault="00FF3472" w:rsidP="00EA69BE">
            <w:pPr>
              <w:pStyle w:val="Tablewriting"/>
              <w:jc w:val="center"/>
              <w:rPr>
                <w:rFonts w:eastAsia="MS Mincho"/>
              </w:rPr>
            </w:pPr>
            <w:r>
              <w:rPr>
                <w:rFonts w:eastAsia="MS Mincho"/>
              </w:rPr>
              <w:t>Cochrane Review (2 RCTs)</w:t>
            </w:r>
          </w:p>
        </w:tc>
        <w:tc>
          <w:tcPr>
            <w:tcW w:w="1183" w:type="pct"/>
            <w:tcMar>
              <w:left w:w="28" w:type="dxa"/>
              <w:right w:w="28" w:type="dxa"/>
            </w:tcMar>
            <w:vAlign w:val="center"/>
          </w:tcPr>
          <w:p w14:paraId="51144B61" w14:textId="461FB14B" w:rsidR="00FF3472" w:rsidRDefault="00772F3B" w:rsidP="00EA69BE">
            <w:pPr>
              <w:pStyle w:val="Tablewriting"/>
              <w:jc w:val="center"/>
              <w:rPr>
                <w:rFonts w:eastAsia="MS Mincho"/>
              </w:rPr>
            </w:pPr>
            <w:r>
              <w:rPr>
                <w:rFonts w:eastAsia="MS Mincho"/>
              </w:rPr>
              <w:t>104</w:t>
            </w:r>
            <w:r w:rsidR="00FF3472">
              <w:rPr>
                <w:rFonts w:eastAsia="MS Mincho"/>
              </w:rPr>
              <w:t>/</w:t>
            </w:r>
            <w:r>
              <w:rPr>
                <w:rFonts w:eastAsia="MS Mincho"/>
              </w:rPr>
              <w:t>155</w:t>
            </w:r>
          </w:p>
          <w:p w14:paraId="129CB5B6" w14:textId="728DBB91" w:rsidR="00FF3472" w:rsidRPr="00061F78" w:rsidRDefault="00FF3472" w:rsidP="00EA69BE">
            <w:pPr>
              <w:pStyle w:val="Tablewriting"/>
              <w:jc w:val="center"/>
              <w:rPr>
                <w:rFonts w:eastAsia="MS Mincho"/>
              </w:rPr>
            </w:pPr>
            <w:r>
              <w:rPr>
                <w:rFonts w:eastAsia="MS Mincho"/>
              </w:rPr>
              <w:t>(</w:t>
            </w:r>
            <w:r w:rsidR="00FE50E4">
              <w:rPr>
                <w:rFonts w:eastAsia="MS Mincho"/>
              </w:rPr>
              <w:t>67.1</w:t>
            </w:r>
            <w:r>
              <w:rPr>
                <w:rFonts w:eastAsia="MS Mincho"/>
              </w:rPr>
              <w:t>%)</w:t>
            </w:r>
          </w:p>
        </w:tc>
        <w:tc>
          <w:tcPr>
            <w:tcW w:w="1187" w:type="pct"/>
            <w:tcMar>
              <w:left w:w="28" w:type="dxa"/>
              <w:right w:w="28" w:type="dxa"/>
            </w:tcMar>
            <w:vAlign w:val="center"/>
          </w:tcPr>
          <w:p w14:paraId="20F3C90E" w14:textId="29A99E15" w:rsidR="00FF3472" w:rsidRDefault="00F07EBB" w:rsidP="00EA69BE">
            <w:pPr>
              <w:pStyle w:val="Tablewriting"/>
              <w:jc w:val="center"/>
              <w:rPr>
                <w:rFonts w:eastAsia="MS Mincho"/>
              </w:rPr>
            </w:pPr>
            <w:r>
              <w:rPr>
                <w:rFonts w:eastAsia="MS Mincho"/>
              </w:rPr>
              <w:t>88</w:t>
            </w:r>
            <w:r w:rsidR="00FF3472">
              <w:rPr>
                <w:rFonts w:eastAsia="MS Mincho"/>
              </w:rPr>
              <w:t>/</w:t>
            </w:r>
            <w:r w:rsidR="00137924">
              <w:rPr>
                <w:rFonts w:eastAsia="MS Mincho"/>
              </w:rPr>
              <w:t>158</w:t>
            </w:r>
          </w:p>
          <w:p w14:paraId="4374F1EE" w14:textId="644528F5" w:rsidR="00FF3472" w:rsidRPr="00061F78" w:rsidRDefault="00FF3472" w:rsidP="00EA69BE">
            <w:pPr>
              <w:pStyle w:val="Tablewriting"/>
              <w:jc w:val="center"/>
              <w:rPr>
                <w:rFonts w:eastAsia="MS Mincho"/>
              </w:rPr>
            </w:pPr>
            <w:r>
              <w:rPr>
                <w:rFonts w:eastAsia="MS Mincho"/>
              </w:rPr>
              <w:t>(</w:t>
            </w:r>
            <w:r w:rsidR="00253756">
              <w:rPr>
                <w:rFonts w:eastAsia="MS Mincho"/>
              </w:rPr>
              <w:t>55.7</w:t>
            </w:r>
            <w:r>
              <w:rPr>
                <w:rFonts w:eastAsia="MS Mincho"/>
              </w:rPr>
              <w:t>%)</w:t>
            </w:r>
          </w:p>
        </w:tc>
        <w:tc>
          <w:tcPr>
            <w:tcW w:w="1061" w:type="pct"/>
            <w:tcMar>
              <w:left w:w="28" w:type="dxa"/>
              <w:right w:w="28" w:type="dxa"/>
            </w:tcMar>
            <w:vAlign w:val="center"/>
          </w:tcPr>
          <w:p w14:paraId="78721B1D" w14:textId="30738EC9" w:rsidR="00FF3472" w:rsidRPr="002C230D" w:rsidRDefault="00FF3472" w:rsidP="00EA69BE">
            <w:pPr>
              <w:pStyle w:val="Tablewriting"/>
              <w:jc w:val="center"/>
              <w:rPr>
                <w:rFonts w:eastAsia="MS Mincho"/>
                <w:b/>
                <w:bCs/>
              </w:rPr>
            </w:pPr>
            <w:r w:rsidRPr="002C230D">
              <w:rPr>
                <w:rFonts w:eastAsia="MS Mincho"/>
                <w:b/>
                <w:bCs/>
              </w:rPr>
              <w:t>1.</w:t>
            </w:r>
            <w:r w:rsidR="002D02F4">
              <w:rPr>
                <w:rFonts w:eastAsia="MS Mincho"/>
                <w:b/>
                <w:bCs/>
              </w:rPr>
              <w:t>21</w:t>
            </w:r>
          </w:p>
          <w:p w14:paraId="4C8717B4" w14:textId="35D3ED9F" w:rsidR="00FF3472" w:rsidRPr="00061F78" w:rsidRDefault="00FF3472" w:rsidP="00EA69BE">
            <w:pPr>
              <w:pStyle w:val="Tablewriting"/>
              <w:jc w:val="center"/>
              <w:rPr>
                <w:rFonts w:eastAsia="MS Mincho"/>
              </w:rPr>
            </w:pPr>
            <w:r w:rsidRPr="002C230D">
              <w:rPr>
                <w:rFonts w:eastAsia="MS Mincho"/>
                <w:b/>
                <w:bCs/>
              </w:rPr>
              <w:t>(1.02, 1.</w:t>
            </w:r>
            <w:r w:rsidR="00A6724D">
              <w:rPr>
                <w:rFonts w:eastAsia="MS Mincho"/>
                <w:b/>
                <w:bCs/>
              </w:rPr>
              <w:t>43</w:t>
            </w:r>
            <w:r w:rsidRPr="002C230D">
              <w:rPr>
                <w:rFonts w:eastAsia="MS Mincho"/>
                <w:b/>
                <w:bCs/>
              </w:rPr>
              <w:t>)</w:t>
            </w:r>
          </w:p>
        </w:tc>
      </w:tr>
      <w:tr w:rsidR="00FF3472" w:rsidRPr="00061F78" w14:paraId="29A7690F" w14:textId="77777777" w:rsidTr="004B53F8">
        <w:trPr>
          <w:cantSplit/>
          <w:trHeight w:val="149"/>
        </w:trPr>
        <w:tc>
          <w:tcPr>
            <w:tcW w:w="5000" w:type="pct"/>
            <w:gridSpan w:val="5"/>
            <w:shd w:val="clear" w:color="auto" w:fill="auto"/>
            <w:tcMar>
              <w:left w:w="28" w:type="dxa"/>
              <w:right w:w="28" w:type="dxa"/>
            </w:tcMar>
            <w:vAlign w:val="center"/>
          </w:tcPr>
          <w:p w14:paraId="60AEA53F" w14:textId="77777777" w:rsidR="00A25438" w:rsidRPr="004B53F8" w:rsidRDefault="00A25438" w:rsidP="00EA69BE">
            <w:pPr>
              <w:pStyle w:val="Tablewriting"/>
              <w:rPr>
                <w:rFonts w:eastAsia="MS Mincho"/>
                <w:b/>
                <w:bCs/>
              </w:rPr>
            </w:pPr>
            <w:r w:rsidRPr="004B53F8">
              <w:rPr>
                <w:rFonts w:eastAsia="MS Mincho"/>
                <w:b/>
                <w:bCs/>
              </w:rPr>
              <w:t>Serious adverse events</w:t>
            </w:r>
          </w:p>
        </w:tc>
      </w:tr>
      <w:tr w:rsidR="00FF3472" w:rsidRPr="00061F78" w14:paraId="5355993A" w14:textId="77777777" w:rsidTr="00A8247E">
        <w:trPr>
          <w:cantSplit/>
          <w:trHeight w:val="149"/>
        </w:trPr>
        <w:tc>
          <w:tcPr>
            <w:tcW w:w="565" w:type="pct"/>
            <w:tcMar>
              <w:left w:w="28" w:type="dxa"/>
              <w:right w:w="28" w:type="dxa"/>
            </w:tcMar>
          </w:tcPr>
          <w:p w14:paraId="167620C5" w14:textId="77777777" w:rsidR="00FF3472" w:rsidRDefault="00FF3472" w:rsidP="00EA69BE">
            <w:pPr>
              <w:pStyle w:val="Tablewriting"/>
              <w:rPr>
                <w:rFonts w:eastAsia="MS Mincho"/>
              </w:rPr>
            </w:pPr>
            <w:r>
              <w:rPr>
                <w:rFonts w:eastAsia="MS Mincho"/>
              </w:rPr>
              <w:t>Howes</w:t>
            </w:r>
            <w:r w:rsidRPr="00061F78">
              <w:rPr>
                <w:rFonts w:eastAsia="MS Mincho"/>
              </w:rPr>
              <w:t xml:space="preserve"> </w:t>
            </w:r>
          </w:p>
          <w:p w14:paraId="4CD3E182" w14:textId="77777777" w:rsidR="00FF3472" w:rsidRDefault="00FF3472" w:rsidP="00EA69BE">
            <w:pPr>
              <w:pStyle w:val="Tablewriting"/>
              <w:rPr>
                <w:rFonts w:eastAsia="MS Mincho"/>
              </w:rPr>
            </w:pPr>
            <w:r w:rsidRPr="00061F78">
              <w:rPr>
                <w:rFonts w:eastAsia="MS Mincho"/>
              </w:rPr>
              <w:t>(20</w:t>
            </w:r>
            <w:r>
              <w:rPr>
                <w:rFonts w:eastAsia="MS Mincho"/>
              </w:rPr>
              <w:t>20</w:t>
            </w:r>
            <w:r w:rsidRPr="00061F78">
              <w:rPr>
                <w:rFonts w:eastAsia="MS Mincho"/>
              </w:rPr>
              <w:t>)</w:t>
            </w:r>
          </w:p>
        </w:tc>
        <w:tc>
          <w:tcPr>
            <w:tcW w:w="1004" w:type="pct"/>
            <w:vAlign w:val="center"/>
          </w:tcPr>
          <w:p w14:paraId="777F1E0D" w14:textId="73638C0F" w:rsidR="00FF3472" w:rsidRDefault="00FF3472" w:rsidP="00EA69BE">
            <w:pPr>
              <w:pStyle w:val="Tablewriting"/>
              <w:jc w:val="center"/>
              <w:rPr>
                <w:rFonts w:eastAsia="MS Mincho"/>
              </w:rPr>
            </w:pPr>
            <w:r>
              <w:rPr>
                <w:rFonts w:eastAsia="MS Mincho"/>
              </w:rPr>
              <w:t>Cochrane Review (</w:t>
            </w:r>
            <w:r w:rsidR="00A6724D">
              <w:rPr>
                <w:rFonts w:eastAsia="MS Mincho"/>
              </w:rPr>
              <w:t>3</w:t>
            </w:r>
            <w:r>
              <w:rPr>
                <w:rFonts w:eastAsia="MS Mincho"/>
              </w:rPr>
              <w:t xml:space="preserve"> RCTs)</w:t>
            </w:r>
          </w:p>
        </w:tc>
        <w:tc>
          <w:tcPr>
            <w:tcW w:w="1183" w:type="pct"/>
            <w:tcMar>
              <w:left w:w="28" w:type="dxa"/>
              <w:right w:w="28" w:type="dxa"/>
            </w:tcMar>
            <w:vAlign w:val="center"/>
          </w:tcPr>
          <w:p w14:paraId="578710E2" w14:textId="77777777" w:rsidR="000B3F9A" w:rsidRDefault="000B3F9A" w:rsidP="00EA69BE">
            <w:pPr>
              <w:pStyle w:val="Tablewriting"/>
              <w:jc w:val="center"/>
              <w:rPr>
                <w:rFonts w:eastAsia="MS Mincho"/>
              </w:rPr>
            </w:pPr>
            <w:r>
              <w:rPr>
                <w:rFonts w:eastAsia="MS Mincho"/>
              </w:rPr>
              <w:t>3</w:t>
            </w:r>
            <w:r w:rsidR="00FF3472">
              <w:rPr>
                <w:rFonts w:eastAsia="MS Mincho"/>
              </w:rPr>
              <w:t>/</w:t>
            </w:r>
            <w:r>
              <w:rPr>
                <w:rFonts w:eastAsia="MS Mincho"/>
              </w:rPr>
              <w:t>303</w:t>
            </w:r>
          </w:p>
          <w:p w14:paraId="34A177E1" w14:textId="5FAC550D" w:rsidR="00FF3472" w:rsidRDefault="00FF3472" w:rsidP="00EA69BE">
            <w:pPr>
              <w:pStyle w:val="Tablewriting"/>
              <w:jc w:val="center"/>
              <w:rPr>
                <w:rFonts w:eastAsia="MS Mincho"/>
              </w:rPr>
            </w:pPr>
            <w:r>
              <w:rPr>
                <w:rFonts w:eastAsia="MS Mincho"/>
              </w:rPr>
              <w:t>(</w:t>
            </w:r>
            <w:r w:rsidR="00804CF8">
              <w:rPr>
                <w:rFonts w:eastAsia="MS Mincho"/>
              </w:rPr>
              <w:t>1.0</w:t>
            </w:r>
            <w:r>
              <w:rPr>
                <w:rFonts w:eastAsia="MS Mincho"/>
              </w:rPr>
              <w:t>%)</w:t>
            </w:r>
          </w:p>
        </w:tc>
        <w:tc>
          <w:tcPr>
            <w:tcW w:w="1187" w:type="pct"/>
            <w:tcMar>
              <w:left w:w="28" w:type="dxa"/>
              <w:right w:w="28" w:type="dxa"/>
            </w:tcMar>
            <w:vAlign w:val="center"/>
          </w:tcPr>
          <w:p w14:paraId="3180BE1E" w14:textId="39A805B5" w:rsidR="00FF3472" w:rsidRDefault="000B3F9A" w:rsidP="00EA69BE">
            <w:pPr>
              <w:pStyle w:val="Tablewriting"/>
              <w:jc w:val="center"/>
              <w:rPr>
                <w:rFonts w:eastAsia="MS Mincho"/>
              </w:rPr>
            </w:pPr>
            <w:r>
              <w:rPr>
                <w:rFonts w:eastAsia="MS Mincho"/>
              </w:rPr>
              <w:t>2</w:t>
            </w:r>
            <w:r w:rsidR="00FF3472">
              <w:rPr>
                <w:rFonts w:eastAsia="MS Mincho"/>
              </w:rPr>
              <w:t>/</w:t>
            </w:r>
            <w:r>
              <w:rPr>
                <w:rFonts w:eastAsia="MS Mincho"/>
              </w:rPr>
              <w:t>304</w:t>
            </w:r>
          </w:p>
          <w:p w14:paraId="330A5466" w14:textId="76203A88" w:rsidR="00FF3472" w:rsidRPr="00061F78" w:rsidRDefault="00FF3472" w:rsidP="00EA69BE">
            <w:pPr>
              <w:pStyle w:val="Tablewriting"/>
              <w:jc w:val="center"/>
              <w:rPr>
                <w:rFonts w:eastAsia="MS Mincho"/>
              </w:rPr>
            </w:pPr>
            <w:r>
              <w:rPr>
                <w:rFonts w:eastAsia="MS Mincho"/>
              </w:rPr>
              <w:t>(</w:t>
            </w:r>
            <w:r w:rsidR="000B2D26">
              <w:rPr>
                <w:rFonts w:eastAsia="MS Mincho"/>
              </w:rPr>
              <w:t>0.7</w:t>
            </w:r>
            <w:r>
              <w:rPr>
                <w:rFonts w:eastAsia="MS Mincho"/>
              </w:rPr>
              <w:t>%)</w:t>
            </w:r>
          </w:p>
        </w:tc>
        <w:tc>
          <w:tcPr>
            <w:tcW w:w="1061" w:type="pct"/>
            <w:tcMar>
              <w:left w:w="28" w:type="dxa"/>
              <w:right w:w="28" w:type="dxa"/>
            </w:tcMar>
            <w:vAlign w:val="center"/>
          </w:tcPr>
          <w:p w14:paraId="2E549C2E" w14:textId="1DB5FE2D" w:rsidR="00FF3472" w:rsidRDefault="00FF3472" w:rsidP="00EA69BE">
            <w:pPr>
              <w:pStyle w:val="Tablewriting"/>
              <w:jc w:val="center"/>
              <w:rPr>
                <w:rFonts w:eastAsia="MS Mincho"/>
              </w:rPr>
            </w:pPr>
            <w:r>
              <w:rPr>
                <w:rFonts w:eastAsia="MS Mincho"/>
              </w:rPr>
              <w:t>1.</w:t>
            </w:r>
            <w:r w:rsidR="000B3F9A">
              <w:rPr>
                <w:rFonts w:eastAsia="MS Mincho"/>
              </w:rPr>
              <w:t>52</w:t>
            </w:r>
          </w:p>
          <w:p w14:paraId="7EF8635A" w14:textId="6D41DAFB" w:rsidR="00FF3472" w:rsidRPr="00275BAC" w:rsidRDefault="00FF3472" w:rsidP="00EA69BE">
            <w:pPr>
              <w:pStyle w:val="Tablewriting"/>
              <w:jc w:val="center"/>
              <w:rPr>
                <w:rFonts w:eastAsia="MS Mincho"/>
              </w:rPr>
            </w:pPr>
            <w:r>
              <w:rPr>
                <w:rFonts w:eastAsia="MS Mincho"/>
              </w:rPr>
              <w:t>(0.</w:t>
            </w:r>
            <w:r w:rsidR="00F7771A">
              <w:rPr>
                <w:rFonts w:eastAsia="MS Mincho"/>
              </w:rPr>
              <w:t>26</w:t>
            </w:r>
            <w:r>
              <w:rPr>
                <w:rFonts w:eastAsia="MS Mincho"/>
              </w:rPr>
              <w:t xml:space="preserve">, </w:t>
            </w:r>
            <w:r w:rsidR="00F7771A">
              <w:rPr>
                <w:rFonts w:eastAsia="MS Mincho"/>
              </w:rPr>
              <w:t>8.89</w:t>
            </w:r>
            <w:r>
              <w:rPr>
                <w:rFonts w:eastAsia="MS Mincho"/>
              </w:rPr>
              <w:t>)</w:t>
            </w:r>
          </w:p>
        </w:tc>
      </w:tr>
      <w:tr w:rsidR="00FF3472" w:rsidRPr="00061F78" w14:paraId="6C5E172B" w14:textId="77777777" w:rsidTr="004B53F8">
        <w:trPr>
          <w:cantSplit/>
          <w:trHeight w:val="70"/>
        </w:trPr>
        <w:tc>
          <w:tcPr>
            <w:tcW w:w="5000" w:type="pct"/>
            <w:gridSpan w:val="5"/>
            <w:shd w:val="clear" w:color="auto" w:fill="auto"/>
            <w:tcMar>
              <w:left w:w="28" w:type="dxa"/>
              <w:right w:w="28" w:type="dxa"/>
            </w:tcMar>
          </w:tcPr>
          <w:p w14:paraId="377B163C" w14:textId="77777777" w:rsidR="00A25438" w:rsidRPr="004B53F8" w:rsidRDefault="00A25438" w:rsidP="00EA69BE">
            <w:pPr>
              <w:pStyle w:val="Tablewriting"/>
              <w:rPr>
                <w:rFonts w:eastAsia="MS Mincho"/>
                <w:b/>
                <w:bCs/>
              </w:rPr>
            </w:pPr>
            <w:r w:rsidRPr="004B53F8">
              <w:rPr>
                <w:rFonts w:eastAsia="MS Mincho"/>
                <w:b/>
                <w:bCs/>
              </w:rPr>
              <w:t>Discontinuation due to adverse events</w:t>
            </w:r>
          </w:p>
        </w:tc>
      </w:tr>
      <w:tr w:rsidR="00FF3472" w:rsidRPr="00061F78" w14:paraId="1B963B07" w14:textId="77777777" w:rsidTr="00A8247E">
        <w:trPr>
          <w:cantSplit/>
          <w:trHeight w:val="149"/>
        </w:trPr>
        <w:tc>
          <w:tcPr>
            <w:tcW w:w="565" w:type="pct"/>
            <w:tcMar>
              <w:left w:w="28" w:type="dxa"/>
              <w:right w:w="28" w:type="dxa"/>
            </w:tcMar>
          </w:tcPr>
          <w:p w14:paraId="70ABAEED" w14:textId="77777777" w:rsidR="00FF3472" w:rsidRDefault="00FF3472" w:rsidP="00EA69BE">
            <w:pPr>
              <w:pStyle w:val="Tablewriting"/>
              <w:rPr>
                <w:rFonts w:eastAsia="MS Mincho"/>
              </w:rPr>
            </w:pPr>
            <w:r>
              <w:rPr>
                <w:rFonts w:eastAsia="MS Mincho"/>
              </w:rPr>
              <w:t>Howes</w:t>
            </w:r>
            <w:r w:rsidRPr="00061F78">
              <w:rPr>
                <w:rFonts w:eastAsia="MS Mincho"/>
              </w:rPr>
              <w:t xml:space="preserve"> </w:t>
            </w:r>
          </w:p>
          <w:p w14:paraId="05629FEE" w14:textId="77777777" w:rsidR="00FF3472" w:rsidRDefault="00FF3472" w:rsidP="00EA69BE">
            <w:pPr>
              <w:pStyle w:val="Tablewriting"/>
              <w:rPr>
                <w:rFonts w:eastAsia="MS Mincho"/>
              </w:rPr>
            </w:pPr>
            <w:r w:rsidRPr="00061F78">
              <w:rPr>
                <w:rFonts w:eastAsia="MS Mincho"/>
              </w:rPr>
              <w:t>(20</w:t>
            </w:r>
            <w:r>
              <w:rPr>
                <w:rFonts w:eastAsia="MS Mincho"/>
              </w:rPr>
              <w:t>20</w:t>
            </w:r>
            <w:r w:rsidRPr="00061F78">
              <w:rPr>
                <w:rFonts w:eastAsia="MS Mincho"/>
              </w:rPr>
              <w:t>)</w:t>
            </w:r>
          </w:p>
        </w:tc>
        <w:tc>
          <w:tcPr>
            <w:tcW w:w="1004" w:type="pct"/>
            <w:vAlign w:val="center"/>
          </w:tcPr>
          <w:p w14:paraId="339E1B3E" w14:textId="0A287519" w:rsidR="00FF3472" w:rsidRDefault="00FF3472" w:rsidP="00EA69BE">
            <w:pPr>
              <w:pStyle w:val="Tablewriting"/>
              <w:jc w:val="center"/>
              <w:rPr>
                <w:rFonts w:eastAsia="MS Mincho"/>
              </w:rPr>
            </w:pPr>
            <w:r>
              <w:rPr>
                <w:rFonts w:eastAsia="MS Mincho"/>
              </w:rPr>
              <w:t>Cochrane Review (</w:t>
            </w:r>
            <w:r w:rsidR="00F7771A">
              <w:rPr>
                <w:rFonts w:eastAsia="MS Mincho"/>
              </w:rPr>
              <w:t>2</w:t>
            </w:r>
            <w:r>
              <w:rPr>
                <w:rFonts w:eastAsia="MS Mincho"/>
              </w:rPr>
              <w:t xml:space="preserve"> RCTs)</w:t>
            </w:r>
          </w:p>
        </w:tc>
        <w:tc>
          <w:tcPr>
            <w:tcW w:w="1183" w:type="pct"/>
            <w:tcMar>
              <w:left w:w="28" w:type="dxa"/>
              <w:right w:w="28" w:type="dxa"/>
            </w:tcMar>
            <w:vAlign w:val="center"/>
          </w:tcPr>
          <w:p w14:paraId="5387F2B0" w14:textId="672281F1" w:rsidR="00FF3472" w:rsidRDefault="00F7771A" w:rsidP="00EA69BE">
            <w:pPr>
              <w:pStyle w:val="Tablewriting"/>
              <w:jc w:val="center"/>
              <w:rPr>
                <w:rFonts w:eastAsia="MS Mincho"/>
              </w:rPr>
            </w:pPr>
            <w:r>
              <w:rPr>
                <w:rFonts w:eastAsia="MS Mincho"/>
              </w:rPr>
              <w:t>30</w:t>
            </w:r>
            <w:r w:rsidR="00FF3472">
              <w:rPr>
                <w:rFonts w:eastAsia="MS Mincho"/>
              </w:rPr>
              <w:t>/</w:t>
            </w:r>
            <w:r>
              <w:rPr>
                <w:rFonts w:eastAsia="MS Mincho"/>
              </w:rPr>
              <w:t>269</w:t>
            </w:r>
          </w:p>
          <w:p w14:paraId="217629A0" w14:textId="260D9433" w:rsidR="00FF3472" w:rsidRDefault="00FF3472" w:rsidP="00EA69BE">
            <w:pPr>
              <w:pStyle w:val="Tablewriting"/>
              <w:jc w:val="center"/>
              <w:rPr>
                <w:rFonts w:eastAsia="MS Mincho"/>
              </w:rPr>
            </w:pPr>
            <w:r>
              <w:rPr>
                <w:rFonts w:eastAsia="MS Mincho"/>
              </w:rPr>
              <w:t>(</w:t>
            </w:r>
            <w:r w:rsidR="00CC5D84">
              <w:rPr>
                <w:rFonts w:eastAsia="MS Mincho"/>
              </w:rPr>
              <w:t>11.2</w:t>
            </w:r>
            <w:r>
              <w:rPr>
                <w:rFonts w:eastAsia="MS Mincho"/>
              </w:rPr>
              <w:t>%)</w:t>
            </w:r>
          </w:p>
        </w:tc>
        <w:tc>
          <w:tcPr>
            <w:tcW w:w="1187" w:type="pct"/>
            <w:tcMar>
              <w:left w:w="28" w:type="dxa"/>
              <w:right w:w="28" w:type="dxa"/>
            </w:tcMar>
            <w:vAlign w:val="center"/>
          </w:tcPr>
          <w:p w14:paraId="4D2790E0" w14:textId="426E28C9" w:rsidR="00FF3472" w:rsidRDefault="00E376E2" w:rsidP="00EA69BE">
            <w:pPr>
              <w:pStyle w:val="Tablewriting"/>
              <w:jc w:val="center"/>
              <w:rPr>
                <w:rFonts w:eastAsia="MS Mincho"/>
              </w:rPr>
            </w:pPr>
            <w:r>
              <w:rPr>
                <w:rFonts w:eastAsia="MS Mincho"/>
              </w:rPr>
              <w:t>18</w:t>
            </w:r>
            <w:r w:rsidR="00FF3472">
              <w:rPr>
                <w:rFonts w:eastAsia="MS Mincho"/>
              </w:rPr>
              <w:t>/</w:t>
            </w:r>
            <w:r>
              <w:rPr>
                <w:rFonts w:eastAsia="MS Mincho"/>
              </w:rPr>
              <w:t>269</w:t>
            </w:r>
          </w:p>
          <w:p w14:paraId="01EDD299" w14:textId="0128BA44" w:rsidR="00FF3472" w:rsidRPr="00061F78" w:rsidRDefault="00FF3472" w:rsidP="00EA69BE">
            <w:pPr>
              <w:pStyle w:val="Tablewriting"/>
              <w:jc w:val="center"/>
              <w:rPr>
                <w:rFonts w:eastAsia="MS Mincho"/>
              </w:rPr>
            </w:pPr>
            <w:r>
              <w:rPr>
                <w:rFonts w:eastAsia="MS Mincho"/>
              </w:rPr>
              <w:t>(</w:t>
            </w:r>
            <w:r w:rsidR="00A95F22">
              <w:rPr>
                <w:rFonts w:eastAsia="MS Mincho"/>
              </w:rPr>
              <w:t>6.7</w:t>
            </w:r>
            <w:r>
              <w:rPr>
                <w:rFonts w:eastAsia="MS Mincho"/>
              </w:rPr>
              <w:t>%)</w:t>
            </w:r>
          </w:p>
        </w:tc>
        <w:tc>
          <w:tcPr>
            <w:tcW w:w="1061" w:type="pct"/>
            <w:tcMar>
              <w:left w:w="28" w:type="dxa"/>
              <w:right w:w="28" w:type="dxa"/>
            </w:tcMar>
            <w:vAlign w:val="center"/>
          </w:tcPr>
          <w:p w14:paraId="1BB4D64E" w14:textId="34E8B23F" w:rsidR="00FF3472" w:rsidRPr="002C230D" w:rsidRDefault="00E376E2" w:rsidP="00EA69BE">
            <w:pPr>
              <w:pStyle w:val="Tablewriting"/>
              <w:jc w:val="center"/>
              <w:rPr>
                <w:rFonts w:eastAsia="MS Mincho"/>
              </w:rPr>
            </w:pPr>
            <w:r>
              <w:rPr>
                <w:rFonts w:eastAsia="MS Mincho"/>
              </w:rPr>
              <w:t>1.67</w:t>
            </w:r>
          </w:p>
          <w:p w14:paraId="038E33F3" w14:textId="796CFC03" w:rsidR="00FF3472" w:rsidRPr="00D468CF" w:rsidRDefault="00FF3472" w:rsidP="00EA69BE">
            <w:pPr>
              <w:pStyle w:val="Tablewriting"/>
              <w:jc w:val="center"/>
              <w:rPr>
                <w:rFonts w:eastAsia="MS Mincho"/>
                <w:b/>
                <w:bCs/>
              </w:rPr>
            </w:pPr>
            <w:r w:rsidRPr="002C230D">
              <w:rPr>
                <w:rFonts w:eastAsia="MS Mincho"/>
              </w:rPr>
              <w:t>(0.</w:t>
            </w:r>
            <w:r w:rsidR="00E376E2">
              <w:rPr>
                <w:rFonts w:eastAsia="MS Mincho"/>
              </w:rPr>
              <w:t>95</w:t>
            </w:r>
            <w:r w:rsidRPr="002C230D">
              <w:rPr>
                <w:rFonts w:eastAsia="MS Mincho"/>
              </w:rPr>
              <w:t xml:space="preserve">, </w:t>
            </w:r>
            <w:r w:rsidR="00E376E2">
              <w:rPr>
                <w:rFonts w:eastAsia="MS Mincho"/>
              </w:rPr>
              <w:t>2.92</w:t>
            </w:r>
            <w:r w:rsidRPr="002C230D">
              <w:rPr>
                <w:rFonts w:eastAsia="MS Mincho"/>
              </w:rPr>
              <w:t>)</w:t>
            </w:r>
          </w:p>
        </w:tc>
      </w:tr>
    </w:tbl>
    <w:p w14:paraId="6B8EE655" w14:textId="77777777" w:rsidR="00C252D1" w:rsidRDefault="00C252D1" w:rsidP="00830DB8">
      <w:pPr>
        <w:pStyle w:val="TableFooter"/>
        <w:jc w:val="both"/>
      </w:pPr>
      <w:r>
        <w:t>Source: Howes et al. (2020)</w:t>
      </w:r>
    </w:p>
    <w:p w14:paraId="642729BC" w14:textId="19AA4373" w:rsidR="00C252D1" w:rsidRDefault="00C252D1" w:rsidP="00830DB8">
      <w:pPr>
        <w:pStyle w:val="TableFooter"/>
        <w:jc w:val="both"/>
      </w:pPr>
      <w:r>
        <w:t>Abbreviations: CI = confidence interval; RCT = randomised controlled trial; RR = risk ratio</w:t>
      </w:r>
    </w:p>
    <w:p w14:paraId="4D791000" w14:textId="175295DE" w:rsidR="00C252D1" w:rsidRPr="00EA69BE" w:rsidRDefault="00C252D1" w:rsidP="00830DB8">
      <w:pPr>
        <w:pStyle w:val="TableFooter"/>
        <w:jc w:val="both"/>
      </w:pPr>
      <w:r w:rsidRPr="00FD4061">
        <w:t>Note</w:t>
      </w:r>
      <w:r>
        <w:t>s</w:t>
      </w:r>
      <w:r w:rsidRPr="00FD4061">
        <w:t>: Bold indicates statistically significant difference.</w:t>
      </w:r>
      <w:r>
        <w:t xml:space="preserve"> </w:t>
      </w:r>
      <w:r w:rsidRPr="00FF2899">
        <w:t xml:space="preserve">See </w:t>
      </w:r>
      <w:r w:rsidRPr="00EA69BE">
        <w:t xml:space="preserve">Appendix </w:t>
      </w:r>
      <w:r w:rsidR="00776305" w:rsidRPr="00EA69BE">
        <w:fldChar w:fldCharType="begin" w:fldLock="1"/>
      </w:r>
      <w:r w:rsidR="00776305" w:rsidRPr="00EA69BE">
        <w:instrText xml:space="preserve"> REF _Ref58489530 \h </w:instrText>
      </w:r>
      <w:r w:rsidR="00EA69BE">
        <w:instrText xml:space="preserve"> \* MERGEFORMAT </w:instrText>
      </w:r>
      <w:r w:rsidR="00776305" w:rsidRPr="00EA69BE">
        <w:fldChar w:fldCharType="separate"/>
      </w:r>
      <w:r w:rsidR="00EC5CC7">
        <w:t xml:space="preserve">Figure </w:t>
      </w:r>
      <w:r w:rsidR="00EC5CC7">
        <w:rPr>
          <w:noProof/>
        </w:rPr>
        <w:t>83</w:t>
      </w:r>
      <w:r w:rsidR="00776305" w:rsidRPr="00EA69BE">
        <w:fldChar w:fldCharType="end"/>
      </w:r>
      <w:r w:rsidR="00776305" w:rsidRPr="00EA69BE">
        <w:t xml:space="preserve"> </w:t>
      </w:r>
      <w:r w:rsidR="00B05DCD" w:rsidRPr="00EA69BE">
        <w:t xml:space="preserve">to </w:t>
      </w:r>
      <w:r w:rsidR="00776305" w:rsidRPr="00EA69BE">
        <w:fldChar w:fldCharType="begin" w:fldLock="1"/>
      </w:r>
      <w:r w:rsidR="00776305" w:rsidRPr="00EA69BE">
        <w:instrText xml:space="preserve"> REF _Ref58489539 \h </w:instrText>
      </w:r>
      <w:r w:rsidR="00EA69BE">
        <w:instrText xml:space="preserve"> \* MERGEFORMAT </w:instrText>
      </w:r>
      <w:r w:rsidR="00776305" w:rsidRPr="00EA69BE">
        <w:fldChar w:fldCharType="separate"/>
      </w:r>
      <w:r w:rsidR="00EC5CC7">
        <w:t xml:space="preserve">Figure </w:t>
      </w:r>
      <w:r w:rsidR="00EC5CC7">
        <w:rPr>
          <w:noProof/>
        </w:rPr>
        <w:t>85</w:t>
      </w:r>
      <w:r w:rsidR="00776305" w:rsidRPr="00EA69BE">
        <w:fldChar w:fldCharType="end"/>
      </w:r>
      <w:r w:rsidRPr="00EA69BE">
        <w:t xml:space="preserve"> for forest plots of the respective outcomes which included the results of individual studies.</w:t>
      </w:r>
    </w:p>
    <w:p w14:paraId="3867AFC2" w14:textId="38004D55" w:rsidR="00C252D1" w:rsidRDefault="00C252D1" w:rsidP="00830DB8">
      <w:pPr>
        <w:pStyle w:val="TableFooter"/>
        <w:spacing w:after="120"/>
        <w:contextualSpacing w:val="0"/>
        <w:jc w:val="both"/>
      </w:pPr>
      <w:r w:rsidRPr="00EA69BE">
        <w:t xml:space="preserve">1 Calculated </w:t>
      </w:r>
      <w:r w:rsidR="00A25438" w:rsidRPr="00EA69BE">
        <w:t>by Cochrane Review authors</w:t>
      </w:r>
      <w:r w:rsidRPr="00EA69BE">
        <w:t xml:space="preserve"> using a fixed-effect model</w:t>
      </w:r>
      <w:r w:rsidR="00C410DE">
        <w:t>.</w:t>
      </w:r>
    </w:p>
    <w:p w14:paraId="47A01737" w14:textId="669259E5" w:rsidR="00FF3472" w:rsidRPr="0041485A" w:rsidRDefault="00397A62" w:rsidP="00830DB8">
      <w:pPr>
        <w:pStyle w:val="Heading4"/>
        <w:numPr>
          <w:ilvl w:val="0"/>
          <w:numId w:val="0"/>
        </w:numPr>
        <w:spacing w:after="120"/>
        <w:jc w:val="both"/>
      </w:pPr>
      <w:r>
        <w:t>Treatment-experienced population</w:t>
      </w:r>
    </w:p>
    <w:p w14:paraId="7B6E1F27" w14:textId="4FF45A96" w:rsidR="00397A62" w:rsidRPr="00397A62" w:rsidRDefault="00B63241" w:rsidP="00830DB8">
      <w:pPr>
        <w:pStyle w:val="Heading5"/>
        <w:numPr>
          <w:ilvl w:val="0"/>
          <w:numId w:val="0"/>
        </w:numPr>
        <w:spacing w:after="120"/>
        <w:jc w:val="both"/>
      </w:pPr>
      <w:r>
        <w:t>Combination bupropion</w:t>
      </w:r>
    </w:p>
    <w:p w14:paraId="099206FB" w14:textId="602F1613" w:rsidR="00B63241" w:rsidRPr="00B63241" w:rsidRDefault="00B63241" w:rsidP="00E90F2B">
      <w:pPr>
        <w:spacing w:after="120"/>
        <w:jc w:val="both"/>
      </w:pPr>
      <w:r w:rsidRPr="00B63241">
        <w:t xml:space="preserve">Bupropion in combination with NRT </w:t>
      </w:r>
      <w:r>
        <w:t xml:space="preserve">in </w:t>
      </w:r>
      <w:r w:rsidR="00E94EAF">
        <w:t xml:space="preserve">the </w:t>
      </w:r>
      <w:r>
        <w:t xml:space="preserve">treatment-experienced population </w:t>
      </w:r>
      <w:r w:rsidRPr="00B63241">
        <w:t>ha</w:t>
      </w:r>
      <w:r w:rsidR="00E94EAF">
        <w:t>s</w:t>
      </w:r>
      <w:r w:rsidRPr="00B63241">
        <w:t xml:space="preserve"> not been previously considered by the PBAC</w:t>
      </w:r>
      <w:r w:rsidR="00D7344B">
        <w:t>.</w:t>
      </w:r>
    </w:p>
    <w:p w14:paraId="653CC1A0" w14:textId="56045301" w:rsidR="00D7344B" w:rsidRDefault="00D7344B" w:rsidP="00E90F2B">
      <w:pPr>
        <w:spacing w:after="120"/>
        <w:jc w:val="both"/>
        <w:rPr>
          <w:b/>
          <w:bCs/>
        </w:rPr>
      </w:pPr>
      <w:r w:rsidRPr="00944A49">
        <w:rPr>
          <w:b/>
          <w:bCs/>
        </w:rPr>
        <w:t xml:space="preserve">Bupropion </w:t>
      </w:r>
      <w:r>
        <w:rPr>
          <w:b/>
          <w:bCs/>
        </w:rPr>
        <w:t xml:space="preserve">in </w:t>
      </w:r>
      <w:r w:rsidRPr="00944A49">
        <w:rPr>
          <w:b/>
          <w:bCs/>
        </w:rPr>
        <w:t xml:space="preserve">combination </w:t>
      </w:r>
      <w:r>
        <w:rPr>
          <w:b/>
          <w:bCs/>
        </w:rPr>
        <w:t xml:space="preserve">with </w:t>
      </w:r>
      <w:r w:rsidRPr="00944A49">
        <w:rPr>
          <w:b/>
          <w:bCs/>
        </w:rPr>
        <w:t>NRT</w:t>
      </w:r>
      <w:r>
        <w:rPr>
          <w:b/>
          <w:bCs/>
        </w:rPr>
        <w:t xml:space="preserve"> versus placebo</w:t>
      </w:r>
      <w:r w:rsidR="00F71ED9">
        <w:rPr>
          <w:b/>
          <w:bCs/>
        </w:rPr>
        <w:t xml:space="preserve"> – abstainers (relapse prevention)</w:t>
      </w:r>
    </w:p>
    <w:p w14:paraId="55D7EA1C" w14:textId="5EBAFB7B" w:rsidR="00D7344B" w:rsidRDefault="00D7344B" w:rsidP="00E90F2B">
      <w:pPr>
        <w:spacing w:after="120"/>
        <w:jc w:val="both"/>
      </w:pPr>
      <w:r w:rsidRPr="00D7344B">
        <w:t xml:space="preserve">A summary of the citation details for the studies comparing bupropion plus NRT with </w:t>
      </w:r>
      <w:r w:rsidR="00057D9C">
        <w:t>placebo</w:t>
      </w:r>
      <w:r w:rsidRPr="00D7344B">
        <w:t xml:space="preserve"> is presented in </w:t>
      </w:r>
      <w:r w:rsidR="00057D9C">
        <w:fldChar w:fldCharType="begin" w:fldLock="1"/>
      </w:r>
      <w:r w:rsidR="00057D9C">
        <w:instrText xml:space="preserve"> REF _Ref58493034 \h </w:instrText>
      </w:r>
      <w:r w:rsidR="00057D9C">
        <w:fldChar w:fldCharType="separate"/>
      </w:r>
      <w:r w:rsidR="00EC5CC7">
        <w:t xml:space="preserve">Table </w:t>
      </w:r>
      <w:r w:rsidR="00EC5CC7">
        <w:rPr>
          <w:noProof/>
        </w:rPr>
        <w:t>78</w:t>
      </w:r>
      <w:r w:rsidR="00057D9C">
        <w:fldChar w:fldCharType="end"/>
      </w:r>
      <w:r w:rsidRPr="00D7344B">
        <w:t xml:space="preserve">. A recently conducted Cochrane </w:t>
      </w:r>
      <w:r w:rsidR="000E78F8" w:rsidRPr="00D7344B">
        <w:t>R</w:t>
      </w:r>
      <w:r w:rsidRPr="00D7344B">
        <w:t xml:space="preserve">eview by </w:t>
      </w:r>
      <w:r w:rsidR="00057D9C">
        <w:t>Livingstone-Banks</w:t>
      </w:r>
      <w:r w:rsidRPr="00D7344B">
        <w:t xml:space="preserve"> et al. (20</w:t>
      </w:r>
      <w:r w:rsidR="00057D9C">
        <w:t>19</w:t>
      </w:r>
      <w:r w:rsidRPr="00D7344B">
        <w:t xml:space="preserve">) was identified in the systematic literature review that compared bupropion plus NRT with </w:t>
      </w:r>
      <w:r w:rsidR="00057D9C">
        <w:t>placebo</w:t>
      </w:r>
      <w:r w:rsidRPr="00D7344B">
        <w:t xml:space="preserve"> </w:t>
      </w:r>
      <w:r w:rsidR="00F71ED9">
        <w:t>for relapse prevention</w:t>
      </w:r>
      <w:r w:rsidRPr="00D7344B">
        <w:t xml:space="preserve"> and was included in this report.</w:t>
      </w:r>
      <w:r w:rsidR="002627F0" w:rsidRPr="002627F0">
        <w:t xml:space="preserve"> No new studies comparing bupropion plus NRT with placebo </w:t>
      </w:r>
      <w:r w:rsidR="000E78F8">
        <w:t>in abstainers</w:t>
      </w:r>
      <w:r w:rsidR="002627F0" w:rsidRPr="002627F0">
        <w:t xml:space="preserve"> for relapse prevention were identified in the supplemental literature search</w:t>
      </w:r>
      <w:r w:rsidR="002627F0">
        <w:t>.</w:t>
      </w:r>
    </w:p>
    <w:p w14:paraId="0542779E" w14:textId="598ACBDC" w:rsidR="00057D9C" w:rsidRDefault="00057D9C" w:rsidP="00E90F2B">
      <w:pPr>
        <w:pStyle w:val="Caption"/>
        <w:keepNext/>
        <w:spacing w:before="0" w:after="120"/>
        <w:jc w:val="both"/>
      </w:pPr>
      <w:bookmarkStart w:id="142" w:name="_Ref58493034"/>
      <w:r>
        <w:t xml:space="preserve">Table </w:t>
      </w:r>
      <w:r w:rsidR="00BF3F75">
        <w:fldChar w:fldCharType="begin"/>
      </w:r>
      <w:r w:rsidR="00BF3F75">
        <w:instrText xml:space="preserve"> SEQ Table \* ARABIC </w:instrText>
      </w:r>
      <w:r w:rsidR="00BF3F75">
        <w:fldChar w:fldCharType="separate"/>
      </w:r>
      <w:r w:rsidR="00EC5CC7">
        <w:rPr>
          <w:noProof/>
        </w:rPr>
        <w:t>78</w:t>
      </w:r>
      <w:r w:rsidR="00BF3F75">
        <w:rPr>
          <w:noProof/>
        </w:rPr>
        <w:fldChar w:fldCharType="end"/>
      </w:r>
      <w:bookmarkEnd w:id="142"/>
      <w:r>
        <w:t xml:space="preserve">: </w:t>
      </w:r>
      <w:r w:rsidRPr="00B22092">
        <w:t xml:space="preserve">List of studies comparing bupropion plus NRT with </w:t>
      </w:r>
      <w:r>
        <w:t>placebo</w:t>
      </w:r>
      <w:r w:rsidR="00F71ED9">
        <w:t xml:space="preserve">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7978"/>
      </w:tblGrid>
      <w:tr w:rsidR="00D7344B" w:rsidRPr="00061F78" w14:paraId="0345DC7E" w14:textId="77777777" w:rsidTr="00057D9C">
        <w:trPr>
          <w:cantSplit/>
          <w:trHeight w:val="329"/>
          <w:tblHeader/>
        </w:trPr>
        <w:tc>
          <w:tcPr>
            <w:tcW w:w="566" w:type="pct"/>
            <w:shd w:val="clear" w:color="auto" w:fill="BFBFBF" w:themeFill="background1" w:themeFillShade="BF"/>
            <w:tcMar>
              <w:left w:w="28" w:type="dxa"/>
              <w:right w:w="28" w:type="dxa"/>
            </w:tcMar>
          </w:tcPr>
          <w:p w14:paraId="0C5690D0" w14:textId="77777777" w:rsidR="00D7344B" w:rsidRPr="00061F78" w:rsidRDefault="00D7344B" w:rsidP="00190762">
            <w:pPr>
              <w:pStyle w:val="Tableheading"/>
              <w:keepNext/>
              <w:rPr>
                <w:rFonts w:eastAsia="MS Mincho"/>
              </w:rPr>
            </w:pPr>
            <w:r>
              <w:rPr>
                <w:rFonts w:eastAsia="MS Mincho"/>
              </w:rPr>
              <w:t>Study</w:t>
            </w:r>
          </w:p>
        </w:tc>
        <w:tc>
          <w:tcPr>
            <w:tcW w:w="4434" w:type="pct"/>
            <w:shd w:val="clear" w:color="auto" w:fill="BFBFBF" w:themeFill="background1" w:themeFillShade="BF"/>
          </w:tcPr>
          <w:p w14:paraId="6FFE2106" w14:textId="77777777" w:rsidR="00D7344B" w:rsidRDefault="00D7344B" w:rsidP="00190762">
            <w:pPr>
              <w:pStyle w:val="Tableheading"/>
              <w:keepNext/>
              <w:jc w:val="center"/>
              <w:rPr>
                <w:rFonts w:eastAsia="MS Mincho"/>
              </w:rPr>
            </w:pPr>
            <w:r>
              <w:rPr>
                <w:rFonts w:eastAsia="MS Mincho"/>
              </w:rPr>
              <w:t>Citation</w:t>
            </w:r>
          </w:p>
        </w:tc>
      </w:tr>
      <w:tr w:rsidR="00D7344B" w:rsidRPr="00061F78" w14:paraId="40CEEAC1" w14:textId="77777777" w:rsidTr="00057D9C">
        <w:trPr>
          <w:cantSplit/>
          <w:trHeight w:val="164"/>
        </w:trPr>
        <w:tc>
          <w:tcPr>
            <w:tcW w:w="566" w:type="pct"/>
            <w:tcMar>
              <w:left w:w="28" w:type="dxa"/>
              <w:right w:w="28" w:type="dxa"/>
            </w:tcMar>
          </w:tcPr>
          <w:p w14:paraId="2A28843F" w14:textId="2159D9FF" w:rsidR="00D7344B" w:rsidRDefault="00057D9C" w:rsidP="00190762">
            <w:pPr>
              <w:pStyle w:val="Tablewriting"/>
              <w:keepNext/>
              <w:rPr>
                <w:rFonts w:eastAsia="MS Mincho"/>
              </w:rPr>
            </w:pPr>
            <w:r>
              <w:rPr>
                <w:rFonts w:eastAsia="MS Mincho"/>
              </w:rPr>
              <w:t>Livingstone-Banks (2019)</w:t>
            </w:r>
            <w:hyperlink w:anchor="_ENREF_40" w:tooltip="Livingstone-Banks, 2019 #627" w:history="1">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 </w:instrText>
              </w:r>
              <w:r w:rsidR="0039468B">
                <w:rPr>
                  <w:rFonts w:eastAsia="MS Mincho"/>
                </w:rPr>
                <w:fldChar w:fldCharType="begin">
                  <w:fldData xml:space="preserve">PEVuZE5vdGU+PENpdGU+PEF1dGhvcj5MaXZpbmdzdG9uZS1CYW5rczwvQXV0aG9yPjxZZWFyPjIw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</w:fldData>
                </w:fldChar>
              </w:r>
              <w:r w:rsidR="0039468B">
                <w:rPr>
                  <w:rFonts w:eastAsia="MS Mincho"/>
                </w:rPr>
                <w:instrText xml:space="preserve"> ADDIN EN.CITE.DATA </w:instrText>
              </w:r>
              <w:r w:rsidR="0039468B">
                <w:rPr>
                  <w:rFonts w:eastAsia="MS Mincho"/>
                </w:rPr>
              </w:r>
              <w:r w:rsidR="0039468B">
                <w:rPr>
                  <w:rFonts w:eastAsia="MS Mincho"/>
                </w:rPr>
                <w:fldChar w:fldCharType="end"/>
              </w:r>
              <w:r w:rsidR="0039468B">
                <w:rPr>
                  <w:rFonts w:eastAsia="MS Mincho"/>
                </w:rPr>
              </w:r>
              <w:r w:rsidR="0039468B">
                <w:rPr>
                  <w:rFonts w:eastAsia="MS Mincho"/>
                </w:rPr>
                <w:fldChar w:fldCharType="separate"/>
              </w:r>
              <w:r w:rsidR="0039468B" w:rsidRPr="00693911">
                <w:rPr>
                  <w:rFonts w:eastAsia="MS Mincho"/>
                  <w:noProof/>
                  <w:vertAlign w:val="superscript"/>
                </w:rPr>
                <w:t>40</w:t>
              </w:r>
              <w:r w:rsidR="0039468B">
                <w:rPr>
                  <w:rFonts w:eastAsia="MS Mincho"/>
                </w:rPr>
                <w:fldChar w:fldCharType="end"/>
              </w:r>
            </w:hyperlink>
            <w:r w:rsidRPr="00D07303">
              <w:rPr>
                <w:rFonts w:eastAsia="MS Mincho"/>
                <w:vertAlign w:val="superscript"/>
              </w:rPr>
              <w:t xml:space="preserve"> </w:t>
            </w:r>
          </w:p>
        </w:tc>
        <w:tc>
          <w:tcPr>
            <w:tcW w:w="4434" w:type="pct"/>
          </w:tcPr>
          <w:p w14:paraId="6F6640C0" w14:textId="787333AE" w:rsidR="00D7344B" w:rsidRPr="008E38BA" w:rsidRDefault="00057D9C" w:rsidP="00190762">
            <w:pPr>
              <w:pStyle w:val="Tablewriting"/>
              <w:keepNext/>
              <w:rPr>
                <w:rFonts w:eastAsia="MS Mincho"/>
              </w:rPr>
            </w:pPr>
            <w:r w:rsidRPr="00CE2EF9">
              <w:rPr>
                <w:rFonts w:eastAsia="MS Mincho"/>
              </w:rPr>
              <w:t>Livingstone‐</w:t>
            </w:r>
            <w:r w:rsidR="00826C95" w:rsidRPr="00CE2EF9">
              <w:rPr>
                <w:rFonts w:eastAsia="MS Mincho"/>
              </w:rPr>
              <w:t>Banks J</w:t>
            </w:r>
            <w:r w:rsidRPr="00CE2EF9">
              <w:rPr>
                <w:rFonts w:eastAsia="MS Mincho"/>
              </w:rPr>
              <w:t xml:space="preserve">, </w:t>
            </w:r>
            <w:r w:rsidR="00826C95" w:rsidRPr="00CE2EF9">
              <w:rPr>
                <w:rFonts w:eastAsia="MS Mincho"/>
              </w:rPr>
              <w:t>Norris E</w:t>
            </w:r>
            <w:r w:rsidRPr="00CE2EF9">
              <w:rPr>
                <w:rFonts w:eastAsia="MS Mincho"/>
              </w:rPr>
              <w:t>, Hartmann‐</w:t>
            </w:r>
            <w:r w:rsidR="00826C95" w:rsidRPr="00CE2EF9">
              <w:rPr>
                <w:rFonts w:eastAsia="MS Mincho"/>
              </w:rPr>
              <w:t>Boyce J</w:t>
            </w:r>
            <w:r w:rsidRPr="00CE2EF9">
              <w:rPr>
                <w:rFonts w:eastAsia="MS Mincho"/>
              </w:rPr>
              <w:t xml:space="preserve">, </w:t>
            </w:r>
            <w:r w:rsidR="00826C95" w:rsidRPr="00CE2EF9">
              <w:rPr>
                <w:rFonts w:eastAsia="MS Mincho"/>
              </w:rPr>
              <w:t>West R</w:t>
            </w:r>
            <w:r w:rsidRPr="00CE2EF9">
              <w:rPr>
                <w:rFonts w:eastAsia="MS Mincho"/>
              </w:rPr>
              <w:t xml:space="preserve">, </w:t>
            </w:r>
            <w:r w:rsidR="00826C95" w:rsidRPr="00CE2EF9">
              <w:rPr>
                <w:rFonts w:eastAsia="MS Mincho"/>
              </w:rPr>
              <w:t>Jarvis M</w:t>
            </w:r>
            <w:r w:rsidRPr="00CE2EF9">
              <w:rPr>
                <w:rFonts w:eastAsia="MS Mincho"/>
              </w:rPr>
              <w:t xml:space="preserve">, </w:t>
            </w:r>
            <w:r w:rsidR="00826C95" w:rsidRPr="00CE2EF9">
              <w:rPr>
                <w:rFonts w:eastAsia="MS Mincho"/>
              </w:rPr>
              <w:t>Hajek P.</w:t>
            </w:r>
            <w:r w:rsidRPr="00CE2EF9">
              <w:rPr>
                <w:rFonts w:eastAsia="MS Mincho"/>
              </w:rPr>
              <w:t xml:space="preserve"> Relapse prevention interventions for smoking cessation. Cochrane Database of Systematic Reviews 2019, Issue 2. Art. No.: CD003999.</w:t>
            </w:r>
          </w:p>
        </w:tc>
      </w:tr>
    </w:tbl>
    <w:p w14:paraId="00692A70" w14:textId="502C20EE" w:rsidR="00057D9C" w:rsidRPr="00B63241" w:rsidRDefault="00057D9C" w:rsidP="002C2DB9">
      <w:pPr>
        <w:spacing w:before="120" w:after="120"/>
        <w:jc w:val="both"/>
      </w:pPr>
      <w:r w:rsidRPr="00057D9C">
        <w:t xml:space="preserve">A summary of the characteristics of the studies comparing bupropion plus NRT with </w:t>
      </w:r>
      <w:r w:rsidR="00810286">
        <w:t>placebo</w:t>
      </w:r>
      <w:r w:rsidRPr="00057D9C">
        <w:t xml:space="preserve"> is presented in </w:t>
      </w:r>
      <w:r w:rsidR="00810286">
        <w:fldChar w:fldCharType="begin" w:fldLock="1"/>
      </w:r>
      <w:r w:rsidR="00810286">
        <w:instrText xml:space="preserve"> REF _Ref58493429 \h </w:instrText>
      </w:r>
      <w:r w:rsidR="002C2DB9">
        <w:instrText xml:space="preserve"> \* MERGEFORMAT </w:instrText>
      </w:r>
      <w:r w:rsidR="00810286">
        <w:fldChar w:fldCharType="separate"/>
      </w:r>
      <w:r w:rsidR="00EC5CC7">
        <w:t xml:space="preserve">Table </w:t>
      </w:r>
      <w:r w:rsidR="00EC5CC7">
        <w:rPr>
          <w:noProof/>
        </w:rPr>
        <w:t>79</w:t>
      </w:r>
      <w:r w:rsidR="00810286">
        <w:fldChar w:fldCharType="end"/>
      </w:r>
      <w:r w:rsidRPr="00057D9C">
        <w:t xml:space="preserve">. A total of </w:t>
      </w:r>
      <w:r w:rsidR="00070850">
        <w:t>two</w:t>
      </w:r>
      <w:r w:rsidRPr="00057D9C">
        <w:t xml:space="preserve"> RCTs comparing bupropion plus NRT with </w:t>
      </w:r>
      <w:r w:rsidR="00070850">
        <w:t>placebo</w:t>
      </w:r>
      <w:r w:rsidRPr="00057D9C">
        <w:t xml:space="preserve"> were identified by </w:t>
      </w:r>
      <w:r w:rsidR="00070850">
        <w:t>Livingstone-Banks</w:t>
      </w:r>
      <w:r w:rsidRPr="00057D9C">
        <w:t xml:space="preserve"> et al. (20</w:t>
      </w:r>
      <w:r w:rsidR="00070850">
        <w:t>19</w:t>
      </w:r>
      <w:r w:rsidRPr="00057D9C">
        <w:t xml:space="preserve">). The characteristics of the individual studies are presented in </w:t>
      </w:r>
      <w:r w:rsidRPr="00D13E5F">
        <w:t>Appendix</w:t>
      </w:r>
      <w:r w:rsidR="002C2DB9">
        <w:t xml:space="preserve"> Table 160.</w:t>
      </w:r>
      <w:r w:rsidR="001A09E5">
        <w:t xml:space="preserve"> </w:t>
      </w:r>
      <w:r w:rsidR="009C23ED">
        <w:t xml:space="preserve">To be eligible </w:t>
      </w:r>
      <w:r w:rsidR="00CD70BA">
        <w:t>for additional</w:t>
      </w:r>
      <w:r w:rsidR="0069260C">
        <w:t xml:space="preserve"> </w:t>
      </w:r>
      <w:r w:rsidR="00CD70BA">
        <w:t>treatment</w:t>
      </w:r>
      <w:r w:rsidR="00867714">
        <w:t xml:space="preserve"> for relapse prevention</w:t>
      </w:r>
      <w:r w:rsidR="00476B6E">
        <w:t xml:space="preserve"> (</w:t>
      </w:r>
      <w:r w:rsidR="00826C95">
        <w:t>i.e.,</w:t>
      </w:r>
      <w:r w:rsidR="00476B6E">
        <w:t xml:space="preserve"> study phase comparing </w:t>
      </w:r>
      <w:r w:rsidR="00FE7F9D">
        <w:t>bupropion plus NRT with placebo)</w:t>
      </w:r>
      <w:r w:rsidR="001A09E5">
        <w:t xml:space="preserve">, patients were required to be abstinent </w:t>
      </w:r>
      <w:r w:rsidR="00EB1005">
        <w:t>from smoking</w:t>
      </w:r>
      <w:r w:rsidR="0096464C">
        <w:t xml:space="preserve"> </w:t>
      </w:r>
      <w:r w:rsidR="00EB1005">
        <w:t>af</w:t>
      </w:r>
      <w:r w:rsidR="00376DAA">
        <w:t xml:space="preserve">ter receiving </w:t>
      </w:r>
      <w:r w:rsidR="001F3B2D">
        <w:t>initial treatment with bupropion plus NRT.</w:t>
      </w:r>
    </w:p>
    <w:p w14:paraId="7CF654E8" w14:textId="6D7782DB" w:rsidR="009F15FF" w:rsidRDefault="009F15FF" w:rsidP="007A2CD5">
      <w:pPr>
        <w:pStyle w:val="Caption"/>
        <w:keepNext/>
        <w:spacing w:before="0" w:after="120"/>
        <w:jc w:val="both"/>
      </w:pPr>
      <w:bookmarkStart w:id="143" w:name="_Ref58493429"/>
      <w:r>
        <w:lastRenderedPageBreak/>
        <w:t xml:space="preserve">Table </w:t>
      </w:r>
      <w:r w:rsidR="00BF3F75">
        <w:fldChar w:fldCharType="begin"/>
      </w:r>
      <w:r w:rsidR="00BF3F75">
        <w:instrText xml:space="preserve"> SEQ Table \* ARABIC </w:instrText>
      </w:r>
      <w:r w:rsidR="00BF3F75">
        <w:fldChar w:fldCharType="separate"/>
      </w:r>
      <w:r w:rsidR="00EC5CC7">
        <w:rPr>
          <w:noProof/>
        </w:rPr>
        <w:t>79</w:t>
      </w:r>
      <w:r w:rsidR="00BF3F75">
        <w:rPr>
          <w:noProof/>
        </w:rPr>
        <w:fldChar w:fldCharType="end"/>
      </w:r>
      <w:bookmarkEnd w:id="143"/>
      <w:r>
        <w:t xml:space="preserve">: </w:t>
      </w:r>
      <w:r w:rsidRPr="00955526">
        <w:t xml:space="preserve">Characteristics of the studies comparing </w:t>
      </w:r>
      <w:r>
        <w:t xml:space="preserve">bupropion plus </w:t>
      </w:r>
      <w:r w:rsidRPr="00955526">
        <w:t>NRT with placebo 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038"/>
        <w:gridCol w:w="988"/>
        <w:gridCol w:w="912"/>
        <w:gridCol w:w="2568"/>
        <w:gridCol w:w="1644"/>
        <w:gridCol w:w="1866"/>
      </w:tblGrid>
      <w:tr w:rsidR="00F71ED9" w:rsidRPr="00061F78" w14:paraId="61BCD0C9" w14:textId="77777777" w:rsidTr="00025135">
        <w:trPr>
          <w:trHeight w:val="299"/>
          <w:tblHeader/>
        </w:trPr>
        <w:tc>
          <w:tcPr>
            <w:tcW w:w="572" w:type="pct"/>
            <w:shd w:val="clear" w:color="auto" w:fill="BFBFBF" w:themeFill="background1" w:themeFillShade="BF"/>
            <w:tcMar>
              <w:left w:w="28" w:type="dxa"/>
              <w:right w:w="28" w:type="dxa"/>
            </w:tcMar>
          </w:tcPr>
          <w:p w14:paraId="2B137DF1" w14:textId="77777777" w:rsidR="00F71ED9" w:rsidRPr="00061F78" w:rsidRDefault="00F71ED9" w:rsidP="00D13E5F">
            <w:pPr>
              <w:pStyle w:val="Tableheading"/>
              <w:rPr>
                <w:rFonts w:eastAsia="MS Mincho"/>
              </w:rPr>
            </w:pPr>
            <w:r>
              <w:rPr>
                <w:rFonts w:eastAsia="MS Mincho"/>
              </w:rPr>
              <w:t>Study</w:t>
            </w:r>
          </w:p>
        </w:tc>
        <w:tc>
          <w:tcPr>
            <w:tcW w:w="544" w:type="pct"/>
            <w:shd w:val="clear" w:color="auto" w:fill="BFBFBF" w:themeFill="background1" w:themeFillShade="BF"/>
          </w:tcPr>
          <w:p w14:paraId="25D34DCF" w14:textId="77777777" w:rsidR="00F71ED9" w:rsidRDefault="00F71ED9" w:rsidP="00D13E5F">
            <w:pPr>
              <w:pStyle w:val="Tableheading"/>
              <w:jc w:val="center"/>
              <w:rPr>
                <w:rFonts w:eastAsia="MS Mincho"/>
              </w:rPr>
            </w:pPr>
            <w:r>
              <w:rPr>
                <w:rFonts w:eastAsia="MS Mincho"/>
              </w:rPr>
              <w:t>Study type</w:t>
            </w:r>
          </w:p>
        </w:tc>
        <w:tc>
          <w:tcPr>
            <w:tcW w:w="405" w:type="pct"/>
            <w:shd w:val="clear" w:color="auto" w:fill="BFBFBF" w:themeFill="background1" w:themeFillShade="BF"/>
            <w:tcMar>
              <w:left w:w="28" w:type="dxa"/>
              <w:right w:w="28" w:type="dxa"/>
            </w:tcMar>
          </w:tcPr>
          <w:p w14:paraId="365CCE13" w14:textId="77777777" w:rsidR="00F71ED9" w:rsidRPr="00AE21E9" w:rsidRDefault="00F71ED9" w:rsidP="00D13E5F">
            <w:pPr>
              <w:pStyle w:val="Tableheading"/>
              <w:jc w:val="center"/>
              <w:rPr>
                <w:rFonts w:eastAsia="MS Mincho"/>
                <w:vertAlign w:val="superscript"/>
              </w:rPr>
            </w:pPr>
            <w:r>
              <w:rPr>
                <w:rFonts w:eastAsia="MS Mincho"/>
              </w:rPr>
              <w:t>N</w:t>
            </w:r>
            <w:r>
              <w:rPr>
                <w:rFonts w:eastAsia="MS Mincho"/>
                <w:vertAlign w:val="superscript"/>
              </w:rPr>
              <w:t>1</w:t>
            </w:r>
          </w:p>
        </w:tc>
        <w:tc>
          <w:tcPr>
            <w:tcW w:w="1460" w:type="pct"/>
            <w:shd w:val="clear" w:color="auto" w:fill="BFBFBF" w:themeFill="background1" w:themeFillShade="BF"/>
            <w:tcMar>
              <w:left w:w="28" w:type="dxa"/>
              <w:right w:w="28" w:type="dxa"/>
            </w:tcMar>
          </w:tcPr>
          <w:p w14:paraId="215A7A82" w14:textId="77777777" w:rsidR="00F71ED9" w:rsidRPr="00061F78" w:rsidRDefault="00F71ED9" w:rsidP="00D13E5F">
            <w:pPr>
              <w:pStyle w:val="Tableheading"/>
              <w:jc w:val="center"/>
              <w:rPr>
                <w:rFonts w:eastAsia="MS Mincho"/>
              </w:rPr>
            </w:pPr>
            <w:r w:rsidRPr="00061F78">
              <w:rPr>
                <w:rFonts w:eastAsia="MS Mincho"/>
              </w:rPr>
              <w:t>P</w:t>
            </w:r>
            <w:r>
              <w:rPr>
                <w:rFonts w:eastAsia="MS Mincho"/>
              </w:rPr>
              <w:t>opulation</w:t>
            </w:r>
          </w:p>
        </w:tc>
        <w:tc>
          <w:tcPr>
            <w:tcW w:w="948" w:type="pct"/>
            <w:shd w:val="clear" w:color="auto" w:fill="BFBFBF" w:themeFill="background1" w:themeFillShade="BF"/>
          </w:tcPr>
          <w:p w14:paraId="271A8B45" w14:textId="77777777" w:rsidR="00F71ED9" w:rsidRDefault="00F71ED9" w:rsidP="00D13E5F">
            <w:pPr>
              <w:pStyle w:val="Tableheading"/>
              <w:jc w:val="center"/>
              <w:rPr>
                <w:rFonts w:eastAsia="MS Mincho"/>
              </w:rPr>
            </w:pPr>
            <w:r>
              <w:rPr>
                <w:rFonts w:eastAsia="MS Mincho"/>
              </w:rPr>
              <w:t>Intervention and comparator</w:t>
            </w:r>
          </w:p>
        </w:tc>
        <w:tc>
          <w:tcPr>
            <w:tcW w:w="1071" w:type="pct"/>
            <w:shd w:val="clear" w:color="auto" w:fill="BFBFBF" w:themeFill="background1" w:themeFillShade="BF"/>
            <w:tcMar>
              <w:left w:w="28" w:type="dxa"/>
              <w:right w:w="28" w:type="dxa"/>
            </w:tcMar>
          </w:tcPr>
          <w:p w14:paraId="405D98D4" w14:textId="77777777" w:rsidR="00F71ED9" w:rsidRPr="00061F78" w:rsidRDefault="00F71ED9" w:rsidP="00D13E5F">
            <w:pPr>
              <w:pStyle w:val="Tableheading"/>
              <w:jc w:val="center"/>
              <w:rPr>
                <w:rFonts w:eastAsia="MS Mincho"/>
              </w:rPr>
            </w:pPr>
            <w:r>
              <w:rPr>
                <w:rFonts w:eastAsia="MS Mincho"/>
              </w:rPr>
              <w:t>Outcomes</w:t>
            </w:r>
          </w:p>
        </w:tc>
      </w:tr>
      <w:tr w:rsidR="00F71ED9" w:rsidRPr="00061F78" w14:paraId="5EF9A7BE" w14:textId="77777777" w:rsidTr="00025135">
        <w:trPr>
          <w:trHeight w:val="149"/>
        </w:trPr>
        <w:tc>
          <w:tcPr>
            <w:tcW w:w="572" w:type="pct"/>
            <w:tcMar>
              <w:left w:w="28" w:type="dxa"/>
              <w:right w:w="28" w:type="dxa"/>
            </w:tcMar>
          </w:tcPr>
          <w:p w14:paraId="23A28BB5" w14:textId="77777777" w:rsidR="00F71ED9" w:rsidRPr="004F1864" w:rsidRDefault="00F71ED9" w:rsidP="00D13E5F">
            <w:pPr>
              <w:pStyle w:val="Tablewriting"/>
              <w:rPr>
                <w:rFonts w:eastAsia="MS Mincho"/>
              </w:rPr>
            </w:pPr>
            <w:r>
              <w:rPr>
                <w:rFonts w:eastAsia="MS Mincho"/>
              </w:rPr>
              <w:t>Livingstone-Banks (2019)</w:t>
            </w:r>
            <w:r w:rsidRPr="004F1864">
              <w:rPr>
                <w:rFonts w:eastAsia="MS Mincho"/>
              </w:rPr>
              <w:t xml:space="preserve"> </w:t>
            </w:r>
          </w:p>
        </w:tc>
        <w:tc>
          <w:tcPr>
            <w:tcW w:w="544" w:type="pct"/>
          </w:tcPr>
          <w:p w14:paraId="2DD66CAE" w14:textId="404DFA18" w:rsidR="00F71ED9" w:rsidRDefault="00F71ED9" w:rsidP="00D13E5F">
            <w:pPr>
              <w:pStyle w:val="Tablewriting"/>
              <w:rPr>
                <w:rFonts w:eastAsia="MS Mincho"/>
              </w:rPr>
            </w:pPr>
            <w:r>
              <w:rPr>
                <w:rFonts w:eastAsia="MS Mincho"/>
              </w:rPr>
              <w:t xml:space="preserve">Cochrane </w:t>
            </w:r>
            <w:r w:rsidR="00826C95">
              <w:rPr>
                <w:rFonts w:eastAsia="MS Mincho"/>
              </w:rPr>
              <w:t>Review (</w:t>
            </w:r>
            <w:r>
              <w:rPr>
                <w:rFonts w:eastAsia="MS Mincho"/>
              </w:rPr>
              <w:t>2 RCTs</w:t>
            </w:r>
            <w:r w:rsidR="003363A6">
              <w:rPr>
                <w:rFonts w:eastAsia="MS Mincho"/>
                <w:vertAlign w:val="superscript"/>
              </w:rPr>
              <w:t>2</w:t>
            </w:r>
            <w:r>
              <w:rPr>
                <w:rFonts w:eastAsia="MS Mincho"/>
              </w:rPr>
              <w:t>)</w:t>
            </w:r>
          </w:p>
          <w:p w14:paraId="16142575" w14:textId="77777777" w:rsidR="00F71ED9" w:rsidRDefault="00F71ED9" w:rsidP="00D13E5F">
            <w:pPr>
              <w:pStyle w:val="Tablewriting"/>
              <w:rPr>
                <w:rFonts w:eastAsia="MS Mincho"/>
              </w:rPr>
            </w:pPr>
          </w:p>
        </w:tc>
        <w:tc>
          <w:tcPr>
            <w:tcW w:w="405" w:type="pct"/>
            <w:tcMar>
              <w:left w:w="28" w:type="dxa"/>
              <w:right w:w="28" w:type="dxa"/>
            </w:tcMar>
          </w:tcPr>
          <w:p w14:paraId="1DEDAF9B" w14:textId="0F8E7EB4" w:rsidR="00F71ED9" w:rsidRDefault="00F71ED9" w:rsidP="00D13E5F">
            <w:pPr>
              <w:pStyle w:val="Tablewriting"/>
              <w:rPr>
                <w:rFonts w:eastAsia="MS Mincho"/>
              </w:rPr>
            </w:pPr>
            <w:r>
              <w:rPr>
                <w:rFonts w:eastAsia="MS Mincho"/>
              </w:rPr>
              <w:t>N=</w:t>
            </w:r>
            <w:r w:rsidR="00710AFF">
              <w:rPr>
                <w:rFonts w:eastAsia="MS Mincho"/>
              </w:rPr>
              <w:t>24</w:t>
            </w:r>
            <w:r>
              <w:rPr>
                <w:rFonts w:eastAsia="MS Mincho"/>
              </w:rPr>
              <w:t>3</w:t>
            </w:r>
          </w:p>
          <w:p w14:paraId="42768654" w14:textId="6B147F69" w:rsidR="00F71ED9" w:rsidRDefault="00710AFF" w:rsidP="00D13E5F">
            <w:pPr>
              <w:pStyle w:val="Tablewriting"/>
              <w:rPr>
                <w:rFonts w:eastAsia="MS Mincho"/>
              </w:rPr>
            </w:pPr>
            <w:r>
              <w:rPr>
                <w:rFonts w:eastAsia="MS Mincho"/>
              </w:rPr>
              <w:t xml:space="preserve">Bupropion plus </w:t>
            </w:r>
            <w:r w:rsidR="00F71ED9">
              <w:rPr>
                <w:rFonts w:eastAsia="MS Mincho"/>
              </w:rPr>
              <w:t>NRT (n=</w:t>
            </w:r>
            <w:r>
              <w:rPr>
                <w:rFonts w:eastAsia="MS Mincho"/>
              </w:rPr>
              <w:t>122</w:t>
            </w:r>
            <w:r w:rsidR="00F71ED9">
              <w:rPr>
                <w:rFonts w:eastAsia="MS Mincho"/>
              </w:rPr>
              <w:t>),</w:t>
            </w:r>
          </w:p>
          <w:p w14:paraId="580C271F" w14:textId="3D9DC8E0" w:rsidR="00F71ED9" w:rsidRPr="00061F78" w:rsidRDefault="00F71ED9" w:rsidP="00D13E5F">
            <w:pPr>
              <w:pStyle w:val="Tablewriting"/>
              <w:rPr>
                <w:rFonts w:eastAsia="MS Mincho"/>
              </w:rPr>
            </w:pPr>
            <w:r>
              <w:rPr>
                <w:rFonts w:eastAsia="MS Mincho"/>
              </w:rPr>
              <w:t>Placebo (n=</w:t>
            </w:r>
            <w:r w:rsidR="00710AFF">
              <w:rPr>
                <w:rFonts w:eastAsia="MS Mincho"/>
              </w:rPr>
              <w:t>121</w:t>
            </w:r>
            <w:r>
              <w:rPr>
                <w:rFonts w:eastAsia="MS Mincho"/>
              </w:rPr>
              <w:t>)</w:t>
            </w:r>
          </w:p>
        </w:tc>
        <w:tc>
          <w:tcPr>
            <w:tcW w:w="1460" w:type="pct"/>
            <w:tcMar>
              <w:left w:w="28" w:type="dxa"/>
              <w:right w:w="28" w:type="dxa"/>
            </w:tcMar>
          </w:tcPr>
          <w:p w14:paraId="6545AB99" w14:textId="4AAB029D" w:rsidR="00F71ED9" w:rsidRDefault="00F71ED9" w:rsidP="00D13E5F">
            <w:pPr>
              <w:pStyle w:val="Tablewriting"/>
              <w:rPr>
                <w:rFonts w:eastAsia="MS Mincho"/>
              </w:rPr>
            </w:pPr>
            <w:r w:rsidRPr="002C19B4">
              <w:rPr>
                <w:rFonts w:eastAsia="MS Mincho"/>
                <w:u w:val="single"/>
              </w:rPr>
              <w:t>Inclusion</w:t>
            </w:r>
            <w:r>
              <w:rPr>
                <w:rFonts w:eastAsia="MS Mincho"/>
              </w:rPr>
              <w:t xml:space="preserve">: </w:t>
            </w:r>
            <w:r w:rsidRPr="0015031A">
              <w:rPr>
                <w:rFonts w:eastAsia="MS Mincho"/>
              </w:rPr>
              <w:t>smokers who quit on their own, were undergoing enforced abstinence, or were participating in treatment programs</w:t>
            </w:r>
            <w:r>
              <w:rPr>
                <w:rFonts w:eastAsia="MS Mincho"/>
              </w:rPr>
              <w:t xml:space="preserve"> to assist initial cessation.</w:t>
            </w:r>
          </w:p>
          <w:p w14:paraId="3CD4F688" w14:textId="7EA3976F" w:rsidR="00F71ED9" w:rsidRPr="00061F78" w:rsidRDefault="00F71ED9" w:rsidP="00D13E5F">
            <w:pPr>
              <w:pStyle w:val="Tablewriting"/>
              <w:rPr>
                <w:rFonts w:eastAsia="MS Mincho"/>
              </w:rPr>
            </w:pPr>
            <w:r w:rsidRPr="002C19B4">
              <w:rPr>
                <w:rFonts w:eastAsia="MS Mincho"/>
                <w:u w:val="single"/>
              </w:rPr>
              <w:t>Exclusion</w:t>
            </w:r>
            <w:r>
              <w:rPr>
                <w:rFonts w:eastAsia="MS Mincho"/>
              </w:rPr>
              <w:t>: NR</w:t>
            </w:r>
            <w:r w:rsidR="00C410DE">
              <w:rPr>
                <w:rFonts w:eastAsia="MS Mincho"/>
              </w:rPr>
              <w:t>.</w:t>
            </w:r>
          </w:p>
        </w:tc>
        <w:tc>
          <w:tcPr>
            <w:tcW w:w="948" w:type="pct"/>
          </w:tcPr>
          <w:p w14:paraId="6AD22229" w14:textId="72EC5BAA" w:rsidR="00F71ED9" w:rsidRPr="00061F78" w:rsidRDefault="00BA7F4A" w:rsidP="00D13E5F">
            <w:pPr>
              <w:pStyle w:val="Tablewriting"/>
              <w:rPr>
                <w:rFonts w:eastAsia="MS Mincho"/>
              </w:rPr>
            </w:pPr>
            <w:r>
              <w:rPr>
                <w:rFonts w:eastAsia="MS Mincho"/>
              </w:rPr>
              <w:t xml:space="preserve">Bupropion plus </w:t>
            </w:r>
            <w:r w:rsidR="00F71ED9">
              <w:rPr>
                <w:rFonts w:eastAsia="MS Mincho"/>
              </w:rPr>
              <w:t>NRT</w:t>
            </w:r>
            <w:r w:rsidR="008F53E5">
              <w:rPr>
                <w:rFonts w:eastAsia="MS Mincho"/>
              </w:rPr>
              <w:t xml:space="preserve"> versus</w:t>
            </w:r>
            <w:r w:rsidR="00F71ED9">
              <w:rPr>
                <w:rFonts w:eastAsia="MS Mincho"/>
              </w:rPr>
              <w:t xml:space="preserve"> placebo</w:t>
            </w:r>
            <w:r w:rsidR="008F53E5">
              <w:rPr>
                <w:rFonts w:eastAsia="MS Mincho"/>
              </w:rPr>
              <w:t xml:space="preserve"> (</w:t>
            </w:r>
            <w:r w:rsidR="00F71ED9">
              <w:rPr>
                <w:rFonts w:eastAsia="MS Mincho"/>
              </w:rPr>
              <w:t>same regimen</w:t>
            </w:r>
            <w:r w:rsidR="008F53E5">
              <w:rPr>
                <w:rFonts w:eastAsia="MS Mincho"/>
              </w:rPr>
              <w:t>)</w:t>
            </w:r>
            <w:r w:rsidR="00C410DE">
              <w:rPr>
                <w:rFonts w:eastAsia="MS Mincho"/>
              </w:rPr>
              <w:t>.</w:t>
            </w:r>
          </w:p>
        </w:tc>
        <w:tc>
          <w:tcPr>
            <w:tcW w:w="1071" w:type="pct"/>
            <w:tcMar>
              <w:left w:w="28" w:type="dxa"/>
              <w:right w:w="28" w:type="dxa"/>
            </w:tcMar>
          </w:tcPr>
          <w:p w14:paraId="1A75774F" w14:textId="35F7D728" w:rsidR="00F71ED9" w:rsidRDefault="00F71ED9" w:rsidP="00D13E5F">
            <w:pPr>
              <w:pStyle w:val="Tablewriting"/>
              <w:rPr>
                <w:rFonts w:eastAsia="MS Mincho"/>
              </w:rPr>
            </w:pPr>
            <w:r w:rsidRPr="0036499C">
              <w:rPr>
                <w:rFonts w:eastAsia="MS Mincho"/>
                <w:u w:val="single"/>
              </w:rPr>
              <w:t>Primary</w:t>
            </w:r>
            <w:r>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sidR="00C410DE">
              <w:rPr>
                <w:rFonts w:eastAsia="MS Mincho"/>
              </w:rPr>
              <w:t>.</w:t>
            </w:r>
          </w:p>
          <w:p w14:paraId="276EC148" w14:textId="77777777" w:rsidR="00F71ED9" w:rsidRPr="00061F78" w:rsidRDefault="00F71ED9" w:rsidP="00D13E5F">
            <w:pPr>
              <w:pStyle w:val="Tablewriting"/>
              <w:rPr>
                <w:rFonts w:eastAsia="MS Mincho"/>
              </w:rPr>
            </w:pPr>
          </w:p>
        </w:tc>
      </w:tr>
    </w:tbl>
    <w:p w14:paraId="47E47EBC" w14:textId="77777777" w:rsidR="00530A16" w:rsidRDefault="00530A16" w:rsidP="007A2CD5">
      <w:pPr>
        <w:pStyle w:val="TableFooter"/>
        <w:jc w:val="both"/>
        <w:rPr>
          <w:i/>
        </w:rPr>
      </w:pPr>
      <w:r>
        <w:t>Abbreviations: NR = not reported; RCT = randomised controlled trial</w:t>
      </w:r>
      <w:r w:rsidRPr="00061F78">
        <w:t xml:space="preserve"> </w:t>
      </w:r>
    </w:p>
    <w:p w14:paraId="23DED893" w14:textId="77777777" w:rsidR="00530A16" w:rsidRDefault="00530A16" w:rsidP="007A2CD5">
      <w:pPr>
        <w:pStyle w:val="TableFooter"/>
        <w:jc w:val="both"/>
      </w:pPr>
      <w:r>
        <w:t xml:space="preserve">1 Only the number of patients (n) in the relevant arms were included </w:t>
      </w:r>
    </w:p>
    <w:p w14:paraId="372756EB" w14:textId="4612B8BA" w:rsidR="00530A16" w:rsidRPr="00061F78" w:rsidRDefault="00530A16" w:rsidP="007A2CD5">
      <w:pPr>
        <w:pStyle w:val="TableFooter"/>
        <w:spacing w:after="120"/>
        <w:jc w:val="both"/>
      </w:pPr>
      <w:r>
        <w:t xml:space="preserve">2 The characteristics of the individual studies comparing </w:t>
      </w:r>
      <w:r w:rsidR="00810286">
        <w:t xml:space="preserve">bupropion plus </w:t>
      </w:r>
      <w:r>
        <w:t xml:space="preserve">NRT with placebo included in Livingstone-Banks et al. (2019) are presented in </w:t>
      </w:r>
      <w:r w:rsidRPr="00D13E5F">
        <w:t>Appendix</w:t>
      </w:r>
      <w:r w:rsidR="002C2DB9">
        <w:t xml:space="preserve"> Table 160.</w:t>
      </w:r>
      <w:r w:rsidR="004B54AA">
        <w:t xml:space="preserve"> </w:t>
      </w:r>
      <w:r w:rsidR="000A289D">
        <w:t>Of the two RCTs, o</w:t>
      </w:r>
      <w:r w:rsidR="004B54AA">
        <w:t xml:space="preserve">ne RCT (Covey 2007) compared bupropion plus </w:t>
      </w:r>
      <w:r w:rsidR="00892D93">
        <w:t>NRT gum versus placebo and</w:t>
      </w:r>
      <w:r w:rsidR="00067615">
        <w:t xml:space="preserve"> one RCT (Croghan 2007) compared bupropion plus NRT</w:t>
      </w:r>
      <w:r w:rsidR="00880E1A">
        <w:t xml:space="preserve"> inhaler versus placebo.</w:t>
      </w:r>
    </w:p>
    <w:p w14:paraId="47016019" w14:textId="77777777" w:rsidR="00192187" w:rsidRPr="00192187" w:rsidRDefault="00192187" w:rsidP="007A2CD5">
      <w:pPr>
        <w:spacing w:after="120"/>
        <w:jc w:val="both"/>
        <w:rPr>
          <w:u w:val="single"/>
        </w:rPr>
      </w:pPr>
      <w:r w:rsidRPr="00192187">
        <w:rPr>
          <w:u w:val="single"/>
        </w:rPr>
        <w:t>Efficacy</w:t>
      </w:r>
    </w:p>
    <w:p w14:paraId="7FEFBC30" w14:textId="71ED4FDF" w:rsidR="00F71ED9" w:rsidRPr="00B63241" w:rsidRDefault="00192187" w:rsidP="007A2CD5">
      <w:pPr>
        <w:spacing w:after="120"/>
        <w:jc w:val="both"/>
      </w:pPr>
      <w:r>
        <w:t xml:space="preserve">A summary of the smoking cessation rates at </w:t>
      </w:r>
      <w:r w:rsidR="0003799A">
        <w:t>the longest follow-up</w:t>
      </w:r>
      <w:r>
        <w:t xml:space="preserve"> </w:t>
      </w:r>
      <w:r w:rsidR="001429B9">
        <w:t xml:space="preserve">comparing bupropion plus NRT with placebo </w:t>
      </w:r>
      <w:r>
        <w:t xml:space="preserve">is presented in </w:t>
      </w:r>
      <w:r w:rsidR="0003799A">
        <w:fldChar w:fldCharType="begin" w:fldLock="1"/>
      </w:r>
      <w:r w:rsidR="0003799A">
        <w:instrText xml:space="preserve"> REF _Ref58494152 \h </w:instrText>
      </w:r>
      <w:r w:rsidR="0003799A">
        <w:fldChar w:fldCharType="separate"/>
      </w:r>
      <w:r w:rsidR="00EC5CC7">
        <w:t xml:space="preserve">Table </w:t>
      </w:r>
      <w:r w:rsidR="00EC5CC7">
        <w:rPr>
          <w:noProof/>
        </w:rPr>
        <w:t>80</w:t>
      </w:r>
      <w:r w:rsidR="0003799A">
        <w:fldChar w:fldCharType="end"/>
      </w:r>
      <w:r>
        <w:t xml:space="preserve">. The results of the meta-analysis comprising two RCTs by Livingstone-Banks et al. (2019) demonstrated no statistically significant difference in long-term smoking cessation rates between </w:t>
      </w:r>
      <w:r w:rsidR="0003799A">
        <w:t xml:space="preserve">bupropion plus </w:t>
      </w:r>
      <w:r>
        <w:t xml:space="preserve">NRT </w:t>
      </w:r>
      <w:r w:rsidR="002A765E">
        <w:t xml:space="preserve">(gum, inhaler) </w:t>
      </w:r>
      <w:r>
        <w:t>and placebo for relapse prevention</w:t>
      </w:r>
      <w:r w:rsidR="00CB690B">
        <w:t xml:space="preserve">, although the point estimate numerically favoured </w:t>
      </w:r>
      <w:r w:rsidR="00572207">
        <w:t>the combination therapy.</w:t>
      </w:r>
    </w:p>
    <w:p w14:paraId="55A3BA29" w14:textId="0DE3FF3A" w:rsidR="00E70C71" w:rsidRDefault="00E70C71" w:rsidP="007A2CD5">
      <w:pPr>
        <w:pStyle w:val="Caption"/>
        <w:keepNext/>
        <w:spacing w:before="0" w:after="120"/>
        <w:jc w:val="both"/>
      </w:pPr>
      <w:bookmarkStart w:id="144" w:name="_Ref58494152"/>
      <w:r>
        <w:t xml:space="preserve">Table </w:t>
      </w:r>
      <w:r w:rsidR="00BF3F75">
        <w:fldChar w:fldCharType="begin"/>
      </w:r>
      <w:r w:rsidR="00BF3F75">
        <w:instrText xml:space="preserve"> SEQ Table \* ARABIC </w:instrText>
      </w:r>
      <w:r w:rsidR="00BF3F75">
        <w:fldChar w:fldCharType="separate"/>
      </w:r>
      <w:r w:rsidR="00EC5CC7">
        <w:rPr>
          <w:noProof/>
        </w:rPr>
        <w:t>80</w:t>
      </w:r>
      <w:r w:rsidR="00BF3F75">
        <w:rPr>
          <w:noProof/>
        </w:rPr>
        <w:fldChar w:fldCharType="end"/>
      </w:r>
      <w:bookmarkEnd w:id="144"/>
      <w:r>
        <w:t xml:space="preserve">: </w:t>
      </w:r>
      <w:r w:rsidRPr="00471685">
        <w:t xml:space="preserve">Results of smoking cessation at </w:t>
      </w:r>
      <w:r>
        <w:t>longest follow-up</w:t>
      </w:r>
      <w:r w:rsidRPr="00471685">
        <w:t xml:space="preserve">, </w:t>
      </w:r>
      <w:r>
        <w:t xml:space="preserve">bupropion plus </w:t>
      </w:r>
      <w:r w:rsidRPr="00471685">
        <w:t>NRT versus placebo</w:t>
      </w:r>
      <w:r w:rsidR="002C7CD0">
        <w:t xml:space="preserve"> </w:t>
      </w:r>
      <w:r w:rsidR="002C7CD0" w:rsidRPr="00955526">
        <w:t>in abstainers for relapse prevention</w:t>
      </w:r>
    </w:p>
    <w:tbl>
      <w:tblPr>
        <w:tblStyle w:val="TableGrid"/>
        <w:tblW w:w="5000" w:type="pct"/>
        <w:tblLook w:val="04A0" w:firstRow="1" w:lastRow="0" w:firstColumn="1" w:lastColumn="0" w:noHBand="0" w:noVBand="1"/>
        <w:tblCaption w:val="Efficacy results of adalimumab trials (PASI 75 and DLQI)"/>
      </w:tblPr>
      <w:tblGrid>
        <w:gridCol w:w="1551"/>
        <w:gridCol w:w="1706"/>
        <w:gridCol w:w="2101"/>
        <w:gridCol w:w="1830"/>
        <w:gridCol w:w="1828"/>
      </w:tblGrid>
      <w:tr w:rsidR="00073969" w:rsidRPr="00061F78" w14:paraId="41906C96" w14:textId="77777777" w:rsidTr="000B3CA3">
        <w:trPr>
          <w:cantSplit/>
          <w:trHeight w:val="299"/>
          <w:tblHeader/>
        </w:trPr>
        <w:tc>
          <w:tcPr>
            <w:tcW w:w="860" w:type="pct"/>
            <w:shd w:val="clear" w:color="auto" w:fill="BFBFBF" w:themeFill="background1" w:themeFillShade="BF"/>
            <w:tcMar>
              <w:left w:w="28" w:type="dxa"/>
              <w:right w:w="28" w:type="dxa"/>
            </w:tcMar>
          </w:tcPr>
          <w:p w14:paraId="756B6D91" w14:textId="77777777" w:rsidR="00073969" w:rsidRPr="00061F78" w:rsidRDefault="00073969" w:rsidP="000E64E3">
            <w:pPr>
              <w:pStyle w:val="Tableheading"/>
              <w:keepNext/>
              <w:rPr>
                <w:rFonts w:eastAsia="MS Mincho"/>
              </w:rPr>
            </w:pPr>
            <w:r>
              <w:rPr>
                <w:rFonts w:eastAsia="MS Mincho"/>
              </w:rPr>
              <w:t>Study</w:t>
            </w:r>
          </w:p>
        </w:tc>
        <w:tc>
          <w:tcPr>
            <w:tcW w:w="946" w:type="pct"/>
            <w:shd w:val="clear" w:color="auto" w:fill="BFBFBF" w:themeFill="background1" w:themeFillShade="BF"/>
            <w:vAlign w:val="center"/>
          </w:tcPr>
          <w:p w14:paraId="35574CB0" w14:textId="77777777" w:rsidR="00073969" w:rsidRDefault="00073969" w:rsidP="000E64E3">
            <w:pPr>
              <w:pStyle w:val="Tableheading"/>
              <w:keepNext/>
              <w:jc w:val="center"/>
              <w:rPr>
                <w:rFonts w:eastAsia="MS Mincho"/>
              </w:rPr>
            </w:pPr>
            <w:r>
              <w:rPr>
                <w:rFonts w:eastAsia="MS Mincho"/>
              </w:rPr>
              <w:t>Study type</w:t>
            </w:r>
          </w:p>
        </w:tc>
        <w:tc>
          <w:tcPr>
            <w:tcW w:w="1165" w:type="pct"/>
            <w:shd w:val="clear" w:color="auto" w:fill="BFBFBF" w:themeFill="background1" w:themeFillShade="BF"/>
            <w:tcMar>
              <w:left w:w="28" w:type="dxa"/>
              <w:right w:w="28" w:type="dxa"/>
            </w:tcMar>
            <w:vAlign w:val="center"/>
          </w:tcPr>
          <w:p w14:paraId="7125BCE6" w14:textId="064650BC" w:rsidR="00073969" w:rsidRPr="00061F78" w:rsidRDefault="00073969" w:rsidP="000E64E3">
            <w:pPr>
              <w:pStyle w:val="Tableheading"/>
              <w:keepNext/>
              <w:jc w:val="center"/>
              <w:rPr>
                <w:rFonts w:eastAsia="MS Mincho"/>
              </w:rPr>
            </w:pPr>
            <w:r>
              <w:rPr>
                <w:rFonts w:eastAsia="MS Mincho"/>
              </w:rPr>
              <w:t>Bupropion plus NRT</w:t>
            </w:r>
          </w:p>
        </w:tc>
        <w:tc>
          <w:tcPr>
            <w:tcW w:w="1015" w:type="pct"/>
            <w:shd w:val="clear" w:color="auto" w:fill="BFBFBF" w:themeFill="background1" w:themeFillShade="BF"/>
            <w:tcMar>
              <w:left w:w="28" w:type="dxa"/>
              <w:right w:w="28" w:type="dxa"/>
            </w:tcMar>
            <w:vAlign w:val="center"/>
          </w:tcPr>
          <w:p w14:paraId="4FCCAFE6" w14:textId="77777777" w:rsidR="00073969" w:rsidRPr="00061F78" w:rsidRDefault="00073969" w:rsidP="000E64E3">
            <w:pPr>
              <w:pStyle w:val="Tableheading"/>
              <w:keepNext/>
              <w:jc w:val="center"/>
              <w:rPr>
                <w:rFonts w:eastAsia="MS Mincho"/>
              </w:rPr>
            </w:pPr>
            <w:r w:rsidRPr="00061F78">
              <w:rPr>
                <w:rFonts w:eastAsia="MS Mincho"/>
              </w:rPr>
              <w:t>Placebo</w:t>
            </w:r>
          </w:p>
        </w:tc>
        <w:tc>
          <w:tcPr>
            <w:tcW w:w="1015" w:type="pct"/>
            <w:shd w:val="clear" w:color="auto" w:fill="BFBFBF" w:themeFill="background1" w:themeFillShade="BF"/>
            <w:tcMar>
              <w:left w:w="28" w:type="dxa"/>
              <w:right w:w="28" w:type="dxa"/>
            </w:tcMar>
            <w:vAlign w:val="center"/>
          </w:tcPr>
          <w:p w14:paraId="7A84FD91" w14:textId="77777777" w:rsidR="00073969" w:rsidRPr="00D468CF" w:rsidRDefault="00073969" w:rsidP="000E64E3">
            <w:pPr>
              <w:pStyle w:val="Tableheading"/>
              <w:keepNext/>
              <w:jc w:val="center"/>
              <w:rPr>
                <w:rFonts w:eastAsia="MS Mincho"/>
                <w:vertAlign w:val="superscript"/>
              </w:rPr>
            </w:pPr>
            <w:r>
              <w:rPr>
                <w:rFonts w:eastAsia="MS Mincho"/>
              </w:rPr>
              <w:t>RR (95% CI)</w:t>
            </w:r>
            <w:r>
              <w:rPr>
                <w:rFonts w:eastAsia="MS Mincho"/>
                <w:vertAlign w:val="superscript"/>
              </w:rPr>
              <w:t>2</w:t>
            </w:r>
          </w:p>
        </w:tc>
      </w:tr>
      <w:tr w:rsidR="00073969" w:rsidRPr="00061F78" w14:paraId="6BE304D9" w14:textId="77777777" w:rsidTr="000B3CA3">
        <w:trPr>
          <w:cantSplit/>
          <w:trHeight w:val="149"/>
        </w:trPr>
        <w:tc>
          <w:tcPr>
            <w:tcW w:w="860" w:type="pct"/>
            <w:tcMar>
              <w:left w:w="28" w:type="dxa"/>
              <w:right w:w="28" w:type="dxa"/>
            </w:tcMar>
          </w:tcPr>
          <w:p w14:paraId="5CA29D71" w14:textId="77777777" w:rsidR="00073969" w:rsidRDefault="00073969" w:rsidP="000E64E3">
            <w:pPr>
              <w:pStyle w:val="Tablewriting"/>
              <w:keepNext/>
              <w:rPr>
                <w:rFonts w:eastAsia="MS Mincho"/>
              </w:rPr>
            </w:pPr>
            <w:r>
              <w:rPr>
                <w:rFonts w:eastAsia="MS Mincho"/>
              </w:rPr>
              <w:t xml:space="preserve">Livingstone-Banks </w:t>
            </w:r>
          </w:p>
          <w:p w14:paraId="657EE7EB" w14:textId="35E832F8" w:rsidR="00073969" w:rsidRPr="00D468CF" w:rsidRDefault="00073969" w:rsidP="000E64E3">
            <w:pPr>
              <w:pStyle w:val="Tablewriting"/>
              <w:keepNext/>
              <w:rPr>
                <w:rFonts w:eastAsia="MS Mincho"/>
                <w:vertAlign w:val="superscript"/>
              </w:rPr>
            </w:pPr>
            <w:r>
              <w:rPr>
                <w:rFonts w:eastAsia="MS Mincho"/>
              </w:rPr>
              <w:t>(2019)</w:t>
            </w:r>
            <w:r w:rsidR="000E78F8">
              <w:rPr>
                <w:rFonts w:eastAsia="MS Mincho"/>
                <w:vertAlign w:val="superscript"/>
              </w:rPr>
              <w:t>1</w:t>
            </w:r>
          </w:p>
        </w:tc>
        <w:tc>
          <w:tcPr>
            <w:tcW w:w="946" w:type="pct"/>
            <w:vAlign w:val="center"/>
          </w:tcPr>
          <w:p w14:paraId="5094037A" w14:textId="77777777" w:rsidR="00073969" w:rsidRDefault="00073969" w:rsidP="000E64E3">
            <w:pPr>
              <w:pStyle w:val="Tablewriting"/>
              <w:keepNext/>
              <w:jc w:val="center"/>
              <w:rPr>
                <w:rFonts w:eastAsia="MS Mincho"/>
              </w:rPr>
            </w:pPr>
            <w:r>
              <w:rPr>
                <w:rFonts w:eastAsia="MS Mincho"/>
              </w:rPr>
              <w:t>Cochrane Review (2 RCTs)</w:t>
            </w:r>
          </w:p>
        </w:tc>
        <w:tc>
          <w:tcPr>
            <w:tcW w:w="1165" w:type="pct"/>
            <w:tcMar>
              <w:left w:w="28" w:type="dxa"/>
              <w:right w:w="28" w:type="dxa"/>
            </w:tcMar>
            <w:vAlign w:val="center"/>
          </w:tcPr>
          <w:p w14:paraId="595648BE" w14:textId="17E1987A" w:rsidR="00073969" w:rsidRPr="00FD71B4" w:rsidRDefault="003C7BF4" w:rsidP="000E64E3">
            <w:pPr>
              <w:pStyle w:val="Tablewriting"/>
              <w:keepNext/>
              <w:jc w:val="center"/>
              <w:rPr>
                <w:rFonts w:eastAsia="MS Mincho"/>
              </w:rPr>
            </w:pPr>
            <w:r>
              <w:rPr>
                <w:rFonts w:eastAsia="MS Mincho"/>
              </w:rPr>
              <w:t>31</w:t>
            </w:r>
            <w:r w:rsidR="00073969">
              <w:rPr>
                <w:rFonts w:eastAsia="MS Mincho"/>
              </w:rPr>
              <w:t>/</w:t>
            </w:r>
            <w:r>
              <w:rPr>
                <w:rFonts w:eastAsia="MS Mincho"/>
              </w:rPr>
              <w:t>122</w:t>
            </w:r>
            <w:r w:rsidR="00073969" w:rsidRPr="00FD71B4">
              <w:rPr>
                <w:rFonts w:eastAsia="MS Mincho"/>
              </w:rPr>
              <w:t xml:space="preserve"> </w:t>
            </w:r>
          </w:p>
          <w:p w14:paraId="5E3190AA" w14:textId="131FAA7F" w:rsidR="00073969" w:rsidRPr="00FD71B4" w:rsidRDefault="00073969" w:rsidP="000E64E3">
            <w:pPr>
              <w:pStyle w:val="Tablewriting"/>
              <w:keepNext/>
              <w:jc w:val="center"/>
              <w:rPr>
                <w:rFonts w:eastAsia="MS Mincho"/>
              </w:rPr>
            </w:pPr>
            <w:r w:rsidRPr="00FD71B4">
              <w:rPr>
                <w:rFonts w:eastAsia="MS Mincho"/>
              </w:rPr>
              <w:t>(</w:t>
            </w:r>
            <w:r w:rsidR="005B1AF0">
              <w:rPr>
                <w:rFonts w:eastAsia="MS Mincho"/>
              </w:rPr>
              <w:t>25</w:t>
            </w:r>
            <w:r>
              <w:rPr>
                <w:rFonts w:eastAsia="MS Mincho"/>
              </w:rPr>
              <w:t>.4</w:t>
            </w:r>
            <w:r w:rsidRPr="00FD71B4">
              <w:rPr>
                <w:rFonts w:eastAsia="MS Mincho"/>
              </w:rPr>
              <w:t>%)</w:t>
            </w:r>
          </w:p>
        </w:tc>
        <w:tc>
          <w:tcPr>
            <w:tcW w:w="1015" w:type="pct"/>
            <w:tcMar>
              <w:left w:w="28" w:type="dxa"/>
              <w:right w:w="28" w:type="dxa"/>
            </w:tcMar>
            <w:vAlign w:val="center"/>
          </w:tcPr>
          <w:p w14:paraId="2E87BC53" w14:textId="6DEFA59D" w:rsidR="00073969" w:rsidRPr="00FD71B4" w:rsidRDefault="003C7BF4" w:rsidP="000E64E3">
            <w:pPr>
              <w:pStyle w:val="Tablewriting"/>
              <w:keepNext/>
              <w:jc w:val="center"/>
              <w:rPr>
                <w:rFonts w:eastAsia="MS Mincho"/>
              </w:rPr>
            </w:pPr>
            <w:r>
              <w:rPr>
                <w:rFonts w:eastAsia="MS Mincho"/>
              </w:rPr>
              <w:t>26</w:t>
            </w:r>
            <w:r w:rsidR="00073969">
              <w:rPr>
                <w:rFonts w:eastAsia="MS Mincho"/>
              </w:rPr>
              <w:t>/</w:t>
            </w:r>
            <w:r>
              <w:rPr>
                <w:rFonts w:eastAsia="MS Mincho"/>
              </w:rPr>
              <w:t>121</w:t>
            </w:r>
          </w:p>
          <w:p w14:paraId="28508B94" w14:textId="7724590F" w:rsidR="00073969" w:rsidRPr="00FD71B4" w:rsidRDefault="00073969" w:rsidP="000E64E3">
            <w:pPr>
              <w:pStyle w:val="Tablewriting"/>
              <w:keepNext/>
              <w:jc w:val="center"/>
              <w:rPr>
                <w:rFonts w:eastAsia="MS Mincho"/>
              </w:rPr>
            </w:pPr>
            <w:r w:rsidRPr="00FD71B4">
              <w:rPr>
                <w:rFonts w:eastAsia="MS Mincho"/>
              </w:rPr>
              <w:t>(</w:t>
            </w:r>
            <w:r w:rsidR="00CB690B">
              <w:rPr>
                <w:rFonts w:eastAsia="MS Mincho"/>
              </w:rPr>
              <w:t>21.5</w:t>
            </w:r>
            <w:r w:rsidRPr="00FD71B4">
              <w:rPr>
                <w:rFonts w:eastAsia="MS Mincho"/>
              </w:rPr>
              <w:t>%)</w:t>
            </w:r>
          </w:p>
        </w:tc>
        <w:tc>
          <w:tcPr>
            <w:tcW w:w="1015" w:type="pct"/>
            <w:tcMar>
              <w:left w:w="28" w:type="dxa"/>
              <w:right w:w="28" w:type="dxa"/>
            </w:tcMar>
            <w:vAlign w:val="center"/>
          </w:tcPr>
          <w:p w14:paraId="4C5B56BB" w14:textId="77777777" w:rsidR="00073969" w:rsidRDefault="00F52070" w:rsidP="004C0C51">
            <w:pPr>
              <w:pStyle w:val="Tablewriting"/>
              <w:keepNext/>
              <w:jc w:val="center"/>
              <w:rPr>
                <w:rFonts w:eastAsia="MS Mincho"/>
              </w:rPr>
            </w:pPr>
            <w:r>
              <w:rPr>
                <w:rFonts w:eastAsia="MS Mincho"/>
              </w:rPr>
              <w:t>1.18</w:t>
            </w:r>
          </w:p>
          <w:p w14:paraId="7A1D5880" w14:textId="29F515D4" w:rsidR="00073969" w:rsidRPr="00FD71B4" w:rsidRDefault="00073969" w:rsidP="000E64E3">
            <w:pPr>
              <w:pStyle w:val="Tablewriting"/>
              <w:keepNext/>
              <w:jc w:val="center"/>
              <w:rPr>
                <w:rFonts w:eastAsia="MS Mincho"/>
              </w:rPr>
            </w:pPr>
            <w:r w:rsidRPr="004E3996">
              <w:rPr>
                <w:rFonts w:eastAsia="MS Mincho"/>
              </w:rPr>
              <w:t>(</w:t>
            </w:r>
            <w:r>
              <w:rPr>
                <w:rFonts w:eastAsia="MS Mincho"/>
              </w:rPr>
              <w:t>0.</w:t>
            </w:r>
            <w:r w:rsidR="00F52070">
              <w:rPr>
                <w:rFonts w:eastAsia="MS Mincho"/>
              </w:rPr>
              <w:t>75</w:t>
            </w:r>
            <w:r w:rsidRPr="004E3996">
              <w:rPr>
                <w:rFonts w:eastAsia="MS Mincho"/>
              </w:rPr>
              <w:t>, 1.</w:t>
            </w:r>
            <w:r w:rsidR="00F52070">
              <w:rPr>
                <w:rFonts w:eastAsia="MS Mincho"/>
              </w:rPr>
              <w:t>87</w:t>
            </w:r>
            <w:r w:rsidRPr="004E3996">
              <w:rPr>
                <w:rFonts w:eastAsia="MS Mincho"/>
              </w:rPr>
              <w:t>)</w:t>
            </w:r>
          </w:p>
        </w:tc>
      </w:tr>
    </w:tbl>
    <w:p w14:paraId="6AF202A1" w14:textId="77777777" w:rsidR="00073969" w:rsidRPr="002C2DB9" w:rsidRDefault="00073969" w:rsidP="002C2DB9">
      <w:pPr>
        <w:pStyle w:val="TableFooter"/>
        <w:keepNext/>
        <w:spacing w:after="0"/>
        <w:rPr>
          <w:szCs w:val="20"/>
        </w:rPr>
      </w:pPr>
      <w:r w:rsidRPr="002C2DB9">
        <w:rPr>
          <w:szCs w:val="20"/>
        </w:rPr>
        <w:t>Source: Livingstone-Banks et al. (2019)</w:t>
      </w:r>
    </w:p>
    <w:p w14:paraId="615BBFF1" w14:textId="77777777" w:rsidR="00073969" w:rsidRPr="002C2DB9" w:rsidRDefault="00073969" w:rsidP="002C2DB9">
      <w:pPr>
        <w:pStyle w:val="TableFooter"/>
        <w:keepNext/>
        <w:spacing w:after="0"/>
        <w:rPr>
          <w:i/>
          <w:szCs w:val="20"/>
        </w:rPr>
      </w:pPr>
      <w:r w:rsidRPr="002C2DB9">
        <w:rPr>
          <w:szCs w:val="20"/>
        </w:rPr>
        <w:t xml:space="preserve">Abbreviations: CI = confidence interval; RCT = randomised controlled trial; RD = risk difference; RR = risk ratio </w:t>
      </w:r>
    </w:p>
    <w:p w14:paraId="17DF584B" w14:textId="4D33CB5F" w:rsidR="00073969" w:rsidRPr="002C2DB9" w:rsidRDefault="00073969" w:rsidP="002C2DB9">
      <w:pPr>
        <w:spacing w:after="0"/>
        <w:contextualSpacing/>
        <w:rPr>
          <w:sz w:val="20"/>
          <w:szCs w:val="20"/>
        </w:rPr>
      </w:pPr>
      <w:r w:rsidRPr="002C2DB9">
        <w:rPr>
          <w:sz w:val="20"/>
          <w:szCs w:val="20"/>
        </w:rPr>
        <w:t>Notes: Bold indicates statistically significant difference.</w:t>
      </w:r>
      <w:r w:rsidRPr="002C2DB9">
        <w:rPr>
          <w:sz w:val="20"/>
          <w:szCs w:val="20"/>
        </w:rPr>
        <w:br/>
        <w:t>1 Where cessation was assessed at multiple intervals, the longest follow-up data were used. Where multiple definitions of abstinence were assessed, the strictest of these definitions was used (</w:t>
      </w:r>
      <w:r w:rsidR="00826C95" w:rsidRPr="002C2DB9">
        <w:rPr>
          <w:sz w:val="20"/>
          <w:szCs w:val="20"/>
        </w:rPr>
        <w:t>e.g.,</w:t>
      </w:r>
      <w:r w:rsidRPr="002C2DB9">
        <w:rPr>
          <w:sz w:val="20"/>
          <w:szCs w:val="20"/>
        </w:rPr>
        <w:t xml:space="preserve"> continuous/prolonged abstinence over point prevalence abstinence). See Appendix</w:t>
      </w:r>
      <w:r w:rsidR="00367224" w:rsidRPr="002C2DB9">
        <w:rPr>
          <w:sz w:val="20"/>
          <w:szCs w:val="20"/>
        </w:rPr>
        <w:t xml:space="preserve"> </w:t>
      </w:r>
      <w:r w:rsidR="002C2DB9" w:rsidRPr="002C2DB9">
        <w:rPr>
          <w:sz w:val="20"/>
          <w:szCs w:val="20"/>
        </w:rPr>
        <w:t>Table 160</w:t>
      </w:r>
      <w:r w:rsidR="00E968B6" w:rsidRPr="002C2DB9">
        <w:rPr>
          <w:sz w:val="20"/>
          <w:szCs w:val="20"/>
        </w:rPr>
        <w:t xml:space="preserve"> </w:t>
      </w:r>
      <w:r w:rsidRPr="002C2DB9">
        <w:rPr>
          <w:sz w:val="20"/>
          <w:szCs w:val="20"/>
        </w:rPr>
        <w:t>for the definition used in each study.</w:t>
      </w:r>
    </w:p>
    <w:p w14:paraId="6E4B039E" w14:textId="0005EEF4" w:rsidR="00073969" w:rsidRPr="002C2DB9" w:rsidRDefault="00073969" w:rsidP="002C2DB9">
      <w:pPr>
        <w:pStyle w:val="TableFooter"/>
        <w:keepNext/>
        <w:spacing w:after="120"/>
        <w:contextualSpacing w:val="0"/>
        <w:jc w:val="both"/>
        <w:rPr>
          <w:szCs w:val="20"/>
        </w:rPr>
      </w:pPr>
      <w:r w:rsidRPr="002C2DB9">
        <w:rPr>
          <w:szCs w:val="20"/>
        </w:rPr>
        <w:t xml:space="preserve">2 Calculated </w:t>
      </w:r>
      <w:r w:rsidR="000E78F8" w:rsidRPr="002C2DB9">
        <w:rPr>
          <w:szCs w:val="20"/>
        </w:rPr>
        <w:t>by Cochrane Review authors</w:t>
      </w:r>
      <w:r w:rsidRPr="002C2DB9">
        <w:rPr>
          <w:szCs w:val="20"/>
        </w:rPr>
        <w:t xml:space="preserve"> using a fixed-effect model</w:t>
      </w:r>
      <w:r w:rsidR="00C410DE" w:rsidRPr="002C2DB9">
        <w:rPr>
          <w:szCs w:val="20"/>
        </w:rPr>
        <w:t>.</w:t>
      </w:r>
    </w:p>
    <w:p w14:paraId="63880D19" w14:textId="2B2D8BF6" w:rsidR="00073969" w:rsidRPr="00B63241" w:rsidRDefault="00B817FB" w:rsidP="007A2CD5">
      <w:pPr>
        <w:spacing w:after="120"/>
        <w:jc w:val="both"/>
      </w:pPr>
      <w:r w:rsidRPr="00B817FB">
        <w:t xml:space="preserve">The results of the individual studies included in Livingstone-Banks et al. (2019) are presented using a forest plot in </w:t>
      </w:r>
      <w:r w:rsidR="00DE211A">
        <w:fldChar w:fldCharType="begin" w:fldLock="1"/>
      </w:r>
      <w:r w:rsidR="00DE211A">
        <w:instrText xml:space="preserve"> REF _Ref58494478 \h </w:instrText>
      </w:r>
      <w:r w:rsidR="00DE211A">
        <w:fldChar w:fldCharType="separate"/>
      </w:r>
      <w:r w:rsidR="00EC5CC7">
        <w:t xml:space="preserve">Figure </w:t>
      </w:r>
      <w:r w:rsidR="00EC5CC7">
        <w:rPr>
          <w:noProof/>
        </w:rPr>
        <w:t>23</w:t>
      </w:r>
      <w:r w:rsidR="00DE211A">
        <w:fldChar w:fldCharType="end"/>
      </w:r>
      <w:r w:rsidRPr="00B817FB">
        <w:t xml:space="preserve">. </w:t>
      </w:r>
      <w:r w:rsidR="000F4737">
        <w:t>It was noted that there was a moderate level of heterogeneity in the meta-analysed results (I</w:t>
      </w:r>
      <w:r w:rsidR="000F4737" w:rsidRPr="000F4737">
        <w:rPr>
          <w:vertAlign w:val="superscript"/>
        </w:rPr>
        <w:t>2</w:t>
      </w:r>
      <w:r w:rsidR="000F4737">
        <w:t xml:space="preserve"> = 66%). </w:t>
      </w:r>
    </w:p>
    <w:p w14:paraId="705A706A" w14:textId="77777777" w:rsidR="00611F34" w:rsidRDefault="00611F34" w:rsidP="00E968B6">
      <w:r>
        <w:rPr>
          <w:noProof/>
        </w:rPr>
        <w:lastRenderedPageBreak/>
        <w:drawing>
          <wp:inline distT="0" distB="0" distL="0" distR="0" wp14:anchorId="2D6469B4" wp14:editId="33FC477D">
            <wp:extent cx="5731510" cy="1465996"/>
            <wp:effectExtent l="0" t="0" r="2540" b="1270"/>
            <wp:docPr id="53" name="Picture 53" descr="P55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P5565#yIS1"/>
                    <pic:cNvPicPr/>
                  </pic:nvPicPr>
                  <pic:blipFill>
                    <a:blip r:embed="rId42">
                      <a:extLst>
                        <a:ext uri="{28A0092B-C50C-407E-A947-70E740481C1C}">
                          <a14:useLocalDpi xmlns:a14="http://schemas.microsoft.com/office/drawing/2010/main" val="0"/>
                        </a:ext>
                      </a:extLst>
                    </a:blip>
                    <a:stretch>
                      <a:fillRect/>
                    </a:stretch>
                  </pic:blipFill>
                  <pic:spPr>
                    <a:xfrm>
                      <a:off x="0" y="0"/>
                      <a:ext cx="5731510" cy="1465996"/>
                    </a:xfrm>
                    <a:prstGeom prst="rect">
                      <a:avLst/>
                    </a:prstGeom>
                  </pic:spPr>
                </pic:pic>
              </a:graphicData>
            </a:graphic>
          </wp:inline>
        </w:drawing>
      </w:r>
    </w:p>
    <w:p w14:paraId="695F9D59" w14:textId="76CB0A45" w:rsidR="00B817FB" w:rsidRPr="00B63241" w:rsidRDefault="00611F34" w:rsidP="007A2CD5">
      <w:pPr>
        <w:pStyle w:val="Caption"/>
        <w:spacing w:before="120" w:after="60"/>
        <w:jc w:val="both"/>
      </w:pPr>
      <w:bookmarkStart w:id="145" w:name="_Ref58494478"/>
      <w:r>
        <w:t xml:space="preserve">Figure </w:t>
      </w:r>
      <w:r w:rsidR="00BF3F75">
        <w:fldChar w:fldCharType="begin"/>
      </w:r>
      <w:r w:rsidR="00BF3F75">
        <w:instrText xml:space="preserve"> SEQ Figure \* ARABIC </w:instrText>
      </w:r>
      <w:r w:rsidR="00BF3F75">
        <w:fldChar w:fldCharType="separate"/>
      </w:r>
      <w:r w:rsidR="00EC5CC7">
        <w:rPr>
          <w:noProof/>
        </w:rPr>
        <w:t>23</w:t>
      </w:r>
      <w:r w:rsidR="00BF3F75">
        <w:rPr>
          <w:noProof/>
        </w:rPr>
        <w:fldChar w:fldCharType="end"/>
      </w:r>
      <w:bookmarkEnd w:id="145"/>
      <w:r>
        <w:t xml:space="preserve">: </w:t>
      </w:r>
      <w:r w:rsidRPr="00BA5441">
        <w:t xml:space="preserve">Results of smoking cessation at </w:t>
      </w:r>
      <w:r>
        <w:t>longest follow-up</w:t>
      </w:r>
      <w:r w:rsidRPr="00BA5441">
        <w:t xml:space="preserve"> in Livingstone-Banks et al. (2019), </w:t>
      </w:r>
      <w:r>
        <w:t xml:space="preserve">bupropion plus </w:t>
      </w:r>
      <w:r w:rsidRPr="00BA5441">
        <w:t>NRT versus placebo</w:t>
      </w:r>
    </w:p>
    <w:p w14:paraId="320F4C8F" w14:textId="77777777" w:rsidR="00611F34" w:rsidRDefault="00611F34" w:rsidP="007A2CD5">
      <w:pPr>
        <w:pStyle w:val="FigureFooter"/>
        <w:jc w:val="both"/>
      </w:pPr>
      <w:r>
        <w:t>Source: Livingstone-Banks et al. (2019)</w:t>
      </w:r>
    </w:p>
    <w:p w14:paraId="0FF8E0DF" w14:textId="3027BF92" w:rsidR="00611F34" w:rsidRDefault="00611F34" w:rsidP="007A2CD5">
      <w:pPr>
        <w:pStyle w:val="FigureFooter"/>
        <w:jc w:val="both"/>
      </w:pPr>
      <w:r w:rsidRPr="00D041F9">
        <w:t>Abbreviations: CI = confidence interval</w:t>
      </w:r>
    </w:p>
    <w:p w14:paraId="7FED0CDE" w14:textId="07613787" w:rsidR="00D15FA1" w:rsidRDefault="00D15FA1" w:rsidP="007A2CD5">
      <w:pPr>
        <w:pStyle w:val="FigureFooter"/>
        <w:jc w:val="both"/>
      </w:pPr>
      <w:r>
        <w:t>Note: In Covey (2007), bupropion was administered in combination with NRT gum while in Croghan (2007), bupropion was administered in combination with NRT inhaler.</w:t>
      </w:r>
    </w:p>
    <w:p w14:paraId="446BAF1B" w14:textId="18BCD74A" w:rsidR="002E7A0B" w:rsidRDefault="002E7A0B" w:rsidP="007A2CD5">
      <w:pPr>
        <w:pStyle w:val="FigureFooter"/>
        <w:spacing w:after="120"/>
        <w:contextualSpacing w:val="0"/>
        <w:jc w:val="both"/>
      </w:pPr>
      <w:r w:rsidRPr="002E7A0B">
        <w:t>Notes: In Covey et al. (2007), patients were provided bupropion and NRT patches in the open-label treatment phase followed by bupropion, NRT gum, or both and placebo in the double-blind treatment phase. In Croghan et al. (2007), patients were provided bupropion, NRT inhaler or both, followed by the same medications or placebo in the double-blind treatment phase.</w:t>
      </w:r>
    </w:p>
    <w:p w14:paraId="4EDD46A3" w14:textId="77777777" w:rsidR="00611F34" w:rsidRPr="0073597F" w:rsidRDefault="00611F34" w:rsidP="007A2CD5">
      <w:pPr>
        <w:spacing w:after="120"/>
        <w:jc w:val="both"/>
        <w:rPr>
          <w:u w:val="single"/>
        </w:rPr>
      </w:pPr>
      <w:r w:rsidRPr="0073597F">
        <w:rPr>
          <w:u w:val="single"/>
        </w:rPr>
        <w:t>Safety</w:t>
      </w:r>
    </w:p>
    <w:p w14:paraId="63D055C8" w14:textId="58F26CFB" w:rsidR="000E78F8" w:rsidRDefault="00611F34" w:rsidP="007A2CD5">
      <w:pPr>
        <w:spacing w:after="120"/>
        <w:jc w:val="both"/>
      </w:pPr>
      <w:r w:rsidRPr="00F423F8">
        <w:t xml:space="preserve">The </w:t>
      </w:r>
      <w:r w:rsidR="00573F59">
        <w:t>safety</w:t>
      </w:r>
      <w:r w:rsidRPr="00F423F8">
        <w:t xml:space="preserve"> of </w:t>
      </w:r>
      <w:r>
        <w:t xml:space="preserve">bupropion plus NRT </w:t>
      </w:r>
      <w:r w:rsidR="00573F59">
        <w:t>versus</w:t>
      </w:r>
      <w:r>
        <w:t xml:space="preserve"> placebo in abstainers for relapse prevention</w:t>
      </w:r>
      <w:r w:rsidRPr="00F423F8">
        <w:t xml:space="preserve"> was not </w:t>
      </w:r>
      <w:r w:rsidR="00E44A3B">
        <w:t>assessed</w:t>
      </w:r>
      <w:r w:rsidRPr="00F423F8">
        <w:t xml:space="preserve"> by </w:t>
      </w:r>
      <w:r w:rsidRPr="002C1625">
        <w:t>Livingstone-Banks et al. (2019)</w:t>
      </w:r>
      <w:r w:rsidR="005E6C03">
        <w:t xml:space="preserve"> and Croghan et al. (2007)</w:t>
      </w:r>
      <w:r w:rsidRPr="00F423F8">
        <w:t>.</w:t>
      </w:r>
    </w:p>
    <w:p w14:paraId="76E4A0AA" w14:textId="3D80933D" w:rsidR="005E6C03" w:rsidRDefault="005E6C03" w:rsidP="007A2CD5">
      <w:pPr>
        <w:spacing w:after="120"/>
        <w:jc w:val="both"/>
      </w:pPr>
      <w:r w:rsidRPr="005E6C03">
        <w:t xml:space="preserve">In Covey et al. (2007), the number of reported adverse events such as nervousness, constipation, insomnia, </w:t>
      </w:r>
      <w:r w:rsidR="00826C95" w:rsidRPr="005E6C03">
        <w:t>stomach-ache,</w:t>
      </w:r>
      <w:r w:rsidRPr="005E6C03">
        <w:t xml:space="preserve"> and depressed mood was low, and did not vary by treatment group (P = 0.69).</w:t>
      </w:r>
    </w:p>
    <w:p w14:paraId="7AB776B2" w14:textId="63C896B1" w:rsidR="00503E62" w:rsidRDefault="00503E62" w:rsidP="007A2CD5">
      <w:pPr>
        <w:pStyle w:val="Heading4"/>
        <w:numPr>
          <w:ilvl w:val="0"/>
          <w:numId w:val="0"/>
        </w:numPr>
        <w:spacing w:after="120"/>
        <w:jc w:val="both"/>
      </w:pPr>
      <w:r>
        <w:t>Summary of evidence for combination therapy</w:t>
      </w:r>
    </w:p>
    <w:p w14:paraId="67657A9B" w14:textId="33C08994" w:rsidR="00851A08" w:rsidRPr="00851A08" w:rsidRDefault="00851A08" w:rsidP="007A2CD5">
      <w:pPr>
        <w:spacing w:after="120"/>
        <w:jc w:val="both"/>
      </w:pPr>
      <w:r w:rsidRPr="00851A08">
        <w:t>Combination therapies for smoking cessation have not been previously considered by the PBAC. In March 2018, the PBAC noted that the latest clinical guidelines encourage health professionals to consider recommending the use of combination NRT (</w:t>
      </w:r>
      <w:r w:rsidR="00826C95" w:rsidRPr="00851A08">
        <w:t>e.g.,</w:t>
      </w:r>
      <w:r w:rsidRPr="00851A08">
        <w:t xml:space="preserve"> NRT patch with NRT gum or </w:t>
      </w:r>
      <w:r w:rsidR="00573F59">
        <w:t>lozenges</w:t>
      </w:r>
      <w:r w:rsidRPr="00851A08">
        <w:t>) (</w:t>
      </w:r>
      <w:r w:rsidRPr="00AF43E4">
        <w:t>NRT PSD, March 2018 PBAC meeting</w:t>
      </w:r>
      <w:r w:rsidRPr="00851A08">
        <w:t>).</w:t>
      </w:r>
    </w:p>
    <w:p w14:paraId="33ACDA49" w14:textId="229784A5" w:rsidR="003045D2" w:rsidRPr="003045D2" w:rsidRDefault="003045D2" w:rsidP="007A2CD5">
      <w:pPr>
        <w:spacing w:after="120"/>
        <w:jc w:val="both"/>
        <w:rPr>
          <w:b/>
          <w:bCs/>
        </w:rPr>
      </w:pPr>
      <w:r w:rsidRPr="003045D2">
        <w:rPr>
          <w:b/>
          <w:bCs/>
        </w:rPr>
        <w:t>Combination NRT</w:t>
      </w:r>
    </w:p>
    <w:p w14:paraId="70D848E2" w14:textId="06EC62DA" w:rsidR="003045D2" w:rsidRDefault="003045D2" w:rsidP="007A2CD5">
      <w:pPr>
        <w:spacing w:after="120"/>
        <w:jc w:val="both"/>
        <w:rPr>
          <w:i/>
          <w:iCs/>
        </w:rPr>
      </w:pPr>
      <w:r w:rsidRPr="003045D2">
        <w:rPr>
          <w:i/>
          <w:iCs/>
        </w:rPr>
        <w:t>Treatment-naïve population</w:t>
      </w:r>
    </w:p>
    <w:p w14:paraId="1EDA3DA9" w14:textId="449CE2E5" w:rsidR="00DF50DA" w:rsidRDefault="0013750B" w:rsidP="007A2CD5">
      <w:pPr>
        <w:spacing w:after="120"/>
        <w:jc w:val="both"/>
      </w:pPr>
      <w:r>
        <w:t>Based on the evidence presented (</w:t>
      </w:r>
      <w:r w:rsidR="00C32913" w:rsidRPr="00C32913">
        <w:t>Hartmann-Boyce et al. 2018, Chen et al. 2020</w:t>
      </w:r>
      <w:r>
        <w:t>),</w:t>
      </w:r>
      <w:r w:rsidR="00822BF2">
        <w:t xml:space="preserve"> combination NRT</w:t>
      </w:r>
      <w:r>
        <w:t xml:space="preserve"> </w:t>
      </w:r>
      <w:r w:rsidR="00C7085E">
        <w:t xml:space="preserve">(patch + lozenge, patch + lozenge and gum) </w:t>
      </w:r>
      <w:r>
        <w:t xml:space="preserve">was shown to provide a statistically significant improvement in long-term smoking cessation rates compared with placebo, noting the </w:t>
      </w:r>
      <w:r w:rsidR="00DF50DA">
        <w:t>results</w:t>
      </w:r>
      <w:r w:rsidR="007727BD">
        <w:t xml:space="preserve"> of the updated re-analysis</w:t>
      </w:r>
      <w:r w:rsidR="00DF50DA">
        <w:t xml:space="preserve"> for NRT patch + lozenge w</w:t>
      </w:r>
      <w:r w:rsidR="007727BD">
        <w:t>ere</w:t>
      </w:r>
      <w:r w:rsidR="00DF50DA">
        <w:t xml:space="preserve"> statistically significant based on risk ratio but not risk difference.</w:t>
      </w:r>
      <w:r w:rsidR="00862425">
        <w:t xml:space="preserve"> There were no statistically significant differences in </w:t>
      </w:r>
      <w:r w:rsidR="00B43195">
        <w:t xml:space="preserve">long-term </w:t>
      </w:r>
      <w:r w:rsidR="00862425">
        <w:t xml:space="preserve">smoking cessation rates between NRT patch + gum or NRT patch + inhalator and placebo. </w:t>
      </w:r>
      <w:r w:rsidR="003E2F19" w:rsidRPr="003E2F19">
        <w:t>The non-significant result of NRT patch + gum was likely due to the study design, such as small sample size, leading to insufficient power to detect a modest treatment effect with reasonable certainty</w:t>
      </w:r>
      <w:r w:rsidR="003E2F19">
        <w:t>.</w:t>
      </w:r>
      <w:r w:rsidR="003E2F19" w:rsidRPr="003E2F19">
        <w:t xml:space="preserve"> </w:t>
      </w:r>
      <w:r w:rsidR="005131CB" w:rsidRPr="005131CB">
        <w:t>Based on the study by Chen et al. (2020), there were no statistically significant differences between NRT patch + lozenge</w:t>
      </w:r>
      <w:r w:rsidR="005131CB">
        <w:t xml:space="preserve"> </w:t>
      </w:r>
      <w:r w:rsidR="005131CB" w:rsidRPr="005131CB">
        <w:t>and placebo in terms of any adverse events and serious adverse events</w:t>
      </w:r>
      <w:r w:rsidR="005131CB">
        <w:t>.</w:t>
      </w:r>
    </w:p>
    <w:p w14:paraId="1B02841D" w14:textId="03A1F30B" w:rsidR="0013750B" w:rsidRDefault="0013750B" w:rsidP="007A2CD5">
      <w:pPr>
        <w:spacing w:after="120"/>
        <w:jc w:val="both"/>
      </w:pPr>
      <w:r>
        <w:t xml:space="preserve">For the comparison of </w:t>
      </w:r>
      <w:r w:rsidR="00453962">
        <w:t xml:space="preserve">combination NRT </w:t>
      </w:r>
      <w:r>
        <w:t>versus NRT</w:t>
      </w:r>
      <w:r w:rsidR="00453962">
        <w:t xml:space="preserve"> monotherapy</w:t>
      </w:r>
      <w:r>
        <w:t xml:space="preserve">, </w:t>
      </w:r>
      <w:r w:rsidR="00453962">
        <w:t>combination NRT</w:t>
      </w:r>
      <w:r>
        <w:t xml:space="preserve"> was shown to </w:t>
      </w:r>
      <w:r w:rsidR="004E40F8">
        <w:t xml:space="preserve">provide a statistically significant improvement in long-term smoking cessation rates </w:t>
      </w:r>
      <w:r w:rsidR="004E40F8">
        <w:lastRenderedPageBreak/>
        <w:t>compared with NRT monotherapy</w:t>
      </w:r>
      <w:r w:rsidR="002D0864">
        <w:t xml:space="preserve"> (patch</w:t>
      </w:r>
      <w:r w:rsidR="00DA341A">
        <w:t xml:space="preserve"> or</w:t>
      </w:r>
      <w:r w:rsidR="002D0864">
        <w:t xml:space="preserve"> fast-acting)</w:t>
      </w:r>
      <w:r w:rsidR="00DA341A">
        <w:t xml:space="preserve"> (Lindson et al. 2019, Leung et al. 2019)</w:t>
      </w:r>
      <w:r w:rsidR="002D0864">
        <w:t>.</w:t>
      </w:r>
      <w:r w:rsidR="006E67F0" w:rsidRPr="006E67F0">
        <w:t xml:space="preserve"> </w:t>
      </w:r>
      <w:r w:rsidR="006E67F0">
        <w:t>T</w:t>
      </w:r>
      <w:r w:rsidR="006E67F0" w:rsidRPr="006E67F0">
        <w:t>here were no statistically significant differences between combination NRT and NRT monotherapy (patch or fast-acting) in terms of cardiac adverse event</w:t>
      </w:r>
      <w:r w:rsidR="00127B77">
        <w:t>s</w:t>
      </w:r>
      <w:r w:rsidR="006E67F0" w:rsidRPr="006E67F0">
        <w:t xml:space="preserve">, serious adverse </w:t>
      </w:r>
      <w:r w:rsidR="00826C95" w:rsidRPr="006E67F0">
        <w:t>events,</w:t>
      </w:r>
      <w:r w:rsidR="006E67F0" w:rsidRPr="006E67F0">
        <w:t xml:space="preserve"> or withdrawals due to treatment</w:t>
      </w:r>
      <w:r w:rsidR="006E67F0">
        <w:t>.</w:t>
      </w:r>
      <w:r w:rsidR="001C27E5">
        <w:t xml:space="preserve"> </w:t>
      </w:r>
      <w:r w:rsidR="0018693D">
        <w:t xml:space="preserve">Additional subgroup analyses were conducted </w:t>
      </w:r>
      <w:r w:rsidR="007B2FD4">
        <w:t>during the review to determine the comparative effectiveness of the different types of combination NRT formulations:</w:t>
      </w:r>
    </w:p>
    <w:p w14:paraId="2E2DDDDC" w14:textId="07C650EC" w:rsidR="007B2FD4" w:rsidRDefault="007B2FD4" w:rsidP="007A2CD5">
      <w:pPr>
        <w:pStyle w:val="ListParagraph"/>
        <w:numPr>
          <w:ilvl w:val="0"/>
          <w:numId w:val="230"/>
        </w:numPr>
        <w:jc w:val="both"/>
      </w:pPr>
      <w:r>
        <w:t xml:space="preserve">For combination NRT versus NRT </w:t>
      </w:r>
      <w:r w:rsidR="00573F59">
        <w:t>patches</w:t>
      </w:r>
      <w:r>
        <w:t xml:space="preserve">, NRT patch + lozenge and NRT patch + gum were shown to provide a significantly higher rate of long-term smoking cessation compared to NRT </w:t>
      </w:r>
      <w:r w:rsidR="00573F59">
        <w:t>patches</w:t>
      </w:r>
      <w:r>
        <w:t xml:space="preserve"> alone. There were no statistically significant differences observed for the other types of combination NRT formulations (patch + nasal spray, patch + inhaler, patch + oral spray).</w:t>
      </w:r>
    </w:p>
    <w:p w14:paraId="1E138201" w14:textId="30A51405" w:rsidR="007B2FD4" w:rsidRDefault="007B2FD4" w:rsidP="007A2CD5">
      <w:pPr>
        <w:pStyle w:val="ListParagraph"/>
        <w:numPr>
          <w:ilvl w:val="0"/>
          <w:numId w:val="230"/>
        </w:numPr>
        <w:spacing w:after="120"/>
        <w:ind w:left="357" w:hanging="357"/>
        <w:contextualSpacing w:val="0"/>
        <w:jc w:val="both"/>
      </w:pPr>
      <w:r>
        <w:t>For combination NRT versus fast-acting NRT, only NRT patch + lozenge was shown to provide a significantly higher rate of long-term smoking cessation compared to fast-acting NRT alone. There were no statistically significant differences observed for the other types of combination NRT formulations (patch + gum, patch + nasal spray, patch + inhaler).</w:t>
      </w:r>
    </w:p>
    <w:p w14:paraId="205B3888" w14:textId="0B0B691B" w:rsidR="00D97DF0" w:rsidRDefault="00D97DF0" w:rsidP="007A2CD5">
      <w:pPr>
        <w:jc w:val="both"/>
      </w:pPr>
      <w:r>
        <w:t xml:space="preserve">For the comparison of combination NRT versus varenicline, </w:t>
      </w:r>
      <w:r w:rsidR="00200ED4">
        <w:t>combination NRT</w:t>
      </w:r>
      <w:r>
        <w:t xml:space="preserve"> </w:t>
      </w:r>
      <w:r w:rsidR="00476325">
        <w:t xml:space="preserve">(patch + lozenge) </w:t>
      </w:r>
      <w:r>
        <w:t xml:space="preserve">was shown to </w:t>
      </w:r>
      <w:r w:rsidR="0028131B">
        <w:t xml:space="preserve">be inferior to varenicline in terms of efficacy </w:t>
      </w:r>
      <w:r w:rsidR="00C66C11">
        <w:t xml:space="preserve">based on </w:t>
      </w:r>
      <w:r w:rsidR="00C66C11" w:rsidRPr="00C66C11">
        <w:t xml:space="preserve">a statistically significant difference in point prevalence abstinence at </w:t>
      </w:r>
      <w:r w:rsidR="00602CA6">
        <w:t>six</w:t>
      </w:r>
      <w:r w:rsidR="00C66C11" w:rsidRPr="00C66C11">
        <w:t xml:space="preserve"> months, in favour of varenicline</w:t>
      </w:r>
      <w:r w:rsidR="005D2E16">
        <w:t xml:space="preserve"> </w:t>
      </w:r>
      <w:r>
        <w:t>(</w:t>
      </w:r>
      <w:r w:rsidR="00DA5DB4">
        <w:t>Chen</w:t>
      </w:r>
      <w:r>
        <w:t xml:space="preserve"> et al. 20</w:t>
      </w:r>
      <w:r w:rsidR="00DA5DB4">
        <w:t>20</w:t>
      </w:r>
      <w:r w:rsidR="00D132D9">
        <w:t>; direct RCT</w:t>
      </w:r>
      <w:r>
        <w:t>).</w:t>
      </w:r>
      <w:r w:rsidRPr="006E67F0">
        <w:t xml:space="preserve"> </w:t>
      </w:r>
      <w:r w:rsidR="00D132D9">
        <w:t>In terms of safety</w:t>
      </w:r>
      <w:r w:rsidR="00B05DCD">
        <w:t>, there</w:t>
      </w:r>
      <w:r w:rsidR="00716099" w:rsidRPr="00C3176E">
        <w:t xml:space="preserve"> </w:t>
      </w:r>
      <w:r w:rsidR="00716099" w:rsidRPr="00642823">
        <w:t xml:space="preserve">were no statistically significant differences </w:t>
      </w:r>
      <w:r w:rsidR="00BD45BA" w:rsidRPr="00BD45BA">
        <w:t>across the key adverse events</w:t>
      </w:r>
      <w:r w:rsidR="00DF05A6">
        <w:t xml:space="preserve"> between the two treatment arms</w:t>
      </w:r>
      <w:r w:rsidR="00BD45BA" w:rsidRPr="00BD45BA">
        <w:t>, except for nausea and vivid dreams</w:t>
      </w:r>
      <w:r w:rsidR="00DF05A6">
        <w:t xml:space="preserve"> which were significantly higher in the varenicline arm</w:t>
      </w:r>
      <w:r w:rsidR="00BD45BA" w:rsidRPr="00BD45BA">
        <w:t>.</w:t>
      </w:r>
      <w:r w:rsidR="00716099">
        <w:t xml:space="preserve"> </w:t>
      </w:r>
      <w:r w:rsidR="00CF3EF6">
        <w:t>However, t</w:t>
      </w:r>
      <w:r w:rsidR="00CF3EF6" w:rsidRPr="00CF3EF6">
        <w:t xml:space="preserve">he results of the network meta-analysis </w:t>
      </w:r>
      <w:r w:rsidR="00CF3EF6">
        <w:t xml:space="preserve">by Cahill et al. (2013) </w:t>
      </w:r>
      <w:r w:rsidR="00CF3EF6" w:rsidRPr="00CF3EF6">
        <w:t>demonstrated no statistically significant difference</w:t>
      </w:r>
      <w:r w:rsidR="00DD6CED">
        <w:t xml:space="preserve"> in smoking </w:t>
      </w:r>
      <w:r w:rsidR="004531A1">
        <w:t>cessation rates</w:t>
      </w:r>
      <w:r w:rsidR="00CF3EF6" w:rsidRPr="00CF3EF6">
        <w:t xml:space="preserve"> between </w:t>
      </w:r>
      <w:r w:rsidR="00476325">
        <w:t>combination NRT and varenicline</w:t>
      </w:r>
      <w:r w:rsidR="00CF3EF6" w:rsidRPr="00CF3EF6">
        <w:t>, although the results numerically favoured varenicline</w:t>
      </w:r>
      <w:r w:rsidR="002E03FA">
        <w:t>, noting the type</w:t>
      </w:r>
      <w:r w:rsidR="006C333F">
        <w:t>s</w:t>
      </w:r>
      <w:r w:rsidR="002E03FA">
        <w:t xml:space="preserve"> of formulation</w:t>
      </w:r>
      <w:r w:rsidR="00EB5858">
        <w:t>s</w:t>
      </w:r>
      <w:r w:rsidR="002E03FA">
        <w:t xml:space="preserve"> used in the combination NRT treatment arm w</w:t>
      </w:r>
      <w:r w:rsidR="00AB4704">
        <w:t>ere</w:t>
      </w:r>
      <w:r w:rsidR="002E03FA">
        <w:t xml:space="preserve"> </w:t>
      </w:r>
      <w:r w:rsidR="00EB5858">
        <w:t xml:space="preserve">clinically </w:t>
      </w:r>
      <w:r w:rsidR="00B05DCD">
        <w:t>heterogeneous</w:t>
      </w:r>
      <w:r w:rsidR="00EB5858">
        <w:t>.</w:t>
      </w:r>
      <w:r w:rsidR="002E03FA">
        <w:t xml:space="preserve"> </w:t>
      </w:r>
      <w:r w:rsidR="003A1F0A" w:rsidRPr="003A1F0A">
        <w:t xml:space="preserve">The results of the network meta-analysis should be interpreted with caution </w:t>
      </w:r>
      <w:r w:rsidR="003A1F0A">
        <w:t>due to</w:t>
      </w:r>
      <w:r w:rsidR="003A1F0A" w:rsidRPr="003A1F0A">
        <w:t xml:space="preserve"> potential biases and uncertainties </w:t>
      </w:r>
      <w:r w:rsidR="003A1F0A">
        <w:t>arising from</w:t>
      </w:r>
      <w:r w:rsidR="003A1F0A" w:rsidRPr="003A1F0A">
        <w:t xml:space="preserve"> heterogeneity and inconsistent outcomes between studies</w:t>
      </w:r>
      <w:r w:rsidR="003A1F0A">
        <w:t>.</w:t>
      </w:r>
    </w:p>
    <w:p w14:paraId="2B37D567" w14:textId="1A9685A4" w:rsidR="00FA0F4E" w:rsidRDefault="00FA0F4E" w:rsidP="007A2CD5">
      <w:pPr>
        <w:spacing w:after="120"/>
        <w:jc w:val="both"/>
      </w:pPr>
      <w:r>
        <w:t>For the comparison of combination NRT versus bupropion,</w:t>
      </w:r>
      <w:r w:rsidR="00B60DB8" w:rsidRPr="00B60DB8">
        <w:t xml:space="preserve"> the results of the network meta-analysis by Cahill et al. (2013) demonstrated </w:t>
      </w:r>
      <w:r w:rsidR="00BF28EE">
        <w:t xml:space="preserve">a </w:t>
      </w:r>
      <w:r w:rsidR="00BF28EE" w:rsidRPr="00BF28EE">
        <w:t>statistically significant difference</w:t>
      </w:r>
      <w:r w:rsidR="00BF28EE">
        <w:t xml:space="preserve"> in smoking cessation rates</w:t>
      </w:r>
      <w:r w:rsidR="00BF28EE" w:rsidRPr="00BF28EE">
        <w:t xml:space="preserve"> between the two treatment arms, in favour of combination NRT</w:t>
      </w:r>
      <w:r w:rsidR="00497485">
        <w:t xml:space="preserve"> (no direct RCT was identified for this comparison).</w:t>
      </w:r>
      <w:r w:rsidR="00F226DA" w:rsidRPr="00F226DA">
        <w:t xml:space="preserve"> </w:t>
      </w:r>
      <w:r w:rsidR="005A2BFE">
        <w:t xml:space="preserve">Similarly, </w:t>
      </w:r>
      <w:r w:rsidR="00E44386" w:rsidRPr="00E44386">
        <w:t>th</w:t>
      </w:r>
      <w:r w:rsidR="00E44386">
        <w:t>is</w:t>
      </w:r>
      <w:r w:rsidR="00E44386" w:rsidRPr="00E44386">
        <w:t xml:space="preserve"> result should be interpreted with caution </w:t>
      </w:r>
      <w:r w:rsidR="00E44386">
        <w:t>due to the general limitation</w:t>
      </w:r>
      <w:r w:rsidR="00924E2A">
        <w:t>s</w:t>
      </w:r>
      <w:r w:rsidR="00E44386">
        <w:t xml:space="preserve"> of network meta-analyses and</w:t>
      </w:r>
      <w:r w:rsidR="005A2BFE">
        <w:t xml:space="preserve"> </w:t>
      </w:r>
      <w:r w:rsidR="005A2BFE" w:rsidRPr="005A2BFE">
        <w:t>the type</w:t>
      </w:r>
      <w:r w:rsidR="00EB5858">
        <w:t>s</w:t>
      </w:r>
      <w:r w:rsidR="005A2BFE" w:rsidRPr="005A2BFE">
        <w:t xml:space="preserve"> of formulation</w:t>
      </w:r>
      <w:r w:rsidR="00EB5858">
        <w:t>s</w:t>
      </w:r>
      <w:r w:rsidR="005A2BFE" w:rsidRPr="005A2BFE">
        <w:t xml:space="preserve"> used in the combination NRT treatment arm w</w:t>
      </w:r>
      <w:r w:rsidR="00AB4704">
        <w:t>ere</w:t>
      </w:r>
      <w:r w:rsidR="005A2BFE" w:rsidRPr="005A2BFE">
        <w:t xml:space="preserve"> </w:t>
      </w:r>
      <w:r w:rsidR="00EB5858">
        <w:t xml:space="preserve">clinically </w:t>
      </w:r>
      <w:r w:rsidR="00B05DCD">
        <w:t>heterogeneous</w:t>
      </w:r>
      <w:r w:rsidR="00C45BC7">
        <w:t xml:space="preserve">. </w:t>
      </w:r>
    </w:p>
    <w:p w14:paraId="6F7F3075" w14:textId="4C899549" w:rsidR="009D2746" w:rsidRPr="003045D2" w:rsidRDefault="009D2746" w:rsidP="007A2CD5">
      <w:pPr>
        <w:spacing w:after="120"/>
        <w:jc w:val="both"/>
        <w:rPr>
          <w:b/>
          <w:bCs/>
        </w:rPr>
      </w:pPr>
      <w:r w:rsidRPr="003045D2">
        <w:rPr>
          <w:b/>
          <w:bCs/>
        </w:rPr>
        <w:t xml:space="preserve">Combination </w:t>
      </w:r>
      <w:r w:rsidR="00503D09">
        <w:rPr>
          <w:b/>
          <w:bCs/>
        </w:rPr>
        <w:t>varenicline</w:t>
      </w:r>
    </w:p>
    <w:p w14:paraId="7D72D93C" w14:textId="77777777" w:rsidR="009D2746" w:rsidRDefault="009D2746" w:rsidP="007A2CD5">
      <w:pPr>
        <w:spacing w:after="120"/>
        <w:jc w:val="both"/>
        <w:rPr>
          <w:i/>
          <w:iCs/>
        </w:rPr>
      </w:pPr>
      <w:r w:rsidRPr="003045D2">
        <w:rPr>
          <w:i/>
          <w:iCs/>
        </w:rPr>
        <w:t>Treatment-naïve population</w:t>
      </w:r>
    </w:p>
    <w:p w14:paraId="5EDBB932" w14:textId="42DE2341" w:rsidR="00503D09" w:rsidRDefault="00503D09" w:rsidP="007A2CD5">
      <w:pPr>
        <w:spacing w:after="120"/>
        <w:jc w:val="both"/>
      </w:pPr>
      <w:r>
        <w:t>Based on the evidence presented (Chang</w:t>
      </w:r>
      <w:r w:rsidRPr="00C32913">
        <w:t xml:space="preserve"> et al. 201</w:t>
      </w:r>
      <w:r>
        <w:t xml:space="preserve">5), varenicline in combination with NRT patch was shown to provide a statistically significant improvement in long-term smoking cessation rates compared with varenicline alone, noting that the results were no longer significant after </w:t>
      </w:r>
      <w:r w:rsidRPr="00503D09">
        <w:t>excluding one RCT (Koegelenberg et al. 2014) identified to be different in study design (pre-cessation treatment with patch) and participant characteristics (more females than males).</w:t>
      </w:r>
      <w:r>
        <w:t xml:space="preserve"> T</w:t>
      </w:r>
      <w:r w:rsidRPr="00503D09">
        <w:t xml:space="preserve">here were no statistically significant differences between varenicline plus NRT patch and varenicline alone in terms of nausea, insomnia, abnormal </w:t>
      </w:r>
      <w:r w:rsidR="00826C95" w:rsidRPr="00503D09">
        <w:t>dreams,</w:t>
      </w:r>
      <w:r w:rsidRPr="00503D09">
        <w:t xml:space="preserve"> or headache</w:t>
      </w:r>
      <w:r w:rsidR="00825575">
        <w:t>.</w:t>
      </w:r>
    </w:p>
    <w:p w14:paraId="2E675511" w14:textId="3B862770" w:rsidR="00921C7A" w:rsidRDefault="00D44180" w:rsidP="007A2CD5">
      <w:pPr>
        <w:spacing w:after="120"/>
        <w:jc w:val="both"/>
      </w:pPr>
      <w:r>
        <w:lastRenderedPageBreak/>
        <w:t xml:space="preserve">For the comparison of varenicline in combination with bupropion versus varenicline alone, </w:t>
      </w:r>
      <w:r w:rsidR="00280C6A" w:rsidRPr="00280C6A">
        <w:t xml:space="preserve">there were no statistically significant differences </w:t>
      </w:r>
      <w:r w:rsidR="00FF3E98">
        <w:t xml:space="preserve">in </w:t>
      </w:r>
      <w:r w:rsidR="00123ACB">
        <w:t>long-term smoking cessation rates</w:t>
      </w:r>
      <w:r w:rsidR="00FF3E98">
        <w:t xml:space="preserve"> between the two treatment</w:t>
      </w:r>
      <w:r w:rsidR="00B97CF5">
        <w:t>s</w:t>
      </w:r>
      <w:r w:rsidR="00921C7A">
        <w:t xml:space="preserve"> (Howes et al. 2020). </w:t>
      </w:r>
      <w:r w:rsidR="007515FB">
        <w:t>While</w:t>
      </w:r>
      <w:r w:rsidR="002632F4">
        <w:t xml:space="preserve"> </w:t>
      </w:r>
      <w:r w:rsidR="002632F4" w:rsidRPr="00F226DA">
        <w:t>a significantly higher proportion of patients in the varenicline plus bupropion arm experienc</w:t>
      </w:r>
      <w:r w:rsidR="00E70292">
        <w:t>ed</w:t>
      </w:r>
      <w:r w:rsidR="002632F4" w:rsidRPr="00F226DA">
        <w:t xml:space="preserve"> any adverse events and psychiatric adverse events compared with patients in the varenicline alone arm</w:t>
      </w:r>
      <w:r w:rsidR="001C4AC9">
        <w:t>, t</w:t>
      </w:r>
      <w:r w:rsidR="002632F4" w:rsidRPr="00F226DA">
        <w:t>here were no statistically significant differences in serious adverse events and discontinuation due to adverse events.</w:t>
      </w:r>
    </w:p>
    <w:p w14:paraId="4DE1CE6B" w14:textId="1487BEEE" w:rsidR="00AC109C" w:rsidRPr="003045D2" w:rsidRDefault="00AC109C" w:rsidP="00CC0CCE">
      <w:pPr>
        <w:spacing w:after="120"/>
        <w:jc w:val="both"/>
        <w:rPr>
          <w:b/>
          <w:bCs/>
        </w:rPr>
      </w:pPr>
      <w:r w:rsidRPr="003045D2">
        <w:rPr>
          <w:b/>
          <w:bCs/>
        </w:rPr>
        <w:t xml:space="preserve">Combination </w:t>
      </w:r>
      <w:r>
        <w:rPr>
          <w:b/>
          <w:bCs/>
        </w:rPr>
        <w:t>bupropion</w:t>
      </w:r>
    </w:p>
    <w:p w14:paraId="6AB8CA17" w14:textId="77777777" w:rsidR="00AC109C" w:rsidRDefault="00AC109C" w:rsidP="00CC0CCE">
      <w:pPr>
        <w:spacing w:after="120"/>
        <w:jc w:val="both"/>
        <w:rPr>
          <w:i/>
          <w:iCs/>
        </w:rPr>
      </w:pPr>
      <w:r w:rsidRPr="003045D2">
        <w:rPr>
          <w:i/>
          <w:iCs/>
        </w:rPr>
        <w:t>Treatment-naïve population</w:t>
      </w:r>
    </w:p>
    <w:p w14:paraId="788B36AD" w14:textId="71E2A837" w:rsidR="002D649F" w:rsidRDefault="00EB0810" w:rsidP="00CC0CCE">
      <w:pPr>
        <w:spacing w:after="120"/>
        <w:jc w:val="both"/>
      </w:pPr>
      <w:r>
        <w:t xml:space="preserve">Based on the evidence presented </w:t>
      </w:r>
      <w:r w:rsidR="00CC0CCE">
        <w:t xml:space="preserve">in </w:t>
      </w:r>
      <w:r>
        <w:t xml:space="preserve">Howes </w:t>
      </w:r>
      <w:r w:rsidRPr="00C32913">
        <w:t>et al. 20</w:t>
      </w:r>
      <w:r>
        <w:t xml:space="preserve">20, </w:t>
      </w:r>
      <w:r w:rsidR="00736629" w:rsidRPr="00736629">
        <w:t xml:space="preserve">there were no statistically significant differences </w:t>
      </w:r>
      <w:r w:rsidR="00736629">
        <w:t xml:space="preserve">in long-term smoking cessation rates between </w:t>
      </w:r>
      <w:r w:rsidR="0065713F">
        <w:t xml:space="preserve">bupropion in combination with NRT </w:t>
      </w:r>
      <w:r w:rsidR="00736629">
        <w:t>and</w:t>
      </w:r>
      <w:r w:rsidR="002D649F">
        <w:t xml:space="preserve"> NRT alone </w:t>
      </w:r>
      <w:r w:rsidR="002D649F" w:rsidRPr="002D649F">
        <w:t>(</w:t>
      </w:r>
      <w:r w:rsidR="00302F73">
        <w:t xml:space="preserve">either as </w:t>
      </w:r>
      <w:r w:rsidR="002D649F" w:rsidRPr="002D649F">
        <w:t xml:space="preserve">patch, </w:t>
      </w:r>
      <w:r w:rsidR="00826C95" w:rsidRPr="002D649F">
        <w:t>lozenge,</w:t>
      </w:r>
      <w:r w:rsidR="002D649F" w:rsidRPr="002D649F">
        <w:t xml:space="preserve"> or choice of NRT)</w:t>
      </w:r>
      <w:r w:rsidR="00302F73">
        <w:t xml:space="preserve">. </w:t>
      </w:r>
      <w:r w:rsidR="0079080C">
        <w:t>While</w:t>
      </w:r>
      <w:r w:rsidR="00302F73">
        <w:t xml:space="preserve"> a</w:t>
      </w:r>
      <w:r w:rsidR="00302F73" w:rsidRPr="00302F73">
        <w:t xml:space="preserve"> significantly higher proportion of patients in the bupropion plus NRT arm experienc</w:t>
      </w:r>
      <w:r w:rsidR="00E70292">
        <w:t>ed</w:t>
      </w:r>
      <w:r w:rsidR="00302F73" w:rsidRPr="00302F73">
        <w:t xml:space="preserve"> any adverse events compared with patients in the NRT alone arm</w:t>
      </w:r>
      <w:r w:rsidR="001C4AC9">
        <w:t>, t</w:t>
      </w:r>
      <w:r w:rsidR="00302F73" w:rsidRPr="00302F73">
        <w:t>here were no statistically significant differences in serious adverse events and discontinuation due to adverse events.</w:t>
      </w:r>
    </w:p>
    <w:p w14:paraId="1C188E8C" w14:textId="474A4C36" w:rsidR="008E0B29" w:rsidRDefault="008E0B29" w:rsidP="00CC0CCE">
      <w:pPr>
        <w:spacing w:after="120"/>
        <w:jc w:val="both"/>
        <w:rPr>
          <w:i/>
          <w:iCs/>
        </w:rPr>
      </w:pPr>
      <w:r w:rsidRPr="003045D2">
        <w:rPr>
          <w:i/>
          <w:iCs/>
        </w:rPr>
        <w:t>Treatment-</w:t>
      </w:r>
      <w:r>
        <w:rPr>
          <w:i/>
          <w:iCs/>
        </w:rPr>
        <w:t>experienced</w:t>
      </w:r>
      <w:r w:rsidRPr="003045D2">
        <w:rPr>
          <w:i/>
          <w:iCs/>
        </w:rPr>
        <w:t xml:space="preserve"> population</w:t>
      </w:r>
    </w:p>
    <w:p w14:paraId="4ABA158B" w14:textId="68087744" w:rsidR="003045D2" w:rsidRPr="003045D2" w:rsidRDefault="00E44A3B" w:rsidP="00CC0CCE">
      <w:pPr>
        <w:spacing w:after="120"/>
        <w:jc w:val="both"/>
      </w:pPr>
      <w:r>
        <w:t xml:space="preserve">Based on the evidence presented </w:t>
      </w:r>
      <w:r w:rsidR="00CC0CCE">
        <w:t xml:space="preserve">in </w:t>
      </w:r>
      <w:r>
        <w:t xml:space="preserve">Livingstone-Banks </w:t>
      </w:r>
      <w:r w:rsidRPr="00C32913">
        <w:t>et al. 20</w:t>
      </w:r>
      <w:r>
        <w:t xml:space="preserve">19, </w:t>
      </w:r>
      <w:r w:rsidR="00736629" w:rsidRPr="00736629">
        <w:t xml:space="preserve">there were no statistically significant differences </w:t>
      </w:r>
      <w:r w:rsidR="00736629">
        <w:t xml:space="preserve">in long-term smoking cessation rates between </w:t>
      </w:r>
      <w:r>
        <w:t xml:space="preserve">bupropion in combination with NRT </w:t>
      </w:r>
      <w:r w:rsidR="002A765E">
        <w:t>(</w:t>
      </w:r>
      <w:r w:rsidR="00736629">
        <w:t xml:space="preserve">either as </w:t>
      </w:r>
      <w:r w:rsidR="002A765E">
        <w:t>gum</w:t>
      </w:r>
      <w:r w:rsidR="00736629">
        <w:t xml:space="preserve"> or</w:t>
      </w:r>
      <w:r w:rsidR="002A765E">
        <w:t xml:space="preserve"> inhaler)</w:t>
      </w:r>
      <w:r>
        <w:t xml:space="preserve"> </w:t>
      </w:r>
      <w:r w:rsidR="008D25B2">
        <w:t>and</w:t>
      </w:r>
      <w:r>
        <w:t xml:space="preserve"> placebo</w:t>
      </w:r>
      <w:r w:rsidDel="008D25B2">
        <w:t xml:space="preserve"> </w:t>
      </w:r>
      <w:r>
        <w:t>as a</w:t>
      </w:r>
      <w:r w:rsidRPr="0068629C">
        <w:t xml:space="preserve"> relapse prevention</w:t>
      </w:r>
      <w:r>
        <w:t xml:space="preserve"> treatment in abstainers</w:t>
      </w:r>
      <w:r w:rsidR="00A72A5B">
        <w:t>.</w:t>
      </w:r>
      <w:r w:rsidR="00857080">
        <w:t xml:space="preserve"> The safety of</w:t>
      </w:r>
      <w:r w:rsidR="00857080" w:rsidRPr="00436A90">
        <w:t xml:space="preserve"> </w:t>
      </w:r>
      <w:r w:rsidR="00FF45F3">
        <w:t xml:space="preserve">bupropion in combination with NRT </w:t>
      </w:r>
      <w:r w:rsidR="00857080">
        <w:t>versus</w:t>
      </w:r>
      <w:r w:rsidR="00FF45F3">
        <w:t xml:space="preserve"> </w:t>
      </w:r>
      <w:r w:rsidR="00857080" w:rsidRPr="00436A90">
        <w:t>placebo in abstainers for relapse prevention was not assessed by Livingstone-Banks et al. (2019)</w:t>
      </w:r>
      <w:r w:rsidR="00055555">
        <w:t xml:space="preserve"> and Croghan et al. (2007), </w:t>
      </w:r>
      <w:r w:rsidR="00055555" w:rsidRPr="008B3AD3">
        <w:t>however the adverse events reported were consistent with those expected of bupropion</w:t>
      </w:r>
      <w:r w:rsidR="00055555" w:rsidRPr="00055555">
        <w:t xml:space="preserve"> and</w:t>
      </w:r>
      <w:r w:rsidR="00055555">
        <w:t xml:space="preserve"> NRT</w:t>
      </w:r>
      <w:r w:rsidR="00857080" w:rsidRPr="00436A90">
        <w:t>.</w:t>
      </w:r>
    </w:p>
    <w:p w14:paraId="75BE3484" w14:textId="77777777" w:rsidR="00503E62" w:rsidRDefault="00503E62" w:rsidP="00611F34"/>
    <w:p w14:paraId="1C186BB1" w14:textId="6F10E215" w:rsidR="00503E62" w:rsidRDefault="00503E62" w:rsidP="00611F34">
      <w:pPr>
        <w:sectPr w:rsidR="00503E62" w:rsidSect="006356D2">
          <w:pgSz w:w="11906" w:h="16838"/>
          <w:pgMar w:top="1440" w:right="1440" w:bottom="1440" w:left="1440" w:header="708" w:footer="708" w:gutter="0"/>
          <w:cols w:space="708"/>
          <w:titlePg/>
          <w:docGrid w:linePitch="360"/>
        </w:sectPr>
      </w:pPr>
    </w:p>
    <w:p w14:paraId="3C332968" w14:textId="50FB1653" w:rsidR="00C14DDE" w:rsidRDefault="00C14DDE" w:rsidP="00CC0CCE">
      <w:pPr>
        <w:pStyle w:val="Heading3"/>
        <w:spacing w:before="0" w:after="120"/>
        <w:jc w:val="both"/>
      </w:pPr>
      <w:bookmarkStart w:id="146" w:name="_Ref54623019"/>
      <w:bookmarkStart w:id="147" w:name="_Toc115254513"/>
      <w:r>
        <w:lastRenderedPageBreak/>
        <w:t>NRT dose, dosage form and length of therapy</w:t>
      </w:r>
      <w:bookmarkEnd w:id="146"/>
      <w:bookmarkEnd w:id="147"/>
    </w:p>
    <w:p w14:paraId="63C3333D" w14:textId="6FE66E60" w:rsidR="000D7519" w:rsidRDefault="00050691" w:rsidP="00CC0CCE">
      <w:pPr>
        <w:spacing w:after="120"/>
        <w:jc w:val="both"/>
      </w:pPr>
      <w:r>
        <w:t>Th</w:t>
      </w:r>
      <w:r w:rsidR="002C1C20">
        <w:t>e aim of this</w:t>
      </w:r>
      <w:r>
        <w:t xml:space="preserve"> section</w:t>
      </w:r>
      <w:r w:rsidR="00804397">
        <w:t xml:space="preserve"> </w:t>
      </w:r>
      <w:r w:rsidR="002C1C20">
        <w:t>was</w:t>
      </w:r>
      <w:r w:rsidR="00804397">
        <w:t xml:space="preserve"> to examine the efficacy and safety of NRT with respect to dose, dosage form</w:t>
      </w:r>
      <w:r>
        <w:t xml:space="preserve"> and</w:t>
      </w:r>
      <w:r w:rsidR="00804397">
        <w:t xml:space="preserve"> length of therapy.</w:t>
      </w:r>
      <w:r>
        <w:t xml:space="preserve"> T</w:t>
      </w:r>
      <w:r w:rsidR="00804397">
        <w:t xml:space="preserve">he efficacy and safety of NRT </w:t>
      </w:r>
      <w:r w:rsidR="001E6267">
        <w:t xml:space="preserve">as </w:t>
      </w:r>
      <w:r w:rsidR="006C0C36">
        <w:t>monotherapy</w:t>
      </w:r>
      <w:r w:rsidR="00240CD3">
        <w:t xml:space="preserve"> (</w:t>
      </w:r>
      <w:r w:rsidR="00804397">
        <w:t>PBS-</w:t>
      </w:r>
      <w:r w:rsidR="00181AF1">
        <w:t>listed)</w:t>
      </w:r>
      <w:r w:rsidR="00804397">
        <w:t xml:space="preserve"> and combination therapy</w:t>
      </w:r>
      <w:r>
        <w:t xml:space="preserve"> have been summarised in Section </w:t>
      </w:r>
      <w:r w:rsidR="00CC0CCE">
        <w:t>3.1.10</w:t>
      </w:r>
      <w:r>
        <w:t xml:space="preserve"> and Section</w:t>
      </w:r>
      <w:r w:rsidR="00CC0CCE">
        <w:t xml:space="preserve"> 3.1.11</w:t>
      </w:r>
      <w:r w:rsidR="00804397">
        <w:t>.</w:t>
      </w:r>
    </w:p>
    <w:p w14:paraId="2577742A" w14:textId="0AE1BD76" w:rsidR="000D7519" w:rsidRDefault="000D7519" w:rsidP="00CC0CCE">
      <w:pPr>
        <w:spacing w:after="120"/>
        <w:jc w:val="both"/>
      </w:pPr>
      <w:r w:rsidRPr="000D7519">
        <w:t xml:space="preserve">A summary of new evidence identified comparing </w:t>
      </w:r>
      <w:r>
        <w:t xml:space="preserve">different NRT dose, dosage form, and </w:t>
      </w:r>
      <w:r w:rsidR="000A088E">
        <w:t>length of therapy</w:t>
      </w:r>
      <w:r>
        <w:t xml:space="preserve"> </w:t>
      </w:r>
      <w:r w:rsidRPr="000D7519">
        <w:t>is presented</w:t>
      </w:r>
      <w:r w:rsidR="000A088E">
        <w:t xml:space="preserve"> in </w:t>
      </w:r>
      <w:r w:rsidR="000A088E">
        <w:fldChar w:fldCharType="begin" w:fldLock="1"/>
      </w:r>
      <w:r w:rsidR="000A088E">
        <w:instrText xml:space="preserve"> REF _Ref61858833 \h </w:instrText>
      </w:r>
      <w:r w:rsidR="000A088E">
        <w:fldChar w:fldCharType="separate"/>
      </w:r>
      <w:r w:rsidR="00EC5CC7">
        <w:t xml:space="preserve">Table </w:t>
      </w:r>
      <w:r w:rsidR="00EC5CC7">
        <w:rPr>
          <w:noProof/>
        </w:rPr>
        <w:t>81</w:t>
      </w:r>
      <w:r w:rsidR="000A088E">
        <w:fldChar w:fldCharType="end"/>
      </w:r>
      <w:r w:rsidR="000A088E">
        <w:t>.</w:t>
      </w:r>
    </w:p>
    <w:p w14:paraId="250DE41E" w14:textId="6913D713" w:rsidR="0049696D" w:rsidRDefault="0049696D" w:rsidP="00CC0CCE">
      <w:pPr>
        <w:pStyle w:val="Caption"/>
        <w:keepNext/>
        <w:spacing w:before="0" w:after="120"/>
        <w:jc w:val="both"/>
      </w:pPr>
      <w:bookmarkStart w:id="148" w:name="_Ref61858833"/>
      <w:r>
        <w:t xml:space="preserve">Table </w:t>
      </w:r>
      <w:r w:rsidR="00BF3F75">
        <w:fldChar w:fldCharType="begin"/>
      </w:r>
      <w:r w:rsidR="00BF3F75">
        <w:instrText xml:space="preserve"> SEQ Table \* ARABIC </w:instrText>
      </w:r>
      <w:r w:rsidR="00BF3F75">
        <w:fldChar w:fldCharType="separate"/>
      </w:r>
      <w:r w:rsidR="00EC5CC7">
        <w:rPr>
          <w:noProof/>
        </w:rPr>
        <w:t>81</w:t>
      </w:r>
      <w:r w:rsidR="00BF3F75">
        <w:rPr>
          <w:noProof/>
        </w:rPr>
        <w:fldChar w:fldCharType="end"/>
      </w:r>
      <w:bookmarkEnd w:id="148"/>
      <w:r>
        <w:t xml:space="preserve">: </w:t>
      </w:r>
      <w:r w:rsidRPr="00067364">
        <w:t xml:space="preserve">New evidence identified comparing </w:t>
      </w:r>
      <w:r w:rsidR="000A088E">
        <w:t>different NRT dose, dosage form, and length of therapy</w:t>
      </w:r>
    </w:p>
    <w:tbl>
      <w:tblPr>
        <w:tblStyle w:val="TableGrid"/>
        <w:tblW w:w="5000" w:type="pct"/>
        <w:tblLook w:val="04A0" w:firstRow="1" w:lastRow="0" w:firstColumn="1" w:lastColumn="0" w:noHBand="0" w:noVBand="1"/>
      </w:tblPr>
      <w:tblGrid>
        <w:gridCol w:w="2971"/>
        <w:gridCol w:w="3403"/>
        <w:gridCol w:w="2642"/>
      </w:tblGrid>
      <w:tr w:rsidR="00CD079A" w14:paraId="446B5AB7" w14:textId="77777777" w:rsidTr="00121A5E">
        <w:trPr>
          <w:trHeight w:val="241"/>
        </w:trPr>
        <w:tc>
          <w:tcPr>
            <w:tcW w:w="1648" w:type="pct"/>
            <w:shd w:val="clear" w:color="auto" w:fill="BFBFBF" w:themeFill="background1" w:themeFillShade="BF"/>
          </w:tcPr>
          <w:p w14:paraId="492D6EB9" w14:textId="7FE0EDDD" w:rsidR="00CD079A" w:rsidRDefault="00CD079A" w:rsidP="00D10504">
            <w:pPr>
              <w:pStyle w:val="Tableheading"/>
              <w:keepNext/>
              <w:jc w:val="center"/>
            </w:pPr>
          </w:p>
        </w:tc>
        <w:tc>
          <w:tcPr>
            <w:tcW w:w="1887" w:type="pct"/>
            <w:shd w:val="clear" w:color="auto" w:fill="BFBFBF" w:themeFill="background1" w:themeFillShade="BF"/>
          </w:tcPr>
          <w:p w14:paraId="6EFD9B7A" w14:textId="77777777" w:rsidR="00CD079A" w:rsidRDefault="00CD079A" w:rsidP="00D10504">
            <w:pPr>
              <w:pStyle w:val="Tableheading"/>
              <w:keepNext/>
              <w:jc w:val="center"/>
            </w:pPr>
            <w:r>
              <w:t>New evidence identified</w:t>
            </w:r>
          </w:p>
          <w:p w14:paraId="12428338" w14:textId="77777777" w:rsidR="00CD079A" w:rsidRDefault="00CD079A" w:rsidP="00D10504">
            <w:pPr>
              <w:pStyle w:val="Tableheading"/>
              <w:keepNext/>
              <w:jc w:val="center"/>
            </w:pPr>
            <w:r>
              <w:t>(Cochrane Review)</w:t>
            </w:r>
          </w:p>
        </w:tc>
        <w:tc>
          <w:tcPr>
            <w:tcW w:w="1465" w:type="pct"/>
            <w:shd w:val="clear" w:color="auto" w:fill="BFBFBF" w:themeFill="background1" w:themeFillShade="BF"/>
          </w:tcPr>
          <w:p w14:paraId="1CB0C467" w14:textId="77777777" w:rsidR="00CD079A" w:rsidRDefault="00CD079A" w:rsidP="00D10504">
            <w:pPr>
              <w:pStyle w:val="Tableheading"/>
              <w:keepNext/>
              <w:jc w:val="center"/>
            </w:pPr>
            <w:r>
              <w:t>Additional empirical evidence identified</w:t>
            </w:r>
          </w:p>
        </w:tc>
      </w:tr>
      <w:tr w:rsidR="00CD079A" w14:paraId="2A2E6C45" w14:textId="77777777" w:rsidTr="00121A5E">
        <w:tc>
          <w:tcPr>
            <w:tcW w:w="1648" w:type="pct"/>
          </w:tcPr>
          <w:p w14:paraId="45174A79" w14:textId="2C898343" w:rsidR="00CD079A" w:rsidRDefault="00CD079A" w:rsidP="00D10504">
            <w:pPr>
              <w:pStyle w:val="Tablewriting"/>
              <w:keepNext/>
            </w:pPr>
            <w:r>
              <w:t>NRT dose</w:t>
            </w:r>
          </w:p>
        </w:tc>
        <w:tc>
          <w:tcPr>
            <w:tcW w:w="1887" w:type="pct"/>
          </w:tcPr>
          <w:p w14:paraId="2990E73D" w14:textId="72B4EC4D" w:rsidR="00CD079A" w:rsidRDefault="00CD079A" w:rsidP="00D10504">
            <w:pPr>
              <w:pStyle w:val="Tablewriting"/>
              <w:keepNext/>
            </w:pPr>
            <w:r>
              <w:t>Lindson (2019)</w:t>
            </w:r>
          </w:p>
        </w:tc>
        <w:tc>
          <w:tcPr>
            <w:tcW w:w="1465" w:type="pct"/>
          </w:tcPr>
          <w:p w14:paraId="3703DC7D" w14:textId="73379D94" w:rsidR="00CD079A" w:rsidRDefault="007E3B1A" w:rsidP="00D10504">
            <w:pPr>
              <w:pStyle w:val="Tablewriting"/>
              <w:keepNext/>
            </w:pPr>
            <w:r>
              <w:t>None identified</w:t>
            </w:r>
          </w:p>
        </w:tc>
      </w:tr>
      <w:tr w:rsidR="00CD079A" w14:paraId="7AFB6F73" w14:textId="77777777" w:rsidTr="00121A5E">
        <w:tc>
          <w:tcPr>
            <w:tcW w:w="1648" w:type="pct"/>
          </w:tcPr>
          <w:p w14:paraId="5B8076BD" w14:textId="39050D53" w:rsidR="00CD079A" w:rsidRDefault="00CD079A" w:rsidP="00D10504">
            <w:pPr>
              <w:pStyle w:val="Tablewriting"/>
              <w:keepNext/>
            </w:pPr>
            <w:r>
              <w:t>Length of therapy</w:t>
            </w:r>
          </w:p>
        </w:tc>
        <w:tc>
          <w:tcPr>
            <w:tcW w:w="1887" w:type="pct"/>
          </w:tcPr>
          <w:p w14:paraId="6A580913" w14:textId="55189DD9" w:rsidR="00CD079A" w:rsidRDefault="007E3B1A" w:rsidP="00D10504">
            <w:pPr>
              <w:pStyle w:val="Tablewriting"/>
              <w:keepNext/>
            </w:pPr>
            <w:r>
              <w:t>Lindson (2019)</w:t>
            </w:r>
          </w:p>
        </w:tc>
        <w:tc>
          <w:tcPr>
            <w:tcW w:w="1465" w:type="pct"/>
          </w:tcPr>
          <w:p w14:paraId="4E6104A1" w14:textId="39DA107E" w:rsidR="00CD079A" w:rsidRPr="0042494A" w:rsidRDefault="007E3B1A" w:rsidP="00D10504">
            <w:pPr>
              <w:pStyle w:val="Tablewriting"/>
              <w:keepNext/>
            </w:pPr>
            <w:r w:rsidRPr="0042494A">
              <w:t>Ellerbeck (2018)</w:t>
            </w:r>
          </w:p>
        </w:tc>
      </w:tr>
      <w:tr w:rsidR="00CD079A" w14:paraId="6F890491" w14:textId="77777777" w:rsidTr="00121A5E">
        <w:tc>
          <w:tcPr>
            <w:tcW w:w="1648" w:type="pct"/>
          </w:tcPr>
          <w:p w14:paraId="707E6542" w14:textId="41AC06AE" w:rsidR="00CD079A" w:rsidRDefault="00CD079A" w:rsidP="00D10504">
            <w:pPr>
              <w:pStyle w:val="Tablewriting"/>
              <w:keepNext/>
            </w:pPr>
            <w:r>
              <w:t>Dosing schedule</w:t>
            </w:r>
          </w:p>
        </w:tc>
        <w:tc>
          <w:tcPr>
            <w:tcW w:w="1887" w:type="pct"/>
          </w:tcPr>
          <w:p w14:paraId="3BFF9627" w14:textId="5731B65F" w:rsidR="00CD079A" w:rsidRPr="0012484D" w:rsidRDefault="007E3B1A" w:rsidP="00D10504">
            <w:pPr>
              <w:pStyle w:val="Tablewriting"/>
              <w:keepNext/>
            </w:pPr>
            <w:r>
              <w:t>Lindson (2019), Lindson (2019b)</w:t>
            </w:r>
          </w:p>
        </w:tc>
        <w:tc>
          <w:tcPr>
            <w:tcW w:w="1465" w:type="pct"/>
          </w:tcPr>
          <w:p w14:paraId="573035B3" w14:textId="33683190" w:rsidR="00CD079A" w:rsidRDefault="007E3B1A" w:rsidP="00D10504">
            <w:pPr>
              <w:pStyle w:val="Tablewriting"/>
              <w:keepNext/>
            </w:pPr>
            <w:r>
              <w:t>Dedert (2018)</w:t>
            </w:r>
          </w:p>
        </w:tc>
      </w:tr>
      <w:tr w:rsidR="00CD079A" w14:paraId="5B4F1E46" w14:textId="77777777" w:rsidTr="00121A5E">
        <w:tc>
          <w:tcPr>
            <w:tcW w:w="1648" w:type="pct"/>
          </w:tcPr>
          <w:p w14:paraId="53ED8B20" w14:textId="7BBDC7D9" w:rsidR="00CD079A" w:rsidRDefault="00CD079A" w:rsidP="00D10504">
            <w:pPr>
              <w:pStyle w:val="Tablewriting"/>
              <w:keepNext/>
            </w:pPr>
            <w:r>
              <w:t>Non-PBS listed NRT dosage form</w:t>
            </w:r>
            <w:r w:rsidR="00121A5E">
              <w:t>s</w:t>
            </w:r>
          </w:p>
        </w:tc>
        <w:tc>
          <w:tcPr>
            <w:tcW w:w="1887" w:type="pct"/>
          </w:tcPr>
          <w:p w14:paraId="5AFF1E52" w14:textId="2AB6D491" w:rsidR="00CD079A" w:rsidRPr="0042494A" w:rsidRDefault="007E3B1A" w:rsidP="00D10504">
            <w:pPr>
              <w:pStyle w:val="Tablewriting"/>
              <w:keepNext/>
            </w:pPr>
            <w:r>
              <w:t>Hartmann-Boyce (2018), Lindson (2019)</w:t>
            </w:r>
          </w:p>
        </w:tc>
        <w:tc>
          <w:tcPr>
            <w:tcW w:w="1465" w:type="pct"/>
          </w:tcPr>
          <w:p w14:paraId="083B0583" w14:textId="0404ACF0" w:rsidR="00CD079A" w:rsidRPr="0042494A" w:rsidRDefault="007E3B1A" w:rsidP="00D10504">
            <w:pPr>
              <w:pStyle w:val="Tablewriting"/>
              <w:keepNext/>
            </w:pPr>
            <w:r w:rsidRPr="0042494A">
              <w:t>O</w:t>
            </w:r>
            <w:r w:rsidR="0049696D" w:rsidRPr="0042494A">
              <w:t>ncken (2019), Nides (2020)</w:t>
            </w:r>
          </w:p>
        </w:tc>
      </w:tr>
    </w:tbl>
    <w:p w14:paraId="232B5A0D" w14:textId="50D741BC" w:rsidR="00804397" w:rsidRDefault="007C586E" w:rsidP="00CC0CCE">
      <w:pPr>
        <w:pStyle w:val="TableFooter"/>
        <w:spacing w:after="120"/>
        <w:contextualSpacing w:val="0"/>
        <w:jc w:val="both"/>
      </w:pPr>
      <w:r>
        <w:t>Abbreviations: NRT = nicotine replacement therapy; PBS = Pharmaceutical Benefits Scheme</w:t>
      </w:r>
    </w:p>
    <w:p w14:paraId="613F7597" w14:textId="13388A80" w:rsidR="004E35A5" w:rsidRDefault="00E5450C" w:rsidP="00CC0CCE">
      <w:pPr>
        <w:spacing w:after="120"/>
        <w:jc w:val="both"/>
      </w:pPr>
      <w:r>
        <w:t>Three</w:t>
      </w:r>
      <w:r w:rsidR="00804397">
        <w:t xml:space="preserve"> Cochrane </w:t>
      </w:r>
      <w:r w:rsidR="00CB021B">
        <w:t>R</w:t>
      </w:r>
      <w:r w:rsidR="00804397">
        <w:t>eview</w:t>
      </w:r>
      <w:r>
        <w:t>s</w:t>
      </w:r>
      <w:r w:rsidR="00804397">
        <w:t xml:space="preserve"> w</w:t>
      </w:r>
      <w:r w:rsidR="0001086E">
        <w:t>ere</w:t>
      </w:r>
      <w:r w:rsidR="00804397">
        <w:t xml:space="preserve"> identified in the systematic literature search </w:t>
      </w:r>
      <w:r w:rsidR="009F06B5">
        <w:t xml:space="preserve">and were included in this report. </w:t>
      </w:r>
      <w:r w:rsidR="009F06B5" w:rsidRPr="009F06B5">
        <w:t xml:space="preserve">Lindson et al. </w:t>
      </w:r>
      <w:r w:rsidR="009F06B5">
        <w:t>(</w:t>
      </w:r>
      <w:r w:rsidR="009F06B5" w:rsidRPr="009F06B5">
        <w:t>2019</w:t>
      </w:r>
      <w:r w:rsidR="009F06B5">
        <w:t>)</w:t>
      </w:r>
      <w:r w:rsidR="00804397" w:rsidDel="00CC647D">
        <w:t xml:space="preserve"> </w:t>
      </w:r>
      <w:r w:rsidR="00CC647D">
        <w:t xml:space="preserve">examined </w:t>
      </w:r>
      <w:r w:rsidR="00804397">
        <w:t xml:space="preserve">different NRT dose, dosage form, length of therapy in terms of comparative effectiveness and safety for achieving long-term smoking cessation. </w:t>
      </w:r>
      <w:r w:rsidR="009F06B5" w:rsidRPr="009F06B5">
        <w:t xml:space="preserve">Lindson et al. </w:t>
      </w:r>
      <w:r w:rsidR="009F06B5">
        <w:t>(</w:t>
      </w:r>
      <w:r w:rsidR="009F06B5" w:rsidRPr="009F06B5">
        <w:t>2019b</w:t>
      </w:r>
      <w:r w:rsidR="009F06B5">
        <w:t>) and</w:t>
      </w:r>
      <w:r w:rsidR="009F06B5" w:rsidRPr="009F06B5">
        <w:t xml:space="preserve"> Hartmann-Boyce et al. </w:t>
      </w:r>
      <w:r w:rsidR="009F06B5">
        <w:t>(</w:t>
      </w:r>
      <w:r w:rsidR="009F06B5" w:rsidRPr="009F06B5">
        <w:t>2018</w:t>
      </w:r>
      <w:r w:rsidR="009F06B5">
        <w:t xml:space="preserve">) assessed </w:t>
      </w:r>
      <w:r w:rsidR="009F06B5" w:rsidRPr="009F06B5">
        <w:t xml:space="preserve">the comparative effectiveness and safety of cut-down-to quit, or smoking reduction, dosing schedule interventions and non-PBS </w:t>
      </w:r>
      <w:r w:rsidR="002D1728">
        <w:t>listed</w:t>
      </w:r>
      <w:r w:rsidR="009F06B5" w:rsidRPr="009F06B5">
        <w:t xml:space="preserve"> dosage forms.</w:t>
      </w:r>
    </w:p>
    <w:p w14:paraId="5FA8210E" w14:textId="4E43EAFF" w:rsidR="004A0225" w:rsidRDefault="004E35A5" w:rsidP="00CC0CCE">
      <w:pPr>
        <w:spacing w:after="120"/>
        <w:jc w:val="both"/>
      </w:pPr>
      <w:r>
        <w:t xml:space="preserve">Four </w:t>
      </w:r>
      <w:r w:rsidRPr="004E35A5">
        <w:t>new stud</w:t>
      </w:r>
      <w:r>
        <w:t>ies</w:t>
      </w:r>
      <w:r w:rsidRPr="004E35A5">
        <w:t xml:space="preserve"> w</w:t>
      </w:r>
      <w:r>
        <w:t>ere</w:t>
      </w:r>
      <w:r w:rsidRPr="004E35A5">
        <w:t xml:space="preserve"> identified in the supplemental literature search that informed this comparison and w</w:t>
      </w:r>
      <w:r w:rsidR="0025748E">
        <w:t>ere</w:t>
      </w:r>
      <w:r w:rsidRPr="004E35A5">
        <w:t xml:space="preserve"> included in this report </w:t>
      </w:r>
      <w:r w:rsidR="00664A9E">
        <w:t>(</w:t>
      </w:r>
      <w:r w:rsidR="00664A9E" w:rsidRPr="005E592F">
        <w:t>Ellerbeck 2018</w:t>
      </w:r>
      <w:r w:rsidR="00664A9E">
        <w:t xml:space="preserve">, Dedert 2018, </w:t>
      </w:r>
      <w:r w:rsidR="00664A9E" w:rsidRPr="003018A2">
        <w:t>Oncken 2019</w:t>
      </w:r>
      <w:r w:rsidR="00664A9E">
        <w:t xml:space="preserve">, and </w:t>
      </w:r>
      <w:r w:rsidR="00664A9E" w:rsidRPr="00664A9E">
        <w:t>Nides</w:t>
      </w:r>
      <w:r w:rsidR="00664A9E">
        <w:t xml:space="preserve"> 2020</w:t>
      </w:r>
      <w:r w:rsidR="00804397">
        <w:t>.</w:t>
      </w:r>
    </w:p>
    <w:p w14:paraId="630A513A" w14:textId="30D71D45" w:rsidR="00804397" w:rsidRPr="002C2DB9" w:rsidRDefault="00804397" w:rsidP="00CC0CCE">
      <w:pPr>
        <w:spacing w:after="120"/>
        <w:jc w:val="both"/>
      </w:pPr>
      <w:r w:rsidRPr="00CC6C58">
        <w:t xml:space="preserve">A summary of the citation details for the studies comparing </w:t>
      </w:r>
      <w:r>
        <w:t xml:space="preserve">different NRT dose, dosage form, and duration </w:t>
      </w:r>
      <w:r w:rsidRPr="00CC6C58">
        <w:t>is presented in</w:t>
      </w:r>
      <w:r w:rsidR="00602CA6">
        <w:t xml:space="preserve"> Table 82.</w:t>
      </w:r>
    </w:p>
    <w:p w14:paraId="1FD8164F" w14:textId="77777777" w:rsidR="00CC0CCE" w:rsidRDefault="00CC0CCE">
      <w:pPr>
        <w:spacing w:line="276" w:lineRule="auto"/>
        <w:rPr>
          <w:rFonts w:asciiTheme="minorHAnsi" w:eastAsia="Times New Roman" w:hAnsiTheme="minorHAnsi" w:cs="Times New Roman"/>
          <w:b/>
          <w:bCs/>
          <w:szCs w:val="18"/>
        </w:rPr>
      </w:pPr>
      <w:bookmarkStart w:id="149" w:name="_Ref59098334"/>
      <w:r>
        <w:br w:type="page"/>
      </w:r>
    </w:p>
    <w:p w14:paraId="3CA745B9" w14:textId="6526710E" w:rsidR="00316F4A" w:rsidRDefault="00316F4A" w:rsidP="00CC0CCE">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82</w:t>
      </w:r>
      <w:r w:rsidR="00BF3F75">
        <w:rPr>
          <w:noProof/>
        </w:rPr>
        <w:fldChar w:fldCharType="end"/>
      </w:r>
      <w:bookmarkEnd w:id="149"/>
      <w:r>
        <w:t xml:space="preserve">: </w:t>
      </w:r>
      <w:r w:rsidRPr="009B6A39">
        <w:t>List of studies comparing different NRT dose, dosage form, and length of therapy</w:t>
      </w:r>
    </w:p>
    <w:tbl>
      <w:tblPr>
        <w:tblStyle w:val="TableGrid"/>
        <w:tblW w:w="5000" w:type="pct"/>
        <w:tblLook w:val="04A0" w:firstRow="1" w:lastRow="0" w:firstColumn="1" w:lastColumn="0" w:noHBand="0" w:noVBand="1"/>
      </w:tblPr>
      <w:tblGrid>
        <w:gridCol w:w="1751"/>
        <w:gridCol w:w="7265"/>
      </w:tblGrid>
      <w:tr w:rsidR="0085037A" w14:paraId="59799B56" w14:textId="77777777" w:rsidTr="00CC0CCE">
        <w:tc>
          <w:tcPr>
            <w:tcW w:w="971" w:type="pct"/>
            <w:shd w:val="clear" w:color="auto" w:fill="BFBFBF" w:themeFill="background1" w:themeFillShade="BF"/>
            <w:vAlign w:val="center"/>
          </w:tcPr>
          <w:p w14:paraId="79B7FA03" w14:textId="77777777" w:rsidR="00804397" w:rsidRDefault="00804397" w:rsidP="00A5263B">
            <w:pPr>
              <w:pStyle w:val="Tableheading"/>
              <w:keepNext/>
            </w:pPr>
            <w:r>
              <w:t>Study</w:t>
            </w:r>
          </w:p>
        </w:tc>
        <w:tc>
          <w:tcPr>
            <w:tcW w:w="4029" w:type="pct"/>
            <w:shd w:val="clear" w:color="auto" w:fill="BFBFBF" w:themeFill="background1" w:themeFillShade="BF"/>
            <w:vAlign w:val="center"/>
          </w:tcPr>
          <w:p w14:paraId="21FF47FE" w14:textId="77777777" w:rsidR="00804397" w:rsidRPr="00000218" w:rsidRDefault="00804397" w:rsidP="00A5263B">
            <w:pPr>
              <w:jc w:val="center"/>
              <w:rPr>
                <w:rFonts w:asciiTheme="minorHAnsi" w:hAnsiTheme="minorHAnsi" w:cstheme="minorHAnsi"/>
                <w:b/>
                <w:bCs/>
              </w:rPr>
            </w:pPr>
            <w:r w:rsidRPr="00000218">
              <w:rPr>
                <w:rFonts w:asciiTheme="minorHAnsi" w:hAnsiTheme="minorHAnsi" w:cstheme="minorHAnsi"/>
                <w:b/>
                <w:bCs/>
              </w:rPr>
              <w:t>Citation</w:t>
            </w:r>
          </w:p>
        </w:tc>
      </w:tr>
      <w:tr w:rsidR="00266DA0" w14:paraId="3241BE12" w14:textId="77777777" w:rsidTr="00CC0CCE">
        <w:tc>
          <w:tcPr>
            <w:tcW w:w="5000" w:type="pct"/>
            <w:gridSpan w:val="2"/>
            <w:shd w:val="clear" w:color="auto" w:fill="auto"/>
          </w:tcPr>
          <w:p w14:paraId="10734C45" w14:textId="135F73D7" w:rsidR="00266DA0" w:rsidRPr="00744F70" w:rsidRDefault="00266DA0" w:rsidP="00A5263B">
            <w:pPr>
              <w:rPr>
                <w:b/>
                <w:bCs/>
              </w:rPr>
            </w:pPr>
            <w:r w:rsidRPr="00744F70">
              <w:rPr>
                <w:b/>
                <w:bCs/>
              </w:rPr>
              <w:t>Cochrane Review</w:t>
            </w:r>
          </w:p>
        </w:tc>
      </w:tr>
      <w:tr w:rsidR="0085037A" w14:paraId="50AAF9D7" w14:textId="77777777" w:rsidTr="00CC0CCE">
        <w:tc>
          <w:tcPr>
            <w:tcW w:w="971" w:type="pct"/>
          </w:tcPr>
          <w:p w14:paraId="449B0140" w14:textId="6892F49C" w:rsidR="000E486C" w:rsidRDefault="000E486C" w:rsidP="000E486C">
            <w:r>
              <w:t>Hartmann-Boyce (2018)</w:t>
            </w:r>
            <w:hyperlink w:anchor="_ENREF_30" w:tooltip="Hartmann-Boyce, 2018 #655" w:history="1">
              <w:r w:rsidR="0039468B">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instrText xml:space="preserve"> ADDIN EN.CITE </w:instrText>
              </w:r>
              <w:r w:rsidR="0039468B">
                <w:fldChar w:fldCharType="begin">
                  <w:fldData xml:space="preserve">PEVuZE5vdGU+PENpdGU+PEF1dGhvcj5IYXJ0bWFubi1Cb3ljZTwvQXV0aG9yPjxZZWFyPjIwMTg8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</w:fldData>
                </w:fldChar>
              </w:r>
              <w:r w:rsidR="0039468B">
                <w:instrText xml:space="preserve"> ADDIN EN.CITE.DATA </w:instrText>
              </w:r>
              <w:r w:rsidR="0039468B">
                <w:fldChar w:fldCharType="end"/>
              </w:r>
              <w:r w:rsidR="0039468B">
                <w:fldChar w:fldCharType="separate"/>
              </w:r>
              <w:r w:rsidR="0039468B" w:rsidRPr="0039468B">
                <w:rPr>
                  <w:noProof/>
                  <w:vertAlign w:val="superscript"/>
                </w:rPr>
                <w:t>30</w:t>
              </w:r>
              <w:r w:rsidR="0039468B">
                <w:fldChar w:fldCharType="end"/>
              </w:r>
            </w:hyperlink>
          </w:p>
        </w:tc>
        <w:tc>
          <w:tcPr>
            <w:tcW w:w="4029" w:type="pct"/>
          </w:tcPr>
          <w:p w14:paraId="098BBBA9" w14:textId="73A791B5" w:rsidR="000E486C" w:rsidRPr="00C43107" w:rsidRDefault="000E486C" w:rsidP="000E486C">
            <w:r w:rsidRPr="00485346">
              <w:t>Hartmann-Boyce</w:t>
            </w:r>
            <w:r>
              <w:t xml:space="preserve"> </w:t>
            </w:r>
            <w:r w:rsidRPr="00485346">
              <w:t>J, Chepkin</w:t>
            </w:r>
            <w:r>
              <w:t xml:space="preserve"> </w:t>
            </w:r>
            <w:r w:rsidRPr="00485346">
              <w:t>SC, Ye</w:t>
            </w:r>
            <w:r>
              <w:t xml:space="preserve"> </w:t>
            </w:r>
            <w:r w:rsidRPr="00485346">
              <w:t>W, Bullen</w:t>
            </w:r>
            <w:r>
              <w:t xml:space="preserve"> </w:t>
            </w:r>
            <w:r w:rsidRPr="00485346">
              <w:t>C, Lancaster</w:t>
            </w:r>
            <w:r>
              <w:t xml:space="preserve"> </w:t>
            </w:r>
            <w:r w:rsidRPr="00485346">
              <w:t>T. Nicotine replacement therapy versus control for smoking cessation. Cochrane Database of Systematic Reviews 2018, Issue 5. Art. No.: CD000146. DOI: 10.1002/14651858.CD000146.pub5.</w:t>
            </w:r>
          </w:p>
        </w:tc>
      </w:tr>
      <w:tr w:rsidR="0085037A" w14:paraId="5F67A76A" w14:textId="77777777" w:rsidTr="00CC0CCE">
        <w:tc>
          <w:tcPr>
            <w:tcW w:w="971" w:type="pct"/>
          </w:tcPr>
          <w:p w14:paraId="07D07929" w14:textId="77777777" w:rsidR="00F313B4" w:rsidRDefault="00804397" w:rsidP="00A5263B">
            <w:r>
              <w:t xml:space="preserve">Lindson </w:t>
            </w:r>
          </w:p>
          <w:p w14:paraId="294917B2" w14:textId="68BEE7F3" w:rsidR="00804397" w:rsidRDefault="00804397" w:rsidP="00A5263B">
            <w:r>
              <w:t>(2019)</w:t>
            </w:r>
            <w:hyperlink w:anchor="_ENREF_38" w:tooltip="Lindson, 2019 #13" w:history="1">
              <w:r w:rsidR="0039468B">
                <w:fldChar w:fldCharType="begin"/>
              </w:r>
              <w:r w:rsidR="0039468B">
                <w:instrText xml:space="preserve"> ADDIN EN.CITE &lt;EndNote&gt;&lt;Cite&gt;&lt;Author&gt;Lindson&lt;/Author&gt;&lt;Year&gt;2019&lt;/Year&gt;&lt;RecNum&gt;13&lt;/RecNum&gt;&lt;DisplayText&gt;&lt;style face="superscript"&gt;38&lt;/style&gt;&lt;/DisplayText&gt;&lt;record&gt;&lt;rec-number&gt;13&lt;/rec-number&gt;&lt;foreign-keys&gt;&lt;key app="EN" db-id="9r2ttprpu00xt0e29wspaaxg9zafpd9vx2s0" timestamp="1611998950"&gt;13&lt;/key&gt;&lt;/foreign-keys&gt;&lt;ref-type name="Journal Article"&gt;17&lt;/ref-type&gt;&lt;contributors&gt;&lt;authors&gt;&lt;author&gt;Lindson, N.&lt;/author&gt;&lt;author&gt;Chepkin, S. C.&lt;/author&gt;&lt;author&gt;Ye, W.&lt;/author&gt;&lt;author&gt;Fanshawe, T. R.&lt;/author&gt;&lt;author&gt;Bullen, C.&lt;/author&gt;&lt;author&gt;Hartmann‐Boyce, J.&lt;/author&gt;&lt;/authors&gt;&lt;/contributors&gt;&lt;titles&gt;&lt;title&gt;Different doses, durations and modes of delivery of nicotine replacement therapy for smoking cessation&lt;/title&gt;&lt;secondary-title&gt;Cochrane Database of Systematic Reviews&lt;/secondary-title&gt;&lt;/titles&gt;&lt;number&gt;4&lt;/number&gt;&lt;keywords&gt;&lt;keyword&gt;*Chewing Gum&lt;/keyword&gt;&lt;keyword&gt;*Tobacco Use Cessation Devices&lt;/keyword&gt;&lt;keyword&gt;Administration, Cutaneous&lt;/keyword&gt;&lt;keyword&gt;Administration, Inhalation&lt;/keyword&gt;&lt;keyword&gt;Administration, Oral&lt;/keyword&gt;&lt;keyword&gt;Humans&lt;/keyword&gt;&lt;keyword&gt;Nicotine [administration &amp;amp; dosage]&lt;/keyword&gt;&lt;keyword&gt;Nicotinic Agonists [*therapeutic use]&lt;/keyword&gt;&lt;keyword&gt;Randomized Controlled Trials as Topic&lt;/keyword&gt;&lt;keyword&gt;Smoking Cessation [*methods]&lt;/keyword&gt;&lt;keyword&gt;Smoking Prevention&lt;/keyword&gt;&lt;keyword&gt;Smoking [drug therapy]&lt;/keyword&gt;&lt;/keywords&gt;&lt;dates&gt;&lt;year&gt;2019&lt;/year&gt;&lt;/dates&gt;&lt;publisher&gt;John Wiley &amp;amp; Sons, Ltd&lt;/publisher&gt;&lt;isbn&gt;1465-1858&lt;/isbn&gt;&lt;accession-num&gt;CD013308&lt;/accession-num&gt;&lt;urls&gt;&lt;related-urls&gt;&lt;url&gt;http://dx.doi.org/10.1002/14651858.CD013308&lt;/url&gt;&lt;/related-urls&gt;&lt;/urls&gt;&lt;electronic-resource-num&gt;10.1002/14651858.CD013308&lt;/electronic-resource-num&gt;&lt;/record&gt;&lt;/Cite&gt;&lt;/EndNote&gt;</w:instrText>
              </w:r>
              <w:r w:rsidR="0039468B">
                <w:fldChar w:fldCharType="separate"/>
              </w:r>
              <w:r w:rsidR="0039468B" w:rsidRPr="00693911">
                <w:rPr>
                  <w:noProof/>
                  <w:vertAlign w:val="superscript"/>
                </w:rPr>
                <w:t>38</w:t>
              </w:r>
              <w:r w:rsidR="0039468B">
                <w:fldChar w:fldCharType="end"/>
              </w:r>
            </w:hyperlink>
          </w:p>
        </w:tc>
        <w:tc>
          <w:tcPr>
            <w:tcW w:w="4029" w:type="pct"/>
          </w:tcPr>
          <w:p w14:paraId="741EDF41" w14:textId="63B6C9CE" w:rsidR="00804397" w:rsidRDefault="00804397" w:rsidP="00A5263B">
            <w:r w:rsidRPr="00C43107">
              <w:t>Lindson</w:t>
            </w:r>
            <w:r>
              <w:t xml:space="preserve"> </w:t>
            </w:r>
            <w:r w:rsidRPr="00C43107">
              <w:t>N, Chepkin</w:t>
            </w:r>
            <w:r>
              <w:t xml:space="preserve"> </w:t>
            </w:r>
            <w:r w:rsidRPr="00C43107">
              <w:t>SC, Ye</w:t>
            </w:r>
            <w:r>
              <w:t xml:space="preserve"> </w:t>
            </w:r>
            <w:r w:rsidRPr="00C43107">
              <w:t>W, Fanshawe</w:t>
            </w:r>
            <w:r>
              <w:t xml:space="preserve"> </w:t>
            </w:r>
            <w:r w:rsidRPr="00C43107">
              <w:t>TR, Bullen</w:t>
            </w:r>
            <w:r>
              <w:t xml:space="preserve"> </w:t>
            </w:r>
            <w:r w:rsidRPr="00C43107">
              <w:t>C, Hartmann-Boyce</w:t>
            </w:r>
            <w:r w:rsidR="00B05DCD">
              <w:t xml:space="preserve"> </w:t>
            </w:r>
            <w:r w:rsidRPr="00C43107">
              <w:t>J. Di</w:t>
            </w:r>
            <w:r w:rsidR="00050691">
              <w:t>ff</w:t>
            </w:r>
            <w:r w:rsidRPr="00C43107">
              <w:t>erent doses, durations and modes of delivery of nicotine replacement therapy for smoking cessation. Cochrane Database of Systematic Reviews 2019, Issue 4. Art. No.: CD013308. DOI: 10.1002/14651858.CD013308.</w:t>
            </w:r>
          </w:p>
        </w:tc>
      </w:tr>
      <w:tr w:rsidR="0085037A" w14:paraId="1C0C12F2" w14:textId="77777777" w:rsidTr="00CC0CCE">
        <w:tc>
          <w:tcPr>
            <w:tcW w:w="971" w:type="pct"/>
          </w:tcPr>
          <w:p w14:paraId="11DC121B" w14:textId="77777777" w:rsidR="00F313B4" w:rsidRDefault="00804397" w:rsidP="00A5263B">
            <w:r>
              <w:t xml:space="preserve">Lindson </w:t>
            </w:r>
          </w:p>
          <w:p w14:paraId="268E6F71" w14:textId="7ED548F7" w:rsidR="00804397" w:rsidRDefault="00804397" w:rsidP="00A5263B">
            <w:r>
              <w:t>(2019</w:t>
            </w:r>
            <w:r w:rsidR="00253D1D">
              <w:t>b</w:t>
            </w:r>
            <w:r>
              <w:t>)</w:t>
            </w:r>
            <w:hyperlink w:anchor="_ENREF_50" w:tooltip="Lindson, 2019 #635" w:history="1">
              <w:r w:rsidR="0039468B">
                <w:fldChar w:fldCharType="begin"/>
              </w:r>
              <w:r w:rsidR="0039468B">
                <w:instrText xml:space="preserve"> ADDIN EN.CITE &lt;EndNote&gt;&lt;Cite&gt;&lt;Author&gt;Lindson&lt;/Author&gt;&lt;Year&gt;2019&lt;/Year&gt;&lt;RecNum&gt;635&lt;/RecNum&gt;&lt;DisplayText&gt;&lt;style face="superscript"&gt;50&lt;/style&gt;&lt;/DisplayText&gt;&lt;record&gt;&lt;rec-number&gt;635&lt;/rec-number&gt;&lt;foreign-keys&gt;&lt;key app="EN" db-id="2xwa055rhevv2yef5v75fepy2azsv0xvx9w9" timestamp="1611999899"&gt;635&lt;/key&gt;&lt;/foreign-keys&gt;&lt;ref-type name="Journal Article"&gt;17&lt;/ref-type&gt;&lt;contributors&gt;&lt;authors&gt;&lt;author&gt;Lindson, N.&lt;/author&gt;&lt;author&gt;Klemperer, E.&lt;/author&gt;&lt;author&gt;Hong, B.&lt;/author&gt;&lt;author&gt;Ordonez-Mena, J. M.&lt;/author&gt;&lt;author&gt;Aveyard, P.&lt;/author&gt;&lt;/authors&gt;&lt;/contributors&gt;&lt;auth-address&gt;Nuffield Department of Primary Care Health Sciences, University of Oxford, Radcliffe Observatory Quarter, Woodstock Road, Oxford, Oxfordshire, UK, OX2 6GG.&lt;/auth-address&gt;&lt;titles&gt;&lt;title&gt;Smoking reduction interventions for smoking cessation&lt;/title&gt;&lt;secondary-title&gt;Cochrane Database Syst Rev&lt;/secondary-title&gt;&lt;/titles&gt;&lt;periodical&gt;&lt;full-title&gt;Cochrane Database Syst Rev&lt;/full-title&gt;&lt;/periodical&gt;&lt;pages&gt;CD013183&lt;/pages&gt;&lt;volume&gt;9&lt;/volume&gt;&lt;edition&gt;2019/10/01&lt;/edition&gt;&lt;keywords&gt;&lt;keyword&gt;Bupropion/therapeutic use&lt;/keyword&gt;&lt;keyword&gt;Humans&lt;/keyword&gt;&lt;keyword&gt;Nicotine/administration &amp;amp; dosage&lt;/keyword&gt;&lt;keyword&gt;Nicotinic Agonists/therapeutic use&lt;/keyword&gt;&lt;keyword&gt;Randomized Controlled Trials as Topic&lt;/keyword&gt;&lt;keyword&gt;Smoking Cessation/*methods/psychology&lt;/keyword&gt;&lt;keyword&gt;*Smoking Reduction&lt;/keyword&gt;&lt;keyword&gt;Substance Withdrawal Syndrome/drug therapy/*prevention &amp;amp; control&lt;/keyword&gt;&lt;keyword&gt;Tobacco Use Cessation Devices&lt;/keyword&gt;&lt;/keywords&gt;&lt;dates&gt;&lt;year&gt;2019&lt;/year&gt;&lt;pub-dates&gt;&lt;date&gt;Sep 30&lt;/date&gt;&lt;/pub-dates&gt;&lt;/dates&gt;&lt;isbn&gt;1469-493X (Electronic)&amp;#xD;1361-6137 (Linking)&lt;/isbn&gt;&lt;accession-num&gt;31565800&lt;/accession-num&gt;&lt;urls&gt;&lt;related-urls&gt;&lt;url&gt;https://www.ncbi.nlm.nih.gov/pubmed/31565800&lt;/url&gt;&lt;/related-urls&gt;&lt;/urls&gt;&lt;custom2&gt;PMC6953262&lt;/custom2&gt;&lt;electronic-resource-num&gt;10.1002/14651858.CD013183.pub2&lt;/electronic-resource-num&gt;&lt;/record&gt;&lt;/Cite&gt;&lt;/EndNote&gt;</w:instrText>
              </w:r>
              <w:r w:rsidR="0039468B">
                <w:fldChar w:fldCharType="separate"/>
              </w:r>
              <w:r w:rsidR="0039468B" w:rsidRPr="0039468B">
                <w:rPr>
                  <w:noProof/>
                  <w:vertAlign w:val="superscript"/>
                </w:rPr>
                <w:t>50</w:t>
              </w:r>
              <w:r w:rsidR="0039468B">
                <w:fldChar w:fldCharType="end"/>
              </w:r>
            </w:hyperlink>
          </w:p>
        </w:tc>
        <w:tc>
          <w:tcPr>
            <w:tcW w:w="4029" w:type="pct"/>
          </w:tcPr>
          <w:p w14:paraId="41560509" w14:textId="592B2AEE" w:rsidR="00804397" w:rsidRPr="00C43107" w:rsidRDefault="00804397" w:rsidP="00A5263B">
            <w:r w:rsidRPr="00856F8C">
              <w:t>Lindson</w:t>
            </w:r>
            <w:r>
              <w:t xml:space="preserve"> </w:t>
            </w:r>
            <w:r w:rsidRPr="00856F8C">
              <w:t>N, Klemperer</w:t>
            </w:r>
            <w:r>
              <w:t xml:space="preserve"> </w:t>
            </w:r>
            <w:r w:rsidRPr="00856F8C">
              <w:t>E, Hong</w:t>
            </w:r>
            <w:r>
              <w:t xml:space="preserve"> </w:t>
            </w:r>
            <w:r w:rsidRPr="00856F8C">
              <w:t>B, Ordóñez-Mena</w:t>
            </w:r>
            <w:r>
              <w:t xml:space="preserve"> </w:t>
            </w:r>
            <w:r w:rsidRPr="00856F8C">
              <w:t>M, Aveyard</w:t>
            </w:r>
            <w:r>
              <w:t xml:space="preserve"> </w:t>
            </w:r>
            <w:r w:rsidRPr="00856F8C">
              <w:t>P. Smoking reduction interventions for smoking cessation. Cochrane Database of Systematic Reviews 2019, Issue 9. Art. No.: CD013183. DOI: 10.1002/14651858.CD013183.pub2.</w:t>
            </w:r>
          </w:p>
        </w:tc>
      </w:tr>
      <w:tr w:rsidR="000077DE" w14:paraId="50426836" w14:textId="77777777" w:rsidTr="00CC0CCE">
        <w:tc>
          <w:tcPr>
            <w:tcW w:w="5000" w:type="pct"/>
            <w:gridSpan w:val="2"/>
            <w:shd w:val="clear" w:color="auto" w:fill="auto"/>
          </w:tcPr>
          <w:p w14:paraId="1D408BDD" w14:textId="1D18D37F" w:rsidR="000077DE" w:rsidRPr="00744F70" w:rsidRDefault="000077DE" w:rsidP="00A5263B">
            <w:pPr>
              <w:rPr>
                <w:b/>
                <w:bCs/>
              </w:rPr>
            </w:pPr>
            <w:r w:rsidRPr="00744F70">
              <w:rPr>
                <w:b/>
                <w:bCs/>
              </w:rPr>
              <w:t>Additional evidence</w:t>
            </w:r>
          </w:p>
        </w:tc>
      </w:tr>
      <w:tr w:rsidR="0085037A" w14:paraId="2CA39922" w14:textId="77777777" w:rsidTr="00CC0CCE">
        <w:tc>
          <w:tcPr>
            <w:tcW w:w="971" w:type="pct"/>
          </w:tcPr>
          <w:p w14:paraId="5C5B8781" w14:textId="77777777" w:rsidR="00F313B4" w:rsidRDefault="00AE7172" w:rsidP="00A5263B">
            <w:r w:rsidRPr="005E592F">
              <w:t xml:space="preserve">Ellerbeck </w:t>
            </w:r>
          </w:p>
          <w:p w14:paraId="6D7B716C" w14:textId="575D16F4" w:rsidR="00BF2FA7" w:rsidRDefault="00AE7172" w:rsidP="00A5263B">
            <w:r w:rsidRPr="005E592F">
              <w:t>(2018)</w:t>
            </w:r>
            <w:hyperlink w:anchor="_ENREF_51" w:tooltip="Ellerbeck, 2018 #636" w:history="1">
              <w:r w:rsidR="0039468B">
                <w:fldChar w:fldCharType="begin">
                  <w:fldData xml:space="preserve">PEVuZE5vdGU+PENpdGU+PEF1dGhvcj5FbGxlcmJlY2s8L0F1dGhvcj48WWVhcj4yMDE4PC9ZZWFy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</w:fldData>
                </w:fldChar>
              </w:r>
              <w:r w:rsidR="0039468B">
                <w:instrText xml:space="preserve"> ADDIN EN.CITE </w:instrText>
              </w:r>
              <w:r w:rsidR="0039468B">
                <w:fldChar w:fldCharType="begin">
                  <w:fldData xml:space="preserve">PEVuZE5vdGU+PENpdGU+PEF1dGhvcj5FbGxlcmJlY2s8L0F1dGhvcj48WWVhcj4yMDE4PC9ZZWFy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</w:fldData>
                </w:fldChar>
              </w:r>
              <w:r w:rsidR="0039468B">
                <w:instrText xml:space="preserve"> ADDIN EN.CITE.DATA </w:instrText>
              </w:r>
              <w:r w:rsidR="0039468B">
                <w:fldChar w:fldCharType="end"/>
              </w:r>
              <w:r w:rsidR="0039468B">
                <w:fldChar w:fldCharType="separate"/>
              </w:r>
              <w:r w:rsidR="0039468B" w:rsidRPr="0039468B">
                <w:rPr>
                  <w:noProof/>
                  <w:vertAlign w:val="superscript"/>
                </w:rPr>
                <w:t>51</w:t>
              </w:r>
              <w:r w:rsidR="0039468B">
                <w:fldChar w:fldCharType="end"/>
              </w:r>
            </w:hyperlink>
          </w:p>
        </w:tc>
        <w:tc>
          <w:tcPr>
            <w:tcW w:w="4029" w:type="pct"/>
          </w:tcPr>
          <w:p w14:paraId="33BB1F11" w14:textId="18E774EB" w:rsidR="00BF2FA7" w:rsidRPr="00485346" w:rsidRDefault="00BB30E9" w:rsidP="00A5263B">
            <w:r w:rsidRPr="00BB30E9">
              <w:t>Ellerbeck EF, Nollen N, Hutcheson TD, Phadnis M, Fitzgerald SA, Vacek J, et al. Effect of Long-term Nicotine Replacement Therapy vs Standard Smoking Cessation for Smokers With Chronic Lung Disease: A Randomized Clinical Trial. JAMA network open. 2018;1(5</w:t>
            </w:r>
            <w:r w:rsidR="00826C95" w:rsidRPr="00BB30E9">
              <w:t>): e</w:t>
            </w:r>
            <w:r w:rsidRPr="00BB30E9">
              <w:t>181843.</w:t>
            </w:r>
          </w:p>
        </w:tc>
      </w:tr>
      <w:tr w:rsidR="0085037A" w14:paraId="5106F58B" w14:textId="77777777" w:rsidTr="00CC0CCE">
        <w:tc>
          <w:tcPr>
            <w:tcW w:w="971" w:type="pct"/>
          </w:tcPr>
          <w:p w14:paraId="14B856B1" w14:textId="77777777" w:rsidR="00E87D3C" w:rsidRDefault="00E87D3C" w:rsidP="00E87D3C">
            <w:r w:rsidRPr="00ED6D24">
              <w:t>Dedert</w:t>
            </w:r>
          </w:p>
          <w:p w14:paraId="54843DB1" w14:textId="294665C9" w:rsidR="00BF2FA7" w:rsidRDefault="00E87D3C" w:rsidP="00E87D3C">
            <w:r>
              <w:t>(</w:t>
            </w:r>
            <w:r w:rsidRPr="00ED6D24">
              <w:t>2018</w:t>
            </w:r>
            <w:r>
              <w:t>)</w:t>
            </w:r>
            <w:hyperlink w:anchor="_ENREF_52" w:tooltip="Dedert, 2018 #637" w:history="1">
              <w:r w:rsidR="0039468B">
                <w:fldChar w:fldCharType="begin">
                  <w:fldData xml:space="preserve">PEVuZE5vdGU+PENpdGU+PEF1dGhvcj5EZWRlcnQ8L0F1dGhvcj48WWVhcj4yMDE4PC9ZZWFyPjxS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</w:fldData>
                </w:fldChar>
              </w:r>
              <w:r w:rsidR="0039468B">
                <w:instrText xml:space="preserve"> ADDIN EN.CITE </w:instrText>
              </w:r>
              <w:r w:rsidR="0039468B">
                <w:fldChar w:fldCharType="begin">
                  <w:fldData xml:space="preserve">PEVuZE5vdGU+PENpdGU+PEF1dGhvcj5EZWRlcnQ8L0F1dGhvcj48WWVhcj4yMDE4PC9ZZWFyPjxS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</w:fldData>
                </w:fldChar>
              </w:r>
              <w:r w:rsidR="0039468B">
                <w:instrText xml:space="preserve"> ADDIN EN.CITE.DATA </w:instrText>
              </w:r>
              <w:r w:rsidR="0039468B">
                <w:fldChar w:fldCharType="end"/>
              </w:r>
              <w:r w:rsidR="0039468B">
                <w:fldChar w:fldCharType="separate"/>
              </w:r>
              <w:r w:rsidR="0039468B" w:rsidRPr="0039468B">
                <w:rPr>
                  <w:noProof/>
                  <w:vertAlign w:val="superscript"/>
                </w:rPr>
                <w:t>52</w:t>
              </w:r>
              <w:r w:rsidR="0039468B">
                <w:fldChar w:fldCharType="end"/>
              </w:r>
            </w:hyperlink>
          </w:p>
        </w:tc>
        <w:tc>
          <w:tcPr>
            <w:tcW w:w="4029" w:type="pct"/>
          </w:tcPr>
          <w:p w14:paraId="703F8CBC" w14:textId="26BF6D29" w:rsidR="00BF2FA7" w:rsidRPr="00485346" w:rsidRDefault="00BB30E9" w:rsidP="00E87D3C">
            <w:r w:rsidRPr="00BB30E9">
              <w:t>Dedert EA, Dennis PA, Calhoun PS, Dennis MF, Beckham JC. A Randomized Clinical Trial of Nicotine Preloading for Smoking Cessation in People with Posttraumatic Stress Disorder. Journal of dual diagnosis. 2018;14(3):148‐57.</w:t>
            </w:r>
          </w:p>
        </w:tc>
      </w:tr>
      <w:tr w:rsidR="0085037A" w14:paraId="524E6E69" w14:textId="77777777" w:rsidTr="00CC0CCE">
        <w:tc>
          <w:tcPr>
            <w:tcW w:w="971" w:type="pct"/>
          </w:tcPr>
          <w:p w14:paraId="100E73B5" w14:textId="77777777" w:rsidR="00F313B4" w:rsidRDefault="00E87D3C" w:rsidP="00A5263B">
            <w:r w:rsidRPr="003018A2">
              <w:t xml:space="preserve">Oncken </w:t>
            </w:r>
          </w:p>
          <w:p w14:paraId="0595F696" w14:textId="0CBB8D04" w:rsidR="00BF2FA7" w:rsidRDefault="00E87D3C" w:rsidP="00A5263B">
            <w:r w:rsidRPr="003018A2">
              <w:t>(2019)</w:t>
            </w:r>
            <w:hyperlink w:anchor="_ENREF_53" w:tooltip="Oncken, 2019 #638" w:history="1">
              <w:r w:rsidR="0039468B">
                <w:fldChar w:fldCharType="begin"/>
              </w:r>
              <w:r w:rsidR="0039468B">
                <w:instrText xml:space="preserve"> ADDIN EN.CITE &lt;EndNote&gt;&lt;Cite&gt;&lt;Author&gt;Oncken&lt;/Author&gt;&lt;Year&gt;2019&lt;/Year&gt;&lt;RecNum&gt;638&lt;/RecNum&gt;&lt;DisplayText&gt;&lt;style face="superscript"&gt;53&lt;/style&gt;&lt;/DisplayText&gt;&lt;record&gt;&lt;rec-number&gt;638&lt;/rec-number&gt;&lt;foreign-keys&gt;&lt;key app="EN" db-id="2xwa055rhevv2yef5v75fepy2azsv0xvx9w9" timestamp="1612000390"&gt;638&lt;/key&gt;&lt;/foreign-keys&gt;&lt;ref-type name="Journal Article"&gt;17&lt;/ref-type&gt;&lt;contributors&gt;&lt;authors&gt;&lt;author&gt;Oncken, C.&lt;/author&gt;&lt;author&gt;Dornelas, E. A.&lt;/author&gt;&lt;author&gt;Kuo, C. L.&lt;/author&gt;&lt;author&gt;Sankey, H. Z.&lt;/author&gt;&lt;author&gt;Kranzler, H. R.&lt;/author&gt;&lt;author&gt;Mead, E. L.&lt;/author&gt;&lt;author&gt;Thurlow, M. S. D.&lt;/author&gt;&lt;/authors&gt;&lt;/contributors&gt;&lt;auth-address&gt;Department of Medicine, University of Connecticut School of Medicine, Farmington, CT.&amp;#xD;Department of Obstetrics and Gynecology, University of Connecticut School of Medicine, Farmington, CT.&amp;#xD;Division of Oncology, Hartford Hospital, Hartford, CT.&amp;#xD;Connecticut Institute for Clinical and Translational Science, University of Connecticut School of Medicine, Farmington, CT.&amp;#xD;Department of Obstetrics and Gynecology, Baystate Medical Center, Springfield, MA.&amp;#xD;Department of Psychiatry, University of Pennsylvania Perelman School of Medicine, Philadelphia, PA.&lt;/auth-address&gt;&lt;titles&gt;&lt;title&gt;Randomized Trial of Nicotine Inhaler for Pregnant Smokers&lt;/title&gt;&lt;secondary-title&gt;Am J Obstet Gynecol MFM&lt;/secondary-title&gt;&lt;/titles&gt;&lt;periodical&gt;&lt;full-title&gt;Am J Obstet Gynecol MFM&lt;/full-title&gt;&lt;/periodical&gt;&lt;pages&gt;10-18&lt;/pages&gt;&lt;volume&gt;1&lt;/volume&gt;&lt;number&gt;1&lt;/number&gt;&lt;edition&gt;2019/08/06&lt;/edition&gt;&lt;keywords&gt;&lt;keyword&gt;nicotine inhaler&lt;/keyword&gt;&lt;keyword&gt;pregnancy&lt;/keyword&gt;&lt;keyword&gt;preterm delivery&lt;/keyword&gt;&lt;keyword&gt;smoking cessation&lt;/keyword&gt;&lt;/keywords&gt;&lt;dates&gt;&lt;year&gt;2019&lt;/year&gt;&lt;pub-dates&gt;&lt;date&gt;Mar&lt;/date&gt;&lt;/pub-dates&gt;&lt;/dates&gt;&lt;isbn&gt;2589-9333 (Electronic)&lt;/isbn&gt;&lt;accession-num&gt;31380506&lt;/accession-num&gt;&lt;urls&gt;&lt;related-urls&gt;&lt;url&gt;https://www.ncbi.nlm.nih.gov/pubmed/31380506&lt;/url&gt;&lt;/related-urls&gt;&lt;/urls&gt;&lt;custom2&gt;PMC6677278&lt;/custom2&gt;&lt;electronic-resource-num&gt;10.1016/j.ajogmf.2019.03.006&lt;/electronic-resource-num&gt;&lt;/record&gt;&lt;/Cite&gt;&lt;/EndNote&gt;</w:instrText>
              </w:r>
              <w:r w:rsidR="0039468B">
                <w:fldChar w:fldCharType="separate"/>
              </w:r>
              <w:r w:rsidR="0039468B" w:rsidRPr="0039468B">
                <w:rPr>
                  <w:noProof/>
                  <w:vertAlign w:val="superscript"/>
                </w:rPr>
                <w:t>53</w:t>
              </w:r>
              <w:r w:rsidR="0039468B">
                <w:fldChar w:fldCharType="end"/>
              </w:r>
            </w:hyperlink>
          </w:p>
        </w:tc>
        <w:tc>
          <w:tcPr>
            <w:tcW w:w="4029" w:type="pct"/>
          </w:tcPr>
          <w:p w14:paraId="6521873F" w14:textId="59498B4A" w:rsidR="00BF2FA7" w:rsidRPr="00485346" w:rsidRDefault="00BB30E9" w:rsidP="00A5263B">
            <w:r w:rsidRPr="00BB30E9">
              <w:t>Oncken C, Dornelas EA, Kuo CL, Sankey HZ, Kranzler HR, Mead EL, et al. Randomized trial of nicotine inhaler for pregnant smokers. American journal of obstetrics and gynecology MFM. 2019;1(1):10‐8.</w:t>
            </w:r>
          </w:p>
        </w:tc>
      </w:tr>
      <w:tr w:rsidR="0085037A" w14:paraId="64758F4A" w14:textId="77777777" w:rsidTr="00CC0CCE">
        <w:tc>
          <w:tcPr>
            <w:tcW w:w="971" w:type="pct"/>
          </w:tcPr>
          <w:p w14:paraId="75F071A9" w14:textId="77777777" w:rsidR="00F313B4" w:rsidRDefault="00E87D3C" w:rsidP="00A5263B">
            <w:r w:rsidRPr="00E87D3C">
              <w:t xml:space="preserve">Nides </w:t>
            </w:r>
          </w:p>
          <w:p w14:paraId="12C142DB" w14:textId="121D8063" w:rsidR="00E87D3C" w:rsidRPr="003018A2" w:rsidRDefault="00E87D3C" w:rsidP="00A5263B">
            <w:r w:rsidRPr="00E87D3C">
              <w:t>(2020)</w:t>
            </w:r>
            <w:hyperlink w:anchor="_ENREF_54" w:tooltip="Nides, 2020 #639" w:history="1">
              <w:r w:rsidR="0039468B">
                <w:fldChar w:fldCharType="begin">
                  <w:fldData xml:space="preserve">PEVuZE5vdGU+PENpdGU+PEF1dGhvcj5OaWRlczwvQXV0aG9yPjxZZWFyPjIwMjA8L1llYXI+PFJl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</w:fldData>
                </w:fldChar>
              </w:r>
              <w:r w:rsidR="0039468B">
                <w:instrText xml:space="preserve"> ADDIN EN.CITE </w:instrText>
              </w:r>
              <w:r w:rsidR="0039468B">
                <w:fldChar w:fldCharType="begin">
                  <w:fldData xml:space="preserve">PEVuZE5vdGU+PENpdGU+PEF1dGhvcj5OaWRlczwvQXV0aG9yPjxZZWFyPjIwMjA8L1llYXI+PFJl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</w:fldData>
                </w:fldChar>
              </w:r>
              <w:r w:rsidR="0039468B">
                <w:instrText xml:space="preserve"> ADDIN EN.CITE.DATA </w:instrText>
              </w:r>
              <w:r w:rsidR="0039468B">
                <w:fldChar w:fldCharType="end"/>
              </w:r>
              <w:r w:rsidR="0039468B">
                <w:fldChar w:fldCharType="separate"/>
              </w:r>
              <w:r w:rsidR="0039468B" w:rsidRPr="0039468B">
                <w:rPr>
                  <w:noProof/>
                  <w:vertAlign w:val="superscript"/>
                </w:rPr>
                <w:t>54</w:t>
              </w:r>
              <w:r w:rsidR="0039468B">
                <w:fldChar w:fldCharType="end"/>
              </w:r>
            </w:hyperlink>
          </w:p>
        </w:tc>
        <w:tc>
          <w:tcPr>
            <w:tcW w:w="4029" w:type="pct"/>
          </w:tcPr>
          <w:p w14:paraId="1B2E90CB" w14:textId="4386F74F" w:rsidR="00E87D3C" w:rsidRPr="00485346" w:rsidRDefault="00BB30E9" w:rsidP="00A5263B">
            <w:r w:rsidRPr="00BB30E9">
              <w:t>Nides M, Danielsson T, Saunders F, Perfekt R, Kapikian R, Solla J, et al. Efficacy and Safety of a Nicotine Mouth Spray for Smoking Cessation: a Randomized, Multicenter, Controlled Study in a Naturalistic Setting. Nicotine &amp; tobacco research. 2020;22(3):339‐45.</w:t>
            </w:r>
          </w:p>
        </w:tc>
      </w:tr>
    </w:tbl>
    <w:p w14:paraId="0DA01268" w14:textId="55BBD71A" w:rsidR="00804397" w:rsidRPr="00714E65" w:rsidRDefault="00804397" w:rsidP="00CC0CCE">
      <w:pPr>
        <w:pStyle w:val="Heading4"/>
        <w:numPr>
          <w:ilvl w:val="0"/>
          <w:numId w:val="0"/>
        </w:numPr>
        <w:spacing w:before="120" w:after="120"/>
        <w:jc w:val="both"/>
      </w:pPr>
      <w:r w:rsidRPr="00714E65">
        <w:t>NRT dose</w:t>
      </w:r>
    </w:p>
    <w:p w14:paraId="50EECD90" w14:textId="7723A1F8" w:rsidR="00804397" w:rsidRPr="00AC572D" w:rsidRDefault="00804397" w:rsidP="002C2DB9">
      <w:pPr>
        <w:spacing w:after="120"/>
        <w:jc w:val="both"/>
      </w:pPr>
      <w:r w:rsidRPr="00713891">
        <w:t xml:space="preserve">A summary of the characteristics of the studies comparing </w:t>
      </w:r>
      <w:r>
        <w:t xml:space="preserve">the use of different NRT doses for achieving long-term smoking cessation </w:t>
      </w:r>
      <w:r w:rsidRPr="00713891">
        <w:t>is presented in</w:t>
      </w:r>
      <w:r w:rsidR="00602CA6">
        <w:t xml:space="preserve"> Table 83. </w:t>
      </w:r>
      <w:r>
        <w:t xml:space="preserve">The evidence is presented according to the dosage administered for each dosage form (patch or gum). </w:t>
      </w:r>
      <w:r w:rsidRPr="00713891">
        <w:t xml:space="preserve">A total of </w:t>
      </w:r>
      <w:r>
        <w:t>nine</w:t>
      </w:r>
      <w:r w:rsidRPr="00713891">
        <w:t xml:space="preserve"> </w:t>
      </w:r>
      <w:r>
        <w:t xml:space="preserve">and five </w:t>
      </w:r>
      <w:r w:rsidRPr="00713891">
        <w:t xml:space="preserve">RCTs comparing </w:t>
      </w:r>
      <w:r>
        <w:t xml:space="preserve">different doses of NRT </w:t>
      </w:r>
      <w:r w:rsidR="00573F59">
        <w:t>patches</w:t>
      </w:r>
      <w:r>
        <w:t xml:space="preserve"> and gum, respectively, </w:t>
      </w:r>
      <w:r w:rsidRPr="00713891">
        <w:t xml:space="preserve">were identified </w:t>
      </w:r>
      <w:r w:rsidRPr="00161E08">
        <w:t xml:space="preserve">in a recently conducted Cochrane </w:t>
      </w:r>
      <w:r w:rsidR="009C67FD" w:rsidRPr="00161E08">
        <w:t>R</w:t>
      </w:r>
      <w:r w:rsidRPr="00161E08">
        <w:t xml:space="preserve">eview </w:t>
      </w:r>
      <w:r w:rsidR="009C67FD" w:rsidRPr="009C67FD">
        <w:t xml:space="preserve">by Lindson et al. (2019) </w:t>
      </w:r>
      <w:r w:rsidRPr="00161E08">
        <w:t>and w</w:t>
      </w:r>
      <w:r>
        <w:t>ere</w:t>
      </w:r>
      <w:r w:rsidRPr="00161E08">
        <w:t xml:space="preserve"> included in this report</w:t>
      </w:r>
      <w:r>
        <w:t xml:space="preserve">. </w:t>
      </w:r>
      <w:r w:rsidRPr="00796FC8">
        <w:t xml:space="preserve">The characteristics of the individual studies are presented in </w:t>
      </w:r>
      <w:r w:rsidR="00050691" w:rsidRPr="006C333F">
        <w:t>Appendix</w:t>
      </w:r>
      <w:r w:rsidR="002C2DB9">
        <w:t xml:space="preserve"> Table 161.</w:t>
      </w:r>
      <w:r>
        <w:t xml:space="preserve"> </w:t>
      </w:r>
    </w:p>
    <w:p w14:paraId="2B85FD43" w14:textId="77777777" w:rsidR="00CC0CCE" w:rsidRDefault="00CC0CCE">
      <w:pPr>
        <w:spacing w:line="276" w:lineRule="auto"/>
        <w:rPr>
          <w:rFonts w:asciiTheme="minorHAnsi" w:eastAsia="Times New Roman" w:hAnsiTheme="minorHAnsi" w:cs="Times New Roman"/>
          <w:b/>
          <w:bCs/>
          <w:szCs w:val="18"/>
        </w:rPr>
      </w:pPr>
      <w:bookmarkStart w:id="150" w:name="_Ref59098605"/>
      <w:r>
        <w:br w:type="page"/>
      </w:r>
    </w:p>
    <w:p w14:paraId="72D0C053" w14:textId="616617EE" w:rsidR="003E1F15" w:rsidRDefault="003E1F15" w:rsidP="00CC0CCE">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83</w:t>
      </w:r>
      <w:r w:rsidR="00BF3F75">
        <w:rPr>
          <w:noProof/>
        </w:rPr>
        <w:fldChar w:fldCharType="end"/>
      </w:r>
      <w:bookmarkEnd w:id="150"/>
      <w:r>
        <w:t>: C</w:t>
      </w:r>
      <w:r w:rsidRPr="00D65DAB">
        <w:t>haracteristics of the studies</w:t>
      </w:r>
      <w:r>
        <w:t xml:space="preserve"> </w:t>
      </w:r>
      <w:r w:rsidR="00177EDB" w:rsidRPr="009B6A39">
        <w:t>comparing different NRT dose</w:t>
      </w:r>
    </w:p>
    <w:tbl>
      <w:tblPr>
        <w:tblStyle w:val="TableGrid"/>
        <w:tblW w:w="5107" w:type="pct"/>
        <w:tblLook w:val="04A0" w:firstRow="1" w:lastRow="0" w:firstColumn="1" w:lastColumn="0" w:noHBand="0" w:noVBand="1"/>
        <w:tblCaption w:val="Efficacy results of adalimumab trials (PASI 75 and DLQI)"/>
      </w:tblPr>
      <w:tblGrid>
        <w:gridCol w:w="756"/>
        <w:gridCol w:w="988"/>
        <w:gridCol w:w="2268"/>
        <w:gridCol w:w="2365"/>
        <w:gridCol w:w="1254"/>
        <w:gridCol w:w="1578"/>
      </w:tblGrid>
      <w:tr w:rsidR="00804397" w:rsidRPr="00061F78" w14:paraId="21B2612F" w14:textId="77777777" w:rsidTr="009C5583">
        <w:trPr>
          <w:trHeight w:val="299"/>
          <w:tblHeader/>
        </w:trPr>
        <w:tc>
          <w:tcPr>
            <w:tcW w:w="436" w:type="pct"/>
            <w:shd w:val="clear" w:color="auto" w:fill="BFBFBF" w:themeFill="background1" w:themeFillShade="BF"/>
            <w:tcMar>
              <w:left w:w="28" w:type="dxa"/>
              <w:right w:w="28" w:type="dxa"/>
            </w:tcMar>
          </w:tcPr>
          <w:p w14:paraId="7450E679" w14:textId="77777777" w:rsidR="00804397" w:rsidRPr="00061F78" w:rsidRDefault="00804397" w:rsidP="00050691">
            <w:pPr>
              <w:pStyle w:val="Tableheading"/>
              <w:rPr>
                <w:rFonts w:eastAsia="MS Mincho"/>
              </w:rPr>
            </w:pPr>
            <w:r>
              <w:rPr>
                <w:rFonts w:eastAsia="MS Mincho"/>
              </w:rPr>
              <w:t>Study</w:t>
            </w:r>
          </w:p>
        </w:tc>
        <w:tc>
          <w:tcPr>
            <w:tcW w:w="536" w:type="pct"/>
            <w:shd w:val="clear" w:color="auto" w:fill="BFBFBF" w:themeFill="background1" w:themeFillShade="BF"/>
          </w:tcPr>
          <w:p w14:paraId="5EA6B601" w14:textId="77777777" w:rsidR="00804397" w:rsidRDefault="00804397" w:rsidP="00050691">
            <w:pPr>
              <w:pStyle w:val="Tableheading"/>
              <w:jc w:val="center"/>
              <w:rPr>
                <w:rFonts w:eastAsia="MS Mincho"/>
              </w:rPr>
            </w:pPr>
            <w:r>
              <w:rPr>
                <w:rFonts w:eastAsia="MS Mincho"/>
              </w:rPr>
              <w:t>Study type</w:t>
            </w:r>
          </w:p>
        </w:tc>
        <w:tc>
          <w:tcPr>
            <w:tcW w:w="1257" w:type="pct"/>
            <w:shd w:val="clear" w:color="auto" w:fill="BFBFBF" w:themeFill="background1" w:themeFillShade="BF"/>
            <w:tcMar>
              <w:left w:w="28" w:type="dxa"/>
              <w:right w:w="28" w:type="dxa"/>
            </w:tcMar>
          </w:tcPr>
          <w:p w14:paraId="3CA11C8E" w14:textId="77777777" w:rsidR="00804397" w:rsidRPr="00AE21E9" w:rsidRDefault="00804397" w:rsidP="00050691">
            <w:pPr>
              <w:pStyle w:val="Tableheading"/>
              <w:jc w:val="center"/>
              <w:rPr>
                <w:rFonts w:eastAsia="MS Mincho"/>
                <w:vertAlign w:val="superscript"/>
              </w:rPr>
            </w:pPr>
            <w:r>
              <w:rPr>
                <w:rFonts w:eastAsia="MS Mincho"/>
              </w:rPr>
              <w:t>N</w:t>
            </w:r>
            <w:r>
              <w:rPr>
                <w:rFonts w:eastAsia="MS Mincho"/>
                <w:vertAlign w:val="superscript"/>
              </w:rPr>
              <w:t>1</w:t>
            </w:r>
          </w:p>
        </w:tc>
        <w:tc>
          <w:tcPr>
            <w:tcW w:w="1309" w:type="pct"/>
            <w:shd w:val="clear" w:color="auto" w:fill="BFBFBF" w:themeFill="background1" w:themeFillShade="BF"/>
            <w:tcMar>
              <w:left w:w="28" w:type="dxa"/>
              <w:right w:w="28" w:type="dxa"/>
            </w:tcMar>
          </w:tcPr>
          <w:p w14:paraId="0BD14569" w14:textId="77777777" w:rsidR="00804397" w:rsidRPr="00061F78" w:rsidRDefault="00804397" w:rsidP="00050691">
            <w:pPr>
              <w:pStyle w:val="Tableheading"/>
              <w:jc w:val="center"/>
              <w:rPr>
                <w:rFonts w:eastAsia="MS Mincho"/>
              </w:rPr>
            </w:pPr>
            <w:r w:rsidRPr="00061F78">
              <w:rPr>
                <w:rFonts w:eastAsia="MS Mincho"/>
              </w:rPr>
              <w:t>P</w:t>
            </w:r>
            <w:r>
              <w:rPr>
                <w:rFonts w:eastAsia="MS Mincho"/>
              </w:rPr>
              <w:t>opulation</w:t>
            </w:r>
          </w:p>
        </w:tc>
        <w:tc>
          <w:tcPr>
            <w:tcW w:w="580" w:type="pct"/>
            <w:shd w:val="clear" w:color="auto" w:fill="BFBFBF" w:themeFill="background1" w:themeFillShade="BF"/>
          </w:tcPr>
          <w:p w14:paraId="76608E1B" w14:textId="77777777" w:rsidR="00804397" w:rsidRDefault="00804397" w:rsidP="00050691">
            <w:pPr>
              <w:pStyle w:val="Tableheading"/>
              <w:jc w:val="center"/>
              <w:rPr>
                <w:rFonts w:eastAsia="MS Mincho"/>
              </w:rPr>
            </w:pPr>
            <w:r>
              <w:rPr>
                <w:rFonts w:eastAsia="MS Mincho"/>
              </w:rPr>
              <w:t>Intervention and comparator</w:t>
            </w:r>
          </w:p>
        </w:tc>
        <w:tc>
          <w:tcPr>
            <w:tcW w:w="882" w:type="pct"/>
            <w:shd w:val="clear" w:color="auto" w:fill="BFBFBF" w:themeFill="background1" w:themeFillShade="BF"/>
            <w:tcMar>
              <w:left w:w="28" w:type="dxa"/>
              <w:right w:w="28" w:type="dxa"/>
            </w:tcMar>
          </w:tcPr>
          <w:p w14:paraId="71388E27" w14:textId="77777777" w:rsidR="00804397" w:rsidRPr="00061F78" w:rsidRDefault="00804397" w:rsidP="00050691">
            <w:pPr>
              <w:pStyle w:val="Tableheading"/>
              <w:jc w:val="center"/>
              <w:rPr>
                <w:rFonts w:eastAsia="MS Mincho"/>
              </w:rPr>
            </w:pPr>
            <w:r>
              <w:rPr>
                <w:rFonts w:eastAsia="MS Mincho"/>
              </w:rPr>
              <w:t>Outcomes</w:t>
            </w:r>
          </w:p>
        </w:tc>
      </w:tr>
      <w:tr w:rsidR="00804397" w:rsidRPr="00061F78" w14:paraId="69E46B93" w14:textId="77777777" w:rsidTr="00744F70">
        <w:trPr>
          <w:trHeight w:val="149"/>
        </w:trPr>
        <w:tc>
          <w:tcPr>
            <w:tcW w:w="5000" w:type="pct"/>
            <w:gridSpan w:val="6"/>
            <w:shd w:val="clear" w:color="auto" w:fill="auto"/>
            <w:tcMar>
              <w:left w:w="28" w:type="dxa"/>
              <w:right w:w="28" w:type="dxa"/>
            </w:tcMar>
          </w:tcPr>
          <w:p w14:paraId="53471B05" w14:textId="77777777" w:rsidR="00804397" w:rsidRPr="0036499C" w:rsidRDefault="00804397" w:rsidP="00050691">
            <w:pPr>
              <w:pStyle w:val="Tableheading"/>
              <w:rPr>
                <w:rFonts w:eastAsia="MS Mincho"/>
                <w:u w:val="single"/>
              </w:rPr>
            </w:pPr>
            <w:r w:rsidRPr="00687B43">
              <w:rPr>
                <w:rFonts w:eastAsia="MS Mincho"/>
              </w:rPr>
              <w:t>Patch dose</w:t>
            </w:r>
          </w:p>
        </w:tc>
      </w:tr>
      <w:tr w:rsidR="00804397" w:rsidRPr="00061F78" w14:paraId="18D233DA" w14:textId="77777777" w:rsidTr="009C5583">
        <w:trPr>
          <w:trHeight w:val="149"/>
        </w:trPr>
        <w:tc>
          <w:tcPr>
            <w:tcW w:w="436" w:type="pct"/>
            <w:tcMar>
              <w:left w:w="28" w:type="dxa"/>
              <w:right w:w="28" w:type="dxa"/>
            </w:tcMar>
          </w:tcPr>
          <w:p w14:paraId="7AFFE1A8" w14:textId="68D89F72" w:rsidR="00804397" w:rsidRPr="00687B43" w:rsidRDefault="00804397" w:rsidP="00050691">
            <w:pPr>
              <w:pStyle w:val="Tablewriting"/>
              <w:rPr>
                <w:rFonts w:eastAsia="MS Mincho"/>
              </w:rPr>
            </w:pPr>
            <w:r w:rsidRPr="00687B43">
              <w:t>Lindson (2019)</w:t>
            </w:r>
          </w:p>
        </w:tc>
        <w:tc>
          <w:tcPr>
            <w:tcW w:w="536" w:type="pct"/>
          </w:tcPr>
          <w:p w14:paraId="4580E284" w14:textId="18CC2996" w:rsidR="00804397" w:rsidRDefault="00804397" w:rsidP="00050691">
            <w:pPr>
              <w:pStyle w:val="Tablewriting"/>
              <w:rPr>
                <w:rFonts w:eastAsia="MS Mincho"/>
              </w:rPr>
            </w:pPr>
            <w:r w:rsidRPr="00687B43">
              <w:rPr>
                <w:rFonts w:eastAsia="MS Mincho"/>
              </w:rPr>
              <w:t xml:space="preserve">Cochrane </w:t>
            </w:r>
            <w:r w:rsidR="002A78FB" w:rsidRPr="00687B43">
              <w:rPr>
                <w:rFonts w:eastAsia="MS Mincho"/>
              </w:rPr>
              <w:t>R</w:t>
            </w:r>
            <w:r w:rsidRPr="00687B43">
              <w:rPr>
                <w:rFonts w:eastAsia="MS Mincho"/>
              </w:rPr>
              <w:t xml:space="preserve">eview </w:t>
            </w:r>
          </w:p>
          <w:p w14:paraId="7C7EBEC9" w14:textId="77777777" w:rsidR="00804397" w:rsidRPr="00687B43" w:rsidRDefault="00804397" w:rsidP="00050691">
            <w:pPr>
              <w:pStyle w:val="Tablewriting"/>
              <w:rPr>
                <w:rFonts w:eastAsia="MS Mincho"/>
              </w:rPr>
            </w:pPr>
            <w:r w:rsidRPr="00687B43">
              <w:rPr>
                <w:rFonts w:eastAsia="MS Mincho"/>
              </w:rPr>
              <w:t>(9 RCTs</w:t>
            </w:r>
            <w:r w:rsidRPr="00687B43">
              <w:rPr>
                <w:rFonts w:eastAsia="MS Mincho"/>
                <w:vertAlign w:val="superscript"/>
              </w:rPr>
              <w:t>2</w:t>
            </w:r>
            <w:r w:rsidRPr="00687B43">
              <w:rPr>
                <w:rFonts w:eastAsia="MS Mincho"/>
              </w:rPr>
              <w:t>)</w:t>
            </w:r>
          </w:p>
        </w:tc>
        <w:tc>
          <w:tcPr>
            <w:tcW w:w="1257" w:type="pct"/>
            <w:tcMar>
              <w:left w:w="28" w:type="dxa"/>
              <w:right w:w="28" w:type="dxa"/>
            </w:tcMar>
          </w:tcPr>
          <w:p w14:paraId="256A273F" w14:textId="77777777" w:rsidR="00804397" w:rsidRDefault="00804397" w:rsidP="00050691">
            <w:pPr>
              <w:pStyle w:val="Tablewriting"/>
              <w:rPr>
                <w:rFonts w:eastAsia="MS Mincho"/>
                <w:u w:val="single"/>
              </w:rPr>
            </w:pPr>
            <w:r w:rsidRPr="004C35E0">
              <w:rPr>
                <w:rFonts w:eastAsia="MS Mincho"/>
                <w:u w:val="single"/>
              </w:rPr>
              <w:t>21 mg versus 14 mg (24-hour)</w:t>
            </w:r>
          </w:p>
          <w:p w14:paraId="74706A09" w14:textId="77777777" w:rsidR="00804397" w:rsidRPr="004C35E0" w:rsidRDefault="00804397" w:rsidP="00050691">
            <w:pPr>
              <w:pStyle w:val="Tablewriting"/>
              <w:rPr>
                <w:rFonts w:eastAsia="MS Mincho"/>
              </w:rPr>
            </w:pPr>
            <w:r w:rsidRPr="004C35E0">
              <w:rPr>
                <w:rFonts w:eastAsia="MS Mincho"/>
              </w:rPr>
              <w:t>N=537 (1 RCT)</w:t>
            </w:r>
          </w:p>
          <w:p w14:paraId="17A0C66B" w14:textId="77777777" w:rsidR="00804397" w:rsidRPr="007F3A7A" w:rsidRDefault="00804397" w:rsidP="00050691">
            <w:pPr>
              <w:pStyle w:val="Tablewriting"/>
              <w:rPr>
                <w:rFonts w:eastAsia="MS Mincho"/>
              </w:rPr>
            </w:pPr>
            <w:r w:rsidRPr="007F3A7A">
              <w:rPr>
                <w:rFonts w:eastAsia="MS Mincho"/>
              </w:rPr>
              <w:t>Higher dose (n=262),</w:t>
            </w:r>
          </w:p>
          <w:p w14:paraId="0DE8C71F" w14:textId="77777777" w:rsidR="00804397" w:rsidRPr="007F3A7A" w:rsidRDefault="00804397" w:rsidP="00050691">
            <w:pPr>
              <w:pStyle w:val="Tablewriting"/>
              <w:rPr>
                <w:rFonts w:eastAsia="MS Mincho"/>
              </w:rPr>
            </w:pPr>
            <w:r w:rsidRPr="007F3A7A">
              <w:rPr>
                <w:rFonts w:eastAsia="MS Mincho"/>
              </w:rPr>
              <w:t>Lower dose (n=275)</w:t>
            </w:r>
          </w:p>
          <w:p w14:paraId="362BB858" w14:textId="77777777" w:rsidR="00804397" w:rsidRDefault="00804397" w:rsidP="00050691">
            <w:pPr>
              <w:pStyle w:val="Tablewriting"/>
              <w:rPr>
                <w:rFonts w:eastAsia="MS Mincho"/>
                <w:u w:val="single"/>
              </w:rPr>
            </w:pPr>
          </w:p>
          <w:p w14:paraId="464BD7C4" w14:textId="77777777" w:rsidR="00804397" w:rsidRDefault="00804397" w:rsidP="00050691">
            <w:pPr>
              <w:pStyle w:val="Tablewriting"/>
              <w:rPr>
                <w:rFonts w:eastAsia="MS Mincho"/>
                <w:u w:val="single"/>
              </w:rPr>
            </w:pPr>
            <w:r w:rsidRPr="004C35E0">
              <w:rPr>
                <w:rFonts w:eastAsia="MS Mincho"/>
                <w:u w:val="single"/>
              </w:rPr>
              <w:t>25 mg versus 15 mg (16-hour)</w:t>
            </w:r>
          </w:p>
          <w:p w14:paraId="66A16533" w14:textId="6575EBD2" w:rsidR="00804397" w:rsidRPr="004C35E0" w:rsidRDefault="00804397" w:rsidP="00050691">
            <w:pPr>
              <w:pStyle w:val="Tablewriting"/>
              <w:rPr>
                <w:rFonts w:eastAsia="MS Mincho"/>
              </w:rPr>
            </w:pPr>
            <w:r w:rsidRPr="004C35E0">
              <w:rPr>
                <w:rFonts w:eastAsia="MS Mincho"/>
              </w:rPr>
              <w:t>N=3</w:t>
            </w:r>
            <w:r w:rsidR="00050691">
              <w:rPr>
                <w:rFonts w:eastAsia="MS Mincho"/>
              </w:rPr>
              <w:t>,</w:t>
            </w:r>
            <w:r w:rsidRPr="004C35E0">
              <w:rPr>
                <w:rFonts w:eastAsia="MS Mincho"/>
              </w:rPr>
              <w:t>446 (3 RCTs)</w:t>
            </w:r>
          </w:p>
          <w:p w14:paraId="58B43E0D" w14:textId="77E4B253" w:rsidR="00804397" w:rsidRPr="007F3A7A" w:rsidRDefault="00804397" w:rsidP="00050691">
            <w:pPr>
              <w:pStyle w:val="Tablewriting"/>
              <w:rPr>
                <w:rFonts w:eastAsia="MS Mincho"/>
              </w:rPr>
            </w:pPr>
            <w:r w:rsidRPr="007F3A7A">
              <w:rPr>
                <w:rFonts w:eastAsia="MS Mincho"/>
              </w:rPr>
              <w:t>Higher dose (n=1</w:t>
            </w:r>
            <w:r w:rsidR="00050691">
              <w:rPr>
                <w:rFonts w:eastAsia="MS Mincho"/>
              </w:rPr>
              <w:t>,</w:t>
            </w:r>
            <w:r w:rsidRPr="007F3A7A">
              <w:rPr>
                <w:rFonts w:eastAsia="MS Mincho"/>
              </w:rPr>
              <w:t>723),</w:t>
            </w:r>
          </w:p>
          <w:p w14:paraId="15BD617A" w14:textId="1B9A0E98" w:rsidR="00804397" w:rsidRPr="007F3A7A" w:rsidRDefault="00804397" w:rsidP="00050691">
            <w:pPr>
              <w:pStyle w:val="Tablewriting"/>
              <w:rPr>
                <w:rFonts w:eastAsia="MS Mincho"/>
              </w:rPr>
            </w:pPr>
            <w:r w:rsidRPr="007F3A7A">
              <w:rPr>
                <w:rFonts w:eastAsia="MS Mincho"/>
              </w:rPr>
              <w:t>Lower dose (n=1</w:t>
            </w:r>
            <w:r w:rsidR="00050691">
              <w:rPr>
                <w:rFonts w:eastAsia="MS Mincho"/>
              </w:rPr>
              <w:t>,</w:t>
            </w:r>
            <w:r w:rsidRPr="007F3A7A">
              <w:rPr>
                <w:rFonts w:eastAsia="MS Mincho"/>
              </w:rPr>
              <w:t>723)</w:t>
            </w:r>
          </w:p>
          <w:p w14:paraId="1D513640" w14:textId="77777777" w:rsidR="00804397" w:rsidRDefault="00804397" w:rsidP="00050691">
            <w:pPr>
              <w:pStyle w:val="Tablewriting"/>
              <w:rPr>
                <w:rFonts w:eastAsia="MS Mincho"/>
                <w:highlight w:val="yellow"/>
                <w:u w:val="single"/>
              </w:rPr>
            </w:pPr>
          </w:p>
          <w:p w14:paraId="4F9B002D" w14:textId="77777777" w:rsidR="00804397" w:rsidRDefault="00804397" w:rsidP="00050691">
            <w:pPr>
              <w:pStyle w:val="Tablewriting"/>
              <w:rPr>
                <w:rFonts w:eastAsia="MS Mincho"/>
                <w:u w:val="single"/>
              </w:rPr>
            </w:pPr>
            <w:r w:rsidRPr="004C35E0">
              <w:rPr>
                <w:rFonts w:eastAsia="MS Mincho"/>
                <w:u w:val="single"/>
              </w:rPr>
              <w:t>42/44 mg versus 21/22 mg (24-hour)</w:t>
            </w:r>
          </w:p>
          <w:p w14:paraId="0862B0C4" w14:textId="04A2C19E" w:rsidR="00804397" w:rsidRPr="009F227B" w:rsidRDefault="00804397" w:rsidP="00050691">
            <w:pPr>
              <w:pStyle w:val="Tablewriting"/>
              <w:rPr>
                <w:rFonts w:eastAsia="MS Mincho"/>
              </w:rPr>
            </w:pPr>
            <w:r w:rsidRPr="009F227B">
              <w:rPr>
                <w:rFonts w:eastAsia="MS Mincho"/>
              </w:rPr>
              <w:t>N=1</w:t>
            </w:r>
            <w:r w:rsidR="002A78FB">
              <w:rPr>
                <w:rFonts w:eastAsia="MS Mincho"/>
              </w:rPr>
              <w:t>,</w:t>
            </w:r>
            <w:r w:rsidRPr="009F227B">
              <w:rPr>
                <w:rFonts w:eastAsia="MS Mincho"/>
              </w:rPr>
              <w:t>655 (5 RCTs)</w:t>
            </w:r>
          </w:p>
          <w:p w14:paraId="4D2410B1" w14:textId="77777777" w:rsidR="00804397" w:rsidRPr="007F3A7A" w:rsidRDefault="00804397" w:rsidP="00050691">
            <w:pPr>
              <w:pStyle w:val="Tablewriting"/>
              <w:rPr>
                <w:rFonts w:eastAsia="MS Mincho"/>
              </w:rPr>
            </w:pPr>
            <w:r w:rsidRPr="007F3A7A">
              <w:rPr>
                <w:rFonts w:eastAsia="MS Mincho"/>
              </w:rPr>
              <w:t>Higher dose (n=828),</w:t>
            </w:r>
          </w:p>
          <w:p w14:paraId="7BA126B2" w14:textId="77777777" w:rsidR="00804397" w:rsidRPr="00687B43" w:rsidRDefault="00804397" w:rsidP="00050691">
            <w:pPr>
              <w:pStyle w:val="Tablewriting"/>
              <w:rPr>
                <w:rFonts w:eastAsia="MS Mincho"/>
                <w:highlight w:val="yellow"/>
              </w:rPr>
            </w:pPr>
            <w:r w:rsidRPr="007F3A7A">
              <w:rPr>
                <w:rFonts w:eastAsia="MS Mincho"/>
              </w:rPr>
              <w:t>Lower dose (n=827)</w:t>
            </w:r>
          </w:p>
        </w:tc>
        <w:tc>
          <w:tcPr>
            <w:tcW w:w="1309" w:type="pct"/>
            <w:tcMar>
              <w:left w:w="28" w:type="dxa"/>
              <w:right w:w="28" w:type="dxa"/>
            </w:tcMar>
          </w:tcPr>
          <w:p w14:paraId="7056770B" w14:textId="77777777" w:rsidR="00804397" w:rsidRPr="00DC607E" w:rsidRDefault="00804397" w:rsidP="00050691">
            <w:pPr>
              <w:pStyle w:val="Tablewriting"/>
              <w:rPr>
                <w:rFonts w:eastAsia="MS Mincho"/>
              </w:rPr>
            </w:pPr>
            <w:r w:rsidRPr="00DC607E">
              <w:rPr>
                <w:rFonts w:eastAsia="MS Mincho"/>
                <w:u w:val="single"/>
              </w:rPr>
              <w:t>Inclusion</w:t>
            </w:r>
            <w:r w:rsidRPr="00DC607E">
              <w:rPr>
                <w:rFonts w:eastAsia="MS Mincho"/>
              </w:rPr>
              <w:t>:</w:t>
            </w:r>
          </w:p>
          <w:p w14:paraId="4021CEEB" w14:textId="5969C27A" w:rsidR="00804397" w:rsidRPr="00DC607E" w:rsidRDefault="00804397" w:rsidP="00050691">
            <w:pPr>
              <w:pStyle w:val="Tablewriting"/>
              <w:rPr>
                <w:rFonts w:eastAsia="MS Mincho"/>
              </w:rPr>
            </w:pPr>
            <w:r w:rsidRPr="00DC607E">
              <w:rPr>
                <w:rFonts w:eastAsia="MS Mincho"/>
              </w:rPr>
              <w:t>Adult smokers with an average age of approximately 45, who smoked at least 15 cigarettes a day</w:t>
            </w:r>
            <w:r w:rsidR="002A78FB">
              <w:rPr>
                <w:rFonts w:eastAsia="MS Mincho"/>
              </w:rPr>
              <w:t>,</w:t>
            </w:r>
            <w:r>
              <w:rPr>
                <w:rFonts w:eastAsia="MS Mincho"/>
              </w:rPr>
              <w:t xml:space="preserve"> </w:t>
            </w:r>
            <w:r w:rsidR="002A78FB" w:rsidRPr="0050095A">
              <w:rPr>
                <w:rFonts w:eastAsia="MS Mincho"/>
              </w:rPr>
              <w:t>s</w:t>
            </w:r>
            <w:r w:rsidRPr="0050095A">
              <w:rPr>
                <w:rFonts w:eastAsia="MS Mincho"/>
              </w:rPr>
              <w:t>tudies</w:t>
            </w:r>
            <w:r>
              <w:rPr>
                <w:rFonts w:eastAsia="MS Mincho"/>
              </w:rPr>
              <w:t xml:space="preserve"> </w:t>
            </w:r>
            <w:r w:rsidRPr="0050095A">
              <w:rPr>
                <w:rFonts w:eastAsia="MS Mincho"/>
              </w:rPr>
              <w:t>lasted for at least six months</w:t>
            </w:r>
            <w:r>
              <w:rPr>
                <w:rFonts w:eastAsia="MS Mincho"/>
              </w:rPr>
              <w:t xml:space="preserve">. </w:t>
            </w:r>
          </w:p>
          <w:p w14:paraId="6C0BD2D4" w14:textId="77777777" w:rsidR="00804397" w:rsidRPr="00DC607E" w:rsidRDefault="00804397" w:rsidP="00050691">
            <w:pPr>
              <w:pStyle w:val="Tablewriting"/>
              <w:rPr>
                <w:rFonts w:eastAsia="MS Mincho"/>
              </w:rPr>
            </w:pPr>
            <w:r w:rsidRPr="00DC607E">
              <w:rPr>
                <w:rFonts w:eastAsia="MS Mincho"/>
                <w:u w:val="single"/>
              </w:rPr>
              <w:t>Exclusion</w:t>
            </w:r>
            <w:r w:rsidRPr="00DC607E">
              <w:rPr>
                <w:rFonts w:eastAsia="MS Mincho"/>
              </w:rPr>
              <w:t xml:space="preserve">: Trials that did not assess cessation as an outcome, with follow-up less than six months, and with additional intervention components not matched between arms. Trials comparing NRT to control, and trials comparing NRT to other pharmacotherapies. </w:t>
            </w:r>
          </w:p>
        </w:tc>
        <w:tc>
          <w:tcPr>
            <w:tcW w:w="580" w:type="pct"/>
          </w:tcPr>
          <w:p w14:paraId="1CA3F778" w14:textId="77777777" w:rsidR="00804397" w:rsidRPr="007F3A7A" w:rsidRDefault="00804397" w:rsidP="00050691">
            <w:pPr>
              <w:pStyle w:val="Tablewriting"/>
              <w:rPr>
                <w:rFonts w:eastAsia="MS Mincho"/>
              </w:rPr>
            </w:pPr>
            <w:r w:rsidRPr="007F3A7A">
              <w:rPr>
                <w:rFonts w:eastAsia="MS Mincho"/>
              </w:rPr>
              <w:t xml:space="preserve">Higher dose patch </w:t>
            </w:r>
          </w:p>
          <w:p w14:paraId="59597229" w14:textId="77777777" w:rsidR="00804397" w:rsidRPr="00687B43" w:rsidRDefault="00804397" w:rsidP="00050691">
            <w:pPr>
              <w:pStyle w:val="Tablewriting"/>
              <w:rPr>
                <w:rFonts w:eastAsia="MS Mincho"/>
                <w:highlight w:val="yellow"/>
              </w:rPr>
            </w:pPr>
            <w:r w:rsidRPr="007F3A7A">
              <w:rPr>
                <w:rFonts w:eastAsia="MS Mincho"/>
              </w:rPr>
              <w:t>Lower dose patch</w:t>
            </w:r>
          </w:p>
        </w:tc>
        <w:tc>
          <w:tcPr>
            <w:tcW w:w="882" w:type="pct"/>
            <w:tcMar>
              <w:left w:w="28" w:type="dxa"/>
              <w:right w:w="28" w:type="dxa"/>
            </w:tcMar>
          </w:tcPr>
          <w:p w14:paraId="577D783E" w14:textId="77777777" w:rsidR="00804397" w:rsidRPr="0050095A" w:rsidRDefault="00804397" w:rsidP="00050691">
            <w:pPr>
              <w:pStyle w:val="Tablewriting"/>
              <w:rPr>
                <w:rFonts w:eastAsia="MS Mincho"/>
              </w:rPr>
            </w:pPr>
            <w:r w:rsidRPr="0050095A">
              <w:rPr>
                <w:rFonts w:eastAsia="MS Mincho"/>
                <w:u w:val="single"/>
              </w:rPr>
              <w:t>Primary</w:t>
            </w:r>
            <w:r w:rsidRPr="0050095A">
              <w:rPr>
                <w:rFonts w:eastAsia="MS Mincho"/>
              </w:rPr>
              <w:t>: smoking cessation rates of at least six months after baseline.</w:t>
            </w:r>
          </w:p>
          <w:p w14:paraId="037ACB34" w14:textId="5716D0A2" w:rsidR="00804397" w:rsidRPr="0050095A" w:rsidRDefault="00804397" w:rsidP="00050691">
            <w:pPr>
              <w:pStyle w:val="Tablewriting"/>
              <w:rPr>
                <w:rFonts w:eastAsia="MS Mincho"/>
                <w:u w:val="single"/>
              </w:rPr>
            </w:pPr>
            <w:r w:rsidRPr="0050095A">
              <w:rPr>
                <w:rFonts w:eastAsia="MS Mincho"/>
                <w:u w:val="single"/>
              </w:rPr>
              <w:t>Secondary</w:t>
            </w:r>
            <w:r w:rsidRPr="0050095A">
              <w:rPr>
                <w:rFonts w:eastAsia="MS Mincho"/>
              </w:rPr>
              <w:t xml:space="preserve">: safety including cardiac adverse events, serious adverse </w:t>
            </w:r>
            <w:r w:rsidR="00826C95" w:rsidRPr="0050095A">
              <w:rPr>
                <w:rFonts w:eastAsia="MS Mincho"/>
              </w:rPr>
              <w:t>events,</w:t>
            </w:r>
            <w:r w:rsidRPr="0050095A">
              <w:rPr>
                <w:rFonts w:eastAsia="MS Mincho"/>
              </w:rPr>
              <w:t xml:space="preserve"> and withdrawals due to treatment.</w:t>
            </w:r>
          </w:p>
        </w:tc>
      </w:tr>
      <w:tr w:rsidR="00804397" w:rsidRPr="00061F78" w14:paraId="74689990" w14:textId="77777777" w:rsidTr="00744F70">
        <w:trPr>
          <w:trHeight w:val="149"/>
        </w:trPr>
        <w:tc>
          <w:tcPr>
            <w:tcW w:w="5000" w:type="pct"/>
            <w:gridSpan w:val="6"/>
            <w:shd w:val="clear" w:color="auto" w:fill="auto"/>
            <w:tcMar>
              <w:left w:w="28" w:type="dxa"/>
              <w:right w:w="28" w:type="dxa"/>
            </w:tcMar>
          </w:tcPr>
          <w:p w14:paraId="531C013E" w14:textId="77777777" w:rsidR="00804397" w:rsidRPr="0050095A" w:rsidRDefault="00804397" w:rsidP="00050691">
            <w:pPr>
              <w:pStyle w:val="Tableheading"/>
              <w:rPr>
                <w:rFonts w:eastAsia="MS Mincho"/>
                <w:b w:val="0"/>
                <w:bCs w:val="0"/>
              </w:rPr>
            </w:pPr>
            <w:r w:rsidRPr="0050095A">
              <w:rPr>
                <w:rFonts w:eastAsia="MS Mincho"/>
              </w:rPr>
              <w:t>Gum dose</w:t>
            </w:r>
          </w:p>
        </w:tc>
      </w:tr>
      <w:tr w:rsidR="00804397" w:rsidRPr="00061F78" w14:paraId="3EB05088" w14:textId="77777777" w:rsidTr="009C5583">
        <w:trPr>
          <w:trHeight w:val="149"/>
        </w:trPr>
        <w:tc>
          <w:tcPr>
            <w:tcW w:w="436" w:type="pct"/>
            <w:tcMar>
              <w:left w:w="28" w:type="dxa"/>
              <w:right w:w="28" w:type="dxa"/>
            </w:tcMar>
          </w:tcPr>
          <w:p w14:paraId="6BD814AF" w14:textId="6D6CE8A1" w:rsidR="00804397" w:rsidRDefault="00AD42E5" w:rsidP="00050691">
            <w:pPr>
              <w:pStyle w:val="Tablewriting"/>
              <w:rPr>
                <w:rFonts w:eastAsia="MS Mincho"/>
              </w:rPr>
            </w:pPr>
            <w:r>
              <w:t>Lindson</w:t>
            </w:r>
            <w:r w:rsidRPr="00713891">
              <w:t xml:space="preserve"> (</w:t>
            </w:r>
            <w:r w:rsidR="00804397" w:rsidRPr="00713891">
              <w:t>201</w:t>
            </w:r>
            <w:r w:rsidR="00804397">
              <w:t>9</w:t>
            </w:r>
            <w:r w:rsidR="00804397" w:rsidRPr="00713891">
              <w:t>)</w:t>
            </w:r>
          </w:p>
        </w:tc>
        <w:tc>
          <w:tcPr>
            <w:tcW w:w="536" w:type="pct"/>
          </w:tcPr>
          <w:p w14:paraId="5B9E62A7" w14:textId="78698F13" w:rsidR="00804397" w:rsidRDefault="00804397" w:rsidP="00050691">
            <w:pPr>
              <w:pStyle w:val="Tablewriting"/>
              <w:rPr>
                <w:rFonts w:eastAsia="MS Mincho"/>
              </w:rPr>
            </w:pPr>
            <w:r w:rsidRPr="00687B43">
              <w:rPr>
                <w:rFonts w:eastAsia="MS Mincho"/>
              </w:rPr>
              <w:t xml:space="preserve">Cochrane </w:t>
            </w:r>
            <w:r w:rsidR="002A78FB" w:rsidRPr="00687B43">
              <w:rPr>
                <w:rFonts w:eastAsia="MS Mincho"/>
              </w:rPr>
              <w:t>R</w:t>
            </w:r>
            <w:r w:rsidRPr="00687B43">
              <w:rPr>
                <w:rFonts w:eastAsia="MS Mincho"/>
              </w:rPr>
              <w:t xml:space="preserve">eview </w:t>
            </w:r>
          </w:p>
          <w:p w14:paraId="663B7BDB" w14:textId="77777777" w:rsidR="00804397" w:rsidRDefault="00804397" w:rsidP="00050691">
            <w:pPr>
              <w:pStyle w:val="Tablewriting"/>
              <w:rPr>
                <w:rFonts w:eastAsia="MS Mincho"/>
              </w:rPr>
            </w:pPr>
            <w:r w:rsidRPr="00687B43">
              <w:rPr>
                <w:rFonts w:eastAsia="MS Mincho"/>
              </w:rPr>
              <w:t>(</w:t>
            </w:r>
            <w:r>
              <w:rPr>
                <w:rFonts w:eastAsia="MS Mincho"/>
              </w:rPr>
              <w:t>5</w:t>
            </w:r>
            <w:r w:rsidRPr="00687B43">
              <w:rPr>
                <w:rFonts w:eastAsia="MS Mincho"/>
              </w:rPr>
              <w:t xml:space="preserve"> RCTs</w:t>
            </w:r>
            <w:r w:rsidRPr="00687B43">
              <w:rPr>
                <w:rFonts w:eastAsia="MS Mincho"/>
                <w:vertAlign w:val="superscript"/>
              </w:rPr>
              <w:t>2</w:t>
            </w:r>
            <w:r w:rsidRPr="00687B43">
              <w:rPr>
                <w:rFonts w:eastAsia="MS Mincho"/>
              </w:rPr>
              <w:t>)</w:t>
            </w:r>
          </w:p>
        </w:tc>
        <w:tc>
          <w:tcPr>
            <w:tcW w:w="1257" w:type="pct"/>
            <w:tcMar>
              <w:left w:w="28" w:type="dxa"/>
              <w:right w:w="28" w:type="dxa"/>
            </w:tcMar>
          </w:tcPr>
          <w:p w14:paraId="130B5C93" w14:textId="77777777" w:rsidR="00804397" w:rsidRPr="009A2294" w:rsidRDefault="00804397" w:rsidP="00050691">
            <w:pPr>
              <w:pStyle w:val="Tablewriting"/>
              <w:rPr>
                <w:rFonts w:eastAsia="MS Mincho"/>
                <w:b/>
                <w:bCs/>
              </w:rPr>
            </w:pPr>
            <w:r w:rsidRPr="009A2294">
              <w:rPr>
                <w:rFonts w:eastAsia="MS Mincho"/>
                <w:b/>
                <w:bCs/>
              </w:rPr>
              <w:t>High-dependency smokers</w:t>
            </w:r>
          </w:p>
          <w:p w14:paraId="35EB28FA" w14:textId="77777777"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14:paraId="198FD3CB" w14:textId="77777777" w:rsidR="00804397" w:rsidRPr="007F3A7A" w:rsidRDefault="00804397" w:rsidP="00050691">
            <w:pPr>
              <w:pStyle w:val="Tablewriting"/>
              <w:rPr>
                <w:rFonts w:eastAsia="MS Mincho"/>
              </w:rPr>
            </w:pPr>
            <w:r w:rsidRPr="007F3A7A">
              <w:rPr>
                <w:rFonts w:eastAsia="MS Mincho"/>
              </w:rPr>
              <w:t xml:space="preserve">N= </w:t>
            </w:r>
            <w:r>
              <w:rPr>
                <w:rFonts w:eastAsia="MS Mincho"/>
              </w:rPr>
              <w:t xml:space="preserve">618 </w:t>
            </w:r>
            <w:r w:rsidRPr="007F3A7A">
              <w:rPr>
                <w:rFonts w:eastAsia="MS Mincho"/>
              </w:rPr>
              <w:t>(</w:t>
            </w:r>
            <w:r>
              <w:rPr>
                <w:rFonts w:eastAsia="MS Mincho"/>
              </w:rPr>
              <w:t>4</w:t>
            </w:r>
            <w:r w:rsidRPr="007F3A7A">
              <w:rPr>
                <w:rFonts w:eastAsia="MS Mincho"/>
              </w:rPr>
              <w:t xml:space="preserve"> RCTs)</w:t>
            </w:r>
          </w:p>
          <w:p w14:paraId="3DBCC579" w14:textId="77777777" w:rsidR="00804397" w:rsidRPr="007F3A7A" w:rsidRDefault="00804397" w:rsidP="00050691">
            <w:pPr>
              <w:pStyle w:val="Tablewriting"/>
              <w:rPr>
                <w:rFonts w:eastAsia="MS Mincho"/>
              </w:rPr>
            </w:pPr>
            <w:r w:rsidRPr="007F3A7A">
              <w:rPr>
                <w:rFonts w:eastAsia="MS Mincho"/>
              </w:rPr>
              <w:t>4 mg gum (n=</w:t>
            </w:r>
            <w:r>
              <w:rPr>
                <w:rFonts w:eastAsia="MS Mincho"/>
              </w:rPr>
              <w:t>303</w:t>
            </w:r>
            <w:r w:rsidRPr="007F3A7A">
              <w:rPr>
                <w:rFonts w:eastAsia="MS Mincho"/>
              </w:rPr>
              <w:t>),</w:t>
            </w:r>
          </w:p>
          <w:p w14:paraId="0DF08BAD" w14:textId="77777777" w:rsidR="00804397" w:rsidRPr="00BA211C" w:rsidRDefault="00804397" w:rsidP="00050691">
            <w:pPr>
              <w:pStyle w:val="Tablewriting"/>
              <w:rPr>
                <w:rFonts w:eastAsia="MS Mincho"/>
              </w:rPr>
            </w:pPr>
            <w:r w:rsidRPr="007F3A7A">
              <w:rPr>
                <w:rFonts w:eastAsia="MS Mincho"/>
              </w:rPr>
              <w:t>2 mg gum (n=</w:t>
            </w:r>
            <w:r>
              <w:rPr>
                <w:rFonts w:eastAsia="MS Mincho"/>
              </w:rPr>
              <w:t>315</w:t>
            </w:r>
            <w:r w:rsidRPr="007F3A7A">
              <w:rPr>
                <w:rFonts w:eastAsia="MS Mincho"/>
              </w:rPr>
              <w:t>)</w:t>
            </w:r>
          </w:p>
          <w:p w14:paraId="602B21B8" w14:textId="77777777" w:rsidR="00804397" w:rsidRPr="00BA211C" w:rsidRDefault="00804397" w:rsidP="00050691">
            <w:pPr>
              <w:pStyle w:val="Tablewriting"/>
              <w:rPr>
                <w:rFonts w:eastAsia="MS Mincho"/>
                <w:u w:val="single"/>
              </w:rPr>
            </w:pPr>
          </w:p>
          <w:p w14:paraId="71B980AF" w14:textId="77777777" w:rsidR="00804397" w:rsidRPr="009A2294" w:rsidRDefault="00804397" w:rsidP="00050691">
            <w:pPr>
              <w:pStyle w:val="Tablewriting"/>
              <w:rPr>
                <w:rFonts w:eastAsia="MS Mincho"/>
                <w:b/>
                <w:bCs/>
              </w:rPr>
            </w:pPr>
            <w:r w:rsidRPr="009A2294">
              <w:rPr>
                <w:rFonts w:eastAsia="MS Mincho"/>
                <w:b/>
                <w:bCs/>
              </w:rPr>
              <w:t>Low-dependency smokers</w:t>
            </w:r>
          </w:p>
          <w:p w14:paraId="748AA88A" w14:textId="77777777"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14:paraId="0670B6CA" w14:textId="77777777" w:rsidR="00804397" w:rsidRPr="007F3A7A" w:rsidRDefault="00804397" w:rsidP="00050691">
            <w:pPr>
              <w:pStyle w:val="Tablewriting"/>
              <w:rPr>
                <w:rFonts w:eastAsia="MS Mincho"/>
              </w:rPr>
            </w:pPr>
            <w:r w:rsidRPr="007F3A7A">
              <w:rPr>
                <w:rFonts w:eastAsia="MS Mincho"/>
              </w:rPr>
              <w:t xml:space="preserve">N= </w:t>
            </w:r>
            <w:r>
              <w:rPr>
                <w:rFonts w:eastAsia="MS Mincho"/>
              </w:rPr>
              <w:t xml:space="preserve">238 </w:t>
            </w:r>
            <w:r w:rsidRPr="007F3A7A">
              <w:rPr>
                <w:rFonts w:eastAsia="MS Mincho"/>
              </w:rPr>
              <w:t>(</w:t>
            </w:r>
            <w:r>
              <w:rPr>
                <w:rFonts w:eastAsia="MS Mincho"/>
              </w:rPr>
              <w:t>3</w:t>
            </w:r>
            <w:r w:rsidRPr="007F3A7A">
              <w:rPr>
                <w:rFonts w:eastAsia="MS Mincho"/>
              </w:rPr>
              <w:t xml:space="preserve"> RCTs)</w:t>
            </w:r>
          </w:p>
          <w:p w14:paraId="2D211237" w14:textId="77777777" w:rsidR="00804397" w:rsidRPr="007F3A7A" w:rsidRDefault="00804397" w:rsidP="00050691">
            <w:pPr>
              <w:pStyle w:val="Tablewriting"/>
              <w:rPr>
                <w:rFonts w:eastAsia="MS Mincho"/>
              </w:rPr>
            </w:pPr>
            <w:r w:rsidRPr="007F3A7A">
              <w:rPr>
                <w:rFonts w:eastAsia="MS Mincho"/>
              </w:rPr>
              <w:t>4 mg gum (n=</w:t>
            </w:r>
            <w:r>
              <w:rPr>
                <w:rFonts w:eastAsia="MS Mincho"/>
              </w:rPr>
              <w:t>123</w:t>
            </w:r>
            <w:r w:rsidRPr="007F3A7A">
              <w:rPr>
                <w:rFonts w:eastAsia="MS Mincho"/>
              </w:rPr>
              <w:t>),</w:t>
            </w:r>
          </w:p>
          <w:p w14:paraId="68C48F9C" w14:textId="77777777" w:rsidR="00804397" w:rsidRDefault="00804397" w:rsidP="00050691">
            <w:pPr>
              <w:pStyle w:val="Tablewriting"/>
              <w:rPr>
                <w:rFonts w:eastAsia="MS Mincho"/>
              </w:rPr>
            </w:pPr>
            <w:r w:rsidRPr="007F3A7A">
              <w:rPr>
                <w:rFonts w:eastAsia="MS Mincho"/>
              </w:rPr>
              <w:t>2 mg gum (n=</w:t>
            </w:r>
            <w:r>
              <w:rPr>
                <w:rFonts w:eastAsia="MS Mincho"/>
              </w:rPr>
              <w:t>115</w:t>
            </w:r>
            <w:r w:rsidRPr="007F3A7A">
              <w:rPr>
                <w:rFonts w:eastAsia="MS Mincho"/>
              </w:rPr>
              <w:t>)</w:t>
            </w:r>
          </w:p>
          <w:p w14:paraId="57C64663" w14:textId="77777777" w:rsidR="00804397" w:rsidRDefault="00804397" w:rsidP="00050691">
            <w:pPr>
              <w:pStyle w:val="Tablewriting"/>
              <w:rPr>
                <w:rFonts w:eastAsia="MS Mincho"/>
              </w:rPr>
            </w:pPr>
          </w:p>
          <w:p w14:paraId="6C872153" w14:textId="77777777" w:rsidR="00804397" w:rsidRPr="009A2294" w:rsidRDefault="00804397" w:rsidP="00050691">
            <w:pPr>
              <w:pStyle w:val="Tablewriting"/>
              <w:rPr>
                <w:rFonts w:eastAsia="MS Mincho"/>
                <w:b/>
                <w:bCs/>
              </w:rPr>
            </w:pPr>
            <w:r>
              <w:rPr>
                <w:rFonts w:eastAsia="MS Mincho"/>
                <w:b/>
                <w:bCs/>
              </w:rPr>
              <w:t>General population (</w:t>
            </w:r>
            <w:r w:rsidRPr="009A2294">
              <w:rPr>
                <w:rFonts w:eastAsia="MS Mincho"/>
                <w:b/>
                <w:bCs/>
              </w:rPr>
              <w:t>high- and low-dependency</w:t>
            </w:r>
            <w:r>
              <w:rPr>
                <w:rFonts w:eastAsia="MS Mincho"/>
                <w:b/>
                <w:bCs/>
              </w:rPr>
              <w:t>)</w:t>
            </w:r>
          </w:p>
          <w:p w14:paraId="1716536F" w14:textId="77777777" w:rsidR="00804397" w:rsidRPr="007F3A7A" w:rsidRDefault="00804397" w:rsidP="00050691">
            <w:pPr>
              <w:pStyle w:val="Tablewriting"/>
              <w:rPr>
                <w:rFonts w:eastAsia="MS Mincho"/>
                <w:u w:val="single"/>
              </w:rPr>
            </w:pPr>
            <w:r>
              <w:rPr>
                <w:rFonts w:eastAsia="MS Mincho"/>
                <w:u w:val="single"/>
              </w:rPr>
              <w:t>4</w:t>
            </w:r>
            <w:r w:rsidRPr="004C35E0">
              <w:rPr>
                <w:rFonts w:eastAsia="MS Mincho"/>
                <w:u w:val="single"/>
              </w:rPr>
              <w:t xml:space="preserve"> mg versus </w:t>
            </w:r>
            <w:r>
              <w:rPr>
                <w:rFonts w:eastAsia="MS Mincho"/>
                <w:u w:val="single"/>
              </w:rPr>
              <w:t>2</w:t>
            </w:r>
            <w:r w:rsidRPr="004C35E0">
              <w:rPr>
                <w:rFonts w:eastAsia="MS Mincho"/>
                <w:u w:val="single"/>
              </w:rPr>
              <w:t xml:space="preserve"> </w:t>
            </w:r>
            <w:r w:rsidRPr="007F3A7A">
              <w:rPr>
                <w:rFonts w:eastAsia="MS Mincho"/>
                <w:u w:val="single"/>
              </w:rPr>
              <w:t>mg gum</w:t>
            </w:r>
          </w:p>
          <w:p w14:paraId="4E8B7A8D" w14:textId="77777777" w:rsidR="00804397" w:rsidRPr="007F3A7A" w:rsidRDefault="00804397" w:rsidP="00050691">
            <w:pPr>
              <w:pStyle w:val="Tablewriting"/>
              <w:rPr>
                <w:rFonts w:eastAsia="MS Mincho"/>
              </w:rPr>
            </w:pPr>
            <w:r w:rsidRPr="007F3A7A">
              <w:rPr>
                <w:rFonts w:eastAsia="MS Mincho"/>
              </w:rPr>
              <w:t>N=856 (5 RCTs)</w:t>
            </w:r>
          </w:p>
          <w:p w14:paraId="57E95A06" w14:textId="77777777" w:rsidR="00804397" w:rsidRPr="007F3A7A" w:rsidRDefault="00804397" w:rsidP="00050691">
            <w:pPr>
              <w:pStyle w:val="Tablewriting"/>
              <w:rPr>
                <w:rFonts w:eastAsia="MS Mincho"/>
              </w:rPr>
            </w:pPr>
            <w:r w:rsidRPr="007F3A7A">
              <w:rPr>
                <w:rFonts w:eastAsia="MS Mincho"/>
              </w:rPr>
              <w:t>4 mg gum (n=</w:t>
            </w:r>
            <w:r>
              <w:rPr>
                <w:rFonts w:eastAsia="MS Mincho"/>
              </w:rPr>
              <w:t>426</w:t>
            </w:r>
            <w:r w:rsidRPr="007F3A7A">
              <w:rPr>
                <w:rFonts w:eastAsia="MS Mincho"/>
              </w:rPr>
              <w:t>),</w:t>
            </w:r>
          </w:p>
          <w:p w14:paraId="2E2F7A1D" w14:textId="77777777" w:rsidR="00804397" w:rsidRPr="00401D4A" w:rsidRDefault="00804397" w:rsidP="00050691">
            <w:pPr>
              <w:pStyle w:val="Tablewriting"/>
              <w:rPr>
                <w:rFonts w:eastAsia="MS Mincho"/>
              </w:rPr>
            </w:pPr>
            <w:r w:rsidRPr="007F3A7A">
              <w:rPr>
                <w:rFonts w:eastAsia="MS Mincho"/>
              </w:rPr>
              <w:t>2 mg gum (n=</w:t>
            </w:r>
            <w:r>
              <w:rPr>
                <w:rFonts w:eastAsia="MS Mincho"/>
              </w:rPr>
              <w:t>430</w:t>
            </w:r>
            <w:r w:rsidRPr="007F3A7A">
              <w:rPr>
                <w:rFonts w:eastAsia="MS Mincho"/>
              </w:rPr>
              <w:t>)</w:t>
            </w:r>
          </w:p>
        </w:tc>
        <w:tc>
          <w:tcPr>
            <w:tcW w:w="1309" w:type="pct"/>
            <w:tcMar>
              <w:left w:w="28" w:type="dxa"/>
              <w:right w:w="28" w:type="dxa"/>
            </w:tcMar>
          </w:tcPr>
          <w:p w14:paraId="6E6C6D85" w14:textId="77777777" w:rsidR="00804397" w:rsidRPr="00DC607E" w:rsidRDefault="00804397" w:rsidP="00050691">
            <w:pPr>
              <w:pStyle w:val="Tablewriting"/>
              <w:rPr>
                <w:rFonts w:eastAsia="MS Mincho"/>
              </w:rPr>
            </w:pPr>
            <w:r w:rsidRPr="00DC607E">
              <w:rPr>
                <w:rFonts w:eastAsia="MS Mincho"/>
                <w:u w:val="single"/>
              </w:rPr>
              <w:t>Inclusion</w:t>
            </w:r>
            <w:r w:rsidRPr="00DC607E">
              <w:rPr>
                <w:rFonts w:eastAsia="MS Mincho"/>
              </w:rPr>
              <w:t xml:space="preserve">: </w:t>
            </w:r>
          </w:p>
          <w:p w14:paraId="50B26FFE" w14:textId="1A304863" w:rsidR="00804397" w:rsidRPr="00DC607E" w:rsidRDefault="00804397" w:rsidP="00050691">
            <w:pPr>
              <w:pStyle w:val="Tablewriting"/>
              <w:rPr>
                <w:rFonts w:eastAsia="MS Mincho"/>
              </w:rPr>
            </w:pPr>
            <w:r w:rsidRPr="00DC607E">
              <w:rPr>
                <w:rFonts w:eastAsia="MS Mincho"/>
              </w:rPr>
              <w:t>Adult smokers with an average age of approximately 45, who smoked at least 15 cigarettes a day</w:t>
            </w:r>
            <w:r w:rsidR="002A78FB">
              <w:rPr>
                <w:rFonts w:eastAsia="MS Mincho"/>
              </w:rPr>
              <w:t>,</w:t>
            </w:r>
            <w:r>
              <w:rPr>
                <w:rFonts w:eastAsia="MS Mincho"/>
              </w:rPr>
              <w:t xml:space="preserve"> </w:t>
            </w:r>
            <w:r w:rsidR="002A78FB" w:rsidRPr="0050095A">
              <w:rPr>
                <w:rFonts w:eastAsia="MS Mincho"/>
              </w:rPr>
              <w:t>s</w:t>
            </w:r>
            <w:r w:rsidRPr="0050095A">
              <w:rPr>
                <w:rFonts w:eastAsia="MS Mincho"/>
              </w:rPr>
              <w:t>tudies</w:t>
            </w:r>
            <w:r>
              <w:rPr>
                <w:rFonts w:eastAsia="MS Mincho"/>
              </w:rPr>
              <w:t xml:space="preserve"> </w:t>
            </w:r>
            <w:r w:rsidRPr="0050095A">
              <w:rPr>
                <w:rFonts w:eastAsia="MS Mincho"/>
              </w:rPr>
              <w:t>lasted for at least six months</w:t>
            </w:r>
            <w:r>
              <w:rPr>
                <w:rFonts w:eastAsia="MS Mincho"/>
              </w:rPr>
              <w:t>.</w:t>
            </w:r>
          </w:p>
          <w:p w14:paraId="687F33AB" w14:textId="77777777" w:rsidR="00804397" w:rsidRPr="00DC607E" w:rsidRDefault="00804397" w:rsidP="00050691">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80" w:type="pct"/>
          </w:tcPr>
          <w:p w14:paraId="72EE2380" w14:textId="77777777" w:rsidR="00804397" w:rsidRPr="00BA211C" w:rsidRDefault="00804397" w:rsidP="00050691">
            <w:pPr>
              <w:pStyle w:val="Tablewriting"/>
              <w:rPr>
                <w:rFonts w:eastAsia="MS Mincho"/>
              </w:rPr>
            </w:pPr>
            <w:r w:rsidRPr="00BA211C">
              <w:rPr>
                <w:rFonts w:eastAsia="MS Mincho"/>
              </w:rPr>
              <w:t>4 mg gum</w:t>
            </w:r>
          </w:p>
          <w:p w14:paraId="34D4D36C" w14:textId="77777777" w:rsidR="00804397" w:rsidRPr="00687B43" w:rsidRDefault="00804397" w:rsidP="00050691">
            <w:pPr>
              <w:pStyle w:val="Tablewriting"/>
              <w:rPr>
                <w:rFonts w:eastAsia="MS Mincho"/>
                <w:highlight w:val="yellow"/>
              </w:rPr>
            </w:pPr>
            <w:r w:rsidRPr="00BA211C">
              <w:rPr>
                <w:rFonts w:eastAsia="MS Mincho"/>
              </w:rPr>
              <w:t>2 mg gum</w:t>
            </w:r>
          </w:p>
        </w:tc>
        <w:tc>
          <w:tcPr>
            <w:tcW w:w="882" w:type="pct"/>
            <w:tcMar>
              <w:left w:w="28" w:type="dxa"/>
              <w:right w:w="28" w:type="dxa"/>
            </w:tcMar>
          </w:tcPr>
          <w:p w14:paraId="63BF9BB1" w14:textId="77777777" w:rsidR="00804397" w:rsidRPr="0050095A" w:rsidRDefault="00804397" w:rsidP="00050691">
            <w:pPr>
              <w:pStyle w:val="Tablewriting"/>
              <w:rPr>
                <w:rFonts w:eastAsia="MS Mincho"/>
              </w:rPr>
            </w:pPr>
            <w:r w:rsidRPr="0050095A">
              <w:rPr>
                <w:rFonts w:eastAsia="MS Mincho"/>
                <w:u w:val="single"/>
              </w:rPr>
              <w:t>Primary</w:t>
            </w:r>
            <w:r w:rsidRPr="0050095A">
              <w:rPr>
                <w:rFonts w:eastAsia="MS Mincho"/>
              </w:rPr>
              <w:t>: smoking cessation rates of at least six months after baseline.</w:t>
            </w:r>
          </w:p>
          <w:p w14:paraId="48C4BDC0" w14:textId="54200C19" w:rsidR="00804397" w:rsidRPr="0050095A" w:rsidRDefault="00804397" w:rsidP="00050691">
            <w:pPr>
              <w:pStyle w:val="Tablewriting"/>
              <w:rPr>
                <w:rFonts w:eastAsia="MS Mincho"/>
                <w:u w:val="single"/>
              </w:rPr>
            </w:pPr>
            <w:r w:rsidRPr="0050095A">
              <w:rPr>
                <w:rFonts w:eastAsia="MS Mincho"/>
                <w:u w:val="single"/>
              </w:rPr>
              <w:t>Secondary</w:t>
            </w:r>
            <w:r w:rsidRPr="0050095A">
              <w:rPr>
                <w:rFonts w:eastAsia="MS Mincho"/>
              </w:rPr>
              <w:t xml:space="preserve">: safety including cardiac adverse events, serious adverse </w:t>
            </w:r>
            <w:r w:rsidR="00826C95" w:rsidRPr="0050095A">
              <w:rPr>
                <w:rFonts w:eastAsia="MS Mincho"/>
              </w:rPr>
              <w:t>events,</w:t>
            </w:r>
            <w:r w:rsidRPr="0050095A">
              <w:rPr>
                <w:rFonts w:eastAsia="MS Mincho"/>
              </w:rPr>
              <w:t xml:space="preserve"> and withdrawals due to treatment. </w:t>
            </w:r>
          </w:p>
        </w:tc>
      </w:tr>
    </w:tbl>
    <w:p w14:paraId="0D0E4CD2" w14:textId="77777777" w:rsidR="00804397" w:rsidRPr="00C87F51" w:rsidRDefault="00804397" w:rsidP="00CC0CCE">
      <w:pPr>
        <w:pStyle w:val="TableFooter"/>
        <w:jc w:val="both"/>
        <w:rPr>
          <w:i/>
        </w:rPr>
      </w:pPr>
      <w:r>
        <w:t xml:space="preserve">Abbreviations: </w:t>
      </w:r>
      <w:r w:rsidRPr="00C87F51">
        <w:t xml:space="preserve">NRT = nicotine replacement therapy; RCT = randomised controlled trial </w:t>
      </w:r>
    </w:p>
    <w:p w14:paraId="78A5DED7" w14:textId="77777777" w:rsidR="00804397" w:rsidRDefault="00804397" w:rsidP="00CC0CCE">
      <w:pPr>
        <w:pStyle w:val="TableFooter"/>
        <w:jc w:val="both"/>
      </w:pPr>
      <w:r w:rsidRPr="00C87F51">
        <w:t>Notes:</w:t>
      </w:r>
      <w:r>
        <w:t xml:space="preserve"> </w:t>
      </w:r>
    </w:p>
    <w:p w14:paraId="0E62D40C" w14:textId="5F4E7725" w:rsidR="00804397" w:rsidRPr="00BA211C" w:rsidRDefault="00804397" w:rsidP="00CC0CCE">
      <w:pPr>
        <w:pStyle w:val="TableFooter"/>
        <w:jc w:val="both"/>
      </w:pPr>
      <w:r w:rsidRPr="00BA211C">
        <w:t>1 Only the number of patients (n) in the relevant arms were included</w:t>
      </w:r>
      <w:r w:rsidR="00ED0CBA">
        <w:t>.</w:t>
      </w:r>
      <w:r w:rsidRPr="00BA211C">
        <w:t xml:space="preserve"> </w:t>
      </w:r>
    </w:p>
    <w:p w14:paraId="4771D747" w14:textId="27260BC5" w:rsidR="00804397" w:rsidRDefault="00804397" w:rsidP="00CC0CCE">
      <w:pPr>
        <w:pStyle w:val="TableFooter"/>
        <w:jc w:val="both"/>
      </w:pPr>
      <w:r w:rsidRPr="004C35E0">
        <w:t xml:space="preserve">2 The characteristics of the individual studies included in Lindson et al. (2019) are presented in </w:t>
      </w:r>
      <w:r w:rsidRPr="00714B31">
        <w:t>Appendix</w:t>
      </w:r>
      <w:r w:rsidR="002C2DB9">
        <w:t xml:space="preserve"> Table 161</w:t>
      </w:r>
      <w:r w:rsidRPr="004C35E0">
        <w:t>.</w:t>
      </w:r>
      <w:r w:rsidR="00A30E1D" w:rsidRPr="00A30E1D">
        <w:t xml:space="preserve"> Based on Lindson et al. (2019), trials typically recruited people who smoked at least 15 cigarettes a day. Although some trials included lighter smokers as well (12 of the 63 trials (19%)), the average number smoked was greater than or equal to 20 a day in most studies (46 of the 63 trials (73%)).</w:t>
      </w:r>
    </w:p>
    <w:p w14:paraId="06D4C970" w14:textId="521B1418" w:rsidR="00804397" w:rsidRDefault="00804397" w:rsidP="00CC0CCE">
      <w:pPr>
        <w:spacing w:after="120"/>
        <w:jc w:val="both"/>
      </w:pPr>
      <w:r>
        <w:lastRenderedPageBreak/>
        <w:t>There were</w:t>
      </w:r>
      <w:r w:rsidRPr="00C23E59">
        <w:t xml:space="preserve"> three groups of studies that compared di</w:t>
      </w:r>
      <w:r>
        <w:t>ff</w:t>
      </w:r>
      <w:r w:rsidRPr="00C23E59">
        <w:t xml:space="preserve">erent </w:t>
      </w:r>
      <w:r>
        <w:t xml:space="preserve">NRT </w:t>
      </w:r>
      <w:r w:rsidRPr="00C23E59">
        <w:t>patch</w:t>
      </w:r>
      <w:r>
        <w:t xml:space="preserve"> </w:t>
      </w:r>
      <w:r w:rsidRPr="00C23E59">
        <w:t xml:space="preserve">doses; </w:t>
      </w:r>
      <w:r>
        <w:t>(</w:t>
      </w:r>
      <w:r w:rsidRPr="00C23E59">
        <w:t>1)</w:t>
      </w:r>
      <w:r>
        <w:t xml:space="preserve"> </w:t>
      </w:r>
      <w:r w:rsidRPr="00C23E59">
        <w:t>42/44 mg versus 21/22 mg patches</w:t>
      </w:r>
      <w:r w:rsidR="008F7920">
        <w:t xml:space="preserve"> (24-hour)</w:t>
      </w:r>
      <w:r w:rsidR="007B466C">
        <w:rPr>
          <w:rFonts w:ascii="ZWAdobeF" w:hAnsi="ZWAdobeF" w:cs="ZWAdobeF"/>
          <w:sz w:val="2"/>
          <w:szCs w:val="2"/>
        </w:rPr>
        <w:t>1F</w:t>
      </w:r>
      <w:r w:rsidR="00175A1B">
        <w:rPr>
          <w:rStyle w:val="FootnoteReference"/>
        </w:rPr>
        <w:footnoteReference w:id="3"/>
      </w:r>
      <w:r w:rsidRPr="00C23E59">
        <w:t xml:space="preserve">; </w:t>
      </w:r>
      <w:r>
        <w:t>(</w:t>
      </w:r>
      <w:r w:rsidRPr="00C23E59">
        <w:t>2) 25 mg versus 15 mg patches</w:t>
      </w:r>
      <w:r w:rsidR="008F7920">
        <w:t xml:space="preserve"> (16-hour)</w:t>
      </w:r>
      <w:r w:rsidRPr="00C23E59">
        <w:t>;</w:t>
      </w:r>
      <w:r>
        <w:t xml:space="preserve"> (</w:t>
      </w:r>
      <w:r w:rsidRPr="00C23E59">
        <w:t>3) 21 mg versus 14 mg patches</w:t>
      </w:r>
      <w:r w:rsidR="008F7920">
        <w:t xml:space="preserve"> (24-hour)</w:t>
      </w:r>
      <w:r w:rsidRPr="00C23E59">
        <w:t>. Although the doses included in</w:t>
      </w:r>
      <w:r>
        <w:t xml:space="preserve"> </w:t>
      </w:r>
      <w:r w:rsidRPr="00C23E59">
        <w:t xml:space="preserve">groups </w:t>
      </w:r>
      <w:r w:rsidR="00602CA6">
        <w:t>two</w:t>
      </w:r>
      <w:r>
        <w:t xml:space="preserve"> </w:t>
      </w:r>
      <w:r w:rsidRPr="00C23E59">
        <w:t xml:space="preserve">and </w:t>
      </w:r>
      <w:r w:rsidR="00602CA6">
        <w:t>three</w:t>
      </w:r>
      <w:r w:rsidRPr="00C23E59">
        <w:t xml:space="preserve"> appear comparable, the patches used in these</w:t>
      </w:r>
      <w:r>
        <w:t xml:space="preserve"> </w:t>
      </w:r>
      <w:r w:rsidRPr="00C23E59">
        <w:t>groups did not have comparable delivery systems, meaning the</w:t>
      </w:r>
      <w:r>
        <w:t xml:space="preserve"> </w:t>
      </w:r>
      <w:r w:rsidRPr="00C23E59">
        <w:t>doses delivered to participants per hour were likely to be di</w:t>
      </w:r>
      <w:r>
        <w:t>ff</w:t>
      </w:r>
      <w:r w:rsidRPr="00C23E59">
        <w:t>erent</w:t>
      </w:r>
      <w:r>
        <w:t xml:space="preserve"> </w:t>
      </w:r>
      <w:r w:rsidRPr="00C23E59">
        <w:t xml:space="preserve">across the two groups. </w:t>
      </w:r>
    </w:p>
    <w:p w14:paraId="579EED83" w14:textId="606EB586" w:rsidR="00050691" w:rsidRDefault="00804397" w:rsidP="00CC0CCE">
      <w:pPr>
        <w:spacing w:after="120"/>
        <w:jc w:val="both"/>
      </w:pPr>
      <w:r w:rsidRPr="00C23E59">
        <w:t>The three studies comparing the 25 mg</w:t>
      </w:r>
      <w:r>
        <w:t xml:space="preserve"> </w:t>
      </w:r>
      <w:r w:rsidRPr="00C23E59">
        <w:t>dose to the 15 mg dose (Paoletti 1996</w:t>
      </w:r>
      <w:r w:rsidR="00050691">
        <w:t>,</w:t>
      </w:r>
      <w:r w:rsidRPr="00C23E59">
        <w:t xml:space="preserve"> CEASE 1999</w:t>
      </w:r>
      <w:r w:rsidR="00050691">
        <w:t>,</w:t>
      </w:r>
      <w:r w:rsidRPr="00C23E59">
        <w:t xml:space="preserve"> Killen 1999)</w:t>
      </w:r>
      <w:r>
        <w:t xml:space="preserve"> </w:t>
      </w:r>
      <w:r w:rsidRPr="00C23E59">
        <w:t>all used patches that delivered nicotine over a 16-hour period (to</w:t>
      </w:r>
      <w:r>
        <w:t xml:space="preserve"> </w:t>
      </w:r>
      <w:r w:rsidRPr="00C23E59">
        <w:t>be worn during waking hours), so the doses delivered per hour</w:t>
      </w:r>
      <w:r>
        <w:t xml:space="preserve"> </w:t>
      </w:r>
      <w:r w:rsidRPr="00C23E59">
        <w:t>were approximately 1.6 mg and 0.9 mg. However, in TNSG 1991,</w:t>
      </w:r>
      <w:r>
        <w:t xml:space="preserve"> </w:t>
      </w:r>
      <w:r w:rsidRPr="00C23E59">
        <w:t>which compared a 21 mg dose with a 14 mg dose, the patches</w:t>
      </w:r>
      <w:r>
        <w:t xml:space="preserve"> </w:t>
      </w:r>
      <w:r w:rsidRPr="00C23E59">
        <w:t>used delivered nicotine over 24 hours (to be worn continuously,</w:t>
      </w:r>
      <w:r>
        <w:t xml:space="preserve"> </w:t>
      </w:r>
      <w:r w:rsidRPr="00C23E59">
        <w:t>including overnight),</w:t>
      </w:r>
      <w:r>
        <w:t xml:space="preserve"> </w:t>
      </w:r>
      <w:r w:rsidRPr="00C23E59">
        <w:t>resulting in doses of approximately 0.9 mg</w:t>
      </w:r>
      <w:r>
        <w:t xml:space="preserve"> </w:t>
      </w:r>
      <w:r w:rsidRPr="00C23E59">
        <w:t>and 0.6 mg per hour. The five studies comparing 42/44 mg doses</w:t>
      </w:r>
      <w:r>
        <w:t xml:space="preserve"> </w:t>
      </w:r>
      <w:r w:rsidRPr="00C23E59">
        <w:t>with 21/22 mg doses (Dale 1995</w:t>
      </w:r>
      <w:r w:rsidR="00050691">
        <w:t>,</w:t>
      </w:r>
      <w:r w:rsidRPr="00C23E59">
        <w:t xml:space="preserve"> Hughes 1999</w:t>
      </w:r>
      <w:r w:rsidR="00050691">
        <w:t>,</w:t>
      </w:r>
      <w:r w:rsidRPr="00C23E59">
        <w:t xml:space="preserve"> Jorenby 1995</w:t>
      </w:r>
      <w:r w:rsidR="00050691">
        <w:t>,</w:t>
      </w:r>
      <w:r>
        <w:t xml:space="preserve"> </w:t>
      </w:r>
      <w:r w:rsidRPr="00C23E59">
        <w:t>Kalman 2006</w:t>
      </w:r>
      <w:r w:rsidR="00050691">
        <w:t>,</w:t>
      </w:r>
      <w:r>
        <w:t xml:space="preserve"> </w:t>
      </w:r>
      <w:r w:rsidRPr="00C23E59">
        <w:t>Rose 2010) all used patches that delivered nicotine</w:t>
      </w:r>
      <w:r>
        <w:t xml:space="preserve"> </w:t>
      </w:r>
      <w:r w:rsidRPr="00C23E59">
        <w:t>over 24 hours, so that the approximate</w:t>
      </w:r>
      <w:r>
        <w:t xml:space="preserve"> </w:t>
      </w:r>
      <w:r w:rsidRPr="00C23E59">
        <w:t>doses delivered per hour</w:t>
      </w:r>
      <w:r>
        <w:t xml:space="preserve"> </w:t>
      </w:r>
      <w:r w:rsidRPr="00C23E59">
        <w:t>were 1.8 mg and 0.9 mg respectively.</w:t>
      </w:r>
    </w:p>
    <w:p w14:paraId="262C9C3F" w14:textId="77777777" w:rsidR="00804397" w:rsidRPr="00BA211C" w:rsidRDefault="00804397" w:rsidP="00285D42">
      <w:pPr>
        <w:spacing w:after="120"/>
        <w:jc w:val="both"/>
        <w:rPr>
          <w:u w:val="single"/>
        </w:rPr>
      </w:pPr>
      <w:r w:rsidRPr="00BA211C">
        <w:rPr>
          <w:u w:val="single"/>
        </w:rPr>
        <w:t>Efficacy</w:t>
      </w:r>
    </w:p>
    <w:p w14:paraId="3CD0C7FB" w14:textId="6DBBF856" w:rsidR="00050691" w:rsidRDefault="00804397" w:rsidP="00602CA6">
      <w:pPr>
        <w:spacing w:after="120"/>
        <w:jc w:val="both"/>
      </w:pPr>
      <w:r w:rsidRPr="00F136E9">
        <w:t>A summary of the smoking cessation rates f</w:t>
      </w:r>
      <w:r w:rsidR="00914F60">
        <w:t>or</w:t>
      </w:r>
      <w:r w:rsidRPr="00F136E9">
        <w:t xml:space="preserve"> at least six months follow-up</w:t>
      </w:r>
      <w:r w:rsidR="00964C79">
        <w:t xml:space="preserve"> comparing different NRT </w:t>
      </w:r>
      <w:r w:rsidR="00573F59">
        <w:t>patches</w:t>
      </w:r>
      <w:r w:rsidR="00964C79">
        <w:t xml:space="preserve"> and gum doses</w:t>
      </w:r>
      <w:r w:rsidRPr="00F136E9">
        <w:t xml:space="preserve"> is presented in </w:t>
      </w:r>
      <w:r w:rsidR="00602CA6">
        <w:t>Table 84 and Table 85</w:t>
      </w:r>
      <w:r w:rsidR="00964C79">
        <w:t>, respectively</w:t>
      </w:r>
      <w:r w:rsidRPr="00850A51">
        <w:t xml:space="preserve">. </w:t>
      </w:r>
      <w:r w:rsidRPr="00183F21">
        <w:t xml:space="preserve">For the comparison of </w:t>
      </w:r>
      <w:r w:rsidR="00052AC5">
        <w:t>a</w:t>
      </w:r>
      <w:r w:rsidRPr="00183F21">
        <w:t xml:space="preserve"> higher dose versus lower dose of NRT </w:t>
      </w:r>
      <w:r w:rsidR="00573F59">
        <w:t>patches</w:t>
      </w:r>
      <w:r>
        <w:t xml:space="preserve">, the </w:t>
      </w:r>
      <w:r w:rsidR="00050691">
        <w:t>results demonstrated a statistically significant difference</w:t>
      </w:r>
      <w:r w:rsidR="00D800E4">
        <w:t xml:space="preserve"> in smoking cessation rates</w:t>
      </w:r>
      <w:r w:rsidR="00050691">
        <w:t xml:space="preserve"> between the 21 mg/24-hour and 14 mg/24-hour patches, in favour of the higher strength </w:t>
      </w:r>
      <w:r w:rsidR="00573F59">
        <w:t>patches</w:t>
      </w:r>
      <w:r w:rsidR="00050691">
        <w:t>. There were no statistically significant differences between the 25 mg/16-hour and 15 mg/16-hour patches nor the 42/44 mg and 21/22 mg (24-hour) patches, although the results numerically favoured the higher strength patches.</w:t>
      </w:r>
      <w:r w:rsidR="00693F5A" w:rsidRPr="00693F5A">
        <w:t xml:space="preserve"> The PBAC previously noted that the use of different strength patches such as 21 mg for 24 hours or 15 mg for 16 hours </w:t>
      </w:r>
      <w:r w:rsidR="00EB7B05">
        <w:t>we</w:t>
      </w:r>
      <w:r w:rsidR="00693F5A" w:rsidRPr="00693F5A">
        <w:t>re likely to result in minimal changes in clinical outcomes (NRT PSD, March 2010 PBAC meeting).</w:t>
      </w:r>
      <w:r w:rsidR="000C24BA">
        <w:t xml:space="preserve"> </w:t>
      </w:r>
      <w:r w:rsidR="00591A5C">
        <w:t xml:space="preserve">No evidence was found comparing the efficacy of 21 mg/24 hours </w:t>
      </w:r>
      <w:r w:rsidR="00573F59">
        <w:t>patches</w:t>
      </w:r>
      <w:r w:rsidR="00591A5C">
        <w:t xml:space="preserve"> with 15 mg/16 hours </w:t>
      </w:r>
      <w:r w:rsidR="00573F59">
        <w:t>patches</w:t>
      </w:r>
      <w:r w:rsidR="00591A5C">
        <w:t>.</w:t>
      </w:r>
      <w:r w:rsidR="00FA3FAE">
        <w:t xml:space="preserve"> However, a study (Daughton 1991) identified by Lindson et al. (2019) showed no statistically significant difference </w:t>
      </w:r>
      <w:r w:rsidR="00914F60">
        <w:t>in smoking cessation rates between 24-hour and 16-hour patches, noting the strength of the patches was not stated.</w:t>
      </w:r>
    </w:p>
    <w:p w14:paraId="524B752D" w14:textId="7297BEA9" w:rsidR="00804397" w:rsidRPr="00D645B2" w:rsidRDefault="00804397" w:rsidP="00285D42">
      <w:pPr>
        <w:spacing w:after="120"/>
        <w:jc w:val="both"/>
      </w:pPr>
      <w:r>
        <w:t xml:space="preserve">For the comparison of 4 mg versus 2 mg NRT gum, the </w:t>
      </w:r>
      <w:r w:rsidR="00050691">
        <w:t>pooled analysis results (high-dependency and low-dependency smokers) demonstrated</w:t>
      </w:r>
      <w:r>
        <w:t xml:space="preserve"> a </w:t>
      </w:r>
      <w:r w:rsidR="00050691">
        <w:t>statistically significant difference</w:t>
      </w:r>
      <w:r w:rsidR="00DD121D">
        <w:t xml:space="preserve"> in smoking cessation rates</w:t>
      </w:r>
      <w:r w:rsidR="00050691">
        <w:t xml:space="preserve"> between the two treatment arms, in favour of the higher strength</w:t>
      </w:r>
      <w:r>
        <w:t xml:space="preserve"> gum</w:t>
      </w:r>
      <w:r w:rsidR="00050691">
        <w:t>. H</w:t>
      </w:r>
      <w:r w:rsidRPr="004A0AB5">
        <w:t xml:space="preserve">owever, </w:t>
      </w:r>
      <w:r w:rsidR="00050691">
        <w:t xml:space="preserve">the </w:t>
      </w:r>
      <w:r w:rsidRPr="004A0AB5">
        <w:t>results</w:t>
      </w:r>
      <w:r>
        <w:t xml:space="preserve"> </w:t>
      </w:r>
      <w:r w:rsidRPr="004A0AB5">
        <w:t>of</w:t>
      </w:r>
      <w:r>
        <w:t xml:space="preserve"> </w:t>
      </w:r>
      <w:r w:rsidR="00050691">
        <w:t>the</w:t>
      </w:r>
      <w:r w:rsidRPr="004A0AB5">
        <w:t xml:space="preserve"> subgroup analysis</w:t>
      </w:r>
      <w:r>
        <w:t xml:space="preserve"> </w:t>
      </w:r>
      <w:r w:rsidRPr="004A0AB5">
        <w:t>suggest that only smokers who are highly dependent may benefit</w:t>
      </w:r>
      <w:r>
        <w:t xml:space="preserve"> from the higher strength</w:t>
      </w:r>
      <w:r w:rsidR="00050691">
        <w:t xml:space="preserve"> NRT gum (</w:t>
      </w:r>
      <w:r w:rsidR="00826C95">
        <w:t>i.e.,</w:t>
      </w:r>
      <w:r w:rsidR="00050691">
        <w:t xml:space="preserve"> not statistically significant</w:t>
      </w:r>
      <w:r w:rsidR="00BD4086">
        <w:t>ly</w:t>
      </w:r>
      <w:r w:rsidR="00050691">
        <w:t xml:space="preserve"> different in low-dependency smokers)</w:t>
      </w:r>
      <w:r w:rsidR="00826C95">
        <w:t xml:space="preserve">. </w:t>
      </w:r>
    </w:p>
    <w:p w14:paraId="3FB57EC6" w14:textId="77777777" w:rsidR="00285D42" w:rsidRDefault="00285D42">
      <w:pPr>
        <w:spacing w:line="276" w:lineRule="auto"/>
        <w:rPr>
          <w:rFonts w:asciiTheme="minorHAnsi" w:eastAsia="Times New Roman" w:hAnsiTheme="minorHAnsi" w:cs="Times New Roman"/>
          <w:b/>
          <w:bCs/>
          <w:szCs w:val="18"/>
        </w:rPr>
      </w:pPr>
      <w:bookmarkStart w:id="151" w:name="_Ref59098762"/>
      <w:r>
        <w:br w:type="page"/>
      </w:r>
    </w:p>
    <w:p w14:paraId="360E9C28" w14:textId="023B91EF" w:rsidR="00450C87" w:rsidRDefault="00450C87" w:rsidP="00285D42">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84</w:t>
      </w:r>
      <w:r w:rsidR="00BF3F75">
        <w:rPr>
          <w:noProof/>
        </w:rPr>
        <w:fldChar w:fldCharType="end"/>
      </w:r>
      <w:bookmarkEnd w:id="151"/>
      <w:r>
        <w:t xml:space="preserve">: </w:t>
      </w:r>
      <w:r w:rsidRPr="00350F0E">
        <w:t>Results of smoking cessation f</w:t>
      </w:r>
      <w:r w:rsidR="00914F60">
        <w:t>or</w:t>
      </w:r>
      <w:r w:rsidRPr="00350F0E">
        <w:t xml:space="preserve"> at least six months follow-up, different NRT patch doses</w:t>
      </w:r>
    </w:p>
    <w:tbl>
      <w:tblPr>
        <w:tblStyle w:val="TableGrid"/>
        <w:tblW w:w="5000" w:type="pct"/>
        <w:tblLook w:val="04A0" w:firstRow="1" w:lastRow="0" w:firstColumn="1" w:lastColumn="0" w:noHBand="0" w:noVBand="1"/>
        <w:tblCaption w:val="Efficacy results of adalimumab trials (PASI 75 and DLQI)"/>
      </w:tblPr>
      <w:tblGrid>
        <w:gridCol w:w="1153"/>
        <w:gridCol w:w="1688"/>
        <w:gridCol w:w="1971"/>
        <w:gridCol w:w="2110"/>
        <w:gridCol w:w="2094"/>
      </w:tblGrid>
      <w:tr w:rsidR="00804397" w:rsidRPr="00061F78" w14:paraId="063B5342" w14:textId="77777777" w:rsidTr="00714E65">
        <w:trPr>
          <w:cantSplit/>
          <w:trHeight w:val="299"/>
          <w:tblHeader/>
        </w:trPr>
        <w:tc>
          <w:tcPr>
            <w:tcW w:w="640" w:type="pct"/>
            <w:shd w:val="clear" w:color="auto" w:fill="BFBFBF" w:themeFill="background1" w:themeFillShade="BF"/>
            <w:tcMar>
              <w:left w:w="28" w:type="dxa"/>
              <w:right w:w="28" w:type="dxa"/>
            </w:tcMar>
          </w:tcPr>
          <w:p w14:paraId="7933C328" w14:textId="77777777" w:rsidR="00804397" w:rsidRPr="00061F78" w:rsidRDefault="00804397" w:rsidP="00050691">
            <w:pPr>
              <w:pStyle w:val="Tableheading"/>
              <w:rPr>
                <w:rFonts w:eastAsia="MS Mincho"/>
              </w:rPr>
            </w:pPr>
            <w:r>
              <w:rPr>
                <w:rFonts w:eastAsia="MS Mincho"/>
              </w:rPr>
              <w:t>Study</w:t>
            </w:r>
          </w:p>
        </w:tc>
        <w:tc>
          <w:tcPr>
            <w:tcW w:w="936" w:type="pct"/>
            <w:shd w:val="clear" w:color="auto" w:fill="BFBFBF" w:themeFill="background1" w:themeFillShade="BF"/>
            <w:vAlign w:val="center"/>
          </w:tcPr>
          <w:p w14:paraId="51D2C5D9" w14:textId="77777777" w:rsidR="00804397" w:rsidRDefault="00804397" w:rsidP="00050691">
            <w:pPr>
              <w:pStyle w:val="Tableheading"/>
              <w:jc w:val="center"/>
              <w:rPr>
                <w:rFonts w:eastAsia="MS Mincho"/>
              </w:rPr>
            </w:pPr>
            <w:r>
              <w:rPr>
                <w:rFonts w:eastAsia="MS Mincho"/>
              </w:rPr>
              <w:t>Study type</w:t>
            </w:r>
          </w:p>
        </w:tc>
        <w:tc>
          <w:tcPr>
            <w:tcW w:w="1093" w:type="pct"/>
            <w:shd w:val="clear" w:color="auto" w:fill="BFBFBF" w:themeFill="background1" w:themeFillShade="BF"/>
            <w:tcMar>
              <w:left w:w="28" w:type="dxa"/>
              <w:right w:w="28" w:type="dxa"/>
            </w:tcMar>
            <w:vAlign w:val="center"/>
          </w:tcPr>
          <w:p w14:paraId="1DFCFA77" w14:textId="77777777" w:rsidR="00804397" w:rsidRPr="00061F78" w:rsidRDefault="00804397" w:rsidP="00050691">
            <w:pPr>
              <w:pStyle w:val="Tableheading"/>
              <w:jc w:val="center"/>
              <w:rPr>
                <w:rFonts w:eastAsia="MS Mincho"/>
              </w:rPr>
            </w:pPr>
            <w:r>
              <w:rPr>
                <w:rFonts w:eastAsia="MS Mincho"/>
              </w:rPr>
              <w:t>Higher dose</w:t>
            </w:r>
          </w:p>
        </w:tc>
        <w:tc>
          <w:tcPr>
            <w:tcW w:w="1170" w:type="pct"/>
            <w:shd w:val="clear" w:color="auto" w:fill="BFBFBF" w:themeFill="background1" w:themeFillShade="BF"/>
            <w:tcMar>
              <w:left w:w="28" w:type="dxa"/>
              <w:right w:w="28" w:type="dxa"/>
            </w:tcMar>
            <w:vAlign w:val="center"/>
          </w:tcPr>
          <w:p w14:paraId="0D215889" w14:textId="77777777" w:rsidR="00804397" w:rsidRPr="00061F78" w:rsidRDefault="00804397" w:rsidP="00050691">
            <w:pPr>
              <w:pStyle w:val="Tableheading"/>
              <w:jc w:val="center"/>
              <w:rPr>
                <w:rFonts w:eastAsia="MS Mincho"/>
              </w:rPr>
            </w:pPr>
            <w:r>
              <w:rPr>
                <w:rFonts w:eastAsia="MS Mincho"/>
              </w:rPr>
              <w:t>Lower dose</w:t>
            </w:r>
          </w:p>
        </w:tc>
        <w:tc>
          <w:tcPr>
            <w:tcW w:w="1161" w:type="pct"/>
            <w:shd w:val="clear" w:color="auto" w:fill="BFBFBF" w:themeFill="background1" w:themeFillShade="BF"/>
            <w:tcMar>
              <w:left w:w="28" w:type="dxa"/>
              <w:right w:w="28" w:type="dxa"/>
            </w:tcMar>
            <w:vAlign w:val="center"/>
          </w:tcPr>
          <w:p w14:paraId="534E472D" w14:textId="67041BC3" w:rsidR="00804397" w:rsidRPr="002D09A1" w:rsidRDefault="00804397" w:rsidP="00050691">
            <w:pPr>
              <w:pStyle w:val="Tableheading"/>
              <w:jc w:val="center"/>
              <w:rPr>
                <w:rFonts w:eastAsia="MS Mincho"/>
                <w:vertAlign w:val="superscript"/>
              </w:rPr>
            </w:pPr>
            <w:r>
              <w:rPr>
                <w:rFonts w:eastAsia="MS Mincho"/>
              </w:rPr>
              <w:t>RR (95% CI)</w:t>
            </w:r>
            <w:r w:rsidR="00050691">
              <w:rPr>
                <w:rFonts w:eastAsia="MS Mincho"/>
                <w:vertAlign w:val="superscript"/>
              </w:rPr>
              <w:t>1</w:t>
            </w:r>
          </w:p>
        </w:tc>
      </w:tr>
      <w:tr w:rsidR="00804397" w:rsidRPr="00061F78" w14:paraId="12B032C4" w14:textId="77777777" w:rsidTr="00714E65">
        <w:trPr>
          <w:cantSplit/>
          <w:trHeight w:val="99"/>
        </w:trPr>
        <w:tc>
          <w:tcPr>
            <w:tcW w:w="5000" w:type="pct"/>
            <w:gridSpan w:val="5"/>
            <w:shd w:val="clear" w:color="auto" w:fill="FFFFFF" w:themeFill="background1"/>
          </w:tcPr>
          <w:p w14:paraId="53E3A094" w14:textId="0BF028D6" w:rsidR="00050691" w:rsidRPr="00D70339" w:rsidRDefault="00050691" w:rsidP="00050691">
            <w:pPr>
              <w:pStyle w:val="Tablewriting"/>
              <w:rPr>
                <w:rFonts w:eastAsia="MS Mincho"/>
                <w:b/>
                <w:bCs/>
              </w:rPr>
            </w:pPr>
            <w:r w:rsidRPr="00D70339">
              <w:rPr>
                <w:rFonts w:eastAsia="MS Mincho"/>
                <w:b/>
                <w:bCs/>
              </w:rPr>
              <w:t>21 mg versus 14 mg (24-hour)</w:t>
            </w:r>
          </w:p>
        </w:tc>
      </w:tr>
      <w:tr w:rsidR="00804397" w:rsidRPr="00061F78" w14:paraId="227F8FE2" w14:textId="77777777" w:rsidTr="00714E65">
        <w:trPr>
          <w:cantSplit/>
          <w:trHeight w:val="99"/>
        </w:trPr>
        <w:tc>
          <w:tcPr>
            <w:tcW w:w="640" w:type="pct"/>
            <w:shd w:val="clear" w:color="auto" w:fill="auto"/>
            <w:tcMar>
              <w:left w:w="28" w:type="dxa"/>
              <w:right w:w="28" w:type="dxa"/>
            </w:tcMar>
          </w:tcPr>
          <w:p w14:paraId="0C98375D" w14:textId="7EC2B525" w:rsidR="00804397" w:rsidRPr="00251B64" w:rsidRDefault="00050691" w:rsidP="00050691">
            <w:pPr>
              <w:pStyle w:val="Tablewriting"/>
              <w:rPr>
                <w:rFonts w:eastAsia="MS Mincho"/>
              </w:rPr>
            </w:pPr>
            <w:r>
              <w:rPr>
                <w:rFonts w:eastAsia="MS Mincho"/>
              </w:rPr>
              <w:t>Lindson (2019)</w:t>
            </w:r>
          </w:p>
        </w:tc>
        <w:tc>
          <w:tcPr>
            <w:tcW w:w="936" w:type="pct"/>
            <w:shd w:val="clear" w:color="auto" w:fill="auto"/>
            <w:vAlign w:val="center"/>
          </w:tcPr>
          <w:p w14:paraId="55D206F6" w14:textId="1AC406FC" w:rsidR="00714E65" w:rsidRDefault="00714E65" w:rsidP="00050691">
            <w:pPr>
              <w:pStyle w:val="Tablewriting"/>
              <w:jc w:val="center"/>
              <w:rPr>
                <w:rFonts w:eastAsia="MS Mincho"/>
              </w:rPr>
            </w:pPr>
            <w:r>
              <w:rPr>
                <w:rFonts w:eastAsia="MS Mincho"/>
              </w:rPr>
              <w:t>Cochrane Review</w:t>
            </w:r>
          </w:p>
          <w:p w14:paraId="46909A11" w14:textId="2FEDCE28" w:rsidR="00804397" w:rsidRPr="00251B64" w:rsidRDefault="00714E65" w:rsidP="00050691">
            <w:pPr>
              <w:pStyle w:val="Tablewriting"/>
              <w:jc w:val="center"/>
              <w:rPr>
                <w:rFonts w:eastAsia="MS Mincho"/>
              </w:rPr>
            </w:pPr>
            <w:r>
              <w:rPr>
                <w:rFonts w:eastAsia="MS Mincho"/>
              </w:rPr>
              <w:t>(</w:t>
            </w:r>
            <w:r w:rsidR="00050691">
              <w:rPr>
                <w:rFonts w:eastAsia="MS Mincho"/>
              </w:rPr>
              <w:t xml:space="preserve">1 </w:t>
            </w:r>
            <w:r w:rsidR="00804397" w:rsidRPr="00251B64">
              <w:rPr>
                <w:rFonts w:eastAsia="MS Mincho"/>
              </w:rPr>
              <w:t>RCT</w:t>
            </w:r>
            <w:r>
              <w:rPr>
                <w:rFonts w:eastAsia="MS Mincho"/>
              </w:rPr>
              <w:t>)</w:t>
            </w:r>
          </w:p>
        </w:tc>
        <w:tc>
          <w:tcPr>
            <w:tcW w:w="1093" w:type="pct"/>
            <w:shd w:val="clear" w:color="auto" w:fill="auto"/>
            <w:tcMar>
              <w:left w:w="28" w:type="dxa"/>
              <w:right w:w="28" w:type="dxa"/>
            </w:tcMar>
            <w:vAlign w:val="center"/>
          </w:tcPr>
          <w:p w14:paraId="34734941" w14:textId="77777777" w:rsidR="00804397" w:rsidRPr="00BF0416" w:rsidRDefault="00804397" w:rsidP="00050691">
            <w:pPr>
              <w:pStyle w:val="Tablewriting"/>
              <w:jc w:val="center"/>
              <w:rPr>
                <w:rFonts w:eastAsia="MS Mincho"/>
                <w:vertAlign w:val="superscript"/>
              </w:rPr>
            </w:pPr>
            <w:r w:rsidRPr="00BF0416">
              <w:rPr>
                <w:rFonts w:eastAsia="MS Mincho"/>
              </w:rPr>
              <w:t>65/262</w:t>
            </w:r>
          </w:p>
          <w:p w14:paraId="45CE1C9A" w14:textId="77777777" w:rsidR="00804397" w:rsidRPr="00AA0584" w:rsidRDefault="00804397" w:rsidP="00050691">
            <w:pPr>
              <w:pStyle w:val="Tablewriting"/>
              <w:jc w:val="center"/>
              <w:rPr>
                <w:rFonts w:eastAsia="MS Mincho"/>
                <w:highlight w:val="yellow"/>
              </w:rPr>
            </w:pPr>
            <w:r w:rsidRPr="00BF0416">
              <w:rPr>
                <w:rFonts w:eastAsia="MS Mincho"/>
              </w:rPr>
              <w:t>(24.8%)</w:t>
            </w:r>
          </w:p>
        </w:tc>
        <w:tc>
          <w:tcPr>
            <w:tcW w:w="1170" w:type="pct"/>
            <w:shd w:val="clear" w:color="auto" w:fill="auto"/>
            <w:tcMar>
              <w:left w:w="28" w:type="dxa"/>
              <w:right w:w="28" w:type="dxa"/>
            </w:tcMar>
            <w:vAlign w:val="center"/>
          </w:tcPr>
          <w:p w14:paraId="0F2C1F8F" w14:textId="77777777" w:rsidR="00804397" w:rsidRPr="00164F0E" w:rsidRDefault="00804397" w:rsidP="00050691">
            <w:pPr>
              <w:pStyle w:val="Tablewriting"/>
              <w:jc w:val="center"/>
              <w:rPr>
                <w:rFonts w:eastAsia="MS Mincho"/>
                <w:vertAlign w:val="superscript"/>
              </w:rPr>
            </w:pPr>
            <w:r w:rsidRPr="00164F0E">
              <w:rPr>
                <w:rFonts w:eastAsia="MS Mincho"/>
              </w:rPr>
              <w:t>46/275</w:t>
            </w:r>
          </w:p>
          <w:p w14:paraId="2AC35BBC" w14:textId="77777777" w:rsidR="00804397" w:rsidRPr="00AA0584" w:rsidRDefault="00804397" w:rsidP="00050691">
            <w:pPr>
              <w:pStyle w:val="Tablewriting"/>
              <w:jc w:val="center"/>
              <w:rPr>
                <w:rFonts w:eastAsia="MS Mincho"/>
                <w:highlight w:val="yellow"/>
              </w:rPr>
            </w:pPr>
            <w:r w:rsidRPr="00164F0E">
              <w:rPr>
                <w:rFonts w:eastAsia="MS Mincho"/>
              </w:rPr>
              <w:t>(</w:t>
            </w:r>
            <w:r>
              <w:rPr>
                <w:rFonts w:eastAsia="MS Mincho"/>
              </w:rPr>
              <w:t>16</w:t>
            </w:r>
            <w:r w:rsidRPr="00164F0E">
              <w:rPr>
                <w:rFonts w:eastAsia="MS Mincho"/>
              </w:rPr>
              <w:t>.</w:t>
            </w:r>
            <w:r>
              <w:rPr>
                <w:rFonts w:eastAsia="MS Mincho"/>
              </w:rPr>
              <w:t>7</w:t>
            </w:r>
            <w:r w:rsidRPr="00164F0E">
              <w:rPr>
                <w:rFonts w:eastAsia="MS Mincho"/>
              </w:rPr>
              <w:t>%)</w:t>
            </w:r>
          </w:p>
        </w:tc>
        <w:tc>
          <w:tcPr>
            <w:tcW w:w="1161" w:type="pct"/>
            <w:shd w:val="clear" w:color="auto" w:fill="auto"/>
            <w:tcMar>
              <w:left w:w="28" w:type="dxa"/>
              <w:right w:w="28" w:type="dxa"/>
            </w:tcMar>
            <w:vAlign w:val="center"/>
          </w:tcPr>
          <w:p w14:paraId="23A30A46" w14:textId="77777777" w:rsidR="00804397" w:rsidRPr="00164F0E" w:rsidRDefault="00804397" w:rsidP="00050691">
            <w:pPr>
              <w:pStyle w:val="Tablewriting"/>
              <w:jc w:val="center"/>
              <w:rPr>
                <w:rFonts w:eastAsia="MS Mincho"/>
                <w:b/>
                <w:bCs/>
                <w:vertAlign w:val="superscript"/>
              </w:rPr>
            </w:pPr>
            <w:r w:rsidRPr="00164F0E">
              <w:rPr>
                <w:rFonts w:eastAsia="MS Mincho"/>
                <w:b/>
                <w:bCs/>
              </w:rPr>
              <w:t>1.48</w:t>
            </w:r>
          </w:p>
          <w:p w14:paraId="40CDE424" w14:textId="77777777" w:rsidR="00804397" w:rsidRPr="00AA0584" w:rsidRDefault="00804397" w:rsidP="00050691">
            <w:pPr>
              <w:pStyle w:val="Tablewriting"/>
              <w:jc w:val="center"/>
              <w:rPr>
                <w:rFonts w:eastAsia="MS Mincho"/>
                <w:highlight w:val="yellow"/>
              </w:rPr>
            </w:pPr>
            <w:r w:rsidRPr="00164F0E">
              <w:rPr>
                <w:rFonts w:eastAsia="MS Mincho"/>
                <w:b/>
                <w:bCs/>
              </w:rPr>
              <w:t>(1.06, 2.08)</w:t>
            </w:r>
          </w:p>
        </w:tc>
      </w:tr>
      <w:tr w:rsidR="00804397" w:rsidRPr="00061F78" w14:paraId="5DBA54F9" w14:textId="77777777" w:rsidTr="00714E65">
        <w:trPr>
          <w:cantSplit/>
          <w:trHeight w:val="99"/>
        </w:trPr>
        <w:tc>
          <w:tcPr>
            <w:tcW w:w="5000" w:type="pct"/>
            <w:gridSpan w:val="5"/>
            <w:shd w:val="clear" w:color="auto" w:fill="FFFFFF" w:themeFill="background1"/>
          </w:tcPr>
          <w:p w14:paraId="06FE6CDA" w14:textId="4BA9F799" w:rsidR="00050691" w:rsidRPr="00744F70" w:rsidRDefault="00050691" w:rsidP="00050691">
            <w:pPr>
              <w:pStyle w:val="Tablewriting"/>
              <w:rPr>
                <w:b/>
                <w:bCs/>
              </w:rPr>
            </w:pPr>
            <w:r w:rsidRPr="00744F70">
              <w:rPr>
                <w:b/>
                <w:bCs/>
              </w:rPr>
              <w:t>25 mg versus 15 mg (16-hour)</w:t>
            </w:r>
          </w:p>
        </w:tc>
      </w:tr>
      <w:tr w:rsidR="00804397" w:rsidRPr="00061F78" w14:paraId="50A7E4FB" w14:textId="77777777" w:rsidTr="00714E65">
        <w:trPr>
          <w:cantSplit/>
          <w:trHeight w:val="99"/>
        </w:trPr>
        <w:tc>
          <w:tcPr>
            <w:tcW w:w="640" w:type="pct"/>
            <w:shd w:val="clear" w:color="auto" w:fill="auto"/>
            <w:tcMar>
              <w:left w:w="28" w:type="dxa"/>
              <w:right w:w="28" w:type="dxa"/>
            </w:tcMar>
          </w:tcPr>
          <w:p w14:paraId="505AB244" w14:textId="5660027D" w:rsidR="00804397" w:rsidRPr="00F136E9" w:rsidRDefault="00050691" w:rsidP="00050691">
            <w:pPr>
              <w:pStyle w:val="Tablewriting"/>
              <w:rPr>
                <w:rFonts w:eastAsia="MS Mincho"/>
              </w:rPr>
            </w:pPr>
            <w:r>
              <w:rPr>
                <w:rFonts w:eastAsia="MS Mincho"/>
              </w:rPr>
              <w:t>Lindson (2019)</w:t>
            </w:r>
          </w:p>
        </w:tc>
        <w:tc>
          <w:tcPr>
            <w:tcW w:w="936" w:type="pct"/>
            <w:shd w:val="clear" w:color="auto" w:fill="auto"/>
            <w:vAlign w:val="center"/>
          </w:tcPr>
          <w:p w14:paraId="4B54A770" w14:textId="77777777" w:rsidR="00714E65" w:rsidRDefault="00714E65" w:rsidP="00050691">
            <w:pPr>
              <w:pStyle w:val="Tablewriting"/>
              <w:jc w:val="center"/>
              <w:rPr>
                <w:rFonts w:eastAsia="MS Mincho"/>
              </w:rPr>
            </w:pPr>
            <w:r>
              <w:rPr>
                <w:rFonts w:eastAsia="MS Mincho"/>
              </w:rPr>
              <w:t>Cochrane Review</w:t>
            </w:r>
          </w:p>
          <w:p w14:paraId="4275C46D" w14:textId="1B7EC584" w:rsidR="00804397" w:rsidRPr="00251B64" w:rsidRDefault="00714E65" w:rsidP="00050691">
            <w:pPr>
              <w:pStyle w:val="Tablewriting"/>
              <w:jc w:val="center"/>
              <w:rPr>
                <w:rFonts w:eastAsia="MS Mincho"/>
              </w:rPr>
            </w:pPr>
            <w:r>
              <w:rPr>
                <w:rFonts w:eastAsia="MS Mincho"/>
              </w:rPr>
              <w:t>(</w:t>
            </w:r>
            <w:r w:rsidR="00050691">
              <w:rPr>
                <w:rFonts w:eastAsia="MS Mincho"/>
              </w:rPr>
              <w:t>3 RCTs</w:t>
            </w:r>
            <w:r>
              <w:rPr>
                <w:rFonts w:eastAsia="MS Mincho"/>
              </w:rPr>
              <w:t>)</w:t>
            </w:r>
          </w:p>
        </w:tc>
        <w:tc>
          <w:tcPr>
            <w:tcW w:w="1093" w:type="pct"/>
            <w:shd w:val="clear" w:color="auto" w:fill="auto"/>
            <w:tcMar>
              <w:left w:w="28" w:type="dxa"/>
              <w:right w:w="28" w:type="dxa"/>
            </w:tcMar>
            <w:vAlign w:val="center"/>
          </w:tcPr>
          <w:p w14:paraId="577C7441" w14:textId="77777777" w:rsidR="00050691" w:rsidRDefault="00050691" w:rsidP="00050691">
            <w:pPr>
              <w:pStyle w:val="Tablewriting"/>
              <w:jc w:val="center"/>
              <w:rPr>
                <w:rFonts w:eastAsia="MS Mincho"/>
              </w:rPr>
            </w:pPr>
            <w:r>
              <w:rPr>
                <w:rFonts w:eastAsia="MS Mincho"/>
              </w:rPr>
              <w:t>252/1,723</w:t>
            </w:r>
          </w:p>
          <w:p w14:paraId="278E9DD5" w14:textId="5781DF53" w:rsidR="00804397" w:rsidRPr="00164F0E" w:rsidRDefault="00050691" w:rsidP="00050691">
            <w:pPr>
              <w:pStyle w:val="Tablewriting"/>
              <w:jc w:val="center"/>
              <w:rPr>
                <w:rFonts w:eastAsia="MS Mincho"/>
              </w:rPr>
            </w:pPr>
            <w:r>
              <w:rPr>
                <w:rFonts w:eastAsia="MS Mincho"/>
              </w:rPr>
              <w:t>(</w:t>
            </w:r>
            <w:r w:rsidR="00D174C9">
              <w:rPr>
                <w:rFonts w:eastAsia="MS Mincho"/>
              </w:rPr>
              <w:t>14.6</w:t>
            </w:r>
            <w:r>
              <w:rPr>
                <w:rFonts w:eastAsia="MS Mincho"/>
              </w:rPr>
              <w:t>%)</w:t>
            </w:r>
          </w:p>
        </w:tc>
        <w:tc>
          <w:tcPr>
            <w:tcW w:w="1170" w:type="pct"/>
            <w:shd w:val="clear" w:color="auto" w:fill="auto"/>
            <w:tcMar>
              <w:left w:w="28" w:type="dxa"/>
              <w:right w:w="28" w:type="dxa"/>
            </w:tcMar>
            <w:vAlign w:val="center"/>
          </w:tcPr>
          <w:p w14:paraId="52269BEA" w14:textId="77777777" w:rsidR="00050691" w:rsidRDefault="00050691" w:rsidP="00050691">
            <w:pPr>
              <w:pStyle w:val="Tablewriting"/>
              <w:jc w:val="center"/>
              <w:rPr>
                <w:rFonts w:eastAsia="MS Mincho"/>
              </w:rPr>
            </w:pPr>
            <w:r>
              <w:rPr>
                <w:rFonts w:eastAsia="MS Mincho"/>
              </w:rPr>
              <w:t>212/1,723</w:t>
            </w:r>
          </w:p>
          <w:p w14:paraId="1A22FB68" w14:textId="2BEB67AD" w:rsidR="00804397" w:rsidRPr="00164F0E" w:rsidRDefault="00050691" w:rsidP="00050691">
            <w:pPr>
              <w:pStyle w:val="Tablewriting"/>
              <w:jc w:val="center"/>
              <w:rPr>
                <w:rFonts w:eastAsia="MS Mincho"/>
              </w:rPr>
            </w:pPr>
            <w:r>
              <w:rPr>
                <w:rFonts w:eastAsia="MS Mincho"/>
              </w:rPr>
              <w:t>(</w:t>
            </w:r>
            <w:r w:rsidR="00D174C9">
              <w:rPr>
                <w:rFonts w:eastAsia="MS Mincho"/>
              </w:rPr>
              <w:t>12.3</w:t>
            </w:r>
            <w:r>
              <w:rPr>
                <w:rFonts w:eastAsia="MS Mincho"/>
              </w:rPr>
              <w:t>%)</w:t>
            </w:r>
          </w:p>
        </w:tc>
        <w:tc>
          <w:tcPr>
            <w:tcW w:w="1161" w:type="pct"/>
            <w:shd w:val="clear" w:color="auto" w:fill="auto"/>
            <w:tcMar>
              <w:left w:w="28" w:type="dxa"/>
              <w:right w:w="28" w:type="dxa"/>
            </w:tcMar>
          </w:tcPr>
          <w:p w14:paraId="3269B1B9" w14:textId="77777777" w:rsidR="00050691" w:rsidRPr="00050691" w:rsidRDefault="00050691" w:rsidP="00050691">
            <w:pPr>
              <w:pStyle w:val="Tablewriting"/>
              <w:jc w:val="center"/>
              <w:rPr>
                <w:rFonts w:eastAsia="MS Mincho"/>
              </w:rPr>
            </w:pPr>
            <w:r w:rsidRPr="00050691">
              <w:rPr>
                <w:rFonts w:eastAsia="MS Mincho"/>
              </w:rPr>
              <w:t>1.19</w:t>
            </w:r>
          </w:p>
          <w:p w14:paraId="4968BA90" w14:textId="1BD3E18C" w:rsidR="00804397" w:rsidRPr="00164F0E" w:rsidRDefault="00804397" w:rsidP="00050691">
            <w:pPr>
              <w:pStyle w:val="Tablewriting"/>
              <w:jc w:val="center"/>
              <w:rPr>
                <w:rFonts w:eastAsia="MS Mincho"/>
                <w:b/>
                <w:bCs/>
              </w:rPr>
            </w:pPr>
            <w:r w:rsidRPr="00050691">
              <w:rPr>
                <w:rFonts w:eastAsia="MS Mincho"/>
              </w:rPr>
              <w:t>(1, 1.</w:t>
            </w:r>
            <w:r w:rsidR="00050691" w:rsidRPr="00050691">
              <w:rPr>
                <w:rFonts w:eastAsia="MS Mincho"/>
              </w:rPr>
              <w:t>41</w:t>
            </w:r>
            <w:r w:rsidRPr="00050691">
              <w:rPr>
                <w:rFonts w:eastAsia="MS Mincho"/>
              </w:rPr>
              <w:t>)</w:t>
            </w:r>
          </w:p>
        </w:tc>
      </w:tr>
      <w:tr w:rsidR="00804397" w:rsidRPr="00061F78" w14:paraId="1B2545B1" w14:textId="77777777" w:rsidTr="00714E65">
        <w:trPr>
          <w:cantSplit/>
          <w:trHeight w:val="99"/>
        </w:trPr>
        <w:tc>
          <w:tcPr>
            <w:tcW w:w="5000" w:type="pct"/>
            <w:gridSpan w:val="5"/>
            <w:shd w:val="clear" w:color="auto" w:fill="FFFFFF" w:themeFill="background1"/>
          </w:tcPr>
          <w:p w14:paraId="2D8621A8" w14:textId="0D44DABE" w:rsidR="00050691" w:rsidRPr="00744F70" w:rsidRDefault="00050691" w:rsidP="00050691">
            <w:pPr>
              <w:pStyle w:val="Tablewriting"/>
              <w:rPr>
                <w:rFonts w:eastAsia="MS Mincho"/>
                <w:b/>
                <w:bCs/>
              </w:rPr>
            </w:pPr>
            <w:r w:rsidRPr="00744F70">
              <w:rPr>
                <w:rFonts w:eastAsia="MS Mincho"/>
                <w:b/>
                <w:bCs/>
              </w:rPr>
              <w:t>42/44 mg versus 21/22 mg (24-hour)</w:t>
            </w:r>
          </w:p>
        </w:tc>
      </w:tr>
      <w:tr w:rsidR="00804397" w:rsidRPr="00061F78" w14:paraId="40B842CF" w14:textId="77777777" w:rsidTr="00714E65">
        <w:trPr>
          <w:cantSplit/>
          <w:trHeight w:val="99"/>
        </w:trPr>
        <w:tc>
          <w:tcPr>
            <w:tcW w:w="640" w:type="pct"/>
            <w:shd w:val="clear" w:color="auto" w:fill="auto"/>
            <w:tcMar>
              <w:left w:w="28" w:type="dxa"/>
              <w:right w:w="28" w:type="dxa"/>
            </w:tcMar>
          </w:tcPr>
          <w:p w14:paraId="7FEF58DC" w14:textId="4DCB5B8C" w:rsidR="00804397" w:rsidRPr="005C3469" w:rsidRDefault="00050691" w:rsidP="00050691">
            <w:pPr>
              <w:pStyle w:val="Tablewriting"/>
              <w:rPr>
                <w:rFonts w:eastAsia="MS Mincho"/>
                <w:highlight w:val="yellow"/>
              </w:rPr>
            </w:pPr>
            <w:r>
              <w:rPr>
                <w:rFonts w:eastAsia="MS Mincho"/>
              </w:rPr>
              <w:t>Lindson (2019)</w:t>
            </w:r>
          </w:p>
        </w:tc>
        <w:tc>
          <w:tcPr>
            <w:tcW w:w="936" w:type="pct"/>
            <w:shd w:val="clear" w:color="auto" w:fill="auto"/>
            <w:vAlign w:val="center"/>
          </w:tcPr>
          <w:p w14:paraId="1EE1709F" w14:textId="77777777" w:rsidR="00714E65" w:rsidRDefault="00714E65" w:rsidP="00050691">
            <w:pPr>
              <w:pStyle w:val="Tablewriting"/>
              <w:jc w:val="center"/>
              <w:rPr>
                <w:rFonts w:eastAsia="MS Mincho"/>
              </w:rPr>
            </w:pPr>
            <w:r>
              <w:rPr>
                <w:rFonts w:eastAsia="MS Mincho"/>
              </w:rPr>
              <w:t>Cochrane Review</w:t>
            </w:r>
          </w:p>
          <w:p w14:paraId="1C30EDA7" w14:textId="225DCD9A" w:rsidR="00804397" w:rsidRDefault="00714E65" w:rsidP="00050691">
            <w:pPr>
              <w:pStyle w:val="Tablewriting"/>
              <w:jc w:val="center"/>
              <w:rPr>
                <w:rFonts w:eastAsia="MS Mincho"/>
              </w:rPr>
            </w:pPr>
            <w:r>
              <w:rPr>
                <w:rFonts w:eastAsia="MS Mincho"/>
              </w:rPr>
              <w:t>(</w:t>
            </w:r>
            <w:r w:rsidR="00050691">
              <w:rPr>
                <w:rFonts w:eastAsia="MS Mincho"/>
              </w:rPr>
              <w:t>5 RCTs</w:t>
            </w:r>
            <w:r>
              <w:rPr>
                <w:rFonts w:eastAsia="MS Mincho"/>
              </w:rPr>
              <w:t>)</w:t>
            </w:r>
          </w:p>
        </w:tc>
        <w:tc>
          <w:tcPr>
            <w:tcW w:w="1093" w:type="pct"/>
            <w:shd w:val="clear" w:color="auto" w:fill="auto"/>
            <w:tcMar>
              <w:left w:w="28" w:type="dxa"/>
              <w:right w:w="28" w:type="dxa"/>
            </w:tcMar>
            <w:vAlign w:val="center"/>
          </w:tcPr>
          <w:p w14:paraId="73ECA30A" w14:textId="77777777" w:rsidR="00050691" w:rsidRDefault="00050691" w:rsidP="00050691">
            <w:pPr>
              <w:pStyle w:val="Tablewriting"/>
              <w:jc w:val="center"/>
              <w:rPr>
                <w:rFonts w:eastAsia="MS Mincho"/>
              </w:rPr>
            </w:pPr>
            <w:r>
              <w:rPr>
                <w:rFonts w:eastAsia="MS Mincho"/>
              </w:rPr>
              <w:t>216/828</w:t>
            </w:r>
          </w:p>
          <w:p w14:paraId="2A5ACF5A" w14:textId="3EDA3F56" w:rsidR="00804397" w:rsidRPr="00164F0E" w:rsidRDefault="00050691" w:rsidP="00050691">
            <w:pPr>
              <w:pStyle w:val="Tablewriting"/>
              <w:jc w:val="center"/>
              <w:rPr>
                <w:rFonts w:eastAsia="MS Mincho"/>
              </w:rPr>
            </w:pPr>
            <w:r>
              <w:rPr>
                <w:rFonts w:eastAsia="MS Mincho"/>
              </w:rPr>
              <w:t>(</w:t>
            </w:r>
            <w:r w:rsidR="003A3815">
              <w:rPr>
                <w:rFonts w:eastAsia="MS Mincho"/>
              </w:rPr>
              <w:t>26.1</w:t>
            </w:r>
            <w:r>
              <w:rPr>
                <w:rFonts w:eastAsia="MS Mincho"/>
              </w:rPr>
              <w:t>%)</w:t>
            </w:r>
          </w:p>
        </w:tc>
        <w:tc>
          <w:tcPr>
            <w:tcW w:w="1170" w:type="pct"/>
            <w:shd w:val="clear" w:color="auto" w:fill="auto"/>
            <w:tcMar>
              <w:left w:w="28" w:type="dxa"/>
              <w:right w:w="28" w:type="dxa"/>
            </w:tcMar>
            <w:vAlign w:val="center"/>
          </w:tcPr>
          <w:p w14:paraId="1B546006" w14:textId="77777777" w:rsidR="00050691" w:rsidRDefault="00050691" w:rsidP="00050691">
            <w:pPr>
              <w:pStyle w:val="Tablewriting"/>
              <w:jc w:val="center"/>
              <w:rPr>
                <w:rFonts w:eastAsia="MS Mincho"/>
              </w:rPr>
            </w:pPr>
            <w:r>
              <w:rPr>
                <w:rFonts w:eastAsia="MS Mincho"/>
              </w:rPr>
              <w:t>197/827</w:t>
            </w:r>
          </w:p>
          <w:p w14:paraId="14C2160E" w14:textId="5FF3EB38" w:rsidR="00804397" w:rsidRPr="00164F0E" w:rsidRDefault="00050691" w:rsidP="00050691">
            <w:pPr>
              <w:pStyle w:val="Tablewriting"/>
              <w:jc w:val="center"/>
              <w:rPr>
                <w:rFonts w:eastAsia="MS Mincho"/>
              </w:rPr>
            </w:pPr>
            <w:r>
              <w:rPr>
                <w:rFonts w:eastAsia="MS Mincho"/>
              </w:rPr>
              <w:t>(</w:t>
            </w:r>
            <w:r w:rsidR="003A3815">
              <w:rPr>
                <w:rFonts w:eastAsia="MS Mincho"/>
              </w:rPr>
              <w:t>23.8</w:t>
            </w:r>
            <w:r>
              <w:rPr>
                <w:rFonts w:eastAsia="MS Mincho"/>
              </w:rPr>
              <w:t>%)</w:t>
            </w:r>
          </w:p>
        </w:tc>
        <w:tc>
          <w:tcPr>
            <w:tcW w:w="1161" w:type="pct"/>
            <w:shd w:val="clear" w:color="auto" w:fill="auto"/>
            <w:tcMar>
              <w:left w:w="28" w:type="dxa"/>
              <w:right w:w="28" w:type="dxa"/>
            </w:tcMar>
            <w:vAlign w:val="center"/>
          </w:tcPr>
          <w:p w14:paraId="7138992D" w14:textId="77777777" w:rsidR="00050691" w:rsidRPr="008464F3" w:rsidRDefault="00050691" w:rsidP="00050691">
            <w:pPr>
              <w:pStyle w:val="Tablewriting"/>
              <w:jc w:val="center"/>
              <w:rPr>
                <w:rFonts w:eastAsia="MS Mincho"/>
              </w:rPr>
            </w:pPr>
            <w:r w:rsidRPr="008464F3">
              <w:rPr>
                <w:rFonts w:eastAsia="MS Mincho"/>
              </w:rPr>
              <w:t>1.09</w:t>
            </w:r>
          </w:p>
          <w:p w14:paraId="23743C17" w14:textId="23593FBC" w:rsidR="00804397" w:rsidRPr="00164F0E" w:rsidRDefault="00050691" w:rsidP="00050691">
            <w:pPr>
              <w:pStyle w:val="Tablewriting"/>
              <w:jc w:val="center"/>
              <w:rPr>
                <w:rFonts w:eastAsia="MS Mincho"/>
                <w:b/>
                <w:bCs/>
              </w:rPr>
            </w:pPr>
            <w:r w:rsidRPr="008464F3">
              <w:rPr>
                <w:rFonts w:eastAsia="MS Mincho"/>
              </w:rPr>
              <w:t>(0.93, 1.29)</w:t>
            </w:r>
          </w:p>
        </w:tc>
      </w:tr>
    </w:tbl>
    <w:p w14:paraId="78976555" w14:textId="2447869E" w:rsidR="00804397" w:rsidRDefault="00804397" w:rsidP="00285D42">
      <w:pPr>
        <w:pStyle w:val="TableFooter"/>
        <w:keepNext/>
        <w:jc w:val="both"/>
      </w:pPr>
      <w:r>
        <w:t>Source: Lindson et al. (2019)</w:t>
      </w:r>
    </w:p>
    <w:p w14:paraId="6317641D" w14:textId="7E33CCDF" w:rsidR="00804397" w:rsidRPr="004A0AB5" w:rsidRDefault="00804397" w:rsidP="00285D42">
      <w:pPr>
        <w:pStyle w:val="TableFooter"/>
        <w:keepNext/>
        <w:jc w:val="both"/>
        <w:rPr>
          <w:i/>
        </w:rPr>
      </w:pPr>
      <w:r w:rsidRPr="004A0AB5">
        <w:t xml:space="preserve">Abbreviations: CI = confidence interval; RCT = randomised controlled trial; RR = risk ratio </w:t>
      </w:r>
    </w:p>
    <w:p w14:paraId="7D53BD72" w14:textId="77777777" w:rsidR="00050691" w:rsidRDefault="00804397" w:rsidP="00285D42">
      <w:pPr>
        <w:pStyle w:val="TableFooter"/>
        <w:jc w:val="both"/>
      </w:pPr>
      <w:r w:rsidRPr="0041240E">
        <w:t xml:space="preserve">Notes: </w:t>
      </w:r>
      <w:r w:rsidRPr="00050691">
        <w:t>Bold</w:t>
      </w:r>
      <w:r w:rsidRPr="0041240E">
        <w:t xml:space="preserve"> indicates statistically significant difference.</w:t>
      </w:r>
    </w:p>
    <w:p w14:paraId="145959AB" w14:textId="603DAC0B" w:rsidR="00804397" w:rsidRDefault="00050691" w:rsidP="00285D42">
      <w:pPr>
        <w:pStyle w:val="TableFooter"/>
        <w:spacing w:after="120"/>
        <w:contextualSpacing w:val="0"/>
        <w:jc w:val="both"/>
      </w:pPr>
      <w:r w:rsidRPr="00D70339">
        <w:t>1 Calculated by Cochrane Review authors using fixed-effect model</w:t>
      </w:r>
      <w:r w:rsidR="00ED0CBA">
        <w:t>.</w:t>
      </w:r>
    </w:p>
    <w:p w14:paraId="7A495BEC" w14:textId="13DACE55" w:rsidR="00D52898" w:rsidRDefault="00D52898" w:rsidP="00285D42">
      <w:pPr>
        <w:pStyle w:val="Caption"/>
        <w:keepNext/>
        <w:spacing w:before="0" w:after="120"/>
        <w:jc w:val="both"/>
      </w:pPr>
      <w:bookmarkStart w:id="152" w:name="_Ref59098765"/>
      <w:r>
        <w:t xml:space="preserve">Table </w:t>
      </w:r>
      <w:r w:rsidR="00BF3F75">
        <w:fldChar w:fldCharType="begin"/>
      </w:r>
      <w:r w:rsidR="00BF3F75">
        <w:instrText xml:space="preserve"> SEQ Table \* ARABIC </w:instrText>
      </w:r>
      <w:r w:rsidR="00BF3F75">
        <w:fldChar w:fldCharType="separate"/>
      </w:r>
      <w:r w:rsidR="00EC5CC7">
        <w:rPr>
          <w:noProof/>
        </w:rPr>
        <w:t>85</w:t>
      </w:r>
      <w:r w:rsidR="00BF3F75">
        <w:rPr>
          <w:noProof/>
        </w:rPr>
        <w:fldChar w:fldCharType="end"/>
      </w:r>
      <w:bookmarkEnd w:id="152"/>
      <w:r>
        <w:t xml:space="preserve">: </w:t>
      </w:r>
      <w:r w:rsidRPr="00996FF0">
        <w:t>Results of smoking cessation f</w:t>
      </w:r>
      <w:r w:rsidR="00914F60">
        <w:t>or</w:t>
      </w:r>
      <w:r w:rsidRPr="00996FF0">
        <w:t xml:space="preserve"> at least six months follow-up, different NRT gum doses</w:t>
      </w:r>
    </w:p>
    <w:tbl>
      <w:tblPr>
        <w:tblStyle w:val="TableGrid"/>
        <w:tblW w:w="5000" w:type="pct"/>
        <w:tblLook w:val="04A0" w:firstRow="1" w:lastRow="0" w:firstColumn="1" w:lastColumn="0" w:noHBand="0" w:noVBand="1"/>
      </w:tblPr>
      <w:tblGrid>
        <w:gridCol w:w="1145"/>
        <w:gridCol w:w="1673"/>
        <w:gridCol w:w="1953"/>
        <w:gridCol w:w="1953"/>
        <w:gridCol w:w="2292"/>
      </w:tblGrid>
      <w:tr w:rsidR="00804397" w:rsidRPr="00164F0E" w14:paraId="4014495E" w14:textId="77777777" w:rsidTr="00714E65">
        <w:trPr>
          <w:cantSplit/>
          <w:trHeight w:val="99"/>
        </w:trPr>
        <w:tc>
          <w:tcPr>
            <w:tcW w:w="635" w:type="pct"/>
            <w:shd w:val="clear" w:color="auto" w:fill="BFBFBF" w:themeFill="background1" w:themeFillShade="BF"/>
            <w:tcMar>
              <w:left w:w="28" w:type="dxa"/>
              <w:right w:w="28" w:type="dxa"/>
            </w:tcMar>
          </w:tcPr>
          <w:p w14:paraId="33267570" w14:textId="77777777" w:rsidR="00804397" w:rsidRPr="00295F34" w:rsidRDefault="00804397" w:rsidP="00050691">
            <w:pPr>
              <w:pStyle w:val="Tablewriting"/>
              <w:rPr>
                <w:rFonts w:eastAsia="MS Mincho"/>
                <w:b/>
                <w:bCs/>
              </w:rPr>
            </w:pPr>
            <w:r w:rsidRPr="00295F34">
              <w:rPr>
                <w:rFonts w:eastAsia="MS Mincho"/>
                <w:b/>
                <w:bCs/>
              </w:rPr>
              <w:t>Study</w:t>
            </w:r>
          </w:p>
        </w:tc>
        <w:tc>
          <w:tcPr>
            <w:tcW w:w="928" w:type="pct"/>
            <w:shd w:val="clear" w:color="auto" w:fill="BFBFBF" w:themeFill="background1" w:themeFillShade="BF"/>
            <w:vAlign w:val="center"/>
          </w:tcPr>
          <w:p w14:paraId="65740E65" w14:textId="77777777" w:rsidR="00804397" w:rsidRPr="00295F34" w:rsidRDefault="00804397" w:rsidP="00714E65">
            <w:pPr>
              <w:pStyle w:val="Tablewriting"/>
              <w:jc w:val="center"/>
              <w:rPr>
                <w:rFonts w:eastAsia="MS Mincho"/>
                <w:b/>
                <w:bCs/>
              </w:rPr>
            </w:pPr>
            <w:r w:rsidRPr="00295F34">
              <w:rPr>
                <w:rFonts w:eastAsia="MS Mincho"/>
                <w:b/>
                <w:bCs/>
              </w:rPr>
              <w:t>Study type</w:t>
            </w:r>
          </w:p>
        </w:tc>
        <w:tc>
          <w:tcPr>
            <w:tcW w:w="1083" w:type="pct"/>
            <w:shd w:val="clear" w:color="auto" w:fill="BFBFBF" w:themeFill="background1" w:themeFillShade="BF"/>
            <w:vAlign w:val="center"/>
          </w:tcPr>
          <w:p w14:paraId="30592830" w14:textId="77777777" w:rsidR="00804397" w:rsidRPr="00295F34" w:rsidRDefault="00804397" w:rsidP="00050691">
            <w:pPr>
              <w:pStyle w:val="Tablewriting"/>
              <w:jc w:val="center"/>
              <w:rPr>
                <w:rFonts w:eastAsia="MS Mincho"/>
                <w:b/>
                <w:bCs/>
              </w:rPr>
            </w:pPr>
            <w:r>
              <w:rPr>
                <w:rFonts w:eastAsia="MS Mincho"/>
                <w:b/>
                <w:bCs/>
              </w:rPr>
              <w:t>4 mg dose</w:t>
            </w:r>
          </w:p>
        </w:tc>
        <w:tc>
          <w:tcPr>
            <w:tcW w:w="1083" w:type="pct"/>
            <w:shd w:val="clear" w:color="auto" w:fill="BFBFBF" w:themeFill="background1" w:themeFillShade="BF"/>
            <w:vAlign w:val="center"/>
          </w:tcPr>
          <w:p w14:paraId="676777B3" w14:textId="77777777" w:rsidR="00804397" w:rsidRPr="00295F34" w:rsidRDefault="00804397" w:rsidP="00050691">
            <w:pPr>
              <w:pStyle w:val="Tablewriting"/>
              <w:jc w:val="center"/>
              <w:rPr>
                <w:rFonts w:eastAsia="MS Mincho"/>
                <w:b/>
                <w:bCs/>
              </w:rPr>
            </w:pPr>
            <w:r>
              <w:rPr>
                <w:rFonts w:eastAsia="MS Mincho"/>
                <w:b/>
                <w:bCs/>
              </w:rPr>
              <w:t>2 mg dose</w:t>
            </w:r>
          </w:p>
        </w:tc>
        <w:tc>
          <w:tcPr>
            <w:tcW w:w="1271" w:type="pct"/>
            <w:shd w:val="clear" w:color="auto" w:fill="BFBFBF" w:themeFill="background1" w:themeFillShade="BF"/>
            <w:vAlign w:val="center"/>
          </w:tcPr>
          <w:p w14:paraId="07680C0F" w14:textId="0FF688C7" w:rsidR="00804397" w:rsidRPr="00050691" w:rsidRDefault="00804397" w:rsidP="00050691">
            <w:pPr>
              <w:pStyle w:val="Tablewriting"/>
              <w:jc w:val="center"/>
              <w:rPr>
                <w:rFonts w:eastAsia="MS Mincho"/>
                <w:b/>
                <w:vertAlign w:val="superscript"/>
              </w:rPr>
            </w:pPr>
            <w:r w:rsidRPr="00295F34">
              <w:rPr>
                <w:rFonts w:eastAsia="MS Mincho"/>
                <w:b/>
                <w:bCs/>
              </w:rPr>
              <w:t>RR (95% CI)</w:t>
            </w:r>
            <w:r w:rsidR="00050691">
              <w:rPr>
                <w:rFonts w:eastAsia="MS Mincho"/>
                <w:b/>
                <w:bCs/>
                <w:vertAlign w:val="superscript"/>
              </w:rPr>
              <w:t>1</w:t>
            </w:r>
          </w:p>
        </w:tc>
      </w:tr>
      <w:tr w:rsidR="00804397" w:rsidRPr="00AA0584" w14:paraId="36A9442A" w14:textId="77777777" w:rsidTr="00714E65">
        <w:trPr>
          <w:cantSplit/>
          <w:trHeight w:val="99"/>
        </w:trPr>
        <w:tc>
          <w:tcPr>
            <w:tcW w:w="5000" w:type="pct"/>
            <w:gridSpan w:val="5"/>
            <w:shd w:val="clear" w:color="auto" w:fill="FFFFFF" w:themeFill="background1"/>
          </w:tcPr>
          <w:p w14:paraId="0184B872" w14:textId="43D48EE2" w:rsidR="00050691" w:rsidRPr="00DA02C3" w:rsidRDefault="00050691" w:rsidP="00050691">
            <w:pPr>
              <w:pStyle w:val="Tablewriting"/>
              <w:rPr>
                <w:rFonts w:eastAsia="MS Mincho"/>
                <w:b/>
                <w:bCs/>
              </w:rPr>
            </w:pPr>
            <w:r w:rsidRPr="00DA02C3">
              <w:rPr>
                <w:rFonts w:eastAsia="MS Mincho"/>
                <w:b/>
                <w:bCs/>
              </w:rPr>
              <w:t>High-dependency smokers</w:t>
            </w:r>
            <w:r w:rsidR="00DA02C3">
              <w:rPr>
                <w:rFonts w:eastAsia="MS Mincho"/>
                <w:b/>
                <w:bCs/>
              </w:rPr>
              <w:t xml:space="preserve"> subgroup</w:t>
            </w:r>
          </w:p>
        </w:tc>
      </w:tr>
      <w:tr w:rsidR="00804397" w:rsidRPr="00AA0584" w14:paraId="1FBC0A2E" w14:textId="77777777" w:rsidTr="00714E65">
        <w:trPr>
          <w:cantSplit/>
          <w:trHeight w:val="99"/>
        </w:trPr>
        <w:tc>
          <w:tcPr>
            <w:tcW w:w="635" w:type="pct"/>
            <w:shd w:val="clear" w:color="auto" w:fill="auto"/>
            <w:tcMar>
              <w:left w:w="28" w:type="dxa"/>
              <w:right w:w="28" w:type="dxa"/>
            </w:tcMar>
          </w:tcPr>
          <w:p w14:paraId="16A8E157" w14:textId="177179A3" w:rsidR="00804397" w:rsidRPr="00F136E9" w:rsidRDefault="00050691" w:rsidP="00050691">
            <w:pPr>
              <w:pStyle w:val="Tablewriting"/>
              <w:rPr>
                <w:rFonts w:eastAsia="MS Mincho"/>
              </w:rPr>
            </w:pPr>
            <w:r>
              <w:rPr>
                <w:rFonts w:eastAsia="MS Mincho"/>
              </w:rPr>
              <w:t>Lindson (2019)</w:t>
            </w:r>
          </w:p>
        </w:tc>
        <w:tc>
          <w:tcPr>
            <w:tcW w:w="928" w:type="pct"/>
            <w:shd w:val="clear" w:color="auto" w:fill="auto"/>
            <w:vAlign w:val="center"/>
          </w:tcPr>
          <w:p w14:paraId="6E095A76" w14:textId="77777777" w:rsidR="00714E65" w:rsidRDefault="00714E65" w:rsidP="00050691">
            <w:pPr>
              <w:pStyle w:val="Tablewriting"/>
              <w:jc w:val="center"/>
              <w:rPr>
                <w:rFonts w:eastAsia="MS Mincho"/>
              </w:rPr>
            </w:pPr>
            <w:r>
              <w:rPr>
                <w:rFonts w:eastAsia="MS Mincho"/>
              </w:rPr>
              <w:t>Cochrane Review</w:t>
            </w:r>
          </w:p>
          <w:p w14:paraId="67D99787" w14:textId="732741AB" w:rsidR="00804397" w:rsidRPr="00251B64" w:rsidRDefault="00714E65" w:rsidP="00050691">
            <w:pPr>
              <w:pStyle w:val="Tablewriting"/>
              <w:jc w:val="center"/>
              <w:rPr>
                <w:rFonts w:eastAsia="MS Mincho"/>
              </w:rPr>
            </w:pPr>
            <w:r>
              <w:rPr>
                <w:rFonts w:eastAsia="MS Mincho"/>
              </w:rPr>
              <w:t>(</w:t>
            </w:r>
            <w:r w:rsidR="00050691">
              <w:rPr>
                <w:rFonts w:eastAsia="MS Mincho"/>
              </w:rPr>
              <w:t>4 RCTs</w:t>
            </w:r>
            <w:r>
              <w:rPr>
                <w:rFonts w:eastAsia="MS Mincho"/>
              </w:rPr>
              <w:t>)</w:t>
            </w:r>
          </w:p>
        </w:tc>
        <w:tc>
          <w:tcPr>
            <w:tcW w:w="1083" w:type="pct"/>
            <w:shd w:val="clear" w:color="auto" w:fill="auto"/>
            <w:tcMar>
              <w:left w:w="28" w:type="dxa"/>
              <w:right w:w="28" w:type="dxa"/>
            </w:tcMar>
            <w:vAlign w:val="center"/>
          </w:tcPr>
          <w:p w14:paraId="5B689FBC" w14:textId="77777777" w:rsidR="00050691" w:rsidRDefault="00050691" w:rsidP="00050691">
            <w:pPr>
              <w:pStyle w:val="Tablewriting"/>
              <w:jc w:val="center"/>
              <w:rPr>
                <w:rFonts w:eastAsia="MS Mincho"/>
              </w:rPr>
            </w:pPr>
            <w:r>
              <w:rPr>
                <w:rFonts w:eastAsia="MS Mincho"/>
              </w:rPr>
              <w:t>90/303</w:t>
            </w:r>
          </w:p>
          <w:p w14:paraId="377A7765" w14:textId="644B17EE" w:rsidR="00804397" w:rsidRPr="007A6B4B" w:rsidRDefault="00050691" w:rsidP="00050691">
            <w:pPr>
              <w:pStyle w:val="Tablewriting"/>
              <w:jc w:val="center"/>
              <w:rPr>
                <w:rFonts w:eastAsia="MS Mincho"/>
              </w:rPr>
            </w:pPr>
            <w:r>
              <w:rPr>
                <w:rFonts w:eastAsia="MS Mincho"/>
              </w:rPr>
              <w:t>(</w:t>
            </w:r>
            <w:r w:rsidR="00841185">
              <w:rPr>
                <w:rFonts w:eastAsia="MS Mincho"/>
              </w:rPr>
              <w:t>29.7</w:t>
            </w:r>
            <w:r>
              <w:rPr>
                <w:rFonts w:eastAsia="MS Mincho"/>
              </w:rPr>
              <w:t>%)</w:t>
            </w:r>
          </w:p>
        </w:tc>
        <w:tc>
          <w:tcPr>
            <w:tcW w:w="1083" w:type="pct"/>
            <w:shd w:val="clear" w:color="auto" w:fill="auto"/>
            <w:tcMar>
              <w:left w:w="28" w:type="dxa"/>
              <w:right w:w="28" w:type="dxa"/>
            </w:tcMar>
            <w:vAlign w:val="center"/>
          </w:tcPr>
          <w:p w14:paraId="188169F4" w14:textId="77777777" w:rsidR="00050691" w:rsidRDefault="00050691" w:rsidP="00050691">
            <w:pPr>
              <w:pStyle w:val="Tablewriting"/>
              <w:jc w:val="center"/>
              <w:rPr>
                <w:rFonts w:eastAsia="MS Mincho"/>
              </w:rPr>
            </w:pPr>
            <w:r>
              <w:rPr>
                <w:rFonts w:eastAsia="MS Mincho"/>
              </w:rPr>
              <w:t>51/315</w:t>
            </w:r>
          </w:p>
          <w:p w14:paraId="5B0A0CDB" w14:textId="432F7DB5" w:rsidR="00804397" w:rsidRPr="007A6B4B" w:rsidRDefault="00050691" w:rsidP="00050691">
            <w:pPr>
              <w:pStyle w:val="Tablewriting"/>
              <w:jc w:val="center"/>
              <w:rPr>
                <w:rFonts w:eastAsia="MS Mincho"/>
              </w:rPr>
            </w:pPr>
            <w:r>
              <w:rPr>
                <w:rFonts w:eastAsia="MS Mincho"/>
              </w:rPr>
              <w:t>(</w:t>
            </w:r>
            <w:r w:rsidR="00EA0ED6">
              <w:rPr>
                <w:rFonts w:eastAsia="MS Mincho"/>
              </w:rPr>
              <w:t>16.2</w:t>
            </w:r>
            <w:r>
              <w:rPr>
                <w:rFonts w:eastAsia="MS Mincho"/>
              </w:rPr>
              <w:t>%)</w:t>
            </w:r>
          </w:p>
        </w:tc>
        <w:tc>
          <w:tcPr>
            <w:tcW w:w="1271" w:type="pct"/>
            <w:shd w:val="clear" w:color="auto" w:fill="auto"/>
            <w:tcMar>
              <w:left w:w="28" w:type="dxa"/>
              <w:right w:w="28" w:type="dxa"/>
            </w:tcMar>
            <w:vAlign w:val="center"/>
          </w:tcPr>
          <w:p w14:paraId="338D774C" w14:textId="77777777" w:rsidR="00050691" w:rsidRDefault="00050691" w:rsidP="00050691">
            <w:pPr>
              <w:pStyle w:val="Tablewriting"/>
              <w:jc w:val="center"/>
              <w:rPr>
                <w:rFonts w:eastAsia="MS Mincho"/>
                <w:b/>
                <w:bCs/>
              </w:rPr>
            </w:pPr>
            <w:r w:rsidRPr="00746ED1">
              <w:rPr>
                <w:rFonts w:eastAsia="MS Mincho"/>
                <w:b/>
                <w:bCs/>
              </w:rPr>
              <w:t xml:space="preserve">1.85 </w:t>
            </w:r>
          </w:p>
          <w:p w14:paraId="1F050100" w14:textId="552675AD" w:rsidR="00804397" w:rsidRPr="003230A1" w:rsidRDefault="00050691" w:rsidP="00050691">
            <w:pPr>
              <w:pStyle w:val="Tablewriting"/>
              <w:jc w:val="center"/>
              <w:rPr>
                <w:rFonts w:eastAsia="MS Mincho"/>
              </w:rPr>
            </w:pPr>
            <w:r w:rsidRPr="00746ED1">
              <w:rPr>
                <w:rFonts w:eastAsia="MS Mincho"/>
                <w:b/>
                <w:bCs/>
              </w:rPr>
              <w:t>(1.36</w:t>
            </w:r>
            <w:r w:rsidR="00804397" w:rsidRPr="00746ED1">
              <w:rPr>
                <w:rFonts w:eastAsia="MS Mincho"/>
                <w:b/>
              </w:rPr>
              <w:t>, 2.</w:t>
            </w:r>
            <w:r w:rsidRPr="00746ED1">
              <w:rPr>
                <w:rFonts w:eastAsia="MS Mincho"/>
                <w:b/>
                <w:bCs/>
              </w:rPr>
              <w:t>5</w:t>
            </w:r>
            <w:r w:rsidR="00804397" w:rsidRPr="00746ED1">
              <w:rPr>
                <w:rFonts w:eastAsia="MS Mincho"/>
                <w:b/>
              </w:rPr>
              <w:t>)</w:t>
            </w:r>
          </w:p>
        </w:tc>
      </w:tr>
      <w:tr w:rsidR="00804397" w:rsidRPr="00AA0584" w14:paraId="415D67C3" w14:textId="77777777" w:rsidTr="00714E65">
        <w:trPr>
          <w:cantSplit/>
          <w:trHeight w:val="99"/>
        </w:trPr>
        <w:tc>
          <w:tcPr>
            <w:tcW w:w="5000" w:type="pct"/>
            <w:gridSpan w:val="5"/>
            <w:shd w:val="clear" w:color="auto" w:fill="FFFFFF" w:themeFill="background1"/>
          </w:tcPr>
          <w:p w14:paraId="610F34FF" w14:textId="59091886" w:rsidR="00050691" w:rsidRPr="00DA02C3" w:rsidRDefault="00050691" w:rsidP="00050691">
            <w:pPr>
              <w:pStyle w:val="Tablewriting"/>
              <w:rPr>
                <w:rFonts w:eastAsia="MS Mincho"/>
                <w:b/>
                <w:bCs/>
              </w:rPr>
            </w:pPr>
            <w:r w:rsidRPr="00DA02C3">
              <w:rPr>
                <w:rFonts w:eastAsia="MS Mincho"/>
                <w:b/>
                <w:bCs/>
              </w:rPr>
              <w:t>Low-dependency smokers</w:t>
            </w:r>
            <w:r w:rsidR="00DA02C3">
              <w:rPr>
                <w:rFonts w:eastAsia="MS Mincho"/>
                <w:b/>
                <w:bCs/>
              </w:rPr>
              <w:t xml:space="preserve"> subgroup</w:t>
            </w:r>
          </w:p>
        </w:tc>
      </w:tr>
      <w:tr w:rsidR="00804397" w:rsidRPr="00AA0584" w14:paraId="66F6B35D" w14:textId="77777777" w:rsidTr="00714E65">
        <w:trPr>
          <w:cantSplit/>
          <w:trHeight w:val="99"/>
        </w:trPr>
        <w:tc>
          <w:tcPr>
            <w:tcW w:w="635" w:type="pct"/>
            <w:shd w:val="clear" w:color="auto" w:fill="auto"/>
            <w:tcMar>
              <w:left w:w="28" w:type="dxa"/>
              <w:right w:w="28" w:type="dxa"/>
            </w:tcMar>
          </w:tcPr>
          <w:p w14:paraId="37628001" w14:textId="31E8225F" w:rsidR="00804397" w:rsidRPr="00F136E9" w:rsidRDefault="00050691" w:rsidP="00050691">
            <w:pPr>
              <w:pStyle w:val="Tablewriting"/>
              <w:rPr>
                <w:rFonts w:eastAsia="MS Mincho"/>
              </w:rPr>
            </w:pPr>
            <w:r>
              <w:rPr>
                <w:rFonts w:eastAsia="MS Mincho"/>
              </w:rPr>
              <w:t>Lindson (2019)</w:t>
            </w:r>
          </w:p>
        </w:tc>
        <w:tc>
          <w:tcPr>
            <w:tcW w:w="928" w:type="pct"/>
            <w:shd w:val="clear" w:color="auto" w:fill="auto"/>
            <w:vAlign w:val="center"/>
          </w:tcPr>
          <w:p w14:paraId="56FFEC6A" w14:textId="77777777" w:rsidR="00714E65" w:rsidRDefault="00714E65" w:rsidP="00050691">
            <w:pPr>
              <w:pStyle w:val="Tablewriting"/>
              <w:jc w:val="center"/>
              <w:rPr>
                <w:rFonts w:eastAsia="MS Mincho"/>
              </w:rPr>
            </w:pPr>
            <w:r>
              <w:rPr>
                <w:rFonts w:eastAsia="MS Mincho"/>
              </w:rPr>
              <w:t>Cochrane Review</w:t>
            </w:r>
          </w:p>
          <w:p w14:paraId="58D569DF" w14:textId="0BB02ABE" w:rsidR="00804397" w:rsidRDefault="00714E65" w:rsidP="00050691">
            <w:pPr>
              <w:pStyle w:val="Tablewriting"/>
              <w:jc w:val="center"/>
              <w:rPr>
                <w:rFonts w:eastAsia="MS Mincho"/>
              </w:rPr>
            </w:pPr>
            <w:r>
              <w:rPr>
                <w:rFonts w:eastAsia="MS Mincho"/>
              </w:rPr>
              <w:t>(</w:t>
            </w:r>
            <w:r w:rsidR="00050691">
              <w:rPr>
                <w:rFonts w:eastAsia="MS Mincho"/>
              </w:rPr>
              <w:t xml:space="preserve">3 </w:t>
            </w:r>
            <w:r w:rsidR="00050691" w:rsidRPr="00644B4C">
              <w:rPr>
                <w:rFonts w:eastAsia="MS Mincho"/>
              </w:rPr>
              <w:t>RCT</w:t>
            </w:r>
            <w:r w:rsidR="00050691">
              <w:rPr>
                <w:rFonts w:eastAsia="MS Mincho"/>
              </w:rPr>
              <w:t>s</w:t>
            </w:r>
            <w:r>
              <w:rPr>
                <w:rFonts w:eastAsia="MS Mincho"/>
              </w:rPr>
              <w:t>)</w:t>
            </w:r>
          </w:p>
        </w:tc>
        <w:tc>
          <w:tcPr>
            <w:tcW w:w="1083" w:type="pct"/>
            <w:shd w:val="clear" w:color="auto" w:fill="auto"/>
            <w:tcMar>
              <w:left w:w="28" w:type="dxa"/>
              <w:right w:w="28" w:type="dxa"/>
            </w:tcMar>
            <w:vAlign w:val="center"/>
          </w:tcPr>
          <w:p w14:paraId="5B896211" w14:textId="77777777" w:rsidR="00050691" w:rsidRDefault="00050691" w:rsidP="00050691">
            <w:pPr>
              <w:pStyle w:val="Tablewriting"/>
              <w:jc w:val="center"/>
              <w:rPr>
                <w:rFonts w:eastAsia="MS Mincho"/>
              </w:rPr>
            </w:pPr>
            <w:r>
              <w:rPr>
                <w:rFonts w:eastAsia="MS Mincho"/>
              </w:rPr>
              <w:t>26/123</w:t>
            </w:r>
          </w:p>
          <w:p w14:paraId="01F1564A" w14:textId="76198F70" w:rsidR="00804397" w:rsidRPr="007A6B4B" w:rsidRDefault="00050691" w:rsidP="00050691">
            <w:pPr>
              <w:pStyle w:val="Tablewriting"/>
              <w:jc w:val="center"/>
              <w:rPr>
                <w:rFonts w:eastAsia="MS Mincho"/>
              </w:rPr>
            </w:pPr>
            <w:r>
              <w:rPr>
                <w:rFonts w:eastAsia="MS Mincho"/>
              </w:rPr>
              <w:t>(</w:t>
            </w:r>
            <w:r w:rsidR="00EA0ED6">
              <w:rPr>
                <w:rFonts w:eastAsia="MS Mincho"/>
              </w:rPr>
              <w:t>21.1</w:t>
            </w:r>
            <w:r>
              <w:rPr>
                <w:rFonts w:eastAsia="MS Mincho"/>
              </w:rPr>
              <w:t>%)</w:t>
            </w:r>
          </w:p>
        </w:tc>
        <w:tc>
          <w:tcPr>
            <w:tcW w:w="1083" w:type="pct"/>
            <w:shd w:val="clear" w:color="auto" w:fill="auto"/>
            <w:tcMar>
              <w:left w:w="28" w:type="dxa"/>
              <w:right w:w="28" w:type="dxa"/>
            </w:tcMar>
            <w:vAlign w:val="center"/>
          </w:tcPr>
          <w:p w14:paraId="7F048384" w14:textId="77777777" w:rsidR="00050691" w:rsidRDefault="00050691" w:rsidP="00050691">
            <w:pPr>
              <w:pStyle w:val="Tablewriting"/>
              <w:jc w:val="center"/>
              <w:rPr>
                <w:rFonts w:eastAsia="MS Mincho"/>
              </w:rPr>
            </w:pPr>
            <w:r>
              <w:rPr>
                <w:rFonts w:eastAsia="MS Mincho"/>
              </w:rPr>
              <w:t>30/115</w:t>
            </w:r>
          </w:p>
          <w:p w14:paraId="567C3131" w14:textId="17708FD6" w:rsidR="00804397" w:rsidRPr="007A6B4B" w:rsidRDefault="00050691" w:rsidP="00050691">
            <w:pPr>
              <w:pStyle w:val="Tablewriting"/>
              <w:jc w:val="center"/>
              <w:rPr>
                <w:rFonts w:eastAsia="MS Mincho"/>
              </w:rPr>
            </w:pPr>
            <w:r>
              <w:rPr>
                <w:rFonts w:eastAsia="MS Mincho"/>
              </w:rPr>
              <w:t>(</w:t>
            </w:r>
            <w:r w:rsidR="00EA0ED6">
              <w:rPr>
                <w:rFonts w:eastAsia="MS Mincho"/>
              </w:rPr>
              <w:t>26.1</w:t>
            </w:r>
            <w:r>
              <w:rPr>
                <w:rFonts w:eastAsia="MS Mincho"/>
              </w:rPr>
              <w:t>%)</w:t>
            </w:r>
          </w:p>
        </w:tc>
        <w:tc>
          <w:tcPr>
            <w:tcW w:w="1271" w:type="pct"/>
            <w:shd w:val="clear" w:color="auto" w:fill="auto"/>
            <w:tcMar>
              <w:left w:w="28" w:type="dxa"/>
              <w:right w:w="28" w:type="dxa"/>
            </w:tcMar>
            <w:vAlign w:val="center"/>
          </w:tcPr>
          <w:p w14:paraId="5A52EB81" w14:textId="77777777" w:rsidR="00050691" w:rsidRPr="00050691" w:rsidRDefault="00050691" w:rsidP="00050691">
            <w:pPr>
              <w:pStyle w:val="Tablewriting"/>
              <w:jc w:val="center"/>
              <w:rPr>
                <w:rFonts w:eastAsia="MS Mincho"/>
              </w:rPr>
            </w:pPr>
            <w:r w:rsidRPr="00050691">
              <w:rPr>
                <w:rFonts w:eastAsia="MS Mincho"/>
              </w:rPr>
              <w:t>0.77</w:t>
            </w:r>
          </w:p>
          <w:p w14:paraId="19259798" w14:textId="0F0CCA49" w:rsidR="00804397" w:rsidRPr="003230A1" w:rsidRDefault="00804397" w:rsidP="00050691">
            <w:pPr>
              <w:pStyle w:val="Tablewriting"/>
              <w:jc w:val="center"/>
              <w:rPr>
                <w:rFonts w:eastAsia="MS Mincho"/>
              </w:rPr>
            </w:pPr>
            <w:r w:rsidRPr="003230A1">
              <w:rPr>
                <w:rFonts w:eastAsia="MS Mincho"/>
              </w:rPr>
              <w:t>(0.</w:t>
            </w:r>
            <w:r w:rsidR="00050691" w:rsidRPr="00050691">
              <w:rPr>
                <w:rFonts w:eastAsia="MS Mincho"/>
              </w:rPr>
              <w:t>49</w:t>
            </w:r>
            <w:r w:rsidRPr="003230A1">
              <w:rPr>
                <w:rFonts w:eastAsia="MS Mincho"/>
              </w:rPr>
              <w:t>, 1.</w:t>
            </w:r>
            <w:r w:rsidR="00050691" w:rsidRPr="00050691">
              <w:rPr>
                <w:rFonts w:eastAsia="MS Mincho"/>
              </w:rPr>
              <w:t>21</w:t>
            </w:r>
            <w:r w:rsidRPr="003230A1">
              <w:rPr>
                <w:rFonts w:eastAsia="MS Mincho"/>
              </w:rPr>
              <w:t>)</w:t>
            </w:r>
          </w:p>
        </w:tc>
      </w:tr>
      <w:tr w:rsidR="00050691" w:rsidRPr="00AA0584" w14:paraId="3F727B6F" w14:textId="77777777" w:rsidTr="00050691">
        <w:trPr>
          <w:cantSplit/>
          <w:trHeight w:val="99"/>
        </w:trPr>
        <w:tc>
          <w:tcPr>
            <w:tcW w:w="5000" w:type="pct"/>
            <w:gridSpan w:val="5"/>
            <w:shd w:val="clear" w:color="auto" w:fill="auto"/>
            <w:tcMar>
              <w:left w:w="28" w:type="dxa"/>
              <w:right w:w="28" w:type="dxa"/>
            </w:tcMar>
          </w:tcPr>
          <w:p w14:paraId="03B48582" w14:textId="79D614F9" w:rsidR="00050691" w:rsidRPr="00DA02C3" w:rsidRDefault="00DA02C3" w:rsidP="00050691">
            <w:pPr>
              <w:pStyle w:val="Tablewriting"/>
              <w:rPr>
                <w:rFonts w:eastAsia="MS Mincho"/>
                <w:b/>
                <w:bCs/>
              </w:rPr>
            </w:pPr>
            <w:r>
              <w:rPr>
                <w:rFonts w:eastAsia="MS Mincho"/>
                <w:b/>
                <w:bCs/>
              </w:rPr>
              <w:t>Irrespective of dependency level (pooled)</w:t>
            </w:r>
          </w:p>
        </w:tc>
      </w:tr>
      <w:tr w:rsidR="00050691" w:rsidRPr="00AA0584" w14:paraId="1E7D765D" w14:textId="77777777" w:rsidTr="00714E65">
        <w:trPr>
          <w:cantSplit/>
          <w:trHeight w:val="99"/>
        </w:trPr>
        <w:tc>
          <w:tcPr>
            <w:tcW w:w="635" w:type="pct"/>
            <w:shd w:val="clear" w:color="auto" w:fill="auto"/>
            <w:tcMar>
              <w:left w:w="28" w:type="dxa"/>
              <w:right w:w="28" w:type="dxa"/>
            </w:tcMar>
          </w:tcPr>
          <w:p w14:paraId="34F241C8" w14:textId="7360212E" w:rsidR="00050691" w:rsidRDefault="00050691" w:rsidP="00050691">
            <w:pPr>
              <w:pStyle w:val="Tablewriting"/>
              <w:rPr>
                <w:rFonts w:eastAsia="MS Mincho"/>
              </w:rPr>
            </w:pPr>
            <w:r>
              <w:rPr>
                <w:rFonts w:eastAsia="MS Mincho"/>
              </w:rPr>
              <w:t>Lindson (2019)</w:t>
            </w:r>
          </w:p>
        </w:tc>
        <w:tc>
          <w:tcPr>
            <w:tcW w:w="928" w:type="pct"/>
            <w:shd w:val="clear" w:color="auto" w:fill="auto"/>
            <w:vAlign w:val="center"/>
          </w:tcPr>
          <w:p w14:paraId="2FD469BD" w14:textId="77777777" w:rsidR="00714E65" w:rsidRDefault="00714E65" w:rsidP="00050691">
            <w:pPr>
              <w:pStyle w:val="Tablewriting"/>
              <w:jc w:val="center"/>
              <w:rPr>
                <w:rFonts w:eastAsia="MS Mincho"/>
              </w:rPr>
            </w:pPr>
            <w:r>
              <w:rPr>
                <w:rFonts w:eastAsia="MS Mincho"/>
              </w:rPr>
              <w:t>Cochrane Review</w:t>
            </w:r>
          </w:p>
          <w:p w14:paraId="4CD26CA6" w14:textId="4AF423AA" w:rsidR="00050691" w:rsidRDefault="00714E65" w:rsidP="00050691">
            <w:pPr>
              <w:pStyle w:val="Tablewriting"/>
              <w:jc w:val="center"/>
              <w:rPr>
                <w:rFonts w:eastAsia="MS Mincho"/>
              </w:rPr>
            </w:pPr>
            <w:r>
              <w:rPr>
                <w:rFonts w:eastAsia="MS Mincho"/>
              </w:rPr>
              <w:t>(</w:t>
            </w:r>
            <w:r w:rsidR="00050691">
              <w:rPr>
                <w:rFonts w:eastAsia="MS Mincho"/>
              </w:rPr>
              <w:t xml:space="preserve">7 </w:t>
            </w:r>
            <w:r w:rsidR="00050691" w:rsidRPr="00644B4C">
              <w:rPr>
                <w:rFonts w:eastAsia="MS Mincho"/>
              </w:rPr>
              <w:t>RCT</w:t>
            </w:r>
            <w:r w:rsidR="00050691">
              <w:rPr>
                <w:rFonts w:eastAsia="MS Mincho"/>
              </w:rPr>
              <w:t>s</w:t>
            </w:r>
            <w:r>
              <w:rPr>
                <w:rFonts w:eastAsia="MS Mincho"/>
              </w:rPr>
              <w:t>)</w:t>
            </w:r>
          </w:p>
        </w:tc>
        <w:tc>
          <w:tcPr>
            <w:tcW w:w="1083" w:type="pct"/>
            <w:shd w:val="clear" w:color="auto" w:fill="auto"/>
            <w:tcMar>
              <w:left w:w="28" w:type="dxa"/>
              <w:right w:w="28" w:type="dxa"/>
            </w:tcMar>
            <w:vAlign w:val="center"/>
          </w:tcPr>
          <w:p w14:paraId="128BC62B" w14:textId="6BD1C395" w:rsidR="00050691" w:rsidRDefault="00050691" w:rsidP="00050691">
            <w:pPr>
              <w:pStyle w:val="Tablewriting"/>
              <w:jc w:val="center"/>
              <w:rPr>
                <w:rFonts w:eastAsia="MS Mincho"/>
              </w:rPr>
            </w:pPr>
            <w:r>
              <w:rPr>
                <w:rFonts w:eastAsia="MS Mincho"/>
              </w:rPr>
              <w:t>116/426</w:t>
            </w:r>
          </w:p>
          <w:p w14:paraId="3F9EF1B9" w14:textId="0F2504EF" w:rsidR="00050691" w:rsidRDefault="00050691" w:rsidP="00050691">
            <w:pPr>
              <w:pStyle w:val="Tablewriting"/>
              <w:jc w:val="center"/>
              <w:rPr>
                <w:rFonts w:eastAsia="MS Mincho"/>
              </w:rPr>
            </w:pPr>
            <w:r>
              <w:rPr>
                <w:rFonts w:eastAsia="MS Mincho"/>
              </w:rPr>
              <w:t>(</w:t>
            </w:r>
            <w:r w:rsidR="00EA0ED6">
              <w:rPr>
                <w:rFonts w:eastAsia="MS Mincho"/>
              </w:rPr>
              <w:t>27.2</w:t>
            </w:r>
            <w:r>
              <w:rPr>
                <w:rFonts w:eastAsia="MS Mincho"/>
              </w:rPr>
              <w:t>%)</w:t>
            </w:r>
          </w:p>
        </w:tc>
        <w:tc>
          <w:tcPr>
            <w:tcW w:w="1083" w:type="pct"/>
            <w:shd w:val="clear" w:color="auto" w:fill="auto"/>
            <w:tcMar>
              <w:left w:w="28" w:type="dxa"/>
              <w:right w:w="28" w:type="dxa"/>
            </w:tcMar>
            <w:vAlign w:val="center"/>
          </w:tcPr>
          <w:p w14:paraId="46F8EF04" w14:textId="548F98CB" w:rsidR="00050691" w:rsidRDefault="00050691" w:rsidP="00050691">
            <w:pPr>
              <w:pStyle w:val="Tablewriting"/>
              <w:jc w:val="center"/>
              <w:rPr>
                <w:rFonts w:eastAsia="MS Mincho"/>
              </w:rPr>
            </w:pPr>
            <w:r>
              <w:rPr>
                <w:rFonts w:eastAsia="MS Mincho"/>
              </w:rPr>
              <w:t>81/430</w:t>
            </w:r>
          </w:p>
          <w:p w14:paraId="4FAC22BE" w14:textId="51FE54B0" w:rsidR="00050691" w:rsidRDefault="00050691" w:rsidP="00050691">
            <w:pPr>
              <w:pStyle w:val="Tablewriting"/>
              <w:jc w:val="center"/>
              <w:rPr>
                <w:rFonts w:eastAsia="MS Mincho"/>
              </w:rPr>
            </w:pPr>
            <w:r>
              <w:rPr>
                <w:rFonts w:eastAsia="MS Mincho"/>
              </w:rPr>
              <w:t>(</w:t>
            </w:r>
            <w:r w:rsidR="00EA0ED6">
              <w:rPr>
                <w:rFonts w:eastAsia="MS Mincho"/>
              </w:rPr>
              <w:t>18.8</w:t>
            </w:r>
            <w:r>
              <w:rPr>
                <w:rFonts w:eastAsia="MS Mincho"/>
              </w:rPr>
              <w:t>%)</w:t>
            </w:r>
          </w:p>
        </w:tc>
        <w:tc>
          <w:tcPr>
            <w:tcW w:w="1271" w:type="pct"/>
            <w:shd w:val="clear" w:color="auto" w:fill="auto"/>
            <w:tcMar>
              <w:left w:w="28" w:type="dxa"/>
              <w:right w:w="28" w:type="dxa"/>
            </w:tcMar>
            <w:vAlign w:val="center"/>
          </w:tcPr>
          <w:p w14:paraId="41D0D2F6" w14:textId="77777777" w:rsidR="00050691" w:rsidRPr="009C7AF3" w:rsidRDefault="00050691" w:rsidP="00050691">
            <w:pPr>
              <w:pStyle w:val="Tablewriting"/>
              <w:jc w:val="center"/>
              <w:rPr>
                <w:rFonts w:eastAsia="MS Mincho"/>
                <w:b/>
                <w:bCs/>
              </w:rPr>
            </w:pPr>
            <w:r w:rsidRPr="009C7AF3">
              <w:rPr>
                <w:rFonts w:eastAsia="MS Mincho"/>
                <w:b/>
                <w:bCs/>
              </w:rPr>
              <w:t>1.43</w:t>
            </w:r>
          </w:p>
          <w:p w14:paraId="19BDB961" w14:textId="0339F658" w:rsidR="00050691" w:rsidRPr="009C7AF3" w:rsidRDefault="00050691" w:rsidP="00050691">
            <w:pPr>
              <w:pStyle w:val="Tablewriting"/>
              <w:jc w:val="center"/>
              <w:rPr>
                <w:rFonts w:eastAsia="MS Mincho"/>
                <w:b/>
                <w:bCs/>
              </w:rPr>
            </w:pPr>
            <w:r w:rsidRPr="009C7AF3">
              <w:rPr>
                <w:rFonts w:eastAsia="MS Mincho"/>
                <w:b/>
                <w:bCs/>
              </w:rPr>
              <w:t>(1.12, 1.83)</w:t>
            </w:r>
          </w:p>
        </w:tc>
      </w:tr>
    </w:tbl>
    <w:p w14:paraId="1371E912" w14:textId="64D889DA" w:rsidR="00804397" w:rsidRDefault="00804397" w:rsidP="00285D42">
      <w:pPr>
        <w:pStyle w:val="TableFooter"/>
        <w:keepNext/>
        <w:jc w:val="both"/>
      </w:pPr>
      <w:r>
        <w:t>Source: Lindson et al. (2019)</w:t>
      </w:r>
    </w:p>
    <w:p w14:paraId="1407095F" w14:textId="33334152" w:rsidR="00804397" w:rsidRPr="004A0AB5" w:rsidRDefault="00804397" w:rsidP="00285D42">
      <w:pPr>
        <w:pStyle w:val="TableFooter"/>
        <w:keepNext/>
        <w:jc w:val="both"/>
        <w:rPr>
          <w:i/>
        </w:rPr>
      </w:pPr>
      <w:r w:rsidRPr="004A0AB5">
        <w:t xml:space="preserve">Abbreviations: CI = confidence interval; RCT = randomised controlled trial; RR = risk ratio </w:t>
      </w:r>
    </w:p>
    <w:p w14:paraId="4689581B" w14:textId="53DB4F91" w:rsidR="00050691" w:rsidRDefault="00804397" w:rsidP="00285D42">
      <w:pPr>
        <w:pStyle w:val="TableFooter"/>
        <w:jc w:val="both"/>
      </w:pPr>
      <w:r w:rsidRPr="0041240E">
        <w:t xml:space="preserve">Notes: </w:t>
      </w:r>
      <w:r w:rsidRPr="00050691">
        <w:t>Bold</w:t>
      </w:r>
      <w:r w:rsidRPr="0041240E">
        <w:t xml:space="preserve"> indicates statistically significant difference.</w:t>
      </w:r>
    </w:p>
    <w:p w14:paraId="003346B8" w14:textId="38FE0786" w:rsidR="008B6381" w:rsidRPr="008B6381" w:rsidRDefault="00050691" w:rsidP="00285D42">
      <w:pPr>
        <w:pStyle w:val="TableFooter"/>
        <w:spacing w:after="120"/>
        <w:contextualSpacing w:val="0"/>
        <w:jc w:val="both"/>
      </w:pPr>
      <w:r w:rsidRPr="00D70339">
        <w:t>1 Calculated by Cochrane Review authors using fixed-effect model</w:t>
      </w:r>
      <w:r w:rsidR="00ED0CBA">
        <w:t>.</w:t>
      </w:r>
    </w:p>
    <w:p w14:paraId="64325A2E" w14:textId="679840D0" w:rsidR="00804397" w:rsidRPr="0045755E" w:rsidRDefault="00804397" w:rsidP="00285D42">
      <w:pPr>
        <w:spacing w:after="120"/>
        <w:jc w:val="both"/>
      </w:pPr>
      <w:r w:rsidRPr="00F136E9">
        <w:t>The results of the individual studies included in Lindson et al. (2019) are presented using a forest plot in</w:t>
      </w:r>
      <w:r w:rsidR="00805606">
        <w:t xml:space="preserve"> </w:t>
      </w:r>
      <w:r w:rsidR="00996EF6">
        <w:fldChar w:fldCharType="begin" w:fldLock="1"/>
      </w:r>
      <w:r w:rsidR="00996EF6">
        <w:instrText xml:space="preserve"> REF _Ref61611834 \h  \* MERGEFORMAT </w:instrText>
      </w:r>
      <w:r w:rsidR="00996EF6">
        <w:fldChar w:fldCharType="separate"/>
      </w:r>
      <w:r w:rsidR="00EC5CC7">
        <w:t>Figure 24</w:t>
      </w:r>
      <w:r w:rsidR="00996EF6">
        <w:fldChar w:fldCharType="end"/>
      </w:r>
      <w:r w:rsidR="00DD121D">
        <w:t xml:space="preserve"> and </w:t>
      </w:r>
      <w:r w:rsidR="00DD121D">
        <w:fldChar w:fldCharType="begin" w:fldLock="1"/>
      </w:r>
      <w:r w:rsidR="00DD121D">
        <w:instrText xml:space="preserve"> REF _Ref59099025 \h </w:instrText>
      </w:r>
      <w:r w:rsidR="00DD121D">
        <w:fldChar w:fldCharType="separate"/>
      </w:r>
      <w:r w:rsidR="00EC5CC7">
        <w:t xml:space="preserve">Figure </w:t>
      </w:r>
      <w:r w:rsidR="00EC5CC7">
        <w:rPr>
          <w:noProof/>
        </w:rPr>
        <w:t>25</w:t>
      </w:r>
      <w:r w:rsidR="00DD121D">
        <w:fldChar w:fldCharType="end"/>
      </w:r>
      <w:r w:rsidR="00C350F5">
        <w:t>.</w:t>
      </w:r>
    </w:p>
    <w:p w14:paraId="7A426F71" w14:textId="6977B98B" w:rsidR="00A965B6" w:rsidRDefault="00A965B6" w:rsidP="0045755E">
      <w:pPr>
        <w:keepNext/>
      </w:pPr>
      <w:r w:rsidRPr="44D0D543">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"C:\\var\\folders\\gx\\zlxfjf7d1z77ylckw36klf9h0000gn\\T\\com.microsoft.Word\\WebArchiveCopyPasteTempFiles\\nCD013308-CMP-001-01.png" \* MERGEFORMAT </w:instrText>
      </w:r>
      <w:r w:rsidRPr="44D0D543">
        <w:rPr>
          <w:rFonts w:ascii="Times New Roman" w:eastAsia="Times New Roman" w:hAnsi="Times New Roman" w:cs="Times New Roman"/>
          <w:lang w:eastAsia="en-GB"/>
        </w:rPr>
        <w:fldChar w:fldCharType="separate"/>
      </w:r>
      <w:r>
        <w:rPr>
          <w:noProof/>
        </w:rPr>
        <w:drawing>
          <wp:inline distT="0" distB="0" distL="0" distR="0" wp14:anchorId="66AF4ACD" wp14:editId="412E63F0">
            <wp:extent cx="5731510" cy="3371215"/>
            <wp:effectExtent l="0" t="0" r="0" b="0"/>
            <wp:docPr id="75" name="Picture 75" descr="P58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P5833#yIS1"/>
                    <pic:cNvPicPr/>
                  </pic:nvPicPr>
                  <pic:blipFill>
                    <a:blip r:embed="rId43">
                      <a:extLst>
                        <a:ext uri="{28A0092B-C50C-407E-A947-70E740481C1C}">
                          <a14:useLocalDpi xmlns:a14="http://schemas.microsoft.com/office/drawing/2010/main" val="0"/>
                        </a:ext>
                      </a:extLst>
                    </a:blip>
                    <a:stretch>
                      <a:fillRect/>
                    </a:stretch>
                  </pic:blipFill>
                  <pic:spPr>
                    <a:xfrm>
                      <a:off x="0" y="0"/>
                      <a:ext cx="5731510" cy="3371215"/>
                    </a:xfrm>
                    <a:prstGeom prst="rect">
                      <a:avLst/>
                    </a:prstGeom>
                  </pic:spPr>
                </pic:pic>
              </a:graphicData>
            </a:graphic>
          </wp:inline>
        </w:drawing>
      </w:r>
      <w:r w:rsidRPr="44D0D543">
        <w:rPr>
          <w:rFonts w:ascii="Times New Roman" w:eastAsia="Times New Roman" w:hAnsi="Times New Roman" w:cs="Times New Roman"/>
          <w:lang w:eastAsia="en-GB"/>
        </w:rPr>
        <w:fldChar w:fldCharType="end"/>
      </w:r>
    </w:p>
    <w:p w14:paraId="7C3D47BB" w14:textId="679F589C" w:rsidR="00F547AE" w:rsidRDefault="00A965B6" w:rsidP="00285D42">
      <w:pPr>
        <w:pStyle w:val="Caption"/>
        <w:spacing w:before="120" w:after="60"/>
        <w:jc w:val="both"/>
      </w:pPr>
      <w:bookmarkStart w:id="153" w:name="_Ref61611834"/>
      <w:r>
        <w:t xml:space="preserve">Figure </w:t>
      </w:r>
      <w:r w:rsidR="00BF3F75">
        <w:fldChar w:fldCharType="begin"/>
      </w:r>
      <w:r w:rsidR="00BF3F75">
        <w:instrText xml:space="preserve"> SEQ Figure \* ARABIC </w:instrText>
      </w:r>
      <w:r w:rsidR="00BF3F75">
        <w:fldChar w:fldCharType="separate"/>
      </w:r>
      <w:r w:rsidR="00EC5CC7">
        <w:rPr>
          <w:noProof/>
        </w:rPr>
        <w:t>24</w:t>
      </w:r>
      <w:r w:rsidR="00BF3F75">
        <w:rPr>
          <w:noProof/>
        </w:rPr>
        <w:fldChar w:fldCharType="end"/>
      </w:r>
      <w:bookmarkEnd w:id="153"/>
      <w:r>
        <w:t xml:space="preserve">: </w:t>
      </w:r>
      <w:r w:rsidRPr="00263FCC">
        <w:t>Results of smoking cessation f</w:t>
      </w:r>
      <w:r w:rsidR="00B54B4E">
        <w:t>or</w:t>
      </w:r>
      <w:r w:rsidRPr="00263FCC">
        <w:t xml:space="preserve"> at least six months follow-up in Lindson et al. (2019), different NRT patch doses</w:t>
      </w:r>
    </w:p>
    <w:p w14:paraId="3813C0CF" w14:textId="6177C076" w:rsidR="00A965B6" w:rsidRDefault="00A965B6" w:rsidP="00285D42">
      <w:pPr>
        <w:pStyle w:val="TableFooter"/>
        <w:jc w:val="both"/>
      </w:pPr>
      <w:r>
        <w:t>Source: Lindson et al. (2019)</w:t>
      </w:r>
    </w:p>
    <w:p w14:paraId="09EC9094" w14:textId="677F58A3" w:rsidR="00A965B6" w:rsidRPr="00A965B6" w:rsidRDefault="00A965B6" w:rsidP="00285D42">
      <w:pPr>
        <w:pStyle w:val="TableFooter"/>
        <w:jc w:val="both"/>
      </w:pPr>
      <w:r>
        <w:t>Abbreviations: CI = confidence interval</w:t>
      </w:r>
    </w:p>
    <w:p w14:paraId="5C8626A1" w14:textId="77777777" w:rsidR="00050691" w:rsidRPr="00C350F5" w:rsidRDefault="00050691" w:rsidP="00050691">
      <w:pPr>
        <w:pStyle w:val="TableFooter"/>
        <w:keepNext/>
      </w:pPr>
    </w:p>
    <w:p w14:paraId="498C96AA" w14:textId="77777777" w:rsidR="00543DB6" w:rsidRDefault="00804397" w:rsidP="00543DB6">
      <w:pPr>
        <w:pStyle w:val="TableFooter"/>
        <w:keepNext/>
      </w:pPr>
      <w:r>
        <w:rPr>
          <w:noProof/>
          <w:sz w:val="24"/>
          <w:u w:val="single"/>
        </w:rPr>
        <w:drawing>
          <wp:inline distT="0" distB="0" distL="0" distR="0" wp14:anchorId="40D2AF6C" wp14:editId="212E79BF">
            <wp:extent cx="5731510" cy="3580227"/>
            <wp:effectExtent l="0" t="0" r="0" b="1270"/>
            <wp:docPr id="58" name="Picture 58" descr="P58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P5838#yI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731510" cy="3580227"/>
                    </a:xfrm>
                    <a:prstGeom prst="rect">
                      <a:avLst/>
                    </a:prstGeom>
                    <a:ln>
                      <a:noFill/>
                    </a:ln>
                    <a:extLst>
                      <a:ext uri="{53640926-AAD7-44D8-BBD7-CCE9431645EC}">
                        <a14:shadowObscured xmlns:a14="http://schemas.microsoft.com/office/drawing/2010/main"/>
                      </a:ext>
                    </a:extLst>
                  </pic:spPr>
                </pic:pic>
              </a:graphicData>
            </a:graphic>
          </wp:inline>
        </w:drawing>
      </w:r>
    </w:p>
    <w:p w14:paraId="505F4677" w14:textId="4D037D33" w:rsidR="00804397" w:rsidRPr="00805606" w:rsidRDefault="00543DB6" w:rsidP="00285D42">
      <w:pPr>
        <w:pStyle w:val="Caption"/>
        <w:spacing w:before="120" w:after="60"/>
        <w:jc w:val="both"/>
      </w:pPr>
      <w:bookmarkStart w:id="154" w:name="_Ref59099025"/>
      <w:r>
        <w:t xml:space="preserve">Figure </w:t>
      </w:r>
      <w:r w:rsidR="00BF3F75">
        <w:fldChar w:fldCharType="begin"/>
      </w:r>
      <w:r w:rsidR="00BF3F75">
        <w:instrText xml:space="preserve"> SEQ Figure \* ARABIC </w:instrText>
      </w:r>
      <w:r w:rsidR="00BF3F75">
        <w:fldChar w:fldCharType="separate"/>
      </w:r>
      <w:r w:rsidR="00EC5CC7">
        <w:rPr>
          <w:noProof/>
        </w:rPr>
        <w:t>25</w:t>
      </w:r>
      <w:r w:rsidR="00BF3F75">
        <w:rPr>
          <w:noProof/>
        </w:rPr>
        <w:fldChar w:fldCharType="end"/>
      </w:r>
      <w:bookmarkEnd w:id="154"/>
      <w:r>
        <w:t xml:space="preserve">: </w:t>
      </w:r>
      <w:r w:rsidRPr="00007991">
        <w:t>Results of smoking cessation f</w:t>
      </w:r>
      <w:r w:rsidR="00B54B4E">
        <w:t>or</w:t>
      </w:r>
      <w:r w:rsidRPr="00007991">
        <w:t xml:space="preserve"> at least six months follow-up in Lindson et al. (2019), different NRT gum doses</w:t>
      </w:r>
    </w:p>
    <w:p w14:paraId="49B87CBA" w14:textId="77777777" w:rsidR="00804397" w:rsidRDefault="00804397" w:rsidP="00285D42">
      <w:pPr>
        <w:pStyle w:val="TableFooter"/>
        <w:jc w:val="both"/>
      </w:pPr>
      <w:r>
        <w:t>Source: Lindson et al. (2019)</w:t>
      </w:r>
    </w:p>
    <w:p w14:paraId="6CA32467" w14:textId="21804A24" w:rsidR="003312C4" w:rsidRPr="003312C4" w:rsidRDefault="00804397" w:rsidP="00285D42">
      <w:pPr>
        <w:pStyle w:val="TableFooter"/>
        <w:jc w:val="both"/>
      </w:pPr>
      <w:r>
        <w:t>Abbreviations: CI = confidence interval</w:t>
      </w:r>
    </w:p>
    <w:p w14:paraId="369F5565" w14:textId="77777777" w:rsidR="00804397" w:rsidRDefault="00804397" w:rsidP="00285D42">
      <w:pPr>
        <w:spacing w:after="120"/>
        <w:jc w:val="both"/>
        <w:rPr>
          <w:u w:val="single"/>
        </w:rPr>
      </w:pPr>
      <w:r w:rsidRPr="00714E65">
        <w:rPr>
          <w:u w:val="single"/>
        </w:rPr>
        <w:lastRenderedPageBreak/>
        <w:t>S</w:t>
      </w:r>
      <w:r w:rsidRPr="00F136E9">
        <w:rPr>
          <w:u w:val="single"/>
        </w:rPr>
        <w:t>afety</w:t>
      </w:r>
    </w:p>
    <w:p w14:paraId="199BD30B" w14:textId="4B9FBB64" w:rsidR="00804397" w:rsidRDefault="00804397" w:rsidP="00285D42">
      <w:pPr>
        <w:spacing w:after="120"/>
        <w:jc w:val="both"/>
      </w:pPr>
      <w:r>
        <w:t xml:space="preserve">A summary of key adverse events </w:t>
      </w:r>
      <w:r w:rsidR="00714E65">
        <w:t>comparing the higher dose with lower dose</w:t>
      </w:r>
      <w:r>
        <w:t xml:space="preserve"> of NRT </w:t>
      </w:r>
      <w:r w:rsidR="00573F59">
        <w:t>patches</w:t>
      </w:r>
      <w:r>
        <w:t xml:space="preserve"> and NRT gum is presented in</w:t>
      </w:r>
      <w:r w:rsidR="00470037">
        <w:t xml:space="preserve"> </w:t>
      </w:r>
      <w:r w:rsidR="00470037">
        <w:fldChar w:fldCharType="begin" w:fldLock="1"/>
      </w:r>
      <w:r w:rsidR="00470037">
        <w:instrText xml:space="preserve"> REF _Ref62113519 \h </w:instrText>
      </w:r>
      <w:r w:rsidR="00470037">
        <w:fldChar w:fldCharType="separate"/>
      </w:r>
      <w:r w:rsidR="00EC5CC7">
        <w:t xml:space="preserve">Table </w:t>
      </w:r>
      <w:r w:rsidR="00EC5CC7">
        <w:rPr>
          <w:noProof/>
        </w:rPr>
        <w:t>86</w:t>
      </w:r>
      <w:r w:rsidR="00470037">
        <w:fldChar w:fldCharType="end"/>
      </w:r>
      <w:r w:rsidR="00523285">
        <w:t>.</w:t>
      </w:r>
      <w:r>
        <w:t xml:space="preserve"> </w:t>
      </w:r>
      <w:r w:rsidR="00714E65" w:rsidRPr="00714E65">
        <w:t xml:space="preserve">Based on the meta-analysis conducted by </w:t>
      </w:r>
      <w:r w:rsidR="00714E65">
        <w:t xml:space="preserve">Lindson </w:t>
      </w:r>
      <w:r w:rsidR="00714E65" w:rsidRPr="00714E65">
        <w:t>et al. (20</w:t>
      </w:r>
      <w:r w:rsidR="00714E65">
        <w:t>19</w:t>
      </w:r>
      <w:r w:rsidR="00714E65" w:rsidRPr="00714E65">
        <w:t xml:space="preserve">), </w:t>
      </w:r>
      <w:r w:rsidR="00714E65">
        <w:t>t</w:t>
      </w:r>
      <w:r w:rsidR="00714E65" w:rsidRPr="00714E65">
        <w:t xml:space="preserve">here were no statistically significant differences between the two treatment arms </w:t>
      </w:r>
      <w:r w:rsidR="00CE58EA">
        <w:t xml:space="preserve">in all outcomes </w:t>
      </w:r>
      <w:r w:rsidR="00714E65">
        <w:t xml:space="preserve">except for treatment withdrawals comparing the 42/44 mg with 21/22 mg (24-hour) patches. A significantly higher treatment withdrawal rate was observed in patients treated with </w:t>
      </w:r>
      <w:r w:rsidR="00843CFE">
        <w:t xml:space="preserve">the </w:t>
      </w:r>
      <w:r w:rsidR="00714E65">
        <w:t xml:space="preserve">42/44 mg (24-hour) </w:t>
      </w:r>
      <w:r w:rsidR="00573F59">
        <w:t>patches</w:t>
      </w:r>
      <w:r w:rsidR="00714E65">
        <w:t xml:space="preserve"> compared to patients treated with </w:t>
      </w:r>
      <w:r w:rsidR="00843CFE">
        <w:t xml:space="preserve">the </w:t>
      </w:r>
      <w:r w:rsidR="00714E65">
        <w:t xml:space="preserve">21/22 mg (24-hour) </w:t>
      </w:r>
      <w:r w:rsidR="00573F59">
        <w:t>patches</w:t>
      </w:r>
      <w:r w:rsidR="00714E65">
        <w:t>.</w:t>
      </w:r>
      <w:r>
        <w:t xml:space="preserve"> </w:t>
      </w:r>
    </w:p>
    <w:p w14:paraId="662D353D" w14:textId="2C9879AD" w:rsidR="00C350F5" w:rsidRDefault="00C350F5" w:rsidP="00285D42">
      <w:pPr>
        <w:pStyle w:val="Caption"/>
        <w:keepNext/>
        <w:spacing w:before="0" w:after="120"/>
        <w:jc w:val="both"/>
      </w:pPr>
      <w:bookmarkStart w:id="155" w:name="_Ref62113519"/>
      <w:r>
        <w:t xml:space="preserve">Table </w:t>
      </w:r>
      <w:r w:rsidR="00BF3F75">
        <w:fldChar w:fldCharType="begin"/>
      </w:r>
      <w:r w:rsidR="00BF3F75">
        <w:instrText xml:space="preserve"> SEQ Table \* ARABIC </w:instrText>
      </w:r>
      <w:r w:rsidR="00BF3F75">
        <w:fldChar w:fldCharType="separate"/>
      </w:r>
      <w:r w:rsidR="00EC5CC7">
        <w:rPr>
          <w:noProof/>
        </w:rPr>
        <w:t>86</w:t>
      </w:r>
      <w:r w:rsidR="00BF3F75">
        <w:rPr>
          <w:noProof/>
        </w:rPr>
        <w:fldChar w:fldCharType="end"/>
      </w:r>
      <w:bookmarkEnd w:id="155"/>
      <w:r>
        <w:t xml:space="preserve">: </w:t>
      </w:r>
      <w:r w:rsidRPr="00A91280">
        <w:t>Summary of key adverse events in Lindson et al. (2019), higher dose versus lower dose NRT (patch and gum)</w:t>
      </w:r>
    </w:p>
    <w:tbl>
      <w:tblPr>
        <w:tblStyle w:val="TableGrid"/>
        <w:tblW w:w="5000" w:type="pct"/>
        <w:tblLook w:val="04A0" w:firstRow="1" w:lastRow="0" w:firstColumn="1" w:lastColumn="0" w:noHBand="0" w:noVBand="1"/>
        <w:tblCaption w:val="Efficacy results of adalimumab trials (PASI 75 and DLQI)"/>
      </w:tblPr>
      <w:tblGrid>
        <w:gridCol w:w="2560"/>
        <w:gridCol w:w="2110"/>
        <w:gridCol w:w="1690"/>
        <w:gridCol w:w="1414"/>
        <w:gridCol w:w="1242"/>
      </w:tblGrid>
      <w:tr w:rsidR="00804397" w:rsidRPr="00061F78" w14:paraId="64F9C7B0" w14:textId="77777777" w:rsidTr="00714E65">
        <w:trPr>
          <w:cantSplit/>
          <w:trHeight w:val="299"/>
          <w:tblHeader/>
        </w:trPr>
        <w:tc>
          <w:tcPr>
            <w:tcW w:w="1420" w:type="pct"/>
            <w:shd w:val="clear" w:color="auto" w:fill="BFBFBF" w:themeFill="background1" w:themeFillShade="BF"/>
            <w:tcMar>
              <w:left w:w="28" w:type="dxa"/>
              <w:right w:w="28" w:type="dxa"/>
            </w:tcMar>
            <w:vAlign w:val="center"/>
          </w:tcPr>
          <w:p w14:paraId="0C83C055" w14:textId="77777777" w:rsidR="00804397" w:rsidRDefault="00804397" w:rsidP="00C928BE">
            <w:pPr>
              <w:pStyle w:val="Tableheading"/>
              <w:rPr>
                <w:rFonts w:eastAsia="MS Mincho"/>
              </w:rPr>
            </w:pPr>
            <w:r>
              <w:rPr>
                <w:rFonts w:eastAsia="MS Mincho"/>
              </w:rPr>
              <w:t>Outcome</w:t>
            </w:r>
          </w:p>
        </w:tc>
        <w:tc>
          <w:tcPr>
            <w:tcW w:w="1170" w:type="pct"/>
            <w:shd w:val="clear" w:color="auto" w:fill="BFBFBF" w:themeFill="background1" w:themeFillShade="BF"/>
            <w:vAlign w:val="center"/>
          </w:tcPr>
          <w:p w14:paraId="35762B43" w14:textId="61356B9C" w:rsidR="00804397" w:rsidRDefault="00714E65" w:rsidP="00C928BE">
            <w:pPr>
              <w:pStyle w:val="Tableheading"/>
              <w:jc w:val="center"/>
              <w:rPr>
                <w:rFonts w:eastAsia="MS Mincho"/>
              </w:rPr>
            </w:pPr>
            <w:r>
              <w:rPr>
                <w:rFonts w:eastAsia="MS Mincho"/>
              </w:rPr>
              <w:t>Study type</w:t>
            </w:r>
          </w:p>
        </w:tc>
        <w:tc>
          <w:tcPr>
            <w:tcW w:w="937" w:type="pct"/>
            <w:shd w:val="clear" w:color="auto" w:fill="BFBFBF" w:themeFill="background1" w:themeFillShade="BF"/>
            <w:tcMar>
              <w:left w:w="28" w:type="dxa"/>
              <w:right w:w="28" w:type="dxa"/>
            </w:tcMar>
            <w:vAlign w:val="center"/>
          </w:tcPr>
          <w:p w14:paraId="11666D87" w14:textId="7714113F" w:rsidR="00804397" w:rsidRPr="00061F78" w:rsidRDefault="00804397" w:rsidP="00C928BE">
            <w:pPr>
              <w:pStyle w:val="Tableheading"/>
              <w:jc w:val="center"/>
              <w:rPr>
                <w:rFonts w:eastAsia="MS Mincho"/>
              </w:rPr>
            </w:pPr>
            <w:r>
              <w:rPr>
                <w:rFonts w:eastAsia="MS Mincho"/>
              </w:rPr>
              <w:t>Higher dose</w:t>
            </w:r>
          </w:p>
        </w:tc>
        <w:tc>
          <w:tcPr>
            <w:tcW w:w="784" w:type="pct"/>
            <w:shd w:val="clear" w:color="auto" w:fill="BFBFBF" w:themeFill="background1" w:themeFillShade="BF"/>
            <w:tcMar>
              <w:left w:w="28" w:type="dxa"/>
              <w:right w:w="28" w:type="dxa"/>
            </w:tcMar>
            <w:vAlign w:val="center"/>
          </w:tcPr>
          <w:p w14:paraId="218492C3" w14:textId="4A09DA9A" w:rsidR="00804397" w:rsidRPr="00061F78" w:rsidRDefault="00804397" w:rsidP="00C928BE">
            <w:pPr>
              <w:pStyle w:val="Tableheading"/>
              <w:jc w:val="center"/>
              <w:rPr>
                <w:rFonts w:eastAsia="MS Mincho"/>
              </w:rPr>
            </w:pPr>
            <w:r>
              <w:rPr>
                <w:rFonts w:eastAsia="MS Mincho"/>
              </w:rPr>
              <w:t>Lower dose</w:t>
            </w:r>
          </w:p>
        </w:tc>
        <w:tc>
          <w:tcPr>
            <w:tcW w:w="689" w:type="pct"/>
            <w:shd w:val="clear" w:color="auto" w:fill="BFBFBF" w:themeFill="background1" w:themeFillShade="BF"/>
            <w:tcMar>
              <w:left w:w="28" w:type="dxa"/>
              <w:right w:w="28" w:type="dxa"/>
            </w:tcMar>
            <w:vAlign w:val="center"/>
          </w:tcPr>
          <w:p w14:paraId="75FEF796" w14:textId="03A79C5C" w:rsidR="00804397" w:rsidRPr="00681ACA" w:rsidRDefault="00804397" w:rsidP="00C928BE">
            <w:pPr>
              <w:pStyle w:val="Tableheading"/>
              <w:jc w:val="center"/>
              <w:rPr>
                <w:rFonts w:eastAsia="MS Mincho"/>
                <w:vertAlign w:val="superscript"/>
              </w:rPr>
            </w:pPr>
            <w:r>
              <w:rPr>
                <w:rFonts w:eastAsia="MS Mincho"/>
              </w:rPr>
              <w:t>RR (95% CI)</w:t>
            </w:r>
            <w:r w:rsidR="00080214">
              <w:rPr>
                <w:rFonts w:eastAsia="MS Mincho"/>
                <w:vertAlign w:val="superscript"/>
              </w:rPr>
              <w:t>1</w:t>
            </w:r>
          </w:p>
        </w:tc>
      </w:tr>
      <w:tr w:rsidR="00804397" w:rsidRPr="00061F78" w14:paraId="742AB4FD" w14:textId="77777777" w:rsidTr="00470037">
        <w:trPr>
          <w:cantSplit/>
          <w:trHeight w:val="99"/>
        </w:trPr>
        <w:tc>
          <w:tcPr>
            <w:tcW w:w="5000" w:type="pct"/>
            <w:gridSpan w:val="5"/>
            <w:shd w:val="clear" w:color="auto" w:fill="auto"/>
            <w:tcMar>
              <w:left w:w="28" w:type="dxa"/>
              <w:right w:w="28" w:type="dxa"/>
            </w:tcMar>
          </w:tcPr>
          <w:p w14:paraId="31813896" w14:textId="58D37C91" w:rsidR="00714E65" w:rsidRPr="00470037" w:rsidRDefault="00714E65" w:rsidP="00C928BE">
            <w:pPr>
              <w:pStyle w:val="Tablewriting"/>
              <w:rPr>
                <w:rFonts w:eastAsia="MS Mincho"/>
                <w:b/>
                <w:bCs/>
              </w:rPr>
            </w:pPr>
            <w:r w:rsidRPr="00470037">
              <w:rPr>
                <w:rFonts w:eastAsia="MS Mincho"/>
                <w:b/>
                <w:bCs/>
              </w:rPr>
              <w:t>NRT patch</w:t>
            </w:r>
          </w:p>
        </w:tc>
      </w:tr>
      <w:tr w:rsidR="00804397" w:rsidRPr="00061F78" w14:paraId="203600E9" w14:textId="77777777" w:rsidTr="00714E65">
        <w:trPr>
          <w:cantSplit/>
          <w:trHeight w:val="541"/>
        </w:trPr>
        <w:tc>
          <w:tcPr>
            <w:tcW w:w="1420" w:type="pct"/>
            <w:shd w:val="clear" w:color="auto" w:fill="auto"/>
            <w:tcMar>
              <w:left w:w="28" w:type="dxa"/>
              <w:right w:w="28" w:type="dxa"/>
            </w:tcMar>
            <w:vAlign w:val="center"/>
          </w:tcPr>
          <w:p w14:paraId="256E3B9B" w14:textId="07095AEC" w:rsidR="00804397" w:rsidRPr="0031400A" w:rsidRDefault="00714E65" w:rsidP="00C928BE">
            <w:pPr>
              <w:pStyle w:val="Tablewriting"/>
              <w:rPr>
                <w:rFonts w:eastAsia="MS Mincho"/>
                <w:highlight w:val="yellow"/>
              </w:rPr>
            </w:pPr>
            <w:r>
              <w:rPr>
                <w:rFonts w:eastAsia="MS Mincho"/>
              </w:rPr>
              <w:t>Fast or irregular heartbeat</w:t>
            </w:r>
          </w:p>
        </w:tc>
        <w:tc>
          <w:tcPr>
            <w:tcW w:w="1170" w:type="pct"/>
            <w:vAlign w:val="center"/>
          </w:tcPr>
          <w:p w14:paraId="10337C2B" w14:textId="77777777" w:rsidR="00714E65" w:rsidRDefault="00714E65" w:rsidP="00C928BE">
            <w:pPr>
              <w:pStyle w:val="Tablewriting"/>
              <w:jc w:val="center"/>
              <w:rPr>
                <w:rFonts w:eastAsia="MS Mincho"/>
              </w:rPr>
            </w:pPr>
            <w:r>
              <w:rPr>
                <w:rFonts w:eastAsia="MS Mincho"/>
              </w:rPr>
              <w:t>Cochrane Review</w:t>
            </w:r>
          </w:p>
          <w:p w14:paraId="4DA10815" w14:textId="06B226CF" w:rsidR="00804397" w:rsidRPr="001277A6" w:rsidRDefault="00714E65" w:rsidP="00C928BE">
            <w:pPr>
              <w:pStyle w:val="Tablewriting"/>
              <w:jc w:val="center"/>
              <w:rPr>
                <w:rFonts w:eastAsia="MS Mincho"/>
              </w:rPr>
            </w:pPr>
            <w:r>
              <w:rPr>
                <w:rFonts w:eastAsia="MS Mincho"/>
              </w:rPr>
              <w:t>(2 RCTs)</w:t>
            </w:r>
          </w:p>
        </w:tc>
        <w:tc>
          <w:tcPr>
            <w:tcW w:w="937" w:type="pct"/>
            <w:shd w:val="clear" w:color="auto" w:fill="auto"/>
            <w:tcMar>
              <w:left w:w="28" w:type="dxa"/>
              <w:right w:w="28" w:type="dxa"/>
            </w:tcMar>
            <w:vAlign w:val="center"/>
          </w:tcPr>
          <w:p w14:paraId="1FE303F7" w14:textId="77777777" w:rsidR="00804397" w:rsidRPr="001B08F9" w:rsidRDefault="00804397" w:rsidP="00C928BE">
            <w:pPr>
              <w:pStyle w:val="Tablewriting"/>
              <w:jc w:val="center"/>
              <w:rPr>
                <w:rFonts w:eastAsia="MS Mincho"/>
              </w:rPr>
            </w:pPr>
            <w:r w:rsidRPr="001B08F9">
              <w:rPr>
                <w:rFonts w:eastAsia="MS Mincho"/>
              </w:rPr>
              <w:t>53/1636</w:t>
            </w:r>
          </w:p>
          <w:p w14:paraId="3D77B0C7" w14:textId="327BE8F3" w:rsidR="00804397" w:rsidRPr="001B08F9" w:rsidRDefault="00804397" w:rsidP="00C928BE">
            <w:pPr>
              <w:pStyle w:val="Tablewriting"/>
              <w:jc w:val="center"/>
              <w:rPr>
                <w:rFonts w:eastAsia="MS Mincho"/>
              </w:rPr>
            </w:pPr>
            <w:r w:rsidRPr="001B08F9">
              <w:rPr>
                <w:rFonts w:eastAsia="MS Mincho"/>
              </w:rPr>
              <w:t>(3.2%)</w:t>
            </w:r>
          </w:p>
        </w:tc>
        <w:tc>
          <w:tcPr>
            <w:tcW w:w="784" w:type="pct"/>
            <w:shd w:val="clear" w:color="auto" w:fill="auto"/>
            <w:tcMar>
              <w:left w:w="28" w:type="dxa"/>
              <w:right w:w="28" w:type="dxa"/>
            </w:tcMar>
            <w:vAlign w:val="center"/>
          </w:tcPr>
          <w:p w14:paraId="33C5A49A" w14:textId="77777777" w:rsidR="00804397" w:rsidRPr="001B08F9" w:rsidRDefault="00804397" w:rsidP="00C928BE">
            <w:pPr>
              <w:pStyle w:val="Tablewriting"/>
              <w:jc w:val="center"/>
              <w:rPr>
                <w:rFonts w:eastAsia="MS Mincho"/>
              </w:rPr>
            </w:pPr>
            <w:r w:rsidRPr="001B08F9">
              <w:rPr>
                <w:rFonts w:eastAsia="MS Mincho"/>
              </w:rPr>
              <w:t>57/1633</w:t>
            </w:r>
          </w:p>
          <w:p w14:paraId="40486769" w14:textId="77777777" w:rsidR="00804397" w:rsidRPr="001B08F9" w:rsidRDefault="00804397" w:rsidP="00C928BE">
            <w:pPr>
              <w:pStyle w:val="Tablewriting"/>
              <w:jc w:val="center"/>
              <w:rPr>
                <w:rFonts w:eastAsia="MS Mincho"/>
              </w:rPr>
            </w:pPr>
            <w:r w:rsidRPr="001B08F9">
              <w:rPr>
                <w:rFonts w:eastAsia="MS Mincho"/>
              </w:rPr>
              <w:t>(3.5%)</w:t>
            </w:r>
          </w:p>
        </w:tc>
        <w:tc>
          <w:tcPr>
            <w:tcW w:w="689" w:type="pct"/>
            <w:shd w:val="clear" w:color="auto" w:fill="auto"/>
            <w:tcMar>
              <w:left w:w="28" w:type="dxa"/>
              <w:right w:w="28" w:type="dxa"/>
            </w:tcMar>
            <w:vAlign w:val="center"/>
          </w:tcPr>
          <w:p w14:paraId="34B3FB37" w14:textId="77777777" w:rsidR="00804397" w:rsidRPr="001277A6" w:rsidRDefault="00804397" w:rsidP="00C928BE">
            <w:pPr>
              <w:pStyle w:val="Tablewriting"/>
              <w:jc w:val="center"/>
              <w:rPr>
                <w:rFonts w:eastAsia="MS Mincho"/>
              </w:rPr>
            </w:pPr>
            <w:r w:rsidRPr="001277A6">
              <w:rPr>
                <w:rFonts w:eastAsia="MS Mincho"/>
              </w:rPr>
              <w:t>0.92</w:t>
            </w:r>
          </w:p>
          <w:p w14:paraId="77B93F2C" w14:textId="77777777" w:rsidR="00804397" w:rsidRPr="001277A6" w:rsidRDefault="00804397" w:rsidP="00C928BE">
            <w:pPr>
              <w:pStyle w:val="Tablewriting"/>
              <w:jc w:val="center"/>
              <w:rPr>
                <w:rFonts w:eastAsia="MS Mincho"/>
                <w:b/>
              </w:rPr>
            </w:pPr>
            <w:r w:rsidRPr="001277A6">
              <w:rPr>
                <w:rFonts w:eastAsia="MS Mincho"/>
              </w:rPr>
              <w:t>(0.64, 1.33)</w:t>
            </w:r>
          </w:p>
        </w:tc>
      </w:tr>
      <w:tr w:rsidR="00804397" w:rsidRPr="00061F78" w14:paraId="24E196F3" w14:textId="77777777" w:rsidTr="00714E65">
        <w:trPr>
          <w:cantSplit/>
          <w:trHeight w:val="149"/>
        </w:trPr>
        <w:tc>
          <w:tcPr>
            <w:tcW w:w="1420" w:type="pct"/>
            <w:tcMar>
              <w:left w:w="28" w:type="dxa"/>
              <w:right w:w="28" w:type="dxa"/>
            </w:tcMar>
            <w:vAlign w:val="center"/>
          </w:tcPr>
          <w:p w14:paraId="5FE214F6" w14:textId="5A8AAEB3" w:rsidR="00804397" w:rsidRPr="0031400A" w:rsidRDefault="00714E65" w:rsidP="00C928BE">
            <w:pPr>
              <w:pStyle w:val="Tablewriting"/>
              <w:rPr>
                <w:rFonts w:eastAsia="MS Mincho"/>
                <w:highlight w:val="yellow"/>
              </w:rPr>
            </w:pPr>
            <w:r w:rsidRPr="0031400A">
              <w:rPr>
                <w:rFonts w:eastAsia="MS Mincho"/>
              </w:rPr>
              <w:t>Myocardial infarction</w:t>
            </w:r>
          </w:p>
        </w:tc>
        <w:tc>
          <w:tcPr>
            <w:tcW w:w="1170" w:type="pct"/>
            <w:vAlign w:val="center"/>
          </w:tcPr>
          <w:p w14:paraId="0100EEB8" w14:textId="77777777" w:rsidR="00714E65" w:rsidRDefault="00714E65" w:rsidP="00C928BE">
            <w:pPr>
              <w:pStyle w:val="Tablewriting"/>
              <w:jc w:val="center"/>
              <w:rPr>
                <w:rFonts w:eastAsia="MS Mincho"/>
              </w:rPr>
            </w:pPr>
            <w:r>
              <w:rPr>
                <w:rFonts w:eastAsia="MS Mincho"/>
              </w:rPr>
              <w:t>Cochrane Review</w:t>
            </w:r>
          </w:p>
          <w:p w14:paraId="7F4B02FF" w14:textId="5DC311DA" w:rsidR="00804397" w:rsidRPr="00A10F2A" w:rsidRDefault="00714E65" w:rsidP="00C928BE">
            <w:pPr>
              <w:pStyle w:val="Tablewriting"/>
              <w:jc w:val="center"/>
              <w:rPr>
                <w:rFonts w:eastAsia="MS Mincho"/>
                <w:highlight w:val="yellow"/>
              </w:rPr>
            </w:pPr>
            <w:r>
              <w:rPr>
                <w:rFonts w:eastAsia="MS Mincho"/>
              </w:rPr>
              <w:t>(1 RCT)</w:t>
            </w:r>
          </w:p>
        </w:tc>
        <w:tc>
          <w:tcPr>
            <w:tcW w:w="937" w:type="pct"/>
            <w:tcMar>
              <w:left w:w="28" w:type="dxa"/>
              <w:right w:w="28" w:type="dxa"/>
            </w:tcMar>
            <w:vAlign w:val="center"/>
          </w:tcPr>
          <w:p w14:paraId="7BBEE479" w14:textId="77777777" w:rsidR="00804397" w:rsidRDefault="00804397" w:rsidP="00C928BE">
            <w:pPr>
              <w:pStyle w:val="Tablewriting"/>
              <w:jc w:val="center"/>
              <w:rPr>
                <w:rFonts w:eastAsia="MS Mincho"/>
              </w:rPr>
            </w:pPr>
            <w:r>
              <w:rPr>
                <w:rFonts w:eastAsia="MS Mincho"/>
              </w:rPr>
              <w:t>1/1430</w:t>
            </w:r>
          </w:p>
          <w:p w14:paraId="654FEF44" w14:textId="77777777" w:rsidR="00804397" w:rsidRPr="00A10F2A" w:rsidRDefault="00804397" w:rsidP="00C928BE">
            <w:pPr>
              <w:pStyle w:val="Tablewriting"/>
              <w:jc w:val="center"/>
              <w:rPr>
                <w:rFonts w:eastAsia="MS Mincho"/>
                <w:vertAlign w:val="superscript"/>
              </w:rPr>
            </w:pPr>
            <w:r w:rsidRPr="00A10F2A">
              <w:rPr>
                <w:rFonts w:eastAsia="MS Mincho"/>
              </w:rPr>
              <w:t>(</w:t>
            </w:r>
            <w:r>
              <w:rPr>
                <w:rFonts w:eastAsia="MS Mincho"/>
              </w:rPr>
              <w:t>0.07</w:t>
            </w:r>
            <w:r w:rsidRPr="00A10F2A">
              <w:rPr>
                <w:rFonts w:eastAsia="MS Mincho"/>
              </w:rPr>
              <w:t>%)</w:t>
            </w:r>
          </w:p>
        </w:tc>
        <w:tc>
          <w:tcPr>
            <w:tcW w:w="784" w:type="pct"/>
            <w:tcMar>
              <w:left w:w="28" w:type="dxa"/>
              <w:right w:w="28" w:type="dxa"/>
            </w:tcMar>
            <w:vAlign w:val="center"/>
          </w:tcPr>
          <w:p w14:paraId="469AE08A" w14:textId="77777777" w:rsidR="00804397" w:rsidRDefault="00804397" w:rsidP="00C928BE">
            <w:pPr>
              <w:pStyle w:val="Tablewriting"/>
              <w:jc w:val="center"/>
              <w:rPr>
                <w:rFonts w:eastAsia="MS Mincho"/>
              </w:rPr>
            </w:pPr>
            <w:r>
              <w:rPr>
                <w:rFonts w:eastAsia="MS Mincho"/>
              </w:rPr>
              <w:t>2/1431</w:t>
            </w:r>
          </w:p>
          <w:p w14:paraId="3EA4E9FF" w14:textId="77777777" w:rsidR="00804397" w:rsidRPr="00A10F2A" w:rsidRDefault="00804397" w:rsidP="00C928BE">
            <w:pPr>
              <w:pStyle w:val="Tablewriting"/>
              <w:jc w:val="center"/>
              <w:rPr>
                <w:rFonts w:eastAsia="MS Mincho"/>
                <w:vertAlign w:val="superscript"/>
              </w:rPr>
            </w:pPr>
            <w:r w:rsidRPr="00A10F2A">
              <w:rPr>
                <w:rFonts w:eastAsia="MS Mincho"/>
              </w:rPr>
              <w:t>(</w:t>
            </w:r>
            <w:r>
              <w:rPr>
                <w:rFonts w:eastAsia="MS Mincho"/>
              </w:rPr>
              <w:t>0.14</w:t>
            </w:r>
            <w:r w:rsidRPr="00A10F2A">
              <w:rPr>
                <w:rFonts w:eastAsia="MS Mincho"/>
              </w:rPr>
              <w:t>%)</w:t>
            </w:r>
          </w:p>
        </w:tc>
        <w:tc>
          <w:tcPr>
            <w:tcW w:w="689" w:type="pct"/>
            <w:tcMar>
              <w:left w:w="28" w:type="dxa"/>
              <w:right w:w="28" w:type="dxa"/>
            </w:tcMar>
            <w:vAlign w:val="center"/>
          </w:tcPr>
          <w:p w14:paraId="57B1A9A3" w14:textId="77777777" w:rsidR="00804397" w:rsidRDefault="00804397" w:rsidP="00C928BE">
            <w:pPr>
              <w:pStyle w:val="Tablewriting"/>
              <w:jc w:val="center"/>
              <w:rPr>
                <w:rFonts w:eastAsia="MS Mincho"/>
              </w:rPr>
            </w:pPr>
            <w:r>
              <w:rPr>
                <w:rFonts w:eastAsia="MS Mincho"/>
              </w:rPr>
              <w:t>0.5</w:t>
            </w:r>
          </w:p>
          <w:p w14:paraId="55C5AF6D" w14:textId="77777777" w:rsidR="00804397" w:rsidRPr="00A10F2A" w:rsidRDefault="00804397" w:rsidP="00C928BE">
            <w:pPr>
              <w:pStyle w:val="Tablewriting"/>
              <w:jc w:val="center"/>
              <w:rPr>
                <w:rFonts w:eastAsia="MS Mincho"/>
              </w:rPr>
            </w:pPr>
            <w:r>
              <w:rPr>
                <w:rFonts w:eastAsia="MS Mincho"/>
              </w:rPr>
              <w:t>(0.05, 5.51)</w:t>
            </w:r>
          </w:p>
        </w:tc>
      </w:tr>
      <w:tr w:rsidR="00804397" w:rsidRPr="00061F78" w14:paraId="6B25686D" w14:textId="77777777" w:rsidTr="00714E65">
        <w:trPr>
          <w:cantSplit/>
          <w:trHeight w:val="149"/>
        </w:trPr>
        <w:tc>
          <w:tcPr>
            <w:tcW w:w="1420" w:type="pct"/>
            <w:tcMar>
              <w:left w:w="28" w:type="dxa"/>
              <w:right w:w="28" w:type="dxa"/>
            </w:tcMar>
          </w:tcPr>
          <w:p w14:paraId="35FD8E0F" w14:textId="3BEEFF73" w:rsidR="00714E65" w:rsidRDefault="00714E65" w:rsidP="00C928BE">
            <w:pPr>
              <w:pStyle w:val="Tablewriting"/>
              <w:rPr>
                <w:rFonts w:eastAsia="MS Mincho"/>
              </w:rPr>
            </w:pPr>
            <w:r w:rsidRPr="0031400A">
              <w:rPr>
                <w:rFonts w:eastAsia="MS Mincho"/>
              </w:rPr>
              <w:t>Overall SAEs</w:t>
            </w:r>
            <w:r w:rsidRPr="00A10F2A">
              <w:rPr>
                <w:rFonts w:eastAsia="MS Mincho"/>
              </w:rPr>
              <w:t xml:space="preserve"> </w:t>
            </w:r>
          </w:p>
          <w:p w14:paraId="293448C2" w14:textId="2B8CD46E" w:rsidR="00804397" w:rsidRPr="0031400A" w:rsidRDefault="00714E65" w:rsidP="00C928BE">
            <w:pPr>
              <w:pStyle w:val="Tablewriting"/>
              <w:rPr>
                <w:rFonts w:eastAsia="MS Mincho"/>
                <w:highlight w:val="yellow"/>
              </w:rPr>
            </w:pPr>
            <w:r>
              <w:rPr>
                <w:rFonts w:eastAsia="MS Mincho"/>
              </w:rPr>
              <w:t>(</w:t>
            </w:r>
            <w:r w:rsidR="00804397" w:rsidRPr="00A10F2A">
              <w:rPr>
                <w:rFonts w:eastAsia="MS Mincho"/>
              </w:rPr>
              <w:t>42/44 mg versus 21/22 mg)</w:t>
            </w:r>
          </w:p>
        </w:tc>
        <w:tc>
          <w:tcPr>
            <w:tcW w:w="1170" w:type="pct"/>
            <w:vAlign w:val="center"/>
          </w:tcPr>
          <w:p w14:paraId="0EEDA786" w14:textId="77777777" w:rsidR="00714E65" w:rsidRDefault="00714E65" w:rsidP="00C928BE">
            <w:pPr>
              <w:pStyle w:val="Tablewriting"/>
              <w:jc w:val="center"/>
              <w:rPr>
                <w:rFonts w:eastAsia="MS Mincho"/>
              </w:rPr>
            </w:pPr>
            <w:r>
              <w:rPr>
                <w:rFonts w:eastAsia="MS Mincho"/>
              </w:rPr>
              <w:t>Cochrane Review</w:t>
            </w:r>
          </w:p>
          <w:p w14:paraId="5A010218" w14:textId="035BF1FF" w:rsidR="00804397" w:rsidRPr="0031400A" w:rsidRDefault="00714E65" w:rsidP="00C928BE">
            <w:pPr>
              <w:pStyle w:val="Tablewriting"/>
              <w:jc w:val="center"/>
              <w:rPr>
                <w:rFonts w:eastAsia="MS Mincho"/>
                <w:highlight w:val="yellow"/>
                <w:vertAlign w:val="superscript"/>
              </w:rPr>
            </w:pPr>
            <w:r>
              <w:rPr>
                <w:rFonts w:eastAsia="MS Mincho"/>
              </w:rPr>
              <w:t>(2 RCTs)</w:t>
            </w:r>
          </w:p>
        </w:tc>
        <w:tc>
          <w:tcPr>
            <w:tcW w:w="937" w:type="pct"/>
            <w:tcMar>
              <w:left w:w="28" w:type="dxa"/>
              <w:right w:w="28" w:type="dxa"/>
            </w:tcMar>
            <w:vAlign w:val="center"/>
          </w:tcPr>
          <w:p w14:paraId="73BA2E21" w14:textId="77777777" w:rsidR="00804397" w:rsidRPr="001B08F9" w:rsidRDefault="00804397" w:rsidP="00C928BE">
            <w:pPr>
              <w:pStyle w:val="Tablewriting"/>
              <w:jc w:val="center"/>
              <w:rPr>
                <w:rFonts w:eastAsia="MS Mincho"/>
              </w:rPr>
            </w:pPr>
            <w:r w:rsidRPr="001B08F9">
              <w:rPr>
                <w:rFonts w:eastAsia="MS Mincho"/>
              </w:rPr>
              <w:t>7/511</w:t>
            </w:r>
          </w:p>
          <w:p w14:paraId="488898E8" w14:textId="77777777" w:rsidR="00804397" w:rsidRPr="001B08F9" w:rsidRDefault="00804397" w:rsidP="00C928BE">
            <w:pPr>
              <w:pStyle w:val="Tablewriting"/>
              <w:jc w:val="center"/>
              <w:rPr>
                <w:rFonts w:eastAsia="MS Mincho"/>
              </w:rPr>
            </w:pPr>
            <w:r w:rsidRPr="001B08F9">
              <w:rPr>
                <w:rFonts w:eastAsia="MS Mincho"/>
              </w:rPr>
              <w:t>(1.4%)</w:t>
            </w:r>
          </w:p>
        </w:tc>
        <w:tc>
          <w:tcPr>
            <w:tcW w:w="784" w:type="pct"/>
            <w:tcMar>
              <w:left w:w="28" w:type="dxa"/>
              <w:right w:w="28" w:type="dxa"/>
            </w:tcMar>
            <w:vAlign w:val="center"/>
          </w:tcPr>
          <w:p w14:paraId="3B5ECBEE" w14:textId="77777777" w:rsidR="00804397" w:rsidRPr="001B08F9" w:rsidRDefault="00804397" w:rsidP="00C928BE">
            <w:pPr>
              <w:pStyle w:val="Tablewriting"/>
              <w:jc w:val="center"/>
              <w:rPr>
                <w:rFonts w:eastAsia="MS Mincho"/>
              </w:rPr>
            </w:pPr>
            <w:r w:rsidRPr="001B08F9">
              <w:rPr>
                <w:rFonts w:eastAsia="MS Mincho"/>
              </w:rPr>
              <w:t>1/512</w:t>
            </w:r>
          </w:p>
          <w:p w14:paraId="3EC24686" w14:textId="77777777" w:rsidR="00804397" w:rsidRPr="001B08F9" w:rsidRDefault="00804397" w:rsidP="00C928BE">
            <w:pPr>
              <w:pStyle w:val="Tablewriting"/>
              <w:jc w:val="center"/>
              <w:rPr>
                <w:rFonts w:eastAsia="MS Mincho"/>
              </w:rPr>
            </w:pPr>
            <w:r w:rsidRPr="001B08F9">
              <w:rPr>
                <w:rFonts w:eastAsia="MS Mincho"/>
              </w:rPr>
              <w:t>(0.</w:t>
            </w:r>
            <w:r>
              <w:rPr>
                <w:rFonts w:eastAsia="MS Mincho"/>
              </w:rPr>
              <w:t>2</w:t>
            </w:r>
            <w:r w:rsidRPr="001B08F9">
              <w:rPr>
                <w:rFonts w:eastAsia="MS Mincho"/>
              </w:rPr>
              <w:t>%)</w:t>
            </w:r>
          </w:p>
        </w:tc>
        <w:tc>
          <w:tcPr>
            <w:tcW w:w="689" w:type="pct"/>
            <w:tcMar>
              <w:left w:w="28" w:type="dxa"/>
              <w:right w:w="28" w:type="dxa"/>
            </w:tcMar>
            <w:vAlign w:val="center"/>
          </w:tcPr>
          <w:p w14:paraId="3E184D15" w14:textId="77777777" w:rsidR="00804397" w:rsidRDefault="00804397" w:rsidP="00C928BE">
            <w:pPr>
              <w:pStyle w:val="Tablewriting"/>
              <w:jc w:val="center"/>
              <w:rPr>
                <w:rFonts w:eastAsia="MS Mincho"/>
              </w:rPr>
            </w:pPr>
            <w:r>
              <w:rPr>
                <w:rFonts w:eastAsia="MS Mincho"/>
              </w:rPr>
              <w:t>5.01</w:t>
            </w:r>
          </w:p>
          <w:p w14:paraId="455206A1" w14:textId="77777777" w:rsidR="00804397" w:rsidRPr="00A10F2A" w:rsidRDefault="00804397" w:rsidP="00C928BE">
            <w:pPr>
              <w:pStyle w:val="Tablewriting"/>
              <w:jc w:val="center"/>
              <w:rPr>
                <w:rFonts w:eastAsia="MS Mincho"/>
              </w:rPr>
            </w:pPr>
            <w:r>
              <w:rPr>
                <w:rFonts w:eastAsia="MS Mincho"/>
              </w:rPr>
              <w:t>(0.87, 28.82)</w:t>
            </w:r>
          </w:p>
        </w:tc>
      </w:tr>
      <w:tr w:rsidR="00804397" w:rsidRPr="00061F78" w14:paraId="190AE62E" w14:textId="77777777" w:rsidTr="00714E65">
        <w:trPr>
          <w:cantSplit/>
          <w:trHeight w:val="149"/>
        </w:trPr>
        <w:tc>
          <w:tcPr>
            <w:tcW w:w="1420" w:type="pct"/>
            <w:tcMar>
              <w:left w:w="28" w:type="dxa"/>
              <w:right w:w="28" w:type="dxa"/>
            </w:tcMar>
          </w:tcPr>
          <w:p w14:paraId="5B80AA17" w14:textId="178A4E64" w:rsidR="00714E65" w:rsidRDefault="00714E65" w:rsidP="00C928BE">
            <w:pPr>
              <w:pStyle w:val="Tablewriting"/>
              <w:rPr>
                <w:rFonts w:eastAsia="MS Mincho"/>
              </w:rPr>
            </w:pPr>
            <w:r w:rsidRPr="0031400A">
              <w:rPr>
                <w:rFonts w:eastAsia="MS Mincho"/>
              </w:rPr>
              <w:t>Overall SAEs</w:t>
            </w:r>
          </w:p>
          <w:p w14:paraId="15240C6B" w14:textId="7BA1D15E" w:rsidR="00804397" w:rsidRPr="00A10F2A" w:rsidRDefault="00714E65" w:rsidP="00C928BE">
            <w:pPr>
              <w:pStyle w:val="Tablewriting"/>
              <w:rPr>
                <w:rFonts w:eastAsia="MS Mincho"/>
              </w:rPr>
            </w:pPr>
            <w:r>
              <w:rPr>
                <w:rFonts w:eastAsia="MS Mincho"/>
              </w:rPr>
              <w:t>(</w:t>
            </w:r>
            <w:r w:rsidR="00804397" w:rsidRPr="00432A29">
              <w:rPr>
                <w:rFonts w:eastAsia="MS Mincho"/>
              </w:rPr>
              <w:t>21 mg versus 14 mg)</w:t>
            </w:r>
          </w:p>
        </w:tc>
        <w:tc>
          <w:tcPr>
            <w:tcW w:w="1170" w:type="pct"/>
            <w:vAlign w:val="center"/>
          </w:tcPr>
          <w:p w14:paraId="0A9CD443" w14:textId="77777777" w:rsidR="00714E65" w:rsidRDefault="00714E65" w:rsidP="00C928BE">
            <w:pPr>
              <w:pStyle w:val="Tablewriting"/>
              <w:jc w:val="center"/>
              <w:rPr>
                <w:rFonts w:eastAsia="MS Mincho"/>
              </w:rPr>
            </w:pPr>
            <w:r>
              <w:rPr>
                <w:rFonts w:eastAsia="MS Mincho"/>
              </w:rPr>
              <w:t>Cochrane Review</w:t>
            </w:r>
          </w:p>
          <w:p w14:paraId="22FD313A" w14:textId="3D87CF9A" w:rsidR="00804397" w:rsidRPr="00A10F2A" w:rsidRDefault="00714E65" w:rsidP="00C928BE">
            <w:pPr>
              <w:pStyle w:val="Tablewriting"/>
              <w:jc w:val="center"/>
              <w:rPr>
                <w:rFonts w:eastAsia="MS Mincho"/>
              </w:rPr>
            </w:pPr>
            <w:r>
              <w:rPr>
                <w:rFonts w:eastAsia="MS Mincho"/>
              </w:rPr>
              <w:t>(1 RCT)</w:t>
            </w:r>
          </w:p>
        </w:tc>
        <w:tc>
          <w:tcPr>
            <w:tcW w:w="937" w:type="pct"/>
            <w:vAlign w:val="center"/>
          </w:tcPr>
          <w:p w14:paraId="66563511" w14:textId="77777777" w:rsidR="00804397" w:rsidRDefault="00804397" w:rsidP="00C928BE">
            <w:pPr>
              <w:pStyle w:val="Tablewriting"/>
              <w:jc w:val="center"/>
              <w:rPr>
                <w:rFonts w:eastAsia="MS Mincho"/>
              </w:rPr>
            </w:pPr>
            <w:r>
              <w:rPr>
                <w:rFonts w:eastAsia="MS Mincho"/>
              </w:rPr>
              <w:t>0/262</w:t>
            </w:r>
          </w:p>
          <w:p w14:paraId="143EB375" w14:textId="77777777" w:rsidR="00804397" w:rsidRPr="00A10F2A" w:rsidRDefault="00804397" w:rsidP="00C928BE">
            <w:pPr>
              <w:pStyle w:val="Tablewriting"/>
              <w:jc w:val="center"/>
              <w:rPr>
                <w:rFonts w:eastAsia="MS Mincho"/>
              </w:rPr>
            </w:pPr>
            <w:r>
              <w:rPr>
                <w:rFonts w:eastAsia="MS Mincho"/>
              </w:rPr>
              <w:t>(0%)</w:t>
            </w:r>
          </w:p>
        </w:tc>
        <w:tc>
          <w:tcPr>
            <w:tcW w:w="784" w:type="pct"/>
            <w:vAlign w:val="center"/>
          </w:tcPr>
          <w:p w14:paraId="447740A8" w14:textId="77777777" w:rsidR="00804397" w:rsidRDefault="00804397" w:rsidP="00C928BE">
            <w:pPr>
              <w:pStyle w:val="Tablewriting"/>
              <w:jc w:val="center"/>
              <w:rPr>
                <w:rFonts w:eastAsia="MS Mincho"/>
              </w:rPr>
            </w:pPr>
            <w:r>
              <w:rPr>
                <w:rFonts w:eastAsia="MS Mincho"/>
              </w:rPr>
              <w:t>0/275</w:t>
            </w:r>
          </w:p>
          <w:p w14:paraId="2DF84CDE" w14:textId="77777777" w:rsidR="00804397" w:rsidRPr="00A10F2A" w:rsidRDefault="00804397" w:rsidP="00C928BE">
            <w:pPr>
              <w:pStyle w:val="Tablewriting"/>
              <w:jc w:val="center"/>
              <w:rPr>
                <w:rFonts w:eastAsia="MS Mincho"/>
              </w:rPr>
            </w:pPr>
            <w:r>
              <w:rPr>
                <w:rFonts w:eastAsia="MS Mincho"/>
              </w:rPr>
              <w:t>(0%)</w:t>
            </w:r>
          </w:p>
        </w:tc>
        <w:tc>
          <w:tcPr>
            <w:tcW w:w="689" w:type="pct"/>
            <w:tcMar>
              <w:left w:w="28" w:type="dxa"/>
              <w:right w:w="28" w:type="dxa"/>
            </w:tcMar>
            <w:vAlign w:val="center"/>
          </w:tcPr>
          <w:p w14:paraId="29A9A057" w14:textId="77777777" w:rsidR="00804397" w:rsidRPr="00432A29" w:rsidRDefault="00804397" w:rsidP="00C928BE">
            <w:pPr>
              <w:pStyle w:val="Tablewriting"/>
              <w:jc w:val="center"/>
              <w:rPr>
                <w:rFonts w:eastAsia="MS Mincho"/>
              </w:rPr>
            </w:pPr>
            <w:r w:rsidRPr="00432A29">
              <w:rPr>
                <w:rFonts w:eastAsia="MS Mincho"/>
              </w:rPr>
              <w:t>NE</w:t>
            </w:r>
          </w:p>
        </w:tc>
      </w:tr>
      <w:tr w:rsidR="00804397" w:rsidRPr="00061F78" w14:paraId="29AC9426" w14:textId="77777777" w:rsidTr="00714E65">
        <w:trPr>
          <w:cantSplit/>
          <w:trHeight w:val="149"/>
        </w:trPr>
        <w:tc>
          <w:tcPr>
            <w:tcW w:w="1420" w:type="pct"/>
            <w:tcMar>
              <w:left w:w="28" w:type="dxa"/>
              <w:right w:w="28" w:type="dxa"/>
            </w:tcMar>
          </w:tcPr>
          <w:p w14:paraId="07CAF098" w14:textId="77777777" w:rsidR="00714E65" w:rsidRDefault="00714E65" w:rsidP="00C928BE">
            <w:pPr>
              <w:pStyle w:val="Tablewriting"/>
              <w:rPr>
                <w:rFonts w:eastAsia="MS Mincho"/>
              </w:rPr>
            </w:pPr>
            <w:r>
              <w:rPr>
                <w:rFonts w:eastAsia="MS Mincho"/>
              </w:rPr>
              <w:t>Treatment withdrawals</w:t>
            </w:r>
            <w:r w:rsidRPr="00432A29">
              <w:rPr>
                <w:rFonts w:eastAsia="MS Mincho"/>
              </w:rPr>
              <w:t xml:space="preserve"> </w:t>
            </w:r>
          </w:p>
          <w:p w14:paraId="5EFE3061" w14:textId="718D482F" w:rsidR="00804397" w:rsidRPr="00432A29" w:rsidRDefault="00714E65" w:rsidP="00C928BE">
            <w:pPr>
              <w:pStyle w:val="Tablewriting"/>
              <w:rPr>
                <w:rFonts w:eastAsia="MS Mincho"/>
              </w:rPr>
            </w:pPr>
            <w:r>
              <w:rPr>
                <w:rFonts w:eastAsia="MS Mincho"/>
              </w:rPr>
              <w:t>(</w:t>
            </w:r>
            <w:r w:rsidR="00804397" w:rsidRPr="00432A29">
              <w:rPr>
                <w:rFonts w:eastAsia="MS Mincho"/>
              </w:rPr>
              <w:t>42/44 mg versus 21/22 mg)</w:t>
            </w:r>
          </w:p>
        </w:tc>
        <w:tc>
          <w:tcPr>
            <w:tcW w:w="1170" w:type="pct"/>
            <w:vAlign w:val="center"/>
          </w:tcPr>
          <w:p w14:paraId="6C60404F" w14:textId="77777777" w:rsidR="00714E65" w:rsidRDefault="00714E65" w:rsidP="00C928BE">
            <w:pPr>
              <w:pStyle w:val="Tablewriting"/>
              <w:jc w:val="center"/>
              <w:rPr>
                <w:rFonts w:eastAsia="MS Mincho"/>
              </w:rPr>
            </w:pPr>
            <w:r>
              <w:rPr>
                <w:rFonts w:eastAsia="MS Mincho"/>
              </w:rPr>
              <w:t>Cochrane Review</w:t>
            </w:r>
          </w:p>
          <w:p w14:paraId="148A4E80" w14:textId="439000CC" w:rsidR="00804397" w:rsidRPr="00432A29" w:rsidRDefault="00714E65" w:rsidP="00C928BE">
            <w:pPr>
              <w:pStyle w:val="Tablewriting"/>
              <w:jc w:val="center"/>
              <w:rPr>
                <w:rFonts w:eastAsia="MS Mincho"/>
              </w:rPr>
            </w:pPr>
            <w:r>
              <w:rPr>
                <w:rFonts w:eastAsia="MS Mincho"/>
              </w:rPr>
              <w:t>(2 RCTs)</w:t>
            </w:r>
          </w:p>
        </w:tc>
        <w:tc>
          <w:tcPr>
            <w:tcW w:w="937" w:type="pct"/>
            <w:tcMar>
              <w:left w:w="28" w:type="dxa"/>
              <w:right w:w="28" w:type="dxa"/>
            </w:tcMar>
            <w:vAlign w:val="center"/>
          </w:tcPr>
          <w:p w14:paraId="18F23D99" w14:textId="77777777" w:rsidR="00804397" w:rsidRPr="000911DD" w:rsidRDefault="00804397" w:rsidP="00C928BE">
            <w:pPr>
              <w:pStyle w:val="Tablewriting"/>
              <w:jc w:val="center"/>
              <w:rPr>
                <w:rFonts w:eastAsia="MS Mincho"/>
              </w:rPr>
            </w:pPr>
            <w:r w:rsidRPr="000911DD">
              <w:rPr>
                <w:rFonts w:eastAsia="MS Mincho"/>
              </w:rPr>
              <w:t>1/18</w:t>
            </w:r>
          </w:p>
          <w:p w14:paraId="2031D9CC" w14:textId="77777777" w:rsidR="00804397" w:rsidRPr="000911DD" w:rsidRDefault="00804397" w:rsidP="00C928BE">
            <w:pPr>
              <w:pStyle w:val="Tablewriting"/>
              <w:jc w:val="center"/>
              <w:rPr>
                <w:rFonts w:eastAsia="MS Mincho"/>
              </w:rPr>
            </w:pPr>
            <w:r w:rsidRPr="000911DD">
              <w:rPr>
                <w:rFonts w:eastAsia="MS Mincho"/>
              </w:rPr>
              <w:t>(5.6%)</w:t>
            </w:r>
          </w:p>
        </w:tc>
        <w:tc>
          <w:tcPr>
            <w:tcW w:w="784" w:type="pct"/>
            <w:tcMar>
              <w:left w:w="28" w:type="dxa"/>
              <w:right w:w="28" w:type="dxa"/>
            </w:tcMar>
            <w:vAlign w:val="center"/>
          </w:tcPr>
          <w:p w14:paraId="337D17F7" w14:textId="77777777" w:rsidR="00804397" w:rsidRPr="000911DD" w:rsidRDefault="00804397" w:rsidP="00C928BE">
            <w:pPr>
              <w:pStyle w:val="Tablewriting"/>
              <w:jc w:val="center"/>
              <w:rPr>
                <w:rFonts w:eastAsia="MS Mincho"/>
              </w:rPr>
            </w:pPr>
            <w:r w:rsidRPr="000911DD">
              <w:rPr>
                <w:rFonts w:eastAsia="MS Mincho"/>
              </w:rPr>
              <w:t>0/17</w:t>
            </w:r>
          </w:p>
          <w:p w14:paraId="610D22B0" w14:textId="77777777" w:rsidR="00804397" w:rsidRPr="000911DD" w:rsidRDefault="00804397" w:rsidP="00C928BE">
            <w:pPr>
              <w:pStyle w:val="Tablewriting"/>
              <w:jc w:val="center"/>
              <w:rPr>
                <w:rFonts w:eastAsia="MS Mincho"/>
              </w:rPr>
            </w:pPr>
            <w:r w:rsidRPr="000911DD">
              <w:rPr>
                <w:rFonts w:eastAsia="MS Mincho"/>
              </w:rPr>
              <w:t>(0%)</w:t>
            </w:r>
          </w:p>
        </w:tc>
        <w:tc>
          <w:tcPr>
            <w:tcW w:w="689" w:type="pct"/>
            <w:tcMar>
              <w:left w:w="28" w:type="dxa"/>
              <w:right w:w="28" w:type="dxa"/>
            </w:tcMar>
            <w:vAlign w:val="center"/>
          </w:tcPr>
          <w:p w14:paraId="4FF8B079" w14:textId="77777777" w:rsidR="00804397" w:rsidRPr="00EF0428" w:rsidRDefault="00804397" w:rsidP="00C928BE">
            <w:pPr>
              <w:pStyle w:val="Tablewriting"/>
              <w:jc w:val="center"/>
              <w:rPr>
                <w:rFonts w:eastAsia="MS Mincho"/>
                <w:b/>
                <w:bCs/>
              </w:rPr>
            </w:pPr>
            <w:r w:rsidRPr="00EF0428">
              <w:rPr>
                <w:rFonts w:eastAsia="MS Mincho"/>
                <w:b/>
                <w:bCs/>
              </w:rPr>
              <w:t>4.99</w:t>
            </w:r>
          </w:p>
          <w:p w14:paraId="1296F970" w14:textId="77777777" w:rsidR="00804397" w:rsidRPr="00432A29" w:rsidRDefault="00804397" w:rsidP="00C928BE">
            <w:pPr>
              <w:pStyle w:val="Tablewriting"/>
              <w:jc w:val="center"/>
              <w:rPr>
                <w:rFonts w:eastAsia="MS Mincho"/>
              </w:rPr>
            </w:pPr>
            <w:r w:rsidRPr="00EF0428">
              <w:rPr>
                <w:rFonts w:eastAsia="MS Mincho"/>
                <w:b/>
                <w:bCs/>
              </w:rPr>
              <w:t>(1.6, 15.5)</w:t>
            </w:r>
          </w:p>
        </w:tc>
      </w:tr>
      <w:tr w:rsidR="00804397" w:rsidRPr="00061F78" w14:paraId="32E90128" w14:textId="77777777" w:rsidTr="00714E65">
        <w:trPr>
          <w:cantSplit/>
          <w:trHeight w:val="149"/>
        </w:trPr>
        <w:tc>
          <w:tcPr>
            <w:tcW w:w="1420" w:type="pct"/>
            <w:tcMar>
              <w:left w:w="28" w:type="dxa"/>
              <w:right w:w="28" w:type="dxa"/>
            </w:tcMar>
          </w:tcPr>
          <w:p w14:paraId="0547D0D7" w14:textId="77777777" w:rsidR="00714E65" w:rsidRDefault="00714E65" w:rsidP="00C928BE">
            <w:pPr>
              <w:pStyle w:val="Tablewriting"/>
              <w:rPr>
                <w:rFonts w:eastAsia="MS Mincho"/>
              </w:rPr>
            </w:pPr>
            <w:r>
              <w:rPr>
                <w:rFonts w:eastAsia="MS Mincho"/>
              </w:rPr>
              <w:t>Treatment withdrawals</w:t>
            </w:r>
            <w:r w:rsidRPr="00432A29">
              <w:rPr>
                <w:rFonts w:eastAsia="MS Mincho"/>
              </w:rPr>
              <w:t xml:space="preserve"> </w:t>
            </w:r>
          </w:p>
          <w:p w14:paraId="5CBC3B7D" w14:textId="27B79445" w:rsidR="00804397" w:rsidRPr="00432A29" w:rsidRDefault="00714E65" w:rsidP="00C928BE">
            <w:pPr>
              <w:pStyle w:val="Tablewriting"/>
              <w:rPr>
                <w:rFonts w:eastAsia="MS Mincho"/>
              </w:rPr>
            </w:pPr>
            <w:r>
              <w:rPr>
                <w:rFonts w:eastAsia="MS Mincho"/>
              </w:rPr>
              <w:t>(</w:t>
            </w:r>
            <w:r w:rsidR="00804397" w:rsidRPr="00432A29">
              <w:rPr>
                <w:rFonts w:eastAsia="MS Mincho"/>
              </w:rPr>
              <w:t>21 mg versus 14 mg)</w:t>
            </w:r>
          </w:p>
        </w:tc>
        <w:tc>
          <w:tcPr>
            <w:tcW w:w="1170" w:type="pct"/>
            <w:vAlign w:val="center"/>
          </w:tcPr>
          <w:p w14:paraId="49140D80" w14:textId="77777777" w:rsidR="00714E65" w:rsidRDefault="00714E65" w:rsidP="00C928BE">
            <w:pPr>
              <w:pStyle w:val="Tablewriting"/>
              <w:jc w:val="center"/>
              <w:rPr>
                <w:rFonts w:eastAsia="MS Mincho"/>
              </w:rPr>
            </w:pPr>
            <w:r>
              <w:rPr>
                <w:rFonts w:eastAsia="MS Mincho"/>
              </w:rPr>
              <w:t>Cochrane Review</w:t>
            </w:r>
          </w:p>
          <w:p w14:paraId="3C430167" w14:textId="2156BA4C" w:rsidR="00804397" w:rsidRPr="000911DD" w:rsidRDefault="00714E65" w:rsidP="00C928BE">
            <w:pPr>
              <w:pStyle w:val="Tablewriting"/>
              <w:jc w:val="center"/>
              <w:rPr>
                <w:rFonts w:eastAsia="MS Mincho"/>
              </w:rPr>
            </w:pPr>
            <w:r>
              <w:rPr>
                <w:rFonts w:eastAsia="MS Mincho"/>
              </w:rPr>
              <w:t>(1 RCT)</w:t>
            </w:r>
          </w:p>
        </w:tc>
        <w:tc>
          <w:tcPr>
            <w:tcW w:w="937" w:type="pct"/>
            <w:vAlign w:val="center"/>
          </w:tcPr>
          <w:p w14:paraId="7199A1D5" w14:textId="77777777" w:rsidR="00804397" w:rsidRPr="000911DD" w:rsidRDefault="00804397" w:rsidP="00C928BE">
            <w:pPr>
              <w:pStyle w:val="Tablewriting"/>
              <w:jc w:val="center"/>
              <w:rPr>
                <w:rFonts w:eastAsia="MS Mincho"/>
              </w:rPr>
            </w:pPr>
            <w:r w:rsidRPr="000911DD">
              <w:rPr>
                <w:rFonts w:eastAsia="MS Mincho"/>
              </w:rPr>
              <w:t>11/262</w:t>
            </w:r>
          </w:p>
          <w:p w14:paraId="2DE26B48" w14:textId="77777777" w:rsidR="00804397" w:rsidRPr="000911DD" w:rsidRDefault="00804397" w:rsidP="00C928BE">
            <w:pPr>
              <w:pStyle w:val="Tablewriting"/>
              <w:jc w:val="center"/>
              <w:rPr>
                <w:rFonts w:eastAsia="MS Mincho"/>
              </w:rPr>
            </w:pPr>
            <w:r w:rsidRPr="000911DD">
              <w:rPr>
                <w:rFonts w:eastAsia="MS Mincho"/>
              </w:rPr>
              <w:t>(4.2%)</w:t>
            </w:r>
          </w:p>
        </w:tc>
        <w:tc>
          <w:tcPr>
            <w:tcW w:w="784" w:type="pct"/>
            <w:vAlign w:val="center"/>
          </w:tcPr>
          <w:p w14:paraId="623A6938" w14:textId="77777777" w:rsidR="00804397" w:rsidRPr="000911DD" w:rsidRDefault="00804397" w:rsidP="00C928BE">
            <w:pPr>
              <w:pStyle w:val="Tablewriting"/>
              <w:jc w:val="center"/>
              <w:rPr>
                <w:rFonts w:eastAsia="MS Mincho"/>
              </w:rPr>
            </w:pPr>
            <w:r w:rsidRPr="000911DD">
              <w:rPr>
                <w:rFonts w:eastAsia="MS Mincho"/>
              </w:rPr>
              <w:t>15/275</w:t>
            </w:r>
          </w:p>
          <w:p w14:paraId="75E36ECB" w14:textId="77777777" w:rsidR="00804397" w:rsidRPr="000911DD" w:rsidRDefault="00804397" w:rsidP="00C928BE">
            <w:pPr>
              <w:pStyle w:val="Tablewriting"/>
              <w:jc w:val="center"/>
              <w:rPr>
                <w:rFonts w:eastAsia="MS Mincho"/>
              </w:rPr>
            </w:pPr>
            <w:r w:rsidRPr="000911DD">
              <w:rPr>
                <w:rFonts w:eastAsia="MS Mincho"/>
              </w:rPr>
              <w:t>(5.5%)</w:t>
            </w:r>
          </w:p>
        </w:tc>
        <w:tc>
          <w:tcPr>
            <w:tcW w:w="689" w:type="pct"/>
            <w:tcMar>
              <w:left w:w="28" w:type="dxa"/>
              <w:right w:w="28" w:type="dxa"/>
            </w:tcMar>
            <w:vAlign w:val="center"/>
          </w:tcPr>
          <w:p w14:paraId="311E5FB4" w14:textId="77777777" w:rsidR="00804397" w:rsidRPr="002970F5" w:rsidRDefault="00804397" w:rsidP="00C928BE">
            <w:pPr>
              <w:pStyle w:val="Tablewriting"/>
              <w:jc w:val="center"/>
              <w:rPr>
                <w:rFonts w:eastAsia="MS Mincho"/>
              </w:rPr>
            </w:pPr>
            <w:r w:rsidRPr="002970F5">
              <w:rPr>
                <w:rFonts w:eastAsia="MS Mincho"/>
              </w:rPr>
              <w:t>0.77</w:t>
            </w:r>
          </w:p>
          <w:p w14:paraId="754A3CE7" w14:textId="77777777" w:rsidR="00804397" w:rsidRPr="002970F5" w:rsidRDefault="00804397" w:rsidP="00C928BE">
            <w:pPr>
              <w:pStyle w:val="Tablewriting"/>
              <w:jc w:val="center"/>
              <w:rPr>
                <w:rFonts w:eastAsia="MS Mincho"/>
              </w:rPr>
            </w:pPr>
            <w:r w:rsidRPr="002970F5">
              <w:rPr>
                <w:rFonts w:eastAsia="MS Mincho"/>
              </w:rPr>
              <w:t>(0.36, 1.64)</w:t>
            </w:r>
          </w:p>
        </w:tc>
      </w:tr>
      <w:tr w:rsidR="00714E65" w:rsidRPr="00061F78" w14:paraId="749D7487" w14:textId="77777777" w:rsidTr="00470037">
        <w:trPr>
          <w:cantSplit/>
          <w:trHeight w:val="149"/>
        </w:trPr>
        <w:tc>
          <w:tcPr>
            <w:tcW w:w="5000" w:type="pct"/>
            <w:gridSpan w:val="5"/>
            <w:shd w:val="clear" w:color="auto" w:fill="auto"/>
            <w:tcMar>
              <w:left w:w="28" w:type="dxa"/>
              <w:right w:w="28" w:type="dxa"/>
            </w:tcMar>
          </w:tcPr>
          <w:p w14:paraId="43B0E712" w14:textId="6832CF58" w:rsidR="00714E65" w:rsidRPr="00470037" w:rsidRDefault="00714E65" w:rsidP="00C928BE">
            <w:pPr>
              <w:pStyle w:val="Tablewriting"/>
              <w:rPr>
                <w:rFonts w:eastAsia="MS Mincho"/>
                <w:b/>
                <w:bCs/>
              </w:rPr>
            </w:pPr>
            <w:r w:rsidRPr="00470037">
              <w:rPr>
                <w:rFonts w:eastAsia="MS Mincho"/>
                <w:b/>
                <w:bCs/>
              </w:rPr>
              <w:t>NRT gum</w:t>
            </w:r>
          </w:p>
        </w:tc>
      </w:tr>
      <w:tr w:rsidR="00804397" w:rsidRPr="00061F78" w14:paraId="58B69FBD" w14:textId="77777777" w:rsidTr="00714E65">
        <w:trPr>
          <w:cantSplit/>
          <w:trHeight w:val="149"/>
        </w:trPr>
        <w:tc>
          <w:tcPr>
            <w:tcW w:w="1420" w:type="pct"/>
            <w:tcMar>
              <w:left w:w="28" w:type="dxa"/>
              <w:right w:w="28" w:type="dxa"/>
            </w:tcMar>
            <w:vAlign w:val="center"/>
          </w:tcPr>
          <w:p w14:paraId="6A134043" w14:textId="1D892B6A" w:rsidR="00804397" w:rsidRDefault="00714E65" w:rsidP="00C928BE">
            <w:pPr>
              <w:pStyle w:val="Tablewriting"/>
              <w:rPr>
                <w:rFonts w:eastAsia="MS Mincho"/>
              </w:rPr>
            </w:pPr>
            <w:r w:rsidRPr="000911DD">
              <w:rPr>
                <w:rFonts w:eastAsia="MS Mincho"/>
              </w:rPr>
              <w:t>Palpitations</w:t>
            </w:r>
          </w:p>
        </w:tc>
        <w:tc>
          <w:tcPr>
            <w:tcW w:w="1170" w:type="pct"/>
            <w:vAlign w:val="center"/>
          </w:tcPr>
          <w:p w14:paraId="4F32222F" w14:textId="77777777" w:rsidR="00714E65" w:rsidRDefault="00714E65" w:rsidP="00C928BE">
            <w:pPr>
              <w:pStyle w:val="Tablewriting"/>
              <w:jc w:val="center"/>
              <w:rPr>
                <w:rFonts w:eastAsia="MS Mincho"/>
              </w:rPr>
            </w:pPr>
            <w:r>
              <w:rPr>
                <w:rFonts w:eastAsia="MS Mincho"/>
              </w:rPr>
              <w:t>Cochrane Review</w:t>
            </w:r>
          </w:p>
          <w:p w14:paraId="7F952FA4" w14:textId="51564774" w:rsidR="00804397" w:rsidRPr="000911DD" w:rsidRDefault="00714E65" w:rsidP="00C928BE">
            <w:pPr>
              <w:pStyle w:val="Tablewriting"/>
              <w:jc w:val="center"/>
              <w:rPr>
                <w:rFonts w:eastAsia="MS Mincho"/>
              </w:rPr>
            </w:pPr>
            <w:r>
              <w:rPr>
                <w:rFonts w:eastAsia="MS Mincho"/>
              </w:rPr>
              <w:t>(1 RCT)</w:t>
            </w:r>
          </w:p>
        </w:tc>
        <w:tc>
          <w:tcPr>
            <w:tcW w:w="937" w:type="pct"/>
            <w:vAlign w:val="center"/>
          </w:tcPr>
          <w:p w14:paraId="513FDBA0" w14:textId="77777777" w:rsidR="00804397" w:rsidRDefault="00804397" w:rsidP="00C928BE">
            <w:pPr>
              <w:pStyle w:val="Tablewriting"/>
              <w:jc w:val="center"/>
              <w:rPr>
                <w:rFonts w:eastAsia="MS Mincho"/>
              </w:rPr>
            </w:pPr>
            <w:r>
              <w:rPr>
                <w:rFonts w:eastAsia="MS Mincho"/>
              </w:rPr>
              <w:t>1/27</w:t>
            </w:r>
          </w:p>
          <w:p w14:paraId="19519699" w14:textId="645CC748" w:rsidR="00C5397F" w:rsidRPr="000911DD" w:rsidRDefault="00C5397F" w:rsidP="00C928BE">
            <w:pPr>
              <w:pStyle w:val="Tablewriting"/>
              <w:jc w:val="center"/>
              <w:rPr>
                <w:rFonts w:eastAsia="MS Mincho"/>
              </w:rPr>
            </w:pPr>
            <w:r>
              <w:rPr>
                <w:rFonts w:eastAsia="MS Mincho"/>
              </w:rPr>
              <w:t>(3.7%)</w:t>
            </w:r>
          </w:p>
        </w:tc>
        <w:tc>
          <w:tcPr>
            <w:tcW w:w="784" w:type="pct"/>
            <w:vAlign w:val="center"/>
          </w:tcPr>
          <w:p w14:paraId="4EED7334" w14:textId="77777777" w:rsidR="00804397" w:rsidRDefault="00804397" w:rsidP="00C928BE">
            <w:pPr>
              <w:pStyle w:val="Tablewriting"/>
              <w:jc w:val="center"/>
              <w:rPr>
                <w:rFonts w:eastAsia="MS Mincho"/>
              </w:rPr>
            </w:pPr>
            <w:r>
              <w:rPr>
                <w:rFonts w:eastAsia="MS Mincho"/>
              </w:rPr>
              <w:t>0/33</w:t>
            </w:r>
          </w:p>
          <w:p w14:paraId="6A0B3456" w14:textId="3ABDF490" w:rsidR="00C5397F" w:rsidRPr="000911DD" w:rsidRDefault="00C5397F" w:rsidP="00C928BE">
            <w:pPr>
              <w:pStyle w:val="Tablewriting"/>
              <w:jc w:val="center"/>
              <w:rPr>
                <w:rFonts w:eastAsia="MS Mincho"/>
              </w:rPr>
            </w:pPr>
            <w:r>
              <w:rPr>
                <w:rFonts w:eastAsia="MS Mincho"/>
              </w:rPr>
              <w:t>(0%)</w:t>
            </w:r>
          </w:p>
        </w:tc>
        <w:tc>
          <w:tcPr>
            <w:tcW w:w="689" w:type="pct"/>
            <w:tcMar>
              <w:left w:w="28" w:type="dxa"/>
              <w:right w:w="28" w:type="dxa"/>
            </w:tcMar>
            <w:vAlign w:val="center"/>
          </w:tcPr>
          <w:p w14:paraId="4AE3AF64" w14:textId="77777777" w:rsidR="00804397" w:rsidRDefault="00804397" w:rsidP="00C928BE">
            <w:pPr>
              <w:pStyle w:val="Tablewriting"/>
              <w:jc w:val="center"/>
              <w:rPr>
                <w:rFonts w:eastAsia="MS Mincho"/>
              </w:rPr>
            </w:pPr>
            <w:r>
              <w:rPr>
                <w:rFonts w:eastAsia="MS Mincho"/>
              </w:rPr>
              <w:t>3.64</w:t>
            </w:r>
          </w:p>
          <w:p w14:paraId="1BCC7B9A" w14:textId="77777777" w:rsidR="00804397" w:rsidRDefault="00804397" w:rsidP="00C928BE">
            <w:pPr>
              <w:pStyle w:val="Tablewriting"/>
              <w:jc w:val="center"/>
              <w:rPr>
                <w:rFonts w:eastAsia="MS Mincho"/>
              </w:rPr>
            </w:pPr>
            <w:r>
              <w:rPr>
                <w:rFonts w:eastAsia="MS Mincho"/>
              </w:rPr>
              <w:t>(0.15, 85.97)</w:t>
            </w:r>
          </w:p>
        </w:tc>
      </w:tr>
      <w:tr w:rsidR="00714E65" w:rsidRPr="00061F78" w14:paraId="0D4677E0" w14:textId="77777777" w:rsidTr="00714E65">
        <w:trPr>
          <w:cantSplit/>
          <w:trHeight w:val="149"/>
        </w:trPr>
        <w:tc>
          <w:tcPr>
            <w:tcW w:w="1420" w:type="pct"/>
            <w:tcMar>
              <w:left w:w="28" w:type="dxa"/>
              <w:right w:w="28" w:type="dxa"/>
            </w:tcMar>
            <w:vAlign w:val="center"/>
          </w:tcPr>
          <w:p w14:paraId="18BF98F4" w14:textId="61714228" w:rsidR="00714E65" w:rsidRPr="000911DD" w:rsidRDefault="00714E65" w:rsidP="00C928BE">
            <w:pPr>
              <w:pStyle w:val="Tablewriting"/>
              <w:rPr>
                <w:rFonts w:eastAsia="MS Mincho"/>
              </w:rPr>
            </w:pPr>
            <w:r>
              <w:rPr>
                <w:rFonts w:eastAsia="MS Mincho"/>
              </w:rPr>
              <w:t>Treatment withdrawals</w:t>
            </w:r>
          </w:p>
        </w:tc>
        <w:tc>
          <w:tcPr>
            <w:tcW w:w="1170" w:type="pct"/>
            <w:vAlign w:val="center"/>
          </w:tcPr>
          <w:p w14:paraId="50A68059" w14:textId="77777777" w:rsidR="00714E65" w:rsidRDefault="00714E65" w:rsidP="00C928BE">
            <w:pPr>
              <w:pStyle w:val="Tablewriting"/>
              <w:jc w:val="center"/>
              <w:rPr>
                <w:rFonts w:eastAsia="MS Mincho"/>
              </w:rPr>
            </w:pPr>
            <w:r>
              <w:rPr>
                <w:rFonts w:eastAsia="MS Mincho"/>
              </w:rPr>
              <w:t>Cochrane Review</w:t>
            </w:r>
          </w:p>
          <w:p w14:paraId="095B7527" w14:textId="1E96A815" w:rsidR="00714E65" w:rsidRDefault="00714E65" w:rsidP="00C928BE">
            <w:pPr>
              <w:pStyle w:val="Tablewriting"/>
              <w:jc w:val="center"/>
              <w:rPr>
                <w:rFonts w:eastAsia="MS Mincho"/>
              </w:rPr>
            </w:pPr>
            <w:r>
              <w:rPr>
                <w:rFonts w:eastAsia="MS Mincho"/>
              </w:rPr>
              <w:t>(2 RCTs)</w:t>
            </w:r>
          </w:p>
        </w:tc>
        <w:tc>
          <w:tcPr>
            <w:tcW w:w="937" w:type="pct"/>
            <w:vAlign w:val="center"/>
          </w:tcPr>
          <w:p w14:paraId="17B58DB7" w14:textId="77777777" w:rsidR="00714E65" w:rsidRPr="000911DD" w:rsidRDefault="00714E65" w:rsidP="00C928BE">
            <w:pPr>
              <w:pStyle w:val="Tablewriting"/>
              <w:jc w:val="center"/>
              <w:rPr>
                <w:rFonts w:eastAsia="MS Mincho"/>
              </w:rPr>
            </w:pPr>
            <w:r w:rsidRPr="000911DD">
              <w:rPr>
                <w:rFonts w:eastAsia="MS Mincho"/>
              </w:rPr>
              <w:t>2/230</w:t>
            </w:r>
          </w:p>
          <w:p w14:paraId="14AA089A" w14:textId="2B0A5FED" w:rsidR="00714E65" w:rsidRDefault="00714E65" w:rsidP="00C928BE">
            <w:pPr>
              <w:pStyle w:val="Tablewriting"/>
              <w:jc w:val="center"/>
              <w:rPr>
                <w:rFonts w:eastAsia="MS Mincho"/>
              </w:rPr>
            </w:pPr>
            <w:r w:rsidRPr="000911DD">
              <w:rPr>
                <w:rFonts w:eastAsia="MS Mincho"/>
              </w:rPr>
              <w:t>(0.9%)</w:t>
            </w:r>
          </w:p>
        </w:tc>
        <w:tc>
          <w:tcPr>
            <w:tcW w:w="784" w:type="pct"/>
            <w:vAlign w:val="center"/>
          </w:tcPr>
          <w:p w14:paraId="480ED4A6" w14:textId="77777777" w:rsidR="00714E65" w:rsidRPr="000911DD" w:rsidRDefault="00714E65" w:rsidP="00C928BE">
            <w:pPr>
              <w:pStyle w:val="Tablewriting"/>
              <w:jc w:val="center"/>
              <w:rPr>
                <w:rFonts w:eastAsia="MS Mincho"/>
              </w:rPr>
            </w:pPr>
            <w:r w:rsidRPr="000911DD">
              <w:rPr>
                <w:rFonts w:eastAsia="MS Mincho"/>
              </w:rPr>
              <w:t>2/235</w:t>
            </w:r>
          </w:p>
          <w:p w14:paraId="5A18AE98" w14:textId="7C00BE11" w:rsidR="00714E65" w:rsidRDefault="00714E65" w:rsidP="00C928BE">
            <w:pPr>
              <w:pStyle w:val="Tablewriting"/>
              <w:jc w:val="center"/>
              <w:rPr>
                <w:rFonts w:eastAsia="MS Mincho"/>
              </w:rPr>
            </w:pPr>
            <w:r w:rsidRPr="000911DD">
              <w:rPr>
                <w:rFonts w:eastAsia="MS Mincho"/>
              </w:rPr>
              <w:t>(0.9%)</w:t>
            </w:r>
          </w:p>
        </w:tc>
        <w:tc>
          <w:tcPr>
            <w:tcW w:w="689" w:type="pct"/>
            <w:tcMar>
              <w:left w:w="28" w:type="dxa"/>
              <w:right w:w="28" w:type="dxa"/>
            </w:tcMar>
            <w:vAlign w:val="center"/>
          </w:tcPr>
          <w:p w14:paraId="4388833E" w14:textId="77777777" w:rsidR="00714E65" w:rsidRDefault="00714E65" w:rsidP="00C928BE">
            <w:pPr>
              <w:pStyle w:val="Tablewriting"/>
              <w:jc w:val="center"/>
              <w:rPr>
                <w:rFonts w:eastAsia="MS Mincho"/>
              </w:rPr>
            </w:pPr>
            <w:r>
              <w:rPr>
                <w:rFonts w:eastAsia="MS Mincho"/>
              </w:rPr>
              <w:t>1.08</w:t>
            </w:r>
          </w:p>
          <w:p w14:paraId="7FEEF553" w14:textId="671FBF1B" w:rsidR="00714E65" w:rsidRDefault="00714E65" w:rsidP="00C928BE">
            <w:pPr>
              <w:pStyle w:val="Tablewriting"/>
              <w:jc w:val="center"/>
              <w:rPr>
                <w:rFonts w:eastAsia="MS Mincho"/>
              </w:rPr>
            </w:pPr>
            <w:r>
              <w:rPr>
                <w:rFonts w:eastAsia="MS Mincho"/>
              </w:rPr>
              <w:t>(0.18, 6.36)</w:t>
            </w:r>
          </w:p>
        </w:tc>
      </w:tr>
    </w:tbl>
    <w:p w14:paraId="711AF351" w14:textId="77777777" w:rsidR="00804397" w:rsidRDefault="00804397" w:rsidP="00285D42">
      <w:pPr>
        <w:pStyle w:val="TableFooter"/>
        <w:keepNext/>
        <w:jc w:val="both"/>
      </w:pPr>
      <w:r>
        <w:t>Source: Lindson et al. (2019)</w:t>
      </w:r>
    </w:p>
    <w:p w14:paraId="31F56C94" w14:textId="4FB4DF9F" w:rsidR="00804397" w:rsidRDefault="00804397" w:rsidP="00285D42">
      <w:pPr>
        <w:pStyle w:val="TableFooter"/>
        <w:keepNext/>
        <w:jc w:val="both"/>
      </w:pPr>
      <w:r>
        <w:t>Abbreviations: CI = confidence interval; NE = not estimable; RCT = randomised controlled trial; RR = risk ratio</w:t>
      </w:r>
      <w:r w:rsidR="00174D48">
        <w:t>; SAEs = serious adverse events.</w:t>
      </w:r>
    </w:p>
    <w:p w14:paraId="2F5330E0" w14:textId="7F400667" w:rsidR="00804397" w:rsidRDefault="00804397" w:rsidP="00285D42">
      <w:pPr>
        <w:pStyle w:val="TableFooter"/>
        <w:keepNext/>
        <w:jc w:val="both"/>
      </w:pPr>
      <w:r w:rsidRPr="00FD4061">
        <w:t>Note</w:t>
      </w:r>
      <w:r>
        <w:t>s</w:t>
      </w:r>
      <w:r w:rsidRPr="00FD4061">
        <w:t xml:space="preserve">: </w:t>
      </w:r>
      <w:r w:rsidRPr="00714E65">
        <w:t>Bold</w:t>
      </w:r>
      <w:r w:rsidRPr="00FD4061">
        <w:t xml:space="preserve"> indicates statistically significant difference.</w:t>
      </w:r>
      <w:r>
        <w:t xml:space="preserve"> </w:t>
      </w:r>
      <w:r w:rsidRPr="00B032C3">
        <w:t xml:space="preserve">See </w:t>
      </w:r>
      <w:r w:rsidRPr="009B5C14">
        <w:t xml:space="preserve">Appendix </w:t>
      </w:r>
      <w:r w:rsidR="009B5C14" w:rsidRPr="009B5C14">
        <w:fldChar w:fldCharType="begin" w:fldLock="1"/>
      </w:r>
      <w:r w:rsidR="009B5C14" w:rsidRPr="009B5C14">
        <w:instrText xml:space="preserve"> REF _Ref62127613 \h </w:instrText>
      </w:r>
      <w:r w:rsidR="009B5C14">
        <w:instrText xml:space="preserve"> \* MERGEFORMAT </w:instrText>
      </w:r>
      <w:r w:rsidR="009B5C14" w:rsidRPr="009B5C14">
        <w:fldChar w:fldCharType="separate"/>
      </w:r>
      <w:r w:rsidR="00EC5CC7">
        <w:t xml:space="preserve">Figure </w:t>
      </w:r>
      <w:r w:rsidR="00EC5CC7">
        <w:rPr>
          <w:noProof/>
        </w:rPr>
        <w:t>86</w:t>
      </w:r>
      <w:r w:rsidR="009B5C14" w:rsidRPr="009B5C14">
        <w:fldChar w:fldCharType="end"/>
      </w:r>
      <w:r w:rsidR="009B5C14">
        <w:t xml:space="preserve">, </w:t>
      </w:r>
      <w:r w:rsidR="009B5C14" w:rsidRPr="009B5C14">
        <w:fldChar w:fldCharType="begin" w:fldLock="1"/>
      </w:r>
      <w:r w:rsidR="009B5C14" w:rsidRPr="009B5C14">
        <w:instrText xml:space="preserve"> REF _Ref62127617 \h </w:instrText>
      </w:r>
      <w:r w:rsidR="009B5C14">
        <w:instrText xml:space="preserve"> \* MERGEFORMAT </w:instrText>
      </w:r>
      <w:r w:rsidR="009B5C14" w:rsidRPr="009B5C14">
        <w:fldChar w:fldCharType="separate"/>
      </w:r>
      <w:r w:rsidR="00EC5CC7">
        <w:t xml:space="preserve">Figure </w:t>
      </w:r>
      <w:r w:rsidR="00EC5CC7">
        <w:rPr>
          <w:noProof/>
        </w:rPr>
        <w:t>87</w:t>
      </w:r>
      <w:r w:rsidR="009B5C14" w:rsidRPr="009B5C14">
        <w:fldChar w:fldCharType="end"/>
      </w:r>
      <w:r w:rsidR="009B5C14">
        <w:t>,</w:t>
      </w:r>
      <w:r>
        <w:t xml:space="preserve"> and </w:t>
      </w:r>
      <w:r w:rsidR="009B5C14" w:rsidRPr="009B5C14">
        <w:fldChar w:fldCharType="begin" w:fldLock="1"/>
      </w:r>
      <w:r w:rsidR="009B5C14" w:rsidRPr="009B5C14">
        <w:instrText xml:space="preserve"> REF _Ref62127624 \h </w:instrText>
      </w:r>
      <w:r w:rsidR="009B5C14">
        <w:instrText xml:space="preserve"> \* MERGEFORMAT </w:instrText>
      </w:r>
      <w:r w:rsidR="009B5C14" w:rsidRPr="009B5C14">
        <w:fldChar w:fldCharType="separate"/>
      </w:r>
      <w:r w:rsidR="00EC5CC7">
        <w:t xml:space="preserve">Figure </w:t>
      </w:r>
      <w:r w:rsidR="00EC5CC7">
        <w:rPr>
          <w:noProof/>
        </w:rPr>
        <w:t>88</w:t>
      </w:r>
      <w:r w:rsidR="009B5C14" w:rsidRPr="009B5C14">
        <w:fldChar w:fldCharType="end"/>
      </w:r>
      <w:r>
        <w:t xml:space="preserve"> </w:t>
      </w:r>
      <w:r w:rsidRPr="00B032C3">
        <w:t>for forest plots of the respective outcomes which included the results of individual studies.</w:t>
      </w:r>
    </w:p>
    <w:p w14:paraId="3DFFA7E8" w14:textId="76162156" w:rsidR="00804397" w:rsidRDefault="00804397" w:rsidP="00285D42">
      <w:pPr>
        <w:pStyle w:val="TableFooter"/>
        <w:keepNext/>
        <w:spacing w:after="120"/>
        <w:contextualSpacing w:val="0"/>
        <w:jc w:val="both"/>
      </w:pPr>
      <w:r>
        <w:t>1</w:t>
      </w:r>
      <w:r w:rsidRPr="00432CC7">
        <w:t xml:space="preserve"> </w:t>
      </w:r>
      <w:r w:rsidRPr="00470037">
        <w:t xml:space="preserve">Calculated </w:t>
      </w:r>
      <w:r w:rsidR="00714E65" w:rsidRPr="00470037">
        <w:t xml:space="preserve">by Cochrane Review authors </w:t>
      </w:r>
      <w:r w:rsidRPr="00470037">
        <w:t>using a fixed-effect model.</w:t>
      </w:r>
      <w:r>
        <w:t xml:space="preserve"> </w:t>
      </w:r>
    </w:p>
    <w:p w14:paraId="7292D48E" w14:textId="440A204B" w:rsidR="0029720E" w:rsidRDefault="0029720E" w:rsidP="00285D42">
      <w:pPr>
        <w:pStyle w:val="Heading4"/>
        <w:numPr>
          <w:ilvl w:val="0"/>
          <w:numId w:val="0"/>
        </w:numPr>
        <w:spacing w:after="120"/>
        <w:jc w:val="both"/>
      </w:pPr>
      <w:r w:rsidRPr="00DD5BFC">
        <w:t>Length of therapy</w:t>
      </w:r>
    </w:p>
    <w:p w14:paraId="05F149FE" w14:textId="33F76E7A" w:rsidR="006858BC" w:rsidRPr="006858BC" w:rsidRDefault="0029720E" w:rsidP="002C2DB9">
      <w:pPr>
        <w:spacing w:after="120"/>
        <w:jc w:val="both"/>
      </w:pPr>
      <w:r w:rsidRPr="00713891">
        <w:t xml:space="preserve">A summary of the characteristics of the studies comparing </w:t>
      </w:r>
      <w:r>
        <w:t xml:space="preserve">duration of NRT </w:t>
      </w:r>
      <w:r w:rsidR="00573F59">
        <w:t>patches</w:t>
      </w:r>
      <w:r>
        <w:t>, gum, combination therapy</w:t>
      </w:r>
      <w:r w:rsidR="00657867">
        <w:t>, and other variations in use</w:t>
      </w:r>
      <w:r>
        <w:t xml:space="preserve"> </w:t>
      </w:r>
      <w:r w:rsidR="00E5742D">
        <w:t>from</w:t>
      </w:r>
      <w:r w:rsidR="00741C14">
        <w:t xml:space="preserve"> Lindson </w:t>
      </w:r>
      <w:r w:rsidR="00217CDF">
        <w:t>et al. (</w:t>
      </w:r>
      <w:r w:rsidR="00741C14">
        <w:t>2019</w:t>
      </w:r>
      <w:r w:rsidR="00217CDF">
        <w:t>)</w:t>
      </w:r>
      <w:r w:rsidR="00741C14">
        <w:t xml:space="preserve"> and </w:t>
      </w:r>
      <w:r w:rsidR="00741C14" w:rsidRPr="00BC3B1D">
        <w:t xml:space="preserve">Ellerbeck </w:t>
      </w:r>
      <w:r w:rsidR="00217CDF">
        <w:t>et al. (</w:t>
      </w:r>
      <w:r w:rsidR="00741C14" w:rsidRPr="00BC3B1D">
        <w:t>2018</w:t>
      </w:r>
      <w:r w:rsidR="00217CDF">
        <w:t>)</w:t>
      </w:r>
      <w:r w:rsidR="00741C14">
        <w:t xml:space="preserve"> </w:t>
      </w:r>
      <w:r w:rsidRPr="00713891">
        <w:t>is presented in</w:t>
      </w:r>
      <w:r w:rsidR="006D4904">
        <w:t xml:space="preserve"> </w:t>
      </w:r>
      <w:r w:rsidR="00776045">
        <w:fldChar w:fldCharType="begin" w:fldLock="1"/>
      </w:r>
      <w:r w:rsidR="00776045">
        <w:instrText xml:space="preserve"> REF _Ref62114094 \h </w:instrText>
      </w:r>
      <w:r w:rsidR="002C2DB9">
        <w:instrText xml:space="preserve"> \* MERGEFORMAT </w:instrText>
      </w:r>
      <w:r w:rsidR="00776045">
        <w:fldChar w:fldCharType="separate"/>
      </w:r>
      <w:r w:rsidR="00EC5CC7">
        <w:t xml:space="preserve">Table </w:t>
      </w:r>
      <w:r w:rsidR="00EC5CC7">
        <w:rPr>
          <w:noProof/>
        </w:rPr>
        <w:t>87</w:t>
      </w:r>
      <w:r w:rsidR="00776045">
        <w:fldChar w:fldCharType="end"/>
      </w:r>
      <w:r w:rsidRPr="00713891">
        <w:t xml:space="preserve">. </w:t>
      </w:r>
      <w:r w:rsidRPr="00796FC8">
        <w:t xml:space="preserve">The characteristics of the individual studies are presented in </w:t>
      </w:r>
      <w:r w:rsidR="00441C26" w:rsidRPr="00DE44B3">
        <w:t>Appendix</w:t>
      </w:r>
      <w:r w:rsidR="002C2DB9">
        <w:t xml:space="preserve"> Table 162.</w:t>
      </w:r>
    </w:p>
    <w:p w14:paraId="60188F5E" w14:textId="16BDC2FC" w:rsidR="00096038" w:rsidRDefault="00096038" w:rsidP="00285D42">
      <w:pPr>
        <w:spacing w:after="120"/>
        <w:jc w:val="both"/>
      </w:pPr>
      <w:bookmarkStart w:id="156" w:name="_Ref59454049"/>
      <w:r>
        <w:t xml:space="preserve">The relevant studies identified for inclusion are presented in this section based on four </w:t>
      </w:r>
      <w:r w:rsidRPr="003B58ED">
        <w:t>categories:</w:t>
      </w:r>
    </w:p>
    <w:p w14:paraId="72B1139F" w14:textId="6DBB23F3" w:rsidR="00343668" w:rsidRDefault="00C01C17" w:rsidP="00C324F3">
      <w:pPr>
        <w:pStyle w:val="ListParagraph"/>
        <w:numPr>
          <w:ilvl w:val="0"/>
          <w:numId w:val="190"/>
        </w:numPr>
        <w:jc w:val="both"/>
      </w:pPr>
      <w:r>
        <w:t xml:space="preserve">Monotherapy </w:t>
      </w:r>
      <w:r w:rsidR="00C90748">
        <w:t xml:space="preserve">(NRT </w:t>
      </w:r>
      <w:r w:rsidR="00573F59">
        <w:t>patches</w:t>
      </w:r>
      <w:r w:rsidR="00C90748">
        <w:t xml:space="preserve">, </w:t>
      </w:r>
      <w:r w:rsidR="00602CA6">
        <w:t>seven</w:t>
      </w:r>
      <w:r w:rsidR="00906CD4">
        <w:t xml:space="preserve"> RCTs</w:t>
      </w:r>
      <w:r w:rsidR="00775038">
        <w:t xml:space="preserve"> from Lindson </w:t>
      </w:r>
      <w:r w:rsidR="006F1F49">
        <w:t xml:space="preserve">et al. </w:t>
      </w:r>
      <w:r w:rsidR="00775038">
        <w:t>2019</w:t>
      </w:r>
      <w:r w:rsidR="00C90748">
        <w:t xml:space="preserve">; NRT gum, </w:t>
      </w:r>
      <w:r w:rsidR="00602CA6">
        <w:t>one</w:t>
      </w:r>
      <w:r w:rsidR="00906CD4">
        <w:t xml:space="preserve"> RCT</w:t>
      </w:r>
      <w:r w:rsidR="00775038">
        <w:t xml:space="preserve"> from Lindson </w:t>
      </w:r>
      <w:r w:rsidR="006F1F49">
        <w:t xml:space="preserve">et al. </w:t>
      </w:r>
      <w:r w:rsidR="00775038">
        <w:t>2019)</w:t>
      </w:r>
    </w:p>
    <w:p w14:paraId="7E33B6E0" w14:textId="111FDB3C" w:rsidR="00343668" w:rsidRDefault="00343668" w:rsidP="00C324F3">
      <w:pPr>
        <w:pStyle w:val="ListParagraph"/>
        <w:numPr>
          <w:ilvl w:val="0"/>
          <w:numId w:val="190"/>
        </w:numPr>
        <w:jc w:val="both"/>
      </w:pPr>
      <w:r>
        <w:lastRenderedPageBreak/>
        <w:t xml:space="preserve">Combination </w:t>
      </w:r>
      <w:r w:rsidR="00C90748">
        <w:t>therapy</w:t>
      </w:r>
      <w:r w:rsidR="00775038">
        <w:t xml:space="preserve"> (</w:t>
      </w:r>
      <w:r w:rsidR="00602CA6">
        <w:t>three</w:t>
      </w:r>
      <w:r w:rsidR="00775038">
        <w:t xml:space="preserve"> RCTs</w:t>
      </w:r>
      <w:r w:rsidR="00906CD4">
        <w:t xml:space="preserve">; </w:t>
      </w:r>
      <w:r w:rsidR="00602CA6">
        <w:t>two</w:t>
      </w:r>
      <w:r w:rsidR="00906CD4">
        <w:t xml:space="preserve"> RCTs from Lindson </w:t>
      </w:r>
      <w:r w:rsidR="009E560C">
        <w:t xml:space="preserve">et al. </w:t>
      </w:r>
      <w:r w:rsidR="00906CD4">
        <w:t xml:space="preserve">2019; </w:t>
      </w:r>
      <w:r w:rsidR="00602CA6">
        <w:t>one</w:t>
      </w:r>
      <w:r w:rsidR="00906CD4">
        <w:t xml:space="preserve"> RCT by </w:t>
      </w:r>
      <w:r w:rsidR="00906CD4" w:rsidRPr="00BC3B1D">
        <w:t>Ellerbeck</w:t>
      </w:r>
      <w:r w:rsidR="009E560C">
        <w:t xml:space="preserve"> et al.</w:t>
      </w:r>
      <w:r w:rsidR="00906CD4" w:rsidRPr="00BC3B1D">
        <w:t xml:space="preserve"> 2018</w:t>
      </w:r>
      <w:r w:rsidR="00775038">
        <w:t>)</w:t>
      </w:r>
    </w:p>
    <w:p w14:paraId="4B95F04B" w14:textId="1DB8B875" w:rsidR="00343668" w:rsidRDefault="00343668" w:rsidP="00C324F3">
      <w:pPr>
        <w:pStyle w:val="ListParagraph"/>
        <w:numPr>
          <w:ilvl w:val="0"/>
          <w:numId w:val="190"/>
        </w:numPr>
        <w:jc w:val="both"/>
      </w:pPr>
      <w:r>
        <w:t xml:space="preserve">Other variations </w:t>
      </w:r>
      <w:r w:rsidR="00775038">
        <w:t>in NRT use (</w:t>
      </w:r>
      <w:r w:rsidR="00602CA6">
        <w:t>three</w:t>
      </w:r>
      <w:r w:rsidR="00775038">
        <w:t xml:space="preserve"> RCTs from Lindson </w:t>
      </w:r>
      <w:r w:rsidR="009E560C">
        <w:t xml:space="preserve">et al. </w:t>
      </w:r>
      <w:r w:rsidR="00775038">
        <w:t>2019)</w:t>
      </w:r>
    </w:p>
    <w:p w14:paraId="5FD5A21E" w14:textId="2CBA2104" w:rsidR="00182742" w:rsidRDefault="00182742" w:rsidP="00C324F3">
      <w:pPr>
        <w:pStyle w:val="ListParagraph"/>
        <w:numPr>
          <w:ilvl w:val="0"/>
          <w:numId w:val="190"/>
        </w:numPr>
        <w:jc w:val="both"/>
        <w:sectPr w:rsidR="00182742" w:rsidSect="006356D2">
          <w:pgSz w:w="11906" w:h="16838"/>
          <w:pgMar w:top="1440" w:right="1440" w:bottom="1440" w:left="1440" w:header="708" w:footer="708" w:gutter="0"/>
          <w:cols w:space="708"/>
          <w:titlePg/>
          <w:docGrid w:linePitch="360"/>
        </w:sectPr>
      </w:pPr>
    </w:p>
    <w:p w14:paraId="2966966D" w14:textId="2580D60F" w:rsidR="0029720E" w:rsidRDefault="0029720E" w:rsidP="00285D42">
      <w:pPr>
        <w:pStyle w:val="Caption"/>
        <w:keepNext/>
        <w:spacing w:before="0" w:after="120"/>
        <w:jc w:val="both"/>
      </w:pPr>
      <w:bookmarkStart w:id="157" w:name="_Ref62114094"/>
      <w:r>
        <w:lastRenderedPageBreak/>
        <w:t xml:space="preserve">Table </w:t>
      </w:r>
      <w:r w:rsidR="00BF3F75">
        <w:fldChar w:fldCharType="begin"/>
      </w:r>
      <w:r w:rsidR="00BF3F75">
        <w:instrText xml:space="preserve"> SEQ Table \* ARABIC </w:instrText>
      </w:r>
      <w:r w:rsidR="00BF3F75">
        <w:fldChar w:fldCharType="separate"/>
      </w:r>
      <w:r w:rsidR="00EC5CC7">
        <w:rPr>
          <w:noProof/>
        </w:rPr>
        <w:t>87</w:t>
      </w:r>
      <w:r w:rsidR="00BF3F75">
        <w:rPr>
          <w:noProof/>
        </w:rPr>
        <w:fldChar w:fldCharType="end"/>
      </w:r>
      <w:bookmarkEnd w:id="156"/>
      <w:bookmarkEnd w:id="157"/>
      <w:r>
        <w:t xml:space="preserve">: </w:t>
      </w:r>
      <w:r w:rsidRPr="009D02BE">
        <w:t xml:space="preserve">Characteristics of the studies comparing </w:t>
      </w:r>
      <w:r>
        <w:t xml:space="preserve">different </w:t>
      </w:r>
      <w:r w:rsidRPr="009D02BE">
        <w:t>length of therapy</w:t>
      </w:r>
      <w:r w:rsidR="00A961B4">
        <w:t xml:space="preserve"> for NRT patch, gum, combination</w:t>
      </w:r>
      <w:r w:rsidR="00D65B5B">
        <w:t xml:space="preserve"> therapy, and other variations in use</w:t>
      </w:r>
    </w:p>
    <w:tbl>
      <w:tblPr>
        <w:tblStyle w:val="TableGrid"/>
        <w:tblW w:w="5000" w:type="pct"/>
        <w:tblLook w:val="04A0" w:firstRow="1" w:lastRow="0" w:firstColumn="1" w:lastColumn="0" w:noHBand="0" w:noVBand="1"/>
        <w:tblCaption w:val="Efficacy results of adalimumab trials (PASI 75 and DLQI)"/>
      </w:tblPr>
      <w:tblGrid>
        <w:gridCol w:w="795"/>
        <w:gridCol w:w="988"/>
        <w:gridCol w:w="2542"/>
        <w:gridCol w:w="5403"/>
        <w:gridCol w:w="1933"/>
        <w:gridCol w:w="2287"/>
      </w:tblGrid>
      <w:tr w:rsidR="00047298" w:rsidRPr="00061F78" w14:paraId="3F0F2ED2" w14:textId="77777777" w:rsidTr="00285D42">
        <w:trPr>
          <w:trHeight w:val="299"/>
          <w:tblHeader/>
        </w:trPr>
        <w:tc>
          <w:tcPr>
            <w:tcW w:w="279" w:type="pct"/>
            <w:shd w:val="clear" w:color="auto" w:fill="BFBFBF" w:themeFill="background1" w:themeFillShade="BF"/>
            <w:tcMar>
              <w:left w:w="28" w:type="dxa"/>
              <w:right w:w="28" w:type="dxa"/>
            </w:tcMar>
          </w:tcPr>
          <w:p w14:paraId="1F7CF1CC" w14:textId="77777777" w:rsidR="00761ECA" w:rsidRPr="00061F78" w:rsidRDefault="00761ECA" w:rsidP="00D3172F">
            <w:pPr>
              <w:pStyle w:val="Tableheading"/>
              <w:rPr>
                <w:rFonts w:eastAsia="MS Mincho"/>
              </w:rPr>
            </w:pPr>
            <w:r>
              <w:rPr>
                <w:rFonts w:eastAsia="MS Mincho"/>
              </w:rPr>
              <w:t>Study</w:t>
            </w:r>
          </w:p>
        </w:tc>
        <w:tc>
          <w:tcPr>
            <w:tcW w:w="347" w:type="pct"/>
            <w:shd w:val="clear" w:color="auto" w:fill="BFBFBF" w:themeFill="background1" w:themeFillShade="BF"/>
          </w:tcPr>
          <w:p w14:paraId="1754D6A2" w14:textId="77777777" w:rsidR="00761ECA" w:rsidRDefault="00761ECA" w:rsidP="00D3172F">
            <w:pPr>
              <w:pStyle w:val="Tableheading"/>
              <w:jc w:val="center"/>
              <w:rPr>
                <w:rFonts w:eastAsia="MS Mincho"/>
              </w:rPr>
            </w:pPr>
            <w:r>
              <w:rPr>
                <w:rFonts w:eastAsia="MS Mincho"/>
              </w:rPr>
              <w:t>Study type</w:t>
            </w:r>
          </w:p>
        </w:tc>
        <w:tc>
          <w:tcPr>
            <w:tcW w:w="915" w:type="pct"/>
            <w:shd w:val="clear" w:color="auto" w:fill="BFBFBF" w:themeFill="background1" w:themeFillShade="BF"/>
            <w:tcMar>
              <w:left w:w="28" w:type="dxa"/>
              <w:right w:w="28" w:type="dxa"/>
            </w:tcMar>
          </w:tcPr>
          <w:p w14:paraId="2CBACF2F" w14:textId="77777777" w:rsidR="00761ECA" w:rsidRPr="002E1796" w:rsidRDefault="00761ECA" w:rsidP="00D3172F">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40" w:type="pct"/>
            <w:shd w:val="clear" w:color="auto" w:fill="BFBFBF" w:themeFill="background1" w:themeFillShade="BF"/>
            <w:tcMar>
              <w:left w:w="28" w:type="dxa"/>
              <w:right w:w="28" w:type="dxa"/>
            </w:tcMar>
          </w:tcPr>
          <w:p w14:paraId="15AAF8BF" w14:textId="77777777" w:rsidR="00761ECA" w:rsidRPr="00061F78" w:rsidRDefault="00761ECA" w:rsidP="00D3172F">
            <w:pPr>
              <w:pStyle w:val="Tableheading"/>
              <w:jc w:val="center"/>
              <w:rPr>
                <w:rFonts w:eastAsia="MS Mincho"/>
              </w:rPr>
            </w:pPr>
            <w:r w:rsidRPr="00061F78">
              <w:rPr>
                <w:rFonts w:eastAsia="MS Mincho"/>
              </w:rPr>
              <w:t>P</w:t>
            </w:r>
            <w:r>
              <w:rPr>
                <w:rFonts w:eastAsia="MS Mincho"/>
              </w:rPr>
              <w:t>opulation</w:t>
            </w:r>
          </w:p>
        </w:tc>
        <w:tc>
          <w:tcPr>
            <w:tcW w:w="696" w:type="pct"/>
            <w:shd w:val="clear" w:color="auto" w:fill="BFBFBF" w:themeFill="background1" w:themeFillShade="BF"/>
          </w:tcPr>
          <w:p w14:paraId="5B15737A" w14:textId="77777777" w:rsidR="00761ECA" w:rsidRDefault="00761ECA" w:rsidP="00D3172F">
            <w:pPr>
              <w:pStyle w:val="Tableheading"/>
              <w:jc w:val="center"/>
              <w:rPr>
                <w:rFonts w:eastAsia="MS Mincho"/>
              </w:rPr>
            </w:pPr>
            <w:r>
              <w:rPr>
                <w:rFonts w:eastAsia="MS Mincho"/>
              </w:rPr>
              <w:t>Intervention and comparator</w:t>
            </w:r>
          </w:p>
        </w:tc>
        <w:tc>
          <w:tcPr>
            <w:tcW w:w="823" w:type="pct"/>
            <w:shd w:val="clear" w:color="auto" w:fill="BFBFBF" w:themeFill="background1" w:themeFillShade="BF"/>
            <w:tcMar>
              <w:left w:w="28" w:type="dxa"/>
              <w:right w:w="28" w:type="dxa"/>
            </w:tcMar>
          </w:tcPr>
          <w:p w14:paraId="60FC0315" w14:textId="77777777" w:rsidR="00761ECA" w:rsidRPr="00061F78" w:rsidRDefault="00761ECA" w:rsidP="00D3172F">
            <w:pPr>
              <w:pStyle w:val="Tableheading"/>
              <w:jc w:val="center"/>
              <w:rPr>
                <w:rFonts w:eastAsia="MS Mincho"/>
              </w:rPr>
            </w:pPr>
            <w:r>
              <w:rPr>
                <w:rFonts w:eastAsia="MS Mincho"/>
              </w:rPr>
              <w:t>Outcomes</w:t>
            </w:r>
          </w:p>
        </w:tc>
      </w:tr>
      <w:tr w:rsidR="005C40E4" w:rsidRPr="00061F78" w14:paraId="7E3D939F" w14:textId="77777777" w:rsidTr="00285D42">
        <w:trPr>
          <w:trHeight w:val="299"/>
        </w:trPr>
        <w:tc>
          <w:tcPr>
            <w:tcW w:w="5000" w:type="pct"/>
            <w:gridSpan w:val="6"/>
            <w:shd w:val="clear" w:color="auto" w:fill="auto"/>
            <w:tcMar>
              <w:left w:w="28" w:type="dxa"/>
              <w:right w:w="28" w:type="dxa"/>
            </w:tcMar>
          </w:tcPr>
          <w:p w14:paraId="29BACC55" w14:textId="5407FDFE" w:rsidR="005C40E4" w:rsidRDefault="005C40E4" w:rsidP="005C40E4">
            <w:pPr>
              <w:pStyle w:val="Tableheading"/>
              <w:rPr>
                <w:rFonts w:eastAsia="MS Mincho"/>
              </w:rPr>
            </w:pPr>
            <w:r w:rsidRPr="00EC2FFC">
              <w:rPr>
                <w:rFonts w:eastAsia="MS Mincho"/>
              </w:rPr>
              <w:t>Patch therapy (monotherapy)</w:t>
            </w:r>
          </w:p>
        </w:tc>
      </w:tr>
      <w:tr w:rsidR="00761ECA" w:rsidRPr="00061F78" w14:paraId="23E52C43" w14:textId="77777777" w:rsidTr="00285D42">
        <w:trPr>
          <w:trHeight w:val="149"/>
        </w:trPr>
        <w:tc>
          <w:tcPr>
            <w:tcW w:w="279" w:type="pct"/>
            <w:tcMar>
              <w:left w:w="28" w:type="dxa"/>
              <w:right w:w="28" w:type="dxa"/>
            </w:tcMar>
          </w:tcPr>
          <w:p w14:paraId="2FD03DD8" w14:textId="25F2EB39" w:rsidR="00761ECA" w:rsidRPr="00687B43" w:rsidRDefault="00761ECA" w:rsidP="00D3172F">
            <w:pPr>
              <w:pStyle w:val="Tablewriting"/>
              <w:rPr>
                <w:rFonts w:eastAsia="MS Mincho"/>
              </w:rPr>
            </w:pPr>
            <w:r w:rsidRPr="00687B43">
              <w:t>Lindson (2019)</w:t>
            </w:r>
          </w:p>
        </w:tc>
        <w:tc>
          <w:tcPr>
            <w:tcW w:w="347" w:type="pct"/>
          </w:tcPr>
          <w:p w14:paraId="62E15997" w14:textId="60F2510E" w:rsidR="00761ECA" w:rsidRPr="00992D9B" w:rsidRDefault="00761ECA" w:rsidP="00D3172F">
            <w:pPr>
              <w:pStyle w:val="Tablewriting"/>
              <w:rPr>
                <w:rFonts w:eastAsia="MS Mincho"/>
              </w:rPr>
            </w:pPr>
            <w:r w:rsidRPr="00992D9B">
              <w:rPr>
                <w:rFonts w:eastAsia="MS Mincho"/>
              </w:rPr>
              <w:t xml:space="preserve">Cochrane </w:t>
            </w:r>
            <w:r w:rsidR="00C9488D">
              <w:rPr>
                <w:rFonts w:eastAsia="MS Mincho"/>
              </w:rPr>
              <w:t>R</w:t>
            </w:r>
            <w:r w:rsidRPr="00992D9B">
              <w:rPr>
                <w:rFonts w:eastAsia="MS Mincho"/>
              </w:rPr>
              <w:t xml:space="preserve">eview </w:t>
            </w:r>
          </w:p>
          <w:p w14:paraId="7A36D2B0" w14:textId="77777777" w:rsidR="00761ECA" w:rsidRPr="00186C2B" w:rsidRDefault="00761ECA" w:rsidP="00D3172F">
            <w:pPr>
              <w:pStyle w:val="Tablewriting"/>
              <w:rPr>
                <w:rFonts w:eastAsia="MS Mincho"/>
                <w:highlight w:val="yellow"/>
              </w:rPr>
            </w:pPr>
            <w:r w:rsidRPr="00992D9B">
              <w:rPr>
                <w:rFonts w:eastAsia="MS Mincho"/>
              </w:rPr>
              <w:t>(7 RCTs</w:t>
            </w:r>
            <w:r w:rsidRPr="00992D9B">
              <w:rPr>
                <w:rFonts w:eastAsia="MS Mincho"/>
                <w:vertAlign w:val="superscript"/>
              </w:rPr>
              <w:t>2</w:t>
            </w:r>
            <w:r w:rsidRPr="00992D9B">
              <w:rPr>
                <w:rFonts w:eastAsia="MS Mincho"/>
              </w:rPr>
              <w:t>)</w:t>
            </w:r>
          </w:p>
        </w:tc>
        <w:tc>
          <w:tcPr>
            <w:tcW w:w="915" w:type="pct"/>
            <w:tcMar>
              <w:left w:w="28" w:type="dxa"/>
              <w:right w:w="28" w:type="dxa"/>
            </w:tcMar>
          </w:tcPr>
          <w:p w14:paraId="243DAC2A" w14:textId="77777777" w:rsidR="00761ECA" w:rsidRDefault="00761ECA" w:rsidP="00D3172F">
            <w:pPr>
              <w:pStyle w:val="Tablewriting"/>
              <w:rPr>
                <w:rFonts w:eastAsia="MS Mincho"/>
                <w:u w:val="single"/>
              </w:rPr>
            </w:pPr>
            <w:r w:rsidRPr="00992D9B">
              <w:rPr>
                <w:rFonts w:eastAsia="MS Mincho"/>
                <w:u w:val="single"/>
              </w:rPr>
              <w:t>52 weeks versus 24 weeks</w:t>
            </w:r>
          </w:p>
          <w:p w14:paraId="172AA1EE" w14:textId="45A9102E" w:rsidR="00761ECA" w:rsidRPr="00162380" w:rsidRDefault="00761ECA" w:rsidP="00D3172F">
            <w:pPr>
              <w:pStyle w:val="Tablewriting"/>
              <w:rPr>
                <w:rFonts w:eastAsia="MS Mincho"/>
              </w:rPr>
            </w:pPr>
            <w:r w:rsidRPr="00992D9B">
              <w:rPr>
                <w:rFonts w:eastAsia="MS Mincho"/>
              </w:rPr>
              <w:t>N=</w:t>
            </w:r>
            <w:r>
              <w:rPr>
                <w:rFonts w:eastAsia="MS Mincho"/>
              </w:rPr>
              <w:t xml:space="preserve"> 345 </w:t>
            </w:r>
            <w:r w:rsidRPr="00992D9B">
              <w:rPr>
                <w:rFonts w:eastAsia="MS Mincho"/>
              </w:rPr>
              <w:t>(</w:t>
            </w:r>
            <w:r>
              <w:rPr>
                <w:rFonts w:eastAsia="MS Mincho"/>
              </w:rPr>
              <w:t xml:space="preserve">1 </w:t>
            </w:r>
            <w:r w:rsidRPr="00992D9B">
              <w:rPr>
                <w:rFonts w:eastAsia="MS Mincho"/>
              </w:rPr>
              <w:t>RCT)</w:t>
            </w:r>
          </w:p>
          <w:p w14:paraId="5992F7B5" w14:textId="77777777" w:rsidR="00761ECA" w:rsidRDefault="00761ECA" w:rsidP="00D3172F">
            <w:pPr>
              <w:pStyle w:val="Tablewriting"/>
              <w:rPr>
                <w:rFonts w:eastAsia="MS Mincho"/>
                <w:u w:val="single"/>
              </w:rPr>
            </w:pPr>
            <w:r w:rsidRPr="00992D9B">
              <w:rPr>
                <w:rFonts w:eastAsia="MS Mincho"/>
                <w:u w:val="single"/>
              </w:rPr>
              <w:t>52 weeks versus 8 weeks</w:t>
            </w:r>
          </w:p>
          <w:p w14:paraId="08747954" w14:textId="0F9D7FF6" w:rsidR="00761ECA" w:rsidRPr="00162380" w:rsidRDefault="00761ECA" w:rsidP="00D3172F">
            <w:pPr>
              <w:pStyle w:val="Tablewriting"/>
              <w:rPr>
                <w:rFonts w:eastAsia="MS Mincho"/>
              </w:rPr>
            </w:pPr>
            <w:r w:rsidRPr="00992D9B">
              <w:rPr>
                <w:rFonts w:eastAsia="MS Mincho"/>
              </w:rPr>
              <w:t>N=</w:t>
            </w:r>
            <w:r>
              <w:rPr>
                <w:rFonts w:eastAsia="MS Mincho"/>
              </w:rPr>
              <w:t xml:space="preserve"> 352 </w:t>
            </w:r>
            <w:r w:rsidRPr="00992D9B">
              <w:rPr>
                <w:rFonts w:eastAsia="MS Mincho"/>
              </w:rPr>
              <w:t>(</w:t>
            </w:r>
            <w:r>
              <w:rPr>
                <w:rFonts w:eastAsia="MS Mincho"/>
              </w:rPr>
              <w:t>1</w:t>
            </w:r>
            <w:r w:rsidRPr="00992D9B">
              <w:rPr>
                <w:rFonts w:eastAsia="MS Mincho"/>
              </w:rPr>
              <w:t xml:space="preserve"> RCT)</w:t>
            </w:r>
          </w:p>
          <w:p w14:paraId="775F5039" w14:textId="77777777" w:rsidR="00761ECA" w:rsidRDefault="00761ECA" w:rsidP="00D3172F">
            <w:pPr>
              <w:pStyle w:val="Tablewriting"/>
              <w:rPr>
                <w:rFonts w:eastAsia="MS Mincho"/>
                <w:u w:val="single"/>
              </w:rPr>
            </w:pPr>
            <w:r w:rsidRPr="00992D9B">
              <w:rPr>
                <w:rFonts w:eastAsia="MS Mincho"/>
                <w:u w:val="single"/>
              </w:rPr>
              <w:t>28 weeks versus 12 weeks</w:t>
            </w:r>
          </w:p>
          <w:p w14:paraId="69E3AB27" w14:textId="41F2BBBA" w:rsidR="00761ECA" w:rsidRPr="00162380" w:rsidRDefault="00761ECA" w:rsidP="00D3172F">
            <w:pPr>
              <w:pStyle w:val="Tablewriting"/>
              <w:rPr>
                <w:rFonts w:eastAsia="MS Mincho"/>
              </w:rPr>
            </w:pPr>
            <w:r w:rsidRPr="00992D9B">
              <w:rPr>
                <w:rFonts w:eastAsia="MS Mincho"/>
              </w:rPr>
              <w:t>N=</w:t>
            </w:r>
            <w:r>
              <w:rPr>
                <w:rFonts w:eastAsia="MS Mincho"/>
              </w:rPr>
              <w:t xml:space="preserve"> 2</w:t>
            </w:r>
            <w:r w:rsidR="00FF4CF0">
              <w:rPr>
                <w:rFonts w:eastAsia="MS Mincho"/>
              </w:rPr>
              <w:t>,</w:t>
            </w:r>
            <w:r>
              <w:rPr>
                <w:rFonts w:eastAsia="MS Mincho"/>
              </w:rPr>
              <w:t xml:space="preserve">861 </w:t>
            </w:r>
            <w:r w:rsidRPr="00992D9B">
              <w:rPr>
                <w:rFonts w:eastAsia="MS Mincho"/>
              </w:rPr>
              <w:t>(</w:t>
            </w:r>
            <w:r>
              <w:rPr>
                <w:rFonts w:eastAsia="MS Mincho"/>
              </w:rPr>
              <w:t>1</w:t>
            </w:r>
            <w:r w:rsidRPr="00992D9B">
              <w:rPr>
                <w:rFonts w:eastAsia="MS Mincho"/>
              </w:rPr>
              <w:t xml:space="preserve"> RCT)</w:t>
            </w:r>
          </w:p>
          <w:p w14:paraId="5E29F532" w14:textId="77777777" w:rsidR="00761ECA" w:rsidRDefault="00761ECA" w:rsidP="00D3172F">
            <w:pPr>
              <w:pStyle w:val="Tablewriting"/>
              <w:rPr>
                <w:rFonts w:eastAsia="MS Mincho"/>
                <w:u w:val="single"/>
              </w:rPr>
            </w:pPr>
            <w:r w:rsidRPr="00992D9B">
              <w:rPr>
                <w:rFonts w:eastAsia="MS Mincho"/>
                <w:u w:val="single"/>
              </w:rPr>
              <w:t>24 weeks versus 8 weeks</w:t>
            </w:r>
          </w:p>
          <w:p w14:paraId="2D4FEAA3" w14:textId="20A62A87" w:rsidR="00761ECA" w:rsidRPr="00162380" w:rsidRDefault="00761ECA" w:rsidP="00D3172F">
            <w:pPr>
              <w:pStyle w:val="Tablewriting"/>
              <w:rPr>
                <w:rFonts w:eastAsia="MS Mincho"/>
              </w:rPr>
            </w:pPr>
            <w:r w:rsidRPr="00992D9B">
              <w:rPr>
                <w:rFonts w:eastAsia="MS Mincho"/>
              </w:rPr>
              <w:t>N=</w:t>
            </w:r>
            <w:r>
              <w:rPr>
                <w:rFonts w:eastAsia="MS Mincho"/>
              </w:rPr>
              <w:t xml:space="preserve"> 921 </w:t>
            </w:r>
            <w:r w:rsidRPr="00992D9B">
              <w:rPr>
                <w:rFonts w:eastAsia="MS Mincho"/>
              </w:rPr>
              <w:t>(</w:t>
            </w:r>
            <w:r>
              <w:rPr>
                <w:rFonts w:eastAsia="MS Mincho"/>
              </w:rPr>
              <w:t xml:space="preserve">2 </w:t>
            </w:r>
            <w:r w:rsidRPr="00992D9B">
              <w:rPr>
                <w:rFonts w:eastAsia="MS Mincho"/>
              </w:rPr>
              <w:t>RCT</w:t>
            </w:r>
            <w:r w:rsidR="00FF4CF0">
              <w:rPr>
                <w:rFonts w:eastAsia="MS Mincho"/>
              </w:rPr>
              <w:t>s</w:t>
            </w:r>
            <w:r w:rsidRPr="00992D9B">
              <w:rPr>
                <w:rFonts w:eastAsia="MS Mincho"/>
              </w:rPr>
              <w:t>)</w:t>
            </w:r>
          </w:p>
          <w:p w14:paraId="6DE93293" w14:textId="77777777" w:rsidR="00761ECA" w:rsidRDefault="00761ECA" w:rsidP="00D3172F">
            <w:pPr>
              <w:pStyle w:val="Tablewriting"/>
              <w:rPr>
                <w:rFonts w:eastAsia="MS Mincho"/>
                <w:u w:val="single"/>
              </w:rPr>
            </w:pPr>
            <w:r w:rsidRPr="00992D9B">
              <w:rPr>
                <w:rFonts w:eastAsia="MS Mincho"/>
                <w:u w:val="single"/>
              </w:rPr>
              <w:t>12 weeks versus 6 weeks</w:t>
            </w:r>
          </w:p>
          <w:p w14:paraId="69DC27D1" w14:textId="18884848" w:rsidR="00761ECA" w:rsidRPr="00162380" w:rsidRDefault="00761ECA" w:rsidP="00D3172F">
            <w:pPr>
              <w:pStyle w:val="Tablewriting"/>
              <w:rPr>
                <w:rFonts w:eastAsia="MS Mincho"/>
              </w:rPr>
            </w:pPr>
            <w:r w:rsidRPr="00992D9B">
              <w:rPr>
                <w:rFonts w:eastAsia="MS Mincho"/>
              </w:rPr>
              <w:t>N=</w:t>
            </w:r>
            <w:r>
              <w:rPr>
                <w:rFonts w:eastAsia="MS Mincho"/>
              </w:rPr>
              <w:t xml:space="preserve"> 140 </w:t>
            </w:r>
            <w:r w:rsidRPr="00992D9B">
              <w:rPr>
                <w:rFonts w:eastAsia="MS Mincho"/>
              </w:rPr>
              <w:t>(</w:t>
            </w:r>
            <w:r>
              <w:rPr>
                <w:rFonts w:eastAsia="MS Mincho"/>
              </w:rPr>
              <w:t>1</w:t>
            </w:r>
            <w:r w:rsidRPr="00992D9B">
              <w:rPr>
                <w:rFonts w:eastAsia="MS Mincho"/>
              </w:rPr>
              <w:t xml:space="preserve"> RCT)</w:t>
            </w:r>
          </w:p>
          <w:p w14:paraId="3DF05BC9" w14:textId="77777777" w:rsidR="00761ECA" w:rsidRDefault="00761ECA" w:rsidP="00D3172F">
            <w:pPr>
              <w:pStyle w:val="Tablewriting"/>
              <w:rPr>
                <w:rFonts w:eastAsia="MS Mincho"/>
                <w:u w:val="single"/>
              </w:rPr>
            </w:pPr>
            <w:r w:rsidRPr="00992D9B">
              <w:rPr>
                <w:rFonts w:eastAsia="MS Mincho"/>
                <w:u w:val="single"/>
              </w:rPr>
              <w:t>12 weeks versus 3 weeks</w:t>
            </w:r>
          </w:p>
          <w:p w14:paraId="54411770" w14:textId="628DFC0D" w:rsidR="00761ECA" w:rsidRPr="00162380" w:rsidRDefault="00761ECA" w:rsidP="00D3172F">
            <w:pPr>
              <w:pStyle w:val="Tablewriting"/>
              <w:rPr>
                <w:rFonts w:eastAsia="MS Mincho"/>
              </w:rPr>
            </w:pPr>
            <w:r w:rsidRPr="00992D9B">
              <w:rPr>
                <w:rFonts w:eastAsia="MS Mincho"/>
              </w:rPr>
              <w:t>N=</w:t>
            </w:r>
            <w:r>
              <w:rPr>
                <w:rFonts w:eastAsia="MS Mincho"/>
              </w:rPr>
              <w:t xml:space="preserve"> 98 </w:t>
            </w:r>
            <w:r w:rsidRPr="00992D9B">
              <w:rPr>
                <w:rFonts w:eastAsia="MS Mincho"/>
              </w:rPr>
              <w:t>(</w:t>
            </w:r>
            <w:r>
              <w:rPr>
                <w:rFonts w:eastAsia="MS Mincho"/>
              </w:rPr>
              <w:t xml:space="preserve">1 </w:t>
            </w:r>
            <w:r w:rsidRPr="00992D9B">
              <w:rPr>
                <w:rFonts w:eastAsia="MS Mincho"/>
              </w:rPr>
              <w:t>RCT)</w:t>
            </w:r>
          </w:p>
          <w:p w14:paraId="602D0B03" w14:textId="77777777" w:rsidR="00761ECA" w:rsidRDefault="00761ECA" w:rsidP="00D3172F">
            <w:pPr>
              <w:pStyle w:val="Tablewriting"/>
              <w:rPr>
                <w:rFonts w:eastAsia="MS Mincho"/>
                <w:u w:val="single"/>
              </w:rPr>
            </w:pPr>
            <w:r w:rsidRPr="00992D9B">
              <w:rPr>
                <w:rFonts w:eastAsia="MS Mincho"/>
                <w:u w:val="single"/>
              </w:rPr>
              <w:t>6 weeks versus 4 weeks</w:t>
            </w:r>
          </w:p>
          <w:p w14:paraId="648FBB30" w14:textId="17C56F59" w:rsidR="00761ECA" w:rsidRPr="00162380"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873 </w:t>
            </w:r>
            <w:r w:rsidRPr="00992D9B">
              <w:rPr>
                <w:rFonts w:eastAsia="MS Mincho"/>
              </w:rPr>
              <w:t>(</w:t>
            </w:r>
            <w:r>
              <w:rPr>
                <w:rFonts w:eastAsia="MS Mincho"/>
              </w:rPr>
              <w:t>1</w:t>
            </w:r>
            <w:r w:rsidRPr="00992D9B">
              <w:rPr>
                <w:rFonts w:eastAsia="MS Mincho"/>
              </w:rPr>
              <w:t xml:space="preserve"> RCT)</w:t>
            </w:r>
          </w:p>
          <w:p w14:paraId="790D0BBB" w14:textId="77777777" w:rsidR="00761ECA" w:rsidRDefault="00761ECA" w:rsidP="00D3172F">
            <w:pPr>
              <w:pStyle w:val="Tablewriting"/>
              <w:rPr>
                <w:rFonts w:eastAsia="MS Mincho"/>
                <w:u w:val="single"/>
              </w:rPr>
            </w:pPr>
            <w:r w:rsidRPr="00992D9B">
              <w:rPr>
                <w:rFonts w:eastAsia="MS Mincho"/>
                <w:u w:val="single"/>
              </w:rPr>
              <w:t>6 weeks versus 2 - 3 weeks</w:t>
            </w:r>
          </w:p>
          <w:p w14:paraId="71DADA37" w14:textId="2475AF44" w:rsidR="00761ECA" w:rsidRPr="00162380"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957 </w:t>
            </w:r>
            <w:r w:rsidRPr="00992D9B">
              <w:rPr>
                <w:rFonts w:eastAsia="MS Mincho"/>
              </w:rPr>
              <w:t>(</w:t>
            </w:r>
            <w:r>
              <w:rPr>
                <w:rFonts w:eastAsia="MS Mincho"/>
              </w:rPr>
              <w:t>2</w:t>
            </w:r>
            <w:r w:rsidRPr="00992D9B">
              <w:rPr>
                <w:rFonts w:eastAsia="MS Mincho"/>
              </w:rPr>
              <w:t xml:space="preserve"> RCT</w:t>
            </w:r>
            <w:r w:rsidR="00AA2A1D">
              <w:rPr>
                <w:rFonts w:eastAsia="MS Mincho"/>
              </w:rPr>
              <w:t>s</w:t>
            </w:r>
            <w:r w:rsidRPr="00992D9B">
              <w:rPr>
                <w:rFonts w:eastAsia="MS Mincho"/>
              </w:rPr>
              <w:t>)</w:t>
            </w:r>
          </w:p>
          <w:p w14:paraId="73F27619" w14:textId="77777777" w:rsidR="00761ECA" w:rsidRDefault="00761ECA" w:rsidP="00D3172F">
            <w:pPr>
              <w:pStyle w:val="Tablewriting"/>
              <w:rPr>
                <w:rFonts w:eastAsia="MS Mincho"/>
                <w:u w:val="single"/>
              </w:rPr>
            </w:pPr>
            <w:r w:rsidRPr="00992D9B">
              <w:rPr>
                <w:rFonts w:eastAsia="MS Mincho"/>
                <w:u w:val="single"/>
              </w:rPr>
              <w:t>4 weeks versus 2 weeks</w:t>
            </w:r>
          </w:p>
          <w:p w14:paraId="37A9A2AE" w14:textId="37B977DD" w:rsidR="00761ECA" w:rsidRPr="00F4262F" w:rsidRDefault="00761ECA" w:rsidP="00D3172F">
            <w:pPr>
              <w:pStyle w:val="Tablewriting"/>
              <w:rPr>
                <w:rFonts w:eastAsia="MS Mincho"/>
              </w:rPr>
            </w:pPr>
            <w:r w:rsidRPr="00992D9B">
              <w:rPr>
                <w:rFonts w:eastAsia="MS Mincho"/>
              </w:rPr>
              <w:t>N=</w:t>
            </w:r>
            <w:r>
              <w:rPr>
                <w:rFonts w:eastAsia="MS Mincho"/>
              </w:rPr>
              <w:t xml:space="preserve"> 1</w:t>
            </w:r>
            <w:r w:rsidR="00AA2A1D">
              <w:rPr>
                <w:rFonts w:eastAsia="MS Mincho"/>
              </w:rPr>
              <w:t>,</w:t>
            </w:r>
            <w:r>
              <w:rPr>
                <w:rFonts w:eastAsia="MS Mincho"/>
              </w:rPr>
              <w:t xml:space="preserve">862 </w:t>
            </w:r>
            <w:r w:rsidRPr="00992D9B">
              <w:rPr>
                <w:rFonts w:eastAsia="MS Mincho"/>
              </w:rPr>
              <w:t>(</w:t>
            </w:r>
            <w:r>
              <w:rPr>
                <w:rFonts w:eastAsia="MS Mincho"/>
              </w:rPr>
              <w:t xml:space="preserve">1 </w:t>
            </w:r>
            <w:r w:rsidRPr="00992D9B">
              <w:rPr>
                <w:rFonts w:eastAsia="MS Mincho"/>
              </w:rPr>
              <w:t>RCT)</w:t>
            </w:r>
          </w:p>
        </w:tc>
        <w:tc>
          <w:tcPr>
            <w:tcW w:w="1940" w:type="pct"/>
            <w:tcMar>
              <w:left w:w="28" w:type="dxa"/>
              <w:right w:w="28" w:type="dxa"/>
            </w:tcMar>
          </w:tcPr>
          <w:p w14:paraId="01D2C1F5" w14:textId="77777777" w:rsidR="00761ECA" w:rsidRPr="00A4015C" w:rsidRDefault="00761ECA" w:rsidP="00D3172F">
            <w:pPr>
              <w:pStyle w:val="Tablewriting"/>
              <w:rPr>
                <w:rFonts w:eastAsia="MS Mincho"/>
              </w:rPr>
            </w:pPr>
            <w:r w:rsidRPr="00A4015C">
              <w:rPr>
                <w:rFonts w:eastAsia="MS Mincho"/>
                <w:u w:val="single"/>
              </w:rPr>
              <w:t>Inclusion</w:t>
            </w:r>
            <w:r w:rsidRPr="00A4015C">
              <w:rPr>
                <w:rFonts w:eastAsia="MS Mincho"/>
              </w:rPr>
              <w:t>:</w:t>
            </w:r>
          </w:p>
          <w:p w14:paraId="0D679831" w14:textId="7756C0DC" w:rsidR="00761ECA" w:rsidRPr="00A4015C" w:rsidRDefault="00761ECA" w:rsidP="00D3172F">
            <w:pPr>
              <w:pStyle w:val="Tablewriting"/>
              <w:rPr>
                <w:rFonts w:eastAsia="MS Mincho"/>
              </w:rPr>
            </w:pPr>
            <w:r w:rsidRPr="00A4015C">
              <w:rPr>
                <w:rFonts w:eastAsia="MS Mincho"/>
              </w:rPr>
              <w:t>Adult smokers with an average age of approximately 45, who smoked at least 15 cigarettes a day</w:t>
            </w:r>
            <w:r w:rsidR="002A78FB">
              <w:rPr>
                <w:rFonts w:eastAsia="MS Mincho"/>
              </w:rPr>
              <w:t>,</w:t>
            </w:r>
            <w:r w:rsidRPr="00A4015C">
              <w:rPr>
                <w:rFonts w:eastAsia="MS Mincho"/>
              </w:rPr>
              <w:t xml:space="preserve"> </w:t>
            </w:r>
            <w:r w:rsidR="002A78FB" w:rsidRPr="00A4015C">
              <w:rPr>
                <w:rFonts w:eastAsia="MS Mincho"/>
              </w:rPr>
              <w:t>s</w:t>
            </w:r>
            <w:r w:rsidRPr="00A4015C">
              <w:rPr>
                <w:rFonts w:eastAsia="MS Mincho"/>
              </w:rPr>
              <w:t xml:space="preserve">tudies lasted for at least six months. </w:t>
            </w:r>
          </w:p>
          <w:p w14:paraId="5A464E84" w14:textId="77777777" w:rsidR="00761ECA" w:rsidRPr="00186C2B" w:rsidRDefault="00761ECA" w:rsidP="00D3172F">
            <w:pPr>
              <w:pStyle w:val="Tablewriting"/>
              <w:rPr>
                <w:rFonts w:eastAsia="MS Mincho"/>
                <w:highlight w:val="yellow"/>
              </w:rPr>
            </w:pPr>
            <w:r w:rsidRPr="00A4015C">
              <w:rPr>
                <w:rFonts w:eastAsia="MS Mincho"/>
                <w:u w:val="single"/>
              </w:rPr>
              <w:t>Exclusion</w:t>
            </w:r>
            <w:r w:rsidRPr="00A4015C">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r w:rsidRPr="00186C2B">
              <w:rPr>
                <w:rFonts w:eastAsia="MS Mincho"/>
                <w:highlight w:val="yellow"/>
              </w:rPr>
              <w:t xml:space="preserve"> </w:t>
            </w:r>
          </w:p>
        </w:tc>
        <w:tc>
          <w:tcPr>
            <w:tcW w:w="696" w:type="pct"/>
          </w:tcPr>
          <w:p w14:paraId="563F1011" w14:textId="7BC53668" w:rsidR="00761ECA" w:rsidRPr="00186C2B" w:rsidRDefault="00761ECA" w:rsidP="00D3172F">
            <w:pPr>
              <w:pStyle w:val="Tablewriting"/>
              <w:rPr>
                <w:rFonts w:eastAsia="MS Mincho"/>
                <w:highlight w:val="yellow"/>
              </w:rPr>
            </w:pPr>
            <w:r w:rsidRPr="006B5D28">
              <w:rPr>
                <w:rFonts w:eastAsia="MS Mincho"/>
              </w:rPr>
              <w:t xml:space="preserve">Longer duration </w:t>
            </w:r>
            <w:r>
              <w:rPr>
                <w:rFonts w:eastAsia="MS Mincho"/>
              </w:rPr>
              <w:t xml:space="preserve">patch </w:t>
            </w:r>
            <w:r w:rsidRPr="006B5D28">
              <w:rPr>
                <w:rFonts w:eastAsia="MS Mincho"/>
              </w:rPr>
              <w:t>versus shorter duration</w:t>
            </w:r>
            <w:r>
              <w:rPr>
                <w:rFonts w:eastAsia="MS Mincho"/>
              </w:rPr>
              <w:t xml:space="preserve"> patch</w:t>
            </w:r>
            <w:r w:rsidR="00ED0CBA">
              <w:rPr>
                <w:rFonts w:eastAsia="MS Mincho"/>
              </w:rPr>
              <w:t>.</w:t>
            </w:r>
          </w:p>
        </w:tc>
        <w:tc>
          <w:tcPr>
            <w:tcW w:w="823" w:type="pct"/>
            <w:tcMar>
              <w:left w:w="28" w:type="dxa"/>
              <w:right w:w="28" w:type="dxa"/>
            </w:tcMar>
          </w:tcPr>
          <w:p w14:paraId="4C584E84" w14:textId="77777777" w:rsidR="00761ECA" w:rsidRPr="00A4015C" w:rsidRDefault="00761ECA" w:rsidP="00D3172F">
            <w:pPr>
              <w:pStyle w:val="Tablewriting"/>
              <w:rPr>
                <w:rFonts w:eastAsia="MS Mincho"/>
              </w:rPr>
            </w:pPr>
            <w:r w:rsidRPr="00A4015C">
              <w:rPr>
                <w:rFonts w:eastAsia="MS Mincho"/>
                <w:u w:val="single"/>
              </w:rPr>
              <w:t>Primary</w:t>
            </w:r>
            <w:r w:rsidRPr="00A4015C">
              <w:rPr>
                <w:rFonts w:eastAsia="MS Mincho"/>
              </w:rPr>
              <w:t>: smoking cessation rates of at least six months after baseline.</w:t>
            </w:r>
          </w:p>
          <w:p w14:paraId="72C8FED5" w14:textId="77777777" w:rsidR="00761ECA" w:rsidRPr="0050095A" w:rsidRDefault="00761ECA" w:rsidP="00D3172F">
            <w:pPr>
              <w:pStyle w:val="Tablewriting"/>
              <w:rPr>
                <w:rFonts w:eastAsia="MS Mincho"/>
                <w:u w:val="single"/>
              </w:rPr>
            </w:pPr>
            <w:r w:rsidRPr="00A4015C">
              <w:rPr>
                <w:rFonts w:eastAsia="MS Mincho"/>
                <w:u w:val="single"/>
              </w:rPr>
              <w:t>Secondary</w:t>
            </w:r>
            <w:r w:rsidRPr="00A4015C">
              <w:rPr>
                <w:rFonts w:eastAsia="MS Mincho"/>
              </w:rPr>
              <w:t>: safety including serious adverse events and withdrawals due to treatment.</w:t>
            </w:r>
          </w:p>
        </w:tc>
      </w:tr>
      <w:tr w:rsidR="002C55A8" w:rsidRPr="00061F78" w14:paraId="37DA4D23" w14:textId="77777777" w:rsidTr="00285D42">
        <w:trPr>
          <w:trHeight w:val="149"/>
        </w:trPr>
        <w:tc>
          <w:tcPr>
            <w:tcW w:w="5000" w:type="pct"/>
            <w:gridSpan w:val="6"/>
            <w:shd w:val="clear" w:color="auto" w:fill="auto"/>
            <w:tcMar>
              <w:left w:w="28" w:type="dxa"/>
              <w:right w:w="28" w:type="dxa"/>
            </w:tcMar>
          </w:tcPr>
          <w:p w14:paraId="0767E574" w14:textId="0064D4DC" w:rsidR="002C55A8" w:rsidRPr="002C55A8" w:rsidRDefault="002C55A8" w:rsidP="00D3172F">
            <w:pPr>
              <w:pStyle w:val="Tablewriting"/>
              <w:rPr>
                <w:rFonts w:eastAsia="MS Mincho"/>
                <w:b/>
                <w:bCs/>
                <w:u w:val="single"/>
              </w:rPr>
            </w:pPr>
            <w:r w:rsidRPr="002C55A8">
              <w:rPr>
                <w:rFonts w:eastAsia="MS Mincho"/>
                <w:b/>
                <w:bCs/>
              </w:rPr>
              <w:t>Gum therapy (monotherapy)</w:t>
            </w:r>
          </w:p>
        </w:tc>
      </w:tr>
      <w:tr w:rsidR="00761ECA" w:rsidRPr="00061F78" w14:paraId="09404AB0" w14:textId="77777777" w:rsidTr="00285D42">
        <w:trPr>
          <w:trHeight w:val="149"/>
        </w:trPr>
        <w:tc>
          <w:tcPr>
            <w:tcW w:w="279" w:type="pct"/>
            <w:tcMar>
              <w:left w:w="28" w:type="dxa"/>
              <w:right w:w="28" w:type="dxa"/>
            </w:tcMar>
          </w:tcPr>
          <w:p w14:paraId="08085D1E" w14:textId="20E03A1C" w:rsidR="00761ECA" w:rsidRDefault="00761ECA" w:rsidP="00D3172F">
            <w:pPr>
              <w:pStyle w:val="Tablewriting"/>
              <w:rPr>
                <w:rFonts w:eastAsia="MS Mincho"/>
              </w:rPr>
            </w:pPr>
            <w:r>
              <w:t>Lindson</w:t>
            </w:r>
            <w:r w:rsidRPr="00713891">
              <w:t xml:space="preserve"> (201</w:t>
            </w:r>
            <w:r>
              <w:t>9</w:t>
            </w:r>
            <w:r w:rsidRPr="00713891">
              <w:t>)</w:t>
            </w:r>
          </w:p>
        </w:tc>
        <w:tc>
          <w:tcPr>
            <w:tcW w:w="347" w:type="pct"/>
          </w:tcPr>
          <w:p w14:paraId="43E90125" w14:textId="201B6C68" w:rsidR="00761ECA" w:rsidRPr="006B5D28" w:rsidRDefault="00761ECA" w:rsidP="00D3172F">
            <w:pPr>
              <w:pStyle w:val="Tablewriting"/>
              <w:rPr>
                <w:rFonts w:eastAsia="MS Mincho"/>
              </w:rPr>
            </w:pPr>
            <w:r w:rsidRPr="006B5D28">
              <w:rPr>
                <w:rFonts w:eastAsia="MS Mincho"/>
              </w:rPr>
              <w:t xml:space="preserve">Cochrane </w:t>
            </w:r>
            <w:r w:rsidR="00182742">
              <w:rPr>
                <w:rFonts w:eastAsia="MS Mincho"/>
              </w:rPr>
              <w:t>R</w:t>
            </w:r>
            <w:r w:rsidRPr="006B5D28">
              <w:rPr>
                <w:rFonts w:eastAsia="MS Mincho"/>
              </w:rPr>
              <w:t xml:space="preserve">eview </w:t>
            </w:r>
          </w:p>
          <w:p w14:paraId="5CDDB996" w14:textId="6AEC2B44" w:rsidR="00761ECA" w:rsidRPr="00186C2B" w:rsidRDefault="00761ECA" w:rsidP="00D3172F">
            <w:pPr>
              <w:pStyle w:val="Tablewriting"/>
              <w:rPr>
                <w:rFonts w:eastAsia="MS Mincho"/>
                <w:highlight w:val="yellow"/>
              </w:rPr>
            </w:pPr>
            <w:r w:rsidRPr="006B5D28">
              <w:rPr>
                <w:rFonts w:eastAsia="MS Mincho"/>
              </w:rPr>
              <w:t>(1 RCT</w:t>
            </w:r>
            <w:r w:rsidRPr="006B5D28">
              <w:rPr>
                <w:rFonts w:eastAsia="MS Mincho"/>
                <w:vertAlign w:val="superscript"/>
              </w:rPr>
              <w:t>2</w:t>
            </w:r>
            <w:r w:rsidRPr="006B5D28">
              <w:rPr>
                <w:rFonts w:eastAsia="MS Mincho"/>
              </w:rPr>
              <w:t>)</w:t>
            </w:r>
          </w:p>
        </w:tc>
        <w:tc>
          <w:tcPr>
            <w:tcW w:w="915" w:type="pct"/>
            <w:tcMar>
              <w:left w:w="28" w:type="dxa"/>
              <w:right w:w="28" w:type="dxa"/>
            </w:tcMar>
          </w:tcPr>
          <w:p w14:paraId="4125A4D5" w14:textId="77777777" w:rsidR="00761ECA" w:rsidRPr="00186C2B" w:rsidRDefault="00761ECA" w:rsidP="00D3172F">
            <w:pPr>
              <w:pStyle w:val="Tablewriting"/>
              <w:rPr>
                <w:rFonts w:eastAsia="MS Mincho"/>
                <w:highlight w:val="yellow"/>
                <w:u w:val="single"/>
              </w:rPr>
            </w:pPr>
            <w:r w:rsidRPr="006B5D28">
              <w:rPr>
                <w:rFonts w:eastAsia="MS Mincho"/>
                <w:u w:val="single"/>
              </w:rPr>
              <w:t>50 weeks versus 10 weeks gum</w:t>
            </w:r>
            <w:r w:rsidRPr="006B5D28">
              <w:rPr>
                <w:rFonts w:eastAsia="MS Mincho"/>
                <w:highlight w:val="yellow"/>
                <w:u w:val="single"/>
              </w:rPr>
              <w:t xml:space="preserve"> </w:t>
            </w:r>
          </w:p>
          <w:p w14:paraId="5C314416" w14:textId="77777777" w:rsidR="00761ECA" w:rsidRPr="00186C2B" w:rsidRDefault="00761ECA" w:rsidP="00D3172F">
            <w:pPr>
              <w:pStyle w:val="Tablewriting"/>
              <w:rPr>
                <w:rFonts w:eastAsia="MS Mincho"/>
                <w:highlight w:val="yellow"/>
              </w:rPr>
            </w:pPr>
            <w:r w:rsidRPr="005A1EEB">
              <w:rPr>
                <w:rFonts w:eastAsia="MS Mincho"/>
              </w:rPr>
              <w:t>N= 402</w:t>
            </w:r>
          </w:p>
        </w:tc>
        <w:tc>
          <w:tcPr>
            <w:tcW w:w="1940" w:type="pct"/>
            <w:tcMar>
              <w:left w:w="28" w:type="dxa"/>
              <w:right w:w="28" w:type="dxa"/>
            </w:tcMar>
          </w:tcPr>
          <w:p w14:paraId="37EF6084" w14:textId="4CD30353" w:rsidR="00761ECA" w:rsidRPr="00175E73" w:rsidRDefault="00175E73" w:rsidP="00D3172F">
            <w:pPr>
              <w:pStyle w:val="Tablewriting"/>
              <w:rPr>
                <w:rFonts w:eastAsia="MS Mincho"/>
                <w:highlight w:val="yellow"/>
              </w:rPr>
            </w:pPr>
            <w:r w:rsidRPr="00175E73">
              <w:rPr>
                <w:rFonts w:eastAsia="MS Mincho"/>
              </w:rPr>
              <w:t>Same as patch (monotherapy)</w:t>
            </w:r>
            <w:r w:rsidR="00ED0CBA">
              <w:rPr>
                <w:rFonts w:eastAsia="MS Mincho"/>
              </w:rPr>
              <w:t>.</w:t>
            </w:r>
          </w:p>
        </w:tc>
        <w:tc>
          <w:tcPr>
            <w:tcW w:w="696" w:type="pct"/>
          </w:tcPr>
          <w:p w14:paraId="75566F5B" w14:textId="4534079A" w:rsidR="00761ECA" w:rsidRPr="00186C2B" w:rsidRDefault="00761ECA" w:rsidP="00D3172F">
            <w:pPr>
              <w:pStyle w:val="Tablewriting"/>
              <w:rPr>
                <w:rFonts w:eastAsia="MS Mincho"/>
                <w:highlight w:val="yellow"/>
              </w:rPr>
            </w:pPr>
            <w:r w:rsidRPr="00A4015C">
              <w:rPr>
                <w:rFonts w:eastAsia="MS Mincho"/>
              </w:rPr>
              <w:t>Longer duration gum versus shorter duration gum</w:t>
            </w:r>
            <w:r w:rsidR="00ED0CBA">
              <w:rPr>
                <w:rFonts w:eastAsia="MS Mincho"/>
              </w:rPr>
              <w:t>.</w:t>
            </w:r>
          </w:p>
        </w:tc>
        <w:tc>
          <w:tcPr>
            <w:tcW w:w="823" w:type="pct"/>
            <w:tcMar>
              <w:left w:w="28" w:type="dxa"/>
              <w:right w:w="28" w:type="dxa"/>
            </w:tcMar>
          </w:tcPr>
          <w:p w14:paraId="2A5E9329" w14:textId="5633687C" w:rsidR="00761ECA" w:rsidRPr="00C64474" w:rsidRDefault="00175E73" w:rsidP="00D3172F">
            <w:pPr>
              <w:pStyle w:val="Tablewriting"/>
              <w:rPr>
                <w:rFonts w:eastAsia="MS Mincho"/>
              </w:rPr>
            </w:pPr>
            <w:r w:rsidRPr="00175E73">
              <w:rPr>
                <w:rFonts w:eastAsia="MS Mincho"/>
              </w:rPr>
              <w:t>Same as patch (monotherapy)</w:t>
            </w:r>
            <w:r w:rsidR="00ED0CBA">
              <w:rPr>
                <w:rFonts w:eastAsia="MS Mincho"/>
              </w:rPr>
              <w:t>.</w:t>
            </w:r>
          </w:p>
        </w:tc>
      </w:tr>
      <w:tr w:rsidR="002C55A8" w:rsidRPr="00061F78" w14:paraId="18EF8520" w14:textId="77777777" w:rsidTr="00285D42">
        <w:trPr>
          <w:trHeight w:val="149"/>
        </w:trPr>
        <w:tc>
          <w:tcPr>
            <w:tcW w:w="5000" w:type="pct"/>
            <w:gridSpan w:val="6"/>
            <w:shd w:val="clear" w:color="auto" w:fill="auto"/>
            <w:tcMar>
              <w:left w:w="28" w:type="dxa"/>
              <w:right w:w="28" w:type="dxa"/>
            </w:tcMar>
          </w:tcPr>
          <w:p w14:paraId="5E525E10" w14:textId="0334EC76" w:rsidR="002C55A8" w:rsidRPr="00175E73" w:rsidRDefault="002C55A8" w:rsidP="00D3172F">
            <w:pPr>
              <w:pStyle w:val="Tablewriting"/>
              <w:rPr>
                <w:rFonts w:eastAsia="MS Mincho"/>
              </w:rPr>
            </w:pPr>
            <w:r w:rsidRPr="002F0CA7">
              <w:rPr>
                <w:rFonts w:eastAsia="MS Mincho"/>
                <w:b/>
                <w:bCs/>
              </w:rPr>
              <w:t>Combination NRT</w:t>
            </w:r>
            <w:r>
              <w:rPr>
                <w:rFonts w:eastAsia="MS Mincho"/>
                <w:b/>
                <w:bCs/>
              </w:rPr>
              <w:t xml:space="preserve"> therapy</w:t>
            </w:r>
          </w:p>
        </w:tc>
      </w:tr>
      <w:tr w:rsidR="00761ECA" w:rsidRPr="00061F78" w14:paraId="101EFF2B" w14:textId="77777777" w:rsidTr="00285D42">
        <w:trPr>
          <w:trHeight w:val="149"/>
        </w:trPr>
        <w:tc>
          <w:tcPr>
            <w:tcW w:w="279" w:type="pct"/>
            <w:tcMar>
              <w:left w:w="28" w:type="dxa"/>
              <w:right w:w="28" w:type="dxa"/>
            </w:tcMar>
          </w:tcPr>
          <w:p w14:paraId="5740FF13" w14:textId="14E4CBB8" w:rsidR="00761ECA" w:rsidRDefault="00761ECA" w:rsidP="00D3172F">
            <w:pPr>
              <w:pStyle w:val="Tablewriting"/>
            </w:pPr>
            <w:r>
              <w:t>Lindson</w:t>
            </w:r>
            <w:r w:rsidRPr="00713891">
              <w:t xml:space="preserve"> (201</w:t>
            </w:r>
            <w:r>
              <w:t>9</w:t>
            </w:r>
            <w:r w:rsidRPr="00713891">
              <w:t>)</w:t>
            </w:r>
          </w:p>
        </w:tc>
        <w:tc>
          <w:tcPr>
            <w:tcW w:w="347" w:type="pct"/>
          </w:tcPr>
          <w:p w14:paraId="738663FA" w14:textId="5AA45BCE" w:rsidR="00761ECA" w:rsidRPr="002F0CA7" w:rsidRDefault="00761ECA" w:rsidP="00D3172F">
            <w:pPr>
              <w:pStyle w:val="Tablewriting"/>
              <w:rPr>
                <w:rFonts w:eastAsia="MS Mincho"/>
              </w:rPr>
            </w:pPr>
            <w:r w:rsidRPr="002F0CA7">
              <w:rPr>
                <w:rFonts w:eastAsia="MS Mincho"/>
              </w:rPr>
              <w:t xml:space="preserve">Cochrane </w:t>
            </w:r>
            <w:r w:rsidR="007A10C4">
              <w:rPr>
                <w:rFonts w:eastAsia="MS Mincho"/>
              </w:rPr>
              <w:t>R</w:t>
            </w:r>
            <w:r w:rsidRPr="002F0CA7">
              <w:rPr>
                <w:rFonts w:eastAsia="MS Mincho"/>
              </w:rPr>
              <w:t xml:space="preserve">eview </w:t>
            </w:r>
          </w:p>
          <w:p w14:paraId="05B65321" w14:textId="77777777" w:rsidR="00761ECA" w:rsidRPr="00186C2B" w:rsidRDefault="00761ECA" w:rsidP="00D3172F">
            <w:pPr>
              <w:pStyle w:val="Tablewriting"/>
              <w:rPr>
                <w:rFonts w:eastAsia="MS Mincho"/>
                <w:highlight w:val="yellow"/>
              </w:rPr>
            </w:pPr>
            <w:r w:rsidRPr="002F0CA7">
              <w:rPr>
                <w:rFonts w:eastAsia="MS Mincho"/>
              </w:rPr>
              <w:t>(2 RCTs</w:t>
            </w:r>
            <w:r w:rsidRPr="002F0CA7">
              <w:rPr>
                <w:rFonts w:eastAsia="MS Mincho"/>
                <w:vertAlign w:val="superscript"/>
              </w:rPr>
              <w:t>2</w:t>
            </w:r>
            <w:r w:rsidRPr="002F0CA7">
              <w:rPr>
                <w:rFonts w:eastAsia="MS Mincho"/>
              </w:rPr>
              <w:t>)</w:t>
            </w:r>
          </w:p>
        </w:tc>
        <w:tc>
          <w:tcPr>
            <w:tcW w:w="915" w:type="pct"/>
            <w:tcMar>
              <w:left w:w="28" w:type="dxa"/>
              <w:right w:w="28" w:type="dxa"/>
            </w:tcMar>
          </w:tcPr>
          <w:p w14:paraId="3E9FBC48" w14:textId="77777777" w:rsidR="00761ECA" w:rsidRDefault="00761ECA" w:rsidP="00D3172F">
            <w:pPr>
              <w:pStyle w:val="Tablewriting"/>
              <w:rPr>
                <w:rFonts w:eastAsia="MS Mincho"/>
                <w:u w:val="single"/>
              </w:rPr>
            </w:pPr>
            <w:r w:rsidRPr="002F0CA7">
              <w:rPr>
                <w:rFonts w:eastAsia="MS Mincho"/>
                <w:u w:val="single"/>
              </w:rPr>
              <w:t>16 weeks versus 8 weeks</w:t>
            </w:r>
          </w:p>
          <w:p w14:paraId="1106DED7" w14:textId="77777777" w:rsidR="00761ECA" w:rsidRPr="002F0CA7" w:rsidRDefault="00761ECA" w:rsidP="00D3172F">
            <w:pPr>
              <w:pStyle w:val="Tablewriting"/>
              <w:rPr>
                <w:rFonts w:eastAsia="MS Mincho"/>
              </w:rPr>
            </w:pPr>
            <w:r w:rsidRPr="002F0CA7">
              <w:rPr>
                <w:rFonts w:eastAsia="MS Mincho"/>
              </w:rPr>
              <w:t xml:space="preserve">N= </w:t>
            </w:r>
            <w:r>
              <w:rPr>
                <w:rFonts w:eastAsia="MS Mincho"/>
              </w:rPr>
              <w:t xml:space="preserve">637 </w:t>
            </w:r>
            <w:r w:rsidRPr="002F0CA7">
              <w:rPr>
                <w:rFonts w:eastAsia="MS Mincho"/>
              </w:rPr>
              <w:t>(</w:t>
            </w:r>
            <w:r>
              <w:rPr>
                <w:rFonts w:eastAsia="MS Mincho"/>
              </w:rPr>
              <w:t xml:space="preserve">1 </w:t>
            </w:r>
            <w:r w:rsidRPr="002F0CA7">
              <w:rPr>
                <w:rFonts w:eastAsia="MS Mincho"/>
              </w:rPr>
              <w:t>RCT)</w:t>
            </w:r>
          </w:p>
          <w:p w14:paraId="4F9F98EC" w14:textId="77777777" w:rsidR="00761ECA" w:rsidRPr="002F0CA7" w:rsidRDefault="00761ECA" w:rsidP="00D3172F">
            <w:pPr>
              <w:pStyle w:val="Tablewriting"/>
              <w:rPr>
                <w:rFonts w:eastAsia="MS Mincho"/>
              </w:rPr>
            </w:pPr>
            <w:r>
              <w:rPr>
                <w:rFonts w:eastAsia="MS Mincho"/>
              </w:rPr>
              <w:t xml:space="preserve">Longer duration </w:t>
            </w:r>
            <w:r w:rsidRPr="002F0CA7">
              <w:rPr>
                <w:rFonts w:eastAsia="MS Mincho"/>
              </w:rPr>
              <w:t>(n=</w:t>
            </w:r>
            <w:r>
              <w:rPr>
                <w:rFonts w:eastAsia="MS Mincho"/>
              </w:rPr>
              <w:t>304</w:t>
            </w:r>
            <w:r w:rsidRPr="002F0CA7">
              <w:rPr>
                <w:rFonts w:eastAsia="MS Mincho"/>
              </w:rPr>
              <w:t>),</w:t>
            </w:r>
          </w:p>
          <w:p w14:paraId="66B86525" w14:textId="50CEB09E" w:rsidR="00761ECA" w:rsidRPr="00182742" w:rsidRDefault="00761ECA" w:rsidP="00D3172F">
            <w:pPr>
              <w:pStyle w:val="Tablewriting"/>
              <w:rPr>
                <w:rFonts w:eastAsia="MS Mincho"/>
              </w:rPr>
            </w:pPr>
            <w:r>
              <w:rPr>
                <w:rFonts w:eastAsia="MS Mincho"/>
              </w:rPr>
              <w:t xml:space="preserve">Shorter duration </w:t>
            </w:r>
            <w:r w:rsidRPr="002F0CA7">
              <w:rPr>
                <w:rFonts w:eastAsia="MS Mincho"/>
              </w:rPr>
              <w:t>(n=</w:t>
            </w:r>
            <w:r>
              <w:rPr>
                <w:rFonts w:eastAsia="MS Mincho"/>
              </w:rPr>
              <w:t>333</w:t>
            </w:r>
            <w:r w:rsidRPr="002F0CA7">
              <w:rPr>
                <w:rFonts w:eastAsia="MS Mincho"/>
              </w:rPr>
              <w:t>)</w:t>
            </w:r>
          </w:p>
          <w:p w14:paraId="4B0D2F62" w14:textId="77777777" w:rsidR="00761ECA" w:rsidRDefault="00761ECA" w:rsidP="00D3172F">
            <w:pPr>
              <w:pStyle w:val="Tablewriting"/>
              <w:rPr>
                <w:rFonts w:eastAsia="MS Mincho"/>
                <w:highlight w:val="yellow"/>
                <w:u w:val="single"/>
              </w:rPr>
            </w:pPr>
            <w:r w:rsidRPr="002F0CA7">
              <w:rPr>
                <w:rFonts w:eastAsia="MS Mincho"/>
                <w:u w:val="single"/>
              </w:rPr>
              <w:t>6 weeks versus 2 weeks</w:t>
            </w:r>
          </w:p>
          <w:p w14:paraId="53DF8E81" w14:textId="77777777" w:rsidR="00761ECA" w:rsidRPr="002F0CA7" w:rsidRDefault="00761ECA" w:rsidP="00D3172F">
            <w:pPr>
              <w:pStyle w:val="Tablewriting"/>
              <w:rPr>
                <w:rFonts w:eastAsia="MS Mincho"/>
              </w:rPr>
            </w:pPr>
            <w:r w:rsidRPr="002F0CA7">
              <w:rPr>
                <w:rFonts w:eastAsia="MS Mincho"/>
              </w:rPr>
              <w:lastRenderedPageBreak/>
              <w:t xml:space="preserve">N= </w:t>
            </w:r>
            <w:r>
              <w:rPr>
                <w:rFonts w:eastAsia="MS Mincho"/>
              </w:rPr>
              <w:t xml:space="preserve">987 </w:t>
            </w:r>
            <w:r w:rsidRPr="002F0CA7">
              <w:rPr>
                <w:rFonts w:eastAsia="MS Mincho"/>
              </w:rPr>
              <w:t>(</w:t>
            </w:r>
            <w:r>
              <w:rPr>
                <w:rFonts w:eastAsia="MS Mincho"/>
              </w:rPr>
              <w:t xml:space="preserve">1 </w:t>
            </w:r>
            <w:r w:rsidRPr="002F0CA7">
              <w:rPr>
                <w:rFonts w:eastAsia="MS Mincho"/>
              </w:rPr>
              <w:t>RCT)</w:t>
            </w:r>
          </w:p>
          <w:p w14:paraId="426AC4C7" w14:textId="77777777" w:rsidR="00761ECA" w:rsidRPr="002F0CA7" w:rsidRDefault="00761ECA" w:rsidP="00D3172F">
            <w:pPr>
              <w:pStyle w:val="Tablewriting"/>
              <w:rPr>
                <w:rFonts w:eastAsia="MS Mincho"/>
              </w:rPr>
            </w:pPr>
            <w:r>
              <w:rPr>
                <w:rFonts w:eastAsia="MS Mincho"/>
              </w:rPr>
              <w:t xml:space="preserve">Longer duration </w:t>
            </w:r>
            <w:r w:rsidRPr="002F0CA7">
              <w:rPr>
                <w:rFonts w:eastAsia="MS Mincho"/>
              </w:rPr>
              <w:t>(n=</w:t>
            </w:r>
            <w:r>
              <w:rPr>
                <w:rFonts w:eastAsia="MS Mincho"/>
              </w:rPr>
              <w:t>497</w:t>
            </w:r>
            <w:r w:rsidRPr="002F0CA7">
              <w:rPr>
                <w:rFonts w:eastAsia="MS Mincho"/>
              </w:rPr>
              <w:t>),</w:t>
            </w:r>
          </w:p>
          <w:p w14:paraId="150BDEF0" w14:textId="77777777" w:rsidR="00761ECA" w:rsidRPr="00F4262F" w:rsidRDefault="00761ECA" w:rsidP="00D3172F">
            <w:pPr>
              <w:pStyle w:val="Tablewriting"/>
              <w:rPr>
                <w:rFonts w:eastAsia="MS Mincho"/>
              </w:rPr>
            </w:pPr>
            <w:r>
              <w:rPr>
                <w:rFonts w:eastAsia="MS Mincho"/>
              </w:rPr>
              <w:t xml:space="preserve">Shorter duration </w:t>
            </w:r>
            <w:r w:rsidRPr="002F0CA7">
              <w:rPr>
                <w:rFonts w:eastAsia="MS Mincho"/>
              </w:rPr>
              <w:t>(n=</w:t>
            </w:r>
            <w:r>
              <w:rPr>
                <w:rFonts w:eastAsia="MS Mincho"/>
              </w:rPr>
              <w:t>490</w:t>
            </w:r>
            <w:r w:rsidRPr="002F0CA7">
              <w:rPr>
                <w:rFonts w:eastAsia="MS Mincho"/>
              </w:rPr>
              <w:t>)</w:t>
            </w:r>
          </w:p>
        </w:tc>
        <w:tc>
          <w:tcPr>
            <w:tcW w:w="1940" w:type="pct"/>
            <w:tcMar>
              <w:left w:w="28" w:type="dxa"/>
              <w:right w:w="28" w:type="dxa"/>
            </w:tcMar>
          </w:tcPr>
          <w:p w14:paraId="25C42906" w14:textId="0D3C3504" w:rsidR="00761ECA" w:rsidRPr="00186C2B" w:rsidRDefault="00175E73" w:rsidP="00D3172F">
            <w:pPr>
              <w:pStyle w:val="Tablewriting"/>
              <w:rPr>
                <w:rFonts w:eastAsia="MS Mincho"/>
                <w:highlight w:val="yellow"/>
                <w:u w:val="single"/>
              </w:rPr>
            </w:pPr>
            <w:r w:rsidRPr="00175E73">
              <w:rPr>
                <w:rFonts w:eastAsia="MS Mincho"/>
              </w:rPr>
              <w:lastRenderedPageBreak/>
              <w:t>Same as patch (monotherapy)</w:t>
            </w:r>
            <w:r w:rsidR="00ED0CBA">
              <w:rPr>
                <w:rFonts w:eastAsia="MS Mincho"/>
              </w:rPr>
              <w:t>.</w:t>
            </w:r>
          </w:p>
        </w:tc>
        <w:tc>
          <w:tcPr>
            <w:tcW w:w="696" w:type="pct"/>
          </w:tcPr>
          <w:p w14:paraId="7166828D" w14:textId="7814781B" w:rsidR="00761ECA" w:rsidRPr="00186C2B" w:rsidRDefault="00761ECA" w:rsidP="00D3172F">
            <w:pPr>
              <w:pStyle w:val="Tablewriting"/>
              <w:rPr>
                <w:rFonts w:eastAsia="MS Mincho"/>
                <w:highlight w:val="yellow"/>
              </w:rPr>
            </w:pPr>
            <w:r w:rsidRPr="006B5D28">
              <w:rPr>
                <w:rFonts w:eastAsia="MS Mincho"/>
              </w:rPr>
              <w:t>Longer duration</w:t>
            </w:r>
            <w:r>
              <w:rPr>
                <w:rFonts w:eastAsia="MS Mincho"/>
              </w:rPr>
              <w:t xml:space="preserve"> use of combination NRT</w:t>
            </w:r>
            <w:r w:rsidRPr="006B5D28">
              <w:rPr>
                <w:rFonts w:eastAsia="MS Mincho"/>
              </w:rPr>
              <w:t xml:space="preserve"> versus shorter duration</w:t>
            </w:r>
            <w:r w:rsidR="00ED0CBA">
              <w:rPr>
                <w:rFonts w:eastAsia="MS Mincho"/>
              </w:rPr>
              <w:t>.</w:t>
            </w:r>
          </w:p>
        </w:tc>
        <w:tc>
          <w:tcPr>
            <w:tcW w:w="823" w:type="pct"/>
            <w:tcMar>
              <w:left w:w="28" w:type="dxa"/>
              <w:right w:w="28" w:type="dxa"/>
            </w:tcMar>
          </w:tcPr>
          <w:p w14:paraId="3875893F" w14:textId="59CA975E" w:rsidR="00761ECA" w:rsidRPr="0050095A" w:rsidRDefault="00175E73" w:rsidP="00D3172F">
            <w:pPr>
              <w:pStyle w:val="Tablewriting"/>
              <w:rPr>
                <w:rFonts w:eastAsia="MS Mincho"/>
                <w:u w:val="single"/>
              </w:rPr>
            </w:pPr>
            <w:r w:rsidRPr="00175E73">
              <w:rPr>
                <w:rFonts w:eastAsia="MS Mincho"/>
              </w:rPr>
              <w:t>Same as patch (monotherapy)</w:t>
            </w:r>
            <w:r w:rsidR="00ED0CBA">
              <w:rPr>
                <w:rFonts w:eastAsia="MS Mincho"/>
              </w:rPr>
              <w:t>.</w:t>
            </w:r>
          </w:p>
        </w:tc>
      </w:tr>
      <w:tr w:rsidR="00761ECA" w:rsidRPr="00061F78" w14:paraId="2D4938A2" w14:textId="77777777" w:rsidTr="00285D42">
        <w:trPr>
          <w:trHeight w:val="149"/>
        </w:trPr>
        <w:tc>
          <w:tcPr>
            <w:tcW w:w="279" w:type="pct"/>
            <w:tcMar>
              <w:left w:w="28" w:type="dxa"/>
              <w:right w:w="28" w:type="dxa"/>
            </w:tcMar>
          </w:tcPr>
          <w:p w14:paraId="102FE0D4" w14:textId="3C131B46" w:rsidR="00761ECA" w:rsidRPr="005E592F" w:rsidRDefault="00761ECA" w:rsidP="00D3172F">
            <w:pPr>
              <w:pStyle w:val="Tablewriting"/>
            </w:pPr>
            <w:r w:rsidRPr="005E592F">
              <w:t>Ellerbeck (2018)</w:t>
            </w:r>
          </w:p>
        </w:tc>
        <w:tc>
          <w:tcPr>
            <w:tcW w:w="347" w:type="pct"/>
          </w:tcPr>
          <w:p w14:paraId="17D0CE14" w14:textId="2FBA89F4" w:rsidR="00761ECA" w:rsidRPr="0077496B" w:rsidRDefault="00761ECA" w:rsidP="00D3172F">
            <w:pPr>
              <w:pStyle w:val="Tablewriting"/>
              <w:rPr>
                <w:rFonts w:eastAsia="MS Mincho"/>
                <w:vertAlign w:val="superscript"/>
              </w:rPr>
            </w:pPr>
            <w:r w:rsidRPr="005E592F">
              <w:rPr>
                <w:rFonts w:eastAsia="MS Mincho"/>
              </w:rPr>
              <w:t>RCT</w:t>
            </w:r>
            <w:r w:rsidR="00127FBD">
              <w:rPr>
                <w:rFonts w:eastAsia="MS Mincho"/>
                <w:vertAlign w:val="superscript"/>
              </w:rPr>
              <w:t>3</w:t>
            </w:r>
          </w:p>
        </w:tc>
        <w:tc>
          <w:tcPr>
            <w:tcW w:w="915" w:type="pct"/>
            <w:tcMar>
              <w:left w:w="28" w:type="dxa"/>
              <w:right w:w="28" w:type="dxa"/>
            </w:tcMar>
          </w:tcPr>
          <w:p w14:paraId="407E9D6C" w14:textId="77777777" w:rsidR="00761ECA" w:rsidRPr="005E592F" w:rsidRDefault="00761ECA" w:rsidP="00D3172F">
            <w:pPr>
              <w:pStyle w:val="Tablewriting"/>
              <w:rPr>
                <w:rFonts w:eastAsia="MS Mincho"/>
                <w:u w:val="single"/>
              </w:rPr>
            </w:pPr>
            <w:r w:rsidRPr="005E592F">
              <w:rPr>
                <w:rFonts w:eastAsia="MS Mincho"/>
                <w:u w:val="single"/>
              </w:rPr>
              <w:t xml:space="preserve">Standard smoking cessation treatment versus long-term NRT </w:t>
            </w:r>
          </w:p>
          <w:p w14:paraId="546A0F00" w14:textId="77777777" w:rsidR="00761ECA" w:rsidRPr="005E592F" w:rsidRDefault="00761ECA" w:rsidP="00D3172F">
            <w:pPr>
              <w:pStyle w:val="Tablewriting"/>
              <w:rPr>
                <w:rFonts w:eastAsia="MS Mincho"/>
              </w:rPr>
            </w:pPr>
            <w:r w:rsidRPr="005E592F">
              <w:rPr>
                <w:rFonts w:eastAsia="MS Mincho"/>
              </w:rPr>
              <w:t>N= 394</w:t>
            </w:r>
          </w:p>
          <w:p w14:paraId="03CE59E1" w14:textId="77777777" w:rsidR="00761ECA" w:rsidRPr="005E592F" w:rsidRDefault="00761ECA" w:rsidP="00D3172F">
            <w:pPr>
              <w:pStyle w:val="Tablewriting"/>
              <w:rPr>
                <w:rFonts w:eastAsia="MS Mincho"/>
              </w:rPr>
            </w:pPr>
            <w:r w:rsidRPr="005E592F">
              <w:rPr>
                <w:rFonts w:eastAsia="MS Mincho"/>
              </w:rPr>
              <w:t>Standard treatment (n=197), long-term treatment (n=197)</w:t>
            </w:r>
          </w:p>
        </w:tc>
        <w:tc>
          <w:tcPr>
            <w:tcW w:w="1940" w:type="pct"/>
            <w:tcMar>
              <w:left w:w="28" w:type="dxa"/>
              <w:right w:w="28" w:type="dxa"/>
            </w:tcMar>
          </w:tcPr>
          <w:p w14:paraId="1E5ACF47" w14:textId="77777777" w:rsidR="00761ECA" w:rsidRPr="005E592F" w:rsidRDefault="00761ECA" w:rsidP="00D3172F">
            <w:pPr>
              <w:pStyle w:val="Tablewriting"/>
              <w:rPr>
                <w:rFonts w:eastAsia="MS Mincho"/>
                <w:u w:val="single"/>
              </w:rPr>
            </w:pPr>
            <w:r w:rsidRPr="005E592F">
              <w:rPr>
                <w:rFonts w:eastAsia="MS Mincho"/>
                <w:u w:val="single"/>
              </w:rPr>
              <w:t>Inclusion:</w:t>
            </w:r>
          </w:p>
          <w:p w14:paraId="1CCE95A9" w14:textId="37F25B71" w:rsidR="00761ECA" w:rsidRPr="005E592F" w:rsidRDefault="00F53921" w:rsidP="00D3172F">
            <w:pPr>
              <w:pStyle w:val="Tablewriting"/>
              <w:rPr>
                <w:rFonts w:eastAsia="MS Mincho"/>
              </w:rPr>
            </w:pPr>
            <w:r>
              <w:rPr>
                <w:rFonts w:eastAsia="MS Mincho" w:cstheme="minorHAnsi"/>
              </w:rPr>
              <w:t>≥</w:t>
            </w:r>
            <w:r w:rsidR="00761ECA" w:rsidRPr="005E592F">
              <w:rPr>
                <w:rFonts w:eastAsia="MS Mincho"/>
              </w:rPr>
              <w:t xml:space="preserve">18 years old, </w:t>
            </w:r>
            <w:r>
              <w:rPr>
                <w:rFonts w:eastAsia="MS Mincho" w:cstheme="minorHAnsi"/>
              </w:rPr>
              <w:t>≥</w:t>
            </w:r>
            <w:r w:rsidR="00761ECA" w:rsidRPr="005E592F">
              <w:rPr>
                <w:rFonts w:eastAsia="MS Mincho"/>
              </w:rPr>
              <w:t xml:space="preserve">5 cigarettes per day on at least 25 of the last 30 days, reported physician-diagnosed COPD. </w:t>
            </w:r>
          </w:p>
          <w:p w14:paraId="3C503715" w14:textId="77777777" w:rsidR="00761ECA" w:rsidRPr="005E592F" w:rsidRDefault="00761ECA" w:rsidP="00D3172F">
            <w:pPr>
              <w:pStyle w:val="Tablewriting"/>
              <w:rPr>
                <w:rFonts w:eastAsia="MS Mincho"/>
                <w:u w:val="single"/>
              </w:rPr>
            </w:pPr>
          </w:p>
          <w:p w14:paraId="6C5DED6E" w14:textId="77777777" w:rsidR="00761ECA" w:rsidRPr="005E592F" w:rsidRDefault="00761ECA" w:rsidP="00D3172F">
            <w:pPr>
              <w:pStyle w:val="Tablewriting"/>
              <w:rPr>
                <w:rFonts w:eastAsia="MS Mincho"/>
              </w:rPr>
            </w:pPr>
            <w:r w:rsidRPr="005E592F">
              <w:rPr>
                <w:rFonts w:eastAsia="MS Mincho"/>
                <w:u w:val="single"/>
              </w:rPr>
              <w:t>Exclusion:</w:t>
            </w:r>
            <w:r w:rsidRPr="005E592F">
              <w:rPr>
                <w:rFonts w:eastAsia="MS Mincho"/>
              </w:rPr>
              <w:t xml:space="preserve"> </w:t>
            </w:r>
          </w:p>
          <w:p w14:paraId="6A6A75C4" w14:textId="77777777" w:rsidR="00761ECA" w:rsidRPr="005E592F" w:rsidRDefault="00761ECA" w:rsidP="00D3172F">
            <w:pPr>
              <w:pStyle w:val="Tablewriting"/>
              <w:rPr>
                <w:rFonts w:eastAsia="MS Mincho"/>
              </w:rPr>
            </w:pPr>
            <w:r w:rsidRPr="005E592F">
              <w:rPr>
                <w:rFonts w:eastAsia="MS Mincho"/>
              </w:rPr>
              <w:t>terminal medical condition, would be pregnant or breastfeeding in the next year, resided in a long-term care facility that restricted smoking, exhibited severe cognitive impairment, had another household member enrolled in the study, had no home address, or had been hospitalized with a heart attack, experienced an irregular heartbeat, or reported increasing angina in the past 30 days.</w:t>
            </w:r>
          </w:p>
        </w:tc>
        <w:tc>
          <w:tcPr>
            <w:tcW w:w="696" w:type="pct"/>
          </w:tcPr>
          <w:p w14:paraId="1134D41F" w14:textId="6DBA5B2C" w:rsidR="00761ECA" w:rsidRPr="005E592F" w:rsidRDefault="00761ECA" w:rsidP="00D3172F">
            <w:pPr>
              <w:pStyle w:val="Tablewriting"/>
              <w:rPr>
                <w:rFonts w:eastAsia="MS Mincho"/>
                <w:vertAlign w:val="superscript"/>
              </w:rPr>
            </w:pPr>
            <w:r w:rsidRPr="005E592F">
              <w:rPr>
                <w:rFonts w:eastAsia="MS Mincho"/>
              </w:rPr>
              <w:t>Standard smoking cessation treatment (combination NRT for 10 weeks) versus long-term (combination NRT for 12 months).</w:t>
            </w:r>
            <w:r w:rsidR="00127FBD">
              <w:rPr>
                <w:rFonts w:eastAsia="MS Mincho"/>
                <w:vertAlign w:val="superscript"/>
              </w:rPr>
              <w:t>4</w:t>
            </w:r>
          </w:p>
          <w:p w14:paraId="32BA5CAA" w14:textId="77777777" w:rsidR="00761ECA" w:rsidRPr="005E592F" w:rsidRDefault="00761ECA" w:rsidP="00D3172F">
            <w:pPr>
              <w:pStyle w:val="Tablewriting"/>
              <w:rPr>
                <w:rFonts w:eastAsia="MS Mincho"/>
                <w:vertAlign w:val="superscript"/>
              </w:rPr>
            </w:pPr>
          </w:p>
          <w:p w14:paraId="3281B076" w14:textId="77777777" w:rsidR="00761ECA" w:rsidRPr="005E592F" w:rsidRDefault="00761ECA" w:rsidP="00D3172F">
            <w:pPr>
              <w:pStyle w:val="Tablewriting"/>
              <w:rPr>
                <w:rFonts w:eastAsia="MS Mincho"/>
              </w:rPr>
            </w:pPr>
            <w:r w:rsidRPr="005E592F">
              <w:rPr>
                <w:rFonts w:eastAsia="MS Mincho"/>
              </w:rPr>
              <w:t>Both arms received follow-up counselling sessions.</w:t>
            </w:r>
          </w:p>
        </w:tc>
        <w:tc>
          <w:tcPr>
            <w:tcW w:w="823" w:type="pct"/>
            <w:tcMar>
              <w:left w:w="28" w:type="dxa"/>
              <w:right w:w="28" w:type="dxa"/>
            </w:tcMar>
          </w:tcPr>
          <w:p w14:paraId="345B7C61" w14:textId="3910239A" w:rsidR="00761ECA" w:rsidRPr="005E592F" w:rsidRDefault="00761ECA" w:rsidP="00D3172F">
            <w:pPr>
              <w:pStyle w:val="Tablewriting"/>
              <w:rPr>
                <w:rFonts w:eastAsia="MS Mincho"/>
              </w:rPr>
            </w:pPr>
            <w:r w:rsidRPr="005E592F">
              <w:rPr>
                <w:rFonts w:eastAsia="MS Mincho"/>
                <w:u w:val="single"/>
              </w:rPr>
              <w:t xml:space="preserve">Primary: </w:t>
            </w:r>
            <w:r w:rsidRPr="005E592F">
              <w:rPr>
                <w:rFonts w:eastAsia="MS Mincho"/>
              </w:rPr>
              <w:t>7-day abstinence verified by CO levels</w:t>
            </w:r>
            <w:r w:rsidR="00861C08">
              <w:rPr>
                <w:rFonts w:eastAsia="MS Mincho"/>
              </w:rPr>
              <w:t xml:space="preserve"> </w:t>
            </w:r>
            <w:r w:rsidR="00861C08" w:rsidRPr="00861C08">
              <w:rPr>
                <w:rFonts w:eastAsia="MS Mincho"/>
              </w:rPr>
              <w:t>of no greater than 10 ppm</w:t>
            </w:r>
            <w:r w:rsidRPr="005E592F">
              <w:rPr>
                <w:rFonts w:eastAsia="MS Mincho"/>
              </w:rPr>
              <w:t xml:space="preserve"> at 12 months. </w:t>
            </w:r>
          </w:p>
          <w:p w14:paraId="34BF6317" w14:textId="422954F3" w:rsidR="00761ECA" w:rsidRPr="005E592F" w:rsidRDefault="00761ECA" w:rsidP="00D3172F">
            <w:pPr>
              <w:pStyle w:val="Tablewriting"/>
              <w:rPr>
                <w:rFonts w:eastAsia="MS Mincho"/>
                <w:u w:val="single"/>
              </w:rPr>
            </w:pPr>
            <w:r w:rsidRPr="005E592F">
              <w:rPr>
                <w:rFonts w:eastAsia="MS Mincho"/>
                <w:u w:val="single"/>
              </w:rPr>
              <w:t xml:space="preserve">Secondary: </w:t>
            </w:r>
            <w:r w:rsidRPr="005E592F">
              <w:rPr>
                <w:rFonts w:eastAsia="MS Mincho"/>
              </w:rPr>
              <w:t>cigarettes smoked per day, exposure to CO, urinary excretion of 4-methylnitrosamino-1-3-pyridyl-1</w:t>
            </w:r>
            <w:r w:rsidR="00F53921">
              <w:rPr>
                <w:rFonts w:eastAsia="MS Mincho"/>
              </w:rPr>
              <w:t>-</w:t>
            </w:r>
            <w:r w:rsidRPr="005E592F">
              <w:rPr>
                <w:rFonts w:eastAsia="MS Mincho"/>
              </w:rPr>
              <w:t>butanol, and adverse events.</w:t>
            </w:r>
          </w:p>
        </w:tc>
      </w:tr>
      <w:tr w:rsidR="002C55A8" w:rsidRPr="00061F78" w14:paraId="2E3A64FF" w14:textId="77777777" w:rsidTr="00285D42">
        <w:trPr>
          <w:trHeight w:val="149"/>
        </w:trPr>
        <w:tc>
          <w:tcPr>
            <w:tcW w:w="5000" w:type="pct"/>
            <w:gridSpan w:val="6"/>
            <w:shd w:val="clear" w:color="auto" w:fill="auto"/>
            <w:tcMar>
              <w:left w:w="28" w:type="dxa"/>
              <w:right w:w="28" w:type="dxa"/>
            </w:tcMar>
          </w:tcPr>
          <w:p w14:paraId="7225C66E" w14:textId="62529DE6" w:rsidR="002C55A8" w:rsidRPr="00175E73" w:rsidRDefault="002C55A8" w:rsidP="002C55A8">
            <w:pPr>
              <w:pStyle w:val="Tablewriting"/>
              <w:rPr>
                <w:rFonts w:eastAsia="MS Mincho"/>
              </w:rPr>
            </w:pPr>
            <w:r w:rsidRPr="00997D99">
              <w:rPr>
                <w:rFonts w:eastAsia="MS Mincho"/>
                <w:b/>
                <w:bCs/>
              </w:rPr>
              <w:t xml:space="preserve">Other variations in NRT use </w:t>
            </w:r>
          </w:p>
        </w:tc>
      </w:tr>
      <w:tr w:rsidR="002C55A8" w:rsidRPr="00061F78" w14:paraId="545AEF72" w14:textId="77777777" w:rsidTr="00285D42">
        <w:trPr>
          <w:trHeight w:val="149"/>
        </w:trPr>
        <w:tc>
          <w:tcPr>
            <w:tcW w:w="279" w:type="pct"/>
            <w:tcMar>
              <w:left w:w="28" w:type="dxa"/>
              <w:right w:w="28" w:type="dxa"/>
            </w:tcMar>
          </w:tcPr>
          <w:p w14:paraId="5E486EFC" w14:textId="55D7F7F3" w:rsidR="002C55A8" w:rsidRDefault="002C55A8" w:rsidP="002C55A8">
            <w:pPr>
              <w:pStyle w:val="Tablewriting"/>
            </w:pPr>
            <w:r>
              <w:t>Lindson</w:t>
            </w:r>
            <w:r w:rsidRPr="00713891">
              <w:t xml:space="preserve"> (201</w:t>
            </w:r>
            <w:r>
              <w:t>9</w:t>
            </w:r>
            <w:r w:rsidRPr="00713891">
              <w:t>)</w:t>
            </w:r>
          </w:p>
        </w:tc>
        <w:tc>
          <w:tcPr>
            <w:tcW w:w="347" w:type="pct"/>
          </w:tcPr>
          <w:p w14:paraId="1BD6A97E" w14:textId="5E090FBA" w:rsidR="002C55A8" w:rsidRPr="002F0CA7" w:rsidRDefault="002C55A8" w:rsidP="002C55A8">
            <w:pPr>
              <w:pStyle w:val="Tablewriting"/>
              <w:rPr>
                <w:rFonts w:eastAsia="MS Mincho"/>
              </w:rPr>
            </w:pPr>
            <w:r w:rsidRPr="002F0CA7">
              <w:rPr>
                <w:rFonts w:eastAsia="MS Mincho"/>
              </w:rPr>
              <w:t xml:space="preserve">Cochrane </w:t>
            </w:r>
            <w:r>
              <w:rPr>
                <w:rFonts w:eastAsia="MS Mincho"/>
              </w:rPr>
              <w:t>R</w:t>
            </w:r>
            <w:r w:rsidRPr="002F0CA7">
              <w:rPr>
                <w:rFonts w:eastAsia="MS Mincho"/>
              </w:rPr>
              <w:t xml:space="preserve">eview </w:t>
            </w:r>
          </w:p>
          <w:p w14:paraId="1531087D" w14:textId="77777777" w:rsidR="002C55A8" w:rsidRPr="002F0CA7" w:rsidRDefault="002C55A8" w:rsidP="002C55A8">
            <w:pPr>
              <w:pStyle w:val="Tablewriting"/>
              <w:rPr>
                <w:rFonts w:eastAsia="MS Mincho"/>
              </w:rPr>
            </w:pPr>
            <w:r w:rsidRPr="002F0CA7">
              <w:rPr>
                <w:rFonts w:eastAsia="MS Mincho"/>
              </w:rPr>
              <w:t>(</w:t>
            </w:r>
            <w:r>
              <w:rPr>
                <w:rFonts w:eastAsia="MS Mincho"/>
              </w:rPr>
              <w:t>3</w:t>
            </w:r>
            <w:r w:rsidRPr="002F0CA7">
              <w:rPr>
                <w:rFonts w:eastAsia="MS Mincho"/>
              </w:rPr>
              <w:t xml:space="preserve"> RCTs</w:t>
            </w:r>
            <w:r w:rsidRPr="002F0CA7">
              <w:rPr>
                <w:rFonts w:eastAsia="MS Mincho"/>
                <w:vertAlign w:val="superscript"/>
              </w:rPr>
              <w:t>2</w:t>
            </w:r>
            <w:r w:rsidRPr="002F0CA7">
              <w:rPr>
                <w:rFonts w:eastAsia="MS Mincho"/>
              </w:rPr>
              <w:t>)</w:t>
            </w:r>
          </w:p>
        </w:tc>
        <w:tc>
          <w:tcPr>
            <w:tcW w:w="915" w:type="pct"/>
            <w:tcMar>
              <w:left w:w="28" w:type="dxa"/>
              <w:right w:w="28" w:type="dxa"/>
            </w:tcMar>
          </w:tcPr>
          <w:p w14:paraId="151F625A" w14:textId="77777777" w:rsidR="002C55A8" w:rsidRDefault="002C55A8" w:rsidP="002C55A8">
            <w:pPr>
              <w:pStyle w:val="Tablewriting"/>
              <w:rPr>
                <w:rFonts w:eastAsia="MS Mincho"/>
                <w:u w:val="single"/>
              </w:rPr>
            </w:pPr>
            <w:r w:rsidRPr="00997D99">
              <w:rPr>
                <w:rFonts w:eastAsia="MS Mincho"/>
                <w:u w:val="single"/>
              </w:rPr>
              <w:t>24-hour versus 16-hour patch</w:t>
            </w:r>
          </w:p>
          <w:p w14:paraId="3907A560" w14:textId="1496E60F" w:rsidR="002C55A8" w:rsidRPr="00182742" w:rsidRDefault="002C55A8" w:rsidP="002C55A8">
            <w:pPr>
              <w:pStyle w:val="Tablewriting"/>
              <w:rPr>
                <w:rFonts w:eastAsia="MS Mincho"/>
              </w:rPr>
            </w:pPr>
            <w:r w:rsidRPr="00997D99">
              <w:rPr>
                <w:rFonts w:eastAsia="MS Mincho"/>
              </w:rPr>
              <w:t xml:space="preserve">N= </w:t>
            </w:r>
            <w:r>
              <w:rPr>
                <w:rFonts w:eastAsia="MS Mincho"/>
              </w:rPr>
              <w:t xml:space="preserve">106 </w:t>
            </w:r>
            <w:r w:rsidRPr="00997D99">
              <w:rPr>
                <w:rFonts w:eastAsia="MS Mincho"/>
              </w:rPr>
              <w:t>(1 RCT)</w:t>
            </w:r>
          </w:p>
          <w:p w14:paraId="75603534" w14:textId="77777777" w:rsidR="002C55A8" w:rsidRDefault="002C55A8" w:rsidP="002C55A8">
            <w:pPr>
              <w:pStyle w:val="Tablewriting"/>
              <w:rPr>
                <w:rFonts w:eastAsia="MS Mincho"/>
                <w:u w:val="single"/>
              </w:rPr>
            </w:pPr>
            <w:r w:rsidRPr="00997D99">
              <w:rPr>
                <w:rFonts w:eastAsia="MS Mincho"/>
                <w:u w:val="single"/>
              </w:rPr>
              <w:t>Continue versus stop patch use on lapse</w:t>
            </w:r>
          </w:p>
          <w:p w14:paraId="4222E9C6" w14:textId="6DC1FFFD" w:rsidR="002C55A8" w:rsidRPr="00182742" w:rsidRDefault="002C55A8" w:rsidP="002C55A8">
            <w:pPr>
              <w:pStyle w:val="Tablewriting"/>
              <w:rPr>
                <w:rFonts w:eastAsia="MS Mincho"/>
              </w:rPr>
            </w:pPr>
            <w:r w:rsidRPr="00997D99">
              <w:rPr>
                <w:rFonts w:eastAsia="MS Mincho"/>
              </w:rPr>
              <w:t>N=</w:t>
            </w:r>
            <w:r>
              <w:rPr>
                <w:rFonts w:eastAsia="MS Mincho"/>
              </w:rPr>
              <w:t xml:space="preserve"> 701</w:t>
            </w:r>
            <w:r w:rsidRPr="00997D99">
              <w:rPr>
                <w:rFonts w:eastAsia="MS Mincho"/>
              </w:rPr>
              <w:t xml:space="preserve"> (1 RCT)</w:t>
            </w:r>
          </w:p>
          <w:p w14:paraId="506F2C31" w14:textId="77777777" w:rsidR="002C55A8" w:rsidRDefault="002C55A8" w:rsidP="002C55A8">
            <w:pPr>
              <w:pStyle w:val="Tablewriting"/>
              <w:rPr>
                <w:rFonts w:eastAsia="MS Mincho"/>
                <w:u w:val="single"/>
              </w:rPr>
            </w:pPr>
            <w:r w:rsidRPr="00997D99">
              <w:rPr>
                <w:rFonts w:eastAsia="MS Mincho"/>
                <w:u w:val="single"/>
              </w:rPr>
              <w:t>35 mg patch + fast-acting for 22 weeks versus 21 mg patch for 10 weeks</w:t>
            </w:r>
          </w:p>
          <w:p w14:paraId="53FF36C8" w14:textId="77777777" w:rsidR="002C55A8" w:rsidRPr="00997D99" w:rsidRDefault="002C55A8" w:rsidP="002C55A8">
            <w:pPr>
              <w:pStyle w:val="Tablewriting"/>
              <w:rPr>
                <w:rFonts w:eastAsia="MS Mincho"/>
              </w:rPr>
            </w:pPr>
            <w:r w:rsidRPr="00997D99">
              <w:rPr>
                <w:rFonts w:eastAsia="MS Mincho"/>
              </w:rPr>
              <w:t>N=</w:t>
            </w:r>
            <w:r>
              <w:rPr>
                <w:rFonts w:eastAsia="MS Mincho"/>
              </w:rPr>
              <w:t xml:space="preserve"> 486</w:t>
            </w:r>
            <w:r w:rsidRPr="00997D99">
              <w:rPr>
                <w:rFonts w:eastAsia="MS Mincho"/>
              </w:rPr>
              <w:t xml:space="preserve"> (1 RCT)</w:t>
            </w:r>
          </w:p>
        </w:tc>
        <w:tc>
          <w:tcPr>
            <w:tcW w:w="1940" w:type="pct"/>
            <w:tcMar>
              <w:left w:w="28" w:type="dxa"/>
              <w:right w:w="28" w:type="dxa"/>
            </w:tcMar>
          </w:tcPr>
          <w:p w14:paraId="365B788B" w14:textId="4C1DE4D6" w:rsidR="002C55A8" w:rsidRPr="00186C2B" w:rsidRDefault="002C55A8" w:rsidP="002C55A8">
            <w:pPr>
              <w:pStyle w:val="Tablewriting"/>
              <w:rPr>
                <w:rFonts w:eastAsia="MS Mincho"/>
                <w:highlight w:val="yellow"/>
                <w:u w:val="single"/>
              </w:rPr>
            </w:pPr>
            <w:r w:rsidRPr="00175E73">
              <w:rPr>
                <w:rFonts w:eastAsia="MS Mincho"/>
              </w:rPr>
              <w:t>Same as patch (monotherapy)</w:t>
            </w:r>
            <w:r w:rsidR="00ED0CBA">
              <w:rPr>
                <w:rFonts w:eastAsia="MS Mincho"/>
              </w:rPr>
              <w:t>.</w:t>
            </w:r>
          </w:p>
        </w:tc>
        <w:tc>
          <w:tcPr>
            <w:tcW w:w="696" w:type="pct"/>
          </w:tcPr>
          <w:p w14:paraId="6E2C3C24" w14:textId="2A555922" w:rsidR="002C55A8" w:rsidRPr="006B5D28" w:rsidRDefault="002C55A8" w:rsidP="002C55A8">
            <w:pPr>
              <w:pStyle w:val="Tablewriting"/>
              <w:rPr>
                <w:rFonts w:eastAsia="MS Mincho"/>
              </w:rPr>
            </w:pPr>
            <w:r>
              <w:rPr>
                <w:rFonts w:eastAsia="MS Mincho"/>
              </w:rPr>
              <w:t>N/A</w:t>
            </w:r>
            <w:r w:rsidR="00ED0CBA">
              <w:rPr>
                <w:rFonts w:eastAsia="MS Mincho"/>
              </w:rPr>
              <w:t>.</w:t>
            </w:r>
          </w:p>
        </w:tc>
        <w:tc>
          <w:tcPr>
            <w:tcW w:w="823" w:type="pct"/>
            <w:tcMar>
              <w:left w:w="28" w:type="dxa"/>
              <w:right w:w="28" w:type="dxa"/>
            </w:tcMar>
          </w:tcPr>
          <w:p w14:paraId="1947036B" w14:textId="31E0D0F7" w:rsidR="002C55A8" w:rsidRPr="0050095A" w:rsidRDefault="002C55A8" w:rsidP="002C55A8">
            <w:pPr>
              <w:pStyle w:val="Tablewriting"/>
              <w:rPr>
                <w:rFonts w:eastAsia="MS Mincho"/>
                <w:u w:val="single"/>
              </w:rPr>
            </w:pPr>
            <w:r w:rsidRPr="00175E73">
              <w:rPr>
                <w:rFonts w:eastAsia="MS Mincho"/>
              </w:rPr>
              <w:t>Same as patch (monotherapy)</w:t>
            </w:r>
            <w:r w:rsidR="00ED0CBA">
              <w:rPr>
                <w:rFonts w:eastAsia="MS Mincho"/>
              </w:rPr>
              <w:t>.</w:t>
            </w:r>
          </w:p>
        </w:tc>
      </w:tr>
    </w:tbl>
    <w:p w14:paraId="2F0ADEB5" w14:textId="0312410E" w:rsidR="0029720E" w:rsidRPr="00C87F51" w:rsidRDefault="0029720E" w:rsidP="00285D42">
      <w:pPr>
        <w:pStyle w:val="TableFooter"/>
        <w:jc w:val="both"/>
        <w:rPr>
          <w:i/>
        </w:rPr>
      </w:pPr>
      <w:r>
        <w:t xml:space="preserve">Abbreviations: </w:t>
      </w:r>
      <w:r w:rsidR="00EC1C4A">
        <w:t xml:space="preserve">CO = carbon monoxide; </w:t>
      </w:r>
      <w:r w:rsidRPr="00C87F51">
        <w:t xml:space="preserve">NRT = nicotine replacement therapy; </w:t>
      </w:r>
      <w:r>
        <w:t xml:space="preserve">N/A = not applicable; </w:t>
      </w:r>
      <w:r w:rsidRPr="00C87F51">
        <w:t xml:space="preserve">RCT = randomised controlled trial </w:t>
      </w:r>
    </w:p>
    <w:p w14:paraId="4F0E9C4C" w14:textId="77777777" w:rsidR="0029720E" w:rsidRDefault="0029720E" w:rsidP="00285D42">
      <w:pPr>
        <w:pStyle w:val="TableFooter"/>
        <w:jc w:val="both"/>
      </w:pPr>
      <w:r w:rsidRPr="00C87F51">
        <w:t>Notes:</w:t>
      </w:r>
      <w:r>
        <w:t xml:space="preserve"> </w:t>
      </w:r>
    </w:p>
    <w:p w14:paraId="7E8EE194" w14:textId="0F25C3E0" w:rsidR="0029720E" w:rsidRPr="00BA211C" w:rsidRDefault="0029720E" w:rsidP="00285D42">
      <w:pPr>
        <w:pStyle w:val="TableFooter"/>
        <w:jc w:val="both"/>
      </w:pPr>
      <w:r w:rsidRPr="00BA211C">
        <w:t>1 Only the number of patients (n) in the relevant arms were included</w:t>
      </w:r>
      <w:r w:rsidR="00ED0CBA">
        <w:t>.</w:t>
      </w:r>
      <w:r w:rsidRPr="00BA211C">
        <w:t xml:space="preserve"> </w:t>
      </w:r>
    </w:p>
    <w:p w14:paraId="4A70E007" w14:textId="34E5D877" w:rsidR="0029720E" w:rsidRDefault="0029720E" w:rsidP="00285D42">
      <w:pPr>
        <w:pStyle w:val="TableFooter"/>
        <w:jc w:val="both"/>
      </w:pPr>
      <w:r w:rsidRPr="004C35E0">
        <w:t xml:space="preserve">2 The characteristics of the individual studies included in Lindson et al. (2019) are presented in </w:t>
      </w:r>
      <w:r w:rsidR="009A0DDF" w:rsidRPr="00DE44B3">
        <w:t>Appendix</w:t>
      </w:r>
      <w:r w:rsidR="002C2DB9">
        <w:t xml:space="preserve"> Table 162.</w:t>
      </w:r>
    </w:p>
    <w:p w14:paraId="68440D82" w14:textId="53CB0CE5" w:rsidR="00127FBD" w:rsidRDefault="005E592F" w:rsidP="00285D42">
      <w:pPr>
        <w:pStyle w:val="TableFooter"/>
        <w:jc w:val="both"/>
      </w:pPr>
      <w:r>
        <w:t xml:space="preserve">3 </w:t>
      </w:r>
      <w:r w:rsidR="00127FBD" w:rsidRPr="00127FBD">
        <w:t>Ellerbeck et al. (2018) was an open-label study and outcome assessors were likely aware of the interventions received by the patients.</w:t>
      </w:r>
    </w:p>
    <w:p w14:paraId="55B1804C" w14:textId="145EA6B7" w:rsidR="005E592F" w:rsidRDefault="00127FBD" w:rsidP="00285D42">
      <w:pPr>
        <w:pStyle w:val="TableFooter"/>
        <w:jc w:val="both"/>
      </w:pPr>
      <w:r>
        <w:t>4</w:t>
      </w:r>
      <w:r w:rsidR="005E592F">
        <w:t xml:space="preserve"> </w:t>
      </w:r>
      <w:r w:rsidR="005E592F" w:rsidRPr="000A1087">
        <w:t>Combination NRT</w:t>
      </w:r>
      <w:r w:rsidR="005E592F">
        <w:t xml:space="preserve"> (both arms)</w:t>
      </w:r>
      <w:r w:rsidR="005E592F" w:rsidRPr="000A1087">
        <w:t xml:space="preserve"> included nicotine patches plus 2 mg of nicotine gum and/or lozenges</w:t>
      </w:r>
      <w:r w:rsidR="005E592F">
        <w:t xml:space="preserve">. </w:t>
      </w:r>
      <w:r w:rsidR="005E592F" w:rsidRPr="000A1087">
        <w:t>The dose of nicotine patches (14-42 mg) provided to participants was based on their current cigarette consumption</w:t>
      </w:r>
      <w:r w:rsidR="005E592F">
        <w:t xml:space="preserve">. </w:t>
      </w:r>
    </w:p>
    <w:p w14:paraId="21A4E430" w14:textId="77777777" w:rsidR="00182742" w:rsidRDefault="00182742" w:rsidP="0029720E">
      <w:pPr>
        <w:sectPr w:rsidR="00182742" w:rsidSect="00182742">
          <w:pgSz w:w="16838" w:h="11906" w:orient="landscape"/>
          <w:pgMar w:top="1440" w:right="1440" w:bottom="1440" w:left="1440" w:header="708" w:footer="708" w:gutter="0"/>
          <w:cols w:space="708"/>
          <w:titlePg/>
          <w:docGrid w:linePitch="360"/>
        </w:sectPr>
      </w:pPr>
    </w:p>
    <w:p w14:paraId="1D524BA1" w14:textId="77777777" w:rsidR="0029720E" w:rsidRDefault="0029720E" w:rsidP="00285D42">
      <w:pPr>
        <w:pStyle w:val="Heading5"/>
        <w:numPr>
          <w:ilvl w:val="0"/>
          <w:numId w:val="0"/>
        </w:numPr>
        <w:spacing w:after="120"/>
        <w:jc w:val="both"/>
      </w:pPr>
      <w:r w:rsidRPr="00A556D0">
        <w:lastRenderedPageBreak/>
        <w:t>Monotherapy</w:t>
      </w:r>
    </w:p>
    <w:p w14:paraId="6C4D169A" w14:textId="1702CC32" w:rsidR="003421E9" w:rsidRPr="003421E9" w:rsidRDefault="003421E9" w:rsidP="00285D42">
      <w:pPr>
        <w:spacing w:after="120"/>
        <w:jc w:val="both"/>
        <w:rPr>
          <w:u w:val="single"/>
        </w:rPr>
      </w:pPr>
      <w:r w:rsidRPr="003421E9">
        <w:rPr>
          <w:u w:val="single"/>
        </w:rPr>
        <w:t>Efficacy</w:t>
      </w:r>
    </w:p>
    <w:p w14:paraId="44AF52A4" w14:textId="67514E63" w:rsidR="00E94F7E" w:rsidRDefault="0029720E" w:rsidP="000C5710">
      <w:pPr>
        <w:spacing w:after="120"/>
        <w:jc w:val="both"/>
      </w:pPr>
      <w:r w:rsidRPr="00F136E9">
        <w:t>A summary of smoking cessation rates</w:t>
      </w:r>
      <w:r>
        <w:t xml:space="preserve"> </w:t>
      </w:r>
      <w:r w:rsidRPr="00F136E9">
        <w:t>f</w:t>
      </w:r>
      <w:r w:rsidR="00C623F4">
        <w:t>or</w:t>
      </w:r>
      <w:r w:rsidRPr="00F136E9">
        <w:t xml:space="preserve"> at least six months follow-up</w:t>
      </w:r>
      <w:r>
        <w:t xml:space="preserve"> </w:t>
      </w:r>
      <w:r w:rsidR="00A01DBF">
        <w:t xml:space="preserve">comparing longer duration with shorter duration </w:t>
      </w:r>
      <w:r>
        <w:t xml:space="preserve">of NRT </w:t>
      </w:r>
      <w:r w:rsidR="00573F59">
        <w:t>patches</w:t>
      </w:r>
      <w:r>
        <w:t xml:space="preserve"> and gum (monotherapy) </w:t>
      </w:r>
      <w:r w:rsidRPr="00F136E9">
        <w:t>is presented in</w:t>
      </w:r>
      <w:r w:rsidR="0045102E">
        <w:t xml:space="preserve"> </w:t>
      </w:r>
      <w:r w:rsidR="0045102E">
        <w:fldChar w:fldCharType="begin" w:fldLock="1"/>
      </w:r>
      <w:r w:rsidR="0045102E">
        <w:instrText xml:space="preserve"> REF _Ref62114919 \h </w:instrText>
      </w:r>
      <w:r w:rsidR="0045102E">
        <w:fldChar w:fldCharType="separate"/>
      </w:r>
      <w:r w:rsidR="00EC5CC7">
        <w:t xml:space="preserve">Table </w:t>
      </w:r>
      <w:r w:rsidR="00EC5CC7">
        <w:rPr>
          <w:noProof/>
        </w:rPr>
        <w:t>88</w:t>
      </w:r>
      <w:r w:rsidR="0045102E">
        <w:fldChar w:fldCharType="end"/>
      </w:r>
      <w:r w:rsidR="0045102E">
        <w:t>.</w:t>
      </w:r>
      <w:r w:rsidRPr="00657867">
        <w:t xml:space="preserve"> </w:t>
      </w:r>
      <w:r w:rsidR="00E94F7E">
        <w:t xml:space="preserve">Overall, there were no statistically significant differences </w:t>
      </w:r>
      <w:r w:rsidR="00947D47">
        <w:t xml:space="preserve">in </w:t>
      </w:r>
      <w:r w:rsidR="002151AD">
        <w:t xml:space="preserve">smoking cessation rates </w:t>
      </w:r>
      <w:r w:rsidR="00330FBF">
        <w:t xml:space="preserve">between longer duration </w:t>
      </w:r>
      <w:r w:rsidR="00421B9E">
        <w:t xml:space="preserve">therapy and shorter duration therapy </w:t>
      </w:r>
      <w:r w:rsidR="00EE4A86">
        <w:t>in all comparisons</w:t>
      </w:r>
      <w:r w:rsidR="00421B9E">
        <w:t xml:space="preserve"> for </w:t>
      </w:r>
      <w:r w:rsidR="001A22C0">
        <w:t xml:space="preserve">NRT </w:t>
      </w:r>
      <w:r w:rsidR="00573F59">
        <w:t>patches</w:t>
      </w:r>
      <w:r w:rsidR="001A22C0">
        <w:t xml:space="preserve"> or gum.</w:t>
      </w:r>
    </w:p>
    <w:p w14:paraId="364DB5AA" w14:textId="3B500888" w:rsidR="002F4907" w:rsidRDefault="002F4907" w:rsidP="000C5710">
      <w:pPr>
        <w:pStyle w:val="Caption"/>
        <w:keepNext/>
        <w:spacing w:before="0" w:after="120"/>
        <w:jc w:val="both"/>
      </w:pPr>
      <w:bookmarkStart w:id="158" w:name="_Ref62114919"/>
      <w:r>
        <w:t xml:space="preserve">Table </w:t>
      </w:r>
      <w:r w:rsidR="00BF3F75">
        <w:fldChar w:fldCharType="begin"/>
      </w:r>
      <w:r w:rsidR="00BF3F75">
        <w:instrText xml:space="preserve"> SEQ Table \* ARABIC </w:instrText>
      </w:r>
      <w:r w:rsidR="00BF3F75">
        <w:fldChar w:fldCharType="separate"/>
      </w:r>
      <w:r w:rsidR="00EC5CC7">
        <w:rPr>
          <w:noProof/>
        </w:rPr>
        <w:t>88</w:t>
      </w:r>
      <w:r w:rsidR="00BF3F75">
        <w:rPr>
          <w:noProof/>
        </w:rPr>
        <w:fldChar w:fldCharType="end"/>
      </w:r>
      <w:bookmarkEnd w:id="158"/>
      <w:r>
        <w:t xml:space="preserve">: </w:t>
      </w:r>
      <w:r w:rsidRPr="001D10A6">
        <w:t>Results of smoking cessation f</w:t>
      </w:r>
      <w:r w:rsidR="00C623F4">
        <w:t>or</w:t>
      </w:r>
      <w:r w:rsidRPr="001D10A6">
        <w:t xml:space="preserve"> at least six months follow-up in Lindson et al. 2019, duration of patch</w:t>
      </w:r>
      <w:r w:rsidR="0045102E">
        <w:t xml:space="preserve"> or gum</w:t>
      </w:r>
      <w:r w:rsidRPr="001D10A6">
        <w:t xml:space="preserve"> therapy</w:t>
      </w:r>
    </w:p>
    <w:tbl>
      <w:tblPr>
        <w:tblStyle w:val="TableGrid"/>
        <w:tblW w:w="5000" w:type="pct"/>
        <w:tblLook w:val="04A0" w:firstRow="1" w:lastRow="0" w:firstColumn="1" w:lastColumn="0" w:noHBand="0" w:noVBand="1"/>
        <w:tblCaption w:val="Efficacy results of adalimumab trials (PASI 75 and DLQI)"/>
      </w:tblPr>
      <w:tblGrid>
        <w:gridCol w:w="1271"/>
        <w:gridCol w:w="1699"/>
        <w:gridCol w:w="2128"/>
        <w:gridCol w:w="1985"/>
        <w:gridCol w:w="1933"/>
      </w:tblGrid>
      <w:tr w:rsidR="002F4907" w:rsidRPr="00061F78" w14:paraId="527C67FE" w14:textId="77777777" w:rsidTr="002F4907">
        <w:trPr>
          <w:cantSplit/>
          <w:trHeight w:val="299"/>
          <w:tblHeader/>
        </w:trPr>
        <w:tc>
          <w:tcPr>
            <w:tcW w:w="705" w:type="pct"/>
            <w:shd w:val="clear" w:color="auto" w:fill="BFBFBF" w:themeFill="background1" w:themeFillShade="BF"/>
            <w:tcMar>
              <w:left w:w="28" w:type="dxa"/>
              <w:right w:w="28" w:type="dxa"/>
            </w:tcMar>
          </w:tcPr>
          <w:p w14:paraId="7AACACD4" w14:textId="77777777" w:rsidR="002F4907" w:rsidRPr="00061F78" w:rsidRDefault="002F4907" w:rsidP="003C4F2E">
            <w:pPr>
              <w:pStyle w:val="Tableheading"/>
              <w:keepNext/>
              <w:rPr>
                <w:rFonts w:eastAsia="MS Mincho"/>
              </w:rPr>
            </w:pPr>
            <w:r>
              <w:rPr>
                <w:rFonts w:eastAsia="MS Mincho"/>
              </w:rPr>
              <w:t>Study</w:t>
            </w:r>
          </w:p>
        </w:tc>
        <w:tc>
          <w:tcPr>
            <w:tcW w:w="942" w:type="pct"/>
            <w:shd w:val="clear" w:color="auto" w:fill="BFBFBF" w:themeFill="background1" w:themeFillShade="BF"/>
            <w:vAlign w:val="center"/>
          </w:tcPr>
          <w:p w14:paraId="4D6F2EEF" w14:textId="77777777" w:rsidR="002F4907" w:rsidRDefault="002F4907" w:rsidP="003C4F2E">
            <w:pPr>
              <w:pStyle w:val="Tableheading"/>
              <w:keepNext/>
              <w:jc w:val="center"/>
              <w:rPr>
                <w:rFonts w:eastAsia="MS Mincho"/>
              </w:rPr>
            </w:pPr>
            <w:r>
              <w:rPr>
                <w:rFonts w:eastAsia="MS Mincho"/>
              </w:rPr>
              <w:t>Study type</w:t>
            </w:r>
          </w:p>
        </w:tc>
        <w:tc>
          <w:tcPr>
            <w:tcW w:w="1180" w:type="pct"/>
            <w:shd w:val="clear" w:color="auto" w:fill="BFBFBF" w:themeFill="background1" w:themeFillShade="BF"/>
            <w:tcMar>
              <w:left w:w="28" w:type="dxa"/>
              <w:right w:w="28" w:type="dxa"/>
            </w:tcMar>
            <w:vAlign w:val="center"/>
          </w:tcPr>
          <w:p w14:paraId="3D6872A6" w14:textId="77777777" w:rsidR="002F4907" w:rsidRPr="00061F78" w:rsidRDefault="002F4907" w:rsidP="003C4F2E">
            <w:pPr>
              <w:pStyle w:val="Tableheading"/>
              <w:keepNext/>
              <w:jc w:val="center"/>
              <w:rPr>
                <w:rFonts w:eastAsia="MS Mincho"/>
              </w:rPr>
            </w:pPr>
            <w:r>
              <w:rPr>
                <w:rFonts w:eastAsia="MS Mincho"/>
              </w:rPr>
              <w:t>Longer duration</w:t>
            </w:r>
          </w:p>
        </w:tc>
        <w:tc>
          <w:tcPr>
            <w:tcW w:w="1101" w:type="pct"/>
            <w:shd w:val="clear" w:color="auto" w:fill="BFBFBF" w:themeFill="background1" w:themeFillShade="BF"/>
            <w:tcMar>
              <w:left w:w="28" w:type="dxa"/>
              <w:right w:w="28" w:type="dxa"/>
            </w:tcMar>
            <w:vAlign w:val="center"/>
          </w:tcPr>
          <w:p w14:paraId="6B030C64" w14:textId="77777777" w:rsidR="002F4907" w:rsidRPr="00061F78" w:rsidRDefault="002F4907" w:rsidP="003C4F2E">
            <w:pPr>
              <w:pStyle w:val="Tableheading"/>
              <w:keepNext/>
              <w:jc w:val="center"/>
              <w:rPr>
                <w:rFonts w:eastAsia="MS Mincho"/>
              </w:rPr>
            </w:pPr>
            <w:r>
              <w:rPr>
                <w:rFonts w:eastAsia="MS Mincho"/>
              </w:rPr>
              <w:t>Shorter duration</w:t>
            </w:r>
          </w:p>
        </w:tc>
        <w:tc>
          <w:tcPr>
            <w:tcW w:w="1072" w:type="pct"/>
            <w:shd w:val="clear" w:color="auto" w:fill="BFBFBF" w:themeFill="background1" w:themeFillShade="BF"/>
            <w:tcMar>
              <w:left w:w="28" w:type="dxa"/>
              <w:right w:w="28" w:type="dxa"/>
            </w:tcMar>
            <w:vAlign w:val="center"/>
          </w:tcPr>
          <w:p w14:paraId="50651FA9" w14:textId="362DDE98" w:rsidR="002F4907" w:rsidRPr="00F11F25" w:rsidRDefault="002F4907" w:rsidP="003C4F2E">
            <w:pPr>
              <w:pStyle w:val="Tableheading"/>
              <w:keepNext/>
              <w:jc w:val="center"/>
              <w:rPr>
                <w:rFonts w:eastAsia="MS Mincho"/>
                <w:vertAlign w:val="superscript"/>
              </w:rPr>
            </w:pPr>
            <w:r>
              <w:rPr>
                <w:rFonts w:eastAsia="MS Mincho"/>
              </w:rPr>
              <w:t>RR (95% CI)</w:t>
            </w:r>
            <w:r w:rsidR="00F11F25">
              <w:rPr>
                <w:rFonts w:eastAsia="MS Mincho"/>
                <w:vertAlign w:val="superscript"/>
              </w:rPr>
              <w:t>1</w:t>
            </w:r>
          </w:p>
        </w:tc>
      </w:tr>
      <w:tr w:rsidR="002F4907" w:rsidRPr="00061F78" w14:paraId="7EE77802" w14:textId="77777777" w:rsidTr="003C4F2E">
        <w:trPr>
          <w:cantSplit/>
          <w:trHeight w:val="99"/>
        </w:trPr>
        <w:tc>
          <w:tcPr>
            <w:tcW w:w="5000" w:type="pct"/>
            <w:gridSpan w:val="5"/>
            <w:shd w:val="clear" w:color="auto" w:fill="auto"/>
            <w:tcMar>
              <w:left w:w="28" w:type="dxa"/>
              <w:right w:w="28" w:type="dxa"/>
            </w:tcMar>
          </w:tcPr>
          <w:p w14:paraId="09AE4DB3" w14:textId="2085605A" w:rsidR="002F4907" w:rsidRPr="002F4907" w:rsidRDefault="002F4907" w:rsidP="003C4F2E">
            <w:pPr>
              <w:pStyle w:val="Tablewriting"/>
              <w:keepNext/>
              <w:rPr>
                <w:rFonts w:eastAsia="MS Mincho"/>
                <w:b/>
                <w:bCs/>
                <w:highlight w:val="yellow"/>
              </w:rPr>
            </w:pPr>
            <w:r w:rsidRPr="002F4907">
              <w:rPr>
                <w:rFonts w:eastAsia="MS Mincho"/>
                <w:b/>
                <w:bCs/>
              </w:rPr>
              <w:t>52 weeks versus 24 weeks</w:t>
            </w:r>
            <w:r w:rsidR="0045102E">
              <w:rPr>
                <w:rFonts w:eastAsia="MS Mincho"/>
                <w:b/>
                <w:bCs/>
              </w:rPr>
              <w:t xml:space="preserve"> patch</w:t>
            </w:r>
          </w:p>
        </w:tc>
      </w:tr>
      <w:tr w:rsidR="002F4907" w:rsidRPr="00061F78" w14:paraId="774C3FC6" w14:textId="77777777" w:rsidTr="002F4907">
        <w:trPr>
          <w:cantSplit/>
          <w:trHeight w:val="99"/>
        </w:trPr>
        <w:tc>
          <w:tcPr>
            <w:tcW w:w="705" w:type="pct"/>
            <w:shd w:val="clear" w:color="auto" w:fill="auto"/>
            <w:tcMar>
              <w:left w:w="28" w:type="dxa"/>
              <w:right w:w="28" w:type="dxa"/>
            </w:tcMar>
            <w:vAlign w:val="center"/>
          </w:tcPr>
          <w:p w14:paraId="6C1A46B3" w14:textId="77777777" w:rsidR="002F4907" w:rsidRDefault="002F4907" w:rsidP="003C4F2E">
            <w:pPr>
              <w:pStyle w:val="Tablewriting"/>
              <w:keepNext/>
              <w:rPr>
                <w:rFonts w:eastAsia="MS Mincho"/>
              </w:rPr>
            </w:pPr>
            <w:r>
              <w:rPr>
                <w:rFonts w:eastAsia="MS Mincho"/>
              </w:rPr>
              <w:t xml:space="preserve">Lindson </w:t>
            </w:r>
          </w:p>
          <w:p w14:paraId="10F3D679" w14:textId="5AFE629F" w:rsidR="002F4907" w:rsidRPr="005D18BC" w:rsidRDefault="002F4907" w:rsidP="003C4F2E">
            <w:pPr>
              <w:pStyle w:val="Tablewriting"/>
              <w:keepNext/>
              <w:rPr>
                <w:rFonts w:eastAsia="MS Mincho"/>
                <w:highlight w:val="yellow"/>
              </w:rPr>
            </w:pPr>
            <w:r>
              <w:rPr>
                <w:rFonts w:eastAsia="MS Mincho"/>
              </w:rPr>
              <w:t>(2019)</w:t>
            </w:r>
          </w:p>
        </w:tc>
        <w:tc>
          <w:tcPr>
            <w:tcW w:w="942" w:type="pct"/>
            <w:shd w:val="clear" w:color="auto" w:fill="auto"/>
            <w:vAlign w:val="center"/>
          </w:tcPr>
          <w:p w14:paraId="7577893D" w14:textId="74BEE905" w:rsidR="002F4907" w:rsidRPr="00FF3382" w:rsidRDefault="002F4907" w:rsidP="003C4F2E">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05D8EC97" w14:textId="77777777" w:rsidR="002F4907" w:rsidRPr="00081BA3" w:rsidRDefault="002F4907" w:rsidP="003C4F2E">
            <w:pPr>
              <w:pStyle w:val="Tablewriting"/>
              <w:keepNext/>
              <w:jc w:val="center"/>
              <w:rPr>
                <w:rFonts w:eastAsia="MS Mincho"/>
              </w:rPr>
            </w:pPr>
            <w:r w:rsidRPr="00081BA3">
              <w:rPr>
                <w:rFonts w:eastAsia="MS Mincho"/>
              </w:rPr>
              <w:t>35/172</w:t>
            </w:r>
          </w:p>
          <w:p w14:paraId="6DF9010B" w14:textId="77777777" w:rsidR="002F4907" w:rsidRPr="00081BA3" w:rsidRDefault="002F4907" w:rsidP="003C4F2E">
            <w:pPr>
              <w:pStyle w:val="Tablewriting"/>
              <w:keepNext/>
              <w:jc w:val="center"/>
              <w:rPr>
                <w:rFonts w:eastAsia="MS Mincho"/>
              </w:rPr>
            </w:pPr>
            <w:r w:rsidRPr="00081BA3">
              <w:rPr>
                <w:rFonts w:eastAsia="MS Mincho"/>
              </w:rPr>
              <w:t>(20.3%)</w:t>
            </w:r>
          </w:p>
        </w:tc>
        <w:tc>
          <w:tcPr>
            <w:tcW w:w="1101" w:type="pct"/>
            <w:shd w:val="clear" w:color="auto" w:fill="auto"/>
            <w:tcMar>
              <w:left w:w="28" w:type="dxa"/>
              <w:right w:w="28" w:type="dxa"/>
            </w:tcMar>
            <w:vAlign w:val="center"/>
          </w:tcPr>
          <w:p w14:paraId="04A9F8F0" w14:textId="77777777" w:rsidR="002F4907" w:rsidRPr="00081BA3" w:rsidRDefault="002F4907" w:rsidP="003C4F2E">
            <w:pPr>
              <w:pStyle w:val="Tablewriting"/>
              <w:keepNext/>
              <w:jc w:val="center"/>
              <w:rPr>
                <w:rFonts w:eastAsia="MS Mincho"/>
              </w:rPr>
            </w:pPr>
            <w:r w:rsidRPr="00081BA3">
              <w:rPr>
                <w:rFonts w:eastAsia="MS Mincho"/>
              </w:rPr>
              <w:t>45/173</w:t>
            </w:r>
          </w:p>
          <w:p w14:paraId="07BFBF12" w14:textId="77777777" w:rsidR="002F4907" w:rsidRPr="00081BA3" w:rsidRDefault="002F4907" w:rsidP="003C4F2E">
            <w:pPr>
              <w:pStyle w:val="Tablewriting"/>
              <w:keepNext/>
              <w:jc w:val="center"/>
              <w:rPr>
                <w:rFonts w:eastAsia="MS Mincho"/>
              </w:rPr>
            </w:pPr>
            <w:r w:rsidRPr="00081BA3">
              <w:rPr>
                <w:rFonts w:eastAsia="MS Mincho"/>
              </w:rPr>
              <w:t>(26%)</w:t>
            </w:r>
          </w:p>
        </w:tc>
        <w:tc>
          <w:tcPr>
            <w:tcW w:w="1072" w:type="pct"/>
            <w:shd w:val="clear" w:color="auto" w:fill="auto"/>
            <w:tcMar>
              <w:left w:w="28" w:type="dxa"/>
              <w:right w:w="28" w:type="dxa"/>
            </w:tcMar>
            <w:vAlign w:val="center"/>
          </w:tcPr>
          <w:p w14:paraId="37014C4D" w14:textId="77777777" w:rsidR="002F4907" w:rsidRDefault="002F4907" w:rsidP="003C4F2E">
            <w:pPr>
              <w:pStyle w:val="Tablewriting"/>
              <w:keepNext/>
              <w:jc w:val="center"/>
              <w:rPr>
                <w:rFonts w:eastAsia="MS Mincho"/>
              </w:rPr>
            </w:pPr>
            <w:r>
              <w:rPr>
                <w:rFonts w:eastAsia="MS Mincho"/>
              </w:rPr>
              <w:t>0.78</w:t>
            </w:r>
          </w:p>
          <w:p w14:paraId="18CFCF31" w14:textId="0782EB89" w:rsidR="002F4907" w:rsidRPr="005D18BC" w:rsidRDefault="002F4907" w:rsidP="003C4F2E">
            <w:pPr>
              <w:pStyle w:val="Tablewriting"/>
              <w:keepNext/>
              <w:jc w:val="center"/>
              <w:rPr>
                <w:rFonts w:eastAsia="MS Mincho"/>
                <w:highlight w:val="yellow"/>
              </w:rPr>
            </w:pPr>
            <w:r>
              <w:rPr>
                <w:rFonts w:eastAsia="MS Mincho"/>
              </w:rPr>
              <w:t>(0.53, 1.15)</w:t>
            </w:r>
          </w:p>
        </w:tc>
      </w:tr>
      <w:tr w:rsidR="002F4907" w:rsidRPr="00061F78" w14:paraId="42252395" w14:textId="77777777" w:rsidTr="003C4F2E">
        <w:trPr>
          <w:cantSplit/>
          <w:trHeight w:val="99"/>
        </w:trPr>
        <w:tc>
          <w:tcPr>
            <w:tcW w:w="5000" w:type="pct"/>
            <w:gridSpan w:val="5"/>
            <w:shd w:val="clear" w:color="auto" w:fill="auto"/>
            <w:tcMar>
              <w:left w:w="28" w:type="dxa"/>
              <w:right w:w="28" w:type="dxa"/>
            </w:tcMar>
          </w:tcPr>
          <w:p w14:paraId="433778E1" w14:textId="74EA5F5A" w:rsidR="002F4907" w:rsidRPr="002F4907" w:rsidRDefault="002F4907" w:rsidP="003C4F2E">
            <w:pPr>
              <w:pStyle w:val="Tablewriting"/>
              <w:keepNext/>
              <w:rPr>
                <w:b/>
                <w:bCs/>
              </w:rPr>
            </w:pPr>
            <w:r w:rsidRPr="002F4907">
              <w:rPr>
                <w:b/>
                <w:bCs/>
              </w:rPr>
              <w:t>52 weeks versus 8 weeks</w:t>
            </w:r>
            <w:r w:rsidR="0045102E">
              <w:rPr>
                <w:b/>
                <w:bCs/>
              </w:rPr>
              <w:t xml:space="preserve"> patch</w:t>
            </w:r>
          </w:p>
        </w:tc>
      </w:tr>
      <w:tr w:rsidR="002F4907" w:rsidRPr="00061F78" w14:paraId="002D040D" w14:textId="77777777" w:rsidTr="002F4907">
        <w:trPr>
          <w:cantSplit/>
          <w:trHeight w:val="99"/>
        </w:trPr>
        <w:tc>
          <w:tcPr>
            <w:tcW w:w="705" w:type="pct"/>
            <w:shd w:val="clear" w:color="auto" w:fill="auto"/>
            <w:tcMar>
              <w:left w:w="28" w:type="dxa"/>
              <w:right w:w="28" w:type="dxa"/>
            </w:tcMar>
            <w:vAlign w:val="center"/>
          </w:tcPr>
          <w:p w14:paraId="4296F02E" w14:textId="77777777" w:rsidR="002F4907" w:rsidRDefault="002F4907" w:rsidP="002F4907">
            <w:pPr>
              <w:pStyle w:val="Tablewriting"/>
              <w:keepNext/>
              <w:rPr>
                <w:rFonts w:eastAsia="MS Mincho"/>
              </w:rPr>
            </w:pPr>
            <w:r>
              <w:rPr>
                <w:rFonts w:eastAsia="MS Mincho"/>
              </w:rPr>
              <w:t xml:space="preserve">Lindson </w:t>
            </w:r>
          </w:p>
          <w:p w14:paraId="25D2EEC9" w14:textId="3388EA0E"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14:paraId="281F5ED3" w14:textId="48282124"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56859B45" w14:textId="77777777" w:rsidR="002F4907" w:rsidRPr="00081BA3" w:rsidRDefault="002F4907" w:rsidP="002F4907">
            <w:pPr>
              <w:pStyle w:val="Tablewriting"/>
              <w:keepNext/>
              <w:jc w:val="center"/>
              <w:rPr>
                <w:rFonts w:eastAsia="MS Mincho"/>
              </w:rPr>
            </w:pPr>
            <w:r w:rsidRPr="00081BA3">
              <w:rPr>
                <w:rFonts w:eastAsia="MS Mincho"/>
              </w:rPr>
              <w:t>35/172</w:t>
            </w:r>
          </w:p>
          <w:p w14:paraId="5EA27F01" w14:textId="77777777" w:rsidR="002F4907" w:rsidRPr="00081BA3" w:rsidRDefault="002F4907" w:rsidP="002F4907">
            <w:pPr>
              <w:pStyle w:val="Tablewriting"/>
              <w:keepNext/>
              <w:jc w:val="center"/>
              <w:rPr>
                <w:rFonts w:eastAsia="MS Mincho"/>
              </w:rPr>
            </w:pPr>
            <w:r w:rsidRPr="00081BA3">
              <w:rPr>
                <w:rFonts w:eastAsia="MS Mincho"/>
              </w:rPr>
              <w:t>(20.3%)</w:t>
            </w:r>
          </w:p>
        </w:tc>
        <w:tc>
          <w:tcPr>
            <w:tcW w:w="1101" w:type="pct"/>
            <w:shd w:val="clear" w:color="auto" w:fill="auto"/>
            <w:tcMar>
              <w:left w:w="28" w:type="dxa"/>
              <w:right w:w="28" w:type="dxa"/>
            </w:tcMar>
            <w:vAlign w:val="center"/>
          </w:tcPr>
          <w:p w14:paraId="1AEF3A82" w14:textId="77777777" w:rsidR="002F4907" w:rsidRPr="00081BA3" w:rsidRDefault="002F4907" w:rsidP="002F4907">
            <w:pPr>
              <w:pStyle w:val="Tablewriting"/>
              <w:keepNext/>
              <w:jc w:val="center"/>
              <w:rPr>
                <w:rFonts w:eastAsia="MS Mincho"/>
              </w:rPr>
            </w:pPr>
            <w:r w:rsidRPr="00081BA3">
              <w:rPr>
                <w:rFonts w:eastAsia="MS Mincho"/>
              </w:rPr>
              <w:t>39/180</w:t>
            </w:r>
          </w:p>
          <w:p w14:paraId="66A44B57" w14:textId="77777777" w:rsidR="002F4907" w:rsidRPr="00081BA3" w:rsidRDefault="002F4907" w:rsidP="002F4907">
            <w:pPr>
              <w:pStyle w:val="Tablewriting"/>
              <w:keepNext/>
              <w:jc w:val="center"/>
              <w:rPr>
                <w:rFonts w:eastAsia="MS Mincho"/>
              </w:rPr>
            </w:pPr>
            <w:r w:rsidRPr="00081BA3">
              <w:rPr>
                <w:rFonts w:eastAsia="MS Mincho"/>
              </w:rPr>
              <w:t>(21.7%)</w:t>
            </w:r>
          </w:p>
        </w:tc>
        <w:tc>
          <w:tcPr>
            <w:tcW w:w="1072" w:type="pct"/>
            <w:shd w:val="clear" w:color="auto" w:fill="auto"/>
            <w:tcMar>
              <w:left w:w="28" w:type="dxa"/>
              <w:right w:w="28" w:type="dxa"/>
            </w:tcMar>
          </w:tcPr>
          <w:p w14:paraId="0E1566D3" w14:textId="77777777" w:rsidR="002F4907" w:rsidRDefault="002F4907" w:rsidP="002F4907">
            <w:pPr>
              <w:pStyle w:val="Tablewriting"/>
              <w:keepNext/>
              <w:jc w:val="center"/>
              <w:rPr>
                <w:rFonts w:eastAsia="MS Mincho"/>
              </w:rPr>
            </w:pPr>
            <w:r w:rsidRPr="001C2306">
              <w:rPr>
                <w:rFonts w:eastAsia="MS Mincho"/>
              </w:rPr>
              <w:t xml:space="preserve">0.94 </w:t>
            </w:r>
          </w:p>
          <w:p w14:paraId="429F9BE9" w14:textId="071F3B07" w:rsidR="002F4907" w:rsidRPr="005D18BC" w:rsidRDefault="002F4907" w:rsidP="002F4907">
            <w:pPr>
              <w:pStyle w:val="Tablewriting"/>
              <w:keepNext/>
              <w:jc w:val="center"/>
              <w:rPr>
                <w:rFonts w:eastAsia="MS Mincho"/>
                <w:highlight w:val="yellow"/>
              </w:rPr>
            </w:pPr>
            <w:r w:rsidRPr="001C2306">
              <w:rPr>
                <w:rFonts w:eastAsia="MS Mincho"/>
              </w:rPr>
              <w:t>(0.63, 1.41)</w:t>
            </w:r>
          </w:p>
        </w:tc>
      </w:tr>
      <w:tr w:rsidR="002F4907" w:rsidRPr="00061F78" w14:paraId="79762FC1" w14:textId="77777777" w:rsidTr="003C4F2E">
        <w:trPr>
          <w:cantSplit/>
          <w:trHeight w:val="99"/>
        </w:trPr>
        <w:tc>
          <w:tcPr>
            <w:tcW w:w="5000" w:type="pct"/>
            <w:gridSpan w:val="5"/>
            <w:shd w:val="clear" w:color="auto" w:fill="auto"/>
            <w:tcMar>
              <w:left w:w="28" w:type="dxa"/>
              <w:right w:w="28" w:type="dxa"/>
            </w:tcMar>
          </w:tcPr>
          <w:p w14:paraId="5A01285C" w14:textId="069742A6" w:rsidR="002F4907" w:rsidRPr="002F4907" w:rsidRDefault="002F4907" w:rsidP="003C4F2E">
            <w:pPr>
              <w:pStyle w:val="Tablewriting"/>
              <w:keepNext/>
              <w:rPr>
                <w:b/>
                <w:bCs/>
              </w:rPr>
            </w:pPr>
            <w:r w:rsidRPr="002F4907">
              <w:rPr>
                <w:b/>
                <w:bCs/>
              </w:rPr>
              <w:t>28 weeks versus 12 weeks</w:t>
            </w:r>
            <w:r w:rsidR="0045102E">
              <w:rPr>
                <w:b/>
                <w:bCs/>
              </w:rPr>
              <w:t xml:space="preserve"> patch</w:t>
            </w:r>
          </w:p>
        </w:tc>
      </w:tr>
      <w:tr w:rsidR="002F4907" w:rsidRPr="00061F78" w14:paraId="36DBF5C3" w14:textId="77777777" w:rsidTr="002F4907">
        <w:trPr>
          <w:cantSplit/>
          <w:trHeight w:val="99"/>
        </w:trPr>
        <w:tc>
          <w:tcPr>
            <w:tcW w:w="705" w:type="pct"/>
            <w:shd w:val="clear" w:color="auto" w:fill="auto"/>
            <w:tcMar>
              <w:left w:w="28" w:type="dxa"/>
              <w:right w:w="28" w:type="dxa"/>
            </w:tcMar>
            <w:vAlign w:val="center"/>
          </w:tcPr>
          <w:p w14:paraId="089763E1" w14:textId="77777777" w:rsidR="002F4907" w:rsidRDefault="002F4907" w:rsidP="002F4907">
            <w:pPr>
              <w:pStyle w:val="Tablewriting"/>
              <w:keepNext/>
              <w:rPr>
                <w:rFonts w:eastAsia="MS Mincho"/>
              </w:rPr>
            </w:pPr>
            <w:r>
              <w:rPr>
                <w:rFonts w:eastAsia="MS Mincho"/>
              </w:rPr>
              <w:t xml:space="preserve">Lindson </w:t>
            </w:r>
          </w:p>
          <w:p w14:paraId="461301A3" w14:textId="32DF5780"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14:paraId="6232B43D" w14:textId="757AFF1A"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4E3962D3" w14:textId="77777777" w:rsidR="002F4907" w:rsidRPr="00081BA3" w:rsidRDefault="002F4907" w:rsidP="002F4907">
            <w:pPr>
              <w:pStyle w:val="Tablewriting"/>
              <w:keepNext/>
              <w:jc w:val="center"/>
              <w:rPr>
                <w:rFonts w:eastAsia="MS Mincho"/>
              </w:rPr>
            </w:pPr>
            <w:r w:rsidRPr="00081BA3">
              <w:rPr>
                <w:rFonts w:eastAsia="MS Mincho"/>
              </w:rPr>
              <w:t>208/1430</w:t>
            </w:r>
          </w:p>
          <w:p w14:paraId="0A910A41" w14:textId="77777777" w:rsidR="002F4907" w:rsidRPr="00081BA3" w:rsidRDefault="002F4907" w:rsidP="002F4907">
            <w:pPr>
              <w:pStyle w:val="Tablewriting"/>
              <w:keepNext/>
              <w:jc w:val="center"/>
              <w:rPr>
                <w:rFonts w:eastAsia="MS Mincho"/>
              </w:rPr>
            </w:pPr>
            <w:r w:rsidRPr="00081BA3">
              <w:rPr>
                <w:rFonts w:eastAsia="MS Mincho"/>
              </w:rPr>
              <w:t>(14.5%)</w:t>
            </w:r>
          </w:p>
        </w:tc>
        <w:tc>
          <w:tcPr>
            <w:tcW w:w="1101" w:type="pct"/>
            <w:shd w:val="clear" w:color="auto" w:fill="auto"/>
            <w:tcMar>
              <w:left w:w="28" w:type="dxa"/>
              <w:right w:w="28" w:type="dxa"/>
            </w:tcMar>
            <w:vAlign w:val="center"/>
          </w:tcPr>
          <w:p w14:paraId="79430BAB" w14:textId="77777777" w:rsidR="002F4907" w:rsidRPr="00081BA3" w:rsidRDefault="002F4907" w:rsidP="002F4907">
            <w:pPr>
              <w:pStyle w:val="Tablewriting"/>
              <w:keepNext/>
              <w:jc w:val="center"/>
              <w:rPr>
                <w:rFonts w:eastAsia="MS Mincho"/>
              </w:rPr>
            </w:pPr>
            <w:r w:rsidRPr="00081BA3">
              <w:rPr>
                <w:rFonts w:eastAsia="MS Mincho"/>
              </w:rPr>
              <w:t>198/1431</w:t>
            </w:r>
          </w:p>
          <w:p w14:paraId="1C2397D5" w14:textId="77777777" w:rsidR="002F4907" w:rsidRPr="00081BA3" w:rsidRDefault="002F4907" w:rsidP="002F4907">
            <w:pPr>
              <w:pStyle w:val="Tablewriting"/>
              <w:keepNext/>
              <w:jc w:val="center"/>
              <w:rPr>
                <w:rFonts w:eastAsia="MS Mincho"/>
              </w:rPr>
            </w:pPr>
            <w:r w:rsidRPr="00081BA3">
              <w:rPr>
                <w:rFonts w:eastAsia="MS Mincho"/>
              </w:rPr>
              <w:t>(13.8%)</w:t>
            </w:r>
          </w:p>
        </w:tc>
        <w:tc>
          <w:tcPr>
            <w:tcW w:w="1072" w:type="pct"/>
            <w:shd w:val="clear" w:color="auto" w:fill="auto"/>
            <w:tcMar>
              <w:left w:w="28" w:type="dxa"/>
              <w:right w:w="28" w:type="dxa"/>
            </w:tcMar>
            <w:vAlign w:val="center"/>
          </w:tcPr>
          <w:p w14:paraId="4C3590D7" w14:textId="77777777" w:rsidR="002F4907" w:rsidRDefault="002F4907" w:rsidP="002F4907">
            <w:pPr>
              <w:pStyle w:val="Tablewriting"/>
              <w:keepNext/>
              <w:jc w:val="center"/>
              <w:rPr>
                <w:rFonts w:eastAsia="MS Mincho"/>
              </w:rPr>
            </w:pPr>
            <w:r>
              <w:rPr>
                <w:rFonts w:eastAsia="MS Mincho"/>
              </w:rPr>
              <w:t>1.05</w:t>
            </w:r>
          </w:p>
          <w:p w14:paraId="113845D7" w14:textId="2D1E7D4A" w:rsidR="002F4907" w:rsidRPr="005D18BC" w:rsidRDefault="002F4907" w:rsidP="002F4907">
            <w:pPr>
              <w:pStyle w:val="Tablewriting"/>
              <w:keepNext/>
              <w:jc w:val="center"/>
              <w:rPr>
                <w:rFonts w:eastAsia="MS Mincho"/>
                <w:highlight w:val="yellow"/>
              </w:rPr>
            </w:pPr>
            <w:r>
              <w:rPr>
                <w:rFonts w:eastAsia="MS Mincho"/>
              </w:rPr>
              <w:t>(0.88, 1.26)</w:t>
            </w:r>
          </w:p>
        </w:tc>
      </w:tr>
      <w:tr w:rsidR="002F4907" w:rsidRPr="00061F78" w14:paraId="7B2B3ACF" w14:textId="77777777" w:rsidTr="003C4F2E">
        <w:trPr>
          <w:cantSplit/>
          <w:trHeight w:val="99"/>
        </w:trPr>
        <w:tc>
          <w:tcPr>
            <w:tcW w:w="5000" w:type="pct"/>
            <w:gridSpan w:val="5"/>
            <w:shd w:val="clear" w:color="auto" w:fill="auto"/>
            <w:tcMar>
              <w:left w:w="28" w:type="dxa"/>
              <w:right w:w="28" w:type="dxa"/>
            </w:tcMar>
          </w:tcPr>
          <w:p w14:paraId="2F701D92" w14:textId="7E5B2B1A" w:rsidR="002F4907" w:rsidRPr="002F4907" w:rsidRDefault="002F4907" w:rsidP="003C4F2E">
            <w:pPr>
              <w:pStyle w:val="Tablewriting"/>
              <w:keepNext/>
              <w:rPr>
                <w:rFonts w:eastAsia="MS Mincho"/>
                <w:b/>
                <w:bCs/>
              </w:rPr>
            </w:pPr>
            <w:r w:rsidRPr="002F4907">
              <w:rPr>
                <w:rFonts w:eastAsia="MS Mincho"/>
                <w:b/>
                <w:bCs/>
              </w:rPr>
              <w:t>24 weeks versus 8 weeks</w:t>
            </w:r>
            <w:r w:rsidR="0045102E">
              <w:rPr>
                <w:rFonts w:eastAsia="MS Mincho"/>
                <w:b/>
                <w:bCs/>
              </w:rPr>
              <w:t xml:space="preserve"> patch</w:t>
            </w:r>
          </w:p>
        </w:tc>
      </w:tr>
      <w:tr w:rsidR="002F4907" w:rsidRPr="00061F78" w14:paraId="70E6CC15" w14:textId="77777777" w:rsidTr="002F4907">
        <w:trPr>
          <w:cantSplit/>
          <w:trHeight w:val="99"/>
        </w:trPr>
        <w:tc>
          <w:tcPr>
            <w:tcW w:w="705" w:type="pct"/>
            <w:shd w:val="clear" w:color="auto" w:fill="auto"/>
            <w:tcMar>
              <w:left w:w="28" w:type="dxa"/>
              <w:right w:w="28" w:type="dxa"/>
            </w:tcMar>
            <w:vAlign w:val="center"/>
          </w:tcPr>
          <w:p w14:paraId="4E00CDEE" w14:textId="77777777" w:rsidR="002F4907" w:rsidRDefault="002F4907" w:rsidP="002F4907">
            <w:pPr>
              <w:pStyle w:val="Tablewriting"/>
              <w:keepNext/>
              <w:rPr>
                <w:rFonts w:eastAsia="MS Mincho"/>
              </w:rPr>
            </w:pPr>
            <w:r>
              <w:rPr>
                <w:rFonts w:eastAsia="MS Mincho"/>
              </w:rPr>
              <w:t xml:space="preserve">Lindson </w:t>
            </w:r>
          </w:p>
          <w:p w14:paraId="447C100F" w14:textId="0FE8FD38" w:rsidR="002F4907" w:rsidRPr="00FF579E" w:rsidRDefault="002F4907" w:rsidP="002F4907">
            <w:pPr>
              <w:pStyle w:val="Tablewriting"/>
              <w:keepNext/>
              <w:rPr>
                <w:rFonts w:eastAsia="MS Mincho"/>
              </w:rPr>
            </w:pPr>
            <w:r>
              <w:rPr>
                <w:rFonts w:eastAsia="MS Mincho"/>
              </w:rPr>
              <w:t>(2019)</w:t>
            </w:r>
          </w:p>
        </w:tc>
        <w:tc>
          <w:tcPr>
            <w:tcW w:w="942" w:type="pct"/>
            <w:shd w:val="clear" w:color="auto" w:fill="auto"/>
            <w:vAlign w:val="center"/>
          </w:tcPr>
          <w:p w14:paraId="6680E8D6" w14:textId="43D70B8B" w:rsidR="002F4907" w:rsidRPr="00FF579E" w:rsidRDefault="002F4907" w:rsidP="002F4907">
            <w:pPr>
              <w:pStyle w:val="Tablewriting"/>
              <w:keepNext/>
              <w:jc w:val="center"/>
              <w:rPr>
                <w:rFonts w:eastAsia="MS Mincho"/>
              </w:rPr>
            </w:pPr>
            <w:r>
              <w:rPr>
                <w:rFonts w:eastAsia="MS Mincho"/>
              </w:rPr>
              <w:t xml:space="preserve">Cochrane Review (2 </w:t>
            </w:r>
            <w:r w:rsidRPr="00FF3382">
              <w:rPr>
                <w:rFonts w:eastAsia="MS Mincho"/>
              </w:rPr>
              <w:t>RCT</w:t>
            </w:r>
            <w:r>
              <w:rPr>
                <w:rFonts w:eastAsia="MS Mincho"/>
              </w:rPr>
              <w:t>s)</w:t>
            </w:r>
          </w:p>
        </w:tc>
        <w:tc>
          <w:tcPr>
            <w:tcW w:w="1180" w:type="pct"/>
            <w:shd w:val="clear" w:color="auto" w:fill="auto"/>
            <w:tcMar>
              <w:left w:w="28" w:type="dxa"/>
              <w:right w:w="28" w:type="dxa"/>
            </w:tcMar>
            <w:vAlign w:val="center"/>
          </w:tcPr>
          <w:p w14:paraId="423D365C" w14:textId="77777777" w:rsidR="002F4907" w:rsidRDefault="005F7DF0" w:rsidP="002F4907">
            <w:pPr>
              <w:pStyle w:val="Tablewriting"/>
              <w:keepNext/>
              <w:jc w:val="center"/>
              <w:rPr>
                <w:rFonts w:eastAsia="MS Mincho"/>
              </w:rPr>
            </w:pPr>
            <w:r>
              <w:rPr>
                <w:rFonts w:eastAsia="MS Mincho"/>
              </w:rPr>
              <w:t>86/455</w:t>
            </w:r>
          </w:p>
          <w:p w14:paraId="67D6DEA1" w14:textId="35A059C4" w:rsidR="005F7DF0" w:rsidRPr="00FF579E" w:rsidRDefault="005F7DF0" w:rsidP="002F4907">
            <w:pPr>
              <w:pStyle w:val="Tablewriting"/>
              <w:keepNext/>
              <w:jc w:val="center"/>
              <w:rPr>
                <w:rFonts w:eastAsia="MS Mincho"/>
              </w:rPr>
            </w:pPr>
            <w:r>
              <w:rPr>
                <w:rFonts w:eastAsia="MS Mincho"/>
              </w:rPr>
              <w:t>(</w:t>
            </w:r>
            <w:r w:rsidR="0018615F">
              <w:rPr>
                <w:rFonts w:eastAsia="MS Mincho"/>
              </w:rPr>
              <w:t>18.9</w:t>
            </w:r>
            <w:r>
              <w:rPr>
                <w:rFonts w:eastAsia="MS Mincho"/>
              </w:rPr>
              <w:t>%)</w:t>
            </w:r>
          </w:p>
        </w:tc>
        <w:tc>
          <w:tcPr>
            <w:tcW w:w="1101" w:type="pct"/>
            <w:shd w:val="clear" w:color="auto" w:fill="auto"/>
            <w:tcMar>
              <w:left w:w="28" w:type="dxa"/>
              <w:right w:w="28" w:type="dxa"/>
            </w:tcMar>
            <w:vAlign w:val="center"/>
          </w:tcPr>
          <w:p w14:paraId="79319D4C" w14:textId="77777777" w:rsidR="002F4907" w:rsidRDefault="005F7DF0" w:rsidP="002F4907">
            <w:pPr>
              <w:pStyle w:val="Tablewriting"/>
              <w:keepNext/>
              <w:jc w:val="center"/>
              <w:rPr>
                <w:rFonts w:eastAsia="MS Mincho"/>
              </w:rPr>
            </w:pPr>
            <w:r>
              <w:rPr>
                <w:rFonts w:eastAsia="MS Mincho"/>
              </w:rPr>
              <w:t>80/466</w:t>
            </w:r>
          </w:p>
          <w:p w14:paraId="43ED5DC5" w14:textId="7643CD92" w:rsidR="005F7DF0" w:rsidRPr="00FF579E" w:rsidRDefault="005F7DF0" w:rsidP="002F4907">
            <w:pPr>
              <w:pStyle w:val="Tablewriting"/>
              <w:keepNext/>
              <w:jc w:val="center"/>
              <w:rPr>
                <w:rFonts w:eastAsia="MS Mincho"/>
              </w:rPr>
            </w:pPr>
            <w:r>
              <w:rPr>
                <w:rFonts w:eastAsia="MS Mincho"/>
              </w:rPr>
              <w:t>(</w:t>
            </w:r>
            <w:r w:rsidR="0018615F">
              <w:rPr>
                <w:rFonts w:eastAsia="MS Mincho"/>
              </w:rPr>
              <w:t>17.2</w:t>
            </w:r>
            <w:r>
              <w:rPr>
                <w:rFonts w:eastAsia="MS Mincho"/>
              </w:rPr>
              <w:t>%)</w:t>
            </w:r>
          </w:p>
        </w:tc>
        <w:tc>
          <w:tcPr>
            <w:tcW w:w="1072" w:type="pct"/>
            <w:shd w:val="clear" w:color="auto" w:fill="auto"/>
            <w:tcMar>
              <w:left w:w="28" w:type="dxa"/>
              <w:right w:w="28" w:type="dxa"/>
            </w:tcMar>
            <w:vAlign w:val="center"/>
          </w:tcPr>
          <w:p w14:paraId="21EB53B4" w14:textId="77777777" w:rsidR="002F4907" w:rsidRPr="006A3C28" w:rsidRDefault="002F4907" w:rsidP="002F4907">
            <w:pPr>
              <w:pStyle w:val="Tablewriting"/>
              <w:keepNext/>
              <w:jc w:val="center"/>
              <w:rPr>
                <w:rFonts w:eastAsia="MS Mincho"/>
              </w:rPr>
            </w:pPr>
            <w:r w:rsidRPr="006A3C28">
              <w:rPr>
                <w:rFonts w:eastAsia="MS Mincho"/>
              </w:rPr>
              <w:t>1.1</w:t>
            </w:r>
          </w:p>
          <w:p w14:paraId="4DC3F04E" w14:textId="100E6943" w:rsidR="002F4907" w:rsidRPr="005D18BC" w:rsidRDefault="002F4907" w:rsidP="002F4907">
            <w:pPr>
              <w:pStyle w:val="Tablewriting"/>
              <w:keepNext/>
              <w:jc w:val="center"/>
              <w:rPr>
                <w:rFonts w:eastAsia="MS Mincho"/>
                <w:highlight w:val="yellow"/>
              </w:rPr>
            </w:pPr>
            <w:r w:rsidRPr="006A3C28">
              <w:rPr>
                <w:rFonts w:eastAsia="MS Mincho"/>
              </w:rPr>
              <w:t>(0.84, 1.45)</w:t>
            </w:r>
          </w:p>
        </w:tc>
      </w:tr>
      <w:tr w:rsidR="002F4907" w:rsidRPr="00061F78" w14:paraId="626D3BCA" w14:textId="77777777" w:rsidTr="003C4F2E">
        <w:trPr>
          <w:cantSplit/>
          <w:trHeight w:val="99"/>
        </w:trPr>
        <w:tc>
          <w:tcPr>
            <w:tcW w:w="5000" w:type="pct"/>
            <w:gridSpan w:val="5"/>
            <w:shd w:val="clear" w:color="auto" w:fill="auto"/>
            <w:tcMar>
              <w:left w:w="28" w:type="dxa"/>
              <w:right w:w="28" w:type="dxa"/>
            </w:tcMar>
          </w:tcPr>
          <w:p w14:paraId="345CAD33" w14:textId="635AD95C" w:rsidR="002F4907" w:rsidRPr="002F4907" w:rsidRDefault="002F4907" w:rsidP="003C4F2E">
            <w:pPr>
              <w:pStyle w:val="Tablewriting"/>
              <w:keepNext/>
              <w:rPr>
                <w:rFonts w:eastAsia="MS Mincho"/>
                <w:b/>
                <w:bCs/>
              </w:rPr>
            </w:pPr>
            <w:r w:rsidRPr="002F4907">
              <w:rPr>
                <w:rFonts w:eastAsia="MS Mincho"/>
                <w:b/>
                <w:bCs/>
              </w:rPr>
              <w:t>12 weeks versus 6 weeks</w:t>
            </w:r>
            <w:r w:rsidR="0045102E">
              <w:rPr>
                <w:rFonts w:eastAsia="MS Mincho"/>
                <w:b/>
                <w:bCs/>
              </w:rPr>
              <w:t xml:space="preserve"> patch</w:t>
            </w:r>
          </w:p>
        </w:tc>
      </w:tr>
      <w:tr w:rsidR="002F4907" w:rsidRPr="00061F78" w14:paraId="2EFD2DB1" w14:textId="77777777" w:rsidTr="002F4907">
        <w:trPr>
          <w:cantSplit/>
          <w:trHeight w:val="99"/>
        </w:trPr>
        <w:tc>
          <w:tcPr>
            <w:tcW w:w="705" w:type="pct"/>
            <w:shd w:val="clear" w:color="auto" w:fill="auto"/>
            <w:tcMar>
              <w:left w:w="28" w:type="dxa"/>
              <w:right w:w="28" w:type="dxa"/>
            </w:tcMar>
            <w:vAlign w:val="center"/>
          </w:tcPr>
          <w:p w14:paraId="4D72E689" w14:textId="77777777" w:rsidR="002F4907" w:rsidRDefault="002F4907" w:rsidP="002F4907">
            <w:pPr>
              <w:pStyle w:val="Tablewriting"/>
              <w:keepNext/>
              <w:rPr>
                <w:rFonts w:eastAsia="MS Mincho"/>
              </w:rPr>
            </w:pPr>
            <w:r>
              <w:rPr>
                <w:rFonts w:eastAsia="MS Mincho"/>
              </w:rPr>
              <w:t xml:space="preserve">Lindson </w:t>
            </w:r>
          </w:p>
          <w:p w14:paraId="139BB26A" w14:textId="4C02F527"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14:paraId="571853EA" w14:textId="60C77644"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5B5815D1" w14:textId="77777777" w:rsidR="002F4907" w:rsidRPr="00081BA3" w:rsidRDefault="002F4907" w:rsidP="002F4907">
            <w:pPr>
              <w:pStyle w:val="Tablewriting"/>
              <w:keepNext/>
              <w:jc w:val="center"/>
              <w:rPr>
                <w:rFonts w:eastAsia="MS Mincho"/>
              </w:rPr>
            </w:pPr>
            <w:r w:rsidRPr="00081BA3">
              <w:rPr>
                <w:rFonts w:eastAsia="MS Mincho"/>
              </w:rPr>
              <w:t>21/69</w:t>
            </w:r>
          </w:p>
          <w:p w14:paraId="5D49DCA6" w14:textId="77777777" w:rsidR="002F4907" w:rsidRPr="00081BA3" w:rsidRDefault="002F4907" w:rsidP="002F4907">
            <w:pPr>
              <w:pStyle w:val="Tablewriting"/>
              <w:keepNext/>
              <w:jc w:val="center"/>
              <w:rPr>
                <w:rFonts w:eastAsia="MS Mincho"/>
              </w:rPr>
            </w:pPr>
            <w:r w:rsidRPr="00081BA3">
              <w:rPr>
                <w:rFonts w:eastAsia="MS Mincho"/>
              </w:rPr>
              <w:t>(30.4%)</w:t>
            </w:r>
          </w:p>
        </w:tc>
        <w:tc>
          <w:tcPr>
            <w:tcW w:w="1101" w:type="pct"/>
            <w:shd w:val="clear" w:color="auto" w:fill="auto"/>
            <w:tcMar>
              <w:left w:w="28" w:type="dxa"/>
              <w:right w:w="28" w:type="dxa"/>
            </w:tcMar>
            <w:vAlign w:val="center"/>
          </w:tcPr>
          <w:p w14:paraId="75A2B174" w14:textId="77777777" w:rsidR="002F4907" w:rsidRPr="00081BA3" w:rsidRDefault="002F4907" w:rsidP="002F4907">
            <w:pPr>
              <w:pStyle w:val="Tablewriting"/>
              <w:keepNext/>
              <w:jc w:val="center"/>
              <w:rPr>
                <w:rFonts w:eastAsia="MS Mincho"/>
              </w:rPr>
            </w:pPr>
            <w:r w:rsidRPr="00081BA3">
              <w:rPr>
                <w:rFonts w:eastAsia="MS Mincho"/>
              </w:rPr>
              <w:t>21/71</w:t>
            </w:r>
          </w:p>
          <w:p w14:paraId="7D7EB795" w14:textId="77777777" w:rsidR="002F4907" w:rsidRPr="00081BA3" w:rsidRDefault="002F4907" w:rsidP="002F4907">
            <w:pPr>
              <w:pStyle w:val="Tablewriting"/>
              <w:keepNext/>
              <w:jc w:val="center"/>
              <w:rPr>
                <w:rFonts w:eastAsia="MS Mincho"/>
              </w:rPr>
            </w:pPr>
            <w:r w:rsidRPr="00081BA3">
              <w:rPr>
                <w:rFonts w:eastAsia="MS Mincho"/>
              </w:rPr>
              <w:t>(29.6%)</w:t>
            </w:r>
          </w:p>
        </w:tc>
        <w:tc>
          <w:tcPr>
            <w:tcW w:w="1072" w:type="pct"/>
            <w:shd w:val="clear" w:color="auto" w:fill="auto"/>
            <w:tcMar>
              <w:left w:w="28" w:type="dxa"/>
              <w:right w:w="28" w:type="dxa"/>
            </w:tcMar>
            <w:vAlign w:val="center"/>
          </w:tcPr>
          <w:p w14:paraId="601C8977" w14:textId="77777777" w:rsidR="002F4907" w:rsidRDefault="002F4907" w:rsidP="002F4907">
            <w:pPr>
              <w:pStyle w:val="Tablewriting"/>
              <w:keepNext/>
              <w:jc w:val="center"/>
              <w:rPr>
                <w:rFonts w:eastAsia="MS Mincho"/>
              </w:rPr>
            </w:pPr>
            <w:r>
              <w:rPr>
                <w:rFonts w:eastAsia="MS Mincho"/>
              </w:rPr>
              <w:t>1.03</w:t>
            </w:r>
          </w:p>
          <w:p w14:paraId="413F2863" w14:textId="60561601" w:rsidR="002F4907" w:rsidRPr="005D18BC" w:rsidRDefault="002F4907" w:rsidP="002F4907">
            <w:pPr>
              <w:pStyle w:val="Tablewriting"/>
              <w:keepNext/>
              <w:jc w:val="center"/>
              <w:rPr>
                <w:rFonts w:eastAsia="MS Mincho"/>
                <w:highlight w:val="yellow"/>
              </w:rPr>
            </w:pPr>
            <w:r>
              <w:rPr>
                <w:rFonts w:eastAsia="MS Mincho"/>
              </w:rPr>
              <w:t>(0.62, 1.71)</w:t>
            </w:r>
          </w:p>
        </w:tc>
      </w:tr>
      <w:tr w:rsidR="002F4907" w:rsidRPr="00061F78" w14:paraId="2E689C61" w14:textId="77777777" w:rsidTr="003C4F2E">
        <w:trPr>
          <w:cantSplit/>
          <w:trHeight w:val="99"/>
        </w:trPr>
        <w:tc>
          <w:tcPr>
            <w:tcW w:w="5000" w:type="pct"/>
            <w:gridSpan w:val="5"/>
            <w:shd w:val="clear" w:color="auto" w:fill="auto"/>
            <w:tcMar>
              <w:left w:w="28" w:type="dxa"/>
              <w:right w:w="28" w:type="dxa"/>
            </w:tcMar>
          </w:tcPr>
          <w:p w14:paraId="41CE9CF8" w14:textId="75FE5A8D" w:rsidR="002F4907" w:rsidRPr="002F4907" w:rsidRDefault="002F4907" w:rsidP="003C4F2E">
            <w:pPr>
              <w:pStyle w:val="Tablewriting"/>
              <w:keepNext/>
              <w:rPr>
                <w:rFonts w:eastAsia="MS Mincho"/>
                <w:b/>
                <w:bCs/>
              </w:rPr>
            </w:pPr>
            <w:r w:rsidRPr="002F4907">
              <w:rPr>
                <w:rFonts w:eastAsia="MS Mincho"/>
                <w:b/>
                <w:bCs/>
              </w:rPr>
              <w:t>12 weeks versus 3 weeks</w:t>
            </w:r>
            <w:r w:rsidR="0045102E">
              <w:rPr>
                <w:rFonts w:eastAsia="MS Mincho"/>
                <w:b/>
                <w:bCs/>
              </w:rPr>
              <w:t xml:space="preserve"> patch</w:t>
            </w:r>
          </w:p>
        </w:tc>
      </w:tr>
      <w:tr w:rsidR="002F4907" w:rsidRPr="00061F78" w14:paraId="1C219243" w14:textId="77777777" w:rsidTr="002F4907">
        <w:trPr>
          <w:cantSplit/>
          <w:trHeight w:val="99"/>
        </w:trPr>
        <w:tc>
          <w:tcPr>
            <w:tcW w:w="705" w:type="pct"/>
            <w:shd w:val="clear" w:color="auto" w:fill="auto"/>
            <w:tcMar>
              <w:left w:w="28" w:type="dxa"/>
              <w:right w:w="28" w:type="dxa"/>
            </w:tcMar>
            <w:vAlign w:val="center"/>
          </w:tcPr>
          <w:p w14:paraId="7BD5775D" w14:textId="77777777" w:rsidR="002F4907" w:rsidRDefault="002F4907" w:rsidP="002F4907">
            <w:pPr>
              <w:pStyle w:val="Tablewriting"/>
              <w:keepNext/>
              <w:rPr>
                <w:rFonts w:eastAsia="MS Mincho"/>
              </w:rPr>
            </w:pPr>
            <w:r>
              <w:rPr>
                <w:rFonts w:eastAsia="MS Mincho"/>
              </w:rPr>
              <w:t xml:space="preserve">Lindson </w:t>
            </w:r>
          </w:p>
          <w:p w14:paraId="7E43F73F" w14:textId="4751284A"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14:paraId="10712D11" w14:textId="432B1253"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60DA9E58" w14:textId="77777777" w:rsidR="002F4907" w:rsidRPr="00081BA3" w:rsidRDefault="002F4907" w:rsidP="002F4907">
            <w:pPr>
              <w:pStyle w:val="Tablewriting"/>
              <w:keepNext/>
              <w:jc w:val="center"/>
              <w:rPr>
                <w:rFonts w:eastAsia="MS Mincho"/>
              </w:rPr>
            </w:pPr>
            <w:r w:rsidRPr="00081BA3">
              <w:rPr>
                <w:rFonts w:eastAsia="MS Mincho"/>
              </w:rPr>
              <w:t>7/48</w:t>
            </w:r>
          </w:p>
          <w:p w14:paraId="3DF98683" w14:textId="77777777" w:rsidR="002F4907" w:rsidRPr="00081BA3" w:rsidRDefault="002F4907" w:rsidP="002F4907">
            <w:pPr>
              <w:pStyle w:val="Tablewriting"/>
              <w:keepNext/>
              <w:jc w:val="center"/>
              <w:rPr>
                <w:rFonts w:eastAsia="MS Mincho"/>
              </w:rPr>
            </w:pPr>
            <w:r w:rsidRPr="00081BA3">
              <w:rPr>
                <w:rFonts w:eastAsia="MS Mincho"/>
              </w:rPr>
              <w:t>(14.6%)</w:t>
            </w:r>
          </w:p>
        </w:tc>
        <w:tc>
          <w:tcPr>
            <w:tcW w:w="1101" w:type="pct"/>
            <w:shd w:val="clear" w:color="auto" w:fill="auto"/>
            <w:tcMar>
              <w:left w:w="28" w:type="dxa"/>
              <w:right w:w="28" w:type="dxa"/>
            </w:tcMar>
            <w:vAlign w:val="center"/>
          </w:tcPr>
          <w:p w14:paraId="28AA22B0" w14:textId="77777777" w:rsidR="002F4907" w:rsidRPr="00081BA3" w:rsidRDefault="002F4907" w:rsidP="002F4907">
            <w:pPr>
              <w:pStyle w:val="Tablewriting"/>
              <w:keepNext/>
              <w:jc w:val="center"/>
              <w:rPr>
                <w:rFonts w:eastAsia="MS Mincho"/>
              </w:rPr>
            </w:pPr>
            <w:r w:rsidRPr="00081BA3">
              <w:rPr>
                <w:rFonts w:eastAsia="MS Mincho"/>
              </w:rPr>
              <w:t>12/50</w:t>
            </w:r>
          </w:p>
          <w:p w14:paraId="22017E46" w14:textId="77777777" w:rsidR="002F4907" w:rsidRPr="00081BA3" w:rsidRDefault="002F4907" w:rsidP="002F4907">
            <w:pPr>
              <w:pStyle w:val="Tablewriting"/>
              <w:keepNext/>
              <w:jc w:val="center"/>
              <w:rPr>
                <w:rFonts w:eastAsia="MS Mincho"/>
              </w:rPr>
            </w:pPr>
            <w:r w:rsidRPr="00081BA3">
              <w:rPr>
                <w:rFonts w:eastAsia="MS Mincho"/>
              </w:rPr>
              <w:t>(24%)</w:t>
            </w:r>
          </w:p>
        </w:tc>
        <w:tc>
          <w:tcPr>
            <w:tcW w:w="1072" w:type="pct"/>
            <w:shd w:val="clear" w:color="auto" w:fill="auto"/>
            <w:tcMar>
              <w:left w:w="28" w:type="dxa"/>
              <w:right w:w="28" w:type="dxa"/>
            </w:tcMar>
            <w:vAlign w:val="center"/>
          </w:tcPr>
          <w:p w14:paraId="5D5687F2" w14:textId="77777777" w:rsidR="002F4907" w:rsidRDefault="002F4907" w:rsidP="002F4907">
            <w:pPr>
              <w:pStyle w:val="Tablewriting"/>
              <w:keepNext/>
              <w:jc w:val="center"/>
              <w:rPr>
                <w:rFonts w:eastAsia="MS Mincho"/>
              </w:rPr>
            </w:pPr>
            <w:r>
              <w:rPr>
                <w:rFonts w:eastAsia="MS Mincho"/>
              </w:rPr>
              <w:t xml:space="preserve">0.61 </w:t>
            </w:r>
          </w:p>
          <w:p w14:paraId="2A1FAC4B" w14:textId="64130BB2" w:rsidR="002F4907" w:rsidRPr="005D18BC" w:rsidRDefault="002F4907" w:rsidP="002F4907">
            <w:pPr>
              <w:pStyle w:val="Tablewriting"/>
              <w:keepNext/>
              <w:jc w:val="center"/>
              <w:rPr>
                <w:rFonts w:eastAsia="MS Mincho"/>
                <w:highlight w:val="yellow"/>
              </w:rPr>
            </w:pPr>
            <w:r>
              <w:rPr>
                <w:rFonts w:eastAsia="MS Mincho"/>
              </w:rPr>
              <w:t>(0.26, 1.41)</w:t>
            </w:r>
          </w:p>
        </w:tc>
      </w:tr>
      <w:tr w:rsidR="002F4907" w:rsidRPr="00061F78" w14:paraId="242BBA5A" w14:textId="77777777" w:rsidTr="003C4F2E">
        <w:trPr>
          <w:cantSplit/>
          <w:trHeight w:val="99"/>
        </w:trPr>
        <w:tc>
          <w:tcPr>
            <w:tcW w:w="5000" w:type="pct"/>
            <w:gridSpan w:val="5"/>
            <w:shd w:val="clear" w:color="auto" w:fill="auto"/>
            <w:tcMar>
              <w:left w:w="28" w:type="dxa"/>
              <w:right w:w="28" w:type="dxa"/>
            </w:tcMar>
          </w:tcPr>
          <w:p w14:paraId="4EF4E616" w14:textId="6B8E99FA" w:rsidR="002F4907" w:rsidRPr="002F4907" w:rsidRDefault="002F4907" w:rsidP="003C4F2E">
            <w:pPr>
              <w:pStyle w:val="Tablewriting"/>
              <w:keepNext/>
              <w:rPr>
                <w:rFonts w:eastAsia="MS Mincho"/>
                <w:b/>
                <w:bCs/>
              </w:rPr>
            </w:pPr>
            <w:r w:rsidRPr="002F4907">
              <w:rPr>
                <w:rFonts w:eastAsia="MS Mincho"/>
                <w:b/>
                <w:bCs/>
              </w:rPr>
              <w:t>6 weeks versus 4 weeks</w:t>
            </w:r>
            <w:r w:rsidR="0045102E">
              <w:rPr>
                <w:rFonts w:eastAsia="MS Mincho"/>
                <w:b/>
                <w:bCs/>
              </w:rPr>
              <w:t xml:space="preserve"> patch</w:t>
            </w:r>
          </w:p>
        </w:tc>
      </w:tr>
      <w:tr w:rsidR="002F4907" w:rsidRPr="00061F78" w14:paraId="7D10C203" w14:textId="77777777" w:rsidTr="002F4907">
        <w:trPr>
          <w:cantSplit/>
          <w:trHeight w:val="99"/>
        </w:trPr>
        <w:tc>
          <w:tcPr>
            <w:tcW w:w="705" w:type="pct"/>
            <w:shd w:val="clear" w:color="auto" w:fill="auto"/>
            <w:tcMar>
              <w:left w:w="28" w:type="dxa"/>
              <w:right w:w="28" w:type="dxa"/>
            </w:tcMar>
            <w:vAlign w:val="center"/>
          </w:tcPr>
          <w:p w14:paraId="42C6550A" w14:textId="77777777" w:rsidR="002F4907" w:rsidRDefault="002F4907" w:rsidP="002F4907">
            <w:pPr>
              <w:pStyle w:val="Tablewriting"/>
              <w:keepNext/>
              <w:rPr>
                <w:rFonts w:eastAsia="MS Mincho"/>
              </w:rPr>
            </w:pPr>
            <w:r>
              <w:rPr>
                <w:rFonts w:eastAsia="MS Mincho"/>
              </w:rPr>
              <w:t xml:space="preserve">Lindson </w:t>
            </w:r>
          </w:p>
          <w:p w14:paraId="3C98D8CD" w14:textId="4DB93F7E" w:rsidR="002F4907" w:rsidRPr="005D18BC" w:rsidRDefault="002F4907" w:rsidP="002F4907">
            <w:pPr>
              <w:pStyle w:val="Tablewriting"/>
              <w:keepNext/>
              <w:rPr>
                <w:rFonts w:eastAsia="MS Mincho"/>
                <w:highlight w:val="yellow"/>
              </w:rPr>
            </w:pPr>
            <w:r>
              <w:rPr>
                <w:rFonts w:eastAsia="MS Mincho"/>
              </w:rPr>
              <w:t>(2019)</w:t>
            </w:r>
          </w:p>
        </w:tc>
        <w:tc>
          <w:tcPr>
            <w:tcW w:w="942" w:type="pct"/>
            <w:shd w:val="clear" w:color="auto" w:fill="auto"/>
            <w:vAlign w:val="center"/>
          </w:tcPr>
          <w:p w14:paraId="4EC1FC99" w14:textId="7623818D"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tcMar>
              <w:left w:w="28" w:type="dxa"/>
              <w:right w:w="28" w:type="dxa"/>
            </w:tcMar>
            <w:vAlign w:val="center"/>
          </w:tcPr>
          <w:p w14:paraId="03046868" w14:textId="77777777" w:rsidR="002F4907" w:rsidRPr="00081BA3" w:rsidRDefault="002F4907" w:rsidP="002F4907">
            <w:pPr>
              <w:pStyle w:val="Tablewriting"/>
              <w:keepNext/>
              <w:jc w:val="center"/>
              <w:rPr>
                <w:rFonts w:eastAsia="MS Mincho"/>
              </w:rPr>
            </w:pPr>
            <w:r w:rsidRPr="00081BA3">
              <w:rPr>
                <w:rFonts w:eastAsia="MS Mincho"/>
              </w:rPr>
              <w:t>134/944</w:t>
            </w:r>
          </w:p>
          <w:p w14:paraId="5B2603B2" w14:textId="77777777" w:rsidR="002F4907" w:rsidRPr="00081BA3" w:rsidRDefault="002F4907" w:rsidP="002F4907">
            <w:pPr>
              <w:pStyle w:val="Tablewriting"/>
              <w:keepNext/>
              <w:jc w:val="center"/>
              <w:rPr>
                <w:rFonts w:eastAsia="MS Mincho"/>
              </w:rPr>
            </w:pPr>
            <w:r w:rsidRPr="00081BA3">
              <w:rPr>
                <w:rFonts w:eastAsia="MS Mincho"/>
              </w:rPr>
              <w:t>(14.2%)</w:t>
            </w:r>
          </w:p>
        </w:tc>
        <w:tc>
          <w:tcPr>
            <w:tcW w:w="1101" w:type="pct"/>
            <w:shd w:val="clear" w:color="auto" w:fill="auto"/>
            <w:tcMar>
              <w:left w:w="28" w:type="dxa"/>
              <w:right w:w="28" w:type="dxa"/>
            </w:tcMar>
            <w:vAlign w:val="center"/>
          </w:tcPr>
          <w:p w14:paraId="5C689A0F" w14:textId="77777777" w:rsidR="002F4907" w:rsidRPr="00081BA3" w:rsidRDefault="002F4907" w:rsidP="002F4907">
            <w:pPr>
              <w:pStyle w:val="Tablewriting"/>
              <w:keepNext/>
              <w:jc w:val="center"/>
              <w:rPr>
                <w:rFonts w:eastAsia="MS Mincho"/>
              </w:rPr>
            </w:pPr>
            <w:r w:rsidRPr="00081BA3">
              <w:rPr>
                <w:rFonts w:eastAsia="MS Mincho"/>
              </w:rPr>
              <w:t>124/929</w:t>
            </w:r>
          </w:p>
          <w:p w14:paraId="33EB0C7D" w14:textId="77777777" w:rsidR="002F4907" w:rsidRPr="00081BA3" w:rsidRDefault="002F4907" w:rsidP="002F4907">
            <w:pPr>
              <w:pStyle w:val="Tablewriting"/>
              <w:keepNext/>
              <w:jc w:val="center"/>
              <w:rPr>
                <w:rFonts w:eastAsia="MS Mincho"/>
              </w:rPr>
            </w:pPr>
            <w:r w:rsidRPr="00081BA3">
              <w:rPr>
                <w:rFonts w:eastAsia="MS Mincho"/>
              </w:rPr>
              <w:t>(13.3%)</w:t>
            </w:r>
          </w:p>
        </w:tc>
        <w:tc>
          <w:tcPr>
            <w:tcW w:w="1072" w:type="pct"/>
            <w:shd w:val="clear" w:color="auto" w:fill="auto"/>
            <w:tcMar>
              <w:left w:w="28" w:type="dxa"/>
              <w:right w:w="28" w:type="dxa"/>
            </w:tcMar>
            <w:vAlign w:val="center"/>
          </w:tcPr>
          <w:p w14:paraId="738937EE" w14:textId="77777777" w:rsidR="002F4907" w:rsidRDefault="002F4907" w:rsidP="002F4907">
            <w:pPr>
              <w:pStyle w:val="Tablewriting"/>
              <w:keepNext/>
              <w:jc w:val="center"/>
              <w:rPr>
                <w:rFonts w:eastAsia="MS Mincho"/>
              </w:rPr>
            </w:pPr>
            <w:r>
              <w:rPr>
                <w:rFonts w:eastAsia="MS Mincho"/>
              </w:rPr>
              <w:t xml:space="preserve">1.06 </w:t>
            </w:r>
          </w:p>
          <w:p w14:paraId="75594749" w14:textId="789D3497" w:rsidR="002F4907" w:rsidRPr="005D18BC" w:rsidRDefault="002F4907" w:rsidP="002F4907">
            <w:pPr>
              <w:pStyle w:val="Tablewriting"/>
              <w:keepNext/>
              <w:jc w:val="center"/>
              <w:rPr>
                <w:rFonts w:eastAsia="MS Mincho"/>
                <w:highlight w:val="yellow"/>
              </w:rPr>
            </w:pPr>
            <w:r>
              <w:rPr>
                <w:rFonts w:eastAsia="MS Mincho"/>
              </w:rPr>
              <w:t>(0.85, 1.33)</w:t>
            </w:r>
          </w:p>
        </w:tc>
      </w:tr>
      <w:tr w:rsidR="002F4907" w:rsidRPr="00061F78" w14:paraId="3DB424E4" w14:textId="77777777" w:rsidTr="003C4F2E">
        <w:trPr>
          <w:cantSplit/>
          <w:trHeight w:val="99"/>
        </w:trPr>
        <w:tc>
          <w:tcPr>
            <w:tcW w:w="5000" w:type="pct"/>
            <w:gridSpan w:val="5"/>
            <w:shd w:val="clear" w:color="auto" w:fill="auto"/>
            <w:tcMar>
              <w:left w:w="28" w:type="dxa"/>
              <w:right w:w="28" w:type="dxa"/>
            </w:tcMar>
          </w:tcPr>
          <w:p w14:paraId="06EFEF18" w14:textId="52D51EB4" w:rsidR="002F4907" w:rsidRPr="002F4907" w:rsidRDefault="002F4907" w:rsidP="003C4F2E">
            <w:pPr>
              <w:pStyle w:val="Tablewriting"/>
              <w:keepNext/>
              <w:rPr>
                <w:rFonts w:eastAsia="MS Mincho"/>
                <w:b/>
                <w:bCs/>
              </w:rPr>
            </w:pPr>
            <w:r w:rsidRPr="002F4907">
              <w:rPr>
                <w:rFonts w:eastAsia="MS Mincho"/>
                <w:b/>
                <w:bCs/>
              </w:rPr>
              <w:t xml:space="preserve">6 weeks versus </w:t>
            </w:r>
            <w:r w:rsidR="005F7DF0">
              <w:rPr>
                <w:rFonts w:eastAsia="MS Mincho"/>
                <w:b/>
                <w:bCs/>
              </w:rPr>
              <w:t>2</w:t>
            </w:r>
            <w:r w:rsidRPr="002F4907">
              <w:rPr>
                <w:rFonts w:eastAsia="MS Mincho"/>
                <w:b/>
                <w:bCs/>
              </w:rPr>
              <w:t>-3 weeks</w:t>
            </w:r>
            <w:r w:rsidR="0045102E">
              <w:rPr>
                <w:rFonts w:eastAsia="MS Mincho"/>
                <w:b/>
                <w:bCs/>
              </w:rPr>
              <w:t xml:space="preserve"> patch</w:t>
            </w:r>
          </w:p>
        </w:tc>
      </w:tr>
      <w:tr w:rsidR="002F4907" w:rsidRPr="00061F78" w14:paraId="0C0EF8D1" w14:textId="77777777" w:rsidTr="002F4907">
        <w:trPr>
          <w:cantSplit/>
          <w:trHeight w:val="99"/>
        </w:trPr>
        <w:tc>
          <w:tcPr>
            <w:tcW w:w="705" w:type="pct"/>
            <w:shd w:val="clear" w:color="auto" w:fill="auto"/>
            <w:tcMar>
              <w:left w:w="28" w:type="dxa"/>
              <w:right w:w="28" w:type="dxa"/>
            </w:tcMar>
            <w:vAlign w:val="center"/>
          </w:tcPr>
          <w:p w14:paraId="652E8D53" w14:textId="77777777" w:rsidR="002F4907" w:rsidRDefault="002F4907" w:rsidP="002F4907">
            <w:pPr>
              <w:pStyle w:val="Tablewriting"/>
              <w:keepNext/>
              <w:rPr>
                <w:rFonts w:eastAsia="MS Mincho"/>
              </w:rPr>
            </w:pPr>
            <w:r>
              <w:rPr>
                <w:rFonts w:eastAsia="MS Mincho"/>
              </w:rPr>
              <w:t xml:space="preserve">Lindson </w:t>
            </w:r>
          </w:p>
          <w:p w14:paraId="42F80902" w14:textId="45F08EE8" w:rsidR="002F4907" w:rsidRPr="00FF579E" w:rsidRDefault="002F4907" w:rsidP="002F4907">
            <w:pPr>
              <w:pStyle w:val="Tablewriting"/>
              <w:keepNext/>
              <w:rPr>
                <w:rFonts w:eastAsia="MS Mincho"/>
              </w:rPr>
            </w:pPr>
            <w:r>
              <w:rPr>
                <w:rFonts w:eastAsia="MS Mincho"/>
              </w:rPr>
              <w:t>(2019)</w:t>
            </w:r>
          </w:p>
        </w:tc>
        <w:tc>
          <w:tcPr>
            <w:tcW w:w="942" w:type="pct"/>
            <w:shd w:val="clear" w:color="auto" w:fill="auto"/>
            <w:vAlign w:val="center"/>
          </w:tcPr>
          <w:p w14:paraId="407E64D3" w14:textId="0D87D2FD" w:rsidR="002F4907" w:rsidRPr="00FF579E" w:rsidRDefault="002F4907" w:rsidP="002F4907">
            <w:pPr>
              <w:pStyle w:val="Tablewriting"/>
              <w:keepNext/>
              <w:jc w:val="center"/>
              <w:rPr>
                <w:rFonts w:eastAsia="MS Mincho"/>
              </w:rPr>
            </w:pPr>
            <w:r>
              <w:rPr>
                <w:rFonts w:eastAsia="MS Mincho"/>
              </w:rPr>
              <w:t xml:space="preserve">Cochrane Review (2 </w:t>
            </w:r>
            <w:r w:rsidRPr="00FF3382">
              <w:rPr>
                <w:rFonts w:eastAsia="MS Mincho"/>
              </w:rPr>
              <w:t>RCT</w:t>
            </w:r>
            <w:r>
              <w:rPr>
                <w:rFonts w:eastAsia="MS Mincho"/>
              </w:rPr>
              <w:t>s)</w:t>
            </w:r>
          </w:p>
        </w:tc>
        <w:tc>
          <w:tcPr>
            <w:tcW w:w="1180" w:type="pct"/>
            <w:shd w:val="clear" w:color="auto" w:fill="auto"/>
            <w:tcMar>
              <w:left w:w="28" w:type="dxa"/>
              <w:right w:w="28" w:type="dxa"/>
            </w:tcMar>
            <w:vAlign w:val="center"/>
          </w:tcPr>
          <w:p w14:paraId="18C6F517" w14:textId="77777777" w:rsidR="002F4907" w:rsidRDefault="005F7DF0" w:rsidP="002F4907">
            <w:pPr>
              <w:pStyle w:val="Tablewriting"/>
              <w:keepNext/>
              <w:jc w:val="center"/>
              <w:rPr>
                <w:rFonts w:eastAsia="MS Mincho"/>
              </w:rPr>
            </w:pPr>
            <w:r>
              <w:rPr>
                <w:rFonts w:eastAsia="MS Mincho"/>
              </w:rPr>
              <w:t>148/984</w:t>
            </w:r>
          </w:p>
          <w:p w14:paraId="1FEED490" w14:textId="09B1A81E" w:rsidR="005F7DF0" w:rsidRPr="00FF579E" w:rsidRDefault="005F7DF0" w:rsidP="002F4907">
            <w:pPr>
              <w:pStyle w:val="Tablewriting"/>
              <w:keepNext/>
              <w:jc w:val="center"/>
              <w:rPr>
                <w:rFonts w:eastAsia="MS Mincho"/>
              </w:rPr>
            </w:pPr>
            <w:r>
              <w:rPr>
                <w:rFonts w:eastAsia="MS Mincho"/>
              </w:rPr>
              <w:t>(</w:t>
            </w:r>
            <w:r w:rsidR="0018615F">
              <w:rPr>
                <w:rFonts w:eastAsia="MS Mincho"/>
              </w:rPr>
              <w:t>15.0</w:t>
            </w:r>
            <w:r>
              <w:rPr>
                <w:rFonts w:eastAsia="MS Mincho"/>
              </w:rPr>
              <w:t>%)</w:t>
            </w:r>
          </w:p>
        </w:tc>
        <w:tc>
          <w:tcPr>
            <w:tcW w:w="1101" w:type="pct"/>
            <w:shd w:val="clear" w:color="auto" w:fill="auto"/>
            <w:tcMar>
              <w:left w:w="28" w:type="dxa"/>
              <w:right w:w="28" w:type="dxa"/>
            </w:tcMar>
            <w:vAlign w:val="center"/>
          </w:tcPr>
          <w:p w14:paraId="59FF18B9" w14:textId="77777777" w:rsidR="002F4907" w:rsidRDefault="005F7DF0" w:rsidP="002F4907">
            <w:pPr>
              <w:pStyle w:val="Tablewriting"/>
              <w:keepNext/>
              <w:jc w:val="center"/>
              <w:rPr>
                <w:rFonts w:eastAsia="MS Mincho"/>
              </w:rPr>
            </w:pPr>
            <w:r>
              <w:rPr>
                <w:rFonts w:eastAsia="MS Mincho"/>
              </w:rPr>
              <w:t>130/973</w:t>
            </w:r>
          </w:p>
          <w:p w14:paraId="22E5BFDF" w14:textId="3CED33BC" w:rsidR="005F7DF0" w:rsidRPr="00FF579E" w:rsidRDefault="005F7DF0" w:rsidP="002F4907">
            <w:pPr>
              <w:pStyle w:val="Tablewriting"/>
              <w:keepNext/>
              <w:jc w:val="center"/>
              <w:rPr>
                <w:rFonts w:eastAsia="MS Mincho"/>
              </w:rPr>
            </w:pPr>
            <w:r>
              <w:rPr>
                <w:rFonts w:eastAsia="MS Mincho"/>
              </w:rPr>
              <w:t>(</w:t>
            </w:r>
            <w:r w:rsidR="0018615F">
              <w:rPr>
                <w:rFonts w:eastAsia="MS Mincho"/>
              </w:rPr>
              <w:t>13.4</w:t>
            </w:r>
            <w:r>
              <w:rPr>
                <w:rFonts w:eastAsia="MS Mincho"/>
              </w:rPr>
              <w:t>%)</w:t>
            </w:r>
          </w:p>
        </w:tc>
        <w:tc>
          <w:tcPr>
            <w:tcW w:w="1072" w:type="pct"/>
            <w:shd w:val="clear" w:color="auto" w:fill="auto"/>
            <w:tcMar>
              <w:left w:w="28" w:type="dxa"/>
              <w:right w:w="28" w:type="dxa"/>
            </w:tcMar>
            <w:vAlign w:val="center"/>
          </w:tcPr>
          <w:p w14:paraId="72A551E6" w14:textId="77777777" w:rsidR="002F4907" w:rsidRDefault="002F4907" w:rsidP="002F4907">
            <w:pPr>
              <w:pStyle w:val="Tablewriting"/>
              <w:keepNext/>
              <w:jc w:val="center"/>
              <w:rPr>
                <w:rFonts w:eastAsia="MS Mincho"/>
              </w:rPr>
            </w:pPr>
            <w:r>
              <w:rPr>
                <w:rFonts w:eastAsia="MS Mincho"/>
              </w:rPr>
              <w:t xml:space="preserve">1.13 </w:t>
            </w:r>
          </w:p>
          <w:p w14:paraId="457DF439" w14:textId="2488E465" w:rsidR="002F4907" w:rsidRPr="005D18BC" w:rsidRDefault="002F4907" w:rsidP="002F4907">
            <w:pPr>
              <w:pStyle w:val="Tablewriting"/>
              <w:keepNext/>
              <w:jc w:val="center"/>
              <w:rPr>
                <w:rFonts w:eastAsia="MS Mincho"/>
                <w:highlight w:val="yellow"/>
              </w:rPr>
            </w:pPr>
            <w:r>
              <w:rPr>
                <w:rFonts w:eastAsia="MS Mincho"/>
              </w:rPr>
              <w:t>(0.91, 1.4)</w:t>
            </w:r>
          </w:p>
        </w:tc>
      </w:tr>
      <w:tr w:rsidR="002F4907" w:rsidRPr="00061F78" w14:paraId="34F951CF" w14:textId="77777777" w:rsidTr="003C4F2E">
        <w:trPr>
          <w:cantSplit/>
          <w:trHeight w:val="99"/>
        </w:trPr>
        <w:tc>
          <w:tcPr>
            <w:tcW w:w="5000" w:type="pct"/>
            <w:gridSpan w:val="5"/>
            <w:shd w:val="clear" w:color="auto" w:fill="auto"/>
            <w:tcMar>
              <w:left w:w="28" w:type="dxa"/>
              <w:right w:w="28" w:type="dxa"/>
            </w:tcMar>
          </w:tcPr>
          <w:p w14:paraId="0411ABD2" w14:textId="08E6ACAE" w:rsidR="002F4907" w:rsidRPr="002F4907" w:rsidRDefault="002F4907" w:rsidP="003C4F2E">
            <w:pPr>
              <w:pStyle w:val="Tablewriting"/>
              <w:keepNext/>
              <w:rPr>
                <w:rFonts w:eastAsia="MS Mincho"/>
                <w:b/>
                <w:bCs/>
                <w:u w:val="single"/>
              </w:rPr>
            </w:pPr>
            <w:r w:rsidRPr="002F4907">
              <w:rPr>
                <w:rFonts w:eastAsia="MS Mincho"/>
                <w:b/>
                <w:bCs/>
              </w:rPr>
              <w:t>4 weeks versus 2 weeks</w:t>
            </w:r>
            <w:r w:rsidR="0045102E">
              <w:rPr>
                <w:rFonts w:eastAsia="MS Mincho"/>
                <w:b/>
                <w:bCs/>
              </w:rPr>
              <w:t xml:space="preserve"> patch</w:t>
            </w:r>
          </w:p>
        </w:tc>
      </w:tr>
      <w:tr w:rsidR="002F4907" w:rsidRPr="00061F78" w14:paraId="1E188FAD" w14:textId="77777777" w:rsidTr="002F4907">
        <w:trPr>
          <w:cantSplit/>
          <w:trHeight w:val="99"/>
        </w:trPr>
        <w:tc>
          <w:tcPr>
            <w:tcW w:w="705" w:type="pct"/>
            <w:shd w:val="clear" w:color="auto" w:fill="auto"/>
            <w:tcMar>
              <w:left w:w="28" w:type="dxa"/>
              <w:right w:w="28" w:type="dxa"/>
            </w:tcMar>
            <w:vAlign w:val="center"/>
          </w:tcPr>
          <w:p w14:paraId="06CD5427" w14:textId="77777777" w:rsidR="002F4907" w:rsidRDefault="002F4907" w:rsidP="002F4907">
            <w:pPr>
              <w:pStyle w:val="Tablewriting"/>
              <w:keepNext/>
              <w:rPr>
                <w:rFonts w:eastAsia="MS Mincho"/>
              </w:rPr>
            </w:pPr>
            <w:r>
              <w:rPr>
                <w:rFonts w:eastAsia="MS Mincho"/>
              </w:rPr>
              <w:t xml:space="preserve">Lindson </w:t>
            </w:r>
          </w:p>
          <w:p w14:paraId="5BC446B8" w14:textId="0E220981" w:rsidR="002F4907" w:rsidRPr="008F7D0B" w:rsidRDefault="002F4907" w:rsidP="002F4907">
            <w:pPr>
              <w:pStyle w:val="Tablewriting"/>
              <w:keepNext/>
              <w:rPr>
                <w:rFonts w:eastAsia="MS Mincho"/>
              </w:rPr>
            </w:pPr>
            <w:r>
              <w:rPr>
                <w:rFonts w:eastAsia="MS Mincho"/>
              </w:rPr>
              <w:t>(2019)</w:t>
            </w:r>
          </w:p>
        </w:tc>
        <w:tc>
          <w:tcPr>
            <w:tcW w:w="942" w:type="pct"/>
            <w:shd w:val="clear" w:color="auto" w:fill="auto"/>
            <w:vAlign w:val="center"/>
          </w:tcPr>
          <w:p w14:paraId="13D9D67D" w14:textId="26ACBB64" w:rsidR="002F4907" w:rsidRPr="00FF3382" w:rsidRDefault="002F4907" w:rsidP="002F4907">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vAlign w:val="center"/>
          </w:tcPr>
          <w:p w14:paraId="2706447D" w14:textId="77777777" w:rsidR="002F4907" w:rsidRPr="00081BA3" w:rsidRDefault="002F4907" w:rsidP="002F4907">
            <w:pPr>
              <w:pStyle w:val="Tablewriting"/>
              <w:keepNext/>
              <w:jc w:val="center"/>
              <w:rPr>
                <w:rFonts w:eastAsia="MS Mincho"/>
              </w:rPr>
            </w:pPr>
            <w:r w:rsidRPr="00081BA3">
              <w:rPr>
                <w:rFonts w:eastAsia="MS Mincho"/>
              </w:rPr>
              <w:t>124/929</w:t>
            </w:r>
          </w:p>
          <w:p w14:paraId="367E4966" w14:textId="77777777" w:rsidR="002F4907" w:rsidRPr="00081BA3" w:rsidRDefault="002F4907" w:rsidP="002F4907">
            <w:pPr>
              <w:pStyle w:val="Tablewriting"/>
              <w:keepNext/>
              <w:jc w:val="center"/>
              <w:rPr>
                <w:rFonts w:eastAsia="MS Mincho"/>
              </w:rPr>
            </w:pPr>
            <w:r w:rsidRPr="00081BA3">
              <w:rPr>
                <w:rFonts w:eastAsia="MS Mincho"/>
              </w:rPr>
              <w:t>(13.3%)</w:t>
            </w:r>
          </w:p>
        </w:tc>
        <w:tc>
          <w:tcPr>
            <w:tcW w:w="1101" w:type="pct"/>
            <w:shd w:val="clear" w:color="auto" w:fill="auto"/>
            <w:vAlign w:val="center"/>
          </w:tcPr>
          <w:p w14:paraId="25D2ADAA" w14:textId="77777777" w:rsidR="002F4907" w:rsidRPr="00081BA3" w:rsidRDefault="002F4907" w:rsidP="002F4907">
            <w:pPr>
              <w:pStyle w:val="Tablewriting"/>
              <w:keepNext/>
              <w:jc w:val="center"/>
              <w:rPr>
                <w:rFonts w:eastAsia="MS Mincho"/>
              </w:rPr>
            </w:pPr>
            <w:r w:rsidRPr="00081BA3">
              <w:rPr>
                <w:rFonts w:eastAsia="MS Mincho"/>
              </w:rPr>
              <w:t>115/933</w:t>
            </w:r>
          </w:p>
          <w:p w14:paraId="1E5D23E8" w14:textId="77777777" w:rsidR="002F4907" w:rsidRPr="00081BA3" w:rsidRDefault="002F4907" w:rsidP="002F4907">
            <w:pPr>
              <w:pStyle w:val="Tablewriting"/>
              <w:keepNext/>
              <w:jc w:val="center"/>
              <w:rPr>
                <w:rFonts w:eastAsia="MS Mincho"/>
              </w:rPr>
            </w:pPr>
            <w:r w:rsidRPr="00081BA3">
              <w:rPr>
                <w:rFonts w:eastAsia="MS Mincho"/>
              </w:rPr>
              <w:t>(12.3%)</w:t>
            </w:r>
          </w:p>
        </w:tc>
        <w:tc>
          <w:tcPr>
            <w:tcW w:w="1072" w:type="pct"/>
            <w:shd w:val="clear" w:color="auto" w:fill="auto"/>
            <w:tcMar>
              <w:left w:w="28" w:type="dxa"/>
              <w:right w:w="28" w:type="dxa"/>
            </w:tcMar>
            <w:vAlign w:val="center"/>
          </w:tcPr>
          <w:p w14:paraId="60E28185" w14:textId="77777777" w:rsidR="002F4907" w:rsidRDefault="002F4907" w:rsidP="002F4907">
            <w:pPr>
              <w:pStyle w:val="Tablewriting"/>
              <w:keepNext/>
              <w:jc w:val="center"/>
              <w:rPr>
                <w:rFonts w:eastAsia="MS Mincho"/>
              </w:rPr>
            </w:pPr>
            <w:r>
              <w:rPr>
                <w:rFonts w:eastAsia="MS Mincho"/>
              </w:rPr>
              <w:t xml:space="preserve">1.08 </w:t>
            </w:r>
          </w:p>
          <w:p w14:paraId="285D4B25" w14:textId="0003AEB4" w:rsidR="002F4907" w:rsidRPr="005D18BC" w:rsidRDefault="002F4907" w:rsidP="002F4907">
            <w:pPr>
              <w:pStyle w:val="Tablewriting"/>
              <w:keepNext/>
              <w:jc w:val="center"/>
              <w:rPr>
                <w:rFonts w:eastAsia="MS Mincho"/>
                <w:highlight w:val="yellow"/>
              </w:rPr>
            </w:pPr>
            <w:r>
              <w:rPr>
                <w:rFonts w:eastAsia="MS Mincho"/>
              </w:rPr>
              <w:t>(0.85, 1.37)</w:t>
            </w:r>
          </w:p>
        </w:tc>
      </w:tr>
      <w:tr w:rsidR="0045102E" w:rsidRPr="00061F78" w14:paraId="771CA5B4" w14:textId="77777777" w:rsidTr="003C4F2E">
        <w:trPr>
          <w:cantSplit/>
          <w:trHeight w:val="99"/>
        </w:trPr>
        <w:tc>
          <w:tcPr>
            <w:tcW w:w="5000" w:type="pct"/>
            <w:gridSpan w:val="5"/>
            <w:shd w:val="clear" w:color="auto" w:fill="auto"/>
            <w:tcMar>
              <w:left w:w="28" w:type="dxa"/>
              <w:right w:w="28" w:type="dxa"/>
            </w:tcMar>
          </w:tcPr>
          <w:p w14:paraId="7B90A526" w14:textId="0330102C" w:rsidR="0045102E" w:rsidRPr="0045102E" w:rsidRDefault="0045102E" w:rsidP="0045102E">
            <w:pPr>
              <w:pStyle w:val="Tablewriting"/>
              <w:keepNext/>
              <w:rPr>
                <w:rFonts w:eastAsia="MS Mincho"/>
                <w:b/>
                <w:bCs/>
              </w:rPr>
            </w:pPr>
            <w:r w:rsidRPr="0045102E">
              <w:rPr>
                <w:rFonts w:eastAsia="MS Mincho"/>
                <w:b/>
                <w:bCs/>
              </w:rPr>
              <w:t>50 weeks versus 10 weeks gum</w:t>
            </w:r>
          </w:p>
        </w:tc>
      </w:tr>
      <w:tr w:rsidR="0045102E" w:rsidRPr="00061F78" w14:paraId="780CB346" w14:textId="77777777" w:rsidTr="002F4907">
        <w:trPr>
          <w:cantSplit/>
          <w:trHeight w:val="99"/>
        </w:trPr>
        <w:tc>
          <w:tcPr>
            <w:tcW w:w="705" w:type="pct"/>
            <w:shd w:val="clear" w:color="auto" w:fill="auto"/>
            <w:tcMar>
              <w:left w:w="28" w:type="dxa"/>
              <w:right w:w="28" w:type="dxa"/>
            </w:tcMar>
            <w:vAlign w:val="center"/>
          </w:tcPr>
          <w:p w14:paraId="1BDCFF67" w14:textId="77777777" w:rsidR="0045102E" w:rsidRDefault="0045102E" w:rsidP="0045102E">
            <w:pPr>
              <w:pStyle w:val="Tablewriting"/>
              <w:keepNext/>
              <w:rPr>
                <w:rFonts w:eastAsia="MS Mincho"/>
              </w:rPr>
            </w:pPr>
            <w:r>
              <w:rPr>
                <w:rFonts w:eastAsia="MS Mincho"/>
              </w:rPr>
              <w:t xml:space="preserve">Lindson </w:t>
            </w:r>
          </w:p>
          <w:p w14:paraId="210DD0D2" w14:textId="083EE2BF" w:rsidR="0045102E" w:rsidRDefault="0045102E" w:rsidP="0045102E">
            <w:pPr>
              <w:pStyle w:val="Tablewriting"/>
              <w:keepNext/>
              <w:rPr>
                <w:rFonts w:eastAsia="MS Mincho"/>
              </w:rPr>
            </w:pPr>
            <w:r>
              <w:rPr>
                <w:rFonts w:eastAsia="MS Mincho"/>
              </w:rPr>
              <w:t>(2019)</w:t>
            </w:r>
          </w:p>
        </w:tc>
        <w:tc>
          <w:tcPr>
            <w:tcW w:w="942" w:type="pct"/>
            <w:shd w:val="clear" w:color="auto" w:fill="auto"/>
            <w:vAlign w:val="center"/>
          </w:tcPr>
          <w:p w14:paraId="2A10C775" w14:textId="6F8D6212" w:rsidR="0045102E" w:rsidRDefault="0045102E" w:rsidP="0045102E">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80" w:type="pct"/>
            <w:shd w:val="clear" w:color="auto" w:fill="auto"/>
            <w:vAlign w:val="center"/>
          </w:tcPr>
          <w:p w14:paraId="6404FE68" w14:textId="77777777" w:rsidR="0045102E" w:rsidRPr="00571B3B" w:rsidRDefault="0045102E" w:rsidP="0045102E">
            <w:pPr>
              <w:pStyle w:val="Tablewriting"/>
              <w:keepNext/>
              <w:jc w:val="center"/>
              <w:rPr>
                <w:rFonts w:eastAsia="MS Mincho"/>
              </w:rPr>
            </w:pPr>
            <w:r w:rsidRPr="00571B3B">
              <w:rPr>
                <w:rFonts w:eastAsia="MS Mincho"/>
              </w:rPr>
              <w:t>85/203</w:t>
            </w:r>
          </w:p>
          <w:p w14:paraId="60C08BB3" w14:textId="2EA0C25C" w:rsidR="0045102E" w:rsidRPr="00081BA3" w:rsidRDefault="0045102E" w:rsidP="0045102E">
            <w:pPr>
              <w:pStyle w:val="Tablewriting"/>
              <w:keepNext/>
              <w:jc w:val="center"/>
              <w:rPr>
                <w:rFonts w:eastAsia="MS Mincho"/>
              </w:rPr>
            </w:pPr>
            <w:r w:rsidRPr="00571B3B">
              <w:rPr>
                <w:rFonts w:eastAsia="MS Mincho"/>
              </w:rPr>
              <w:t>(41.9%)</w:t>
            </w:r>
          </w:p>
        </w:tc>
        <w:tc>
          <w:tcPr>
            <w:tcW w:w="1101" w:type="pct"/>
            <w:shd w:val="clear" w:color="auto" w:fill="auto"/>
            <w:vAlign w:val="center"/>
          </w:tcPr>
          <w:p w14:paraId="684D1072" w14:textId="77777777" w:rsidR="0045102E" w:rsidRPr="00571B3B" w:rsidRDefault="0045102E" w:rsidP="0045102E">
            <w:pPr>
              <w:pStyle w:val="Tablewriting"/>
              <w:keepNext/>
              <w:jc w:val="center"/>
              <w:rPr>
                <w:rFonts w:eastAsia="MS Mincho"/>
              </w:rPr>
            </w:pPr>
            <w:r w:rsidRPr="00571B3B">
              <w:rPr>
                <w:rFonts w:eastAsia="MS Mincho"/>
              </w:rPr>
              <w:t>80/199</w:t>
            </w:r>
          </w:p>
          <w:p w14:paraId="55BC34B5" w14:textId="6F7CDB20" w:rsidR="0045102E" w:rsidRPr="00081BA3" w:rsidRDefault="0045102E" w:rsidP="0045102E">
            <w:pPr>
              <w:pStyle w:val="Tablewriting"/>
              <w:keepNext/>
              <w:jc w:val="center"/>
              <w:rPr>
                <w:rFonts w:eastAsia="MS Mincho"/>
              </w:rPr>
            </w:pPr>
            <w:r w:rsidRPr="00571B3B">
              <w:rPr>
                <w:rFonts w:eastAsia="MS Mincho"/>
              </w:rPr>
              <w:t>(40.2%)</w:t>
            </w:r>
          </w:p>
        </w:tc>
        <w:tc>
          <w:tcPr>
            <w:tcW w:w="1072" w:type="pct"/>
            <w:shd w:val="clear" w:color="auto" w:fill="auto"/>
            <w:tcMar>
              <w:left w:w="28" w:type="dxa"/>
              <w:right w:w="28" w:type="dxa"/>
            </w:tcMar>
            <w:vAlign w:val="center"/>
          </w:tcPr>
          <w:p w14:paraId="23EF422E" w14:textId="77777777" w:rsidR="0045102E" w:rsidRPr="00A22F63" w:rsidRDefault="0045102E" w:rsidP="0045102E">
            <w:pPr>
              <w:pStyle w:val="Tablewriting"/>
              <w:keepNext/>
              <w:jc w:val="center"/>
              <w:rPr>
                <w:rFonts w:eastAsia="MS Mincho"/>
              </w:rPr>
            </w:pPr>
            <w:r w:rsidRPr="00A22F63">
              <w:rPr>
                <w:rFonts w:eastAsia="MS Mincho"/>
              </w:rPr>
              <w:t>1.04</w:t>
            </w:r>
          </w:p>
          <w:p w14:paraId="303EE610" w14:textId="2CCA9363" w:rsidR="0045102E" w:rsidRDefault="0045102E" w:rsidP="0045102E">
            <w:pPr>
              <w:pStyle w:val="Tablewriting"/>
              <w:keepNext/>
              <w:jc w:val="center"/>
              <w:rPr>
                <w:rFonts w:eastAsia="MS Mincho"/>
              </w:rPr>
            </w:pPr>
            <w:r w:rsidRPr="00A22F63">
              <w:rPr>
                <w:rFonts w:eastAsia="MS Mincho"/>
              </w:rPr>
              <w:t>(0.82, 1.32)</w:t>
            </w:r>
          </w:p>
        </w:tc>
      </w:tr>
    </w:tbl>
    <w:p w14:paraId="059169E1" w14:textId="69C79267" w:rsidR="00F11F25" w:rsidRDefault="00F11F25" w:rsidP="000C5710">
      <w:pPr>
        <w:pStyle w:val="TableFooter"/>
        <w:keepNext/>
        <w:jc w:val="both"/>
      </w:pPr>
      <w:r>
        <w:t>Source: Lindson et al. (2019)</w:t>
      </w:r>
    </w:p>
    <w:p w14:paraId="36978BB8" w14:textId="10BCCDBF" w:rsidR="00F11F25" w:rsidRPr="004A0AB5" w:rsidRDefault="00F11F25" w:rsidP="000C5710">
      <w:pPr>
        <w:pStyle w:val="TableFooter"/>
        <w:keepNext/>
        <w:jc w:val="both"/>
        <w:rPr>
          <w:i/>
        </w:rPr>
      </w:pPr>
      <w:r w:rsidRPr="004A0AB5">
        <w:t xml:space="preserve">Abbreviations: CI = confidence interval; RCT = randomised controlled trial; RR = risk ratio </w:t>
      </w:r>
    </w:p>
    <w:p w14:paraId="63EFFB5F" w14:textId="77777777" w:rsidR="00F11F25" w:rsidRDefault="00F11F25" w:rsidP="000C5710">
      <w:pPr>
        <w:pStyle w:val="TableFooter"/>
        <w:jc w:val="both"/>
      </w:pPr>
      <w:r w:rsidRPr="0041240E">
        <w:t>Notes:</w:t>
      </w:r>
    </w:p>
    <w:p w14:paraId="708C8DD4" w14:textId="36D813C2" w:rsidR="0045102E" w:rsidRDefault="00F11F25" w:rsidP="000C5710">
      <w:pPr>
        <w:pStyle w:val="TableFooter"/>
        <w:jc w:val="both"/>
      </w:pPr>
      <w:r>
        <w:t>1</w:t>
      </w:r>
      <w:r w:rsidRPr="0041240E">
        <w:t xml:space="preserve"> Calculated </w:t>
      </w:r>
      <w:r>
        <w:t>by Cochrane Review authors using a fixed-effect model</w:t>
      </w:r>
      <w:r w:rsidR="00ED0CBA">
        <w:t>.</w:t>
      </w:r>
    </w:p>
    <w:p w14:paraId="38C664F4" w14:textId="07838F58" w:rsidR="002F4907" w:rsidRDefault="0018615F" w:rsidP="000C5710">
      <w:pPr>
        <w:spacing w:after="120"/>
        <w:jc w:val="both"/>
      </w:pPr>
      <w:r w:rsidRPr="00F136E9">
        <w:lastRenderedPageBreak/>
        <w:t>The results of the individual studies included in Lindson et al. (2019) are presented using a forest plot in</w:t>
      </w:r>
      <w:r>
        <w:t xml:space="preserve"> </w:t>
      </w:r>
      <w:r>
        <w:fldChar w:fldCharType="begin" w:fldLock="1"/>
      </w:r>
      <w:r>
        <w:instrText xml:space="preserve"> REF _Ref61612855 \h </w:instrText>
      </w:r>
      <w:r>
        <w:fldChar w:fldCharType="separate"/>
      </w:r>
      <w:r w:rsidR="00EC5CC7">
        <w:t xml:space="preserve">Figure </w:t>
      </w:r>
      <w:r w:rsidR="00EC5CC7">
        <w:rPr>
          <w:noProof/>
        </w:rPr>
        <w:t>26</w:t>
      </w:r>
      <w:r>
        <w:fldChar w:fldCharType="end"/>
      </w:r>
      <w:r>
        <w:t xml:space="preserve"> and </w:t>
      </w:r>
      <w:r>
        <w:fldChar w:fldCharType="begin" w:fldLock="1"/>
      </w:r>
      <w:r>
        <w:instrText xml:space="preserve"> REF _Ref61612858 \h </w:instrText>
      </w:r>
      <w:r>
        <w:fldChar w:fldCharType="separate"/>
      </w:r>
      <w:r w:rsidR="00EC5CC7">
        <w:t xml:space="preserve">Figure </w:t>
      </w:r>
      <w:r w:rsidR="00EC5CC7">
        <w:rPr>
          <w:noProof/>
        </w:rPr>
        <w:t>27</w:t>
      </w:r>
      <w:r>
        <w:fldChar w:fldCharType="end"/>
      </w:r>
      <w:r w:rsidR="006F7AC0">
        <w:t>.</w:t>
      </w:r>
      <w:r w:rsidR="00F94B45">
        <w:t xml:space="preserve"> T</w:t>
      </w:r>
      <w:r w:rsidR="00F94B45" w:rsidRPr="00F94B45">
        <w:t xml:space="preserve">here were no statistically significant differences in </w:t>
      </w:r>
      <w:r w:rsidR="002458E1">
        <w:t>any</w:t>
      </w:r>
      <w:r w:rsidR="00F94B45" w:rsidRPr="00F94B45">
        <w:t xml:space="preserve"> of the individual RCTs included in the meta-analysis.</w:t>
      </w:r>
      <w:r w:rsidR="00F93DC7">
        <w:t xml:space="preserve"> Of note, the CEASE (1999) </w:t>
      </w:r>
      <w:r w:rsidR="00FE6857">
        <w:t xml:space="preserve">study </w:t>
      </w:r>
      <w:r w:rsidR="00F93DC7">
        <w:t>compared</w:t>
      </w:r>
      <w:r w:rsidR="00960610">
        <w:t xml:space="preserve"> 28 wee</w:t>
      </w:r>
      <w:r w:rsidR="00A15D62">
        <w:t>ks with 12 weeks of NRT patches</w:t>
      </w:r>
      <w:r w:rsidR="00DC5BF1">
        <w:t xml:space="preserve">, with </w:t>
      </w:r>
      <w:r w:rsidR="00B33CC1">
        <w:t xml:space="preserve">two patch doses </w:t>
      </w:r>
      <w:r w:rsidR="00B34B9C">
        <w:t xml:space="preserve">(25 mg and 15 mg) </w:t>
      </w:r>
      <w:r w:rsidR="00B83288">
        <w:t>examined in each duration.</w:t>
      </w:r>
      <w:r w:rsidR="00296808" w:rsidRPr="00296808">
        <w:t xml:space="preserve"> </w:t>
      </w:r>
      <w:r w:rsidR="0049102A" w:rsidRPr="0049102A">
        <w:rPr>
          <w:color w:val="000000"/>
          <w:w w:val="55"/>
          <w:shd w:val="solid" w:color="000000" w:fill="000000"/>
          <w:fitText w:val="6150" w:id="-1402752512"/>
          <w14:textFill>
            <w14:solidFill>
              <w14:srgbClr w14:val="000000">
                <w14:alpha w14:val="100000"/>
              </w14:srgbClr>
            </w14:solidFill>
          </w14:textFill>
        </w:rPr>
        <w:t>||||||||||||||||||||||||||||||||||||||||||||||||||  |||||||||||||||||||||||||||||||||||||||||||||||||</w:t>
      </w:r>
      <w:r w:rsidR="0049102A" w:rsidRPr="0049102A">
        <w:rPr>
          <w:color w:val="000000"/>
          <w:spacing w:val="20"/>
          <w:w w:val="55"/>
          <w:shd w:val="solid" w:color="000000" w:fill="000000"/>
          <w:fitText w:val="6150" w:id="-1402752512"/>
          <w14:textFill>
            <w14:solidFill>
              <w14:srgbClr w14:val="000000">
                <w14:alpha w14:val="100000"/>
              </w14:srgbClr>
            </w14:solidFill>
          </w14:textFill>
        </w:rPr>
        <w:t>|</w:t>
      </w:r>
      <w:r w:rsidR="0049102A">
        <w:rPr>
          <w:highlight w:val="red"/>
          <w:shd w:val="clear" w:color="auto" w:fill="C0C0C1"/>
        </w:rPr>
        <w:t xml:space="preserve"> </w:t>
      </w:r>
      <w:r w:rsidR="0049102A" w:rsidRPr="0049102A">
        <w:rPr>
          <w:color w:val="000000"/>
          <w:spacing w:val="1"/>
          <w:w w:val="54"/>
          <w:shd w:val="solid" w:color="000000" w:fill="000000"/>
          <w:fitText w:val="8890" w:id="-1402752511"/>
          <w14:textFill>
            <w14:solidFill>
              <w14:srgbClr w14:val="000000">
                <w14:alpha w14:val="100000"/>
              </w14:srgbClr>
            </w14:solidFill>
          </w14:textFill>
        </w:rPr>
        <w:t>|||||||||||||||||||||||||||||||||||||||||||||||||||||||||||||||||||||||||  ||||||||||||||||||||||||||||||||||||||||||||||||||||||||||||||||||||||||</w:t>
      </w:r>
      <w:r w:rsidR="0049102A" w:rsidRPr="0049102A">
        <w:rPr>
          <w:color w:val="000000"/>
          <w:spacing w:val="-24"/>
          <w:w w:val="54"/>
          <w:shd w:val="solid" w:color="000000" w:fill="000000"/>
          <w:fitText w:val="8890" w:id="-1402752511"/>
          <w14:textFill>
            <w14:solidFill>
              <w14:srgbClr w14:val="000000">
                <w14:alpha w14:val="100000"/>
              </w14:srgbClr>
            </w14:solidFill>
          </w14:textFill>
        </w:rPr>
        <w:t>|</w:t>
      </w:r>
      <w:r w:rsidR="0049102A">
        <w:rPr>
          <w:highlight w:val="red"/>
          <w:shd w:val="clear" w:color="auto" w:fill="C0C0C1"/>
        </w:rPr>
        <w:t xml:space="preserve"> </w:t>
      </w:r>
      <w:r w:rsidR="0049102A" w:rsidRPr="0049102A">
        <w:rPr>
          <w:color w:val="000000"/>
          <w:spacing w:val="1"/>
          <w:w w:val="54"/>
          <w:shd w:val="solid" w:color="000000" w:fill="000000"/>
          <w:fitText w:val="8880" w:id="-1402752510"/>
          <w14:textFill>
            <w14:solidFill>
              <w14:srgbClr w14:val="000000">
                <w14:alpha w14:val="100000"/>
              </w14:srgbClr>
            </w14:solidFill>
          </w14:textFill>
        </w:rPr>
        <w:t>|||||||||||||||||||||||||||||||||||||||||||||||||||||||||||||||||||||||||  ||||||||||||||||||||||||||||||||||||||||||||||||||||||||||||||||||||||||</w:t>
      </w:r>
      <w:r w:rsidR="0049102A" w:rsidRPr="0049102A">
        <w:rPr>
          <w:color w:val="000000"/>
          <w:spacing w:val="-34"/>
          <w:w w:val="54"/>
          <w:shd w:val="solid" w:color="000000" w:fill="000000"/>
          <w:fitText w:val="8880" w:id="-1402752510"/>
          <w14:textFill>
            <w14:solidFill>
              <w14:srgbClr w14:val="000000">
                <w14:alpha w14:val="100000"/>
              </w14:srgbClr>
            </w14:solidFill>
          </w14:textFill>
        </w:rPr>
        <w:t>|</w:t>
      </w:r>
    </w:p>
    <w:p w14:paraId="209DEE5C" w14:textId="70723782" w:rsidR="00634F7A" w:rsidRDefault="00FC2115" w:rsidP="00634F7A">
      <w:pPr>
        <w:keepNext/>
        <w:spacing w:after="0"/>
      </w:pPr>
      <w:r w:rsidRPr="44D0D543">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"C:\\var\\folders\\gx\\zlxfjf7d1z77ylckw36klf9h0000gn\\T\\com.microsoft.Word\\WebArchiveCopyPasteTempFiles\\nCD013308-CMP-002-01.png" \* MERGEFORMAT </w:instrText>
      </w:r>
      <w:r w:rsidRPr="44D0D543">
        <w:rPr>
          <w:rFonts w:ascii="Times New Roman" w:eastAsia="Times New Roman" w:hAnsi="Times New Roman" w:cs="Times New Roman"/>
          <w:lang w:eastAsia="en-GB"/>
        </w:rPr>
        <w:fldChar w:fldCharType="separate"/>
      </w:r>
      <w:r>
        <w:rPr>
          <w:noProof/>
        </w:rPr>
        <w:drawing>
          <wp:inline distT="0" distB="0" distL="0" distR="0" wp14:anchorId="6CA6E553" wp14:editId="1259BBAF">
            <wp:extent cx="5731510" cy="6129653"/>
            <wp:effectExtent l="0" t="0" r="0" b="4445"/>
            <wp:docPr id="78" name="Picture 78" descr="P61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P6188#yIS1"/>
                    <pic:cNvPicPr/>
                  </pic:nvPicPr>
                  <pic:blipFill>
                    <a:blip r:embed="rId45">
                      <a:extLst>
                        <a:ext uri="{28A0092B-C50C-407E-A947-70E740481C1C}">
                          <a14:useLocalDpi xmlns:a14="http://schemas.microsoft.com/office/drawing/2010/main" val="0"/>
                        </a:ext>
                      </a:extLst>
                    </a:blip>
                    <a:stretch>
                      <a:fillRect/>
                    </a:stretch>
                  </pic:blipFill>
                  <pic:spPr>
                    <a:xfrm>
                      <a:off x="0" y="0"/>
                      <a:ext cx="5731510" cy="6129653"/>
                    </a:xfrm>
                    <a:prstGeom prst="rect">
                      <a:avLst/>
                    </a:prstGeom>
                  </pic:spPr>
                </pic:pic>
              </a:graphicData>
            </a:graphic>
          </wp:inline>
        </w:drawing>
      </w:r>
      <w:r w:rsidRPr="44D0D543">
        <w:rPr>
          <w:rFonts w:ascii="Times New Roman" w:eastAsia="Times New Roman" w:hAnsi="Times New Roman" w:cs="Times New Roman"/>
          <w:lang w:eastAsia="en-GB"/>
        </w:rPr>
        <w:fldChar w:fldCharType="end"/>
      </w:r>
    </w:p>
    <w:p w14:paraId="59B89849" w14:textId="1FDD5343" w:rsidR="00FC2115" w:rsidRDefault="00634F7A" w:rsidP="000C5710">
      <w:pPr>
        <w:pStyle w:val="Caption"/>
        <w:spacing w:before="120" w:after="60"/>
        <w:jc w:val="both"/>
      </w:pPr>
      <w:bookmarkStart w:id="159" w:name="_Ref61612855"/>
      <w:r>
        <w:t xml:space="preserve">Figure </w:t>
      </w:r>
      <w:r w:rsidR="00BF3F75">
        <w:fldChar w:fldCharType="begin"/>
      </w:r>
      <w:r w:rsidR="00BF3F75">
        <w:instrText xml:space="preserve"> SEQ Figure \* ARABIC </w:instrText>
      </w:r>
      <w:r w:rsidR="00BF3F75">
        <w:fldChar w:fldCharType="separate"/>
      </w:r>
      <w:r w:rsidR="00EC5CC7">
        <w:rPr>
          <w:noProof/>
        </w:rPr>
        <w:t>26</w:t>
      </w:r>
      <w:r w:rsidR="00BF3F75">
        <w:rPr>
          <w:noProof/>
        </w:rPr>
        <w:fldChar w:fldCharType="end"/>
      </w:r>
      <w:bookmarkEnd w:id="159"/>
      <w:r>
        <w:t xml:space="preserve">: </w:t>
      </w:r>
      <w:r w:rsidRPr="00C80CE8">
        <w:t>Results of smoking cessation f</w:t>
      </w:r>
      <w:r w:rsidR="00C623F4">
        <w:t>or</w:t>
      </w:r>
      <w:r w:rsidRPr="00C80CE8">
        <w:t xml:space="preserve"> at least six months follow-up in Lindson et al. 2019, duration of patch therapy</w:t>
      </w:r>
    </w:p>
    <w:p w14:paraId="067D4CED" w14:textId="77777777" w:rsidR="00726BD4" w:rsidRDefault="00726BD4" w:rsidP="000C5710">
      <w:pPr>
        <w:pStyle w:val="TableFooter"/>
        <w:jc w:val="both"/>
      </w:pPr>
      <w:r>
        <w:t>Source: Lindson et al. (2019)</w:t>
      </w:r>
    </w:p>
    <w:p w14:paraId="03A3A84D" w14:textId="686F0770" w:rsidR="00726BD4" w:rsidRPr="00FC2115" w:rsidRDefault="00726BD4" w:rsidP="000C5710">
      <w:pPr>
        <w:pStyle w:val="TableFooter"/>
        <w:jc w:val="both"/>
      </w:pPr>
      <w:r>
        <w:t>Abbreviations: CI = confidence interval</w:t>
      </w:r>
    </w:p>
    <w:p w14:paraId="3AB2DF20" w14:textId="77777777" w:rsidR="00FC2115" w:rsidRDefault="00FC2115" w:rsidP="00D61411">
      <w:pPr>
        <w:jc w:val="both"/>
      </w:pPr>
    </w:p>
    <w:p w14:paraId="02DD1D44" w14:textId="3CE16DE5" w:rsidR="0029720E" w:rsidRDefault="0029720E" w:rsidP="00B519A3">
      <w:pPr>
        <w:pStyle w:val="TableFooter"/>
        <w:keepNext/>
      </w:pPr>
      <w:r>
        <w:rPr>
          <w:noProof/>
        </w:rPr>
        <w:lastRenderedPageBreak/>
        <w:drawing>
          <wp:inline distT="0" distB="0" distL="0" distR="0" wp14:anchorId="74D269E6" wp14:editId="7CBB3A4D">
            <wp:extent cx="5731510" cy="1260475"/>
            <wp:effectExtent l="0" t="0" r="0" b="0"/>
            <wp:docPr id="62" name="Picture 62" descr="P61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P6193#yIS1"/>
                    <pic:cNvPicPr/>
                  </pic:nvPicPr>
                  <pic:blipFill>
                    <a:blip r:embed="rId46">
                      <a:extLst>
                        <a:ext uri="{28A0092B-C50C-407E-A947-70E740481C1C}">
                          <a14:useLocalDpi xmlns:a14="http://schemas.microsoft.com/office/drawing/2010/main" val="0"/>
                        </a:ext>
                      </a:extLst>
                    </a:blip>
                    <a:stretch>
                      <a:fillRect/>
                    </a:stretch>
                  </pic:blipFill>
                  <pic:spPr>
                    <a:xfrm>
                      <a:off x="0" y="0"/>
                      <a:ext cx="5731510" cy="1260475"/>
                    </a:xfrm>
                    <a:prstGeom prst="rect">
                      <a:avLst/>
                    </a:prstGeom>
                  </pic:spPr>
                </pic:pic>
              </a:graphicData>
            </a:graphic>
          </wp:inline>
        </w:drawing>
      </w:r>
    </w:p>
    <w:p w14:paraId="77B85C64" w14:textId="66D13C8C" w:rsidR="0029720E" w:rsidRDefault="007745EE" w:rsidP="000C5710">
      <w:pPr>
        <w:pStyle w:val="Caption"/>
        <w:spacing w:before="120" w:after="60"/>
        <w:jc w:val="both"/>
      </w:pPr>
      <w:bookmarkStart w:id="160" w:name="_Ref61612858"/>
      <w:r>
        <w:t xml:space="preserve">Figure </w:t>
      </w:r>
      <w:r w:rsidR="00BF3F75">
        <w:fldChar w:fldCharType="begin"/>
      </w:r>
      <w:r w:rsidR="00BF3F75">
        <w:instrText xml:space="preserve"> SEQ Figure \* ARABIC </w:instrText>
      </w:r>
      <w:r w:rsidR="00BF3F75">
        <w:fldChar w:fldCharType="separate"/>
      </w:r>
      <w:r w:rsidR="00EC5CC7">
        <w:rPr>
          <w:noProof/>
        </w:rPr>
        <w:t>27</w:t>
      </w:r>
      <w:r w:rsidR="00BF3F75">
        <w:rPr>
          <w:noProof/>
        </w:rPr>
        <w:fldChar w:fldCharType="end"/>
      </w:r>
      <w:bookmarkEnd w:id="160"/>
      <w:r>
        <w:t xml:space="preserve">: </w:t>
      </w:r>
      <w:r w:rsidRPr="00AA3272">
        <w:t>Results of smoking cessation f</w:t>
      </w:r>
      <w:r w:rsidR="00C623F4">
        <w:t>or</w:t>
      </w:r>
      <w:r w:rsidRPr="00AA3272">
        <w:t xml:space="preserve"> at least six months follow-up in Lindson et al. 2019, duration of </w:t>
      </w:r>
      <w:r>
        <w:t>gum</w:t>
      </w:r>
      <w:r w:rsidRPr="00AA3272">
        <w:t xml:space="preserve"> therapy</w:t>
      </w:r>
    </w:p>
    <w:p w14:paraId="69818515" w14:textId="77777777" w:rsidR="00B519A3" w:rsidRDefault="00B519A3" w:rsidP="00B519A3">
      <w:pPr>
        <w:pStyle w:val="TableFooter"/>
      </w:pPr>
      <w:r>
        <w:t>Source: Lindson et al. (2019)</w:t>
      </w:r>
    </w:p>
    <w:p w14:paraId="30DC499D" w14:textId="441AF7B2" w:rsidR="00B519A3" w:rsidRDefault="00B519A3" w:rsidP="000C5710">
      <w:pPr>
        <w:pStyle w:val="TableFooter"/>
        <w:spacing w:after="120"/>
        <w:contextualSpacing w:val="0"/>
        <w:jc w:val="both"/>
      </w:pPr>
      <w:r>
        <w:t>Abbreviations: CI = confidence interval</w:t>
      </w:r>
    </w:p>
    <w:p w14:paraId="4EB46F79" w14:textId="7717BB66" w:rsidR="003A11A4" w:rsidRPr="003A11A4" w:rsidRDefault="003A11A4" w:rsidP="000C5710">
      <w:pPr>
        <w:spacing w:after="120"/>
        <w:jc w:val="both"/>
        <w:rPr>
          <w:u w:val="single"/>
        </w:rPr>
      </w:pPr>
      <w:r w:rsidRPr="003A11A4">
        <w:rPr>
          <w:u w:val="single"/>
        </w:rPr>
        <w:t>Safety</w:t>
      </w:r>
    </w:p>
    <w:p w14:paraId="66D98509" w14:textId="1AD7FF09" w:rsidR="00B07C6E" w:rsidRDefault="00B07C6E" w:rsidP="000C5710">
      <w:pPr>
        <w:spacing w:after="120"/>
        <w:jc w:val="both"/>
      </w:pPr>
      <w:r>
        <w:t xml:space="preserve">A summary of key adverse events </w:t>
      </w:r>
      <w:r w:rsidRPr="006F1FEC">
        <w:t xml:space="preserve">in Lindson et al. </w:t>
      </w:r>
      <w:r>
        <w:t>(</w:t>
      </w:r>
      <w:r w:rsidRPr="006F1FEC">
        <w:t>2019</w:t>
      </w:r>
      <w:r>
        <w:t>)</w:t>
      </w:r>
      <w:r w:rsidRPr="006F1FEC">
        <w:t xml:space="preserve"> </w:t>
      </w:r>
      <w:r w:rsidR="00A01DBF">
        <w:t>comparing longer duration with shorter duration of</w:t>
      </w:r>
      <w:r>
        <w:t xml:space="preserve"> </w:t>
      </w:r>
      <w:r w:rsidR="00573F59">
        <w:t>patches</w:t>
      </w:r>
      <w:r>
        <w:t xml:space="preserve"> and gum therapy is presented in </w:t>
      </w:r>
      <w:r w:rsidR="00BE68DA">
        <w:fldChar w:fldCharType="begin" w:fldLock="1"/>
      </w:r>
      <w:r w:rsidR="00BE68DA">
        <w:instrText xml:space="preserve"> REF _Ref62115002 \h </w:instrText>
      </w:r>
      <w:r w:rsidR="00BE68DA">
        <w:fldChar w:fldCharType="separate"/>
      </w:r>
      <w:r w:rsidR="00EC5CC7">
        <w:t xml:space="preserve">Table </w:t>
      </w:r>
      <w:r w:rsidR="00EC5CC7">
        <w:rPr>
          <w:noProof/>
        </w:rPr>
        <w:t>89</w:t>
      </w:r>
      <w:r w:rsidR="00BE68DA">
        <w:fldChar w:fldCharType="end"/>
      </w:r>
      <w:r w:rsidR="00BE68DA">
        <w:t xml:space="preserve"> and </w:t>
      </w:r>
      <w:r w:rsidR="00BE68DA">
        <w:fldChar w:fldCharType="begin" w:fldLock="1"/>
      </w:r>
      <w:r w:rsidR="00BE68DA">
        <w:instrText xml:space="preserve"> REF _Ref62115003 \h </w:instrText>
      </w:r>
      <w:r w:rsidR="00BE68DA">
        <w:fldChar w:fldCharType="separate"/>
      </w:r>
      <w:r w:rsidR="00EC5CC7">
        <w:t xml:space="preserve">Table </w:t>
      </w:r>
      <w:r w:rsidR="00EC5CC7">
        <w:rPr>
          <w:noProof/>
        </w:rPr>
        <w:t>90</w:t>
      </w:r>
      <w:r w:rsidR="00BE68DA">
        <w:fldChar w:fldCharType="end"/>
      </w:r>
      <w:r w:rsidR="00BE68DA">
        <w:t>,</w:t>
      </w:r>
      <w:r>
        <w:t xml:space="preserve"> </w:t>
      </w:r>
      <w:r w:rsidRPr="00342BCB">
        <w:t>respectively.</w:t>
      </w:r>
      <w:r>
        <w:t xml:space="preserve"> Overall, there were no statistically significant differences in serious adverse events and treatment withdrawals between longer duration and shorter duration therapy in all comparison</w:t>
      </w:r>
      <w:r w:rsidR="008623AC">
        <w:t>s</w:t>
      </w:r>
      <w:r>
        <w:t xml:space="preserve"> for NRT </w:t>
      </w:r>
      <w:r w:rsidR="00573F59">
        <w:t>patches</w:t>
      </w:r>
      <w:r>
        <w:t>. Similarly, there were no statistically significant differences in serious adverse events and midsternal pressure between 50-week and 10-week duration</w:t>
      </w:r>
      <w:r w:rsidR="000C5710">
        <w:t>s</w:t>
      </w:r>
      <w:r>
        <w:t xml:space="preserve"> of NRT gum.</w:t>
      </w:r>
    </w:p>
    <w:p w14:paraId="41D18CA7" w14:textId="04073631" w:rsidR="00B07C6E" w:rsidRDefault="00B07C6E" w:rsidP="000C5710">
      <w:pPr>
        <w:pStyle w:val="Caption"/>
        <w:keepNext/>
        <w:spacing w:before="0" w:after="120"/>
        <w:jc w:val="both"/>
      </w:pPr>
      <w:bookmarkStart w:id="161" w:name="_Ref62115002"/>
      <w:r>
        <w:t xml:space="preserve">Table </w:t>
      </w:r>
      <w:r w:rsidR="00BF3F75">
        <w:fldChar w:fldCharType="begin"/>
      </w:r>
      <w:r w:rsidR="00BF3F75">
        <w:instrText xml:space="preserve"> SEQ Table \* ARABIC </w:instrText>
      </w:r>
      <w:r w:rsidR="00BF3F75">
        <w:fldChar w:fldCharType="separate"/>
      </w:r>
      <w:r w:rsidR="00EC5CC7">
        <w:rPr>
          <w:noProof/>
        </w:rPr>
        <w:t>89</w:t>
      </w:r>
      <w:r w:rsidR="00BF3F75">
        <w:rPr>
          <w:noProof/>
        </w:rPr>
        <w:fldChar w:fldCharType="end"/>
      </w:r>
      <w:bookmarkEnd w:id="161"/>
      <w:r>
        <w:t xml:space="preserve">: </w:t>
      </w:r>
      <w:r w:rsidRPr="00917228">
        <w:t>Summary of key adverse events in Lindson et al. (2019), longer duration versus shorter duration NRT patch</w:t>
      </w:r>
    </w:p>
    <w:tbl>
      <w:tblPr>
        <w:tblStyle w:val="TableGrid"/>
        <w:tblW w:w="5000" w:type="pct"/>
        <w:tblLook w:val="04A0" w:firstRow="1" w:lastRow="0" w:firstColumn="1" w:lastColumn="0" w:noHBand="0" w:noVBand="1"/>
        <w:tblCaption w:val="Efficacy results of adalimumab trials (PASI 75 and DLQI)"/>
      </w:tblPr>
      <w:tblGrid>
        <w:gridCol w:w="2406"/>
        <w:gridCol w:w="1701"/>
        <w:gridCol w:w="1700"/>
        <w:gridCol w:w="1702"/>
        <w:gridCol w:w="1507"/>
      </w:tblGrid>
      <w:tr w:rsidR="00B07C6E" w:rsidRPr="00061F78" w14:paraId="166C2076" w14:textId="77777777" w:rsidTr="00BE68DA">
        <w:trPr>
          <w:cantSplit/>
          <w:trHeight w:val="299"/>
          <w:tblHeader/>
        </w:trPr>
        <w:tc>
          <w:tcPr>
            <w:tcW w:w="1334" w:type="pct"/>
            <w:shd w:val="clear" w:color="auto" w:fill="BFBFBF" w:themeFill="background1" w:themeFillShade="BF"/>
            <w:tcMar>
              <w:left w:w="28" w:type="dxa"/>
              <w:right w:w="28" w:type="dxa"/>
            </w:tcMar>
            <w:vAlign w:val="center"/>
          </w:tcPr>
          <w:p w14:paraId="1F0DA91A" w14:textId="77777777" w:rsidR="00B07C6E" w:rsidRDefault="00B07C6E" w:rsidP="00125A1C">
            <w:pPr>
              <w:pStyle w:val="Tableheading"/>
              <w:rPr>
                <w:rFonts w:eastAsia="MS Mincho"/>
              </w:rPr>
            </w:pPr>
            <w:r>
              <w:rPr>
                <w:rFonts w:eastAsia="MS Mincho"/>
              </w:rPr>
              <w:t>Outcome</w:t>
            </w:r>
          </w:p>
        </w:tc>
        <w:tc>
          <w:tcPr>
            <w:tcW w:w="943" w:type="pct"/>
            <w:shd w:val="clear" w:color="auto" w:fill="BFBFBF" w:themeFill="background1" w:themeFillShade="BF"/>
            <w:vAlign w:val="center"/>
          </w:tcPr>
          <w:p w14:paraId="6A1D1A64" w14:textId="77777777" w:rsidR="00B07C6E" w:rsidRDefault="00B07C6E" w:rsidP="00125A1C">
            <w:pPr>
              <w:pStyle w:val="Tableheading"/>
              <w:jc w:val="center"/>
              <w:rPr>
                <w:rFonts w:eastAsia="MS Mincho"/>
              </w:rPr>
            </w:pPr>
            <w:r>
              <w:rPr>
                <w:rFonts w:eastAsia="MS Mincho"/>
              </w:rPr>
              <w:t>Study type</w:t>
            </w:r>
          </w:p>
        </w:tc>
        <w:tc>
          <w:tcPr>
            <w:tcW w:w="943" w:type="pct"/>
            <w:shd w:val="clear" w:color="auto" w:fill="BFBFBF" w:themeFill="background1" w:themeFillShade="BF"/>
            <w:tcMar>
              <w:left w:w="28" w:type="dxa"/>
              <w:right w:w="28" w:type="dxa"/>
            </w:tcMar>
            <w:vAlign w:val="center"/>
          </w:tcPr>
          <w:p w14:paraId="798A6742" w14:textId="52770AE7" w:rsidR="00B07C6E" w:rsidRPr="00061F78" w:rsidRDefault="00B07C6E" w:rsidP="00125A1C">
            <w:pPr>
              <w:pStyle w:val="Tableheading"/>
              <w:jc w:val="center"/>
              <w:rPr>
                <w:rFonts w:eastAsia="MS Mincho"/>
              </w:rPr>
            </w:pPr>
            <w:r>
              <w:rPr>
                <w:rFonts w:eastAsia="MS Mincho"/>
              </w:rPr>
              <w:t xml:space="preserve">Longer duration </w:t>
            </w:r>
          </w:p>
        </w:tc>
        <w:tc>
          <w:tcPr>
            <w:tcW w:w="944" w:type="pct"/>
            <w:shd w:val="clear" w:color="auto" w:fill="BFBFBF" w:themeFill="background1" w:themeFillShade="BF"/>
            <w:tcMar>
              <w:left w:w="28" w:type="dxa"/>
              <w:right w:w="28" w:type="dxa"/>
            </w:tcMar>
            <w:vAlign w:val="center"/>
          </w:tcPr>
          <w:p w14:paraId="4DA8559F" w14:textId="3BEA2632" w:rsidR="00B07C6E" w:rsidRPr="00061F78" w:rsidRDefault="00B07C6E" w:rsidP="00125A1C">
            <w:pPr>
              <w:pStyle w:val="Tableheading"/>
              <w:jc w:val="center"/>
              <w:rPr>
                <w:rFonts w:eastAsia="MS Mincho"/>
              </w:rPr>
            </w:pPr>
            <w:r>
              <w:rPr>
                <w:rFonts w:eastAsia="MS Mincho"/>
              </w:rPr>
              <w:t>Shorter duration</w:t>
            </w:r>
          </w:p>
        </w:tc>
        <w:tc>
          <w:tcPr>
            <w:tcW w:w="836" w:type="pct"/>
            <w:shd w:val="clear" w:color="auto" w:fill="BFBFBF" w:themeFill="background1" w:themeFillShade="BF"/>
            <w:tcMar>
              <w:left w:w="28" w:type="dxa"/>
              <w:right w:w="28" w:type="dxa"/>
            </w:tcMar>
            <w:vAlign w:val="center"/>
          </w:tcPr>
          <w:p w14:paraId="4DE99E56" w14:textId="1E52CFC5" w:rsidR="00B07C6E" w:rsidRPr="00681ACA" w:rsidRDefault="00B07C6E" w:rsidP="00125A1C">
            <w:pPr>
              <w:pStyle w:val="Tableheading"/>
              <w:jc w:val="center"/>
              <w:rPr>
                <w:rFonts w:eastAsia="MS Mincho"/>
                <w:vertAlign w:val="superscript"/>
              </w:rPr>
            </w:pPr>
            <w:r>
              <w:rPr>
                <w:rFonts w:eastAsia="MS Mincho"/>
              </w:rPr>
              <w:t>RR (95% CI)</w:t>
            </w:r>
            <w:r w:rsidR="00BE68DA">
              <w:rPr>
                <w:rFonts w:eastAsia="MS Mincho"/>
                <w:vertAlign w:val="superscript"/>
              </w:rPr>
              <w:t>1</w:t>
            </w:r>
          </w:p>
        </w:tc>
      </w:tr>
      <w:tr w:rsidR="00B07C6E" w:rsidRPr="00061F78" w14:paraId="48AD1F30" w14:textId="77777777" w:rsidTr="00E723A1">
        <w:trPr>
          <w:cantSplit/>
          <w:trHeight w:val="149"/>
        </w:trPr>
        <w:tc>
          <w:tcPr>
            <w:tcW w:w="5000" w:type="pct"/>
            <w:gridSpan w:val="5"/>
            <w:shd w:val="clear" w:color="auto" w:fill="auto"/>
            <w:tcMar>
              <w:left w:w="28" w:type="dxa"/>
              <w:right w:w="28" w:type="dxa"/>
            </w:tcMar>
          </w:tcPr>
          <w:p w14:paraId="4D2612D4" w14:textId="77777777" w:rsidR="00B07C6E" w:rsidRPr="00E723A1" w:rsidRDefault="00B07C6E" w:rsidP="00125A1C">
            <w:pPr>
              <w:pStyle w:val="Tablewriting"/>
              <w:rPr>
                <w:rFonts w:eastAsia="MS Mincho"/>
                <w:b/>
                <w:bCs/>
              </w:rPr>
            </w:pPr>
            <w:r w:rsidRPr="00E723A1">
              <w:rPr>
                <w:rFonts w:eastAsia="MS Mincho"/>
                <w:b/>
                <w:bCs/>
              </w:rPr>
              <w:t>Overall SAEs</w:t>
            </w:r>
          </w:p>
        </w:tc>
      </w:tr>
      <w:tr w:rsidR="00B07C6E" w:rsidRPr="00061F78" w14:paraId="12B0B3E6" w14:textId="77777777" w:rsidTr="00BE68DA">
        <w:trPr>
          <w:cantSplit/>
          <w:trHeight w:val="149"/>
        </w:trPr>
        <w:tc>
          <w:tcPr>
            <w:tcW w:w="1334" w:type="pct"/>
            <w:tcMar>
              <w:left w:w="28" w:type="dxa"/>
              <w:right w:w="28" w:type="dxa"/>
            </w:tcMar>
          </w:tcPr>
          <w:p w14:paraId="34925BEA" w14:textId="77777777" w:rsidR="00B07C6E" w:rsidRPr="001B3B7C" w:rsidRDefault="00B07C6E" w:rsidP="00125A1C">
            <w:pPr>
              <w:pStyle w:val="Tablewriting"/>
              <w:rPr>
                <w:rFonts w:eastAsia="MS Mincho"/>
              </w:rPr>
            </w:pPr>
            <w:r w:rsidRPr="001B3B7C">
              <w:rPr>
                <w:rFonts w:eastAsia="MS Mincho"/>
              </w:rPr>
              <w:t>52 weeks versus 24 weeks</w:t>
            </w:r>
          </w:p>
        </w:tc>
        <w:tc>
          <w:tcPr>
            <w:tcW w:w="943" w:type="pct"/>
            <w:vAlign w:val="center"/>
          </w:tcPr>
          <w:p w14:paraId="6DDCF3ED" w14:textId="77777777" w:rsidR="00B07C6E" w:rsidRDefault="00B07C6E" w:rsidP="00125A1C">
            <w:pPr>
              <w:pStyle w:val="Tablewriting"/>
              <w:jc w:val="center"/>
              <w:rPr>
                <w:rFonts w:eastAsia="MS Mincho"/>
              </w:rPr>
            </w:pPr>
            <w:r>
              <w:rPr>
                <w:rFonts w:eastAsia="MS Mincho"/>
              </w:rPr>
              <w:t>Cochrane Review</w:t>
            </w:r>
          </w:p>
          <w:p w14:paraId="5086B5B8" w14:textId="77777777" w:rsidR="00B07C6E" w:rsidRPr="00E72520" w:rsidRDefault="00B07C6E" w:rsidP="00125A1C">
            <w:pPr>
              <w:pStyle w:val="Tablewriting"/>
              <w:jc w:val="center"/>
              <w:rPr>
                <w:rFonts w:eastAsia="MS Mincho"/>
              </w:rPr>
            </w:pPr>
            <w:r>
              <w:rPr>
                <w:rFonts w:eastAsia="MS Mincho"/>
              </w:rPr>
              <w:t>(1 RCT)</w:t>
            </w:r>
          </w:p>
        </w:tc>
        <w:tc>
          <w:tcPr>
            <w:tcW w:w="943" w:type="pct"/>
            <w:tcMar>
              <w:left w:w="28" w:type="dxa"/>
              <w:right w:w="28" w:type="dxa"/>
            </w:tcMar>
            <w:vAlign w:val="center"/>
          </w:tcPr>
          <w:p w14:paraId="5AF63FF7" w14:textId="77777777" w:rsidR="00B07C6E" w:rsidRDefault="00B07C6E" w:rsidP="00125A1C">
            <w:pPr>
              <w:pStyle w:val="Tablewriting"/>
              <w:jc w:val="center"/>
              <w:rPr>
                <w:rFonts w:eastAsia="MS Mincho"/>
              </w:rPr>
            </w:pPr>
            <w:r>
              <w:rPr>
                <w:rFonts w:eastAsia="MS Mincho"/>
              </w:rPr>
              <w:t>8/172</w:t>
            </w:r>
          </w:p>
          <w:p w14:paraId="3400C4B1" w14:textId="77777777" w:rsidR="00B07C6E" w:rsidRPr="001B3B7C" w:rsidRDefault="00B07C6E" w:rsidP="00125A1C">
            <w:pPr>
              <w:pStyle w:val="Tablewriting"/>
              <w:jc w:val="center"/>
              <w:rPr>
                <w:rFonts w:eastAsia="MS Mincho"/>
              </w:rPr>
            </w:pPr>
            <w:r>
              <w:rPr>
                <w:rFonts w:eastAsia="MS Mincho"/>
              </w:rPr>
              <w:t>(4.7%)</w:t>
            </w:r>
          </w:p>
        </w:tc>
        <w:tc>
          <w:tcPr>
            <w:tcW w:w="944" w:type="pct"/>
            <w:tcMar>
              <w:left w:w="28" w:type="dxa"/>
              <w:right w:w="28" w:type="dxa"/>
            </w:tcMar>
            <w:vAlign w:val="center"/>
          </w:tcPr>
          <w:p w14:paraId="1C868B9A" w14:textId="77777777" w:rsidR="00B07C6E" w:rsidRDefault="00B07C6E" w:rsidP="00125A1C">
            <w:pPr>
              <w:pStyle w:val="Tablewriting"/>
              <w:jc w:val="center"/>
              <w:rPr>
                <w:rFonts w:eastAsia="MS Mincho"/>
              </w:rPr>
            </w:pPr>
            <w:r>
              <w:rPr>
                <w:rFonts w:eastAsia="MS Mincho"/>
              </w:rPr>
              <w:t>2/173</w:t>
            </w:r>
          </w:p>
          <w:p w14:paraId="70A6497E" w14:textId="77777777" w:rsidR="00B07C6E" w:rsidRPr="001B3B7C" w:rsidRDefault="00B07C6E" w:rsidP="00125A1C">
            <w:pPr>
              <w:pStyle w:val="Tablewriting"/>
              <w:jc w:val="center"/>
              <w:rPr>
                <w:rFonts w:eastAsia="MS Mincho"/>
              </w:rPr>
            </w:pPr>
            <w:r>
              <w:rPr>
                <w:rFonts w:eastAsia="MS Mincho"/>
              </w:rPr>
              <w:t>(1.2%)</w:t>
            </w:r>
          </w:p>
        </w:tc>
        <w:tc>
          <w:tcPr>
            <w:tcW w:w="836" w:type="pct"/>
            <w:tcMar>
              <w:left w:w="28" w:type="dxa"/>
              <w:right w:w="28" w:type="dxa"/>
            </w:tcMar>
            <w:vAlign w:val="center"/>
          </w:tcPr>
          <w:p w14:paraId="365E499B" w14:textId="77777777" w:rsidR="00B07C6E" w:rsidRDefault="00B07C6E" w:rsidP="00125A1C">
            <w:pPr>
              <w:pStyle w:val="Tablewriting"/>
              <w:jc w:val="center"/>
              <w:rPr>
                <w:rFonts w:eastAsia="MS Mincho"/>
              </w:rPr>
            </w:pPr>
            <w:r>
              <w:rPr>
                <w:rFonts w:eastAsia="MS Mincho"/>
              </w:rPr>
              <w:t>4.02</w:t>
            </w:r>
          </w:p>
          <w:p w14:paraId="5A3A8943" w14:textId="77777777" w:rsidR="00B07C6E" w:rsidRPr="001B3B7C" w:rsidRDefault="00B07C6E" w:rsidP="00125A1C">
            <w:pPr>
              <w:pStyle w:val="Tablewriting"/>
              <w:jc w:val="center"/>
              <w:rPr>
                <w:rFonts w:eastAsia="MS Mincho"/>
              </w:rPr>
            </w:pPr>
            <w:r>
              <w:rPr>
                <w:rFonts w:eastAsia="MS Mincho"/>
              </w:rPr>
              <w:t>(0.87, 18.67)</w:t>
            </w:r>
          </w:p>
        </w:tc>
      </w:tr>
      <w:tr w:rsidR="00B07C6E" w:rsidRPr="00061F78" w14:paraId="72AE1094" w14:textId="77777777" w:rsidTr="00BE68DA">
        <w:trPr>
          <w:cantSplit/>
          <w:trHeight w:val="149"/>
        </w:trPr>
        <w:tc>
          <w:tcPr>
            <w:tcW w:w="1334" w:type="pct"/>
            <w:tcMar>
              <w:left w:w="28" w:type="dxa"/>
              <w:right w:w="28" w:type="dxa"/>
            </w:tcMar>
          </w:tcPr>
          <w:p w14:paraId="1FF228E4" w14:textId="77777777" w:rsidR="00B07C6E" w:rsidRPr="001B3B7C" w:rsidRDefault="00B07C6E" w:rsidP="00125A1C">
            <w:pPr>
              <w:pStyle w:val="Tablewriting"/>
              <w:rPr>
                <w:rFonts w:eastAsia="MS Mincho"/>
              </w:rPr>
            </w:pPr>
            <w:r w:rsidRPr="001B3B7C">
              <w:rPr>
                <w:rFonts w:eastAsia="MS Mincho"/>
              </w:rPr>
              <w:t>52 weeks versus 8 weeks</w:t>
            </w:r>
          </w:p>
        </w:tc>
        <w:tc>
          <w:tcPr>
            <w:tcW w:w="943" w:type="pct"/>
            <w:vAlign w:val="center"/>
          </w:tcPr>
          <w:p w14:paraId="28177E5C" w14:textId="77777777" w:rsidR="00B07C6E" w:rsidRDefault="00B07C6E" w:rsidP="00125A1C">
            <w:pPr>
              <w:pStyle w:val="Tablewriting"/>
              <w:jc w:val="center"/>
              <w:rPr>
                <w:rFonts w:eastAsia="MS Mincho"/>
              </w:rPr>
            </w:pPr>
            <w:r w:rsidRPr="001B3B7C">
              <w:rPr>
                <w:rFonts w:eastAsia="MS Mincho"/>
              </w:rPr>
              <w:t xml:space="preserve"> </w:t>
            </w:r>
            <w:r>
              <w:rPr>
                <w:rFonts w:eastAsia="MS Mincho"/>
              </w:rPr>
              <w:t>Cochrane Review</w:t>
            </w:r>
          </w:p>
          <w:p w14:paraId="2857467F" w14:textId="77777777" w:rsidR="00B07C6E" w:rsidRPr="001B3B7C" w:rsidRDefault="00B07C6E" w:rsidP="00125A1C">
            <w:pPr>
              <w:pStyle w:val="Tablewriting"/>
              <w:jc w:val="center"/>
              <w:rPr>
                <w:rFonts w:eastAsia="MS Mincho"/>
              </w:rPr>
            </w:pPr>
            <w:r>
              <w:rPr>
                <w:rFonts w:eastAsia="MS Mincho"/>
              </w:rPr>
              <w:t>(1 RCT)</w:t>
            </w:r>
          </w:p>
        </w:tc>
        <w:tc>
          <w:tcPr>
            <w:tcW w:w="943" w:type="pct"/>
            <w:vAlign w:val="center"/>
          </w:tcPr>
          <w:p w14:paraId="37383D05" w14:textId="77777777" w:rsidR="00B07C6E" w:rsidRDefault="00B07C6E" w:rsidP="00125A1C">
            <w:pPr>
              <w:pStyle w:val="Tablewriting"/>
              <w:jc w:val="center"/>
              <w:rPr>
                <w:rFonts w:eastAsia="MS Mincho"/>
              </w:rPr>
            </w:pPr>
            <w:r>
              <w:rPr>
                <w:rFonts w:eastAsia="MS Mincho"/>
              </w:rPr>
              <w:t>8/172</w:t>
            </w:r>
          </w:p>
          <w:p w14:paraId="0389BC37" w14:textId="77777777" w:rsidR="00B07C6E" w:rsidRPr="001B3B7C" w:rsidRDefault="00B07C6E" w:rsidP="00125A1C">
            <w:pPr>
              <w:pStyle w:val="Tablewriting"/>
              <w:jc w:val="center"/>
              <w:rPr>
                <w:rFonts w:eastAsia="MS Mincho"/>
              </w:rPr>
            </w:pPr>
            <w:r>
              <w:rPr>
                <w:rFonts w:eastAsia="MS Mincho"/>
              </w:rPr>
              <w:t>(4.7%)</w:t>
            </w:r>
          </w:p>
        </w:tc>
        <w:tc>
          <w:tcPr>
            <w:tcW w:w="944" w:type="pct"/>
            <w:vAlign w:val="center"/>
          </w:tcPr>
          <w:p w14:paraId="560643D3" w14:textId="77777777" w:rsidR="00B07C6E" w:rsidRDefault="00B07C6E" w:rsidP="00125A1C">
            <w:pPr>
              <w:pStyle w:val="Tablewriting"/>
              <w:jc w:val="center"/>
              <w:rPr>
                <w:rFonts w:eastAsia="MS Mincho"/>
              </w:rPr>
            </w:pPr>
            <w:r>
              <w:rPr>
                <w:rFonts w:eastAsia="MS Mincho"/>
              </w:rPr>
              <w:t>4/180</w:t>
            </w:r>
          </w:p>
          <w:p w14:paraId="4964D82F" w14:textId="77777777" w:rsidR="00B07C6E" w:rsidRPr="001B3B7C" w:rsidRDefault="00B07C6E" w:rsidP="00125A1C">
            <w:pPr>
              <w:pStyle w:val="Tablewriting"/>
              <w:jc w:val="center"/>
              <w:rPr>
                <w:rFonts w:eastAsia="MS Mincho"/>
              </w:rPr>
            </w:pPr>
            <w:r>
              <w:rPr>
                <w:rFonts w:eastAsia="MS Mincho"/>
              </w:rPr>
              <w:t>(2.2%)</w:t>
            </w:r>
          </w:p>
        </w:tc>
        <w:tc>
          <w:tcPr>
            <w:tcW w:w="836" w:type="pct"/>
            <w:tcMar>
              <w:left w:w="28" w:type="dxa"/>
              <w:right w:w="28" w:type="dxa"/>
            </w:tcMar>
            <w:vAlign w:val="center"/>
          </w:tcPr>
          <w:p w14:paraId="3CC65772" w14:textId="77777777" w:rsidR="00B07C6E" w:rsidRDefault="00B07C6E" w:rsidP="00125A1C">
            <w:pPr>
              <w:pStyle w:val="Tablewriting"/>
              <w:jc w:val="center"/>
              <w:rPr>
                <w:rFonts w:eastAsia="MS Mincho"/>
              </w:rPr>
            </w:pPr>
            <w:r>
              <w:rPr>
                <w:rFonts w:eastAsia="MS Mincho"/>
              </w:rPr>
              <w:t>2.09</w:t>
            </w:r>
          </w:p>
          <w:p w14:paraId="2015781F" w14:textId="77777777" w:rsidR="00B07C6E" w:rsidRPr="001B3B7C" w:rsidRDefault="00B07C6E" w:rsidP="00125A1C">
            <w:pPr>
              <w:pStyle w:val="Tablewriting"/>
              <w:jc w:val="center"/>
              <w:rPr>
                <w:rFonts w:eastAsia="MS Mincho"/>
              </w:rPr>
            </w:pPr>
            <w:r>
              <w:rPr>
                <w:rFonts w:eastAsia="MS Mincho"/>
              </w:rPr>
              <w:t>(0.64, 6.82)</w:t>
            </w:r>
          </w:p>
        </w:tc>
      </w:tr>
      <w:tr w:rsidR="00B07C6E" w:rsidRPr="00061F78" w14:paraId="3954F8A3" w14:textId="77777777" w:rsidTr="00BE68DA">
        <w:trPr>
          <w:cantSplit/>
          <w:trHeight w:val="149"/>
        </w:trPr>
        <w:tc>
          <w:tcPr>
            <w:tcW w:w="1334" w:type="pct"/>
            <w:tcMar>
              <w:left w:w="28" w:type="dxa"/>
              <w:right w:w="28" w:type="dxa"/>
            </w:tcMar>
          </w:tcPr>
          <w:p w14:paraId="1ABEFD5F" w14:textId="77777777" w:rsidR="00B07C6E" w:rsidRPr="001B3B7C" w:rsidRDefault="00B07C6E" w:rsidP="00125A1C">
            <w:pPr>
              <w:pStyle w:val="Tablewriting"/>
              <w:rPr>
                <w:rFonts w:eastAsia="MS Mincho"/>
              </w:rPr>
            </w:pPr>
            <w:r w:rsidRPr="001B3B7C">
              <w:rPr>
                <w:rFonts w:eastAsia="MS Mincho"/>
              </w:rPr>
              <w:t>24 weeks versus 8 weeks</w:t>
            </w:r>
          </w:p>
        </w:tc>
        <w:tc>
          <w:tcPr>
            <w:tcW w:w="943" w:type="pct"/>
            <w:vAlign w:val="center"/>
          </w:tcPr>
          <w:p w14:paraId="2C0AE5E0" w14:textId="77777777" w:rsidR="00B07C6E" w:rsidRDefault="00B07C6E" w:rsidP="00125A1C">
            <w:pPr>
              <w:pStyle w:val="Tablewriting"/>
              <w:jc w:val="center"/>
              <w:rPr>
                <w:rFonts w:eastAsia="MS Mincho"/>
              </w:rPr>
            </w:pPr>
            <w:r>
              <w:rPr>
                <w:rFonts w:eastAsia="MS Mincho"/>
              </w:rPr>
              <w:t>Cochrane Review</w:t>
            </w:r>
          </w:p>
          <w:p w14:paraId="39219D57" w14:textId="77777777" w:rsidR="00B07C6E" w:rsidRPr="001B3B7C" w:rsidRDefault="00B07C6E" w:rsidP="00125A1C">
            <w:pPr>
              <w:pStyle w:val="Tablewriting"/>
              <w:jc w:val="center"/>
              <w:rPr>
                <w:rFonts w:eastAsia="MS Mincho"/>
              </w:rPr>
            </w:pPr>
            <w:r>
              <w:rPr>
                <w:rFonts w:eastAsia="MS Mincho"/>
              </w:rPr>
              <w:t>(2 RCTs)</w:t>
            </w:r>
          </w:p>
        </w:tc>
        <w:tc>
          <w:tcPr>
            <w:tcW w:w="943" w:type="pct"/>
            <w:vAlign w:val="center"/>
          </w:tcPr>
          <w:p w14:paraId="599DD9B6" w14:textId="77777777" w:rsidR="00B07C6E" w:rsidRDefault="00B07C6E" w:rsidP="00125A1C">
            <w:pPr>
              <w:pStyle w:val="Tablewriting"/>
              <w:jc w:val="center"/>
              <w:rPr>
                <w:rFonts w:eastAsia="MS Mincho"/>
              </w:rPr>
            </w:pPr>
            <w:r>
              <w:rPr>
                <w:rFonts w:eastAsia="MS Mincho"/>
              </w:rPr>
              <w:t>5/455</w:t>
            </w:r>
          </w:p>
          <w:p w14:paraId="17B6036C" w14:textId="77777777" w:rsidR="00B07C6E" w:rsidRPr="001B3B7C" w:rsidRDefault="00B07C6E" w:rsidP="00125A1C">
            <w:pPr>
              <w:pStyle w:val="Tablewriting"/>
              <w:jc w:val="center"/>
              <w:rPr>
                <w:rFonts w:eastAsia="MS Mincho"/>
              </w:rPr>
            </w:pPr>
            <w:r>
              <w:rPr>
                <w:rFonts w:eastAsia="MS Mincho"/>
              </w:rPr>
              <w:t>(1.1%)</w:t>
            </w:r>
          </w:p>
        </w:tc>
        <w:tc>
          <w:tcPr>
            <w:tcW w:w="944" w:type="pct"/>
            <w:vAlign w:val="center"/>
          </w:tcPr>
          <w:p w14:paraId="3CADF3B7" w14:textId="77777777" w:rsidR="00B07C6E" w:rsidRDefault="00B07C6E" w:rsidP="00125A1C">
            <w:pPr>
              <w:pStyle w:val="Tablewriting"/>
              <w:jc w:val="center"/>
              <w:rPr>
                <w:rFonts w:eastAsia="MS Mincho"/>
              </w:rPr>
            </w:pPr>
            <w:r>
              <w:rPr>
                <w:rFonts w:eastAsia="MS Mincho"/>
              </w:rPr>
              <w:t>5/466</w:t>
            </w:r>
          </w:p>
          <w:p w14:paraId="786B9722" w14:textId="77777777" w:rsidR="00B07C6E" w:rsidRPr="001B3B7C" w:rsidRDefault="00B07C6E" w:rsidP="00125A1C">
            <w:pPr>
              <w:pStyle w:val="Tablewriting"/>
              <w:jc w:val="center"/>
              <w:rPr>
                <w:rFonts w:eastAsia="MS Mincho"/>
              </w:rPr>
            </w:pPr>
            <w:r>
              <w:rPr>
                <w:rFonts w:eastAsia="MS Mincho"/>
              </w:rPr>
              <w:t>(1.1%)</w:t>
            </w:r>
          </w:p>
        </w:tc>
        <w:tc>
          <w:tcPr>
            <w:tcW w:w="836" w:type="pct"/>
            <w:tcMar>
              <w:left w:w="28" w:type="dxa"/>
              <w:right w:w="28" w:type="dxa"/>
            </w:tcMar>
            <w:vAlign w:val="center"/>
          </w:tcPr>
          <w:p w14:paraId="5291E385" w14:textId="77777777" w:rsidR="00B07C6E" w:rsidRDefault="00B07C6E" w:rsidP="00125A1C">
            <w:pPr>
              <w:pStyle w:val="Tablewriting"/>
              <w:jc w:val="center"/>
              <w:rPr>
                <w:rFonts w:eastAsia="MS Mincho"/>
              </w:rPr>
            </w:pPr>
            <w:r>
              <w:rPr>
                <w:rFonts w:eastAsia="MS Mincho"/>
              </w:rPr>
              <w:t>1.03</w:t>
            </w:r>
          </w:p>
          <w:p w14:paraId="41D23C02" w14:textId="77777777" w:rsidR="00B07C6E" w:rsidRPr="001B3B7C" w:rsidRDefault="00B07C6E" w:rsidP="00125A1C">
            <w:pPr>
              <w:pStyle w:val="Tablewriting"/>
              <w:jc w:val="center"/>
              <w:rPr>
                <w:rFonts w:eastAsia="MS Mincho"/>
              </w:rPr>
            </w:pPr>
            <w:r>
              <w:rPr>
                <w:rFonts w:eastAsia="MS Mincho"/>
              </w:rPr>
              <w:t>(0.3, 3.54)</w:t>
            </w:r>
          </w:p>
        </w:tc>
      </w:tr>
      <w:tr w:rsidR="00B07C6E" w:rsidRPr="00061F78" w14:paraId="73B263C3" w14:textId="77777777" w:rsidTr="00BE68DA">
        <w:trPr>
          <w:cantSplit/>
          <w:trHeight w:val="149"/>
        </w:trPr>
        <w:tc>
          <w:tcPr>
            <w:tcW w:w="1334" w:type="pct"/>
            <w:tcMar>
              <w:left w:w="28" w:type="dxa"/>
              <w:right w:w="28" w:type="dxa"/>
            </w:tcMar>
          </w:tcPr>
          <w:p w14:paraId="0BD34BE0" w14:textId="77777777" w:rsidR="00B07C6E" w:rsidRPr="001B3B7C" w:rsidRDefault="00B07C6E" w:rsidP="00125A1C">
            <w:pPr>
              <w:pStyle w:val="Tablewriting"/>
              <w:rPr>
                <w:rFonts w:eastAsia="MS Mincho"/>
              </w:rPr>
            </w:pPr>
            <w:r w:rsidRPr="001B3B7C">
              <w:rPr>
                <w:rFonts w:eastAsia="MS Mincho"/>
              </w:rPr>
              <w:t>6 weeks versus 2 - 3 weeks</w:t>
            </w:r>
          </w:p>
        </w:tc>
        <w:tc>
          <w:tcPr>
            <w:tcW w:w="943" w:type="pct"/>
            <w:vAlign w:val="center"/>
          </w:tcPr>
          <w:p w14:paraId="44128EDE" w14:textId="77777777" w:rsidR="00B07C6E" w:rsidRDefault="00B07C6E" w:rsidP="00125A1C">
            <w:pPr>
              <w:pStyle w:val="Tablewriting"/>
              <w:jc w:val="center"/>
              <w:rPr>
                <w:rFonts w:eastAsia="MS Mincho"/>
              </w:rPr>
            </w:pPr>
            <w:r>
              <w:rPr>
                <w:rFonts w:eastAsia="MS Mincho"/>
              </w:rPr>
              <w:t>Cochrane Review</w:t>
            </w:r>
          </w:p>
          <w:p w14:paraId="16FFA0DC" w14:textId="77777777" w:rsidR="00B07C6E" w:rsidRPr="001B3B7C" w:rsidRDefault="00B07C6E" w:rsidP="00125A1C">
            <w:pPr>
              <w:pStyle w:val="Tablewriting"/>
              <w:jc w:val="center"/>
              <w:rPr>
                <w:rFonts w:eastAsia="MS Mincho"/>
              </w:rPr>
            </w:pPr>
            <w:r>
              <w:rPr>
                <w:rFonts w:eastAsia="MS Mincho"/>
              </w:rPr>
              <w:t>(1 RCT)</w:t>
            </w:r>
          </w:p>
        </w:tc>
        <w:tc>
          <w:tcPr>
            <w:tcW w:w="943" w:type="pct"/>
            <w:vAlign w:val="center"/>
          </w:tcPr>
          <w:p w14:paraId="67CAD2F7" w14:textId="77777777" w:rsidR="00B07C6E" w:rsidRDefault="00B07C6E" w:rsidP="00125A1C">
            <w:pPr>
              <w:pStyle w:val="Tablewriting"/>
              <w:jc w:val="center"/>
              <w:rPr>
                <w:rFonts w:eastAsia="MS Mincho"/>
              </w:rPr>
            </w:pPr>
            <w:r>
              <w:rPr>
                <w:rFonts w:eastAsia="MS Mincho"/>
              </w:rPr>
              <w:t>0/40</w:t>
            </w:r>
          </w:p>
          <w:p w14:paraId="6B0C2CAA" w14:textId="77777777" w:rsidR="00B07C6E" w:rsidRPr="001B3B7C" w:rsidRDefault="00B07C6E" w:rsidP="00125A1C">
            <w:pPr>
              <w:pStyle w:val="Tablewriting"/>
              <w:jc w:val="center"/>
              <w:rPr>
                <w:rFonts w:eastAsia="MS Mincho"/>
              </w:rPr>
            </w:pPr>
            <w:r>
              <w:rPr>
                <w:rFonts w:eastAsia="MS Mincho"/>
              </w:rPr>
              <w:t>(0%)</w:t>
            </w:r>
          </w:p>
        </w:tc>
        <w:tc>
          <w:tcPr>
            <w:tcW w:w="944" w:type="pct"/>
            <w:vAlign w:val="center"/>
          </w:tcPr>
          <w:p w14:paraId="4D1A54EB" w14:textId="77777777" w:rsidR="00B07C6E" w:rsidRDefault="00B07C6E" w:rsidP="00125A1C">
            <w:pPr>
              <w:pStyle w:val="Tablewriting"/>
              <w:jc w:val="center"/>
              <w:rPr>
                <w:rFonts w:eastAsia="MS Mincho"/>
              </w:rPr>
            </w:pPr>
            <w:r>
              <w:rPr>
                <w:rFonts w:eastAsia="MS Mincho"/>
              </w:rPr>
              <w:t>0/40</w:t>
            </w:r>
          </w:p>
          <w:p w14:paraId="0638893A" w14:textId="77777777" w:rsidR="00B07C6E" w:rsidRPr="001B3B7C" w:rsidRDefault="00B07C6E" w:rsidP="00125A1C">
            <w:pPr>
              <w:pStyle w:val="Tablewriting"/>
              <w:jc w:val="center"/>
              <w:rPr>
                <w:rFonts w:eastAsia="MS Mincho"/>
              </w:rPr>
            </w:pPr>
            <w:r>
              <w:rPr>
                <w:rFonts w:eastAsia="MS Mincho"/>
              </w:rPr>
              <w:t>(0%)</w:t>
            </w:r>
          </w:p>
        </w:tc>
        <w:tc>
          <w:tcPr>
            <w:tcW w:w="836" w:type="pct"/>
            <w:tcMar>
              <w:left w:w="28" w:type="dxa"/>
              <w:right w:w="28" w:type="dxa"/>
            </w:tcMar>
            <w:vAlign w:val="center"/>
          </w:tcPr>
          <w:p w14:paraId="41F51EFB" w14:textId="77777777" w:rsidR="00B07C6E" w:rsidRPr="001B3B7C" w:rsidRDefault="00B07C6E" w:rsidP="00125A1C">
            <w:pPr>
              <w:pStyle w:val="Tablewriting"/>
              <w:jc w:val="center"/>
              <w:rPr>
                <w:rFonts w:eastAsia="MS Mincho"/>
              </w:rPr>
            </w:pPr>
            <w:r>
              <w:rPr>
                <w:rFonts w:eastAsia="MS Mincho"/>
              </w:rPr>
              <w:t>NE</w:t>
            </w:r>
          </w:p>
        </w:tc>
      </w:tr>
      <w:tr w:rsidR="00B07C6E" w:rsidRPr="00061F78" w14:paraId="25C83EBF" w14:textId="77777777" w:rsidTr="00E723A1">
        <w:trPr>
          <w:cantSplit/>
          <w:trHeight w:val="149"/>
        </w:trPr>
        <w:tc>
          <w:tcPr>
            <w:tcW w:w="5000" w:type="pct"/>
            <w:gridSpan w:val="5"/>
            <w:shd w:val="clear" w:color="auto" w:fill="auto"/>
            <w:tcMar>
              <w:left w:w="28" w:type="dxa"/>
              <w:right w:w="28" w:type="dxa"/>
            </w:tcMar>
          </w:tcPr>
          <w:p w14:paraId="1DAA3537" w14:textId="77777777" w:rsidR="00B07C6E" w:rsidRPr="00E723A1" w:rsidRDefault="00B07C6E" w:rsidP="00125A1C">
            <w:pPr>
              <w:pStyle w:val="Tablewriting"/>
              <w:rPr>
                <w:rFonts w:eastAsia="MS Mincho"/>
                <w:b/>
                <w:bCs/>
              </w:rPr>
            </w:pPr>
            <w:r w:rsidRPr="00E723A1">
              <w:rPr>
                <w:rFonts w:eastAsia="MS Mincho"/>
                <w:b/>
                <w:bCs/>
              </w:rPr>
              <w:t>Treatment withdrawals</w:t>
            </w:r>
          </w:p>
        </w:tc>
      </w:tr>
      <w:tr w:rsidR="00B07C6E" w:rsidRPr="00061F78" w14:paraId="190210FC" w14:textId="77777777" w:rsidTr="00BE68DA">
        <w:trPr>
          <w:cantSplit/>
          <w:trHeight w:val="149"/>
        </w:trPr>
        <w:tc>
          <w:tcPr>
            <w:tcW w:w="1334" w:type="pct"/>
            <w:tcMar>
              <w:left w:w="28" w:type="dxa"/>
              <w:right w:w="28" w:type="dxa"/>
            </w:tcMar>
          </w:tcPr>
          <w:p w14:paraId="0E1BEEF8" w14:textId="77777777" w:rsidR="00B07C6E" w:rsidRPr="001B3B7C" w:rsidRDefault="00B07C6E" w:rsidP="00125A1C">
            <w:pPr>
              <w:pStyle w:val="Tablewriting"/>
              <w:rPr>
                <w:rFonts w:eastAsia="MS Mincho"/>
              </w:rPr>
            </w:pPr>
            <w:r w:rsidRPr="001B3B7C">
              <w:rPr>
                <w:rFonts w:eastAsia="MS Mincho"/>
              </w:rPr>
              <w:t>24 weeks versus 8 weeks</w:t>
            </w:r>
          </w:p>
        </w:tc>
        <w:tc>
          <w:tcPr>
            <w:tcW w:w="943" w:type="pct"/>
            <w:vAlign w:val="center"/>
          </w:tcPr>
          <w:p w14:paraId="60AB61CE" w14:textId="77777777" w:rsidR="00B07C6E" w:rsidRDefault="00B07C6E" w:rsidP="00125A1C">
            <w:pPr>
              <w:pStyle w:val="Tablewriting"/>
              <w:jc w:val="center"/>
              <w:rPr>
                <w:rFonts w:eastAsia="MS Mincho"/>
              </w:rPr>
            </w:pPr>
            <w:r>
              <w:rPr>
                <w:rFonts w:eastAsia="MS Mincho"/>
              </w:rPr>
              <w:t>Cochrane Review</w:t>
            </w:r>
          </w:p>
          <w:p w14:paraId="29D40124" w14:textId="77777777" w:rsidR="00B07C6E" w:rsidRPr="001B3B7C" w:rsidRDefault="00B07C6E" w:rsidP="00125A1C">
            <w:pPr>
              <w:pStyle w:val="Tablewriting"/>
              <w:jc w:val="center"/>
              <w:rPr>
                <w:rFonts w:eastAsia="MS Mincho"/>
              </w:rPr>
            </w:pPr>
            <w:r>
              <w:rPr>
                <w:rFonts w:eastAsia="MS Mincho"/>
              </w:rPr>
              <w:t>(1 RCT)</w:t>
            </w:r>
          </w:p>
        </w:tc>
        <w:tc>
          <w:tcPr>
            <w:tcW w:w="943" w:type="pct"/>
            <w:tcMar>
              <w:left w:w="28" w:type="dxa"/>
              <w:right w:w="28" w:type="dxa"/>
            </w:tcMar>
            <w:vAlign w:val="center"/>
          </w:tcPr>
          <w:p w14:paraId="453C8BBC" w14:textId="77777777" w:rsidR="00B07C6E" w:rsidRDefault="00B07C6E" w:rsidP="00125A1C">
            <w:pPr>
              <w:pStyle w:val="Tablewriting"/>
              <w:jc w:val="center"/>
              <w:rPr>
                <w:rFonts w:eastAsia="MS Mincho"/>
              </w:rPr>
            </w:pPr>
            <w:r>
              <w:rPr>
                <w:rFonts w:eastAsia="MS Mincho"/>
              </w:rPr>
              <w:t>1/282</w:t>
            </w:r>
          </w:p>
          <w:p w14:paraId="3EC973FA" w14:textId="77777777" w:rsidR="00B07C6E" w:rsidRPr="001B3B7C" w:rsidRDefault="00B07C6E" w:rsidP="00125A1C">
            <w:pPr>
              <w:pStyle w:val="Tablewriting"/>
              <w:jc w:val="center"/>
              <w:rPr>
                <w:rFonts w:eastAsia="MS Mincho"/>
              </w:rPr>
            </w:pPr>
            <w:r>
              <w:rPr>
                <w:rFonts w:eastAsia="MS Mincho"/>
              </w:rPr>
              <w:t>(0.4%)</w:t>
            </w:r>
          </w:p>
        </w:tc>
        <w:tc>
          <w:tcPr>
            <w:tcW w:w="944" w:type="pct"/>
            <w:tcMar>
              <w:left w:w="28" w:type="dxa"/>
              <w:right w:w="28" w:type="dxa"/>
            </w:tcMar>
            <w:vAlign w:val="center"/>
          </w:tcPr>
          <w:p w14:paraId="51731F00" w14:textId="77777777" w:rsidR="00B07C6E" w:rsidRDefault="00B07C6E" w:rsidP="00125A1C">
            <w:pPr>
              <w:pStyle w:val="Tablewriting"/>
              <w:jc w:val="center"/>
              <w:rPr>
                <w:rFonts w:eastAsia="MS Mincho"/>
              </w:rPr>
            </w:pPr>
            <w:r>
              <w:rPr>
                <w:rFonts w:eastAsia="MS Mincho"/>
              </w:rPr>
              <w:t>0/286</w:t>
            </w:r>
          </w:p>
          <w:p w14:paraId="48793364" w14:textId="77777777" w:rsidR="00B07C6E" w:rsidRPr="001B3B7C" w:rsidRDefault="00B07C6E" w:rsidP="00125A1C">
            <w:pPr>
              <w:pStyle w:val="Tablewriting"/>
              <w:jc w:val="center"/>
              <w:rPr>
                <w:rFonts w:eastAsia="MS Mincho"/>
              </w:rPr>
            </w:pPr>
            <w:r>
              <w:rPr>
                <w:rFonts w:eastAsia="MS Mincho"/>
              </w:rPr>
              <w:t>(0%)</w:t>
            </w:r>
          </w:p>
        </w:tc>
        <w:tc>
          <w:tcPr>
            <w:tcW w:w="836" w:type="pct"/>
            <w:tcMar>
              <w:left w:w="28" w:type="dxa"/>
              <w:right w:w="28" w:type="dxa"/>
            </w:tcMar>
            <w:vAlign w:val="center"/>
          </w:tcPr>
          <w:p w14:paraId="6CB56ED9" w14:textId="77777777" w:rsidR="00B07C6E" w:rsidRDefault="00B07C6E" w:rsidP="00125A1C">
            <w:pPr>
              <w:pStyle w:val="Tablewriting"/>
              <w:jc w:val="center"/>
              <w:rPr>
                <w:rFonts w:eastAsia="MS Mincho"/>
              </w:rPr>
            </w:pPr>
            <w:r>
              <w:rPr>
                <w:rFonts w:eastAsia="MS Mincho"/>
              </w:rPr>
              <w:t>3.04</w:t>
            </w:r>
          </w:p>
          <w:p w14:paraId="076A6DC7" w14:textId="77777777" w:rsidR="00B07C6E" w:rsidRPr="001B3B7C" w:rsidRDefault="00B07C6E" w:rsidP="00125A1C">
            <w:pPr>
              <w:pStyle w:val="Tablewriting"/>
              <w:jc w:val="center"/>
              <w:rPr>
                <w:rFonts w:eastAsia="MS Mincho"/>
              </w:rPr>
            </w:pPr>
            <w:r>
              <w:rPr>
                <w:rFonts w:eastAsia="MS Mincho"/>
              </w:rPr>
              <w:t>(0.12, 74.37)</w:t>
            </w:r>
          </w:p>
        </w:tc>
      </w:tr>
      <w:tr w:rsidR="00B07C6E" w:rsidRPr="00061F78" w14:paraId="57D69C6E" w14:textId="77777777" w:rsidTr="00BE68DA">
        <w:trPr>
          <w:cantSplit/>
          <w:trHeight w:val="149"/>
        </w:trPr>
        <w:tc>
          <w:tcPr>
            <w:tcW w:w="1334" w:type="pct"/>
            <w:tcMar>
              <w:left w:w="28" w:type="dxa"/>
              <w:right w:w="28" w:type="dxa"/>
            </w:tcMar>
          </w:tcPr>
          <w:p w14:paraId="7F525508" w14:textId="77777777" w:rsidR="00B07C6E" w:rsidRPr="001B3B7C" w:rsidRDefault="00B07C6E" w:rsidP="00125A1C">
            <w:pPr>
              <w:pStyle w:val="Tablewriting"/>
              <w:rPr>
                <w:rFonts w:eastAsia="MS Mincho"/>
              </w:rPr>
            </w:pPr>
            <w:r w:rsidRPr="001B3B7C">
              <w:rPr>
                <w:rFonts w:eastAsia="MS Mincho"/>
              </w:rPr>
              <w:t>6 weeks versus 2 - 3 weeks</w:t>
            </w:r>
          </w:p>
        </w:tc>
        <w:tc>
          <w:tcPr>
            <w:tcW w:w="943" w:type="pct"/>
            <w:vAlign w:val="center"/>
          </w:tcPr>
          <w:p w14:paraId="14950AAC" w14:textId="77777777" w:rsidR="00B07C6E" w:rsidRDefault="00B07C6E" w:rsidP="00125A1C">
            <w:pPr>
              <w:pStyle w:val="Tablewriting"/>
              <w:jc w:val="center"/>
              <w:rPr>
                <w:rFonts w:eastAsia="MS Mincho"/>
              </w:rPr>
            </w:pPr>
            <w:r>
              <w:rPr>
                <w:rFonts w:eastAsia="MS Mincho"/>
              </w:rPr>
              <w:t>Cochrane Review</w:t>
            </w:r>
          </w:p>
          <w:p w14:paraId="34C71837" w14:textId="77777777" w:rsidR="00B07C6E" w:rsidRPr="001B3B7C" w:rsidRDefault="00B07C6E" w:rsidP="00125A1C">
            <w:pPr>
              <w:pStyle w:val="Tablewriting"/>
              <w:jc w:val="center"/>
              <w:rPr>
                <w:rFonts w:eastAsia="MS Mincho"/>
              </w:rPr>
            </w:pPr>
            <w:r>
              <w:rPr>
                <w:rFonts w:eastAsia="MS Mincho"/>
              </w:rPr>
              <w:t>(1 RCT)</w:t>
            </w:r>
          </w:p>
        </w:tc>
        <w:tc>
          <w:tcPr>
            <w:tcW w:w="943" w:type="pct"/>
            <w:vAlign w:val="center"/>
          </w:tcPr>
          <w:p w14:paraId="54F8C481" w14:textId="77777777" w:rsidR="00B07C6E" w:rsidRDefault="00B07C6E" w:rsidP="00125A1C">
            <w:pPr>
              <w:pStyle w:val="Tablewriting"/>
              <w:jc w:val="center"/>
              <w:rPr>
                <w:rFonts w:eastAsia="MS Mincho"/>
              </w:rPr>
            </w:pPr>
            <w:r>
              <w:rPr>
                <w:rFonts w:eastAsia="MS Mincho"/>
              </w:rPr>
              <w:t>2/40</w:t>
            </w:r>
          </w:p>
          <w:p w14:paraId="6697707D" w14:textId="77777777" w:rsidR="00B07C6E" w:rsidRPr="001B3B7C" w:rsidRDefault="00B07C6E" w:rsidP="00125A1C">
            <w:pPr>
              <w:pStyle w:val="Tablewriting"/>
              <w:jc w:val="center"/>
              <w:rPr>
                <w:rFonts w:eastAsia="MS Mincho"/>
              </w:rPr>
            </w:pPr>
            <w:r>
              <w:rPr>
                <w:rFonts w:eastAsia="MS Mincho"/>
              </w:rPr>
              <w:t>(5%)</w:t>
            </w:r>
          </w:p>
        </w:tc>
        <w:tc>
          <w:tcPr>
            <w:tcW w:w="944" w:type="pct"/>
            <w:vAlign w:val="center"/>
          </w:tcPr>
          <w:p w14:paraId="5AC34D44" w14:textId="77777777" w:rsidR="00B07C6E" w:rsidRDefault="00B07C6E" w:rsidP="00125A1C">
            <w:pPr>
              <w:pStyle w:val="Tablewriting"/>
              <w:jc w:val="center"/>
              <w:rPr>
                <w:rFonts w:eastAsia="MS Mincho"/>
              </w:rPr>
            </w:pPr>
            <w:r>
              <w:rPr>
                <w:rFonts w:eastAsia="MS Mincho"/>
              </w:rPr>
              <w:t>2/40</w:t>
            </w:r>
          </w:p>
          <w:p w14:paraId="11780C16" w14:textId="77777777" w:rsidR="00B07C6E" w:rsidRPr="001B3B7C" w:rsidRDefault="00B07C6E" w:rsidP="00125A1C">
            <w:pPr>
              <w:pStyle w:val="Tablewriting"/>
              <w:jc w:val="center"/>
              <w:rPr>
                <w:rFonts w:eastAsia="MS Mincho"/>
              </w:rPr>
            </w:pPr>
            <w:r>
              <w:rPr>
                <w:rFonts w:eastAsia="MS Mincho"/>
              </w:rPr>
              <w:t>(5%)</w:t>
            </w:r>
          </w:p>
        </w:tc>
        <w:tc>
          <w:tcPr>
            <w:tcW w:w="836" w:type="pct"/>
            <w:tcMar>
              <w:left w:w="28" w:type="dxa"/>
              <w:right w:w="28" w:type="dxa"/>
            </w:tcMar>
            <w:vAlign w:val="center"/>
          </w:tcPr>
          <w:p w14:paraId="45746E6D" w14:textId="77777777" w:rsidR="00B07C6E" w:rsidRDefault="00B07C6E" w:rsidP="00125A1C">
            <w:pPr>
              <w:pStyle w:val="Tablewriting"/>
              <w:jc w:val="center"/>
              <w:rPr>
                <w:rFonts w:eastAsia="MS Mincho"/>
              </w:rPr>
            </w:pPr>
            <w:r>
              <w:rPr>
                <w:rFonts w:eastAsia="MS Mincho"/>
              </w:rPr>
              <w:t>1</w:t>
            </w:r>
          </w:p>
          <w:p w14:paraId="1EBD1B8C" w14:textId="77777777" w:rsidR="00B07C6E" w:rsidRPr="001B3B7C" w:rsidRDefault="00B07C6E" w:rsidP="00125A1C">
            <w:pPr>
              <w:pStyle w:val="Tablewriting"/>
              <w:jc w:val="center"/>
              <w:rPr>
                <w:rFonts w:eastAsia="MS Mincho"/>
              </w:rPr>
            </w:pPr>
            <w:r>
              <w:rPr>
                <w:rFonts w:eastAsia="MS Mincho"/>
              </w:rPr>
              <w:t>(0.15, 6.76)</w:t>
            </w:r>
          </w:p>
        </w:tc>
      </w:tr>
    </w:tbl>
    <w:p w14:paraId="5F3C083E" w14:textId="77777777" w:rsidR="00B07C6E" w:rsidRPr="00E72520" w:rsidRDefault="00B07C6E" w:rsidP="000C5710">
      <w:pPr>
        <w:pStyle w:val="TableFooter"/>
        <w:jc w:val="both"/>
      </w:pPr>
      <w:r w:rsidRPr="00E72520">
        <w:t>Source: Lindson et al. (2019)</w:t>
      </w:r>
    </w:p>
    <w:p w14:paraId="1D151C06" w14:textId="77777777" w:rsidR="00B07C6E" w:rsidRPr="00E72520" w:rsidRDefault="00B07C6E" w:rsidP="000C5710">
      <w:pPr>
        <w:pStyle w:val="TableFooter"/>
        <w:jc w:val="both"/>
      </w:pPr>
      <w:r w:rsidRPr="00E72520">
        <w:t>Abbreviations: CI = confidence interval; NE = not estimable; RCT = randomised controlled trial; RR = risk ratio</w:t>
      </w:r>
      <w:r>
        <w:t>; SAEs = serious adverse events.</w:t>
      </w:r>
    </w:p>
    <w:p w14:paraId="4DE0E26D" w14:textId="1DAC6B14" w:rsidR="00B07C6E" w:rsidRPr="006F1FEC" w:rsidRDefault="00B07C6E" w:rsidP="000C5710">
      <w:pPr>
        <w:pStyle w:val="TableFooter"/>
        <w:jc w:val="both"/>
      </w:pPr>
      <w:r w:rsidRPr="006F1FEC">
        <w:t xml:space="preserve">Notes: See Appendix </w:t>
      </w:r>
      <w:r w:rsidR="00FD2AE4">
        <w:fldChar w:fldCharType="begin" w:fldLock="1"/>
      </w:r>
      <w:r w:rsidR="00FD2AE4">
        <w:instrText xml:space="preserve"> REF _Ref62127613 \h </w:instrText>
      </w:r>
      <w:r w:rsidR="000C5710">
        <w:instrText xml:space="preserve"> \* MERGEFORMAT </w:instrText>
      </w:r>
      <w:r w:rsidR="00FD2AE4">
        <w:fldChar w:fldCharType="separate"/>
      </w:r>
      <w:r w:rsidR="00EC5CC7">
        <w:t xml:space="preserve">Figure </w:t>
      </w:r>
      <w:r w:rsidR="00EC5CC7">
        <w:rPr>
          <w:noProof/>
        </w:rPr>
        <w:t>86</w:t>
      </w:r>
      <w:r w:rsidR="00FD2AE4">
        <w:fldChar w:fldCharType="end"/>
      </w:r>
      <w:r w:rsidRPr="006F1FEC">
        <w:t xml:space="preserve"> </w:t>
      </w:r>
      <w:r w:rsidR="00F83131">
        <w:t xml:space="preserve">and </w:t>
      </w:r>
      <w:r w:rsidR="00FD2AE4">
        <w:fldChar w:fldCharType="begin" w:fldLock="1"/>
      </w:r>
      <w:r w:rsidR="00FD2AE4">
        <w:instrText xml:space="preserve"> REF _Ref62127617 \h </w:instrText>
      </w:r>
      <w:r w:rsidR="000C5710">
        <w:instrText xml:space="preserve"> \* MERGEFORMAT </w:instrText>
      </w:r>
      <w:r w:rsidR="00FD2AE4">
        <w:fldChar w:fldCharType="separate"/>
      </w:r>
      <w:r w:rsidR="00EC5CC7">
        <w:t xml:space="preserve">Figure </w:t>
      </w:r>
      <w:r w:rsidR="00EC5CC7">
        <w:rPr>
          <w:noProof/>
        </w:rPr>
        <w:t>87</w:t>
      </w:r>
      <w:r w:rsidR="00FD2AE4">
        <w:fldChar w:fldCharType="end"/>
      </w:r>
      <w:r w:rsidR="00F83131">
        <w:t xml:space="preserve"> </w:t>
      </w:r>
      <w:r w:rsidRPr="006F1FEC">
        <w:t>for forest plots of the respective outcomes which included the results of individual studies.</w:t>
      </w:r>
    </w:p>
    <w:p w14:paraId="17339BCC" w14:textId="5CDA174E" w:rsidR="00B07C6E" w:rsidRPr="00D6760A" w:rsidRDefault="00B07C6E" w:rsidP="000C5710">
      <w:pPr>
        <w:pStyle w:val="TableFooter"/>
        <w:jc w:val="both"/>
      </w:pPr>
      <w:r>
        <w:t>1</w:t>
      </w:r>
      <w:r w:rsidRPr="00432CC7">
        <w:t xml:space="preserve"> </w:t>
      </w:r>
      <w:r w:rsidRPr="00185B35">
        <w:t xml:space="preserve">Calculated </w:t>
      </w:r>
      <w:r>
        <w:t xml:space="preserve">by Cochrane Review authors </w:t>
      </w:r>
      <w:r w:rsidRPr="00185B35">
        <w:t>using a fixed-effect model.</w:t>
      </w:r>
      <w:r>
        <w:t xml:space="preserve"> </w:t>
      </w:r>
    </w:p>
    <w:p w14:paraId="31ECA5BF" w14:textId="529CBC15" w:rsidR="00B07C6E" w:rsidRDefault="00B07C6E" w:rsidP="000C5710">
      <w:pPr>
        <w:pStyle w:val="Caption"/>
        <w:keepNext/>
        <w:spacing w:before="0" w:after="120"/>
        <w:jc w:val="both"/>
      </w:pPr>
      <w:bookmarkStart w:id="162" w:name="_Ref62115003"/>
      <w:r>
        <w:lastRenderedPageBreak/>
        <w:t xml:space="preserve">Table </w:t>
      </w:r>
      <w:r w:rsidR="00BF3F75">
        <w:fldChar w:fldCharType="begin"/>
      </w:r>
      <w:r w:rsidR="00BF3F75">
        <w:instrText xml:space="preserve"> SEQ Table \* ARABIC </w:instrText>
      </w:r>
      <w:r w:rsidR="00BF3F75">
        <w:fldChar w:fldCharType="separate"/>
      </w:r>
      <w:r w:rsidR="00EC5CC7">
        <w:rPr>
          <w:noProof/>
        </w:rPr>
        <w:t>90</w:t>
      </w:r>
      <w:r w:rsidR="00BF3F75">
        <w:rPr>
          <w:noProof/>
        </w:rPr>
        <w:fldChar w:fldCharType="end"/>
      </w:r>
      <w:bookmarkEnd w:id="162"/>
      <w:r>
        <w:t xml:space="preserve">: </w:t>
      </w:r>
      <w:r w:rsidRPr="00D7173A">
        <w:t>Summary of key adverse events in Lindson et al. (2019), 50-week duration versus 10-week duration NRT gum</w:t>
      </w:r>
    </w:p>
    <w:tbl>
      <w:tblPr>
        <w:tblStyle w:val="TableGrid"/>
        <w:tblW w:w="5000" w:type="pct"/>
        <w:tblLook w:val="04A0" w:firstRow="1" w:lastRow="0" w:firstColumn="1" w:lastColumn="0" w:noHBand="0" w:noVBand="1"/>
        <w:tblCaption w:val="Efficacy results of adalimumab trials (PASI 75 and DLQI)"/>
      </w:tblPr>
      <w:tblGrid>
        <w:gridCol w:w="2268"/>
        <w:gridCol w:w="1700"/>
        <w:gridCol w:w="1697"/>
        <w:gridCol w:w="1845"/>
        <w:gridCol w:w="1506"/>
      </w:tblGrid>
      <w:tr w:rsidR="00B07C6E" w:rsidRPr="00061F78" w14:paraId="18254E58" w14:textId="77777777" w:rsidTr="00BE68DA">
        <w:trPr>
          <w:cantSplit/>
          <w:trHeight w:val="299"/>
          <w:tblHeader/>
        </w:trPr>
        <w:tc>
          <w:tcPr>
            <w:tcW w:w="1258" w:type="pct"/>
            <w:shd w:val="clear" w:color="auto" w:fill="BFBFBF" w:themeFill="background1" w:themeFillShade="BF"/>
            <w:tcMar>
              <w:left w:w="28" w:type="dxa"/>
              <w:right w:w="28" w:type="dxa"/>
            </w:tcMar>
            <w:vAlign w:val="center"/>
          </w:tcPr>
          <w:p w14:paraId="5E9F528C" w14:textId="77777777" w:rsidR="00B07C6E" w:rsidRDefault="00B07C6E" w:rsidP="00125A1C">
            <w:pPr>
              <w:pStyle w:val="Tableheading"/>
              <w:keepNext/>
              <w:rPr>
                <w:rFonts w:eastAsia="MS Mincho"/>
              </w:rPr>
            </w:pPr>
            <w:r>
              <w:rPr>
                <w:rFonts w:eastAsia="MS Mincho"/>
              </w:rPr>
              <w:t>Outcome</w:t>
            </w:r>
          </w:p>
        </w:tc>
        <w:tc>
          <w:tcPr>
            <w:tcW w:w="943" w:type="pct"/>
            <w:shd w:val="clear" w:color="auto" w:fill="BFBFBF" w:themeFill="background1" w:themeFillShade="BF"/>
            <w:vAlign w:val="center"/>
          </w:tcPr>
          <w:p w14:paraId="212EAD9D" w14:textId="77777777" w:rsidR="00B07C6E" w:rsidRDefault="00B07C6E" w:rsidP="00125A1C">
            <w:pPr>
              <w:pStyle w:val="Tableheading"/>
              <w:keepNext/>
              <w:jc w:val="center"/>
              <w:rPr>
                <w:rFonts w:eastAsia="MS Mincho"/>
              </w:rPr>
            </w:pPr>
            <w:r>
              <w:rPr>
                <w:rFonts w:eastAsia="MS Mincho"/>
              </w:rPr>
              <w:t>Study type</w:t>
            </w:r>
          </w:p>
        </w:tc>
        <w:tc>
          <w:tcPr>
            <w:tcW w:w="941" w:type="pct"/>
            <w:shd w:val="clear" w:color="auto" w:fill="BFBFBF" w:themeFill="background1" w:themeFillShade="BF"/>
            <w:tcMar>
              <w:left w:w="28" w:type="dxa"/>
              <w:right w:w="28" w:type="dxa"/>
            </w:tcMar>
            <w:vAlign w:val="center"/>
          </w:tcPr>
          <w:p w14:paraId="16C710F7" w14:textId="475602D4" w:rsidR="00B07C6E" w:rsidRPr="00061F78" w:rsidRDefault="00B07C6E" w:rsidP="00125A1C">
            <w:pPr>
              <w:pStyle w:val="Tableheading"/>
              <w:keepNext/>
              <w:jc w:val="center"/>
              <w:rPr>
                <w:rFonts w:eastAsia="MS Mincho"/>
              </w:rPr>
            </w:pPr>
            <w:r>
              <w:rPr>
                <w:rFonts w:eastAsia="MS Mincho"/>
              </w:rPr>
              <w:t xml:space="preserve">Longer duration </w:t>
            </w:r>
          </w:p>
        </w:tc>
        <w:tc>
          <w:tcPr>
            <w:tcW w:w="1023" w:type="pct"/>
            <w:shd w:val="clear" w:color="auto" w:fill="BFBFBF" w:themeFill="background1" w:themeFillShade="BF"/>
            <w:tcMar>
              <w:left w:w="28" w:type="dxa"/>
              <w:right w:w="28" w:type="dxa"/>
            </w:tcMar>
            <w:vAlign w:val="center"/>
          </w:tcPr>
          <w:p w14:paraId="6DE29EA8" w14:textId="49B75841" w:rsidR="00B07C6E" w:rsidRPr="00061F78" w:rsidRDefault="00B07C6E" w:rsidP="00125A1C">
            <w:pPr>
              <w:pStyle w:val="Tableheading"/>
              <w:keepNext/>
              <w:jc w:val="center"/>
              <w:rPr>
                <w:rFonts w:eastAsia="MS Mincho"/>
              </w:rPr>
            </w:pPr>
            <w:r>
              <w:rPr>
                <w:rFonts w:eastAsia="MS Mincho"/>
              </w:rPr>
              <w:t>Shorter duration</w:t>
            </w:r>
          </w:p>
        </w:tc>
        <w:tc>
          <w:tcPr>
            <w:tcW w:w="836" w:type="pct"/>
            <w:shd w:val="clear" w:color="auto" w:fill="BFBFBF" w:themeFill="background1" w:themeFillShade="BF"/>
            <w:tcMar>
              <w:left w:w="28" w:type="dxa"/>
              <w:right w:w="28" w:type="dxa"/>
            </w:tcMar>
            <w:vAlign w:val="center"/>
          </w:tcPr>
          <w:p w14:paraId="29ED8573" w14:textId="3394B0B3" w:rsidR="00B07C6E" w:rsidRPr="00681ACA" w:rsidRDefault="00B07C6E" w:rsidP="00125A1C">
            <w:pPr>
              <w:pStyle w:val="Tableheading"/>
              <w:keepNext/>
              <w:jc w:val="center"/>
              <w:rPr>
                <w:rFonts w:eastAsia="MS Mincho"/>
                <w:vertAlign w:val="superscript"/>
              </w:rPr>
            </w:pPr>
            <w:r>
              <w:rPr>
                <w:rFonts w:eastAsia="MS Mincho"/>
              </w:rPr>
              <w:t>RR (95% CI)</w:t>
            </w:r>
            <w:r w:rsidR="00BE68DA">
              <w:rPr>
                <w:rFonts w:eastAsia="MS Mincho"/>
                <w:vertAlign w:val="superscript"/>
              </w:rPr>
              <w:t>1</w:t>
            </w:r>
          </w:p>
        </w:tc>
      </w:tr>
      <w:tr w:rsidR="00B07C6E" w:rsidRPr="00061F78" w14:paraId="7CB8C05A" w14:textId="77777777" w:rsidTr="00E723A1">
        <w:trPr>
          <w:cantSplit/>
          <w:trHeight w:val="149"/>
        </w:trPr>
        <w:tc>
          <w:tcPr>
            <w:tcW w:w="5000" w:type="pct"/>
            <w:gridSpan w:val="5"/>
            <w:shd w:val="clear" w:color="auto" w:fill="auto"/>
            <w:tcMar>
              <w:left w:w="28" w:type="dxa"/>
              <w:right w:w="28" w:type="dxa"/>
            </w:tcMar>
          </w:tcPr>
          <w:p w14:paraId="6A3B36F8" w14:textId="77777777" w:rsidR="00B07C6E" w:rsidRPr="00E723A1" w:rsidRDefault="00B07C6E" w:rsidP="00125A1C">
            <w:pPr>
              <w:pStyle w:val="Tablewriting"/>
              <w:keepNext/>
              <w:rPr>
                <w:rFonts w:eastAsia="MS Mincho"/>
                <w:b/>
                <w:bCs/>
              </w:rPr>
            </w:pPr>
            <w:r w:rsidRPr="00E723A1">
              <w:rPr>
                <w:rFonts w:eastAsia="MS Mincho"/>
                <w:b/>
                <w:bCs/>
              </w:rPr>
              <w:t>Midsternal pressure</w:t>
            </w:r>
          </w:p>
        </w:tc>
      </w:tr>
      <w:tr w:rsidR="00B07C6E" w:rsidRPr="00061F78" w14:paraId="39059747" w14:textId="77777777" w:rsidTr="00BE68DA">
        <w:trPr>
          <w:cantSplit/>
          <w:trHeight w:val="149"/>
        </w:trPr>
        <w:tc>
          <w:tcPr>
            <w:tcW w:w="1258" w:type="pct"/>
            <w:tcMar>
              <w:left w:w="28" w:type="dxa"/>
              <w:right w:w="28" w:type="dxa"/>
            </w:tcMar>
          </w:tcPr>
          <w:p w14:paraId="56B82AFD" w14:textId="77777777" w:rsidR="00B07C6E" w:rsidRPr="001B3B7C" w:rsidRDefault="00B07C6E" w:rsidP="00125A1C">
            <w:pPr>
              <w:pStyle w:val="Tablewriting"/>
              <w:keepNext/>
              <w:rPr>
                <w:rFonts w:eastAsia="MS Mincho"/>
              </w:rPr>
            </w:pPr>
            <w:r w:rsidRPr="00342BCB">
              <w:rPr>
                <w:rFonts w:eastAsia="MS Mincho"/>
              </w:rPr>
              <w:t>50 weeks versus 10 weeks</w:t>
            </w:r>
          </w:p>
        </w:tc>
        <w:tc>
          <w:tcPr>
            <w:tcW w:w="943" w:type="pct"/>
            <w:vAlign w:val="center"/>
          </w:tcPr>
          <w:p w14:paraId="72561422" w14:textId="77777777" w:rsidR="00B07C6E" w:rsidRDefault="00B07C6E" w:rsidP="00125A1C">
            <w:pPr>
              <w:pStyle w:val="Tablewriting"/>
              <w:keepNext/>
              <w:jc w:val="center"/>
              <w:rPr>
                <w:rFonts w:eastAsia="MS Mincho"/>
              </w:rPr>
            </w:pPr>
            <w:r>
              <w:rPr>
                <w:rFonts w:eastAsia="MS Mincho"/>
              </w:rPr>
              <w:t>Cochrane Review</w:t>
            </w:r>
          </w:p>
          <w:p w14:paraId="6B4F4F97" w14:textId="77777777" w:rsidR="00B07C6E" w:rsidRPr="00E72520" w:rsidRDefault="00B07C6E" w:rsidP="00125A1C">
            <w:pPr>
              <w:pStyle w:val="Tablewriting"/>
              <w:keepNext/>
              <w:jc w:val="center"/>
              <w:rPr>
                <w:rFonts w:eastAsia="MS Mincho"/>
              </w:rPr>
            </w:pPr>
            <w:r>
              <w:rPr>
                <w:rFonts w:eastAsia="MS Mincho"/>
              </w:rPr>
              <w:t>(1 RCT)</w:t>
            </w:r>
          </w:p>
        </w:tc>
        <w:tc>
          <w:tcPr>
            <w:tcW w:w="941" w:type="pct"/>
            <w:tcMar>
              <w:left w:w="28" w:type="dxa"/>
              <w:right w:w="28" w:type="dxa"/>
            </w:tcMar>
            <w:vAlign w:val="center"/>
          </w:tcPr>
          <w:p w14:paraId="5CAD3BC8" w14:textId="77777777" w:rsidR="00B07C6E" w:rsidRDefault="00B07C6E" w:rsidP="00125A1C">
            <w:pPr>
              <w:pStyle w:val="Tablewriting"/>
              <w:keepNext/>
              <w:jc w:val="center"/>
              <w:rPr>
                <w:rFonts w:eastAsia="MS Mincho"/>
              </w:rPr>
            </w:pPr>
            <w:r>
              <w:rPr>
                <w:rFonts w:eastAsia="MS Mincho"/>
              </w:rPr>
              <w:t>1/203</w:t>
            </w:r>
          </w:p>
          <w:p w14:paraId="7CDB3F18" w14:textId="77777777" w:rsidR="00B07C6E" w:rsidRPr="001B3B7C" w:rsidRDefault="00B07C6E" w:rsidP="00125A1C">
            <w:pPr>
              <w:pStyle w:val="Tablewriting"/>
              <w:keepNext/>
              <w:jc w:val="center"/>
              <w:rPr>
                <w:rFonts w:eastAsia="MS Mincho"/>
              </w:rPr>
            </w:pPr>
            <w:r>
              <w:rPr>
                <w:rFonts w:eastAsia="MS Mincho"/>
              </w:rPr>
              <w:t>(0.5%)</w:t>
            </w:r>
          </w:p>
        </w:tc>
        <w:tc>
          <w:tcPr>
            <w:tcW w:w="1023" w:type="pct"/>
            <w:tcMar>
              <w:left w:w="28" w:type="dxa"/>
              <w:right w:w="28" w:type="dxa"/>
            </w:tcMar>
            <w:vAlign w:val="center"/>
          </w:tcPr>
          <w:p w14:paraId="02107AF3" w14:textId="77777777" w:rsidR="00B07C6E" w:rsidRDefault="00B07C6E" w:rsidP="00125A1C">
            <w:pPr>
              <w:pStyle w:val="Tablewriting"/>
              <w:keepNext/>
              <w:jc w:val="center"/>
              <w:rPr>
                <w:rFonts w:eastAsia="MS Mincho"/>
              </w:rPr>
            </w:pPr>
            <w:r>
              <w:rPr>
                <w:rFonts w:eastAsia="MS Mincho"/>
              </w:rPr>
              <w:t>0/199</w:t>
            </w:r>
          </w:p>
          <w:p w14:paraId="4D49803D" w14:textId="77777777" w:rsidR="00B07C6E" w:rsidRPr="001B3B7C" w:rsidRDefault="00B07C6E" w:rsidP="00125A1C">
            <w:pPr>
              <w:pStyle w:val="Tablewriting"/>
              <w:keepNext/>
              <w:jc w:val="center"/>
              <w:rPr>
                <w:rFonts w:eastAsia="MS Mincho"/>
              </w:rPr>
            </w:pPr>
            <w:r>
              <w:rPr>
                <w:rFonts w:eastAsia="MS Mincho"/>
              </w:rPr>
              <w:t>(0%)</w:t>
            </w:r>
          </w:p>
        </w:tc>
        <w:tc>
          <w:tcPr>
            <w:tcW w:w="836" w:type="pct"/>
            <w:tcMar>
              <w:left w:w="28" w:type="dxa"/>
              <w:right w:w="28" w:type="dxa"/>
            </w:tcMar>
            <w:vAlign w:val="center"/>
          </w:tcPr>
          <w:p w14:paraId="17C97457" w14:textId="77777777" w:rsidR="00B07C6E" w:rsidRDefault="00B07C6E" w:rsidP="00125A1C">
            <w:pPr>
              <w:pStyle w:val="Tablewriting"/>
              <w:keepNext/>
              <w:jc w:val="center"/>
              <w:rPr>
                <w:rFonts w:eastAsia="MS Mincho"/>
              </w:rPr>
            </w:pPr>
            <w:r>
              <w:rPr>
                <w:rFonts w:eastAsia="MS Mincho"/>
              </w:rPr>
              <w:t>2.94</w:t>
            </w:r>
          </w:p>
          <w:p w14:paraId="2680DF5C" w14:textId="77777777" w:rsidR="00B07C6E" w:rsidRPr="001B3B7C" w:rsidRDefault="00B07C6E" w:rsidP="00125A1C">
            <w:pPr>
              <w:pStyle w:val="Tablewriting"/>
              <w:keepNext/>
              <w:jc w:val="center"/>
              <w:rPr>
                <w:rFonts w:eastAsia="MS Mincho"/>
              </w:rPr>
            </w:pPr>
            <w:r>
              <w:rPr>
                <w:rFonts w:eastAsia="MS Mincho"/>
              </w:rPr>
              <w:t>(0.12, 71.77)</w:t>
            </w:r>
          </w:p>
        </w:tc>
      </w:tr>
      <w:tr w:rsidR="00B07C6E" w:rsidRPr="00061F78" w14:paraId="7AFDD458" w14:textId="77777777" w:rsidTr="00E723A1">
        <w:trPr>
          <w:cantSplit/>
          <w:trHeight w:val="149"/>
        </w:trPr>
        <w:tc>
          <w:tcPr>
            <w:tcW w:w="5000" w:type="pct"/>
            <w:gridSpan w:val="5"/>
            <w:shd w:val="clear" w:color="auto" w:fill="auto"/>
            <w:tcMar>
              <w:left w:w="28" w:type="dxa"/>
              <w:right w:w="28" w:type="dxa"/>
            </w:tcMar>
          </w:tcPr>
          <w:p w14:paraId="268943E1" w14:textId="77777777" w:rsidR="00B07C6E" w:rsidRPr="00E723A1" w:rsidRDefault="00B07C6E" w:rsidP="00125A1C">
            <w:pPr>
              <w:pStyle w:val="Tablewriting"/>
              <w:keepNext/>
              <w:rPr>
                <w:rFonts w:eastAsia="MS Mincho"/>
                <w:b/>
                <w:bCs/>
              </w:rPr>
            </w:pPr>
            <w:r w:rsidRPr="00E723A1">
              <w:rPr>
                <w:rFonts w:eastAsia="MS Mincho"/>
                <w:b/>
                <w:bCs/>
              </w:rPr>
              <w:t>Overall SAEs</w:t>
            </w:r>
          </w:p>
        </w:tc>
      </w:tr>
      <w:tr w:rsidR="00B07C6E" w:rsidRPr="00061F78" w14:paraId="34F6B7E7" w14:textId="77777777" w:rsidTr="00BE68DA">
        <w:trPr>
          <w:cantSplit/>
          <w:trHeight w:val="149"/>
        </w:trPr>
        <w:tc>
          <w:tcPr>
            <w:tcW w:w="1258" w:type="pct"/>
            <w:tcMar>
              <w:left w:w="28" w:type="dxa"/>
              <w:right w:w="28" w:type="dxa"/>
            </w:tcMar>
          </w:tcPr>
          <w:p w14:paraId="76C82A5A" w14:textId="77777777" w:rsidR="00B07C6E" w:rsidRPr="001B3B7C" w:rsidRDefault="00B07C6E" w:rsidP="00125A1C">
            <w:pPr>
              <w:pStyle w:val="Tablewriting"/>
              <w:keepNext/>
              <w:rPr>
                <w:rFonts w:eastAsia="MS Mincho"/>
              </w:rPr>
            </w:pPr>
            <w:r w:rsidRPr="00342BCB">
              <w:rPr>
                <w:rFonts w:eastAsia="MS Mincho"/>
              </w:rPr>
              <w:t>50 weeks versus 10 weeks</w:t>
            </w:r>
          </w:p>
        </w:tc>
        <w:tc>
          <w:tcPr>
            <w:tcW w:w="943" w:type="pct"/>
            <w:vAlign w:val="center"/>
          </w:tcPr>
          <w:p w14:paraId="780DBE98" w14:textId="77777777" w:rsidR="00B07C6E" w:rsidRDefault="00B07C6E" w:rsidP="00125A1C">
            <w:pPr>
              <w:pStyle w:val="Tablewriting"/>
              <w:keepNext/>
              <w:jc w:val="center"/>
              <w:rPr>
                <w:rFonts w:eastAsia="MS Mincho"/>
              </w:rPr>
            </w:pPr>
            <w:r>
              <w:rPr>
                <w:rFonts w:eastAsia="MS Mincho"/>
              </w:rPr>
              <w:t>Cochrane Review</w:t>
            </w:r>
          </w:p>
          <w:p w14:paraId="4255CFD2" w14:textId="77777777" w:rsidR="00B07C6E" w:rsidRPr="001B3B7C" w:rsidRDefault="00B07C6E" w:rsidP="00125A1C">
            <w:pPr>
              <w:pStyle w:val="Tablewriting"/>
              <w:keepNext/>
              <w:jc w:val="center"/>
              <w:rPr>
                <w:rFonts w:eastAsia="MS Mincho"/>
              </w:rPr>
            </w:pPr>
            <w:r>
              <w:rPr>
                <w:rFonts w:eastAsia="MS Mincho"/>
              </w:rPr>
              <w:t>(1 RCT)</w:t>
            </w:r>
          </w:p>
        </w:tc>
        <w:tc>
          <w:tcPr>
            <w:tcW w:w="941" w:type="pct"/>
            <w:tcMar>
              <w:left w:w="28" w:type="dxa"/>
              <w:right w:w="28" w:type="dxa"/>
            </w:tcMar>
            <w:vAlign w:val="center"/>
          </w:tcPr>
          <w:p w14:paraId="711275D7" w14:textId="77777777" w:rsidR="00B07C6E" w:rsidRDefault="00B07C6E" w:rsidP="00125A1C">
            <w:pPr>
              <w:pStyle w:val="Tablewriting"/>
              <w:keepNext/>
              <w:jc w:val="center"/>
              <w:rPr>
                <w:rFonts w:eastAsia="MS Mincho"/>
              </w:rPr>
            </w:pPr>
            <w:r>
              <w:rPr>
                <w:rFonts w:eastAsia="MS Mincho"/>
              </w:rPr>
              <w:t>9/203</w:t>
            </w:r>
          </w:p>
          <w:p w14:paraId="6C3FAF0A" w14:textId="77777777" w:rsidR="00B07C6E" w:rsidRPr="001B3B7C" w:rsidRDefault="00B07C6E" w:rsidP="00125A1C">
            <w:pPr>
              <w:pStyle w:val="Tablewriting"/>
              <w:keepNext/>
              <w:jc w:val="center"/>
              <w:rPr>
                <w:rFonts w:eastAsia="MS Mincho"/>
              </w:rPr>
            </w:pPr>
            <w:r>
              <w:rPr>
                <w:rFonts w:eastAsia="MS Mincho"/>
              </w:rPr>
              <w:t>(4.4%)</w:t>
            </w:r>
          </w:p>
        </w:tc>
        <w:tc>
          <w:tcPr>
            <w:tcW w:w="1023" w:type="pct"/>
            <w:tcMar>
              <w:left w:w="28" w:type="dxa"/>
              <w:right w:w="28" w:type="dxa"/>
            </w:tcMar>
            <w:vAlign w:val="center"/>
          </w:tcPr>
          <w:p w14:paraId="622B0F3D" w14:textId="77777777" w:rsidR="00B07C6E" w:rsidRDefault="00B07C6E" w:rsidP="00125A1C">
            <w:pPr>
              <w:pStyle w:val="Tablewriting"/>
              <w:keepNext/>
              <w:jc w:val="center"/>
              <w:rPr>
                <w:rFonts w:eastAsia="MS Mincho"/>
              </w:rPr>
            </w:pPr>
            <w:r>
              <w:rPr>
                <w:rFonts w:eastAsia="MS Mincho"/>
              </w:rPr>
              <w:t>4/199</w:t>
            </w:r>
          </w:p>
          <w:p w14:paraId="28F473B3" w14:textId="77777777" w:rsidR="00B07C6E" w:rsidRPr="001B3B7C" w:rsidRDefault="00B07C6E" w:rsidP="00125A1C">
            <w:pPr>
              <w:pStyle w:val="Tablewriting"/>
              <w:keepNext/>
              <w:jc w:val="center"/>
              <w:rPr>
                <w:rFonts w:eastAsia="MS Mincho"/>
              </w:rPr>
            </w:pPr>
            <w:r>
              <w:rPr>
                <w:rFonts w:eastAsia="MS Mincho"/>
              </w:rPr>
              <w:t>(2%)</w:t>
            </w:r>
          </w:p>
        </w:tc>
        <w:tc>
          <w:tcPr>
            <w:tcW w:w="836" w:type="pct"/>
            <w:tcMar>
              <w:left w:w="28" w:type="dxa"/>
              <w:right w:w="28" w:type="dxa"/>
            </w:tcMar>
            <w:vAlign w:val="center"/>
          </w:tcPr>
          <w:p w14:paraId="45075A04" w14:textId="77777777" w:rsidR="00B07C6E" w:rsidRDefault="00B07C6E" w:rsidP="00125A1C">
            <w:pPr>
              <w:pStyle w:val="Tablewriting"/>
              <w:keepNext/>
              <w:jc w:val="center"/>
              <w:rPr>
                <w:rFonts w:eastAsia="MS Mincho"/>
              </w:rPr>
            </w:pPr>
            <w:r>
              <w:rPr>
                <w:rFonts w:eastAsia="MS Mincho"/>
              </w:rPr>
              <w:t>2.21</w:t>
            </w:r>
          </w:p>
          <w:p w14:paraId="461529F0" w14:textId="77777777" w:rsidR="00B07C6E" w:rsidRPr="001B3B7C" w:rsidRDefault="00B07C6E" w:rsidP="00125A1C">
            <w:pPr>
              <w:pStyle w:val="Tablewriting"/>
              <w:keepNext/>
              <w:jc w:val="center"/>
              <w:rPr>
                <w:rFonts w:eastAsia="MS Mincho"/>
              </w:rPr>
            </w:pPr>
            <w:r>
              <w:rPr>
                <w:rFonts w:eastAsia="MS Mincho"/>
              </w:rPr>
              <w:t>(0.69, 7.05)</w:t>
            </w:r>
          </w:p>
        </w:tc>
      </w:tr>
    </w:tbl>
    <w:p w14:paraId="77F9D8FB" w14:textId="77777777" w:rsidR="00B07C6E" w:rsidRPr="00E72520" w:rsidRDefault="00B07C6E" w:rsidP="000C5710">
      <w:pPr>
        <w:pStyle w:val="TableFooter"/>
        <w:keepNext/>
        <w:jc w:val="both"/>
      </w:pPr>
      <w:r w:rsidRPr="00E72520">
        <w:t>Source: Lindson et al. (2019)</w:t>
      </w:r>
    </w:p>
    <w:p w14:paraId="4705FAA3" w14:textId="77777777" w:rsidR="00B07C6E" w:rsidRPr="00E72520" w:rsidRDefault="00B07C6E" w:rsidP="000C5710">
      <w:pPr>
        <w:pStyle w:val="TableFooter"/>
        <w:keepNext/>
        <w:jc w:val="both"/>
      </w:pPr>
      <w:r w:rsidRPr="00E72520">
        <w:t>Abbreviations: CI = confidence interval; NE = not estimable; RCT = randomised controlled trial; RR = risk ratio</w:t>
      </w:r>
      <w:r>
        <w:t xml:space="preserve">; SAEs = serious adverse events. </w:t>
      </w:r>
    </w:p>
    <w:p w14:paraId="4B6D16F5" w14:textId="2ABBB744" w:rsidR="00B07C6E" w:rsidRPr="006F1FEC" w:rsidRDefault="00B07C6E" w:rsidP="000C5710">
      <w:pPr>
        <w:pStyle w:val="TableFooter"/>
        <w:keepNext/>
        <w:jc w:val="both"/>
      </w:pPr>
      <w:r w:rsidRPr="006F1FEC">
        <w:t xml:space="preserve">Notes: See Appendix </w:t>
      </w:r>
      <w:r w:rsidR="000C151D">
        <w:fldChar w:fldCharType="begin" w:fldLock="1"/>
      </w:r>
      <w:r w:rsidR="000C151D">
        <w:instrText xml:space="preserve"> REF _Ref62127802 \h </w:instrText>
      </w:r>
      <w:r w:rsidR="000C5710">
        <w:instrText xml:space="preserve"> \* MERGEFORMAT </w:instrText>
      </w:r>
      <w:r w:rsidR="000C151D">
        <w:fldChar w:fldCharType="separate"/>
      </w:r>
      <w:r w:rsidR="00EC5CC7">
        <w:t xml:space="preserve">Figure </w:t>
      </w:r>
      <w:r w:rsidR="00EC5CC7">
        <w:rPr>
          <w:noProof/>
        </w:rPr>
        <w:t>92</w:t>
      </w:r>
      <w:r w:rsidR="000C151D">
        <w:fldChar w:fldCharType="end"/>
      </w:r>
      <w:r w:rsidR="008032A0">
        <w:t xml:space="preserve"> and </w:t>
      </w:r>
      <w:r w:rsidR="008032A0">
        <w:fldChar w:fldCharType="begin" w:fldLock="1"/>
      </w:r>
      <w:r w:rsidR="008032A0">
        <w:instrText xml:space="preserve"> REF _Ref62127877 \h </w:instrText>
      </w:r>
      <w:r w:rsidR="000C5710">
        <w:instrText xml:space="preserve"> \* MERGEFORMAT </w:instrText>
      </w:r>
      <w:r w:rsidR="008032A0">
        <w:fldChar w:fldCharType="separate"/>
      </w:r>
      <w:r w:rsidR="00EC5CC7">
        <w:t xml:space="preserve">Figure </w:t>
      </w:r>
      <w:r w:rsidR="00EC5CC7">
        <w:rPr>
          <w:noProof/>
        </w:rPr>
        <w:t>93</w:t>
      </w:r>
      <w:r w:rsidR="008032A0">
        <w:fldChar w:fldCharType="end"/>
      </w:r>
      <w:r w:rsidRPr="006F1FEC">
        <w:t xml:space="preserve"> for forest plots of the respective outcomes which included the results of individual studies.</w:t>
      </w:r>
    </w:p>
    <w:p w14:paraId="0924E107" w14:textId="774FB169" w:rsidR="00B07C6E" w:rsidRPr="00B07C6E" w:rsidRDefault="00B07C6E" w:rsidP="000C5710">
      <w:pPr>
        <w:pStyle w:val="TableFooter"/>
        <w:keepNext/>
        <w:spacing w:after="120"/>
        <w:contextualSpacing w:val="0"/>
        <w:jc w:val="both"/>
      </w:pPr>
      <w:r>
        <w:t>1</w:t>
      </w:r>
      <w:r w:rsidRPr="00432CC7">
        <w:t xml:space="preserve"> </w:t>
      </w:r>
      <w:r w:rsidRPr="00D13293">
        <w:t xml:space="preserve">Calculated </w:t>
      </w:r>
      <w:r>
        <w:t>by Cochrane Review authors</w:t>
      </w:r>
      <w:r w:rsidRPr="00D13293">
        <w:t xml:space="preserve"> using a fixed-effect model.</w:t>
      </w:r>
      <w:r>
        <w:t xml:space="preserve"> </w:t>
      </w:r>
    </w:p>
    <w:p w14:paraId="76BD6C5A" w14:textId="53E4BC9E" w:rsidR="0029720E" w:rsidRPr="00544A51" w:rsidRDefault="0029720E" w:rsidP="000C5710">
      <w:pPr>
        <w:pStyle w:val="Heading5"/>
        <w:numPr>
          <w:ilvl w:val="0"/>
          <w:numId w:val="0"/>
        </w:numPr>
        <w:spacing w:after="120"/>
        <w:jc w:val="both"/>
        <w:rPr>
          <w:i w:val="0"/>
        </w:rPr>
      </w:pPr>
      <w:r w:rsidRPr="00A556D0">
        <w:t>Combination therapy</w:t>
      </w:r>
    </w:p>
    <w:p w14:paraId="15200D74" w14:textId="6EA1DA9C" w:rsidR="003A11A4" w:rsidRPr="003A11A4" w:rsidRDefault="003A11A4" w:rsidP="000C5710">
      <w:pPr>
        <w:spacing w:after="120"/>
        <w:jc w:val="both"/>
        <w:rPr>
          <w:u w:val="single"/>
        </w:rPr>
      </w:pPr>
      <w:r w:rsidRPr="003A11A4">
        <w:rPr>
          <w:u w:val="single"/>
        </w:rPr>
        <w:t>Efficacy</w:t>
      </w:r>
    </w:p>
    <w:p w14:paraId="3604065C" w14:textId="335E896D" w:rsidR="000A3A21" w:rsidRDefault="0029720E" w:rsidP="000C5710">
      <w:pPr>
        <w:spacing w:after="120"/>
        <w:jc w:val="both"/>
      </w:pPr>
      <w:r w:rsidRPr="00F136E9">
        <w:t>A summary of smoking cessation rates</w:t>
      </w:r>
      <w:r>
        <w:t xml:space="preserve"> </w:t>
      </w:r>
      <w:r w:rsidRPr="00F136E9">
        <w:t>f</w:t>
      </w:r>
      <w:r w:rsidR="00C623F4">
        <w:t>or</w:t>
      </w:r>
      <w:r w:rsidRPr="00F136E9">
        <w:t xml:space="preserve"> at least six months follow-up</w:t>
      </w:r>
      <w:r>
        <w:t xml:space="preserve"> </w:t>
      </w:r>
      <w:r w:rsidR="0004678F">
        <w:t>comparing longer duration with shorter duration</w:t>
      </w:r>
      <w:r>
        <w:t xml:space="preserve"> of NRT combination </w:t>
      </w:r>
      <w:r w:rsidR="0004678F">
        <w:t xml:space="preserve">therapy </w:t>
      </w:r>
      <w:r w:rsidRPr="00F136E9">
        <w:t xml:space="preserve">is presented in </w:t>
      </w:r>
      <w:r w:rsidR="003158F5">
        <w:fldChar w:fldCharType="begin" w:fldLock="1"/>
      </w:r>
      <w:r w:rsidR="003158F5">
        <w:instrText xml:space="preserve"> REF _Ref59454457 \h </w:instrText>
      </w:r>
      <w:r w:rsidR="003158F5">
        <w:fldChar w:fldCharType="separate"/>
      </w:r>
      <w:r w:rsidR="00EC5CC7">
        <w:t xml:space="preserve">Table </w:t>
      </w:r>
      <w:r w:rsidR="00EC5CC7">
        <w:rPr>
          <w:noProof/>
        </w:rPr>
        <w:t>91</w:t>
      </w:r>
      <w:r w:rsidR="003158F5">
        <w:fldChar w:fldCharType="end"/>
      </w:r>
      <w:r>
        <w:t>.</w:t>
      </w:r>
      <w:r w:rsidR="00902D83">
        <w:t xml:space="preserve"> Based on the two studies included in Lindson et al. (2019), there were no statistically significant differences in smoking cessation rates between</w:t>
      </w:r>
      <w:r w:rsidR="00422407">
        <w:t xml:space="preserve"> longer duration and shorter duration of combination therapy. </w:t>
      </w:r>
      <w:r w:rsidR="00104509" w:rsidRPr="00104509">
        <w:t xml:space="preserve">Similarly, </w:t>
      </w:r>
      <w:r w:rsidR="00C66DC0">
        <w:t xml:space="preserve">the results </w:t>
      </w:r>
      <w:r w:rsidR="00EE3DDB">
        <w:t xml:space="preserve">of the </w:t>
      </w:r>
      <w:r w:rsidR="00031290">
        <w:t>new</w:t>
      </w:r>
      <w:r w:rsidR="00104509" w:rsidRPr="00104509">
        <w:t xml:space="preserve"> study </w:t>
      </w:r>
      <w:r w:rsidR="00130390">
        <w:t xml:space="preserve">(Ellerbeck 2018) </w:t>
      </w:r>
      <w:r w:rsidR="00031290">
        <w:t>identified in the supplemental literature search demonstrated</w:t>
      </w:r>
      <w:r w:rsidR="00104509" w:rsidRPr="00104509">
        <w:t xml:space="preserve"> no </w:t>
      </w:r>
      <w:r w:rsidR="00130390">
        <w:t>statistically significant differences</w:t>
      </w:r>
      <w:r w:rsidR="00104509" w:rsidRPr="00104509">
        <w:t xml:space="preserve"> between </w:t>
      </w:r>
      <w:r w:rsidR="00130390">
        <w:t>the two</w:t>
      </w:r>
      <w:r w:rsidR="00104509" w:rsidRPr="00104509">
        <w:t xml:space="preserve"> treatment </w:t>
      </w:r>
      <w:r w:rsidR="00130390">
        <w:t>arms.</w:t>
      </w:r>
    </w:p>
    <w:p w14:paraId="2FFC078A" w14:textId="1AB55C55" w:rsidR="00657867" w:rsidRDefault="00657867" w:rsidP="000C5710">
      <w:pPr>
        <w:pStyle w:val="Caption"/>
        <w:keepNext/>
        <w:spacing w:before="0" w:after="120"/>
        <w:jc w:val="both"/>
      </w:pPr>
      <w:bookmarkStart w:id="163" w:name="_Ref59454457"/>
      <w:r>
        <w:t xml:space="preserve">Table </w:t>
      </w:r>
      <w:r w:rsidR="00BF3F75">
        <w:fldChar w:fldCharType="begin"/>
      </w:r>
      <w:r w:rsidR="00BF3F75">
        <w:instrText xml:space="preserve"> SEQ Table \* ARABIC </w:instrText>
      </w:r>
      <w:r w:rsidR="00BF3F75">
        <w:fldChar w:fldCharType="separate"/>
      </w:r>
      <w:r w:rsidR="00EC5CC7">
        <w:rPr>
          <w:noProof/>
        </w:rPr>
        <w:t>91</w:t>
      </w:r>
      <w:r w:rsidR="00BF3F75">
        <w:rPr>
          <w:noProof/>
        </w:rPr>
        <w:fldChar w:fldCharType="end"/>
      </w:r>
      <w:bookmarkEnd w:id="163"/>
      <w:r>
        <w:t xml:space="preserve">: </w:t>
      </w:r>
      <w:r w:rsidRPr="00572BA7">
        <w:t>Results of smoking cessation f</w:t>
      </w:r>
      <w:r w:rsidR="00C623F4">
        <w:t>or</w:t>
      </w:r>
      <w:r w:rsidRPr="00572BA7">
        <w:t xml:space="preserve"> at least six months follow-up, </w:t>
      </w:r>
      <w:r w:rsidR="0034241C">
        <w:t xml:space="preserve">longer duration versus shorter </w:t>
      </w:r>
      <w:r w:rsidRPr="00572BA7">
        <w:t>duration of combination therapy</w:t>
      </w:r>
    </w:p>
    <w:tbl>
      <w:tblPr>
        <w:tblStyle w:val="TableGrid"/>
        <w:tblW w:w="5000" w:type="pct"/>
        <w:tblLook w:val="04A0" w:firstRow="1" w:lastRow="0" w:firstColumn="1" w:lastColumn="0" w:noHBand="0" w:noVBand="1"/>
        <w:tblCaption w:val="Efficacy results of adalimumab trials (PASI 75 and DLQI)"/>
      </w:tblPr>
      <w:tblGrid>
        <w:gridCol w:w="1271"/>
        <w:gridCol w:w="1679"/>
        <w:gridCol w:w="1533"/>
        <w:gridCol w:w="1536"/>
        <w:gridCol w:w="1535"/>
        <w:gridCol w:w="1462"/>
      </w:tblGrid>
      <w:tr w:rsidR="003158F5" w:rsidRPr="00061F78" w14:paraId="28C1C8F7" w14:textId="77777777" w:rsidTr="00703F37">
        <w:trPr>
          <w:cantSplit/>
          <w:trHeight w:val="299"/>
          <w:tblHeader/>
        </w:trPr>
        <w:tc>
          <w:tcPr>
            <w:tcW w:w="705" w:type="pct"/>
            <w:shd w:val="clear" w:color="auto" w:fill="BFBFBF" w:themeFill="background1" w:themeFillShade="BF"/>
            <w:tcMar>
              <w:left w:w="28" w:type="dxa"/>
              <w:right w:w="28" w:type="dxa"/>
            </w:tcMar>
          </w:tcPr>
          <w:p w14:paraId="6929B597" w14:textId="77777777" w:rsidR="003158F5" w:rsidRPr="00061F78" w:rsidRDefault="003158F5" w:rsidP="009F1E08">
            <w:pPr>
              <w:pStyle w:val="Tableheading"/>
              <w:keepNext/>
              <w:rPr>
                <w:rFonts w:eastAsia="MS Mincho"/>
              </w:rPr>
            </w:pPr>
            <w:r>
              <w:rPr>
                <w:rFonts w:eastAsia="MS Mincho"/>
              </w:rPr>
              <w:t>Study</w:t>
            </w:r>
          </w:p>
        </w:tc>
        <w:tc>
          <w:tcPr>
            <w:tcW w:w="931" w:type="pct"/>
            <w:shd w:val="clear" w:color="auto" w:fill="BFBFBF" w:themeFill="background1" w:themeFillShade="BF"/>
            <w:vAlign w:val="center"/>
          </w:tcPr>
          <w:p w14:paraId="002862D0" w14:textId="77777777" w:rsidR="003158F5" w:rsidRDefault="003158F5" w:rsidP="009F1E08">
            <w:pPr>
              <w:pStyle w:val="Tableheading"/>
              <w:keepNext/>
              <w:jc w:val="center"/>
              <w:rPr>
                <w:rFonts w:eastAsia="MS Mincho"/>
              </w:rPr>
            </w:pPr>
            <w:r>
              <w:rPr>
                <w:rFonts w:eastAsia="MS Mincho"/>
              </w:rPr>
              <w:t>Study type</w:t>
            </w:r>
          </w:p>
        </w:tc>
        <w:tc>
          <w:tcPr>
            <w:tcW w:w="850" w:type="pct"/>
            <w:shd w:val="clear" w:color="auto" w:fill="BFBFBF" w:themeFill="background1" w:themeFillShade="BF"/>
            <w:tcMar>
              <w:left w:w="28" w:type="dxa"/>
              <w:right w:w="28" w:type="dxa"/>
            </w:tcMar>
            <w:vAlign w:val="center"/>
          </w:tcPr>
          <w:p w14:paraId="286369D4" w14:textId="77777777" w:rsidR="003158F5" w:rsidRPr="00061F78" w:rsidRDefault="003158F5" w:rsidP="009F1E08">
            <w:pPr>
              <w:pStyle w:val="Tableheading"/>
              <w:keepNext/>
              <w:jc w:val="center"/>
              <w:rPr>
                <w:rFonts w:eastAsia="MS Mincho"/>
              </w:rPr>
            </w:pPr>
            <w:r>
              <w:rPr>
                <w:rFonts w:eastAsia="MS Mincho"/>
              </w:rPr>
              <w:t>Longer duration</w:t>
            </w:r>
          </w:p>
        </w:tc>
        <w:tc>
          <w:tcPr>
            <w:tcW w:w="852" w:type="pct"/>
            <w:shd w:val="clear" w:color="auto" w:fill="BFBFBF" w:themeFill="background1" w:themeFillShade="BF"/>
            <w:tcMar>
              <w:left w:w="28" w:type="dxa"/>
              <w:right w:w="28" w:type="dxa"/>
            </w:tcMar>
            <w:vAlign w:val="center"/>
          </w:tcPr>
          <w:p w14:paraId="08DFC090" w14:textId="77777777" w:rsidR="003158F5" w:rsidRPr="00061F78" w:rsidRDefault="003158F5" w:rsidP="009F1E08">
            <w:pPr>
              <w:pStyle w:val="Tableheading"/>
              <w:keepNext/>
              <w:jc w:val="center"/>
              <w:rPr>
                <w:rFonts w:eastAsia="MS Mincho"/>
              </w:rPr>
            </w:pPr>
            <w:r>
              <w:rPr>
                <w:rFonts w:eastAsia="MS Mincho"/>
              </w:rPr>
              <w:t>Shorter duration</w:t>
            </w:r>
          </w:p>
        </w:tc>
        <w:tc>
          <w:tcPr>
            <w:tcW w:w="851" w:type="pct"/>
            <w:shd w:val="clear" w:color="auto" w:fill="BFBFBF" w:themeFill="background1" w:themeFillShade="BF"/>
            <w:tcMar>
              <w:left w:w="28" w:type="dxa"/>
              <w:right w:w="28" w:type="dxa"/>
            </w:tcMar>
            <w:vAlign w:val="center"/>
          </w:tcPr>
          <w:p w14:paraId="0AEB0E50" w14:textId="77777777" w:rsidR="003158F5" w:rsidRPr="002D09A1" w:rsidRDefault="003158F5" w:rsidP="009F1E08">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14:paraId="7690B6CD" w14:textId="6652DB77" w:rsidR="003158F5" w:rsidRDefault="003158F5" w:rsidP="009F1E08">
            <w:pPr>
              <w:pStyle w:val="Tableheading"/>
              <w:keepNext/>
              <w:jc w:val="center"/>
              <w:rPr>
                <w:rFonts w:eastAsia="MS Mincho"/>
              </w:rPr>
            </w:pPr>
            <w:r>
              <w:rPr>
                <w:rFonts w:eastAsia="MS Mincho"/>
              </w:rPr>
              <w:t>RD (95% CI)</w:t>
            </w:r>
          </w:p>
        </w:tc>
      </w:tr>
      <w:tr w:rsidR="003158F5" w:rsidRPr="00061F78" w14:paraId="0B1A386A" w14:textId="77777777" w:rsidTr="009F1E08">
        <w:trPr>
          <w:cantSplit/>
          <w:trHeight w:val="99"/>
        </w:trPr>
        <w:tc>
          <w:tcPr>
            <w:tcW w:w="5000" w:type="pct"/>
            <w:gridSpan w:val="6"/>
            <w:shd w:val="clear" w:color="auto" w:fill="auto"/>
            <w:tcMar>
              <w:left w:w="28" w:type="dxa"/>
              <w:right w:w="28" w:type="dxa"/>
            </w:tcMar>
          </w:tcPr>
          <w:p w14:paraId="42B73FDF" w14:textId="77777777" w:rsidR="003158F5" w:rsidRPr="0004678F" w:rsidRDefault="003158F5" w:rsidP="009F1E08">
            <w:pPr>
              <w:pStyle w:val="Tablewriting"/>
              <w:keepNext/>
              <w:rPr>
                <w:rFonts w:eastAsia="MS Mincho"/>
                <w:b/>
                <w:bCs/>
                <w:highlight w:val="yellow"/>
              </w:rPr>
            </w:pPr>
            <w:r w:rsidRPr="0004678F">
              <w:rPr>
                <w:rFonts w:eastAsia="MS Mincho"/>
                <w:b/>
                <w:bCs/>
              </w:rPr>
              <w:t>16 weeks versus 8 weeks</w:t>
            </w:r>
          </w:p>
        </w:tc>
      </w:tr>
      <w:tr w:rsidR="003158F5" w:rsidRPr="00061F78" w14:paraId="14F5679C" w14:textId="77777777" w:rsidTr="00703F37">
        <w:trPr>
          <w:cantSplit/>
          <w:trHeight w:val="99"/>
        </w:trPr>
        <w:tc>
          <w:tcPr>
            <w:tcW w:w="705" w:type="pct"/>
            <w:shd w:val="clear" w:color="auto" w:fill="auto"/>
            <w:tcMar>
              <w:left w:w="28" w:type="dxa"/>
              <w:right w:w="28" w:type="dxa"/>
            </w:tcMar>
            <w:vAlign w:val="center"/>
          </w:tcPr>
          <w:p w14:paraId="41DA4974" w14:textId="77777777" w:rsidR="003158F5" w:rsidRPr="007A6E36" w:rsidRDefault="007A6E36" w:rsidP="009F1E08">
            <w:pPr>
              <w:pStyle w:val="Tablewriting"/>
              <w:keepNext/>
              <w:rPr>
                <w:rFonts w:eastAsia="MS Mincho"/>
              </w:rPr>
            </w:pPr>
            <w:r w:rsidRPr="007A6E36">
              <w:rPr>
                <w:rFonts w:eastAsia="MS Mincho"/>
              </w:rPr>
              <w:t xml:space="preserve">Lindson </w:t>
            </w:r>
          </w:p>
          <w:p w14:paraId="07F2EB4A" w14:textId="60B7B602" w:rsidR="003158F5" w:rsidRPr="009A620D" w:rsidRDefault="007A6E36" w:rsidP="009F1E08">
            <w:pPr>
              <w:pStyle w:val="Tablewriting"/>
              <w:keepNext/>
              <w:rPr>
                <w:rFonts w:eastAsia="MS Mincho"/>
                <w:highlight w:val="yellow"/>
                <w:vertAlign w:val="superscript"/>
              </w:rPr>
            </w:pPr>
            <w:r w:rsidRPr="007A6E36">
              <w:rPr>
                <w:rFonts w:eastAsia="MS Mincho"/>
              </w:rPr>
              <w:t>(2019)</w:t>
            </w:r>
            <w:r w:rsidR="009A620D">
              <w:rPr>
                <w:rFonts w:eastAsia="MS Mincho"/>
                <w:vertAlign w:val="superscript"/>
              </w:rPr>
              <w:t>1</w:t>
            </w:r>
          </w:p>
        </w:tc>
        <w:tc>
          <w:tcPr>
            <w:tcW w:w="931" w:type="pct"/>
            <w:shd w:val="clear" w:color="auto" w:fill="auto"/>
            <w:vAlign w:val="center"/>
          </w:tcPr>
          <w:p w14:paraId="3C572695" w14:textId="36CD27E0" w:rsidR="007A6E36" w:rsidRDefault="007A6E36" w:rsidP="009F1E08">
            <w:pPr>
              <w:pStyle w:val="Tablewriting"/>
              <w:keepNext/>
              <w:jc w:val="center"/>
              <w:rPr>
                <w:rFonts w:eastAsia="MS Mincho"/>
              </w:rPr>
            </w:pPr>
            <w:r>
              <w:rPr>
                <w:rFonts w:eastAsia="MS Mincho"/>
              </w:rPr>
              <w:t>Cochrane Review</w:t>
            </w:r>
          </w:p>
          <w:p w14:paraId="0D3932E1" w14:textId="369DCF7D" w:rsidR="003158F5" w:rsidRPr="009526CC" w:rsidRDefault="007A6E36" w:rsidP="009F1E08">
            <w:pPr>
              <w:pStyle w:val="Tablewriting"/>
              <w:keepNext/>
              <w:jc w:val="center"/>
              <w:rPr>
                <w:rFonts w:eastAsia="MS Mincho"/>
              </w:rPr>
            </w:pPr>
            <w:r>
              <w:rPr>
                <w:rFonts w:eastAsia="MS Mincho"/>
              </w:rPr>
              <w:t xml:space="preserve">(1 </w:t>
            </w:r>
            <w:r w:rsidR="003158F5" w:rsidRPr="009526CC">
              <w:rPr>
                <w:rFonts w:eastAsia="MS Mincho"/>
              </w:rPr>
              <w:t>RCT</w:t>
            </w:r>
            <w:r w:rsidR="00703F37">
              <w:rPr>
                <w:rFonts w:eastAsia="MS Mincho"/>
              </w:rPr>
              <w:t>)</w:t>
            </w:r>
          </w:p>
        </w:tc>
        <w:tc>
          <w:tcPr>
            <w:tcW w:w="850" w:type="pct"/>
            <w:shd w:val="clear" w:color="auto" w:fill="auto"/>
            <w:tcMar>
              <w:left w:w="28" w:type="dxa"/>
              <w:right w:w="28" w:type="dxa"/>
            </w:tcMar>
            <w:vAlign w:val="center"/>
          </w:tcPr>
          <w:p w14:paraId="66618FAB" w14:textId="77777777" w:rsidR="003158F5" w:rsidRPr="00571B3B" w:rsidRDefault="003158F5" w:rsidP="009F1E08">
            <w:pPr>
              <w:pStyle w:val="Tablewriting"/>
              <w:keepNext/>
              <w:jc w:val="center"/>
              <w:rPr>
                <w:rFonts w:eastAsia="MS Mincho"/>
              </w:rPr>
            </w:pPr>
            <w:r w:rsidRPr="00571B3B">
              <w:rPr>
                <w:rFonts w:eastAsia="MS Mincho"/>
              </w:rPr>
              <w:t>83/304</w:t>
            </w:r>
          </w:p>
          <w:p w14:paraId="47D17A39" w14:textId="77777777" w:rsidR="003158F5" w:rsidRPr="00571B3B" w:rsidRDefault="003158F5" w:rsidP="009F1E08">
            <w:pPr>
              <w:pStyle w:val="Tablewriting"/>
              <w:keepNext/>
              <w:jc w:val="center"/>
              <w:rPr>
                <w:rFonts w:eastAsia="MS Mincho"/>
              </w:rPr>
            </w:pPr>
            <w:r w:rsidRPr="00571B3B">
              <w:rPr>
                <w:rFonts w:eastAsia="MS Mincho"/>
              </w:rPr>
              <w:t>(27.3%)</w:t>
            </w:r>
          </w:p>
        </w:tc>
        <w:tc>
          <w:tcPr>
            <w:tcW w:w="852" w:type="pct"/>
            <w:shd w:val="clear" w:color="auto" w:fill="auto"/>
            <w:tcMar>
              <w:left w:w="28" w:type="dxa"/>
              <w:right w:w="28" w:type="dxa"/>
            </w:tcMar>
            <w:vAlign w:val="center"/>
          </w:tcPr>
          <w:p w14:paraId="4A4AB426" w14:textId="77777777" w:rsidR="003158F5" w:rsidRPr="00571B3B" w:rsidRDefault="003158F5" w:rsidP="009F1E08">
            <w:pPr>
              <w:pStyle w:val="Tablewriting"/>
              <w:keepNext/>
              <w:jc w:val="center"/>
              <w:rPr>
                <w:rFonts w:eastAsia="MS Mincho"/>
              </w:rPr>
            </w:pPr>
            <w:r w:rsidRPr="00571B3B">
              <w:rPr>
                <w:rFonts w:eastAsia="MS Mincho"/>
              </w:rPr>
              <w:t>95/333</w:t>
            </w:r>
          </w:p>
          <w:p w14:paraId="2EEDEEAC" w14:textId="77777777" w:rsidR="003158F5" w:rsidRPr="00571B3B" w:rsidRDefault="003158F5" w:rsidP="009F1E08">
            <w:pPr>
              <w:pStyle w:val="Tablewriting"/>
              <w:keepNext/>
              <w:jc w:val="center"/>
              <w:rPr>
                <w:rFonts w:eastAsia="MS Mincho"/>
              </w:rPr>
            </w:pPr>
            <w:r w:rsidRPr="00571B3B">
              <w:rPr>
                <w:rFonts w:eastAsia="MS Mincho"/>
              </w:rPr>
              <w:t>(28.5%)</w:t>
            </w:r>
          </w:p>
        </w:tc>
        <w:tc>
          <w:tcPr>
            <w:tcW w:w="851" w:type="pct"/>
            <w:shd w:val="clear" w:color="auto" w:fill="auto"/>
            <w:tcMar>
              <w:left w:w="28" w:type="dxa"/>
              <w:right w:w="28" w:type="dxa"/>
            </w:tcMar>
            <w:vAlign w:val="center"/>
          </w:tcPr>
          <w:p w14:paraId="78EA004B" w14:textId="77777777" w:rsidR="003158F5" w:rsidRPr="009526CC" w:rsidRDefault="003158F5" w:rsidP="009F1E08">
            <w:pPr>
              <w:pStyle w:val="Tablewriting"/>
              <w:keepNext/>
              <w:jc w:val="center"/>
              <w:rPr>
                <w:rFonts w:eastAsia="MS Mincho"/>
              </w:rPr>
            </w:pPr>
            <w:r w:rsidRPr="009526CC">
              <w:rPr>
                <w:rFonts w:eastAsia="MS Mincho"/>
              </w:rPr>
              <w:t>0.96</w:t>
            </w:r>
          </w:p>
          <w:p w14:paraId="441A25D9" w14:textId="77777777" w:rsidR="003158F5" w:rsidRPr="009526CC" w:rsidRDefault="003158F5" w:rsidP="009F1E08">
            <w:pPr>
              <w:pStyle w:val="Tablewriting"/>
              <w:keepNext/>
              <w:jc w:val="center"/>
              <w:rPr>
                <w:rFonts w:eastAsia="MS Mincho"/>
              </w:rPr>
            </w:pPr>
            <w:r w:rsidRPr="009526CC">
              <w:rPr>
                <w:rFonts w:eastAsia="MS Mincho"/>
              </w:rPr>
              <w:t>(0.75, 1.23)</w:t>
            </w:r>
          </w:p>
        </w:tc>
        <w:tc>
          <w:tcPr>
            <w:tcW w:w="811" w:type="pct"/>
            <w:shd w:val="clear" w:color="auto" w:fill="auto"/>
            <w:vAlign w:val="center"/>
          </w:tcPr>
          <w:p w14:paraId="3A2ABF30" w14:textId="61AEC9D5" w:rsidR="003158F5" w:rsidRPr="005D18BC" w:rsidRDefault="00246BDE" w:rsidP="009F1E08">
            <w:pPr>
              <w:pStyle w:val="Tablewriting"/>
              <w:keepNext/>
              <w:jc w:val="center"/>
              <w:rPr>
                <w:rFonts w:eastAsia="MS Mincho"/>
                <w:highlight w:val="yellow"/>
              </w:rPr>
            </w:pPr>
            <w:r w:rsidRPr="003B7BE2">
              <w:rPr>
                <w:rFonts w:eastAsia="MS Mincho"/>
              </w:rPr>
              <w:t>NR</w:t>
            </w:r>
          </w:p>
        </w:tc>
      </w:tr>
      <w:tr w:rsidR="003158F5" w:rsidRPr="00061F78" w14:paraId="5070BD5A" w14:textId="77777777" w:rsidTr="009F1E08">
        <w:trPr>
          <w:cantSplit/>
          <w:trHeight w:val="99"/>
        </w:trPr>
        <w:tc>
          <w:tcPr>
            <w:tcW w:w="5000" w:type="pct"/>
            <w:gridSpan w:val="6"/>
            <w:shd w:val="clear" w:color="auto" w:fill="auto"/>
            <w:tcMar>
              <w:left w:w="28" w:type="dxa"/>
              <w:right w:w="28" w:type="dxa"/>
            </w:tcMar>
            <w:vAlign w:val="center"/>
          </w:tcPr>
          <w:p w14:paraId="259496FA" w14:textId="77777777" w:rsidR="003158F5" w:rsidRPr="0004678F" w:rsidRDefault="003158F5" w:rsidP="009F1E08">
            <w:pPr>
              <w:pStyle w:val="Tablewriting"/>
              <w:keepNext/>
              <w:rPr>
                <w:rFonts w:eastAsia="MS Mincho"/>
                <w:b/>
                <w:bCs/>
              </w:rPr>
            </w:pPr>
            <w:r w:rsidRPr="0004678F">
              <w:rPr>
                <w:rFonts w:eastAsia="MS Mincho"/>
                <w:b/>
                <w:bCs/>
              </w:rPr>
              <w:t>6 weeks versus 2 weeks</w:t>
            </w:r>
          </w:p>
        </w:tc>
      </w:tr>
      <w:tr w:rsidR="003158F5" w:rsidRPr="00061F78" w14:paraId="131528BD" w14:textId="77777777" w:rsidTr="00703F37">
        <w:trPr>
          <w:cantSplit/>
          <w:trHeight w:val="99"/>
        </w:trPr>
        <w:tc>
          <w:tcPr>
            <w:tcW w:w="705" w:type="pct"/>
            <w:shd w:val="clear" w:color="auto" w:fill="auto"/>
            <w:tcMar>
              <w:left w:w="28" w:type="dxa"/>
              <w:right w:w="28" w:type="dxa"/>
            </w:tcMar>
            <w:vAlign w:val="center"/>
          </w:tcPr>
          <w:p w14:paraId="3807DB57" w14:textId="77777777" w:rsidR="00703F37" w:rsidRPr="007A6E36" w:rsidRDefault="00703F37" w:rsidP="00703F37">
            <w:pPr>
              <w:pStyle w:val="Tablewriting"/>
              <w:keepNext/>
              <w:rPr>
                <w:rFonts w:eastAsia="MS Mincho"/>
              </w:rPr>
            </w:pPr>
            <w:r w:rsidRPr="007A6E36">
              <w:rPr>
                <w:rFonts w:eastAsia="MS Mincho"/>
              </w:rPr>
              <w:t xml:space="preserve">Lindson </w:t>
            </w:r>
          </w:p>
          <w:p w14:paraId="101CF8F2" w14:textId="02CE5A26" w:rsidR="003158F5" w:rsidRPr="009A620D" w:rsidRDefault="00703F37" w:rsidP="009F1E08">
            <w:pPr>
              <w:pStyle w:val="Tablewriting"/>
              <w:keepNext/>
              <w:rPr>
                <w:rFonts w:eastAsia="MS Mincho"/>
                <w:vertAlign w:val="superscript"/>
              </w:rPr>
            </w:pPr>
            <w:r w:rsidRPr="007A6E36">
              <w:rPr>
                <w:rFonts w:eastAsia="MS Mincho"/>
              </w:rPr>
              <w:t>(2019)</w:t>
            </w:r>
            <w:r w:rsidR="009A620D">
              <w:rPr>
                <w:rFonts w:eastAsia="MS Mincho"/>
                <w:vertAlign w:val="superscript"/>
              </w:rPr>
              <w:t>1</w:t>
            </w:r>
          </w:p>
        </w:tc>
        <w:tc>
          <w:tcPr>
            <w:tcW w:w="931" w:type="pct"/>
            <w:shd w:val="clear" w:color="auto" w:fill="auto"/>
            <w:vAlign w:val="center"/>
          </w:tcPr>
          <w:p w14:paraId="6C405E05" w14:textId="77777777" w:rsidR="00703F37" w:rsidRDefault="00703F37" w:rsidP="00703F37">
            <w:pPr>
              <w:pStyle w:val="Tablewriting"/>
              <w:keepNext/>
              <w:jc w:val="center"/>
              <w:rPr>
                <w:rFonts w:eastAsia="MS Mincho"/>
              </w:rPr>
            </w:pPr>
            <w:r>
              <w:rPr>
                <w:rFonts w:eastAsia="MS Mincho"/>
              </w:rPr>
              <w:t>Cochrane Review</w:t>
            </w:r>
          </w:p>
          <w:p w14:paraId="428707D2" w14:textId="5F2DBA03" w:rsidR="003158F5" w:rsidRPr="00A22F63" w:rsidRDefault="00703F37" w:rsidP="009F1E08">
            <w:pPr>
              <w:pStyle w:val="Tablewriting"/>
              <w:keepNext/>
              <w:jc w:val="center"/>
              <w:rPr>
                <w:rFonts w:eastAsia="MS Mincho"/>
              </w:rPr>
            </w:pPr>
            <w:r>
              <w:rPr>
                <w:rFonts w:eastAsia="MS Mincho"/>
              </w:rPr>
              <w:t xml:space="preserve">(1 </w:t>
            </w:r>
            <w:r w:rsidRPr="009526CC">
              <w:rPr>
                <w:rFonts w:eastAsia="MS Mincho"/>
              </w:rPr>
              <w:t>RCT</w:t>
            </w:r>
            <w:r>
              <w:rPr>
                <w:rFonts w:eastAsia="MS Mincho"/>
              </w:rPr>
              <w:t>)</w:t>
            </w:r>
          </w:p>
        </w:tc>
        <w:tc>
          <w:tcPr>
            <w:tcW w:w="850" w:type="pct"/>
            <w:shd w:val="clear" w:color="auto" w:fill="auto"/>
            <w:tcMar>
              <w:left w:w="28" w:type="dxa"/>
              <w:right w:w="28" w:type="dxa"/>
            </w:tcMar>
            <w:vAlign w:val="center"/>
          </w:tcPr>
          <w:p w14:paraId="5143EE10" w14:textId="77777777" w:rsidR="003158F5" w:rsidRPr="00571B3B" w:rsidRDefault="003158F5" w:rsidP="009F1E08">
            <w:pPr>
              <w:pStyle w:val="Tablewriting"/>
              <w:keepNext/>
              <w:jc w:val="center"/>
              <w:rPr>
                <w:rFonts w:eastAsia="MS Mincho"/>
              </w:rPr>
            </w:pPr>
            <w:r w:rsidRPr="00571B3B">
              <w:rPr>
                <w:rFonts w:eastAsia="MS Mincho"/>
              </w:rPr>
              <w:t>194/497</w:t>
            </w:r>
          </w:p>
          <w:p w14:paraId="3610AF6F" w14:textId="77777777" w:rsidR="003158F5" w:rsidRPr="00571B3B" w:rsidRDefault="003158F5" w:rsidP="009F1E08">
            <w:pPr>
              <w:pStyle w:val="Tablewriting"/>
              <w:keepNext/>
              <w:jc w:val="center"/>
              <w:rPr>
                <w:rFonts w:eastAsia="MS Mincho"/>
              </w:rPr>
            </w:pPr>
            <w:r w:rsidRPr="00571B3B">
              <w:rPr>
                <w:rFonts w:eastAsia="MS Mincho"/>
              </w:rPr>
              <w:t>(39%)</w:t>
            </w:r>
          </w:p>
        </w:tc>
        <w:tc>
          <w:tcPr>
            <w:tcW w:w="852" w:type="pct"/>
            <w:shd w:val="clear" w:color="auto" w:fill="auto"/>
            <w:tcMar>
              <w:left w:w="28" w:type="dxa"/>
              <w:right w:w="28" w:type="dxa"/>
            </w:tcMar>
            <w:vAlign w:val="center"/>
          </w:tcPr>
          <w:p w14:paraId="39270413" w14:textId="77777777" w:rsidR="003158F5" w:rsidRPr="00571B3B" w:rsidRDefault="003158F5" w:rsidP="009F1E08">
            <w:pPr>
              <w:pStyle w:val="Tablewriting"/>
              <w:keepNext/>
              <w:jc w:val="center"/>
              <w:rPr>
                <w:rFonts w:eastAsia="MS Mincho"/>
              </w:rPr>
            </w:pPr>
            <w:r w:rsidRPr="00571B3B">
              <w:rPr>
                <w:rFonts w:eastAsia="MS Mincho"/>
              </w:rPr>
              <w:t>172/490</w:t>
            </w:r>
          </w:p>
          <w:p w14:paraId="28D42312" w14:textId="77777777" w:rsidR="003158F5" w:rsidRPr="00571B3B" w:rsidRDefault="003158F5" w:rsidP="009F1E08">
            <w:pPr>
              <w:pStyle w:val="Tablewriting"/>
              <w:keepNext/>
              <w:jc w:val="center"/>
              <w:rPr>
                <w:rFonts w:eastAsia="MS Mincho"/>
              </w:rPr>
            </w:pPr>
            <w:r w:rsidRPr="00571B3B">
              <w:rPr>
                <w:rFonts w:eastAsia="MS Mincho"/>
              </w:rPr>
              <w:t>(35.1%)</w:t>
            </w:r>
          </w:p>
        </w:tc>
        <w:tc>
          <w:tcPr>
            <w:tcW w:w="851" w:type="pct"/>
            <w:shd w:val="clear" w:color="auto" w:fill="auto"/>
            <w:tcMar>
              <w:left w:w="28" w:type="dxa"/>
              <w:right w:w="28" w:type="dxa"/>
            </w:tcMar>
            <w:vAlign w:val="center"/>
          </w:tcPr>
          <w:p w14:paraId="6D523F08" w14:textId="77777777" w:rsidR="003158F5" w:rsidRDefault="003158F5" w:rsidP="009F1E08">
            <w:pPr>
              <w:pStyle w:val="Tablewriting"/>
              <w:keepNext/>
              <w:jc w:val="center"/>
              <w:rPr>
                <w:rFonts w:eastAsia="MS Mincho"/>
              </w:rPr>
            </w:pPr>
            <w:r>
              <w:rPr>
                <w:rFonts w:eastAsia="MS Mincho"/>
              </w:rPr>
              <w:t>1.11</w:t>
            </w:r>
          </w:p>
          <w:p w14:paraId="0748F96A" w14:textId="77777777" w:rsidR="003158F5" w:rsidRPr="00A22F63" w:rsidRDefault="003158F5" w:rsidP="009F1E08">
            <w:pPr>
              <w:pStyle w:val="Tablewriting"/>
              <w:keepNext/>
              <w:jc w:val="center"/>
              <w:rPr>
                <w:rFonts w:eastAsia="MS Mincho"/>
              </w:rPr>
            </w:pPr>
            <w:r>
              <w:rPr>
                <w:rFonts w:eastAsia="MS Mincho"/>
              </w:rPr>
              <w:t>(0.94, 1.31)</w:t>
            </w:r>
          </w:p>
        </w:tc>
        <w:tc>
          <w:tcPr>
            <w:tcW w:w="811" w:type="pct"/>
            <w:shd w:val="clear" w:color="auto" w:fill="auto"/>
            <w:vAlign w:val="center"/>
          </w:tcPr>
          <w:p w14:paraId="15951361" w14:textId="473DDB32" w:rsidR="003158F5" w:rsidRPr="005D18BC" w:rsidRDefault="00246BDE" w:rsidP="009F1E08">
            <w:pPr>
              <w:pStyle w:val="Tablewriting"/>
              <w:keepNext/>
              <w:jc w:val="center"/>
              <w:rPr>
                <w:rFonts w:eastAsia="MS Mincho"/>
                <w:highlight w:val="yellow"/>
              </w:rPr>
            </w:pPr>
            <w:r w:rsidRPr="003B7BE2">
              <w:rPr>
                <w:rFonts w:eastAsia="MS Mincho"/>
              </w:rPr>
              <w:t>NR</w:t>
            </w:r>
          </w:p>
        </w:tc>
      </w:tr>
      <w:tr w:rsidR="003158F5" w:rsidRPr="00061F78" w14:paraId="6C6D75D3" w14:textId="77777777" w:rsidTr="009F1E08">
        <w:trPr>
          <w:cantSplit/>
          <w:trHeight w:val="99"/>
        </w:trPr>
        <w:tc>
          <w:tcPr>
            <w:tcW w:w="5000" w:type="pct"/>
            <w:gridSpan w:val="6"/>
            <w:shd w:val="clear" w:color="auto" w:fill="auto"/>
            <w:tcMar>
              <w:left w:w="28" w:type="dxa"/>
              <w:right w:w="28" w:type="dxa"/>
            </w:tcMar>
            <w:vAlign w:val="center"/>
          </w:tcPr>
          <w:p w14:paraId="1A4BE3C3" w14:textId="77777777" w:rsidR="003158F5" w:rsidRPr="0004678F" w:rsidRDefault="003158F5" w:rsidP="009F1E08">
            <w:pPr>
              <w:pStyle w:val="Tablewriting"/>
              <w:keepNext/>
              <w:rPr>
                <w:rFonts w:eastAsia="MS Mincho"/>
                <w:b/>
                <w:bCs/>
              </w:rPr>
            </w:pPr>
            <w:r w:rsidRPr="0004678F">
              <w:rPr>
                <w:rFonts w:eastAsia="MS Mincho"/>
                <w:b/>
                <w:bCs/>
              </w:rPr>
              <w:t>12 months versus 10 weeks</w:t>
            </w:r>
          </w:p>
        </w:tc>
      </w:tr>
      <w:tr w:rsidR="003158F5" w:rsidRPr="00061F78" w14:paraId="33D59FF5" w14:textId="77777777" w:rsidTr="00703F37">
        <w:trPr>
          <w:cantSplit/>
          <w:trHeight w:val="99"/>
        </w:trPr>
        <w:tc>
          <w:tcPr>
            <w:tcW w:w="705" w:type="pct"/>
            <w:shd w:val="clear" w:color="auto" w:fill="auto"/>
            <w:tcMar>
              <w:left w:w="28" w:type="dxa"/>
              <w:right w:w="28" w:type="dxa"/>
            </w:tcMar>
            <w:vAlign w:val="center"/>
          </w:tcPr>
          <w:p w14:paraId="3E4E0328" w14:textId="6ECE9D76" w:rsidR="003158F5" w:rsidRPr="003158F5" w:rsidRDefault="003158F5" w:rsidP="009F1E08">
            <w:pPr>
              <w:pStyle w:val="Tablewriting"/>
              <w:keepNext/>
              <w:rPr>
                <w:rFonts w:eastAsia="MS Mincho"/>
              </w:rPr>
            </w:pPr>
            <w:r w:rsidRPr="003158F5">
              <w:rPr>
                <w:rFonts w:eastAsia="MS Mincho"/>
              </w:rPr>
              <w:t>Ellerbeck (2018)</w:t>
            </w:r>
            <w:r w:rsidRPr="003158F5">
              <w:rPr>
                <w:rFonts w:eastAsia="MS Mincho"/>
                <w:vertAlign w:val="superscript"/>
              </w:rPr>
              <w:t>3</w:t>
            </w:r>
            <w:r w:rsidR="004F4691">
              <w:rPr>
                <w:rFonts w:eastAsia="MS Mincho"/>
                <w:vertAlign w:val="superscript"/>
              </w:rPr>
              <w:t>,4</w:t>
            </w:r>
          </w:p>
        </w:tc>
        <w:tc>
          <w:tcPr>
            <w:tcW w:w="931" w:type="pct"/>
            <w:shd w:val="clear" w:color="auto" w:fill="auto"/>
            <w:vAlign w:val="center"/>
          </w:tcPr>
          <w:p w14:paraId="51DBF7C3" w14:textId="77777777" w:rsidR="003158F5" w:rsidRPr="003B7BE2" w:rsidRDefault="003158F5" w:rsidP="009F1E08">
            <w:pPr>
              <w:pStyle w:val="Tablewriting"/>
              <w:keepNext/>
              <w:jc w:val="center"/>
              <w:rPr>
                <w:rFonts w:eastAsia="MS Mincho"/>
                <w:vertAlign w:val="superscript"/>
              </w:rPr>
            </w:pPr>
            <w:r w:rsidRPr="003158F5">
              <w:rPr>
                <w:rFonts w:eastAsia="MS Mincho"/>
              </w:rPr>
              <w:t>RCT</w:t>
            </w:r>
          </w:p>
        </w:tc>
        <w:tc>
          <w:tcPr>
            <w:tcW w:w="850" w:type="pct"/>
            <w:shd w:val="clear" w:color="auto" w:fill="auto"/>
            <w:tcMar>
              <w:left w:w="28" w:type="dxa"/>
              <w:right w:w="28" w:type="dxa"/>
            </w:tcMar>
            <w:vAlign w:val="center"/>
          </w:tcPr>
          <w:p w14:paraId="7C716C21" w14:textId="2BBCC2EF" w:rsidR="003158F5" w:rsidRDefault="007D5B3E" w:rsidP="009F1E08">
            <w:pPr>
              <w:pStyle w:val="Tablewriting"/>
              <w:keepNext/>
              <w:jc w:val="center"/>
              <w:rPr>
                <w:rFonts w:eastAsia="MS Mincho"/>
              </w:rPr>
            </w:pPr>
            <w:r>
              <w:rPr>
                <w:rFonts w:eastAsia="MS Mincho"/>
              </w:rPr>
              <w:t>12/200</w:t>
            </w:r>
          </w:p>
          <w:p w14:paraId="7EBCD2B2" w14:textId="33953852" w:rsidR="00952354" w:rsidRPr="003158F5" w:rsidRDefault="00531BB8" w:rsidP="009F1E08">
            <w:pPr>
              <w:pStyle w:val="Tablewriting"/>
              <w:keepNext/>
              <w:jc w:val="center"/>
              <w:rPr>
                <w:rFonts w:eastAsia="MS Mincho"/>
              </w:rPr>
            </w:pPr>
            <w:r>
              <w:rPr>
                <w:rFonts w:eastAsia="MS Mincho"/>
              </w:rPr>
              <w:t>(6%)</w:t>
            </w:r>
          </w:p>
        </w:tc>
        <w:tc>
          <w:tcPr>
            <w:tcW w:w="852" w:type="pct"/>
            <w:shd w:val="clear" w:color="auto" w:fill="auto"/>
            <w:tcMar>
              <w:left w:w="28" w:type="dxa"/>
              <w:right w:w="28" w:type="dxa"/>
            </w:tcMar>
            <w:vAlign w:val="center"/>
          </w:tcPr>
          <w:p w14:paraId="508A0400" w14:textId="7E9E81EB" w:rsidR="003158F5" w:rsidRDefault="007D5B3E" w:rsidP="009F1E08">
            <w:pPr>
              <w:pStyle w:val="Tablewriting"/>
              <w:keepNext/>
              <w:jc w:val="center"/>
              <w:rPr>
                <w:rFonts w:eastAsia="MS Mincho"/>
              </w:rPr>
            </w:pPr>
            <w:r>
              <w:rPr>
                <w:rFonts w:eastAsia="MS Mincho"/>
              </w:rPr>
              <w:t>15/198</w:t>
            </w:r>
          </w:p>
          <w:p w14:paraId="2CEBF538" w14:textId="296882EB" w:rsidR="00952354" w:rsidRPr="003158F5" w:rsidRDefault="00531BB8" w:rsidP="009F1E08">
            <w:pPr>
              <w:pStyle w:val="Tablewriting"/>
              <w:keepNext/>
              <w:jc w:val="center"/>
              <w:rPr>
                <w:rFonts w:eastAsia="MS Mincho"/>
              </w:rPr>
            </w:pPr>
            <w:r>
              <w:rPr>
                <w:rFonts w:eastAsia="MS Mincho"/>
              </w:rPr>
              <w:t>(7.6%)</w:t>
            </w:r>
          </w:p>
        </w:tc>
        <w:tc>
          <w:tcPr>
            <w:tcW w:w="851" w:type="pct"/>
            <w:shd w:val="clear" w:color="auto" w:fill="auto"/>
            <w:tcMar>
              <w:left w:w="28" w:type="dxa"/>
              <w:right w:w="28" w:type="dxa"/>
            </w:tcMar>
            <w:vAlign w:val="center"/>
          </w:tcPr>
          <w:p w14:paraId="732B373D" w14:textId="708843F7" w:rsidR="003158F5" w:rsidRPr="003158F5" w:rsidRDefault="007D5B3E" w:rsidP="009F1E08">
            <w:pPr>
              <w:pStyle w:val="Tablewriting"/>
              <w:keepNext/>
              <w:jc w:val="center"/>
              <w:rPr>
                <w:rFonts w:eastAsia="MS Mincho"/>
              </w:rPr>
            </w:pPr>
            <w:r>
              <w:rPr>
                <w:rFonts w:eastAsia="MS Mincho"/>
              </w:rPr>
              <w:t>0.79</w:t>
            </w:r>
          </w:p>
          <w:p w14:paraId="5BF30D74" w14:textId="3183961C" w:rsidR="003158F5" w:rsidRPr="003158F5" w:rsidRDefault="007D5B3E" w:rsidP="009F1E08">
            <w:pPr>
              <w:pStyle w:val="Tablewriting"/>
              <w:keepNext/>
              <w:jc w:val="center"/>
              <w:rPr>
                <w:rFonts w:eastAsia="MS Mincho"/>
              </w:rPr>
            </w:pPr>
            <w:r>
              <w:rPr>
                <w:rFonts w:eastAsia="MS Mincho"/>
              </w:rPr>
              <w:t>(</w:t>
            </w:r>
            <w:r w:rsidR="00531BB8">
              <w:rPr>
                <w:rFonts w:eastAsia="MS Mincho"/>
              </w:rPr>
              <w:t>0.38, 1.65)</w:t>
            </w:r>
          </w:p>
        </w:tc>
        <w:tc>
          <w:tcPr>
            <w:tcW w:w="811" w:type="pct"/>
            <w:shd w:val="clear" w:color="auto" w:fill="auto"/>
            <w:vAlign w:val="center"/>
          </w:tcPr>
          <w:p w14:paraId="1658035E" w14:textId="2022866B" w:rsidR="003158F5" w:rsidRPr="003158F5" w:rsidRDefault="00531BB8" w:rsidP="009F1E08">
            <w:pPr>
              <w:pStyle w:val="Tablewriting"/>
              <w:keepNext/>
              <w:jc w:val="center"/>
              <w:rPr>
                <w:rFonts w:eastAsia="MS Mincho"/>
              </w:rPr>
            </w:pPr>
            <w:r>
              <w:rPr>
                <w:rFonts w:eastAsia="MS Mincho"/>
              </w:rPr>
              <w:t>-1.5</w:t>
            </w:r>
          </w:p>
          <w:p w14:paraId="4985FA06" w14:textId="0DC5CE70" w:rsidR="003158F5" w:rsidRPr="003158F5" w:rsidRDefault="00531BB8" w:rsidP="009F1E08">
            <w:pPr>
              <w:pStyle w:val="Tablewriting"/>
              <w:keepNext/>
              <w:jc w:val="center"/>
              <w:rPr>
                <w:rFonts w:eastAsia="MS Mincho"/>
              </w:rPr>
            </w:pPr>
            <w:r>
              <w:rPr>
                <w:rFonts w:eastAsia="MS Mincho"/>
              </w:rPr>
              <w:t>(-6.5, 3.5)</w:t>
            </w:r>
          </w:p>
        </w:tc>
      </w:tr>
    </w:tbl>
    <w:p w14:paraId="0CCD1D42" w14:textId="4A21BFA2" w:rsidR="0029720E" w:rsidRDefault="0029720E" w:rsidP="000C5710">
      <w:pPr>
        <w:pStyle w:val="TableFooter"/>
        <w:keepNext/>
        <w:jc w:val="both"/>
      </w:pPr>
      <w:r>
        <w:t>Source: Lindson et al. (2019)</w:t>
      </w:r>
      <w:r w:rsidR="00764226">
        <w:t>, Ellerbeck et al. (2018)</w:t>
      </w:r>
    </w:p>
    <w:p w14:paraId="33E81810" w14:textId="77777777" w:rsidR="0029720E" w:rsidRPr="004A0AB5" w:rsidRDefault="0029720E" w:rsidP="000C5710">
      <w:pPr>
        <w:pStyle w:val="TableFooter"/>
        <w:keepNext/>
        <w:jc w:val="both"/>
        <w:rPr>
          <w:i/>
        </w:rPr>
      </w:pPr>
      <w:r w:rsidRPr="004A0AB5">
        <w:t xml:space="preserve">Abbreviations: CI = confidence interval; RCT = randomised controlled trial; RD = risk difference; RR = risk ratio </w:t>
      </w:r>
    </w:p>
    <w:p w14:paraId="69EFE24B" w14:textId="6FCEC33B" w:rsidR="0029720E" w:rsidRDefault="0029720E" w:rsidP="000C5710">
      <w:pPr>
        <w:pStyle w:val="TableFooter"/>
        <w:jc w:val="both"/>
        <w:rPr>
          <w:b/>
          <w:bCs/>
        </w:rPr>
      </w:pPr>
      <w:r w:rsidRPr="0041240E">
        <w:t xml:space="preserve">Notes: </w:t>
      </w:r>
    </w:p>
    <w:p w14:paraId="1BF900D1" w14:textId="610FCFDA" w:rsidR="009A620D" w:rsidRDefault="009A620D" w:rsidP="000C5710">
      <w:pPr>
        <w:pStyle w:val="TableFooter"/>
        <w:jc w:val="both"/>
      </w:pPr>
      <w:r>
        <w:t>1 Calculated by Cochrane Review authors using a random-effect model</w:t>
      </w:r>
      <w:r w:rsidR="00ED0CBA">
        <w:t>.</w:t>
      </w:r>
    </w:p>
    <w:p w14:paraId="47D21491" w14:textId="665BC560" w:rsidR="009E2BC1" w:rsidRDefault="009A620D" w:rsidP="000C5710">
      <w:pPr>
        <w:pStyle w:val="TableFooter"/>
        <w:jc w:val="both"/>
      </w:pPr>
      <w:r>
        <w:t>2</w:t>
      </w:r>
      <w:r w:rsidR="009E2BC1" w:rsidRPr="009E2BC1">
        <w:t xml:space="preserve"> </w:t>
      </w:r>
      <w:r w:rsidR="00831A0F">
        <w:t>Sustained ab</w:t>
      </w:r>
      <w:r w:rsidR="007D5B3E">
        <w:t>stinence</w:t>
      </w:r>
      <w:r w:rsidR="00831A0F">
        <w:t xml:space="preserve"> at </w:t>
      </w:r>
      <w:r w:rsidR="00CC0A59">
        <w:t>six</w:t>
      </w:r>
      <w:r w:rsidR="00831A0F">
        <w:t xml:space="preserve"> months. </w:t>
      </w:r>
    </w:p>
    <w:p w14:paraId="2F48E82F" w14:textId="14E99BEF" w:rsidR="004F4691" w:rsidRPr="003D15A9" w:rsidRDefault="009A620D" w:rsidP="000C5710">
      <w:pPr>
        <w:pStyle w:val="TableFooter"/>
        <w:jc w:val="both"/>
        <w:rPr>
          <w:highlight w:val="yellow"/>
        </w:rPr>
      </w:pPr>
      <w:r>
        <w:t>3</w:t>
      </w:r>
      <w:r w:rsidR="004F4691">
        <w:t xml:space="preserve"> Calculated during the review</w:t>
      </w:r>
      <w:r w:rsidR="00ED0CBA">
        <w:t>.</w:t>
      </w:r>
    </w:p>
    <w:p w14:paraId="28074013" w14:textId="77777777" w:rsidR="0029720E" w:rsidRDefault="0029720E" w:rsidP="0029720E">
      <w:pPr>
        <w:pStyle w:val="TableFooter"/>
        <w:keepNext/>
        <w:rPr>
          <w:sz w:val="24"/>
        </w:rPr>
      </w:pPr>
    </w:p>
    <w:p w14:paraId="0B69ECDD" w14:textId="14449FC0" w:rsidR="0034241C" w:rsidRDefault="0029720E" w:rsidP="000C5710">
      <w:pPr>
        <w:pStyle w:val="TableFooter"/>
        <w:keepNext/>
        <w:spacing w:after="120"/>
        <w:contextualSpacing w:val="0"/>
        <w:jc w:val="both"/>
        <w:rPr>
          <w:sz w:val="24"/>
        </w:rPr>
      </w:pPr>
      <w:r w:rsidRPr="00F136E9">
        <w:rPr>
          <w:sz w:val="24"/>
        </w:rPr>
        <w:t xml:space="preserve">The results of the individual studies </w:t>
      </w:r>
      <w:r w:rsidR="00B133E3">
        <w:rPr>
          <w:sz w:val="24"/>
        </w:rPr>
        <w:t>comparing the duration of combination therapy</w:t>
      </w:r>
      <w:r w:rsidRPr="00F136E9">
        <w:rPr>
          <w:sz w:val="24"/>
        </w:rPr>
        <w:t xml:space="preserve"> are presented using a forest plot in </w:t>
      </w:r>
      <w:r w:rsidR="00E52773">
        <w:rPr>
          <w:sz w:val="24"/>
        </w:rPr>
        <w:fldChar w:fldCharType="begin" w:fldLock="1"/>
      </w:r>
      <w:r w:rsidR="00E52773">
        <w:rPr>
          <w:sz w:val="24"/>
        </w:rPr>
        <w:instrText xml:space="preserve"> REF _Ref61613081 \h  \* MERGEFORMAT </w:instrText>
      </w:r>
      <w:r w:rsidR="00E52773">
        <w:rPr>
          <w:sz w:val="24"/>
        </w:rPr>
      </w:r>
      <w:r w:rsidR="00E52773">
        <w:rPr>
          <w:sz w:val="24"/>
        </w:rPr>
        <w:fldChar w:fldCharType="separate"/>
      </w:r>
      <w:r w:rsidR="00EC5CC7" w:rsidRPr="00EC5CC7">
        <w:rPr>
          <w:sz w:val="24"/>
        </w:rPr>
        <w:t>Figure 28</w:t>
      </w:r>
      <w:r w:rsidR="00E52773">
        <w:rPr>
          <w:sz w:val="24"/>
        </w:rPr>
        <w:fldChar w:fldCharType="end"/>
      </w:r>
      <w:r w:rsidR="009C0A00">
        <w:rPr>
          <w:sz w:val="24"/>
        </w:rPr>
        <w:t>.</w:t>
      </w:r>
    </w:p>
    <w:p w14:paraId="06C8AD58" w14:textId="69AFF2CD" w:rsidR="005031D6" w:rsidRDefault="009C0A00" w:rsidP="005031D6">
      <w:pPr>
        <w:pStyle w:val="TableFooter"/>
        <w:keepNext/>
      </w:pPr>
      <w:r>
        <w:rPr>
          <w:sz w:val="24"/>
        </w:rPr>
        <w:t xml:space="preserve"> </w:t>
      </w:r>
      <w:r w:rsidR="00947D09">
        <w:rPr>
          <w:noProof/>
        </w:rPr>
        <w:drawing>
          <wp:inline distT="0" distB="0" distL="0" distR="0" wp14:anchorId="484C78E5" wp14:editId="63E31D20">
            <wp:extent cx="5731510" cy="2654935"/>
            <wp:effectExtent l="0" t="0" r="2540" b="0"/>
            <wp:docPr id="37" name="Picture 37" descr="P63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6368#yIS1"/>
                    <pic:cNvPicPr/>
                  </pic:nvPicPr>
                  <pic:blipFill>
                    <a:blip r:embed="rId47">
                      <a:extLst>
                        <a:ext uri="{28A0092B-C50C-407E-A947-70E740481C1C}">
                          <a14:useLocalDpi xmlns:a14="http://schemas.microsoft.com/office/drawing/2010/main" val="0"/>
                        </a:ext>
                      </a:extLst>
                    </a:blip>
                    <a:stretch>
                      <a:fillRect/>
                    </a:stretch>
                  </pic:blipFill>
                  <pic:spPr>
                    <a:xfrm>
                      <a:off x="0" y="0"/>
                      <a:ext cx="5731510" cy="2654935"/>
                    </a:xfrm>
                    <a:prstGeom prst="rect">
                      <a:avLst/>
                    </a:prstGeom>
                  </pic:spPr>
                </pic:pic>
              </a:graphicData>
            </a:graphic>
          </wp:inline>
        </w:drawing>
      </w:r>
    </w:p>
    <w:p w14:paraId="1D64D43A" w14:textId="5B753DBB" w:rsidR="0029720E" w:rsidRPr="00962EB2" w:rsidRDefault="009C0A00" w:rsidP="000C5710">
      <w:pPr>
        <w:pStyle w:val="Caption"/>
        <w:spacing w:before="120" w:after="60"/>
        <w:jc w:val="both"/>
      </w:pPr>
      <w:bookmarkStart w:id="164" w:name="_Ref61613081"/>
      <w:r>
        <w:t xml:space="preserve">Figure </w:t>
      </w:r>
      <w:r w:rsidR="00BF3F75">
        <w:fldChar w:fldCharType="begin"/>
      </w:r>
      <w:r w:rsidR="00BF3F75">
        <w:instrText xml:space="preserve"> SEQ Figure \* ARABIC </w:instrText>
      </w:r>
      <w:r w:rsidR="00BF3F75">
        <w:fldChar w:fldCharType="separate"/>
      </w:r>
      <w:r w:rsidR="00EC5CC7">
        <w:rPr>
          <w:noProof/>
        </w:rPr>
        <w:t>28</w:t>
      </w:r>
      <w:r w:rsidR="00BF3F75">
        <w:rPr>
          <w:noProof/>
        </w:rPr>
        <w:fldChar w:fldCharType="end"/>
      </w:r>
      <w:bookmarkEnd w:id="164"/>
      <w:r>
        <w:t xml:space="preserve">: </w:t>
      </w:r>
      <w:r w:rsidR="005031D6" w:rsidRPr="00333E90">
        <w:t>Results</w:t>
      </w:r>
      <w:r w:rsidRPr="00D51E9F">
        <w:t xml:space="preserve"> of smoking cessation f</w:t>
      </w:r>
      <w:r w:rsidR="00C623F4">
        <w:t>or</w:t>
      </w:r>
      <w:r w:rsidRPr="00D51E9F">
        <w:t xml:space="preserve"> at least six months follow-up in Lindson et al. 2019</w:t>
      </w:r>
      <w:r w:rsidR="0034241C">
        <w:t xml:space="preserve"> and Ellerbeck et al. (2018)</w:t>
      </w:r>
      <w:r w:rsidRPr="00D51E9F">
        <w:t xml:space="preserve">, </w:t>
      </w:r>
      <w:r w:rsidR="0034241C">
        <w:t xml:space="preserve">longer duration versus shorter </w:t>
      </w:r>
      <w:r w:rsidRPr="00D51E9F">
        <w:t xml:space="preserve">duration of </w:t>
      </w:r>
      <w:r>
        <w:t xml:space="preserve">combination </w:t>
      </w:r>
      <w:r w:rsidRPr="00D51E9F">
        <w:t>therapy</w:t>
      </w:r>
    </w:p>
    <w:p w14:paraId="218273B0" w14:textId="676DBA66" w:rsidR="00E52773" w:rsidRDefault="00E52773" w:rsidP="000C5710">
      <w:pPr>
        <w:pStyle w:val="TableFooter"/>
        <w:keepNext/>
        <w:jc w:val="both"/>
      </w:pPr>
      <w:r>
        <w:t>Source: Lindson et al. (2019) and Ellerbeck et al. (2018)</w:t>
      </w:r>
    </w:p>
    <w:p w14:paraId="2BECD669" w14:textId="50E39954" w:rsidR="009077F6" w:rsidRDefault="00E52773" w:rsidP="000C5710">
      <w:pPr>
        <w:pStyle w:val="TableFooter"/>
        <w:spacing w:after="120"/>
        <w:contextualSpacing w:val="0"/>
        <w:jc w:val="both"/>
      </w:pPr>
      <w:r>
        <w:t>Abbreviations: CI = confidence interval</w:t>
      </w:r>
    </w:p>
    <w:p w14:paraId="5CDCA204" w14:textId="5347B767" w:rsidR="003A11A4" w:rsidRPr="003A11A4" w:rsidRDefault="003A11A4" w:rsidP="000C5710">
      <w:pPr>
        <w:spacing w:after="120"/>
        <w:jc w:val="both"/>
        <w:rPr>
          <w:u w:val="single"/>
        </w:rPr>
      </w:pPr>
      <w:r w:rsidRPr="003A11A4">
        <w:rPr>
          <w:u w:val="single"/>
        </w:rPr>
        <w:t>Safety</w:t>
      </w:r>
    </w:p>
    <w:p w14:paraId="6F4A2C14" w14:textId="6BA6BC9A" w:rsidR="00B07C6E" w:rsidRDefault="00B07C6E" w:rsidP="00CC0A59">
      <w:pPr>
        <w:jc w:val="both"/>
      </w:pPr>
      <w:r>
        <w:t xml:space="preserve">A summary of key adverse </w:t>
      </w:r>
      <w:r w:rsidR="00B05DCD">
        <w:t>events included</w:t>
      </w:r>
      <w:r>
        <w:t xml:space="preserve"> </w:t>
      </w:r>
      <w:r w:rsidRPr="006A153C">
        <w:t xml:space="preserve">in Lindson et al. </w:t>
      </w:r>
      <w:r>
        <w:t>(</w:t>
      </w:r>
      <w:r w:rsidRPr="006A153C">
        <w:t>2019</w:t>
      </w:r>
      <w:r>
        <w:t>)</w:t>
      </w:r>
      <w:r w:rsidRPr="006A153C">
        <w:t xml:space="preserve"> and Ellerbeck et al. </w:t>
      </w:r>
      <w:r>
        <w:t>(</w:t>
      </w:r>
      <w:r w:rsidRPr="006A153C">
        <w:t>2018</w:t>
      </w:r>
      <w:r>
        <w:t xml:space="preserve">) </w:t>
      </w:r>
      <w:r w:rsidR="006F0CC3">
        <w:t>comparing longer duration with shorter duration</w:t>
      </w:r>
      <w:r w:rsidRPr="00171A84">
        <w:t xml:space="preserve"> of combination NRT is presented in</w:t>
      </w:r>
      <w:r w:rsidR="00CC0A59">
        <w:t xml:space="preserve"> Table 92. </w:t>
      </w:r>
      <w:r>
        <w:t>Overall, there were no statistically significant differences in serious adverse events and cardiac events between longer duration and shorter duration</w:t>
      </w:r>
      <w:r w:rsidR="000C5710">
        <w:t>s</w:t>
      </w:r>
      <w:r>
        <w:t xml:space="preserve"> of combination NRT. </w:t>
      </w:r>
    </w:p>
    <w:p w14:paraId="26F7352B" w14:textId="77777777" w:rsidR="000C5710" w:rsidRDefault="000C5710">
      <w:pPr>
        <w:spacing w:line="276" w:lineRule="auto"/>
        <w:rPr>
          <w:rFonts w:asciiTheme="minorHAnsi" w:eastAsia="Times New Roman" w:hAnsiTheme="minorHAnsi" w:cs="Times New Roman"/>
          <w:b/>
          <w:bCs/>
          <w:szCs w:val="18"/>
        </w:rPr>
      </w:pPr>
      <w:bookmarkStart w:id="165" w:name="_Ref62115291"/>
      <w:r>
        <w:br w:type="page"/>
      </w:r>
    </w:p>
    <w:p w14:paraId="0B89FA33" w14:textId="5B149F9B" w:rsidR="00B07C6E" w:rsidRDefault="00B07C6E" w:rsidP="000C5710">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92</w:t>
      </w:r>
      <w:r w:rsidR="00BF3F75">
        <w:rPr>
          <w:noProof/>
        </w:rPr>
        <w:fldChar w:fldCharType="end"/>
      </w:r>
      <w:bookmarkEnd w:id="165"/>
      <w:r>
        <w:t xml:space="preserve">: </w:t>
      </w:r>
      <w:r w:rsidRPr="00C61764">
        <w:t xml:space="preserve">Summary of key adverse events </w:t>
      </w:r>
      <w:r w:rsidR="0034241C">
        <w:t xml:space="preserve">in Lindson (2019) and Ellerbeck (2018), </w:t>
      </w:r>
      <w:r w:rsidRPr="00C61764">
        <w:t>longer duration versus shorter duration combination NRT</w:t>
      </w:r>
    </w:p>
    <w:tbl>
      <w:tblPr>
        <w:tblStyle w:val="TableGrid"/>
        <w:tblW w:w="5107" w:type="pct"/>
        <w:tblLook w:val="04A0" w:firstRow="1" w:lastRow="0" w:firstColumn="1" w:lastColumn="0" w:noHBand="0" w:noVBand="1"/>
        <w:tblCaption w:val="Efficacy results of adalimumab trials (PASI 75 and DLQI)"/>
      </w:tblPr>
      <w:tblGrid>
        <w:gridCol w:w="1413"/>
        <w:gridCol w:w="1698"/>
        <w:gridCol w:w="1420"/>
        <w:gridCol w:w="1667"/>
        <w:gridCol w:w="1593"/>
        <w:gridCol w:w="1418"/>
      </w:tblGrid>
      <w:tr w:rsidR="00A654E8" w:rsidRPr="00061F78" w14:paraId="4EFADADE" w14:textId="77777777" w:rsidTr="00C623F4">
        <w:trPr>
          <w:cantSplit/>
          <w:trHeight w:val="299"/>
          <w:tblHeader/>
        </w:trPr>
        <w:tc>
          <w:tcPr>
            <w:tcW w:w="767" w:type="pct"/>
            <w:shd w:val="clear" w:color="auto" w:fill="BFBFBF" w:themeFill="background1" w:themeFillShade="BF"/>
            <w:tcMar>
              <w:left w:w="28" w:type="dxa"/>
              <w:right w:w="28" w:type="dxa"/>
            </w:tcMar>
            <w:vAlign w:val="center"/>
          </w:tcPr>
          <w:p w14:paraId="47501E9D" w14:textId="77777777" w:rsidR="00B07C6E" w:rsidRDefault="00B07C6E" w:rsidP="00125A1C">
            <w:pPr>
              <w:pStyle w:val="Tableheading"/>
              <w:rPr>
                <w:rFonts w:eastAsia="MS Mincho"/>
              </w:rPr>
            </w:pPr>
            <w:r>
              <w:rPr>
                <w:rFonts w:eastAsia="MS Mincho"/>
              </w:rPr>
              <w:t>Outcome</w:t>
            </w:r>
          </w:p>
        </w:tc>
        <w:tc>
          <w:tcPr>
            <w:tcW w:w="922" w:type="pct"/>
            <w:shd w:val="clear" w:color="auto" w:fill="BFBFBF" w:themeFill="background1" w:themeFillShade="BF"/>
            <w:vAlign w:val="center"/>
          </w:tcPr>
          <w:p w14:paraId="67B34DB1" w14:textId="77777777" w:rsidR="00B07C6E" w:rsidRDefault="00B07C6E" w:rsidP="00125A1C">
            <w:pPr>
              <w:pStyle w:val="Tableheading"/>
              <w:jc w:val="center"/>
              <w:rPr>
                <w:rFonts w:eastAsia="MS Mincho"/>
              </w:rPr>
            </w:pPr>
            <w:r>
              <w:rPr>
                <w:rFonts w:eastAsia="MS Mincho"/>
              </w:rPr>
              <w:t>Study type</w:t>
            </w:r>
          </w:p>
        </w:tc>
        <w:tc>
          <w:tcPr>
            <w:tcW w:w="771" w:type="pct"/>
            <w:shd w:val="clear" w:color="auto" w:fill="BFBFBF" w:themeFill="background1" w:themeFillShade="BF"/>
            <w:tcMar>
              <w:left w:w="28" w:type="dxa"/>
              <w:right w:w="28" w:type="dxa"/>
            </w:tcMar>
            <w:vAlign w:val="center"/>
          </w:tcPr>
          <w:p w14:paraId="64B86547" w14:textId="094381C6" w:rsidR="00B07C6E" w:rsidRPr="00061F78" w:rsidRDefault="00B07C6E" w:rsidP="00125A1C">
            <w:pPr>
              <w:pStyle w:val="Tableheading"/>
              <w:jc w:val="center"/>
              <w:rPr>
                <w:rFonts w:eastAsia="MS Mincho"/>
              </w:rPr>
            </w:pPr>
            <w:r>
              <w:rPr>
                <w:rFonts w:eastAsia="MS Mincho"/>
              </w:rPr>
              <w:t>Longer duration</w:t>
            </w:r>
          </w:p>
        </w:tc>
        <w:tc>
          <w:tcPr>
            <w:tcW w:w="905" w:type="pct"/>
            <w:shd w:val="clear" w:color="auto" w:fill="BFBFBF" w:themeFill="background1" w:themeFillShade="BF"/>
            <w:tcMar>
              <w:left w:w="28" w:type="dxa"/>
              <w:right w:w="28" w:type="dxa"/>
            </w:tcMar>
            <w:vAlign w:val="center"/>
          </w:tcPr>
          <w:p w14:paraId="111236CD" w14:textId="7DD63835" w:rsidR="00B07C6E" w:rsidRPr="00061F78" w:rsidRDefault="00B07C6E" w:rsidP="00125A1C">
            <w:pPr>
              <w:pStyle w:val="Tableheading"/>
              <w:jc w:val="center"/>
              <w:rPr>
                <w:rFonts w:eastAsia="MS Mincho"/>
              </w:rPr>
            </w:pPr>
            <w:r>
              <w:rPr>
                <w:rFonts w:eastAsia="MS Mincho"/>
              </w:rPr>
              <w:t>Shorter duration</w:t>
            </w:r>
          </w:p>
        </w:tc>
        <w:tc>
          <w:tcPr>
            <w:tcW w:w="865" w:type="pct"/>
            <w:shd w:val="clear" w:color="auto" w:fill="BFBFBF" w:themeFill="background1" w:themeFillShade="BF"/>
            <w:tcMar>
              <w:left w:w="28" w:type="dxa"/>
              <w:right w:w="28" w:type="dxa"/>
            </w:tcMar>
            <w:vAlign w:val="center"/>
          </w:tcPr>
          <w:p w14:paraId="02CD206E" w14:textId="77777777" w:rsidR="00B07C6E" w:rsidRPr="00681ACA" w:rsidRDefault="00B07C6E" w:rsidP="00125A1C">
            <w:pPr>
              <w:pStyle w:val="Tableheading"/>
              <w:jc w:val="center"/>
              <w:rPr>
                <w:rFonts w:eastAsia="MS Mincho"/>
                <w:vertAlign w:val="superscript"/>
              </w:rPr>
            </w:pPr>
            <w:r>
              <w:rPr>
                <w:rFonts w:eastAsia="MS Mincho"/>
              </w:rPr>
              <w:t>RR (95% CI)</w:t>
            </w:r>
          </w:p>
        </w:tc>
        <w:tc>
          <w:tcPr>
            <w:tcW w:w="769" w:type="pct"/>
            <w:shd w:val="clear" w:color="auto" w:fill="BFBFBF" w:themeFill="background1" w:themeFillShade="BF"/>
            <w:vAlign w:val="center"/>
          </w:tcPr>
          <w:p w14:paraId="1261DA28" w14:textId="77777777" w:rsidR="00B07C6E" w:rsidRDefault="00B07C6E" w:rsidP="00125A1C">
            <w:pPr>
              <w:pStyle w:val="Tableheading"/>
              <w:jc w:val="center"/>
              <w:rPr>
                <w:rFonts w:eastAsia="MS Mincho"/>
              </w:rPr>
            </w:pPr>
            <w:r>
              <w:rPr>
                <w:rFonts w:eastAsia="MS Mincho"/>
              </w:rPr>
              <w:t>RD (95% CI)</w:t>
            </w:r>
          </w:p>
        </w:tc>
      </w:tr>
      <w:tr w:rsidR="00B07C6E" w:rsidRPr="00061F78" w14:paraId="30890E15" w14:textId="77777777" w:rsidTr="00E5127C">
        <w:trPr>
          <w:cantSplit/>
          <w:trHeight w:val="149"/>
        </w:trPr>
        <w:tc>
          <w:tcPr>
            <w:tcW w:w="5000" w:type="pct"/>
            <w:gridSpan w:val="6"/>
            <w:shd w:val="clear" w:color="auto" w:fill="auto"/>
            <w:tcMar>
              <w:left w:w="28" w:type="dxa"/>
              <w:right w:w="28" w:type="dxa"/>
            </w:tcMar>
          </w:tcPr>
          <w:p w14:paraId="08AB592F" w14:textId="54AB0893" w:rsidR="00B07C6E" w:rsidRPr="00D67597" w:rsidRDefault="00B07C6E" w:rsidP="00125A1C">
            <w:pPr>
              <w:pStyle w:val="Tablewriting"/>
              <w:rPr>
                <w:rFonts w:eastAsia="MS Mincho"/>
                <w:b/>
                <w:vertAlign w:val="superscript"/>
              </w:rPr>
            </w:pPr>
            <w:r w:rsidRPr="00E103D7">
              <w:rPr>
                <w:rFonts w:eastAsia="MS Mincho"/>
                <w:b/>
                <w:bCs/>
              </w:rPr>
              <w:t>Overall SAEs</w:t>
            </w:r>
            <w:r w:rsidR="00573745">
              <w:rPr>
                <w:rFonts w:eastAsia="MS Mincho"/>
                <w:b/>
                <w:bCs/>
                <w:vertAlign w:val="superscript"/>
              </w:rPr>
              <w:t>1</w:t>
            </w:r>
          </w:p>
        </w:tc>
      </w:tr>
      <w:tr w:rsidR="00A654E8" w:rsidRPr="00061F78" w14:paraId="31CCE04B" w14:textId="77777777" w:rsidTr="00C623F4">
        <w:trPr>
          <w:cantSplit/>
          <w:trHeight w:val="149"/>
        </w:trPr>
        <w:tc>
          <w:tcPr>
            <w:tcW w:w="767" w:type="pct"/>
            <w:tcMar>
              <w:left w:w="28" w:type="dxa"/>
              <w:right w:w="28" w:type="dxa"/>
            </w:tcMar>
          </w:tcPr>
          <w:p w14:paraId="14EE0357" w14:textId="77777777" w:rsidR="00B07C6E" w:rsidRPr="00D67597" w:rsidRDefault="00B07C6E" w:rsidP="00125A1C">
            <w:pPr>
              <w:pStyle w:val="Tablewriting"/>
              <w:rPr>
                <w:rFonts w:eastAsia="MS Mincho"/>
                <w:vertAlign w:val="superscript"/>
              </w:rPr>
            </w:pPr>
            <w:r w:rsidRPr="00171A84">
              <w:rPr>
                <w:rFonts w:eastAsia="MS Mincho"/>
              </w:rPr>
              <w:t>26 weeks versus 8 weeks</w:t>
            </w:r>
          </w:p>
        </w:tc>
        <w:tc>
          <w:tcPr>
            <w:tcW w:w="922" w:type="pct"/>
            <w:vAlign w:val="center"/>
          </w:tcPr>
          <w:p w14:paraId="0A02CD91" w14:textId="77777777" w:rsidR="00B07C6E" w:rsidRDefault="00B07C6E" w:rsidP="00125A1C">
            <w:pPr>
              <w:pStyle w:val="Tablewriting"/>
              <w:jc w:val="center"/>
              <w:rPr>
                <w:rFonts w:eastAsia="MS Mincho"/>
              </w:rPr>
            </w:pPr>
            <w:r>
              <w:rPr>
                <w:rFonts w:eastAsia="MS Mincho"/>
              </w:rPr>
              <w:t>Cochrane Review</w:t>
            </w:r>
          </w:p>
          <w:p w14:paraId="2894E68E" w14:textId="77777777" w:rsidR="00B07C6E" w:rsidRPr="00E72520" w:rsidRDefault="00B07C6E" w:rsidP="00125A1C">
            <w:pPr>
              <w:pStyle w:val="Tablewriting"/>
              <w:jc w:val="center"/>
              <w:rPr>
                <w:rFonts w:eastAsia="MS Mincho"/>
              </w:rPr>
            </w:pPr>
            <w:r>
              <w:rPr>
                <w:rFonts w:eastAsia="MS Mincho"/>
              </w:rPr>
              <w:t>(1 RCT)</w:t>
            </w:r>
          </w:p>
        </w:tc>
        <w:tc>
          <w:tcPr>
            <w:tcW w:w="771" w:type="pct"/>
            <w:tcMar>
              <w:left w:w="28" w:type="dxa"/>
              <w:right w:w="28" w:type="dxa"/>
            </w:tcMar>
            <w:vAlign w:val="center"/>
          </w:tcPr>
          <w:p w14:paraId="735D95DF" w14:textId="77777777" w:rsidR="00B07C6E" w:rsidRDefault="00B07C6E" w:rsidP="00125A1C">
            <w:pPr>
              <w:pStyle w:val="Tablewriting"/>
              <w:jc w:val="center"/>
              <w:rPr>
                <w:rFonts w:eastAsia="MS Mincho"/>
              </w:rPr>
            </w:pPr>
            <w:r>
              <w:rPr>
                <w:rFonts w:eastAsia="MS Mincho"/>
              </w:rPr>
              <w:t>10/275</w:t>
            </w:r>
          </w:p>
          <w:p w14:paraId="684B865E" w14:textId="77777777" w:rsidR="00B07C6E" w:rsidRPr="001B3B7C" w:rsidRDefault="00B07C6E" w:rsidP="00125A1C">
            <w:pPr>
              <w:pStyle w:val="Tablewriting"/>
              <w:jc w:val="center"/>
              <w:rPr>
                <w:rFonts w:eastAsia="MS Mincho"/>
              </w:rPr>
            </w:pPr>
            <w:r>
              <w:rPr>
                <w:rFonts w:eastAsia="MS Mincho"/>
              </w:rPr>
              <w:t>(3.6%)</w:t>
            </w:r>
          </w:p>
        </w:tc>
        <w:tc>
          <w:tcPr>
            <w:tcW w:w="905" w:type="pct"/>
            <w:tcMar>
              <w:left w:w="28" w:type="dxa"/>
              <w:right w:w="28" w:type="dxa"/>
            </w:tcMar>
            <w:vAlign w:val="center"/>
          </w:tcPr>
          <w:p w14:paraId="346EB5D1" w14:textId="77777777" w:rsidR="00B07C6E" w:rsidRDefault="00B07C6E" w:rsidP="00125A1C">
            <w:pPr>
              <w:pStyle w:val="Tablewriting"/>
              <w:jc w:val="center"/>
              <w:rPr>
                <w:rFonts w:eastAsia="MS Mincho"/>
              </w:rPr>
            </w:pPr>
            <w:r>
              <w:rPr>
                <w:rFonts w:eastAsia="MS Mincho"/>
              </w:rPr>
              <w:t>6/269</w:t>
            </w:r>
          </w:p>
          <w:p w14:paraId="1641DB76" w14:textId="77777777" w:rsidR="00B07C6E" w:rsidRPr="001B3B7C" w:rsidRDefault="00B07C6E" w:rsidP="00125A1C">
            <w:pPr>
              <w:pStyle w:val="Tablewriting"/>
              <w:jc w:val="center"/>
              <w:rPr>
                <w:rFonts w:eastAsia="MS Mincho"/>
              </w:rPr>
            </w:pPr>
            <w:r>
              <w:rPr>
                <w:rFonts w:eastAsia="MS Mincho"/>
              </w:rPr>
              <w:t>(2.2%)</w:t>
            </w:r>
          </w:p>
        </w:tc>
        <w:tc>
          <w:tcPr>
            <w:tcW w:w="865" w:type="pct"/>
            <w:tcMar>
              <w:left w:w="28" w:type="dxa"/>
              <w:right w:w="28" w:type="dxa"/>
            </w:tcMar>
            <w:vAlign w:val="center"/>
          </w:tcPr>
          <w:p w14:paraId="778CEABF" w14:textId="77777777" w:rsidR="00B07C6E" w:rsidRDefault="00B07C6E" w:rsidP="00125A1C">
            <w:pPr>
              <w:pStyle w:val="Tablewriting"/>
              <w:jc w:val="center"/>
              <w:rPr>
                <w:rFonts w:eastAsia="MS Mincho"/>
              </w:rPr>
            </w:pPr>
            <w:r>
              <w:rPr>
                <w:rFonts w:eastAsia="MS Mincho"/>
              </w:rPr>
              <w:t>1.63</w:t>
            </w:r>
          </w:p>
          <w:p w14:paraId="74169A05" w14:textId="35980815" w:rsidR="00B07C6E" w:rsidRPr="001B3B7C" w:rsidRDefault="00B07C6E" w:rsidP="00125A1C">
            <w:pPr>
              <w:pStyle w:val="Tablewriting"/>
              <w:jc w:val="center"/>
              <w:rPr>
                <w:rFonts w:eastAsia="MS Mincho"/>
              </w:rPr>
            </w:pPr>
            <w:r>
              <w:rPr>
                <w:rFonts w:eastAsia="MS Mincho"/>
              </w:rPr>
              <w:t>(0.6, 4.42)</w:t>
            </w:r>
          </w:p>
        </w:tc>
        <w:tc>
          <w:tcPr>
            <w:tcW w:w="769" w:type="pct"/>
            <w:vAlign w:val="center"/>
          </w:tcPr>
          <w:p w14:paraId="221F9CBE" w14:textId="77777777" w:rsidR="00B07C6E" w:rsidRPr="001B3B7C" w:rsidRDefault="00B07C6E" w:rsidP="00125A1C">
            <w:pPr>
              <w:pStyle w:val="Tablewriting"/>
              <w:jc w:val="center"/>
              <w:rPr>
                <w:rFonts w:eastAsia="MS Mincho"/>
                <w:highlight w:val="yellow"/>
              </w:rPr>
            </w:pPr>
            <w:r w:rsidRPr="0061240F">
              <w:rPr>
                <w:rFonts w:eastAsia="MS Mincho"/>
              </w:rPr>
              <w:t>NR</w:t>
            </w:r>
          </w:p>
        </w:tc>
      </w:tr>
      <w:tr w:rsidR="00A654E8" w:rsidRPr="00061F78" w14:paraId="25987A12" w14:textId="77777777" w:rsidTr="00C623F4">
        <w:trPr>
          <w:cantSplit/>
          <w:trHeight w:val="149"/>
        </w:trPr>
        <w:tc>
          <w:tcPr>
            <w:tcW w:w="767" w:type="pct"/>
            <w:tcMar>
              <w:left w:w="28" w:type="dxa"/>
              <w:right w:w="28" w:type="dxa"/>
            </w:tcMar>
          </w:tcPr>
          <w:p w14:paraId="1BC56AB9" w14:textId="77777777" w:rsidR="00B07C6E" w:rsidRPr="001B3B7C" w:rsidRDefault="00B07C6E" w:rsidP="00125A1C">
            <w:pPr>
              <w:pStyle w:val="Tablewriting"/>
              <w:rPr>
                <w:rFonts w:eastAsia="MS Mincho"/>
              </w:rPr>
            </w:pPr>
            <w:r w:rsidRPr="00171A84">
              <w:rPr>
                <w:rFonts w:eastAsia="MS Mincho"/>
              </w:rPr>
              <w:t>16 weeks versus 8 weeks</w:t>
            </w:r>
          </w:p>
        </w:tc>
        <w:tc>
          <w:tcPr>
            <w:tcW w:w="922" w:type="pct"/>
            <w:vAlign w:val="center"/>
          </w:tcPr>
          <w:p w14:paraId="7F9C0E00" w14:textId="77777777" w:rsidR="00B07C6E" w:rsidRDefault="00B07C6E" w:rsidP="00125A1C">
            <w:pPr>
              <w:pStyle w:val="Tablewriting"/>
              <w:jc w:val="center"/>
              <w:rPr>
                <w:rFonts w:eastAsia="MS Mincho"/>
              </w:rPr>
            </w:pPr>
            <w:r>
              <w:rPr>
                <w:rFonts w:eastAsia="MS Mincho"/>
              </w:rPr>
              <w:t>Cochrane Review</w:t>
            </w:r>
          </w:p>
          <w:p w14:paraId="20D20B31" w14:textId="77777777" w:rsidR="00B07C6E" w:rsidRPr="001B3B7C" w:rsidRDefault="00B07C6E" w:rsidP="00125A1C">
            <w:pPr>
              <w:pStyle w:val="Tablewriting"/>
              <w:jc w:val="center"/>
              <w:rPr>
                <w:rFonts w:eastAsia="MS Mincho"/>
              </w:rPr>
            </w:pPr>
            <w:r>
              <w:rPr>
                <w:rFonts w:eastAsia="MS Mincho"/>
              </w:rPr>
              <w:t>(1 RCT)</w:t>
            </w:r>
          </w:p>
        </w:tc>
        <w:tc>
          <w:tcPr>
            <w:tcW w:w="771" w:type="pct"/>
            <w:vAlign w:val="center"/>
          </w:tcPr>
          <w:p w14:paraId="35040D93" w14:textId="77777777" w:rsidR="00B07C6E" w:rsidRDefault="00B07C6E" w:rsidP="00125A1C">
            <w:pPr>
              <w:pStyle w:val="Tablewriting"/>
              <w:jc w:val="center"/>
              <w:rPr>
                <w:rFonts w:eastAsia="MS Mincho"/>
              </w:rPr>
            </w:pPr>
            <w:r>
              <w:rPr>
                <w:rFonts w:eastAsia="MS Mincho"/>
              </w:rPr>
              <w:t>0/304</w:t>
            </w:r>
          </w:p>
          <w:p w14:paraId="778991C5" w14:textId="77777777" w:rsidR="00B07C6E" w:rsidRPr="001B3B7C" w:rsidRDefault="00B07C6E" w:rsidP="00125A1C">
            <w:pPr>
              <w:pStyle w:val="Tablewriting"/>
              <w:jc w:val="center"/>
              <w:rPr>
                <w:rFonts w:eastAsia="MS Mincho"/>
              </w:rPr>
            </w:pPr>
            <w:r>
              <w:rPr>
                <w:rFonts w:eastAsia="MS Mincho"/>
              </w:rPr>
              <w:t>(0%)</w:t>
            </w:r>
          </w:p>
        </w:tc>
        <w:tc>
          <w:tcPr>
            <w:tcW w:w="905" w:type="pct"/>
            <w:vAlign w:val="center"/>
          </w:tcPr>
          <w:p w14:paraId="73AA3CCE" w14:textId="77777777" w:rsidR="00B07C6E" w:rsidRDefault="00B07C6E" w:rsidP="00125A1C">
            <w:pPr>
              <w:pStyle w:val="Tablewriting"/>
              <w:jc w:val="center"/>
              <w:rPr>
                <w:rFonts w:eastAsia="MS Mincho"/>
              </w:rPr>
            </w:pPr>
            <w:r>
              <w:rPr>
                <w:rFonts w:eastAsia="MS Mincho"/>
              </w:rPr>
              <w:t>0/333</w:t>
            </w:r>
          </w:p>
          <w:p w14:paraId="64EBAFFB" w14:textId="77777777" w:rsidR="00B07C6E" w:rsidRPr="001B3B7C" w:rsidRDefault="00B07C6E" w:rsidP="00125A1C">
            <w:pPr>
              <w:pStyle w:val="Tablewriting"/>
              <w:jc w:val="center"/>
              <w:rPr>
                <w:rFonts w:eastAsia="MS Mincho"/>
              </w:rPr>
            </w:pPr>
            <w:r>
              <w:rPr>
                <w:rFonts w:eastAsia="MS Mincho"/>
              </w:rPr>
              <w:t>(0%)</w:t>
            </w:r>
          </w:p>
        </w:tc>
        <w:tc>
          <w:tcPr>
            <w:tcW w:w="865" w:type="pct"/>
            <w:tcMar>
              <w:left w:w="28" w:type="dxa"/>
              <w:right w:w="28" w:type="dxa"/>
            </w:tcMar>
            <w:vAlign w:val="center"/>
          </w:tcPr>
          <w:p w14:paraId="40CB27D8" w14:textId="77777777" w:rsidR="00B07C6E" w:rsidRPr="001B3B7C" w:rsidRDefault="00B07C6E" w:rsidP="00125A1C">
            <w:pPr>
              <w:pStyle w:val="Tablewriting"/>
              <w:jc w:val="center"/>
              <w:rPr>
                <w:rFonts w:eastAsia="MS Mincho"/>
              </w:rPr>
            </w:pPr>
            <w:r>
              <w:rPr>
                <w:rFonts w:eastAsia="MS Mincho"/>
              </w:rPr>
              <w:t>NE</w:t>
            </w:r>
          </w:p>
        </w:tc>
        <w:tc>
          <w:tcPr>
            <w:tcW w:w="769" w:type="pct"/>
            <w:vAlign w:val="center"/>
          </w:tcPr>
          <w:p w14:paraId="4CC46661" w14:textId="75426B30" w:rsidR="00B07C6E" w:rsidRPr="00171A84" w:rsidRDefault="00B07C6E" w:rsidP="00125A1C">
            <w:pPr>
              <w:pStyle w:val="Tablewriting"/>
              <w:jc w:val="center"/>
              <w:rPr>
                <w:rFonts w:eastAsia="MS Mincho"/>
              </w:rPr>
            </w:pPr>
            <w:r>
              <w:rPr>
                <w:rFonts w:eastAsia="MS Mincho"/>
              </w:rPr>
              <w:t>N</w:t>
            </w:r>
            <w:r w:rsidR="009C6F54">
              <w:rPr>
                <w:rFonts w:eastAsia="MS Mincho"/>
              </w:rPr>
              <w:t>R</w:t>
            </w:r>
          </w:p>
        </w:tc>
      </w:tr>
      <w:tr w:rsidR="00A654E8" w:rsidRPr="00061F78" w14:paraId="4EBDB0FB" w14:textId="77777777" w:rsidTr="00C623F4">
        <w:trPr>
          <w:cantSplit/>
          <w:trHeight w:val="149"/>
        </w:trPr>
        <w:tc>
          <w:tcPr>
            <w:tcW w:w="767" w:type="pct"/>
            <w:tcMar>
              <w:left w:w="28" w:type="dxa"/>
              <w:right w:w="28" w:type="dxa"/>
            </w:tcMar>
          </w:tcPr>
          <w:p w14:paraId="658FCE6B" w14:textId="77777777" w:rsidR="00B07C6E" w:rsidRPr="001B3B7C" w:rsidRDefault="00B07C6E" w:rsidP="00125A1C">
            <w:pPr>
              <w:pStyle w:val="Tablewriting"/>
              <w:rPr>
                <w:rFonts w:eastAsia="MS Mincho"/>
              </w:rPr>
            </w:pPr>
            <w:r w:rsidRPr="00171A84">
              <w:rPr>
                <w:rFonts w:eastAsia="MS Mincho"/>
              </w:rPr>
              <w:t>6 weeks versus 2 weeks</w:t>
            </w:r>
          </w:p>
        </w:tc>
        <w:tc>
          <w:tcPr>
            <w:tcW w:w="922" w:type="pct"/>
            <w:vAlign w:val="center"/>
          </w:tcPr>
          <w:p w14:paraId="58EEBC75" w14:textId="77777777" w:rsidR="00B07C6E" w:rsidRDefault="00B07C6E" w:rsidP="00125A1C">
            <w:pPr>
              <w:pStyle w:val="Tablewriting"/>
              <w:jc w:val="center"/>
              <w:rPr>
                <w:rFonts w:eastAsia="MS Mincho"/>
              </w:rPr>
            </w:pPr>
            <w:r>
              <w:rPr>
                <w:rFonts w:eastAsia="MS Mincho"/>
              </w:rPr>
              <w:t>Cochrane Review</w:t>
            </w:r>
          </w:p>
          <w:p w14:paraId="59C0A952" w14:textId="77777777" w:rsidR="00B07C6E" w:rsidRPr="001B3B7C" w:rsidRDefault="00B07C6E" w:rsidP="00125A1C">
            <w:pPr>
              <w:pStyle w:val="Tablewriting"/>
              <w:jc w:val="center"/>
              <w:rPr>
                <w:rFonts w:eastAsia="MS Mincho"/>
              </w:rPr>
            </w:pPr>
            <w:r>
              <w:rPr>
                <w:rFonts w:eastAsia="MS Mincho"/>
              </w:rPr>
              <w:t>(1 RCT)</w:t>
            </w:r>
          </w:p>
        </w:tc>
        <w:tc>
          <w:tcPr>
            <w:tcW w:w="771" w:type="pct"/>
            <w:vAlign w:val="center"/>
          </w:tcPr>
          <w:p w14:paraId="4F2CA04E" w14:textId="77777777" w:rsidR="00B07C6E" w:rsidRDefault="00B07C6E" w:rsidP="00125A1C">
            <w:pPr>
              <w:pStyle w:val="Tablewriting"/>
              <w:jc w:val="center"/>
              <w:rPr>
                <w:rFonts w:eastAsia="MS Mincho"/>
              </w:rPr>
            </w:pPr>
            <w:r>
              <w:rPr>
                <w:rFonts w:eastAsia="MS Mincho"/>
              </w:rPr>
              <w:t>0/497</w:t>
            </w:r>
          </w:p>
          <w:p w14:paraId="7E0EB14A" w14:textId="77777777" w:rsidR="00B07C6E" w:rsidRPr="001B3B7C" w:rsidRDefault="00B07C6E" w:rsidP="00125A1C">
            <w:pPr>
              <w:pStyle w:val="Tablewriting"/>
              <w:jc w:val="center"/>
              <w:rPr>
                <w:rFonts w:eastAsia="MS Mincho"/>
              </w:rPr>
            </w:pPr>
            <w:r>
              <w:rPr>
                <w:rFonts w:eastAsia="MS Mincho"/>
              </w:rPr>
              <w:t>(0%)</w:t>
            </w:r>
          </w:p>
        </w:tc>
        <w:tc>
          <w:tcPr>
            <w:tcW w:w="905" w:type="pct"/>
            <w:vAlign w:val="center"/>
          </w:tcPr>
          <w:p w14:paraId="14B465BD" w14:textId="77777777" w:rsidR="00B07C6E" w:rsidRDefault="00B07C6E" w:rsidP="00125A1C">
            <w:pPr>
              <w:pStyle w:val="Tablewriting"/>
              <w:jc w:val="center"/>
              <w:rPr>
                <w:rFonts w:eastAsia="MS Mincho"/>
              </w:rPr>
            </w:pPr>
            <w:r>
              <w:rPr>
                <w:rFonts w:eastAsia="MS Mincho"/>
              </w:rPr>
              <w:t>0/490</w:t>
            </w:r>
          </w:p>
          <w:p w14:paraId="67AFAEE4" w14:textId="77777777" w:rsidR="00B07C6E" w:rsidRPr="001B3B7C" w:rsidRDefault="00B07C6E" w:rsidP="00125A1C">
            <w:pPr>
              <w:pStyle w:val="Tablewriting"/>
              <w:jc w:val="center"/>
              <w:rPr>
                <w:rFonts w:eastAsia="MS Mincho"/>
              </w:rPr>
            </w:pPr>
            <w:r>
              <w:rPr>
                <w:rFonts w:eastAsia="MS Mincho"/>
              </w:rPr>
              <w:t>(0%)</w:t>
            </w:r>
          </w:p>
        </w:tc>
        <w:tc>
          <w:tcPr>
            <w:tcW w:w="865" w:type="pct"/>
            <w:tcMar>
              <w:left w:w="28" w:type="dxa"/>
              <w:right w:w="28" w:type="dxa"/>
            </w:tcMar>
            <w:vAlign w:val="center"/>
          </w:tcPr>
          <w:p w14:paraId="59D5599C" w14:textId="77777777" w:rsidR="00B07C6E" w:rsidRPr="001B3B7C" w:rsidRDefault="00B07C6E" w:rsidP="00125A1C">
            <w:pPr>
              <w:pStyle w:val="Tablewriting"/>
              <w:jc w:val="center"/>
              <w:rPr>
                <w:rFonts w:eastAsia="MS Mincho"/>
              </w:rPr>
            </w:pPr>
            <w:r>
              <w:rPr>
                <w:rFonts w:eastAsia="MS Mincho"/>
              </w:rPr>
              <w:t>NE</w:t>
            </w:r>
          </w:p>
        </w:tc>
        <w:tc>
          <w:tcPr>
            <w:tcW w:w="769" w:type="pct"/>
            <w:vAlign w:val="center"/>
          </w:tcPr>
          <w:p w14:paraId="68DBAE61" w14:textId="5ECF61F1" w:rsidR="00B07C6E" w:rsidRPr="00171A84" w:rsidRDefault="00B07C6E" w:rsidP="00125A1C">
            <w:pPr>
              <w:pStyle w:val="Tablewriting"/>
              <w:jc w:val="center"/>
              <w:rPr>
                <w:rFonts w:eastAsia="MS Mincho"/>
              </w:rPr>
            </w:pPr>
            <w:r>
              <w:rPr>
                <w:rFonts w:eastAsia="MS Mincho"/>
              </w:rPr>
              <w:t>N</w:t>
            </w:r>
            <w:r w:rsidR="009C6F54">
              <w:rPr>
                <w:rFonts w:eastAsia="MS Mincho"/>
              </w:rPr>
              <w:t>R</w:t>
            </w:r>
          </w:p>
        </w:tc>
      </w:tr>
      <w:tr w:rsidR="00B07C6E" w:rsidRPr="00061F78" w14:paraId="265F74B3" w14:textId="77777777" w:rsidTr="00E5127C">
        <w:trPr>
          <w:cantSplit/>
          <w:trHeight w:val="149"/>
        </w:trPr>
        <w:tc>
          <w:tcPr>
            <w:tcW w:w="5000" w:type="pct"/>
            <w:gridSpan w:val="6"/>
            <w:shd w:val="clear" w:color="auto" w:fill="auto"/>
            <w:tcMar>
              <w:left w:w="28" w:type="dxa"/>
              <w:right w:w="28" w:type="dxa"/>
            </w:tcMar>
          </w:tcPr>
          <w:p w14:paraId="5E3B5CAE" w14:textId="4074E1D1" w:rsidR="00B07C6E" w:rsidRPr="00D67597" w:rsidRDefault="00B07C6E" w:rsidP="00125A1C">
            <w:pPr>
              <w:pStyle w:val="Tablewriting"/>
              <w:rPr>
                <w:rFonts w:eastAsia="MS Mincho"/>
                <w:b/>
                <w:vertAlign w:val="superscript"/>
              </w:rPr>
            </w:pPr>
            <w:r w:rsidRPr="00E103D7">
              <w:rPr>
                <w:rFonts w:eastAsia="MS Mincho"/>
                <w:b/>
                <w:bCs/>
              </w:rPr>
              <w:t>Adverse events</w:t>
            </w:r>
            <w:r w:rsidR="00573745">
              <w:rPr>
                <w:rFonts w:eastAsia="MS Mincho"/>
                <w:b/>
                <w:bCs/>
                <w:vertAlign w:val="superscript"/>
              </w:rPr>
              <w:t>2</w:t>
            </w:r>
          </w:p>
        </w:tc>
      </w:tr>
      <w:tr w:rsidR="00A654E8" w:rsidRPr="00061F78" w14:paraId="68AC43E6" w14:textId="77777777" w:rsidTr="00C623F4">
        <w:trPr>
          <w:cantSplit/>
          <w:trHeight w:val="149"/>
        </w:trPr>
        <w:tc>
          <w:tcPr>
            <w:tcW w:w="767" w:type="pct"/>
            <w:tcMar>
              <w:left w:w="28" w:type="dxa"/>
              <w:right w:w="28" w:type="dxa"/>
            </w:tcMar>
          </w:tcPr>
          <w:p w14:paraId="370CC9AD" w14:textId="77777777" w:rsidR="00B07C6E" w:rsidRPr="00286D49" w:rsidRDefault="00B07C6E" w:rsidP="00125A1C">
            <w:pPr>
              <w:pStyle w:val="Tablewriting"/>
              <w:rPr>
                <w:rFonts w:eastAsia="MS Mincho"/>
              </w:rPr>
            </w:pPr>
            <w:r w:rsidRPr="00286D49">
              <w:rPr>
                <w:rFonts w:eastAsia="MS Mincho"/>
              </w:rPr>
              <w:t xml:space="preserve">Cardiac events </w:t>
            </w:r>
          </w:p>
        </w:tc>
        <w:tc>
          <w:tcPr>
            <w:tcW w:w="922" w:type="pct"/>
            <w:vAlign w:val="center"/>
          </w:tcPr>
          <w:p w14:paraId="00A1B2BD" w14:textId="77777777" w:rsidR="00B07C6E" w:rsidRPr="00286D49" w:rsidRDefault="00B07C6E" w:rsidP="00125A1C">
            <w:pPr>
              <w:pStyle w:val="Tablewriting"/>
              <w:jc w:val="center"/>
              <w:rPr>
                <w:rFonts w:eastAsia="MS Mincho"/>
              </w:rPr>
            </w:pPr>
            <w:r w:rsidRPr="00286D49">
              <w:rPr>
                <w:rFonts w:eastAsia="MS Mincho"/>
              </w:rPr>
              <w:t>Ellerbeck 2018 (RCT)</w:t>
            </w:r>
          </w:p>
        </w:tc>
        <w:tc>
          <w:tcPr>
            <w:tcW w:w="771" w:type="pct"/>
            <w:tcMar>
              <w:left w:w="28" w:type="dxa"/>
              <w:right w:w="28" w:type="dxa"/>
            </w:tcMar>
            <w:vAlign w:val="center"/>
          </w:tcPr>
          <w:p w14:paraId="5652BBAC" w14:textId="77777777" w:rsidR="00B07C6E" w:rsidRPr="00286D49" w:rsidRDefault="00B07C6E" w:rsidP="00125A1C">
            <w:pPr>
              <w:pStyle w:val="Tablewriting"/>
              <w:jc w:val="center"/>
              <w:rPr>
                <w:rFonts w:eastAsia="MS Mincho"/>
              </w:rPr>
            </w:pPr>
            <w:r w:rsidRPr="00286D49">
              <w:rPr>
                <w:rFonts w:eastAsia="MS Mincho"/>
              </w:rPr>
              <w:t>8/</w:t>
            </w:r>
            <w:r>
              <w:rPr>
                <w:rFonts w:eastAsia="MS Mincho"/>
              </w:rPr>
              <w:t>200</w:t>
            </w:r>
          </w:p>
          <w:p w14:paraId="3EF6AC79" w14:textId="77777777" w:rsidR="00B07C6E" w:rsidRPr="00286D49" w:rsidRDefault="00B07C6E" w:rsidP="00125A1C">
            <w:pPr>
              <w:pStyle w:val="Tablewriting"/>
              <w:jc w:val="center"/>
              <w:rPr>
                <w:rFonts w:eastAsia="MS Mincho"/>
              </w:rPr>
            </w:pPr>
            <w:r w:rsidRPr="00286D49">
              <w:rPr>
                <w:rFonts w:eastAsia="MS Mincho"/>
              </w:rPr>
              <w:t>(</w:t>
            </w:r>
            <w:r>
              <w:rPr>
                <w:rFonts w:eastAsia="MS Mincho"/>
              </w:rPr>
              <w:t>4</w:t>
            </w:r>
            <w:r w:rsidRPr="00286D49">
              <w:rPr>
                <w:rFonts w:eastAsia="MS Mincho"/>
              </w:rPr>
              <w:t>%)</w:t>
            </w:r>
          </w:p>
        </w:tc>
        <w:tc>
          <w:tcPr>
            <w:tcW w:w="905" w:type="pct"/>
            <w:tcMar>
              <w:left w:w="28" w:type="dxa"/>
              <w:right w:w="28" w:type="dxa"/>
            </w:tcMar>
            <w:vAlign w:val="center"/>
          </w:tcPr>
          <w:p w14:paraId="18436DFC" w14:textId="0D2A74EC" w:rsidR="00B07C6E" w:rsidRPr="00286D49" w:rsidRDefault="00B07C6E" w:rsidP="00125A1C">
            <w:pPr>
              <w:pStyle w:val="Tablewriting"/>
              <w:jc w:val="center"/>
              <w:rPr>
                <w:rFonts w:eastAsia="MS Mincho"/>
              </w:rPr>
            </w:pPr>
            <w:r w:rsidRPr="00286D49">
              <w:rPr>
                <w:rFonts w:eastAsia="MS Mincho"/>
              </w:rPr>
              <w:t>9/1</w:t>
            </w:r>
            <w:r w:rsidR="007E3645">
              <w:rPr>
                <w:rFonts w:eastAsia="MS Mincho"/>
              </w:rPr>
              <w:t>8</w:t>
            </w:r>
            <w:r>
              <w:rPr>
                <w:rFonts w:eastAsia="MS Mincho"/>
              </w:rPr>
              <w:t>9</w:t>
            </w:r>
          </w:p>
          <w:p w14:paraId="6DDF0FB8" w14:textId="5788D01C" w:rsidR="00B07C6E" w:rsidRPr="00286D49" w:rsidRDefault="00B07C6E" w:rsidP="00125A1C">
            <w:pPr>
              <w:pStyle w:val="Tablewriting"/>
              <w:jc w:val="center"/>
              <w:rPr>
                <w:rFonts w:eastAsia="MS Mincho"/>
              </w:rPr>
            </w:pPr>
            <w:r w:rsidRPr="00286D49">
              <w:rPr>
                <w:rFonts w:eastAsia="MS Mincho"/>
              </w:rPr>
              <w:t>(</w:t>
            </w:r>
            <w:r>
              <w:rPr>
                <w:rFonts w:eastAsia="MS Mincho"/>
              </w:rPr>
              <w:t>4.</w:t>
            </w:r>
            <w:r w:rsidR="007E3645">
              <w:rPr>
                <w:rFonts w:eastAsia="MS Mincho"/>
              </w:rPr>
              <w:t>8</w:t>
            </w:r>
            <w:r w:rsidRPr="00286D49">
              <w:rPr>
                <w:rFonts w:eastAsia="MS Mincho"/>
              </w:rPr>
              <w:t>%)</w:t>
            </w:r>
          </w:p>
        </w:tc>
        <w:tc>
          <w:tcPr>
            <w:tcW w:w="865" w:type="pct"/>
            <w:tcMar>
              <w:left w:w="28" w:type="dxa"/>
              <w:right w:w="28" w:type="dxa"/>
            </w:tcMar>
            <w:vAlign w:val="center"/>
          </w:tcPr>
          <w:p w14:paraId="216B085F" w14:textId="200854E3" w:rsidR="00B07C6E" w:rsidRDefault="00B07C6E" w:rsidP="00125A1C">
            <w:pPr>
              <w:pStyle w:val="Tablewriting"/>
              <w:jc w:val="center"/>
              <w:rPr>
                <w:rFonts w:eastAsia="MS Mincho"/>
              </w:rPr>
            </w:pPr>
            <w:r>
              <w:rPr>
                <w:rFonts w:eastAsia="MS Mincho"/>
              </w:rPr>
              <w:t>0.8</w:t>
            </w:r>
            <w:r w:rsidR="0045662A">
              <w:rPr>
                <w:rFonts w:eastAsia="MS Mincho"/>
              </w:rPr>
              <w:t>4</w:t>
            </w:r>
          </w:p>
          <w:p w14:paraId="222CE82D" w14:textId="36352484" w:rsidR="00B07C6E" w:rsidRPr="00286D49" w:rsidRDefault="00B07C6E" w:rsidP="00125A1C">
            <w:pPr>
              <w:pStyle w:val="Tablewriting"/>
              <w:jc w:val="center"/>
              <w:rPr>
                <w:rFonts w:eastAsia="MS Mincho"/>
              </w:rPr>
            </w:pPr>
            <w:r>
              <w:rPr>
                <w:rFonts w:eastAsia="MS Mincho"/>
              </w:rPr>
              <w:t>(0.33, 2.</w:t>
            </w:r>
            <w:r w:rsidR="0045662A">
              <w:t>13</w:t>
            </w:r>
            <w:r>
              <w:rPr>
                <w:rFonts w:eastAsia="MS Mincho"/>
              </w:rPr>
              <w:t>)</w:t>
            </w:r>
          </w:p>
        </w:tc>
        <w:tc>
          <w:tcPr>
            <w:tcW w:w="769" w:type="pct"/>
            <w:vAlign w:val="center"/>
          </w:tcPr>
          <w:p w14:paraId="283218AC" w14:textId="58A3B8AB" w:rsidR="0045662A" w:rsidRDefault="0045662A" w:rsidP="00125A1C">
            <w:pPr>
              <w:pStyle w:val="Tablewriting"/>
              <w:jc w:val="center"/>
            </w:pPr>
            <w:r>
              <w:t>-0.0</w:t>
            </w:r>
            <w:r w:rsidR="003D7258">
              <w:t>1</w:t>
            </w:r>
            <w:r>
              <w:t xml:space="preserve"> </w:t>
            </w:r>
          </w:p>
          <w:p w14:paraId="2FD3BAA6" w14:textId="26DA3D1F" w:rsidR="00B07C6E" w:rsidRPr="00286D49" w:rsidRDefault="0045662A" w:rsidP="00125A1C">
            <w:pPr>
              <w:pStyle w:val="Tablewriting"/>
              <w:jc w:val="center"/>
              <w:rPr>
                <w:rFonts w:eastAsia="MS Mincho"/>
              </w:rPr>
            </w:pPr>
            <w:r>
              <w:t>(-0.0</w:t>
            </w:r>
            <w:r w:rsidR="003D7258">
              <w:t>5</w:t>
            </w:r>
            <w:r>
              <w:t>, 0.03)</w:t>
            </w:r>
          </w:p>
        </w:tc>
      </w:tr>
    </w:tbl>
    <w:p w14:paraId="33B5C757" w14:textId="77777777" w:rsidR="00B07C6E" w:rsidRPr="00E72520" w:rsidRDefault="00B07C6E" w:rsidP="000C5710">
      <w:pPr>
        <w:pStyle w:val="TableFooter"/>
        <w:jc w:val="both"/>
      </w:pPr>
      <w:r w:rsidRPr="00E72520">
        <w:t>Source: Lindson et al. (2019)</w:t>
      </w:r>
      <w:r>
        <w:t>, Ellerbeck et al. (2018)</w:t>
      </w:r>
    </w:p>
    <w:p w14:paraId="5FAD26F3" w14:textId="77777777" w:rsidR="00B07C6E" w:rsidRPr="00E72520" w:rsidRDefault="00B07C6E" w:rsidP="000C5710">
      <w:pPr>
        <w:pStyle w:val="TableFooter"/>
        <w:jc w:val="both"/>
      </w:pPr>
      <w:r w:rsidRPr="00E72520">
        <w:t xml:space="preserve">Abbreviations: CI = confidence interval; NE = not estimable; </w:t>
      </w:r>
      <w:r>
        <w:t xml:space="preserve">NR = not reported; </w:t>
      </w:r>
      <w:r w:rsidRPr="00E72520">
        <w:t>RCT = randomised controlled trial; RD = risk difference; RR = risk ratio</w:t>
      </w:r>
      <w:r>
        <w:t>; SAEs = serious adverse events.</w:t>
      </w:r>
    </w:p>
    <w:p w14:paraId="10BC2A06" w14:textId="1059C0E7" w:rsidR="00B07C6E" w:rsidRPr="00BA4093" w:rsidRDefault="00B07C6E" w:rsidP="000C5710">
      <w:pPr>
        <w:pStyle w:val="TableFooter"/>
        <w:jc w:val="both"/>
      </w:pPr>
      <w:r w:rsidRPr="006F1FEC">
        <w:t xml:space="preserve">Notes: See Appendix </w:t>
      </w:r>
      <w:r w:rsidR="00A27BF8">
        <w:rPr>
          <w:highlight w:val="yellow"/>
        </w:rPr>
        <w:fldChar w:fldCharType="begin" w:fldLock="1"/>
      </w:r>
      <w:r w:rsidR="00A27BF8">
        <w:instrText xml:space="preserve"> REF _Ref62128906 \h </w:instrText>
      </w:r>
      <w:r w:rsidR="000C5710">
        <w:rPr>
          <w:highlight w:val="yellow"/>
        </w:rPr>
        <w:instrText xml:space="preserve"> \* MERGEFORMAT </w:instrText>
      </w:r>
      <w:r w:rsidR="00A27BF8">
        <w:rPr>
          <w:highlight w:val="yellow"/>
        </w:rPr>
      </w:r>
      <w:r w:rsidR="00A27BF8">
        <w:rPr>
          <w:highlight w:val="yellow"/>
        </w:rPr>
        <w:fldChar w:fldCharType="separate"/>
      </w:r>
      <w:r w:rsidR="00EC5CC7">
        <w:t xml:space="preserve">Figure </w:t>
      </w:r>
      <w:r w:rsidR="00EC5CC7">
        <w:rPr>
          <w:noProof/>
        </w:rPr>
        <w:t>94</w:t>
      </w:r>
      <w:r w:rsidR="00A27BF8">
        <w:rPr>
          <w:highlight w:val="yellow"/>
        </w:rPr>
        <w:fldChar w:fldCharType="end"/>
      </w:r>
      <w:r>
        <w:t xml:space="preserve"> </w:t>
      </w:r>
      <w:r w:rsidRPr="006F1FEC">
        <w:t>for forest plots of the respective outcomes which included the</w:t>
      </w:r>
      <w:r>
        <w:t xml:space="preserve"> </w:t>
      </w:r>
      <w:r w:rsidRPr="006F1FEC">
        <w:t>results of individual studies.</w:t>
      </w:r>
    </w:p>
    <w:p w14:paraId="56FEDF8D" w14:textId="29340741" w:rsidR="00B07C6E" w:rsidRDefault="00B07C6E" w:rsidP="000C5710">
      <w:pPr>
        <w:pStyle w:val="TableFooter"/>
        <w:jc w:val="both"/>
      </w:pPr>
      <w:r>
        <w:t>1</w:t>
      </w:r>
      <w:r w:rsidRPr="00D13293">
        <w:t xml:space="preserve"> Calculated </w:t>
      </w:r>
      <w:r>
        <w:t xml:space="preserve">by Cochrane Review authors </w:t>
      </w:r>
      <w:r w:rsidRPr="00D13293">
        <w:t>using a fixed-effect model.</w:t>
      </w:r>
    </w:p>
    <w:p w14:paraId="143FD139" w14:textId="36A5C898" w:rsidR="00B07C6E" w:rsidRPr="00B07C6E" w:rsidRDefault="00573745" w:rsidP="000C5710">
      <w:pPr>
        <w:pStyle w:val="TableFooter"/>
        <w:spacing w:after="120"/>
        <w:contextualSpacing w:val="0"/>
        <w:jc w:val="both"/>
      </w:pPr>
      <w:r>
        <w:t>2</w:t>
      </w:r>
      <w:r w:rsidR="00B07C6E">
        <w:t xml:space="preserve"> Calculated during the review</w:t>
      </w:r>
      <w:r w:rsidR="00ED0CBA">
        <w:t>.</w:t>
      </w:r>
      <w:r w:rsidR="00B07C6E">
        <w:t xml:space="preserve"> </w:t>
      </w:r>
    </w:p>
    <w:p w14:paraId="402E6F71" w14:textId="7B695DC9" w:rsidR="0029720E" w:rsidRPr="00932334" w:rsidRDefault="0029720E" w:rsidP="000C5710">
      <w:pPr>
        <w:pStyle w:val="Heading5"/>
        <w:numPr>
          <w:ilvl w:val="0"/>
          <w:numId w:val="0"/>
        </w:numPr>
        <w:spacing w:after="120"/>
        <w:jc w:val="both"/>
        <w:rPr>
          <w:i w:val="0"/>
        </w:rPr>
      </w:pPr>
      <w:r>
        <w:t>Other variations in NRT use analysis</w:t>
      </w:r>
    </w:p>
    <w:p w14:paraId="569945AD" w14:textId="635E8E39" w:rsidR="003A11A4" w:rsidRPr="003A11A4" w:rsidRDefault="003A11A4" w:rsidP="000C5710">
      <w:pPr>
        <w:spacing w:after="120"/>
        <w:jc w:val="both"/>
        <w:rPr>
          <w:u w:val="single"/>
        </w:rPr>
      </w:pPr>
      <w:r w:rsidRPr="003A11A4">
        <w:rPr>
          <w:u w:val="single"/>
        </w:rPr>
        <w:t>Efficacy</w:t>
      </w:r>
    </w:p>
    <w:p w14:paraId="291A5EA7" w14:textId="1D3C441C" w:rsidR="00E5127C" w:rsidRPr="00E5127C" w:rsidRDefault="0029720E" w:rsidP="000C5710">
      <w:pPr>
        <w:spacing w:after="120"/>
        <w:jc w:val="both"/>
      </w:pPr>
      <w:r w:rsidRPr="00745CD8">
        <w:t>A summary of smoking cessation rates f</w:t>
      </w:r>
      <w:r w:rsidR="00C623F4">
        <w:t>or</w:t>
      </w:r>
      <w:r w:rsidRPr="00745CD8">
        <w:t xml:space="preserve"> at least six months follow-up for </w:t>
      </w:r>
      <w:r>
        <w:t>other variations in NRT use</w:t>
      </w:r>
      <w:r w:rsidR="009077F6">
        <w:t xml:space="preserve"> (</w:t>
      </w:r>
      <w:r w:rsidRPr="00745CD8">
        <w:t xml:space="preserve">24-hour versus 16-hour </w:t>
      </w:r>
      <w:r w:rsidR="00573F59">
        <w:t>patches</w:t>
      </w:r>
      <w:r>
        <w:t>, c</w:t>
      </w:r>
      <w:r w:rsidRPr="00745CD8">
        <w:t xml:space="preserve">ontinue versus stop patch use on </w:t>
      </w:r>
      <w:r w:rsidR="008623AC">
        <w:t>re</w:t>
      </w:r>
      <w:r w:rsidRPr="00745CD8">
        <w:t>lapse</w:t>
      </w:r>
      <w:r>
        <w:t xml:space="preserve">, and 22 weeks of combination of </w:t>
      </w:r>
      <w:r w:rsidRPr="00745CD8">
        <w:t xml:space="preserve">35 mg </w:t>
      </w:r>
      <w:r w:rsidR="00573F59">
        <w:t>patches</w:t>
      </w:r>
      <w:r>
        <w:t xml:space="preserve"> and </w:t>
      </w:r>
      <w:r w:rsidRPr="00745CD8">
        <w:t xml:space="preserve">fast-acting versus </w:t>
      </w:r>
      <w:r>
        <w:t xml:space="preserve">10 weeks of </w:t>
      </w:r>
      <w:r w:rsidRPr="00745CD8">
        <w:t>21 mg</w:t>
      </w:r>
      <w:r w:rsidR="009077F6">
        <w:t>)</w:t>
      </w:r>
      <w:r>
        <w:t xml:space="preserve"> </w:t>
      </w:r>
      <w:r w:rsidRPr="00745CD8">
        <w:t>is presented in</w:t>
      </w:r>
      <w:r w:rsidR="00E5127C">
        <w:rPr>
          <w:b/>
          <w:bCs/>
        </w:rPr>
        <w:t xml:space="preserve"> </w:t>
      </w:r>
      <w:r w:rsidR="00E5127C">
        <w:rPr>
          <w:b/>
          <w:bCs/>
        </w:rPr>
        <w:fldChar w:fldCharType="begin" w:fldLock="1"/>
      </w:r>
      <w:r w:rsidR="00E5127C">
        <w:rPr>
          <w:b/>
          <w:bCs/>
        </w:rPr>
        <w:instrText xml:space="preserve"> REF _Ref62116581 \h </w:instrText>
      </w:r>
      <w:r w:rsidR="00E5127C">
        <w:rPr>
          <w:b/>
          <w:bCs/>
        </w:rPr>
      </w:r>
      <w:r w:rsidR="00E5127C">
        <w:rPr>
          <w:b/>
          <w:bCs/>
        </w:rPr>
        <w:fldChar w:fldCharType="separate"/>
      </w:r>
      <w:r w:rsidR="00EC5CC7">
        <w:t xml:space="preserve">Table </w:t>
      </w:r>
      <w:r w:rsidR="00EC5CC7">
        <w:rPr>
          <w:noProof/>
        </w:rPr>
        <w:t>93</w:t>
      </w:r>
      <w:r w:rsidR="00E5127C">
        <w:rPr>
          <w:b/>
          <w:bCs/>
        </w:rPr>
        <w:fldChar w:fldCharType="end"/>
      </w:r>
      <w:r w:rsidR="00E412D3">
        <w:t>.</w:t>
      </w:r>
      <w:r w:rsidR="00CD4C05">
        <w:t xml:space="preserve"> Overall, there were</w:t>
      </w:r>
      <w:r w:rsidRPr="00CD4C05">
        <w:t xml:space="preserve"> no statistical</w:t>
      </w:r>
      <w:r w:rsidR="00CD4C05">
        <w:t>ly significant</w:t>
      </w:r>
      <w:r w:rsidRPr="00CD4C05">
        <w:t xml:space="preserve"> difference</w:t>
      </w:r>
      <w:r w:rsidR="00CD4C05">
        <w:t>s</w:t>
      </w:r>
      <w:r w:rsidR="00BE7B65">
        <w:t xml:space="preserve"> in smoking cessation rates</w:t>
      </w:r>
      <w:r w:rsidRPr="00CD4C05">
        <w:t xml:space="preserve"> </w:t>
      </w:r>
      <w:r w:rsidR="009A04EE">
        <w:t xml:space="preserve">in all </w:t>
      </w:r>
      <w:r w:rsidRPr="00CD4C05">
        <w:t>comparisons</w:t>
      </w:r>
      <w:r w:rsidR="009A04EE">
        <w:t xml:space="preserve"> examining othe</w:t>
      </w:r>
      <w:r w:rsidRPr="00CD4C05">
        <w:t>r variations in NRT use.</w:t>
      </w:r>
      <w:r w:rsidR="00E5127C" w:rsidRPr="00E5127C">
        <w:rPr>
          <w:b/>
          <w:bCs/>
        </w:rPr>
        <w:t xml:space="preserve"> </w:t>
      </w:r>
    </w:p>
    <w:p w14:paraId="362006DF" w14:textId="79A30795" w:rsidR="00E5127C" w:rsidRDefault="00E5127C" w:rsidP="000C5710">
      <w:pPr>
        <w:pStyle w:val="Caption"/>
        <w:keepNext/>
        <w:spacing w:before="0" w:after="120"/>
        <w:jc w:val="both"/>
      </w:pPr>
      <w:bookmarkStart w:id="166" w:name="_Ref62116581"/>
      <w:r>
        <w:t xml:space="preserve">Table </w:t>
      </w:r>
      <w:r w:rsidR="00BF3F75">
        <w:fldChar w:fldCharType="begin"/>
      </w:r>
      <w:r w:rsidR="00BF3F75">
        <w:instrText xml:space="preserve"> SEQ Table \* ARABIC </w:instrText>
      </w:r>
      <w:r w:rsidR="00BF3F75">
        <w:fldChar w:fldCharType="separate"/>
      </w:r>
      <w:r w:rsidR="00EC5CC7">
        <w:rPr>
          <w:noProof/>
        </w:rPr>
        <w:t>93</w:t>
      </w:r>
      <w:r w:rsidR="00BF3F75">
        <w:rPr>
          <w:noProof/>
        </w:rPr>
        <w:fldChar w:fldCharType="end"/>
      </w:r>
      <w:bookmarkEnd w:id="166"/>
      <w:r>
        <w:t xml:space="preserve">: </w:t>
      </w:r>
      <w:r w:rsidRPr="00521A5A">
        <w:t>Results of smoking cessation f</w:t>
      </w:r>
      <w:r w:rsidR="00C623F4">
        <w:t>or</w:t>
      </w:r>
      <w:r w:rsidRPr="00521A5A">
        <w:t xml:space="preserve"> at least six months follow-up in Lindson et al. 2019, other variations in NRT use</w:t>
      </w:r>
    </w:p>
    <w:tbl>
      <w:tblPr>
        <w:tblStyle w:val="TableGrid"/>
        <w:tblW w:w="5000" w:type="pct"/>
        <w:tblLook w:val="04A0" w:firstRow="1" w:lastRow="0" w:firstColumn="1" w:lastColumn="0" w:noHBand="0" w:noVBand="1"/>
        <w:tblCaption w:val="Efficacy results of adalimumab trials (PASI 75 and DLQI)"/>
      </w:tblPr>
      <w:tblGrid>
        <w:gridCol w:w="1414"/>
        <w:gridCol w:w="1700"/>
        <w:gridCol w:w="2126"/>
        <w:gridCol w:w="1843"/>
        <w:gridCol w:w="1933"/>
      </w:tblGrid>
      <w:tr w:rsidR="00E5127C" w:rsidRPr="00061F78" w14:paraId="0EFED595" w14:textId="77777777" w:rsidTr="00E5127C">
        <w:trPr>
          <w:cantSplit/>
          <w:trHeight w:val="299"/>
          <w:tblHeader/>
        </w:trPr>
        <w:tc>
          <w:tcPr>
            <w:tcW w:w="784" w:type="pct"/>
            <w:shd w:val="clear" w:color="auto" w:fill="BFBFBF" w:themeFill="background1" w:themeFillShade="BF"/>
            <w:tcMar>
              <w:left w:w="28" w:type="dxa"/>
              <w:right w:w="28" w:type="dxa"/>
            </w:tcMar>
          </w:tcPr>
          <w:p w14:paraId="117AC4D0" w14:textId="77777777" w:rsidR="00E5127C" w:rsidRPr="00061F78" w:rsidRDefault="00E5127C" w:rsidP="003C4F2E">
            <w:pPr>
              <w:pStyle w:val="Tableheading"/>
              <w:keepNext/>
              <w:rPr>
                <w:rFonts w:eastAsia="MS Mincho"/>
              </w:rPr>
            </w:pPr>
            <w:r>
              <w:rPr>
                <w:rFonts w:eastAsia="MS Mincho"/>
              </w:rPr>
              <w:t>Study</w:t>
            </w:r>
          </w:p>
        </w:tc>
        <w:tc>
          <w:tcPr>
            <w:tcW w:w="943" w:type="pct"/>
            <w:shd w:val="clear" w:color="auto" w:fill="BFBFBF" w:themeFill="background1" w:themeFillShade="BF"/>
            <w:vAlign w:val="center"/>
          </w:tcPr>
          <w:p w14:paraId="2DDD1763" w14:textId="77777777" w:rsidR="00E5127C" w:rsidRDefault="00E5127C" w:rsidP="003C4F2E">
            <w:pPr>
              <w:pStyle w:val="Tableheading"/>
              <w:keepNext/>
              <w:jc w:val="center"/>
              <w:rPr>
                <w:rFonts w:eastAsia="MS Mincho"/>
              </w:rPr>
            </w:pPr>
            <w:r>
              <w:rPr>
                <w:rFonts w:eastAsia="MS Mincho"/>
              </w:rPr>
              <w:t>Study type</w:t>
            </w:r>
          </w:p>
        </w:tc>
        <w:tc>
          <w:tcPr>
            <w:tcW w:w="1179" w:type="pct"/>
            <w:shd w:val="clear" w:color="auto" w:fill="BFBFBF" w:themeFill="background1" w:themeFillShade="BF"/>
            <w:tcMar>
              <w:left w:w="28" w:type="dxa"/>
              <w:right w:w="28" w:type="dxa"/>
            </w:tcMar>
            <w:vAlign w:val="center"/>
          </w:tcPr>
          <w:p w14:paraId="15D6F0CF" w14:textId="77777777" w:rsidR="00E5127C" w:rsidRPr="00061F78" w:rsidRDefault="00E5127C" w:rsidP="003C4F2E">
            <w:pPr>
              <w:pStyle w:val="Tableheading"/>
              <w:keepNext/>
              <w:jc w:val="center"/>
              <w:rPr>
                <w:rFonts w:eastAsia="MS Mincho"/>
              </w:rPr>
            </w:pPr>
            <w:r>
              <w:rPr>
                <w:rFonts w:eastAsia="MS Mincho"/>
              </w:rPr>
              <w:t>Experimental</w:t>
            </w:r>
          </w:p>
        </w:tc>
        <w:tc>
          <w:tcPr>
            <w:tcW w:w="1022" w:type="pct"/>
            <w:shd w:val="clear" w:color="auto" w:fill="BFBFBF" w:themeFill="background1" w:themeFillShade="BF"/>
            <w:tcMar>
              <w:left w:w="28" w:type="dxa"/>
              <w:right w:w="28" w:type="dxa"/>
            </w:tcMar>
            <w:vAlign w:val="center"/>
          </w:tcPr>
          <w:p w14:paraId="71E0DF62" w14:textId="77777777" w:rsidR="00E5127C" w:rsidRPr="00061F78" w:rsidRDefault="00E5127C" w:rsidP="003C4F2E">
            <w:pPr>
              <w:pStyle w:val="Tableheading"/>
              <w:keepNext/>
              <w:jc w:val="center"/>
              <w:rPr>
                <w:rFonts w:eastAsia="MS Mincho"/>
              </w:rPr>
            </w:pPr>
            <w:r>
              <w:rPr>
                <w:rFonts w:eastAsia="MS Mincho"/>
              </w:rPr>
              <w:t>Control</w:t>
            </w:r>
          </w:p>
        </w:tc>
        <w:tc>
          <w:tcPr>
            <w:tcW w:w="1072" w:type="pct"/>
            <w:shd w:val="clear" w:color="auto" w:fill="BFBFBF" w:themeFill="background1" w:themeFillShade="BF"/>
            <w:tcMar>
              <w:left w:w="28" w:type="dxa"/>
              <w:right w:w="28" w:type="dxa"/>
            </w:tcMar>
            <w:vAlign w:val="center"/>
          </w:tcPr>
          <w:p w14:paraId="5B2AAB6A" w14:textId="424BFC11" w:rsidR="00E5127C" w:rsidRPr="00E5127C" w:rsidRDefault="00E5127C" w:rsidP="003C4F2E">
            <w:pPr>
              <w:pStyle w:val="Tableheading"/>
              <w:keepNext/>
              <w:jc w:val="center"/>
              <w:rPr>
                <w:rFonts w:eastAsia="MS Mincho"/>
                <w:vertAlign w:val="superscript"/>
              </w:rPr>
            </w:pPr>
            <w:r>
              <w:rPr>
                <w:rFonts w:eastAsia="MS Mincho"/>
              </w:rPr>
              <w:t>RR (95% CI)</w:t>
            </w:r>
            <w:r>
              <w:rPr>
                <w:rFonts w:eastAsia="MS Mincho"/>
                <w:vertAlign w:val="superscript"/>
              </w:rPr>
              <w:t>1</w:t>
            </w:r>
          </w:p>
        </w:tc>
      </w:tr>
      <w:tr w:rsidR="00E5127C" w:rsidRPr="00061F78" w14:paraId="7D18A12B" w14:textId="77777777" w:rsidTr="003C4F2E">
        <w:trPr>
          <w:cantSplit/>
          <w:trHeight w:val="99"/>
        </w:trPr>
        <w:tc>
          <w:tcPr>
            <w:tcW w:w="5000" w:type="pct"/>
            <w:gridSpan w:val="5"/>
            <w:shd w:val="clear" w:color="auto" w:fill="auto"/>
            <w:tcMar>
              <w:left w:w="28" w:type="dxa"/>
              <w:right w:w="28" w:type="dxa"/>
            </w:tcMar>
          </w:tcPr>
          <w:p w14:paraId="615460F6" w14:textId="77777777" w:rsidR="00E5127C" w:rsidRPr="00E5127C" w:rsidRDefault="00E5127C" w:rsidP="003C4F2E">
            <w:pPr>
              <w:pStyle w:val="Tablewriting"/>
              <w:keepNext/>
              <w:rPr>
                <w:rFonts w:eastAsia="MS Mincho"/>
                <w:b/>
                <w:bCs/>
                <w:highlight w:val="yellow"/>
              </w:rPr>
            </w:pPr>
            <w:r w:rsidRPr="00E5127C">
              <w:rPr>
                <w:rFonts w:eastAsia="MS Mincho"/>
                <w:b/>
                <w:bCs/>
              </w:rPr>
              <w:t>24-hour versus 16-hour patch</w:t>
            </w:r>
          </w:p>
        </w:tc>
      </w:tr>
      <w:tr w:rsidR="00E5127C" w:rsidRPr="00061F78" w14:paraId="23C2C231" w14:textId="77777777" w:rsidTr="00E5127C">
        <w:trPr>
          <w:cantSplit/>
          <w:trHeight w:val="99"/>
        </w:trPr>
        <w:tc>
          <w:tcPr>
            <w:tcW w:w="784" w:type="pct"/>
            <w:shd w:val="clear" w:color="auto" w:fill="auto"/>
            <w:tcMar>
              <w:left w:w="28" w:type="dxa"/>
              <w:right w:w="28" w:type="dxa"/>
            </w:tcMar>
            <w:vAlign w:val="center"/>
          </w:tcPr>
          <w:p w14:paraId="210631E5" w14:textId="77777777" w:rsidR="00E5127C" w:rsidRDefault="00E5127C" w:rsidP="00E5127C">
            <w:pPr>
              <w:pStyle w:val="Tablewriting"/>
              <w:keepNext/>
              <w:rPr>
                <w:rFonts w:eastAsia="MS Mincho"/>
              </w:rPr>
            </w:pPr>
            <w:r>
              <w:rPr>
                <w:rFonts w:eastAsia="MS Mincho"/>
              </w:rPr>
              <w:t xml:space="preserve">Lindson </w:t>
            </w:r>
          </w:p>
          <w:p w14:paraId="34EBECBA" w14:textId="05B4EC58" w:rsidR="00E5127C" w:rsidRPr="005D18BC" w:rsidRDefault="00E5127C" w:rsidP="00E5127C">
            <w:pPr>
              <w:pStyle w:val="Tablewriting"/>
              <w:keepNext/>
              <w:rPr>
                <w:rFonts w:eastAsia="MS Mincho"/>
                <w:highlight w:val="yellow"/>
              </w:rPr>
            </w:pPr>
            <w:r>
              <w:rPr>
                <w:rFonts w:eastAsia="MS Mincho"/>
              </w:rPr>
              <w:t>(2019)</w:t>
            </w:r>
          </w:p>
        </w:tc>
        <w:tc>
          <w:tcPr>
            <w:tcW w:w="943" w:type="pct"/>
            <w:shd w:val="clear" w:color="auto" w:fill="auto"/>
            <w:vAlign w:val="center"/>
          </w:tcPr>
          <w:p w14:paraId="59E56A05" w14:textId="6F18AC36" w:rsidR="00E5127C" w:rsidRPr="009526CC"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14:paraId="51212279" w14:textId="77777777" w:rsidR="00E5127C" w:rsidRPr="00A666FA" w:rsidRDefault="00E5127C" w:rsidP="00E5127C">
            <w:pPr>
              <w:pStyle w:val="Tablewriting"/>
              <w:keepNext/>
              <w:jc w:val="center"/>
              <w:rPr>
                <w:rFonts w:eastAsia="MS Mincho"/>
              </w:rPr>
            </w:pPr>
            <w:r w:rsidRPr="00A666FA">
              <w:rPr>
                <w:rFonts w:eastAsia="MS Mincho"/>
              </w:rPr>
              <w:t>11/51</w:t>
            </w:r>
          </w:p>
          <w:p w14:paraId="7F3461EE" w14:textId="77777777" w:rsidR="00E5127C" w:rsidRPr="00A666FA" w:rsidRDefault="00E5127C" w:rsidP="00E5127C">
            <w:pPr>
              <w:pStyle w:val="Tablewriting"/>
              <w:keepNext/>
              <w:jc w:val="center"/>
              <w:rPr>
                <w:rFonts w:eastAsia="MS Mincho"/>
              </w:rPr>
            </w:pPr>
            <w:r w:rsidRPr="00A666FA">
              <w:rPr>
                <w:rFonts w:eastAsia="MS Mincho"/>
              </w:rPr>
              <w:t>(21.6%)</w:t>
            </w:r>
          </w:p>
        </w:tc>
        <w:tc>
          <w:tcPr>
            <w:tcW w:w="1022" w:type="pct"/>
            <w:shd w:val="clear" w:color="auto" w:fill="auto"/>
            <w:tcMar>
              <w:left w:w="28" w:type="dxa"/>
              <w:right w:w="28" w:type="dxa"/>
            </w:tcMar>
            <w:vAlign w:val="center"/>
          </w:tcPr>
          <w:p w14:paraId="179DEFD5" w14:textId="77777777" w:rsidR="00E5127C" w:rsidRPr="00A666FA" w:rsidRDefault="00E5127C" w:rsidP="00E5127C">
            <w:pPr>
              <w:pStyle w:val="Tablewriting"/>
              <w:keepNext/>
              <w:jc w:val="center"/>
              <w:rPr>
                <w:rFonts w:eastAsia="MS Mincho"/>
              </w:rPr>
            </w:pPr>
            <w:r w:rsidRPr="00A666FA">
              <w:rPr>
                <w:rFonts w:eastAsia="MS Mincho"/>
              </w:rPr>
              <w:t>17/55</w:t>
            </w:r>
          </w:p>
          <w:p w14:paraId="21068856" w14:textId="77777777" w:rsidR="00E5127C" w:rsidRPr="00A666FA" w:rsidRDefault="00E5127C" w:rsidP="00E5127C">
            <w:pPr>
              <w:pStyle w:val="Tablewriting"/>
              <w:keepNext/>
              <w:jc w:val="center"/>
              <w:rPr>
                <w:rFonts w:eastAsia="MS Mincho"/>
              </w:rPr>
            </w:pPr>
            <w:r w:rsidRPr="00A666FA">
              <w:rPr>
                <w:rFonts w:eastAsia="MS Mincho"/>
              </w:rPr>
              <w:t>(30.9%)</w:t>
            </w:r>
          </w:p>
        </w:tc>
        <w:tc>
          <w:tcPr>
            <w:tcW w:w="1072" w:type="pct"/>
            <w:shd w:val="clear" w:color="auto" w:fill="auto"/>
            <w:tcMar>
              <w:left w:w="28" w:type="dxa"/>
              <w:right w:w="28" w:type="dxa"/>
            </w:tcMar>
            <w:vAlign w:val="center"/>
          </w:tcPr>
          <w:p w14:paraId="7F90CA0F" w14:textId="77777777" w:rsidR="00E5127C" w:rsidRDefault="00E5127C" w:rsidP="00E5127C">
            <w:pPr>
              <w:pStyle w:val="Tablewriting"/>
              <w:keepNext/>
              <w:jc w:val="center"/>
              <w:rPr>
                <w:rFonts w:eastAsia="MS Mincho"/>
              </w:rPr>
            </w:pPr>
            <w:r>
              <w:rPr>
                <w:rFonts w:eastAsia="MS Mincho"/>
              </w:rPr>
              <w:t xml:space="preserve">0.7 </w:t>
            </w:r>
          </w:p>
          <w:p w14:paraId="7D2F89B4" w14:textId="6C66A704" w:rsidR="00E5127C" w:rsidRPr="005D18BC" w:rsidRDefault="00E5127C" w:rsidP="00E5127C">
            <w:pPr>
              <w:pStyle w:val="Tablewriting"/>
              <w:keepNext/>
              <w:jc w:val="center"/>
              <w:rPr>
                <w:rFonts w:eastAsia="MS Mincho"/>
                <w:highlight w:val="yellow"/>
              </w:rPr>
            </w:pPr>
            <w:r>
              <w:rPr>
                <w:rFonts w:eastAsia="MS Mincho"/>
              </w:rPr>
              <w:t>(0.36, 1.34)</w:t>
            </w:r>
          </w:p>
        </w:tc>
      </w:tr>
      <w:tr w:rsidR="00E5127C" w:rsidRPr="00061F78" w14:paraId="091124D8" w14:textId="77777777" w:rsidTr="003C4F2E">
        <w:trPr>
          <w:cantSplit/>
          <w:trHeight w:val="99"/>
        </w:trPr>
        <w:tc>
          <w:tcPr>
            <w:tcW w:w="5000" w:type="pct"/>
            <w:gridSpan w:val="5"/>
            <w:shd w:val="clear" w:color="auto" w:fill="auto"/>
            <w:tcMar>
              <w:left w:w="28" w:type="dxa"/>
              <w:right w:w="28" w:type="dxa"/>
            </w:tcMar>
            <w:vAlign w:val="center"/>
          </w:tcPr>
          <w:p w14:paraId="01A098C3" w14:textId="77777777" w:rsidR="00E5127C" w:rsidRPr="00E5127C" w:rsidRDefault="00E5127C" w:rsidP="003C4F2E">
            <w:pPr>
              <w:pStyle w:val="Tablewriting"/>
              <w:keepNext/>
              <w:rPr>
                <w:rFonts w:eastAsia="MS Mincho"/>
                <w:b/>
                <w:bCs/>
              </w:rPr>
            </w:pPr>
            <w:r w:rsidRPr="00E5127C">
              <w:rPr>
                <w:rFonts w:eastAsia="MS Mincho"/>
                <w:b/>
                <w:bCs/>
              </w:rPr>
              <w:t>Continue versus stop patch use on lapse</w:t>
            </w:r>
          </w:p>
        </w:tc>
      </w:tr>
      <w:tr w:rsidR="00E5127C" w:rsidRPr="00061F78" w14:paraId="53286C4A" w14:textId="77777777" w:rsidTr="00E5127C">
        <w:trPr>
          <w:cantSplit/>
          <w:trHeight w:val="99"/>
        </w:trPr>
        <w:tc>
          <w:tcPr>
            <w:tcW w:w="784" w:type="pct"/>
            <w:shd w:val="clear" w:color="auto" w:fill="auto"/>
            <w:tcMar>
              <w:left w:w="28" w:type="dxa"/>
              <w:right w:w="28" w:type="dxa"/>
            </w:tcMar>
            <w:vAlign w:val="center"/>
          </w:tcPr>
          <w:p w14:paraId="5F4D7778" w14:textId="77777777" w:rsidR="00E5127C" w:rsidRDefault="00E5127C" w:rsidP="00E5127C">
            <w:pPr>
              <w:pStyle w:val="Tablewriting"/>
              <w:keepNext/>
              <w:rPr>
                <w:rFonts w:eastAsia="MS Mincho"/>
              </w:rPr>
            </w:pPr>
            <w:r>
              <w:rPr>
                <w:rFonts w:eastAsia="MS Mincho"/>
              </w:rPr>
              <w:t xml:space="preserve">Lindson </w:t>
            </w:r>
          </w:p>
          <w:p w14:paraId="71BF2831" w14:textId="39ED1FDE" w:rsidR="00E5127C" w:rsidRPr="00A22F63" w:rsidRDefault="00E5127C" w:rsidP="00E5127C">
            <w:pPr>
              <w:pStyle w:val="Tablewriting"/>
              <w:keepNext/>
              <w:rPr>
                <w:rFonts w:eastAsia="MS Mincho"/>
              </w:rPr>
            </w:pPr>
            <w:r>
              <w:rPr>
                <w:rFonts w:eastAsia="MS Mincho"/>
              </w:rPr>
              <w:t>(2019)</w:t>
            </w:r>
          </w:p>
        </w:tc>
        <w:tc>
          <w:tcPr>
            <w:tcW w:w="943" w:type="pct"/>
            <w:shd w:val="clear" w:color="auto" w:fill="auto"/>
            <w:vAlign w:val="center"/>
          </w:tcPr>
          <w:p w14:paraId="4D75CE35" w14:textId="00929C82" w:rsidR="00E5127C" w:rsidRPr="00A22F63"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14:paraId="3B74A6CA" w14:textId="77777777" w:rsidR="00E5127C" w:rsidRPr="00A666FA" w:rsidRDefault="00E5127C" w:rsidP="00E5127C">
            <w:pPr>
              <w:pStyle w:val="Tablewriting"/>
              <w:keepNext/>
              <w:jc w:val="center"/>
              <w:rPr>
                <w:rFonts w:eastAsia="MS Mincho"/>
              </w:rPr>
            </w:pPr>
            <w:r w:rsidRPr="00A666FA">
              <w:rPr>
                <w:rFonts w:eastAsia="MS Mincho"/>
              </w:rPr>
              <w:t>174/356</w:t>
            </w:r>
          </w:p>
          <w:p w14:paraId="052F5D91" w14:textId="77777777" w:rsidR="00E5127C" w:rsidRPr="00A666FA" w:rsidRDefault="00E5127C" w:rsidP="00E5127C">
            <w:pPr>
              <w:pStyle w:val="Tablewriting"/>
              <w:keepNext/>
              <w:jc w:val="center"/>
              <w:rPr>
                <w:rFonts w:eastAsia="MS Mincho"/>
              </w:rPr>
            </w:pPr>
            <w:r w:rsidRPr="00A666FA">
              <w:rPr>
                <w:rFonts w:eastAsia="MS Mincho"/>
              </w:rPr>
              <w:t>(48.9%)</w:t>
            </w:r>
          </w:p>
        </w:tc>
        <w:tc>
          <w:tcPr>
            <w:tcW w:w="1022" w:type="pct"/>
            <w:shd w:val="clear" w:color="auto" w:fill="auto"/>
            <w:tcMar>
              <w:left w:w="28" w:type="dxa"/>
              <w:right w:w="28" w:type="dxa"/>
            </w:tcMar>
            <w:vAlign w:val="center"/>
          </w:tcPr>
          <w:p w14:paraId="05253069" w14:textId="77777777" w:rsidR="00E5127C" w:rsidRPr="00A666FA" w:rsidRDefault="00E5127C" w:rsidP="00E5127C">
            <w:pPr>
              <w:pStyle w:val="Tablewriting"/>
              <w:keepNext/>
              <w:jc w:val="center"/>
              <w:rPr>
                <w:rFonts w:eastAsia="MS Mincho"/>
              </w:rPr>
            </w:pPr>
            <w:r w:rsidRPr="00A666FA">
              <w:rPr>
                <w:rFonts w:eastAsia="MS Mincho"/>
              </w:rPr>
              <w:t>190/345</w:t>
            </w:r>
          </w:p>
          <w:p w14:paraId="7EBEF07A" w14:textId="77777777" w:rsidR="00E5127C" w:rsidRPr="00A666FA" w:rsidRDefault="00E5127C" w:rsidP="00E5127C">
            <w:pPr>
              <w:pStyle w:val="Tablewriting"/>
              <w:keepNext/>
              <w:jc w:val="center"/>
              <w:rPr>
                <w:rFonts w:eastAsia="MS Mincho"/>
              </w:rPr>
            </w:pPr>
            <w:r w:rsidRPr="00A666FA">
              <w:rPr>
                <w:rFonts w:eastAsia="MS Mincho"/>
              </w:rPr>
              <w:t>(55%)</w:t>
            </w:r>
          </w:p>
        </w:tc>
        <w:tc>
          <w:tcPr>
            <w:tcW w:w="1072" w:type="pct"/>
            <w:shd w:val="clear" w:color="auto" w:fill="auto"/>
            <w:tcMar>
              <w:left w:w="28" w:type="dxa"/>
              <w:right w:w="28" w:type="dxa"/>
            </w:tcMar>
            <w:vAlign w:val="center"/>
          </w:tcPr>
          <w:p w14:paraId="1A4137AF" w14:textId="77777777" w:rsidR="00E5127C" w:rsidRDefault="00E5127C" w:rsidP="00E5127C">
            <w:pPr>
              <w:pStyle w:val="Tablewriting"/>
              <w:keepNext/>
              <w:jc w:val="center"/>
              <w:rPr>
                <w:rFonts w:eastAsia="MS Mincho"/>
              </w:rPr>
            </w:pPr>
            <w:r>
              <w:rPr>
                <w:rFonts w:eastAsia="MS Mincho"/>
              </w:rPr>
              <w:t xml:space="preserve">0.89 </w:t>
            </w:r>
          </w:p>
          <w:p w14:paraId="18BE2F47" w14:textId="42ED8D2B" w:rsidR="00E5127C" w:rsidRPr="005D18BC" w:rsidRDefault="00E5127C" w:rsidP="00E5127C">
            <w:pPr>
              <w:pStyle w:val="Tablewriting"/>
              <w:keepNext/>
              <w:jc w:val="center"/>
              <w:rPr>
                <w:rFonts w:eastAsia="MS Mincho"/>
                <w:highlight w:val="yellow"/>
              </w:rPr>
            </w:pPr>
            <w:r>
              <w:rPr>
                <w:rFonts w:eastAsia="MS Mincho"/>
              </w:rPr>
              <w:t>(0.77, 1.02)</w:t>
            </w:r>
          </w:p>
        </w:tc>
      </w:tr>
      <w:tr w:rsidR="00E5127C" w:rsidRPr="00061F78" w14:paraId="3AED1919" w14:textId="77777777" w:rsidTr="003C4F2E">
        <w:trPr>
          <w:cantSplit/>
          <w:trHeight w:val="99"/>
        </w:trPr>
        <w:tc>
          <w:tcPr>
            <w:tcW w:w="5000" w:type="pct"/>
            <w:gridSpan w:val="5"/>
            <w:shd w:val="clear" w:color="auto" w:fill="auto"/>
            <w:tcMar>
              <w:left w:w="28" w:type="dxa"/>
              <w:right w:w="28" w:type="dxa"/>
            </w:tcMar>
            <w:vAlign w:val="center"/>
          </w:tcPr>
          <w:p w14:paraId="50CF473F" w14:textId="77777777" w:rsidR="00E5127C" w:rsidRPr="00E5127C" w:rsidRDefault="00E5127C" w:rsidP="003C4F2E">
            <w:pPr>
              <w:pStyle w:val="Tablewriting"/>
              <w:keepNext/>
              <w:rPr>
                <w:rFonts w:eastAsia="MS Mincho"/>
                <w:b/>
                <w:bCs/>
              </w:rPr>
            </w:pPr>
            <w:r w:rsidRPr="00E5127C">
              <w:rPr>
                <w:rFonts w:eastAsia="MS Mincho"/>
                <w:b/>
                <w:bCs/>
              </w:rPr>
              <w:t>35 mg patch + fast-acting for 22 weeks versus 21 mg patch for 10 weeks</w:t>
            </w:r>
          </w:p>
        </w:tc>
      </w:tr>
      <w:tr w:rsidR="00E5127C" w:rsidRPr="00061F78" w14:paraId="53F76767" w14:textId="77777777" w:rsidTr="00E5127C">
        <w:trPr>
          <w:cantSplit/>
          <w:trHeight w:val="99"/>
        </w:trPr>
        <w:tc>
          <w:tcPr>
            <w:tcW w:w="784" w:type="pct"/>
            <w:shd w:val="clear" w:color="auto" w:fill="auto"/>
            <w:tcMar>
              <w:left w:w="28" w:type="dxa"/>
              <w:right w:w="28" w:type="dxa"/>
            </w:tcMar>
            <w:vAlign w:val="center"/>
          </w:tcPr>
          <w:p w14:paraId="70C6C3B8" w14:textId="77777777" w:rsidR="00E5127C" w:rsidRDefault="00E5127C" w:rsidP="00E5127C">
            <w:pPr>
              <w:pStyle w:val="Tablewriting"/>
              <w:keepNext/>
              <w:rPr>
                <w:rFonts w:eastAsia="MS Mincho"/>
              </w:rPr>
            </w:pPr>
            <w:r>
              <w:rPr>
                <w:rFonts w:eastAsia="MS Mincho"/>
              </w:rPr>
              <w:t xml:space="preserve">Lindson </w:t>
            </w:r>
          </w:p>
          <w:p w14:paraId="34E8AC6C" w14:textId="144F4BEE" w:rsidR="00E5127C" w:rsidRPr="009526CC" w:rsidRDefault="00E5127C" w:rsidP="00E5127C">
            <w:pPr>
              <w:pStyle w:val="Tablewriting"/>
              <w:keepNext/>
              <w:rPr>
                <w:rFonts w:eastAsia="MS Mincho"/>
              </w:rPr>
            </w:pPr>
            <w:r>
              <w:rPr>
                <w:rFonts w:eastAsia="MS Mincho"/>
              </w:rPr>
              <w:t>(2019)</w:t>
            </w:r>
          </w:p>
        </w:tc>
        <w:tc>
          <w:tcPr>
            <w:tcW w:w="943" w:type="pct"/>
            <w:shd w:val="clear" w:color="auto" w:fill="auto"/>
            <w:vAlign w:val="center"/>
          </w:tcPr>
          <w:p w14:paraId="5D2B8AFE" w14:textId="19DE441F" w:rsidR="00E5127C" w:rsidRDefault="00E5127C" w:rsidP="00E5127C">
            <w:pPr>
              <w:pStyle w:val="Tablewriting"/>
              <w:keepNext/>
              <w:jc w:val="center"/>
              <w:rPr>
                <w:rFonts w:eastAsia="MS Mincho"/>
              </w:rPr>
            </w:pPr>
            <w:r>
              <w:rPr>
                <w:rFonts w:eastAsia="MS Mincho"/>
              </w:rPr>
              <w:t xml:space="preserve">Cochrane Review (1 </w:t>
            </w:r>
            <w:r w:rsidRPr="00FF3382">
              <w:rPr>
                <w:rFonts w:eastAsia="MS Mincho"/>
              </w:rPr>
              <w:t>RCT</w:t>
            </w:r>
            <w:r>
              <w:rPr>
                <w:rFonts w:eastAsia="MS Mincho"/>
              </w:rPr>
              <w:t>)</w:t>
            </w:r>
          </w:p>
        </w:tc>
        <w:tc>
          <w:tcPr>
            <w:tcW w:w="1179" w:type="pct"/>
            <w:shd w:val="clear" w:color="auto" w:fill="auto"/>
            <w:tcMar>
              <w:left w:w="28" w:type="dxa"/>
              <w:right w:w="28" w:type="dxa"/>
            </w:tcMar>
            <w:vAlign w:val="center"/>
          </w:tcPr>
          <w:p w14:paraId="6A80115B" w14:textId="77777777" w:rsidR="00E5127C" w:rsidRPr="00A666FA" w:rsidRDefault="00E5127C" w:rsidP="00E5127C">
            <w:pPr>
              <w:pStyle w:val="Tablewriting"/>
              <w:keepNext/>
              <w:jc w:val="center"/>
              <w:rPr>
                <w:rFonts w:eastAsia="MS Mincho"/>
              </w:rPr>
            </w:pPr>
            <w:r w:rsidRPr="00A666FA">
              <w:rPr>
                <w:rFonts w:eastAsia="MS Mincho"/>
              </w:rPr>
              <w:t>29/244</w:t>
            </w:r>
          </w:p>
          <w:p w14:paraId="4E26BD27" w14:textId="77777777" w:rsidR="00E5127C" w:rsidRPr="00A666FA" w:rsidRDefault="00E5127C" w:rsidP="00E5127C">
            <w:pPr>
              <w:pStyle w:val="Tablewriting"/>
              <w:keepNext/>
              <w:jc w:val="center"/>
              <w:rPr>
                <w:rFonts w:eastAsia="MS Mincho"/>
              </w:rPr>
            </w:pPr>
            <w:r w:rsidRPr="00A666FA">
              <w:rPr>
                <w:rFonts w:eastAsia="MS Mincho"/>
              </w:rPr>
              <w:t>(11.9%)</w:t>
            </w:r>
          </w:p>
        </w:tc>
        <w:tc>
          <w:tcPr>
            <w:tcW w:w="1022" w:type="pct"/>
            <w:shd w:val="clear" w:color="auto" w:fill="auto"/>
            <w:tcMar>
              <w:left w:w="28" w:type="dxa"/>
              <w:right w:w="28" w:type="dxa"/>
            </w:tcMar>
            <w:vAlign w:val="center"/>
          </w:tcPr>
          <w:p w14:paraId="3F336CFD" w14:textId="77777777" w:rsidR="00E5127C" w:rsidRPr="00A666FA" w:rsidRDefault="00E5127C" w:rsidP="00E5127C">
            <w:pPr>
              <w:pStyle w:val="Tablewriting"/>
              <w:keepNext/>
              <w:jc w:val="center"/>
              <w:rPr>
                <w:rFonts w:eastAsia="MS Mincho"/>
              </w:rPr>
            </w:pPr>
            <w:r w:rsidRPr="00A666FA">
              <w:rPr>
                <w:rFonts w:eastAsia="MS Mincho"/>
              </w:rPr>
              <w:t>23/242</w:t>
            </w:r>
          </w:p>
          <w:p w14:paraId="32E90E5C" w14:textId="77777777" w:rsidR="00E5127C" w:rsidRPr="00A666FA" w:rsidRDefault="00E5127C" w:rsidP="00E5127C">
            <w:pPr>
              <w:pStyle w:val="Tablewriting"/>
              <w:keepNext/>
              <w:jc w:val="center"/>
              <w:rPr>
                <w:rFonts w:eastAsia="MS Mincho"/>
              </w:rPr>
            </w:pPr>
            <w:r w:rsidRPr="00A666FA">
              <w:rPr>
                <w:rFonts w:eastAsia="MS Mincho"/>
              </w:rPr>
              <w:t>(9.5%)</w:t>
            </w:r>
          </w:p>
        </w:tc>
        <w:tc>
          <w:tcPr>
            <w:tcW w:w="1072" w:type="pct"/>
            <w:shd w:val="clear" w:color="auto" w:fill="auto"/>
            <w:tcMar>
              <w:left w:w="28" w:type="dxa"/>
              <w:right w:w="28" w:type="dxa"/>
            </w:tcMar>
            <w:vAlign w:val="center"/>
          </w:tcPr>
          <w:p w14:paraId="58009974" w14:textId="77777777" w:rsidR="00E5127C" w:rsidRDefault="00E5127C" w:rsidP="00E5127C">
            <w:pPr>
              <w:pStyle w:val="Tablewriting"/>
              <w:keepNext/>
              <w:jc w:val="center"/>
              <w:rPr>
                <w:rFonts w:eastAsia="MS Mincho"/>
              </w:rPr>
            </w:pPr>
            <w:r>
              <w:rPr>
                <w:rFonts w:eastAsia="MS Mincho"/>
              </w:rPr>
              <w:t xml:space="preserve">1.25 </w:t>
            </w:r>
          </w:p>
          <w:p w14:paraId="2AE951E4" w14:textId="708FBDC2" w:rsidR="00E5127C" w:rsidRDefault="00E5127C" w:rsidP="00E5127C">
            <w:pPr>
              <w:pStyle w:val="Tablewriting"/>
              <w:keepNext/>
              <w:jc w:val="center"/>
              <w:rPr>
                <w:rFonts w:eastAsia="MS Mincho"/>
                <w:highlight w:val="yellow"/>
              </w:rPr>
            </w:pPr>
            <w:r>
              <w:rPr>
                <w:rFonts w:eastAsia="MS Mincho"/>
              </w:rPr>
              <w:t>(0.75, 2.1)</w:t>
            </w:r>
          </w:p>
        </w:tc>
      </w:tr>
    </w:tbl>
    <w:p w14:paraId="057064F4" w14:textId="77777777" w:rsidR="00E5127C" w:rsidRDefault="00E5127C" w:rsidP="000C5710">
      <w:pPr>
        <w:pStyle w:val="TableFooter"/>
        <w:keepNext/>
        <w:jc w:val="both"/>
      </w:pPr>
      <w:r>
        <w:t>Source: Lindson et al. (2019)</w:t>
      </w:r>
    </w:p>
    <w:p w14:paraId="43DD9AF7" w14:textId="77777777" w:rsidR="00E5127C" w:rsidRPr="004A0AB5" w:rsidRDefault="00E5127C" w:rsidP="000C5710">
      <w:pPr>
        <w:pStyle w:val="TableFooter"/>
        <w:keepNext/>
        <w:jc w:val="both"/>
        <w:rPr>
          <w:i/>
        </w:rPr>
      </w:pPr>
      <w:r w:rsidRPr="004A0AB5">
        <w:t xml:space="preserve">Abbreviations: CI = confidence interval; RCT = randomised controlled trial; RR = risk ratio </w:t>
      </w:r>
    </w:p>
    <w:p w14:paraId="278EC3A8" w14:textId="77777777" w:rsidR="00E5127C" w:rsidRDefault="00E5127C" w:rsidP="000C5710">
      <w:pPr>
        <w:pStyle w:val="TableFooter"/>
        <w:jc w:val="both"/>
      </w:pPr>
      <w:r w:rsidRPr="0041240E">
        <w:t>Notes:</w:t>
      </w:r>
    </w:p>
    <w:p w14:paraId="7434324E" w14:textId="110D465D" w:rsidR="00E5127C" w:rsidRDefault="00E5127C" w:rsidP="000C5710">
      <w:pPr>
        <w:pStyle w:val="TableFooter"/>
        <w:spacing w:after="120"/>
        <w:contextualSpacing w:val="0"/>
        <w:jc w:val="both"/>
      </w:pPr>
      <w:r>
        <w:t>1</w:t>
      </w:r>
      <w:r w:rsidRPr="0041240E">
        <w:t xml:space="preserve"> Calculated </w:t>
      </w:r>
      <w:r>
        <w:t>by Cochrane Review authors using a fixed-effect model</w:t>
      </w:r>
      <w:r w:rsidR="00ED0CBA">
        <w:t>.</w:t>
      </w:r>
    </w:p>
    <w:p w14:paraId="20798273" w14:textId="0FB0FAF7" w:rsidR="00E5127C" w:rsidRPr="00E5127C" w:rsidRDefault="00E5127C" w:rsidP="000C5710">
      <w:pPr>
        <w:spacing w:after="120"/>
        <w:jc w:val="both"/>
      </w:pPr>
      <w:r w:rsidRPr="00F136E9">
        <w:t xml:space="preserve">The results of the individual studies </w:t>
      </w:r>
      <w:r>
        <w:t xml:space="preserve">included in Lindson et al. (2019) </w:t>
      </w:r>
      <w:r w:rsidRPr="00745CD8">
        <w:t xml:space="preserve">for </w:t>
      </w:r>
      <w:r>
        <w:t>other variations in NRT use</w:t>
      </w:r>
      <w:r w:rsidRPr="00F136E9">
        <w:t xml:space="preserve"> are presented using a forest plot</w:t>
      </w:r>
      <w:r>
        <w:t xml:space="preserve"> in </w:t>
      </w:r>
      <w:r>
        <w:fldChar w:fldCharType="begin" w:fldLock="1"/>
      </w:r>
      <w:r>
        <w:instrText xml:space="preserve"> REF _Ref61614204 \h </w:instrText>
      </w:r>
      <w:r>
        <w:fldChar w:fldCharType="separate"/>
      </w:r>
      <w:r w:rsidR="00EC5CC7">
        <w:t xml:space="preserve">Figure </w:t>
      </w:r>
      <w:r w:rsidR="00EC5CC7">
        <w:rPr>
          <w:noProof/>
        </w:rPr>
        <w:t>29</w:t>
      </w:r>
      <w:r>
        <w:fldChar w:fldCharType="end"/>
      </w:r>
      <w:r>
        <w:t>.</w:t>
      </w:r>
    </w:p>
    <w:p w14:paraId="3ADFFD0B" w14:textId="059DD049" w:rsidR="0029720E" w:rsidRPr="00536FD6" w:rsidRDefault="0029720E" w:rsidP="00536FD6">
      <w:pPr>
        <w:pStyle w:val="Caption"/>
        <w:keepNext/>
      </w:pPr>
      <w:r>
        <w:lastRenderedPageBreak/>
        <w:t xml:space="preserve">   </w:t>
      </w:r>
      <w:r w:rsidRPr="0043380C">
        <w:t xml:space="preserve"> </w:t>
      </w:r>
    </w:p>
    <w:p w14:paraId="169DB0C1" w14:textId="77777777" w:rsidR="004258F6" w:rsidRDefault="0029720E" w:rsidP="004258F6">
      <w:pPr>
        <w:pStyle w:val="TableFooter"/>
        <w:keepNext/>
      </w:pPr>
      <w:r>
        <w:rPr>
          <w:noProof/>
        </w:rPr>
        <w:drawing>
          <wp:inline distT="0" distB="0" distL="0" distR="0" wp14:anchorId="1898439E" wp14:editId="24DC79E7">
            <wp:extent cx="5731510" cy="3512185"/>
            <wp:effectExtent l="0" t="0" r="0" b="5715"/>
            <wp:docPr id="76" name="Picture 76" descr="P64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P6486#yIS1"/>
                    <pic:cNvPicPr/>
                  </pic:nvPicPr>
                  <pic:blipFill>
                    <a:blip r:embed="rId48">
                      <a:extLst>
                        <a:ext uri="{28A0092B-C50C-407E-A947-70E740481C1C}">
                          <a14:useLocalDpi xmlns:a14="http://schemas.microsoft.com/office/drawing/2010/main" val="0"/>
                        </a:ext>
                      </a:extLst>
                    </a:blip>
                    <a:stretch>
                      <a:fillRect/>
                    </a:stretch>
                  </pic:blipFill>
                  <pic:spPr>
                    <a:xfrm>
                      <a:off x="0" y="0"/>
                      <a:ext cx="5731510" cy="3512185"/>
                    </a:xfrm>
                    <a:prstGeom prst="rect">
                      <a:avLst/>
                    </a:prstGeom>
                  </pic:spPr>
                </pic:pic>
              </a:graphicData>
            </a:graphic>
          </wp:inline>
        </w:drawing>
      </w:r>
    </w:p>
    <w:p w14:paraId="3DFB5B6C" w14:textId="196541B5" w:rsidR="0029720E" w:rsidRDefault="008D17AF" w:rsidP="000C5710">
      <w:pPr>
        <w:pStyle w:val="Caption"/>
        <w:spacing w:before="120" w:after="60"/>
        <w:jc w:val="both"/>
      </w:pPr>
      <w:bookmarkStart w:id="167" w:name="_Ref61614204"/>
      <w:r>
        <w:t xml:space="preserve">Figure </w:t>
      </w:r>
      <w:r w:rsidR="00BF3F75">
        <w:fldChar w:fldCharType="begin"/>
      </w:r>
      <w:r w:rsidR="00BF3F75">
        <w:instrText xml:space="preserve"> SEQ Figure \* ARABIC </w:instrText>
      </w:r>
      <w:r w:rsidR="00BF3F75">
        <w:fldChar w:fldCharType="separate"/>
      </w:r>
      <w:r w:rsidR="00EC5CC7">
        <w:rPr>
          <w:noProof/>
        </w:rPr>
        <w:t>29</w:t>
      </w:r>
      <w:r w:rsidR="00BF3F75">
        <w:rPr>
          <w:noProof/>
        </w:rPr>
        <w:fldChar w:fldCharType="end"/>
      </w:r>
      <w:bookmarkEnd w:id="167"/>
      <w:r>
        <w:t xml:space="preserve">: </w:t>
      </w:r>
      <w:r w:rsidRPr="00C638C0">
        <w:t>Results of smoking cessation f</w:t>
      </w:r>
      <w:r w:rsidR="00C623F4">
        <w:t>or</w:t>
      </w:r>
      <w:r w:rsidRPr="00C638C0">
        <w:t xml:space="preserve"> at least six months follow-up</w:t>
      </w:r>
      <w:r>
        <w:t xml:space="preserve"> in Lindson et al. 2019</w:t>
      </w:r>
      <w:r w:rsidRPr="00C638C0">
        <w:t>, other variations in NRT use</w:t>
      </w:r>
    </w:p>
    <w:p w14:paraId="0DF46BDD" w14:textId="77777777" w:rsidR="004258F6" w:rsidRDefault="004258F6" w:rsidP="000C5710">
      <w:pPr>
        <w:pStyle w:val="TableFooter"/>
        <w:keepNext/>
        <w:jc w:val="both"/>
      </w:pPr>
      <w:r>
        <w:t xml:space="preserve">Source: Lindson et al. (2019) </w:t>
      </w:r>
    </w:p>
    <w:p w14:paraId="7849549C" w14:textId="5C2EDE1A" w:rsidR="004258F6" w:rsidRDefault="004258F6" w:rsidP="000C5710">
      <w:pPr>
        <w:pStyle w:val="TableFooter"/>
        <w:keepNext/>
        <w:spacing w:after="120"/>
        <w:contextualSpacing w:val="0"/>
        <w:jc w:val="both"/>
      </w:pPr>
      <w:r>
        <w:t>Abbreviations: CI = confidence interval</w:t>
      </w:r>
    </w:p>
    <w:p w14:paraId="685C15CB" w14:textId="5E1CE74F" w:rsidR="003A11A4" w:rsidRPr="003A11A4" w:rsidRDefault="003A11A4" w:rsidP="0012368C">
      <w:pPr>
        <w:spacing w:after="120"/>
        <w:jc w:val="both"/>
        <w:rPr>
          <w:u w:val="single"/>
        </w:rPr>
      </w:pPr>
      <w:r w:rsidRPr="003A11A4">
        <w:rPr>
          <w:u w:val="single"/>
        </w:rPr>
        <w:t>Safety</w:t>
      </w:r>
    </w:p>
    <w:p w14:paraId="787F4DE7" w14:textId="0EB2154C" w:rsidR="00ED14FF" w:rsidRPr="002C29D6" w:rsidRDefault="00ED14FF" w:rsidP="00CC0A59">
      <w:pPr>
        <w:spacing w:after="120"/>
        <w:jc w:val="both"/>
      </w:pPr>
      <w:r>
        <w:t xml:space="preserve">A summary of key adverse events </w:t>
      </w:r>
      <w:r w:rsidRPr="00DB266F">
        <w:t xml:space="preserve">included in Lindson et al. </w:t>
      </w:r>
      <w:r w:rsidR="008F0780">
        <w:t>(</w:t>
      </w:r>
      <w:r w:rsidRPr="00DB266F">
        <w:t>2019</w:t>
      </w:r>
      <w:r w:rsidR="008F0780">
        <w:t>)</w:t>
      </w:r>
      <w:r w:rsidRPr="00DB266F">
        <w:t xml:space="preserve"> related</w:t>
      </w:r>
      <w:r>
        <w:t xml:space="preserve"> to other variations in NRT use </w:t>
      </w:r>
      <w:r w:rsidRPr="00171A84">
        <w:t>is presented in</w:t>
      </w:r>
      <w:r w:rsidR="00CC0A59">
        <w:t xml:space="preserve"> Table 94. </w:t>
      </w:r>
      <w:r w:rsidR="008F0780">
        <w:t>Overall, there were no statistically significant differences in serious adverse events, treatment withdrawals and cardiac events</w:t>
      </w:r>
      <w:r w:rsidR="00764226">
        <w:t xml:space="preserve"> in all comparisons examining other variations in NRT use</w:t>
      </w:r>
      <w:r>
        <w:t>.</w:t>
      </w:r>
    </w:p>
    <w:p w14:paraId="4E9BFD64" w14:textId="77777777" w:rsidR="0012368C" w:rsidRDefault="0012368C">
      <w:pPr>
        <w:spacing w:line="276" w:lineRule="auto"/>
        <w:rPr>
          <w:rFonts w:asciiTheme="minorHAnsi" w:eastAsia="Times New Roman" w:hAnsiTheme="minorHAnsi" w:cs="Times New Roman"/>
          <w:b/>
          <w:bCs/>
          <w:szCs w:val="18"/>
        </w:rPr>
      </w:pPr>
      <w:bookmarkStart w:id="168" w:name="_Ref59453517"/>
      <w:r>
        <w:br w:type="page"/>
      </w:r>
    </w:p>
    <w:p w14:paraId="46DC8C55" w14:textId="4FE037AE" w:rsidR="00855AFC" w:rsidRDefault="00855AFC" w:rsidP="0012368C">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94</w:t>
      </w:r>
      <w:r w:rsidR="00BF3F75">
        <w:rPr>
          <w:noProof/>
        </w:rPr>
        <w:fldChar w:fldCharType="end"/>
      </w:r>
      <w:bookmarkEnd w:id="168"/>
      <w:r>
        <w:t xml:space="preserve">: </w:t>
      </w:r>
      <w:r w:rsidRPr="00446FE3">
        <w:t>Summary of key adverse events in Lindson et al. (2019), other variations in NRT use</w:t>
      </w:r>
    </w:p>
    <w:tbl>
      <w:tblPr>
        <w:tblStyle w:val="TableGrid"/>
        <w:tblW w:w="5000" w:type="pct"/>
        <w:tblLook w:val="04A0" w:firstRow="1" w:lastRow="0" w:firstColumn="1" w:lastColumn="0" w:noHBand="0" w:noVBand="1"/>
        <w:tblCaption w:val="Efficacy results of adalimumab trials (PASI 75 and DLQI)"/>
      </w:tblPr>
      <w:tblGrid>
        <w:gridCol w:w="3540"/>
        <w:gridCol w:w="1729"/>
        <w:gridCol w:w="1273"/>
        <w:gridCol w:w="1235"/>
        <w:gridCol w:w="1239"/>
      </w:tblGrid>
      <w:tr w:rsidR="00ED14FF" w:rsidRPr="00061F78" w14:paraId="15FC26F1" w14:textId="77777777" w:rsidTr="00AF4358">
        <w:trPr>
          <w:cantSplit/>
          <w:trHeight w:val="299"/>
          <w:tblHeader/>
        </w:trPr>
        <w:tc>
          <w:tcPr>
            <w:tcW w:w="1963" w:type="pct"/>
            <w:shd w:val="clear" w:color="auto" w:fill="BFBFBF" w:themeFill="background1" w:themeFillShade="BF"/>
            <w:tcMar>
              <w:left w:w="28" w:type="dxa"/>
              <w:right w:w="28" w:type="dxa"/>
            </w:tcMar>
            <w:vAlign w:val="center"/>
          </w:tcPr>
          <w:p w14:paraId="160064A2" w14:textId="77777777" w:rsidR="00ED14FF" w:rsidRDefault="00ED14FF" w:rsidP="00764226">
            <w:pPr>
              <w:pStyle w:val="Tableheading"/>
              <w:rPr>
                <w:rFonts w:eastAsia="MS Mincho"/>
              </w:rPr>
            </w:pPr>
            <w:r>
              <w:rPr>
                <w:rFonts w:eastAsia="MS Mincho"/>
              </w:rPr>
              <w:t>Outcome</w:t>
            </w:r>
          </w:p>
        </w:tc>
        <w:tc>
          <w:tcPr>
            <w:tcW w:w="959" w:type="pct"/>
            <w:shd w:val="clear" w:color="auto" w:fill="BFBFBF" w:themeFill="background1" w:themeFillShade="BF"/>
            <w:vAlign w:val="center"/>
          </w:tcPr>
          <w:p w14:paraId="282166D5" w14:textId="77777777" w:rsidR="00ED14FF" w:rsidRDefault="00711386" w:rsidP="00764226">
            <w:pPr>
              <w:pStyle w:val="Tableheading"/>
              <w:jc w:val="center"/>
              <w:rPr>
                <w:rFonts w:eastAsia="MS Mincho"/>
              </w:rPr>
            </w:pPr>
            <w:r>
              <w:rPr>
                <w:rFonts w:eastAsia="MS Mincho"/>
              </w:rPr>
              <w:t>Study type</w:t>
            </w:r>
          </w:p>
        </w:tc>
        <w:tc>
          <w:tcPr>
            <w:tcW w:w="706" w:type="pct"/>
            <w:shd w:val="clear" w:color="auto" w:fill="BFBFBF" w:themeFill="background1" w:themeFillShade="BF"/>
            <w:tcMar>
              <w:left w:w="28" w:type="dxa"/>
              <w:right w:w="28" w:type="dxa"/>
            </w:tcMar>
            <w:vAlign w:val="center"/>
          </w:tcPr>
          <w:p w14:paraId="2472B3E6" w14:textId="441C875B" w:rsidR="00ED14FF" w:rsidRPr="00061F78" w:rsidRDefault="00ED14FF" w:rsidP="00764226">
            <w:pPr>
              <w:pStyle w:val="Tableheading"/>
              <w:jc w:val="center"/>
              <w:rPr>
                <w:rFonts w:eastAsia="MS Mincho"/>
              </w:rPr>
            </w:pPr>
            <w:r>
              <w:rPr>
                <w:rFonts w:eastAsia="MS Mincho"/>
              </w:rPr>
              <w:t>Experimental (former)</w:t>
            </w:r>
          </w:p>
        </w:tc>
        <w:tc>
          <w:tcPr>
            <w:tcW w:w="685" w:type="pct"/>
            <w:shd w:val="clear" w:color="auto" w:fill="BFBFBF" w:themeFill="background1" w:themeFillShade="BF"/>
            <w:tcMar>
              <w:left w:w="28" w:type="dxa"/>
              <w:right w:w="28" w:type="dxa"/>
            </w:tcMar>
            <w:vAlign w:val="center"/>
          </w:tcPr>
          <w:p w14:paraId="5F6C5312" w14:textId="5A54AB98" w:rsidR="00ED14FF" w:rsidRPr="00061F78" w:rsidRDefault="00ED14FF" w:rsidP="00764226">
            <w:pPr>
              <w:pStyle w:val="Tableheading"/>
              <w:jc w:val="center"/>
              <w:rPr>
                <w:rFonts w:eastAsia="MS Mincho"/>
              </w:rPr>
            </w:pPr>
            <w:r>
              <w:rPr>
                <w:rFonts w:eastAsia="MS Mincho"/>
              </w:rPr>
              <w:t>Control (latter</w:t>
            </w:r>
            <w:r w:rsidR="00547D7A">
              <w:rPr>
                <w:rFonts w:eastAsia="MS Mincho"/>
              </w:rPr>
              <w:t>)</w:t>
            </w:r>
          </w:p>
        </w:tc>
        <w:tc>
          <w:tcPr>
            <w:tcW w:w="687" w:type="pct"/>
            <w:shd w:val="clear" w:color="auto" w:fill="BFBFBF" w:themeFill="background1" w:themeFillShade="BF"/>
            <w:tcMar>
              <w:left w:w="28" w:type="dxa"/>
              <w:right w:w="28" w:type="dxa"/>
            </w:tcMar>
            <w:vAlign w:val="center"/>
          </w:tcPr>
          <w:p w14:paraId="59BBD58B" w14:textId="5D2D12F8" w:rsidR="00ED14FF" w:rsidRPr="00681ACA" w:rsidRDefault="00ED14FF" w:rsidP="00764226">
            <w:pPr>
              <w:pStyle w:val="Tableheading"/>
              <w:jc w:val="center"/>
              <w:rPr>
                <w:rFonts w:eastAsia="MS Mincho"/>
                <w:vertAlign w:val="superscript"/>
              </w:rPr>
            </w:pPr>
            <w:r>
              <w:rPr>
                <w:rFonts w:eastAsia="MS Mincho"/>
              </w:rPr>
              <w:t>RR (95% CI)</w:t>
            </w:r>
            <w:r w:rsidR="001562F2">
              <w:rPr>
                <w:rFonts w:eastAsia="MS Mincho"/>
                <w:vertAlign w:val="superscript"/>
              </w:rPr>
              <w:t>1</w:t>
            </w:r>
          </w:p>
        </w:tc>
      </w:tr>
      <w:tr w:rsidR="00ED14FF" w:rsidRPr="00061F78" w14:paraId="7FDD60F4" w14:textId="77777777" w:rsidTr="00711386">
        <w:trPr>
          <w:cantSplit/>
          <w:trHeight w:val="149"/>
        </w:trPr>
        <w:tc>
          <w:tcPr>
            <w:tcW w:w="5000" w:type="pct"/>
            <w:gridSpan w:val="5"/>
            <w:shd w:val="clear" w:color="auto" w:fill="BFBFBF" w:themeFill="background1" w:themeFillShade="BF"/>
            <w:tcMar>
              <w:left w:w="28" w:type="dxa"/>
              <w:right w:w="28" w:type="dxa"/>
            </w:tcMar>
          </w:tcPr>
          <w:p w14:paraId="056E9F2E" w14:textId="77777777" w:rsidR="00711386" w:rsidRPr="001B3B7C" w:rsidRDefault="00711386" w:rsidP="00764226">
            <w:pPr>
              <w:pStyle w:val="Tablewriting"/>
              <w:rPr>
                <w:rFonts w:eastAsia="MS Mincho"/>
              </w:rPr>
            </w:pPr>
            <w:r w:rsidRPr="001B3B7C">
              <w:rPr>
                <w:rFonts w:eastAsia="MS Mincho"/>
              </w:rPr>
              <w:t>Overall SAEs</w:t>
            </w:r>
          </w:p>
        </w:tc>
      </w:tr>
      <w:tr w:rsidR="00ED14FF" w:rsidRPr="00061F78" w14:paraId="14FB7117" w14:textId="77777777" w:rsidTr="00AF4358">
        <w:trPr>
          <w:cantSplit/>
          <w:trHeight w:val="149"/>
        </w:trPr>
        <w:tc>
          <w:tcPr>
            <w:tcW w:w="1963" w:type="pct"/>
            <w:tcMar>
              <w:left w:w="28" w:type="dxa"/>
              <w:right w:w="28" w:type="dxa"/>
            </w:tcMar>
          </w:tcPr>
          <w:p w14:paraId="6ADD6826" w14:textId="77777777" w:rsidR="00ED14FF" w:rsidRPr="001B3B7C" w:rsidRDefault="00ED14FF" w:rsidP="00764226">
            <w:pPr>
              <w:pStyle w:val="Tablewriting"/>
              <w:rPr>
                <w:rFonts w:eastAsia="MS Mincho"/>
              </w:rPr>
            </w:pPr>
            <w:r w:rsidRPr="009E6B89">
              <w:rPr>
                <w:rFonts w:eastAsia="MS Mincho"/>
              </w:rPr>
              <w:t>Continue versus stop patch use</w:t>
            </w:r>
            <w:r>
              <w:rPr>
                <w:rFonts w:eastAsia="MS Mincho"/>
              </w:rPr>
              <w:t xml:space="preserve"> </w:t>
            </w:r>
            <w:r w:rsidRPr="009E6B89">
              <w:rPr>
                <w:rFonts w:eastAsia="MS Mincho"/>
              </w:rPr>
              <w:t>on lapse</w:t>
            </w:r>
          </w:p>
        </w:tc>
        <w:tc>
          <w:tcPr>
            <w:tcW w:w="959" w:type="pct"/>
            <w:vAlign w:val="center"/>
          </w:tcPr>
          <w:p w14:paraId="4AF16F38" w14:textId="77777777" w:rsidR="00711386" w:rsidRDefault="00711386" w:rsidP="00764226">
            <w:pPr>
              <w:pStyle w:val="Tablewriting"/>
              <w:jc w:val="center"/>
              <w:rPr>
                <w:rFonts w:eastAsia="MS Mincho"/>
              </w:rPr>
            </w:pPr>
            <w:r>
              <w:rPr>
                <w:rFonts w:eastAsia="MS Mincho"/>
              </w:rPr>
              <w:t>Cochrane Review</w:t>
            </w:r>
          </w:p>
          <w:p w14:paraId="2B448319" w14:textId="77777777" w:rsidR="00ED14FF" w:rsidRPr="00E72520"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14:paraId="7E66220E" w14:textId="77777777" w:rsidR="00ED14FF" w:rsidRDefault="00ED14FF" w:rsidP="00764226">
            <w:pPr>
              <w:pStyle w:val="Tablewriting"/>
              <w:jc w:val="center"/>
              <w:rPr>
                <w:rFonts w:eastAsia="MS Mincho"/>
              </w:rPr>
            </w:pPr>
            <w:r>
              <w:rPr>
                <w:rFonts w:eastAsia="MS Mincho"/>
              </w:rPr>
              <w:t>4/356</w:t>
            </w:r>
          </w:p>
          <w:p w14:paraId="2F357A55" w14:textId="77777777" w:rsidR="00ED14FF" w:rsidRPr="001B3B7C" w:rsidRDefault="00ED14FF" w:rsidP="00764226">
            <w:pPr>
              <w:pStyle w:val="Tablewriting"/>
              <w:jc w:val="center"/>
              <w:rPr>
                <w:rFonts w:eastAsia="MS Mincho"/>
              </w:rPr>
            </w:pPr>
            <w:r>
              <w:rPr>
                <w:rFonts w:eastAsia="MS Mincho"/>
              </w:rPr>
              <w:t>(1.1%)</w:t>
            </w:r>
          </w:p>
        </w:tc>
        <w:tc>
          <w:tcPr>
            <w:tcW w:w="685" w:type="pct"/>
            <w:tcMar>
              <w:left w:w="28" w:type="dxa"/>
              <w:right w:w="28" w:type="dxa"/>
            </w:tcMar>
            <w:vAlign w:val="center"/>
          </w:tcPr>
          <w:p w14:paraId="31A2E379" w14:textId="77777777" w:rsidR="00ED14FF" w:rsidRDefault="00ED14FF" w:rsidP="00764226">
            <w:pPr>
              <w:pStyle w:val="Tablewriting"/>
              <w:jc w:val="center"/>
              <w:rPr>
                <w:rFonts w:eastAsia="MS Mincho"/>
              </w:rPr>
            </w:pPr>
            <w:r>
              <w:rPr>
                <w:rFonts w:eastAsia="MS Mincho"/>
              </w:rPr>
              <w:t>4/345</w:t>
            </w:r>
          </w:p>
          <w:p w14:paraId="50FD7591" w14:textId="77777777" w:rsidR="00ED14FF" w:rsidRPr="001B3B7C" w:rsidRDefault="00ED14FF" w:rsidP="00764226">
            <w:pPr>
              <w:pStyle w:val="Tablewriting"/>
              <w:jc w:val="center"/>
              <w:rPr>
                <w:rFonts w:eastAsia="MS Mincho"/>
              </w:rPr>
            </w:pPr>
            <w:r>
              <w:rPr>
                <w:rFonts w:eastAsia="MS Mincho"/>
              </w:rPr>
              <w:t>(1.2%)</w:t>
            </w:r>
          </w:p>
        </w:tc>
        <w:tc>
          <w:tcPr>
            <w:tcW w:w="687" w:type="pct"/>
            <w:tcMar>
              <w:left w:w="28" w:type="dxa"/>
              <w:right w:w="28" w:type="dxa"/>
            </w:tcMar>
            <w:vAlign w:val="center"/>
          </w:tcPr>
          <w:p w14:paraId="269428FF" w14:textId="77777777" w:rsidR="00ED14FF" w:rsidRDefault="00ED14FF" w:rsidP="00764226">
            <w:pPr>
              <w:pStyle w:val="Tablewriting"/>
              <w:jc w:val="center"/>
              <w:rPr>
                <w:rFonts w:eastAsia="MS Mincho"/>
              </w:rPr>
            </w:pPr>
            <w:r>
              <w:rPr>
                <w:rFonts w:eastAsia="MS Mincho"/>
              </w:rPr>
              <w:t>0.97</w:t>
            </w:r>
          </w:p>
          <w:p w14:paraId="1CF59901" w14:textId="77777777" w:rsidR="00ED14FF" w:rsidRPr="001B3B7C" w:rsidRDefault="00ED14FF" w:rsidP="00764226">
            <w:pPr>
              <w:pStyle w:val="Tablewriting"/>
              <w:jc w:val="center"/>
              <w:rPr>
                <w:rFonts w:eastAsia="MS Mincho"/>
              </w:rPr>
            </w:pPr>
            <w:r>
              <w:rPr>
                <w:rFonts w:eastAsia="MS Mincho"/>
              </w:rPr>
              <w:t>(0.24, 3.84)</w:t>
            </w:r>
          </w:p>
        </w:tc>
      </w:tr>
      <w:tr w:rsidR="00ED14FF" w:rsidRPr="00061F78" w14:paraId="12A8251A" w14:textId="77777777" w:rsidTr="00AF4358">
        <w:trPr>
          <w:cantSplit/>
          <w:trHeight w:val="149"/>
        </w:trPr>
        <w:tc>
          <w:tcPr>
            <w:tcW w:w="1963" w:type="pct"/>
            <w:tcMar>
              <w:left w:w="28" w:type="dxa"/>
              <w:right w:w="28" w:type="dxa"/>
            </w:tcMar>
          </w:tcPr>
          <w:p w14:paraId="0D2E3BE7" w14:textId="77777777" w:rsidR="00ED14FF" w:rsidRPr="009E6B89" w:rsidRDefault="00ED14FF" w:rsidP="00764226">
            <w:pPr>
              <w:pStyle w:val="Tablewriting"/>
              <w:rPr>
                <w:rFonts w:eastAsia="MS Mincho"/>
              </w:rPr>
            </w:pPr>
            <w:r w:rsidRPr="009E6B89">
              <w:rPr>
                <w:rFonts w:eastAsia="MS Mincho"/>
              </w:rPr>
              <w:t>35 mg patch + fast-acting for 22</w:t>
            </w:r>
          </w:p>
          <w:p w14:paraId="41BCB767" w14:textId="77777777" w:rsidR="00ED14FF" w:rsidRPr="001B3B7C"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14:paraId="7FD4C3E1" w14:textId="77777777" w:rsidR="00711386" w:rsidRDefault="00711386" w:rsidP="00764226">
            <w:pPr>
              <w:pStyle w:val="Tablewriting"/>
              <w:jc w:val="center"/>
              <w:rPr>
                <w:rFonts w:eastAsia="MS Mincho"/>
              </w:rPr>
            </w:pPr>
            <w:r>
              <w:rPr>
                <w:rFonts w:eastAsia="MS Mincho"/>
              </w:rPr>
              <w:t>Cochrane Review</w:t>
            </w:r>
          </w:p>
          <w:p w14:paraId="206B8A4C" w14:textId="77777777" w:rsidR="00ED14FF" w:rsidRPr="001B3B7C" w:rsidRDefault="00711386" w:rsidP="00764226">
            <w:pPr>
              <w:pStyle w:val="Tablewriting"/>
              <w:jc w:val="center"/>
              <w:rPr>
                <w:rFonts w:eastAsia="MS Mincho"/>
              </w:rPr>
            </w:pPr>
            <w:r>
              <w:rPr>
                <w:rFonts w:eastAsia="MS Mincho"/>
              </w:rPr>
              <w:t>(1 RCT)</w:t>
            </w:r>
          </w:p>
        </w:tc>
        <w:tc>
          <w:tcPr>
            <w:tcW w:w="706" w:type="pct"/>
            <w:vAlign w:val="center"/>
          </w:tcPr>
          <w:p w14:paraId="58A54D51" w14:textId="77777777" w:rsidR="00ED14FF" w:rsidRDefault="00ED14FF" w:rsidP="00764226">
            <w:pPr>
              <w:pStyle w:val="Tablewriting"/>
              <w:jc w:val="center"/>
              <w:rPr>
                <w:rFonts w:eastAsia="MS Mincho"/>
              </w:rPr>
            </w:pPr>
            <w:r>
              <w:rPr>
                <w:rFonts w:eastAsia="MS Mincho"/>
              </w:rPr>
              <w:t>6/245</w:t>
            </w:r>
          </w:p>
          <w:p w14:paraId="5893EFBF" w14:textId="77777777" w:rsidR="00ED14FF" w:rsidRPr="001B3B7C" w:rsidRDefault="00ED14FF" w:rsidP="00764226">
            <w:pPr>
              <w:pStyle w:val="Tablewriting"/>
              <w:jc w:val="center"/>
              <w:rPr>
                <w:rFonts w:eastAsia="MS Mincho"/>
              </w:rPr>
            </w:pPr>
            <w:r>
              <w:rPr>
                <w:rFonts w:eastAsia="MS Mincho"/>
              </w:rPr>
              <w:t>(2.4%)</w:t>
            </w:r>
          </w:p>
        </w:tc>
        <w:tc>
          <w:tcPr>
            <w:tcW w:w="685" w:type="pct"/>
            <w:vAlign w:val="center"/>
          </w:tcPr>
          <w:p w14:paraId="3E614BA0" w14:textId="77777777" w:rsidR="00ED14FF" w:rsidRDefault="00ED14FF" w:rsidP="00764226">
            <w:pPr>
              <w:pStyle w:val="Tablewriting"/>
              <w:jc w:val="center"/>
              <w:rPr>
                <w:rFonts w:eastAsia="MS Mincho"/>
              </w:rPr>
            </w:pPr>
            <w:r>
              <w:rPr>
                <w:rFonts w:eastAsia="MS Mincho"/>
              </w:rPr>
              <w:t>9/245</w:t>
            </w:r>
          </w:p>
          <w:p w14:paraId="359F1FC7" w14:textId="77777777" w:rsidR="00ED14FF" w:rsidRPr="001B3B7C" w:rsidRDefault="00ED14FF" w:rsidP="00764226">
            <w:pPr>
              <w:pStyle w:val="Tablewriting"/>
              <w:jc w:val="center"/>
              <w:rPr>
                <w:rFonts w:eastAsia="MS Mincho"/>
              </w:rPr>
            </w:pPr>
            <w:r>
              <w:rPr>
                <w:rFonts w:eastAsia="MS Mincho"/>
              </w:rPr>
              <w:t>(3.7%)</w:t>
            </w:r>
          </w:p>
        </w:tc>
        <w:tc>
          <w:tcPr>
            <w:tcW w:w="687" w:type="pct"/>
            <w:tcMar>
              <w:left w:w="28" w:type="dxa"/>
              <w:right w:w="28" w:type="dxa"/>
            </w:tcMar>
            <w:vAlign w:val="center"/>
          </w:tcPr>
          <w:p w14:paraId="3492E94A" w14:textId="77777777" w:rsidR="00ED14FF" w:rsidRDefault="00ED14FF" w:rsidP="00764226">
            <w:pPr>
              <w:pStyle w:val="Tablewriting"/>
              <w:jc w:val="center"/>
              <w:rPr>
                <w:rFonts w:eastAsia="MS Mincho"/>
              </w:rPr>
            </w:pPr>
            <w:r>
              <w:rPr>
                <w:rFonts w:eastAsia="MS Mincho"/>
              </w:rPr>
              <w:t>0.67</w:t>
            </w:r>
          </w:p>
          <w:p w14:paraId="030C871D" w14:textId="77777777" w:rsidR="00ED14FF" w:rsidRPr="001B3B7C" w:rsidRDefault="00ED14FF" w:rsidP="00764226">
            <w:pPr>
              <w:pStyle w:val="Tablewriting"/>
              <w:jc w:val="center"/>
              <w:rPr>
                <w:rFonts w:eastAsia="MS Mincho"/>
              </w:rPr>
            </w:pPr>
            <w:r>
              <w:rPr>
                <w:rFonts w:eastAsia="MS Mincho"/>
              </w:rPr>
              <w:t>(0.24, 1.84)</w:t>
            </w:r>
          </w:p>
        </w:tc>
      </w:tr>
      <w:tr w:rsidR="00ED14FF" w:rsidRPr="00061F78" w14:paraId="4ABEAFAD" w14:textId="77777777" w:rsidTr="00711386">
        <w:trPr>
          <w:cantSplit/>
          <w:trHeight w:val="149"/>
        </w:trPr>
        <w:tc>
          <w:tcPr>
            <w:tcW w:w="5000" w:type="pct"/>
            <w:gridSpan w:val="5"/>
            <w:shd w:val="clear" w:color="auto" w:fill="BFBFBF" w:themeFill="background1" w:themeFillShade="BF"/>
            <w:tcMar>
              <w:left w:w="28" w:type="dxa"/>
              <w:right w:w="28" w:type="dxa"/>
            </w:tcMar>
          </w:tcPr>
          <w:p w14:paraId="57A40773" w14:textId="77777777" w:rsidR="00711386" w:rsidRPr="001B3B7C" w:rsidRDefault="00711386" w:rsidP="00764226">
            <w:pPr>
              <w:pStyle w:val="Tablewriting"/>
              <w:rPr>
                <w:rFonts w:eastAsia="MS Mincho"/>
              </w:rPr>
            </w:pPr>
            <w:r w:rsidRPr="001B3B7C">
              <w:rPr>
                <w:rFonts w:eastAsia="MS Mincho"/>
              </w:rPr>
              <w:t>Treatment withdrawals</w:t>
            </w:r>
          </w:p>
        </w:tc>
      </w:tr>
      <w:tr w:rsidR="00ED14FF" w:rsidRPr="00061F78" w14:paraId="14BCFCF6" w14:textId="77777777" w:rsidTr="00AF4358">
        <w:trPr>
          <w:cantSplit/>
          <w:trHeight w:val="149"/>
        </w:trPr>
        <w:tc>
          <w:tcPr>
            <w:tcW w:w="1963" w:type="pct"/>
            <w:tcMar>
              <w:left w:w="28" w:type="dxa"/>
              <w:right w:w="28" w:type="dxa"/>
            </w:tcMar>
          </w:tcPr>
          <w:p w14:paraId="10666514" w14:textId="77777777" w:rsidR="00ED14FF" w:rsidRPr="009E6B89" w:rsidRDefault="00ED14FF" w:rsidP="00764226">
            <w:pPr>
              <w:pStyle w:val="Tablewriting"/>
              <w:rPr>
                <w:rFonts w:eastAsia="MS Mincho"/>
              </w:rPr>
            </w:pPr>
            <w:r w:rsidRPr="009E6B89">
              <w:rPr>
                <w:rFonts w:eastAsia="MS Mincho"/>
              </w:rPr>
              <w:t>35 mg patch + fast-acting for 22</w:t>
            </w:r>
          </w:p>
          <w:p w14:paraId="434072F4" w14:textId="77777777" w:rsidR="00ED14FF" w:rsidRPr="001B3B7C"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14:paraId="1A86C772" w14:textId="77777777" w:rsidR="00711386" w:rsidRDefault="00711386" w:rsidP="00764226">
            <w:pPr>
              <w:pStyle w:val="Tablewriting"/>
              <w:jc w:val="center"/>
              <w:rPr>
                <w:rFonts w:eastAsia="MS Mincho"/>
              </w:rPr>
            </w:pPr>
            <w:r>
              <w:rPr>
                <w:rFonts w:eastAsia="MS Mincho"/>
              </w:rPr>
              <w:t>Cochrane Review</w:t>
            </w:r>
          </w:p>
          <w:p w14:paraId="3F9E1ADC" w14:textId="77777777" w:rsidR="00ED14FF" w:rsidRPr="001B3B7C"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14:paraId="2F793779" w14:textId="77777777" w:rsidR="00ED14FF" w:rsidRDefault="00ED14FF" w:rsidP="00764226">
            <w:pPr>
              <w:pStyle w:val="Tablewriting"/>
              <w:jc w:val="center"/>
              <w:rPr>
                <w:rFonts w:eastAsia="MS Mincho"/>
              </w:rPr>
            </w:pPr>
            <w:r>
              <w:rPr>
                <w:rFonts w:eastAsia="MS Mincho"/>
              </w:rPr>
              <w:t>5/245</w:t>
            </w:r>
          </w:p>
          <w:p w14:paraId="5851F6B8" w14:textId="77777777" w:rsidR="00ED14FF" w:rsidRPr="001B3B7C" w:rsidRDefault="00ED14FF" w:rsidP="00764226">
            <w:pPr>
              <w:pStyle w:val="Tablewriting"/>
              <w:jc w:val="center"/>
              <w:rPr>
                <w:rFonts w:eastAsia="MS Mincho"/>
              </w:rPr>
            </w:pPr>
            <w:r>
              <w:rPr>
                <w:rFonts w:eastAsia="MS Mincho"/>
              </w:rPr>
              <w:t>(2%)</w:t>
            </w:r>
          </w:p>
        </w:tc>
        <w:tc>
          <w:tcPr>
            <w:tcW w:w="685" w:type="pct"/>
            <w:tcMar>
              <w:left w:w="28" w:type="dxa"/>
              <w:right w:w="28" w:type="dxa"/>
            </w:tcMar>
            <w:vAlign w:val="center"/>
          </w:tcPr>
          <w:p w14:paraId="5B72E1E9" w14:textId="77777777" w:rsidR="00ED14FF" w:rsidRDefault="00ED14FF" w:rsidP="00764226">
            <w:pPr>
              <w:pStyle w:val="Tablewriting"/>
              <w:jc w:val="center"/>
              <w:rPr>
                <w:rFonts w:eastAsia="MS Mincho"/>
              </w:rPr>
            </w:pPr>
            <w:r>
              <w:rPr>
                <w:rFonts w:eastAsia="MS Mincho"/>
              </w:rPr>
              <w:t>4/245</w:t>
            </w:r>
          </w:p>
          <w:p w14:paraId="61518527" w14:textId="77777777" w:rsidR="00ED14FF" w:rsidRPr="001B3B7C" w:rsidRDefault="00ED14FF" w:rsidP="00764226">
            <w:pPr>
              <w:pStyle w:val="Tablewriting"/>
              <w:jc w:val="center"/>
              <w:rPr>
                <w:rFonts w:eastAsia="MS Mincho"/>
              </w:rPr>
            </w:pPr>
            <w:r>
              <w:rPr>
                <w:rFonts w:eastAsia="MS Mincho"/>
              </w:rPr>
              <w:t>(1.6%)</w:t>
            </w:r>
          </w:p>
        </w:tc>
        <w:tc>
          <w:tcPr>
            <w:tcW w:w="687" w:type="pct"/>
            <w:tcMar>
              <w:left w:w="28" w:type="dxa"/>
              <w:right w:w="28" w:type="dxa"/>
            </w:tcMar>
            <w:vAlign w:val="center"/>
          </w:tcPr>
          <w:p w14:paraId="0F6E1D63" w14:textId="77777777" w:rsidR="00ED14FF" w:rsidRDefault="00ED14FF" w:rsidP="00764226">
            <w:pPr>
              <w:pStyle w:val="Tablewriting"/>
              <w:jc w:val="center"/>
              <w:rPr>
                <w:rFonts w:eastAsia="MS Mincho"/>
              </w:rPr>
            </w:pPr>
            <w:r>
              <w:rPr>
                <w:rFonts w:eastAsia="MS Mincho"/>
              </w:rPr>
              <w:t>1.25</w:t>
            </w:r>
          </w:p>
          <w:p w14:paraId="0E6A07E1" w14:textId="77777777" w:rsidR="00ED14FF" w:rsidRPr="001B3B7C" w:rsidRDefault="00ED14FF" w:rsidP="00764226">
            <w:pPr>
              <w:pStyle w:val="Tablewriting"/>
              <w:jc w:val="center"/>
              <w:rPr>
                <w:rFonts w:eastAsia="MS Mincho"/>
              </w:rPr>
            </w:pPr>
            <w:r>
              <w:rPr>
                <w:rFonts w:eastAsia="MS Mincho"/>
              </w:rPr>
              <w:t>(0.34, 4.6)</w:t>
            </w:r>
          </w:p>
        </w:tc>
      </w:tr>
      <w:tr w:rsidR="00ED14FF" w:rsidRPr="00061F78" w14:paraId="2AC2B338" w14:textId="77777777" w:rsidTr="00711386">
        <w:trPr>
          <w:cantSplit/>
          <w:trHeight w:val="149"/>
        </w:trPr>
        <w:tc>
          <w:tcPr>
            <w:tcW w:w="5000" w:type="pct"/>
            <w:gridSpan w:val="5"/>
            <w:shd w:val="clear" w:color="auto" w:fill="BFBFBF" w:themeFill="background1" w:themeFillShade="BF"/>
            <w:tcMar>
              <w:left w:w="28" w:type="dxa"/>
              <w:right w:w="28" w:type="dxa"/>
            </w:tcMar>
          </w:tcPr>
          <w:p w14:paraId="31412204" w14:textId="77777777" w:rsidR="00711386" w:rsidRPr="001B3B7C" w:rsidRDefault="00711386" w:rsidP="00764226">
            <w:pPr>
              <w:pStyle w:val="Tablewriting"/>
              <w:rPr>
                <w:rFonts w:eastAsia="MS Mincho"/>
                <w:highlight w:val="yellow"/>
              </w:rPr>
            </w:pPr>
            <w:r w:rsidRPr="009E6B89">
              <w:rPr>
                <w:rFonts w:eastAsia="MS Mincho"/>
              </w:rPr>
              <w:t>Cardiac AEs</w:t>
            </w:r>
          </w:p>
        </w:tc>
      </w:tr>
      <w:tr w:rsidR="00ED14FF" w:rsidRPr="00061F78" w14:paraId="58FED5DB" w14:textId="77777777" w:rsidTr="00AF4358">
        <w:trPr>
          <w:cantSplit/>
          <w:trHeight w:val="149"/>
        </w:trPr>
        <w:tc>
          <w:tcPr>
            <w:tcW w:w="1963" w:type="pct"/>
            <w:tcMar>
              <w:left w:w="28" w:type="dxa"/>
              <w:right w:w="28" w:type="dxa"/>
            </w:tcMar>
          </w:tcPr>
          <w:p w14:paraId="0A6234ED" w14:textId="77777777" w:rsidR="00ED14FF" w:rsidRPr="009E6B89" w:rsidRDefault="00ED14FF" w:rsidP="00764226">
            <w:pPr>
              <w:pStyle w:val="Tablewriting"/>
              <w:rPr>
                <w:rFonts w:eastAsia="MS Mincho"/>
              </w:rPr>
            </w:pPr>
            <w:r w:rsidRPr="009E6B89">
              <w:rPr>
                <w:rFonts w:eastAsia="MS Mincho"/>
              </w:rPr>
              <w:t>35 mg patch + fast-acting for 22</w:t>
            </w:r>
          </w:p>
          <w:p w14:paraId="749529CF" w14:textId="77777777" w:rsidR="00ED14FF" w:rsidRPr="009E6B89" w:rsidRDefault="00ED14FF" w:rsidP="00764226">
            <w:pPr>
              <w:pStyle w:val="Tablewriting"/>
              <w:rPr>
                <w:rFonts w:eastAsia="MS Mincho"/>
              </w:rPr>
            </w:pPr>
            <w:r w:rsidRPr="009E6B89">
              <w:rPr>
                <w:rFonts w:eastAsia="MS Mincho"/>
              </w:rPr>
              <w:t>weeks versus 21 mg patch for 10</w:t>
            </w:r>
            <w:r>
              <w:rPr>
                <w:rFonts w:eastAsia="MS Mincho"/>
              </w:rPr>
              <w:t xml:space="preserve"> </w:t>
            </w:r>
            <w:r w:rsidRPr="009E6B89">
              <w:rPr>
                <w:rFonts w:eastAsia="MS Mincho"/>
              </w:rPr>
              <w:t>weeks</w:t>
            </w:r>
          </w:p>
        </w:tc>
        <w:tc>
          <w:tcPr>
            <w:tcW w:w="959" w:type="pct"/>
            <w:vAlign w:val="center"/>
          </w:tcPr>
          <w:p w14:paraId="1971CF81" w14:textId="77777777" w:rsidR="00711386" w:rsidRDefault="00711386" w:rsidP="00764226">
            <w:pPr>
              <w:pStyle w:val="Tablewriting"/>
              <w:jc w:val="center"/>
              <w:rPr>
                <w:rFonts w:eastAsia="MS Mincho"/>
              </w:rPr>
            </w:pPr>
            <w:r>
              <w:rPr>
                <w:rFonts w:eastAsia="MS Mincho"/>
              </w:rPr>
              <w:t>Cochrane Review</w:t>
            </w:r>
          </w:p>
          <w:p w14:paraId="3E325185" w14:textId="77777777" w:rsidR="00ED14FF" w:rsidRPr="001B3B7C" w:rsidRDefault="00711386" w:rsidP="00764226">
            <w:pPr>
              <w:pStyle w:val="Tablewriting"/>
              <w:jc w:val="center"/>
              <w:rPr>
                <w:rFonts w:eastAsia="MS Mincho"/>
              </w:rPr>
            </w:pPr>
            <w:r>
              <w:rPr>
                <w:rFonts w:eastAsia="MS Mincho"/>
              </w:rPr>
              <w:t>(1 RCT)</w:t>
            </w:r>
          </w:p>
        </w:tc>
        <w:tc>
          <w:tcPr>
            <w:tcW w:w="706" w:type="pct"/>
            <w:tcMar>
              <w:left w:w="28" w:type="dxa"/>
              <w:right w:w="28" w:type="dxa"/>
            </w:tcMar>
            <w:vAlign w:val="center"/>
          </w:tcPr>
          <w:p w14:paraId="2B6E2400" w14:textId="77777777" w:rsidR="00ED14FF" w:rsidRDefault="00ED14FF" w:rsidP="00764226">
            <w:pPr>
              <w:pStyle w:val="Tablewriting"/>
              <w:jc w:val="center"/>
              <w:rPr>
                <w:rFonts w:eastAsia="MS Mincho"/>
              </w:rPr>
            </w:pPr>
            <w:r>
              <w:rPr>
                <w:rFonts w:eastAsia="MS Mincho"/>
              </w:rPr>
              <w:t>3/245</w:t>
            </w:r>
          </w:p>
          <w:p w14:paraId="3B67CED2" w14:textId="77777777" w:rsidR="00ED14FF" w:rsidRPr="001B3B7C" w:rsidRDefault="00ED14FF" w:rsidP="00764226">
            <w:pPr>
              <w:pStyle w:val="Tablewriting"/>
              <w:jc w:val="center"/>
              <w:rPr>
                <w:rFonts w:eastAsia="MS Mincho"/>
              </w:rPr>
            </w:pPr>
            <w:r>
              <w:rPr>
                <w:rFonts w:eastAsia="MS Mincho"/>
              </w:rPr>
              <w:t>(1.2%)</w:t>
            </w:r>
          </w:p>
        </w:tc>
        <w:tc>
          <w:tcPr>
            <w:tcW w:w="685" w:type="pct"/>
            <w:tcMar>
              <w:left w:w="28" w:type="dxa"/>
              <w:right w:w="28" w:type="dxa"/>
            </w:tcMar>
            <w:vAlign w:val="center"/>
          </w:tcPr>
          <w:p w14:paraId="18761852" w14:textId="77777777" w:rsidR="00ED14FF" w:rsidRDefault="00ED14FF" w:rsidP="00764226">
            <w:pPr>
              <w:pStyle w:val="Tablewriting"/>
              <w:jc w:val="center"/>
              <w:rPr>
                <w:rFonts w:eastAsia="MS Mincho"/>
              </w:rPr>
            </w:pPr>
            <w:r>
              <w:rPr>
                <w:rFonts w:eastAsia="MS Mincho"/>
              </w:rPr>
              <w:t>5/245</w:t>
            </w:r>
          </w:p>
          <w:p w14:paraId="058FC6F4" w14:textId="77777777" w:rsidR="00ED14FF" w:rsidRPr="001B3B7C" w:rsidRDefault="00ED14FF" w:rsidP="00764226">
            <w:pPr>
              <w:pStyle w:val="Tablewriting"/>
              <w:jc w:val="center"/>
              <w:rPr>
                <w:rFonts w:eastAsia="MS Mincho"/>
              </w:rPr>
            </w:pPr>
            <w:r>
              <w:rPr>
                <w:rFonts w:eastAsia="MS Mincho"/>
              </w:rPr>
              <w:t>(2%)</w:t>
            </w:r>
          </w:p>
        </w:tc>
        <w:tc>
          <w:tcPr>
            <w:tcW w:w="687" w:type="pct"/>
            <w:tcMar>
              <w:left w:w="28" w:type="dxa"/>
              <w:right w:w="28" w:type="dxa"/>
            </w:tcMar>
            <w:vAlign w:val="center"/>
          </w:tcPr>
          <w:p w14:paraId="77D024DA" w14:textId="77777777" w:rsidR="00ED14FF" w:rsidRDefault="00ED14FF" w:rsidP="00764226">
            <w:pPr>
              <w:pStyle w:val="Tablewriting"/>
              <w:jc w:val="center"/>
              <w:rPr>
                <w:rFonts w:eastAsia="MS Mincho"/>
              </w:rPr>
            </w:pPr>
            <w:r>
              <w:rPr>
                <w:rFonts w:eastAsia="MS Mincho"/>
              </w:rPr>
              <w:t>0.6</w:t>
            </w:r>
          </w:p>
          <w:p w14:paraId="0722B177" w14:textId="77777777" w:rsidR="00ED14FF" w:rsidRPr="001B3B7C" w:rsidRDefault="00ED14FF" w:rsidP="00764226">
            <w:pPr>
              <w:pStyle w:val="Tablewriting"/>
              <w:jc w:val="center"/>
              <w:rPr>
                <w:rFonts w:eastAsia="MS Mincho"/>
              </w:rPr>
            </w:pPr>
            <w:r>
              <w:rPr>
                <w:rFonts w:eastAsia="MS Mincho"/>
              </w:rPr>
              <w:t>(0.14, 2.48)</w:t>
            </w:r>
          </w:p>
        </w:tc>
      </w:tr>
    </w:tbl>
    <w:p w14:paraId="435F122B" w14:textId="77777777" w:rsidR="00ED14FF" w:rsidRPr="00E72520" w:rsidRDefault="00ED14FF" w:rsidP="0012368C">
      <w:pPr>
        <w:pStyle w:val="TableFooter"/>
        <w:jc w:val="both"/>
      </w:pPr>
      <w:r w:rsidRPr="00E72520">
        <w:t>Source: Lindson et al. (2019)</w:t>
      </w:r>
    </w:p>
    <w:p w14:paraId="3148CCC5" w14:textId="77777777" w:rsidR="00ED14FF" w:rsidRPr="00E72520" w:rsidRDefault="00ED14FF" w:rsidP="0012368C">
      <w:pPr>
        <w:pStyle w:val="TableFooter"/>
        <w:jc w:val="both"/>
      </w:pPr>
      <w:r w:rsidRPr="00E72520">
        <w:t xml:space="preserve">Abbreviations: </w:t>
      </w:r>
      <w:r>
        <w:t xml:space="preserve">AEs = adverse events; </w:t>
      </w:r>
      <w:r w:rsidRPr="00E72520">
        <w:t>CI = confidence interval; NE = not estimable; RCT = randomised controlled trial; RR = risk ratio</w:t>
      </w:r>
      <w:r>
        <w:t>; SAEs = serious adverse events.</w:t>
      </w:r>
    </w:p>
    <w:p w14:paraId="50E4708A" w14:textId="22C7AB10" w:rsidR="00ED14FF" w:rsidRPr="006F1FEC" w:rsidRDefault="00ED14FF" w:rsidP="0012368C">
      <w:pPr>
        <w:pStyle w:val="TableFooter"/>
        <w:jc w:val="both"/>
      </w:pPr>
      <w:r w:rsidRPr="006F1FEC">
        <w:t xml:space="preserve">Notes: See Appendix </w:t>
      </w:r>
      <w:r w:rsidR="00A27BF8" w:rsidRPr="00A27BF8">
        <w:fldChar w:fldCharType="begin" w:fldLock="1"/>
      </w:r>
      <w:r w:rsidR="00A27BF8" w:rsidRPr="00A27BF8">
        <w:instrText xml:space="preserve"> REF _Ref62127877 \h </w:instrText>
      </w:r>
      <w:r w:rsidR="00A27BF8">
        <w:instrText xml:space="preserve"> \* MERGEFORMAT </w:instrText>
      </w:r>
      <w:r w:rsidR="00A27BF8" w:rsidRPr="00A27BF8">
        <w:fldChar w:fldCharType="separate"/>
      </w:r>
      <w:r w:rsidR="00EC5CC7">
        <w:t xml:space="preserve">Figure </w:t>
      </w:r>
      <w:r w:rsidR="00EC5CC7">
        <w:rPr>
          <w:noProof/>
        </w:rPr>
        <w:t>93</w:t>
      </w:r>
      <w:r w:rsidR="00A27BF8" w:rsidRPr="00A27BF8">
        <w:fldChar w:fldCharType="end"/>
      </w:r>
      <w:r w:rsidR="00A27BF8" w:rsidRPr="00A27BF8">
        <w:t xml:space="preserve">, </w:t>
      </w:r>
      <w:r w:rsidR="00A27BF8" w:rsidRPr="00A27BF8">
        <w:fldChar w:fldCharType="begin" w:fldLock="1"/>
      </w:r>
      <w:r w:rsidR="00A27BF8" w:rsidRPr="00A27BF8">
        <w:instrText xml:space="preserve"> REF _Ref62128949 \h </w:instrText>
      </w:r>
      <w:r w:rsidR="00A27BF8">
        <w:instrText xml:space="preserve"> \* MERGEFORMAT </w:instrText>
      </w:r>
      <w:r w:rsidR="00A27BF8" w:rsidRPr="00A27BF8">
        <w:fldChar w:fldCharType="separate"/>
      </w:r>
      <w:r w:rsidR="00EC5CC7">
        <w:t xml:space="preserve">Figure </w:t>
      </w:r>
      <w:r w:rsidR="00EC5CC7">
        <w:rPr>
          <w:noProof/>
        </w:rPr>
        <w:t>95</w:t>
      </w:r>
      <w:r w:rsidR="00A27BF8" w:rsidRPr="00A27BF8">
        <w:fldChar w:fldCharType="end"/>
      </w:r>
      <w:r w:rsidRPr="00A27BF8">
        <w:t xml:space="preserve"> and </w:t>
      </w:r>
      <w:r w:rsidR="00A27BF8" w:rsidRPr="00A27BF8">
        <w:fldChar w:fldCharType="begin" w:fldLock="1"/>
      </w:r>
      <w:r w:rsidR="00A27BF8" w:rsidRPr="00A27BF8">
        <w:instrText xml:space="preserve"> REF _Ref62128952 \h </w:instrText>
      </w:r>
      <w:r w:rsidR="00A27BF8">
        <w:instrText xml:space="preserve"> \* MERGEFORMAT </w:instrText>
      </w:r>
      <w:r w:rsidR="00A27BF8" w:rsidRPr="00A27BF8">
        <w:fldChar w:fldCharType="separate"/>
      </w:r>
      <w:r w:rsidR="00EC5CC7">
        <w:t xml:space="preserve">Figure </w:t>
      </w:r>
      <w:r w:rsidR="00EC5CC7">
        <w:rPr>
          <w:noProof/>
        </w:rPr>
        <w:t>96</w:t>
      </w:r>
      <w:r w:rsidR="00A27BF8" w:rsidRPr="00A27BF8">
        <w:fldChar w:fldCharType="end"/>
      </w:r>
      <w:r w:rsidRPr="006F1FEC">
        <w:t xml:space="preserve"> for forest plots of the respective outcomes which included the results of individual studies.</w:t>
      </w:r>
    </w:p>
    <w:p w14:paraId="73F0D098" w14:textId="71398218" w:rsidR="00A87D84" w:rsidRPr="006F1FEC" w:rsidRDefault="00A87D84" w:rsidP="0012368C">
      <w:pPr>
        <w:pStyle w:val="TableFooter"/>
        <w:spacing w:after="120"/>
        <w:contextualSpacing w:val="0"/>
        <w:jc w:val="both"/>
      </w:pPr>
      <w:r>
        <w:t>1</w:t>
      </w:r>
      <w:r w:rsidRPr="00432CC7">
        <w:t xml:space="preserve"> </w:t>
      </w:r>
      <w:r w:rsidRPr="00D13293">
        <w:t xml:space="preserve">Calculated </w:t>
      </w:r>
      <w:r w:rsidR="008F0780">
        <w:t>by Cochrane Review authors</w:t>
      </w:r>
      <w:r w:rsidRPr="00D13293">
        <w:t xml:space="preserve"> using a fixed-effect model.</w:t>
      </w:r>
      <w:r>
        <w:t xml:space="preserve"> </w:t>
      </w:r>
    </w:p>
    <w:p w14:paraId="3679E03B" w14:textId="4DA66A5F" w:rsidR="004221B4" w:rsidRPr="00ED2841" w:rsidRDefault="00ED2841" w:rsidP="0012368C">
      <w:pPr>
        <w:pStyle w:val="Heading4"/>
        <w:numPr>
          <w:ilvl w:val="0"/>
          <w:numId w:val="0"/>
        </w:numPr>
        <w:spacing w:after="120"/>
        <w:jc w:val="both"/>
      </w:pPr>
      <w:r w:rsidRPr="00DD5BFC">
        <w:t>Dosing schedule</w:t>
      </w:r>
    </w:p>
    <w:p w14:paraId="4D3FACA3" w14:textId="54D00C99" w:rsidR="00647EEC" w:rsidRDefault="003370C1" w:rsidP="002C2DB9">
      <w:pPr>
        <w:spacing w:after="120"/>
        <w:jc w:val="both"/>
      </w:pPr>
      <w:r w:rsidRPr="00713891">
        <w:t xml:space="preserve">A summary of the characteristics of the studies comparing </w:t>
      </w:r>
      <w:r>
        <w:t>different dos</w:t>
      </w:r>
      <w:r w:rsidR="00975E75">
        <w:t>ing</w:t>
      </w:r>
      <w:r>
        <w:t xml:space="preserve"> schedule</w:t>
      </w:r>
      <w:r w:rsidR="00975E75">
        <w:t>s</w:t>
      </w:r>
      <w:r>
        <w:t xml:space="preserve"> of NRT </w:t>
      </w:r>
      <w:r w:rsidRPr="00713891">
        <w:t>is presented in</w:t>
      </w:r>
      <w:r w:rsidR="0033476E">
        <w:t xml:space="preserve"> </w:t>
      </w:r>
      <w:r w:rsidR="0033476E">
        <w:fldChar w:fldCharType="begin" w:fldLock="1"/>
      </w:r>
      <w:r w:rsidR="0033476E">
        <w:instrText xml:space="preserve"> REF _Ref62117510 \h </w:instrText>
      </w:r>
      <w:r w:rsidR="0033476E">
        <w:fldChar w:fldCharType="separate"/>
      </w:r>
      <w:r w:rsidR="00EC5CC7">
        <w:t xml:space="preserve">Table </w:t>
      </w:r>
      <w:r w:rsidR="00EC5CC7">
        <w:rPr>
          <w:noProof/>
        </w:rPr>
        <w:t>95</w:t>
      </w:r>
      <w:r w:rsidR="0033476E">
        <w:fldChar w:fldCharType="end"/>
      </w:r>
      <w:r w:rsidR="0033476E">
        <w:t xml:space="preserve">. </w:t>
      </w:r>
      <w:r w:rsidR="00446D9A" w:rsidRPr="009565B5">
        <w:t xml:space="preserve">The characteristics of the individual studies are presented in </w:t>
      </w:r>
      <w:r w:rsidRPr="001562F2">
        <w:t>Appendix</w:t>
      </w:r>
      <w:r w:rsidR="002C2DB9">
        <w:t xml:space="preserve"> Table 163.</w:t>
      </w:r>
    </w:p>
    <w:p w14:paraId="49F0CEE1" w14:textId="2D8677D9" w:rsidR="00FF14AC" w:rsidRDefault="00FF14AC" w:rsidP="0012368C">
      <w:pPr>
        <w:spacing w:after="120"/>
        <w:jc w:val="both"/>
      </w:pPr>
      <w:r>
        <w:t>The relevant studies identified for inclusion are presented in this section based on four categories:</w:t>
      </w:r>
    </w:p>
    <w:p w14:paraId="3D7CCC69" w14:textId="3EDB6980" w:rsidR="00FF14AC" w:rsidRDefault="00446D9A" w:rsidP="0012368C">
      <w:pPr>
        <w:pStyle w:val="ListParagraph"/>
        <w:numPr>
          <w:ilvl w:val="0"/>
          <w:numId w:val="189"/>
        </w:numPr>
        <w:jc w:val="both"/>
      </w:pPr>
      <w:r>
        <w:t>E</w:t>
      </w:r>
      <w:r w:rsidR="003370C1">
        <w:t>ffect of tapering dose (</w:t>
      </w:r>
      <w:r w:rsidR="00CC0A59">
        <w:t>two</w:t>
      </w:r>
      <w:r w:rsidR="003370C1">
        <w:t xml:space="preserve"> </w:t>
      </w:r>
      <w:r w:rsidR="003370C1" w:rsidRPr="009565B5">
        <w:t xml:space="preserve">RCTs </w:t>
      </w:r>
      <w:r w:rsidR="003370C1">
        <w:t>comparing a</w:t>
      </w:r>
      <w:r w:rsidR="003370C1" w:rsidRPr="009565B5">
        <w:t>brupt withdrawal versus tapering</w:t>
      </w:r>
      <w:r w:rsidR="003370C1">
        <w:t>)</w:t>
      </w:r>
    </w:p>
    <w:p w14:paraId="4FA429B8" w14:textId="57782D7C" w:rsidR="00FF14AC" w:rsidRDefault="00C46AFC" w:rsidP="0012368C">
      <w:pPr>
        <w:pStyle w:val="ListParagraph"/>
        <w:numPr>
          <w:ilvl w:val="0"/>
          <w:numId w:val="189"/>
        </w:numPr>
        <w:jc w:val="both"/>
      </w:pPr>
      <w:r>
        <w:t>F</w:t>
      </w:r>
      <w:r w:rsidR="003370C1" w:rsidRPr="009565B5">
        <w:t>ixed versus ad lib dos</w:t>
      </w:r>
      <w:r w:rsidR="00975E75">
        <w:t>ing</w:t>
      </w:r>
      <w:r w:rsidR="003370C1" w:rsidRPr="009565B5">
        <w:t xml:space="preserve"> schedule</w:t>
      </w:r>
      <w:r w:rsidR="003370C1">
        <w:t xml:space="preserve"> (</w:t>
      </w:r>
      <w:r w:rsidR="00CC0A59">
        <w:t>four</w:t>
      </w:r>
      <w:r w:rsidR="003370C1">
        <w:t xml:space="preserve"> RCTs comparing gum and nasal spray)</w:t>
      </w:r>
    </w:p>
    <w:p w14:paraId="5E04A2BA" w14:textId="38DD71FD" w:rsidR="00FF14AC" w:rsidRDefault="00C46AFC" w:rsidP="0012368C">
      <w:pPr>
        <w:pStyle w:val="ListParagraph"/>
        <w:numPr>
          <w:ilvl w:val="0"/>
          <w:numId w:val="189"/>
        </w:numPr>
        <w:jc w:val="both"/>
      </w:pPr>
      <w:r>
        <w:t>P</w:t>
      </w:r>
      <w:r w:rsidR="003370C1" w:rsidRPr="009565B5">
        <w:t>reloading versus standard use</w:t>
      </w:r>
      <w:r w:rsidR="003370C1">
        <w:t xml:space="preserve"> (</w:t>
      </w:r>
      <w:r w:rsidR="003370C1" w:rsidRPr="00FF14AC">
        <w:rPr>
          <w:rFonts w:eastAsia="MS Mincho"/>
        </w:rPr>
        <w:t xml:space="preserve">10 RCTs; </w:t>
      </w:r>
      <w:r w:rsidR="00CC0A59">
        <w:rPr>
          <w:rFonts w:eastAsia="MS Mincho"/>
        </w:rPr>
        <w:t>nine</w:t>
      </w:r>
      <w:r w:rsidR="003370C1" w:rsidRPr="00FF14AC">
        <w:rPr>
          <w:rFonts w:eastAsia="MS Mincho"/>
        </w:rPr>
        <w:t xml:space="preserve"> RCTs in Lindson et al. 2019; </w:t>
      </w:r>
      <w:r w:rsidR="003370C1" w:rsidRPr="00C46AFC">
        <w:rPr>
          <w:rFonts w:eastAsia="MS Mincho"/>
        </w:rPr>
        <w:t xml:space="preserve">and </w:t>
      </w:r>
      <w:r w:rsidR="00CC0A59">
        <w:rPr>
          <w:rFonts w:eastAsia="MS Mincho"/>
        </w:rPr>
        <w:t>one</w:t>
      </w:r>
      <w:r w:rsidR="003370C1" w:rsidRPr="00C46AFC">
        <w:rPr>
          <w:rFonts w:eastAsia="MS Mincho"/>
        </w:rPr>
        <w:t xml:space="preserve"> RCT by Dedert et al. 2018, comparing use of patch, gum, and </w:t>
      </w:r>
      <w:r w:rsidR="0012368C">
        <w:rPr>
          <w:rFonts w:eastAsia="MS Mincho"/>
        </w:rPr>
        <w:t xml:space="preserve">the </w:t>
      </w:r>
      <w:r w:rsidR="003370C1" w:rsidRPr="00C46AFC">
        <w:rPr>
          <w:rFonts w:eastAsia="MS Mincho"/>
        </w:rPr>
        <w:t>combination of both forms)</w:t>
      </w:r>
      <w:r w:rsidR="003370C1">
        <w:t xml:space="preserve">, </w:t>
      </w:r>
    </w:p>
    <w:p w14:paraId="21A05D8A" w14:textId="772B59A1" w:rsidR="00FF14AC" w:rsidRDefault="009C7F69" w:rsidP="0012368C">
      <w:pPr>
        <w:pStyle w:val="ListParagraph"/>
        <w:numPr>
          <w:ilvl w:val="0"/>
          <w:numId w:val="189"/>
        </w:numPr>
        <w:jc w:val="both"/>
      </w:pPr>
      <w:r>
        <w:t>C</w:t>
      </w:r>
      <w:r w:rsidR="003370C1" w:rsidRPr="009565B5">
        <w:t>ut down to quit</w:t>
      </w:r>
      <w:r w:rsidR="003370C1">
        <w:t xml:space="preserve"> (</w:t>
      </w:r>
      <w:r w:rsidR="003370C1" w:rsidRPr="00FF14AC">
        <w:rPr>
          <w:rFonts w:eastAsia="MS Mincho"/>
        </w:rPr>
        <w:t>11 RCTs comparing reduction with pharmacotherapy versus reduction alone)</w:t>
      </w:r>
      <w:r w:rsidR="003370C1">
        <w:t xml:space="preserve">. </w:t>
      </w:r>
    </w:p>
    <w:p w14:paraId="1DE278D9" w14:textId="77777777" w:rsidR="00135BC3" w:rsidRDefault="00135BC3" w:rsidP="003370C1">
      <w:pPr>
        <w:jc w:val="both"/>
        <w:sectPr w:rsidR="00135BC3" w:rsidSect="006356D2">
          <w:pgSz w:w="11906" w:h="16838"/>
          <w:pgMar w:top="1440" w:right="1440" w:bottom="1440" w:left="1440" w:header="708" w:footer="708" w:gutter="0"/>
          <w:cols w:space="708"/>
          <w:titlePg/>
          <w:docGrid w:linePitch="360"/>
        </w:sectPr>
      </w:pPr>
      <w:bookmarkStart w:id="169" w:name="_Ref59701095"/>
    </w:p>
    <w:p w14:paraId="783643F0" w14:textId="5BF6D199" w:rsidR="003370C1" w:rsidRDefault="003370C1" w:rsidP="0012368C">
      <w:pPr>
        <w:pStyle w:val="Caption"/>
        <w:keepNext/>
        <w:spacing w:before="0" w:after="120"/>
        <w:jc w:val="both"/>
      </w:pPr>
      <w:bookmarkStart w:id="170" w:name="_Ref62117510"/>
      <w:r>
        <w:lastRenderedPageBreak/>
        <w:t xml:space="preserve">Table </w:t>
      </w:r>
      <w:r w:rsidR="00BF3F75">
        <w:fldChar w:fldCharType="begin"/>
      </w:r>
      <w:r w:rsidR="00BF3F75">
        <w:instrText xml:space="preserve"> SEQ Table \* ARABIC </w:instrText>
      </w:r>
      <w:r w:rsidR="00BF3F75">
        <w:fldChar w:fldCharType="separate"/>
      </w:r>
      <w:r w:rsidR="00EC5CC7">
        <w:rPr>
          <w:noProof/>
        </w:rPr>
        <w:t>95</w:t>
      </w:r>
      <w:r w:rsidR="00BF3F75">
        <w:rPr>
          <w:noProof/>
        </w:rPr>
        <w:fldChar w:fldCharType="end"/>
      </w:r>
      <w:bookmarkEnd w:id="169"/>
      <w:bookmarkEnd w:id="170"/>
      <w:r>
        <w:t xml:space="preserve">: </w:t>
      </w:r>
      <w:r w:rsidRPr="00407B4C">
        <w:t>Characteristics of the studies comparing different NRT dose schedule</w:t>
      </w:r>
    </w:p>
    <w:tbl>
      <w:tblPr>
        <w:tblStyle w:val="TableGrid"/>
        <w:tblW w:w="5000" w:type="pct"/>
        <w:tblLook w:val="04A0" w:firstRow="1" w:lastRow="0" w:firstColumn="1" w:lastColumn="0" w:noHBand="0" w:noVBand="1"/>
        <w:tblCaption w:val="Efficacy results of adalimumab trials (PASI 75 and DLQI)"/>
      </w:tblPr>
      <w:tblGrid>
        <w:gridCol w:w="688"/>
        <w:gridCol w:w="988"/>
        <w:gridCol w:w="2510"/>
        <w:gridCol w:w="5403"/>
        <w:gridCol w:w="2072"/>
        <w:gridCol w:w="2287"/>
      </w:tblGrid>
      <w:tr w:rsidR="003370C1" w:rsidRPr="00061F78" w14:paraId="0C92A018" w14:textId="77777777" w:rsidTr="0012368C">
        <w:trPr>
          <w:trHeight w:val="299"/>
          <w:tblHeader/>
        </w:trPr>
        <w:tc>
          <w:tcPr>
            <w:tcW w:w="241" w:type="pct"/>
            <w:shd w:val="clear" w:color="auto" w:fill="BFBFBF" w:themeFill="background1" w:themeFillShade="BF"/>
            <w:tcMar>
              <w:left w:w="28" w:type="dxa"/>
              <w:right w:w="28" w:type="dxa"/>
            </w:tcMar>
          </w:tcPr>
          <w:p w14:paraId="6921C1AB" w14:textId="77777777" w:rsidR="003370C1" w:rsidRPr="00061F78" w:rsidRDefault="003370C1" w:rsidP="00135BC3">
            <w:pPr>
              <w:pStyle w:val="Tableheading"/>
              <w:rPr>
                <w:rFonts w:eastAsia="MS Mincho"/>
              </w:rPr>
            </w:pPr>
            <w:r>
              <w:rPr>
                <w:rFonts w:eastAsia="MS Mincho"/>
              </w:rPr>
              <w:t>Study</w:t>
            </w:r>
          </w:p>
        </w:tc>
        <w:tc>
          <w:tcPr>
            <w:tcW w:w="347" w:type="pct"/>
            <w:shd w:val="clear" w:color="auto" w:fill="BFBFBF" w:themeFill="background1" w:themeFillShade="BF"/>
          </w:tcPr>
          <w:p w14:paraId="4F0FBE4C" w14:textId="77777777" w:rsidR="003370C1" w:rsidRDefault="003370C1" w:rsidP="00135BC3">
            <w:pPr>
              <w:pStyle w:val="Tableheading"/>
              <w:jc w:val="center"/>
              <w:rPr>
                <w:rFonts w:eastAsia="MS Mincho"/>
              </w:rPr>
            </w:pPr>
            <w:r>
              <w:rPr>
                <w:rFonts w:eastAsia="MS Mincho"/>
              </w:rPr>
              <w:t>Study type</w:t>
            </w:r>
          </w:p>
        </w:tc>
        <w:tc>
          <w:tcPr>
            <w:tcW w:w="903" w:type="pct"/>
            <w:shd w:val="clear" w:color="auto" w:fill="BFBFBF" w:themeFill="background1" w:themeFillShade="BF"/>
            <w:tcMar>
              <w:left w:w="28" w:type="dxa"/>
              <w:right w:w="28" w:type="dxa"/>
            </w:tcMar>
          </w:tcPr>
          <w:p w14:paraId="2A044925" w14:textId="77777777" w:rsidR="003370C1" w:rsidRPr="002E1796" w:rsidRDefault="003370C1" w:rsidP="00135BC3">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40" w:type="pct"/>
            <w:shd w:val="clear" w:color="auto" w:fill="BFBFBF" w:themeFill="background1" w:themeFillShade="BF"/>
            <w:tcMar>
              <w:left w:w="28" w:type="dxa"/>
              <w:right w:w="28" w:type="dxa"/>
            </w:tcMar>
          </w:tcPr>
          <w:p w14:paraId="0176DAA0" w14:textId="77777777" w:rsidR="003370C1" w:rsidRPr="00061F78" w:rsidRDefault="003370C1" w:rsidP="00135BC3">
            <w:pPr>
              <w:pStyle w:val="Tableheading"/>
              <w:jc w:val="center"/>
              <w:rPr>
                <w:rFonts w:eastAsia="MS Mincho"/>
              </w:rPr>
            </w:pPr>
            <w:r w:rsidRPr="00061F78">
              <w:rPr>
                <w:rFonts w:eastAsia="MS Mincho"/>
              </w:rPr>
              <w:t>P</w:t>
            </w:r>
            <w:r>
              <w:rPr>
                <w:rFonts w:eastAsia="MS Mincho"/>
              </w:rPr>
              <w:t>opulation</w:t>
            </w:r>
          </w:p>
        </w:tc>
        <w:tc>
          <w:tcPr>
            <w:tcW w:w="746" w:type="pct"/>
            <w:shd w:val="clear" w:color="auto" w:fill="BFBFBF" w:themeFill="background1" w:themeFillShade="BF"/>
          </w:tcPr>
          <w:p w14:paraId="47ADD8DB" w14:textId="77777777" w:rsidR="003370C1" w:rsidRDefault="003370C1" w:rsidP="00135BC3">
            <w:pPr>
              <w:pStyle w:val="Tableheading"/>
              <w:jc w:val="center"/>
              <w:rPr>
                <w:rFonts w:eastAsia="MS Mincho"/>
              </w:rPr>
            </w:pPr>
            <w:r>
              <w:rPr>
                <w:rFonts w:eastAsia="MS Mincho"/>
              </w:rPr>
              <w:t>Intervention and comparator</w:t>
            </w:r>
          </w:p>
        </w:tc>
        <w:tc>
          <w:tcPr>
            <w:tcW w:w="823" w:type="pct"/>
            <w:shd w:val="clear" w:color="auto" w:fill="BFBFBF" w:themeFill="background1" w:themeFillShade="BF"/>
            <w:tcMar>
              <w:left w:w="28" w:type="dxa"/>
              <w:right w:w="28" w:type="dxa"/>
            </w:tcMar>
          </w:tcPr>
          <w:p w14:paraId="73653441" w14:textId="77777777" w:rsidR="003370C1" w:rsidRPr="00061F78" w:rsidRDefault="003370C1" w:rsidP="00135BC3">
            <w:pPr>
              <w:pStyle w:val="Tableheading"/>
              <w:jc w:val="center"/>
              <w:rPr>
                <w:rFonts w:eastAsia="MS Mincho"/>
              </w:rPr>
            </w:pPr>
            <w:r>
              <w:rPr>
                <w:rFonts w:eastAsia="MS Mincho"/>
              </w:rPr>
              <w:t>Outcomes</w:t>
            </w:r>
          </w:p>
        </w:tc>
      </w:tr>
      <w:tr w:rsidR="005A4731" w:rsidRPr="00061F78" w14:paraId="529F1B61" w14:textId="77777777" w:rsidTr="0012368C">
        <w:trPr>
          <w:trHeight w:val="149"/>
        </w:trPr>
        <w:tc>
          <w:tcPr>
            <w:tcW w:w="5000" w:type="pct"/>
            <w:gridSpan w:val="6"/>
            <w:shd w:val="clear" w:color="auto" w:fill="auto"/>
            <w:tcMar>
              <w:left w:w="28" w:type="dxa"/>
              <w:right w:w="28" w:type="dxa"/>
            </w:tcMar>
          </w:tcPr>
          <w:p w14:paraId="2DA29E49" w14:textId="7D2C7BAE" w:rsidR="005A4731" w:rsidRPr="005A4731" w:rsidRDefault="005A4731" w:rsidP="00135BC3">
            <w:pPr>
              <w:pStyle w:val="Tablewriting"/>
              <w:rPr>
                <w:rFonts w:eastAsia="MS Mincho"/>
                <w:b/>
                <w:bCs/>
                <w:u w:val="single"/>
              </w:rPr>
            </w:pPr>
            <w:r w:rsidRPr="005A4731">
              <w:rPr>
                <w:rFonts w:eastAsia="MS Mincho"/>
                <w:b/>
                <w:bCs/>
              </w:rPr>
              <w:t>Effect of tapering patch dose</w:t>
            </w:r>
          </w:p>
        </w:tc>
      </w:tr>
      <w:tr w:rsidR="003370C1" w:rsidRPr="00061F78" w14:paraId="383E62D1" w14:textId="77777777" w:rsidTr="0012368C">
        <w:trPr>
          <w:trHeight w:val="149"/>
        </w:trPr>
        <w:tc>
          <w:tcPr>
            <w:tcW w:w="241" w:type="pct"/>
            <w:tcMar>
              <w:left w:w="28" w:type="dxa"/>
              <w:right w:w="28" w:type="dxa"/>
            </w:tcMar>
          </w:tcPr>
          <w:p w14:paraId="02DD782C" w14:textId="6A757A01" w:rsidR="003370C1" w:rsidRPr="00687B43" w:rsidRDefault="003370C1" w:rsidP="00135BC3">
            <w:pPr>
              <w:pStyle w:val="Tablewriting"/>
              <w:rPr>
                <w:rFonts w:eastAsia="MS Mincho"/>
              </w:rPr>
            </w:pPr>
            <w:r w:rsidRPr="00687B43">
              <w:t>Lindson (2019)</w:t>
            </w:r>
          </w:p>
        </w:tc>
        <w:tc>
          <w:tcPr>
            <w:tcW w:w="347" w:type="pct"/>
          </w:tcPr>
          <w:p w14:paraId="0557E796" w14:textId="4EE6CEEA" w:rsidR="003370C1" w:rsidRPr="00992D9B" w:rsidRDefault="003370C1" w:rsidP="00135BC3">
            <w:pPr>
              <w:pStyle w:val="Tablewriting"/>
              <w:rPr>
                <w:rFonts w:eastAsia="MS Mincho"/>
              </w:rPr>
            </w:pPr>
            <w:r w:rsidRPr="00992D9B">
              <w:rPr>
                <w:rFonts w:eastAsia="MS Mincho"/>
              </w:rPr>
              <w:t xml:space="preserve">Cochrane </w:t>
            </w:r>
            <w:r w:rsidR="00135BC3">
              <w:rPr>
                <w:rFonts w:eastAsia="MS Mincho"/>
              </w:rPr>
              <w:t>R</w:t>
            </w:r>
            <w:r w:rsidRPr="00992D9B">
              <w:rPr>
                <w:rFonts w:eastAsia="MS Mincho"/>
              </w:rPr>
              <w:t xml:space="preserve">eview </w:t>
            </w:r>
          </w:p>
          <w:p w14:paraId="185C106E" w14:textId="77777777" w:rsidR="003370C1" w:rsidRPr="00186C2B" w:rsidRDefault="003370C1" w:rsidP="00135BC3">
            <w:pPr>
              <w:pStyle w:val="Tablewriting"/>
              <w:rPr>
                <w:rFonts w:eastAsia="MS Mincho"/>
                <w:highlight w:val="yellow"/>
              </w:rPr>
            </w:pPr>
            <w:r w:rsidRPr="00992D9B">
              <w:rPr>
                <w:rFonts w:eastAsia="MS Mincho"/>
              </w:rPr>
              <w:t>(</w:t>
            </w:r>
            <w:r>
              <w:rPr>
                <w:rFonts w:eastAsia="MS Mincho"/>
              </w:rPr>
              <w:t>2</w:t>
            </w:r>
            <w:r w:rsidRPr="00992D9B">
              <w:rPr>
                <w:rFonts w:eastAsia="MS Mincho"/>
              </w:rPr>
              <w:t xml:space="preserve"> RCTs</w:t>
            </w:r>
            <w:r w:rsidRPr="00992D9B">
              <w:rPr>
                <w:rFonts w:eastAsia="MS Mincho"/>
                <w:vertAlign w:val="superscript"/>
              </w:rPr>
              <w:t>2</w:t>
            </w:r>
            <w:r w:rsidRPr="00992D9B">
              <w:rPr>
                <w:rFonts w:eastAsia="MS Mincho"/>
              </w:rPr>
              <w:t>)</w:t>
            </w:r>
          </w:p>
        </w:tc>
        <w:tc>
          <w:tcPr>
            <w:tcW w:w="903" w:type="pct"/>
            <w:tcMar>
              <w:left w:w="28" w:type="dxa"/>
              <w:right w:w="28" w:type="dxa"/>
            </w:tcMar>
          </w:tcPr>
          <w:p w14:paraId="1EEF1981" w14:textId="77777777" w:rsidR="003370C1" w:rsidRDefault="003370C1" w:rsidP="00135BC3">
            <w:pPr>
              <w:pStyle w:val="Tablewriting"/>
              <w:rPr>
                <w:rFonts w:eastAsia="MS Mincho"/>
                <w:u w:val="single"/>
              </w:rPr>
            </w:pPr>
            <w:r>
              <w:rPr>
                <w:rFonts w:eastAsia="MS Mincho"/>
                <w:u w:val="single"/>
              </w:rPr>
              <w:t>Abrupt withdrawal</w:t>
            </w:r>
            <w:r w:rsidRPr="00992D9B">
              <w:rPr>
                <w:rFonts w:eastAsia="MS Mincho"/>
                <w:u w:val="single"/>
              </w:rPr>
              <w:t xml:space="preserve"> versus </w:t>
            </w:r>
            <w:r>
              <w:rPr>
                <w:rFonts w:eastAsia="MS Mincho"/>
                <w:u w:val="single"/>
              </w:rPr>
              <w:t>tapering</w:t>
            </w:r>
          </w:p>
          <w:p w14:paraId="55B23461" w14:textId="77777777" w:rsidR="003370C1" w:rsidRPr="00F4262F" w:rsidRDefault="003370C1" w:rsidP="00135BC3">
            <w:pPr>
              <w:pStyle w:val="Tablewriting"/>
              <w:rPr>
                <w:rFonts w:eastAsia="MS Mincho"/>
              </w:rPr>
            </w:pPr>
            <w:r w:rsidRPr="00992D9B">
              <w:rPr>
                <w:rFonts w:eastAsia="MS Mincho"/>
              </w:rPr>
              <w:t>N=</w:t>
            </w:r>
            <w:r>
              <w:rPr>
                <w:rFonts w:eastAsia="MS Mincho"/>
              </w:rPr>
              <w:t xml:space="preserve"> 264 </w:t>
            </w:r>
            <w:r w:rsidRPr="00992D9B">
              <w:rPr>
                <w:rFonts w:eastAsia="MS Mincho"/>
              </w:rPr>
              <w:t>(</w:t>
            </w:r>
            <w:r>
              <w:rPr>
                <w:rFonts w:eastAsia="MS Mincho"/>
              </w:rPr>
              <w:t xml:space="preserve">2 </w:t>
            </w:r>
            <w:r w:rsidRPr="00992D9B">
              <w:rPr>
                <w:rFonts w:eastAsia="MS Mincho"/>
              </w:rPr>
              <w:t>RCT</w:t>
            </w:r>
            <w:r>
              <w:rPr>
                <w:rFonts w:eastAsia="MS Mincho"/>
              </w:rPr>
              <w:t>s</w:t>
            </w:r>
            <w:r w:rsidRPr="00992D9B">
              <w:rPr>
                <w:rFonts w:eastAsia="MS Mincho"/>
              </w:rPr>
              <w:t>)</w:t>
            </w:r>
          </w:p>
        </w:tc>
        <w:tc>
          <w:tcPr>
            <w:tcW w:w="1940" w:type="pct"/>
            <w:tcMar>
              <w:left w:w="28" w:type="dxa"/>
              <w:right w:w="28" w:type="dxa"/>
            </w:tcMar>
          </w:tcPr>
          <w:p w14:paraId="30904C83" w14:textId="77777777" w:rsidR="003370C1" w:rsidRPr="003F619D" w:rsidRDefault="003370C1" w:rsidP="00135BC3">
            <w:pPr>
              <w:pStyle w:val="Tablewriting"/>
              <w:rPr>
                <w:rFonts w:eastAsia="MS Mincho"/>
              </w:rPr>
            </w:pPr>
            <w:r w:rsidRPr="003F619D">
              <w:rPr>
                <w:rFonts w:eastAsia="MS Mincho"/>
                <w:u w:val="single"/>
              </w:rPr>
              <w:t>Inclusion</w:t>
            </w:r>
            <w:r w:rsidRPr="003F619D">
              <w:rPr>
                <w:rFonts w:eastAsia="MS Mincho"/>
              </w:rPr>
              <w:t>:</w:t>
            </w:r>
          </w:p>
          <w:p w14:paraId="2AD40287" w14:textId="4878CCDE"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 xml:space="preserve">tudies lasted for at least six months. </w:t>
            </w:r>
          </w:p>
          <w:p w14:paraId="2271ACB8" w14:textId="77777777" w:rsidR="003370C1" w:rsidRPr="009830FA" w:rsidRDefault="003370C1" w:rsidP="00135BC3">
            <w:pPr>
              <w:pStyle w:val="Tablewriting"/>
              <w:rPr>
                <w:rFonts w:eastAsia="MS Mincho"/>
                <w:highlight w:val="yellow"/>
              </w:rPr>
            </w:pPr>
            <w:r w:rsidRPr="003F619D">
              <w:rPr>
                <w:rFonts w:eastAsia="MS Mincho"/>
                <w:u w:val="single"/>
              </w:rPr>
              <w:t>Exclusion</w:t>
            </w:r>
            <w:r w:rsidRPr="003F619D">
              <w:rPr>
                <w:rFonts w:eastAsia="MS Mincho"/>
              </w:rPr>
              <w:t xml:space="preserve">: Trials that did not assess cessation as an outcome, with follow-up less than six months, and with additional intervention components not matched between arms. Trials comparing NRT to control, and trials comparing NRT to other pharmacotherapies. </w:t>
            </w:r>
          </w:p>
        </w:tc>
        <w:tc>
          <w:tcPr>
            <w:tcW w:w="746" w:type="pct"/>
          </w:tcPr>
          <w:p w14:paraId="7DFBC0BE" w14:textId="45511AC7" w:rsidR="003370C1" w:rsidRPr="00186C2B" w:rsidRDefault="003370C1" w:rsidP="00135BC3">
            <w:pPr>
              <w:pStyle w:val="Tablewriting"/>
              <w:rPr>
                <w:rFonts w:eastAsia="MS Mincho"/>
                <w:highlight w:val="yellow"/>
              </w:rPr>
            </w:pPr>
            <w:r w:rsidRPr="009830FA">
              <w:rPr>
                <w:rFonts w:eastAsia="MS Mincho"/>
              </w:rPr>
              <w:t>Abrupt withdrawal versus tapering</w:t>
            </w:r>
            <w:r w:rsidR="00ED0CBA">
              <w:rPr>
                <w:rFonts w:eastAsia="MS Mincho"/>
              </w:rPr>
              <w:t>.</w:t>
            </w:r>
          </w:p>
        </w:tc>
        <w:tc>
          <w:tcPr>
            <w:tcW w:w="823" w:type="pct"/>
            <w:tcMar>
              <w:left w:w="28" w:type="dxa"/>
              <w:right w:w="28" w:type="dxa"/>
            </w:tcMar>
          </w:tcPr>
          <w:p w14:paraId="3E1E382D" w14:textId="77777777" w:rsidR="003370C1" w:rsidRPr="006E7EED" w:rsidRDefault="003370C1" w:rsidP="00135BC3">
            <w:pPr>
              <w:pStyle w:val="Tablewriting"/>
              <w:rPr>
                <w:rFonts w:eastAsia="MS Mincho"/>
              </w:rPr>
            </w:pPr>
            <w:r w:rsidRPr="006E7EED">
              <w:rPr>
                <w:rFonts w:eastAsia="MS Mincho"/>
                <w:u w:val="single"/>
              </w:rPr>
              <w:t>Primary</w:t>
            </w:r>
            <w:r w:rsidRPr="006E7EED">
              <w:rPr>
                <w:rFonts w:eastAsia="MS Mincho"/>
              </w:rPr>
              <w:t>: smoking cessation rates of at least six months after baseline.</w:t>
            </w:r>
          </w:p>
          <w:p w14:paraId="285DF9A1" w14:textId="77777777" w:rsidR="003370C1" w:rsidRPr="0050095A" w:rsidRDefault="003370C1" w:rsidP="00135BC3">
            <w:pPr>
              <w:pStyle w:val="Tablewriting"/>
              <w:rPr>
                <w:rFonts w:eastAsia="MS Mincho"/>
                <w:u w:val="single"/>
              </w:rPr>
            </w:pPr>
            <w:r w:rsidRPr="00E44230">
              <w:rPr>
                <w:rFonts w:eastAsia="MS Mincho"/>
                <w:u w:val="single"/>
              </w:rPr>
              <w:t>Secondary</w:t>
            </w:r>
            <w:r w:rsidRPr="00E44230">
              <w:rPr>
                <w:rFonts w:eastAsia="MS Mincho"/>
              </w:rPr>
              <w:t>: safety including</w:t>
            </w:r>
            <w:r>
              <w:rPr>
                <w:rFonts w:eastAsia="MS Mincho"/>
              </w:rPr>
              <w:t xml:space="preserve"> treatment </w:t>
            </w:r>
            <w:r w:rsidRPr="00E44230">
              <w:rPr>
                <w:rFonts w:eastAsia="MS Mincho"/>
              </w:rPr>
              <w:t>withdrawals</w:t>
            </w:r>
            <w:r>
              <w:rPr>
                <w:rFonts w:eastAsia="MS Mincho"/>
              </w:rPr>
              <w:t xml:space="preserve">. </w:t>
            </w:r>
          </w:p>
        </w:tc>
      </w:tr>
      <w:tr w:rsidR="005A4731" w:rsidRPr="00061F78" w14:paraId="6D78B015" w14:textId="77777777" w:rsidTr="0012368C">
        <w:trPr>
          <w:trHeight w:val="149"/>
        </w:trPr>
        <w:tc>
          <w:tcPr>
            <w:tcW w:w="5000" w:type="pct"/>
            <w:gridSpan w:val="6"/>
            <w:shd w:val="clear" w:color="auto" w:fill="auto"/>
            <w:tcMar>
              <w:left w:w="28" w:type="dxa"/>
              <w:right w:w="28" w:type="dxa"/>
            </w:tcMar>
          </w:tcPr>
          <w:p w14:paraId="14CBE764" w14:textId="759EB6CB" w:rsidR="005A4731" w:rsidRPr="005A4731" w:rsidRDefault="005A4731" w:rsidP="00135BC3">
            <w:pPr>
              <w:pStyle w:val="Tablewriting"/>
              <w:rPr>
                <w:rFonts w:eastAsia="MS Mincho"/>
                <w:b/>
                <w:bCs/>
                <w:u w:val="single"/>
              </w:rPr>
            </w:pPr>
            <w:r w:rsidRPr="005A4731">
              <w:rPr>
                <w:rFonts w:eastAsia="MS Mincho"/>
                <w:b/>
                <w:bCs/>
              </w:rPr>
              <w:t>Fixed versus ad lib dose schedule</w:t>
            </w:r>
          </w:p>
        </w:tc>
      </w:tr>
      <w:tr w:rsidR="003370C1" w:rsidRPr="00061F78" w14:paraId="398A9898" w14:textId="77777777" w:rsidTr="0012368C">
        <w:trPr>
          <w:trHeight w:val="149"/>
        </w:trPr>
        <w:tc>
          <w:tcPr>
            <w:tcW w:w="241" w:type="pct"/>
            <w:tcMar>
              <w:left w:w="28" w:type="dxa"/>
              <w:right w:w="28" w:type="dxa"/>
            </w:tcMar>
          </w:tcPr>
          <w:p w14:paraId="41D2B661" w14:textId="7278F72C" w:rsidR="003370C1" w:rsidRDefault="003370C1" w:rsidP="00135BC3">
            <w:pPr>
              <w:pStyle w:val="Tablewriting"/>
              <w:rPr>
                <w:rFonts w:eastAsia="MS Mincho"/>
              </w:rPr>
            </w:pPr>
            <w:r>
              <w:t>Lindson</w:t>
            </w:r>
            <w:r w:rsidRPr="00713891">
              <w:t xml:space="preserve"> (201</w:t>
            </w:r>
            <w:r>
              <w:t>9</w:t>
            </w:r>
            <w:r w:rsidRPr="00713891">
              <w:t>)</w:t>
            </w:r>
          </w:p>
        </w:tc>
        <w:tc>
          <w:tcPr>
            <w:tcW w:w="347" w:type="pct"/>
          </w:tcPr>
          <w:p w14:paraId="4BAB7FA7" w14:textId="17F2BB70" w:rsidR="003370C1" w:rsidRPr="006B5D28" w:rsidRDefault="003370C1" w:rsidP="00135BC3">
            <w:pPr>
              <w:pStyle w:val="Tablewriting"/>
              <w:rPr>
                <w:rFonts w:eastAsia="MS Mincho"/>
              </w:rPr>
            </w:pPr>
            <w:r w:rsidRPr="006B5D28">
              <w:rPr>
                <w:rFonts w:eastAsia="MS Mincho"/>
              </w:rPr>
              <w:t xml:space="preserve">Cochrane </w:t>
            </w:r>
            <w:r w:rsidR="00135BC3">
              <w:rPr>
                <w:rFonts w:eastAsia="MS Mincho"/>
              </w:rPr>
              <w:t>R</w:t>
            </w:r>
            <w:r w:rsidRPr="006B5D28">
              <w:rPr>
                <w:rFonts w:eastAsia="MS Mincho"/>
              </w:rPr>
              <w:t xml:space="preserve">eview </w:t>
            </w:r>
          </w:p>
          <w:p w14:paraId="0D4D1066" w14:textId="77777777" w:rsidR="003370C1" w:rsidRPr="00186C2B" w:rsidRDefault="003370C1" w:rsidP="00135BC3">
            <w:pPr>
              <w:pStyle w:val="Tablewriting"/>
              <w:rPr>
                <w:rFonts w:eastAsia="MS Mincho"/>
                <w:highlight w:val="yellow"/>
              </w:rPr>
            </w:pPr>
            <w:r w:rsidRPr="006B5D28">
              <w:rPr>
                <w:rFonts w:eastAsia="MS Mincho"/>
              </w:rPr>
              <w:t>(</w:t>
            </w:r>
            <w:r>
              <w:rPr>
                <w:rFonts w:eastAsia="MS Mincho"/>
              </w:rPr>
              <w:t>4</w:t>
            </w:r>
            <w:r w:rsidRPr="006B5D28">
              <w:rPr>
                <w:rFonts w:eastAsia="MS Mincho"/>
              </w:rPr>
              <w:t xml:space="preserve"> RCTs</w:t>
            </w:r>
            <w:r w:rsidRPr="006B5D28">
              <w:rPr>
                <w:rFonts w:eastAsia="MS Mincho"/>
                <w:vertAlign w:val="superscript"/>
              </w:rPr>
              <w:t>2</w:t>
            </w:r>
            <w:r w:rsidRPr="006B5D28">
              <w:rPr>
                <w:rFonts w:eastAsia="MS Mincho"/>
              </w:rPr>
              <w:t>)</w:t>
            </w:r>
          </w:p>
        </w:tc>
        <w:tc>
          <w:tcPr>
            <w:tcW w:w="903" w:type="pct"/>
            <w:tcMar>
              <w:left w:w="28" w:type="dxa"/>
              <w:right w:w="28" w:type="dxa"/>
            </w:tcMar>
          </w:tcPr>
          <w:p w14:paraId="607ACDA7" w14:textId="77777777" w:rsidR="003370C1" w:rsidRPr="00186C2B" w:rsidRDefault="003370C1" w:rsidP="00135BC3">
            <w:pPr>
              <w:pStyle w:val="Tablewriting"/>
              <w:rPr>
                <w:rFonts w:eastAsia="MS Mincho"/>
                <w:highlight w:val="yellow"/>
                <w:u w:val="single"/>
              </w:rPr>
            </w:pPr>
            <w:r>
              <w:rPr>
                <w:rFonts w:eastAsia="MS Mincho"/>
                <w:u w:val="single"/>
              </w:rPr>
              <w:t>Gum fixed dosing</w:t>
            </w:r>
            <w:r w:rsidRPr="006B5D28">
              <w:rPr>
                <w:rFonts w:eastAsia="MS Mincho"/>
                <w:u w:val="single"/>
              </w:rPr>
              <w:t xml:space="preserve"> versu</w:t>
            </w:r>
            <w:r>
              <w:rPr>
                <w:rFonts w:eastAsia="MS Mincho"/>
                <w:u w:val="single"/>
              </w:rPr>
              <w:t>s ad lib dosing</w:t>
            </w:r>
          </w:p>
          <w:p w14:paraId="62306D23" w14:textId="77777777" w:rsidR="003370C1" w:rsidRDefault="003370C1" w:rsidP="00135BC3">
            <w:pPr>
              <w:pStyle w:val="Tablewriting"/>
              <w:rPr>
                <w:rFonts w:eastAsia="MS Mincho"/>
              </w:rPr>
            </w:pPr>
            <w:r w:rsidRPr="005A1EEB">
              <w:rPr>
                <w:rFonts w:eastAsia="MS Mincho"/>
              </w:rPr>
              <w:t xml:space="preserve">N= </w:t>
            </w:r>
            <w:r>
              <w:rPr>
                <w:rFonts w:eastAsia="MS Mincho"/>
              </w:rPr>
              <w:t>689</w:t>
            </w:r>
          </w:p>
          <w:p w14:paraId="76D7C003" w14:textId="77777777" w:rsidR="003370C1" w:rsidRDefault="003370C1" w:rsidP="00135BC3">
            <w:pPr>
              <w:pStyle w:val="Tablewriting"/>
              <w:rPr>
                <w:rFonts w:eastAsia="MS Mincho"/>
                <w:u w:val="single"/>
              </w:rPr>
            </w:pPr>
          </w:p>
          <w:p w14:paraId="4DEE2D4C" w14:textId="77777777" w:rsidR="003370C1" w:rsidRPr="00186C2B" w:rsidRDefault="003370C1" w:rsidP="00135BC3">
            <w:pPr>
              <w:pStyle w:val="Tablewriting"/>
              <w:rPr>
                <w:rFonts w:eastAsia="MS Mincho"/>
                <w:highlight w:val="yellow"/>
                <w:u w:val="single"/>
              </w:rPr>
            </w:pPr>
            <w:r>
              <w:rPr>
                <w:rFonts w:eastAsia="MS Mincho"/>
                <w:u w:val="single"/>
              </w:rPr>
              <w:t>Nasal spray fixed dosing</w:t>
            </w:r>
            <w:r w:rsidRPr="006B5D28">
              <w:rPr>
                <w:rFonts w:eastAsia="MS Mincho"/>
                <w:u w:val="single"/>
              </w:rPr>
              <w:t xml:space="preserve"> versu</w:t>
            </w:r>
            <w:r>
              <w:rPr>
                <w:rFonts w:eastAsia="MS Mincho"/>
                <w:u w:val="single"/>
              </w:rPr>
              <w:t>s ad lib dosing</w:t>
            </w:r>
          </w:p>
          <w:p w14:paraId="3F32744B" w14:textId="1756FAC6" w:rsidR="003370C1" w:rsidRPr="00135BC3" w:rsidRDefault="003370C1" w:rsidP="00135BC3">
            <w:pPr>
              <w:pStyle w:val="Tablewriting"/>
              <w:rPr>
                <w:rFonts w:eastAsia="MS Mincho"/>
              </w:rPr>
            </w:pPr>
            <w:r w:rsidRPr="005A1EEB">
              <w:rPr>
                <w:rFonts w:eastAsia="MS Mincho"/>
              </w:rPr>
              <w:t xml:space="preserve">N= </w:t>
            </w:r>
            <w:r>
              <w:rPr>
                <w:rFonts w:eastAsia="MS Mincho"/>
              </w:rPr>
              <w:t>139</w:t>
            </w:r>
          </w:p>
        </w:tc>
        <w:tc>
          <w:tcPr>
            <w:tcW w:w="1940" w:type="pct"/>
            <w:tcMar>
              <w:left w:w="28" w:type="dxa"/>
              <w:right w:w="28" w:type="dxa"/>
            </w:tcMar>
          </w:tcPr>
          <w:p w14:paraId="0DA43120" w14:textId="77777777" w:rsidR="003370C1" w:rsidRPr="003F619D" w:rsidRDefault="003370C1" w:rsidP="00135BC3">
            <w:pPr>
              <w:pStyle w:val="Tablewriting"/>
              <w:rPr>
                <w:rFonts w:eastAsia="MS Mincho"/>
              </w:rPr>
            </w:pPr>
            <w:r w:rsidRPr="003F619D">
              <w:rPr>
                <w:rFonts w:eastAsia="MS Mincho"/>
                <w:u w:val="single"/>
              </w:rPr>
              <w:t>Inclusion</w:t>
            </w:r>
            <w:r w:rsidRPr="003F619D">
              <w:rPr>
                <w:rFonts w:eastAsia="MS Mincho"/>
              </w:rPr>
              <w:t xml:space="preserve">: </w:t>
            </w:r>
          </w:p>
          <w:p w14:paraId="6EFD3DDD" w14:textId="5D584B45"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tudies lasted for at least six months.</w:t>
            </w:r>
          </w:p>
          <w:p w14:paraId="043B2BB1" w14:textId="77777777" w:rsidR="003370C1" w:rsidRPr="00186C2B" w:rsidRDefault="003370C1" w:rsidP="00135BC3">
            <w:pPr>
              <w:pStyle w:val="Tablewriting"/>
              <w:rPr>
                <w:rFonts w:eastAsia="MS Mincho"/>
                <w:highlight w:val="yellow"/>
                <w:u w:val="single"/>
              </w:rPr>
            </w:pPr>
            <w:r w:rsidRPr="003F619D">
              <w:rPr>
                <w:rFonts w:eastAsia="MS Mincho"/>
                <w:u w:val="single"/>
              </w:rPr>
              <w:t>Exclusion</w:t>
            </w:r>
            <w:r w:rsidRPr="003F619D">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746" w:type="pct"/>
          </w:tcPr>
          <w:p w14:paraId="6D07E80F" w14:textId="537D1896" w:rsidR="003370C1" w:rsidRPr="00186C2B" w:rsidRDefault="00F53921" w:rsidP="00135BC3">
            <w:pPr>
              <w:pStyle w:val="Tablewriting"/>
              <w:rPr>
                <w:rFonts w:eastAsia="MS Mincho"/>
                <w:highlight w:val="yellow"/>
              </w:rPr>
            </w:pPr>
            <w:r w:rsidRPr="00895889">
              <w:rPr>
                <w:rFonts w:eastAsia="MS Mincho"/>
              </w:rPr>
              <w:t>F</w:t>
            </w:r>
            <w:r w:rsidR="003370C1" w:rsidRPr="00895889">
              <w:rPr>
                <w:rFonts w:eastAsia="MS Mincho"/>
              </w:rPr>
              <w:t>ixed dosing versus ad lib dosing</w:t>
            </w:r>
            <w:r w:rsidR="00ED0CBA">
              <w:rPr>
                <w:rFonts w:eastAsia="MS Mincho"/>
              </w:rPr>
              <w:t>.</w:t>
            </w:r>
          </w:p>
        </w:tc>
        <w:tc>
          <w:tcPr>
            <w:tcW w:w="823" w:type="pct"/>
            <w:tcMar>
              <w:left w:w="28" w:type="dxa"/>
              <w:right w:w="28" w:type="dxa"/>
            </w:tcMar>
          </w:tcPr>
          <w:p w14:paraId="635E8195" w14:textId="77777777" w:rsidR="003370C1" w:rsidRPr="00E44230"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cessation rates of at least six months </w:t>
            </w:r>
            <w:r w:rsidRPr="00E44230">
              <w:rPr>
                <w:rFonts w:eastAsia="MS Mincho"/>
              </w:rPr>
              <w:t>after baseline.</w:t>
            </w:r>
          </w:p>
          <w:p w14:paraId="3B9E0DF7" w14:textId="302BD9D5" w:rsidR="003370C1" w:rsidRPr="00C64474" w:rsidRDefault="003370C1" w:rsidP="00135BC3">
            <w:pPr>
              <w:pStyle w:val="Tablewriting"/>
              <w:rPr>
                <w:rFonts w:eastAsia="MS Mincho"/>
              </w:rPr>
            </w:pPr>
            <w:r w:rsidRPr="00E44230">
              <w:rPr>
                <w:rFonts w:eastAsia="MS Mincho"/>
                <w:u w:val="single"/>
              </w:rPr>
              <w:t>Secondary</w:t>
            </w:r>
            <w:r w:rsidRPr="00E44230">
              <w:rPr>
                <w:rFonts w:eastAsia="MS Mincho"/>
              </w:rPr>
              <w:t>: safety including serious adverse events and treatment withdrawals</w:t>
            </w:r>
            <w:r w:rsidR="00826C95" w:rsidRPr="00E44230">
              <w:rPr>
                <w:rFonts w:eastAsia="MS Mincho"/>
              </w:rPr>
              <w:t>.</w:t>
            </w:r>
            <w:r w:rsidR="00826C95">
              <w:rPr>
                <w:rFonts w:eastAsia="MS Mincho"/>
              </w:rPr>
              <w:t xml:space="preserve"> </w:t>
            </w:r>
          </w:p>
        </w:tc>
      </w:tr>
      <w:tr w:rsidR="005A4731" w:rsidRPr="00061F78" w14:paraId="0E58E999" w14:textId="77777777" w:rsidTr="0012368C">
        <w:trPr>
          <w:trHeight w:val="149"/>
        </w:trPr>
        <w:tc>
          <w:tcPr>
            <w:tcW w:w="5000" w:type="pct"/>
            <w:gridSpan w:val="6"/>
            <w:shd w:val="clear" w:color="auto" w:fill="auto"/>
            <w:tcMar>
              <w:left w:w="28" w:type="dxa"/>
              <w:right w:w="28" w:type="dxa"/>
            </w:tcMar>
          </w:tcPr>
          <w:p w14:paraId="453E9EA5" w14:textId="777EFDFC" w:rsidR="005A4731" w:rsidRPr="006E7EED" w:rsidRDefault="005A4731" w:rsidP="00135BC3">
            <w:pPr>
              <w:pStyle w:val="Tablewriting"/>
              <w:rPr>
                <w:rFonts w:eastAsia="MS Mincho"/>
                <w:u w:val="single"/>
              </w:rPr>
            </w:pPr>
            <w:r w:rsidRPr="00895889">
              <w:rPr>
                <w:rFonts w:eastAsia="MS Mincho"/>
                <w:b/>
                <w:bCs/>
              </w:rPr>
              <w:t>Preloading versus standard use</w:t>
            </w:r>
          </w:p>
        </w:tc>
      </w:tr>
      <w:tr w:rsidR="003370C1" w:rsidRPr="00061F78" w14:paraId="34085970" w14:textId="77777777" w:rsidTr="0012368C">
        <w:trPr>
          <w:trHeight w:val="149"/>
        </w:trPr>
        <w:tc>
          <w:tcPr>
            <w:tcW w:w="241" w:type="pct"/>
            <w:tcMar>
              <w:left w:w="28" w:type="dxa"/>
              <w:right w:w="28" w:type="dxa"/>
            </w:tcMar>
          </w:tcPr>
          <w:p w14:paraId="06E6B1EE" w14:textId="2124CFB7" w:rsidR="003370C1" w:rsidRDefault="003370C1" w:rsidP="00135BC3">
            <w:pPr>
              <w:pStyle w:val="Tablewriting"/>
            </w:pPr>
            <w:r>
              <w:t>Lindson</w:t>
            </w:r>
            <w:r w:rsidRPr="00713891">
              <w:t xml:space="preserve"> (201</w:t>
            </w:r>
            <w:r>
              <w:t>9</w:t>
            </w:r>
            <w:r w:rsidRPr="00713891">
              <w:t>)</w:t>
            </w:r>
          </w:p>
        </w:tc>
        <w:tc>
          <w:tcPr>
            <w:tcW w:w="347" w:type="pct"/>
          </w:tcPr>
          <w:p w14:paraId="5B44B0DB" w14:textId="77777777" w:rsidR="003370C1" w:rsidRPr="002F0CA7" w:rsidRDefault="003370C1" w:rsidP="00135BC3">
            <w:pPr>
              <w:pStyle w:val="Tablewriting"/>
              <w:rPr>
                <w:rFonts w:eastAsia="MS Mincho"/>
              </w:rPr>
            </w:pPr>
            <w:r w:rsidRPr="002F0CA7">
              <w:rPr>
                <w:rFonts w:eastAsia="MS Mincho"/>
              </w:rPr>
              <w:t xml:space="preserve">Cochrane review </w:t>
            </w:r>
          </w:p>
          <w:p w14:paraId="7541A0A4" w14:textId="77777777" w:rsidR="003370C1" w:rsidRPr="00186C2B" w:rsidRDefault="003370C1" w:rsidP="00135BC3">
            <w:pPr>
              <w:pStyle w:val="Tablewriting"/>
              <w:rPr>
                <w:rFonts w:eastAsia="MS Mincho"/>
                <w:highlight w:val="yellow"/>
              </w:rPr>
            </w:pPr>
            <w:r w:rsidRPr="002F0CA7">
              <w:rPr>
                <w:rFonts w:eastAsia="MS Mincho"/>
              </w:rPr>
              <w:t>(</w:t>
            </w:r>
            <w:r>
              <w:rPr>
                <w:rFonts w:eastAsia="MS Mincho"/>
              </w:rPr>
              <w:t>9</w:t>
            </w:r>
            <w:r w:rsidRPr="002F0CA7">
              <w:rPr>
                <w:rFonts w:eastAsia="MS Mincho"/>
              </w:rPr>
              <w:t xml:space="preserve"> RCTs</w:t>
            </w:r>
            <w:r w:rsidRPr="002F0CA7">
              <w:rPr>
                <w:rFonts w:eastAsia="MS Mincho"/>
                <w:vertAlign w:val="superscript"/>
              </w:rPr>
              <w:t>2</w:t>
            </w:r>
            <w:r w:rsidRPr="002F0CA7">
              <w:rPr>
                <w:rFonts w:eastAsia="MS Mincho"/>
              </w:rPr>
              <w:t>)</w:t>
            </w:r>
          </w:p>
        </w:tc>
        <w:tc>
          <w:tcPr>
            <w:tcW w:w="903" w:type="pct"/>
            <w:tcMar>
              <w:left w:w="28" w:type="dxa"/>
              <w:right w:w="28" w:type="dxa"/>
            </w:tcMar>
          </w:tcPr>
          <w:p w14:paraId="71BCA0AC" w14:textId="77777777" w:rsidR="003370C1" w:rsidRDefault="003370C1" w:rsidP="00135BC3">
            <w:pPr>
              <w:pStyle w:val="Tablewriting"/>
              <w:rPr>
                <w:rFonts w:eastAsia="MS Mincho"/>
                <w:highlight w:val="yellow"/>
                <w:u w:val="single"/>
              </w:rPr>
            </w:pPr>
            <w:r>
              <w:rPr>
                <w:rFonts w:eastAsia="MS Mincho"/>
                <w:u w:val="single"/>
              </w:rPr>
              <w:t xml:space="preserve">Patch preloading </w:t>
            </w:r>
            <w:r w:rsidRPr="002F0CA7">
              <w:rPr>
                <w:rFonts w:eastAsia="MS Mincho"/>
                <w:u w:val="single"/>
              </w:rPr>
              <w:t xml:space="preserve">versus </w:t>
            </w:r>
            <w:r>
              <w:rPr>
                <w:rFonts w:eastAsia="MS Mincho"/>
                <w:u w:val="single"/>
              </w:rPr>
              <w:t>standard use</w:t>
            </w:r>
          </w:p>
          <w:p w14:paraId="6C6CD24E"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3830 </w:t>
            </w:r>
            <w:r w:rsidRPr="002F0CA7">
              <w:rPr>
                <w:rFonts w:eastAsia="MS Mincho"/>
              </w:rPr>
              <w:t>(</w:t>
            </w:r>
            <w:r>
              <w:rPr>
                <w:rFonts w:eastAsia="MS Mincho"/>
              </w:rPr>
              <w:t xml:space="preserve">9 </w:t>
            </w:r>
            <w:r w:rsidRPr="002F0CA7">
              <w:rPr>
                <w:rFonts w:eastAsia="MS Mincho"/>
              </w:rPr>
              <w:t>RCT)</w:t>
            </w:r>
          </w:p>
          <w:p w14:paraId="25CCE2DD" w14:textId="77777777" w:rsidR="003370C1"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1988</w:t>
            </w:r>
            <w:r w:rsidRPr="002F0CA7">
              <w:rPr>
                <w:rFonts w:eastAsia="MS Mincho"/>
              </w:rPr>
              <w:t>),</w:t>
            </w:r>
            <w:r>
              <w:rPr>
                <w:rFonts w:eastAsia="MS Mincho"/>
              </w:rPr>
              <w:t xml:space="preserve"> standard use </w:t>
            </w:r>
            <w:r w:rsidRPr="002F0CA7">
              <w:rPr>
                <w:rFonts w:eastAsia="MS Mincho"/>
              </w:rPr>
              <w:t>(n=</w:t>
            </w:r>
            <w:r>
              <w:rPr>
                <w:rFonts w:eastAsia="MS Mincho"/>
              </w:rPr>
              <w:t>1842</w:t>
            </w:r>
            <w:r w:rsidRPr="002F0CA7">
              <w:rPr>
                <w:rFonts w:eastAsia="MS Mincho"/>
              </w:rPr>
              <w:t>)</w:t>
            </w:r>
          </w:p>
          <w:p w14:paraId="4027FABF" w14:textId="77777777" w:rsidR="003370C1" w:rsidRDefault="003370C1" w:rsidP="00135BC3">
            <w:pPr>
              <w:pStyle w:val="Tablewriting"/>
              <w:rPr>
                <w:rFonts w:eastAsia="MS Mincho"/>
              </w:rPr>
            </w:pPr>
          </w:p>
          <w:p w14:paraId="58CB4FA5" w14:textId="77777777" w:rsidR="003370C1" w:rsidRDefault="003370C1" w:rsidP="00135BC3">
            <w:pPr>
              <w:pStyle w:val="Tablewriting"/>
              <w:rPr>
                <w:rFonts w:eastAsia="MS Mincho"/>
                <w:highlight w:val="yellow"/>
                <w:u w:val="single"/>
              </w:rPr>
            </w:pPr>
            <w:r>
              <w:rPr>
                <w:rFonts w:eastAsia="MS Mincho"/>
                <w:u w:val="single"/>
              </w:rPr>
              <w:t xml:space="preserve">Gum preloading </w:t>
            </w:r>
            <w:r w:rsidRPr="002F0CA7">
              <w:rPr>
                <w:rFonts w:eastAsia="MS Mincho"/>
                <w:u w:val="single"/>
              </w:rPr>
              <w:t xml:space="preserve">versus </w:t>
            </w:r>
            <w:r>
              <w:rPr>
                <w:rFonts w:eastAsia="MS Mincho"/>
                <w:u w:val="single"/>
              </w:rPr>
              <w:t>standard use</w:t>
            </w:r>
          </w:p>
          <w:p w14:paraId="0ABB5A1E"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306 </w:t>
            </w:r>
            <w:r w:rsidRPr="002F0CA7">
              <w:rPr>
                <w:rFonts w:eastAsia="MS Mincho"/>
              </w:rPr>
              <w:t>(</w:t>
            </w:r>
            <w:r>
              <w:rPr>
                <w:rFonts w:eastAsia="MS Mincho"/>
              </w:rPr>
              <w:t xml:space="preserve">2 </w:t>
            </w:r>
            <w:r w:rsidRPr="002F0CA7">
              <w:rPr>
                <w:rFonts w:eastAsia="MS Mincho"/>
              </w:rPr>
              <w:t>RCT)</w:t>
            </w:r>
          </w:p>
          <w:p w14:paraId="507CD6F6" w14:textId="77777777" w:rsidR="003370C1"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199</w:t>
            </w:r>
            <w:r w:rsidRPr="002F0CA7">
              <w:rPr>
                <w:rFonts w:eastAsia="MS Mincho"/>
              </w:rPr>
              <w:t>),</w:t>
            </w:r>
            <w:r>
              <w:rPr>
                <w:rFonts w:eastAsia="MS Mincho"/>
              </w:rPr>
              <w:t xml:space="preserve"> standard use </w:t>
            </w:r>
            <w:r w:rsidRPr="002F0CA7">
              <w:rPr>
                <w:rFonts w:eastAsia="MS Mincho"/>
              </w:rPr>
              <w:t>(n=</w:t>
            </w:r>
            <w:r>
              <w:rPr>
                <w:rFonts w:eastAsia="MS Mincho"/>
              </w:rPr>
              <w:t>107</w:t>
            </w:r>
            <w:r w:rsidRPr="002F0CA7">
              <w:rPr>
                <w:rFonts w:eastAsia="MS Mincho"/>
              </w:rPr>
              <w:t>)</w:t>
            </w:r>
          </w:p>
          <w:p w14:paraId="604F7FB2" w14:textId="77777777" w:rsidR="003370C1" w:rsidRDefault="003370C1" w:rsidP="00135BC3">
            <w:pPr>
              <w:pStyle w:val="Tablewriting"/>
              <w:rPr>
                <w:rFonts w:eastAsia="MS Mincho"/>
              </w:rPr>
            </w:pPr>
          </w:p>
          <w:p w14:paraId="64E2B1D1" w14:textId="77777777" w:rsidR="003370C1" w:rsidRDefault="003370C1" w:rsidP="00135BC3">
            <w:pPr>
              <w:pStyle w:val="Tablewriting"/>
              <w:rPr>
                <w:rFonts w:eastAsia="MS Mincho"/>
                <w:highlight w:val="yellow"/>
                <w:u w:val="single"/>
              </w:rPr>
            </w:pPr>
            <w:r>
              <w:rPr>
                <w:rFonts w:eastAsia="MS Mincho"/>
                <w:u w:val="single"/>
              </w:rPr>
              <w:t xml:space="preserve">Patch + gum preloading </w:t>
            </w:r>
            <w:r w:rsidRPr="002F0CA7">
              <w:rPr>
                <w:rFonts w:eastAsia="MS Mincho"/>
                <w:u w:val="single"/>
              </w:rPr>
              <w:t xml:space="preserve">versus </w:t>
            </w:r>
            <w:r>
              <w:rPr>
                <w:rFonts w:eastAsia="MS Mincho"/>
                <w:u w:val="single"/>
              </w:rPr>
              <w:t>standard use</w:t>
            </w:r>
          </w:p>
          <w:p w14:paraId="67CC9D2E"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259 </w:t>
            </w:r>
            <w:r w:rsidRPr="002F0CA7">
              <w:rPr>
                <w:rFonts w:eastAsia="MS Mincho"/>
              </w:rPr>
              <w:t>(</w:t>
            </w:r>
            <w:r>
              <w:rPr>
                <w:rFonts w:eastAsia="MS Mincho"/>
              </w:rPr>
              <w:t xml:space="preserve">2 </w:t>
            </w:r>
            <w:r w:rsidRPr="002F0CA7">
              <w:rPr>
                <w:rFonts w:eastAsia="MS Mincho"/>
              </w:rPr>
              <w:t>RCT)</w:t>
            </w:r>
          </w:p>
          <w:p w14:paraId="2FB6CA06" w14:textId="77777777" w:rsidR="003370C1" w:rsidRPr="00F4262F" w:rsidRDefault="003370C1" w:rsidP="00135BC3">
            <w:pPr>
              <w:pStyle w:val="Tablewriting"/>
              <w:rPr>
                <w:rFonts w:eastAsia="MS Mincho"/>
              </w:rPr>
            </w:pPr>
            <w:r>
              <w:rPr>
                <w:rFonts w:eastAsia="MS Mincho"/>
              </w:rPr>
              <w:t xml:space="preserve">Preloading </w:t>
            </w:r>
            <w:r w:rsidRPr="002F0CA7">
              <w:rPr>
                <w:rFonts w:eastAsia="MS Mincho"/>
              </w:rPr>
              <w:t>(n=</w:t>
            </w:r>
            <w:r>
              <w:rPr>
                <w:rFonts w:eastAsia="MS Mincho"/>
              </w:rPr>
              <w:t>191</w:t>
            </w:r>
            <w:r w:rsidRPr="002F0CA7">
              <w:rPr>
                <w:rFonts w:eastAsia="MS Mincho"/>
              </w:rPr>
              <w:t>),</w:t>
            </w:r>
            <w:r>
              <w:rPr>
                <w:rFonts w:eastAsia="MS Mincho"/>
              </w:rPr>
              <w:t xml:space="preserve"> standard use </w:t>
            </w:r>
            <w:r w:rsidRPr="002F0CA7">
              <w:rPr>
                <w:rFonts w:eastAsia="MS Mincho"/>
              </w:rPr>
              <w:t>(n=</w:t>
            </w:r>
            <w:r>
              <w:rPr>
                <w:rFonts w:eastAsia="MS Mincho"/>
              </w:rPr>
              <w:t>68</w:t>
            </w:r>
            <w:r w:rsidRPr="002F0CA7">
              <w:rPr>
                <w:rFonts w:eastAsia="MS Mincho"/>
              </w:rPr>
              <w:t>)</w:t>
            </w:r>
          </w:p>
        </w:tc>
        <w:tc>
          <w:tcPr>
            <w:tcW w:w="1940" w:type="pct"/>
            <w:tcMar>
              <w:left w:w="28" w:type="dxa"/>
              <w:right w:w="28" w:type="dxa"/>
            </w:tcMar>
          </w:tcPr>
          <w:p w14:paraId="127119A1" w14:textId="77777777" w:rsidR="003370C1" w:rsidRPr="003F619D" w:rsidRDefault="003370C1" w:rsidP="00135BC3">
            <w:pPr>
              <w:pStyle w:val="Tablewriting"/>
              <w:rPr>
                <w:rFonts w:eastAsia="MS Mincho"/>
              </w:rPr>
            </w:pPr>
            <w:r w:rsidRPr="003F619D">
              <w:rPr>
                <w:rFonts w:eastAsia="MS Mincho"/>
                <w:u w:val="single"/>
              </w:rPr>
              <w:lastRenderedPageBreak/>
              <w:t>Inclusion</w:t>
            </w:r>
            <w:r w:rsidRPr="003F619D">
              <w:rPr>
                <w:rFonts w:eastAsia="MS Mincho"/>
              </w:rPr>
              <w:t xml:space="preserve">: </w:t>
            </w:r>
          </w:p>
          <w:p w14:paraId="17F0F9FA" w14:textId="1F4C821E" w:rsidR="003370C1" w:rsidRPr="003F619D" w:rsidRDefault="003370C1" w:rsidP="00135BC3">
            <w:pPr>
              <w:pStyle w:val="Tablewriting"/>
              <w:rPr>
                <w:rFonts w:eastAsia="MS Mincho"/>
              </w:rPr>
            </w:pPr>
            <w:r w:rsidRPr="003F619D">
              <w:rPr>
                <w:rFonts w:eastAsia="MS Mincho"/>
              </w:rPr>
              <w:t>Adult smokers with an average age of approximately 45, who smoked at least 15 cigarettes a day</w:t>
            </w:r>
            <w:r w:rsidR="00F53921">
              <w:rPr>
                <w:rFonts w:eastAsia="MS Mincho"/>
              </w:rPr>
              <w:t>,</w:t>
            </w:r>
            <w:r w:rsidRPr="003F619D">
              <w:rPr>
                <w:rFonts w:eastAsia="MS Mincho"/>
              </w:rPr>
              <w:t xml:space="preserve"> </w:t>
            </w:r>
            <w:r w:rsidR="00F53921" w:rsidRPr="003F619D">
              <w:rPr>
                <w:rFonts w:eastAsia="MS Mincho"/>
              </w:rPr>
              <w:t>s</w:t>
            </w:r>
            <w:r w:rsidRPr="003F619D">
              <w:rPr>
                <w:rFonts w:eastAsia="MS Mincho"/>
              </w:rPr>
              <w:t>tudies lasted for at least six months.</w:t>
            </w:r>
          </w:p>
          <w:p w14:paraId="12B2A00C" w14:textId="77777777" w:rsidR="003370C1" w:rsidRPr="00186C2B" w:rsidRDefault="003370C1" w:rsidP="00135BC3">
            <w:pPr>
              <w:pStyle w:val="Tablewriting"/>
              <w:rPr>
                <w:rFonts w:eastAsia="MS Mincho"/>
                <w:highlight w:val="yellow"/>
                <w:u w:val="single"/>
              </w:rPr>
            </w:pPr>
            <w:r w:rsidRPr="003F619D">
              <w:rPr>
                <w:rFonts w:eastAsia="MS Mincho"/>
                <w:u w:val="single"/>
              </w:rPr>
              <w:t>Exclusion</w:t>
            </w:r>
            <w:r w:rsidRPr="003F619D">
              <w:rPr>
                <w:rFonts w:eastAsia="MS Mincho"/>
              </w:rPr>
              <w:t xml:space="preserve">: Trials that did not assess cessation as an outcome, with follow-up less than six months, and with additional intervention components not matched between arms. Trials comparing NRT to </w:t>
            </w:r>
            <w:r w:rsidRPr="004042D4">
              <w:rPr>
                <w:rFonts w:eastAsia="MS Mincho"/>
              </w:rPr>
              <w:t>control, and trials comparing NRT to other pharmacotherapies.</w:t>
            </w:r>
          </w:p>
        </w:tc>
        <w:tc>
          <w:tcPr>
            <w:tcW w:w="746" w:type="pct"/>
          </w:tcPr>
          <w:p w14:paraId="69B2B6FC" w14:textId="01251999" w:rsidR="003370C1" w:rsidRPr="00186C2B" w:rsidRDefault="003370C1" w:rsidP="00135BC3">
            <w:pPr>
              <w:pStyle w:val="Tablewriting"/>
              <w:rPr>
                <w:rFonts w:eastAsia="MS Mincho"/>
                <w:highlight w:val="yellow"/>
              </w:rPr>
            </w:pPr>
            <w:r>
              <w:rPr>
                <w:rFonts w:eastAsia="MS Mincho"/>
              </w:rPr>
              <w:t>P</w:t>
            </w:r>
            <w:r w:rsidRPr="00895889">
              <w:rPr>
                <w:rFonts w:eastAsia="MS Mincho"/>
              </w:rPr>
              <w:t>reloading versus standard use</w:t>
            </w:r>
            <w:r w:rsidR="00ED0CBA">
              <w:rPr>
                <w:rFonts w:eastAsia="MS Mincho"/>
              </w:rPr>
              <w:t>.</w:t>
            </w:r>
          </w:p>
        </w:tc>
        <w:tc>
          <w:tcPr>
            <w:tcW w:w="823" w:type="pct"/>
            <w:tcMar>
              <w:left w:w="28" w:type="dxa"/>
              <w:right w:w="28" w:type="dxa"/>
            </w:tcMar>
          </w:tcPr>
          <w:p w14:paraId="0822DE75" w14:textId="77777777" w:rsidR="003370C1" w:rsidRPr="009D1F96"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w:t>
            </w:r>
            <w:r w:rsidRPr="009D1F96">
              <w:rPr>
                <w:rFonts w:eastAsia="MS Mincho"/>
              </w:rPr>
              <w:t>cessation rates of at least six months after baseline.</w:t>
            </w:r>
          </w:p>
          <w:p w14:paraId="3CBCDA1D" w14:textId="77777777" w:rsidR="003370C1" w:rsidRPr="0050095A" w:rsidRDefault="003370C1" w:rsidP="00135BC3">
            <w:pPr>
              <w:pStyle w:val="Tablewriting"/>
              <w:rPr>
                <w:rFonts w:eastAsia="MS Mincho"/>
                <w:u w:val="single"/>
              </w:rPr>
            </w:pPr>
            <w:r w:rsidRPr="009D1F96">
              <w:rPr>
                <w:rFonts w:eastAsia="MS Mincho"/>
                <w:u w:val="single"/>
              </w:rPr>
              <w:t>Secondary</w:t>
            </w:r>
            <w:r w:rsidRPr="009D1F96">
              <w:rPr>
                <w:rFonts w:eastAsia="MS Mincho"/>
              </w:rPr>
              <w:t>: safety including palpitations, cardiac adverse events, cardiac</w:t>
            </w:r>
            <w:r>
              <w:rPr>
                <w:rFonts w:eastAsia="MS Mincho"/>
              </w:rPr>
              <w:t xml:space="preserve"> and overall </w:t>
            </w:r>
            <w:r w:rsidRPr="009D1F96">
              <w:rPr>
                <w:rFonts w:eastAsia="MS Mincho"/>
              </w:rPr>
              <w:t>serious adverse events, and treatment withdrawals.</w:t>
            </w:r>
            <w:r>
              <w:rPr>
                <w:rFonts w:eastAsia="MS Mincho"/>
              </w:rPr>
              <w:t xml:space="preserve"> </w:t>
            </w:r>
          </w:p>
        </w:tc>
      </w:tr>
      <w:tr w:rsidR="003370C1" w:rsidRPr="00061F78" w14:paraId="6D68A7C7" w14:textId="77777777" w:rsidTr="0012368C">
        <w:trPr>
          <w:trHeight w:val="149"/>
        </w:trPr>
        <w:tc>
          <w:tcPr>
            <w:tcW w:w="241" w:type="pct"/>
            <w:tcMar>
              <w:left w:w="28" w:type="dxa"/>
              <w:right w:w="28" w:type="dxa"/>
            </w:tcMar>
          </w:tcPr>
          <w:p w14:paraId="70216C99" w14:textId="77777777" w:rsidR="00135BC3" w:rsidRDefault="003370C1" w:rsidP="00135BC3">
            <w:pPr>
              <w:pStyle w:val="Tablewriting"/>
            </w:pPr>
            <w:r w:rsidRPr="00ED6D24">
              <w:t>Dedert</w:t>
            </w:r>
          </w:p>
          <w:p w14:paraId="3F5BDB6E" w14:textId="3498D246" w:rsidR="003370C1" w:rsidRPr="009A3B21" w:rsidRDefault="00135BC3" w:rsidP="00135BC3">
            <w:pPr>
              <w:pStyle w:val="Tablewriting"/>
              <w:rPr>
                <w:highlight w:val="yellow"/>
              </w:rPr>
            </w:pPr>
            <w:r>
              <w:t>(</w:t>
            </w:r>
            <w:r w:rsidR="003370C1" w:rsidRPr="00ED6D24">
              <w:t>2018</w:t>
            </w:r>
            <w:r>
              <w:t>)</w:t>
            </w:r>
          </w:p>
        </w:tc>
        <w:tc>
          <w:tcPr>
            <w:tcW w:w="347" w:type="pct"/>
          </w:tcPr>
          <w:p w14:paraId="41FDD836" w14:textId="77777777" w:rsidR="003370C1" w:rsidRPr="009A3B21" w:rsidRDefault="003370C1" w:rsidP="00135BC3">
            <w:pPr>
              <w:pStyle w:val="Tablewriting"/>
              <w:rPr>
                <w:rFonts w:eastAsia="MS Mincho"/>
                <w:highlight w:val="yellow"/>
              </w:rPr>
            </w:pPr>
            <w:r w:rsidRPr="007D6C25">
              <w:rPr>
                <w:rFonts w:eastAsia="MS Mincho"/>
              </w:rPr>
              <w:t>RCT</w:t>
            </w:r>
            <w:r w:rsidRPr="008441A8">
              <w:rPr>
                <w:rFonts w:eastAsia="MS Mincho"/>
                <w:vertAlign w:val="superscript"/>
              </w:rPr>
              <w:t>3</w:t>
            </w:r>
          </w:p>
        </w:tc>
        <w:tc>
          <w:tcPr>
            <w:tcW w:w="903" w:type="pct"/>
            <w:tcMar>
              <w:left w:w="28" w:type="dxa"/>
              <w:right w:w="28" w:type="dxa"/>
            </w:tcMar>
          </w:tcPr>
          <w:p w14:paraId="425C73DF" w14:textId="77777777" w:rsidR="003370C1" w:rsidRPr="007D6C25" w:rsidRDefault="003370C1" w:rsidP="00135BC3">
            <w:pPr>
              <w:pStyle w:val="Tablewriting"/>
              <w:rPr>
                <w:rFonts w:eastAsia="MS Mincho"/>
                <w:u w:val="single"/>
              </w:rPr>
            </w:pPr>
            <w:r w:rsidRPr="007D6C25">
              <w:rPr>
                <w:rFonts w:eastAsia="MS Mincho"/>
                <w:u w:val="single"/>
              </w:rPr>
              <w:t>Patch preloading versus placebo</w:t>
            </w:r>
          </w:p>
          <w:p w14:paraId="6FD60D32" w14:textId="77777777" w:rsidR="003370C1" w:rsidRPr="007D6C25" w:rsidRDefault="003370C1" w:rsidP="00135BC3">
            <w:pPr>
              <w:pStyle w:val="Tablewriting"/>
              <w:rPr>
                <w:rFonts w:eastAsia="MS Mincho"/>
              </w:rPr>
            </w:pPr>
            <w:r w:rsidRPr="007D6C25">
              <w:rPr>
                <w:rFonts w:eastAsia="MS Mincho"/>
              </w:rPr>
              <w:t>N= 81</w:t>
            </w:r>
          </w:p>
          <w:p w14:paraId="01C5398B" w14:textId="77777777" w:rsidR="003370C1" w:rsidRPr="007D6C25" w:rsidRDefault="003370C1" w:rsidP="00135BC3">
            <w:pPr>
              <w:pStyle w:val="Tablewriting"/>
              <w:rPr>
                <w:rFonts w:eastAsia="MS Mincho"/>
              </w:rPr>
            </w:pPr>
            <w:r w:rsidRPr="007D6C25">
              <w:rPr>
                <w:rFonts w:eastAsia="MS Mincho"/>
              </w:rPr>
              <w:t xml:space="preserve">Preloading (n=37), </w:t>
            </w:r>
          </w:p>
          <w:p w14:paraId="063D3F13" w14:textId="77777777" w:rsidR="003370C1" w:rsidRPr="007D6C25" w:rsidRDefault="003370C1" w:rsidP="00135BC3">
            <w:pPr>
              <w:pStyle w:val="Tablewriting"/>
              <w:rPr>
                <w:rFonts w:eastAsia="MS Mincho"/>
                <w:highlight w:val="yellow"/>
                <w:u w:val="single"/>
              </w:rPr>
            </w:pPr>
            <w:r w:rsidRPr="007D6C25">
              <w:rPr>
                <w:rFonts w:eastAsia="MS Mincho"/>
              </w:rPr>
              <w:t>Placebo (n=44)</w:t>
            </w:r>
          </w:p>
        </w:tc>
        <w:tc>
          <w:tcPr>
            <w:tcW w:w="1940" w:type="pct"/>
            <w:tcMar>
              <w:left w:w="28" w:type="dxa"/>
              <w:right w:w="28" w:type="dxa"/>
            </w:tcMar>
          </w:tcPr>
          <w:p w14:paraId="76A96A82" w14:textId="77777777" w:rsidR="003370C1" w:rsidRDefault="003370C1" w:rsidP="00135BC3">
            <w:pPr>
              <w:pStyle w:val="Tablewriting"/>
              <w:rPr>
                <w:rFonts w:eastAsia="MS Mincho"/>
                <w:u w:val="single"/>
              </w:rPr>
            </w:pPr>
            <w:r w:rsidRPr="007D6C25">
              <w:rPr>
                <w:rFonts w:eastAsia="MS Mincho"/>
                <w:u w:val="single"/>
              </w:rPr>
              <w:t xml:space="preserve">Inclusion: </w:t>
            </w:r>
          </w:p>
          <w:p w14:paraId="5C67ED4F" w14:textId="77777777" w:rsidR="003370C1" w:rsidRPr="007D6C25" w:rsidRDefault="003370C1" w:rsidP="00135BC3">
            <w:pPr>
              <w:pStyle w:val="Tablewriting"/>
              <w:rPr>
                <w:rFonts w:eastAsia="MS Mincho"/>
              </w:rPr>
            </w:pPr>
            <w:r w:rsidRPr="007D6C25">
              <w:rPr>
                <w:rFonts w:eastAsia="MS Mincho"/>
              </w:rPr>
              <w:t>Adult smokers age</w:t>
            </w:r>
            <w:r>
              <w:rPr>
                <w:rFonts w:eastAsia="MS Mincho"/>
              </w:rPr>
              <w:t>d</w:t>
            </w:r>
            <w:r w:rsidRPr="007D6C25">
              <w:rPr>
                <w:rFonts w:eastAsia="MS Mincho"/>
              </w:rPr>
              <w:t xml:space="preserve"> 18–70 years </w:t>
            </w:r>
            <w:r>
              <w:rPr>
                <w:rFonts w:eastAsia="MS Mincho"/>
              </w:rPr>
              <w:t>with PTSD (</w:t>
            </w:r>
            <w:r w:rsidRPr="007D6C25">
              <w:rPr>
                <w:rFonts w:eastAsia="MS Mincho"/>
              </w:rPr>
              <w:t>interview-based diagnosis</w:t>
            </w:r>
            <w:r>
              <w:rPr>
                <w:rFonts w:eastAsia="MS Mincho"/>
              </w:rPr>
              <w:t xml:space="preserve">), </w:t>
            </w:r>
            <w:r w:rsidRPr="007D6C25">
              <w:rPr>
                <w:rFonts w:eastAsia="MS Mincho"/>
              </w:rPr>
              <w:t>smoking at least 10 cigarettes daily for the past year, willingness to make a smoking cessation attempt, and fluency in English.</w:t>
            </w:r>
          </w:p>
          <w:p w14:paraId="1A07D694" w14:textId="77777777" w:rsidR="003370C1" w:rsidRPr="007D6C25" w:rsidRDefault="003370C1" w:rsidP="00135BC3">
            <w:pPr>
              <w:pStyle w:val="Tablewriting"/>
              <w:rPr>
                <w:rFonts w:eastAsia="MS Mincho"/>
                <w:u w:val="single"/>
              </w:rPr>
            </w:pPr>
            <w:r w:rsidRPr="007D6C25">
              <w:rPr>
                <w:rFonts w:eastAsia="MS Mincho"/>
                <w:u w:val="single"/>
              </w:rPr>
              <w:t>Exclusion:</w:t>
            </w:r>
          </w:p>
          <w:p w14:paraId="39BFAE4D" w14:textId="118DABB8" w:rsidR="003370C1" w:rsidRPr="007D6C25" w:rsidRDefault="003370C1" w:rsidP="00135BC3">
            <w:pPr>
              <w:pStyle w:val="Tablewriting"/>
              <w:rPr>
                <w:rFonts w:eastAsia="MS Mincho"/>
                <w:highlight w:val="yellow"/>
              </w:rPr>
            </w:pPr>
            <w:r>
              <w:rPr>
                <w:rFonts w:eastAsia="MS Mincho"/>
              </w:rPr>
              <w:t>S</w:t>
            </w:r>
            <w:r w:rsidRPr="007D6C25">
              <w:rPr>
                <w:rFonts w:eastAsia="MS Mincho"/>
              </w:rPr>
              <w:t>moked non-cigarette forms of nicotine (non-combustible forms of nicotine such as electronic cigarettes were not excluded), were pregnant, had major unstable medical problems or unstable medication</w:t>
            </w:r>
            <w:r>
              <w:rPr>
                <w:rFonts w:eastAsia="MS Mincho"/>
              </w:rPr>
              <w:t xml:space="preserve"> </w:t>
            </w:r>
            <w:r w:rsidRPr="007D6C25">
              <w:rPr>
                <w:rFonts w:eastAsia="MS Mincho"/>
              </w:rPr>
              <w:t xml:space="preserve">regimens, current manic syndrome, psychotic disorder, current </w:t>
            </w:r>
            <w:r w:rsidR="00826C95" w:rsidRPr="007D6C25">
              <w:rPr>
                <w:rFonts w:eastAsia="MS Mincho"/>
              </w:rPr>
              <w:t>drug,</w:t>
            </w:r>
            <w:r w:rsidRPr="007D6C25">
              <w:rPr>
                <w:rFonts w:eastAsia="MS Mincho"/>
              </w:rPr>
              <w:t xml:space="preserve"> or alcohol use disorder, or used bupropion or benzodiazepines.</w:t>
            </w:r>
          </w:p>
        </w:tc>
        <w:tc>
          <w:tcPr>
            <w:tcW w:w="746" w:type="pct"/>
          </w:tcPr>
          <w:p w14:paraId="098EA534" w14:textId="0753B3AA" w:rsidR="003370C1" w:rsidRDefault="003370C1" w:rsidP="00135BC3">
            <w:pPr>
              <w:pStyle w:val="Tablewriting"/>
              <w:rPr>
                <w:rFonts w:eastAsia="MS Mincho"/>
              </w:rPr>
            </w:pPr>
            <w:r w:rsidRPr="007D6C25">
              <w:rPr>
                <w:rFonts w:eastAsia="MS Mincho"/>
              </w:rPr>
              <w:t>NRT patch preloading versus placebo patch preloading</w:t>
            </w:r>
            <w:r w:rsidR="00ED0CBA">
              <w:rPr>
                <w:rFonts w:eastAsia="MS Mincho"/>
              </w:rPr>
              <w:t>.</w:t>
            </w:r>
            <w:r w:rsidRPr="007D6C25">
              <w:rPr>
                <w:rFonts w:eastAsia="MS Mincho"/>
              </w:rPr>
              <w:t xml:space="preserve"> </w:t>
            </w:r>
          </w:p>
          <w:p w14:paraId="40647E94" w14:textId="77777777" w:rsidR="003370C1" w:rsidRDefault="003370C1" w:rsidP="00135BC3">
            <w:pPr>
              <w:pStyle w:val="Tablewriting"/>
              <w:rPr>
                <w:rFonts w:eastAsia="MS Mincho"/>
                <w:highlight w:val="yellow"/>
              </w:rPr>
            </w:pPr>
          </w:p>
          <w:p w14:paraId="6A58C091" w14:textId="5C6E4E6C" w:rsidR="003370C1" w:rsidRPr="009A3B21" w:rsidRDefault="003370C1" w:rsidP="00135BC3">
            <w:pPr>
              <w:pStyle w:val="Tablewriting"/>
              <w:rPr>
                <w:rFonts w:eastAsia="MS Mincho"/>
                <w:highlight w:val="yellow"/>
              </w:rPr>
            </w:pPr>
            <w:r w:rsidRPr="007D179B">
              <w:rPr>
                <w:rFonts w:eastAsia="MS Mincho"/>
              </w:rPr>
              <w:t xml:space="preserve">All participants received standard pharmacotherapy and </w:t>
            </w:r>
            <w:r w:rsidR="004468C6" w:rsidRPr="007D179B">
              <w:rPr>
                <w:rFonts w:eastAsia="MS Mincho"/>
              </w:rPr>
              <w:t>behavioural</w:t>
            </w:r>
            <w:r w:rsidRPr="007D179B">
              <w:rPr>
                <w:rFonts w:eastAsia="MS Mincho"/>
              </w:rPr>
              <w:t xml:space="preserve"> treatment for smoking cessation after the quit date.</w:t>
            </w:r>
          </w:p>
        </w:tc>
        <w:tc>
          <w:tcPr>
            <w:tcW w:w="823" w:type="pct"/>
            <w:tcMar>
              <w:left w:w="28" w:type="dxa"/>
              <w:right w:w="28" w:type="dxa"/>
            </w:tcMar>
          </w:tcPr>
          <w:p w14:paraId="69E05B7B" w14:textId="77777777" w:rsidR="003370C1" w:rsidRPr="00FA3FB4" w:rsidRDefault="003370C1" w:rsidP="00135BC3">
            <w:pPr>
              <w:pStyle w:val="Tablewriting"/>
              <w:rPr>
                <w:rFonts w:eastAsia="MS Mincho"/>
              </w:rPr>
            </w:pPr>
            <w:r w:rsidRPr="00FA3FB4">
              <w:rPr>
                <w:rFonts w:eastAsia="MS Mincho"/>
                <w:u w:val="single"/>
              </w:rPr>
              <w:t>Primary</w:t>
            </w:r>
            <w:r w:rsidRPr="00FA3FB4">
              <w:rPr>
                <w:rFonts w:eastAsia="MS Mincho"/>
              </w:rPr>
              <w:t xml:space="preserve">: </w:t>
            </w:r>
          </w:p>
          <w:p w14:paraId="5F227199" w14:textId="07C6A537" w:rsidR="003370C1" w:rsidRPr="0008319C" w:rsidRDefault="003370C1" w:rsidP="00135BC3">
            <w:pPr>
              <w:pStyle w:val="Tablewriting"/>
              <w:rPr>
                <w:rFonts w:eastAsia="MS Mincho"/>
              </w:rPr>
            </w:pPr>
            <w:r w:rsidRPr="00FA3FB4">
              <w:rPr>
                <w:rFonts w:eastAsia="MS Mincho"/>
              </w:rPr>
              <w:t>smoking cessation rates</w:t>
            </w:r>
            <w:r>
              <w:rPr>
                <w:rFonts w:eastAsia="MS Mincho"/>
              </w:rPr>
              <w:t xml:space="preserve"> (7-day PPA)</w:t>
            </w:r>
            <w:r w:rsidRPr="00FA3FB4">
              <w:rPr>
                <w:rFonts w:eastAsia="MS Mincho"/>
              </w:rPr>
              <w:t xml:space="preserve"> of </w:t>
            </w:r>
            <w:r w:rsidRPr="0008319C">
              <w:rPr>
                <w:rFonts w:eastAsia="MS Mincho"/>
              </w:rPr>
              <w:t>at 6 weeks, and 6 months after baseline</w:t>
            </w:r>
            <w:r w:rsidR="009562D0">
              <w:rPr>
                <w:rFonts w:eastAsia="MS Mincho"/>
              </w:rPr>
              <w:t xml:space="preserve"> </w:t>
            </w:r>
            <w:r w:rsidR="00A938BB" w:rsidRPr="009562D0">
              <w:rPr>
                <w:rFonts w:eastAsia="MS Mincho"/>
              </w:rPr>
              <w:t>bio</w:t>
            </w:r>
            <w:r w:rsidR="00A938BB">
              <w:rPr>
                <w:rFonts w:eastAsia="MS Mincho"/>
              </w:rPr>
              <w:t xml:space="preserve">chemically </w:t>
            </w:r>
            <w:r w:rsidR="009562D0" w:rsidRPr="009562D0">
              <w:rPr>
                <w:rFonts w:eastAsia="MS Mincho"/>
              </w:rPr>
              <w:t>verified with breath</w:t>
            </w:r>
            <w:r w:rsidR="009562D0">
              <w:rPr>
                <w:rFonts w:eastAsia="MS Mincho"/>
              </w:rPr>
              <w:t xml:space="preserve"> </w:t>
            </w:r>
            <w:r w:rsidR="009562D0" w:rsidRPr="009562D0">
              <w:rPr>
                <w:rFonts w:eastAsia="MS Mincho"/>
              </w:rPr>
              <w:t>CO at six weeks post-quit date</w:t>
            </w:r>
            <w:r w:rsidRPr="0008319C">
              <w:rPr>
                <w:rFonts w:eastAsia="MS Mincho"/>
              </w:rPr>
              <w:t xml:space="preserve">. </w:t>
            </w:r>
          </w:p>
          <w:p w14:paraId="476CD459" w14:textId="77777777" w:rsidR="003370C1" w:rsidRPr="0008319C" w:rsidRDefault="003370C1" w:rsidP="00135BC3">
            <w:pPr>
              <w:pStyle w:val="Tablewriting"/>
              <w:rPr>
                <w:rFonts w:eastAsia="MS Mincho"/>
              </w:rPr>
            </w:pPr>
            <w:r w:rsidRPr="0008319C">
              <w:rPr>
                <w:rFonts w:eastAsia="MS Mincho"/>
                <w:u w:val="single"/>
              </w:rPr>
              <w:t>Secondary</w:t>
            </w:r>
            <w:r w:rsidRPr="0008319C">
              <w:rPr>
                <w:rFonts w:eastAsia="MS Mincho"/>
              </w:rPr>
              <w:t xml:space="preserve">: </w:t>
            </w:r>
          </w:p>
          <w:p w14:paraId="351B2509" w14:textId="77777777" w:rsidR="003370C1" w:rsidRPr="005308F0" w:rsidRDefault="003370C1" w:rsidP="00135BC3">
            <w:pPr>
              <w:pStyle w:val="Tablewriting"/>
              <w:rPr>
                <w:rFonts w:eastAsia="MS Mincho"/>
                <w:highlight w:val="yellow"/>
              </w:rPr>
            </w:pPr>
            <w:r w:rsidRPr="0008319C">
              <w:rPr>
                <w:rFonts w:eastAsia="MS Mincho"/>
              </w:rPr>
              <w:t>change in craving, withdrawal symptoms, and PTSD symptoms that occur</w:t>
            </w:r>
            <w:r w:rsidRPr="005308F0">
              <w:rPr>
                <w:rFonts w:eastAsia="MS Mincho"/>
              </w:rPr>
              <w:t xml:space="preserve"> when smoking a cigarette during the patch</w:t>
            </w:r>
            <w:r>
              <w:rPr>
                <w:rFonts w:eastAsia="MS Mincho"/>
              </w:rPr>
              <w:t xml:space="preserve"> </w:t>
            </w:r>
            <w:r w:rsidRPr="005308F0">
              <w:rPr>
                <w:rFonts w:eastAsia="MS Mincho"/>
              </w:rPr>
              <w:t>preloading phase</w:t>
            </w:r>
            <w:r>
              <w:rPr>
                <w:rFonts w:eastAsia="MS Mincho"/>
              </w:rPr>
              <w:t>.</w:t>
            </w:r>
          </w:p>
        </w:tc>
      </w:tr>
      <w:tr w:rsidR="005A4731" w:rsidRPr="00061F78" w14:paraId="11C2CBE8" w14:textId="77777777" w:rsidTr="0012368C">
        <w:trPr>
          <w:trHeight w:val="149"/>
        </w:trPr>
        <w:tc>
          <w:tcPr>
            <w:tcW w:w="5000" w:type="pct"/>
            <w:gridSpan w:val="6"/>
            <w:shd w:val="clear" w:color="auto" w:fill="auto"/>
            <w:tcMar>
              <w:left w:w="28" w:type="dxa"/>
              <w:right w:w="28" w:type="dxa"/>
            </w:tcMar>
          </w:tcPr>
          <w:p w14:paraId="2AB8E1FF" w14:textId="0391A607" w:rsidR="005A4731" w:rsidRPr="006E7EED" w:rsidRDefault="005A4731" w:rsidP="00135BC3">
            <w:pPr>
              <w:pStyle w:val="Tablewriting"/>
              <w:rPr>
                <w:rFonts w:eastAsia="MS Mincho"/>
                <w:u w:val="single"/>
              </w:rPr>
            </w:pPr>
            <w:r>
              <w:rPr>
                <w:rFonts w:eastAsia="MS Mincho"/>
                <w:b/>
                <w:bCs/>
              </w:rPr>
              <w:t>Cut down to quit</w:t>
            </w:r>
          </w:p>
        </w:tc>
      </w:tr>
      <w:tr w:rsidR="003370C1" w:rsidRPr="00061F78" w14:paraId="18393209" w14:textId="77777777" w:rsidTr="0012368C">
        <w:trPr>
          <w:trHeight w:val="149"/>
        </w:trPr>
        <w:tc>
          <w:tcPr>
            <w:tcW w:w="241" w:type="pct"/>
            <w:tcMar>
              <w:left w:w="28" w:type="dxa"/>
              <w:right w:w="28" w:type="dxa"/>
            </w:tcMar>
          </w:tcPr>
          <w:p w14:paraId="6E2089F3" w14:textId="7BB61CC5" w:rsidR="003370C1" w:rsidRDefault="003370C1" w:rsidP="00135BC3">
            <w:pPr>
              <w:pStyle w:val="Tablewriting"/>
            </w:pPr>
            <w:r>
              <w:t>Lindson</w:t>
            </w:r>
            <w:r w:rsidRPr="00713891">
              <w:t xml:space="preserve"> (</w:t>
            </w:r>
            <w:r w:rsidRPr="00A938BB">
              <w:t>2019</w:t>
            </w:r>
            <w:r w:rsidR="005C0865" w:rsidRPr="00A938BB">
              <w:t>b</w:t>
            </w:r>
            <w:r w:rsidRPr="00713891">
              <w:t>)</w:t>
            </w:r>
          </w:p>
        </w:tc>
        <w:tc>
          <w:tcPr>
            <w:tcW w:w="347" w:type="pct"/>
          </w:tcPr>
          <w:p w14:paraId="71593087" w14:textId="77777777" w:rsidR="003370C1" w:rsidRPr="002F0CA7" w:rsidRDefault="003370C1" w:rsidP="00135BC3">
            <w:pPr>
              <w:pStyle w:val="Tablewriting"/>
              <w:rPr>
                <w:rFonts w:eastAsia="MS Mincho"/>
              </w:rPr>
            </w:pPr>
            <w:r w:rsidRPr="002F0CA7">
              <w:rPr>
                <w:rFonts w:eastAsia="MS Mincho"/>
              </w:rPr>
              <w:t xml:space="preserve">Cochrane review </w:t>
            </w:r>
          </w:p>
          <w:p w14:paraId="05A791A0" w14:textId="77777777" w:rsidR="003370C1" w:rsidRPr="002F0CA7" w:rsidRDefault="003370C1" w:rsidP="00135BC3">
            <w:pPr>
              <w:pStyle w:val="Tablewriting"/>
              <w:rPr>
                <w:rFonts w:eastAsia="MS Mincho"/>
              </w:rPr>
            </w:pPr>
            <w:r w:rsidRPr="002F0CA7">
              <w:rPr>
                <w:rFonts w:eastAsia="MS Mincho"/>
              </w:rPr>
              <w:t>(</w:t>
            </w:r>
            <w:r w:rsidRPr="00760539">
              <w:rPr>
                <w:rFonts w:eastAsia="MS Mincho"/>
              </w:rPr>
              <w:t>11 RCTs</w:t>
            </w:r>
            <w:r w:rsidRPr="00760539">
              <w:rPr>
                <w:rFonts w:eastAsia="MS Mincho"/>
                <w:vertAlign w:val="superscript"/>
              </w:rPr>
              <w:t>2</w:t>
            </w:r>
            <w:r w:rsidRPr="00760539">
              <w:rPr>
                <w:rFonts w:eastAsia="MS Mincho"/>
              </w:rPr>
              <w:t>)</w:t>
            </w:r>
          </w:p>
        </w:tc>
        <w:tc>
          <w:tcPr>
            <w:tcW w:w="903" w:type="pct"/>
            <w:tcMar>
              <w:left w:w="28" w:type="dxa"/>
              <w:right w:w="28" w:type="dxa"/>
            </w:tcMar>
          </w:tcPr>
          <w:p w14:paraId="088A4DDE" w14:textId="77777777" w:rsidR="003370C1" w:rsidRDefault="003370C1" w:rsidP="00135BC3">
            <w:pPr>
              <w:pStyle w:val="Tablewriting"/>
              <w:rPr>
                <w:rFonts w:eastAsia="MS Mincho"/>
                <w:u w:val="single"/>
              </w:rPr>
            </w:pPr>
            <w:r>
              <w:rPr>
                <w:rFonts w:eastAsia="MS Mincho"/>
                <w:u w:val="single"/>
              </w:rPr>
              <w:t>Combination NRT</w:t>
            </w:r>
          </w:p>
          <w:p w14:paraId="3CD9ED9A"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1124 </w:t>
            </w:r>
            <w:r w:rsidRPr="002F0CA7">
              <w:rPr>
                <w:rFonts w:eastAsia="MS Mincho"/>
              </w:rPr>
              <w:t>(</w:t>
            </w:r>
            <w:r>
              <w:rPr>
                <w:rFonts w:eastAsia="MS Mincho"/>
              </w:rPr>
              <w:t xml:space="preserve">3 </w:t>
            </w:r>
            <w:r w:rsidRPr="002F0CA7">
              <w:rPr>
                <w:rFonts w:eastAsia="MS Mincho"/>
              </w:rPr>
              <w:t>RCT)</w:t>
            </w:r>
          </w:p>
          <w:p w14:paraId="0F7D1061" w14:textId="77777777"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578</w:t>
            </w:r>
            <w:r w:rsidRPr="002F0CA7">
              <w:rPr>
                <w:rFonts w:eastAsia="MS Mincho"/>
              </w:rPr>
              <w:t>),</w:t>
            </w:r>
            <w:r>
              <w:rPr>
                <w:rFonts w:eastAsia="MS Mincho"/>
              </w:rPr>
              <w:t xml:space="preserve"> reduction alone </w:t>
            </w:r>
            <w:r w:rsidRPr="002F0CA7">
              <w:rPr>
                <w:rFonts w:eastAsia="MS Mincho"/>
              </w:rPr>
              <w:t>(n=</w:t>
            </w:r>
            <w:r>
              <w:rPr>
                <w:rFonts w:eastAsia="MS Mincho"/>
              </w:rPr>
              <w:t>546</w:t>
            </w:r>
            <w:r w:rsidRPr="002F0CA7">
              <w:rPr>
                <w:rFonts w:eastAsia="MS Mincho"/>
              </w:rPr>
              <w:t>)</w:t>
            </w:r>
          </w:p>
          <w:p w14:paraId="4BEA0E23" w14:textId="77777777" w:rsidR="003370C1" w:rsidRDefault="003370C1" w:rsidP="00135BC3">
            <w:pPr>
              <w:pStyle w:val="Tablewriting"/>
              <w:rPr>
                <w:rFonts w:eastAsia="MS Mincho"/>
                <w:u w:val="single"/>
              </w:rPr>
            </w:pPr>
          </w:p>
          <w:p w14:paraId="6D2D37B1" w14:textId="77777777" w:rsidR="003370C1" w:rsidRDefault="003370C1" w:rsidP="00135BC3">
            <w:pPr>
              <w:pStyle w:val="Tablewriting"/>
              <w:rPr>
                <w:rFonts w:eastAsia="MS Mincho"/>
                <w:u w:val="single"/>
              </w:rPr>
            </w:pPr>
            <w:r>
              <w:rPr>
                <w:rFonts w:eastAsia="MS Mincho"/>
                <w:u w:val="single"/>
              </w:rPr>
              <w:t>NRT patch</w:t>
            </w:r>
          </w:p>
          <w:p w14:paraId="7ABE7F7A"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85 </w:t>
            </w:r>
            <w:r w:rsidRPr="002F0CA7">
              <w:rPr>
                <w:rFonts w:eastAsia="MS Mincho"/>
              </w:rPr>
              <w:t>(</w:t>
            </w:r>
            <w:r>
              <w:rPr>
                <w:rFonts w:eastAsia="MS Mincho"/>
              </w:rPr>
              <w:t xml:space="preserve">1 </w:t>
            </w:r>
            <w:r w:rsidRPr="002F0CA7">
              <w:rPr>
                <w:rFonts w:eastAsia="MS Mincho"/>
              </w:rPr>
              <w:t>RCT)</w:t>
            </w:r>
          </w:p>
          <w:p w14:paraId="792D6706" w14:textId="77777777"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65</w:t>
            </w:r>
            <w:r w:rsidRPr="002F0CA7">
              <w:rPr>
                <w:rFonts w:eastAsia="MS Mincho"/>
              </w:rPr>
              <w:t>),</w:t>
            </w:r>
            <w:r>
              <w:rPr>
                <w:rFonts w:eastAsia="MS Mincho"/>
              </w:rPr>
              <w:t xml:space="preserve"> reduction alone </w:t>
            </w:r>
            <w:r w:rsidRPr="002F0CA7">
              <w:rPr>
                <w:rFonts w:eastAsia="MS Mincho"/>
              </w:rPr>
              <w:t>(n=</w:t>
            </w:r>
            <w:r>
              <w:rPr>
                <w:rFonts w:eastAsia="MS Mincho"/>
              </w:rPr>
              <w:t>20</w:t>
            </w:r>
            <w:r w:rsidRPr="002F0CA7">
              <w:rPr>
                <w:rFonts w:eastAsia="MS Mincho"/>
              </w:rPr>
              <w:t>)</w:t>
            </w:r>
          </w:p>
          <w:p w14:paraId="5DD64D2F" w14:textId="77777777" w:rsidR="003370C1" w:rsidRDefault="003370C1" w:rsidP="00135BC3">
            <w:pPr>
              <w:pStyle w:val="Tablewriting"/>
              <w:rPr>
                <w:rFonts w:eastAsia="MS Mincho"/>
                <w:u w:val="single"/>
              </w:rPr>
            </w:pPr>
          </w:p>
          <w:p w14:paraId="015BF598" w14:textId="77777777" w:rsidR="003370C1" w:rsidRDefault="003370C1" w:rsidP="00135BC3">
            <w:pPr>
              <w:pStyle w:val="Tablewriting"/>
              <w:rPr>
                <w:rFonts w:eastAsia="MS Mincho"/>
                <w:u w:val="single"/>
              </w:rPr>
            </w:pPr>
            <w:r>
              <w:rPr>
                <w:rFonts w:eastAsia="MS Mincho"/>
                <w:u w:val="single"/>
              </w:rPr>
              <w:lastRenderedPageBreak/>
              <w:t>Fast acting NRT</w:t>
            </w:r>
          </w:p>
          <w:p w14:paraId="3FE982D0"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5323 </w:t>
            </w:r>
            <w:r w:rsidRPr="002F0CA7">
              <w:rPr>
                <w:rFonts w:eastAsia="MS Mincho"/>
              </w:rPr>
              <w:t>(</w:t>
            </w:r>
            <w:r>
              <w:rPr>
                <w:rFonts w:eastAsia="MS Mincho"/>
              </w:rPr>
              <w:t xml:space="preserve">7 </w:t>
            </w:r>
            <w:r w:rsidRPr="002F0CA7">
              <w:rPr>
                <w:rFonts w:eastAsia="MS Mincho"/>
              </w:rPr>
              <w:t>RCT)</w:t>
            </w:r>
          </w:p>
          <w:p w14:paraId="7C4C410C" w14:textId="77777777"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2737</w:t>
            </w:r>
            <w:r w:rsidRPr="002F0CA7">
              <w:rPr>
                <w:rFonts w:eastAsia="MS Mincho"/>
              </w:rPr>
              <w:t>),</w:t>
            </w:r>
            <w:r>
              <w:rPr>
                <w:rFonts w:eastAsia="MS Mincho"/>
              </w:rPr>
              <w:t xml:space="preserve"> reduction alone </w:t>
            </w:r>
            <w:r w:rsidRPr="002F0CA7">
              <w:rPr>
                <w:rFonts w:eastAsia="MS Mincho"/>
              </w:rPr>
              <w:t>(n=</w:t>
            </w:r>
            <w:r>
              <w:rPr>
                <w:rFonts w:eastAsia="MS Mincho"/>
              </w:rPr>
              <w:t>2586</w:t>
            </w:r>
            <w:r w:rsidRPr="002F0CA7">
              <w:rPr>
                <w:rFonts w:eastAsia="MS Mincho"/>
              </w:rPr>
              <w:t>)</w:t>
            </w:r>
          </w:p>
          <w:p w14:paraId="14686CB6" w14:textId="77777777" w:rsidR="003370C1" w:rsidRDefault="003370C1" w:rsidP="00135BC3">
            <w:pPr>
              <w:pStyle w:val="Tablewriting"/>
              <w:rPr>
                <w:rFonts w:eastAsia="MS Mincho"/>
                <w:u w:val="single"/>
              </w:rPr>
            </w:pPr>
          </w:p>
          <w:p w14:paraId="051F45A2" w14:textId="77777777" w:rsidR="003370C1" w:rsidRDefault="003370C1" w:rsidP="00135BC3">
            <w:pPr>
              <w:pStyle w:val="Tablewriting"/>
              <w:rPr>
                <w:rFonts w:eastAsia="MS Mincho"/>
                <w:u w:val="single"/>
              </w:rPr>
            </w:pPr>
            <w:r>
              <w:rPr>
                <w:rFonts w:eastAsia="MS Mincho"/>
                <w:u w:val="single"/>
              </w:rPr>
              <w:t>Varenicline</w:t>
            </w:r>
          </w:p>
          <w:p w14:paraId="1BBEFE38"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1510 </w:t>
            </w:r>
            <w:r w:rsidRPr="002F0CA7">
              <w:rPr>
                <w:rFonts w:eastAsia="MS Mincho"/>
              </w:rPr>
              <w:t>(</w:t>
            </w:r>
            <w:r>
              <w:rPr>
                <w:rFonts w:eastAsia="MS Mincho"/>
              </w:rPr>
              <w:t xml:space="preserve">1 </w:t>
            </w:r>
            <w:r w:rsidRPr="002F0CA7">
              <w:rPr>
                <w:rFonts w:eastAsia="MS Mincho"/>
              </w:rPr>
              <w:t>RCT)</w:t>
            </w:r>
          </w:p>
          <w:p w14:paraId="092B5DD3" w14:textId="77777777" w:rsidR="003370C1"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760</w:t>
            </w:r>
            <w:r w:rsidRPr="002F0CA7">
              <w:rPr>
                <w:rFonts w:eastAsia="MS Mincho"/>
              </w:rPr>
              <w:t>),</w:t>
            </w:r>
            <w:r>
              <w:rPr>
                <w:rFonts w:eastAsia="MS Mincho"/>
              </w:rPr>
              <w:t xml:space="preserve"> reduction alone </w:t>
            </w:r>
            <w:r w:rsidRPr="002F0CA7">
              <w:rPr>
                <w:rFonts w:eastAsia="MS Mincho"/>
              </w:rPr>
              <w:t>(n=</w:t>
            </w:r>
            <w:r>
              <w:rPr>
                <w:rFonts w:eastAsia="MS Mincho"/>
              </w:rPr>
              <w:t>750</w:t>
            </w:r>
            <w:r w:rsidRPr="002F0CA7">
              <w:rPr>
                <w:rFonts w:eastAsia="MS Mincho"/>
              </w:rPr>
              <w:t>)</w:t>
            </w:r>
          </w:p>
          <w:p w14:paraId="5FBB12F6" w14:textId="77777777" w:rsidR="003370C1" w:rsidRDefault="003370C1" w:rsidP="00135BC3">
            <w:pPr>
              <w:pStyle w:val="Tablewriting"/>
              <w:rPr>
                <w:rFonts w:eastAsia="MS Mincho"/>
                <w:u w:val="single"/>
              </w:rPr>
            </w:pPr>
          </w:p>
          <w:p w14:paraId="26D340C2" w14:textId="77777777" w:rsidR="003370C1" w:rsidRDefault="003370C1" w:rsidP="00135BC3">
            <w:pPr>
              <w:pStyle w:val="Tablewriting"/>
              <w:rPr>
                <w:rFonts w:eastAsia="MS Mincho"/>
                <w:u w:val="single"/>
              </w:rPr>
            </w:pPr>
            <w:r>
              <w:rPr>
                <w:rFonts w:eastAsia="MS Mincho"/>
                <w:u w:val="single"/>
              </w:rPr>
              <w:t>Bupropion</w:t>
            </w:r>
          </w:p>
          <w:p w14:paraId="116820B4" w14:textId="77777777" w:rsidR="003370C1" w:rsidRPr="002F0CA7" w:rsidRDefault="003370C1" w:rsidP="00135BC3">
            <w:pPr>
              <w:pStyle w:val="Tablewriting"/>
              <w:rPr>
                <w:rFonts w:eastAsia="MS Mincho"/>
              </w:rPr>
            </w:pPr>
            <w:r w:rsidRPr="002F0CA7">
              <w:rPr>
                <w:rFonts w:eastAsia="MS Mincho"/>
              </w:rPr>
              <w:t xml:space="preserve">N= </w:t>
            </w:r>
            <w:r>
              <w:rPr>
                <w:rFonts w:eastAsia="MS Mincho"/>
              </w:rPr>
              <w:t xml:space="preserve">594 </w:t>
            </w:r>
            <w:r w:rsidRPr="002F0CA7">
              <w:rPr>
                <w:rFonts w:eastAsia="MS Mincho"/>
              </w:rPr>
              <w:t>(</w:t>
            </w:r>
            <w:r>
              <w:rPr>
                <w:rFonts w:eastAsia="MS Mincho"/>
              </w:rPr>
              <w:t xml:space="preserve">1 </w:t>
            </w:r>
            <w:r w:rsidRPr="002F0CA7">
              <w:rPr>
                <w:rFonts w:eastAsia="MS Mincho"/>
              </w:rPr>
              <w:t>RCT)</w:t>
            </w:r>
          </w:p>
          <w:p w14:paraId="62BB6524" w14:textId="77777777" w:rsidR="003370C1" w:rsidRPr="00760539" w:rsidRDefault="003370C1" w:rsidP="00135BC3">
            <w:pPr>
              <w:pStyle w:val="Tablewriting"/>
              <w:rPr>
                <w:rFonts w:eastAsia="MS Mincho"/>
                <w:u w:val="single"/>
              </w:rPr>
            </w:pPr>
            <w:r>
              <w:rPr>
                <w:rFonts w:eastAsia="MS Mincho"/>
              </w:rPr>
              <w:t xml:space="preserve">Reduction with pharmacotherapy </w:t>
            </w:r>
            <w:r w:rsidRPr="002F0CA7">
              <w:rPr>
                <w:rFonts w:eastAsia="MS Mincho"/>
              </w:rPr>
              <w:t>(n=</w:t>
            </w:r>
            <w:r>
              <w:rPr>
                <w:rFonts w:eastAsia="MS Mincho"/>
              </w:rPr>
              <w:t>295</w:t>
            </w:r>
            <w:r w:rsidRPr="002F0CA7">
              <w:rPr>
                <w:rFonts w:eastAsia="MS Mincho"/>
              </w:rPr>
              <w:t>),</w:t>
            </w:r>
            <w:r>
              <w:rPr>
                <w:rFonts w:eastAsia="MS Mincho"/>
              </w:rPr>
              <w:t xml:space="preserve"> reduction alone </w:t>
            </w:r>
            <w:r w:rsidRPr="002F0CA7">
              <w:rPr>
                <w:rFonts w:eastAsia="MS Mincho"/>
              </w:rPr>
              <w:t>(n=</w:t>
            </w:r>
            <w:r>
              <w:rPr>
                <w:rFonts w:eastAsia="MS Mincho"/>
              </w:rPr>
              <w:t>299</w:t>
            </w:r>
            <w:r w:rsidRPr="002F0CA7">
              <w:rPr>
                <w:rFonts w:eastAsia="MS Mincho"/>
              </w:rPr>
              <w:t>)</w:t>
            </w:r>
          </w:p>
        </w:tc>
        <w:tc>
          <w:tcPr>
            <w:tcW w:w="1940" w:type="pct"/>
            <w:tcMar>
              <w:left w:w="28" w:type="dxa"/>
              <w:right w:w="28" w:type="dxa"/>
            </w:tcMar>
          </w:tcPr>
          <w:p w14:paraId="4A24086B" w14:textId="77777777" w:rsidR="003370C1" w:rsidRPr="00A91B90" w:rsidRDefault="003370C1" w:rsidP="00135BC3">
            <w:pPr>
              <w:pStyle w:val="Tablewriting"/>
              <w:rPr>
                <w:rFonts w:eastAsia="MS Mincho"/>
                <w:u w:val="single"/>
              </w:rPr>
            </w:pPr>
            <w:r w:rsidRPr="00A91B90">
              <w:rPr>
                <w:rFonts w:eastAsia="MS Mincho"/>
                <w:u w:val="single"/>
              </w:rPr>
              <w:lastRenderedPageBreak/>
              <w:t>Inclusion:</w:t>
            </w:r>
          </w:p>
          <w:p w14:paraId="6363D1C0" w14:textId="77777777" w:rsidR="003370C1" w:rsidRPr="00A91B90" w:rsidRDefault="003370C1" w:rsidP="00135BC3">
            <w:pPr>
              <w:pStyle w:val="Tablewriting"/>
              <w:rPr>
                <w:rFonts w:eastAsia="MS Mincho"/>
              </w:rPr>
            </w:pPr>
            <w:r w:rsidRPr="00A91B90">
              <w:rPr>
                <w:rFonts w:eastAsia="MS Mincho"/>
              </w:rPr>
              <w:t>Most were adults, and people typically smoked at least 23</w:t>
            </w:r>
            <w:r>
              <w:rPr>
                <w:rFonts w:eastAsia="MS Mincho"/>
              </w:rPr>
              <w:t xml:space="preserve"> </w:t>
            </w:r>
            <w:r w:rsidRPr="00A91B90">
              <w:rPr>
                <w:rFonts w:eastAsia="MS Mincho"/>
              </w:rPr>
              <w:t>cigarettes a day at the start of the studies. All studies included at least one group of people who were asked to cut down their smoking and</w:t>
            </w:r>
            <w:r>
              <w:rPr>
                <w:rFonts w:eastAsia="MS Mincho"/>
              </w:rPr>
              <w:t xml:space="preserve"> </w:t>
            </w:r>
            <w:r w:rsidRPr="00A91B90">
              <w:rPr>
                <w:rFonts w:eastAsia="MS Mincho"/>
              </w:rPr>
              <w:t>then quit tobacco smoking</w:t>
            </w:r>
            <w:r>
              <w:rPr>
                <w:rFonts w:eastAsia="MS Mincho"/>
              </w:rPr>
              <w:t xml:space="preserve"> </w:t>
            </w:r>
            <w:r w:rsidRPr="00A91B90">
              <w:rPr>
                <w:rFonts w:eastAsia="MS Mincho"/>
              </w:rPr>
              <w:t>altogether</w:t>
            </w:r>
            <w:r>
              <w:rPr>
                <w:rFonts w:eastAsia="MS Mincho"/>
              </w:rPr>
              <w:t>.</w:t>
            </w:r>
          </w:p>
          <w:p w14:paraId="0772ADA3" w14:textId="77777777" w:rsidR="003370C1" w:rsidRDefault="003370C1" w:rsidP="00135BC3">
            <w:pPr>
              <w:pStyle w:val="Tablewriting"/>
              <w:rPr>
                <w:rFonts w:eastAsia="MS Mincho"/>
                <w:u w:val="single"/>
              </w:rPr>
            </w:pPr>
            <w:r w:rsidRPr="00A91B90">
              <w:rPr>
                <w:rFonts w:eastAsia="MS Mincho"/>
                <w:u w:val="single"/>
              </w:rPr>
              <w:t xml:space="preserve">Exclusion: </w:t>
            </w:r>
          </w:p>
          <w:p w14:paraId="557BF57E" w14:textId="77777777" w:rsidR="003370C1" w:rsidRPr="00A91B90" w:rsidRDefault="003370C1" w:rsidP="00135BC3">
            <w:pPr>
              <w:pStyle w:val="Tablewriting"/>
              <w:rPr>
                <w:rFonts w:eastAsia="MS Mincho"/>
                <w:highlight w:val="yellow"/>
              </w:rPr>
            </w:pPr>
            <w:r w:rsidRPr="00A91B90">
              <w:rPr>
                <w:rFonts w:eastAsia="MS Mincho"/>
              </w:rPr>
              <w:t>Studies which asked people to cut down without quitting</w:t>
            </w:r>
            <w:r>
              <w:rPr>
                <w:rFonts w:eastAsia="MS Mincho"/>
              </w:rPr>
              <w:t>, and s</w:t>
            </w:r>
            <w:r w:rsidRPr="00A91B90">
              <w:rPr>
                <w:rFonts w:eastAsia="MS Mincho"/>
              </w:rPr>
              <w:t xml:space="preserve">tudies lasted </w:t>
            </w:r>
            <w:r>
              <w:rPr>
                <w:rFonts w:eastAsia="MS Mincho"/>
              </w:rPr>
              <w:t>less than</w:t>
            </w:r>
            <w:r w:rsidRPr="00A91B90">
              <w:rPr>
                <w:rFonts w:eastAsia="MS Mincho"/>
              </w:rPr>
              <w:t xml:space="preserve"> six months</w:t>
            </w:r>
            <w:r>
              <w:rPr>
                <w:rFonts w:eastAsia="MS Mincho"/>
              </w:rPr>
              <w:t xml:space="preserve">. </w:t>
            </w:r>
          </w:p>
        </w:tc>
        <w:tc>
          <w:tcPr>
            <w:tcW w:w="746" w:type="pct"/>
          </w:tcPr>
          <w:p w14:paraId="0F85D438" w14:textId="77777777" w:rsidR="003370C1" w:rsidRDefault="003370C1" w:rsidP="00135BC3">
            <w:pPr>
              <w:pStyle w:val="Tablewriting"/>
              <w:rPr>
                <w:rFonts w:eastAsia="MS Mincho"/>
              </w:rPr>
            </w:pPr>
            <w:r>
              <w:rPr>
                <w:rFonts w:eastAsia="MS Mincho"/>
              </w:rPr>
              <w:t xml:space="preserve">Reduction with pharmacotherapy versus reduction alone. </w:t>
            </w:r>
          </w:p>
          <w:p w14:paraId="1C2B1BF9" w14:textId="77777777" w:rsidR="003370C1" w:rsidRDefault="003370C1" w:rsidP="00135BC3">
            <w:pPr>
              <w:pStyle w:val="Tablewriting"/>
              <w:rPr>
                <w:rFonts w:eastAsia="MS Mincho"/>
              </w:rPr>
            </w:pPr>
          </w:p>
          <w:p w14:paraId="3CDCD8B4" w14:textId="77777777" w:rsidR="003370C1" w:rsidRPr="006B5D28" w:rsidRDefault="003370C1" w:rsidP="00135BC3">
            <w:pPr>
              <w:pStyle w:val="Tablewriting"/>
              <w:rPr>
                <w:rFonts w:eastAsia="MS Mincho"/>
              </w:rPr>
            </w:pPr>
            <w:r>
              <w:rPr>
                <w:rFonts w:eastAsia="MS Mincho"/>
              </w:rPr>
              <w:t xml:space="preserve">Pharmacotherapy used were combination NRT, patch, fast acting NRT, varenicline, and bupropion. </w:t>
            </w:r>
          </w:p>
        </w:tc>
        <w:tc>
          <w:tcPr>
            <w:tcW w:w="823" w:type="pct"/>
            <w:tcMar>
              <w:left w:w="28" w:type="dxa"/>
              <w:right w:w="28" w:type="dxa"/>
            </w:tcMar>
          </w:tcPr>
          <w:p w14:paraId="7F724289" w14:textId="77777777" w:rsidR="003370C1" w:rsidRPr="009D1F96" w:rsidRDefault="003370C1" w:rsidP="00135BC3">
            <w:pPr>
              <w:pStyle w:val="Tablewriting"/>
              <w:rPr>
                <w:rFonts w:eastAsia="MS Mincho"/>
              </w:rPr>
            </w:pPr>
            <w:r w:rsidRPr="006E7EED">
              <w:rPr>
                <w:rFonts w:eastAsia="MS Mincho"/>
                <w:u w:val="single"/>
              </w:rPr>
              <w:t>Primary</w:t>
            </w:r>
            <w:r w:rsidRPr="006E7EED">
              <w:rPr>
                <w:rFonts w:eastAsia="MS Mincho"/>
              </w:rPr>
              <w:t xml:space="preserve">: smoking </w:t>
            </w:r>
            <w:r w:rsidRPr="009D1F96">
              <w:rPr>
                <w:rFonts w:eastAsia="MS Mincho"/>
              </w:rPr>
              <w:t>cessation rates of at least six months after baseline.</w:t>
            </w:r>
          </w:p>
          <w:p w14:paraId="5D6F771B" w14:textId="77777777" w:rsidR="003370C1" w:rsidRPr="0050095A" w:rsidRDefault="003370C1" w:rsidP="00135BC3">
            <w:pPr>
              <w:pStyle w:val="Tablewriting"/>
              <w:rPr>
                <w:rFonts w:eastAsia="MS Mincho"/>
                <w:u w:val="single"/>
              </w:rPr>
            </w:pPr>
            <w:r w:rsidRPr="009D1F96">
              <w:rPr>
                <w:rFonts w:eastAsia="MS Mincho"/>
                <w:u w:val="single"/>
              </w:rPr>
              <w:t>Secondary</w:t>
            </w:r>
            <w:r w:rsidRPr="009D1F96">
              <w:rPr>
                <w:rFonts w:eastAsia="MS Mincho"/>
              </w:rPr>
              <w:t xml:space="preserve">: safety including </w:t>
            </w:r>
            <w:r>
              <w:rPr>
                <w:rFonts w:eastAsia="MS Mincho"/>
              </w:rPr>
              <w:t xml:space="preserve">pre-quit </w:t>
            </w:r>
            <w:r w:rsidRPr="009D1F96">
              <w:rPr>
                <w:rFonts w:eastAsia="MS Mincho"/>
              </w:rPr>
              <w:t xml:space="preserve">adverse events, </w:t>
            </w:r>
            <w:r>
              <w:rPr>
                <w:rFonts w:eastAsia="MS Mincho"/>
              </w:rPr>
              <w:t xml:space="preserve">pre-quit serious </w:t>
            </w:r>
            <w:r w:rsidRPr="009D1F96">
              <w:rPr>
                <w:rFonts w:eastAsia="MS Mincho"/>
              </w:rPr>
              <w:t>adverse events,</w:t>
            </w:r>
            <w:r>
              <w:rPr>
                <w:rFonts w:eastAsia="MS Mincho"/>
              </w:rPr>
              <w:t xml:space="preserve"> and pre-quit tobacco </w:t>
            </w:r>
            <w:r w:rsidRPr="009D1F96">
              <w:rPr>
                <w:rFonts w:eastAsia="MS Mincho"/>
              </w:rPr>
              <w:t>withdrawa</w:t>
            </w:r>
            <w:r>
              <w:rPr>
                <w:rFonts w:eastAsia="MS Mincho"/>
              </w:rPr>
              <w:t xml:space="preserve">l. </w:t>
            </w:r>
          </w:p>
        </w:tc>
      </w:tr>
    </w:tbl>
    <w:p w14:paraId="654133F9" w14:textId="77777777" w:rsidR="003370C1" w:rsidRPr="00C87F51" w:rsidRDefault="003370C1" w:rsidP="0012368C">
      <w:pPr>
        <w:pStyle w:val="TableFooter"/>
        <w:keepNext/>
        <w:jc w:val="both"/>
        <w:rPr>
          <w:i/>
        </w:rPr>
      </w:pPr>
      <w:r>
        <w:t xml:space="preserve">Abbreviations: </w:t>
      </w:r>
      <w:r w:rsidRPr="00C87F51">
        <w:t xml:space="preserve">NRT = nicotine replacement therapy; </w:t>
      </w:r>
      <w:r>
        <w:t xml:space="preserve">N/A = not applicable; </w:t>
      </w:r>
      <w:r w:rsidRPr="00C87F51">
        <w:t xml:space="preserve">RCT = randomised controlled trial </w:t>
      </w:r>
    </w:p>
    <w:p w14:paraId="1173B3D9" w14:textId="77777777" w:rsidR="003370C1" w:rsidRDefault="003370C1" w:rsidP="0012368C">
      <w:pPr>
        <w:pStyle w:val="TableFooter"/>
        <w:keepNext/>
        <w:jc w:val="both"/>
      </w:pPr>
      <w:r w:rsidRPr="00C87F51">
        <w:t>Notes:</w:t>
      </w:r>
      <w:r>
        <w:t xml:space="preserve"> </w:t>
      </w:r>
    </w:p>
    <w:p w14:paraId="1EC73DE3" w14:textId="31203343" w:rsidR="003370C1" w:rsidRPr="00BA211C" w:rsidRDefault="003370C1" w:rsidP="0012368C">
      <w:pPr>
        <w:pStyle w:val="TableFooter"/>
        <w:keepNext/>
        <w:jc w:val="both"/>
      </w:pPr>
      <w:r w:rsidRPr="00BA211C">
        <w:t>1 Only the number of patients (n) in the relevant arms were included</w:t>
      </w:r>
      <w:r w:rsidR="00ED0CBA">
        <w:t>.</w:t>
      </w:r>
      <w:r w:rsidRPr="00BA211C">
        <w:t xml:space="preserve"> </w:t>
      </w:r>
    </w:p>
    <w:p w14:paraId="5C9DEDD4" w14:textId="5A0A8D6F" w:rsidR="003370C1" w:rsidRPr="00C464ED" w:rsidRDefault="003370C1" w:rsidP="0012368C">
      <w:pPr>
        <w:pStyle w:val="TableFooter"/>
        <w:keepNext/>
        <w:jc w:val="both"/>
      </w:pPr>
      <w:r w:rsidRPr="00CC5712">
        <w:t xml:space="preserve">2 The characteristics of the individual studies included in Lindson et al. (2019) are presented </w:t>
      </w:r>
      <w:r w:rsidRPr="00A86B42">
        <w:t xml:space="preserve">in </w:t>
      </w:r>
      <w:r w:rsidRPr="001562F2">
        <w:t>Appendix</w:t>
      </w:r>
      <w:r w:rsidR="002C2DB9">
        <w:t xml:space="preserve"> Table 163.</w:t>
      </w:r>
    </w:p>
    <w:p w14:paraId="31B9B8FB" w14:textId="27E00E2A" w:rsidR="003370C1" w:rsidRDefault="003370C1" w:rsidP="0012368C">
      <w:pPr>
        <w:pStyle w:val="TableFooter"/>
        <w:keepNext/>
        <w:jc w:val="both"/>
      </w:pPr>
      <w:r w:rsidRPr="00A86B42">
        <w:t xml:space="preserve">3 </w:t>
      </w:r>
      <w:r w:rsidR="00BF4932" w:rsidRPr="00BF4932">
        <w:t>In Dedert et al. (2018), the concealment of the allocation sequence was not reported.</w:t>
      </w:r>
    </w:p>
    <w:p w14:paraId="6790A377" w14:textId="77777777" w:rsidR="00135BC3" w:rsidRDefault="00135BC3" w:rsidP="003370C1">
      <w:pPr>
        <w:pStyle w:val="TableFooter"/>
        <w:keepNext/>
        <w:sectPr w:rsidR="00135BC3" w:rsidSect="00135BC3">
          <w:pgSz w:w="16838" w:h="11906" w:orient="landscape"/>
          <w:pgMar w:top="1440" w:right="1440" w:bottom="1440" w:left="1440" w:header="708" w:footer="708" w:gutter="0"/>
          <w:cols w:space="708"/>
          <w:titlePg/>
          <w:docGrid w:linePitch="360"/>
        </w:sectPr>
      </w:pPr>
    </w:p>
    <w:p w14:paraId="66E7CB2E" w14:textId="77777777" w:rsidR="003370C1" w:rsidRPr="00C0756C" w:rsidRDefault="003370C1" w:rsidP="0012368C">
      <w:pPr>
        <w:pStyle w:val="Heading5"/>
        <w:numPr>
          <w:ilvl w:val="0"/>
          <w:numId w:val="0"/>
        </w:numPr>
        <w:spacing w:after="120"/>
        <w:jc w:val="both"/>
        <w:rPr>
          <w:i w:val="0"/>
        </w:rPr>
      </w:pPr>
      <w:r w:rsidRPr="00C74B37">
        <w:lastRenderedPageBreak/>
        <w:t>Effect of tapering patch dose</w:t>
      </w:r>
    </w:p>
    <w:p w14:paraId="53CCE0DB" w14:textId="38ACE7D1" w:rsidR="001E73E7" w:rsidRPr="001E73E7" w:rsidRDefault="001E73E7" w:rsidP="0012368C">
      <w:pPr>
        <w:spacing w:after="120"/>
        <w:jc w:val="both"/>
        <w:rPr>
          <w:u w:val="single"/>
        </w:rPr>
      </w:pPr>
      <w:r w:rsidRPr="001E73E7">
        <w:rPr>
          <w:u w:val="single"/>
        </w:rPr>
        <w:t>Efficacy</w:t>
      </w:r>
    </w:p>
    <w:p w14:paraId="656A9DEB" w14:textId="16949B7F" w:rsidR="003370C1" w:rsidRDefault="003370C1" w:rsidP="0012368C">
      <w:pPr>
        <w:pStyle w:val="Caption"/>
        <w:keepNext/>
        <w:spacing w:before="0" w:after="120"/>
        <w:jc w:val="both"/>
        <w:rPr>
          <w:b w:val="0"/>
          <w:bCs w:val="0"/>
        </w:rPr>
      </w:pPr>
      <w:r w:rsidRPr="00EE3321">
        <w:rPr>
          <w:b w:val="0"/>
          <w:bCs w:val="0"/>
        </w:rPr>
        <w:t>A summary of the smoking cessation rates f</w:t>
      </w:r>
      <w:r w:rsidR="00C623F4">
        <w:rPr>
          <w:b w:val="0"/>
          <w:bCs w:val="0"/>
        </w:rPr>
        <w:t>or</w:t>
      </w:r>
      <w:r w:rsidRPr="00EE3321">
        <w:rPr>
          <w:b w:val="0"/>
          <w:bCs w:val="0"/>
        </w:rPr>
        <w:t xml:space="preserve"> at least six months follow-up</w:t>
      </w:r>
      <w:r w:rsidR="008A5E3D">
        <w:rPr>
          <w:b w:val="0"/>
          <w:bCs w:val="0"/>
        </w:rPr>
        <w:t xml:space="preserve"> </w:t>
      </w:r>
      <w:r w:rsidR="004F522A">
        <w:rPr>
          <w:b w:val="0"/>
          <w:bCs w:val="0"/>
        </w:rPr>
        <w:t xml:space="preserve">comparing abrupt withdrawal with tapering patch dose </w:t>
      </w:r>
      <w:r w:rsidRPr="008A42AA">
        <w:rPr>
          <w:b w:val="0"/>
          <w:bCs w:val="0"/>
        </w:rPr>
        <w:t>is presented in</w:t>
      </w:r>
      <w:r w:rsidR="008A42AA" w:rsidRPr="008A42AA">
        <w:rPr>
          <w:b w:val="0"/>
          <w:bCs w:val="0"/>
        </w:rPr>
        <w:t xml:space="preserve"> </w:t>
      </w:r>
      <w:r w:rsidR="008A42AA" w:rsidRPr="008A42AA">
        <w:rPr>
          <w:b w:val="0"/>
          <w:bCs w:val="0"/>
        </w:rPr>
        <w:fldChar w:fldCharType="begin" w:fldLock="1"/>
      </w:r>
      <w:r w:rsidR="008A42AA" w:rsidRPr="008A42AA">
        <w:rPr>
          <w:b w:val="0"/>
          <w:bCs w:val="0"/>
        </w:rPr>
        <w:instrText xml:space="preserve"> REF _Ref59701174 \h  \* MERGEFORMAT </w:instrText>
      </w:r>
      <w:r w:rsidR="008A42AA" w:rsidRPr="008A42AA">
        <w:rPr>
          <w:b w:val="0"/>
          <w:bCs w:val="0"/>
        </w:rPr>
      </w:r>
      <w:r w:rsidR="008A42AA" w:rsidRPr="008A42AA">
        <w:rPr>
          <w:b w:val="0"/>
          <w:bCs w:val="0"/>
        </w:rPr>
        <w:fldChar w:fldCharType="separate"/>
      </w:r>
      <w:r w:rsidR="00EC5CC7" w:rsidRPr="00EC5CC7">
        <w:rPr>
          <w:b w:val="0"/>
          <w:bCs w:val="0"/>
        </w:rPr>
        <w:t xml:space="preserve">Table </w:t>
      </w:r>
      <w:r w:rsidR="00EC5CC7" w:rsidRPr="00EC5CC7">
        <w:rPr>
          <w:b w:val="0"/>
          <w:bCs w:val="0"/>
          <w:noProof/>
        </w:rPr>
        <w:t>96</w:t>
      </w:r>
      <w:r w:rsidR="008A42AA" w:rsidRPr="008A42AA">
        <w:rPr>
          <w:b w:val="0"/>
          <w:bCs w:val="0"/>
        </w:rPr>
        <w:fldChar w:fldCharType="end"/>
      </w:r>
      <w:r w:rsidR="008A42AA" w:rsidRPr="008A42AA">
        <w:rPr>
          <w:b w:val="0"/>
          <w:bCs w:val="0"/>
        </w:rPr>
        <w:t>.</w:t>
      </w:r>
      <w:r w:rsidRPr="008A42AA">
        <w:rPr>
          <w:b w:val="0"/>
          <w:bCs w:val="0"/>
        </w:rPr>
        <w:t xml:space="preserve"> </w:t>
      </w:r>
      <w:r w:rsidR="00FF069D">
        <w:rPr>
          <w:b w:val="0"/>
          <w:bCs w:val="0"/>
        </w:rPr>
        <w:t xml:space="preserve">Based on the </w:t>
      </w:r>
      <w:r w:rsidR="00710FE5">
        <w:rPr>
          <w:b w:val="0"/>
          <w:bCs w:val="0"/>
        </w:rPr>
        <w:t>Cochrane Review</w:t>
      </w:r>
      <w:r w:rsidR="00A30163">
        <w:rPr>
          <w:b w:val="0"/>
          <w:bCs w:val="0"/>
        </w:rPr>
        <w:t xml:space="preserve"> by Lindson et al. (2019), the</w:t>
      </w:r>
      <w:r w:rsidR="00710FE5">
        <w:rPr>
          <w:b w:val="0"/>
          <w:bCs w:val="0"/>
        </w:rPr>
        <w:t xml:space="preserve"> results of the meta-analysis</w:t>
      </w:r>
      <w:r w:rsidR="005A4731">
        <w:rPr>
          <w:b w:val="0"/>
          <w:bCs w:val="0"/>
        </w:rPr>
        <w:t xml:space="preserve"> comprising two RCTs </w:t>
      </w:r>
      <w:r w:rsidR="00710FE5">
        <w:rPr>
          <w:b w:val="0"/>
          <w:bCs w:val="0"/>
        </w:rPr>
        <w:t>demonstrated</w:t>
      </w:r>
      <w:r w:rsidR="00A30163">
        <w:rPr>
          <w:b w:val="0"/>
          <w:bCs w:val="0"/>
        </w:rPr>
        <w:t xml:space="preserve"> no </w:t>
      </w:r>
      <w:r w:rsidR="00D226D9">
        <w:rPr>
          <w:b w:val="0"/>
          <w:bCs w:val="0"/>
        </w:rPr>
        <w:t>statistically significant differences</w:t>
      </w:r>
      <w:r w:rsidR="00024015">
        <w:rPr>
          <w:b w:val="0"/>
          <w:bCs w:val="0"/>
        </w:rPr>
        <w:t xml:space="preserve"> in smoking cessation rates</w:t>
      </w:r>
      <w:r w:rsidR="00D226D9">
        <w:rPr>
          <w:b w:val="0"/>
          <w:bCs w:val="0"/>
        </w:rPr>
        <w:t xml:space="preserve"> between </w:t>
      </w:r>
      <w:r w:rsidR="00024015">
        <w:rPr>
          <w:b w:val="0"/>
          <w:bCs w:val="0"/>
        </w:rPr>
        <w:t>abrupt withdrawal and tapering of NRT patch dose.</w:t>
      </w:r>
      <w:r w:rsidRPr="005D168C">
        <w:rPr>
          <w:b w:val="0"/>
          <w:bCs w:val="0"/>
        </w:rPr>
        <w:t xml:space="preserve"> </w:t>
      </w:r>
      <w:r w:rsidR="0072039B" w:rsidRPr="0072039B">
        <w:rPr>
          <w:b w:val="0"/>
          <w:bCs w:val="0"/>
        </w:rPr>
        <w:t xml:space="preserve">The PBAC previously noted that gradual tapering compared with abrupt withdrawal </w:t>
      </w:r>
      <w:r w:rsidR="00EB7B05">
        <w:rPr>
          <w:b w:val="0"/>
          <w:bCs w:val="0"/>
        </w:rPr>
        <w:t>w</w:t>
      </w:r>
      <w:r w:rsidR="00975E75">
        <w:rPr>
          <w:b w:val="0"/>
          <w:bCs w:val="0"/>
        </w:rPr>
        <w:t>as</w:t>
      </w:r>
      <w:r w:rsidR="0072039B" w:rsidRPr="0072039B">
        <w:rPr>
          <w:b w:val="0"/>
          <w:bCs w:val="0"/>
        </w:rPr>
        <w:t xml:space="preserve"> likely to result in minimal changes in clinical outcomes (NRT PSD, March 2010 PBAC meeting).</w:t>
      </w:r>
    </w:p>
    <w:p w14:paraId="3A7BA158" w14:textId="214083CA" w:rsidR="0055304E" w:rsidRDefault="0055304E" w:rsidP="0012368C">
      <w:pPr>
        <w:pStyle w:val="Caption"/>
        <w:keepNext/>
        <w:spacing w:before="0" w:after="120"/>
        <w:jc w:val="both"/>
      </w:pPr>
      <w:bookmarkStart w:id="171" w:name="_Ref59701174"/>
      <w:r>
        <w:t xml:space="preserve">Table </w:t>
      </w:r>
      <w:r w:rsidR="00BF3F75">
        <w:fldChar w:fldCharType="begin"/>
      </w:r>
      <w:r w:rsidR="00BF3F75">
        <w:instrText xml:space="preserve"> SEQ Table \* ARABIC </w:instrText>
      </w:r>
      <w:r w:rsidR="00BF3F75">
        <w:fldChar w:fldCharType="separate"/>
      </w:r>
      <w:r w:rsidR="00EC5CC7">
        <w:rPr>
          <w:noProof/>
        </w:rPr>
        <w:t>96</w:t>
      </w:r>
      <w:r w:rsidR="00BF3F75">
        <w:rPr>
          <w:noProof/>
        </w:rPr>
        <w:fldChar w:fldCharType="end"/>
      </w:r>
      <w:bookmarkEnd w:id="171"/>
      <w:r>
        <w:t xml:space="preserve">: </w:t>
      </w:r>
      <w:r w:rsidRPr="009A1D6A">
        <w:t>Results of smoking cessation f</w:t>
      </w:r>
      <w:r w:rsidR="00C623F4">
        <w:t>or</w:t>
      </w:r>
      <w:r w:rsidRPr="009A1D6A">
        <w:t xml:space="preserve"> at least six months follow-up, effect of tapering patch dose</w:t>
      </w:r>
    </w:p>
    <w:tbl>
      <w:tblPr>
        <w:tblStyle w:val="TableGrid"/>
        <w:tblW w:w="5000" w:type="pct"/>
        <w:tblLook w:val="04A0" w:firstRow="1" w:lastRow="0" w:firstColumn="1" w:lastColumn="0" w:noHBand="0" w:noVBand="1"/>
        <w:tblCaption w:val="Efficacy results of adalimumab trials (PASI 75 and DLQI)"/>
      </w:tblPr>
      <w:tblGrid>
        <w:gridCol w:w="1182"/>
        <w:gridCol w:w="2342"/>
        <w:gridCol w:w="1830"/>
        <w:gridCol w:w="1834"/>
        <w:gridCol w:w="1828"/>
      </w:tblGrid>
      <w:tr w:rsidR="003370C1" w:rsidRPr="00061F78" w14:paraId="65BB7AC3" w14:textId="77777777" w:rsidTr="00D9283B">
        <w:trPr>
          <w:cantSplit/>
          <w:trHeight w:val="299"/>
          <w:tblHeader/>
        </w:trPr>
        <w:tc>
          <w:tcPr>
            <w:tcW w:w="655" w:type="pct"/>
            <w:shd w:val="clear" w:color="auto" w:fill="BFBFBF" w:themeFill="background1" w:themeFillShade="BF"/>
            <w:tcMar>
              <w:left w:w="28" w:type="dxa"/>
              <w:right w:w="28" w:type="dxa"/>
            </w:tcMar>
          </w:tcPr>
          <w:p w14:paraId="1927EA5A" w14:textId="77777777" w:rsidR="003370C1" w:rsidRPr="00061F78" w:rsidRDefault="003370C1" w:rsidP="00A5263B">
            <w:pPr>
              <w:pStyle w:val="Tableheading"/>
              <w:keepNext/>
              <w:rPr>
                <w:rFonts w:eastAsia="MS Mincho"/>
              </w:rPr>
            </w:pPr>
            <w:r>
              <w:rPr>
                <w:rFonts w:eastAsia="MS Mincho"/>
              </w:rPr>
              <w:t>Study</w:t>
            </w:r>
          </w:p>
        </w:tc>
        <w:tc>
          <w:tcPr>
            <w:tcW w:w="1299" w:type="pct"/>
            <w:shd w:val="clear" w:color="auto" w:fill="BFBFBF" w:themeFill="background1" w:themeFillShade="BF"/>
            <w:vAlign w:val="center"/>
          </w:tcPr>
          <w:p w14:paraId="2B562EF3" w14:textId="77777777" w:rsidR="003370C1" w:rsidRDefault="003370C1"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14:paraId="2453F938" w14:textId="77777777" w:rsidR="003370C1" w:rsidRPr="00061F78" w:rsidRDefault="003370C1" w:rsidP="00A5263B">
            <w:pPr>
              <w:pStyle w:val="Tableheading"/>
              <w:keepNext/>
              <w:jc w:val="center"/>
              <w:rPr>
                <w:rFonts w:eastAsia="MS Mincho"/>
              </w:rPr>
            </w:pPr>
            <w:r w:rsidRPr="00C74B37">
              <w:rPr>
                <w:rFonts w:eastAsia="MS Mincho"/>
              </w:rPr>
              <w:t>Abrupt withdrawal</w:t>
            </w:r>
          </w:p>
        </w:tc>
        <w:tc>
          <w:tcPr>
            <w:tcW w:w="1017" w:type="pct"/>
            <w:shd w:val="clear" w:color="auto" w:fill="BFBFBF" w:themeFill="background1" w:themeFillShade="BF"/>
            <w:tcMar>
              <w:left w:w="28" w:type="dxa"/>
              <w:right w:w="28" w:type="dxa"/>
            </w:tcMar>
            <w:vAlign w:val="center"/>
          </w:tcPr>
          <w:p w14:paraId="448CA41F" w14:textId="77777777" w:rsidR="003370C1" w:rsidRPr="00061F78" w:rsidRDefault="003370C1" w:rsidP="00A5263B">
            <w:pPr>
              <w:pStyle w:val="Tableheading"/>
              <w:keepNext/>
              <w:jc w:val="center"/>
              <w:rPr>
                <w:rFonts w:eastAsia="MS Mincho"/>
              </w:rPr>
            </w:pPr>
            <w:r>
              <w:rPr>
                <w:rFonts w:eastAsia="MS Mincho"/>
              </w:rPr>
              <w:t>T</w:t>
            </w:r>
            <w:r w:rsidRPr="00C74B37">
              <w:rPr>
                <w:rFonts w:eastAsia="MS Mincho"/>
              </w:rPr>
              <w:t>apering</w:t>
            </w:r>
          </w:p>
        </w:tc>
        <w:tc>
          <w:tcPr>
            <w:tcW w:w="1014" w:type="pct"/>
            <w:shd w:val="clear" w:color="auto" w:fill="BFBFBF" w:themeFill="background1" w:themeFillShade="BF"/>
            <w:tcMar>
              <w:left w:w="28" w:type="dxa"/>
              <w:right w:w="28" w:type="dxa"/>
            </w:tcMar>
            <w:vAlign w:val="center"/>
          </w:tcPr>
          <w:p w14:paraId="62811DBD" w14:textId="50BE423B" w:rsidR="003370C1" w:rsidRPr="005A4731" w:rsidRDefault="003370C1" w:rsidP="00A5263B">
            <w:pPr>
              <w:pStyle w:val="Tableheading"/>
              <w:keepNext/>
              <w:jc w:val="center"/>
              <w:rPr>
                <w:rFonts w:eastAsia="MS Mincho"/>
                <w:vertAlign w:val="superscript"/>
              </w:rPr>
            </w:pPr>
            <w:r>
              <w:rPr>
                <w:rFonts w:eastAsia="MS Mincho"/>
              </w:rPr>
              <w:t>RR (95% CI)</w:t>
            </w:r>
            <w:r w:rsidR="005A4731">
              <w:rPr>
                <w:rFonts w:eastAsia="MS Mincho"/>
                <w:vertAlign w:val="superscript"/>
              </w:rPr>
              <w:t>1</w:t>
            </w:r>
          </w:p>
        </w:tc>
      </w:tr>
      <w:tr w:rsidR="003370C1" w:rsidRPr="00061F78" w14:paraId="57DDF752" w14:textId="77777777" w:rsidTr="00D9283B">
        <w:trPr>
          <w:cantSplit/>
          <w:trHeight w:val="99"/>
        </w:trPr>
        <w:tc>
          <w:tcPr>
            <w:tcW w:w="655" w:type="pct"/>
            <w:shd w:val="clear" w:color="auto" w:fill="auto"/>
            <w:tcMar>
              <w:left w:w="28" w:type="dxa"/>
              <w:right w:w="28" w:type="dxa"/>
            </w:tcMar>
            <w:vAlign w:val="center"/>
          </w:tcPr>
          <w:p w14:paraId="1D1DAF9F" w14:textId="115FC4B0" w:rsidR="003370C1" w:rsidRPr="005D18BC" w:rsidRDefault="00D9283B" w:rsidP="00A5263B">
            <w:pPr>
              <w:pStyle w:val="Tablewriting"/>
              <w:keepNext/>
              <w:rPr>
                <w:rFonts w:eastAsia="MS Mincho"/>
                <w:highlight w:val="yellow"/>
              </w:rPr>
            </w:pPr>
            <w:r>
              <w:rPr>
                <w:rFonts w:eastAsia="MS Mincho"/>
              </w:rPr>
              <w:t>Lindson (2019)</w:t>
            </w:r>
          </w:p>
        </w:tc>
        <w:tc>
          <w:tcPr>
            <w:tcW w:w="1299" w:type="pct"/>
            <w:shd w:val="clear" w:color="auto" w:fill="auto"/>
            <w:vAlign w:val="center"/>
          </w:tcPr>
          <w:p w14:paraId="032DA216" w14:textId="77777777" w:rsidR="00D9283B" w:rsidRDefault="00D9283B" w:rsidP="00A5263B">
            <w:pPr>
              <w:pStyle w:val="Tablewriting"/>
              <w:keepNext/>
              <w:jc w:val="center"/>
              <w:rPr>
                <w:rFonts w:eastAsia="MS Mincho"/>
              </w:rPr>
            </w:pPr>
            <w:r>
              <w:rPr>
                <w:rFonts w:eastAsia="MS Mincho"/>
              </w:rPr>
              <w:t>Cochrane Review</w:t>
            </w:r>
          </w:p>
          <w:p w14:paraId="16E72F12" w14:textId="48D9922A" w:rsidR="003370C1" w:rsidRPr="00A22F63" w:rsidRDefault="00D9283B" w:rsidP="00A5263B">
            <w:pPr>
              <w:pStyle w:val="Tablewriting"/>
              <w:keepNext/>
              <w:jc w:val="center"/>
              <w:rPr>
                <w:rFonts w:eastAsia="MS Mincho"/>
              </w:rPr>
            </w:pPr>
            <w:r>
              <w:rPr>
                <w:rFonts w:eastAsia="MS Mincho"/>
              </w:rPr>
              <w:t xml:space="preserve">(2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14:paraId="2A05BEB9" w14:textId="77777777" w:rsidR="00D9283B" w:rsidRDefault="005B4C22" w:rsidP="00A5263B">
            <w:pPr>
              <w:pStyle w:val="Tablewriting"/>
              <w:keepNext/>
              <w:jc w:val="center"/>
              <w:rPr>
                <w:rFonts w:eastAsia="MS Mincho"/>
              </w:rPr>
            </w:pPr>
            <w:r>
              <w:rPr>
                <w:rFonts w:eastAsia="MS Mincho"/>
              </w:rPr>
              <w:t>55/137</w:t>
            </w:r>
          </w:p>
          <w:p w14:paraId="74A12D5F" w14:textId="1155F014" w:rsidR="003370C1" w:rsidRPr="00571B3B" w:rsidRDefault="005B4C22" w:rsidP="00A5263B">
            <w:pPr>
              <w:pStyle w:val="Tablewriting"/>
              <w:keepNext/>
              <w:jc w:val="center"/>
              <w:rPr>
                <w:rFonts w:eastAsia="MS Mincho"/>
              </w:rPr>
            </w:pPr>
            <w:r>
              <w:rPr>
                <w:rFonts w:eastAsia="MS Mincho"/>
              </w:rPr>
              <w:t>(</w:t>
            </w:r>
            <w:r w:rsidR="00A86B42">
              <w:rPr>
                <w:rFonts w:eastAsia="MS Mincho"/>
              </w:rPr>
              <w:t>40.1</w:t>
            </w:r>
            <w:r>
              <w:rPr>
                <w:rFonts w:eastAsia="MS Mincho"/>
              </w:rPr>
              <w:t>%)</w:t>
            </w:r>
          </w:p>
        </w:tc>
        <w:tc>
          <w:tcPr>
            <w:tcW w:w="1017" w:type="pct"/>
            <w:shd w:val="clear" w:color="auto" w:fill="auto"/>
            <w:tcMar>
              <w:left w:w="28" w:type="dxa"/>
              <w:right w:w="28" w:type="dxa"/>
            </w:tcMar>
            <w:vAlign w:val="center"/>
          </w:tcPr>
          <w:p w14:paraId="6ACA1DC1" w14:textId="77777777" w:rsidR="00D9283B" w:rsidRDefault="00AE78CD" w:rsidP="00A5263B">
            <w:pPr>
              <w:pStyle w:val="Tablewriting"/>
              <w:keepNext/>
              <w:jc w:val="center"/>
              <w:rPr>
                <w:rFonts w:eastAsia="MS Mincho"/>
              </w:rPr>
            </w:pPr>
            <w:r>
              <w:rPr>
                <w:rFonts w:eastAsia="MS Mincho"/>
              </w:rPr>
              <w:t>50/127</w:t>
            </w:r>
          </w:p>
          <w:p w14:paraId="1F59263B" w14:textId="7DC606BF" w:rsidR="003370C1" w:rsidRPr="00571B3B" w:rsidRDefault="00AE78CD" w:rsidP="00A5263B">
            <w:pPr>
              <w:pStyle w:val="Tablewriting"/>
              <w:keepNext/>
              <w:jc w:val="center"/>
              <w:rPr>
                <w:rFonts w:eastAsia="MS Mincho"/>
              </w:rPr>
            </w:pPr>
            <w:r>
              <w:rPr>
                <w:rFonts w:eastAsia="MS Mincho"/>
              </w:rPr>
              <w:t>(</w:t>
            </w:r>
            <w:r w:rsidR="00A86B42">
              <w:rPr>
                <w:rFonts w:eastAsia="MS Mincho"/>
              </w:rPr>
              <w:t>39.4</w:t>
            </w:r>
            <w:r>
              <w:rPr>
                <w:rFonts w:eastAsia="MS Mincho"/>
              </w:rPr>
              <w:t>%)</w:t>
            </w:r>
          </w:p>
        </w:tc>
        <w:tc>
          <w:tcPr>
            <w:tcW w:w="1014" w:type="pct"/>
            <w:shd w:val="clear" w:color="auto" w:fill="auto"/>
            <w:tcMar>
              <w:left w:w="28" w:type="dxa"/>
              <w:right w:w="28" w:type="dxa"/>
            </w:tcMar>
            <w:vAlign w:val="center"/>
          </w:tcPr>
          <w:p w14:paraId="5EBAEE2E" w14:textId="77777777" w:rsidR="00D9283B" w:rsidRDefault="00D9283B" w:rsidP="00D9283B">
            <w:pPr>
              <w:pStyle w:val="Tablewriting"/>
              <w:keepNext/>
              <w:jc w:val="center"/>
              <w:rPr>
                <w:rFonts w:eastAsia="MS Mincho"/>
              </w:rPr>
            </w:pPr>
            <w:r w:rsidRPr="00D86FCC">
              <w:rPr>
                <w:rFonts w:eastAsia="MS Mincho"/>
              </w:rPr>
              <w:t xml:space="preserve">0.99 </w:t>
            </w:r>
          </w:p>
          <w:p w14:paraId="707CA6EC" w14:textId="4450378C" w:rsidR="003370C1" w:rsidRPr="00D86FCC" w:rsidRDefault="00D9283B" w:rsidP="00A5263B">
            <w:pPr>
              <w:pStyle w:val="Tablewriting"/>
              <w:keepNext/>
              <w:jc w:val="center"/>
              <w:rPr>
                <w:rFonts w:eastAsia="MS Mincho"/>
              </w:rPr>
            </w:pPr>
            <w:r w:rsidRPr="00D86FCC">
              <w:rPr>
                <w:rFonts w:eastAsia="MS Mincho"/>
              </w:rPr>
              <w:t>(0.74, 1.32)</w:t>
            </w:r>
          </w:p>
        </w:tc>
      </w:tr>
    </w:tbl>
    <w:p w14:paraId="18A9D522" w14:textId="7DDD152C" w:rsidR="003370C1" w:rsidRPr="00566F12" w:rsidRDefault="003370C1" w:rsidP="003370C1">
      <w:pPr>
        <w:pStyle w:val="TableFooter"/>
        <w:keepNext/>
      </w:pPr>
      <w:r w:rsidRPr="00566F12">
        <w:t>Source: Lindson et al. (2019)</w:t>
      </w:r>
    </w:p>
    <w:p w14:paraId="466231C6" w14:textId="77777777" w:rsidR="003370C1" w:rsidRPr="00566F12" w:rsidRDefault="003370C1" w:rsidP="003370C1">
      <w:pPr>
        <w:pStyle w:val="TableFooter"/>
        <w:keepNext/>
        <w:rPr>
          <w:i/>
        </w:rPr>
      </w:pPr>
      <w:r w:rsidRPr="00566F12">
        <w:t xml:space="preserve">Abbreviations: CI = confidence interval; RCT = randomised controlled trial; RD = risk difference; RR = risk ratio </w:t>
      </w:r>
    </w:p>
    <w:p w14:paraId="0BB5B3B5" w14:textId="77777777" w:rsidR="00105C16" w:rsidRDefault="003370C1" w:rsidP="00105C16">
      <w:pPr>
        <w:pStyle w:val="TableFooter"/>
        <w:rPr>
          <w:vertAlign w:val="superscript"/>
        </w:rPr>
      </w:pPr>
      <w:r w:rsidRPr="00566F12">
        <w:t>Notes:</w:t>
      </w:r>
      <w:r>
        <w:t xml:space="preserve"> </w:t>
      </w:r>
    </w:p>
    <w:p w14:paraId="25866920" w14:textId="362008D6" w:rsidR="003370C1" w:rsidRPr="00AE78CD" w:rsidRDefault="00105C16" w:rsidP="0012368C">
      <w:pPr>
        <w:pStyle w:val="TableFooter"/>
        <w:spacing w:after="120"/>
        <w:contextualSpacing w:val="0"/>
      </w:pPr>
      <w:r>
        <w:t xml:space="preserve">1 </w:t>
      </w:r>
      <w:r w:rsidR="003370C1" w:rsidRPr="0041240E">
        <w:t>Calculated</w:t>
      </w:r>
      <w:r>
        <w:t xml:space="preserve"> by Cochrane Review authors using a fixed-effect model</w:t>
      </w:r>
      <w:r w:rsidR="00ED0CBA">
        <w:t>.</w:t>
      </w:r>
    </w:p>
    <w:p w14:paraId="307BBA22" w14:textId="71FFBE94" w:rsidR="003370C1" w:rsidRPr="003F0658" w:rsidRDefault="003370C1" w:rsidP="0012368C">
      <w:pPr>
        <w:pStyle w:val="TableFooter"/>
        <w:spacing w:after="120"/>
        <w:contextualSpacing w:val="0"/>
        <w:jc w:val="both"/>
        <w:rPr>
          <w:sz w:val="24"/>
        </w:rPr>
      </w:pPr>
      <w:r w:rsidRPr="00F136E9">
        <w:rPr>
          <w:sz w:val="24"/>
        </w:rPr>
        <w:t>The results of the individual studies</w:t>
      </w:r>
      <w:r>
        <w:rPr>
          <w:sz w:val="24"/>
        </w:rPr>
        <w:t xml:space="preserve"> </w:t>
      </w:r>
      <w:r w:rsidRPr="00F136E9">
        <w:rPr>
          <w:sz w:val="24"/>
        </w:rPr>
        <w:t>included in Lindson et al. (2019) are presented using a forest plot i</w:t>
      </w:r>
      <w:r w:rsidR="003F0658">
        <w:rPr>
          <w:sz w:val="24"/>
        </w:rPr>
        <w:t xml:space="preserve">n </w:t>
      </w:r>
      <w:r w:rsidR="003F0658">
        <w:rPr>
          <w:sz w:val="24"/>
        </w:rPr>
        <w:fldChar w:fldCharType="begin" w:fldLock="1"/>
      </w:r>
      <w:r w:rsidR="003F0658">
        <w:rPr>
          <w:sz w:val="24"/>
        </w:rPr>
        <w:instrText xml:space="preserve"> REF _Ref59701784 \h  \* MERGEFORMAT </w:instrText>
      </w:r>
      <w:r w:rsidR="003F0658">
        <w:rPr>
          <w:sz w:val="24"/>
        </w:rPr>
      </w:r>
      <w:r w:rsidR="003F0658">
        <w:rPr>
          <w:sz w:val="24"/>
        </w:rPr>
        <w:fldChar w:fldCharType="separate"/>
      </w:r>
      <w:r w:rsidR="00EC5CC7" w:rsidRPr="00EC5CC7">
        <w:rPr>
          <w:sz w:val="24"/>
        </w:rPr>
        <w:t>Figure 30</w:t>
      </w:r>
      <w:r w:rsidR="003F0658">
        <w:rPr>
          <w:sz w:val="24"/>
        </w:rPr>
        <w:fldChar w:fldCharType="end"/>
      </w:r>
      <w:r w:rsidR="003F0658">
        <w:rPr>
          <w:sz w:val="24"/>
        </w:rPr>
        <w:t>.</w:t>
      </w:r>
    </w:p>
    <w:p w14:paraId="7ECE3F29" w14:textId="77777777" w:rsidR="005C0F8E" w:rsidRDefault="003370C1" w:rsidP="005C0F8E">
      <w:pPr>
        <w:keepNext/>
      </w:pPr>
      <w:r>
        <w:rPr>
          <w:noProof/>
        </w:rPr>
        <w:drawing>
          <wp:inline distT="0" distB="0" distL="0" distR="0" wp14:anchorId="59017D22" wp14:editId="0A870344">
            <wp:extent cx="5731510" cy="1495425"/>
            <wp:effectExtent l="0" t="0" r="0" b="3175"/>
            <wp:docPr id="65" name="Picture 65" descr="P67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P6707#yIS1"/>
                    <pic:cNvPicPr/>
                  </pic:nvPicPr>
                  <pic:blipFill>
                    <a:blip r:embed="rId49">
                      <a:extLst>
                        <a:ext uri="{28A0092B-C50C-407E-A947-70E740481C1C}">
                          <a14:useLocalDpi xmlns:a14="http://schemas.microsoft.com/office/drawing/2010/main" val="0"/>
                        </a:ext>
                      </a:extLst>
                    </a:blip>
                    <a:stretch>
                      <a:fillRect/>
                    </a:stretch>
                  </pic:blipFill>
                  <pic:spPr>
                    <a:xfrm>
                      <a:off x="0" y="0"/>
                      <a:ext cx="5731510" cy="1495425"/>
                    </a:xfrm>
                    <a:prstGeom prst="rect">
                      <a:avLst/>
                    </a:prstGeom>
                  </pic:spPr>
                </pic:pic>
              </a:graphicData>
            </a:graphic>
          </wp:inline>
        </w:drawing>
      </w:r>
    </w:p>
    <w:p w14:paraId="15A06519" w14:textId="1F79F6A4" w:rsidR="003370C1" w:rsidRPr="007106EE" w:rsidRDefault="005C0F8E" w:rsidP="0012368C">
      <w:pPr>
        <w:pStyle w:val="Caption"/>
        <w:spacing w:before="120" w:after="60"/>
        <w:jc w:val="both"/>
      </w:pPr>
      <w:bookmarkStart w:id="172" w:name="_Ref59701784"/>
      <w:r>
        <w:t xml:space="preserve">Figure </w:t>
      </w:r>
      <w:r w:rsidR="00BF3F75">
        <w:fldChar w:fldCharType="begin"/>
      </w:r>
      <w:r w:rsidR="00BF3F75">
        <w:instrText xml:space="preserve"> SEQ Figure \* ARABIC </w:instrText>
      </w:r>
      <w:r w:rsidR="00BF3F75">
        <w:fldChar w:fldCharType="separate"/>
      </w:r>
      <w:r w:rsidR="00EC5CC7">
        <w:rPr>
          <w:noProof/>
        </w:rPr>
        <w:t>30</w:t>
      </w:r>
      <w:r w:rsidR="00BF3F75">
        <w:rPr>
          <w:noProof/>
        </w:rPr>
        <w:fldChar w:fldCharType="end"/>
      </w:r>
      <w:bookmarkEnd w:id="172"/>
      <w:r>
        <w:t xml:space="preserve">: </w:t>
      </w:r>
      <w:r w:rsidRPr="00716FF8">
        <w:t>Results of smoking cessation f</w:t>
      </w:r>
      <w:r w:rsidR="00C623F4">
        <w:t>or</w:t>
      </w:r>
      <w:r w:rsidRPr="00716FF8">
        <w:t xml:space="preserve"> at least six months follow-up, effect of tapering patch dose</w:t>
      </w:r>
    </w:p>
    <w:p w14:paraId="1B5D39CE" w14:textId="77777777" w:rsidR="003F0658" w:rsidRPr="00543DB6" w:rsidRDefault="003F0658" w:rsidP="0012368C">
      <w:pPr>
        <w:pStyle w:val="TableFooter"/>
        <w:keepNext/>
        <w:jc w:val="both"/>
      </w:pPr>
      <w:r w:rsidRPr="00543DB6">
        <w:t>Source: Lindson et al. (2019)</w:t>
      </w:r>
    </w:p>
    <w:p w14:paraId="77EAAF99" w14:textId="201DD629" w:rsidR="005C0F8E" w:rsidRDefault="003F0658" w:rsidP="0012368C">
      <w:pPr>
        <w:pStyle w:val="TableFooter"/>
        <w:keepNext/>
        <w:spacing w:after="120"/>
        <w:contextualSpacing w:val="0"/>
        <w:jc w:val="both"/>
      </w:pPr>
      <w:r w:rsidRPr="00543DB6">
        <w:t>Abbreviations: CI = confidence interval</w:t>
      </w:r>
    </w:p>
    <w:p w14:paraId="468F20C3" w14:textId="1CE2E6DD" w:rsidR="004D63D8" w:rsidRPr="004D63D8" w:rsidRDefault="004D63D8" w:rsidP="0012368C">
      <w:pPr>
        <w:spacing w:after="120"/>
        <w:jc w:val="both"/>
        <w:rPr>
          <w:u w:val="single"/>
        </w:rPr>
      </w:pPr>
      <w:r w:rsidRPr="004D63D8">
        <w:rPr>
          <w:u w:val="single"/>
        </w:rPr>
        <w:t>Safety</w:t>
      </w:r>
    </w:p>
    <w:p w14:paraId="6C2305D9" w14:textId="61BCAD1B" w:rsidR="00D352A3" w:rsidRPr="00CC0A59" w:rsidRDefault="00D352A3" w:rsidP="00CC0A59">
      <w:pPr>
        <w:jc w:val="both"/>
      </w:pPr>
      <w:r w:rsidRPr="00A67889">
        <w:t xml:space="preserve">A summary of key adverse events in Lindson et al. </w:t>
      </w:r>
      <w:r>
        <w:t>(</w:t>
      </w:r>
      <w:r w:rsidRPr="00A67889">
        <w:t>2019</w:t>
      </w:r>
      <w:r>
        <w:t>)</w:t>
      </w:r>
      <w:r w:rsidRPr="00A67889">
        <w:t xml:space="preserve"> </w:t>
      </w:r>
      <w:r>
        <w:t>comparing abrupt withdrawal with</w:t>
      </w:r>
      <w:r w:rsidRPr="00A67889">
        <w:t xml:space="preserve"> tapering patch dose</w:t>
      </w:r>
      <w:r>
        <w:t xml:space="preserve"> </w:t>
      </w:r>
      <w:r w:rsidRPr="00A67889">
        <w:t xml:space="preserve">is presented </w:t>
      </w:r>
      <w:r w:rsidRPr="00086367">
        <w:t>in</w:t>
      </w:r>
      <w:r w:rsidR="00CC0A59">
        <w:t xml:space="preserve"> Table 97.</w:t>
      </w:r>
      <w:r w:rsidRPr="00086367">
        <w:t xml:space="preserve"> </w:t>
      </w:r>
      <w:r>
        <w:t>Based on the Cochrane Review by Lindson et al. (2019), there were no statistically significant differences in treatment withdrawals between the two treatment arms.</w:t>
      </w:r>
      <w:r w:rsidRPr="00371997">
        <w:t xml:space="preserve"> </w:t>
      </w:r>
    </w:p>
    <w:p w14:paraId="3E8AFC02" w14:textId="77777777" w:rsidR="008A5B2A" w:rsidRDefault="008A5B2A">
      <w:pPr>
        <w:spacing w:line="276" w:lineRule="auto"/>
        <w:rPr>
          <w:rFonts w:asciiTheme="minorHAnsi" w:eastAsia="Times New Roman" w:hAnsiTheme="minorHAnsi" w:cs="Times New Roman"/>
          <w:b/>
          <w:bCs/>
          <w:szCs w:val="18"/>
        </w:rPr>
      </w:pPr>
      <w:bookmarkStart w:id="173" w:name="_Ref62117587"/>
      <w:r>
        <w:br w:type="page"/>
      </w:r>
    </w:p>
    <w:p w14:paraId="16A4361E" w14:textId="338CC457" w:rsidR="00D352A3" w:rsidRDefault="00D352A3" w:rsidP="008A5B2A">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97</w:t>
      </w:r>
      <w:r w:rsidR="00BF3F75">
        <w:rPr>
          <w:noProof/>
        </w:rPr>
        <w:fldChar w:fldCharType="end"/>
      </w:r>
      <w:bookmarkEnd w:id="173"/>
      <w:r>
        <w:t xml:space="preserve">: </w:t>
      </w:r>
      <w:r w:rsidRPr="00C948F8">
        <w:t>Summary of key adverse events in Lindson et al. (2019), tapering patch dose</w:t>
      </w:r>
    </w:p>
    <w:tbl>
      <w:tblPr>
        <w:tblStyle w:val="TableGrid"/>
        <w:tblW w:w="5000" w:type="pct"/>
        <w:tblLook w:val="04A0" w:firstRow="1" w:lastRow="0" w:firstColumn="1" w:lastColumn="0" w:noHBand="0" w:noVBand="1"/>
        <w:tblCaption w:val="Efficacy results of adalimumab trials (PASI 75 and DLQI)"/>
      </w:tblPr>
      <w:tblGrid>
        <w:gridCol w:w="2330"/>
        <w:gridCol w:w="2020"/>
        <w:gridCol w:w="1599"/>
        <w:gridCol w:w="1560"/>
        <w:gridCol w:w="1507"/>
      </w:tblGrid>
      <w:tr w:rsidR="00D352A3" w:rsidRPr="00061F78" w14:paraId="3E57FFF9" w14:textId="77777777" w:rsidTr="00125A1C">
        <w:trPr>
          <w:cantSplit/>
          <w:trHeight w:val="299"/>
          <w:tblHeader/>
        </w:trPr>
        <w:tc>
          <w:tcPr>
            <w:tcW w:w="1292" w:type="pct"/>
            <w:shd w:val="clear" w:color="auto" w:fill="BFBFBF" w:themeFill="background1" w:themeFillShade="BF"/>
            <w:tcMar>
              <w:left w:w="28" w:type="dxa"/>
              <w:right w:w="28" w:type="dxa"/>
            </w:tcMar>
            <w:vAlign w:val="center"/>
          </w:tcPr>
          <w:p w14:paraId="34BCE01C" w14:textId="285BA8B3" w:rsidR="00D352A3" w:rsidRDefault="006247AD" w:rsidP="004D63D8">
            <w:pPr>
              <w:pStyle w:val="Tableheading"/>
              <w:rPr>
                <w:rFonts w:eastAsia="MS Mincho"/>
              </w:rPr>
            </w:pPr>
            <w:r>
              <w:rPr>
                <w:rFonts w:eastAsia="MS Mincho"/>
              </w:rPr>
              <w:t>Outcome</w:t>
            </w:r>
          </w:p>
        </w:tc>
        <w:tc>
          <w:tcPr>
            <w:tcW w:w="1120" w:type="pct"/>
            <w:shd w:val="clear" w:color="auto" w:fill="BFBFBF" w:themeFill="background1" w:themeFillShade="BF"/>
            <w:vAlign w:val="center"/>
          </w:tcPr>
          <w:p w14:paraId="4CEE6963" w14:textId="77777777" w:rsidR="00D352A3" w:rsidRDefault="00D352A3" w:rsidP="004D63D8">
            <w:pPr>
              <w:pStyle w:val="Tableheading"/>
              <w:jc w:val="center"/>
              <w:rPr>
                <w:rFonts w:eastAsia="MS Mincho"/>
              </w:rPr>
            </w:pPr>
            <w:r>
              <w:rPr>
                <w:rFonts w:eastAsia="MS Mincho"/>
              </w:rPr>
              <w:t>Study type</w:t>
            </w:r>
          </w:p>
        </w:tc>
        <w:tc>
          <w:tcPr>
            <w:tcW w:w="887" w:type="pct"/>
            <w:shd w:val="clear" w:color="auto" w:fill="BFBFBF" w:themeFill="background1" w:themeFillShade="BF"/>
            <w:tcMar>
              <w:left w:w="28" w:type="dxa"/>
              <w:right w:w="28" w:type="dxa"/>
            </w:tcMar>
            <w:vAlign w:val="center"/>
          </w:tcPr>
          <w:p w14:paraId="714DE549" w14:textId="1F9865D5" w:rsidR="00D352A3" w:rsidRPr="00061F78" w:rsidRDefault="00D352A3" w:rsidP="004D63D8">
            <w:pPr>
              <w:pStyle w:val="Tableheading"/>
              <w:jc w:val="center"/>
              <w:rPr>
                <w:rFonts w:eastAsia="MS Mincho"/>
              </w:rPr>
            </w:pPr>
            <w:r w:rsidRPr="00392E33">
              <w:rPr>
                <w:rFonts w:eastAsia="MS Mincho"/>
              </w:rPr>
              <w:t>Abrupt</w:t>
            </w:r>
          </w:p>
        </w:tc>
        <w:tc>
          <w:tcPr>
            <w:tcW w:w="865" w:type="pct"/>
            <w:shd w:val="clear" w:color="auto" w:fill="BFBFBF" w:themeFill="background1" w:themeFillShade="BF"/>
            <w:tcMar>
              <w:left w:w="28" w:type="dxa"/>
              <w:right w:w="28" w:type="dxa"/>
            </w:tcMar>
            <w:vAlign w:val="center"/>
          </w:tcPr>
          <w:p w14:paraId="5462180E" w14:textId="34875540" w:rsidR="00D352A3" w:rsidRPr="00061F78" w:rsidRDefault="00D352A3" w:rsidP="004D63D8">
            <w:pPr>
              <w:pStyle w:val="Tableheading"/>
              <w:jc w:val="center"/>
              <w:rPr>
                <w:rFonts w:eastAsia="MS Mincho"/>
              </w:rPr>
            </w:pPr>
            <w:r w:rsidRPr="00392E33">
              <w:rPr>
                <w:rFonts w:eastAsia="MS Mincho"/>
              </w:rPr>
              <w:t>Tapering</w:t>
            </w:r>
          </w:p>
        </w:tc>
        <w:tc>
          <w:tcPr>
            <w:tcW w:w="836" w:type="pct"/>
            <w:shd w:val="clear" w:color="auto" w:fill="BFBFBF" w:themeFill="background1" w:themeFillShade="BF"/>
            <w:tcMar>
              <w:left w:w="28" w:type="dxa"/>
              <w:right w:w="28" w:type="dxa"/>
            </w:tcMar>
            <w:vAlign w:val="center"/>
          </w:tcPr>
          <w:p w14:paraId="5241B8B6" w14:textId="32BB4036" w:rsidR="00D352A3" w:rsidRPr="00681ACA" w:rsidRDefault="00D352A3" w:rsidP="004D63D8">
            <w:pPr>
              <w:pStyle w:val="Tableheading"/>
              <w:jc w:val="center"/>
              <w:rPr>
                <w:rFonts w:eastAsia="MS Mincho"/>
                <w:vertAlign w:val="superscript"/>
              </w:rPr>
            </w:pPr>
            <w:r>
              <w:rPr>
                <w:rFonts w:eastAsia="MS Mincho"/>
              </w:rPr>
              <w:t>RR (95% CI)</w:t>
            </w:r>
            <w:r w:rsidR="004064A7">
              <w:rPr>
                <w:rFonts w:eastAsia="MS Mincho"/>
                <w:vertAlign w:val="superscript"/>
              </w:rPr>
              <w:t>1</w:t>
            </w:r>
          </w:p>
        </w:tc>
      </w:tr>
      <w:tr w:rsidR="00D352A3" w:rsidRPr="00061F78" w14:paraId="610F45B5" w14:textId="77777777" w:rsidTr="00125A1C">
        <w:trPr>
          <w:cantSplit/>
          <w:trHeight w:val="99"/>
        </w:trPr>
        <w:tc>
          <w:tcPr>
            <w:tcW w:w="1292" w:type="pct"/>
            <w:shd w:val="clear" w:color="auto" w:fill="auto"/>
            <w:tcMar>
              <w:left w:w="28" w:type="dxa"/>
              <w:right w:w="28" w:type="dxa"/>
            </w:tcMar>
            <w:vAlign w:val="center"/>
          </w:tcPr>
          <w:p w14:paraId="1B2F5F8A" w14:textId="78B0FB54" w:rsidR="00D352A3" w:rsidRPr="006247AD" w:rsidRDefault="00D352A3" w:rsidP="004D63D8">
            <w:pPr>
              <w:pStyle w:val="Tablewriting"/>
              <w:rPr>
                <w:rFonts w:eastAsia="MS Mincho"/>
              </w:rPr>
            </w:pPr>
            <w:r w:rsidRPr="00392E33">
              <w:rPr>
                <w:rFonts w:eastAsia="MS Mincho"/>
              </w:rPr>
              <w:t>Treatment withdrawals</w:t>
            </w:r>
          </w:p>
        </w:tc>
        <w:tc>
          <w:tcPr>
            <w:tcW w:w="1120" w:type="pct"/>
            <w:vAlign w:val="center"/>
          </w:tcPr>
          <w:p w14:paraId="03710116" w14:textId="77777777" w:rsidR="00D352A3" w:rsidRDefault="00D352A3" w:rsidP="004D63D8">
            <w:pPr>
              <w:pStyle w:val="Tablewriting"/>
              <w:jc w:val="center"/>
              <w:rPr>
                <w:rFonts w:eastAsia="MS Mincho"/>
              </w:rPr>
            </w:pPr>
            <w:r>
              <w:rPr>
                <w:rFonts w:eastAsia="MS Mincho"/>
              </w:rPr>
              <w:t>Cochrane Review</w:t>
            </w:r>
          </w:p>
          <w:p w14:paraId="21435534" w14:textId="77777777" w:rsidR="00D352A3" w:rsidRPr="001277A6" w:rsidRDefault="00D352A3" w:rsidP="004D63D8">
            <w:pPr>
              <w:pStyle w:val="Tablewriting"/>
              <w:jc w:val="center"/>
              <w:rPr>
                <w:rFonts w:eastAsia="MS Mincho"/>
              </w:rPr>
            </w:pPr>
            <w:r>
              <w:rPr>
                <w:rFonts w:eastAsia="MS Mincho"/>
              </w:rPr>
              <w:t>(1 RCT)</w:t>
            </w:r>
          </w:p>
        </w:tc>
        <w:tc>
          <w:tcPr>
            <w:tcW w:w="887" w:type="pct"/>
            <w:shd w:val="clear" w:color="auto" w:fill="auto"/>
            <w:tcMar>
              <w:left w:w="28" w:type="dxa"/>
              <w:right w:w="28" w:type="dxa"/>
            </w:tcMar>
            <w:vAlign w:val="center"/>
          </w:tcPr>
          <w:p w14:paraId="2F2865D0" w14:textId="77777777" w:rsidR="00D352A3" w:rsidRDefault="00D352A3" w:rsidP="004D63D8">
            <w:pPr>
              <w:pStyle w:val="Tablewriting"/>
              <w:jc w:val="center"/>
              <w:rPr>
                <w:rFonts w:eastAsia="MS Mincho"/>
              </w:rPr>
            </w:pPr>
            <w:r>
              <w:rPr>
                <w:rFonts w:eastAsia="MS Mincho"/>
              </w:rPr>
              <w:t>7/69</w:t>
            </w:r>
          </w:p>
          <w:p w14:paraId="3BD69FB3" w14:textId="77777777" w:rsidR="00D352A3" w:rsidRPr="001B08F9" w:rsidRDefault="00D352A3" w:rsidP="004D63D8">
            <w:pPr>
              <w:pStyle w:val="Tablewriting"/>
              <w:jc w:val="center"/>
              <w:rPr>
                <w:rFonts w:eastAsia="MS Mincho"/>
              </w:rPr>
            </w:pPr>
            <w:r>
              <w:rPr>
                <w:rFonts w:eastAsia="MS Mincho"/>
              </w:rPr>
              <w:t>(10.1%)</w:t>
            </w:r>
          </w:p>
        </w:tc>
        <w:tc>
          <w:tcPr>
            <w:tcW w:w="865" w:type="pct"/>
            <w:shd w:val="clear" w:color="auto" w:fill="auto"/>
            <w:tcMar>
              <w:left w:w="28" w:type="dxa"/>
              <w:right w:w="28" w:type="dxa"/>
            </w:tcMar>
            <w:vAlign w:val="center"/>
          </w:tcPr>
          <w:p w14:paraId="33B96647" w14:textId="77777777" w:rsidR="00D352A3" w:rsidRDefault="00D352A3" w:rsidP="004D63D8">
            <w:pPr>
              <w:pStyle w:val="Tablewriting"/>
              <w:jc w:val="center"/>
              <w:rPr>
                <w:rFonts w:eastAsia="MS Mincho"/>
              </w:rPr>
            </w:pPr>
            <w:r>
              <w:rPr>
                <w:rFonts w:eastAsia="MS Mincho"/>
              </w:rPr>
              <w:t>8/71</w:t>
            </w:r>
          </w:p>
          <w:p w14:paraId="6A9579DF" w14:textId="77777777" w:rsidR="00D352A3" w:rsidRPr="001B08F9" w:rsidRDefault="00D352A3" w:rsidP="004D63D8">
            <w:pPr>
              <w:pStyle w:val="Tablewriting"/>
              <w:jc w:val="center"/>
              <w:rPr>
                <w:rFonts w:eastAsia="MS Mincho"/>
              </w:rPr>
            </w:pPr>
            <w:r>
              <w:rPr>
                <w:rFonts w:eastAsia="MS Mincho"/>
              </w:rPr>
              <w:t>(11.3%)</w:t>
            </w:r>
          </w:p>
        </w:tc>
        <w:tc>
          <w:tcPr>
            <w:tcW w:w="836" w:type="pct"/>
            <w:shd w:val="clear" w:color="auto" w:fill="auto"/>
            <w:tcMar>
              <w:left w:w="28" w:type="dxa"/>
              <w:right w:w="28" w:type="dxa"/>
            </w:tcMar>
            <w:vAlign w:val="center"/>
          </w:tcPr>
          <w:p w14:paraId="0371562D" w14:textId="77777777" w:rsidR="00D352A3" w:rsidRPr="00392E33" w:rsidRDefault="00D352A3" w:rsidP="004D63D8">
            <w:pPr>
              <w:pStyle w:val="Tablewriting"/>
              <w:jc w:val="center"/>
              <w:rPr>
                <w:rFonts w:eastAsia="MS Mincho"/>
                <w:bCs/>
              </w:rPr>
            </w:pPr>
            <w:r w:rsidRPr="00392E33">
              <w:rPr>
                <w:rFonts w:eastAsia="MS Mincho"/>
                <w:bCs/>
              </w:rPr>
              <w:t>0.9</w:t>
            </w:r>
          </w:p>
          <w:p w14:paraId="2E03C0FC" w14:textId="77777777" w:rsidR="00D352A3" w:rsidRPr="001277A6" w:rsidRDefault="00D352A3" w:rsidP="004D63D8">
            <w:pPr>
              <w:pStyle w:val="Tablewriting"/>
              <w:jc w:val="center"/>
              <w:rPr>
                <w:rFonts w:eastAsia="MS Mincho"/>
                <w:b/>
              </w:rPr>
            </w:pPr>
            <w:r w:rsidRPr="00392E33">
              <w:rPr>
                <w:rFonts w:eastAsia="MS Mincho"/>
                <w:bCs/>
              </w:rPr>
              <w:t>(0.35, 2.35)</w:t>
            </w:r>
          </w:p>
        </w:tc>
      </w:tr>
    </w:tbl>
    <w:p w14:paraId="21F21981" w14:textId="77777777" w:rsidR="00D352A3" w:rsidRDefault="00D352A3" w:rsidP="008A5B2A">
      <w:pPr>
        <w:pStyle w:val="TableFooter"/>
        <w:jc w:val="both"/>
      </w:pPr>
      <w:r>
        <w:t>Source: Lindson et al. (2019)</w:t>
      </w:r>
    </w:p>
    <w:p w14:paraId="5FC94127" w14:textId="77777777" w:rsidR="00D352A3" w:rsidRDefault="00D352A3" w:rsidP="008A5B2A">
      <w:pPr>
        <w:pStyle w:val="TableFooter"/>
        <w:jc w:val="both"/>
      </w:pPr>
      <w:r>
        <w:t xml:space="preserve">Abbreviations: CI = confidence interval; RCT = randomised controlled trial; RR = risk ratio. </w:t>
      </w:r>
    </w:p>
    <w:p w14:paraId="46D56676" w14:textId="53BB0B4D" w:rsidR="00D352A3" w:rsidRDefault="00D352A3" w:rsidP="008A5B2A">
      <w:pPr>
        <w:pStyle w:val="TableFooter"/>
        <w:jc w:val="both"/>
      </w:pPr>
      <w:r w:rsidRPr="00FD4061">
        <w:t>Note</w:t>
      </w:r>
      <w:r>
        <w:t>s</w:t>
      </w:r>
      <w:r w:rsidRPr="00FD4061">
        <w:t>:</w:t>
      </w:r>
      <w:r>
        <w:t xml:space="preserve"> </w:t>
      </w:r>
      <w:r w:rsidRPr="00B032C3">
        <w:t xml:space="preserve">See </w:t>
      </w:r>
      <w:r w:rsidRPr="00862F18">
        <w:t xml:space="preserve">Appendix </w:t>
      </w:r>
      <w:r w:rsidR="00862F18" w:rsidRPr="00862F18">
        <w:fldChar w:fldCharType="begin" w:fldLock="1"/>
      </w:r>
      <w:r w:rsidR="00862F18" w:rsidRPr="00862F18">
        <w:instrText xml:space="preserve"> REF _Ref62129071 \h </w:instrText>
      </w:r>
      <w:r w:rsidR="00862F18">
        <w:instrText xml:space="preserve"> \* MERGEFORMAT </w:instrText>
      </w:r>
      <w:r w:rsidR="00862F18" w:rsidRPr="00862F18">
        <w:fldChar w:fldCharType="separate"/>
      </w:r>
      <w:r w:rsidR="00EC5CC7">
        <w:t xml:space="preserve">Figure </w:t>
      </w:r>
      <w:r w:rsidR="00EC5CC7">
        <w:rPr>
          <w:noProof/>
        </w:rPr>
        <w:t>97</w:t>
      </w:r>
      <w:r w:rsidR="00862F18" w:rsidRPr="00862F18">
        <w:fldChar w:fldCharType="end"/>
      </w:r>
      <w:r>
        <w:t xml:space="preserve"> </w:t>
      </w:r>
      <w:r w:rsidRPr="00B032C3">
        <w:t>for forest plots of the respective outcomes which included the results of individual studies.</w:t>
      </w:r>
    </w:p>
    <w:p w14:paraId="5AEA5DF2" w14:textId="3E6ABB18" w:rsidR="00D352A3" w:rsidRPr="00D352A3" w:rsidRDefault="00D352A3" w:rsidP="008A5B2A">
      <w:pPr>
        <w:pStyle w:val="TableFooter"/>
        <w:spacing w:after="120"/>
        <w:contextualSpacing w:val="0"/>
        <w:jc w:val="both"/>
      </w:pPr>
      <w:r>
        <w:t>1</w:t>
      </w:r>
      <w:r w:rsidRPr="00432CC7">
        <w:t xml:space="preserve"> </w:t>
      </w:r>
      <w:r w:rsidRPr="00D32EBD">
        <w:t xml:space="preserve">Calculated </w:t>
      </w:r>
      <w:r>
        <w:t>by Cochrane Review authors</w:t>
      </w:r>
      <w:r w:rsidRPr="00D32EBD">
        <w:t xml:space="preserve"> using a fixed-effect model.</w:t>
      </w:r>
      <w:r>
        <w:t xml:space="preserve"> </w:t>
      </w:r>
    </w:p>
    <w:p w14:paraId="45533325" w14:textId="07CA534F" w:rsidR="003370C1" w:rsidRPr="00332321" w:rsidRDefault="003370C1" w:rsidP="008A5B2A">
      <w:pPr>
        <w:pStyle w:val="Heading5"/>
        <w:numPr>
          <w:ilvl w:val="0"/>
          <w:numId w:val="0"/>
        </w:numPr>
        <w:spacing w:after="120"/>
        <w:jc w:val="both"/>
        <w:rPr>
          <w:i w:val="0"/>
        </w:rPr>
      </w:pPr>
      <w:r w:rsidRPr="00C74B37">
        <w:t>Fixed versus ad lib dose schedule</w:t>
      </w:r>
    </w:p>
    <w:p w14:paraId="26CC6459" w14:textId="70CC4DAF" w:rsidR="004D63D8" w:rsidRPr="004D63D8" w:rsidRDefault="004D63D8" w:rsidP="008A5B2A">
      <w:pPr>
        <w:spacing w:after="120"/>
        <w:jc w:val="both"/>
        <w:rPr>
          <w:u w:val="single"/>
        </w:rPr>
      </w:pPr>
      <w:r w:rsidRPr="004D63D8">
        <w:rPr>
          <w:u w:val="single"/>
        </w:rPr>
        <w:t>Efficacy</w:t>
      </w:r>
    </w:p>
    <w:p w14:paraId="23DDDBB9" w14:textId="3A22994E" w:rsidR="003370C1" w:rsidRDefault="003370C1" w:rsidP="008A5B2A">
      <w:pPr>
        <w:spacing w:after="120"/>
        <w:jc w:val="both"/>
      </w:pPr>
      <w:r w:rsidRPr="0037074A">
        <w:t>A summary of the smoking cessation rates f</w:t>
      </w:r>
      <w:r w:rsidR="00C623F4">
        <w:t>or</w:t>
      </w:r>
      <w:r w:rsidRPr="0037074A">
        <w:t xml:space="preserve"> at least six months follow-up</w:t>
      </w:r>
      <w:r w:rsidR="008A5E3D">
        <w:t xml:space="preserve"> for fixed versus ad lib dos</w:t>
      </w:r>
      <w:r w:rsidR="00A27CBC">
        <w:t>ing</w:t>
      </w:r>
      <w:r w:rsidR="008A5E3D">
        <w:t xml:space="preserve"> schedule</w:t>
      </w:r>
      <w:r w:rsidRPr="0037074A">
        <w:t xml:space="preserve"> is presented in</w:t>
      </w:r>
      <w:r w:rsidR="00E7486F">
        <w:t xml:space="preserve"> </w:t>
      </w:r>
      <w:r w:rsidR="00E7486F">
        <w:fldChar w:fldCharType="begin" w:fldLock="1"/>
      </w:r>
      <w:r w:rsidR="00E7486F">
        <w:instrText xml:space="preserve"> REF _Ref59701297 \h </w:instrText>
      </w:r>
      <w:r w:rsidR="00E7486F">
        <w:fldChar w:fldCharType="separate"/>
      </w:r>
      <w:r w:rsidR="00EC5CC7">
        <w:t xml:space="preserve">Table </w:t>
      </w:r>
      <w:r w:rsidR="00EC5CC7">
        <w:rPr>
          <w:noProof/>
        </w:rPr>
        <w:t>98</w:t>
      </w:r>
      <w:r w:rsidR="00E7486F">
        <w:fldChar w:fldCharType="end"/>
      </w:r>
      <w:r w:rsidRPr="0037074A">
        <w:t xml:space="preserve">. </w:t>
      </w:r>
      <w:r w:rsidR="005D69AF">
        <w:t>Overall, t</w:t>
      </w:r>
      <w:r w:rsidRPr="00592F74">
        <w:t>here w</w:t>
      </w:r>
      <w:r w:rsidR="005D69AF">
        <w:t>ere</w:t>
      </w:r>
      <w:r w:rsidRPr="00592F74">
        <w:t xml:space="preserve"> no statistically significant </w:t>
      </w:r>
      <w:r w:rsidR="005D69AF">
        <w:t>differences in smoking cessation rates between</w:t>
      </w:r>
      <w:r w:rsidRPr="00592F74">
        <w:t xml:space="preserve"> fixed </w:t>
      </w:r>
      <w:r w:rsidR="005D69AF">
        <w:t>and</w:t>
      </w:r>
      <w:r w:rsidRPr="00592F74">
        <w:t xml:space="preserve"> ad lib</w:t>
      </w:r>
      <w:r>
        <w:t xml:space="preserve"> </w:t>
      </w:r>
      <w:r w:rsidRPr="00592F74">
        <w:t xml:space="preserve">dosing of fast-acting NRT </w:t>
      </w:r>
      <w:r w:rsidR="00586129">
        <w:t>(</w:t>
      </w:r>
      <w:r w:rsidRPr="00592F74">
        <w:t>gum</w:t>
      </w:r>
      <w:r w:rsidR="00586129">
        <w:t>,</w:t>
      </w:r>
      <w:r>
        <w:t xml:space="preserve"> </w:t>
      </w:r>
      <w:r w:rsidRPr="00592F74">
        <w:t xml:space="preserve">nasal </w:t>
      </w:r>
      <w:r w:rsidR="00826C95" w:rsidRPr="00592F74">
        <w:t>spray,</w:t>
      </w:r>
      <w:r w:rsidRPr="00592F74">
        <w:t xml:space="preserve"> and</w:t>
      </w:r>
      <w:r>
        <w:t xml:space="preserve"> </w:t>
      </w:r>
      <w:r w:rsidR="00586129">
        <w:t>pooled analysis)</w:t>
      </w:r>
      <w:r w:rsidR="00492453">
        <w:t>.</w:t>
      </w:r>
      <w:r>
        <w:t xml:space="preserve"> </w:t>
      </w:r>
    </w:p>
    <w:p w14:paraId="43ACF65A" w14:textId="4613E679" w:rsidR="008A42AA" w:rsidRDefault="008A42AA" w:rsidP="008A5B2A">
      <w:pPr>
        <w:pStyle w:val="Caption"/>
        <w:keepNext/>
        <w:spacing w:before="0" w:after="120"/>
        <w:jc w:val="both"/>
      </w:pPr>
      <w:bookmarkStart w:id="174" w:name="_Ref59701297"/>
      <w:r>
        <w:t xml:space="preserve">Table </w:t>
      </w:r>
      <w:r w:rsidR="00BF3F75">
        <w:fldChar w:fldCharType="begin"/>
      </w:r>
      <w:r w:rsidR="00BF3F75">
        <w:instrText xml:space="preserve"> SEQ Table \* ARABIC </w:instrText>
      </w:r>
      <w:r w:rsidR="00BF3F75">
        <w:fldChar w:fldCharType="separate"/>
      </w:r>
      <w:r w:rsidR="00EC5CC7">
        <w:rPr>
          <w:noProof/>
        </w:rPr>
        <w:t>98</w:t>
      </w:r>
      <w:r w:rsidR="00BF3F75">
        <w:rPr>
          <w:noProof/>
        </w:rPr>
        <w:fldChar w:fldCharType="end"/>
      </w:r>
      <w:bookmarkEnd w:id="174"/>
      <w:r>
        <w:t xml:space="preserve">: </w:t>
      </w:r>
      <w:r w:rsidRPr="00D83FC7">
        <w:t>Results of smoking cessation f</w:t>
      </w:r>
      <w:r w:rsidR="00C623F4">
        <w:t>or</w:t>
      </w:r>
      <w:r w:rsidRPr="00D83FC7">
        <w:t xml:space="preserve"> at least six months follow-up, fixed versus ad lib dose schedule</w:t>
      </w:r>
    </w:p>
    <w:tbl>
      <w:tblPr>
        <w:tblStyle w:val="TableGrid"/>
        <w:tblW w:w="5000" w:type="pct"/>
        <w:tblLook w:val="04A0" w:firstRow="1" w:lastRow="0" w:firstColumn="1" w:lastColumn="0" w:noHBand="0" w:noVBand="1"/>
        <w:tblCaption w:val="Efficacy results of adalimumab trials (PASI 75 and DLQI)"/>
      </w:tblPr>
      <w:tblGrid>
        <w:gridCol w:w="1347"/>
        <w:gridCol w:w="2173"/>
        <w:gridCol w:w="1830"/>
        <w:gridCol w:w="1834"/>
        <w:gridCol w:w="1832"/>
      </w:tblGrid>
      <w:tr w:rsidR="00C02AB0" w:rsidRPr="00061F78" w14:paraId="10CEBC63" w14:textId="77777777" w:rsidTr="001B2A43">
        <w:trPr>
          <w:cantSplit/>
          <w:trHeight w:val="299"/>
          <w:tblHeader/>
        </w:trPr>
        <w:tc>
          <w:tcPr>
            <w:tcW w:w="747" w:type="pct"/>
            <w:shd w:val="clear" w:color="auto" w:fill="BFBFBF" w:themeFill="background1" w:themeFillShade="BF"/>
            <w:tcMar>
              <w:left w:w="28" w:type="dxa"/>
              <w:right w:w="28" w:type="dxa"/>
            </w:tcMar>
          </w:tcPr>
          <w:p w14:paraId="5572CF91" w14:textId="77777777" w:rsidR="003370C1" w:rsidRPr="00061F78" w:rsidRDefault="003370C1" w:rsidP="00A5263B">
            <w:pPr>
              <w:pStyle w:val="Tableheading"/>
              <w:keepNext/>
              <w:rPr>
                <w:rFonts w:eastAsia="MS Mincho"/>
              </w:rPr>
            </w:pPr>
            <w:r>
              <w:rPr>
                <w:rFonts w:eastAsia="MS Mincho"/>
              </w:rPr>
              <w:t>Study</w:t>
            </w:r>
          </w:p>
        </w:tc>
        <w:tc>
          <w:tcPr>
            <w:tcW w:w="1205" w:type="pct"/>
            <w:shd w:val="clear" w:color="auto" w:fill="BFBFBF" w:themeFill="background1" w:themeFillShade="BF"/>
            <w:vAlign w:val="center"/>
          </w:tcPr>
          <w:p w14:paraId="3091DC32" w14:textId="77777777" w:rsidR="003370C1" w:rsidRDefault="003370C1"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14:paraId="66B940EE" w14:textId="77777777" w:rsidR="003370C1" w:rsidRPr="00061F78" w:rsidRDefault="003370C1" w:rsidP="00A5263B">
            <w:pPr>
              <w:pStyle w:val="Tableheading"/>
              <w:keepNext/>
              <w:jc w:val="center"/>
              <w:rPr>
                <w:rFonts w:eastAsia="MS Mincho"/>
              </w:rPr>
            </w:pPr>
            <w:r>
              <w:rPr>
                <w:rFonts w:eastAsia="MS Mincho"/>
              </w:rPr>
              <w:t>Fixed dosing</w:t>
            </w:r>
          </w:p>
        </w:tc>
        <w:tc>
          <w:tcPr>
            <w:tcW w:w="1017" w:type="pct"/>
            <w:shd w:val="clear" w:color="auto" w:fill="BFBFBF" w:themeFill="background1" w:themeFillShade="BF"/>
            <w:tcMar>
              <w:left w:w="28" w:type="dxa"/>
              <w:right w:w="28" w:type="dxa"/>
            </w:tcMar>
            <w:vAlign w:val="center"/>
          </w:tcPr>
          <w:p w14:paraId="6BFCD156" w14:textId="77777777" w:rsidR="003370C1" w:rsidRPr="00061F78" w:rsidRDefault="003370C1" w:rsidP="00A5263B">
            <w:pPr>
              <w:pStyle w:val="Tableheading"/>
              <w:keepNext/>
              <w:jc w:val="center"/>
              <w:rPr>
                <w:rFonts w:eastAsia="MS Mincho"/>
              </w:rPr>
            </w:pPr>
            <w:r>
              <w:rPr>
                <w:rFonts w:eastAsia="MS Mincho"/>
              </w:rPr>
              <w:t>Ad lib dosing</w:t>
            </w:r>
          </w:p>
        </w:tc>
        <w:tc>
          <w:tcPr>
            <w:tcW w:w="1016" w:type="pct"/>
            <w:shd w:val="clear" w:color="auto" w:fill="BFBFBF" w:themeFill="background1" w:themeFillShade="BF"/>
            <w:tcMar>
              <w:left w:w="28" w:type="dxa"/>
              <w:right w:w="28" w:type="dxa"/>
            </w:tcMar>
            <w:vAlign w:val="center"/>
          </w:tcPr>
          <w:p w14:paraId="5CF7B924" w14:textId="77777777" w:rsidR="003370C1" w:rsidRPr="002D09A1" w:rsidRDefault="003370C1" w:rsidP="00A5263B">
            <w:pPr>
              <w:pStyle w:val="Tableheading"/>
              <w:keepNext/>
              <w:jc w:val="center"/>
              <w:rPr>
                <w:rFonts w:eastAsia="MS Mincho"/>
                <w:vertAlign w:val="superscript"/>
              </w:rPr>
            </w:pPr>
            <w:r>
              <w:rPr>
                <w:rFonts w:eastAsia="MS Mincho"/>
              </w:rPr>
              <w:t>RR (95% CI)</w:t>
            </w:r>
          </w:p>
        </w:tc>
      </w:tr>
      <w:tr w:rsidR="003370C1" w:rsidRPr="00061F78" w14:paraId="36679358" w14:textId="77777777" w:rsidTr="001B2A43">
        <w:trPr>
          <w:cantSplit/>
          <w:trHeight w:val="99"/>
        </w:trPr>
        <w:tc>
          <w:tcPr>
            <w:tcW w:w="5000" w:type="pct"/>
            <w:gridSpan w:val="5"/>
            <w:shd w:val="clear" w:color="auto" w:fill="auto"/>
            <w:tcMar>
              <w:left w:w="28" w:type="dxa"/>
              <w:right w:w="28" w:type="dxa"/>
            </w:tcMar>
          </w:tcPr>
          <w:p w14:paraId="58347ADA" w14:textId="65953E70" w:rsidR="001B2A43" w:rsidRPr="004064A7" w:rsidRDefault="001B2A43" w:rsidP="00A5263B">
            <w:pPr>
              <w:pStyle w:val="Tablewriting"/>
              <w:keepNext/>
              <w:rPr>
                <w:rFonts w:eastAsia="MS Mincho"/>
                <w:b/>
                <w:bCs/>
                <w:highlight w:val="yellow"/>
              </w:rPr>
            </w:pPr>
            <w:r w:rsidRPr="004064A7">
              <w:rPr>
                <w:rFonts w:eastAsia="MS Mincho"/>
                <w:b/>
                <w:bCs/>
              </w:rPr>
              <w:t>Gum fixed dosing versus ad lib dosing</w:t>
            </w:r>
            <w:r w:rsidR="004064A7">
              <w:rPr>
                <w:rFonts w:eastAsia="MS Mincho"/>
                <w:b/>
                <w:bCs/>
              </w:rPr>
              <w:t xml:space="preserve"> subgroup</w:t>
            </w:r>
          </w:p>
        </w:tc>
      </w:tr>
      <w:tr w:rsidR="003370C1" w:rsidRPr="00061F78" w14:paraId="5ED47203" w14:textId="77777777" w:rsidTr="001B2A43">
        <w:trPr>
          <w:cantSplit/>
          <w:trHeight w:val="99"/>
        </w:trPr>
        <w:tc>
          <w:tcPr>
            <w:tcW w:w="747" w:type="pct"/>
            <w:shd w:val="clear" w:color="auto" w:fill="auto"/>
            <w:tcMar>
              <w:left w:w="28" w:type="dxa"/>
              <w:right w:w="28" w:type="dxa"/>
            </w:tcMar>
            <w:vAlign w:val="center"/>
          </w:tcPr>
          <w:p w14:paraId="3E8C61AC" w14:textId="39ACBEDB" w:rsidR="003370C1" w:rsidRPr="005D18BC" w:rsidRDefault="008F3BDB" w:rsidP="00A5263B">
            <w:pPr>
              <w:pStyle w:val="Tablewriting"/>
              <w:keepNext/>
              <w:rPr>
                <w:rFonts w:eastAsia="MS Mincho"/>
                <w:highlight w:val="yellow"/>
              </w:rPr>
            </w:pPr>
            <w:r>
              <w:rPr>
                <w:rFonts w:eastAsia="MS Mincho"/>
              </w:rPr>
              <w:t>Lindson (2019)</w:t>
            </w:r>
          </w:p>
        </w:tc>
        <w:tc>
          <w:tcPr>
            <w:tcW w:w="1205" w:type="pct"/>
            <w:shd w:val="clear" w:color="auto" w:fill="auto"/>
            <w:vAlign w:val="center"/>
          </w:tcPr>
          <w:p w14:paraId="05D854BF" w14:textId="77777777" w:rsidR="008F3BDB" w:rsidRDefault="008F3BDB" w:rsidP="00A5263B">
            <w:pPr>
              <w:pStyle w:val="Tablewriting"/>
              <w:keepNext/>
              <w:jc w:val="center"/>
              <w:rPr>
                <w:rFonts w:eastAsia="MS Mincho"/>
              </w:rPr>
            </w:pPr>
            <w:r>
              <w:rPr>
                <w:rFonts w:eastAsia="MS Mincho"/>
              </w:rPr>
              <w:t xml:space="preserve">Cochrane Review </w:t>
            </w:r>
          </w:p>
          <w:p w14:paraId="2A8BE0FF" w14:textId="68C102D6" w:rsidR="003370C1" w:rsidRPr="00A22F63" w:rsidRDefault="008F3BDB" w:rsidP="00A5263B">
            <w:pPr>
              <w:pStyle w:val="Tablewriting"/>
              <w:keepNext/>
              <w:jc w:val="center"/>
              <w:rPr>
                <w:rFonts w:eastAsia="MS Mincho"/>
              </w:rPr>
            </w:pPr>
            <w:r>
              <w:rPr>
                <w:rFonts w:eastAsia="MS Mincho"/>
              </w:rPr>
              <w:t xml:space="preserve">(2 </w:t>
            </w:r>
            <w:r w:rsidR="003370C1" w:rsidRPr="00A22F63">
              <w:rPr>
                <w:rFonts w:eastAsia="MS Mincho"/>
              </w:rPr>
              <w:t>RCT</w:t>
            </w:r>
            <w:r>
              <w:rPr>
                <w:rFonts w:eastAsia="MS Mincho"/>
              </w:rPr>
              <w:t>s)</w:t>
            </w:r>
          </w:p>
        </w:tc>
        <w:tc>
          <w:tcPr>
            <w:tcW w:w="1015" w:type="pct"/>
            <w:shd w:val="clear" w:color="auto" w:fill="auto"/>
            <w:tcMar>
              <w:left w:w="28" w:type="dxa"/>
              <w:right w:w="28" w:type="dxa"/>
            </w:tcMar>
            <w:vAlign w:val="center"/>
          </w:tcPr>
          <w:p w14:paraId="2D44542E" w14:textId="77777777" w:rsidR="001B2A43" w:rsidRDefault="00864765" w:rsidP="00A5263B">
            <w:pPr>
              <w:pStyle w:val="Tablewriting"/>
              <w:keepNext/>
              <w:jc w:val="center"/>
              <w:rPr>
                <w:rFonts w:eastAsia="MS Mincho"/>
              </w:rPr>
            </w:pPr>
            <w:r>
              <w:rPr>
                <w:rFonts w:eastAsia="MS Mincho"/>
              </w:rPr>
              <w:t>85/346</w:t>
            </w:r>
          </w:p>
          <w:p w14:paraId="5B72DEAF" w14:textId="39440C23" w:rsidR="003370C1" w:rsidRPr="00571B3B" w:rsidRDefault="006056C2" w:rsidP="00A5263B">
            <w:pPr>
              <w:pStyle w:val="Tablewriting"/>
              <w:keepNext/>
              <w:jc w:val="center"/>
              <w:rPr>
                <w:rFonts w:eastAsia="MS Mincho"/>
              </w:rPr>
            </w:pPr>
            <w:r>
              <w:rPr>
                <w:rFonts w:eastAsia="MS Mincho"/>
              </w:rPr>
              <w:t>(</w:t>
            </w:r>
            <w:r w:rsidR="00A44806">
              <w:rPr>
                <w:rFonts w:eastAsia="MS Mincho"/>
              </w:rPr>
              <w:t>24.6</w:t>
            </w:r>
            <w:r>
              <w:rPr>
                <w:rFonts w:eastAsia="MS Mincho"/>
              </w:rPr>
              <w:t>%)</w:t>
            </w:r>
          </w:p>
        </w:tc>
        <w:tc>
          <w:tcPr>
            <w:tcW w:w="1017" w:type="pct"/>
            <w:shd w:val="clear" w:color="auto" w:fill="auto"/>
            <w:tcMar>
              <w:left w:w="28" w:type="dxa"/>
              <w:right w:w="28" w:type="dxa"/>
            </w:tcMar>
            <w:vAlign w:val="center"/>
          </w:tcPr>
          <w:p w14:paraId="0CB71765" w14:textId="77777777" w:rsidR="001B2A43" w:rsidRDefault="006056C2" w:rsidP="00A5263B">
            <w:pPr>
              <w:pStyle w:val="Tablewriting"/>
              <w:keepNext/>
              <w:jc w:val="center"/>
              <w:rPr>
                <w:rFonts w:eastAsia="MS Mincho"/>
              </w:rPr>
            </w:pPr>
            <w:r>
              <w:rPr>
                <w:rFonts w:eastAsia="MS Mincho"/>
              </w:rPr>
              <w:t>69/343</w:t>
            </w:r>
          </w:p>
          <w:p w14:paraId="03399D8B" w14:textId="2EB64BD0" w:rsidR="003370C1" w:rsidRPr="00571B3B" w:rsidRDefault="006056C2" w:rsidP="00A5263B">
            <w:pPr>
              <w:pStyle w:val="Tablewriting"/>
              <w:keepNext/>
              <w:jc w:val="center"/>
              <w:rPr>
                <w:rFonts w:eastAsia="MS Mincho"/>
              </w:rPr>
            </w:pPr>
            <w:r>
              <w:rPr>
                <w:rFonts w:eastAsia="MS Mincho"/>
              </w:rPr>
              <w:t>(</w:t>
            </w:r>
            <w:r w:rsidR="00A44806">
              <w:rPr>
                <w:rFonts w:eastAsia="MS Mincho"/>
              </w:rPr>
              <w:t>20.1</w:t>
            </w:r>
            <w:r>
              <w:rPr>
                <w:rFonts w:eastAsia="MS Mincho"/>
              </w:rPr>
              <w:t>%)</w:t>
            </w:r>
          </w:p>
        </w:tc>
        <w:tc>
          <w:tcPr>
            <w:tcW w:w="1016" w:type="pct"/>
            <w:shd w:val="clear" w:color="auto" w:fill="auto"/>
            <w:tcMar>
              <w:left w:w="28" w:type="dxa"/>
              <w:right w:w="28" w:type="dxa"/>
            </w:tcMar>
            <w:vAlign w:val="center"/>
          </w:tcPr>
          <w:p w14:paraId="395233CB" w14:textId="77777777" w:rsidR="008F3BDB" w:rsidRPr="00633D13" w:rsidRDefault="008F3BDB" w:rsidP="008F3BDB">
            <w:pPr>
              <w:pStyle w:val="Tablewriting"/>
              <w:keepNext/>
              <w:jc w:val="center"/>
              <w:rPr>
                <w:rFonts w:eastAsia="MS Mincho"/>
              </w:rPr>
            </w:pPr>
            <w:r w:rsidRPr="00633D13">
              <w:rPr>
                <w:rFonts w:eastAsia="MS Mincho"/>
              </w:rPr>
              <w:t>1.22</w:t>
            </w:r>
          </w:p>
          <w:p w14:paraId="2666DCEC" w14:textId="2199B25D" w:rsidR="003370C1" w:rsidRPr="00633D13" w:rsidRDefault="008F3BDB" w:rsidP="00A5263B">
            <w:pPr>
              <w:pStyle w:val="Tablewriting"/>
              <w:keepNext/>
              <w:jc w:val="center"/>
              <w:rPr>
                <w:rFonts w:eastAsia="MS Mincho"/>
              </w:rPr>
            </w:pPr>
            <w:r w:rsidRPr="00633D13">
              <w:rPr>
                <w:rFonts w:eastAsia="MS Mincho"/>
              </w:rPr>
              <w:t>(0.92, 1.61)</w:t>
            </w:r>
          </w:p>
        </w:tc>
      </w:tr>
      <w:tr w:rsidR="003370C1" w:rsidRPr="00061F78" w14:paraId="6D67CE47" w14:textId="77777777" w:rsidTr="001B2A43">
        <w:trPr>
          <w:cantSplit/>
          <w:trHeight w:val="99"/>
        </w:trPr>
        <w:tc>
          <w:tcPr>
            <w:tcW w:w="5000" w:type="pct"/>
            <w:gridSpan w:val="5"/>
            <w:shd w:val="clear" w:color="auto" w:fill="auto"/>
            <w:tcMar>
              <w:left w:w="28" w:type="dxa"/>
              <w:right w:w="28" w:type="dxa"/>
            </w:tcMar>
            <w:vAlign w:val="center"/>
          </w:tcPr>
          <w:p w14:paraId="14FEE170" w14:textId="5B84E7BC" w:rsidR="001B2A43" w:rsidRPr="004064A7" w:rsidRDefault="001B2A43" w:rsidP="00A5263B">
            <w:pPr>
              <w:pStyle w:val="Tablewriting"/>
              <w:keepNext/>
              <w:rPr>
                <w:rFonts w:eastAsia="MS Mincho"/>
                <w:b/>
                <w:bCs/>
                <w:highlight w:val="yellow"/>
              </w:rPr>
            </w:pPr>
            <w:r w:rsidRPr="004064A7">
              <w:rPr>
                <w:rFonts w:eastAsia="MS Mincho"/>
                <w:b/>
                <w:bCs/>
              </w:rPr>
              <w:t>Nasal spray fixed dosing versus ad lib dosing</w:t>
            </w:r>
            <w:r w:rsidR="004064A7">
              <w:rPr>
                <w:rFonts w:eastAsia="MS Mincho"/>
                <w:b/>
                <w:bCs/>
              </w:rPr>
              <w:t xml:space="preserve"> subgroup</w:t>
            </w:r>
          </w:p>
        </w:tc>
      </w:tr>
      <w:tr w:rsidR="003370C1" w:rsidRPr="00061F78" w14:paraId="07604DA4" w14:textId="77777777" w:rsidTr="001B2A43">
        <w:trPr>
          <w:cantSplit/>
          <w:trHeight w:val="99"/>
        </w:trPr>
        <w:tc>
          <w:tcPr>
            <w:tcW w:w="747" w:type="pct"/>
            <w:shd w:val="clear" w:color="auto" w:fill="auto"/>
            <w:tcMar>
              <w:left w:w="28" w:type="dxa"/>
              <w:right w:w="28" w:type="dxa"/>
            </w:tcMar>
            <w:vAlign w:val="center"/>
          </w:tcPr>
          <w:p w14:paraId="4261726D" w14:textId="2BBEE57C" w:rsidR="003370C1" w:rsidRPr="005D18BC" w:rsidRDefault="008F3BDB" w:rsidP="00A5263B">
            <w:pPr>
              <w:pStyle w:val="Tablewriting"/>
              <w:keepNext/>
              <w:rPr>
                <w:rFonts w:eastAsia="MS Mincho"/>
                <w:highlight w:val="yellow"/>
              </w:rPr>
            </w:pPr>
            <w:r>
              <w:rPr>
                <w:rFonts w:eastAsia="MS Mincho"/>
              </w:rPr>
              <w:t>Lindson (2019)</w:t>
            </w:r>
          </w:p>
        </w:tc>
        <w:tc>
          <w:tcPr>
            <w:tcW w:w="1205" w:type="pct"/>
            <w:shd w:val="clear" w:color="auto" w:fill="auto"/>
            <w:vAlign w:val="center"/>
          </w:tcPr>
          <w:p w14:paraId="3F17E4B8" w14:textId="77777777" w:rsidR="008F3BDB" w:rsidRDefault="008F3BDB" w:rsidP="008F3BDB">
            <w:pPr>
              <w:pStyle w:val="Tablewriting"/>
              <w:keepNext/>
              <w:jc w:val="center"/>
              <w:rPr>
                <w:rFonts w:eastAsia="MS Mincho"/>
              </w:rPr>
            </w:pPr>
            <w:r>
              <w:rPr>
                <w:rFonts w:eastAsia="MS Mincho"/>
              </w:rPr>
              <w:t xml:space="preserve">Cochrane Review </w:t>
            </w:r>
          </w:p>
          <w:p w14:paraId="2F6FAA86" w14:textId="12AE47F4" w:rsidR="003370C1" w:rsidRPr="00A22F63" w:rsidRDefault="008F3BDB" w:rsidP="00A5263B">
            <w:pPr>
              <w:pStyle w:val="Tablewriting"/>
              <w:keepNext/>
              <w:jc w:val="center"/>
              <w:rPr>
                <w:rFonts w:eastAsia="MS Mincho"/>
              </w:rPr>
            </w:pPr>
            <w:r>
              <w:rPr>
                <w:rFonts w:eastAsia="MS Mincho"/>
              </w:rPr>
              <w:t xml:space="preserve">(2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14:paraId="23D53DF7" w14:textId="77777777" w:rsidR="001B2A43" w:rsidRDefault="006056C2" w:rsidP="008F3BDB">
            <w:pPr>
              <w:pStyle w:val="Tablewriting"/>
              <w:keepNext/>
              <w:jc w:val="center"/>
              <w:rPr>
                <w:rFonts w:eastAsia="MS Mincho"/>
              </w:rPr>
            </w:pPr>
            <w:r>
              <w:rPr>
                <w:rFonts w:eastAsia="MS Mincho"/>
              </w:rPr>
              <w:t>10/69</w:t>
            </w:r>
          </w:p>
          <w:p w14:paraId="5A0204E2" w14:textId="3E89F06A" w:rsidR="003370C1" w:rsidRPr="00571B3B" w:rsidRDefault="006056C2" w:rsidP="00A5263B">
            <w:pPr>
              <w:pStyle w:val="Tablewriting"/>
              <w:keepNext/>
              <w:jc w:val="center"/>
              <w:rPr>
                <w:rFonts w:eastAsia="MS Mincho"/>
              </w:rPr>
            </w:pPr>
            <w:r>
              <w:rPr>
                <w:rFonts w:eastAsia="MS Mincho"/>
              </w:rPr>
              <w:t>(</w:t>
            </w:r>
            <w:r w:rsidR="00A44806">
              <w:rPr>
                <w:rFonts w:eastAsia="MS Mincho"/>
              </w:rPr>
              <w:t>14.5</w:t>
            </w:r>
            <w:r>
              <w:rPr>
                <w:rFonts w:eastAsia="MS Mincho"/>
              </w:rPr>
              <w:t>%)</w:t>
            </w:r>
          </w:p>
        </w:tc>
        <w:tc>
          <w:tcPr>
            <w:tcW w:w="1017" w:type="pct"/>
            <w:shd w:val="clear" w:color="auto" w:fill="auto"/>
            <w:tcMar>
              <w:left w:w="28" w:type="dxa"/>
              <w:right w:w="28" w:type="dxa"/>
            </w:tcMar>
            <w:vAlign w:val="center"/>
          </w:tcPr>
          <w:p w14:paraId="1846D334" w14:textId="77777777" w:rsidR="001B2A43" w:rsidRDefault="006056C2" w:rsidP="008F3BDB">
            <w:pPr>
              <w:pStyle w:val="Tablewriting"/>
              <w:keepNext/>
              <w:jc w:val="center"/>
              <w:rPr>
                <w:rFonts w:eastAsia="MS Mincho"/>
              </w:rPr>
            </w:pPr>
            <w:r>
              <w:rPr>
                <w:rFonts w:eastAsia="MS Mincho"/>
              </w:rPr>
              <w:t>15/70</w:t>
            </w:r>
          </w:p>
          <w:p w14:paraId="0E6C7345" w14:textId="4689B99D" w:rsidR="003370C1" w:rsidRPr="00571B3B" w:rsidRDefault="006056C2" w:rsidP="00A5263B">
            <w:pPr>
              <w:pStyle w:val="Tablewriting"/>
              <w:keepNext/>
              <w:jc w:val="center"/>
              <w:rPr>
                <w:rFonts w:eastAsia="MS Mincho"/>
              </w:rPr>
            </w:pPr>
            <w:r>
              <w:rPr>
                <w:rFonts w:eastAsia="MS Mincho"/>
              </w:rPr>
              <w:t>(</w:t>
            </w:r>
            <w:r w:rsidR="00A44806">
              <w:rPr>
                <w:rFonts w:eastAsia="MS Mincho"/>
              </w:rPr>
              <w:t>21.4</w:t>
            </w:r>
            <w:r>
              <w:rPr>
                <w:rFonts w:eastAsia="MS Mincho"/>
              </w:rPr>
              <w:t>%)</w:t>
            </w:r>
          </w:p>
        </w:tc>
        <w:tc>
          <w:tcPr>
            <w:tcW w:w="1016" w:type="pct"/>
            <w:shd w:val="clear" w:color="auto" w:fill="auto"/>
            <w:tcMar>
              <w:left w:w="28" w:type="dxa"/>
              <w:right w:w="28" w:type="dxa"/>
            </w:tcMar>
            <w:vAlign w:val="center"/>
          </w:tcPr>
          <w:p w14:paraId="72BE1E88" w14:textId="77777777" w:rsidR="003370C1" w:rsidRPr="00C42CE7" w:rsidRDefault="003370C1" w:rsidP="00A5263B">
            <w:pPr>
              <w:pStyle w:val="Tablewriting"/>
              <w:keepNext/>
              <w:jc w:val="center"/>
              <w:rPr>
                <w:rFonts w:eastAsia="MS Mincho"/>
              </w:rPr>
            </w:pPr>
            <w:r w:rsidRPr="00C42CE7">
              <w:rPr>
                <w:rFonts w:eastAsia="MS Mincho"/>
              </w:rPr>
              <w:t>0.67</w:t>
            </w:r>
          </w:p>
          <w:p w14:paraId="100F2767" w14:textId="02A62931" w:rsidR="003370C1" w:rsidRPr="00C42CE7" w:rsidRDefault="003370C1" w:rsidP="00A5263B">
            <w:pPr>
              <w:pStyle w:val="Tablewriting"/>
              <w:keepNext/>
              <w:jc w:val="center"/>
              <w:rPr>
                <w:rFonts w:eastAsia="MS Mincho"/>
              </w:rPr>
            </w:pPr>
            <w:r w:rsidRPr="00C42CE7">
              <w:rPr>
                <w:rFonts w:eastAsia="MS Mincho"/>
              </w:rPr>
              <w:t>(0.</w:t>
            </w:r>
            <w:r w:rsidR="008F3BDB">
              <w:rPr>
                <w:rFonts w:eastAsia="MS Mincho"/>
              </w:rPr>
              <w:t>35</w:t>
            </w:r>
            <w:r w:rsidRPr="00C42CE7">
              <w:rPr>
                <w:rFonts w:eastAsia="MS Mincho"/>
              </w:rPr>
              <w:t>, 1.</w:t>
            </w:r>
            <w:r w:rsidR="008F3BDB">
              <w:rPr>
                <w:rFonts w:eastAsia="MS Mincho"/>
              </w:rPr>
              <w:t>3</w:t>
            </w:r>
            <w:r w:rsidRPr="00C42CE7">
              <w:rPr>
                <w:rFonts w:eastAsia="MS Mincho"/>
              </w:rPr>
              <w:t>)</w:t>
            </w:r>
          </w:p>
        </w:tc>
      </w:tr>
      <w:tr w:rsidR="00927EC4" w:rsidRPr="00061F78" w14:paraId="5C31DD0D" w14:textId="77777777" w:rsidTr="001B2A43">
        <w:trPr>
          <w:cantSplit/>
          <w:trHeight w:val="99"/>
        </w:trPr>
        <w:tc>
          <w:tcPr>
            <w:tcW w:w="5000" w:type="pct"/>
            <w:gridSpan w:val="5"/>
            <w:shd w:val="clear" w:color="auto" w:fill="auto"/>
            <w:tcMar>
              <w:left w:w="28" w:type="dxa"/>
              <w:right w:w="28" w:type="dxa"/>
            </w:tcMar>
            <w:vAlign w:val="center"/>
          </w:tcPr>
          <w:p w14:paraId="456A3AB8" w14:textId="653298B8" w:rsidR="001B2A43" w:rsidRPr="004064A7" w:rsidRDefault="001B2A43" w:rsidP="001B2A43">
            <w:pPr>
              <w:pStyle w:val="Tablewriting"/>
              <w:keepNext/>
              <w:rPr>
                <w:rFonts w:eastAsia="MS Mincho"/>
                <w:b/>
                <w:bCs/>
                <w:highlight w:val="yellow"/>
              </w:rPr>
            </w:pPr>
            <w:r w:rsidRPr="004064A7">
              <w:rPr>
                <w:rFonts w:eastAsia="MS Mincho"/>
                <w:b/>
                <w:bCs/>
              </w:rPr>
              <w:t>Fixed versus ad lib dose dosing (pooled)</w:t>
            </w:r>
          </w:p>
        </w:tc>
      </w:tr>
      <w:tr w:rsidR="00927EC4" w:rsidRPr="00061F78" w14:paraId="581093F0" w14:textId="77777777" w:rsidTr="001B2A43">
        <w:trPr>
          <w:cantSplit/>
          <w:trHeight w:val="99"/>
        </w:trPr>
        <w:tc>
          <w:tcPr>
            <w:tcW w:w="747" w:type="pct"/>
            <w:shd w:val="clear" w:color="auto" w:fill="auto"/>
            <w:tcMar>
              <w:left w:w="28" w:type="dxa"/>
              <w:right w:w="28" w:type="dxa"/>
            </w:tcMar>
            <w:vAlign w:val="center"/>
          </w:tcPr>
          <w:p w14:paraId="70FBE614" w14:textId="7A73AAF1" w:rsidR="00927EC4" w:rsidRDefault="001B2A43" w:rsidP="008F3BDB">
            <w:pPr>
              <w:pStyle w:val="Tablewriting"/>
              <w:keepNext/>
              <w:rPr>
                <w:rFonts w:eastAsia="MS Mincho"/>
              </w:rPr>
            </w:pPr>
            <w:r>
              <w:rPr>
                <w:rFonts w:eastAsia="MS Mincho"/>
              </w:rPr>
              <w:t>Lindson (2019)</w:t>
            </w:r>
          </w:p>
        </w:tc>
        <w:tc>
          <w:tcPr>
            <w:tcW w:w="1205" w:type="pct"/>
            <w:shd w:val="clear" w:color="auto" w:fill="auto"/>
            <w:vAlign w:val="center"/>
          </w:tcPr>
          <w:p w14:paraId="4271CE4C" w14:textId="77777777" w:rsidR="001B2A43" w:rsidRDefault="001B2A43" w:rsidP="001B2A43">
            <w:pPr>
              <w:pStyle w:val="Tablewriting"/>
              <w:keepNext/>
              <w:jc w:val="center"/>
              <w:rPr>
                <w:rFonts w:eastAsia="MS Mincho"/>
              </w:rPr>
            </w:pPr>
            <w:r>
              <w:rPr>
                <w:rFonts w:eastAsia="MS Mincho"/>
              </w:rPr>
              <w:t xml:space="preserve">Cochrane Review </w:t>
            </w:r>
          </w:p>
          <w:p w14:paraId="0AB67485" w14:textId="188658FC" w:rsidR="00927EC4" w:rsidRDefault="001B2A43" w:rsidP="008F3BDB">
            <w:pPr>
              <w:pStyle w:val="Tablewriting"/>
              <w:keepNext/>
              <w:jc w:val="center"/>
              <w:rPr>
                <w:rFonts w:eastAsia="MS Mincho"/>
              </w:rPr>
            </w:pPr>
            <w:r>
              <w:rPr>
                <w:rFonts w:eastAsia="MS Mincho"/>
              </w:rPr>
              <w:t xml:space="preserve">(4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14:paraId="530615D9" w14:textId="77777777" w:rsidR="001B2A43" w:rsidRDefault="00A4106A" w:rsidP="001B2A43">
            <w:pPr>
              <w:pStyle w:val="Tablewriting"/>
              <w:keepNext/>
              <w:jc w:val="center"/>
              <w:rPr>
                <w:rFonts w:eastAsia="MS Mincho"/>
              </w:rPr>
            </w:pPr>
            <w:r>
              <w:rPr>
                <w:rFonts w:eastAsia="MS Mincho"/>
              </w:rPr>
              <w:t>95/415</w:t>
            </w:r>
          </w:p>
          <w:p w14:paraId="14A0D17C" w14:textId="3B4D4FFB" w:rsidR="00927EC4" w:rsidRPr="00571B3B" w:rsidRDefault="00A4106A" w:rsidP="008F3BDB">
            <w:pPr>
              <w:pStyle w:val="Tablewriting"/>
              <w:keepNext/>
              <w:jc w:val="center"/>
              <w:rPr>
                <w:rFonts w:eastAsia="MS Mincho"/>
              </w:rPr>
            </w:pPr>
            <w:r>
              <w:rPr>
                <w:rFonts w:eastAsia="MS Mincho"/>
              </w:rPr>
              <w:t>(</w:t>
            </w:r>
            <w:r w:rsidR="00A44806">
              <w:rPr>
                <w:rFonts w:eastAsia="MS Mincho"/>
              </w:rPr>
              <w:t>22.9</w:t>
            </w:r>
            <w:r>
              <w:rPr>
                <w:rFonts w:eastAsia="MS Mincho"/>
              </w:rPr>
              <w:t>%)</w:t>
            </w:r>
          </w:p>
        </w:tc>
        <w:tc>
          <w:tcPr>
            <w:tcW w:w="1017" w:type="pct"/>
            <w:shd w:val="clear" w:color="auto" w:fill="auto"/>
            <w:tcMar>
              <w:left w:w="28" w:type="dxa"/>
              <w:right w:w="28" w:type="dxa"/>
            </w:tcMar>
            <w:vAlign w:val="center"/>
          </w:tcPr>
          <w:p w14:paraId="09802E44" w14:textId="77777777" w:rsidR="001B2A43" w:rsidRDefault="005D69AF" w:rsidP="001B2A43">
            <w:pPr>
              <w:pStyle w:val="Tablewriting"/>
              <w:keepNext/>
              <w:jc w:val="center"/>
              <w:rPr>
                <w:rFonts w:eastAsia="MS Mincho"/>
              </w:rPr>
            </w:pPr>
            <w:r>
              <w:rPr>
                <w:rFonts w:eastAsia="MS Mincho"/>
              </w:rPr>
              <w:t>84/413</w:t>
            </w:r>
          </w:p>
          <w:p w14:paraId="78913A3D" w14:textId="33557725" w:rsidR="00927EC4" w:rsidRPr="00571B3B" w:rsidRDefault="005D69AF" w:rsidP="008F3BDB">
            <w:pPr>
              <w:pStyle w:val="Tablewriting"/>
              <w:keepNext/>
              <w:jc w:val="center"/>
              <w:rPr>
                <w:rFonts w:eastAsia="MS Mincho"/>
              </w:rPr>
            </w:pPr>
            <w:r>
              <w:rPr>
                <w:rFonts w:eastAsia="MS Mincho"/>
              </w:rPr>
              <w:t>(</w:t>
            </w:r>
            <w:r w:rsidR="0008509E">
              <w:rPr>
                <w:rFonts w:eastAsia="MS Mincho"/>
              </w:rPr>
              <w:t>20.3</w:t>
            </w:r>
            <w:r>
              <w:rPr>
                <w:rFonts w:eastAsia="MS Mincho"/>
              </w:rPr>
              <w:t>%)</w:t>
            </w:r>
          </w:p>
        </w:tc>
        <w:tc>
          <w:tcPr>
            <w:tcW w:w="1016" w:type="pct"/>
            <w:shd w:val="clear" w:color="auto" w:fill="auto"/>
            <w:tcMar>
              <w:left w:w="28" w:type="dxa"/>
              <w:right w:w="28" w:type="dxa"/>
            </w:tcMar>
            <w:vAlign w:val="center"/>
          </w:tcPr>
          <w:p w14:paraId="7587DF68" w14:textId="77777777" w:rsidR="001B2A43" w:rsidRDefault="001B2A43" w:rsidP="001B2A43">
            <w:pPr>
              <w:pStyle w:val="Tablewriting"/>
              <w:keepNext/>
              <w:jc w:val="center"/>
              <w:rPr>
                <w:rFonts w:eastAsia="MS Mincho"/>
              </w:rPr>
            </w:pPr>
            <w:r>
              <w:rPr>
                <w:rFonts w:eastAsia="MS Mincho"/>
              </w:rPr>
              <w:t>1.12</w:t>
            </w:r>
          </w:p>
          <w:p w14:paraId="76743F33" w14:textId="78929E9A" w:rsidR="00927EC4" w:rsidRDefault="001B2A43" w:rsidP="008F3BDB">
            <w:pPr>
              <w:pStyle w:val="Tablewriting"/>
              <w:keepNext/>
              <w:jc w:val="center"/>
              <w:rPr>
                <w:rFonts w:eastAsia="MS Mincho"/>
              </w:rPr>
            </w:pPr>
            <w:r>
              <w:rPr>
                <w:rFonts w:eastAsia="MS Mincho"/>
              </w:rPr>
              <w:t>(0.87, 1.45)</w:t>
            </w:r>
          </w:p>
        </w:tc>
      </w:tr>
    </w:tbl>
    <w:p w14:paraId="7F2B5CBA" w14:textId="4D790B78" w:rsidR="003370C1" w:rsidRPr="00566F12" w:rsidRDefault="003370C1" w:rsidP="008A5B2A">
      <w:pPr>
        <w:pStyle w:val="TableFooter"/>
        <w:keepNext/>
        <w:jc w:val="both"/>
      </w:pPr>
      <w:r w:rsidRPr="00566F12">
        <w:t>Source: Lindson et al. (2019)</w:t>
      </w:r>
    </w:p>
    <w:p w14:paraId="3D913991" w14:textId="77777777" w:rsidR="003370C1" w:rsidRPr="00566F12" w:rsidRDefault="003370C1" w:rsidP="008A5B2A">
      <w:pPr>
        <w:pStyle w:val="TableFooter"/>
        <w:keepNext/>
        <w:jc w:val="both"/>
        <w:rPr>
          <w:i/>
        </w:rPr>
      </w:pPr>
      <w:r w:rsidRPr="00566F12">
        <w:t xml:space="preserve">Abbreviations: CI = confidence interval; RCT = randomised controlled trial; RD = risk difference; RR = risk ratio </w:t>
      </w:r>
    </w:p>
    <w:p w14:paraId="650DE893" w14:textId="77777777" w:rsidR="005D69AF" w:rsidRDefault="003370C1" w:rsidP="008A5B2A">
      <w:pPr>
        <w:pStyle w:val="TableFooter"/>
        <w:jc w:val="both"/>
      </w:pPr>
      <w:r w:rsidRPr="00566F12">
        <w:t>Notes:</w:t>
      </w:r>
    </w:p>
    <w:p w14:paraId="1E07010C" w14:textId="3D64CA27" w:rsidR="003370C1" w:rsidRPr="008A5B2A" w:rsidRDefault="005D69AF" w:rsidP="008A5B2A">
      <w:pPr>
        <w:pStyle w:val="TableFooter"/>
        <w:spacing w:after="120"/>
        <w:contextualSpacing w:val="0"/>
        <w:jc w:val="both"/>
      </w:pPr>
      <w:r>
        <w:t>1</w:t>
      </w:r>
      <w:r w:rsidR="003370C1">
        <w:t xml:space="preserve"> </w:t>
      </w:r>
      <w:r w:rsidR="003370C1" w:rsidRPr="0041240E">
        <w:t xml:space="preserve">Calculated </w:t>
      </w:r>
      <w:r>
        <w:t>by Cochrane Review authors using a fixed-effect model</w:t>
      </w:r>
      <w:r w:rsidR="00ED0CBA">
        <w:t>.</w:t>
      </w:r>
    </w:p>
    <w:p w14:paraId="0DBFE920" w14:textId="21D52F57" w:rsidR="003370C1" w:rsidRPr="00C43497" w:rsidRDefault="003370C1" w:rsidP="008A5B2A">
      <w:pPr>
        <w:pStyle w:val="TableFooter"/>
        <w:spacing w:after="120"/>
        <w:contextualSpacing w:val="0"/>
        <w:jc w:val="both"/>
        <w:rPr>
          <w:sz w:val="24"/>
        </w:rPr>
      </w:pPr>
      <w:r w:rsidRPr="00F136E9">
        <w:rPr>
          <w:sz w:val="24"/>
        </w:rPr>
        <w:t>The results of the individual studies</w:t>
      </w:r>
      <w:r>
        <w:rPr>
          <w:sz w:val="24"/>
        </w:rPr>
        <w:t xml:space="preserve"> relevant to </w:t>
      </w:r>
      <w:r w:rsidR="008A5B2A">
        <w:rPr>
          <w:sz w:val="24"/>
        </w:rPr>
        <w:t xml:space="preserve">the </w:t>
      </w:r>
      <w:r w:rsidRPr="00F95541">
        <w:rPr>
          <w:sz w:val="24"/>
        </w:rPr>
        <w:t>fixed versus ad lib dos</w:t>
      </w:r>
      <w:r w:rsidR="00E43F07">
        <w:rPr>
          <w:sz w:val="24"/>
        </w:rPr>
        <w:t>ing</w:t>
      </w:r>
      <w:r w:rsidRPr="00F95541">
        <w:rPr>
          <w:sz w:val="24"/>
        </w:rPr>
        <w:t xml:space="preserve"> schedule</w:t>
      </w:r>
      <w:r>
        <w:rPr>
          <w:sz w:val="24"/>
        </w:rPr>
        <w:t xml:space="preserve"> comparison</w:t>
      </w:r>
      <w:r w:rsidR="008A5B2A">
        <w:rPr>
          <w:sz w:val="24"/>
        </w:rPr>
        <w:t>,</w:t>
      </w:r>
      <w:r>
        <w:rPr>
          <w:sz w:val="24"/>
        </w:rPr>
        <w:t xml:space="preserve"> which </w:t>
      </w:r>
      <w:r w:rsidR="008A5B2A">
        <w:rPr>
          <w:sz w:val="24"/>
        </w:rPr>
        <w:t xml:space="preserve">were </w:t>
      </w:r>
      <w:r w:rsidRPr="00F136E9">
        <w:rPr>
          <w:sz w:val="24"/>
        </w:rPr>
        <w:t>included in Lindson et al. (2019)</w:t>
      </w:r>
      <w:r w:rsidR="008A5B2A">
        <w:rPr>
          <w:sz w:val="24"/>
        </w:rPr>
        <w:t>,</w:t>
      </w:r>
      <w:r w:rsidRPr="00F136E9">
        <w:rPr>
          <w:sz w:val="24"/>
        </w:rPr>
        <w:t xml:space="preserve"> are presented using a forest plot i</w:t>
      </w:r>
      <w:r>
        <w:rPr>
          <w:sz w:val="24"/>
        </w:rPr>
        <w:t>n</w:t>
      </w:r>
      <w:r w:rsidR="00C43497">
        <w:rPr>
          <w:sz w:val="24"/>
        </w:rPr>
        <w:t xml:space="preserve"> </w:t>
      </w:r>
      <w:r w:rsidR="00C43497">
        <w:rPr>
          <w:sz w:val="24"/>
        </w:rPr>
        <w:fldChar w:fldCharType="begin" w:fldLock="1"/>
      </w:r>
      <w:r w:rsidR="00C43497">
        <w:rPr>
          <w:sz w:val="24"/>
        </w:rPr>
        <w:instrText xml:space="preserve"> REF _Ref59701859 \h  \* MERGEFORMAT </w:instrText>
      </w:r>
      <w:r w:rsidR="00C43497">
        <w:rPr>
          <w:sz w:val="24"/>
        </w:rPr>
      </w:r>
      <w:r w:rsidR="00C43497">
        <w:rPr>
          <w:sz w:val="24"/>
        </w:rPr>
        <w:fldChar w:fldCharType="separate"/>
      </w:r>
      <w:r w:rsidR="00EC5CC7" w:rsidRPr="00EC5CC7">
        <w:rPr>
          <w:sz w:val="24"/>
        </w:rPr>
        <w:t>Figure 31</w:t>
      </w:r>
      <w:r w:rsidR="00C43497">
        <w:rPr>
          <w:sz w:val="24"/>
        </w:rPr>
        <w:fldChar w:fldCharType="end"/>
      </w:r>
      <w:r w:rsidR="00C43497">
        <w:rPr>
          <w:sz w:val="24"/>
        </w:rPr>
        <w:t>.</w:t>
      </w:r>
    </w:p>
    <w:p w14:paraId="2F5890BD" w14:textId="77777777" w:rsidR="003F0658" w:rsidRDefault="003370C1" w:rsidP="00A92524">
      <w:r>
        <w:rPr>
          <w:noProof/>
        </w:rPr>
        <w:lastRenderedPageBreak/>
        <w:drawing>
          <wp:inline distT="0" distB="0" distL="0" distR="0" wp14:anchorId="5A1E6B48" wp14:editId="7F920E7F">
            <wp:extent cx="5731510" cy="2800350"/>
            <wp:effectExtent l="0" t="0" r="2540" b="0"/>
            <wp:docPr id="69" name="Picture 69" descr="P67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P6786#yIS1"/>
                    <pic:cNvPicPr/>
                  </pic:nvPicPr>
                  <pic:blipFill>
                    <a:blip r:embed="rId50">
                      <a:extLst>
                        <a:ext uri="{28A0092B-C50C-407E-A947-70E740481C1C}">
                          <a14:useLocalDpi xmlns:a14="http://schemas.microsoft.com/office/drawing/2010/main" val="0"/>
                        </a:ext>
                      </a:extLst>
                    </a:blip>
                    <a:stretch>
                      <a:fillRect/>
                    </a:stretch>
                  </pic:blipFill>
                  <pic:spPr>
                    <a:xfrm>
                      <a:off x="0" y="0"/>
                      <a:ext cx="5731510" cy="2800350"/>
                    </a:xfrm>
                    <a:prstGeom prst="rect">
                      <a:avLst/>
                    </a:prstGeom>
                  </pic:spPr>
                </pic:pic>
              </a:graphicData>
            </a:graphic>
          </wp:inline>
        </w:drawing>
      </w:r>
    </w:p>
    <w:p w14:paraId="165F3A35" w14:textId="64F81D6E" w:rsidR="003370C1" w:rsidRDefault="003F0658" w:rsidP="008A5B2A">
      <w:pPr>
        <w:pStyle w:val="Caption"/>
        <w:spacing w:before="120" w:after="60"/>
        <w:jc w:val="both"/>
      </w:pPr>
      <w:bookmarkStart w:id="175" w:name="_Ref59701859"/>
      <w:r>
        <w:t xml:space="preserve">Figure </w:t>
      </w:r>
      <w:r w:rsidR="00BF3F75">
        <w:fldChar w:fldCharType="begin"/>
      </w:r>
      <w:r w:rsidR="00BF3F75">
        <w:instrText xml:space="preserve"> SEQ Figure \* ARABIC </w:instrText>
      </w:r>
      <w:r w:rsidR="00BF3F75">
        <w:fldChar w:fldCharType="separate"/>
      </w:r>
      <w:r w:rsidR="00EC5CC7">
        <w:rPr>
          <w:noProof/>
        </w:rPr>
        <w:t>31</w:t>
      </w:r>
      <w:r w:rsidR="00BF3F75">
        <w:rPr>
          <w:noProof/>
        </w:rPr>
        <w:fldChar w:fldCharType="end"/>
      </w:r>
      <w:bookmarkEnd w:id="175"/>
      <w:r>
        <w:t xml:space="preserve">: </w:t>
      </w:r>
      <w:r w:rsidRPr="0009767A">
        <w:t>Results of smoking cessation f</w:t>
      </w:r>
      <w:r w:rsidR="00C623F4">
        <w:t>or</w:t>
      </w:r>
      <w:r w:rsidRPr="0009767A">
        <w:t xml:space="preserve"> at least six months follow-up, fixed versus ad lib dose schedule</w:t>
      </w:r>
    </w:p>
    <w:p w14:paraId="0F145C7F" w14:textId="77777777" w:rsidR="00C43497" w:rsidRPr="00543DB6" w:rsidRDefault="00C43497" w:rsidP="008A5B2A">
      <w:pPr>
        <w:pStyle w:val="TableFooter"/>
        <w:keepNext/>
        <w:jc w:val="both"/>
      </w:pPr>
      <w:r w:rsidRPr="00543DB6">
        <w:t>Source: Lindson et al. (2019)</w:t>
      </w:r>
    </w:p>
    <w:p w14:paraId="5E48C4F7" w14:textId="02C6020F" w:rsidR="003370C1" w:rsidRDefault="00C43497" w:rsidP="008A5B2A">
      <w:pPr>
        <w:pStyle w:val="TableFooter"/>
        <w:keepNext/>
        <w:spacing w:after="120"/>
        <w:contextualSpacing w:val="0"/>
        <w:jc w:val="both"/>
      </w:pPr>
      <w:r w:rsidRPr="00543DB6">
        <w:t>Abbreviations: CI = confidence interval</w:t>
      </w:r>
    </w:p>
    <w:p w14:paraId="1EE33EED" w14:textId="7655F0AC" w:rsidR="004D63D8" w:rsidRPr="004D63D8" w:rsidRDefault="004D63D8" w:rsidP="008A5B2A">
      <w:pPr>
        <w:spacing w:after="120"/>
        <w:jc w:val="both"/>
        <w:rPr>
          <w:u w:val="single"/>
        </w:rPr>
      </w:pPr>
      <w:r w:rsidRPr="004D63D8">
        <w:rPr>
          <w:u w:val="single"/>
        </w:rPr>
        <w:t>Safety</w:t>
      </w:r>
    </w:p>
    <w:p w14:paraId="0C4A14C2" w14:textId="28463CBC" w:rsidR="00AE06E1" w:rsidRDefault="00AE06E1" w:rsidP="008A5B2A">
      <w:pPr>
        <w:spacing w:after="120"/>
        <w:jc w:val="both"/>
      </w:pPr>
      <w:r>
        <w:t xml:space="preserve">A summary of key adverse events </w:t>
      </w:r>
      <w:r w:rsidRPr="006F1FEC">
        <w:t xml:space="preserve">in Lindson et al. </w:t>
      </w:r>
      <w:r>
        <w:t>(</w:t>
      </w:r>
      <w:r w:rsidRPr="006F1FEC">
        <w:t>2019</w:t>
      </w:r>
      <w:r>
        <w:t>)</w:t>
      </w:r>
      <w:r w:rsidR="008A5B2A">
        <w:t xml:space="preserve"> </w:t>
      </w:r>
      <w:r>
        <w:t xml:space="preserve">comparing fixed with </w:t>
      </w:r>
      <w:r w:rsidR="008A5B2A">
        <w:t xml:space="preserve">an </w:t>
      </w:r>
      <w:r>
        <w:t>ad lib dos</w:t>
      </w:r>
      <w:r w:rsidR="00E43F07">
        <w:t>ing</w:t>
      </w:r>
      <w:r>
        <w:t xml:space="preserve"> schedule is presented in</w:t>
      </w:r>
      <w:r w:rsidR="00D010D6">
        <w:t xml:space="preserve"> </w:t>
      </w:r>
      <w:r w:rsidR="00D010D6">
        <w:fldChar w:fldCharType="begin" w:fldLock="1"/>
      </w:r>
      <w:r w:rsidR="00D010D6">
        <w:instrText xml:space="preserve"> REF _Ref62117788 \h </w:instrText>
      </w:r>
      <w:r w:rsidR="00D010D6">
        <w:fldChar w:fldCharType="separate"/>
      </w:r>
      <w:r w:rsidR="00EC5CC7">
        <w:t xml:space="preserve">Table </w:t>
      </w:r>
      <w:r w:rsidR="00EC5CC7">
        <w:rPr>
          <w:noProof/>
        </w:rPr>
        <w:t>99</w:t>
      </w:r>
      <w:r w:rsidR="00D010D6">
        <w:fldChar w:fldCharType="end"/>
      </w:r>
      <w:r>
        <w:t>.</w:t>
      </w:r>
      <w:r w:rsidRPr="00371997">
        <w:t xml:space="preserve"> </w:t>
      </w:r>
      <w:r>
        <w:t>Overall, there were no statistically significant differences in serious adverse events and treatment withdrawals between the two treatment arms for NRT nasal spray and gum.</w:t>
      </w:r>
    </w:p>
    <w:p w14:paraId="110B1EDC" w14:textId="3F6A6E5F" w:rsidR="00AE06E1" w:rsidRDefault="00AE06E1" w:rsidP="008A5B2A">
      <w:pPr>
        <w:pStyle w:val="Caption"/>
        <w:keepNext/>
        <w:spacing w:before="0" w:after="120"/>
        <w:jc w:val="both"/>
      </w:pPr>
      <w:bookmarkStart w:id="176" w:name="_Ref62117788"/>
      <w:r>
        <w:t xml:space="preserve">Table </w:t>
      </w:r>
      <w:r w:rsidR="00BF3F75">
        <w:fldChar w:fldCharType="begin"/>
      </w:r>
      <w:r w:rsidR="00BF3F75">
        <w:instrText xml:space="preserve"> SEQ Table \* ARABIC </w:instrText>
      </w:r>
      <w:r w:rsidR="00BF3F75">
        <w:fldChar w:fldCharType="separate"/>
      </w:r>
      <w:r w:rsidR="00EC5CC7">
        <w:rPr>
          <w:noProof/>
        </w:rPr>
        <w:t>99</w:t>
      </w:r>
      <w:r w:rsidR="00BF3F75">
        <w:rPr>
          <w:noProof/>
        </w:rPr>
        <w:fldChar w:fldCharType="end"/>
      </w:r>
      <w:bookmarkEnd w:id="176"/>
      <w:r>
        <w:t xml:space="preserve">: </w:t>
      </w:r>
      <w:r w:rsidRPr="00311750">
        <w:t>Summary of key adverse events in Lindson et al. (2019), fixed versus ad lib dosing</w:t>
      </w:r>
    </w:p>
    <w:tbl>
      <w:tblPr>
        <w:tblStyle w:val="TableGrid"/>
        <w:tblW w:w="5000" w:type="pct"/>
        <w:tblLook w:val="04A0" w:firstRow="1" w:lastRow="0" w:firstColumn="1" w:lastColumn="0" w:noHBand="0" w:noVBand="1"/>
        <w:tblCaption w:val="Efficacy results of adalimumab trials (PASI 75 and DLQI)"/>
      </w:tblPr>
      <w:tblGrid>
        <w:gridCol w:w="1981"/>
        <w:gridCol w:w="1984"/>
        <w:gridCol w:w="1843"/>
        <w:gridCol w:w="1702"/>
        <w:gridCol w:w="1506"/>
      </w:tblGrid>
      <w:tr w:rsidR="00AE06E1" w:rsidRPr="00061F78" w14:paraId="0D5EAC2C" w14:textId="77777777" w:rsidTr="00125A1C">
        <w:trPr>
          <w:cantSplit/>
          <w:trHeight w:val="299"/>
          <w:tblHeader/>
        </w:trPr>
        <w:tc>
          <w:tcPr>
            <w:tcW w:w="1099" w:type="pct"/>
            <w:shd w:val="clear" w:color="auto" w:fill="BFBFBF" w:themeFill="background1" w:themeFillShade="BF"/>
            <w:tcMar>
              <w:left w:w="28" w:type="dxa"/>
              <w:right w:w="28" w:type="dxa"/>
            </w:tcMar>
            <w:vAlign w:val="center"/>
          </w:tcPr>
          <w:p w14:paraId="72ABA33A" w14:textId="05A64DD3" w:rsidR="00AE06E1" w:rsidRDefault="00016CDD" w:rsidP="00125A1C">
            <w:pPr>
              <w:pStyle w:val="Tableheading"/>
              <w:rPr>
                <w:rFonts w:eastAsia="MS Mincho"/>
              </w:rPr>
            </w:pPr>
            <w:r>
              <w:rPr>
                <w:rFonts w:eastAsia="MS Mincho"/>
              </w:rPr>
              <w:t>Outcome</w:t>
            </w:r>
          </w:p>
        </w:tc>
        <w:tc>
          <w:tcPr>
            <w:tcW w:w="1100" w:type="pct"/>
            <w:shd w:val="clear" w:color="auto" w:fill="BFBFBF" w:themeFill="background1" w:themeFillShade="BF"/>
            <w:vAlign w:val="center"/>
          </w:tcPr>
          <w:p w14:paraId="3DA1E8F3" w14:textId="77777777" w:rsidR="00AE06E1" w:rsidRDefault="00AE06E1" w:rsidP="00125A1C">
            <w:pPr>
              <w:pStyle w:val="Tableheading"/>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14:paraId="077275F1" w14:textId="0F178A00" w:rsidR="00AE06E1" w:rsidRPr="00061F78" w:rsidRDefault="00AE06E1" w:rsidP="00125A1C">
            <w:pPr>
              <w:pStyle w:val="Tableheading"/>
              <w:jc w:val="center"/>
              <w:rPr>
                <w:rFonts w:eastAsia="MS Mincho"/>
              </w:rPr>
            </w:pPr>
            <w:r>
              <w:rPr>
                <w:rFonts w:eastAsia="MS Mincho"/>
              </w:rPr>
              <w:t xml:space="preserve">Fixed dosing </w:t>
            </w:r>
          </w:p>
        </w:tc>
        <w:tc>
          <w:tcPr>
            <w:tcW w:w="944" w:type="pct"/>
            <w:shd w:val="clear" w:color="auto" w:fill="BFBFBF" w:themeFill="background1" w:themeFillShade="BF"/>
            <w:tcMar>
              <w:left w:w="28" w:type="dxa"/>
              <w:right w:w="28" w:type="dxa"/>
            </w:tcMar>
            <w:vAlign w:val="center"/>
          </w:tcPr>
          <w:p w14:paraId="4D2352DA" w14:textId="1515D87A" w:rsidR="00AE06E1" w:rsidRPr="00061F78" w:rsidRDefault="00AE06E1" w:rsidP="00125A1C">
            <w:pPr>
              <w:pStyle w:val="Tableheading"/>
              <w:jc w:val="center"/>
              <w:rPr>
                <w:rFonts w:eastAsia="MS Mincho"/>
              </w:rPr>
            </w:pPr>
            <w:r>
              <w:rPr>
                <w:rFonts w:eastAsia="MS Mincho"/>
              </w:rPr>
              <w:t>Ad lib dosing</w:t>
            </w:r>
          </w:p>
        </w:tc>
        <w:tc>
          <w:tcPr>
            <w:tcW w:w="836" w:type="pct"/>
            <w:shd w:val="clear" w:color="auto" w:fill="BFBFBF" w:themeFill="background1" w:themeFillShade="BF"/>
            <w:tcMar>
              <w:left w:w="28" w:type="dxa"/>
              <w:right w:w="28" w:type="dxa"/>
            </w:tcMar>
            <w:vAlign w:val="center"/>
          </w:tcPr>
          <w:p w14:paraId="5F2E46CA" w14:textId="548BB060" w:rsidR="00AE06E1" w:rsidRPr="00681ACA" w:rsidRDefault="00AE06E1" w:rsidP="00125A1C">
            <w:pPr>
              <w:pStyle w:val="Tableheading"/>
              <w:jc w:val="center"/>
              <w:rPr>
                <w:rFonts w:eastAsia="MS Mincho"/>
                <w:vertAlign w:val="superscript"/>
              </w:rPr>
            </w:pPr>
            <w:r>
              <w:rPr>
                <w:rFonts w:eastAsia="MS Mincho"/>
              </w:rPr>
              <w:t>RR (95% CI)</w:t>
            </w:r>
            <w:r w:rsidR="00FC0ADE">
              <w:rPr>
                <w:rFonts w:eastAsia="MS Mincho"/>
                <w:vertAlign w:val="superscript"/>
              </w:rPr>
              <w:t>1</w:t>
            </w:r>
          </w:p>
        </w:tc>
      </w:tr>
      <w:tr w:rsidR="00AE06E1" w:rsidRPr="00061F78" w14:paraId="0574587A" w14:textId="77777777" w:rsidTr="00407317">
        <w:trPr>
          <w:cantSplit/>
          <w:trHeight w:val="149"/>
        </w:trPr>
        <w:tc>
          <w:tcPr>
            <w:tcW w:w="5000" w:type="pct"/>
            <w:gridSpan w:val="5"/>
            <w:shd w:val="clear" w:color="auto" w:fill="auto"/>
            <w:tcMar>
              <w:left w:w="28" w:type="dxa"/>
              <w:right w:w="28" w:type="dxa"/>
            </w:tcMar>
          </w:tcPr>
          <w:p w14:paraId="03FFBFF9" w14:textId="77777777" w:rsidR="00AE06E1" w:rsidRPr="00D010D6" w:rsidRDefault="00AE06E1" w:rsidP="00125A1C">
            <w:pPr>
              <w:pStyle w:val="Tablewriting"/>
              <w:rPr>
                <w:rFonts w:eastAsia="MS Mincho"/>
                <w:b/>
                <w:bCs/>
              </w:rPr>
            </w:pPr>
            <w:r w:rsidRPr="00D010D6">
              <w:rPr>
                <w:rFonts w:eastAsia="MS Mincho"/>
                <w:b/>
                <w:bCs/>
              </w:rPr>
              <w:t>Overall SAEs</w:t>
            </w:r>
          </w:p>
        </w:tc>
      </w:tr>
      <w:tr w:rsidR="00AE06E1" w:rsidRPr="00061F78" w14:paraId="05F3D5F1" w14:textId="77777777" w:rsidTr="00125A1C">
        <w:trPr>
          <w:cantSplit/>
          <w:trHeight w:val="149"/>
        </w:trPr>
        <w:tc>
          <w:tcPr>
            <w:tcW w:w="1099" w:type="pct"/>
            <w:tcMar>
              <w:left w:w="28" w:type="dxa"/>
              <w:right w:w="28" w:type="dxa"/>
            </w:tcMar>
          </w:tcPr>
          <w:p w14:paraId="6272FCA0" w14:textId="4993ADC3" w:rsidR="00AE06E1" w:rsidRPr="001B3B7C" w:rsidRDefault="00AE06E1" w:rsidP="00125A1C">
            <w:pPr>
              <w:pStyle w:val="Tablewriting"/>
              <w:rPr>
                <w:rFonts w:eastAsia="MS Mincho"/>
              </w:rPr>
            </w:pPr>
            <w:r>
              <w:rPr>
                <w:rFonts w:eastAsia="MS Mincho"/>
              </w:rPr>
              <w:t xml:space="preserve">Nasal spray </w:t>
            </w:r>
          </w:p>
        </w:tc>
        <w:tc>
          <w:tcPr>
            <w:tcW w:w="1100" w:type="pct"/>
            <w:vAlign w:val="center"/>
          </w:tcPr>
          <w:p w14:paraId="70527F22" w14:textId="77777777" w:rsidR="00AE06E1" w:rsidRDefault="00AE06E1" w:rsidP="00125A1C">
            <w:pPr>
              <w:pStyle w:val="Tablewriting"/>
              <w:jc w:val="center"/>
              <w:rPr>
                <w:rFonts w:eastAsia="MS Mincho"/>
              </w:rPr>
            </w:pPr>
            <w:r>
              <w:rPr>
                <w:rFonts w:eastAsia="MS Mincho"/>
              </w:rPr>
              <w:t>Cochrane Review</w:t>
            </w:r>
          </w:p>
          <w:p w14:paraId="27E4229B" w14:textId="77777777" w:rsidR="00AE06E1" w:rsidRPr="001B3B7C" w:rsidRDefault="00AE06E1" w:rsidP="00125A1C">
            <w:pPr>
              <w:pStyle w:val="Tablewriting"/>
              <w:jc w:val="center"/>
              <w:rPr>
                <w:rFonts w:eastAsia="MS Mincho"/>
              </w:rPr>
            </w:pPr>
            <w:r>
              <w:rPr>
                <w:rFonts w:eastAsia="MS Mincho"/>
              </w:rPr>
              <w:t>(1 RCT)</w:t>
            </w:r>
          </w:p>
        </w:tc>
        <w:tc>
          <w:tcPr>
            <w:tcW w:w="1022" w:type="pct"/>
            <w:vAlign w:val="center"/>
          </w:tcPr>
          <w:p w14:paraId="76105378" w14:textId="77777777" w:rsidR="00AE06E1" w:rsidRDefault="00AE06E1" w:rsidP="00125A1C">
            <w:pPr>
              <w:pStyle w:val="Tablewriting"/>
              <w:jc w:val="center"/>
              <w:rPr>
                <w:rFonts w:eastAsia="MS Mincho"/>
              </w:rPr>
            </w:pPr>
            <w:r>
              <w:rPr>
                <w:rFonts w:eastAsia="MS Mincho"/>
              </w:rPr>
              <w:t>0/44</w:t>
            </w:r>
          </w:p>
          <w:p w14:paraId="6B5F2784" w14:textId="77777777" w:rsidR="00AE06E1" w:rsidRPr="001B3B7C" w:rsidRDefault="00AE06E1" w:rsidP="00125A1C">
            <w:pPr>
              <w:pStyle w:val="Tablewriting"/>
              <w:jc w:val="center"/>
              <w:rPr>
                <w:rFonts w:eastAsia="MS Mincho"/>
              </w:rPr>
            </w:pPr>
            <w:r>
              <w:rPr>
                <w:rFonts w:eastAsia="MS Mincho"/>
              </w:rPr>
              <w:t>(0%)</w:t>
            </w:r>
          </w:p>
        </w:tc>
        <w:tc>
          <w:tcPr>
            <w:tcW w:w="944" w:type="pct"/>
            <w:vAlign w:val="center"/>
          </w:tcPr>
          <w:p w14:paraId="3C7BD5C9" w14:textId="77777777" w:rsidR="00AE06E1" w:rsidRDefault="00AE06E1" w:rsidP="00125A1C">
            <w:pPr>
              <w:pStyle w:val="Tablewriting"/>
              <w:jc w:val="center"/>
              <w:rPr>
                <w:rFonts w:eastAsia="MS Mincho"/>
              </w:rPr>
            </w:pPr>
            <w:r>
              <w:rPr>
                <w:rFonts w:eastAsia="MS Mincho"/>
              </w:rPr>
              <w:t>0/45</w:t>
            </w:r>
          </w:p>
          <w:p w14:paraId="75C549F9" w14:textId="77777777" w:rsidR="00AE06E1" w:rsidRPr="001B3B7C" w:rsidRDefault="00AE06E1" w:rsidP="00125A1C">
            <w:pPr>
              <w:pStyle w:val="Tablewriting"/>
              <w:jc w:val="center"/>
              <w:rPr>
                <w:rFonts w:eastAsia="MS Mincho"/>
              </w:rPr>
            </w:pPr>
            <w:r>
              <w:rPr>
                <w:rFonts w:eastAsia="MS Mincho"/>
              </w:rPr>
              <w:t>(0%)</w:t>
            </w:r>
          </w:p>
        </w:tc>
        <w:tc>
          <w:tcPr>
            <w:tcW w:w="836" w:type="pct"/>
            <w:tcMar>
              <w:left w:w="28" w:type="dxa"/>
              <w:right w:w="28" w:type="dxa"/>
            </w:tcMar>
            <w:vAlign w:val="center"/>
          </w:tcPr>
          <w:p w14:paraId="2CB3BA03" w14:textId="77777777" w:rsidR="00AE06E1" w:rsidRPr="001B3B7C" w:rsidRDefault="00AE06E1" w:rsidP="00125A1C">
            <w:pPr>
              <w:pStyle w:val="Tablewriting"/>
              <w:jc w:val="center"/>
              <w:rPr>
                <w:rFonts w:eastAsia="MS Mincho"/>
              </w:rPr>
            </w:pPr>
            <w:r>
              <w:rPr>
                <w:rFonts w:eastAsia="MS Mincho"/>
              </w:rPr>
              <w:t>NE</w:t>
            </w:r>
          </w:p>
        </w:tc>
      </w:tr>
      <w:tr w:rsidR="00AE06E1" w:rsidRPr="00061F78" w14:paraId="5674A8DC" w14:textId="77777777" w:rsidTr="00407317">
        <w:trPr>
          <w:cantSplit/>
          <w:trHeight w:val="149"/>
        </w:trPr>
        <w:tc>
          <w:tcPr>
            <w:tcW w:w="5000" w:type="pct"/>
            <w:gridSpan w:val="5"/>
            <w:shd w:val="clear" w:color="auto" w:fill="auto"/>
            <w:tcMar>
              <w:left w:w="28" w:type="dxa"/>
              <w:right w:w="28" w:type="dxa"/>
            </w:tcMar>
          </w:tcPr>
          <w:p w14:paraId="766331A6" w14:textId="77777777" w:rsidR="00AE06E1" w:rsidRPr="00407317" w:rsidRDefault="00AE06E1" w:rsidP="00125A1C">
            <w:pPr>
              <w:pStyle w:val="Tablewriting"/>
              <w:rPr>
                <w:rFonts w:eastAsia="MS Mincho"/>
                <w:b/>
                <w:bCs/>
              </w:rPr>
            </w:pPr>
            <w:r w:rsidRPr="00407317">
              <w:rPr>
                <w:rFonts w:eastAsia="MS Mincho"/>
                <w:b/>
                <w:bCs/>
              </w:rPr>
              <w:t>Treatment withdrawals</w:t>
            </w:r>
          </w:p>
        </w:tc>
      </w:tr>
      <w:tr w:rsidR="00AE06E1" w:rsidRPr="00061F78" w14:paraId="2BCD1941" w14:textId="77777777" w:rsidTr="00125A1C">
        <w:trPr>
          <w:cantSplit/>
          <w:trHeight w:val="149"/>
        </w:trPr>
        <w:tc>
          <w:tcPr>
            <w:tcW w:w="1099" w:type="pct"/>
            <w:tcMar>
              <w:left w:w="28" w:type="dxa"/>
              <w:right w:w="28" w:type="dxa"/>
            </w:tcMar>
          </w:tcPr>
          <w:p w14:paraId="247CFC99" w14:textId="53C76055" w:rsidR="00AE06E1" w:rsidRDefault="00AE06E1" w:rsidP="00125A1C">
            <w:pPr>
              <w:pStyle w:val="Tablewriting"/>
              <w:rPr>
                <w:rFonts w:eastAsia="MS Mincho"/>
              </w:rPr>
            </w:pPr>
            <w:r>
              <w:rPr>
                <w:rFonts w:eastAsia="MS Mincho"/>
              </w:rPr>
              <w:t>Nasal spray</w:t>
            </w:r>
          </w:p>
        </w:tc>
        <w:tc>
          <w:tcPr>
            <w:tcW w:w="1100" w:type="pct"/>
            <w:vAlign w:val="center"/>
          </w:tcPr>
          <w:p w14:paraId="69F32C75" w14:textId="77777777" w:rsidR="00AE06E1" w:rsidRDefault="00AE06E1" w:rsidP="00125A1C">
            <w:pPr>
              <w:pStyle w:val="Tablewriting"/>
              <w:jc w:val="center"/>
              <w:rPr>
                <w:rFonts w:eastAsia="MS Mincho"/>
              </w:rPr>
            </w:pPr>
            <w:r>
              <w:rPr>
                <w:rFonts w:eastAsia="MS Mincho"/>
              </w:rPr>
              <w:t>Cochrane Review</w:t>
            </w:r>
          </w:p>
          <w:p w14:paraId="30FD6B28" w14:textId="77777777" w:rsidR="00AE06E1" w:rsidRDefault="00AE06E1" w:rsidP="00125A1C">
            <w:pPr>
              <w:pStyle w:val="Tablewriting"/>
              <w:jc w:val="center"/>
              <w:rPr>
                <w:rFonts w:eastAsia="MS Mincho"/>
              </w:rPr>
            </w:pPr>
            <w:r>
              <w:rPr>
                <w:rFonts w:eastAsia="MS Mincho"/>
              </w:rPr>
              <w:t>(1 RCT)</w:t>
            </w:r>
          </w:p>
        </w:tc>
        <w:tc>
          <w:tcPr>
            <w:tcW w:w="1022" w:type="pct"/>
            <w:tcMar>
              <w:left w:w="28" w:type="dxa"/>
              <w:right w:w="28" w:type="dxa"/>
            </w:tcMar>
            <w:vAlign w:val="center"/>
          </w:tcPr>
          <w:p w14:paraId="0504B188" w14:textId="77777777" w:rsidR="00AE06E1" w:rsidRDefault="00AE06E1" w:rsidP="00125A1C">
            <w:pPr>
              <w:pStyle w:val="Tablewriting"/>
              <w:jc w:val="center"/>
              <w:rPr>
                <w:rFonts w:eastAsia="MS Mincho"/>
              </w:rPr>
            </w:pPr>
            <w:r>
              <w:rPr>
                <w:rFonts w:eastAsia="MS Mincho"/>
              </w:rPr>
              <w:t>0/44</w:t>
            </w:r>
          </w:p>
          <w:p w14:paraId="201B5346" w14:textId="77777777" w:rsidR="00AE06E1" w:rsidRDefault="00AE06E1" w:rsidP="00125A1C">
            <w:pPr>
              <w:pStyle w:val="Tablewriting"/>
              <w:jc w:val="center"/>
              <w:rPr>
                <w:rFonts w:eastAsia="MS Mincho"/>
              </w:rPr>
            </w:pPr>
            <w:r>
              <w:rPr>
                <w:rFonts w:eastAsia="MS Mincho"/>
              </w:rPr>
              <w:t>(0%)</w:t>
            </w:r>
          </w:p>
        </w:tc>
        <w:tc>
          <w:tcPr>
            <w:tcW w:w="944" w:type="pct"/>
            <w:tcMar>
              <w:left w:w="28" w:type="dxa"/>
              <w:right w:w="28" w:type="dxa"/>
            </w:tcMar>
            <w:vAlign w:val="center"/>
          </w:tcPr>
          <w:p w14:paraId="535665FE" w14:textId="77777777" w:rsidR="00AE06E1" w:rsidRDefault="00AE06E1" w:rsidP="00125A1C">
            <w:pPr>
              <w:pStyle w:val="Tablewriting"/>
              <w:jc w:val="center"/>
              <w:rPr>
                <w:rFonts w:eastAsia="MS Mincho"/>
              </w:rPr>
            </w:pPr>
            <w:r>
              <w:rPr>
                <w:rFonts w:eastAsia="MS Mincho"/>
              </w:rPr>
              <w:t>0/45</w:t>
            </w:r>
          </w:p>
          <w:p w14:paraId="349398A4" w14:textId="77777777" w:rsidR="00AE06E1" w:rsidRDefault="00AE06E1" w:rsidP="00125A1C">
            <w:pPr>
              <w:pStyle w:val="Tablewriting"/>
              <w:jc w:val="center"/>
              <w:rPr>
                <w:rFonts w:eastAsia="MS Mincho"/>
              </w:rPr>
            </w:pPr>
            <w:r>
              <w:rPr>
                <w:rFonts w:eastAsia="MS Mincho"/>
              </w:rPr>
              <w:t>(0%)</w:t>
            </w:r>
          </w:p>
        </w:tc>
        <w:tc>
          <w:tcPr>
            <w:tcW w:w="836" w:type="pct"/>
            <w:tcMar>
              <w:left w:w="28" w:type="dxa"/>
              <w:right w:w="28" w:type="dxa"/>
            </w:tcMar>
            <w:vAlign w:val="center"/>
          </w:tcPr>
          <w:p w14:paraId="1D539D7A" w14:textId="77777777" w:rsidR="00AE06E1" w:rsidRDefault="00AE06E1" w:rsidP="00125A1C">
            <w:pPr>
              <w:pStyle w:val="Tablewriting"/>
              <w:jc w:val="center"/>
              <w:rPr>
                <w:rFonts w:eastAsia="MS Mincho"/>
              </w:rPr>
            </w:pPr>
            <w:r>
              <w:rPr>
                <w:rFonts w:eastAsia="MS Mincho"/>
              </w:rPr>
              <w:t>NE</w:t>
            </w:r>
          </w:p>
        </w:tc>
      </w:tr>
      <w:tr w:rsidR="00AE06E1" w:rsidRPr="00061F78" w14:paraId="1204AC0C" w14:textId="77777777" w:rsidTr="00125A1C">
        <w:trPr>
          <w:cantSplit/>
          <w:trHeight w:val="149"/>
        </w:trPr>
        <w:tc>
          <w:tcPr>
            <w:tcW w:w="1099" w:type="pct"/>
            <w:tcMar>
              <w:left w:w="28" w:type="dxa"/>
              <w:right w:w="28" w:type="dxa"/>
            </w:tcMar>
          </w:tcPr>
          <w:p w14:paraId="3FA2D932" w14:textId="5D86CEE3" w:rsidR="00AE06E1" w:rsidRPr="001B3B7C" w:rsidRDefault="00AE06E1" w:rsidP="00125A1C">
            <w:pPr>
              <w:pStyle w:val="Tablewriting"/>
              <w:rPr>
                <w:rFonts w:eastAsia="MS Mincho"/>
              </w:rPr>
            </w:pPr>
            <w:r>
              <w:rPr>
                <w:rFonts w:eastAsia="MS Mincho"/>
              </w:rPr>
              <w:t xml:space="preserve">Gum </w:t>
            </w:r>
          </w:p>
        </w:tc>
        <w:tc>
          <w:tcPr>
            <w:tcW w:w="1100" w:type="pct"/>
            <w:vAlign w:val="center"/>
          </w:tcPr>
          <w:p w14:paraId="65733B16" w14:textId="77777777" w:rsidR="00AE06E1" w:rsidRDefault="00AE06E1" w:rsidP="00125A1C">
            <w:pPr>
              <w:pStyle w:val="Tablewriting"/>
              <w:jc w:val="center"/>
              <w:rPr>
                <w:rFonts w:eastAsia="MS Mincho"/>
              </w:rPr>
            </w:pPr>
            <w:r>
              <w:rPr>
                <w:rFonts w:eastAsia="MS Mincho"/>
              </w:rPr>
              <w:t>Cochrane Review</w:t>
            </w:r>
          </w:p>
          <w:p w14:paraId="10AEB8BA" w14:textId="77777777" w:rsidR="00AE06E1" w:rsidRPr="001B3B7C" w:rsidRDefault="00AE06E1" w:rsidP="00125A1C">
            <w:pPr>
              <w:pStyle w:val="Tablewriting"/>
              <w:jc w:val="center"/>
              <w:rPr>
                <w:rFonts w:eastAsia="MS Mincho"/>
              </w:rPr>
            </w:pPr>
            <w:r>
              <w:rPr>
                <w:rFonts w:eastAsia="MS Mincho"/>
              </w:rPr>
              <w:t>(1 RCT)</w:t>
            </w:r>
          </w:p>
        </w:tc>
        <w:tc>
          <w:tcPr>
            <w:tcW w:w="1022" w:type="pct"/>
            <w:tcMar>
              <w:left w:w="28" w:type="dxa"/>
              <w:right w:w="28" w:type="dxa"/>
            </w:tcMar>
            <w:vAlign w:val="center"/>
          </w:tcPr>
          <w:p w14:paraId="19F1631B" w14:textId="77777777" w:rsidR="00AE06E1" w:rsidRDefault="00AE06E1" w:rsidP="00125A1C">
            <w:pPr>
              <w:pStyle w:val="Tablewriting"/>
              <w:jc w:val="center"/>
              <w:rPr>
                <w:rFonts w:eastAsia="MS Mincho"/>
              </w:rPr>
            </w:pPr>
            <w:r>
              <w:rPr>
                <w:rFonts w:eastAsia="MS Mincho"/>
              </w:rPr>
              <w:t>18/147</w:t>
            </w:r>
          </w:p>
          <w:p w14:paraId="5C73CABD" w14:textId="77777777" w:rsidR="00AE06E1" w:rsidRPr="001B3B7C" w:rsidRDefault="00AE06E1" w:rsidP="00125A1C">
            <w:pPr>
              <w:pStyle w:val="Tablewriting"/>
              <w:jc w:val="center"/>
              <w:rPr>
                <w:rFonts w:eastAsia="MS Mincho"/>
              </w:rPr>
            </w:pPr>
            <w:r>
              <w:rPr>
                <w:rFonts w:eastAsia="MS Mincho"/>
              </w:rPr>
              <w:t>(12.2%)</w:t>
            </w:r>
          </w:p>
        </w:tc>
        <w:tc>
          <w:tcPr>
            <w:tcW w:w="944" w:type="pct"/>
            <w:tcMar>
              <w:left w:w="28" w:type="dxa"/>
              <w:right w:w="28" w:type="dxa"/>
            </w:tcMar>
            <w:vAlign w:val="center"/>
          </w:tcPr>
          <w:p w14:paraId="61359CE2" w14:textId="77777777" w:rsidR="00AE06E1" w:rsidRDefault="00AE06E1" w:rsidP="00125A1C">
            <w:pPr>
              <w:pStyle w:val="Tablewriting"/>
              <w:jc w:val="center"/>
              <w:rPr>
                <w:rFonts w:eastAsia="MS Mincho"/>
              </w:rPr>
            </w:pPr>
            <w:r>
              <w:rPr>
                <w:rFonts w:eastAsia="MS Mincho"/>
              </w:rPr>
              <w:t>21/152</w:t>
            </w:r>
          </w:p>
          <w:p w14:paraId="60D07D57" w14:textId="77777777" w:rsidR="00AE06E1" w:rsidRPr="001B3B7C" w:rsidRDefault="00AE06E1" w:rsidP="00125A1C">
            <w:pPr>
              <w:pStyle w:val="Tablewriting"/>
              <w:jc w:val="center"/>
              <w:rPr>
                <w:rFonts w:eastAsia="MS Mincho"/>
              </w:rPr>
            </w:pPr>
            <w:r>
              <w:rPr>
                <w:rFonts w:eastAsia="MS Mincho"/>
              </w:rPr>
              <w:t>(13.8%)</w:t>
            </w:r>
          </w:p>
        </w:tc>
        <w:tc>
          <w:tcPr>
            <w:tcW w:w="836" w:type="pct"/>
            <w:tcMar>
              <w:left w:w="28" w:type="dxa"/>
              <w:right w:w="28" w:type="dxa"/>
            </w:tcMar>
            <w:vAlign w:val="center"/>
          </w:tcPr>
          <w:p w14:paraId="39655A62" w14:textId="77777777" w:rsidR="00AE06E1" w:rsidRDefault="00AE06E1" w:rsidP="00125A1C">
            <w:pPr>
              <w:pStyle w:val="Tablewriting"/>
              <w:jc w:val="center"/>
              <w:rPr>
                <w:rFonts w:eastAsia="MS Mincho"/>
              </w:rPr>
            </w:pPr>
            <w:r>
              <w:rPr>
                <w:rFonts w:eastAsia="MS Mincho"/>
              </w:rPr>
              <w:t>0.89</w:t>
            </w:r>
          </w:p>
          <w:p w14:paraId="00492B09" w14:textId="77777777" w:rsidR="00AE06E1" w:rsidRPr="001B3B7C" w:rsidRDefault="00AE06E1" w:rsidP="00125A1C">
            <w:pPr>
              <w:pStyle w:val="Tablewriting"/>
              <w:jc w:val="center"/>
              <w:rPr>
                <w:rFonts w:eastAsia="MS Mincho"/>
              </w:rPr>
            </w:pPr>
            <w:r>
              <w:rPr>
                <w:rFonts w:eastAsia="MS Mincho"/>
              </w:rPr>
              <w:t>(0.49, 1.59)</w:t>
            </w:r>
          </w:p>
        </w:tc>
      </w:tr>
    </w:tbl>
    <w:p w14:paraId="58490F8B" w14:textId="7358ECAA" w:rsidR="00AE06E1" w:rsidRPr="00E72520" w:rsidRDefault="00AE06E1" w:rsidP="008A5B2A">
      <w:pPr>
        <w:pStyle w:val="TableFooter"/>
        <w:jc w:val="both"/>
      </w:pPr>
      <w:r w:rsidRPr="00E72520">
        <w:t>Source: Lindson et al. (2019)</w:t>
      </w:r>
    </w:p>
    <w:p w14:paraId="05E61EC6" w14:textId="7746A995" w:rsidR="00AE06E1" w:rsidRPr="00E72520" w:rsidRDefault="00AE06E1" w:rsidP="008A5B2A">
      <w:pPr>
        <w:pStyle w:val="TableFooter"/>
        <w:jc w:val="both"/>
      </w:pPr>
      <w:r w:rsidRPr="00E72520">
        <w:t>Abbreviations: CI = confidence interval; NE = not estimable; RCT = randomised controlled trial; RD = risk difference; RR = risk ratio</w:t>
      </w:r>
      <w:r>
        <w:t>; SAEs = serious adverse events.</w:t>
      </w:r>
    </w:p>
    <w:p w14:paraId="68373E5C" w14:textId="43CE024F" w:rsidR="00AE06E1" w:rsidRPr="006F1FEC" w:rsidRDefault="00AE06E1" w:rsidP="008A5B2A">
      <w:pPr>
        <w:pStyle w:val="TableFooter"/>
        <w:jc w:val="both"/>
      </w:pPr>
      <w:r w:rsidRPr="006F1FEC">
        <w:t xml:space="preserve">Notes: See Appendix </w:t>
      </w:r>
      <w:r w:rsidR="00862F18">
        <w:fldChar w:fldCharType="begin" w:fldLock="1"/>
      </w:r>
      <w:r w:rsidR="00862F18">
        <w:instrText xml:space="preserve"> REF _Ref62129113 \h </w:instrText>
      </w:r>
      <w:r w:rsidR="008A5B2A">
        <w:instrText xml:space="preserve"> \* MERGEFORMAT </w:instrText>
      </w:r>
      <w:r w:rsidR="00862F18">
        <w:fldChar w:fldCharType="separate"/>
      </w:r>
      <w:r w:rsidR="00EC5CC7">
        <w:t xml:space="preserve">Figure </w:t>
      </w:r>
      <w:r w:rsidR="00EC5CC7">
        <w:rPr>
          <w:noProof/>
        </w:rPr>
        <w:t>98</w:t>
      </w:r>
      <w:r w:rsidR="00862F18">
        <w:fldChar w:fldCharType="end"/>
      </w:r>
      <w:r>
        <w:t xml:space="preserve"> and </w:t>
      </w:r>
      <w:r w:rsidR="00862F18">
        <w:fldChar w:fldCharType="begin" w:fldLock="1"/>
      </w:r>
      <w:r w:rsidR="00862F18">
        <w:instrText xml:space="preserve"> REF _Ref62129115 \h </w:instrText>
      </w:r>
      <w:r w:rsidR="008A5B2A">
        <w:instrText xml:space="preserve"> \* MERGEFORMAT </w:instrText>
      </w:r>
      <w:r w:rsidR="00862F18">
        <w:fldChar w:fldCharType="separate"/>
      </w:r>
      <w:r w:rsidR="00EC5CC7">
        <w:t xml:space="preserve">Figure </w:t>
      </w:r>
      <w:r w:rsidR="00EC5CC7">
        <w:rPr>
          <w:noProof/>
        </w:rPr>
        <w:t>99</w:t>
      </w:r>
      <w:r w:rsidR="00862F18">
        <w:fldChar w:fldCharType="end"/>
      </w:r>
      <w:r w:rsidRPr="006F1FEC">
        <w:t xml:space="preserve"> for forest plots of the respective outcomes which included the results of individual studies.</w:t>
      </w:r>
    </w:p>
    <w:p w14:paraId="2CB08E26" w14:textId="5C81DF47" w:rsidR="00AE06E1" w:rsidRPr="00AE06E1" w:rsidRDefault="00AE06E1" w:rsidP="008A5B2A">
      <w:pPr>
        <w:pStyle w:val="TableFooter"/>
        <w:spacing w:after="120"/>
        <w:contextualSpacing w:val="0"/>
        <w:jc w:val="both"/>
      </w:pPr>
      <w:r>
        <w:t>1</w:t>
      </w:r>
      <w:r w:rsidRPr="00432CC7">
        <w:t xml:space="preserve"> </w:t>
      </w:r>
      <w:r w:rsidRPr="00185B35">
        <w:t xml:space="preserve">Calculated </w:t>
      </w:r>
      <w:r>
        <w:t>by Cochrane Review authors</w:t>
      </w:r>
      <w:r w:rsidRPr="00185B35">
        <w:t xml:space="preserve"> using a fixed-effect model.</w:t>
      </w:r>
      <w:r>
        <w:t xml:space="preserve"> </w:t>
      </w:r>
    </w:p>
    <w:p w14:paraId="28B91D09" w14:textId="77777777" w:rsidR="003370C1" w:rsidRPr="00332321" w:rsidRDefault="003370C1" w:rsidP="008A5B2A">
      <w:pPr>
        <w:pStyle w:val="Heading5"/>
        <w:numPr>
          <w:ilvl w:val="0"/>
          <w:numId w:val="0"/>
        </w:numPr>
        <w:spacing w:after="120"/>
        <w:jc w:val="both"/>
        <w:rPr>
          <w:i w:val="0"/>
        </w:rPr>
      </w:pPr>
      <w:r w:rsidRPr="00C74B37">
        <w:t>Preloading versus standard use</w:t>
      </w:r>
    </w:p>
    <w:p w14:paraId="73E064DB" w14:textId="6E310147" w:rsidR="004D63D8" w:rsidRPr="004D63D8" w:rsidRDefault="004D63D8" w:rsidP="008A5B2A">
      <w:pPr>
        <w:spacing w:after="120"/>
        <w:jc w:val="both"/>
        <w:rPr>
          <w:u w:val="single"/>
        </w:rPr>
      </w:pPr>
      <w:r w:rsidRPr="004D63D8">
        <w:rPr>
          <w:u w:val="single"/>
        </w:rPr>
        <w:t>Efficacy</w:t>
      </w:r>
    </w:p>
    <w:p w14:paraId="40D6F412" w14:textId="1BB8A513" w:rsidR="00A631B4" w:rsidRDefault="003370C1" w:rsidP="008A5B2A">
      <w:pPr>
        <w:spacing w:after="120"/>
        <w:jc w:val="both"/>
      </w:pPr>
      <w:r w:rsidRPr="0037074A">
        <w:t>A summary of the smoking cessation rates f</w:t>
      </w:r>
      <w:r w:rsidR="00C623F4">
        <w:t>or</w:t>
      </w:r>
      <w:r w:rsidRPr="0037074A">
        <w:t xml:space="preserve"> at least six months follow-up </w:t>
      </w:r>
      <w:r w:rsidR="008A5E3D">
        <w:t xml:space="preserve">for preloading versus standard use of NRT </w:t>
      </w:r>
      <w:r w:rsidRPr="0037074A">
        <w:t>is presented in</w:t>
      </w:r>
      <w:r w:rsidR="00DE7819">
        <w:t xml:space="preserve"> </w:t>
      </w:r>
      <w:r w:rsidR="00DE7819">
        <w:fldChar w:fldCharType="begin" w:fldLock="1"/>
      </w:r>
      <w:r w:rsidR="00DE7819">
        <w:instrText xml:space="preserve"> REF _Ref59701376 \h </w:instrText>
      </w:r>
      <w:r w:rsidR="00DE7819">
        <w:fldChar w:fldCharType="separate"/>
      </w:r>
      <w:r w:rsidR="00EC5CC7">
        <w:t xml:space="preserve">Table </w:t>
      </w:r>
      <w:r w:rsidR="00EC5CC7">
        <w:rPr>
          <w:noProof/>
        </w:rPr>
        <w:t>100</w:t>
      </w:r>
      <w:r w:rsidR="00DE7819">
        <w:fldChar w:fldCharType="end"/>
      </w:r>
      <w:r>
        <w:t xml:space="preserve">. </w:t>
      </w:r>
      <w:r w:rsidR="00A631B4">
        <w:t xml:space="preserve">Based on the </w:t>
      </w:r>
      <w:r w:rsidR="005E111B">
        <w:t>Cochrane Review</w:t>
      </w:r>
      <w:r w:rsidR="00A631B4">
        <w:t xml:space="preserve"> by Lindson et al. (2019), the</w:t>
      </w:r>
      <w:r w:rsidR="005E111B">
        <w:t xml:space="preserve"> results of the meta-analysis </w:t>
      </w:r>
      <w:r w:rsidR="00351F66">
        <w:t>demonstrated</w:t>
      </w:r>
      <w:r w:rsidR="008D7CE1">
        <w:t xml:space="preserve"> a significant</w:t>
      </w:r>
      <w:r w:rsidR="007C7D2A">
        <w:t xml:space="preserve">ly higher </w:t>
      </w:r>
      <w:r w:rsidR="0097103C">
        <w:t xml:space="preserve">rate </w:t>
      </w:r>
      <w:r w:rsidR="0097103C">
        <w:lastRenderedPageBreak/>
        <w:t xml:space="preserve">of </w:t>
      </w:r>
      <w:r w:rsidR="0018458F">
        <w:t xml:space="preserve">smoking cessation </w:t>
      </w:r>
      <w:r w:rsidR="0097103C">
        <w:t>in the</w:t>
      </w:r>
      <w:r w:rsidR="0018458F">
        <w:t xml:space="preserve"> preloading </w:t>
      </w:r>
      <w:r w:rsidR="00B33A91">
        <w:t xml:space="preserve">use of NRT </w:t>
      </w:r>
      <w:r w:rsidR="0097103C">
        <w:t xml:space="preserve">compared with </w:t>
      </w:r>
      <w:r w:rsidR="00B82757">
        <w:t xml:space="preserve">standard use </w:t>
      </w:r>
      <w:r w:rsidR="007C7D2A">
        <w:t>of NRT.</w:t>
      </w:r>
      <w:r w:rsidR="008D7CE1">
        <w:t xml:space="preserve"> </w:t>
      </w:r>
      <w:r w:rsidR="006773F1">
        <w:t>However,</w:t>
      </w:r>
      <w:r w:rsidR="00231B6B">
        <w:t xml:space="preserve"> the results </w:t>
      </w:r>
      <w:r w:rsidR="00C438DA">
        <w:t xml:space="preserve">were only statistically significant in the </w:t>
      </w:r>
      <w:r w:rsidR="00D17D8C">
        <w:t xml:space="preserve">NRT </w:t>
      </w:r>
      <w:r w:rsidR="00573F59">
        <w:t>patches</w:t>
      </w:r>
      <w:r w:rsidR="00EE7C53">
        <w:t xml:space="preserve"> subgroup</w:t>
      </w:r>
      <w:r w:rsidR="00D17D8C">
        <w:t xml:space="preserve"> and not</w:t>
      </w:r>
      <w:r w:rsidR="00EE7C53">
        <w:t xml:space="preserve"> in the</w:t>
      </w:r>
      <w:r w:rsidR="00D17D8C">
        <w:t xml:space="preserve"> NRT gum or patch in combination with gum</w:t>
      </w:r>
      <w:r w:rsidR="00EE7C53">
        <w:t xml:space="preserve"> subgroups</w:t>
      </w:r>
      <w:r w:rsidR="00D17D8C">
        <w:t>.</w:t>
      </w:r>
    </w:p>
    <w:p w14:paraId="0DC9A52D" w14:textId="6DB8C780" w:rsidR="00513201" w:rsidRDefault="00513201" w:rsidP="008A5B2A">
      <w:pPr>
        <w:spacing w:after="120"/>
        <w:jc w:val="both"/>
      </w:pPr>
      <w:r>
        <w:t xml:space="preserve">The results of the updated re-analysis for the NRT </w:t>
      </w:r>
      <w:r w:rsidR="00573F59">
        <w:t>patches</w:t>
      </w:r>
      <w:r>
        <w:t xml:space="preserve"> subgroup were consistent with the results from Lindson et al. (2019) (RR: 1.32, 95% CI: 1.09, 1.58).</w:t>
      </w:r>
    </w:p>
    <w:p w14:paraId="3FF736D5" w14:textId="28C011BC" w:rsidR="00DE7819" w:rsidRDefault="00DE7819" w:rsidP="008A5B2A">
      <w:pPr>
        <w:pStyle w:val="Caption"/>
        <w:keepNext/>
        <w:spacing w:before="0" w:after="120"/>
        <w:jc w:val="both"/>
      </w:pPr>
      <w:bookmarkStart w:id="177" w:name="_Ref59701376"/>
      <w:r>
        <w:t xml:space="preserve">Table </w:t>
      </w:r>
      <w:r w:rsidR="00BF3F75">
        <w:fldChar w:fldCharType="begin"/>
      </w:r>
      <w:r w:rsidR="00BF3F75">
        <w:instrText xml:space="preserve"> SEQ Table \* ARABIC </w:instrText>
      </w:r>
      <w:r w:rsidR="00BF3F75">
        <w:fldChar w:fldCharType="separate"/>
      </w:r>
      <w:r w:rsidR="00EC5CC7">
        <w:rPr>
          <w:noProof/>
        </w:rPr>
        <w:t>100</w:t>
      </w:r>
      <w:r w:rsidR="00BF3F75">
        <w:rPr>
          <w:noProof/>
        </w:rPr>
        <w:fldChar w:fldCharType="end"/>
      </w:r>
      <w:bookmarkEnd w:id="177"/>
      <w:r>
        <w:t xml:space="preserve">: </w:t>
      </w:r>
      <w:r w:rsidRPr="00B57E0E">
        <w:t>Results of smoking cessation f</w:t>
      </w:r>
      <w:r w:rsidR="00C623F4">
        <w:t>or</w:t>
      </w:r>
      <w:r w:rsidRPr="00B57E0E">
        <w:t xml:space="preserve"> at least six months follow-up, preloading versus standard use</w:t>
      </w:r>
    </w:p>
    <w:tbl>
      <w:tblPr>
        <w:tblStyle w:val="TableGrid"/>
        <w:tblW w:w="5000" w:type="pct"/>
        <w:tblLook w:val="04A0" w:firstRow="1" w:lastRow="0" w:firstColumn="1" w:lastColumn="0" w:noHBand="0" w:noVBand="1"/>
        <w:tblCaption w:val="Efficacy results of adalimumab trials (PASI 75 and DLQI)"/>
      </w:tblPr>
      <w:tblGrid>
        <w:gridCol w:w="1128"/>
        <w:gridCol w:w="2128"/>
        <w:gridCol w:w="1416"/>
        <w:gridCol w:w="1345"/>
        <w:gridCol w:w="1535"/>
        <w:gridCol w:w="1464"/>
      </w:tblGrid>
      <w:tr w:rsidR="004B4235" w:rsidRPr="00061F78" w14:paraId="5CCB7B2C" w14:textId="77777777" w:rsidTr="001908E2">
        <w:trPr>
          <w:cantSplit/>
          <w:trHeight w:val="299"/>
          <w:tblHeader/>
        </w:trPr>
        <w:tc>
          <w:tcPr>
            <w:tcW w:w="626" w:type="pct"/>
            <w:shd w:val="clear" w:color="auto" w:fill="BFBFBF" w:themeFill="background1" w:themeFillShade="BF"/>
            <w:tcMar>
              <w:left w:w="28" w:type="dxa"/>
              <w:right w:w="28" w:type="dxa"/>
            </w:tcMar>
          </w:tcPr>
          <w:p w14:paraId="0C6D3737" w14:textId="77777777" w:rsidR="003370C1" w:rsidRPr="00061F78" w:rsidRDefault="003370C1" w:rsidP="00A92524">
            <w:pPr>
              <w:pStyle w:val="Tableheading"/>
              <w:rPr>
                <w:rFonts w:eastAsia="MS Mincho"/>
              </w:rPr>
            </w:pPr>
            <w:r>
              <w:rPr>
                <w:rFonts w:eastAsia="MS Mincho"/>
              </w:rPr>
              <w:t>Study</w:t>
            </w:r>
          </w:p>
        </w:tc>
        <w:tc>
          <w:tcPr>
            <w:tcW w:w="1180" w:type="pct"/>
            <w:shd w:val="clear" w:color="auto" w:fill="BFBFBF" w:themeFill="background1" w:themeFillShade="BF"/>
            <w:vAlign w:val="center"/>
          </w:tcPr>
          <w:p w14:paraId="54EBE57D" w14:textId="77777777" w:rsidR="003370C1" w:rsidRDefault="003370C1" w:rsidP="00A92524">
            <w:pPr>
              <w:pStyle w:val="Tableheading"/>
              <w:jc w:val="center"/>
              <w:rPr>
                <w:rFonts w:eastAsia="MS Mincho"/>
              </w:rPr>
            </w:pPr>
            <w:r>
              <w:rPr>
                <w:rFonts w:eastAsia="MS Mincho"/>
              </w:rPr>
              <w:t>Study type</w:t>
            </w:r>
          </w:p>
        </w:tc>
        <w:tc>
          <w:tcPr>
            <w:tcW w:w="785" w:type="pct"/>
            <w:shd w:val="clear" w:color="auto" w:fill="BFBFBF" w:themeFill="background1" w:themeFillShade="BF"/>
            <w:tcMar>
              <w:left w:w="28" w:type="dxa"/>
              <w:right w:w="28" w:type="dxa"/>
            </w:tcMar>
            <w:vAlign w:val="center"/>
          </w:tcPr>
          <w:p w14:paraId="78CFC233" w14:textId="77777777" w:rsidR="003370C1" w:rsidRPr="00061F78" w:rsidRDefault="003370C1" w:rsidP="00A92524">
            <w:pPr>
              <w:pStyle w:val="Tableheading"/>
              <w:jc w:val="center"/>
              <w:rPr>
                <w:rFonts w:eastAsia="MS Mincho"/>
              </w:rPr>
            </w:pPr>
            <w:r>
              <w:rPr>
                <w:rFonts w:eastAsia="MS Mincho"/>
              </w:rPr>
              <w:t>P</w:t>
            </w:r>
            <w:r w:rsidRPr="005D23B3">
              <w:rPr>
                <w:rFonts w:eastAsia="MS Mincho"/>
              </w:rPr>
              <w:t>reloading</w:t>
            </w:r>
          </w:p>
        </w:tc>
        <w:tc>
          <w:tcPr>
            <w:tcW w:w="746" w:type="pct"/>
            <w:shd w:val="clear" w:color="auto" w:fill="BFBFBF" w:themeFill="background1" w:themeFillShade="BF"/>
            <w:tcMar>
              <w:left w:w="28" w:type="dxa"/>
              <w:right w:w="28" w:type="dxa"/>
            </w:tcMar>
            <w:vAlign w:val="center"/>
          </w:tcPr>
          <w:p w14:paraId="555A1DE8" w14:textId="77777777" w:rsidR="003370C1" w:rsidRPr="00061F78" w:rsidRDefault="003370C1" w:rsidP="00A92524">
            <w:pPr>
              <w:pStyle w:val="Tableheading"/>
              <w:jc w:val="center"/>
              <w:rPr>
                <w:rFonts w:eastAsia="MS Mincho"/>
              </w:rPr>
            </w:pPr>
            <w:r>
              <w:rPr>
                <w:rFonts w:eastAsia="MS Mincho"/>
              </w:rPr>
              <w:t>S</w:t>
            </w:r>
            <w:r w:rsidRPr="002B3464">
              <w:rPr>
                <w:rFonts w:eastAsia="MS Mincho"/>
              </w:rPr>
              <w:t>tandard use</w:t>
            </w:r>
          </w:p>
        </w:tc>
        <w:tc>
          <w:tcPr>
            <w:tcW w:w="851" w:type="pct"/>
            <w:shd w:val="clear" w:color="auto" w:fill="BFBFBF" w:themeFill="background1" w:themeFillShade="BF"/>
            <w:tcMar>
              <w:left w:w="28" w:type="dxa"/>
              <w:right w:w="28" w:type="dxa"/>
            </w:tcMar>
            <w:vAlign w:val="center"/>
          </w:tcPr>
          <w:p w14:paraId="7D3A1F06" w14:textId="77777777" w:rsidR="003370C1" w:rsidRPr="002D09A1" w:rsidRDefault="003370C1" w:rsidP="00A92524">
            <w:pPr>
              <w:pStyle w:val="Tableheading"/>
              <w:jc w:val="center"/>
              <w:rPr>
                <w:rFonts w:eastAsia="MS Mincho"/>
                <w:vertAlign w:val="superscript"/>
              </w:rPr>
            </w:pPr>
            <w:r>
              <w:rPr>
                <w:rFonts w:eastAsia="MS Mincho"/>
              </w:rPr>
              <w:t>RR (95% CI)</w:t>
            </w:r>
          </w:p>
        </w:tc>
        <w:tc>
          <w:tcPr>
            <w:tcW w:w="812" w:type="pct"/>
            <w:shd w:val="clear" w:color="auto" w:fill="BFBFBF" w:themeFill="background1" w:themeFillShade="BF"/>
            <w:vAlign w:val="center"/>
          </w:tcPr>
          <w:p w14:paraId="39C52FE7" w14:textId="63AE466E" w:rsidR="003370C1" w:rsidRDefault="003370C1" w:rsidP="00A92524">
            <w:pPr>
              <w:pStyle w:val="Tableheading"/>
              <w:jc w:val="center"/>
              <w:rPr>
                <w:rFonts w:eastAsia="MS Mincho"/>
              </w:rPr>
            </w:pPr>
            <w:r>
              <w:rPr>
                <w:rFonts w:eastAsia="MS Mincho"/>
              </w:rPr>
              <w:t xml:space="preserve">RD (95% </w:t>
            </w:r>
            <w:r w:rsidR="00826C95">
              <w:rPr>
                <w:rFonts w:eastAsia="MS Mincho"/>
              </w:rPr>
              <w:t>CI)</w:t>
            </w:r>
            <w:r w:rsidR="00826C95" w:rsidRPr="0041240E">
              <w:rPr>
                <w:rFonts w:eastAsia="MS Mincho"/>
                <w:vertAlign w:val="superscript"/>
              </w:rPr>
              <w:t xml:space="preserve"> ^</w:t>
            </w:r>
          </w:p>
        </w:tc>
      </w:tr>
      <w:tr w:rsidR="003370C1" w:rsidRPr="00061F78" w14:paraId="2E9DAFF0" w14:textId="77777777" w:rsidTr="00A5263B">
        <w:trPr>
          <w:cantSplit/>
          <w:trHeight w:val="99"/>
        </w:trPr>
        <w:tc>
          <w:tcPr>
            <w:tcW w:w="5000" w:type="pct"/>
            <w:gridSpan w:val="6"/>
            <w:shd w:val="clear" w:color="auto" w:fill="auto"/>
            <w:tcMar>
              <w:left w:w="28" w:type="dxa"/>
              <w:right w:w="28" w:type="dxa"/>
            </w:tcMar>
          </w:tcPr>
          <w:p w14:paraId="0541210D" w14:textId="3903BC8B" w:rsidR="003370C1" w:rsidRPr="00FC0ADE" w:rsidRDefault="003370C1" w:rsidP="00A92524">
            <w:pPr>
              <w:pStyle w:val="Tablewriting"/>
              <w:rPr>
                <w:rFonts w:eastAsia="MS Mincho"/>
                <w:b/>
                <w:bCs/>
                <w:highlight w:val="yellow"/>
              </w:rPr>
            </w:pPr>
            <w:r w:rsidRPr="00FC0ADE">
              <w:rPr>
                <w:rFonts w:eastAsia="MS Mincho"/>
                <w:b/>
                <w:bCs/>
              </w:rPr>
              <w:t xml:space="preserve">Patch </w:t>
            </w:r>
            <w:r w:rsidR="00FC0ADE">
              <w:rPr>
                <w:rFonts w:eastAsia="MS Mincho"/>
                <w:b/>
                <w:bCs/>
              </w:rPr>
              <w:t>subgroup</w:t>
            </w:r>
          </w:p>
        </w:tc>
      </w:tr>
      <w:tr w:rsidR="003370C1" w:rsidRPr="00061F78" w14:paraId="4AB85B6D" w14:textId="77777777" w:rsidTr="001908E2">
        <w:trPr>
          <w:cantSplit/>
          <w:trHeight w:val="99"/>
        </w:trPr>
        <w:tc>
          <w:tcPr>
            <w:tcW w:w="626" w:type="pct"/>
            <w:shd w:val="clear" w:color="auto" w:fill="auto"/>
            <w:tcMar>
              <w:left w:w="28" w:type="dxa"/>
              <w:right w:w="28" w:type="dxa"/>
            </w:tcMar>
            <w:vAlign w:val="center"/>
          </w:tcPr>
          <w:p w14:paraId="72735736" w14:textId="2DE23428" w:rsidR="003370C1" w:rsidRPr="004F4CAF" w:rsidRDefault="00FD5A27" w:rsidP="00A92524">
            <w:pPr>
              <w:pStyle w:val="Tablewriting"/>
              <w:rPr>
                <w:rFonts w:eastAsia="MS Mincho"/>
                <w:highlight w:val="yellow"/>
                <w:vertAlign w:val="superscript"/>
              </w:rPr>
            </w:pPr>
            <w:r>
              <w:rPr>
                <w:rFonts w:eastAsia="MS Mincho"/>
              </w:rPr>
              <w:t>Lindson (2019)</w:t>
            </w:r>
            <w:r w:rsidR="004F4CAF">
              <w:rPr>
                <w:rFonts w:eastAsia="MS Mincho"/>
                <w:vertAlign w:val="superscript"/>
              </w:rPr>
              <w:t>1</w:t>
            </w:r>
          </w:p>
        </w:tc>
        <w:tc>
          <w:tcPr>
            <w:tcW w:w="1180" w:type="pct"/>
            <w:shd w:val="clear" w:color="auto" w:fill="auto"/>
            <w:vAlign w:val="center"/>
          </w:tcPr>
          <w:p w14:paraId="728D9933" w14:textId="77777777" w:rsidR="00FD5A27" w:rsidRDefault="00FD5A27" w:rsidP="00A92524">
            <w:pPr>
              <w:pStyle w:val="Tablewriting"/>
              <w:jc w:val="center"/>
              <w:rPr>
                <w:rFonts w:eastAsia="MS Mincho"/>
              </w:rPr>
            </w:pPr>
            <w:r>
              <w:rPr>
                <w:rFonts w:eastAsia="MS Mincho"/>
              </w:rPr>
              <w:t>Cochrane Review</w:t>
            </w:r>
          </w:p>
          <w:p w14:paraId="4DE5A854" w14:textId="05F3DCFF" w:rsidR="003370C1" w:rsidRPr="00A22F63" w:rsidRDefault="00FD5A27" w:rsidP="00A92524">
            <w:pPr>
              <w:pStyle w:val="Tablewriting"/>
              <w:jc w:val="center"/>
              <w:rPr>
                <w:rFonts w:eastAsia="MS Mincho"/>
              </w:rPr>
            </w:pPr>
            <w:r>
              <w:rPr>
                <w:rFonts w:eastAsia="MS Mincho"/>
              </w:rPr>
              <w:t xml:space="preserve">(8 </w:t>
            </w:r>
            <w:r w:rsidR="003370C1" w:rsidRPr="00A22F63">
              <w:rPr>
                <w:rFonts w:eastAsia="MS Mincho"/>
              </w:rPr>
              <w:t>RCT</w:t>
            </w:r>
            <w:r>
              <w:rPr>
                <w:rFonts w:eastAsia="MS Mincho"/>
              </w:rPr>
              <w:t>s)</w:t>
            </w:r>
          </w:p>
        </w:tc>
        <w:tc>
          <w:tcPr>
            <w:tcW w:w="785" w:type="pct"/>
            <w:shd w:val="clear" w:color="auto" w:fill="auto"/>
            <w:tcMar>
              <w:left w:w="28" w:type="dxa"/>
              <w:right w:w="28" w:type="dxa"/>
            </w:tcMar>
            <w:vAlign w:val="center"/>
          </w:tcPr>
          <w:p w14:paraId="17F33803" w14:textId="77777777" w:rsidR="003370C1" w:rsidRDefault="00AB1378" w:rsidP="00A92524">
            <w:pPr>
              <w:pStyle w:val="Tablewriting"/>
              <w:jc w:val="center"/>
              <w:rPr>
                <w:rFonts w:eastAsia="MS Mincho"/>
              </w:rPr>
            </w:pPr>
            <w:r>
              <w:rPr>
                <w:rFonts w:eastAsia="MS Mincho"/>
              </w:rPr>
              <w:t>337/1,988</w:t>
            </w:r>
          </w:p>
          <w:p w14:paraId="4A61F4EF" w14:textId="2A54DBA5" w:rsidR="003370C1" w:rsidRPr="00571B3B" w:rsidRDefault="00AB1378" w:rsidP="00A92524">
            <w:pPr>
              <w:pStyle w:val="Tablewriting"/>
              <w:jc w:val="center"/>
              <w:rPr>
                <w:rFonts w:eastAsia="MS Mincho"/>
              </w:rPr>
            </w:pPr>
            <w:r>
              <w:rPr>
                <w:rFonts w:eastAsia="MS Mincho"/>
              </w:rPr>
              <w:t>(</w:t>
            </w:r>
            <w:r w:rsidR="0008509E">
              <w:rPr>
                <w:rFonts w:eastAsia="MS Mincho"/>
              </w:rPr>
              <w:t>17</w:t>
            </w:r>
            <w:r>
              <w:rPr>
                <w:rFonts w:eastAsia="MS Mincho"/>
              </w:rPr>
              <w:t>%)</w:t>
            </w:r>
          </w:p>
        </w:tc>
        <w:tc>
          <w:tcPr>
            <w:tcW w:w="746" w:type="pct"/>
            <w:shd w:val="clear" w:color="auto" w:fill="auto"/>
            <w:tcMar>
              <w:left w:w="28" w:type="dxa"/>
              <w:right w:w="28" w:type="dxa"/>
            </w:tcMar>
            <w:vAlign w:val="center"/>
          </w:tcPr>
          <w:p w14:paraId="5772F977" w14:textId="77777777" w:rsidR="003370C1" w:rsidRDefault="00AB1378" w:rsidP="00A92524">
            <w:pPr>
              <w:pStyle w:val="Tablewriting"/>
              <w:jc w:val="center"/>
              <w:rPr>
                <w:rFonts w:eastAsia="MS Mincho"/>
              </w:rPr>
            </w:pPr>
            <w:r>
              <w:rPr>
                <w:rFonts w:eastAsia="MS Mincho"/>
              </w:rPr>
              <w:t>235/1,842</w:t>
            </w:r>
          </w:p>
          <w:p w14:paraId="7A6A126D" w14:textId="0C0D63C2" w:rsidR="003370C1" w:rsidRPr="00571B3B" w:rsidRDefault="00AB1378" w:rsidP="00A92524">
            <w:pPr>
              <w:pStyle w:val="Tablewriting"/>
              <w:jc w:val="center"/>
              <w:rPr>
                <w:rFonts w:eastAsia="MS Mincho"/>
              </w:rPr>
            </w:pPr>
            <w:r>
              <w:rPr>
                <w:rFonts w:eastAsia="MS Mincho"/>
              </w:rPr>
              <w:t>(</w:t>
            </w:r>
            <w:r w:rsidR="0008509E">
              <w:rPr>
                <w:rFonts w:eastAsia="MS Mincho"/>
              </w:rPr>
              <w:t>12.8</w:t>
            </w:r>
            <w:r>
              <w:rPr>
                <w:rFonts w:eastAsia="MS Mincho"/>
              </w:rPr>
              <w:t>%)</w:t>
            </w:r>
          </w:p>
        </w:tc>
        <w:tc>
          <w:tcPr>
            <w:tcW w:w="851" w:type="pct"/>
            <w:shd w:val="clear" w:color="auto" w:fill="auto"/>
            <w:tcMar>
              <w:left w:w="28" w:type="dxa"/>
              <w:right w:w="28" w:type="dxa"/>
            </w:tcMar>
            <w:vAlign w:val="center"/>
          </w:tcPr>
          <w:p w14:paraId="7C4F6362" w14:textId="77777777" w:rsidR="00FD5A27" w:rsidRDefault="00FD5A27" w:rsidP="00A92524">
            <w:pPr>
              <w:pStyle w:val="Tablewriting"/>
              <w:jc w:val="center"/>
              <w:rPr>
                <w:rFonts w:eastAsia="MS Mincho"/>
                <w:b/>
                <w:bCs/>
              </w:rPr>
            </w:pPr>
            <w:r w:rsidRPr="000175FC">
              <w:rPr>
                <w:rFonts w:eastAsia="MS Mincho"/>
                <w:b/>
                <w:bCs/>
              </w:rPr>
              <w:t xml:space="preserve">1.28 </w:t>
            </w:r>
          </w:p>
          <w:p w14:paraId="274BEC85" w14:textId="0CA490DA" w:rsidR="003370C1" w:rsidRPr="000175FC" w:rsidRDefault="00FD5A27" w:rsidP="00A92524">
            <w:pPr>
              <w:pStyle w:val="Tablewriting"/>
              <w:jc w:val="center"/>
              <w:rPr>
                <w:rFonts w:eastAsia="MS Mincho"/>
              </w:rPr>
            </w:pPr>
            <w:r w:rsidRPr="000175FC">
              <w:rPr>
                <w:rFonts w:eastAsia="MS Mincho"/>
                <w:b/>
                <w:bCs/>
              </w:rPr>
              <w:t>(1.09, 1.49)</w:t>
            </w:r>
          </w:p>
        </w:tc>
        <w:tc>
          <w:tcPr>
            <w:tcW w:w="812" w:type="pct"/>
            <w:shd w:val="clear" w:color="auto" w:fill="auto"/>
            <w:vAlign w:val="center"/>
          </w:tcPr>
          <w:p w14:paraId="26BD642A" w14:textId="6FF49E46" w:rsidR="003370C1" w:rsidRPr="005D18BC" w:rsidRDefault="008F5557" w:rsidP="00A92524">
            <w:pPr>
              <w:pStyle w:val="Tablewriting"/>
              <w:jc w:val="center"/>
              <w:rPr>
                <w:rFonts w:eastAsia="MS Mincho"/>
                <w:highlight w:val="yellow"/>
              </w:rPr>
            </w:pPr>
            <w:r w:rsidRPr="004F4CAF">
              <w:rPr>
                <w:rFonts w:eastAsia="MS Mincho"/>
              </w:rPr>
              <w:t>NR</w:t>
            </w:r>
          </w:p>
        </w:tc>
      </w:tr>
      <w:tr w:rsidR="008F5557" w:rsidRPr="00061F78" w14:paraId="3C91693C" w14:textId="77777777" w:rsidTr="001908E2">
        <w:trPr>
          <w:cantSplit/>
          <w:trHeight w:val="99"/>
        </w:trPr>
        <w:tc>
          <w:tcPr>
            <w:tcW w:w="626" w:type="pct"/>
            <w:shd w:val="clear" w:color="auto" w:fill="auto"/>
            <w:tcMar>
              <w:left w:w="28" w:type="dxa"/>
              <w:right w:w="28" w:type="dxa"/>
            </w:tcMar>
            <w:vAlign w:val="center"/>
          </w:tcPr>
          <w:p w14:paraId="7EBE632D" w14:textId="77777777" w:rsidR="00264FAB" w:rsidRDefault="001908E2" w:rsidP="00A92524">
            <w:pPr>
              <w:pStyle w:val="Tablewriting"/>
            </w:pPr>
            <w:r>
              <w:t xml:space="preserve">Updated </w:t>
            </w:r>
          </w:p>
          <w:p w14:paraId="66F6F168" w14:textId="1DCDE45C" w:rsidR="008F5557" w:rsidRPr="00B8568D" w:rsidRDefault="001908E2" w:rsidP="00A92524">
            <w:pPr>
              <w:pStyle w:val="Tablewriting"/>
              <w:rPr>
                <w:rFonts w:eastAsia="MS Mincho"/>
                <w:vertAlign w:val="superscript"/>
              </w:rPr>
            </w:pPr>
            <w:r>
              <w:t>re-analysis</w:t>
            </w:r>
            <w:r w:rsidR="00B8568D">
              <w:rPr>
                <w:vertAlign w:val="superscript"/>
              </w:rPr>
              <w:t>2</w:t>
            </w:r>
          </w:p>
        </w:tc>
        <w:tc>
          <w:tcPr>
            <w:tcW w:w="1180" w:type="pct"/>
            <w:shd w:val="clear" w:color="auto" w:fill="auto"/>
            <w:vAlign w:val="center"/>
          </w:tcPr>
          <w:p w14:paraId="2A98089C" w14:textId="26B4FAC1" w:rsidR="008F5557" w:rsidRDefault="001908E2" w:rsidP="00A92524">
            <w:pPr>
              <w:pStyle w:val="Tablewriting"/>
              <w:jc w:val="center"/>
              <w:rPr>
                <w:rFonts w:eastAsia="MS Mincho"/>
              </w:rPr>
            </w:pPr>
            <w:r>
              <w:rPr>
                <w:rFonts w:eastAsia="MS Mincho"/>
              </w:rPr>
              <w:t>Lindson 2019 (8 RCTs) and Dedert 2018</w:t>
            </w:r>
          </w:p>
        </w:tc>
        <w:tc>
          <w:tcPr>
            <w:tcW w:w="785" w:type="pct"/>
            <w:shd w:val="clear" w:color="auto" w:fill="auto"/>
            <w:tcMar>
              <w:left w:w="28" w:type="dxa"/>
              <w:right w:w="28" w:type="dxa"/>
            </w:tcMar>
            <w:vAlign w:val="center"/>
          </w:tcPr>
          <w:p w14:paraId="0C323ADF" w14:textId="6BC73E24" w:rsidR="008F5557" w:rsidRDefault="006312EE" w:rsidP="00A92524">
            <w:pPr>
              <w:pStyle w:val="Tablewriting"/>
              <w:jc w:val="center"/>
              <w:rPr>
                <w:rFonts w:eastAsia="MS Mincho"/>
              </w:rPr>
            </w:pPr>
            <w:r>
              <w:rPr>
                <w:rFonts w:eastAsia="MS Mincho"/>
              </w:rPr>
              <w:t>343/2,025</w:t>
            </w:r>
          </w:p>
          <w:p w14:paraId="258F1CBE" w14:textId="16BB2202" w:rsidR="008F5557" w:rsidRPr="00571B3B" w:rsidRDefault="001908E2" w:rsidP="00A92524">
            <w:pPr>
              <w:pStyle w:val="Tablewriting"/>
              <w:jc w:val="center"/>
              <w:rPr>
                <w:rFonts w:eastAsia="MS Mincho"/>
              </w:rPr>
            </w:pPr>
            <w:r>
              <w:rPr>
                <w:rFonts w:eastAsia="MS Mincho"/>
              </w:rPr>
              <w:t>(</w:t>
            </w:r>
            <w:r w:rsidR="0008509E">
              <w:rPr>
                <w:rFonts w:eastAsia="MS Mincho"/>
              </w:rPr>
              <w:t>16.9</w:t>
            </w:r>
            <w:r>
              <w:rPr>
                <w:rFonts w:eastAsia="MS Mincho"/>
              </w:rPr>
              <w:t>%)</w:t>
            </w:r>
          </w:p>
        </w:tc>
        <w:tc>
          <w:tcPr>
            <w:tcW w:w="746" w:type="pct"/>
            <w:shd w:val="clear" w:color="auto" w:fill="auto"/>
            <w:tcMar>
              <w:left w:w="28" w:type="dxa"/>
              <w:right w:w="28" w:type="dxa"/>
            </w:tcMar>
            <w:vAlign w:val="center"/>
          </w:tcPr>
          <w:p w14:paraId="381988EC" w14:textId="4A809E5C" w:rsidR="006312EE" w:rsidRDefault="006312EE" w:rsidP="00A92524">
            <w:pPr>
              <w:pStyle w:val="Tablewriting"/>
              <w:jc w:val="center"/>
              <w:rPr>
                <w:rFonts w:eastAsia="MS Mincho"/>
              </w:rPr>
            </w:pPr>
            <w:r>
              <w:rPr>
                <w:rFonts w:eastAsia="MS Mincho"/>
              </w:rPr>
              <w:t>236/1,886</w:t>
            </w:r>
          </w:p>
          <w:p w14:paraId="7E4E7737" w14:textId="2E2C93B6" w:rsidR="008F5557" w:rsidRPr="00571B3B" w:rsidRDefault="001908E2" w:rsidP="00A92524">
            <w:pPr>
              <w:pStyle w:val="Tablewriting"/>
              <w:jc w:val="center"/>
              <w:rPr>
                <w:rFonts w:eastAsia="MS Mincho"/>
              </w:rPr>
            </w:pPr>
            <w:r>
              <w:rPr>
                <w:rFonts w:eastAsia="MS Mincho"/>
              </w:rPr>
              <w:t>(</w:t>
            </w:r>
            <w:r w:rsidR="00CB232C">
              <w:rPr>
                <w:rFonts w:eastAsia="MS Mincho"/>
              </w:rPr>
              <w:t>12.5</w:t>
            </w:r>
            <w:r>
              <w:rPr>
                <w:rFonts w:eastAsia="MS Mincho"/>
              </w:rPr>
              <w:t>%)</w:t>
            </w:r>
          </w:p>
        </w:tc>
        <w:tc>
          <w:tcPr>
            <w:tcW w:w="851" w:type="pct"/>
            <w:shd w:val="clear" w:color="auto" w:fill="auto"/>
            <w:tcMar>
              <w:left w:w="28" w:type="dxa"/>
              <w:right w:w="28" w:type="dxa"/>
            </w:tcMar>
            <w:vAlign w:val="center"/>
          </w:tcPr>
          <w:p w14:paraId="0D2300B9" w14:textId="77777777" w:rsidR="001908E2" w:rsidRDefault="006312EE" w:rsidP="00A92524">
            <w:pPr>
              <w:pStyle w:val="Tablewriting"/>
              <w:jc w:val="center"/>
              <w:rPr>
                <w:rFonts w:eastAsia="MS Mincho"/>
                <w:b/>
                <w:bCs/>
              </w:rPr>
            </w:pPr>
            <w:r>
              <w:rPr>
                <w:rFonts w:eastAsia="MS Mincho"/>
                <w:b/>
                <w:bCs/>
              </w:rPr>
              <w:t>1.32</w:t>
            </w:r>
          </w:p>
          <w:p w14:paraId="23408326" w14:textId="0A22560A" w:rsidR="008F5557" w:rsidRPr="000175FC" w:rsidRDefault="006312EE" w:rsidP="00A92524">
            <w:pPr>
              <w:pStyle w:val="Tablewriting"/>
              <w:jc w:val="center"/>
              <w:rPr>
                <w:rFonts w:eastAsia="MS Mincho"/>
                <w:b/>
                <w:bCs/>
              </w:rPr>
            </w:pPr>
            <w:r>
              <w:rPr>
                <w:rFonts w:eastAsia="MS Mincho"/>
                <w:b/>
                <w:bCs/>
              </w:rPr>
              <w:t>(1.09, 1.58)</w:t>
            </w:r>
          </w:p>
        </w:tc>
        <w:tc>
          <w:tcPr>
            <w:tcW w:w="812" w:type="pct"/>
            <w:shd w:val="clear" w:color="auto" w:fill="auto"/>
            <w:vAlign w:val="center"/>
          </w:tcPr>
          <w:p w14:paraId="12DFF048" w14:textId="77777777" w:rsidR="001908E2" w:rsidRPr="00C410FF" w:rsidRDefault="00C410FF" w:rsidP="00A92524">
            <w:pPr>
              <w:pStyle w:val="Tablewriting"/>
              <w:jc w:val="center"/>
              <w:rPr>
                <w:rFonts w:eastAsia="MS Mincho"/>
                <w:b/>
                <w:bCs/>
              </w:rPr>
            </w:pPr>
            <w:r w:rsidRPr="00C410FF">
              <w:rPr>
                <w:rFonts w:eastAsia="MS Mincho"/>
                <w:b/>
                <w:bCs/>
              </w:rPr>
              <w:t>0.04</w:t>
            </w:r>
          </w:p>
          <w:p w14:paraId="7CF4208B" w14:textId="1516D49F" w:rsidR="008F5557" w:rsidRPr="005D18BC" w:rsidRDefault="00C410FF" w:rsidP="00A92524">
            <w:pPr>
              <w:pStyle w:val="Tablewriting"/>
              <w:jc w:val="center"/>
              <w:rPr>
                <w:rFonts w:eastAsia="MS Mincho"/>
                <w:highlight w:val="yellow"/>
              </w:rPr>
            </w:pPr>
            <w:r w:rsidRPr="00C410FF">
              <w:rPr>
                <w:rFonts w:eastAsia="MS Mincho"/>
                <w:b/>
                <w:bCs/>
              </w:rPr>
              <w:t>(0.01, 0.05)</w:t>
            </w:r>
          </w:p>
        </w:tc>
      </w:tr>
      <w:tr w:rsidR="003370C1" w:rsidRPr="00061F78" w14:paraId="47C9A7B2" w14:textId="77777777" w:rsidTr="00A5263B">
        <w:trPr>
          <w:cantSplit/>
          <w:trHeight w:val="99"/>
        </w:trPr>
        <w:tc>
          <w:tcPr>
            <w:tcW w:w="5000" w:type="pct"/>
            <w:gridSpan w:val="6"/>
            <w:shd w:val="clear" w:color="auto" w:fill="auto"/>
            <w:tcMar>
              <w:left w:w="28" w:type="dxa"/>
              <w:right w:w="28" w:type="dxa"/>
            </w:tcMar>
            <w:vAlign w:val="center"/>
          </w:tcPr>
          <w:p w14:paraId="7EB02D60" w14:textId="74931D61" w:rsidR="003370C1" w:rsidRPr="00FC0ADE" w:rsidRDefault="003370C1" w:rsidP="00A92524">
            <w:pPr>
              <w:pStyle w:val="Tablewriting"/>
              <w:rPr>
                <w:rFonts w:eastAsia="MS Mincho"/>
                <w:b/>
                <w:bCs/>
                <w:highlight w:val="yellow"/>
              </w:rPr>
            </w:pPr>
            <w:r w:rsidRPr="00FC0ADE">
              <w:rPr>
                <w:rFonts w:eastAsia="MS Mincho"/>
                <w:b/>
                <w:bCs/>
              </w:rPr>
              <w:t xml:space="preserve">Gum </w:t>
            </w:r>
            <w:r w:rsidR="00FC0ADE">
              <w:rPr>
                <w:rFonts w:eastAsia="MS Mincho"/>
                <w:b/>
                <w:bCs/>
              </w:rPr>
              <w:t>subgroup</w:t>
            </w:r>
          </w:p>
        </w:tc>
      </w:tr>
      <w:tr w:rsidR="003370C1" w:rsidRPr="00061F78" w14:paraId="47B405FE" w14:textId="77777777" w:rsidTr="001908E2">
        <w:trPr>
          <w:cantSplit/>
          <w:trHeight w:val="99"/>
        </w:trPr>
        <w:tc>
          <w:tcPr>
            <w:tcW w:w="626" w:type="pct"/>
            <w:shd w:val="clear" w:color="auto" w:fill="auto"/>
            <w:tcMar>
              <w:left w:w="28" w:type="dxa"/>
              <w:right w:w="28" w:type="dxa"/>
            </w:tcMar>
            <w:vAlign w:val="center"/>
          </w:tcPr>
          <w:p w14:paraId="1E334031" w14:textId="438E37EB" w:rsidR="003370C1" w:rsidRPr="00B8568D" w:rsidRDefault="00FD5A27" w:rsidP="00A92524">
            <w:pPr>
              <w:pStyle w:val="Tablewriting"/>
              <w:rPr>
                <w:rFonts w:eastAsia="MS Mincho"/>
                <w:highlight w:val="yellow"/>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14:paraId="2322B623" w14:textId="77777777" w:rsidR="00FD5A27" w:rsidRDefault="00FD5A27" w:rsidP="00A92524">
            <w:pPr>
              <w:pStyle w:val="Tablewriting"/>
              <w:jc w:val="center"/>
              <w:rPr>
                <w:rFonts w:eastAsia="MS Mincho"/>
              </w:rPr>
            </w:pPr>
            <w:r>
              <w:rPr>
                <w:rFonts w:eastAsia="MS Mincho"/>
              </w:rPr>
              <w:t>Cochrane Review</w:t>
            </w:r>
          </w:p>
          <w:p w14:paraId="2F325A30" w14:textId="1E0F1676" w:rsidR="003370C1" w:rsidRPr="00A22F63" w:rsidRDefault="00FD5A27" w:rsidP="00A92524">
            <w:pPr>
              <w:pStyle w:val="Tablewriting"/>
              <w:jc w:val="center"/>
              <w:rPr>
                <w:rFonts w:eastAsia="MS Mincho"/>
              </w:rPr>
            </w:pP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14:paraId="28583EEA" w14:textId="7F9B54F1" w:rsidR="00FD5A27" w:rsidRDefault="00AB1378" w:rsidP="00A92524">
            <w:pPr>
              <w:pStyle w:val="Tablewriting"/>
              <w:jc w:val="center"/>
              <w:rPr>
                <w:rFonts w:eastAsia="MS Mincho"/>
              </w:rPr>
            </w:pPr>
            <w:r>
              <w:rPr>
                <w:rFonts w:eastAsia="MS Mincho"/>
              </w:rPr>
              <w:t>50/199</w:t>
            </w:r>
          </w:p>
          <w:p w14:paraId="4B9A62DD" w14:textId="12F76FE6" w:rsidR="003370C1" w:rsidRPr="00571B3B" w:rsidRDefault="00AB1378" w:rsidP="00A92524">
            <w:pPr>
              <w:pStyle w:val="Tablewriting"/>
              <w:jc w:val="center"/>
              <w:rPr>
                <w:rFonts w:eastAsia="MS Mincho"/>
              </w:rPr>
            </w:pPr>
            <w:r>
              <w:rPr>
                <w:rFonts w:eastAsia="MS Mincho"/>
              </w:rPr>
              <w:t>(</w:t>
            </w:r>
            <w:r w:rsidR="00CB232C">
              <w:rPr>
                <w:rFonts w:eastAsia="MS Mincho"/>
              </w:rPr>
              <w:t>25.1</w:t>
            </w:r>
            <w:r>
              <w:rPr>
                <w:rFonts w:eastAsia="MS Mincho"/>
              </w:rPr>
              <w:t>%)</w:t>
            </w:r>
          </w:p>
        </w:tc>
        <w:tc>
          <w:tcPr>
            <w:tcW w:w="746" w:type="pct"/>
            <w:shd w:val="clear" w:color="auto" w:fill="auto"/>
            <w:tcMar>
              <w:left w:w="28" w:type="dxa"/>
              <w:right w:w="28" w:type="dxa"/>
            </w:tcMar>
            <w:vAlign w:val="center"/>
          </w:tcPr>
          <w:p w14:paraId="12FC3315" w14:textId="77777777" w:rsidR="00FD5A27" w:rsidRDefault="00AB1378" w:rsidP="00A92524">
            <w:pPr>
              <w:pStyle w:val="Tablewriting"/>
              <w:jc w:val="center"/>
              <w:rPr>
                <w:rFonts w:eastAsia="MS Mincho"/>
              </w:rPr>
            </w:pPr>
            <w:r>
              <w:rPr>
                <w:rFonts w:eastAsia="MS Mincho"/>
              </w:rPr>
              <w:t>26/107</w:t>
            </w:r>
          </w:p>
          <w:p w14:paraId="4014BF18" w14:textId="78CEB917" w:rsidR="003370C1" w:rsidRPr="00571B3B" w:rsidRDefault="00AB1378" w:rsidP="00A92524">
            <w:pPr>
              <w:pStyle w:val="Tablewriting"/>
              <w:jc w:val="center"/>
              <w:rPr>
                <w:rFonts w:eastAsia="MS Mincho"/>
              </w:rPr>
            </w:pPr>
            <w:r>
              <w:rPr>
                <w:rFonts w:eastAsia="MS Mincho"/>
              </w:rPr>
              <w:t>(</w:t>
            </w:r>
            <w:r w:rsidR="00CB232C">
              <w:rPr>
                <w:rFonts w:eastAsia="MS Mincho"/>
              </w:rPr>
              <w:t>24.3</w:t>
            </w:r>
            <w:r>
              <w:rPr>
                <w:rFonts w:eastAsia="MS Mincho"/>
              </w:rPr>
              <w:t>%)</w:t>
            </w:r>
          </w:p>
        </w:tc>
        <w:tc>
          <w:tcPr>
            <w:tcW w:w="851" w:type="pct"/>
            <w:shd w:val="clear" w:color="auto" w:fill="auto"/>
            <w:tcMar>
              <w:left w:w="28" w:type="dxa"/>
              <w:right w:w="28" w:type="dxa"/>
            </w:tcMar>
            <w:vAlign w:val="center"/>
          </w:tcPr>
          <w:p w14:paraId="58B0D807" w14:textId="77777777" w:rsidR="003370C1" w:rsidRDefault="003370C1" w:rsidP="00A92524">
            <w:pPr>
              <w:pStyle w:val="Tablewriting"/>
              <w:jc w:val="center"/>
              <w:rPr>
                <w:rFonts w:eastAsia="MS Mincho"/>
              </w:rPr>
            </w:pPr>
            <w:r w:rsidRPr="00390E4C">
              <w:rPr>
                <w:rFonts w:eastAsia="MS Mincho"/>
              </w:rPr>
              <w:t>0.</w:t>
            </w:r>
            <w:r w:rsidR="00FD5A27" w:rsidRPr="00390E4C">
              <w:rPr>
                <w:rFonts w:eastAsia="MS Mincho"/>
              </w:rPr>
              <w:t>93</w:t>
            </w:r>
            <w:r w:rsidRPr="00390E4C">
              <w:rPr>
                <w:rFonts w:eastAsia="MS Mincho"/>
              </w:rPr>
              <w:t xml:space="preserve"> </w:t>
            </w:r>
          </w:p>
          <w:p w14:paraId="01F030A9" w14:textId="135C6AF9" w:rsidR="003370C1" w:rsidRPr="00390E4C" w:rsidRDefault="003370C1" w:rsidP="00A92524">
            <w:pPr>
              <w:pStyle w:val="Tablewriting"/>
              <w:jc w:val="center"/>
              <w:rPr>
                <w:rFonts w:eastAsia="MS Mincho"/>
              </w:rPr>
            </w:pPr>
            <w:r w:rsidRPr="00390E4C">
              <w:rPr>
                <w:rFonts w:eastAsia="MS Mincho"/>
              </w:rPr>
              <w:t>(0.</w:t>
            </w:r>
            <w:r w:rsidR="00FD5A27" w:rsidRPr="00390E4C">
              <w:rPr>
                <w:rFonts w:eastAsia="MS Mincho"/>
              </w:rPr>
              <w:t>58</w:t>
            </w:r>
            <w:r w:rsidRPr="00390E4C">
              <w:rPr>
                <w:rFonts w:eastAsia="MS Mincho"/>
              </w:rPr>
              <w:t>, 1.</w:t>
            </w:r>
            <w:r w:rsidR="00FD5A27" w:rsidRPr="00390E4C">
              <w:rPr>
                <w:rFonts w:eastAsia="MS Mincho"/>
              </w:rPr>
              <w:t>49</w:t>
            </w:r>
            <w:r w:rsidRPr="00390E4C">
              <w:rPr>
                <w:rFonts w:eastAsia="MS Mincho"/>
              </w:rPr>
              <w:t>)</w:t>
            </w:r>
          </w:p>
        </w:tc>
        <w:tc>
          <w:tcPr>
            <w:tcW w:w="812" w:type="pct"/>
            <w:shd w:val="clear" w:color="auto" w:fill="auto"/>
            <w:vAlign w:val="center"/>
          </w:tcPr>
          <w:p w14:paraId="768782DB" w14:textId="19D5972C" w:rsidR="003370C1" w:rsidRPr="005D18BC" w:rsidRDefault="008F5557" w:rsidP="00A92524">
            <w:pPr>
              <w:pStyle w:val="Tablewriting"/>
              <w:jc w:val="center"/>
              <w:rPr>
                <w:rFonts w:eastAsia="MS Mincho"/>
                <w:highlight w:val="yellow"/>
              </w:rPr>
            </w:pPr>
            <w:r w:rsidRPr="004F4CAF">
              <w:rPr>
                <w:rFonts w:eastAsia="MS Mincho"/>
              </w:rPr>
              <w:t>NR</w:t>
            </w:r>
          </w:p>
        </w:tc>
      </w:tr>
      <w:tr w:rsidR="003370C1" w:rsidRPr="00061F78" w14:paraId="1762420A" w14:textId="77777777" w:rsidTr="00A5263B">
        <w:trPr>
          <w:cantSplit/>
          <w:trHeight w:val="99"/>
        </w:trPr>
        <w:tc>
          <w:tcPr>
            <w:tcW w:w="5000" w:type="pct"/>
            <w:gridSpan w:val="6"/>
            <w:shd w:val="clear" w:color="auto" w:fill="auto"/>
            <w:tcMar>
              <w:left w:w="28" w:type="dxa"/>
              <w:right w:w="28" w:type="dxa"/>
            </w:tcMar>
            <w:vAlign w:val="center"/>
          </w:tcPr>
          <w:p w14:paraId="690C493B" w14:textId="38230584" w:rsidR="003370C1" w:rsidRPr="00FC0ADE" w:rsidRDefault="003370C1" w:rsidP="00A92524">
            <w:pPr>
              <w:pStyle w:val="Tablewriting"/>
              <w:rPr>
                <w:rFonts w:eastAsia="MS Mincho"/>
                <w:b/>
                <w:bCs/>
                <w:highlight w:val="yellow"/>
              </w:rPr>
            </w:pPr>
            <w:r w:rsidRPr="00FC0ADE">
              <w:rPr>
                <w:rFonts w:eastAsia="MS Mincho"/>
                <w:b/>
                <w:bCs/>
              </w:rPr>
              <w:t xml:space="preserve">Patch + gum </w:t>
            </w:r>
            <w:r w:rsidR="00FC0ADE">
              <w:rPr>
                <w:rFonts w:eastAsia="MS Mincho"/>
                <w:b/>
                <w:bCs/>
              </w:rPr>
              <w:t>subgroup</w:t>
            </w:r>
          </w:p>
        </w:tc>
      </w:tr>
      <w:tr w:rsidR="003370C1" w:rsidRPr="00061F78" w14:paraId="7B7D9582" w14:textId="77777777" w:rsidTr="001908E2">
        <w:trPr>
          <w:cantSplit/>
          <w:trHeight w:val="99"/>
        </w:trPr>
        <w:tc>
          <w:tcPr>
            <w:tcW w:w="626" w:type="pct"/>
            <w:shd w:val="clear" w:color="auto" w:fill="auto"/>
            <w:tcMar>
              <w:left w:w="28" w:type="dxa"/>
              <w:right w:w="28" w:type="dxa"/>
            </w:tcMar>
            <w:vAlign w:val="center"/>
          </w:tcPr>
          <w:p w14:paraId="2F8C38CC" w14:textId="42040192" w:rsidR="003370C1" w:rsidRPr="00B8568D" w:rsidRDefault="00FD5A27" w:rsidP="00A92524">
            <w:pPr>
              <w:pStyle w:val="Tablewriting"/>
              <w:rPr>
                <w:rFonts w:eastAsia="MS Mincho"/>
                <w:highlight w:val="yellow"/>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14:paraId="05254CF9" w14:textId="77777777" w:rsidR="00FD5A27" w:rsidRDefault="00FD5A27" w:rsidP="00A92524">
            <w:pPr>
              <w:pStyle w:val="Tablewriting"/>
              <w:jc w:val="center"/>
              <w:rPr>
                <w:rFonts w:eastAsia="MS Mincho"/>
              </w:rPr>
            </w:pPr>
            <w:r>
              <w:rPr>
                <w:rFonts w:eastAsia="MS Mincho"/>
              </w:rPr>
              <w:t>Cochrane Review</w:t>
            </w:r>
          </w:p>
          <w:p w14:paraId="316BC8AC" w14:textId="03068D94" w:rsidR="003370C1" w:rsidRPr="00A22F63" w:rsidRDefault="00FD5A27" w:rsidP="00A92524">
            <w:pPr>
              <w:pStyle w:val="Tablewriting"/>
              <w:jc w:val="center"/>
              <w:rPr>
                <w:rFonts w:eastAsia="MS Mincho"/>
              </w:rPr>
            </w:pP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14:paraId="2A713C80" w14:textId="77777777" w:rsidR="00FD5A27" w:rsidRDefault="00D147C2" w:rsidP="00A92524">
            <w:pPr>
              <w:pStyle w:val="Tablewriting"/>
              <w:jc w:val="center"/>
              <w:rPr>
                <w:rFonts w:eastAsia="MS Mincho"/>
              </w:rPr>
            </w:pPr>
            <w:r>
              <w:rPr>
                <w:rFonts w:eastAsia="MS Mincho"/>
              </w:rPr>
              <w:t>59/191</w:t>
            </w:r>
          </w:p>
          <w:p w14:paraId="47BCDCC7" w14:textId="101B1172" w:rsidR="003370C1" w:rsidRPr="00571B3B" w:rsidRDefault="00D147C2" w:rsidP="00A92524">
            <w:pPr>
              <w:pStyle w:val="Tablewriting"/>
              <w:jc w:val="center"/>
              <w:rPr>
                <w:rFonts w:eastAsia="MS Mincho"/>
              </w:rPr>
            </w:pPr>
            <w:r>
              <w:rPr>
                <w:rFonts w:eastAsia="MS Mincho"/>
              </w:rPr>
              <w:t>(</w:t>
            </w:r>
            <w:r w:rsidR="00CB232C">
              <w:rPr>
                <w:rFonts w:eastAsia="MS Mincho"/>
              </w:rPr>
              <w:t>30.9</w:t>
            </w:r>
            <w:r>
              <w:rPr>
                <w:rFonts w:eastAsia="MS Mincho"/>
              </w:rPr>
              <w:t>%)</w:t>
            </w:r>
          </w:p>
        </w:tc>
        <w:tc>
          <w:tcPr>
            <w:tcW w:w="746" w:type="pct"/>
            <w:shd w:val="clear" w:color="auto" w:fill="auto"/>
            <w:tcMar>
              <w:left w:w="28" w:type="dxa"/>
              <w:right w:w="28" w:type="dxa"/>
            </w:tcMar>
            <w:vAlign w:val="center"/>
          </w:tcPr>
          <w:p w14:paraId="58F80A1A" w14:textId="77777777" w:rsidR="00FD5A27" w:rsidRDefault="00D147C2" w:rsidP="00A92524">
            <w:pPr>
              <w:pStyle w:val="Tablewriting"/>
              <w:jc w:val="center"/>
              <w:rPr>
                <w:rFonts w:eastAsia="MS Mincho"/>
              </w:rPr>
            </w:pPr>
            <w:r>
              <w:rPr>
                <w:rFonts w:eastAsia="MS Mincho"/>
              </w:rPr>
              <w:t>14/68</w:t>
            </w:r>
          </w:p>
          <w:p w14:paraId="369B0D55" w14:textId="3C3BAC43" w:rsidR="003370C1" w:rsidRPr="00571B3B" w:rsidRDefault="00D147C2" w:rsidP="00A92524">
            <w:pPr>
              <w:pStyle w:val="Tablewriting"/>
              <w:jc w:val="center"/>
              <w:rPr>
                <w:rFonts w:eastAsia="MS Mincho"/>
              </w:rPr>
            </w:pPr>
            <w:r>
              <w:rPr>
                <w:rFonts w:eastAsia="MS Mincho"/>
              </w:rPr>
              <w:t>(</w:t>
            </w:r>
            <w:r w:rsidR="00CB232C">
              <w:rPr>
                <w:rFonts w:eastAsia="MS Mincho"/>
              </w:rPr>
              <w:t>20.6</w:t>
            </w:r>
            <w:r>
              <w:rPr>
                <w:rFonts w:eastAsia="MS Mincho"/>
              </w:rPr>
              <w:t>%)</w:t>
            </w:r>
          </w:p>
        </w:tc>
        <w:tc>
          <w:tcPr>
            <w:tcW w:w="851" w:type="pct"/>
            <w:shd w:val="clear" w:color="auto" w:fill="auto"/>
            <w:tcMar>
              <w:left w:w="28" w:type="dxa"/>
              <w:right w:w="28" w:type="dxa"/>
            </w:tcMar>
            <w:vAlign w:val="center"/>
          </w:tcPr>
          <w:p w14:paraId="63789C0B" w14:textId="77777777" w:rsidR="003370C1" w:rsidRDefault="003370C1" w:rsidP="00A92524">
            <w:pPr>
              <w:pStyle w:val="Tablewriting"/>
              <w:jc w:val="center"/>
              <w:rPr>
                <w:rFonts w:eastAsia="MS Mincho"/>
              </w:rPr>
            </w:pPr>
            <w:r w:rsidRPr="00164377">
              <w:rPr>
                <w:rFonts w:eastAsia="MS Mincho"/>
              </w:rPr>
              <w:t>1.</w:t>
            </w:r>
            <w:r w:rsidR="00FD5A27" w:rsidRPr="00164377">
              <w:rPr>
                <w:rFonts w:eastAsia="MS Mincho"/>
              </w:rPr>
              <w:t>35</w:t>
            </w:r>
            <w:r w:rsidRPr="00164377">
              <w:rPr>
                <w:rFonts w:eastAsia="MS Mincho"/>
              </w:rPr>
              <w:t xml:space="preserve"> </w:t>
            </w:r>
          </w:p>
          <w:p w14:paraId="49E8E4B5" w14:textId="25074A42" w:rsidR="003370C1" w:rsidRPr="00164377" w:rsidRDefault="003370C1" w:rsidP="00A92524">
            <w:pPr>
              <w:pStyle w:val="Tablewriting"/>
              <w:jc w:val="center"/>
              <w:rPr>
                <w:rFonts w:eastAsia="MS Mincho"/>
              </w:rPr>
            </w:pPr>
            <w:r w:rsidRPr="00164377">
              <w:rPr>
                <w:rFonts w:eastAsia="MS Mincho"/>
              </w:rPr>
              <w:t>(0.</w:t>
            </w:r>
            <w:r w:rsidR="00FD5A27" w:rsidRPr="00164377">
              <w:rPr>
                <w:rFonts w:eastAsia="MS Mincho"/>
              </w:rPr>
              <w:t>8, 2.28)</w:t>
            </w:r>
          </w:p>
        </w:tc>
        <w:tc>
          <w:tcPr>
            <w:tcW w:w="812" w:type="pct"/>
            <w:shd w:val="clear" w:color="auto" w:fill="auto"/>
            <w:vAlign w:val="center"/>
          </w:tcPr>
          <w:p w14:paraId="069ACB80" w14:textId="00272B3B" w:rsidR="003370C1" w:rsidRPr="005D18BC" w:rsidRDefault="008F5557" w:rsidP="00A92524">
            <w:pPr>
              <w:pStyle w:val="Tablewriting"/>
              <w:jc w:val="center"/>
              <w:rPr>
                <w:rFonts w:eastAsia="MS Mincho"/>
                <w:highlight w:val="yellow"/>
              </w:rPr>
            </w:pPr>
            <w:r w:rsidRPr="004F4CAF">
              <w:rPr>
                <w:rFonts w:eastAsia="MS Mincho"/>
              </w:rPr>
              <w:t>NR</w:t>
            </w:r>
          </w:p>
        </w:tc>
      </w:tr>
      <w:tr w:rsidR="00FD5A27" w:rsidRPr="00061F78" w14:paraId="789138DD" w14:textId="77777777" w:rsidTr="00FD5A27">
        <w:trPr>
          <w:cantSplit/>
          <w:trHeight w:val="99"/>
        </w:trPr>
        <w:tc>
          <w:tcPr>
            <w:tcW w:w="5000" w:type="pct"/>
            <w:gridSpan w:val="6"/>
            <w:shd w:val="clear" w:color="auto" w:fill="auto"/>
            <w:tcMar>
              <w:left w:w="28" w:type="dxa"/>
              <w:right w:w="28" w:type="dxa"/>
            </w:tcMar>
            <w:vAlign w:val="center"/>
          </w:tcPr>
          <w:p w14:paraId="7F3D952F" w14:textId="207647DD" w:rsidR="00FD5A27" w:rsidRPr="00FC0ADE" w:rsidRDefault="00FD5A27" w:rsidP="00A92524">
            <w:pPr>
              <w:pStyle w:val="Tablewriting"/>
              <w:rPr>
                <w:rFonts w:eastAsia="MS Mincho"/>
                <w:b/>
                <w:bCs/>
              </w:rPr>
            </w:pPr>
            <w:r w:rsidRPr="00FC0ADE">
              <w:rPr>
                <w:rFonts w:eastAsia="MS Mincho"/>
                <w:b/>
                <w:bCs/>
              </w:rPr>
              <w:t>Preloading versus standard use (pooled analysis)</w:t>
            </w:r>
          </w:p>
        </w:tc>
      </w:tr>
      <w:tr w:rsidR="00FD5A27" w:rsidRPr="00061F78" w14:paraId="56517036" w14:textId="77777777" w:rsidTr="001908E2">
        <w:trPr>
          <w:cantSplit/>
          <w:trHeight w:val="99"/>
        </w:trPr>
        <w:tc>
          <w:tcPr>
            <w:tcW w:w="626" w:type="pct"/>
            <w:shd w:val="clear" w:color="auto" w:fill="auto"/>
            <w:tcMar>
              <w:left w:w="28" w:type="dxa"/>
              <w:right w:w="28" w:type="dxa"/>
            </w:tcMar>
            <w:vAlign w:val="center"/>
          </w:tcPr>
          <w:p w14:paraId="1CB45DF2" w14:textId="2EBD17A8" w:rsidR="00FD5A27" w:rsidRPr="00B8568D" w:rsidRDefault="00FD5A27" w:rsidP="00A92524">
            <w:pPr>
              <w:pStyle w:val="Tablewriting"/>
              <w:rPr>
                <w:rFonts w:eastAsia="MS Mincho"/>
                <w:vertAlign w:val="superscript"/>
              </w:rPr>
            </w:pPr>
            <w:r>
              <w:rPr>
                <w:rFonts w:eastAsia="MS Mincho"/>
              </w:rPr>
              <w:t>Lindson (2019)</w:t>
            </w:r>
            <w:r w:rsidR="00B8568D">
              <w:rPr>
                <w:rFonts w:eastAsia="MS Mincho"/>
                <w:vertAlign w:val="superscript"/>
              </w:rPr>
              <w:t>1</w:t>
            </w:r>
          </w:p>
        </w:tc>
        <w:tc>
          <w:tcPr>
            <w:tcW w:w="1180" w:type="pct"/>
            <w:shd w:val="clear" w:color="auto" w:fill="auto"/>
            <w:vAlign w:val="center"/>
          </w:tcPr>
          <w:p w14:paraId="6EF764ED" w14:textId="77777777" w:rsidR="00FD5A27" w:rsidRDefault="00FD5A27" w:rsidP="00A92524">
            <w:pPr>
              <w:pStyle w:val="Tablewriting"/>
              <w:jc w:val="center"/>
              <w:rPr>
                <w:rFonts w:eastAsia="MS Mincho"/>
              </w:rPr>
            </w:pPr>
            <w:r>
              <w:rPr>
                <w:rFonts w:eastAsia="MS Mincho"/>
              </w:rPr>
              <w:t>Cochrane Review</w:t>
            </w:r>
          </w:p>
          <w:p w14:paraId="4E84DA77" w14:textId="17A3FFEA" w:rsidR="00FD5A27" w:rsidRDefault="00FD5A27" w:rsidP="00A92524">
            <w:pPr>
              <w:pStyle w:val="Tablewriting"/>
              <w:jc w:val="center"/>
              <w:rPr>
                <w:rFonts w:eastAsia="MS Mincho"/>
              </w:rPr>
            </w:pPr>
            <w:r>
              <w:rPr>
                <w:rFonts w:eastAsia="MS Mincho"/>
              </w:rPr>
              <w:t>(</w:t>
            </w:r>
            <w:r w:rsidR="002C4FD0">
              <w:rPr>
                <w:rFonts w:eastAsia="MS Mincho"/>
              </w:rPr>
              <w:t>1</w:t>
            </w:r>
            <w:r>
              <w:rPr>
                <w:rFonts w:eastAsia="MS Mincho"/>
              </w:rPr>
              <w:t xml:space="preserve">2 </w:t>
            </w:r>
            <w:r w:rsidRPr="00A22F63">
              <w:rPr>
                <w:rFonts w:eastAsia="MS Mincho"/>
              </w:rPr>
              <w:t>RCT</w:t>
            </w:r>
            <w:r>
              <w:rPr>
                <w:rFonts w:eastAsia="MS Mincho"/>
              </w:rPr>
              <w:t>s)</w:t>
            </w:r>
          </w:p>
        </w:tc>
        <w:tc>
          <w:tcPr>
            <w:tcW w:w="785" w:type="pct"/>
            <w:shd w:val="clear" w:color="auto" w:fill="auto"/>
            <w:tcMar>
              <w:left w:w="28" w:type="dxa"/>
              <w:right w:w="28" w:type="dxa"/>
            </w:tcMar>
            <w:vAlign w:val="center"/>
          </w:tcPr>
          <w:p w14:paraId="12435074" w14:textId="77777777" w:rsidR="00FD5A27" w:rsidRDefault="0002621C" w:rsidP="00A92524">
            <w:pPr>
              <w:pStyle w:val="Tablewriting"/>
              <w:jc w:val="center"/>
              <w:rPr>
                <w:rFonts w:eastAsia="MS Mincho"/>
              </w:rPr>
            </w:pPr>
            <w:r>
              <w:rPr>
                <w:rFonts w:eastAsia="MS Mincho"/>
              </w:rPr>
              <w:t>446/2,378</w:t>
            </w:r>
          </w:p>
          <w:p w14:paraId="59BDEC7F" w14:textId="780BCA07" w:rsidR="00FD5A27" w:rsidRPr="00571B3B" w:rsidRDefault="0002621C" w:rsidP="00A92524">
            <w:pPr>
              <w:pStyle w:val="Tablewriting"/>
              <w:jc w:val="center"/>
              <w:rPr>
                <w:rFonts w:eastAsia="MS Mincho"/>
              </w:rPr>
            </w:pPr>
            <w:r>
              <w:rPr>
                <w:rFonts w:eastAsia="MS Mincho"/>
              </w:rPr>
              <w:t>(</w:t>
            </w:r>
            <w:r w:rsidR="00CB232C">
              <w:rPr>
                <w:rFonts w:eastAsia="MS Mincho"/>
              </w:rPr>
              <w:t>18.8</w:t>
            </w:r>
            <w:r>
              <w:rPr>
                <w:rFonts w:eastAsia="MS Mincho"/>
              </w:rPr>
              <w:t>%)</w:t>
            </w:r>
          </w:p>
        </w:tc>
        <w:tc>
          <w:tcPr>
            <w:tcW w:w="746" w:type="pct"/>
            <w:shd w:val="clear" w:color="auto" w:fill="auto"/>
            <w:tcMar>
              <w:left w:w="28" w:type="dxa"/>
              <w:right w:w="28" w:type="dxa"/>
            </w:tcMar>
            <w:vAlign w:val="center"/>
          </w:tcPr>
          <w:p w14:paraId="24B51DCB" w14:textId="77777777" w:rsidR="00FD5A27" w:rsidRDefault="0002621C" w:rsidP="00A92524">
            <w:pPr>
              <w:pStyle w:val="Tablewriting"/>
              <w:jc w:val="center"/>
              <w:rPr>
                <w:rFonts w:eastAsia="MS Mincho"/>
              </w:rPr>
            </w:pPr>
            <w:r>
              <w:rPr>
                <w:rFonts w:eastAsia="MS Mincho"/>
              </w:rPr>
              <w:t>275/2,017</w:t>
            </w:r>
          </w:p>
          <w:p w14:paraId="66269D73" w14:textId="4E71A59D" w:rsidR="00FD5A27" w:rsidRPr="00571B3B" w:rsidRDefault="0002621C" w:rsidP="00A92524">
            <w:pPr>
              <w:pStyle w:val="Tablewriting"/>
              <w:jc w:val="center"/>
              <w:rPr>
                <w:rFonts w:eastAsia="MS Mincho"/>
              </w:rPr>
            </w:pPr>
            <w:r>
              <w:rPr>
                <w:rFonts w:eastAsia="MS Mincho"/>
              </w:rPr>
              <w:t>(</w:t>
            </w:r>
            <w:r w:rsidR="009B2334">
              <w:rPr>
                <w:rFonts w:eastAsia="MS Mincho"/>
              </w:rPr>
              <w:t>13.6</w:t>
            </w:r>
            <w:r>
              <w:rPr>
                <w:rFonts w:eastAsia="MS Mincho"/>
              </w:rPr>
              <w:t>%)</w:t>
            </w:r>
          </w:p>
        </w:tc>
        <w:tc>
          <w:tcPr>
            <w:tcW w:w="851" w:type="pct"/>
            <w:shd w:val="clear" w:color="auto" w:fill="auto"/>
            <w:tcMar>
              <w:left w:w="28" w:type="dxa"/>
              <w:right w:w="28" w:type="dxa"/>
            </w:tcMar>
            <w:vAlign w:val="center"/>
          </w:tcPr>
          <w:p w14:paraId="2CAF3D31" w14:textId="77777777" w:rsidR="00FD5A27" w:rsidRPr="00B52BC6" w:rsidRDefault="00FD5A27" w:rsidP="00A92524">
            <w:pPr>
              <w:pStyle w:val="Tablewriting"/>
              <w:jc w:val="center"/>
              <w:rPr>
                <w:rFonts w:eastAsia="MS Mincho"/>
                <w:b/>
                <w:bCs/>
              </w:rPr>
            </w:pPr>
            <w:r w:rsidRPr="00B52BC6">
              <w:rPr>
                <w:rFonts w:eastAsia="MS Mincho"/>
                <w:b/>
                <w:bCs/>
              </w:rPr>
              <w:t>1.25</w:t>
            </w:r>
          </w:p>
          <w:p w14:paraId="72733265" w14:textId="59CB4BF4" w:rsidR="00FD5A27" w:rsidRPr="00164377" w:rsidRDefault="00FD5A27" w:rsidP="00A92524">
            <w:pPr>
              <w:pStyle w:val="Tablewriting"/>
              <w:jc w:val="center"/>
              <w:rPr>
                <w:rFonts w:eastAsia="MS Mincho"/>
              </w:rPr>
            </w:pPr>
            <w:r w:rsidRPr="00B52BC6">
              <w:rPr>
                <w:rFonts w:eastAsia="MS Mincho"/>
                <w:b/>
                <w:bCs/>
              </w:rPr>
              <w:t>(1.08, 1.44)</w:t>
            </w:r>
          </w:p>
        </w:tc>
        <w:tc>
          <w:tcPr>
            <w:tcW w:w="812" w:type="pct"/>
            <w:shd w:val="clear" w:color="auto" w:fill="auto"/>
            <w:vAlign w:val="center"/>
          </w:tcPr>
          <w:p w14:paraId="486142EE" w14:textId="40C85ACC" w:rsidR="00FD5A27" w:rsidRPr="005D18BC" w:rsidRDefault="008F5557" w:rsidP="00A92524">
            <w:pPr>
              <w:pStyle w:val="Tablewriting"/>
              <w:jc w:val="center"/>
              <w:rPr>
                <w:rFonts w:eastAsia="MS Mincho"/>
                <w:highlight w:val="yellow"/>
              </w:rPr>
            </w:pPr>
            <w:r w:rsidRPr="004F4CAF">
              <w:rPr>
                <w:rFonts w:eastAsia="MS Mincho"/>
              </w:rPr>
              <w:t>NR</w:t>
            </w:r>
          </w:p>
        </w:tc>
      </w:tr>
    </w:tbl>
    <w:p w14:paraId="7D16400A" w14:textId="191DA16E" w:rsidR="003370C1" w:rsidRPr="00566F12" w:rsidRDefault="003370C1" w:rsidP="003370C1">
      <w:pPr>
        <w:pStyle w:val="TableFooter"/>
        <w:keepNext/>
      </w:pPr>
      <w:r w:rsidRPr="00566F12">
        <w:t>Source: Lindson et al. (2019)</w:t>
      </w:r>
      <w:r>
        <w:t xml:space="preserve"> and </w:t>
      </w:r>
      <w:r w:rsidRPr="00164377">
        <w:t>Dedert et al. 2018</w:t>
      </w:r>
      <w:r>
        <w:t xml:space="preserve">. </w:t>
      </w:r>
    </w:p>
    <w:p w14:paraId="59A3AC47" w14:textId="76E8E1A9" w:rsidR="003370C1" w:rsidRPr="00566F12" w:rsidRDefault="003370C1" w:rsidP="003370C1">
      <w:pPr>
        <w:pStyle w:val="TableFooter"/>
        <w:keepNext/>
        <w:rPr>
          <w:i/>
        </w:rPr>
      </w:pPr>
      <w:r w:rsidRPr="00566F12">
        <w:t>Abbreviations: CI = confidence interval; RCT = randomised controlled trial; RD = risk difference; RR = risk ratio</w:t>
      </w:r>
      <w:r>
        <w:t>; NE = not estimable</w:t>
      </w:r>
      <w:r w:rsidR="00826C95">
        <w:t xml:space="preserve">. </w:t>
      </w:r>
    </w:p>
    <w:p w14:paraId="0DF92BDE" w14:textId="77777777" w:rsidR="00B8568D" w:rsidRDefault="003370C1" w:rsidP="00B8568D">
      <w:pPr>
        <w:pStyle w:val="TableFooter"/>
      </w:pPr>
      <w:r w:rsidRPr="00566F12">
        <w:t>Notes:</w:t>
      </w:r>
      <w:r>
        <w:t xml:space="preserve"> </w:t>
      </w:r>
      <w:r w:rsidRPr="00AB1378">
        <w:t>Bold</w:t>
      </w:r>
      <w:r w:rsidRPr="0041240E">
        <w:t xml:space="preserve"> indicates statistically significant difference.</w:t>
      </w:r>
    </w:p>
    <w:p w14:paraId="3FB575CD" w14:textId="506CE8F6" w:rsidR="00B8568D" w:rsidRDefault="00B8568D" w:rsidP="00B8568D">
      <w:pPr>
        <w:pStyle w:val="TableFooter"/>
      </w:pPr>
      <w:r>
        <w:t>1 Calculated by Cochrane Review authors using a fixed-effect model</w:t>
      </w:r>
      <w:r w:rsidR="00ED0CBA">
        <w:t>.</w:t>
      </w:r>
    </w:p>
    <w:p w14:paraId="46AF1B75" w14:textId="09AD99F8" w:rsidR="003370C1" w:rsidRPr="0063394A" w:rsidRDefault="00B8568D" w:rsidP="008A5B2A">
      <w:pPr>
        <w:pStyle w:val="TableFooter"/>
        <w:spacing w:after="120"/>
        <w:contextualSpacing w:val="0"/>
      </w:pPr>
      <w:r>
        <w:t>2 Calculated during review using a random-effect model</w:t>
      </w:r>
      <w:r w:rsidR="00ED0CBA">
        <w:t>.</w:t>
      </w:r>
    </w:p>
    <w:p w14:paraId="7BE51D34" w14:textId="46F8B32E" w:rsidR="00123237" w:rsidRDefault="003370C1" w:rsidP="008A5B2A">
      <w:pPr>
        <w:spacing w:after="120"/>
        <w:jc w:val="both"/>
      </w:pPr>
      <w:r w:rsidRPr="00F136E9">
        <w:t>The results of the individual studies</w:t>
      </w:r>
      <w:r>
        <w:t xml:space="preserve"> </w:t>
      </w:r>
      <w:r w:rsidRPr="00F136E9">
        <w:t xml:space="preserve">included in Lindson et al. (2019) </w:t>
      </w:r>
      <w:r w:rsidR="00156205">
        <w:t xml:space="preserve">and in the updated re-analysis for the NRT </w:t>
      </w:r>
      <w:r w:rsidR="00573F59">
        <w:t>patches</w:t>
      </w:r>
      <w:r w:rsidR="00156205">
        <w:t xml:space="preserve"> subgroup</w:t>
      </w:r>
      <w:r w:rsidRPr="00F136E9">
        <w:t xml:space="preserve"> are presented using a forest plot i</w:t>
      </w:r>
      <w:r>
        <w:t>n</w:t>
      </w:r>
      <w:r w:rsidR="008A13D7">
        <w:t xml:space="preserve"> </w:t>
      </w:r>
      <w:r w:rsidR="007207E3">
        <w:fldChar w:fldCharType="begin" w:fldLock="1"/>
      </w:r>
      <w:r w:rsidR="007207E3">
        <w:instrText xml:space="preserve"> REF _Ref61452436 \h </w:instrText>
      </w:r>
      <w:r w:rsidR="007207E3">
        <w:fldChar w:fldCharType="separate"/>
      </w:r>
      <w:r w:rsidR="00EC5CC7" w:rsidRPr="00BD305A">
        <w:t xml:space="preserve">Figure </w:t>
      </w:r>
      <w:r w:rsidR="00EC5CC7">
        <w:rPr>
          <w:noProof/>
        </w:rPr>
        <w:t>32</w:t>
      </w:r>
      <w:r w:rsidR="007207E3">
        <w:fldChar w:fldCharType="end"/>
      </w:r>
      <w:r>
        <w:t xml:space="preserve"> and </w:t>
      </w:r>
      <w:r w:rsidR="007207E3">
        <w:fldChar w:fldCharType="begin" w:fldLock="1"/>
      </w:r>
      <w:r w:rsidR="007207E3">
        <w:instrText xml:space="preserve"> REF _Ref61452423 \h </w:instrText>
      </w:r>
      <w:r w:rsidR="007207E3">
        <w:fldChar w:fldCharType="separate"/>
      </w:r>
      <w:r w:rsidR="00EC5CC7">
        <w:t xml:space="preserve">Figure </w:t>
      </w:r>
      <w:r w:rsidR="00EC5CC7">
        <w:rPr>
          <w:noProof/>
        </w:rPr>
        <w:t>33</w:t>
      </w:r>
      <w:r w:rsidR="007207E3">
        <w:fldChar w:fldCharType="end"/>
      </w:r>
      <w:r w:rsidR="00156205">
        <w:t>, respectively</w:t>
      </w:r>
      <w:r>
        <w:t xml:space="preserve">. </w:t>
      </w:r>
    </w:p>
    <w:p w14:paraId="532B49DA" w14:textId="77777777" w:rsidR="007207E3" w:rsidRDefault="7D69B53B" w:rsidP="007207E3">
      <w:pPr>
        <w:pStyle w:val="Caption"/>
        <w:keepNext/>
      </w:pPr>
      <w:r>
        <w:rPr>
          <w:noProof/>
        </w:rPr>
        <w:lastRenderedPageBreak/>
        <w:drawing>
          <wp:inline distT="0" distB="0" distL="0" distR="0" wp14:anchorId="010A403E" wp14:editId="6919144D">
            <wp:extent cx="5920237" cy="4266691"/>
            <wp:effectExtent l="0" t="0" r="0" b="635"/>
            <wp:docPr id="70" name="Picture 70" descr="P69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P6917#yIS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20237" cy="4266691"/>
                    </a:xfrm>
                    <a:prstGeom prst="rect">
                      <a:avLst/>
                    </a:prstGeom>
                  </pic:spPr>
                </pic:pic>
              </a:graphicData>
            </a:graphic>
          </wp:inline>
        </w:drawing>
      </w:r>
    </w:p>
    <w:p w14:paraId="631ACEA4" w14:textId="30C1342D" w:rsidR="003370C1" w:rsidRPr="00BD305A" w:rsidRDefault="00CF4593" w:rsidP="00DF5CCD">
      <w:pPr>
        <w:pStyle w:val="Caption"/>
        <w:spacing w:before="120" w:after="60"/>
        <w:jc w:val="both"/>
      </w:pPr>
      <w:bookmarkStart w:id="178" w:name="_Ref61452436"/>
      <w:r w:rsidRPr="00BD305A">
        <w:t xml:space="preserve">Figure </w:t>
      </w:r>
      <w:r w:rsidR="00BF3F75">
        <w:fldChar w:fldCharType="begin"/>
      </w:r>
      <w:r w:rsidR="00BF3F75">
        <w:instrText xml:space="preserve"> SEQ Figure \* ARABIC </w:instrText>
      </w:r>
      <w:r w:rsidR="00BF3F75">
        <w:fldChar w:fldCharType="separate"/>
      </w:r>
      <w:r w:rsidR="00EC5CC7">
        <w:rPr>
          <w:noProof/>
        </w:rPr>
        <w:t>32</w:t>
      </w:r>
      <w:r w:rsidR="00BF3F75">
        <w:rPr>
          <w:noProof/>
        </w:rPr>
        <w:fldChar w:fldCharType="end"/>
      </w:r>
      <w:bookmarkEnd w:id="178"/>
      <w:r w:rsidRPr="00BD305A">
        <w:t>: Results of smoking cessation f</w:t>
      </w:r>
      <w:r w:rsidR="00C623F4">
        <w:t>or</w:t>
      </w:r>
      <w:r w:rsidRPr="00BD305A">
        <w:t xml:space="preserve"> at least six months follow-up</w:t>
      </w:r>
      <w:r w:rsidR="006C3EF8">
        <w:t xml:space="preserve"> in Lindson et al. (2019)</w:t>
      </w:r>
      <w:r w:rsidRPr="00BD305A">
        <w:t>, preloading versus standard use</w:t>
      </w:r>
    </w:p>
    <w:p w14:paraId="35664096" w14:textId="77777777" w:rsidR="00123237" w:rsidRDefault="00705126" w:rsidP="00DF5CCD">
      <w:pPr>
        <w:pStyle w:val="TableFooter"/>
        <w:keepNext/>
        <w:jc w:val="both"/>
      </w:pPr>
      <w:r w:rsidRPr="00543DB6">
        <w:t>Source: Lindson et al. (2019)</w:t>
      </w:r>
    </w:p>
    <w:p w14:paraId="6BC2D311" w14:textId="7F89012A" w:rsidR="00CF4593" w:rsidRPr="00123237" w:rsidRDefault="00705126" w:rsidP="00DF5CCD">
      <w:pPr>
        <w:pStyle w:val="TableFooter"/>
        <w:keepNext/>
        <w:jc w:val="both"/>
      </w:pPr>
      <w:r w:rsidRPr="00543DB6">
        <w:t>Abbreviations: CI = confidence interval</w:t>
      </w:r>
    </w:p>
    <w:p w14:paraId="53EDE2EF" w14:textId="77777777" w:rsidR="007207E3" w:rsidRDefault="007207E3" w:rsidP="00123237">
      <w:pPr>
        <w:pStyle w:val="TableFooter"/>
        <w:keepNext/>
      </w:pPr>
    </w:p>
    <w:p w14:paraId="6513C47E" w14:textId="77777777" w:rsidR="007207E3" w:rsidRDefault="007207E3" w:rsidP="007207E3">
      <w:pPr>
        <w:pStyle w:val="TableFooter"/>
        <w:keepNext/>
      </w:pPr>
      <w:r>
        <w:rPr>
          <w:noProof/>
        </w:rPr>
        <w:drawing>
          <wp:inline distT="0" distB="0" distL="0" distR="0" wp14:anchorId="07BD16DF" wp14:editId="266AC6F3">
            <wp:extent cx="5731510" cy="1930400"/>
            <wp:effectExtent l="0" t="0" r="2540" b="0"/>
            <wp:docPr id="66" name="Picture 66" descr="P69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P6922#yIS1"/>
                    <pic:cNvPicPr/>
                  </pic:nvPicPr>
                  <pic:blipFill>
                    <a:blip r:embed="rId52">
                      <a:extLst>
                        <a:ext uri="{28A0092B-C50C-407E-A947-70E740481C1C}">
                          <a14:useLocalDpi xmlns:a14="http://schemas.microsoft.com/office/drawing/2010/main" val="0"/>
                        </a:ext>
                      </a:extLst>
                    </a:blip>
                    <a:stretch>
                      <a:fillRect/>
                    </a:stretch>
                  </pic:blipFill>
                  <pic:spPr>
                    <a:xfrm>
                      <a:off x="0" y="0"/>
                      <a:ext cx="5731510" cy="1930400"/>
                    </a:xfrm>
                    <a:prstGeom prst="rect">
                      <a:avLst/>
                    </a:prstGeom>
                  </pic:spPr>
                </pic:pic>
              </a:graphicData>
            </a:graphic>
          </wp:inline>
        </w:drawing>
      </w:r>
    </w:p>
    <w:p w14:paraId="58E9FCD8" w14:textId="4C56B9F0" w:rsidR="007207E3" w:rsidRDefault="007207E3" w:rsidP="00DF5CCD">
      <w:pPr>
        <w:pStyle w:val="Caption"/>
        <w:spacing w:before="120" w:after="60"/>
        <w:jc w:val="both"/>
      </w:pPr>
      <w:bookmarkStart w:id="179" w:name="_Ref61452423"/>
      <w:r>
        <w:t xml:space="preserve">Figure </w:t>
      </w:r>
      <w:r w:rsidR="00BF3F75">
        <w:fldChar w:fldCharType="begin"/>
      </w:r>
      <w:r w:rsidR="00BF3F75">
        <w:instrText xml:space="preserve"> SEQ Figure \* ARABIC </w:instrText>
      </w:r>
      <w:r w:rsidR="00BF3F75">
        <w:fldChar w:fldCharType="separate"/>
      </w:r>
      <w:r w:rsidR="00EC5CC7">
        <w:rPr>
          <w:noProof/>
        </w:rPr>
        <w:t>33</w:t>
      </w:r>
      <w:r w:rsidR="00BF3F75">
        <w:rPr>
          <w:noProof/>
        </w:rPr>
        <w:fldChar w:fldCharType="end"/>
      </w:r>
      <w:bookmarkEnd w:id="179"/>
      <w:r>
        <w:t xml:space="preserve">: </w:t>
      </w:r>
      <w:r w:rsidRPr="00A2685B">
        <w:t>Results of smoking cessation f</w:t>
      </w:r>
      <w:r w:rsidR="00C623F4">
        <w:t>or</w:t>
      </w:r>
      <w:r w:rsidRPr="00A2685B">
        <w:t xml:space="preserve"> at least six months follow-up</w:t>
      </w:r>
      <w:r>
        <w:t xml:space="preserve"> based on updated re-analysis</w:t>
      </w:r>
      <w:r w:rsidRPr="00A2685B">
        <w:t>, preloading versus standard use</w:t>
      </w:r>
    </w:p>
    <w:p w14:paraId="4EACA855" w14:textId="37ADCBE2" w:rsidR="007207E3" w:rsidRDefault="007207E3" w:rsidP="007207E3">
      <w:pPr>
        <w:pStyle w:val="TableFooter"/>
        <w:keepNext/>
      </w:pPr>
      <w:r w:rsidRPr="00543DB6">
        <w:t>Source: Lindson et al. (2019)</w:t>
      </w:r>
      <w:r>
        <w:t>, Dedert et al. (2018)</w:t>
      </w:r>
    </w:p>
    <w:p w14:paraId="78F13A21" w14:textId="2F178C03" w:rsidR="007207E3" w:rsidRDefault="007207E3" w:rsidP="00DF5CCD">
      <w:pPr>
        <w:pStyle w:val="TableFooter"/>
        <w:keepNext/>
        <w:spacing w:after="120"/>
        <w:contextualSpacing w:val="0"/>
        <w:jc w:val="both"/>
      </w:pPr>
      <w:r w:rsidRPr="00543DB6">
        <w:t>Abbreviations: CI = confidence interval</w:t>
      </w:r>
    </w:p>
    <w:p w14:paraId="653233F7" w14:textId="2826C241" w:rsidR="004D63D8" w:rsidRPr="004D63D8" w:rsidRDefault="004D63D8" w:rsidP="00DF5CCD">
      <w:pPr>
        <w:spacing w:after="120"/>
        <w:jc w:val="both"/>
        <w:rPr>
          <w:u w:val="single"/>
        </w:rPr>
      </w:pPr>
      <w:r w:rsidRPr="004D63D8">
        <w:rPr>
          <w:u w:val="single"/>
        </w:rPr>
        <w:t>Safety</w:t>
      </w:r>
    </w:p>
    <w:p w14:paraId="05975CAE" w14:textId="53C9A501" w:rsidR="00D352A3" w:rsidRDefault="00D352A3" w:rsidP="00DF5CCD">
      <w:pPr>
        <w:spacing w:after="120"/>
        <w:jc w:val="both"/>
      </w:pPr>
      <w:r w:rsidRPr="00A67889">
        <w:t xml:space="preserve">A summary of key adverse events in Lindson et al. </w:t>
      </w:r>
      <w:r>
        <w:t>(</w:t>
      </w:r>
      <w:r w:rsidRPr="00A67889">
        <w:t>2019</w:t>
      </w:r>
      <w:r>
        <w:t>)</w:t>
      </w:r>
      <w:r w:rsidRPr="00A67889">
        <w:t xml:space="preserve"> </w:t>
      </w:r>
      <w:r>
        <w:t xml:space="preserve">comparing </w:t>
      </w:r>
      <w:r w:rsidRPr="00B13895">
        <w:t xml:space="preserve">preloading </w:t>
      </w:r>
      <w:r>
        <w:t>with</w:t>
      </w:r>
      <w:r w:rsidRPr="00B13895">
        <w:t xml:space="preserve"> standard use is presented in</w:t>
      </w:r>
      <w:r w:rsidR="00D97EEC">
        <w:t xml:space="preserve"> </w:t>
      </w:r>
      <w:r w:rsidR="00D97EEC">
        <w:fldChar w:fldCharType="begin" w:fldLock="1"/>
      </w:r>
      <w:r w:rsidR="00D97EEC">
        <w:instrText xml:space="preserve"> REF _Ref62117930 \h </w:instrText>
      </w:r>
      <w:r w:rsidR="00D97EEC">
        <w:fldChar w:fldCharType="separate"/>
      </w:r>
      <w:r w:rsidR="00EC5CC7">
        <w:t xml:space="preserve">Table </w:t>
      </w:r>
      <w:r w:rsidR="00EC5CC7">
        <w:rPr>
          <w:noProof/>
        </w:rPr>
        <w:t>101</w:t>
      </w:r>
      <w:r w:rsidR="00D97EEC">
        <w:fldChar w:fldCharType="end"/>
      </w:r>
      <w:r>
        <w:t>.</w:t>
      </w:r>
      <w:r w:rsidRPr="00371997">
        <w:t xml:space="preserve"> </w:t>
      </w:r>
      <w:r>
        <w:t xml:space="preserve">Based on the Cochrane Review by Lindson et al. (2019), there </w:t>
      </w:r>
      <w:r>
        <w:lastRenderedPageBreak/>
        <w:t xml:space="preserve">was a significantly higher proportion of patients in the preloading arm experiencing palpitations compared with patients in the standard use arm. There were no statistically significant differences in cardiac adverse events, cardiac serious adverse events, overall serious adverse </w:t>
      </w:r>
      <w:r w:rsidR="00826C95">
        <w:t>events,</w:t>
      </w:r>
      <w:r>
        <w:t xml:space="preserve"> and treatment withdrawals between the two treatment arms.</w:t>
      </w:r>
    </w:p>
    <w:p w14:paraId="1ACB31B7" w14:textId="2F178C03" w:rsidR="00D352A3" w:rsidRDefault="00D352A3" w:rsidP="00DF5CCD">
      <w:pPr>
        <w:spacing w:after="120"/>
        <w:jc w:val="both"/>
      </w:pPr>
      <w:r>
        <w:t>The results of the updated re-analysis for the overall serious adverse events were consistent with the results from Lindson et al. (2019) (RR: 1.05, 95% CI: 0.56, 1.98).</w:t>
      </w:r>
    </w:p>
    <w:p w14:paraId="003EFD4B" w14:textId="2B492BF7" w:rsidR="00D352A3" w:rsidRDefault="00D352A3" w:rsidP="00DF5CCD">
      <w:pPr>
        <w:pStyle w:val="Caption"/>
        <w:keepNext/>
        <w:spacing w:before="0" w:after="120"/>
        <w:jc w:val="both"/>
      </w:pPr>
      <w:bookmarkStart w:id="180" w:name="_Ref62117930"/>
      <w:r>
        <w:t xml:space="preserve">Table </w:t>
      </w:r>
      <w:r w:rsidR="00BF3F75">
        <w:fldChar w:fldCharType="begin"/>
      </w:r>
      <w:r w:rsidR="00BF3F75">
        <w:instrText xml:space="preserve"> SEQ Table \* ARABIC </w:instrText>
      </w:r>
      <w:r w:rsidR="00BF3F75">
        <w:fldChar w:fldCharType="separate"/>
      </w:r>
      <w:r w:rsidR="00EC5CC7">
        <w:rPr>
          <w:noProof/>
        </w:rPr>
        <w:t>101</w:t>
      </w:r>
      <w:r w:rsidR="00BF3F75">
        <w:rPr>
          <w:noProof/>
        </w:rPr>
        <w:fldChar w:fldCharType="end"/>
      </w:r>
      <w:bookmarkEnd w:id="180"/>
      <w:r>
        <w:t xml:space="preserve">: </w:t>
      </w:r>
      <w:r w:rsidRPr="004E52B3">
        <w:t>Summary of key adverse events in Lindson et al. (2019), preloading versus standard use</w:t>
      </w:r>
    </w:p>
    <w:tbl>
      <w:tblPr>
        <w:tblStyle w:val="TableGrid"/>
        <w:tblW w:w="5000" w:type="pct"/>
        <w:tblLook w:val="04A0" w:firstRow="1" w:lastRow="0" w:firstColumn="1" w:lastColumn="0" w:noHBand="0" w:noVBand="1"/>
        <w:tblCaption w:val="Efficacy results of adalimumab trials (PASI 75 and DLQI)"/>
      </w:tblPr>
      <w:tblGrid>
        <w:gridCol w:w="1131"/>
        <w:gridCol w:w="1843"/>
        <w:gridCol w:w="1560"/>
        <w:gridCol w:w="1700"/>
        <w:gridCol w:w="1417"/>
        <w:gridCol w:w="1365"/>
      </w:tblGrid>
      <w:tr w:rsidR="00D352A3" w:rsidRPr="00061F78" w14:paraId="1A3BE800" w14:textId="77777777" w:rsidTr="00125A1C">
        <w:trPr>
          <w:cantSplit/>
          <w:trHeight w:val="299"/>
          <w:tblHeader/>
        </w:trPr>
        <w:tc>
          <w:tcPr>
            <w:tcW w:w="627" w:type="pct"/>
            <w:shd w:val="clear" w:color="auto" w:fill="BFBFBF" w:themeFill="background1" w:themeFillShade="BF"/>
            <w:tcMar>
              <w:left w:w="28" w:type="dxa"/>
              <w:right w:w="28" w:type="dxa"/>
            </w:tcMar>
            <w:vAlign w:val="center"/>
          </w:tcPr>
          <w:p w14:paraId="0B87E87C" w14:textId="77777777" w:rsidR="00D352A3" w:rsidRDefault="00D352A3" w:rsidP="00A92524">
            <w:pPr>
              <w:pStyle w:val="Tableheading"/>
              <w:rPr>
                <w:rFonts w:eastAsia="MS Mincho"/>
              </w:rPr>
            </w:pPr>
            <w:r>
              <w:rPr>
                <w:rFonts w:eastAsia="MS Mincho"/>
              </w:rPr>
              <w:t>Study</w:t>
            </w:r>
          </w:p>
        </w:tc>
        <w:tc>
          <w:tcPr>
            <w:tcW w:w="1022" w:type="pct"/>
            <w:shd w:val="clear" w:color="auto" w:fill="BFBFBF" w:themeFill="background1" w:themeFillShade="BF"/>
          </w:tcPr>
          <w:p w14:paraId="77EEA666" w14:textId="77777777" w:rsidR="00D352A3" w:rsidRDefault="00D352A3" w:rsidP="00A92524">
            <w:pPr>
              <w:pStyle w:val="Tableheading"/>
              <w:jc w:val="center"/>
              <w:rPr>
                <w:rFonts w:eastAsia="MS Mincho"/>
              </w:rPr>
            </w:pPr>
            <w:r>
              <w:rPr>
                <w:rFonts w:eastAsia="MS Mincho"/>
              </w:rPr>
              <w:t>Study type</w:t>
            </w:r>
          </w:p>
        </w:tc>
        <w:tc>
          <w:tcPr>
            <w:tcW w:w="865" w:type="pct"/>
            <w:shd w:val="clear" w:color="auto" w:fill="BFBFBF" w:themeFill="background1" w:themeFillShade="BF"/>
            <w:tcMar>
              <w:left w:w="28" w:type="dxa"/>
              <w:right w:w="28" w:type="dxa"/>
            </w:tcMar>
            <w:vAlign w:val="center"/>
          </w:tcPr>
          <w:p w14:paraId="19729EF8" w14:textId="5A291049" w:rsidR="00D352A3" w:rsidRPr="00061F78" w:rsidRDefault="00D352A3" w:rsidP="00A92524">
            <w:pPr>
              <w:pStyle w:val="Tableheading"/>
              <w:jc w:val="center"/>
              <w:rPr>
                <w:rFonts w:eastAsia="MS Mincho"/>
              </w:rPr>
            </w:pPr>
            <w:r w:rsidRPr="00B13895">
              <w:rPr>
                <w:rFonts w:eastAsia="MS Mincho"/>
              </w:rPr>
              <w:t>Preloading</w:t>
            </w:r>
          </w:p>
        </w:tc>
        <w:tc>
          <w:tcPr>
            <w:tcW w:w="943" w:type="pct"/>
            <w:shd w:val="clear" w:color="auto" w:fill="BFBFBF" w:themeFill="background1" w:themeFillShade="BF"/>
            <w:tcMar>
              <w:left w:w="28" w:type="dxa"/>
              <w:right w:w="28" w:type="dxa"/>
            </w:tcMar>
            <w:vAlign w:val="center"/>
          </w:tcPr>
          <w:p w14:paraId="5D494777" w14:textId="7462A7FE" w:rsidR="00D352A3" w:rsidRPr="00061F78" w:rsidRDefault="00D352A3" w:rsidP="00A92524">
            <w:pPr>
              <w:pStyle w:val="Tableheading"/>
              <w:jc w:val="center"/>
              <w:rPr>
                <w:rFonts w:eastAsia="MS Mincho"/>
              </w:rPr>
            </w:pPr>
            <w:r w:rsidRPr="00B13895">
              <w:rPr>
                <w:rFonts w:eastAsia="MS Mincho"/>
              </w:rPr>
              <w:t>Standard use</w:t>
            </w:r>
          </w:p>
        </w:tc>
        <w:tc>
          <w:tcPr>
            <w:tcW w:w="786" w:type="pct"/>
            <w:shd w:val="clear" w:color="auto" w:fill="BFBFBF" w:themeFill="background1" w:themeFillShade="BF"/>
            <w:tcMar>
              <w:left w:w="28" w:type="dxa"/>
              <w:right w:w="28" w:type="dxa"/>
            </w:tcMar>
            <w:vAlign w:val="center"/>
          </w:tcPr>
          <w:p w14:paraId="5F4782FC" w14:textId="77777777" w:rsidR="00D352A3" w:rsidRPr="00681ACA" w:rsidRDefault="00D352A3" w:rsidP="00A92524">
            <w:pPr>
              <w:pStyle w:val="Tableheading"/>
              <w:jc w:val="center"/>
              <w:rPr>
                <w:rFonts w:eastAsia="MS Mincho"/>
                <w:vertAlign w:val="superscript"/>
              </w:rPr>
            </w:pPr>
            <w:r>
              <w:rPr>
                <w:rFonts w:eastAsia="MS Mincho"/>
              </w:rPr>
              <w:t>RR (95% CI)</w:t>
            </w:r>
          </w:p>
        </w:tc>
        <w:tc>
          <w:tcPr>
            <w:tcW w:w="758" w:type="pct"/>
            <w:shd w:val="clear" w:color="auto" w:fill="BFBFBF" w:themeFill="background1" w:themeFillShade="BF"/>
            <w:vAlign w:val="center"/>
          </w:tcPr>
          <w:p w14:paraId="5578E6D2" w14:textId="77777777" w:rsidR="00D352A3" w:rsidRDefault="00D352A3" w:rsidP="00A92524">
            <w:pPr>
              <w:pStyle w:val="Tableheading"/>
              <w:jc w:val="center"/>
              <w:rPr>
                <w:rFonts w:eastAsia="MS Mincho"/>
              </w:rPr>
            </w:pPr>
            <w:r>
              <w:rPr>
                <w:rFonts w:eastAsia="MS Mincho"/>
              </w:rPr>
              <w:t>RD (95% CI)</w:t>
            </w:r>
          </w:p>
        </w:tc>
      </w:tr>
      <w:tr w:rsidR="00D352A3" w:rsidRPr="00061F78" w14:paraId="3BD0524E" w14:textId="77777777" w:rsidTr="00F46619">
        <w:trPr>
          <w:cantSplit/>
          <w:trHeight w:val="99"/>
        </w:trPr>
        <w:tc>
          <w:tcPr>
            <w:tcW w:w="5000" w:type="pct"/>
            <w:gridSpan w:val="6"/>
            <w:shd w:val="clear" w:color="auto" w:fill="auto"/>
          </w:tcPr>
          <w:p w14:paraId="073FF616" w14:textId="77777777" w:rsidR="00D352A3" w:rsidRPr="00F46619" w:rsidRDefault="00D352A3" w:rsidP="00A92524">
            <w:pPr>
              <w:pStyle w:val="Tablewriting"/>
              <w:rPr>
                <w:rFonts w:eastAsia="MS Mincho"/>
                <w:b/>
                <w:bCs/>
              </w:rPr>
            </w:pPr>
            <w:r w:rsidRPr="00F46619">
              <w:rPr>
                <w:rFonts w:eastAsia="MS Mincho"/>
                <w:b/>
                <w:bCs/>
              </w:rPr>
              <w:t>Palpitations</w:t>
            </w:r>
          </w:p>
        </w:tc>
      </w:tr>
      <w:tr w:rsidR="00D352A3" w:rsidRPr="00061F78" w14:paraId="562B296C" w14:textId="77777777" w:rsidTr="00125A1C">
        <w:trPr>
          <w:cantSplit/>
          <w:trHeight w:val="99"/>
        </w:trPr>
        <w:tc>
          <w:tcPr>
            <w:tcW w:w="627" w:type="pct"/>
            <w:shd w:val="clear" w:color="auto" w:fill="auto"/>
            <w:tcMar>
              <w:left w:w="28" w:type="dxa"/>
              <w:right w:w="28" w:type="dxa"/>
            </w:tcMar>
            <w:vAlign w:val="center"/>
          </w:tcPr>
          <w:p w14:paraId="41F24989" w14:textId="4AF55736" w:rsidR="00D352A3" w:rsidRPr="001C5A26"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14:paraId="06FBE663" w14:textId="77777777" w:rsidR="00D352A3" w:rsidRDefault="00D352A3" w:rsidP="00A92524">
            <w:pPr>
              <w:pStyle w:val="Tablewriting"/>
              <w:jc w:val="center"/>
              <w:rPr>
                <w:rFonts w:eastAsia="MS Mincho"/>
              </w:rPr>
            </w:pPr>
            <w:r>
              <w:rPr>
                <w:rFonts w:eastAsia="MS Mincho"/>
              </w:rPr>
              <w:t>Cochrane Review</w:t>
            </w:r>
          </w:p>
          <w:p w14:paraId="08C220BC" w14:textId="77777777" w:rsidR="00D352A3" w:rsidRDefault="00D352A3" w:rsidP="00A92524">
            <w:pPr>
              <w:pStyle w:val="Tablewriting"/>
              <w:jc w:val="center"/>
              <w:rPr>
                <w:rFonts w:eastAsia="MS Mincho"/>
              </w:rPr>
            </w:pPr>
            <w:r>
              <w:rPr>
                <w:rFonts w:eastAsia="MS Mincho"/>
              </w:rPr>
              <w:t>(1 RCT)</w:t>
            </w:r>
          </w:p>
        </w:tc>
        <w:tc>
          <w:tcPr>
            <w:tcW w:w="865" w:type="pct"/>
            <w:shd w:val="clear" w:color="auto" w:fill="auto"/>
            <w:tcMar>
              <w:left w:w="28" w:type="dxa"/>
              <w:right w:w="28" w:type="dxa"/>
            </w:tcMar>
            <w:vAlign w:val="center"/>
          </w:tcPr>
          <w:p w14:paraId="1A6E8BB0" w14:textId="77777777" w:rsidR="00D352A3" w:rsidRDefault="00D352A3" w:rsidP="00A92524">
            <w:pPr>
              <w:pStyle w:val="Tablewriting"/>
              <w:jc w:val="center"/>
              <w:rPr>
                <w:rFonts w:eastAsia="MS Mincho"/>
              </w:rPr>
            </w:pPr>
            <w:r>
              <w:rPr>
                <w:rFonts w:eastAsia="MS Mincho"/>
              </w:rPr>
              <w:t>35/899</w:t>
            </w:r>
          </w:p>
          <w:p w14:paraId="1DF1AC0B" w14:textId="77777777" w:rsidR="00D352A3" w:rsidRPr="001B08F9" w:rsidRDefault="00D352A3" w:rsidP="00A92524">
            <w:pPr>
              <w:pStyle w:val="Tablewriting"/>
              <w:jc w:val="center"/>
              <w:rPr>
                <w:rFonts w:eastAsia="MS Mincho"/>
              </w:rPr>
            </w:pPr>
            <w:r>
              <w:rPr>
                <w:rFonts w:eastAsia="MS Mincho"/>
              </w:rPr>
              <w:t>(3.9%)</w:t>
            </w:r>
          </w:p>
        </w:tc>
        <w:tc>
          <w:tcPr>
            <w:tcW w:w="943" w:type="pct"/>
            <w:shd w:val="clear" w:color="auto" w:fill="auto"/>
            <w:tcMar>
              <w:left w:w="28" w:type="dxa"/>
              <w:right w:w="28" w:type="dxa"/>
            </w:tcMar>
            <w:vAlign w:val="center"/>
          </w:tcPr>
          <w:p w14:paraId="5B61D1F3" w14:textId="77777777" w:rsidR="00D352A3" w:rsidRDefault="00D352A3" w:rsidP="00A92524">
            <w:pPr>
              <w:pStyle w:val="Tablewriting"/>
              <w:jc w:val="center"/>
              <w:rPr>
                <w:rFonts w:eastAsia="MS Mincho"/>
              </w:rPr>
            </w:pPr>
            <w:r>
              <w:rPr>
                <w:rFonts w:eastAsia="MS Mincho"/>
              </w:rPr>
              <w:t>17/893</w:t>
            </w:r>
          </w:p>
          <w:p w14:paraId="52C03AB5" w14:textId="77777777" w:rsidR="00D352A3" w:rsidRPr="001B08F9" w:rsidRDefault="00D352A3" w:rsidP="00A92524">
            <w:pPr>
              <w:pStyle w:val="Tablewriting"/>
              <w:jc w:val="center"/>
              <w:rPr>
                <w:rFonts w:eastAsia="MS Mincho"/>
              </w:rPr>
            </w:pPr>
            <w:r>
              <w:rPr>
                <w:rFonts w:eastAsia="MS Mincho"/>
              </w:rPr>
              <w:t>(1.9%)</w:t>
            </w:r>
          </w:p>
        </w:tc>
        <w:tc>
          <w:tcPr>
            <w:tcW w:w="786" w:type="pct"/>
            <w:shd w:val="clear" w:color="auto" w:fill="auto"/>
            <w:tcMar>
              <w:left w:w="28" w:type="dxa"/>
              <w:right w:w="28" w:type="dxa"/>
            </w:tcMar>
            <w:vAlign w:val="center"/>
          </w:tcPr>
          <w:p w14:paraId="33990D05" w14:textId="77777777" w:rsidR="00D352A3" w:rsidRDefault="00D352A3" w:rsidP="00A92524">
            <w:pPr>
              <w:pStyle w:val="Tablewriting"/>
              <w:jc w:val="center"/>
              <w:rPr>
                <w:rFonts w:eastAsia="MS Mincho"/>
                <w:b/>
              </w:rPr>
            </w:pPr>
            <w:r>
              <w:rPr>
                <w:rFonts w:eastAsia="MS Mincho"/>
                <w:b/>
              </w:rPr>
              <w:t xml:space="preserve">2.05 </w:t>
            </w:r>
          </w:p>
          <w:p w14:paraId="11953570" w14:textId="77777777" w:rsidR="00D352A3" w:rsidRPr="001277A6" w:rsidRDefault="00D352A3" w:rsidP="00A92524">
            <w:pPr>
              <w:pStyle w:val="Tablewriting"/>
              <w:jc w:val="center"/>
              <w:rPr>
                <w:rFonts w:eastAsia="MS Mincho"/>
                <w:b/>
              </w:rPr>
            </w:pPr>
            <w:r>
              <w:rPr>
                <w:rFonts w:eastAsia="MS Mincho"/>
                <w:b/>
              </w:rPr>
              <w:t>(1.15, 3.62)</w:t>
            </w:r>
          </w:p>
        </w:tc>
        <w:tc>
          <w:tcPr>
            <w:tcW w:w="758" w:type="pct"/>
            <w:shd w:val="clear" w:color="auto" w:fill="auto"/>
            <w:vAlign w:val="center"/>
          </w:tcPr>
          <w:p w14:paraId="242FBB24" w14:textId="77777777" w:rsidR="00D352A3" w:rsidRPr="001277A6" w:rsidRDefault="00D352A3" w:rsidP="00A92524">
            <w:pPr>
              <w:pStyle w:val="Tablewriting"/>
              <w:jc w:val="center"/>
              <w:rPr>
                <w:rFonts w:eastAsia="MS Mincho"/>
                <w:highlight w:val="yellow"/>
              </w:rPr>
            </w:pPr>
            <w:r w:rsidRPr="000B4DD6">
              <w:rPr>
                <w:rFonts w:eastAsia="MS Mincho"/>
              </w:rPr>
              <w:t>NR</w:t>
            </w:r>
          </w:p>
        </w:tc>
      </w:tr>
      <w:tr w:rsidR="00D352A3" w:rsidRPr="00061F78" w14:paraId="5F7647F2" w14:textId="77777777" w:rsidTr="00F46619">
        <w:trPr>
          <w:cantSplit/>
          <w:trHeight w:val="255"/>
        </w:trPr>
        <w:tc>
          <w:tcPr>
            <w:tcW w:w="5000" w:type="pct"/>
            <w:gridSpan w:val="6"/>
            <w:shd w:val="clear" w:color="auto" w:fill="auto"/>
          </w:tcPr>
          <w:p w14:paraId="50E0E9CD" w14:textId="77777777" w:rsidR="00D352A3" w:rsidRPr="00F46619" w:rsidRDefault="00D352A3" w:rsidP="00A92524">
            <w:pPr>
              <w:pStyle w:val="Tablewriting"/>
              <w:rPr>
                <w:rFonts w:eastAsia="MS Mincho"/>
                <w:b/>
                <w:bCs/>
                <w:highlight w:val="yellow"/>
              </w:rPr>
            </w:pPr>
            <w:r w:rsidRPr="00F46619">
              <w:rPr>
                <w:rFonts w:eastAsia="MS Mincho"/>
                <w:b/>
                <w:bCs/>
              </w:rPr>
              <w:t>Cardiac AEs</w:t>
            </w:r>
          </w:p>
        </w:tc>
      </w:tr>
      <w:tr w:rsidR="00D352A3" w:rsidRPr="00061F78" w14:paraId="0BFAC65A" w14:textId="77777777" w:rsidTr="00125A1C">
        <w:trPr>
          <w:cantSplit/>
          <w:trHeight w:val="149"/>
        </w:trPr>
        <w:tc>
          <w:tcPr>
            <w:tcW w:w="627" w:type="pct"/>
            <w:tcMar>
              <w:left w:w="28" w:type="dxa"/>
              <w:right w:w="28" w:type="dxa"/>
            </w:tcMar>
            <w:vAlign w:val="center"/>
          </w:tcPr>
          <w:p w14:paraId="57B2ED06" w14:textId="70E3A71D" w:rsidR="00D352A3" w:rsidRPr="001C5A26" w:rsidRDefault="00D352A3" w:rsidP="00A92524">
            <w:pPr>
              <w:pStyle w:val="Tablewriting"/>
              <w:rPr>
                <w:rFonts w:eastAsia="MS Mincho"/>
                <w:highlight w:val="yellow"/>
                <w:vertAlign w:val="superscript"/>
              </w:rPr>
            </w:pPr>
            <w:r>
              <w:rPr>
                <w:rFonts w:eastAsia="MS Mincho"/>
              </w:rPr>
              <w:t>Lindson (2019)</w:t>
            </w:r>
            <w:r w:rsidR="00F46619">
              <w:rPr>
                <w:rFonts w:eastAsia="MS Mincho"/>
                <w:vertAlign w:val="superscript"/>
              </w:rPr>
              <w:t>1</w:t>
            </w:r>
          </w:p>
        </w:tc>
        <w:tc>
          <w:tcPr>
            <w:tcW w:w="1022" w:type="pct"/>
          </w:tcPr>
          <w:p w14:paraId="063BDE6B" w14:textId="77777777" w:rsidR="00D352A3" w:rsidRDefault="00D352A3" w:rsidP="00A92524">
            <w:pPr>
              <w:pStyle w:val="Tablewriting"/>
              <w:jc w:val="center"/>
              <w:rPr>
                <w:rFonts w:eastAsia="MS Mincho"/>
              </w:rPr>
            </w:pPr>
            <w:r>
              <w:rPr>
                <w:rFonts w:eastAsia="MS Mincho"/>
              </w:rPr>
              <w:t>Cochrane Review</w:t>
            </w:r>
          </w:p>
          <w:p w14:paraId="41D05D2D" w14:textId="77777777" w:rsidR="00D352A3" w:rsidRDefault="00D352A3" w:rsidP="00A92524">
            <w:pPr>
              <w:pStyle w:val="Tablewriting"/>
              <w:jc w:val="center"/>
              <w:rPr>
                <w:rFonts w:eastAsia="MS Mincho"/>
              </w:rPr>
            </w:pPr>
            <w:r>
              <w:rPr>
                <w:rFonts w:eastAsia="MS Mincho"/>
              </w:rPr>
              <w:t>(1 RCT)</w:t>
            </w:r>
          </w:p>
        </w:tc>
        <w:tc>
          <w:tcPr>
            <w:tcW w:w="865" w:type="pct"/>
            <w:tcMar>
              <w:left w:w="28" w:type="dxa"/>
              <w:right w:w="28" w:type="dxa"/>
            </w:tcMar>
            <w:vAlign w:val="center"/>
          </w:tcPr>
          <w:p w14:paraId="71936AED" w14:textId="77777777" w:rsidR="00D352A3" w:rsidRDefault="00D352A3" w:rsidP="00A92524">
            <w:pPr>
              <w:pStyle w:val="Tablewriting"/>
              <w:jc w:val="center"/>
              <w:rPr>
                <w:rFonts w:eastAsia="MS Mincho"/>
              </w:rPr>
            </w:pPr>
            <w:r w:rsidRPr="00567783">
              <w:rPr>
                <w:rFonts w:eastAsia="MS Mincho"/>
              </w:rPr>
              <w:t>10/549</w:t>
            </w:r>
          </w:p>
          <w:p w14:paraId="3F79EF4C" w14:textId="77777777" w:rsidR="00D352A3" w:rsidRPr="00567783" w:rsidRDefault="00D352A3" w:rsidP="00A92524">
            <w:pPr>
              <w:pStyle w:val="Tablewriting"/>
              <w:jc w:val="center"/>
              <w:rPr>
                <w:rFonts w:eastAsia="MS Mincho"/>
              </w:rPr>
            </w:pPr>
            <w:r>
              <w:rPr>
                <w:rFonts w:eastAsia="MS Mincho"/>
              </w:rPr>
              <w:t>(1.8%)</w:t>
            </w:r>
          </w:p>
        </w:tc>
        <w:tc>
          <w:tcPr>
            <w:tcW w:w="943" w:type="pct"/>
            <w:tcMar>
              <w:left w:w="28" w:type="dxa"/>
              <w:right w:w="28" w:type="dxa"/>
            </w:tcMar>
            <w:vAlign w:val="center"/>
          </w:tcPr>
          <w:p w14:paraId="43DE1159" w14:textId="77777777" w:rsidR="00D352A3" w:rsidRDefault="00D352A3" w:rsidP="00A92524">
            <w:pPr>
              <w:pStyle w:val="Tablewriting"/>
              <w:jc w:val="center"/>
              <w:rPr>
                <w:rFonts w:eastAsia="MS Mincho"/>
              </w:rPr>
            </w:pPr>
            <w:r>
              <w:rPr>
                <w:rFonts w:eastAsia="MS Mincho"/>
              </w:rPr>
              <w:t>8/551</w:t>
            </w:r>
          </w:p>
          <w:p w14:paraId="394C5BE6" w14:textId="77777777" w:rsidR="00D352A3" w:rsidRPr="00567783" w:rsidRDefault="00D352A3" w:rsidP="00A92524">
            <w:pPr>
              <w:pStyle w:val="Tablewriting"/>
              <w:jc w:val="center"/>
              <w:rPr>
                <w:rFonts w:eastAsia="MS Mincho"/>
              </w:rPr>
            </w:pPr>
            <w:r>
              <w:rPr>
                <w:rFonts w:eastAsia="MS Mincho"/>
              </w:rPr>
              <w:t>(1.5%)</w:t>
            </w:r>
          </w:p>
        </w:tc>
        <w:tc>
          <w:tcPr>
            <w:tcW w:w="786" w:type="pct"/>
            <w:tcMar>
              <w:left w:w="28" w:type="dxa"/>
              <w:right w:w="28" w:type="dxa"/>
            </w:tcMar>
            <w:vAlign w:val="center"/>
          </w:tcPr>
          <w:p w14:paraId="416E54DB" w14:textId="77777777" w:rsidR="00D352A3" w:rsidRDefault="00D352A3" w:rsidP="00A92524">
            <w:pPr>
              <w:pStyle w:val="Tablewriting"/>
              <w:jc w:val="center"/>
              <w:rPr>
                <w:rFonts w:eastAsia="MS Mincho"/>
              </w:rPr>
            </w:pPr>
            <w:r>
              <w:rPr>
                <w:rFonts w:eastAsia="MS Mincho"/>
              </w:rPr>
              <w:t>1.25</w:t>
            </w:r>
          </w:p>
          <w:p w14:paraId="40BA2848" w14:textId="77777777" w:rsidR="00D352A3" w:rsidRPr="00A10F2A" w:rsidRDefault="00D352A3" w:rsidP="00A92524">
            <w:pPr>
              <w:pStyle w:val="Tablewriting"/>
              <w:jc w:val="center"/>
              <w:rPr>
                <w:rFonts w:eastAsia="MS Mincho"/>
              </w:rPr>
            </w:pPr>
            <w:r>
              <w:rPr>
                <w:rFonts w:eastAsia="MS Mincho"/>
              </w:rPr>
              <w:t>(0.5, 3.15)</w:t>
            </w:r>
          </w:p>
        </w:tc>
        <w:tc>
          <w:tcPr>
            <w:tcW w:w="758" w:type="pct"/>
            <w:vAlign w:val="center"/>
          </w:tcPr>
          <w:p w14:paraId="40A81A03" w14:textId="77777777" w:rsidR="00D352A3" w:rsidRPr="006A6520" w:rsidRDefault="00D352A3" w:rsidP="00A92524">
            <w:pPr>
              <w:pStyle w:val="Tablewriting"/>
              <w:jc w:val="center"/>
              <w:rPr>
                <w:rFonts w:eastAsia="MS Mincho"/>
              </w:rPr>
            </w:pPr>
            <w:r>
              <w:rPr>
                <w:rFonts w:eastAsia="MS Mincho"/>
              </w:rPr>
              <w:t>NR</w:t>
            </w:r>
          </w:p>
        </w:tc>
      </w:tr>
      <w:tr w:rsidR="00D352A3" w:rsidRPr="00061F78" w14:paraId="1B771EEB" w14:textId="77777777" w:rsidTr="00F46619">
        <w:trPr>
          <w:cantSplit/>
          <w:trHeight w:val="149"/>
        </w:trPr>
        <w:tc>
          <w:tcPr>
            <w:tcW w:w="5000" w:type="pct"/>
            <w:gridSpan w:val="6"/>
            <w:shd w:val="clear" w:color="auto" w:fill="auto"/>
          </w:tcPr>
          <w:p w14:paraId="2E981555" w14:textId="07CE2147" w:rsidR="00D352A3" w:rsidRPr="00F46619" w:rsidRDefault="00D352A3" w:rsidP="00A92524">
            <w:pPr>
              <w:pStyle w:val="Tablewriting"/>
              <w:rPr>
                <w:rFonts w:eastAsia="MS Mincho"/>
                <w:b/>
                <w:bCs/>
                <w:highlight w:val="yellow"/>
              </w:rPr>
            </w:pPr>
            <w:r w:rsidRPr="00F46619">
              <w:rPr>
                <w:rFonts w:eastAsia="MS Mincho"/>
                <w:b/>
                <w:bCs/>
              </w:rPr>
              <w:t>Cardiac SAEs</w:t>
            </w:r>
          </w:p>
        </w:tc>
      </w:tr>
      <w:tr w:rsidR="00D352A3" w:rsidRPr="00061F78" w14:paraId="23E1D1EE" w14:textId="77777777" w:rsidTr="00125A1C">
        <w:trPr>
          <w:cantSplit/>
          <w:trHeight w:val="149"/>
        </w:trPr>
        <w:tc>
          <w:tcPr>
            <w:tcW w:w="627" w:type="pct"/>
            <w:tcMar>
              <w:left w:w="28" w:type="dxa"/>
              <w:right w:w="28" w:type="dxa"/>
            </w:tcMar>
            <w:vAlign w:val="center"/>
          </w:tcPr>
          <w:p w14:paraId="43E9EA53" w14:textId="51E85779" w:rsidR="00D352A3" w:rsidRPr="001C5A26" w:rsidRDefault="00D352A3" w:rsidP="00A92524">
            <w:pPr>
              <w:pStyle w:val="Tablewriting"/>
              <w:rPr>
                <w:rFonts w:eastAsia="MS Mincho"/>
                <w:highlight w:val="yellow"/>
                <w:vertAlign w:val="superscript"/>
              </w:rPr>
            </w:pPr>
            <w:r>
              <w:rPr>
                <w:rFonts w:eastAsia="MS Mincho"/>
              </w:rPr>
              <w:t>Lindson (2019)</w:t>
            </w:r>
            <w:r w:rsidR="00F46619">
              <w:rPr>
                <w:rFonts w:eastAsia="MS Mincho"/>
                <w:vertAlign w:val="superscript"/>
              </w:rPr>
              <w:t>1</w:t>
            </w:r>
          </w:p>
        </w:tc>
        <w:tc>
          <w:tcPr>
            <w:tcW w:w="1022" w:type="pct"/>
          </w:tcPr>
          <w:p w14:paraId="7FCF3A88" w14:textId="77777777" w:rsidR="00D352A3" w:rsidRDefault="00D352A3" w:rsidP="00A92524">
            <w:pPr>
              <w:pStyle w:val="Tablewriting"/>
              <w:jc w:val="center"/>
              <w:rPr>
                <w:rFonts w:eastAsia="MS Mincho"/>
              </w:rPr>
            </w:pPr>
            <w:r>
              <w:rPr>
                <w:rFonts w:eastAsia="MS Mincho"/>
              </w:rPr>
              <w:t>Cochrane Review</w:t>
            </w:r>
          </w:p>
          <w:p w14:paraId="4C055F14" w14:textId="77777777" w:rsidR="00D352A3" w:rsidRDefault="00D352A3" w:rsidP="00A92524">
            <w:pPr>
              <w:pStyle w:val="Tablewriting"/>
              <w:jc w:val="center"/>
              <w:rPr>
                <w:rFonts w:eastAsia="MS Mincho"/>
              </w:rPr>
            </w:pPr>
            <w:r>
              <w:rPr>
                <w:rFonts w:eastAsia="MS Mincho"/>
              </w:rPr>
              <w:t>(3 RCTs)</w:t>
            </w:r>
          </w:p>
        </w:tc>
        <w:tc>
          <w:tcPr>
            <w:tcW w:w="865" w:type="pct"/>
            <w:tcMar>
              <w:left w:w="28" w:type="dxa"/>
              <w:right w:w="28" w:type="dxa"/>
            </w:tcMar>
            <w:vAlign w:val="center"/>
          </w:tcPr>
          <w:p w14:paraId="051D5CDC" w14:textId="77777777" w:rsidR="00D352A3" w:rsidRDefault="00D352A3" w:rsidP="00A92524">
            <w:pPr>
              <w:pStyle w:val="Tablewriting"/>
              <w:jc w:val="center"/>
              <w:rPr>
                <w:rFonts w:eastAsia="MS Mincho"/>
              </w:rPr>
            </w:pPr>
            <w:r>
              <w:rPr>
                <w:rFonts w:eastAsia="MS Mincho"/>
              </w:rPr>
              <w:t>14/1,943</w:t>
            </w:r>
          </w:p>
          <w:p w14:paraId="52800830" w14:textId="77777777" w:rsidR="00D352A3" w:rsidRPr="001B08F9" w:rsidRDefault="00D352A3" w:rsidP="00A92524">
            <w:pPr>
              <w:pStyle w:val="Tablewriting"/>
              <w:jc w:val="center"/>
              <w:rPr>
                <w:rFonts w:eastAsia="MS Mincho"/>
              </w:rPr>
            </w:pPr>
            <w:r>
              <w:rPr>
                <w:rFonts w:eastAsia="MS Mincho"/>
              </w:rPr>
              <w:t>(0.7%)</w:t>
            </w:r>
          </w:p>
        </w:tc>
        <w:tc>
          <w:tcPr>
            <w:tcW w:w="943" w:type="pct"/>
            <w:tcMar>
              <w:left w:w="28" w:type="dxa"/>
              <w:right w:w="28" w:type="dxa"/>
            </w:tcMar>
            <w:vAlign w:val="center"/>
          </w:tcPr>
          <w:p w14:paraId="14C6EFFC" w14:textId="77777777" w:rsidR="00D352A3" w:rsidRDefault="00D352A3" w:rsidP="00A92524">
            <w:pPr>
              <w:pStyle w:val="Tablewriting"/>
              <w:jc w:val="center"/>
              <w:rPr>
                <w:rFonts w:eastAsia="MS Mincho"/>
              </w:rPr>
            </w:pPr>
            <w:r>
              <w:rPr>
                <w:rFonts w:eastAsia="MS Mincho"/>
              </w:rPr>
              <w:t>7/1,586</w:t>
            </w:r>
          </w:p>
          <w:p w14:paraId="2EF14228" w14:textId="77777777" w:rsidR="00D352A3" w:rsidRPr="001B08F9" w:rsidRDefault="00D352A3" w:rsidP="00A92524">
            <w:pPr>
              <w:pStyle w:val="Tablewriting"/>
              <w:jc w:val="center"/>
              <w:rPr>
                <w:rFonts w:eastAsia="MS Mincho"/>
              </w:rPr>
            </w:pPr>
            <w:r>
              <w:rPr>
                <w:rFonts w:eastAsia="MS Mincho"/>
              </w:rPr>
              <w:t>(0.4%)</w:t>
            </w:r>
          </w:p>
        </w:tc>
        <w:tc>
          <w:tcPr>
            <w:tcW w:w="786" w:type="pct"/>
            <w:tcMar>
              <w:left w:w="28" w:type="dxa"/>
              <w:right w:w="28" w:type="dxa"/>
            </w:tcMar>
            <w:vAlign w:val="center"/>
          </w:tcPr>
          <w:p w14:paraId="7883C76D" w14:textId="77777777" w:rsidR="00D352A3" w:rsidRDefault="00D352A3" w:rsidP="00A92524">
            <w:pPr>
              <w:pStyle w:val="Tablewriting"/>
              <w:jc w:val="center"/>
              <w:rPr>
                <w:rFonts w:eastAsia="MS Mincho"/>
              </w:rPr>
            </w:pPr>
            <w:r>
              <w:rPr>
                <w:rFonts w:eastAsia="MS Mincho"/>
              </w:rPr>
              <w:t>1.94</w:t>
            </w:r>
          </w:p>
          <w:p w14:paraId="7286AB10" w14:textId="77777777" w:rsidR="00D352A3" w:rsidRPr="00A10F2A" w:rsidRDefault="00D352A3" w:rsidP="00A92524">
            <w:pPr>
              <w:pStyle w:val="Tablewriting"/>
              <w:jc w:val="center"/>
              <w:rPr>
                <w:rFonts w:eastAsia="MS Mincho"/>
              </w:rPr>
            </w:pPr>
            <w:r>
              <w:rPr>
                <w:rFonts w:eastAsia="MS Mincho"/>
              </w:rPr>
              <w:t>(0.81, 4.65)</w:t>
            </w:r>
          </w:p>
        </w:tc>
        <w:tc>
          <w:tcPr>
            <w:tcW w:w="758" w:type="pct"/>
            <w:vAlign w:val="center"/>
          </w:tcPr>
          <w:p w14:paraId="335D786E" w14:textId="77777777" w:rsidR="00D352A3" w:rsidRPr="00432A29" w:rsidRDefault="00D352A3" w:rsidP="00A92524">
            <w:pPr>
              <w:pStyle w:val="Tablewriting"/>
              <w:jc w:val="center"/>
              <w:rPr>
                <w:rFonts w:eastAsia="MS Mincho"/>
                <w:highlight w:val="yellow"/>
              </w:rPr>
            </w:pPr>
            <w:r w:rsidRPr="000B4DD6">
              <w:rPr>
                <w:rFonts w:eastAsia="MS Mincho"/>
              </w:rPr>
              <w:t>NR</w:t>
            </w:r>
          </w:p>
        </w:tc>
      </w:tr>
      <w:tr w:rsidR="00D352A3" w:rsidRPr="00061F78" w14:paraId="7D69BC80" w14:textId="77777777" w:rsidTr="00F46619">
        <w:trPr>
          <w:cantSplit/>
          <w:trHeight w:val="149"/>
        </w:trPr>
        <w:tc>
          <w:tcPr>
            <w:tcW w:w="5000" w:type="pct"/>
            <w:gridSpan w:val="6"/>
            <w:shd w:val="clear" w:color="auto" w:fill="auto"/>
          </w:tcPr>
          <w:p w14:paraId="293F5341" w14:textId="77777777" w:rsidR="00D352A3" w:rsidRPr="00F46619" w:rsidRDefault="00D352A3" w:rsidP="00A92524">
            <w:pPr>
              <w:pStyle w:val="Tablewriting"/>
              <w:rPr>
                <w:rFonts w:eastAsia="MS Mincho"/>
                <w:b/>
                <w:bCs/>
              </w:rPr>
            </w:pPr>
            <w:r w:rsidRPr="00F46619">
              <w:rPr>
                <w:rFonts w:eastAsia="MS Mincho"/>
                <w:b/>
                <w:bCs/>
              </w:rPr>
              <w:t>Overall SAEs</w:t>
            </w:r>
          </w:p>
        </w:tc>
      </w:tr>
      <w:tr w:rsidR="00D352A3" w:rsidRPr="00061F78" w14:paraId="0E3AB406" w14:textId="77777777" w:rsidTr="00125A1C">
        <w:trPr>
          <w:cantSplit/>
          <w:trHeight w:val="149"/>
        </w:trPr>
        <w:tc>
          <w:tcPr>
            <w:tcW w:w="627" w:type="pct"/>
            <w:tcMar>
              <w:left w:w="28" w:type="dxa"/>
              <w:right w:w="28" w:type="dxa"/>
            </w:tcMar>
            <w:vAlign w:val="center"/>
          </w:tcPr>
          <w:p w14:paraId="5C717D2C" w14:textId="4F75805C" w:rsidR="00D352A3" w:rsidRPr="004004E8"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14:paraId="08DBF8CC" w14:textId="77777777" w:rsidR="00D352A3" w:rsidRDefault="00D352A3" w:rsidP="00A92524">
            <w:pPr>
              <w:pStyle w:val="Tablewriting"/>
              <w:jc w:val="center"/>
              <w:rPr>
                <w:rFonts w:eastAsia="MS Mincho"/>
              </w:rPr>
            </w:pPr>
            <w:r>
              <w:rPr>
                <w:rFonts w:eastAsia="MS Mincho"/>
              </w:rPr>
              <w:t>Cochrane Review</w:t>
            </w:r>
          </w:p>
          <w:p w14:paraId="79E46E97" w14:textId="77777777" w:rsidR="00D352A3" w:rsidRDefault="00D352A3" w:rsidP="00A92524">
            <w:pPr>
              <w:pStyle w:val="Tablewriting"/>
              <w:jc w:val="center"/>
              <w:rPr>
                <w:rFonts w:eastAsia="MS Mincho"/>
              </w:rPr>
            </w:pPr>
            <w:r>
              <w:rPr>
                <w:rFonts w:eastAsia="MS Mincho"/>
              </w:rPr>
              <w:t>(4 RCTs)</w:t>
            </w:r>
          </w:p>
        </w:tc>
        <w:tc>
          <w:tcPr>
            <w:tcW w:w="865" w:type="pct"/>
            <w:tcMar>
              <w:left w:w="28" w:type="dxa"/>
              <w:right w:w="28" w:type="dxa"/>
            </w:tcMar>
            <w:vAlign w:val="center"/>
          </w:tcPr>
          <w:p w14:paraId="4B7397CF" w14:textId="77777777" w:rsidR="00D352A3" w:rsidRDefault="00D352A3" w:rsidP="00A92524">
            <w:pPr>
              <w:pStyle w:val="Tablewriting"/>
              <w:jc w:val="center"/>
              <w:rPr>
                <w:rFonts w:eastAsia="MS Mincho"/>
              </w:rPr>
            </w:pPr>
            <w:r>
              <w:rPr>
                <w:rFonts w:eastAsia="MS Mincho"/>
              </w:rPr>
              <w:t>20/2,134</w:t>
            </w:r>
          </w:p>
          <w:p w14:paraId="2C93AAE7" w14:textId="77777777" w:rsidR="00D352A3" w:rsidRPr="000911DD" w:rsidRDefault="00D352A3" w:rsidP="00A92524">
            <w:pPr>
              <w:pStyle w:val="Tablewriting"/>
              <w:jc w:val="center"/>
              <w:rPr>
                <w:rFonts w:eastAsia="MS Mincho"/>
              </w:rPr>
            </w:pPr>
            <w:r>
              <w:rPr>
                <w:rFonts w:eastAsia="MS Mincho"/>
              </w:rPr>
              <w:t>(0.9%)</w:t>
            </w:r>
          </w:p>
        </w:tc>
        <w:tc>
          <w:tcPr>
            <w:tcW w:w="943" w:type="pct"/>
            <w:tcMar>
              <w:left w:w="28" w:type="dxa"/>
              <w:right w:w="28" w:type="dxa"/>
            </w:tcMar>
            <w:vAlign w:val="center"/>
          </w:tcPr>
          <w:p w14:paraId="38103D6E" w14:textId="77777777" w:rsidR="00D352A3" w:rsidRDefault="00D352A3" w:rsidP="00A92524">
            <w:pPr>
              <w:pStyle w:val="Tablewriting"/>
              <w:jc w:val="center"/>
              <w:rPr>
                <w:rFonts w:eastAsia="MS Mincho"/>
              </w:rPr>
            </w:pPr>
            <w:r>
              <w:rPr>
                <w:rFonts w:eastAsia="MS Mincho"/>
              </w:rPr>
              <w:t>18/1,774</w:t>
            </w:r>
          </w:p>
          <w:p w14:paraId="621172CF" w14:textId="77777777" w:rsidR="00D352A3" w:rsidRPr="000911DD" w:rsidRDefault="00D352A3" w:rsidP="00A92524">
            <w:pPr>
              <w:pStyle w:val="Tablewriting"/>
              <w:jc w:val="center"/>
              <w:rPr>
                <w:rFonts w:eastAsia="MS Mincho"/>
              </w:rPr>
            </w:pPr>
            <w:r>
              <w:rPr>
                <w:rFonts w:eastAsia="MS Mincho"/>
              </w:rPr>
              <w:t>(1%)</w:t>
            </w:r>
          </w:p>
        </w:tc>
        <w:tc>
          <w:tcPr>
            <w:tcW w:w="786" w:type="pct"/>
            <w:tcMar>
              <w:left w:w="28" w:type="dxa"/>
              <w:right w:w="28" w:type="dxa"/>
            </w:tcMar>
            <w:vAlign w:val="center"/>
          </w:tcPr>
          <w:p w14:paraId="526E64D6" w14:textId="77777777" w:rsidR="00D352A3" w:rsidRDefault="00D352A3" w:rsidP="00A92524">
            <w:pPr>
              <w:pStyle w:val="Tablewriting"/>
              <w:jc w:val="center"/>
              <w:rPr>
                <w:rFonts w:eastAsia="MS Mincho"/>
              </w:rPr>
            </w:pPr>
            <w:r>
              <w:rPr>
                <w:rFonts w:eastAsia="MS Mincho"/>
              </w:rPr>
              <w:t>1.11</w:t>
            </w:r>
          </w:p>
          <w:p w14:paraId="701F4652" w14:textId="77777777" w:rsidR="00D352A3" w:rsidRPr="00432A29" w:rsidRDefault="00D352A3" w:rsidP="00A92524">
            <w:pPr>
              <w:pStyle w:val="Tablewriting"/>
              <w:jc w:val="center"/>
              <w:rPr>
                <w:rFonts w:eastAsia="MS Mincho"/>
              </w:rPr>
            </w:pPr>
            <w:r>
              <w:rPr>
                <w:rFonts w:eastAsia="MS Mincho"/>
              </w:rPr>
              <w:t>(0.59, 2.09)</w:t>
            </w:r>
          </w:p>
        </w:tc>
        <w:tc>
          <w:tcPr>
            <w:tcW w:w="758" w:type="pct"/>
            <w:vAlign w:val="center"/>
          </w:tcPr>
          <w:p w14:paraId="7AD9BD28" w14:textId="77777777" w:rsidR="00D352A3" w:rsidRPr="002970F5" w:rsidRDefault="00D352A3" w:rsidP="00A92524">
            <w:pPr>
              <w:pStyle w:val="Tablewriting"/>
              <w:jc w:val="center"/>
              <w:rPr>
                <w:rFonts w:eastAsia="MS Mincho"/>
                <w:highlight w:val="yellow"/>
              </w:rPr>
            </w:pPr>
            <w:r w:rsidRPr="000B4DD6">
              <w:rPr>
                <w:rFonts w:eastAsia="MS Mincho"/>
              </w:rPr>
              <w:t>NR</w:t>
            </w:r>
          </w:p>
        </w:tc>
      </w:tr>
      <w:tr w:rsidR="00D352A3" w:rsidRPr="00061F78" w14:paraId="55C8137E" w14:textId="77777777" w:rsidTr="00125A1C">
        <w:trPr>
          <w:cantSplit/>
          <w:trHeight w:val="149"/>
        </w:trPr>
        <w:tc>
          <w:tcPr>
            <w:tcW w:w="627" w:type="pct"/>
            <w:tcMar>
              <w:left w:w="28" w:type="dxa"/>
              <w:right w:w="28" w:type="dxa"/>
            </w:tcMar>
            <w:vAlign w:val="center"/>
          </w:tcPr>
          <w:p w14:paraId="7D1913D5" w14:textId="77777777" w:rsidR="00D352A3" w:rsidRDefault="00D352A3" w:rsidP="00A92524">
            <w:pPr>
              <w:pStyle w:val="Tablewriting"/>
              <w:rPr>
                <w:rFonts w:eastAsia="MS Mincho"/>
              </w:rPr>
            </w:pPr>
            <w:r>
              <w:rPr>
                <w:rFonts w:eastAsia="MS Mincho"/>
              </w:rPr>
              <w:t xml:space="preserve">Updated </w:t>
            </w:r>
          </w:p>
          <w:p w14:paraId="461AC16C" w14:textId="099AFFD2" w:rsidR="00D352A3" w:rsidRPr="001C5A26" w:rsidRDefault="00D352A3" w:rsidP="00A92524">
            <w:pPr>
              <w:pStyle w:val="Tablewriting"/>
              <w:rPr>
                <w:rFonts w:eastAsia="MS Mincho"/>
                <w:vertAlign w:val="superscript"/>
              </w:rPr>
            </w:pPr>
            <w:r>
              <w:rPr>
                <w:rFonts w:eastAsia="MS Mincho"/>
              </w:rPr>
              <w:t>re-analysis</w:t>
            </w:r>
            <w:r w:rsidR="00F46619">
              <w:rPr>
                <w:rFonts w:eastAsia="MS Mincho"/>
                <w:vertAlign w:val="superscript"/>
              </w:rPr>
              <w:t>2</w:t>
            </w:r>
          </w:p>
        </w:tc>
        <w:tc>
          <w:tcPr>
            <w:tcW w:w="1022" w:type="pct"/>
          </w:tcPr>
          <w:p w14:paraId="0B7B2D92" w14:textId="77777777" w:rsidR="00D352A3" w:rsidRDefault="00D352A3" w:rsidP="00A92524">
            <w:pPr>
              <w:pStyle w:val="Tablewriting"/>
              <w:jc w:val="center"/>
              <w:rPr>
                <w:rFonts w:eastAsia="MS Mincho"/>
              </w:rPr>
            </w:pPr>
            <w:r>
              <w:rPr>
                <w:rFonts w:eastAsia="MS Mincho"/>
              </w:rPr>
              <w:t>Lindson (2019) and Dedert (2018)</w:t>
            </w:r>
          </w:p>
        </w:tc>
        <w:tc>
          <w:tcPr>
            <w:tcW w:w="865" w:type="pct"/>
            <w:tcMar>
              <w:left w:w="28" w:type="dxa"/>
              <w:right w:w="28" w:type="dxa"/>
            </w:tcMar>
            <w:vAlign w:val="center"/>
          </w:tcPr>
          <w:p w14:paraId="0F8FEBA5" w14:textId="77777777" w:rsidR="00D352A3" w:rsidRDefault="00D352A3" w:rsidP="00A92524">
            <w:pPr>
              <w:pStyle w:val="Tablewriting"/>
              <w:jc w:val="center"/>
              <w:rPr>
                <w:rFonts w:eastAsia="MS Mincho"/>
              </w:rPr>
            </w:pPr>
            <w:r>
              <w:rPr>
                <w:rFonts w:eastAsia="MS Mincho"/>
              </w:rPr>
              <w:t>20/2,172</w:t>
            </w:r>
          </w:p>
          <w:p w14:paraId="1F4FD5DC" w14:textId="77777777" w:rsidR="00D352A3" w:rsidRPr="000911DD" w:rsidRDefault="00D352A3" w:rsidP="00A92524">
            <w:pPr>
              <w:pStyle w:val="Tablewriting"/>
              <w:jc w:val="center"/>
              <w:rPr>
                <w:rFonts w:eastAsia="MS Mincho"/>
              </w:rPr>
            </w:pPr>
            <w:r>
              <w:rPr>
                <w:rFonts w:eastAsia="MS Mincho"/>
              </w:rPr>
              <w:t>(0.9%)</w:t>
            </w:r>
          </w:p>
        </w:tc>
        <w:tc>
          <w:tcPr>
            <w:tcW w:w="943" w:type="pct"/>
            <w:tcMar>
              <w:left w:w="28" w:type="dxa"/>
              <w:right w:w="28" w:type="dxa"/>
            </w:tcMar>
            <w:vAlign w:val="center"/>
          </w:tcPr>
          <w:p w14:paraId="54CC263F" w14:textId="77777777" w:rsidR="00D352A3" w:rsidRDefault="00D352A3" w:rsidP="00A92524">
            <w:pPr>
              <w:pStyle w:val="Tablewriting"/>
              <w:jc w:val="center"/>
              <w:rPr>
                <w:rFonts w:eastAsia="MS Mincho"/>
              </w:rPr>
            </w:pPr>
            <w:r>
              <w:rPr>
                <w:rFonts w:eastAsia="MS Mincho"/>
              </w:rPr>
              <w:t>20/1,818</w:t>
            </w:r>
          </w:p>
          <w:p w14:paraId="36E42A1C" w14:textId="77777777" w:rsidR="00D352A3" w:rsidRPr="000911DD" w:rsidRDefault="00D352A3" w:rsidP="00A92524">
            <w:pPr>
              <w:pStyle w:val="Tablewriting"/>
              <w:jc w:val="center"/>
              <w:rPr>
                <w:rFonts w:eastAsia="MS Mincho"/>
              </w:rPr>
            </w:pPr>
            <w:r>
              <w:rPr>
                <w:rFonts w:eastAsia="MS Mincho"/>
              </w:rPr>
              <w:t>(1.1%)</w:t>
            </w:r>
          </w:p>
        </w:tc>
        <w:tc>
          <w:tcPr>
            <w:tcW w:w="786" w:type="pct"/>
            <w:tcMar>
              <w:left w:w="28" w:type="dxa"/>
              <w:right w:w="28" w:type="dxa"/>
            </w:tcMar>
            <w:vAlign w:val="center"/>
          </w:tcPr>
          <w:p w14:paraId="6A304B3C" w14:textId="77777777" w:rsidR="00D352A3" w:rsidRDefault="00D352A3" w:rsidP="00A92524">
            <w:pPr>
              <w:pStyle w:val="Tablewriting"/>
              <w:jc w:val="center"/>
              <w:rPr>
                <w:rFonts w:eastAsia="MS Mincho"/>
              </w:rPr>
            </w:pPr>
            <w:r>
              <w:rPr>
                <w:rFonts w:eastAsia="MS Mincho"/>
              </w:rPr>
              <w:t>1.05</w:t>
            </w:r>
          </w:p>
          <w:p w14:paraId="59C33F8C" w14:textId="77777777" w:rsidR="00D352A3" w:rsidRDefault="00D352A3" w:rsidP="00A92524">
            <w:pPr>
              <w:pStyle w:val="Tablewriting"/>
              <w:jc w:val="center"/>
              <w:rPr>
                <w:rFonts w:eastAsia="MS Mincho"/>
              </w:rPr>
            </w:pPr>
            <w:r>
              <w:rPr>
                <w:rFonts w:eastAsia="MS Mincho"/>
              </w:rPr>
              <w:t>(0.56, 1.98)</w:t>
            </w:r>
          </w:p>
        </w:tc>
        <w:tc>
          <w:tcPr>
            <w:tcW w:w="758" w:type="pct"/>
            <w:vAlign w:val="center"/>
          </w:tcPr>
          <w:p w14:paraId="3269B647" w14:textId="77777777" w:rsidR="00D352A3" w:rsidRPr="00EF7887" w:rsidRDefault="00D352A3" w:rsidP="00A92524">
            <w:pPr>
              <w:pStyle w:val="Tablewriting"/>
              <w:jc w:val="center"/>
              <w:rPr>
                <w:rFonts w:eastAsia="MS Mincho"/>
              </w:rPr>
            </w:pPr>
            <w:r w:rsidRPr="00EF7887">
              <w:rPr>
                <w:rFonts w:eastAsia="MS Mincho"/>
              </w:rPr>
              <w:t>-0.00</w:t>
            </w:r>
          </w:p>
          <w:p w14:paraId="1C828229" w14:textId="77777777" w:rsidR="00D352A3" w:rsidRDefault="00D352A3" w:rsidP="00A92524">
            <w:pPr>
              <w:pStyle w:val="Tablewriting"/>
              <w:jc w:val="center"/>
              <w:rPr>
                <w:rFonts w:eastAsia="MS Mincho"/>
                <w:highlight w:val="yellow"/>
              </w:rPr>
            </w:pPr>
            <w:r w:rsidRPr="00EF7887">
              <w:rPr>
                <w:rFonts w:eastAsia="MS Mincho"/>
              </w:rPr>
              <w:t>(-0.01, 0.01)</w:t>
            </w:r>
          </w:p>
        </w:tc>
      </w:tr>
      <w:tr w:rsidR="00D352A3" w:rsidRPr="00061F78" w14:paraId="6B7C50D2" w14:textId="77777777" w:rsidTr="00F46619">
        <w:trPr>
          <w:cantSplit/>
          <w:trHeight w:val="149"/>
        </w:trPr>
        <w:tc>
          <w:tcPr>
            <w:tcW w:w="5000" w:type="pct"/>
            <w:gridSpan w:val="6"/>
            <w:shd w:val="clear" w:color="auto" w:fill="auto"/>
          </w:tcPr>
          <w:p w14:paraId="77A0B63E" w14:textId="77777777" w:rsidR="00D352A3" w:rsidRPr="00F46619" w:rsidRDefault="00D352A3" w:rsidP="00A92524">
            <w:pPr>
              <w:pStyle w:val="Tablewriting"/>
              <w:rPr>
                <w:rFonts w:eastAsia="MS Mincho"/>
                <w:b/>
                <w:bCs/>
                <w:highlight w:val="yellow"/>
              </w:rPr>
            </w:pPr>
            <w:r w:rsidRPr="00F46619">
              <w:rPr>
                <w:rFonts w:eastAsia="MS Mincho"/>
                <w:b/>
                <w:bCs/>
              </w:rPr>
              <w:t>Treatment withdrawals</w:t>
            </w:r>
          </w:p>
        </w:tc>
      </w:tr>
      <w:tr w:rsidR="00D352A3" w:rsidRPr="00061F78" w14:paraId="60E4472E" w14:textId="77777777" w:rsidTr="00125A1C">
        <w:trPr>
          <w:cantSplit/>
          <w:trHeight w:val="149"/>
        </w:trPr>
        <w:tc>
          <w:tcPr>
            <w:tcW w:w="627" w:type="pct"/>
            <w:tcMar>
              <w:left w:w="28" w:type="dxa"/>
              <w:right w:w="28" w:type="dxa"/>
            </w:tcMar>
            <w:vAlign w:val="center"/>
          </w:tcPr>
          <w:p w14:paraId="1B358280" w14:textId="40623FD6" w:rsidR="00D352A3" w:rsidRPr="004004E8" w:rsidRDefault="00D352A3" w:rsidP="00A92524">
            <w:pPr>
              <w:pStyle w:val="Tablewriting"/>
              <w:rPr>
                <w:rFonts w:eastAsia="MS Mincho"/>
                <w:vertAlign w:val="superscript"/>
              </w:rPr>
            </w:pPr>
            <w:r>
              <w:rPr>
                <w:rFonts w:eastAsia="MS Mincho"/>
              </w:rPr>
              <w:t>Lindson (2019)</w:t>
            </w:r>
            <w:r w:rsidR="00F46619">
              <w:rPr>
                <w:rFonts w:eastAsia="MS Mincho"/>
                <w:vertAlign w:val="superscript"/>
              </w:rPr>
              <w:t>1</w:t>
            </w:r>
          </w:p>
        </w:tc>
        <w:tc>
          <w:tcPr>
            <w:tcW w:w="1022" w:type="pct"/>
          </w:tcPr>
          <w:p w14:paraId="6EDC25DD" w14:textId="77777777" w:rsidR="00D352A3" w:rsidRDefault="00D352A3" w:rsidP="00A92524">
            <w:pPr>
              <w:pStyle w:val="Tablewriting"/>
              <w:jc w:val="center"/>
              <w:rPr>
                <w:rFonts w:eastAsia="MS Mincho"/>
              </w:rPr>
            </w:pPr>
            <w:r>
              <w:rPr>
                <w:rFonts w:eastAsia="MS Mincho"/>
              </w:rPr>
              <w:t>Cochrane Review</w:t>
            </w:r>
          </w:p>
          <w:p w14:paraId="0EA5866D" w14:textId="77777777" w:rsidR="00D352A3" w:rsidRDefault="00D352A3" w:rsidP="00A92524">
            <w:pPr>
              <w:pStyle w:val="Tablewriting"/>
              <w:jc w:val="center"/>
              <w:rPr>
                <w:rFonts w:eastAsia="MS Mincho"/>
              </w:rPr>
            </w:pPr>
            <w:r>
              <w:rPr>
                <w:rFonts w:eastAsia="MS Mincho"/>
              </w:rPr>
              <w:t>(1 RCT)</w:t>
            </w:r>
          </w:p>
        </w:tc>
        <w:tc>
          <w:tcPr>
            <w:tcW w:w="865" w:type="pct"/>
            <w:vAlign w:val="center"/>
          </w:tcPr>
          <w:p w14:paraId="7F22AFE0" w14:textId="77777777" w:rsidR="00D352A3" w:rsidRDefault="00D352A3" w:rsidP="00A92524">
            <w:pPr>
              <w:pStyle w:val="Tablewriting"/>
              <w:jc w:val="center"/>
              <w:rPr>
                <w:rFonts w:eastAsia="MS Mincho"/>
              </w:rPr>
            </w:pPr>
            <w:r>
              <w:rPr>
                <w:rFonts w:eastAsia="MS Mincho"/>
              </w:rPr>
              <w:t>0/40</w:t>
            </w:r>
          </w:p>
          <w:p w14:paraId="70C231FD" w14:textId="77777777" w:rsidR="00D352A3" w:rsidRPr="000911DD" w:rsidRDefault="00D352A3" w:rsidP="00A92524">
            <w:pPr>
              <w:pStyle w:val="Tablewriting"/>
              <w:jc w:val="center"/>
              <w:rPr>
                <w:rFonts w:eastAsia="MS Mincho"/>
              </w:rPr>
            </w:pPr>
            <w:r>
              <w:rPr>
                <w:rFonts w:eastAsia="MS Mincho"/>
              </w:rPr>
              <w:t>(0%)</w:t>
            </w:r>
          </w:p>
        </w:tc>
        <w:tc>
          <w:tcPr>
            <w:tcW w:w="943" w:type="pct"/>
            <w:vAlign w:val="center"/>
          </w:tcPr>
          <w:p w14:paraId="65049C70" w14:textId="77777777" w:rsidR="00D352A3" w:rsidRDefault="00D352A3" w:rsidP="00A92524">
            <w:pPr>
              <w:pStyle w:val="Tablewriting"/>
              <w:jc w:val="center"/>
              <w:rPr>
                <w:rFonts w:eastAsia="MS Mincho"/>
              </w:rPr>
            </w:pPr>
            <w:r>
              <w:rPr>
                <w:rFonts w:eastAsia="MS Mincho"/>
              </w:rPr>
              <w:t>1/40</w:t>
            </w:r>
          </w:p>
          <w:p w14:paraId="7CF25352" w14:textId="77777777" w:rsidR="00D352A3" w:rsidRPr="000911DD" w:rsidRDefault="00D352A3" w:rsidP="00A92524">
            <w:pPr>
              <w:pStyle w:val="Tablewriting"/>
              <w:jc w:val="center"/>
              <w:rPr>
                <w:rFonts w:eastAsia="MS Mincho"/>
              </w:rPr>
            </w:pPr>
            <w:r>
              <w:rPr>
                <w:rFonts w:eastAsia="MS Mincho"/>
              </w:rPr>
              <w:t>(2.5%)</w:t>
            </w:r>
          </w:p>
        </w:tc>
        <w:tc>
          <w:tcPr>
            <w:tcW w:w="786" w:type="pct"/>
            <w:tcMar>
              <w:left w:w="28" w:type="dxa"/>
              <w:right w:w="28" w:type="dxa"/>
            </w:tcMar>
            <w:vAlign w:val="center"/>
          </w:tcPr>
          <w:p w14:paraId="77735A6F" w14:textId="77777777" w:rsidR="00D352A3" w:rsidRDefault="00D352A3" w:rsidP="00A92524">
            <w:pPr>
              <w:pStyle w:val="Tablewriting"/>
              <w:jc w:val="center"/>
              <w:rPr>
                <w:rFonts w:eastAsia="MS Mincho"/>
              </w:rPr>
            </w:pPr>
            <w:r>
              <w:rPr>
                <w:rFonts w:eastAsia="MS Mincho"/>
              </w:rPr>
              <w:t>0.33</w:t>
            </w:r>
          </w:p>
          <w:p w14:paraId="1F615906" w14:textId="77777777" w:rsidR="00D352A3" w:rsidRDefault="00D352A3" w:rsidP="00A92524">
            <w:pPr>
              <w:pStyle w:val="Tablewriting"/>
              <w:jc w:val="center"/>
              <w:rPr>
                <w:rFonts w:eastAsia="MS Mincho"/>
              </w:rPr>
            </w:pPr>
            <w:r>
              <w:rPr>
                <w:rFonts w:eastAsia="MS Mincho"/>
              </w:rPr>
              <w:t>(0.01, 7.95)</w:t>
            </w:r>
          </w:p>
        </w:tc>
        <w:tc>
          <w:tcPr>
            <w:tcW w:w="758" w:type="pct"/>
            <w:vAlign w:val="center"/>
          </w:tcPr>
          <w:p w14:paraId="74A10907" w14:textId="77777777" w:rsidR="00D352A3" w:rsidRDefault="00D352A3" w:rsidP="00A92524">
            <w:pPr>
              <w:pStyle w:val="Tablewriting"/>
              <w:jc w:val="center"/>
              <w:rPr>
                <w:rFonts w:eastAsia="MS Mincho"/>
                <w:highlight w:val="yellow"/>
              </w:rPr>
            </w:pPr>
            <w:r w:rsidRPr="000B4DD6">
              <w:rPr>
                <w:rFonts w:eastAsia="MS Mincho"/>
              </w:rPr>
              <w:t>NR</w:t>
            </w:r>
          </w:p>
        </w:tc>
      </w:tr>
    </w:tbl>
    <w:p w14:paraId="308B9072" w14:textId="2F178C03" w:rsidR="00D352A3" w:rsidRDefault="00D352A3" w:rsidP="00DF5CCD">
      <w:pPr>
        <w:pStyle w:val="TableFooter"/>
        <w:keepNext/>
        <w:jc w:val="both"/>
      </w:pPr>
      <w:r>
        <w:t>Source: Lindson et al. (2019), Dedert et al. (2018)</w:t>
      </w:r>
    </w:p>
    <w:p w14:paraId="75312BFE" w14:textId="04465945" w:rsidR="00D352A3" w:rsidRDefault="00D352A3" w:rsidP="00DF5CCD">
      <w:pPr>
        <w:pStyle w:val="TableFooter"/>
        <w:keepNext/>
        <w:jc w:val="both"/>
      </w:pPr>
      <w:r>
        <w:t>Abbreviations: AEs = adverse events; CI = confidence interval; N</w:t>
      </w:r>
      <w:r w:rsidR="00F46619">
        <w:t>R</w:t>
      </w:r>
      <w:r>
        <w:t xml:space="preserve"> = not </w:t>
      </w:r>
      <w:r w:rsidR="00F46619">
        <w:t>reported</w:t>
      </w:r>
      <w:r>
        <w:t>; RCT = randomised controlled trial; RD = risk difference; RR = risk ratio; SAEs = serious adverse events.</w:t>
      </w:r>
    </w:p>
    <w:p w14:paraId="7A71B385" w14:textId="5CE1B2A1" w:rsidR="00D352A3" w:rsidRDefault="00D352A3" w:rsidP="00DF5CCD">
      <w:pPr>
        <w:pStyle w:val="TableFooter"/>
        <w:keepNext/>
        <w:jc w:val="both"/>
      </w:pPr>
      <w:r w:rsidRPr="00FD4061">
        <w:t>Note</w:t>
      </w:r>
      <w:r>
        <w:t>s</w:t>
      </w:r>
      <w:r w:rsidRPr="00FD4061">
        <w:t xml:space="preserve">: </w:t>
      </w:r>
      <w:r w:rsidRPr="008D1485">
        <w:t>Bold</w:t>
      </w:r>
      <w:r w:rsidRPr="00FD4061">
        <w:t xml:space="preserve"> indicates statistically significant difference.</w:t>
      </w:r>
      <w:r>
        <w:t xml:space="preserve"> </w:t>
      </w:r>
      <w:r w:rsidRPr="00B032C3">
        <w:t xml:space="preserve">See </w:t>
      </w:r>
      <w:r w:rsidRPr="00425FCE">
        <w:t xml:space="preserve">Appendix </w:t>
      </w:r>
      <w:r w:rsidR="00425FCE">
        <w:fldChar w:fldCharType="begin" w:fldLock="1"/>
      </w:r>
      <w:r w:rsidR="00425FCE">
        <w:instrText xml:space="preserve"> REF _Ref62129204 \h </w:instrText>
      </w:r>
      <w:r w:rsidR="00DF5CCD">
        <w:instrText xml:space="preserve"> \* MERGEFORMAT </w:instrText>
      </w:r>
      <w:r w:rsidR="00425FCE">
        <w:fldChar w:fldCharType="separate"/>
      </w:r>
      <w:r w:rsidR="00EC5CC7">
        <w:t xml:space="preserve">Figure </w:t>
      </w:r>
      <w:r w:rsidR="00EC5CC7">
        <w:rPr>
          <w:noProof/>
        </w:rPr>
        <w:t>100</w:t>
      </w:r>
      <w:r w:rsidR="00425FCE">
        <w:fldChar w:fldCharType="end"/>
      </w:r>
      <w:r w:rsidR="00425FCE">
        <w:t xml:space="preserve">, </w:t>
      </w:r>
      <w:r w:rsidR="00425FCE">
        <w:fldChar w:fldCharType="begin" w:fldLock="1"/>
      </w:r>
      <w:r w:rsidR="00425FCE">
        <w:instrText xml:space="preserve"> REF _Ref62129207 \h </w:instrText>
      </w:r>
      <w:r w:rsidR="00DF5CCD">
        <w:instrText xml:space="preserve"> \* MERGEFORMAT </w:instrText>
      </w:r>
      <w:r w:rsidR="00425FCE">
        <w:fldChar w:fldCharType="separate"/>
      </w:r>
      <w:r w:rsidR="00EC5CC7">
        <w:t xml:space="preserve">Figure </w:t>
      </w:r>
      <w:r w:rsidR="00EC5CC7">
        <w:rPr>
          <w:noProof/>
        </w:rPr>
        <w:t>101</w:t>
      </w:r>
      <w:r w:rsidR="00425FCE">
        <w:fldChar w:fldCharType="end"/>
      </w:r>
      <w:r w:rsidR="00425FCE">
        <w:t xml:space="preserve">, </w:t>
      </w:r>
      <w:r w:rsidR="00425FCE">
        <w:fldChar w:fldCharType="begin" w:fldLock="1"/>
      </w:r>
      <w:r w:rsidR="00425FCE">
        <w:instrText xml:space="preserve"> REF _Ref62129209 \h </w:instrText>
      </w:r>
      <w:r w:rsidR="00DF5CCD">
        <w:instrText xml:space="preserve"> \* MERGEFORMAT </w:instrText>
      </w:r>
      <w:r w:rsidR="00425FCE">
        <w:fldChar w:fldCharType="separate"/>
      </w:r>
      <w:r w:rsidR="00EC5CC7">
        <w:t xml:space="preserve">Figure </w:t>
      </w:r>
      <w:r w:rsidR="00EC5CC7">
        <w:rPr>
          <w:noProof/>
        </w:rPr>
        <w:t>102</w:t>
      </w:r>
      <w:r w:rsidR="00425FCE">
        <w:fldChar w:fldCharType="end"/>
      </w:r>
      <w:r w:rsidR="00425FCE">
        <w:t xml:space="preserve">, </w:t>
      </w:r>
      <w:r w:rsidR="00425FCE">
        <w:fldChar w:fldCharType="begin" w:fldLock="1"/>
      </w:r>
      <w:r w:rsidR="00425FCE">
        <w:instrText xml:space="preserve"> REF _Ref62129211 \h </w:instrText>
      </w:r>
      <w:r w:rsidR="00DF5CCD">
        <w:instrText xml:space="preserve"> \* MERGEFORMAT </w:instrText>
      </w:r>
      <w:r w:rsidR="00425FCE">
        <w:fldChar w:fldCharType="separate"/>
      </w:r>
      <w:r w:rsidR="00EC5CC7">
        <w:t xml:space="preserve">Figure </w:t>
      </w:r>
      <w:r w:rsidR="00EC5CC7">
        <w:rPr>
          <w:noProof/>
        </w:rPr>
        <w:t>103</w:t>
      </w:r>
      <w:r w:rsidR="00425FCE">
        <w:fldChar w:fldCharType="end"/>
      </w:r>
      <w:r w:rsidR="00425FCE">
        <w:t xml:space="preserve">, and </w:t>
      </w:r>
      <w:r w:rsidR="00425FCE">
        <w:fldChar w:fldCharType="begin" w:fldLock="1"/>
      </w:r>
      <w:r w:rsidR="00425FCE">
        <w:instrText xml:space="preserve"> REF _Ref62129213 \h </w:instrText>
      </w:r>
      <w:r w:rsidR="00DF5CCD">
        <w:instrText xml:space="preserve"> \* MERGEFORMAT </w:instrText>
      </w:r>
      <w:r w:rsidR="00425FCE">
        <w:fldChar w:fldCharType="separate"/>
      </w:r>
      <w:r w:rsidR="00EC5CC7">
        <w:t xml:space="preserve">Figure </w:t>
      </w:r>
      <w:r w:rsidR="00EC5CC7">
        <w:rPr>
          <w:noProof/>
        </w:rPr>
        <w:t>104</w:t>
      </w:r>
      <w:r w:rsidR="00425FCE">
        <w:fldChar w:fldCharType="end"/>
      </w:r>
      <w:r>
        <w:t xml:space="preserve"> </w:t>
      </w:r>
      <w:r w:rsidRPr="00B032C3">
        <w:t>for forest plots of the respective outcomes which included the results of individual studies.</w:t>
      </w:r>
    </w:p>
    <w:p w14:paraId="78879BB4" w14:textId="1D6F7DAF" w:rsidR="00D352A3" w:rsidRDefault="00D352A3" w:rsidP="00DF5CCD">
      <w:pPr>
        <w:pStyle w:val="TableFooter"/>
        <w:keepNext/>
        <w:jc w:val="both"/>
      </w:pPr>
      <w:r>
        <w:t>1</w:t>
      </w:r>
      <w:r w:rsidRPr="00432CC7">
        <w:t xml:space="preserve"> </w:t>
      </w:r>
      <w:r w:rsidRPr="00D32EBD">
        <w:t xml:space="preserve">Calculated </w:t>
      </w:r>
      <w:r>
        <w:t xml:space="preserve">by Cochrane Review authors </w:t>
      </w:r>
      <w:r w:rsidRPr="00D32EBD">
        <w:t>using a fixed-effect model</w:t>
      </w:r>
      <w:r w:rsidR="00ED0CBA">
        <w:t>.</w:t>
      </w:r>
    </w:p>
    <w:p w14:paraId="19524E6D" w14:textId="59356AE1" w:rsidR="00D352A3" w:rsidRPr="00D352A3" w:rsidRDefault="00F46619" w:rsidP="00DF5CCD">
      <w:pPr>
        <w:pStyle w:val="TableFooter"/>
        <w:keepNext/>
        <w:spacing w:after="120"/>
        <w:contextualSpacing w:val="0"/>
        <w:jc w:val="both"/>
      </w:pPr>
      <w:r>
        <w:t>2</w:t>
      </w:r>
      <w:r w:rsidR="00D352A3">
        <w:t xml:space="preserve"> Calculated during the review using a random-effect model</w:t>
      </w:r>
      <w:r w:rsidR="00ED0CBA">
        <w:t>.</w:t>
      </w:r>
      <w:r w:rsidR="00D352A3">
        <w:t xml:space="preserve"> </w:t>
      </w:r>
    </w:p>
    <w:p w14:paraId="167642F8" w14:textId="77777777" w:rsidR="003370C1" w:rsidRDefault="003370C1" w:rsidP="00DF5CCD">
      <w:pPr>
        <w:pStyle w:val="Heading5"/>
        <w:numPr>
          <w:ilvl w:val="0"/>
          <w:numId w:val="0"/>
        </w:numPr>
        <w:spacing w:after="120"/>
        <w:jc w:val="both"/>
      </w:pPr>
      <w:r w:rsidRPr="00C74B37">
        <w:t>Cut down to quit</w:t>
      </w:r>
    </w:p>
    <w:p w14:paraId="529789CC" w14:textId="325599BC" w:rsidR="004D63D8" w:rsidRPr="004D63D8" w:rsidRDefault="004D63D8" w:rsidP="00DF5CCD">
      <w:pPr>
        <w:spacing w:after="120"/>
        <w:jc w:val="both"/>
        <w:rPr>
          <w:u w:val="single"/>
        </w:rPr>
      </w:pPr>
      <w:r w:rsidRPr="004D63D8">
        <w:rPr>
          <w:u w:val="single"/>
        </w:rPr>
        <w:t>Efficacy</w:t>
      </w:r>
    </w:p>
    <w:p w14:paraId="2D4D14D5" w14:textId="0CF31521" w:rsidR="00855B2F" w:rsidRDefault="003370C1" w:rsidP="00DF5CCD">
      <w:pPr>
        <w:spacing w:after="120"/>
        <w:jc w:val="both"/>
      </w:pPr>
      <w:r w:rsidRPr="0037074A">
        <w:t>A summary of the smoking cessation rates f</w:t>
      </w:r>
      <w:r w:rsidR="00C623F4">
        <w:t>or</w:t>
      </w:r>
      <w:r w:rsidRPr="0037074A">
        <w:t xml:space="preserve"> at least six months follow-up</w:t>
      </w:r>
      <w:r w:rsidR="00840A12">
        <w:t xml:space="preserve"> for reduction with pharmacotherapy versus reduction alone</w:t>
      </w:r>
      <w:r w:rsidRPr="0037074A">
        <w:t xml:space="preserve"> is presented in</w:t>
      </w:r>
      <w:r w:rsidR="0004644D">
        <w:t xml:space="preserve"> </w:t>
      </w:r>
      <w:r w:rsidR="0004644D">
        <w:fldChar w:fldCharType="begin" w:fldLock="1"/>
      </w:r>
      <w:r w:rsidR="0004644D">
        <w:instrText xml:space="preserve"> REF _Ref59701461 \h </w:instrText>
      </w:r>
      <w:r w:rsidR="0004644D">
        <w:fldChar w:fldCharType="separate"/>
      </w:r>
      <w:r w:rsidR="00EC5CC7">
        <w:t xml:space="preserve">Table </w:t>
      </w:r>
      <w:r w:rsidR="00EC5CC7">
        <w:rPr>
          <w:noProof/>
        </w:rPr>
        <w:t>102</w:t>
      </w:r>
      <w:r w:rsidR="0004644D">
        <w:fldChar w:fldCharType="end"/>
      </w:r>
      <w:r>
        <w:t xml:space="preserve">. </w:t>
      </w:r>
      <w:r w:rsidR="00855B2F">
        <w:t xml:space="preserve">Based on the </w:t>
      </w:r>
      <w:r w:rsidR="009D4E55">
        <w:t>Cochrane Review</w:t>
      </w:r>
      <w:r w:rsidR="00855B2F">
        <w:t xml:space="preserve"> conducted by Lindson et al. (2019b),</w:t>
      </w:r>
      <w:r w:rsidR="009D4E55">
        <w:t xml:space="preserve"> the results of the meta-analysis demonstrated a </w:t>
      </w:r>
      <w:r w:rsidR="00975A5E">
        <w:t>significantly higher</w:t>
      </w:r>
      <w:r w:rsidR="00A65518">
        <w:t xml:space="preserve"> rate of smoking cessation in reduction with pharmacotherapy versus reduction alone </w:t>
      </w:r>
      <w:r w:rsidR="00770209">
        <w:t>in</w:t>
      </w:r>
      <w:r w:rsidR="00A65518">
        <w:t xml:space="preserve"> </w:t>
      </w:r>
      <w:r w:rsidR="00E43F07">
        <w:t xml:space="preserve">the </w:t>
      </w:r>
      <w:r w:rsidR="00A65518">
        <w:t>fast acting NRT</w:t>
      </w:r>
      <w:r w:rsidR="00770209">
        <w:t xml:space="preserve"> subgroup</w:t>
      </w:r>
      <w:r w:rsidR="00BE1D59">
        <w:t>. There were no statistically significant difference</w:t>
      </w:r>
      <w:r w:rsidR="0032299D">
        <w:t>s</w:t>
      </w:r>
      <w:r w:rsidR="00BE1D59">
        <w:t xml:space="preserve"> </w:t>
      </w:r>
      <w:r w:rsidR="0032299D">
        <w:t xml:space="preserve">between the two treatment arms </w:t>
      </w:r>
      <w:r w:rsidR="00770209">
        <w:t xml:space="preserve">in </w:t>
      </w:r>
      <w:r w:rsidR="0097468B">
        <w:t>either</w:t>
      </w:r>
      <w:r w:rsidR="0032299D">
        <w:t xml:space="preserve"> </w:t>
      </w:r>
      <w:r w:rsidR="00DF5CCD">
        <w:t xml:space="preserve">the </w:t>
      </w:r>
      <w:r w:rsidR="0032299D">
        <w:t xml:space="preserve">combination NRT </w:t>
      </w:r>
      <w:r w:rsidR="0097468B">
        <w:t>or</w:t>
      </w:r>
      <w:r w:rsidR="0032299D">
        <w:t xml:space="preserve"> NRT </w:t>
      </w:r>
      <w:r w:rsidR="00573F59">
        <w:t>patches</w:t>
      </w:r>
      <w:r w:rsidR="0097468B">
        <w:t xml:space="preserve"> subgroups</w:t>
      </w:r>
      <w:r w:rsidR="0032299D">
        <w:t>.</w:t>
      </w:r>
      <w:r w:rsidR="00855B2F">
        <w:t xml:space="preserve"> </w:t>
      </w:r>
    </w:p>
    <w:p w14:paraId="32E3F023" w14:textId="774631AE" w:rsidR="00DE7819" w:rsidRDefault="00DE7819" w:rsidP="00DF5CCD">
      <w:pPr>
        <w:pStyle w:val="Caption"/>
        <w:keepNext/>
        <w:spacing w:before="0" w:after="120"/>
        <w:jc w:val="both"/>
      </w:pPr>
      <w:bookmarkStart w:id="181" w:name="_Ref59701461"/>
      <w:r>
        <w:lastRenderedPageBreak/>
        <w:t xml:space="preserve">Table </w:t>
      </w:r>
      <w:r w:rsidR="00BF3F75">
        <w:fldChar w:fldCharType="begin"/>
      </w:r>
      <w:r w:rsidR="00BF3F75">
        <w:instrText xml:space="preserve"> SEQ Table \* ARABIC </w:instrText>
      </w:r>
      <w:r w:rsidR="00BF3F75">
        <w:fldChar w:fldCharType="separate"/>
      </w:r>
      <w:r w:rsidR="00EC5CC7">
        <w:rPr>
          <w:noProof/>
        </w:rPr>
        <w:t>102</w:t>
      </w:r>
      <w:r w:rsidR="00BF3F75">
        <w:rPr>
          <w:noProof/>
        </w:rPr>
        <w:fldChar w:fldCharType="end"/>
      </w:r>
      <w:bookmarkEnd w:id="181"/>
      <w:r>
        <w:t xml:space="preserve">: </w:t>
      </w:r>
      <w:r w:rsidRPr="00497D03">
        <w:t>Results of smoking cessation f</w:t>
      </w:r>
      <w:r w:rsidR="00C623F4">
        <w:t>or</w:t>
      </w:r>
      <w:r w:rsidRPr="00497D03">
        <w:t xml:space="preserve"> at least six months follow-up, reduction with pharmacotherapy versus reduction alone</w:t>
      </w:r>
    </w:p>
    <w:tbl>
      <w:tblPr>
        <w:tblStyle w:val="TableGrid"/>
        <w:tblW w:w="5000" w:type="pct"/>
        <w:tblLook w:val="04A0" w:firstRow="1" w:lastRow="0" w:firstColumn="1" w:lastColumn="0" w:noHBand="0" w:noVBand="1"/>
        <w:tblCaption w:val="Efficacy results of adalimumab trials (PASI 75 and DLQI)"/>
      </w:tblPr>
      <w:tblGrid>
        <w:gridCol w:w="1346"/>
        <w:gridCol w:w="2167"/>
        <w:gridCol w:w="1843"/>
        <w:gridCol w:w="1832"/>
        <w:gridCol w:w="1828"/>
      </w:tblGrid>
      <w:tr w:rsidR="003370C1" w:rsidRPr="00061F78" w14:paraId="6E776CAF" w14:textId="77777777" w:rsidTr="00535FAC">
        <w:trPr>
          <w:cantSplit/>
          <w:trHeight w:val="299"/>
          <w:tblHeader/>
        </w:trPr>
        <w:tc>
          <w:tcPr>
            <w:tcW w:w="746" w:type="pct"/>
            <w:shd w:val="clear" w:color="auto" w:fill="BFBFBF" w:themeFill="background1" w:themeFillShade="BF"/>
            <w:tcMar>
              <w:left w:w="28" w:type="dxa"/>
              <w:right w:w="28" w:type="dxa"/>
            </w:tcMar>
          </w:tcPr>
          <w:p w14:paraId="0F1C59D8" w14:textId="77777777" w:rsidR="003370C1" w:rsidRPr="00061F78" w:rsidRDefault="003370C1" w:rsidP="00A5263B">
            <w:pPr>
              <w:pStyle w:val="Tableheading"/>
              <w:keepNext/>
              <w:rPr>
                <w:rFonts w:eastAsia="MS Mincho"/>
              </w:rPr>
            </w:pPr>
            <w:r>
              <w:rPr>
                <w:rFonts w:eastAsia="MS Mincho"/>
              </w:rPr>
              <w:t>Study</w:t>
            </w:r>
          </w:p>
        </w:tc>
        <w:tc>
          <w:tcPr>
            <w:tcW w:w="1202" w:type="pct"/>
            <w:shd w:val="clear" w:color="auto" w:fill="BFBFBF" w:themeFill="background1" w:themeFillShade="BF"/>
            <w:vAlign w:val="center"/>
          </w:tcPr>
          <w:p w14:paraId="4DAF61A0" w14:textId="77777777" w:rsidR="003370C1" w:rsidRDefault="003370C1" w:rsidP="00A5263B">
            <w:pPr>
              <w:pStyle w:val="Tableheading"/>
              <w:keepNext/>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14:paraId="5C410CC4" w14:textId="77777777" w:rsidR="003370C1" w:rsidRPr="00061F78" w:rsidRDefault="003370C1" w:rsidP="00A5263B">
            <w:pPr>
              <w:pStyle w:val="Tableheading"/>
              <w:keepNext/>
              <w:jc w:val="center"/>
              <w:rPr>
                <w:rFonts w:eastAsia="MS Mincho"/>
              </w:rPr>
            </w:pPr>
            <w:r w:rsidRPr="00121B29">
              <w:rPr>
                <w:rFonts w:eastAsia="MS Mincho"/>
              </w:rPr>
              <w:t>Reduction</w:t>
            </w:r>
            <w:r>
              <w:rPr>
                <w:rFonts w:eastAsia="MS Mincho"/>
              </w:rPr>
              <w:t xml:space="preserve"> </w:t>
            </w:r>
            <w:r w:rsidRPr="00121B29">
              <w:rPr>
                <w:rFonts w:eastAsia="MS Mincho"/>
              </w:rPr>
              <w:t>+ phar</w:t>
            </w:r>
            <w:r>
              <w:rPr>
                <w:rFonts w:eastAsia="MS Mincho"/>
              </w:rPr>
              <w:t>macotherapy</w:t>
            </w:r>
          </w:p>
        </w:tc>
        <w:tc>
          <w:tcPr>
            <w:tcW w:w="1016" w:type="pct"/>
            <w:shd w:val="clear" w:color="auto" w:fill="BFBFBF" w:themeFill="background1" w:themeFillShade="BF"/>
            <w:tcMar>
              <w:left w:w="28" w:type="dxa"/>
              <w:right w:w="28" w:type="dxa"/>
            </w:tcMar>
            <w:vAlign w:val="center"/>
          </w:tcPr>
          <w:p w14:paraId="4693ACA5" w14:textId="77777777" w:rsidR="003370C1" w:rsidRPr="00061F78" w:rsidRDefault="003370C1" w:rsidP="00A5263B">
            <w:pPr>
              <w:pStyle w:val="Tableheading"/>
              <w:keepNext/>
              <w:jc w:val="center"/>
              <w:rPr>
                <w:rFonts w:eastAsia="MS Mincho"/>
              </w:rPr>
            </w:pPr>
            <w:r w:rsidRPr="00121B29">
              <w:rPr>
                <w:rFonts w:eastAsia="MS Mincho"/>
              </w:rPr>
              <w:t>Reduction</w:t>
            </w:r>
            <w:r>
              <w:rPr>
                <w:rFonts w:eastAsia="MS Mincho"/>
              </w:rPr>
              <w:t xml:space="preserve"> </w:t>
            </w:r>
            <w:r w:rsidRPr="00121B29">
              <w:rPr>
                <w:rFonts w:eastAsia="MS Mincho"/>
              </w:rPr>
              <w:t>alon</w:t>
            </w:r>
            <w:r>
              <w:rPr>
                <w:rFonts w:eastAsia="MS Mincho"/>
              </w:rPr>
              <w:t>e</w:t>
            </w:r>
          </w:p>
        </w:tc>
        <w:tc>
          <w:tcPr>
            <w:tcW w:w="1014" w:type="pct"/>
            <w:shd w:val="clear" w:color="auto" w:fill="BFBFBF" w:themeFill="background1" w:themeFillShade="BF"/>
            <w:tcMar>
              <w:left w:w="28" w:type="dxa"/>
              <w:right w:w="28" w:type="dxa"/>
            </w:tcMar>
            <w:vAlign w:val="center"/>
          </w:tcPr>
          <w:p w14:paraId="2A530FEF" w14:textId="77777777" w:rsidR="003370C1" w:rsidRPr="002D09A1" w:rsidRDefault="003370C1" w:rsidP="00A5263B">
            <w:pPr>
              <w:pStyle w:val="Tableheading"/>
              <w:keepNext/>
              <w:jc w:val="center"/>
              <w:rPr>
                <w:rFonts w:eastAsia="MS Mincho"/>
                <w:vertAlign w:val="superscript"/>
              </w:rPr>
            </w:pPr>
            <w:r>
              <w:rPr>
                <w:rFonts w:eastAsia="MS Mincho"/>
              </w:rPr>
              <w:t>RR (95% CI)</w:t>
            </w:r>
          </w:p>
        </w:tc>
      </w:tr>
      <w:tr w:rsidR="003370C1" w:rsidRPr="00061F78" w14:paraId="43BF57DE" w14:textId="77777777" w:rsidTr="00535FAC">
        <w:trPr>
          <w:cantSplit/>
          <w:trHeight w:val="257"/>
        </w:trPr>
        <w:tc>
          <w:tcPr>
            <w:tcW w:w="5000" w:type="pct"/>
            <w:gridSpan w:val="5"/>
            <w:shd w:val="clear" w:color="auto" w:fill="auto"/>
            <w:tcMar>
              <w:left w:w="28" w:type="dxa"/>
              <w:right w:w="28" w:type="dxa"/>
            </w:tcMar>
          </w:tcPr>
          <w:p w14:paraId="7C3F1827" w14:textId="7C0DFAC8" w:rsidR="00535FAC" w:rsidRPr="0093605F" w:rsidRDefault="00535FAC" w:rsidP="00A5263B">
            <w:pPr>
              <w:pStyle w:val="Tablewriting"/>
              <w:keepNext/>
              <w:rPr>
                <w:rFonts w:eastAsia="MS Mincho"/>
                <w:b/>
                <w:bCs/>
              </w:rPr>
            </w:pPr>
            <w:r w:rsidRPr="0093605F">
              <w:rPr>
                <w:rFonts w:eastAsia="MS Mincho"/>
                <w:b/>
                <w:bCs/>
              </w:rPr>
              <w:t>Combination NRT</w:t>
            </w:r>
          </w:p>
        </w:tc>
      </w:tr>
      <w:tr w:rsidR="003370C1" w:rsidRPr="00061F78" w14:paraId="4C49C77D" w14:textId="77777777" w:rsidTr="00535FAC">
        <w:trPr>
          <w:cantSplit/>
          <w:trHeight w:val="99"/>
        </w:trPr>
        <w:tc>
          <w:tcPr>
            <w:tcW w:w="746" w:type="pct"/>
            <w:shd w:val="clear" w:color="auto" w:fill="auto"/>
            <w:tcMar>
              <w:left w:w="28" w:type="dxa"/>
              <w:right w:w="28" w:type="dxa"/>
            </w:tcMar>
            <w:vAlign w:val="center"/>
          </w:tcPr>
          <w:p w14:paraId="1E9AB6CB" w14:textId="5B1B2F01" w:rsidR="003370C1" w:rsidRPr="005D18BC" w:rsidRDefault="00535FAC" w:rsidP="00A5263B">
            <w:pPr>
              <w:pStyle w:val="Tablewriting"/>
              <w:keepNext/>
              <w:rPr>
                <w:rFonts w:eastAsia="MS Mincho"/>
                <w:highlight w:val="yellow"/>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14:paraId="05D5BB1B" w14:textId="77777777" w:rsidR="00535FAC" w:rsidRDefault="00535FAC" w:rsidP="00A5263B">
            <w:pPr>
              <w:pStyle w:val="Tablewriting"/>
              <w:keepNext/>
              <w:jc w:val="center"/>
              <w:rPr>
                <w:rFonts w:eastAsia="MS Mincho"/>
              </w:rPr>
            </w:pPr>
            <w:r>
              <w:rPr>
                <w:rFonts w:eastAsia="MS Mincho"/>
              </w:rPr>
              <w:t>Cochrane Review</w:t>
            </w:r>
          </w:p>
          <w:p w14:paraId="306346BD" w14:textId="5F067C19" w:rsidR="003370C1" w:rsidRPr="00A22F63" w:rsidRDefault="00535FAC" w:rsidP="00A5263B">
            <w:pPr>
              <w:pStyle w:val="Tablewriting"/>
              <w:keepNext/>
              <w:jc w:val="center"/>
              <w:rPr>
                <w:rFonts w:eastAsia="MS Mincho"/>
              </w:rPr>
            </w:pPr>
            <w:r>
              <w:rPr>
                <w:rFonts w:eastAsia="MS Mincho"/>
              </w:rPr>
              <w:t>(4 RCTs)</w:t>
            </w:r>
          </w:p>
        </w:tc>
        <w:tc>
          <w:tcPr>
            <w:tcW w:w="1022" w:type="pct"/>
            <w:shd w:val="clear" w:color="auto" w:fill="auto"/>
            <w:tcMar>
              <w:left w:w="28" w:type="dxa"/>
              <w:right w:w="28" w:type="dxa"/>
            </w:tcMar>
            <w:vAlign w:val="center"/>
          </w:tcPr>
          <w:p w14:paraId="0F60D67E" w14:textId="77777777" w:rsidR="00535FAC" w:rsidRDefault="00535FAC" w:rsidP="00A5263B">
            <w:pPr>
              <w:pStyle w:val="Tablewriting"/>
              <w:keepNext/>
              <w:jc w:val="center"/>
              <w:rPr>
                <w:rFonts w:eastAsia="MS Mincho"/>
              </w:rPr>
            </w:pPr>
            <w:r>
              <w:rPr>
                <w:rFonts w:eastAsia="MS Mincho"/>
              </w:rPr>
              <w:t>85/578</w:t>
            </w:r>
          </w:p>
          <w:p w14:paraId="17683BBF" w14:textId="001E3085" w:rsidR="003370C1" w:rsidRPr="000F20CA" w:rsidRDefault="00535FAC" w:rsidP="00A5263B">
            <w:pPr>
              <w:pStyle w:val="Tablewriting"/>
              <w:keepNext/>
              <w:jc w:val="center"/>
              <w:rPr>
                <w:rFonts w:eastAsia="MS Mincho"/>
              </w:rPr>
            </w:pPr>
            <w:r>
              <w:rPr>
                <w:rFonts w:eastAsia="MS Mincho"/>
              </w:rPr>
              <w:t>(</w:t>
            </w:r>
            <w:r w:rsidR="000E698E">
              <w:rPr>
                <w:rFonts w:eastAsia="MS Mincho"/>
              </w:rPr>
              <w:t>14.7</w:t>
            </w:r>
            <w:r>
              <w:rPr>
                <w:rFonts w:eastAsia="MS Mincho"/>
              </w:rPr>
              <w:t>%)</w:t>
            </w:r>
          </w:p>
        </w:tc>
        <w:tc>
          <w:tcPr>
            <w:tcW w:w="1016" w:type="pct"/>
            <w:shd w:val="clear" w:color="auto" w:fill="auto"/>
            <w:tcMar>
              <w:left w:w="28" w:type="dxa"/>
              <w:right w:w="28" w:type="dxa"/>
            </w:tcMar>
            <w:vAlign w:val="center"/>
          </w:tcPr>
          <w:p w14:paraId="464A4B47" w14:textId="77777777" w:rsidR="00535FAC" w:rsidRDefault="00535FAC" w:rsidP="00A5263B">
            <w:pPr>
              <w:pStyle w:val="Tablewriting"/>
              <w:keepNext/>
              <w:jc w:val="center"/>
              <w:rPr>
                <w:rFonts w:eastAsia="MS Mincho"/>
              </w:rPr>
            </w:pPr>
            <w:r>
              <w:rPr>
                <w:rFonts w:eastAsia="MS Mincho"/>
              </w:rPr>
              <w:t>81/546</w:t>
            </w:r>
          </w:p>
          <w:p w14:paraId="74661118" w14:textId="397A4067" w:rsidR="003370C1" w:rsidRPr="000F20CA" w:rsidRDefault="00535FAC" w:rsidP="00A5263B">
            <w:pPr>
              <w:pStyle w:val="Tablewriting"/>
              <w:keepNext/>
              <w:jc w:val="center"/>
              <w:rPr>
                <w:rFonts w:eastAsia="MS Mincho"/>
              </w:rPr>
            </w:pPr>
            <w:r>
              <w:rPr>
                <w:rFonts w:eastAsia="MS Mincho"/>
              </w:rPr>
              <w:t>(</w:t>
            </w:r>
            <w:r w:rsidR="000E698E">
              <w:rPr>
                <w:rFonts w:eastAsia="MS Mincho"/>
              </w:rPr>
              <w:t>14.8</w:t>
            </w:r>
            <w:r>
              <w:rPr>
                <w:rFonts w:eastAsia="MS Mincho"/>
              </w:rPr>
              <w:t>%)</w:t>
            </w:r>
          </w:p>
        </w:tc>
        <w:tc>
          <w:tcPr>
            <w:tcW w:w="1014" w:type="pct"/>
            <w:shd w:val="clear" w:color="auto" w:fill="auto"/>
            <w:tcMar>
              <w:left w:w="28" w:type="dxa"/>
              <w:right w:w="28" w:type="dxa"/>
            </w:tcMar>
            <w:vAlign w:val="center"/>
          </w:tcPr>
          <w:p w14:paraId="0AC09862" w14:textId="77777777" w:rsidR="00535FAC" w:rsidRPr="00121B29" w:rsidRDefault="00535FAC" w:rsidP="006232E8">
            <w:pPr>
              <w:pStyle w:val="Tablewriting"/>
              <w:keepNext/>
              <w:jc w:val="center"/>
              <w:rPr>
                <w:rFonts w:eastAsia="MS Mincho"/>
              </w:rPr>
            </w:pPr>
            <w:r w:rsidRPr="00121B29">
              <w:rPr>
                <w:rFonts w:eastAsia="MS Mincho"/>
              </w:rPr>
              <w:t xml:space="preserve">1.02 </w:t>
            </w:r>
          </w:p>
          <w:p w14:paraId="512AA681" w14:textId="19A2A1AC" w:rsidR="003370C1" w:rsidRPr="00A22F63" w:rsidRDefault="00535FAC" w:rsidP="00A5263B">
            <w:pPr>
              <w:pStyle w:val="Tablewriting"/>
              <w:keepNext/>
              <w:jc w:val="center"/>
              <w:rPr>
                <w:rFonts w:eastAsia="MS Mincho"/>
                <w:b/>
                <w:bCs/>
              </w:rPr>
            </w:pPr>
            <w:r w:rsidRPr="00121B29">
              <w:rPr>
                <w:rFonts w:eastAsia="MS Mincho"/>
              </w:rPr>
              <w:t>(0.61, 1.69)</w:t>
            </w:r>
          </w:p>
        </w:tc>
      </w:tr>
      <w:tr w:rsidR="003370C1" w:rsidRPr="00061F78" w14:paraId="5A36D345" w14:textId="77777777" w:rsidTr="00535FAC">
        <w:trPr>
          <w:cantSplit/>
          <w:trHeight w:val="99"/>
        </w:trPr>
        <w:tc>
          <w:tcPr>
            <w:tcW w:w="5000" w:type="pct"/>
            <w:gridSpan w:val="5"/>
            <w:shd w:val="clear" w:color="auto" w:fill="auto"/>
            <w:tcMar>
              <w:left w:w="28" w:type="dxa"/>
              <w:right w:w="28" w:type="dxa"/>
            </w:tcMar>
            <w:vAlign w:val="center"/>
          </w:tcPr>
          <w:p w14:paraId="60F98EEC" w14:textId="3EA02A53" w:rsidR="00535FAC" w:rsidRPr="0093605F" w:rsidRDefault="00535FAC" w:rsidP="00A5263B">
            <w:pPr>
              <w:pStyle w:val="Tablewriting"/>
              <w:keepNext/>
              <w:rPr>
                <w:rFonts w:eastAsia="MS Mincho"/>
                <w:b/>
                <w:bCs/>
              </w:rPr>
            </w:pPr>
            <w:r w:rsidRPr="0093605F">
              <w:rPr>
                <w:rFonts w:eastAsia="MS Mincho"/>
                <w:b/>
                <w:bCs/>
              </w:rPr>
              <w:t>Patch</w:t>
            </w:r>
          </w:p>
        </w:tc>
      </w:tr>
      <w:tr w:rsidR="003370C1" w:rsidRPr="00061F78" w14:paraId="74BEF1BE" w14:textId="77777777" w:rsidTr="00535FAC">
        <w:trPr>
          <w:cantSplit/>
          <w:trHeight w:val="99"/>
        </w:trPr>
        <w:tc>
          <w:tcPr>
            <w:tcW w:w="746" w:type="pct"/>
            <w:shd w:val="clear" w:color="auto" w:fill="auto"/>
            <w:tcMar>
              <w:left w:w="28" w:type="dxa"/>
              <w:right w:w="28" w:type="dxa"/>
            </w:tcMar>
            <w:vAlign w:val="center"/>
          </w:tcPr>
          <w:p w14:paraId="0453D583" w14:textId="3CE731A0" w:rsidR="003370C1" w:rsidRPr="00121B29" w:rsidRDefault="00535FAC" w:rsidP="00A5263B">
            <w:pPr>
              <w:pStyle w:val="Tablewriting"/>
              <w:keepNext/>
              <w:rPr>
                <w:rFonts w:eastAsia="MS Mincho"/>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14:paraId="7AC493A0" w14:textId="77777777" w:rsidR="00535FAC" w:rsidRDefault="00535FAC" w:rsidP="006232E8">
            <w:pPr>
              <w:pStyle w:val="Tablewriting"/>
              <w:keepNext/>
              <w:jc w:val="center"/>
              <w:rPr>
                <w:rFonts w:eastAsia="MS Mincho"/>
              </w:rPr>
            </w:pPr>
            <w:r>
              <w:rPr>
                <w:rFonts w:eastAsia="MS Mincho"/>
              </w:rPr>
              <w:t>Cochrane Review</w:t>
            </w:r>
          </w:p>
          <w:p w14:paraId="1F32B518" w14:textId="56948258" w:rsidR="003370C1" w:rsidRPr="00A22F63" w:rsidRDefault="00535FAC" w:rsidP="00A5263B">
            <w:pPr>
              <w:pStyle w:val="Tablewriting"/>
              <w:keepNext/>
              <w:jc w:val="center"/>
              <w:rPr>
                <w:rFonts w:eastAsia="MS Mincho"/>
              </w:rPr>
            </w:pPr>
            <w:r>
              <w:rPr>
                <w:rFonts w:eastAsia="MS Mincho"/>
              </w:rPr>
              <w:t>(2 RCTs)</w:t>
            </w:r>
          </w:p>
        </w:tc>
        <w:tc>
          <w:tcPr>
            <w:tcW w:w="1022" w:type="pct"/>
            <w:shd w:val="clear" w:color="auto" w:fill="auto"/>
            <w:tcMar>
              <w:left w:w="28" w:type="dxa"/>
              <w:right w:w="28" w:type="dxa"/>
            </w:tcMar>
            <w:vAlign w:val="center"/>
          </w:tcPr>
          <w:p w14:paraId="3A8A8872" w14:textId="77777777" w:rsidR="00535FAC" w:rsidRDefault="00D622DA" w:rsidP="006232E8">
            <w:pPr>
              <w:pStyle w:val="Tablewriting"/>
              <w:keepNext/>
              <w:jc w:val="center"/>
              <w:rPr>
                <w:rFonts w:eastAsia="MS Mincho"/>
              </w:rPr>
            </w:pPr>
            <w:r>
              <w:rPr>
                <w:rFonts w:eastAsia="MS Mincho"/>
              </w:rPr>
              <w:t>3/65</w:t>
            </w:r>
          </w:p>
          <w:p w14:paraId="572BACA4" w14:textId="5743814B" w:rsidR="003370C1" w:rsidRPr="000F20CA" w:rsidRDefault="00D622DA" w:rsidP="00A5263B">
            <w:pPr>
              <w:pStyle w:val="Tablewriting"/>
              <w:keepNext/>
              <w:jc w:val="center"/>
              <w:rPr>
                <w:rFonts w:eastAsia="MS Mincho"/>
              </w:rPr>
            </w:pPr>
            <w:r>
              <w:rPr>
                <w:rFonts w:eastAsia="MS Mincho"/>
              </w:rPr>
              <w:t>(</w:t>
            </w:r>
            <w:r w:rsidR="000E698E">
              <w:rPr>
                <w:rFonts w:eastAsia="MS Mincho"/>
              </w:rPr>
              <w:t>4.6</w:t>
            </w:r>
            <w:r>
              <w:rPr>
                <w:rFonts w:eastAsia="MS Mincho"/>
              </w:rPr>
              <w:t>%)</w:t>
            </w:r>
          </w:p>
        </w:tc>
        <w:tc>
          <w:tcPr>
            <w:tcW w:w="1016" w:type="pct"/>
            <w:shd w:val="clear" w:color="auto" w:fill="auto"/>
            <w:tcMar>
              <w:left w:w="28" w:type="dxa"/>
              <w:right w:w="28" w:type="dxa"/>
            </w:tcMar>
            <w:vAlign w:val="center"/>
          </w:tcPr>
          <w:p w14:paraId="4FB90650" w14:textId="77777777" w:rsidR="00535FAC" w:rsidRDefault="00D622DA" w:rsidP="006232E8">
            <w:pPr>
              <w:pStyle w:val="Tablewriting"/>
              <w:keepNext/>
              <w:jc w:val="center"/>
              <w:rPr>
                <w:rFonts w:eastAsia="MS Mincho"/>
              </w:rPr>
            </w:pPr>
            <w:r>
              <w:rPr>
                <w:rFonts w:eastAsia="MS Mincho"/>
              </w:rPr>
              <w:t>3/20</w:t>
            </w:r>
          </w:p>
          <w:p w14:paraId="0C70D9C9" w14:textId="1EBFC9F1" w:rsidR="003370C1" w:rsidRPr="000F20CA" w:rsidRDefault="00D622DA" w:rsidP="00A5263B">
            <w:pPr>
              <w:pStyle w:val="Tablewriting"/>
              <w:keepNext/>
              <w:jc w:val="center"/>
              <w:rPr>
                <w:rFonts w:eastAsia="MS Mincho"/>
              </w:rPr>
            </w:pPr>
            <w:r>
              <w:rPr>
                <w:rFonts w:eastAsia="MS Mincho"/>
              </w:rPr>
              <w:t>(</w:t>
            </w:r>
            <w:r w:rsidR="000E698E">
              <w:rPr>
                <w:rFonts w:eastAsia="MS Mincho"/>
              </w:rPr>
              <w:t>15</w:t>
            </w:r>
            <w:r>
              <w:rPr>
                <w:rFonts w:eastAsia="MS Mincho"/>
              </w:rPr>
              <w:t>%)</w:t>
            </w:r>
          </w:p>
        </w:tc>
        <w:tc>
          <w:tcPr>
            <w:tcW w:w="1014" w:type="pct"/>
            <w:shd w:val="clear" w:color="auto" w:fill="auto"/>
            <w:tcMar>
              <w:left w:w="28" w:type="dxa"/>
              <w:right w:w="28" w:type="dxa"/>
            </w:tcMar>
            <w:vAlign w:val="center"/>
          </w:tcPr>
          <w:p w14:paraId="38C19BBC" w14:textId="77777777" w:rsidR="00535FAC" w:rsidRDefault="00535FAC" w:rsidP="006232E8">
            <w:pPr>
              <w:pStyle w:val="Tablewriting"/>
              <w:keepNext/>
              <w:jc w:val="center"/>
              <w:rPr>
                <w:rFonts w:eastAsia="MS Mincho"/>
              </w:rPr>
            </w:pPr>
            <w:r>
              <w:rPr>
                <w:rFonts w:eastAsia="MS Mincho"/>
              </w:rPr>
              <w:t>0.34</w:t>
            </w:r>
          </w:p>
          <w:p w14:paraId="4E7BDDE6" w14:textId="7680501D" w:rsidR="003370C1" w:rsidRPr="00A22F63" w:rsidRDefault="00535FAC" w:rsidP="00A5263B">
            <w:pPr>
              <w:pStyle w:val="Tablewriting"/>
              <w:keepNext/>
              <w:jc w:val="center"/>
              <w:rPr>
                <w:rFonts w:eastAsia="MS Mincho"/>
                <w:b/>
                <w:bCs/>
              </w:rPr>
            </w:pPr>
            <w:r>
              <w:rPr>
                <w:rFonts w:eastAsia="MS Mincho"/>
              </w:rPr>
              <w:t>(0.02, 5.31)</w:t>
            </w:r>
          </w:p>
        </w:tc>
      </w:tr>
      <w:tr w:rsidR="003370C1" w:rsidRPr="00061F78" w14:paraId="021D8B8F" w14:textId="77777777" w:rsidTr="00535FAC">
        <w:trPr>
          <w:cantSplit/>
          <w:trHeight w:val="99"/>
        </w:trPr>
        <w:tc>
          <w:tcPr>
            <w:tcW w:w="5000" w:type="pct"/>
            <w:gridSpan w:val="5"/>
            <w:shd w:val="clear" w:color="auto" w:fill="auto"/>
            <w:tcMar>
              <w:left w:w="28" w:type="dxa"/>
              <w:right w:w="28" w:type="dxa"/>
            </w:tcMar>
            <w:vAlign w:val="center"/>
          </w:tcPr>
          <w:p w14:paraId="4EC64F43" w14:textId="2FD6F3FF" w:rsidR="00535FAC" w:rsidRPr="0093605F" w:rsidRDefault="00535FAC" w:rsidP="00A5263B">
            <w:pPr>
              <w:pStyle w:val="Tablewriting"/>
              <w:keepNext/>
              <w:rPr>
                <w:rFonts w:eastAsia="MS Mincho"/>
                <w:b/>
                <w:bCs/>
              </w:rPr>
            </w:pPr>
            <w:r w:rsidRPr="0093605F">
              <w:rPr>
                <w:rFonts w:eastAsia="MS Mincho"/>
                <w:b/>
                <w:bCs/>
              </w:rPr>
              <w:t>Fast acting NRT</w:t>
            </w:r>
          </w:p>
        </w:tc>
      </w:tr>
      <w:tr w:rsidR="003370C1" w:rsidRPr="00061F78" w14:paraId="08A89BF8" w14:textId="77777777" w:rsidTr="00535FAC">
        <w:trPr>
          <w:cantSplit/>
          <w:trHeight w:val="99"/>
        </w:trPr>
        <w:tc>
          <w:tcPr>
            <w:tcW w:w="746" w:type="pct"/>
            <w:shd w:val="clear" w:color="auto" w:fill="auto"/>
            <w:tcMar>
              <w:left w:w="28" w:type="dxa"/>
              <w:right w:w="28" w:type="dxa"/>
            </w:tcMar>
            <w:vAlign w:val="center"/>
          </w:tcPr>
          <w:p w14:paraId="427FA90B" w14:textId="0C678F0F" w:rsidR="003370C1" w:rsidRPr="00121B29" w:rsidRDefault="00535FAC" w:rsidP="00A5263B">
            <w:pPr>
              <w:pStyle w:val="Tablewriting"/>
              <w:keepNext/>
              <w:rPr>
                <w:rFonts w:eastAsia="MS Mincho"/>
              </w:rPr>
            </w:pPr>
            <w:r>
              <w:rPr>
                <w:rFonts w:eastAsia="MS Mincho"/>
              </w:rPr>
              <w:t>Lindson (2019</w:t>
            </w:r>
            <w:r w:rsidR="005B6285">
              <w:rPr>
                <w:rFonts w:eastAsia="MS Mincho"/>
              </w:rPr>
              <w:t>b</w:t>
            </w:r>
            <w:r>
              <w:rPr>
                <w:rFonts w:eastAsia="MS Mincho"/>
              </w:rPr>
              <w:t>)</w:t>
            </w:r>
          </w:p>
        </w:tc>
        <w:tc>
          <w:tcPr>
            <w:tcW w:w="1202" w:type="pct"/>
            <w:shd w:val="clear" w:color="auto" w:fill="auto"/>
            <w:vAlign w:val="center"/>
          </w:tcPr>
          <w:p w14:paraId="3E13122D" w14:textId="77777777" w:rsidR="00535FAC" w:rsidRDefault="00535FAC" w:rsidP="006232E8">
            <w:pPr>
              <w:pStyle w:val="Tablewriting"/>
              <w:keepNext/>
              <w:jc w:val="center"/>
              <w:rPr>
                <w:rFonts w:eastAsia="MS Mincho"/>
              </w:rPr>
            </w:pPr>
            <w:r>
              <w:rPr>
                <w:rFonts w:eastAsia="MS Mincho"/>
              </w:rPr>
              <w:t>Cochrane Review</w:t>
            </w:r>
          </w:p>
          <w:p w14:paraId="3684D866" w14:textId="718065AE" w:rsidR="003370C1" w:rsidRPr="00A22F63" w:rsidRDefault="00535FAC" w:rsidP="00A5263B">
            <w:pPr>
              <w:pStyle w:val="Tablewriting"/>
              <w:keepNext/>
              <w:jc w:val="center"/>
              <w:rPr>
                <w:rFonts w:eastAsia="MS Mincho"/>
              </w:rPr>
            </w:pPr>
            <w:r>
              <w:rPr>
                <w:rFonts w:eastAsia="MS Mincho"/>
              </w:rPr>
              <w:t>(8 RCTs)</w:t>
            </w:r>
          </w:p>
        </w:tc>
        <w:tc>
          <w:tcPr>
            <w:tcW w:w="1022" w:type="pct"/>
            <w:shd w:val="clear" w:color="auto" w:fill="auto"/>
            <w:tcMar>
              <w:left w:w="28" w:type="dxa"/>
              <w:right w:w="28" w:type="dxa"/>
            </w:tcMar>
            <w:vAlign w:val="center"/>
          </w:tcPr>
          <w:p w14:paraId="6BB11812" w14:textId="77777777" w:rsidR="00535FAC" w:rsidRDefault="00D622DA" w:rsidP="006232E8">
            <w:pPr>
              <w:pStyle w:val="Tablewriting"/>
              <w:keepNext/>
              <w:jc w:val="center"/>
              <w:rPr>
                <w:rFonts w:eastAsia="MS Mincho"/>
              </w:rPr>
            </w:pPr>
            <w:r>
              <w:rPr>
                <w:rFonts w:eastAsia="MS Mincho"/>
              </w:rPr>
              <w:t>193/2,737</w:t>
            </w:r>
          </w:p>
          <w:p w14:paraId="2C920558" w14:textId="500D970B" w:rsidR="003370C1" w:rsidRPr="00BB489A" w:rsidRDefault="00D622DA" w:rsidP="00A5263B">
            <w:pPr>
              <w:pStyle w:val="Tablewriting"/>
              <w:keepNext/>
              <w:jc w:val="center"/>
              <w:rPr>
                <w:rFonts w:eastAsia="MS Mincho"/>
              </w:rPr>
            </w:pPr>
            <w:r>
              <w:rPr>
                <w:rFonts w:eastAsia="MS Mincho"/>
              </w:rPr>
              <w:t>(</w:t>
            </w:r>
            <w:r w:rsidR="000E698E">
              <w:rPr>
                <w:rFonts w:eastAsia="MS Mincho"/>
              </w:rPr>
              <w:t>7.1</w:t>
            </w:r>
            <w:r>
              <w:rPr>
                <w:rFonts w:eastAsia="MS Mincho"/>
              </w:rPr>
              <w:t>%)</w:t>
            </w:r>
          </w:p>
        </w:tc>
        <w:tc>
          <w:tcPr>
            <w:tcW w:w="1016" w:type="pct"/>
            <w:shd w:val="clear" w:color="auto" w:fill="auto"/>
            <w:tcMar>
              <w:left w:w="28" w:type="dxa"/>
              <w:right w:w="28" w:type="dxa"/>
            </w:tcMar>
            <w:vAlign w:val="center"/>
          </w:tcPr>
          <w:p w14:paraId="318FFB13" w14:textId="77777777" w:rsidR="00535FAC" w:rsidRDefault="00D622DA" w:rsidP="006232E8">
            <w:pPr>
              <w:pStyle w:val="Tablewriting"/>
              <w:keepNext/>
              <w:jc w:val="center"/>
              <w:rPr>
                <w:rFonts w:eastAsia="MS Mincho"/>
              </w:rPr>
            </w:pPr>
            <w:r>
              <w:rPr>
                <w:rFonts w:eastAsia="MS Mincho"/>
              </w:rPr>
              <w:t>62/2,586</w:t>
            </w:r>
          </w:p>
          <w:p w14:paraId="58DDC267" w14:textId="6CB12C05" w:rsidR="003370C1" w:rsidRPr="00BB489A" w:rsidRDefault="00D622DA" w:rsidP="00A5263B">
            <w:pPr>
              <w:pStyle w:val="Tablewriting"/>
              <w:keepNext/>
              <w:jc w:val="center"/>
              <w:rPr>
                <w:rFonts w:eastAsia="MS Mincho"/>
              </w:rPr>
            </w:pPr>
            <w:r>
              <w:rPr>
                <w:rFonts w:eastAsia="MS Mincho"/>
              </w:rPr>
              <w:t>(</w:t>
            </w:r>
            <w:r w:rsidR="000E698E">
              <w:rPr>
                <w:rFonts w:eastAsia="MS Mincho"/>
              </w:rPr>
              <w:t>2.4</w:t>
            </w:r>
            <w:r>
              <w:rPr>
                <w:rFonts w:eastAsia="MS Mincho"/>
              </w:rPr>
              <w:t>%)</w:t>
            </w:r>
          </w:p>
        </w:tc>
        <w:tc>
          <w:tcPr>
            <w:tcW w:w="1014" w:type="pct"/>
            <w:shd w:val="clear" w:color="auto" w:fill="auto"/>
            <w:tcMar>
              <w:left w:w="28" w:type="dxa"/>
              <w:right w:w="28" w:type="dxa"/>
            </w:tcMar>
            <w:vAlign w:val="center"/>
          </w:tcPr>
          <w:p w14:paraId="6D0B3C38" w14:textId="77777777" w:rsidR="00535FAC" w:rsidRDefault="00535FAC" w:rsidP="003F28CF">
            <w:pPr>
              <w:pStyle w:val="Tablewriting"/>
              <w:keepNext/>
              <w:jc w:val="center"/>
              <w:rPr>
                <w:rFonts w:eastAsia="MS Mincho"/>
                <w:b/>
                <w:bCs/>
              </w:rPr>
            </w:pPr>
            <w:r>
              <w:rPr>
                <w:rFonts w:eastAsia="MS Mincho"/>
                <w:b/>
                <w:bCs/>
              </w:rPr>
              <w:t xml:space="preserve">2.56 </w:t>
            </w:r>
          </w:p>
          <w:p w14:paraId="6716E3C8" w14:textId="49C3B4B7" w:rsidR="003370C1" w:rsidRPr="0046171E" w:rsidRDefault="00535FAC" w:rsidP="00A5263B">
            <w:pPr>
              <w:pStyle w:val="Tablewriting"/>
              <w:keepNext/>
              <w:jc w:val="center"/>
              <w:rPr>
                <w:rFonts w:eastAsia="MS Mincho"/>
              </w:rPr>
            </w:pPr>
            <w:r>
              <w:rPr>
                <w:rFonts w:eastAsia="MS Mincho"/>
                <w:b/>
                <w:bCs/>
              </w:rPr>
              <w:t>(1.93, 3.39</w:t>
            </w:r>
            <w:r w:rsidRPr="003F28CF">
              <w:rPr>
                <w:rFonts w:eastAsia="MS Mincho"/>
                <w:b/>
                <w:bCs/>
              </w:rPr>
              <w:t>)</w:t>
            </w:r>
          </w:p>
        </w:tc>
      </w:tr>
    </w:tbl>
    <w:p w14:paraId="73A63506" w14:textId="0B4184DB" w:rsidR="003370C1" w:rsidRPr="00566F12" w:rsidRDefault="003370C1" w:rsidP="00DF5CCD">
      <w:pPr>
        <w:pStyle w:val="TableFooter"/>
        <w:keepNext/>
        <w:jc w:val="both"/>
      </w:pPr>
      <w:r w:rsidRPr="00566F12">
        <w:t xml:space="preserve">Source: Lindson et al. </w:t>
      </w:r>
      <w:r w:rsidRPr="00B631F0">
        <w:t>(2019</w:t>
      </w:r>
      <w:r w:rsidR="005C0865" w:rsidRPr="00B631F0">
        <w:t>b</w:t>
      </w:r>
      <w:r w:rsidRPr="00B631F0">
        <w:t>)</w:t>
      </w:r>
      <w:r>
        <w:t xml:space="preserve"> </w:t>
      </w:r>
    </w:p>
    <w:p w14:paraId="77C53CD9" w14:textId="77777777" w:rsidR="00D622DA" w:rsidRDefault="003370C1" w:rsidP="00DF5CCD">
      <w:pPr>
        <w:pStyle w:val="TableFooter"/>
        <w:jc w:val="both"/>
      </w:pPr>
      <w:r w:rsidRPr="00566F12">
        <w:t>Abbreviations: CI = confidence interval; RCT = randomised controlled trial; RR = risk ratio</w:t>
      </w:r>
      <w:r>
        <w:t xml:space="preserve">. </w:t>
      </w:r>
    </w:p>
    <w:p w14:paraId="290455B7" w14:textId="00B696D6" w:rsidR="003370C1" w:rsidRDefault="003370C1" w:rsidP="00DF5CCD">
      <w:pPr>
        <w:pStyle w:val="TableFooter"/>
        <w:jc w:val="both"/>
      </w:pPr>
      <w:r w:rsidRPr="00566F12">
        <w:t>Notes:</w:t>
      </w:r>
      <w:r>
        <w:t xml:space="preserve"> </w:t>
      </w:r>
      <w:r w:rsidRPr="00D622DA">
        <w:t>Bold</w:t>
      </w:r>
      <w:r w:rsidRPr="0041240E">
        <w:t xml:space="preserve"> indicates statistically significant difference.</w:t>
      </w:r>
    </w:p>
    <w:p w14:paraId="26591989" w14:textId="259E3363" w:rsidR="003370C1" w:rsidRPr="00DF5CCD" w:rsidRDefault="00D622DA" w:rsidP="00DF5CCD">
      <w:pPr>
        <w:pStyle w:val="TableFooter"/>
        <w:spacing w:after="120"/>
        <w:contextualSpacing w:val="0"/>
        <w:jc w:val="both"/>
      </w:pPr>
      <w:r>
        <w:t>1 Calculated by Cochrane Review authors using a fixed-effect model</w:t>
      </w:r>
      <w:r w:rsidR="00ED0CBA">
        <w:t>.</w:t>
      </w:r>
    </w:p>
    <w:p w14:paraId="43355E42" w14:textId="6FC8B70A" w:rsidR="003370C1" w:rsidRPr="005B308B" w:rsidRDefault="003370C1" w:rsidP="00DF5CCD">
      <w:pPr>
        <w:pStyle w:val="TableFooter"/>
        <w:spacing w:after="120"/>
        <w:contextualSpacing w:val="0"/>
        <w:jc w:val="both"/>
        <w:rPr>
          <w:sz w:val="24"/>
        </w:rPr>
      </w:pPr>
      <w:r w:rsidRPr="00F136E9">
        <w:rPr>
          <w:sz w:val="24"/>
        </w:rPr>
        <w:t>The results of the individual studies</w:t>
      </w:r>
      <w:r>
        <w:rPr>
          <w:sz w:val="24"/>
        </w:rPr>
        <w:t xml:space="preserve"> relevant to cut down to quit comparisons </w:t>
      </w:r>
      <w:r w:rsidRPr="00F136E9">
        <w:rPr>
          <w:sz w:val="24"/>
        </w:rPr>
        <w:t>are presented using a forest plot i</w:t>
      </w:r>
      <w:r>
        <w:rPr>
          <w:sz w:val="24"/>
        </w:rPr>
        <w:t>n</w:t>
      </w:r>
      <w:r w:rsidR="005B308B">
        <w:rPr>
          <w:sz w:val="24"/>
        </w:rPr>
        <w:t xml:space="preserve"> </w:t>
      </w:r>
      <w:r w:rsidR="005B308B">
        <w:rPr>
          <w:sz w:val="24"/>
        </w:rPr>
        <w:fldChar w:fldCharType="begin" w:fldLock="1"/>
      </w:r>
      <w:r w:rsidR="005B308B">
        <w:rPr>
          <w:sz w:val="24"/>
        </w:rPr>
        <w:instrText xml:space="preserve"> REF _Ref59702228 \h  \* MERGEFORMAT </w:instrText>
      </w:r>
      <w:r w:rsidR="005B308B">
        <w:rPr>
          <w:sz w:val="24"/>
        </w:rPr>
      </w:r>
      <w:r w:rsidR="005B308B">
        <w:rPr>
          <w:sz w:val="24"/>
        </w:rPr>
        <w:fldChar w:fldCharType="separate"/>
      </w:r>
      <w:r w:rsidR="00EC5CC7" w:rsidRPr="00EC5CC7">
        <w:rPr>
          <w:sz w:val="24"/>
        </w:rPr>
        <w:t>Figure 34</w:t>
      </w:r>
      <w:r w:rsidR="005B308B">
        <w:rPr>
          <w:sz w:val="24"/>
        </w:rPr>
        <w:fldChar w:fldCharType="end"/>
      </w:r>
      <w:r w:rsidR="005B308B">
        <w:rPr>
          <w:sz w:val="24"/>
        </w:rPr>
        <w:t xml:space="preserve">. </w:t>
      </w:r>
    </w:p>
    <w:p w14:paraId="4FB39A5F" w14:textId="7F95EA68" w:rsidR="00885CA2" w:rsidRDefault="008D25B2" w:rsidP="00885CA2">
      <w:pPr>
        <w:keepNext/>
        <w:spacing w:line="276" w:lineRule="auto"/>
      </w:pPr>
      <w:r>
        <w:rPr>
          <w:noProof/>
        </w:rPr>
        <w:lastRenderedPageBreak/>
        <mc:AlternateContent>
          <mc:Choice Requires="wpg">
            <w:drawing>
              <wp:anchor distT="0" distB="0" distL="114300" distR="114300" simplePos="0" relativeHeight="251658240" behindDoc="0" locked="0" layoutInCell="1" allowOverlap="1" wp14:anchorId="354E9A9B" wp14:editId="2E91CADA">
                <wp:simplePos x="0" y="0"/>
                <wp:positionH relativeFrom="column">
                  <wp:posOffset>0</wp:posOffset>
                </wp:positionH>
                <wp:positionV relativeFrom="paragraph">
                  <wp:posOffset>0</wp:posOffset>
                </wp:positionV>
                <wp:extent cx="5731510" cy="7280275"/>
                <wp:effectExtent l="0" t="0" r="2540" b="0"/>
                <wp:wrapSquare wrapText="bothSides"/>
                <wp:docPr id="118" name="Group 118" descr="P7070#y1"/>
                <wp:cNvGraphicFramePr/>
                <a:graphic xmlns:a="http://schemas.openxmlformats.org/drawingml/2006/main">
                  <a:graphicData uri="http://schemas.microsoft.com/office/word/2010/wordprocessingGroup">
                    <wpg:wgp>
                      <wpg:cNvGrpSpPr/>
                      <wpg:grpSpPr>
                        <a:xfrm>
                          <a:off x="0" y="0"/>
                          <a:ext cx="5731510" cy="7280275"/>
                          <a:chOff x="0" y="0"/>
                          <a:chExt cx="5731510" cy="7280275"/>
                        </a:xfrm>
                      </wpg:grpSpPr>
                      <pic:pic xmlns:pic="http://schemas.openxmlformats.org/drawingml/2006/picture">
                        <pic:nvPicPr>
                          <pic:cNvPr id="71" name="Picture 7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5731510" cy="655320"/>
                          </a:xfrm>
                          <a:prstGeom prst="rect">
                            <a:avLst/>
                          </a:prstGeom>
                        </pic:spPr>
                      </pic:pic>
                      <pic:pic xmlns:pic="http://schemas.openxmlformats.org/drawingml/2006/picture">
                        <pic:nvPicPr>
                          <pic:cNvPr id="72" name="Picture 72" descr="Diagram&#10;&#10;Description automatically generated"/>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657225"/>
                            <a:ext cx="5731510" cy="6623050"/>
                          </a:xfrm>
                          <a:prstGeom prst="rect">
                            <a:avLst/>
                          </a:prstGeom>
                        </pic:spPr>
                      </pic:pic>
                    </wpg:wgp>
                  </a:graphicData>
                </a:graphic>
              </wp:anchor>
            </w:drawing>
          </mc:Choice>
          <mc:Fallback>
            <w:pict>
              <v:group w14:anchorId="670566E9" id="Group 118" o:spid="_x0000_s1026" alt="P7070#y1" style="position:absolute;margin-left:0;margin-top:0;width:451.3pt;height:573.25pt;z-index:251658240" coordsize="57315,72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&#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width:57315;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">
                  <v:imagedata r:id="rId55" o:title=""/>
                </v:shape>
                <v:shape id="Picture 72" o:spid="_x0000_s1028" type="#_x0000_t75" alt="Diagram&#10;&#10;Description automatically generated" style="position:absolute;top:6572;width:57315;height:6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">
                  <v:imagedata r:id="rId56" o:title="Diagram&#10;&#10;Description automatically generated"/>
                </v:shape>
                <w10:wrap type="square"/>
              </v:group>
            </w:pict>
          </mc:Fallback>
        </mc:AlternateContent>
      </w:r>
    </w:p>
    <w:p w14:paraId="716DDA5F" w14:textId="736760EB" w:rsidR="003370C1" w:rsidRDefault="00885CA2" w:rsidP="00DF5CCD">
      <w:pPr>
        <w:pStyle w:val="Caption"/>
        <w:spacing w:before="120" w:after="60"/>
        <w:jc w:val="both"/>
        <w:rPr>
          <w:u w:val="single"/>
        </w:rPr>
      </w:pPr>
      <w:bookmarkStart w:id="182" w:name="_Ref59702228"/>
      <w:r>
        <w:t xml:space="preserve">Figure </w:t>
      </w:r>
      <w:r w:rsidR="00BF3F75">
        <w:fldChar w:fldCharType="begin"/>
      </w:r>
      <w:r w:rsidR="00BF3F75">
        <w:instrText xml:space="preserve"> SEQ Figure \* ARABIC </w:instrText>
      </w:r>
      <w:r w:rsidR="00BF3F75">
        <w:fldChar w:fldCharType="separate"/>
      </w:r>
      <w:r w:rsidR="00EC5CC7">
        <w:rPr>
          <w:noProof/>
        </w:rPr>
        <w:t>34</w:t>
      </w:r>
      <w:r w:rsidR="00BF3F75">
        <w:rPr>
          <w:noProof/>
        </w:rPr>
        <w:fldChar w:fldCharType="end"/>
      </w:r>
      <w:bookmarkEnd w:id="182"/>
      <w:r>
        <w:t xml:space="preserve">: </w:t>
      </w:r>
      <w:r w:rsidRPr="00EC18EF">
        <w:t>Results of smoking cessation f</w:t>
      </w:r>
      <w:r w:rsidR="00C623F4">
        <w:t>or</w:t>
      </w:r>
      <w:r w:rsidRPr="00EC18EF">
        <w:t xml:space="preserve"> at least six months follow-up</w:t>
      </w:r>
      <w:r w:rsidR="00F87F0A">
        <w:t xml:space="preserve"> in Lindson et al. (2019b)</w:t>
      </w:r>
      <w:r w:rsidRPr="00EC18EF">
        <w:t>, reduction with pharmacotherapy versus reduction alone</w:t>
      </w:r>
    </w:p>
    <w:p w14:paraId="7EFC7EDC" w14:textId="4DEC62F2" w:rsidR="005B308B" w:rsidRPr="00543DB6" w:rsidRDefault="005B308B" w:rsidP="00DF5CCD">
      <w:pPr>
        <w:pStyle w:val="TableFooter"/>
        <w:keepNext/>
        <w:jc w:val="both"/>
      </w:pPr>
      <w:r w:rsidRPr="00543DB6">
        <w:t>Source: Lindson et al. (</w:t>
      </w:r>
      <w:r w:rsidRPr="004E0192">
        <w:t>2019b</w:t>
      </w:r>
      <w:r w:rsidRPr="00543DB6">
        <w:t>)</w:t>
      </w:r>
    </w:p>
    <w:p w14:paraId="379BB283" w14:textId="77777777" w:rsidR="005B308B" w:rsidRDefault="005B308B" w:rsidP="00DF5CCD">
      <w:pPr>
        <w:pStyle w:val="TableFooter"/>
        <w:keepNext/>
        <w:jc w:val="both"/>
      </w:pPr>
      <w:r w:rsidRPr="00543DB6">
        <w:t>Abbreviations: CI = confidence interval</w:t>
      </w:r>
    </w:p>
    <w:p w14:paraId="0E27C9B0" w14:textId="77777777" w:rsidR="008D25B2" w:rsidRDefault="008D25B2" w:rsidP="008D25B2">
      <w:pPr>
        <w:rPr>
          <w:u w:val="single"/>
        </w:rPr>
      </w:pPr>
    </w:p>
    <w:p w14:paraId="1E5F6AE5" w14:textId="27710C20" w:rsidR="003370C1" w:rsidRDefault="004D63D8" w:rsidP="00DF5CCD">
      <w:pPr>
        <w:spacing w:after="120"/>
        <w:jc w:val="both"/>
        <w:rPr>
          <w:u w:val="single"/>
        </w:rPr>
      </w:pPr>
      <w:r w:rsidRPr="004D63D8">
        <w:rPr>
          <w:u w:val="single"/>
        </w:rPr>
        <w:lastRenderedPageBreak/>
        <w:t>Safety</w:t>
      </w:r>
    </w:p>
    <w:p w14:paraId="4054FE02" w14:textId="16129B53" w:rsidR="007A248F" w:rsidRDefault="007A248F" w:rsidP="00DF5CCD">
      <w:pPr>
        <w:spacing w:after="120"/>
        <w:jc w:val="both"/>
      </w:pPr>
      <w:r w:rsidRPr="00A67889">
        <w:t xml:space="preserve">A summary of key adverse events in Lindson et al. </w:t>
      </w:r>
      <w:r>
        <w:t>(</w:t>
      </w:r>
      <w:r w:rsidRPr="00116BA2">
        <w:t>2019b</w:t>
      </w:r>
      <w:r>
        <w:t>)</w:t>
      </w:r>
      <w:r w:rsidRPr="00A67889">
        <w:t xml:space="preserve"> </w:t>
      </w:r>
      <w:r w:rsidR="00116BA2">
        <w:t>comparing</w:t>
      </w:r>
      <w:r>
        <w:t xml:space="preserve"> </w:t>
      </w:r>
      <w:r w:rsidRPr="0045513E">
        <w:t xml:space="preserve">reduction with pharmacotherapy </w:t>
      </w:r>
      <w:r w:rsidR="002F45DB">
        <w:t>with</w:t>
      </w:r>
      <w:r w:rsidRPr="0045513E">
        <w:t xml:space="preserve"> reduction alone</w:t>
      </w:r>
      <w:r w:rsidR="002F45DB">
        <w:t xml:space="preserve"> for cut down to quit</w:t>
      </w:r>
      <w:r>
        <w:t xml:space="preserve"> </w:t>
      </w:r>
      <w:r w:rsidRPr="00B13895">
        <w:t>is presented in</w:t>
      </w:r>
      <w:r w:rsidR="004F5C79">
        <w:t xml:space="preserve"> </w:t>
      </w:r>
      <w:r w:rsidR="004F5C79">
        <w:fldChar w:fldCharType="begin" w:fldLock="1"/>
      </w:r>
      <w:r w:rsidR="004F5C79">
        <w:instrText xml:space="preserve"> REF _Ref59714222 \h </w:instrText>
      </w:r>
      <w:r w:rsidR="00456678">
        <w:instrText xml:space="preserve"> \* MERGEFORMAT </w:instrText>
      </w:r>
      <w:r w:rsidR="004F5C79">
        <w:fldChar w:fldCharType="separate"/>
      </w:r>
      <w:r w:rsidR="00EC5CC7">
        <w:t xml:space="preserve">Table </w:t>
      </w:r>
      <w:r w:rsidR="00EC5CC7">
        <w:rPr>
          <w:noProof/>
        </w:rPr>
        <w:t>103</w:t>
      </w:r>
      <w:r w:rsidR="004F5C79">
        <w:fldChar w:fldCharType="end"/>
      </w:r>
      <w:r w:rsidR="004F5C79">
        <w:t>.</w:t>
      </w:r>
      <w:r w:rsidRPr="00371997">
        <w:t xml:space="preserve"> </w:t>
      </w:r>
    </w:p>
    <w:p w14:paraId="17A179C1" w14:textId="2F178C03" w:rsidR="007A248F" w:rsidRDefault="00D14B9D" w:rsidP="00DF5CCD">
      <w:pPr>
        <w:spacing w:after="120"/>
        <w:jc w:val="both"/>
      </w:pPr>
      <w:r>
        <w:t>Based on Bolliger (2000a), t</w:t>
      </w:r>
      <w:r w:rsidR="007A248F" w:rsidRPr="003B2A4C">
        <w:t>here was no statistically significant</w:t>
      </w:r>
      <w:r w:rsidR="007A248F">
        <w:t xml:space="preserve"> </w:t>
      </w:r>
      <w:r w:rsidR="007A248F" w:rsidRPr="003B2A4C">
        <w:t>di</w:t>
      </w:r>
      <w:r w:rsidR="007A248F">
        <w:t>ff</w:t>
      </w:r>
      <w:r w:rsidR="007A248F" w:rsidRPr="003B2A4C">
        <w:t>erence</w:t>
      </w:r>
      <w:r w:rsidR="007A248F">
        <w:t xml:space="preserve"> between reduction with pharmacotherapy </w:t>
      </w:r>
      <w:r w:rsidR="000E3376">
        <w:t>and</w:t>
      </w:r>
      <w:r w:rsidR="007A248F">
        <w:t xml:space="preserve"> reduction alone in pre-quit adverse events. However,</w:t>
      </w:r>
      <w:r w:rsidR="001F6961">
        <w:t xml:space="preserve"> there was</w:t>
      </w:r>
      <w:r w:rsidR="007A248F">
        <w:t xml:space="preserve"> </w:t>
      </w:r>
      <w:r w:rsidR="00871302">
        <w:t xml:space="preserve">a significantly higher proportion of patients </w:t>
      </w:r>
      <w:r w:rsidR="00290439">
        <w:t xml:space="preserve">in </w:t>
      </w:r>
      <w:r w:rsidR="005B289C">
        <w:t>the reduction with pharmacotherapy arm experienc</w:t>
      </w:r>
      <w:r w:rsidR="001F6961">
        <w:t>ing</w:t>
      </w:r>
      <w:r w:rsidR="00937ED6">
        <w:t xml:space="preserve"> pre-quit adverse events compared with patients in the reduction alone arm in </w:t>
      </w:r>
      <w:r w:rsidR="007A248F">
        <w:t xml:space="preserve">ShiIman </w:t>
      </w:r>
      <w:r>
        <w:t>(</w:t>
      </w:r>
      <w:r w:rsidR="007A248F">
        <w:t>2009</w:t>
      </w:r>
      <w:r>
        <w:t>)</w:t>
      </w:r>
      <w:r w:rsidR="00FF2BD2">
        <w:t>.</w:t>
      </w:r>
      <w:r w:rsidR="007A248F">
        <w:t xml:space="preserve"> </w:t>
      </w:r>
    </w:p>
    <w:p w14:paraId="3651A47B" w14:textId="2F178C03" w:rsidR="007A248F" w:rsidRDefault="00FF2BD2" w:rsidP="00DF5CCD">
      <w:pPr>
        <w:spacing w:after="120"/>
        <w:jc w:val="both"/>
      </w:pPr>
      <w:r>
        <w:t>For pre-quit serious adverse events, there were no statistically significant differences between the two treatment arms</w:t>
      </w:r>
      <w:r w:rsidR="00E348C5">
        <w:t xml:space="preserve"> based on the meta-analysis conducted by Lindson (2019b). </w:t>
      </w:r>
      <w:r w:rsidR="00990CDC">
        <w:t xml:space="preserve">It was noted that the number of events </w:t>
      </w:r>
      <w:r w:rsidR="00BD691B">
        <w:t>were low</w:t>
      </w:r>
      <w:r w:rsidR="0074036F">
        <w:t xml:space="preserve"> across both arms</w:t>
      </w:r>
      <w:r w:rsidR="00BD691B">
        <w:t>.</w:t>
      </w:r>
    </w:p>
    <w:p w14:paraId="636EAEBE" w14:textId="004CA83C" w:rsidR="008C212B" w:rsidRDefault="008C212B" w:rsidP="00DF5CCD">
      <w:pPr>
        <w:pStyle w:val="Caption"/>
        <w:keepNext/>
        <w:spacing w:before="0" w:after="120"/>
        <w:jc w:val="both"/>
      </w:pPr>
      <w:bookmarkStart w:id="183" w:name="_Ref59714222"/>
      <w:r>
        <w:t xml:space="preserve">Table </w:t>
      </w:r>
      <w:r w:rsidR="00BF3F75">
        <w:fldChar w:fldCharType="begin"/>
      </w:r>
      <w:r w:rsidR="00BF3F75">
        <w:instrText xml:space="preserve"> SEQ Table \* ARABIC </w:instrText>
      </w:r>
      <w:r w:rsidR="00BF3F75">
        <w:fldChar w:fldCharType="separate"/>
      </w:r>
      <w:r w:rsidR="00EC5CC7">
        <w:rPr>
          <w:noProof/>
        </w:rPr>
        <w:t>103</w:t>
      </w:r>
      <w:r w:rsidR="00BF3F75">
        <w:rPr>
          <w:noProof/>
        </w:rPr>
        <w:fldChar w:fldCharType="end"/>
      </w:r>
      <w:bookmarkEnd w:id="183"/>
      <w:r>
        <w:t xml:space="preserve">: </w:t>
      </w:r>
      <w:r w:rsidRPr="00252555">
        <w:t>Summary of key adverse events in Lindson et al. (2019), reduction with pharmacotherapy versus reduction alone</w:t>
      </w:r>
    </w:p>
    <w:tbl>
      <w:tblPr>
        <w:tblStyle w:val="TableGrid"/>
        <w:tblW w:w="5000" w:type="pct"/>
        <w:tblLook w:val="04A0" w:firstRow="1" w:lastRow="0" w:firstColumn="1" w:lastColumn="0" w:noHBand="0" w:noVBand="1"/>
        <w:tblCaption w:val="Efficacy results of adalimumab trials (PASI 75 and DLQI)"/>
      </w:tblPr>
      <w:tblGrid>
        <w:gridCol w:w="1297"/>
        <w:gridCol w:w="1765"/>
        <w:gridCol w:w="2036"/>
        <w:gridCol w:w="1985"/>
        <w:gridCol w:w="1933"/>
      </w:tblGrid>
      <w:tr w:rsidR="00E45F0E" w:rsidRPr="00061F78" w14:paraId="1E1EDA85" w14:textId="77777777" w:rsidTr="0093605F">
        <w:trPr>
          <w:cantSplit/>
          <w:trHeight w:val="299"/>
          <w:tblHeader/>
        </w:trPr>
        <w:tc>
          <w:tcPr>
            <w:tcW w:w="719" w:type="pct"/>
            <w:shd w:val="clear" w:color="auto" w:fill="BFBFBF" w:themeFill="background1" w:themeFillShade="BF"/>
            <w:tcMar>
              <w:left w:w="28" w:type="dxa"/>
              <w:right w:w="28" w:type="dxa"/>
            </w:tcMar>
            <w:vAlign w:val="center"/>
          </w:tcPr>
          <w:p w14:paraId="5F005905" w14:textId="3585305F" w:rsidR="007A248F" w:rsidRDefault="00FC3507" w:rsidP="00A5263B">
            <w:pPr>
              <w:pStyle w:val="Tableheading"/>
              <w:keepNext/>
              <w:rPr>
                <w:rFonts w:eastAsia="MS Mincho"/>
              </w:rPr>
            </w:pPr>
            <w:r>
              <w:rPr>
                <w:rFonts w:eastAsia="MS Mincho"/>
              </w:rPr>
              <w:t>Study</w:t>
            </w:r>
          </w:p>
        </w:tc>
        <w:tc>
          <w:tcPr>
            <w:tcW w:w="979" w:type="pct"/>
            <w:shd w:val="clear" w:color="auto" w:fill="BFBFBF" w:themeFill="background1" w:themeFillShade="BF"/>
            <w:vAlign w:val="center"/>
          </w:tcPr>
          <w:p w14:paraId="52A523B7" w14:textId="0AF1FBBA" w:rsidR="007265B5" w:rsidRDefault="007265B5" w:rsidP="007265B5">
            <w:pPr>
              <w:pStyle w:val="Tableheading"/>
              <w:keepNext/>
              <w:jc w:val="center"/>
            </w:pPr>
            <w:r>
              <w:t>Study type</w:t>
            </w:r>
          </w:p>
        </w:tc>
        <w:tc>
          <w:tcPr>
            <w:tcW w:w="1129" w:type="pct"/>
            <w:shd w:val="clear" w:color="auto" w:fill="BFBFBF" w:themeFill="background1" w:themeFillShade="BF"/>
            <w:tcMar>
              <w:left w:w="28" w:type="dxa"/>
              <w:right w:w="28" w:type="dxa"/>
            </w:tcMar>
            <w:vAlign w:val="center"/>
          </w:tcPr>
          <w:p w14:paraId="2B63F2DA" w14:textId="6A83DD97" w:rsidR="007A248F" w:rsidRPr="00061F78" w:rsidRDefault="007265B5" w:rsidP="00A5263B">
            <w:pPr>
              <w:pStyle w:val="Tableheading"/>
              <w:keepNext/>
              <w:jc w:val="center"/>
              <w:rPr>
                <w:rFonts w:eastAsia="MS Mincho"/>
              </w:rPr>
            </w:pPr>
            <w:r>
              <w:t>R</w:t>
            </w:r>
            <w:r w:rsidRPr="0045513E">
              <w:t>eduction</w:t>
            </w:r>
            <w:r w:rsidR="007A248F">
              <w:t xml:space="preserve"> with </w:t>
            </w:r>
            <w:r w:rsidR="007A248F" w:rsidRPr="0045513E">
              <w:t>pharmacotherapy</w:t>
            </w:r>
          </w:p>
        </w:tc>
        <w:tc>
          <w:tcPr>
            <w:tcW w:w="1101" w:type="pct"/>
            <w:shd w:val="clear" w:color="auto" w:fill="BFBFBF" w:themeFill="background1" w:themeFillShade="BF"/>
            <w:tcMar>
              <w:left w:w="28" w:type="dxa"/>
              <w:right w:w="28" w:type="dxa"/>
            </w:tcMar>
            <w:vAlign w:val="center"/>
          </w:tcPr>
          <w:p w14:paraId="34686D76" w14:textId="16BA007D" w:rsidR="007A248F" w:rsidRPr="00061F78" w:rsidRDefault="007265B5" w:rsidP="00A5263B">
            <w:pPr>
              <w:pStyle w:val="Tableheading"/>
              <w:keepNext/>
              <w:jc w:val="center"/>
              <w:rPr>
                <w:rFonts w:eastAsia="MS Mincho"/>
              </w:rPr>
            </w:pPr>
            <w:r>
              <w:t>R</w:t>
            </w:r>
            <w:r w:rsidRPr="0045513E">
              <w:t>eduction</w:t>
            </w:r>
            <w:r w:rsidR="007A248F" w:rsidRPr="0045513E">
              <w:t xml:space="preserve"> alone</w:t>
            </w:r>
          </w:p>
        </w:tc>
        <w:tc>
          <w:tcPr>
            <w:tcW w:w="1072" w:type="pct"/>
            <w:shd w:val="clear" w:color="auto" w:fill="BFBFBF" w:themeFill="background1" w:themeFillShade="BF"/>
            <w:tcMar>
              <w:left w:w="28" w:type="dxa"/>
              <w:right w:w="28" w:type="dxa"/>
            </w:tcMar>
            <w:vAlign w:val="center"/>
          </w:tcPr>
          <w:p w14:paraId="253C20A9" w14:textId="491D55F7" w:rsidR="007A248F" w:rsidRPr="00681ACA" w:rsidRDefault="007A248F" w:rsidP="00A5263B">
            <w:pPr>
              <w:pStyle w:val="Tableheading"/>
              <w:keepNext/>
              <w:jc w:val="center"/>
              <w:rPr>
                <w:rFonts w:eastAsia="MS Mincho"/>
                <w:vertAlign w:val="superscript"/>
              </w:rPr>
            </w:pPr>
            <w:r>
              <w:rPr>
                <w:rFonts w:eastAsia="MS Mincho"/>
              </w:rPr>
              <w:t>RR (95% CI)</w:t>
            </w:r>
            <w:r w:rsidR="0093605F">
              <w:rPr>
                <w:rFonts w:eastAsia="MS Mincho"/>
                <w:vertAlign w:val="superscript"/>
              </w:rPr>
              <w:t>1</w:t>
            </w:r>
          </w:p>
        </w:tc>
      </w:tr>
      <w:tr w:rsidR="007A248F" w:rsidRPr="00061F78" w14:paraId="644FDF4D" w14:textId="77777777" w:rsidTr="0093605F">
        <w:trPr>
          <w:cantSplit/>
          <w:trHeight w:val="99"/>
        </w:trPr>
        <w:tc>
          <w:tcPr>
            <w:tcW w:w="5000" w:type="pct"/>
            <w:gridSpan w:val="5"/>
            <w:shd w:val="clear" w:color="auto" w:fill="auto"/>
          </w:tcPr>
          <w:p w14:paraId="1D7E11D5" w14:textId="77777777" w:rsidR="007265B5" w:rsidRPr="0093605F" w:rsidRDefault="007265B5" w:rsidP="00A5263B">
            <w:pPr>
              <w:pStyle w:val="Tablewriting"/>
              <w:keepNext/>
              <w:rPr>
                <w:rFonts w:eastAsia="MS Mincho"/>
                <w:b/>
                <w:bCs/>
              </w:rPr>
            </w:pPr>
            <w:r w:rsidRPr="0093605F">
              <w:rPr>
                <w:rFonts w:eastAsia="MS Mincho"/>
                <w:b/>
                <w:bCs/>
              </w:rPr>
              <w:t>Pre-quit AEs</w:t>
            </w:r>
          </w:p>
        </w:tc>
      </w:tr>
      <w:tr w:rsidR="007A248F" w:rsidRPr="00061F78" w14:paraId="61BB629A" w14:textId="77777777" w:rsidTr="0093605F">
        <w:trPr>
          <w:cantSplit/>
          <w:trHeight w:val="99"/>
        </w:trPr>
        <w:tc>
          <w:tcPr>
            <w:tcW w:w="719" w:type="pct"/>
            <w:shd w:val="clear" w:color="auto" w:fill="auto"/>
            <w:tcMar>
              <w:left w:w="28" w:type="dxa"/>
              <w:right w:w="28" w:type="dxa"/>
            </w:tcMar>
            <w:vAlign w:val="center"/>
          </w:tcPr>
          <w:p w14:paraId="67366CE1" w14:textId="0BCAEF4B" w:rsidR="007A248F" w:rsidRPr="001277A6" w:rsidRDefault="007A248F" w:rsidP="00A5263B">
            <w:pPr>
              <w:pStyle w:val="Tablewriting"/>
              <w:keepNext/>
              <w:rPr>
                <w:rFonts w:eastAsia="MS Mincho"/>
              </w:rPr>
            </w:pPr>
            <w:r w:rsidRPr="00E131C8">
              <w:rPr>
                <w:rFonts w:eastAsia="MS Mincho"/>
              </w:rPr>
              <w:t xml:space="preserve">Bolliger </w:t>
            </w:r>
            <w:r w:rsidR="007265B5">
              <w:rPr>
                <w:rFonts w:eastAsia="MS Mincho"/>
              </w:rPr>
              <w:t>(</w:t>
            </w:r>
            <w:r w:rsidRPr="00E131C8">
              <w:rPr>
                <w:rFonts w:eastAsia="MS Mincho"/>
              </w:rPr>
              <w:t>2000</w:t>
            </w:r>
            <w:r>
              <w:rPr>
                <w:rFonts w:eastAsia="MS Mincho"/>
              </w:rPr>
              <w:t>a</w:t>
            </w:r>
            <w:r w:rsidR="007265B5">
              <w:rPr>
                <w:rFonts w:eastAsia="MS Mincho"/>
              </w:rPr>
              <w:t>)</w:t>
            </w:r>
          </w:p>
        </w:tc>
        <w:tc>
          <w:tcPr>
            <w:tcW w:w="979" w:type="pct"/>
            <w:vAlign w:val="center"/>
          </w:tcPr>
          <w:p w14:paraId="599B7B57" w14:textId="727E60E7" w:rsidR="007265B5" w:rsidRDefault="007265B5" w:rsidP="007265B5">
            <w:pPr>
              <w:pStyle w:val="Tablewriting"/>
              <w:keepNext/>
              <w:jc w:val="center"/>
              <w:rPr>
                <w:rFonts w:eastAsia="MS Mincho"/>
              </w:rPr>
            </w:pPr>
            <w:r>
              <w:rPr>
                <w:rFonts w:eastAsia="MS Mincho"/>
              </w:rPr>
              <w:t>RCT</w:t>
            </w:r>
          </w:p>
        </w:tc>
        <w:tc>
          <w:tcPr>
            <w:tcW w:w="1129" w:type="pct"/>
            <w:shd w:val="clear" w:color="auto" w:fill="auto"/>
            <w:tcMar>
              <w:left w:w="28" w:type="dxa"/>
              <w:right w:w="28" w:type="dxa"/>
            </w:tcMar>
            <w:vAlign w:val="center"/>
          </w:tcPr>
          <w:p w14:paraId="2DFBE0C3" w14:textId="5862992F" w:rsidR="007A248F" w:rsidRDefault="007A248F" w:rsidP="00A5263B">
            <w:pPr>
              <w:pStyle w:val="Tablewriting"/>
              <w:keepNext/>
              <w:jc w:val="center"/>
              <w:rPr>
                <w:rFonts w:eastAsia="MS Mincho"/>
              </w:rPr>
            </w:pPr>
            <w:r>
              <w:rPr>
                <w:rFonts w:eastAsia="MS Mincho"/>
              </w:rPr>
              <w:t>113/200</w:t>
            </w:r>
          </w:p>
          <w:p w14:paraId="32EA5755" w14:textId="77777777" w:rsidR="007A248F" w:rsidRPr="001B08F9" w:rsidRDefault="007A248F" w:rsidP="00A5263B">
            <w:pPr>
              <w:pStyle w:val="Tablewriting"/>
              <w:keepNext/>
              <w:jc w:val="center"/>
              <w:rPr>
                <w:rFonts w:eastAsia="MS Mincho"/>
              </w:rPr>
            </w:pPr>
            <w:r>
              <w:rPr>
                <w:rFonts w:eastAsia="MS Mincho"/>
              </w:rPr>
              <w:t>(56.5%)</w:t>
            </w:r>
          </w:p>
        </w:tc>
        <w:tc>
          <w:tcPr>
            <w:tcW w:w="1101" w:type="pct"/>
            <w:shd w:val="clear" w:color="auto" w:fill="auto"/>
            <w:tcMar>
              <w:left w:w="28" w:type="dxa"/>
              <w:right w:w="28" w:type="dxa"/>
            </w:tcMar>
            <w:vAlign w:val="center"/>
          </w:tcPr>
          <w:p w14:paraId="63251E16" w14:textId="77777777" w:rsidR="007A248F" w:rsidRDefault="007A248F" w:rsidP="00A5263B">
            <w:pPr>
              <w:pStyle w:val="Tablewriting"/>
              <w:keepNext/>
              <w:jc w:val="center"/>
              <w:rPr>
                <w:rFonts w:eastAsia="MS Mincho"/>
              </w:rPr>
            </w:pPr>
            <w:r>
              <w:rPr>
                <w:rFonts w:eastAsia="MS Mincho"/>
              </w:rPr>
              <w:t>114/200</w:t>
            </w:r>
          </w:p>
          <w:p w14:paraId="22001367" w14:textId="77777777" w:rsidR="007A248F" w:rsidRPr="001B08F9" w:rsidRDefault="007A248F" w:rsidP="00A5263B">
            <w:pPr>
              <w:pStyle w:val="Tablewriting"/>
              <w:keepNext/>
              <w:jc w:val="center"/>
              <w:rPr>
                <w:rFonts w:eastAsia="MS Mincho"/>
              </w:rPr>
            </w:pPr>
            <w:r>
              <w:rPr>
                <w:rFonts w:eastAsia="MS Mincho"/>
              </w:rPr>
              <w:t>(57%)</w:t>
            </w:r>
          </w:p>
        </w:tc>
        <w:tc>
          <w:tcPr>
            <w:tcW w:w="1072" w:type="pct"/>
            <w:shd w:val="clear" w:color="auto" w:fill="auto"/>
            <w:tcMar>
              <w:left w:w="28" w:type="dxa"/>
              <w:right w:w="28" w:type="dxa"/>
            </w:tcMar>
            <w:vAlign w:val="center"/>
          </w:tcPr>
          <w:p w14:paraId="77F50EFC" w14:textId="77777777" w:rsidR="007A248F" w:rsidRPr="00E131C8" w:rsidRDefault="007A248F" w:rsidP="00A5263B">
            <w:pPr>
              <w:pStyle w:val="Tablewriting"/>
              <w:keepNext/>
              <w:jc w:val="center"/>
              <w:rPr>
                <w:rFonts w:eastAsia="MS Mincho"/>
                <w:bCs/>
              </w:rPr>
            </w:pPr>
            <w:r w:rsidRPr="00E131C8">
              <w:rPr>
                <w:rFonts w:eastAsia="MS Mincho"/>
                <w:bCs/>
              </w:rPr>
              <w:t>0.99</w:t>
            </w:r>
          </w:p>
          <w:p w14:paraId="0F4CDF13" w14:textId="77777777" w:rsidR="007A248F" w:rsidRPr="001277A6" w:rsidRDefault="007A248F" w:rsidP="00A5263B">
            <w:pPr>
              <w:pStyle w:val="Tablewriting"/>
              <w:keepNext/>
              <w:jc w:val="center"/>
              <w:rPr>
                <w:rFonts w:eastAsia="MS Mincho"/>
                <w:b/>
              </w:rPr>
            </w:pPr>
            <w:r w:rsidRPr="00E131C8">
              <w:rPr>
                <w:rFonts w:eastAsia="MS Mincho"/>
                <w:bCs/>
              </w:rPr>
              <w:t>(0.84, 1.18)</w:t>
            </w:r>
          </w:p>
        </w:tc>
      </w:tr>
      <w:tr w:rsidR="007A248F" w:rsidRPr="00061F78" w14:paraId="627C6EF3" w14:textId="77777777" w:rsidTr="0093605F">
        <w:trPr>
          <w:cantSplit/>
          <w:trHeight w:val="99"/>
        </w:trPr>
        <w:tc>
          <w:tcPr>
            <w:tcW w:w="719" w:type="pct"/>
            <w:shd w:val="clear" w:color="auto" w:fill="auto"/>
            <w:tcMar>
              <w:left w:w="28" w:type="dxa"/>
              <w:right w:w="28" w:type="dxa"/>
            </w:tcMar>
            <w:vAlign w:val="center"/>
          </w:tcPr>
          <w:p w14:paraId="6CC28E87" w14:textId="668B3EA5" w:rsidR="007A248F" w:rsidRPr="001277A6" w:rsidRDefault="007A248F" w:rsidP="00A5263B">
            <w:pPr>
              <w:pStyle w:val="Tablewriting"/>
              <w:keepNext/>
              <w:rPr>
                <w:rFonts w:eastAsia="MS Mincho"/>
              </w:rPr>
            </w:pPr>
            <w:r w:rsidRPr="00E131C8">
              <w:rPr>
                <w:rFonts w:eastAsia="MS Mincho"/>
              </w:rPr>
              <w:t xml:space="preserve">Shiffman </w:t>
            </w:r>
            <w:r w:rsidR="007265B5">
              <w:rPr>
                <w:rFonts w:eastAsia="MS Mincho"/>
              </w:rPr>
              <w:t>(</w:t>
            </w:r>
            <w:r w:rsidRPr="00E131C8">
              <w:rPr>
                <w:rFonts w:eastAsia="MS Mincho"/>
              </w:rPr>
              <w:t>2009</w:t>
            </w:r>
            <w:r w:rsidR="007265B5">
              <w:rPr>
                <w:rFonts w:eastAsia="MS Mincho"/>
              </w:rPr>
              <w:t>)</w:t>
            </w:r>
          </w:p>
        </w:tc>
        <w:tc>
          <w:tcPr>
            <w:tcW w:w="979" w:type="pct"/>
            <w:vAlign w:val="center"/>
          </w:tcPr>
          <w:p w14:paraId="6B0426FF" w14:textId="2CFF49D4" w:rsidR="007265B5" w:rsidRDefault="007265B5" w:rsidP="007265B5">
            <w:pPr>
              <w:pStyle w:val="Tablewriting"/>
              <w:keepNext/>
              <w:jc w:val="center"/>
              <w:rPr>
                <w:rFonts w:eastAsia="MS Mincho"/>
              </w:rPr>
            </w:pPr>
            <w:r>
              <w:rPr>
                <w:rFonts w:eastAsia="MS Mincho"/>
              </w:rPr>
              <w:t>RCT</w:t>
            </w:r>
          </w:p>
        </w:tc>
        <w:tc>
          <w:tcPr>
            <w:tcW w:w="1129" w:type="pct"/>
            <w:shd w:val="clear" w:color="auto" w:fill="auto"/>
            <w:tcMar>
              <w:left w:w="28" w:type="dxa"/>
              <w:right w:w="28" w:type="dxa"/>
            </w:tcMar>
            <w:vAlign w:val="center"/>
          </w:tcPr>
          <w:p w14:paraId="7EE2B00C" w14:textId="4DD3CF5E" w:rsidR="007A248F" w:rsidRDefault="007A248F" w:rsidP="00A5263B">
            <w:pPr>
              <w:pStyle w:val="Tablewriting"/>
              <w:keepNext/>
              <w:jc w:val="center"/>
              <w:rPr>
                <w:rFonts w:eastAsia="MS Mincho"/>
              </w:rPr>
            </w:pPr>
            <w:r>
              <w:rPr>
                <w:rFonts w:eastAsia="MS Mincho"/>
              </w:rPr>
              <w:t>795/1</w:t>
            </w:r>
            <w:r w:rsidR="0093605F">
              <w:rPr>
                <w:rFonts w:eastAsia="MS Mincho"/>
              </w:rPr>
              <w:t>,</w:t>
            </w:r>
            <w:r>
              <w:rPr>
                <w:rFonts w:eastAsia="MS Mincho"/>
              </w:rPr>
              <w:t>649</w:t>
            </w:r>
          </w:p>
          <w:p w14:paraId="5988C8D9" w14:textId="77777777" w:rsidR="007A248F" w:rsidRPr="001B08F9" w:rsidRDefault="007A248F" w:rsidP="00A5263B">
            <w:pPr>
              <w:pStyle w:val="Tablewriting"/>
              <w:keepNext/>
              <w:jc w:val="center"/>
              <w:rPr>
                <w:rFonts w:eastAsia="MS Mincho"/>
              </w:rPr>
            </w:pPr>
            <w:r>
              <w:rPr>
                <w:rFonts w:eastAsia="MS Mincho"/>
              </w:rPr>
              <w:t>(48.2%)</w:t>
            </w:r>
          </w:p>
        </w:tc>
        <w:tc>
          <w:tcPr>
            <w:tcW w:w="1101" w:type="pct"/>
            <w:shd w:val="clear" w:color="auto" w:fill="auto"/>
            <w:tcMar>
              <w:left w:w="28" w:type="dxa"/>
              <w:right w:w="28" w:type="dxa"/>
            </w:tcMar>
            <w:vAlign w:val="center"/>
          </w:tcPr>
          <w:p w14:paraId="6F8E1CD9" w14:textId="51C71E31" w:rsidR="007A248F" w:rsidRDefault="007A248F" w:rsidP="00A5263B">
            <w:pPr>
              <w:pStyle w:val="Tablewriting"/>
              <w:keepNext/>
              <w:jc w:val="center"/>
              <w:rPr>
                <w:rFonts w:eastAsia="MS Mincho"/>
              </w:rPr>
            </w:pPr>
            <w:r>
              <w:rPr>
                <w:rFonts w:eastAsia="MS Mincho"/>
              </w:rPr>
              <w:t>603/1</w:t>
            </w:r>
            <w:r w:rsidR="0093605F">
              <w:rPr>
                <w:rFonts w:eastAsia="MS Mincho"/>
              </w:rPr>
              <w:t>,</w:t>
            </w:r>
            <w:r>
              <w:rPr>
                <w:rFonts w:eastAsia="MS Mincho"/>
              </w:rPr>
              <w:t>648</w:t>
            </w:r>
          </w:p>
          <w:p w14:paraId="39F59FE0" w14:textId="77777777" w:rsidR="007A248F" w:rsidRPr="001B08F9" w:rsidRDefault="007A248F" w:rsidP="00A5263B">
            <w:pPr>
              <w:pStyle w:val="Tablewriting"/>
              <w:keepNext/>
              <w:jc w:val="center"/>
              <w:rPr>
                <w:rFonts w:eastAsia="MS Mincho"/>
              </w:rPr>
            </w:pPr>
            <w:r>
              <w:rPr>
                <w:rFonts w:eastAsia="MS Mincho"/>
              </w:rPr>
              <w:t>(36.6%)</w:t>
            </w:r>
          </w:p>
        </w:tc>
        <w:tc>
          <w:tcPr>
            <w:tcW w:w="1072" w:type="pct"/>
            <w:shd w:val="clear" w:color="auto" w:fill="auto"/>
            <w:tcMar>
              <w:left w:w="28" w:type="dxa"/>
              <w:right w:w="28" w:type="dxa"/>
            </w:tcMar>
            <w:vAlign w:val="center"/>
          </w:tcPr>
          <w:p w14:paraId="1F0335B6" w14:textId="77777777" w:rsidR="007A248F" w:rsidRDefault="007A248F" w:rsidP="00A5263B">
            <w:pPr>
              <w:pStyle w:val="Tablewriting"/>
              <w:keepNext/>
              <w:jc w:val="center"/>
              <w:rPr>
                <w:rFonts w:eastAsia="MS Mincho"/>
                <w:b/>
              </w:rPr>
            </w:pPr>
            <w:r>
              <w:rPr>
                <w:rFonts w:eastAsia="MS Mincho"/>
                <w:b/>
              </w:rPr>
              <w:t>1.32</w:t>
            </w:r>
          </w:p>
          <w:p w14:paraId="593038B8" w14:textId="77777777" w:rsidR="007A248F" w:rsidRPr="001277A6" w:rsidRDefault="007A248F" w:rsidP="00A5263B">
            <w:pPr>
              <w:pStyle w:val="Tablewriting"/>
              <w:keepNext/>
              <w:jc w:val="center"/>
              <w:rPr>
                <w:rFonts w:eastAsia="MS Mincho"/>
                <w:b/>
              </w:rPr>
            </w:pPr>
            <w:r>
              <w:rPr>
                <w:rFonts w:eastAsia="MS Mincho"/>
                <w:b/>
              </w:rPr>
              <w:t>(1.22, 1.43)</w:t>
            </w:r>
          </w:p>
        </w:tc>
      </w:tr>
      <w:tr w:rsidR="007A248F" w:rsidRPr="00061F78" w14:paraId="11924492" w14:textId="77777777" w:rsidTr="0093605F">
        <w:trPr>
          <w:cantSplit/>
          <w:trHeight w:val="255"/>
        </w:trPr>
        <w:tc>
          <w:tcPr>
            <w:tcW w:w="5000" w:type="pct"/>
            <w:gridSpan w:val="5"/>
            <w:shd w:val="clear" w:color="auto" w:fill="auto"/>
          </w:tcPr>
          <w:p w14:paraId="6F3F6F79" w14:textId="77777777" w:rsidR="007265B5" w:rsidRPr="0093605F" w:rsidRDefault="007265B5" w:rsidP="00A5263B">
            <w:pPr>
              <w:pStyle w:val="Tablewriting"/>
              <w:keepNext/>
              <w:rPr>
                <w:rFonts w:eastAsia="MS Mincho"/>
                <w:b/>
                <w:bCs/>
              </w:rPr>
            </w:pPr>
            <w:r w:rsidRPr="0093605F">
              <w:rPr>
                <w:rFonts w:eastAsia="MS Mincho"/>
                <w:b/>
                <w:bCs/>
              </w:rPr>
              <w:t>Pre-quit SAEs</w:t>
            </w:r>
          </w:p>
        </w:tc>
      </w:tr>
      <w:tr w:rsidR="007A248F" w:rsidRPr="00061F78" w14:paraId="5F1F4491" w14:textId="77777777" w:rsidTr="0093605F">
        <w:trPr>
          <w:cantSplit/>
          <w:trHeight w:val="149"/>
        </w:trPr>
        <w:tc>
          <w:tcPr>
            <w:tcW w:w="719" w:type="pct"/>
            <w:tcMar>
              <w:left w:w="28" w:type="dxa"/>
              <w:right w:w="28" w:type="dxa"/>
            </w:tcMar>
          </w:tcPr>
          <w:p w14:paraId="335D4B10" w14:textId="6D8B713E" w:rsidR="007A248F" w:rsidRPr="00567783" w:rsidRDefault="007265B5" w:rsidP="00A5263B">
            <w:pPr>
              <w:pStyle w:val="Tablewriting"/>
              <w:keepNext/>
              <w:tabs>
                <w:tab w:val="left" w:pos="975"/>
              </w:tabs>
              <w:rPr>
                <w:rFonts w:eastAsia="MS Mincho"/>
              </w:rPr>
            </w:pPr>
            <w:r>
              <w:rPr>
                <w:rFonts w:eastAsia="MS Mincho"/>
              </w:rPr>
              <w:t>Lindson (2019</w:t>
            </w:r>
            <w:r w:rsidR="00AD1A0F">
              <w:rPr>
                <w:rFonts w:eastAsia="MS Mincho"/>
              </w:rPr>
              <w:t>b</w:t>
            </w:r>
            <w:r>
              <w:rPr>
                <w:rFonts w:eastAsia="MS Mincho"/>
              </w:rPr>
              <w:t>)</w:t>
            </w:r>
          </w:p>
        </w:tc>
        <w:tc>
          <w:tcPr>
            <w:tcW w:w="979" w:type="pct"/>
          </w:tcPr>
          <w:p w14:paraId="2CF0C17F" w14:textId="77777777" w:rsidR="007265B5" w:rsidRDefault="007265B5" w:rsidP="00A5263B">
            <w:pPr>
              <w:pStyle w:val="Tablewriting"/>
              <w:keepNext/>
              <w:jc w:val="center"/>
              <w:rPr>
                <w:rFonts w:eastAsia="MS Mincho"/>
              </w:rPr>
            </w:pPr>
            <w:r>
              <w:rPr>
                <w:rFonts w:eastAsia="MS Mincho"/>
              </w:rPr>
              <w:t>Cochrane Review</w:t>
            </w:r>
          </w:p>
          <w:p w14:paraId="1DBA1B96" w14:textId="5A9508FB" w:rsidR="007265B5" w:rsidRDefault="007265B5" w:rsidP="00A5263B">
            <w:pPr>
              <w:pStyle w:val="Tablewriting"/>
              <w:keepNext/>
              <w:jc w:val="center"/>
              <w:rPr>
                <w:rFonts w:eastAsia="MS Mincho"/>
              </w:rPr>
            </w:pPr>
            <w:r>
              <w:rPr>
                <w:rFonts w:eastAsia="MS Mincho"/>
              </w:rPr>
              <w:t>(2 RCTs)</w:t>
            </w:r>
          </w:p>
        </w:tc>
        <w:tc>
          <w:tcPr>
            <w:tcW w:w="1129" w:type="pct"/>
            <w:tcMar>
              <w:left w:w="28" w:type="dxa"/>
              <w:right w:w="28" w:type="dxa"/>
            </w:tcMar>
            <w:vAlign w:val="center"/>
          </w:tcPr>
          <w:p w14:paraId="50B02843" w14:textId="77777777" w:rsidR="007265B5" w:rsidRDefault="00464B11" w:rsidP="00A5263B">
            <w:pPr>
              <w:pStyle w:val="Tablewriting"/>
              <w:keepNext/>
              <w:jc w:val="center"/>
              <w:rPr>
                <w:rFonts w:eastAsia="MS Mincho"/>
              </w:rPr>
            </w:pPr>
            <w:r>
              <w:rPr>
                <w:rFonts w:eastAsia="MS Mincho"/>
              </w:rPr>
              <w:t>3/444</w:t>
            </w:r>
          </w:p>
          <w:p w14:paraId="5C7200CC" w14:textId="3995A02F" w:rsidR="007A248F" w:rsidRPr="00567783" w:rsidRDefault="00464B11" w:rsidP="00A5263B">
            <w:pPr>
              <w:pStyle w:val="Tablewriting"/>
              <w:keepNext/>
              <w:jc w:val="center"/>
              <w:rPr>
                <w:rFonts w:eastAsia="MS Mincho"/>
              </w:rPr>
            </w:pPr>
            <w:r>
              <w:rPr>
                <w:rFonts w:eastAsia="MS Mincho"/>
              </w:rPr>
              <w:t>(</w:t>
            </w:r>
            <w:r w:rsidR="001B5D49">
              <w:rPr>
                <w:rFonts w:eastAsia="MS Mincho"/>
              </w:rPr>
              <w:t>0.</w:t>
            </w:r>
            <w:r w:rsidR="007650CD">
              <w:rPr>
                <w:rFonts w:eastAsia="MS Mincho"/>
              </w:rPr>
              <w:t>7</w:t>
            </w:r>
            <w:r>
              <w:rPr>
                <w:rFonts w:eastAsia="MS Mincho"/>
              </w:rPr>
              <w:t>%)</w:t>
            </w:r>
          </w:p>
        </w:tc>
        <w:tc>
          <w:tcPr>
            <w:tcW w:w="1101" w:type="pct"/>
            <w:tcMar>
              <w:left w:w="28" w:type="dxa"/>
              <w:right w:w="28" w:type="dxa"/>
            </w:tcMar>
            <w:vAlign w:val="center"/>
          </w:tcPr>
          <w:p w14:paraId="10EA6C6E" w14:textId="77777777" w:rsidR="007265B5" w:rsidRDefault="001F205B" w:rsidP="00A5263B">
            <w:pPr>
              <w:pStyle w:val="Tablewriting"/>
              <w:keepNext/>
              <w:jc w:val="center"/>
              <w:rPr>
                <w:rFonts w:eastAsia="MS Mincho"/>
              </w:rPr>
            </w:pPr>
            <w:r>
              <w:rPr>
                <w:rFonts w:eastAsia="MS Mincho"/>
              </w:rPr>
              <w:t>0/318</w:t>
            </w:r>
          </w:p>
          <w:p w14:paraId="2B863903" w14:textId="36C8F93B" w:rsidR="007A248F" w:rsidRDefault="001F205B" w:rsidP="00A5263B">
            <w:pPr>
              <w:pStyle w:val="Tablewriting"/>
              <w:keepNext/>
              <w:jc w:val="center"/>
              <w:rPr>
                <w:rFonts w:eastAsia="MS Mincho"/>
              </w:rPr>
            </w:pPr>
            <w:r>
              <w:rPr>
                <w:rFonts w:eastAsia="MS Mincho"/>
              </w:rPr>
              <w:t>(</w:t>
            </w:r>
            <w:r w:rsidR="007650CD">
              <w:rPr>
                <w:rFonts w:eastAsia="MS Mincho"/>
              </w:rPr>
              <w:t>0</w:t>
            </w:r>
            <w:r>
              <w:rPr>
                <w:rFonts w:eastAsia="MS Mincho"/>
              </w:rPr>
              <w:t>%)</w:t>
            </w:r>
          </w:p>
        </w:tc>
        <w:tc>
          <w:tcPr>
            <w:tcW w:w="1072" w:type="pct"/>
            <w:tcMar>
              <w:left w:w="28" w:type="dxa"/>
              <w:right w:w="28" w:type="dxa"/>
            </w:tcMar>
            <w:vAlign w:val="center"/>
          </w:tcPr>
          <w:p w14:paraId="5745EA07" w14:textId="77777777" w:rsidR="007A248F" w:rsidRDefault="007A248F" w:rsidP="00A5263B">
            <w:pPr>
              <w:pStyle w:val="Tablewriting"/>
              <w:keepNext/>
              <w:jc w:val="center"/>
              <w:rPr>
                <w:rFonts w:eastAsia="MS Mincho"/>
              </w:rPr>
            </w:pPr>
            <w:r>
              <w:rPr>
                <w:rFonts w:eastAsia="MS Mincho"/>
              </w:rPr>
              <w:t>7.28</w:t>
            </w:r>
          </w:p>
          <w:p w14:paraId="302FE264" w14:textId="77777777" w:rsidR="007A248F" w:rsidRDefault="007A248F" w:rsidP="00A5263B">
            <w:pPr>
              <w:pStyle w:val="Tablewriting"/>
              <w:keepNext/>
              <w:jc w:val="center"/>
              <w:rPr>
                <w:rFonts w:eastAsia="MS Mincho"/>
              </w:rPr>
            </w:pPr>
            <w:r>
              <w:rPr>
                <w:rFonts w:eastAsia="MS Mincho"/>
              </w:rPr>
              <w:t>(0.38, 140.28)</w:t>
            </w:r>
          </w:p>
        </w:tc>
      </w:tr>
    </w:tbl>
    <w:p w14:paraId="757C84F2" w14:textId="77777777" w:rsidR="007A248F" w:rsidRDefault="007A248F" w:rsidP="00DF5CCD">
      <w:pPr>
        <w:pStyle w:val="TableFooter"/>
        <w:keepNext/>
        <w:jc w:val="both"/>
      </w:pPr>
      <w:r>
        <w:t>Source: Lindson et al. (</w:t>
      </w:r>
      <w:r w:rsidRPr="00010C85">
        <w:t>2019b</w:t>
      </w:r>
      <w:r>
        <w:t>)</w:t>
      </w:r>
    </w:p>
    <w:p w14:paraId="450534D2" w14:textId="31B782C3" w:rsidR="007A248F" w:rsidRDefault="007A248F" w:rsidP="00DF5CCD">
      <w:pPr>
        <w:pStyle w:val="TableFooter"/>
        <w:keepNext/>
        <w:jc w:val="both"/>
      </w:pPr>
      <w:r>
        <w:t>Abbreviations: AEs = adverse events; CI = confidence interval; RCT = randomised controlled trial; RR = risk ratio; SAEs = serious adverse events.</w:t>
      </w:r>
    </w:p>
    <w:p w14:paraId="73C82E55" w14:textId="714E099F" w:rsidR="007A248F" w:rsidRDefault="007A248F" w:rsidP="00DF5CCD">
      <w:pPr>
        <w:pStyle w:val="TableFooter"/>
        <w:keepNext/>
        <w:jc w:val="both"/>
      </w:pPr>
      <w:r w:rsidRPr="00FD4061">
        <w:t>Note</w:t>
      </w:r>
      <w:r>
        <w:t>s</w:t>
      </w:r>
      <w:r w:rsidRPr="00FD4061">
        <w:t xml:space="preserve">: </w:t>
      </w:r>
      <w:r w:rsidRPr="001F205B">
        <w:t>Bold</w:t>
      </w:r>
      <w:r w:rsidRPr="00FD4061">
        <w:t xml:space="preserve"> indicates statistically significant difference.</w:t>
      </w:r>
      <w:r>
        <w:t xml:space="preserve"> </w:t>
      </w:r>
      <w:r w:rsidR="00D71B48" w:rsidRPr="00B032C3">
        <w:t xml:space="preserve">See </w:t>
      </w:r>
      <w:r w:rsidR="00D71B48">
        <w:t xml:space="preserve">Appendix </w:t>
      </w:r>
      <w:r w:rsidR="00D71B48">
        <w:fldChar w:fldCharType="begin" w:fldLock="1"/>
      </w:r>
      <w:r w:rsidR="00D71B48">
        <w:instrText xml:space="preserve"> REF _Ref62129944 \h </w:instrText>
      </w:r>
      <w:r w:rsidR="00DF5CCD">
        <w:instrText xml:space="preserve"> \* MERGEFORMAT </w:instrText>
      </w:r>
      <w:r w:rsidR="00D71B48">
        <w:fldChar w:fldCharType="separate"/>
      </w:r>
      <w:r w:rsidR="00EC5CC7">
        <w:t xml:space="preserve">Figure </w:t>
      </w:r>
      <w:r w:rsidR="00EC5CC7">
        <w:rPr>
          <w:noProof/>
        </w:rPr>
        <w:t>105</w:t>
      </w:r>
      <w:r w:rsidR="00D71B48">
        <w:fldChar w:fldCharType="end"/>
      </w:r>
      <w:r w:rsidR="00D71B48">
        <w:t xml:space="preserve"> and </w:t>
      </w:r>
      <w:r w:rsidR="00D71B48">
        <w:fldChar w:fldCharType="begin" w:fldLock="1"/>
      </w:r>
      <w:r w:rsidR="00D71B48">
        <w:instrText xml:space="preserve"> REF _Ref62129946 \h </w:instrText>
      </w:r>
      <w:r w:rsidR="00DF5CCD">
        <w:instrText xml:space="preserve"> \* MERGEFORMAT </w:instrText>
      </w:r>
      <w:r w:rsidR="00D71B48">
        <w:fldChar w:fldCharType="separate"/>
      </w:r>
      <w:r w:rsidR="00EC5CC7">
        <w:t xml:space="preserve">Figure </w:t>
      </w:r>
      <w:r w:rsidR="00EC5CC7">
        <w:rPr>
          <w:noProof/>
        </w:rPr>
        <w:t>106</w:t>
      </w:r>
      <w:r w:rsidR="00D71B48">
        <w:fldChar w:fldCharType="end"/>
      </w:r>
      <w:r w:rsidR="00D71B48">
        <w:t xml:space="preserve"> </w:t>
      </w:r>
      <w:r w:rsidR="00D71B48" w:rsidRPr="00B032C3">
        <w:t>for forest plots of the respective outcomes which included the results of individual studies.</w:t>
      </w:r>
    </w:p>
    <w:p w14:paraId="4880EC3B" w14:textId="763AEE45" w:rsidR="000335AB" w:rsidRDefault="007A248F" w:rsidP="00DF5CCD">
      <w:pPr>
        <w:pStyle w:val="TableFooter"/>
        <w:keepNext/>
        <w:spacing w:after="120"/>
        <w:contextualSpacing w:val="0"/>
        <w:jc w:val="both"/>
      </w:pPr>
      <w:r>
        <w:t>1</w:t>
      </w:r>
      <w:r w:rsidRPr="00432CC7">
        <w:t xml:space="preserve"> </w:t>
      </w:r>
      <w:r w:rsidRPr="00D32EBD">
        <w:t xml:space="preserve">Calculated </w:t>
      </w:r>
      <w:r w:rsidR="001F205B">
        <w:t>by Cochrane Review authors</w:t>
      </w:r>
      <w:r w:rsidRPr="00D32EBD">
        <w:t xml:space="preserve"> using a fixed-effect model.</w:t>
      </w:r>
      <w:r>
        <w:t xml:space="preserve"> </w:t>
      </w:r>
    </w:p>
    <w:p w14:paraId="2F0EDF2E" w14:textId="2F178C03" w:rsidR="00F523E8" w:rsidRPr="00F523E8" w:rsidRDefault="00F523E8" w:rsidP="00DF5CCD">
      <w:pPr>
        <w:pStyle w:val="Heading4"/>
        <w:numPr>
          <w:ilvl w:val="0"/>
          <w:numId w:val="0"/>
        </w:numPr>
        <w:spacing w:after="120"/>
        <w:jc w:val="both"/>
      </w:pPr>
      <w:r w:rsidRPr="00783202">
        <w:t xml:space="preserve">Non-PBS listed </w:t>
      </w:r>
      <w:r w:rsidR="0057154B">
        <w:t xml:space="preserve">NRT </w:t>
      </w:r>
      <w:r w:rsidR="0057154B" w:rsidRPr="00783202">
        <w:t>dosage forms</w:t>
      </w:r>
      <w:r w:rsidR="0057154B">
        <w:t xml:space="preserve"> </w:t>
      </w:r>
      <w:r w:rsidR="00B75E21">
        <w:t>(</w:t>
      </w:r>
      <w:r w:rsidRPr="00783202">
        <w:t>TGA</w:t>
      </w:r>
      <w:r w:rsidR="00AF527D">
        <w:t>-registered</w:t>
      </w:r>
      <w:r w:rsidR="0057154B">
        <w:t>)</w:t>
      </w:r>
      <w:r w:rsidRPr="00783202">
        <w:t xml:space="preserve"> </w:t>
      </w:r>
    </w:p>
    <w:p w14:paraId="0E559E01" w14:textId="4B7001A3" w:rsidR="005444BF" w:rsidRDefault="00F523E8" w:rsidP="002C2DB9">
      <w:pPr>
        <w:spacing w:after="120"/>
        <w:jc w:val="both"/>
      </w:pPr>
      <w:r w:rsidRPr="00713891">
        <w:t xml:space="preserve">A summary of the characteristics of the studies comparing </w:t>
      </w:r>
      <w:r>
        <w:t xml:space="preserve">efficacy and safety of non-PBS listed NRT dosage forms </w:t>
      </w:r>
      <w:r w:rsidR="00E70D71">
        <w:t xml:space="preserve">which are </w:t>
      </w:r>
      <w:r w:rsidR="004A39EC">
        <w:t>Therapeutic Goods Administration (</w:t>
      </w:r>
      <w:r>
        <w:t>TGA</w:t>
      </w:r>
      <w:r w:rsidR="004A39EC">
        <w:t>)</w:t>
      </w:r>
      <w:r>
        <w:t xml:space="preserve"> registered </w:t>
      </w:r>
      <w:r w:rsidRPr="00713891">
        <w:t>is presented in</w:t>
      </w:r>
      <w:r>
        <w:t xml:space="preserve"> </w:t>
      </w:r>
      <w:r w:rsidR="0023052C">
        <w:fldChar w:fldCharType="begin" w:fldLock="1"/>
      </w:r>
      <w:r w:rsidR="0023052C">
        <w:instrText xml:space="preserve"> REF _Ref60846614 \h </w:instrText>
      </w:r>
      <w:r w:rsidR="002C2DB9">
        <w:instrText xml:space="preserve"> \* MERGEFORMAT </w:instrText>
      </w:r>
      <w:r w:rsidR="0023052C">
        <w:fldChar w:fldCharType="separate"/>
      </w:r>
      <w:r w:rsidR="00EC5CC7">
        <w:t xml:space="preserve">Table </w:t>
      </w:r>
      <w:r w:rsidR="00EC5CC7">
        <w:rPr>
          <w:noProof/>
        </w:rPr>
        <w:t>104</w:t>
      </w:r>
      <w:r w:rsidR="0023052C">
        <w:fldChar w:fldCharType="end"/>
      </w:r>
      <w:r w:rsidRPr="00713891">
        <w:t xml:space="preserve">. </w:t>
      </w:r>
      <w:r w:rsidR="005444BF" w:rsidRPr="00796FC8">
        <w:t>The characteristics of the individual studies are presented in</w:t>
      </w:r>
      <w:r w:rsidR="005444BF">
        <w:t xml:space="preserve"> Appendix</w:t>
      </w:r>
      <w:r w:rsidR="002C2DB9">
        <w:t xml:space="preserve"> Table 164.</w:t>
      </w:r>
    </w:p>
    <w:p w14:paraId="712E2CCB" w14:textId="2F178C03" w:rsidR="002E7BA2" w:rsidRDefault="00025DA6" w:rsidP="00DF5CCD">
      <w:pPr>
        <w:spacing w:after="120"/>
        <w:jc w:val="both"/>
      </w:pPr>
      <w:r>
        <w:t xml:space="preserve">The </w:t>
      </w:r>
      <w:r w:rsidR="00CD12B1">
        <w:t xml:space="preserve">relevant studies </w:t>
      </w:r>
      <w:r w:rsidR="002E7BA2">
        <w:t xml:space="preserve">identified for inclusion are presented in this section based on </w:t>
      </w:r>
      <w:r w:rsidR="006934BE">
        <w:t>four</w:t>
      </w:r>
      <w:r w:rsidR="002E7BA2">
        <w:t xml:space="preserve"> categories:</w:t>
      </w:r>
    </w:p>
    <w:p w14:paraId="07F7939B" w14:textId="2E4D426E" w:rsidR="006934BE" w:rsidRPr="003B58ED" w:rsidRDefault="006934BE" w:rsidP="00C324F3">
      <w:pPr>
        <w:pStyle w:val="ListParagraph"/>
        <w:numPr>
          <w:ilvl w:val="0"/>
          <w:numId w:val="187"/>
        </w:numPr>
        <w:jc w:val="both"/>
      </w:pPr>
      <w:r w:rsidRPr="003B58ED">
        <w:t>Inhalator/inhaler (versus placebo</w:t>
      </w:r>
      <w:r w:rsidR="009C1032" w:rsidRPr="003B58ED">
        <w:t xml:space="preserve"> and </w:t>
      </w:r>
      <w:r w:rsidR="00573F59">
        <w:t>patches</w:t>
      </w:r>
      <w:r w:rsidR="009C1032" w:rsidRPr="003B58ED">
        <w:t>)</w:t>
      </w:r>
    </w:p>
    <w:p w14:paraId="252550D1" w14:textId="64FA448F" w:rsidR="009C1032" w:rsidRPr="003B58ED" w:rsidRDefault="009C1032" w:rsidP="00C324F3">
      <w:pPr>
        <w:pStyle w:val="ListParagraph"/>
        <w:numPr>
          <w:ilvl w:val="0"/>
          <w:numId w:val="187"/>
        </w:numPr>
        <w:jc w:val="both"/>
      </w:pPr>
      <w:r w:rsidRPr="003B58ED">
        <w:t>Intra</w:t>
      </w:r>
      <w:r w:rsidR="00A41791" w:rsidRPr="003B58ED">
        <w:t>nasal</w:t>
      </w:r>
      <w:r w:rsidR="00EC566F" w:rsidRPr="003B58ED">
        <w:t>/nasal</w:t>
      </w:r>
      <w:r w:rsidR="00A41791" w:rsidRPr="003B58ED">
        <w:t xml:space="preserve"> </w:t>
      </w:r>
      <w:r w:rsidR="00EC566F" w:rsidRPr="003B58ED">
        <w:t xml:space="preserve">spray (versus placebo and </w:t>
      </w:r>
      <w:r w:rsidR="00573F59">
        <w:t>patches</w:t>
      </w:r>
      <w:r w:rsidR="00EC566F" w:rsidRPr="003B58ED">
        <w:t>)</w:t>
      </w:r>
    </w:p>
    <w:p w14:paraId="5C6F0913" w14:textId="1E6E3AEF" w:rsidR="00EC566F" w:rsidRPr="003B58ED" w:rsidRDefault="00B23522" w:rsidP="00C324F3">
      <w:pPr>
        <w:pStyle w:val="ListParagraph"/>
        <w:numPr>
          <w:ilvl w:val="0"/>
          <w:numId w:val="187"/>
        </w:numPr>
        <w:jc w:val="both"/>
      </w:pPr>
      <w:r w:rsidRPr="003B58ED">
        <w:t>Oral spray (versus placebo)</w:t>
      </w:r>
    </w:p>
    <w:p w14:paraId="3B6011A0" w14:textId="1C5DDCAF" w:rsidR="00B23522" w:rsidRPr="003B58ED" w:rsidRDefault="00B23522" w:rsidP="00C324F3">
      <w:pPr>
        <w:pStyle w:val="ListParagraph"/>
        <w:numPr>
          <w:ilvl w:val="0"/>
          <w:numId w:val="187"/>
        </w:numPr>
        <w:jc w:val="both"/>
      </w:pPr>
      <w:r w:rsidRPr="003B58ED">
        <w:t>Inhalator + patch (versus placebo)</w:t>
      </w:r>
    </w:p>
    <w:p w14:paraId="66D19FA8" w14:textId="77777777" w:rsidR="00E11ADF" w:rsidRDefault="00E11ADF" w:rsidP="00E11ADF">
      <w:pPr>
        <w:jc w:val="both"/>
        <w:sectPr w:rsidR="00E11ADF" w:rsidSect="006356D2">
          <w:pgSz w:w="11906" w:h="16838"/>
          <w:pgMar w:top="1440" w:right="1440" w:bottom="1440" w:left="1440" w:header="708" w:footer="708" w:gutter="0"/>
          <w:cols w:space="708"/>
          <w:titlePg/>
          <w:docGrid w:linePitch="360"/>
        </w:sectPr>
      </w:pPr>
    </w:p>
    <w:p w14:paraId="360755E3" w14:textId="09AD853B" w:rsidR="00F523E8" w:rsidRDefault="00F523E8" w:rsidP="00DF5CCD">
      <w:pPr>
        <w:pStyle w:val="Caption"/>
        <w:keepNext/>
        <w:spacing w:before="0" w:after="120"/>
        <w:jc w:val="both"/>
      </w:pPr>
      <w:bookmarkStart w:id="184" w:name="_Ref60846614"/>
      <w:r>
        <w:lastRenderedPageBreak/>
        <w:t xml:space="preserve">Table </w:t>
      </w:r>
      <w:r w:rsidR="00BF3F75">
        <w:fldChar w:fldCharType="begin"/>
      </w:r>
      <w:r w:rsidR="00BF3F75">
        <w:instrText xml:space="preserve"> SEQ Table \* ARABIC </w:instrText>
      </w:r>
      <w:r w:rsidR="00BF3F75">
        <w:fldChar w:fldCharType="separate"/>
      </w:r>
      <w:r w:rsidR="00EC5CC7">
        <w:rPr>
          <w:noProof/>
        </w:rPr>
        <w:t>104</w:t>
      </w:r>
      <w:r w:rsidR="00BF3F75">
        <w:rPr>
          <w:noProof/>
        </w:rPr>
        <w:fldChar w:fldCharType="end"/>
      </w:r>
      <w:bookmarkEnd w:id="184"/>
      <w:r>
        <w:t xml:space="preserve">: </w:t>
      </w:r>
      <w:r w:rsidRPr="00590805">
        <w:t>Characteristics of the studies comparing non-PBS listed NRT dosage forms</w:t>
      </w:r>
    </w:p>
    <w:tbl>
      <w:tblPr>
        <w:tblStyle w:val="TableGrid"/>
        <w:tblW w:w="5107" w:type="pct"/>
        <w:tblLook w:val="04A0" w:firstRow="1" w:lastRow="0" w:firstColumn="1" w:lastColumn="0" w:noHBand="0" w:noVBand="1"/>
        <w:tblCaption w:val="Efficacy results of adalimumab trials (PASI 75 and DLQI)"/>
      </w:tblPr>
      <w:tblGrid>
        <w:gridCol w:w="941"/>
        <w:gridCol w:w="988"/>
        <w:gridCol w:w="2319"/>
        <w:gridCol w:w="5670"/>
        <w:gridCol w:w="1701"/>
        <w:gridCol w:w="2627"/>
      </w:tblGrid>
      <w:tr w:rsidR="00E45F0E" w:rsidRPr="00061F78" w14:paraId="2CEF6A3F" w14:textId="77777777" w:rsidTr="00CB3AFC">
        <w:trPr>
          <w:trHeight w:val="299"/>
          <w:tblHeader/>
        </w:trPr>
        <w:tc>
          <w:tcPr>
            <w:tcW w:w="330" w:type="pct"/>
            <w:shd w:val="clear" w:color="auto" w:fill="BFBFBF" w:themeFill="background1" w:themeFillShade="BF"/>
            <w:tcMar>
              <w:left w:w="28" w:type="dxa"/>
              <w:right w:w="28" w:type="dxa"/>
            </w:tcMar>
          </w:tcPr>
          <w:p w14:paraId="299C1398" w14:textId="77777777" w:rsidR="00F523E8" w:rsidRPr="00061F78" w:rsidRDefault="00F523E8" w:rsidP="00E45F0E">
            <w:pPr>
              <w:pStyle w:val="Tableheading"/>
              <w:rPr>
                <w:rFonts w:eastAsia="MS Mincho"/>
              </w:rPr>
            </w:pPr>
            <w:r>
              <w:rPr>
                <w:rFonts w:eastAsia="MS Mincho"/>
              </w:rPr>
              <w:t>Study</w:t>
            </w:r>
          </w:p>
        </w:tc>
        <w:tc>
          <w:tcPr>
            <w:tcW w:w="347" w:type="pct"/>
            <w:shd w:val="clear" w:color="auto" w:fill="BFBFBF" w:themeFill="background1" w:themeFillShade="BF"/>
          </w:tcPr>
          <w:p w14:paraId="63A866F0" w14:textId="77777777" w:rsidR="00F523E8" w:rsidRDefault="00F523E8" w:rsidP="00E45F0E">
            <w:pPr>
              <w:pStyle w:val="Tableheading"/>
              <w:jc w:val="center"/>
              <w:rPr>
                <w:rFonts w:eastAsia="MS Mincho"/>
              </w:rPr>
            </w:pPr>
            <w:r>
              <w:rPr>
                <w:rFonts w:eastAsia="MS Mincho"/>
              </w:rPr>
              <w:t>Study type</w:t>
            </w:r>
          </w:p>
        </w:tc>
        <w:tc>
          <w:tcPr>
            <w:tcW w:w="814" w:type="pct"/>
            <w:shd w:val="clear" w:color="auto" w:fill="BFBFBF" w:themeFill="background1" w:themeFillShade="BF"/>
            <w:tcMar>
              <w:left w:w="28" w:type="dxa"/>
              <w:right w:w="28" w:type="dxa"/>
            </w:tcMar>
          </w:tcPr>
          <w:p w14:paraId="4E81F248" w14:textId="77777777" w:rsidR="00F523E8" w:rsidRPr="002E1796" w:rsidRDefault="00F523E8" w:rsidP="00E45F0E">
            <w:pPr>
              <w:pStyle w:val="Tableheading"/>
              <w:jc w:val="center"/>
              <w:rPr>
                <w:rFonts w:eastAsia="MS Mincho"/>
              </w:rPr>
            </w:pPr>
            <w:r w:rsidRPr="005A1EEB">
              <w:rPr>
                <w:rFonts w:eastAsia="MS Mincho"/>
              </w:rPr>
              <w:t>Subgroup title/N</w:t>
            </w:r>
            <w:r w:rsidRPr="005A1EEB">
              <w:rPr>
                <w:rFonts w:eastAsia="MS Mincho"/>
                <w:vertAlign w:val="superscript"/>
              </w:rPr>
              <w:t>1</w:t>
            </w:r>
          </w:p>
        </w:tc>
        <w:tc>
          <w:tcPr>
            <w:tcW w:w="1990" w:type="pct"/>
            <w:shd w:val="clear" w:color="auto" w:fill="BFBFBF" w:themeFill="background1" w:themeFillShade="BF"/>
            <w:tcMar>
              <w:left w:w="28" w:type="dxa"/>
              <w:right w:w="28" w:type="dxa"/>
            </w:tcMar>
          </w:tcPr>
          <w:p w14:paraId="6A389FFA" w14:textId="77777777" w:rsidR="00F523E8" w:rsidRPr="00061F78" w:rsidRDefault="00F523E8" w:rsidP="00E45F0E">
            <w:pPr>
              <w:pStyle w:val="Tableheading"/>
              <w:jc w:val="center"/>
              <w:rPr>
                <w:rFonts w:eastAsia="MS Mincho"/>
              </w:rPr>
            </w:pPr>
            <w:r w:rsidRPr="00061F78">
              <w:rPr>
                <w:rFonts w:eastAsia="MS Mincho"/>
              </w:rPr>
              <w:t>P</w:t>
            </w:r>
            <w:r>
              <w:rPr>
                <w:rFonts w:eastAsia="MS Mincho"/>
              </w:rPr>
              <w:t>opulation</w:t>
            </w:r>
          </w:p>
        </w:tc>
        <w:tc>
          <w:tcPr>
            <w:tcW w:w="597" w:type="pct"/>
            <w:shd w:val="clear" w:color="auto" w:fill="BFBFBF" w:themeFill="background1" w:themeFillShade="BF"/>
          </w:tcPr>
          <w:p w14:paraId="195E2246" w14:textId="7D45272D" w:rsidR="00F523E8" w:rsidRDefault="00F523E8" w:rsidP="00E45F0E">
            <w:pPr>
              <w:pStyle w:val="Tableheading"/>
              <w:jc w:val="center"/>
              <w:rPr>
                <w:rFonts w:eastAsia="MS Mincho"/>
              </w:rPr>
            </w:pPr>
            <w:r>
              <w:rPr>
                <w:rFonts w:eastAsia="MS Mincho"/>
              </w:rPr>
              <w:t>Intervention and comparator</w:t>
            </w:r>
          </w:p>
        </w:tc>
        <w:tc>
          <w:tcPr>
            <w:tcW w:w="922" w:type="pct"/>
            <w:shd w:val="clear" w:color="auto" w:fill="BFBFBF" w:themeFill="background1" w:themeFillShade="BF"/>
            <w:tcMar>
              <w:left w:w="28" w:type="dxa"/>
              <w:right w:w="28" w:type="dxa"/>
            </w:tcMar>
          </w:tcPr>
          <w:p w14:paraId="4B5592D9" w14:textId="77777777" w:rsidR="00F523E8" w:rsidRPr="00061F78" w:rsidRDefault="00F523E8" w:rsidP="00E45F0E">
            <w:pPr>
              <w:pStyle w:val="Tableheading"/>
              <w:jc w:val="center"/>
              <w:rPr>
                <w:rFonts w:eastAsia="MS Mincho"/>
              </w:rPr>
            </w:pPr>
            <w:r>
              <w:rPr>
                <w:rFonts w:eastAsia="MS Mincho"/>
              </w:rPr>
              <w:t>Outcomes</w:t>
            </w:r>
          </w:p>
        </w:tc>
      </w:tr>
      <w:tr w:rsidR="00AA3BFF" w:rsidRPr="00061F78" w14:paraId="72C49F94" w14:textId="77777777" w:rsidTr="007231A4">
        <w:trPr>
          <w:trHeight w:val="149"/>
        </w:trPr>
        <w:tc>
          <w:tcPr>
            <w:tcW w:w="5000" w:type="pct"/>
            <w:gridSpan w:val="6"/>
            <w:shd w:val="clear" w:color="auto" w:fill="auto"/>
            <w:tcMar>
              <w:left w:w="28" w:type="dxa"/>
              <w:right w:w="28" w:type="dxa"/>
            </w:tcMar>
          </w:tcPr>
          <w:p w14:paraId="46883777" w14:textId="7C9CE8C2" w:rsidR="00AA3BFF" w:rsidRPr="00AA3BFF" w:rsidRDefault="00AA3BFF" w:rsidP="00E45F0E">
            <w:pPr>
              <w:pStyle w:val="Tablewriting"/>
              <w:rPr>
                <w:rFonts w:eastAsia="MS Mincho"/>
                <w:b/>
                <w:bCs/>
                <w:u w:val="single"/>
              </w:rPr>
            </w:pPr>
            <w:r w:rsidRPr="00AA3BFF">
              <w:rPr>
                <w:b/>
                <w:bCs/>
              </w:rPr>
              <w:t>Inhalator/inhaler</w:t>
            </w:r>
          </w:p>
        </w:tc>
      </w:tr>
      <w:tr w:rsidR="00F523E8" w:rsidRPr="00061F78" w14:paraId="026130C4" w14:textId="77777777" w:rsidTr="00CB3AFC">
        <w:trPr>
          <w:trHeight w:val="149"/>
        </w:trPr>
        <w:tc>
          <w:tcPr>
            <w:tcW w:w="330" w:type="pct"/>
            <w:tcMar>
              <w:left w:w="28" w:type="dxa"/>
              <w:right w:w="28" w:type="dxa"/>
            </w:tcMar>
          </w:tcPr>
          <w:p w14:paraId="5BA73B5E" w14:textId="22C706DA" w:rsidR="00F523E8" w:rsidRPr="00687B43" w:rsidRDefault="00F523E8" w:rsidP="00E45F0E">
            <w:pPr>
              <w:pStyle w:val="Tablewriting"/>
              <w:rPr>
                <w:rFonts w:eastAsia="MS Mincho"/>
              </w:rPr>
            </w:pPr>
            <w:r w:rsidRPr="004110FF">
              <w:t>Hartmann-</w:t>
            </w:r>
            <w:r w:rsidR="00826C95" w:rsidRPr="004110FF">
              <w:t>Boyce (</w:t>
            </w:r>
            <w:r w:rsidRPr="004110FF">
              <w:t>2018</w:t>
            </w:r>
            <w:r>
              <w:t>)</w:t>
            </w:r>
          </w:p>
        </w:tc>
        <w:tc>
          <w:tcPr>
            <w:tcW w:w="347" w:type="pct"/>
          </w:tcPr>
          <w:p w14:paraId="399D619C" w14:textId="49E5873A" w:rsidR="00F523E8" w:rsidRPr="00992D9B" w:rsidRDefault="00F523E8" w:rsidP="00E45F0E">
            <w:pPr>
              <w:pStyle w:val="Tablewriting"/>
              <w:rPr>
                <w:rFonts w:eastAsia="MS Mincho"/>
              </w:rPr>
            </w:pPr>
            <w:r w:rsidRPr="00992D9B">
              <w:rPr>
                <w:rFonts w:eastAsia="MS Mincho"/>
              </w:rPr>
              <w:t xml:space="preserve">Cochrane </w:t>
            </w:r>
            <w:r w:rsidR="00803EBA" w:rsidRPr="00992D9B">
              <w:rPr>
                <w:rFonts w:eastAsia="MS Mincho"/>
              </w:rPr>
              <w:t>R</w:t>
            </w:r>
            <w:r w:rsidRPr="00992D9B">
              <w:rPr>
                <w:rFonts w:eastAsia="MS Mincho"/>
              </w:rPr>
              <w:t xml:space="preserve">eview </w:t>
            </w:r>
          </w:p>
          <w:p w14:paraId="65B67D0E" w14:textId="77777777" w:rsidR="00F523E8" w:rsidRPr="00186C2B" w:rsidRDefault="00F523E8" w:rsidP="00E45F0E">
            <w:pPr>
              <w:pStyle w:val="Tablewriting"/>
              <w:rPr>
                <w:rFonts w:eastAsia="MS Mincho"/>
                <w:highlight w:val="yellow"/>
              </w:rPr>
            </w:pPr>
            <w:r w:rsidRPr="00992D9B">
              <w:rPr>
                <w:rFonts w:eastAsia="MS Mincho"/>
              </w:rPr>
              <w:t>(</w:t>
            </w:r>
            <w:r>
              <w:rPr>
                <w:rFonts w:eastAsia="MS Mincho"/>
              </w:rPr>
              <w:t>4</w:t>
            </w:r>
            <w:r w:rsidRPr="00992D9B">
              <w:rPr>
                <w:rFonts w:eastAsia="MS Mincho"/>
              </w:rPr>
              <w:t xml:space="preserve"> RCTs</w:t>
            </w:r>
            <w:r w:rsidRPr="00992D9B">
              <w:rPr>
                <w:rFonts w:eastAsia="MS Mincho"/>
                <w:vertAlign w:val="superscript"/>
              </w:rPr>
              <w:t>2</w:t>
            </w:r>
            <w:r w:rsidRPr="00992D9B">
              <w:rPr>
                <w:rFonts w:eastAsia="MS Mincho"/>
              </w:rPr>
              <w:t>)</w:t>
            </w:r>
          </w:p>
        </w:tc>
        <w:tc>
          <w:tcPr>
            <w:tcW w:w="814" w:type="pct"/>
            <w:tcMar>
              <w:left w:w="28" w:type="dxa"/>
              <w:right w:w="28" w:type="dxa"/>
            </w:tcMar>
          </w:tcPr>
          <w:p w14:paraId="24E864B2" w14:textId="77777777" w:rsidR="00F523E8" w:rsidRDefault="00F523E8" w:rsidP="00E45F0E">
            <w:pPr>
              <w:pStyle w:val="Tablewriting"/>
              <w:rPr>
                <w:rFonts w:eastAsia="MS Mincho"/>
                <w:u w:val="single"/>
              </w:rPr>
            </w:pPr>
            <w:r w:rsidRPr="00662E6F">
              <w:rPr>
                <w:rFonts w:eastAsia="MS Mincho"/>
                <w:u w:val="single"/>
              </w:rPr>
              <w:t>Inhalator versus placebo</w:t>
            </w:r>
          </w:p>
          <w:p w14:paraId="026BB5A4" w14:textId="77777777" w:rsidR="00F523E8" w:rsidRDefault="00F523E8" w:rsidP="00E45F0E">
            <w:pPr>
              <w:pStyle w:val="Tablewriting"/>
              <w:rPr>
                <w:rFonts w:eastAsia="MS Mincho"/>
              </w:rPr>
            </w:pPr>
            <w:r w:rsidRPr="00992D9B">
              <w:rPr>
                <w:rFonts w:eastAsia="MS Mincho"/>
              </w:rPr>
              <w:t>N=</w:t>
            </w:r>
            <w:r>
              <w:rPr>
                <w:rFonts w:eastAsia="MS Mincho"/>
              </w:rPr>
              <w:t xml:space="preserve"> 976 </w:t>
            </w:r>
            <w:r w:rsidRPr="00992D9B">
              <w:rPr>
                <w:rFonts w:eastAsia="MS Mincho"/>
              </w:rPr>
              <w:t>(</w:t>
            </w:r>
            <w:r>
              <w:rPr>
                <w:rFonts w:eastAsia="MS Mincho"/>
              </w:rPr>
              <w:t xml:space="preserve">4 </w:t>
            </w:r>
            <w:r w:rsidRPr="00992D9B">
              <w:rPr>
                <w:rFonts w:eastAsia="MS Mincho"/>
              </w:rPr>
              <w:t>RCT</w:t>
            </w:r>
            <w:r>
              <w:rPr>
                <w:rFonts w:eastAsia="MS Mincho"/>
              </w:rPr>
              <w:t>s</w:t>
            </w:r>
            <w:r w:rsidRPr="00992D9B">
              <w:rPr>
                <w:rFonts w:eastAsia="MS Mincho"/>
              </w:rPr>
              <w:t>)</w:t>
            </w:r>
          </w:p>
          <w:p w14:paraId="79241829" w14:textId="07CB970B" w:rsidR="00F523E8" w:rsidRPr="00F4262F" w:rsidRDefault="00F523E8" w:rsidP="00E45F0E">
            <w:pPr>
              <w:pStyle w:val="Tablewriting"/>
              <w:rPr>
                <w:rFonts w:eastAsia="MS Mincho"/>
              </w:rPr>
            </w:pPr>
            <w:r>
              <w:rPr>
                <w:rFonts w:eastAsia="MS Mincho"/>
              </w:rPr>
              <w:t>Inhalator (</w:t>
            </w:r>
            <w:r w:rsidRPr="002F0CA7">
              <w:rPr>
                <w:rFonts w:eastAsia="MS Mincho"/>
              </w:rPr>
              <w:t>n=</w:t>
            </w:r>
            <w:r>
              <w:rPr>
                <w:rFonts w:eastAsia="MS Mincho"/>
              </w:rPr>
              <w:t>490</w:t>
            </w:r>
            <w:r w:rsidRPr="002F0CA7">
              <w:rPr>
                <w:rFonts w:eastAsia="MS Mincho"/>
              </w:rPr>
              <w:t>),</w:t>
            </w:r>
            <w:r>
              <w:rPr>
                <w:rFonts w:eastAsia="MS Mincho"/>
              </w:rPr>
              <w:t xml:space="preserve"> </w:t>
            </w:r>
            <w:r w:rsidR="00E11ADF">
              <w:rPr>
                <w:rFonts w:eastAsia="MS Mincho"/>
              </w:rPr>
              <w:t>P</w:t>
            </w:r>
            <w:r>
              <w:rPr>
                <w:rFonts w:eastAsia="MS Mincho"/>
              </w:rPr>
              <w:t xml:space="preserve">lacebo </w:t>
            </w:r>
            <w:r w:rsidRPr="002F0CA7">
              <w:rPr>
                <w:rFonts w:eastAsia="MS Mincho"/>
              </w:rPr>
              <w:t>(n=</w:t>
            </w:r>
            <w:r>
              <w:rPr>
                <w:rFonts w:eastAsia="MS Mincho"/>
              </w:rPr>
              <w:t>486</w:t>
            </w:r>
            <w:r w:rsidRPr="002F0CA7">
              <w:rPr>
                <w:rFonts w:eastAsia="MS Mincho"/>
              </w:rPr>
              <w:t>)</w:t>
            </w:r>
          </w:p>
        </w:tc>
        <w:tc>
          <w:tcPr>
            <w:tcW w:w="1990" w:type="pct"/>
            <w:tcMar>
              <w:left w:w="28" w:type="dxa"/>
              <w:right w:w="28" w:type="dxa"/>
            </w:tcMar>
          </w:tcPr>
          <w:p w14:paraId="78BFD6F4" w14:textId="77777777" w:rsidR="00F523E8" w:rsidRDefault="00F523E8" w:rsidP="00E45F0E">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14:paraId="72A63B5C" w14:textId="49E5A285" w:rsidR="00F523E8" w:rsidRPr="009830FA" w:rsidRDefault="00F523E8" w:rsidP="00E45F0E">
            <w:pPr>
              <w:pStyle w:val="Tablewriting"/>
              <w:rPr>
                <w:rFonts w:eastAsia="MS Mincho"/>
                <w:highlight w:val="yellow"/>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14:paraId="6E4027D6" w14:textId="77777777" w:rsidR="00F523E8" w:rsidRPr="003E5FF8" w:rsidRDefault="00F523E8" w:rsidP="00E45F0E">
            <w:pPr>
              <w:pStyle w:val="Tablewriting"/>
              <w:rPr>
                <w:rFonts w:eastAsia="MS Mincho"/>
              </w:rPr>
            </w:pPr>
            <w:r w:rsidRPr="003E5FF8">
              <w:rPr>
                <w:rFonts w:eastAsia="MS Mincho"/>
              </w:rPr>
              <w:t>NRT inhalator</w:t>
            </w:r>
          </w:p>
          <w:p w14:paraId="2E4540D8" w14:textId="77777777" w:rsidR="00F523E8" w:rsidRPr="00186C2B" w:rsidRDefault="00F523E8" w:rsidP="00E45F0E">
            <w:pPr>
              <w:pStyle w:val="Tablewriting"/>
              <w:rPr>
                <w:rFonts w:eastAsia="MS Mincho"/>
                <w:highlight w:val="yellow"/>
              </w:rPr>
            </w:pPr>
            <w:r w:rsidRPr="003E5FF8">
              <w:rPr>
                <w:rFonts w:eastAsia="MS Mincho"/>
              </w:rPr>
              <w:t>Placebo</w:t>
            </w:r>
          </w:p>
        </w:tc>
        <w:tc>
          <w:tcPr>
            <w:tcW w:w="922" w:type="pct"/>
            <w:tcMar>
              <w:left w:w="28" w:type="dxa"/>
              <w:right w:w="28" w:type="dxa"/>
            </w:tcMar>
          </w:tcPr>
          <w:p w14:paraId="31D55AF0" w14:textId="77777777" w:rsidR="00F523E8" w:rsidRPr="000D0785" w:rsidRDefault="00F523E8" w:rsidP="00E45F0E">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14:paraId="610E7311" w14:textId="4AA1608B" w:rsidR="00F523E8" w:rsidRPr="0050095A" w:rsidRDefault="00F523E8" w:rsidP="00E45F0E">
            <w:pPr>
              <w:pStyle w:val="Tablewriting"/>
              <w:rPr>
                <w:rFonts w:eastAsia="MS Mincho"/>
                <w:u w:val="single"/>
              </w:rPr>
            </w:pPr>
            <w:r w:rsidRPr="00E44230">
              <w:rPr>
                <w:rFonts w:eastAsia="MS Mincho"/>
                <w:u w:val="single"/>
              </w:rPr>
              <w:t>Secondary</w:t>
            </w:r>
            <w:r w:rsidRPr="00E44230">
              <w:rPr>
                <w:rFonts w:eastAsia="MS Mincho"/>
              </w:rPr>
              <w:t xml:space="preserve">: </w:t>
            </w:r>
            <w:r w:rsidRPr="009675A0">
              <w:rPr>
                <w:rFonts w:eastAsia="MS Mincho"/>
              </w:rPr>
              <w:t>NR</w:t>
            </w:r>
            <w:r w:rsidR="00ED0CBA">
              <w:rPr>
                <w:rFonts w:eastAsia="MS Mincho"/>
              </w:rPr>
              <w:t>.</w:t>
            </w:r>
            <w:r>
              <w:rPr>
                <w:rFonts w:eastAsia="MS Mincho"/>
              </w:rPr>
              <w:t xml:space="preserve"> </w:t>
            </w:r>
          </w:p>
        </w:tc>
      </w:tr>
      <w:tr w:rsidR="00F523E8" w:rsidRPr="00061F78" w14:paraId="2074C5A4" w14:textId="77777777" w:rsidTr="00CB3AFC">
        <w:trPr>
          <w:trHeight w:val="149"/>
        </w:trPr>
        <w:tc>
          <w:tcPr>
            <w:tcW w:w="330" w:type="pct"/>
            <w:tcMar>
              <w:left w:w="28" w:type="dxa"/>
              <w:right w:w="28" w:type="dxa"/>
            </w:tcMar>
          </w:tcPr>
          <w:p w14:paraId="65987DA8" w14:textId="77777777" w:rsidR="00F523E8" w:rsidRPr="003018A2" w:rsidRDefault="00F523E8" w:rsidP="00E45F0E">
            <w:pPr>
              <w:pStyle w:val="Tablewriting"/>
            </w:pPr>
            <w:r w:rsidRPr="003018A2">
              <w:t>Oncken (2019)</w:t>
            </w:r>
          </w:p>
        </w:tc>
        <w:tc>
          <w:tcPr>
            <w:tcW w:w="347" w:type="pct"/>
          </w:tcPr>
          <w:p w14:paraId="2619878D" w14:textId="1CBFC229" w:rsidR="00F523E8" w:rsidRPr="003018A2" w:rsidRDefault="00F523E8" w:rsidP="00E45F0E">
            <w:pPr>
              <w:pStyle w:val="Tablewriting"/>
              <w:rPr>
                <w:rFonts w:eastAsia="MS Mincho"/>
              </w:rPr>
            </w:pPr>
            <w:r w:rsidRPr="003018A2">
              <w:rPr>
                <w:rFonts w:eastAsia="MS Mincho"/>
              </w:rPr>
              <w:t>RCT</w:t>
            </w:r>
          </w:p>
        </w:tc>
        <w:tc>
          <w:tcPr>
            <w:tcW w:w="814" w:type="pct"/>
            <w:tcMar>
              <w:left w:w="28" w:type="dxa"/>
              <w:right w:w="28" w:type="dxa"/>
            </w:tcMar>
          </w:tcPr>
          <w:p w14:paraId="3C71FDD2" w14:textId="77777777" w:rsidR="00F523E8" w:rsidRPr="003018A2" w:rsidRDefault="00F523E8" w:rsidP="00E45F0E">
            <w:pPr>
              <w:pStyle w:val="Tablewriting"/>
              <w:rPr>
                <w:rFonts w:eastAsia="MS Mincho"/>
                <w:u w:val="single"/>
              </w:rPr>
            </w:pPr>
            <w:r w:rsidRPr="003018A2">
              <w:rPr>
                <w:rFonts w:eastAsia="MS Mincho"/>
                <w:u w:val="single"/>
              </w:rPr>
              <w:t>Inhalator versus placebo</w:t>
            </w:r>
          </w:p>
          <w:p w14:paraId="7C2333B5" w14:textId="77777777" w:rsidR="00F523E8" w:rsidRPr="003018A2" w:rsidRDefault="00F523E8" w:rsidP="00E45F0E">
            <w:pPr>
              <w:pStyle w:val="Tablewriting"/>
              <w:rPr>
                <w:rFonts w:eastAsia="MS Mincho"/>
              </w:rPr>
            </w:pPr>
            <w:r w:rsidRPr="003018A2">
              <w:rPr>
                <w:rFonts w:eastAsia="MS Mincho"/>
              </w:rPr>
              <w:t xml:space="preserve">N= </w:t>
            </w:r>
            <w:r>
              <w:rPr>
                <w:rFonts w:eastAsia="MS Mincho"/>
              </w:rPr>
              <w:t xml:space="preserve">137 </w:t>
            </w:r>
            <w:r w:rsidRPr="003018A2">
              <w:rPr>
                <w:rFonts w:eastAsia="MS Mincho"/>
              </w:rPr>
              <w:t>(1 RCT)</w:t>
            </w:r>
          </w:p>
          <w:p w14:paraId="27ABEE73" w14:textId="77777777" w:rsidR="00E11ADF" w:rsidRDefault="00F523E8" w:rsidP="00482E97">
            <w:pPr>
              <w:pStyle w:val="Tablewriting"/>
              <w:rPr>
                <w:rFonts w:eastAsia="MS Mincho"/>
              </w:rPr>
            </w:pPr>
            <w:r w:rsidRPr="003018A2">
              <w:rPr>
                <w:rFonts w:eastAsia="MS Mincho"/>
              </w:rPr>
              <w:t xml:space="preserve">Inhalator (n=70), </w:t>
            </w:r>
          </w:p>
          <w:p w14:paraId="6D839F76" w14:textId="0F38085D" w:rsidR="00F523E8" w:rsidRPr="003018A2" w:rsidRDefault="00E11ADF" w:rsidP="00E45F0E">
            <w:pPr>
              <w:pStyle w:val="Tablewriting"/>
              <w:rPr>
                <w:rFonts w:eastAsia="MS Mincho"/>
                <w:u w:val="single"/>
              </w:rPr>
            </w:pPr>
            <w:r w:rsidRPr="003018A2">
              <w:rPr>
                <w:rFonts w:eastAsia="MS Mincho"/>
              </w:rPr>
              <w:t>P</w:t>
            </w:r>
            <w:r w:rsidR="00F523E8" w:rsidRPr="003018A2">
              <w:rPr>
                <w:rFonts w:eastAsia="MS Mincho"/>
              </w:rPr>
              <w:t>lacebo (n=67)</w:t>
            </w:r>
          </w:p>
        </w:tc>
        <w:tc>
          <w:tcPr>
            <w:tcW w:w="1990" w:type="pct"/>
            <w:tcMar>
              <w:left w:w="28" w:type="dxa"/>
              <w:right w:w="28" w:type="dxa"/>
            </w:tcMar>
          </w:tcPr>
          <w:p w14:paraId="6D8963AE" w14:textId="5A15FEB5" w:rsidR="00F523E8" w:rsidRDefault="00F523E8" w:rsidP="00E45F0E">
            <w:pPr>
              <w:pStyle w:val="Tablewriting"/>
              <w:rPr>
                <w:rFonts w:eastAsia="MS Mincho"/>
              </w:rPr>
            </w:pPr>
            <w:r w:rsidRPr="003F619D">
              <w:rPr>
                <w:rFonts w:eastAsia="MS Mincho"/>
                <w:u w:val="single"/>
              </w:rPr>
              <w:t>Inclusion</w:t>
            </w:r>
            <w:r w:rsidRPr="003F619D">
              <w:rPr>
                <w:rFonts w:eastAsia="MS Mincho"/>
              </w:rPr>
              <w:t>:</w:t>
            </w:r>
            <w:r>
              <w:rPr>
                <w:rFonts w:eastAsia="MS Mincho"/>
              </w:rPr>
              <w:t xml:space="preserve"> </w:t>
            </w:r>
            <w:r w:rsidRPr="00A53DD4">
              <w:rPr>
                <w:rFonts w:eastAsia="MS Mincho"/>
              </w:rPr>
              <w:t xml:space="preserve">Pregnant women </w:t>
            </w:r>
            <w:r>
              <w:rPr>
                <w:rFonts w:eastAsia="MS Mincho"/>
              </w:rPr>
              <w:t>who</w:t>
            </w:r>
            <w:r w:rsidRPr="00A53DD4">
              <w:rPr>
                <w:rFonts w:eastAsia="MS Mincho"/>
              </w:rPr>
              <w:t xml:space="preserve"> were</w:t>
            </w:r>
            <w:r>
              <w:rPr>
                <w:rFonts w:eastAsia="MS Mincho"/>
              </w:rPr>
              <w:t xml:space="preserve"> </w:t>
            </w:r>
            <w:r w:rsidRPr="00A53DD4">
              <w:rPr>
                <w:rFonts w:eastAsia="MS Mincho"/>
              </w:rPr>
              <w:t>smoking</w:t>
            </w:r>
            <w:r>
              <w:rPr>
                <w:rFonts w:eastAsia="MS Mincho"/>
              </w:rPr>
              <w:t xml:space="preserve"> </w:t>
            </w:r>
            <w:r w:rsidR="00F13901">
              <w:rPr>
                <w:rFonts w:eastAsia="MS Mincho" w:cstheme="minorHAnsi"/>
              </w:rPr>
              <w:t>≥</w:t>
            </w:r>
            <w:r w:rsidRPr="00A53DD4">
              <w:rPr>
                <w:rFonts w:eastAsia="MS Mincho"/>
              </w:rPr>
              <w:t>5 cigarettes per day</w:t>
            </w:r>
            <w:r>
              <w:rPr>
                <w:rFonts w:eastAsia="MS Mincho"/>
              </w:rPr>
              <w:t xml:space="preserve">, </w:t>
            </w:r>
            <w:r w:rsidRPr="00A53DD4">
              <w:rPr>
                <w:rFonts w:eastAsia="MS Mincho"/>
              </w:rPr>
              <w:t>13</w:t>
            </w:r>
            <w:r>
              <w:rPr>
                <w:rFonts w:eastAsia="MS Mincho"/>
              </w:rPr>
              <w:t>-</w:t>
            </w:r>
            <w:r w:rsidRPr="00A53DD4">
              <w:rPr>
                <w:rFonts w:eastAsia="MS Mincho"/>
              </w:rPr>
              <w:t xml:space="preserve">26 </w:t>
            </w:r>
            <w:r w:rsidR="005320D0" w:rsidRPr="00A53DD4">
              <w:rPr>
                <w:rFonts w:eastAsia="MS Mincho"/>
              </w:rPr>
              <w:t>weeks’</w:t>
            </w:r>
            <w:r w:rsidRPr="00A53DD4">
              <w:rPr>
                <w:rFonts w:eastAsia="MS Mincho"/>
              </w:rPr>
              <w:t xml:space="preserve"> gestation</w:t>
            </w:r>
            <w:r>
              <w:rPr>
                <w:rFonts w:eastAsia="MS Mincho"/>
              </w:rPr>
              <w:t xml:space="preserve">, </w:t>
            </w:r>
            <w:r w:rsidRPr="00CE58B5">
              <w:rPr>
                <w:rFonts w:eastAsia="MS Mincho"/>
              </w:rPr>
              <w:t>≥</w:t>
            </w:r>
            <w:r w:rsidRPr="00A53DD4">
              <w:rPr>
                <w:rFonts w:eastAsia="MS Mincho"/>
              </w:rPr>
              <w:t>16 years of age</w:t>
            </w:r>
            <w:r>
              <w:rPr>
                <w:rFonts w:eastAsia="MS Mincho"/>
              </w:rPr>
              <w:t xml:space="preserve">, </w:t>
            </w:r>
            <w:r w:rsidRPr="00A53DD4">
              <w:rPr>
                <w:rFonts w:eastAsia="MS Mincho"/>
              </w:rPr>
              <w:t>intending</w:t>
            </w:r>
            <w:r>
              <w:rPr>
                <w:rFonts w:eastAsia="MS Mincho"/>
              </w:rPr>
              <w:t xml:space="preserve"> t</w:t>
            </w:r>
            <w:r w:rsidRPr="00A53DD4">
              <w:rPr>
                <w:rFonts w:eastAsia="MS Mincho"/>
              </w:rPr>
              <w:t>o carry their pregnancy to term</w:t>
            </w:r>
            <w:r>
              <w:rPr>
                <w:rFonts w:eastAsia="MS Mincho"/>
              </w:rPr>
              <w:t xml:space="preserve">, </w:t>
            </w:r>
            <w:r w:rsidRPr="00A53DD4">
              <w:rPr>
                <w:rFonts w:eastAsia="MS Mincho"/>
              </w:rPr>
              <w:t>living in a stable</w:t>
            </w:r>
            <w:r>
              <w:rPr>
                <w:rFonts w:eastAsia="MS Mincho"/>
              </w:rPr>
              <w:t xml:space="preserve"> </w:t>
            </w:r>
            <w:r w:rsidRPr="00A53DD4">
              <w:rPr>
                <w:rFonts w:eastAsia="MS Mincho"/>
              </w:rPr>
              <w:t>residence.</w:t>
            </w:r>
          </w:p>
          <w:p w14:paraId="4AC2071E" w14:textId="4F843607" w:rsidR="00F523E8" w:rsidRPr="003F619D" w:rsidRDefault="00F523E8" w:rsidP="00E45F0E">
            <w:pPr>
              <w:pStyle w:val="Tablewriting"/>
              <w:rPr>
                <w:rFonts w:eastAsia="MS Mincho"/>
                <w:u w:val="single"/>
              </w:rPr>
            </w:pPr>
            <w:r w:rsidRPr="003F619D">
              <w:rPr>
                <w:rFonts w:eastAsia="MS Mincho"/>
                <w:u w:val="single"/>
              </w:rPr>
              <w:t>Exclusion</w:t>
            </w:r>
            <w:r w:rsidRPr="003F619D">
              <w:rPr>
                <w:rFonts w:eastAsia="MS Mincho"/>
              </w:rPr>
              <w:t xml:space="preserve">: </w:t>
            </w:r>
            <w:r w:rsidRPr="00A53DD4">
              <w:rPr>
                <w:rFonts w:eastAsia="MS Mincho"/>
              </w:rPr>
              <w:t>current drug abuse or dependence by self-report</w:t>
            </w:r>
            <w:r>
              <w:rPr>
                <w:rFonts w:eastAsia="MS Mincho"/>
              </w:rPr>
              <w:t>,</w:t>
            </w:r>
            <w:r w:rsidRPr="00A53DD4">
              <w:rPr>
                <w:rFonts w:eastAsia="MS Mincho"/>
              </w:rPr>
              <w:t xml:space="preserve"> </w:t>
            </w:r>
            <w:r w:rsidR="00826C95" w:rsidRPr="00A53DD4">
              <w:rPr>
                <w:rFonts w:eastAsia="MS Mincho"/>
              </w:rPr>
              <w:t>twins,</w:t>
            </w:r>
            <w:r w:rsidRPr="00A53DD4">
              <w:rPr>
                <w:rFonts w:eastAsia="MS Mincho"/>
              </w:rPr>
              <w:t xml:space="preserve"> or other multiple gestation</w:t>
            </w:r>
            <w:r>
              <w:rPr>
                <w:rFonts w:eastAsia="MS Mincho"/>
              </w:rPr>
              <w:t xml:space="preserve">, </w:t>
            </w:r>
            <w:r w:rsidRPr="00751435">
              <w:rPr>
                <w:rFonts w:eastAsia="MS Mincho"/>
              </w:rPr>
              <w:t>an unstable psychiatric or medical problem,</w:t>
            </w:r>
            <w:r w:rsidRPr="00A53DD4">
              <w:rPr>
                <w:rFonts w:eastAsia="MS Mincho"/>
              </w:rPr>
              <w:t xml:space="preserve"> and a congenital abnormality.</w:t>
            </w:r>
          </w:p>
        </w:tc>
        <w:tc>
          <w:tcPr>
            <w:tcW w:w="597" w:type="pct"/>
          </w:tcPr>
          <w:p w14:paraId="1097DBF3" w14:textId="77777777" w:rsidR="00F523E8" w:rsidRPr="003E5FF8" w:rsidRDefault="00F523E8" w:rsidP="00E45F0E">
            <w:pPr>
              <w:pStyle w:val="Tablewriting"/>
              <w:rPr>
                <w:rFonts w:eastAsia="MS Mincho"/>
              </w:rPr>
            </w:pPr>
            <w:r w:rsidRPr="003E5FF8">
              <w:rPr>
                <w:rFonts w:eastAsia="MS Mincho"/>
              </w:rPr>
              <w:t>NRT inhalator</w:t>
            </w:r>
          </w:p>
          <w:p w14:paraId="1A41A35D" w14:textId="77777777" w:rsidR="00F523E8" w:rsidRDefault="00F523E8" w:rsidP="00E45F0E">
            <w:pPr>
              <w:pStyle w:val="Tablewriting"/>
              <w:rPr>
                <w:rFonts w:eastAsia="MS Mincho"/>
              </w:rPr>
            </w:pPr>
            <w:r w:rsidRPr="003E5FF8">
              <w:rPr>
                <w:rFonts w:eastAsia="MS Mincho"/>
              </w:rPr>
              <w:t>Placebo</w:t>
            </w:r>
          </w:p>
          <w:p w14:paraId="58223443" w14:textId="77777777" w:rsidR="00267A22" w:rsidRDefault="00267A22" w:rsidP="00E45F0E">
            <w:pPr>
              <w:pStyle w:val="Tablewriting"/>
              <w:rPr>
                <w:rFonts w:eastAsia="MS Mincho"/>
                <w:highlight w:val="yellow"/>
              </w:rPr>
            </w:pPr>
          </w:p>
          <w:p w14:paraId="2CDDA8C9" w14:textId="5E657FE8" w:rsidR="00F523E8" w:rsidRPr="00186C2B" w:rsidRDefault="00267A22" w:rsidP="00E45F0E">
            <w:pPr>
              <w:pStyle w:val="Tablewriting"/>
              <w:rPr>
                <w:rFonts w:eastAsia="MS Mincho"/>
                <w:highlight w:val="yellow"/>
              </w:rPr>
            </w:pPr>
            <w:r w:rsidRPr="007818BC">
              <w:rPr>
                <w:rFonts w:eastAsia="MS Mincho"/>
              </w:rPr>
              <w:t>Behavioural support provided in both arms</w:t>
            </w:r>
            <w:r>
              <w:rPr>
                <w:rFonts w:eastAsia="MS Mincho"/>
              </w:rPr>
              <w:t>.</w:t>
            </w:r>
          </w:p>
        </w:tc>
        <w:tc>
          <w:tcPr>
            <w:tcW w:w="922" w:type="pct"/>
            <w:tcMar>
              <w:left w:w="28" w:type="dxa"/>
              <w:right w:w="28" w:type="dxa"/>
            </w:tcMar>
          </w:tcPr>
          <w:p w14:paraId="4EA0E0A4" w14:textId="4B2EFE8D" w:rsidR="00F523E8" w:rsidRPr="00D47589" w:rsidRDefault="00F523E8" w:rsidP="00E45F0E">
            <w:pPr>
              <w:pStyle w:val="Tablewriting"/>
              <w:rPr>
                <w:rFonts w:eastAsia="MS Mincho"/>
              </w:rPr>
            </w:pPr>
            <w:r w:rsidRPr="006E7EED">
              <w:rPr>
                <w:rFonts w:eastAsia="MS Mincho"/>
                <w:u w:val="single"/>
              </w:rPr>
              <w:t>Primary</w:t>
            </w:r>
            <w:r w:rsidRPr="006E7EED">
              <w:rPr>
                <w:rFonts w:eastAsia="MS Mincho"/>
              </w:rPr>
              <w:t xml:space="preserve">: </w:t>
            </w:r>
            <w:r w:rsidRPr="00D47589">
              <w:rPr>
                <w:rFonts w:eastAsia="MS Mincho"/>
              </w:rPr>
              <w:t xml:space="preserve">7-day </w:t>
            </w:r>
            <w:r w:rsidR="00463409">
              <w:rPr>
                <w:rFonts w:eastAsia="MS Mincho"/>
              </w:rPr>
              <w:t>PPA</w:t>
            </w:r>
            <w:r w:rsidRPr="00D47589">
              <w:rPr>
                <w:rFonts w:eastAsia="MS Mincho"/>
              </w:rPr>
              <w:t xml:space="preserve"> at the end of pregnancy</w:t>
            </w:r>
            <w:r w:rsidR="009675A0">
              <w:rPr>
                <w:rFonts w:eastAsia="MS Mincho"/>
              </w:rPr>
              <w:t xml:space="preserve"> (</w:t>
            </w:r>
            <w:r w:rsidR="00F03A8F" w:rsidRPr="00F03A8F">
              <w:rPr>
                <w:rFonts w:eastAsia="MS Mincho"/>
              </w:rPr>
              <w:t>biochemically verified with exhaled breath carbon monoxide (CO) &lt;4 ppm</w:t>
            </w:r>
            <w:r w:rsidR="009675A0">
              <w:rPr>
                <w:rFonts w:eastAsia="MS Mincho"/>
              </w:rPr>
              <w:t>)</w:t>
            </w:r>
            <w:r w:rsidRPr="00D47589">
              <w:rPr>
                <w:rFonts w:eastAsia="MS Mincho"/>
              </w:rPr>
              <w:t>.</w:t>
            </w:r>
          </w:p>
          <w:p w14:paraId="0CD6C135" w14:textId="2C018A24" w:rsidR="00F523E8" w:rsidRDefault="00F523E8" w:rsidP="00E45F0E">
            <w:pPr>
              <w:pStyle w:val="Tablewriting"/>
              <w:rPr>
                <w:rFonts w:eastAsia="MS Mincho"/>
              </w:rPr>
            </w:pPr>
            <w:r w:rsidRPr="00E44230">
              <w:rPr>
                <w:rFonts w:eastAsia="MS Mincho"/>
                <w:u w:val="single"/>
              </w:rPr>
              <w:t>Secondary</w:t>
            </w:r>
            <w:r w:rsidRPr="00E44230">
              <w:rPr>
                <w:rFonts w:eastAsia="MS Mincho"/>
              </w:rPr>
              <w:t>:</w:t>
            </w:r>
            <w:r>
              <w:rPr>
                <w:rFonts w:eastAsia="MS Mincho"/>
              </w:rPr>
              <w:t xml:space="preserve"> </w:t>
            </w:r>
            <w:r w:rsidRPr="0013299B">
              <w:rPr>
                <w:rFonts w:eastAsia="MS Mincho"/>
              </w:rPr>
              <w:t>adverse events and serious adverse events</w:t>
            </w:r>
            <w:r w:rsidR="00ED0CBA">
              <w:rPr>
                <w:rFonts w:eastAsia="MS Mincho"/>
              </w:rPr>
              <w:t>.</w:t>
            </w:r>
          </w:p>
          <w:p w14:paraId="25BEC8A0" w14:textId="77777777" w:rsidR="00F523E8" w:rsidRDefault="00F523E8" w:rsidP="00E45F0E">
            <w:pPr>
              <w:pStyle w:val="Tablewriting"/>
              <w:rPr>
                <w:rFonts w:eastAsia="MS Mincho"/>
              </w:rPr>
            </w:pPr>
          </w:p>
          <w:p w14:paraId="232368B6" w14:textId="521D5228" w:rsidR="00F523E8" w:rsidRPr="0013299B" w:rsidRDefault="00F523E8" w:rsidP="00E45F0E">
            <w:pPr>
              <w:pStyle w:val="Tablewriting"/>
              <w:rPr>
                <w:rFonts w:eastAsia="MS Mincho"/>
              </w:rPr>
            </w:pPr>
            <w:r w:rsidRPr="009858E8">
              <w:rPr>
                <w:rFonts w:eastAsia="MS Mincho"/>
                <w:u w:val="single"/>
              </w:rPr>
              <w:t>Other:</w:t>
            </w:r>
            <w:r>
              <w:rPr>
                <w:rFonts w:eastAsia="MS Mincho"/>
              </w:rPr>
              <w:t xml:space="preserve"> </w:t>
            </w:r>
            <w:r w:rsidRPr="00D47589">
              <w:rPr>
                <w:rFonts w:eastAsia="MS Mincho"/>
              </w:rPr>
              <w:t>abstinence rates during treatment</w:t>
            </w:r>
            <w:r>
              <w:rPr>
                <w:rFonts w:eastAsia="MS Mincho"/>
              </w:rPr>
              <w:t xml:space="preserve">, </w:t>
            </w:r>
            <w:r w:rsidRPr="00D47589">
              <w:rPr>
                <w:rFonts w:eastAsia="MS Mincho"/>
              </w:rPr>
              <w:t>smoking reduction, birthweight,</w:t>
            </w:r>
            <w:r>
              <w:rPr>
                <w:rFonts w:eastAsia="MS Mincho"/>
              </w:rPr>
              <w:t xml:space="preserve"> and </w:t>
            </w:r>
            <w:r w:rsidRPr="00D47589">
              <w:rPr>
                <w:rFonts w:eastAsia="MS Mincho"/>
              </w:rPr>
              <w:t>gestational a</w:t>
            </w:r>
            <w:r>
              <w:rPr>
                <w:rFonts w:eastAsia="MS Mincho"/>
              </w:rPr>
              <w:t>ge</w:t>
            </w:r>
            <w:r w:rsidR="00ED0CBA">
              <w:rPr>
                <w:rFonts w:eastAsia="MS Mincho"/>
              </w:rPr>
              <w:t>.</w:t>
            </w:r>
          </w:p>
        </w:tc>
      </w:tr>
      <w:tr w:rsidR="00F523E8" w:rsidRPr="00061F78" w14:paraId="768ECA38" w14:textId="77777777" w:rsidTr="00CB3AFC">
        <w:trPr>
          <w:trHeight w:val="149"/>
        </w:trPr>
        <w:tc>
          <w:tcPr>
            <w:tcW w:w="330" w:type="pct"/>
            <w:tcMar>
              <w:left w:w="28" w:type="dxa"/>
              <w:right w:w="28" w:type="dxa"/>
            </w:tcMar>
          </w:tcPr>
          <w:p w14:paraId="3ACEEEE8" w14:textId="2F35EF21" w:rsidR="00F523E8" w:rsidRDefault="00826C95" w:rsidP="00E45F0E">
            <w:pPr>
              <w:pStyle w:val="Tablewriting"/>
            </w:pPr>
            <w:r>
              <w:t>Lindson</w:t>
            </w:r>
            <w:r w:rsidRPr="00713891">
              <w:t xml:space="preserve"> (</w:t>
            </w:r>
            <w:r w:rsidR="00F523E8" w:rsidRPr="00713891">
              <w:t>201</w:t>
            </w:r>
            <w:r w:rsidR="00F523E8">
              <w:t>9</w:t>
            </w:r>
            <w:r w:rsidR="00F523E8" w:rsidRPr="00713891">
              <w:t>)</w:t>
            </w:r>
          </w:p>
        </w:tc>
        <w:tc>
          <w:tcPr>
            <w:tcW w:w="347" w:type="pct"/>
          </w:tcPr>
          <w:p w14:paraId="2FB01B51" w14:textId="7C8C7FA6" w:rsidR="00F523E8" w:rsidRPr="002F0CA7" w:rsidRDefault="00F523E8" w:rsidP="00E45F0E">
            <w:pPr>
              <w:pStyle w:val="Tablewriting"/>
              <w:rPr>
                <w:rFonts w:eastAsia="MS Mincho"/>
              </w:rPr>
            </w:pPr>
            <w:r w:rsidRPr="002F0CA7">
              <w:rPr>
                <w:rFonts w:eastAsia="MS Mincho"/>
              </w:rPr>
              <w:t xml:space="preserve">Cochrane </w:t>
            </w:r>
            <w:r w:rsidR="00F86968" w:rsidRPr="002F0CA7">
              <w:rPr>
                <w:rFonts w:eastAsia="MS Mincho"/>
              </w:rPr>
              <w:t>R</w:t>
            </w:r>
            <w:r w:rsidRPr="002F0CA7">
              <w:rPr>
                <w:rFonts w:eastAsia="MS Mincho"/>
              </w:rPr>
              <w:t xml:space="preserve">eview </w:t>
            </w:r>
          </w:p>
          <w:p w14:paraId="1214AE85" w14:textId="77777777" w:rsidR="00F523E8" w:rsidRPr="00992D9B" w:rsidRDefault="00F523E8" w:rsidP="00E45F0E">
            <w:pPr>
              <w:pStyle w:val="Tablewriting"/>
              <w:rPr>
                <w:rFonts w:eastAsia="MS Mincho"/>
              </w:rPr>
            </w:pPr>
            <w:r w:rsidRPr="002F0CA7">
              <w:rPr>
                <w:rFonts w:eastAsia="MS Mincho"/>
              </w:rPr>
              <w:t>(</w:t>
            </w:r>
            <w:r>
              <w:rPr>
                <w:rFonts w:eastAsia="MS Mincho"/>
              </w:rPr>
              <w:t>1</w:t>
            </w:r>
            <w:r w:rsidRPr="002F0CA7">
              <w:rPr>
                <w:rFonts w:eastAsia="MS Mincho"/>
              </w:rPr>
              <w:t xml:space="preserve"> RCTs</w:t>
            </w:r>
            <w:r>
              <w:rPr>
                <w:rFonts w:eastAsia="MS Mincho"/>
                <w:vertAlign w:val="superscript"/>
              </w:rPr>
              <w:t>3</w:t>
            </w:r>
            <w:r w:rsidRPr="002F0CA7">
              <w:rPr>
                <w:rFonts w:eastAsia="MS Mincho"/>
              </w:rPr>
              <w:t>)</w:t>
            </w:r>
          </w:p>
        </w:tc>
        <w:tc>
          <w:tcPr>
            <w:tcW w:w="814" w:type="pct"/>
            <w:tcMar>
              <w:left w:w="28" w:type="dxa"/>
              <w:right w:w="28" w:type="dxa"/>
            </w:tcMar>
          </w:tcPr>
          <w:p w14:paraId="3E77F1B8" w14:textId="5766878A" w:rsidR="00F523E8" w:rsidRPr="00662E6F" w:rsidRDefault="00F523E8" w:rsidP="00E45F0E">
            <w:pPr>
              <w:pStyle w:val="Tablewriting"/>
              <w:rPr>
                <w:rFonts w:eastAsia="MS Mincho"/>
                <w:u w:val="single"/>
              </w:rPr>
            </w:pPr>
            <w:r w:rsidRPr="00622792">
              <w:rPr>
                <w:rFonts w:eastAsia="MS Mincho"/>
                <w:u w:val="single"/>
              </w:rPr>
              <w:t>Inhal</w:t>
            </w:r>
            <w:r w:rsidR="005570D3">
              <w:rPr>
                <w:rFonts w:eastAsia="MS Mincho"/>
                <w:u w:val="single"/>
              </w:rPr>
              <w:t>ator</w:t>
            </w:r>
            <w:r w:rsidRPr="00622792">
              <w:rPr>
                <w:rFonts w:eastAsia="MS Mincho"/>
                <w:u w:val="single"/>
              </w:rPr>
              <w:t xml:space="preserve"> versus</w:t>
            </w:r>
            <w:r w:rsidRPr="00662E6F">
              <w:rPr>
                <w:rFonts w:eastAsia="MS Mincho"/>
                <w:u w:val="single"/>
              </w:rPr>
              <w:t xml:space="preserve"> p</w:t>
            </w:r>
            <w:r>
              <w:rPr>
                <w:rFonts w:eastAsia="MS Mincho"/>
                <w:u w:val="single"/>
              </w:rPr>
              <w:t>atch</w:t>
            </w:r>
          </w:p>
          <w:p w14:paraId="1A80EBAC" w14:textId="77777777" w:rsidR="00F523E8" w:rsidRPr="002F0CA7" w:rsidRDefault="00F523E8" w:rsidP="00E45F0E">
            <w:pPr>
              <w:pStyle w:val="Tablewriting"/>
              <w:rPr>
                <w:rFonts w:eastAsia="MS Mincho"/>
              </w:rPr>
            </w:pPr>
            <w:r w:rsidRPr="002F0CA7">
              <w:rPr>
                <w:rFonts w:eastAsia="MS Mincho"/>
              </w:rPr>
              <w:t xml:space="preserve">N= </w:t>
            </w:r>
            <w:r>
              <w:rPr>
                <w:rFonts w:eastAsia="MS Mincho"/>
              </w:rPr>
              <w:t xml:space="preserve">222 </w:t>
            </w:r>
            <w:r w:rsidRPr="002F0CA7">
              <w:rPr>
                <w:rFonts w:eastAsia="MS Mincho"/>
              </w:rPr>
              <w:t>(</w:t>
            </w:r>
            <w:r>
              <w:rPr>
                <w:rFonts w:eastAsia="MS Mincho"/>
              </w:rPr>
              <w:t xml:space="preserve">1 </w:t>
            </w:r>
            <w:r w:rsidRPr="002F0CA7">
              <w:rPr>
                <w:rFonts w:eastAsia="MS Mincho"/>
              </w:rPr>
              <w:t>RCT)</w:t>
            </w:r>
          </w:p>
          <w:p w14:paraId="3185F362" w14:textId="77777777" w:rsidR="00E11ADF" w:rsidRDefault="00F523E8" w:rsidP="00482E97">
            <w:pPr>
              <w:pStyle w:val="Tablewriting"/>
              <w:rPr>
                <w:rFonts w:eastAsia="MS Mincho"/>
              </w:rPr>
            </w:pPr>
            <w:r>
              <w:rPr>
                <w:rFonts w:eastAsia="MS Mincho"/>
              </w:rPr>
              <w:t xml:space="preserve">Inhaler </w:t>
            </w:r>
            <w:r w:rsidRPr="002F0CA7">
              <w:rPr>
                <w:rFonts w:eastAsia="MS Mincho"/>
              </w:rPr>
              <w:t>(n=</w:t>
            </w:r>
            <w:r>
              <w:rPr>
                <w:rFonts w:eastAsia="MS Mincho"/>
              </w:rPr>
              <w:t xml:space="preserve"> 118</w:t>
            </w:r>
            <w:r w:rsidRPr="002F0CA7">
              <w:rPr>
                <w:rFonts w:eastAsia="MS Mincho"/>
              </w:rPr>
              <w:t>),</w:t>
            </w:r>
            <w:r>
              <w:rPr>
                <w:rFonts w:eastAsia="MS Mincho"/>
              </w:rPr>
              <w:t xml:space="preserve"> </w:t>
            </w:r>
          </w:p>
          <w:p w14:paraId="5EDDF86E" w14:textId="1C07A7BF" w:rsidR="00F523E8" w:rsidRPr="00662E6F" w:rsidRDefault="00E11ADF" w:rsidP="00E45F0E">
            <w:pPr>
              <w:pStyle w:val="Tablewriting"/>
              <w:rPr>
                <w:rFonts w:eastAsia="MS Mincho"/>
                <w:u w:val="single"/>
              </w:rPr>
            </w:pPr>
            <w:r>
              <w:rPr>
                <w:rFonts w:eastAsia="MS Mincho"/>
              </w:rPr>
              <w:t>P</w:t>
            </w:r>
            <w:r w:rsidR="00F523E8">
              <w:rPr>
                <w:rFonts w:eastAsia="MS Mincho"/>
              </w:rPr>
              <w:t xml:space="preserve">atch </w:t>
            </w:r>
            <w:r w:rsidR="00F523E8" w:rsidRPr="002F0CA7">
              <w:rPr>
                <w:rFonts w:eastAsia="MS Mincho"/>
              </w:rPr>
              <w:t>(n=</w:t>
            </w:r>
            <w:r w:rsidR="00F523E8">
              <w:rPr>
                <w:rFonts w:eastAsia="MS Mincho"/>
              </w:rPr>
              <w:t xml:space="preserve"> 104</w:t>
            </w:r>
            <w:r w:rsidR="00F523E8" w:rsidRPr="002F0CA7">
              <w:rPr>
                <w:rFonts w:eastAsia="MS Mincho"/>
              </w:rPr>
              <w:t>)</w:t>
            </w:r>
          </w:p>
        </w:tc>
        <w:tc>
          <w:tcPr>
            <w:tcW w:w="1990" w:type="pct"/>
            <w:tcMar>
              <w:left w:w="28" w:type="dxa"/>
              <w:right w:w="28" w:type="dxa"/>
            </w:tcMar>
          </w:tcPr>
          <w:p w14:paraId="049070BA" w14:textId="77777777" w:rsidR="00F523E8" w:rsidRPr="00DC607E" w:rsidRDefault="00F523E8" w:rsidP="00E45F0E">
            <w:pPr>
              <w:pStyle w:val="Tablewriting"/>
              <w:rPr>
                <w:rFonts w:eastAsia="MS Mincho"/>
              </w:rPr>
            </w:pPr>
            <w:r w:rsidRPr="00DC607E">
              <w:rPr>
                <w:rFonts w:eastAsia="MS Mincho"/>
                <w:u w:val="single"/>
              </w:rPr>
              <w:t>Inclusion</w:t>
            </w:r>
            <w:r w:rsidRPr="00DC607E">
              <w:rPr>
                <w:rFonts w:eastAsia="MS Mincho"/>
              </w:rPr>
              <w:t>:</w:t>
            </w:r>
          </w:p>
          <w:p w14:paraId="34413E1A" w14:textId="2CEA86E2" w:rsidR="00F523E8" w:rsidRPr="00DC607E" w:rsidRDefault="00F523E8" w:rsidP="00E45F0E">
            <w:pPr>
              <w:pStyle w:val="Tablewriting"/>
              <w:rPr>
                <w:rFonts w:eastAsia="MS Mincho"/>
              </w:rPr>
            </w:pPr>
            <w:r w:rsidRPr="00DC607E">
              <w:rPr>
                <w:rFonts w:eastAsia="MS Mincho"/>
              </w:rPr>
              <w:t xml:space="preserve">Adult smokers with an average age of approximately 45, </w:t>
            </w:r>
            <w:r w:rsidR="006E4D86">
              <w:rPr>
                <w:rFonts w:eastAsia="MS Mincho" w:cstheme="minorHAnsi"/>
              </w:rPr>
              <w:t>≥</w:t>
            </w:r>
            <w:r w:rsidRPr="00DC607E">
              <w:rPr>
                <w:rFonts w:eastAsia="MS Mincho"/>
              </w:rPr>
              <w:t>15 cigarettes a day</w:t>
            </w:r>
            <w:r w:rsidR="00B20C82">
              <w:rPr>
                <w:rFonts w:eastAsia="MS Mincho"/>
              </w:rPr>
              <w:t>,</w:t>
            </w:r>
            <w:r>
              <w:rPr>
                <w:rFonts w:eastAsia="MS Mincho"/>
              </w:rPr>
              <w:t xml:space="preserve"> </w:t>
            </w:r>
            <w:r w:rsidR="00B20C82">
              <w:rPr>
                <w:rFonts w:eastAsia="MS Mincho"/>
              </w:rPr>
              <w:t>s</w:t>
            </w:r>
            <w:r w:rsidRPr="0050095A">
              <w:rPr>
                <w:rFonts w:eastAsia="MS Mincho"/>
              </w:rPr>
              <w:t>tudies</w:t>
            </w:r>
            <w:r>
              <w:rPr>
                <w:rFonts w:eastAsia="MS Mincho"/>
              </w:rPr>
              <w:t xml:space="preserve"> </w:t>
            </w:r>
            <w:r w:rsidRPr="0050095A">
              <w:rPr>
                <w:rFonts w:eastAsia="MS Mincho"/>
              </w:rPr>
              <w:t>lasted for at least six months</w:t>
            </w:r>
            <w:r>
              <w:rPr>
                <w:rFonts w:eastAsia="MS Mincho"/>
              </w:rPr>
              <w:t xml:space="preserve">. </w:t>
            </w:r>
          </w:p>
          <w:p w14:paraId="45F83D91" w14:textId="77777777" w:rsidR="00F523E8" w:rsidRPr="003F619D" w:rsidRDefault="00F523E8" w:rsidP="00E45F0E">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97" w:type="pct"/>
          </w:tcPr>
          <w:p w14:paraId="5F5EC083" w14:textId="7E4121D6" w:rsidR="00F523E8" w:rsidRPr="003E5FF8" w:rsidRDefault="00F523E8" w:rsidP="00E45F0E">
            <w:pPr>
              <w:pStyle w:val="Tablewriting"/>
              <w:rPr>
                <w:rFonts w:eastAsia="MS Mincho"/>
              </w:rPr>
            </w:pPr>
            <w:r w:rsidRPr="003E5FF8">
              <w:rPr>
                <w:rFonts w:eastAsia="MS Mincho"/>
              </w:rPr>
              <w:t>NRT inhal</w:t>
            </w:r>
            <w:r w:rsidR="005570D3">
              <w:rPr>
                <w:rFonts w:eastAsia="MS Mincho"/>
              </w:rPr>
              <w:t>ator</w:t>
            </w:r>
          </w:p>
          <w:p w14:paraId="510C3D74" w14:textId="77777777" w:rsidR="00F523E8" w:rsidRPr="00186C2B" w:rsidRDefault="00F523E8" w:rsidP="00E45F0E">
            <w:pPr>
              <w:pStyle w:val="Tablewriting"/>
              <w:rPr>
                <w:rFonts w:eastAsia="MS Mincho"/>
                <w:highlight w:val="yellow"/>
              </w:rPr>
            </w:pPr>
            <w:r w:rsidRPr="003E5FF8">
              <w:rPr>
                <w:rFonts w:eastAsia="MS Mincho"/>
              </w:rPr>
              <w:t>NRT patch</w:t>
            </w:r>
          </w:p>
        </w:tc>
        <w:tc>
          <w:tcPr>
            <w:tcW w:w="922" w:type="pct"/>
            <w:tcMar>
              <w:left w:w="28" w:type="dxa"/>
              <w:right w:w="28" w:type="dxa"/>
            </w:tcMar>
          </w:tcPr>
          <w:p w14:paraId="5D9E5924" w14:textId="77777777" w:rsidR="00F523E8" w:rsidRDefault="00F523E8" w:rsidP="00E45F0E">
            <w:pPr>
              <w:pStyle w:val="Tablewriting"/>
              <w:rPr>
                <w:rFonts w:eastAsia="MS Mincho"/>
              </w:rPr>
            </w:pPr>
            <w:r w:rsidRPr="006E7EED">
              <w:rPr>
                <w:rFonts w:eastAsia="MS Mincho"/>
                <w:u w:val="single"/>
              </w:rPr>
              <w:t>Primary</w:t>
            </w:r>
            <w:r w:rsidRPr="006E7EED">
              <w:rPr>
                <w:rFonts w:eastAsia="MS Mincho"/>
              </w:rPr>
              <w:t>:</w:t>
            </w:r>
            <w:r>
              <w:rPr>
                <w:rFonts w:eastAsia="MS Mincho"/>
              </w:rPr>
              <w:t xml:space="preserve"> </w:t>
            </w:r>
            <w:r w:rsidRPr="0050095A">
              <w:rPr>
                <w:rFonts w:eastAsia="MS Mincho"/>
              </w:rPr>
              <w:t>smoking cessation rates of at least six months after baseline.</w:t>
            </w:r>
          </w:p>
          <w:p w14:paraId="1ECE974B" w14:textId="3C456797" w:rsidR="00F523E8" w:rsidRPr="006E7EED" w:rsidRDefault="00F523E8" w:rsidP="00E45F0E">
            <w:pPr>
              <w:pStyle w:val="Tablewriting"/>
              <w:rPr>
                <w:rFonts w:eastAsia="MS Mincho"/>
                <w:u w:val="single"/>
              </w:rPr>
            </w:pPr>
            <w:r w:rsidRPr="009D1F96">
              <w:rPr>
                <w:rFonts w:eastAsia="MS Mincho"/>
                <w:u w:val="single"/>
              </w:rPr>
              <w:t>Secondary</w:t>
            </w:r>
            <w:r w:rsidRPr="009D1F96">
              <w:rPr>
                <w:rFonts w:eastAsia="MS Mincho"/>
              </w:rPr>
              <w:t xml:space="preserve">: </w:t>
            </w:r>
            <w:r w:rsidRPr="0013299B">
              <w:rPr>
                <w:rFonts w:eastAsia="MS Mincho"/>
              </w:rPr>
              <w:t>adverse events</w:t>
            </w:r>
            <w:r>
              <w:rPr>
                <w:rFonts w:eastAsia="MS Mincho"/>
              </w:rPr>
              <w:t xml:space="preserve"> including overall </w:t>
            </w:r>
            <w:r w:rsidR="001220E0">
              <w:rPr>
                <w:rFonts w:eastAsia="MS Mincho"/>
              </w:rPr>
              <w:t>serious adverse event</w:t>
            </w:r>
            <w:r>
              <w:rPr>
                <w:rFonts w:eastAsia="MS Mincho"/>
              </w:rPr>
              <w:t xml:space="preserve">s. </w:t>
            </w:r>
          </w:p>
        </w:tc>
      </w:tr>
      <w:tr w:rsidR="00AA3BFF" w:rsidRPr="00061F78" w14:paraId="117CDD23" w14:textId="77777777" w:rsidTr="007231A4">
        <w:trPr>
          <w:trHeight w:val="149"/>
        </w:trPr>
        <w:tc>
          <w:tcPr>
            <w:tcW w:w="5000" w:type="pct"/>
            <w:gridSpan w:val="6"/>
            <w:shd w:val="clear" w:color="auto" w:fill="auto"/>
            <w:tcMar>
              <w:left w:w="28" w:type="dxa"/>
              <w:right w:w="28" w:type="dxa"/>
            </w:tcMar>
          </w:tcPr>
          <w:p w14:paraId="2466A962" w14:textId="7C483638" w:rsidR="00AA3BFF" w:rsidRPr="00AA3BFF" w:rsidRDefault="00AA3BFF" w:rsidP="00AA3BFF">
            <w:pPr>
              <w:pStyle w:val="Tablewriting"/>
              <w:rPr>
                <w:rFonts w:eastAsia="MS Mincho"/>
                <w:b/>
                <w:bCs/>
                <w:u w:val="single"/>
              </w:rPr>
            </w:pPr>
            <w:r w:rsidRPr="00AA3BFF">
              <w:rPr>
                <w:rFonts w:eastAsia="MS Mincho"/>
                <w:b/>
                <w:bCs/>
              </w:rPr>
              <w:t>Nasal/intranasal spray</w:t>
            </w:r>
          </w:p>
        </w:tc>
      </w:tr>
      <w:tr w:rsidR="00AA3BFF" w:rsidRPr="00061F78" w14:paraId="1E58140B" w14:textId="77777777" w:rsidTr="00CB3AFC">
        <w:trPr>
          <w:trHeight w:val="149"/>
        </w:trPr>
        <w:tc>
          <w:tcPr>
            <w:tcW w:w="330" w:type="pct"/>
            <w:tcMar>
              <w:left w:w="28" w:type="dxa"/>
              <w:right w:w="28" w:type="dxa"/>
            </w:tcMar>
          </w:tcPr>
          <w:p w14:paraId="09AA39E7" w14:textId="44B7090C" w:rsidR="00AA3BFF" w:rsidRDefault="00AA3BFF" w:rsidP="00AA3BFF">
            <w:pPr>
              <w:pStyle w:val="Tablewriting"/>
              <w:rPr>
                <w:rFonts w:eastAsia="MS Mincho"/>
              </w:rPr>
            </w:pPr>
            <w:r w:rsidRPr="004110FF">
              <w:t>Hartmann-</w:t>
            </w:r>
            <w:r w:rsidR="00826C95" w:rsidRPr="004110FF">
              <w:t>Boyce (</w:t>
            </w:r>
            <w:r w:rsidRPr="004110FF">
              <w:t>2018</w:t>
            </w:r>
            <w:r>
              <w:t>)</w:t>
            </w:r>
          </w:p>
        </w:tc>
        <w:tc>
          <w:tcPr>
            <w:tcW w:w="347" w:type="pct"/>
          </w:tcPr>
          <w:p w14:paraId="627C1022" w14:textId="0AFC8170" w:rsidR="00AA3BFF" w:rsidRPr="006B5D28" w:rsidRDefault="00AA3BFF" w:rsidP="00AA3BFF">
            <w:pPr>
              <w:pStyle w:val="Tablewriting"/>
              <w:rPr>
                <w:rFonts w:eastAsia="MS Mincho"/>
              </w:rPr>
            </w:pPr>
            <w:r w:rsidRPr="006B5D28">
              <w:rPr>
                <w:rFonts w:eastAsia="MS Mincho"/>
              </w:rPr>
              <w:t xml:space="preserve">Cochrane Review </w:t>
            </w:r>
          </w:p>
          <w:p w14:paraId="4C83D18D" w14:textId="77777777" w:rsidR="00AA3BFF" w:rsidRPr="00186C2B" w:rsidRDefault="00AA3BFF" w:rsidP="00AA3BFF">
            <w:pPr>
              <w:pStyle w:val="Tablewriting"/>
              <w:rPr>
                <w:rFonts w:eastAsia="MS Mincho"/>
                <w:highlight w:val="yellow"/>
              </w:rPr>
            </w:pPr>
            <w:r w:rsidRPr="006B5D28">
              <w:rPr>
                <w:rFonts w:eastAsia="MS Mincho"/>
              </w:rPr>
              <w:t>(</w:t>
            </w:r>
            <w:r>
              <w:rPr>
                <w:rFonts w:eastAsia="MS Mincho"/>
              </w:rPr>
              <w:t xml:space="preserve">4 </w:t>
            </w:r>
            <w:r w:rsidRPr="006B5D28">
              <w:rPr>
                <w:rFonts w:eastAsia="MS Mincho"/>
              </w:rPr>
              <w:t>RCTs</w:t>
            </w:r>
            <w:r w:rsidRPr="006B5D28">
              <w:rPr>
                <w:rFonts w:eastAsia="MS Mincho"/>
                <w:vertAlign w:val="superscript"/>
              </w:rPr>
              <w:t>2</w:t>
            </w:r>
            <w:r w:rsidRPr="006B5D28">
              <w:rPr>
                <w:rFonts w:eastAsia="MS Mincho"/>
              </w:rPr>
              <w:t>)</w:t>
            </w:r>
          </w:p>
        </w:tc>
        <w:tc>
          <w:tcPr>
            <w:tcW w:w="814" w:type="pct"/>
            <w:tcMar>
              <w:left w:w="28" w:type="dxa"/>
              <w:right w:w="28" w:type="dxa"/>
            </w:tcMar>
          </w:tcPr>
          <w:p w14:paraId="780AE8F5" w14:textId="23BC09A0" w:rsidR="00AA3BFF" w:rsidRPr="00662E6F" w:rsidRDefault="00E83076" w:rsidP="00AA3BFF">
            <w:pPr>
              <w:pStyle w:val="Tablewriting"/>
              <w:rPr>
                <w:rFonts w:eastAsia="MS Mincho"/>
                <w:u w:val="single"/>
              </w:rPr>
            </w:pPr>
            <w:r>
              <w:rPr>
                <w:rFonts w:eastAsia="MS Mincho"/>
                <w:u w:val="single"/>
              </w:rPr>
              <w:t>N</w:t>
            </w:r>
            <w:r w:rsidR="00AA3BFF" w:rsidRPr="00662E6F">
              <w:rPr>
                <w:rFonts w:eastAsia="MS Mincho"/>
                <w:u w:val="single"/>
              </w:rPr>
              <w:t>asal spray</w:t>
            </w:r>
            <w:r w:rsidR="00AA3BFF">
              <w:rPr>
                <w:rFonts w:eastAsia="MS Mincho"/>
                <w:u w:val="single"/>
              </w:rPr>
              <w:t xml:space="preserve"> </w:t>
            </w:r>
            <w:r w:rsidR="00AA3BFF" w:rsidRPr="00662E6F">
              <w:rPr>
                <w:rFonts w:eastAsia="MS Mincho"/>
                <w:u w:val="single"/>
              </w:rPr>
              <w:t>versus placebo</w:t>
            </w:r>
          </w:p>
          <w:p w14:paraId="5597FDEE" w14:textId="77777777"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887 </w:t>
            </w:r>
            <w:r w:rsidRPr="002F0CA7">
              <w:rPr>
                <w:rFonts w:eastAsia="MS Mincho"/>
              </w:rPr>
              <w:t>(</w:t>
            </w:r>
            <w:r>
              <w:rPr>
                <w:rFonts w:eastAsia="MS Mincho"/>
              </w:rPr>
              <w:t xml:space="preserve">4 </w:t>
            </w:r>
            <w:r w:rsidRPr="002F0CA7">
              <w:rPr>
                <w:rFonts w:eastAsia="MS Mincho"/>
              </w:rPr>
              <w:t>RCT)</w:t>
            </w:r>
          </w:p>
          <w:p w14:paraId="42F58846" w14:textId="7FCA14C4" w:rsidR="00AA3BFF" w:rsidRPr="004110FF" w:rsidRDefault="00E83076" w:rsidP="00AA3BFF">
            <w:pPr>
              <w:pStyle w:val="Tablewriting"/>
              <w:rPr>
                <w:rFonts w:eastAsia="MS Mincho"/>
              </w:rPr>
            </w:pPr>
            <w:r>
              <w:rPr>
                <w:rFonts w:eastAsia="MS Mincho"/>
              </w:rPr>
              <w:t>N</w:t>
            </w:r>
            <w:r w:rsidR="00AA3BFF">
              <w:rPr>
                <w:rFonts w:eastAsia="MS Mincho"/>
              </w:rPr>
              <w:t xml:space="preserve">asal spray </w:t>
            </w:r>
            <w:r w:rsidR="00AA3BFF" w:rsidRPr="002F0CA7">
              <w:rPr>
                <w:rFonts w:eastAsia="MS Mincho"/>
              </w:rPr>
              <w:t>(n=</w:t>
            </w:r>
            <w:r w:rsidR="00AA3BFF">
              <w:rPr>
                <w:rFonts w:eastAsia="MS Mincho"/>
              </w:rPr>
              <w:t>448</w:t>
            </w:r>
            <w:r w:rsidR="00AA3BFF" w:rsidRPr="002F0CA7">
              <w:rPr>
                <w:rFonts w:eastAsia="MS Mincho"/>
              </w:rPr>
              <w:t>),</w:t>
            </w:r>
            <w:r w:rsidR="00AA3BFF">
              <w:rPr>
                <w:rFonts w:eastAsia="MS Mincho"/>
              </w:rPr>
              <w:t xml:space="preserve"> Placebo </w:t>
            </w:r>
            <w:r w:rsidR="00AA3BFF" w:rsidRPr="002F0CA7">
              <w:rPr>
                <w:rFonts w:eastAsia="MS Mincho"/>
              </w:rPr>
              <w:t>(n=</w:t>
            </w:r>
            <w:r w:rsidR="00AA3BFF">
              <w:rPr>
                <w:rFonts w:eastAsia="MS Mincho"/>
              </w:rPr>
              <w:t>439</w:t>
            </w:r>
            <w:r w:rsidR="00AA3BFF" w:rsidRPr="002F0CA7">
              <w:rPr>
                <w:rFonts w:eastAsia="MS Mincho"/>
              </w:rPr>
              <w:t>)</w:t>
            </w:r>
            <w:r w:rsidR="00AA3BFF" w:rsidRPr="005A1EEB">
              <w:rPr>
                <w:rFonts w:eastAsia="MS Mincho"/>
              </w:rPr>
              <w:t xml:space="preserve"> </w:t>
            </w:r>
          </w:p>
        </w:tc>
        <w:tc>
          <w:tcPr>
            <w:tcW w:w="1990" w:type="pct"/>
            <w:tcMar>
              <w:left w:w="28" w:type="dxa"/>
              <w:right w:w="28" w:type="dxa"/>
            </w:tcMar>
          </w:tcPr>
          <w:p w14:paraId="6079C616" w14:textId="77777777"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14:paraId="3AB11FF8" w14:textId="0998A7EE" w:rsidR="00AA3BFF" w:rsidRPr="00186C2B" w:rsidRDefault="00AA3BFF" w:rsidP="00AA3BFF">
            <w:pPr>
              <w:pStyle w:val="Tablewriting"/>
              <w:rPr>
                <w:rFonts w:eastAsia="MS Mincho"/>
                <w:highlight w:val="yellow"/>
                <w:u w:val="single"/>
              </w:rPr>
            </w:pPr>
            <w:r w:rsidRPr="002C19B4">
              <w:rPr>
                <w:rFonts w:eastAsia="MS Mincho"/>
                <w:u w:val="single"/>
              </w:rPr>
              <w:lastRenderedPageBreak/>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14:paraId="38244F1A" w14:textId="33D25815" w:rsidR="00AA3BFF" w:rsidRDefault="00AA3BFF" w:rsidP="00AA3BFF">
            <w:pPr>
              <w:pStyle w:val="Tablewriting"/>
              <w:rPr>
                <w:rFonts w:eastAsia="MS Mincho"/>
              </w:rPr>
            </w:pPr>
            <w:r>
              <w:rPr>
                <w:rFonts w:eastAsia="MS Mincho"/>
              </w:rPr>
              <w:lastRenderedPageBreak/>
              <w:t xml:space="preserve">NRT </w:t>
            </w:r>
            <w:r w:rsidRPr="003E5FF8">
              <w:rPr>
                <w:rFonts w:eastAsia="MS Mincho"/>
              </w:rPr>
              <w:t>nasal spray</w:t>
            </w:r>
          </w:p>
          <w:p w14:paraId="63FB6266" w14:textId="77777777" w:rsidR="00AA3BFF" w:rsidRPr="00186C2B" w:rsidRDefault="00AA3BFF" w:rsidP="00AA3BFF">
            <w:pPr>
              <w:pStyle w:val="Tablewriting"/>
              <w:rPr>
                <w:rFonts w:eastAsia="MS Mincho"/>
                <w:highlight w:val="yellow"/>
              </w:rPr>
            </w:pPr>
            <w:r>
              <w:rPr>
                <w:rFonts w:eastAsia="MS Mincho"/>
              </w:rPr>
              <w:t>P</w:t>
            </w:r>
            <w:r w:rsidRPr="003E5FF8">
              <w:rPr>
                <w:rFonts w:eastAsia="MS Mincho"/>
              </w:rPr>
              <w:t>lacebo</w:t>
            </w:r>
          </w:p>
        </w:tc>
        <w:tc>
          <w:tcPr>
            <w:tcW w:w="922" w:type="pct"/>
            <w:tcMar>
              <w:left w:w="28" w:type="dxa"/>
              <w:right w:w="28" w:type="dxa"/>
            </w:tcMar>
          </w:tcPr>
          <w:p w14:paraId="3DFAC79C" w14:textId="77777777"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14:paraId="58C87C5E" w14:textId="77777777" w:rsidR="00AA3BFF" w:rsidRPr="00C64474" w:rsidRDefault="00AA3BFF" w:rsidP="00AA3BFF">
            <w:pPr>
              <w:pStyle w:val="Tablewriting"/>
              <w:rPr>
                <w:rFonts w:eastAsia="MS Mincho"/>
              </w:rPr>
            </w:pPr>
            <w:r w:rsidRPr="00E44230">
              <w:rPr>
                <w:rFonts w:eastAsia="MS Mincho"/>
                <w:u w:val="single"/>
              </w:rPr>
              <w:lastRenderedPageBreak/>
              <w:t>Secondary</w:t>
            </w:r>
            <w:r w:rsidRPr="00E44230">
              <w:rPr>
                <w:rFonts w:eastAsia="MS Mincho"/>
              </w:rPr>
              <w:t xml:space="preserve">: </w:t>
            </w:r>
            <w:r>
              <w:rPr>
                <w:rFonts w:eastAsia="MS Mincho"/>
              </w:rPr>
              <w:t xml:space="preserve">adverse event including palpitations/chest pains. </w:t>
            </w:r>
          </w:p>
        </w:tc>
      </w:tr>
      <w:tr w:rsidR="00AA3BFF" w:rsidRPr="00061F78" w14:paraId="1ABCE0F8" w14:textId="77777777" w:rsidTr="00CB3AFC">
        <w:trPr>
          <w:trHeight w:val="149"/>
        </w:trPr>
        <w:tc>
          <w:tcPr>
            <w:tcW w:w="330" w:type="pct"/>
            <w:tcMar>
              <w:left w:w="28" w:type="dxa"/>
              <w:right w:w="28" w:type="dxa"/>
            </w:tcMar>
          </w:tcPr>
          <w:p w14:paraId="3405A112" w14:textId="22709DB1" w:rsidR="00AA3BFF" w:rsidRPr="004110FF" w:rsidRDefault="00AA3BFF" w:rsidP="00AA3BFF">
            <w:pPr>
              <w:pStyle w:val="Tablewriting"/>
            </w:pPr>
            <w:r>
              <w:lastRenderedPageBreak/>
              <w:t>Lindson</w:t>
            </w:r>
            <w:r w:rsidRPr="00713891">
              <w:t xml:space="preserve"> (201</w:t>
            </w:r>
            <w:r>
              <w:t>9</w:t>
            </w:r>
            <w:r w:rsidRPr="00713891">
              <w:t>)</w:t>
            </w:r>
          </w:p>
        </w:tc>
        <w:tc>
          <w:tcPr>
            <w:tcW w:w="347" w:type="pct"/>
          </w:tcPr>
          <w:p w14:paraId="5700F66C" w14:textId="14294AAE" w:rsidR="00AA3BFF" w:rsidRPr="002F0CA7" w:rsidRDefault="00AA3BFF" w:rsidP="00AA3BFF">
            <w:pPr>
              <w:pStyle w:val="Tablewriting"/>
              <w:rPr>
                <w:rFonts w:eastAsia="MS Mincho"/>
              </w:rPr>
            </w:pPr>
            <w:r w:rsidRPr="002F0CA7">
              <w:rPr>
                <w:rFonts w:eastAsia="MS Mincho"/>
              </w:rPr>
              <w:t xml:space="preserve">Cochrane Review </w:t>
            </w:r>
          </w:p>
          <w:p w14:paraId="5AFA60A1" w14:textId="77777777" w:rsidR="00AA3BFF" w:rsidRPr="006B5D28" w:rsidRDefault="00AA3BFF" w:rsidP="00AA3BFF">
            <w:pPr>
              <w:pStyle w:val="Tablewriting"/>
              <w:rPr>
                <w:rFonts w:eastAsia="MS Mincho"/>
              </w:rPr>
            </w:pPr>
            <w:r w:rsidRPr="002F0CA7">
              <w:rPr>
                <w:rFonts w:eastAsia="MS Mincho"/>
              </w:rPr>
              <w:t>(</w:t>
            </w:r>
            <w:r>
              <w:rPr>
                <w:rFonts w:eastAsia="MS Mincho"/>
              </w:rPr>
              <w:t>2</w:t>
            </w:r>
            <w:r w:rsidRPr="002F0CA7">
              <w:rPr>
                <w:rFonts w:eastAsia="MS Mincho"/>
              </w:rPr>
              <w:t xml:space="preserve"> RCTs</w:t>
            </w:r>
            <w:r>
              <w:rPr>
                <w:rFonts w:eastAsia="MS Mincho"/>
                <w:vertAlign w:val="superscript"/>
              </w:rPr>
              <w:t>3</w:t>
            </w:r>
            <w:r w:rsidRPr="002F0CA7">
              <w:rPr>
                <w:rFonts w:eastAsia="MS Mincho"/>
              </w:rPr>
              <w:t>)</w:t>
            </w:r>
          </w:p>
        </w:tc>
        <w:tc>
          <w:tcPr>
            <w:tcW w:w="814" w:type="pct"/>
            <w:tcMar>
              <w:left w:w="28" w:type="dxa"/>
              <w:right w:w="28" w:type="dxa"/>
            </w:tcMar>
          </w:tcPr>
          <w:p w14:paraId="5259E0B2" w14:textId="77777777" w:rsidR="00AA3BFF" w:rsidRPr="00662E6F" w:rsidRDefault="00AA3BFF" w:rsidP="00AA3BFF">
            <w:pPr>
              <w:pStyle w:val="Tablewriting"/>
              <w:rPr>
                <w:rFonts w:eastAsia="MS Mincho"/>
                <w:u w:val="single"/>
              </w:rPr>
            </w:pPr>
            <w:r>
              <w:rPr>
                <w:rFonts w:eastAsia="MS Mincho"/>
                <w:u w:val="single"/>
              </w:rPr>
              <w:t>N</w:t>
            </w:r>
            <w:r w:rsidRPr="00662E6F">
              <w:rPr>
                <w:rFonts w:eastAsia="MS Mincho"/>
                <w:u w:val="single"/>
              </w:rPr>
              <w:t>asal spray</w:t>
            </w:r>
            <w:r>
              <w:rPr>
                <w:rFonts w:eastAsia="MS Mincho"/>
                <w:u w:val="single"/>
              </w:rPr>
              <w:t xml:space="preserve"> </w:t>
            </w:r>
            <w:r w:rsidRPr="00662E6F">
              <w:rPr>
                <w:rFonts w:eastAsia="MS Mincho"/>
                <w:u w:val="single"/>
              </w:rPr>
              <w:t>versus p</w:t>
            </w:r>
            <w:r>
              <w:rPr>
                <w:rFonts w:eastAsia="MS Mincho"/>
                <w:u w:val="single"/>
              </w:rPr>
              <w:t>atch</w:t>
            </w:r>
          </w:p>
          <w:p w14:paraId="5D0DEF31" w14:textId="0F22B55A"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1,272 </w:t>
            </w:r>
            <w:r w:rsidRPr="002F0CA7">
              <w:rPr>
                <w:rFonts w:eastAsia="MS Mincho"/>
              </w:rPr>
              <w:t>(</w:t>
            </w:r>
            <w:r>
              <w:rPr>
                <w:rFonts w:eastAsia="MS Mincho"/>
              </w:rPr>
              <w:t xml:space="preserve">2 </w:t>
            </w:r>
            <w:r w:rsidRPr="002F0CA7">
              <w:rPr>
                <w:rFonts w:eastAsia="MS Mincho"/>
              </w:rPr>
              <w:t>RCT)</w:t>
            </w:r>
          </w:p>
          <w:p w14:paraId="7A9E2588" w14:textId="5E072403" w:rsidR="00AA3BFF" w:rsidRPr="00662E6F" w:rsidRDefault="00AA3BFF" w:rsidP="00AA3BFF">
            <w:pPr>
              <w:pStyle w:val="Tablewriting"/>
              <w:rPr>
                <w:rFonts w:eastAsia="MS Mincho"/>
                <w:u w:val="single"/>
              </w:rPr>
            </w:pPr>
            <w:r>
              <w:rPr>
                <w:rFonts w:eastAsia="MS Mincho"/>
              </w:rPr>
              <w:t xml:space="preserve">Nasal spray </w:t>
            </w:r>
            <w:r w:rsidRPr="002F0CA7">
              <w:rPr>
                <w:rFonts w:eastAsia="MS Mincho"/>
              </w:rPr>
              <w:t>(n=</w:t>
            </w:r>
            <w:r>
              <w:rPr>
                <w:rFonts w:eastAsia="MS Mincho"/>
              </w:rPr>
              <w:t>638</w:t>
            </w:r>
            <w:r w:rsidRPr="002F0CA7">
              <w:rPr>
                <w:rFonts w:eastAsia="MS Mincho"/>
              </w:rPr>
              <w:t>),</w:t>
            </w:r>
            <w:r>
              <w:rPr>
                <w:rFonts w:eastAsia="MS Mincho"/>
              </w:rPr>
              <w:t xml:space="preserve"> Patch </w:t>
            </w:r>
            <w:r w:rsidRPr="002F0CA7">
              <w:rPr>
                <w:rFonts w:eastAsia="MS Mincho"/>
              </w:rPr>
              <w:t>(n=</w:t>
            </w:r>
            <w:r>
              <w:rPr>
                <w:rFonts w:eastAsia="MS Mincho"/>
              </w:rPr>
              <w:t>634</w:t>
            </w:r>
            <w:r w:rsidRPr="002F0CA7">
              <w:rPr>
                <w:rFonts w:eastAsia="MS Mincho"/>
              </w:rPr>
              <w:t>)</w:t>
            </w:r>
          </w:p>
        </w:tc>
        <w:tc>
          <w:tcPr>
            <w:tcW w:w="1990" w:type="pct"/>
            <w:tcMar>
              <w:left w:w="28" w:type="dxa"/>
              <w:right w:w="28" w:type="dxa"/>
            </w:tcMar>
          </w:tcPr>
          <w:p w14:paraId="2012C07A" w14:textId="77777777" w:rsidR="00AA3BFF" w:rsidRPr="00DC607E" w:rsidRDefault="00AA3BFF" w:rsidP="00AA3BFF">
            <w:pPr>
              <w:pStyle w:val="Tablewriting"/>
              <w:rPr>
                <w:rFonts w:eastAsia="MS Mincho"/>
              </w:rPr>
            </w:pPr>
            <w:r w:rsidRPr="00DC607E">
              <w:rPr>
                <w:rFonts w:eastAsia="MS Mincho"/>
                <w:u w:val="single"/>
              </w:rPr>
              <w:t>Inclusion</w:t>
            </w:r>
            <w:r w:rsidRPr="00DC607E">
              <w:rPr>
                <w:rFonts w:eastAsia="MS Mincho"/>
              </w:rPr>
              <w:t>:</w:t>
            </w:r>
          </w:p>
          <w:p w14:paraId="0A6EDBB8" w14:textId="21730192" w:rsidR="00AA3BFF" w:rsidRPr="00DC607E" w:rsidRDefault="00AA3BFF" w:rsidP="00AA3BFF">
            <w:pPr>
              <w:pStyle w:val="Tablewriting"/>
              <w:rPr>
                <w:rFonts w:eastAsia="MS Mincho"/>
              </w:rPr>
            </w:pPr>
            <w:r w:rsidRPr="00DC607E">
              <w:rPr>
                <w:rFonts w:eastAsia="MS Mincho"/>
              </w:rPr>
              <w:t xml:space="preserve">Adult smokers with an average age of approximately 45, </w:t>
            </w:r>
            <w:r>
              <w:rPr>
                <w:rFonts w:eastAsia="MS Mincho" w:cstheme="minorHAnsi"/>
              </w:rPr>
              <w:t>≥</w:t>
            </w:r>
            <w:r w:rsidRPr="00DC607E">
              <w:rPr>
                <w:rFonts w:eastAsia="MS Mincho"/>
              </w:rPr>
              <w:t>15 cigarettes a day</w:t>
            </w:r>
            <w:r>
              <w:rPr>
                <w:rFonts w:eastAsia="MS Mincho"/>
              </w:rPr>
              <w:t xml:space="preserve">, </w:t>
            </w:r>
            <w:r w:rsidRPr="0050095A">
              <w:rPr>
                <w:rFonts w:eastAsia="MS Mincho"/>
              </w:rPr>
              <w:t>studies</w:t>
            </w:r>
            <w:r>
              <w:rPr>
                <w:rFonts w:eastAsia="MS Mincho"/>
              </w:rPr>
              <w:t xml:space="preserve"> </w:t>
            </w:r>
            <w:r w:rsidRPr="0050095A">
              <w:rPr>
                <w:rFonts w:eastAsia="MS Mincho"/>
              </w:rPr>
              <w:t>lasted for at least six months</w:t>
            </w:r>
            <w:r>
              <w:rPr>
                <w:rFonts w:eastAsia="MS Mincho"/>
              </w:rPr>
              <w:t xml:space="preserve">. </w:t>
            </w:r>
          </w:p>
          <w:p w14:paraId="59EFDBB0" w14:textId="77777777" w:rsidR="00AA3BFF" w:rsidRPr="003F619D" w:rsidRDefault="00AA3BFF" w:rsidP="00AA3BFF">
            <w:pPr>
              <w:pStyle w:val="Tablewriting"/>
              <w:rPr>
                <w:rFonts w:eastAsia="MS Mincho"/>
                <w:u w:val="single"/>
              </w:rPr>
            </w:pPr>
            <w:r w:rsidRPr="00DC607E">
              <w:rPr>
                <w:rFonts w:eastAsia="MS Mincho"/>
                <w:u w:val="single"/>
              </w:rPr>
              <w:t>Exclusion</w:t>
            </w:r>
            <w:r w:rsidRPr="00DC607E">
              <w:rPr>
                <w:rFonts w:eastAsia="MS Mincho"/>
              </w:rPr>
              <w:t>: Trials that did not assess cessation as an outcome, with follow-up less than six months, and with additional intervention components not matched between arms. Trials comparing NRT to control, and trials comparing NRT to other pharmacotherapies.</w:t>
            </w:r>
          </w:p>
        </w:tc>
        <w:tc>
          <w:tcPr>
            <w:tcW w:w="597" w:type="pct"/>
          </w:tcPr>
          <w:p w14:paraId="61CBD177" w14:textId="77777777" w:rsidR="00AA3BFF" w:rsidRDefault="00AA3BFF" w:rsidP="00AA3BFF">
            <w:pPr>
              <w:pStyle w:val="Tablewriting"/>
              <w:rPr>
                <w:rFonts w:eastAsia="MS Mincho"/>
              </w:rPr>
            </w:pPr>
            <w:r>
              <w:rPr>
                <w:rFonts w:eastAsia="MS Mincho"/>
              </w:rPr>
              <w:t xml:space="preserve">NRT </w:t>
            </w:r>
            <w:r w:rsidRPr="003E5FF8">
              <w:rPr>
                <w:rFonts w:eastAsia="MS Mincho"/>
              </w:rPr>
              <w:t>nasal spray</w:t>
            </w:r>
          </w:p>
          <w:p w14:paraId="632FBCF6" w14:textId="77777777" w:rsidR="00AA3BFF" w:rsidRPr="00186C2B" w:rsidRDefault="00AA3BFF" w:rsidP="00AA3BFF">
            <w:pPr>
              <w:pStyle w:val="Tablewriting"/>
              <w:rPr>
                <w:rFonts w:eastAsia="MS Mincho"/>
                <w:highlight w:val="yellow"/>
              </w:rPr>
            </w:pPr>
            <w:r w:rsidRPr="003E5FF8">
              <w:rPr>
                <w:rFonts w:eastAsia="MS Mincho"/>
              </w:rPr>
              <w:t>NRT patch</w:t>
            </w:r>
          </w:p>
        </w:tc>
        <w:tc>
          <w:tcPr>
            <w:tcW w:w="922" w:type="pct"/>
            <w:tcMar>
              <w:left w:w="28" w:type="dxa"/>
              <w:right w:w="28" w:type="dxa"/>
            </w:tcMar>
          </w:tcPr>
          <w:p w14:paraId="39711770" w14:textId="77777777"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50095A">
              <w:rPr>
                <w:rFonts w:eastAsia="MS Mincho"/>
              </w:rPr>
              <w:t>smoking cessation rates of at least six months after baseline.</w:t>
            </w:r>
          </w:p>
          <w:p w14:paraId="429CF702" w14:textId="5410110F" w:rsidR="00AA3BFF" w:rsidRPr="006E7EED" w:rsidRDefault="00AA3BFF" w:rsidP="00AA3BFF">
            <w:pPr>
              <w:pStyle w:val="Tablewriting"/>
              <w:rPr>
                <w:rFonts w:eastAsia="MS Mincho"/>
                <w:u w:val="single"/>
              </w:rPr>
            </w:pPr>
            <w:r w:rsidRPr="009D1F96">
              <w:rPr>
                <w:rFonts w:eastAsia="MS Mincho"/>
                <w:u w:val="single"/>
              </w:rPr>
              <w:t>Secondary</w:t>
            </w:r>
            <w:r w:rsidRPr="009D1F96">
              <w:rPr>
                <w:rFonts w:eastAsia="MS Mincho"/>
              </w:rPr>
              <w:t xml:space="preserve">: </w:t>
            </w:r>
            <w:r w:rsidRPr="0013299B">
              <w:rPr>
                <w:rFonts w:eastAsia="MS Mincho"/>
              </w:rPr>
              <w:t>adverse events</w:t>
            </w:r>
            <w:r>
              <w:rPr>
                <w:rFonts w:eastAsia="MS Mincho"/>
              </w:rPr>
              <w:t xml:space="preserve"> including overall serious adverse events and treatment withdrawal. </w:t>
            </w:r>
          </w:p>
        </w:tc>
      </w:tr>
      <w:tr w:rsidR="00AA3BFF" w:rsidRPr="00061F78" w14:paraId="1D7A1ABF" w14:textId="77777777" w:rsidTr="007231A4">
        <w:trPr>
          <w:trHeight w:val="149"/>
        </w:trPr>
        <w:tc>
          <w:tcPr>
            <w:tcW w:w="5000" w:type="pct"/>
            <w:gridSpan w:val="6"/>
            <w:shd w:val="clear" w:color="auto" w:fill="auto"/>
            <w:tcMar>
              <w:left w:w="28" w:type="dxa"/>
              <w:right w:w="28" w:type="dxa"/>
            </w:tcMar>
          </w:tcPr>
          <w:p w14:paraId="6A92D173" w14:textId="42F106FC" w:rsidR="00AA3BFF" w:rsidRPr="006E7EED" w:rsidRDefault="00AA3BFF" w:rsidP="00AA3BFF">
            <w:pPr>
              <w:pStyle w:val="Tablewriting"/>
              <w:rPr>
                <w:rFonts w:eastAsia="MS Mincho"/>
                <w:u w:val="single"/>
              </w:rPr>
            </w:pPr>
            <w:r w:rsidRPr="00D65A3E">
              <w:rPr>
                <w:rFonts w:eastAsia="MS Mincho"/>
                <w:b/>
                <w:bCs/>
              </w:rPr>
              <w:t>Oral spray</w:t>
            </w:r>
          </w:p>
        </w:tc>
      </w:tr>
      <w:tr w:rsidR="00AA3BFF" w:rsidRPr="00061F78" w14:paraId="55624ECC" w14:textId="77777777" w:rsidTr="00CB3AFC">
        <w:trPr>
          <w:trHeight w:val="149"/>
        </w:trPr>
        <w:tc>
          <w:tcPr>
            <w:tcW w:w="330" w:type="pct"/>
            <w:tcMar>
              <w:left w:w="28" w:type="dxa"/>
              <w:right w:w="28" w:type="dxa"/>
            </w:tcMar>
          </w:tcPr>
          <w:p w14:paraId="083769D0" w14:textId="3AEFC57C" w:rsidR="00AA3BFF" w:rsidRDefault="00AA3BFF" w:rsidP="00AA3BFF">
            <w:pPr>
              <w:pStyle w:val="Tablewriting"/>
            </w:pPr>
            <w:r w:rsidRPr="004110FF">
              <w:t xml:space="preserve">Hartmann-Boyce </w:t>
            </w:r>
            <w:r>
              <w:t>(</w:t>
            </w:r>
            <w:r w:rsidRPr="004110FF">
              <w:t>2018</w:t>
            </w:r>
            <w:r>
              <w:t>)</w:t>
            </w:r>
          </w:p>
        </w:tc>
        <w:tc>
          <w:tcPr>
            <w:tcW w:w="347" w:type="pct"/>
          </w:tcPr>
          <w:p w14:paraId="50E31220" w14:textId="10B92820" w:rsidR="00AA3BFF" w:rsidRPr="002F0CA7" w:rsidRDefault="00AA3BFF" w:rsidP="00AA3BFF">
            <w:pPr>
              <w:pStyle w:val="Tablewriting"/>
              <w:rPr>
                <w:rFonts w:eastAsia="MS Mincho"/>
              </w:rPr>
            </w:pPr>
            <w:r w:rsidRPr="002F0CA7">
              <w:rPr>
                <w:rFonts w:eastAsia="MS Mincho"/>
              </w:rPr>
              <w:t xml:space="preserve">Cochrane Review </w:t>
            </w:r>
          </w:p>
          <w:p w14:paraId="323B2CFE" w14:textId="1B77F88C" w:rsidR="00AA3BFF" w:rsidRPr="00186C2B" w:rsidRDefault="00AA3BFF" w:rsidP="00AA3BFF">
            <w:pPr>
              <w:pStyle w:val="Tablewriting"/>
              <w:rPr>
                <w:rFonts w:eastAsia="MS Mincho"/>
                <w:highlight w:val="yellow"/>
              </w:rPr>
            </w:pPr>
            <w:r w:rsidRPr="002F0CA7">
              <w:rPr>
                <w:rFonts w:eastAsia="MS Mincho"/>
              </w:rPr>
              <w:t>(</w:t>
            </w:r>
            <w:r>
              <w:rPr>
                <w:rFonts w:eastAsia="MS Mincho"/>
              </w:rPr>
              <w:t xml:space="preserve">1 </w:t>
            </w:r>
            <w:r w:rsidRPr="002F0CA7">
              <w:rPr>
                <w:rFonts w:eastAsia="MS Mincho"/>
              </w:rPr>
              <w:t>RCT</w:t>
            </w:r>
            <w:r w:rsidRPr="002F0CA7">
              <w:rPr>
                <w:rFonts w:eastAsia="MS Mincho"/>
                <w:vertAlign w:val="superscript"/>
              </w:rPr>
              <w:t>2</w:t>
            </w:r>
            <w:r w:rsidRPr="002F0CA7">
              <w:rPr>
                <w:rFonts w:eastAsia="MS Mincho"/>
              </w:rPr>
              <w:t>)</w:t>
            </w:r>
          </w:p>
        </w:tc>
        <w:tc>
          <w:tcPr>
            <w:tcW w:w="814" w:type="pct"/>
            <w:tcMar>
              <w:left w:w="28" w:type="dxa"/>
              <w:right w:w="28" w:type="dxa"/>
            </w:tcMar>
          </w:tcPr>
          <w:p w14:paraId="2339DE2C" w14:textId="77777777" w:rsidR="00AA3BFF" w:rsidRDefault="00AA3BFF" w:rsidP="00AA3BFF">
            <w:pPr>
              <w:pStyle w:val="Tablewriting"/>
              <w:rPr>
                <w:rFonts w:eastAsia="MS Mincho"/>
              </w:rPr>
            </w:pPr>
            <w:r>
              <w:rPr>
                <w:rFonts w:eastAsia="MS Mincho"/>
                <w:u w:val="single"/>
              </w:rPr>
              <w:t xml:space="preserve">Oral </w:t>
            </w:r>
            <w:r w:rsidRPr="00662E6F">
              <w:rPr>
                <w:rFonts w:eastAsia="MS Mincho"/>
                <w:u w:val="single"/>
              </w:rPr>
              <w:t>spray</w:t>
            </w:r>
            <w:r>
              <w:rPr>
                <w:rFonts w:eastAsia="MS Mincho"/>
                <w:u w:val="single"/>
              </w:rPr>
              <w:t xml:space="preserve"> </w:t>
            </w:r>
            <w:r w:rsidRPr="00662E6F">
              <w:rPr>
                <w:rFonts w:eastAsia="MS Mincho"/>
                <w:u w:val="single"/>
              </w:rPr>
              <w:t>versus placebo</w:t>
            </w:r>
          </w:p>
          <w:p w14:paraId="7E0D05E9" w14:textId="77777777"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479 </w:t>
            </w:r>
            <w:r w:rsidRPr="002F0CA7">
              <w:rPr>
                <w:rFonts w:eastAsia="MS Mincho"/>
              </w:rPr>
              <w:t>(</w:t>
            </w:r>
            <w:r>
              <w:rPr>
                <w:rFonts w:eastAsia="MS Mincho"/>
              </w:rPr>
              <w:t xml:space="preserve">1 </w:t>
            </w:r>
            <w:r w:rsidRPr="002F0CA7">
              <w:rPr>
                <w:rFonts w:eastAsia="MS Mincho"/>
              </w:rPr>
              <w:t>RCT)</w:t>
            </w:r>
          </w:p>
          <w:p w14:paraId="54A8CA3B" w14:textId="5F1489C4" w:rsidR="00AA3BFF" w:rsidRPr="00F4262F" w:rsidRDefault="00AA3BFF" w:rsidP="00AA3BFF">
            <w:pPr>
              <w:pStyle w:val="Tablewriting"/>
              <w:rPr>
                <w:rFonts w:eastAsia="MS Mincho"/>
              </w:rPr>
            </w:pPr>
            <w:r>
              <w:rPr>
                <w:rFonts w:eastAsia="MS Mincho"/>
              </w:rPr>
              <w:t xml:space="preserve">Oral spray </w:t>
            </w:r>
            <w:r w:rsidRPr="002F0CA7">
              <w:rPr>
                <w:rFonts w:eastAsia="MS Mincho"/>
              </w:rPr>
              <w:t>(n=</w:t>
            </w:r>
            <w:r>
              <w:rPr>
                <w:rFonts w:eastAsia="MS Mincho"/>
              </w:rPr>
              <w:t>318</w:t>
            </w:r>
            <w:r w:rsidRPr="002F0CA7">
              <w:rPr>
                <w:rFonts w:eastAsia="MS Mincho"/>
              </w:rPr>
              <w:t>),</w:t>
            </w:r>
            <w:r>
              <w:rPr>
                <w:rFonts w:eastAsia="MS Mincho"/>
              </w:rPr>
              <w:t xml:space="preserve"> Placebo </w:t>
            </w:r>
            <w:r w:rsidRPr="002F0CA7">
              <w:rPr>
                <w:rFonts w:eastAsia="MS Mincho"/>
              </w:rPr>
              <w:t>(n=</w:t>
            </w:r>
            <w:r>
              <w:rPr>
                <w:rFonts w:eastAsia="MS Mincho"/>
              </w:rPr>
              <w:t>161</w:t>
            </w:r>
            <w:r w:rsidRPr="002F0CA7">
              <w:rPr>
                <w:rFonts w:eastAsia="MS Mincho"/>
              </w:rPr>
              <w:t>)</w:t>
            </w:r>
          </w:p>
        </w:tc>
        <w:tc>
          <w:tcPr>
            <w:tcW w:w="1990" w:type="pct"/>
            <w:tcMar>
              <w:left w:w="28" w:type="dxa"/>
              <w:right w:w="28" w:type="dxa"/>
            </w:tcMar>
          </w:tcPr>
          <w:p w14:paraId="6A632CBF" w14:textId="77777777"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14:paraId="79B88A21" w14:textId="406F003F" w:rsidR="00AA3BFF" w:rsidRPr="00186C2B" w:rsidRDefault="00AA3BFF" w:rsidP="00AA3BFF">
            <w:pPr>
              <w:pStyle w:val="Tablewriting"/>
              <w:rPr>
                <w:rFonts w:eastAsia="MS Mincho"/>
                <w:highlight w:val="yellow"/>
                <w:u w:val="single"/>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14:paraId="3797FFA9" w14:textId="77777777" w:rsidR="00AA3BFF" w:rsidRPr="00192ADF" w:rsidRDefault="00AA3BFF" w:rsidP="00AA3BFF">
            <w:pPr>
              <w:pStyle w:val="Tablewriting"/>
              <w:rPr>
                <w:rFonts w:eastAsia="MS Mincho"/>
              </w:rPr>
            </w:pPr>
            <w:r w:rsidRPr="00192ADF">
              <w:rPr>
                <w:rFonts w:eastAsia="MS Mincho"/>
              </w:rPr>
              <w:t>NRT oral spray</w:t>
            </w:r>
          </w:p>
          <w:p w14:paraId="5D37D0FB" w14:textId="77777777" w:rsidR="00AA3BFF" w:rsidRPr="00186C2B" w:rsidRDefault="00AA3BFF" w:rsidP="00AA3BFF">
            <w:pPr>
              <w:pStyle w:val="Tablewriting"/>
              <w:rPr>
                <w:rFonts w:eastAsia="MS Mincho"/>
                <w:highlight w:val="yellow"/>
              </w:rPr>
            </w:pPr>
            <w:r w:rsidRPr="00192ADF">
              <w:rPr>
                <w:rFonts w:eastAsia="MS Mincho"/>
              </w:rPr>
              <w:t>Placebo</w:t>
            </w:r>
          </w:p>
        </w:tc>
        <w:tc>
          <w:tcPr>
            <w:tcW w:w="922" w:type="pct"/>
            <w:tcMar>
              <w:left w:w="28" w:type="dxa"/>
              <w:right w:w="28" w:type="dxa"/>
            </w:tcMar>
          </w:tcPr>
          <w:p w14:paraId="41591E2D" w14:textId="77777777"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14:paraId="12E77AE5" w14:textId="77777777" w:rsidR="00AA3BFF" w:rsidRPr="0050095A" w:rsidRDefault="00AA3BFF" w:rsidP="00AA3BFF">
            <w:pPr>
              <w:pStyle w:val="Tablewriting"/>
              <w:rPr>
                <w:rFonts w:eastAsia="MS Mincho"/>
                <w:u w:val="single"/>
              </w:rPr>
            </w:pPr>
            <w:r w:rsidRPr="00915533">
              <w:rPr>
                <w:rFonts w:eastAsia="MS Mincho"/>
                <w:u w:val="single"/>
              </w:rPr>
              <w:t>Secondary</w:t>
            </w:r>
            <w:r w:rsidRPr="00915533">
              <w:rPr>
                <w:rFonts w:eastAsia="MS Mincho"/>
              </w:rPr>
              <w:t>: adverse event</w:t>
            </w:r>
            <w:r>
              <w:rPr>
                <w:rFonts w:eastAsia="MS Mincho"/>
              </w:rPr>
              <w:t>.</w:t>
            </w:r>
          </w:p>
        </w:tc>
      </w:tr>
      <w:tr w:rsidR="00AA3BFF" w:rsidRPr="00061F78" w14:paraId="73B5899F" w14:textId="77777777" w:rsidTr="00CB3AFC">
        <w:trPr>
          <w:trHeight w:val="149"/>
        </w:trPr>
        <w:tc>
          <w:tcPr>
            <w:tcW w:w="330" w:type="pct"/>
            <w:tcMar>
              <w:left w:w="28" w:type="dxa"/>
              <w:right w:w="28" w:type="dxa"/>
            </w:tcMar>
          </w:tcPr>
          <w:p w14:paraId="3775DD5F" w14:textId="77777777" w:rsidR="00AA3BFF" w:rsidRPr="00AA142B" w:rsidRDefault="00AA3BFF" w:rsidP="00AA3BFF">
            <w:pPr>
              <w:pStyle w:val="Tablewriting"/>
            </w:pPr>
            <w:r w:rsidRPr="00AA142B">
              <w:t>Nides (2020)</w:t>
            </w:r>
          </w:p>
        </w:tc>
        <w:tc>
          <w:tcPr>
            <w:tcW w:w="347" w:type="pct"/>
          </w:tcPr>
          <w:p w14:paraId="3FBA699E" w14:textId="200375BB" w:rsidR="00AA3BFF" w:rsidRPr="00AA142B" w:rsidRDefault="00AA3BFF" w:rsidP="00AA3BFF">
            <w:pPr>
              <w:pStyle w:val="Tablewriting"/>
              <w:rPr>
                <w:rFonts w:eastAsia="MS Mincho"/>
              </w:rPr>
            </w:pPr>
            <w:r w:rsidRPr="00AA142B">
              <w:rPr>
                <w:rFonts w:eastAsia="MS Mincho"/>
              </w:rPr>
              <w:t>RCT</w:t>
            </w:r>
            <w:r w:rsidR="008E64DE">
              <w:rPr>
                <w:rFonts w:eastAsia="MS Mincho"/>
                <w:vertAlign w:val="superscript"/>
              </w:rPr>
              <w:t>4</w:t>
            </w:r>
          </w:p>
        </w:tc>
        <w:tc>
          <w:tcPr>
            <w:tcW w:w="814" w:type="pct"/>
            <w:tcMar>
              <w:left w:w="28" w:type="dxa"/>
              <w:right w:w="28" w:type="dxa"/>
            </w:tcMar>
          </w:tcPr>
          <w:p w14:paraId="6D729FA6" w14:textId="77777777" w:rsidR="00AA3BFF" w:rsidRDefault="00AA3BFF" w:rsidP="00AA3BFF">
            <w:pPr>
              <w:pStyle w:val="Tablewriting"/>
              <w:rPr>
                <w:rFonts w:eastAsia="MS Mincho"/>
              </w:rPr>
            </w:pPr>
            <w:r>
              <w:rPr>
                <w:rFonts w:eastAsia="MS Mincho"/>
                <w:u w:val="single"/>
              </w:rPr>
              <w:t xml:space="preserve">Oral </w:t>
            </w:r>
            <w:r w:rsidRPr="00662E6F">
              <w:rPr>
                <w:rFonts w:eastAsia="MS Mincho"/>
                <w:u w:val="single"/>
              </w:rPr>
              <w:t>spray</w:t>
            </w:r>
            <w:r>
              <w:rPr>
                <w:rFonts w:eastAsia="MS Mincho"/>
                <w:u w:val="single"/>
              </w:rPr>
              <w:t xml:space="preserve"> </w:t>
            </w:r>
            <w:r w:rsidRPr="00662E6F">
              <w:rPr>
                <w:rFonts w:eastAsia="MS Mincho"/>
                <w:u w:val="single"/>
              </w:rPr>
              <w:t>versus placebo</w:t>
            </w:r>
          </w:p>
          <w:p w14:paraId="6163878F" w14:textId="2A451903" w:rsidR="00AA3BFF" w:rsidRPr="00AA142B" w:rsidRDefault="00AA3BFF" w:rsidP="00AA3BFF">
            <w:pPr>
              <w:pStyle w:val="Tablewriting"/>
              <w:rPr>
                <w:rFonts w:eastAsia="MS Mincho"/>
              </w:rPr>
            </w:pPr>
            <w:r w:rsidRPr="00AA142B">
              <w:rPr>
                <w:rFonts w:eastAsia="MS Mincho"/>
              </w:rPr>
              <w:t>N= 1</w:t>
            </w:r>
            <w:r>
              <w:rPr>
                <w:rFonts w:eastAsia="MS Mincho"/>
              </w:rPr>
              <w:t>,</w:t>
            </w:r>
            <w:r w:rsidRPr="00AA142B">
              <w:rPr>
                <w:rFonts w:eastAsia="MS Mincho"/>
              </w:rPr>
              <w:t>198 (1 RCT)</w:t>
            </w:r>
          </w:p>
          <w:p w14:paraId="42545449" w14:textId="0B6E2B2E" w:rsidR="00AA3BFF" w:rsidRPr="00AA142B" w:rsidRDefault="00AA3BFF" w:rsidP="00AA3BFF">
            <w:pPr>
              <w:pStyle w:val="Tablewriting"/>
              <w:rPr>
                <w:rFonts w:eastAsia="MS Mincho"/>
              </w:rPr>
            </w:pPr>
            <w:r w:rsidRPr="00AA142B">
              <w:rPr>
                <w:rFonts w:eastAsia="MS Mincho"/>
              </w:rPr>
              <w:t>Oral spray (n=597), Placebo (n=601)</w:t>
            </w:r>
          </w:p>
        </w:tc>
        <w:tc>
          <w:tcPr>
            <w:tcW w:w="1990" w:type="pct"/>
            <w:tcMar>
              <w:left w:w="28" w:type="dxa"/>
              <w:right w:w="28" w:type="dxa"/>
            </w:tcMar>
          </w:tcPr>
          <w:p w14:paraId="38325E78" w14:textId="4F58C21F" w:rsidR="00AA3BFF" w:rsidRDefault="00AA3BFF" w:rsidP="00AA3BFF">
            <w:pPr>
              <w:pStyle w:val="Tablewriting"/>
              <w:rPr>
                <w:rFonts w:eastAsia="MS Mincho"/>
                <w:u w:val="single"/>
              </w:rPr>
            </w:pPr>
            <w:r w:rsidRPr="007D6C25">
              <w:rPr>
                <w:rFonts w:eastAsia="MS Mincho"/>
                <w:u w:val="single"/>
              </w:rPr>
              <w:t xml:space="preserve">Inclusion: </w:t>
            </w:r>
            <w:r w:rsidRPr="00CC3E90">
              <w:rPr>
                <w:rFonts w:eastAsia="MS Mincho"/>
              </w:rPr>
              <w:t>smokers</w:t>
            </w:r>
            <w:r>
              <w:rPr>
                <w:rFonts w:eastAsia="MS Mincho"/>
              </w:rPr>
              <w:t>,</w:t>
            </w:r>
            <w:r w:rsidRPr="00CC3E90">
              <w:rPr>
                <w:rFonts w:eastAsia="MS Mincho"/>
              </w:rPr>
              <w:t xml:space="preserve"> motivated to quit smoking</w:t>
            </w:r>
            <w:r>
              <w:rPr>
                <w:rFonts w:eastAsia="MS Mincho"/>
              </w:rPr>
              <w:t xml:space="preserve">, </w:t>
            </w:r>
            <w:r>
              <w:rPr>
                <w:rFonts w:eastAsia="MS Mincho" w:cstheme="minorHAnsi"/>
              </w:rPr>
              <w:t>≥</w:t>
            </w:r>
            <w:r w:rsidRPr="00CC3E90">
              <w:rPr>
                <w:rFonts w:eastAsia="MS Mincho"/>
              </w:rPr>
              <w:t xml:space="preserve">18 years </w:t>
            </w:r>
            <w:r>
              <w:rPr>
                <w:rFonts w:eastAsia="MS Mincho"/>
              </w:rPr>
              <w:t>old</w:t>
            </w:r>
            <w:r w:rsidRPr="00CC3E90">
              <w:rPr>
                <w:rFonts w:eastAsia="MS Mincho"/>
              </w:rPr>
              <w:t>, exhaled CO</w:t>
            </w:r>
            <w:r>
              <w:rPr>
                <w:rFonts w:eastAsia="MS Mincho"/>
              </w:rPr>
              <w:t xml:space="preserve"> </w:t>
            </w:r>
            <w:r>
              <w:rPr>
                <w:rFonts w:eastAsia="MS Mincho" w:cstheme="minorHAnsi"/>
              </w:rPr>
              <w:t>≥</w:t>
            </w:r>
            <w:r w:rsidRPr="00CC3E90">
              <w:rPr>
                <w:rFonts w:eastAsia="MS Mincho"/>
              </w:rPr>
              <w:t>10 ppm at baseline,</w:t>
            </w:r>
            <w:r>
              <w:rPr>
                <w:rFonts w:eastAsia="MS Mincho"/>
              </w:rPr>
              <w:t xml:space="preserve"> </w:t>
            </w:r>
            <w:r w:rsidRPr="00CC3E90">
              <w:rPr>
                <w:rFonts w:eastAsia="MS Mincho"/>
              </w:rPr>
              <w:t xml:space="preserve">male or </w:t>
            </w:r>
            <w:r w:rsidR="00B05DCD" w:rsidRPr="00CC3E90">
              <w:rPr>
                <w:rFonts w:eastAsia="MS Mincho"/>
              </w:rPr>
              <w:t>non</w:t>
            </w:r>
            <w:r w:rsidR="00B05DCD">
              <w:rPr>
                <w:rFonts w:eastAsia="MS Mincho"/>
              </w:rPr>
              <w:t>-</w:t>
            </w:r>
            <w:r w:rsidR="00B05DCD" w:rsidRPr="00CC3E90">
              <w:rPr>
                <w:rFonts w:eastAsia="MS Mincho"/>
              </w:rPr>
              <w:t>pregnant</w:t>
            </w:r>
            <w:r w:rsidRPr="00CC3E90">
              <w:rPr>
                <w:rFonts w:eastAsia="MS Mincho"/>
              </w:rPr>
              <w:t xml:space="preserve"> or non</w:t>
            </w:r>
            <w:r w:rsidR="00B05DCD">
              <w:rPr>
                <w:rFonts w:eastAsia="MS Mincho"/>
              </w:rPr>
              <w:t>-</w:t>
            </w:r>
            <w:r w:rsidRPr="00CC3E90">
              <w:rPr>
                <w:rFonts w:eastAsia="MS Mincho"/>
              </w:rPr>
              <w:t>lactating female,</w:t>
            </w:r>
            <w:r>
              <w:rPr>
                <w:rFonts w:eastAsia="MS Mincho"/>
              </w:rPr>
              <w:t xml:space="preserve"> </w:t>
            </w:r>
            <w:r w:rsidRPr="00CC3E90">
              <w:rPr>
                <w:rFonts w:eastAsia="MS Mincho"/>
              </w:rPr>
              <w:t>agree to refrain from the use of cigarettes and other forms of tobacco/nicotine (including nicotine-containing electronic cigarettes), and agree to practice birth control during the 26-week study.</w:t>
            </w:r>
          </w:p>
          <w:p w14:paraId="7F5EF549" w14:textId="337B945D" w:rsidR="00AA3BFF" w:rsidRPr="00594748" w:rsidRDefault="00AA3BFF" w:rsidP="00AA3BFF">
            <w:pPr>
              <w:pStyle w:val="Tablewriting"/>
              <w:rPr>
                <w:rFonts w:eastAsia="MS Mincho"/>
              </w:rPr>
            </w:pPr>
            <w:r w:rsidRPr="007D6C25">
              <w:rPr>
                <w:rFonts w:eastAsia="MS Mincho"/>
                <w:u w:val="single"/>
              </w:rPr>
              <w:t>Exclusion:</w:t>
            </w:r>
            <w:r>
              <w:rPr>
                <w:rFonts w:eastAsia="MS Mincho"/>
                <w:u w:val="single"/>
              </w:rPr>
              <w:t xml:space="preserve"> </w:t>
            </w:r>
            <w:r w:rsidRPr="00CC3E90">
              <w:rPr>
                <w:rFonts w:eastAsia="MS Mincho"/>
              </w:rPr>
              <w:t>history of cardiovascular disease, stomach ulcer, or diabetes</w:t>
            </w:r>
            <w:r>
              <w:rPr>
                <w:rFonts w:eastAsia="MS Mincho"/>
              </w:rPr>
              <w:t>;</w:t>
            </w:r>
            <w:r w:rsidRPr="00CC3E90">
              <w:rPr>
                <w:rFonts w:eastAsia="MS Mincho"/>
              </w:rPr>
              <w:t xml:space="preserve"> use of other forms of tobacco or nicotine-containing products other than cigarettes within 30 days before the baseline visit</w:t>
            </w:r>
            <w:r>
              <w:rPr>
                <w:rFonts w:eastAsia="MS Mincho"/>
              </w:rPr>
              <w:t xml:space="preserve">; </w:t>
            </w:r>
            <w:r w:rsidRPr="00CC3E90">
              <w:rPr>
                <w:rFonts w:eastAsia="MS Mincho"/>
              </w:rPr>
              <w:t xml:space="preserve">use of any NRTs, medicinal aids, or nondrug therapies for smoking cessation within 30 days before the baseline visit; those who participated in another clinical study or had used any investigational product within 30 days before the initial baseline visit; suspected alcohol or substance abuse or his- tory of significant psychiatric illness within the previous 12 months; and presence of an </w:t>
            </w:r>
            <w:r w:rsidRPr="00CC3E90">
              <w:rPr>
                <w:rFonts w:eastAsia="MS Mincho"/>
              </w:rPr>
              <w:lastRenderedPageBreak/>
              <w:t>oral lesion found at the baseline visual mouth inspection, requiring further investigation such as biopsy.</w:t>
            </w:r>
          </w:p>
        </w:tc>
        <w:tc>
          <w:tcPr>
            <w:tcW w:w="597" w:type="pct"/>
          </w:tcPr>
          <w:p w14:paraId="78F4ED99" w14:textId="77777777" w:rsidR="00AA3BFF" w:rsidRPr="00192ADF" w:rsidRDefault="00AA3BFF" w:rsidP="00AA3BFF">
            <w:pPr>
              <w:pStyle w:val="Tablewriting"/>
              <w:rPr>
                <w:rFonts w:eastAsia="MS Mincho"/>
              </w:rPr>
            </w:pPr>
            <w:r w:rsidRPr="00192ADF">
              <w:rPr>
                <w:rFonts w:eastAsia="MS Mincho"/>
              </w:rPr>
              <w:lastRenderedPageBreak/>
              <w:t>NRT oral spray</w:t>
            </w:r>
          </w:p>
          <w:p w14:paraId="0D68903D" w14:textId="77777777" w:rsidR="00AA3BFF" w:rsidRDefault="00AA3BFF" w:rsidP="00AA3BFF">
            <w:pPr>
              <w:pStyle w:val="Tablewriting"/>
              <w:rPr>
                <w:rFonts w:eastAsia="MS Mincho"/>
              </w:rPr>
            </w:pPr>
            <w:r w:rsidRPr="00192ADF">
              <w:rPr>
                <w:rFonts w:eastAsia="MS Mincho"/>
              </w:rPr>
              <w:t>Placebo</w:t>
            </w:r>
          </w:p>
          <w:p w14:paraId="54DF018F" w14:textId="77777777" w:rsidR="00AA3BFF" w:rsidRDefault="00AA3BFF" w:rsidP="00AA3BFF">
            <w:pPr>
              <w:pStyle w:val="Tablewriting"/>
              <w:rPr>
                <w:rFonts w:eastAsia="MS Mincho"/>
                <w:highlight w:val="yellow"/>
              </w:rPr>
            </w:pPr>
          </w:p>
          <w:p w14:paraId="674BFEFD" w14:textId="0FF6E6EE" w:rsidR="00AA3BFF" w:rsidRPr="009A3B21" w:rsidRDefault="00AA3BFF" w:rsidP="00AA3BFF">
            <w:pPr>
              <w:pStyle w:val="Tablewriting"/>
              <w:rPr>
                <w:rFonts w:eastAsia="MS Mincho"/>
                <w:highlight w:val="yellow"/>
              </w:rPr>
            </w:pPr>
            <w:r>
              <w:rPr>
                <w:rFonts w:eastAsia="MS Mincho"/>
              </w:rPr>
              <w:t>No b</w:t>
            </w:r>
            <w:r w:rsidRPr="007818BC">
              <w:rPr>
                <w:rFonts w:eastAsia="MS Mincho"/>
              </w:rPr>
              <w:t>ehavioural support</w:t>
            </w:r>
            <w:r>
              <w:rPr>
                <w:rFonts w:eastAsia="MS Mincho"/>
              </w:rPr>
              <w:t xml:space="preserve">, </w:t>
            </w:r>
            <w:r w:rsidRPr="00A352F7">
              <w:rPr>
                <w:rFonts w:eastAsia="MS Mincho"/>
              </w:rPr>
              <w:t>counselling, or encouragement</w:t>
            </w:r>
            <w:r w:rsidRPr="007818BC">
              <w:rPr>
                <w:rFonts w:eastAsia="MS Mincho"/>
              </w:rPr>
              <w:t xml:space="preserve"> provided</w:t>
            </w:r>
            <w:r>
              <w:rPr>
                <w:rFonts w:eastAsia="MS Mincho"/>
              </w:rPr>
              <w:t>.</w:t>
            </w:r>
          </w:p>
        </w:tc>
        <w:tc>
          <w:tcPr>
            <w:tcW w:w="922" w:type="pct"/>
            <w:tcMar>
              <w:left w:w="28" w:type="dxa"/>
              <w:right w:w="28" w:type="dxa"/>
            </w:tcMar>
          </w:tcPr>
          <w:p w14:paraId="69822C37" w14:textId="1AFE6F43" w:rsidR="00AA3BFF" w:rsidRPr="00FA3FB4" w:rsidRDefault="00AA3BFF" w:rsidP="00AA3BFF">
            <w:pPr>
              <w:pStyle w:val="Tablewriting"/>
              <w:rPr>
                <w:rFonts w:eastAsia="MS Mincho"/>
              </w:rPr>
            </w:pPr>
            <w:r w:rsidRPr="00FA3FB4">
              <w:rPr>
                <w:rFonts w:eastAsia="MS Mincho"/>
                <w:u w:val="single"/>
              </w:rPr>
              <w:t>Primary</w:t>
            </w:r>
            <w:r w:rsidRPr="00FA3FB4">
              <w:rPr>
                <w:rFonts w:eastAsia="MS Mincho"/>
              </w:rPr>
              <w:t>:</w:t>
            </w:r>
            <w:r>
              <w:rPr>
                <w:rFonts w:eastAsia="MS Mincho"/>
              </w:rPr>
              <w:t xml:space="preserve"> CAR at </w:t>
            </w:r>
            <w:r w:rsidR="00D562FA">
              <w:rPr>
                <w:rFonts w:eastAsia="MS Mincho"/>
              </w:rPr>
              <w:t>w</w:t>
            </w:r>
            <w:r>
              <w:rPr>
                <w:rFonts w:eastAsia="MS Mincho"/>
              </w:rPr>
              <w:t xml:space="preserve">eek 2-12 and </w:t>
            </w:r>
            <w:r w:rsidR="00D562FA">
              <w:rPr>
                <w:rFonts w:eastAsia="MS Mincho"/>
              </w:rPr>
              <w:t>w</w:t>
            </w:r>
            <w:r>
              <w:rPr>
                <w:rFonts w:eastAsia="MS Mincho"/>
              </w:rPr>
              <w:t>eek 2-26</w:t>
            </w:r>
            <w:r w:rsidRPr="0013299B">
              <w:rPr>
                <w:rFonts w:eastAsia="MS Mincho"/>
              </w:rPr>
              <w:t>.</w:t>
            </w:r>
          </w:p>
          <w:p w14:paraId="66A65813" w14:textId="603FA162" w:rsidR="00AA3BFF" w:rsidRPr="00FA3FB4" w:rsidRDefault="00AA3BFF" w:rsidP="00AA3BFF">
            <w:pPr>
              <w:pStyle w:val="Tablewriting"/>
              <w:rPr>
                <w:rFonts w:eastAsia="MS Mincho"/>
              </w:rPr>
            </w:pPr>
            <w:r>
              <w:rPr>
                <w:rFonts w:eastAsia="MS Mincho"/>
              </w:rPr>
              <w:t>CO-validated (</w:t>
            </w:r>
            <w:r w:rsidRPr="00A0566A">
              <w:rPr>
                <w:rFonts w:eastAsia="MS Mincho"/>
              </w:rPr>
              <w:t>A CO level at least 10 ppm classified the subject as a smoker</w:t>
            </w:r>
            <w:r>
              <w:rPr>
                <w:rFonts w:eastAsia="MS Mincho"/>
              </w:rPr>
              <w:t xml:space="preserve">). </w:t>
            </w:r>
          </w:p>
          <w:p w14:paraId="41E720EF" w14:textId="77777777" w:rsidR="00AA3BFF" w:rsidRPr="0008319C" w:rsidRDefault="00AA3BFF" w:rsidP="00AA3BFF">
            <w:pPr>
              <w:pStyle w:val="Tablewriting"/>
              <w:rPr>
                <w:rFonts w:eastAsia="MS Mincho"/>
              </w:rPr>
            </w:pPr>
            <w:r w:rsidRPr="0008319C">
              <w:rPr>
                <w:rFonts w:eastAsia="MS Mincho"/>
                <w:u w:val="single"/>
              </w:rPr>
              <w:t>Secondary</w:t>
            </w:r>
            <w:r w:rsidRPr="0008319C">
              <w:rPr>
                <w:rFonts w:eastAsia="MS Mincho"/>
              </w:rPr>
              <w:t xml:space="preserve">: </w:t>
            </w:r>
            <w:r w:rsidRPr="0013299B">
              <w:rPr>
                <w:rFonts w:eastAsia="MS Mincho"/>
              </w:rPr>
              <w:t>number of cigarettes smoked</w:t>
            </w:r>
            <w:r>
              <w:rPr>
                <w:rFonts w:eastAsia="MS Mincho"/>
              </w:rPr>
              <w:t>, c</w:t>
            </w:r>
            <w:r w:rsidRPr="0013299B">
              <w:rPr>
                <w:rFonts w:eastAsia="MS Mincho"/>
              </w:rPr>
              <w:t>raving and withdrawal symptoms</w:t>
            </w:r>
            <w:r>
              <w:rPr>
                <w:rFonts w:eastAsia="MS Mincho"/>
              </w:rPr>
              <w:t xml:space="preserve">. </w:t>
            </w:r>
          </w:p>
          <w:p w14:paraId="5AE73A54" w14:textId="77777777" w:rsidR="00AA3BFF" w:rsidRPr="005308F0" w:rsidRDefault="00AA3BFF" w:rsidP="00AA3BFF">
            <w:pPr>
              <w:pStyle w:val="Tablewriting"/>
              <w:rPr>
                <w:rFonts w:eastAsia="MS Mincho"/>
                <w:highlight w:val="yellow"/>
              </w:rPr>
            </w:pPr>
          </w:p>
        </w:tc>
      </w:tr>
      <w:tr w:rsidR="00AA3BFF" w:rsidRPr="00061F78" w14:paraId="064A109B" w14:textId="77777777" w:rsidTr="007231A4">
        <w:trPr>
          <w:trHeight w:val="149"/>
        </w:trPr>
        <w:tc>
          <w:tcPr>
            <w:tcW w:w="5000" w:type="pct"/>
            <w:gridSpan w:val="6"/>
            <w:shd w:val="clear" w:color="auto" w:fill="auto"/>
            <w:tcMar>
              <w:left w:w="28" w:type="dxa"/>
              <w:right w:w="28" w:type="dxa"/>
            </w:tcMar>
          </w:tcPr>
          <w:p w14:paraId="136E373E" w14:textId="673301F8" w:rsidR="00AA3BFF" w:rsidRPr="00AA3BFF" w:rsidRDefault="00AA3BFF" w:rsidP="00AA3BFF">
            <w:pPr>
              <w:pStyle w:val="Tablewriting"/>
              <w:rPr>
                <w:rFonts w:eastAsia="MS Mincho"/>
                <w:b/>
                <w:bCs/>
                <w:u w:val="single"/>
              </w:rPr>
            </w:pPr>
            <w:r w:rsidRPr="00AA3BFF">
              <w:rPr>
                <w:rFonts w:eastAsia="MS Mincho"/>
                <w:b/>
                <w:bCs/>
              </w:rPr>
              <w:t>Inhalator + patch</w:t>
            </w:r>
          </w:p>
        </w:tc>
      </w:tr>
      <w:tr w:rsidR="00AA3BFF" w:rsidRPr="00061F78" w14:paraId="04C35D17" w14:textId="77777777" w:rsidTr="00CB3AFC">
        <w:trPr>
          <w:trHeight w:val="149"/>
        </w:trPr>
        <w:tc>
          <w:tcPr>
            <w:tcW w:w="330" w:type="pct"/>
            <w:tcMar>
              <w:left w:w="28" w:type="dxa"/>
              <w:right w:w="28" w:type="dxa"/>
            </w:tcMar>
          </w:tcPr>
          <w:p w14:paraId="5B7E22EA" w14:textId="02238340" w:rsidR="00AA3BFF" w:rsidRDefault="00AA3BFF" w:rsidP="00AA3BFF">
            <w:pPr>
              <w:pStyle w:val="Tablewriting"/>
            </w:pPr>
            <w:r w:rsidRPr="004110FF">
              <w:t xml:space="preserve">Hartmann-Boyce </w:t>
            </w:r>
            <w:r>
              <w:t>(</w:t>
            </w:r>
            <w:r w:rsidRPr="004110FF">
              <w:t>2018</w:t>
            </w:r>
            <w:r>
              <w:t>)</w:t>
            </w:r>
          </w:p>
        </w:tc>
        <w:tc>
          <w:tcPr>
            <w:tcW w:w="347" w:type="pct"/>
          </w:tcPr>
          <w:p w14:paraId="110E5CAE" w14:textId="66CE727F" w:rsidR="00AA3BFF" w:rsidRPr="002F0CA7" w:rsidRDefault="00AA3BFF" w:rsidP="00AA3BFF">
            <w:pPr>
              <w:pStyle w:val="Tablewriting"/>
              <w:rPr>
                <w:rFonts w:eastAsia="MS Mincho"/>
              </w:rPr>
            </w:pPr>
            <w:r w:rsidRPr="002F0CA7">
              <w:rPr>
                <w:rFonts w:eastAsia="MS Mincho"/>
              </w:rPr>
              <w:t xml:space="preserve">Cochrane Review </w:t>
            </w:r>
          </w:p>
          <w:p w14:paraId="6F063861" w14:textId="77777777" w:rsidR="00AA3BFF" w:rsidRPr="00D65A3E" w:rsidRDefault="00AA3BFF" w:rsidP="00AA3BFF">
            <w:pPr>
              <w:pStyle w:val="Tablewriting"/>
              <w:rPr>
                <w:rFonts w:eastAsia="MS Mincho"/>
                <w:highlight w:val="yellow"/>
              </w:rPr>
            </w:pPr>
            <w:r w:rsidRPr="002F0CA7">
              <w:rPr>
                <w:rFonts w:eastAsia="MS Mincho"/>
              </w:rPr>
              <w:t>(</w:t>
            </w:r>
            <w:r>
              <w:rPr>
                <w:rFonts w:eastAsia="MS Mincho"/>
              </w:rPr>
              <w:t xml:space="preserve">1 </w:t>
            </w:r>
            <w:r w:rsidRPr="002F0CA7">
              <w:rPr>
                <w:rFonts w:eastAsia="MS Mincho"/>
              </w:rPr>
              <w:t>RCTs</w:t>
            </w:r>
            <w:r w:rsidRPr="002F0CA7">
              <w:rPr>
                <w:rFonts w:eastAsia="MS Mincho"/>
                <w:vertAlign w:val="superscript"/>
              </w:rPr>
              <w:t>2</w:t>
            </w:r>
            <w:r w:rsidRPr="002F0CA7">
              <w:rPr>
                <w:rFonts w:eastAsia="MS Mincho"/>
              </w:rPr>
              <w:t>)</w:t>
            </w:r>
          </w:p>
        </w:tc>
        <w:tc>
          <w:tcPr>
            <w:tcW w:w="814" w:type="pct"/>
            <w:tcMar>
              <w:left w:w="28" w:type="dxa"/>
              <w:right w:w="28" w:type="dxa"/>
            </w:tcMar>
          </w:tcPr>
          <w:p w14:paraId="5CADD1C7" w14:textId="77777777" w:rsidR="00AA3BFF" w:rsidRDefault="00AA3BFF" w:rsidP="00AA3BFF">
            <w:pPr>
              <w:pStyle w:val="Tablewriting"/>
              <w:rPr>
                <w:rFonts w:eastAsia="MS Mincho"/>
              </w:rPr>
            </w:pPr>
            <w:r w:rsidRPr="00662E6F">
              <w:rPr>
                <w:rFonts w:eastAsia="MS Mincho"/>
                <w:u w:val="single"/>
              </w:rPr>
              <w:t>Inhalator +</w:t>
            </w:r>
            <w:r>
              <w:rPr>
                <w:rFonts w:eastAsia="MS Mincho"/>
                <w:u w:val="single"/>
              </w:rPr>
              <w:t xml:space="preserve"> </w:t>
            </w:r>
            <w:r w:rsidRPr="00662E6F">
              <w:rPr>
                <w:rFonts w:eastAsia="MS Mincho"/>
                <w:u w:val="single"/>
              </w:rPr>
              <w:t>patch</w:t>
            </w:r>
            <w:r>
              <w:rPr>
                <w:rFonts w:eastAsia="MS Mincho"/>
                <w:u w:val="single"/>
              </w:rPr>
              <w:t xml:space="preserve"> </w:t>
            </w:r>
            <w:r w:rsidRPr="00662E6F">
              <w:rPr>
                <w:rFonts w:eastAsia="MS Mincho"/>
                <w:u w:val="single"/>
              </w:rPr>
              <w:t>versus placebo</w:t>
            </w:r>
          </w:p>
          <w:p w14:paraId="1355B8E8" w14:textId="5528A7AF" w:rsidR="00AA3BFF" w:rsidRPr="002F0CA7" w:rsidRDefault="00AA3BFF" w:rsidP="00AA3BFF">
            <w:pPr>
              <w:pStyle w:val="Tablewriting"/>
              <w:rPr>
                <w:rFonts w:eastAsia="MS Mincho"/>
              </w:rPr>
            </w:pPr>
            <w:r w:rsidRPr="002F0CA7">
              <w:rPr>
                <w:rFonts w:eastAsia="MS Mincho"/>
              </w:rPr>
              <w:t xml:space="preserve">N= </w:t>
            </w:r>
            <w:r>
              <w:rPr>
                <w:rFonts w:eastAsia="MS Mincho"/>
              </w:rPr>
              <w:t xml:space="preserve">245 </w:t>
            </w:r>
            <w:r w:rsidRPr="002F0CA7">
              <w:rPr>
                <w:rFonts w:eastAsia="MS Mincho"/>
              </w:rPr>
              <w:t>(</w:t>
            </w:r>
            <w:r>
              <w:rPr>
                <w:rFonts w:eastAsia="MS Mincho"/>
              </w:rPr>
              <w:t xml:space="preserve">1 </w:t>
            </w:r>
            <w:r w:rsidRPr="002F0CA7">
              <w:rPr>
                <w:rFonts w:eastAsia="MS Mincho"/>
              </w:rPr>
              <w:t>RCT)</w:t>
            </w:r>
          </w:p>
          <w:p w14:paraId="638A152E" w14:textId="5528A7AF" w:rsidR="00AA3BFF" w:rsidRDefault="00AA3BFF" w:rsidP="00AA3BFF">
            <w:pPr>
              <w:pStyle w:val="Tablewriting"/>
              <w:rPr>
                <w:rFonts w:eastAsia="MS Mincho"/>
              </w:rPr>
            </w:pPr>
            <w:r w:rsidRPr="002F3280">
              <w:rPr>
                <w:rFonts w:eastAsia="MS Mincho"/>
              </w:rPr>
              <w:t>Combination NRT</w:t>
            </w:r>
            <w:r>
              <w:rPr>
                <w:rFonts w:eastAsia="MS Mincho"/>
              </w:rPr>
              <w:t xml:space="preserve"> </w:t>
            </w:r>
            <w:r w:rsidRPr="002F0CA7">
              <w:rPr>
                <w:rFonts w:eastAsia="MS Mincho"/>
              </w:rPr>
              <w:t>(n=</w:t>
            </w:r>
            <w:r>
              <w:rPr>
                <w:rFonts w:eastAsia="MS Mincho"/>
              </w:rPr>
              <w:t>136</w:t>
            </w:r>
            <w:r w:rsidRPr="002F0CA7">
              <w:rPr>
                <w:rFonts w:eastAsia="MS Mincho"/>
              </w:rPr>
              <w:t>),</w:t>
            </w:r>
            <w:r>
              <w:rPr>
                <w:rFonts w:eastAsia="MS Mincho"/>
              </w:rPr>
              <w:t xml:space="preserve"> </w:t>
            </w:r>
          </w:p>
          <w:p w14:paraId="5AA34830" w14:textId="33930A9F" w:rsidR="00AA3BFF" w:rsidRPr="007D6C25" w:rsidRDefault="00AA3BFF" w:rsidP="00AA3BFF">
            <w:pPr>
              <w:pStyle w:val="Tablewriting"/>
              <w:rPr>
                <w:rFonts w:eastAsia="MS Mincho"/>
                <w:u w:val="single"/>
              </w:rPr>
            </w:pPr>
            <w:r>
              <w:rPr>
                <w:rFonts w:eastAsia="MS Mincho"/>
              </w:rPr>
              <w:t xml:space="preserve">Placebo </w:t>
            </w:r>
            <w:r w:rsidRPr="002F0CA7">
              <w:rPr>
                <w:rFonts w:eastAsia="MS Mincho"/>
              </w:rPr>
              <w:t>(n=</w:t>
            </w:r>
            <w:r>
              <w:rPr>
                <w:rFonts w:eastAsia="MS Mincho"/>
              </w:rPr>
              <w:t>109</w:t>
            </w:r>
            <w:r w:rsidRPr="002F0CA7">
              <w:rPr>
                <w:rFonts w:eastAsia="MS Mincho"/>
              </w:rPr>
              <w:t>)</w:t>
            </w:r>
          </w:p>
        </w:tc>
        <w:tc>
          <w:tcPr>
            <w:tcW w:w="1990" w:type="pct"/>
            <w:tcMar>
              <w:left w:w="28" w:type="dxa"/>
              <w:right w:w="28" w:type="dxa"/>
            </w:tcMar>
          </w:tcPr>
          <w:p w14:paraId="45154436" w14:textId="77777777" w:rsidR="00AA3BFF" w:rsidRDefault="00AA3BFF" w:rsidP="00AA3BFF">
            <w:pPr>
              <w:pStyle w:val="Tablewriting"/>
              <w:rPr>
                <w:rFonts w:eastAsia="MS Mincho"/>
              </w:rPr>
            </w:pPr>
            <w:r w:rsidRPr="002C19B4">
              <w:rPr>
                <w:rFonts w:eastAsia="MS Mincho"/>
                <w:u w:val="single"/>
              </w:rPr>
              <w:t>Inclusion</w:t>
            </w:r>
            <w:r>
              <w:rPr>
                <w:rFonts w:eastAsia="MS Mincho"/>
              </w:rPr>
              <w:t xml:space="preserve">: </w:t>
            </w:r>
            <w:r w:rsidRPr="007B7C66">
              <w:rPr>
                <w:rFonts w:eastAsia="MS Mincho"/>
              </w:rPr>
              <w:t>men or women who smoked and were motivated to</w:t>
            </w:r>
            <w:r>
              <w:rPr>
                <w:rFonts w:eastAsia="MS Mincho"/>
              </w:rPr>
              <w:t xml:space="preserve"> </w:t>
            </w:r>
            <w:r w:rsidRPr="007B7C66">
              <w:rPr>
                <w:rFonts w:eastAsia="MS Mincho"/>
              </w:rPr>
              <w:t>quit, irrespective of the setting from which they were recruited</w:t>
            </w:r>
            <w:r>
              <w:rPr>
                <w:rFonts w:eastAsia="MS Mincho"/>
              </w:rPr>
              <w:t xml:space="preserve"> </w:t>
            </w:r>
            <w:r w:rsidRPr="007B7C66">
              <w:rPr>
                <w:rFonts w:eastAsia="MS Mincho"/>
              </w:rPr>
              <w:t>or their initial level of nicotine dependence, or both</w:t>
            </w:r>
            <w:r>
              <w:rPr>
                <w:rFonts w:eastAsia="MS Mincho"/>
              </w:rPr>
              <w:t>.</w:t>
            </w:r>
          </w:p>
          <w:p w14:paraId="5BE69F3C" w14:textId="7D693FDC" w:rsidR="00AA3BFF" w:rsidRPr="007D6C25" w:rsidRDefault="00AA3BFF" w:rsidP="00AA3BFF">
            <w:pPr>
              <w:pStyle w:val="Tablewriting"/>
              <w:rPr>
                <w:rFonts w:eastAsia="MS Mincho"/>
                <w:u w:val="single"/>
              </w:rPr>
            </w:pPr>
            <w:r w:rsidRPr="002C19B4">
              <w:rPr>
                <w:rFonts w:eastAsia="MS Mincho"/>
                <w:u w:val="single"/>
              </w:rPr>
              <w:t>Exclusion</w:t>
            </w:r>
            <w:r>
              <w:rPr>
                <w:rFonts w:eastAsia="MS Mincho"/>
              </w:rPr>
              <w:t xml:space="preserve">: trials that </w:t>
            </w:r>
            <w:r w:rsidRPr="00D8489B">
              <w:rPr>
                <w:rFonts w:eastAsia="MS Mincho"/>
              </w:rPr>
              <w:t>randomi</w:t>
            </w:r>
            <w:r>
              <w:rPr>
                <w:rFonts w:eastAsia="MS Mincho"/>
              </w:rPr>
              <w:t>s</w:t>
            </w:r>
            <w:r w:rsidRPr="00D8489B">
              <w:rPr>
                <w:rFonts w:eastAsia="MS Mincho"/>
              </w:rPr>
              <w:t>ed physicians or other therapists to</w:t>
            </w:r>
            <w:r>
              <w:rPr>
                <w:rFonts w:eastAsia="MS Mincho"/>
              </w:rPr>
              <w:t xml:space="preserve"> </w:t>
            </w:r>
            <w:r w:rsidRPr="00D8489B">
              <w:rPr>
                <w:rFonts w:eastAsia="MS Mincho"/>
              </w:rPr>
              <w:t>receive an educational intervention, which included encouraging</w:t>
            </w:r>
            <w:r>
              <w:rPr>
                <w:rFonts w:eastAsia="MS Mincho"/>
              </w:rPr>
              <w:t xml:space="preserve"> </w:t>
            </w:r>
            <w:r w:rsidRPr="00D8489B">
              <w:rPr>
                <w:rFonts w:eastAsia="MS Mincho"/>
              </w:rPr>
              <w:t>their patients to use NRT</w:t>
            </w:r>
            <w:r w:rsidR="00ED0CBA">
              <w:rPr>
                <w:rFonts w:eastAsia="MS Mincho"/>
              </w:rPr>
              <w:t>.</w:t>
            </w:r>
          </w:p>
        </w:tc>
        <w:tc>
          <w:tcPr>
            <w:tcW w:w="597" w:type="pct"/>
          </w:tcPr>
          <w:p w14:paraId="3977B5E9" w14:textId="77777777" w:rsidR="00AA3BFF" w:rsidRDefault="00AA3BFF" w:rsidP="00AA3BFF">
            <w:pPr>
              <w:pStyle w:val="Tablewriting"/>
              <w:rPr>
                <w:rFonts w:eastAsia="MS Mincho"/>
              </w:rPr>
            </w:pPr>
            <w:r>
              <w:rPr>
                <w:rFonts w:eastAsia="MS Mincho"/>
              </w:rPr>
              <w:t>NRT i</w:t>
            </w:r>
            <w:r w:rsidRPr="00CA2819">
              <w:rPr>
                <w:rFonts w:eastAsia="MS Mincho"/>
              </w:rPr>
              <w:t>nhalator + patch</w:t>
            </w:r>
          </w:p>
          <w:p w14:paraId="408A81D0" w14:textId="77777777" w:rsidR="00AA3BFF" w:rsidRPr="009A3B21" w:rsidRDefault="00AA3BFF" w:rsidP="00AA3BFF">
            <w:pPr>
              <w:pStyle w:val="Tablewriting"/>
              <w:rPr>
                <w:rFonts w:eastAsia="MS Mincho"/>
                <w:highlight w:val="yellow"/>
              </w:rPr>
            </w:pPr>
            <w:r>
              <w:rPr>
                <w:rFonts w:eastAsia="MS Mincho"/>
              </w:rPr>
              <w:t>P</w:t>
            </w:r>
            <w:r w:rsidRPr="00CA2819">
              <w:rPr>
                <w:rFonts w:eastAsia="MS Mincho"/>
              </w:rPr>
              <w:t>lacebo</w:t>
            </w:r>
          </w:p>
        </w:tc>
        <w:tc>
          <w:tcPr>
            <w:tcW w:w="922" w:type="pct"/>
            <w:tcMar>
              <w:left w:w="28" w:type="dxa"/>
              <w:right w:w="28" w:type="dxa"/>
            </w:tcMar>
          </w:tcPr>
          <w:p w14:paraId="1CA2DE0F" w14:textId="77777777" w:rsidR="00AA3BFF" w:rsidRDefault="00AA3BFF" w:rsidP="00AA3BFF">
            <w:pPr>
              <w:pStyle w:val="Tablewriting"/>
              <w:rPr>
                <w:rFonts w:eastAsia="MS Mincho"/>
              </w:rPr>
            </w:pPr>
            <w:r w:rsidRPr="006E7EED">
              <w:rPr>
                <w:rFonts w:eastAsia="MS Mincho"/>
                <w:u w:val="single"/>
              </w:rPr>
              <w:t>Primary</w:t>
            </w:r>
            <w:r w:rsidRPr="006E7EED">
              <w:rPr>
                <w:rFonts w:eastAsia="MS Mincho"/>
              </w:rPr>
              <w:t xml:space="preserve">: </w:t>
            </w:r>
            <w:r w:rsidRPr="002C19B4">
              <w:rPr>
                <w:rFonts w:eastAsia="MS Mincho"/>
              </w:rPr>
              <w:t>smoking cessation rates</w:t>
            </w:r>
            <w:r>
              <w:rPr>
                <w:rFonts w:eastAsia="MS Mincho"/>
              </w:rPr>
              <w:t xml:space="preserve"> of</w:t>
            </w:r>
            <w:r w:rsidRPr="002C19B4">
              <w:rPr>
                <w:rFonts w:eastAsia="MS Mincho"/>
              </w:rPr>
              <w:t xml:space="preserve"> at least six months a</w:t>
            </w:r>
            <w:r>
              <w:rPr>
                <w:rFonts w:eastAsia="MS Mincho"/>
              </w:rPr>
              <w:t>ft</w:t>
            </w:r>
            <w:r w:rsidRPr="002C19B4">
              <w:rPr>
                <w:rFonts w:eastAsia="MS Mincho"/>
              </w:rPr>
              <w:t>er baseline</w:t>
            </w:r>
            <w:r>
              <w:rPr>
                <w:rFonts w:eastAsia="MS Mincho"/>
              </w:rPr>
              <w:t>.</w:t>
            </w:r>
          </w:p>
          <w:p w14:paraId="2F2DA298" w14:textId="49C3C5FE" w:rsidR="00AA3BFF" w:rsidRPr="00FA3FB4" w:rsidRDefault="00AA3BFF" w:rsidP="00AA3BFF">
            <w:pPr>
              <w:pStyle w:val="Tablewriting"/>
              <w:rPr>
                <w:rFonts w:eastAsia="MS Mincho"/>
                <w:u w:val="single"/>
              </w:rPr>
            </w:pPr>
            <w:r w:rsidRPr="009D1F96">
              <w:rPr>
                <w:rFonts w:eastAsia="MS Mincho"/>
                <w:u w:val="single"/>
              </w:rPr>
              <w:t>Secondary</w:t>
            </w:r>
            <w:r w:rsidRPr="009D1F96">
              <w:rPr>
                <w:rFonts w:eastAsia="MS Mincho"/>
              </w:rPr>
              <w:t xml:space="preserve">: </w:t>
            </w:r>
            <w:r w:rsidRPr="00216D52">
              <w:rPr>
                <w:rFonts w:eastAsia="MS Mincho"/>
              </w:rPr>
              <w:t>NR</w:t>
            </w:r>
            <w:r w:rsidR="00ED0CBA">
              <w:rPr>
                <w:rFonts w:eastAsia="MS Mincho"/>
              </w:rPr>
              <w:t>.</w:t>
            </w:r>
          </w:p>
        </w:tc>
      </w:tr>
    </w:tbl>
    <w:p w14:paraId="55D6F3DA" w14:textId="29256EC5" w:rsidR="00F523E8" w:rsidRPr="00EF44FE" w:rsidRDefault="00F523E8" w:rsidP="005F1F94">
      <w:pPr>
        <w:pStyle w:val="TableFooter"/>
        <w:keepNext/>
        <w:jc w:val="both"/>
        <w:rPr>
          <w:i/>
        </w:rPr>
      </w:pPr>
      <w:r w:rsidRPr="00EF44FE">
        <w:t xml:space="preserve">Abbreviations: </w:t>
      </w:r>
      <w:r w:rsidR="002F0609">
        <w:t xml:space="preserve">CAR = continuous abstinence rate; </w:t>
      </w:r>
      <w:r w:rsidR="00785E3C">
        <w:t xml:space="preserve">CO = carbon monoxide; </w:t>
      </w:r>
      <w:r w:rsidRPr="00EF44FE">
        <w:t xml:space="preserve">NRT = nicotine replacement therapy; N/A = not applicable; RCT = randomised controlled trial </w:t>
      </w:r>
    </w:p>
    <w:p w14:paraId="3255CA63" w14:textId="77777777" w:rsidR="00F523E8" w:rsidRPr="00EF44FE" w:rsidRDefault="00F523E8" w:rsidP="005F1F94">
      <w:pPr>
        <w:pStyle w:val="TableFooter"/>
        <w:keepNext/>
        <w:jc w:val="both"/>
      </w:pPr>
      <w:r w:rsidRPr="00EF44FE">
        <w:t xml:space="preserve">Notes: </w:t>
      </w:r>
    </w:p>
    <w:p w14:paraId="204209CA" w14:textId="768F90D7" w:rsidR="00F523E8" w:rsidRPr="00EF44FE" w:rsidRDefault="00F523E8" w:rsidP="005F1F94">
      <w:pPr>
        <w:pStyle w:val="TableFooter"/>
        <w:keepNext/>
        <w:jc w:val="both"/>
      </w:pPr>
      <w:r w:rsidRPr="00EF44FE">
        <w:t>1 Only the number of patients (n) in the relevant arms were included</w:t>
      </w:r>
      <w:r w:rsidR="00ED0CBA">
        <w:t>.</w:t>
      </w:r>
      <w:r w:rsidRPr="00EF44FE">
        <w:t xml:space="preserve"> </w:t>
      </w:r>
    </w:p>
    <w:p w14:paraId="207E4B59" w14:textId="4E4FCBA7" w:rsidR="00F523E8" w:rsidRPr="00EF44FE" w:rsidRDefault="00F523E8" w:rsidP="005F1F94">
      <w:pPr>
        <w:pStyle w:val="TableFooter"/>
        <w:keepNext/>
        <w:jc w:val="both"/>
      </w:pPr>
      <w:r w:rsidRPr="00EF44FE">
        <w:t xml:space="preserve">2 The characteristics of the individual studies included in Hartmann-Boyce et al. (2018) are presented in </w:t>
      </w:r>
      <w:r w:rsidR="00560D47">
        <w:t>Table 164</w:t>
      </w:r>
      <w:r w:rsidRPr="00EF44FE">
        <w:t xml:space="preserve"> in the Appendix</w:t>
      </w:r>
      <w:r w:rsidR="00560D47">
        <w:t>.</w:t>
      </w:r>
    </w:p>
    <w:p w14:paraId="281D5B51" w14:textId="791EA7B8" w:rsidR="00F523E8" w:rsidRPr="00EF44FE" w:rsidRDefault="00F523E8" w:rsidP="005F1F94">
      <w:pPr>
        <w:pStyle w:val="TableFooter"/>
        <w:keepNext/>
        <w:jc w:val="both"/>
      </w:pPr>
      <w:r w:rsidRPr="00EF44FE">
        <w:t xml:space="preserve">3 The characteristics of the individual studies included in Lindson et al. (2019) are presented in </w:t>
      </w:r>
      <w:r w:rsidR="00560D47">
        <w:t>Table 164</w:t>
      </w:r>
      <w:r w:rsidRPr="00EF44FE">
        <w:t xml:space="preserve"> in the Appendix.</w:t>
      </w:r>
    </w:p>
    <w:p w14:paraId="36F4B565" w14:textId="15CF216C" w:rsidR="00F523E8" w:rsidRDefault="00F523E8" w:rsidP="005F1F94">
      <w:pPr>
        <w:pStyle w:val="TableFooter"/>
        <w:keepNext/>
        <w:jc w:val="both"/>
      </w:pPr>
      <w:r w:rsidRPr="009E4299">
        <w:t xml:space="preserve">4 </w:t>
      </w:r>
      <w:r w:rsidR="00701219" w:rsidRPr="00701219">
        <w:t>In Nides et al. (2020), the concealment of the allocation sequence was not reported.</w:t>
      </w:r>
    </w:p>
    <w:p w14:paraId="57EFBCB2" w14:textId="77777777" w:rsidR="00E11ADF" w:rsidRDefault="00E11ADF" w:rsidP="00F523E8">
      <w:pPr>
        <w:pStyle w:val="TableFooter"/>
        <w:keepNext/>
        <w:sectPr w:rsidR="00E11ADF" w:rsidSect="00E45F0E">
          <w:pgSz w:w="16838" w:h="11906" w:orient="landscape"/>
          <w:pgMar w:top="1440" w:right="1440" w:bottom="1440" w:left="1440" w:header="708" w:footer="708" w:gutter="0"/>
          <w:cols w:space="708"/>
          <w:titlePg/>
          <w:docGrid w:linePitch="360"/>
        </w:sectPr>
      </w:pPr>
    </w:p>
    <w:p w14:paraId="7717D4D5" w14:textId="77777777" w:rsidR="00F523E8" w:rsidRDefault="00F523E8" w:rsidP="005F1F94">
      <w:pPr>
        <w:pStyle w:val="Heading5"/>
        <w:numPr>
          <w:ilvl w:val="0"/>
          <w:numId w:val="0"/>
        </w:numPr>
        <w:spacing w:after="120"/>
        <w:jc w:val="both"/>
        <w:rPr>
          <w:i w:val="0"/>
        </w:rPr>
      </w:pPr>
      <w:r w:rsidRPr="008657EE">
        <w:lastRenderedPageBreak/>
        <w:t>Inhalator</w:t>
      </w:r>
      <w:r>
        <w:t>/inhaler</w:t>
      </w:r>
    </w:p>
    <w:p w14:paraId="52DEA792" w14:textId="19DF1255" w:rsidR="004D63D8" w:rsidRPr="004D63D8" w:rsidRDefault="004D63D8" w:rsidP="005F1F94">
      <w:pPr>
        <w:spacing w:after="120"/>
        <w:jc w:val="both"/>
        <w:rPr>
          <w:u w:val="single"/>
        </w:rPr>
      </w:pPr>
      <w:r w:rsidRPr="004D63D8">
        <w:rPr>
          <w:u w:val="single"/>
        </w:rPr>
        <w:t>Efficacy</w:t>
      </w:r>
    </w:p>
    <w:p w14:paraId="7CF209A4" w14:textId="424AF3F7" w:rsidR="005A5B85" w:rsidRDefault="00F523E8" w:rsidP="005F1F94">
      <w:pPr>
        <w:spacing w:after="120"/>
        <w:jc w:val="both"/>
      </w:pPr>
      <w:r w:rsidRPr="00F136E9">
        <w:t>A summary of smoking cessation rates</w:t>
      </w:r>
      <w:r>
        <w:t xml:space="preserve"> </w:t>
      </w:r>
      <w:r w:rsidRPr="00F136E9">
        <w:t>f</w:t>
      </w:r>
      <w:r w:rsidR="00BC68E9">
        <w:t>or</w:t>
      </w:r>
      <w:r w:rsidRPr="00F136E9">
        <w:t xml:space="preserve"> at least six months follow-up</w:t>
      </w:r>
      <w:r>
        <w:t xml:space="preserve"> for the comparison of NRT inhalator versus placebo as well as inhaler </w:t>
      </w:r>
      <w:r w:rsidR="005163BE">
        <w:t xml:space="preserve">versus </w:t>
      </w:r>
      <w:r w:rsidR="00573F59">
        <w:t>patches</w:t>
      </w:r>
      <w:r>
        <w:t xml:space="preserve"> </w:t>
      </w:r>
      <w:r w:rsidRPr="00F136E9">
        <w:t xml:space="preserve">is </w:t>
      </w:r>
      <w:r w:rsidRPr="00D844A5">
        <w:t xml:space="preserve">presented in </w:t>
      </w:r>
      <w:r w:rsidR="00D844A5" w:rsidRPr="00D844A5">
        <w:fldChar w:fldCharType="begin" w:fldLock="1"/>
      </w:r>
      <w:r w:rsidR="00D844A5" w:rsidRPr="00D844A5">
        <w:instrText xml:space="preserve"> REF _Ref60846746 \h </w:instrText>
      </w:r>
      <w:r w:rsidR="00D844A5">
        <w:instrText xml:space="preserve"> \* MERGEFORMAT </w:instrText>
      </w:r>
      <w:r w:rsidR="00D844A5" w:rsidRPr="00D844A5">
        <w:fldChar w:fldCharType="separate"/>
      </w:r>
      <w:r w:rsidR="00EC5CC7">
        <w:t xml:space="preserve">Table </w:t>
      </w:r>
      <w:r w:rsidR="00EC5CC7">
        <w:rPr>
          <w:noProof/>
        </w:rPr>
        <w:t>105</w:t>
      </w:r>
      <w:r w:rsidR="00D844A5" w:rsidRPr="00D844A5">
        <w:fldChar w:fldCharType="end"/>
      </w:r>
      <w:r w:rsidR="00D844A5" w:rsidRPr="00D844A5">
        <w:t xml:space="preserve"> and </w:t>
      </w:r>
      <w:r w:rsidR="00D844A5" w:rsidRPr="00D844A5">
        <w:fldChar w:fldCharType="begin" w:fldLock="1"/>
      </w:r>
      <w:r w:rsidR="00D844A5" w:rsidRPr="00D844A5">
        <w:instrText xml:space="preserve"> REF _Ref60846748 \h </w:instrText>
      </w:r>
      <w:r w:rsidR="00D844A5">
        <w:instrText xml:space="preserve"> \* MERGEFORMAT </w:instrText>
      </w:r>
      <w:r w:rsidR="00D844A5" w:rsidRPr="00D844A5">
        <w:fldChar w:fldCharType="separate"/>
      </w:r>
      <w:r w:rsidR="00EC5CC7">
        <w:t xml:space="preserve">Table </w:t>
      </w:r>
      <w:r w:rsidR="00EC5CC7">
        <w:rPr>
          <w:noProof/>
        </w:rPr>
        <w:t>106</w:t>
      </w:r>
      <w:r w:rsidR="00D844A5" w:rsidRPr="00D844A5">
        <w:fldChar w:fldCharType="end"/>
      </w:r>
      <w:r w:rsidRPr="00D844A5">
        <w:t>.</w:t>
      </w:r>
      <w:r w:rsidRPr="00657867">
        <w:t xml:space="preserve"> </w:t>
      </w:r>
      <w:r w:rsidR="00D60F46">
        <w:t>Based on the Cochrane Review</w:t>
      </w:r>
      <w:r>
        <w:t xml:space="preserve"> by </w:t>
      </w:r>
      <w:r w:rsidRPr="00933815">
        <w:t xml:space="preserve">Hartmann-Boyce et al. </w:t>
      </w:r>
      <w:r w:rsidR="00D60F46">
        <w:t>(</w:t>
      </w:r>
      <w:r w:rsidRPr="00933815">
        <w:t>2018</w:t>
      </w:r>
      <w:r w:rsidR="00D60F46">
        <w:t>), the results of the meta-analysis comprising four RCTs demonstrated</w:t>
      </w:r>
      <w:r w:rsidDel="004177B5">
        <w:t xml:space="preserve"> </w:t>
      </w:r>
      <w:r w:rsidR="004177B5">
        <w:t>a</w:t>
      </w:r>
      <w:r w:rsidRPr="00657867">
        <w:t xml:space="preserve"> </w:t>
      </w:r>
      <w:r w:rsidRPr="006138C2">
        <w:t>statistically significant di</w:t>
      </w:r>
      <w:r>
        <w:t>ff</w:t>
      </w:r>
      <w:r w:rsidRPr="006138C2">
        <w:t xml:space="preserve">erence </w:t>
      </w:r>
      <w:r>
        <w:t xml:space="preserve">in </w:t>
      </w:r>
      <w:r w:rsidR="004177B5">
        <w:t>smoking cessation rates between the two treatment arms,</w:t>
      </w:r>
      <w:r>
        <w:t xml:space="preserve"> in favour of NRT inhalator. </w:t>
      </w:r>
      <w:r w:rsidR="004177B5">
        <w:t xml:space="preserve">The results of the updated re-analysis </w:t>
      </w:r>
      <w:r w:rsidR="00534723">
        <w:t xml:space="preserve">were no longer statistically significant after </w:t>
      </w:r>
      <w:r w:rsidR="00B679BC">
        <w:t>includ</w:t>
      </w:r>
      <w:r w:rsidR="00534723">
        <w:t>ing</w:t>
      </w:r>
      <w:r w:rsidR="00B679BC">
        <w:t xml:space="preserve"> </w:t>
      </w:r>
      <w:r w:rsidR="00534723">
        <w:t xml:space="preserve">the results from </w:t>
      </w:r>
      <w:r w:rsidR="00B679BC">
        <w:t>Oncken et al. (2019)</w:t>
      </w:r>
      <w:r w:rsidR="00DA35B1">
        <w:t xml:space="preserve"> (RR: </w:t>
      </w:r>
      <w:r w:rsidR="008D3721">
        <w:t>1.57; 95% CI: 0.97, 2.54)</w:t>
      </w:r>
      <w:r w:rsidR="00534723">
        <w:t>.</w:t>
      </w:r>
      <w:r w:rsidR="00B679BC">
        <w:t xml:space="preserve"> </w:t>
      </w:r>
    </w:p>
    <w:p w14:paraId="684CEE88" w14:textId="58F8823B" w:rsidR="00F523E8" w:rsidRPr="0032214C" w:rsidRDefault="00534723" w:rsidP="005F1F94">
      <w:pPr>
        <w:spacing w:after="120"/>
        <w:jc w:val="both"/>
      </w:pPr>
      <w:r>
        <w:t>Based on the Cochrane Review by</w:t>
      </w:r>
      <w:r w:rsidR="00F523E8" w:rsidDel="00534723">
        <w:t xml:space="preserve"> </w:t>
      </w:r>
      <w:r w:rsidR="00F523E8">
        <w:t xml:space="preserve">Lindson et al. </w:t>
      </w:r>
      <w:r>
        <w:t>(</w:t>
      </w:r>
      <w:r w:rsidR="00F523E8">
        <w:t>2019</w:t>
      </w:r>
      <w:r>
        <w:t xml:space="preserve">), the </w:t>
      </w:r>
      <w:r w:rsidR="00DA35B1">
        <w:t>results</w:t>
      </w:r>
      <w:r w:rsidR="00F523E8">
        <w:t xml:space="preserve"> demonstrated no statistically significant difference </w:t>
      </w:r>
      <w:r w:rsidR="00DA35B1">
        <w:t xml:space="preserve">in smoking cessation rates between </w:t>
      </w:r>
      <w:r w:rsidR="00F523E8">
        <w:t>NRT inhal</w:t>
      </w:r>
      <w:r w:rsidR="005570D3">
        <w:t>ator</w:t>
      </w:r>
      <w:r w:rsidR="00F523E8">
        <w:t xml:space="preserve"> </w:t>
      </w:r>
      <w:r w:rsidR="00DA35B1">
        <w:t>and</w:t>
      </w:r>
      <w:r w:rsidR="00F523E8">
        <w:t xml:space="preserve"> </w:t>
      </w:r>
      <w:r w:rsidR="00573F59">
        <w:t>patches</w:t>
      </w:r>
      <w:r w:rsidR="00F523E8">
        <w:t>.</w:t>
      </w:r>
    </w:p>
    <w:p w14:paraId="18B8503E" w14:textId="7593878F" w:rsidR="001735FE" w:rsidRDefault="001735FE" w:rsidP="005F1F94">
      <w:pPr>
        <w:pStyle w:val="Caption"/>
        <w:keepNext/>
        <w:spacing w:before="0" w:after="120"/>
        <w:jc w:val="both"/>
      </w:pPr>
      <w:bookmarkStart w:id="185" w:name="_Ref60846746"/>
      <w:r>
        <w:t xml:space="preserve">Table </w:t>
      </w:r>
      <w:r w:rsidR="00BF3F75">
        <w:fldChar w:fldCharType="begin"/>
      </w:r>
      <w:r w:rsidR="00BF3F75">
        <w:instrText xml:space="preserve"> SEQ Table \* ARABIC </w:instrText>
      </w:r>
      <w:r w:rsidR="00BF3F75">
        <w:fldChar w:fldCharType="separate"/>
      </w:r>
      <w:r w:rsidR="00EC5CC7">
        <w:rPr>
          <w:noProof/>
        </w:rPr>
        <w:t>105</w:t>
      </w:r>
      <w:r w:rsidR="00BF3F75">
        <w:rPr>
          <w:noProof/>
        </w:rPr>
        <w:fldChar w:fldCharType="end"/>
      </w:r>
      <w:bookmarkEnd w:id="185"/>
      <w:r>
        <w:t xml:space="preserve">: </w:t>
      </w:r>
      <w:r w:rsidRPr="00F66C01">
        <w:t>Results of smoking cessation f</w:t>
      </w:r>
      <w:r w:rsidR="00BC68E9">
        <w:t>or</w:t>
      </w:r>
      <w:r w:rsidRPr="00F66C01">
        <w:t xml:space="preserve"> at least six months follow-up, inhalator versus placebo</w:t>
      </w:r>
    </w:p>
    <w:tbl>
      <w:tblPr>
        <w:tblStyle w:val="TableGrid"/>
        <w:tblW w:w="5000" w:type="pct"/>
        <w:tblLook w:val="04A0" w:firstRow="1" w:lastRow="0" w:firstColumn="1" w:lastColumn="0" w:noHBand="0" w:noVBand="1"/>
        <w:tblCaption w:val="Efficacy results of adalimumab trials (PASI 75 and DLQI)"/>
      </w:tblPr>
      <w:tblGrid>
        <w:gridCol w:w="1554"/>
        <w:gridCol w:w="1702"/>
        <w:gridCol w:w="1275"/>
        <w:gridCol w:w="1488"/>
        <w:gridCol w:w="1535"/>
        <w:gridCol w:w="1462"/>
      </w:tblGrid>
      <w:tr w:rsidR="00F523E8" w:rsidRPr="00061F78" w14:paraId="3C5B44E3" w14:textId="77777777" w:rsidTr="004E20D5">
        <w:trPr>
          <w:cantSplit/>
          <w:trHeight w:val="299"/>
          <w:tblHeader/>
        </w:trPr>
        <w:tc>
          <w:tcPr>
            <w:tcW w:w="862" w:type="pct"/>
            <w:shd w:val="clear" w:color="auto" w:fill="BFBFBF" w:themeFill="background1" w:themeFillShade="BF"/>
            <w:tcMar>
              <w:left w:w="28" w:type="dxa"/>
              <w:right w:w="28" w:type="dxa"/>
            </w:tcMar>
          </w:tcPr>
          <w:p w14:paraId="2871BF44" w14:textId="77777777" w:rsidR="00F523E8" w:rsidRPr="00061F78" w:rsidRDefault="00F523E8" w:rsidP="00A5263B">
            <w:pPr>
              <w:pStyle w:val="Tableheading"/>
              <w:keepNext/>
              <w:rPr>
                <w:rFonts w:eastAsia="MS Mincho"/>
              </w:rPr>
            </w:pPr>
            <w:r>
              <w:rPr>
                <w:rFonts w:eastAsia="MS Mincho"/>
              </w:rPr>
              <w:t>Study</w:t>
            </w:r>
          </w:p>
        </w:tc>
        <w:tc>
          <w:tcPr>
            <w:tcW w:w="944" w:type="pct"/>
            <w:shd w:val="clear" w:color="auto" w:fill="BFBFBF" w:themeFill="background1" w:themeFillShade="BF"/>
            <w:vAlign w:val="center"/>
          </w:tcPr>
          <w:p w14:paraId="2EC35890" w14:textId="77777777" w:rsidR="00F523E8" w:rsidRDefault="00F523E8" w:rsidP="00A5263B">
            <w:pPr>
              <w:pStyle w:val="Tableheading"/>
              <w:keepNext/>
              <w:jc w:val="center"/>
              <w:rPr>
                <w:rFonts w:eastAsia="MS Mincho"/>
              </w:rPr>
            </w:pPr>
            <w:r>
              <w:rPr>
                <w:rFonts w:eastAsia="MS Mincho"/>
              </w:rPr>
              <w:t>Study type</w:t>
            </w:r>
          </w:p>
        </w:tc>
        <w:tc>
          <w:tcPr>
            <w:tcW w:w="707" w:type="pct"/>
            <w:shd w:val="clear" w:color="auto" w:fill="BFBFBF" w:themeFill="background1" w:themeFillShade="BF"/>
            <w:tcMar>
              <w:left w:w="28" w:type="dxa"/>
              <w:right w:w="28" w:type="dxa"/>
            </w:tcMar>
            <w:vAlign w:val="center"/>
          </w:tcPr>
          <w:p w14:paraId="17296362" w14:textId="77777777" w:rsidR="00F523E8" w:rsidRPr="00061F78" w:rsidRDefault="00F523E8" w:rsidP="00A5263B">
            <w:pPr>
              <w:pStyle w:val="Tableheading"/>
              <w:keepNext/>
              <w:jc w:val="center"/>
              <w:rPr>
                <w:rFonts w:eastAsia="MS Mincho"/>
              </w:rPr>
            </w:pPr>
            <w:r>
              <w:rPr>
                <w:rFonts w:eastAsia="MS Mincho"/>
              </w:rPr>
              <w:t>Inhalator</w:t>
            </w:r>
          </w:p>
        </w:tc>
        <w:tc>
          <w:tcPr>
            <w:tcW w:w="825" w:type="pct"/>
            <w:shd w:val="clear" w:color="auto" w:fill="BFBFBF" w:themeFill="background1" w:themeFillShade="BF"/>
            <w:tcMar>
              <w:left w:w="28" w:type="dxa"/>
              <w:right w:w="28" w:type="dxa"/>
            </w:tcMar>
            <w:vAlign w:val="center"/>
          </w:tcPr>
          <w:p w14:paraId="29D65CA0" w14:textId="77777777" w:rsidR="00F523E8" w:rsidRPr="00061F78" w:rsidRDefault="00F523E8" w:rsidP="00A5263B">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14:paraId="1FAC3E8B" w14:textId="77777777" w:rsidR="00F523E8" w:rsidRPr="002D09A1" w:rsidRDefault="00F523E8" w:rsidP="00A5263B">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14:paraId="2DE81ADC" w14:textId="2A230355" w:rsidR="00F523E8" w:rsidRDefault="00F523E8" w:rsidP="00A5263B">
            <w:pPr>
              <w:pStyle w:val="Tableheading"/>
              <w:keepNext/>
              <w:jc w:val="center"/>
              <w:rPr>
                <w:rFonts w:eastAsia="MS Mincho"/>
              </w:rPr>
            </w:pPr>
            <w:r>
              <w:rPr>
                <w:rFonts w:eastAsia="MS Mincho"/>
              </w:rPr>
              <w:t>RD (95% CI)</w:t>
            </w:r>
          </w:p>
        </w:tc>
      </w:tr>
      <w:tr w:rsidR="00F523E8" w:rsidRPr="00061F78" w14:paraId="459846DF" w14:textId="77777777" w:rsidTr="004E20D5">
        <w:trPr>
          <w:cantSplit/>
          <w:trHeight w:val="99"/>
        </w:trPr>
        <w:tc>
          <w:tcPr>
            <w:tcW w:w="862" w:type="pct"/>
            <w:shd w:val="clear" w:color="auto" w:fill="auto"/>
            <w:tcMar>
              <w:left w:w="28" w:type="dxa"/>
              <w:right w:w="28" w:type="dxa"/>
            </w:tcMar>
            <w:vAlign w:val="center"/>
          </w:tcPr>
          <w:p w14:paraId="1327B001" w14:textId="4E34396F" w:rsidR="00F523E8" w:rsidRPr="00443F8F" w:rsidRDefault="005163BE" w:rsidP="00A5263B">
            <w:pPr>
              <w:pStyle w:val="Tablewriting"/>
              <w:keepNext/>
              <w:rPr>
                <w:rFonts w:eastAsia="MS Mincho"/>
                <w:highlight w:val="yellow"/>
                <w:vertAlign w:val="superscript"/>
              </w:rPr>
            </w:pPr>
            <w:r>
              <w:rPr>
                <w:rFonts w:eastAsia="MS Mincho"/>
              </w:rPr>
              <w:t>Hartmann-Boyce (2018)</w:t>
            </w:r>
            <w:r w:rsidR="001020B5">
              <w:rPr>
                <w:rFonts w:eastAsia="MS Mincho"/>
                <w:vertAlign w:val="superscript"/>
              </w:rPr>
              <w:t>1</w:t>
            </w:r>
          </w:p>
        </w:tc>
        <w:tc>
          <w:tcPr>
            <w:tcW w:w="944" w:type="pct"/>
            <w:shd w:val="clear" w:color="auto" w:fill="auto"/>
            <w:vAlign w:val="center"/>
          </w:tcPr>
          <w:p w14:paraId="25D715DD" w14:textId="48F3FF96" w:rsidR="005163BE" w:rsidRDefault="005163BE" w:rsidP="00A5263B">
            <w:pPr>
              <w:pStyle w:val="Tablewriting"/>
              <w:keepNext/>
              <w:jc w:val="center"/>
              <w:rPr>
                <w:rFonts w:eastAsia="MS Mincho"/>
              </w:rPr>
            </w:pPr>
            <w:r>
              <w:rPr>
                <w:rFonts w:eastAsia="MS Mincho"/>
              </w:rPr>
              <w:t xml:space="preserve">Cochrane Review </w:t>
            </w:r>
          </w:p>
          <w:p w14:paraId="7497D021" w14:textId="2AD6C177" w:rsidR="00F523E8" w:rsidRPr="00A22F63" w:rsidRDefault="005163BE" w:rsidP="00A5263B">
            <w:pPr>
              <w:pStyle w:val="Tablewriting"/>
              <w:keepNext/>
              <w:jc w:val="center"/>
              <w:rPr>
                <w:rFonts w:eastAsia="MS Mincho"/>
              </w:rPr>
            </w:pPr>
            <w:r>
              <w:rPr>
                <w:rFonts w:eastAsia="MS Mincho"/>
              </w:rPr>
              <w:t xml:space="preserve">(4 </w:t>
            </w:r>
            <w:r w:rsidR="00F523E8" w:rsidRPr="00A22F63">
              <w:rPr>
                <w:rFonts w:eastAsia="MS Mincho"/>
              </w:rPr>
              <w:t>RCT</w:t>
            </w:r>
            <w:r>
              <w:rPr>
                <w:rFonts w:eastAsia="MS Mincho"/>
              </w:rPr>
              <w:t>s)</w:t>
            </w:r>
          </w:p>
        </w:tc>
        <w:tc>
          <w:tcPr>
            <w:tcW w:w="707" w:type="pct"/>
            <w:shd w:val="clear" w:color="auto" w:fill="auto"/>
            <w:tcMar>
              <w:left w:w="28" w:type="dxa"/>
              <w:right w:w="28" w:type="dxa"/>
            </w:tcMar>
            <w:vAlign w:val="center"/>
          </w:tcPr>
          <w:p w14:paraId="7D55A6B0" w14:textId="2434BFDB" w:rsidR="005A674D" w:rsidRDefault="005A674D" w:rsidP="00A5263B">
            <w:pPr>
              <w:pStyle w:val="Tablewriting"/>
              <w:keepNext/>
              <w:jc w:val="center"/>
              <w:rPr>
                <w:rFonts w:eastAsia="MS Mincho"/>
              </w:rPr>
            </w:pPr>
            <w:r>
              <w:rPr>
                <w:rFonts w:eastAsia="MS Mincho"/>
              </w:rPr>
              <w:t>84/490</w:t>
            </w:r>
          </w:p>
          <w:p w14:paraId="6A8980A5" w14:textId="16B0FF7D" w:rsidR="00F523E8" w:rsidRPr="00FA54BA" w:rsidRDefault="005A674D" w:rsidP="00A5263B">
            <w:pPr>
              <w:pStyle w:val="Tablewriting"/>
              <w:keepNext/>
              <w:jc w:val="center"/>
              <w:rPr>
                <w:rFonts w:eastAsia="MS Mincho"/>
              </w:rPr>
            </w:pPr>
            <w:r>
              <w:rPr>
                <w:rFonts w:eastAsia="MS Mincho"/>
              </w:rPr>
              <w:t>(</w:t>
            </w:r>
            <w:r w:rsidR="00C464ED">
              <w:rPr>
                <w:rFonts w:eastAsia="MS Mincho"/>
              </w:rPr>
              <w:t>17.1</w:t>
            </w:r>
            <w:r>
              <w:rPr>
                <w:rFonts w:eastAsia="MS Mincho"/>
              </w:rPr>
              <w:t>%)</w:t>
            </w:r>
          </w:p>
        </w:tc>
        <w:tc>
          <w:tcPr>
            <w:tcW w:w="825" w:type="pct"/>
            <w:shd w:val="clear" w:color="auto" w:fill="auto"/>
            <w:tcMar>
              <w:left w:w="28" w:type="dxa"/>
              <w:right w:w="28" w:type="dxa"/>
            </w:tcMar>
            <w:vAlign w:val="center"/>
          </w:tcPr>
          <w:p w14:paraId="0E54217D" w14:textId="4C64AF8A" w:rsidR="005A674D" w:rsidRDefault="005A674D" w:rsidP="00A5263B">
            <w:pPr>
              <w:pStyle w:val="Tablewriting"/>
              <w:keepNext/>
              <w:jc w:val="center"/>
              <w:rPr>
                <w:rFonts w:eastAsia="MS Mincho"/>
              </w:rPr>
            </w:pPr>
            <w:r>
              <w:rPr>
                <w:rFonts w:eastAsia="MS Mincho"/>
              </w:rPr>
              <w:t>44/486</w:t>
            </w:r>
          </w:p>
          <w:p w14:paraId="3A2BF6E0" w14:textId="4DAF2F0D" w:rsidR="00F523E8" w:rsidRPr="00FA54BA" w:rsidRDefault="005A674D" w:rsidP="00A5263B">
            <w:pPr>
              <w:pStyle w:val="Tablewriting"/>
              <w:keepNext/>
              <w:jc w:val="center"/>
              <w:rPr>
                <w:rFonts w:eastAsia="MS Mincho"/>
              </w:rPr>
            </w:pPr>
            <w:r>
              <w:rPr>
                <w:rFonts w:eastAsia="MS Mincho"/>
              </w:rPr>
              <w:t>(</w:t>
            </w:r>
            <w:r w:rsidR="004C5933">
              <w:rPr>
                <w:rFonts w:eastAsia="MS Mincho"/>
              </w:rPr>
              <w:t>9.1</w:t>
            </w:r>
            <w:r>
              <w:rPr>
                <w:rFonts w:eastAsia="MS Mincho"/>
              </w:rPr>
              <w:t>%)</w:t>
            </w:r>
          </w:p>
        </w:tc>
        <w:tc>
          <w:tcPr>
            <w:tcW w:w="851" w:type="pct"/>
            <w:shd w:val="clear" w:color="auto" w:fill="auto"/>
            <w:tcMar>
              <w:left w:w="28" w:type="dxa"/>
              <w:right w:w="28" w:type="dxa"/>
            </w:tcMar>
            <w:vAlign w:val="center"/>
          </w:tcPr>
          <w:p w14:paraId="72F08B80" w14:textId="2B293292" w:rsidR="005163BE" w:rsidRPr="00E42DF3" w:rsidRDefault="005163BE" w:rsidP="005163BE">
            <w:pPr>
              <w:pStyle w:val="Tablewriting"/>
              <w:keepNext/>
              <w:jc w:val="center"/>
              <w:rPr>
                <w:rFonts w:eastAsia="MS Mincho"/>
                <w:b/>
                <w:bCs/>
              </w:rPr>
            </w:pPr>
            <w:r w:rsidRPr="00E42DF3">
              <w:rPr>
                <w:rFonts w:eastAsia="MS Mincho"/>
                <w:b/>
                <w:bCs/>
              </w:rPr>
              <w:t>1.9</w:t>
            </w:r>
          </w:p>
          <w:p w14:paraId="06B47A29" w14:textId="3992D474" w:rsidR="00F523E8" w:rsidRPr="00D86FCC" w:rsidRDefault="005163BE" w:rsidP="00A5263B">
            <w:pPr>
              <w:pStyle w:val="Tablewriting"/>
              <w:keepNext/>
              <w:jc w:val="center"/>
              <w:rPr>
                <w:rFonts w:eastAsia="MS Mincho"/>
              </w:rPr>
            </w:pPr>
            <w:r w:rsidRPr="00E42DF3">
              <w:rPr>
                <w:rFonts w:eastAsia="MS Mincho"/>
                <w:b/>
                <w:bCs/>
              </w:rPr>
              <w:t>(1.36, 2.67)</w:t>
            </w:r>
          </w:p>
        </w:tc>
        <w:tc>
          <w:tcPr>
            <w:tcW w:w="811" w:type="pct"/>
            <w:shd w:val="clear" w:color="auto" w:fill="auto"/>
            <w:vAlign w:val="center"/>
          </w:tcPr>
          <w:p w14:paraId="54BF2FC4" w14:textId="50ED3AF5" w:rsidR="00F523E8" w:rsidRPr="005D18BC" w:rsidRDefault="005A674D" w:rsidP="00A5263B">
            <w:pPr>
              <w:pStyle w:val="Tablewriting"/>
              <w:keepNext/>
              <w:jc w:val="center"/>
              <w:rPr>
                <w:rFonts w:eastAsia="MS Mincho"/>
                <w:highlight w:val="yellow"/>
              </w:rPr>
            </w:pPr>
            <w:r w:rsidRPr="00D8069A">
              <w:rPr>
                <w:rFonts w:eastAsia="MS Mincho"/>
              </w:rPr>
              <w:t>NR</w:t>
            </w:r>
          </w:p>
        </w:tc>
      </w:tr>
      <w:tr w:rsidR="00F523E8" w:rsidRPr="00061F78" w14:paraId="1D04AD81" w14:textId="77777777" w:rsidTr="00443F8F">
        <w:trPr>
          <w:cantSplit/>
          <w:trHeight w:val="99"/>
        </w:trPr>
        <w:tc>
          <w:tcPr>
            <w:tcW w:w="862" w:type="pct"/>
            <w:shd w:val="clear" w:color="auto" w:fill="auto"/>
            <w:tcMar>
              <w:left w:w="28" w:type="dxa"/>
              <w:right w:w="28" w:type="dxa"/>
            </w:tcMar>
            <w:vAlign w:val="center"/>
          </w:tcPr>
          <w:p w14:paraId="69B065F3" w14:textId="33944C60" w:rsidR="005163BE" w:rsidRDefault="00F523E8" w:rsidP="00A5263B">
            <w:pPr>
              <w:pStyle w:val="Tablewriting"/>
              <w:keepNext/>
              <w:rPr>
                <w:rFonts w:eastAsia="MS Mincho"/>
              </w:rPr>
            </w:pPr>
            <w:r w:rsidRPr="008661F1">
              <w:rPr>
                <w:rFonts w:eastAsia="MS Mincho"/>
              </w:rPr>
              <w:t xml:space="preserve">Oncken </w:t>
            </w:r>
          </w:p>
          <w:p w14:paraId="58CFF777" w14:textId="54EFC0A0" w:rsidR="00F523E8" w:rsidRPr="008657EE" w:rsidRDefault="00F523E8" w:rsidP="00A5263B">
            <w:pPr>
              <w:pStyle w:val="Tablewriting"/>
              <w:keepNext/>
              <w:rPr>
                <w:rFonts w:eastAsia="MS Mincho"/>
              </w:rPr>
            </w:pPr>
            <w:r>
              <w:rPr>
                <w:rFonts w:eastAsia="MS Mincho"/>
              </w:rPr>
              <w:t>(</w:t>
            </w:r>
            <w:r w:rsidRPr="008661F1">
              <w:rPr>
                <w:rFonts w:eastAsia="MS Mincho"/>
              </w:rPr>
              <w:t>2019</w:t>
            </w:r>
            <w:r>
              <w:rPr>
                <w:rFonts w:eastAsia="MS Mincho"/>
              </w:rPr>
              <w:t>)</w:t>
            </w:r>
            <w:r w:rsidRPr="004A5F8B">
              <w:rPr>
                <w:rFonts w:eastAsia="MS Mincho"/>
                <w:vertAlign w:val="superscript"/>
              </w:rPr>
              <w:t>2</w:t>
            </w:r>
          </w:p>
        </w:tc>
        <w:tc>
          <w:tcPr>
            <w:tcW w:w="944" w:type="pct"/>
            <w:shd w:val="clear" w:color="auto" w:fill="auto"/>
            <w:vAlign w:val="center"/>
          </w:tcPr>
          <w:p w14:paraId="3D557E3A" w14:textId="77777777" w:rsidR="00F523E8" w:rsidRDefault="00F523E8" w:rsidP="00A5263B">
            <w:pPr>
              <w:pStyle w:val="Tablewriting"/>
              <w:keepNext/>
              <w:jc w:val="center"/>
              <w:rPr>
                <w:rFonts w:eastAsia="MS Mincho"/>
              </w:rPr>
            </w:pPr>
            <w:r>
              <w:rPr>
                <w:rFonts w:eastAsia="MS Mincho"/>
              </w:rPr>
              <w:t>RCT</w:t>
            </w:r>
          </w:p>
        </w:tc>
        <w:tc>
          <w:tcPr>
            <w:tcW w:w="707" w:type="pct"/>
            <w:shd w:val="clear" w:color="auto" w:fill="auto"/>
            <w:vAlign w:val="center"/>
          </w:tcPr>
          <w:p w14:paraId="308F85DA" w14:textId="77777777" w:rsidR="00F523E8" w:rsidRPr="00D8069A" w:rsidRDefault="00F523E8" w:rsidP="00A5263B">
            <w:pPr>
              <w:pStyle w:val="Tablewriting"/>
              <w:keepNext/>
              <w:jc w:val="center"/>
              <w:rPr>
                <w:rFonts w:eastAsia="MS Mincho"/>
              </w:rPr>
            </w:pPr>
            <w:r w:rsidRPr="00D8069A">
              <w:rPr>
                <w:rFonts w:eastAsia="MS Mincho"/>
              </w:rPr>
              <w:t>7/70</w:t>
            </w:r>
          </w:p>
          <w:p w14:paraId="13D8436D" w14:textId="6D571244" w:rsidR="004C5933" w:rsidRPr="00D8069A" w:rsidRDefault="004C5933" w:rsidP="00A5263B">
            <w:pPr>
              <w:pStyle w:val="Tablewriting"/>
              <w:keepNext/>
              <w:jc w:val="center"/>
              <w:rPr>
                <w:rFonts w:eastAsia="MS Mincho"/>
              </w:rPr>
            </w:pPr>
            <w:r w:rsidRPr="00D8069A">
              <w:rPr>
                <w:rFonts w:eastAsia="MS Mincho"/>
              </w:rPr>
              <w:t>(10%)</w:t>
            </w:r>
          </w:p>
        </w:tc>
        <w:tc>
          <w:tcPr>
            <w:tcW w:w="825" w:type="pct"/>
            <w:shd w:val="clear" w:color="auto" w:fill="auto"/>
            <w:vAlign w:val="center"/>
          </w:tcPr>
          <w:p w14:paraId="15D49E96" w14:textId="77777777" w:rsidR="00F523E8" w:rsidRPr="00D8069A" w:rsidRDefault="00F523E8" w:rsidP="00A5263B">
            <w:pPr>
              <w:pStyle w:val="Tablewriting"/>
              <w:keepNext/>
              <w:jc w:val="center"/>
              <w:rPr>
                <w:rFonts w:eastAsia="MS Mincho"/>
              </w:rPr>
            </w:pPr>
            <w:r w:rsidRPr="00D8069A">
              <w:rPr>
                <w:rFonts w:eastAsia="MS Mincho"/>
              </w:rPr>
              <w:t>12/67</w:t>
            </w:r>
          </w:p>
          <w:p w14:paraId="6A9F6398" w14:textId="181CF656" w:rsidR="004C5933" w:rsidRPr="00D8069A" w:rsidRDefault="004C5933" w:rsidP="00A5263B">
            <w:pPr>
              <w:pStyle w:val="Tablewriting"/>
              <w:keepNext/>
              <w:jc w:val="center"/>
              <w:rPr>
                <w:rFonts w:eastAsia="MS Mincho"/>
              </w:rPr>
            </w:pPr>
            <w:r w:rsidRPr="00D8069A">
              <w:rPr>
                <w:rFonts w:eastAsia="MS Mincho"/>
              </w:rPr>
              <w:t>(17.</w:t>
            </w:r>
            <w:r w:rsidR="00443F8F" w:rsidRPr="00D8069A">
              <w:rPr>
                <w:rFonts w:eastAsia="MS Mincho"/>
              </w:rPr>
              <w:t>9</w:t>
            </w:r>
            <w:r w:rsidRPr="00D8069A">
              <w:rPr>
                <w:rFonts w:eastAsia="MS Mincho"/>
              </w:rPr>
              <w:t>%)</w:t>
            </w:r>
          </w:p>
        </w:tc>
        <w:tc>
          <w:tcPr>
            <w:tcW w:w="851" w:type="pct"/>
            <w:shd w:val="clear" w:color="auto" w:fill="auto"/>
            <w:tcMar>
              <w:left w:w="28" w:type="dxa"/>
              <w:right w:w="28" w:type="dxa"/>
            </w:tcMar>
            <w:vAlign w:val="center"/>
          </w:tcPr>
          <w:p w14:paraId="496713AF" w14:textId="33CD7D0F" w:rsidR="00F523E8" w:rsidRDefault="00955CE1" w:rsidP="00A5263B">
            <w:pPr>
              <w:pStyle w:val="Tablewriting"/>
              <w:keepNext/>
              <w:jc w:val="center"/>
              <w:rPr>
                <w:rFonts w:eastAsia="MS Mincho"/>
              </w:rPr>
            </w:pPr>
            <w:r w:rsidRPr="5C0EBDE8">
              <w:rPr>
                <w:rFonts w:eastAsia="MS Mincho"/>
              </w:rPr>
              <w:t>0.56</w:t>
            </w:r>
          </w:p>
          <w:p w14:paraId="7FBCA47E" w14:textId="16C99A19" w:rsidR="00F523E8" w:rsidRPr="00D8069A" w:rsidRDefault="00955CE1" w:rsidP="00A5263B">
            <w:pPr>
              <w:pStyle w:val="Tablewriting"/>
              <w:keepNext/>
              <w:jc w:val="center"/>
              <w:rPr>
                <w:rFonts w:eastAsia="MS Mincho"/>
              </w:rPr>
            </w:pPr>
            <w:r w:rsidRPr="5C0EBDE8">
              <w:rPr>
                <w:rFonts w:eastAsia="MS Mincho"/>
              </w:rPr>
              <w:t>(0.23, 1.33)</w:t>
            </w:r>
          </w:p>
        </w:tc>
        <w:tc>
          <w:tcPr>
            <w:tcW w:w="811" w:type="pct"/>
            <w:shd w:val="clear" w:color="auto" w:fill="auto"/>
            <w:vAlign w:val="center"/>
          </w:tcPr>
          <w:p w14:paraId="7412A612" w14:textId="6D437C71" w:rsidR="00F523E8" w:rsidRDefault="00611DCF" w:rsidP="00A5263B">
            <w:pPr>
              <w:pStyle w:val="Tablewriting"/>
              <w:keepNext/>
              <w:jc w:val="center"/>
              <w:rPr>
                <w:rFonts w:eastAsia="MS Mincho"/>
              </w:rPr>
            </w:pPr>
            <w:r>
              <w:rPr>
                <w:rFonts w:eastAsia="MS Mincho"/>
              </w:rPr>
              <w:t>-0.08</w:t>
            </w:r>
          </w:p>
          <w:p w14:paraId="02FF73A8" w14:textId="455ED9B8" w:rsidR="00F523E8" w:rsidRPr="00D8069A" w:rsidRDefault="00611DCF" w:rsidP="00A5263B">
            <w:pPr>
              <w:pStyle w:val="Tablewriting"/>
              <w:keepNext/>
              <w:jc w:val="center"/>
              <w:rPr>
                <w:rFonts w:eastAsia="MS Mincho"/>
              </w:rPr>
            </w:pPr>
            <w:r>
              <w:rPr>
                <w:rFonts w:eastAsia="MS Mincho"/>
              </w:rPr>
              <w:t>(-0.19, 0.04)</w:t>
            </w:r>
          </w:p>
        </w:tc>
      </w:tr>
      <w:tr w:rsidR="005A674D" w:rsidRPr="00061F78" w14:paraId="44F9CE76" w14:textId="77777777" w:rsidTr="005A674D">
        <w:trPr>
          <w:cantSplit/>
          <w:trHeight w:val="99"/>
        </w:trPr>
        <w:tc>
          <w:tcPr>
            <w:tcW w:w="5000" w:type="pct"/>
            <w:gridSpan w:val="6"/>
            <w:shd w:val="clear" w:color="auto" w:fill="auto"/>
            <w:tcMar>
              <w:left w:w="28" w:type="dxa"/>
              <w:right w:w="28" w:type="dxa"/>
            </w:tcMar>
            <w:vAlign w:val="center"/>
          </w:tcPr>
          <w:p w14:paraId="3E685E63" w14:textId="49DD6245" w:rsidR="005A674D" w:rsidRPr="007231A4" w:rsidRDefault="005A674D" w:rsidP="00443F8F">
            <w:pPr>
              <w:pStyle w:val="Tablewriting"/>
              <w:keepNext/>
              <w:rPr>
                <w:rFonts w:eastAsia="MS Mincho"/>
                <w:b/>
                <w:bCs/>
              </w:rPr>
            </w:pPr>
            <w:r w:rsidRPr="007231A4">
              <w:rPr>
                <w:rFonts w:eastAsia="MS Mincho"/>
                <w:b/>
                <w:bCs/>
              </w:rPr>
              <w:t>Meta-analysis of Hartmann-Boyce (2018) and Oncken (2019)</w:t>
            </w:r>
          </w:p>
        </w:tc>
      </w:tr>
      <w:tr w:rsidR="005A674D" w:rsidRPr="00061F78" w14:paraId="0A8B0DFC" w14:textId="77777777" w:rsidTr="004E20D5">
        <w:trPr>
          <w:cantSplit/>
          <w:trHeight w:val="99"/>
        </w:trPr>
        <w:tc>
          <w:tcPr>
            <w:tcW w:w="862" w:type="pct"/>
            <w:shd w:val="clear" w:color="auto" w:fill="auto"/>
            <w:tcMar>
              <w:left w:w="28" w:type="dxa"/>
              <w:right w:w="28" w:type="dxa"/>
            </w:tcMar>
            <w:vAlign w:val="center"/>
          </w:tcPr>
          <w:p w14:paraId="5A8C1CD1" w14:textId="77777777" w:rsidR="00744B51" w:rsidRDefault="005A674D" w:rsidP="00A5263B">
            <w:pPr>
              <w:pStyle w:val="Tablewriting"/>
              <w:keepNext/>
              <w:rPr>
                <w:rFonts w:eastAsia="MS Mincho"/>
              </w:rPr>
            </w:pPr>
            <w:r>
              <w:rPr>
                <w:rFonts w:eastAsia="MS Mincho"/>
              </w:rPr>
              <w:t xml:space="preserve">Updated </w:t>
            </w:r>
          </w:p>
          <w:p w14:paraId="5513B701" w14:textId="34A93612" w:rsidR="005A674D" w:rsidRPr="00443F8F" w:rsidRDefault="005A674D" w:rsidP="00A5263B">
            <w:pPr>
              <w:pStyle w:val="Tablewriting"/>
              <w:keepNext/>
              <w:rPr>
                <w:rFonts w:eastAsia="MS Mincho"/>
                <w:vertAlign w:val="superscript"/>
              </w:rPr>
            </w:pPr>
            <w:r>
              <w:rPr>
                <w:rFonts w:eastAsia="MS Mincho"/>
              </w:rPr>
              <w:t>re-analysis</w:t>
            </w:r>
            <w:r w:rsidR="001020B5">
              <w:rPr>
                <w:rFonts w:eastAsia="MS Mincho"/>
                <w:vertAlign w:val="superscript"/>
              </w:rPr>
              <w:t>3</w:t>
            </w:r>
          </w:p>
        </w:tc>
        <w:tc>
          <w:tcPr>
            <w:tcW w:w="944" w:type="pct"/>
            <w:shd w:val="clear" w:color="auto" w:fill="auto"/>
            <w:vAlign w:val="center"/>
          </w:tcPr>
          <w:p w14:paraId="7060907B" w14:textId="4969B457" w:rsidR="005A674D" w:rsidRDefault="005A674D" w:rsidP="00A5263B">
            <w:pPr>
              <w:pStyle w:val="Tablewriting"/>
              <w:keepNext/>
              <w:jc w:val="center"/>
              <w:rPr>
                <w:rFonts w:eastAsia="MS Mincho"/>
              </w:rPr>
            </w:pPr>
            <w:r>
              <w:rPr>
                <w:rFonts w:eastAsia="MS Mincho"/>
              </w:rPr>
              <w:t>5 RCTs</w:t>
            </w:r>
          </w:p>
        </w:tc>
        <w:tc>
          <w:tcPr>
            <w:tcW w:w="707" w:type="pct"/>
            <w:shd w:val="clear" w:color="auto" w:fill="auto"/>
            <w:vAlign w:val="center"/>
          </w:tcPr>
          <w:p w14:paraId="6F7AE6C2" w14:textId="77777777" w:rsidR="005A674D" w:rsidRPr="00D8069A" w:rsidRDefault="00955CE1" w:rsidP="00A5263B">
            <w:pPr>
              <w:pStyle w:val="Tablewriting"/>
              <w:keepNext/>
              <w:jc w:val="center"/>
              <w:rPr>
                <w:rFonts w:eastAsia="MS Mincho"/>
              </w:rPr>
            </w:pPr>
            <w:r w:rsidRPr="00D8069A">
              <w:rPr>
                <w:rFonts w:eastAsia="MS Mincho"/>
              </w:rPr>
              <w:t>91/560</w:t>
            </w:r>
          </w:p>
          <w:p w14:paraId="4393A6D6" w14:textId="221FA0C1" w:rsidR="005A674D" w:rsidRPr="00D8069A" w:rsidRDefault="00955CE1" w:rsidP="00A5263B">
            <w:pPr>
              <w:pStyle w:val="Tablewriting"/>
              <w:keepNext/>
              <w:jc w:val="center"/>
              <w:rPr>
                <w:rFonts w:eastAsia="MS Mincho"/>
              </w:rPr>
            </w:pPr>
            <w:r w:rsidRPr="00D8069A">
              <w:rPr>
                <w:rFonts w:eastAsia="MS Mincho"/>
              </w:rPr>
              <w:t>(</w:t>
            </w:r>
            <w:r w:rsidR="00AC0714">
              <w:rPr>
                <w:rFonts w:eastAsia="MS Mincho"/>
              </w:rPr>
              <w:t>16.3</w:t>
            </w:r>
            <w:r w:rsidRPr="00D8069A">
              <w:rPr>
                <w:rFonts w:eastAsia="MS Mincho"/>
              </w:rPr>
              <w:t>%)</w:t>
            </w:r>
          </w:p>
        </w:tc>
        <w:tc>
          <w:tcPr>
            <w:tcW w:w="825" w:type="pct"/>
            <w:shd w:val="clear" w:color="auto" w:fill="auto"/>
            <w:vAlign w:val="center"/>
          </w:tcPr>
          <w:p w14:paraId="73578059" w14:textId="77777777" w:rsidR="005A674D" w:rsidRPr="00D8069A" w:rsidRDefault="0017580F" w:rsidP="00A5263B">
            <w:pPr>
              <w:pStyle w:val="Tablewriting"/>
              <w:keepNext/>
              <w:jc w:val="center"/>
              <w:rPr>
                <w:rFonts w:eastAsia="MS Mincho"/>
              </w:rPr>
            </w:pPr>
            <w:r w:rsidRPr="00D8069A">
              <w:rPr>
                <w:rFonts w:eastAsia="MS Mincho"/>
              </w:rPr>
              <w:t>56/553</w:t>
            </w:r>
          </w:p>
          <w:p w14:paraId="127425CE" w14:textId="0D180B41" w:rsidR="005A674D" w:rsidRPr="00D8069A" w:rsidRDefault="0017580F" w:rsidP="00A5263B">
            <w:pPr>
              <w:pStyle w:val="Tablewriting"/>
              <w:keepNext/>
              <w:jc w:val="center"/>
              <w:rPr>
                <w:rFonts w:eastAsia="MS Mincho"/>
              </w:rPr>
            </w:pPr>
            <w:r w:rsidRPr="00D8069A">
              <w:rPr>
                <w:rFonts w:eastAsia="MS Mincho"/>
              </w:rPr>
              <w:t>(</w:t>
            </w:r>
            <w:r w:rsidR="00EE2302">
              <w:rPr>
                <w:rFonts w:eastAsia="MS Mincho"/>
              </w:rPr>
              <w:t>10.1</w:t>
            </w:r>
            <w:r w:rsidRPr="00D8069A">
              <w:rPr>
                <w:rFonts w:eastAsia="MS Mincho"/>
              </w:rPr>
              <w:t>%)</w:t>
            </w:r>
          </w:p>
        </w:tc>
        <w:tc>
          <w:tcPr>
            <w:tcW w:w="851" w:type="pct"/>
            <w:shd w:val="clear" w:color="auto" w:fill="auto"/>
            <w:tcMar>
              <w:left w:w="28" w:type="dxa"/>
              <w:right w:w="28" w:type="dxa"/>
            </w:tcMar>
            <w:vAlign w:val="center"/>
          </w:tcPr>
          <w:p w14:paraId="536A8FC6" w14:textId="5966556C" w:rsidR="005A674D" w:rsidRPr="00D8069A" w:rsidRDefault="0017580F" w:rsidP="00A5263B">
            <w:pPr>
              <w:pStyle w:val="Tablewriting"/>
              <w:keepNext/>
              <w:jc w:val="center"/>
              <w:rPr>
                <w:rFonts w:eastAsia="MS Mincho"/>
              </w:rPr>
            </w:pPr>
            <w:r w:rsidRPr="00D8069A">
              <w:rPr>
                <w:rFonts w:eastAsia="MS Mincho"/>
              </w:rPr>
              <w:t>1.57</w:t>
            </w:r>
          </w:p>
          <w:p w14:paraId="0CDAFCF2" w14:textId="36693C71" w:rsidR="005A674D" w:rsidRPr="00D8069A" w:rsidRDefault="0017580F" w:rsidP="00A5263B">
            <w:pPr>
              <w:pStyle w:val="Tablewriting"/>
              <w:keepNext/>
              <w:jc w:val="center"/>
              <w:rPr>
                <w:rFonts w:eastAsia="MS Mincho"/>
              </w:rPr>
            </w:pPr>
            <w:r w:rsidRPr="00D8069A">
              <w:rPr>
                <w:rFonts w:eastAsia="MS Mincho"/>
              </w:rPr>
              <w:t>(0.97, 2.54)</w:t>
            </w:r>
          </w:p>
        </w:tc>
        <w:tc>
          <w:tcPr>
            <w:tcW w:w="811" w:type="pct"/>
            <w:shd w:val="clear" w:color="auto" w:fill="auto"/>
            <w:vAlign w:val="center"/>
          </w:tcPr>
          <w:p w14:paraId="0254B458" w14:textId="45E80379" w:rsidR="005A674D" w:rsidRDefault="00611DCF" w:rsidP="00A5263B">
            <w:pPr>
              <w:pStyle w:val="Tablewriting"/>
              <w:keepNext/>
              <w:jc w:val="center"/>
              <w:rPr>
                <w:rFonts w:eastAsia="MS Mincho"/>
              </w:rPr>
            </w:pPr>
            <w:r>
              <w:rPr>
                <w:rFonts w:eastAsia="MS Mincho"/>
              </w:rPr>
              <w:t>0.06</w:t>
            </w:r>
          </w:p>
          <w:p w14:paraId="482690BA" w14:textId="34C4A168" w:rsidR="005A674D" w:rsidRPr="00D8069A" w:rsidRDefault="00611DCF" w:rsidP="00A5263B">
            <w:pPr>
              <w:pStyle w:val="Tablewriting"/>
              <w:keepNext/>
              <w:jc w:val="center"/>
              <w:rPr>
                <w:rFonts w:eastAsia="MS Mincho"/>
              </w:rPr>
            </w:pPr>
            <w:r>
              <w:rPr>
                <w:rFonts w:eastAsia="MS Mincho"/>
              </w:rPr>
              <w:t>(0.00, 0.11)</w:t>
            </w:r>
          </w:p>
        </w:tc>
      </w:tr>
    </w:tbl>
    <w:p w14:paraId="51495694" w14:textId="304D15C0" w:rsidR="00F523E8" w:rsidRPr="00566F12" w:rsidRDefault="00F523E8" w:rsidP="005F1F94">
      <w:pPr>
        <w:pStyle w:val="TableFooter"/>
        <w:keepNext/>
        <w:jc w:val="both"/>
      </w:pPr>
      <w:r w:rsidRPr="00566F12">
        <w:t xml:space="preserve">Source: </w:t>
      </w:r>
      <w:r w:rsidRPr="00637ACA">
        <w:t xml:space="preserve">Hartmann-Boyce et al. </w:t>
      </w:r>
      <w:r w:rsidR="005A674D">
        <w:t>(</w:t>
      </w:r>
      <w:r w:rsidRPr="00637ACA">
        <w:t>2018</w:t>
      </w:r>
      <w:r w:rsidR="005A674D">
        <w:t>)</w:t>
      </w:r>
      <w:r w:rsidR="00611DCF">
        <w:t>, Oncken et al. (2019)</w:t>
      </w:r>
    </w:p>
    <w:p w14:paraId="058B4F33" w14:textId="7635EA9E" w:rsidR="00F523E8" w:rsidRPr="00566F12" w:rsidRDefault="00F523E8" w:rsidP="005F1F94">
      <w:pPr>
        <w:pStyle w:val="TableFooter"/>
        <w:keepNext/>
        <w:jc w:val="both"/>
        <w:rPr>
          <w:i/>
        </w:rPr>
      </w:pPr>
      <w:r w:rsidRPr="00566F12">
        <w:t xml:space="preserve">Abbreviations: CI = confidence interval; </w:t>
      </w:r>
      <w:r w:rsidR="001020B5">
        <w:t xml:space="preserve">NR = not reported; </w:t>
      </w:r>
      <w:r w:rsidRPr="00566F12">
        <w:t xml:space="preserve">RCT = randomised controlled trial; RD = risk difference; RR = risk ratio </w:t>
      </w:r>
    </w:p>
    <w:p w14:paraId="4C6A0C6D" w14:textId="15841CC1" w:rsidR="00F523E8" w:rsidRPr="00637ACA" w:rsidRDefault="00F523E8" w:rsidP="005F1F94">
      <w:pPr>
        <w:pStyle w:val="TableFooter"/>
        <w:jc w:val="both"/>
        <w:rPr>
          <w:highlight w:val="yellow"/>
        </w:rPr>
      </w:pPr>
      <w:r w:rsidRPr="00566F12">
        <w:t>Notes:</w:t>
      </w:r>
      <w:r>
        <w:t xml:space="preserve"> </w:t>
      </w:r>
      <w:r w:rsidRPr="00443F8F">
        <w:t>Bold</w:t>
      </w:r>
      <w:r w:rsidRPr="00FD4061">
        <w:t xml:space="preserve"> indicates statistically significant difference</w:t>
      </w:r>
      <w:r>
        <w:t xml:space="preserve">. </w:t>
      </w:r>
    </w:p>
    <w:p w14:paraId="1B6B9495" w14:textId="7CB473B3" w:rsidR="00F523E8" w:rsidRDefault="00F523E8" w:rsidP="005F1F94">
      <w:pPr>
        <w:pStyle w:val="TableFooter"/>
        <w:jc w:val="both"/>
      </w:pPr>
      <w:r w:rsidRPr="004A5F8B">
        <w:t xml:space="preserve">1 </w:t>
      </w:r>
      <w:r w:rsidR="001020B5">
        <w:t>Calculated by Cochrane Review authors using a fixed-effect model</w:t>
      </w:r>
      <w:r w:rsidR="00ED0CBA">
        <w:t>.</w:t>
      </w:r>
      <w:r w:rsidRPr="00566F12">
        <w:t xml:space="preserve"> </w:t>
      </w:r>
    </w:p>
    <w:p w14:paraId="092FC996" w14:textId="7CB80039" w:rsidR="00F523E8" w:rsidRDefault="00F523E8" w:rsidP="005F1F94">
      <w:pPr>
        <w:pStyle w:val="TableFooter"/>
        <w:jc w:val="both"/>
      </w:pPr>
      <w:r>
        <w:t>2 7-day PPA.</w:t>
      </w:r>
    </w:p>
    <w:p w14:paraId="1CABBF29" w14:textId="31C793F0" w:rsidR="001020B5" w:rsidRDefault="001020B5" w:rsidP="005F1F94">
      <w:pPr>
        <w:pStyle w:val="TableFooter"/>
        <w:spacing w:after="120"/>
        <w:contextualSpacing w:val="0"/>
        <w:jc w:val="both"/>
      </w:pPr>
      <w:r>
        <w:t>3 Calculated during the review using a random-effect model</w:t>
      </w:r>
      <w:r w:rsidR="00ED0CBA">
        <w:t>.</w:t>
      </w:r>
    </w:p>
    <w:p w14:paraId="60429100" w14:textId="3A55A16A" w:rsidR="001735FE" w:rsidRDefault="001735FE" w:rsidP="005F1F94">
      <w:pPr>
        <w:pStyle w:val="Caption"/>
        <w:keepNext/>
        <w:spacing w:before="0" w:after="120"/>
        <w:jc w:val="both"/>
      </w:pPr>
      <w:bookmarkStart w:id="186" w:name="_Ref60846748"/>
      <w:r>
        <w:t xml:space="preserve">Table </w:t>
      </w:r>
      <w:r w:rsidR="00BF3F75">
        <w:fldChar w:fldCharType="begin"/>
      </w:r>
      <w:r w:rsidR="00BF3F75">
        <w:instrText xml:space="preserve"> SEQ Table \* ARABIC </w:instrText>
      </w:r>
      <w:r w:rsidR="00BF3F75">
        <w:fldChar w:fldCharType="separate"/>
      </w:r>
      <w:r w:rsidR="00EC5CC7">
        <w:rPr>
          <w:noProof/>
        </w:rPr>
        <w:t>106</w:t>
      </w:r>
      <w:r w:rsidR="00BF3F75">
        <w:rPr>
          <w:noProof/>
        </w:rPr>
        <w:fldChar w:fldCharType="end"/>
      </w:r>
      <w:bookmarkEnd w:id="186"/>
      <w:r>
        <w:t xml:space="preserve">: </w:t>
      </w:r>
      <w:r w:rsidRPr="00B02C63">
        <w:t>Results of smoking cessation f</w:t>
      </w:r>
      <w:r w:rsidR="00BC68E9">
        <w:t>or</w:t>
      </w:r>
      <w:r w:rsidRPr="00B02C63">
        <w:t xml:space="preserve"> at least six months follow-up, inhal</w:t>
      </w:r>
      <w:r w:rsidR="005570D3">
        <w:t>ator</w:t>
      </w:r>
      <w:r w:rsidRPr="00B02C63">
        <w:t xml:space="preserve"> versus patch</w:t>
      </w:r>
    </w:p>
    <w:tbl>
      <w:tblPr>
        <w:tblStyle w:val="TableGrid"/>
        <w:tblW w:w="5000" w:type="pct"/>
        <w:tblLook w:val="04A0" w:firstRow="1" w:lastRow="0" w:firstColumn="1" w:lastColumn="0" w:noHBand="0" w:noVBand="1"/>
        <w:tblCaption w:val="Efficacy results of adalimumab trials (PASI 75 and DLQI)"/>
      </w:tblPr>
      <w:tblGrid>
        <w:gridCol w:w="1376"/>
        <w:gridCol w:w="2292"/>
        <w:gridCol w:w="1780"/>
        <w:gridCol w:w="1785"/>
        <w:gridCol w:w="1783"/>
      </w:tblGrid>
      <w:tr w:rsidR="00F523E8" w:rsidRPr="00061F78" w14:paraId="7341C640" w14:textId="77777777" w:rsidTr="00443F8F">
        <w:trPr>
          <w:cantSplit/>
          <w:trHeight w:val="299"/>
          <w:tblHeader/>
        </w:trPr>
        <w:tc>
          <w:tcPr>
            <w:tcW w:w="763" w:type="pct"/>
            <w:shd w:val="clear" w:color="auto" w:fill="BFBFBF" w:themeFill="background1" w:themeFillShade="BF"/>
            <w:tcMar>
              <w:left w:w="28" w:type="dxa"/>
              <w:right w:w="28" w:type="dxa"/>
            </w:tcMar>
          </w:tcPr>
          <w:p w14:paraId="23E4AD87" w14:textId="77777777" w:rsidR="00F523E8" w:rsidRPr="00061F78" w:rsidRDefault="00F523E8" w:rsidP="00A5263B">
            <w:pPr>
              <w:pStyle w:val="Tableheading"/>
              <w:keepNext/>
              <w:rPr>
                <w:rFonts w:eastAsia="MS Mincho"/>
              </w:rPr>
            </w:pPr>
            <w:r>
              <w:rPr>
                <w:rFonts w:eastAsia="MS Mincho"/>
              </w:rPr>
              <w:t>Study</w:t>
            </w:r>
          </w:p>
        </w:tc>
        <w:tc>
          <w:tcPr>
            <w:tcW w:w="1271" w:type="pct"/>
            <w:shd w:val="clear" w:color="auto" w:fill="BFBFBF" w:themeFill="background1" w:themeFillShade="BF"/>
            <w:vAlign w:val="center"/>
          </w:tcPr>
          <w:p w14:paraId="16E1D828" w14:textId="77777777" w:rsidR="00F523E8" w:rsidRDefault="00F523E8" w:rsidP="00A5263B">
            <w:pPr>
              <w:pStyle w:val="Tableheading"/>
              <w:keepNext/>
              <w:jc w:val="center"/>
              <w:rPr>
                <w:rFonts w:eastAsia="MS Mincho"/>
              </w:rPr>
            </w:pPr>
            <w:r>
              <w:rPr>
                <w:rFonts w:eastAsia="MS Mincho"/>
              </w:rPr>
              <w:t>Study type</w:t>
            </w:r>
          </w:p>
        </w:tc>
        <w:tc>
          <w:tcPr>
            <w:tcW w:w="987" w:type="pct"/>
            <w:shd w:val="clear" w:color="auto" w:fill="BFBFBF" w:themeFill="background1" w:themeFillShade="BF"/>
            <w:tcMar>
              <w:left w:w="28" w:type="dxa"/>
              <w:right w:w="28" w:type="dxa"/>
            </w:tcMar>
            <w:vAlign w:val="center"/>
          </w:tcPr>
          <w:p w14:paraId="712E2E46" w14:textId="09EDFB45" w:rsidR="00F523E8" w:rsidRPr="00061F78" w:rsidRDefault="00F523E8" w:rsidP="00A5263B">
            <w:pPr>
              <w:pStyle w:val="Tableheading"/>
              <w:keepNext/>
              <w:jc w:val="center"/>
              <w:rPr>
                <w:rFonts w:eastAsia="MS Mincho"/>
              </w:rPr>
            </w:pPr>
            <w:r>
              <w:rPr>
                <w:rFonts w:eastAsia="MS Mincho"/>
              </w:rPr>
              <w:t>Inhal</w:t>
            </w:r>
            <w:r w:rsidR="00A011FC">
              <w:rPr>
                <w:rFonts w:eastAsia="MS Mincho"/>
              </w:rPr>
              <w:t>ator</w:t>
            </w:r>
          </w:p>
        </w:tc>
        <w:tc>
          <w:tcPr>
            <w:tcW w:w="990" w:type="pct"/>
            <w:shd w:val="clear" w:color="auto" w:fill="BFBFBF" w:themeFill="background1" w:themeFillShade="BF"/>
            <w:tcMar>
              <w:left w:w="28" w:type="dxa"/>
              <w:right w:w="28" w:type="dxa"/>
            </w:tcMar>
            <w:vAlign w:val="center"/>
          </w:tcPr>
          <w:p w14:paraId="13B23908" w14:textId="77777777" w:rsidR="00F523E8" w:rsidRPr="00061F78" w:rsidRDefault="00F523E8" w:rsidP="00A5263B">
            <w:pPr>
              <w:pStyle w:val="Tableheading"/>
              <w:keepNext/>
              <w:jc w:val="center"/>
              <w:rPr>
                <w:rFonts w:eastAsia="MS Mincho"/>
              </w:rPr>
            </w:pPr>
            <w:r>
              <w:rPr>
                <w:rFonts w:eastAsia="MS Mincho"/>
              </w:rPr>
              <w:t>Patch</w:t>
            </w:r>
          </w:p>
        </w:tc>
        <w:tc>
          <w:tcPr>
            <w:tcW w:w="989" w:type="pct"/>
            <w:shd w:val="clear" w:color="auto" w:fill="BFBFBF" w:themeFill="background1" w:themeFillShade="BF"/>
            <w:tcMar>
              <w:left w:w="28" w:type="dxa"/>
              <w:right w:w="28" w:type="dxa"/>
            </w:tcMar>
            <w:vAlign w:val="center"/>
          </w:tcPr>
          <w:p w14:paraId="3742964A" w14:textId="30A3C382" w:rsidR="00F523E8" w:rsidRPr="002D09A1" w:rsidRDefault="00F523E8" w:rsidP="00A5263B">
            <w:pPr>
              <w:pStyle w:val="Tableheading"/>
              <w:keepNext/>
              <w:jc w:val="center"/>
              <w:rPr>
                <w:rFonts w:eastAsia="MS Mincho"/>
                <w:vertAlign w:val="superscript"/>
              </w:rPr>
            </w:pPr>
            <w:r>
              <w:rPr>
                <w:rFonts w:eastAsia="MS Mincho"/>
              </w:rPr>
              <w:t>RR (95% CI)</w:t>
            </w:r>
            <w:r w:rsidR="001020B5">
              <w:rPr>
                <w:rFonts w:eastAsia="MS Mincho"/>
                <w:vertAlign w:val="superscript"/>
              </w:rPr>
              <w:t>1</w:t>
            </w:r>
          </w:p>
        </w:tc>
      </w:tr>
      <w:tr w:rsidR="00F523E8" w:rsidRPr="00061F78" w14:paraId="7B67B2ED" w14:textId="77777777" w:rsidTr="00443F8F">
        <w:trPr>
          <w:cantSplit/>
          <w:trHeight w:val="99"/>
        </w:trPr>
        <w:tc>
          <w:tcPr>
            <w:tcW w:w="763" w:type="pct"/>
            <w:shd w:val="clear" w:color="auto" w:fill="auto"/>
            <w:tcMar>
              <w:left w:w="28" w:type="dxa"/>
              <w:right w:w="28" w:type="dxa"/>
            </w:tcMar>
            <w:vAlign w:val="center"/>
          </w:tcPr>
          <w:p w14:paraId="3FB68ADA" w14:textId="11698474" w:rsidR="001020B5" w:rsidRDefault="001020B5" w:rsidP="00A5263B">
            <w:pPr>
              <w:pStyle w:val="Tablewriting"/>
              <w:keepNext/>
              <w:rPr>
                <w:rFonts w:eastAsia="MS Mincho"/>
              </w:rPr>
            </w:pPr>
            <w:r>
              <w:rPr>
                <w:rFonts w:eastAsia="MS Mincho"/>
              </w:rPr>
              <w:t>Lindson</w:t>
            </w:r>
          </w:p>
          <w:p w14:paraId="63303BAC" w14:textId="79D4E83B" w:rsidR="00F523E8" w:rsidRPr="005D18BC" w:rsidRDefault="001020B5" w:rsidP="00A5263B">
            <w:pPr>
              <w:pStyle w:val="Tablewriting"/>
              <w:keepNext/>
              <w:rPr>
                <w:rFonts w:eastAsia="MS Mincho"/>
                <w:highlight w:val="yellow"/>
              </w:rPr>
            </w:pPr>
            <w:r w:rsidRPr="00443F8F">
              <w:rPr>
                <w:rFonts w:eastAsia="MS Mincho"/>
              </w:rPr>
              <w:t>(2019)</w:t>
            </w:r>
          </w:p>
        </w:tc>
        <w:tc>
          <w:tcPr>
            <w:tcW w:w="1271" w:type="pct"/>
            <w:shd w:val="clear" w:color="auto" w:fill="auto"/>
            <w:vAlign w:val="center"/>
          </w:tcPr>
          <w:p w14:paraId="1198E657" w14:textId="13544937" w:rsidR="001020B5" w:rsidRDefault="001020B5" w:rsidP="00A5263B">
            <w:pPr>
              <w:pStyle w:val="Tablewriting"/>
              <w:keepNext/>
              <w:jc w:val="center"/>
              <w:rPr>
                <w:rFonts w:eastAsia="MS Mincho"/>
              </w:rPr>
            </w:pPr>
            <w:r>
              <w:rPr>
                <w:rFonts w:eastAsia="MS Mincho"/>
              </w:rPr>
              <w:t>Cochrane Review</w:t>
            </w:r>
          </w:p>
          <w:p w14:paraId="4C6E22CE" w14:textId="6FD5F10A" w:rsidR="00F523E8" w:rsidRPr="00A22F63" w:rsidRDefault="001020B5" w:rsidP="00A5263B">
            <w:pPr>
              <w:pStyle w:val="Tablewriting"/>
              <w:keepNext/>
              <w:jc w:val="center"/>
              <w:rPr>
                <w:rFonts w:eastAsia="MS Mincho"/>
              </w:rPr>
            </w:pPr>
            <w:r>
              <w:rPr>
                <w:rFonts w:eastAsia="MS Mincho"/>
              </w:rPr>
              <w:t xml:space="preserve">(1 </w:t>
            </w:r>
            <w:r w:rsidR="00F523E8" w:rsidRPr="00A22F63">
              <w:rPr>
                <w:rFonts w:eastAsia="MS Mincho"/>
              </w:rPr>
              <w:t>RCT</w:t>
            </w:r>
            <w:r>
              <w:rPr>
                <w:rFonts w:eastAsia="MS Mincho"/>
              </w:rPr>
              <w:t>)</w:t>
            </w:r>
          </w:p>
        </w:tc>
        <w:tc>
          <w:tcPr>
            <w:tcW w:w="987" w:type="pct"/>
            <w:shd w:val="clear" w:color="auto" w:fill="auto"/>
            <w:tcMar>
              <w:left w:w="28" w:type="dxa"/>
              <w:right w:w="28" w:type="dxa"/>
            </w:tcMar>
            <w:vAlign w:val="center"/>
          </w:tcPr>
          <w:p w14:paraId="383A1333" w14:textId="77777777" w:rsidR="00F523E8" w:rsidRPr="004A5F8B" w:rsidRDefault="00F523E8" w:rsidP="00A5263B">
            <w:pPr>
              <w:pStyle w:val="Tablewriting"/>
              <w:keepNext/>
              <w:jc w:val="center"/>
              <w:rPr>
                <w:rFonts w:eastAsia="MS Mincho"/>
              </w:rPr>
            </w:pPr>
            <w:r w:rsidRPr="004A5F8B">
              <w:rPr>
                <w:rFonts w:eastAsia="MS Mincho"/>
              </w:rPr>
              <w:t>6/118</w:t>
            </w:r>
          </w:p>
          <w:p w14:paraId="26FF679E" w14:textId="77777777" w:rsidR="00F523E8" w:rsidRPr="004A5F8B" w:rsidRDefault="00F523E8" w:rsidP="00A5263B">
            <w:pPr>
              <w:pStyle w:val="Tablewriting"/>
              <w:keepNext/>
              <w:jc w:val="center"/>
              <w:rPr>
                <w:rFonts w:eastAsia="MS Mincho"/>
              </w:rPr>
            </w:pPr>
            <w:r w:rsidRPr="004A5F8B">
              <w:rPr>
                <w:rFonts w:eastAsia="MS Mincho"/>
              </w:rPr>
              <w:t>(5.1%)</w:t>
            </w:r>
          </w:p>
        </w:tc>
        <w:tc>
          <w:tcPr>
            <w:tcW w:w="990" w:type="pct"/>
            <w:shd w:val="clear" w:color="auto" w:fill="auto"/>
            <w:tcMar>
              <w:left w:w="28" w:type="dxa"/>
              <w:right w:w="28" w:type="dxa"/>
            </w:tcMar>
            <w:vAlign w:val="center"/>
          </w:tcPr>
          <w:p w14:paraId="2F36D4F1" w14:textId="77777777" w:rsidR="00F523E8" w:rsidRPr="004A5F8B" w:rsidRDefault="00F523E8" w:rsidP="00A5263B">
            <w:pPr>
              <w:pStyle w:val="Tablewriting"/>
              <w:keepNext/>
              <w:jc w:val="center"/>
              <w:rPr>
                <w:rFonts w:eastAsia="MS Mincho"/>
              </w:rPr>
            </w:pPr>
            <w:r w:rsidRPr="004A5F8B">
              <w:rPr>
                <w:rFonts w:eastAsia="MS Mincho"/>
              </w:rPr>
              <w:t>9/104</w:t>
            </w:r>
          </w:p>
          <w:p w14:paraId="6593F265" w14:textId="77777777" w:rsidR="00F523E8" w:rsidRPr="004A5F8B" w:rsidRDefault="00F523E8" w:rsidP="00A5263B">
            <w:pPr>
              <w:pStyle w:val="Tablewriting"/>
              <w:keepNext/>
              <w:jc w:val="center"/>
              <w:rPr>
                <w:rFonts w:eastAsia="MS Mincho"/>
              </w:rPr>
            </w:pPr>
            <w:r w:rsidRPr="004A5F8B">
              <w:rPr>
                <w:rFonts w:eastAsia="MS Mincho"/>
              </w:rPr>
              <w:t>(8.7%)</w:t>
            </w:r>
          </w:p>
        </w:tc>
        <w:tc>
          <w:tcPr>
            <w:tcW w:w="989" w:type="pct"/>
            <w:shd w:val="clear" w:color="auto" w:fill="auto"/>
            <w:tcMar>
              <w:left w:w="28" w:type="dxa"/>
              <w:right w:w="28" w:type="dxa"/>
            </w:tcMar>
            <w:vAlign w:val="center"/>
          </w:tcPr>
          <w:p w14:paraId="77C70C84" w14:textId="77777777" w:rsidR="00F523E8" w:rsidRDefault="00F523E8" w:rsidP="00A5263B">
            <w:pPr>
              <w:pStyle w:val="Tablewriting"/>
              <w:keepNext/>
              <w:jc w:val="center"/>
              <w:rPr>
                <w:rFonts w:eastAsia="MS Mincho"/>
              </w:rPr>
            </w:pPr>
            <w:r>
              <w:rPr>
                <w:rFonts w:eastAsia="MS Mincho"/>
              </w:rPr>
              <w:t>0.59</w:t>
            </w:r>
          </w:p>
          <w:p w14:paraId="2A381F83" w14:textId="77777777" w:rsidR="00F523E8" w:rsidRPr="00D86FCC" w:rsidRDefault="00F523E8" w:rsidP="00A5263B">
            <w:pPr>
              <w:pStyle w:val="Tablewriting"/>
              <w:keepNext/>
              <w:jc w:val="center"/>
              <w:rPr>
                <w:rFonts w:eastAsia="MS Mincho"/>
              </w:rPr>
            </w:pPr>
            <w:r>
              <w:rPr>
                <w:rFonts w:eastAsia="MS Mincho"/>
              </w:rPr>
              <w:t>(0.22, 1.6)</w:t>
            </w:r>
          </w:p>
        </w:tc>
      </w:tr>
    </w:tbl>
    <w:p w14:paraId="54482DB3" w14:textId="77777777" w:rsidR="00F523E8" w:rsidRPr="00566F12" w:rsidRDefault="00F523E8" w:rsidP="005F1F94">
      <w:pPr>
        <w:pStyle w:val="TableFooter"/>
        <w:keepNext/>
        <w:jc w:val="both"/>
      </w:pPr>
      <w:r w:rsidRPr="00566F12">
        <w:t>Source: Lindson et al. (2019).</w:t>
      </w:r>
    </w:p>
    <w:p w14:paraId="700E12C0" w14:textId="1EDA699C" w:rsidR="00F523E8" w:rsidRPr="00566F12" w:rsidRDefault="00F523E8" w:rsidP="005F1F94">
      <w:pPr>
        <w:pStyle w:val="TableFooter"/>
        <w:keepNext/>
        <w:jc w:val="both"/>
        <w:rPr>
          <w:i/>
        </w:rPr>
      </w:pPr>
      <w:r w:rsidRPr="00566F12">
        <w:t xml:space="preserve">Abbreviations: CI = confidence interval; RCT = randomised controlled trial; RR = risk ratio </w:t>
      </w:r>
    </w:p>
    <w:p w14:paraId="791D3385" w14:textId="5083260B" w:rsidR="00F523E8" w:rsidRDefault="00F523E8" w:rsidP="005F1F94">
      <w:pPr>
        <w:pStyle w:val="TableFooter"/>
        <w:spacing w:after="120"/>
        <w:contextualSpacing w:val="0"/>
        <w:jc w:val="both"/>
      </w:pPr>
      <w:r w:rsidRPr="00566F12">
        <w:t>Notes:</w:t>
      </w:r>
      <w:r>
        <w:t xml:space="preserve"> </w:t>
      </w:r>
      <w:r w:rsidRPr="00566F12">
        <w:br/>
      </w:r>
      <w:r>
        <w:t>1</w:t>
      </w:r>
      <w:r w:rsidRPr="00E42DF3">
        <w:t xml:space="preserve"> </w:t>
      </w:r>
      <w:r w:rsidR="001020B5">
        <w:t>Calculated by Cochrane Review authors using a fixed-effect model</w:t>
      </w:r>
      <w:r w:rsidR="00ED0CBA">
        <w:t>.</w:t>
      </w:r>
    </w:p>
    <w:p w14:paraId="704E6B8D" w14:textId="5EAF139F" w:rsidR="00F523E8" w:rsidRDefault="00F523E8" w:rsidP="005F1F94">
      <w:pPr>
        <w:spacing w:after="120"/>
        <w:jc w:val="both"/>
      </w:pPr>
      <w:r w:rsidRPr="00F136E9">
        <w:t>The results of the individual studies</w:t>
      </w:r>
      <w:r>
        <w:t xml:space="preserve"> </w:t>
      </w:r>
      <w:r w:rsidR="00255A5F">
        <w:t xml:space="preserve">included in </w:t>
      </w:r>
      <w:r w:rsidR="00D91DA4">
        <w:t xml:space="preserve">Hartmann-Boyce et al. </w:t>
      </w:r>
      <w:r w:rsidR="00255A5F">
        <w:t xml:space="preserve">(2018, based on </w:t>
      </w:r>
      <w:r w:rsidR="005F1F94">
        <w:t xml:space="preserve">an </w:t>
      </w:r>
      <w:r w:rsidR="00255A5F">
        <w:t xml:space="preserve">updated re-analysis) and Lindson et al. (2019) </w:t>
      </w:r>
      <w:r w:rsidRPr="00F136E9">
        <w:t>are presented using a forest plot in</w:t>
      </w:r>
      <w:r>
        <w:t xml:space="preserve"> </w:t>
      </w:r>
      <w:r w:rsidR="00AA1849" w:rsidRPr="001A24E5">
        <w:fldChar w:fldCharType="begin" w:fldLock="1"/>
      </w:r>
      <w:r w:rsidR="00AA1849">
        <w:instrText xml:space="preserve"> REF _Ref60909073 \h </w:instrText>
      </w:r>
      <w:r w:rsidR="001A24E5">
        <w:instrText xml:space="preserve"> \* MERGEFORMAT </w:instrText>
      </w:r>
      <w:r w:rsidR="00AA1849" w:rsidRPr="001A24E5">
        <w:fldChar w:fldCharType="separate"/>
      </w:r>
      <w:r w:rsidR="00EC5CC7">
        <w:t>Figure 35</w:t>
      </w:r>
      <w:r w:rsidR="00AA1849" w:rsidRPr="001A24E5">
        <w:fldChar w:fldCharType="end"/>
      </w:r>
      <w:r w:rsidR="00FD268C">
        <w:t xml:space="preserve"> and</w:t>
      </w:r>
      <w:r w:rsidR="001A24E5">
        <w:t xml:space="preserve"> </w:t>
      </w:r>
      <w:r w:rsidR="00AA1849" w:rsidRPr="001A24E5">
        <w:fldChar w:fldCharType="begin" w:fldLock="1"/>
      </w:r>
      <w:r w:rsidR="00AA1849" w:rsidRPr="001A24E5">
        <w:instrText xml:space="preserve"> REF _Ref60909075 \h </w:instrText>
      </w:r>
      <w:r w:rsidR="001A24E5">
        <w:instrText xml:space="preserve"> \* MERGEFORMAT </w:instrText>
      </w:r>
      <w:r w:rsidR="00AA1849" w:rsidRPr="001A24E5">
        <w:fldChar w:fldCharType="separate"/>
      </w:r>
      <w:r w:rsidR="00EC5CC7">
        <w:t>Figure 36</w:t>
      </w:r>
      <w:r w:rsidR="00AA1849" w:rsidRPr="001A24E5">
        <w:fldChar w:fldCharType="end"/>
      </w:r>
      <w:r w:rsidR="00FD268C">
        <w:t>.</w:t>
      </w:r>
      <w:r>
        <w:t xml:space="preserve"> </w:t>
      </w:r>
    </w:p>
    <w:p w14:paraId="0B80F258" w14:textId="77777777" w:rsidR="00F523E8" w:rsidRDefault="00F523E8" w:rsidP="00F523E8">
      <w:pPr>
        <w:pStyle w:val="TableFooter"/>
        <w:rPr>
          <w:sz w:val="24"/>
        </w:rPr>
      </w:pPr>
    </w:p>
    <w:p w14:paraId="6CDDBFA8" w14:textId="77777777" w:rsidR="00F523E8" w:rsidRDefault="00F523E8" w:rsidP="00F523E8">
      <w:pPr>
        <w:pStyle w:val="TableFooter"/>
      </w:pPr>
    </w:p>
    <w:p w14:paraId="120E77E3" w14:textId="43637E44" w:rsidR="00AA1849" w:rsidRDefault="00625508" w:rsidP="00AA1849">
      <w:pPr>
        <w:pStyle w:val="TableFooter"/>
        <w:keepNext/>
      </w:pPr>
      <w:r>
        <w:rPr>
          <w:noProof/>
        </w:rPr>
        <w:lastRenderedPageBreak/>
        <w:drawing>
          <wp:inline distT="0" distB="0" distL="0" distR="0" wp14:anchorId="31BB482D" wp14:editId="2A1FE949">
            <wp:extent cx="5731510" cy="1564640"/>
            <wp:effectExtent l="0" t="0" r="2540" b="0"/>
            <wp:docPr id="60" name="Picture 60" descr="P734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P7347#yIS1"/>
                    <pic:cNvPicPr/>
                  </pic:nvPicPr>
                  <pic:blipFill>
                    <a:blip r:embed="rId57">
                      <a:extLst>
                        <a:ext uri="{28A0092B-C50C-407E-A947-70E740481C1C}">
                          <a14:useLocalDpi xmlns:a14="http://schemas.microsoft.com/office/drawing/2010/main" val="0"/>
                        </a:ext>
                      </a:extLst>
                    </a:blip>
                    <a:stretch>
                      <a:fillRect/>
                    </a:stretch>
                  </pic:blipFill>
                  <pic:spPr>
                    <a:xfrm>
                      <a:off x="0" y="0"/>
                      <a:ext cx="5731510" cy="1564640"/>
                    </a:xfrm>
                    <a:prstGeom prst="rect">
                      <a:avLst/>
                    </a:prstGeom>
                  </pic:spPr>
                </pic:pic>
              </a:graphicData>
            </a:graphic>
          </wp:inline>
        </w:drawing>
      </w:r>
    </w:p>
    <w:p w14:paraId="5019E9A6" w14:textId="0B4E4C2B" w:rsidR="00F523E8" w:rsidRPr="00AA1849" w:rsidRDefault="00AA1849" w:rsidP="005F1F94">
      <w:pPr>
        <w:pStyle w:val="Caption"/>
        <w:spacing w:before="120" w:after="60"/>
        <w:jc w:val="both"/>
      </w:pPr>
      <w:bookmarkStart w:id="187" w:name="_Ref60909073"/>
      <w:r>
        <w:t xml:space="preserve">Figure </w:t>
      </w:r>
      <w:r w:rsidR="00BF3F75">
        <w:fldChar w:fldCharType="begin"/>
      </w:r>
      <w:r w:rsidR="00BF3F75">
        <w:instrText xml:space="preserve"> SEQ Figure \* ARABIC </w:instrText>
      </w:r>
      <w:r w:rsidR="00BF3F75">
        <w:fldChar w:fldCharType="separate"/>
      </w:r>
      <w:r w:rsidR="00EC5CC7">
        <w:rPr>
          <w:noProof/>
        </w:rPr>
        <w:t>35</w:t>
      </w:r>
      <w:r w:rsidR="00BF3F75">
        <w:rPr>
          <w:noProof/>
        </w:rPr>
        <w:fldChar w:fldCharType="end"/>
      </w:r>
      <w:bookmarkEnd w:id="187"/>
      <w:r>
        <w:t xml:space="preserve">: </w:t>
      </w:r>
      <w:r w:rsidRPr="00D05CAB">
        <w:t>Results of smoking cessation f</w:t>
      </w:r>
      <w:r w:rsidR="00BC68E9">
        <w:t>or</w:t>
      </w:r>
      <w:r w:rsidRPr="00D05CAB">
        <w:t xml:space="preserve"> at least six months follow-up </w:t>
      </w:r>
      <w:r w:rsidR="00625508">
        <w:t>based on updated re-analysis of</w:t>
      </w:r>
      <w:r w:rsidRPr="00D05CAB">
        <w:t xml:space="preserve"> Hartmann-Boyce et al. </w:t>
      </w:r>
      <w:r w:rsidR="00FD268C">
        <w:t>(</w:t>
      </w:r>
      <w:r w:rsidRPr="00D05CAB">
        <w:t>2018</w:t>
      </w:r>
      <w:r w:rsidR="00FD268C">
        <w:t>)</w:t>
      </w:r>
      <w:r w:rsidRPr="00D05CAB">
        <w:t>, inhalator versus placebo</w:t>
      </w:r>
    </w:p>
    <w:p w14:paraId="6938299A" w14:textId="6ACD27E0" w:rsidR="001607FC" w:rsidRPr="00543DB6" w:rsidRDefault="001607FC" w:rsidP="005F1F94">
      <w:pPr>
        <w:pStyle w:val="TableFooter"/>
        <w:keepNext/>
        <w:jc w:val="both"/>
      </w:pPr>
      <w:r w:rsidRPr="00543DB6">
        <w:t xml:space="preserve">Source: </w:t>
      </w:r>
      <w:r w:rsidRPr="001607FC">
        <w:t>Hartmann-Boyce et al. (2018</w:t>
      </w:r>
      <w:r>
        <w:t>)</w:t>
      </w:r>
    </w:p>
    <w:p w14:paraId="0B94B570" w14:textId="3B91B706" w:rsidR="001607FC" w:rsidRPr="001607FC" w:rsidRDefault="001607FC" w:rsidP="005F1F94">
      <w:pPr>
        <w:pStyle w:val="TableFooter"/>
        <w:keepNext/>
        <w:jc w:val="both"/>
      </w:pPr>
      <w:r w:rsidRPr="00543DB6">
        <w:t>Abbreviations: CI = confidence interval</w:t>
      </w:r>
    </w:p>
    <w:p w14:paraId="0D256943" w14:textId="77777777" w:rsidR="00F523E8" w:rsidRDefault="00F523E8" w:rsidP="00F523E8">
      <w:pPr>
        <w:pStyle w:val="TableFooter"/>
      </w:pPr>
    </w:p>
    <w:p w14:paraId="1C27692B" w14:textId="77777777" w:rsidR="00AA1849" w:rsidRDefault="00F523E8" w:rsidP="00AA1849">
      <w:pPr>
        <w:pStyle w:val="TableFooter"/>
        <w:keepNext/>
      </w:pPr>
      <w:r>
        <w:rPr>
          <w:noProof/>
        </w:rPr>
        <w:drawing>
          <wp:inline distT="0" distB="0" distL="0" distR="0" wp14:anchorId="4D837A0F" wp14:editId="25455210">
            <wp:extent cx="5731510" cy="2174240"/>
            <wp:effectExtent l="0" t="0" r="0" b="0"/>
            <wp:docPr id="88" name="Picture 88" descr="P73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P7352#yIS1"/>
                    <pic:cNvPicPr/>
                  </pic:nvPicPr>
                  <pic:blipFill>
                    <a:blip r:embed="rId58">
                      <a:extLst>
                        <a:ext uri="{28A0092B-C50C-407E-A947-70E740481C1C}">
                          <a14:useLocalDpi xmlns:a14="http://schemas.microsoft.com/office/drawing/2010/main" val="0"/>
                        </a:ext>
                      </a:extLst>
                    </a:blip>
                    <a:stretch>
                      <a:fillRect/>
                    </a:stretch>
                  </pic:blipFill>
                  <pic:spPr>
                    <a:xfrm>
                      <a:off x="0" y="0"/>
                      <a:ext cx="5731510" cy="2174240"/>
                    </a:xfrm>
                    <a:prstGeom prst="rect">
                      <a:avLst/>
                    </a:prstGeom>
                  </pic:spPr>
                </pic:pic>
              </a:graphicData>
            </a:graphic>
          </wp:inline>
        </w:drawing>
      </w:r>
    </w:p>
    <w:p w14:paraId="2A79E7DA" w14:textId="54B61A68" w:rsidR="00AA1849" w:rsidRPr="00AA1849" w:rsidRDefault="00AA1849" w:rsidP="005F1F94">
      <w:pPr>
        <w:pStyle w:val="Caption"/>
        <w:spacing w:before="120" w:after="60"/>
        <w:jc w:val="both"/>
      </w:pPr>
      <w:bookmarkStart w:id="188" w:name="_Ref60909075"/>
      <w:r>
        <w:t xml:space="preserve">Figure </w:t>
      </w:r>
      <w:r w:rsidR="00BF3F75">
        <w:fldChar w:fldCharType="begin"/>
      </w:r>
      <w:r w:rsidR="00BF3F75">
        <w:instrText xml:space="preserve"> SEQ Figure \* ARABIC </w:instrText>
      </w:r>
      <w:r w:rsidR="00BF3F75">
        <w:fldChar w:fldCharType="separate"/>
      </w:r>
      <w:r w:rsidR="00EC5CC7">
        <w:rPr>
          <w:noProof/>
        </w:rPr>
        <w:t>36</w:t>
      </w:r>
      <w:r w:rsidR="00BF3F75">
        <w:rPr>
          <w:noProof/>
        </w:rPr>
        <w:fldChar w:fldCharType="end"/>
      </w:r>
      <w:bookmarkEnd w:id="188"/>
      <w:r>
        <w:t xml:space="preserve">: </w:t>
      </w:r>
      <w:r w:rsidRPr="00CF75AF">
        <w:t>Results of smoking cessation f</w:t>
      </w:r>
      <w:r w:rsidR="00BC68E9">
        <w:t>or</w:t>
      </w:r>
      <w:r w:rsidRPr="00CF75AF">
        <w:t xml:space="preserve"> at least six months follow-up Lindson et al. </w:t>
      </w:r>
      <w:r w:rsidR="00FD268C">
        <w:t>(</w:t>
      </w:r>
      <w:r w:rsidRPr="00CF75AF">
        <w:t>2019</w:t>
      </w:r>
      <w:r w:rsidR="00FD268C">
        <w:t>)</w:t>
      </w:r>
      <w:r w:rsidRPr="00CF75AF">
        <w:t>, inhaler versus patch</w:t>
      </w:r>
    </w:p>
    <w:p w14:paraId="689D16CA" w14:textId="749D7812" w:rsidR="001607FC" w:rsidRPr="00543DB6" w:rsidRDefault="001607FC" w:rsidP="005F1F94">
      <w:pPr>
        <w:pStyle w:val="TableFooter"/>
        <w:keepNext/>
        <w:jc w:val="both"/>
      </w:pPr>
      <w:r w:rsidRPr="00543DB6">
        <w:t xml:space="preserve">Source: </w:t>
      </w:r>
      <w:r w:rsidRPr="001607FC">
        <w:t>Lindson et al. (2019)</w:t>
      </w:r>
    </w:p>
    <w:p w14:paraId="0B12EA13" w14:textId="03D9AB41" w:rsidR="00F10924" w:rsidRDefault="001607FC" w:rsidP="005F1F94">
      <w:pPr>
        <w:pStyle w:val="TableFooter"/>
        <w:keepNext/>
        <w:spacing w:after="120"/>
        <w:contextualSpacing w:val="0"/>
        <w:jc w:val="both"/>
      </w:pPr>
      <w:r w:rsidRPr="00543DB6">
        <w:t>Abbreviations: CI = confidence interval</w:t>
      </w:r>
    </w:p>
    <w:p w14:paraId="293EDD08" w14:textId="4CB6237B" w:rsidR="004D63D8" w:rsidRPr="004D63D8" w:rsidRDefault="004D63D8" w:rsidP="005F1F94">
      <w:pPr>
        <w:spacing w:after="120"/>
        <w:jc w:val="both"/>
        <w:rPr>
          <w:u w:val="single"/>
        </w:rPr>
      </w:pPr>
      <w:r w:rsidRPr="004D63D8">
        <w:rPr>
          <w:u w:val="single"/>
        </w:rPr>
        <w:t>Safety</w:t>
      </w:r>
    </w:p>
    <w:p w14:paraId="05AF2A30" w14:textId="230E5DC9" w:rsidR="00C41D4F" w:rsidRDefault="00C41D4F" w:rsidP="00737E4C">
      <w:pPr>
        <w:spacing w:after="120"/>
        <w:jc w:val="both"/>
      </w:pPr>
      <w:r w:rsidRPr="006F6381">
        <w:t xml:space="preserve">A summary of key adverse events in </w:t>
      </w:r>
      <w:r>
        <w:t>Oncken</w:t>
      </w:r>
      <w:r w:rsidRPr="006F6381">
        <w:t xml:space="preserve"> et al. (2019) for </w:t>
      </w:r>
      <w:r w:rsidR="00737E4C">
        <w:t xml:space="preserve">the </w:t>
      </w:r>
      <w:r w:rsidRPr="006F6381">
        <w:t>comparison of NRT inhal</w:t>
      </w:r>
      <w:r>
        <w:t>ator</w:t>
      </w:r>
      <w:r w:rsidRPr="006F6381">
        <w:t xml:space="preserve"> against </w:t>
      </w:r>
      <w:r>
        <w:t>placebo</w:t>
      </w:r>
      <w:r w:rsidRPr="006F6381">
        <w:t xml:space="preserve"> is presented in</w:t>
      </w:r>
      <w:r w:rsidR="001450A2">
        <w:t xml:space="preserve"> </w:t>
      </w:r>
      <w:r w:rsidR="001450A2">
        <w:fldChar w:fldCharType="begin" w:fldLock="1"/>
      </w:r>
      <w:r w:rsidR="001450A2">
        <w:instrText xml:space="preserve"> REF _Ref62119084 \h </w:instrText>
      </w:r>
      <w:r w:rsidR="001450A2">
        <w:fldChar w:fldCharType="separate"/>
      </w:r>
      <w:r w:rsidR="00EC5CC7">
        <w:t xml:space="preserve">Table </w:t>
      </w:r>
      <w:r w:rsidR="00EC5CC7">
        <w:rPr>
          <w:noProof/>
        </w:rPr>
        <w:t>107</w:t>
      </w:r>
      <w:r w:rsidR="001450A2">
        <w:fldChar w:fldCharType="end"/>
      </w:r>
      <w:r>
        <w:t>.</w:t>
      </w:r>
      <w:r w:rsidRPr="006F6381">
        <w:t xml:space="preserve"> </w:t>
      </w:r>
      <w:r w:rsidRPr="00137551">
        <w:t xml:space="preserve">There were no safety results reported from Hartmann-Boyce et al. (2018) for the study comparing </w:t>
      </w:r>
      <w:r w:rsidR="00737E4C">
        <w:t xml:space="preserve">NRT </w:t>
      </w:r>
      <w:r w:rsidRPr="00137551">
        <w:t>inhalator with placebo.</w:t>
      </w:r>
    </w:p>
    <w:p w14:paraId="2BF23899" w14:textId="2C25FDAC" w:rsidR="00C41D4F" w:rsidRDefault="00C41D4F" w:rsidP="00737E4C">
      <w:pPr>
        <w:spacing w:after="120"/>
        <w:jc w:val="both"/>
      </w:pPr>
      <w:r>
        <w:t>The results demonstrated no statistically significant difference in terms of adverse events between the two treatment arms (based on risk ratio), noting that the results were statistically significant based on risk difference (absolute effect). T</w:t>
      </w:r>
      <w:r w:rsidRPr="00F27675">
        <w:t>he incidence of preterm delivery was higher in the placebo than the nicotine group: 15% (10/67) v</w:t>
      </w:r>
      <w:r>
        <w:t>ersus</w:t>
      </w:r>
      <w:r w:rsidRPr="00F27675">
        <w:t xml:space="preserve"> 4% (3/67), respectively </w:t>
      </w:r>
      <w:r>
        <w:t>(</w:t>
      </w:r>
      <w:r w:rsidRPr="00F27675">
        <w:t xml:space="preserve">p=0.030). </w:t>
      </w:r>
      <w:r>
        <w:t>Similarly, t</w:t>
      </w:r>
      <w:r w:rsidRPr="00F27675">
        <w:t xml:space="preserve">he incidence of delivering a low-birth-weight infant was higher in the placebo </w:t>
      </w:r>
      <w:r w:rsidR="00737E4C">
        <w:t xml:space="preserve">group </w:t>
      </w:r>
      <w:r w:rsidRPr="00F27675">
        <w:t>than the nicotine group: 15% (10/67) v</w:t>
      </w:r>
      <w:r>
        <w:t>ersus</w:t>
      </w:r>
      <w:r w:rsidRPr="00F27675">
        <w:t xml:space="preserve"> 6% (4/67)</w:t>
      </w:r>
      <w:r w:rsidR="00737E4C">
        <w:t xml:space="preserve"> </w:t>
      </w:r>
      <w:r w:rsidRPr="00F27675">
        <w:t xml:space="preserve">respectively </w:t>
      </w:r>
      <w:r>
        <w:t>(</w:t>
      </w:r>
      <w:r w:rsidRPr="00F27675">
        <w:t>p=0.035</w:t>
      </w:r>
      <w:r>
        <w:t>)</w:t>
      </w:r>
      <w:r w:rsidRPr="00F27675">
        <w:t xml:space="preserve">, but not after adjusting for preterm delivery </w:t>
      </w:r>
      <w:r>
        <w:t>(</w:t>
      </w:r>
      <w:r w:rsidRPr="00F27675">
        <w:t>p=0.268</w:t>
      </w:r>
      <w:r>
        <w:t>)</w:t>
      </w:r>
      <w:r w:rsidRPr="00F27675">
        <w:t xml:space="preserve">. </w:t>
      </w:r>
    </w:p>
    <w:p w14:paraId="0672122A" w14:textId="257AC445" w:rsidR="00C41D4F" w:rsidRDefault="00C41D4F" w:rsidP="00737E4C">
      <w:pPr>
        <w:pStyle w:val="Caption"/>
        <w:keepNext/>
        <w:spacing w:before="0" w:after="120"/>
        <w:jc w:val="both"/>
      </w:pPr>
      <w:bookmarkStart w:id="189" w:name="_Ref62119084"/>
      <w:r>
        <w:lastRenderedPageBreak/>
        <w:t xml:space="preserve">Table </w:t>
      </w:r>
      <w:r w:rsidR="00BF3F75">
        <w:fldChar w:fldCharType="begin"/>
      </w:r>
      <w:r w:rsidR="00BF3F75">
        <w:instrText xml:space="preserve"> SEQ Table \* ARABIC </w:instrText>
      </w:r>
      <w:r w:rsidR="00BF3F75">
        <w:fldChar w:fldCharType="separate"/>
      </w:r>
      <w:r w:rsidR="00EC5CC7">
        <w:rPr>
          <w:noProof/>
        </w:rPr>
        <w:t>107</w:t>
      </w:r>
      <w:r w:rsidR="00BF3F75">
        <w:rPr>
          <w:noProof/>
        </w:rPr>
        <w:fldChar w:fldCharType="end"/>
      </w:r>
      <w:bookmarkEnd w:id="189"/>
      <w:r>
        <w:t xml:space="preserve">: </w:t>
      </w:r>
      <w:r w:rsidRPr="00782DE5">
        <w:t xml:space="preserve">Summary of key adverse events in </w:t>
      </w:r>
      <w:r>
        <w:t>Oncken</w:t>
      </w:r>
      <w:r w:rsidRPr="00782DE5">
        <w:t xml:space="preserve"> et al. (2019), NRT inhal</w:t>
      </w:r>
      <w:r w:rsidR="0094501E">
        <w:t>ator</w:t>
      </w:r>
      <w:r w:rsidRPr="00782DE5">
        <w:t xml:space="preserve"> versus p</w:t>
      </w:r>
      <w:r>
        <w:t>lacebo</w:t>
      </w:r>
    </w:p>
    <w:tbl>
      <w:tblPr>
        <w:tblStyle w:val="TableGrid"/>
        <w:tblW w:w="5000" w:type="pct"/>
        <w:tblLook w:val="04A0" w:firstRow="1" w:lastRow="0" w:firstColumn="1" w:lastColumn="0" w:noHBand="0" w:noVBand="1"/>
        <w:tblCaption w:val="Efficacy results of adalimumab trials (PASI 75 and DLQI)"/>
      </w:tblPr>
      <w:tblGrid>
        <w:gridCol w:w="1067"/>
        <w:gridCol w:w="1497"/>
        <w:gridCol w:w="1634"/>
        <w:gridCol w:w="1634"/>
        <w:gridCol w:w="1592"/>
        <w:gridCol w:w="1592"/>
      </w:tblGrid>
      <w:tr w:rsidR="00C41D4F" w:rsidRPr="00061F78" w14:paraId="387A95D2" w14:textId="77777777" w:rsidTr="00125A1C">
        <w:trPr>
          <w:cantSplit/>
          <w:trHeight w:val="299"/>
          <w:tblHeader/>
        </w:trPr>
        <w:tc>
          <w:tcPr>
            <w:tcW w:w="592" w:type="pct"/>
            <w:shd w:val="clear" w:color="auto" w:fill="BFBFBF" w:themeFill="background1" w:themeFillShade="BF"/>
            <w:tcMar>
              <w:left w:w="28" w:type="dxa"/>
              <w:right w:w="28" w:type="dxa"/>
            </w:tcMar>
            <w:vAlign w:val="center"/>
          </w:tcPr>
          <w:p w14:paraId="612F7ACC" w14:textId="77777777" w:rsidR="00C41D4F" w:rsidRDefault="00C41D4F" w:rsidP="00125A1C">
            <w:pPr>
              <w:pStyle w:val="Tableheading"/>
              <w:rPr>
                <w:rFonts w:eastAsia="MS Mincho"/>
              </w:rPr>
            </w:pPr>
            <w:r>
              <w:rPr>
                <w:rFonts w:eastAsia="MS Mincho"/>
              </w:rPr>
              <w:t>Study</w:t>
            </w:r>
          </w:p>
        </w:tc>
        <w:tc>
          <w:tcPr>
            <w:tcW w:w="830" w:type="pct"/>
            <w:shd w:val="clear" w:color="auto" w:fill="BFBFBF" w:themeFill="background1" w:themeFillShade="BF"/>
            <w:vAlign w:val="center"/>
          </w:tcPr>
          <w:p w14:paraId="7586BE05" w14:textId="77777777" w:rsidR="00C41D4F" w:rsidRDefault="00C41D4F" w:rsidP="00125A1C">
            <w:pPr>
              <w:pStyle w:val="Tableheading"/>
              <w:jc w:val="center"/>
              <w:rPr>
                <w:rFonts w:eastAsia="MS Mincho"/>
              </w:rPr>
            </w:pPr>
            <w:r>
              <w:rPr>
                <w:rFonts w:eastAsia="MS Mincho"/>
              </w:rPr>
              <w:t>Study type</w:t>
            </w:r>
          </w:p>
        </w:tc>
        <w:tc>
          <w:tcPr>
            <w:tcW w:w="906" w:type="pct"/>
            <w:shd w:val="clear" w:color="auto" w:fill="BFBFBF" w:themeFill="background1" w:themeFillShade="BF"/>
            <w:tcMar>
              <w:left w:w="28" w:type="dxa"/>
              <w:right w:w="28" w:type="dxa"/>
            </w:tcMar>
            <w:vAlign w:val="center"/>
          </w:tcPr>
          <w:p w14:paraId="4D34C4D2" w14:textId="432FCACD" w:rsidR="00C41D4F" w:rsidRPr="00061F78" w:rsidRDefault="00C41D4F" w:rsidP="00125A1C">
            <w:pPr>
              <w:pStyle w:val="Tableheading"/>
              <w:jc w:val="center"/>
              <w:rPr>
                <w:rFonts w:eastAsia="MS Mincho"/>
              </w:rPr>
            </w:pPr>
            <w:r>
              <w:rPr>
                <w:rFonts w:eastAsia="MS Mincho"/>
              </w:rPr>
              <w:t>Inhal</w:t>
            </w:r>
            <w:r w:rsidR="0094501E">
              <w:rPr>
                <w:rFonts w:eastAsia="MS Mincho"/>
              </w:rPr>
              <w:t>ator</w:t>
            </w:r>
          </w:p>
        </w:tc>
        <w:tc>
          <w:tcPr>
            <w:tcW w:w="906" w:type="pct"/>
            <w:shd w:val="clear" w:color="auto" w:fill="BFBFBF" w:themeFill="background1" w:themeFillShade="BF"/>
            <w:tcMar>
              <w:left w:w="28" w:type="dxa"/>
              <w:right w:w="28" w:type="dxa"/>
            </w:tcMar>
            <w:vAlign w:val="center"/>
          </w:tcPr>
          <w:p w14:paraId="7C6F81A1" w14:textId="66CC6BAD" w:rsidR="00C41D4F" w:rsidRPr="00061F78" w:rsidRDefault="00C41D4F" w:rsidP="00125A1C">
            <w:pPr>
              <w:pStyle w:val="Tableheading"/>
              <w:jc w:val="center"/>
              <w:rPr>
                <w:rFonts w:eastAsia="MS Mincho"/>
              </w:rPr>
            </w:pPr>
            <w:r>
              <w:rPr>
                <w:rFonts w:eastAsia="MS Mincho"/>
              </w:rPr>
              <w:t>Placebo</w:t>
            </w:r>
          </w:p>
        </w:tc>
        <w:tc>
          <w:tcPr>
            <w:tcW w:w="883" w:type="pct"/>
            <w:shd w:val="clear" w:color="auto" w:fill="BFBFBF" w:themeFill="background1" w:themeFillShade="BF"/>
            <w:tcMar>
              <w:left w:w="28" w:type="dxa"/>
              <w:right w:w="28" w:type="dxa"/>
            </w:tcMar>
            <w:vAlign w:val="center"/>
          </w:tcPr>
          <w:p w14:paraId="5CCCF96B" w14:textId="31597484" w:rsidR="00C41D4F" w:rsidRPr="00681ACA" w:rsidRDefault="00C41D4F" w:rsidP="00125A1C">
            <w:pPr>
              <w:pStyle w:val="Tableheading"/>
              <w:jc w:val="center"/>
              <w:rPr>
                <w:rFonts w:eastAsia="MS Mincho"/>
                <w:vertAlign w:val="superscript"/>
              </w:rPr>
            </w:pPr>
            <w:r>
              <w:rPr>
                <w:rFonts w:eastAsia="MS Mincho"/>
              </w:rPr>
              <w:t>RR (95% CI)</w:t>
            </w:r>
            <w:r w:rsidR="001450A2">
              <w:rPr>
                <w:rFonts w:eastAsia="MS Mincho"/>
                <w:vertAlign w:val="superscript"/>
              </w:rPr>
              <w:t>1</w:t>
            </w:r>
          </w:p>
        </w:tc>
        <w:tc>
          <w:tcPr>
            <w:tcW w:w="883" w:type="pct"/>
            <w:shd w:val="clear" w:color="auto" w:fill="BFBFBF" w:themeFill="background1" w:themeFillShade="BF"/>
          </w:tcPr>
          <w:p w14:paraId="3E89687F" w14:textId="1FA71E24" w:rsidR="00C41D4F" w:rsidRDefault="00C41D4F" w:rsidP="00125A1C">
            <w:pPr>
              <w:pStyle w:val="Tableheading"/>
              <w:jc w:val="center"/>
              <w:rPr>
                <w:rFonts w:eastAsia="MS Mincho"/>
              </w:rPr>
            </w:pPr>
            <w:r>
              <w:rPr>
                <w:rFonts w:eastAsia="MS Mincho"/>
              </w:rPr>
              <w:t>RD (95% CI)</w:t>
            </w:r>
            <w:r w:rsidR="001450A2">
              <w:rPr>
                <w:rFonts w:eastAsia="MS Mincho"/>
                <w:vertAlign w:val="superscript"/>
              </w:rPr>
              <w:t>1</w:t>
            </w:r>
          </w:p>
        </w:tc>
      </w:tr>
      <w:tr w:rsidR="00C41D4F" w:rsidRPr="00061F78" w14:paraId="112A4F94" w14:textId="77777777" w:rsidTr="00DB128B">
        <w:trPr>
          <w:cantSplit/>
          <w:trHeight w:val="99"/>
        </w:trPr>
        <w:tc>
          <w:tcPr>
            <w:tcW w:w="5000" w:type="pct"/>
            <w:gridSpan w:val="6"/>
            <w:shd w:val="clear" w:color="auto" w:fill="auto"/>
            <w:tcMar>
              <w:left w:w="28" w:type="dxa"/>
              <w:right w:w="28" w:type="dxa"/>
            </w:tcMar>
            <w:vAlign w:val="center"/>
          </w:tcPr>
          <w:p w14:paraId="51D27048" w14:textId="77777777" w:rsidR="00C41D4F" w:rsidRPr="00DB128B" w:rsidRDefault="00C41D4F" w:rsidP="00125A1C">
            <w:pPr>
              <w:pStyle w:val="Tablewriting"/>
              <w:rPr>
                <w:rFonts w:eastAsia="MS Mincho"/>
                <w:b/>
              </w:rPr>
            </w:pPr>
            <w:r w:rsidRPr="00DB128B">
              <w:rPr>
                <w:rFonts w:eastAsia="MS Mincho"/>
                <w:b/>
              </w:rPr>
              <w:t>Adverse events</w:t>
            </w:r>
          </w:p>
        </w:tc>
      </w:tr>
      <w:tr w:rsidR="00C41D4F" w:rsidRPr="00061F78" w14:paraId="1CE4EF8C" w14:textId="77777777" w:rsidTr="00125A1C">
        <w:trPr>
          <w:cantSplit/>
          <w:trHeight w:val="99"/>
        </w:trPr>
        <w:tc>
          <w:tcPr>
            <w:tcW w:w="592" w:type="pct"/>
            <w:shd w:val="clear" w:color="auto" w:fill="auto"/>
            <w:tcMar>
              <w:left w:w="28" w:type="dxa"/>
              <w:right w:w="28" w:type="dxa"/>
            </w:tcMar>
            <w:vAlign w:val="center"/>
          </w:tcPr>
          <w:p w14:paraId="1F3B96F1" w14:textId="77777777" w:rsidR="00C41D4F" w:rsidRDefault="00C41D4F" w:rsidP="00125A1C">
            <w:pPr>
              <w:pStyle w:val="Tablewriting"/>
              <w:rPr>
                <w:rFonts w:eastAsia="MS Mincho"/>
              </w:rPr>
            </w:pPr>
            <w:r>
              <w:rPr>
                <w:rFonts w:eastAsia="MS Mincho"/>
              </w:rPr>
              <w:t xml:space="preserve">Oncken </w:t>
            </w:r>
          </w:p>
          <w:p w14:paraId="4C1A5B8A" w14:textId="77777777" w:rsidR="00C41D4F" w:rsidRPr="0031400A" w:rsidRDefault="00C41D4F" w:rsidP="00125A1C">
            <w:pPr>
              <w:pStyle w:val="Tablewriting"/>
              <w:rPr>
                <w:rFonts w:eastAsia="MS Mincho"/>
                <w:highlight w:val="yellow"/>
              </w:rPr>
            </w:pPr>
            <w:r>
              <w:rPr>
                <w:rFonts w:eastAsia="MS Mincho"/>
              </w:rPr>
              <w:t>(2019)</w:t>
            </w:r>
          </w:p>
        </w:tc>
        <w:tc>
          <w:tcPr>
            <w:tcW w:w="830" w:type="pct"/>
            <w:vAlign w:val="center"/>
          </w:tcPr>
          <w:p w14:paraId="2A369B9E" w14:textId="77777777" w:rsidR="00C41D4F" w:rsidRPr="001277A6" w:rsidRDefault="00C41D4F" w:rsidP="00125A1C">
            <w:pPr>
              <w:pStyle w:val="Tablewriting"/>
              <w:jc w:val="center"/>
              <w:rPr>
                <w:rFonts w:eastAsia="MS Mincho"/>
              </w:rPr>
            </w:pPr>
            <w:r>
              <w:rPr>
                <w:rFonts w:eastAsia="MS Mincho"/>
              </w:rPr>
              <w:t xml:space="preserve"> RCT</w:t>
            </w:r>
          </w:p>
        </w:tc>
        <w:tc>
          <w:tcPr>
            <w:tcW w:w="906" w:type="pct"/>
            <w:shd w:val="clear" w:color="auto" w:fill="auto"/>
            <w:tcMar>
              <w:left w:w="28" w:type="dxa"/>
              <w:right w:w="28" w:type="dxa"/>
            </w:tcMar>
            <w:vAlign w:val="center"/>
          </w:tcPr>
          <w:p w14:paraId="0BFCD81D" w14:textId="77777777" w:rsidR="00C41D4F" w:rsidRDefault="00C41D4F" w:rsidP="00125A1C">
            <w:pPr>
              <w:pStyle w:val="Tablewriting"/>
              <w:jc w:val="center"/>
              <w:rPr>
                <w:rFonts w:eastAsia="MS Mincho"/>
              </w:rPr>
            </w:pPr>
            <w:r>
              <w:rPr>
                <w:rFonts w:eastAsia="MS Mincho"/>
              </w:rPr>
              <w:t>8/70</w:t>
            </w:r>
          </w:p>
          <w:p w14:paraId="7DFB9098" w14:textId="77777777" w:rsidR="00C41D4F" w:rsidRPr="001B08F9" w:rsidRDefault="00C41D4F" w:rsidP="00125A1C">
            <w:pPr>
              <w:pStyle w:val="Tablewriting"/>
              <w:jc w:val="center"/>
              <w:rPr>
                <w:rFonts w:eastAsia="MS Mincho"/>
              </w:rPr>
            </w:pPr>
            <w:r>
              <w:rPr>
                <w:rFonts w:eastAsia="MS Mincho"/>
              </w:rPr>
              <w:t>(11.4%)</w:t>
            </w:r>
          </w:p>
        </w:tc>
        <w:tc>
          <w:tcPr>
            <w:tcW w:w="906" w:type="pct"/>
            <w:shd w:val="clear" w:color="auto" w:fill="auto"/>
            <w:tcMar>
              <w:left w:w="28" w:type="dxa"/>
              <w:right w:w="28" w:type="dxa"/>
            </w:tcMar>
            <w:vAlign w:val="center"/>
          </w:tcPr>
          <w:p w14:paraId="36E72309" w14:textId="77777777" w:rsidR="00C41D4F" w:rsidRDefault="00C41D4F" w:rsidP="00125A1C">
            <w:pPr>
              <w:pStyle w:val="Tablewriting"/>
              <w:jc w:val="center"/>
              <w:rPr>
                <w:rFonts w:eastAsia="MS Mincho"/>
              </w:rPr>
            </w:pPr>
            <w:r>
              <w:rPr>
                <w:rFonts w:eastAsia="MS Mincho"/>
              </w:rPr>
              <w:t>0/67</w:t>
            </w:r>
          </w:p>
          <w:p w14:paraId="5C37E802" w14:textId="77777777" w:rsidR="00C41D4F" w:rsidRPr="001B08F9" w:rsidRDefault="00C41D4F" w:rsidP="00125A1C">
            <w:pPr>
              <w:pStyle w:val="Tablewriting"/>
              <w:jc w:val="center"/>
              <w:rPr>
                <w:rFonts w:eastAsia="MS Mincho"/>
              </w:rPr>
            </w:pPr>
            <w:r>
              <w:rPr>
                <w:rFonts w:eastAsia="MS Mincho"/>
              </w:rPr>
              <w:t>(0%)</w:t>
            </w:r>
          </w:p>
        </w:tc>
        <w:tc>
          <w:tcPr>
            <w:tcW w:w="883" w:type="pct"/>
            <w:shd w:val="clear" w:color="auto" w:fill="auto"/>
            <w:tcMar>
              <w:left w:w="28" w:type="dxa"/>
              <w:right w:w="28" w:type="dxa"/>
            </w:tcMar>
            <w:vAlign w:val="center"/>
          </w:tcPr>
          <w:p w14:paraId="67CC8976" w14:textId="77777777" w:rsidR="00C41D4F" w:rsidRDefault="00C41D4F" w:rsidP="00125A1C">
            <w:pPr>
              <w:pStyle w:val="Tablewriting"/>
              <w:jc w:val="center"/>
              <w:rPr>
                <w:rFonts w:eastAsia="MS Mincho"/>
                <w:bCs/>
              </w:rPr>
            </w:pPr>
            <w:r>
              <w:rPr>
                <w:rFonts w:eastAsia="MS Mincho"/>
                <w:bCs/>
              </w:rPr>
              <w:t>16.28</w:t>
            </w:r>
          </w:p>
          <w:p w14:paraId="2CC273EC" w14:textId="77777777" w:rsidR="00C41D4F" w:rsidRPr="009C6771" w:rsidRDefault="00C41D4F" w:rsidP="00125A1C">
            <w:pPr>
              <w:pStyle w:val="Tablewriting"/>
              <w:jc w:val="center"/>
              <w:rPr>
                <w:rFonts w:eastAsia="MS Mincho"/>
                <w:bCs/>
              </w:rPr>
            </w:pPr>
            <w:r>
              <w:rPr>
                <w:rFonts w:eastAsia="MS Mincho"/>
                <w:bCs/>
              </w:rPr>
              <w:t>(0.96, 276.65)</w:t>
            </w:r>
          </w:p>
        </w:tc>
        <w:tc>
          <w:tcPr>
            <w:tcW w:w="883" w:type="pct"/>
          </w:tcPr>
          <w:p w14:paraId="3AE5E878" w14:textId="77777777" w:rsidR="00C41D4F" w:rsidRPr="00137551" w:rsidRDefault="00C41D4F" w:rsidP="00125A1C">
            <w:pPr>
              <w:pStyle w:val="Tablewriting"/>
              <w:jc w:val="center"/>
              <w:rPr>
                <w:rFonts w:eastAsia="MS Mincho"/>
                <w:b/>
              </w:rPr>
            </w:pPr>
            <w:r w:rsidRPr="00137551">
              <w:rPr>
                <w:rFonts w:eastAsia="MS Mincho"/>
                <w:b/>
              </w:rPr>
              <w:t>0.11</w:t>
            </w:r>
          </w:p>
          <w:p w14:paraId="2114253A" w14:textId="77777777" w:rsidR="00C41D4F" w:rsidRDefault="00C41D4F" w:rsidP="00125A1C">
            <w:pPr>
              <w:pStyle w:val="Tablewriting"/>
              <w:jc w:val="center"/>
              <w:rPr>
                <w:rFonts w:eastAsia="MS Mincho"/>
                <w:bCs/>
              </w:rPr>
            </w:pPr>
            <w:r w:rsidRPr="00137551">
              <w:rPr>
                <w:rFonts w:eastAsia="MS Mincho"/>
                <w:b/>
              </w:rPr>
              <w:t>(0.04, 0.19)</w:t>
            </w:r>
          </w:p>
        </w:tc>
      </w:tr>
    </w:tbl>
    <w:p w14:paraId="15C6A0A8" w14:textId="77777777" w:rsidR="00C41D4F" w:rsidRDefault="00C41D4F" w:rsidP="00737E4C">
      <w:pPr>
        <w:pStyle w:val="TableFooter"/>
        <w:jc w:val="both"/>
      </w:pPr>
      <w:r>
        <w:t>Source: Oncken et al. (2019)</w:t>
      </w:r>
    </w:p>
    <w:p w14:paraId="000E1BDC" w14:textId="77777777" w:rsidR="00C41D4F" w:rsidRDefault="00C41D4F" w:rsidP="00737E4C">
      <w:pPr>
        <w:pStyle w:val="TableFooter"/>
        <w:jc w:val="both"/>
      </w:pPr>
      <w:r>
        <w:t xml:space="preserve">Abbreviations: CI = confidence interval; RCT = randomised controlled trial; RD = risk difference; RR = risk ratio </w:t>
      </w:r>
    </w:p>
    <w:p w14:paraId="384F7DB2" w14:textId="77777777" w:rsidR="00C41D4F" w:rsidRDefault="00C41D4F" w:rsidP="00737E4C">
      <w:pPr>
        <w:pStyle w:val="TableFooter"/>
        <w:jc w:val="both"/>
      </w:pPr>
      <w:r w:rsidRPr="00FD4061">
        <w:t>Note</w:t>
      </w:r>
      <w:r>
        <w:t>s</w:t>
      </w:r>
      <w:r w:rsidRPr="00FD4061">
        <w:t>:</w:t>
      </w:r>
      <w:r>
        <w:t xml:space="preserve"> Bold indicates statistically significant difference. The calculated odds ratio was 18.36 (1.04, 324.74).</w:t>
      </w:r>
    </w:p>
    <w:p w14:paraId="7DCD35C8" w14:textId="56BC9B12" w:rsidR="00C41D4F" w:rsidRPr="00DE0048" w:rsidRDefault="00C41D4F" w:rsidP="00737E4C">
      <w:pPr>
        <w:pStyle w:val="TableFooter"/>
        <w:spacing w:after="120"/>
        <w:contextualSpacing w:val="0"/>
        <w:jc w:val="both"/>
      </w:pPr>
      <w:r>
        <w:t>1</w:t>
      </w:r>
      <w:r w:rsidRPr="00432CC7">
        <w:t xml:space="preserve"> </w:t>
      </w:r>
      <w:r w:rsidRPr="00D32EBD">
        <w:t xml:space="preserve">Calculated </w:t>
      </w:r>
      <w:r>
        <w:t>during the review</w:t>
      </w:r>
      <w:r w:rsidR="00ED0CBA">
        <w:t>.</w:t>
      </w:r>
      <w:r>
        <w:t xml:space="preserve"> </w:t>
      </w:r>
    </w:p>
    <w:p w14:paraId="449540FA" w14:textId="28DD4102" w:rsidR="00C41D4F" w:rsidRDefault="00C41D4F" w:rsidP="00737E4C">
      <w:pPr>
        <w:spacing w:after="120"/>
        <w:jc w:val="both"/>
      </w:pPr>
      <w:r w:rsidRPr="00A67889">
        <w:t xml:space="preserve">A summary of key adverse events in Lindson et al. </w:t>
      </w:r>
      <w:r>
        <w:t>(</w:t>
      </w:r>
      <w:r w:rsidRPr="00A67889">
        <w:t>2019</w:t>
      </w:r>
      <w:r>
        <w:t>)</w:t>
      </w:r>
      <w:r w:rsidRPr="00A67889">
        <w:t xml:space="preserve"> for </w:t>
      </w:r>
      <w:r w:rsidR="00737E4C">
        <w:t xml:space="preserve">the </w:t>
      </w:r>
      <w:r>
        <w:t>comparison of NRT inhal</w:t>
      </w:r>
      <w:r w:rsidR="0094501E">
        <w:t>ator</w:t>
      </w:r>
      <w:r>
        <w:t xml:space="preserve"> against </w:t>
      </w:r>
      <w:r w:rsidR="00573F59">
        <w:t>patches</w:t>
      </w:r>
      <w:r>
        <w:t xml:space="preserve"> </w:t>
      </w:r>
      <w:r w:rsidRPr="00A67889">
        <w:t xml:space="preserve">is presented </w:t>
      </w:r>
      <w:r w:rsidRPr="00086367">
        <w:t>in</w:t>
      </w:r>
      <w:r w:rsidR="001450A2">
        <w:t xml:space="preserve"> </w:t>
      </w:r>
      <w:r w:rsidR="001450A2">
        <w:fldChar w:fldCharType="begin" w:fldLock="1"/>
      </w:r>
      <w:r w:rsidR="001450A2">
        <w:instrText xml:space="preserve"> REF _Ref62119099 \h </w:instrText>
      </w:r>
      <w:r w:rsidR="001450A2">
        <w:fldChar w:fldCharType="separate"/>
      </w:r>
      <w:r w:rsidR="00EC5CC7">
        <w:t xml:space="preserve">Table </w:t>
      </w:r>
      <w:r w:rsidR="00EC5CC7">
        <w:rPr>
          <w:noProof/>
        </w:rPr>
        <w:t>108</w:t>
      </w:r>
      <w:r w:rsidR="001450A2">
        <w:fldChar w:fldCharType="end"/>
      </w:r>
      <w:r w:rsidRPr="00086367">
        <w:t xml:space="preserve">. </w:t>
      </w:r>
      <w:r>
        <w:t xml:space="preserve">Based on </w:t>
      </w:r>
      <w:r w:rsidRPr="009D1B10">
        <w:t xml:space="preserve">Tønnesen </w:t>
      </w:r>
      <w:r>
        <w:t>et al. (</w:t>
      </w:r>
      <w:r w:rsidRPr="009D1B10">
        <w:t>2000</w:t>
      </w:r>
      <w:r>
        <w:t xml:space="preserve">), no serious adverse events were reported in both treatment arms. </w:t>
      </w:r>
    </w:p>
    <w:p w14:paraId="2CEA9276" w14:textId="7D3BEF1B" w:rsidR="00C41D4F" w:rsidRDefault="00C41D4F" w:rsidP="00737E4C">
      <w:pPr>
        <w:pStyle w:val="Caption"/>
        <w:keepNext/>
        <w:spacing w:before="0" w:after="120"/>
        <w:jc w:val="both"/>
      </w:pPr>
      <w:bookmarkStart w:id="190" w:name="_Ref62119099"/>
      <w:r>
        <w:t xml:space="preserve">Table </w:t>
      </w:r>
      <w:r w:rsidR="00BF3F75">
        <w:fldChar w:fldCharType="begin"/>
      </w:r>
      <w:r w:rsidR="00BF3F75">
        <w:instrText xml:space="preserve"> SEQ Table \* ARABIC </w:instrText>
      </w:r>
      <w:r w:rsidR="00BF3F75">
        <w:fldChar w:fldCharType="separate"/>
      </w:r>
      <w:r w:rsidR="00EC5CC7">
        <w:rPr>
          <w:noProof/>
        </w:rPr>
        <w:t>108</w:t>
      </w:r>
      <w:r w:rsidR="00BF3F75">
        <w:rPr>
          <w:noProof/>
        </w:rPr>
        <w:fldChar w:fldCharType="end"/>
      </w:r>
      <w:bookmarkEnd w:id="190"/>
      <w:r>
        <w:t xml:space="preserve">: </w:t>
      </w:r>
      <w:r w:rsidRPr="00692192">
        <w:t>Summary of key adverse events in Lindson et al. (2019), NRT inhal</w:t>
      </w:r>
      <w:r w:rsidR="0094501E">
        <w:t>ator</w:t>
      </w:r>
      <w:r w:rsidRPr="00692192">
        <w:t xml:space="preserve"> versus patch</w:t>
      </w:r>
    </w:p>
    <w:tbl>
      <w:tblPr>
        <w:tblStyle w:val="TableGrid"/>
        <w:tblW w:w="5000" w:type="pct"/>
        <w:tblLook w:val="04A0" w:firstRow="1" w:lastRow="0" w:firstColumn="1" w:lastColumn="0" w:noHBand="0" w:noVBand="1"/>
        <w:tblCaption w:val="Efficacy results of adalimumab trials (PASI 75 and DLQI)"/>
      </w:tblPr>
      <w:tblGrid>
        <w:gridCol w:w="1296"/>
        <w:gridCol w:w="1818"/>
        <w:gridCol w:w="1984"/>
        <w:gridCol w:w="1985"/>
        <w:gridCol w:w="1933"/>
      </w:tblGrid>
      <w:tr w:rsidR="00C41D4F" w:rsidRPr="00061F78" w14:paraId="02065C55" w14:textId="77777777" w:rsidTr="00125A1C">
        <w:trPr>
          <w:cantSplit/>
          <w:trHeight w:val="299"/>
          <w:tblHeader/>
        </w:trPr>
        <w:tc>
          <w:tcPr>
            <w:tcW w:w="719" w:type="pct"/>
            <w:shd w:val="clear" w:color="auto" w:fill="BFBFBF" w:themeFill="background1" w:themeFillShade="BF"/>
            <w:tcMar>
              <w:left w:w="28" w:type="dxa"/>
              <w:right w:w="28" w:type="dxa"/>
            </w:tcMar>
            <w:vAlign w:val="center"/>
          </w:tcPr>
          <w:p w14:paraId="3E0171F7" w14:textId="77777777" w:rsidR="00C41D4F" w:rsidRDefault="00C41D4F" w:rsidP="00125A1C">
            <w:pPr>
              <w:pStyle w:val="Tableheading"/>
              <w:rPr>
                <w:rFonts w:eastAsia="MS Mincho"/>
              </w:rPr>
            </w:pPr>
            <w:r>
              <w:rPr>
                <w:rFonts w:eastAsia="MS Mincho"/>
              </w:rPr>
              <w:t>Study</w:t>
            </w:r>
          </w:p>
        </w:tc>
        <w:tc>
          <w:tcPr>
            <w:tcW w:w="1008" w:type="pct"/>
            <w:shd w:val="clear" w:color="auto" w:fill="BFBFBF" w:themeFill="background1" w:themeFillShade="BF"/>
            <w:vAlign w:val="center"/>
          </w:tcPr>
          <w:p w14:paraId="587DD3F1" w14:textId="77777777" w:rsidR="00C41D4F" w:rsidRDefault="00C41D4F" w:rsidP="00125A1C">
            <w:pPr>
              <w:pStyle w:val="Tableheading"/>
              <w:jc w:val="center"/>
              <w:rPr>
                <w:rFonts w:eastAsia="MS Mincho"/>
              </w:rPr>
            </w:pPr>
            <w:r>
              <w:rPr>
                <w:rFonts w:eastAsia="MS Mincho"/>
              </w:rPr>
              <w:t>Study type</w:t>
            </w:r>
          </w:p>
        </w:tc>
        <w:tc>
          <w:tcPr>
            <w:tcW w:w="1100" w:type="pct"/>
            <w:shd w:val="clear" w:color="auto" w:fill="BFBFBF" w:themeFill="background1" w:themeFillShade="BF"/>
            <w:tcMar>
              <w:left w:w="28" w:type="dxa"/>
              <w:right w:w="28" w:type="dxa"/>
            </w:tcMar>
            <w:vAlign w:val="center"/>
          </w:tcPr>
          <w:p w14:paraId="6E389BC4" w14:textId="576E1055" w:rsidR="00C41D4F" w:rsidRPr="00061F78" w:rsidRDefault="00C41D4F" w:rsidP="00125A1C">
            <w:pPr>
              <w:pStyle w:val="Tableheading"/>
              <w:jc w:val="center"/>
              <w:rPr>
                <w:rFonts w:eastAsia="MS Mincho"/>
              </w:rPr>
            </w:pPr>
            <w:r>
              <w:rPr>
                <w:rFonts w:eastAsia="MS Mincho"/>
              </w:rPr>
              <w:t>Inhal</w:t>
            </w:r>
            <w:r w:rsidR="0094501E">
              <w:rPr>
                <w:rFonts w:eastAsia="MS Mincho"/>
              </w:rPr>
              <w:t>ator</w:t>
            </w:r>
          </w:p>
        </w:tc>
        <w:tc>
          <w:tcPr>
            <w:tcW w:w="1101" w:type="pct"/>
            <w:shd w:val="clear" w:color="auto" w:fill="BFBFBF" w:themeFill="background1" w:themeFillShade="BF"/>
            <w:tcMar>
              <w:left w:w="28" w:type="dxa"/>
              <w:right w:w="28" w:type="dxa"/>
            </w:tcMar>
            <w:vAlign w:val="center"/>
          </w:tcPr>
          <w:p w14:paraId="0CBC9888" w14:textId="34D881F1" w:rsidR="00C41D4F" w:rsidRPr="00061F78" w:rsidRDefault="00C41D4F" w:rsidP="00125A1C">
            <w:pPr>
              <w:pStyle w:val="Tableheading"/>
              <w:jc w:val="center"/>
              <w:rPr>
                <w:rFonts w:eastAsia="MS Mincho"/>
              </w:rPr>
            </w:pPr>
            <w:r>
              <w:rPr>
                <w:rFonts w:eastAsia="MS Mincho"/>
              </w:rPr>
              <w:t>Patch</w:t>
            </w:r>
          </w:p>
        </w:tc>
        <w:tc>
          <w:tcPr>
            <w:tcW w:w="1072" w:type="pct"/>
            <w:shd w:val="clear" w:color="auto" w:fill="BFBFBF" w:themeFill="background1" w:themeFillShade="BF"/>
            <w:tcMar>
              <w:left w:w="28" w:type="dxa"/>
              <w:right w:w="28" w:type="dxa"/>
            </w:tcMar>
            <w:vAlign w:val="center"/>
          </w:tcPr>
          <w:p w14:paraId="3A34434B" w14:textId="53F7FB71" w:rsidR="00C41D4F" w:rsidRPr="00681ACA" w:rsidRDefault="00C41D4F" w:rsidP="00125A1C">
            <w:pPr>
              <w:pStyle w:val="Tableheading"/>
              <w:jc w:val="center"/>
              <w:rPr>
                <w:rFonts w:eastAsia="MS Mincho"/>
                <w:vertAlign w:val="superscript"/>
              </w:rPr>
            </w:pPr>
            <w:r>
              <w:rPr>
                <w:rFonts w:eastAsia="MS Mincho"/>
              </w:rPr>
              <w:t>RR (95% CI)</w:t>
            </w:r>
            <w:r w:rsidR="001450A2">
              <w:rPr>
                <w:rFonts w:eastAsia="MS Mincho"/>
                <w:vertAlign w:val="superscript"/>
              </w:rPr>
              <w:t>1</w:t>
            </w:r>
          </w:p>
        </w:tc>
      </w:tr>
      <w:tr w:rsidR="00C41D4F" w:rsidRPr="00061F78" w14:paraId="25613210" w14:textId="77777777" w:rsidTr="00DB128B">
        <w:trPr>
          <w:cantSplit/>
          <w:trHeight w:val="99"/>
        </w:trPr>
        <w:tc>
          <w:tcPr>
            <w:tcW w:w="5000" w:type="pct"/>
            <w:gridSpan w:val="5"/>
            <w:shd w:val="clear" w:color="auto" w:fill="auto"/>
            <w:tcMar>
              <w:left w:w="28" w:type="dxa"/>
              <w:right w:w="28" w:type="dxa"/>
            </w:tcMar>
            <w:vAlign w:val="center"/>
          </w:tcPr>
          <w:p w14:paraId="4910D250" w14:textId="77777777" w:rsidR="00C41D4F" w:rsidRPr="00DB128B" w:rsidRDefault="00C41D4F" w:rsidP="00125A1C">
            <w:pPr>
              <w:pStyle w:val="Tablewriting"/>
              <w:rPr>
                <w:rFonts w:eastAsia="MS Mincho"/>
                <w:b/>
              </w:rPr>
            </w:pPr>
            <w:r w:rsidRPr="00DB128B">
              <w:rPr>
                <w:rFonts w:eastAsia="MS Mincho"/>
                <w:b/>
              </w:rPr>
              <w:t>Overall SAEs</w:t>
            </w:r>
          </w:p>
        </w:tc>
      </w:tr>
      <w:tr w:rsidR="00C41D4F" w:rsidRPr="00061F78" w14:paraId="1F61E2F1" w14:textId="77777777" w:rsidTr="00125A1C">
        <w:trPr>
          <w:cantSplit/>
          <w:trHeight w:val="99"/>
        </w:trPr>
        <w:tc>
          <w:tcPr>
            <w:tcW w:w="719" w:type="pct"/>
            <w:shd w:val="clear" w:color="auto" w:fill="auto"/>
            <w:tcMar>
              <w:left w:w="28" w:type="dxa"/>
              <w:right w:w="28" w:type="dxa"/>
            </w:tcMar>
            <w:vAlign w:val="center"/>
          </w:tcPr>
          <w:p w14:paraId="1CCA68FB" w14:textId="77777777" w:rsidR="00C41D4F" w:rsidRDefault="00C41D4F" w:rsidP="00125A1C">
            <w:pPr>
              <w:pStyle w:val="Tablewriting"/>
              <w:rPr>
                <w:rFonts w:eastAsia="MS Mincho"/>
              </w:rPr>
            </w:pPr>
            <w:r>
              <w:rPr>
                <w:rFonts w:eastAsia="MS Mincho"/>
              </w:rPr>
              <w:t xml:space="preserve">Lindson </w:t>
            </w:r>
          </w:p>
          <w:p w14:paraId="1C2A1E82" w14:textId="77777777" w:rsidR="00C41D4F" w:rsidRPr="0031400A" w:rsidRDefault="00C41D4F" w:rsidP="00125A1C">
            <w:pPr>
              <w:pStyle w:val="Tablewriting"/>
              <w:rPr>
                <w:rFonts w:eastAsia="MS Mincho"/>
                <w:highlight w:val="yellow"/>
              </w:rPr>
            </w:pPr>
            <w:r>
              <w:rPr>
                <w:rFonts w:eastAsia="MS Mincho"/>
              </w:rPr>
              <w:t>(2019)</w:t>
            </w:r>
          </w:p>
        </w:tc>
        <w:tc>
          <w:tcPr>
            <w:tcW w:w="1008" w:type="pct"/>
            <w:vAlign w:val="center"/>
          </w:tcPr>
          <w:p w14:paraId="16E112FB" w14:textId="77777777" w:rsidR="00C41D4F" w:rsidRDefault="00C41D4F" w:rsidP="00125A1C">
            <w:pPr>
              <w:pStyle w:val="Tablewriting"/>
              <w:jc w:val="center"/>
              <w:rPr>
                <w:rFonts w:eastAsia="MS Mincho"/>
              </w:rPr>
            </w:pPr>
            <w:r>
              <w:rPr>
                <w:rFonts w:eastAsia="MS Mincho"/>
              </w:rPr>
              <w:t xml:space="preserve"> Cochrane Review</w:t>
            </w:r>
          </w:p>
          <w:p w14:paraId="53A1F209" w14:textId="77777777" w:rsidR="00C41D4F" w:rsidRPr="001277A6" w:rsidRDefault="00C41D4F" w:rsidP="00125A1C">
            <w:pPr>
              <w:pStyle w:val="Tablewriting"/>
              <w:jc w:val="center"/>
              <w:rPr>
                <w:rFonts w:eastAsia="MS Mincho"/>
              </w:rPr>
            </w:pPr>
            <w:r>
              <w:rPr>
                <w:rFonts w:eastAsia="MS Mincho"/>
              </w:rPr>
              <w:t>(1 RCT)</w:t>
            </w:r>
          </w:p>
        </w:tc>
        <w:tc>
          <w:tcPr>
            <w:tcW w:w="1100" w:type="pct"/>
            <w:shd w:val="clear" w:color="auto" w:fill="auto"/>
            <w:tcMar>
              <w:left w:w="28" w:type="dxa"/>
              <w:right w:w="28" w:type="dxa"/>
            </w:tcMar>
            <w:vAlign w:val="center"/>
          </w:tcPr>
          <w:p w14:paraId="06CF2EB8" w14:textId="77777777" w:rsidR="00C41D4F" w:rsidRDefault="00C41D4F" w:rsidP="00125A1C">
            <w:pPr>
              <w:pStyle w:val="Tablewriting"/>
              <w:jc w:val="center"/>
              <w:rPr>
                <w:rFonts w:eastAsia="MS Mincho"/>
              </w:rPr>
            </w:pPr>
            <w:r>
              <w:rPr>
                <w:rFonts w:eastAsia="MS Mincho"/>
              </w:rPr>
              <w:t>0/118</w:t>
            </w:r>
          </w:p>
          <w:p w14:paraId="55400E73" w14:textId="77777777" w:rsidR="00C41D4F" w:rsidRPr="001B08F9" w:rsidRDefault="00C41D4F" w:rsidP="00125A1C">
            <w:pPr>
              <w:pStyle w:val="Tablewriting"/>
              <w:jc w:val="center"/>
              <w:rPr>
                <w:rFonts w:eastAsia="MS Mincho"/>
              </w:rPr>
            </w:pPr>
            <w:r>
              <w:rPr>
                <w:rFonts w:eastAsia="MS Mincho"/>
              </w:rPr>
              <w:t>(0%)</w:t>
            </w:r>
          </w:p>
        </w:tc>
        <w:tc>
          <w:tcPr>
            <w:tcW w:w="1101" w:type="pct"/>
            <w:shd w:val="clear" w:color="auto" w:fill="auto"/>
            <w:tcMar>
              <w:left w:w="28" w:type="dxa"/>
              <w:right w:w="28" w:type="dxa"/>
            </w:tcMar>
            <w:vAlign w:val="center"/>
          </w:tcPr>
          <w:p w14:paraId="1577482B" w14:textId="77777777" w:rsidR="00C41D4F" w:rsidRDefault="00C41D4F" w:rsidP="00125A1C">
            <w:pPr>
              <w:pStyle w:val="Tablewriting"/>
              <w:jc w:val="center"/>
              <w:rPr>
                <w:rFonts w:eastAsia="MS Mincho"/>
              </w:rPr>
            </w:pPr>
            <w:r>
              <w:rPr>
                <w:rFonts w:eastAsia="MS Mincho"/>
              </w:rPr>
              <w:t>0/104</w:t>
            </w:r>
          </w:p>
          <w:p w14:paraId="1C184CCD" w14:textId="77777777" w:rsidR="00C41D4F" w:rsidRPr="001B08F9" w:rsidRDefault="00C41D4F" w:rsidP="00125A1C">
            <w:pPr>
              <w:pStyle w:val="Tablewriting"/>
              <w:jc w:val="center"/>
              <w:rPr>
                <w:rFonts w:eastAsia="MS Mincho"/>
              </w:rPr>
            </w:pPr>
            <w:r>
              <w:rPr>
                <w:rFonts w:eastAsia="MS Mincho"/>
              </w:rPr>
              <w:t>(0%)</w:t>
            </w:r>
          </w:p>
        </w:tc>
        <w:tc>
          <w:tcPr>
            <w:tcW w:w="1072" w:type="pct"/>
            <w:shd w:val="clear" w:color="auto" w:fill="auto"/>
            <w:tcMar>
              <w:left w:w="28" w:type="dxa"/>
              <w:right w:w="28" w:type="dxa"/>
            </w:tcMar>
            <w:vAlign w:val="center"/>
          </w:tcPr>
          <w:p w14:paraId="6B470A45" w14:textId="77777777" w:rsidR="00C41D4F" w:rsidRPr="009C6771" w:rsidRDefault="00C41D4F" w:rsidP="00125A1C">
            <w:pPr>
              <w:pStyle w:val="Tablewriting"/>
              <w:jc w:val="center"/>
              <w:rPr>
                <w:rFonts w:eastAsia="MS Mincho"/>
                <w:bCs/>
              </w:rPr>
            </w:pPr>
            <w:r w:rsidRPr="009C6771">
              <w:rPr>
                <w:rFonts w:eastAsia="MS Mincho"/>
                <w:bCs/>
              </w:rPr>
              <w:t>NE</w:t>
            </w:r>
          </w:p>
        </w:tc>
      </w:tr>
    </w:tbl>
    <w:p w14:paraId="094C045B" w14:textId="77777777" w:rsidR="00C41D4F" w:rsidRDefault="00C41D4F" w:rsidP="00737E4C">
      <w:pPr>
        <w:pStyle w:val="TableFooter"/>
        <w:jc w:val="both"/>
      </w:pPr>
      <w:r>
        <w:t>Source: Lindson et al. (2019)</w:t>
      </w:r>
    </w:p>
    <w:p w14:paraId="444FD181" w14:textId="77777777" w:rsidR="00C41D4F" w:rsidRDefault="00C41D4F" w:rsidP="00737E4C">
      <w:pPr>
        <w:pStyle w:val="TableFooter"/>
        <w:jc w:val="both"/>
      </w:pPr>
      <w:r>
        <w:t xml:space="preserve">Abbreviations: CI = confidence interval; NE = not estimable; RCT = randomised controlled trial; RR = risk ratio; SAE = serious adverse event. </w:t>
      </w:r>
    </w:p>
    <w:p w14:paraId="45250F6A" w14:textId="5FC4068B" w:rsidR="00C41D4F" w:rsidRDefault="00C41D4F" w:rsidP="00737E4C">
      <w:pPr>
        <w:pStyle w:val="TableFooter"/>
        <w:jc w:val="both"/>
      </w:pPr>
      <w:r w:rsidRPr="00FD4061">
        <w:t>Note</w:t>
      </w:r>
      <w:r>
        <w:t>s</w:t>
      </w:r>
      <w:r w:rsidRPr="00FD4061">
        <w:t>:</w:t>
      </w:r>
      <w:r>
        <w:t xml:space="preserve"> </w:t>
      </w:r>
      <w:r w:rsidRPr="00B032C3">
        <w:t xml:space="preserve">See </w:t>
      </w:r>
      <w:r w:rsidRPr="00D71B48">
        <w:t xml:space="preserve">Appendix </w:t>
      </w:r>
      <w:r w:rsidR="00D71B48">
        <w:fldChar w:fldCharType="begin" w:fldLock="1"/>
      </w:r>
      <w:r w:rsidR="00D71B48">
        <w:instrText xml:space="preserve"> REF _Ref62130013 \h </w:instrText>
      </w:r>
      <w:r w:rsidR="00737E4C">
        <w:instrText xml:space="preserve"> \* MERGEFORMAT </w:instrText>
      </w:r>
      <w:r w:rsidR="00D71B48">
        <w:fldChar w:fldCharType="separate"/>
      </w:r>
      <w:r w:rsidR="00EC5CC7">
        <w:t xml:space="preserve">Figure </w:t>
      </w:r>
      <w:r w:rsidR="00EC5CC7">
        <w:rPr>
          <w:noProof/>
        </w:rPr>
        <w:t>107</w:t>
      </w:r>
      <w:r w:rsidR="00D71B48">
        <w:fldChar w:fldCharType="end"/>
      </w:r>
      <w:r>
        <w:t xml:space="preserve"> </w:t>
      </w:r>
      <w:r w:rsidRPr="00B032C3">
        <w:t>for forest plots of the respective outcomes which included the results of individual studies.</w:t>
      </w:r>
    </w:p>
    <w:p w14:paraId="35908E48" w14:textId="7967D0E7" w:rsidR="00C41D4F" w:rsidRPr="00C41D4F" w:rsidRDefault="00C41D4F" w:rsidP="00737E4C">
      <w:pPr>
        <w:pStyle w:val="TableFooter"/>
        <w:spacing w:after="120"/>
        <w:contextualSpacing w:val="0"/>
        <w:jc w:val="both"/>
      </w:pPr>
      <w:r>
        <w:t>1</w:t>
      </w:r>
      <w:r w:rsidRPr="00432CC7">
        <w:t xml:space="preserve"> </w:t>
      </w:r>
      <w:r w:rsidRPr="00D32EBD">
        <w:t xml:space="preserve">Calculated </w:t>
      </w:r>
      <w:r>
        <w:t>by Cochrane Review authors</w:t>
      </w:r>
      <w:r w:rsidRPr="00D32EBD">
        <w:t xml:space="preserve"> using a fixed-effect model.</w:t>
      </w:r>
      <w:r>
        <w:t xml:space="preserve"> </w:t>
      </w:r>
    </w:p>
    <w:p w14:paraId="38E77EA1" w14:textId="3792855C" w:rsidR="00F523E8" w:rsidRDefault="00F523E8" w:rsidP="00737E4C">
      <w:pPr>
        <w:pStyle w:val="Heading5"/>
        <w:numPr>
          <w:ilvl w:val="0"/>
          <w:numId w:val="0"/>
        </w:numPr>
        <w:spacing w:after="120"/>
        <w:jc w:val="both"/>
        <w:rPr>
          <w:i w:val="0"/>
        </w:rPr>
      </w:pPr>
      <w:r w:rsidRPr="008657EE">
        <w:t>Nasal/intranasal spray</w:t>
      </w:r>
    </w:p>
    <w:p w14:paraId="32ED3B85" w14:textId="031797E1" w:rsidR="00C01C17" w:rsidRPr="00C01C17" w:rsidRDefault="00C01C17" w:rsidP="00737E4C">
      <w:pPr>
        <w:spacing w:after="120"/>
        <w:jc w:val="both"/>
        <w:rPr>
          <w:u w:val="single"/>
        </w:rPr>
      </w:pPr>
      <w:r w:rsidRPr="00C01C17">
        <w:rPr>
          <w:u w:val="single"/>
        </w:rPr>
        <w:t>Efficacy</w:t>
      </w:r>
    </w:p>
    <w:p w14:paraId="7D59095C" w14:textId="597D485F" w:rsidR="00903E5A" w:rsidRDefault="00F523E8" w:rsidP="00BF17FF">
      <w:pPr>
        <w:spacing w:after="120"/>
        <w:jc w:val="both"/>
      </w:pPr>
      <w:r w:rsidRPr="00F136E9">
        <w:t>A summary of smoking cessation rates</w:t>
      </w:r>
      <w:r>
        <w:t xml:space="preserve"> </w:t>
      </w:r>
      <w:r w:rsidRPr="00F136E9">
        <w:t>f</w:t>
      </w:r>
      <w:r w:rsidR="00E83076">
        <w:t>or</w:t>
      </w:r>
      <w:r w:rsidRPr="00F136E9">
        <w:t xml:space="preserve"> at least six months follow-up</w:t>
      </w:r>
      <w:r>
        <w:t xml:space="preserve"> for the comparison of NRT nasal spray versus placebo </w:t>
      </w:r>
      <w:r w:rsidRPr="00F136E9">
        <w:t xml:space="preserve">is presented </w:t>
      </w:r>
      <w:r w:rsidRPr="00657867">
        <w:t>in</w:t>
      </w:r>
      <w:r w:rsidR="00FF05E0">
        <w:t xml:space="preserve"> </w:t>
      </w:r>
      <w:r w:rsidR="00FF05E0">
        <w:fldChar w:fldCharType="begin" w:fldLock="1"/>
      </w:r>
      <w:r w:rsidR="00FF05E0">
        <w:instrText xml:space="preserve"> REF _Ref60846914 \h </w:instrText>
      </w:r>
      <w:r w:rsidR="00FF05E0">
        <w:fldChar w:fldCharType="separate"/>
      </w:r>
      <w:r w:rsidR="00EC5CC7">
        <w:t xml:space="preserve">Table </w:t>
      </w:r>
      <w:r w:rsidR="00EC5CC7">
        <w:rPr>
          <w:noProof/>
        </w:rPr>
        <w:t>109</w:t>
      </w:r>
      <w:r w:rsidR="00FF05E0">
        <w:fldChar w:fldCharType="end"/>
      </w:r>
      <w:r w:rsidR="00FF05E0">
        <w:t xml:space="preserve"> and </w:t>
      </w:r>
      <w:r w:rsidR="00FF05E0">
        <w:fldChar w:fldCharType="begin" w:fldLock="1"/>
      </w:r>
      <w:r w:rsidR="00FF05E0">
        <w:instrText xml:space="preserve"> REF _Ref60846916 \h </w:instrText>
      </w:r>
      <w:r w:rsidR="00FF05E0">
        <w:fldChar w:fldCharType="separate"/>
      </w:r>
      <w:r w:rsidR="00EC5CC7">
        <w:t xml:space="preserve">Table </w:t>
      </w:r>
      <w:r w:rsidR="00EC5CC7">
        <w:rPr>
          <w:noProof/>
        </w:rPr>
        <w:t>110</w:t>
      </w:r>
      <w:r w:rsidR="00FF05E0">
        <w:fldChar w:fldCharType="end"/>
      </w:r>
      <w:r w:rsidRPr="00657867">
        <w:t xml:space="preserve">. </w:t>
      </w:r>
      <w:r w:rsidR="00F962F6">
        <w:t>Based on t</w:t>
      </w:r>
      <w:r w:rsidRPr="00657867">
        <w:t xml:space="preserve">he </w:t>
      </w:r>
      <w:r w:rsidR="00F962F6">
        <w:t>Cochrane Review</w:t>
      </w:r>
      <w:r>
        <w:t xml:space="preserve"> by </w:t>
      </w:r>
      <w:r w:rsidRPr="00933815">
        <w:t xml:space="preserve">Hartmann-Boyce et al. </w:t>
      </w:r>
      <w:r w:rsidR="00F962F6">
        <w:t>(</w:t>
      </w:r>
      <w:r w:rsidRPr="00933815">
        <w:t>2018</w:t>
      </w:r>
      <w:r w:rsidR="00F962F6">
        <w:t>), the results of the meta-analysis comprising four RCTs demonstrated</w:t>
      </w:r>
      <w:r w:rsidDel="00F962F6">
        <w:t xml:space="preserve"> </w:t>
      </w:r>
      <w:r w:rsidR="00F962F6">
        <w:t>a</w:t>
      </w:r>
      <w:r w:rsidRPr="00657867">
        <w:t xml:space="preserve"> </w:t>
      </w:r>
      <w:r w:rsidRPr="006138C2">
        <w:t>statistically significant di</w:t>
      </w:r>
      <w:r>
        <w:t>ff</w:t>
      </w:r>
      <w:r w:rsidRPr="006138C2">
        <w:t xml:space="preserve">erence </w:t>
      </w:r>
      <w:r>
        <w:t xml:space="preserve">in </w:t>
      </w:r>
      <w:r w:rsidR="00F962F6">
        <w:t xml:space="preserve">smoking cessation rates between the two treatment arms, </w:t>
      </w:r>
      <w:r>
        <w:t xml:space="preserve">in favour of nasal spray. </w:t>
      </w:r>
    </w:p>
    <w:p w14:paraId="23F1B7B6" w14:textId="786397B6" w:rsidR="00F523E8" w:rsidRDefault="00F523E8" w:rsidP="00BF17FF">
      <w:pPr>
        <w:spacing w:after="120"/>
        <w:jc w:val="both"/>
        <w:rPr>
          <w:i/>
          <w:iCs/>
        </w:rPr>
      </w:pPr>
      <w:r>
        <w:t xml:space="preserve">In contrast, the </w:t>
      </w:r>
      <w:r w:rsidR="00903E5A">
        <w:t>results of the meta-analysis comprising two RCTs conducted by</w:t>
      </w:r>
      <w:r>
        <w:t xml:space="preserve"> Lindson et al. </w:t>
      </w:r>
      <w:r w:rsidR="00903E5A">
        <w:t>(</w:t>
      </w:r>
      <w:r>
        <w:t>2019</w:t>
      </w:r>
      <w:r w:rsidR="00903E5A">
        <w:t>)</w:t>
      </w:r>
      <w:r>
        <w:t xml:space="preserve"> demonstrated no statistically significant difference </w:t>
      </w:r>
      <w:r w:rsidR="00903E5A">
        <w:t>in smoking cessation rates between</w:t>
      </w:r>
      <w:r>
        <w:t xml:space="preserve"> </w:t>
      </w:r>
      <w:r w:rsidR="00903E5A">
        <w:t>NRT</w:t>
      </w:r>
      <w:r>
        <w:t xml:space="preserve"> nasal spray </w:t>
      </w:r>
      <w:r w:rsidR="00903E5A">
        <w:t>and</w:t>
      </w:r>
      <w:r>
        <w:t xml:space="preserve"> </w:t>
      </w:r>
      <w:r w:rsidR="00573F59">
        <w:t>patches</w:t>
      </w:r>
      <w:r>
        <w:t xml:space="preserve"> (RR 0.9, 95% CI 0.64, 1.27).</w:t>
      </w:r>
    </w:p>
    <w:p w14:paraId="5E177EBF" w14:textId="26DBC6E3" w:rsidR="00C47A6B" w:rsidRDefault="00C47A6B" w:rsidP="00BF17FF">
      <w:pPr>
        <w:pStyle w:val="Caption"/>
        <w:keepNext/>
        <w:spacing w:before="0" w:after="120"/>
        <w:jc w:val="both"/>
      </w:pPr>
      <w:bookmarkStart w:id="191" w:name="_Ref60846914"/>
      <w:r>
        <w:t xml:space="preserve">Table </w:t>
      </w:r>
      <w:r w:rsidR="00BF3F75">
        <w:fldChar w:fldCharType="begin"/>
      </w:r>
      <w:r w:rsidR="00BF3F75">
        <w:instrText xml:space="preserve"> SEQ Table \* ARABIC </w:instrText>
      </w:r>
      <w:r w:rsidR="00BF3F75">
        <w:fldChar w:fldCharType="separate"/>
      </w:r>
      <w:r w:rsidR="00EC5CC7">
        <w:rPr>
          <w:noProof/>
        </w:rPr>
        <w:t>109</w:t>
      </w:r>
      <w:r w:rsidR="00BF3F75">
        <w:rPr>
          <w:noProof/>
        </w:rPr>
        <w:fldChar w:fldCharType="end"/>
      </w:r>
      <w:bookmarkEnd w:id="191"/>
      <w:r>
        <w:t xml:space="preserve">: </w:t>
      </w:r>
      <w:r w:rsidRPr="00FE16AB">
        <w:t>Results of smoking cessation f</w:t>
      </w:r>
      <w:r w:rsidR="00E83076">
        <w:t>or</w:t>
      </w:r>
      <w:r w:rsidRPr="00FE16AB">
        <w:t xml:space="preserve"> at least six months follow-up, nasal spray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969"/>
        <w:gridCol w:w="1830"/>
        <w:gridCol w:w="1834"/>
        <w:gridCol w:w="1828"/>
      </w:tblGrid>
      <w:tr w:rsidR="00F523E8" w:rsidRPr="00061F78" w14:paraId="1AD45E81" w14:textId="77777777" w:rsidTr="00F977D9">
        <w:trPr>
          <w:cantSplit/>
          <w:trHeight w:val="299"/>
          <w:tblHeader/>
        </w:trPr>
        <w:tc>
          <w:tcPr>
            <w:tcW w:w="862" w:type="pct"/>
            <w:shd w:val="clear" w:color="auto" w:fill="BFBFBF" w:themeFill="background1" w:themeFillShade="BF"/>
            <w:tcMar>
              <w:left w:w="28" w:type="dxa"/>
              <w:right w:w="28" w:type="dxa"/>
            </w:tcMar>
          </w:tcPr>
          <w:p w14:paraId="22AD0167" w14:textId="77777777" w:rsidR="00F523E8" w:rsidRPr="00061F78" w:rsidRDefault="00F523E8" w:rsidP="00C01C17">
            <w:pPr>
              <w:pStyle w:val="Tableheading"/>
              <w:rPr>
                <w:rFonts w:eastAsia="MS Mincho"/>
              </w:rPr>
            </w:pPr>
            <w:r>
              <w:rPr>
                <w:rFonts w:eastAsia="MS Mincho"/>
              </w:rPr>
              <w:t>Study</w:t>
            </w:r>
          </w:p>
        </w:tc>
        <w:tc>
          <w:tcPr>
            <w:tcW w:w="1092" w:type="pct"/>
            <w:shd w:val="clear" w:color="auto" w:fill="BFBFBF" w:themeFill="background1" w:themeFillShade="BF"/>
            <w:vAlign w:val="center"/>
          </w:tcPr>
          <w:p w14:paraId="621B95EC" w14:textId="77777777" w:rsidR="00F523E8" w:rsidRDefault="00F523E8" w:rsidP="00C01C17">
            <w:pPr>
              <w:pStyle w:val="Tableheading"/>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14:paraId="57535FD7" w14:textId="42E7BBB5" w:rsidR="00F523E8" w:rsidRPr="00061F78" w:rsidRDefault="00E83076" w:rsidP="00C01C17">
            <w:pPr>
              <w:pStyle w:val="Tableheading"/>
              <w:jc w:val="center"/>
              <w:rPr>
                <w:rFonts w:eastAsia="MS Mincho"/>
              </w:rPr>
            </w:pPr>
            <w:r>
              <w:rPr>
                <w:rFonts w:eastAsia="MS Mincho"/>
              </w:rPr>
              <w:t>N</w:t>
            </w:r>
            <w:r w:rsidR="00F523E8">
              <w:rPr>
                <w:rFonts w:eastAsia="MS Mincho"/>
              </w:rPr>
              <w:t>asal spray</w:t>
            </w:r>
          </w:p>
        </w:tc>
        <w:tc>
          <w:tcPr>
            <w:tcW w:w="1017" w:type="pct"/>
            <w:shd w:val="clear" w:color="auto" w:fill="BFBFBF" w:themeFill="background1" w:themeFillShade="BF"/>
            <w:tcMar>
              <w:left w:w="28" w:type="dxa"/>
              <w:right w:w="28" w:type="dxa"/>
            </w:tcMar>
            <w:vAlign w:val="center"/>
          </w:tcPr>
          <w:p w14:paraId="3490A488" w14:textId="77777777" w:rsidR="00F523E8" w:rsidRPr="00061F78" w:rsidRDefault="00F523E8" w:rsidP="00C01C17">
            <w:pPr>
              <w:pStyle w:val="Tableheading"/>
              <w:jc w:val="center"/>
              <w:rPr>
                <w:rFonts w:eastAsia="MS Mincho"/>
              </w:rPr>
            </w:pPr>
            <w:r>
              <w:rPr>
                <w:rFonts w:eastAsia="MS Mincho"/>
              </w:rPr>
              <w:t>Placebo</w:t>
            </w:r>
          </w:p>
        </w:tc>
        <w:tc>
          <w:tcPr>
            <w:tcW w:w="1014" w:type="pct"/>
            <w:shd w:val="clear" w:color="auto" w:fill="BFBFBF" w:themeFill="background1" w:themeFillShade="BF"/>
            <w:tcMar>
              <w:left w:w="28" w:type="dxa"/>
              <w:right w:w="28" w:type="dxa"/>
            </w:tcMar>
            <w:vAlign w:val="center"/>
          </w:tcPr>
          <w:p w14:paraId="2C04BEB0" w14:textId="14376E18" w:rsidR="00F523E8" w:rsidRPr="002D09A1" w:rsidRDefault="00F523E8" w:rsidP="00C01C17">
            <w:pPr>
              <w:pStyle w:val="Tableheading"/>
              <w:jc w:val="center"/>
              <w:rPr>
                <w:rFonts w:eastAsia="MS Mincho"/>
                <w:vertAlign w:val="superscript"/>
              </w:rPr>
            </w:pPr>
            <w:r>
              <w:rPr>
                <w:rFonts w:eastAsia="MS Mincho"/>
              </w:rPr>
              <w:t>RR (95% CI)</w:t>
            </w:r>
            <w:r w:rsidR="00C103C2">
              <w:rPr>
                <w:rFonts w:eastAsia="MS Mincho"/>
                <w:vertAlign w:val="superscript"/>
              </w:rPr>
              <w:t>1</w:t>
            </w:r>
          </w:p>
        </w:tc>
      </w:tr>
      <w:tr w:rsidR="00F523E8" w:rsidRPr="00061F78" w14:paraId="395936B6" w14:textId="77777777" w:rsidTr="00F977D9">
        <w:trPr>
          <w:cantSplit/>
          <w:trHeight w:val="99"/>
        </w:trPr>
        <w:tc>
          <w:tcPr>
            <w:tcW w:w="862" w:type="pct"/>
            <w:shd w:val="clear" w:color="auto" w:fill="auto"/>
            <w:tcMar>
              <w:left w:w="28" w:type="dxa"/>
              <w:right w:w="28" w:type="dxa"/>
            </w:tcMar>
            <w:vAlign w:val="center"/>
          </w:tcPr>
          <w:p w14:paraId="5C415691" w14:textId="502BCD6B" w:rsidR="00F523E8" w:rsidRPr="005D18BC" w:rsidRDefault="00C103C2" w:rsidP="00C01C17">
            <w:pPr>
              <w:pStyle w:val="Tablewriting"/>
              <w:rPr>
                <w:rFonts w:eastAsia="MS Mincho"/>
                <w:highlight w:val="yellow"/>
              </w:rPr>
            </w:pPr>
            <w:r>
              <w:rPr>
                <w:rFonts w:eastAsia="MS Mincho"/>
              </w:rPr>
              <w:t>Hartmann-Boyce (2018)</w:t>
            </w:r>
          </w:p>
        </w:tc>
        <w:tc>
          <w:tcPr>
            <w:tcW w:w="1092" w:type="pct"/>
            <w:shd w:val="clear" w:color="auto" w:fill="auto"/>
            <w:vAlign w:val="center"/>
          </w:tcPr>
          <w:p w14:paraId="3B56CF08" w14:textId="65C458A1" w:rsidR="00C103C2" w:rsidRDefault="00C103C2" w:rsidP="00C01C17">
            <w:pPr>
              <w:pStyle w:val="Tablewriting"/>
              <w:jc w:val="center"/>
              <w:rPr>
                <w:rFonts w:eastAsia="MS Mincho"/>
              </w:rPr>
            </w:pPr>
            <w:r>
              <w:rPr>
                <w:rFonts w:eastAsia="MS Mincho"/>
              </w:rPr>
              <w:t xml:space="preserve">Cochrane Review </w:t>
            </w:r>
          </w:p>
          <w:p w14:paraId="51A2ED57" w14:textId="3B7460BB" w:rsidR="00F523E8" w:rsidRPr="00A22F63" w:rsidRDefault="00C103C2" w:rsidP="00C01C17">
            <w:pPr>
              <w:pStyle w:val="Tablewriting"/>
              <w:jc w:val="center"/>
              <w:rPr>
                <w:rFonts w:eastAsia="MS Mincho"/>
              </w:rPr>
            </w:pPr>
            <w:r>
              <w:rPr>
                <w:rFonts w:eastAsia="MS Mincho"/>
              </w:rPr>
              <w:t xml:space="preserve">(4 </w:t>
            </w:r>
            <w:r w:rsidRPr="00A22F63">
              <w:rPr>
                <w:rFonts w:eastAsia="MS Mincho"/>
              </w:rPr>
              <w:t>RCT</w:t>
            </w:r>
            <w:r>
              <w:rPr>
                <w:rFonts w:eastAsia="MS Mincho"/>
              </w:rPr>
              <w:t>s)</w:t>
            </w:r>
          </w:p>
        </w:tc>
        <w:tc>
          <w:tcPr>
            <w:tcW w:w="1015" w:type="pct"/>
            <w:shd w:val="clear" w:color="auto" w:fill="auto"/>
            <w:tcMar>
              <w:left w:w="28" w:type="dxa"/>
              <w:right w:w="28" w:type="dxa"/>
            </w:tcMar>
            <w:vAlign w:val="center"/>
          </w:tcPr>
          <w:p w14:paraId="3743ACB3" w14:textId="1911C602" w:rsidR="00C103C2" w:rsidRDefault="00C103C2" w:rsidP="00C01C17">
            <w:pPr>
              <w:pStyle w:val="Tablewriting"/>
              <w:jc w:val="center"/>
              <w:rPr>
                <w:rFonts w:eastAsia="MS Mincho"/>
              </w:rPr>
            </w:pPr>
            <w:r>
              <w:rPr>
                <w:rFonts w:eastAsia="MS Mincho"/>
              </w:rPr>
              <w:t>107/448</w:t>
            </w:r>
          </w:p>
          <w:p w14:paraId="7F0B5F5E" w14:textId="75B5B3F8" w:rsidR="00F523E8" w:rsidRPr="009A3570" w:rsidRDefault="00C103C2" w:rsidP="00C01C17">
            <w:pPr>
              <w:pStyle w:val="Tablewriting"/>
              <w:jc w:val="center"/>
              <w:rPr>
                <w:rFonts w:eastAsia="MS Mincho"/>
              </w:rPr>
            </w:pPr>
            <w:r>
              <w:rPr>
                <w:rFonts w:eastAsia="MS Mincho"/>
              </w:rPr>
              <w:t>(</w:t>
            </w:r>
            <w:r w:rsidR="00F977D9">
              <w:rPr>
                <w:rFonts w:eastAsia="MS Mincho"/>
              </w:rPr>
              <w:t>23.9</w:t>
            </w:r>
            <w:r>
              <w:rPr>
                <w:rFonts w:eastAsia="MS Mincho"/>
              </w:rPr>
              <w:t>%)</w:t>
            </w:r>
          </w:p>
        </w:tc>
        <w:tc>
          <w:tcPr>
            <w:tcW w:w="1017" w:type="pct"/>
            <w:shd w:val="clear" w:color="auto" w:fill="auto"/>
            <w:tcMar>
              <w:left w:w="28" w:type="dxa"/>
              <w:right w:w="28" w:type="dxa"/>
            </w:tcMar>
            <w:vAlign w:val="center"/>
          </w:tcPr>
          <w:p w14:paraId="0675613D" w14:textId="6E3BB065" w:rsidR="00C103C2" w:rsidRDefault="00C103C2" w:rsidP="00C01C17">
            <w:pPr>
              <w:pStyle w:val="Tablewriting"/>
              <w:jc w:val="center"/>
              <w:rPr>
                <w:rFonts w:eastAsia="MS Mincho"/>
              </w:rPr>
            </w:pPr>
            <w:r>
              <w:rPr>
                <w:rFonts w:eastAsia="MS Mincho"/>
              </w:rPr>
              <w:t>52/439</w:t>
            </w:r>
          </w:p>
          <w:p w14:paraId="00655684" w14:textId="48347AA4" w:rsidR="00F523E8" w:rsidRPr="009A3570" w:rsidRDefault="00C103C2" w:rsidP="00C01C17">
            <w:pPr>
              <w:pStyle w:val="Tablewriting"/>
              <w:jc w:val="center"/>
              <w:rPr>
                <w:rFonts w:eastAsia="MS Mincho"/>
              </w:rPr>
            </w:pPr>
            <w:r>
              <w:rPr>
                <w:rFonts w:eastAsia="MS Mincho"/>
              </w:rPr>
              <w:t>(</w:t>
            </w:r>
            <w:r w:rsidR="00B64FB2">
              <w:rPr>
                <w:rFonts w:eastAsia="MS Mincho"/>
              </w:rPr>
              <w:t>11.8</w:t>
            </w:r>
            <w:r>
              <w:rPr>
                <w:rFonts w:eastAsia="MS Mincho"/>
              </w:rPr>
              <w:t>%)</w:t>
            </w:r>
          </w:p>
        </w:tc>
        <w:tc>
          <w:tcPr>
            <w:tcW w:w="1014" w:type="pct"/>
            <w:shd w:val="clear" w:color="auto" w:fill="auto"/>
            <w:tcMar>
              <w:left w:w="28" w:type="dxa"/>
              <w:right w:w="28" w:type="dxa"/>
            </w:tcMar>
            <w:vAlign w:val="center"/>
          </w:tcPr>
          <w:p w14:paraId="031FA869" w14:textId="65C458A1" w:rsidR="00C103C2" w:rsidRPr="00A4465D" w:rsidRDefault="00C103C2" w:rsidP="00C01C17">
            <w:pPr>
              <w:pStyle w:val="Tablewriting"/>
              <w:jc w:val="center"/>
              <w:rPr>
                <w:rFonts w:eastAsia="MS Mincho"/>
                <w:b/>
                <w:bCs/>
              </w:rPr>
            </w:pPr>
            <w:r w:rsidRPr="00A4465D">
              <w:rPr>
                <w:rFonts w:eastAsia="MS Mincho"/>
                <w:b/>
                <w:bCs/>
              </w:rPr>
              <w:t>2.02</w:t>
            </w:r>
          </w:p>
          <w:p w14:paraId="0EF32867" w14:textId="6D93A96C" w:rsidR="00F523E8" w:rsidRPr="00D86FCC" w:rsidRDefault="00C103C2" w:rsidP="00C01C17">
            <w:pPr>
              <w:pStyle w:val="Tablewriting"/>
              <w:jc w:val="center"/>
              <w:rPr>
                <w:rFonts w:eastAsia="MS Mincho"/>
              </w:rPr>
            </w:pPr>
            <w:r w:rsidRPr="00A4465D">
              <w:rPr>
                <w:rFonts w:eastAsia="MS Mincho"/>
                <w:b/>
                <w:bCs/>
              </w:rPr>
              <w:t>(1.49, 2.73)</w:t>
            </w:r>
          </w:p>
        </w:tc>
      </w:tr>
    </w:tbl>
    <w:p w14:paraId="3AC94874" w14:textId="394C7F64" w:rsidR="00F523E8" w:rsidRPr="00566F12" w:rsidRDefault="00F523E8" w:rsidP="00C01C17">
      <w:pPr>
        <w:pStyle w:val="TableFooter"/>
      </w:pPr>
      <w:r w:rsidRPr="00566F12">
        <w:t xml:space="preserve">Source: </w:t>
      </w:r>
      <w:r w:rsidRPr="00637ACA">
        <w:t xml:space="preserve">Hartmann-Boyce et al. </w:t>
      </w:r>
      <w:r w:rsidR="00C103C2">
        <w:t>(</w:t>
      </w:r>
      <w:r w:rsidRPr="00637ACA">
        <w:t>2018</w:t>
      </w:r>
      <w:r w:rsidR="00C103C2">
        <w:t>)</w:t>
      </w:r>
      <w:r w:rsidRPr="00566F12">
        <w:t>.</w:t>
      </w:r>
    </w:p>
    <w:p w14:paraId="56ED6B65" w14:textId="5D3F788E" w:rsidR="00F523E8" w:rsidRPr="00566F12" w:rsidRDefault="00F523E8" w:rsidP="00C01C17">
      <w:pPr>
        <w:pStyle w:val="TableFooter"/>
        <w:rPr>
          <w:i/>
        </w:rPr>
      </w:pPr>
      <w:r w:rsidRPr="00566F12">
        <w:t xml:space="preserve">Abbreviations: CI = confidence interval; RCT = randomised controlled trial; RR = risk ratio </w:t>
      </w:r>
    </w:p>
    <w:p w14:paraId="6D3DF90D" w14:textId="1C95F4DB" w:rsidR="00F523E8" w:rsidRPr="0046055A" w:rsidRDefault="00F523E8" w:rsidP="00C01C17">
      <w:pPr>
        <w:pStyle w:val="TableFooter"/>
        <w:rPr>
          <w:highlight w:val="yellow"/>
        </w:rPr>
      </w:pPr>
      <w:r w:rsidRPr="00566F12">
        <w:t>Notes:</w:t>
      </w:r>
      <w:r>
        <w:t xml:space="preserve"> </w:t>
      </w:r>
      <w:r w:rsidRPr="00F977D9">
        <w:t>Bold</w:t>
      </w:r>
      <w:r w:rsidRPr="00FD4061">
        <w:t xml:space="preserve"> indicates statistically significant difference</w:t>
      </w:r>
      <w:r>
        <w:t>.</w:t>
      </w:r>
      <w:r w:rsidRPr="00566F12">
        <w:br/>
      </w:r>
      <w:r>
        <w:t>1</w:t>
      </w:r>
      <w:r w:rsidRPr="007D5151">
        <w:t xml:space="preserve"> </w:t>
      </w:r>
      <w:r w:rsidR="00C103C2">
        <w:t>Calculated by Cochrane Review authors using a fixed-effect model</w:t>
      </w:r>
      <w:r w:rsidR="00ED0CBA">
        <w:t>.</w:t>
      </w:r>
      <w:r w:rsidRPr="00566F12">
        <w:t xml:space="preserve"> </w:t>
      </w:r>
    </w:p>
    <w:p w14:paraId="2F0B334D" w14:textId="5F2D244F" w:rsidR="00E53912" w:rsidRDefault="00E53912" w:rsidP="00BF17FF">
      <w:pPr>
        <w:pStyle w:val="Caption"/>
        <w:keepNext/>
        <w:spacing w:before="0" w:after="120"/>
        <w:jc w:val="both"/>
      </w:pPr>
      <w:bookmarkStart w:id="192" w:name="_Ref60846916"/>
      <w:r>
        <w:lastRenderedPageBreak/>
        <w:t xml:space="preserve">Table </w:t>
      </w:r>
      <w:r w:rsidR="00BF3F75">
        <w:fldChar w:fldCharType="begin"/>
      </w:r>
      <w:r w:rsidR="00BF3F75">
        <w:instrText xml:space="preserve"> SEQ Table \* ARABIC </w:instrText>
      </w:r>
      <w:r w:rsidR="00BF3F75">
        <w:fldChar w:fldCharType="separate"/>
      </w:r>
      <w:r w:rsidR="00EC5CC7">
        <w:rPr>
          <w:noProof/>
        </w:rPr>
        <w:t>110</w:t>
      </w:r>
      <w:r w:rsidR="00BF3F75">
        <w:rPr>
          <w:noProof/>
        </w:rPr>
        <w:fldChar w:fldCharType="end"/>
      </w:r>
      <w:bookmarkEnd w:id="192"/>
      <w:r>
        <w:t xml:space="preserve">: </w:t>
      </w:r>
      <w:r w:rsidRPr="00D554B3">
        <w:t>Results of smoking cessation f</w:t>
      </w:r>
      <w:r w:rsidR="00E83076">
        <w:t>or</w:t>
      </w:r>
      <w:r w:rsidRPr="00D554B3">
        <w:t xml:space="preserve"> at least six months follow-up, nasal spray versus patch</w:t>
      </w:r>
    </w:p>
    <w:tbl>
      <w:tblPr>
        <w:tblStyle w:val="TableGrid"/>
        <w:tblW w:w="5000" w:type="pct"/>
        <w:tblLook w:val="04A0" w:firstRow="1" w:lastRow="0" w:firstColumn="1" w:lastColumn="0" w:noHBand="0" w:noVBand="1"/>
        <w:tblCaption w:val="Efficacy results of adalimumab trials (PASI 75 and DLQI)"/>
      </w:tblPr>
      <w:tblGrid>
        <w:gridCol w:w="1555"/>
        <w:gridCol w:w="1985"/>
        <w:gridCol w:w="1843"/>
        <w:gridCol w:w="1895"/>
        <w:gridCol w:w="1738"/>
      </w:tblGrid>
      <w:tr w:rsidR="00F523E8" w:rsidRPr="00061F78" w14:paraId="6B755B93" w14:textId="77777777" w:rsidTr="00C103C2">
        <w:trPr>
          <w:cantSplit/>
          <w:trHeight w:val="299"/>
          <w:tblHeader/>
        </w:trPr>
        <w:tc>
          <w:tcPr>
            <w:tcW w:w="862" w:type="pct"/>
            <w:shd w:val="clear" w:color="auto" w:fill="BFBFBF" w:themeFill="background1" w:themeFillShade="BF"/>
            <w:tcMar>
              <w:left w:w="28" w:type="dxa"/>
              <w:right w:w="28" w:type="dxa"/>
            </w:tcMar>
          </w:tcPr>
          <w:p w14:paraId="71504B93" w14:textId="77777777" w:rsidR="00F523E8" w:rsidRPr="00061F78" w:rsidRDefault="00F523E8" w:rsidP="00A5263B">
            <w:pPr>
              <w:pStyle w:val="Tableheading"/>
              <w:keepNext/>
              <w:rPr>
                <w:rFonts w:eastAsia="MS Mincho"/>
              </w:rPr>
            </w:pPr>
            <w:r>
              <w:rPr>
                <w:rFonts w:eastAsia="MS Mincho"/>
              </w:rPr>
              <w:t>Study</w:t>
            </w:r>
          </w:p>
        </w:tc>
        <w:tc>
          <w:tcPr>
            <w:tcW w:w="1100" w:type="pct"/>
            <w:shd w:val="clear" w:color="auto" w:fill="BFBFBF" w:themeFill="background1" w:themeFillShade="BF"/>
            <w:vAlign w:val="center"/>
          </w:tcPr>
          <w:p w14:paraId="30703539" w14:textId="77777777" w:rsidR="00F523E8" w:rsidRDefault="00F523E8" w:rsidP="00A5263B">
            <w:pPr>
              <w:pStyle w:val="Tableheading"/>
              <w:keepNext/>
              <w:jc w:val="center"/>
              <w:rPr>
                <w:rFonts w:eastAsia="MS Mincho"/>
              </w:rPr>
            </w:pPr>
            <w:r>
              <w:rPr>
                <w:rFonts w:eastAsia="MS Mincho"/>
              </w:rPr>
              <w:t>Study type</w:t>
            </w:r>
          </w:p>
        </w:tc>
        <w:tc>
          <w:tcPr>
            <w:tcW w:w="1022" w:type="pct"/>
            <w:shd w:val="clear" w:color="auto" w:fill="BFBFBF" w:themeFill="background1" w:themeFillShade="BF"/>
            <w:tcMar>
              <w:left w:w="28" w:type="dxa"/>
              <w:right w:w="28" w:type="dxa"/>
            </w:tcMar>
            <w:vAlign w:val="center"/>
          </w:tcPr>
          <w:p w14:paraId="5BB6980F" w14:textId="77777777" w:rsidR="00F523E8" w:rsidRPr="00061F78" w:rsidRDefault="00F523E8" w:rsidP="00A5263B">
            <w:pPr>
              <w:pStyle w:val="Tableheading"/>
              <w:keepNext/>
              <w:jc w:val="center"/>
              <w:rPr>
                <w:rFonts w:eastAsia="MS Mincho"/>
              </w:rPr>
            </w:pPr>
            <w:r>
              <w:rPr>
                <w:rFonts w:eastAsia="MS Mincho"/>
              </w:rPr>
              <w:t>Nasal spray</w:t>
            </w:r>
          </w:p>
        </w:tc>
        <w:tc>
          <w:tcPr>
            <w:tcW w:w="1051" w:type="pct"/>
            <w:shd w:val="clear" w:color="auto" w:fill="BFBFBF" w:themeFill="background1" w:themeFillShade="BF"/>
            <w:tcMar>
              <w:left w:w="28" w:type="dxa"/>
              <w:right w:w="28" w:type="dxa"/>
            </w:tcMar>
            <w:vAlign w:val="center"/>
          </w:tcPr>
          <w:p w14:paraId="06F454D0" w14:textId="77777777" w:rsidR="00F523E8" w:rsidRPr="00061F78" w:rsidRDefault="00F523E8" w:rsidP="00A5263B">
            <w:pPr>
              <w:pStyle w:val="Tableheading"/>
              <w:keepNext/>
              <w:jc w:val="center"/>
              <w:rPr>
                <w:rFonts w:eastAsia="MS Mincho"/>
              </w:rPr>
            </w:pPr>
            <w:r>
              <w:rPr>
                <w:rFonts w:eastAsia="MS Mincho"/>
              </w:rPr>
              <w:t>Patch</w:t>
            </w:r>
          </w:p>
        </w:tc>
        <w:tc>
          <w:tcPr>
            <w:tcW w:w="964" w:type="pct"/>
            <w:shd w:val="clear" w:color="auto" w:fill="BFBFBF" w:themeFill="background1" w:themeFillShade="BF"/>
            <w:tcMar>
              <w:left w:w="28" w:type="dxa"/>
              <w:right w:w="28" w:type="dxa"/>
            </w:tcMar>
            <w:vAlign w:val="center"/>
          </w:tcPr>
          <w:p w14:paraId="66666F79" w14:textId="03661747" w:rsidR="00F523E8" w:rsidRPr="002D09A1" w:rsidRDefault="00F523E8" w:rsidP="00A5263B">
            <w:pPr>
              <w:pStyle w:val="Tableheading"/>
              <w:keepNext/>
              <w:jc w:val="center"/>
              <w:rPr>
                <w:rFonts w:eastAsia="MS Mincho"/>
                <w:vertAlign w:val="superscript"/>
              </w:rPr>
            </w:pPr>
            <w:r>
              <w:rPr>
                <w:rFonts w:eastAsia="MS Mincho"/>
              </w:rPr>
              <w:t>RR (95% CI)</w:t>
            </w:r>
            <w:r w:rsidR="00C103C2">
              <w:rPr>
                <w:rFonts w:eastAsia="MS Mincho"/>
                <w:vertAlign w:val="superscript"/>
              </w:rPr>
              <w:t>1</w:t>
            </w:r>
          </w:p>
        </w:tc>
      </w:tr>
      <w:tr w:rsidR="00F523E8" w:rsidRPr="00061F78" w14:paraId="345316ED" w14:textId="77777777" w:rsidTr="00C103C2">
        <w:trPr>
          <w:cantSplit/>
          <w:trHeight w:val="99"/>
        </w:trPr>
        <w:tc>
          <w:tcPr>
            <w:tcW w:w="862" w:type="pct"/>
            <w:shd w:val="clear" w:color="auto" w:fill="auto"/>
            <w:tcMar>
              <w:left w:w="28" w:type="dxa"/>
              <w:right w:w="28" w:type="dxa"/>
            </w:tcMar>
            <w:vAlign w:val="center"/>
          </w:tcPr>
          <w:p w14:paraId="55DFDCBC" w14:textId="229F1B41" w:rsidR="00C103C2" w:rsidRDefault="00C103C2" w:rsidP="00A5263B">
            <w:pPr>
              <w:pStyle w:val="Tablewriting"/>
              <w:keepNext/>
              <w:rPr>
                <w:rFonts w:eastAsia="MS Mincho"/>
              </w:rPr>
            </w:pPr>
            <w:r>
              <w:rPr>
                <w:rFonts w:eastAsia="MS Mincho"/>
              </w:rPr>
              <w:t>Lindson</w:t>
            </w:r>
          </w:p>
          <w:p w14:paraId="1BE102EA" w14:textId="65C458A1" w:rsidR="00F523E8" w:rsidRPr="005D18BC" w:rsidRDefault="00C103C2" w:rsidP="00A5263B">
            <w:pPr>
              <w:pStyle w:val="Tablewriting"/>
              <w:keepNext/>
              <w:rPr>
                <w:rFonts w:eastAsia="MS Mincho"/>
                <w:highlight w:val="yellow"/>
              </w:rPr>
            </w:pPr>
            <w:r w:rsidRPr="00F977D9">
              <w:rPr>
                <w:rFonts w:eastAsia="MS Mincho"/>
              </w:rPr>
              <w:t>(2019)</w:t>
            </w:r>
          </w:p>
        </w:tc>
        <w:tc>
          <w:tcPr>
            <w:tcW w:w="1100" w:type="pct"/>
            <w:shd w:val="clear" w:color="auto" w:fill="auto"/>
            <w:vAlign w:val="center"/>
          </w:tcPr>
          <w:p w14:paraId="69808B17" w14:textId="4CE55D29" w:rsidR="00C103C2" w:rsidRDefault="00C103C2" w:rsidP="00A5263B">
            <w:pPr>
              <w:pStyle w:val="Tablewriting"/>
              <w:keepNext/>
              <w:jc w:val="center"/>
              <w:rPr>
                <w:rFonts w:eastAsia="MS Mincho"/>
              </w:rPr>
            </w:pPr>
            <w:r>
              <w:rPr>
                <w:rFonts w:eastAsia="MS Mincho"/>
              </w:rPr>
              <w:t>Cochrane Review</w:t>
            </w:r>
          </w:p>
          <w:p w14:paraId="22399DCE" w14:textId="65C458A1" w:rsidR="00F523E8" w:rsidRPr="00A22F63" w:rsidRDefault="00C103C2" w:rsidP="00A5263B">
            <w:pPr>
              <w:pStyle w:val="Tablewriting"/>
              <w:keepNext/>
              <w:jc w:val="center"/>
              <w:rPr>
                <w:rFonts w:eastAsia="MS Mincho"/>
              </w:rPr>
            </w:pPr>
            <w:r>
              <w:rPr>
                <w:rFonts w:eastAsia="MS Mincho"/>
              </w:rPr>
              <w:t>(2 RCTs)</w:t>
            </w:r>
          </w:p>
        </w:tc>
        <w:tc>
          <w:tcPr>
            <w:tcW w:w="1022" w:type="pct"/>
            <w:shd w:val="clear" w:color="auto" w:fill="auto"/>
            <w:tcMar>
              <w:left w:w="28" w:type="dxa"/>
              <w:right w:w="28" w:type="dxa"/>
            </w:tcMar>
            <w:vAlign w:val="center"/>
          </w:tcPr>
          <w:p w14:paraId="6224C368" w14:textId="666D4DA5" w:rsidR="00D91DA4" w:rsidRDefault="00D91DA4" w:rsidP="00A5263B">
            <w:pPr>
              <w:pStyle w:val="Tablewriting"/>
              <w:keepNext/>
              <w:jc w:val="center"/>
              <w:rPr>
                <w:rFonts w:eastAsia="MS Mincho"/>
              </w:rPr>
            </w:pPr>
            <w:r>
              <w:rPr>
                <w:rFonts w:eastAsia="MS Mincho"/>
              </w:rPr>
              <w:t>56/638</w:t>
            </w:r>
          </w:p>
          <w:p w14:paraId="00D74E89" w14:textId="6775D9A2" w:rsidR="00F523E8" w:rsidRPr="009A3570" w:rsidRDefault="00D91DA4" w:rsidP="00A5263B">
            <w:pPr>
              <w:pStyle w:val="Tablewriting"/>
              <w:keepNext/>
              <w:jc w:val="center"/>
              <w:rPr>
                <w:rFonts w:eastAsia="MS Mincho"/>
              </w:rPr>
            </w:pPr>
            <w:r>
              <w:rPr>
                <w:rFonts w:eastAsia="MS Mincho"/>
              </w:rPr>
              <w:t>(</w:t>
            </w:r>
            <w:r w:rsidR="008B5F75">
              <w:rPr>
                <w:rFonts w:eastAsia="MS Mincho"/>
              </w:rPr>
              <w:t>8.8</w:t>
            </w:r>
            <w:r>
              <w:rPr>
                <w:rFonts w:eastAsia="MS Mincho"/>
              </w:rPr>
              <w:t>%)</w:t>
            </w:r>
          </w:p>
        </w:tc>
        <w:tc>
          <w:tcPr>
            <w:tcW w:w="1051" w:type="pct"/>
            <w:shd w:val="clear" w:color="auto" w:fill="auto"/>
            <w:tcMar>
              <w:left w:w="28" w:type="dxa"/>
              <w:right w:w="28" w:type="dxa"/>
            </w:tcMar>
            <w:vAlign w:val="center"/>
          </w:tcPr>
          <w:p w14:paraId="73A80170" w14:textId="227B305E" w:rsidR="00D91DA4" w:rsidRDefault="00D91DA4" w:rsidP="00A5263B">
            <w:pPr>
              <w:pStyle w:val="Tablewriting"/>
              <w:keepNext/>
              <w:jc w:val="center"/>
              <w:rPr>
                <w:rFonts w:eastAsia="MS Mincho"/>
              </w:rPr>
            </w:pPr>
            <w:r>
              <w:rPr>
                <w:rFonts w:eastAsia="MS Mincho"/>
              </w:rPr>
              <w:t>62/634</w:t>
            </w:r>
          </w:p>
          <w:p w14:paraId="33481E2D" w14:textId="790BF466" w:rsidR="00F523E8" w:rsidRPr="009A3570" w:rsidRDefault="00D91DA4" w:rsidP="00A5263B">
            <w:pPr>
              <w:pStyle w:val="Tablewriting"/>
              <w:keepNext/>
              <w:jc w:val="center"/>
              <w:rPr>
                <w:rFonts w:eastAsia="MS Mincho"/>
              </w:rPr>
            </w:pPr>
            <w:r>
              <w:rPr>
                <w:rFonts w:eastAsia="MS Mincho"/>
              </w:rPr>
              <w:t>(</w:t>
            </w:r>
            <w:r w:rsidR="008B5F75">
              <w:rPr>
                <w:rFonts w:eastAsia="MS Mincho"/>
              </w:rPr>
              <w:t>9.8</w:t>
            </w:r>
            <w:r>
              <w:rPr>
                <w:rFonts w:eastAsia="MS Mincho"/>
              </w:rPr>
              <w:t>%)</w:t>
            </w:r>
          </w:p>
        </w:tc>
        <w:tc>
          <w:tcPr>
            <w:tcW w:w="964" w:type="pct"/>
            <w:shd w:val="clear" w:color="auto" w:fill="auto"/>
            <w:tcMar>
              <w:left w:w="28" w:type="dxa"/>
              <w:right w:w="28" w:type="dxa"/>
            </w:tcMar>
            <w:vAlign w:val="center"/>
          </w:tcPr>
          <w:p w14:paraId="5C403B4F" w14:textId="65C458A1" w:rsidR="00C103C2" w:rsidRDefault="00C103C2" w:rsidP="00C103C2">
            <w:pPr>
              <w:pStyle w:val="Tablewriting"/>
              <w:keepNext/>
              <w:jc w:val="center"/>
              <w:rPr>
                <w:rFonts w:eastAsia="MS Mincho"/>
              </w:rPr>
            </w:pPr>
            <w:r>
              <w:rPr>
                <w:rFonts w:eastAsia="MS Mincho"/>
              </w:rPr>
              <w:t>0.9</w:t>
            </w:r>
          </w:p>
          <w:p w14:paraId="3A3AAF22" w14:textId="5672A4B2" w:rsidR="00F523E8" w:rsidRPr="00D86FCC" w:rsidRDefault="00C103C2" w:rsidP="00A5263B">
            <w:pPr>
              <w:pStyle w:val="Tablewriting"/>
              <w:keepNext/>
              <w:jc w:val="center"/>
              <w:rPr>
                <w:rFonts w:eastAsia="MS Mincho"/>
              </w:rPr>
            </w:pPr>
            <w:r>
              <w:rPr>
                <w:rFonts w:eastAsia="MS Mincho"/>
              </w:rPr>
              <w:t>(0.64, 1.27)</w:t>
            </w:r>
          </w:p>
        </w:tc>
      </w:tr>
    </w:tbl>
    <w:p w14:paraId="743CC7B6" w14:textId="77777777" w:rsidR="00F523E8" w:rsidRPr="00566F12" w:rsidRDefault="00F523E8" w:rsidP="00BF17FF">
      <w:pPr>
        <w:pStyle w:val="TableFooter"/>
        <w:keepNext/>
        <w:jc w:val="both"/>
      </w:pPr>
      <w:r w:rsidRPr="00566F12">
        <w:t>Source: Lindson et al. (2019).</w:t>
      </w:r>
    </w:p>
    <w:p w14:paraId="5AC6773E" w14:textId="77777777" w:rsidR="00F523E8" w:rsidRPr="004E508F" w:rsidRDefault="00F523E8" w:rsidP="00BF17FF">
      <w:pPr>
        <w:pStyle w:val="TableFooter"/>
        <w:keepNext/>
        <w:jc w:val="both"/>
        <w:rPr>
          <w:i/>
        </w:rPr>
      </w:pPr>
      <w:r w:rsidRPr="004E508F">
        <w:t xml:space="preserve">Abbreviations: CI = confidence interval; RCT = randomised controlled trial; RD = risk difference; RR = risk ratio </w:t>
      </w:r>
    </w:p>
    <w:p w14:paraId="0AD9758B" w14:textId="3FDF3DF1" w:rsidR="00F523E8" w:rsidRPr="004E508F" w:rsidRDefault="00F523E8" w:rsidP="00BF17FF">
      <w:pPr>
        <w:pStyle w:val="TableFooter"/>
        <w:spacing w:after="120"/>
        <w:contextualSpacing w:val="0"/>
        <w:jc w:val="both"/>
      </w:pPr>
      <w:r w:rsidRPr="004E508F">
        <w:t xml:space="preserve">Notes: </w:t>
      </w:r>
      <w:r w:rsidRPr="004E508F">
        <w:br/>
        <w:t xml:space="preserve">1 </w:t>
      </w:r>
      <w:r w:rsidR="00C103C2">
        <w:t>Calculated by Cochrane Review authors using a fixed-effect model</w:t>
      </w:r>
      <w:r w:rsidR="00ED0CBA">
        <w:t>.</w:t>
      </w:r>
      <w:r w:rsidR="00C103C2" w:rsidRPr="00566F12">
        <w:t xml:space="preserve"> </w:t>
      </w:r>
    </w:p>
    <w:p w14:paraId="537F1E2D" w14:textId="29CF27E0" w:rsidR="00F523E8" w:rsidRDefault="00F523E8" w:rsidP="00BF17FF">
      <w:pPr>
        <w:spacing w:after="120"/>
        <w:jc w:val="both"/>
      </w:pPr>
      <w:r w:rsidRPr="00F136E9">
        <w:t>The results of the individual studies</w:t>
      </w:r>
      <w:r>
        <w:t xml:space="preserve"> relevant to </w:t>
      </w:r>
      <w:r w:rsidR="00BF17FF">
        <w:t xml:space="preserve">the </w:t>
      </w:r>
      <w:r>
        <w:t xml:space="preserve">NRT nasal dosage form </w:t>
      </w:r>
      <w:r w:rsidRPr="00F136E9">
        <w:t xml:space="preserve">included in </w:t>
      </w:r>
      <w:r w:rsidRPr="000E1B16">
        <w:t xml:space="preserve">Hartmann-Boyce et al. </w:t>
      </w:r>
      <w:r w:rsidR="00D91DA4">
        <w:t>(</w:t>
      </w:r>
      <w:r w:rsidRPr="000E1B16">
        <w:t>2018</w:t>
      </w:r>
      <w:r w:rsidR="00D91DA4">
        <w:t>)</w:t>
      </w:r>
      <w:r>
        <w:t xml:space="preserve"> and </w:t>
      </w:r>
      <w:r w:rsidRPr="00F136E9">
        <w:t xml:space="preserve">Lindson et al. (2019) are presented using a forest plot </w:t>
      </w:r>
      <w:r w:rsidRPr="00D6537E">
        <w:t xml:space="preserve">in </w:t>
      </w:r>
      <w:r w:rsidR="00D6537E" w:rsidRPr="00D6537E">
        <w:fldChar w:fldCharType="begin" w:fldLock="1"/>
      </w:r>
      <w:r w:rsidR="00D6537E" w:rsidRPr="00D6537E">
        <w:instrText xml:space="preserve"> REF _Ref60909282 \h </w:instrText>
      </w:r>
      <w:r w:rsidR="00D6537E">
        <w:instrText xml:space="preserve"> \* MERGEFORMAT </w:instrText>
      </w:r>
      <w:r w:rsidR="00D6537E" w:rsidRPr="00D6537E">
        <w:fldChar w:fldCharType="separate"/>
      </w:r>
      <w:r w:rsidR="00EC5CC7">
        <w:t xml:space="preserve">Figure </w:t>
      </w:r>
      <w:r w:rsidR="00EC5CC7">
        <w:rPr>
          <w:noProof/>
        </w:rPr>
        <w:t>37</w:t>
      </w:r>
      <w:r w:rsidR="00D6537E" w:rsidRPr="00D6537E">
        <w:fldChar w:fldCharType="end"/>
      </w:r>
      <w:r w:rsidR="00D6537E" w:rsidRPr="00D6537E">
        <w:t xml:space="preserve"> and </w:t>
      </w:r>
      <w:r w:rsidR="00D6537E" w:rsidRPr="00D6537E">
        <w:fldChar w:fldCharType="begin" w:fldLock="1"/>
      </w:r>
      <w:r w:rsidR="00D6537E" w:rsidRPr="00D6537E">
        <w:instrText xml:space="preserve"> REF _Ref60909284 \h </w:instrText>
      </w:r>
      <w:r w:rsidR="00D6537E">
        <w:instrText xml:space="preserve"> \* MERGEFORMAT </w:instrText>
      </w:r>
      <w:r w:rsidR="00D6537E" w:rsidRPr="00D6537E">
        <w:fldChar w:fldCharType="separate"/>
      </w:r>
      <w:r w:rsidR="00EC5CC7">
        <w:t xml:space="preserve">Figure </w:t>
      </w:r>
      <w:r w:rsidR="00EC5CC7">
        <w:rPr>
          <w:noProof/>
        </w:rPr>
        <w:t>38</w:t>
      </w:r>
      <w:r w:rsidR="00D6537E" w:rsidRPr="00D6537E">
        <w:fldChar w:fldCharType="end"/>
      </w:r>
      <w:r w:rsidR="00D6537E" w:rsidRPr="00D6537E">
        <w:t>.</w:t>
      </w:r>
    </w:p>
    <w:p w14:paraId="4EB58587" w14:textId="57056194" w:rsidR="001A24E5" w:rsidRDefault="00F523E8" w:rsidP="001A24E5">
      <w:pPr>
        <w:pStyle w:val="TableFooter"/>
        <w:keepNext/>
      </w:pPr>
      <w:r>
        <w:rPr>
          <w:noProof/>
        </w:rPr>
        <w:drawing>
          <wp:inline distT="0" distB="0" distL="0" distR="0" wp14:anchorId="21855CD3" wp14:editId="6F6A00A8">
            <wp:extent cx="5731510" cy="1552575"/>
            <wp:effectExtent l="0" t="0" r="0" b="0"/>
            <wp:docPr id="80" name="Picture 80" descr="P745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P7455#yIS1"/>
                    <pic:cNvPicPr/>
                  </pic:nvPicPr>
                  <pic:blipFill>
                    <a:blip r:embed="rId59">
                      <a:extLst>
                        <a:ext uri="{28A0092B-C50C-407E-A947-70E740481C1C}">
                          <a14:useLocalDpi xmlns:a14="http://schemas.microsoft.com/office/drawing/2010/main" val="0"/>
                        </a:ext>
                      </a:extLst>
                    </a:blip>
                    <a:stretch>
                      <a:fillRect/>
                    </a:stretch>
                  </pic:blipFill>
                  <pic:spPr>
                    <a:xfrm>
                      <a:off x="0" y="0"/>
                      <a:ext cx="5731510" cy="1552575"/>
                    </a:xfrm>
                    <a:prstGeom prst="rect">
                      <a:avLst/>
                    </a:prstGeom>
                  </pic:spPr>
                </pic:pic>
              </a:graphicData>
            </a:graphic>
          </wp:inline>
        </w:drawing>
      </w:r>
    </w:p>
    <w:p w14:paraId="1A42F331" w14:textId="04938036" w:rsidR="001A24E5" w:rsidRDefault="001A24E5" w:rsidP="00BF17FF">
      <w:pPr>
        <w:pStyle w:val="Caption"/>
        <w:spacing w:before="120" w:after="60"/>
        <w:jc w:val="both"/>
      </w:pPr>
      <w:bookmarkStart w:id="193" w:name="_Ref60909282"/>
      <w:r>
        <w:t xml:space="preserve">Figure </w:t>
      </w:r>
      <w:r w:rsidR="00BF3F75">
        <w:fldChar w:fldCharType="begin"/>
      </w:r>
      <w:r w:rsidR="00BF3F75">
        <w:instrText xml:space="preserve"> SEQ Figure \* ARABIC </w:instrText>
      </w:r>
      <w:r w:rsidR="00BF3F75">
        <w:fldChar w:fldCharType="separate"/>
      </w:r>
      <w:r w:rsidR="00EC5CC7">
        <w:rPr>
          <w:noProof/>
        </w:rPr>
        <w:t>37</w:t>
      </w:r>
      <w:r w:rsidR="00BF3F75">
        <w:rPr>
          <w:noProof/>
        </w:rPr>
        <w:fldChar w:fldCharType="end"/>
      </w:r>
      <w:bookmarkEnd w:id="193"/>
      <w:r>
        <w:t xml:space="preserve">: </w:t>
      </w:r>
      <w:r w:rsidRPr="002B39CE">
        <w:t>Results of smoking cessation f</w:t>
      </w:r>
      <w:r w:rsidR="00E83076">
        <w:t>or</w:t>
      </w:r>
      <w:r w:rsidRPr="002B39CE">
        <w:t xml:space="preserve"> at least six months follow-up in Hartmann-Boyce et al. </w:t>
      </w:r>
      <w:r w:rsidR="00255A5F">
        <w:t>(</w:t>
      </w:r>
      <w:r w:rsidRPr="002B39CE">
        <w:t>2018</w:t>
      </w:r>
      <w:r w:rsidR="00255A5F">
        <w:t>)</w:t>
      </w:r>
      <w:r w:rsidRPr="002B39CE">
        <w:t>, nasal spray versus placebo</w:t>
      </w:r>
    </w:p>
    <w:p w14:paraId="5B1CE8BA" w14:textId="77777777" w:rsidR="00B958B9" w:rsidRPr="00543DB6" w:rsidRDefault="00B958B9" w:rsidP="00B958B9">
      <w:pPr>
        <w:pStyle w:val="TableFooter"/>
        <w:keepNext/>
      </w:pPr>
      <w:r w:rsidRPr="00543DB6">
        <w:t xml:space="preserve">Source: </w:t>
      </w:r>
      <w:r w:rsidRPr="001607FC">
        <w:t>Hartmann-Boyce et al. (2018</w:t>
      </w:r>
      <w:r>
        <w:t>)</w:t>
      </w:r>
    </w:p>
    <w:p w14:paraId="24D07C70" w14:textId="6C7F491D" w:rsidR="00F523E8" w:rsidRPr="00BF17FF" w:rsidRDefault="00B958B9" w:rsidP="00BF17FF">
      <w:pPr>
        <w:pStyle w:val="TableFooter"/>
        <w:keepNext/>
        <w:spacing w:after="120"/>
        <w:contextualSpacing w:val="0"/>
        <w:jc w:val="both"/>
      </w:pPr>
      <w:r w:rsidRPr="00543DB6">
        <w:t>Abbreviations: CI = confidence interval</w:t>
      </w:r>
    </w:p>
    <w:p w14:paraId="6D4299D8" w14:textId="77777777" w:rsidR="00F523E8" w:rsidRDefault="00F523E8" w:rsidP="00F523E8">
      <w:pPr>
        <w:pStyle w:val="TableFooter"/>
        <w:rPr>
          <w:b/>
          <w:bCs/>
          <w:sz w:val="21"/>
          <w:szCs w:val="20"/>
        </w:rPr>
      </w:pPr>
    </w:p>
    <w:p w14:paraId="21D29314" w14:textId="77777777" w:rsidR="001A24E5" w:rsidRDefault="00F523E8" w:rsidP="001A24E5">
      <w:pPr>
        <w:pStyle w:val="TableFooter"/>
        <w:keepNext/>
      </w:pPr>
      <w:r>
        <w:rPr>
          <w:noProof/>
        </w:rPr>
        <w:drawing>
          <wp:inline distT="0" distB="0" distL="0" distR="0" wp14:anchorId="796324DF" wp14:editId="50A82CDC">
            <wp:extent cx="5731510" cy="1207135"/>
            <wp:effectExtent l="0" t="0" r="0" b="0"/>
            <wp:docPr id="73" name="Picture 73" descr="P74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P7460#yIS1"/>
                    <pic:cNvPicPr/>
                  </pic:nvPicPr>
                  <pic:blipFill>
                    <a:blip r:embed="rId60">
                      <a:extLst>
                        <a:ext uri="{28A0092B-C50C-407E-A947-70E740481C1C}">
                          <a14:useLocalDpi xmlns:a14="http://schemas.microsoft.com/office/drawing/2010/main" val="0"/>
                        </a:ext>
                      </a:extLst>
                    </a:blip>
                    <a:stretch>
                      <a:fillRect/>
                    </a:stretch>
                  </pic:blipFill>
                  <pic:spPr>
                    <a:xfrm>
                      <a:off x="0" y="0"/>
                      <a:ext cx="5731510" cy="1207135"/>
                    </a:xfrm>
                    <a:prstGeom prst="rect">
                      <a:avLst/>
                    </a:prstGeom>
                  </pic:spPr>
                </pic:pic>
              </a:graphicData>
            </a:graphic>
          </wp:inline>
        </w:drawing>
      </w:r>
    </w:p>
    <w:p w14:paraId="2F14E669" w14:textId="2E578D0A" w:rsidR="00F523E8" w:rsidRDefault="001A24E5" w:rsidP="00BF17FF">
      <w:pPr>
        <w:pStyle w:val="Caption"/>
        <w:spacing w:before="120" w:after="60"/>
        <w:jc w:val="both"/>
      </w:pPr>
      <w:bookmarkStart w:id="194" w:name="_Ref60909284"/>
      <w:r>
        <w:t xml:space="preserve">Figure </w:t>
      </w:r>
      <w:r w:rsidR="00BF3F75">
        <w:fldChar w:fldCharType="begin"/>
      </w:r>
      <w:r w:rsidR="00BF3F75">
        <w:instrText xml:space="preserve"> SEQ Figure \* ARABIC </w:instrText>
      </w:r>
      <w:r w:rsidR="00BF3F75">
        <w:fldChar w:fldCharType="separate"/>
      </w:r>
      <w:r w:rsidR="00EC5CC7">
        <w:rPr>
          <w:noProof/>
        </w:rPr>
        <w:t>38</w:t>
      </w:r>
      <w:r w:rsidR="00BF3F75">
        <w:rPr>
          <w:noProof/>
        </w:rPr>
        <w:fldChar w:fldCharType="end"/>
      </w:r>
      <w:bookmarkEnd w:id="194"/>
      <w:r>
        <w:t xml:space="preserve">: </w:t>
      </w:r>
      <w:r w:rsidRPr="00AD09A9">
        <w:t>Results of smoking cessation f</w:t>
      </w:r>
      <w:r w:rsidR="00E83076">
        <w:t>or</w:t>
      </w:r>
      <w:r w:rsidRPr="00AD09A9">
        <w:t xml:space="preserve"> at least six months follow-up in Hartmann-Boyce et al. </w:t>
      </w:r>
      <w:r w:rsidR="00255A5F">
        <w:t>(</w:t>
      </w:r>
      <w:r w:rsidRPr="00AD09A9">
        <w:t>2018</w:t>
      </w:r>
      <w:r w:rsidR="00255A5F">
        <w:t>)</w:t>
      </w:r>
      <w:r w:rsidRPr="00AD09A9">
        <w:t>, nasal spray versus patch</w:t>
      </w:r>
    </w:p>
    <w:p w14:paraId="17A09C46" w14:textId="77777777" w:rsidR="00B958B9" w:rsidRPr="00543DB6" w:rsidRDefault="00B958B9" w:rsidP="00B958B9">
      <w:pPr>
        <w:pStyle w:val="TableFooter"/>
        <w:keepNext/>
      </w:pPr>
      <w:r w:rsidRPr="00543DB6">
        <w:t xml:space="preserve">Source: </w:t>
      </w:r>
      <w:r w:rsidRPr="001607FC">
        <w:t>Hartmann-Boyce et al. (2018</w:t>
      </w:r>
      <w:r>
        <w:t>)</w:t>
      </w:r>
    </w:p>
    <w:p w14:paraId="4FD81632" w14:textId="042C50BB" w:rsidR="00F523E8" w:rsidRDefault="00B958B9" w:rsidP="00BF17FF">
      <w:pPr>
        <w:pStyle w:val="TableFooter"/>
        <w:keepNext/>
        <w:spacing w:after="120"/>
        <w:contextualSpacing w:val="0"/>
        <w:jc w:val="both"/>
      </w:pPr>
      <w:r w:rsidRPr="00543DB6">
        <w:t>Abbreviations: CI = confidence interval</w:t>
      </w:r>
    </w:p>
    <w:p w14:paraId="3FBE8799" w14:textId="37F7B323" w:rsidR="00C01C17" w:rsidRPr="00C01C17" w:rsidRDefault="00C01C17" w:rsidP="00BF17FF">
      <w:pPr>
        <w:spacing w:after="120"/>
        <w:jc w:val="both"/>
        <w:rPr>
          <w:u w:val="single"/>
        </w:rPr>
      </w:pPr>
      <w:r w:rsidRPr="00C01C17">
        <w:rPr>
          <w:u w:val="single"/>
        </w:rPr>
        <w:t>Safety</w:t>
      </w:r>
    </w:p>
    <w:p w14:paraId="2E7EE66A" w14:textId="0E2CC06E" w:rsidR="00C41D4F" w:rsidRDefault="00C41D4F" w:rsidP="00BF17FF">
      <w:pPr>
        <w:spacing w:after="120"/>
        <w:jc w:val="both"/>
      </w:pPr>
      <w:r w:rsidRPr="00A67889">
        <w:t xml:space="preserve">A summary of </w:t>
      </w:r>
      <w:r w:rsidR="00BF17FF">
        <w:t xml:space="preserve">the </w:t>
      </w:r>
      <w:r w:rsidRPr="00A67889">
        <w:t xml:space="preserve">key adverse events in </w:t>
      </w:r>
      <w:r w:rsidRPr="000E1B16">
        <w:t xml:space="preserve">Hartmann-Boyce et al. </w:t>
      </w:r>
      <w:r>
        <w:t>(</w:t>
      </w:r>
      <w:r w:rsidRPr="000E1B16">
        <w:t>2018</w:t>
      </w:r>
      <w:r>
        <w:t xml:space="preserve">) for the comparison of intranasal </w:t>
      </w:r>
      <w:r w:rsidR="00BF17FF">
        <w:t xml:space="preserve">NRT </w:t>
      </w:r>
      <w:r>
        <w:t>spray versus placebo, and</w:t>
      </w:r>
      <w:r w:rsidRPr="00A67889">
        <w:t xml:space="preserve"> Lindson et al. </w:t>
      </w:r>
      <w:r>
        <w:t>(</w:t>
      </w:r>
      <w:r w:rsidRPr="00A67889">
        <w:t>2019</w:t>
      </w:r>
      <w:r>
        <w:t>)</w:t>
      </w:r>
      <w:r w:rsidRPr="00A67889">
        <w:t xml:space="preserve"> for </w:t>
      </w:r>
      <w:r w:rsidR="00BF17FF">
        <w:t xml:space="preserve">the </w:t>
      </w:r>
      <w:r>
        <w:t xml:space="preserve">comparison of NRT nasal spray against </w:t>
      </w:r>
      <w:r w:rsidR="00573F59">
        <w:t>patches</w:t>
      </w:r>
      <w:r>
        <w:t xml:space="preserve"> </w:t>
      </w:r>
      <w:r w:rsidRPr="00A67889">
        <w:t xml:space="preserve">is presented </w:t>
      </w:r>
      <w:r w:rsidRPr="00086367">
        <w:t>in</w:t>
      </w:r>
      <w:r>
        <w:t xml:space="preserve"> </w:t>
      </w:r>
      <w:r w:rsidR="00DB128B">
        <w:fldChar w:fldCharType="begin" w:fldLock="1"/>
      </w:r>
      <w:r w:rsidR="00DB128B">
        <w:instrText xml:space="preserve"> REF _Ref62122171 \h </w:instrText>
      </w:r>
      <w:r w:rsidR="00DB128B">
        <w:fldChar w:fldCharType="separate"/>
      </w:r>
      <w:r w:rsidR="00EC5CC7">
        <w:t xml:space="preserve">Table </w:t>
      </w:r>
      <w:r w:rsidR="00EC5CC7">
        <w:rPr>
          <w:noProof/>
        </w:rPr>
        <w:t>111</w:t>
      </w:r>
      <w:r w:rsidR="00DB128B">
        <w:fldChar w:fldCharType="end"/>
      </w:r>
      <w:r w:rsidR="00DB128B">
        <w:t xml:space="preserve"> and </w:t>
      </w:r>
      <w:r w:rsidR="00DB128B">
        <w:fldChar w:fldCharType="begin" w:fldLock="1"/>
      </w:r>
      <w:r w:rsidR="00DB128B">
        <w:instrText xml:space="preserve"> REF _Ref62122172 \h </w:instrText>
      </w:r>
      <w:r w:rsidR="00DB128B">
        <w:fldChar w:fldCharType="separate"/>
      </w:r>
      <w:r w:rsidR="00EC5CC7">
        <w:t xml:space="preserve">Table </w:t>
      </w:r>
      <w:r w:rsidR="00EC5CC7">
        <w:rPr>
          <w:noProof/>
        </w:rPr>
        <w:t>112</w:t>
      </w:r>
      <w:r w:rsidR="00DB128B">
        <w:fldChar w:fldCharType="end"/>
      </w:r>
      <w:r w:rsidR="00DB128B">
        <w:t>,</w:t>
      </w:r>
      <w:r>
        <w:t xml:space="preserve"> respectively</w:t>
      </w:r>
      <w:r w:rsidRPr="00086367">
        <w:t xml:space="preserve">. </w:t>
      </w:r>
    </w:p>
    <w:p w14:paraId="555A2B67" w14:textId="66CCDE51" w:rsidR="00C41D4F" w:rsidRPr="00A60E2F" w:rsidRDefault="00C41D4F" w:rsidP="00BF17FF">
      <w:pPr>
        <w:spacing w:after="120"/>
        <w:jc w:val="both"/>
        <w:rPr>
          <w:rFonts w:eastAsia="MS Mincho"/>
        </w:rPr>
      </w:pPr>
      <w:r>
        <w:rPr>
          <w:rFonts w:eastAsia="MS Mincho"/>
        </w:rPr>
        <w:t xml:space="preserve">Out of three RCTs comparing </w:t>
      </w:r>
      <w:r w:rsidR="00BF17FF">
        <w:rPr>
          <w:rFonts w:eastAsia="MS Mincho"/>
        </w:rPr>
        <w:t xml:space="preserve">NRT </w:t>
      </w:r>
      <w:r>
        <w:rPr>
          <w:rFonts w:eastAsia="MS Mincho"/>
        </w:rPr>
        <w:t xml:space="preserve">nasal spray against placebo which reported </w:t>
      </w:r>
      <w:r w:rsidR="003C3296" w:rsidRPr="00A60E2F">
        <w:rPr>
          <w:rFonts w:eastAsia="MS Mincho"/>
        </w:rPr>
        <w:t>p</w:t>
      </w:r>
      <w:r w:rsidRPr="00A60E2F">
        <w:rPr>
          <w:rFonts w:eastAsia="MS Mincho"/>
        </w:rPr>
        <w:t>alpitations/chest pains</w:t>
      </w:r>
      <w:r>
        <w:rPr>
          <w:rFonts w:eastAsia="MS Mincho"/>
        </w:rPr>
        <w:t xml:space="preserve"> adverse events, only one study (</w:t>
      </w:r>
      <w:r w:rsidRPr="00A60E2F">
        <w:rPr>
          <w:rFonts w:eastAsia="MS Mincho"/>
        </w:rPr>
        <w:t>Schneider 1995</w:t>
      </w:r>
      <w:r>
        <w:rPr>
          <w:rFonts w:eastAsia="MS Mincho"/>
        </w:rPr>
        <w:t xml:space="preserve">) demonstrated </w:t>
      </w:r>
      <w:r w:rsidR="009D41BD">
        <w:rPr>
          <w:rFonts w:eastAsia="MS Mincho"/>
        </w:rPr>
        <w:t xml:space="preserve">a </w:t>
      </w:r>
      <w:r>
        <w:rPr>
          <w:rFonts w:eastAsia="MS Mincho"/>
        </w:rPr>
        <w:t>significant</w:t>
      </w:r>
      <w:r w:rsidR="00A30DA1">
        <w:rPr>
          <w:rFonts w:eastAsia="MS Mincho"/>
        </w:rPr>
        <w:t xml:space="preserve">ly higher rate in the </w:t>
      </w:r>
      <w:r w:rsidR="00BF17FF">
        <w:rPr>
          <w:rFonts w:eastAsia="MS Mincho"/>
        </w:rPr>
        <w:t xml:space="preserve">NRT </w:t>
      </w:r>
      <w:r w:rsidR="00A30DA1">
        <w:rPr>
          <w:rFonts w:eastAsia="MS Mincho"/>
        </w:rPr>
        <w:t>nasal spray arm</w:t>
      </w:r>
      <w:r>
        <w:rPr>
          <w:rFonts w:eastAsia="MS Mincho"/>
        </w:rPr>
        <w:t xml:space="preserve">. </w:t>
      </w:r>
      <w:r w:rsidR="00C547D5">
        <w:rPr>
          <w:rFonts w:eastAsia="MS Mincho"/>
        </w:rPr>
        <w:t xml:space="preserve">The results of the meta-analysis </w:t>
      </w:r>
      <w:r w:rsidR="00C547D5">
        <w:rPr>
          <w:rFonts w:eastAsia="MS Mincho"/>
        </w:rPr>
        <w:lastRenderedPageBreak/>
        <w:t>comprising the three RCTs</w:t>
      </w:r>
      <w:r w:rsidR="00420D42">
        <w:rPr>
          <w:rFonts w:eastAsia="MS Mincho"/>
        </w:rPr>
        <w:t xml:space="preserve"> demonstrated a significantly higher incidence of palpitations/chest pains adverse</w:t>
      </w:r>
      <w:r w:rsidR="00F008B8">
        <w:rPr>
          <w:rFonts w:eastAsia="MS Mincho"/>
        </w:rPr>
        <w:t xml:space="preserve"> events in the </w:t>
      </w:r>
      <w:r w:rsidR="00BF17FF">
        <w:rPr>
          <w:rFonts w:eastAsia="MS Mincho"/>
        </w:rPr>
        <w:t xml:space="preserve">NRT </w:t>
      </w:r>
      <w:r w:rsidR="00F008B8">
        <w:rPr>
          <w:rFonts w:eastAsia="MS Mincho"/>
        </w:rPr>
        <w:t>nasal spray arm compared to placebo.</w:t>
      </w:r>
      <w:r>
        <w:rPr>
          <w:rFonts w:eastAsia="MS Mincho"/>
        </w:rPr>
        <w:t xml:space="preserve"> </w:t>
      </w:r>
    </w:p>
    <w:p w14:paraId="7F3FDF69" w14:textId="76C98738" w:rsidR="00C41D4F" w:rsidRDefault="00C41D4F" w:rsidP="00BF17FF">
      <w:pPr>
        <w:spacing w:after="120"/>
        <w:jc w:val="both"/>
        <w:rPr>
          <w:rFonts w:eastAsia="MS Mincho"/>
        </w:rPr>
      </w:pPr>
      <w:r>
        <w:t xml:space="preserve">Among studies comparing </w:t>
      </w:r>
      <w:r w:rsidR="00BF17FF">
        <w:t xml:space="preserve">NRT </w:t>
      </w:r>
      <w:r>
        <w:t xml:space="preserve">nasal spray versus </w:t>
      </w:r>
      <w:r w:rsidR="00BF17FF">
        <w:t xml:space="preserve">NRT </w:t>
      </w:r>
      <w:r w:rsidR="00573F59">
        <w:t>patches</w:t>
      </w:r>
      <w:r>
        <w:t xml:space="preserve">, </w:t>
      </w:r>
      <w:r w:rsidRPr="009D1B10">
        <w:t xml:space="preserve">Lerman </w:t>
      </w:r>
      <w:r w:rsidR="009921B8">
        <w:t>et al. (</w:t>
      </w:r>
      <w:r w:rsidRPr="009D1B10">
        <w:t>2004</w:t>
      </w:r>
      <w:r w:rsidR="009921B8">
        <w:t>)</w:t>
      </w:r>
      <w:r>
        <w:t xml:space="preserve"> reported no </w:t>
      </w:r>
      <w:r w:rsidR="002A2FBC">
        <w:t>serious adverse event</w:t>
      </w:r>
      <w:r>
        <w:t xml:space="preserve">s in </w:t>
      </w:r>
      <w:r w:rsidR="002A2FBC">
        <w:t>either</w:t>
      </w:r>
      <w:r>
        <w:t xml:space="preserve"> tr</w:t>
      </w:r>
      <w:r w:rsidR="00D705E9">
        <w:t>eatment</w:t>
      </w:r>
      <w:r>
        <w:t xml:space="preserve"> arm, while </w:t>
      </w:r>
      <w:r w:rsidRPr="005D65B1">
        <w:rPr>
          <w:rFonts w:eastAsia="MS Mincho"/>
        </w:rPr>
        <w:t>Croghan 2003</w:t>
      </w:r>
      <w:r>
        <w:rPr>
          <w:rFonts w:eastAsia="MS Mincho"/>
        </w:rPr>
        <w:t xml:space="preserve"> showed </w:t>
      </w:r>
      <w:r w:rsidR="009D41BD">
        <w:rPr>
          <w:rFonts w:eastAsia="MS Mincho"/>
        </w:rPr>
        <w:t xml:space="preserve">a </w:t>
      </w:r>
      <w:r>
        <w:rPr>
          <w:rFonts w:eastAsia="MS Mincho"/>
        </w:rPr>
        <w:t>significant</w:t>
      </w:r>
      <w:r w:rsidR="00D705E9">
        <w:rPr>
          <w:rFonts w:eastAsia="MS Mincho"/>
        </w:rPr>
        <w:t>ly higher</w:t>
      </w:r>
      <w:r>
        <w:rPr>
          <w:rFonts w:eastAsia="MS Mincho"/>
        </w:rPr>
        <w:t xml:space="preserve"> </w:t>
      </w:r>
      <w:r w:rsidR="008B12C5">
        <w:rPr>
          <w:rFonts w:eastAsia="MS Mincho"/>
        </w:rPr>
        <w:t>rate</w:t>
      </w:r>
      <w:r>
        <w:rPr>
          <w:rFonts w:eastAsia="MS Mincho"/>
        </w:rPr>
        <w:t xml:space="preserve"> of treatment withdrawals in </w:t>
      </w:r>
      <w:r w:rsidR="008B12C5">
        <w:rPr>
          <w:rFonts w:eastAsia="MS Mincho"/>
        </w:rPr>
        <w:t>the nasal spray arm</w:t>
      </w:r>
      <w:r>
        <w:rPr>
          <w:rFonts w:eastAsia="MS Mincho"/>
        </w:rPr>
        <w:t xml:space="preserve">. </w:t>
      </w:r>
    </w:p>
    <w:p w14:paraId="506ACCE8" w14:textId="0EE30D8E" w:rsidR="00C41D4F" w:rsidRDefault="00C41D4F" w:rsidP="00BF17FF">
      <w:pPr>
        <w:pStyle w:val="Caption"/>
        <w:keepNext/>
        <w:spacing w:before="0" w:after="120"/>
        <w:jc w:val="both"/>
      </w:pPr>
      <w:bookmarkStart w:id="195" w:name="_Ref62122171"/>
      <w:r>
        <w:t xml:space="preserve">Table </w:t>
      </w:r>
      <w:r w:rsidR="00BF3F75">
        <w:fldChar w:fldCharType="begin"/>
      </w:r>
      <w:r w:rsidR="00BF3F75">
        <w:instrText xml:space="preserve"> SEQ Table \* ARABIC </w:instrText>
      </w:r>
      <w:r w:rsidR="00BF3F75">
        <w:fldChar w:fldCharType="separate"/>
      </w:r>
      <w:r w:rsidR="00EC5CC7">
        <w:rPr>
          <w:noProof/>
        </w:rPr>
        <w:t>111</w:t>
      </w:r>
      <w:r w:rsidR="00BF3F75">
        <w:rPr>
          <w:noProof/>
        </w:rPr>
        <w:fldChar w:fldCharType="end"/>
      </w:r>
      <w:bookmarkEnd w:id="195"/>
      <w:r>
        <w:t xml:space="preserve">: </w:t>
      </w:r>
      <w:r w:rsidRPr="00351900">
        <w:t xml:space="preserve">Summary of key adverse events in Hartmann-Boyce et al. </w:t>
      </w:r>
      <w:r>
        <w:t>(</w:t>
      </w:r>
      <w:r w:rsidRPr="00351900">
        <w:t>2018</w:t>
      </w:r>
      <w:r>
        <w:t>)</w:t>
      </w:r>
      <w:r w:rsidRPr="00351900">
        <w:t>, NRT nasal spray versus placebo</w:t>
      </w:r>
    </w:p>
    <w:tbl>
      <w:tblPr>
        <w:tblStyle w:val="TableGrid"/>
        <w:tblW w:w="5000" w:type="pct"/>
        <w:tblLook w:val="04A0" w:firstRow="1" w:lastRow="0" w:firstColumn="1" w:lastColumn="0" w:noHBand="0" w:noVBand="1"/>
        <w:tblCaption w:val="Efficacy results of adalimumab trials (PASI 75 and DLQI)"/>
      </w:tblPr>
      <w:tblGrid>
        <w:gridCol w:w="1417"/>
        <w:gridCol w:w="1416"/>
        <w:gridCol w:w="2124"/>
        <w:gridCol w:w="1843"/>
        <w:gridCol w:w="2216"/>
      </w:tblGrid>
      <w:tr w:rsidR="00C41D4F" w:rsidRPr="00061F78" w14:paraId="1CA0E3E5" w14:textId="77777777" w:rsidTr="00125A1C">
        <w:trPr>
          <w:cantSplit/>
          <w:trHeight w:val="299"/>
          <w:tblHeader/>
        </w:trPr>
        <w:tc>
          <w:tcPr>
            <w:tcW w:w="786" w:type="pct"/>
            <w:shd w:val="clear" w:color="auto" w:fill="BFBFBF" w:themeFill="background1" w:themeFillShade="BF"/>
            <w:tcMar>
              <w:left w:w="28" w:type="dxa"/>
              <w:right w:w="28" w:type="dxa"/>
            </w:tcMar>
            <w:vAlign w:val="center"/>
          </w:tcPr>
          <w:p w14:paraId="2C43D399" w14:textId="77777777" w:rsidR="00C41D4F" w:rsidRDefault="00C41D4F" w:rsidP="00125A1C">
            <w:pPr>
              <w:pStyle w:val="Tableheading"/>
              <w:rPr>
                <w:rFonts w:eastAsia="MS Mincho"/>
              </w:rPr>
            </w:pPr>
            <w:r>
              <w:rPr>
                <w:rFonts w:eastAsia="MS Mincho"/>
              </w:rPr>
              <w:t>Study</w:t>
            </w:r>
          </w:p>
        </w:tc>
        <w:tc>
          <w:tcPr>
            <w:tcW w:w="785" w:type="pct"/>
            <w:shd w:val="clear" w:color="auto" w:fill="BFBFBF" w:themeFill="background1" w:themeFillShade="BF"/>
          </w:tcPr>
          <w:p w14:paraId="41195CF7" w14:textId="77777777" w:rsidR="00C41D4F" w:rsidRDefault="00C41D4F" w:rsidP="00125A1C">
            <w:pPr>
              <w:pStyle w:val="Tableheading"/>
              <w:jc w:val="center"/>
              <w:rPr>
                <w:rFonts w:eastAsia="MS Mincho"/>
              </w:rPr>
            </w:pPr>
            <w:r>
              <w:rPr>
                <w:rFonts w:eastAsia="MS Mincho"/>
              </w:rPr>
              <w:t>Study type</w:t>
            </w:r>
          </w:p>
        </w:tc>
        <w:tc>
          <w:tcPr>
            <w:tcW w:w="1178" w:type="pct"/>
            <w:shd w:val="clear" w:color="auto" w:fill="BFBFBF" w:themeFill="background1" w:themeFillShade="BF"/>
            <w:tcMar>
              <w:left w:w="28" w:type="dxa"/>
              <w:right w:w="28" w:type="dxa"/>
            </w:tcMar>
            <w:vAlign w:val="center"/>
          </w:tcPr>
          <w:p w14:paraId="0510350B" w14:textId="04C7A39A" w:rsidR="00C41D4F" w:rsidRPr="00061F78" w:rsidRDefault="001428E3" w:rsidP="00125A1C">
            <w:pPr>
              <w:pStyle w:val="Tableheading"/>
              <w:jc w:val="center"/>
              <w:rPr>
                <w:rFonts w:eastAsia="MS Mincho"/>
              </w:rPr>
            </w:pPr>
            <w:r>
              <w:rPr>
                <w:rFonts w:eastAsia="MS Mincho"/>
              </w:rPr>
              <w:t>N</w:t>
            </w:r>
            <w:r w:rsidR="00C41D4F">
              <w:rPr>
                <w:rFonts w:eastAsia="MS Mincho"/>
              </w:rPr>
              <w:t>asal spray</w:t>
            </w:r>
          </w:p>
        </w:tc>
        <w:tc>
          <w:tcPr>
            <w:tcW w:w="1022" w:type="pct"/>
            <w:shd w:val="clear" w:color="auto" w:fill="BFBFBF" w:themeFill="background1" w:themeFillShade="BF"/>
            <w:tcMar>
              <w:left w:w="28" w:type="dxa"/>
              <w:right w:w="28" w:type="dxa"/>
            </w:tcMar>
            <w:vAlign w:val="center"/>
          </w:tcPr>
          <w:p w14:paraId="59CF9B25" w14:textId="77777777" w:rsidR="00C41D4F" w:rsidRPr="00061F78" w:rsidRDefault="00C41D4F" w:rsidP="00125A1C">
            <w:pPr>
              <w:pStyle w:val="Tableheading"/>
              <w:jc w:val="center"/>
              <w:rPr>
                <w:rFonts w:eastAsia="MS Mincho"/>
              </w:rPr>
            </w:pPr>
            <w:r>
              <w:rPr>
                <w:rFonts w:eastAsia="MS Mincho"/>
              </w:rPr>
              <w:t>Placebo</w:t>
            </w:r>
          </w:p>
        </w:tc>
        <w:tc>
          <w:tcPr>
            <w:tcW w:w="1229" w:type="pct"/>
            <w:shd w:val="clear" w:color="auto" w:fill="BFBFBF" w:themeFill="background1" w:themeFillShade="BF"/>
            <w:tcMar>
              <w:left w:w="28" w:type="dxa"/>
              <w:right w:w="28" w:type="dxa"/>
            </w:tcMar>
            <w:vAlign w:val="center"/>
          </w:tcPr>
          <w:p w14:paraId="0C7FC478" w14:textId="0267D71D" w:rsidR="00C41D4F" w:rsidRPr="00681ACA" w:rsidRDefault="00C41D4F" w:rsidP="00125A1C">
            <w:pPr>
              <w:pStyle w:val="Tableheading"/>
              <w:jc w:val="center"/>
              <w:rPr>
                <w:rFonts w:eastAsia="MS Mincho"/>
                <w:vertAlign w:val="superscript"/>
              </w:rPr>
            </w:pPr>
            <w:r>
              <w:rPr>
                <w:rFonts w:eastAsia="MS Mincho"/>
              </w:rPr>
              <w:t>RR (95% CI)</w:t>
            </w:r>
          </w:p>
        </w:tc>
      </w:tr>
      <w:tr w:rsidR="00C41D4F" w:rsidRPr="00061F78" w14:paraId="193FACCE" w14:textId="77777777" w:rsidTr="00DB128B">
        <w:trPr>
          <w:cantSplit/>
          <w:trHeight w:val="99"/>
        </w:trPr>
        <w:tc>
          <w:tcPr>
            <w:tcW w:w="5000" w:type="pct"/>
            <w:gridSpan w:val="5"/>
            <w:shd w:val="clear" w:color="auto" w:fill="auto"/>
          </w:tcPr>
          <w:p w14:paraId="635399C9" w14:textId="77777777" w:rsidR="00C41D4F" w:rsidRPr="00DB128B" w:rsidRDefault="00C41D4F" w:rsidP="00125A1C">
            <w:pPr>
              <w:pStyle w:val="Tablewriting"/>
              <w:rPr>
                <w:rFonts w:eastAsia="MS Mincho"/>
                <w:b/>
                <w:bCs/>
              </w:rPr>
            </w:pPr>
            <w:r w:rsidRPr="00DB128B">
              <w:rPr>
                <w:b/>
                <w:bCs/>
              </w:rPr>
              <w:t>Palpitations/chest pains</w:t>
            </w:r>
          </w:p>
        </w:tc>
      </w:tr>
      <w:tr w:rsidR="00C41D4F" w:rsidRPr="00061F78" w14:paraId="4E6B8603" w14:textId="77777777" w:rsidTr="00125A1C">
        <w:trPr>
          <w:cantSplit/>
          <w:trHeight w:val="99"/>
        </w:trPr>
        <w:tc>
          <w:tcPr>
            <w:tcW w:w="786" w:type="pct"/>
            <w:shd w:val="clear" w:color="auto" w:fill="auto"/>
            <w:tcMar>
              <w:left w:w="28" w:type="dxa"/>
              <w:right w:w="28" w:type="dxa"/>
            </w:tcMar>
            <w:vAlign w:val="center"/>
          </w:tcPr>
          <w:p w14:paraId="3AD52D2F" w14:textId="77777777" w:rsidR="00C41D4F" w:rsidRDefault="00C41D4F" w:rsidP="00125A1C">
            <w:pPr>
              <w:pStyle w:val="Tablewriting"/>
              <w:rPr>
                <w:rFonts w:eastAsia="MS Mincho"/>
              </w:rPr>
            </w:pPr>
            <w:r w:rsidRPr="0072022D">
              <w:rPr>
                <w:rFonts w:eastAsia="MS Mincho"/>
              </w:rPr>
              <w:t xml:space="preserve">Hjalmarson </w:t>
            </w:r>
          </w:p>
          <w:p w14:paraId="1F332F74" w14:textId="77777777" w:rsidR="00C41D4F" w:rsidRPr="001277A6" w:rsidRDefault="00C41D4F" w:rsidP="00125A1C">
            <w:pPr>
              <w:pStyle w:val="Tablewriting"/>
              <w:rPr>
                <w:rFonts w:eastAsia="MS Mincho"/>
              </w:rPr>
            </w:pPr>
            <w:r w:rsidRPr="4F0C2BFD">
              <w:rPr>
                <w:rFonts w:eastAsia="MS Mincho"/>
              </w:rPr>
              <w:t>(</w:t>
            </w:r>
            <w:r w:rsidRPr="0072022D">
              <w:rPr>
                <w:rFonts w:eastAsia="MS Mincho"/>
              </w:rPr>
              <w:t>1994</w:t>
            </w:r>
            <w:r w:rsidRPr="4F0C2BFD">
              <w:rPr>
                <w:rFonts w:eastAsia="MS Mincho"/>
              </w:rPr>
              <w:t>)</w:t>
            </w:r>
          </w:p>
        </w:tc>
        <w:tc>
          <w:tcPr>
            <w:tcW w:w="785" w:type="pct"/>
            <w:vAlign w:val="center"/>
          </w:tcPr>
          <w:p w14:paraId="09B044A5" w14:textId="77777777"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14:paraId="4A4616B4" w14:textId="77777777" w:rsidR="00C41D4F" w:rsidRPr="00605C3F" w:rsidRDefault="00C41D4F" w:rsidP="00125A1C">
            <w:pPr>
              <w:pStyle w:val="Tablewriting"/>
              <w:jc w:val="center"/>
              <w:rPr>
                <w:rFonts w:eastAsia="MS Mincho"/>
              </w:rPr>
            </w:pPr>
            <w:r w:rsidRPr="00605C3F">
              <w:rPr>
                <w:rFonts w:eastAsia="MS Mincho"/>
              </w:rPr>
              <w:t>6/116</w:t>
            </w:r>
          </w:p>
          <w:p w14:paraId="7DE1CA08" w14:textId="77777777" w:rsidR="00C41D4F" w:rsidRPr="00605C3F" w:rsidRDefault="00C41D4F" w:rsidP="00125A1C">
            <w:pPr>
              <w:pStyle w:val="Tablewriting"/>
              <w:jc w:val="center"/>
              <w:rPr>
                <w:rFonts w:eastAsia="MS Mincho"/>
              </w:rPr>
            </w:pPr>
            <w:r w:rsidRPr="00605C3F">
              <w:rPr>
                <w:rFonts w:eastAsia="MS Mincho"/>
              </w:rPr>
              <w:t>(5.2%)</w:t>
            </w:r>
          </w:p>
        </w:tc>
        <w:tc>
          <w:tcPr>
            <w:tcW w:w="1022" w:type="pct"/>
            <w:shd w:val="clear" w:color="auto" w:fill="auto"/>
            <w:tcMar>
              <w:left w:w="28" w:type="dxa"/>
              <w:right w:w="28" w:type="dxa"/>
            </w:tcMar>
            <w:vAlign w:val="center"/>
          </w:tcPr>
          <w:p w14:paraId="5A10A285" w14:textId="77777777" w:rsidR="00C41D4F" w:rsidRPr="00605C3F" w:rsidRDefault="00C41D4F" w:rsidP="00125A1C">
            <w:pPr>
              <w:pStyle w:val="Tablewriting"/>
              <w:jc w:val="center"/>
              <w:rPr>
                <w:rFonts w:eastAsia="MS Mincho"/>
              </w:rPr>
            </w:pPr>
            <w:r w:rsidRPr="00605C3F">
              <w:rPr>
                <w:rFonts w:eastAsia="MS Mincho"/>
              </w:rPr>
              <w:t>2/107</w:t>
            </w:r>
          </w:p>
          <w:p w14:paraId="4B37ADD8" w14:textId="77777777" w:rsidR="00C41D4F" w:rsidRPr="00605C3F" w:rsidRDefault="00C41D4F" w:rsidP="00125A1C">
            <w:pPr>
              <w:pStyle w:val="Tablewriting"/>
              <w:jc w:val="center"/>
              <w:rPr>
                <w:rFonts w:eastAsia="MS Mincho"/>
              </w:rPr>
            </w:pPr>
            <w:r w:rsidRPr="00605C3F">
              <w:rPr>
                <w:rFonts w:eastAsia="MS Mincho"/>
              </w:rPr>
              <w:t>(1.9%)</w:t>
            </w:r>
          </w:p>
        </w:tc>
        <w:tc>
          <w:tcPr>
            <w:tcW w:w="1229" w:type="pct"/>
            <w:shd w:val="clear" w:color="auto" w:fill="auto"/>
            <w:tcMar>
              <w:left w:w="28" w:type="dxa"/>
              <w:right w:w="28" w:type="dxa"/>
            </w:tcMar>
            <w:vAlign w:val="center"/>
          </w:tcPr>
          <w:p w14:paraId="32151608" w14:textId="77777777" w:rsidR="00C41D4F" w:rsidRDefault="00C41D4F" w:rsidP="00125A1C">
            <w:pPr>
              <w:pStyle w:val="Tablewriting"/>
              <w:jc w:val="center"/>
              <w:rPr>
                <w:rFonts w:eastAsia="MS Mincho"/>
                <w:bCs/>
              </w:rPr>
            </w:pPr>
            <w:r>
              <w:rPr>
                <w:rFonts w:eastAsia="MS Mincho"/>
                <w:bCs/>
              </w:rPr>
              <w:t>4.42</w:t>
            </w:r>
          </w:p>
          <w:p w14:paraId="6DFAED39" w14:textId="77777777" w:rsidR="00C41D4F" w:rsidRPr="009C6771" w:rsidRDefault="00C41D4F" w:rsidP="00125A1C">
            <w:pPr>
              <w:pStyle w:val="Tablewriting"/>
              <w:jc w:val="center"/>
              <w:rPr>
                <w:rFonts w:eastAsia="MS Mincho"/>
                <w:bCs/>
              </w:rPr>
            </w:pPr>
            <w:r>
              <w:rPr>
                <w:rFonts w:eastAsia="MS Mincho"/>
                <w:bCs/>
              </w:rPr>
              <w:t>(0.93, 20.92)</w:t>
            </w:r>
          </w:p>
        </w:tc>
      </w:tr>
      <w:tr w:rsidR="00C41D4F" w:rsidRPr="00061F78" w14:paraId="7BAFF6F3" w14:textId="77777777" w:rsidTr="00125A1C">
        <w:trPr>
          <w:cantSplit/>
          <w:trHeight w:val="99"/>
        </w:trPr>
        <w:tc>
          <w:tcPr>
            <w:tcW w:w="786" w:type="pct"/>
            <w:shd w:val="clear" w:color="auto" w:fill="auto"/>
            <w:tcMar>
              <w:left w:w="28" w:type="dxa"/>
              <w:right w:w="28" w:type="dxa"/>
            </w:tcMar>
            <w:vAlign w:val="center"/>
          </w:tcPr>
          <w:p w14:paraId="0E0106EC" w14:textId="77777777" w:rsidR="00C41D4F" w:rsidRDefault="00C41D4F" w:rsidP="00125A1C">
            <w:pPr>
              <w:pStyle w:val="Tablewriting"/>
              <w:rPr>
                <w:rFonts w:eastAsia="MS Mincho"/>
              </w:rPr>
            </w:pPr>
            <w:r w:rsidRPr="00E1350C">
              <w:rPr>
                <w:rFonts w:eastAsia="MS Mincho"/>
              </w:rPr>
              <w:t>Schneider</w:t>
            </w:r>
            <w:r>
              <w:rPr>
                <w:rFonts w:eastAsia="MS Mincho"/>
              </w:rPr>
              <w:t xml:space="preserve"> </w:t>
            </w:r>
          </w:p>
          <w:p w14:paraId="58733971" w14:textId="77777777" w:rsidR="00C41D4F" w:rsidRPr="0072022D" w:rsidRDefault="00C41D4F" w:rsidP="00125A1C">
            <w:pPr>
              <w:pStyle w:val="Tablewriting"/>
              <w:rPr>
                <w:rFonts w:eastAsia="MS Mincho"/>
              </w:rPr>
            </w:pPr>
            <w:r w:rsidRPr="4F0C2BFD">
              <w:rPr>
                <w:rFonts w:eastAsia="MS Mincho"/>
              </w:rPr>
              <w:t>(</w:t>
            </w:r>
            <w:r w:rsidRPr="00E1350C">
              <w:rPr>
                <w:rFonts w:eastAsia="MS Mincho"/>
              </w:rPr>
              <w:t>1995</w:t>
            </w:r>
            <w:r w:rsidRPr="4F0C2BFD">
              <w:rPr>
                <w:rFonts w:eastAsia="MS Mincho"/>
              </w:rPr>
              <w:t>)</w:t>
            </w:r>
          </w:p>
        </w:tc>
        <w:tc>
          <w:tcPr>
            <w:tcW w:w="785" w:type="pct"/>
            <w:vAlign w:val="center"/>
          </w:tcPr>
          <w:p w14:paraId="576F763F" w14:textId="77777777"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14:paraId="6A1832B0" w14:textId="77777777" w:rsidR="00C41D4F" w:rsidRPr="00605C3F" w:rsidRDefault="00C41D4F" w:rsidP="00125A1C">
            <w:pPr>
              <w:pStyle w:val="Tablewriting"/>
              <w:jc w:val="center"/>
              <w:rPr>
                <w:rFonts w:eastAsia="MS Mincho"/>
              </w:rPr>
            </w:pPr>
            <w:r w:rsidRPr="00605C3F">
              <w:rPr>
                <w:rFonts w:eastAsia="MS Mincho"/>
              </w:rPr>
              <w:t>23/128</w:t>
            </w:r>
          </w:p>
          <w:p w14:paraId="3D5D880B" w14:textId="77777777" w:rsidR="00C41D4F" w:rsidRPr="00605C3F" w:rsidRDefault="00C41D4F" w:rsidP="00125A1C">
            <w:pPr>
              <w:pStyle w:val="Tablewriting"/>
              <w:jc w:val="center"/>
              <w:rPr>
                <w:rFonts w:eastAsia="MS Mincho"/>
              </w:rPr>
            </w:pPr>
            <w:r w:rsidRPr="00605C3F">
              <w:rPr>
                <w:rFonts w:eastAsia="MS Mincho"/>
              </w:rPr>
              <w:t>(18%)</w:t>
            </w:r>
          </w:p>
        </w:tc>
        <w:tc>
          <w:tcPr>
            <w:tcW w:w="1022" w:type="pct"/>
            <w:shd w:val="clear" w:color="auto" w:fill="auto"/>
            <w:tcMar>
              <w:left w:w="28" w:type="dxa"/>
              <w:right w:w="28" w:type="dxa"/>
            </w:tcMar>
            <w:vAlign w:val="center"/>
          </w:tcPr>
          <w:p w14:paraId="4838DC5F" w14:textId="77777777" w:rsidR="00C41D4F" w:rsidRPr="00605C3F" w:rsidRDefault="00C41D4F" w:rsidP="00125A1C">
            <w:pPr>
              <w:pStyle w:val="Tablewriting"/>
              <w:jc w:val="center"/>
              <w:rPr>
                <w:rFonts w:eastAsia="MS Mincho"/>
              </w:rPr>
            </w:pPr>
            <w:r w:rsidRPr="00605C3F">
              <w:rPr>
                <w:rFonts w:eastAsia="MS Mincho"/>
              </w:rPr>
              <w:t>10/127</w:t>
            </w:r>
          </w:p>
          <w:p w14:paraId="486B0233" w14:textId="77777777" w:rsidR="00C41D4F" w:rsidRPr="00605C3F" w:rsidRDefault="00C41D4F" w:rsidP="00125A1C">
            <w:pPr>
              <w:pStyle w:val="Tablewriting"/>
              <w:jc w:val="center"/>
              <w:rPr>
                <w:rFonts w:eastAsia="MS Mincho"/>
              </w:rPr>
            </w:pPr>
            <w:r w:rsidRPr="00605C3F">
              <w:rPr>
                <w:rFonts w:eastAsia="MS Mincho"/>
              </w:rPr>
              <w:t>(7.9%)</w:t>
            </w:r>
          </w:p>
        </w:tc>
        <w:tc>
          <w:tcPr>
            <w:tcW w:w="1229" w:type="pct"/>
            <w:shd w:val="clear" w:color="auto" w:fill="auto"/>
            <w:tcMar>
              <w:left w:w="28" w:type="dxa"/>
              <w:right w:w="28" w:type="dxa"/>
            </w:tcMar>
            <w:vAlign w:val="center"/>
          </w:tcPr>
          <w:p w14:paraId="4C4048A0" w14:textId="77777777" w:rsidR="00C41D4F" w:rsidRPr="00AF5CCA" w:rsidRDefault="00C41D4F" w:rsidP="00125A1C">
            <w:pPr>
              <w:pStyle w:val="Tablewriting"/>
              <w:jc w:val="center"/>
              <w:rPr>
                <w:rFonts w:eastAsia="MS Mincho"/>
                <w:b/>
              </w:rPr>
            </w:pPr>
            <w:r w:rsidRPr="00AF5CCA">
              <w:rPr>
                <w:rFonts w:eastAsia="MS Mincho"/>
                <w:b/>
              </w:rPr>
              <w:t>2.56</w:t>
            </w:r>
          </w:p>
          <w:p w14:paraId="592F03C1" w14:textId="77777777" w:rsidR="00C41D4F" w:rsidRPr="009C6771" w:rsidRDefault="00C41D4F" w:rsidP="00125A1C">
            <w:pPr>
              <w:pStyle w:val="Tablewriting"/>
              <w:jc w:val="center"/>
              <w:rPr>
                <w:rFonts w:eastAsia="MS Mincho"/>
                <w:bCs/>
              </w:rPr>
            </w:pPr>
            <w:r w:rsidRPr="00AF5CCA">
              <w:rPr>
                <w:rFonts w:eastAsia="MS Mincho"/>
                <w:b/>
              </w:rPr>
              <w:t>(1.17,5.63)</w:t>
            </w:r>
            <w:r>
              <w:rPr>
                <w:rFonts w:eastAsia="MS Mincho"/>
                <w:bCs/>
              </w:rPr>
              <w:t xml:space="preserve"> </w:t>
            </w:r>
          </w:p>
        </w:tc>
      </w:tr>
      <w:tr w:rsidR="00C41D4F" w:rsidRPr="00061F78" w14:paraId="5E5711FE" w14:textId="77777777" w:rsidTr="00125A1C">
        <w:trPr>
          <w:cantSplit/>
          <w:trHeight w:val="99"/>
        </w:trPr>
        <w:tc>
          <w:tcPr>
            <w:tcW w:w="786" w:type="pct"/>
            <w:shd w:val="clear" w:color="auto" w:fill="auto"/>
            <w:tcMar>
              <w:left w:w="28" w:type="dxa"/>
              <w:right w:w="28" w:type="dxa"/>
            </w:tcMar>
            <w:vAlign w:val="center"/>
          </w:tcPr>
          <w:p w14:paraId="28A1C170" w14:textId="77777777" w:rsidR="00C41D4F" w:rsidRDefault="00C41D4F" w:rsidP="00125A1C">
            <w:pPr>
              <w:pStyle w:val="Tablewriting"/>
              <w:rPr>
                <w:rFonts w:eastAsia="MS Mincho"/>
              </w:rPr>
            </w:pPr>
            <w:r w:rsidRPr="007F3C11">
              <w:rPr>
                <w:rFonts w:eastAsia="MS Mincho"/>
              </w:rPr>
              <w:t xml:space="preserve">Sutherland </w:t>
            </w:r>
          </w:p>
          <w:p w14:paraId="6086B496" w14:textId="77777777" w:rsidR="00C41D4F" w:rsidRPr="0072022D" w:rsidRDefault="00C41D4F" w:rsidP="00125A1C">
            <w:pPr>
              <w:pStyle w:val="Tablewriting"/>
              <w:rPr>
                <w:rFonts w:eastAsia="MS Mincho"/>
              </w:rPr>
            </w:pPr>
            <w:r w:rsidRPr="4F0C2BFD">
              <w:rPr>
                <w:rFonts w:eastAsia="MS Mincho"/>
              </w:rPr>
              <w:t>(</w:t>
            </w:r>
            <w:r w:rsidRPr="007F3C11">
              <w:rPr>
                <w:rFonts w:eastAsia="MS Mincho"/>
              </w:rPr>
              <w:t>1992</w:t>
            </w:r>
            <w:r w:rsidRPr="4F0C2BFD">
              <w:rPr>
                <w:rFonts w:eastAsia="MS Mincho"/>
              </w:rPr>
              <w:t>)</w:t>
            </w:r>
            <w:r w:rsidRPr="007F3C11">
              <w:rPr>
                <w:rFonts w:eastAsia="MS Mincho"/>
              </w:rPr>
              <w:t xml:space="preserve"> </w:t>
            </w:r>
          </w:p>
        </w:tc>
        <w:tc>
          <w:tcPr>
            <w:tcW w:w="785" w:type="pct"/>
            <w:vAlign w:val="center"/>
          </w:tcPr>
          <w:p w14:paraId="2ACAC299" w14:textId="77777777" w:rsidR="00C41D4F" w:rsidRDefault="00C41D4F" w:rsidP="00125A1C">
            <w:pPr>
              <w:pStyle w:val="Tablewriting"/>
              <w:jc w:val="center"/>
              <w:rPr>
                <w:rFonts w:eastAsia="MS Mincho"/>
              </w:rPr>
            </w:pPr>
            <w:r>
              <w:rPr>
                <w:rFonts w:eastAsia="MS Mincho"/>
              </w:rPr>
              <w:t>RCT</w:t>
            </w:r>
          </w:p>
        </w:tc>
        <w:tc>
          <w:tcPr>
            <w:tcW w:w="1178" w:type="pct"/>
            <w:shd w:val="clear" w:color="auto" w:fill="auto"/>
            <w:tcMar>
              <w:left w:w="28" w:type="dxa"/>
              <w:right w:w="28" w:type="dxa"/>
            </w:tcMar>
            <w:vAlign w:val="center"/>
          </w:tcPr>
          <w:p w14:paraId="3F9834D5" w14:textId="77777777" w:rsidR="00C41D4F" w:rsidRPr="00605C3F" w:rsidRDefault="00C41D4F" w:rsidP="00125A1C">
            <w:pPr>
              <w:pStyle w:val="Tablewriting"/>
              <w:jc w:val="center"/>
              <w:rPr>
                <w:rFonts w:eastAsia="MS Mincho"/>
              </w:rPr>
            </w:pPr>
            <w:r w:rsidRPr="00605C3F">
              <w:rPr>
                <w:rFonts w:eastAsia="MS Mincho"/>
              </w:rPr>
              <w:t>26/111</w:t>
            </w:r>
          </w:p>
          <w:p w14:paraId="4D2FB3A2" w14:textId="77777777" w:rsidR="00C41D4F" w:rsidRPr="00605C3F" w:rsidRDefault="00C41D4F" w:rsidP="00125A1C">
            <w:pPr>
              <w:pStyle w:val="Tablewriting"/>
              <w:jc w:val="center"/>
              <w:rPr>
                <w:rFonts w:eastAsia="MS Mincho"/>
              </w:rPr>
            </w:pPr>
            <w:r w:rsidRPr="00605C3F">
              <w:rPr>
                <w:rFonts w:eastAsia="MS Mincho"/>
              </w:rPr>
              <w:t>(23.4%)</w:t>
            </w:r>
          </w:p>
        </w:tc>
        <w:tc>
          <w:tcPr>
            <w:tcW w:w="1022" w:type="pct"/>
            <w:shd w:val="clear" w:color="auto" w:fill="auto"/>
            <w:tcMar>
              <w:left w:w="28" w:type="dxa"/>
              <w:right w:w="28" w:type="dxa"/>
            </w:tcMar>
            <w:vAlign w:val="center"/>
          </w:tcPr>
          <w:p w14:paraId="3A0B290A" w14:textId="77777777" w:rsidR="00C41D4F" w:rsidRPr="00605C3F" w:rsidRDefault="00C41D4F" w:rsidP="00125A1C">
            <w:pPr>
              <w:pStyle w:val="Tablewriting"/>
              <w:jc w:val="center"/>
              <w:rPr>
                <w:rFonts w:eastAsia="MS Mincho"/>
              </w:rPr>
            </w:pPr>
            <w:r w:rsidRPr="00605C3F">
              <w:rPr>
                <w:rFonts w:eastAsia="MS Mincho"/>
              </w:rPr>
              <w:t>15/103</w:t>
            </w:r>
          </w:p>
          <w:p w14:paraId="593240A5" w14:textId="77777777" w:rsidR="00C41D4F" w:rsidRPr="00605C3F" w:rsidRDefault="00C41D4F" w:rsidP="00125A1C">
            <w:pPr>
              <w:pStyle w:val="Tablewriting"/>
              <w:jc w:val="center"/>
              <w:rPr>
                <w:rFonts w:eastAsia="MS Mincho"/>
              </w:rPr>
            </w:pPr>
            <w:r w:rsidRPr="00605C3F">
              <w:rPr>
                <w:rFonts w:eastAsia="MS Mincho"/>
              </w:rPr>
              <w:t>(14.6%)</w:t>
            </w:r>
          </w:p>
        </w:tc>
        <w:tc>
          <w:tcPr>
            <w:tcW w:w="1229" w:type="pct"/>
            <w:shd w:val="clear" w:color="auto" w:fill="auto"/>
            <w:tcMar>
              <w:left w:w="28" w:type="dxa"/>
              <w:right w:w="28" w:type="dxa"/>
            </w:tcMar>
            <w:vAlign w:val="center"/>
          </w:tcPr>
          <w:p w14:paraId="77E6D5E0" w14:textId="77777777" w:rsidR="00C41D4F" w:rsidRDefault="00C41D4F" w:rsidP="00125A1C">
            <w:pPr>
              <w:pStyle w:val="Tablewriting"/>
              <w:jc w:val="center"/>
              <w:rPr>
                <w:rFonts w:eastAsia="MS Mincho"/>
                <w:bCs/>
              </w:rPr>
            </w:pPr>
            <w:r>
              <w:rPr>
                <w:rFonts w:eastAsia="MS Mincho"/>
                <w:bCs/>
              </w:rPr>
              <w:t>1.79</w:t>
            </w:r>
          </w:p>
          <w:p w14:paraId="6DA7EDB4" w14:textId="77777777" w:rsidR="00C41D4F" w:rsidRPr="009C6771" w:rsidRDefault="00C41D4F" w:rsidP="00125A1C">
            <w:pPr>
              <w:pStyle w:val="Tablewriting"/>
              <w:jc w:val="center"/>
              <w:rPr>
                <w:rFonts w:eastAsia="MS Mincho"/>
                <w:bCs/>
              </w:rPr>
            </w:pPr>
            <w:r>
              <w:rPr>
                <w:rFonts w:eastAsia="MS Mincho"/>
                <w:bCs/>
              </w:rPr>
              <w:t>(0.89, 3.62)</w:t>
            </w:r>
          </w:p>
        </w:tc>
      </w:tr>
      <w:tr w:rsidR="004D1740" w:rsidRPr="00061F78" w14:paraId="617B5D01" w14:textId="77777777" w:rsidTr="004D1740">
        <w:trPr>
          <w:cantSplit/>
          <w:trHeight w:val="99"/>
        </w:trPr>
        <w:tc>
          <w:tcPr>
            <w:tcW w:w="5000" w:type="pct"/>
            <w:gridSpan w:val="5"/>
            <w:shd w:val="clear" w:color="auto" w:fill="auto"/>
            <w:tcMar>
              <w:left w:w="28" w:type="dxa"/>
              <w:right w:w="28" w:type="dxa"/>
            </w:tcMar>
            <w:vAlign w:val="center"/>
          </w:tcPr>
          <w:p w14:paraId="38CB11EC" w14:textId="51CB2B36" w:rsidR="004D1740" w:rsidRPr="00C02D1A" w:rsidRDefault="000E1864" w:rsidP="00C02D1A">
            <w:pPr>
              <w:pStyle w:val="Tablewriting"/>
              <w:rPr>
                <w:rFonts w:eastAsia="MS Mincho"/>
                <w:b/>
              </w:rPr>
            </w:pPr>
            <w:r w:rsidRPr="00C02D1A">
              <w:rPr>
                <w:rFonts w:eastAsia="MS Mincho"/>
                <w:b/>
              </w:rPr>
              <w:t xml:space="preserve">Meta-analysis of </w:t>
            </w:r>
            <w:r w:rsidR="0003741A" w:rsidRPr="00C02D1A">
              <w:rPr>
                <w:rFonts w:eastAsia="MS Mincho"/>
                <w:b/>
              </w:rPr>
              <w:t>Hjalmarson (1994), Schenider (1995) and Sutherland (1992)</w:t>
            </w:r>
          </w:p>
        </w:tc>
      </w:tr>
      <w:tr w:rsidR="004D1740" w:rsidRPr="00061F78" w14:paraId="6549CC04" w14:textId="77777777" w:rsidTr="00125A1C">
        <w:trPr>
          <w:cantSplit/>
          <w:trHeight w:val="99"/>
        </w:trPr>
        <w:tc>
          <w:tcPr>
            <w:tcW w:w="786" w:type="pct"/>
            <w:shd w:val="clear" w:color="auto" w:fill="auto"/>
            <w:tcMar>
              <w:left w:w="28" w:type="dxa"/>
              <w:right w:w="28" w:type="dxa"/>
            </w:tcMar>
            <w:vAlign w:val="center"/>
          </w:tcPr>
          <w:p w14:paraId="47C67B00" w14:textId="11EDEA97" w:rsidR="004D1740" w:rsidRPr="00C02D1A" w:rsidRDefault="0003741A" w:rsidP="00125A1C">
            <w:pPr>
              <w:pStyle w:val="Tablewriting"/>
              <w:rPr>
                <w:rFonts w:eastAsia="MS Mincho"/>
                <w:vertAlign w:val="superscript"/>
              </w:rPr>
            </w:pPr>
            <w:r>
              <w:rPr>
                <w:rFonts w:eastAsia="MS Mincho"/>
              </w:rPr>
              <w:t>Meta-analysis</w:t>
            </w:r>
            <w:r w:rsidR="00CE20B7">
              <w:rPr>
                <w:rFonts w:eastAsia="MS Mincho"/>
                <w:vertAlign w:val="superscript"/>
              </w:rPr>
              <w:t>1</w:t>
            </w:r>
          </w:p>
        </w:tc>
        <w:tc>
          <w:tcPr>
            <w:tcW w:w="785" w:type="pct"/>
            <w:vAlign w:val="center"/>
          </w:tcPr>
          <w:p w14:paraId="2469913C" w14:textId="27519D9D" w:rsidR="004D1740" w:rsidRDefault="0003741A" w:rsidP="00125A1C">
            <w:pPr>
              <w:pStyle w:val="Tablewriting"/>
              <w:jc w:val="center"/>
              <w:rPr>
                <w:rFonts w:eastAsia="MS Mincho"/>
              </w:rPr>
            </w:pPr>
            <w:r>
              <w:rPr>
                <w:rFonts w:eastAsia="MS Mincho"/>
              </w:rPr>
              <w:t>3 RCTs</w:t>
            </w:r>
          </w:p>
        </w:tc>
        <w:tc>
          <w:tcPr>
            <w:tcW w:w="1178" w:type="pct"/>
            <w:shd w:val="clear" w:color="auto" w:fill="auto"/>
            <w:tcMar>
              <w:left w:w="28" w:type="dxa"/>
              <w:right w:w="28" w:type="dxa"/>
            </w:tcMar>
            <w:vAlign w:val="center"/>
          </w:tcPr>
          <w:p w14:paraId="717642A8" w14:textId="77777777" w:rsidR="004D1740" w:rsidRDefault="00CE20B7" w:rsidP="00125A1C">
            <w:pPr>
              <w:pStyle w:val="Tablewriting"/>
              <w:jc w:val="center"/>
              <w:rPr>
                <w:rFonts w:eastAsia="MS Mincho"/>
              </w:rPr>
            </w:pPr>
            <w:r>
              <w:rPr>
                <w:rFonts w:eastAsia="MS Mincho"/>
              </w:rPr>
              <w:t>58/355</w:t>
            </w:r>
          </w:p>
          <w:p w14:paraId="00F5634C" w14:textId="0D59FCD7" w:rsidR="00CE20B7" w:rsidRPr="00605C3F" w:rsidRDefault="00CE20B7" w:rsidP="00125A1C">
            <w:pPr>
              <w:pStyle w:val="Tablewriting"/>
              <w:jc w:val="center"/>
              <w:rPr>
                <w:rFonts w:eastAsia="MS Mincho"/>
              </w:rPr>
            </w:pPr>
            <w:r>
              <w:rPr>
                <w:rFonts w:eastAsia="MS Mincho"/>
              </w:rPr>
              <w:t>(</w:t>
            </w:r>
            <w:r w:rsidR="00C547D5">
              <w:rPr>
                <w:rFonts w:eastAsia="MS Mincho"/>
              </w:rPr>
              <w:t>16.3</w:t>
            </w:r>
            <w:r>
              <w:rPr>
                <w:rFonts w:eastAsia="MS Mincho"/>
              </w:rPr>
              <w:t>%)</w:t>
            </w:r>
          </w:p>
        </w:tc>
        <w:tc>
          <w:tcPr>
            <w:tcW w:w="1022" w:type="pct"/>
            <w:shd w:val="clear" w:color="auto" w:fill="auto"/>
            <w:tcMar>
              <w:left w:w="28" w:type="dxa"/>
              <w:right w:w="28" w:type="dxa"/>
            </w:tcMar>
            <w:vAlign w:val="center"/>
          </w:tcPr>
          <w:p w14:paraId="7CA3B496" w14:textId="77777777" w:rsidR="004D1740" w:rsidRDefault="00CE20B7" w:rsidP="00125A1C">
            <w:pPr>
              <w:pStyle w:val="Tablewriting"/>
              <w:jc w:val="center"/>
              <w:rPr>
                <w:rFonts w:eastAsia="MS Mincho"/>
              </w:rPr>
            </w:pPr>
            <w:r>
              <w:rPr>
                <w:rFonts w:eastAsia="MS Mincho"/>
              </w:rPr>
              <w:t>27/337</w:t>
            </w:r>
          </w:p>
          <w:p w14:paraId="60EF0C6F" w14:textId="7BA2DCDE" w:rsidR="00CE20B7" w:rsidRPr="00605C3F" w:rsidRDefault="00CE20B7" w:rsidP="00125A1C">
            <w:pPr>
              <w:pStyle w:val="Tablewriting"/>
              <w:jc w:val="center"/>
              <w:rPr>
                <w:rFonts w:eastAsia="MS Mincho"/>
              </w:rPr>
            </w:pPr>
            <w:r>
              <w:rPr>
                <w:rFonts w:eastAsia="MS Mincho"/>
              </w:rPr>
              <w:t>(</w:t>
            </w:r>
            <w:r w:rsidR="00C547D5">
              <w:rPr>
                <w:rFonts w:eastAsia="MS Mincho"/>
              </w:rPr>
              <w:t>8.0</w:t>
            </w:r>
            <w:r>
              <w:rPr>
                <w:rFonts w:eastAsia="MS Mincho"/>
              </w:rPr>
              <w:t>%)</w:t>
            </w:r>
          </w:p>
        </w:tc>
        <w:tc>
          <w:tcPr>
            <w:tcW w:w="1229" w:type="pct"/>
            <w:shd w:val="clear" w:color="auto" w:fill="auto"/>
            <w:tcMar>
              <w:left w:w="28" w:type="dxa"/>
              <w:right w:w="28" w:type="dxa"/>
            </w:tcMar>
            <w:vAlign w:val="center"/>
          </w:tcPr>
          <w:p w14:paraId="542207E7" w14:textId="77777777" w:rsidR="004D1740" w:rsidRPr="00C02D1A" w:rsidRDefault="00CE20B7" w:rsidP="00125A1C">
            <w:pPr>
              <w:pStyle w:val="Tablewriting"/>
              <w:jc w:val="center"/>
              <w:rPr>
                <w:rFonts w:eastAsia="MS Mincho"/>
                <w:b/>
              </w:rPr>
            </w:pPr>
            <w:r w:rsidRPr="00C02D1A">
              <w:rPr>
                <w:rFonts w:eastAsia="MS Mincho"/>
                <w:b/>
              </w:rPr>
              <w:t>2.27</w:t>
            </w:r>
          </w:p>
          <w:p w14:paraId="4DBCF683" w14:textId="05B87F07" w:rsidR="00CE20B7" w:rsidRDefault="00CE20B7" w:rsidP="00125A1C">
            <w:pPr>
              <w:pStyle w:val="Tablewriting"/>
              <w:jc w:val="center"/>
              <w:rPr>
                <w:rFonts w:eastAsia="MS Mincho"/>
                <w:bCs/>
              </w:rPr>
            </w:pPr>
            <w:r w:rsidRPr="00C02D1A">
              <w:rPr>
                <w:rFonts w:eastAsia="MS Mincho"/>
                <w:b/>
              </w:rPr>
              <w:t>(1.38, 3.72)</w:t>
            </w:r>
          </w:p>
        </w:tc>
      </w:tr>
    </w:tbl>
    <w:p w14:paraId="4D5A2400" w14:textId="77777777" w:rsidR="00C41D4F" w:rsidRDefault="00C41D4F" w:rsidP="00BF17FF">
      <w:pPr>
        <w:pStyle w:val="TableFooter"/>
        <w:jc w:val="both"/>
      </w:pPr>
      <w:r>
        <w:t xml:space="preserve">Source: </w:t>
      </w:r>
      <w:r w:rsidRPr="00086BBB">
        <w:t>Hartmann-Boyce et al. 2018</w:t>
      </w:r>
      <w:r>
        <w:t xml:space="preserve">. </w:t>
      </w:r>
    </w:p>
    <w:p w14:paraId="1623EEF7" w14:textId="77777777" w:rsidR="00C41D4F" w:rsidRDefault="00C41D4F" w:rsidP="00BF17FF">
      <w:pPr>
        <w:pStyle w:val="TableFooter"/>
        <w:jc w:val="both"/>
      </w:pPr>
      <w:r>
        <w:t xml:space="preserve">Abbreviations: CI = confidence interval; RCT = randomised controlled trial; RR = risk ratio. </w:t>
      </w:r>
    </w:p>
    <w:p w14:paraId="7B9340D6" w14:textId="1E8A6B3B" w:rsidR="00C41D4F" w:rsidRDefault="00C41D4F" w:rsidP="00BF17FF">
      <w:pPr>
        <w:pStyle w:val="TableFooter"/>
        <w:jc w:val="both"/>
      </w:pPr>
      <w:r w:rsidRPr="00FD4061">
        <w:t>Note</w:t>
      </w:r>
      <w:r>
        <w:t>s</w:t>
      </w:r>
      <w:r w:rsidRPr="00FD4061">
        <w:t>:</w:t>
      </w:r>
      <w:r>
        <w:t xml:space="preserve"> </w:t>
      </w:r>
      <w:r w:rsidRPr="007A6220">
        <w:t>Bold</w:t>
      </w:r>
      <w:r w:rsidRPr="00FD4061">
        <w:t xml:space="preserve"> indicates statistically significant difference</w:t>
      </w:r>
      <w:r>
        <w:t>.</w:t>
      </w:r>
      <w:r w:rsidR="00797AB5">
        <w:t xml:space="preserve"> </w:t>
      </w:r>
      <w:r w:rsidR="00797AB5" w:rsidRPr="00797AB5">
        <w:t xml:space="preserve">See Appendix </w:t>
      </w:r>
      <w:r w:rsidR="006A39FC">
        <w:rPr>
          <w:highlight w:val="yellow"/>
        </w:rPr>
        <w:fldChar w:fldCharType="begin" w:fldLock="1"/>
      </w:r>
      <w:r w:rsidR="006A39FC">
        <w:instrText xml:space="preserve"> REF _Ref62729606 \h </w:instrText>
      </w:r>
      <w:r w:rsidR="00BF17FF">
        <w:rPr>
          <w:highlight w:val="yellow"/>
        </w:rPr>
        <w:instrText xml:space="preserve"> \* MERGEFORMAT </w:instrText>
      </w:r>
      <w:r w:rsidR="006A39FC">
        <w:rPr>
          <w:highlight w:val="yellow"/>
        </w:rPr>
      </w:r>
      <w:r w:rsidR="006A39FC">
        <w:rPr>
          <w:highlight w:val="yellow"/>
        </w:rPr>
        <w:fldChar w:fldCharType="separate"/>
      </w:r>
      <w:r w:rsidR="00EC5CC7">
        <w:t xml:space="preserve">Figure </w:t>
      </w:r>
      <w:r w:rsidR="00EC5CC7">
        <w:rPr>
          <w:noProof/>
        </w:rPr>
        <w:t>108</w:t>
      </w:r>
      <w:r w:rsidR="006A39FC">
        <w:rPr>
          <w:highlight w:val="yellow"/>
        </w:rPr>
        <w:fldChar w:fldCharType="end"/>
      </w:r>
      <w:r w:rsidR="001C7C77">
        <w:t xml:space="preserve"> </w:t>
      </w:r>
      <w:r w:rsidR="00797AB5" w:rsidRPr="00797AB5">
        <w:t>for forest plot which included the results of individual studies</w:t>
      </w:r>
      <w:r w:rsidRPr="00B032C3" w:rsidDel="00797AB5">
        <w:t>.</w:t>
      </w:r>
    </w:p>
    <w:p w14:paraId="5B2B3A0B" w14:textId="442E7959" w:rsidR="00C41D4F" w:rsidRDefault="00C41D4F" w:rsidP="00BF17FF">
      <w:pPr>
        <w:pStyle w:val="TableFooter"/>
        <w:spacing w:after="120"/>
        <w:contextualSpacing w:val="0"/>
        <w:jc w:val="both"/>
      </w:pPr>
      <w:r>
        <w:t xml:space="preserve">1 Calculated </w:t>
      </w:r>
      <w:r w:rsidR="00CE20B7">
        <w:t>during the review</w:t>
      </w:r>
      <w:r>
        <w:t xml:space="preserve"> using a </w:t>
      </w:r>
      <w:r w:rsidR="00CE20B7">
        <w:t>random</w:t>
      </w:r>
      <w:r>
        <w:t>-effect model</w:t>
      </w:r>
      <w:r w:rsidR="00ED0CBA">
        <w:t>.</w:t>
      </w:r>
    </w:p>
    <w:p w14:paraId="245E8BD8" w14:textId="2F8EF46D" w:rsidR="00C41D4F" w:rsidRDefault="00C41D4F" w:rsidP="00BF17FF">
      <w:pPr>
        <w:pStyle w:val="Caption"/>
        <w:keepNext/>
        <w:spacing w:before="0" w:after="120"/>
        <w:jc w:val="both"/>
      </w:pPr>
      <w:bookmarkStart w:id="196" w:name="_Ref62122172"/>
      <w:r>
        <w:t xml:space="preserve">Table </w:t>
      </w:r>
      <w:r w:rsidR="00BF3F75">
        <w:fldChar w:fldCharType="begin"/>
      </w:r>
      <w:r w:rsidR="00BF3F75">
        <w:instrText xml:space="preserve"> SEQ Table \* ARABIC </w:instrText>
      </w:r>
      <w:r w:rsidR="00BF3F75">
        <w:fldChar w:fldCharType="separate"/>
      </w:r>
      <w:r w:rsidR="00EC5CC7">
        <w:rPr>
          <w:noProof/>
        </w:rPr>
        <w:t>112</w:t>
      </w:r>
      <w:r w:rsidR="00BF3F75">
        <w:rPr>
          <w:noProof/>
        </w:rPr>
        <w:fldChar w:fldCharType="end"/>
      </w:r>
      <w:bookmarkEnd w:id="196"/>
      <w:r>
        <w:t xml:space="preserve">: </w:t>
      </w:r>
      <w:r w:rsidRPr="00002183">
        <w:t>Summary of key adverse events in Lindson et al. (2019), NRT nasal spray versus patch</w:t>
      </w:r>
    </w:p>
    <w:tbl>
      <w:tblPr>
        <w:tblStyle w:val="TableGrid"/>
        <w:tblW w:w="5000" w:type="pct"/>
        <w:tblLayout w:type="fixed"/>
        <w:tblLook w:val="04A0" w:firstRow="1" w:lastRow="0" w:firstColumn="1" w:lastColumn="0" w:noHBand="0" w:noVBand="1"/>
        <w:tblCaption w:val="Efficacy results of adalimumab trials (PASI 75 and DLQI)"/>
      </w:tblPr>
      <w:tblGrid>
        <w:gridCol w:w="845"/>
        <w:gridCol w:w="2126"/>
        <w:gridCol w:w="2128"/>
        <w:gridCol w:w="1984"/>
        <w:gridCol w:w="1933"/>
      </w:tblGrid>
      <w:tr w:rsidR="00C41D4F" w:rsidRPr="00061F78" w14:paraId="653F19CA" w14:textId="77777777" w:rsidTr="00125A1C">
        <w:trPr>
          <w:cantSplit/>
          <w:trHeight w:val="299"/>
          <w:tblHeader/>
        </w:trPr>
        <w:tc>
          <w:tcPr>
            <w:tcW w:w="469" w:type="pct"/>
            <w:shd w:val="clear" w:color="auto" w:fill="BFBFBF" w:themeFill="background1" w:themeFillShade="BF"/>
            <w:tcMar>
              <w:left w:w="28" w:type="dxa"/>
              <w:right w:w="28" w:type="dxa"/>
            </w:tcMar>
            <w:vAlign w:val="center"/>
          </w:tcPr>
          <w:p w14:paraId="5A279AC2" w14:textId="77777777" w:rsidR="00C41D4F" w:rsidRDefault="00C41D4F" w:rsidP="00125A1C">
            <w:pPr>
              <w:pStyle w:val="Tableheading"/>
              <w:rPr>
                <w:rFonts w:eastAsia="MS Mincho"/>
              </w:rPr>
            </w:pPr>
            <w:r>
              <w:rPr>
                <w:rFonts w:eastAsia="MS Mincho"/>
              </w:rPr>
              <w:t>Study</w:t>
            </w:r>
          </w:p>
        </w:tc>
        <w:tc>
          <w:tcPr>
            <w:tcW w:w="1179" w:type="pct"/>
            <w:shd w:val="clear" w:color="auto" w:fill="BFBFBF" w:themeFill="background1" w:themeFillShade="BF"/>
          </w:tcPr>
          <w:p w14:paraId="3C68F4A5" w14:textId="77777777" w:rsidR="00C41D4F" w:rsidRDefault="00C41D4F" w:rsidP="00125A1C">
            <w:pPr>
              <w:pStyle w:val="Tableheading"/>
              <w:jc w:val="center"/>
              <w:rPr>
                <w:rFonts w:eastAsia="MS Mincho"/>
              </w:rPr>
            </w:pPr>
            <w:r>
              <w:rPr>
                <w:rFonts w:eastAsia="MS Mincho"/>
              </w:rPr>
              <w:t>Study type</w:t>
            </w:r>
          </w:p>
        </w:tc>
        <w:tc>
          <w:tcPr>
            <w:tcW w:w="1180" w:type="pct"/>
            <w:shd w:val="clear" w:color="auto" w:fill="BFBFBF" w:themeFill="background1" w:themeFillShade="BF"/>
            <w:tcMar>
              <w:left w:w="28" w:type="dxa"/>
              <w:right w:w="28" w:type="dxa"/>
            </w:tcMar>
            <w:vAlign w:val="center"/>
          </w:tcPr>
          <w:p w14:paraId="217E3490" w14:textId="77777777" w:rsidR="00C41D4F" w:rsidRPr="00061F78" w:rsidRDefault="00C41D4F" w:rsidP="00125A1C">
            <w:pPr>
              <w:pStyle w:val="Tableheading"/>
              <w:jc w:val="center"/>
              <w:rPr>
                <w:rFonts w:eastAsia="MS Mincho"/>
              </w:rPr>
            </w:pPr>
            <w:r>
              <w:rPr>
                <w:rFonts w:eastAsia="MS Mincho"/>
              </w:rPr>
              <w:t>Nasal spray</w:t>
            </w:r>
          </w:p>
        </w:tc>
        <w:tc>
          <w:tcPr>
            <w:tcW w:w="1100" w:type="pct"/>
            <w:shd w:val="clear" w:color="auto" w:fill="BFBFBF" w:themeFill="background1" w:themeFillShade="BF"/>
            <w:tcMar>
              <w:left w:w="28" w:type="dxa"/>
              <w:right w:w="28" w:type="dxa"/>
            </w:tcMar>
            <w:vAlign w:val="center"/>
          </w:tcPr>
          <w:p w14:paraId="01B32AE5" w14:textId="77777777" w:rsidR="00C41D4F" w:rsidRPr="00061F78" w:rsidRDefault="00C41D4F" w:rsidP="00125A1C">
            <w:pPr>
              <w:pStyle w:val="Tableheading"/>
              <w:jc w:val="center"/>
              <w:rPr>
                <w:rFonts w:eastAsia="MS Mincho"/>
              </w:rPr>
            </w:pPr>
            <w:r>
              <w:rPr>
                <w:rFonts w:eastAsia="MS Mincho"/>
              </w:rPr>
              <w:t>Patch</w:t>
            </w:r>
          </w:p>
        </w:tc>
        <w:tc>
          <w:tcPr>
            <w:tcW w:w="1072" w:type="pct"/>
            <w:shd w:val="clear" w:color="auto" w:fill="BFBFBF" w:themeFill="background1" w:themeFillShade="BF"/>
            <w:tcMar>
              <w:left w:w="28" w:type="dxa"/>
              <w:right w:w="28" w:type="dxa"/>
            </w:tcMar>
            <w:vAlign w:val="center"/>
          </w:tcPr>
          <w:p w14:paraId="5181379B" w14:textId="77777777" w:rsidR="00C41D4F" w:rsidRPr="00681ACA" w:rsidRDefault="00C41D4F" w:rsidP="00125A1C">
            <w:pPr>
              <w:pStyle w:val="Tableheading"/>
              <w:jc w:val="center"/>
              <w:rPr>
                <w:rFonts w:eastAsia="MS Mincho"/>
                <w:vertAlign w:val="superscript"/>
              </w:rPr>
            </w:pPr>
            <w:r>
              <w:rPr>
                <w:rFonts w:eastAsia="MS Mincho"/>
              </w:rPr>
              <w:t>RR (95% CI)</w:t>
            </w:r>
            <w:r>
              <w:rPr>
                <w:rFonts w:eastAsia="MS Mincho"/>
                <w:vertAlign w:val="superscript"/>
              </w:rPr>
              <w:t>1</w:t>
            </w:r>
          </w:p>
        </w:tc>
      </w:tr>
      <w:tr w:rsidR="00C41D4F" w:rsidRPr="00061F78" w14:paraId="1C61B47C" w14:textId="77777777" w:rsidTr="00D15590">
        <w:trPr>
          <w:cantSplit/>
          <w:trHeight w:val="99"/>
        </w:trPr>
        <w:tc>
          <w:tcPr>
            <w:tcW w:w="5000" w:type="pct"/>
            <w:gridSpan w:val="5"/>
            <w:shd w:val="clear" w:color="auto" w:fill="auto"/>
          </w:tcPr>
          <w:p w14:paraId="40CD3B1E" w14:textId="77777777" w:rsidR="00C41D4F" w:rsidRPr="00D15590" w:rsidRDefault="00C41D4F" w:rsidP="00125A1C">
            <w:pPr>
              <w:pStyle w:val="Tablewriting"/>
              <w:rPr>
                <w:rFonts w:eastAsia="MS Mincho"/>
                <w:b/>
                <w:bCs/>
              </w:rPr>
            </w:pPr>
            <w:r w:rsidRPr="00D15590">
              <w:rPr>
                <w:rFonts w:eastAsia="MS Mincho"/>
                <w:b/>
                <w:bCs/>
              </w:rPr>
              <w:t>Overall SAEs</w:t>
            </w:r>
          </w:p>
        </w:tc>
      </w:tr>
      <w:tr w:rsidR="00C41D4F" w:rsidRPr="00061F78" w14:paraId="1DED7C85" w14:textId="77777777" w:rsidTr="00125A1C">
        <w:trPr>
          <w:cantSplit/>
          <w:trHeight w:val="99"/>
        </w:trPr>
        <w:tc>
          <w:tcPr>
            <w:tcW w:w="469" w:type="pct"/>
            <w:shd w:val="clear" w:color="auto" w:fill="auto"/>
            <w:tcMar>
              <w:left w:w="28" w:type="dxa"/>
              <w:right w:w="28" w:type="dxa"/>
            </w:tcMar>
            <w:vAlign w:val="center"/>
          </w:tcPr>
          <w:p w14:paraId="6B55B091" w14:textId="77777777" w:rsidR="00C41D4F" w:rsidRPr="001277A6" w:rsidRDefault="00C41D4F" w:rsidP="00125A1C">
            <w:pPr>
              <w:pStyle w:val="Tablewriting"/>
              <w:rPr>
                <w:rFonts w:eastAsia="MS Mincho"/>
              </w:rPr>
            </w:pPr>
            <w:r>
              <w:rPr>
                <w:rFonts w:eastAsia="MS Mincho"/>
              </w:rPr>
              <w:t xml:space="preserve"> Lindson (2019)</w:t>
            </w:r>
          </w:p>
        </w:tc>
        <w:tc>
          <w:tcPr>
            <w:tcW w:w="1179" w:type="pct"/>
          </w:tcPr>
          <w:p w14:paraId="51639B5E" w14:textId="77777777" w:rsidR="00C41D4F" w:rsidRDefault="00C41D4F" w:rsidP="00125A1C">
            <w:pPr>
              <w:pStyle w:val="Tablewriting"/>
              <w:jc w:val="center"/>
              <w:rPr>
                <w:rFonts w:eastAsia="MS Mincho"/>
              </w:rPr>
            </w:pPr>
            <w:r>
              <w:rPr>
                <w:rFonts w:eastAsia="MS Mincho"/>
              </w:rPr>
              <w:t>Cochrane Review</w:t>
            </w:r>
          </w:p>
          <w:p w14:paraId="754C462D" w14:textId="77777777" w:rsidR="00C41D4F" w:rsidRDefault="00C41D4F" w:rsidP="00125A1C">
            <w:pPr>
              <w:pStyle w:val="Tablewriting"/>
              <w:jc w:val="center"/>
              <w:rPr>
                <w:rFonts w:eastAsia="MS Mincho"/>
              </w:rPr>
            </w:pPr>
            <w:r>
              <w:rPr>
                <w:rFonts w:eastAsia="MS Mincho"/>
              </w:rPr>
              <w:t>(1 RCT)</w:t>
            </w:r>
          </w:p>
        </w:tc>
        <w:tc>
          <w:tcPr>
            <w:tcW w:w="1180" w:type="pct"/>
            <w:shd w:val="clear" w:color="auto" w:fill="auto"/>
            <w:tcMar>
              <w:left w:w="28" w:type="dxa"/>
              <w:right w:w="28" w:type="dxa"/>
            </w:tcMar>
            <w:vAlign w:val="center"/>
          </w:tcPr>
          <w:p w14:paraId="0A2D352C" w14:textId="77777777" w:rsidR="00C41D4F" w:rsidRDefault="00C41D4F" w:rsidP="00125A1C">
            <w:pPr>
              <w:pStyle w:val="Tablewriting"/>
              <w:jc w:val="center"/>
              <w:rPr>
                <w:rFonts w:eastAsia="MS Mincho"/>
              </w:rPr>
            </w:pPr>
            <w:r>
              <w:rPr>
                <w:rFonts w:eastAsia="MS Mincho"/>
              </w:rPr>
              <w:t>0/175</w:t>
            </w:r>
          </w:p>
          <w:p w14:paraId="035D802D" w14:textId="77777777" w:rsidR="00C41D4F" w:rsidRPr="001B08F9" w:rsidRDefault="00C41D4F" w:rsidP="00125A1C">
            <w:pPr>
              <w:pStyle w:val="Tablewriting"/>
              <w:jc w:val="center"/>
              <w:rPr>
                <w:rFonts w:eastAsia="MS Mincho"/>
              </w:rPr>
            </w:pPr>
            <w:r>
              <w:rPr>
                <w:rFonts w:eastAsia="MS Mincho"/>
              </w:rPr>
              <w:t>(0%)</w:t>
            </w:r>
          </w:p>
        </w:tc>
        <w:tc>
          <w:tcPr>
            <w:tcW w:w="1100" w:type="pct"/>
            <w:shd w:val="clear" w:color="auto" w:fill="auto"/>
            <w:tcMar>
              <w:left w:w="28" w:type="dxa"/>
              <w:right w:w="28" w:type="dxa"/>
            </w:tcMar>
            <w:vAlign w:val="center"/>
          </w:tcPr>
          <w:p w14:paraId="350AF1C0" w14:textId="77777777" w:rsidR="00C41D4F" w:rsidRDefault="00C41D4F" w:rsidP="00125A1C">
            <w:pPr>
              <w:pStyle w:val="Tablewriting"/>
              <w:jc w:val="center"/>
              <w:rPr>
                <w:rFonts w:eastAsia="MS Mincho"/>
              </w:rPr>
            </w:pPr>
            <w:r>
              <w:rPr>
                <w:rFonts w:eastAsia="MS Mincho"/>
              </w:rPr>
              <w:t>0/175</w:t>
            </w:r>
          </w:p>
          <w:p w14:paraId="7FE91D73" w14:textId="77777777" w:rsidR="00C41D4F" w:rsidRPr="001B08F9" w:rsidRDefault="00C41D4F" w:rsidP="00125A1C">
            <w:pPr>
              <w:pStyle w:val="Tablewriting"/>
              <w:jc w:val="center"/>
              <w:rPr>
                <w:rFonts w:eastAsia="MS Mincho"/>
              </w:rPr>
            </w:pPr>
            <w:r>
              <w:rPr>
                <w:rFonts w:eastAsia="MS Mincho"/>
              </w:rPr>
              <w:t>(0%)</w:t>
            </w:r>
          </w:p>
        </w:tc>
        <w:tc>
          <w:tcPr>
            <w:tcW w:w="1072" w:type="pct"/>
            <w:shd w:val="clear" w:color="auto" w:fill="auto"/>
            <w:tcMar>
              <w:left w:w="28" w:type="dxa"/>
              <w:right w:w="28" w:type="dxa"/>
            </w:tcMar>
            <w:vAlign w:val="center"/>
          </w:tcPr>
          <w:p w14:paraId="2D1BC8A7" w14:textId="77777777" w:rsidR="00C41D4F" w:rsidRPr="009C6771" w:rsidRDefault="00C41D4F" w:rsidP="00125A1C">
            <w:pPr>
              <w:pStyle w:val="Tablewriting"/>
              <w:jc w:val="center"/>
              <w:rPr>
                <w:rFonts w:eastAsia="MS Mincho"/>
                <w:bCs/>
              </w:rPr>
            </w:pPr>
            <w:r w:rsidRPr="009C6771">
              <w:rPr>
                <w:rFonts w:eastAsia="MS Mincho"/>
                <w:bCs/>
              </w:rPr>
              <w:t>NE</w:t>
            </w:r>
          </w:p>
        </w:tc>
      </w:tr>
      <w:tr w:rsidR="00C41D4F" w:rsidRPr="00061F78" w14:paraId="2A188671" w14:textId="77777777" w:rsidTr="00D15590">
        <w:trPr>
          <w:cantSplit/>
          <w:trHeight w:val="99"/>
        </w:trPr>
        <w:tc>
          <w:tcPr>
            <w:tcW w:w="5000" w:type="pct"/>
            <w:gridSpan w:val="5"/>
            <w:shd w:val="clear" w:color="auto" w:fill="auto"/>
          </w:tcPr>
          <w:p w14:paraId="3ACEC997" w14:textId="77777777" w:rsidR="00C41D4F" w:rsidRPr="00D15590" w:rsidRDefault="00C41D4F" w:rsidP="00125A1C">
            <w:pPr>
              <w:pStyle w:val="Tablewriting"/>
              <w:rPr>
                <w:rFonts w:eastAsia="MS Mincho"/>
                <w:b/>
                <w:bCs/>
              </w:rPr>
            </w:pPr>
            <w:r w:rsidRPr="00D15590">
              <w:rPr>
                <w:b/>
                <w:bCs/>
              </w:rPr>
              <w:t>Treatment withdrawals</w:t>
            </w:r>
          </w:p>
        </w:tc>
      </w:tr>
      <w:tr w:rsidR="00C41D4F" w:rsidRPr="00061F78" w14:paraId="6F854CBB" w14:textId="77777777" w:rsidTr="00125A1C">
        <w:trPr>
          <w:cantSplit/>
          <w:trHeight w:val="99"/>
        </w:trPr>
        <w:tc>
          <w:tcPr>
            <w:tcW w:w="469" w:type="pct"/>
            <w:shd w:val="clear" w:color="auto" w:fill="auto"/>
            <w:tcMar>
              <w:left w:w="28" w:type="dxa"/>
              <w:right w:w="28" w:type="dxa"/>
            </w:tcMar>
            <w:vAlign w:val="center"/>
          </w:tcPr>
          <w:p w14:paraId="09EA55B3" w14:textId="77777777" w:rsidR="00C41D4F" w:rsidRDefault="00C41D4F" w:rsidP="00125A1C">
            <w:pPr>
              <w:pStyle w:val="Tablewriting"/>
              <w:rPr>
                <w:rFonts w:eastAsia="MS Mincho"/>
              </w:rPr>
            </w:pPr>
            <w:r>
              <w:rPr>
                <w:rFonts w:eastAsia="MS Mincho"/>
              </w:rPr>
              <w:t xml:space="preserve">Lindson </w:t>
            </w:r>
          </w:p>
          <w:p w14:paraId="7DE673CA" w14:textId="77777777" w:rsidR="00C41D4F" w:rsidRDefault="00C41D4F" w:rsidP="00125A1C">
            <w:pPr>
              <w:pStyle w:val="Tablewriting"/>
              <w:rPr>
                <w:rFonts w:eastAsia="MS Mincho"/>
              </w:rPr>
            </w:pPr>
            <w:r>
              <w:rPr>
                <w:rFonts w:eastAsia="MS Mincho"/>
              </w:rPr>
              <w:t>(2019)</w:t>
            </w:r>
          </w:p>
        </w:tc>
        <w:tc>
          <w:tcPr>
            <w:tcW w:w="1179" w:type="pct"/>
          </w:tcPr>
          <w:p w14:paraId="0CF4FC54" w14:textId="77777777" w:rsidR="00C41D4F" w:rsidRDefault="00C41D4F" w:rsidP="00125A1C">
            <w:pPr>
              <w:pStyle w:val="Tablewriting"/>
              <w:jc w:val="center"/>
              <w:rPr>
                <w:rFonts w:eastAsia="MS Mincho"/>
              </w:rPr>
            </w:pPr>
            <w:r>
              <w:rPr>
                <w:rFonts w:eastAsia="MS Mincho"/>
              </w:rPr>
              <w:t>Cochrane Review</w:t>
            </w:r>
          </w:p>
          <w:p w14:paraId="2D80E461" w14:textId="77777777" w:rsidR="00C41D4F" w:rsidRDefault="00C41D4F" w:rsidP="00125A1C">
            <w:pPr>
              <w:pStyle w:val="Tablewriting"/>
              <w:jc w:val="center"/>
              <w:rPr>
                <w:rFonts w:eastAsia="MS Mincho"/>
              </w:rPr>
            </w:pPr>
            <w:r>
              <w:rPr>
                <w:rFonts w:eastAsia="MS Mincho"/>
              </w:rPr>
              <w:t>(1 RCT)</w:t>
            </w:r>
          </w:p>
        </w:tc>
        <w:tc>
          <w:tcPr>
            <w:tcW w:w="1180" w:type="pct"/>
            <w:shd w:val="clear" w:color="auto" w:fill="auto"/>
            <w:tcMar>
              <w:left w:w="28" w:type="dxa"/>
              <w:right w:w="28" w:type="dxa"/>
            </w:tcMar>
            <w:vAlign w:val="center"/>
          </w:tcPr>
          <w:p w14:paraId="44C62A1D" w14:textId="77777777" w:rsidR="00C41D4F" w:rsidRDefault="00C41D4F" w:rsidP="00125A1C">
            <w:pPr>
              <w:pStyle w:val="Tablewriting"/>
              <w:jc w:val="center"/>
              <w:rPr>
                <w:rFonts w:eastAsia="MS Mincho"/>
              </w:rPr>
            </w:pPr>
            <w:r>
              <w:rPr>
                <w:rFonts w:eastAsia="MS Mincho"/>
              </w:rPr>
              <w:t>14/463</w:t>
            </w:r>
          </w:p>
          <w:p w14:paraId="014A8251" w14:textId="77777777" w:rsidR="00C41D4F" w:rsidRDefault="00C41D4F" w:rsidP="00125A1C">
            <w:pPr>
              <w:pStyle w:val="Tablewriting"/>
              <w:jc w:val="center"/>
              <w:rPr>
                <w:rFonts w:eastAsia="MS Mincho"/>
              </w:rPr>
            </w:pPr>
            <w:r>
              <w:rPr>
                <w:rFonts w:eastAsia="MS Mincho"/>
              </w:rPr>
              <w:t>(3%)</w:t>
            </w:r>
          </w:p>
        </w:tc>
        <w:tc>
          <w:tcPr>
            <w:tcW w:w="1100" w:type="pct"/>
            <w:shd w:val="clear" w:color="auto" w:fill="auto"/>
            <w:tcMar>
              <w:left w:w="28" w:type="dxa"/>
              <w:right w:w="28" w:type="dxa"/>
            </w:tcMar>
            <w:vAlign w:val="center"/>
          </w:tcPr>
          <w:p w14:paraId="2276007F" w14:textId="77777777" w:rsidR="00C41D4F" w:rsidRDefault="00C41D4F" w:rsidP="00125A1C">
            <w:pPr>
              <w:pStyle w:val="Tablewriting"/>
              <w:jc w:val="center"/>
              <w:rPr>
                <w:rFonts w:eastAsia="MS Mincho"/>
              </w:rPr>
            </w:pPr>
            <w:r>
              <w:rPr>
                <w:rFonts w:eastAsia="MS Mincho"/>
              </w:rPr>
              <w:t>4/459</w:t>
            </w:r>
          </w:p>
          <w:p w14:paraId="23FDBBEA" w14:textId="77777777" w:rsidR="00C41D4F" w:rsidRDefault="00C41D4F" w:rsidP="00125A1C">
            <w:pPr>
              <w:pStyle w:val="Tablewriting"/>
              <w:jc w:val="center"/>
              <w:rPr>
                <w:rFonts w:eastAsia="MS Mincho"/>
              </w:rPr>
            </w:pPr>
            <w:r>
              <w:rPr>
                <w:rFonts w:eastAsia="MS Mincho"/>
              </w:rPr>
              <w:t>(0.9%)</w:t>
            </w:r>
          </w:p>
        </w:tc>
        <w:tc>
          <w:tcPr>
            <w:tcW w:w="1072" w:type="pct"/>
            <w:shd w:val="clear" w:color="auto" w:fill="auto"/>
            <w:tcMar>
              <w:left w:w="28" w:type="dxa"/>
              <w:right w:w="28" w:type="dxa"/>
            </w:tcMar>
            <w:vAlign w:val="center"/>
          </w:tcPr>
          <w:p w14:paraId="581ED2B1" w14:textId="77777777" w:rsidR="00C41D4F" w:rsidRPr="00D03D86" w:rsidRDefault="00C41D4F" w:rsidP="00125A1C">
            <w:pPr>
              <w:pStyle w:val="Tablewriting"/>
              <w:jc w:val="center"/>
              <w:rPr>
                <w:rFonts w:eastAsia="MS Mincho"/>
                <w:b/>
              </w:rPr>
            </w:pPr>
            <w:r w:rsidRPr="00D03D86">
              <w:rPr>
                <w:rFonts w:eastAsia="MS Mincho"/>
                <w:b/>
              </w:rPr>
              <w:t>3.47</w:t>
            </w:r>
          </w:p>
          <w:p w14:paraId="3185A7DB" w14:textId="77777777" w:rsidR="00C41D4F" w:rsidRPr="009C6771" w:rsidRDefault="00C41D4F" w:rsidP="00125A1C">
            <w:pPr>
              <w:pStyle w:val="Tablewriting"/>
              <w:jc w:val="center"/>
              <w:rPr>
                <w:rFonts w:eastAsia="MS Mincho"/>
                <w:bCs/>
              </w:rPr>
            </w:pPr>
            <w:r w:rsidRPr="00D03D86">
              <w:rPr>
                <w:rFonts w:eastAsia="MS Mincho"/>
                <w:b/>
              </w:rPr>
              <w:t>(1.15, 10.46)</w:t>
            </w:r>
          </w:p>
        </w:tc>
      </w:tr>
    </w:tbl>
    <w:p w14:paraId="67DD8968" w14:textId="77777777" w:rsidR="00C41D4F" w:rsidRDefault="00C41D4F" w:rsidP="00BF17FF">
      <w:pPr>
        <w:pStyle w:val="TableFooter"/>
        <w:jc w:val="both"/>
      </w:pPr>
      <w:r>
        <w:t>Source: Lindson et al. (2019)</w:t>
      </w:r>
    </w:p>
    <w:p w14:paraId="38ED5524" w14:textId="77777777" w:rsidR="00C41D4F" w:rsidRDefault="00C41D4F" w:rsidP="00BF17FF">
      <w:pPr>
        <w:pStyle w:val="TableFooter"/>
        <w:jc w:val="both"/>
      </w:pPr>
      <w:r>
        <w:t xml:space="preserve">Abbreviations: CI = confidence interval; NE = not estimable; RCT = randomised controlled trial; RR = risk ratio. </w:t>
      </w:r>
    </w:p>
    <w:p w14:paraId="03E8114F" w14:textId="4AAEACCA" w:rsidR="00C41D4F" w:rsidRDefault="00C41D4F" w:rsidP="00BF17FF">
      <w:pPr>
        <w:pStyle w:val="TableFooter"/>
        <w:jc w:val="both"/>
      </w:pPr>
      <w:r w:rsidRPr="00FD4061">
        <w:t>Note</w:t>
      </w:r>
      <w:r>
        <w:t>s</w:t>
      </w:r>
      <w:r w:rsidRPr="00FD4061">
        <w:t>:</w:t>
      </w:r>
      <w:r>
        <w:t xml:space="preserve"> </w:t>
      </w:r>
      <w:r w:rsidRPr="007A6220">
        <w:t>Bold</w:t>
      </w:r>
      <w:r w:rsidRPr="00FD4061">
        <w:t xml:space="preserve"> indicates statistically significant difference</w:t>
      </w:r>
      <w:r>
        <w:t xml:space="preserve">. </w:t>
      </w:r>
    </w:p>
    <w:p w14:paraId="0565D3E7" w14:textId="240F9D58" w:rsidR="00C41D4F" w:rsidRPr="00C41D4F" w:rsidRDefault="00C41D4F" w:rsidP="00BF17FF">
      <w:pPr>
        <w:pStyle w:val="TableFooter"/>
        <w:spacing w:after="120"/>
        <w:contextualSpacing w:val="0"/>
        <w:jc w:val="both"/>
      </w:pPr>
      <w:r>
        <w:t>1</w:t>
      </w:r>
      <w:r w:rsidRPr="00D32EBD">
        <w:t xml:space="preserve"> Calculated </w:t>
      </w:r>
      <w:r>
        <w:t xml:space="preserve">by Cochrane Review authors </w:t>
      </w:r>
      <w:r w:rsidRPr="00D32EBD">
        <w:t>using a fixed-effect model.</w:t>
      </w:r>
    </w:p>
    <w:p w14:paraId="1B81BDDB" w14:textId="77777777" w:rsidR="00F523E8" w:rsidRDefault="00F523E8" w:rsidP="00BF17FF">
      <w:pPr>
        <w:pStyle w:val="Heading5"/>
        <w:numPr>
          <w:ilvl w:val="0"/>
          <w:numId w:val="0"/>
        </w:numPr>
        <w:spacing w:after="120"/>
        <w:jc w:val="both"/>
      </w:pPr>
      <w:r w:rsidRPr="008657EE">
        <w:t>Oral spray</w:t>
      </w:r>
    </w:p>
    <w:p w14:paraId="2706485D" w14:textId="6BFDE8C0" w:rsidR="00C01C17" w:rsidRPr="00C01C17" w:rsidRDefault="00C01C17" w:rsidP="00BF17FF">
      <w:pPr>
        <w:spacing w:after="120"/>
        <w:jc w:val="both"/>
        <w:rPr>
          <w:u w:val="single"/>
        </w:rPr>
      </w:pPr>
      <w:r w:rsidRPr="00C01C17">
        <w:rPr>
          <w:u w:val="single"/>
        </w:rPr>
        <w:t>Efficacy</w:t>
      </w:r>
    </w:p>
    <w:p w14:paraId="5B5D2A36" w14:textId="70B6A86A" w:rsidR="00F523E8" w:rsidRPr="00310511" w:rsidRDefault="00F523E8" w:rsidP="00BF17FF">
      <w:pPr>
        <w:spacing w:after="120"/>
        <w:jc w:val="both"/>
      </w:pPr>
      <w:r w:rsidRPr="00F136E9">
        <w:t>A summary of smoking cessation rates</w:t>
      </w:r>
      <w:r>
        <w:t xml:space="preserve"> </w:t>
      </w:r>
      <w:r w:rsidRPr="00F136E9">
        <w:t>f</w:t>
      </w:r>
      <w:r w:rsidR="00DA78DD">
        <w:t>or</w:t>
      </w:r>
      <w:r w:rsidRPr="00F136E9">
        <w:t xml:space="preserve"> at least six months follow-up</w:t>
      </w:r>
      <w:r>
        <w:t xml:space="preserve"> for the comparison of NRT oral spray versus placebo </w:t>
      </w:r>
      <w:r w:rsidRPr="00F136E9">
        <w:t xml:space="preserve">is presented </w:t>
      </w:r>
      <w:r w:rsidRPr="00657867">
        <w:t>in</w:t>
      </w:r>
      <w:r>
        <w:t xml:space="preserve"> </w:t>
      </w:r>
      <w:r w:rsidR="00B27344">
        <w:rPr>
          <w:highlight w:val="yellow"/>
        </w:rPr>
        <w:fldChar w:fldCharType="begin" w:fldLock="1"/>
      </w:r>
      <w:r w:rsidR="00B27344">
        <w:instrText xml:space="preserve"> REF _Ref60847024 \h </w:instrText>
      </w:r>
      <w:r w:rsidR="00B27344">
        <w:rPr>
          <w:highlight w:val="yellow"/>
        </w:rPr>
      </w:r>
      <w:r w:rsidR="00B27344">
        <w:rPr>
          <w:highlight w:val="yellow"/>
        </w:rPr>
        <w:fldChar w:fldCharType="separate"/>
      </w:r>
      <w:r w:rsidR="00EC5CC7">
        <w:t xml:space="preserve">Table </w:t>
      </w:r>
      <w:r w:rsidR="00EC5CC7">
        <w:rPr>
          <w:noProof/>
        </w:rPr>
        <w:t>113</w:t>
      </w:r>
      <w:r w:rsidR="00B27344">
        <w:rPr>
          <w:highlight w:val="yellow"/>
        </w:rPr>
        <w:fldChar w:fldCharType="end"/>
      </w:r>
      <w:r w:rsidRPr="00657867">
        <w:t xml:space="preserve">. </w:t>
      </w:r>
      <w:r w:rsidR="00903E5A">
        <w:t>Based on the Cochrane Review</w:t>
      </w:r>
      <w:r>
        <w:t xml:space="preserve"> </w:t>
      </w:r>
      <w:r w:rsidR="005039D4">
        <w:t>by Hartmann-Boyce et al. (2018), the results of the identified RCT demonstrated a statistically significant difference in smoking cessation rates between the two treatment arms, in favour of NRT oral spray. The results of the updated re-analysis were consistent with the results from Hartmann-Boyce et al. (2018) after including the results from</w:t>
      </w:r>
      <w:r w:rsidDel="005039D4">
        <w:t xml:space="preserve"> </w:t>
      </w:r>
      <w:r>
        <w:t xml:space="preserve">Nides </w:t>
      </w:r>
      <w:r w:rsidR="005039D4">
        <w:t>et al. (</w:t>
      </w:r>
      <w:r>
        <w:t>2020</w:t>
      </w:r>
      <w:r w:rsidR="005039D4">
        <w:t>).</w:t>
      </w:r>
      <w:r>
        <w:t xml:space="preserve"> </w:t>
      </w:r>
      <w:r w:rsidR="000D728E">
        <w:t xml:space="preserve">It was noted </w:t>
      </w:r>
      <w:r w:rsidR="000D728E">
        <w:lastRenderedPageBreak/>
        <w:t>that the results of the updated re-analysis were not statistically significant based on risk difference (absolute effect).</w:t>
      </w:r>
    </w:p>
    <w:p w14:paraId="4AAB0732" w14:textId="0B1A8C3C" w:rsidR="00B27344" w:rsidRDefault="00B27344" w:rsidP="00BF17FF">
      <w:pPr>
        <w:pStyle w:val="Caption"/>
        <w:keepNext/>
        <w:spacing w:before="0" w:after="120"/>
        <w:jc w:val="both"/>
      </w:pPr>
      <w:bookmarkStart w:id="197" w:name="_Ref60847024"/>
      <w:r>
        <w:t xml:space="preserve">Table </w:t>
      </w:r>
      <w:r w:rsidR="00BF3F75">
        <w:fldChar w:fldCharType="begin"/>
      </w:r>
      <w:r w:rsidR="00BF3F75">
        <w:instrText xml:space="preserve"> SEQ Table \* ARABIC </w:instrText>
      </w:r>
      <w:r w:rsidR="00BF3F75">
        <w:fldChar w:fldCharType="separate"/>
      </w:r>
      <w:r w:rsidR="00EC5CC7">
        <w:rPr>
          <w:noProof/>
        </w:rPr>
        <w:t>113</w:t>
      </w:r>
      <w:r w:rsidR="00BF3F75">
        <w:rPr>
          <w:noProof/>
        </w:rPr>
        <w:fldChar w:fldCharType="end"/>
      </w:r>
      <w:bookmarkEnd w:id="197"/>
      <w:r>
        <w:t xml:space="preserve">: </w:t>
      </w:r>
      <w:r w:rsidRPr="006E0E8E">
        <w:t>Results of smoking cessation f</w:t>
      </w:r>
      <w:r w:rsidR="00DA78DD">
        <w:t>or</w:t>
      </w:r>
      <w:r w:rsidRPr="006E0E8E">
        <w:t xml:space="preserve"> at least six months follow-up, oral spray versus placebo</w:t>
      </w:r>
    </w:p>
    <w:tbl>
      <w:tblPr>
        <w:tblStyle w:val="TableGrid"/>
        <w:tblW w:w="5000" w:type="pct"/>
        <w:tblLook w:val="04A0" w:firstRow="1" w:lastRow="0" w:firstColumn="1" w:lastColumn="0" w:noHBand="0" w:noVBand="1"/>
        <w:tblCaption w:val="Efficacy results of adalimumab trials (PASI 75 and DLQI)"/>
      </w:tblPr>
      <w:tblGrid>
        <w:gridCol w:w="1555"/>
        <w:gridCol w:w="1700"/>
        <w:gridCol w:w="1417"/>
        <w:gridCol w:w="1347"/>
        <w:gridCol w:w="1535"/>
        <w:gridCol w:w="1462"/>
      </w:tblGrid>
      <w:tr w:rsidR="00F523E8" w:rsidRPr="00061F78" w14:paraId="41D4C495" w14:textId="77777777" w:rsidTr="006A7681">
        <w:trPr>
          <w:cantSplit/>
          <w:trHeight w:val="299"/>
          <w:tblHeader/>
        </w:trPr>
        <w:tc>
          <w:tcPr>
            <w:tcW w:w="862" w:type="pct"/>
            <w:shd w:val="clear" w:color="auto" w:fill="BFBFBF" w:themeFill="background1" w:themeFillShade="BF"/>
            <w:tcMar>
              <w:left w:w="28" w:type="dxa"/>
              <w:right w:w="28" w:type="dxa"/>
            </w:tcMar>
          </w:tcPr>
          <w:p w14:paraId="6AAA3E84" w14:textId="77777777" w:rsidR="00F523E8" w:rsidRPr="00061F78" w:rsidRDefault="00F523E8" w:rsidP="00A5263B">
            <w:pPr>
              <w:pStyle w:val="Tableheading"/>
              <w:keepNext/>
              <w:rPr>
                <w:rFonts w:eastAsia="MS Mincho"/>
              </w:rPr>
            </w:pPr>
            <w:r>
              <w:rPr>
                <w:rFonts w:eastAsia="MS Mincho"/>
              </w:rPr>
              <w:t>Study</w:t>
            </w:r>
          </w:p>
        </w:tc>
        <w:tc>
          <w:tcPr>
            <w:tcW w:w="943" w:type="pct"/>
            <w:shd w:val="clear" w:color="auto" w:fill="BFBFBF" w:themeFill="background1" w:themeFillShade="BF"/>
            <w:vAlign w:val="center"/>
          </w:tcPr>
          <w:p w14:paraId="202D2F70" w14:textId="77777777" w:rsidR="00F523E8" w:rsidRDefault="00F523E8" w:rsidP="00A5263B">
            <w:pPr>
              <w:pStyle w:val="Tableheading"/>
              <w:keepNext/>
              <w:jc w:val="center"/>
              <w:rPr>
                <w:rFonts w:eastAsia="MS Mincho"/>
              </w:rPr>
            </w:pPr>
            <w:r>
              <w:rPr>
                <w:rFonts w:eastAsia="MS Mincho"/>
              </w:rPr>
              <w:t>Study type</w:t>
            </w:r>
          </w:p>
        </w:tc>
        <w:tc>
          <w:tcPr>
            <w:tcW w:w="786" w:type="pct"/>
            <w:shd w:val="clear" w:color="auto" w:fill="BFBFBF" w:themeFill="background1" w:themeFillShade="BF"/>
            <w:tcMar>
              <w:left w:w="28" w:type="dxa"/>
              <w:right w:w="28" w:type="dxa"/>
            </w:tcMar>
            <w:vAlign w:val="center"/>
          </w:tcPr>
          <w:p w14:paraId="00819B3B" w14:textId="77777777" w:rsidR="00F523E8" w:rsidRPr="00061F78" w:rsidRDefault="00F523E8" w:rsidP="00A5263B">
            <w:pPr>
              <w:pStyle w:val="Tableheading"/>
              <w:keepNext/>
              <w:jc w:val="center"/>
              <w:rPr>
                <w:rFonts w:eastAsia="MS Mincho"/>
              </w:rPr>
            </w:pPr>
            <w:r>
              <w:rPr>
                <w:rFonts w:eastAsia="MS Mincho"/>
              </w:rPr>
              <w:t>Oral spray</w:t>
            </w:r>
          </w:p>
        </w:tc>
        <w:tc>
          <w:tcPr>
            <w:tcW w:w="747" w:type="pct"/>
            <w:shd w:val="clear" w:color="auto" w:fill="BFBFBF" w:themeFill="background1" w:themeFillShade="BF"/>
            <w:tcMar>
              <w:left w:w="28" w:type="dxa"/>
              <w:right w:w="28" w:type="dxa"/>
            </w:tcMar>
            <w:vAlign w:val="center"/>
          </w:tcPr>
          <w:p w14:paraId="072CDB1D" w14:textId="77777777" w:rsidR="00F523E8" w:rsidRPr="00061F78" w:rsidRDefault="00F523E8" w:rsidP="00A5263B">
            <w:pPr>
              <w:pStyle w:val="Tableheading"/>
              <w:keepNext/>
              <w:jc w:val="center"/>
              <w:rPr>
                <w:rFonts w:eastAsia="MS Mincho"/>
              </w:rPr>
            </w:pPr>
            <w:r>
              <w:rPr>
                <w:rFonts w:eastAsia="MS Mincho"/>
              </w:rPr>
              <w:t>Placebo</w:t>
            </w:r>
          </w:p>
        </w:tc>
        <w:tc>
          <w:tcPr>
            <w:tcW w:w="851" w:type="pct"/>
            <w:shd w:val="clear" w:color="auto" w:fill="BFBFBF" w:themeFill="background1" w:themeFillShade="BF"/>
            <w:tcMar>
              <w:left w:w="28" w:type="dxa"/>
              <w:right w:w="28" w:type="dxa"/>
            </w:tcMar>
            <w:vAlign w:val="center"/>
          </w:tcPr>
          <w:p w14:paraId="5EDE8F3F" w14:textId="77777777" w:rsidR="00F523E8" w:rsidRPr="002D09A1" w:rsidRDefault="00F523E8" w:rsidP="00A5263B">
            <w:pPr>
              <w:pStyle w:val="Tableheading"/>
              <w:keepNext/>
              <w:jc w:val="center"/>
              <w:rPr>
                <w:rFonts w:eastAsia="MS Mincho"/>
                <w:vertAlign w:val="superscript"/>
              </w:rPr>
            </w:pPr>
            <w:r>
              <w:rPr>
                <w:rFonts w:eastAsia="MS Mincho"/>
              </w:rPr>
              <w:t>RR (95% CI)</w:t>
            </w:r>
          </w:p>
        </w:tc>
        <w:tc>
          <w:tcPr>
            <w:tcW w:w="811" w:type="pct"/>
            <w:shd w:val="clear" w:color="auto" w:fill="BFBFBF" w:themeFill="background1" w:themeFillShade="BF"/>
            <w:vAlign w:val="center"/>
          </w:tcPr>
          <w:p w14:paraId="1B2A5392" w14:textId="0B0EA766" w:rsidR="00F523E8" w:rsidRDefault="00F523E8" w:rsidP="00A5263B">
            <w:pPr>
              <w:pStyle w:val="Tableheading"/>
              <w:keepNext/>
              <w:jc w:val="center"/>
              <w:rPr>
                <w:rFonts w:eastAsia="MS Mincho"/>
              </w:rPr>
            </w:pPr>
            <w:r>
              <w:rPr>
                <w:rFonts w:eastAsia="MS Mincho"/>
              </w:rPr>
              <w:t>RD (95% CI)</w:t>
            </w:r>
          </w:p>
        </w:tc>
      </w:tr>
      <w:tr w:rsidR="00F523E8" w:rsidRPr="00061F78" w14:paraId="3358BCFA" w14:textId="77777777" w:rsidTr="006A7681">
        <w:trPr>
          <w:cantSplit/>
          <w:trHeight w:val="99"/>
        </w:trPr>
        <w:tc>
          <w:tcPr>
            <w:tcW w:w="862" w:type="pct"/>
            <w:shd w:val="clear" w:color="auto" w:fill="auto"/>
            <w:tcMar>
              <w:left w:w="28" w:type="dxa"/>
              <w:right w:w="28" w:type="dxa"/>
            </w:tcMar>
            <w:vAlign w:val="center"/>
          </w:tcPr>
          <w:p w14:paraId="09F9AFFE" w14:textId="260829DA" w:rsidR="00F523E8" w:rsidRDefault="00D40FB8" w:rsidP="00A5263B">
            <w:pPr>
              <w:pStyle w:val="Tablewriting"/>
              <w:keepNext/>
              <w:rPr>
                <w:rFonts w:eastAsia="MS Mincho"/>
              </w:rPr>
            </w:pPr>
            <w:r>
              <w:rPr>
                <w:rFonts w:eastAsia="MS Mincho"/>
              </w:rPr>
              <w:t>Hartmann-Boyce</w:t>
            </w:r>
          </w:p>
          <w:p w14:paraId="39101DE3" w14:textId="29DAB7C4" w:rsidR="00F523E8" w:rsidRPr="006A7681" w:rsidRDefault="00D40FB8" w:rsidP="00A5263B">
            <w:pPr>
              <w:pStyle w:val="Tablewriting"/>
              <w:keepNext/>
              <w:rPr>
                <w:rFonts w:eastAsia="MS Mincho"/>
                <w:highlight w:val="yellow"/>
                <w:vertAlign w:val="superscript"/>
              </w:rPr>
            </w:pPr>
            <w:r w:rsidRPr="006A7681">
              <w:rPr>
                <w:rFonts w:eastAsia="MS Mincho"/>
              </w:rPr>
              <w:t>(2018)</w:t>
            </w:r>
            <w:r>
              <w:rPr>
                <w:rFonts w:eastAsia="MS Mincho"/>
                <w:vertAlign w:val="superscript"/>
              </w:rPr>
              <w:t>1</w:t>
            </w:r>
          </w:p>
        </w:tc>
        <w:tc>
          <w:tcPr>
            <w:tcW w:w="943" w:type="pct"/>
            <w:shd w:val="clear" w:color="auto" w:fill="auto"/>
            <w:vAlign w:val="center"/>
          </w:tcPr>
          <w:p w14:paraId="05C9A712" w14:textId="29DAB7C4" w:rsidR="00D40FB8" w:rsidRDefault="00D40FB8" w:rsidP="00A5263B">
            <w:pPr>
              <w:pStyle w:val="Tablewriting"/>
              <w:keepNext/>
              <w:jc w:val="center"/>
              <w:rPr>
                <w:rFonts w:eastAsia="MS Mincho"/>
              </w:rPr>
            </w:pPr>
            <w:r>
              <w:rPr>
                <w:rFonts w:eastAsia="MS Mincho"/>
              </w:rPr>
              <w:t>Cochrane Review</w:t>
            </w:r>
          </w:p>
          <w:p w14:paraId="3A576AD3" w14:textId="29DAB7C4" w:rsidR="00F523E8" w:rsidRPr="00A22F63" w:rsidRDefault="00D40FB8" w:rsidP="00A5263B">
            <w:pPr>
              <w:pStyle w:val="Tablewriting"/>
              <w:keepNext/>
              <w:jc w:val="center"/>
              <w:rPr>
                <w:rFonts w:eastAsia="MS Mincho"/>
              </w:rPr>
            </w:pPr>
            <w:r>
              <w:rPr>
                <w:rFonts w:eastAsia="MS Mincho"/>
              </w:rPr>
              <w:t xml:space="preserve">(1 </w:t>
            </w:r>
            <w:r w:rsidR="00F523E8" w:rsidRPr="00A22F63">
              <w:rPr>
                <w:rFonts w:eastAsia="MS Mincho"/>
              </w:rPr>
              <w:t>RCT</w:t>
            </w:r>
            <w:r>
              <w:rPr>
                <w:rFonts w:eastAsia="MS Mincho"/>
              </w:rPr>
              <w:t>)</w:t>
            </w:r>
          </w:p>
        </w:tc>
        <w:tc>
          <w:tcPr>
            <w:tcW w:w="786" w:type="pct"/>
            <w:shd w:val="clear" w:color="auto" w:fill="auto"/>
            <w:tcMar>
              <w:left w:w="28" w:type="dxa"/>
              <w:right w:w="28" w:type="dxa"/>
            </w:tcMar>
            <w:vAlign w:val="center"/>
          </w:tcPr>
          <w:p w14:paraId="46AA06EE" w14:textId="77777777" w:rsidR="00F523E8" w:rsidRPr="0064318B" w:rsidRDefault="00F523E8" w:rsidP="00A5263B">
            <w:pPr>
              <w:pStyle w:val="Tablewriting"/>
              <w:keepNext/>
              <w:jc w:val="center"/>
              <w:rPr>
                <w:rFonts w:eastAsia="MS Mincho"/>
              </w:rPr>
            </w:pPr>
            <w:r w:rsidRPr="0064318B">
              <w:rPr>
                <w:rFonts w:eastAsia="MS Mincho"/>
              </w:rPr>
              <w:t>44/318</w:t>
            </w:r>
          </w:p>
          <w:p w14:paraId="03D8AFFB" w14:textId="77777777" w:rsidR="00F523E8" w:rsidRPr="0064318B" w:rsidRDefault="00F523E8" w:rsidP="00A5263B">
            <w:pPr>
              <w:pStyle w:val="Tablewriting"/>
              <w:keepNext/>
              <w:jc w:val="center"/>
              <w:rPr>
                <w:rFonts w:eastAsia="MS Mincho"/>
              </w:rPr>
            </w:pPr>
            <w:r w:rsidRPr="0064318B">
              <w:rPr>
                <w:rFonts w:eastAsia="MS Mincho"/>
              </w:rPr>
              <w:t>(13.8%)</w:t>
            </w:r>
          </w:p>
        </w:tc>
        <w:tc>
          <w:tcPr>
            <w:tcW w:w="747" w:type="pct"/>
            <w:shd w:val="clear" w:color="auto" w:fill="auto"/>
            <w:tcMar>
              <w:left w:w="28" w:type="dxa"/>
              <w:right w:w="28" w:type="dxa"/>
            </w:tcMar>
            <w:vAlign w:val="center"/>
          </w:tcPr>
          <w:p w14:paraId="2AE3E9A8" w14:textId="77777777" w:rsidR="00F523E8" w:rsidRPr="0064318B" w:rsidRDefault="00F523E8" w:rsidP="00A5263B">
            <w:pPr>
              <w:pStyle w:val="Tablewriting"/>
              <w:keepNext/>
              <w:jc w:val="center"/>
              <w:rPr>
                <w:rFonts w:eastAsia="MS Mincho"/>
              </w:rPr>
            </w:pPr>
            <w:r w:rsidRPr="0064318B">
              <w:rPr>
                <w:rFonts w:eastAsia="MS Mincho"/>
              </w:rPr>
              <w:t>9/161</w:t>
            </w:r>
          </w:p>
          <w:p w14:paraId="048791B9" w14:textId="77777777" w:rsidR="00F523E8" w:rsidRPr="0064318B" w:rsidRDefault="00F523E8" w:rsidP="00A5263B">
            <w:pPr>
              <w:pStyle w:val="Tablewriting"/>
              <w:keepNext/>
              <w:jc w:val="center"/>
              <w:rPr>
                <w:rFonts w:eastAsia="MS Mincho"/>
              </w:rPr>
            </w:pPr>
            <w:r w:rsidRPr="0064318B">
              <w:rPr>
                <w:rFonts w:eastAsia="MS Mincho"/>
              </w:rPr>
              <w:t>(5.6%)</w:t>
            </w:r>
          </w:p>
        </w:tc>
        <w:tc>
          <w:tcPr>
            <w:tcW w:w="851" w:type="pct"/>
            <w:shd w:val="clear" w:color="auto" w:fill="auto"/>
            <w:tcMar>
              <w:left w:w="28" w:type="dxa"/>
              <w:right w:w="28" w:type="dxa"/>
            </w:tcMar>
            <w:vAlign w:val="center"/>
          </w:tcPr>
          <w:p w14:paraId="5FEE28D1" w14:textId="77777777" w:rsidR="00F523E8" w:rsidRPr="006A7681" w:rsidRDefault="00F523E8" w:rsidP="00A5263B">
            <w:pPr>
              <w:pStyle w:val="Tablewriting"/>
              <w:keepNext/>
              <w:jc w:val="center"/>
              <w:rPr>
                <w:rFonts w:eastAsia="MS Mincho"/>
                <w:b/>
              </w:rPr>
            </w:pPr>
            <w:r w:rsidRPr="006A7681">
              <w:rPr>
                <w:rFonts w:eastAsia="MS Mincho"/>
                <w:b/>
              </w:rPr>
              <w:t>2.48</w:t>
            </w:r>
          </w:p>
          <w:p w14:paraId="4EA0C61F" w14:textId="77777777" w:rsidR="00F523E8" w:rsidRPr="006A7681" w:rsidRDefault="00F523E8" w:rsidP="00A5263B">
            <w:pPr>
              <w:pStyle w:val="Tablewriting"/>
              <w:keepNext/>
              <w:jc w:val="center"/>
              <w:rPr>
                <w:rFonts w:eastAsia="MS Mincho"/>
                <w:b/>
              </w:rPr>
            </w:pPr>
            <w:r w:rsidRPr="006A7681">
              <w:rPr>
                <w:rFonts w:eastAsia="MS Mincho"/>
                <w:b/>
              </w:rPr>
              <w:t>(1.24, 4.94)</w:t>
            </w:r>
          </w:p>
        </w:tc>
        <w:tc>
          <w:tcPr>
            <w:tcW w:w="811" w:type="pct"/>
            <w:shd w:val="clear" w:color="auto" w:fill="auto"/>
            <w:vAlign w:val="center"/>
          </w:tcPr>
          <w:p w14:paraId="08DD7832" w14:textId="223A4E2A" w:rsidR="00F523E8" w:rsidRPr="005D18BC" w:rsidRDefault="00D40FB8" w:rsidP="00A5263B">
            <w:pPr>
              <w:pStyle w:val="Tablewriting"/>
              <w:keepNext/>
              <w:jc w:val="center"/>
              <w:rPr>
                <w:rFonts w:eastAsia="MS Mincho"/>
                <w:highlight w:val="yellow"/>
              </w:rPr>
            </w:pPr>
            <w:r w:rsidRPr="006A7681">
              <w:rPr>
                <w:rFonts w:eastAsia="MS Mincho"/>
              </w:rPr>
              <w:t>NR</w:t>
            </w:r>
          </w:p>
        </w:tc>
      </w:tr>
      <w:tr w:rsidR="00F523E8" w:rsidRPr="00061F78" w14:paraId="3A4A38E4" w14:textId="77777777" w:rsidTr="006A7681">
        <w:trPr>
          <w:cantSplit/>
          <w:trHeight w:val="99"/>
        </w:trPr>
        <w:tc>
          <w:tcPr>
            <w:tcW w:w="862" w:type="pct"/>
            <w:shd w:val="clear" w:color="auto" w:fill="auto"/>
            <w:tcMar>
              <w:left w:w="28" w:type="dxa"/>
              <w:right w:w="28" w:type="dxa"/>
            </w:tcMar>
            <w:vAlign w:val="center"/>
          </w:tcPr>
          <w:p w14:paraId="0098E6A6" w14:textId="77777777" w:rsidR="00F523E8" w:rsidRPr="008657EE" w:rsidRDefault="00F523E8" w:rsidP="00A5263B">
            <w:pPr>
              <w:pStyle w:val="Tablewriting"/>
              <w:keepNext/>
              <w:rPr>
                <w:rFonts w:eastAsia="MS Mincho"/>
              </w:rPr>
            </w:pPr>
            <w:r w:rsidRPr="004F796B">
              <w:rPr>
                <w:rFonts w:eastAsia="MS Mincho"/>
              </w:rPr>
              <w:t xml:space="preserve">Nides </w:t>
            </w:r>
            <w:r>
              <w:rPr>
                <w:rFonts w:eastAsia="MS Mincho"/>
              </w:rPr>
              <w:t>(</w:t>
            </w:r>
            <w:r w:rsidRPr="004F796B">
              <w:rPr>
                <w:rFonts w:eastAsia="MS Mincho"/>
              </w:rPr>
              <w:t>2020</w:t>
            </w:r>
            <w:r>
              <w:rPr>
                <w:rFonts w:eastAsia="MS Mincho"/>
              </w:rPr>
              <w:t>)</w:t>
            </w:r>
            <w:r w:rsidRPr="004F796B">
              <w:rPr>
                <w:rFonts w:eastAsia="MS Mincho"/>
                <w:vertAlign w:val="superscript"/>
              </w:rPr>
              <w:t>2</w:t>
            </w:r>
          </w:p>
        </w:tc>
        <w:tc>
          <w:tcPr>
            <w:tcW w:w="943" w:type="pct"/>
            <w:shd w:val="clear" w:color="auto" w:fill="auto"/>
            <w:vAlign w:val="center"/>
          </w:tcPr>
          <w:p w14:paraId="04D51F29" w14:textId="77777777" w:rsidR="00F523E8" w:rsidRDefault="00F523E8" w:rsidP="00A5263B">
            <w:pPr>
              <w:pStyle w:val="Tablewriting"/>
              <w:keepNext/>
              <w:jc w:val="center"/>
              <w:rPr>
                <w:rFonts w:eastAsia="MS Mincho"/>
              </w:rPr>
            </w:pPr>
            <w:r>
              <w:rPr>
                <w:rFonts w:eastAsia="MS Mincho"/>
              </w:rPr>
              <w:t>RCT</w:t>
            </w:r>
          </w:p>
        </w:tc>
        <w:tc>
          <w:tcPr>
            <w:tcW w:w="786" w:type="pct"/>
            <w:shd w:val="clear" w:color="auto" w:fill="auto"/>
            <w:vAlign w:val="center"/>
          </w:tcPr>
          <w:p w14:paraId="7F192BDA" w14:textId="77777777" w:rsidR="00F523E8" w:rsidRDefault="00F523E8" w:rsidP="00A5263B">
            <w:pPr>
              <w:pStyle w:val="Tablewriting"/>
              <w:keepNext/>
              <w:jc w:val="center"/>
              <w:rPr>
                <w:rFonts w:eastAsia="MS Mincho"/>
              </w:rPr>
            </w:pPr>
            <w:r>
              <w:rPr>
                <w:rFonts w:eastAsia="MS Mincho"/>
              </w:rPr>
              <w:t>20/597</w:t>
            </w:r>
          </w:p>
          <w:p w14:paraId="03B44C3C" w14:textId="77777777" w:rsidR="00F523E8" w:rsidRDefault="00F523E8" w:rsidP="00A5263B">
            <w:pPr>
              <w:pStyle w:val="Tablewriting"/>
              <w:keepNext/>
              <w:jc w:val="center"/>
              <w:rPr>
                <w:rFonts w:eastAsia="MS Mincho"/>
              </w:rPr>
            </w:pPr>
            <w:r>
              <w:rPr>
                <w:rFonts w:eastAsia="MS Mincho"/>
              </w:rPr>
              <w:t>(3.4%)</w:t>
            </w:r>
          </w:p>
        </w:tc>
        <w:tc>
          <w:tcPr>
            <w:tcW w:w="747" w:type="pct"/>
            <w:shd w:val="clear" w:color="auto" w:fill="auto"/>
            <w:vAlign w:val="center"/>
          </w:tcPr>
          <w:p w14:paraId="36DD3B97" w14:textId="77777777" w:rsidR="00F523E8" w:rsidRDefault="00F523E8" w:rsidP="00A5263B">
            <w:pPr>
              <w:pStyle w:val="Tablewriting"/>
              <w:keepNext/>
              <w:jc w:val="center"/>
              <w:rPr>
                <w:rFonts w:eastAsia="MS Mincho"/>
              </w:rPr>
            </w:pPr>
            <w:r>
              <w:rPr>
                <w:rFonts w:eastAsia="MS Mincho"/>
              </w:rPr>
              <w:t>7/601</w:t>
            </w:r>
          </w:p>
          <w:p w14:paraId="6043E69F" w14:textId="77777777" w:rsidR="00F523E8" w:rsidRDefault="00F523E8" w:rsidP="00A5263B">
            <w:pPr>
              <w:pStyle w:val="Tablewriting"/>
              <w:keepNext/>
              <w:jc w:val="center"/>
              <w:rPr>
                <w:rFonts w:eastAsia="MS Mincho"/>
              </w:rPr>
            </w:pPr>
            <w:r>
              <w:rPr>
                <w:rFonts w:eastAsia="MS Mincho"/>
              </w:rPr>
              <w:t>(1.2%)</w:t>
            </w:r>
          </w:p>
        </w:tc>
        <w:tc>
          <w:tcPr>
            <w:tcW w:w="851" w:type="pct"/>
            <w:shd w:val="clear" w:color="auto" w:fill="auto"/>
            <w:tcMar>
              <w:left w:w="28" w:type="dxa"/>
              <w:right w:w="28" w:type="dxa"/>
            </w:tcMar>
            <w:vAlign w:val="center"/>
          </w:tcPr>
          <w:p w14:paraId="27F348A4" w14:textId="77777777" w:rsidR="00F523E8" w:rsidRPr="006A7681" w:rsidRDefault="00F523E8" w:rsidP="00A5263B">
            <w:pPr>
              <w:pStyle w:val="Tablewriting"/>
              <w:keepNext/>
              <w:jc w:val="center"/>
              <w:rPr>
                <w:rFonts w:eastAsia="MS Mincho"/>
                <w:b/>
              </w:rPr>
            </w:pPr>
            <w:r w:rsidRPr="006A7681">
              <w:rPr>
                <w:rFonts w:eastAsia="MS Mincho"/>
                <w:b/>
              </w:rPr>
              <w:t>2.87</w:t>
            </w:r>
          </w:p>
          <w:p w14:paraId="3B367E1D" w14:textId="77777777" w:rsidR="00F523E8" w:rsidRPr="006A7681" w:rsidRDefault="00F523E8" w:rsidP="00A5263B">
            <w:pPr>
              <w:pStyle w:val="Tablewriting"/>
              <w:keepNext/>
              <w:jc w:val="center"/>
              <w:rPr>
                <w:rFonts w:eastAsia="MS Mincho"/>
                <w:b/>
              </w:rPr>
            </w:pPr>
            <w:r w:rsidRPr="006A7681">
              <w:rPr>
                <w:rFonts w:eastAsia="MS Mincho"/>
                <w:b/>
              </w:rPr>
              <w:t>(1.23, 6.71)</w:t>
            </w:r>
          </w:p>
        </w:tc>
        <w:tc>
          <w:tcPr>
            <w:tcW w:w="811" w:type="pct"/>
            <w:shd w:val="clear" w:color="auto" w:fill="auto"/>
            <w:vAlign w:val="center"/>
          </w:tcPr>
          <w:p w14:paraId="50A56E97" w14:textId="05D15D1F" w:rsidR="00F523E8" w:rsidRPr="0013248D" w:rsidRDefault="00F962F6" w:rsidP="00A5263B">
            <w:pPr>
              <w:pStyle w:val="Tablewriting"/>
              <w:keepNext/>
              <w:jc w:val="center"/>
              <w:rPr>
                <w:rFonts w:eastAsia="MS Mincho"/>
                <w:b/>
              </w:rPr>
            </w:pPr>
            <w:r w:rsidRPr="0013248D">
              <w:rPr>
                <w:rFonts w:eastAsia="MS Mincho"/>
                <w:b/>
              </w:rPr>
              <w:t>0.</w:t>
            </w:r>
            <w:r w:rsidRPr="0013248D">
              <w:rPr>
                <w:rFonts w:eastAsia="MS Mincho"/>
                <w:b/>
                <w:bCs/>
              </w:rPr>
              <w:t>08</w:t>
            </w:r>
          </w:p>
          <w:p w14:paraId="349103C4" w14:textId="120C087C" w:rsidR="00F523E8" w:rsidRDefault="00F962F6" w:rsidP="00A5263B">
            <w:pPr>
              <w:pStyle w:val="Tablewriting"/>
              <w:keepNext/>
              <w:jc w:val="center"/>
              <w:rPr>
                <w:rFonts w:eastAsia="MS Mincho"/>
                <w:highlight w:val="yellow"/>
              </w:rPr>
            </w:pPr>
            <w:r w:rsidRPr="0013248D">
              <w:rPr>
                <w:rFonts w:eastAsia="MS Mincho"/>
                <w:b/>
              </w:rPr>
              <w:t>(0.03, 0.13)</w:t>
            </w:r>
          </w:p>
        </w:tc>
      </w:tr>
      <w:tr w:rsidR="00D40FB8" w:rsidRPr="00061F78" w14:paraId="3C74E0DF" w14:textId="77777777" w:rsidTr="2A41F5C6">
        <w:trPr>
          <w:cantSplit/>
          <w:trHeight w:val="99"/>
        </w:trPr>
        <w:tc>
          <w:tcPr>
            <w:tcW w:w="5000" w:type="pct"/>
            <w:gridSpan w:val="6"/>
            <w:shd w:val="clear" w:color="auto" w:fill="auto"/>
            <w:tcMar>
              <w:left w:w="28" w:type="dxa"/>
              <w:right w:w="28" w:type="dxa"/>
            </w:tcMar>
            <w:vAlign w:val="center"/>
          </w:tcPr>
          <w:p w14:paraId="231374CF" w14:textId="0EB314FC" w:rsidR="00D40FB8" w:rsidRPr="00D15590" w:rsidRDefault="00D40FB8" w:rsidP="006A7681">
            <w:pPr>
              <w:pStyle w:val="Tablewriting"/>
              <w:keepNext/>
              <w:rPr>
                <w:rFonts w:eastAsia="MS Mincho"/>
                <w:b/>
                <w:bCs/>
                <w:highlight w:val="yellow"/>
              </w:rPr>
            </w:pPr>
            <w:r w:rsidRPr="00D15590">
              <w:rPr>
                <w:rFonts w:eastAsia="MS Mincho"/>
                <w:b/>
                <w:bCs/>
              </w:rPr>
              <w:t>Meta-analysis of Hartmann-Boyce (2018) and Nides (2020)</w:t>
            </w:r>
          </w:p>
        </w:tc>
      </w:tr>
      <w:tr w:rsidR="00D40FB8" w:rsidRPr="00061F78" w14:paraId="68C86962" w14:textId="77777777" w:rsidTr="2A41F5C6">
        <w:trPr>
          <w:cantSplit/>
          <w:trHeight w:val="99"/>
        </w:trPr>
        <w:tc>
          <w:tcPr>
            <w:tcW w:w="862" w:type="pct"/>
            <w:shd w:val="clear" w:color="auto" w:fill="auto"/>
            <w:tcMar>
              <w:left w:w="28" w:type="dxa"/>
              <w:right w:w="28" w:type="dxa"/>
            </w:tcMar>
            <w:vAlign w:val="center"/>
          </w:tcPr>
          <w:p w14:paraId="162D530D" w14:textId="77777777" w:rsidR="00D15590" w:rsidRDefault="00D40FB8" w:rsidP="00A5263B">
            <w:pPr>
              <w:pStyle w:val="Tablewriting"/>
              <w:keepNext/>
              <w:rPr>
                <w:rFonts w:eastAsia="MS Mincho"/>
              </w:rPr>
            </w:pPr>
            <w:r>
              <w:rPr>
                <w:rFonts w:eastAsia="MS Mincho"/>
              </w:rPr>
              <w:t xml:space="preserve">Updated </w:t>
            </w:r>
          </w:p>
          <w:p w14:paraId="6A811A25" w14:textId="02ABDC41" w:rsidR="00D40FB8" w:rsidRPr="006A7681" w:rsidRDefault="00D40FB8" w:rsidP="00A5263B">
            <w:pPr>
              <w:pStyle w:val="Tablewriting"/>
              <w:keepNext/>
              <w:rPr>
                <w:rFonts w:eastAsia="MS Mincho"/>
                <w:vertAlign w:val="superscript"/>
              </w:rPr>
            </w:pPr>
            <w:r>
              <w:rPr>
                <w:rFonts w:eastAsia="MS Mincho"/>
              </w:rPr>
              <w:t>re-analysis</w:t>
            </w:r>
            <w:r>
              <w:rPr>
                <w:rFonts w:eastAsia="MS Mincho"/>
                <w:vertAlign w:val="superscript"/>
              </w:rPr>
              <w:t>3</w:t>
            </w:r>
          </w:p>
        </w:tc>
        <w:tc>
          <w:tcPr>
            <w:tcW w:w="943" w:type="pct"/>
            <w:shd w:val="clear" w:color="auto" w:fill="auto"/>
            <w:vAlign w:val="center"/>
          </w:tcPr>
          <w:p w14:paraId="75D4EC7B" w14:textId="46823EDD" w:rsidR="00D40FB8" w:rsidRDefault="00D40FB8" w:rsidP="00A5263B">
            <w:pPr>
              <w:pStyle w:val="Tablewriting"/>
              <w:keepNext/>
              <w:jc w:val="center"/>
              <w:rPr>
                <w:rFonts w:eastAsia="MS Mincho"/>
              </w:rPr>
            </w:pPr>
            <w:r>
              <w:rPr>
                <w:rFonts w:eastAsia="MS Mincho"/>
              </w:rPr>
              <w:t>2 RCTs</w:t>
            </w:r>
          </w:p>
        </w:tc>
        <w:tc>
          <w:tcPr>
            <w:tcW w:w="786" w:type="pct"/>
            <w:shd w:val="clear" w:color="auto" w:fill="auto"/>
            <w:vAlign w:val="center"/>
          </w:tcPr>
          <w:p w14:paraId="040BF956" w14:textId="4BEE141A" w:rsidR="00D40FB8" w:rsidRDefault="008D3721" w:rsidP="00A5263B">
            <w:pPr>
              <w:pStyle w:val="Tablewriting"/>
              <w:keepNext/>
              <w:jc w:val="center"/>
              <w:rPr>
                <w:rFonts w:eastAsia="MS Mincho"/>
              </w:rPr>
            </w:pPr>
            <w:r>
              <w:rPr>
                <w:rFonts w:eastAsia="MS Mincho"/>
              </w:rPr>
              <w:t>64/915</w:t>
            </w:r>
          </w:p>
          <w:p w14:paraId="0481323C" w14:textId="401AF51F" w:rsidR="00D40FB8" w:rsidRPr="0013248D" w:rsidRDefault="008D3721" w:rsidP="00A5263B">
            <w:pPr>
              <w:pStyle w:val="Tablewriting"/>
              <w:keepNext/>
              <w:jc w:val="center"/>
              <w:rPr>
                <w:rFonts w:eastAsia="MS Mincho"/>
              </w:rPr>
            </w:pPr>
            <w:r>
              <w:rPr>
                <w:rFonts w:eastAsia="MS Mincho"/>
              </w:rPr>
              <w:t>(</w:t>
            </w:r>
            <w:r w:rsidR="00016AD8">
              <w:rPr>
                <w:rFonts w:eastAsia="MS Mincho"/>
              </w:rPr>
              <w:t>7</w:t>
            </w:r>
            <w:r>
              <w:rPr>
                <w:rFonts w:eastAsia="MS Mincho"/>
              </w:rPr>
              <w:t>%)</w:t>
            </w:r>
          </w:p>
        </w:tc>
        <w:tc>
          <w:tcPr>
            <w:tcW w:w="747" w:type="pct"/>
            <w:shd w:val="clear" w:color="auto" w:fill="auto"/>
            <w:vAlign w:val="center"/>
          </w:tcPr>
          <w:p w14:paraId="72A89234" w14:textId="0785F8E0" w:rsidR="00D40FB8" w:rsidRDefault="008D3721" w:rsidP="00A5263B">
            <w:pPr>
              <w:pStyle w:val="Tablewriting"/>
              <w:keepNext/>
              <w:jc w:val="center"/>
              <w:rPr>
                <w:rFonts w:eastAsia="MS Mincho"/>
              </w:rPr>
            </w:pPr>
            <w:r>
              <w:rPr>
                <w:rFonts w:eastAsia="MS Mincho"/>
              </w:rPr>
              <w:t>16/762</w:t>
            </w:r>
          </w:p>
          <w:p w14:paraId="6B70CB89" w14:textId="102FBA39" w:rsidR="00D40FB8" w:rsidRPr="0013248D" w:rsidRDefault="008D3721" w:rsidP="00A5263B">
            <w:pPr>
              <w:pStyle w:val="Tablewriting"/>
              <w:keepNext/>
              <w:jc w:val="center"/>
              <w:rPr>
                <w:rFonts w:eastAsia="MS Mincho"/>
              </w:rPr>
            </w:pPr>
            <w:r>
              <w:rPr>
                <w:rFonts w:eastAsia="MS Mincho"/>
              </w:rPr>
              <w:t>(</w:t>
            </w:r>
            <w:r w:rsidR="00016AD8">
              <w:rPr>
                <w:rFonts w:eastAsia="MS Mincho"/>
              </w:rPr>
              <w:t>2.1</w:t>
            </w:r>
            <w:r>
              <w:rPr>
                <w:rFonts w:eastAsia="MS Mincho"/>
              </w:rPr>
              <w:t>%)</w:t>
            </w:r>
          </w:p>
        </w:tc>
        <w:tc>
          <w:tcPr>
            <w:tcW w:w="851" w:type="pct"/>
            <w:shd w:val="clear" w:color="auto" w:fill="auto"/>
            <w:tcMar>
              <w:left w:w="28" w:type="dxa"/>
              <w:right w:w="28" w:type="dxa"/>
            </w:tcMar>
            <w:vAlign w:val="center"/>
          </w:tcPr>
          <w:p w14:paraId="046CF00C" w14:textId="39A94B2B" w:rsidR="00D40FB8" w:rsidRPr="0013248D" w:rsidRDefault="008D3721" w:rsidP="00A5263B">
            <w:pPr>
              <w:pStyle w:val="Tablewriting"/>
              <w:keepNext/>
              <w:jc w:val="center"/>
              <w:rPr>
                <w:rFonts w:eastAsia="MS Mincho"/>
                <w:b/>
              </w:rPr>
            </w:pPr>
            <w:r w:rsidRPr="0013248D">
              <w:rPr>
                <w:rFonts w:eastAsia="MS Mincho"/>
                <w:b/>
              </w:rPr>
              <w:t>2.</w:t>
            </w:r>
            <w:r w:rsidRPr="0013248D">
              <w:rPr>
                <w:rFonts w:eastAsia="MS Mincho"/>
                <w:b/>
                <w:bCs/>
              </w:rPr>
              <w:t>63</w:t>
            </w:r>
          </w:p>
          <w:p w14:paraId="613D3942" w14:textId="1503DC53" w:rsidR="00D40FB8" w:rsidRPr="0013248D" w:rsidRDefault="008D3721" w:rsidP="00A5263B">
            <w:pPr>
              <w:pStyle w:val="Tablewriting"/>
              <w:keepNext/>
              <w:jc w:val="center"/>
              <w:rPr>
                <w:rFonts w:eastAsia="MS Mincho"/>
              </w:rPr>
            </w:pPr>
            <w:r w:rsidRPr="0013248D">
              <w:rPr>
                <w:rFonts w:eastAsia="MS Mincho"/>
                <w:b/>
              </w:rPr>
              <w:t>(1.54, 4.50)</w:t>
            </w:r>
          </w:p>
        </w:tc>
        <w:tc>
          <w:tcPr>
            <w:tcW w:w="811" w:type="pct"/>
            <w:shd w:val="clear" w:color="auto" w:fill="auto"/>
            <w:vAlign w:val="center"/>
          </w:tcPr>
          <w:p w14:paraId="2F4471B0" w14:textId="2EB58764" w:rsidR="00D40FB8" w:rsidRDefault="00F962F6" w:rsidP="00A5263B">
            <w:pPr>
              <w:pStyle w:val="Tablewriting"/>
              <w:keepNext/>
              <w:jc w:val="center"/>
              <w:rPr>
                <w:rFonts w:eastAsia="MS Mincho"/>
              </w:rPr>
            </w:pPr>
            <w:r w:rsidRPr="28D1BB31">
              <w:rPr>
                <w:rFonts w:eastAsia="MS Mincho"/>
              </w:rPr>
              <w:t>0.05</w:t>
            </w:r>
          </w:p>
          <w:p w14:paraId="04CA87CD" w14:textId="120C087C" w:rsidR="00D40FB8" w:rsidRPr="0013248D" w:rsidRDefault="00F962F6" w:rsidP="00A5263B">
            <w:pPr>
              <w:pStyle w:val="Tablewriting"/>
              <w:keepNext/>
              <w:jc w:val="center"/>
              <w:rPr>
                <w:rFonts w:eastAsia="MS Mincho"/>
              </w:rPr>
            </w:pPr>
            <w:r w:rsidRPr="28D1BB31">
              <w:rPr>
                <w:rFonts w:eastAsia="MS Mincho"/>
              </w:rPr>
              <w:t>(-0.02, 0.12)</w:t>
            </w:r>
          </w:p>
        </w:tc>
      </w:tr>
    </w:tbl>
    <w:p w14:paraId="07C8D999" w14:textId="74885F36" w:rsidR="00F523E8" w:rsidRPr="00566F12" w:rsidRDefault="00F523E8" w:rsidP="00BF17FF">
      <w:pPr>
        <w:pStyle w:val="TableFooter"/>
        <w:keepNext/>
        <w:jc w:val="both"/>
      </w:pPr>
      <w:r w:rsidRPr="00566F12">
        <w:t xml:space="preserve">Source: </w:t>
      </w:r>
      <w:r w:rsidRPr="00637ACA">
        <w:t xml:space="preserve">Hartmann-Boyce et al. </w:t>
      </w:r>
      <w:r w:rsidR="00D40FB8">
        <w:t>(</w:t>
      </w:r>
      <w:r w:rsidRPr="00637ACA">
        <w:t>2018</w:t>
      </w:r>
      <w:r w:rsidR="00D40FB8">
        <w:t>), Nides et al. (2020)</w:t>
      </w:r>
      <w:r w:rsidRPr="00566F12">
        <w:t>.</w:t>
      </w:r>
    </w:p>
    <w:p w14:paraId="3F506A12" w14:textId="4A5B4F9F" w:rsidR="00F523E8" w:rsidRDefault="00F523E8" w:rsidP="00BF17FF">
      <w:pPr>
        <w:pStyle w:val="TableFooter"/>
        <w:keepNext/>
        <w:jc w:val="both"/>
      </w:pPr>
      <w:r w:rsidRPr="00566F12">
        <w:t xml:space="preserve">Abbreviations: CI = confidence interval; </w:t>
      </w:r>
      <w:r w:rsidR="00D40FB8">
        <w:t xml:space="preserve">NR = not reported; </w:t>
      </w:r>
      <w:r w:rsidRPr="00566F12">
        <w:t>RCT = randomised controlled trial; RD = risk difference; RR = risk ratio</w:t>
      </w:r>
    </w:p>
    <w:p w14:paraId="0B0203D1" w14:textId="5B3FC537" w:rsidR="00F523E8" w:rsidRDefault="00F523E8" w:rsidP="00BF17FF">
      <w:pPr>
        <w:pStyle w:val="TableFooter"/>
        <w:keepNext/>
        <w:jc w:val="both"/>
      </w:pPr>
      <w:r w:rsidRPr="00566F12">
        <w:t>Notes:</w:t>
      </w:r>
      <w:r>
        <w:t xml:space="preserve"> </w:t>
      </w:r>
      <w:r w:rsidR="00D40FB8">
        <w:t>Bold indicates statistically significant difference</w:t>
      </w:r>
      <w:r w:rsidR="00ED0CBA">
        <w:t>.</w:t>
      </w:r>
    </w:p>
    <w:p w14:paraId="67592325" w14:textId="75A8793B" w:rsidR="00F523E8" w:rsidRDefault="00F523E8" w:rsidP="00BF17FF">
      <w:pPr>
        <w:pStyle w:val="TableFooter"/>
        <w:keepNext/>
        <w:jc w:val="both"/>
      </w:pPr>
      <w:r>
        <w:t xml:space="preserve">1 </w:t>
      </w:r>
      <w:r w:rsidR="00D40FB8">
        <w:t>Calculated by Cochrane Review authors using a fixed-effect model</w:t>
      </w:r>
      <w:r w:rsidR="00ED0CBA">
        <w:t>.</w:t>
      </w:r>
      <w:r>
        <w:t xml:space="preserve"> </w:t>
      </w:r>
    </w:p>
    <w:p w14:paraId="2BD35DCA" w14:textId="29DAB7C4" w:rsidR="00D40FB8" w:rsidRDefault="00F523E8" w:rsidP="00BF17FF">
      <w:pPr>
        <w:pStyle w:val="TableFooter"/>
        <w:keepNext/>
        <w:jc w:val="both"/>
      </w:pPr>
      <w:r>
        <w:t>2 C</w:t>
      </w:r>
      <w:r w:rsidRPr="004F796B">
        <w:t>ontinuous abstinence</w:t>
      </w:r>
      <w:r>
        <w:t xml:space="preserve"> at week 26.</w:t>
      </w:r>
    </w:p>
    <w:p w14:paraId="3D5E1EE8" w14:textId="62A15C52" w:rsidR="00F523E8" w:rsidRPr="002C2B61" w:rsidRDefault="00D40FB8" w:rsidP="002C2B61">
      <w:pPr>
        <w:pStyle w:val="TableFooter"/>
        <w:keepNext/>
        <w:spacing w:after="120"/>
        <w:contextualSpacing w:val="0"/>
        <w:jc w:val="both"/>
        <w:rPr>
          <w:i/>
        </w:rPr>
      </w:pPr>
      <w:r>
        <w:t>3 Calculated during the review using a random-effect model</w:t>
      </w:r>
      <w:r w:rsidR="00ED0CBA">
        <w:t>.</w:t>
      </w:r>
      <w:r w:rsidR="00F523E8">
        <w:t xml:space="preserve"> </w:t>
      </w:r>
    </w:p>
    <w:p w14:paraId="702A9862" w14:textId="2E224D39" w:rsidR="002C2B61" w:rsidRDefault="00F523E8" w:rsidP="002C2B61">
      <w:pPr>
        <w:pStyle w:val="TableFooter"/>
        <w:spacing w:after="120"/>
        <w:contextualSpacing w:val="0"/>
        <w:jc w:val="both"/>
        <w:rPr>
          <w:sz w:val="24"/>
        </w:rPr>
      </w:pPr>
      <w:r w:rsidRPr="00F136E9">
        <w:rPr>
          <w:sz w:val="24"/>
        </w:rPr>
        <w:t>The results of the individual studies</w:t>
      </w:r>
      <w:r>
        <w:rPr>
          <w:sz w:val="24"/>
        </w:rPr>
        <w:t xml:space="preserve"> relevant to NRT oral spray dosage form </w:t>
      </w:r>
      <w:r w:rsidR="00FC18A1">
        <w:rPr>
          <w:sz w:val="24"/>
        </w:rPr>
        <w:t>based on the updated</w:t>
      </w:r>
      <w:r w:rsidR="008D3721">
        <w:rPr>
          <w:sz w:val="24"/>
        </w:rPr>
        <w:t xml:space="preserve"> </w:t>
      </w:r>
      <w:r w:rsidR="00FC18A1">
        <w:rPr>
          <w:sz w:val="24"/>
        </w:rPr>
        <w:t>r</w:t>
      </w:r>
      <w:r w:rsidR="008D3721">
        <w:rPr>
          <w:sz w:val="24"/>
        </w:rPr>
        <w:t>e-</w:t>
      </w:r>
      <w:r w:rsidR="00FC18A1">
        <w:rPr>
          <w:sz w:val="24"/>
        </w:rPr>
        <w:t>analysis</w:t>
      </w:r>
      <w:r w:rsidRPr="00F136E9">
        <w:rPr>
          <w:sz w:val="24"/>
        </w:rPr>
        <w:t xml:space="preserve"> are presented using a forest plot in</w:t>
      </w:r>
      <w:r>
        <w:rPr>
          <w:sz w:val="24"/>
        </w:rPr>
        <w:t xml:space="preserve"> </w:t>
      </w:r>
      <w:r w:rsidR="002175A5" w:rsidRPr="002175A5">
        <w:rPr>
          <w:sz w:val="24"/>
        </w:rPr>
        <w:fldChar w:fldCharType="begin" w:fldLock="1"/>
      </w:r>
      <w:r w:rsidR="002175A5">
        <w:rPr>
          <w:sz w:val="24"/>
        </w:rPr>
        <w:instrText xml:space="preserve"> REF _Ref60909401 \h  \* MERGEFORMAT </w:instrText>
      </w:r>
      <w:r w:rsidR="002175A5" w:rsidRPr="002175A5">
        <w:rPr>
          <w:sz w:val="24"/>
        </w:rPr>
      </w:r>
      <w:r w:rsidR="002175A5" w:rsidRPr="002175A5">
        <w:rPr>
          <w:sz w:val="24"/>
        </w:rPr>
        <w:fldChar w:fldCharType="separate"/>
      </w:r>
      <w:r w:rsidR="00EC5CC7" w:rsidRPr="00EC5CC7">
        <w:rPr>
          <w:sz w:val="24"/>
        </w:rPr>
        <w:t>Figure 39</w:t>
      </w:r>
      <w:r w:rsidR="002175A5" w:rsidRPr="002175A5">
        <w:rPr>
          <w:sz w:val="24"/>
        </w:rPr>
        <w:fldChar w:fldCharType="end"/>
      </w:r>
      <w:r w:rsidRPr="002175A5">
        <w:rPr>
          <w:sz w:val="24"/>
        </w:rPr>
        <w:t>.</w:t>
      </w:r>
      <w:r>
        <w:rPr>
          <w:sz w:val="24"/>
        </w:rPr>
        <w:t xml:space="preserve"> </w:t>
      </w:r>
    </w:p>
    <w:p w14:paraId="77A6E5C8" w14:textId="424E1A44" w:rsidR="002175A5" w:rsidRDefault="008D3721" w:rsidP="002175A5">
      <w:pPr>
        <w:pStyle w:val="TableFooter"/>
        <w:keepNext/>
      </w:pPr>
      <w:r>
        <w:rPr>
          <w:noProof/>
        </w:rPr>
        <w:drawing>
          <wp:inline distT="0" distB="0" distL="0" distR="0" wp14:anchorId="75CCBA45" wp14:editId="5ECDC943">
            <wp:extent cx="5731510" cy="1151890"/>
            <wp:effectExtent l="0" t="0" r="2540" b="0"/>
            <wp:docPr id="64" name="Picture 64" descr="P76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P7612#yIS1"/>
                    <pic:cNvPicPr/>
                  </pic:nvPicPr>
                  <pic:blipFill>
                    <a:blip r:embed="rId61">
                      <a:extLst>
                        <a:ext uri="{28A0092B-C50C-407E-A947-70E740481C1C}">
                          <a14:useLocalDpi xmlns:a14="http://schemas.microsoft.com/office/drawing/2010/main" val="0"/>
                        </a:ext>
                      </a:extLst>
                    </a:blip>
                    <a:stretch>
                      <a:fillRect/>
                    </a:stretch>
                  </pic:blipFill>
                  <pic:spPr>
                    <a:xfrm>
                      <a:off x="0" y="0"/>
                      <a:ext cx="5731510" cy="1151890"/>
                    </a:xfrm>
                    <a:prstGeom prst="rect">
                      <a:avLst/>
                    </a:prstGeom>
                  </pic:spPr>
                </pic:pic>
              </a:graphicData>
            </a:graphic>
          </wp:inline>
        </w:drawing>
      </w:r>
    </w:p>
    <w:p w14:paraId="64AC69F0" w14:textId="21A44413" w:rsidR="00F523E8" w:rsidRDefault="002175A5" w:rsidP="002C2B61">
      <w:pPr>
        <w:pStyle w:val="Caption"/>
        <w:spacing w:before="120" w:after="60"/>
        <w:jc w:val="both"/>
      </w:pPr>
      <w:bookmarkStart w:id="198" w:name="_Ref60909401"/>
      <w:r>
        <w:t xml:space="preserve">Figure </w:t>
      </w:r>
      <w:r w:rsidR="00BF3F75">
        <w:fldChar w:fldCharType="begin"/>
      </w:r>
      <w:r w:rsidR="00BF3F75">
        <w:instrText xml:space="preserve"> SEQ Figure \* ARAB</w:instrText>
      </w:r>
      <w:r w:rsidR="00BF3F75">
        <w:instrText xml:space="preserve">IC </w:instrText>
      </w:r>
      <w:r w:rsidR="00BF3F75">
        <w:fldChar w:fldCharType="separate"/>
      </w:r>
      <w:r w:rsidR="00EC5CC7">
        <w:rPr>
          <w:noProof/>
        </w:rPr>
        <w:t>39</w:t>
      </w:r>
      <w:r w:rsidR="00BF3F75">
        <w:rPr>
          <w:noProof/>
        </w:rPr>
        <w:fldChar w:fldCharType="end"/>
      </w:r>
      <w:bookmarkEnd w:id="198"/>
      <w:r>
        <w:t xml:space="preserve">: </w:t>
      </w:r>
      <w:r w:rsidRPr="008A7E40">
        <w:t>Results of smoking cessation f</w:t>
      </w:r>
      <w:r w:rsidR="00DA78DD">
        <w:t>or</w:t>
      </w:r>
      <w:r w:rsidRPr="008A7E40">
        <w:t xml:space="preserve"> at least six months follow-up in Hartmann-Boyce et al. 2018</w:t>
      </w:r>
      <w:r w:rsidR="00CC60B2">
        <w:t xml:space="preserve"> and Nides (2020)</w:t>
      </w:r>
      <w:r w:rsidRPr="008A7E40">
        <w:t>, oral spray versus placebo</w:t>
      </w:r>
    </w:p>
    <w:p w14:paraId="55FA109C" w14:textId="40E9FAD2" w:rsidR="00CC60B2" w:rsidRDefault="00CC60B2" w:rsidP="002C2B61">
      <w:pPr>
        <w:pStyle w:val="TableFooter"/>
        <w:keepNext/>
        <w:jc w:val="both"/>
      </w:pPr>
      <w:r w:rsidRPr="00543DB6">
        <w:t xml:space="preserve">Source: </w:t>
      </w:r>
      <w:r w:rsidRPr="001607FC">
        <w:t>Hartmann-Boyce et al. (2018</w:t>
      </w:r>
      <w:r>
        <w:t>) and Nides (2020)</w:t>
      </w:r>
    </w:p>
    <w:p w14:paraId="0F4BE4DC" w14:textId="572FD3D0" w:rsidR="002175A5" w:rsidRDefault="00CC60B2" w:rsidP="00D85AE9">
      <w:pPr>
        <w:pStyle w:val="TableFooter"/>
        <w:keepNext/>
        <w:spacing w:after="120"/>
        <w:contextualSpacing w:val="0"/>
        <w:jc w:val="both"/>
      </w:pPr>
      <w:r w:rsidRPr="00543DB6">
        <w:t>Abbreviations: CI = confidence interval</w:t>
      </w:r>
    </w:p>
    <w:p w14:paraId="7F48691C" w14:textId="2943ADDC" w:rsidR="00C01C17" w:rsidRPr="00C01C17" w:rsidRDefault="00C01C17" w:rsidP="00D85AE9">
      <w:pPr>
        <w:spacing w:after="120"/>
        <w:jc w:val="both"/>
        <w:rPr>
          <w:u w:val="single"/>
        </w:rPr>
      </w:pPr>
      <w:r w:rsidRPr="00C01C17">
        <w:rPr>
          <w:u w:val="single"/>
        </w:rPr>
        <w:t>Safe</w:t>
      </w:r>
      <w:r>
        <w:rPr>
          <w:u w:val="single"/>
        </w:rPr>
        <w:t>ty</w:t>
      </w:r>
    </w:p>
    <w:p w14:paraId="7931EA0D" w14:textId="571063DC" w:rsidR="00C41D4F" w:rsidRPr="001E0E81" w:rsidRDefault="00C41D4F" w:rsidP="00D85AE9">
      <w:pPr>
        <w:spacing w:after="120"/>
        <w:jc w:val="both"/>
        <w:rPr>
          <w:b/>
          <w:bCs/>
        </w:rPr>
      </w:pPr>
      <w:r w:rsidRPr="003658EF">
        <w:t xml:space="preserve">A summary of key adverse events in </w:t>
      </w:r>
      <w:r>
        <w:t>Nides</w:t>
      </w:r>
      <w:r w:rsidRPr="003658EF">
        <w:t xml:space="preserve"> et al. </w:t>
      </w:r>
      <w:r>
        <w:t>(</w:t>
      </w:r>
      <w:r w:rsidRPr="003658EF">
        <w:t>20</w:t>
      </w:r>
      <w:r>
        <w:t>20)</w:t>
      </w:r>
      <w:r w:rsidRPr="003658EF">
        <w:t xml:space="preserve"> for </w:t>
      </w:r>
      <w:r w:rsidR="00D85AE9">
        <w:t xml:space="preserve">the </w:t>
      </w:r>
      <w:r w:rsidRPr="003658EF">
        <w:t xml:space="preserve">comparison of NRT </w:t>
      </w:r>
      <w:r>
        <w:t>oral</w:t>
      </w:r>
      <w:r w:rsidRPr="003658EF">
        <w:t xml:space="preserve"> spray against </w:t>
      </w:r>
      <w:r>
        <w:t xml:space="preserve">placebo </w:t>
      </w:r>
      <w:r w:rsidRPr="003658EF">
        <w:t>is presented in</w:t>
      </w:r>
      <w:r w:rsidR="00D15590">
        <w:rPr>
          <w:b/>
          <w:bCs/>
        </w:rPr>
        <w:t xml:space="preserve"> </w:t>
      </w:r>
      <w:r w:rsidR="00D15590">
        <w:rPr>
          <w:b/>
          <w:bCs/>
        </w:rPr>
        <w:fldChar w:fldCharType="begin" w:fldLock="1"/>
      </w:r>
      <w:r w:rsidR="00D15590">
        <w:rPr>
          <w:b/>
          <w:bCs/>
        </w:rPr>
        <w:instrText xml:space="preserve"> REF _Ref62122294 \h </w:instrText>
      </w:r>
      <w:r w:rsidR="00D15590">
        <w:rPr>
          <w:b/>
          <w:bCs/>
        </w:rPr>
      </w:r>
      <w:r w:rsidR="00D15590">
        <w:rPr>
          <w:b/>
          <w:bCs/>
        </w:rPr>
        <w:fldChar w:fldCharType="separate"/>
      </w:r>
      <w:r w:rsidR="00EC5CC7">
        <w:t xml:space="preserve">Table </w:t>
      </w:r>
      <w:r w:rsidR="00EC5CC7">
        <w:rPr>
          <w:noProof/>
        </w:rPr>
        <w:t>114</w:t>
      </w:r>
      <w:r w:rsidR="00D15590">
        <w:rPr>
          <w:b/>
          <w:bCs/>
        </w:rPr>
        <w:fldChar w:fldCharType="end"/>
      </w:r>
      <w:r w:rsidRPr="003658EF">
        <w:t xml:space="preserve">. </w:t>
      </w:r>
      <w:r w:rsidRPr="009F6AEB">
        <w:t xml:space="preserve">There were no safety results reported from Hartmann-Boyce et al. </w:t>
      </w:r>
      <w:r>
        <w:t>(</w:t>
      </w:r>
      <w:r w:rsidRPr="009F6AEB">
        <w:t>2018</w:t>
      </w:r>
      <w:r>
        <w:t>)</w:t>
      </w:r>
      <w:r w:rsidRPr="009F6AEB">
        <w:t xml:space="preserve"> for the study comparing oral spray </w:t>
      </w:r>
      <w:r>
        <w:t xml:space="preserve">with </w:t>
      </w:r>
      <w:r w:rsidRPr="009F6AEB">
        <w:t>placebo.</w:t>
      </w:r>
      <w:r>
        <w:t xml:space="preserve"> </w:t>
      </w:r>
    </w:p>
    <w:p w14:paraId="0AECDD2D" w14:textId="6F74EC61" w:rsidR="00C41D4F" w:rsidRPr="003D29D3" w:rsidRDefault="00C41D4F" w:rsidP="00D85AE9">
      <w:pPr>
        <w:spacing w:after="120"/>
        <w:jc w:val="both"/>
      </w:pPr>
      <w:r>
        <w:t xml:space="preserve">Overall, a </w:t>
      </w:r>
      <w:r w:rsidRPr="003D29D3">
        <w:t xml:space="preserve">significantly higher proportion of patients in the </w:t>
      </w:r>
      <w:r>
        <w:t>oral spray</w:t>
      </w:r>
      <w:r w:rsidRPr="003D29D3">
        <w:t xml:space="preserve"> arm experienced any adverse events</w:t>
      </w:r>
      <w:r>
        <w:t xml:space="preserve"> </w:t>
      </w:r>
      <w:r w:rsidRPr="003D29D3">
        <w:t>and discontinuation due to adverse events compared with patients in the placebo arm</w:t>
      </w:r>
      <w:r>
        <w:t xml:space="preserve">. There were no patients in either arm </w:t>
      </w:r>
      <w:r w:rsidR="003B5412">
        <w:t xml:space="preserve">who experienced </w:t>
      </w:r>
      <w:r>
        <w:t>treatment-related serious adverse event</w:t>
      </w:r>
      <w:r w:rsidR="003B5412">
        <w:t>s</w:t>
      </w:r>
      <w:r>
        <w:t>.</w:t>
      </w:r>
    </w:p>
    <w:p w14:paraId="3BEDC2EB" w14:textId="39CE022C" w:rsidR="00C41D4F" w:rsidRDefault="00C41D4F" w:rsidP="00D85AE9">
      <w:pPr>
        <w:pStyle w:val="Caption"/>
        <w:keepNext/>
        <w:spacing w:before="0" w:after="120"/>
        <w:jc w:val="both"/>
      </w:pPr>
      <w:bookmarkStart w:id="199" w:name="_Ref62122294"/>
      <w:r>
        <w:lastRenderedPageBreak/>
        <w:t xml:space="preserve">Table </w:t>
      </w:r>
      <w:r w:rsidR="00BF3F75">
        <w:fldChar w:fldCharType="begin"/>
      </w:r>
      <w:r w:rsidR="00BF3F75">
        <w:instrText xml:space="preserve"> SEQ Table \* ARABIC </w:instrText>
      </w:r>
      <w:r w:rsidR="00BF3F75">
        <w:fldChar w:fldCharType="separate"/>
      </w:r>
      <w:r w:rsidR="00EC5CC7">
        <w:rPr>
          <w:noProof/>
        </w:rPr>
        <w:t>114</w:t>
      </w:r>
      <w:r w:rsidR="00BF3F75">
        <w:rPr>
          <w:noProof/>
        </w:rPr>
        <w:fldChar w:fldCharType="end"/>
      </w:r>
      <w:bookmarkEnd w:id="199"/>
      <w:r>
        <w:t xml:space="preserve">: </w:t>
      </w:r>
      <w:r w:rsidRPr="00475F65">
        <w:t xml:space="preserve">Summary of key adverse events in Nides et al. (2020), NRT </w:t>
      </w:r>
      <w:r>
        <w:t>oral</w:t>
      </w:r>
      <w:r w:rsidRPr="00475F65">
        <w:t xml:space="preserve"> spray versus placebo</w:t>
      </w:r>
    </w:p>
    <w:tbl>
      <w:tblPr>
        <w:tblStyle w:val="TableGrid"/>
        <w:tblW w:w="5000" w:type="pct"/>
        <w:tblLook w:val="04A0" w:firstRow="1" w:lastRow="0" w:firstColumn="1" w:lastColumn="0" w:noHBand="0" w:noVBand="1"/>
        <w:tblCaption w:val="Efficacy results of adalimumab trials (PASI 75 and DLQI)"/>
      </w:tblPr>
      <w:tblGrid>
        <w:gridCol w:w="3725"/>
        <w:gridCol w:w="1228"/>
        <w:gridCol w:w="1091"/>
        <w:gridCol w:w="1585"/>
        <w:gridCol w:w="1387"/>
      </w:tblGrid>
      <w:tr w:rsidR="00C41D4F" w:rsidRPr="00061F78" w14:paraId="4E38A767" w14:textId="77777777" w:rsidTr="00D85AE9">
        <w:trPr>
          <w:cantSplit/>
          <w:trHeight w:val="299"/>
          <w:tblHeader/>
        </w:trPr>
        <w:tc>
          <w:tcPr>
            <w:tcW w:w="2065" w:type="pct"/>
            <w:shd w:val="clear" w:color="auto" w:fill="BFBFBF" w:themeFill="background1" w:themeFillShade="BF"/>
            <w:tcMar>
              <w:left w:w="28" w:type="dxa"/>
              <w:right w:w="28" w:type="dxa"/>
            </w:tcMar>
            <w:vAlign w:val="center"/>
          </w:tcPr>
          <w:p w14:paraId="2B5B745C" w14:textId="77777777" w:rsidR="00C41D4F" w:rsidRDefault="00C41D4F" w:rsidP="00125A1C">
            <w:pPr>
              <w:pStyle w:val="Tableheading"/>
              <w:keepNext/>
              <w:rPr>
                <w:rFonts w:eastAsia="MS Mincho"/>
              </w:rPr>
            </w:pPr>
            <w:r>
              <w:rPr>
                <w:rFonts w:eastAsia="MS Mincho"/>
              </w:rPr>
              <w:t>Outcome</w:t>
            </w:r>
          </w:p>
        </w:tc>
        <w:tc>
          <w:tcPr>
            <w:tcW w:w="681" w:type="pct"/>
            <w:shd w:val="clear" w:color="auto" w:fill="BFBFBF" w:themeFill="background1" w:themeFillShade="BF"/>
            <w:tcMar>
              <w:left w:w="28" w:type="dxa"/>
              <w:right w:w="28" w:type="dxa"/>
            </w:tcMar>
            <w:vAlign w:val="center"/>
          </w:tcPr>
          <w:p w14:paraId="6E8BAFBB" w14:textId="77777777" w:rsidR="00C41D4F" w:rsidRPr="00605EE5" w:rsidRDefault="00C41D4F" w:rsidP="00125A1C">
            <w:pPr>
              <w:pStyle w:val="Tableheading"/>
              <w:keepNext/>
              <w:jc w:val="center"/>
              <w:rPr>
                <w:rFonts w:eastAsia="MS Mincho"/>
              </w:rPr>
            </w:pPr>
            <w:r>
              <w:rPr>
                <w:rFonts w:eastAsia="MS Mincho"/>
              </w:rPr>
              <w:t>Oral spray</w:t>
            </w:r>
          </w:p>
        </w:tc>
        <w:tc>
          <w:tcPr>
            <w:tcW w:w="605" w:type="pct"/>
            <w:shd w:val="clear" w:color="auto" w:fill="BFBFBF" w:themeFill="background1" w:themeFillShade="BF"/>
            <w:tcMar>
              <w:left w:w="28" w:type="dxa"/>
              <w:right w:w="28" w:type="dxa"/>
            </w:tcMar>
            <w:vAlign w:val="center"/>
          </w:tcPr>
          <w:p w14:paraId="7FE18F9E" w14:textId="77777777" w:rsidR="00C41D4F" w:rsidRPr="00B50849" w:rsidRDefault="00C41D4F" w:rsidP="00125A1C">
            <w:pPr>
              <w:pStyle w:val="Tableheading"/>
              <w:keepNext/>
              <w:jc w:val="center"/>
              <w:rPr>
                <w:rFonts w:eastAsia="MS Mincho"/>
              </w:rPr>
            </w:pPr>
            <w:r>
              <w:rPr>
                <w:rFonts w:eastAsia="MS Mincho"/>
              </w:rPr>
              <w:t>Placebo</w:t>
            </w:r>
          </w:p>
        </w:tc>
        <w:tc>
          <w:tcPr>
            <w:tcW w:w="879" w:type="pct"/>
            <w:shd w:val="clear" w:color="auto" w:fill="BFBFBF" w:themeFill="background1" w:themeFillShade="BF"/>
            <w:tcMar>
              <w:left w:w="28" w:type="dxa"/>
              <w:right w:w="28" w:type="dxa"/>
            </w:tcMar>
            <w:vAlign w:val="center"/>
          </w:tcPr>
          <w:p w14:paraId="0B4F95D1" w14:textId="77777777" w:rsidR="00C41D4F" w:rsidRPr="00681ACA" w:rsidRDefault="00C41D4F" w:rsidP="00125A1C">
            <w:pPr>
              <w:pStyle w:val="Tableheading"/>
              <w:keepNext/>
              <w:jc w:val="center"/>
              <w:rPr>
                <w:rFonts w:eastAsia="MS Mincho"/>
                <w:vertAlign w:val="superscript"/>
              </w:rPr>
            </w:pPr>
            <w:r>
              <w:rPr>
                <w:rFonts w:eastAsia="MS Mincho"/>
              </w:rPr>
              <w:t>RR (95% CI)</w:t>
            </w:r>
            <w:r>
              <w:rPr>
                <w:rFonts w:eastAsia="MS Mincho"/>
                <w:vertAlign w:val="superscript"/>
              </w:rPr>
              <w:t>2</w:t>
            </w:r>
          </w:p>
        </w:tc>
        <w:tc>
          <w:tcPr>
            <w:tcW w:w="769" w:type="pct"/>
            <w:shd w:val="clear" w:color="auto" w:fill="BFBFBF" w:themeFill="background1" w:themeFillShade="BF"/>
            <w:vAlign w:val="center"/>
          </w:tcPr>
          <w:p w14:paraId="07331852" w14:textId="77777777" w:rsidR="00C41D4F" w:rsidRPr="00A63061" w:rsidRDefault="00C41D4F" w:rsidP="00125A1C">
            <w:pPr>
              <w:pStyle w:val="Tableheading"/>
              <w:keepNext/>
              <w:jc w:val="center"/>
              <w:rPr>
                <w:rFonts w:eastAsia="MS Mincho"/>
                <w:vertAlign w:val="superscript"/>
              </w:rPr>
            </w:pPr>
            <w:r>
              <w:rPr>
                <w:rFonts w:eastAsia="MS Mincho"/>
              </w:rPr>
              <w:t>RD (95% CI)</w:t>
            </w:r>
            <w:r>
              <w:rPr>
                <w:rFonts w:eastAsia="MS Mincho"/>
                <w:vertAlign w:val="superscript"/>
              </w:rPr>
              <w:t>2</w:t>
            </w:r>
          </w:p>
        </w:tc>
      </w:tr>
      <w:tr w:rsidR="00C41D4F" w:rsidRPr="00061F78" w14:paraId="294E9DBF" w14:textId="77777777" w:rsidTr="00D85AE9">
        <w:trPr>
          <w:cantSplit/>
          <w:trHeight w:val="99"/>
        </w:trPr>
        <w:tc>
          <w:tcPr>
            <w:tcW w:w="2065" w:type="pct"/>
            <w:shd w:val="clear" w:color="auto" w:fill="auto"/>
            <w:tcMar>
              <w:left w:w="28" w:type="dxa"/>
              <w:right w:w="28" w:type="dxa"/>
            </w:tcMar>
          </w:tcPr>
          <w:p w14:paraId="6E7AFB4C" w14:textId="77777777" w:rsidR="00C41D4F" w:rsidRPr="001277A6" w:rsidRDefault="00C41D4F" w:rsidP="00125A1C">
            <w:pPr>
              <w:pStyle w:val="Tablewriting"/>
              <w:keepNext/>
              <w:rPr>
                <w:rFonts w:eastAsia="MS Mincho"/>
              </w:rPr>
            </w:pPr>
            <w:r>
              <w:rPr>
                <w:rFonts w:eastAsia="MS Mincho"/>
              </w:rPr>
              <w:t>A</w:t>
            </w:r>
            <w:r w:rsidRPr="00DC1748">
              <w:rPr>
                <w:rFonts w:eastAsia="MS Mincho"/>
              </w:rPr>
              <w:t>dverse event</w:t>
            </w:r>
            <w:r>
              <w:rPr>
                <w:rFonts w:eastAsia="MS Mincho"/>
                <w:vertAlign w:val="superscript"/>
              </w:rPr>
              <w:t>1</w:t>
            </w:r>
          </w:p>
        </w:tc>
        <w:tc>
          <w:tcPr>
            <w:tcW w:w="681" w:type="pct"/>
            <w:shd w:val="clear" w:color="auto" w:fill="auto"/>
            <w:tcMar>
              <w:left w:w="28" w:type="dxa"/>
              <w:right w:w="28" w:type="dxa"/>
            </w:tcMar>
          </w:tcPr>
          <w:p w14:paraId="7F078D7D" w14:textId="77777777" w:rsidR="00C41D4F" w:rsidRDefault="00C41D4F" w:rsidP="00125A1C">
            <w:pPr>
              <w:pStyle w:val="Tablewriting"/>
              <w:keepNext/>
              <w:jc w:val="center"/>
              <w:rPr>
                <w:rFonts w:eastAsia="MS Mincho"/>
              </w:rPr>
            </w:pPr>
            <w:r w:rsidRPr="00DC1748">
              <w:rPr>
                <w:rFonts w:eastAsia="MS Mincho"/>
              </w:rPr>
              <w:t>345</w:t>
            </w:r>
            <w:r>
              <w:rPr>
                <w:rFonts w:eastAsia="MS Mincho"/>
              </w:rPr>
              <w:t>/597</w:t>
            </w:r>
            <w:r w:rsidRPr="00DC1748">
              <w:rPr>
                <w:rFonts w:eastAsia="MS Mincho"/>
              </w:rPr>
              <w:t xml:space="preserve"> </w:t>
            </w:r>
          </w:p>
          <w:p w14:paraId="5FCBF06A" w14:textId="77777777" w:rsidR="00C41D4F" w:rsidRPr="001B08F9" w:rsidRDefault="00C41D4F" w:rsidP="00125A1C">
            <w:pPr>
              <w:pStyle w:val="Tablewriting"/>
              <w:keepNext/>
              <w:jc w:val="center"/>
              <w:rPr>
                <w:rFonts w:eastAsia="MS Mincho"/>
              </w:rPr>
            </w:pPr>
            <w:r w:rsidRPr="00DC1748">
              <w:rPr>
                <w:rFonts w:eastAsia="MS Mincho"/>
              </w:rPr>
              <w:t>(57.8</w:t>
            </w:r>
            <w:r>
              <w:rPr>
                <w:rFonts w:eastAsia="MS Mincho"/>
              </w:rPr>
              <w:t>%</w:t>
            </w:r>
            <w:r w:rsidRPr="00DC1748">
              <w:rPr>
                <w:rFonts w:eastAsia="MS Mincho"/>
              </w:rPr>
              <w:t>)</w:t>
            </w:r>
          </w:p>
        </w:tc>
        <w:tc>
          <w:tcPr>
            <w:tcW w:w="605" w:type="pct"/>
            <w:shd w:val="clear" w:color="auto" w:fill="auto"/>
            <w:tcMar>
              <w:left w:w="28" w:type="dxa"/>
              <w:right w:w="28" w:type="dxa"/>
            </w:tcMar>
          </w:tcPr>
          <w:p w14:paraId="2DD30407" w14:textId="77777777" w:rsidR="00C41D4F" w:rsidRDefault="00C41D4F" w:rsidP="00125A1C">
            <w:pPr>
              <w:pStyle w:val="Tablewriting"/>
              <w:keepNext/>
              <w:jc w:val="center"/>
              <w:rPr>
                <w:rFonts w:eastAsia="MS Mincho"/>
              </w:rPr>
            </w:pPr>
            <w:r w:rsidRPr="00DC1748">
              <w:rPr>
                <w:rFonts w:eastAsia="MS Mincho"/>
              </w:rPr>
              <w:t>157</w:t>
            </w:r>
            <w:r>
              <w:rPr>
                <w:rFonts w:eastAsia="MS Mincho"/>
              </w:rPr>
              <w:t>/601</w:t>
            </w:r>
            <w:r w:rsidRPr="00DC1748">
              <w:rPr>
                <w:rFonts w:eastAsia="MS Mincho"/>
              </w:rPr>
              <w:t xml:space="preserve"> </w:t>
            </w:r>
          </w:p>
          <w:p w14:paraId="134E3B24" w14:textId="77777777" w:rsidR="00C41D4F" w:rsidRPr="001B08F9" w:rsidRDefault="00C41D4F" w:rsidP="00125A1C">
            <w:pPr>
              <w:pStyle w:val="Tablewriting"/>
              <w:keepNext/>
              <w:jc w:val="center"/>
              <w:rPr>
                <w:rFonts w:eastAsia="MS Mincho"/>
              </w:rPr>
            </w:pPr>
            <w:r w:rsidRPr="00DC1748">
              <w:rPr>
                <w:rFonts w:eastAsia="MS Mincho"/>
              </w:rPr>
              <w:t>(26.1</w:t>
            </w:r>
            <w:r>
              <w:rPr>
                <w:rFonts w:eastAsia="MS Mincho"/>
              </w:rPr>
              <w:t>%</w:t>
            </w:r>
            <w:r w:rsidRPr="00DC1748">
              <w:rPr>
                <w:rFonts w:eastAsia="MS Mincho"/>
              </w:rPr>
              <w:t>)</w:t>
            </w:r>
          </w:p>
        </w:tc>
        <w:tc>
          <w:tcPr>
            <w:tcW w:w="879" w:type="pct"/>
            <w:shd w:val="clear" w:color="auto" w:fill="auto"/>
            <w:tcMar>
              <w:left w:w="28" w:type="dxa"/>
              <w:right w:w="28" w:type="dxa"/>
            </w:tcMar>
            <w:vAlign w:val="center"/>
          </w:tcPr>
          <w:p w14:paraId="3B3F8934" w14:textId="77777777" w:rsidR="00C41D4F" w:rsidRPr="00A63061" w:rsidRDefault="00C41D4F" w:rsidP="00125A1C">
            <w:pPr>
              <w:pStyle w:val="Tablewriting"/>
              <w:keepNext/>
              <w:jc w:val="center"/>
              <w:rPr>
                <w:rFonts w:eastAsia="MS Mincho"/>
                <w:b/>
                <w:bCs/>
              </w:rPr>
            </w:pPr>
            <w:r w:rsidRPr="00A63061">
              <w:rPr>
                <w:rFonts w:eastAsia="MS Mincho"/>
                <w:b/>
                <w:bCs/>
              </w:rPr>
              <w:t>2.21</w:t>
            </w:r>
          </w:p>
          <w:p w14:paraId="0F7F616A" w14:textId="77777777" w:rsidR="00C41D4F" w:rsidRPr="00A63061" w:rsidRDefault="00C41D4F" w:rsidP="00125A1C">
            <w:pPr>
              <w:pStyle w:val="Tablewriting"/>
              <w:keepNext/>
              <w:jc w:val="center"/>
              <w:rPr>
                <w:rFonts w:eastAsia="MS Mincho"/>
                <w:b/>
              </w:rPr>
            </w:pPr>
            <w:r w:rsidRPr="00A63061">
              <w:rPr>
                <w:rFonts w:eastAsia="MS Mincho"/>
                <w:b/>
                <w:bCs/>
              </w:rPr>
              <w:t>(1.90, 2.57)</w:t>
            </w:r>
          </w:p>
        </w:tc>
        <w:tc>
          <w:tcPr>
            <w:tcW w:w="769" w:type="pct"/>
            <w:shd w:val="clear" w:color="auto" w:fill="auto"/>
            <w:vAlign w:val="center"/>
          </w:tcPr>
          <w:p w14:paraId="24C8EAF6" w14:textId="77777777" w:rsidR="00C41D4F" w:rsidRPr="00A63061" w:rsidRDefault="00C41D4F" w:rsidP="00125A1C">
            <w:pPr>
              <w:pStyle w:val="Tablewriting"/>
              <w:keepNext/>
              <w:jc w:val="center"/>
              <w:rPr>
                <w:rFonts w:eastAsia="MS Mincho"/>
                <w:b/>
                <w:bCs/>
              </w:rPr>
            </w:pPr>
            <w:r w:rsidRPr="00A63061">
              <w:rPr>
                <w:rFonts w:eastAsia="MS Mincho"/>
                <w:b/>
                <w:bCs/>
              </w:rPr>
              <w:t>0.32</w:t>
            </w:r>
          </w:p>
          <w:p w14:paraId="4AEAB5D6" w14:textId="77777777" w:rsidR="00C41D4F" w:rsidRPr="00A63061" w:rsidRDefault="00C41D4F" w:rsidP="00125A1C">
            <w:pPr>
              <w:pStyle w:val="Tablewriting"/>
              <w:keepNext/>
              <w:jc w:val="center"/>
              <w:rPr>
                <w:rFonts w:eastAsia="MS Mincho"/>
                <w:b/>
              </w:rPr>
            </w:pPr>
            <w:r w:rsidRPr="00A63061">
              <w:rPr>
                <w:rFonts w:eastAsia="MS Mincho"/>
                <w:b/>
                <w:bCs/>
              </w:rPr>
              <w:t>(0.26, 0.37)</w:t>
            </w:r>
          </w:p>
        </w:tc>
      </w:tr>
      <w:tr w:rsidR="00C41D4F" w:rsidRPr="00061F78" w14:paraId="5B27EB4C" w14:textId="77777777" w:rsidTr="00D85AE9">
        <w:trPr>
          <w:cantSplit/>
          <w:trHeight w:val="99"/>
        </w:trPr>
        <w:tc>
          <w:tcPr>
            <w:tcW w:w="2065" w:type="pct"/>
            <w:shd w:val="clear" w:color="auto" w:fill="auto"/>
            <w:tcMar>
              <w:left w:w="28" w:type="dxa"/>
              <w:right w:w="28" w:type="dxa"/>
            </w:tcMar>
          </w:tcPr>
          <w:p w14:paraId="48067B68" w14:textId="77777777" w:rsidR="00C41D4F" w:rsidRDefault="00C41D4F" w:rsidP="00125A1C">
            <w:pPr>
              <w:pStyle w:val="Tablewriting"/>
              <w:keepNext/>
              <w:rPr>
                <w:rFonts w:eastAsia="MS Mincho"/>
              </w:rPr>
            </w:pPr>
            <w:r>
              <w:rPr>
                <w:rFonts w:eastAsia="MS Mincho"/>
              </w:rPr>
              <w:t>S</w:t>
            </w:r>
            <w:r w:rsidRPr="00DC1748">
              <w:rPr>
                <w:rFonts w:eastAsia="MS Mincho"/>
              </w:rPr>
              <w:t>erious adverse event</w:t>
            </w:r>
          </w:p>
        </w:tc>
        <w:tc>
          <w:tcPr>
            <w:tcW w:w="681" w:type="pct"/>
            <w:shd w:val="clear" w:color="auto" w:fill="auto"/>
            <w:tcMar>
              <w:left w:w="28" w:type="dxa"/>
              <w:right w:w="28" w:type="dxa"/>
            </w:tcMar>
          </w:tcPr>
          <w:p w14:paraId="3BB92883" w14:textId="77777777" w:rsidR="00C41D4F" w:rsidRDefault="00C41D4F" w:rsidP="00125A1C">
            <w:pPr>
              <w:pStyle w:val="Tablewriting"/>
              <w:keepNext/>
              <w:jc w:val="center"/>
              <w:rPr>
                <w:rFonts w:eastAsia="MS Mincho"/>
              </w:rPr>
            </w:pPr>
            <w:r w:rsidRPr="00DC1748">
              <w:rPr>
                <w:rFonts w:eastAsia="MS Mincho"/>
              </w:rPr>
              <w:t>0</w:t>
            </w:r>
            <w:r>
              <w:rPr>
                <w:rFonts w:eastAsia="MS Mincho"/>
              </w:rPr>
              <w:t>/597</w:t>
            </w:r>
            <w:r w:rsidRPr="00DC1748">
              <w:rPr>
                <w:rFonts w:eastAsia="MS Mincho"/>
              </w:rPr>
              <w:t xml:space="preserve"> </w:t>
            </w:r>
          </w:p>
          <w:p w14:paraId="4953FA5D" w14:textId="77777777" w:rsidR="00C41D4F" w:rsidRDefault="00C41D4F" w:rsidP="00125A1C">
            <w:pPr>
              <w:pStyle w:val="Tablewriting"/>
              <w:keepNext/>
              <w:jc w:val="center"/>
              <w:rPr>
                <w:rFonts w:eastAsia="MS Mincho"/>
              </w:rPr>
            </w:pPr>
            <w:r w:rsidRPr="00DC1748">
              <w:rPr>
                <w:rFonts w:eastAsia="MS Mincho"/>
              </w:rPr>
              <w:t>(0</w:t>
            </w:r>
            <w:r>
              <w:rPr>
                <w:rFonts w:eastAsia="MS Mincho"/>
              </w:rPr>
              <w:t>%</w:t>
            </w:r>
            <w:r w:rsidRPr="00DC1748">
              <w:rPr>
                <w:rFonts w:eastAsia="MS Mincho"/>
              </w:rPr>
              <w:t>)</w:t>
            </w:r>
          </w:p>
        </w:tc>
        <w:tc>
          <w:tcPr>
            <w:tcW w:w="605" w:type="pct"/>
            <w:shd w:val="clear" w:color="auto" w:fill="auto"/>
            <w:tcMar>
              <w:left w:w="28" w:type="dxa"/>
              <w:right w:w="28" w:type="dxa"/>
            </w:tcMar>
          </w:tcPr>
          <w:p w14:paraId="35B89448" w14:textId="77777777" w:rsidR="00C41D4F" w:rsidRDefault="00C41D4F" w:rsidP="00125A1C">
            <w:pPr>
              <w:pStyle w:val="Tablewriting"/>
              <w:keepNext/>
              <w:jc w:val="center"/>
              <w:rPr>
                <w:rFonts w:eastAsia="MS Mincho"/>
              </w:rPr>
            </w:pPr>
            <w:r w:rsidRPr="00DC1748">
              <w:rPr>
                <w:rFonts w:eastAsia="MS Mincho"/>
              </w:rPr>
              <w:t>0</w:t>
            </w:r>
            <w:r>
              <w:rPr>
                <w:rFonts w:eastAsia="MS Mincho"/>
              </w:rPr>
              <w:t>/601</w:t>
            </w:r>
            <w:r w:rsidRPr="00DC1748">
              <w:rPr>
                <w:rFonts w:eastAsia="MS Mincho"/>
              </w:rPr>
              <w:t xml:space="preserve"> </w:t>
            </w:r>
          </w:p>
          <w:p w14:paraId="051D677A" w14:textId="77777777" w:rsidR="00C41D4F" w:rsidRDefault="00C41D4F" w:rsidP="00125A1C">
            <w:pPr>
              <w:pStyle w:val="Tablewriting"/>
              <w:keepNext/>
              <w:jc w:val="center"/>
              <w:rPr>
                <w:rFonts w:eastAsia="MS Mincho"/>
              </w:rPr>
            </w:pPr>
            <w:r w:rsidRPr="00DC1748">
              <w:rPr>
                <w:rFonts w:eastAsia="MS Mincho"/>
              </w:rPr>
              <w:t>(0</w:t>
            </w:r>
            <w:r>
              <w:rPr>
                <w:rFonts w:eastAsia="MS Mincho"/>
              </w:rPr>
              <w:t>%</w:t>
            </w:r>
            <w:r w:rsidRPr="00DC1748">
              <w:rPr>
                <w:rFonts w:eastAsia="MS Mincho"/>
              </w:rPr>
              <w:t>)</w:t>
            </w:r>
          </w:p>
        </w:tc>
        <w:tc>
          <w:tcPr>
            <w:tcW w:w="879" w:type="pct"/>
            <w:shd w:val="clear" w:color="auto" w:fill="auto"/>
            <w:tcMar>
              <w:left w:w="28" w:type="dxa"/>
              <w:right w:w="28" w:type="dxa"/>
            </w:tcMar>
            <w:vAlign w:val="center"/>
          </w:tcPr>
          <w:p w14:paraId="54175437" w14:textId="77777777" w:rsidR="00C41D4F" w:rsidRPr="00A63061" w:rsidRDefault="00C41D4F" w:rsidP="00125A1C">
            <w:pPr>
              <w:pStyle w:val="Tablewriting"/>
              <w:keepNext/>
              <w:jc w:val="center"/>
              <w:rPr>
                <w:rFonts w:eastAsia="MS Mincho"/>
              </w:rPr>
            </w:pPr>
            <w:r w:rsidRPr="00A63061">
              <w:rPr>
                <w:rFonts w:eastAsia="MS Mincho"/>
              </w:rPr>
              <w:t>NE</w:t>
            </w:r>
          </w:p>
        </w:tc>
        <w:tc>
          <w:tcPr>
            <w:tcW w:w="769" w:type="pct"/>
            <w:shd w:val="clear" w:color="auto" w:fill="auto"/>
            <w:vAlign w:val="center"/>
          </w:tcPr>
          <w:p w14:paraId="1E0691DB" w14:textId="77777777" w:rsidR="00C41D4F" w:rsidRPr="00A63061" w:rsidRDefault="00C41D4F" w:rsidP="00125A1C">
            <w:pPr>
              <w:pStyle w:val="Tablewriting"/>
              <w:keepNext/>
              <w:jc w:val="center"/>
              <w:rPr>
                <w:rFonts w:eastAsia="MS Mincho"/>
              </w:rPr>
            </w:pPr>
            <w:r w:rsidRPr="00A63061">
              <w:rPr>
                <w:rFonts w:eastAsia="MS Mincho"/>
              </w:rPr>
              <w:t>0</w:t>
            </w:r>
          </w:p>
          <w:p w14:paraId="7D164A28" w14:textId="77777777" w:rsidR="00C41D4F" w:rsidRPr="00A63061" w:rsidRDefault="00C41D4F" w:rsidP="00125A1C">
            <w:pPr>
              <w:pStyle w:val="Tablewriting"/>
              <w:keepNext/>
              <w:jc w:val="center"/>
              <w:rPr>
                <w:rFonts w:eastAsia="MS Mincho"/>
              </w:rPr>
            </w:pPr>
            <w:r w:rsidRPr="00A63061">
              <w:rPr>
                <w:rFonts w:eastAsia="MS Mincho"/>
              </w:rPr>
              <w:t>(-0. 0)</w:t>
            </w:r>
          </w:p>
        </w:tc>
      </w:tr>
      <w:tr w:rsidR="00C41D4F" w:rsidRPr="00061F78" w14:paraId="005091D7" w14:textId="77777777" w:rsidTr="00D85AE9">
        <w:trPr>
          <w:cantSplit/>
          <w:trHeight w:val="99"/>
        </w:trPr>
        <w:tc>
          <w:tcPr>
            <w:tcW w:w="2065" w:type="pct"/>
            <w:shd w:val="clear" w:color="auto" w:fill="auto"/>
            <w:tcMar>
              <w:left w:w="28" w:type="dxa"/>
              <w:right w:w="28" w:type="dxa"/>
            </w:tcMar>
          </w:tcPr>
          <w:p w14:paraId="257AABBC" w14:textId="77777777" w:rsidR="00C41D4F" w:rsidRDefault="00C41D4F" w:rsidP="00125A1C">
            <w:pPr>
              <w:pStyle w:val="Tablewriting"/>
              <w:keepNext/>
              <w:rPr>
                <w:rFonts w:eastAsia="MS Mincho"/>
              </w:rPr>
            </w:pPr>
            <w:r>
              <w:rPr>
                <w:rFonts w:eastAsia="MS Mincho"/>
              </w:rPr>
              <w:t>D</w:t>
            </w:r>
            <w:r w:rsidRPr="00DC1748">
              <w:rPr>
                <w:rFonts w:eastAsia="MS Mincho"/>
              </w:rPr>
              <w:t>iscontinu</w:t>
            </w:r>
            <w:r>
              <w:rPr>
                <w:rFonts w:eastAsia="MS Mincho"/>
              </w:rPr>
              <w:t>ation due to</w:t>
            </w:r>
            <w:r w:rsidRPr="00DC1748">
              <w:rPr>
                <w:rFonts w:eastAsia="MS Mincho"/>
              </w:rPr>
              <w:t xml:space="preserve"> adverse event</w:t>
            </w:r>
          </w:p>
        </w:tc>
        <w:tc>
          <w:tcPr>
            <w:tcW w:w="681" w:type="pct"/>
            <w:shd w:val="clear" w:color="auto" w:fill="auto"/>
            <w:tcMar>
              <w:left w:w="28" w:type="dxa"/>
              <w:right w:w="28" w:type="dxa"/>
            </w:tcMar>
          </w:tcPr>
          <w:p w14:paraId="6E1B1F10" w14:textId="77777777" w:rsidR="00C41D4F" w:rsidRDefault="00C41D4F" w:rsidP="00125A1C">
            <w:pPr>
              <w:pStyle w:val="Tablewriting"/>
              <w:keepNext/>
              <w:jc w:val="center"/>
              <w:rPr>
                <w:rFonts w:eastAsia="MS Mincho"/>
              </w:rPr>
            </w:pPr>
            <w:r w:rsidRPr="00DC1748">
              <w:rPr>
                <w:rFonts w:eastAsia="MS Mincho"/>
              </w:rPr>
              <w:t>24</w:t>
            </w:r>
            <w:r>
              <w:rPr>
                <w:rFonts w:eastAsia="MS Mincho"/>
              </w:rPr>
              <w:t>/597</w:t>
            </w:r>
            <w:r w:rsidRPr="00DC1748">
              <w:rPr>
                <w:rFonts w:eastAsia="MS Mincho"/>
              </w:rPr>
              <w:t xml:space="preserve"> </w:t>
            </w:r>
          </w:p>
          <w:p w14:paraId="2183ABDD" w14:textId="77777777" w:rsidR="00C41D4F" w:rsidRDefault="00C41D4F" w:rsidP="00125A1C">
            <w:pPr>
              <w:pStyle w:val="Tablewriting"/>
              <w:keepNext/>
              <w:jc w:val="center"/>
              <w:rPr>
                <w:rFonts w:eastAsia="MS Mincho"/>
              </w:rPr>
            </w:pPr>
            <w:r w:rsidRPr="00DC1748">
              <w:rPr>
                <w:rFonts w:eastAsia="MS Mincho"/>
              </w:rPr>
              <w:t>(4.0</w:t>
            </w:r>
            <w:r>
              <w:rPr>
                <w:rFonts w:eastAsia="MS Mincho"/>
              </w:rPr>
              <w:t>%</w:t>
            </w:r>
            <w:r w:rsidRPr="00DC1748">
              <w:rPr>
                <w:rFonts w:eastAsia="MS Mincho"/>
              </w:rPr>
              <w:t>)</w:t>
            </w:r>
          </w:p>
        </w:tc>
        <w:tc>
          <w:tcPr>
            <w:tcW w:w="605" w:type="pct"/>
            <w:shd w:val="clear" w:color="auto" w:fill="auto"/>
            <w:tcMar>
              <w:left w:w="28" w:type="dxa"/>
              <w:right w:w="28" w:type="dxa"/>
            </w:tcMar>
          </w:tcPr>
          <w:p w14:paraId="53650B49" w14:textId="77777777" w:rsidR="00C41D4F" w:rsidRDefault="00C41D4F" w:rsidP="00125A1C">
            <w:pPr>
              <w:pStyle w:val="Tablewriting"/>
              <w:keepNext/>
              <w:jc w:val="center"/>
              <w:rPr>
                <w:rFonts w:eastAsia="MS Mincho"/>
              </w:rPr>
            </w:pPr>
            <w:r w:rsidRPr="00DC1748">
              <w:rPr>
                <w:rFonts w:eastAsia="MS Mincho"/>
              </w:rPr>
              <w:t>7</w:t>
            </w:r>
            <w:r>
              <w:rPr>
                <w:rFonts w:eastAsia="MS Mincho"/>
              </w:rPr>
              <w:t>/601</w:t>
            </w:r>
            <w:r w:rsidRPr="00DC1748">
              <w:rPr>
                <w:rFonts w:eastAsia="MS Mincho"/>
              </w:rPr>
              <w:t xml:space="preserve"> </w:t>
            </w:r>
          </w:p>
          <w:p w14:paraId="666ECCBA" w14:textId="77777777" w:rsidR="00C41D4F" w:rsidRDefault="00C41D4F" w:rsidP="00125A1C">
            <w:pPr>
              <w:pStyle w:val="Tablewriting"/>
              <w:keepNext/>
              <w:jc w:val="center"/>
              <w:rPr>
                <w:rFonts w:eastAsia="MS Mincho"/>
              </w:rPr>
            </w:pPr>
            <w:r w:rsidRPr="00DC1748">
              <w:rPr>
                <w:rFonts w:eastAsia="MS Mincho"/>
              </w:rPr>
              <w:t>(1.2</w:t>
            </w:r>
            <w:r>
              <w:rPr>
                <w:rFonts w:eastAsia="MS Mincho"/>
              </w:rPr>
              <w:t>%</w:t>
            </w:r>
            <w:r w:rsidRPr="00DC1748">
              <w:rPr>
                <w:rFonts w:eastAsia="MS Mincho"/>
              </w:rPr>
              <w:t>)</w:t>
            </w:r>
          </w:p>
        </w:tc>
        <w:tc>
          <w:tcPr>
            <w:tcW w:w="879" w:type="pct"/>
            <w:shd w:val="clear" w:color="auto" w:fill="auto"/>
            <w:tcMar>
              <w:left w:w="28" w:type="dxa"/>
              <w:right w:w="28" w:type="dxa"/>
            </w:tcMar>
            <w:vAlign w:val="center"/>
          </w:tcPr>
          <w:p w14:paraId="43B0FA46" w14:textId="77777777" w:rsidR="00C41D4F" w:rsidRPr="00A63061" w:rsidRDefault="00C41D4F" w:rsidP="00125A1C">
            <w:pPr>
              <w:pStyle w:val="Tablewriting"/>
              <w:keepNext/>
              <w:jc w:val="center"/>
              <w:rPr>
                <w:rFonts w:eastAsia="MS Mincho"/>
                <w:b/>
                <w:bCs/>
              </w:rPr>
            </w:pPr>
            <w:r w:rsidRPr="00A63061">
              <w:rPr>
                <w:rFonts w:eastAsia="MS Mincho"/>
                <w:b/>
                <w:bCs/>
              </w:rPr>
              <w:t>3.45</w:t>
            </w:r>
          </w:p>
          <w:p w14:paraId="777E2F2F" w14:textId="77777777" w:rsidR="00C41D4F" w:rsidRPr="00A63061" w:rsidRDefault="00C41D4F" w:rsidP="00125A1C">
            <w:pPr>
              <w:pStyle w:val="Tablewriting"/>
              <w:keepNext/>
              <w:jc w:val="center"/>
              <w:rPr>
                <w:rFonts w:eastAsia="MS Mincho"/>
                <w:b/>
              </w:rPr>
            </w:pPr>
            <w:r w:rsidRPr="00A63061">
              <w:rPr>
                <w:rFonts w:eastAsia="MS Mincho"/>
                <w:b/>
                <w:bCs/>
              </w:rPr>
              <w:t>(1.50, 7.95)</w:t>
            </w:r>
          </w:p>
        </w:tc>
        <w:tc>
          <w:tcPr>
            <w:tcW w:w="769" w:type="pct"/>
            <w:shd w:val="clear" w:color="auto" w:fill="auto"/>
            <w:vAlign w:val="center"/>
          </w:tcPr>
          <w:p w14:paraId="3EE52386" w14:textId="77777777" w:rsidR="00C41D4F" w:rsidRPr="00A63061" w:rsidRDefault="00C41D4F" w:rsidP="00125A1C">
            <w:pPr>
              <w:pStyle w:val="Tablewriting"/>
              <w:keepNext/>
              <w:jc w:val="center"/>
              <w:rPr>
                <w:rFonts w:eastAsia="MS Mincho"/>
                <w:b/>
                <w:bCs/>
              </w:rPr>
            </w:pPr>
            <w:r w:rsidRPr="00A63061">
              <w:rPr>
                <w:rFonts w:eastAsia="MS Mincho"/>
                <w:b/>
                <w:bCs/>
              </w:rPr>
              <w:t>0.03</w:t>
            </w:r>
          </w:p>
          <w:p w14:paraId="7790927C" w14:textId="77777777" w:rsidR="00C41D4F" w:rsidRPr="00A63061" w:rsidRDefault="00C41D4F" w:rsidP="00125A1C">
            <w:pPr>
              <w:pStyle w:val="Tablewriting"/>
              <w:keepNext/>
              <w:jc w:val="center"/>
              <w:rPr>
                <w:rFonts w:eastAsia="MS Mincho"/>
                <w:b/>
              </w:rPr>
            </w:pPr>
            <w:r w:rsidRPr="00A63061">
              <w:rPr>
                <w:rFonts w:eastAsia="MS Mincho"/>
                <w:b/>
                <w:bCs/>
              </w:rPr>
              <w:t>(0.01, 0.05)</w:t>
            </w:r>
          </w:p>
        </w:tc>
      </w:tr>
    </w:tbl>
    <w:p w14:paraId="2DF7A313" w14:textId="77777777" w:rsidR="00C41D4F" w:rsidRDefault="00C41D4F" w:rsidP="00D85AE9">
      <w:pPr>
        <w:pStyle w:val="TableFooter"/>
        <w:keepNext/>
        <w:jc w:val="both"/>
      </w:pPr>
      <w:r>
        <w:t>Source: Nides</w:t>
      </w:r>
      <w:r w:rsidRPr="001E7C8B">
        <w:t xml:space="preserve"> et al. 20</w:t>
      </w:r>
      <w:r>
        <w:t xml:space="preserve">20. </w:t>
      </w:r>
    </w:p>
    <w:p w14:paraId="1037CBB3" w14:textId="77777777" w:rsidR="00C41D4F" w:rsidRDefault="00C41D4F" w:rsidP="00D85AE9">
      <w:pPr>
        <w:pStyle w:val="TableFooter"/>
        <w:keepNext/>
        <w:jc w:val="both"/>
      </w:pPr>
      <w:r>
        <w:t xml:space="preserve">Abbreviations: CI = confidence interval; NR = not reported; RCT = randomised controlled trial; RD = risk difference; RR = risk ratio. </w:t>
      </w:r>
    </w:p>
    <w:p w14:paraId="478E51F1" w14:textId="1B9220F4" w:rsidR="00C41D4F" w:rsidRDefault="00C41D4F" w:rsidP="00D85AE9">
      <w:pPr>
        <w:pStyle w:val="TableFooter"/>
        <w:keepNext/>
        <w:jc w:val="both"/>
      </w:pPr>
      <w:r w:rsidRPr="00FD4061">
        <w:t>Note</w:t>
      </w:r>
      <w:r>
        <w:t>s</w:t>
      </w:r>
      <w:r w:rsidRPr="00FD4061">
        <w:t>:</w:t>
      </w:r>
      <w:r w:rsidRPr="00625D7A">
        <w:t xml:space="preserve"> </w:t>
      </w:r>
      <w:r w:rsidRPr="007A6220">
        <w:t>Bold</w:t>
      </w:r>
      <w:r w:rsidRPr="00FD4061">
        <w:t xml:space="preserve"> indicates statistically significant difference</w:t>
      </w:r>
      <w:r w:rsidR="00ED0CBA">
        <w:t>.</w:t>
      </w:r>
      <w:r>
        <w:t xml:space="preserve"> </w:t>
      </w:r>
    </w:p>
    <w:p w14:paraId="39EA6211" w14:textId="77777777" w:rsidR="00C41D4F" w:rsidRDefault="00C41D4F" w:rsidP="00D85AE9">
      <w:pPr>
        <w:pStyle w:val="TableFooter"/>
        <w:keepNext/>
        <w:jc w:val="both"/>
      </w:pPr>
      <w:r>
        <w:t xml:space="preserve">1 </w:t>
      </w:r>
      <w:r w:rsidRPr="00946F60">
        <w:t>Adverse event presented by number of subjects in either treatment group who reported a treatment-related adverse event at least once</w:t>
      </w:r>
      <w:r>
        <w:t>.</w:t>
      </w:r>
    </w:p>
    <w:p w14:paraId="6F89FCFC" w14:textId="4C629CAE" w:rsidR="00C41D4F" w:rsidRPr="00C41D4F" w:rsidRDefault="00C41D4F" w:rsidP="00D85AE9">
      <w:pPr>
        <w:pStyle w:val="TableFooter"/>
        <w:keepNext/>
        <w:spacing w:after="120"/>
        <w:contextualSpacing w:val="0"/>
        <w:jc w:val="both"/>
      </w:pPr>
      <w:r>
        <w:t>2 Calculated during the review</w:t>
      </w:r>
      <w:r w:rsidR="00ED0CBA">
        <w:t>.</w:t>
      </w:r>
    </w:p>
    <w:p w14:paraId="6A0615EF" w14:textId="77777777" w:rsidR="00F523E8" w:rsidRDefault="00F523E8" w:rsidP="00D85AE9">
      <w:pPr>
        <w:pStyle w:val="Heading5"/>
        <w:numPr>
          <w:ilvl w:val="0"/>
          <w:numId w:val="0"/>
        </w:numPr>
        <w:spacing w:after="120"/>
        <w:jc w:val="both"/>
      </w:pPr>
      <w:r w:rsidRPr="008657EE">
        <w:t>Inhalator and patch</w:t>
      </w:r>
    </w:p>
    <w:p w14:paraId="1F2E88EA" w14:textId="02E74F74" w:rsidR="00C01C17" w:rsidRPr="00C01C17" w:rsidRDefault="00C01C17" w:rsidP="00D85AE9">
      <w:pPr>
        <w:spacing w:after="120"/>
        <w:jc w:val="both"/>
        <w:rPr>
          <w:u w:val="single"/>
        </w:rPr>
      </w:pPr>
      <w:r w:rsidRPr="00C01C17">
        <w:rPr>
          <w:u w:val="single"/>
        </w:rPr>
        <w:t>Efficacy</w:t>
      </w:r>
    </w:p>
    <w:p w14:paraId="06845303" w14:textId="65DAE1C2" w:rsidR="00F523E8" w:rsidRPr="008471EA" w:rsidRDefault="00F523E8" w:rsidP="00D85AE9">
      <w:pPr>
        <w:spacing w:after="120"/>
        <w:jc w:val="both"/>
      </w:pPr>
      <w:r w:rsidRPr="00F136E9">
        <w:t>A summary of smoking cessation rates</w:t>
      </w:r>
      <w:r>
        <w:t xml:space="preserve"> </w:t>
      </w:r>
      <w:r w:rsidRPr="00F136E9">
        <w:t>f</w:t>
      </w:r>
      <w:r w:rsidR="00DA78DD">
        <w:t>or</w:t>
      </w:r>
      <w:r w:rsidRPr="00F136E9">
        <w:t xml:space="preserve"> at least six months follow-up</w:t>
      </w:r>
      <w:r>
        <w:t xml:space="preserve"> for the comparison of NRT inhalator plus patch versus placebo </w:t>
      </w:r>
      <w:r w:rsidRPr="00F136E9">
        <w:t xml:space="preserve">is presented </w:t>
      </w:r>
      <w:r w:rsidRPr="00657867">
        <w:t>in</w:t>
      </w:r>
      <w:r>
        <w:t xml:space="preserve"> </w:t>
      </w:r>
      <w:r w:rsidR="006C0F91">
        <w:rPr>
          <w:highlight w:val="yellow"/>
        </w:rPr>
        <w:fldChar w:fldCharType="begin" w:fldLock="1"/>
      </w:r>
      <w:r w:rsidR="006C0F91">
        <w:instrText xml:space="preserve"> REF _Ref60847112 \h </w:instrText>
      </w:r>
      <w:r w:rsidR="006C0F91">
        <w:rPr>
          <w:highlight w:val="yellow"/>
        </w:rPr>
      </w:r>
      <w:r w:rsidR="006C0F91">
        <w:rPr>
          <w:highlight w:val="yellow"/>
        </w:rPr>
        <w:fldChar w:fldCharType="separate"/>
      </w:r>
      <w:r w:rsidR="00EC5CC7">
        <w:t xml:space="preserve">Table </w:t>
      </w:r>
      <w:r w:rsidR="00EC5CC7">
        <w:rPr>
          <w:noProof/>
        </w:rPr>
        <w:t>115</w:t>
      </w:r>
      <w:r w:rsidR="006C0F91">
        <w:rPr>
          <w:highlight w:val="yellow"/>
        </w:rPr>
        <w:fldChar w:fldCharType="end"/>
      </w:r>
      <w:r w:rsidRPr="00657867">
        <w:t xml:space="preserve">. </w:t>
      </w:r>
      <w:r>
        <w:t>T</w:t>
      </w:r>
      <w:r w:rsidRPr="00657867">
        <w:t xml:space="preserve">he </w:t>
      </w:r>
      <w:r w:rsidR="00285843">
        <w:t>results demonstrated</w:t>
      </w:r>
      <w:r w:rsidRPr="00657867">
        <w:t xml:space="preserve"> </w:t>
      </w:r>
      <w:r>
        <w:t>no</w:t>
      </w:r>
      <w:r w:rsidRPr="006138C2">
        <w:t xml:space="preserve"> statistically significant di</w:t>
      </w:r>
      <w:r>
        <w:t>ff</w:t>
      </w:r>
      <w:r w:rsidRPr="006138C2">
        <w:t xml:space="preserve">erence </w:t>
      </w:r>
      <w:r>
        <w:t xml:space="preserve">in </w:t>
      </w:r>
      <w:r w:rsidR="00285843">
        <w:t>smoking cessation rates</w:t>
      </w:r>
      <w:r>
        <w:t xml:space="preserve"> (</w:t>
      </w:r>
      <w:r w:rsidRPr="006138C2">
        <w:t xml:space="preserve">abstinence </w:t>
      </w:r>
      <w:r>
        <w:t>rate at 12 month</w:t>
      </w:r>
      <w:r w:rsidR="003B5412">
        <w:t>s</w:t>
      </w:r>
      <w:r>
        <w:t>)</w:t>
      </w:r>
      <w:r w:rsidR="00285843">
        <w:t xml:space="preserve"> between the two treatment arms</w:t>
      </w:r>
      <w:r>
        <w:t xml:space="preserve">, </w:t>
      </w:r>
      <w:r w:rsidR="00285843">
        <w:t xml:space="preserve">although the results numerically favoured </w:t>
      </w:r>
      <w:r w:rsidR="003B5412">
        <w:t xml:space="preserve">the </w:t>
      </w:r>
      <w:r w:rsidR="00285843">
        <w:t>inhalator and patch combination</w:t>
      </w:r>
      <w:r>
        <w:t xml:space="preserve">. </w:t>
      </w:r>
    </w:p>
    <w:p w14:paraId="22C16175" w14:textId="5597E8BC" w:rsidR="00B27344" w:rsidRDefault="00B27344" w:rsidP="00D85AE9">
      <w:pPr>
        <w:pStyle w:val="Caption"/>
        <w:keepNext/>
        <w:spacing w:before="0" w:after="120"/>
        <w:jc w:val="both"/>
      </w:pPr>
      <w:bookmarkStart w:id="200" w:name="_Ref60847112"/>
      <w:r>
        <w:t xml:space="preserve">Table </w:t>
      </w:r>
      <w:r w:rsidR="00BF3F75">
        <w:fldChar w:fldCharType="begin"/>
      </w:r>
      <w:r w:rsidR="00BF3F75">
        <w:instrText xml:space="preserve"> SEQ Table \* ARABIC </w:instrText>
      </w:r>
      <w:r w:rsidR="00BF3F75">
        <w:fldChar w:fldCharType="separate"/>
      </w:r>
      <w:r w:rsidR="00EC5CC7">
        <w:rPr>
          <w:noProof/>
        </w:rPr>
        <w:t>115</w:t>
      </w:r>
      <w:r w:rsidR="00BF3F75">
        <w:rPr>
          <w:noProof/>
        </w:rPr>
        <w:fldChar w:fldCharType="end"/>
      </w:r>
      <w:bookmarkEnd w:id="200"/>
      <w:r>
        <w:t xml:space="preserve">: </w:t>
      </w:r>
      <w:r w:rsidRPr="00C80EA6">
        <w:t>Results of smoking cessation f</w:t>
      </w:r>
      <w:r w:rsidR="00DA78DD">
        <w:t>or</w:t>
      </w:r>
      <w:r w:rsidRPr="00C80EA6">
        <w:t xml:space="preserve"> at least six months follow-up, </w:t>
      </w:r>
      <w:r w:rsidR="00826C95" w:rsidRPr="00C80EA6">
        <w:t>inhalator,</w:t>
      </w:r>
      <w:r w:rsidRPr="00C80EA6">
        <w:t xml:space="preserve"> and patch versus placebo</w:t>
      </w:r>
    </w:p>
    <w:tbl>
      <w:tblPr>
        <w:tblStyle w:val="TableGrid"/>
        <w:tblW w:w="5000" w:type="pct"/>
        <w:tblLook w:val="04A0" w:firstRow="1" w:lastRow="0" w:firstColumn="1" w:lastColumn="0" w:noHBand="0" w:noVBand="1"/>
        <w:tblCaption w:val="Efficacy results of adalimumab trials (PASI 75 and DLQI)"/>
      </w:tblPr>
      <w:tblGrid>
        <w:gridCol w:w="1857"/>
        <w:gridCol w:w="1668"/>
        <w:gridCol w:w="1830"/>
        <w:gridCol w:w="1834"/>
        <w:gridCol w:w="1827"/>
      </w:tblGrid>
      <w:tr w:rsidR="00F523E8" w:rsidRPr="00061F78" w14:paraId="5EBFC286" w14:textId="77777777" w:rsidTr="00B5677D">
        <w:trPr>
          <w:cantSplit/>
          <w:trHeight w:val="299"/>
          <w:tblHeader/>
        </w:trPr>
        <w:tc>
          <w:tcPr>
            <w:tcW w:w="1030" w:type="pct"/>
            <w:shd w:val="clear" w:color="auto" w:fill="BFBFBF" w:themeFill="background1" w:themeFillShade="BF"/>
            <w:tcMar>
              <w:left w:w="28" w:type="dxa"/>
              <w:right w:w="28" w:type="dxa"/>
            </w:tcMar>
          </w:tcPr>
          <w:p w14:paraId="1C5B00A3" w14:textId="77777777" w:rsidR="00F523E8" w:rsidRPr="00061F78" w:rsidRDefault="00F523E8" w:rsidP="00A5263B">
            <w:pPr>
              <w:pStyle w:val="Tableheading"/>
              <w:keepNext/>
              <w:rPr>
                <w:rFonts w:eastAsia="MS Mincho"/>
              </w:rPr>
            </w:pPr>
            <w:r>
              <w:rPr>
                <w:rFonts w:eastAsia="MS Mincho"/>
              </w:rPr>
              <w:t>Study</w:t>
            </w:r>
          </w:p>
        </w:tc>
        <w:tc>
          <w:tcPr>
            <w:tcW w:w="925" w:type="pct"/>
            <w:shd w:val="clear" w:color="auto" w:fill="BFBFBF" w:themeFill="background1" w:themeFillShade="BF"/>
            <w:vAlign w:val="center"/>
          </w:tcPr>
          <w:p w14:paraId="6A3439CA" w14:textId="77777777" w:rsidR="00F523E8" w:rsidRDefault="00F523E8" w:rsidP="00A5263B">
            <w:pPr>
              <w:pStyle w:val="Tableheading"/>
              <w:keepNext/>
              <w:jc w:val="center"/>
              <w:rPr>
                <w:rFonts w:eastAsia="MS Mincho"/>
              </w:rPr>
            </w:pPr>
            <w:r>
              <w:rPr>
                <w:rFonts w:eastAsia="MS Mincho"/>
              </w:rPr>
              <w:t>Study type</w:t>
            </w:r>
          </w:p>
        </w:tc>
        <w:tc>
          <w:tcPr>
            <w:tcW w:w="1015" w:type="pct"/>
            <w:shd w:val="clear" w:color="auto" w:fill="BFBFBF" w:themeFill="background1" w:themeFillShade="BF"/>
            <w:tcMar>
              <w:left w:w="28" w:type="dxa"/>
              <w:right w:w="28" w:type="dxa"/>
            </w:tcMar>
            <w:vAlign w:val="center"/>
          </w:tcPr>
          <w:p w14:paraId="7099ECA5" w14:textId="77777777" w:rsidR="00F523E8" w:rsidRPr="00061F78" w:rsidRDefault="00F523E8" w:rsidP="00A5263B">
            <w:pPr>
              <w:pStyle w:val="Tableheading"/>
              <w:keepNext/>
              <w:jc w:val="center"/>
              <w:rPr>
                <w:rFonts w:eastAsia="MS Mincho"/>
              </w:rPr>
            </w:pPr>
            <w:r>
              <w:rPr>
                <w:rFonts w:eastAsia="MS Mincho"/>
              </w:rPr>
              <w:t>Inhalator + patch</w:t>
            </w:r>
          </w:p>
        </w:tc>
        <w:tc>
          <w:tcPr>
            <w:tcW w:w="1017" w:type="pct"/>
            <w:shd w:val="clear" w:color="auto" w:fill="BFBFBF" w:themeFill="background1" w:themeFillShade="BF"/>
            <w:tcMar>
              <w:left w:w="28" w:type="dxa"/>
              <w:right w:w="28" w:type="dxa"/>
            </w:tcMar>
            <w:vAlign w:val="center"/>
          </w:tcPr>
          <w:p w14:paraId="5C187638" w14:textId="77777777" w:rsidR="00F523E8" w:rsidRPr="00061F78" w:rsidRDefault="00F523E8" w:rsidP="00A5263B">
            <w:pPr>
              <w:pStyle w:val="Tableheading"/>
              <w:keepNext/>
              <w:jc w:val="center"/>
              <w:rPr>
                <w:rFonts w:eastAsia="MS Mincho"/>
              </w:rPr>
            </w:pPr>
            <w:r>
              <w:rPr>
                <w:rFonts w:eastAsia="MS Mincho"/>
              </w:rPr>
              <w:t>Placebo</w:t>
            </w:r>
          </w:p>
        </w:tc>
        <w:tc>
          <w:tcPr>
            <w:tcW w:w="1014" w:type="pct"/>
            <w:shd w:val="clear" w:color="auto" w:fill="BFBFBF" w:themeFill="background1" w:themeFillShade="BF"/>
            <w:tcMar>
              <w:left w:w="28" w:type="dxa"/>
              <w:right w:w="28" w:type="dxa"/>
            </w:tcMar>
            <w:vAlign w:val="center"/>
          </w:tcPr>
          <w:p w14:paraId="317C1AFC" w14:textId="77777777" w:rsidR="00F523E8" w:rsidRPr="002D09A1" w:rsidRDefault="00F523E8" w:rsidP="00A5263B">
            <w:pPr>
              <w:pStyle w:val="Tableheading"/>
              <w:keepNext/>
              <w:jc w:val="center"/>
              <w:rPr>
                <w:rFonts w:eastAsia="MS Mincho"/>
                <w:vertAlign w:val="superscript"/>
              </w:rPr>
            </w:pPr>
            <w:r>
              <w:rPr>
                <w:rFonts w:eastAsia="MS Mincho"/>
              </w:rPr>
              <w:t>RR (95% CI)</w:t>
            </w:r>
          </w:p>
        </w:tc>
      </w:tr>
      <w:tr w:rsidR="00F523E8" w:rsidRPr="00061F78" w14:paraId="01362C61" w14:textId="77777777" w:rsidTr="00B5677D">
        <w:trPr>
          <w:cantSplit/>
          <w:trHeight w:val="99"/>
        </w:trPr>
        <w:tc>
          <w:tcPr>
            <w:tcW w:w="1030" w:type="pct"/>
            <w:shd w:val="clear" w:color="auto" w:fill="auto"/>
            <w:tcMar>
              <w:left w:w="28" w:type="dxa"/>
              <w:right w:w="28" w:type="dxa"/>
            </w:tcMar>
            <w:vAlign w:val="center"/>
          </w:tcPr>
          <w:p w14:paraId="28D80C34" w14:textId="656DFE56" w:rsidR="00FC18A1" w:rsidRDefault="00FC18A1" w:rsidP="00FC18A1">
            <w:pPr>
              <w:pStyle w:val="Tablewriting"/>
              <w:keepNext/>
              <w:rPr>
                <w:rFonts w:eastAsia="MS Mincho"/>
              </w:rPr>
            </w:pPr>
            <w:r>
              <w:rPr>
                <w:rFonts w:eastAsia="MS Mincho"/>
              </w:rPr>
              <w:t>Hartmann-Boyce</w:t>
            </w:r>
          </w:p>
          <w:p w14:paraId="1BF21E84" w14:textId="24405DC0" w:rsidR="00F523E8" w:rsidRPr="005D18BC" w:rsidRDefault="00FC18A1" w:rsidP="00A5263B">
            <w:pPr>
              <w:pStyle w:val="Tablewriting"/>
              <w:keepNext/>
              <w:rPr>
                <w:rFonts w:eastAsia="MS Mincho"/>
                <w:highlight w:val="yellow"/>
              </w:rPr>
            </w:pPr>
            <w:r w:rsidRPr="009E3316">
              <w:rPr>
                <w:rFonts w:eastAsia="MS Mincho"/>
              </w:rPr>
              <w:t>(2018)</w:t>
            </w:r>
            <w:r>
              <w:rPr>
                <w:rFonts w:eastAsia="MS Mincho"/>
                <w:vertAlign w:val="superscript"/>
              </w:rPr>
              <w:t>1</w:t>
            </w:r>
          </w:p>
        </w:tc>
        <w:tc>
          <w:tcPr>
            <w:tcW w:w="925" w:type="pct"/>
            <w:shd w:val="clear" w:color="auto" w:fill="auto"/>
            <w:vAlign w:val="center"/>
          </w:tcPr>
          <w:p w14:paraId="47760981" w14:textId="1FD1411B" w:rsidR="00FC18A1" w:rsidRDefault="00FC18A1" w:rsidP="00FC18A1">
            <w:pPr>
              <w:pStyle w:val="Tablewriting"/>
              <w:keepNext/>
              <w:jc w:val="center"/>
              <w:rPr>
                <w:rFonts w:eastAsia="MS Mincho"/>
              </w:rPr>
            </w:pPr>
            <w:r>
              <w:rPr>
                <w:rFonts w:eastAsia="MS Mincho"/>
              </w:rPr>
              <w:t>Cochrane Review</w:t>
            </w:r>
          </w:p>
          <w:p w14:paraId="328980AD" w14:textId="545950C3" w:rsidR="00F523E8" w:rsidRPr="00A22F63" w:rsidRDefault="00FC18A1" w:rsidP="00A5263B">
            <w:pPr>
              <w:pStyle w:val="Tablewriting"/>
              <w:keepNext/>
              <w:jc w:val="center"/>
              <w:rPr>
                <w:rFonts w:eastAsia="MS Mincho"/>
              </w:rPr>
            </w:pPr>
            <w:r>
              <w:rPr>
                <w:rFonts w:eastAsia="MS Mincho"/>
              </w:rPr>
              <w:t xml:space="preserve">(1 </w:t>
            </w:r>
            <w:r w:rsidRPr="00A22F63">
              <w:rPr>
                <w:rFonts w:eastAsia="MS Mincho"/>
              </w:rPr>
              <w:t>RCT</w:t>
            </w:r>
            <w:r>
              <w:rPr>
                <w:rFonts w:eastAsia="MS Mincho"/>
              </w:rPr>
              <w:t>)</w:t>
            </w:r>
          </w:p>
        </w:tc>
        <w:tc>
          <w:tcPr>
            <w:tcW w:w="1015" w:type="pct"/>
            <w:shd w:val="clear" w:color="auto" w:fill="auto"/>
            <w:tcMar>
              <w:left w:w="28" w:type="dxa"/>
              <w:right w:w="28" w:type="dxa"/>
            </w:tcMar>
            <w:vAlign w:val="center"/>
          </w:tcPr>
          <w:p w14:paraId="601A34B4" w14:textId="77777777" w:rsidR="00F523E8" w:rsidRPr="00807DFE" w:rsidRDefault="00F523E8" w:rsidP="00A5263B">
            <w:pPr>
              <w:pStyle w:val="Tablewriting"/>
              <w:keepNext/>
              <w:jc w:val="center"/>
              <w:rPr>
                <w:rFonts w:eastAsia="MS Mincho"/>
              </w:rPr>
            </w:pPr>
            <w:r w:rsidRPr="00807DFE">
              <w:rPr>
                <w:rFonts w:eastAsia="MS Mincho"/>
              </w:rPr>
              <w:t>20/136</w:t>
            </w:r>
          </w:p>
          <w:p w14:paraId="6864BEA5" w14:textId="77777777" w:rsidR="00F523E8" w:rsidRPr="00807DFE" w:rsidRDefault="00F523E8" w:rsidP="00A5263B">
            <w:pPr>
              <w:pStyle w:val="Tablewriting"/>
              <w:keepNext/>
              <w:jc w:val="center"/>
              <w:rPr>
                <w:rFonts w:eastAsia="MS Mincho"/>
              </w:rPr>
            </w:pPr>
            <w:r w:rsidRPr="00807DFE">
              <w:rPr>
                <w:rFonts w:eastAsia="MS Mincho"/>
              </w:rPr>
              <w:t>(14.7%)</w:t>
            </w:r>
          </w:p>
        </w:tc>
        <w:tc>
          <w:tcPr>
            <w:tcW w:w="1017" w:type="pct"/>
            <w:shd w:val="clear" w:color="auto" w:fill="auto"/>
            <w:tcMar>
              <w:left w:w="28" w:type="dxa"/>
              <w:right w:w="28" w:type="dxa"/>
            </w:tcMar>
            <w:vAlign w:val="center"/>
          </w:tcPr>
          <w:p w14:paraId="7BF2B74D" w14:textId="77777777" w:rsidR="00F523E8" w:rsidRPr="00807DFE" w:rsidRDefault="00F523E8" w:rsidP="00A5263B">
            <w:pPr>
              <w:pStyle w:val="Tablewriting"/>
              <w:keepNext/>
              <w:jc w:val="center"/>
              <w:rPr>
                <w:rFonts w:eastAsia="MS Mincho"/>
              </w:rPr>
            </w:pPr>
            <w:r w:rsidRPr="00807DFE">
              <w:rPr>
                <w:rFonts w:eastAsia="MS Mincho"/>
              </w:rPr>
              <w:t>15/109</w:t>
            </w:r>
          </w:p>
          <w:p w14:paraId="296EEC60" w14:textId="77777777" w:rsidR="00F523E8" w:rsidRPr="00807DFE" w:rsidRDefault="00F523E8" w:rsidP="00A5263B">
            <w:pPr>
              <w:pStyle w:val="Tablewriting"/>
              <w:keepNext/>
              <w:jc w:val="center"/>
              <w:rPr>
                <w:rFonts w:eastAsia="MS Mincho"/>
              </w:rPr>
            </w:pPr>
            <w:r w:rsidRPr="00807DFE">
              <w:rPr>
                <w:rFonts w:eastAsia="MS Mincho"/>
              </w:rPr>
              <w:t>(13.8%)</w:t>
            </w:r>
          </w:p>
        </w:tc>
        <w:tc>
          <w:tcPr>
            <w:tcW w:w="1014" w:type="pct"/>
            <w:shd w:val="clear" w:color="auto" w:fill="auto"/>
            <w:tcMar>
              <w:left w:w="28" w:type="dxa"/>
              <w:right w:w="28" w:type="dxa"/>
            </w:tcMar>
            <w:vAlign w:val="center"/>
          </w:tcPr>
          <w:p w14:paraId="1F6EEBD4" w14:textId="77777777" w:rsidR="00F523E8" w:rsidRDefault="00F523E8" w:rsidP="00A5263B">
            <w:pPr>
              <w:pStyle w:val="Tablewriting"/>
              <w:keepNext/>
              <w:jc w:val="center"/>
              <w:rPr>
                <w:rFonts w:eastAsia="MS Mincho"/>
              </w:rPr>
            </w:pPr>
            <w:r>
              <w:rPr>
                <w:rFonts w:eastAsia="MS Mincho"/>
              </w:rPr>
              <w:t>1.07</w:t>
            </w:r>
          </w:p>
          <w:p w14:paraId="7D59EC65" w14:textId="77777777" w:rsidR="00F523E8" w:rsidRPr="00D86FCC" w:rsidRDefault="00F523E8" w:rsidP="00A5263B">
            <w:pPr>
              <w:pStyle w:val="Tablewriting"/>
              <w:keepNext/>
              <w:jc w:val="center"/>
              <w:rPr>
                <w:rFonts w:eastAsia="MS Mincho"/>
              </w:rPr>
            </w:pPr>
            <w:r>
              <w:rPr>
                <w:rFonts w:eastAsia="MS Mincho"/>
              </w:rPr>
              <w:t>(0.57, 1.99)</w:t>
            </w:r>
          </w:p>
        </w:tc>
      </w:tr>
    </w:tbl>
    <w:p w14:paraId="16512995" w14:textId="7FD97D14" w:rsidR="00F523E8" w:rsidRPr="00566F12" w:rsidRDefault="00F523E8" w:rsidP="00D85AE9">
      <w:pPr>
        <w:pStyle w:val="TableFooter"/>
        <w:keepNext/>
        <w:jc w:val="both"/>
      </w:pPr>
      <w:r w:rsidRPr="00566F12">
        <w:t xml:space="preserve">Source: </w:t>
      </w:r>
      <w:r w:rsidRPr="00637ACA">
        <w:t xml:space="preserve">Hartmann-Boyce et al. </w:t>
      </w:r>
      <w:r w:rsidR="00285843">
        <w:t>(</w:t>
      </w:r>
      <w:r w:rsidRPr="00637ACA">
        <w:t>2018</w:t>
      </w:r>
      <w:r w:rsidR="00285843">
        <w:t>)</w:t>
      </w:r>
      <w:r w:rsidRPr="00566F12">
        <w:t>.</w:t>
      </w:r>
    </w:p>
    <w:p w14:paraId="42B4F047" w14:textId="054B9E13" w:rsidR="00F523E8" w:rsidRDefault="00F523E8" w:rsidP="00D85AE9">
      <w:pPr>
        <w:pStyle w:val="TableFooter"/>
        <w:keepNext/>
        <w:jc w:val="both"/>
      </w:pPr>
      <w:r w:rsidRPr="00566F12">
        <w:t>Abbreviations: CI = confidence interval; RCT = randomised controlled trial; RR = risk ratio</w:t>
      </w:r>
    </w:p>
    <w:p w14:paraId="3272AD25" w14:textId="1D44CCB3" w:rsidR="00F523E8" w:rsidRDefault="00F523E8" w:rsidP="00D85AE9">
      <w:pPr>
        <w:pStyle w:val="TableFooter"/>
        <w:keepNext/>
        <w:jc w:val="both"/>
      </w:pPr>
      <w:r w:rsidRPr="00566F12">
        <w:t>Notes:</w:t>
      </w:r>
      <w:r>
        <w:t xml:space="preserve"> </w:t>
      </w:r>
    </w:p>
    <w:p w14:paraId="74694266" w14:textId="73785D7C" w:rsidR="00F523E8" w:rsidRPr="002F3658" w:rsidRDefault="00F523E8" w:rsidP="00D85AE9">
      <w:pPr>
        <w:pStyle w:val="TableFooter"/>
        <w:keepNext/>
        <w:spacing w:after="120"/>
        <w:contextualSpacing w:val="0"/>
        <w:jc w:val="both"/>
      </w:pPr>
      <w:r>
        <w:t xml:space="preserve">1 </w:t>
      </w:r>
      <w:r w:rsidR="00FC18A1">
        <w:t>Calculated by Cochrane Review authors using a fixed-effect model</w:t>
      </w:r>
      <w:r>
        <w:t>.</w:t>
      </w:r>
    </w:p>
    <w:p w14:paraId="05253AB8" w14:textId="4C6EDB16" w:rsidR="00F523E8" w:rsidRDefault="00F523E8" w:rsidP="00D85AE9">
      <w:pPr>
        <w:spacing w:after="120"/>
        <w:jc w:val="both"/>
      </w:pPr>
      <w:r w:rsidRPr="00F136E9">
        <w:t>The results of the individual studies</w:t>
      </w:r>
      <w:r>
        <w:t xml:space="preserve"> relevant to </w:t>
      </w:r>
      <w:r w:rsidR="003B5412">
        <w:t xml:space="preserve">the </w:t>
      </w:r>
      <w:r>
        <w:t xml:space="preserve">combination of NRT inhalator and patch </w:t>
      </w:r>
      <w:r w:rsidRPr="00F136E9">
        <w:t xml:space="preserve">included in </w:t>
      </w:r>
      <w:r w:rsidRPr="000E1B16">
        <w:t xml:space="preserve">Hartmann-Boyce et al. </w:t>
      </w:r>
      <w:r w:rsidR="00285843">
        <w:t>(</w:t>
      </w:r>
      <w:r w:rsidRPr="000E1B16">
        <w:t>2018</w:t>
      </w:r>
      <w:r w:rsidR="00285843">
        <w:t>)</w:t>
      </w:r>
      <w:r>
        <w:t xml:space="preserve"> </w:t>
      </w:r>
      <w:r w:rsidRPr="00F136E9">
        <w:t>are presented using a forest plot in</w:t>
      </w:r>
      <w:r>
        <w:t xml:space="preserve"> </w:t>
      </w:r>
      <w:r w:rsidR="00A5263B" w:rsidRPr="00A5263B">
        <w:fldChar w:fldCharType="begin" w:fldLock="1"/>
      </w:r>
      <w:r w:rsidR="00A5263B">
        <w:instrText xml:space="preserve"> REF _Ref60909570 \h  \* MERGEFORMAT </w:instrText>
      </w:r>
      <w:r w:rsidR="00A5263B" w:rsidRPr="00A5263B">
        <w:fldChar w:fldCharType="separate"/>
      </w:r>
      <w:r w:rsidR="00EC5CC7">
        <w:t>Figure 40</w:t>
      </w:r>
      <w:r w:rsidR="00A5263B" w:rsidRPr="00A5263B">
        <w:fldChar w:fldCharType="end"/>
      </w:r>
      <w:r>
        <w:t xml:space="preserve">. </w:t>
      </w:r>
    </w:p>
    <w:p w14:paraId="0CED94C9" w14:textId="77777777" w:rsidR="00A5263B" w:rsidRDefault="00F523E8" w:rsidP="00A5263B">
      <w:pPr>
        <w:keepNext/>
        <w:spacing w:line="276" w:lineRule="auto"/>
      </w:pPr>
      <w:r>
        <w:rPr>
          <w:noProof/>
          <w:u w:val="single"/>
        </w:rPr>
        <w:drawing>
          <wp:inline distT="0" distB="0" distL="0" distR="0" wp14:anchorId="053F94C0" wp14:editId="17AF0B46">
            <wp:extent cx="5641145" cy="1131018"/>
            <wp:effectExtent l="0" t="0" r="0" b="0"/>
            <wp:docPr id="89" name="Picture 89" descr="P76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P7686#yIS1"/>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5664646" cy="1135730"/>
                    </a:xfrm>
                    <a:prstGeom prst="rect">
                      <a:avLst/>
                    </a:prstGeom>
                    <a:ln>
                      <a:noFill/>
                    </a:ln>
                    <a:extLst>
                      <a:ext uri="{53640926-AAD7-44D8-BBD7-CCE9431645EC}">
                        <a14:shadowObscured xmlns:a14="http://schemas.microsoft.com/office/drawing/2010/main"/>
                      </a:ext>
                    </a:extLst>
                  </pic:spPr>
                </pic:pic>
              </a:graphicData>
            </a:graphic>
          </wp:inline>
        </w:drawing>
      </w:r>
    </w:p>
    <w:p w14:paraId="004A5B78" w14:textId="6C5FFF99" w:rsidR="00F523E8" w:rsidRDefault="00A5263B" w:rsidP="00D85AE9">
      <w:pPr>
        <w:pStyle w:val="Caption"/>
        <w:spacing w:before="120" w:after="60"/>
        <w:jc w:val="both"/>
        <w:rPr>
          <w:u w:val="single"/>
        </w:rPr>
      </w:pPr>
      <w:bookmarkStart w:id="201" w:name="_Ref60909570"/>
      <w:r>
        <w:t xml:space="preserve">Figure </w:t>
      </w:r>
      <w:r w:rsidR="00BF3F75">
        <w:fldChar w:fldCharType="begin"/>
      </w:r>
      <w:r w:rsidR="00BF3F75">
        <w:instrText xml:space="preserve"> SEQ Figure \* ARABIC </w:instrText>
      </w:r>
      <w:r w:rsidR="00BF3F75">
        <w:fldChar w:fldCharType="separate"/>
      </w:r>
      <w:r w:rsidR="00EC5CC7">
        <w:rPr>
          <w:noProof/>
        </w:rPr>
        <w:t>40</w:t>
      </w:r>
      <w:r w:rsidR="00BF3F75">
        <w:rPr>
          <w:noProof/>
        </w:rPr>
        <w:fldChar w:fldCharType="end"/>
      </w:r>
      <w:bookmarkEnd w:id="201"/>
      <w:r>
        <w:t xml:space="preserve">: </w:t>
      </w:r>
      <w:r w:rsidRPr="009A3A87">
        <w:t>Results of smoking cessation of at least six months follow-up in Hartmann-Boyce et al. 2018, combination of NRT inhalator and patch versus placebo</w:t>
      </w:r>
    </w:p>
    <w:p w14:paraId="6645EC59" w14:textId="2F4B7B38" w:rsidR="00CC60B2" w:rsidRDefault="00CC60B2" w:rsidP="00D85AE9">
      <w:pPr>
        <w:pStyle w:val="TableFooter"/>
        <w:jc w:val="both"/>
      </w:pPr>
      <w:r w:rsidRPr="00543DB6">
        <w:t xml:space="preserve">Source: </w:t>
      </w:r>
      <w:r w:rsidRPr="001607FC">
        <w:t>Hartmann-Boyce et al. (2018</w:t>
      </w:r>
      <w:r>
        <w:t xml:space="preserve">) </w:t>
      </w:r>
    </w:p>
    <w:p w14:paraId="5C326C84" w14:textId="64466846" w:rsidR="00A5263B" w:rsidRPr="00CC60B2" w:rsidRDefault="00CC60B2" w:rsidP="00D85AE9">
      <w:pPr>
        <w:pStyle w:val="TableFooter"/>
        <w:jc w:val="both"/>
      </w:pPr>
      <w:r w:rsidRPr="00543DB6">
        <w:t>Abbreviations: CI = confidence interval</w:t>
      </w:r>
    </w:p>
    <w:p w14:paraId="492A61E1" w14:textId="77777777" w:rsidR="00C01C17" w:rsidRPr="00C01C17" w:rsidRDefault="00C01C17" w:rsidP="00D85AE9">
      <w:pPr>
        <w:pStyle w:val="Caption"/>
        <w:keepNext/>
        <w:spacing w:before="0" w:after="120"/>
        <w:jc w:val="both"/>
        <w:rPr>
          <w:b w:val="0"/>
          <w:bCs w:val="0"/>
          <w:u w:val="single"/>
        </w:rPr>
      </w:pPr>
      <w:r w:rsidRPr="00C01C17">
        <w:rPr>
          <w:b w:val="0"/>
          <w:bCs w:val="0"/>
          <w:u w:val="single"/>
        </w:rPr>
        <w:lastRenderedPageBreak/>
        <w:t>Safety</w:t>
      </w:r>
    </w:p>
    <w:p w14:paraId="20C19D53" w14:textId="3A8273FD" w:rsidR="00132A9A" w:rsidRDefault="000435AA" w:rsidP="00D85AE9">
      <w:pPr>
        <w:pStyle w:val="Caption"/>
        <w:keepNext/>
        <w:spacing w:before="0" w:after="120"/>
        <w:jc w:val="both"/>
        <w:rPr>
          <w:b w:val="0"/>
          <w:bCs w:val="0"/>
        </w:rPr>
      </w:pPr>
      <w:r w:rsidRPr="00132A9A">
        <w:rPr>
          <w:b w:val="0"/>
          <w:bCs w:val="0"/>
        </w:rPr>
        <w:t xml:space="preserve">No adverse events were reported by </w:t>
      </w:r>
      <w:r w:rsidR="00E82A3A" w:rsidRPr="00132A9A">
        <w:rPr>
          <w:b w:val="0"/>
          <w:bCs w:val="0"/>
        </w:rPr>
        <w:t xml:space="preserve">Hartmann-Boyce et al. (2018) </w:t>
      </w:r>
      <w:r w:rsidR="008D7557">
        <w:rPr>
          <w:b w:val="0"/>
          <w:bCs w:val="0"/>
        </w:rPr>
        <w:t>nor Hand et al. (2002)</w:t>
      </w:r>
      <w:r w:rsidR="00E82A3A" w:rsidRPr="00132A9A">
        <w:rPr>
          <w:b w:val="0"/>
          <w:bCs w:val="0"/>
        </w:rPr>
        <w:t xml:space="preserve"> for the comparison of inhalator + patch versus placebo. </w:t>
      </w:r>
    </w:p>
    <w:p w14:paraId="1D3EB3A1" w14:textId="4EE60106" w:rsidR="003658EF" w:rsidRDefault="00B36CAB" w:rsidP="00274E4C">
      <w:pPr>
        <w:pStyle w:val="Heading4"/>
        <w:numPr>
          <w:ilvl w:val="0"/>
          <w:numId w:val="0"/>
        </w:numPr>
        <w:spacing w:after="120"/>
        <w:jc w:val="both"/>
      </w:pPr>
      <w:r>
        <w:t>Summary of evidence for NRT dose, dosage form and length of therapy</w:t>
      </w:r>
      <w:r w:rsidR="00946F60">
        <w:t xml:space="preserve"> </w:t>
      </w:r>
    </w:p>
    <w:p w14:paraId="7A972537" w14:textId="23B27430" w:rsidR="00956FD5" w:rsidRDefault="00956FD5" w:rsidP="00274E4C">
      <w:pPr>
        <w:spacing w:after="120"/>
        <w:jc w:val="both"/>
        <w:rPr>
          <w:b/>
        </w:rPr>
      </w:pPr>
      <w:r>
        <w:rPr>
          <w:b/>
        </w:rPr>
        <w:t xml:space="preserve">NRT </w:t>
      </w:r>
      <w:r w:rsidR="00130862">
        <w:rPr>
          <w:b/>
        </w:rPr>
        <w:t>dose</w:t>
      </w:r>
    </w:p>
    <w:p w14:paraId="437D5BCC" w14:textId="672DD664" w:rsidR="00342387" w:rsidRDefault="0001540E" w:rsidP="00274E4C">
      <w:pPr>
        <w:spacing w:after="120"/>
        <w:jc w:val="both"/>
      </w:pPr>
      <w:r>
        <w:t>H</w:t>
      </w:r>
      <w:r w:rsidR="00DA0C9A">
        <w:t xml:space="preserve">igher strength NRT </w:t>
      </w:r>
      <w:r w:rsidR="00573F59">
        <w:t>patches</w:t>
      </w:r>
      <w:r w:rsidR="00DA0C9A">
        <w:t xml:space="preserve"> (</w:t>
      </w:r>
      <w:r w:rsidR="00BE6151">
        <w:t>21 mg/24-hour) w</w:t>
      </w:r>
      <w:r w:rsidR="00274E4C">
        <w:t>ere</w:t>
      </w:r>
      <w:r w:rsidR="00BE6151">
        <w:t xml:space="preserve"> shown </w:t>
      </w:r>
      <w:r w:rsidR="00B1445A">
        <w:t>in Lindson (2019)</w:t>
      </w:r>
      <w:r w:rsidR="00BE6151">
        <w:t xml:space="preserve"> to provide a</w:t>
      </w:r>
      <w:r w:rsidR="00557F81">
        <w:t xml:space="preserve"> </w:t>
      </w:r>
      <w:r w:rsidR="0067491F">
        <w:t xml:space="preserve">statistically significant improvement in long-term smoking cessation rates compared with lower </w:t>
      </w:r>
      <w:r w:rsidR="002E2519">
        <w:t>strength</w:t>
      </w:r>
      <w:r w:rsidR="000D4794">
        <w:t xml:space="preserve"> </w:t>
      </w:r>
      <w:r w:rsidR="00573F59">
        <w:t>patches</w:t>
      </w:r>
      <w:r w:rsidR="0067491F">
        <w:t xml:space="preserve"> (</w:t>
      </w:r>
      <w:r w:rsidR="002E2519">
        <w:t>14 mg/24-hour)</w:t>
      </w:r>
      <w:r w:rsidR="00517E3F" w:rsidRPr="00517E3F">
        <w:t xml:space="preserve"> based on trials that primarily involved participants who smoked 20 or more cigarettes a day</w:t>
      </w:r>
      <w:r w:rsidR="000D4794">
        <w:t xml:space="preserve">. </w:t>
      </w:r>
      <w:r w:rsidR="00980501">
        <w:t>There were n</w:t>
      </w:r>
      <w:r w:rsidR="000D4794">
        <w:t xml:space="preserve">o </w:t>
      </w:r>
      <w:r w:rsidR="00C16A8D">
        <w:t>stati</w:t>
      </w:r>
      <w:r w:rsidR="005E692A">
        <w:t>sti</w:t>
      </w:r>
      <w:r w:rsidR="00C16A8D">
        <w:t>cal</w:t>
      </w:r>
      <w:r w:rsidR="005E692A">
        <w:t>ly significant</w:t>
      </w:r>
      <w:r w:rsidR="000D4794">
        <w:t xml:space="preserve"> </w:t>
      </w:r>
      <w:r w:rsidR="00047CF9">
        <w:t>difference</w:t>
      </w:r>
      <w:r w:rsidR="00980501">
        <w:t>s</w:t>
      </w:r>
      <w:r w:rsidR="00047CF9">
        <w:t xml:space="preserve"> </w:t>
      </w:r>
      <w:r w:rsidR="00DF6813">
        <w:t xml:space="preserve">in </w:t>
      </w:r>
      <w:r w:rsidR="006F10B0">
        <w:t>long-term</w:t>
      </w:r>
      <w:r w:rsidR="00DF6813">
        <w:t xml:space="preserve"> smoking cessation rates </w:t>
      </w:r>
      <w:r w:rsidR="00E8725E">
        <w:t>for the other comparisons</w:t>
      </w:r>
      <w:r w:rsidR="00122C7A">
        <w:t xml:space="preserve"> (25 mg/16-hour </w:t>
      </w:r>
      <w:r w:rsidR="001A7731">
        <w:t>versus 15 mg</w:t>
      </w:r>
      <w:r w:rsidR="002D7CA3">
        <w:t>/</w:t>
      </w:r>
      <w:r w:rsidR="001A7731">
        <w:t xml:space="preserve">16-hour </w:t>
      </w:r>
      <w:r w:rsidR="00573F59">
        <w:t>patches</w:t>
      </w:r>
      <w:r w:rsidR="001A7731">
        <w:t>; 42/44 mg</w:t>
      </w:r>
      <w:r w:rsidR="00815073">
        <w:t>/24-hour</w:t>
      </w:r>
      <w:r w:rsidR="001A7731">
        <w:t xml:space="preserve"> versus 21/22 mg</w:t>
      </w:r>
      <w:r w:rsidR="00815073">
        <w:t>/</w:t>
      </w:r>
      <w:r w:rsidR="001A7731">
        <w:t xml:space="preserve">24-hour </w:t>
      </w:r>
      <w:r w:rsidR="00573F59">
        <w:t>patches</w:t>
      </w:r>
      <w:r w:rsidR="00342387">
        <w:t xml:space="preserve">). </w:t>
      </w:r>
      <w:r w:rsidR="00E923F8">
        <w:t xml:space="preserve">For safety, </w:t>
      </w:r>
      <w:r w:rsidR="00E923F8" w:rsidRPr="00E923F8">
        <w:t xml:space="preserve">there were no statistically significant differences </w:t>
      </w:r>
      <w:r w:rsidR="009B384F" w:rsidRPr="009B384F">
        <w:t xml:space="preserve">in the key adverse events </w:t>
      </w:r>
      <w:r w:rsidR="00E923F8" w:rsidRPr="00E923F8">
        <w:t xml:space="preserve">between </w:t>
      </w:r>
      <w:r w:rsidR="00D40E43">
        <w:t>higher strength and lower strength NRT patches</w:t>
      </w:r>
      <w:r w:rsidR="001E53B2" w:rsidDel="009B384F">
        <w:t xml:space="preserve"> </w:t>
      </w:r>
      <w:r w:rsidR="001E53B2">
        <w:t>for all comparisons</w:t>
      </w:r>
      <w:r w:rsidR="00E923F8" w:rsidRPr="00E923F8">
        <w:t xml:space="preserve"> except for treatment withdrawals comparing the 42/44 mg with 21/22 mg (24-hour) patches. </w:t>
      </w:r>
      <w:r w:rsidR="00C45123">
        <w:t>A</w:t>
      </w:r>
      <w:r w:rsidR="00342387">
        <w:t xml:space="preserve"> significantly higher treatment withdrawal rate was observed in patients treated with 42/44 mg (24-hour) </w:t>
      </w:r>
      <w:r w:rsidR="00573F59">
        <w:t>patches</w:t>
      </w:r>
      <w:r w:rsidR="00342387">
        <w:t xml:space="preserve"> compared to patients treated with 21/22 mg (24-hour) </w:t>
      </w:r>
      <w:r w:rsidR="00573F59">
        <w:t>patches</w:t>
      </w:r>
      <w:r w:rsidR="00342387">
        <w:t xml:space="preserve">. </w:t>
      </w:r>
    </w:p>
    <w:p w14:paraId="194F6E4F" w14:textId="25DEF053" w:rsidR="00130862" w:rsidRPr="003E000E" w:rsidRDefault="00915D8F" w:rsidP="00274E4C">
      <w:pPr>
        <w:spacing w:after="120"/>
        <w:jc w:val="both"/>
        <w:rPr>
          <w:strike/>
        </w:rPr>
      </w:pPr>
      <w:r>
        <w:t xml:space="preserve">Based on </w:t>
      </w:r>
      <w:r w:rsidR="00C45123">
        <w:t xml:space="preserve">the </w:t>
      </w:r>
      <w:r>
        <w:t xml:space="preserve">evidence </w:t>
      </w:r>
      <w:r w:rsidR="00062658">
        <w:t>presented</w:t>
      </w:r>
      <w:r>
        <w:t xml:space="preserve"> </w:t>
      </w:r>
      <w:r w:rsidR="00062658">
        <w:t>(</w:t>
      </w:r>
      <w:r>
        <w:t>Lindson et al. 2019</w:t>
      </w:r>
      <w:r w:rsidR="00BF4E58" w:rsidDel="00815FCC">
        <w:t>)</w:t>
      </w:r>
      <w:r w:rsidR="002B72CA">
        <w:t xml:space="preserve">, </w:t>
      </w:r>
      <w:r w:rsidR="00835E7D">
        <w:t xml:space="preserve">the </w:t>
      </w:r>
      <w:r w:rsidR="00296BDD">
        <w:t xml:space="preserve">higher strength </w:t>
      </w:r>
      <w:r w:rsidR="00835E7D">
        <w:t xml:space="preserve">NRT </w:t>
      </w:r>
      <w:r w:rsidR="00296BDD">
        <w:t>gum</w:t>
      </w:r>
      <w:r w:rsidR="00815FCC">
        <w:t xml:space="preserve"> (4 mg)</w:t>
      </w:r>
      <w:r w:rsidR="00296BDD">
        <w:t xml:space="preserve"> demonstrated </w:t>
      </w:r>
      <w:r w:rsidR="003235CB">
        <w:t xml:space="preserve">a </w:t>
      </w:r>
      <w:r w:rsidR="002B72CA">
        <w:t xml:space="preserve">statistically significant </w:t>
      </w:r>
      <w:r w:rsidR="00296BDD">
        <w:t xml:space="preserve">benefit </w:t>
      </w:r>
      <w:r w:rsidR="00975FD2">
        <w:t>in long-term smoking cessation rates</w:t>
      </w:r>
      <w:r w:rsidR="00296BDD">
        <w:t xml:space="preserve"> over the lower strength</w:t>
      </w:r>
      <w:r w:rsidR="0038762C">
        <w:t xml:space="preserve"> gum</w:t>
      </w:r>
      <w:r w:rsidR="00815FCC">
        <w:t xml:space="preserve"> (2 mg)</w:t>
      </w:r>
      <w:r w:rsidR="00342387">
        <w:t xml:space="preserve"> </w:t>
      </w:r>
      <w:r w:rsidR="00B01049">
        <w:t>based on the</w:t>
      </w:r>
      <w:r w:rsidR="007F6F17">
        <w:t xml:space="preserve"> p</w:t>
      </w:r>
      <w:r w:rsidR="007F6F17" w:rsidRPr="007F6F17">
        <w:t xml:space="preserve">ooled </w:t>
      </w:r>
      <w:r>
        <w:t xml:space="preserve">results of </w:t>
      </w:r>
      <w:r w:rsidR="007F6F17" w:rsidRPr="007F6F17">
        <w:t>high-dependency and low-dependency smokers</w:t>
      </w:r>
      <w:r w:rsidR="00296BDD">
        <w:t xml:space="preserve">. </w:t>
      </w:r>
      <w:r w:rsidR="00F052FD" w:rsidRPr="00F052FD">
        <w:t>However, the results of the subgroup analysis suggest that only smokers who are highly dependent may benefit from the higher strength NRT gum (</w:t>
      </w:r>
      <w:r w:rsidR="00826C95" w:rsidRPr="00F052FD">
        <w:t>i.e.,</w:t>
      </w:r>
      <w:r w:rsidR="00F052FD" w:rsidRPr="00F052FD">
        <w:t xml:space="preserve"> not statistically significantly different in low-dependency smokers)</w:t>
      </w:r>
      <w:r w:rsidR="00F052FD">
        <w:t>.</w:t>
      </w:r>
      <w:r w:rsidR="00296BDD">
        <w:t xml:space="preserve"> </w:t>
      </w:r>
      <w:r w:rsidR="000416B7">
        <w:t xml:space="preserve">There were </w:t>
      </w:r>
      <w:r w:rsidR="0094448C">
        <w:t>n</w:t>
      </w:r>
      <w:r w:rsidR="00980A44">
        <w:t xml:space="preserve">o </w:t>
      </w:r>
      <w:r w:rsidR="009A50DD">
        <w:t xml:space="preserve">statistically significant </w:t>
      </w:r>
      <w:r w:rsidR="00980A44">
        <w:t>difference</w:t>
      </w:r>
      <w:r w:rsidR="009A50DD">
        <w:t>s</w:t>
      </w:r>
      <w:r w:rsidR="00980A44">
        <w:t xml:space="preserve"> in </w:t>
      </w:r>
      <w:r w:rsidR="009A50DD">
        <w:t>palpitations and treatment withdrawals between the two treatment arms</w:t>
      </w:r>
      <w:r w:rsidR="00980A44">
        <w:t xml:space="preserve">. </w:t>
      </w:r>
    </w:p>
    <w:p w14:paraId="2CF3312F" w14:textId="5E94DAF8" w:rsidR="00130862" w:rsidRDefault="00130862" w:rsidP="00601B0E">
      <w:pPr>
        <w:spacing w:after="120"/>
        <w:jc w:val="both"/>
        <w:rPr>
          <w:b/>
        </w:rPr>
      </w:pPr>
      <w:r>
        <w:rPr>
          <w:b/>
        </w:rPr>
        <w:t>Length of therapy</w:t>
      </w:r>
    </w:p>
    <w:p w14:paraId="5D866295" w14:textId="1B3C493B" w:rsidR="00030AC9" w:rsidRPr="00385284" w:rsidRDefault="00AC1504" w:rsidP="00366AED">
      <w:pPr>
        <w:spacing w:after="120"/>
        <w:jc w:val="both"/>
        <w:rPr>
          <w:i/>
          <w:iCs/>
          <w:u w:val="single"/>
        </w:rPr>
      </w:pPr>
      <w:r>
        <w:t xml:space="preserve">For the comparison of longer duration versus shorter duration of </w:t>
      </w:r>
      <w:r w:rsidR="007450F3">
        <w:t>NRT monotherapy</w:t>
      </w:r>
      <w:r w:rsidR="001B2344">
        <w:t xml:space="preserve"> (patch or gum)</w:t>
      </w:r>
      <w:r w:rsidR="007450F3">
        <w:t xml:space="preserve"> and combination</w:t>
      </w:r>
      <w:r w:rsidR="001B2344">
        <w:t xml:space="preserve"> NRT</w:t>
      </w:r>
      <w:r w:rsidR="007450F3">
        <w:t xml:space="preserve"> therapy, </w:t>
      </w:r>
      <w:r w:rsidR="00EB3903" w:rsidRPr="00B519A3">
        <w:t xml:space="preserve">there were no statistically significant differences in </w:t>
      </w:r>
      <w:r w:rsidR="008F68B3">
        <w:t xml:space="preserve">long-term </w:t>
      </w:r>
      <w:r w:rsidR="00EB3903" w:rsidRPr="00B519A3">
        <w:t>smoking cessation rates</w:t>
      </w:r>
      <w:r w:rsidR="00976E80">
        <w:t xml:space="preserve"> and </w:t>
      </w:r>
      <w:r w:rsidR="001B2344">
        <w:t xml:space="preserve">any of </w:t>
      </w:r>
      <w:r w:rsidR="00976E80">
        <w:t xml:space="preserve">the key adverse events assessed </w:t>
      </w:r>
      <w:r w:rsidR="009F1454">
        <w:t xml:space="preserve">(Lindson et al. 2019, Ellerbeck et al. 2018). </w:t>
      </w:r>
      <w:r w:rsidR="00A4004B" w:rsidRPr="00A4004B">
        <w:t xml:space="preserve">Of note, the CEASE (1999) </w:t>
      </w:r>
      <w:r w:rsidR="00C67EB0">
        <w:t xml:space="preserve">study </w:t>
      </w:r>
      <w:r w:rsidR="00A4004B" w:rsidRPr="00A4004B">
        <w:t>compared 28 weeks with 12 weeks of NRT patches, with two patch doses (25 mg and 15 mg) examined in each duration.</w:t>
      </w:r>
      <w:r w:rsidR="009F675B" w:rsidRPr="009F675B">
        <w:t xml:space="preserve"> </w:t>
      </w:r>
      <w:r w:rsidR="00A74DE4" w:rsidRPr="00A74DE4">
        <w:rPr>
          <w:color w:val="000000"/>
          <w:w w:val="59"/>
          <w:shd w:val="solid" w:color="000000" w:fill="000000"/>
          <w:fitText w:val="850" w:id="-1402751744"/>
          <w14:textFill>
            <w14:solidFill>
              <w14:srgbClr w14:val="000000">
                <w14:alpha w14:val="100000"/>
              </w14:srgbClr>
            </w14:solidFill>
          </w14:textFill>
        </w:rPr>
        <w:t>||||||  ||||||</w:t>
      </w:r>
      <w:r w:rsidR="00A74DE4">
        <w:rPr>
          <w:highlight w:val="red"/>
          <w:shd w:val="clear" w:color="auto" w:fill="C0C0C1"/>
        </w:rPr>
        <w:t xml:space="preserve"> </w:t>
      </w:r>
      <w:r w:rsidR="00A74DE4" w:rsidRPr="00A74DE4">
        <w:rPr>
          <w:color w:val="000000"/>
          <w:w w:val="54"/>
          <w:shd w:val="solid" w:color="000000" w:fill="000000"/>
          <w:fitText w:val="8840" w:id="-1402751743"/>
          <w14:textFill>
            <w14:solidFill>
              <w14:srgbClr w14:val="000000">
                <w14:alpha w14:val="100000"/>
              </w14:srgbClr>
            </w14:solidFill>
          </w14:textFill>
        </w:rPr>
        <w:t>|||||||||||||||||||||||||||||||||||||||||||||||||||||||||||||||||||||||||  ||||||||||||||||||||||||||||||||||||||||||||||||||||||||||||||||||||||||</w:t>
      </w:r>
      <w:r w:rsidR="00A74DE4" w:rsidRPr="00A74DE4">
        <w:rPr>
          <w:color w:val="000000"/>
          <w:spacing w:val="72"/>
          <w:w w:val="54"/>
          <w:shd w:val="solid" w:color="000000" w:fill="000000"/>
          <w:fitText w:val="8840" w:id="-1402751743"/>
          <w14:textFill>
            <w14:solidFill>
              <w14:srgbClr w14:val="000000">
                <w14:alpha w14:val="100000"/>
              </w14:srgbClr>
            </w14:solidFill>
          </w14:textFill>
        </w:rPr>
        <w:t>|</w:t>
      </w:r>
      <w:r w:rsidR="00A74DE4">
        <w:rPr>
          <w:highlight w:val="red"/>
          <w:shd w:val="clear" w:color="auto" w:fill="C0C0C1"/>
        </w:rPr>
        <w:t xml:space="preserve"> </w:t>
      </w:r>
      <w:r w:rsidR="00A74DE4" w:rsidRPr="00A74DE4">
        <w:rPr>
          <w:color w:val="000000"/>
          <w:w w:val="54"/>
          <w:shd w:val="solid" w:color="000000" w:fill="000000"/>
          <w:fitText w:val="8930" w:id="-1402751742"/>
          <w14:textFill>
            <w14:solidFill>
              <w14:srgbClr w14:val="000000">
                <w14:alpha w14:val="100000"/>
              </w14:srgbClr>
            </w14:solidFill>
          </w14:textFill>
        </w:rPr>
        <w:t>||||||||||||||||||||||||||||||||||||||||||||||||||||||||||||||||||||||||||  |||||||||||||||||||||||||||||||||||||||||||||||||||||||||||||||||||||||||</w:t>
      </w:r>
      <w:r w:rsidR="00A74DE4" w:rsidRPr="00A74DE4">
        <w:rPr>
          <w:color w:val="000000"/>
          <w:spacing w:val="43"/>
          <w:w w:val="54"/>
          <w:shd w:val="solid" w:color="000000" w:fill="000000"/>
          <w:fitText w:val="8930" w:id="-1402751742"/>
          <w14:textFill>
            <w14:solidFill>
              <w14:srgbClr w14:val="000000">
                <w14:alpha w14:val="100000"/>
              </w14:srgbClr>
            </w14:solidFill>
          </w14:textFill>
        </w:rPr>
        <w:t>|</w:t>
      </w:r>
      <w:r w:rsidR="00A74DE4">
        <w:rPr>
          <w:highlight w:val="red"/>
          <w:shd w:val="clear" w:color="auto" w:fill="C0C0C1"/>
        </w:rPr>
        <w:t xml:space="preserve"> </w:t>
      </w:r>
      <w:r w:rsidR="00A74DE4" w:rsidRPr="00A74DE4">
        <w:rPr>
          <w:color w:val="000000"/>
          <w:w w:val="54"/>
          <w:shd w:val="solid" w:color="000000" w:fill="000000"/>
          <w:fitText w:val="5110" w:id="-1402751741"/>
          <w14:textFill>
            <w14:solidFill>
              <w14:srgbClr w14:val="000000">
                <w14:alpha w14:val="100000"/>
              </w14:srgbClr>
            </w14:solidFill>
          </w14:textFill>
        </w:rPr>
        <w:t>||||||||||||||||||||||||||||||||||||||||||  |||||||||||||||||||||||||||||||||||||||||</w:t>
      </w:r>
      <w:r w:rsidR="00A74DE4" w:rsidRPr="00A74DE4">
        <w:rPr>
          <w:color w:val="000000"/>
          <w:spacing w:val="40"/>
          <w:w w:val="54"/>
          <w:shd w:val="solid" w:color="000000" w:fill="000000"/>
          <w:fitText w:val="5110" w:id="-1402751741"/>
          <w14:textFill>
            <w14:solidFill>
              <w14:srgbClr w14:val="000000">
                <w14:alpha w14:val="100000"/>
              </w14:srgbClr>
            </w14:solidFill>
          </w14:textFill>
        </w:rPr>
        <w:t>|</w:t>
      </w:r>
    </w:p>
    <w:p w14:paraId="37F4F41B" w14:textId="0A000DAB" w:rsidR="00130862" w:rsidRDefault="00EC33DE" w:rsidP="00366AED">
      <w:pPr>
        <w:spacing w:after="120"/>
        <w:jc w:val="both"/>
      </w:pPr>
      <w:r>
        <w:t>F</w:t>
      </w:r>
      <w:r w:rsidRPr="00EC33DE">
        <w:t xml:space="preserve">or other variations in NRT use (24-hour versus 16-hour </w:t>
      </w:r>
      <w:r w:rsidR="00573F59">
        <w:t>patches</w:t>
      </w:r>
      <w:r w:rsidRPr="00EC33DE">
        <w:t xml:space="preserve">, continue versus stop patch use on </w:t>
      </w:r>
      <w:r w:rsidR="003B5412">
        <w:t>re</w:t>
      </w:r>
      <w:r w:rsidRPr="00EC33DE">
        <w:t xml:space="preserve">lapse, and 22 weeks of </w:t>
      </w:r>
      <w:r w:rsidR="00366AED">
        <w:t xml:space="preserve">a </w:t>
      </w:r>
      <w:r w:rsidRPr="00EC33DE">
        <w:t xml:space="preserve">combination of 35 mg </w:t>
      </w:r>
      <w:r w:rsidR="00573F59">
        <w:t>patches</w:t>
      </w:r>
      <w:r w:rsidRPr="00EC33DE">
        <w:t xml:space="preserve"> and fast-acting </w:t>
      </w:r>
      <w:r w:rsidR="00366AED">
        <w:t xml:space="preserve">NRT </w:t>
      </w:r>
      <w:r w:rsidRPr="00EC33DE">
        <w:t>versus 10 weeks of 21 mg</w:t>
      </w:r>
      <w:r w:rsidR="003B5412">
        <w:t xml:space="preserve"> </w:t>
      </w:r>
      <w:r w:rsidR="00573F59">
        <w:t>patches</w:t>
      </w:r>
      <w:r w:rsidR="00FC322C" w:rsidDel="00EC33DE">
        <w:t>)</w:t>
      </w:r>
      <w:r w:rsidR="00320B2D">
        <w:t>,</w:t>
      </w:r>
      <w:r w:rsidR="00030AC9" w:rsidRPr="00030AC9" w:rsidDel="00320B2D">
        <w:t xml:space="preserve"> </w:t>
      </w:r>
      <w:r w:rsidR="00030AC9" w:rsidRPr="00030AC9">
        <w:t xml:space="preserve">there were no statistically significant differences in </w:t>
      </w:r>
      <w:r w:rsidR="00604736">
        <w:t>long-term</w:t>
      </w:r>
      <w:r w:rsidR="00030AC9" w:rsidRPr="00030AC9">
        <w:t xml:space="preserve"> smoking cessation rates</w:t>
      </w:r>
      <w:r w:rsidR="00FC322C">
        <w:t xml:space="preserve">, </w:t>
      </w:r>
      <w:r w:rsidR="00FC322C" w:rsidRPr="004B5740">
        <w:t>serious adverse events, treatment withdrawals and cardiac events</w:t>
      </w:r>
      <w:r w:rsidR="00030AC9" w:rsidRPr="00030AC9">
        <w:t xml:space="preserve"> in all comparisons </w:t>
      </w:r>
      <w:r>
        <w:t>(Lindson et al. 2019)</w:t>
      </w:r>
      <w:r w:rsidR="00826C95" w:rsidRPr="00030AC9">
        <w:t>.</w:t>
      </w:r>
      <w:r w:rsidR="00826C95">
        <w:t xml:space="preserve"> </w:t>
      </w:r>
    </w:p>
    <w:p w14:paraId="46EC4966" w14:textId="146FD3E2" w:rsidR="00130862" w:rsidRPr="00385284" w:rsidRDefault="00130862" w:rsidP="00366AED">
      <w:pPr>
        <w:spacing w:after="120"/>
        <w:jc w:val="both"/>
        <w:rPr>
          <w:b/>
        </w:rPr>
      </w:pPr>
      <w:r w:rsidRPr="00385284">
        <w:rPr>
          <w:b/>
        </w:rPr>
        <w:t>Dosing schedule</w:t>
      </w:r>
    </w:p>
    <w:p w14:paraId="4186C70A" w14:textId="017E78CC" w:rsidR="000E5CF1" w:rsidRDefault="00EF6140" w:rsidP="00366AED">
      <w:pPr>
        <w:spacing w:after="120"/>
        <w:jc w:val="both"/>
      </w:pPr>
      <w:r>
        <w:t xml:space="preserve">For the comparison of </w:t>
      </w:r>
      <w:r w:rsidRPr="00EF6140">
        <w:t xml:space="preserve">abrupt withdrawal </w:t>
      </w:r>
      <w:r>
        <w:t>versus</w:t>
      </w:r>
      <w:r w:rsidRPr="00EF6140">
        <w:t xml:space="preserve"> tapering patch dose</w:t>
      </w:r>
      <w:r>
        <w:t>,</w:t>
      </w:r>
      <w:r w:rsidRPr="00EF6140">
        <w:t xml:space="preserve"> </w:t>
      </w:r>
      <w:r w:rsidR="00FC162D">
        <w:t xml:space="preserve">there were </w:t>
      </w:r>
      <w:r w:rsidR="000E5CF1" w:rsidRPr="000E5CF1">
        <w:t xml:space="preserve">no statistically significant differences in </w:t>
      </w:r>
      <w:r w:rsidR="00764C5C">
        <w:t xml:space="preserve">long-term </w:t>
      </w:r>
      <w:r w:rsidR="000E5CF1" w:rsidRPr="000E5CF1">
        <w:t xml:space="preserve">smoking cessation rates </w:t>
      </w:r>
      <w:r w:rsidR="00960CE5">
        <w:t>a</w:t>
      </w:r>
      <w:r w:rsidR="004F6DEE">
        <w:t>nd</w:t>
      </w:r>
      <w:r w:rsidR="00960CE5">
        <w:t xml:space="preserve"> </w:t>
      </w:r>
      <w:r w:rsidR="00960CE5" w:rsidRPr="00FF476A">
        <w:t>treatment withdrawals</w:t>
      </w:r>
      <w:r w:rsidR="000E5CF1" w:rsidRPr="000E5CF1">
        <w:t xml:space="preserve"> between </w:t>
      </w:r>
      <w:r>
        <w:t>the two treatment arms (Lindson et al. 2019)</w:t>
      </w:r>
      <w:r w:rsidR="000E5CF1" w:rsidRPr="000E5CF1">
        <w:t xml:space="preserve">. </w:t>
      </w:r>
      <w:r w:rsidR="00EF72D5" w:rsidRPr="00EF72D5">
        <w:t>Th</w:t>
      </w:r>
      <w:r w:rsidR="007900F9">
        <w:t>is is consistent with previous</w:t>
      </w:r>
      <w:r w:rsidR="00EF72D5" w:rsidRPr="00EF72D5">
        <w:t xml:space="preserve"> PBAC </w:t>
      </w:r>
      <w:r w:rsidR="007900F9">
        <w:t>consideration</w:t>
      </w:r>
      <w:r w:rsidR="00764C5C">
        <w:t>s</w:t>
      </w:r>
      <w:r w:rsidR="007900F9">
        <w:t>, whereby</w:t>
      </w:r>
      <w:r w:rsidR="00EF72D5" w:rsidRPr="00EF72D5">
        <w:t xml:space="preserve"> gradual tapering compared with abrupt withdrawal </w:t>
      </w:r>
      <w:r w:rsidR="00EF72D5" w:rsidRPr="00EF72D5">
        <w:lastRenderedPageBreak/>
        <w:t>w</w:t>
      </w:r>
      <w:r w:rsidR="00D151B2">
        <w:t>as</w:t>
      </w:r>
      <w:r w:rsidR="00EF72D5" w:rsidRPr="00EF72D5">
        <w:t xml:space="preserve"> </w:t>
      </w:r>
      <w:r w:rsidR="003B757F">
        <w:t>noted</w:t>
      </w:r>
      <w:r w:rsidR="00EF72D5" w:rsidRPr="00EF72D5">
        <w:t xml:space="preserve"> to result in minimal changes in clinical outcomes (NRT PSD, March 2010 PBAC meeting).</w:t>
      </w:r>
    </w:p>
    <w:p w14:paraId="38944B4E" w14:textId="1AF0ABDF" w:rsidR="0063427C" w:rsidRDefault="003B757F" w:rsidP="006A40AF">
      <w:pPr>
        <w:spacing w:after="120"/>
        <w:jc w:val="both"/>
      </w:pPr>
      <w:r>
        <w:t>For the comparison of fixed versus ad lib dosing schedule</w:t>
      </w:r>
      <w:r w:rsidR="00D151B2">
        <w:t>s</w:t>
      </w:r>
      <w:r w:rsidR="0063427C">
        <w:t>, t</w:t>
      </w:r>
      <w:r w:rsidR="0063427C" w:rsidRPr="00592F74">
        <w:t>here w</w:t>
      </w:r>
      <w:r w:rsidR="0063427C">
        <w:t>ere</w:t>
      </w:r>
      <w:r w:rsidR="0063427C" w:rsidRPr="00592F74">
        <w:t xml:space="preserve"> no statistically significant </w:t>
      </w:r>
      <w:r w:rsidR="0063427C">
        <w:t xml:space="preserve">differences in </w:t>
      </w:r>
      <w:r w:rsidR="00F42BF5">
        <w:t xml:space="preserve">long-term </w:t>
      </w:r>
      <w:r w:rsidR="0063427C">
        <w:t>smoking cessation rates</w:t>
      </w:r>
      <w:r w:rsidR="00936DDF">
        <w:t xml:space="preserve">, </w:t>
      </w:r>
      <w:r w:rsidR="00936DDF" w:rsidRPr="00B163FE">
        <w:t>serious adverse events</w:t>
      </w:r>
      <w:r w:rsidR="00936DDF">
        <w:t>,</w:t>
      </w:r>
      <w:r w:rsidR="00936DDF" w:rsidRPr="00B163FE">
        <w:t xml:space="preserve"> and treatment withdrawals</w:t>
      </w:r>
      <w:r w:rsidR="0063427C">
        <w:t xml:space="preserve"> between</w:t>
      </w:r>
      <w:r w:rsidR="0063427C" w:rsidRPr="00592F74">
        <w:t xml:space="preserve"> </w:t>
      </w:r>
      <w:r w:rsidR="00275503">
        <w:t>the two treatment arms</w:t>
      </w:r>
      <w:r w:rsidR="00B06B46">
        <w:t xml:space="preserve"> for all comparisons</w:t>
      </w:r>
      <w:r w:rsidR="0063427C" w:rsidRPr="00592F74">
        <w:t xml:space="preserve"> </w:t>
      </w:r>
      <w:r w:rsidR="0063427C">
        <w:t>(</w:t>
      </w:r>
      <w:r w:rsidR="0063427C" w:rsidRPr="00592F74">
        <w:t>gum</w:t>
      </w:r>
      <w:r w:rsidR="0063427C">
        <w:t xml:space="preserve">, </w:t>
      </w:r>
      <w:r w:rsidR="0063427C" w:rsidRPr="00592F74">
        <w:t xml:space="preserve">nasal </w:t>
      </w:r>
      <w:r w:rsidR="00826C95" w:rsidRPr="00592F74">
        <w:t>spray,</w:t>
      </w:r>
      <w:r w:rsidR="0063427C" w:rsidRPr="00592F74">
        <w:t xml:space="preserve"> and</w:t>
      </w:r>
      <w:r w:rsidR="0063427C">
        <w:t xml:space="preserve"> pooled analysis)</w:t>
      </w:r>
      <w:r w:rsidR="00B06B46">
        <w:t xml:space="preserve"> (Lindson et al. 2019)</w:t>
      </w:r>
      <w:r w:rsidR="0063427C">
        <w:t xml:space="preserve">. </w:t>
      </w:r>
    </w:p>
    <w:p w14:paraId="49CF8B3E" w14:textId="05E6B55D" w:rsidR="00385284" w:rsidRDefault="00B06B46" w:rsidP="00F01126">
      <w:pPr>
        <w:spacing w:after="120"/>
        <w:jc w:val="both"/>
      </w:pPr>
      <w:r>
        <w:t>P</w:t>
      </w:r>
      <w:r w:rsidR="00291F32">
        <w:t>reloading use of NRT</w:t>
      </w:r>
      <w:r w:rsidR="004B1C54">
        <w:t xml:space="preserve"> </w:t>
      </w:r>
      <w:r>
        <w:t xml:space="preserve">was </w:t>
      </w:r>
      <w:r w:rsidR="004B1C54">
        <w:t xml:space="preserve">demonstrated </w:t>
      </w:r>
      <w:r w:rsidR="00587DFC">
        <w:t>to</w:t>
      </w:r>
      <w:r w:rsidR="004B1C54">
        <w:t xml:space="preserve"> significantly </w:t>
      </w:r>
      <w:r w:rsidR="00587DFC">
        <w:t>improve</w:t>
      </w:r>
      <w:r w:rsidR="004B1C54">
        <w:t xml:space="preserve"> </w:t>
      </w:r>
      <w:r w:rsidR="00F42BF5">
        <w:t>long-term</w:t>
      </w:r>
      <w:r w:rsidR="004B1C54">
        <w:t xml:space="preserve"> smoking cessation </w:t>
      </w:r>
      <w:r w:rsidR="00587DFC">
        <w:t xml:space="preserve">rates </w:t>
      </w:r>
      <w:r w:rsidR="004B1C54">
        <w:t>compared with standard use of NRT</w:t>
      </w:r>
      <w:r w:rsidR="00587DFC">
        <w:t xml:space="preserve"> (Lindson et al. 2019)</w:t>
      </w:r>
      <w:r w:rsidR="004B1C54">
        <w:t xml:space="preserve">. However, the results were only statistically significant in the NRT </w:t>
      </w:r>
      <w:r w:rsidR="00573F59">
        <w:t>patches</w:t>
      </w:r>
      <w:r w:rsidR="004B1C54">
        <w:t xml:space="preserve"> subgroup and not in the NRT gum or patch in combination with gum subgroups.</w:t>
      </w:r>
      <w:r w:rsidR="00161758">
        <w:t xml:space="preserve"> </w:t>
      </w:r>
      <w:r w:rsidR="004B1C54">
        <w:t xml:space="preserve">The results of the updated re-analysis </w:t>
      </w:r>
      <w:r w:rsidR="000F6242">
        <w:t>(</w:t>
      </w:r>
      <w:r w:rsidR="009C4E2D">
        <w:t xml:space="preserve">adding </w:t>
      </w:r>
      <w:r w:rsidR="000F6242">
        <w:t>Dedert 2018)</w:t>
      </w:r>
      <w:r w:rsidR="009C4E2D">
        <w:t xml:space="preserve"> </w:t>
      </w:r>
      <w:r w:rsidR="004B1C54">
        <w:t xml:space="preserve">for the NRT </w:t>
      </w:r>
      <w:r w:rsidR="00573F59">
        <w:t>patches</w:t>
      </w:r>
      <w:r w:rsidR="004B1C54">
        <w:t xml:space="preserve"> subgroup were consistent with the results from Lindson et al. (2019).</w:t>
      </w:r>
      <w:r w:rsidR="007231A4">
        <w:t xml:space="preserve"> </w:t>
      </w:r>
      <w:r w:rsidR="0098421B">
        <w:t>For safety</w:t>
      </w:r>
      <w:r w:rsidR="00B163FE">
        <w:t xml:space="preserve">, there was a significantly higher proportion of patients in the preloading arm experiencing palpitations compared with patients in the standard use arm. There were no statistically significant differences in cardiac adverse events, cardiac serious adverse events, overall serious adverse </w:t>
      </w:r>
      <w:r w:rsidR="00826C95">
        <w:t>events,</w:t>
      </w:r>
      <w:r w:rsidR="00B163FE">
        <w:t xml:space="preserve"> and treatment withdrawals between the two treatment arms.</w:t>
      </w:r>
      <w:r w:rsidR="00874027">
        <w:t xml:space="preserve"> </w:t>
      </w:r>
      <w:r w:rsidR="00B163FE">
        <w:t>The results of the updated re-analysis for the overall serious adverse events were consistent with the results from Lindson et al. (2019).</w:t>
      </w:r>
    </w:p>
    <w:p w14:paraId="61D94965" w14:textId="22D10168" w:rsidR="00B163FE" w:rsidRPr="00B163FE" w:rsidRDefault="00080E3F" w:rsidP="00F01126">
      <w:pPr>
        <w:spacing w:after="120"/>
        <w:jc w:val="both"/>
      </w:pPr>
      <w:r>
        <w:t xml:space="preserve">Based on </w:t>
      </w:r>
      <w:r w:rsidR="00F01126">
        <w:t xml:space="preserve">the </w:t>
      </w:r>
      <w:r w:rsidR="00C6595C">
        <w:t xml:space="preserve">evidence </w:t>
      </w:r>
      <w:r w:rsidR="0098421B">
        <w:t>presented</w:t>
      </w:r>
      <w:r>
        <w:t xml:space="preserve"> </w:t>
      </w:r>
      <w:r w:rsidR="006C17A7">
        <w:t>(</w:t>
      </w:r>
      <w:r>
        <w:t xml:space="preserve">Lindson et al. 2019b), </w:t>
      </w:r>
      <w:r w:rsidR="0027681B" w:rsidRPr="0027681B">
        <w:t xml:space="preserve">reduction </w:t>
      </w:r>
      <w:r w:rsidR="00D151B2">
        <w:t xml:space="preserve">(cut down to quit) </w:t>
      </w:r>
      <w:r w:rsidR="0027681B" w:rsidRPr="0027681B">
        <w:t>with pharmacotherapy</w:t>
      </w:r>
      <w:r>
        <w:t xml:space="preserve"> demonstrated a significantly higher rate of smoking cessation </w:t>
      </w:r>
      <w:r w:rsidR="0027681B">
        <w:t>compared with</w:t>
      </w:r>
      <w:r>
        <w:t xml:space="preserve"> reduction alone in </w:t>
      </w:r>
      <w:r w:rsidR="00D151B2">
        <w:t xml:space="preserve">the </w:t>
      </w:r>
      <w:r>
        <w:t>fast acting NRT subgroup</w:t>
      </w:r>
      <w:r w:rsidR="0019289E">
        <w:t xml:space="preserve">, </w:t>
      </w:r>
      <w:r w:rsidR="00D86D1D">
        <w:t>noting that</w:t>
      </w:r>
      <w:r w:rsidR="0019289E">
        <w:t xml:space="preserve"> t</w:t>
      </w:r>
      <w:r>
        <w:t xml:space="preserve">here were no statistically significant differences between the two treatment arms in either </w:t>
      </w:r>
      <w:r w:rsidR="00F01126">
        <w:t xml:space="preserve">the </w:t>
      </w:r>
      <w:r>
        <w:t xml:space="preserve">combination NRT or NRT </w:t>
      </w:r>
      <w:r w:rsidR="00573F59">
        <w:t>patches</w:t>
      </w:r>
      <w:r>
        <w:t xml:space="preserve"> subgroups. </w:t>
      </w:r>
      <w:r w:rsidR="0019289E">
        <w:t>T</w:t>
      </w:r>
      <w:r w:rsidR="00B163FE">
        <w:t>here was no statistically significant difference between reduction with pharmacotherapy and reduction alone in pre-quit adverse events</w:t>
      </w:r>
      <w:r w:rsidR="00936777">
        <w:t xml:space="preserve"> </w:t>
      </w:r>
      <w:r w:rsidR="00353F79">
        <w:t>(</w:t>
      </w:r>
      <w:r w:rsidR="00CC0A59">
        <w:t>one</w:t>
      </w:r>
      <w:r w:rsidR="00353F79">
        <w:t xml:space="preserve"> RCT</w:t>
      </w:r>
      <w:r w:rsidR="00201092">
        <w:t>; Bolliger 2000a</w:t>
      </w:r>
      <w:r w:rsidR="00353F79">
        <w:t>)</w:t>
      </w:r>
      <w:r w:rsidR="00936777">
        <w:t xml:space="preserve"> and pre-quit serious adverse events</w:t>
      </w:r>
      <w:r w:rsidR="00B163FE">
        <w:t xml:space="preserve">. However, there was a significantly higher proportion of patients in the reduction with pharmacotherapy arm experiencing pre-quit adverse events </w:t>
      </w:r>
      <w:r w:rsidR="00353F79">
        <w:t xml:space="preserve">in </w:t>
      </w:r>
      <w:r w:rsidR="00A626F5">
        <w:t>an</w:t>
      </w:r>
      <w:r w:rsidR="00353F79">
        <w:t xml:space="preserve">other </w:t>
      </w:r>
      <w:r w:rsidR="00760ADB">
        <w:t>study (</w:t>
      </w:r>
      <w:r w:rsidR="00CC0A59">
        <w:t>one</w:t>
      </w:r>
      <w:r w:rsidR="000C76CF">
        <w:t xml:space="preserve"> </w:t>
      </w:r>
      <w:r w:rsidR="00353F79">
        <w:t>RCT</w:t>
      </w:r>
      <w:r w:rsidR="00760ADB">
        <w:t xml:space="preserve">; </w:t>
      </w:r>
      <w:r w:rsidR="00F8055E" w:rsidRPr="00F8055E">
        <w:t>ShiIman 2009)</w:t>
      </w:r>
      <w:r w:rsidR="00353F79">
        <w:t xml:space="preserve"> </w:t>
      </w:r>
      <w:r w:rsidR="00B163FE">
        <w:t xml:space="preserve">compared with patients in the reduction alone arm. </w:t>
      </w:r>
    </w:p>
    <w:p w14:paraId="696AC938" w14:textId="0132304F" w:rsidR="00130862" w:rsidRDefault="00130862" w:rsidP="00F01126">
      <w:pPr>
        <w:spacing w:after="120"/>
        <w:jc w:val="both"/>
        <w:rPr>
          <w:b/>
        </w:rPr>
      </w:pPr>
      <w:r>
        <w:rPr>
          <w:b/>
        </w:rPr>
        <w:t>Non-PBS listed NRT dosage forms</w:t>
      </w:r>
    </w:p>
    <w:p w14:paraId="031A87AA" w14:textId="60851BE8" w:rsidR="004A3991" w:rsidRDefault="00D151B2" w:rsidP="00F01126">
      <w:pPr>
        <w:spacing w:after="120"/>
        <w:jc w:val="both"/>
      </w:pPr>
      <w:r>
        <w:t xml:space="preserve">Use of an </w:t>
      </w:r>
      <w:r w:rsidR="003C6765">
        <w:t>NRT inhalator</w:t>
      </w:r>
      <w:r w:rsidR="004D7855">
        <w:t xml:space="preserve"> demonstrated</w:t>
      </w:r>
      <w:r w:rsidR="004D7855" w:rsidRPr="00657867">
        <w:t xml:space="preserve"> </w:t>
      </w:r>
      <w:r w:rsidR="004D7855">
        <w:t>a</w:t>
      </w:r>
      <w:r w:rsidR="004D7855" w:rsidRPr="00657867">
        <w:t xml:space="preserve"> </w:t>
      </w:r>
      <w:r w:rsidR="004D7855" w:rsidRPr="006138C2">
        <w:t xml:space="preserve">statistically significant </w:t>
      </w:r>
      <w:r w:rsidR="0093696A">
        <w:t>improvement</w:t>
      </w:r>
      <w:r w:rsidR="004D7855" w:rsidRPr="006138C2">
        <w:t xml:space="preserve"> </w:t>
      </w:r>
      <w:r w:rsidR="004D7855">
        <w:t xml:space="preserve">in </w:t>
      </w:r>
      <w:r w:rsidR="00F42BF5">
        <w:t xml:space="preserve">long-term </w:t>
      </w:r>
      <w:r w:rsidR="004D7855">
        <w:t xml:space="preserve">smoking cessation rates </w:t>
      </w:r>
      <w:r w:rsidR="005447A4">
        <w:t>compared to placebo</w:t>
      </w:r>
      <w:r w:rsidR="007D5FD3">
        <w:t xml:space="preserve"> (</w:t>
      </w:r>
      <w:r w:rsidR="007D5FD3" w:rsidRPr="00933815">
        <w:t>Hartmann-Boyce et al. 2018</w:t>
      </w:r>
      <w:r w:rsidR="007D5FD3">
        <w:t>)</w:t>
      </w:r>
      <w:r w:rsidR="004D7855">
        <w:t xml:space="preserve">. The results of the updated re-analysis were no longer statistically significant after including the results from </w:t>
      </w:r>
      <w:r w:rsidR="005447A4">
        <w:t>the new study (</w:t>
      </w:r>
      <w:r w:rsidR="004D7855">
        <w:t xml:space="preserve">Oncken et al. 2019). </w:t>
      </w:r>
      <w:r w:rsidR="00F42BF5">
        <w:t>For safety, there were</w:t>
      </w:r>
      <w:r w:rsidR="00F42BF5" w:rsidRPr="00F42BF5">
        <w:t xml:space="preserve"> no statistically significant difference in adverse events between the two treatment arms (based on risk ratio), noting that the results were statistically significant based on risk difference (absolute effect).</w:t>
      </w:r>
    </w:p>
    <w:p w14:paraId="122D10A4" w14:textId="79698255" w:rsidR="008456D2" w:rsidRDefault="00173129" w:rsidP="00F01126">
      <w:pPr>
        <w:spacing w:after="120"/>
        <w:jc w:val="both"/>
      </w:pPr>
      <w:r>
        <w:t xml:space="preserve">For the comparison of </w:t>
      </w:r>
      <w:r w:rsidR="00043B53">
        <w:t>inhal</w:t>
      </w:r>
      <w:r w:rsidR="00D420E4">
        <w:t>ator</w:t>
      </w:r>
      <w:r w:rsidR="00043B53">
        <w:t xml:space="preserve"> versus </w:t>
      </w:r>
      <w:r w:rsidR="00573F59">
        <w:t>patches</w:t>
      </w:r>
      <w:r w:rsidR="00043B53">
        <w:t xml:space="preserve">, </w:t>
      </w:r>
      <w:r w:rsidR="003123F1">
        <w:t>there were</w:t>
      </w:r>
      <w:r w:rsidR="004D7855">
        <w:t xml:space="preserve"> no statistically significant difference</w:t>
      </w:r>
      <w:r w:rsidR="003123F1">
        <w:t>s</w:t>
      </w:r>
      <w:r w:rsidR="004D7855">
        <w:t xml:space="preserve"> in </w:t>
      </w:r>
      <w:r w:rsidR="00B50655">
        <w:t xml:space="preserve">long-term </w:t>
      </w:r>
      <w:r w:rsidR="004D7855">
        <w:t xml:space="preserve">smoking cessation rates </w:t>
      </w:r>
      <w:r w:rsidR="001C15E0">
        <w:t>between the two treatment arms</w:t>
      </w:r>
      <w:r w:rsidR="004D7855">
        <w:t>.</w:t>
      </w:r>
      <w:r w:rsidR="00881477">
        <w:t xml:space="preserve"> </w:t>
      </w:r>
      <w:r w:rsidR="006F20E6">
        <w:t>For</w:t>
      </w:r>
      <w:r w:rsidR="00CC26E3">
        <w:t xml:space="preserve"> safety</w:t>
      </w:r>
      <w:r w:rsidR="008456D2">
        <w:t xml:space="preserve">, </w:t>
      </w:r>
      <w:r w:rsidR="006F20E6">
        <w:t>t</w:t>
      </w:r>
      <w:r w:rsidR="006F20E6" w:rsidRPr="006F20E6">
        <w:t>he</w:t>
      </w:r>
      <w:r w:rsidR="00B50655">
        <w:t>re were no serious adverse events reported in either treatment arm</w:t>
      </w:r>
      <w:r w:rsidR="006F20E6" w:rsidRPr="006F20E6">
        <w:t>.</w:t>
      </w:r>
      <w:r w:rsidR="008456D2">
        <w:t xml:space="preserve"> </w:t>
      </w:r>
    </w:p>
    <w:p w14:paraId="3F12FEB3" w14:textId="15230E80" w:rsidR="00D95CD1" w:rsidRDefault="00D420E4" w:rsidP="00F01126">
      <w:pPr>
        <w:spacing w:after="120"/>
        <w:jc w:val="both"/>
      </w:pPr>
      <w:r>
        <w:t>N</w:t>
      </w:r>
      <w:r w:rsidR="00291B31">
        <w:t xml:space="preserve">asal spray </w:t>
      </w:r>
      <w:r w:rsidR="00546AC5">
        <w:t>demonstrated</w:t>
      </w:r>
      <w:r w:rsidR="00546AC5" w:rsidRPr="00657867">
        <w:t xml:space="preserve"> </w:t>
      </w:r>
      <w:r w:rsidR="00546AC5">
        <w:t>a</w:t>
      </w:r>
      <w:r w:rsidR="00546AC5" w:rsidRPr="00657867">
        <w:t xml:space="preserve"> </w:t>
      </w:r>
      <w:r w:rsidR="00546AC5" w:rsidRPr="006138C2">
        <w:t xml:space="preserve">statistically significant </w:t>
      </w:r>
      <w:r w:rsidR="00291B31">
        <w:t>benefit</w:t>
      </w:r>
      <w:r w:rsidR="00546AC5" w:rsidRPr="006138C2">
        <w:t xml:space="preserve"> </w:t>
      </w:r>
      <w:r w:rsidR="00546AC5">
        <w:t xml:space="preserve">in </w:t>
      </w:r>
      <w:r w:rsidR="00A30DA1">
        <w:t xml:space="preserve">long-term </w:t>
      </w:r>
      <w:r w:rsidR="00546AC5">
        <w:t xml:space="preserve">smoking cessation rates </w:t>
      </w:r>
      <w:r w:rsidR="00291B31">
        <w:t>compared to placebo</w:t>
      </w:r>
      <w:r w:rsidR="00350424">
        <w:t xml:space="preserve"> (</w:t>
      </w:r>
      <w:r w:rsidR="00350424" w:rsidRPr="00933815">
        <w:t>Hartmann-Boyce et al. 2018</w:t>
      </w:r>
      <w:r w:rsidR="00350424">
        <w:t>)</w:t>
      </w:r>
      <w:r w:rsidR="00291B31">
        <w:t xml:space="preserve">. </w:t>
      </w:r>
      <w:r w:rsidR="00134E10" w:rsidRPr="00134E10">
        <w:t>The results of the meta-analysis comprising three RCTs demonstrated a significantly higher incidence of palpitations/chest pains adverse events in the nasal spray arm compared to placebo.</w:t>
      </w:r>
    </w:p>
    <w:p w14:paraId="43DF61F3" w14:textId="1505814F" w:rsidR="00546AC5" w:rsidRDefault="00334A75" w:rsidP="00F01126">
      <w:pPr>
        <w:spacing w:after="120"/>
        <w:jc w:val="both"/>
      </w:pPr>
      <w:r>
        <w:t xml:space="preserve">For the comparison of nasal spray versus </w:t>
      </w:r>
      <w:r w:rsidR="00573F59">
        <w:t>patches</w:t>
      </w:r>
      <w:r>
        <w:t>,</w:t>
      </w:r>
      <w:r w:rsidR="000B181F" w:rsidDel="00334A75">
        <w:t xml:space="preserve"> </w:t>
      </w:r>
      <w:r w:rsidR="00A76608" w:rsidDel="00334A75">
        <w:t>in</w:t>
      </w:r>
      <w:r w:rsidR="00546AC5" w:rsidDel="00334A75">
        <w:t xml:space="preserve"> contrast,</w:t>
      </w:r>
      <w:r w:rsidR="00546AC5">
        <w:t xml:space="preserve"> the results </w:t>
      </w:r>
      <w:r w:rsidR="0093696A">
        <w:t>from</w:t>
      </w:r>
      <w:r w:rsidR="00546AC5">
        <w:t xml:space="preserve"> Lindson et al. (2019) demonstrated no statistically significant difference in </w:t>
      </w:r>
      <w:r w:rsidR="000A66E9">
        <w:t>long-term</w:t>
      </w:r>
      <w:r w:rsidR="00546AC5">
        <w:t xml:space="preserve"> smoking cessation rates </w:t>
      </w:r>
      <w:r>
        <w:t xml:space="preserve">between the two treatment </w:t>
      </w:r>
      <w:r w:rsidR="00A76608">
        <w:t>arms</w:t>
      </w:r>
      <w:r w:rsidR="00A76608" w:rsidDel="00334A75">
        <w:t xml:space="preserve"> when</w:t>
      </w:r>
      <w:r w:rsidR="00546AC5" w:rsidDel="00334A75">
        <w:t xml:space="preserve"> NRT nasal spray </w:t>
      </w:r>
      <w:r w:rsidR="00B05056">
        <w:t>was</w:t>
      </w:r>
      <w:r w:rsidR="00546AC5" w:rsidDel="00334A75">
        <w:t xml:space="preserve"> </w:t>
      </w:r>
      <w:r w:rsidR="0093696A" w:rsidDel="00334A75">
        <w:t>compared to</w:t>
      </w:r>
      <w:r w:rsidR="00546AC5" w:rsidDel="00334A75">
        <w:t xml:space="preserve"> </w:t>
      </w:r>
      <w:r w:rsidR="00573F59">
        <w:t>patches</w:t>
      </w:r>
      <w:r w:rsidR="00546AC5">
        <w:t>.</w:t>
      </w:r>
      <w:r w:rsidR="00536FED" w:rsidRPr="00536FED">
        <w:t xml:space="preserve"> Among studies comparing nasal spray versus </w:t>
      </w:r>
      <w:r w:rsidR="00573F59">
        <w:t>patches</w:t>
      </w:r>
      <w:r w:rsidR="00536FED" w:rsidRPr="00536FED">
        <w:t xml:space="preserve">, Lerman et al. (2004) reported no </w:t>
      </w:r>
      <w:r w:rsidR="00861713">
        <w:lastRenderedPageBreak/>
        <w:t>serious adverse event</w:t>
      </w:r>
      <w:r w:rsidR="00536FED" w:rsidRPr="00536FED">
        <w:t xml:space="preserve">s in </w:t>
      </w:r>
      <w:r w:rsidR="000A66E9">
        <w:t>either treatment</w:t>
      </w:r>
      <w:r w:rsidR="00536FED" w:rsidRPr="00536FED">
        <w:t xml:space="preserve"> arms, while Croghan </w:t>
      </w:r>
      <w:r w:rsidR="00A25C81">
        <w:t>et al. (</w:t>
      </w:r>
      <w:r w:rsidR="00536FED" w:rsidRPr="00536FED">
        <w:t>2003</w:t>
      </w:r>
      <w:r w:rsidR="00A25C81">
        <w:t>)</w:t>
      </w:r>
      <w:r w:rsidR="00536FED" w:rsidRPr="00536FED">
        <w:t xml:space="preserve"> showed </w:t>
      </w:r>
      <w:r w:rsidR="00B05056">
        <w:t xml:space="preserve">a </w:t>
      </w:r>
      <w:r w:rsidR="00536FED" w:rsidRPr="00536FED">
        <w:t>significant</w:t>
      </w:r>
      <w:r w:rsidR="000A66E9">
        <w:t>ly higher rate of</w:t>
      </w:r>
      <w:r w:rsidR="00536FED" w:rsidRPr="00536FED">
        <w:t xml:space="preserve"> treatment withdrawals in </w:t>
      </w:r>
      <w:r w:rsidR="00A257A3">
        <w:t>the nasal spray treatment arm</w:t>
      </w:r>
      <w:r w:rsidR="00536FED" w:rsidRPr="00536FED">
        <w:t>.</w:t>
      </w:r>
    </w:p>
    <w:p w14:paraId="434066F8" w14:textId="40D44D18" w:rsidR="00D32B79" w:rsidRPr="00052113" w:rsidRDefault="00980AA6" w:rsidP="00F01126">
      <w:pPr>
        <w:spacing w:after="120"/>
        <w:jc w:val="both"/>
        <w:rPr>
          <w:i/>
          <w:u w:val="single"/>
        </w:rPr>
      </w:pPr>
      <w:r>
        <w:t>NRT oral spray</w:t>
      </w:r>
      <w:r w:rsidR="00D32B79">
        <w:t xml:space="preserve"> demonstrated a statistically significant </w:t>
      </w:r>
      <w:r>
        <w:t>benefit</w:t>
      </w:r>
      <w:r w:rsidR="00D32B79">
        <w:t xml:space="preserve"> in </w:t>
      </w:r>
      <w:r w:rsidR="00A257A3">
        <w:t xml:space="preserve">long-term </w:t>
      </w:r>
      <w:r w:rsidR="00D32B79">
        <w:t xml:space="preserve">smoking cessation rates </w:t>
      </w:r>
      <w:r>
        <w:t>compared to placebo</w:t>
      </w:r>
      <w:r w:rsidR="00E50FEB">
        <w:t xml:space="preserve"> (Hartmann-Boyce et al. 2018)</w:t>
      </w:r>
      <w:r w:rsidR="00D32B79">
        <w:t>. The results of the updated re-analysis were consistent with the results from Hartmann-Boyce et al. (2018) after including the results from Nides et al. (2020). It was noted that the results of the updated re-analysis were not statistically significant based on risk difference (absolute effect).</w:t>
      </w:r>
    </w:p>
    <w:p w14:paraId="3F102AEF" w14:textId="15D700F0" w:rsidR="00772E34" w:rsidRPr="003D29D3" w:rsidRDefault="00004A71" w:rsidP="00F01126">
      <w:pPr>
        <w:spacing w:after="120"/>
        <w:jc w:val="both"/>
      </w:pPr>
      <w:r w:rsidRPr="009F6AEB">
        <w:t xml:space="preserve">There were no safety results reported from Hartmann-Boyce et al. </w:t>
      </w:r>
      <w:r w:rsidR="00FA1A81">
        <w:t>(</w:t>
      </w:r>
      <w:r w:rsidRPr="009F6AEB">
        <w:t>2018</w:t>
      </w:r>
      <w:r w:rsidR="00FA1A81">
        <w:t>)</w:t>
      </w:r>
      <w:r w:rsidRPr="009F6AEB">
        <w:t xml:space="preserve"> for the study comparing oral spray versus placebo.</w:t>
      </w:r>
      <w:r>
        <w:t xml:space="preserve"> </w:t>
      </w:r>
      <w:r w:rsidR="00E14540">
        <w:t>I</w:t>
      </w:r>
      <w:r w:rsidR="00772E34">
        <w:t xml:space="preserve">n Nides et al. (2020), a </w:t>
      </w:r>
      <w:r w:rsidR="00772E34" w:rsidRPr="003D29D3">
        <w:t xml:space="preserve">significantly higher proportion of patients in the </w:t>
      </w:r>
      <w:r w:rsidR="00772E34">
        <w:t>oral spray</w:t>
      </w:r>
      <w:r w:rsidR="00772E34" w:rsidRPr="003D29D3">
        <w:t xml:space="preserve"> arm experienced any adverse events</w:t>
      </w:r>
      <w:r w:rsidR="00772E34">
        <w:t xml:space="preserve"> </w:t>
      </w:r>
      <w:r w:rsidR="00772E34" w:rsidRPr="003D29D3">
        <w:t>and discontinuation due to adverse events compared with patients in the placebo arm</w:t>
      </w:r>
      <w:r w:rsidR="00772E34">
        <w:t xml:space="preserve">. There were no patients in either arm </w:t>
      </w:r>
      <w:r w:rsidR="00B05056">
        <w:t xml:space="preserve">who </w:t>
      </w:r>
      <w:r w:rsidR="00772E34">
        <w:t>experienc</w:t>
      </w:r>
      <w:r w:rsidR="00B05056">
        <w:t>ed</w:t>
      </w:r>
      <w:r w:rsidR="00772E34">
        <w:t xml:space="preserve"> </w:t>
      </w:r>
      <w:r w:rsidR="00F01126">
        <w:t xml:space="preserve">a </w:t>
      </w:r>
      <w:r w:rsidR="00772E34">
        <w:t>treatment-related serious adverse event.</w:t>
      </w:r>
    </w:p>
    <w:p w14:paraId="2538E4EE" w14:textId="6BAAE318" w:rsidR="00546AC5" w:rsidRPr="007D0F01" w:rsidRDefault="005A3F39" w:rsidP="00F01126">
      <w:pPr>
        <w:spacing w:after="120"/>
        <w:jc w:val="both"/>
      </w:pPr>
      <w:r>
        <w:rPr>
          <w:rFonts w:asciiTheme="minorHAnsi" w:eastAsia="Times New Roman" w:hAnsiTheme="minorHAnsi" w:cs="Times New Roman"/>
          <w:szCs w:val="18"/>
        </w:rPr>
        <w:t>R</w:t>
      </w:r>
      <w:r w:rsidR="00230748">
        <w:t xml:space="preserve">esults </w:t>
      </w:r>
      <w:r>
        <w:t xml:space="preserve">from </w:t>
      </w:r>
      <w:r w:rsidR="008F086A" w:rsidRPr="00F56A95">
        <w:rPr>
          <w:rFonts w:asciiTheme="minorHAnsi" w:eastAsia="Times New Roman" w:hAnsiTheme="minorHAnsi" w:cs="Times New Roman"/>
          <w:szCs w:val="18"/>
        </w:rPr>
        <w:t xml:space="preserve">Hartmann-Boyce et al. </w:t>
      </w:r>
      <w:r w:rsidRPr="00F56A95">
        <w:rPr>
          <w:rFonts w:asciiTheme="minorHAnsi" w:eastAsia="Times New Roman" w:hAnsiTheme="minorHAnsi" w:cs="Times New Roman"/>
          <w:szCs w:val="18"/>
        </w:rPr>
        <w:t>2018</w:t>
      </w:r>
      <w:r w:rsidR="00DB4B7B">
        <w:rPr>
          <w:rFonts w:asciiTheme="minorHAnsi" w:eastAsia="Times New Roman" w:hAnsiTheme="minorHAnsi" w:cs="Times New Roman"/>
          <w:szCs w:val="18"/>
        </w:rPr>
        <w:t xml:space="preserve"> </w:t>
      </w:r>
      <w:r w:rsidR="00230748">
        <w:t>demonstrated</w:t>
      </w:r>
      <w:r w:rsidR="00230748" w:rsidRPr="00657867">
        <w:t xml:space="preserve"> </w:t>
      </w:r>
      <w:r w:rsidR="00230748">
        <w:t>no</w:t>
      </w:r>
      <w:r w:rsidR="00230748" w:rsidRPr="006138C2">
        <w:t xml:space="preserve"> statistically significant di</w:t>
      </w:r>
      <w:r w:rsidR="00230748">
        <w:t>ff</w:t>
      </w:r>
      <w:r w:rsidR="00230748" w:rsidRPr="006138C2">
        <w:t xml:space="preserve">erence </w:t>
      </w:r>
      <w:r w:rsidR="00230748">
        <w:t xml:space="preserve">in </w:t>
      </w:r>
      <w:r w:rsidR="008F086A">
        <w:t xml:space="preserve">long-term </w:t>
      </w:r>
      <w:r w:rsidR="00230748">
        <w:t xml:space="preserve">smoking cessation rates </w:t>
      </w:r>
      <w:r w:rsidR="00207FBC">
        <w:t>between</w:t>
      </w:r>
      <w:r w:rsidR="008F086A">
        <w:t xml:space="preserve"> inhalator + patch </w:t>
      </w:r>
      <w:r w:rsidR="00207FBC">
        <w:t>and</w:t>
      </w:r>
      <w:r w:rsidR="008F086A">
        <w:t xml:space="preserve"> placebo</w:t>
      </w:r>
      <w:r w:rsidR="00230748">
        <w:t xml:space="preserve">, although the results numerically favoured </w:t>
      </w:r>
      <w:r w:rsidR="00F01126">
        <w:t>i</w:t>
      </w:r>
      <w:r w:rsidR="00230748">
        <w:t xml:space="preserve">nhalator and patch combination. </w:t>
      </w:r>
      <w:r w:rsidR="008F086A">
        <w:t xml:space="preserve">In terms of safety, </w:t>
      </w:r>
      <w:r w:rsidR="008F086A">
        <w:rPr>
          <w:rFonts w:asciiTheme="minorHAnsi" w:eastAsia="Times New Roman" w:hAnsiTheme="minorHAnsi" w:cs="Times New Roman"/>
          <w:szCs w:val="18"/>
        </w:rPr>
        <w:t>n</w:t>
      </w:r>
      <w:r w:rsidR="0076604A" w:rsidRPr="00F56A95">
        <w:rPr>
          <w:rFonts w:asciiTheme="minorHAnsi" w:eastAsia="Times New Roman" w:hAnsiTheme="minorHAnsi" w:cs="Times New Roman"/>
          <w:szCs w:val="18"/>
        </w:rPr>
        <w:t xml:space="preserve">o adverse events were reported by Hartmann-Boyce et al. (2018) </w:t>
      </w:r>
      <w:r w:rsidR="00656059">
        <w:rPr>
          <w:rFonts w:asciiTheme="minorHAnsi" w:eastAsia="Times New Roman" w:hAnsiTheme="minorHAnsi" w:cs="Times New Roman"/>
          <w:szCs w:val="18"/>
        </w:rPr>
        <w:t>nor Hand et al. (2002</w:t>
      </w:r>
      <w:r w:rsidR="0076604A" w:rsidRPr="00F56A95">
        <w:rPr>
          <w:rFonts w:asciiTheme="minorHAnsi" w:eastAsia="Times New Roman" w:hAnsiTheme="minorHAnsi" w:cs="Times New Roman"/>
          <w:szCs w:val="18"/>
        </w:rPr>
        <w:t>) for the comparison of inhalator + patch versus placebo.</w:t>
      </w:r>
      <w:r w:rsidR="0076604A" w:rsidRPr="00132A9A">
        <w:rPr>
          <w:rFonts w:asciiTheme="minorHAnsi" w:eastAsia="Times New Roman" w:hAnsiTheme="minorHAnsi" w:cs="Times New Roman"/>
          <w:b/>
          <w:bCs/>
          <w:szCs w:val="18"/>
        </w:rPr>
        <w:t xml:space="preserve"> </w:t>
      </w:r>
    </w:p>
    <w:p w14:paraId="26E61DB8" w14:textId="6293EB4B" w:rsidR="000D728E" w:rsidRDefault="000D728E" w:rsidP="00956FD5">
      <w:pPr>
        <w:sectPr w:rsidR="000D728E" w:rsidSect="006356D2">
          <w:pgSz w:w="11906" w:h="16838"/>
          <w:pgMar w:top="1440" w:right="1440" w:bottom="1440" w:left="1440" w:header="708" w:footer="708" w:gutter="0"/>
          <w:cols w:space="708"/>
          <w:titlePg/>
          <w:docGrid w:linePitch="360"/>
        </w:sectPr>
      </w:pPr>
    </w:p>
    <w:p w14:paraId="4F54A8DB" w14:textId="35BF116B" w:rsidR="0049018A" w:rsidRDefault="00983B47" w:rsidP="00F01126">
      <w:pPr>
        <w:pStyle w:val="Heading3"/>
        <w:spacing w:before="0" w:after="120"/>
        <w:jc w:val="both"/>
      </w:pPr>
      <w:bookmarkStart w:id="202" w:name="_Ref61966685"/>
      <w:bookmarkStart w:id="203" w:name="_Ref61966762"/>
      <w:bookmarkStart w:id="204" w:name="_Toc115254514"/>
      <w:r>
        <w:lastRenderedPageBreak/>
        <w:t>Behavioural interventions in combination with pharmacotherapies</w:t>
      </w:r>
      <w:bookmarkEnd w:id="202"/>
      <w:bookmarkEnd w:id="203"/>
      <w:bookmarkEnd w:id="204"/>
    </w:p>
    <w:p w14:paraId="42593B32" w14:textId="3E9C073C" w:rsidR="00256603" w:rsidRDefault="00EF0051" w:rsidP="00F01126">
      <w:pPr>
        <w:spacing w:after="120"/>
        <w:jc w:val="both"/>
      </w:pPr>
      <w:r>
        <w:t>Th</w:t>
      </w:r>
      <w:r w:rsidR="001E784D">
        <w:t>e</w:t>
      </w:r>
      <w:r>
        <w:t xml:space="preserve"> </w:t>
      </w:r>
      <w:r w:rsidR="00D9524F">
        <w:t xml:space="preserve">aim of this </w:t>
      </w:r>
      <w:r>
        <w:t xml:space="preserve">section </w:t>
      </w:r>
      <w:r w:rsidR="00D9524F">
        <w:t>was</w:t>
      </w:r>
      <w:r>
        <w:t xml:space="preserve"> to e</w:t>
      </w:r>
      <w:r w:rsidRPr="006B1A56">
        <w:t>xamine the importance of comprehensive support and counselling in combination with pharmacotherapies</w:t>
      </w:r>
      <w:r>
        <w:t xml:space="preserve">. </w:t>
      </w:r>
      <w:r w:rsidR="009768CC">
        <w:t xml:space="preserve">In this report, </w:t>
      </w:r>
      <w:r w:rsidR="000128B6">
        <w:t xml:space="preserve">only studies that </w:t>
      </w:r>
      <w:r w:rsidR="009B7068">
        <w:t>assess</w:t>
      </w:r>
      <w:r w:rsidR="006778ED">
        <w:t>ed</w:t>
      </w:r>
      <w:r w:rsidR="00F90691">
        <w:t xml:space="preserve"> the</w:t>
      </w:r>
      <w:r w:rsidR="00617049">
        <w:t xml:space="preserve"> comparative eff</w:t>
      </w:r>
      <w:r w:rsidR="00411104">
        <w:t>icacy</w:t>
      </w:r>
      <w:r w:rsidR="00647D61">
        <w:t xml:space="preserve"> of behavioural interventions</w:t>
      </w:r>
      <w:r w:rsidR="00744C23">
        <w:t xml:space="preserve"> versus minimal or no behavioural interventions (both</w:t>
      </w:r>
      <w:r w:rsidR="00647D61">
        <w:t xml:space="preserve"> in combination with pharmacotherapies</w:t>
      </w:r>
      <w:r w:rsidR="00744C23">
        <w:t>)</w:t>
      </w:r>
      <w:r w:rsidR="00647D61">
        <w:t xml:space="preserve"> were included. </w:t>
      </w:r>
      <w:r w:rsidR="00380BE0">
        <w:t xml:space="preserve">Studies that </w:t>
      </w:r>
      <w:r w:rsidR="0089457E">
        <w:t>compared</w:t>
      </w:r>
      <w:r w:rsidR="00380BE0">
        <w:t xml:space="preserve"> the different types of behavioural strategies were </w:t>
      </w:r>
      <w:r w:rsidR="00916BC9">
        <w:t>included in</w:t>
      </w:r>
      <w:r w:rsidR="00091EE2">
        <w:t xml:space="preserve"> th</w:t>
      </w:r>
      <w:r w:rsidR="00452F38">
        <w:t>e search strategy</w:t>
      </w:r>
      <w:r w:rsidR="00916BC9">
        <w:t>. However</w:t>
      </w:r>
      <w:r w:rsidR="00452F38">
        <w:t xml:space="preserve">, no review was identified that examined the comparative effectiveness and safety of different behavioural </w:t>
      </w:r>
      <w:r w:rsidR="00916BC9">
        <w:t xml:space="preserve">strategies used in conjunction with </w:t>
      </w:r>
      <w:r w:rsidR="00826C95">
        <w:t>pharmacotherapy.</w:t>
      </w:r>
    </w:p>
    <w:p w14:paraId="05111B68" w14:textId="76BDC328" w:rsidR="00632617" w:rsidRPr="00EF0051" w:rsidRDefault="009B02C3" w:rsidP="00F01126">
      <w:pPr>
        <w:spacing w:after="120"/>
        <w:jc w:val="both"/>
      </w:pPr>
      <w:r w:rsidRPr="00F414F9">
        <w:t>To access PBS-subsidised NRT</w:t>
      </w:r>
      <w:r w:rsidR="00C70C9E" w:rsidRPr="00F414F9">
        <w:t xml:space="preserve"> on the general and repatriation schedules</w:t>
      </w:r>
      <w:r w:rsidRPr="00F414F9">
        <w:t>, patients must</w:t>
      </w:r>
      <w:r w:rsidR="004450DB" w:rsidRPr="00F414F9">
        <w:t xml:space="preserve"> have entered </w:t>
      </w:r>
      <w:r w:rsidR="00FA193D" w:rsidRPr="00F414F9">
        <w:t xml:space="preserve">or be </w:t>
      </w:r>
      <w:r w:rsidR="009E0648" w:rsidRPr="00F414F9">
        <w:t xml:space="preserve">entering </w:t>
      </w:r>
      <w:r w:rsidR="0089186E" w:rsidRPr="00F414F9">
        <w:t xml:space="preserve">into </w:t>
      </w:r>
      <w:r w:rsidR="004450DB" w:rsidRPr="00F414F9">
        <w:t>a</w:t>
      </w:r>
      <w:r w:rsidR="00DE1DAC" w:rsidRPr="00F414F9">
        <w:t xml:space="preserve"> </w:t>
      </w:r>
      <w:r w:rsidR="002813FE" w:rsidRPr="00F414F9">
        <w:t xml:space="preserve">comprehensive </w:t>
      </w:r>
      <w:r w:rsidRPr="00F414F9">
        <w:t>support and counselling</w:t>
      </w:r>
      <w:r w:rsidR="004450DB" w:rsidRPr="00F414F9">
        <w:t xml:space="preserve"> p</w:t>
      </w:r>
      <w:r w:rsidR="00611BBF" w:rsidRPr="00F414F9">
        <w:t>rogram</w:t>
      </w:r>
      <w:r w:rsidR="00821286" w:rsidRPr="00F414F9">
        <w:t>. D</w:t>
      </w:r>
      <w:r w:rsidR="00611BBF" w:rsidRPr="00F414F9">
        <w:t xml:space="preserve">etails about the program </w:t>
      </w:r>
      <w:r w:rsidR="0089186E" w:rsidRPr="00F414F9">
        <w:t>must</w:t>
      </w:r>
      <w:r w:rsidR="00803125" w:rsidRPr="00F414F9">
        <w:t xml:space="preserve"> be </w:t>
      </w:r>
      <w:r w:rsidR="00611BBF" w:rsidRPr="00F414F9">
        <w:t xml:space="preserve">documented in the </w:t>
      </w:r>
      <w:r w:rsidR="001E2565" w:rsidRPr="00F414F9">
        <w:t>patient’s medical records</w:t>
      </w:r>
      <w:r w:rsidR="00803125" w:rsidRPr="00F414F9">
        <w:t xml:space="preserve"> under the </w:t>
      </w:r>
      <w:r w:rsidR="001E2565" w:rsidRPr="00F414F9">
        <w:t xml:space="preserve">general schedule only. For the </w:t>
      </w:r>
      <w:r w:rsidR="008424DC" w:rsidRPr="008424DC">
        <w:t>Aboriginal and Torres Strait Islander</w:t>
      </w:r>
      <w:r w:rsidR="001E2565" w:rsidRPr="00F414F9">
        <w:t xml:space="preserve"> listing</w:t>
      </w:r>
      <w:r w:rsidR="003908D8">
        <w:t>s</w:t>
      </w:r>
      <w:r w:rsidR="001E2565" w:rsidRPr="00F414F9">
        <w:t xml:space="preserve">, </w:t>
      </w:r>
      <w:r w:rsidR="00E57E40" w:rsidRPr="00F414F9">
        <w:t>the prescribing note indicate</w:t>
      </w:r>
      <w:r w:rsidR="00FC276D">
        <w:t>d</w:t>
      </w:r>
      <w:r w:rsidR="00E57E40" w:rsidRPr="00F414F9">
        <w:t xml:space="preserve"> </w:t>
      </w:r>
      <w:r w:rsidR="002811B2">
        <w:t xml:space="preserve">an </w:t>
      </w:r>
      <w:r w:rsidR="00803125" w:rsidRPr="00F414F9">
        <w:t>“</w:t>
      </w:r>
      <w:r w:rsidR="000A01BC" w:rsidRPr="00F414F9">
        <w:t>improved benefit</w:t>
      </w:r>
      <w:r w:rsidR="007E31C5" w:rsidRPr="00F414F9">
        <w:t xml:space="preserve"> from NRT if used in conjunction with </w:t>
      </w:r>
      <w:r w:rsidR="00632617" w:rsidRPr="00F414F9">
        <w:t>a comprehensive support and counselling program</w:t>
      </w:r>
      <w:r w:rsidR="00803125" w:rsidRPr="00F414F9">
        <w:t>”</w:t>
      </w:r>
      <w:r w:rsidR="00632617" w:rsidRPr="00F414F9">
        <w:t>.</w:t>
      </w:r>
    </w:p>
    <w:p w14:paraId="57D02EA3" w14:textId="5CA9249F" w:rsidR="00861B45" w:rsidRPr="00F414F9" w:rsidRDefault="007660F0" w:rsidP="00F01126">
      <w:pPr>
        <w:spacing w:after="120"/>
        <w:jc w:val="both"/>
      </w:pPr>
      <w:r w:rsidRPr="00F414F9">
        <w:t xml:space="preserve">For bupropion and varenicline, </w:t>
      </w:r>
      <w:r w:rsidR="00F5744C" w:rsidRPr="00F414F9">
        <w:t xml:space="preserve">the PBS treatment criteria </w:t>
      </w:r>
      <w:r w:rsidR="00CA581F" w:rsidRPr="00F414F9">
        <w:t xml:space="preserve">also </w:t>
      </w:r>
      <w:r w:rsidR="00F5744C" w:rsidRPr="00F414F9">
        <w:t xml:space="preserve">indicated that </w:t>
      </w:r>
      <w:r w:rsidR="00CA581F" w:rsidRPr="00F414F9">
        <w:t xml:space="preserve">the patient must be </w:t>
      </w:r>
      <w:r w:rsidR="000D332A" w:rsidRPr="00F414F9">
        <w:t>undergoing concurrent</w:t>
      </w:r>
      <w:r w:rsidR="007E4D7C" w:rsidRPr="00F414F9">
        <w:t xml:space="preserve"> counselling for smoking cessation</w:t>
      </w:r>
      <w:r w:rsidR="003E60F4" w:rsidRPr="00F414F9">
        <w:t xml:space="preserve"> through</w:t>
      </w:r>
      <w:r w:rsidR="0087592E" w:rsidRPr="00F414F9">
        <w:t xml:space="preserve"> </w:t>
      </w:r>
      <w:r w:rsidR="003E60F4" w:rsidRPr="00F414F9">
        <w:t>a comprehensive counselling and support program</w:t>
      </w:r>
      <w:r w:rsidR="00F93AC9" w:rsidRPr="00F414F9">
        <w:t>. For</w:t>
      </w:r>
      <w:r w:rsidR="00821286" w:rsidRPr="00F414F9">
        <w:t xml:space="preserve"> varenicline, </w:t>
      </w:r>
      <w:r w:rsidR="00F93AC9" w:rsidRPr="00F414F9">
        <w:t xml:space="preserve">patients could also be </w:t>
      </w:r>
      <w:r w:rsidR="00550447" w:rsidRPr="00F414F9">
        <w:t xml:space="preserve">about to enter </w:t>
      </w:r>
      <w:r w:rsidR="00A0066F" w:rsidRPr="00F414F9">
        <w:t>such a program at the time of treatment initiation</w:t>
      </w:r>
      <w:r w:rsidR="001E7766" w:rsidRPr="00F414F9">
        <w:t>. Details of the program w</w:t>
      </w:r>
      <w:r w:rsidR="003908D8">
        <w:t>ere</w:t>
      </w:r>
      <w:r w:rsidR="001E7766" w:rsidRPr="00F414F9">
        <w:t xml:space="preserve"> required to be entered into patients</w:t>
      </w:r>
      <w:r w:rsidR="00A85AE0" w:rsidRPr="00F414F9">
        <w:t>’</w:t>
      </w:r>
      <w:r w:rsidR="001E7766" w:rsidRPr="00F414F9">
        <w:t xml:space="preserve"> medical records </w:t>
      </w:r>
      <w:r w:rsidR="00F93AC9" w:rsidRPr="00F414F9">
        <w:t xml:space="preserve">upon initiation of bupropion </w:t>
      </w:r>
      <w:r w:rsidR="006765F8" w:rsidRPr="00F414F9">
        <w:t>or varenicline but not during other treatment phases.</w:t>
      </w:r>
      <w:r w:rsidR="001E7766" w:rsidRPr="00F414F9">
        <w:t xml:space="preserve"> </w:t>
      </w:r>
      <w:r w:rsidR="006765F8" w:rsidRPr="00F414F9">
        <w:t>Use of a</w:t>
      </w:r>
      <w:r w:rsidR="001E7766" w:rsidRPr="00F414F9">
        <w:t xml:space="preserve"> </w:t>
      </w:r>
      <w:r w:rsidR="00A85AE0" w:rsidRPr="00F414F9">
        <w:t>counselling and support program was also required throughout the course</w:t>
      </w:r>
      <w:r w:rsidR="00A0066F" w:rsidRPr="00F414F9">
        <w:t xml:space="preserve"> of treatment</w:t>
      </w:r>
      <w:r w:rsidR="00861B45" w:rsidRPr="00F414F9">
        <w:t xml:space="preserve"> with varenicline or bupropion</w:t>
      </w:r>
      <w:r w:rsidR="00A0066F" w:rsidRPr="00F414F9">
        <w:t>.</w:t>
      </w:r>
    </w:p>
    <w:p w14:paraId="2E1A4BD9" w14:textId="32DE0C36" w:rsidR="0033475C" w:rsidRDefault="00CA16FF" w:rsidP="00F01126">
      <w:pPr>
        <w:spacing w:after="120"/>
        <w:jc w:val="both"/>
      </w:pPr>
      <w:r w:rsidRPr="00F414F9">
        <w:t xml:space="preserve">Specific details about the nature of </w:t>
      </w:r>
      <w:r w:rsidR="00493CF9" w:rsidRPr="00F414F9">
        <w:t xml:space="preserve">the support and counselling </w:t>
      </w:r>
      <w:r w:rsidR="003401E5" w:rsidRPr="00F414F9">
        <w:t xml:space="preserve">program </w:t>
      </w:r>
      <w:r w:rsidR="00FC276D">
        <w:t>were</w:t>
      </w:r>
      <w:r w:rsidR="00FC276D" w:rsidRPr="00F414F9">
        <w:t xml:space="preserve"> </w:t>
      </w:r>
      <w:r w:rsidR="003401E5" w:rsidRPr="00F414F9">
        <w:t>not articulated in the PBS listings for smoking cessation therapies.</w:t>
      </w:r>
    </w:p>
    <w:p w14:paraId="79C120B9" w14:textId="62D52F3E" w:rsidR="00846CB6" w:rsidRDefault="00DD3A5D" w:rsidP="00F01126">
      <w:pPr>
        <w:spacing w:after="120"/>
        <w:jc w:val="both"/>
      </w:pPr>
      <w:r>
        <w:t>A s</w:t>
      </w:r>
      <w:r w:rsidR="00846CB6">
        <w:t xml:space="preserve">ummary of </w:t>
      </w:r>
      <w:r w:rsidR="002811B2">
        <w:t xml:space="preserve">the </w:t>
      </w:r>
      <w:r w:rsidR="00846CB6">
        <w:t xml:space="preserve">behavioural interventions included in the primary evidence </w:t>
      </w:r>
      <w:r w:rsidR="00933C84">
        <w:t>for bupropion, varenicline and NRT</w:t>
      </w:r>
      <w:r w:rsidR="00846CB6">
        <w:t xml:space="preserve"> </w:t>
      </w:r>
      <w:r w:rsidR="00334B59">
        <w:t>patches</w:t>
      </w:r>
      <w:r w:rsidR="00846CB6">
        <w:t xml:space="preserve"> reviewed by </w:t>
      </w:r>
      <w:r w:rsidR="002811B2">
        <w:t xml:space="preserve">the </w:t>
      </w:r>
      <w:r w:rsidR="00846CB6">
        <w:t>PBAC (</w:t>
      </w:r>
      <w:r w:rsidR="00CC0A59">
        <w:t>five</w:t>
      </w:r>
      <w:r w:rsidR="00846CB6">
        <w:t xml:space="preserve"> RCTs) is presented in</w:t>
      </w:r>
      <w:r w:rsidR="00CC0A59">
        <w:t xml:space="preserve"> Table 116. </w:t>
      </w:r>
      <w:r w:rsidR="00BA18C8">
        <w:t>T</w:t>
      </w:r>
      <w:r w:rsidR="00846CB6">
        <w:t xml:space="preserve">he behavioural interventions </w:t>
      </w:r>
      <w:r w:rsidR="00BA18C8">
        <w:t>provided in the</w:t>
      </w:r>
      <w:r w:rsidR="00736AFB">
        <w:t>se</w:t>
      </w:r>
      <w:r w:rsidR="00BA18C8">
        <w:t xml:space="preserve"> stud</w:t>
      </w:r>
      <w:r w:rsidR="00736AFB">
        <w:t>ies</w:t>
      </w:r>
      <w:r w:rsidR="00BA18C8">
        <w:t xml:space="preserve"> </w:t>
      </w:r>
      <w:r w:rsidR="00846CB6">
        <w:t xml:space="preserve">comprised brief individual counselling sessions (10 </w:t>
      </w:r>
      <w:r w:rsidR="0069210E">
        <w:t>to 15</w:t>
      </w:r>
      <w:r w:rsidR="00846CB6">
        <w:t xml:space="preserve"> minutes or less) </w:t>
      </w:r>
      <w:r w:rsidR="00EC4712">
        <w:t xml:space="preserve">administered to both arms </w:t>
      </w:r>
      <w:r w:rsidR="00846CB6">
        <w:t>at each follow-up visit. Only one RCT (</w:t>
      </w:r>
      <w:r w:rsidR="00846CB6" w:rsidRPr="00FC1131">
        <w:t>Gonzales 2006</w:t>
      </w:r>
      <w:r w:rsidR="00846CB6">
        <w:t>) reported that the counselling sessions were standardised, and one RCT (</w:t>
      </w:r>
      <w:r w:rsidR="00A74DE4" w:rsidRPr="00A74DE4">
        <w:rPr>
          <w:color w:val="000000"/>
          <w:spacing w:val="1"/>
          <w:w w:val="53"/>
          <w:shd w:val="solid" w:color="000000" w:fill="000000"/>
          <w:fitText w:val="1250" w:id="-1402751488"/>
          <w14:textFill>
            <w14:solidFill>
              <w14:srgbClr w14:val="000000">
                <w14:alpha w14:val="100000"/>
              </w14:srgbClr>
            </w14:solidFill>
          </w14:textFill>
        </w:rPr>
        <w:t>||||||||||  |||||||||</w:t>
      </w:r>
      <w:r w:rsidR="00A74DE4" w:rsidRPr="00A74DE4">
        <w:rPr>
          <w:color w:val="000000"/>
          <w:spacing w:val="2"/>
          <w:w w:val="53"/>
          <w:shd w:val="solid" w:color="000000" w:fill="000000"/>
          <w:fitText w:val="1250" w:id="-1402751488"/>
          <w14:textFill>
            <w14:solidFill>
              <w14:srgbClr w14:val="000000">
                <w14:alpha w14:val="100000"/>
              </w14:srgbClr>
            </w14:solidFill>
          </w14:textFill>
        </w:rPr>
        <w:t>|</w:t>
      </w:r>
      <w:r w:rsidR="00846CB6">
        <w:t xml:space="preserve">) </w:t>
      </w:r>
      <w:r w:rsidR="00CA404F">
        <w:t>reported</w:t>
      </w:r>
      <w:r w:rsidR="00846CB6">
        <w:t xml:space="preserve"> the counselling topics </w:t>
      </w:r>
      <w:r w:rsidR="00846CB6" w:rsidRPr="00A21E99">
        <w:t>included motivation, identification of smoking triggers, coping responses, weight management, and use of the medications.</w:t>
      </w:r>
      <w:r w:rsidR="000B62B1">
        <w:t xml:space="preserve"> </w:t>
      </w:r>
      <w:r w:rsidR="00ED6540">
        <w:t>I</w:t>
      </w:r>
      <w:r w:rsidR="00846CB6">
        <w:t xml:space="preserve">n four </w:t>
      </w:r>
      <w:r w:rsidR="0032641A">
        <w:t>studie</w:t>
      </w:r>
      <w:r w:rsidR="00846CB6">
        <w:t>s (</w:t>
      </w:r>
      <w:r w:rsidR="00A74DE4" w:rsidRPr="00A74DE4">
        <w:rPr>
          <w:color w:val="000000"/>
          <w:w w:val="55"/>
          <w:shd w:val="solid" w:color="000000" w:fill="000000"/>
          <w:fitText w:val="2390" w:id="-1402751487"/>
          <w14:textFill>
            <w14:solidFill>
              <w14:srgbClr w14:val="000000">
                <w14:alpha w14:val="100000"/>
              </w14:srgbClr>
            </w14:solidFill>
          </w14:textFill>
        </w:rPr>
        <w:t xml:space="preserve">|||||||||||||||||||  </w:t>
      </w:r>
      <w:r w:rsidR="00A74DE4" w:rsidRPr="00A74DE4">
        <w:rPr>
          <w:color w:val="000000"/>
          <w:w w:val="55"/>
          <w:highlight w:val="black"/>
          <w:shd w:val="solid" w:color="000000" w:fill="000000"/>
          <w:fitText w:val="2390" w:id="-1402751487"/>
          <w14:textFill>
            <w14:solidFill>
              <w14:srgbClr w14:val="000000">
                <w14:alpha w14:val="100000"/>
              </w14:srgbClr>
            </w14:solidFill>
          </w14:textFill>
        </w:rPr>
        <w:t>||||||||||||||||||</w:t>
      </w:r>
      <w:r w:rsidR="00A74DE4" w:rsidRPr="00A74DE4">
        <w:rPr>
          <w:color w:val="000000"/>
          <w:spacing w:val="23"/>
          <w:w w:val="55"/>
          <w:highlight w:val="black"/>
          <w:shd w:val="solid" w:color="000000" w:fill="000000"/>
          <w:fitText w:val="2390" w:id="-1402751487"/>
          <w14:textFill>
            <w14:solidFill>
              <w14:srgbClr w14:val="000000">
                <w14:alpha w14:val="100000"/>
              </w14:srgbClr>
            </w14:solidFill>
          </w14:textFill>
        </w:rPr>
        <w:t>|</w:t>
      </w:r>
      <w:r w:rsidR="00846CB6" w:rsidRPr="00A74DE4">
        <w:rPr>
          <w:highlight w:val="black"/>
          <w:shd w:val="clear" w:color="auto" w:fill="C0C0C1"/>
        </w:rPr>
        <w:t>,</w:t>
      </w:r>
      <w:r w:rsidR="00846CB6">
        <w:t xml:space="preserve"> </w:t>
      </w:r>
      <w:r w:rsidR="00846CB6" w:rsidRPr="00476421">
        <w:t>Gonzales 2006</w:t>
      </w:r>
      <w:r w:rsidR="00846CB6">
        <w:t xml:space="preserve"> and </w:t>
      </w:r>
      <w:r w:rsidR="00846CB6" w:rsidRPr="00E026E3">
        <w:t>Aubin 2008)</w:t>
      </w:r>
      <w:r w:rsidR="00ED6540">
        <w:t xml:space="preserve">, </w:t>
      </w:r>
      <w:r w:rsidR="00ED6540" w:rsidRPr="00ED6540">
        <w:t>self-help material was provided at baseline in addition to counselling</w:t>
      </w:r>
      <w:r w:rsidR="00846CB6">
        <w:t xml:space="preserve">. </w:t>
      </w:r>
    </w:p>
    <w:p w14:paraId="5B94EC8E" w14:textId="77777777" w:rsidR="002811B2" w:rsidRDefault="002811B2">
      <w:pPr>
        <w:spacing w:line="276" w:lineRule="auto"/>
        <w:rPr>
          <w:rFonts w:asciiTheme="minorHAnsi" w:eastAsia="Times New Roman" w:hAnsiTheme="minorHAnsi" w:cs="Times New Roman"/>
          <w:b/>
          <w:bCs/>
          <w:szCs w:val="18"/>
        </w:rPr>
      </w:pPr>
      <w:bookmarkStart w:id="205" w:name="_Ref66300944"/>
      <w:r>
        <w:br w:type="page"/>
      </w:r>
    </w:p>
    <w:p w14:paraId="7894F5B2" w14:textId="30EE05BC" w:rsidR="00240680" w:rsidRDefault="00240680" w:rsidP="002811B2">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116</w:t>
      </w:r>
      <w:r w:rsidR="00BF3F75">
        <w:rPr>
          <w:noProof/>
        </w:rPr>
        <w:fldChar w:fldCharType="end"/>
      </w:r>
      <w:bookmarkEnd w:id="205"/>
      <w:r>
        <w:t xml:space="preserve">: </w:t>
      </w:r>
      <w:r w:rsidRPr="00173450">
        <w:t>Summary of behavioural interventions provided in the pivotal PBAC evidence</w:t>
      </w:r>
    </w:p>
    <w:tbl>
      <w:tblPr>
        <w:tblStyle w:val="TableGrid"/>
        <w:tblW w:w="5000" w:type="pct"/>
        <w:tblLook w:val="04A0" w:firstRow="1" w:lastRow="0" w:firstColumn="1" w:lastColumn="0" w:noHBand="0" w:noVBand="1"/>
      </w:tblPr>
      <w:tblGrid>
        <w:gridCol w:w="1450"/>
        <w:gridCol w:w="3242"/>
        <w:gridCol w:w="4324"/>
      </w:tblGrid>
      <w:tr w:rsidR="00240680" w14:paraId="60D83E09" w14:textId="77777777" w:rsidTr="00500E0D">
        <w:tc>
          <w:tcPr>
            <w:tcW w:w="804" w:type="pct"/>
            <w:tcBorders>
              <w:bottom w:val="single" w:sz="4" w:space="0" w:color="auto"/>
            </w:tcBorders>
            <w:shd w:val="clear" w:color="auto" w:fill="BFBFBF" w:themeFill="background1" w:themeFillShade="BF"/>
          </w:tcPr>
          <w:p w14:paraId="3620C1D6" w14:textId="77777777" w:rsidR="00240680" w:rsidRPr="0004728C" w:rsidRDefault="00240680" w:rsidP="002321A9">
            <w:pPr>
              <w:rPr>
                <w:b/>
                <w:bCs/>
              </w:rPr>
            </w:pPr>
            <w:r w:rsidRPr="0004728C">
              <w:rPr>
                <w:b/>
                <w:bCs/>
              </w:rPr>
              <w:t>Study</w:t>
            </w:r>
          </w:p>
        </w:tc>
        <w:tc>
          <w:tcPr>
            <w:tcW w:w="1798" w:type="pct"/>
            <w:shd w:val="clear" w:color="auto" w:fill="BFBFBF" w:themeFill="background1" w:themeFillShade="BF"/>
          </w:tcPr>
          <w:p w14:paraId="21B91000" w14:textId="77777777" w:rsidR="00240680" w:rsidRPr="0004728C" w:rsidRDefault="00240680" w:rsidP="002321A9">
            <w:pPr>
              <w:jc w:val="center"/>
              <w:rPr>
                <w:b/>
                <w:bCs/>
              </w:rPr>
            </w:pPr>
            <w:r w:rsidRPr="0004728C">
              <w:rPr>
                <w:rFonts w:eastAsia="MS Mincho"/>
                <w:b/>
                <w:bCs/>
              </w:rPr>
              <w:t>Intervention and comparator</w:t>
            </w:r>
          </w:p>
        </w:tc>
        <w:tc>
          <w:tcPr>
            <w:tcW w:w="2399" w:type="pct"/>
            <w:shd w:val="clear" w:color="auto" w:fill="BFBFBF" w:themeFill="background1" w:themeFillShade="BF"/>
          </w:tcPr>
          <w:p w14:paraId="53A7A0FF" w14:textId="77777777" w:rsidR="00240680" w:rsidRPr="0004728C" w:rsidRDefault="00240680" w:rsidP="002321A9">
            <w:pPr>
              <w:jc w:val="center"/>
              <w:rPr>
                <w:b/>
                <w:bCs/>
              </w:rPr>
            </w:pPr>
            <w:r w:rsidRPr="0004728C">
              <w:rPr>
                <w:rFonts w:eastAsia="MS Mincho"/>
                <w:b/>
                <w:bCs/>
              </w:rPr>
              <w:t>Behavioural intervention</w:t>
            </w:r>
          </w:p>
        </w:tc>
      </w:tr>
      <w:tr w:rsidR="00240680" w14:paraId="10867B82" w14:textId="77777777" w:rsidTr="00711A19">
        <w:tc>
          <w:tcPr>
            <w:tcW w:w="804" w:type="pct"/>
            <w:tcBorders>
              <w:bottom w:val="single" w:sz="4" w:space="0" w:color="auto"/>
            </w:tcBorders>
            <w:shd w:val="solid" w:color="000000" w:fill="000000"/>
          </w:tcPr>
          <w:p w14:paraId="62D0D295" w14:textId="64DEE1BE" w:rsidR="00240680" w:rsidRPr="00500E0D" w:rsidRDefault="00500E0D" w:rsidP="002321A9">
            <w:pPr>
              <w:rPr>
                <w:rFonts w:eastAsia="MS Mincho"/>
              </w:rPr>
            </w:pPr>
            <w:r w:rsidRPr="00BF3F75">
              <w:rPr>
                <w:rFonts w:eastAsia="MS Mincho"/>
                <w:color w:val="000000"/>
                <w:spacing w:val="1"/>
                <w:w w:val="74"/>
                <w:highlight w:val="black"/>
                <w:shd w:val="clear" w:color="auto" w:fill="C0C0C1"/>
                <w:fitText w:val="820" w:id="-1402750976"/>
                <w14:textFill>
                  <w14:solidFill>
                    <w14:srgbClr w14:val="000000">
                      <w14:alpha w14:val="100000"/>
                    </w14:srgbClr>
                  </w14:solidFill>
                </w14:textFill>
              </w:rPr>
              <w:t>|||||||||||</w:t>
            </w:r>
            <w:r w:rsidRPr="00BF3F75">
              <w:rPr>
                <w:rFonts w:eastAsia="MS Mincho"/>
                <w:color w:val="000000"/>
                <w:spacing w:val="5"/>
                <w:w w:val="74"/>
                <w:highlight w:val="black"/>
                <w:shd w:val="clear" w:color="auto" w:fill="C0C0C1"/>
                <w:fitText w:val="820" w:id="-1402750976"/>
                <w14:textFill>
                  <w14:solidFill>
                    <w14:srgbClr w14:val="000000">
                      <w14:alpha w14:val="100000"/>
                    </w14:srgbClr>
                  </w14:solidFill>
                </w14:textFill>
              </w:rPr>
              <w:t>|</w:t>
            </w:r>
          </w:p>
        </w:tc>
        <w:tc>
          <w:tcPr>
            <w:tcW w:w="1798" w:type="pct"/>
          </w:tcPr>
          <w:p w14:paraId="18C82F36" w14:textId="157F561E" w:rsidR="00711A19" w:rsidRDefault="00711A19" w:rsidP="006E7589">
            <w:pPr>
              <w:pStyle w:val="Tablewriting"/>
              <w:keepNext/>
              <w:ind w:left="360"/>
              <w:rPr>
                <w:rFonts w:eastAsia="MS Mincho"/>
                <w:shd w:val="clear" w:color="auto" w:fill="C0C0C1"/>
              </w:rPr>
            </w:pPr>
            <w:r w:rsidRPr="00711A19">
              <w:rPr>
                <w:rFonts w:eastAsia="MS Mincho"/>
                <w:color w:val="000000"/>
                <w:w w:val="71"/>
                <w:highlight w:val="black"/>
                <w:shd w:val="solid" w:color="000000" w:fill="000000"/>
                <w:fitText w:val="1840" w:id="-1402748416"/>
                <w14:textFill>
                  <w14:solidFill>
                    <w14:srgbClr w14:val="000000">
                      <w14:alpha w14:val="100000"/>
                    </w14:srgbClr>
                  </w14:solidFill>
                </w14:textFill>
              </w:rPr>
              <w:t>|||||||||||||||||||||||||||</w:t>
            </w:r>
            <w:r w:rsidRPr="00711A19">
              <w:rPr>
                <w:rFonts w:eastAsia="MS Mincho"/>
                <w:color w:val="000000"/>
                <w:spacing w:val="10"/>
                <w:w w:val="71"/>
                <w:highlight w:val="black"/>
                <w:shd w:val="solid" w:color="000000" w:fill="000000"/>
                <w:fitText w:val="1840" w:id="-1402748416"/>
                <w14:textFill>
                  <w14:solidFill>
                    <w14:srgbClr w14:val="000000">
                      <w14:alpha w14:val="100000"/>
                    </w14:srgbClr>
                  </w14:solidFill>
                </w14:textFill>
              </w:rPr>
              <w:t>|</w:t>
            </w:r>
            <w:r w:rsidRPr="00711A19">
              <w:rPr>
                <w:rFonts w:eastAsia="MS Mincho"/>
                <w:highlight w:val="black"/>
                <w:shd w:val="clear" w:color="auto" w:fill="C0C0C1"/>
              </w:rPr>
              <w:t xml:space="preserve"> </w:t>
            </w:r>
            <w:r w:rsidRPr="00BF3F75">
              <w:rPr>
                <w:rFonts w:eastAsia="MS Mincho" w:hint="eastAsia"/>
                <w:color w:val="000000"/>
                <w:w w:val="15"/>
                <w:highlight w:val="black"/>
                <w:shd w:val="solid" w:color="000000" w:fill="000000"/>
                <w:fitText w:val="10" w:id="-1402748415"/>
                <w14:textFill>
                  <w14:solidFill>
                    <w14:srgbClr w14:val="000000">
                      <w14:alpha w14:val="100000"/>
                    </w14:srgbClr>
                  </w14:solidFill>
                </w14:textFill>
              </w:rPr>
              <w:t xml:space="preserve">　</w:t>
            </w:r>
            <w:r w:rsidRPr="00BF3F75">
              <w:rPr>
                <w:rFonts w:eastAsia="MS Mincho"/>
                <w:color w:val="000000"/>
                <w:w w:val="15"/>
                <w:highlight w:val="black"/>
                <w:shd w:val="solid" w:color="000000" w:fill="000000"/>
                <w:fitText w:val="10" w:id="-1402748415"/>
                <w14:textFill>
                  <w14:solidFill>
                    <w14:srgbClr w14:val="000000">
                      <w14:alpha w14:val="100000"/>
                    </w14:srgbClr>
                  </w14:solidFill>
                </w14:textFill>
              </w:rPr>
              <w:t>|</w:t>
            </w:r>
            <w:r w:rsidRPr="00BF3F75">
              <w:rPr>
                <w:rFonts w:eastAsia="MS Mincho" w:hint="eastAsia"/>
                <w:color w:val="000000"/>
                <w:spacing w:val="-63"/>
                <w:w w:val="15"/>
                <w:shd w:val="solid" w:color="000000" w:fill="000000"/>
                <w:fitText w:val="10" w:id="-1402748415"/>
                <w14:textFill>
                  <w14:solidFill>
                    <w14:srgbClr w14:val="000000">
                      <w14:alpha w14:val="100000"/>
                    </w14:srgbClr>
                  </w14:solidFill>
                </w14:textFill>
              </w:rPr>
              <w:t xml:space="preserve">　</w:t>
            </w:r>
          </w:p>
          <w:p w14:paraId="5A777B2E" w14:textId="3F5F7B48" w:rsidR="00711A19" w:rsidRDefault="00711A19" w:rsidP="006E7589">
            <w:pPr>
              <w:pStyle w:val="Tablewriting"/>
              <w:keepNext/>
              <w:ind w:left="360"/>
              <w:rPr>
                <w:rFonts w:eastAsia="MS Mincho"/>
                <w:shd w:val="clear" w:color="auto" w:fill="C0C0C1"/>
              </w:rPr>
            </w:pPr>
            <w:r w:rsidRPr="00711A19">
              <w:rPr>
                <w:rFonts w:eastAsia="MS Mincho"/>
                <w:color w:val="000000"/>
                <w:w w:val="71"/>
                <w:shd w:val="solid" w:color="000000" w:fill="000000"/>
                <w:fitText w:val="1450" w:id="-1402748414"/>
                <w14:textFill>
                  <w14:solidFill>
                    <w14:srgbClr w14:val="000000">
                      <w14:alpha w14:val="100000"/>
                    </w14:srgbClr>
                  </w14:solidFill>
                </w14:textFill>
              </w:rPr>
              <w:t>|||||||||||||||||||||</w:t>
            </w:r>
            <w:r w:rsidRPr="00711A19">
              <w:rPr>
                <w:rFonts w:eastAsia="MS Mincho"/>
                <w:color w:val="000000"/>
                <w:spacing w:val="12"/>
                <w:w w:val="71"/>
                <w:shd w:val="solid" w:color="000000" w:fill="000000"/>
                <w:fitText w:val="1450" w:id="-1402748414"/>
                <w14:textFill>
                  <w14:solidFill>
                    <w14:srgbClr w14:val="000000">
                      <w14:alpha w14:val="100000"/>
                    </w14:srgbClr>
                  </w14:solidFill>
                </w14:textFill>
              </w:rPr>
              <w:t>|</w:t>
            </w:r>
          </w:p>
          <w:p w14:paraId="6442B352" w14:textId="668A50FA" w:rsidR="00711A19" w:rsidRDefault="00711A19" w:rsidP="006E7589">
            <w:pPr>
              <w:pStyle w:val="Tablewriting"/>
              <w:keepNext/>
              <w:ind w:left="360"/>
              <w:rPr>
                <w:rFonts w:eastAsia="MS Mincho"/>
                <w:shd w:val="clear" w:color="auto" w:fill="C0C0C1"/>
              </w:rPr>
            </w:pPr>
            <w:r w:rsidRPr="00711A19">
              <w:rPr>
                <w:rFonts w:eastAsia="MS Mincho"/>
                <w:color w:val="000000"/>
                <w:w w:val="71"/>
                <w:shd w:val="solid" w:color="000000" w:fill="000000"/>
                <w:fitText w:val="1450" w:id="-1402748413"/>
                <w14:textFill>
                  <w14:solidFill>
                    <w14:srgbClr w14:val="000000">
                      <w14:alpha w14:val="100000"/>
                    </w14:srgbClr>
                  </w14:solidFill>
                </w14:textFill>
              </w:rPr>
              <w:t>|||||||||||||||||||||</w:t>
            </w:r>
            <w:r w:rsidRPr="00711A19">
              <w:rPr>
                <w:rFonts w:eastAsia="MS Mincho"/>
                <w:color w:val="000000"/>
                <w:spacing w:val="12"/>
                <w:w w:val="71"/>
                <w:shd w:val="solid" w:color="000000" w:fill="000000"/>
                <w:fitText w:val="1450" w:id="-1402748413"/>
                <w14:textFill>
                  <w14:solidFill>
                    <w14:srgbClr w14:val="000000">
                      <w14:alpha w14:val="100000"/>
                    </w14:srgbClr>
                  </w14:solidFill>
                </w14:textFill>
              </w:rPr>
              <w:t>|</w:t>
            </w:r>
          </w:p>
          <w:p w14:paraId="35510DE1" w14:textId="3429A2DD" w:rsidR="00711A19" w:rsidRDefault="00711A19" w:rsidP="006E7589">
            <w:pPr>
              <w:pStyle w:val="Tablewriting"/>
              <w:keepNext/>
              <w:ind w:left="360"/>
              <w:rPr>
                <w:rFonts w:eastAsia="MS Mincho"/>
                <w:shd w:val="clear" w:color="auto" w:fill="C0C0C1"/>
              </w:rPr>
            </w:pPr>
            <w:r w:rsidRPr="00711A19">
              <w:rPr>
                <w:rFonts w:eastAsia="MS Mincho"/>
                <w:color w:val="000000"/>
                <w:shd w:val="solid" w:color="000000" w:fill="000000"/>
                <w:fitText w:val="180" w:id="-1402748412"/>
                <w14:textFill>
                  <w14:solidFill>
                    <w14:srgbClr w14:val="000000">
                      <w14:alpha w14:val="100000"/>
                    </w14:srgbClr>
                  </w14:solidFill>
                </w14:textFill>
              </w:rPr>
              <w:t>||</w:t>
            </w:r>
          </w:p>
          <w:p w14:paraId="6653CA66" w14:textId="6DE640CE" w:rsidR="00240680" w:rsidRPr="000F3331" w:rsidRDefault="00240680" w:rsidP="006E7589">
            <w:pPr>
              <w:pStyle w:val="Tablewriting"/>
              <w:keepNext/>
              <w:ind w:left="360"/>
              <w:rPr>
                <w:rFonts w:eastAsia="MS Mincho" w:cstheme="minorHAnsi"/>
                <w:highlight w:val="green"/>
              </w:rPr>
            </w:pPr>
          </w:p>
        </w:tc>
        <w:tc>
          <w:tcPr>
            <w:tcW w:w="2399" w:type="pct"/>
          </w:tcPr>
          <w:p w14:paraId="3788A749" w14:textId="6DB3B571" w:rsidR="00240680" w:rsidRPr="000F3331" w:rsidRDefault="00711A19" w:rsidP="002321A9">
            <w:pPr>
              <w:rPr>
                <w:rFonts w:eastAsia="MS Mincho" w:cstheme="minorHAnsi"/>
                <w:highlight w:val="green"/>
              </w:rPr>
            </w:pPr>
            <w:r w:rsidRPr="00BF3F75">
              <w:rPr>
                <w:rFonts w:eastAsia="MS Mincho" w:cstheme="minorHAnsi"/>
                <w:color w:val="000000"/>
                <w:spacing w:val="1"/>
                <w:w w:val="66"/>
                <w:shd w:val="solid" w:color="000000" w:fill="000000"/>
                <w:fitText w:val="3810" w:id="-1402748160"/>
                <w14:textFill>
                  <w14:solidFill>
                    <w14:srgbClr w14:val="000000">
                      <w14:alpha w14:val="100000"/>
                    </w14:srgbClr>
                  </w14:solidFill>
                </w14:textFill>
              </w:rPr>
              <w:t>|||||||||||||||||||||||||||||||||||||||||||||||||||||||||||||</w:t>
            </w:r>
            <w:r w:rsidRPr="00BF3F75">
              <w:rPr>
                <w:rFonts w:eastAsia="MS Mincho" w:cstheme="minorHAnsi"/>
                <w:color w:val="000000"/>
                <w:spacing w:val="29"/>
                <w:w w:val="66"/>
                <w:highlight w:val="black"/>
                <w:shd w:val="solid" w:color="000000" w:fill="000000"/>
                <w:fitText w:val="3810" w:id="-1402748160"/>
                <w14:textFill>
                  <w14:solidFill>
                    <w14:srgbClr w14:val="000000">
                      <w14:alpha w14:val="100000"/>
                    </w14:srgbClr>
                  </w14:solidFill>
                </w14:textFill>
              </w:rPr>
              <w:t>|</w:t>
            </w:r>
            <w:r w:rsidRPr="00711A19">
              <w:rPr>
                <w:rFonts w:eastAsia="MS Mincho" w:cstheme="minorHAnsi"/>
                <w:highlight w:val="black"/>
                <w:shd w:val="clear" w:color="auto" w:fill="C0C0C1"/>
              </w:rPr>
              <w:t xml:space="preserve"> </w:t>
            </w:r>
            <w:r w:rsidRPr="00711A19">
              <w:rPr>
                <w:rFonts w:eastAsia="MS Mincho" w:cstheme="minorHAnsi" w:hint="eastAsia"/>
                <w:color w:val="000000"/>
                <w:w w:val="20"/>
                <w:shd w:val="solid" w:color="000000" w:fill="000000"/>
                <w:fitText w:val="100" w:id="-1402748159"/>
                <w14:textFill>
                  <w14:solidFill>
                    <w14:srgbClr w14:val="000000">
                      <w14:alpha w14:val="100000"/>
                    </w14:srgbClr>
                  </w14:solidFill>
                </w14:textFill>
              </w:rPr>
              <w:t xml:space="preserve">　</w:t>
            </w:r>
            <w:r w:rsidRPr="00711A19">
              <w:rPr>
                <w:rFonts w:eastAsia="MS Mincho" w:cstheme="minorHAnsi"/>
                <w:color w:val="000000"/>
                <w:w w:val="20"/>
                <w:shd w:val="solid" w:color="000000" w:fill="000000"/>
                <w:fitText w:val="100" w:id="-1402748159"/>
                <w14:textFill>
                  <w14:solidFill>
                    <w14:srgbClr w14:val="000000">
                      <w14:alpha w14:val="100000"/>
                    </w14:srgbClr>
                  </w14:solidFill>
                </w14:textFill>
              </w:rPr>
              <w:t>|</w:t>
            </w:r>
            <w:r w:rsidRPr="00711A19">
              <w:rPr>
                <w:rFonts w:eastAsia="MS Mincho" w:cstheme="minorHAnsi" w:hint="eastAsia"/>
                <w:color w:val="000000"/>
                <w:w w:val="20"/>
                <w:shd w:val="solid" w:color="000000" w:fill="000000"/>
                <w:fitText w:val="100" w:id="-1402748159"/>
                <w14:textFill>
                  <w14:solidFill>
                    <w14:srgbClr w14:val="000000">
                      <w14:alpha w14:val="100000"/>
                    </w14:srgbClr>
                  </w14:solidFill>
                </w14:textFill>
              </w:rPr>
              <w:t xml:space="preserve">　</w:t>
            </w:r>
            <w:r>
              <w:rPr>
                <w:rFonts w:eastAsia="MS Mincho" w:cstheme="minorHAnsi"/>
                <w:highlight w:val="green"/>
                <w:shd w:val="clear" w:color="auto" w:fill="C0C0C1"/>
              </w:rPr>
              <w:t xml:space="preserve"> </w:t>
            </w:r>
            <w:r w:rsidRPr="00BF3F75">
              <w:rPr>
                <w:rFonts w:eastAsia="MS Mincho" w:cstheme="minorHAnsi"/>
                <w:color w:val="000000"/>
                <w:spacing w:val="1"/>
                <w:w w:val="67"/>
                <w:shd w:val="solid" w:color="000000" w:fill="000000"/>
                <w:fitText w:val="3720" w:id="-1402748158"/>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w w:val="66"/>
                <w:shd w:val="solid" w:color="000000" w:fill="000000"/>
                <w:fitText w:val="3780" w:id="-1402748157"/>
                <w14:textFill>
                  <w14:solidFill>
                    <w14:srgbClr w14:val="000000">
                      <w14:alpha w14:val="100000"/>
                    </w14:srgbClr>
                  </w14:solidFill>
                </w14:textFill>
              </w:rPr>
              <w:t>|||||||||||||||||||||||||||||||||||||||||||||||||||||||||||||</w:t>
            </w:r>
            <w:r w:rsidRPr="00BF3F75">
              <w:rPr>
                <w:rFonts w:eastAsia="MS Mincho" w:cstheme="minorHAnsi"/>
                <w:color w:val="000000"/>
                <w:spacing w:val="60"/>
                <w:w w:val="66"/>
                <w:shd w:val="solid" w:color="000000" w:fill="000000"/>
                <w:fitText w:val="3780" w:id="-1402748157"/>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6"/>
                <w:shd w:val="solid" w:color="000000" w:fill="000000"/>
                <w:fitText w:val="3570" w:id="-1402748156"/>
                <w14:textFill>
                  <w14:solidFill>
                    <w14:srgbClr w14:val="000000">
                      <w14:alpha w14:val="100000"/>
                    </w14:srgbClr>
                  </w14:solidFill>
                </w14:textFill>
              </w:rPr>
              <w:t>|||||||||||||||||||||||||||||||||||||||||||||||||||||||||</w:t>
            </w:r>
            <w:r w:rsidRPr="00BF3F75">
              <w:rPr>
                <w:rFonts w:eastAsia="MS Mincho" w:cstheme="minorHAnsi"/>
                <w:color w:val="000000"/>
                <w:spacing w:val="33"/>
                <w:w w:val="66"/>
                <w:shd w:val="solid" w:color="000000" w:fill="000000"/>
                <w:fitText w:val="3570" w:id="-1402748156"/>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7"/>
                <w:highlight w:val="black"/>
                <w:shd w:val="solid" w:color="000000" w:fill="000000"/>
                <w:fitText w:val="3230" w:id="-1402747904"/>
                <w14:textFill>
                  <w14:solidFill>
                    <w14:srgbClr w14:val="000000">
                      <w14:alpha w14:val="100000"/>
                    </w14:srgbClr>
                  </w14:solidFill>
                </w14:textFill>
              </w:rPr>
              <w:t>|||||||||||||||||||||||||||||||||||||||||||||||||||</w:t>
            </w:r>
            <w:r w:rsidRPr="00BF3F75">
              <w:rPr>
                <w:rFonts w:eastAsia="MS Mincho" w:cstheme="minorHAnsi"/>
                <w:color w:val="000000"/>
                <w:spacing w:val="7"/>
                <w:w w:val="67"/>
                <w:highlight w:val="black"/>
                <w:shd w:val="solid" w:color="000000" w:fill="000000"/>
                <w:fitText w:val="3230" w:id="-1402747904"/>
                <w14:textFill>
                  <w14:solidFill>
                    <w14:srgbClr w14:val="000000">
                      <w14:alpha w14:val="100000"/>
                    </w14:srgbClr>
                  </w14:solidFill>
                </w14:textFill>
              </w:rPr>
              <w:t>|</w:t>
            </w:r>
            <w:r w:rsidRPr="00711A19">
              <w:rPr>
                <w:rFonts w:eastAsia="MS Mincho" w:cstheme="minorHAnsi"/>
                <w:highlight w:val="black"/>
                <w:shd w:val="clear" w:color="auto" w:fill="C0C0C1"/>
              </w:rPr>
              <w:t xml:space="preserve"> </w:t>
            </w:r>
            <w:r w:rsidRPr="00711A19">
              <w:rPr>
                <w:rFonts w:eastAsia="MS Mincho" w:cstheme="minorHAnsi"/>
                <w:color w:val="000000"/>
                <w:w w:val="71"/>
                <w:shd w:val="solid" w:color="000000" w:fill="000000"/>
                <w:fitText w:val="660" w:id="-1402747903"/>
                <w14:textFill>
                  <w14:solidFill>
                    <w14:srgbClr w14:val="000000">
                      <w14:alpha w14:val="100000"/>
                    </w14:srgbClr>
                  </w14:solidFill>
                </w14:textFill>
              </w:rPr>
              <w:t>|||||||||</w:t>
            </w:r>
            <w:r w:rsidRPr="00711A19">
              <w:rPr>
                <w:rFonts w:eastAsia="MS Mincho" w:cstheme="minorHAnsi"/>
                <w:color w:val="000000"/>
                <w:spacing w:val="6"/>
                <w:w w:val="71"/>
                <w:shd w:val="solid" w:color="000000" w:fill="000000"/>
                <w:fitText w:val="660" w:id="-1402747903"/>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6"/>
                <w:shd w:val="solid" w:color="000000" w:fill="000000"/>
                <w:fitText w:val="3940" w:id="-1402747902"/>
                <w14:textFill>
                  <w14:solidFill>
                    <w14:srgbClr w14:val="000000">
                      <w14:alpha w14:val="100000"/>
                    </w14:srgbClr>
                  </w14:solidFill>
                </w14:textFill>
              </w:rPr>
              <w:t>|||||||||||||||||||||||||||||||||||||||||||||||||||||||||||||||</w:t>
            </w:r>
            <w:r w:rsidRPr="00BF3F75">
              <w:rPr>
                <w:rFonts w:eastAsia="MS Mincho" w:cstheme="minorHAnsi"/>
                <w:color w:val="000000"/>
                <w:spacing w:val="37"/>
                <w:w w:val="66"/>
                <w:shd w:val="solid" w:color="000000" w:fill="000000"/>
                <w:fitText w:val="3940" w:id="-1402747902"/>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6"/>
                <w:shd w:val="solid" w:color="000000" w:fill="000000"/>
                <w:fitText w:val="3570" w:id="-1402747901"/>
                <w14:textFill>
                  <w14:solidFill>
                    <w14:srgbClr w14:val="000000">
                      <w14:alpha w14:val="100000"/>
                    </w14:srgbClr>
                  </w14:solidFill>
                </w14:textFill>
              </w:rPr>
              <w:t>|||||||||||||||||||||||||||||||||||||||||||||||||||||||||</w:t>
            </w:r>
            <w:r w:rsidRPr="00BF3F75">
              <w:rPr>
                <w:rFonts w:eastAsia="MS Mincho" w:cstheme="minorHAnsi"/>
                <w:color w:val="000000"/>
                <w:spacing w:val="33"/>
                <w:w w:val="66"/>
                <w:shd w:val="solid" w:color="000000" w:fill="000000"/>
                <w:fitText w:val="3570" w:id="-1402747901"/>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7"/>
                <w:shd w:val="solid" w:color="000000" w:fill="000000"/>
                <w:fitText w:val="4000" w:id="-1402747900"/>
                <w14:textFill>
                  <w14:solidFill>
                    <w14:srgbClr w14:val="000000">
                      <w14:alpha w14:val="100000"/>
                    </w14:srgbClr>
                  </w14:solidFill>
                </w14:textFill>
              </w:rPr>
              <w:t>|||||||||||||||||||||||||||||||||||||||||||||||||||||||||||||||</w:t>
            </w:r>
            <w:r w:rsidRPr="00BF3F75">
              <w:rPr>
                <w:rFonts w:eastAsia="MS Mincho" w:cstheme="minorHAnsi"/>
                <w:color w:val="000000"/>
                <w:spacing w:val="33"/>
                <w:w w:val="67"/>
                <w:shd w:val="solid" w:color="000000" w:fill="000000"/>
                <w:fitText w:val="4000" w:id="-1402747900"/>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7"/>
                <w:shd w:val="solid" w:color="000000" w:fill="000000"/>
                <w:fitText w:val="2000" w:id="-1402747899"/>
                <w14:textFill>
                  <w14:solidFill>
                    <w14:srgbClr w14:val="000000">
                      <w14:alpha w14:val="100000"/>
                    </w14:srgbClr>
                  </w14:solidFill>
                </w14:textFill>
              </w:rPr>
              <w:t>|||||||||||||||||||||||||||||||</w:t>
            </w:r>
            <w:r w:rsidRPr="00BF3F75">
              <w:rPr>
                <w:rFonts w:eastAsia="MS Mincho" w:cstheme="minorHAnsi"/>
                <w:color w:val="000000"/>
                <w:spacing w:val="17"/>
                <w:w w:val="67"/>
                <w:shd w:val="solid" w:color="000000" w:fill="000000"/>
                <w:fitText w:val="2000" w:id="-1402747899"/>
                <w14:textFill>
                  <w14:solidFill>
                    <w14:srgbClr w14:val="000000">
                      <w14:alpha w14:val="100000"/>
                    </w14:srgbClr>
                  </w14:solidFill>
                </w14:textFill>
              </w:rPr>
              <w:t>|</w:t>
            </w:r>
          </w:p>
        </w:tc>
      </w:tr>
      <w:tr w:rsidR="00240680" w14:paraId="283495A6" w14:textId="77777777" w:rsidTr="00711A19">
        <w:tc>
          <w:tcPr>
            <w:tcW w:w="804" w:type="pct"/>
            <w:shd w:val="solid" w:color="000000" w:fill="000000"/>
          </w:tcPr>
          <w:p w14:paraId="123CD17E" w14:textId="73121ACB" w:rsidR="00240680" w:rsidRPr="00711A19" w:rsidRDefault="00711A19" w:rsidP="002321A9">
            <w:pPr>
              <w:rPr>
                <w:rFonts w:eastAsia="MS Mincho"/>
              </w:rPr>
            </w:pPr>
            <w:r w:rsidRPr="00F32CFA">
              <w:rPr>
                <w:rFonts w:eastAsia="MS Mincho"/>
                <w:color w:val="000000"/>
                <w:w w:val="69"/>
                <w:highlight w:val="black"/>
                <w:shd w:val="clear" w:color="auto" w:fill="C0C0C1"/>
                <w:fitText w:val="1150" w:id="-1402747648"/>
                <w14:textFill>
                  <w14:solidFill>
                    <w14:srgbClr w14:val="000000">
                      <w14:alpha w14:val="100000"/>
                    </w14:srgbClr>
                  </w14:solidFill>
                </w14:textFill>
              </w:rPr>
              <w:t>|||||||||||||||||</w:t>
            </w:r>
            <w:r w:rsidRPr="00F32CFA">
              <w:rPr>
                <w:rFonts w:eastAsia="MS Mincho"/>
                <w:color w:val="000000"/>
                <w:spacing w:val="16"/>
                <w:w w:val="69"/>
                <w:highlight w:val="black"/>
                <w:shd w:val="clear" w:color="auto" w:fill="C0C0C1"/>
                <w:fitText w:val="1150" w:id="-1402747648"/>
                <w14:textFill>
                  <w14:solidFill>
                    <w14:srgbClr w14:val="000000">
                      <w14:alpha w14:val="100000"/>
                    </w14:srgbClr>
                  </w14:solidFill>
                </w14:textFill>
              </w:rPr>
              <w:t>|</w:t>
            </w:r>
          </w:p>
        </w:tc>
        <w:tc>
          <w:tcPr>
            <w:tcW w:w="1798" w:type="pct"/>
          </w:tcPr>
          <w:p w14:paraId="5CE37FDB" w14:textId="101391FF" w:rsidR="00711A19" w:rsidRDefault="00711A19" w:rsidP="00711A19">
            <w:pPr>
              <w:pStyle w:val="Tablewriting"/>
              <w:keepNext/>
              <w:numPr>
                <w:ilvl w:val="0"/>
                <w:numId w:val="31"/>
              </w:numPr>
              <w:rPr>
                <w:rFonts w:eastAsia="MS Mincho" w:cstheme="minorHAnsi"/>
                <w:shd w:val="clear" w:color="auto" w:fill="C0C0C1"/>
              </w:rPr>
            </w:pPr>
            <w:r w:rsidRPr="00BF3F75">
              <w:rPr>
                <w:rFonts w:eastAsia="MS Mincho" w:cstheme="minorHAnsi"/>
                <w:color w:val="000000"/>
                <w:spacing w:val="1"/>
                <w:w w:val="67"/>
                <w:shd w:val="solid" w:color="000000" w:fill="000000"/>
                <w:fitText w:val="2250" w:id="-1402747136"/>
                <w14:textFill>
                  <w14:solidFill>
                    <w14:srgbClr w14:val="000000">
                      <w14:alpha w14:val="100000"/>
                    </w14:srgbClr>
                  </w14:solidFill>
                </w14:textFill>
              </w:rPr>
              <w:t>||||||||||||||||||||||||||||||||||</w:t>
            </w:r>
            <w:r w:rsidRPr="00BF3F75">
              <w:rPr>
                <w:rFonts w:eastAsia="MS Mincho" w:cstheme="minorHAnsi"/>
                <w:color w:val="000000"/>
                <w:spacing w:val="1"/>
                <w:w w:val="67"/>
                <w:highlight w:val="black"/>
                <w:shd w:val="solid" w:color="000000" w:fill="000000"/>
                <w:fitText w:val="2250" w:id="-1402747136"/>
                <w14:textFill>
                  <w14:solidFill>
                    <w14:srgbClr w14:val="000000">
                      <w14:alpha w14:val="100000"/>
                    </w14:srgbClr>
                  </w14:solidFill>
                </w14:textFill>
              </w:rPr>
              <w:t>|</w:t>
            </w:r>
            <w:r w:rsidRPr="00BF3F75">
              <w:rPr>
                <w:rFonts w:eastAsia="MS Mincho" w:cstheme="minorHAnsi"/>
                <w:color w:val="000000"/>
                <w:spacing w:val="19"/>
                <w:w w:val="67"/>
                <w:highlight w:val="black"/>
                <w:shd w:val="solid" w:color="000000" w:fill="000000"/>
                <w:fitText w:val="2250" w:id="-1402747136"/>
                <w14:textFill>
                  <w14:solidFill>
                    <w14:srgbClr w14:val="000000">
                      <w14:alpha w14:val="100000"/>
                    </w14:srgbClr>
                  </w14:solidFill>
                </w14:textFill>
              </w:rPr>
              <w:t>|</w:t>
            </w:r>
            <w:r w:rsidRPr="00711A19">
              <w:rPr>
                <w:rFonts w:eastAsia="MS Mincho" w:cstheme="minorHAnsi"/>
                <w:highlight w:val="black"/>
                <w:shd w:val="clear" w:color="auto" w:fill="C0C0C1"/>
              </w:rPr>
              <w:t xml:space="preserve"> </w:t>
            </w:r>
            <w:r w:rsidRPr="00711A19">
              <w:rPr>
                <w:rFonts w:eastAsia="MS Mincho" w:cstheme="minorHAnsi"/>
                <w:color w:val="000000"/>
                <w:w w:val="76"/>
                <w:highlight w:val="black"/>
                <w:shd w:val="solid" w:color="000000" w:fill="000000"/>
                <w:fitText w:val="210" w:id="-1402747135"/>
                <w14:textFill>
                  <w14:solidFill>
                    <w14:srgbClr w14:val="000000">
                      <w14:alpha w14:val="100000"/>
                    </w14:srgbClr>
                  </w14:solidFill>
                </w14:textFill>
              </w:rPr>
              <w:t>|||</w:t>
            </w:r>
            <w:r>
              <w:rPr>
                <w:rFonts w:eastAsia="MS Mincho" w:cstheme="minorHAnsi"/>
                <w:shd w:val="clear" w:color="auto" w:fill="C0C0C1"/>
              </w:rPr>
              <w:t xml:space="preserve"> </w:t>
            </w:r>
            <w:r w:rsidRPr="00BF3F75">
              <w:rPr>
                <w:rFonts w:eastAsia="MS Mincho" w:cstheme="minorHAnsi"/>
                <w:color w:val="000000"/>
                <w:spacing w:val="1"/>
                <w:w w:val="69"/>
                <w:highlight w:val="black"/>
                <w:shd w:val="solid" w:color="000000" w:fill="000000"/>
                <w:fitText w:val="1930" w:id="-1402747134"/>
                <w14:textFill>
                  <w14:solidFill>
                    <w14:srgbClr w14:val="000000">
                      <w14:alpha w14:val="100000"/>
                    </w14:srgbClr>
                  </w14:solidFill>
                </w14:textFill>
              </w:rPr>
              <w:t>|||||||||||||||||||||||||||||</w:t>
            </w:r>
            <w:r w:rsidRPr="00BF3F75">
              <w:rPr>
                <w:rFonts w:eastAsia="MS Mincho" w:cstheme="minorHAnsi"/>
                <w:color w:val="000000"/>
                <w:spacing w:val="11"/>
                <w:w w:val="69"/>
                <w:highlight w:val="black"/>
                <w:shd w:val="solid" w:color="000000" w:fill="000000"/>
                <w:fitText w:val="1930" w:id="-1402747134"/>
                <w14:textFill>
                  <w14:solidFill>
                    <w14:srgbClr w14:val="000000">
                      <w14:alpha w14:val="100000"/>
                    </w14:srgbClr>
                  </w14:solidFill>
                </w14:textFill>
              </w:rPr>
              <w:t>|</w:t>
            </w:r>
            <w:r w:rsidRPr="00711A19">
              <w:rPr>
                <w:rFonts w:eastAsia="MS Mincho" w:cstheme="minorHAnsi"/>
                <w:highlight w:val="black"/>
                <w:shd w:val="clear" w:color="auto" w:fill="C0C0C1"/>
              </w:rPr>
              <w:t xml:space="preserve"> </w:t>
            </w:r>
            <w:r w:rsidRPr="00BF3F75">
              <w:rPr>
                <w:rFonts w:eastAsia="MS Mincho" w:cstheme="minorHAnsi" w:hint="eastAsia"/>
                <w:color w:val="000000"/>
                <w:w w:val="15"/>
                <w:highlight w:val="black"/>
                <w:shd w:val="solid" w:color="000000" w:fill="000000"/>
                <w:fitText w:val="10" w:id="-1402747133"/>
                <w14:textFill>
                  <w14:solidFill>
                    <w14:srgbClr w14:val="000000">
                      <w14:alpha w14:val="100000"/>
                    </w14:srgbClr>
                  </w14:solidFill>
                </w14:textFill>
              </w:rPr>
              <w:t xml:space="preserve">　</w:t>
            </w:r>
            <w:r w:rsidRPr="00BF3F75">
              <w:rPr>
                <w:rFonts w:eastAsia="MS Mincho" w:cstheme="minorHAnsi"/>
                <w:color w:val="000000"/>
                <w:w w:val="15"/>
                <w:highlight w:val="black"/>
                <w:shd w:val="solid" w:color="000000" w:fill="000000"/>
                <w:fitText w:val="10" w:id="-1402747133"/>
                <w14:textFill>
                  <w14:solidFill>
                    <w14:srgbClr w14:val="000000">
                      <w14:alpha w14:val="100000"/>
                    </w14:srgbClr>
                  </w14:solidFill>
                </w14:textFill>
              </w:rPr>
              <w:t>|</w:t>
            </w:r>
            <w:r w:rsidRPr="00BF3F75">
              <w:rPr>
                <w:rFonts w:eastAsia="MS Mincho" w:cstheme="minorHAnsi" w:hint="eastAsia"/>
                <w:color w:val="000000"/>
                <w:spacing w:val="-63"/>
                <w:w w:val="15"/>
                <w:highlight w:val="black"/>
                <w:shd w:val="solid" w:color="000000" w:fill="000000"/>
                <w:fitText w:val="10" w:id="-1402747133"/>
                <w14:textFill>
                  <w14:solidFill>
                    <w14:srgbClr w14:val="000000">
                      <w14:alpha w14:val="100000"/>
                    </w14:srgbClr>
                  </w14:solidFill>
                </w14:textFill>
              </w:rPr>
              <w:t xml:space="preserve">　</w:t>
            </w:r>
            <w:r w:rsidRPr="00711A19">
              <w:rPr>
                <w:rFonts w:eastAsia="MS Mincho" w:cstheme="minorHAnsi"/>
                <w:highlight w:val="black"/>
                <w:shd w:val="clear" w:color="auto" w:fill="C0C0C1"/>
              </w:rPr>
              <w:t xml:space="preserve"> </w:t>
            </w:r>
            <w:r w:rsidRPr="00BF3F75">
              <w:rPr>
                <w:rFonts w:eastAsia="MS Mincho" w:cstheme="minorHAnsi" w:hint="eastAsia"/>
                <w:color w:val="000000"/>
                <w:w w:val="15"/>
                <w:highlight w:val="black"/>
                <w:shd w:val="solid" w:color="000000" w:fill="000000"/>
                <w:fitText w:val="20" w:id="-1402747132"/>
                <w14:textFill>
                  <w14:solidFill>
                    <w14:srgbClr w14:val="000000">
                      <w14:alpha w14:val="100000"/>
                    </w14:srgbClr>
                  </w14:solidFill>
                </w14:textFill>
              </w:rPr>
              <w:t xml:space="preserve">　</w:t>
            </w:r>
            <w:r w:rsidRPr="00BF3F75">
              <w:rPr>
                <w:rFonts w:eastAsia="MS Mincho" w:cstheme="minorHAnsi"/>
                <w:color w:val="000000"/>
                <w:w w:val="15"/>
                <w:highlight w:val="black"/>
                <w:shd w:val="solid" w:color="000000" w:fill="000000"/>
                <w:fitText w:val="20" w:id="-1402747132"/>
                <w14:textFill>
                  <w14:solidFill>
                    <w14:srgbClr w14:val="000000">
                      <w14:alpha w14:val="100000"/>
                    </w14:srgbClr>
                  </w14:solidFill>
                </w14:textFill>
              </w:rPr>
              <w:t>|</w:t>
            </w:r>
            <w:r w:rsidRPr="00BF3F75">
              <w:rPr>
                <w:rFonts w:eastAsia="MS Mincho" w:cstheme="minorHAnsi" w:hint="eastAsia"/>
                <w:color w:val="000000"/>
                <w:spacing w:val="-53"/>
                <w:w w:val="15"/>
                <w:highlight w:val="black"/>
                <w:shd w:val="solid" w:color="000000" w:fill="000000"/>
                <w:fitText w:val="20" w:id="-1402747132"/>
                <w14:textFill>
                  <w14:solidFill>
                    <w14:srgbClr w14:val="000000">
                      <w14:alpha w14:val="100000"/>
                    </w14:srgbClr>
                  </w14:solidFill>
                </w14:textFill>
              </w:rPr>
              <w:t xml:space="preserve">　</w:t>
            </w:r>
            <w:r w:rsidRPr="00711A19">
              <w:rPr>
                <w:rFonts w:eastAsia="MS Mincho" w:cstheme="minorHAnsi"/>
                <w:highlight w:val="black"/>
                <w:shd w:val="clear" w:color="auto" w:fill="C0C0C1"/>
              </w:rPr>
              <w:t xml:space="preserve"> </w:t>
            </w:r>
            <w:r w:rsidRPr="00711A19">
              <w:rPr>
                <w:rFonts w:eastAsia="MS Mincho" w:cstheme="minorHAnsi" w:hint="eastAsia"/>
                <w:color w:val="000000"/>
                <w:w w:val="15"/>
                <w:highlight w:val="black"/>
                <w:shd w:val="solid" w:color="000000" w:fill="000000"/>
                <w:fitText w:val="60" w:id="-1402746880"/>
                <w14:textFill>
                  <w14:solidFill>
                    <w14:srgbClr w14:val="000000">
                      <w14:alpha w14:val="100000"/>
                    </w14:srgbClr>
                  </w14:solidFill>
                </w14:textFill>
              </w:rPr>
              <w:t xml:space="preserve">　</w:t>
            </w:r>
            <w:r w:rsidRPr="00711A19">
              <w:rPr>
                <w:rFonts w:eastAsia="MS Mincho" w:cstheme="minorHAnsi"/>
                <w:color w:val="000000"/>
                <w:w w:val="15"/>
                <w:highlight w:val="black"/>
                <w:shd w:val="solid" w:color="000000" w:fill="000000"/>
                <w:fitText w:val="60" w:id="-1402746880"/>
                <w14:textFill>
                  <w14:solidFill>
                    <w14:srgbClr w14:val="000000">
                      <w14:alpha w14:val="100000"/>
                    </w14:srgbClr>
                  </w14:solidFill>
                </w14:textFill>
              </w:rPr>
              <w:t>|</w:t>
            </w:r>
            <w:r w:rsidRPr="00711A19">
              <w:rPr>
                <w:rFonts w:eastAsia="MS Mincho" w:cstheme="minorHAnsi" w:hint="eastAsia"/>
                <w:color w:val="000000"/>
                <w:spacing w:val="-13"/>
                <w:w w:val="15"/>
                <w:shd w:val="solid" w:color="000000" w:fill="000000"/>
                <w:fitText w:val="60" w:id="-1402746880"/>
                <w14:textFill>
                  <w14:solidFill>
                    <w14:srgbClr w14:val="000000">
                      <w14:alpha w14:val="100000"/>
                    </w14:srgbClr>
                  </w14:solidFill>
                </w14:textFill>
              </w:rPr>
              <w:t xml:space="preserve">　</w:t>
            </w:r>
            <w:r>
              <w:rPr>
                <w:rFonts w:eastAsia="MS Mincho" w:cstheme="minorHAnsi"/>
                <w:shd w:val="clear" w:color="auto" w:fill="C0C0C1"/>
              </w:rPr>
              <w:t xml:space="preserve"> </w:t>
            </w:r>
            <w:r w:rsidRPr="00BF3F75">
              <w:rPr>
                <w:rFonts w:eastAsia="MS Mincho" w:cstheme="minorHAnsi"/>
                <w:color w:val="000000"/>
                <w:w w:val="69"/>
                <w:shd w:val="solid" w:color="000000" w:fill="000000"/>
                <w:fitText w:val="1780" w:id="-1402746879"/>
                <w14:textFill>
                  <w14:solidFill>
                    <w14:srgbClr w14:val="000000">
                      <w14:alpha w14:val="100000"/>
                    </w14:srgbClr>
                  </w14:solidFill>
                </w14:textFill>
              </w:rPr>
              <w:t>|||||||||||||||||||||||||||</w:t>
            </w:r>
            <w:r w:rsidRPr="00BF3F75">
              <w:rPr>
                <w:rFonts w:eastAsia="MS Mincho" w:cstheme="minorHAnsi"/>
                <w:color w:val="000000"/>
                <w:spacing w:val="16"/>
                <w:w w:val="69"/>
                <w:shd w:val="solid" w:color="000000" w:fill="000000"/>
                <w:fitText w:val="1780" w:id="-1402746879"/>
                <w14:textFill>
                  <w14:solidFill>
                    <w14:srgbClr w14:val="000000">
                      <w14:alpha w14:val="100000"/>
                    </w14:srgbClr>
                  </w14:solidFill>
                </w14:textFill>
              </w:rPr>
              <w:t>|</w:t>
            </w:r>
            <w:r>
              <w:rPr>
                <w:rFonts w:eastAsia="MS Mincho" w:cstheme="minorHAnsi"/>
                <w:shd w:val="clear" w:color="auto" w:fill="C0C0C1"/>
              </w:rPr>
              <w:t xml:space="preserve"> </w:t>
            </w:r>
            <w:r w:rsidRPr="00BF3F75">
              <w:rPr>
                <w:rFonts w:eastAsia="MS Mincho" w:cstheme="minorHAnsi"/>
                <w:color w:val="000000"/>
                <w:spacing w:val="1"/>
                <w:w w:val="70"/>
                <w:highlight w:val="black"/>
                <w:shd w:val="solid" w:color="000000" w:fill="000000"/>
                <w:fitText w:val="2080" w:id="-1402746878"/>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color w:val="000000"/>
                <w:highlight w:val="black"/>
                <w:shd w:val="solid" w:color="000000" w:fill="000000"/>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color w:val="000000"/>
                <w:highlight w:val="black"/>
                <w:shd w:val="solid" w:color="000000" w:fill="000000"/>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color w:val="000000"/>
                <w:highlight w:val="black"/>
                <w:shd w:val="solid" w:color="000000" w:fill="000000"/>
                <w14:textFill>
                  <w14:solidFill>
                    <w14:srgbClr w14:val="000000">
                      <w14:alpha w14:val="100000"/>
                    </w14:srgbClr>
                  </w14:solidFill>
                </w14:textFill>
              </w:rPr>
              <w:t>|</w:t>
            </w:r>
            <w:r>
              <w:rPr>
                <w:rFonts w:eastAsia="MS Mincho" w:cstheme="minorHAnsi"/>
                <w:shd w:val="clear" w:color="auto" w:fill="C0C0C1"/>
              </w:rPr>
              <w:t xml:space="preserve"> </w:t>
            </w:r>
            <w:r w:rsidRPr="00BF3F75">
              <w:rPr>
                <w:rFonts w:eastAsia="MS Mincho" w:cstheme="minorHAnsi"/>
                <w:color w:val="000000"/>
                <w:w w:val="69"/>
                <w:highlight w:val="black"/>
                <w:shd w:val="solid" w:color="000000" w:fill="000000"/>
                <w:fitText w:val="2170" w:id="-1402746877"/>
                <w14:textFill>
                  <w14:solidFill>
                    <w14:srgbClr w14:val="000000">
                      <w14:alpha w14:val="100000"/>
                    </w14:srgbClr>
                  </w14:solidFill>
                </w14:textFill>
              </w:rPr>
              <w:t>|||||||||||||||||||||||||||||||||</w:t>
            </w:r>
            <w:r w:rsidRPr="00BF3F75">
              <w:rPr>
                <w:rFonts w:eastAsia="MS Mincho" w:cstheme="minorHAnsi"/>
                <w:color w:val="000000"/>
                <w:spacing w:val="28"/>
                <w:w w:val="69"/>
                <w:highlight w:val="black"/>
                <w:shd w:val="solid" w:color="000000" w:fill="000000"/>
                <w:fitText w:val="2170" w:id="-1402746877"/>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color w:val="000000"/>
                <w:highlight w:val="black"/>
                <w:shd w:val="solid" w:color="000000" w:fill="000000"/>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color w:val="000000"/>
                <w:highlight w:val="black"/>
                <w:shd w:val="solid" w:color="000000" w:fill="000000"/>
                <w14:textFill>
                  <w14:solidFill>
                    <w14:srgbClr w14:val="000000">
                      <w14:alpha w14:val="100000"/>
                    </w14:srgbClr>
                  </w14:solidFill>
                </w14:textFill>
              </w:rPr>
              <w:t>|</w:t>
            </w:r>
          </w:p>
          <w:p w14:paraId="666E511D" w14:textId="01144D7A" w:rsidR="00711A19" w:rsidRDefault="00711A19" w:rsidP="00711A19">
            <w:pPr>
              <w:pStyle w:val="Tablewriting"/>
              <w:keepNext/>
              <w:numPr>
                <w:ilvl w:val="0"/>
                <w:numId w:val="31"/>
              </w:numPr>
              <w:rPr>
                <w:rFonts w:eastAsia="MS Mincho" w:cstheme="minorHAnsi"/>
                <w:shd w:val="clear" w:color="auto" w:fill="C0C0C1"/>
              </w:rPr>
            </w:pPr>
            <w:r w:rsidRPr="00BF3F75">
              <w:rPr>
                <w:rFonts w:eastAsia="MS Mincho" w:cstheme="minorHAnsi"/>
                <w:color w:val="000000"/>
                <w:w w:val="69"/>
                <w:shd w:val="solid" w:color="000000" w:fill="000000"/>
                <w:fitText w:val="2290" w:id="-1402746876"/>
                <w14:textFill>
                  <w14:solidFill>
                    <w14:srgbClr w14:val="000000">
                      <w14:alpha w14:val="100000"/>
                    </w14:srgbClr>
                  </w14:solidFill>
                </w14:textFill>
              </w:rPr>
              <w:t>|||||||||||||||||||||||||||||||||||</w:t>
            </w:r>
            <w:r w:rsidRPr="00BF3F75">
              <w:rPr>
                <w:rFonts w:eastAsia="MS Mincho" w:cstheme="minorHAnsi"/>
                <w:color w:val="000000"/>
                <w:spacing w:val="22"/>
                <w:w w:val="69"/>
                <w:shd w:val="solid" w:color="000000" w:fill="000000"/>
                <w:fitText w:val="2290" w:id="-1402746876"/>
                <w14:textFill>
                  <w14:solidFill>
                    <w14:srgbClr w14:val="000000">
                      <w14:alpha w14:val="100000"/>
                    </w14:srgbClr>
                  </w14:solidFill>
                </w14:textFill>
              </w:rPr>
              <w:t>|</w:t>
            </w:r>
          </w:p>
          <w:p w14:paraId="4CFA02FC" w14:textId="7D127201" w:rsidR="00711A19" w:rsidRDefault="00711A19" w:rsidP="00711A19">
            <w:pPr>
              <w:pStyle w:val="Tablewriting"/>
              <w:keepNext/>
              <w:numPr>
                <w:ilvl w:val="0"/>
                <w:numId w:val="31"/>
              </w:numPr>
              <w:rPr>
                <w:rFonts w:eastAsia="MS Mincho" w:cstheme="minorHAnsi"/>
                <w:shd w:val="clear" w:color="auto" w:fill="C0C0C1"/>
              </w:rPr>
            </w:pPr>
            <w:r w:rsidRPr="00BF3F75">
              <w:rPr>
                <w:rFonts w:eastAsia="MS Mincho" w:cstheme="minorHAnsi"/>
                <w:color w:val="000000"/>
                <w:w w:val="67"/>
                <w:shd w:val="solid" w:color="000000" w:fill="000000"/>
                <w:fitText w:val="2350" w:id="-1402746875"/>
                <w14:textFill>
                  <w14:solidFill>
                    <w14:srgbClr w14:val="000000">
                      <w14:alpha w14:val="100000"/>
                    </w14:srgbClr>
                  </w14:solidFill>
                </w14:textFill>
              </w:rPr>
              <w:t>|||||||||||||||||||||||||||||||||||||</w:t>
            </w:r>
            <w:r w:rsidRPr="00BF3F75">
              <w:rPr>
                <w:rFonts w:eastAsia="MS Mincho" w:cstheme="minorHAnsi"/>
                <w:color w:val="000000"/>
                <w:spacing w:val="32"/>
                <w:w w:val="67"/>
                <w:shd w:val="solid" w:color="000000" w:fill="000000"/>
                <w:fitText w:val="2350" w:id="-1402746875"/>
                <w14:textFill>
                  <w14:solidFill>
                    <w14:srgbClr w14:val="000000">
                      <w14:alpha w14:val="100000"/>
                    </w14:srgbClr>
                  </w14:solidFill>
                </w14:textFill>
              </w:rPr>
              <w:t>|</w:t>
            </w:r>
          </w:p>
          <w:p w14:paraId="394F9981" w14:textId="5F073120" w:rsidR="00240680" w:rsidRPr="00711A19" w:rsidRDefault="00711A19" w:rsidP="00711A19">
            <w:pPr>
              <w:pStyle w:val="Tablewriting"/>
              <w:keepNext/>
              <w:numPr>
                <w:ilvl w:val="0"/>
                <w:numId w:val="31"/>
              </w:numPr>
              <w:rPr>
                <w:rFonts w:eastAsia="MS Mincho" w:cstheme="minorHAnsi"/>
                <w:shd w:val="clear" w:color="auto" w:fill="C0C0C1"/>
              </w:rPr>
            </w:pPr>
            <w:r w:rsidRPr="00BF3F75">
              <w:rPr>
                <w:rFonts w:eastAsia="MS Mincho" w:cstheme="minorHAnsi"/>
                <w:color w:val="000000"/>
                <w:spacing w:val="1"/>
                <w:w w:val="70"/>
                <w:highlight w:val="black"/>
                <w:shd w:val="solid" w:color="000000" w:fill="000000"/>
                <w:fitText w:val="2080" w:id="-1402746874"/>
                <w14:textFill>
                  <w14:solidFill>
                    <w14:srgbClr w14:val="000000">
                      <w14:alpha w14:val="100000"/>
                    </w14:srgbClr>
                  </w14:solidFill>
                </w14:textFill>
              </w:rPr>
              <w:t>||||||||||||||||||||||||||||||||</w:t>
            </w:r>
            <w:r w:rsidRPr="005C7FBE">
              <w:rPr>
                <w:rFonts w:eastAsia="MS Mincho" w:cstheme="minorHAnsi"/>
                <w:highlight w:val="black"/>
                <w:shd w:val="clear" w:color="auto" w:fill="C0C0C1"/>
              </w:rPr>
              <w:t xml:space="preserve"> </w:t>
            </w:r>
            <w:r w:rsidRPr="005C7FBE">
              <w:rPr>
                <w:rFonts w:eastAsia="MS Mincho" w:cstheme="minorHAnsi" w:hint="eastAsia"/>
                <w:color w:val="000000"/>
                <w:w w:val="26"/>
                <w:highlight w:val="black"/>
                <w:shd w:val="solid" w:color="000000" w:fill="000000"/>
                <w:fitText w:val="130" w:id="-1402746873"/>
                <w14:textFill>
                  <w14:solidFill>
                    <w14:srgbClr w14:val="000000">
                      <w14:alpha w14:val="100000"/>
                    </w14:srgbClr>
                  </w14:solidFill>
                </w14:textFill>
              </w:rPr>
              <w:t xml:space="preserve">　</w:t>
            </w:r>
            <w:r w:rsidRPr="005C7FBE">
              <w:rPr>
                <w:rFonts w:eastAsia="MS Mincho" w:cstheme="minorHAnsi"/>
                <w:color w:val="000000"/>
                <w:w w:val="26"/>
                <w:highlight w:val="black"/>
                <w:shd w:val="solid" w:color="000000" w:fill="000000"/>
                <w:fitText w:val="130" w:id="-1402746873"/>
                <w14:textFill>
                  <w14:solidFill>
                    <w14:srgbClr w14:val="000000">
                      <w14:alpha w14:val="100000"/>
                    </w14:srgbClr>
                  </w14:solidFill>
                </w14:textFill>
              </w:rPr>
              <w:t>|</w:t>
            </w:r>
            <w:r w:rsidRPr="005C7FBE">
              <w:rPr>
                <w:rFonts w:eastAsia="MS Mincho" w:cstheme="minorHAnsi" w:hint="eastAsia"/>
                <w:color w:val="000000"/>
                <w:w w:val="26"/>
                <w:shd w:val="solid" w:color="000000" w:fill="000000"/>
                <w:fitText w:val="130" w:id="-1402746873"/>
                <w14:textFill>
                  <w14:solidFill>
                    <w14:srgbClr w14:val="000000">
                      <w14:alpha w14:val="100000"/>
                    </w14:srgbClr>
                  </w14:solidFill>
                </w14:textFill>
              </w:rPr>
              <w:t xml:space="preserve">　</w:t>
            </w:r>
          </w:p>
        </w:tc>
        <w:tc>
          <w:tcPr>
            <w:tcW w:w="2399" w:type="pct"/>
          </w:tcPr>
          <w:p w14:paraId="3DC0CAE5" w14:textId="4961AC4E" w:rsidR="00240680" w:rsidRPr="000F3331" w:rsidRDefault="00711A19" w:rsidP="002321A9">
            <w:pPr>
              <w:rPr>
                <w:rFonts w:eastAsia="MS Mincho" w:cstheme="minorHAnsi"/>
                <w:highlight w:val="green"/>
              </w:rPr>
            </w:pPr>
            <w:r w:rsidRPr="00BF3F75">
              <w:rPr>
                <w:rFonts w:eastAsia="MS Mincho" w:cstheme="minorHAnsi"/>
                <w:color w:val="000000"/>
                <w:spacing w:val="1"/>
                <w:w w:val="66"/>
                <w:shd w:val="solid" w:color="000000" w:fill="000000"/>
                <w:fitText w:val="3820" w:id="-1402746112"/>
                <w14:textFill>
                  <w14:solidFill>
                    <w14:srgbClr w14:val="000000">
                      <w14:alpha w14:val="100000"/>
                    </w14:srgbClr>
                  </w14:solidFill>
                </w14:textFill>
              </w:rPr>
              <w:t>|||||||||||||||||||||||||||||||||||||||||||||||||||||||||||||</w:t>
            </w:r>
            <w:r w:rsidRPr="00BF3F75">
              <w:rPr>
                <w:rFonts w:eastAsia="MS Mincho" w:cstheme="minorHAnsi"/>
                <w:color w:val="000000"/>
                <w:spacing w:val="39"/>
                <w:w w:val="66"/>
                <w:shd w:val="solid" w:color="000000" w:fill="000000"/>
                <w:fitText w:val="3820" w:id="-1402746112"/>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8"/>
                <w:highlight w:val="black"/>
                <w:shd w:val="solid" w:color="000000" w:fill="000000"/>
                <w:fitText w:val="3660" w:id="-1402746111"/>
                <w14:textFill>
                  <w14:solidFill>
                    <w14:srgbClr w14:val="000000">
                      <w14:alpha w14:val="100000"/>
                    </w14:srgbClr>
                  </w14:solidFill>
                </w14:textFill>
              </w:rPr>
              <w:t>|||||||||||||||||||||||||||||||||||||||||||||||||||||||||</w:t>
            </w:r>
            <w:r w:rsidRPr="00BF3F75">
              <w:rPr>
                <w:rFonts w:eastAsia="MS Mincho" w:cstheme="minorHAnsi"/>
                <w:color w:val="000000"/>
                <w:spacing w:val="7"/>
                <w:w w:val="68"/>
                <w:highlight w:val="black"/>
                <w:shd w:val="solid" w:color="000000" w:fill="000000"/>
                <w:fitText w:val="3660" w:id="-1402746111"/>
                <w14:textFill>
                  <w14:solidFill>
                    <w14:srgbClr w14:val="000000">
                      <w14:alpha w14:val="100000"/>
                    </w14:srgbClr>
                  </w14:solidFill>
                </w14:textFill>
              </w:rPr>
              <w:t>|</w:t>
            </w:r>
            <w:r w:rsidRPr="00F32CFA">
              <w:rPr>
                <w:rFonts w:eastAsia="MS Mincho" w:cstheme="minorHAnsi"/>
                <w:highlight w:val="black"/>
                <w:shd w:val="clear" w:color="auto" w:fill="C0C0C1"/>
              </w:rPr>
              <w:t xml:space="preserve"> </w:t>
            </w:r>
            <w:r w:rsidRPr="00F32CFA">
              <w:rPr>
                <w:rFonts w:eastAsia="MS Mincho" w:cstheme="minorHAnsi"/>
                <w:color w:val="000000"/>
                <w:spacing w:val="75"/>
                <w:highlight w:val="black"/>
                <w:shd w:val="solid" w:color="000000" w:fill="000000"/>
                <w:fitText w:val="260" w:id="-1402746110"/>
                <w14:textFill>
                  <w14:solidFill>
                    <w14:srgbClr w14:val="000000">
                      <w14:alpha w14:val="100000"/>
                    </w14:srgbClr>
                  </w14:solidFill>
                </w14:textFill>
              </w:rPr>
              <w:t>|</w:t>
            </w:r>
            <w:r w:rsidRPr="00F32CFA">
              <w:rPr>
                <w:rFonts w:eastAsia="MS Mincho" w:cstheme="minorHAnsi"/>
                <w:color w:val="000000"/>
                <w:shd w:val="solid" w:color="000000" w:fill="000000"/>
                <w:fitText w:val="260" w:id="-1402746110"/>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6"/>
                <w:shd w:val="solid" w:color="000000" w:fill="000000"/>
                <w:fitText w:val="3300" w:id="-1402746109"/>
                <w14:textFill>
                  <w14:solidFill>
                    <w14:srgbClr w14:val="000000">
                      <w14:alpha w14:val="100000"/>
                    </w14:srgbClr>
                  </w14:solidFill>
                </w14:textFill>
              </w:rPr>
              <w:t>|||||||||||||||||||||||||||||||||||||||||||||||||||||</w:t>
            </w:r>
            <w:r w:rsidRPr="00BF3F75">
              <w:rPr>
                <w:rFonts w:eastAsia="MS Mincho" w:cstheme="minorHAnsi"/>
                <w:color w:val="000000"/>
                <w:spacing w:val="7"/>
                <w:w w:val="66"/>
                <w:shd w:val="solid" w:color="000000" w:fill="000000"/>
                <w:fitText w:val="3300" w:id="-1402746109"/>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spacing w:val="1"/>
                <w:w w:val="66"/>
                <w:shd w:val="solid" w:color="000000" w:fill="000000"/>
                <w:fitText w:val="3550" w:id="-1402746108"/>
                <w14:textFill>
                  <w14:solidFill>
                    <w14:srgbClr w14:val="000000">
                      <w14:alpha w14:val="100000"/>
                    </w14:srgbClr>
                  </w14:solidFill>
                </w14:textFill>
              </w:rPr>
              <w:t>|||||||||||||||||||||||||||||||||||||||||||||||||||||||||</w:t>
            </w:r>
            <w:r w:rsidRPr="00BF3F75">
              <w:rPr>
                <w:rFonts w:eastAsia="MS Mincho" w:cstheme="minorHAnsi"/>
                <w:color w:val="000000"/>
                <w:spacing w:val="13"/>
                <w:w w:val="66"/>
                <w:shd w:val="solid" w:color="000000" w:fill="000000"/>
                <w:fitText w:val="3550" w:id="-1402746108"/>
                <w14:textFill>
                  <w14:solidFill>
                    <w14:srgbClr w14:val="000000">
                      <w14:alpha w14:val="100000"/>
                    </w14:srgbClr>
                  </w14:solidFill>
                </w14:textFill>
              </w:rPr>
              <w:t>|</w:t>
            </w:r>
            <w:r>
              <w:rPr>
                <w:rFonts w:eastAsia="MS Mincho" w:cstheme="minorHAnsi"/>
                <w:highlight w:val="green"/>
                <w:shd w:val="clear" w:color="auto" w:fill="C0C0C1"/>
              </w:rPr>
              <w:t xml:space="preserve"> </w:t>
            </w:r>
            <w:r w:rsidRPr="00BF3F75">
              <w:rPr>
                <w:rFonts w:eastAsia="MS Mincho" w:cstheme="minorHAnsi"/>
                <w:color w:val="000000"/>
                <w:w w:val="67"/>
                <w:highlight w:val="black"/>
                <w:shd w:val="solid" w:color="000000" w:fill="000000"/>
                <w:fitText w:val="3830" w:id="-1402746107"/>
                <w14:textFill>
                  <w14:solidFill>
                    <w14:srgbClr w14:val="000000">
                      <w14:alpha w14:val="100000"/>
                    </w14:srgbClr>
                  </w14:solidFill>
                </w14:textFill>
              </w:rPr>
              <w:t>|||||||||||||||||||||||||||||||||||||||||||||||||||||||||||||</w:t>
            </w:r>
            <w:r w:rsidRPr="00BF3F75">
              <w:rPr>
                <w:rFonts w:eastAsia="MS Mincho" w:cstheme="minorHAnsi"/>
                <w:color w:val="000000"/>
                <w:spacing w:val="48"/>
                <w:w w:val="67"/>
                <w:highlight w:val="black"/>
                <w:shd w:val="solid" w:color="000000" w:fill="000000"/>
                <w:fitText w:val="3830" w:id="-1402746107"/>
                <w14:textFill>
                  <w14:solidFill>
                    <w14:srgbClr w14:val="000000">
                      <w14:alpha w14:val="100000"/>
                    </w14:srgbClr>
                  </w14:solidFill>
                </w14:textFill>
              </w:rPr>
              <w:t>|</w:t>
            </w:r>
            <w:r w:rsidRPr="00F32CFA">
              <w:rPr>
                <w:rFonts w:eastAsia="MS Mincho" w:cstheme="minorHAnsi"/>
                <w:highlight w:val="black"/>
                <w:shd w:val="clear" w:color="auto" w:fill="C0C0C1"/>
              </w:rPr>
              <w:t xml:space="preserve"> </w:t>
            </w:r>
            <w:r w:rsidRPr="00F32CFA">
              <w:rPr>
                <w:rFonts w:eastAsia="MS Mincho" w:cstheme="minorHAnsi" w:hint="eastAsia"/>
                <w:color w:val="000000"/>
                <w:w w:val="15"/>
                <w:shd w:val="solid" w:color="000000" w:fill="000000"/>
                <w:fitText w:val="60" w:id="-1402746106"/>
                <w14:textFill>
                  <w14:solidFill>
                    <w14:srgbClr w14:val="000000">
                      <w14:alpha w14:val="100000"/>
                    </w14:srgbClr>
                  </w14:solidFill>
                </w14:textFill>
              </w:rPr>
              <w:t xml:space="preserve">　</w:t>
            </w:r>
            <w:r w:rsidRPr="00F32CFA">
              <w:rPr>
                <w:rFonts w:eastAsia="MS Mincho" w:cstheme="minorHAnsi"/>
                <w:color w:val="000000"/>
                <w:w w:val="15"/>
                <w:shd w:val="solid" w:color="000000" w:fill="000000"/>
                <w:fitText w:val="60" w:id="-1402746106"/>
                <w14:textFill>
                  <w14:solidFill>
                    <w14:srgbClr w14:val="000000">
                      <w14:alpha w14:val="100000"/>
                    </w14:srgbClr>
                  </w14:solidFill>
                </w14:textFill>
              </w:rPr>
              <w:t>|</w:t>
            </w:r>
            <w:r w:rsidRPr="00F32CFA">
              <w:rPr>
                <w:rFonts w:eastAsia="MS Mincho" w:cstheme="minorHAnsi" w:hint="eastAsia"/>
                <w:color w:val="000000"/>
                <w:spacing w:val="-13"/>
                <w:w w:val="15"/>
                <w:shd w:val="solid" w:color="000000" w:fill="000000"/>
                <w:fitText w:val="60" w:id="-1402746106"/>
                <w14:textFill>
                  <w14:solidFill>
                    <w14:srgbClr w14:val="000000">
                      <w14:alpha w14:val="100000"/>
                    </w14:srgbClr>
                  </w14:solidFill>
                </w14:textFill>
              </w:rPr>
              <w:t xml:space="preserve">　</w:t>
            </w:r>
            <w:r>
              <w:rPr>
                <w:rFonts w:eastAsia="MS Mincho" w:cstheme="minorHAnsi"/>
                <w:highlight w:val="green"/>
                <w:shd w:val="clear" w:color="auto" w:fill="C0C0C1"/>
              </w:rPr>
              <w:t xml:space="preserve"> </w:t>
            </w:r>
            <w:r w:rsidRPr="00711A19">
              <w:rPr>
                <w:rFonts w:eastAsia="MS Mincho" w:cstheme="minorHAnsi"/>
                <w:color w:val="000000"/>
                <w:w w:val="70"/>
                <w:shd w:val="solid" w:color="000000" w:fill="000000"/>
                <w:fitText w:val="1290" w:id="-1402746105"/>
                <w14:textFill>
                  <w14:solidFill>
                    <w14:srgbClr w14:val="000000">
                      <w14:alpha w14:val="100000"/>
                    </w14:srgbClr>
                  </w14:solidFill>
                </w14:textFill>
              </w:rPr>
              <w:t>|||||||||||||||||||</w:t>
            </w:r>
            <w:r w:rsidRPr="00711A19">
              <w:rPr>
                <w:rFonts w:eastAsia="MS Mincho" w:cstheme="minorHAnsi"/>
                <w:color w:val="000000"/>
                <w:spacing w:val="2"/>
                <w:w w:val="70"/>
                <w:shd w:val="solid" w:color="000000" w:fill="000000"/>
                <w:fitText w:val="1290" w:id="-1402746105"/>
                <w14:textFill>
                  <w14:solidFill>
                    <w14:srgbClr w14:val="000000">
                      <w14:alpha w14:val="100000"/>
                    </w14:srgbClr>
                  </w14:solidFill>
                </w14:textFill>
              </w:rPr>
              <w:t>|</w:t>
            </w:r>
          </w:p>
        </w:tc>
      </w:tr>
      <w:tr w:rsidR="00240680" w14:paraId="61D2C517" w14:textId="77777777" w:rsidTr="002811B2">
        <w:tc>
          <w:tcPr>
            <w:tcW w:w="804" w:type="pct"/>
          </w:tcPr>
          <w:p w14:paraId="045DCEB6" w14:textId="77777777" w:rsidR="00240680" w:rsidRPr="0004728C" w:rsidRDefault="00240680" w:rsidP="002321A9">
            <w:pPr>
              <w:rPr>
                <w:rFonts w:eastAsia="MS Mincho"/>
              </w:rPr>
            </w:pPr>
            <w:r w:rsidRPr="0004728C">
              <w:rPr>
                <w:rFonts w:eastAsia="MS Mincho"/>
              </w:rPr>
              <w:t>Gonzales (2006)</w:t>
            </w:r>
          </w:p>
        </w:tc>
        <w:tc>
          <w:tcPr>
            <w:tcW w:w="1798" w:type="pct"/>
          </w:tcPr>
          <w:p w14:paraId="1DCFC195" w14:textId="77777777" w:rsidR="00240680" w:rsidRPr="0017192A" w:rsidRDefault="00240680" w:rsidP="00C324F3">
            <w:pPr>
              <w:pStyle w:val="Tablewriting"/>
              <w:numPr>
                <w:ilvl w:val="0"/>
                <w:numId w:val="25"/>
              </w:numPr>
              <w:rPr>
                <w:rFonts w:eastAsia="MS Mincho"/>
              </w:rPr>
            </w:pPr>
            <w:r w:rsidRPr="0017192A">
              <w:rPr>
                <w:rFonts w:eastAsia="MS Mincho"/>
              </w:rPr>
              <w:t>Bupropion, 300 mg/day for 12 weeks, begun 7 days pre-TQD</w:t>
            </w:r>
          </w:p>
          <w:p w14:paraId="46424413" w14:textId="77777777" w:rsidR="00240680" w:rsidRDefault="00240680" w:rsidP="00C324F3">
            <w:pPr>
              <w:pStyle w:val="Tablewriting"/>
              <w:numPr>
                <w:ilvl w:val="0"/>
                <w:numId w:val="25"/>
              </w:numPr>
              <w:rPr>
                <w:rFonts w:eastAsia="MS Mincho"/>
              </w:rPr>
            </w:pPr>
            <w:r w:rsidRPr="0017192A">
              <w:rPr>
                <w:rFonts w:eastAsia="MS Mincho"/>
              </w:rPr>
              <w:t>Varenicline, 2 mg/day</w:t>
            </w:r>
          </w:p>
          <w:p w14:paraId="773A69A9" w14:textId="77777777" w:rsidR="00240680" w:rsidRPr="0004728C" w:rsidRDefault="00240680" w:rsidP="00C324F3">
            <w:pPr>
              <w:pStyle w:val="Tablewriting"/>
              <w:numPr>
                <w:ilvl w:val="0"/>
                <w:numId w:val="25"/>
              </w:numPr>
              <w:rPr>
                <w:rFonts w:eastAsia="MS Mincho"/>
              </w:rPr>
            </w:pPr>
            <w:r w:rsidRPr="0004728C">
              <w:rPr>
                <w:rFonts w:eastAsia="MS Mincho"/>
              </w:rPr>
              <w:t>Placebo</w:t>
            </w:r>
          </w:p>
        </w:tc>
        <w:tc>
          <w:tcPr>
            <w:tcW w:w="2399" w:type="pct"/>
          </w:tcPr>
          <w:p w14:paraId="16F473A8" w14:textId="77777777" w:rsidR="00240680" w:rsidRPr="00F701E7" w:rsidRDefault="00240680" w:rsidP="002321A9">
            <w:pPr>
              <w:rPr>
                <w:rFonts w:eastAsia="MS Mincho" w:cstheme="minorHAnsi"/>
              </w:rPr>
            </w:pPr>
            <w:r w:rsidRPr="00D15A95">
              <w:rPr>
                <w:rFonts w:eastAsia="MS Mincho" w:cstheme="minorHAnsi"/>
              </w:rPr>
              <w:t>Brief (&lt;10</w:t>
            </w:r>
            <w:r>
              <w:rPr>
                <w:rFonts w:eastAsia="MS Mincho" w:cstheme="minorHAnsi"/>
              </w:rPr>
              <w:t xml:space="preserve"> </w:t>
            </w:r>
            <w:r w:rsidRPr="00D15A95">
              <w:rPr>
                <w:rFonts w:eastAsia="MS Mincho" w:cstheme="minorHAnsi"/>
              </w:rPr>
              <w:t>min</w:t>
            </w:r>
            <w:r>
              <w:rPr>
                <w:rFonts w:eastAsia="MS Mincho" w:cstheme="minorHAnsi"/>
              </w:rPr>
              <w:t>s</w:t>
            </w:r>
            <w:r w:rsidRPr="00D15A95">
              <w:rPr>
                <w:rFonts w:eastAsia="MS Mincho" w:cstheme="minorHAnsi"/>
              </w:rPr>
              <w:t>) standardi</w:t>
            </w:r>
            <w:r>
              <w:rPr>
                <w:rFonts w:eastAsia="MS Mincho" w:cstheme="minorHAnsi"/>
              </w:rPr>
              <w:t>s</w:t>
            </w:r>
            <w:r w:rsidRPr="00D15A95">
              <w:rPr>
                <w:rFonts w:eastAsia="MS Mincho" w:cstheme="minorHAnsi"/>
              </w:rPr>
              <w:t>ed individual counselling at 12 weekly visits during drug phase and follow-up</w:t>
            </w:r>
            <w:r>
              <w:rPr>
                <w:rFonts w:eastAsia="MS Mincho" w:cstheme="minorHAnsi"/>
              </w:rPr>
              <w:t xml:space="preserve"> </w:t>
            </w:r>
            <w:r w:rsidRPr="00823151">
              <w:rPr>
                <w:rFonts w:eastAsia="MS Mincho" w:cstheme="minorHAnsi"/>
              </w:rPr>
              <w:t>to assist in problem</w:t>
            </w:r>
            <w:r>
              <w:rPr>
                <w:rFonts w:eastAsia="MS Mincho" w:cstheme="minorHAnsi"/>
              </w:rPr>
              <w:t xml:space="preserve"> </w:t>
            </w:r>
            <w:r w:rsidRPr="00823151">
              <w:rPr>
                <w:rFonts w:eastAsia="MS Mincho" w:cstheme="minorHAnsi"/>
              </w:rPr>
              <w:t>solving and skills training for relapse</w:t>
            </w:r>
            <w:r>
              <w:rPr>
                <w:rFonts w:eastAsia="MS Mincho" w:cstheme="minorHAnsi"/>
              </w:rPr>
              <w:t xml:space="preserve"> </w:t>
            </w:r>
            <w:r w:rsidRPr="00823151">
              <w:rPr>
                <w:rFonts w:eastAsia="MS Mincho" w:cstheme="minorHAnsi"/>
              </w:rPr>
              <w:t>prevention</w:t>
            </w:r>
            <w:r>
              <w:rPr>
                <w:rFonts w:eastAsia="MS Mincho" w:cstheme="minorHAnsi"/>
              </w:rPr>
              <w:t xml:space="preserve">. </w:t>
            </w:r>
            <w:r w:rsidRPr="00F701E7">
              <w:rPr>
                <w:rFonts w:eastAsia="MS Mincho" w:cstheme="minorHAnsi"/>
              </w:rPr>
              <w:t>All participants</w:t>
            </w:r>
            <w:r>
              <w:rPr>
                <w:rFonts w:eastAsia="MS Mincho" w:cstheme="minorHAnsi"/>
              </w:rPr>
              <w:t xml:space="preserve"> also received ‘’</w:t>
            </w:r>
            <w:r w:rsidRPr="00F701E7">
              <w:rPr>
                <w:rFonts w:eastAsia="MS Mincho" w:cstheme="minorHAnsi"/>
              </w:rPr>
              <w:t>Clearing the Air: Quit Smoking</w:t>
            </w:r>
            <w:r>
              <w:rPr>
                <w:rFonts w:eastAsia="MS Mincho" w:cstheme="minorHAnsi"/>
              </w:rPr>
              <w:t xml:space="preserve"> </w:t>
            </w:r>
            <w:r w:rsidRPr="00F701E7">
              <w:rPr>
                <w:rFonts w:eastAsia="MS Mincho" w:cstheme="minorHAnsi"/>
              </w:rPr>
              <w:t>Today</w:t>
            </w:r>
            <w:r>
              <w:rPr>
                <w:rFonts w:eastAsia="MS Mincho" w:cstheme="minorHAnsi"/>
              </w:rPr>
              <w:t xml:space="preserve">’’ </w:t>
            </w:r>
            <w:r w:rsidRPr="00F701E7">
              <w:rPr>
                <w:rFonts w:eastAsia="MS Mincho" w:cstheme="minorHAnsi"/>
              </w:rPr>
              <w:t>a smoking cessation self-help</w:t>
            </w:r>
            <w:r>
              <w:rPr>
                <w:rFonts w:eastAsia="MS Mincho" w:cstheme="minorHAnsi"/>
              </w:rPr>
              <w:t xml:space="preserve"> </w:t>
            </w:r>
            <w:r w:rsidRPr="00F701E7">
              <w:rPr>
                <w:rFonts w:eastAsia="MS Mincho" w:cstheme="minorHAnsi"/>
              </w:rPr>
              <w:t>booklet as a guide to the quitting</w:t>
            </w:r>
          </w:p>
          <w:p w14:paraId="3B059FDD" w14:textId="77777777" w:rsidR="00240680" w:rsidRPr="00D15A95" w:rsidRDefault="00240680" w:rsidP="002321A9">
            <w:pPr>
              <w:rPr>
                <w:rFonts w:eastAsia="MS Mincho" w:cstheme="minorHAnsi"/>
              </w:rPr>
            </w:pPr>
            <w:r w:rsidRPr="00F701E7">
              <w:rPr>
                <w:rFonts w:eastAsia="MS Mincho" w:cstheme="minorHAnsi"/>
              </w:rPr>
              <w:t>Process</w:t>
            </w:r>
            <w:r>
              <w:rPr>
                <w:rFonts w:eastAsia="MS Mincho" w:cstheme="minorHAnsi"/>
              </w:rPr>
              <w:t xml:space="preserve">. </w:t>
            </w:r>
          </w:p>
        </w:tc>
      </w:tr>
      <w:tr w:rsidR="00240680" w14:paraId="2171C352" w14:textId="77777777" w:rsidTr="002811B2">
        <w:tc>
          <w:tcPr>
            <w:tcW w:w="804" w:type="pct"/>
          </w:tcPr>
          <w:p w14:paraId="6DDFDB18" w14:textId="77777777" w:rsidR="00240680" w:rsidRPr="0004728C" w:rsidRDefault="00240680" w:rsidP="002321A9">
            <w:pPr>
              <w:rPr>
                <w:rFonts w:eastAsia="MS Mincho"/>
              </w:rPr>
            </w:pPr>
            <w:r w:rsidRPr="0004728C">
              <w:rPr>
                <w:rFonts w:eastAsia="MS Mincho"/>
              </w:rPr>
              <w:t>Jorenby (2006)</w:t>
            </w:r>
          </w:p>
        </w:tc>
        <w:tc>
          <w:tcPr>
            <w:tcW w:w="1798" w:type="pct"/>
          </w:tcPr>
          <w:p w14:paraId="3FE51C75" w14:textId="77777777" w:rsidR="00240680" w:rsidRDefault="00240680" w:rsidP="00C324F3">
            <w:pPr>
              <w:pStyle w:val="Tablewriting"/>
              <w:numPr>
                <w:ilvl w:val="0"/>
                <w:numId w:val="32"/>
              </w:numPr>
              <w:rPr>
                <w:rFonts w:eastAsia="MS Mincho"/>
              </w:rPr>
            </w:pPr>
            <w:r w:rsidRPr="003078C0">
              <w:rPr>
                <w:rFonts w:eastAsia="MS Mincho"/>
              </w:rPr>
              <w:t>Bupropion 300 mg for 12 weeks + placebo varenicline</w:t>
            </w:r>
          </w:p>
          <w:p w14:paraId="53818E58" w14:textId="77777777" w:rsidR="00240680" w:rsidRDefault="00240680" w:rsidP="00C324F3">
            <w:pPr>
              <w:pStyle w:val="Tablewriting"/>
              <w:numPr>
                <w:ilvl w:val="0"/>
                <w:numId w:val="32"/>
              </w:numPr>
              <w:rPr>
                <w:rFonts w:eastAsia="MS Mincho"/>
              </w:rPr>
            </w:pPr>
            <w:r w:rsidRPr="003078C0">
              <w:rPr>
                <w:rFonts w:eastAsia="MS Mincho"/>
              </w:rPr>
              <w:t>Varenicline 2 mg for 12 weeks + placebo bupropion</w:t>
            </w:r>
          </w:p>
          <w:p w14:paraId="2C3E97A4" w14:textId="77777777" w:rsidR="00240680" w:rsidRPr="0004728C" w:rsidRDefault="00240680" w:rsidP="00C324F3">
            <w:pPr>
              <w:pStyle w:val="Tablewriting"/>
              <w:numPr>
                <w:ilvl w:val="0"/>
                <w:numId w:val="32"/>
              </w:numPr>
              <w:rPr>
                <w:rFonts w:eastAsia="MS Mincho"/>
              </w:rPr>
            </w:pPr>
            <w:r w:rsidRPr="0004728C">
              <w:rPr>
                <w:rFonts w:eastAsia="MS Mincho"/>
              </w:rPr>
              <w:t>Placebo bupropion and placebo varenicline</w:t>
            </w:r>
          </w:p>
        </w:tc>
        <w:tc>
          <w:tcPr>
            <w:tcW w:w="2399" w:type="pct"/>
          </w:tcPr>
          <w:p w14:paraId="784C47F7" w14:textId="77777777" w:rsidR="00240680" w:rsidRPr="00D15A95" w:rsidRDefault="00240680" w:rsidP="002321A9">
            <w:pPr>
              <w:rPr>
                <w:rFonts w:eastAsia="MS Mincho" w:cstheme="minorHAnsi"/>
              </w:rPr>
            </w:pPr>
            <w:r w:rsidRPr="00314909">
              <w:rPr>
                <w:rFonts w:eastAsia="MS Mincho" w:cstheme="minorHAnsi"/>
              </w:rPr>
              <w:t>Brief (&lt; 10 min</w:t>
            </w:r>
            <w:r>
              <w:rPr>
                <w:rFonts w:eastAsia="MS Mincho" w:cstheme="minorHAnsi"/>
              </w:rPr>
              <w:t>s</w:t>
            </w:r>
            <w:r w:rsidRPr="00314909">
              <w:rPr>
                <w:rFonts w:eastAsia="MS Mincho" w:cstheme="minorHAnsi"/>
              </w:rPr>
              <w:t>) individual counselling at each weekly assessment for 12 weeks and 5 follow-up visits. One telephone call 3 days after quit day.</w:t>
            </w:r>
          </w:p>
        </w:tc>
      </w:tr>
      <w:tr w:rsidR="00240680" w14:paraId="58AD15B8" w14:textId="77777777" w:rsidTr="002811B2">
        <w:tc>
          <w:tcPr>
            <w:tcW w:w="804" w:type="pct"/>
          </w:tcPr>
          <w:p w14:paraId="245EEC8B" w14:textId="77777777" w:rsidR="00240680" w:rsidRPr="0004728C" w:rsidRDefault="00240680" w:rsidP="002321A9">
            <w:pPr>
              <w:rPr>
                <w:rFonts w:eastAsia="MS Mincho"/>
              </w:rPr>
            </w:pPr>
            <w:r w:rsidRPr="0004728C">
              <w:rPr>
                <w:rFonts w:eastAsia="MS Mincho"/>
              </w:rPr>
              <w:t>Aubin (2008)</w:t>
            </w:r>
          </w:p>
        </w:tc>
        <w:tc>
          <w:tcPr>
            <w:tcW w:w="1798" w:type="pct"/>
          </w:tcPr>
          <w:p w14:paraId="68A55C79" w14:textId="77777777" w:rsidR="00240680" w:rsidRDefault="00240680" w:rsidP="00C324F3">
            <w:pPr>
              <w:pStyle w:val="Tablewriting"/>
              <w:numPr>
                <w:ilvl w:val="0"/>
                <w:numId w:val="143"/>
              </w:numPr>
              <w:rPr>
                <w:rFonts w:eastAsia="MS Mincho" w:cstheme="minorHAnsi"/>
              </w:rPr>
            </w:pPr>
            <w:r w:rsidRPr="004926AC">
              <w:rPr>
                <w:rFonts w:eastAsia="MS Mincho" w:cstheme="minorHAnsi"/>
              </w:rPr>
              <w:t>Varenicline 1mg x 2/day for 12 w</w:t>
            </w:r>
            <w:r>
              <w:rPr>
                <w:rFonts w:eastAsia="MS Mincho" w:cstheme="minorHAnsi"/>
              </w:rPr>
              <w:t>ee</w:t>
            </w:r>
            <w:r w:rsidRPr="004926AC">
              <w:rPr>
                <w:rFonts w:eastAsia="MS Mincho" w:cstheme="minorHAnsi"/>
              </w:rPr>
              <w:t>ks, titrated 1st w</w:t>
            </w:r>
            <w:r>
              <w:rPr>
                <w:rFonts w:eastAsia="MS Mincho" w:cstheme="minorHAnsi"/>
              </w:rPr>
              <w:t>ee</w:t>
            </w:r>
            <w:r w:rsidRPr="004926AC">
              <w:rPr>
                <w:rFonts w:eastAsia="MS Mincho" w:cstheme="minorHAnsi"/>
              </w:rPr>
              <w:t>k</w:t>
            </w:r>
            <w:r>
              <w:rPr>
                <w:rFonts w:eastAsia="MS Mincho" w:cstheme="minorHAnsi"/>
              </w:rPr>
              <w:t>.</w:t>
            </w:r>
          </w:p>
          <w:p w14:paraId="2AD96ED7" w14:textId="77777777" w:rsidR="00240680" w:rsidRDefault="00240680" w:rsidP="00C324F3">
            <w:pPr>
              <w:pStyle w:val="Tablewriting"/>
              <w:numPr>
                <w:ilvl w:val="0"/>
                <w:numId w:val="143"/>
              </w:numPr>
              <w:rPr>
                <w:rFonts w:eastAsia="MS Mincho" w:cstheme="minorHAnsi"/>
              </w:rPr>
            </w:pPr>
            <w:r>
              <w:rPr>
                <w:rFonts w:eastAsia="MS Mincho" w:cstheme="minorHAnsi"/>
              </w:rPr>
              <w:t>NRT</w:t>
            </w:r>
            <w:r w:rsidRPr="004926AC">
              <w:rPr>
                <w:rFonts w:eastAsia="MS Mincho" w:cstheme="minorHAnsi"/>
              </w:rPr>
              <w:t xml:space="preserve"> patch (21 mg w</w:t>
            </w:r>
            <w:r>
              <w:rPr>
                <w:rFonts w:eastAsia="MS Mincho" w:cstheme="minorHAnsi"/>
              </w:rPr>
              <w:t>ee</w:t>
            </w:r>
            <w:r w:rsidRPr="004926AC">
              <w:rPr>
                <w:rFonts w:eastAsia="MS Mincho" w:cstheme="minorHAnsi"/>
              </w:rPr>
              <w:t>ks 2 - 6, 14 mg w</w:t>
            </w:r>
            <w:r>
              <w:rPr>
                <w:rFonts w:eastAsia="MS Mincho" w:cstheme="minorHAnsi"/>
              </w:rPr>
              <w:t>ee</w:t>
            </w:r>
            <w:r w:rsidRPr="004926AC">
              <w:rPr>
                <w:rFonts w:eastAsia="MS Mincho" w:cstheme="minorHAnsi"/>
              </w:rPr>
              <w:t>ks 7 - 9, 7 mg w</w:t>
            </w:r>
            <w:r>
              <w:rPr>
                <w:rFonts w:eastAsia="MS Mincho" w:cstheme="minorHAnsi"/>
              </w:rPr>
              <w:t>ee</w:t>
            </w:r>
            <w:r w:rsidRPr="004926AC">
              <w:rPr>
                <w:rFonts w:eastAsia="MS Mincho" w:cstheme="minorHAnsi"/>
              </w:rPr>
              <w:t>ks 10 - 11)</w:t>
            </w:r>
            <w:r>
              <w:rPr>
                <w:rFonts w:eastAsia="MS Mincho" w:cstheme="minorHAnsi"/>
              </w:rPr>
              <w:t>.</w:t>
            </w:r>
          </w:p>
          <w:p w14:paraId="727E029F" w14:textId="77777777" w:rsidR="00240680" w:rsidRPr="0004728C" w:rsidRDefault="00240680" w:rsidP="00C324F3">
            <w:pPr>
              <w:pStyle w:val="Tablewriting"/>
              <w:numPr>
                <w:ilvl w:val="0"/>
                <w:numId w:val="143"/>
              </w:numPr>
              <w:rPr>
                <w:rFonts w:eastAsia="MS Mincho" w:cstheme="minorHAnsi"/>
              </w:rPr>
            </w:pPr>
            <w:r w:rsidRPr="0004728C">
              <w:rPr>
                <w:rFonts w:eastAsia="MS Mincho" w:cstheme="minorHAnsi"/>
              </w:rPr>
              <w:t>No placebo control group</w:t>
            </w:r>
          </w:p>
        </w:tc>
        <w:tc>
          <w:tcPr>
            <w:tcW w:w="2399" w:type="pct"/>
          </w:tcPr>
          <w:p w14:paraId="673789C4" w14:textId="77777777" w:rsidR="00240680" w:rsidRPr="00E026E3" w:rsidRDefault="00240680" w:rsidP="002321A9">
            <w:pPr>
              <w:rPr>
                <w:rFonts w:eastAsia="MS Mincho" w:cstheme="minorHAnsi"/>
              </w:rPr>
            </w:pPr>
            <w:r>
              <w:rPr>
                <w:rFonts w:eastAsia="MS Mincho" w:cstheme="minorHAnsi"/>
              </w:rPr>
              <w:t>B</w:t>
            </w:r>
            <w:r w:rsidRPr="00E026E3">
              <w:rPr>
                <w:rFonts w:eastAsia="MS Mincho" w:cstheme="minorHAnsi"/>
              </w:rPr>
              <w:t>rief counselling (≤ 10 mins) at each clinic visit or by phone. TQD was at week 1 visit.</w:t>
            </w:r>
            <w:r>
              <w:rPr>
                <w:rFonts w:eastAsia="MS Mincho" w:cstheme="minorHAnsi"/>
              </w:rPr>
              <w:t xml:space="preserve"> </w:t>
            </w:r>
            <w:r w:rsidRPr="00E026E3">
              <w:rPr>
                <w:rFonts w:eastAsia="MS Mincho" w:cstheme="minorHAnsi"/>
              </w:rPr>
              <w:t>Clearing the Air S</w:t>
            </w:r>
            <w:r>
              <w:rPr>
                <w:rFonts w:eastAsia="MS Mincho" w:cstheme="minorHAnsi"/>
              </w:rPr>
              <w:t>elf</w:t>
            </w:r>
            <w:r w:rsidRPr="00E026E3">
              <w:rPr>
                <w:rFonts w:eastAsia="MS Mincho" w:cstheme="minorHAnsi"/>
              </w:rPr>
              <w:t>-H</w:t>
            </w:r>
            <w:r>
              <w:rPr>
                <w:rFonts w:eastAsia="MS Mincho" w:cstheme="minorHAnsi"/>
              </w:rPr>
              <w:t>elp</w:t>
            </w:r>
            <w:r w:rsidRPr="00E026E3">
              <w:rPr>
                <w:rFonts w:eastAsia="MS Mincho" w:cstheme="minorHAnsi"/>
              </w:rPr>
              <w:t xml:space="preserve"> booklet </w:t>
            </w:r>
            <w:r>
              <w:rPr>
                <w:rFonts w:eastAsia="MS Mincho" w:cstheme="minorHAnsi"/>
              </w:rPr>
              <w:t xml:space="preserve">was also provided </w:t>
            </w:r>
            <w:r w:rsidRPr="00E026E3">
              <w:rPr>
                <w:rFonts w:eastAsia="MS Mincho" w:cstheme="minorHAnsi"/>
              </w:rPr>
              <w:t>at baseline</w:t>
            </w:r>
            <w:r>
              <w:rPr>
                <w:rFonts w:eastAsia="MS Mincho" w:cstheme="minorHAnsi"/>
              </w:rPr>
              <w:t xml:space="preserve">. </w:t>
            </w:r>
          </w:p>
        </w:tc>
      </w:tr>
    </w:tbl>
    <w:p w14:paraId="62DC7A65" w14:textId="31E5AA59" w:rsidR="00846CB6" w:rsidRDefault="00A676A6" w:rsidP="002811B2">
      <w:pPr>
        <w:pStyle w:val="TableFooter"/>
        <w:keepNext/>
        <w:jc w:val="both"/>
      </w:pPr>
      <w:r>
        <w:t>Source:</w:t>
      </w:r>
      <w:r w:rsidR="00AE7547">
        <w:t xml:space="preserve"> </w:t>
      </w:r>
      <w:r w:rsidR="00F32CFA" w:rsidRPr="00F32CFA">
        <w:rPr>
          <w:color w:val="000000"/>
          <w:w w:val="66"/>
          <w:shd w:val="solid" w:color="000000" w:fill="000000"/>
          <w:fitText w:val="1910" w:id="-1402745856"/>
          <w14:textFill>
            <w14:solidFill>
              <w14:srgbClr w14:val="000000">
                <w14:alpha w14:val="100000"/>
              </w14:srgbClr>
            </w14:solidFill>
          </w14:textFill>
        </w:rPr>
        <w:t>|||||||||||||||  ||||||||||||||</w:t>
      </w:r>
      <w:r w:rsidR="00F32CFA" w:rsidRPr="00F32CFA">
        <w:rPr>
          <w:color w:val="000000"/>
          <w:spacing w:val="28"/>
          <w:w w:val="66"/>
          <w:shd w:val="solid" w:color="000000" w:fill="000000"/>
          <w:fitText w:val="1910" w:id="-1402745856"/>
          <w14:textFill>
            <w14:solidFill>
              <w14:srgbClr w14:val="000000">
                <w14:alpha w14:val="100000"/>
              </w14:srgbClr>
            </w14:solidFill>
          </w14:textFill>
        </w:rPr>
        <w:t>|</w:t>
      </w:r>
      <w:r w:rsidR="004974F8">
        <w:t xml:space="preserve">Gonzales 2006; Jorenby 2006; Aubin 2008. </w:t>
      </w:r>
    </w:p>
    <w:p w14:paraId="260BC121" w14:textId="3CA1ADC1" w:rsidR="00A676A6" w:rsidRPr="00F414F9" w:rsidRDefault="00B05DCD" w:rsidP="002004BB">
      <w:pPr>
        <w:pStyle w:val="TableFooter"/>
        <w:keepNext/>
        <w:spacing w:after="120"/>
        <w:contextualSpacing w:val="0"/>
        <w:jc w:val="both"/>
      </w:pPr>
      <w:r>
        <w:t>Abbreviations</w:t>
      </w:r>
      <w:r w:rsidR="00A676A6">
        <w:t xml:space="preserve">: NRT = nicotine replacement therapy; </w:t>
      </w:r>
      <w:r w:rsidR="00AE7547">
        <w:t xml:space="preserve">SR = sustained release; </w:t>
      </w:r>
      <w:r w:rsidR="002B0DC8">
        <w:t xml:space="preserve">TQD = target quit date. </w:t>
      </w:r>
    </w:p>
    <w:p w14:paraId="4E100690" w14:textId="7817AB35" w:rsidR="00526861" w:rsidRDefault="00526861" w:rsidP="002004BB">
      <w:pPr>
        <w:spacing w:after="120"/>
        <w:jc w:val="both"/>
      </w:pPr>
      <w:r w:rsidRPr="00526861">
        <w:t xml:space="preserve">A summary of the citation details for the studies </w:t>
      </w:r>
      <w:r w:rsidR="004D5642">
        <w:t xml:space="preserve">examining </w:t>
      </w:r>
      <w:r w:rsidR="004D5642" w:rsidRPr="004D5642">
        <w:t>the comparative eff</w:t>
      </w:r>
      <w:r w:rsidR="00411104">
        <w:t>icacy</w:t>
      </w:r>
      <w:r w:rsidR="004D5642" w:rsidRPr="004D5642">
        <w:t xml:space="preserve"> of behavioural support in addition to pharmacothera</w:t>
      </w:r>
      <w:r w:rsidR="00752D54">
        <w:t>pies</w:t>
      </w:r>
      <w:r w:rsidR="004D5642" w:rsidRPr="004D5642">
        <w:t xml:space="preserve"> </w:t>
      </w:r>
      <w:r w:rsidRPr="00526861">
        <w:t xml:space="preserve">is presented in </w:t>
      </w:r>
      <w:r w:rsidR="004D5642">
        <w:fldChar w:fldCharType="begin" w:fldLock="1"/>
      </w:r>
      <w:r w:rsidR="004D5642">
        <w:instrText xml:space="preserve"> REF _Ref61773812 \h </w:instrText>
      </w:r>
      <w:r w:rsidR="004D5642">
        <w:fldChar w:fldCharType="separate"/>
      </w:r>
      <w:r w:rsidR="00EC5CC7">
        <w:t xml:space="preserve">Table </w:t>
      </w:r>
      <w:r w:rsidR="00EC5CC7">
        <w:rPr>
          <w:noProof/>
        </w:rPr>
        <w:t>117</w:t>
      </w:r>
      <w:r w:rsidR="004D5642">
        <w:fldChar w:fldCharType="end"/>
      </w:r>
      <w:r w:rsidRPr="00526861">
        <w:t xml:space="preserve">. </w:t>
      </w:r>
      <w:r w:rsidR="00191469">
        <w:t>Six</w:t>
      </w:r>
      <w:r w:rsidRPr="00526861">
        <w:t xml:space="preserve"> Cochrane Review</w:t>
      </w:r>
      <w:r w:rsidR="0056562B">
        <w:t>s</w:t>
      </w:r>
      <w:r w:rsidRPr="00526861">
        <w:t xml:space="preserve"> w</w:t>
      </w:r>
      <w:r w:rsidR="00191469">
        <w:t>ere</w:t>
      </w:r>
      <w:r w:rsidRPr="00526861">
        <w:t xml:space="preserve"> identified in the systematic literature review that </w:t>
      </w:r>
      <w:r w:rsidR="00A2470E">
        <w:t>provide evidence for the comparative eff</w:t>
      </w:r>
      <w:r w:rsidR="00E57256">
        <w:t>icacy</w:t>
      </w:r>
      <w:r w:rsidR="00A2470E">
        <w:t xml:space="preserve"> of behavioural support in addition to pharmacotherap</w:t>
      </w:r>
      <w:r w:rsidR="00752D54">
        <w:t>ies</w:t>
      </w:r>
      <w:r w:rsidRPr="00526861">
        <w:t xml:space="preserve"> and w</w:t>
      </w:r>
      <w:r w:rsidR="00A2470E">
        <w:t>ere</w:t>
      </w:r>
      <w:r w:rsidRPr="00526861">
        <w:t xml:space="preserve"> included in this report</w:t>
      </w:r>
      <w:r w:rsidR="0056562B">
        <w:t xml:space="preserve"> (</w:t>
      </w:r>
      <w:r w:rsidR="00C41E41">
        <w:t xml:space="preserve">Lancaster 2017, Stead 2017, </w:t>
      </w:r>
      <w:r w:rsidR="0056562B">
        <w:t xml:space="preserve">Carson-Chahhoud 2019, Hartmann-Boyce 2019, Livingstone-Banks 2019b, </w:t>
      </w:r>
      <w:r w:rsidR="00B05DCD">
        <w:t>and Matkin</w:t>
      </w:r>
      <w:r w:rsidR="0056562B">
        <w:t xml:space="preserve"> 2019</w:t>
      </w:r>
      <w:r w:rsidR="00C41E41">
        <w:t>)</w:t>
      </w:r>
      <w:r w:rsidRPr="00526861">
        <w:t>.</w:t>
      </w:r>
    </w:p>
    <w:p w14:paraId="015A6A06" w14:textId="04A207CE" w:rsidR="007B71CA" w:rsidRDefault="007B71CA" w:rsidP="002004BB">
      <w:pPr>
        <w:spacing w:after="120"/>
        <w:jc w:val="both"/>
      </w:pPr>
    </w:p>
    <w:p w14:paraId="57120FF9" w14:textId="77777777" w:rsidR="007B71CA" w:rsidRDefault="007B71CA" w:rsidP="002004BB">
      <w:pPr>
        <w:spacing w:after="120"/>
        <w:jc w:val="both"/>
      </w:pPr>
    </w:p>
    <w:p w14:paraId="72E12AF6" w14:textId="049C90F7" w:rsidR="00B100E0" w:rsidRDefault="00B100E0" w:rsidP="002004BB">
      <w:pPr>
        <w:pStyle w:val="Caption"/>
        <w:keepNext/>
        <w:spacing w:before="0" w:after="120"/>
        <w:jc w:val="both"/>
      </w:pPr>
      <w:bookmarkStart w:id="206" w:name="_Ref61773812"/>
      <w:r>
        <w:lastRenderedPageBreak/>
        <w:t xml:space="preserve">Table </w:t>
      </w:r>
      <w:r w:rsidR="00BF3F75">
        <w:fldChar w:fldCharType="begin"/>
      </w:r>
      <w:r w:rsidR="00BF3F75">
        <w:instrText xml:space="preserve"> SEQ Table \* ARABIC </w:instrText>
      </w:r>
      <w:r w:rsidR="00BF3F75">
        <w:fldChar w:fldCharType="separate"/>
      </w:r>
      <w:r w:rsidR="00EC5CC7">
        <w:rPr>
          <w:noProof/>
        </w:rPr>
        <w:t>117</w:t>
      </w:r>
      <w:r w:rsidR="00BF3F75">
        <w:rPr>
          <w:noProof/>
        </w:rPr>
        <w:fldChar w:fldCharType="end"/>
      </w:r>
      <w:bookmarkEnd w:id="206"/>
      <w:r>
        <w:t xml:space="preserve">: </w:t>
      </w:r>
      <w:r w:rsidRPr="00285E05">
        <w:t>List of studies examining behavioural support in addition to pharmacotherap</w:t>
      </w:r>
      <w:r w:rsidR="00752D54">
        <w:t>ies</w:t>
      </w:r>
    </w:p>
    <w:tbl>
      <w:tblPr>
        <w:tblStyle w:val="TableGrid"/>
        <w:tblW w:w="0" w:type="auto"/>
        <w:tblLook w:val="04A0" w:firstRow="1" w:lastRow="0" w:firstColumn="1" w:lastColumn="0" w:noHBand="0" w:noVBand="1"/>
      </w:tblPr>
      <w:tblGrid>
        <w:gridCol w:w="1838"/>
        <w:gridCol w:w="7178"/>
      </w:tblGrid>
      <w:tr w:rsidR="00843C2E" w:rsidRPr="00BB0BE1" w14:paraId="700FE3D7" w14:textId="77777777" w:rsidTr="00B100E0">
        <w:tc>
          <w:tcPr>
            <w:tcW w:w="1838" w:type="dxa"/>
            <w:shd w:val="clear" w:color="auto" w:fill="BFBFBF" w:themeFill="background1" w:themeFillShade="BF"/>
          </w:tcPr>
          <w:p w14:paraId="009BA15F" w14:textId="74C85BD2" w:rsidR="0066336F" w:rsidRPr="00B100E0" w:rsidRDefault="00B100E0" w:rsidP="00B100E0">
            <w:pPr>
              <w:pStyle w:val="Tablewriting"/>
              <w:rPr>
                <w:b/>
                <w:bCs/>
              </w:rPr>
            </w:pPr>
            <w:r>
              <w:rPr>
                <w:b/>
                <w:bCs/>
              </w:rPr>
              <w:t>Study</w:t>
            </w:r>
          </w:p>
        </w:tc>
        <w:tc>
          <w:tcPr>
            <w:tcW w:w="7178" w:type="dxa"/>
            <w:shd w:val="clear" w:color="auto" w:fill="BFBFBF" w:themeFill="background1" w:themeFillShade="BF"/>
          </w:tcPr>
          <w:p w14:paraId="6D8A5C9D" w14:textId="46DEDABE" w:rsidR="0066336F" w:rsidRPr="00B100E0" w:rsidRDefault="0066336F" w:rsidP="00B100E0">
            <w:pPr>
              <w:pStyle w:val="Tablewriting"/>
              <w:jc w:val="center"/>
              <w:rPr>
                <w:b/>
                <w:bCs/>
              </w:rPr>
            </w:pPr>
            <w:r w:rsidRPr="00B100E0">
              <w:rPr>
                <w:b/>
                <w:bCs/>
              </w:rPr>
              <w:t>Citation</w:t>
            </w:r>
          </w:p>
        </w:tc>
      </w:tr>
      <w:tr w:rsidR="00843C2E" w14:paraId="35FD5FBA" w14:textId="77777777" w:rsidTr="00B100E0">
        <w:tc>
          <w:tcPr>
            <w:tcW w:w="1838" w:type="dxa"/>
          </w:tcPr>
          <w:p w14:paraId="74E1FE3F" w14:textId="77777777" w:rsidR="00C41E41" w:rsidRDefault="00C41E41" w:rsidP="00C41E41">
            <w:pPr>
              <w:pStyle w:val="Tablewriting"/>
            </w:pPr>
            <w:r>
              <w:t xml:space="preserve">Lancaster </w:t>
            </w:r>
          </w:p>
          <w:p w14:paraId="61FBDFF9" w14:textId="249EA6D1" w:rsidR="00C41E41" w:rsidRPr="00935B04" w:rsidRDefault="00C41E41" w:rsidP="00C41E41">
            <w:pPr>
              <w:pStyle w:val="Tablewriting"/>
            </w:pPr>
            <w:r>
              <w:t>(2017)</w:t>
            </w:r>
            <w:hyperlink w:anchor="_ENREF_55" w:tooltip="Lancaster, 2017 #640" w:history="1">
              <w:r w:rsidR="0039468B">
                <w:fldChar w:fldCharType="begin"/>
              </w:r>
              <w:r w:rsidR="0039468B">
                <w:instrText xml:space="preserve"> ADDIN EN.CITE &lt;EndNote&gt;&lt;Cite&gt;&lt;Author&gt;Lancaster&lt;/Author&gt;&lt;Year&gt;2017&lt;/Year&gt;&lt;RecNum&gt;640&lt;/RecNum&gt;&lt;DisplayText&gt;&lt;style face="superscript"&gt;55&lt;/style&gt;&lt;/DisplayText&gt;&lt;record&gt;&lt;rec-number&gt;640&lt;/rec-number&gt;&lt;foreign-keys&gt;&lt;key app="EN" db-id="2xwa055rhevv2yef5v75fepy2azsv0xvx9w9" timestamp="1612000658"&gt;640&lt;/key&gt;&lt;/foreign-keys&gt;&lt;ref-type name="Journal Article"&gt;17&lt;/ref-type&gt;&lt;contributors&gt;&lt;authors&gt;&lt;author&gt;Lancaster, T.&lt;/author&gt;&lt;author&gt;Stead, L. F.&lt;/author&gt;&lt;/authors&gt;&lt;/contributors&gt;&lt;auth-address&gt;Nuffield Department of Primary Care Health Sciences, University of Oxford, Radcliffe Observatory Quarter, Woodstock Road, Oxford, UK, OX2 6GG.&lt;/auth-address&gt;&lt;titles&gt;&lt;title&gt;Individual behavioural counselling for smoking cessation&lt;/title&gt;&lt;secondary-title&gt;Cochrane Database Syst Rev&lt;/secondary-title&gt;&lt;/titles&gt;&lt;periodical&gt;&lt;full-title&gt;Cochrane Database Syst Rev&lt;/full-title&gt;&lt;/periodical&gt;&lt;pages&gt;CD001292&lt;/pages&gt;&lt;volume&gt;3&lt;/volume&gt;&lt;edition&gt;2017/04/01&lt;/edition&gt;&lt;keywords&gt;&lt;keyword&gt;*Behavior Therapy&lt;/keyword&gt;&lt;keyword&gt;Counseling/*methods&lt;/keyword&gt;&lt;keyword&gt;Humans&lt;/keyword&gt;&lt;keyword&gt;Psychotherapy, Group&lt;/keyword&gt;&lt;keyword&gt;Randomized Controlled Trials as Topic&lt;/keyword&gt;&lt;keyword&gt;Self-Help Groups&lt;/keyword&gt;&lt;keyword&gt;Smoking/drug therapy&lt;/keyword&gt;&lt;keyword&gt;Smoking Cessation/*methods/statistics &amp;amp; numerical data&lt;/keyword&gt;&lt;keyword&gt;*Smoking Prevention&lt;/keyword&gt;&lt;keyword&gt;Tobacco Use Cessation Devices&lt;/keyword&gt;&lt;/keywords&gt;&lt;dates&gt;&lt;year&gt;2017&lt;/year&gt;&lt;pub-dates&gt;&lt;date&gt;Mar 31&lt;/date&gt;&lt;/pub-dates&gt;&lt;/dates&gt;&lt;isbn&gt;1469-493X (Electronic)&amp;#xD;1361-6137 (Linking)&lt;/isbn&gt;&lt;accession-num&gt;28361496&lt;/accession-num&gt;&lt;urls&gt;&lt;related-urls&gt;&lt;url&gt;https://www.ncbi.nlm.nih.gov/pubmed/28361496&lt;/url&gt;&lt;/related-urls&gt;&lt;/urls&gt;&lt;custom2&gt;PMC6464359&lt;/custom2&gt;&lt;electronic-resource-num&gt;10.1002/14651858.CD001292.pub3&lt;/electronic-resource-num&gt;&lt;/record&gt;&lt;/Cite&gt;&lt;/EndNote&gt;</w:instrText>
              </w:r>
              <w:r w:rsidR="0039468B">
                <w:fldChar w:fldCharType="separate"/>
              </w:r>
              <w:r w:rsidR="0039468B" w:rsidRPr="0039468B">
                <w:rPr>
                  <w:noProof/>
                  <w:vertAlign w:val="superscript"/>
                </w:rPr>
                <w:t>55</w:t>
              </w:r>
              <w:r w:rsidR="0039468B">
                <w:fldChar w:fldCharType="end"/>
              </w:r>
            </w:hyperlink>
          </w:p>
        </w:tc>
        <w:tc>
          <w:tcPr>
            <w:tcW w:w="7178" w:type="dxa"/>
          </w:tcPr>
          <w:p w14:paraId="16CC4846" w14:textId="664746DC" w:rsidR="00C41E41" w:rsidRDefault="00C41E41" w:rsidP="00C41E41">
            <w:pPr>
              <w:pStyle w:val="Tablewriting"/>
            </w:pPr>
            <w:r w:rsidRPr="00BB0BE1">
              <w:t>Lancaster</w:t>
            </w:r>
            <w:r>
              <w:t xml:space="preserve"> </w:t>
            </w:r>
            <w:r w:rsidRPr="00BB0BE1">
              <w:t>T, Stead</w:t>
            </w:r>
            <w:r>
              <w:t xml:space="preserve"> </w:t>
            </w:r>
            <w:r w:rsidRPr="00BB0BE1">
              <w:t>LF. Individual behavioural counselling for smoking cessation. Cochrane Database of Systematic Reviews 2017, Issue 3. Art. No.: CD001292. DOI: 10.1002/14651858.CD001292.pub3</w:t>
            </w:r>
          </w:p>
        </w:tc>
      </w:tr>
      <w:tr w:rsidR="00843C2E" w14:paraId="783B6C45" w14:textId="77777777" w:rsidTr="00B100E0">
        <w:tc>
          <w:tcPr>
            <w:tcW w:w="1838" w:type="dxa"/>
          </w:tcPr>
          <w:p w14:paraId="5776575D" w14:textId="77777777" w:rsidR="00C41E41" w:rsidRDefault="00C41E41" w:rsidP="00C41E41">
            <w:pPr>
              <w:pStyle w:val="Tablewriting"/>
            </w:pPr>
            <w:r>
              <w:t xml:space="preserve">Stead </w:t>
            </w:r>
          </w:p>
          <w:p w14:paraId="24EDBA96" w14:textId="757273FE" w:rsidR="00C41E41" w:rsidRPr="00935B04" w:rsidRDefault="00C41E41" w:rsidP="00C41E41">
            <w:pPr>
              <w:pStyle w:val="Tablewriting"/>
            </w:pPr>
            <w:r>
              <w:t>(2017)</w:t>
            </w:r>
            <w:hyperlink w:anchor="_ENREF_56" w:tooltip="Stead, 2017 #644" w:history="1">
              <w:r w:rsidR="0039468B">
                <w:fldChar w:fldCharType="begin"/>
              </w:r>
              <w:r w:rsidR="0039468B">
                <w:instrText xml:space="preserve"> ADDIN EN.CITE &lt;EndNote&gt;&lt;Cite&gt;&lt;Author&gt;Stead&lt;/Author&gt;&lt;Year&gt;2017&lt;/Year&gt;&lt;RecNum&gt;644&lt;/RecNum&gt;&lt;DisplayText&gt;&lt;style face="superscript"&gt;56&lt;/style&gt;&lt;/DisplayText&gt;&lt;record&gt;&lt;rec-number&gt;644&lt;/rec-number&gt;&lt;foreign-keys&gt;&lt;key app="EN" db-id="2xwa055rhevv2yef5v75fepy2azsv0xvx9w9" timestamp="1612000727"&gt;644&lt;/key&gt;&lt;/foreign-keys&gt;&lt;ref-type name="Journal Article"&gt;17&lt;/ref-type&gt;&lt;contributors&gt;&lt;authors&gt;&lt;author&gt;Stead, L. F.&lt;/author&gt;&lt;author&gt;Carroll, A. J.&lt;/author&gt;&lt;author&gt;Lancaster, T.&lt;/author&gt;&lt;/authors&gt;&lt;/contributors&gt;&lt;auth-address&gt;Nuffield Department of Primary Care Health Sciences, University of Oxford, Radcliffe Observatory Quarter, Woodstock Road, Oxford, UK, OX2 6GG.&amp;#xD;Department of Preventive Medicine, Northwestern University Feinberg School of Medicine, 680 N. Lake Shore Drive, Chicago, Illinois, USA, 60611.&lt;/auth-address&gt;&lt;titles&gt;&lt;title&gt;Group behaviour therapy programmes for smoking cessation&lt;/title&gt;&lt;secondary-title&gt;Cochrane Database Syst Rev&lt;/secondary-title&gt;&lt;/titles&gt;&lt;periodical&gt;&lt;full-title&gt;Cochrane Database Syst Rev&lt;/full-title&gt;&lt;/periodical&gt;&lt;pages&gt;CD001007&lt;/pages&gt;&lt;volume&gt;3&lt;/volume&gt;&lt;edition&gt;2017/04/01&lt;/edition&gt;&lt;keywords&gt;&lt;keyword&gt;Behavior Therapy/*methods&lt;/keyword&gt;&lt;keyword&gt;Counseling&lt;/keyword&gt;&lt;keyword&gt;Humans&lt;/keyword&gt;&lt;keyword&gt;Program Evaluation&lt;/keyword&gt;&lt;keyword&gt;*Psychotherapy, Group&lt;/keyword&gt;&lt;keyword&gt;Randomized Controlled Trials as Topic&lt;/keyword&gt;&lt;keyword&gt;Self-Help Groups&lt;/keyword&gt;&lt;keyword&gt;Smoking/drug therapy&lt;/keyword&gt;&lt;keyword&gt;Smoking Cessation/*methods/statistics &amp;amp; numerical data&lt;/keyword&gt;&lt;keyword&gt;*Smoking Prevention&lt;/keyword&gt;&lt;/keywords&gt;&lt;dates&gt;&lt;year&gt;2017&lt;/year&gt;&lt;pub-dates&gt;&lt;date&gt;Mar 31&lt;/date&gt;&lt;/pub-dates&gt;&lt;/dates&gt;&lt;isbn&gt;1469-493X (Electronic)&amp;#xD;1361-6137 (Linking)&lt;/isbn&gt;&lt;accession-num&gt;28361497&lt;/accession-num&gt;&lt;urls&gt;&lt;related-urls&gt;&lt;url&gt;https://www.ncbi.nlm.nih.gov/pubmed/28361497&lt;/url&gt;&lt;/related-urls&gt;&lt;/urls&gt;&lt;custom2&gt;PMC6464070&lt;/custom2&gt;&lt;electronic-resource-num&gt;10.1002/14651858.CD001007.pub3&lt;/electronic-resource-num&gt;&lt;/record&gt;&lt;/Cite&gt;&lt;/EndNote&gt;</w:instrText>
              </w:r>
              <w:r w:rsidR="0039468B">
                <w:fldChar w:fldCharType="separate"/>
              </w:r>
              <w:r w:rsidR="0039468B" w:rsidRPr="0039468B">
                <w:rPr>
                  <w:noProof/>
                  <w:vertAlign w:val="superscript"/>
                </w:rPr>
                <w:t>56</w:t>
              </w:r>
              <w:r w:rsidR="0039468B">
                <w:fldChar w:fldCharType="end"/>
              </w:r>
            </w:hyperlink>
          </w:p>
        </w:tc>
        <w:tc>
          <w:tcPr>
            <w:tcW w:w="7178" w:type="dxa"/>
          </w:tcPr>
          <w:p w14:paraId="4F1BCAAF" w14:textId="60E0DF89" w:rsidR="00C41E41" w:rsidRDefault="00C41E41" w:rsidP="00C41E41">
            <w:pPr>
              <w:pStyle w:val="Tablewriting"/>
            </w:pPr>
            <w:r w:rsidRPr="00FE0A44">
              <w:t>Stead</w:t>
            </w:r>
            <w:r>
              <w:t xml:space="preserve"> </w:t>
            </w:r>
            <w:r w:rsidRPr="00FE0A44">
              <w:t>LF, Carroll</w:t>
            </w:r>
            <w:r>
              <w:t xml:space="preserve"> </w:t>
            </w:r>
            <w:r w:rsidRPr="00FE0A44">
              <w:t>AJ, Lancaster</w:t>
            </w:r>
            <w:r>
              <w:t xml:space="preserve"> </w:t>
            </w:r>
            <w:r w:rsidRPr="00FE0A44">
              <w:t>T. Group behaviour therapy programmes for smoking cessation. Cochrane Database of Systematic Reviews 2017, Issue 3. Art. No.: CD001007. DOI: 10.1002/14651858.CD001007.pub3.</w:t>
            </w:r>
          </w:p>
        </w:tc>
      </w:tr>
      <w:tr w:rsidR="00843C2E" w14:paraId="7B8B0A19" w14:textId="77777777" w:rsidTr="00B100E0">
        <w:tc>
          <w:tcPr>
            <w:tcW w:w="1838" w:type="dxa"/>
          </w:tcPr>
          <w:p w14:paraId="380B1B91" w14:textId="77777777" w:rsidR="00B100E0" w:rsidRDefault="00A34EAA" w:rsidP="00B100E0">
            <w:pPr>
              <w:pStyle w:val="Tablewriting"/>
            </w:pPr>
            <w:r w:rsidRPr="00935B04">
              <w:t xml:space="preserve">Carson-Chahhoud </w:t>
            </w:r>
          </w:p>
          <w:p w14:paraId="2CA492FD" w14:textId="42D8CFD5" w:rsidR="00A34EAA" w:rsidRDefault="00B100E0" w:rsidP="00B100E0">
            <w:pPr>
              <w:pStyle w:val="Tablewriting"/>
            </w:pPr>
            <w:r>
              <w:t>(</w:t>
            </w:r>
            <w:r w:rsidR="00A34EAA" w:rsidRPr="00935B04">
              <w:t>2019</w:t>
            </w:r>
            <w:r>
              <w:t>)</w:t>
            </w:r>
            <w:hyperlink w:anchor="_ENREF_57" w:tooltip="Carson-Chahhoud, 2019 #645" w:history="1">
              <w:r w:rsidR="0039468B">
                <w:fldChar w:fldCharType="begin">
                  <w:fldData xml:space="preserve">PEVuZE5vdGU+PENpdGU+PEF1dGhvcj5DYXJzb24tQ2hhaGhvdWQ8L0F1dGhvcj48WWVhcj4yMDE5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</w:fldData>
                </w:fldChar>
              </w:r>
              <w:r w:rsidR="0039468B">
                <w:instrText xml:space="preserve"> ADDIN EN.CITE </w:instrText>
              </w:r>
              <w:r w:rsidR="0039468B">
                <w:fldChar w:fldCharType="begin">
                  <w:fldData xml:space="preserve">PEVuZE5vdGU+PENpdGU+PEF1dGhvcj5DYXJzb24tQ2hhaGhvdWQ8L0F1dGhvcj48WWVhcj4yMDE5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</w:fldData>
                </w:fldChar>
              </w:r>
              <w:r w:rsidR="0039468B">
                <w:instrText xml:space="preserve"> ADDIN EN.CITE.DATA </w:instrText>
              </w:r>
              <w:r w:rsidR="0039468B">
                <w:fldChar w:fldCharType="end"/>
              </w:r>
              <w:r w:rsidR="0039468B">
                <w:fldChar w:fldCharType="separate"/>
              </w:r>
              <w:r w:rsidR="0039468B" w:rsidRPr="0039468B">
                <w:rPr>
                  <w:noProof/>
                  <w:vertAlign w:val="superscript"/>
                </w:rPr>
                <w:t>57</w:t>
              </w:r>
              <w:r w:rsidR="0039468B">
                <w:fldChar w:fldCharType="end"/>
              </w:r>
            </w:hyperlink>
          </w:p>
        </w:tc>
        <w:tc>
          <w:tcPr>
            <w:tcW w:w="7178" w:type="dxa"/>
          </w:tcPr>
          <w:p w14:paraId="40A7AC55" w14:textId="01175C97" w:rsidR="00A34EAA" w:rsidRDefault="00CB4948" w:rsidP="00B100E0">
            <w:pPr>
              <w:pStyle w:val="Tablewriting"/>
            </w:pPr>
            <w:r>
              <w:t xml:space="preserve">Carson-Chahhoud KV, Livingstone-Banks J, Sharrad KJ, Kopsaftis </w:t>
            </w:r>
            <w:r w:rsidR="00E51BB3">
              <w:t>Z, Brinn MP, To-A-Nan R, Bond CM. Community pharmac</w:t>
            </w:r>
            <w:r w:rsidR="00477CBA">
              <w:t>y</w:t>
            </w:r>
            <w:r w:rsidR="00E51BB3">
              <w:t xml:space="preserve"> personnel interve</w:t>
            </w:r>
            <w:r w:rsidR="00477CBA">
              <w:t>nt</w:t>
            </w:r>
            <w:r w:rsidR="00E51BB3">
              <w:t>ions for smoking cessation</w:t>
            </w:r>
            <w:r w:rsidR="00813109">
              <w:t xml:space="preserve">. </w:t>
            </w:r>
            <w:r w:rsidR="00813109" w:rsidRPr="00813109">
              <w:t>Cochrane Database of Systematic Reviews 2019, Issue 10. Art. No.: CD003698. DOI: 10.1002/14651858.CD003698.pub3.</w:t>
            </w:r>
          </w:p>
        </w:tc>
      </w:tr>
      <w:tr w:rsidR="00843C2E" w14:paraId="78E731BE" w14:textId="77777777" w:rsidTr="00B100E0">
        <w:tc>
          <w:tcPr>
            <w:tcW w:w="1838" w:type="dxa"/>
          </w:tcPr>
          <w:p w14:paraId="200F5D64" w14:textId="12AA0243" w:rsidR="00A34EAA" w:rsidRDefault="00A34EAA" w:rsidP="00B100E0">
            <w:pPr>
              <w:pStyle w:val="Tablewriting"/>
            </w:pPr>
            <w:r>
              <w:t xml:space="preserve">Hartmann-Boyce </w:t>
            </w:r>
            <w:r w:rsidR="00B100E0">
              <w:t>(</w:t>
            </w:r>
            <w:r>
              <w:t>2019</w:t>
            </w:r>
            <w:r w:rsidR="00B100E0">
              <w:t>)</w:t>
            </w:r>
            <w:hyperlink w:anchor="_ENREF_58" w:tooltip="Hartmann-Boyce, 2019 #646" w:history="1">
              <w:r w:rsidR="0039468B">
                <w:fldChar w:fldCharType="begin"/>
              </w:r>
              <w:r w:rsidR="0039468B">
                <w:instrText xml:space="preserve"> ADDIN EN.CITE &lt;EndNote&gt;&lt;Cite&gt;&lt;Author&gt;Hartmann-Boyce&lt;/Author&gt;&lt;Year&gt;2019&lt;/Year&gt;&lt;RecNum&gt;646&lt;/RecNum&gt;&lt;DisplayText&gt;&lt;style face="superscript"&gt;58&lt;/style&gt;&lt;/DisplayText&gt;&lt;record&gt;&lt;rec-number&gt;646&lt;/rec-number&gt;&lt;foreign-keys&gt;&lt;key app="EN" db-id="2xwa055rhevv2yef5v75fepy2azsv0xvx9w9" timestamp="1612000805"&gt;646&lt;/key&gt;&lt;/foreign-keys&gt;&lt;ref-type name="Journal Article"&gt;17&lt;/ref-type&gt;&lt;contributors&gt;&lt;authors&gt;&lt;author&gt;Hartmann-Boyce, J.&lt;/author&gt;&lt;author&gt;Hong, B.&lt;/author&gt;&lt;author&gt;Livingstone-Banks, J.&lt;/author&gt;&lt;author&gt;Wheat, H.&lt;/author&gt;&lt;author&gt;Fanshawe, T. R.&lt;/author&gt;&lt;/authors&gt;&lt;/contributors&gt;&lt;auth-address&gt;Nuffield Department of Primary Care Health Sciences, University of Oxford, Radcliffe Observatory Quarter, Woodstock Road, Oxford, UK, OX2 6GG.&lt;/auth-address&gt;&lt;titles&gt;&lt;title&gt;Additional behavioural support as an adjunct to pharmacotherapy for smoking cessation&lt;/title&gt;&lt;secondary-title&gt;Cochrane Database Syst Rev&lt;/secondary-title&gt;&lt;/titles&gt;&lt;periodical&gt;&lt;full-title&gt;Cochrane Database Syst Rev&lt;/full-title&gt;&lt;/periodical&gt;&lt;pages&gt;CD009670&lt;/pages&gt;&lt;volume&gt;6&lt;/volume&gt;&lt;edition&gt;2019/06/06&lt;/edition&gt;&lt;keywords&gt;&lt;keyword&gt;*Behavior Therapy/methods&lt;/keyword&gt;&lt;keyword&gt;Bupropion/therapeutic use&lt;/keyword&gt;&lt;keyword&gt;Combined Modality Therapy&lt;/keyword&gt;&lt;keyword&gt;Female&lt;/keyword&gt;&lt;keyword&gt;Humans&lt;/keyword&gt;&lt;keyword&gt;Nicotinic Agonists/therapeutic use&lt;/keyword&gt;&lt;keyword&gt;Nortriptyline/therapeutic use&lt;/keyword&gt;&lt;keyword&gt;Pregnancy&lt;/keyword&gt;&lt;keyword&gt;Smoking/therapy&lt;/keyword&gt;&lt;keyword&gt;*Smoking Cessation/methods&lt;/keyword&gt;&lt;keyword&gt;Tobacco Use Cessation Devices&lt;/keyword&gt;&lt;keyword&gt;*Tobacco Use Disorder/therapy&lt;/keyword&gt;&lt;keyword&gt;Varenicline/therapeutic use&lt;/keyword&gt;&lt;/keywords&gt;&lt;dates&gt;&lt;year&gt;2019&lt;/year&gt;&lt;pub-dates&gt;&lt;date&gt;Jun 5&lt;/date&gt;&lt;/pub-dates&gt;&lt;/dates&gt;&lt;isbn&gt;1469-493X (Electronic)&amp;#xD;1361-6137 (Linking)&lt;/isbn&gt;&lt;accession-num&gt;31166007&lt;/accession-num&gt;&lt;urls&gt;&lt;related-urls&gt;&lt;url&gt;https://www.ncbi.nlm.nih.gov/pubmed/31166007&lt;/url&gt;&lt;/related-urls&gt;&lt;/urls&gt;&lt;custom2&gt;PMC6549450&lt;/custom2&gt;&lt;electronic-resource-num&gt;10.1002/14651858.CD009670.pub4&lt;/electronic-resource-num&gt;&lt;/record&gt;&lt;/Cite&gt;&lt;/EndNote&gt;</w:instrText>
              </w:r>
              <w:r w:rsidR="0039468B">
                <w:fldChar w:fldCharType="separate"/>
              </w:r>
              <w:r w:rsidR="0039468B" w:rsidRPr="0039468B">
                <w:rPr>
                  <w:noProof/>
                  <w:vertAlign w:val="superscript"/>
                </w:rPr>
                <w:t>58</w:t>
              </w:r>
              <w:r w:rsidR="0039468B">
                <w:fldChar w:fldCharType="end"/>
              </w:r>
            </w:hyperlink>
          </w:p>
        </w:tc>
        <w:tc>
          <w:tcPr>
            <w:tcW w:w="7178" w:type="dxa"/>
          </w:tcPr>
          <w:p w14:paraId="087E85FF" w14:textId="593A6A65" w:rsidR="00A34EAA" w:rsidRDefault="009E330E" w:rsidP="00B100E0">
            <w:pPr>
              <w:pStyle w:val="Tablewriting"/>
            </w:pPr>
            <w:r w:rsidRPr="009E330E">
              <w:t>Hartmann-Boyce</w:t>
            </w:r>
            <w:r>
              <w:t xml:space="preserve"> </w:t>
            </w:r>
            <w:r w:rsidRPr="009E330E">
              <w:t>J, Hong</w:t>
            </w:r>
            <w:r>
              <w:t xml:space="preserve"> </w:t>
            </w:r>
            <w:r w:rsidRPr="009E330E">
              <w:t>B, Livingstone-Banks</w:t>
            </w:r>
            <w:r>
              <w:t xml:space="preserve"> </w:t>
            </w:r>
            <w:r w:rsidRPr="009E330E">
              <w:t>J, Wheat</w:t>
            </w:r>
            <w:r>
              <w:t xml:space="preserve"> </w:t>
            </w:r>
            <w:r w:rsidRPr="009E330E">
              <w:t>H, Fanshawe</w:t>
            </w:r>
            <w:r>
              <w:t xml:space="preserve"> </w:t>
            </w:r>
            <w:r w:rsidRPr="009E330E">
              <w:t>TR. Additional behavioural support as an adjunct to pharmacotherapy for smoking cessation. Cochrane Database of Systematic Reviews 2019, Issue 6. Art. No.: CD009670. DOI: 10.1002/14651858.CD009670.pub4.</w:t>
            </w:r>
          </w:p>
        </w:tc>
      </w:tr>
      <w:tr w:rsidR="00843C2E" w14:paraId="5186C1B1" w14:textId="77777777" w:rsidTr="00B100E0">
        <w:tc>
          <w:tcPr>
            <w:tcW w:w="1838" w:type="dxa"/>
          </w:tcPr>
          <w:p w14:paraId="586C495F" w14:textId="1F257CB0" w:rsidR="00A34EAA" w:rsidRDefault="00A34EAA" w:rsidP="00B100E0">
            <w:pPr>
              <w:pStyle w:val="Tablewriting"/>
            </w:pPr>
            <w:r w:rsidRPr="00673DED">
              <w:t xml:space="preserve">Livingstone-Banks </w:t>
            </w:r>
            <w:r w:rsidR="00B100E0">
              <w:t>(</w:t>
            </w:r>
            <w:r w:rsidRPr="00673DED">
              <w:t>2019b)</w:t>
            </w:r>
            <w:hyperlink w:anchor="_ENREF_59" w:tooltip="Livingstone-Banks, 2019 #647" w:history="1">
              <w:r w:rsidR="0039468B">
                <w:fldChar w:fldCharType="begin"/>
              </w:r>
              <w:r w:rsidR="0039468B">
                <w:instrText xml:space="preserve"> ADDIN EN.CITE &lt;EndNote&gt;&lt;Cite&gt;&lt;Author&gt;Livingstone-Banks&lt;/Author&gt;&lt;Year&gt;2019&lt;/Year&gt;&lt;RecNum&gt;647&lt;/RecNum&gt;&lt;DisplayText&gt;&lt;style face="superscript"&gt;59&lt;/style&gt;&lt;/DisplayText&gt;&lt;record&gt;&lt;rec-number&gt;647&lt;/rec-number&gt;&lt;foreign-keys&gt;&lt;key app="EN" db-id="2xwa055rhevv2yef5v75fepy2azsv0xvx9w9" timestamp="1612000893"&gt;647&lt;/key&gt;&lt;/foreign-keys&gt;&lt;ref-type name="Journal Article"&gt;17&lt;/ref-type&gt;&lt;contributors&gt;&lt;authors&gt;&lt;author&gt;Livingstone-Banks, J.&lt;/author&gt;&lt;author&gt;Ordonez-Mena, J. M.&lt;/author&gt;&lt;author&gt;Hartmann-Boyce, J.&lt;/author&gt;&lt;/authors&gt;&lt;/contributors&gt;&lt;auth-address&gt;Nuffield Department of Primary Care Health Sciences, University of Oxford, Oxford, UK.&lt;/auth-address&gt;&lt;titles&gt;&lt;title&gt;Print-based self-help interventions for smoking cessation&lt;/title&gt;&lt;secondary-title&gt;Cochrane Database Syst Rev&lt;/secondary-title&gt;&lt;/titles&gt;&lt;periodical&gt;&lt;full-title&gt;Cochrane Database Syst Rev&lt;/full-title&gt;&lt;/periodical&gt;&lt;pages&gt;CD001118&lt;/pages&gt;&lt;volume&gt;1&lt;/volume&gt;&lt;edition&gt;2019/01/10&lt;/edition&gt;&lt;keywords&gt;&lt;keyword&gt;Behavior Therapy&lt;/keyword&gt;&lt;keyword&gt;Chewing Gum&lt;/keyword&gt;&lt;keyword&gt;Humans&lt;/keyword&gt;&lt;keyword&gt;Nicotine/analogs &amp;amp; derivatives/therapeutic use&lt;/keyword&gt;&lt;keyword&gt;Pamphlets&lt;/keyword&gt;&lt;keyword&gt;Patient Education as Topic&lt;/keyword&gt;&lt;keyword&gt;Polymethacrylic Acids/therapeutic use&lt;/keyword&gt;&lt;keyword&gt;Polyvinyls/therapeutic use&lt;/keyword&gt;&lt;keyword&gt;Randomized Controlled Trials as Topic&lt;/keyword&gt;&lt;keyword&gt;Self Care/*methods&lt;/keyword&gt;&lt;keyword&gt;Smoking Cessation/*methods&lt;/keyword&gt;&lt;keyword&gt;*Smoking Prevention&lt;/keyword&gt;&lt;keyword&gt;Temperance/statistics &amp;amp; numerical data&lt;/keyword&gt;&lt;keyword&gt;Tobacco Use Cessation Devices&lt;/keyword&gt;&lt;/keywords&gt;&lt;dates&gt;&lt;year&gt;2019&lt;/year&gt;&lt;pub-dates&gt;&lt;date&gt;Jan 9&lt;/date&gt;&lt;/pub-dates&gt;&lt;/dates&gt;&lt;isbn&gt;1469-493X (Electronic)&amp;#xD;1361-6137 (Linking)&lt;/isbn&gt;&lt;accession-num&gt;30623970&lt;/accession-num&gt;&lt;urls&gt;&lt;related-urls&gt;&lt;url&gt;https://www.ncbi.nlm.nih.gov/pubmed/30623970&lt;/url&gt;&lt;/related-urls&gt;&lt;/urls&gt;&lt;custom2&gt;PMC7112723&lt;/custom2&gt;&lt;electronic-resource-num&gt;10.1002/14651858.CD001118.pub4&lt;/electronic-resource-num&gt;&lt;/record&gt;&lt;/Cite&gt;&lt;/EndNote&gt;</w:instrText>
              </w:r>
              <w:r w:rsidR="0039468B">
                <w:fldChar w:fldCharType="separate"/>
              </w:r>
              <w:r w:rsidR="0039468B" w:rsidRPr="0039468B">
                <w:rPr>
                  <w:noProof/>
                  <w:vertAlign w:val="superscript"/>
                </w:rPr>
                <w:t>59</w:t>
              </w:r>
              <w:r w:rsidR="0039468B">
                <w:fldChar w:fldCharType="end"/>
              </w:r>
            </w:hyperlink>
          </w:p>
        </w:tc>
        <w:tc>
          <w:tcPr>
            <w:tcW w:w="7178" w:type="dxa"/>
          </w:tcPr>
          <w:p w14:paraId="4D47AB63" w14:textId="53152DCF" w:rsidR="00A34EAA" w:rsidRDefault="00EC132F" w:rsidP="00B100E0">
            <w:pPr>
              <w:pStyle w:val="Tablewriting"/>
            </w:pPr>
            <w:r w:rsidRPr="00EC132F">
              <w:t>Livingstone-Banks</w:t>
            </w:r>
            <w:r>
              <w:t xml:space="preserve"> </w:t>
            </w:r>
            <w:r w:rsidRPr="00EC132F">
              <w:t>J, Ordóñez-Mena</w:t>
            </w:r>
            <w:r>
              <w:t xml:space="preserve"> </w:t>
            </w:r>
            <w:r w:rsidRPr="00EC132F">
              <w:t>JM, Hartmann-Boyce</w:t>
            </w:r>
            <w:r>
              <w:t xml:space="preserve"> </w:t>
            </w:r>
            <w:r w:rsidRPr="00EC132F">
              <w:t>J. Print-based self-help interventions for smoking cessation. Cochrane Database of Systematic Reviews 2019, Issue 1. Art. No.: CD001118. DOI: 10.1002/14651858.CD001118.pub4.</w:t>
            </w:r>
          </w:p>
        </w:tc>
      </w:tr>
      <w:tr w:rsidR="00843C2E" w14:paraId="19FF6224" w14:textId="77777777" w:rsidTr="00B100E0">
        <w:tc>
          <w:tcPr>
            <w:tcW w:w="1838" w:type="dxa"/>
          </w:tcPr>
          <w:p w14:paraId="3DFF0E14" w14:textId="77777777" w:rsidR="00B100E0" w:rsidRDefault="00A34EAA" w:rsidP="00B100E0">
            <w:pPr>
              <w:pStyle w:val="Tablewriting"/>
            </w:pPr>
            <w:r>
              <w:t xml:space="preserve">Matkin </w:t>
            </w:r>
          </w:p>
          <w:p w14:paraId="39C17D24" w14:textId="7C2D3630" w:rsidR="00A34EAA" w:rsidRDefault="00B100E0" w:rsidP="00B100E0">
            <w:pPr>
              <w:pStyle w:val="Tablewriting"/>
            </w:pPr>
            <w:r>
              <w:t>(</w:t>
            </w:r>
            <w:r w:rsidR="00A34EAA">
              <w:t>2019</w:t>
            </w:r>
            <w:r>
              <w:t>)</w:t>
            </w:r>
            <w:hyperlink w:anchor="_ENREF_60" w:tooltip="Matkin, 2019 #648" w:history="1">
              <w:r w:rsidR="0039468B">
                <w:fldChar w:fldCharType="begin"/>
              </w:r>
              <w:r w:rsidR="0039468B">
                <w:instrText xml:space="preserve"> ADDIN EN.CITE &lt;EndNote&gt;&lt;Cite&gt;&lt;Author&gt;Matkin&lt;/Author&gt;&lt;Year&gt;2019&lt;/Year&gt;&lt;RecNum&gt;648&lt;/RecNum&gt;&lt;DisplayText&gt;&lt;style face="superscript"&gt;60&lt;/style&gt;&lt;/DisplayText&gt;&lt;record&gt;&lt;rec-number&gt;648&lt;/rec-number&gt;&lt;foreign-keys&gt;&lt;key app="EN" db-id="2xwa055rhevv2yef5v75fepy2azsv0xvx9w9" timestamp="1612000915"&gt;648&lt;/key&gt;&lt;/foreign-keys&gt;&lt;ref-type name="Journal Article"&gt;17&lt;/ref-type&gt;&lt;contributors&gt;&lt;authors&gt;&lt;author&gt;Matkin, W.&lt;/author&gt;&lt;author&gt;Ordonez-Mena, J. M.&lt;/author&gt;&lt;author&gt;Hartmann-Boyce, J.&lt;/author&gt;&lt;/authors&gt;&lt;/contributors&gt;&lt;auth-address&gt;Medical Sciences Division, University of Oxford, Oxford, UK.&lt;/auth-address&gt;&lt;titles&gt;&lt;title&gt;Telephone counselling for smoking cessation&lt;/title&gt;&lt;secondary-title&gt;Cochrane Database Syst Rev&lt;/secondary-title&gt;&lt;/titles&gt;&lt;periodical&gt;&lt;full-title&gt;Cochrane Database Syst Rev&lt;/full-title&gt;&lt;/periodical&gt;&lt;pages&gt;CD002850&lt;/pages&gt;&lt;volume&gt;5&lt;/volume&gt;&lt;edition&gt;2019/05/03&lt;/edition&gt;&lt;keywords&gt;&lt;keyword&gt;Adult&lt;/keyword&gt;&lt;keyword&gt;Counseling/*methods&lt;/keyword&gt;&lt;keyword&gt;Female&lt;/keyword&gt;&lt;keyword&gt;Hotlines&lt;/keyword&gt;&lt;keyword&gt;Humans&lt;/keyword&gt;&lt;keyword&gt;Male&lt;/keyword&gt;&lt;keyword&gt;Middle Aged&lt;/keyword&gt;&lt;keyword&gt;Pregnancy&lt;/keyword&gt;&lt;keyword&gt;Randomized Controlled Trials as Topic&lt;/keyword&gt;&lt;keyword&gt;Smoking Cessation/*methods/*statistics &amp;amp; numerical data&lt;/keyword&gt;&lt;keyword&gt;*Telephone&lt;/keyword&gt;&lt;/keywords&gt;&lt;dates&gt;&lt;year&gt;2019&lt;/year&gt;&lt;pub-dates&gt;&lt;date&gt;May 2&lt;/date&gt;&lt;/pub-dates&gt;&lt;/dates&gt;&lt;isbn&gt;1469-493X (Electronic)&amp;#xD;1361-6137 (Linking)&lt;/isbn&gt;&lt;accession-num&gt;31045250&lt;/accession-num&gt;&lt;urls&gt;&lt;related-urls&gt;&lt;url&gt;https://www.ncbi.nlm.nih.gov/pubmed/31045250&lt;/url&gt;&lt;/related-urls&gt;&lt;/urls&gt;&lt;custom2&gt;PMC6496404&lt;/custom2&gt;&lt;electronic-resource-num&gt;10.1002/14651858.CD002850.pub4&lt;/electronic-resource-num&gt;&lt;/record&gt;&lt;/Cite&gt;&lt;/EndNote&gt;</w:instrText>
              </w:r>
              <w:r w:rsidR="0039468B">
                <w:fldChar w:fldCharType="separate"/>
              </w:r>
              <w:r w:rsidR="0039468B" w:rsidRPr="0039468B">
                <w:rPr>
                  <w:noProof/>
                  <w:vertAlign w:val="superscript"/>
                </w:rPr>
                <w:t>60</w:t>
              </w:r>
              <w:r w:rsidR="0039468B">
                <w:fldChar w:fldCharType="end"/>
              </w:r>
            </w:hyperlink>
          </w:p>
        </w:tc>
        <w:tc>
          <w:tcPr>
            <w:tcW w:w="7178" w:type="dxa"/>
          </w:tcPr>
          <w:p w14:paraId="4EEA9FC0" w14:textId="44E2C477" w:rsidR="00A34EAA" w:rsidRDefault="00656C69" w:rsidP="00B100E0">
            <w:pPr>
              <w:pStyle w:val="Tablewriting"/>
            </w:pPr>
            <w:r w:rsidRPr="00656C69">
              <w:t>Matkin</w:t>
            </w:r>
            <w:r>
              <w:t xml:space="preserve"> </w:t>
            </w:r>
            <w:r w:rsidRPr="00656C69">
              <w:t>W, Ordóñez-Mena</w:t>
            </w:r>
            <w:r>
              <w:t xml:space="preserve"> </w:t>
            </w:r>
            <w:r w:rsidRPr="00656C69">
              <w:t>JM, Hartmann-Boyce</w:t>
            </w:r>
            <w:r>
              <w:t xml:space="preserve"> </w:t>
            </w:r>
            <w:r w:rsidRPr="00656C69">
              <w:t>J. Telephone counselling for smoking cessation. Cochrane Database of Systematic Reviews 2019, Issue 5. Art. No.: CD002850. DOI: 10.1002/14651858.CD002850.pub4.</w:t>
            </w:r>
          </w:p>
        </w:tc>
      </w:tr>
    </w:tbl>
    <w:p w14:paraId="01F898F0" w14:textId="65D7E28D" w:rsidR="00796294" w:rsidRDefault="00796294" w:rsidP="002004BB">
      <w:pPr>
        <w:spacing w:before="120" w:after="120"/>
        <w:jc w:val="both"/>
      </w:pPr>
      <w:r w:rsidRPr="00796294">
        <w:t xml:space="preserve">A summary of the characteristics of the </w:t>
      </w:r>
      <w:r w:rsidR="00412CEC">
        <w:t>six Cochrane Reviews</w:t>
      </w:r>
      <w:r w:rsidRPr="00796294">
        <w:t xml:space="preserve"> </w:t>
      </w:r>
      <w:r w:rsidRPr="00285E05">
        <w:t>examining behavioural support in addition to</w:t>
      </w:r>
      <w:r w:rsidR="00752D54">
        <w:t xml:space="preserve"> pharmacotherapies</w:t>
      </w:r>
      <w:r w:rsidRPr="00796294">
        <w:t xml:space="preserve"> is presented in </w:t>
      </w:r>
      <w:r w:rsidR="0098285C">
        <w:fldChar w:fldCharType="begin" w:fldLock="1"/>
      </w:r>
      <w:r w:rsidR="0098285C">
        <w:instrText xml:space="preserve"> REF _Ref61791113 \h </w:instrText>
      </w:r>
      <w:r w:rsidR="0098285C">
        <w:fldChar w:fldCharType="separate"/>
      </w:r>
      <w:r w:rsidR="00EC5CC7">
        <w:t xml:space="preserve">Table </w:t>
      </w:r>
      <w:r w:rsidR="00EC5CC7">
        <w:rPr>
          <w:noProof/>
        </w:rPr>
        <w:t>118</w:t>
      </w:r>
      <w:r w:rsidR="0098285C">
        <w:fldChar w:fldCharType="end"/>
      </w:r>
      <w:r w:rsidRPr="00796294">
        <w:t xml:space="preserve">. </w:t>
      </w:r>
    </w:p>
    <w:p w14:paraId="29E73B97" w14:textId="77777777" w:rsidR="004E0304" w:rsidRDefault="004E0304" w:rsidP="008D43F8"/>
    <w:p w14:paraId="5C18BF89" w14:textId="6CEBB763" w:rsidR="00796294" w:rsidRDefault="00796294" w:rsidP="008D43F8">
      <w:pPr>
        <w:sectPr w:rsidR="00796294" w:rsidSect="006356D2">
          <w:pgSz w:w="11906" w:h="16838"/>
          <w:pgMar w:top="1440" w:right="1440" w:bottom="1440" w:left="1440" w:header="708" w:footer="708" w:gutter="0"/>
          <w:cols w:space="708"/>
          <w:titlePg/>
          <w:docGrid w:linePitch="360"/>
        </w:sectPr>
      </w:pPr>
    </w:p>
    <w:p w14:paraId="720E77AC" w14:textId="0D48C773" w:rsidR="004E4B29" w:rsidRDefault="004E4B29" w:rsidP="002004BB">
      <w:pPr>
        <w:pStyle w:val="Caption"/>
        <w:keepNext/>
        <w:spacing w:before="0" w:after="120"/>
        <w:jc w:val="both"/>
      </w:pPr>
      <w:bookmarkStart w:id="207" w:name="_Ref61791113"/>
      <w:r>
        <w:lastRenderedPageBreak/>
        <w:t xml:space="preserve">Table </w:t>
      </w:r>
      <w:r w:rsidR="00BF3F75">
        <w:fldChar w:fldCharType="begin"/>
      </w:r>
      <w:r w:rsidR="00BF3F75">
        <w:instrText xml:space="preserve"> SEQ Table \* ARABIC </w:instrText>
      </w:r>
      <w:r w:rsidR="00BF3F75">
        <w:fldChar w:fldCharType="separate"/>
      </w:r>
      <w:r w:rsidR="00EC5CC7">
        <w:rPr>
          <w:noProof/>
        </w:rPr>
        <w:t>118</w:t>
      </w:r>
      <w:r w:rsidR="00BF3F75">
        <w:rPr>
          <w:noProof/>
        </w:rPr>
        <w:fldChar w:fldCharType="end"/>
      </w:r>
      <w:bookmarkEnd w:id="207"/>
      <w:r>
        <w:t xml:space="preserve">: </w:t>
      </w:r>
      <w:r w:rsidRPr="008838E2">
        <w:t xml:space="preserve">Characteristics of the studies </w:t>
      </w:r>
      <w:r w:rsidRPr="004E4B29">
        <w:t>examining behavioural support in addition to pharmacotherapies</w:t>
      </w:r>
    </w:p>
    <w:tbl>
      <w:tblPr>
        <w:tblStyle w:val="TableGrid"/>
        <w:tblW w:w="5000" w:type="pct"/>
        <w:tblLook w:val="04A0" w:firstRow="1" w:lastRow="0" w:firstColumn="1" w:lastColumn="0" w:noHBand="0" w:noVBand="1"/>
      </w:tblPr>
      <w:tblGrid>
        <w:gridCol w:w="1390"/>
        <w:gridCol w:w="1261"/>
        <w:gridCol w:w="2307"/>
        <w:gridCol w:w="3827"/>
        <w:gridCol w:w="2862"/>
        <w:gridCol w:w="2301"/>
      </w:tblGrid>
      <w:tr w:rsidR="007D6ABC" w14:paraId="78C2859A" w14:textId="77777777" w:rsidTr="002004BB">
        <w:tc>
          <w:tcPr>
            <w:tcW w:w="498" w:type="pct"/>
            <w:shd w:val="clear" w:color="auto" w:fill="BFBFBF" w:themeFill="background1" w:themeFillShade="BF"/>
          </w:tcPr>
          <w:p w14:paraId="4A3BCAC0" w14:textId="28C39EC4" w:rsidR="00E90CB9" w:rsidRPr="004E4B29" w:rsidRDefault="00E90CB9" w:rsidP="00796CE0">
            <w:pPr>
              <w:pStyle w:val="Tablewriting"/>
              <w:rPr>
                <w:b/>
                <w:bCs/>
              </w:rPr>
            </w:pPr>
            <w:r w:rsidRPr="004E4B29">
              <w:rPr>
                <w:b/>
                <w:bCs/>
              </w:rPr>
              <w:t>Study</w:t>
            </w:r>
          </w:p>
        </w:tc>
        <w:tc>
          <w:tcPr>
            <w:tcW w:w="452" w:type="pct"/>
            <w:shd w:val="clear" w:color="auto" w:fill="BFBFBF" w:themeFill="background1" w:themeFillShade="BF"/>
          </w:tcPr>
          <w:p w14:paraId="72DE136B" w14:textId="5F761CB9" w:rsidR="00E90CB9" w:rsidRPr="004E4B29" w:rsidRDefault="00E90CB9" w:rsidP="00B20C33">
            <w:pPr>
              <w:pStyle w:val="Tablewriting"/>
              <w:jc w:val="center"/>
              <w:rPr>
                <w:b/>
                <w:bCs/>
              </w:rPr>
            </w:pPr>
            <w:r w:rsidRPr="004E4B29">
              <w:rPr>
                <w:b/>
                <w:bCs/>
              </w:rPr>
              <w:t>Study Type</w:t>
            </w:r>
          </w:p>
        </w:tc>
        <w:tc>
          <w:tcPr>
            <w:tcW w:w="827" w:type="pct"/>
            <w:shd w:val="clear" w:color="auto" w:fill="BFBFBF" w:themeFill="background1" w:themeFillShade="BF"/>
          </w:tcPr>
          <w:p w14:paraId="4C9BF0BF" w14:textId="5B4A67C2" w:rsidR="00E90CB9" w:rsidRPr="00184000" w:rsidRDefault="00E90CB9" w:rsidP="00B20C33">
            <w:pPr>
              <w:pStyle w:val="Tablewriting"/>
              <w:jc w:val="center"/>
              <w:rPr>
                <w:b/>
                <w:bCs/>
                <w:vertAlign w:val="superscript"/>
              </w:rPr>
            </w:pPr>
            <w:r w:rsidRPr="004E4B29">
              <w:rPr>
                <w:b/>
                <w:bCs/>
              </w:rPr>
              <w:t>N</w:t>
            </w:r>
            <w:r w:rsidR="00184000">
              <w:rPr>
                <w:b/>
                <w:bCs/>
                <w:vertAlign w:val="superscript"/>
              </w:rPr>
              <w:t>1</w:t>
            </w:r>
          </w:p>
        </w:tc>
        <w:tc>
          <w:tcPr>
            <w:tcW w:w="1372" w:type="pct"/>
            <w:shd w:val="clear" w:color="auto" w:fill="BFBFBF" w:themeFill="background1" w:themeFillShade="BF"/>
          </w:tcPr>
          <w:p w14:paraId="156FB96A" w14:textId="60516C49" w:rsidR="00E90CB9" w:rsidRPr="004E4B29" w:rsidRDefault="00E90CB9" w:rsidP="00B20C33">
            <w:pPr>
              <w:pStyle w:val="Tablewriting"/>
              <w:jc w:val="center"/>
              <w:rPr>
                <w:b/>
                <w:bCs/>
              </w:rPr>
            </w:pPr>
            <w:r w:rsidRPr="004E4B29">
              <w:rPr>
                <w:b/>
                <w:bCs/>
              </w:rPr>
              <w:t>Population</w:t>
            </w:r>
          </w:p>
        </w:tc>
        <w:tc>
          <w:tcPr>
            <w:tcW w:w="1026" w:type="pct"/>
            <w:shd w:val="clear" w:color="auto" w:fill="BFBFBF" w:themeFill="background1" w:themeFillShade="BF"/>
          </w:tcPr>
          <w:p w14:paraId="7A28CBCE" w14:textId="665DB94F" w:rsidR="00E90CB9" w:rsidRPr="004E4B29" w:rsidRDefault="00E90CB9" w:rsidP="00B20C33">
            <w:pPr>
              <w:pStyle w:val="Tablewriting"/>
              <w:jc w:val="center"/>
              <w:rPr>
                <w:b/>
                <w:bCs/>
              </w:rPr>
            </w:pPr>
            <w:r w:rsidRPr="004E4B29">
              <w:rPr>
                <w:b/>
                <w:bCs/>
              </w:rPr>
              <w:t>Intervention and comparator</w:t>
            </w:r>
          </w:p>
        </w:tc>
        <w:tc>
          <w:tcPr>
            <w:tcW w:w="825" w:type="pct"/>
            <w:shd w:val="clear" w:color="auto" w:fill="BFBFBF" w:themeFill="background1" w:themeFillShade="BF"/>
          </w:tcPr>
          <w:p w14:paraId="0A1F95CD" w14:textId="4D9FD36D" w:rsidR="00E90CB9" w:rsidRPr="004E4B29" w:rsidRDefault="00E90CB9" w:rsidP="00B20C33">
            <w:pPr>
              <w:pStyle w:val="Tablewriting"/>
              <w:jc w:val="center"/>
              <w:rPr>
                <w:b/>
                <w:bCs/>
              </w:rPr>
            </w:pPr>
            <w:r w:rsidRPr="004E4B29">
              <w:rPr>
                <w:b/>
                <w:bCs/>
              </w:rPr>
              <w:t>Outcomes</w:t>
            </w:r>
          </w:p>
        </w:tc>
      </w:tr>
      <w:tr w:rsidR="00C41E41" w14:paraId="67C99D3F" w14:textId="77777777" w:rsidTr="002004BB">
        <w:tc>
          <w:tcPr>
            <w:tcW w:w="498" w:type="pct"/>
          </w:tcPr>
          <w:p w14:paraId="74677E07" w14:textId="4A8076C0" w:rsidR="00C41E41" w:rsidRDefault="00C41E41" w:rsidP="00C41E41">
            <w:pPr>
              <w:pStyle w:val="Tablewriting"/>
            </w:pPr>
            <w:r>
              <w:t>Lancaster (2017)</w:t>
            </w:r>
          </w:p>
        </w:tc>
        <w:tc>
          <w:tcPr>
            <w:tcW w:w="452" w:type="pct"/>
          </w:tcPr>
          <w:p w14:paraId="08804864" w14:textId="77777777" w:rsidR="00C41E41" w:rsidRDefault="00C41E41" w:rsidP="00C41E41">
            <w:pPr>
              <w:pStyle w:val="Tablewriting"/>
            </w:pPr>
            <w:r>
              <w:t xml:space="preserve">Cochrane Review </w:t>
            </w:r>
          </w:p>
          <w:p w14:paraId="415AC496" w14:textId="4B203586" w:rsidR="00C41E41" w:rsidRDefault="00C41E41" w:rsidP="00C41E41">
            <w:pPr>
              <w:pStyle w:val="Tablewriting"/>
            </w:pPr>
            <w:r>
              <w:t>(33 RCTs</w:t>
            </w:r>
            <w:r w:rsidRPr="00A76716">
              <w:rPr>
                <w:vertAlign w:val="superscript"/>
              </w:rPr>
              <w:t>2</w:t>
            </w:r>
            <w:r>
              <w:t>)</w:t>
            </w:r>
          </w:p>
        </w:tc>
        <w:tc>
          <w:tcPr>
            <w:tcW w:w="827" w:type="pct"/>
          </w:tcPr>
          <w:p w14:paraId="4B771A96" w14:textId="77777777" w:rsidR="00C41E41" w:rsidRPr="001D0374" w:rsidRDefault="00C41E41" w:rsidP="00C41E41">
            <w:pPr>
              <w:pStyle w:val="Tablewriting"/>
              <w:rPr>
                <w:u w:val="single"/>
              </w:rPr>
            </w:pPr>
            <w:r w:rsidRPr="001D0374">
              <w:rPr>
                <w:u w:val="single"/>
              </w:rPr>
              <w:t>Efficacy (</w:t>
            </w:r>
            <w:r>
              <w:rPr>
                <w:u w:val="single"/>
              </w:rPr>
              <w:t>6</w:t>
            </w:r>
            <w:r w:rsidRPr="001D0374">
              <w:rPr>
                <w:u w:val="single"/>
              </w:rPr>
              <w:t xml:space="preserve"> RCTs)</w:t>
            </w:r>
          </w:p>
          <w:p w14:paraId="3343CBF4" w14:textId="77777777" w:rsidR="00C41E41" w:rsidRDefault="00C41E41" w:rsidP="00C41E41">
            <w:pPr>
              <w:pStyle w:val="Tablewriting"/>
            </w:pPr>
            <w:r>
              <w:t>N=2,662</w:t>
            </w:r>
          </w:p>
          <w:p w14:paraId="4AF412DA" w14:textId="77777777" w:rsidR="00C41E41" w:rsidRDefault="00C41E41" w:rsidP="00C41E41">
            <w:pPr>
              <w:pStyle w:val="Tablewriting"/>
            </w:pPr>
            <w:r>
              <w:t xml:space="preserve">Counselling + pharmacotherapy (n=1,196), </w:t>
            </w:r>
          </w:p>
          <w:p w14:paraId="523473A6" w14:textId="10840C6A" w:rsidR="00C41E41" w:rsidRPr="00184000" w:rsidRDefault="00C41E41" w:rsidP="00C41E41">
            <w:pPr>
              <w:pStyle w:val="Tablewriting"/>
              <w:rPr>
                <w:u w:val="single"/>
              </w:rPr>
            </w:pPr>
            <w:r>
              <w:t>Pharmacotherapy alone (n=1,466)</w:t>
            </w:r>
          </w:p>
        </w:tc>
        <w:tc>
          <w:tcPr>
            <w:tcW w:w="1372" w:type="pct"/>
          </w:tcPr>
          <w:p w14:paraId="34DD0278" w14:textId="7FD55E95" w:rsidR="00C41E41" w:rsidRDefault="00C41E41" w:rsidP="00C41E41">
            <w:pPr>
              <w:pStyle w:val="Tablewriting"/>
            </w:pPr>
            <w:r w:rsidRPr="00216E03">
              <w:rPr>
                <w:u w:val="single"/>
              </w:rPr>
              <w:t>Inclusion:</w:t>
            </w:r>
            <w:r>
              <w:t xml:space="preserve"> a</w:t>
            </w:r>
            <w:r w:rsidRPr="009F57AA">
              <w:t>ny smokers</w:t>
            </w:r>
            <w:r w:rsidR="00E512A4">
              <w:t>.</w:t>
            </w:r>
          </w:p>
          <w:p w14:paraId="41459A3F" w14:textId="5747FD83" w:rsidR="00C41E41" w:rsidRPr="00EA340A" w:rsidRDefault="00C41E41" w:rsidP="00C41E41">
            <w:pPr>
              <w:pStyle w:val="Tablewriting"/>
              <w:rPr>
                <w:u w:val="single"/>
              </w:rPr>
            </w:pPr>
            <w:r w:rsidRPr="000D45B0">
              <w:rPr>
                <w:u w:val="single"/>
              </w:rPr>
              <w:t>Exclusion:</w:t>
            </w:r>
            <w:r w:rsidRPr="009F57AA">
              <w:t xml:space="preserve"> pregnant women</w:t>
            </w:r>
            <w:r>
              <w:t>, children, adolescents</w:t>
            </w:r>
            <w:r w:rsidR="00E512A4">
              <w:t>.</w:t>
            </w:r>
          </w:p>
        </w:tc>
        <w:tc>
          <w:tcPr>
            <w:tcW w:w="1026" w:type="pct"/>
          </w:tcPr>
          <w:p w14:paraId="263B2ECA" w14:textId="379A6BB9" w:rsidR="00C41E41" w:rsidRDefault="00C41E41" w:rsidP="00C41E41">
            <w:pPr>
              <w:pStyle w:val="Tablewriting"/>
            </w:pPr>
            <w:r>
              <w:t>Individual counselling plus pharmacotherapy versus minimal contact plus pharmacotherapy</w:t>
            </w:r>
            <w:r w:rsidR="00E512A4">
              <w:t>.</w:t>
            </w:r>
          </w:p>
        </w:tc>
        <w:tc>
          <w:tcPr>
            <w:tcW w:w="825" w:type="pct"/>
          </w:tcPr>
          <w:p w14:paraId="477ED54C" w14:textId="1946849B" w:rsidR="00C41E41" w:rsidRPr="00923219" w:rsidRDefault="00C41E41" w:rsidP="00C41E41">
            <w:pPr>
              <w:pStyle w:val="Tablewriting"/>
              <w:rPr>
                <w:u w:val="single"/>
              </w:rPr>
            </w:pPr>
            <w:r w:rsidRPr="00AA6DE2">
              <w:rPr>
                <w:u w:val="single"/>
              </w:rPr>
              <w:t>Primary</w:t>
            </w:r>
            <w:r>
              <w:rPr>
                <w:u w:val="single"/>
              </w:rPr>
              <w:t>:</w:t>
            </w:r>
            <w:r>
              <w:t xml:space="preserve"> smoking cessation at longest follow-up (at least 6 months after the start of counselling)</w:t>
            </w:r>
            <w:r w:rsidR="00E512A4">
              <w:t>.</w:t>
            </w:r>
          </w:p>
        </w:tc>
      </w:tr>
      <w:tr w:rsidR="00C41E41" w14:paraId="08E4DB13" w14:textId="77777777" w:rsidTr="002004BB">
        <w:tc>
          <w:tcPr>
            <w:tcW w:w="498" w:type="pct"/>
          </w:tcPr>
          <w:p w14:paraId="27C48BD6" w14:textId="77777777" w:rsidR="00C41E41" w:rsidRDefault="00C41E41" w:rsidP="00C41E41">
            <w:pPr>
              <w:pStyle w:val="Tablewriting"/>
            </w:pPr>
            <w:r>
              <w:t xml:space="preserve">Stead </w:t>
            </w:r>
          </w:p>
          <w:p w14:paraId="3CA27585" w14:textId="3A356629" w:rsidR="00C41E41" w:rsidRDefault="00C41E41" w:rsidP="00C41E41">
            <w:pPr>
              <w:pStyle w:val="Tablewriting"/>
            </w:pPr>
            <w:r>
              <w:t>(2017)</w:t>
            </w:r>
          </w:p>
        </w:tc>
        <w:tc>
          <w:tcPr>
            <w:tcW w:w="452" w:type="pct"/>
          </w:tcPr>
          <w:p w14:paraId="2D9D0F6F" w14:textId="77777777" w:rsidR="00C41E41" w:rsidRDefault="00C41E41" w:rsidP="00C41E41">
            <w:pPr>
              <w:pStyle w:val="Tablewriting"/>
            </w:pPr>
            <w:r>
              <w:t xml:space="preserve">Cochrane Review </w:t>
            </w:r>
          </w:p>
          <w:p w14:paraId="3F833DEB" w14:textId="7D65D54F" w:rsidR="00C41E41" w:rsidRDefault="00C41E41" w:rsidP="00C41E41">
            <w:pPr>
              <w:pStyle w:val="Tablewriting"/>
            </w:pPr>
            <w:r>
              <w:t>(5 RCTs)</w:t>
            </w:r>
          </w:p>
        </w:tc>
        <w:tc>
          <w:tcPr>
            <w:tcW w:w="827" w:type="pct"/>
          </w:tcPr>
          <w:p w14:paraId="46B53C8C" w14:textId="77777777" w:rsidR="00C41E41" w:rsidRDefault="00C41E41" w:rsidP="00C41E41">
            <w:pPr>
              <w:pStyle w:val="Tablewriting"/>
            </w:pPr>
            <w:r>
              <w:t>N=1,523</w:t>
            </w:r>
          </w:p>
          <w:p w14:paraId="28EB289B" w14:textId="31E0A2A6" w:rsidR="00C41E41" w:rsidRPr="00184000" w:rsidRDefault="00C41E41" w:rsidP="00C41E41">
            <w:pPr>
              <w:pStyle w:val="Tablewriting"/>
              <w:rPr>
                <w:u w:val="single"/>
              </w:rPr>
            </w:pPr>
            <w:r>
              <w:t>Group counselling + pharmacotherapy (n=843), Pharmacotherapy alone (n=680)</w:t>
            </w:r>
          </w:p>
        </w:tc>
        <w:tc>
          <w:tcPr>
            <w:tcW w:w="1372" w:type="pct"/>
          </w:tcPr>
          <w:p w14:paraId="11CC8157" w14:textId="77777777" w:rsidR="00C41E41" w:rsidRDefault="00C41E41" w:rsidP="00C41E41">
            <w:pPr>
              <w:pStyle w:val="Tablewriting"/>
            </w:pPr>
            <w:r w:rsidRPr="00216E03">
              <w:rPr>
                <w:u w:val="single"/>
              </w:rPr>
              <w:t>Inclusion:</w:t>
            </w:r>
            <w:r>
              <w:t xml:space="preserve"> a</w:t>
            </w:r>
            <w:r w:rsidRPr="00994CD9">
              <w:t>dult smokers of either gender, irrespective of their initial level of nicotine dependency, recruited from any setting</w:t>
            </w:r>
            <w:r>
              <w:t>.</w:t>
            </w:r>
          </w:p>
          <w:p w14:paraId="608179AE" w14:textId="0D465437" w:rsidR="00C41E41" w:rsidRPr="00EA340A" w:rsidRDefault="00C41E41" w:rsidP="00C41E41">
            <w:pPr>
              <w:pStyle w:val="Tablewriting"/>
              <w:rPr>
                <w:u w:val="single"/>
              </w:rPr>
            </w:pPr>
            <w:r w:rsidRPr="00323847">
              <w:rPr>
                <w:u w:val="single"/>
              </w:rPr>
              <w:t>Exclusion</w:t>
            </w:r>
            <w:r>
              <w:t>: trials recruiting pregnant women and</w:t>
            </w:r>
            <w:r w:rsidRPr="008D0C04">
              <w:t xml:space="preserve"> adolescent smokers</w:t>
            </w:r>
            <w:r w:rsidR="00E512A4">
              <w:t>.</w:t>
            </w:r>
          </w:p>
        </w:tc>
        <w:tc>
          <w:tcPr>
            <w:tcW w:w="1026" w:type="pct"/>
          </w:tcPr>
          <w:p w14:paraId="6225EAF7" w14:textId="68B1EFB8" w:rsidR="00C41E41" w:rsidRDefault="00C41E41" w:rsidP="00C41E41">
            <w:pPr>
              <w:pStyle w:val="Tablewriting"/>
            </w:pPr>
            <w:r>
              <w:t>Group behavioural counselling + pharmacotherapy versus brief behavioural intervention + pharmacotherapy</w:t>
            </w:r>
            <w:r w:rsidR="00E512A4">
              <w:t>.</w:t>
            </w:r>
          </w:p>
        </w:tc>
        <w:tc>
          <w:tcPr>
            <w:tcW w:w="825" w:type="pct"/>
          </w:tcPr>
          <w:p w14:paraId="63B3EF01" w14:textId="4159DDF7" w:rsidR="00C41E41" w:rsidRPr="00923219" w:rsidRDefault="00C41E41" w:rsidP="00C41E41">
            <w:pPr>
              <w:pStyle w:val="Tablewriting"/>
              <w:rPr>
                <w:u w:val="single"/>
              </w:rPr>
            </w:pPr>
            <w:r w:rsidRPr="00AA6DE2">
              <w:rPr>
                <w:u w:val="single"/>
              </w:rPr>
              <w:t>Primary</w:t>
            </w:r>
            <w:r>
              <w:rPr>
                <w:u w:val="single"/>
              </w:rPr>
              <w:t>:</w:t>
            </w:r>
            <w:r>
              <w:t xml:space="preserve"> a</w:t>
            </w:r>
            <w:r w:rsidRPr="00FC2FC3">
              <w:t xml:space="preserve">bstinence from cigarettes at follow-up </w:t>
            </w:r>
            <w:r>
              <w:t>(</w:t>
            </w:r>
            <w:r w:rsidRPr="00FC2FC3">
              <w:t>at least six months a</w:t>
            </w:r>
            <w:r>
              <w:t>ft</w:t>
            </w:r>
            <w:r w:rsidRPr="00FC2FC3">
              <w:t>er the start of treatment</w:t>
            </w:r>
            <w:r>
              <w:t>)</w:t>
            </w:r>
            <w:r w:rsidR="00E512A4">
              <w:t>.</w:t>
            </w:r>
          </w:p>
        </w:tc>
      </w:tr>
      <w:tr w:rsidR="004E0304" w14:paraId="68C3922B" w14:textId="77777777" w:rsidTr="002004BB">
        <w:tc>
          <w:tcPr>
            <w:tcW w:w="498" w:type="pct"/>
          </w:tcPr>
          <w:p w14:paraId="598C649F" w14:textId="59AD467B" w:rsidR="00E90CB9" w:rsidRDefault="00504179" w:rsidP="00796CE0">
            <w:pPr>
              <w:pStyle w:val="Tablewriting"/>
            </w:pPr>
            <w:r>
              <w:t xml:space="preserve">Carson-Chahhoud </w:t>
            </w:r>
            <w:r w:rsidR="004E4B29">
              <w:t>(</w:t>
            </w:r>
            <w:r>
              <w:t>2019</w:t>
            </w:r>
            <w:r w:rsidR="004E4B29">
              <w:t>)</w:t>
            </w:r>
          </w:p>
        </w:tc>
        <w:tc>
          <w:tcPr>
            <w:tcW w:w="452" w:type="pct"/>
          </w:tcPr>
          <w:p w14:paraId="40933D6D" w14:textId="77777777" w:rsidR="005F5549" w:rsidRDefault="00504179" w:rsidP="00796CE0">
            <w:pPr>
              <w:pStyle w:val="Tablewriting"/>
            </w:pPr>
            <w:r>
              <w:t xml:space="preserve">Cochrane Review </w:t>
            </w:r>
          </w:p>
          <w:p w14:paraId="79FD1561" w14:textId="3E124F62" w:rsidR="00E90CB9" w:rsidRPr="00262C0E" w:rsidRDefault="00504179" w:rsidP="00796CE0">
            <w:pPr>
              <w:pStyle w:val="Tablewriting"/>
              <w:rPr>
                <w:vertAlign w:val="superscript"/>
              </w:rPr>
            </w:pPr>
            <w:r>
              <w:t>(</w:t>
            </w:r>
            <w:r w:rsidR="00184000">
              <w:t>7</w:t>
            </w:r>
            <w:r>
              <w:t xml:space="preserve"> RCTs</w:t>
            </w:r>
            <w:r w:rsidR="00A76716">
              <w:rPr>
                <w:vertAlign w:val="superscript"/>
              </w:rPr>
              <w:t>3</w:t>
            </w:r>
            <w:r>
              <w:t>)</w:t>
            </w:r>
          </w:p>
        </w:tc>
        <w:tc>
          <w:tcPr>
            <w:tcW w:w="827" w:type="pct"/>
          </w:tcPr>
          <w:p w14:paraId="5303D910" w14:textId="77777777" w:rsidR="00184000" w:rsidRPr="00184000" w:rsidRDefault="00184000" w:rsidP="00796CE0">
            <w:pPr>
              <w:pStyle w:val="Tablewriting"/>
              <w:rPr>
                <w:u w:val="single"/>
              </w:rPr>
            </w:pPr>
            <w:r w:rsidRPr="00184000">
              <w:rPr>
                <w:u w:val="single"/>
              </w:rPr>
              <w:t>Efficacy (6 RCTs)</w:t>
            </w:r>
          </w:p>
          <w:p w14:paraId="335AFB88" w14:textId="13021C49" w:rsidR="00E90CB9" w:rsidRDefault="00F7717B" w:rsidP="00796CE0">
            <w:pPr>
              <w:pStyle w:val="Tablewriting"/>
            </w:pPr>
            <w:r>
              <w:t>N=</w:t>
            </w:r>
            <w:r w:rsidR="001A4094">
              <w:t>1</w:t>
            </w:r>
            <w:r>
              <w:t>,</w:t>
            </w:r>
            <w:r w:rsidR="001A4094">
              <w:t>614</w:t>
            </w:r>
          </w:p>
          <w:p w14:paraId="760EE2D9" w14:textId="77777777" w:rsidR="00F7717B" w:rsidRDefault="008B55E6" w:rsidP="00796CE0">
            <w:pPr>
              <w:pStyle w:val="Tablewriting"/>
            </w:pPr>
            <w:r>
              <w:t>More intensive (n=845),</w:t>
            </w:r>
          </w:p>
          <w:p w14:paraId="7D2A2079" w14:textId="3BFE5152" w:rsidR="008B55E6" w:rsidRDefault="008B55E6" w:rsidP="00796CE0">
            <w:pPr>
              <w:pStyle w:val="Tablewriting"/>
            </w:pPr>
            <w:r>
              <w:t>Less intensive (n=769)</w:t>
            </w:r>
          </w:p>
        </w:tc>
        <w:tc>
          <w:tcPr>
            <w:tcW w:w="1372" w:type="pct"/>
          </w:tcPr>
          <w:p w14:paraId="542CB412" w14:textId="3494A186" w:rsidR="00E90CB9" w:rsidRDefault="00EA340A" w:rsidP="00796CE0">
            <w:pPr>
              <w:pStyle w:val="Tablewriting"/>
            </w:pPr>
            <w:r w:rsidRPr="00EA340A">
              <w:rPr>
                <w:u w:val="single"/>
              </w:rPr>
              <w:t>Inclusion</w:t>
            </w:r>
            <w:r>
              <w:t xml:space="preserve">: </w:t>
            </w:r>
            <w:r w:rsidR="00274344">
              <w:t>c</w:t>
            </w:r>
            <w:r w:rsidR="000B2588" w:rsidRPr="000B2588">
              <w:t>ommunity pharmacy clients who were current tobacco smokers and motivated to change their smoking behaviour.</w:t>
            </w:r>
          </w:p>
        </w:tc>
        <w:tc>
          <w:tcPr>
            <w:tcW w:w="1026" w:type="pct"/>
          </w:tcPr>
          <w:p w14:paraId="520508F4" w14:textId="2FA5144A" w:rsidR="00E90CB9" w:rsidRDefault="000B2588" w:rsidP="00796CE0">
            <w:pPr>
              <w:pStyle w:val="Tablewriting"/>
            </w:pPr>
            <w:r>
              <w:t>More intensive</w:t>
            </w:r>
            <w:r w:rsidR="00583C97">
              <w:t xml:space="preserve">, face-to-face </w:t>
            </w:r>
            <w:r>
              <w:t xml:space="preserve">behavioural </w:t>
            </w:r>
            <w:r w:rsidR="00583C97">
              <w:t>interventions v</w:t>
            </w:r>
            <w:r w:rsidR="00CA25EB">
              <w:t>ersus</w:t>
            </w:r>
            <w:r w:rsidR="00356473">
              <w:t xml:space="preserve"> no or</w:t>
            </w:r>
            <w:r w:rsidR="00583C97">
              <w:t xml:space="preserve"> less intensive behavioural interventions </w:t>
            </w:r>
            <w:r w:rsidR="00EF2825">
              <w:t>(both with pharmacotherapy)</w:t>
            </w:r>
            <w:r w:rsidR="00E512A4">
              <w:t>.</w:t>
            </w:r>
          </w:p>
        </w:tc>
        <w:tc>
          <w:tcPr>
            <w:tcW w:w="825" w:type="pct"/>
          </w:tcPr>
          <w:p w14:paraId="4C5181A3" w14:textId="1E570173" w:rsidR="00710C7A" w:rsidRDefault="00923219" w:rsidP="00796CE0">
            <w:pPr>
              <w:pStyle w:val="Tablewriting"/>
            </w:pPr>
            <w:r w:rsidRPr="00923219">
              <w:rPr>
                <w:u w:val="single"/>
              </w:rPr>
              <w:t>Primary</w:t>
            </w:r>
            <w:r>
              <w:t>: a</w:t>
            </w:r>
            <w:r w:rsidR="00710C7A">
              <w:t>bstinence from smoking six months or more after the start</w:t>
            </w:r>
          </w:p>
          <w:p w14:paraId="2635607E" w14:textId="6DE72A58" w:rsidR="00E90CB9" w:rsidRDefault="00710C7A" w:rsidP="00796CE0">
            <w:pPr>
              <w:pStyle w:val="Tablewriting"/>
            </w:pPr>
            <w:r>
              <w:t>of the intervention.</w:t>
            </w:r>
          </w:p>
        </w:tc>
      </w:tr>
      <w:tr w:rsidR="004E0304" w14:paraId="50CA47F9" w14:textId="77777777" w:rsidTr="002004BB">
        <w:tc>
          <w:tcPr>
            <w:tcW w:w="498" w:type="pct"/>
          </w:tcPr>
          <w:p w14:paraId="2E6E703C" w14:textId="77777777" w:rsidR="004E4B29" w:rsidRDefault="00BB78F3" w:rsidP="00796CE0">
            <w:pPr>
              <w:pStyle w:val="Tablewriting"/>
            </w:pPr>
            <w:r>
              <w:t xml:space="preserve">Hartmann-Boyce </w:t>
            </w:r>
          </w:p>
          <w:p w14:paraId="31CB7801" w14:textId="3BA6BDEF" w:rsidR="00E90CB9" w:rsidRDefault="004E4B29" w:rsidP="00796CE0">
            <w:pPr>
              <w:pStyle w:val="Tablewriting"/>
            </w:pPr>
            <w:r>
              <w:t>(</w:t>
            </w:r>
            <w:r w:rsidR="00BB78F3">
              <w:t>2019</w:t>
            </w:r>
            <w:r>
              <w:t>)</w:t>
            </w:r>
          </w:p>
        </w:tc>
        <w:tc>
          <w:tcPr>
            <w:tcW w:w="452" w:type="pct"/>
          </w:tcPr>
          <w:p w14:paraId="3591C422" w14:textId="77777777" w:rsidR="005F5549" w:rsidRDefault="00BB78F3" w:rsidP="00796CE0">
            <w:pPr>
              <w:pStyle w:val="Tablewriting"/>
            </w:pPr>
            <w:r>
              <w:t xml:space="preserve">Cochrane Review </w:t>
            </w:r>
          </w:p>
          <w:p w14:paraId="65C785EB" w14:textId="3D0D8261" w:rsidR="00E90CB9" w:rsidRPr="00262C0E" w:rsidRDefault="00BB78F3" w:rsidP="00796CE0">
            <w:pPr>
              <w:pStyle w:val="Tablewriting"/>
              <w:rPr>
                <w:vertAlign w:val="superscript"/>
              </w:rPr>
            </w:pPr>
            <w:r>
              <w:t>(</w:t>
            </w:r>
            <w:r w:rsidR="00262C0E">
              <w:t>65</w:t>
            </w:r>
            <w:r w:rsidR="002F2DE0">
              <w:t xml:space="preserve"> RCTs</w:t>
            </w:r>
            <w:r w:rsidR="00A76716">
              <w:rPr>
                <w:vertAlign w:val="superscript"/>
              </w:rPr>
              <w:t>4</w:t>
            </w:r>
            <w:r w:rsidR="002F2DE0">
              <w:t>)</w:t>
            </w:r>
          </w:p>
        </w:tc>
        <w:tc>
          <w:tcPr>
            <w:tcW w:w="827" w:type="pct"/>
          </w:tcPr>
          <w:p w14:paraId="71AD6864" w14:textId="77777777" w:rsidR="00262C0E" w:rsidRPr="00262C0E" w:rsidRDefault="00262C0E" w:rsidP="00796CE0">
            <w:pPr>
              <w:pStyle w:val="Tablewriting"/>
              <w:rPr>
                <w:u w:val="single"/>
              </w:rPr>
            </w:pPr>
            <w:r w:rsidRPr="00262C0E">
              <w:rPr>
                <w:u w:val="single"/>
              </w:rPr>
              <w:t>Efficacy (59 RCTs)</w:t>
            </w:r>
          </w:p>
          <w:p w14:paraId="38A1B983" w14:textId="2934D98A" w:rsidR="00E90CB9" w:rsidRDefault="007A09FF" w:rsidP="00796CE0">
            <w:pPr>
              <w:pStyle w:val="Tablewriting"/>
            </w:pPr>
            <w:r>
              <w:t>NRT (</w:t>
            </w:r>
            <w:r w:rsidR="009C5AD7">
              <w:t>N=</w:t>
            </w:r>
            <w:r>
              <w:t>16</w:t>
            </w:r>
            <w:r w:rsidR="009C5AD7">
              <w:t>,</w:t>
            </w:r>
            <w:r>
              <w:t>541)</w:t>
            </w:r>
            <w:r w:rsidR="001E49F9">
              <w:t>,</w:t>
            </w:r>
          </w:p>
          <w:p w14:paraId="269F624A" w14:textId="6B8A4CDC" w:rsidR="007A09FF" w:rsidRDefault="007A09FF" w:rsidP="00796CE0">
            <w:pPr>
              <w:pStyle w:val="Tablewriting"/>
            </w:pPr>
            <w:r>
              <w:t>Bupropion (</w:t>
            </w:r>
            <w:r w:rsidR="006F7F17">
              <w:t>N=</w:t>
            </w:r>
            <w:r>
              <w:t>2</w:t>
            </w:r>
            <w:r w:rsidR="006F7F17">
              <w:t>,</w:t>
            </w:r>
            <w:r>
              <w:t>298)</w:t>
            </w:r>
            <w:r w:rsidR="001E49F9">
              <w:t>,</w:t>
            </w:r>
          </w:p>
          <w:p w14:paraId="605A32E4" w14:textId="33B389EF" w:rsidR="007A09FF" w:rsidRDefault="007A09FF" w:rsidP="00796CE0">
            <w:pPr>
              <w:pStyle w:val="Tablewriting"/>
            </w:pPr>
            <w:r>
              <w:t>Varenicline (</w:t>
            </w:r>
            <w:r w:rsidR="006F7F17">
              <w:t>N=</w:t>
            </w:r>
            <w:r>
              <w:t>1</w:t>
            </w:r>
            <w:r w:rsidR="006F7F17">
              <w:t>,</w:t>
            </w:r>
            <w:r>
              <w:t>111)</w:t>
            </w:r>
            <w:r w:rsidR="001E49F9">
              <w:t>,</w:t>
            </w:r>
          </w:p>
          <w:p w14:paraId="3269741E" w14:textId="79776D52" w:rsidR="007A09FF" w:rsidRDefault="007A09FF" w:rsidP="00796CE0">
            <w:pPr>
              <w:pStyle w:val="Tablewriting"/>
            </w:pPr>
            <w:r>
              <w:t>NRT &amp; bupropion (</w:t>
            </w:r>
            <w:r w:rsidR="006F7F17">
              <w:t>N=</w:t>
            </w:r>
            <w:r w:rsidR="009A2A1B">
              <w:t>719)</w:t>
            </w:r>
          </w:p>
        </w:tc>
        <w:tc>
          <w:tcPr>
            <w:tcW w:w="1372" w:type="pct"/>
          </w:tcPr>
          <w:p w14:paraId="57329AE6" w14:textId="7AAD2DFD" w:rsidR="005A30A9" w:rsidRDefault="00D1573E" w:rsidP="00796CE0">
            <w:pPr>
              <w:pStyle w:val="Tablewriting"/>
            </w:pPr>
            <w:r w:rsidRPr="00216E03">
              <w:rPr>
                <w:u w:val="single"/>
              </w:rPr>
              <w:t>Inclusion:</w:t>
            </w:r>
            <w:r>
              <w:t xml:space="preserve"> </w:t>
            </w:r>
            <w:r w:rsidR="00274344">
              <w:t>p</w:t>
            </w:r>
            <w:r w:rsidR="005A30A9" w:rsidRPr="005A30A9">
              <w:t xml:space="preserve">eople who smoke, recruited in any setting. </w:t>
            </w:r>
          </w:p>
          <w:p w14:paraId="12988462" w14:textId="07D438AD" w:rsidR="00E90CB9" w:rsidRDefault="005A30A9" w:rsidP="00216E03">
            <w:pPr>
              <w:pStyle w:val="Tablewriting"/>
            </w:pPr>
            <w:r w:rsidRPr="00216E03">
              <w:rPr>
                <w:u w:val="single"/>
              </w:rPr>
              <w:t>Exclusion</w:t>
            </w:r>
            <w:r>
              <w:t>:</w:t>
            </w:r>
            <w:r w:rsidR="00216E03">
              <w:t xml:space="preserve"> </w:t>
            </w:r>
            <w:r w:rsidR="00274344">
              <w:t>t</w:t>
            </w:r>
            <w:r>
              <w:t xml:space="preserve">rials </w:t>
            </w:r>
            <w:r w:rsidRPr="005A30A9">
              <w:t>only recruit</w:t>
            </w:r>
            <w:r>
              <w:t>ing</w:t>
            </w:r>
            <w:r w:rsidRPr="005A30A9">
              <w:t xml:space="preserve"> pregnant women</w:t>
            </w:r>
            <w:r w:rsidR="00E512A4">
              <w:t>.</w:t>
            </w:r>
            <w:r w:rsidRPr="005A30A9">
              <w:t xml:space="preserve"> </w:t>
            </w:r>
          </w:p>
        </w:tc>
        <w:tc>
          <w:tcPr>
            <w:tcW w:w="1026" w:type="pct"/>
          </w:tcPr>
          <w:p w14:paraId="001B6325" w14:textId="6B082044" w:rsidR="00E90CB9" w:rsidRDefault="00F22AF4" w:rsidP="00796CE0">
            <w:pPr>
              <w:pStyle w:val="Tablewriting"/>
            </w:pPr>
            <w:r>
              <w:t>Intensive behavioural support versus less intensive or no support</w:t>
            </w:r>
            <w:r w:rsidR="00744C23">
              <w:t xml:space="preserve"> (both with pharmacotherapy)</w:t>
            </w:r>
            <w:r w:rsidR="00E512A4">
              <w:t>.</w:t>
            </w:r>
          </w:p>
        </w:tc>
        <w:tc>
          <w:tcPr>
            <w:tcW w:w="825" w:type="pct"/>
          </w:tcPr>
          <w:p w14:paraId="35B7371E" w14:textId="31CAB230" w:rsidR="00E90CB9" w:rsidRDefault="00274344" w:rsidP="00796CE0">
            <w:pPr>
              <w:pStyle w:val="Tablewriting"/>
            </w:pPr>
            <w:r w:rsidRPr="00AA6DE2">
              <w:rPr>
                <w:u w:val="single"/>
              </w:rPr>
              <w:t>Primary</w:t>
            </w:r>
            <w:r>
              <w:t>: a</w:t>
            </w:r>
            <w:r w:rsidR="0052591A">
              <w:t xml:space="preserve">bstinence at </w:t>
            </w:r>
            <w:r w:rsidR="00476670">
              <w:t>longest follow-up</w:t>
            </w:r>
            <w:r w:rsidR="00293B12">
              <w:t xml:space="preserve"> (</w:t>
            </w:r>
            <w:r w:rsidR="00DD51E7">
              <w:t>i.e.,</w:t>
            </w:r>
            <w:r>
              <w:t xml:space="preserve"> </w:t>
            </w:r>
            <w:r w:rsidR="00293B12">
              <w:t>6</w:t>
            </w:r>
            <w:r>
              <w:t xml:space="preserve"> </w:t>
            </w:r>
            <w:r w:rsidR="00293B12">
              <w:t>mo</w:t>
            </w:r>
            <w:r>
              <w:t>nths or longer</w:t>
            </w:r>
            <w:r w:rsidR="00293B12">
              <w:t>)</w:t>
            </w:r>
            <w:r w:rsidR="00E512A4">
              <w:t>.</w:t>
            </w:r>
          </w:p>
        </w:tc>
      </w:tr>
      <w:tr w:rsidR="004E0304" w14:paraId="54D64F82" w14:textId="77777777" w:rsidTr="002004BB">
        <w:tc>
          <w:tcPr>
            <w:tcW w:w="498" w:type="pct"/>
          </w:tcPr>
          <w:p w14:paraId="10AA18BE" w14:textId="3B1D1046" w:rsidR="001E49F9" w:rsidRDefault="00EC4339" w:rsidP="00796CE0">
            <w:pPr>
              <w:pStyle w:val="Tablewriting"/>
            </w:pPr>
            <w:r>
              <w:t xml:space="preserve">Livingstone-Banks </w:t>
            </w:r>
          </w:p>
          <w:p w14:paraId="7B380E05" w14:textId="3B1D1046" w:rsidR="00E90CB9" w:rsidRDefault="005F5549" w:rsidP="00796CE0">
            <w:pPr>
              <w:pStyle w:val="Tablewriting"/>
            </w:pPr>
            <w:r>
              <w:t>(</w:t>
            </w:r>
            <w:r w:rsidR="00EC4339">
              <w:t>2019b</w:t>
            </w:r>
            <w:r>
              <w:t>)</w:t>
            </w:r>
          </w:p>
        </w:tc>
        <w:tc>
          <w:tcPr>
            <w:tcW w:w="452" w:type="pct"/>
          </w:tcPr>
          <w:p w14:paraId="0C393C2D" w14:textId="77777777" w:rsidR="005F5549" w:rsidRDefault="00EC4339" w:rsidP="00796CE0">
            <w:pPr>
              <w:pStyle w:val="Tablewriting"/>
            </w:pPr>
            <w:r>
              <w:t xml:space="preserve">Cochrane Review </w:t>
            </w:r>
          </w:p>
          <w:p w14:paraId="307ECB9B" w14:textId="4131723F" w:rsidR="00E90CB9" w:rsidRDefault="00EC4339" w:rsidP="00796CE0">
            <w:pPr>
              <w:pStyle w:val="Tablewriting"/>
            </w:pPr>
            <w:r>
              <w:t>(</w:t>
            </w:r>
            <w:r w:rsidR="002F0309">
              <w:t xml:space="preserve">3 </w:t>
            </w:r>
            <w:r w:rsidR="00835EC0">
              <w:t>RCT</w:t>
            </w:r>
            <w:r w:rsidR="002F0309">
              <w:t>s</w:t>
            </w:r>
            <w:r w:rsidR="00903210">
              <w:t>)</w:t>
            </w:r>
          </w:p>
        </w:tc>
        <w:tc>
          <w:tcPr>
            <w:tcW w:w="827" w:type="pct"/>
          </w:tcPr>
          <w:p w14:paraId="0B53AAE4" w14:textId="77777777" w:rsidR="00E90CB9" w:rsidRDefault="00FF612A" w:rsidP="00796CE0">
            <w:pPr>
              <w:pStyle w:val="Tablewriting"/>
            </w:pPr>
            <w:r>
              <w:t>N=</w:t>
            </w:r>
            <w:r w:rsidR="00903210">
              <w:t>1</w:t>
            </w:r>
            <w:r>
              <w:t>,</w:t>
            </w:r>
            <w:r w:rsidR="00903210">
              <w:t>769</w:t>
            </w:r>
          </w:p>
          <w:p w14:paraId="7B91B18B" w14:textId="77777777" w:rsidR="00FF612A" w:rsidRDefault="00FF612A" w:rsidP="00796CE0">
            <w:pPr>
              <w:pStyle w:val="Tablewriting"/>
            </w:pPr>
            <w:r>
              <w:t>Self-help + NRT (n=881),</w:t>
            </w:r>
          </w:p>
          <w:p w14:paraId="0B55C178" w14:textId="2A70AAEE" w:rsidR="00FF612A" w:rsidRDefault="00FF612A" w:rsidP="00796CE0">
            <w:pPr>
              <w:pStyle w:val="Tablewriting"/>
            </w:pPr>
            <w:r>
              <w:t>NRT alone (n=888)</w:t>
            </w:r>
          </w:p>
        </w:tc>
        <w:tc>
          <w:tcPr>
            <w:tcW w:w="1372" w:type="pct"/>
          </w:tcPr>
          <w:p w14:paraId="73EBC8FF" w14:textId="71EB17E3" w:rsidR="00E90CB9" w:rsidRDefault="00274B51" w:rsidP="00796CE0">
            <w:pPr>
              <w:pStyle w:val="Tablewriting"/>
            </w:pPr>
            <w:r w:rsidRPr="00216E03">
              <w:rPr>
                <w:u w:val="single"/>
              </w:rPr>
              <w:t>Inclusion:</w:t>
            </w:r>
            <w:r>
              <w:t xml:space="preserve"> a</w:t>
            </w:r>
            <w:r w:rsidR="00A0044A" w:rsidRPr="00A0044A">
              <w:t>ny smoker</w:t>
            </w:r>
            <w:r w:rsidR="00294038">
              <w:t>s</w:t>
            </w:r>
            <w:r w:rsidR="00A0044A" w:rsidRPr="00A0044A">
              <w:t xml:space="preserve"> except pregnant smokers and adolescent smokers.</w:t>
            </w:r>
          </w:p>
        </w:tc>
        <w:tc>
          <w:tcPr>
            <w:tcW w:w="1026" w:type="pct"/>
          </w:tcPr>
          <w:p w14:paraId="378AC584" w14:textId="738F0A61" w:rsidR="00E90CB9" w:rsidRDefault="00B11D66" w:rsidP="00796CE0">
            <w:pPr>
              <w:pStyle w:val="Tablewriting"/>
            </w:pPr>
            <w:r>
              <w:t>Self-help materials &amp; NRT versus NRT</w:t>
            </w:r>
            <w:r w:rsidR="00B1128D">
              <w:t xml:space="preserve"> alone</w:t>
            </w:r>
            <w:r w:rsidR="00E512A4">
              <w:t>.</w:t>
            </w:r>
          </w:p>
        </w:tc>
        <w:tc>
          <w:tcPr>
            <w:tcW w:w="825" w:type="pct"/>
          </w:tcPr>
          <w:p w14:paraId="61C81B90" w14:textId="404F340C" w:rsidR="00E90CB9" w:rsidRDefault="00BB126B" w:rsidP="00796CE0">
            <w:pPr>
              <w:pStyle w:val="Tablewriting"/>
            </w:pPr>
            <w:r w:rsidRPr="00AA6DE2">
              <w:rPr>
                <w:u w:val="single"/>
              </w:rPr>
              <w:t>Primary</w:t>
            </w:r>
            <w:r>
              <w:rPr>
                <w:u w:val="single"/>
              </w:rPr>
              <w:t>:</w:t>
            </w:r>
            <w:r>
              <w:t xml:space="preserve"> s</w:t>
            </w:r>
            <w:r w:rsidR="00B11D66">
              <w:t xml:space="preserve">ustained </w:t>
            </w:r>
            <w:r w:rsidR="00826C95">
              <w:t>abstinence or</w:t>
            </w:r>
            <w:r w:rsidR="00B11D66">
              <w:t xml:space="preserve"> point prevalence</w:t>
            </w:r>
            <w:r>
              <w:t xml:space="preserve"> (at least 6 months follow-up)</w:t>
            </w:r>
            <w:r w:rsidR="00E512A4">
              <w:t>.</w:t>
            </w:r>
          </w:p>
        </w:tc>
      </w:tr>
      <w:tr w:rsidR="004E0304" w14:paraId="14E2B8EB" w14:textId="77777777" w:rsidTr="002004BB">
        <w:tc>
          <w:tcPr>
            <w:tcW w:w="498" w:type="pct"/>
          </w:tcPr>
          <w:p w14:paraId="250F36DA" w14:textId="77777777" w:rsidR="007276E6" w:rsidRDefault="00A95A7F" w:rsidP="00796CE0">
            <w:pPr>
              <w:pStyle w:val="Tablewriting"/>
            </w:pPr>
            <w:r>
              <w:t>Matkin</w:t>
            </w:r>
            <w:r w:rsidR="00C64B82">
              <w:t xml:space="preserve"> </w:t>
            </w:r>
          </w:p>
          <w:p w14:paraId="3CB51328" w14:textId="7661E806" w:rsidR="00E90CB9" w:rsidRDefault="005F5549" w:rsidP="00796CE0">
            <w:pPr>
              <w:pStyle w:val="Tablewriting"/>
            </w:pPr>
            <w:r>
              <w:t>(</w:t>
            </w:r>
            <w:r w:rsidR="00C64B82">
              <w:t>2019</w:t>
            </w:r>
            <w:r>
              <w:t>)</w:t>
            </w:r>
          </w:p>
        </w:tc>
        <w:tc>
          <w:tcPr>
            <w:tcW w:w="452" w:type="pct"/>
          </w:tcPr>
          <w:p w14:paraId="2B2C4820" w14:textId="77777777" w:rsidR="009A25C4" w:rsidRDefault="00C64B82" w:rsidP="00796CE0">
            <w:pPr>
              <w:pStyle w:val="Tablewriting"/>
            </w:pPr>
            <w:r>
              <w:t>Cochrane Review</w:t>
            </w:r>
            <w:r w:rsidR="00D3151F">
              <w:t xml:space="preserve"> </w:t>
            </w:r>
          </w:p>
          <w:p w14:paraId="09ACB2B6" w14:textId="6585CE22" w:rsidR="00E90CB9" w:rsidRDefault="00D3151F" w:rsidP="00796CE0">
            <w:pPr>
              <w:pStyle w:val="Tablewriting"/>
            </w:pPr>
            <w:r>
              <w:t>(</w:t>
            </w:r>
            <w:r w:rsidR="001D0374">
              <w:t>65</w:t>
            </w:r>
            <w:r w:rsidR="00E5459B">
              <w:t xml:space="preserve"> </w:t>
            </w:r>
            <w:r w:rsidR="0031766A">
              <w:t>RCT</w:t>
            </w:r>
            <w:r w:rsidR="00E5459B">
              <w:t>s</w:t>
            </w:r>
            <w:r w:rsidR="00A76716">
              <w:rPr>
                <w:vertAlign w:val="superscript"/>
              </w:rPr>
              <w:t>5</w:t>
            </w:r>
            <w:r w:rsidR="00E5459B">
              <w:t>)</w:t>
            </w:r>
          </w:p>
        </w:tc>
        <w:tc>
          <w:tcPr>
            <w:tcW w:w="827" w:type="pct"/>
          </w:tcPr>
          <w:p w14:paraId="5EAED219" w14:textId="77777777" w:rsidR="001D0374" w:rsidRPr="001D0374" w:rsidRDefault="001D0374" w:rsidP="00796CE0">
            <w:pPr>
              <w:pStyle w:val="Tablewriting"/>
              <w:rPr>
                <w:u w:val="single"/>
              </w:rPr>
            </w:pPr>
            <w:r w:rsidRPr="001D0374">
              <w:rPr>
                <w:u w:val="single"/>
              </w:rPr>
              <w:t>Efficacy (18 RCTs)</w:t>
            </w:r>
          </w:p>
          <w:p w14:paraId="30396629" w14:textId="22136FA5" w:rsidR="00E90CB9" w:rsidRDefault="007276E6" w:rsidP="00796CE0">
            <w:pPr>
              <w:pStyle w:val="Tablewriting"/>
            </w:pPr>
            <w:r>
              <w:t>N=</w:t>
            </w:r>
            <w:r w:rsidR="00FE76E1">
              <w:t>12</w:t>
            </w:r>
            <w:r>
              <w:t>,</w:t>
            </w:r>
            <w:r w:rsidR="00FE76E1">
              <w:t>865</w:t>
            </w:r>
          </w:p>
          <w:p w14:paraId="39095639" w14:textId="7306CB65" w:rsidR="0031766A" w:rsidRDefault="0031766A" w:rsidP="00796CE0">
            <w:pPr>
              <w:pStyle w:val="Tablewriting"/>
            </w:pPr>
            <w:r>
              <w:t>Proactive counselling + pharmacotherapy (n=</w:t>
            </w:r>
            <w:r w:rsidR="001D0374">
              <w:t xml:space="preserve">6,714), </w:t>
            </w:r>
          </w:p>
          <w:p w14:paraId="67664571" w14:textId="710A1F69" w:rsidR="001D0374" w:rsidRDefault="001D0374" w:rsidP="00796CE0">
            <w:pPr>
              <w:pStyle w:val="Tablewriting"/>
            </w:pPr>
            <w:r>
              <w:lastRenderedPageBreak/>
              <w:t>Pharmacotherapy alone (n=6,151)</w:t>
            </w:r>
          </w:p>
          <w:p w14:paraId="4150A70A" w14:textId="17A1AB68" w:rsidR="007276E6" w:rsidRDefault="007276E6" w:rsidP="00796CE0">
            <w:pPr>
              <w:pStyle w:val="Tablewriting"/>
            </w:pPr>
          </w:p>
        </w:tc>
        <w:tc>
          <w:tcPr>
            <w:tcW w:w="1372" w:type="pct"/>
          </w:tcPr>
          <w:p w14:paraId="7E387943" w14:textId="77777777" w:rsidR="00143AEA" w:rsidRDefault="00F809D3" w:rsidP="00796CE0">
            <w:pPr>
              <w:pStyle w:val="Tablewriting"/>
            </w:pPr>
            <w:r w:rsidRPr="00216E03">
              <w:rPr>
                <w:u w:val="single"/>
              </w:rPr>
              <w:lastRenderedPageBreak/>
              <w:t>Inclusion:</w:t>
            </w:r>
            <w:r>
              <w:t xml:space="preserve"> c</w:t>
            </w:r>
            <w:r w:rsidR="001B4A4B" w:rsidRPr="001B4A4B">
              <w:t>urrent smoker</w:t>
            </w:r>
            <w:r w:rsidR="00143AEA">
              <w:t>s,</w:t>
            </w:r>
            <w:r w:rsidR="001B4A4B">
              <w:t xml:space="preserve"> </w:t>
            </w:r>
            <w:r w:rsidR="00143AEA">
              <w:t>t</w:t>
            </w:r>
            <w:r w:rsidR="001B4A4B" w:rsidRPr="001B4A4B">
              <w:t xml:space="preserve">rials with a mixture of current smokers and recent quitters if the recent quitters were only a small proportion of the entire study population. </w:t>
            </w:r>
          </w:p>
          <w:p w14:paraId="4E2509F1" w14:textId="6D3E708E" w:rsidR="00E90CB9" w:rsidRDefault="00E8474B" w:rsidP="00796CE0">
            <w:pPr>
              <w:pStyle w:val="Tablewriting"/>
            </w:pPr>
            <w:r w:rsidRPr="00143AEA">
              <w:rPr>
                <w:u w:val="single"/>
              </w:rPr>
              <w:lastRenderedPageBreak/>
              <w:t>Exclusion:</w:t>
            </w:r>
            <w:r w:rsidR="001B4A4B" w:rsidRPr="001B4A4B">
              <w:t xml:space="preserve"> </w:t>
            </w:r>
            <w:r w:rsidR="00143AEA">
              <w:t>t</w:t>
            </w:r>
            <w:r>
              <w:t>rials exclusively</w:t>
            </w:r>
            <w:r w:rsidR="001B4A4B" w:rsidRPr="001B4A4B">
              <w:t xml:space="preserve"> recruit</w:t>
            </w:r>
            <w:r>
              <w:t>ing</w:t>
            </w:r>
            <w:r w:rsidR="001B4A4B" w:rsidRPr="001B4A4B">
              <w:t xml:space="preserve"> quitters or were focused on telephone counselling as an intervention for relapse</w:t>
            </w:r>
            <w:r>
              <w:t>.</w:t>
            </w:r>
          </w:p>
        </w:tc>
        <w:tc>
          <w:tcPr>
            <w:tcW w:w="1026" w:type="pct"/>
          </w:tcPr>
          <w:p w14:paraId="7DFB3E2F" w14:textId="753C4DF5" w:rsidR="00E90CB9" w:rsidRDefault="00000287" w:rsidP="00796CE0">
            <w:pPr>
              <w:pStyle w:val="Tablewriting"/>
            </w:pPr>
            <w:r>
              <w:lastRenderedPageBreak/>
              <w:t xml:space="preserve">Proactive </w:t>
            </w:r>
            <w:r w:rsidR="00FF7481">
              <w:t xml:space="preserve">telephone </w:t>
            </w:r>
            <w:r>
              <w:t>counselling</w:t>
            </w:r>
            <w:r w:rsidR="00E8474B">
              <w:t xml:space="preserve"> + pharmacotherapy versus pharmacotherapy</w:t>
            </w:r>
            <w:r w:rsidR="00E512A4">
              <w:t>.</w:t>
            </w:r>
          </w:p>
        </w:tc>
        <w:tc>
          <w:tcPr>
            <w:tcW w:w="825" w:type="pct"/>
          </w:tcPr>
          <w:p w14:paraId="2A8D96E6" w14:textId="72A323BA" w:rsidR="00E90CB9" w:rsidRDefault="0043613C" w:rsidP="00796CE0">
            <w:pPr>
              <w:pStyle w:val="Tablewriting"/>
            </w:pPr>
            <w:r w:rsidRPr="00AA6DE2">
              <w:rPr>
                <w:u w:val="single"/>
              </w:rPr>
              <w:t>Primary</w:t>
            </w:r>
            <w:r>
              <w:rPr>
                <w:u w:val="single"/>
              </w:rPr>
              <w:t>:</w:t>
            </w:r>
            <w:r>
              <w:t xml:space="preserve"> l</w:t>
            </w:r>
            <w:r w:rsidR="009B6D81">
              <w:t>ong-term smoking abstinence (</w:t>
            </w:r>
            <w:r>
              <w:t>at least 6 months after the start of intervention)</w:t>
            </w:r>
            <w:r w:rsidR="00E512A4">
              <w:t>.</w:t>
            </w:r>
          </w:p>
        </w:tc>
      </w:tr>
    </w:tbl>
    <w:p w14:paraId="4E64D8FE" w14:textId="4B8FE1DB" w:rsidR="00170B6E" w:rsidRDefault="00170B6E" w:rsidP="002004BB">
      <w:pPr>
        <w:pStyle w:val="TableFooter"/>
        <w:keepNext/>
        <w:jc w:val="both"/>
        <w:rPr>
          <w:i/>
        </w:rPr>
      </w:pPr>
      <w:r>
        <w:t>Abbreviations: NRT = nicotine replacement therapy; RCT = randomised controlled trial</w:t>
      </w:r>
      <w:r w:rsidRPr="00061F78">
        <w:t xml:space="preserve"> </w:t>
      </w:r>
    </w:p>
    <w:p w14:paraId="3BC6768C" w14:textId="25879948" w:rsidR="007276E6" w:rsidRDefault="007276E6" w:rsidP="002004BB">
      <w:pPr>
        <w:pStyle w:val="TableFooter"/>
        <w:keepNext/>
        <w:jc w:val="both"/>
      </w:pPr>
      <w:r>
        <w:t>Notes: Only studies that assessed behavioural interventions in combination with pharmacotherapies were included</w:t>
      </w:r>
      <w:r w:rsidR="00E512A4">
        <w:t>.</w:t>
      </w:r>
    </w:p>
    <w:p w14:paraId="275B89E4" w14:textId="5E101A93" w:rsidR="00184000" w:rsidRDefault="00184000" w:rsidP="002004BB">
      <w:pPr>
        <w:pStyle w:val="TableFooter"/>
        <w:keepNext/>
        <w:jc w:val="both"/>
      </w:pPr>
      <w:r>
        <w:t>1 Only the number of patients (n) in the relevant arms were included</w:t>
      </w:r>
      <w:r w:rsidR="00E512A4">
        <w:t>.</w:t>
      </w:r>
    </w:p>
    <w:p w14:paraId="4FB63162" w14:textId="4F8E8943" w:rsidR="00C41E41" w:rsidRDefault="00C41E41" w:rsidP="002004BB">
      <w:pPr>
        <w:pStyle w:val="TableFooter"/>
        <w:keepNext/>
        <w:jc w:val="both"/>
      </w:pPr>
      <w:r>
        <w:t xml:space="preserve">2 </w:t>
      </w:r>
      <w:r w:rsidRPr="00184000">
        <w:t xml:space="preserve">A total of </w:t>
      </w:r>
      <w:r>
        <w:t>33</w:t>
      </w:r>
      <w:r w:rsidRPr="00184000">
        <w:t xml:space="preserve"> RCTs</w:t>
      </w:r>
      <w:r>
        <w:t xml:space="preserve"> comparing individual counselling with minimal contact control (irrespective of adjunct pharmacotherapy) </w:t>
      </w:r>
      <w:r w:rsidRPr="00184000">
        <w:t xml:space="preserve">were identified. Of the </w:t>
      </w:r>
      <w:r>
        <w:t>33</w:t>
      </w:r>
      <w:r w:rsidRPr="00184000">
        <w:t xml:space="preserve"> RCTs, </w:t>
      </w:r>
      <w:r w:rsidR="00CC0A59">
        <w:t>six</w:t>
      </w:r>
      <w:r w:rsidRPr="00184000">
        <w:t xml:space="preserve"> RCTs were</w:t>
      </w:r>
      <w:r>
        <w:t xml:space="preserve"> studies assessing cou</w:t>
      </w:r>
      <w:r w:rsidRPr="0017503E">
        <w:t>nselling as an adjunct to pharmacotherapy</w:t>
      </w:r>
      <w:r w:rsidRPr="00184000">
        <w:t xml:space="preserve">. </w:t>
      </w:r>
      <w:r w:rsidR="00C67372">
        <w:t xml:space="preserve">Please refer to </w:t>
      </w:r>
      <w:r w:rsidR="00B96C1C">
        <w:t>Lancaster et al.</w:t>
      </w:r>
      <w:r w:rsidR="00B96C1C" w:rsidRPr="00184000">
        <w:t xml:space="preserve"> (201</w:t>
      </w:r>
      <w:r w:rsidR="00B96C1C">
        <w:t>9</w:t>
      </w:r>
      <w:r w:rsidR="00B96C1C" w:rsidRPr="00184000">
        <w:t>)</w:t>
      </w:r>
      <w:r w:rsidR="00B96C1C">
        <w:t xml:space="preserve"> for </w:t>
      </w:r>
      <w:r w:rsidR="00B96C1C" w:rsidRPr="00184000">
        <w:t>t</w:t>
      </w:r>
      <w:r w:rsidRPr="00184000">
        <w:t>he characteristics of the individual studies</w:t>
      </w:r>
      <w:r>
        <w:t xml:space="preserve">. </w:t>
      </w:r>
      <w:r w:rsidRPr="00AB5E3E">
        <w:t xml:space="preserve">Individual counselling was defined as a face-to face encounter between a smoker and </w:t>
      </w:r>
      <w:r w:rsidR="00B05DCD">
        <w:t xml:space="preserve">a </w:t>
      </w:r>
      <w:r w:rsidRPr="00AB5E3E">
        <w:t xml:space="preserve">trained smoking cessation counsellor. </w:t>
      </w:r>
    </w:p>
    <w:p w14:paraId="1DEB2BDC" w14:textId="6A18F361" w:rsidR="00184000" w:rsidRDefault="00C41E41" w:rsidP="002004BB">
      <w:pPr>
        <w:pStyle w:val="TableFooter"/>
        <w:keepNext/>
        <w:jc w:val="both"/>
      </w:pPr>
      <w:r>
        <w:t>3</w:t>
      </w:r>
      <w:r w:rsidR="00184000">
        <w:t xml:space="preserve"> </w:t>
      </w:r>
      <w:r w:rsidR="00184000" w:rsidRPr="00184000">
        <w:t xml:space="preserve">A total of </w:t>
      </w:r>
      <w:r w:rsidR="00CC0A59">
        <w:t>seven</w:t>
      </w:r>
      <w:r w:rsidR="00184000" w:rsidRPr="00184000">
        <w:t xml:space="preserve"> RCTs comparing</w:t>
      </w:r>
      <w:r w:rsidR="001C0CFF">
        <w:t xml:space="preserve"> more intensive versus less intensive behavioural interventions</w:t>
      </w:r>
      <w:r w:rsidR="00184000" w:rsidRPr="00184000">
        <w:t xml:space="preserve"> were identified. Of the </w:t>
      </w:r>
      <w:r w:rsidR="00CC0A59">
        <w:t>seven</w:t>
      </w:r>
      <w:r w:rsidR="00184000" w:rsidRPr="00184000">
        <w:t xml:space="preserve"> RCTs, </w:t>
      </w:r>
      <w:r w:rsidR="00CC0A59">
        <w:t>six</w:t>
      </w:r>
      <w:r w:rsidR="00184000" w:rsidRPr="00184000">
        <w:t xml:space="preserve"> RCTs were included in the primary efficacy analysis</w:t>
      </w:r>
      <w:r w:rsidR="007749CF">
        <w:t xml:space="preserve"> due to clinical heterogeneity with other studies and did not include pharmacotherapy</w:t>
      </w:r>
      <w:r w:rsidR="00184000" w:rsidRPr="00184000">
        <w:t xml:space="preserve">. </w:t>
      </w:r>
      <w:r w:rsidR="006106BF" w:rsidRPr="006106BF">
        <w:t xml:space="preserve">Please refer to Carson-Chahhoud et al. (2019) for </w:t>
      </w:r>
      <w:r w:rsidR="006106BF" w:rsidRPr="00184000">
        <w:t>t</w:t>
      </w:r>
      <w:r w:rsidR="00184000" w:rsidRPr="00184000">
        <w:t>he characteristics of the individual studies.</w:t>
      </w:r>
    </w:p>
    <w:p w14:paraId="05744C11" w14:textId="34DF9347" w:rsidR="00262C0E" w:rsidRDefault="00C41E41" w:rsidP="002004BB">
      <w:pPr>
        <w:pStyle w:val="TableFooter"/>
        <w:keepNext/>
        <w:jc w:val="both"/>
      </w:pPr>
      <w:r>
        <w:t>4</w:t>
      </w:r>
      <w:r w:rsidR="00262C0E">
        <w:t xml:space="preserve"> </w:t>
      </w:r>
      <w:r w:rsidR="00262C0E" w:rsidRPr="00184000">
        <w:t xml:space="preserve">A total of </w:t>
      </w:r>
      <w:r w:rsidR="00262C0E">
        <w:t>65</w:t>
      </w:r>
      <w:r w:rsidR="00262C0E" w:rsidRPr="00184000">
        <w:t xml:space="preserve"> RCTs comparing </w:t>
      </w:r>
      <w:r w:rsidR="00933A26">
        <w:t xml:space="preserve">more intensive </w:t>
      </w:r>
      <w:r w:rsidR="00EF3E4A">
        <w:t>with</w:t>
      </w:r>
      <w:r w:rsidR="00933A26">
        <w:t xml:space="preserve"> less intensive behavioural interventions</w:t>
      </w:r>
      <w:r w:rsidR="00D51721">
        <w:t xml:space="preserve"> (</w:t>
      </w:r>
      <w:r w:rsidR="00EF3E4A">
        <w:t xml:space="preserve">both </w:t>
      </w:r>
      <w:r w:rsidR="00D51721">
        <w:t>in combination with pharmacotherapy)</w:t>
      </w:r>
      <w:r w:rsidR="00933A26">
        <w:t xml:space="preserve"> </w:t>
      </w:r>
      <w:r w:rsidR="00262C0E" w:rsidRPr="00184000">
        <w:t xml:space="preserve">were identified. Of the </w:t>
      </w:r>
      <w:r w:rsidR="00B86DC4">
        <w:t>65</w:t>
      </w:r>
      <w:r w:rsidR="00262C0E" w:rsidRPr="00184000">
        <w:t xml:space="preserve"> RCTs, </w:t>
      </w:r>
      <w:r w:rsidR="00B86DC4">
        <w:t>59</w:t>
      </w:r>
      <w:r w:rsidR="00262C0E" w:rsidRPr="00184000">
        <w:t xml:space="preserve"> RCTs were</w:t>
      </w:r>
      <w:r w:rsidR="004020F1">
        <w:t xml:space="preserve"> studies </w:t>
      </w:r>
      <w:r w:rsidR="0059015F">
        <w:t>assessing PBS-listed pharmacotherapies</w:t>
      </w:r>
      <w:r w:rsidR="00262C0E" w:rsidRPr="00184000">
        <w:t xml:space="preserve">. </w:t>
      </w:r>
      <w:r w:rsidR="006106BF" w:rsidRPr="006106BF">
        <w:t>Please refer to Hartmann-Boyce et al. (2019)</w:t>
      </w:r>
      <w:r w:rsidR="006106BF">
        <w:t xml:space="preserve"> </w:t>
      </w:r>
      <w:r w:rsidR="006106BF" w:rsidRPr="006106BF">
        <w:t xml:space="preserve">for </w:t>
      </w:r>
      <w:r w:rsidR="006106BF" w:rsidRPr="00184000">
        <w:t>t</w:t>
      </w:r>
      <w:r w:rsidR="00262C0E" w:rsidRPr="00184000">
        <w:t>he characteristics of the individual studies.</w:t>
      </w:r>
    </w:p>
    <w:p w14:paraId="55F6D3C6" w14:textId="44147705" w:rsidR="00EF3E4A" w:rsidRDefault="00C41E41" w:rsidP="002004BB">
      <w:pPr>
        <w:pStyle w:val="TableFooter"/>
        <w:keepNext/>
        <w:jc w:val="both"/>
      </w:pPr>
      <w:r>
        <w:t>5</w:t>
      </w:r>
      <w:r w:rsidR="001D0374">
        <w:t xml:space="preserve"> </w:t>
      </w:r>
      <w:r w:rsidR="001D0374" w:rsidRPr="00184000">
        <w:t xml:space="preserve">A total of </w:t>
      </w:r>
      <w:r w:rsidR="001D0374">
        <w:t>65</w:t>
      </w:r>
      <w:r w:rsidR="001D0374" w:rsidRPr="00184000">
        <w:t xml:space="preserve"> RCTs </w:t>
      </w:r>
      <w:r w:rsidR="001D0374">
        <w:t>assessing proactive counselling (not initiated by calls to quitlines</w:t>
      </w:r>
      <w:r w:rsidR="0017503E">
        <w:t>)</w:t>
      </w:r>
      <w:r w:rsidR="001D0374">
        <w:t xml:space="preserve"> </w:t>
      </w:r>
      <w:r w:rsidR="001D0374" w:rsidRPr="00184000">
        <w:t xml:space="preserve">were identified. Of the </w:t>
      </w:r>
      <w:r w:rsidR="001D0374">
        <w:t>65</w:t>
      </w:r>
      <w:r w:rsidR="001D0374" w:rsidRPr="00184000">
        <w:t xml:space="preserve"> RCTs, </w:t>
      </w:r>
      <w:r w:rsidR="0017503E">
        <w:t>18</w:t>
      </w:r>
      <w:r w:rsidR="001D0374" w:rsidRPr="00184000">
        <w:t xml:space="preserve"> RCTs were</w:t>
      </w:r>
      <w:r w:rsidR="001D0374">
        <w:t xml:space="preserve"> studies assessing </w:t>
      </w:r>
      <w:r w:rsidR="0017503E" w:rsidRPr="0017503E">
        <w:t>telephone counselling as an adjunct to pharmacotherapy</w:t>
      </w:r>
      <w:r w:rsidR="001D0374" w:rsidRPr="00184000">
        <w:t xml:space="preserve">. </w:t>
      </w:r>
      <w:r w:rsidR="00F77549" w:rsidRPr="00F77549">
        <w:t xml:space="preserve">Please refer to Matkin et al. (2019) for </w:t>
      </w:r>
      <w:r w:rsidR="00F77549" w:rsidRPr="00184000">
        <w:t>t</w:t>
      </w:r>
      <w:r w:rsidR="001D0374" w:rsidRPr="00184000">
        <w:t>he characteristics of the individual studies</w:t>
      </w:r>
      <w:r w:rsidR="007D6ABC">
        <w:t>. Proactive counselling involves the</w:t>
      </w:r>
      <w:r w:rsidR="007D6ABC" w:rsidRPr="007D6ABC">
        <w:t xml:space="preserve"> counsellor initiat</w:t>
      </w:r>
      <w:r w:rsidR="007D6ABC">
        <w:t>ing</w:t>
      </w:r>
      <w:r w:rsidR="007D6ABC" w:rsidRPr="007D6ABC">
        <w:t xml:space="preserve"> one or more calls to provide support in making a quit attempt or avoiding relapse.</w:t>
      </w:r>
    </w:p>
    <w:p w14:paraId="6A011933" w14:textId="77777777" w:rsidR="004E0304" w:rsidRDefault="004E0304" w:rsidP="008D43F8">
      <w:pPr>
        <w:sectPr w:rsidR="004E0304" w:rsidSect="004E0304">
          <w:pgSz w:w="16838" w:h="11906" w:orient="landscape"/>
          <w:pgMar w:top="1440" w:right="1440" w:bottom="1440" w:left="1440" w:header="708" w:footer="708" w:gutter="0"/>
          <w:cols w:space="708"/>
          <w:titlePg/>
          <w:docGrid w:linePitch="360"/>
        </w:sectPr>
      </w:pPr>
    </w:p>
    <w:p w14:paraId="04D42FD5" w14:textId="75E43794" w:rsidR="00A76716" w:rsidRPr="009C047D" w:rsidRDefault="00A76716" w:rsidP="00462961">
      <w:pPr>
        <w:spacing w:after="120"/>
        <w:jc w:val="both"/>
        <w:rPr>
          <w:u w:val="single"/>
        </w:rPr>
      </w:pPr>
      <w:r w:rsidRPr="009C047D">
        <w:rPr>
          <w:u w:val="single"/>
        </w:rPr>
        <w:lastRenderedPageBreak/>
        <w:t xml:space="preserve">Individual counselling plus pharmacotherapy versus minimal contact (usual care, brief </w:t>
      </w:r>
      <w:r w:rsidR="00826C95" w:rsidRPr="009C047D">
        <w:rPr>
          <w:u w:val="single"/>
        </w:rPr>
        <w:t>advice,</w:t>
      </w:r>
      <w:r w:rsidRPr="009C047D">
        <w:rPr>
          <w:u w:val="single"/>
        </w:rPr>
        <w:t xml:space="preserve"> or self-help materials) plus pharmacotherapy</w:t>
      </w:r>
    </w:p>
    <w:p w14:paraId="5B3BB06E" w14:textId="6300AC2A" w:rsidR="00A76716" w:rsidRDefault="00A76716" w:rsidP="00462961">
      <w:pPr>
        <w:spacing w:after="120"/>
        <w:jc w:val="both"/>
      </w:pPr>
      <w:r>
        <w:t>Lancaster et al. (2017) identified 33 studies that examined individual counselling compared to minimal contact (</w:t>
      </w:r>
      <w:r w:rsidR="00826C95">
        <w:t>i.e.,</w:t>
      </w:r>
      <w:r>
        <w:t xml:space="preserve"> usual care, brief </w:t>
      </w:r>
      <w:r w:rsidR="00826C95">
        <w:t>advice,</w:t>
      </w:r>
      <w:r>
        <w:t xml:space="preserve"> or self-help materials). The authors of the Cochrane Review </w:t>
      </w:r>
      <w:r w:rsidRPr="0005159C">
        <w:t xml:space="preserve">defined </w:t>
      </w:r>
      <w:r>
        <w:t xml:space="preserve">individual counselling </w:t>
      </w:r>
      <w:r w:rsidRPr="0005159C">
        <w:t>as a face-to face encounter between a smoker and</w:t>
      </w:r>
      <w:r w:rsidR="00B05DCD">
        <w:t xml:space="preserve"> a</w:t>
      </w:r>
      <w:r w:rsidRPr="0005159C">
        <w:t xml:space="preserve"> trained smoking cessation counsellor. </w:t>
      </w:r>
      <w:r>
        <w:t xml:space="preserve">Studies that evaluated </w:t>
      </w:r>
      <w:r w:rsidRPr="0005159C">
        <w:t>counselling delivered by doctors and nurses as a part of a cl</w:t>
      </w:r>
      <w:r>
        <w:t>i</w:t>
      </w:r>
      <w:r w:rsidRPr="0005159C">
        <w:t xml:space="preserve">nical encounter, </w:t>
      </w:r>
      <w:r>
        <w:t xml:space="preserve">or </w:t>
      </w:r>
      <w:r w:rsidRPr="0005159C">
        <w:t>interven</w:t>
      </w:r>
      <w:r>
        <w:t>t</w:t>
      </w:r>
      <w:r w:rsidRPr="0005159C">
        <w:t xml:space="preserve">ions that combined counselling with </w:t>
      </w:r>
      <w:r>
        <w:t>p</w:t>
      </w:r>
      <w:r w:rsidRPr="0005159C">
        <w:t>harmacotherapy compared to brief support</w:t>
      </w:r>
      <w:r>
        <w:t xml:space="preserve"> alone</w:t>
      </w:r>
      <w:r w:rsidRPr="0005159C">
        <w:t xml:space="preserve">, </w:t>
      </w:r>
      <w:r>
        <w:t xml:space="preserve">or </w:t>
      </w:r>
      <w:r w:rsidRPr="0005159C">
        <w:t>studies of motivational interviewing</w:t>
      </w:r>
      <w:r>
        <w:t xml:space="preserve"> were excluded</w:t>
      </w:r>
      <w:r w:rsidRPr="0005159C">
        <w:t>.</w:t>
      </w:r>
    </w:p>
    <w:p w14:paraId="78CF1637" w14:textId="6F4B4CF2" w:rsidR="008D4FD7" w:rsidRDefault="00A76716" w:rsidP="00462961">
      <w:pPr>
        <w:spacing w:after="120"/>
        <w:jc w:val="both"/>
      </w:pPr>
      <w:r w:rsidRPr="007D3767">
        <w:t>A summary of the smoking cessation rates f</w:t>
      </w:r>
      <w:r w:rsidR="00760D68">
        <w:t>or</w:t>
      </w:r>
      <w:r w:rsidRPr="007D3767">
        <w:t xml:space="preserve"> at least six months follow-up </w:t>
      </w:r>
      <w:r>
        <w:t xml:space="preserve">comparing individual counselling with minimal contact </w:t>
      </w:r>
      <w:r w:rsidR="00D50CB2">
        <w:t xml:space="preserve">based on use </w:t>
      </w:r>
      <w:r w:rsidR="008D4FD7">
        <w:t xml:space="preserve">with or without pharmacotherapy </w:t>
      </w:r>
      <w:r w:rsidRPr="007D3767">
        <w:t>is</w:t>
      </w:r>
      <w:r>
        <w:t xml:space="preserve"> presented in </w:t>
      </w:r>
      <w:r>
        <w:fldChar w:fldCharType="begin" w:fldLock="1"/>
      </w:r>
      <w:r>
        <w:instrText xml:space="preserve"> REF _Ref62028320 \h </w:instrText>
      </w:r>
      <w:r w:rsidR="00462961">
        <w:instrText xml:space="preserve"> \* MERGEFORMAT </w:instrText>
      </w:r>
      <w:r>
        <w:fldChar w:fldCharType="separate"/>
      </w:r>
      <w:r w:rsidR="00EC5CC7">
        <w:t xml:space="preserve">Table </w:t>
      </w:r>
      <w:r w:rsidR="00EC5CC7">
        <w:rPr>
          <w:noProof/>
        </w:rPr>
        <w:t>119</w:t>
      </w:r>
      <w:r>
        <w:fldChar w:fldCharType="end"/>
      </w:r>
      <w:r>
        <w:t>.</w:t>
      </w:r>
      <w:r w:rsidRPr="00114126">
        <w:t xml:space="preserve"> </w:t>
      </w:r>
      <w:r w:rsidR="008D4FD7">
        <w:t xml:space="preserve">The </w:t>
      </w:r>
      <w:r w:rsidR="00412613" w:rsidRPr="00114126">
        <w:t xml:space="preserve">results of the meta-analysis comprising </w:t>
      </w:r>
      <w:r w:rsidR="008D4FD7">
        <w:t xml:space="preserve">six studies (NRT=5, bupropion=1) that offered pharmacotherapy to all participants </w:t>
      </w:r>
      <w:r w:rsidR="00D31B4C">
        <w:t>demonstrated</w:t>
      </w:r>
      <w:r w:rsidR="00D31B4C" w:rsidRPr="00114126">
        <w:t xml:space="preserve"> a statistically significant difference in long-term smoking cessation rates, in favour of </w:t>
      </w:r>
      <w:r w:rsidR="00D31B4C">
        <w:t>individual counselling in combination with pharmacotherapy</w:t>
      </w:r>
      <w:r w:rsidR="00D31B4C" w:rsidRPr="00114126">
        <w:t>.</w:t>
      </w:r>
    </w:p>
    <w:p w14:paraId="1BEC52B1" w14:textId="1EC886E7" w:rsidR="00A76716" w:rsidRDefault="00A76716" w:rsidP="00462961">
      <w:pPr>
        <w:spacing w:after="120"/>
        <w:jc w:val="both"/>
      </w:pPr>
      <w:r w:rsidRPr="00114126">
        <w:t xml:space="preserve">The </w:t>
      </w:r>
      <w:r w:rsidR="00412613">
        <w:t>overall pooled</w:t>
      </w:r>
      <w:r w:rsidR="00DF14AE">
        <w:t xml:space="preserve"> results</w:t>
      </w:r>
      <w:r w:rsidRPr="00114126">
        <w:t xml:space="preserve"> comprising </w:t>
      </w:r>
      <w:r>
        <w:t>33</w:t>
      </w:r>
      <w:r w:rsidRPr="00114126">
        <w:t xml:space="preserve"> RCTs </w:t>
      </w:r>
      <w:r w:rsidR="00DF14AE">
        <w:t xml:space="preserve">(irrespective of use in combination with pharmacotherapy) </w:t>
      </w:r>
      <w:r w:rsidRPr="00114126">
        <w:t xml:space="preserve">conducted by </w:t>
      </w:r>
      <w:r>
        <w:t>Lancaster</w:t>
      </w:r>
      <w:r w:rsidRPr="00114126">
        <w:t xml:space="preserve"> et al. (201</w:t>
      </w:r>
      <w:r>
        <w:t>7</w:t>
      </w:r>
      <w:r w:rsidRPr="00114126">
        <w:t xml:space="preserve">) </w:t>
      </w:r>
      <w:r w:rsidR="0076688E">
        <w:t xml:space="preserve">were consistent with the results of the </w:t>
      </w:r>
      <w:r w:rsidR="00B96418">
        <w:t xml:space="preserve">use in combination with pharmacotherapy </w:t>
      </w:r>
      <w:r w:rsidR="0076688E">
        <w:t>subgroup</w:t>
      </w:r>
      <w:r w:rsidR="00B96418">
        <w:t>.</w:t>
      </w:r>
      <w:r w:rsidR="0076688E">
        <w:t xml:space="preserve"> </w:t>
      </w:r>
    </w:p>
    <w:p w14:paraId="542D04E6" w14:textId="0FD39738" w:rsidR="00A76716" w:rsidRDefault="00A76716" w:rsidP="00462961">
      <w:pPr>
        <w:pStyle w:val="Caption"/>
        <w:keepNext/>
        <w:spacing w:before="0" w:after="120"/>
        <w:jc w:val="both"/>
      </w:pPr>
      <w:bookmarkStart w:id="208" w:name="_Ref62028320"/>
      <w:r>
        <w:t xml:space="preserve">Table </w:t>
      </w:r>
      <w:r w:rsidR="00BF3F75">
        <w:fldChar w:fldCharType="begin"/>
      </w:r>
      <w:r w:rsidR="00BF3F75">
        <w:instrText xml:space="preserve"> SEQ Table \* ARABIC </w:instrText>
      </w:r>
      <w:r w:rsidR="00BF3F75">
        <w:fldChar w:fldCharType="separate"/>
      </w:r>
      <w:r w:rsidR="00EC5CC7">
        <w:rPr>
          <w:noProof/>
        </w:rPr>
        <w:t>119</w:t>
      </w:r>
      <w:r w:rsidR="00BF3F75">
        <w:rPr>
          <w:noProof/>
        </w:rPr>
        <w:fldChar w:fldCharType="end"/>
      </w:r>
      <w:bookmarkEnd w:id="208"/>
      <w:r>
        <w:t xml:space="preserve">: </w:t>
      </w:r>
      <w:r w:rsidRPr="00F13B4B">
        <w:t>Results of smoking cessation f</w:t>
      </w:r>
      <w:r w:rsidR="00760D68">
        <w:t>or</w:t>
      </w:r>
      <w:r w:rsidRPr="00F13B4B">
        <w:t xml:space="preserve"> at least six months follow-up in Lancaster et al. (2017), individual counselling versus minimal contact control</w:t>
      </w:r>
    </w:p>
    <w:tbl>
      <w:tblPr>
        <w:tblStyle w:val="TableGrid"/>
        <w:tblW w:w="0" w:type="auto"/>
        <w:tblLook w:val="04A0" w:firstRow="1" w:lastRow="0" w:firstColumn="1" w:lastColumn="0" w:noHBand="0" w:noVBand="1"/>
      </w:tblPr>
      <w:tblGrid>
        <w:gridCol w:w="1696"/>
        <w:gridCol w:w="1701"/>
        <w:gridCol w:w="2127"/>
        <w:gridCol w:w="1842"/>
        <w:gridCol w:w="1650"/>
      </w:tblGrid>
      <w:tr w:rsidR="00A76716" w:rsidRPr="00A87B25" w14:paraId="37E458FF" w14:textId="77777777" w:rsidTr="00486A67">
        <w:tc>
          <w:tcPr>
            <w:tcW w:w="1696" w:type="dxa"/>
            <w:shd w:val="clear" w:color="auto" w:fill="BFBFBF" w:themeFill="background1" w:themeFillShade="BF"/>
          </w:tcPr>
          <w:p w14:paraId="5E21D906" w14:textId="77777777" w:rsidR="00A76716" w:rsidRPr="007D3767" w:rsidRDefault="00A76716" w:rsidP="00486A67">
            <w:pPr>
              <w:pStyle w:val="Tablewriting"/>
              <w:rPr>
                <w:b/>
                <w:bCs/>
              </w:rPr>
            </w:pPr>
            <w:r w:rsidRPr="007D3767">
              <w:rPr>
                <w:b/>
                <w:bCs/>
              </w:rPr>
              <w:t>Study</w:t>
            </w:r>
          </w:p>
        </w:tc>
        <w:tc>
          <w:tcPr>
            <w:tcW w:w="1701" w:type="dxa"/>
            <w:shd w:val="clear" w:color="auto" w:fill="BFBFBF" w:themeFill="background1" w:themeFillShade="BF"/>
          </w:tcPr>
          <w:p w14:paraId="538FA37B" w14:textId="77777777" w:rsidR="00A76716" w:rsidRPr="007D3767" w:rsidRDefault="00A76716" w:rsidP="00486A67">
            <w:pPr>
              <w:pStyle w:val="Tablewriting"/>
              <w:jc w:val="center"/>
              <w:rPr>
                <w:b/>
                <w:bCs/>
              </w:rPr>
            </w:pPr>
            <w:r w:rsidRPr="007D3767">
              <w:rPr>
                <w:b/>
                <w:bCs/>
              </w:rPr>
              <w:t>Study Type</w:t>
            </w:r>
          </w:p>
        </w:tc>
        <w:tc>
          <w:tcPr>
            <w:tcW w:w="2127" w:type="dxa"/>
            <w:shd w:val="clear" w:color="auto" w:fill="BFBFBF" w:themeFill="background1" w:themeFillShade="BF"/>
          </w:tcPr>
          <w:p w14:paraId="487F7987" w14:textId="77777777" w:rsidR="00A76716" w:rsidRPr="007D3767" w:rsidRDefault="00A76716" w:rsidP="00486A67">
            <w:pPr>
              <w:pStyle w:val="Tablewriting"/>
              <w:jc w:val="center"/>
              <w:rPr>
                <w:b/>
                <w:bCs/>
              </w:rPr>
            </w:pPr>
            <w:r>
              <w:rPr>
                <w:b/>
                <w:bCs/>
              </w:rPr>
              <w:t>Individual counselling</w:t>
            </w:r>
          </w:p>
        </w:tc>
        <w:tc>
          <w:tcPr>
            <w:tcW w:w="1842" w:type="dxa"/>
            <w:shd w:val="clear" w:color="auto" w:fill="BFBFBF" w:themeFill="background1" w:themeFillShade="BF"/>
          </w:tcPr>
          <w:p w14:paraId="5D6613B2" w14:textId="77777777" w:rsidR="00A76716" w:rsidRPr="007D3767" w:rsidRDefault="00A76716" w:rsidP="00486A67">
            <w:pPr>
              <w:pStyle w:val="Tablewriting"/>
              <w:jc w:val="center"/>
              <w:rPr>
                <w:b/>
                <w:bCs/>
              </w:rPr>
            </w:pPr>
            <w:r>
              <w:rPr>
                <w:b/>
                <w:bCs/>
              </w:rPr>
              <w:t>Minimal contact</w:t>
            </w:r>
          </w:p>
        </w:tc>
        <w:tc>
          <w:tcPr>
            <w:tcW w:w="1650" w:type="dxa"/>
            <w:shd w:val="clear" w:color="auto" w:fill="BFBFBF" w:themeFill="background1" w:themeFillShade="BF"/>
          </w:tcPr>
          <w:p w14:paraId="300E83D5" w14:textId="77777777" w:rsidR="00A76716" w:rsidRPr="0063602A" w:rsidRDefault="00A76716"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A76716" w:rsidRPr="00402359" w14:paraId="302A838C" w14:textId="77777777" w:rsidTr="008C1D8E">
        <w:tc>
          <w:tcPr>
            <w:tcW w:w="9016" w:type="dxa"/>
            <w:gridSpan w:val="5"/>
            <w:shd w:val="clear" w:color="auto" w:fill="auto"/>
          </w:tcPr>
          <w:p w14:paraId="4E370793" w14:textId="77777777" w:rsidR="00A76716" w:rsidRPr="00FB6174" w:rsidRDefault="00A76716" w:rsidP="00486A67">
            <w:pPr>
              <w:pStyle w:val="Tablewriting"/>
              <w:rPr>
                <w:b/>
                <w:bCs/>
              </w:rPr>
            </w:pPr>
            <w:r>
              <w:rPr>
                <w:b/>
                <w:bCs/>
              </w:rPr>
              <w:t>Use in combination with pharmacotherapy subgroup</w:t>
            </w:r>
          </w:p>
        </w:tc>
      </w:tr>
      <w:tr w:rsidR="00A76716" w:rsidRPr="00402359" w14:paraId="7B99B86A" w14:textId="77777777" w:rsidTr="00486A67">
        <w:tc>
          <w:tcPr>
            <w:tcW w:w="1696" w:type="dxa"/>
          </w:tcPr>
          <w:p w14:paraId="6A054FF9" w14:textId="77777777" w:rsidR="00A76716" w:rsidRDefault="00A76716" w:rsidP="00486A67">
            <w:pPr>
              <w:pStyle w:val="Tablewriting"/>
            </w:pPr>
            <w:r>
              <w:t>Lancaster</w:t>
            </w:r>
          </w:p>
          <w:p w14:paraId="68D9F38C" w14:textId="77777777" w:rsidR="00A76716" w:rsidRPr="00402359" w:rsidRDefault="00A76716" w:rsidP="00486A67">
            <w:pPr>
              <w:pStyle w:val="Tablewriting"/>
            </w:pPr>
            <w:r>
              <w:t>(2017)</w:t>
            </w:r>
          </w:p>
        </w:tc>
        <w:tc>
          <w:tcPr>
            <w:tcW w:w="1701" w:type="dxa"/>
          </w:tcPr>
          <w:p w14:paraId="0C6137E0" w14:textId="77777777" w:rsidR="00A76716" w:rsidRDefault="00A76716" w:rsidP="00486A67">
            <w:pPr>
              <w:pStyle w:val="Tablewriting"/>
              <w:jc w:val="center"/>
            </w:pPr>
            <w:r>
              <w:t xml:space="preserve">Cochrane Review </w:t>
            </w:r>
          </w:p>
          <w:p w14:paraId="08A94314" w14:textId="77777777" w:rsidR="00A76716" w:rsidRPr="00402359" w:rsidRDefault="00A76716" w:rsidP="00486A67">
            <w:pPr>
              <w:pStyle w:val="Tablewriting"/>
              <w:jc w:val="center"/>
            </w:pPr>
            <w:r>
              <w:t>(6 RCTs)</w:t>
            </w:r>
          </w:p>
        </w:tc>
        <w:tc>
          <w:tcPr>
            <w:tcW w:w="2127" w:type="dxa"/>
          </w:tcPr>
          <w:p w14:paraId="607EFA4E" w14:textId="77777777" w:rsidR="00A76716" w:rsidRDefault="00A76716" w:rsidP="00486A67">
            <w:pPr>
              <w:pStyle w:val="Tablewriting"/>
              <w:jc w:val="center"/>
            </w:pPr>
            <w:r>
              <w:t>161/1,196</w:t>
            </w:r>
          </w:p>
          <w:p w14:paraId="02556A57" w14:textId="77777777" w:rsidR="00A76716" w:rsidRPr="00402359" w:rsidRDefault="00A76716" w:rsidP="00486A67">
            <w:pPr>
              <w:pStyle w:val="Tablewriting"/>
              <w:jc w:val="center"/>
            </w:pPr>
            <w:r>
              <w:t>(13.5%)</w:t>
            </w:r>
          </w:p>
        </w:tc>
        <w:tc>
          <w:tcPr>
            <w:tcW w:w="1842" w:type="dxa"/>
          </w:tcPr>
          <w:p w14:paraId="21DD4394" w14:textId="77777777" w:rsidR="00A76716" w:rsidRDefault="00A76716" w:rsidP="00486A67">
            <w:pPr>
              <w:pStyle w:val="Tablewriting"/>
              <w:jc w:val="center"/>
            </w:pPr>
            <w:r>
              <w:t>154/1,466</w:t>
            </w:r>
          </w:p>
          <w:p w14:paraId="4076528B" w14:textId="77777777" w:rsidR="00A76716" w:rsidRPr="00402359" w:rsidRDefault="00A76716" w:rsidP="00486A67">
            <w:pPr>
              <w:pStyle w:val="Tablewriting"/>
              <w:jc w:val="center"/>
            </w:pPr>
            <w:r>
              <w:t>(10.5%)</w:t>
            </w:r>
          </w:p>
        </w:tc>
        <w:tc>
          <w:tcPr>
            <w:tcW w:w="1650" w:type="dxa"/>
          </w:tcPr>
          <w:p w14:paraId="16497DCF" w14:textId="77777777" w:rsidR="00A76716" w:rsidRDefault="00A76716" w:rsidP="00486A67">
            <w:pPr>
              <w:pStyle w:val="Tablewriting"/>
              <w:jc w:val="center"/>
              <w:rPr>
                <w:b/>
                <w:bCs/>
              </w:rPr>
            </w:pPr>
            <w:r>
              <w:rPr>
                <w:b/>
                <w:bCs/>
              </w:rPr>
              <w:t>1.24</w:t>
            </w:r>
          </w:p>
          <w:p w14:paraId="1C6C237A" w14:textId="77777777" w:rsidR="00A76716" w:rsidRPr="00FB6174" w:rsidRDefault="00A76716" w:rsidP="00486A67">
            <w:pPr>
              <w:pStyle w:val="Tablewriting"/>
              <w:jc w:val="center"/>
              <w:rPr>
                <w:b/>
                <w:bCs/>
              </w:rPr>
            </w:pPr>
            <w:r>
              <w:rPr>
                <w:b/>
                <w:bCs/>
              </w:rPr>
              <w:t>(1.01, 1.51)</w:t>
            </w:r>
          </w:p>
        </w:tc>
      </w:tr>
      <w:tr w:rsidR="00A76716" w:rsidRPr="00402359" w14:paraId="0B5790ED" w14:textId="77777777" w:rsidTr="008C1D8E">
        <w:tc>
          <w:tcPr>
            <w:tcW w:w="9016" w:type="dxa"/>
            <w:gridSpan w:val="5"/>
            <w:shd w:val="clear" w:color="auto" w:fill="auto"/>
          </w:tcPr>
          <w:p w14:paraId="5344A415" w14:textId="77777777" w:rsidR="00A76716" w:rsidRPr="003D1773" w:rsidRDefault="00A76716" w:rsidP="00486A67">
            <w:pPr>
              <w:pStyle w:val="Tablewriting"/>
              <w:rPr>
                <w:b/>
                <w:bCs/>
              </w:rPr>
            </w:pPr>
            <w:r>
              <w:rPr>
                <w:b/>
                <w:bCs/>
              </w:rPr>
              <w:t>Irrespective of use in combination with pharmacotherapy (with or without)</w:t>
            </w:r>
          </w:p>
        </w:tc>
      </w:tr>
      <w:tr w:rsidR="00A76716" w:rsidRPr="00402359" w14:paraId="2DE03EE9" w14:textId="77777777" w:rsidTr="00486A67">
        <w:tc>
          <w:tcPr>
            <w:tcW w:w="1696" w:type="dxa"/>
          </w:tcPr>
          <w:p w14:paraId="395F78AA" w14:textId="77777777" w:rsidR="00A76716" w:rsidRDefault="00A76716" w:rsidP="00486A67">
            <w:pPr>
              <w:pStyle w:val="Tablewriting"/>
            </w:pPr>
            <w:r>
              <w:t xml:space="preserve">Lancaster </w:t>
            </w:r>
          </w:p>
          <w:p w14:paraId="1EA4DDD0" w14:textId="77777777" w:rsidR="00A76716" w:rsidRPr="00402359" w:rsidRDefault="00A76716" w:rsidP="00486A67">
            <w:pPr>
              <w:pStyle w:val="Tablewriting"/>
            </w:pPr>
            <w:r>
              <w:t>(2017)</w:t>
            </w:r>
          </w:p>
        </w:tc>
        <w:tc>
          <w:tcPr>
            <w:tcW w:w="1701" w:type="dxa"/>
          </w:tcPr>
          <w:p w14:paraId="35DE360D" w14:textId="77777777" w:rsidR="00A76716" w:rsidRDefault="00A76716" w:rsidP="00486A67">
            <w:pPr>
              <w:pStyle w:val="Tablewriting"/>
              <w:jc w:val="center"/>
            </w:pPr>
            <w:r>
              <w:t xml:space="preserve">Cochrane Review </w:t>
            </w:r>
          </w:p>
          <w:p w14:paraId="28CC611F" w14:textId="77777777" w:rsidR="00A76716" w:rsidRDefault="00A76716" w:rsidP="00486A67">
            <w:pPr>
              <w:pStyle w:val="Tablewriting"/>
              <w:jc w:val="center"/>
            </w:pPr>
            <w:r>
              <w:t>(33 RCTs)</w:t>
            </w:r>
          </w:p>
        </w:tc>
        <w:tc>
          <w:tcPr>
            <w:tcW w:w="2127" w:type="dxa"/>
          </w:tcPr>
          <w:p w14:paraId="43B6B848" w14:textId="77777777" w:rsidR="00A76716" w:rsidRDefault="00A76716" w:rsidP="00486A67">
            <w:pPr>
              <w:pStyle w:val="Tablewriting"/>
              <w:jc w:val="center"/>
            </w:pPr>
            <w:r>
              <w:t>765/6,715</w:t>
            </w:r>
          </w:p>
          <w:p w14:paraId="53C869B6" w14:textId="77777777" w:rsidR="00A76716" w:rsidRDefault="00A76716" w:rsidP="00486A67">
            <w:pPr>
              <w:pStyle w:val="Tablewriting"/>
              <w:jc w:val="center"/>
            </w:pPr>
            <w:r>
              <w:t>(11.4%)</w:t>
            </w:r>
          </w:p>
        </w:tc>
        <w:tc>
          <w:tcPr>
            <w:tcW w:w="1842" w:type="dxa"/>
          </w:tcPr>
          <w:p w14:paraId="4A8C56DD" w14:textId="77777777" w:rsidR="00A76716" w:rsidRDefault="00A76716" w:rsidP="00486A67">
            <w:pPr>
              <w:pStyle w:val="Tablewriting"/>
              <w:jc w:val="center"/>
            </w:pPr>
            <w:r>
              <w:t>546/7,047</w:t>
            </w:r>
          </w:p>
          <w:p w14:paraId="04ED3DC5" w14:textId="77777777" w:rsidR="00A76716" w:rsidRDefault="00A76716" w:rsidP="00486A67">
            <w:pPr>
              <w:pStyle w:val="Tablewriting"/>
              <w:jc w:val="center"/>
            </w:pPr>
            <w:r>
              <w:t>(7.7%)</w:t>
            </w:r>
          </w:p>
        </w:tc>
        <w:tc>
          <w:tcPr>
            <w:tcW w:w="1650" w:type="dxa"/>
          </w:tcPr>
          <w:p w14:paraId="1C676E1C" w14:textId="77777777" w:rsidR="00A76716" w:rsidRDefault="00A76716" w:rsidP="00486A67">
            <w:pPr>
              <w:pStyle w:val="Tablewriting"/>
              <w:jc w:val="center"/>
              <w:rPr>
                <w:b/>
                <w:bCs/>
              </w:rPr>
            </w:pPr>
            <w:r>
              <w:rPr>
                <w:b/>
                <w:bCs/>
              </w:rPr>
              <w:t>1.48</w:t>
            </w:r>
          </w:p>
          <w:p w14:paraId="46F7DCD9" w14:textId="77777777" w:rsidR="00A76716" w:rsidRDefault="00A76716" w:rsidP="00486A67">
            <w:pPr>
              <w:pStyle w:val="Tablewriting"/>
              <w:jc w:val="center"/>
            </w:pPr>
            <w:r>
              <w:rPr>
                <w:b/>
                <w:bCs/>
              </w:rPr>
              <w:t>(1.34, 1.64)</w:t>
            </w:r>
          </w:p>
        </w:tc>
      </w:tr>
    </w:tbl>
    <w:p w14:paraId="0EDA2E77" w14:textId="77777777" w:rsidR="00A76716" w:rsidRDefault="00A76716" w:rsidP="00462961">
      <w:pPr>
        <w:pStyle w:val="TableFooter"/>
        <w:jc w:val="both"/>
      </w:pPr>
      <w:r>
        <w:t>Source: Lancaster et al. (2017)</w:t>
      </w:r>
    </w:p>
    <w:p w14:paraId="63353916" w14:textId="77777777" w:rsidR="00A76716" w:rsidRDefault="00A76716" w:rsidP="00462961">
      <w:pPr>
        <w:pStyle w:val="TableFooter"/>
        <w:jc w:val="both"/>
        <w:rPr>
          <w:i/>
        </w:rPr>
      </w:pPr>
      <w:r>
        <w:t>Abbreviations: CI = confidence interval; RCT = randomised controlled trial; RR = risk ratio</w:t>
      </w:r>
      <w:r w:rsidRPr="00061F78">
        <w:t xml:space="preserve"> </w:t>
      </w:r>
    </w:p>
    <w:p w14:paraId="0BDBE121" w14:textId="58B7ED68" w:rsidR="00A76716" w:rsidRDefault="00A76716" w:rsidP="00462961">
      <w:pPr>
        <w:pStyle w:val="TableFooter"/>
        <w:jc w:val="both"/>
      </w:pPr>
      <w:r w:rsidRPr="00D468CF">
        <w:t>Note</w:t>
      </w:r>
      <w:r>
        <w:t>s</w:t>
      </w:r>
      <w:r w:rsidRPr="00D468CF">
        <w:t>: Bold indicates statistically significant difference.</w:t>
      </w:r>
      <w:r w:rsidRPr="00962408">
        <w:t xml:space="preserve"> See </w:t>
      </w:r>
      <w:r w:rsidRPr="00B25100">
        <w:t>Appendix</w:t>
      </w:r>
      <w:r w:rsidR="003772D9">
        <w:t xml:space="preserve"> </w:t>
      </w:r>
      <w:r w:rsidR="003772D9">
        <w:rPr>
          <w:highlight w:val="yellow"/>
        </w:rPr>
        <w:fldChar w:fldCharType="begin" w:fldLock="1"/>
      </w:r>
      <w:r w:rsidR="003772D9">
        <w:instrText xml:space="preserve"> REF _Ref62219449 \h </w:instrText>
      </w:r>
      <w:r w:rsidR="00462961">
        <w:rPr>
          <w:highlight w:val="yellow"/>
        </w:rPr>
        <w:instrText xml:space="preserve"> \* MERGEFORMAT </w:instrText>
      </w:r>
      <w:r w:rsidR="003772D9">
        <w:rPr>
          <w:highlight w:val="yellow"/>
        </w:rPr>
      </w:r>
      <w:r w:rsidR="003772D9">
        <w:rPr>
          <w:highlight w:val="yellow"/>
        </w:rPr>
        <w:fldChar w:fldCharType="separate"/>
      </w:r>
      <w:r w:rsidR="00EC5CC7">
        <w:t xml:space="preserve">Figure </w:t>
      </w:r>
      <w:r w:rsidR="00EC5CC7">
        <w:rPr>
          <w:noProof/>
        </w:rPr>
        <w:t>109</w:t>
      </w:r>
      <w:r w:rsidR="003772D9">
        <w:rPr>
          <w:highlight w:val="yellow"/>
        </w:rPr>
        <w:fldChar w:fldCharType="end"/>
      </w:r>
      <w:r w:rsidRPr="00962408">
        <w:t xml:space="preserve"> for forest plot</w:t>
      </w:r>
      <w:r>
        <w:t xml:space="preserve"> </w:t>
      </w:r>
      <w:r w:rsidRPr="00962408">
        <w:t>which included the results of individual studies</w:t>
      </w:r>
      <w:r>
        <w:t>,</w:t>
      </w:r>
      <w:r w:rsidRPr="000F139B">
        <w:t xml:space="preserve"> </w:t>
      </w:r>
      <w:r>
        <w:t>the results of use without pharmacotherapy subgroup were not presented in this table.</w:t>
      </w:r>
    </w:p>
    <w:p w14:paraId="0D586431" w14:textId="727CD816" w:rsidR="00A76716" w:rsidRPr="006D3AFE" w:rsidRDefault="00A76716" w:rsidP="00462961">
      <w:pPr>
        <w:pStyle w:val="TableFooter"/>
        <w:spacing w:after="120"/>
        <w:contextualSpacing w:val="0"/>
        <w:jc w:val="both"/>
      </w:pPr>
      <w:r>
        <w:t>1 Calculated by Cochrane Review authors using a fixed-effect model</w:t>
      </w:r>
      <w:r w:rsidR="005A689C">
        <w:t>.</w:t>
      </w:r>
    </w:p>
    <w:p w14:paraId="13085DEE" w14:textId="77777777" w:rsidR="00A76716" w:rsidRDefault="00A76716" w:rsidP="00462961">
      <w:pPr>
        <w:spacing w:after="120"/>
        <w:jc w:val="both"/>
        <w:rPr>
          <w:u w:val="single"/>
        </w:rPr>
      </w:pPr>
      <w:r>
        <w:t xml:space="preserve">Lancaster et al. (2017) also pooled 11 studies to investigate the additional benefit of more intensive individual counselling compared to less intensive interventions. The results of the meta-analysis comprising 11 RCTs demonstrated </w:t>
      </w:r>
      <w:r w:rsidRPr="00114126">
        <w:t>a statistically significant difference in long-term smoking cessation rates</w:t>
      </w:r>
      <w:r>
        <w:t xml:space="preserve">, in favour of more intensive counselling. Of these, eight studies provided pharmacotherapy to all participants. The pooled risk ratio of the eight studies was consistent with the overall results (RR: 1.26; 95% CI: 1.04, 1.52), which overlapped with the remaining studies that did not offer pharmacotherapy to all participants. </w:t>
      </w:r>
    </w:p>
    <w:p w14:paraId="43083ACB" w14:textId="77777777" w:rsidR="00A76716" w:rsidRPr="000909FA" w:rsidRDefault="00A76716" w:rsidP="00462961">
      <w:pPr>
        <w:spacing w:after="120"/>
        <w:jc w:val="both"/>
        <w:rPr>
          <w:u w:val="single"/>
        </w:rPr>
      </w:pPr>
      <w:r w:rsidRPr="000909FA">
        <w:rPr>
          <w:u w:val="single"/>
        </w:rPr>
        <w:t>Group therapy interventions plus pharmacotherapy versus brief cessation support plus pharmacotherapy</w:t>
      </w:r>
    </w:p>
    <w:p w14:paraId="2DC45497" w14:textId="1A441559" w:rsidR="00A76716" w:rsidRDefault="00A76716" w:rsidP="00462961">
      <w:pPr>
        <w:spacing w:after="120"/>
        <w:jc w:val="both"/>
      </w:pPr>
      <w:r>
        <w:t xml:space="preserve">Stead et al. (2017) identified five studies that examined group therapy plus pharmacotherapy as compared to pharmacotherapy with brief support. Three of these studies provided NRT </w:t>
      </w:r>
      <w:r>
        <w:lastRenderedPageBreak/>
        <w:t xml:space="preserve">while the remaining studies provided bupropion. In addition to pharmacotherapy, the control conditions ranged from minimal contact and medication instructions only, to fewer and less intense group sessions. </w:t>
      </w:r>
    </w:p>
    <w:p w14:paraId="5FEDEC56" w14:textId="6A4CB728" w:rsidR="00A76716" w:rsidRDefault="00A76716" w:rsidP="00462961">
      <w:pPr>
        <w:spacing w:after="120"/>
        <w:jc w:val="both"/>
      </w:pPr>
      <w:r w:rsidRPr="003457E5">
        <w:t>A summary of the smoking cessation rates f</w:t>
      </w:r>
      <w:r w:rsidR="00760D68">
        <w:t>or</w:t>
      </w:r>
      <w:r w:rsidRPr="003457E5">
        <w:t xml:space="preserve"> at least six months follow-up comparing </w:t>
      </w:r>
      <w:r w:rsidRPr="0028732A">
        <w:t>group therapy plus pharmacotherapy versus pharmacotherapy alone</w:t>
      </w:r>
      <w:r w:rsidRPr="003457E5">
        <w:t xml:space="preserve"> is presented</w:t>
      </w:r>
      <w:r>
        <w:t xml:space="preserve"> in </w:t>
      </w:r>
      <w:r>
        <w:fldChar w:fldCharType="begin" w:fldLock="1"/>
      </w:r>
      <w:r>
        <w:instrText xml:space="preserve"> REF _Ref62029110 \h </w:instrText>
      </w:r>
      <w:r w:rsidR="00462961">
        <w:instrText xml:space="preserve"> \* MERGEFORMAT </w:instrText>
      </w:r>
      <w:r>
        <w:fldChar w:fldCharType="separate"/>
      </w:r>
      <w:r w:rsidR="00EC5CC7">
        <w:t xml:space="preserve">Table </w:t>
      </w:r>
      <w:r w:rsidR="00EC5CC7">
        <w:rPr>
          <w:noProof/>
        </w:rPr>
        <w:t>120</w:t>
      </w:r>
      <w:r>
        <w:fldChar w:fldCharType="end"/>
      </w:r>
      <w:r>
        <w:t>.</w:t>
      </w:r>
      <w:r w:rsidRPr="003457E5">
        <w:t xml:space="preserve"> </w:t>
      </w:r>
      <w:r w:rsidRPr="00AB0131">
        <w:t xml:space="preserve">The results of the meta-analysis comprising </w:t>
      </w:r>
      <w:r>
        <w:t>five</w:t>
      </w:r>
      <w:r w:rsidRPr="00AB0131">
        <w:t xml:space="preserve"> RCTs conducted by </w:t>
      </w:r>
      <w:r>
        <w:t>Stead</w:t>
      </w:r>
      <w:r w:rsidRPr="00AB0131">
        <w:t xml:space="preserve"> et al. (2017) </w:t>
      </w:r>
      <w:r>
        <w:t>demonstrated</w:t>
      </w:r>
      <w:r w:rsidRPr="00AB0131">
        <w:t xml:space="preserve"> </w:t>
      </w:r>
      <w:r>
        <w:t>no</w:t>
      </w:r>
      <w:r w:rsidRPr="00AB0131">
        <w:t xml:space="preserve"> statistically significant difference</w:t>
      </w:r>
      <w:r>
        <w:t>s</w:t>
      </w:r>
      <w:r w:rsidRPr="00AB0131">
        <w:t xml:space="preserve"> in long-term smoking cessation rates</w:t>
      </w:r>
      <w:r>
        <w:t xml:space="preserve"> between the two treatment arms</w:t>
      </w:r>
      <w:r w:rsidRPr="00AB0131">
        <w:t xml:space="preserve">, </w:t>
      </w:r>
      <w:r>
        <w:t>although the results numerically favoured group therapy plus pharmacotherapy. It was observed that none of the individual studies reported a statistically significant result.</w:t>
      </w:r>
    </w:p>
    <w:p w14:paraId="45908405" w14:textId="60AF3B39" w:rsidR="00A76716" w:rsidRDefault="00A76716" w:rsidP="00462961">
      <w:pPr>
        <w:pStyle w:val="Caption"/>
        <w:keepNext/>
        <w:spacing w:before="0" w:after="120"/>
        <w:jc w:val="both"/>
      </w:pPr>
      <w:bookmarkStart w:id="209" w:name="_Ref62029110"/>
      <w:r>
        <w:t xml:space="preserve">Table </w:t>
      </w:r>
      <w:r w:rsidR="00BF3F75">
        <w:fldChar w:fldCharType="begin"/>
      </w:r>
      <w:r w:rsidR="00BF3F75">
        <w:instrText xml:space="preserve"> SEQ Table \* ARABIC </w:instrText>
      </w:r>
      <w:r w:rsidR="00BF3F75">
        <w:fldChar w:fldCharType="separate"/>
      </w:r>
      <w:r w:rsidR="00EC5CC7">
        <w:rPr>
          <w:noProof/>
        </w:rPr>
        <w:t>120</w:t>
      </w:r>
      <w:r w:rsidR="00BF3F75">
        <w:rPr>
          <w:noProof/>
        </w:rPr>
        <w:fldChar w:fldCharType="end"/>
      </w:r>
      <w:bookmarkEnd w:id="209"/>
      <w:r>
        <w:t xml:space="preserve">: </w:t>
      </w:r>
      <w:r w:rsidRPr="003B5BEB">
        <w:t>Results of smoking cessation f</w:t>
      </w:r>
      <w:r w:rsidR="00760D68">
        <w:t>or</w:t>
      </w:r>
      <w:r w:rsidRPr="003B5BEB">
        <w:t xml:space="preserve"> at least six months follow-up in Stead et al. (2017), group therapy plus pharmacotherapy versus pharmacotherapy alone</w:t>
      </w:r>
    </w:p>
    <w:tbl>
      <w:tblPr>
        <w:tblStyle w:val="TableGrid"/>
        <w:tblW w:w="0" w:type="auto"/>
        <w:tblLook w:val="04A0" w:firstRow="1" w:lastRow="0" w:firstColumn="1" w:lastColumn="0" w:noHBand="0" w:noVBand="1"/>
      </w:tblPr>
      <w:tblGrid>
        <w:gridCol w:w="1696"/>
        <w:gridCol w:w="1701"/>
        <w:gridCol w:w="1985"/>
        <w:gridCol w:w="1984"/>
        <w:gridCol w:w="1650"/>
      </w:tblGrid>
      <w:tr w:rsidR="00A76716" w:rsidRPr="00A87B25" w14:paraId="2F0E81D9" w14:textId="77777777" w:rsidTr="00486A67">
        <w:tc>
          <w:tcPr>
            <w:tcW w:w="1696" w:type="dxa"/>
            <w:shd w:val="clear" w:color="auto" w:fill="BFBFBF" w:themeFill="background1" w:themeFillShade="BF"/>
          </w:tcPr>
          <w:p w14:paraId="5425996B" w14:textId="77777777" w:rsidR="00A76716" w:rsidRPr="007D3767" w:rsidRDefault="00A76716" w:rsidP="00486A67">
            <w:pPr>
              <w:pStyle w:val="Tablewriting"/>
              <w:rPr>
                <w:b/>
                <w:bCs/>
              </w:rPr>
            </w:pPr>
            <w:r w:rsidRPr="007D3767">
              <w:rPr>
                <w:b/>
                <w:bCs/>
              </w:rPr>
              <w:t>Study</w:t>
            </w:r>
          </w:p>
        </w:tc>
        <w:tc>
          <w:tcPr>
            <w:tcW w:w="1701" w:type="dxa"/>
            <w:shd w:val="clear" w:color="auto" w:fill="BFBFBF" w:themeFill="background1" w:themeFillShade="BF"/>
          </w:tcPr>
          <w:p w14:paraId="417B8366" w14:textId="77777777" w:rsidR="00A76716" w:rsidRPr="007D3767" w:rsidRDefault="00A76716" w:rsidP="00486A67">
            <w:pPr>
              <w:pStyle w:val="Tablewriting"/>
              <w:jc w:val="center"/>
              <w:rPr>
                <w:b/>
                <w:bCs/>
              </w:rPr>
            </w:pPr>
            <w:r w:rsidRPr="007D3767">
              <w:rPr>
                <w:b/>
                <w:bCs/>
              </w:rPr>
              <w:t>Study Type</w:t>
            </w:r>
          </w:p>
        </w:tc>
        <w:tc>
          <w:tcPr>
            <w:tcW w:w="1985" w:type="dxa"/>
            <w:shd w:val="clear" w:color="auto" w:fill="BFBFBF" w:themeFill="background1" w:themeFillShade="BF"/>
          </w:tcPr>
          <w:p w14:paraId="3A6CBE9D" w14:textId="77777777" w:rsidR="00A76716" w:rsidRPr="007D3767" w:rsidRDefault="00A76716" w:rsidP="00486A67">
            <w:pPr>
              <w:pStyle w:val="Tablewriting"/>
              <w:jc w:val="center"/>
              <w:rPr>
                <w:b/>
                <w:bCs/>
              </w:rPr>
            </w:pPr>
            <w:r>
              <w:rPr>
                <w:b/>
                <w:bCs/>
              </w:rPr>
              <w:t>Group therapy plus pharmacotherapy</w:t>
            </w:r>
          </w:p>
        </w:tc>
        <w:tc>
          <w:tcPr>
            <w:tcW w:w="1984" w:type="dxa"/>
            <w:shd w:val="clear" w:color="auto" w:fill="BFBFBF" w:themeFill="background1" w:themeFillShade="BF"/>
          </w:tcPr>
          <w:p w14:paraId="78D96FB6" w14:textId="77777777" w:rsidR="00A76716" w:rsidRPr="007D3767" w:rsidRDefault="00A76716" w:rsidP="00486A67">
            <w:pPr>
              <w:pStyle w:val="Tablewriting"/>
              <w:jc w:val="center"/>
              <w:rPr>
                <w:b/>
                <w:bCs/>
              </w:rPr>
            </w:pPr>
            <w:r>
              <w:rPr>
                <w:b/>
                <w:bCs/>
              </w:rPr>
              <w:t>Pharmacotherapy alone</w:t>
            </w:r>
          </w:p>
        </w:tc>
        <w:tc>
          <w:tcPr>
            <w:tcW w:w="1650" w:type="dxa"/>
            <w:shd w:val="clear" w:color="auto" w:fill="BFBFBF" w:themeFill="background1" w:themeFillShade="BF"/>
          </w:tcPr>
          <w:p w14:paraId="489FA1C9" w14:textId="77777777" w:rsidR="00A76716" w:rsidRPr="0063602A" w:rsidRDefault="00A76716"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A76716" w:rsidRPr="00402359" w14:paraId="1D6642EA" w14:textId="77777777" w:rsidTr="00486A67">
        <w:tc>
          <w:tcPr>
            <w:tcW w:w="1696" w:type="dxa"/>
          </w:tcPr>
          <w:p w14:paraId="5A9835E6" w14:textId="77777777" w:rsidR="00A76716" w:rsidRDefault="00A76716" w:rsidP="00486A67">
            <w:pPr>
              <w:pStyle w:val="Tablewriting"/>
            </w:pPr>
            <w:r>
              <w:t>Stead</w:t>
            </w:r>
          </w:p>
          <w:p w14:paraId="1C58B11E" w14:textId="77777777" w:rsidR="00A76716" w:rsidRPr="00402359" w:rsidRDefault="00A76716" w:rsidP="00486A67">
            <w:pPr>
              <w:pStyle w:val="Tablewriting"/>
            </w:pPr>
            <w:r>
              <w:t>(2017)</w:t>
            </w:r>
          </w:p>
        </w:tc>
        <w:tc>
          <w:tcPr>
            <w:tcW w:w="1701" w:type="dxa"/>
          </w:tcPr>
          <w:p w14:paraId="118F8958" w14:textId="77777777" w:rsidR="00A76716" w:rsidRDefault="00A76716" w:rsidP="00486A67">
            <w:pPr>
              <w:pStyle w:val="Tablewriting"/>
              <w:jc w:val="center"/>
            </w:pPr>
            <w:r>
              <w:t xml:space="preserve">Cochrane Review </w:t>
            </w:r>
          </w:p>
          <w:p w14:paraId="4A94A659" w14:textId="77777777" w:rsidR="00A76716" w:rsidRPr="00402359" w:rsidRDefault="00A76716" w:rsidP="00486A67">
            <w:pPr>
              <w:pStyle w:val="Tablewriting"/>
              <w:jc w:val="center"/>
            </w:pPr>
            <w:r>
              <w:t>(5 RCTs)</w:t>
            </w:r>
          </w:p>
        </w:tc>
        <w:tc>
          <w:tcPr>
            <w:tcW w:w="1985" w:type="dxa"/>
          </w:tcPr>
          <w:p w14:paraId="43BE72B5" w14:textId="77777777" w:rsidR="00A76716" w:rsidRDefault="00A76716" w:rsidP="00486A67">
            <w:pPr>
              <w:pStyle w:val="Tablewriting"/>
              <w:jc w:val="center"/>
            </w:pPr>
            <w:r>
              <w:t>238/843</w:t>
            </w:r>
          </w:p>
          <w:p w14:paraId="7C436371" w14:textId="77777777" w:rsidR="00A76716" w:rsidRPr="00402359" w:rsidRDefault="00A76716" w:rsidP="00486A67">
            <w:pPr>
              <w:pStyle w:val="Tablewriting"/>
              <w:jc w:val="center"/>
            </w:pPr>
            <w:r>
              <w:t>(28.2%)</w:t>
            </w:r>
          </w:p>
        </w:tc>
        <w:tc>
          <w:tcPr>
            <w:tcW w:w="1984" w:type="dxa"/>
          </w:tcPr>
          <w:p w14:paraId="404AD026" w14:textId="77777777" w:rsidR="00A76716" w:rsidRDefault="00A76716" w:rsidP="00486A67">
            <w:pPr>
              <w:pStyle w:val="Tablewriting"/>
              <w:jc w:val="center"/>
            </w:pPr>
            <w:r>
              <w:t>156/680</w:t>
            </w:r>
          </w:p>
          <w:p w14:paraId="11202370" w14:textId="77777777" w:rsidR="00A76716" w:rsidRPr="00402359" w:rsidRDefault="00A76716" w:rsidP="00486A67">
            <w:pPr>
              <w:pStyle w:val="Tablewriting"/>
              <w:jc w:val="center"/>
            </w:pPr>
            <w:r>
              <w:t>(22.9%)</w:t>
            </w:r>
          </w:p>
        </w:tc>
        <w:tc>
          <w:tcPr>
            <w:tcW w:w="1650" w:type="dxa"/>
          </w:tcPr>
          <w:p w14:paraId="18FC4D2B" w14:textId="77777777" w:rsidR="00A76716" w:rsidRPr="003457E5" w:rsidRDefault="00A76716" w:rsidP="00486A67">
            <w:pPr>
              <w:pStyle w:val="Tablewriting"/>
              <w:jc w:val="center"/>
            </w:pPr>
            <w:r w:rsidRPr="003457E5">
              <w:t>1.11</w:t>
            </w:r>
          </w:p>
          <w:p w14:paraId="2229170E" w14:textId="77777777" w:rsidR="00A76716" w:rsidRPr="00FB6174" w:rsidRDefault="00A76716" w:rsidP="00486A67">
            <w:pPr>
              <w:pStyle w:val="Tablewriting"/>
              <w:jc w:val="center"/>
              <w:rPr>
                <w:b/>
                <w:bCs/>
              </w:rPr>
            </w:pPr>
            <w:r w:rsidRPr="003457E5">
              <w:t>(0.93, 1.33)</w:t>
            </w:r>
          </w:p>
        </w:tc>
      </w:tr>
    </w:tbl>
    <w:p w14:paraId="7721C1C7" w14:textId="77777777" w:rsidR="00A76716" w:rsidRDefault="00A76716" w:rsidP="00462961">
      <w:pPr>
        <w:pStyle w:val="TableFooter"/>
        <w:jc w:val="both"/>
      </w:pPr>
      <w:r>
        <w:t>Source: Stead et al. (2017)</w:t>
      </w:r>
    </w:p>
    <w:p w14:paraId="6513E707" w14:textId="77777777" w:rsidR="00A76716" w:rsidRDefault="00A76716" w:rsidP="00462961">
      <w:pPr>
        <w:pStyle w:val="TableFooter"/>
        <w:jc w:val="both"/>
        <w:rPr>
          <w:i/>
        </w:rPr>
      </w:pPr>
      <w:r>
        <w:t>Abbreviations: CI = confidence interval; RCT = randomised controlled trial; RR = risk ratio</w:t>
      </w:r>
      <w:r w:rsidRPr="00061F78">
        <w:t xml:space="preserve"> </w:t>
      </w:r>
    </w:p>
    <w:p w14:paraId="4792DB92" w14:textId="5FA219D0" w:rsidR="00A76716" w:rsidRDefault="00A76716" w:rsidP="00462961">
      <w:pPr>
        <w:pStyle w:val="TableFooter"/>
        <w:jc w:val="both"/>
      </w:pPr>
      <w:r w:rsidRPr="00D468CF">
        <w:t>Note</w:t>
      </w:r>
      <w:r>
        <w:t>s</w:t>
      </w:r>
      <w:r w:rsidRPr="00D468CF">
        <w:t>: Bold indicates statistically significant difference.</w:t>
      </w:r>
      <w:r w:rsidRPr="00962408">
        <w:t xml:space="preserve"> See </w:t>
      </w:r>
      <w:r w:rsidRPr="00B25100">
        <w:t>Appendix</w:t>
      </w:r>
      <w:r w:rsidRPr="00962408">
        <w:t xml:space="preserve"> </w:t>
      </w:r>
      <w:r w:rsidR="003772D9">
        <w:rPr>
          <w:highlight w:val="yellow"/>
        </w:rPr>
        <w:fldChar w:fldCharType="begin" w:fldLock="1"/>
      </w:r>
      <w:r w:rsidR="003772D9">
        <w:instrText xml:space="preserve"> REF _Ref62219458 \h </w:instrText>
      </w:r>
      <w:r w:rsidR="00462961">
        <w:rPr>
          <w:highlight w:val="yellow"/>
        </w:rPr>
        <w:instrText xml:space="preserve"> \* MERGEFORMAT </w:instrText>
      </w:r>
      <w:r w:rsidR="003772D9">
        <w:rPr>
          <w:highlight w:val="yellow"/>
        </w:rPr>
      </w:r>
      <w:r w:rsidR="003772D9">
        <w:rPr>
          <w:highlight w:val="yellow"/>
        </w:rPr>
        <w:fldChar w:fldCharType="separate"/>
      </w:r>
      <w:r w:rsidR="00EC5CC7">
        <w:t xml:space="preserve">Figure </w:t>
      </w:r>
      <w:r w:rsidR="00EC5CC7">
        <w:rPr>
          <w:noProof/>
        </w:rPr>
        <w:t>110</w:t>
      </w:r>
      <w:r w:rsidR="003772D9">
        <w:rPr>
          <w:highlight w:val="yellow"/>
        </w:rPr>
        <w:fldChar w:fldCharType="end"/>
      </w:r>
      <w:r w:rsidRPr="00962408">
        <w:t xml:space="preserve"> for forest plot</w:t>
      </w:r>
      <w:r>
        <w:t xml:space="preserve"> </w:t>
      </w:r>
      <w:r w:rsidRPr="00962408">
        <w:t>which included the results of individual studies</w:t>
      </w:r>
      <w:r>
        <w:t>.</w:t>
      </w:r>
    </w:p>
    <w:p w14:paraId="67FE5CAF" w14:textId="3A7AC41F" w:rsidR="00A76716" w:rsidRPr="006D3AFE" w:rsidRDefault="00A76716" w:rsidP="00462961">
      <w:pPr>
        <w:pStyle w:val="TableFooter"/>
        <w:jc w:val="both"/>
      </w:pPr>
      <w:r>
        <w:t>1 Calculated by Cochrane Review authors using a fixed-effect model</w:t>
      </w:r>
      <w:r w:rsidR="005A689C">
        <w:t>.</w:t>
      </w:r>
    </w:p>
    <w:p w14:paraId="567AC057" w14:textId="6B8E2B34" w:rsidR="00EE3B90" w:rsidRPr="009D3978" w:rsidRDefault="00EE3B90" w:rsidP="00462961">
      <w:pPr>
        <w:spacing w:after="120"/>
        <w:jc w:val="both"/>
        <w:rPr>
          <w:u w:val="single"/>
        </w:rPr>
      </w:pPr>
      <w:r>
        <w:rPr>
          <w:u w:val="single"/>
        </w:rPr>
        <w:t>More intensive behavioural support delivered by c</w:t>
      </w:r>
      <w:r w:rsidRPr="009D3978">
        <w:rPr>
          <w:u w:val="single"/>
        </w:rPr>
        <w:t>ommunity pharmacy personnel interventions</w:t>
      </w:r>
      <w:r>
        <w:rPr>
          <w:u w:val="single"/>
        </w:rPr>
        <w:t xml:space="preserve"> versus less intensive smoking cessation support</w:t>
      </w:r>
      <w:r w:rsidR="009C047D">
        <w:rPr>
          <w:u w:val="single"/>
        </w:rPr>
        <w:t xml:space="preserve"> (both in combination with pharmacotherapy)</w:t>
      </w:r>
    </w:p>
    <w:p w14:paraId="3E319F40" w14:textId="04B71DEE" w:rsidR="00EE3B90" w:rsidRDefault="00EE3B90" w:rsidP="00462961">
      <w:pPr>
        <w:spacing w:after="120"/>
        <w:jc w:val="both"/>
      </w:pPr>
      <w:r>
        <w:t>Carson-Chahhoud et al. (2019) identified seven studies that examined face-to-face behavioural interventions delivered by community pharmacy personnel as compared to “usual care</w:t>
      </w:r>
      <w:r w:rsidR="007367C9">
        <w:t>”</w:t>
      </w:r>
      <w:r>
        <w:t>. The behavioural interventions were broadly based on various psychological theories of behaviour change but varied in content and the frequency of interactions (</w:t>
      </w:r>
      <w:r w:rsidR="00826C95">
        <w:t>i.e.,</w:t>
      </w:r>
      <w:r>
        <w:t xml:space="preserve"> contact time). Usual care also varied between the studies, ranging from one-off-brief behavioural advice to print-based interventions and less intensive smoking cessation progra</w:t>
      </w:r>
      <w:r w:rsidR="007367C9">
        <w:t>m</w:t>
      </w:r>
      <w:r>
        <w:t xml:space="preserve">s. Participants in both groups had access to pharmacotherapy in all but one study where pharmacotherapy was not provided or available to participants in either group </w:t>
      </w:r>
      <w:r w:rsidRPr="00467484">
        <w:t xml:space="preserve">(Burford </w:t>
      </w:r>
      <w:r w:rsidR="00467484" w:rsidRPr="00467484">
        <w:t xml:space="preserve">et al. </w:t>
      </w:r>
      <w:r w:rsidRPr="00467484">
        <w:t>2013</w:t>
      </w:r>
      <w:r>
        <w:t xml:space="preserve">). Additionally, another study </w:t>
      </w:r>
      <w:r w:rsidR="005E61B4">
        <w:t>(</w:t>
      </w:r>
      <w:r w:rsidRPr="005E61B4">
        <w:t>El Hajj</w:t>
      </w:r>
      <w:r w:rsidR="005E61B4" w:rsidRPr="005E61B4">
        <w:t xml:space="preserve"> et al.</w:t>
      </w:r>
      <w:r w:rsidRPr="005E61B4">
        <w:t xml:space="preserve"> 2017</w:t>
      </w:r>
      <w:r w:rsidR="005E61B4">
        <w:t>)</w:t>
      </w:r>
      <w:r w:rsidR="008472F9">
        <w:t xml:space="preserve"> reported that</w:t>
      </w:r>
      <w:r>
        <w:t xml:space="preserve"> pharmacotherapy </w:t>
      </w:r>
      <w:r w:rsidR="008472F9">
        <w:t xml:space="preserve">was provided </w:t>
      </w:r>
      <w:r>
        <w:t xml:space="preserve">to intervention group </w:t>
      </w:r>
      <w:r w:rsidR="00550394">
        <w:t>participants but</w:t>
      </w:r>
      <w:r>
        <w:t xml:space="preserve"> </w:t>
      </w:r>
      <w:r w:rsidR="008472F9">
        <w:t xml:space="preserve">was </w:t>
      </w:r>
      <w:r>
        <w:t>only offered to control group participants.</w:t>
      </w:r>
      <w:r w:rsidR="00971AC4">
        <w:t xml:space="preserve"> It was unclear whether the pharmacotherapy provided in both arms was matched</w:t>
      </w:r>
      <w:r w:rsidR="008472F9">
        <w:t>.</w:t>
      </w:r>
    </w:p>
    <w:p w14:paraId="724FBFDD" w14:textId="1A64D06A" w:rsidR="00ED4D7D" w:rsidRDefault="00396722" w:rsidP="00462961">
      <w:pPr>
        <w:spacing w:after="120"/>
        <w:jc w:val="both"/>
      </w:pPr>
      <w:r w:rsidRPr="007D3767">
        <w:t>A summary of the smoking cessation rates f</w:t>
      </w:r>
      <w:r w:rsidR="00760D68">
        <w:t>or</w:t>
      </w:r>
      <w:r w:rsidRPr="007D3767">
        <w:t xml:space="preserve"> at least six months follow-up comparing </w:t>
      </w:r>
      <w:r>
        <w:t xml:space="preserve">more intensive with less intensive smoking cessation support </w:t>
      </w:r>
      <w:r w:rsidRPr="007D3767">
        <w:t>is presented</w:t>
      </w:r>
      <w:r w:rsidR="001966B8">
        <w:t xml:space="preserve"> in </w:t>
      </w:r>
      <w:r w:rsidR="001966B8">
        <w:fldChar w:fldCharType="begin" w:fldLock="1"/>
      </w:r>
      <w:r w:rsidR="001966B8">
        <w:instrText xml:space="preserve"> REF _Ref62026556 \h </w:instrText>
      </w:r>
      <w:r w:rsidR="00462961">
        <w:instrText xml:space="preserve"> \* MERGEFORMAT </w:instrText>
      </w:r>
      <w:r w:rsidR="001966B8">
        <w:fldChar w:fldCharType="separate"/>
      </w:r>
      <w:r w:rsidR="00EC5CC7">
        <w:t xml:space="preserve">Table </w:t>
      </w:r>
      <w:r w:rsidR="00EC5CC7">
        <w:rPr>
          <w:noProof/>
        </w:rPr>
        <w:t>121</w:t>
      </w:r>
      <w:r w:rsidR="001966B8">
        <w:fldChar w:fldCharType="end"/>
      </w:r>
      <w:r w:rsidR="001966B8">
        <w:t>.</w:t>
      </w:r>
      <w:r>
        <w:t xml:space="preserve"> </w:t>
      </w:r>
      <w:r w:rsidR="003E7377">
        <w:t xml:space="preserve">The </w:t>
      </w:r>
      <w:r w:rsidR="00061E95">
        <w:t>results of the</w:t>
      </w:r>
      <w:r w:rsidR="00FB5A00">
        <w:t xml:space="preserve"> meta-analysis </w:t>
      </w:r>
      <w:r w:rsidR="00B340CB">
        <w:t xml:space="preserve">comprising six RCTs </w:t>
      </w:r>
      <w:r w:rsidR="00241248">
        <w:t xml:space="preserve">(excluding Burford 2013) </w:t>
      </w:r>
      <w:r w:rsidR="00FB5A00">
        <w:t xml:space="preserve">conducted by Carson-Chahhoud et al. (2019) </w:t>
      </w:r>
      <w:r w:rsidR="001966B8">
        <w:t>demonstrated</w:t>
      </w:r>
      <w:r w:rsidR="004F53D2">
        <w:t xml:space="preserve"> </w:t>
      </w:r>
      <w:r w:rsidR="00B340CB" w:rsidRPr="00B340CB">
        <w:t xml:space="preserve">a statistically significant difference in long-term smoking cessation rates, in favour of </w:t>
      </w:r>
      <w:r w:rsidR="004F53D2">
        <w:t xml:space="preserve">more intensive </w:t>
      </w:r>
      <w:r w:rsidR="00F253F8">
        <w:t xml:space="preserve">face-to-face behavioural smoking cessation in combination with pharmacotherapy. An additional sensitivity analysis conducted by the </w:t>
      </w:r>
      <w:r w:rsidR="00BF0668">
        <w:t xml:space="preserve">Cochrane Review </w:t>
      </w:r>
      <w:r w:rsidR="00F253F8">
        <w:t>author</w:t>
      </w:r>
      <w:r w:rsidR="00BF0668">
        <w:t>s by r</w:t>
      </w:r>
      <w:r w:rsidR="00EE3B90">
        <w:t xml:space="preserve">emoving El Hajj </w:t>
      </w:r>
      <w:r w:rsidR="00BF0668">
        <w:t>et al. (</w:t>
      </w:r>
      <w:r w:rsidR="00EE3B90">
        <w:t>2017</w:t>
      </w:r>
      <w:r w:rsidR="00BF0668">
        <w:t>)</w:t>
      </w:r>
      <w:r w:rsidR="00EE3B90">
        <w:t xml:space="preserve"> did not have any notable effect on this estimate.</w:t>
      </w:r>
    </w:p>
    <w:p w14:paraId="66AD7341" w14:textId="78AD4F26" w:rsidR="003D2C0D" w:rsidRDefault="003D2C0D" w:rsidP="007367C9">
      <w:pPr>
        <w:pStyle w:val="Caption"/>
        <w:keepNext/>
        <w:spacing w:before="0" w:after="120"/>
        <w:jc w:val="both"/>
      </w:pPr>
      <w:bookmarkStart w:id="210" w:name="_Ref62026556"/>
      <w:r>
        <w:lastRenderedPageBreak/>
        <w:t xml:space="preserve">Table </w:t>
      </w:r>
      <w:r w:rsidR="00BF3F75">
        <w:fldChar w:fldCharType="begin"/>
      </w:r>
      <w:r w:rsidR="00BF3F75">
        <w:instrText xml:space="preserve"> SEQ Table \* ARABIC </w:instrText>
      </w:r>
      <w:r w:rsidR="00BF3F75">
        <w:fldChar w:fldCharType="separate"/>
      </w:r>
      <w:r w:rsidR="00EC5CC7">
        <w:rPr>
          <w:noProof/>
        </w:rPr>
        <w:t>121</w:t>
      </w:r>
      <w:r w:rsidR="00BF3F75">
        <w:rPr>
          <w:noProof/>
        </w:rPr>
        <w:fldChar w:fldCharType="end"/>
      </w:r>
      <w:bookmarkEnd w:id="210"/>
      <w:r>
        <w:t xml:space="preserve">: </w:t>
      </w:r>
      <w:r w:rsidRPr="00E90764">
        <w:t>Results of smoking cessation f</w:t>
      </w:r>
      <w:r w:rsidR="00760D68">
        <w:t>or</w:t>
      </w:r>
      <w:r w:rsidRPr="00E90764">
        <w:t xml:space="preserve"> at least six months follow-up in Carson-Chahhoud et al. (2019), more versus less intensive smoking cessation support</w:t>
      </w:r>
    </w:p>
    <w:tbl>
      <w:tblPr>
        <w:tblStyle w:val="TableGrid"/>
        <w:tblW w:w="0" w:type="auto"/>
        <w:tblLook w:val="04A0" w:firstRow="1" w:lastRow="0" w:firstColumn="1" w:lastColumn="0" w:noHBand="0" w:noVBand="1"/>
      </w:tblPr>
      <w:tblGrid>
        <w:gridCol w:w="1696"/>
        <w:gridCol w:w="1701"/>
        <w:gridCol w:w="1985"/>
        <w:gridCol w:w="1984"/>
        <w:gridCol w:w="1650"/>
      </w:tblGrid>
      <w:tr w:rsidR="00ED4D7D" w:rsidRPr="00A87B25" w14:paraId="79DDA501" w14:textId="77777777" w:rsidTr="00486A67">
        <w:tc>
          <w:tcPr>
            <w:tcW w:w="1696" w:type="dxa"/>
            <w:shd w:val="clear" w:color="auto" w:fill="BFBFBF" w:themeFill="background1" w:themeFillShade="BF"/>
          </w:tcPr>
          <w:p w14:paraId="788079EB" w14:textId="77777777" w:rsidR="00ED4D7D" w:rsidRPr="007D3767" w:rsidRDefault="00ED4D7D" w:rsidP="00486A67">
            <w:pPr>
              <w:pStyle w:val="Tablewriting"/>
              <w:rPr>
                <w:b/>
                <w:bCs/>
              </w:rPr>
            </w:pPr>
            <w:r w:rsidRPr="007D3767">
              <w:rPr>
                <w:b/>
                <w:bCs/>
              </w:rPr>
              <w:t>Study</w:t>
            </w:r>
          </w:p>
        </w:tc>
        <w:tc>
          <w:tcPr>
            <w:tcW w:w="1701" w:type="dxa"/>
            <w:shd w:val="clear" w:color="auto" w:fill="BFBFBF" w:themeFill="background1" w:themeFillShade="BF"/>
          </w:tcPr>
          <w:p w14:paraId="73D2174A" w14:textId="77777777" w:rsidR="00ED4D7D" w:rsidRPr="007D3767" w:rsidRDefault="00ED4D7D" w:rsidP="00486A67">
            <w:pPr>
              <w:pStyle w:val="Tablewriting"/>
              <w:jc w:val="center"/>
              <w:rPr>
                <w:b/>
                <w:bCs/>
              </w:rPr>
            </w:pPr>
            <w:r w:rsidRPr="007D3767">
              <w:rPr>
                <w:b/>
                <w:bCs/>
              </w:rPr>
              <w:t>Study Type</w:t>
            </w:r>
          </w:p>
        </w:tc>
        <w:tc>
          <w:tcPr>
            <w:tcW w:w="1985" w:type="dxa"/>
            <w:shd w:val="clear" w:color="auto" w:fill="BFBFBF" w:themeFill="background1" w:themeFillShade="BF"/>
          </w:tcPr>
          <w:p w14:paraId="5DD479E0" w14:textId="7E99678D" w:rsidR="00ED4D7D" w:rsidRPr="007D3767" w:rsidRDefault="00ED4D7D" w:rsidP="00486A67">
            <w:pPr>
              <w:pStyle w:val="Tablewriting"/>
              <w:jc w:val="center"/>
              <w:rPr>
                <w:b/>
                <w:bCs/>
              </w:rPr>
            </w:pPr>
            <w:r>
              <w:rPr>
                <w:b/>
                <w:bCs/>
              </w:rPr>
              <w:t>More intensive</w:t>
            </w:r>
          </w:p>
        </w:tc>
        <w:tc>
          <w:tcPr>
            <w:tcW w:w="1984" w:type="dxa"/>
            <w:shd w:val="clear" w:color="auto" w:fill="BFBFBF" w:themeFill="background1" w:themeFillShade="BF"/>
          </w:tcPr>
          <w:p w14:paraId="3B547A4A" w14:textId="13FACB54" w:rsidR="00ED4D7D" w:rsidRPr="007D3767" w:rsidRDefault="00ED4D7D" w:rsidP="00486A67">
            <w:pPr>
              <w:pStyle w:val="Tablewriting"/>
              <w:jc w:val="center"/>
              <w:rPr>
                <w:b/>
                <w:bCs/>
              </w:rPr>
            </w:pPr>
            <w:r>
              <w:rPr>
                <w:b/>
                <w:bCs/>
              </w:rPr>
              <w:t>Less intensive</w:t>
            </w:r>
          </w:p>
        </w:tc>
        <w:tc>
          <w:tcPr>
            <w:tcW w:w="1650" w:type="dxa"/>
            <w:shd w:val="clear" w:color="auto" w:fill="BFBFBF" w:themeFill="background1" w:themeFillShade="BF"/>
          </w:tcPr>
          <w:p w14:paraId="32E442A6" w14:textId="77777777" w:rsidR="00ED4D7D" w:rsidRPr="0063602A" w:rsidRDefault="00ED4D7D"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ED4D7D" w:rsidRPr="00402359" w14:paraId="6259A1A9" w14:textId="77777777" w:rsidTr="00486A67">
        <w:tc>
          <w:tcPr>
            <w:tcW w:w="1696" w:type="dxa"/>
          </w:tcPr>
          <w:p w14:paraId="08865F5E" w14:textId="3DCAC8DB" w:rsidR="00ED4D7D" w:rsidRDefault="00DC7C2B" w:rsidP="00486A67">
            <w:pPr>
              <w:pStyle w:val="Tablewriting"/>
            </w:pPr>
            <w:r>
              <w:t>Carson-Chahhoud</w:t>
            </w:r>
          </w:p>
          <w:p w14:paraId="2605535F" w14:textId="77777777" w:rsidR="00ED4D7D" w:rsidRPr="00402359" w:rsidRDefault="00ED4D7D" w:rsidP="00486A67">
            <w:pPr>
              <w:pStyle w:val="Tablewriting"/>
            </w:pPr>
            <w:r>
              <w:t>(2019)</w:t>
            </w:r>
          </w:p>
        </w:tc>
        <w:tc>
          <w:tcPr>
            <w:tcW w:w="1701" w:type="dxa"/>
          </w:tcPr>
          <w:p w14:paraId="355C1C29" w14:textId="77777777" w:rsidR="00ED4D7D" w:rsidRDefault="00ED4D7D" w:rsidP="00486A67">
            <w:pPr>
              <w:pStyle w:val="Tablewriting"/>
              <w:jc w:val="center"/>
            </w:pPr>
            <w:r>
              <w:t xml:space="preserve">Cochrane Review </w:t>
            </w:r>
          </w:p>
          <w:p w14:paraId="29B110A9" w14:textId="5FDE6512" w:rsidR="00ED4D7D" w:rsidRPr="00402359" w:rsidRDefault="00ED4D7D" w:rsidP="00486A67">
            <w:pPr>
              <w:pStyle w:val="Tablewriting"/>
              <w:jc w:val="center"/>
            </w:pPr>
            <w:r>
              <w:t>(</w:t>
            </w:r>
            <w:r w:rsidR="00DC7C2B">
              <w:t>6</w:t>
            </w:r>
            <w:r>
              <w:t xml:space="preserve"> RCTs)</w:t>
            </w:r>
          </w:p>
        </w:tc>
        <w:tc>
          <w:tcPr>
            <w:tcW w:w="1985" w:type="dxa"/>
          </w:tcPr>
          <w:p w14:paraId="08D8ECFA" w14:textId="1CFE813C" w:rsidR="00ED4D7D" w:rsidRDefault="00ED4D7D" w:rsidP="00486A67">
            <w:pPr>
              <w:pStyle w:val="Tablewriting"/>
              <w:jc w:val="center"/>
            </w:pPr>
            <w:r>
              <w:t>1</w:t>
            </w:r>
            <w:r w:rsidR="00D156DD">
              <w:t>11</w:t>
            </w:r>
            <w:r>
              <w:t>/</w:t>
            </w:r>
            <w:r w:rsidR="00D156DD">
              <w:t>845</w:t>
            </w:r>
          </w:p>
          <w:p w14:paraId="0507F489" w14:textId="48AB92C4" w:rsidR="00ED4D7D" w:rsidRPr="00402359" w:rsidRDefault="00ED4D7D" w:rsidP="00486A67">
            <w:pPr>
              <w:pStyle w:val="Tablewriting"/>
              <w:jc w:val="center"/>
            </w:pPr>
            <w:r>
              <w:t>(</w:t>
            </w:r>
            <w:r w:rsidR="00067BFA">
              <w:t>13.1</w:t>
            </w:r>
            <w:r>
              <w:t>%)</w:t>
            </w:r>
          </w:p>
        </w:tc>
        <w:tc>
          <w:tcPr>
            <w:tcW w:w="1984" w:type="dxa"/>
          </w:tcPr>
          <w:p w14:paraId="1D3CEAB6" w14:textId="038B9143" w:rsidR="00ED4D7D" w:rsidRDefault="00D156DD" w:rsidP="00486A67">
            <w:pPr>
              <w:pStyle w:val="Tablewriting"/>
              <w:jc w:val="center"/>
            </w:pPr>
            <w:r>
              <w:t>46</w:t>
            </w:r>
            <w:r w:rsidR="00ED4D7D">
              <w:t>/</w:t>
            </w:r>
            <w:r>
              <w:t>769</w:t>
            </w:r>
          </w:p>
          <w:p w14:paraId="450511C6" w14:textId="6E164EA6" w:rsidR="00ED4D7D" w:rsidRPr="00402359" w:rsidRDefault="00ED4D7D" w:rsidP="00486A67">
            <w:pPr>
              <w:pStyle w:val="Tablewriting"/>
              <w:jc w:val="center"/>
            </w:pPr>
            <w:r>
              <w:t>(</w:t>
            </w:r>
            <w:r w:rsidR="00233CBA">
              <w:t>6.0</w:t>
            </w:r>
            <w:r>
              <w:t>%)</w:t>
            </w:r>
          </w:p>
        </w:tc>
        <w:tc>
          <w:tcPr>
            <w:tcW w:w="1650" w:type="dxa"/>
          </w:tcPr>
          <w:p w14:paraId="6E87A19C" w14:textId="657A6DBF" w:rsidR="00ED4D7D" w:rsidRDefault="00D156DD" w:rsidP="00486A67">
            <w:pPr>
              <w:pStyle w:val="Tablewriting"/>
              <w:jc w:val="center"/>
              <w:rPr>
                <w:b/>
                <w:bCs/>
              </w:rPr>
            </w:pPr>
            <w:r>
              <w:rPr>
                <w:b/>
                <w:bCs/>
              </w:rPr>
              <w:t>2.30</w:t>
            </w:r>
          </w:p>
          <w:p w14:paraId="644FBEDA" w14:textId="6D2C1101" w:rsidR="00ED4D7D" w:rsidRPr="00FB6174" w:rsidRDefault="00ED4D7D" w:rsidP="00486A67">
            <w:pPr>
              <w:pStyle w:val="Tablewriting"/>
              <w:jc w:val="center"/>
              <w:rPr>
                <w:b/>
                <w:bCs/>
              </w:rPr>
            </w:pPr>
            <w:r>
              <w:rPr>
                <w:b/>
                <w:bCs/>
              </w:rPr>
              <w:t>(1.</w:t>
            </w:r>
            <w:r w:rsidR="00D156DD">
              <w:rPr>
                <w:b/>
                <w:bCs/>
              </w:rPr>
              <w:t>33</w:t>
            </w:r>
            <w:r>
              <w:rPr>
                <w:b/>
                <w:bCs/>
              </w:rPr>
              <w:t xml:space="preserve">, </w:t>
            </w:r>
            <w:r w:rsidR="00D156DD">
              <w:rPr>
                <w:b/>
                <w:bCs/>
              </w:rPr>
              <w:t>3.97</w:t>
            </w:r>
            <w:r>
              <w:rPr>
                <w:b/>
                <w:bCs/>
              </w:rPr>
              <w:t>)</w:t>
            </w:r>
          </w:p>
        </w:tc>
      </w:tr>
    </w:tbl>
    <w:p w14:paraId="0C39A923" w14:textId="3ABFA7AD" w:rsidR="00430F36" w:rsidRDefault="00430F36" w:rsidP="007367C9">
      <w:pPr>
        <w:pStyle w:val="TableFooter"/>
        <w:jc w:val="both"/>
      </w:pPr>
      <w:r>
        <w:t xml:space="preserve">Source: </w:t>
      </w:r>
      <w:r w:rsidR="0020021F">
        <w:t>Carson-Chahhoud</w:t>
      </w:r>
      <w:r>
        <w:t xml:space="preserve"> et al. (2019)</w:t>
      </w:r>
    </w:p>
    <w:p w14:paraId="1B1A6B6C" w14:textId="77777777" w:rsidR="00430F36" w:rsidRDefault="00430F36" w:rsidP="007367C9">
      <w:pPr>
        <w:pStyle w:val="TableFooter"/>
        <w:jc w:val="both"/>
        <w:rPr>
          <w:i/>
        </w:rPr>
      </w:pPr>
      <w:r>
        <w:t>Abbreviations: CI = confidence interval; RCT = randomised controlled trial; RR = risk ratio</w:t>
      </w:r>
      <w:r w:rsidRPr="00061F78">
        <w:t xml:space="preserve"> </w:t>
      </w:r>
    </w:p>
    <w:p w14:paraId="244642E3" w14:textId="146891CC" w:rsidR="00FB5A00" w:rsidRDefault="00430F36" w:rsidP="007367C9">
      <w:pPr>
        <w:pStyle w:val="TableFooter"/>
        <w:jc w:val="both"/>
      </w:pPr>
      <w:r w:rsidRPr="00D468CF">
        <w:t>Note</w:t>
      </w:r>
      <w:r>
        <w:t>s</w:t>
      </w:r>
      <w:r w:rsidRPr="00D468CF">
        <w:t>: Bold indicates statistically significant difference.</w:t>
      </w:r>
      <w:r w:rsidRPr="00962408">
        <w:t xml:space="preserve"> See </w:t>
      </w:r>
      <w:r w:rsidRPr="00B25100">
        <w:t>Appendix</w:t>
      </w:r>
      <w:r w:rsidRPr="00962408">
        <w:t xml:space="preserve"> </w:t>
      </w:r>
      <w:r w:rsidR="003772D9">
        <w:rPr>
          <w:highlight w:val="yellow"/>
        </w:rPr>
        <w:fldChar w:fldCharType="begin" w:fldLock="1"/>
      </w:r>
      <w:r w:rsidR="003772D9">
        <w:instrText xml:space="preserve"> REF _Ref62219467 \h </w:instrText>
      </w:r>
      <w:r w:rsidR="007367C9">
        <w:rPr>
          <w:highlight w:val="yellow"/>
        </w:rPr>
        <w:instrText xml:space="preserve"> \* MERGEFORMAT </w:instrText>
      </w:r>
      <w:r w:rsidR="003772D9">
        <w:rPr>
          <w:highlight w:val="yellow"/>
        </w:rPr>
      </w:r>
      <w:r w:rsidR="003772D9">
        <w:rPr>
          <w:highlight w:val="yellow"/>
        </w:rPr>
        <w:fldChar w:fldCharType="separate"/>
      </w:r>
      <w:r w:rsidR="00EC5CC7">
        <w:t xml:space="preserve">Figure </w:t>
      </w:r>
      <w:r w:rsidR="00EC5CC7">
        <w:rPr>
          <w:noProof/>
        </w:rPr>
        <w:t>111</w:t>
      </w:r>
      <w:r w:rsidR="003772D9">
        <w:rPr>
          <w:highlight w:val="yellow"/>
        </w:rPr>
        <w:fldChar w:fldCharType="end"/>
      </w:r>
      <w:r w:rsidRPr="00962408">
        <w:t xml:space="preserve"> for forest plot</w:t>
      </w:r>
      <w:r>
        <w:t xml:space="preserve"> </w:t>
      </w:r>
      <w:r w:rsidRPr="00962408">
        <w:t>which included the results of individual studies</w:t>
      </w:r>
      <w:r>
        <w:t>.</w:t>
      </w:r>
    </w:p>
    <w:p w14:paraId="70DFA6D9" w14:textId="12C2A41E" w:rsidR="003D2C0D" w:rsidRDefault="003D2C0D" w:rsidP="007367C9">
      <w:pPr>
        <w:pStyle w:val="TableFooter"/>
        <w:jc w:val="both"/>
      </w:pPr>
      <w:r>
        <w:t>1 Calculated by Cochrane Review authors using a random-effect model</w:t>
      </w:r>
      <w:r w:rsidR="005A689C">
        <w:t>.</w:t>
      </w:r>
    </w:p>
    <w:p w14:paraId="0A2E9549" w14:textId="133F6310" w:rsidR="00D86DCE" w:rsidRPr="00497072" w:rsidRDefault="00497072" w:rsidP="007367C9">
      <w:pPr>
        <w:spacing w:after="120"/>
        <w:jc w:val="both"/>
        <w:rPr>
          <w:u w:val="single"/>
        </w:rPr>
      </w:pPr>
      <w:r w:rsidRPr="00497072">
        <w:rPr>
          <w:u w:val="single"/>
        </w:rPr>
        <w:t>M</w:t>
      </w:r>
      <w:r w:rsidR="0035476C" w:rsidRPr="00497072">
        <w:rPr>
          <w:u w:val="single"/>
        </w:rPr>
        <w:t xml:space="preserve">ore intensive behavioural support </w:t>
      </w:r>
      <w:r w:rsidR="003805CC" w:rsidRPr="00497072">
        <w:rPr>
          <w:u w:val="single"/>
        </w:rPr>
        <w:t xml:space="preserve">(in-person or via telephone) </w:t>
      </w:r>
      <w:r w:rsidRPr="00497072">
        <w:rPr>
          <w:u w:val="single"/>
        </w:rPr>
        <w:t>versus less intensive/no behavioural support</w:t>
      </w:r>
      <w:r w:rsidR="009C047D">
        <w:rPr>
          <w:u w:val="single"/>
        </w:rPr>
        <w:t xml:space="preserve"> (both in combination with pharmacotherapy)</w:t>
      </w:r>
    </w:p>
    <w:p w14:paraId="513A446D" w14:textId="63D3A663" w:rsidR="007B540F" w:rsidRDefault="00666B04" w:rsidP="007367C9">
      <w:pPr>
        <w:spacing w:after="120"/>
        <w:jc w:val="both"/>
      </w:pPr>
      <w:r>
        <w:t xml:space="preserve">Hartmann-Boyce </w:t>
      </w:r>
      <w:r w:rsidR="006A7000">
        <w:t>et al. (</w:t>
      </w:r>
      <w:r w:rsidR="001F4158">
        <w:t>2019</w:t>
      </w:r>
      <w:r w:rsidR="006A7000">
        <w:t>)</w:t>
      </w:r>
      <w:r w:rsidR="001F4158">
        <w:t xml:space="preserve"> </w:t>
      </w:r>
      <w:r w:rsidR="00B95815">
        <w:t>pooled</w:t>
      </w:r>
      <w:r>
        <w:t xml:space="preserve"> </w:t>
      </w:r>
      <w:r w:rsidR="00F12121">
        <w:t xml:space="preserve">65 studies comparing </w:t>
      </w:r>
      <w:r w:rsidR="00B95815">
        <w:t>more intensive behav</w:t>
      </w:r>
      <w:r w:rsidR="00087B05">
        <w:t>ioural s</w:t>
      </w:r>
      <w:r w:rsidR="00B95815">
        <w:t xml:space="preserve">upport </w:t>
      </w:r>
      <w:r w:rsidR="00087B05">
        <w:t>to less intensive or no support</w:t>
      </w:r>
      <w:r w:rsidR="00AC472B">
        <w:t xml:space="preserve"> as an adjunct to pharmacotherapy</w:t>
      </w:r>
      <w:r w:rsidR="00317D67">
        <w:t xml:space="preserve">. </w:t>
      </w:r>
      <w:r w:rsidR="00723153">
        <w:t xml:space="preserve">In these studies, </w:t>
      </w:r>
      <w:r w:rsidR="003A7359">
        <w:t xml:space="preserve">all participants had access to </w:t>
      </w:r>
      <w:r w:rsidR="005663CA">
        <w:t>a smoking cessation pharmacotherapy. T</w:t>
      </w:r>
      <w:r w:rsidR="00D2364E">
        <w:t xml:space="preserve">he </w:t>
      </w:r>
      <w:r w:rsidR="005663CA">
        <w:t xml:space="preserve">behavioural support </w:t>
      </w:r>
      <w:r w:rsidR="00D2364E">
        <w:t xml:space="preserve">intervention could </w:t>
      </w:r>
      <w:r w:rsidR="005663CA">
        <w:t>comprise</w:t>
      </w:r>
      <w:r w:rsidR="00D2364E">
        <w:t xml:space="preserve"> </w:t>
      </w:r>
      <w:r w:rsidR="00D342A3">
        <w:t xml:space="preserve">different or additional types of therapy content but had to involve person-to-person contact which could be in-person or via telephone. </w:t>
      </w:r>
      <w:r w:rsidR="00084AEC">
        <w:t xml:space="preserve">The control group could </w:t>
      </w:r>
      <w:r w:rsidR="008C7006">
        <w:t>offer</w:t>
      </w:r>
      <w:r w:rsidR="00084AEC">
        <w:t xml:space="preserve"> any level of </w:t>
      </w:r>
      <w:r w:rsidR="007B540F">
        <w:t xml:space="preserve">behavioural </w:t>
      </w:r>
      <w:r w:rsidR="00084AEC">
        <w:t xml:space="preserve">support </w:t>
      </w:r>
      <w:r w:rsidR="00904015">
        <w:t>from minimal to multi</w:t>
      </w:r>
      <w:r w:rsidR="00D513DB">
        <w:t>-</w:t>
      </w:r>
      <w:r w:rsidR="00904015">
        <w:t xml:space="preserve">session counselling </w:t>
      </w:r>
      <w:r w:rsidR="00084AEC">
        <w:t xml:space="preserve">as long as it was less </w:t>
      </w:r>
      <w:r w:rsidR="00904015">
        <w:t xml:space="preserve">intensive </w:t>
      </w:r>
      <w:r w:rsidR="00084AEC">
        <w:t xml:space="preserve">than the </w:t>
      </w:r>
      <w:r w:rsidR="00904015">
        <w:t xml:space="preserve">intervention group. </w:t>
      </w:r>
    </w:p>
    <w:p w14:paraId="00FFC587" w14:textId="10083286" w:rsidR="002E2528" w:rsidRDefault="00317D67" w:rsidP="007367C9">
      <w:pPr>
        <w:spacing w:after="120"/>
        <w:jc w:val="both"/>
      </w:pPr>
      <w:r>
        <w:t>Of the</w:t>
      </w:r>
      <w:r w:rsidR="002E2528">
        <w:t xml:space="preserve"> 65</w:t>
      </w:r>
      <w:r w:rsidR="00FE76E1">
        <w:t xml:space="preserve"> </w:t>
      </w:r>
      <w:r w:rsidR="007A2F41">
        <w:t>RCTs</w:t>
      </w:r>
      <w:r>
        <w:t xml:space="preserve">, </w:t>
      </w:r>
      <w:r w:rsidR="003C0099">
        <w:t>4</w:t>
      </w:r>
      <w:r w:rsidR="00B1275C">
        <w:t>9</w:t>
      </w:r>
      <w:r w:rsidR="00D513DB">
        <w:t xml:space="preserve"> </w:t>
      </w:r>
      <w:r w:rsidR="003C0099">
        <w:t xml:space="preserve">studies </w:t>
      </w:r>
      <w:r w:rsidR="00723153">
        <w:t>provi</w:t>
      </w:r>
      <w:r w:rsidR="00D513DB">
        <w:t>ded</w:t>
      </w:r>
      <w:r w:rsidR="00723153">
        <w:t xml:space="preserve"> </w:t>
      </w:r>
      <w:r w:rsidR="003C0099">
        <w:t xml:space="preserve">NRT, </w:t>
      </w:r>
      <w:r w:rsidR="00D513DB">
        <w:t xml:space="preserve">five studies provided </w:t>
      </w:r>
      <w:r w:rsidR="00164187">
        <w:t>bupropion</w:t>
      </w:r>
      <w:r w:rsidR="00A04C9A">
        <w:t>,</w:t>
      </w:r>
      <w:r w:rsidR="00D513DB">
        <w:t xml:space="preserve"> two studies provided</w:t>
      </w:r>
      <w:r w:rsidR="003C0099">
        <w:t xml:space="preserve"> </w:t>
      </w:r>
      <w:r w:rsidR="00164187">
        <w:t>varenicline</w:t>
      </w:r>
      <w:r w:rsidR="002E2528">
        <w:t xml:space="preserve"> and three studies provided NRT</w:t>
      </w:r>
      <w:r w:rsidR="002E6D15">
        <w:t xml:space="preserve"> plus</w:t>
      </w:r>
      <w:r w:rsidR="002E2528">
        <w:t xml:space="preserve"> bupropion</w:t>
      </w:r>
      <w:r w:rsidR="003C0099">
        <w:t xml:space="preserve">. </w:t>
      </w:r>
      <w:r w:rsidR="002E2528">
        <w:t xml:space="preserve">The remaining studies provided nortriptyline </w:t>
      </w:r>
      <w:r w:rsidR="0000349C">
        <w:t xml:space="preserve">(two studies) </w:t>
      </w:r>
      <w:r w:rsidR="002E2528">
        <w:t>and choice of pharmacotherapy</w:t>
      </w:r>
      <w:r w:rsidR="0000349C">
        <w:t xml:space="preserve"> (</w:t>
      </w:r>
      <w:r w:rsidR="00CC0A59">
        <w:t>five</w:t>
      </w:r>
      <w:r w:rsidR="0000349C">
        <w:t xml:space="preserve"> </w:t>
      </w:r>
      <w:r w:rsidR="007A2F41">
        <w:t>studies)</w:t>
      </w:r>
      <w:r w:rsidR="002E2528">
        <w:t>.</w:t>
      </w:r>
    </w:p>
    <w:p w14:paraId="6FBA2033" w14:textId="4E3660F6" w:rsidR="00DD0250" w:rsidRDefault="007D3767" w:rsidP="007367C9">
      <w:pPr>
        <w:spacing w:after="120"/>
        <w:jc w:val="both"/>
      </w:pPr>
      <w:r w:rsidRPr="007D3767">
        <w:t>A summary of the smoking cessation rates f</w:t>
      </w:r>
      <w:r w:rsidR="00760D68">
        <w:t>or</w:t>
      </w:r>
      <w:r w:rsidRPr="007D3767">
        <w:t xml:space="preserve"> at least six months follow-up comparing </w:t>
      </w:r>
      <w:r w:rsidR="00507673">
        <w:t>more intensive</w:t>
      </w:r>
      <w:r w:rsidR="0018485E">
        <w:t xml:space="preserve"> with less intensive behavioural support</w:t>
      </w:r>
      <w:r w:rsidRPr="007D3767">
        <w:t xml:space="preserve"> </w:t>
      </w:r>
      <w:r w:rsidR="009B6411">
        <w:t xml:space="preserve">based on subgroup of PBS-listed pharmacotherapies </w:t>
      </w:r>
      <w:r w:rsidRPr="007D3767">
        <w:t>is presented</w:t>
      </w:r>
      <w:r w:rsidR="00F67229">
        <w:t xml:space="preserve"> in</w:t>
      </w:r>
      <w:r w:rsidR="00CC0A59">
        <w:t xml:space="preserve"> Table 122.</w:t>
      </w:r>
      <w:r w:rsidR="00485E09">
        <w:t xml:space="preserve"> </w:t>
      </w:r>
      <w:r w:rsidR="009B6411">
        <w:t>The results demonstrated</w:t>
      </w:r>
      <w:r w:rsidR="001F2F4E">
        <w:t xml:space="preserve"> that increasing the intensity of behavioural support for people making a cessation attempt with the aid of </w:t>
      </w:r>
      <w:r w:rsidR="008C7A14">
        <w:t xml:space="preserve">NRT </w:t>
      </w:r>
      <w:r w:rsidR="000A35E6">
        <w:t>or</w:t>
      </w:r>
      <w:r w:rsidR="008C7A14">
        <w:t xml:space="preserve"> </w:t>
      </w:r>
      <w:r w:rsidR="00B37135">
        <w:t>b</w:t>
      </w:r>
      <w:r w:rsidR="008C7A14">
        <w:t>upropion</w:t>
      </w:r>
      <w:r w:rsidR="00162C84">
        <w:t xml:space="preserve"> alone </w:t>
      </w:r>
      <w:r w:rsidR="00603CBF">
        <w:t>resulted in a statistically significant improvement in</w:t>
      </w:r>
      <w:r w:rsidR="00D67699">
        <w:t xml:space="preserve"> the proportion who </w:t>
      </w:r>
      <w:r w:rsidR="0057384A">
        <w:t>had</w:t>
      </w:r>
      <w:r w:rsidR="00D67699">
        <w:t xml:space="preserve"> quit </w:t>
      </w:r>
      <w:r w:rsidR="007367C9">
        <w:t xml:space="preserve">smoking </w:t>
      </w:r>
      <w:r w:rsidR="00D67699">
        <w:t>at six to 12 months.</w:t>
      </w:r>
      <w:r w:rsidR="00162C84">
        <w:t xml:space="preserve"> </w:t>
      </w:r>
    </w:p>
    <w:p w14:paraId="57511C74" w14:textId="72F10F5D" w:rsidR="004822DB" w:rsidRDefault="00162C84" w:rsidP="007367C9">
      <w:pPr>
        <w:spacing w:after="120"/>
        <w:jc w:val="both"/>
      </w:pPr>
      <w:r>
        <w:t>For varenicline</w:t>
      </w:r>
      <w:r w:rsidR="00B37135">
        <w:t xml:space="preserve"> and NRT </w:t>
      </w:r>
      <w:r w:rsidR="009C4327">
        <w:t>plus</w:t>
      </w:r>
      <w:r w:rsidR="00B37135">
        <w:t xml:space="preserve"> bupropion</w:t>
      </w:r>
      <w:r>
        <w:t xml:space="preserve">, </w:t>
      </w:r>
      <w:r w:rsidR="00B37135">
        <w:t xml:space="preserve">which </w:t>
      </w:r>
      <w:r w:rsidR="009F04D4">
        <w:t>included fewer studies,</w:t>
      </w:r>
      <w:r w:rsidR="00B37135">
        <w:t xml:space="preserve"> </w:t>
      </w:r>
      <w:r>
        <w:t>the</w:t>
      </w:r>
      <w:r w:rsidR="00BA2DF8">
        <w:t>re were no statistically significant difference</w:t>
      </w:r>
      <w:r w:rsidR="008C224F">
        <w:t>s</w:t>
      </w:r>
      <w:r w:rsidR="00BA2DF8">
        <w:t xml:space="preserve"> between </w:t>
      </w:r>
      <w:r w:rsidR="00DD0250">
        <w:t>more intensive with less intensive behavioural support</w:t>
      </w:r>
      <w:r w:rsidR="00BA2DF8">
        <w:t xml:space="preserve">, although the results </w:t>
      </w:r>
      <w:r w:rsidR="0057384A">
        <w:t xml:space="preserve">numerically </w:t>
      </w:r>
      <w:r>
        <w:t xml:space="preserve">favoured </w:t>
      </w:r>
      <w:r w:rsidR="00AD0BEA">
        <w:t xml:space="preserve">the </w:t>
      </w:r>
      <w:r w:rsidR="00E238F3">
        <w:t xml:space="preserve">more intensive </w:t>
      </w:r>
      <w:r w:rsidR="00285B2C">
        <w:t>intervention</w:t>
      </w:r>
      <w:r w:rsidR="00D2746D">
        <w:t>.</w:t>
      </w:r>
      <w:r w:rsidR="00B37135">
        <w:t xml:space="preserve"> </w:t>
      </w:r>
      <w:r w:rsidR="00B81707">
        <w:t>This was likely due</w:t>
      </w:r>
      <w:r w:rsidR="009D74D2">
        <w:t xml:space="preserve"> to the smaller number of studies leading to lower precision rather than a true difference in effect</w:t>
      </w:r>
      <w:r w:rsidR="00826C95">
        <w:t xml:space="preserve">. </w:t>
      </w:r>
    </w:p>
    <w:p w14:paraId="7ED9B508" w14:textId="3B337F6A" w:rsidR="00EE3FCD" w:rsidRDefault="004822DB" w:rsidP="007367C9">
      <w:pPr>
        <w:spacing w:after="120"/>
        <w:jc w:val="both"/>
      </w:pPr>
      <w:r w:rsidRPr="004822DB">
        <w:t xml:space="preserve">The overall estimated pooled risk ratio </w:t>
      </w:r>
      <w:r w:rsidR="0010423B">
        <w:t>irrespective of the type of</w:t>
      </w:r>
      <w:r w:rsidRPr="004822DB">
        <w:t xml:space="preserve"> pharmacotherapy was 1.15 (95% CI: 1.08, 1.22).</w:t>
      </w:r>
      <w:r>
        <w:t xml:space="preserve"> </w:t>
      </w:r>
      <w:r w:rsidR="0048690F">
        <w:t xml:space="preserve">The </w:t>
      </w:r>
      <w:r w:rsidR="00495879">
        <w:t>effect size</w:t>
      </w:r>
      <w:r w:rsidR="009A7264">
        <w:t xml:space="preserve"> across </w:t>
      </w:r>
      <w:r w:rsidR="00495879">
        <w:t>all PBS-listed and non-PBS listed pharmacotherapy</w:t>
      </w:r>
      <w:r w:rsidR="009A7264">
        <w:t xml:space="preserve"> subgroups</w:t>
      </w:r>
      <w:r w:rsidR="0063169F">
        <w:t xml:space="preserve"> w</w:t>
      </w:r>
      <w:r w:rsidR="00495879">
        <w:t>ere</w:t>
      </w:r>
      <w:r w:rsidR="0063169F">
        <w:t xml:space="preserve"> similar</w:t>
      </w:r>
      <w:r w:rsidR="00A76A7E">
        <w:t xml:space="preserve"> (test for subgroup differences</w:t>
      </w:r>
      <w:r w:rsidR="00E238F3">
        <w:t>;</w:t>
      </w:r>
      <w:r w:rsidR="00A76A7E">
        <w:t xml:space="preserve"> P=0.45, I</w:t>
      </w:r>
      <w:r w:rsidR="00A76A7E" w:rsidRPr="00E238F3">
        <w:rPr>
          <w:vertAlign w:val="superscript"/>
        </w:rPr>
        <w:t>2</w:t>
      </w:r>
      <w:r w:rsidR="00A76A7E">
        <w:t xml:space="preserve"> = 0%).</w:t>
      </w:r>
      <w:r w:rsidR="004569E5">
        <w:t xml:space="preserve"> </w:t>
      </w:r>
    </w:p>
    <w:p w14:paraId="6AEF23A0" w14:textId="77777777" w:rsidR="00623607" w:rsidRDefault="00623607">
      <w:pPr>
        <w:spacing w:line="276" w:lineRule="auto"/>
        <w:rPr>
          <w:rFonts w:asciiTheme="minorHAnsi" w:eastAsia="Times New Roman" w:hAnsiTheme="minorHAnsi" w:cs="Times New Roman"/>
          <w:b/>
          <w:bCs/>
          <w:szCs w:val="18"/>
        </w:rPr>
      </w:pPr>
      <w:bookmarkStart w:id="211" w:name="_Ref61798988"/>
      <w:r>
        <w:br w:type="page"/>
      </w:r>
    </w:p>
    <w:p w14:paraId="312D684F" w14:textId="7F2441A7" w:rsidR="0018485E" w:rsidRDefault="0018485E" w:rsidP="00623607">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122</w:t>
      </w:r>
      <w:r w:rsidR="00BF3F75">
        <w:rPr>
          <w:noProof/>
        </w:rPr>
        <w:fldChar w:fldCharType="end"/>
      </w:r>
      <w:bookmarkEnd w:id="211"/>
      <w:r>
        <w:t xml:space="preserve">: </w:t>
      </w:r>
      <w:r w:rsidRPr="00783CD3">
        <w:t>Results of smoking cessation f</w:t>
      </w:r>
      <w:r w:rsidR="00760D68">
        <w:t>or</w:t>
      </w:r>
      <w:r w:rsidRPr="00783CD3">
        <w:t xml:space="preserve"> at least six months follow-up in </w:t>
      </w:r>
      <w:r w:rsidR="0063602A">
        <w:t>Hartmann-Boyce</w:t>
      </w:r>
      <w:r w:rsidRPr="00783CD3">
        <w:t xml:space="preserve"> et al. (2019), more versus less intensive </w:t>
      </w:r>
      <w:r w:rsidR="0063602A">
        <w:t>behavioural</w:t>
      </w:r>
      <w:r w:rsidRPr="00783CD3">
        <w:t xml:space="preserve"> support</w:t>
      </w:r>
    </w:p>
    <w:tbl>
      <w:tblPr>
        <w:tblStyle w:val="TableGrid"/>
        <w:tblW w:w="0" w:type="auto"/>
        <w:tblLook w:val="04A0" w:firstRow="1" w:lastRow="0" w:firstColumn="1" w:lastColumn="0" w:noHBand="0" w:noVBand="1"/>
      </w:tblPr>
      <w:tblGrid>
        <w:gridCol w:w="1696"/>
        <w:gridCol w:w="1701"/>
        <w:gridCol w:w="1985"/>
        <w:gridCol w:w="1984"/>
        <w:gridCol w:w="1650"/>
      </w:tblGrid>
      <w:tr w:rsidR="0063602A" w:rsidRPr="00A87B25" w14:paraId="14263FCE" w14:textId="77777777" w:rsidTr="00E445D9">
        <w:tc>
          <w:tcPr>
            <w:tcW w:w="1696" w:type="dxa"/>
            <w:shd w:val="clear" w:color="auto" w:fill="BFBFBF" w:themeFill="background1" w:themeFillShade="BF"/>
          </w:tcPr>
          <w:p w14:paraId="14516C6E" w14:textId="06824CA8" w:rsidR="00A24845" w:rsidRPr="007D3767" w:rsidRDefault="00A24845" w:rsidP="007D3767">
            <w:pPr>
              <w:pStyle w:val="Tablewriting"/>
              <w:rPr>
                <w:b/>
                <w:bCs/>
              </w:rPr>
            </w:pPr>
            <w:r w:rsidRPr="007D3767">
              <w:rPr>
                <w:b/>
                <w:bCs/>
              </w:rPr>
              <w:t>Study</w:t>
            </w:r>
          </w:p>
        </w:tc>
        <w:tc>
          <w:tcPr>
            <w:tcW w:w="1701" w:type="dxa"/>
            <w:shd w:val="clear" w:color="auto" w:fill="BFBFBF" w:themeFill="background1" w:themeFillShade="BF"/>
          </w:tcPr>
          <w:p w14:paraId="12B983CB" w14:textId="16EFC76F" w:rsidR="00A24845" w:rsidRPr="007D3767" w:rsidRDefault="00A24845" w:rsidP="0063602A">
            <w:pPr>
              <w:pStyle w:val="Tablewriting"/>
              <w:jc w:val="center"/>
              <w:rPr>
                <w:b/>
                <w:bCs/>
              </w:rPr>
            </w:pPr>
            <w:r w:rsidRPr="007D3767">
              <w:rPr>
                <w:b/>
                <w:bCs/>
              </w:rPr>
              <w:t>Study Type</w:t>
            </w:r>
          </w:p>
        </w:tc>
        <w:tc>
          <w:tcPr>
            <w:tcW w:w="1985" w:type="dxa"/>
            <w:shd w:val="clear" w:color="auto" w:fill="BFBFBF" w:themeFill="background1" w:themeFillShade="BF"/>
          </w:tcPr>
          <w:p w14:paraId="7201AF53" w14:textId="09887024" w:rsidR="00A24845" w:rsidRPr="007D3767" w:rsidRDefault="00CA656C" w:rsidP="0063602A">
            <w:pPr>
              <w:pStyle w:val="Tablewriting"/>
              <w:jc w:val="center"/>
              <w:rPr>
                <w:b/>
                <w:bCs/>
              </w:rPr>
            </w:pPr>
            <w:r>
              <w:rPr>
                <w:b/>
                <w:bCs/>
              </w:rPr>
              <w:t>More support</w:t>
            </w:r>
          </w:p>
        </w:tc>
        <w:tc>
          <w:tcPr>
            <w:tcW w:w="1984" w:type="dxa"/>
            <w:shd w:val="clear" w:color="auto" w:fill="BFBFBF" w:themeFill="background1" w:themeFillShade="BF"/>
          </w:tcPr>
          <w:p w14:paraId="45B00647" w14:textId="42C144B6" w:rsidR="00A24845" w:rsidRPr="007D3767" w:rsidRDefault="00CA656C" w:rsidP="0063602A">
            <w:pPr>
              <w:pStyle w:val="Tablewriting"/>
              <w:jc w:val="center"/>
              <w:rPr>
                <w:b/>
                <w:bCs/>
              </w:rPr>
            </w:pPr>
            <w:r>
              <w:rPr>
                <w:b/>
                <w:bCs/>
              </w:rPr>
              <w:t>Less support</w:t>
            </w:r>
          </w:p>
        </w:tc>
        <w:tc>
          <w:tcPr>
            <w:tcW w:w="1650" w:type="dxa"/>
            <w:shd w:val="clear" w:color="auto" w:fill="BFBFBF" w:themeFill="background1" w:themeFillShade="BF"/>
          </w:tcPr>
          <w:p w14:paraId="0CEDA6D7" w14:textId="65355190" w:rsidR="00A24845" w:rsidRPr="0063602A" w:rsidRDefault="00437C92" w:rsidP="0063602A">
            <w:pPr>
              <w:pStyle w:val="Tablewriting"/>
              <w:jc w:val="center"/>
              <w:rPr>
                <w:b/>
                <w:bCs/>
                <w:vertAlign w:val="superscript"/>
              </w:rPr>
            </w:pPr>
            <w:r w:rsidRPr="007D3767">
              <w:rPr>
                <w:b/>
                <w:bCs/>
              </w:rPr>
              <w:t>RR</w:t>
            </w:r>
            <w:r w:rsidR="00A4786C" w:rsidRPr="007D3767">
              <w:rPr>
                <w:b/>
                <w:bCs/>
              </w:rPr>
              <w:t xml:space="preserve"> (95%</w:t>
            </w:r>
            <w:r w:rsidR="00CA656C">
              <w:rPr>
                <w:b/>
                <w:bCs/>
              </w:rPr>
              <w:t xml:space="preserve"> </w:t>
            </w:r>
            <w:r w:rsidR="00A4786C" w:rsidRPr="007D3767">
              <w:rPr>
                <w:b/>
                <w:bCs/>
              </w:rPr>
              <w:t>CI)</w:t>
            </w:r>
            <w:r w:rsidR="0063602A">
              <w:rPr>
                <w:b/>
                <w:bCs/>
                <w:vertAlign w:val="superscript"/>
              </w:rPr>
              <w:t>1</w:t>
            </w:r>
          </w:p>
        </w:tc>
      </w:tr>
      <w:tr w:rsidR="00CA656C" w:rsidRPr="00402359" w14:paraId="0E1367D8" w14:textId="77777777" w:rsidTr="008C1D8E">
        <w:tc>
          <w:tcPr>
            <w:tcW w:w="9016" w:type="dxa"/>
            <w:gridSpan w:val="5"/>
            <w:shd w:val="clear" w:color="auto" w:fill="auto"/>
          </w:tcPr>
          <w:p w14:paraId="04CED6CF" w14:textId="41CF3927" w:rsidR="00CA656C" w:rsidRPr="00FB6174" w:rsidRDefault="00F0521B" w:rsidP="00CA656C">
            <w:pPr>
              <w:pStyle w:val="Tablewriting"/>
              <w:rPr>
                <w:b/>
                <w:bCs/>
              </w:rPr>
            </w:pPr>
            <w:r>
              <w:rPr>
                <w:b/>
                <w:bCs/>
              </w:rPr>
              <w:t>Use i</w:t>
            </w:r>
            <w:r w:rsidR="00CA656C">
              <w:rPr>
                <w:b/>
                <w:bCs/>
              </w:rPr>
              <w:t>n combination with NRT</w:t>
            </w:r>
            <w:r w:rsidR="0099316A">
              <w:rPr>
                <w:b/>
                <w:bCs/>
              </w:rPr>
              <w:t xml:space="preserve"> subgroup</w:t>
            </w:r>
          </w:p>
        </w:tc>
      </w:tr>
      <w:tr w:rsidR="00CA656C" w:rsidRPr="00402359" w14:paraId="42A2EBC9" w14:textId="77777777" w:rsidTr="00E445D9">
        <w:tc>
          <w:tcPr>
            <w:tcW w:w="1696" w:type="dxa"/>
          </w:tcPr>
          <w:p w14:paraId="1A6A7012" w14:textId="6058F9D9" w:rsidR="00A24845" w:rsidRPr="00402359" w:rsidRDefault="00402359" w:rsidP="007D3767">
            <w:pPr>
              <w:pStyle w:val="Tablewriting"/>
            </w:pPr>
            <w:r w:rsidRPr="00402359">
              <w:t>Hartman</w:t>
            </w:r>
            <w:r w:rsidR="00E445D9">
              <w:t>n</w:t>
            </w:r>
            <w:r>
              <w:t xml:space="preserve">-Boyce </w:t>
            </w:r>
            <w:r w:rsidR="0063602A">
              <w:t>(</w:t>
            </w:r>
            <w:r>
              <w:t>2019</w:t>
            </w:r>
            <w:r w:rsidR="0063602A">
              <w:t>)</w:t>
            </w:r>
          </w:p>
        </w:tc>
        <w:tc>
          <w:tcPr>
            <w:tcW w:w="1701" w:type="dxa"/>
          </w:tcPr>
          <w:p w14:paraId="5F8F5CA4" w14:textId="77777777" w:rsidR="0063602A" w:rsidRDefault="00402359" w:rsidP="0063602A">
            <w:pPr>
              <w:pStyle w:val="Tablewriting"/>
              <w:jc w:val="center"/>
            </w:pPr>
            <w:r>
              <w:t>Cochrane</w:t>
            </w:r>
            <w:r w:rsidR="004E307B">
              <w:t xml:space="preserve"> Review </w:t>
            </w:r>
          </w:p>
          <w:p w14:paraId="005A18CB" w14:textId="78B8AB45" w:rsidR="00A24845" w:rsidRPr="00402359" w:rsidRDefault="004E307B" w:rsidP="0063602A">
            <w:pPr>
              <w:pStyle w:val="Tablewriting"/>
              <w:jc w:val="center"/>
            </w:pPr>
            <w:r>
              <w:t>(</w:t>
            </w:r>
            <w:r w:rsidR="00B21A54">
              <w:t>49 RCTs)</w:t>
            </w:r>
          </w:p>
        </w:tc>
        <w:tc>
          <w:tcPr>
            <w:tcW w:w="1985" w:type="dxa"/>
          </w:tcPr>
          <w:p w14:paraId="580C9769" w14:textId="77777777" w:rsidR="00A24845" w:rsidRDefault="001E4524" w:rsidP="0063602A">
            <w:pPr>
              <w:pStyle w:val="Tablewriting"/>
              <w:jc w:val="center"/>
            </w:pPr>
            <w:r>
              <w:t>1,435/8,265</w:t>
            </w:r>
          </w:p>
          <w:p w14:paraId="1B75C458" w14:textId="2161AAB4" w:rsidR="001E4524" w:rsidRPr="00402359" w:rsidRDefault="001E4524" w:rsidP="0063602A">
            <w:pPr>
              <w:pStyle w:val="Tablewriting"/>
              <w:jc w:val="center"/>
            </w:pPr>
            <w:r>
              <w:t>(</w:t>
            </w:r>
            <w:r w:rsidR="00B30E66">
              <w:t>17.4</w:t>
            </w:r>
            <w:r>
              <w:t>%)</w:t>
            </w:r>
          </w:p>
        </w:tc>
        <w:tc>
          <w:tcPr>
            <w:tcW w:w="1984" w:type="dxa"/>
          </w:tcPr>
          <w:p w14:paraId="667E1DD1" w14:textId="77777777" w:rsidR="00A24845" w:rsidRDefault="001E4524" w:rsidP="0063602A">
            <w:pPr>
              <w:pStyle w:val="Tablewriting"/>
              <w:jc w:val="center"/>
            </w:pPr>
            <w:r>
              <w:t>1,291/8,276</w:t>
            </w:r>
          </w:p>
          <w:p w14:paraId="0FFA17F9" w14:textId="30AE0EC0" w:rsidR="001E4524" w:rsidRPr="00402359" w:rsidRDefault="001E4524" w:rsidP="0063602A">
            <w:pPr>
              <w:pStyle w:val="Tablewriting"/>
              <w:jc w:val="center"/>
            </w:pPr>
            <w:r>
              <w:t>(</w:t>
            </w:r>
            <w:r w:rsidR="00B30E66">
              <w:t>15.6</w:t>
            </w:r>
            <w:r>
              <w:t>%)</w:t>
            </w:r>
          </w:p>
        </w:tc>
        <w:tc>
          <w:tcPr>
            <w:tcW w:w="1650" w:type="dxa"/>
          </w:tcPr>
          <w:p w14:paraId="35FCBEA2" w14:textId="77777777" w:rsidR="0063602A" w:rsidRPr="00FB6174" w:rsidRDefault="00A4786C" w:rsidP="0063602A">
            <w:pPr>
              <w:pStyle w:val="Tablewriting"/>
              <w:jc w:val="center"/>
              <w:rPr>
                <w:b/>
                <w:bCs/>
              </w:rPr>
            </w:pPr>
            <w:r w:rsidRPr="00FB6174">
              <w:rPr>
                <w:b/>
                <w:bCs/>
              </w:rPr>
              <w:t xml:space="preserve">1.12 </w:t>
            </w:r>
          </w:p>
          <w:p w14:paraId="08766F92" w14:textId="1EEE45E9" w:rsidR="00A24845" w:rsidRPr="00FB6174" w:rsidRDefault="00A4786C" w:rsidP="0063602A">
            <w:pPr>
              <w:pStyle w:val="Tablewriting"/>
              <w:jc w:val="center"/>
              <w:rPr>
                <w:b/>
                <w:bCs/>
              </w:rPr>
            </w:pPr>
            <w:r w:rsidRPr="00FB6174">
              <w:rPr>
                <w:b/>
                <w:bCs/>
              </w:rPr>
              <w:t>(1.04, 1.21)</w:t>
            </w:r>
          </w:p>
        </w:tc>
      </w:tr>
      <w:tr w:rsidR="00CA656C" w:rsidRPr="00402359" w14:paraId="60DBCFFE" w14:textId="77777777" w:rsidTr="008C1D8E">
        <w:tc>
          <w:tcPr>
            <w:tcW w:w="9016" w:type="dxa"/>
            <w:gridSpan w:val="5"/>
            <w:shd w:val="clear" w:color="auto" w:fill="auto"/>
          </w:tcPr>
          <w:p w14:paraId="684958AD" w14:textId="35A2476E" w:rsidR="00CA656C" w:rsidRPr="00FB6174" w:rsidRDefault="00F0521B" w:rsidP="00CA656C">
            <w:pPr>
              <w:pStyle w:val="Tablewriting"/>
              <w:rPr>
                <w:b/>
                <w:bCs/>
              </w:rPr>
            </w:pPr>
            <w:r>
              <w:rPr>
                <w:b/>
                <w:bCs/>
              </w:rPr>
              <w:t>Use i</w:t>
            </w:r>
            <w:r w:rsidR="00CA656C">
              <w:rPr>
                <w:b/>
                <w:bCs/>
              </w:rPr>
              <w:t>n combination with bupropion</w:t>
            </w:r>
            <w:r w:rsidR="0099316A">
              <w:rPr>
                <w:b/>
                <w:bCs/>
              </w:rPr>
              <w:t xml:space="preserve"> subgroup</w:t>
            </w:r>
          </w:p>
        </w:tc>
      </w:tr>
      <w:tr w:rsidR="00CA656C" w:rsidRPr="00402359" w14:paraId="6FA24D58" w14:textId="77777777" w:rsidTr="00E445D9">
        <w:tc>
          <w:tcPr>
            <w:tcW w:w="1696" w:type="dxa"/>
          </w:tcPr>
          <w:p w14:paraId="7F3C5D40" w14:textId="5075D5D8"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14:paraId="0C35C351" w14:textId="77777777" w:rsidR="0063602A" w:rsidRDefault="00A4786C" w:rsidP="0063602A">
            <w:pPr>
              <w:pStyle w:val="Tablewriting"/>
              <w:jc w:val="center"/>
            </w:pPr>
            <w:r>
              <w:t xml:space="preserve">Cochrane Review </w:t>
            </w:r>
          </w:p>
          <w:p w14:paraId="49D25B48" w14:textId="19E1F30C" w:rsidR="00A4786C" w:rsidRPr="00402359" w:rsidRDefault="00A4786C" w:rsidP="0063602A">
            <w:pPr>
              <w:pStyle w:val="Tablewriting"/>
              <w:jc w:val="center"/>
            </w:pPr>
            <w:r>
              <w:t>(</w:t>
            </w:r>
            <w:r w:rsidR="0054212A">
              <w:t>5</w:t>
            </w:r>
            <w:r>
              <w:t xml:space="preserve"> RCTs)</w:t>
            </w:r>
          </w:p>
        </w:tc>
        <w:tc>
          <w:tcPr>
            <w:tcW w:w="1985" w:type="dxa"/>
          </w:tcPr>
          <w:p w14:paraId="34760746" w14:textId="77777777" w:rsidR="00A4786C" w:rsidRDefault="001E4524" w:rsidP="0063602A">
            <w:pPr>
              <w:pStyle w:val="Tablewriting"/>
              <w:jc w:val="center"/>
            </w:pPr>
            <w:r>
              <w:t>322/1,120</w:t>
            </w:r>
          </w:p>
          <w:p w14:paraId="2604BCE3" w14:textId="66CD1E1C" w:rsidR="001E4524" w:rsidRPr="00402359" w:rsidRDefault="001E4524" w:rsidP="0063602A">
            <w:pPr>
              <w:pStyle w:val="Tablewriting"/>
              <w:jc w:val="center"/>
            </w:pPr>
            <w:r>
              <w:t>(</w:t>
            </w:r>
            <w:r w:rsidR="00F31363">
              <w:t>28.8</w:t>
            </w:r>
            <w:r>
              <w:t>%)</w:t>
            </w:r>
          </w:p>
        </w:tc>
        <w:tc>
          <w:tcPr>
            <w:tcW w:w="1984" w:type="dxa"/>
          </w:tcPr>
          <w:p w14:paraId="2C555736" w14:textId="77777777" w:rsidR="00A4786C" w:rsidRDefault="000B5023" w:rsidP="0063602A">
            <w:pPr>
              <w:pStyle w:val="Tablewriting"/>
              <w:jc w:val="center"/>
            </w:pPr>
            <w:r>
              <w:t>262/1,178</w:t>
            </w:r>
          </w:p>
          <w:p w14:paraId="1ECF213D" w14:textId="41432138" w:rsidR="000B5023" w:rsidRPr="00402359" w:rsidRDefault="000B5023" w:rsidP="0063602A">
            <w:pPr>
              <w:pStyle w:val="Tablewriting"/>
              <w:jc w:val="center"/>
            </w:pPr>
            <w:r>
              <w:t>(</w:t>
            </w:r>
            <w:r w:rsidR="00F31363">
              <w:t>22.2</w:t>
            </w:r>
            <w:r>
              <w:t>%)</w:t>
            </w:r>
          </w:p>
        </w:tc>
        <w:tc>
          <w:tcPr>
            <w:tcW w:w="1650" w:type="dxa"/>
          </w:tcPr>
          <w:p w14:paraId="34948E95" w14:textId="77777777" w:rsidR="0063602A" w:rsidRPr="00FB6174" w:rsidRDefault="00DA7301" w:rsidP="0063602A">
            <w:pPr>
              <w:pStyle w:val="Tablewriting"/>
              <w:jc w:val="center"/>
              <w:rPr>
                <w:b/>
                <w:bCs/>
              </w:rPr>
            </w:pPr>
            <w:r w:rsidRPr="00FB6174">
              <w:rPr>
                <w:b/>
                <w:bCs/>
              </w:rPr>
              <w:t>1.27</w:t>
            </w:r>
            <w:r w:rsidR="00A4786C" w:rsidRPr="00FB6174">
              <w:rPr>
                <w:b/>
                <w:bCs/>
              </w:rPr>
              <w:t xml:space="preserve"> </w:t>
            </w:r>
          </w:p>
          <w:p w14:paraId="0B3AF3A9" w14:textId="3C2A0F2A" w:rsidR="00A4786C" w:rsidRPr="00FB6174" w:rsidRDefault="00A4786C" w:rsidP="0063602A">
            <w:pPr>
              <w:pStyle w:val="Tablewriting"/>
              <w:jc w:val="center"/>
              <w:rPr>
                <w:b/>
                <w:bCs/>
              </w:rPr>
            </w:pPr>
            <w:r w:rsidRPr="00FB6174">
              <w:rPr>
                <w:b/>
                <w:bCs/>
              </w:rPr>
              <w:t>(1.</w:t>
            </w:r>
            <w:r w:rsidR="00DA7301" w:rsidRPr="00FB6174">
              <w:rPr>
                <w:b/>
                <w:bCs/>
              </w:rPr>
              <w:t>10</w:t>
            </w:r>
            <w:r w:rsidRPr="00FB6174">
              <w:rPr>
                <w:b/>
                <w:bCs/>
              </w:rPr>
              <w:t>, 1.</w:t>
            </w:r>
            <w:r w:rsidR="00DA7301" w:rsidRPr="00FB6174">
              <w:rPr>
                <w:b/>
                <w:bCs/>
              </w:rPr>
              <w:t>46</w:t>
            </w:r>
            <w:r w:rsidRPr="00FB6174">
              <w:rPr>
                <w:b/>
                <w:bCs/>
              </w:rPr>
              <w:t>)</w:t>
            </w:r>
          </w:p>
        </w:tc>
      </w:tr>
      <w:tr w:rsidR="00CA656C" w:rsidRPr="00402359" w14:paraId="6AE6DD23" w14:textId="77777777" w:rsidTr="008C1D8E">
        <w:tc>
          <w:tcPr>
            <w:tcW w:w="9016" w:type="dxa"/>
            <w:gridSpan w:val="5"/>
            <w:shd w:val="clear" w:color="auto" w:fill="auto"/>
          </w:tcPr>
          <w:p w14:paraId="6C2F3A92" w14:textId="68D25EFB" w:rsidR="00CA656C" w:rsidRPr="00FB6174" w:rsidRDefault="00F0521B" w:rsidP="00CA656C">
            <w:pPr>
              <w:pStyle w:val="Tablewriting"/>
              <w:rPr>
                <w:b/>
                <w:bCs/>
              </w:rPr>
            </w:pPr>
            <w:r>
              <w:rPr>
                <w:b/>
                <w:bCs/>
              </w:rPr>
              <w:t>Use i</w:t>
            </w:r>
            <w:r w:rsidR="00CA656C">
              <w:rPr>
                <w:b/>
                <w:bCs/>
              </w:rPr>
              <w:t>n combination with varenicline</w:t>
            </w:r>
            <w:r w:rsidR="0099316A">
              <w:rPr>
                <w:b/>
                <w:bCs/>
              </w:rPr>
              <w:t xml:space="preserve"> subgroup</w:t>
            </w:r>
          </w:p>
        </w:tc>
      </w:tr>
      <w:tr w:rsidR="00CA656C" w:rsidRPr="00402359" w14:paraId="43DC6950" w14:textId="77777777" w:rsidTr="00E445D9">
        <w:tc>
          <w:tcPr>
            <w:tcW w:w="1696" w:type="dxa"/>
          </w:tcPr>
          <w:p w14:paraId="407E1697" w14:textId="53999B68"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14:paraId="68963809" w14:textId="77777777" w:rsidR="0063602A" w:rsidRDefault="00A4786C" w:rsidP="0063602A">
            <w:pPr>
              <w:pStyle w:val="Tablewriting"/>
              <w:jc w:val="center"/>
            </w:pPr>
            <w:r>
              <w:t xml:space="preserve">Cochrane Review </w:t>
            </w:r>
          </w:p>
          <w:p w14:paraId="40356ECE" w14:textId="0592B77F" w:rsidR="00A4786C" w:rsidRPr="00402359" w:rsidRDefault="00A4786C" w:rsidP="0063602A">
            <w:pPr>
              <w:pStyle w:val="Tablewriting"/>
              <w:jc w:val="center"/>
            </w:pPr>
            <w:r>
              <w:t>(</w:t>
            </w:r>
            <w:r w:rsidR="008D29FA">
              <w:t>2</w:t>
            </w:r>
            <w:r>
              <w:t xml:space="preserve"> RCTs)</w:t>
            </w:r>
          </w:p>
        </w:tc>
        <w:tc>
          <w:tcPr>
            <w:tcW w:w="1985" w:type="dxa"/>
          </w:tcPr>
          <w:p w14:paraId="19E5A2C4" w14:textId="77777777" w:rsidR="00A4786C" w:rsidRDefault="000B5023" w:rsidP="0063602A">
            <w:pPr>
              <w:pStyle w:val="Tablewriting"/>
              <w:jc w:val="center"/>
            </w:pPr>
            <w:r>
              <w:t>159/555</w:t>
            </w:r>
          </w:p>
          <w:p w14:paraId="5CE8A768" w14:textId="6EEB9DE5" w:rsidR="000B5023" w:rsidRPr="00402359" w:rsidRDefault="000B5023" w:rsidP="0063602A">
            <w:pPr>
              <w:pStyle w:val="Tablewriting"/>
              <w:jc w:val="center"/>
            </w:pPr>
            <w:r>
              <w:t>(</w:t>
            </w:r>
            <w:r w:rsidR="00F31363">
              <w:t>28.6</w:t>
            </w:r>
            <w:r>
              <w:t>%)</w:t>
            </w:r>
          </w:p>
        </w:tc>
        <w:tc>
          <w:tcPr>
            <w:tcW w:w="1984" w:type="dxa"/>
          </w:tcPr>
          <w:p w14:paraId="30C715D2" w14:textId="77777777" w:rsidR="00A4786C" w:rsidRDefault="000B5023" w:rsidP="0063602A">
            <w:pPr>
              <w:pStyle w:val="Tablewriting"/>
              <w:jc w:val="center"/>
            </w:pPr>
            <w:r>
              <w:t>152/556</w:t>
            </w:r>
          </w:p>
          <w:p w14:paraId="646B2110" w14:textId="533C8301" w:rsidR="000B5023" w:rsidRPr="00402359" w:rsidRDefault="000B5023" w:rsidP="0063602A">
            <w:pPr>
              <w:pStyle w:val="Tablewriting"/>
              <w:jc w:val="center"/>
            </w:pPr>
            <w:r>
              <w:t>(</w:t>
            </w:r>
            <w:r w:rsidR="001B7D17">
              <w:t>27.3</w:t>
            </w:r>
            <w:r>
              <w:t>%)</w:t>
            </w:r>
          </w:p>
        </w:tc>
        <w:tc>
          <w:tcPr>
            <w:tcW w:w="1650" w:type="dxa"/>
          </w:tcPr>
          <w:p w14:paraId="1582E564" w14:textId="77777777" w:rsidR="0063602A" w:rsidRDefault="00A4786C" w:rsidP="0063602A">
            <w:pPr>
              <w:pStyle w:val="Tablewriting"/>
              <w:jc w:val="center"/>
            </w:pPr>
            <w:r>
              <w:t>1.</w:t>
            </w:r>
            <w:r w:rsidR="00A87B25">
              <w:t>05</w:t>
            </w:r>
            <w:r>
              <w:t xml:space="preserve"> </w:t>
            </w:r>
          </w:p>
          <w:p w14:paraId="7CE04C4F" w14:textId="422EB92E" w:rsidR="00A4786C" w:rsidRPr="00402359" w:rsidRDefault="00A4786C" w:rsidP="0063602A">
            <w:pPr>
              <w:pStyle w:val="Tablewriting"/>
              <w:jc w:val="center"/>
            </w:pPr>
            <w:r>
              <w:t>(</w:t>
            </w:r>
            <w:r w:rsidR="00A87B25">
              <w:t>0.87</w:t>
            </w:r>
            <w:r>
              <w:t>, 1.2</w:t>
            </w:r>
            <w:r w:rsidR="00A87B25">
              <w:t>7</w:t>
            </w:r>
            <w:r>
              <w:t>)</w:t>
            </w:r>
          </w:p>
        </w:tc>
      </w:tr>
      <w:tr w:rsidR="00CA656C" w:rsidRPr="00402359" w14:paraId="71760E7B" w14:textId="77777777" w:rsidTr="008C1D8E">
        <w:tc>
          <w:tcPr>
            <w:tcW w:w="9016" w:type="dxa"/>
            <w:gridSpan w:val="5"/>
            <w:shd w:val="clear" w:color="auto" w:fill="auto"/>
          </w:tcPr>
          <w:p w14:paraId="5E4E0080" w14:textId="69D2BE2C" w:rsidR="00CA656C" w:rsidRPr="00CA656C" w:rsidRDefault="00F0521B" w:rsidP="00CA656C">
            <w:pPr>
              <w:pStyle w:val="Tablewriting"/>
              <w:rPr>
                <w:b/>
                <w:bCs/>
              </w:rPr>
            </w:pPr>
            <w:r>
              <w:rPr>
                <w:b/>
                <w:bCs/>
              </w:rPr>
              <w:t>Use i</w:t>
            </w:r>
            <w:r w:rsidR="00CA656C">
              <w:rPr>
                <w:b/>
                <w:bCs/>
              </w:rPr>
              <w:t xml:space="preserve">n combination with </w:t>
            </w:r>
            <w:r w:rsidR="00CA656C" w:rsidRPr="00CA656C">
              <w:rPr>
                <w:b/>
                <w:bCs/>
              </w:rPr>
              <w:t>NRT and bupropion</w:t>
            </w:r>
            <w:r w:rsidR="0099316A">
              <w:rPr>
                <w:b/>
                <w:bCs/>
              </w:rPr>
              <w:t xml:space="preserve"> subgroup</w:t>
            </w:r>
          </w:p>
        </w:tc>
      </w:tr>
      <w:tr w:rsidR="00CA656C" w:rsidRPr="00402359" w14:paraId="629E2A3C" w14:textId="77777777" w:rsidTr="00E445D9">
        <w:tc>
          <w:tcPr>
            <w:tcW w:w="1696" w:type="dxa"/>
          </w:tcPr>
          <w:p w14:paraId="79C0EA37" w14:textId="46EBB9C0" w:rsidR="00A4786C" w:rsidRPr="00402359" w:rsidRDefault="00A4786C" w:rsidP="007D3767">
            <w:pPr>
              <w:pStyle w:val="Tablewriting"/>
            </w:pPr>
            <w:r w:rsidRPr="00402359">
              <w:t>Hartma</w:t>
            </w:r>
            <w:r w:rsidR="00E445D9">
              <w:t>n</w:t>
            </w:r>
            <w:r w:rsidRPr="00402359">
              <w:t>n</w:t>
            </w:r>
            <w:r>
              <w:t xml:space="preserve">-Boyce </w:t>
            </w:r>
            <w:r w:rsidR="0063602A">
              <w:t>(</w:t>
            </w:r>
            <w:r>
              <w:t>2019</w:t>
            </w:r>
            <w:r w:rsidR="0063602A">
              <w:t>)</w:t>
            </w:r>
          </w:p>
        </w:tc>
        <w:tc>
          <w:tcPr>
            <w:tcW w:w="1701" w:type="dxa"/>
          </w:tcPr>
          <w:p w14:paraId="59743311" w14:textId="77777777" w:rsidR="0063602A" w:rsidRDefault="00A4786C" w:rsidP="0063602A">
            <w:pPr>
              <w:pStyle w:val="Tablewriting"/>
              <w:jc w:val="center"/>
            </w:pPr>
            <w:r>
              <w:t xml:space="preserve">Cochrane Review </w:t>
            </w:r>
          </w:p>
          <w:p w14:paraId="78E63D1C" w14:textId="65F0943F" w:rsidR="00A4786C" w:rsidRPr="00402359" w:rsidRDefault="00A4786C" w:rsidP="0063602A">
            <w:pPr>
              <w:pStyle w:val="Tablewriting"/>
              <w:jc w:val="center"/>
            </w:pPr>
            <w:r>
              <w:t>(</w:t>
            </w:r>
            <w:r w:rsidR="008D29FA">
              <w:t>3</w:t>
            </w:r>
            <w:r>
              <w:t xml:space="preserve"> RCTs)</w:t>
            </w:r>
          </w:p>
        </w:tc>
        <w:tc>
          <w:tcPr>
            <w:tcW w:w="1985" w:type="dxa"/>
          </w:tcPr>
          <w:p w14:paraId="5711F8EF" w14:textId="77777777" w:rsidR="00A4786C" w:rsidRDefault="000B5023" w:rsidP="0063602A">
            <w:pPr>
              <w:pStyle w:val="Tablewriting"/>
              <w:jc w:val="center"/>
            </w:pPr>
            <w:r>
              <w:t>127/363</w:t>
            </w:r>
          </w:p>
          <w:p w14:paraId="33C34233" w14:textId="1C8B1BD2" w:rsidR="000B5023" w:rsidRPr="00402359" w:rsidRDefault="000B5023" w:rsidP="0063602A">
            <w:pPr>
              <w:pStyle w:val="Tablewriting"/>
              <w:jc w:val="center"/>
            </w:pPr>
            <w:r>
              <w:t>(</w:t>
            </w:r>
            <w:r w:rsidR="001B7D17">
              <w:t>35.0</w:t>
            </w:r>
            <w:r>
              <w:t>%)</w:t>
            </w:r>
          </w:p>
        </w:tc>
        <w:tc>
          <w:tcPr>
            <w:tcW w:w="1984" w:type="dxa"/>
          </w:tcPr>
          <w:p w14:paraId="58106FC9" w14:textId="77777777" w:rsidR="00A4786C" w:rsidRDefault="000B5023" w:rsidP="0063602A">
            <w:pPr>
              <w:pStyle w:val="Tablewriting"/>
              <w:jc w:val="center"/>
            </w:pPr>
            <w:r>
              <w:t>100/356</w:t>
            </w:r>
          </w:p>
          <w:p w14:paraId="64CF6F13" w14:textId="6100E1E8" w:rsidR="000B5023" w:rsidRPr="00402359" w:rsidRDefault="000B5023" w:rsidP="0063602A">
            <w:pPr>
              <w:pStyle w:val="Tablewriting"/>
              <w:jc w:val="center"/>
            </w:pPr>
            <w:r>
              <w:t>(</w:t>
            </w:r>
            <w:r w:rsidR="001B7D17">
              <w:t>28.1</w:t>
            </w:r>
            <w:r>
              <w:t>%)</w:t>
            </w:r>
          </w:p>
        </w:tc>
        <w:tc>
          <w:tcPr>
            <w:tcW w:w="1650" w:type="dxa"/>
          </w:tcPr>
          <w:p w14:paraId="74ABB23E" w14:textId="77777777" w:rsidR="0063602A" w:rsidRDefault="00A4786C" w:rsidP="0063602A">
            <w:pPr>
              <w:pStyle w:val="Tablewriting"/>
              <w:jc w:val="center"/>
            </w:pPr>
            <w:r>
              <w:t>1.</w:t>
            </w:r>
            <w:r w:rsidR="00A87B25">
              <w:t>24</w:t>
            </w:r>
            <w:r>
              <w:t xml:space="preserve"> </w:t>
            </w:r>
          </w:p>
          <w:p w14:paraId="04E50FDC" w14:textId="59A6F256" w:rsidR="00A4786C" w:rsidRPr="00402359" w:rsidRDefault="00A4786C" w:rsidP="0063602A">
            <w:pPr>
              <w:pStyle w:val="Tablewriting"/>
              <w:jc w:val="center"/>
            </w:pPr>
            <w:r>
              <w:t>(1.0</w:t>
            </w:r>
            <w:r w:rsidR="00A87B25">
              <w:t>0</w:t>
            </w:r>
            <w:r>
              <w:t>, 1.</w:t>
            </w:r>
            <w:r w:rsidR="00A87B25">
              <w:t>54</w:t>
            </w:r>
            <w:r>
              <w:t>)</w:t>
            </w:r>
          </w:p>
        </w:tc>
      </w:tr>
      <w:tr w:rsidR="003D1773" w:rsidRPr="00402359" w14:paraId="53A46A40" w14:textId="77777777" w:rsidTr="008C1D8E">
        <w:tc>
          <w:tcPr>
            <w:tcW w:w="9016" w:type="dxa"/>
            <w:gridSpan w:val="5"/>
            <w:shd w:val="clear" w:color="auto" w:fill="auto"/>
          </w:tcPr>
          <w:p w14:paraId="6167513D" w14:textId="307C983F" w:rsidR="003D1773" w:rsidRPr="003D1773" w:rsidRDefault="00CA67A5" w:rsidP="003D1773">
            <w:pPr>
              <w:pStyle w:val="Tablewriting"/>
              <w:rPr>
                <w:b/>
                <w:bCs/>
              </w:rPr>
            </w:pPr>
            <w:r>
              <w:rPr>
                <w:b/>
                <w:bCs/>
              </w:rPr>
              <w:t>Irrespective of type of pharmacotherapy</w:t>
            </w:r>
            <w:r w:rsidR="00EA755F">
              <w:rPr>
                <w:b/>
                <w:bCs/>
              </w:rPr>
              <w:t xml:space="preserve"> (PBS-listed and non</w:t>
            </w:r>
            <w:r w:rsidR="0051740B">
              <w:rPr>
                <w:b/>
                <w:bCs/>
              </w:rPr>
              <w:t>-</w:t>
            </w:r>
            <w:r w:rsidR="00EA755F">
              <w:rPr>
                <w:b/>
                <w:bCs/>
              </w:rPr>
              <w:t>PBS-listed)</w:t>
            </w:r>
          </w:p>
        </w:tc>
      </w:tr>
      <w:tr w:rsidR="00CA67A5" w:rsidRPr="00402359" w14:paraId="1291AD5B" w14:textId="77777777" w:rsidTr="00E445D9">
        <w:tc>
          <w:tcPr>
            <w:tcW w:w="1696" w:type="dxa"/>
          </w:tcPr>
          <w:p w14:paraId="658CF1F7" w14:textId="5C41D3D7" w:rsidR="00CA67A5" w:rsidRPr="00402359" w:rsidRDefault="00CA67A5" w:rsidP="00CA67A5">
            <w:pPr>
              <w:pStyle w:val="Tablewriting"/>
            </w:pPr>
            <w:r w:rsidRPr="00402359">
              <w:t>Hartma</w:t>
            </w:r>
            <w:r w:rsidR="00E445D9">
              <w:t>n</w:t>
            </w:r>
            <w:r w:rsidRPr="00402359">
              <w:t>n</w:t>
            </w:r>
            <w:r>
              <w:t>-Boyce (2019)</w:t>
            </w:r>
          </w:p>
        </w:tc>
        <w:tc>
          <w:tcPr>
            <w:tcW w:w="1701" w:type="dxa"/>
          </w:tcPr>
          <w:p w14:paraId="411A7F56" w14:textId="77777777" w:rsidR="00CA67A5" w:rsidRDefault="00CA67A5" w:rsidP="00CA67A5">
            <w:pPr>
              <w:pStyle w:val="Tablewriting"/>
              <w:jc w:val="center"/>
            </w:pPr>
            <w:r>
              <w:t xml:space="preserve">Cochrane Review </w:t>
            </w:r>
          </w:p>
          <w:p w14:paraId="6B2B6CF7" w14:textId="77255C5C" w:rsidR="00CA67A5" w:rsidRDefault="00CA67A5" w:rsidP="00CA67A5">
            <w:pPr>
              <w:pStyle w:val="Tablewriting"/>
              <w:jc w:val="center"/>
            </w:pPr>
            <w:r>
              <w:t>(65 RCTs)</w:t>
            </w:r>
          </w:p>
        </w:tc>
        <w:tc>
          <w:tcPr>
            <w:tcW w:w="1985" w:type="dxa"/>
          </w:tcPr>
          <w:p w14:paraId="34A0B073" w14:textId="532827B9" w:rsidR="00CA67A5" w:rsidRDefault="008F1196" w:rsidP="00CA67A5">
            <w:pPr>
              <w:pStyle w:val="Tablewriting"/>
              <w:jc w:val="center"/>
            </w:pPr>
            <w:r>
              <w:t>2,291</w:t>
            </w:r>
            <w:r w:rsidR="00CA67A5">
              <w:t>/</w:t>
            </w:r>
            <w:r>
              <w:t>11,630</w:t>
            </w:r>
          </w:p>
          <w:p w14:paraId="7C003092" w14:textId="6ECE0907" w:rsidR="00CA67A5" w:rsidRDefault="00CA67A5" w:rsidP="00CA67A5">
            <w:pPr>
              <w:pStyle w:val="Tablewriting"/>
              <w:jc w:val="center"/>
            </w:pPr>
            <w:r>
              <w:t>(</w:t>
            </w:r>
            <w:r w:rsidR="001B7D17">
              <w:t>19.7</w:t>
            </w:r>
            <w:r>
              <w:t>%)</w:t>
            </w:r>
          </w:p>
        </w:tc>
        <w:tc>
          <w:tcPr>
            <w:tcW w:w="1984" w:type="dxa"/>
          </w:tcPr>
          <w:p w14:paraId="2C3C9EC2" w14:textId="79F4D048" w:rsidR="00CA67A5" w:rsidRDefault="008F1196" w:rsidP="00CA67A5">
            <w:pPr>
              <w:pStyle w:val="Tablewriting"/>
              <w:jc w:val="center"/>
            </w:pPr>
            <w:r>
              <w:t>2,006/11,701</w:t>
            </w:r>
          </w:p>
          <w:p w14:paraId="2E544029" w14:textId="63692952" w:rsidR="00CA67A5" w:rsidRDefault="00CA67A5" w:rsidP="00CA67A5">
            <w:pPr>
              <w:pStyle w:val="Tablewriting"/>
              <w:jc w:val="center"/>
            </w:pPr>
            <w:r>
              <w:t>(</w:t>
            </w:r>
            <w:r w:rsidR="008C1452">
              <w:t>17.1</w:t>
            </w:r>
            <w:r>
              <w:t>%)</w:t>
            </w:r>
          </w:p>
        </w:tc>
        <w:tc>
          <w:tcPr>
            <w:tcW w:w="1650" w:type="dxa"/>
          </w:tcPr>
          <w:p w14:paraId="0F43AE7E" w14:textId="14EA6F76" w:rsidR="00CA67A5" w:rsidRPr="00CA67A5" w:rsidRDefault="00CA67A5" w:rsidP="00CA67A5">
            <w:pPr>
              <w:pStyle w:val="Tablewriting"/>
              <w:jc w:val="center"/>
              <w:rPr>
                <w:b/>
                <w:bCs/>
              </w:rPr>
            </w:pPr>
            <w:r w:rsidRPr="00CA67A5">
              <w:rPr>
                <w:b/>
                <w:bCs/>
              </w:rPr>
              <w:t xml:space="preserve">1.15 </w:t>
            </w:r>
          </w:p>
          <w:p w14:paraId="712E26C1" w14:textId="2D5C630A" w:rsidR="00CA67A5" w:rsidRDefault="00CA67A5" w:rsidP="00CA67A5">
            <w:pPr>
              <w:pStyle w:val="Tablewriting"/>
              <w:jc w:val="center"/>
            </w:pPr>
            <w:r w:rsidRPr="00CA67A5">
              <w:rPr>
                <w:b/>
                <w:bCs/>
              </w:rPr>
              <w:t>(1.08, 1.22)</w:t>
            </w:r>
          </w:p>
        </w:tc>
      </w:tr>
    </w:tbl>
    <w:p w14:paraId="7CB363BE" w14:textId="2D6A99D1" w:rsidR="0063602A" w:rsidRDefault="0063602A" w:rsidP="0063602A">
      <w:pPr>
        <w:pStyle w:val="TableFooter"/>
      </w:pPr>
      <w:r>
        <w:t>Source: Hartmann-Boyce et al. (2019)</w:t>
      </w:r>
    </w:p>
    <w:p w14:paraId="09065A80" w14:textId="77777777" w:rsidR="0063602A" w:rsidRDefault="0063602A" w:rsidP="0063602A">
      <w:pPr>
        <w:pStyle w:val="TableFooter"/>
        <w:rPr>
          <w:i/>
        </w:rPr>
      </w:pPr>
      <w:r>
        <w:t>Abbreviations: CI = confidence interval; RCT = randomised controlled trial; RR = risk ratio</w:t>
      </w:r>
      <w:r w:rsidRPr="00061F78">
        <w:t xml:space="preserve"> </w:t>
      </w:r>
    </w:p>
    <w:p w14:paraId="1E4267FE" w14:textId="361D9174" w:rsidR="0063602A" w:rsidRDefault="0063602A" w:rsidP="00623607">
      <w:pPr>
        <w:pStyle w:val="TableFooter"/>
        <w:spacing w:after="120"/>
        <w:contextualSpacing w:val="0"/>
      </w:pPr>
      <w:r w:rsidRPr="00D468CF">
        <w:t>Note</w:t>
      </w:r>
      <w:r>
        <w:t>s</w:t>
      </w:r>
      <w:r w:rsidRPr="00D468CF">
        <w:t>: Bold indicates statistically significant difference.</w:t>
      </w:r>
      <w:r w:rsidR="00962408" w:rsidRPr="00962408">
        <w:t xml:space="preserve"> See </w:t>
      </w:r>
      <w:r w:rsidR="00962408" w:rsidRPr="00B25100">
        <w:t>Appendix</w:t>
      </w:r>
      <w:r w:rsidR="003772D9">
        <w:t xml:space="preserve"> </w:t>
      </w:r>
      <w:r w:rsidR="003772D9">
        <w:rPr>
          <w:highlight w:val="yellow"/>
        </w:rPr>
        <w:fldChar w:fldCharType="begin" w:fldLock="1"/>
      </w:r>
      <w:r w:rsidR="003772D9">
        <w:instrText xml:space="preserve"> REF _Ref62219475 \h </w:instrText>
      </w:r>
      <w:r w:rsidR="003772D9">
        <w:rPr>
          <w:highlight w:val="yellow"/>
        </w:rPr>
      </w:r>
      <w:r w:rsidR="003772D9">
        <w:rPr>
          <w:highlight w:val="yellow"/>
        </w:rPr>
        <w:fldChar w:fldCharType="separate"/>
      </w:r>
      <w:r w:rsidR="00EC5CC7">
        <w:t xml:space="preserve">Figure </w:t>
      </w:r>
      <w:r w:rsidR="00EC5CC7">
        <w:rPr>
          <w:noProof/>
        </w:rPr>
        <w:t>112</w:t>
      </w:r>
      <w:r w:rsidR="003772D9">
        <w:rPr>
          <w:highlight w:val="yellow"/>
        </w:rPr>
        <w:fldChar w:fldCharType="end"/>
      </w:r>
      <w:r w:rsidR="00962408" w:rsidRPr="00962408">
        <w:t xml:space="preserve"> for forest plot</w:t>
      </w:r>
      <w:r w:rsidR="00815F78">
        <w:t xml:space="preserve"> </w:t>
      </w:r>
      <w:r w:rsidR="00962408" w:rsidRPr="00962408">
        <w:t>which included the results of individual studies</w:t>
      </w:r>
      <w:r w:rsidR="00F73991">
        <w:t>, the results of non-PBS listed pharmacotherapy subgroups were not presented in this table.</w:t>
      </w:r>
      <w:r w:rsidR="009B6411">
        <w:t xml:space="preserve"> </w:t>
      </w:r>
      <w:r>
        <w:br/>
        <w:t>1 Calculated by Cochrane Review authors using a random-effect model</w:t>
      </w:r>
      <w:r w:rsidR="005A689C">
        <w:t>.</w:t>
      </w:r>
    </w:p>
    <w:p w14:paraId="274F3D8E" w14:textId="67932268" w:rsidR="00015FE2" w:rsidRDefault="007D3767" w:rsidP="00623607">
      <w:pPr>
        <w:spacing w:after="120"/>
        <w:jc w:val="both"/>
      </w:pPr>
      <w:r w:rsidRPr="007D3767">
        <w:t>Other subgroup analyses conducted by Hartmann-Boyce</w:t>
      </w:r>
      <w:r w:rsidR="003367EC">
        <w:t xml:space="preserve"> et al.</w:t>
      </w:r>
      <w:r w:rsidRPr="007D3767">
        <w:t xml:space="preserve"> </w:t>
      </w:r>
      <w:r w:rsidR="003367EC">
        <w:t>(</w:t>
      </w:r>
      <w:r w:rsidRPr="007D3767">
        <w:t>2019</w:t>
      </w:r>
      <w:r w:rsidR="003367EC">
        <w:t>)</w:t>
      </w:r>
      <w:r w:rsidRPr="007D3767">
        <w:t xml:space="preserve"> showed </w:t>
      </w:r>
      <w:r w:rsidR="0022737D">
        <w:t>there w</w:t>
      </w:r>
      <w:r w:rsidR="009C0828">
        <w:t>as</w:t>
      </w:r>
      <w:r w:rsidRPr="007D3767">
        <w:t xml:space="preserve"> little evidence of subgroup difference</w:t>
      </w:r>
      <w:r w:rsidR="009C0828">
        <w:t>s</w:t>
      </w:r>
      <w:r w:rsidRPr="007D3767">
        <w:t xml:space="preserve"> based on the relative difference in the number of contacts between groups, no evidence of any dose-response relationship and, from a non-prespecified sub-group analysis, no difference based on the level of control group contact (</w:t>
      </w:r>
      <w:r w:rsidR="00826C95" w:rsidRPr="007D3767">
        <w:t>i.e.,</w:t>
      </w:r>
      <w:r w:rsidRPr="007D3767">
        <w:t xml:space="preserve"> brief intervention up to 30</w:t>
      </w:r>
      <w:r w:rsidR="00A0214C">
        <w:t xml:space="preserve"> </w:t>
      </w:r>
      <w:r w:rsidRPr="007D3767">
        <w:t>minutes, more than 30 minutes, and no advice or contact). A second non-prespecified analysis did find a significant subgroup difference in favour of studies providing telephone counselling relative to face-to-face support (P=0.03, I</w:t>
      </w:r>
      <w:r w:rsidRPr="00A0214C">
        <w:rPr>
          <w:vertAlign w:val="superscript"/>
        </w:rPr>
        <w:t>2</w:t>
      </w:r>
      <w:r w:rsidRPr="007D3767">
        <w:t xml:space="preserve"> = 78%), however both subgroups demonstrated evidence of benefit of additional behavioural support (telephone counselling</w:t>
      </w:r>
      <w:r w:rsidR="006875C7">
        <w:t>,</w:t>
      </w:r>
      <w:r w:rsidRPr="007D3767">
        <w:t xml:space="preserve"> RR</w:t>
      </w:r>
      <w:r w:rsidR="00A0214C">
        <w:t>:</w:t>
      </w:r>
      <w:r w:rsidRPr="007D3767">
        <w:t xml:space="preserve"> 1.25</w:t>
      </w:r>
      <w:r w:rsidR="006875C7">
        <w:t>,</w:t>
      </w:r>
      <w:r w:rsidRPr="007D3767">
        <w:t xml:space="preserve"> 95% CI</w:t>
      </w:r>
      <w:r w:rsidR="006875C7">
        <w:t>:</w:t>
      </w:r>
      <w:r w:rsidRPr="007D3767">
        <w:t xml:space="preserve"> 1.15 to 1.3</w:t>
      </w:r>
      <w:r w:rsidR="00C1160C">
        <w:t>7</w:t>
      </w:r>
      <w:r w:rsidRPr="007D3767">
        <w:t>; face-to face</w:t>
      </w:r>
      <w:r w:rsidR="00015FE2">
        <w:t>,</w:t>
      </w:r>
      <w:r w:rsidRPr="007D3767">
        <w:t xml:space="preserve"> RR</w:t>
      </w:r>
      <w:r w:rsidR="00015FE2">
        <w:t>:</w:t>
      </w:r>
      <w:r w:rsidRPr="007D3767">
        <w:t xml:space="preserve"> 1.11</w:t>
      </w:r>
      <w:r w:rsidR="00015FE2">
        <w:t xml:space="preserve">, </w:t>
      </w:r>
      <w:r w:rsidRPr="007D3767">
        <w:t>95% CI</w:t>
      </w:r>
      <w:r w:rsidR="00015FE2">
        <w:t>:</w:t>
      </w:r>
      <w:r w:rsidRPr="007D3767">
        <w:t xml:space="preserve"> 1.03 to 1.19).</w:t>
      </w:r>
    </w:p>
    <w:p w14:paraId="25F93539" w14:textId="24AB2E59" w:rsidR="00015FE2" w:rsidRPr="000A3EFE" w:rsidRDefault="00015FE2" w:rsidP="00623607">
      <w:pPr>
        <w:spacing w:after="120"/>
        <w:jc w:val="both"/>
        <w:rPr>
          <w:u w:val="single"/>
        </w:rPr>
      </w:pPr>
      <w:r w:rsidRPr="000A3EFE">
        <w:rPr>
          <w:u w:val="single"/>
        </w:rPr>
        <w:t>Print-based self-help materials</w:t>
      </w:r>
      <w:r>
        <w:rPr>
          <w:u w:val="single"/>
        </w:rPr>
        <w:t xml:space="preserve"> versus NRT alone</w:t>
      </w:r>
    </w:p>
    <w:p w14:paraId="4A50594A" w14:textId="0B6EF716" w:rsidR="00295763" w:rsidRDefault="00015FE2" w:rsidP="00623607">
      <w:pPr>
        <w:spacing w:after="120"/>
        <w:jc w:val="both"/>
      </w:pPr>
      <w:r>
        <w:t xml:space="preserve">Livingstone-Banks et al. (2019b) identified four studies that examined print-based self-help materials in addition to NRT compared to NRT alone. </w:t>
      </w:r>
      <w:r w:rsidR="0057605A">
        <w:t xml:space="preserve">One study </w:t>
      </w:r>
      <w:r w:rsidR="00787E26">
        <w:t xml:space="preserve">(Fraser et al. 2014) </w:t>
      </w:r>
      <w:r w:rsidR="0057605A">
        <w:t xml:space="preserve">was excluded from the analysis by the </w:t>
      </w:r>
      <w:r w:rsidR="00787E26">
        <w:t xml:space="preserve">Cochrane Review </w:t>
      </w:r>
      <w:r w:rsidR="0057605A">
        <w:t>authors due to insufficient data</w:t>
      </w:r>
      <w:r w:rsidR="00787E26">
        <w:t>.</w:t>
      </w:r>
    </w:p>
    <w:p w14:paraId="3B09BCB7" w14:textId="145AF3BF" w:rsidR="00730430" w:rsidRDefault="0020021F" w:rsidP="00623607">
      <w:pPr>
        <w:spacing w:after="120"/>
        <w:jc w:val="both"/>
      </w:pPr>
      <w:r w:rsidRPr="007D3767">
        <w:t>A summary of the smoking cessation rates f</w:t>
      </w:r>
      <w:r w:rsidR="0060431F">
        <w:t>or</w:t>
      </w:r>
      <w:r w:rsidRPr="007D3767">
        <w:t xml:space="preserve"> at least six months follow-up </w:t>
      </w:r>
      <w:r w:rsidR="0084019C">
        <w:t xml:space="preserve">comparing </w:t>
      </w:r>
      <w:r w:rsidR="00C20330">
        <w:t>self-help plus NRT with NRT alone</w:t>
      </w:r>
      <w:r>
        <w:t xml:space="preserve"> </w:t>
      </w:r>
      <w:r w:rsidRPr="007D3767">
        <w:t>is</w:t>
      </w:r>
      <w:r w:rsidR="00C20330">
        <w:t xml:space="preserve"> presented in </w:t>
      </w:r>
      <w:r w:rsidR="00C20330">
        <w:fldChar w:fldCharType="begin" w:fldLock="1"/>
      </w:r>
      <w:r w:rsidR="00C20330">
        <w:instrText xml:space="preserve"> REF _Ref62026827 \h </w:instrText>
      </w:r>
      <w:r w:rsidR="00623607">
        <w:instrText xml:space="preserve"> \* MERGEFORMAT </w:instrText>
      </w:r>
      <w:r w:rsidR="00C20330">
        <w:fldChar w:fldCharType="separate"/>
      </w:r>
      <w:r w:rsidR="00EC5CC7">
        <w:t xml:space="preserve">Table </w:t>
      </w:r>
      <w:r w:rsidR="00EC5CC7">
        <w:rPr>
          <w:noProof/>
        </w:rPr>
        <w:t>123</w:t>
      </w:r>
      <w:r w:rsidR="00C20330">
        <w:fldChar w:fldCharType="end"/>
      </w:r>
      <w:r w:rsidR="00C20330">
        <w:t>.</w:t>
      </w:r>
      <w:r w:rsidRPr="007D3767">
        <w:t xml:space="preserve"> </w:t>
      </w:r>
      <w:r w:rsidR="00730430" w:rsidRPr="00730430">
        <w:t xml:space="preserve">The results of the meta-analysis comprising </w:t>
      </w:r>
      <w:r w:rsidR="00730430">
        <w:t>three</w:t>
      </w:r>
      <w:r w:rsidR="00730430" w:rsidRPr="00730430">
        <w:t xml:space="preserve"> RCTs (excluding </w:t>
      </w:r>
      <w:r w:rsidR="00730430">
        <w:t>Fraser 2014</w:t>
      </w:r>
      <w:r w:rsidR="00730430" w:rsidRPr="00730430">
        <w:t xml:space="preserve">) conducted by </w:t>
      </w:r>
      <w:r w:rsidR="00730430">
        <w:t>Livingstone-Banks et al. (2019b</w:t>
      </w:r>
      <w:r w:rsidR="00730430" w:rsidRPr="00730430">
        <w:t xml:space="preserve">) </w:t>
      </w:r>
      <w:r w:rsidR="00C20330">
        <w:t>demonstrated</w:t>
      </w:r>
      <w:r w:rsidR="00730430" w:rsidRPr="00730430">
        <w:t xml:space="preserve"> </w:t>
      </w:r>
      <w:r w:rsidR="00730430">
        <w:t>no</w:t>
      </w:r>
      <w:r w:rsidR="00730430" w:rsidRPr="00730430">
        <w:t xml:space="preserve"> statistically significant difference</w:t>
      </w:r>
      <w:r w:rsidR="00730430">
        <w:t>s</w:t>
      </w:r>
      <w:r w:rsidR="00730430" w:rsidRPr="00730430">
        <w:t xml:space="preserve"> in long-term smoking cessation rates</w:t>
      </w:r>
      <w:r w:rsidR="00A214FF">
        <w:t xml:space="preserve"> between self-help plus NRT and NRT alone.</w:t>
      </w:r>
    </w:p>
    <w:p w14:paraId="293D5F63" w14:textId="576AD799" w:rsidR="0020021F" w:rsidRDefault="0020021F" w:rsidP="00992B24">
      <w:pPr>
        <w:pStyle w:val="Caption"/>
        <w:keepNext/>
        <w:spacing w:before="0" w:after="120"/>
        <w:jc w:val="both"/>
      </w:pPr>
      <w:bookmarkStart w:id="212" w:name="_Ref62026827"/>
      <w:r>
        <w:lastRenderedPageBreak/>
        <w:t xml:space="preserve">Table </w:t>
      </w:r>
      <w:r w:rsidR="00BF3F75">
        <w:fldChar w:fldCharType="begin"/>
      </w:r>
      <w:r w:rsidR="00BF3F75">
        <w:instrText xml:space="preserve"> SEQ Table \* ARABIC </w:instrText>
      </w:r>
      <w:r w:rsidR="00BF3F75">
        <w:fldChar w:fldCharType="separate"/>
      </w:r>
      <w:r w:rsidR="00EC5CC7">
        <w:rPr>
          <w:noProof/>
        </w:rPr>
        <w:t>123</w:t>
      </w:r>
      <w:r w:rsidR="00BF3F75">
        <w:rPr>
          <w:noProof/>
        </w:rPr>
        <w:fldChar w:fldCharType="end"/>
      </w:r>
      <w:bookmarkEnd w:id="212"/>
      <w:r>
        <w:t xml:space="preserve">: </w:t>
      </w:r>
      <w:r w:rsidRPr="00CA42D2">
        <w:t>Results of smoking cessation f</w:t>
      </w:r>
      <w:r w:rsidR="0060431F">
        <w:t>or</w:t>
      </w:r>
      <w:r w:rsidRPr="00CA42D2">
        <w:t xml:space="preserve"> at least six months follow-up in Livingstone-Banks et al. (2019b), self-help plus NRT versus NRT alone</w:t>
      </w:r>
    </w:p>
    <w:tbl>
      <w:tblPr>
        <w:tblStyle w:val="TableGrid"/>
        <w:tblW w:w="0" w:type="auto"/>
        <w:tblLook w:val="04A0" w:firstRow="1" w:lastRow="0" w:firstColumn="1" w:lastColumn="0" w:noHBand="0" w:noVBand="1"/>
      </w:tblPr>
      <w:tblGrid>
        <w:gridCol w:w="1696"/>
        <w:gridCol w:w="1701"/>
        <w:gridCol w:w="1985"/>
        <w:gridCol w:w="1984"/>
        <w:gridCol w:w="1650"/>
      </w:tblGrid>
      <w:tr w:rsidR="00714E55" w:rsidRPr="00A87B25" w14:paraId="0E4FB4C9" w14:textId="77777777" w:rsidTr="00486A67">
        <w:tc>
          <w:tcPr>
            <w:tcW w:w="1696" w:type="dxa"/>
            <w:shd w:val="clear" w:color="auto" w:fill="BFBFBF" w:themeFill="background1" w:themeFillShade="BF"/>
          </w:tcPr>
          <w:p w14:paraId="56BC8220" w14:textId="77777777" w:rsidR="00714E55" w:rsidRPr="007D3767" w:rsidRDefault="00714E55" w:rsidP="00486A67">
            <w:pPr>
              <w:pStyle w:val="Tablewriting"/>
              <w:rPr>
                <w:b/>
                <w:bCs/>
              </w:rPr>
            </w:pPr>
            <w:r w:rsidRPr="007D3767">
              <w:rPr>
                <w:b/>
                <w:bCs/>
              </w:rPr>
              <w:t>Study</w:t>
            </w:r>
          </w:p>
        </w:tc>
        <w:tc>
          <w:tcPr>
            <w:tcW w:w="1701" w:type="dxa"/>
            <w:shd w:val="clear" w:color="auto" w:fill="BFBFBF" w:themeFill="background1" w:themeFillShade="BF"/>
          </w:tcPr>
          <w:p w14:paraId="18D8EB3B" w14:textId="77777777" w:rsidR="00714E55" w:rsidRPr="007D3767" w:rsidRDefault="00714E55" w:rsidP="00486A67">
            <w:pPr>
              <w:pStyle w:val="Tablewriting"/>
              <w:jc w:val="center"/>
              <w:rPr>
                <w:b/>
                <w:bCs/>
              </w:rPr>
            </w:pPr>
            <w:r w:rsidRPr="007D3767">
              <w:rPr>
                <w:b/>
                <w:bCs/>
              </w:rPr>
              <w:t>Study Type</w:t>
            </w:r>
          </w:p>
        </w:tc>
        <w:tc>
          <w:tcPr>
            <w:tcW w:w="1985" w:type="dxa"/>
            <w:shd w:val="clear" w:color="auto" w:fill="BFBFBF" w:themeFill="background1" w:themeFillShade="BF"/>
          </w:tcPr>
          <w:p w14:paraId="54C4F599" w14:textId="07860115" w:rsidR="00714E55" w:rsidRPr="007D3767" w:rsidRDefault="00A51186" w:rsidP="00486A67">
            <w:pPr>
              <w:pStyle w:val="Tablewriting"/>
              <w:jc w:val="center"/>
              <w:rPr>
                <w:b/>
                <w:bCs/>
              </w:rPr>
            </w:pPr>
            <w:r>
              <w:rPr>
                <w:b/>
                <w:bCs/>
              </w:rPr>
              <w:t>Self-help plus NRT</w:t>
            </w:r>
          </w:p>
        </w:tc>
        <w:tc>
          <w:tcPr>
            <w:tcW w:w="1984" w:type="dxa"/>
            <w:shd w:val="clear" w:color="auto" w:fill="BFBFBF" w:themeFill="background1" w:themeFillShade="BF"/>
          </w:tcPr>
          <w:p w14:paraId="230ECD25" w14:textId="492DC366" w:rsidR="00714E55" w:rsidRPr="007D3767" w:rsidRDefault="00A51186" w:rsidP="00486A67">
            <w:pPr>
              <w:pStyle w:val="Tablewriting"/>
              <w:jc w:val="center"/>
              <w:rPr>
                <w:b/>
                <w:bCs/>
              </w:rPr>
            </w:pPr>
            <w:r>
              <w:rPr>
                <w:b/>
                <w:bCs/>
              </w:rPr>
              <w:t>NRT alone</w:t>
            </w:r>
          </w:p>
        </w:tc>
        <w:tc>
          <w:tcPr>
            <w:tcW w:w="1650" w:type="dxa"/>
            <w:shd w:val="clear" w:color="auto" w:fill="BFBFBF" w:themeFill="background1" w:themeFillShade="BF"/>
          </w:tcPr>
          <w:p w14:paraId="09E0C0C3" w14:textId="77777777" w:rsidR="00714E55" w:rsidRPr="0063602A" w:rsidRDefault="00714E55" w:rsidP="00486A67">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714E55" w:rsidRPr="00402359" w14:paraId="1422D310" w14:textId="77777777" w:rsidTr="00486A67">
        <w:tc>
          <w:tcPr>
            <w:tcW w:w="1696" w:type="dxa"/>
          </w:tcPr>
          <w:p w14:paraId="22D7427C" w14:textId="23236B69" w:rsidR="00714E55" w:rsidRDefault="00A51186" w:rsidP="00486A67">
            <w:pPr>
              <w:pStyle w:val="Tablewriting"/>
            </w:pPr>
            <w:r>
              <w:t>Livingstone-Banks</w:t>
            </w:r>
          </w:p>
          <w:p w14:paraId="371E631E" w14:textId="1707C337" w:rsidR="00714E55" w:rsidRPr="00402359" w:rsidRDefault="00714E55" w:rsidP="00486A67">
            <w:pPr>
              <w:pStyle w:val="Tablewriting"/>
            </w:pPr>
            <w:r>
              <w:t>(2019b)</w:t>
            </w:r>
          </w:p>
        </w:tc>
        <w:tc>
          <w:tcPr>
            <w:tcW w:w="1701" w:type="dxa"/>
          </w:tcPr>
          <w:p w14:paraId="23CD4819" w14:textId="77777777" w:rsidR="00714E55" w:rsidRDefault="00714E55" w:rsidP="00486A67">
            <w:pPr>
              <w:pStyle w:val="Tablewriting"/>
              <w:jc w:val="center"/>
            </w:pPr>
            <w:r>
              <w:t xml:space="preserve">Cochrane Review </w:t>
            </w:r>
          </w:p>
          <w:p w14:paraId="1553A487" w14:textId="40256B66" w:rsidR="00714E55" w:rsidRPr="00402359" w:rsidRDefault="00714E55" w:rsidP="00486A67">
            <w:pPr>
              <w:pStyle w:val="Tablewriting"/>
              <w:jc w:val="center"/>
            </w:pPr>
            <w:r>
              <w:t>(</w:t>
            </w:r>
            <w:r w:rsidR="00A51186">
              <w:t>3</w:t>
            </w:r>
            <w:r>
              <w:t xml:space="preserve"> RCTs)</w:t>
            </w:r>
          </w:p>
        </w:tc>
        <w:tc>
          <w:tcPr>
            <w:tcW w:w="1985" w:type="dxa"/>
          </w:tcPr>
          <w:p w14:paraId="44DB806C" w14:textId="732500CA" w:rsidR="00714E55" w:rsidRDefault="00714E55" w:rsidP="00486A67">
            <w:pPr>
              <w:pStyle w:val="Tablewriting"/>
              <w:jc w:val="center"/>
            </w:pPr>
            <w:r>
              <w:t>1</w:t>
            </w:r>
            <w:r w:rsidR="00A51186">
              <w:t>4</w:t>
            </w:r>
            <w:r>
              <w:t>1/8</w:t>
            </w:r>
            <w:r w:rsidR="00A51186">
              <w:t>81</w:t>
            </w:r>
          </w:p>
          <w:p w14:paraId="33DA7D9C" w14:textId="7363E849" w:rsidR="00714E55" w:rsidRPr="00402359" w:rsidRDefault="00714E55" w:rsidP="00486A67">
            <w:pPr>
              <w:pStyle w:val="Tablewriting"/>
              <w:jc w:val="center"/>
            </w:pPr>
            <w:r>
              <w:t>(</w:t>
            </w:r>
            <w:r w:rsidR="00233CBA">
              <w:t>16.0</w:t>
            </w:r>
            <w:r>
              <w:t>%)</w:t>
            </w:r>
          </w:p>
        </w:tc>
        <w:tc>
          <w:tcPr>
            <w:tcW w:w="1984" w:type="dxa"/>
          </w:tcPr>
          <w:p w14:paraId="6011A35C" w14:textId="40438469" w:rsidR="00714E55" w:rsidRDefault="00436009" w:rsidP="00486A67">
            <w:pPr>
              <w:pStyle w:val="Tablewriting"/>
              <w:jc w:val="center"/>
            </w:pPr>
            <w:r>
              <w:t>133</w:t>
            </w:r>
            <w:r w:rsidR="00714E55">
              <w:t>/</w:t>
            </w:r>
            <w:r w:rsidR="0020021F">
              <w:t>888</w:t>
            </w:r>
          </w:p>
          <w:p w14:paraId="1FB4EA86" w14:textId="7100EEAE" w:rsidR="00714E55" w:rsidRPr="00402359" w:rsidRDefault="00714E55" w:rsidP="00486A67">
            <w:pPr>
              <w:pStyle w:val="Tablewriting"/>
              <w:jc w:val="center"/>
            </w:pPr>
            <w:r>
              <w:t>(</w:t>
            </w:r>
            <w:r w:rsidR="00233CBA">
              <w:t>15.0</w:t>
            </w:r>
            <w:r>
              <w:t>%)</w:t>
            </w:r>
          </w:p>
        </w:tc>
        <w:tc>
          <w:tcPr>
            <w:tcW w:w="1650" w:type="dxa"/>
          </w:tcPr>
          <w:p w14:paraId="3AD81402" w14:textId="77777777" w:rsidR="00714E55" w:rsidRPr="0020021F" w:rsidRDefault="0020021F" w:rsidP="00486A67">
            <w:pPr>
              <w:pStyle w:val="Tablewriting"/>
              <w:jc w:val="center"/>
            </w:pPr>
            <w:r w:rsidRPr="0020021F">
              <w:t>1.05</w:t>
            </w:r>
          </w:p>
          <w:p w14:paraId="60A424C0" w14:textId="03B54F03" w:rsidR="0020021F" w:rsidRPr="00FB6174" w:rsidRDefault="0020021F" w:rsidP="00486A67">
            <w:pPr>
              <w:pStyle w:val="Tablewriting"/>
              <w:jc w:val="center"/>
              <w:rPr>
                <w:b/>
                <w:bCs/>
              </w:rPr>
            </w:pPr>
            <w:r w:rsidRPr="0020021F">
              <w:t>(0.86, 1.30)</w:t>
            </w:r>
          </w:p>
        </w:tc>
      </w:tr>
    </w:tbl>
    <w:p w14:paraId="723382FC" w14:textId="651AC9C2" w:rsidR="006D3AFE" w:rsidRDefault="006D3AFE" w:rsidP="00992B24">
      <w:pPr>
        <w:pStyle w:val="TableFooter"/>
        <w:jc w:val="both"/>
      </w:pPr>
      <w:r>
        <w:t>Source: Livingstone-Banks et al. (2019b)</w:t>
      </w:r>
    </w:p>
    <w:p w14:paraId="3D34E087" w14:textId="77777777" w:rsidR="0020021F" w:rsidRDefault="0020021F" w:rsidP="00992B24">
      <w:pPr>
        <w:pStyle w:val="TableFooter"/>
        <w:jc w:val="both"/>
        <w:rPr>
          <w:i/>
        </w:rPr>
      </w:pPr>
      <w:r>
        <w:t>Abbreviations: CI = confidence interval; RCT = randomised controlled trial; RR = risk ratio</w:t>
      </w:r>
      <w:r w:rsidRPr="00061F78">
        <w:t xml:space="preserve"> </w:t>
      </w:r>
    </w:p>
    <w:p w14:paraId="309672EF" w14:textId="29787464" w:rsidR="0020021F" w:rsidRDefault="0020021F" w:rsidP="00992B24">
      <w:pPr>
        <w:pStyle w:val="TableFooter"/>
        <w:jc w:val="both"/>
      </w:pPr>
      <w:r w:rsidRPr="00D468CF">
        <w:t>Note</w:t>
      </w:r>
      <w:r>
        <w:t>s</w:t>
      </w:r>
      <w:r w:rsidRPr="00D468CF">
        <w:t>: Bold indicates statistically significant difference.</w:t>
      </w:r>
      <w:r w:rsidRPr="00962408">
        <w:t xml:space="preserve"> See </w:t>
      </w:r>
      <w:r w:rsidRPr="00B25100">
        <w:t>Appendix</w:t>
      </w:r>
      <w:r w:rsidRPr="00962408">
        <w:t xml:space="preserve"> </w:t>
      </w:r>
      <w:r w:rsidR="003772D9">
        <w:rPr>
          <w:highlight w:val="yellow"/>
        </w:rPr>
        <w:fldChar w:fldCharType="begin" w:fldLock="1"/>
      </w:r>
      <w:r w:rsidR="003772D9">
        <w:instrText xml:space="preserve"> REF _Ref62219483 \h </w:instrText>
      </w:r>
      <w:r w:rsidR="00992B24">
        <w:rPr>
          <w:highlight w:val="yellow"/>
        </w:rPr>
        <w:instrText xml:space="preserve"> \* MERGEFORMAT </w:instrText>
      </w:r>
      <w:r w:rsidR="003772D9">
        <w:rPr>
          <w:highlight w:val="yellow"/>
        </w:rPr>
      </w:r>
      <w:r w:rsidR="003772D9">
        <w:rPr>
          <w:highlight w:val="yellow"/>
        </w:rPr>
        <w:fldChar w:fldCharType="separate"/>
      </w:r>
      <w:r w:rsidR="00EC5CC7">
        <w:t xml:space="preserve">Figure </w:t>
      </w:r>
      <w:r w:rsidR="00EC5CC7">
        <w:rPr>
          <w:noProof/>
        </w:rPr>
        <w:t>113</w:t>
      </w:r>
      <w:r w:rsidR="003772D9">
        <w:rPr>
          <w:highlight w:val="yellow"/>
        </w:rPr>
        <w:fldChar w:fldCharType="end"/>
      </w:r>
      <w:r w:rsidRPr="00962408">
        <w:t xml:space="preserve"> for forest plot</w:t>
      </w:r>
      <w:r>
        <w:t xml:space="preserve"> </w:t>
      </w:r>
      <w:r w:rsidRPr="00962408">
        <w:t>which included the results of individual studies</w:t>
      </w:r>
      <w:r>
        <w:t>.</w:t>
      </w:r>
    </w:p>
    <w:p w14:paraId="16C41724" w14:textId="4A50A428" w:rsidR="0020021F" w:rsidRDefault="0020021F" w:rsidP="00992B24">
      <w:pPr>
        <w:pStyle w:val="TableFooter"/>
        <w:spacing w:after="120"/>
        <w:contextualSpacing w:val="0"/>
        <w:jc w:val="both"/>
      </w:pPr>
      <w:r>
        <w:t>1 Calculated by Cochrane Review authors using a random-effect model</w:t>
      </w:r>
      <w:r w:rsidR="005A689C">
        <w:t>.</w:t>
      </w:r>
    </w:p>
    <w:p w14:paraId="4DA73B0B" w14:textId="7E13E4EF" w:rsidR="00A7748B" w:rsidRPr="000A3EFE" w:rsidRDefault="00A7748B" w:rsidP="00992B24">
      <w:pPr>
        <w:spacing w:after="120"/>
        <w:jc w:val="both"/>
        <w:rPr>
          <w:u w:val="single"/>
        </w:rPr>
      </w:pPr>
      <w:r w:rsidRPr="000A3EFE">
        <w:rPr>
          <w:u w:val="single"/>
        </w:rPr>
        <w:t>Proactive telephone counselling</w:t>
      </w:r>
      <w:r w:rsidR="000F12C4">
        <w:rPr>
          <w:u w:val="single"/>
        </w:rPr>
        <w:t xml:space="preserve"> plus pharmacotherapy versus pharmacotherapy alone</w:t>
      </w:r>
    </w:p>
    <w:p w14:paraId="06EFD15B" w14:textId="0F3E78C9" w:rsidR="0099316A" w:rsidRDefault="001F4158" w:rsidP="00992B24">
      <w:pPr>
        <w:spacing w:after="120"/>
        <w:jc w:val="both"/>
      </w:pPr>
      <w:r w:rsidRPr="001F4158">
        <w:t>Matkin</w:t>
      </w:r>
      <w:r>
        <w:t xml:space="preserve"> </w:t>
      </w:r>
      <w:r w:rsidR="000B5023">
        <w:t>et al. (</w:t>
      </w:r>
      <w:r>
        <w:t>2019</w:t>
      </w:r>
      <w:r w:rsidR="000B5023">
        <w:t>)</w:t>
      </w:r>
      <w:r>
        <w:t xml:space="preserve"> </w:t>
      </w:r>
      <w:r w:rsidR="004D2188">
        <w:t xml:space="preserve">identified and </w:t>
      </w:r>
      <w:r>
        <w:t>pooled 65 studies comparing</w:t>
      </w:r>
      <w:r w:rsidR="00000E40">
        <w:t xml:space="preserve"> proactive telephone counselling for smokers not calling quitlines</w:t>
      </w:r>
      <w:r w:rsidR="007B487C">
        <w:t xml:space="preserve"> </w:t>
      </w:r>
      <w:r w:rsidR="005D2541">
        <w:t>compared to those that did not receive telephone counselling</w:t>
      </w:r>
      <w:r w:rsidR="007B487C">
        <w:t>.</w:t>
      </w:r>
      <w:r w:rsidR="005D2541">
        <w:t xml:space="preserve"> </w:t>
      </w:r>
      <w:r w:rsidR="0099316A" w:rsidRPr="0099316A">
        <w:t>Of the 65 RCTs, 18 RCTs were studies assessing telephone counselling as an adjunct to pharmacotherapy</w:t>
      </w:r>
      <w:r w:rsidR="009C0828">
        <w:t xml:space="preserve">, specifically, </w:t>
      </w:r>
      <w:r w:rsidR="00FD2BA2" w:rsidRPr="00FD2BA2">
        <w:t xml:space="preserve">the systematic use or offer of NRT </w:t>
      </w:r>
      <w:r w:rsidR="00573F59">
        <w:t>patches</w:t>
      </w:r>
      <w:r w:rsidR="00FD2BA2" w:rsidRPr="00FD2BA2">
        <w:t xml:space="preserve"> or gum (n=15), varenicline (n=1) or either NRT or bupropion (n=2).</w:t>
      </w:r>
    </w:p>
    <w:p w14:paraId="3AE6B04D" w14:textId="43621A65" w:rsidR="0099316A" w:rsidRDefault="0099316A" w:rsidP="00992B24">
      <w:pPr>
        <w:spacing w:after="120"/>
        <w:jc w:val="both"/>
      </w:pPr>
      <w:r w:rsidRPr="007D3767">
        <w:t>A summary of the smoking cessation rates f</w:t>
      </w:r>
      <w:r w:rsidR="0060431F">
        <w:t>or</w:t>
      </w:r>
      <w:r w:rsidRPr="007D3767">
        <w:t xml:space="preserve"> at least six months follow-up comparing </w:t>
      </w:r>
      <w:r w:rsidR="00B41EEC">
        <w:t>proactive telephone counselling for smokers not calling quitlines with those that did not receive telephone counselling</w:t>
      </w:r>
      <w:r w:rsidRPr="007D3767">
        <w:t xml:space="preserve"> </w:t>
      </w:r>
      <w:r>
        <w:t xml:space="preserve">based on </w:t>
      </w:r>
      <w:r w:rsidR="00E91E94">
        <w:t xml:space="preserve">the </w:t>
      </w:r>
      <w:r>
        <w:t xml:space="preserve">subgroup of </w:t>
      </w:r>
      <w:r w:rsidR="00E91E94">
        <w:t>telephone counselling as an</w:t>
      </w:r>
      <w:r>
        <w:t xml:space="preserve"> </w:t>
      </w:r>
      <w:r w:rsidR="00B41EEC">
        <w:t>adjunct to pharmacotherapy</w:t>
      </w:r>
      <w:r>
        <w:t xml:space="preserve"> </w:t>
      </w:r>
      <w:r w:rsidRPr="007D3767">
        <w:t>is presented</w:t>
      </w:r>
      <w:r>
        <w:t xml:space="preserve"> in</w:t>
      </w:r>
      <w:r w:rsidR="00B41EEC">
        <w:t xml:space="preserve"> </w:t>
      </w:r>
      <w:r w:rsidR="00B41EEC">
        <w:fldChar w:fldCharType="begin" w:fldLock="1"/>
      </w:r>
      <w:r w:rsidR="00B41EEC">
        <w:instrText xml:space="preserve"> REF _Ref61809141 \h </w:instrText>
      </w:r>
      <w:r w:rsidR="00992B24">
        <w:instrText xml:space="preserve"> \* MERGEFORMAT </w:instrText>
      </w:r>
      <w:r w:rsidR="00B41EEC">
        <w:fldChar w:fldCharType="separate"/>
      </w:r>
      <w:r w:rsidR="00EC5CC7">
        <w:t xml:space="preserve">Table </w:t>
      </w:r>
      <w:r w:rsidR="00EC5CC7">
        <w:rPr>
          <w:noProof/>
        </w:rPr>
        <w:t>124</w:t>
      </w:r>
      <w:r w:rsidR="00B41EEC">
        <w:fldChar w:fldCharType="end"/>
      </w:r>
      <w:r>
        <w:t>.</w:t>
      </w:r>
      <w:r w:rsidRPr="007D3767">
        <w:t xml:space="preserve"> </w:t>
      </w:r>
      <w:r>
        <w:t xml:space="preserve">The results </w:t>
      </w:r>
      <w:r w:rsidR="00C56436">
        <w:t xml:space="preserve">of the meta-analysis comprising 18 RCTs </w:t>
      </w:r>
      <w:r w:rsidR="007F6B71">
        <w:t xml:space="preserve">by Matkin et al. (2019) </w:t>
      </w:r>
      <w:r>
        <w:t xml:space="preserve">demonstrated </w:t>
      </w:r>
      <w:r w:rsidR="007F6B71">
        <w:t xml:space="preserve">a </w:t>
      </w:r>
      <w:r>
        <w:t xml:space="preserve">statistically significant difference </w:t>
      </w:r>
      <w:r w:rsidR="007F6B71">
        <w:t>in smoking cessation rates</w:t>
      </w:r>
      <w:r>
        <w:t xml:space="preserve"> the two treatment arms, </w:t>
      </w:r>
      <w:r w:rsidR="007F6B71">
        <w:t xml:space="preserve">in favour of proactive </w:t>
      </w:r>
      <w:r w:rsidR="00A70197">
        <w:t xml:space="preserve">telephone </w:t>
      </w:r>
      <w:r w:rsidR="007F6B71">
        <w:t>counselling in combination with pharmacotherapy</w:t>
      </w:r>
      <w:r w:rsidR="00826C95">
        <w:t xml:space="preserve">. </w:t>
      </w:r>
    </w:p>
    <w:p w14:paraId="2988C932" w14:textId="4165E09A" w:rsidR="001F4158" w:rsidRDefault="00286FC8" w:rsidP="00992B24">
      <w:pPr>
        <w:spacing w:after="120"/>
        <w:jc w:val="both"/>
      </w:pPr>
      <w:r>
        <w:t>The</w:t>
      </w:r>
      <w:r w:rsidR="007F6B71">
        <w:t xml:space="preserve"> overall</w:t>
      </w:r>
      <w:r>
        <w:t xml:space="preserve"> estimated pooled risk ratio for proactive telephone counselling</w:t>
      </w:r>
      <w:r w:rsidR="000909FA">
        <w:t xml:space="preserve"> (irrespective of type of adjunctive intervention)</w:t>
      </w:r>
      <w:r>
        <w:t xml:space="preserve"> suggested a modest benefit </w:t>
      </w:r>
      <w:r w:rsidR="00B01B3C">
        <w:t>in smoking cessation rates</w:t>
      </w:r>
      <w:r>
        <w:t xml:space="preserve"> (RR</w:t>
      </w:r>
      <w:r w:rsidR="000909FA">
        <w:t>:</w:t>
      </w:r>
      <w:r>
        <w:t xml:space="preserve"> 1.25</w:t>
      </w:r>
      <w:r w:rsidR="000909FA">
        <w:t>;</w:t>
      </w:r>
      <w:r>
        <w:t xml:space="preserve"> 95%</w:t>
      </w:r>
      <w:r w:rsidR="000909FA">
        <w:t xml:space="preserve"> </w:t>
      </w:r>
      <w:r>
        <w:t>CI</w:t>
      </w:r>
      <w:r w:rsidR="000909FA">
        <w:t>:</w:t>
      </w:r>
      <w:r>
        <w:t xml:space="preserve"> 1.15</w:t>
      </w:r>
      <w:r w:rsidR="000909FA">
        <w:t xml:space="preserve">, </w:t>
      </w:r>
      <w:r>
        <w:t>1.35</w:t>
      </w:r>
      <w:r w:rsidR="000909FA">
        <w:t>)</w:t>
      </w:r>
      <w:r>
        <w:t>.</w:t>
      </w:r>
    </w:p>
    <w:p w14:paraId="249D4ACD" w14:textId="119FC840" w:rsidR="00B55773" w:rsidRDefault="00B55773" w:rsidP="00992B24">
      <w:pPr>
        <w:pStyle w:val="Caption"/>
        <w:keepNext/>
        <w:spacing w:before="0" w:after="120"/>
        <w:jc w:val="both"/>
      </w:pPr>
      <w:bookmarkStart w:id="213" w:name="_Ref61809141"/>
      <w:r>
        <w:t xml:space="preserve">Table </w:t>
      </w:r>
      <w:r w:rsidR="00BF3F75">
        <w:fldChar w:fldCharType="begin"/>
      </w:r>
      <w:r w:rsidR="00BF3F75">
        <w:instrText xml:space="preserve"> SEQ Table \* ARABIC </w:instrText>
      </w:r>
      <w:r w:rsidR="00BF3F75">
        <w:fldChar w:fldCharType="separate"/>
      </w:r>
      <w:r w:rsidR="00EC5CC7">
        <w:rPr>
          <w:noProof/>
        </w:rPr>
        <w:t>124</w:t>
      </w:r>
      <w:r w:rsidR="00BF3F75">
        <w:rPr>
          <w:noProof/>
        </w:rPr>
        <w:fldChar w:fldCharType="end"/>
      </w:r>
      <w:bookmarkEnd w:id="213"/>
      <w:r>
        <w:t xml:space="preserve">: </w:t>
      </w:r>
      <w:r w:rsidRPr="000814F2">
        <w:t>Results of smoking cessation f</w:t>
      </w:r>
      <w:r w:rsidR="0060431F">
        <w:t>or</w:t>
      </w:r>
      <w:r w:rsidRPr="000814F2">
        <w:t xml:space="preserve"> at least six months follow-up in </w:t>
      </w:r>
      <w:r>
        <w:t>Matkin</w:t>
      </w:r>
      <w:r w:rsidRPr="000814F2">
        <w:t xml:space="preserve"> et al. (2019), </w:t>
      </w:r>
      <w:r w:rsidR="00810B30">
        <w:t>proactive telephone counselling versus no counselling</w:t>
      </w:r>
    </w:p>
    <w:tbl>
      <w:tblPr>
        <w:tblStyle w:val="TableGrid"/>
        <w:tblW w:w="0" w:type="auto"/>
        <w:tblLook w:val="04A0" w:firstRow="1" w:lastRow="0" w:firstColumn="1" w:lastColumn="0" w:noHBand="0" w:noVBand="1"/>
      </w:tblPr>
      <w:tblGrid>
        <w:gridCol w:w="1696"/>
        <w:gridCol w:w="1701"/>
        <w:gridCol w:w="1985"/>
        <w:gridCol w:w="1984"/>
        <w:gridCol w:w="1650"/>
      </w:tblGrid>
      <w:tr w:rsidR="008C1452" w:rsidRPr="00A87B25" w14:paraId="722538B1" w14:textId="77777777" w:rsidTr="00612758">
        <w:tc>
          <w:tcPr>
            <w:tcW w:w="1696" w:type="dxa"/>
            <w:shd w:val="clear" w:color="auto" w:fill="BFBFBF" w:themeFill="background1" w:themeFillShade="BF"/>
          </w:tcPr>
          <w:p w14:paraId="1037E944" w14:textId="77777777" w:rsidR="008C1452" w:rsidRPr="007D3767" w:rsidRDefault="008C1452" w:rsidP="00612758">
            <w:pPr>
              <w:pStyle w:val="Tablewriting"/>
              <w:rPr>
                <w:b/>
                <w:bCs/>
              </w:rPr>
            </w:pPr>
            <w:r w:rsidRPr="007D3767">
              <w:rPr>
                <w:b/>
                <w:bCs/>
              </w:rPr>
              <w:t>Study</w:t>
            </w:r>
          </w:p>
        </w:tc>
        <w:tc>
          <w:tcPr>
            <w:tcW w:w="1701" w:type="dxa"/>
            <w:shd w:val="clear" w:color="auto" w:fill="BFBFBF" w:themeFill="background1" w:themeFillShade="BF"/>
          </w:tcPr>
          <w:p w14:paraId="4BFC8535" w14:textId="77777777" w:rsidR="008C1452" w:rsidRPr="007D3767" w:rsidRDefault="008C1452" w:rsidP="00612758">
            <w:pPr>
              <w:pStyle w:val="Tablewriting"/>
              <w:jc w:val="center"/>
              <w:rPr>
                <w:b/>
                <w:bCs/>
              </w:rPr>
            </w:pPr>
            <w:r w:rsidRPr="007D3767">
              <w:rPr>
                <w:b/>
                <w:bCs/>
              </w:rPr>
              <w:t>Study Type</w:t>
            </w:r>
          </w:p>
        </w:tc>
        <w:tc>
          <w:tcPr>
            <w:tcW w:w="1985" w:type="dxa"/>
            <w:shd w:val="clear" w:color="auto" w:fill="BFBFBF" w:themeFill="background1" w:themeFillShade="BF"/>
          </w:tcPr>
          <w:p w14:paraId="318F223D" w14:textId="6D22A565" w:rsidR="008C1452" w:rsidRPr="007D3767" w:rsidRDefault="00B55773" w:rsidP="00612758">
            <w:pPr>
              <w:pStyle w:val="Tablewriting"/>
              <w:jc w:val="center"/>
              <w:rPr>
                <w:b/>
                <w:bCs/>
              </w:rPr>
            </w:pPr>
            <w:r>
              <w:rPr>
                <w:b/>
                <w:bCs/>
              </w:rPr>
              <w:t>Proactive counselling</w:t>
            </w:r>
          </w:p>
        </w:tc>
        <w:tc>
          <w:tcPr>
            <w:tcW w:w="1984" w:type="dxa"/>
            <w:shd w:val="clear" w:color="auto" w:fill="BFBFBF" w:themeFill="background1" w:themeFillShade="BF"/>
          </w:tcPr>
          <w:p w14:paraId="5B214BC9" w14:textId="00ABA2A5" w:rsidR="008C1452" w:rsidRPr="007D3767" w:rsidRDefault="00B55773" w:rsidP="00612758">
            <w:pPr>
              <w:pStyle w:val="Tablewriting"/>
              <w:jc w:val="center"/>
              <w:rPr>
                <w:b/>
                <w:bCs/>
              </w:rPr>
            </w:pPr>
            <w:r>
              <w:rPr>
                <w:b/>
                <w:bCs/>
              </w:rPr>
              <w:t>No counselling</w:t>
            </w:r>
          </w:p>
        </w:tc>
        <w:tc>
          <w:tcPr>
            <w:tcW w:w="1650" w:type="dxa"/>
            <w:shd w:val="clear" w:color="auto" w:fill="BFBFBF" w:themeFill="background1" w:themeFillShade="BF"/>
          </w:tcPr>
          <w:p w14:paraId="27653EC1" w14:textId="77777777" w:rsidR="008C1452" w:rsidRPr="0063602A" w:rsidRDefault="008C1452" w:rsidP="00612758">
            <w:pPr>
              <w:pStyle w:val="Tablewriting"/>
              <w:jc w:val="center"/>
              <w:rPr>
                <w:b/>
                <w:bCs/>
                <w:vertAlign w:val="superscript"/>
              </w:rPr>
            </w:pPr>
            <w:r w:rsidRPr="007D3767">
              <w:rPr>
                <w:b/>
                <w:bCs/>
              </w:rPr>
              <w:t>RR (95%</w:t>
            </w:r>
            <w:r>
              <w:rPr>
                <w:b/>
                <w:bCs/>
              </w:rPr>
              <w:t xml:space="preserve"> </w:t>
            </w:r>
            <w:r w:rsidRPr="007D3767">
              <w:rPr>
                <w:b/>
                <w:bCs/>
              </w:rPr>
              <w:t>CI)</w:t>
            </w:r>
            <w:r>
              <w:rPr>
                <w:b/>
                <w:bCs/>
                <w:vertAlign w:val="superscript"/>
              </w:rPr>
              <w:t>1</w:t>
            </w:r>
          </w:p>
        </w:tc>
      </w:tr>
      <w:tr w:rsidR="008C1452" w:rsidRPr="00402359" w14:paraId="388C05A1" w14:textId="77777777" w:rsidTr="008C1D8E">
        <w:tc>
          <w:tcPr>
            <w:tcW w:w="9016" w:type="dxa"/>
            <w:gridSpan w:val="5"/>
            <w:shd w:val="clear" w:color="auto" w:fill="auto"/>
          </w:tcPr>
          <w:p w14:paraId="18FCE28D" w14:textId="2AE8ADEC" w:rsidR="008C1452" w:rsidRPr="00FB6174" w:rsidRDefault="008C1452" w:rsidP="00612758">
            <w:pPr>
              <w:pStyle w:val="Tablewriting"/>
              <w:rPr>
                <w:b/>
                <w:bCs/>
              </w:rPr>
            </w:pPr>
            <w:r>
              <w:rPr>
                <w:b/>
                <w:bCs/>
              </w:rPr>
              <w:t>Adjunct to pharmacotherapy</w:t>
            </w:r>
            <w:r w:rsidR="0099316A">
              <w:rPr>
                <w:b/>
                <w:bCs/>
              </w:rPr>
              <w:t xml:space="preserve"> subgroup</w:t>
            </w:r>
          </w:p>
        </w:tc>
      </w:tr>
      <w:tr w:rsidR="008C1452" w:rsidRPr="00402359" w14:paraId="3FAD7AD3" w14:textId="77777777" w:rsidTr="00612758">
        <w:tc>
          <w:tcPr>
            <w:tcW w:w="1696" w:type="dxa"/>
          </w:tcPr>
          <w:p w14:paraId="4BABF5C1" w14:textId="77777777" w:rsidR="00AF1372" w:rsidRDefault="00AF1372" w:rsidP="00612758">
            <w:pPr>
              <w:pStyle w:val="Tablewriting"/>
            </w:pPr>
            <w:r>
              <w:t>Matkin</w:t>
            </w:r>
          </w:p>
          <w:p w14:paraId="6EC0B31F" w14:textId="72E4B977" w:rsidR="008C1452" w:rsidRPr="00402359" w:rsidRDefault="008C1452" w:rsidP="00612758">
            <w:pPr>
              <w:pStyle w:val="Tablewriting"/>
            </w:pPr>
            <w:r>
              <w:t>(2019)</w:t>
            </w:r>
          </w:p>
        </w:tc>
        <w:tc>
          <w:tcPr>
            <w:tcW w:w="1701" w:type="dxa"/>
          </w:tcPr>
          <w:p w14:paraId="71A4B0F5" w14:textId="77777777" w:rsidR="008C1452" w:rsidRDefault="008C1452" w:rsidP="00612758">
            <w:pPr>
              <w:pStyle w:val="Tablewriting"/>
              <w:jc w:val="center"/>
            </w:pPr>
            <w:r>
              <w:t xml:space="preserve">Cochrane Review </w:t>
            </w:r>
          </w:p>
          <w:p w14:paraId="56259B37" w14:textId="4770486B" w:rsidR="008C1452" w:rsidRPr="00402359" w:rsidRDefault="008C1452" w:rsidP="00612758">
            <w:pPr>
              <w:pStyle w:val="Tablewriting"/>
              <w:jc w:val="center"/>
            </w:pPr>
            <w:r>
              <w:t>(</w:t>
            </w:r>
            <w:r w:rsidR="0084096A">
              <w:t>18</w:t>
            </w:r>
            <w:r>
              <w:t xml:space="preserve"> RCTs)</w:t>
            </w:r>
          </w:p>
        </w:tc>
        <w:tc>
          <w:tcPr>
            <w:tcW w:w="1985" w:type="dxa"/>
          </w:tcPr>
          <w:p w14:paraId="7BC082B1" w14:textId="1E5BBE02" w:rsidR="008C1452" w:rsidRDefault="008C1452" w:rsidP="00612758">
            <w:pPr>
              <w:pStyle w:val="Tablewriting"/>
              <w:jc w:val="center"/>
            </w:pPr>
            <w:r>
              <w:t>1,</w:t>
            </w:r>
            <w:r w:rsidR="001B5DBF">
              <w:t>330</w:t>
            </w:r>
            <w:r>
              <w:t>/</w:t>
            </w:r>
            <w:r w:rsidR="001B5DBF">
              <w:t>6,714</w:t>
            </w:r>
          </w:p>
          <w:p w14:paraId="2362A7DB" w14:textId="71FBD83C" w:rsidR="008C1452" w:rsidRPr="00402359" w:rsidRDefault="008C1452" w:rsidP="00612758">
            <w:pPr>
              <w:pStyle w:val="Tablewriting"/>
              <w:jc w:val="center"/>
            </w:pPr>
            <w:r>
              <w:t>(</w:t>
            </w:r>
            <w:r w:rsidR="00D129AC">
              <w:t>19.8</w:t>
            </w:r>
            <w:r>
              <w:t>%)</w:t>
            </w:r>
          </w:p>
        </w:tc>
        <w:tc>
          <w:tcPr>
            <w:tcW w:w="1984" w:type="dxa"/>
          </w:tcPr>
          <w:p w14:paraId="1ACE313C" w14:textId="7D67F8E4" w:rsidR="008C1452" w:rsidRDefault="008C1452" w:rsidP="00612758">
            <w:pPr>
              <w:pStyle w:val="Tablewriting"/>
              <w:jc w:val="center"/>
            </w:pPr>
            <w:r>
              <w:t>1,</w:t>
            </w:r>
            <w:r w:rsidR="001B5DBF">
              <w:t>056</w:t>
            </w:r>
            <w:r>
              <w:t>/</w:t>
            </w:r>
            <w:r w:rsidR="001B5DBF">
              <w:t>6,151</w:t>
            </w:r>
          </w:p>
          <w:p w14:paraId="734398DF" w14:textId="28A862CC" w:rsidR="008C1452" w:rsidRPr="00402359" w:rsidRDefault="008C1452" w:rsidP="00612758">
            <w:pPr>
              <w:pStyle w:val="Tablewriting"/>
              <w:jc w:val="center"/>
            </w:pPr>
            <w:r>
              <w:t>(</w:t>
            </w:r>
            <w:r w:rsidR="00870929">
              <w:t>17.2</w:t>
            </w:r>
            <w:r>
              <w:t>%)</w:t>
            </w:r>
          </w:p>
        </w:tc>
        <w:tc>
          <w:tcPr>
            <w:tcW w:w="1650" w:type="dxa"/>
          </w:tcPr>
          <w:p w14:paraId="42845892" w14:textId="77777777" w:rsidR="008C1452" w:rsidRDefault="001B5DBF" w:rsidP="00612758">
            <w:pPr>
              <w:pStyle w:val="Tablewriting"/>
              <w:jc w:val="center"/>
              <w:rPr>
                <w:b/>
                <w:bCs/>
              </w:rPr>
            </w:pPr>
            <w:r>
              <w:rPr>
                <w:b/>
                <w:bCs/>
              </w:rPr>
              <w:t>1.14</w:t>
            </w:r>
          </w:p>
          <w:p w14:paraId="29EB3719" w14:textId="30800238" w:rsidR="001B5DBF" w:rsidRPr="00FB6174" w:rsidRDefault="001B5DBF" w:rsidP="00612758">
            <w:pPr>
              <w:pStyle w:val="Tablewriting"/>
              <w:jc w:val="center"/>
              <w:rPr>
                <w:b/>
                <w:bCs/>
              </w:rPr>
            </w:pPr>
            <w:r>
              <w:rPr>
                <w:b/>
                <w:bCs/>
              </w:rPr>
              <w:t>(1.03, 1.26)</w:t>
            </w:r>
          </w:p>
        </w:tc>
      </w:tr>
      <w:tr w:rsidR="008C1452" w:rsidRPr="00402359" w14:paraId="0F2C541C" w14:textId="77777777" w:rsidTr="008C1D8E">
        <w:tc>
          <w:tcPr>
            <w:tcW w:w="9016" w:type="dxa"/>
            <w:gridSpan w:val="5"/>
            <w:shd w:val="clear" w:color="auto" w:fill="auto"/>
          </w:tcPr>
          <w:p w14:paraId="3C75D2FF" w14:textId="080CC748" w:rsidR="008C1452" w:rsidRPr="003D1773" w:rsidRDefault="008C1452" w:rsidP="00612758">
            <w:pPr>
              <w:pStyle w:val="Tablewriting"/>
              <w:rPr>
                <w:b/>
                <w:bCs/>
              </w:rPr>
            </w:pPr>
            <w:r>
              <w:rPr>
                <w:b/>
                <w:bCs/>
              </w:rPr>
              <w:t xml:space="preserve">Irrespective of type of </w:t>
            </w:r>
            <w:r w:rsidR="0084096A">
              <w:rPr>
                <w:b/>
                <w:bCs/>
              </w:rPr>
              <w:t>adjunctive intervention</w:t>
            </w:r>
          </w:p>
        </w:tc>
      </w:tr>
      <w:tr w:rsidR="008C1452" w:rsidRPr="00402359" w14:paraId="31848D51" w14:textId="77777777" w:rsidTr="00612758">
        <w:tc>
          <w:tcPr>
            <w:tcW w:w="1696" w:type="dxa"/>
          </w:tcPr>
          <w:p w14:paraId="1D10CAAC" w14:textId="77777777" w:rsidR="0084096A" w:rsidRDefault="0084096A" w:rsidP="00612758">
            <w:pPr>
              <w:pStyle w:val="Tablewriting"/>
            </w:pPr>
            <w:r>
              <w:t>Matkin</w:t>
            </w:r>
            <w:r w:rsidR="008C1452">
              <w:t xml:space="preserve"> </w:t>
            </w:r>
          </w:p>
          <w:p w14:paraId="32A376FC" w14:textId="63ADC94F" w:rsidR="008C1452" w:rsidRPr="00402359" w:rsidRDefault="008C1452" w:rsidP="00612758">
            <w:pPr>
              <w:pStyle w:val="Tablewriting"/>
            </w:pPr>
            <w:r>
              <w:t>(2019)</w:t>
            </w:r>
          </w:p>
        </w:tc>
        <w:tc>
          <w:tcPr>
            <w:tcW w:w="1701" w:type="dxa"/>
          </w:tcPr>
          <w:p w14:paraId="44187FF5" w14:textId="77777777" w:rsidR="008C1452" w:rsidRDefault="008C1452" w:rsidP="00612758">
            <w:pPr>
              <w:pStyle w:val="Tablewriting"/>
              <w:jc w:val="center"/>
            </w:pPr>
            <w:r>
              <w:t xml:space="preserve">Cochrane Review </w:t>
            </w:r>
          </w:p>
          <w:p w14:paraId="7AF1AEBF" w14:textId="77777777" w:rsidR="008C1452" w:rsidRDefault="008C1452" w:rsidP="00612758">
            <w:pPr>
              <w:pStyle w:val="Tablewriting"/>
              <w:jc w:val="center"/>
            </w:pPr>
            <w:r>
              <w:t>(65 RCTs)</w:t>
            </w:r>
          </w:p>
        </w:tc>
        <w:tc>
          <w:tcPr>
            <w:tcW w:w="1985" w:type="dxa"/>
          </w:tcPr>
          <w:p w14:paraId="24C9BFF0" w14:textId="739A4D4B" w:rsidR="008C1452" w:rsidRDefault="008C1452" w:rsidP="00612758">
            <w:pPr>
              <w:pStyle w:val="Tablewriting"/>
              <w:jc w:val="center"/>
            </w:pPr>
            <w:r>
              <w:t>2,</w:t>
            </w:r>
            <w:r w:rsidR="001B5DBF">
              <w:t>924</w:t>
            </w:r>
            <w:r>
              <w:t>/</w:t>
            </w:r>
            <w:r w:rsidR="001B5DBF">
              <w:t>2</w:t>
            </w:r>
            <w:r>
              <w:t>1,</w:t>
            </w:r>
            <w:r w:rsidR="001B5DBF">
              <w:t>001</w:t>
            </w:r>
          </w:p>
          <w:p w14:paraId="6AD5190D" w14:textId="4A38F491" w:rsidR="008C1452" w:rsidRDefault="008C1452" w:rsidP="00612758">
            <w:pPr>
              <w:pStyle w:val="Tablewriting"/>
              <w:jc w:val="center"/>
            </w:pPr>
            <w:r>
              <w:t>(</w:t>
            </w:r>
            <w:r w:rsidR="00870929">
              <w:t>13.9</w:t>
            </w:r>
            <w:r>
              <w:t>%)</w:t>
            </w:r>
          </w:p>
        </w:tc>
        <w:tc>
          <w:tcPr>
            <w:tcW w:w="1984" w:type="dxa"/>
          </w:tcPr>
          <w:p w14:paraId="0C2EF0C7" w14:textId="4895DDCB" w:rsidR="008C1452" w:rsidRDefault="008C1452" w:rsidP="00612758">
            <w:pPr>
              <w:pStyle w:val="Tablewriting"/>
              <w:jc w:val="center"/>
            </w:pPr>
            <w:r>
              <w:t>2,</w:t>
            </w:r>
            <w:r w:rsidR="00B55773">
              <w:t>229</w:t>
            </w:r>
            <w:r>
              <w:t>/</w:t>
            </w:r>
            <w:r w:rsidR="00B55773">
              <w:t>20</w:t>
            </w:r>
            <w:r>
              <w:t>,</w:t>
            </w:r>
            <w:r w:rsidR="00B55773">
              <w:t>232</w:t>
            </w:r>
          </w:p>
          <w:p w14:paraId="7FD7A8E1" w14:textId="5B91E3BA" w:rsidR="008C1452" w:rsidRDefault="008C1452" w:rsidP="00612758">
            <w:pPr>
              <w:pStyle w:val="Tablewriting"/>
              <w:jc w:val="center"/>
            </w:pPr>
            <w:r>
              <w:t>(</w:t>
            </w:r>
            <w:r w:rsidR="00870929">
              <w:t>11.0</w:t>
            </w:r>
            <w:r>
              <w:t>%)</w:t>
            </w:r>
          </w:p>
        </w:tc>
        <w:tc>
          <w:tcPr>
            <w:tcW w:w="1650" w:type="dxa"/>
          </w:tcPr>
          <w:p w14:paraId="73AF64A1" w14:textId="77777777" w:rsidR="008C1452" w:rsidRDefault="001B5DBF" w:rsidP="00612758">
            <w:pPr>
              <w:pStyle w:val="Tablewriting"/>
              <w:jc w:val="center"/>
              <w:rPr>
                <w:b/>
                <w:bCs/>
              </w:rPr>
            </w:pPr>
            <w:r>
              <w:rPr>
                <w:b/>
                <w:bCs/>
              </w:rPr>
              <w:t>1.25</w:t>
            </w:r>
          </w:p>
          <w:p w14:paraId="57109081" w14:textId="1CFC20E7" w:rsidR="001B5DBF" w:rsidRDefault="001B5DBF" w:rsidP="00612758">
            <w:pPr>
              <w:pStyle w:val="Tablewriting"/>
              <w:jc w:val="center"/>
            </w:pPr>
            <w:r>
              <w:rPr>
                <w:b/>
                <w:bCs/>
              </w:rPr>
              <w:t>(1.15, 1.35)</w:t>
            </w:r>
          </w:p>
        </w:tc>
      </w:tr>
    </w:tbl>
    <w:p w14:paraId="6BCCD2C5" w14:textId="041B8DE3" w:rsidR="00810B30" w:rsidRDefault="00810B30" w:rsidP="00992B24">
      <w:pPr>
        <w:pStyle w:val="TableFooter"/>
        <w:jc w:val="both"/>
      </w:pPr>
      <w:r>
        <w:t>Source: Matkin et al. (2019)</w:t>
      </w:r>
    </w:p>
    <w:p w14:paraId="2BBED384" w14:textId="77777777" w:rsidR="00810B30" w:rsidRDefault="00810B30" w:rsidP="00992B24">
      <w:pPr>
        <w:pStyle w:val="TableFooter"/>
        <w:jc w:val="both"/>
        <w:rPr>
          <w:i/>
        </w:rPr>
      </w:pPr>
      <w:r>
        <w:t>Abbreviations: CI = confidence interval; RCT = randomised controlled trial; RR = risk ratio</w:t>
      </w:r>
      <w:r w:rsidRPr="00061F78">
        <w:t xml:space="preserve"> </w:t>
      </w:r>
    </w:p>
    <w:p w14:paraId="52C543D9" w14:textId="50382F6E" w:rsidR="00810B30" w:rsidRDefault="00810B30" w:rsidP="00992B24">
      <w:pPr>
        <w:pStyle w:val="TableFooter"/>
        <w:spacing w:after="120"/>
        <w:contextualSpacing w:val="0"/>
        <w:jc w:val="both"/>
      </w:pPr>
      <w:r w:rsidRPr="00D468CF">
        <w:t>Note</w:t>
      </w:r>
      <w:r>
        <w:t>s</w:t>
      </w:r>
      <w:r w:rsidRPr="00D468CF">
        <w:t>: Bold indicates statistically significant difference.</w:t>
      </w:r>
      <w:r w:rsidRPr="00962408">
        <w:t xml:space="preserve"> See </w:t>
      </w:r>
      <w:r w:rsidRPr="008138B1">
        <w:t>Appendix</w:t>
      </w:r>
      <w:r w:rsidR="003772D9">
        <w:t xml:space="preserve"> </w:t>
      </w:r>
      <w:r w:rsidR="003772D9">
        <w:rPr>
          <w:highlight w:val="yellow"/>
        </w:rPr>
        <w:fldChar w:fldCharType="begin" w:fldLock="1"/>
      </w:r>
      <w:r w:rsidR="003772D9">
        <w:instrText xml:space="preserve"> REF _Ref62219489 \h </w:instrText>
      </w:r>
      <w:r w:rsidR="00992B24">
        <w:rPr>
          <w:highlight w:val="yellow"/>
        </w:rPr>
        <w:instrText xml:space="preserve"> \* MERGEFORMAT </w:instrText>
      </w:r>
      <w:r w:rsidR="003772D9">
        <w:rPr>
          <w:highlight w:val="yellow"/>
        </w:rPr>
      </w:r>
      <w:r w:rsidR="003772D9">
        <w:rPr>
          <w:highlight w:val="yellow"/>
        </w:rPr>
        <w:fldChar w:fldCharType="separate"/>
      </w:r>
      <w:r w:rsidR="00EC5CC7">
        <w:t xml:space="preserve">Figure </w:t>
      </w:r>
      <w:r w:rsidR="00EC5CC7">
        <w:rPr>
          <w:noProof/>
        </w:rPr>
        <w:t>114</w:t>
      </w:r>
      <w:r w:rsidR="003772D9">
        <w:rPr>
          <w:highlight w:val="yellow"/>
        </w:rPr>
        <w:fldChar w:fldCharType="end"/>
      </w:r>
      <w:r w:rsidRPr="00962408">
        <w:t xml:space="preserve"> for forest plot</w:t>
      </w:r>
      <w:r>
        <w:t xml:space="preserve"> </w:t>
      </w:r>
      <w:r w:rsidRPr="00962408">
        <w:t>which included the results of individual studies</w:t>
      </w:r>
      <w:r>
        <w:t>, the results of other adjunctive interventions (</w:t>
      </w:r>
      <w:r w:rsidR="0099316A">
        <w:t>self-help or minimal intervention, brief intervention or counselling, incentives for smoking cessation)</w:t>
      </w:r>
      <w:r>
        <w:t xml:space="preserve"> subgroups were not presented in this table. </w:t>
      </w:r>
      <w:r>
        <w:br/>
        <w:t>1 Calculated by Cochrane Review authors using a random-effect model</w:t>
      </w:r>
      <w:r w:rsidR="005A689C">
        <w:t>.</w:t>
      </w:r>
    </w:p>
    <w:p w14:paraId="56FDD256" w14:textId="063E180E" w:rsidR="004127C5" w:rsidRDefault="00612758" w:rsidP="00992B24">
      <w:pPr>
        <w:pStyle w:val="Heading4"/>
        <w:numPr>
          <w:ilvl w:val="0"/>
          <w:numId w:val="0"/>
        </w:numPr>
        <w:spacing w:after="120"/>
        <w:jc w:val="both"/>
      </w:pPr>
      <w:r>
        <w:t>Summary of evidence for behavioural interventions in combination with pharmacotherapies</w:t>
      </w:r>
    </w:p>
    <w:p w14:paraId="46A705C1" w14:textId="6AAC7CA0" w:rsidR="00D55C07" w:rsidRDefault="00A10996" w:rsidP="00992B24">
      <w:pPr>
        <w:spacing w:after="120"/>
        <w:jc w:val="both"/>
      </w:pPr>
      <w:r>
        <w:t>The evidence presented from the six Cochrane Review</w:t>
      </w:r>
      <w:r w:rsidR="00333F55">
        <w:t>s</w:t>
      </w:r>
      <w:r>
        <w:t xml:space="preserve"> </w:t>
      </w:r>
      <w:r w:rsidR="00333F55" w:rsidRPr="00333F55">
        <w:t xml:space="preserve">(Lancaster 2017, Stead 2017, Carson-Chahhoud 2019, Hartmann-Boyce 2019, Livingstone-Banks 2019b, Matkin 2019) </w:t>
      </w:r>
      <w:r w:rsidR="003B1C88">
        <w:t>comparing</w:t>
      </w:r>
      <w:r w:rsidR="00333F55" w:rsidRPr="00333F55">
        <w:t xml:space="preserve"> </w:t>
      </w:r>
      <w:r w:rsidR="00333F55" w:rsidRPr="00333F55">
        <w:lastRenderedPageBreak/>
        <w:t xml:space="preserve">the efficacy of behavioural support </w:t>
      </w:r>
      <w:r w:rsidR="003B1C88">
        <w:t xml:space="preserve">with minimal or no behavioural interventions (both in combination with pharmacotherapies) </w:t>
      </w:r>
      <w:r w:rsidR="00333F55">
        <w:t>were inconclusive</w:t>
      </w:r>
      <w:r w:rsidR="00A57EE5">
        <w:t xml:space="preserve">, noting the </w:t>
      </w:r>
      <w:r w:rsidR="00017CAF">
        <w:t>different</w:t>
      </w:r>
      <w:r w:rsidR="00A57EE5">
        <w:t xml:space="preserve"> type</w:t>
      </w:r>
      <w:r w:rsidR="00017CAF">
        <w:t>s</w:t>
      </w:r>
      <w:r w:rsidR="00A57EE5">
        <w:t xml:space="preserve"> of behavioural interventions </w:t>
      </w:r>
      <w:r w:rsidR="00017CAF">
        <w:t>examined</w:t>
      </w:r>
      <w:r w:rsidR="00A57EE5">
        <w:t xml:space="preserve"> across the reviews</w:t>
      </w:r>
      <w:r w:rsidR="00333F55">
        <w:t xml:space="preserve">. </w:t>
      </w:r>
    </w:p>
    <w:p w14:paraId="44F0CCE3" w14:textId="7FB75D4C" w:rsidR="00D91015" w:rsidRDefault="00867C91" w:rsidP="00992B24">
      <w:pPr>
        <w:spacing w:after="120"/>
        <w:jc w:val="both"/>
      </w:pPr>
      <w:r>
        <w:t xml:space="preserve">The results </w:t>
      </w:r>
      <w:r w:rsidR="00635270">
        <w:t xml:space="preserve">of </w:t>
      </w:r>
      <w:r w:rsidR="00CB0E33">
        <w:t>long-term</w:t>
      </w:r>
      <w:r w:rsidR="00635270">
        <w:t xml:space="preserve"> smoking cessation rates </w:t>
      </w:r>
      <w:r>
        <w:t>from three Cochrane Reviews</w:t>
      </w:r>
      <w:r w:rsidR="001C38E3">
        <w:t xml:space="preserve"> (Lancaster 2017, Carson-Chahhoud 2019, </w:t>
      </w:r>
      <w:r w:rsidR="00B05DCD">
        <w:t>and Matkin</w:t>
      </w:r>
      <w:r w:rsidR="001C38E3">
        <w:t xml:space="preserve"> 2019)</w:t>
      </w:r>
      <w:r w:rsidR="00635270">
        <w:t xml:space="preserve"> were statistically significantly different, in favour of </w:t>
      </w:r>
      <w:r w:rsidR="00116AAF">
        <w:t>behavioural intervention</w:t>
      </w:r>
      <w:r w:rsidR="00510B48">
        <w:t xml:space="preserve"> when used</w:t>
      </w:r>
      <w:r w:rsidR="00116AAF">
        <w:t xml:space="preserve"> in combination with pharmacotherapies.</w:t>
      </w:r>
      <w:r w:rsidR="00F86A66">
        <w:t xml:space="preserve"> </w:t>
      </w:r>
      <w:r w:rsidR="00A70197">
        <w:t xml:space="preserve">The behavioural interventions were proactive telephone counselling, more intensive face-to-face behavioural interventions delivered by community pharmacy personnel, and </w:t>
      </w:r>
      <w:r w:rsidR="00882354">
        <w:t>individual face-to-face counselling by a trained smoking cessation counsellor.</w:t>
      </w:r>
      <w:r w:rsidR="00A70197">
        <w:t xml:space="preserve"> </w:t>
      </w:r>
      <w:r w:rsidR="00545742" w:rsidRPr="00545742">
        <w:t>The primary evidence previously considered by the PBAC for bup</w:t>
      </w:r>
      <w:r w:rsidR="00586226">
        <w:t>ropion</w:t>
      </w:r>
      <w:r w:rsidR="00545742" w:rsidRPr="00545742">
        <w:t>, var</w:t>
      </w:r>
      <w:r w:rsidR="00586226">
        <w:t>enicline</w:t>
      </w:r>
      <w:r w:rsidR="00545742" w:rsidRPr="00545742">
        <w:t>, and NRT patches included the provision of individual counselling sessions in addition to pharmacotherapy</w:t>
      </w:r>
      <w:r w:rsidR="00F64F5B">
        <w:t>.</w:t>
      </w:r>
    </w:p>
    <w:p w14:paraId="412EF170" w14:textId="0E433FBC" w:rsidR="004F436D" w:rsidRDefault="00C273F6" w:rsidP="00992B24">
      <w:pPr>
        <w:spacing w:after="120"/>
        <w:jc w:val="both"/>
      </w:pPr>
      <w:r>
        <w:t xml:space="preserve">In contrast, </w:t>
      </w:r>
      <w:r w:rsidR="00D833FE">
        <w:t xml:space="preserve">two of the Cochrane Reviews </w:t>
      </w:r>
      <w:r w:rsidR="001C38E3">
        <w:t xml:space="preserve">(Stead 2017, Livingstone-Banks 2019b) </w:t>
      </w:r>
      <w:r w:rsidR="00882354">
        <w:t xml:space="preserve">that </w:t>
      </w:r>
      <w:r w:rsidR="00F62242">
        <w:t>examined group therapy and print-based self-help materials in addition to NRT respectively</w:t>
      </w:r>
      <w:r w:rsidR="00882354">
        <w:t xml:space="preserve"> </w:t>
      </w:r>
      <w:r w:rsidR="00C85E63">
        <w:t>demonstrated no</w:t>
      </w:r>
      <w:r w:rsidR="00D833FE">
        <w:t xml:space="preserve"> statistically significant differen</w:t>
      </w:r>
      <w:r w:rsidR="00C85E63">
        <w:t xml:space="preserve">ce in </w:t>
      </w:r>
      <w:r w:rsidR="00D85AB2">
        <w:t xml:space="preserve">long-term </w:t>
      </w:r>
      <w:r w:rsidR="00C85E63">
        <w:t>smoking cessation rates</w:t>
      </w:r>
      <w:r w:rsidR="000176F8">
        <w:t xml:space="preserve"> between the two treatment arm</w:t>
      </w:r>
      <w:r w:rsidR="001C38E3">
        <w:t xml:space="preserve">s, noting that the results numerically favoured </w:t>
      </w:r>
      <w:r w:rsidR="007C3641">
        <w:t>the behavioural intervention in combination with pharmacotherapy treatment arm</w:t>
      </w:r>
      <w:r w:rsidR="00D833FE">
        <w:t>.</w:t>
      </w:r>
      <w:r w:rsidR="00D55C07">
        <w:t xml:space="preserve"> </w:t>
      </w:r>
    </w:p>
    <w:p w14:paraId="763BCB14" w14:textId="223DA1EF" w:rsidR="00612758" w:rsidRPr="00612758" w:rsidRDefault="00855984" w:rsidP="00992B24">
      <w:pPr>
        <w:spacing w:after="120"/>
        <w:jc w:val="both"/>
      </w:pPr>
      <w:r>
        <w:t xml:space="preserve">In Hartmann-Boyce et al. (2019), </w:t>
      </w:r>
      <w:r w:rsidR="000176F8">
        <w:t xml:space="preserve">a statistically significant improvement in </w:t>
      </w:r>
      <w:r w:rsidR="000D4301">
        <w:t>long-term</w:t>
      </w:r>
      <w:r w:rsidR="000176F8">
        <w:t xml:space="preserve"> smoking cessation rates was </w:t>
      </w:r>
      <w:r w:rsidR="00A56AFE">
        <w:t>observed in patients receiving</w:t>
      </w:r>
      <w:r w:rsidR="00F37D3B">
        <w:t xml:space="preserve"> more intensive</w:t>
      </w:r>
      <w:r w:rsidR="00A56AFE">
        <w:t xml:space="preserve"> behavioural intervention</w:t>
      </w:r>
      <w:r w:rsidR="00F37D3B">
        <w:t xml:space="preserve"> when used in combination with NRT or bupropion. There were no statistically significant difference</w:t>
      </w:r>
      <w:r w:rsidR="00F0521B">
        <w:t>s</w:t>
      </w:r>
      <w:r w:rsidR="00F37D3B">
        <w:t xml:space="preserve"> </w:t>
      </w:r>
      <w:r w:rsidR="004F436D">
        <w:t xml:space="preserve">in smoking cessation rates </w:t>
      </w:r>
      <w:r w:rsidR="003713BF">
        <w:t xml:space="preserve">between the more intensive and the less intensive arms </w:t>
      </w:r>
      <w:r w:rsidR="009C4327">
        <w:t xml:space="preserve">when used </w:t>
      </w:r>
      <w:r w:rsidR="00F0521B">
        <w:t>i</w:t>
      </w:r>
      <w:r w:rsidR="00F6127F">
        <w:t>n</w:t>
      </w:r>
      <w:r w:rsidR="006454CC">
        <w:t xml:space="preserve"> </w:t>
      </w:r>
      <w:r w:rsidR="009C4327">
        <w:t>combination with</w:t>
      </w:r>
      <w:r w:rsidR="006454CC">
        <w:t xml:space="preserve"> varenicline </w:t>
      </w:r>
      <w:r w:rsidR="009C4327">
        <w:t>or</w:t>
      </w:r>
      <w:r w:rsidR="006454CC">
        <w:t xml:space="preserve"> NRT </w:t>
      </w:r>
      <w:r w:rsidR="009C4327">
        <w:t>plus</w:t>
      </w:r>
      <w:r w:rsidR="006454CC">
        <w:t xml:space="preserve"> bupropion</w:t>
      </w:r>
      <w:r w:rsidR="00382159">
        <w:t>, which</w:t>
      </w:r>
      <w:r w:rsidR="00382159" w:rsidRPr="00382159">
        <w:t xml:space="preserve"> was likely due to the smaller number of studies leading to lower precision rather than a true difference in effect</w:t>
      </w:r>
      <w:r w:rsidR="009C4327">
        <w:t>.</w:t>
      </w:r>
      <w:r w:rsidR="006454CC">
        <w:t xml:space="preserve"> </w:t>
      </w:r>
      <w:r w:rsidR="00846FEB" w:rsidRPr="00846FEB">
        <w:t xml:space="preserve">The </w:t>
      </w:r>
      <w:r w:rsidR="00846FEB">
        <w:t xml:space="preserve">results of the </w:t>
      </w:r>
      <w:r w:rsidR="00846FEB" w:rsidRPr="00846FEB">
        <w:t xml:space="preserve">overall estimated pooled risk ratio </w:t>
      </w:r>
      <w:r w:rsidR="0010423B">
        <w:t>irrespective of the</w:t>
      </w:r>
      <w:r w:rsidR="00846FEB" w:rsidRPr="00846FEB">
        <w:t xml:space="preserve"> type of pharmacotherapy</w:t>
      </w:r>
      <w:r w:rsidR="00846FEB">
        <w:t xml:space="preserve"> (PBS-listed and non-PBS listed) were statistically significant</w:t>
      </w:r>
      <w:r w:rsidR="0010423B">
        <w:t>ly different, in favour of the more intensive behavioural intervention</w:t>
      </w:r>
      <w:r w:rsidR="00826C95">
        <w:t xml:space="preserve">. </w:t>
      </w:r>
    </w:p>
    <w:p w14:paraId="04244AB9" w14:textId="3AA33ECE" w:rsidR="00612758" w:rsidRPr="00612758" w:rsidRDefault="00612758" w:rsidP="00612758"/>
    <w:p w14:paraId="66E447B7" w14:textId="77777777" w:rsidR="004127C5" w:rsidRDefault="004127C5" w:rsidP="004127C5">
      <w:pPr>
        <w:rPr>
          <w:highlight w:val="yellow"/>
        </w:rPr>
      </w:pPr>
    </w:p>
    <w:p w14:paraId="3F9133C5" w14:textId="77777777" w:rsidR="004127C5" w:rsidRDefault="004127C5" w:rsidP="004127C5">
      <w:pPr>
        <w:rPr>
          <w:highlight w:val="yellow"/>
        </w:rPr>
      </w:pPr>
    </w:p>
    <w:p w14:paraId="35478ADB" w14:textId="5EA01D4E" w:rsidR="004127C5" w:rsidRPr="004127C5" w:rsidRDefault="004127C5" w:rsidP="004127C5">
      <w:pPr>
        <w:rPr>
          <w:highlight w:val="yellow"/>
        </w:rPr>
        <w:sectPr w:rsidR="004127C5" w:rsidRPr="004127C5" w:rsidSect="006356D2">
          <w:pgSz w:w="11906" w:h="16838"/>
          <w:pgMar w:top="1440" w:right="1440" w:bottom="1440" w:left="1440" w:header="708" w:footer="708" w:gutter="0"/>
          <w:cols w:space="708"/>
          <w:titlePg/>
          <w:docGrid w:linePitch="360"/>
        </w:sectPr>
      </w:pPr>
    </w:p>
    <w:p w14:paraId="33286C52" w14:textId="180C8DDF" w:rsidR="00816F95" w:rsidRDefault="00504801" w:rsidP="00992B24">
      <w:pPr>
        <w:pStyle w:val="Heading3"/>
        <w:spacing w:before="0" w:after="120"/>
        <w:jc w:val="both"/>
      </w:pPr>
      <w:bookmarkStart w:id="214" w:name="_Ref61966694"/>
      <w:bookmarkStart w:id="215" w:name="_Ref61966770"/>
      <w:bookmarkStart w:id="216" w:name="_Toc115254515"/>
      <w:r>
        <w:lastRenderedPageBreak/>
        <w:t>P</w:t>
      </w:r>
      <w:r w:rsidR="00816F95">
        <w:t>opulations</w:t>
      </w:r>
      <w:bookmarkEnd w:id="214"/>
      <w:bookmarkEnd w:id="215"/>
      <w:r>
        <w:t xml:space="preserve"> who have specific needs</w:t>
      </w:r>
      <w:bookmarkEnd w:id="216"/>
    </w:p>
    <w:p w14:paraId="5E84CEA7" w14:textId="10BBB6C1" w:rsidR="00C4240C" w:rsidRDefault="00C4240C" w:rsidP="00992B24">
      <w:pPr>
        <w:spacing w:after="120"/>
        <w:jc w:val="both"/>
      </w:pPr>
      <w:r>
        <w:t>Th</w:t>
      </w:r>
      <w:r w:rsidR="00D9524F">
        <w:t>e aim of this</w:t>
      </w:r>
      <w:r>
        <w:t xml:space="preserve"> section </w:t>
      </w:r>
      <w:r w:rsidR="00D9524F">
        <w:t>was</w:t>
      </w:r>
      <w:r>
        <w:t xml:space="preserve"> to e</w:t>
      </w:r>
      <w:r w:rsidRPr="00C4240C">
        <w:t xml:space="preserve">xamine the evidence of efficacy and safety of smoking cessation medicines </w:t>
      </w:r>
      <w:r w:rsidR="00C21A15">
        <w:t>for populations</w:t>
      </w:r>
      <w:r w:rsidR="00FB1B11">
        <w:t xml:space="preserve"> who have specific needs</w:t>
      </w:r>
      <w:r>
        <w:t>.</w:t>
      </w:r>
    </w:p>
    <w:p w14:paraId="0DC5FF99" w14:textId="0C5EB700" w:rsidR="00B155B2" w:rsidRDefault="004A3275" w:rsidP="00992B24">
      <w:pPr>
        <w:spacing w:after="120"/>
        <w:jc w:val="both"/>
      </w:pPr>
      <w:r w:rsidRPr="004A3275">
        <w:t xml:space="preserve">Most of the national and international guidelines </w:t>
      </w:r>
      <w:r w:rsidR="00B155B2">
        <w:t xml:space="preserve">identified in ToR 1 </w:t>
      </w:r>
      <w:r w:rsidRPr="004A3275">
        <w:t xml:space="preserve">addressed the general population (all smokers) within the targeted setting. While populations </w:t>
      </w:r>
      <w:r w:rsidR="00FB1B11">
        <w:t xml:space="preserve">with specific needs </w:t>
      </w:r>
      <w:r w:rsidRPr="004A3275">
        <w:t xml:space="preserve">were mentioned in many national and international guidelines, the overall approach to pharmacotherapies for smoking cessation did not markedly differ aside from observing drug-specific precautions or contraindications. The only exceptions were in pregnancy and breastfeeding women, and adolescents. </w:t>
      </w:r>
    </w:p>
    <w:p w14:paraId="5322E66F" w14:textId="134B028F" w:rsidR="004A3275" w:rsidRPr="005B74B5" w:rsidRDefault="004A3275" w:rsidP="00992B24">
      <w:pPr>
        <w:spacing w:after="120"/>
        <w:jc w:val="both"/>
      </w:pPr>
      <w:r w:rsidRPr="004A3275">
        <w:t>For pregnancy and breastfeeding</w:t>
      </w:r>
      <w:r w:rsidR="00B155B2">
        <w:t>,</w:t>
      </w:r>
      <w:r w:rsidRPr="004A3275">
        <w:t xml:space="preserve"> there was consensus that pharmacotherapy should be </w:t>
      </w:r>
      <w:r w:rsidR="00826C95" w:rsidRPr="004A3275">
        <w:t>avoided,</w:t>
      </w:r>
      <w:r w:rsidRPr="004A3275">
        <w:t xml:space="preserve"> if possible, but if smoking cessation could not be achieved with behavioural support alone, then NRT was the preferred pharmacotherapy (specifically short-acting options if possible). For adolescents, there was general agreement that NRT could be used if needed.</w:t>
      </w:r>
    </w:p>
    <w:p w14:paraId="33C05B17" w14:textId="5B1B6EFF" w:rsidR="00816F95" w:rsidRDefault="00816F95" w:rsidP="00992B24">
      <w:pPr>
        <w:pStyle w:val="Heading4"/>
        <w:numPr>
          <w:ilvl w:val="0"/>
          <w:numId w:val="0"/>
        </w:numPr>
        <w:spacing w:after="120"/>
        <w:jc w:val="both"/>
      </w:pPr>
      <w:r>
        <w:t>Pregnancy and lactation</w:t>
      </w:r>
    </w:p>
    <w:p w14:paraId="21B07E54" w14:textId="5104E941" w:rsidR="004935B2" w:rsidRDefault="00142590" w:rsidP="00992B24">
      <w:pPr>
        <w:spacing w:after="120"/>
        <w:jc w:val="both"/>
      </w:pPr>
      <w:r w:rsidRPr="00CC6C58">
        <w:t xml:space="preserve">A summary of the citation details for the studies </w:t>
      </w:r>
      <w:r w:rsidR="005B74B5">
        <w:t>evaluating</w:t>
      </w:r>
      <w:r w:rsidRPr="00CC6C58">
        <w:t xml:space="preserve"> </w:t>
      </w:r>
      <w:r w:rsidR="003544F9">
        <w:t xml:space="preserve">the efficacy and safety of </w:t>
      </w:r>
      <w:r w:rsidR="00595D95">
        <w:t xml:space="preserve">smoking cessation </w:t>
      </w:r>
      <w:r w:rsidR="005B74B5">
        <w:t>pharmacotherap</w:t>
      </w:r>
      <w:r w:rsidR="00595D95">
        <w:t>ies</w:t>
      </w:r>
      <w:r w:rsidR="005B74B5">
        <w:t xml:space="preserve"> </w:t>
      </w:r>
      <w:r w:rsidR="00057C98">
        <w:t>used</w:t>
      </w:r>
      <w:r w:rsidR="005B74B5">
        <w:t xml:space="preserve"> </w:t>
      </w:r>
      <w:r w:rsidR="00057C98">
        <w:t>in later pregnancy and after childbirth</w:t>
      </w:r>
      <w:r w:rsidRPr="00CC6C58">
        <w:t xml:space="preserve"> is presented in</w:t>
      </w:r>
      <w:r w:rsidR="007A7C74">
        <w:t xml:space="preserve"> </w:t>
      </w:r>
      <w:r w:rsidR="00EE2FFC">
        <w:fldChar w:fldCharType="begin" w:fldLock="1"/>
      </w:r>
      <w:r w:rsidR="00EE2FFC">
        <w:instrText xml:space="preserve"> REF _Ref61868413 \h </w:instrText>
      </w:r>
      <w:r w:rsidR="00EE2FFC">
        <w:fldChar w:fldCharType="separate"/>
      </w:r>
      <w:r w:rsidR="00EC5CC7">
        <w:t xml:space="preserve">Table </w:t>
      </w:r>
      <w:r w:rsidR="00EC5CC7">
        <w:rPr>
          <w:noProof/>
        </w:rPr>
        <w:t>125</w:t>
      </w:r>
      <w:r w:rsidR="00EE2FFC">
        <w:fldChar w:fldCharType="end"/>
      </w:r>
      <w:r w:rsidR="00E10688">
        <w:t xml:space="preserve">. </w:t>
      </w:r>
      <w:r w:rsidR="00E10688" w:rsidRPr="00CC6C58">
        <w:t xml:space="preserve">A recently conducted Cochrane </w:t>
      </w:r>
      <w:r w:rsidR="00B75400" w:rsidRPr="00CC6C58">
        <w:t>R</w:t>
      </w:r>
      <w:r w:rsidR="00E10688" w:rsidRPr="00CC6C58">
        <w:t xml:space="preserve">eview by </w:t>
      </w:r>
      <w:r w:rsidR="00E10688">
        <w:t>Claire</w:t>
      </w:r>
      <w:r w:rsidR="00E10688" w:rsidRPr="00CC6C58">
        <w:t xml:space="preserve"> et al. (20</w:t>
      </w:r>
      <w:r w:rsidR="00E10688">
        <w:t>20</w:t>
      </w:r>
      <w:r w:rsidR="00E10688" w:rsidRPr="00CC6C58">
        <w:t xml:space="preserve">) was identified in the systematic literature review that compared </w:t>
      </w:r>
      <w:r w:rsidR="00595D95">
        <w:t>smoking cessation pharmacotherapies during pregnancy</w:t>
      </w:r>
      <w:r w:rsidR="00E10688" w:rsidRPr="00CC6C58">
        <w:t>.</w:t>
      </w:r>
      <w:r w:rsidR="001D7118">
        <w:t xml:space="preserve"> </w:t>
      </w:r>
    </w:p>
    <w:p w14:paraId="36657DFB" w14:textId="58BD2379" w:rsidR="008A04E9" w:rsidRDefault="008A04E9" w:rsidP="00992B24">
      <w:pPr>
        <w:pStyle w:val="Caption"/>
        <w:keepNext/>
        <w:spacing w:before="0" w:after="120"/>
        <w:jc w:val="both"/>
      </w:pPr>
      <w:bookmarkStart w:id="217" w:name="_Ref61868413"/>
      <w:r>
        <w:t xml:space="preserve">Table </w:t>
      </w:r>
      <w:r w:rsidR="00BF3F75">
        <w:fldChar w:fldCharType="begin"/>
      </w:r>
      <w:r w:rsidR="00BF3F75">
        <w:instrText xml:space="preserve"> SEQ Table \* ARABIC </w:instrText>
      </w:r>
      <w:r w:rsidR="00BF3F75">
        <w:fldChar w:fldCharType="separate"/>
      </w:r>
      <w:r w:rsidR="00EC5CC7">
        <w:rPr>
          <w:noProof/>
        </w:rPr>
        <w:t>125</w:t>
      </w:r>
      <w:r w:rsidR="00BF3F75">
        <w:rPr>
          <w:noProof/>
        </w:rPr>
        <w:fldChar w:fldCharType="end"/>
      </w:r>
      <w:bookmarkEnd w:id="217"/>
      <w:r>
        <w:t xml:space="preserve">: </w:t>
      </w:r>
      <w:r w:rsidRPr="009C6EAA">
        <w:t>List of studies evaluating pharmacotherapy for smoking cessation during pregnancy/lactation</w:t>
      </w:r>
    </w:p>
    <w:tbl>
      <w:tblPr>
        <w:tblStyle w:val="TableGrid"/>
        <w:tblW w:w="0" w:type="auto"/>
        <w:tblLook w:val="04A0" w:firstRow="1" w:lastRow="0" w:firstColumn="1" w:lastColumn="0" w:noHBand="0" w:noVBand="1"/>
      </w:tblPr>
      <w:tblGrid>
        <w:gridCol w:w="1530"/>
        <w:gridCol w:w="7486"/>
      </w:tblGrid>
      <w:tr w:rsidR="00D17542" w14:paraId="33141A35" w14:textId="77777777" w:rsidTr="005C5DEA">
        <w:tc>
          <w:tcPr>
            <w:tcW w:w="1530" w:type="dxa"/>
            <w:shd w:val="clear" w:color="auto" w:fill="BFBFBF" w:themeFill="background1" w:themeFillShade="BF"/>
          </w:tcPr>
          <w:p w14:paraId="0C83BACA" w14:textId="5B42AD50" w:rsidR="00D17542" w:rsidRPr="00965D0C" w:rsidRDefault="008A04E9" w:rsidP="00965D0C">
            <w:pPr>
              <w:pStyle w:val="Tablewriting"/>
              <w:rPr>
                <w:b/>
                <w:bCs/>
              </w:rPr>
            </w:pPr>
            <w:r>
              <w:rPr>
                <w:b/>
                <w:bCs/>
              </w:rPr>
              <w:t>Study</w:t>
            </w:r>
          </w:p>
        </w:tc>
        <w:tc>
          <w:tcPr>
            <w:tcW w:w="7486" w:type="dxa"/>
            <w:shd w:val="clear" w:color="auto" w:fill="BFBFBF" w:themeFill="background1" w:themeFillShade="BF"/>
          </w:tcPr>
          <w:p w14:paraId="34A18265" w14:textId="08162166" w:rsidR="00D17542" w:rsidRPr="00965D0C" w:rsidRDefault="003E66A8" w:rsidP="00965D0C">
            <w:pPr>
              <w:pStyle w:val="Tablewriting"/>
              <w:jc w:val="center"/>
              <w:rPr>
                <w:b/>
                <w:bCs/>
              </w:rPr>
            </w:pPr>
            <w:r w:rsidRPr="00965D0C">
              <w:rPr>
                <w:b/>
                <w:bCs/>
              </w:rPr>
              <w:t>Citation</w:t>
            </w:r>
          </w:p>
        </w:tc>
      </w:tr>
      <w:tr w:rsidR="00D17542" w14:paraId="13961F9D" w14:textId="77777777" w:rsidTr="005C5DEA">
        <w:tc>
          <w:tcPr>
            <w:tcW w:w="1530" w:type="dxa"/>
          </w:tcPr>
          <w:p w14:paraId="61773823" w14:textId="77777777" w:rsidR="008A04E9" w:rsidRDefault="00612C5C" w:rsidP="008A04E9">
            <w:pPr>
              <w:pStyle w:val="Tablewriting"/>
            </w:pPr>
            <w:r>
              <w:t xml:space="preserve">Claire </w:t>
            </w:r>
          </w:p>
          <w:p w14:paraId="253E41F7" w14:textId="17B736B1" w:rsidR="00D17542" w:rsidRDefault="008A04E9" w:rsidP="00965D0C">
            <w:pPr>
              <w:pStyle w:val="Tablewriting"/>
            </w:pPr>
            <w:r>
              <w:t>(</w:t>
            </w:r>
            <w:r w:rsidR="00612C5C">
              <w:t>2020</w:t>
            </w:r>
            <w:r>
              <w:t>)</w:t>
            </w:r>
            <w:hyperlink w:anchor="_ENREF_61" w:tooltip="Claire, 2020 #649" w:history="1">
              <w:r w:rsidR="0039468B">
                <w:fldChar w:fldCharType="begin">
                  <w:fldData xml:space="preserve">PEVuZE5vdGU+PENpdGU+PEF1dGhvcj5DbGFpcmU8L0F1dGhvcj48WWVhcj4yMDIwPC9ZZWFyPjxS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</w:fldData>
                </w:fldChar>
              </w:r>
              <w:r w:rsidR="0039468B">
                <w:instrText xml:space="preserve"> ADDIN EN.CITE </w:instrText>
              </w:r>
              <w:r w:rsidR="0039468B">
                <w:fldChar w:fldCharType="begin">
                  <w:fldData xml:space="preserve">PEVuZE5vdGU+PENpdGU+PEF1dGhvcj5DbGFpcmU8L0F1dGhvcj48WWVhcj4yMDIwPC9ZZWFyPjxS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</w:fldData>
                </w:fldChar>
              </w:r>
              <w:r w:rsidR="0039468B">
                <w:instrText xml:space="preserve"> ADDIN EN.CITE.DATA </w:instrText>
              </w:r>
              <w:r w:rsidR="0039468B">
                <w:fldChar w:fldCharType="end"/>
              </w:r>
              <w:r w:rsidR="0039468B">
                <w:fldChar w:fldCharType="separate"/>
              </w:r>
              <w:r w:rsidR="0039468B" w:rsidRPr="0039468B">
                <w:rPr>
                  <w:noProof/>
                  <w:vertAlign w:val="superscript"/>
                </w:rPr>
                <w:t>61</w:t>
              </w:r>
              <w:r w:rsidR="0039468B">
                <w:fldChar w:fldCharType="end"/>
              </w:r>
            </w:hyperlink>
          </w:p>
        </w:tc>
        <w:tc>
          <w:tcPr>
            <w:tcW w:w="7486" w:type="dxa"/>
          </w:tcPr>
          <w:p w14:paraId="60756AFC" w14:textId="51DDE92E" w:rsidR="00D17542" w:rsidRDefault="00612C5C" w:rsidP="00965D0C">
            <w:pPr>
              <w:pStyle w:val="Tablewriting"/>
            </w:pPr>
            <w:r w:rsidRPr="00612C5C">
              <w:t>Claire</w:t>
            </w:r>
            <w:r>
              <w:t xml:space="preserve"> </w:t>
            </w:r>
            <w:r w:rsidRPr="00612C5C">
              <w:t>R, Chamberlain</w:t>
            </w:r>
            <w:r>
              <w:t xml:space="preserve"> </w:t>
            </w:r>
            <w:r w:rsidRPr="00612C5C">
              <w:t>C, Davey</w:t>
            </w:r>
            <w:r>
              <w:t xml:space="preserve"> </w:t>
            </w:r>
            <w:r w:rsidRPr="00612C5C">
              <w:t>MA, Cooper</w:t>
            </w:r>
            <w:r>
              <w:t xml:space="preserve"> </w:t>
            </w:r>
            <w:r w:rsidRPr="00612C5C">
              <w:t>SE, Berlin</w:t>
            </w:r>
            <w:r>
              <w:t xml:space="preserve"> </w:t>
            </w:r>
            <w:r w:rsidRPr="00612C5C">
              <w:t>I, Leonardi-Bee</w:t>
            </w:r>
            <w:r>
              <w:t xml:space="preserve"> </w:t>
            </w:r>
            <w:r w:rsidRPr="00612C5C">
              <w:t>J, Coleman</w:t>
            </w:r>
            <w:r>
              <w:t xml:space="preserve"> </w:t>
            </w:r>
            <w:r w:rsidRPr="00612C5C">
              <w:t>T. Pharmacological interventions for promoting smoking cessation during pregnancy. Cochrane Database of Systematic Reviews 2020, Issue 3. Art. No.: CD010078. DOI: 10.1002/14651858.CD010078.pub3.</w:t>
            </w:r>
          </w:p>
        </w:tc>
      </w:tr>
    </w:tbl>
    <w:p w14:paraId="7AFCFABD" w14:textId="0B81FA49" w:rsidR="00EE2FFC" w:rsidRDefault="00EE2FFC" w:rsidP="00485E09">
      <w:pPr>
        <w:spacing w:before="120" w:after="120"/>
        <w:jc w:val="both"/>
      </w:pPr>
      <w:r w:rsidRPr="00EE2FFC">
        <w:t>A summary of the characteristics of the studies evaluating pharmacotherapy for smoking cessation during pregnancy</w:t>
      </w:r>
      <w:r>
        <w:t xml:space="preserve"> and </w:t>
      </w:r>
      <w:r w:rsidRPr="00EE2FFC">
        <w:t>lactation</w:t>
      </w:r>
      <w:r>
        <w:t xml:space="preserve"> is presented in</w:t>
      </w:r>
      <w:r w:rsidR="00485E09">
        <w:t xml:space="preserve"> Table 126. </w:t>
      </w:r>
      <w:r w:rsidRPr="00EE2FFC">
        <w:t xml:space="preserve">A total of </w:t>
      </w:r>
      <w:r w:rsidR="00965D0C">
        <w:t>11</w:t>
      </w:r>
      <w:r w:rsidRPr="00EE2FFC">
        <w:t xml:space="preserve"> RCTs were identified by </w:t>
      </w:r>
      <w:r w:rsidR="005C5DEA">
        <w:t>Claire</w:t>
      </w:r>
      <w:r w:rsidRPr="00EE2FFC">
        <w:t xml:space="preserve"> et al. (2020). </w:t>
      </w:r>
      <w:r w:rsidR="00F95509" w:rsidRPr="00F95509">
        <w:t>Nine studies investigated the efficacy and safety of different forms of NRT (</w:t>
      </w:r>
      <w:r w:rsidR="00485E09">
        <w:t>six</w:t>
      </w:r>
      <w:r w:rsidR="00F95509" w:rsidRPr="00F95509">
        <w:t xml:space="preserve"> studies, patch; </w:t>
      </w:r>
      <w:r w:rsidR="00485E09">
        <w:t>one</w:t>
      </w:r>
      <w:r w:rsidR="00F95509" w:rsidRPr="00F95509">
        <w:t xml:space="preserve"> study, gum; </w:t>
      </w:r>
      <w:r w:rsidR="00485E09">
        <w:t>one</w:t>
      </w:r>
      <w:r w:rsidR="00F95509" w:rsidRPr="00F95509">
        <w:t xml:space="preserve"> study, inhaler; </w:t>
      </w:r>
      <w:r w:rsidR="00485E09">
        <w:t>one</w:t>
      </w:r>
      <w:r w:rsidR="00F95509" w:rsidRPr="00F95509">
        <w:t xml:space="preserve"> study; patch or gum or </w:t>
      </w:r>
      <w:r w:rsidR="00573F59">
        <w:t>lozenges</w:t>
      </w:r>
      <w:r w:rsidR="00F95509" w:rsidRPr="00F95509">
        <w:t>) as an adjunct to behavioural support</w:t>
      </w:r>
      <w:r w:rsidR="00F95509">
        <w:t xml:space="preserve"> while t</w:t>
      </w:r>
      <w:r w:rsidR="00F95509" w:rsidRPr="00F95509">
        <w:t>wo studies investigated bupropion.</w:t>
      </w:r>
      <w:r w:rsidR="00F95509">
        <w:t xml:space="preserve"> </w:t>
      </w:r>
      <w:r w:rsidRPr="00EE2FFC">
        <w:t xml:space="preserve">The characteristics of the individual studies are presented in </w:t>
      </w:r>
      <w:r w:rsidRPr="008138B1">
        <w:t>Appendix</w:t>
      </w:r>
      <w:r w:rsidR="00560D47">
        <w:t xml:space="preserve"> Table 165.</w:t>
      </w:r>
    </w:p>
    <w:p w14:paraId="32F27900" w14:textId="77777777" w:rsidR="00992B24" w:rsidRDefault="00992B24">
      <w:pPr>
        <w:spacing w:line="276" w:lineRule="auto"/>
        <w:rPr>
          <w:rFonts w:asciiTheme="minorHAnsi" w:eastAsia="Times New Roman" w:hAnsiTheme="minorHAnsi" w:cs="Times New Roman"/>
          <w:b/>
          <w:bCs/>
          <w:szCs w:val="18"/>
        </w:rPr>
      </w:pPr>
      <w:bookmarkStart w:id="218" w:name="_Ref61869165"/>
      <w:r>
        <w:br w:type="page"/>
      </w:r>
    </w:p>
    <w:p w14:paraId="22859123" w14:textId="01BCE1DC" w:rsidR="005C5DEA" w:rsidRDefault="005C5DEA" w:rsidP="00992B24">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126</w:t>
      </w:r>
      <w:r w:rsidR="00BF3F75">
        <w:rPr>
          <w:noProof/>
        </w:rPr>
        <w:fldChar w:fldCharType="end"/>
      </w:r>
      <w:bookmarkEnd w:id="218"/>
      <w:r>
        <w:t xml:space="preserve">: </w:t>
      </w:r>
      <w:r w:rsidRPr="009C354B">
        <w:t>Characteristics of the studies evaluating pharmacotherapy for smoking cessation during pregnancy/lactation</w:t>
      </w:r>
    </w:p>
    <w:tbl>
      <w:tblPr>
        <w:tblStyle w:val="TableGrid"/>
        <w:tblW w:w="0" w:type="auto"/>
        <w:tblLook w:val="04A0" w:firstRow="1" w:lastRow="0" w:firstColumn="1" w:lastColumn="0" w:noHBand="0" w:noVBand="1"/>
      </w:tblPr>
      <w:tblGrid>
        <w:gridCol w:w="846"/>
        <w:gridCol w:w="1276"/>
        <w:gridCol w:w="1134"/>
        <w:gridCol w:w="1417"/>
        <w:gridCol w:w="2693"/>
        <w:gridCol w:w="1650"/>
      </w:tblGrid>
      <w:tr w:rsidR="00370B83" w14:paraId="27CAE18B" w14:textId="77777777" w:rsidTr="00253718">
        <w:tc>
          <w:tcPr>
            <w:tcW w:w="846" w:type="dxa"/>
            <w:shd w:val="clear" w:color="auto" w:fill="BFBFBF" w:themeFill="background1" w:themeFillShade="BF"/>
          </w:tcPr>
          <w:p w14:paraId="196105E9" w14:textId="77777777" w:rsidR="00050F29" w:rsidRPr="005C5DEA" w:rsidRDefault="00050F29" w:rsidP="005C5DEA">
            <w:pPr>
              <w:pStyle w:val="Tablewriting"/>
              <w:rPr>
                <w:b/>
                <w:bCs/>
              </w:rPr>
            </w:pPr>
            <w:r w:rsidRPr="005C5DEA">
              <w:rPr>
                <w:b/>
                <w:bCs/>
              </w:rPr>
              <w:t>Study</w:t>
            </w:r>
          </w:p>
        </w:tc>
        <w:tc>
          <w:tcPr>
            <w:tcW w:w="1276" w:type="dxa"/>
            <w:shd w:val="clear" w:color="auto" w:fill="BFBFBF" w:themeFill="background1" w:themeFillShade="BF"/>
          </w:tcPr>
          <w:p w14:paraId="3A2C6C0D" w14:textId="77777777" w:rsidR="00050F29" w:rsidRPr="005C5DEA" w:rsidRDefault="00050F29" w:rsidP="005C5DEA">
            <w:pPr>
              <w:pStyle w:val="Tablewriting"/>
              <w:jc w:val="center"/>
              <w:rPr>
                <w:b/>
                <w:bCs/>
              </w:rPr>
            </w:pPr>
            <w:r w:rsidRPr="005C5DEA">
              <w:rPr>
                <w:b/>
                <w:bCs/>
              </w:rPr>
              <w:t>Study Type</w:t>
            </w:r>
          </w:p>
        </w:tc>
        <w:tc>
          <w:tcPr>
            <w:tcW w:w="1134" w:type="dxa"/>
            <w:shd w:val="clear" w:color="auto" w:fill="BFBFBF" w:themeFill="background1" w:themeFillShade="BF"/>
          </w:tcPr>
          <w:p w14:paraId="5539EF3C" w14:textId="7DD10BAC" w:rsidR="00050F29" w:rsidRPr="00F95509" w:rsidRDefault="00050F29" w:rsidP="005C5DEA">
            <w:pPr>
              <w:pStyle w:val="Tablewriting"/>
              <w:jc w:val="center"/>
              <w:rPr>
                <w:b/>
                <w:bCs/>
                <w:vertAlign w:val="superscript"/>
              </w:rPr>
            </w:pPr>
            <w:r w:rsidRPr="005C5DEA">
              <w:rPr>
                <w:b/>
                <w:bCs/>
              </w:rPr>
              <w:t>N</w:t>
            </w:r>
            <w:r w:rsidR="00F95509">
              <w:rPr>
                <w:b/>
                <w:bCs/>
                <w:vertAlign w:val="superscript"/>
              </w:rPr>
              <w:t>1</w:t>
            </w:r>
          </w:p>
        </w:tc>
        <w:tc>
          <w:tcPr>
            <w:tcW w:w="1417" w:type="dxa"/>
            <w:shd w:val="clear" w:color="auto" w:fill="BFBFBF" w:themeFill="background1" w:themeFillShade="BF"/>
          </w:tcPr>
          <w:p w14:paraId="2A9BB9B3" w14:textId="77777777" w:rsidR="00050F29" w:rsidRPr="005C5DEA" w:rsidRDefault="00050F29" w:rsidP="005C5DEA">
            <w:pPr>
              <w:pStyle w:val="Tablewriting"/>
              <w:jc w:val="center"/>
              <w:rPr>
                <w:b/>
                <w:bCs/>
              </w:rPr>
            </w:pPr>
            <w:r w:rsidRPr="005C5DEA">
              <w:rPr>
                <w:b/>
                <w:bCs/>
              </w:rPr>
              <w:t>Population</w:t>
            </w:r>
          </w:p>
        </w:tc>
        <w:tc>
          <w:tcPr>
            <w:tcW w:w="2693" w:type="dxa"/>
            <w:shd w:val="clear" w:color="auto" w:fill="BFBFBF" w:themeFill="background1" w:themeFillShade="BF"/>
          </w:tcPr>
          <w:p w14:paraId="332FC6E5" w14:textId="77777777" w:rsidR="00050F29" w:rsidRPr="005C5DEA" w:rsidRDefault="00050F29" w:rsidP="005C5DEA">
            <w:pPr>
              <w:pStyle w:val="Tablewriting"/>
              <w:jc w:val="center"/>
              <w:rPr>
                <w:b/>
                <w:bCs/>
              </w:rPr>
            </w:pPr>
            <w:r w:rsidRPr="005C5DEA">
              <w:rPr>
                <w:b/>
                <w:bCs/>
              </w:rPr>
              <w:t>Intervention and comparator</w:t>
            </w:r>
          </w:p>
        </w:tc>
        <w:tc>
          <w:tcPr>
            <w:tcW w:w="1650" w:type="dxa"/>
            <w:shd w:val="clear" w:color="auto" w:fill="BFBFBF" w:themeFill="background1" w:themeFillShade="BF"/>
          </w:tcPr>
          <w:p w14:paraId="4AEE01E1" w14:textId="77777777" w:rsidR="00050F29" w:rsidRPr="005C5DEA" w:rsidRDefault="00050F29" w:rsidP="005C5DEA">
            <w:pPr>
              <w:pStyle w:val="Tablewriting"/>
              <w:jc w:val="center"/>
              <w:rPr>
                <w:b/>
                <w:bCs/>
              </w:rPr>
            </w:pPr>
            <w:r w:rsidRPr="005C5DEA">
              <w:rPr>
                <w:b/>
                <w:bCs/>
              </w:rPr>
              <w:t>Outcomes</w:t>
            </w:r>
          </w:p>
        </w:tc>
      </w:tr>
      <w:tr w:rsidR="00253718" w14:paraId="7F93CEE1" w14:textId="77777777" w:rsidTr="00253718">
        <w:tc>
          <w:tcPr>
            <w:tcW w:w="846" w:type="dxa"/>
          </w:tcPr>
          <w:p w14:paraId="60BEC840" w14:textId="77777777" w:rsidR="00EE2FFC" w:rsidRDefault="00050F29" w:rsidP="00EE2FFC">
            <w:pPr>
              <w:pStyle w:val="Tablewriting"/>
            </w:pPr>
            <w:r>
              <w:t xml:space="preserve">Claire </w:t>
            </w:r>
          </w:p>
          <w:p w14:paraId="2D3B4BF1" w14:textId="50984032" w:rsidR="00050F29" w:rsidRDefault="00EE2FFC" w:rsidP="005C5DEA">
            <w:pPr>
              <w:pStyle w:val="Tablewriting"/>
            </w:pPr>
            <w:r>
              <w:t>(</w:t>
            </w:r>
            <w:r w:rsidR="00050F29">
              <w:t>2020</w:t>
            </w:r>
            <w:r>
              <w:t>)</w:t>
            </w:r>
          </w:p>
        </w:tc>
        <w:tc>
          <w:tcPr>
            <w:tcW w:w="1276" w:type="dxa"/>
          </w:tcPr>
          <w:p w14:paraId="27CB17A7" w14:textId="77777777" w:rsidR="00EE2FFC" w:rsidRDefault="00050F29" w:rsidP="00EE2FFC">
            <w:pPr>
              <w:pStyle w:val="Tablewriting"/>
            </w:pPr>
            <w:r>
              <w:t xml:space="preserve">Cochrane Review </w:t>
            </w:r>
          </w:p>
          <w:p w14:paraId="56DD2A1A" w14:textId="57B9D199" w:rsidR="00050F29" w:rsidRDefault="00050F29" w:rsidP="005C5DEA">
            <w:pPr>
              <w:pStyle w:val="Tablewriting"/>
            </w:pPr>
            <w:r>
              <w:t>(</w:t>
            </w:r>
            <w:r w:rsidR="00B15AEC">
              <w:t>11</w:t>
            </w:r>
            <w:r>
              <w:t xml:space="preserve"> RCTs</w:t>
            </w:r>
            <w:r w:rsidR="00F95509">
              <w:rPr>
                <w:vertAlign w:val="superscript"/>
              </w:rPr>
              <w:t>2</w:t>
            </w:r>
            <w:r>
              <w:t>)</w:t>
            </w:r>
          </w:p>
        </w:tc>
        <w:tc>
          <w:tcPr>
            <w:tcW w:w="1134" w:type="dxa"/>
          </w:tcPr>
          <w:p w14:paraId="7EEE640C" w14:textId="3D007641" w:rsidR="00050F29" w:rsidRDefault="00370B83" w:rsidP="005C5DEA">
            <w:pPr>
              <w:pStyle w:val="Tablewriting"/>
            </w:pPr>
            <w:r>
              <w:t>N=</w:t>
            </w:r>
            <w:r w:rsidR="00B15AEC">
              <w:t>2</w:t>
            </w:r>
            <w:r>
              <w:t>,</w:t>
            </w:r>
            <w:r w:rsidR="00B15AEC">
              <w:t>412</w:t>
            </w:r>
          </w:p>
          <w:p w14:paraId="766CA917" w14:textId="76CA3D93" w:rsidR="00B15AEC" w:rsidRDefault="00B15AEC" w:rsidP="005C5DEA">
            <w:pPr>
              <w:pStyle w:val="Tablewriting"/>
            </w:pPr>
            <w:r>
              <w:t xml:space="preserve">NRT </w:t>
            </w:r>
            <w:r w:rsidR="00370B83">
              <w:t>(</w:t>
            </w:r>
            <w:r>
              <w:t>n=</w:t>
            </w:r>
            <w:r w:rsidR="00BE72B5">
              <w:t>2</w:t>
            </w:r>
            <w:r w:rsidR="00370B83">
              <w:t>,</w:t>
            </w:r>
            <w:r w:rsidR="00BE72B5">
              <w:t>336</w:t>
            </w:r>
            <w:r w:rsidR="00370B83">
              <w:t>),</w:t>
            </w:r>
          </w:p>
          <w:p w14:paraId="63B1A1CD" w14:textId="3D0026FE" w:rsidR="00BE72B5" w:rsidRDefault="00BE72B5" w:rsidP="005C5DEA">
            <w:pPr>
              <w:pStyle w:val="Tablewriting"/>
            </w:pPr>
            <w:r>
              <w:t>Bupropion</w:t>
            </w:r>
            <w:r w:rsidR="007E4A70">
              <w:t xml:space="preserve"> </w:t>
            </w:r>
            <w:r w:rsidR="00370B83">
              <w:t>(</w:t>
            </w:r>
            <w:r>
              <w:t>n=76</w:t>
            </w:r>
            <w:r w:rsidR="00370B83">
              <w:t>)</w:t>
            </w:r>
          </w:p>
          <w:p w14:paraId="7DA50135" w14:textId="656F35C8" w:rsidR="00B15AEC" w:rsidRDefault="00B15AEC" w:rsidP="005C5DEA">
            <w:pPr>
              <w:pStyle w:val="Tablewriting"/>
            </w:pPr>
          </w:p>
        </w:tc>
        <w:tc>
          <w:tcPr>
            <w:tcW w:w="1417" w:type="dxa"/>
          </w:tcPr>
          <w:p w14:paraId="3E2C3F52" w14:textId="7062B97A" w:rsidR="00050F29" w:rsidRDefault="00370B83" w:rsidP="005C5DEA">
            <w:pPr>
              <w:pStyle w:val="Tablewriting"/>
            </w:pPr>
            <w:r w:rsidRPr="005C5DEA">
              <w:rPr>
                <w:u w:val="single"/>
              </w:rPr>
              <w:t>Inclusion:</w:t>
            </w:r>
            <w:r>
              <w:t xml:space="preserve"> w</w:t>
            </w:r>
            <w:r w:rsidR="007E4A70" w:rsidRPr="007E4A70">
              <w:t>omen who were pregnant and who also smoked tobacco at study baseline.</w:t>
            </w:r>
          </w:p>
        </w:tc>
        <w:tc>
          <w:tcPr>
            <w:tcW w:w="2693" w:type="dxa"/>
          </w:tcPr>
          <w:p w14:paraId="541F0870" w14:textId="6F7F5D83" w:rsidR="00AE1E80" w:rsidRDefault="00D82B15" w:rsidP="005C5DEA">
            <w:pPr>
              <w:pStyle w:val="Tablewriting"/>
            </w:pPr>
            <w:r w:rsidRPr="00D82B15">
              <w:t xml:space="preserve">Pharmacological treatments (including </w:t>
            </w:r>
            <w:r>
              <w:t>electronic cigarettes</w:t>
            </w:r>
            <w:r w:rsidRPr="00D82B15">
              <w:t>) aimed at promoting smoking cessation including, but not limited to, treatments that have been proven e</w:t>
            </w:r>
            <w:r>
              <w:t>ff</w:t>
            </w:r>
            <w:r w:rsidRPr="00D82B15">
              <w:t>ective in non-pregnant adults (</w:t>
            </w:r>
            <w:r w:rsidR="00826C95" w:rsidRPr="00D82B15">
              <w:t>e.g.,</w:t>
            </w:r>
            <w:r w:rsidRPr="00D82B15">
              <w:t xml:space="preserve"> NRT</w:t>
            </w:r>
            <w:r>
              <w:t>,</w:t>
            </w:r>
            <w:r w:rsidRPr="00D82B15">
              <w:t xml:space="preserve"> bupropion</w:t>
            </w:r>
            <w:r>
              <w:t xml:space="preserve">, </w:t>
            </w:r>
            <w:r w:rsidRPr="00D82B15">
              <w:t>varenicline, and ECs</w:t>
            </w:r>
            <w:r>
              <w:t>.</w:t>
            </w:r>
            <w:r w:rsidR="00253718">
              <w:t xml:space="preserve"> </w:t>
            </w:r>
            <w:r w:rsidR="00AE1E80">
              <w:t>Placebo control or no smoking cessation</w:t>
            </w:r>
          </w:p>
          <w:p w14:paraId="42860A60" w14:textId="132F93F2" w:rsidR="00AE1E80" w:rsidRDefault="00AE1E80" w:rsidP="005C5DEA">
            <w:pPr>
              <w:pStyle w:val="Tablewriting"/>
            </w:pPr>
            <w:r>
              <w:t>pharmacotherapy/EC</w:t>
            </w:r>
            <w:r w:rsidR="00253718">
              <w:t>.</w:t>
            </w:r>
          </w:p>
        </w:tc>
        <w:tc>
          <w:tcPr>
            <w:tcW w:w="1650" w:type="dxa"/>
          </w:tcPr>
          <w:p w14:paraId="24D44CD2" w14:textId="6EDEBF91" w:rsidR="00050F29" w:rsidRDefault="00965D0C" w:rsidP="005C5DEA">
            <w:pPr>
              <w:pStyle w:val="Tablewriting"/>
            </w:pPr>
            <w:r w:rsidRPr="005C5DEA">
              <w:rPr>
                <w:u w:val="single"/>
              </w:rPr>
              <w:t>Primary</w:t>
            </w:r>
            <w:r>
              <w:t>: s</w:t>
            </w:r>
            <w:r w:rsidR="001F034E" w:rsidRPr="001F034E">
              <w:t>elf-reported abstinence from smoking at the latest time point in pregnancy at which this was measured and, where available, validated biochemically</w:t>
            </w:r>
            <w:r w:rsidR="001F034E">
              <w:t>.</w:t>
            </w:r>
          </w:p>
        </w:tc>
      </w:tr>
    </w:tbl>
    <w:p w14:paraId="720FDAB9" w14:textId="322AB05D" w:rsidR="005C5DEA" w:rsidRDefault="005C5DEA" w:rsidP="00992B24">
      <w:pPr>
        <w:pStyle w:val="TableFooter"/>
        <w:keepNext/>
        <w:jc w:val="both"/>
        <w:rPr>
          <w:i/>
        </w:rPr>
      </w:pPr>
      <w:r>
        <w:t xml:space="preserve">Abbreviations: </w:t>
      </w:r>
      <w:r w:rsidR="00253718">
        <w:t xml:space="preserve">EC = electronic cigarettes; </w:t>
      </w:r>
      <w:r>
        <w:t>NRT = nicotine replacement therapy; RCT = randomised controlled trial</w:t>
      </w:r>
      <w:r w:rsidRPr="00061F78">
        <w:t xml:space="preserve"> </w:t>
      </w:r>
    </w:p>
    <w:p w14:paraId="7A6BA0C9" w14:textId="77777777" w:rsidR="00F95509" w:rsidRDefault="00F95509" w:rsidP="00992B24">
      <w:pPr>
        <w:pStyle w:val="TableFooter"/>
        <w:keepNext/>
        <w:jc w:val="both"/>
      </w:pPr>
      <w:r>
        <w:t>Notes:</w:t>
      </w:r>
    </w:p>
    <w:p w14:paraId="6D7424DF" w14:textId="79EFBB1F" w:rsidR="005C5DEA" w:rsidRDefault="005C5DEA" w:rsidP="00992B24">
      <w:pPr>
        <w:pStyle w:val="TableFooter"/>
        <w:keepNext/>
        <w:jc w:val="both"/>
      </w:pPr>
      <w:r>
        <w:t>1 Only the number of patients (n) in the relevant arms were included</w:t>
      </w:r>
      <w:r w:rsidR="005A689C">
        <w:t>.</w:t>
      </w:r>
      <w:r>
        <w:t xml:space="preserve"> </w:t>
      </w:r>
    </w:p>
    <w:p w14:paraId="1BB76C69" w14:textId="71F5A2F6" w:rsidR="005C5DEA" w:rsidRPr="00061F78" w:rsidRDefault="005C5DEA" w:rsidP="00992B24">
      <w:pPr>
        <w:pStyle w:val="TableFooter"/>
        <w:spacing w:after="120"/>
        <w:jc w:val="both"/>
      </w:pPr>
      <w:r>
        <w:t xml:space="preserve">2 The characteristics of the individual studies included in </w:t>
      </w:r>
      <w:r w:rsidR="00F95509">
        <w:t>Claire</w:t>
      </w:r>
      <w:r>
        <w:t xml:space="preserve"> et al. (2020) are presented in </w:t>
      </w:r>
      <w:r w:rsidRPr="008138B1">
        <w:t>Appendix</w:t>
      </w:r>
      <w:r w:rsidR="00560D47">
        <w:t xml:space="preserve"> Table 165.</w:t>
      </w:r>
      <w:r>
        <w:t xml:space="preserve"> </w:t>
      </w:r>
    </w:p>
    <w:p w14:paraId="0DFE2FD1" w14:textId="77777777" w:rsidR="008A684C" w:rsidRPr="004C5C69" w:rsidRDefault="008A684C" w:rsidP="00992B24">
      <w:pPr>
        <w:spacing w:after="120"/>
        <w:jc w:val="both"/>
        <w:rPr>
          <w:b/>
          <w:bCs/>
        </w:rPr>
      </w:pPr>
      <w:r w:rsidRPr="004C5C69">
        <w:rPr>
          <w:b/>
          <w:bCs/>
        </w:rPr>
        <w:t>NRT</w:t>
      </w:r>
    </w:p>
    <w:p w14:paraId="1CE88506" w14:textId="4F6FD7CC" w:rsidR="009033DF" w:rsidRPr="009033DF" w:rsidRDefault="005E196D" w:rsidP="00992B24">
      <w:pPr>
        <w:spacing w:after="120"/>
        <w:jc w:val="both"/>
        <w:rPr>
          <w:i/>
          <w:iCs/>
        </w:rPr>
      </w:pPr>
      <w:r w:rsidRPr="00F612E1">
        <w:rPr>
          <w:u w:val="single"/>
        </w:rPr>
        <w:t>Efficacy</w:t>
      </w:r>
    </w:p>
    <w:p w14:paraId="133686AB" w14:textId="60102EDB" w:rsidR="00071134" w:rsidRDefault="004A7BC3" w:rsidP="00992B24">
      <w:pPr>
        <w:spacing w:after="120"/>
        <w:jc w:val="both"/>
      </w:pPr>
      <w:r>
        <w:t>A summary of the smoking cessation rates at the longest follow-up</w:t>
      </w:r>
      <w:r w:rsidR="009F40C2">
        <w:t xml:space="preserve"> comparing NRT </w:t>
      </w:r>
      <w:r w:rsidR="00A25021">
        <w:t>(long-acting and fast-acting)</w:t>
      </w:r>
      <w:r w:rsidR="009F40C2">
        <w:t xml:space="preserve"> with control</w:t>
      </w:r>
      <w:r>
        <w:t xml:space="preserve"> is presented in</w:t>
      </w:r>
      <w:r w:rsidR="009F40C2">
        <w:t xml:space="preserve"> </w:t>
      </w:r>
      <w:r w:rsidR="009F40C2">
        <w:fldChar w:fldCharType="begin" w:fldLock="1"/>
      </w:r>
      <w:r w:rsidR="009F40C2">
        <w:instrText xml:space="preserve"> REF _Ref61871237 \h </w:instrText>
      </w:r>
      <w:r w:rsidR="00992B24">
        <w:instrText xml:space="preserve"> \* MERGEFORMAT </w:instrText>
      </w:r>
      <w:r w:rsidR="009F40C2">
        <w:fldChar w:fldCharType="separate"/>
      </w:r>
      <w:r w:rsidR="00EC5CC7">
        <w:t xml:space="preserve">Table </w:t>
      </w:r>
      <w:r w:rsidR="00EC5CC7">
        <w:rPr>
          <w:noProof/>
        </w:rPr>
        <w:t>127</w:t>
      </w:r>
      <w:r w:rsidR="009F40C2">
        <w:fldChar w:fldCharType="end"/>
      </w:r>
      <w:r w:rsidR="009033DF">
        <w:t xml:space="preserve">. </w:t>
      </w:r>
      <w:r>
        <w:t xml:space="preserve">The results of the meta-analysis comprising </w:t>
      </w:r>
      <w:r w:rsidR="00C73CD3">
        <w:t>nine</w:t>
      </w:r>
      <w:r>
        <w:t xml:space="preserve"> RCTs by </w:t>
      </w:r>
      <w:r w:rsidR="005F4DEB">
        <w:t>Claire et al</w:t>
      </w:r>
      <w:r>
        <w:t>. (20</w:t>
      </w:r>
      <w:r w:rsidR="005F4DEB">
        <w:t>20</w:t>
      </w:r>
      <w:r>
        <w:t xml:space="preserve">) demonstrated </w:t>
      </w:r>
      <w:r w:rsidR="00F12D8C">
        <w:t xml:space="preserve">a significant improvement in smoking cessation rates </w:t>
      </w:r>
      <w:r w:rsidR="0039794D">
        <w:t>with the use of NRT relative to control</w:t>
      </w:r>
      <w:r w:rsidR="008B3688">
        <w:t>. Subgroup analysis by fast</w:t>
      </w:r>
      <w:r w:rsidR="00395525">
        <w:t xml:space="preserve">-acting and nicotine </w:t>
      </w:r>
      <w:r w:rsidR="00573F59">
        <w:t>patches</w:t>
      </w:r>
      <w:r w:rsidR="00395525">
        <w:t xml:space="preserve"> did not reveal evidence that the effect differed by NRT type</w:t>
      </w:r>
      <w:r w:rsidR="00396A0C">
        <w:t xml:space="preserve"> (P=0.08)</w:t>
      </w:r>
      <w:r w:rsidR="00D514D4">
        <w:t xml:space="preserve">, although the results were not statistically significant </w:t>
      </w:r>
      <w:r w:rsidR="003F26E4">
        <w:t>in the fast-acting NRT subgroup</w:t>
      </w:r>
      <w:r w:rsidR="00F74EEE">
        <w:t xml:space="preserve">. </w:t>
      </w:r>
    </w:p>
    <w:p w14:paraId="3941E1EF" w14:textId="2A8B06BD" w:rsidR="004A7BC3" w:rsidRPr="00B63241" w:rsidRDefault="00F74EEE" w:rsidP="00992B24">
      <w:pPr>
        <w:spacing w:after="120"/>
        <w:jc w:val="both"/>
      </w:pPr>
      <w:r>
        <w:t xml:space="preserve">By contrast, </w:t>
      </w:r>
      <w:r w:rsidR="00D84D39">
        <w:t xml:space="preserve">a </w:t>
      </w:r>
      <w:r>
        <w:t xml:space="preserve">significant subgroup </w:t>
      </w:r>
      <w:r w:rsidR="00D84D39">
        <w:t>difference was detected when splitting the studies by comparator type – placebo or no placebo</w:t>
      </w:r>
      <w:r w:rsidR="00707439">
        <w:t>;</w:t>
      </w:r>
      <w:r w:rsidR="00A300F8">
        <w:t xml:space="preserve"> </w:t>
      </w:r>
      <w:r w:rsidR="00BD6132">
        <w:t>w</w:t>
      </w:r>
      <w:r w:rsidR="00A300F8">
        <w:t xml:space="preserve">hen compared against placebo, </w:t>
      </w:r>
      <w:r w:rsidR="00A05B3F">
        <w:t>the C</w:t>
      </w:r>
      <w:r w:rsidR="00D47EC2">
        <w:t>I</w:t>
      </w:r>
      <w:r w:rsidR="00A05B3F">
        <w:t xml:space="preserve">s </w:t>
      </w:r>
      <w:r w:rsidR="00A300F8">
        <w:t>incorporated</w:t>
      </w:r>
      <w:r w:rsidR="00D47EC2">
        <w:t xml:space="preserve"> zero</w:t>
      </w:r>
      <w:r w:rsidR="00A300F8">
        <w:t xml:space="preserve"> but numerically favoured NRT</w:t>
      </w:r>
      <w:r w:rsidR="00DA6471">
        <w:t xml:space="preserve"> and w</w:t>
      </w:r>
      <w:r w:rsidR="001F1294">
        <w:t>ere</w:t>
      </w:r>
      <w:r w:rsidR="00DA6471">
        <w:t xml:space="preserve"> more precise</w:t>
      </w:r>
      <w:r w:rsidR="00D80553">
        <w:t xml:space="preserve"> (RR</w:t>
      </w:r>
      <w:r w:rsidR="00071134">
        <w:t>:</w:t>
      </w:r>
      <w:r w:rsidR="00D80553">
        <w:t xml:space="preserve"> 1.21</w:t>
      </w:r>
      <w:r w:rsidR="00071134">
        <w:t>;</w:t>
      </w:r>
      <w:r w:rsidR="00D80553">
        <w:t xml:space="preserve"> 95%</w:t>
      </w:r>
      <w:r w:rsidR="00071134">
        <w:t xml:space="preserve"> </w:t>
      </w:r>
      <w:r w:rsidR="00D80553">
        <w:t>CI</w:t>
      </w:r>
      <w:r w:rsidR="00071134">
        <w:t>:</w:t>
      </w:r>
      <w:r w:rsidR="00D80553">
        <w:t xml:space="preserve"> 0.9</w:t>
      </w:r>
      <w:r w:rsidR="00DA6471">
        <w:t>5</w:t>
      </w:r>
      <w:r w:rsidR="00071134">
        <w:t>,</w:t>
      </w:r>
      <w:r w:rsidR="00D80553">
        <w:t xml:space="preserve"> 1.55)</w:t>
      </w:r>
      <w:r w:rsidR="00BD6132">
        <w:t xml:space="preserve">, but when compared with non-placebo </w:t>
      </w:r>
      <w:r w:rsidR="00F81BB2">
        <w:t>controls the effect estimate significantly favoured NRT</w:t>
      </w:r>
      <w:r w:rsidR="00DA6471">
        <w:t xml:space="preserve"> but was imprecise (RR</w:t>
      </w:r>
      <w:r w:rsidR="00071134">
        <w:t>:</w:t>
      </w:r>
      <w:r w:rsidR="00DA6471">
        <w:t xml:space="preserve"> 8.55</w:t>
      </w:r>
      <w:r w:rsidR="00071134">
        <w:t>;</w:t>
      </w:r>
      <w:r w:rsidR="00DA6471">
        <w:t xml:space="preserve"> 95%</w:t>
      </w:r>
      <w:r w:rsidR="00071134">
        <w:t xml:space="preserve"> </w:t>
      </w:r>
      <w:r w:rsidR="00DA6471">
        <w:t>CI</w:t>
      </w:r>
      <w:r w:rsidR="00071134">
        <w:t>:</w:t>
      </w:r>
      <w:r w:rsidR="00DA6471">
        <w:t xml:space="preserve"> 2.05</w:t>
      </w:r>
      <w:r w:rsidR="00071134">
        <w:t>,</w:t>
      </w:r>
      <w:r w:rsidR="00DA6471">
        <w:t xml:space="preserve"> 35.71)</w:t>
      </w:r>
      <w:r w:rsidR="0007113C">
        <w:t xml:space="preserve">. </w:t>
      </w:r>
      <w:r w:rsidR="00D10C8D">
        <w:t>It was observed that the sample size</w:t>
      </w:r>
      <w:r w:rsidR="00BD5F4F">
        <w:t>s</w:t>
      </w:r>
      <w:r w:rsidR="00D10C8D">
        <w:t xml:space="preserve"> of the non-placebo</w:t>
      </w:r>
      <w:r w:rsidR="00B01D92">
        <w:t>-</w:t>
      </w:r>
      <w:r w:rsidR="00D10C8D">
        <w:t>controlled trials w</w:t>
      </w:r>
      <w:r w:rsidR="00BD5F4F">
        <w:t>ere</w:t>
      </w:r>
      <w:r w:rsidR="00D10C8D">
        <w:t xml:space="preserve"> relatively small</w:t>
      </w:r>
      <w:r w:rsidR="00B01D92">
        <w:t xml:space="preserve"> which may have resulted in the wide confidence interval. </w:t>
      </w:r>
      <w:r w:rsidR="004766AB">
        <w:t>Because of this, Claire et al</w:t>
      </w:r>
      <w:r w:rsidR="00071134">
        <w:t>. (2020)</w:t>
      </w:r>
      <w:r w:rsidR="00AE2488">
        <w:t xml:space="preserve"> stated that</w:t>
      </w:r>
      <w:r w:rsidR="004766AB">
        <w:t xml:space="preserve"> the pooled estimate</w:t>
      </w:r>
      <w:r w:rsidR="00AE2488">
        <w:t xml:space="preserve"> should be interpreted with caution</w:t>
      </w:r>
      <w:r w:rsidR="004766AB">
        <w:t xml:space="preserve">, suggesting </w:t>
      </w:r>
      <w:r w:rsidR="00F27935">
        <w:t xml:space="preserve">a lower efficacy of NRT </w:t>
      </w:r>
      <w:r w:rsidR="006B6A83">
        <w:t>than the pooled estimate.</w:t>
      </w:r>
    </w:p>
    <w:p w14:paraId="1AC21E70" w14:textId="47085741" w:rsidR="00FE31C8" w:rsidRDefault="00FE31C8" w:rsidP="001F1294">
      <w:pPr>
        <w:pStyle w:val="Caption"/>
        <w:keepNext/>
        <w:spacing w:before="0" w:after="120"/>
        <w:jc w:val="both"/>
      </w:pPr>
      <w:bookmarkStart w:id="219" w:name="_Ref61871237"/>
      <w:r>
        <w:t xml:space="preserve">Table </w:t>
      </w:r>
      <w:r w:rsidR="00BF3F75">
        <w:fldChar w:fldCharType="begin"/>
      </w:r>
      <w:r w:rsidR="00BF3F75">
        <w:instrText xml:space="preserve"> SEQ Table \* ARABIC </w:instrText>
      </w:r>
      <w:r w:rsidR="00BF3F75">
        <w:fldChar w:fldCharType="separate"/>
      </w:r>
      <w:r w:rsidR="00EC5CC7">
        <w:rPr>
          <w:noProof/>
        </w:rPr>
        <w:t>127</w:t>
      </w:r>
      <w:r w:rsidR="00BF3F75">
        <w:rPr>
          <w:noProof/>
        </w:rPr>
        <w:fldChar w:fldCharType="end"/>
      </w:r>
      <w:bookmarkEnd w:id="219"/>
      <w:r>
        <w:t xml:space="preserve">: </w:t>
      </w:r>
      <w:r w:rsidRPr="00D536C5">
        <w:t xml:space="preserve">Results of smoking cessation </w:t>
      </w:r>
      <w:r w:rsidR="00B15BB7">
        <w:t>in later pregnancy</w:t>
      </w:r>
      <w:r w:rsidR="00900291">
        <w:t xml:space="preserve"> </w:t>
      </w:r>
      <w:r w:rsidRPr="00D536C5">
        <w:t xml:space="preserve">in </w:t>
      </w:r>
      <w:r w:rsidR="008C5037">
        <w:t xml:space="preserve">Claire </w:t>
      </w:r>
      <w:r w:rsidRPr="00D536C5">
        <w:t>et al. (20</w:t>
      </w:r>
      <w:r w:rsidR="008C5037">
        <w:t>20</w:t>
      </w:r>
      <w:r w:rsidRPr="00D536C5">
        <w:t xml:space="preserve">), </w:t>
      </w:r>
      <w:r w:rsidR="008C5037">
        <w:t>NRT versus control</w:t>
      </w:r>
    </w:p>
    <w:tbl>
      <w:tblPr>
        <w:tblStyle w:val="TableGrid"/>
        <w:tblW w:w="5000" w:type="pct"/>
        <w:tblLook w:val="04A0" w:firstRow="1" w:lastRow="0" w:firstColumn="1" w:lastColumn="0" w:noHBand="0" w:noVBand="1"/>
      </w:tblPr>
      <w:tblGrid>
        <w:gridCol w:w="1186"/>
        <w:gridCol w:w="2386"/>
        <w:gridCol w:w="1798"/>
        <w:gridCol w:w="1859"/>
        <w:gridCol w:w="1787"/>
      </w:tblGrid>
      <w:tr w:rsidR="00EE3496" w:rsidRPr="007D5EC7" w14:paraId="7D72416E" w14:textId="5EF75CA3" w:rsidTr="00AE2488">
        <w:tc>
          <w:tcPr>
            <w:tcW w:w="658" w:type="pct"/>
            <w:shd w:val="clear" w:color="auto" w:fill="BFBFBF" w:themeFill="background1" w:themeFillShade="BF"/>
          </w:tcPr>
          <w:p w14:paraId="5F9CD6D9" w14:textId="6BA93DB9" w:rsidR="00FE31C8" w:rsidRPr="00A02A98" w:rsidRDefault="00FE31C8" w:rsidP="009F40C2">
            <w:pPr>
              <w:pStyle w:val="Tablewriting"/>
              <w:rPr>
                <w:b/>
              </w:rPr>
            </w:pPr>
            <w:r w:rsidRPr="00A02A98">
              <w:rPr>
                <w:b/>
              </w:rPr>
              <w:t>Study</w:t>
            </w:r>
          </w:p>
        </w:tc>
        <w:tc>
          <w:tcPr>
            <w:tcW w:w="1323" w:type="pct"/>
            <w:shd w:val="clear" w:color="auto" w:fill="BFBFBF" w:themeFill="background1" w:themeFillShade="BF"/>
          </w:tcPr>
          <w:p w14:paraId="1EEB2DFB" w14:textId="073565C1" w:rsidR="00FE31C8" w:rsidRPr="00DA1082" w:rsidRDefault="00FE31C8" w:rsidP="009F40C2">
            <w:pPr>
              <w:pStyle w:val="Tablewriting"/>
              <w:jc w:val="center"/>
              <w:rPr>
                <w:b/>
              </w:rPr>
            </w:pPr>
            <w:r w:rsidRPr="00005A11">
              <w:rPr>
                <w:b/>
              </w:rPr>
              <w:t>Study Type</w:t>
            </w:r>
          </w:p>
        </w:tc>
        <w:tc>
          <w:tcPr>
            <w:tcW w:w="997" w:type="pct"/>
            <w:shd w:val="clear" w:color="auto" w:fill="BFBFBF" w:themeFill="background1" w:themeFillShade="BF"/>
          </w:tcPr>
          <w:p w14:paraId="3F4FC648" w14:textId="0867C06A" w:rsidR="00FE31C8" w:rsidRPr="00AC43C5" w:rsidRDefault="00FE31C8" w:rsidP="009F40C2">
            <w:pPr>
              <w:pStyle w:val="Tablewriting"/>
              <w:jc w:val="center"/>
              <w:rPr>
                <w:b/>
              </w:rPr>
            </w:pPr>
            <w:r w:rsidRPr="005D7675">
              <w:rPr>
                <w:b/>
              </w:rPr>
              <w:t>NRT</w:t>
            </w:r>
          </w:p>
        </w:tc>
        <w:tc>
          <w:tcPr>
            <w:tcW w:w="1031" w:type="pct"/>
            <w:shd w:val="clear" w:color="auto" w:fill="BFBFBF" w:themeFill="background1" w:themeFillShade="BF"/>
          </w:tcPr>
          <w:p w14:paraId="727698A9" w14:textId="43757388" w:rsidR="00FE31C8" w:rsidRPr="009F40C2" w:rsidRDefault="00EE3496" w:rsidP="009F40C2">
            <w:pPr>
              <w:pStyle w:val="Tablewriting"/>
              <w:jc w:val="center"/>
              <w:rPr>
                <w:b/>
                <w:bCs/>
              </w:rPr>
            </w:pPr>
            <w:r>
              <w:rPr>
                <w:b/>
                <w:bCs/>
              </w:rPr>
              <w:t>C</w:t>
            </w:r>
            <w:r w:rsidR="00FE31C8" w:rsidRPr="009F40C2">
              <w:rPr>
                <w:b/>
                <w:bCs/>
              </w:rPr>
              <w:t>ontrol</w:t>
            </w:r>
            <w:r>
              <w:rPr>
                <w:b/>
                <w:bCs/>
              </w:rPr>
              <w:t>/Placebo</w:t>
            </w:r>
          </w:p>
        </w:tc>
        <w:tc>
          <w:tcPr>
            <w:tcW w:w="991" w:type="pct"/>
            <w:shd w:val="clear" w:color="auto" w:fill="BFBFBF" w:themeFill="background1" w:themeFillShade="BF"/>
          </w:tcPr>
          <w:p w14:paraId="4ACB89CC" w14:textId="046748F6" w:rsidR="00FE31C8" w:rsidRPr="009F40C2" w:rsidRDefault="00FE31C8" w:rsidP="009F40C2">
            <w:pPr>
              <w:pStyle w:val="Tablewriting"/>
              <w:jc w:val="center"/>
              <w:rPr>
                <w:b/>
                <w:bCs/>
                <w:vertAlign w:val="superscript"/>
              </w:rPr>
            </w:pPr>
            <w:r w:rsidRPr="009F40C2">
              <w:rPr>
                <w:b/>
                <w:bCs/>
              </w:rPr>
              <w:t>RR (95%CI)</w:t>
            </w:r>
            <w:r w:rsidR="008C5037">
              <w:rPr>
                <w:b/>
                <w:bCs/>
                <w:vertAlign w:val="superscript"/>
              </w:rPr>
              <w:t>1</w:t>
            </w:r>
          </w:p>
        </w:tc>
      </w:tr>
      <w:tr w:rsidR="00FE31C8" w14:paraId="191510B3" w14:textId="5E4D2C7F" w:rsidTr="00AE2488">
        <w:tc>
          <w:tcPr>
            <w:tcW w:w="658" w:type="pct"/>
          </w:tcPr>
          <w:p w14:paraId="23450F80" w14:textId="3E7B713B" w:rsidR="00FE31C8" w:rsidRDefault="00FE31C8" w:rsidP="009F40C2">
            <w:pPr>
              <w:pStyle w:val="Tablewriting"/>
            </w:pPr>
            <w:r>
              <w:t>Claire (2020)</w:t>
            </w:r>
          </w:p>
        </w:tc>
        <w:tc>
          <w:tcPr>
            <w:tcW w:w="1323" w:type="pct"/>
          </w:tcPr>
          <w:p w14:paraId="2A5D77F5" w14:textId="77777777" w:rsidR="00FE31C8" w:rsidRDefault="00FE31C8" w:rsidP="00253718">
            <w:pPr>
              <w:pStyle w:val="Tablewriting"/>
              <w:jc w:val="center"/>
            </w:pPr>
            <w:r>
              <w:t xml:space="preserve">Cochrane Review </w:t>
            </w:r>
          </w:p>
          <w:p w14:paraId="2B7062C4" w14:textId="7E84066F" w:rsidR="00FE31C8" w:rsidRDefault="00FE31C8" w:rsidP="009F40C2">
            <w:pPr>
              <w:pStyle w:val="Tablewriting"/>
              <w:jc w:val="center"/>
            </w:pPr>
            <w:r>
              <w:t>(9 RCTs)</w:t>
            </w:r>
          </w:p>
        </w:tc>
        <w:tc>
          <w:tcPr>
            <w:tcW w:w="997" w:type="pct"/>
          </w:tcPr>
          <w:p w14:paraId="19895F39" w14:textId="77777777" w:rsidR="00FE31C8" w:rsidRDefault="00FE31C8" w:rsidP="00253718">
            <w:pPr>
              <w:pStyle w:val="Tablewriting"/>
              <w:jc w:val="center"/>
            </w:pPr>
            <w:r>
              <w:t>150/1,203</w:t>
            </w:r>
          </w:p>
          <w:p w14:paraId="1189B4B3" w14:textId="30D9BCD9" w:rsidR="00FE31C8" w:rsidRDefault="00FE31C8" w:rsidP="009F40C2">
            <w:pPr>
              <w:pStyle w:val="Tablewriting"/>
              <w:jc w:val="center"/>
            </w:pPr>
            <w:r>
              <w:t>(</w:t>
            </w:r>
            <w:r w:rsidR="009F40C2">
              <w:t>12.5</w:t>
            </w:r>
            <w:r>
              <w:t>%)</w:t>
            </w:r>
          </w:p>
        </w:tc>
        <w:tc>
          <w:tcPr>
            <w:tcW w:w="1031" w:type="pct"/>
          </w:tcPr>
          <w:p w14:paraId="362A9FEE" w14:textId="29F7C789" w:rsidR="00FE31C8" w:rsidRDefault="00FE31C8" w:rsidP="00253718">
            <w:pPr>
              <w:pStyle w:val="Tablewriting"/>
              <w:jc w:val="center"/>
            </w:pPr>
            <w:r>
              <w:t>103/1,133</w:t>
            </w:r>
          </w:p>
          <w:p w14:paraId="6AE5F30B" w14:textId="1B3310EC" w:rsidR="00FE31C8" w:rsidRDefault="00FE31C8" w:rsidP="009F40C2">
            <w:pPr>
              <w:pStyle w:val="Tablewriting"/>
              <w:jc w:val="center"/>
            </w:pPr>
            <w:r>
              <w:t>(</w:t>
            </w:r>
            <w:r w:rsidR="009F40C2">
              <w:t>9.1</w:t>
            </w:r>
            <w:r>
              <w:t>%)</w:t>
            </w:r>
          </w:p>
        </w:tc>
        <w:tc>
          <w:tcPr>
            <w:tcW w:w="991" w:type="pct"/>
          </w:tcPr>
          <w:p w14:paraId="6188AC6D" w14:textId="77777777" w:rsidR="00FE31C8" w:rsidRPr="009F40C2" w:rsidRDefault="00FE31C8" w:rsidP="00253718">
            <w:pPr>
              <w:pStyle w:val="Tablewriting"/>
              <w:jc w:val="center"/>
              <w:rPr>
                <w:b/>
                <w:bCs/>
              </w:rPr>
            </w:pPr>
            <w:r w:rsidRPr="009F40C2">
              <w:rPr>
                <w:b/>
                <w:bCs/>
              </w:rPr>
              <w:t xml:space="preserve">1.37 </w:t>
            </w:r>
          </w:p>
          <w:p w14:paraId="12A9D9CC" w14:textId="398940D3" w:rsidR="00FE31C8" w:rsidRDefault="00FE31C8" w:rsidP="009F40C2">
            <w:pPr>
              <w:pStyle w:val="Tablewriting"/>
              <w:jc w:val="center"/>
            </w:pPr>
            <w:r w:rsidRPr="009F40C2">
              <w:rPr>
                <w:b/>
                <w:bCs/>
              </w:rPr>
              <w:t>(1.08, 1.74)</w:t>
            </w:r>
          </w:p>
        </w:tc>
      </w:tr>
    </w:tbl>
    <w:p w14:paraId="13EA3929" w14:textId="2E3CD8D6" w:rsidR="008C5037" w:rsidRDefault="008C5037" w:rsidP="008C5037">
      <w:pPr>
        <w:pStyle w:val="TableFooter"/>
      </w:pPr>
      <w:r>
        <w:t>Source: Claire et al. (20</w:t>
      </w:r>
      <w:r w:rsidR="00900291">
        <w:t>20</w:t>
      </w:r>
      <w:r>
        <w:t>)</w:t>
      </w:r>
    </w:p>
    <w:p w14:paraId="1B9F87E7" w14:textId="77777777" w:rsidR="008C5037" w:rsidRDefault="008C5037" w:rsidP="008C5037">
      <w:pPr>
        <w:pStyle w:val="TableFooter"/>
        <w:rPr>
          <w:i/>
        </w:rPr>
      </w:pPr>
      <w:r>
        <w:t>Abbreviations: CI = confidence interval; RCT = randomised controlled trial; RR = risk ratio</w:t>
      </w:r>
      <w:r w:rsidRPr="00061F78">
        <w:t xml:space="preserve"> </w:t>
      </w:r>
    </w:p>
    <w:p w14:paraId="522D70A0" w14:textId="7CEA96C9" w:rsidR="008C5037" w:rsidRDefault="008C5037" w:rsidP="008C5037">
      <w:pPr>
        <w:pStyle w:val="TableFooter"/>
      </w:pPr>
      <w:r w:rsidRPr="00D468CF">
        <w:t>Note</w:t>
      </w:r>
      <w:r>
        <w:t>s</w:t>
      </w:r>
      <w:r w:rsidRPr="00D468CF">
        <w:t>: Bold indicates statistically significant difference.</w:t>
      </w:r>
      <w:r w:rsidRPr="00962408">
        <w:t xml:space="preserve"> </w:t>
      </w:r>
      <w:r>
        <w:br/>
        <w:t xml:space="preserve">1 Calculated by Cochrane Review authors using a </w:t>
      </w:r>
      <w:r w:rsidR="00821BAA">
        <w:t>fixed</w:t>
      </w:r>
      <w:r>
        <w:t>-effect model</w:t>
      </w:r>
      <w:r w:rsidR="005A689C">
        <w:t>.</w:t>
      </w:r>
    </w:p>
    <w:p w14:paraId="592FD29E" w14:textId="6E507811" w:rsidR="00A92202" w:rsidRPr="00B63241" w:rsidRDefault="00A92202" w:rsidP="001F1294">
      <w:pPr>
        <w:spacing w:after="120"/>
        <w:jc w:val="both"/>
      </w:pPr>
      <w:r w:rsidRPr="00B817FB">
        <w:lastRenderedPageBreak/>
        <w:t xml:space="preserve">The results of the individual studies included in </w:t>
      </w:r>
      <w:r>
        <w:t>Claire</w:t>
      </w:r>
      <w:r w:rsidRPr="00B817FB">
        <w:t xml:space="preserve"> et al. (20</w:t>
      </w:r>
      <w:r>
        <w:t>20</w:t>
      </w:r>
      <w:r w:rsidRPr="00B817FB">
        <w:t xml:space="preserve">) </w:t>
      </w:r>
      <w:r w:rsidR="00C957DD">
        <w:t xml:space="preserve">and sub-grouped by NRT type </w:t>
      </w:r>
      <w:r w:rsidRPr="00B817FB">
        <w:t xml:space="preserve">are presented using a forest plot </w:t>
      </w:r>
      <w:r>
        <w:t xml:space="preserve">in </w:t>
      </w:r>
      <w:r w:rsidR="00B15BB7">
        <w:fldChar w:fldCharType="begin" w:fldLock="1"/>
      </w:r>
      <w:r w:rsidR="00B15BB7">
        <w:instrText xml:space="preserve"> REF _Ref61871922 \h </w:instrText>
      </w:r>
      <w:r w:rsidR="001F1294">
        <w:instrText xml:space="preserve"> \* MERGEFORMAT </w:instrText>
      </w:r>
      <w:r w:rsidR="00B15BB7">
        <w:fldChar w:fldCharType="separate"/>
      </w:r>
      <w:r w:rsidR="00EC5CC7">
        <w:t xml:space="preserve">Figure </w:t>
      </w:r>
      <w:r w:rsidR="00EC5CC7">
        <w:rPr>
          <w:noProof/>
        </w:rPr>
        <w:t>41</w:t>
      </w:r>
      <w:r w:rsidR="00B15BB7">
        <w:fldChar w:fldCharType="end"/>
      </w:r>
      <w:r w:rsidRPr="00B817FB">
        <w:t xml:space="preserve">. </w:t>
      </w:r>
    </w:p>
    <w:p w14:paraId="2F34FEBA" w14:textId="77777777" w:rsidR="00AE2488" w:rsidRDefault="153C738D" w:rsidP="00B15BB7">
      <w:pPr>
        <w:keepNext/>
      </w:pPr>
      <w:r>
        <w:rPr>
          <w:noProof/>
        </w:rPr>
        <w:drawing>
          <wp:inline distT="0" distB="0" distL="0" distR="0" wp14:anchorId="3DB52E58" wp14:editId="3150408A">
            <wp:extent cx="5731510" cy="2952750"/>
            <wp:effectExtent l="0" t="0" r="2540" b="0"/>
            <wp:docPr id="86" name="Picture 86" descr="P81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P8193#yIS1"/>
                    <pic:cNvPicPr/>
                  </pic:nvPicPr>
                  <pic:blipFill>
                    <a:blip r:embed="rId63">
                      <a:extLst>
                        <a:ext uri="{28A0092B-C50C-407E-A947-70E740481C1C}">
                          <a14:useLocalDpi xmlns:a14="http://schemas.microsoft.com/office/drawing/2010/main" val="0"/>
                        </a:ext>
                      </a:extLst>
                    </a:blip>
                    <a:stretch>
                      <a:fillRect/>
                    </a:stretch>
                  </pic:blipFill>
                  <pic:spPr>
                    <a:xfrm>
                      <a:off x="0" y="0"/>
                      <a:ext cx="5731510" cy="2952750"/>
                    </a:xfrm>
                    <a:prstGeom prst="rect">
                      <a:avLst/>
                    </a:prstGeom>
                  </pic:spPr>
                </pic:pic>
              </a:graphicData>
            </a:graphic>
          </wp:inline>
        </w:drawing>
      </w:r>
    </w:p>
    <w:p w14:paraId="7C5D1E9C" w14:textId="48979A01" w:rsidR="00AE2488" w:rsidRDefault="00AE2488" w:rsidP="001F1294">
      <w:pPr>
        <w:pStyle w:val="Caption"/>
        <w:spacing w:before="120" w:after="60"/>
        <w:jc w:val="both"/>
        <w:rPr>
          <w:highlight w:val="yellow"/>
        </w:rPr>
      </w:pPr>
      <w:bookmarkStart w:id="220" w:name="_Ref61871922"/>
      <w:r>
        <w:t xml:space="preserve">Figure </w:t>
      </w:r>
      <w:r w:rsidR="00BF3F75">
        <w:fldChar w:fldCharType="begin"/>
      </w:r>
      <w:r w:rsidR="00BF3F75">
        <w:instrText xml:space="preserve"> SEQ Figure \* ARABIC </w:instrText>
      </w:r>
      <w:r w:rsidR="00BF3F75">
        <w:fldChar w:fldCharType="separate"/>
      </w:r>
      <w:r w:rsidR="00EC5CC7">
        <w:rPr>
          <w:noProof/>
        </w:rPr>
        <w:t>41</w:t>
      </w:r>
      <w:r w:rsidR="00BF3F75">
        <w:rPr>
          <w:noProof/>
        </w:rPr>
        <w:fldChar w:fldCharType="end"/>
      </w:r>
      <w:bookmarkEnd w:id="220"/>
      <w:r>
        <w:t xml:space="preserve">: </w:t>
      </w:r>
      <w:r w:rsidRPr="00CD1448">
        <w:t xml:space="preserve">Results of smoking cessation in </w:t>
      </w:r>
      <w:r w:rsidR="00B15BB7">
        <w:t xml:space="preserve">later pregnancy in Claire </w:t>
      </w:r>
      <w:r w:rsidRPr="00CD1448">
        <w:t>et al. (20</w:t>
      </w:r>
      <w:r w:rsidR="00B15BB7">
        <w:t>20</w:t>
      </w:r>
      <w:r w:rsidRPr="00CD1448">
        <w:t xml:space="preserve">), </w:t>
      </w:r>
      <w:r w:rsidR="00B15BB7">
        <w:t>NRT versus control</w:t>
      </w:r>
    </w:p>
    <w:p w14:paraId="3D92A490" w14:textId="552F24FB" w:rsidR="00900291" w:rsidRDefault="00900291" w:rsidP="00900291">
      <w:pPr>
        <w:pStyle w:val="FigureFooter"/>
      </w:pPr>
      <w:r>
        <w:t>Source: Claire et al. (2020)</w:t>
      </w:r>
    </w:p>
    <w:p w14:paraId="3DBFFBB5" w14:textId="77777777" w:rsidR="00900291" w:rsidRDefault="00900291" w:rsidP="001F1294">
      <w:pPr>
        <w:pStyle w:val="FigureFooter"/>
        <w:spacing w:after="120"/>
        <w:contextualSpacing w:val="0"/>
        <w:jc w:val="both"/>
      </w:pPr>
      <w:r>
        <w:t>Abbreviations: CI = confidence interval</w:t>
      </w:r>
    </w:p>
    <w:p w14:paraId="4D16BA47" w14:textId="66EF043D" w:rsidR="00B95CD0" w:rsidRDefault="00960B93" w:rsidP="001F1294">
      <w:pPr>
        <w:spacing w:after="120"/>
        <w:jc w:val="both"/>
      </w:pPr>
      <w:r>
        <w:t>Claire et al</w:t>
      </w:r>
      <w:r w:rsidR="00900291">
        <w:t>.</w:t>
      </w:r>
      <w:r>
        <w:t xml:space="preserve"> </w:t>
      </w:r>
      <w:r w:rsidR="00900291">
        <w:t>(</w:t>
      </w:r>
      <w:r>
        <w:t>2020</w:t>
      </w:r>
      <w:r w:rsidR="00900291">
        <w:t>)</w:t>
      </w:r>
      <w:r>
        <w:t xml:space="preserve"> also investigated the impact of NRT on smoking cessation after childbirth</w:t>
      </w:r>
      <w:r w:rsidR="00BC04D6">
        <w:t xml:space="preserve">. </w:t>
      </w:r>
      <w:r w:rsidR="00D14291">
        <w:t xml:space="preserve">There was no evidence of </w:t>
      </w:r>
      <w:r w:rsidR="001F1294">
        <w:t xml:space="preserve">a </w:t>
      </w:r>
      <w:r w:rsidR="00D14291">
        <w:t>clear benefit for NRT when p</w:t>
      </w:r>
      <w:r w:rsidR="00BC04D6">
        <w:t>ooling</w:t>
      </w:r>
      <w:r w:rsidR="00900291">
        <w:t xml:space="preserve"> the</w:t>
      </w:r>
      <w:r w:rsidR="00BC04D6">
        <w:t xml:space="preserve"> </w:t>
      </w:r>
      <w:r w:rsidR="00900291">
        <w:t>three</w:t>
      </w:r>
      <w:r w:rsidR="00BC04D6">
        <w:t xml:space="preserve"> studies that reported non-validated 7-day </w:t>
      </w:r>
      <w:r w:rsidR="001F1294">
        <w:t>point prevalence abstinence (</w:t>
      </w:r>
      <w:r w:rsidR="00BC04D6">
        <w:t>PPA</w:t>
      </w:r>
      <w:r w:rsidR="001F1294">
        <w:t>)</w:t>
      </w:r>
      <w:r w:rsidR="003A0B83">
        <w:t xml:space="preserve"> of</w:t>
      </w:r>
      <w:r w:rsidR="00BC04D6">
        <w:t xml:space="preserve"> up to </w:t>
      </w:r>
      <w:r w:rsidR="00485E09">
        <w:t>six</w:t>
      </w:r>
      <w:r w:rsidR="00BC04D6">
        <w:t xml:space="preserve"> months after childbirth</w:t>
      </w:r>
      <w:r w:rsidR="00D14291">
        <w:t xml:space="preserve"> (</w:t>
      </w:r>
      <w:r w:rsidR="00776A48">
        <w:t>RR</w:t>
      </w:r>
      <w:r w:rsidR="003A0B83">
        <w:t>:</w:t>
      </w:r>
      <w:r w:rsidR="00776A48">
        <w:t xml:space="preserve"> 1.22</w:t>
      </w:r>
      <w:r w:rsidR="003A0B83">
        <w:t>;</w:t>
      </w:r>
      <w:r w:rsidR="00776A48">
        <w:t xml:space="preserve"> 95%</w:t>
      </w:r>
      <w:r w:rsidR="003A0B83">
        <w:t xml:space="preserve"> </w:t>
      </w:r>
      <w:r w:rsidR="00776A48">
        <w:t>CI</w:t>
      </w:r>
      <w:r w:rsidR="003A0B83">
        <w:t>:</w:t>
      </w:r>
      <w:r w:rsidR="00776A48">
        <w:t xml:space="preserve"> 0.84</w:t>
      </w:r>
      <w:r w:rsidR="003A0B83">
        <w:t>,</w:t>
      </w:r>
      <w:r w:rsidR="00776A48">
        <w:t xml:space="preserve"> 1.78</w:t>
      </w:r>
      <w:r w:rsidR="003A0B83">
        <w:t>;</w:t>
      </w:r>
      <w:r w:rsidR="009E6483">
        <w:t xml:space="preserve"> 625 women) or when pooling </w:t>
      </w:r>
      <w:r w:rsidR="003A0B83">
        <w:t>the two</w:t>
      </w:r>
      <w:r w:rsidR="009E6483">
        <w:t xml:space="preserve"> studies</w:t>
      </w:r>
      <w:r w:rsidR="00A25FFE">
        <w:t xml:space="preserve"> that reported non-validated 7-day PPA </w:t>
      </w:r>
      <w:r w:rsidR="00BC095E">
        <w:t>one year after childbirth (RR</w:t>
      </w:r>
      <w:r w:rsidR="003A0B83">
        <w:t>:</w:t>
      </w:r>
      <w:r w:rsidR="00BC095E">
        <w:t xml:space="preserve"> 1.35</w:t>
      </w:r>
      <w:r w:rsidR="003A0B83">
        <w:t>;</w:t>
      </w:r>
      <w:r w:rsidR="00BC095E">
        <w:t xml:space="preserve"> 95%</w:t>
      </w:r>
      <w:r w:rsidR="003A0B83">
        <w:t xml:space="preserve"> </w:t>
      </w:r>
      <w:r w:rsidR="00BC095E">
        <w:t>CI</w:t>
      </w:r>
      <w:r w:rsidR="003A0B83">
        <w:t>:</w:t>
      </w:r>
      <w:r w:rsidR="00BC095E">
        <w:t xml:space="preserve"> 0.97</w:t>
      </w:r>
      <w:r w:rsidR="003A0B83">
        <w:t>,</w:t>
      </w:r>
      <w:r w:rsidR="00BC095E">
        <w:t xml:space="preserve"> 1.88</w:t>
      </w:r>
      <w:r w:rsidR="003A0B83">
        <w:t>;</w:t>
      </w:r>
      <w:r w:rsidR="00BC095E">
        <w:t xml:space="preserve"> 1</w:t>
      </w:r>
      <w:r w:rsidR="003A0B83">
        <w:t>,</w:t>
      </w:r>
      <w:r w:rsidR="00BC095E">
        <w:t>296 women).</w:t>
      </w:r>
    </w:p>
    <w:p w14:paraId="3D9E676F" w14:textId="405E0652" w:rsidR="003A0B83" w:rsidRPr="003A0B83" w:rsidRDefault="003A0B83" w:rsidP="001F1294">
      <w:pPr>
        <w:spacing w:after="120"/>
        <w:jc w:val="both"/>
        <w:rPr>
          <w:u w:val="single"/>
        </w:rPr>
      </w:pPr>
      <w:r w:rsidRPr="003A0B83">
        <w:rPr>
          <w:u w:val="single"/>
        </w:rPr>
        <w:t>Safety</w:t>
      </w:r>
    </w:p>
    <w:p w14:paraId="56F6A2AE" w14:textId="7588279C" w:rsidR="008203CD" w:rsidRDefault="008203CD" w:rsidP="00485E09">
      <w:pPr>
        <w:spacing w:after="120"/>
        <w:jc w:val="both"/>
      </w:pPr>
      <w:r w:rsidRPr="008203CD">
        <w:t xml:space="preserve">A summary of key adverse events comparing </w:t>
      </w:r>
      <w:r>
        <w:t>NRT</w:t>
      </w:r>
      <w:r w:rsidRPr="008203CD">
        <w:t xml:space="preserve"> with </w:t>
      </w:r>
      <w:r>
        <w:t xml:space="preserve">control </w:t>
      </w:r>
      <w:r w:rsidRPr="008203CD">
        <w:t>is presented in</w:t>
      </w:r>
      <w:r w:rsidR="00485E09">
        <w:t xml:space="preserve"> Table 128. </w:t>
      </w:r>
      <w:r w:rsidR="00E33F6D">
        <w:t>Based on the meta-analysis by Claire et al. (2020),</w:t>
      </w:r>
      <w:r w:rsidR="00081059">
        <w:t xml:space="preserve"> there were no statistically significant differences in rates of preterm births, neonatal intensive care unit admissions, neonatal deaths, congenital </w:t>
      </w:r>
      <w:r w:rsidR="00826C95">
        <w:t>abnormalities,</w:t>
      </w:r>
      <w:r w:rsidR="00081059">
        <w:t xml:space="preserve"> and caesarean birth between the two treatment arms. Similarly, no statistically significant difference</w:t>
      </w:r>
      <w:r w:rsidR="00E33F6D">
        <w:t>s</w:t>
      </w:r>
      <w:r w:rsidR="00081059">
        <w:t xml:space="preserve"> w</w:t>
      </w:r>
      <w:r w:rsidR="00E33F6D">
        <w:t>ere</w:t>
      </w:r>
      <w:r w:rsidR="00081059">
        <w:t xml:space="preserve"> </w:t>
      </w:r>
      <w:r w:rsidR="00E33F6D">
        <w:t>observed</w:t>
      </w:r>
      <w:r w:rsidR="00081059">
        <w:t xml:space="preserve"> for mean birthweight </w:t>
      </w:r>
      <w:r w:rsidR="00E33F6D">
        <w:t xml:space="preserve">(mean difference: 99.73g; 95% CI: -6.65, 206.10) </w:t>
      </w:r>
      <w:r w:rsidR="00081059">
        <w:t>and the risk of miscarriage/spontaneous abortion</w:t>
      </w:r>
      <w:r w:rsidR="00E33F6D">
        <w:t xml:space="preserve"> (RR: 1.60; 95% CI: 0.53, 4.83).</w:t>
      </w:r>
    </w:p>
    <w:p w14:paraId="6ADA16E2" w14:textId="77777777" w:rsidR="00D377A6" w:rsidRDefault="00D377A6">
      <w:pPr>
        <w:spacing w:line="276" w:lineRule="auto"/>
        <w:rPr>
          <w:rFonts w:asciiTheme="minorHAnsi" w:eastAsia="Times New Roman" w:hAnsiTheme="minorHAnsi" w:cs="Times New Roman"/>
          <w:b/>
          <w:bCs/>
          <w:szCs w:val="18"/>
        </w:rPr>
      </w:pPr>
      <w:bookmarkStart w:id="221" w:name="_Ref61873873"/>
      <w:r>
        <w:br w:type="page"/>
      </w:r>
    </w:p>
    <w:p w14:paraId="1027DC9D" w14:textId="1B17F44F" w:rsidR="00C96D69" w:rsidRDefault="00C96D69" w:rsidP="00D377A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128</w:t>
      </w:r>
      <w:r w:rsidR="00BF3F75">
        <w:rPr>
          <w:noProof/>
        </w:rPr>
        <w:fldChar w:fldCharType="end"/>
      </w:r>
      <w:bookmarkEnd w:id="221"/>
      <w:r>
        <w:t xml:space="preserve">: </w:t>
      </w:r>
      <w:r w:rsidRPr="000252BF">
        <w:t>Summary of key adverse events,</w:t>
      </w:r>
      <w:r w:rsidR="00EE3496">
        <w:t xml:space="preserve"> NRT</w:t>
      </w:r>
      <w:r w:rsidRPr="000252BF">
        <w:t xml:space="preserve"> versus </w:t>
      </w:r>
      <w:r w:rsidR="008203CD">
        <w:t>control</w:t>
      </w:r>
    </w:p>
    <w:tbl>
      <w:tblPr>
        <w:tblStyle w:val="TableGrid"/>
        <w:tblW w:w="0" w:type="auto"/>
        <w:tblLook w:val="04A0" w:firstRow="1" w:lastRow="0" w:firstColumn="1" w:lastColumn="0" w:noHBand="0" w:noVBand="1"/>
      </w:tblPr>
      <w:tblGrid>
        <w:gridCol w:w="1129"/>
        <w:gridCol w:w="1701"/>
        <w:gridCol w:w="1985"/>
        <w:gridCol w:w="1984"/>
        <w:gridCol w:w="2217"/>
      </w:tblGrid>
      <w:tr w:rsidR="00BE6CD7" w:rsidRPr="007D5EC7" w14:paraId="4AE9CC5D" w14:textId="77777777" w:rsidTr="00BE6CD7">
        <w:tc>
          <w:tcPr>
            <w:tcW w:w="1129" w:type="dxa"/>
            <w:shd w:val="clear" w:color="auto" w:fill="BFBFBF" w:themeFill="background1" w:themeFillShade="BF"/>
          </w:tcPr>
          <w:p w14:paraId="27E46A9C" w14:textId="77777777" w:rsidR="00BE6CD7" w:rsidRPr="00BE6CD7" w:rsidRDefault="00BE6CD7" w:rsidP="00BE6CD7">
            <w:pPr>
              <w:pStyle w:val="Tablewriting"/>
              <w:rPr>
                <w:b/>
                <w:bCs/>
              </w:rPr>
            </w:pPr>
            <w:r w:rsidRPr="00BE6CD7">
              <w:rPr>
                <w:b/>
                <w:bCs/>
              </w:rPr>
              <w:t>Study</w:t>
            </w:r>
          </w:p>
        </w:tc>
        <w:tc>
          <w:tcPr>
            <w:tcW w:w="1701" w:type="dxa"/>
            <w:shd w:val="clear" w:color="auto" w:fill="BFBFBF" w:themeFill="background1" w:themeFillShade="BF"/>
          </w:tcPr>
          <w:p w14:paraId="00DAAFDA" w14:textId="77777777" w:rsidR="00BE6CD7" w:rsidRPr="00BE6CD7" w:rsidRDefault="00BE6CD7" w:rsidP="00BE6CD7">
            <w:pPr>
              <w:pStyle w:val="Tablewriting"/>
              <w:jc w:val="center"/>
              <w:rPr>
                <w:b/>
                <w:bCs/>
              </w:rPr>
            </w:pPr>
            <w:r w:rsidRPr="00BE6CD7">
              <w:rPr>
                <w:b/>
                <w:bCs/>
              </w:rPr>
              <w:t>Study Type</w:t>
            </w:r>
          </w:p>
        </w:tc>
        <w:tc>
          <w:tcPr>
            <w:tcW w:w="1985" w:type="dxa"/>
            <w:shd w:val="clear" w:color="auto" w:fill="BFBFBF" w:themeFill="background1" w:themeFillShade="BF"/>
          </w:tcPr>
          <w:p w14:paraId="6098F51E" w14:textId="77777777" w:rsidR="00BE6CD7" w:rsidRPr="00BE6CD7" w:rsidRDefault="00BE6CD7" w:rsidP="00BE6CD7">
            <w:pPr>
              <w:pStyle w:val="Tablewriting"/>
              <w:jc w:val="center"/>
              <w:rPr>
                <w:b/>
                <w:bCs/>
              </w:rPr>
            </w:pPr>
            <w:r w:rsidRPr="00BE6CD7">
              <w:rPr>
                <w:b/>
                <w:bCs/>
              </w:rPr>
              <w:t>NRT</w:t>
            </w:r>
          </w:p>
        </w:tc>
        <w:tc>
          <w:tcPr>
            <w:tcW w:w="1984" w:type="dxa"/>
            <w:shd w:val="clear" w:color="auto" w:fill="BFBFBF" w:themeFill="background1" w:themeFillShade="BF"/>
          </w:tcPr>
          <w:p w14:paraId="67005F35" w14:textId="437F11F4" w:rsidR="00BE6CD7" w:rsidRPr="00BE6CD7" w:rsidRDefault="00EE3496" w:rsidP="00BE6CD7">
            <w:pPr>
              <w:pStyle w:val="Tablewriting"/>
              <w:jc w:val="center"/>
              <w:rPr>
                <w:b/>
                <w:bCs/>
              </w:rPr>
            </w:pPr>
            <w:r>
              <w:rPr>
                <w:b/>
                <w:bCs/>
              </w:rPr>
              <w:t>C</w:t>
            </w:r>
            <w:r w:rsidR="00BE6CD7" w:rsidRPr="00BE6CD7">
              <w:rPr>
                <w:b/>
                <w:bCs/>
              </w:rPr>
              <w:t>ontrol</w:t>
            </w:r>
            <w:r>
              <w:rPr>
                <w:b/>
                <w:bCs/>
              </w:rPr>
              <w:t>/Placebo</w:t>
            </w:r>
          </w:p>
        </w:tc>
        <w:tc>
          <w:tcPr>
            <w:tcW w:w="2217" w:type="dxa"/>
            <w:shd w:val="clear" w:color="auto" w:fill="BFBFBF" w:themeFill="background1" w:themeFillShade="BF"/>
          </w:tcPr>
          <w:p w14:paraId="102A8981" w14:textId="1660AD4D" w:rsidR="00BE6CD7" w:rsidRPr="00EE3496" w:rsidRDefault="00BE6CD7" w:rsidP="00BE6CD7">
            <w:pPr>
              <w:pStyle w:val="Tablewriting"/>
              <w:jc w:val="center"/>
              <w:rPr>
                <w:b/>
                <w:bCs/>
                <w:vertAlign w:val="superscript"/>
              </w:rPr>
            </w:pPr>
            <w:r w:rsidRPr="00BE6CD7">
              <w:rPr>
                <w:b/>
                <w:bCs/>
              </w:rPr>
              <w:t>RR (95%CI)</w:t>
            </w:r>
            <w:r w:rsidR="00EE3496">
              <w:rPr>
                <w:b/>
                <w:bCs/>
                <w:vertAlign w:val="superscript"/>
              </w:rPr>
              <w:t>1</w:t>
            </w:r>
          </w:p>
        </w:tc>
      </w:tr>
      <w:tr w:rsidR="003A0B83" w14:paraId="1155A09B" w14:textId="77777777" w:rsidTr="00B1096E">
        <w:tc>
          <w:tcPr>
            <w:tcW w:w="9016" w:type="dxa"/>
            <w:gridSpan w:val="5"/>
            <w:shd w:val="clear" w:color="auto" w:fill="auto"/>
          </w:tcPr>
          <w:p w14:paraId="0651F5F6" w14:textId="77777777" w:rsidR="003A0B83" w:rsidRPr="00B1096E" w:rsidRDefault="003A0B83" w:rsidP="00BE6CD7">
            <w:pPr>
              <w:pStyle w:val="Tablewriting"/>
              <w:rPr>
                <w:b/>
              </w:rPr>
            </w:pPr>
            <w:r w:rsidRPr="00B1096E">
              <w:rPr>
                <w:b/>
              </w:rPr>
              <w:t>Preterm births</w:t>
            </w:r>
          </w:p>
        </w:tc>
      </w:tr>
      <w:tr w:rsidR="00BE6CD7" w14:paraId="3377DA7C" w14:textId="77777777" w:rsidTr="00BE6CD7">
        <w:tc>
          <w:tcPr>
            <w:tcW w:w="1129" w:type="dxa"/>
          </w:tcPr>
          <w:p w14:paraId="61DD980B" w14:textId="77777777" w:rsidR="00BE6CD7" w:rsidRDefault="00BE6CD7" w:rsidP="00BE6CD7">
            <w:pPr>
              <w:pStyle w:val="Tablewriting"/>
            </w:pPr>
            <w:r>
              <w:t xml:space="preserve">Claire </w:t>
            </w:r>
          </w:p>
          <w:p w14:paraId="1CFF23AA" w14:textId="716D9CA8" w:rsidR="00BE6CD7" w:rsidRDefault="00BE6CD7" w:rsidP="00BE6CD7">
            <w:pPr>
              <w:pStyle w:val="Tablewriting"/>
            </w:pPr>
            <w:r>
              <w:t>(2020)</w:t>
            </w:r>
          </w:p>
        </w:tc>
        <w:tc>
          <w:tcPr>
            <w:tcW w:w="1701" w:type="dxa"/>
          </w:tcPr>
          <w:p w14:paraId="030803EF" w14:textId="38313261" w:rsidR="00BE6CD7" w:rsidRDefault="00BE6CD7" w:rsidP="00BE6CD7">
            <w:pPr>
              <w:pStyle w:val="Tablewriting"/>
              <w:jc w:val="center"/>
            </w:pPr>
            <w:r>
              <w:t>Cochrane Review (7 RCTs)</w:t>
            </w:r>
          </w:p>
        </w:tc>
        <w:tc>
          <w:tcPr>
            <w:tcW w:w="1985" w:type="dxa"/>
          </w:tcPr>
          <w:p w14:paraId="49E81ADD" w14:textId="77777777" w:rsidR="00BE6CD7" w:rsidRDefault="00BE6CD7" w:rsidP="00BE6CD7">
            <w:pPr>
              <w:pStyle w:val="Tablewriting"/>
              <w:jc w:val="center"/>
            </w:pPr>
            <w:r>
              <w:t>104/1,120</w:t>
            </w:r>
          </w:p>
          <w:p w14:paraId="658B8CC3" w14:textId="449ACC6A" w:rsidR="00C96D69" w:rsidRDefault="00C96D69" w:rsidP="00BE6CD7">
            <w:pPr>
              <w:pStyle w:val="Tablewriting"/>
              <w:jc w:val="center"/>
            </w:pPr>
            <w:r>
              <w:t>(</w:t>
            </w:r>
            <w:r w:rsidR="008203CD">
              <w:t>9.3</w:t>
            </w:r>
            <w:r>
              <w:t>%)</w:t>
            </w:r>
          </w:p>
        </w:tc>
        <w:tc>
          <w:tcPr>
            <w:tcW w:w="1984" w:type="dxa"/>
          </w:tcPr>
          <w:p w14:paraId="52B54640" w14:textId="77777777" w:rsidR="00BE6CD7" w:rsidRDefault="00BE6CD7" w:rsidP="00BE6CD7">
            <w:pPr>
              <w:pStyle w:val="Tablewriting"/>
              <w:jc w:val="center"/>
            </w:pPr>
            <w:r>
              <w:t>114/1</w:t>
            </w:r>
            <w:r w:rsidR="00C96D69">
              <w:t>,</w:t>
            </w:r>
            <w:r>
              <w:t>062</w:t>
            </w:r>
          </w:p>
          <w:p w14:paraId="35A403BD" w14:textId="2B30941F" w:rsidR="00C96D69" w:rsidRDefault="00C96D69" w:rsidP="00BE6CD7">
            <w:pPr>
              <w:pStyle w:val="Tablewriting"/>
              <w:jc w:val="center"/>
            </w:pPr>
            <w:r>
              <w:t>(</w:t>
            </w:r>
            <w:r w:rsidR="008203CD">
              <w:t>10.7</w:t>
            </w:r>
            <w:r>
              <w:t>%)</w:t>
            </w:r>
          </w:p>
        </w:tc>
        <w:tc>
          <w:tcPr>
            <w:tcW w:w="2217" w:type="dxa"/>
          </w:tcPr>
          <w:p w14:paraId="148297F8" w14:textId="77777777" w:rsidR="00BE6CD7" w:rsidRDefault="00BE6CD7" w:rsidP="00BE6CD7">
            <w:pPr>
              <w:pStyle w:val="Tablewriting"/>
              <w:jc w:val="center"/>
            </w:pPr>
            <w:r>
              <w:t xml:space="preserve">0.81 </w:t>
            </w:r>
          </w:p>
          <w:p w14:paraId="03501D11" w14:textId="7470553A" w:rsidR="00BE6CD7" w:rsidRDefault="00BE6CD7" w:rsidP="00BE6CD7">
            <w:pPr>
              <w:pStyle w:val="Tablewriting"/>
              <w:jc w:val="center"/>
            </w:pPr>
            <w:r>
              <w:t>(0.59 to 1.11)</w:t>
            </w:r>
          </w:p>
        </w:tc>
      </w:tr>
      <w:tr w:rsidR="003A0B83" w14:paraId="2B13EBFA" w14:textId="77777777" w:rsidTr="00B1096E">
        <w:tc>
          <w:tcPr>
            <w:tcW w:w="9016" w:type="dxa"/>
            <w:gridSpan w:val="5"/>
            <w:shd w:val="clear" w:color="auto" w:fill="auto"/>
          </w:tcPr>
          <w:p w14:paraId="1805A191" w14:textId="77777777" w:rsidR="003A0B83" w:rsidRPr="00B1096E" w:rsidRDefault="003A0B83" w:rsidP="00BE6CD7">
            <w:pPr>
              <w:pStyle w:val="Tablewriting"/>
              <w:rPr>
                <w:b/>
              </w:rPr>
            </w:pPr>
            <w:r w:rsidRPr="00B1096E">
              <w:rPr>
                <w:b/>
              </w:rPr>
              <w:t>Neonatal intensive care unit admissions</w:t>
            </w:r>
          </w:p>
        </w:tc>
      </w:tr>
      <w:tr w:rsidR="00BE6CD7" w14:paraId="144FEEC3" w14:textId="77777777" w:rsidTr="00BE6CD7">
        <w:tc>
          <w:tcPr>
            <w:tcW w:w="1129" w:type="dxa"/>
          </w:tcPr>
          <w:p w14:paraId="0195C7DB" w14:textId="77777777" w:rsidR="00BE6CD7" w:rsidRDefault="00BE6CD7" w:rsidP="00BE6CD7">
            <w:pPr>
              <w:pStyle w:val="Tablewriting"/>
            </w:pPr>
            <w:r>
              <w:t xml:space="preserve">Claire </w:t>
            </w:r>
          </w:p>
          <w:p w14:paraId="3650A76B" w14:textId="0810587D" w:rsidR="00BE6CD7" w:rsidRDefault="00BE6CD7" w:rsidP="00BE6CD7">
            <w:pPr>
              <w:pStyle w:val="Tablewriting"/>
            </w:pPr>
            <w:r>
              <w:t>(2020)</w:t>
            </w:r>
          </w:p>
        </w:tc>
        <w:tc>
          <w:tcPr>
            <w:tcW w:w="1701" w:type="dxa"/>
          </w:tcPr>
          <w:p w14:paraId="4F33864B" w14:textId="4CA7B084" w:rsidR="00BE6CD7" w:rsidRDefault="00BE6CD7" w:rsidP="00BE6CD7">
            <w:pPr>
              <w:pStyle w:val="Tablewriting"/>
              <w:jc w:val="center"/>
            </w:pPr>
            <w:r>
              <w:t>Cochrane Review (4 RCTs)</w:t>
            </w:r>
          </w:p>
        </w:tc>
        <w:tc>
          <w:tcPr>
            <w:tcW w:w="1985" w:type="dxa"/>
          </w:tcPr>
          <w:p w14:paraId="57BC5F9B" w14:textId="77777777" w:rsidR="00BE6CD7" w:rsidRDefault="00BE6CD7" w:rsidP="00BE6CD7">
            <w:pPr>
              <w:pStyle w:val="Tablewriting"/>
              <w:jc w:val="center"/>
            </w:pPr>
            <w:r>
              <w:t>63/908</w:t>
            </w:r>
          </w:p>
          <w:p w14:paraId="06B3BD99" w14:textId="0FBC67E9" w:rsidR="00C96D69" w:rsidRDefault="00C96D69" w:rsidP="00BE6CD7">
            <w:pPr>
              <w:pStyle w:val="Tablewriting"/>
              <w:jc w:val="center"/>
            </w:pPr>
            <w:r>
              <w:t>(</w:t>
            </w:r>
            <w:r w:rsidR="008203CD">
              <w:t>6.9</w:t>
            </w:r>
            <w:r>
              <w:t>%)</w:t>
            </w:r>
          </w:p>
        </w:tc>
        <w:tc>
          <w:tcPr>
            <w:tcW w:w="1984" w:type="dxa"/>
          </w:tcPr>
          <w:p w14:paraId="7B5D158E" w14:textId="77777777" w:rsidR="00BE6CD7" w:rsidRDefault="00BE6CD7" w:rsidP="00BE6CD7">
            <w:pPr>
              <w:pStyle w:val="Tablewriting"/>
              <w:jc w:val="center"/>
            </w:pPr>
            <w:r>
              <w:t>63/848</w:t>
            </w:r>
          </w:p>
          <w:p w14:paraId="387D3B99" w14:textId="42B323B9" w:rsidR="00C96D69" w:rsidRDefault="00C96D69" w:rsidP="00BE6CD7">
            <w:pPr>
              <w:pStyle w:val="Tablewriting"/>
              <w:jc w:val="center"/>
            </w:pPr>
            <w:r>
              <w:t>(</w:t>
            </w:r>
            <w:r w:rsidR="008203CD">
              <w:t>7.4</w:t>
            </w:r>
            <w:r>
              <w:t>%)</w:t>
            </w:r>
          </w:p>
        </w:tc>
        <w:tc>
          <w:tcPr>
            <w:tcW w:w="2217" w:type="dxa"/>
          </w:tcPr>
          <w:p w14:paraId="137B6366" w14:textId="77777777" w:rsidR="00BE6CD7" w:rsidRDefault="00BE6CD7" w:rsidP="00BE6CD7">
            <w:pPr>
              <w:pStyle w:val="Tablewriting"/>
              <w:jc w:val="center"/>
            </w:pPr>
            <w:r>
              <w:t xml:space="preserve">0.90 </w:t>
            </w:r>
          </w:p>
          <w:p w14:paraId="18FBF0C2" w14:textId="710CCF58" w:rsidR="00BE6CD7" w:rsidRDefault="00BE6CD7" w:rsidP="00BE6CD7">
            <w:pPr>
              <w:pStyle w:val="Tablewriting"/>
              <w:jc w:val="center"/>
            </w:pPr>
            <w:r>
              <w:t>(0.63 to 1.27)</w:t>
            </w:r>
          </w:p>
        </w:tc>
      </w:tr>
      <w:tr w:rsidR="003A0B83" w14:paraId="3BD617F3" w14:textId="77777777" w:rsidTr="00B1096E">
        <w:tc>
          <w:tcPr>
            <w:tcW w:w="9016" w:type="dxa"/>
            <w:gridSpan w:val="5"/>
            <w:shd w:val="clear" w:color="auto" w:fill="auto"/>
          </w:tcPr>
          <w:p w14:paraId="59876FBA" w14:textId="77777777" w:rsidR="003A0B83" w:rsidRPr="00B1096E" w:rsidRDefault="003A0B83" w:rsidP="00BE6CD7">
            <w:pPr>
              <w:pStyle w:val="Tablewriting"/>
              <w:rPr>
                <w:b/>
              </w:rPr>
            </w:pPr>
            <w:r w:rsidRPr="00B1096E">
              <w:rPr>
                <w:b/>
              </w:rPr>
              <w:t>Neonatal deaths</w:t>
            </w:r>
          </w:p>
        </w:tc>
      </w:tr>
      <w:tr w:rsidR="00BE6CD7" w14:paraId="03DA3F96" w14:textId="77777777" w:rsidTr="00BE6CD7">
        <w:tc>
          <w:tcPr>
            <w:tcW w:w="1129" w:type="dxa"/>
          </w:tcPr>
          <w:p w14:paraId="2F2513D8" w14:textId="77777777" w:rsidR="00BE6CD7" w:rsidRDefault="00BE6CD7" w:rsidP="00BE6CD7">
            <w:pPr>
              <w:pStyle w:val="Tablewriting"/>
            </w:pPr>
            <w:r>
              <w:t xml:space="preserve">Claire </w:t>
            </w:r>
          </w:p>
          <w:p w14:paraId="1F6195E7" w14:textId="36006775" w:rsidR="00BE6CD7" w:rsidRDefault="00BE6CD7" w:rsidP="00BE6CD7">
            <w:pPr>
              <w:pStyle w:val="Tablewriting"/>
            </w:pPr>
            <w:r>
              <w:t>(2020)</w:t>
            </w:r>
          </w:p>
        </w:tc>
        <w:tc>
          <w:tcPr>
            <w:tcW w:w="1701" w:type="dxa"/>
          </w:tcPr>
          <w:p w14:paraId="7DC08379" w14:textId="087B87D9" w:rsidR="00BE6CD7" w:rsidRDefault="00BE6CD7" w:rsidP="00BE6CD7">
            <w:pPr>
              <w:pStyle w:val="Tablewriting"/>
              <w:jc w:val="center"/>
            </w:pPr>
            <w:r>
              <w:t>Cochrane Review (4 RCTs)</w:t>
            </w:r>
          </w:p>
        </w:tc>
        <w:tc>
          <w:tcPr>
            <w:tcW w:w="1985" w:type="dxa"/>
          </w:tcPr>
          <w:p w14:paraId="5EBFBB20" w14:textId="77777777" w:rsidR="00BE6CD7" w:rsidRDefault="00BE6CD7" w:rsidP="00BE6CD7">
            <w:pPr>
              <w:pStyle w:val="Tablewriting"/>
              <w:jc w:val="center"/>
            </w:pPr>
            <w:r>
              <w:t>4/898</w:t>
            </w:r>
          </w:p>
          <w:p w14:paraId="5D80C0E0" w14:textId="4466B3D5" w:rsidR="00C96D69" w:rsidRDefault="00C96D69" w:rsidP="00BE6CD7">
            <w:pPr>
              <w:pStyle w:val="Tablewriting"/>
              <w:jc w:val="center"/>
            </w:pPr>
            <w:r>
              <w:t>(</w:t>
            </w:r>
            <w:r w:rsidR="008203CD">
              <w:t>0.4</w:t>
            </w:r>
            <w:r>
              <w:t>%)</w:t>
            </w:r>
          </w:p>
        </w:tc>
        <w:tc>
          <w:tcPr>
            <w:tcW w:w="1984" w:type="dxa"/>
          </w:tcPr>
          <w:p w14:paraId="7C752CE8" w14:textId="77777777" w:rsidR="00BE6CD7" w:rsidRDefault="00BE6CD7" w:rsidP="00BE6CD7">
            <w:pPr>
              <w:pStyle w:val="Tablewriting"/>
              <w:jc w:val="center"/>
            </w:pPr>
            <w:r>
              <w:t>5/848</w:t>
            </w:r>
          </w:p>
          <w:p w14:paraId="2F743E66" w14:textId="48891D73" w:rsidR="00C96D69" w:rsidRDefault="00C96D69" w:rsidP="00BE6CD7">
            <w:pPr>
              <w:pStyle w:val="Tablewriting"/>
              <w:jc w:val="center"/>
            </w:pPr>
            <w:r>
              <w:t>(</w:t>
            </w:r>
            <w:r w:rsidR="008203CD">
              <w:t>0.6</w:t>
            </w:r>
            <w:r>
              <w:t>%)</w:t>
            </w:r>
          </w:p>
        </w:tc>
        <w:tc>
          <w:tcPr>
            <w:tcW w:w="2217" w:type="dxa"/>
          </w:tcPr>
          <w:p w14:paraId="5E99E3D5" w14:textId="77777777" w:rsidR="00BE6CD7" w:rsidRDefault="00BE6CD7" w:rsidP="00BE6CD7">
            <w:pPr>
              <w:pStyle w:val="Tablewriting"/>
              <w:jc w:val="center"/>
            </w:pPr>
            <w:r>
              <w:t xml:space="preserve">0.66 </w:t>
            </w:r>
          </w:p>
          <w:p w14:paraId="7364FA10" w14:textId="7FA1006A" w:rsidR="00BE6CD7" w:rsidRDefault="00BE6CD7" w:rsidP="00BE6CD7">
            <w:pPr>
              <w:pStyle w:val="Tablewriting"/>
              <w:jc w:val="center"/>
            </w:pPr>
            <w:r>
              <w:t>(0.17 to 2.62)</w:t>
            </w:r>
          </w:p>
        </w:tc>
      </w:tr>
      <w:tr w:rsidR="003A0B83" w14:paraId="584942F8" w14:textId="77777777" w:rsidTr="00B1096E">
        <w:tc>
          <w:tcPr>
            <w:tcW w:w="9016" w:type="dxa"/>
            <w:gridSpan w:val="5"/>
            <w:shd w:val="clear" w:color="auto" w:fill="auto"/>
          </w:tcPr>
          <w:p w14:paraId="66C61610" w14:textId="47B75CDC" w:rsidR="003A0B83" w:rsidRPr="00B1096E" w:rsidRDefault="003A0B83" w:rsidP="00BE6CD7">
            <w:pPr>
              <w:pStyle w:val="Tablewriting"/>
              <w:rPr>
                <w:b/>
              </w:rPr>
            </w:pPr>
            <w:r w:rsidRPr="00B1096E">
              <w:rPr>
                <w:b/>
              </w:rPr>
              <w:t>Congenital a</w:t>
            </w:r>
            <w:r w:rsidR="00821BAA" w:rsidRPr="00B1096E">
              <w:rPr>
                <w:b/>
              </w:rPr>
              <w:t>bnormalities</w:t>
            </w:r>
          </w:p>
        </w:tc>
      </w:tr>
      <w:tr w:rsidR="00BE6CD7" w14:paraId="15D1BAA6" w14:textId="77777777" w:rsidTr="00BE6CD7">
        <w:tc>
          <w:tcPr>
            <w:tcW w:w="1129" w:type="dxa"/>
          </w:tcPr>
          <w:p w14:paraId="293B12B9" w14:textId="77777777" w:rsidR="00BE6CD7" w:rsidRDefault="00BE6CD7" w:rsidP="00BE6CD7">
            <w:pPr>
              <w:pStyle w:val="Tablewriting"/>
            </w:pPr>
            <w:r>
              <w:t xml:space="preserve">Claire </w:t>
            </w:r>
          </w:p>
          <w:p w14:paraId="0D9B1829" w14:textId="41FCF4FF" w:rsidR="00BE6CD7" w:rsidRDefault="00BE6CD7" w:rsidP="00BE6CD7">
            <w:pPr>
              <w:pStyle w:val="Tablewriting"/>
            </w:pPr>
            <w:r>
              <w:t>(2020)</w:t>
            </w:r>
          </w:p>
        </w:tc>
        <w:tc>
          <w:tcPr>
            <w:tcW w:w="1701" w:type="dxa"/>
          </w:tcPr>
          <w:p w14:paraId="11FA9E3C" w14:textId="442C7F5D" w:rsidR="00BE6CD7" w:rsidRDefault="00BE6CD7" w:rsidP="00BE6CD7">
            <w:pPr>
              <w:pStyle w:val="Tablewriting"/>
              <w:jc w:val="center"/>
            </w:pPr>
            <w:r>
              <w:t>Cochrane Review (2 RCTs)</w:t>
            </w:r>
          </w:p>
        </w:tc>
        <w:tc>
          <w:tcPr>
            <w:tcW w:w="1985" w:type="dxa"/>
          </w:tcPr>
          <w:p w14:paraId="5CA3ADC0" w14:textId="77777777" w:rsidR="00BE6CD7" w:rsidRDefault="00BE6CD7" w:rsidP="00BE6CD7">
            <w:pPr>
              <w:pStyle w:val="Tablewriting"/>
              <w:jc w:val="center"/>
            </w:pPr>
            <w:r>
              <w:t>13/696</w:t>
            </w:r>
          </w:p>
          <w:p w14:paraId="56952642" w14:textId="5A6BCAEC" w:rsidR="00C96D69" w:rsidRDefault="00C96D69" w:rsidP="00BE6CD7">
            <w:pPr>
              <w:pStyle w:val="Tablewriting"/>
              <w:jc w:val="center"/>
            </w:pPr>
            <w:r>
              <w:t>(</w:t>
            </w:r>
            <w:r w:rsidR="008203CD">
              <w:t>1.9</w:t>
            </w:r>
            <w:r>
              <w:t>%)</w:t>
            </w:r>
          </w:p>
        </w:tc>
        <w:tc>
          <w:tcPr>
            <w:tcW w:w="1984" w:type="dxa"/>
          </w:tcPr>
          <w:p w14:paraId="39FA9B9B" w14:textId="77777777" w:rsidR="00BE6CD7" w:rsidRDefault="00BE6CD7" w:rsidP="00BE6CD7">
            <w:pPr>
              <w:pStyle w:val="Tablewriting"/>
              <w:jc w:val="center"/>
            </w:pPr>
            <w:r>
              <w:t>18/705</w:t>
            </w:r>
          </w:p>
          <w:p w14:paraId="32E9903D" w14:textId="3A4C6154" w:rsidR="00C96D69" w:rsidRDefault="00C96D69" w:rsidP="00BE6CD7">
            <w:pPr>
              <w:pStyle w:val="Tablewriting"/>
              <w:jc w:val="center"/>
            </w:pPr>
            <w:r>
              <w:t>(</w:t>
            </w:r>
            <w:r w:rsidR="008203CD">
              <w:t>2.6</w:t>
            </w:r>
            <w:r>
              <w:t>%)</w:t>
            </w:r>
          </w:p>
        </w:tc>
        <w:tc>
          <w:tcPr>
            <w:tcW w:w="2217" w:type="dxa"/>
          </w:tcPr>
          <w:p w14:paraId="62F7DFDF" w14:textId="77777777" w:rsidR="00BE6CD7" w:rsidRDefault="00BE6CD7" w:rsidP="00BE6CD7">
            <w:pPr>
              <w:pStyle w:val="Tablewriting"/>
              <w:jc w:val="center"/>
            </w:pPr>
            <w:r>
              <w:t xml:space="preserve">0.73 </w:t>
            </w:r>
          </w:p>
          <w:p w14:paraId="0B960886" w14:textId="50C65000" w:rsidR="00BE6CD7" w:rsidRDefault="00BE6CD7" w:rsidP="00BE6CD7">
            <w:pPr>
              <w:pStyle w:val="Tablewriting"/>
              <w:jc w:val="center"/>
            </w:pPr>
            <w:r>
              <w:t>(0.36 to 1.48)</w:t>
            </w:r>
          </w:p>
        </w:tc>
      </w:tr>
      <w:tr w:rsidR="00BE6CD7" w14:paraId="5058F3D0" w14:textId="77777777" w:rsidTr="00B1096E">
        <w:tc>
          <w:tcPr>
            <w:tcW w:w="9016" w:type="dxa"/>
            <w:gridSpan w:val="5"/>
            <w:shd w:val="clear" w:color="auto" w:fill="auto"/>
          </w:tcPr>
          <w:p w14:paraId="6091B1A5" w14:textId="52E0EED6" w:rsidR="00BE6CD7" w:rsidRPr="00B1096E" w:rsidRDefault="00BE6CD7" w:rsidP="00BE6CD7">
            <w:pPr>
              <w:pStyle w:val="Tablewriting"/>
              <w:rPr>
                <w:b/>
              </w:rPr>
            </w:pPr>
            <w:r w:rsidRPr="00B1096E">
              <w:rPr>
                <w:b/>
              </w:rPr>
              <w:t>Caesarean birth</w:t>
            </w:r>
          </w:p>
        </w:tc>
      </w:tr>
      <w:tr w:rsidR="00BE6CD7" w14:paraId="4AC6BFA6" w14:textId="77777777" w:rsidTr="00BE6CD7">
        <w:tc>
          <w:tcPr>
            <w:tcW w:w="1129" w:type="dxa"/>
          </w:tcPr>
          <w:p w14:paraId="6A394DE3" w14:textId="77777777" w:rsidR="00BE6CD7" w:rsidRDefault="00BE6CD7" w:rsidP="00BE6CD7">
            <w:pPr>
              <w:pStyle w:val="Tablewriting"/>
            </w:pPr>
            <w:r>
              <w:t xml:space="preserve">Claire </w:t>
            </w:r>
          </w:p>
          <w:p w14:paraId="7F8E497A" w14:textId="7D332CAA" w:rsidR="00BE6CD7" w:rsidRDefault="00BE6CD7" w:rsidP="00BE6CD7">
            <w:pPr>
              <w:pStyle w:val="Tablewriting"/>
            </w:pPr>
            <w:r>
              <w:t>(2020)</w:t>
            </w:r>
          </w:p>
        </w:tc>
        <w:tc>
          <w:tcPr>
            <w:tcW w:w="1701" w:type="dxa"/>
          </w:tcPr>
          <w:p w14:paraId="10A5C223" w14:textId="63948FF4" w:rsidR="00BE6CD7" w:rsidRDefault="00BE6CD7" w:rsidP="00BE6CD7">
            <w:pPr>
              <w:pStyle w:val="Tablewriting"/>
              <w:jc w:val="center"/>
            </w:pPr>
            <w:r>
              <w:t>Cochrane Review (2 RCTs)</w:t>
            </w:r>
          </w:p>
        </w:tc>
        <w:tc>
          <w:tcPr>
            <w:tcW w:w="1985" w:type="dxa"/>
          </w:tcPr>
          <w:p w14:paraId="38D61E64" w14:textId="77777777" w:rsidR="00BE6CD7" w:rsidRDefault="00BE6CD7" w:rsidP="00BE6CD7">
            <w:pPr>
              <w:pStyle w:val="Tablewriting"/>
              <w:jc w:val="center"/>
            </w:pPr>
            <w:r>
              <w:t>133/696</w:t>
            </w:r>
          </w:p>
          <w:p w14:paraId="42157316" w14:textId="55B9828B" w:rsidR="00C96D69" w:rsidRDefault="00C96D69" w:rsidP="00BE6CD7">
            <w:pPr>
              <w:pStyle w:val="Tablewriting"/>
              <w:jc w:val="center"/>
            </w:pPr>
            <w:r>
              <w:t>(</w:t>
            </w:r>
            <w:r w:rsidR="008203CD">
              <w:t>19.1</w:t>
            </w:r>
            <w:r>
              <w:t>%)</w:t>
            </w:r>
          </w:p>
        </w:tc>
        <w:tc>
          <w:tcPr>
            <w:tcW w:w="1984" w:type="dxa"/>
          </w:tcPr>
          <w:p w14:paraId="115918FB" w14:textId="77777777" w:rsidR="00BE6CD7" w:rsidRDefault="00BE6CD7" w:rsidP="00BE6CD7">
            <w:pPr>
              <w:pStyle w:val="Tablewriting"/>
              <w:jc w:val="center"/>
            </w:pPr>
            <w:r>
              <w:t>109/705</w:t>
            </w:r>
          </w:p>
          <w:p w14:paraId="4BECD993" w14:textId="19C00242" w:rsidR="00C96D69" w:rsidRDefault="00C96D69" w:rsidP="00BE6CD7">
            <w:pPr>
              <w:pStyle w:val="Tablewriting"/>
              <w:jc w:val="center"/>
            </w:pPr>
            <w:r>
              <w:t>(</w:t>
            </w:r>
            <w:r w:rsidR="008203CD">
              <w:t>15.5</w:t>
            </w:r>
            <w:r>
              <w:t>%)</w:t>
            </w:r>
          </w:p>
        </w:tc>
        <w:tc>
          <w:tcPr>
            <w:tcW w:w="2217" w:type="dxa"/>
          </w:tcPr>
          <w:p w14:paraId="71F2DE39" w14:textId="77777777" w:rsidR="00BE6CD7" w:rsidRDefault="00BE6CD7" w:rsidP="00BE6CD7">
            <w:pPr>
              <w:pStyle w:val="Tablewriting"/>
              <w:jc w:val="center"/>
            </w:pPr>
            <w:r>
              <w:t xml:space="preserve">1.18 </w:t>
            </w:r>
          </w:p>
          <w:p w14:paraId="04EE7337" w14:textId="5A545FFA" w:rsidR="00BE6CD7" w:rsidRDefault="00BE6CD7" w:rsidP="00BE6CD7">
            <w:pPr>
              <w:pStyle w:val="Tablewriting"/>
              <w:jc w:val="center"/>
            </w:pPr>
            <w:r>
              <w:t>(0.83 to 1.69)</w:t>
            </w:r>
          </w:p>
        </w:tc>
      </w:tr>
    </w:tbl>
    <w:p w14:paraId="16B3F265" w14:textId="5559979C" w:rsidR="00EE3496" w:rsidRDefault="00EE3496" w:rsidP="00D377A6">
      <w:pPr>
        <w:pStyle w:val="TableFooter"/>
        <w:keepNext/>
        <w:jc w:val="both"/>
      </w:pPr>
      <w:r>
        <w:t>Source: Claire et al. (2020)</w:t>
      </w:r>
    </w:p>
    <w:p w14:paraId="1066BFCC" w14:textId="5D10D7B2" w:rsidR="00EE3496" w:rsidRDefault="00EE3496" w:rsidP="00D377A6">
      <w:pPr>
        <w:pStyle w:val="TableFooter"/>
        <w:keepNext/>
        <w:jc w:val="both"/>
      </w:pPr>
      <w:r>
        <w:t>Abbreviations: CI = confidence interval; RCT = randomised controlled trial; RR = risk ratio</w:t>
      </w:r>
    </w:p>
    <w:p w14:paraId="50D8A3F0" w14:textId="19F3DCF0" w:rsidR="00EE3496" w:rsidRDefault="00EE3496" w:rsidP="00D377A6">
      <w:pPr>
        <w:pStyle w:val="TableFooter"/>
        <w:keepNext/>
        <w:jc w:val="both"/>
      </w:pPr>
      <w:r w:rsidRPr="00FD4061">
        <w:t>Note</w:t>
      </w:r>
      <w:r>
        <w:t>s</w:t>
      </w:r>
      <w:r w:rsidRPr="00FD4061">
        <w:t>: Bold indicates statistically significant difference.</w:t>
      </w:r>
      <w:r>
        <w:t xml:space="preserve"> See </w:t>
      </w:r>
      <w:r w:rsidRPr="00B25100">
        <w:t>Appendix</w:t>
      </w:r>
      <w:r>
        <w:t xml:space="preserve"> </w:t>
      </w:r>
      <w:r w:rsidR="00576A9E" w:rsidRPr="00B25100">
        <w:fldChar w:fldCharType="begin" w:fldLock="1"/>
      </w:r>
      <w:r w:rsidR="00576A9E" w:rsidRPr="00580379">
        <w:instrText xml:space="preserve"> REF _Ref62220308 \h </w:instrText>
      </w:r>
      <w:r w:rsidR="00580379">
        <w:instrText xml:space="preserve"> \* MERGEFORMAT </w:instrText>
      </w:r>
      <w:r w:rsidR="00576A9E" w:rsidRPr="00B25100">
        <w:fldChar w:fldCharType="separate"/>
      </w:r>
      <w:r w:rsidR="00EC5CC7">
        <w:t xml:space="preserve">Figure </w:t>
      </w:r>
      <w:r w:rsidR="00EC5CC7">
        <w:rPr>
          <w:noProof/>
        </w:rPr>
        <w:t>115</w:t>
      </w:r>
      <w:r w:rsidR="00576A9E" w:rsidRPr="00B25100">
        <w:fldChar w:fldCharType="end"/>
      </w:r>
      <w:r w:rsidR="00576A9E" w:rsidRPr="00B25100">
        <w:t xml:space="preserve"> to </w:t>
      </w:r>
      <w:r w:rsidR="00576A9E" w:rsidRPr="00B25100">
        <w:fldChar w:fldCharType="begin" w:fldLock="1"/>
      </w:r>
      <w:r w:rsidR="00576A9E" w:rsidRPr="00B25100">
        <w:instrText xml:space="preserve"> REF _Ref62220309 \h </w:instrText>
      </w:r>
      <w:r w:rsidR="00580379">
        <w:instrText xml:space="preserve"> \* MERGEFORMAT </w:instrText>
      </w:r>
      <w:r w:rsidR="00576A9E" w:rsidRPr="00B25100">
        <w:fldChar w:fldCharType="separate"/>
      </w:r>
      <w:r w:rsidR="00EC5CC7">
        <w:t xml:space="preserve">Figure </w:t>
      </w:r>
      <w:r w:rsidR="00EC5CC7">
        <w:rPr>
          <w:noProof/>
        </w:rPr>
        <w:t>119</w:t>
      </w:r>
      <w:r w:rsidR="00576A9E" w:rsidRPr="00B25100">
        <w:fldChar w:fldCharType="end"/>
      </w:r>
      <w:r>
        <w:t xml:space="preserve"> for forest plots of the respective outcomes which included the results of individual studies.</w:t>
      </w:r>
    </w:p>
    <w:p w14:paraId="4544036D" w14:textId="0BF48BBD" w:rsidR="00EE3496" w:rsidRDefault="00EE3496" w:rsidP="00D377A6">
      <w:pPr>
        <w:pStyle w:val="TableFooter"/>
        <w:keepNext/>
        <w:spacing w:after="120"/>
        <w:contextualSpacing w:val="0"/>
        <w:jc w:val="both"/>
      </w:pPr>
      <w:r>
        <w:t xml:space="preserve">1 </w:t>
      </w:r>
      <w:r w:rsidRPr="00B25100">
        <w:t>Calculated by Cochrane Review authors using a random-effect model</w:t>
      </w:r>
      <w:r w:rsidR="005A689C">
        <w:t>.</w:t>
      </w:r>
    </w:p>
    <w:p w14:paraId="717ECD84" w14:textId="5737D998" w:rsidR="000B61FD" w:rsidRDefault="000B61FD" w:rsidP="00D377A6">
      <w:pPr>
        <w:spacing w:after="120"/>
        <w:jc w:val="both"/>
      </w:pPr>
      <w:r>
        <w:t xml:space="preserve">Claire et al. (2020) provided a narrative synthesis of non-serious adverse effects reported from </w:t>
      </w:r>
      <w:r w:rsidR="00485E09">
        <w:t>six</w:t>
      </w:r>
      <w:r>
        <w:t xml:space="preserve"> RCTs. Only one study (Oncken et al. 2019) reported a significantly higher number of non-serious adverse events (</w:t>
      </w:r>
      <w:r w:rsidR="00826C95">
        <w:t>i.e.,</w:t>
      </w:r>
      <w:r>
        <w:t xml:space="preserve"> throat irritation, cough, nausea) in women using NRT inhaler (11%) than placebo inhaler (0%), and two women in this study discontinu</w:t>
      </w:r>
      <w:r w:rsidR="00D377A6">
        <w:t>ed</w:t>
      </w:r>
      <w:r>
        <w:t xml:space="preserve"> treatment due to persistently elevated cotinine concentrations.</w:t>
      </w:r>
    </w:p>
    <w:p w14:paraId="2C4B6E85" w14:textId="50848D54" w:rsidR="002612A0" w:rsidRDefault="002612A0" w:rsidP="00D377A6">
      <w:pPr>
        <w:spacing w:after="120"/>
        <w:jc w:val="both"/>
        <w:rPr>
          <w:b/>
          <w:bCs/>
        </w:rPr>
      </w:pPr>
      <w:r w:rsidRPr="000B61FD">
        <w:rPr>
          <w:b/>
          <w:bCs/>
        </w:rPr>
        <w:t>Bupropion</w:t>
      </w:r>
    </w:p>
    <w:p w14:paraId="2F78A410" w14:textId="576CBD40" w:rsidR="000B61FD" w:rsidRPr="000B61FD" w:rsidRDefault="000B61FD" w:rsidP="00D377A6">
      <w:pPr>
        <w:spacing w:after="120"/>
        <w:jc w:val="both"/>
        <w:rPr>
          <w:u w:val="single"/>
        </w:rPr>
      </w:pPr>
      <w:r>
        <w:rPr>
          <w:u w:val="single"/>
        </w:rPr>
        <w:t xml:space="preserve">Efficacy </w:t>
      </w:r>
    </w:p>
    <w:p w14:paraId="12F3EA19" w14:textId="1C5C6CA5" w:rsidR="009F7BDF" w:rsidRDefault="004A57A6" w:rsidP="00D377A6">
      <w:pPr>
        <w:spacing w:after="120"/>
        <w:jc w:val="both"/>
      </w:pPr>
      <w:r w:rsidRPr="004A57A6">
        <w:t xml:space="preserve">A summary of the smoking cessation rates at the longest follow-up comparing </w:t>
      </w:r>
      <w:r w:rsidR="00C73CD3">
        <w:t>bupropion</w:t>
      </w:r>
      <w:r w:rsidRPr="004A57A6">
        <w:t xml:space="preserve"> with </w:t>
      </w:r>
      <w:r w:rsidR="00C73CD3">
        <w:t>placebo</w:t>
      </w:r>
      <w:r w:rsidRPr="004A57A6">
        <w:t xml:space="preserve"> is presented in </w:t>
      </w:r>
      <w:r w:rsidR="00C73CD3">
        <w:fldChar w:fldCharType="begin" w:fldLock="1"/>
      </w:r>
      <w:r w:rsidR="00C73CD3">
        <w:instrText xml:space="preserve"> REF _Ref61874659 \h </w:instrText>
      </w:r>
      <w:r w:rsidR="00D377A6">
        <w:instrText xml:space="preserve"> \* MERGEFORMAT </w:instrText>
      </w:r>
      <w:r w:rsidR="00C73CD3">
        <w:fldChar w:fldCharType="separate"/>
      </w:r>
      <w:r w:rsidR="00EC5CC7">
        <w:t xml:space="preserve">Table </w:t>
      </w:r>
      <w:r w:rsidR="00EC5CC7">
        <w:rPr>
          <w:noProof/>
        </w:rPr>
        <w:t>129</w:t>
      </w:r>
      <w:r w:rsidR="00C73CD3">
        <w:fldChar w:fldCharType="end"/>
      </w:r>
      <w:r w:rsidRPr="004A57A6">
        <w:t xml:space="preserve">. The results of the meta-analysis comprising </w:t>
      </w:r>
      <w:r w:rsidR="00C73CD3">
        <w:t>two</w:t>
      </w:r>
      <w:r w:rsidRPr="004A57A6">
        <w:t xml:space="preserve"> RCTs by Claire et al. (2020) demonstrated </w:t>
      </w:r>
      <w:r w:rsidR="00C73CD3">
        <w:t>no statistically significant difference in smoking cessation rates between the two treatment arms, noting the relatively small sample size</w:t>
      </w:r>
      <w:r w:rsidRPr="004A57A6">
        <w:t xml:space="preserve">. </w:t>
      </w:r>
    </w:p>
    <w:p w14:paraId="3E0B476B" w14:textId="38000ABA" w:rsidR="004A57A6" w:rsidRDefault="004A57A6" w:rsidP="00D377A6">
      <w:pPr>
        <w:pStyle w:val="Caption"/>
        <w:keepNext/>
        <w:spacing w:before="0" w:after="120"/>
        <w:jc w:val="both"/>
      </w:pPr>
      <w:bookmarkStart w:id="222" w:name="_Ref61874659"/>
      <w:r>
        <w:t xml:space="preserve">Table </w:t>
      </w:r>
      <w:r w:rsidR="00BF3F75">
        <w:fldChar w:fldCharType="begin"/>
      </w:r>
      <w:r w:rsidR="00BF3F75">
        <w:instrText xml:space="preserve"> SEQ Table \* ARABIC </w:instrText>
      </w:r>
      <w:r w:rsidR="00BF3F75">
        <w:fldChar w:fldCharType="separate"/>
      </w:r>
      <w:r w:rsidR="00EC5CC7">
        <w:rPr>
          <w:noProof/>
        </w:rPr>
        <w:t>129</w:t>
      </w:r>
      <w:r w:rsidR="00BF3F75">
        <w:rPr>
          <w:noProof/>
        </w:rPr>
        <w:fldChar w:fldCharType="end"/>
      </w:r>
      <w:bookmarkEnd w:id="222"/>
      <w:r>
        <w:t xml:space="preserve">: </w:t>
      </w:r>
      <w:r w:rsidRPr="00EC2D54">
        <w:t xml:space="preserve">Results of smoking cessation in later pregnancy in Claire et al. (2020), </w:t>
      </w:r>
      <w:r>
        <w:t>bupropion</w:t>
      </w:r>
      <w:r w:rsidRPr="00EC2D54">
        <w:t xml:space="preserve"> versus </w:t>
      </w:r>
      <w:r>
        <w:t>placebo</w:t>
      </w:r>
    </w:p>
    <w:tbl>
      <w:tblPr>
        <w:tblStyle w:val="TableGrid"/>
        <w:tblW w:w="5000" w:type="pct"/>
        <w:tblLook w:val="04A0" w:firstRow="1" w:lastRow="0" w:firstColumn="1" w:lastColumn="0" w:noHBand="0" w:noVBand="1"/>
      </w:tblPr>
      <w:tblGrid>
        <w:gridCol w:w="1128"/>
        <w:gridCol w:w="1985"/>
        <w:gridCol w:w="1984"/>
        <w:gridCol w:w="2121"/>
        <w:gridCol w:w="1798"/>
      </w:tblGrid>
      <w:tr w:rsidR="00261EB1" w:rsidRPr="007D5EC7" w14:paraId="455D3C3D" w14:textId="77777777" w:rsidTr="00261EB1">
        <w:tc>
          <w:tcPr>
            <w:tcW w:w="626" w:type="pct"/>
            <w:shd w:val="clear" w:color="auto" w:fill="BFBFBF" w:themeFill="background1" w:themeFillShade="BF"/>
          </w:tcPr>
          <w:p w14:paraId="140541FD" w14:textId="77777777" w:rsidR="00261EB1" w:rsidRPr="00261EB1" w:rsidRDefault="00261EB1" w:rsidP="00261EB1">
            <w:pPr>
              <w:pStyle w:val="Tablewriting"/>
              <w:rPr>
                <w:b/>
                <w:bCs/>
              </w:rPr>
            </w:pPr>
            <w:r w:rsidRPr="00261EB1">
              <w:rPr>
                <w:b/>
                <w:bCs/>
              </w:rPr>
              <w:t>Study</w:t>
            </w:r>
          </w:p>
        </w:tc>
        <w:tc>
          <w:tcPr>
            <w:tcW w:w="1101" w:type="pct"/>
            <w:shd w:val="clear" w:color="auto" w:fill="BFBFBF" w:themeFill="background1" w:themeFillShade="BF"/>
          </w:tcPr>
          <w:p w14:paraId="28C14122" w14:textId="77777777" w:rsidR="00261EB1" w:rsidRPr="00261EB1" w:rsidRDefault="00261EB1" w:rsidP="00261EB1">
            <w:pPr>
              <w:pStyle w:val="Tablewriting"/>
              <w:jc w:val="center"/>
              <w:rPr>
                <w:b/>
                <w:bCs/>
              </w:rPr>
            </w:pPr>
            <w:r w:rsidRPr="00261EB1">
              <w:rPr>
                <w:b/>
                <w:bCs/>
              </w:rPr>
              <w:t>Study Type</w:t>
            </w:r>
          </w:p>
        </w:tc>
        <w:tc>
          <w:tcPr>
            <w:tcW w:w="1100" w:type="pct"/>
            <w:shd w:val="clear" w:color="auto" w:fill="BFBFBF" w:themeFill="background1" w:themeFillShade="BF"/>
          </w:tcPr>
          <w:p w14:paraId="18EC6E00" w14:textId="56F028D8" w:rsidR="00261EB1" w:rsidRPr="00261EB1" w:rsidRDefault="00261EB1" w:rsidP="00261EB1">
            <w:pPr>
              <w:pStyle w:val="Tablewriting"/>
              <w:jc w:val="center"/>
              <w:rPr>
                <w:b/>
                <w:bCs/>
              </w:rPr>
            </w:pPr>
            <w:r w:rsidRPr="00261EB1">
              <w:rPr>
                <w:b/>
                <w:bCs/>
              </w:rPr>
              <w:t>Bupropion</w:t>
            </w:r>
          </w:p>
        </w:tc>
        <w:tc>
          <w:tcPr>
            <w:tcW w:w="1176" w:type="pct"/>
            <w:shd w:val="clear" w:color="auto" w:fill="BFBFBF" w:themeFill="background1" w:themeFillShade="BF"/>
          </w:tcPr>
          <w:p w14:paraId="4144B5C4" w14:textId="565BCA6C" w:rsidR="00261EB1" w:rsidRPr="00261EB1" w:rsidRDefault="00261EB1" w:rsidP="00261EB1">
            <w:pPr>
              <w:pStyle w:val="Tablewriting"/>
              <w:jc w:val="center"/>
              <w:rPr>
                <w:b/>
                <w:bCs/>
              </w:rPr>
            </w:pPr>
            <w:r w:rsidRPr="00261EB1">
              <w:rPr>
                <w:b/>
                <w:bCs/>
              </w:rPr>
              <w:t>Placebo</w:t>
            </w:r>
          </w:p>
        </w:tc>
        <w:tc>
          <w:tcPr>
            <w:tcW w:w="997" w:type="pct"/>
            <w:shd w:val="clear" w:color="auto" w:fill="BFBFBF" w:themeFill="background1" w:themeFillShade="BF"/>
          </w:tcPr>
          <w:p w14:paraId="03FDE9C9" w14:textId="51A59868" w:rsidR="00261EB1" w:rsidRPr="004A57A6" w:rsidRDefault="00261EB1" w:rsidP="00261EB1">
            <w:pPr>
              <w:pStyle w:val="Tablewriting"/>
              <w:jc w:val="center"/>
              <w:rPr>
                <w:b/>
                <w:bCs/>
                <w:vertAlign w:val="superscript"/>
              </w:rPr>
            </w:pPr>
            <w:r w:rsidRPr="00261EB1">
              <w:rPr>
                <w:b/>
                <w:bCs/>
              </w:rPr>
              <w:t>RR (95%CI)</w:t>
            </w:r>
            <w:r w:rsidR="004A57A6">
              <w:rPr>
                <w:b/>
                <w:bCs/>
                <w:vertAlign w:val="superscript"/>
              </w:rPr>
              <w:t>1</w:t>
            </w:r>
          </w:p>
        </w:tc>
      </w:tr>
      <w:tr w:rsidR="00261EB1" w14:paraId="4200A0E2" w14:textId="77777777" w:rsidTr="00261EB1">
        <w:tc>
          <w:tcPr>
            <w:tcW w:w="626" w:type="pct"/>
          </w:tcPr>
          <w:p w14:paraId="0C2A6448" w14:textId="77777777" w:rsidR="00261EB1" w:rsidRDefault="00261EB1" w:rsidP="00261EB1">
            <w:pPr>
              <w:pStyle w:val="Tablewriting"/>
            </w:pPr>
            <w:r>
              <w:t xml:space="preserve">Claire </w:t>
            </w:r>
          </w:p>
          <w:p w14:paraId="24DCB9D1" w14:textId="65A1D30C" w:rsidR="00261EB1" w:rsidRDefault="00261EB1" w:rsidP="00261EB1">
            <w:pPr>
              <w:pStyle w:val="Tablewriting"/>
            </w:pPr>
            <w:r>
              <w:t>(2020)</w:t>
            </w:r>
          </w:p>
        </w:tc>
        <w:tc>
          <w:tcPr>
            <w:tcW w:w="1101" w:type="pct"/>
          </w:tcPr>
          <w:p w14:paraId="632E0916" w14:textId="77777777" w:rsidR="00261EB1" w:rsidRDefault="00261EB1" w:rsidP="00261EB1">
            <w:pPr>
              <w:pStyle w:val="Tablewriting"/>
              <w:jc w:val="center"/>
            </w:pPr>
            <w:r>
              <w:t xml:space="preserve">Cochrane Review </w:t>
            </w:r>
          </w:p>
          <w:p w14:paraId="42D14F9B" w14:textId="19F2892E" w:rsidR="00261EB1" w:rsidRDefault="00261EB1" w:rsidP="00261EB1">
            <w:pPr>
              <w:pStyle w:val="Tablewriting"/>
              <w:jc w:val="center"/>
            </w:pPr>
            <w:r>
              <w:t>(2 RCTs)</w:t>
            </w:r>
          </w:p>
        </w:tc>
        <w:tc>
          <w:tcPr>
            <w:tcW w:w="1100" w:type="pct"/>
          </w:tcPr>
          <w:p w14:paraId="6C749FEB" w14:textId="77777777" w:rsidR="00261EB1" w:rsidRDefault="00261EB1" w:rsidP="00261EB1">
            <w:pPr>
              <w:pStyle w:val="Tablewriting"/>
              <w:jc w:val="center"/>
            </w:pPr>
            <w:r>
              <w:t>3/35</w:t>
            </w:r>
          </w:p>
          <w:p w14:paraId="72E7CE7D" w14:textId="369B95B9" w:rsidR="004A57A6" w:rsidRDefault="004A57A6" w:rsidP="00261EB1">
            <w:pPr>
              <w:pStyle w:val="Tablewriting"/>
              <w:jc w:val="center"/>
            </w:pPr>
            <w:r>
              <w:t>(8.6%)</w:t>
            </w:r>
          </w:p>
        </w:tc>
        <w:tc>
          <w:tcPr>
            <w:tcW w:w="1176" w:type="pct"/>
          </w:tcPr>
          <w:p w14:paraId="30C63E56" w14:textId="77777777" w:rsidR="00261EB1" w:rsidRDefault="00261EB1" w:rsidP="00261EB1">
            <w:pPr>
              <w:pStyle w:val="Tablewriting"/>
              <w:jc w:val="center"/>
            </w:pPr>
            <w:r>
              <w:t>5/41</w:t>
            </w:r>
          </w:p>
          <w:p w14:paraId="41E981CE" w14:textId="09FEB683" w:rsidR="004A57A6" w:rsidRDefault="004A57A6" w:rsidP="00261EB1">
            <w:pPr>
              <w:pStyle w:val="Tablewriting"/>
              <w:jc w:val="center"/>
            </w:pPr>
            <w:r>
              <w:t>(12.2%)</w:t>
            </w:r>
          </w:p>
        </w:tc>
        <w:tc>
          <w:tcPr>
            <w:tcW w:w="997" w:type="pct"/>
          </w:tcPr>
          <w:p w14:paraId="3ECBD5E2" w14:textId="77777777" w:rsidR="00261EB1" w:rsidRDefault="00261EB1" w:rsidP="00261EB1">
            <w:pPr>
              <w:pStyle w:val="Tablewriting"/>
              <w:jc w:val="center"/>
            </w:pPr>
            <w:r>
              <w:t xml:space="preserve">0.74 </w:t>
            </w:r>
          </w:p>
          <w:p w14:paraId="362580FF" w14:textId="483BF251" w:rsidR="00261EB1" w:rsidRDefault="00261EB1" w:rsidP="00261EB1">
            <w:pPr>
              <w:pStyle w:val="Tablewriting"/>
              <w:jc w:val="center"/>
            </w:pPr>
            <w:r>
              <w:t>(0.21, 2.64)</w:t>
            </w:r>
          </w:p>
        </w:tc>
      </w:tr>
    </w:tbl>
    <w:p w14:paraId="6DD8B8A8" w14:textId="77777777" w:rsidR="004A57A6" w:rsidRDefault="004A57A6" w:rsidP="004A57A6">
      <w:pPr>
        <w:pStyle w:val="TableFooter"/>
      </w:pPr>
      <w:r>
        <w:t>Source: Claire et al. (2020)</w:t>
      </w:r>
    </w:p>
    <w:p w14:paraId="2E30F25A" w14:textId="77777777" w:rsidR="004A57A6" w:rsidRDefault="004A57A6" w:rsidP="004A57A6">
      <w:pPr>
        <w:pStyle w:val="TableFooter"/>
        <w:rPr>
          <w:i/>
        </w:rPr>
      </w:pPr>
      <w:r>
        <w:t>Abbreviations: CI = confidence interval; RCT = randomised controlled trial; RR = risk ratio</w:t>
      </w:r>
      <w:r w:rsidRPr="00061F78">
        <w:t xml:space="preserve"> </w:t>
      </w:r>
    </w:p>
    <w:p w14:paraId="26CE4123" w14:textId="3FA183DD" w:rsidR="004A57A6" w:rsidRDefault="004A57A6" w:rsidP="004A57A6">
      <w:pPr>
        <w:pStyle w:val="TableFooter"/>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14:paraId="7198F53E" w14:textId="462B0979" w:rsidR="009F7BDF" w:rsidRDefault="00C73CD3" w:rsidP="00D377A6">
      <w:pPr>
        <w:spacing w:after="120"/>
        <w:jc w:val="both"/>
      </w:pPr>
      <w:r w:rsidRPr="00C73CD3">
        <w:lastRenderedPageBreak/>
        <w:t>The results of the individual studies included in Claire et al. (2020) are presented using a forest plot in</w:t>
      </w:r>
      <w:r w:rsidR="00CE1466">
        <w:t xml:space="preserve"> </w:t>
      </w:r>
      <w:r w:rsidR="00CE1466">
        <w:fldChar w:fldCharType="begin" w:fldLock="1"/>
      </w:r>
      <w:r w:rsidR="00CE1466">
        <w:instrText xml:space="preserve"> REF _Ref61874853 \h </w:instrText>
      </w:r>
      <w:r w:rsidR="00CE1466">
        <w:fldChar w:fldCharType="separate"/>
      </w:r>
      <w:r w:rsidR="00EC5CC7">
        <w:t xml:space="preserve">Figure </w:t>
      </w:r>
      <w:r w:rsidR="00EC5CC7">
        <w:rPr>
          <w:noProof/>
        </w:rPr>
        <w:t>42</w:t>
      </w:r>
      <w:r w:rsidR="00CE1466">
        <w:fldChar w:fldCharType="end"/>
      </w:r>
      <w:r w:rsidR="00CE1466">
        <w:t>.</w:t>
      </w:r>
      <w:r w:rsidR="00D4167A">
        <w:t xml:space="preserve"> It was observed that the results of the individual studies were not statistically significant.</w:t>
      </w:r>
    </w:p>
    <w:p w14:paraId="7A97FFF6" w14:textId="77777777" w:rsidR="00CE1466" w:rsidRDefault="6B9A4B1E" w:rsidP="00594205">
      <w:r>
        <w:rPr>
          <w:noProof/>
        </w:rPr>
        <w:drawing>
          <wp:inline distT="0" distB="0" distL="0" distR="0" wp14:anchorId="0E58B56A" wp14:editId="6EC8CC3D">
            <wp:extent cx="5731510" cy="1591310"/>
            <wp:effectExtent l="0" t="0" r="2540" b="0"/>
            <wp:docPr id="87" name="Picture 87" descr="P82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P8298#yIS1"/>
                    <pic:cNvPicPr/>
                  </pic:nvPicPr>
                  <pic:blipFill>
                    <a:blip r:embed="rId64">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33FB673C" w14:textId="67482E14" w:rsidR="005C4E44" w:rsidRDefault="00CE1466" w:rsidP="00D377A6">
      <w:pPr>
        <w:pStyle w:val="Caption"/>
        <w:spacing w:before="120" w:after="60"/>
        <w:jc w:val="both"/>
      </w:pPr>
      <w:bookmarkStart w:id="223" w:name="_Ref61874853"/>
      <w:r>
        <w:t xml:space="preserve">Figure </w:t>
      </w:r>
      <w:r w:rsidR="00BF3F75">
        <w:fldChar w:fldCharType="begin"/>
      </w:r>
      <w:r w:rsidR="00BF3F75">
        <w:instrText xml:space="preserve"> SEQ Figure \* ARABIC </w:instrText>
      </w:r>
      <w:r w:rsidR="00BF3F75">
        <w:fldChar w:fldCharType="separate"/>
      </w:r>
      <w:r w:rsidR="00EC5CC7">
        <w:rPr>
          <w:noProof/>
        </w:rPr>
        <w:t>42</w:t>
      </w:r>
      <w:r w:rsidR="00BF3F75">
        <w:rPr>
          <w:noProof/>
        </w:rPr>
        <w:fldChar w:fldCharType="end"/>
      </w:r>
      <w:bookmarkEnd w:id="223"/>
      <w:r>
        <w:t xml:space="preserve">: </w:t>
      </w:r>
      <w:r w:rsidRPr="004746B4">
        <w:t xml:space="preserve">Results of smoking cessation in later pregnancy in Claire et al. (2020), </w:t>
      </w:r>
      <w:r>
        <w:t>bupropion</w:t>
      </w:r>
      <w:r w:rsidRPr="004746B4">
        <w:t xml:space="preserve"> versus </w:t>
      </w:r>
      <w:r>
        <w:t>placebo</w:t>
      </w:r>
    </w:p>
    <w:p w14:paraId="7246928C" w14:textId="77777777" w:rsidR="00CE1466" w:rsidRDefault="00CE1466" w:rsidP="00CE1466">
      <w:pPr>
        <w:pStyle w:val="FigureFooter"/>
      </w:pPr>
      <w:r>
        <w:t>Source: Claire et al. (2020)</w:t>
      </w:r>
    </w:p>
    <w:p w14:paraId="1870E884" w14:textId="77777777" w:rsidR="00CE1466" w:rsidRDefault="00CE1466" w:rsidP="00D377A6">
      <w:pPr>
        <w:pStyle w:val="FigureFooter"/>
        <w:spacing w:after="120"/>
        <w:contextualSpacing w:val="0"/>
        <w:jc w:val="both"/>
      </w:pPr>
      <w:r>
        <w:t>Abbreviations: CI = confidence interval</w:t>
      </w:r>
    </w:p>
    <w:p w14:paraId="59F41988" w14:textId="4F99D838" w:rsidR="00F612E1" w:rsidRDefault="00F612E1" w:rsidP="00D377A6">
      <w:pPr>
        <w:spacing w:after="120"/>
        <w:jc w:val="both"/>
        <w:rPr>
          <w:u w:val="single"/>
        </w:rPr>
      </w:pPr>
      <w:r w:rsidRPr="00F612E1">
        <w:rPr>
          <w:u w:val="single"/>
        </w:rPr>
        <w:t>Safety</w:t>
      </w:r>
    </w:p>
    <w:p w14:paraId="4646F7E1" w14:textId="59BDEE66" w:rsidR="00A37AD8" w:rsidRDefault="00F87211" w:rsidP="00D377A6">
      <w:pPr>
        <w:spacing w:after="120"/>
        <w:jc w:val="both"/>
      </w:pPr>
      <w:r>
        <w:t>The</w:t>
      </w:r>
      <w:r w:rsidR="00572FAC">
        <w:t xml:space="preserve"> pooled estimate for</w:t>
      </w:r>
      <w:r w:rsidR="00394D60">
        <w:t xml:space="preserve"> mean</w:t>
      </w:r>
      <w:r w:rsidR="00572FAC">
        <w:t xml:space="preserve"> birthweight </w:t>
      </w:r>
      <w:r>
        <w:t>estimated by Claire et al</w:t>
      </w:r>
      <w:r w:rsidR="00394D60">
        <w:t>. (2020)</w:t>
      </w:r>
      <w:r>
        <w:t xml:space="preserve"> </w:t>
      </w:r>
      <w:r w:rsidR="00090C67">
        <w:t>was not</w:t>
      </w:r>
      <w:r>
        <w:t xml:space="preserve"> statistically significant differen</w:t>
      </w:r>
      <w:r w:rsidR="00090C67">
        <w:t xml:space="preserve">t </w:t>
      </w:r>
      <w:r w:rsidR="00572FAC">
        <w:t>for bupropion</w:t>
      </w:r>
      <w:r w:rsidR="00132065">
        <w:t xml:space="preserve"> </w:t>
      </w:r>
      <w:r w:rsidR="00394D60">
        <w:t>versus placebo</w:t>
      </w:r>
      <w:r w:rsidR="00132065">
        <w:t xml:space="preserve"> </w:t>
      </w:r>
      <w:r w:rsidR="00090C67">
        <w:t>(mean difference</w:t>
      </w:r>
      <w:r w:rsidR="00394D60">
        <w:t>:</w:t>
      </w:r>
      <w:r w:rsidR="00CC753E">
        <w:t xml:space="preserve"> 122.64g</w:t>
      </w:r>
      <w:r w:rsidR="00394D60">
        <w:t>;</w:t>
      </w:r>
      <w:r w:rsidR="00CC753E">
        <w:t xml:space="preserve"> 95%</w:t>
      </w:r>
      <w:r w:rsidR="00394D60">
        <w:t xml:space="preserve"> </w:t>
      </w:r>
      <w:r w:rsidR="00CC753E">
        <w:t>CI</w:t>
      </w:r>
      <w:r w:rsidR="00394D60">
        <w:t>:</w:t>
      </w:r>
      <w:r w:rsidR="00CC753E">
        <w:t xml:space="preserve"> -98.82</w:t>
      </w:r>
      <w:r w:rsidR="00394D60">
        <w:t>,</w:t>
      </w:r>
      <w:r w:rsidR="00CC753E">
        <w:t xml:space="preserve"> 344.10</w:t>
      </w:r>
      <w:r w:rsidR="00756B69">
        <w:t>;</w:t>
      </w:r>
      <w:r w:rsidR="00CC753E">
        <w:t xml:space="preserve"> 2 studies</w:t>
      </w:r>
      <w:r w:rsidR="00756B69">
        <w:t>)</w:t>
      </w:r>
      <w:r w:rsidR="00CC753E">
        <w:t>.</w:t>
      </w:r>
      <w:r w:rsidR="007E31E4">
        <w:t xml:space="preserve"> </w:t>
      </w:r>
      <w:r w:rsidR="00756B69">
        <w:t>Neither stud</w:t>
      </w:r>
      <w:r w:rsidR="00BD5F4F">
        <w:t>y</w:t>
      </w:r>
      <w:r w:rsidR="007E31E4">
        <w:t xml:space="preserve"> detect</w:t>
      </w:r>
      <w:r w:rsidR="00756B69">
        <w:t>ed</w:t>
      </w:r>
      <w:r w:rsidR="007E31E4">
        <w:t xml:space="preserve"> a difference between groups in mean length of infants</w:t>
      </w:r>
      <w:r w:rsidR="00B05DCD">
        <w:t>. O</w:t>
      </w:r>
      <w:r w:rsidR="004663BB">
        <w:t>ne study (</w:t>
      </w:r>
      <w:r w:rsidR="004663BB" w:rsidRPr="00756B69">
        <w:t xml:space="preserve">Nanovskaya </w:t>
      </w:r>
      <w:r w:rsidR="00756B69" w:rsidRPr="00756B69">
        <w:t xml:space="preserve">et al. </w:t>
      </w:r>
      <w:r w:rsidR="004663BB" w:rsidRPr="00756B69">
        <w:t>2017</w:t>
      </w:r>
      <w:r w:rsidR="004663BB">
        <w:t>) did not report a difference in systolic o</w:t>
      </w:r>
      <w:r w:rsidR="004968C2">
        <w:t>r</w:t>
      </w:r>
      <w:r w:rsidR="004663BB">
        <w:t xml:space="preserve"> diastolic blood pressure at the end of pregnancy. </w:t>
      </w:r>
    </w:p>
    <w:p w14:paraId="094A3ACD" w14:textId="30F722D1" w:rsidR="00B547FD" w:rsidRPr="007D6A37" w:rsidRDefault="00B547FD" w:rsidP="00D377A6">
      <w:pPr>
        <w:spacing w:after="120"/>
        <w:jc w:val="both"/>
      </w:pPr>
      <w:r>
        <w:t xml:space="preserve">Non-serious adverse effects </w:t>
      </w:r>
      <w:r w:rsidR="00E47DA8">
        <w:t xml:space="preserve">from the two bupropion </w:t>
      </w:r>
      <w:r w:rsidR="00756B69">
        <w:t>studies</w:t>
      </w:r>
      <w:r w:rsidR="00E47DA8">
        <w:t xml:space="preserve"> </w:t>
      </w:r>
      <w:r>
        <w:t xml:space="preserve">were </w:t>
      </w:r>
      <w:r w:rsidR="00E47DA8">
        <w:t>synthesised</w:t>
      </w:r>
      <w:r w:rsidR="00756B69">
        <w:t xml:space="preserve"> qualitatively</w:t>
      </w:r>
      <w:r w:rsidR="00E47DA8">
        <w:t xml:space="preserve"> by Claire et al</w:t>
      </w:r>
      <w:r w:rsidR="00756B69">
        <w:t>. (2020)</w:t>
      </w:r>
      <w:r w:rsidR="0017235C">
        <w:t>, noting that women across all studies reported known adverse effects of bupropion (</w:t>
      </w:r>
      <w:r w:rsidR="00826C95">
        <w:t>i.e.,</w:t>
      </w:r>
      <w:r w:rsidR="0017235C">
        <w:t xml:space="preserve"> </w:t>
      </w:r>
      <w:r w:rsidR="00545C74">
        <w:t xml:space="preserve">vomiting, headache, difficulty sleeping). </w:t>
      </w:r>
      <w:r w:rsidR="00545C74" w:rsidRPr="00756B69">
        <w:t>Nanovs</w:t>
      </w:r>
      <w:r w:rsidR="00DE1212" w:rsidRPr="00756B69">
        <w:t xml:space="preserve">kaya </w:t>
      </w:r>
      <w:r w:rsidR="00756B69" w:rsidRPr="00756B69">
        <w:t>et al. (</w:t>
      </w:r>
      <w:r w:rsidR="00DE1212" w:rsidRPr="00756B69">
        <w:t>2017</w:t>
      </w:r>
      <w:r w:rsidR="00756B69" w:rsidRPr="00756B69">
        <w:t>)</w:t>
      </w:r>
      <w:r w:rsidR="00DE1212">
        <w:t xml:space="preserve"> reported no statistical</w:t>
      </w:r>
      <w:r w:rsidR="00756B69">
        <w:t>ly significant</w:t>
      </w:r>
      <w:r w:rsidR="00DE1212">
        <w:t xml:space="preserve"> differences between the bupropion and control groups. </w:t>
      </w:r>
    </w:p>
    <w:p w14:paraId="52BE2363" w14:textId="471B7B8B" w:rsidR="00816F95" w:rsidRDefault="00C2195B" w:rsidP="00D377A6">
      <w:pPr>
        <w:pStyle w:val="Heading4"/>
        <w:numPr>
          <w:ilvl w:val="0"/>
          <w:numId w:val="0"/>
        </w:numPr>
        <w:spacing w:after="120"/>
        <w:jc w:val="both"/>
      </w:pPr>
      <w:r>
        <w:t>Adolescents</w:t>
      </w:r>
    </w:p>
    <w:p w14:paraId="3131100B" w14:textId="7A1B2C99" w:rsidR="00167A60" w:rsidRDefault="00167A60" w:rsidP="00D377A6">
      <w:pPr>
        <w:spacing w:after="120"/>
        <w:jc w:val="both"/>
      </w:pPr>
      <w:r w:rsidRPr="00CC6C58">
        <w:t xml:space="preserve">A summary of the citation details for the studies </w:t>
      </w:r>
      <w:r>
        <w:t>evaluating</w:t>
      </w:r>
      <w:r w:rsidRPr="00CC6C58">
        <w:t xml:space="preserve"> </w:t>
      </w:r>
      <w:r>
        <w:t xml:space="preserve">the efficacy and safety of smoking cessation pharmacotherapies </w:t>
      </w:r>
      <w:r w:rsidR="003350C4">
        <w:t>in</w:t>
      </w:r>
      <w:r w:rsidR="000A5F04">
        <w:t xml:space="preserve"> adolescents</w:t>
      </w:r>
      <w:r>
        <w:t xml:space="preserve"> </w:t>
      </w:r>
      <w:r w:rsidRPr="00CC6C58">
        <w:t>is presented in</w:t>
      </w:r>
      <w:r w:rsidR="00485E09">
        <w:t xml:space="preserve"> Table 130.</w:t>
      </w:r>
      <w:r>
        <w:t xml:space="preserve"> </w:t>
      </w:r>
      <w:r w:rsidRPr="00CC6C58">
        <w:t xml:space="preserve">A recently conducted Cochrane review by </w:t>
      </w:r>
      <w:r w:rsidR="004B426D">
        <w:t>Fanshawe</w:t>
      </w:r>
      <w:r w:rsidRPr="00CC6C58">
        <w:t xml:space="preserve"> et al. (20</w:t>
      </w:r>
      <w:r w:rsidR="004B426D">
        <w:t>17</w:t>
      </w:r>
      <w:r w:rsidRPr="00CC6C58">
        <w:t xml:space="preserve">) was identified in the systematic literature review that compared </w:t>
      </w:r>
      <w:r>
        <w:t xml:space="preserve">smoking cessation pharmacotherapies </w:t>
      </w:r>
      <w:r w:rsidR="00A04311">
        <w:t>in</w:t>
      </w:r>
      <w:r w:rsidR="00CB6301">
        <w:t xml:space="preserve"> adolescents</w:t>
      </w:r>
      <w:r w:rsidRPr="00CC6C58">
        <w:t>.</w:t>
      </w:r>
      <w:r w:rsidR="00CB6301">
        <w:t xml:space="preserve"> Two </w:t>
      </w:r>
      <w:r w:rsidR="009F44E3">
        <w:t xml:space="preserve">subsequent </w:t>
      </w:r>
      <w:r w:rsidR="00CB6301">
        <w:t xml:space="preserve">systematic reviews </w:t>
      </w:r>
      <w:r w:rsidR="001D7118">
        <w:t>(</w:t>
      </w:r>
      <w:r w:rsidR="00CB6301">
        <w:t>Myung 2019</w:t>
      </w:r>
      <w:r w:rsidR="001D7118">
        <w:t>,</w:t>
      </w:r>
      <w:r w:rsidR="00CB6301">
        <w:t xml:space="preserve"> Selph 2019</w:t>
      </w:r>
      <w:r w:rsidR="00403918">
        <w:t>)</w:t>
      </w:r>
      <w:r w:rsidR="009F44E3">
        <w:t xml:space="preserve"> were also identified in the systematic </w:t>
      </w:r>
      <w:r w:rsidR="000E43A1">
        <w:t>literature review</w:t>
      </w:r>
      <w:r w:rsidR="009F44E3">
        <w:t>.</w:t>
      </w:r>
      <w:r w:rsidR="00CE542E">
        <w:t xml:space="preserve"> </w:t>
      </w:r>
      <w:r w:rsidR="00CE542E" w:rsidRPr="001D7118">
        <w:t xml:space="preserve">No new studies comparing smoking cessation pharmacotherapies </w:t>
      </w:r>
      <w:r w:rsidR="00CE542E">
        <w:t>in adolescents</w:t>
      </w:r>
      <w:r w:rsidR="00CE542E" w:rsidRPr="001D7118">
        <w:t xml:space="preserve"> were identified in the supplemental literature search.</w:t>
      </w:r>
    </w:p>
    <w:p w14:paraId="6D1C26BA" w14:textId="77777777" w:rsidR="004968C2" w:rsidRDefault="004968C2">
      <w:pPr>
        <w:spacing w:line="276" w:lineRule="auto"/>
        <w:rPr>
          <w:rFonts w:asciiTheme="minorHAnsi" w:eastAsia="Times New Roman" w:hAnsiTheme="minorHAnsi" w:cs="Times New Roman"/>
          <w:b/>
          <w:bCs/>
          <w:szCs w:val="18"/>
        </w:rPr>
      </w:pPr>
      <w:bookmarkStart w:id="224" w:name="_Ref61882010"/>
      <w:r>
        <w:br w:type="page"/>
      </w:r>
    </w:p>
    <w:p w14:paraId="4CABED41" w14:textId="519AFE5E" w:rsidR="00AE5A8E" w:rsidRDefault="00AE5A8E" w:rsidP="004968C2">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130</w:t>
      </w:r>
      <w:r w:rsidR="00BF3F75">
        <w:rPr>
          <w:noProof/>
        </w:rPr>
        <w:fldChar w:fldCharType="end"/>
      </w:r>
      <w:bookmarkEnd w:id="224"/>
      <w:r>
        <w:t xml:space="preserve">: </w:t>
      </w:r>
      <w:r w:rsidRPr="00215B85">
        <w:t xml:space="preserve">List of studies evaluating pharmacotherapy for smoking cessation </w:t>
      </w:r>
      <w:r w:rsidR="003350C4">
        <w:t>in</w:t>
      </w:r>
      <w:r w:rsidR="00C67414">
        <w:t xml:space="preserve"> adolescents</w:t>
      </w:r>
    </w:p>
    <w:tbl>
      <w:tblPr>
        <w:tblStyle w:val="TableGrid"/>
        <w:tblW w:w="0" w:type="auto"/>
        <w:tblLook w:val="04A0" w:firstRow="1" w:lastRow="0" w:firstColumn="1" w:lastColumn="0" w:noHBand="0" w:noVBand="1"/>
      </w:tblPr>
      <w:tblGrid>
        <w:gridCol w:w="1129"/>
        <w:gridCol w:w="7887"/>
      </w:tblGrid>
      <w:tr w:rsidR="003A3687" w14:paraId="77748E4F" w14:textId="77777777" w:rsidTr="00862329">
        <w:tc>
          <w:tcPr>
            <w:tcW w:w="1129" w:type="dxa"/>
            <w:shd w:val="clear" w:color="auto" w:fill="BFBFBF" w:themeFill="background1" w:themeFillShade="BF"/>
          </w:tcPr>
          <w:p w14:paraId="6CB7EE6A" w14:textId="3E37A208" w:rsidR="003A3687" w:rsidRPr="00AE5A8E" w:rsidRDefault="00AE5A8E" w:rsidP="00AE5A8E">
            <w:pPr>
              <w:pStyle w:val="Tablewriting"/>
              <w:rPr>
                <w:b/>
                <w:bCs/>
              </w:rPr>
            </w:pPr>
            <w:r>
              <w:rPr>
                <w:b/>
                <w:bCs/>
              </w:rPr>
              <w:t>Study</w:t>
            </w:r>
          </w:p>
        </w:tc>
        <w:tc>
          <w:tcPr>
            <w:tcW w:w="7887" w:type="dxa"/>
            <w:shd w:val="clear" w:color="auto" w:fill="BFBFBF" w:themeFill="background1" w:themeFillShade="BF"/>
          </w:tcPr>
          <w:p w14:paraId="6742599B" w14:textId="68A4CD69" w:rsidR="003A3687" w:rsidRPr="00AE5A8E" w:rsidRDefault="003A3687" w:rsidP="00AE5A8E">
            <w:pPr>
              <w:pStyle w:val="Tablewriting"/>
              <w:jc w:val="center"/>
              <w:rPr>
                <w:b/>
                <w:bCs/>
              </w:rPr>
            </w:pPr>
            <w:r w:rsidRPr="00AE5A8E">
              <w:rPr>
                <w:b/>
                <w:bCs/>
              </w:rPr>
              <w:t>Citation</w:t>
            </w:r>
          </w:p>
        </w:tc>
      </w:tr>
      <w:tr w:rsidR="003A3687" w14:paraId="73CC1DA7" w14:textId="77777777" w:rsidTr="00862329">
        <w:tc>
          <w:tcPr>
            <w:tcW w:w="1129" w:type="dxa"/>
          </w:tcPr>
          <w:p w14:paraId="4C296387" w14:textId="77777777" w:rsidR="00AE5A8E" w:rsidRDefault="00056D54" w:rsidP="00AE5A8E">
            <w:pPr>
              <w:pStyle w:val="Tablewriting"/>
            </w:pPr>
            <w:r>
              <w:t xml:space="preserve">Fanshawe </w:t>
            </w:r>
          </w:p>
          <w:p w14:paraId="4D846855" w14:textId="2955818A" w:rsidR="003A3687" w:rsidRDefault="00AE5A8E" w:rsidP="00AE5A8E">
            <w:pPr>
              <w:pStyle w:val="Tablewriting"/>
            </w:pPr>
            <w:r>
              <w:t>(</w:t>
            </w:r>
            <w:r w:rsidR="00056D54">
              <w:t>2017</w:t>
            </w:r>
            <w:r>
              <w:t>)</w:t>
            </w:r>
            <w:hyperlink w:anchor="_ENREF_62" w:tooltip="Fanshawe, 2017 #650" w:history="1">
              <w:r w:rsidR="0039468B">
                <w:fldChar w:fldCharType="begin"/>
              </w:r>
              <w:r w:rsidR="0039468B">
                <w:instrText xml:space="preserve"> ADDIN EN.CITE &lt;EndNote&gt;&lt;Cite&gt;&lt;Author&gt;Fanshawe&lt;/Author&gt;&lt;Year&gt;2017&lt;/Year&gt;&lt;RecNum&gt;650&lt;/RecNum&gt;&lt;DisplayText&gt;&lt;style face="superscript"&gt;62&lt;/style&gt;&lt;/DisplayText&gt;&lt;record&gt;&lt;rec-number&gt;650&lt;/rec-number&gt;&lt;foreign-keys&gt;&lt;key app="EN" db-id="2xwa055rhevv2yef5v75fepy2azsv0xvx9w9" timestamp="1612001431"&gt;650&lt;/key&gt;&lt;/foreign-keys&gt;&lt;ref-type name="Journal Article"&gt;17&lt;/ref-type&gt;&lt;contributors&gt;&lt;authors&gt;&lt;author&gt;Fanshawe, T. R.&lt;/author&gt;&lt;author&gt;Halliwell, W.&lt;/author&gt;&lt;author&gt;Lindson, N.&lt;/author&gt;&lt;author&gt;Aveyard, P.&lt;/author&gt;&lt;author&gt;Livingstone-Banks, J.&lt;/author&gt;&lt;author&gt;Hartmann-Boyce, J.&lt;/author&gt;&lt;/authors&gt;&lt;/contributors&gt;&lt;auth-address&gt;Nuffield Department of Primary Care Health Sciences, University of Oxford, Oxford, UK.&lt;/auth-address&gt;&lt;titles&gt;&lt;title&gt;Tobacco cessation interventions for young people&lt;/title&gt;&lt;secondary-title&gt;Cochrane Database Syst Rev&lt;/secondary-title&gt;&lt;/titles&gt;&lt;periodical&gt;&lt;full-title&gt;Cochrane Database Syst Rev&lt;/full-title&gt;&lt;/periodical&gt;&lt;pages&gt;CD003289&lt;/pages&gt;&lt;volume&gt;11&lt;/volume&gt;&lt;edition&gt;2017/11/18&lt;/edition&gt;&lt;keywords&gt;&lt;keyword&gt;Adolescent&lt;/keyword&gt;&lt;keyword&gt;Antidepressive Agents, Second-Generation/therapeutic use&lt;/keyword&gt;&lt;keyword&gt;Bupropion/therapeutic use&lt;/keyword&gt;&lt;keyword&gt;Cognitive Behavioral Therapy&lt;/keyword&gt;&lt;keyword&gt;Controlled Clinical Trials as Topic&lt;/keyword&gt;&lt;keyword&gt;Counseling/methods/statistics &amp;amp; numerical data&lt;/keyword&gt;&lt;keyword&gt;Humans&lt;/keyword&gt;&lt;keyword&gt;Randomized Controlled Trials as Topic&lt;/keyword&gt;&lt;keyword&gt;Tobacco Use Cessation/*methods/psychology&lt;/keyword&gt;&lt;keyword&gt;Tobacco Use Cessation Devices&lt;/keyword&gt;&lt;keyword&gt;Young Adult&lt;/keyword&gt;&lt;/keywords&gt;&lt;dates&gt;&lt;year&gt;2017&lt;/year&gt;&lt;pub-dates&gt;&lt;date&gt;Nov 17&lt;/date&gt;&lt;/pub-dates&gt;&lt;/dates&gt;&lt;isbn&gt;1469-493X (Electronic)&amp;#xD;1361-6137 (Linking)&lt;/isbn&gt;&lt;accession-num&gt;29148565&lt;/accession-num&gt;&lt;urls&gt;&lt;related-urls&gt;&lt;url&gt;https://www.ncbi.nlm.nih.gov/pubmed/29148565&lt;/url&gt;&lt;/related-urls&gt;&lt;/urls&gt;&lt;custom2&gt;PMC6486118&lt;/custom2&gt;&lt;electronic-resource-num&gt;10.1002/14651858.CD003289.pub6&lt;/electronic-resource-num&gt;&lt;/record&gt;&lt;/Cite&gt;&lt;/EndNote&gt;</w:instrText>
              </w:r>
              <w:r w:rsidR="0039468B">
                <w:fldChar w:fldCharType="separate"/>
              </w:r>
              <w:r w:rsidR="0039468B" w:rsidRPr="0039468B">
                <w:rPr>
                  <w:noProof/>
                  <w:vertAlign w:val="superscript"/>
                </w:rPr>
                <w:t>62</w:t>
              </w:r>
              <w:r w:rsidR="0039468B">
                <w:fldChar w:fldCharType="end"/>
              </w:r>
            </w:hyperlink>
          </w:p>
        </w:tc>
        <w:tc>
          <w:tcPr>
            <w:tcW w:w="7887" w:type="dxa"/>
          </w:tcPr>
          <w:p w14:paraId="6BA353A0" w14:textId="15CD8D86" w:rsidR="003A3687" w:rsidRDefault="008B20EF" w:rsidP="00AE5A8E">
            <w:pPr>
              <w:pStyle w:val="Tablewriting"/>
            </w:pPr>
            <w:r w:rsidRPr="008B20EF">
              <w:t>Fanshawe</w:t>
            </w:r>
            <w:r>
              <w:t xml:space="preserve"> </w:t>
            </w:r>
            <w:r w:rsidRPr="008B20EF">
              <w:t>TR, Halliwell</w:t>
            </w:r>
            <w:r>
              <w:t xml:space="preserve"> </w:t>
            </w:r>
            <w:r w:rsidRPr="008B20EF">
              <w:t>W, Lindson</w:t>
            </w:r>
            <w:r>
              <w:t xml:space="preserve"> </w:t>
            </w:r>
            <w:r w:rsidRPr="008B20EF">
              <w:t>N, Aveyard</w:t>
            </w:r>
            <w:r>
              <w:t xml:space="preserve"> </w:t>
            </w:r>
            <w:r w:rsidRPr="008B20EF">
              <w:t>P, Livingstone-Banks</w:t>
            </w:r>
            <w:r w:rsidR="005A66F0">
              <w:t xml:space="preserve"> </w:t>
            </w:r>
            <w:r w:rsidRPr="008B20EF">
              <w:t>J, Hartmann-Boyce</w:t>
            </w:r>
            <w:r w:rsidR="005A66F0">
              <w:t xml:space="preserve"> </w:t>
            </w:r>
            <w:r w:rsidRPr="008B20EF">
              <w:t>J. Tobacco cessation interventions for young people. Cochrane Database of Systematic Reviews 2017, Issue 11. Art. No.: CD003289. DOI: 10.1002/14651858.CD003289.pub6.</w:t>
            </w:r>
          </w:p>
        </w:tc>
      </w:tr>
      <w:tr w:rsidR="003A3687" w14:paraId="3663DC08" w14:textId="77777777" w:rsidTr="00862329">
        <w:tc>
          <w:tcPr>
            <w:tcW w:w="1129" w:type="dxa"/>
          </w:tcPr>
          <w:p w14:paraId="19873BAB" w14:textId="77777777" w:rsidR="00AE5A8E" w:rsidRDefault="005F114B" w:rsidP="00AE5A8E">
            <w:pPr>
              <w:pStyle w:val="Tablewriting"/>
            </w:pPr>
            <w:r>
              <w:t xml:space="preserve">Myung </w:t>
            </w:r>
          </w:p>
          <w:p w14:paraId="789A8BAC" w14:textId="50574B32" w:rsidR="003A3687" w:rsidRDefault="00AE5A8E" w:rsidP="00AE5A8E">
            <w:pPr>
              <w:pStyle w:val="Tablewriting"/>
            </w:pPr>
            <w:r>
              <w:t>(</w:t>
            </w:r>
            <w:r w:rsidR="005F114B">
              <w:t>2019</w:t>
            </w:r>
            <w:r w:rsidR="00A41969">
              <w:t>)</w:t>
            </w:r>
            <w:hyperlink w:anchor="_ENREF_63" w:tooltip="Myung, 2019 #651" w:history="1">
              <w:r w:rsidR="0039468B">
                <w:fldChar w:fldCharType="begin">
                  <w:fldData xml:space="preserve">PEVuZE5vdGU+PENpdGU+PEF1dGhvcj5NeXVuZzwvQXV0aG9yPjxZZWFyPjIwMTk8L1llYXI+PFJl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</w:fldData>
                </w:fldChar>
              </w:r>
              <w:r w:rsidR="0039468B">
                <w:instrText xml:space="preserve"> ADDIN EN.CITE </w:instrText>
              </w:r>
              <w:r w:rsidR="0039468B">
                <w:fldChar w:fldCharType="begin">
                  <w:fldData xml:space="preserve">PEVuZE5vdGU+PENpdGU+PEF1dGhvcj5NeXVuZzwvQXV0aG9yPjxZZWFyPjIwMTk8L1llYXI+PFJl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</w:fldData>
                </w:fldChar>
              </w:r>
              <w:r w:rsidR="0039468B">
                <w:instrText xml:space="preserve"> ADDIN EN.CITE.DATA </w:instrText>
              </w:r>
              <w:r w:rsidR="0039468B">
                <w:fldChar w:fldCharType="end"/>
              </w:r>
              <w:r w:rsidR="0039468B">
                <w:fldChar w:fldCharType="separate"/>
              </w:r>
              <w:r w:rsidR="0039468B" w:rsidRPr="0039468B">
                <w:rPr>
                  <w:noProof/>
                  <w:vertAlign w:val="superscript"/>
                </w:rPr>
                <w:t>63</w:t>
              </w:r>
              <w:r w:rsidR="0039468B">
                <w:fldChar w:fldCharType="end"/>
              </w:r>
            </w:hyperlink>
          </w:p>
        </w:tc>
        <w:tc>
          <w:tcPr>
            <w:tcW w:w="7887" w:type="dxa"/>
          </w:tcPr>
          <w:p w14:paraId="5BED3700" w14:textId="4EA135A2" w:rsidR="003A3687" w:rsidRDefault="001844CE" w:rsidP="00AE5A8E">
            <w:pPr>
              <w:pStyle w:val="Tablewriting"/>
            </w:pPr>
            <w:r>
              <w:t xml:space="preserve">Myung S-K, Park J-Y. </w:t>
            </w:r>
            <w:r w:rsidR="005A66F0">
              <w:t xml:space="preserve">Efficacy of pharmacotherapy for smoking cessation in adolescent smokers: a meta-analysis of randomized controlled trials. </w:t>
            </w:r>
            <w:r w:rsidR="00266518">
              <w:t>Nicotine &amp; tobacco research 2019,</w:t>
            </w:r>
            <w:r w:rsidR="004B7631">
              <w:t xml:space="preserve"> 21(11):</w:t>
            </w:r>
            <w:r w:rsidR="00266518">
              <w:t xml:space="preserve"> 1473-1479</w:t>
            </w:r>
            <w:r w:rsidR="004B7631">
              <w:t xml:space="preserve">. doi: </w:t>
            </w:r>
            <w:r w:rsidR="004B7631" w:rsidRPr="00257C8F">
              <w:rPr>
                <w:rFonts w:cstheme="minorHAnsi"/>
              </w:rPr>
              <w:t>10.1093/ntr/nty180</w:t>
            </w:r>
          </w:p>
        </w:tc>
      </w:tr>
      <w:tr w:rsidR="003A3687" w14:paraId="223B6F44" w14:textId="77777777" w:rsidTr="00862329">
        <w:tc>
          <w:tcPr>
            <w:tcW w:w="1129" w:type="dxa"/>
          </w:tcPr>
          <w:p w14:paraId="7C094368" w14:textId="77777777" w:rsidR="00AE5A8E" w:rsidRDefault="00774AE6" w:rsidP="00AE5A8E">
            <w:pPr>
              <w:pStyle w:val="Tablewriting"/>
            </w:pPr>
            <w:r>
              <w:t xml:space="preserve">Selph </w:t>
            </w:r>
          </w:p>
          <w:p w14:paraId="2FFD015D" w14:textId="3FECA29E" w:rsidR="003A3687" w:rsidRDefault="00AE5A8E" w:rsidP="00AE5A8E">
            <w:pPr>
              <w:pStyle w:val="Tablewriting"/>
            </w:pPr>
            <w:r>
              <w:t>(</w:t>
            </w:r>
            <w:r w:rsidR="00F93F82">
              <w:t>20</w:t>
            </w:r>
            <w:r w:rsidR="00483C3A">
              <w:t>20</w:t>
            </w:r>
            <w:r>
              <w:t>)</w:t>
            </w:r>
            <w:hyperlink w:anchor="_ENREF_64" w:tooltip="Selph, 2020 #653" w:history="1">
              <w:r w:rsidR="0039468B">
                <w:fldChar w:fldCharType="begin">
                  <w:fldData xml:space="preserve">PEVuZE5vdGU+PENpdGU+PEF1dGhvcj5TZWxwaDwvQXV0aG9yPjxZZWFyPjIwMjA8L1llYXI+PFJl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</w:fldData>
                </w:fldChar>
              </w:r>
              <w:r w:rsidR="0039468B">
                <w:instrText xml:space="preserve"> ADDIN EN.CITE </w:instrText>
              </w:r>
              <w:r w:rsidR="0039468B">
                <w:fldChar w:fldCharType="begin">
                  <w:fldData xml:space="preserve">PEVuZE5vdGU+PENpdGU+PEF1dGhvcj5TZWxwaDwvQXV0aG9yPjxZZWFyPjIwMjA8L1llYXI+PFJl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</w:fldData>
                </w:fldChar>
              </w:r>
              <w:r w:rsidR="0039468B">
                <w:instrText xml:space="preserve"> ADDIN EN.CITE.DATA </w:instrText>
              </w:r>
              <w:r w:rsidR="0039468B">
                <w:fldChar w:fldCharType="end"/>
              </w:r>
              <w:r w:rsidR="0039468B">
                <w:fldChar w:fldCharType="separate"/>
              </w:r>
              <w:r w:rsidR="0039468B" w:rsidRPr="0039468B">
                <w:rPr>
                  <w:noProof/>
                  <w:vertAlign w:val="superscript"/>
                </w:rPr>
                <w:t>64</w:t>
              </w:r>
              <w:r w:rsidR="0039468B">
                <w:fldChar w:fldCharType="end"/>
              </w:r>
            </w:hyperlink>
          </w:p>
        </w:tc>
        <w:tc>
          <w:tcPr>
            <w:tcW w:w="7887" w:type="dxa"/>
          </w:tcPr>
          <w:p w14:paraId="182A1A30" w14:textId="4C3051C6" w:rsidR="003A3687" w:rsidRDefault="00F93F82" w:rsidP="00AE5A8E">
            <w:pPr>
              <w:pStyle w:val="Tablewriting"/>
            </w:pPr>
            <w:r w:rsidRPr="00F93F82">
              <w:t>Selph</w:t>
            </w:r>
            <w:r>
              <w:t xml:space="preserve"> S</w:t>
            </w:r>
            <w:r w:rsidRPr="00F93F82">
              <w:t>, Patnode</w:t>
            </w:r>
            <w:r>
              <w:t xml:space="preserve"> C,</w:t>
            </w:r>
            <w:r w:rsidRPr="00F93F82">
              <w:t xml:space="preserve"> Bailey</w:t>
            </w:r>
            <w:r>
              <w:t xml:space="preserve"> SR</w:t>
            </w:r>
            <w:r w:rsidRPr="00F93F82">
              <w:t>, Pappas</w:t>
            </w:r>
            <w:r>
              <w:t xml:space="preserve"> M</w:t>
            </w:r>
            <w:r w:rsidRPr="00F93F82">
              <w:t>, Stoner</w:t>
            </w:r>
            <w:r>
              <w:t xml:space="preserve"> R</w:t>
            </w:r>
            <w:r w:rsidRPr="00F93F82">
              <w:t>, Chou</w:t>
            </w:r>
            <w:r w:rsidR="007563EA">
              <w:t xml:space="preserve"> R. </w:t>
            </w:r>
            <w:r w:rsidR="007563EA" w:rsidRPr="007563EA">
              <w:t>Primary Care–Relevant Interventions for Tobacco and Nicotine Use Prevention and Cessation in Children and Adolescents Updated Evidence Report and Systematic Review for the US Preventive Services Task Force</w:t>
            </w:r>
            <w:r w:rsidR="007563EA">
              <w:t xml:space="preserve">. </w:t>
            </w:r>
            <w:r w:rsidR="008643DA" w:rsidRPr="008643DA">
              <w:t>JAMA. 2020;323(16):1599-1608. doi:10.1001/jama.2020.3332</w:t>
            </w:r>
          </w:p>
        </w:tc>
      </w:tr>
    </w:tbl>
    <w:p w14:paraId="45B436E1" w14:textId="18D8BE0F" w:rsidR="00061F78" w:rsidRDefault="000E43A1" w:rsidP="004968C2">
      <w:pPr>
        <w:spacing w:before="120" w:after="0"/>
        <w:jc w:val="both"/>
      </w:pPr>
      <w:r w:rsidRPr="000E43A1">
        <w:t xml:space="preserve">A summary of the characteristics of the studies evaluating pharmacotherapy </w:t>
      </w:r>
      <w:r w:rsidR="00A04311">
        <w:t>in</w:t>
      </w:r>
      <w:r w:rsidRPr="000E43A1">
        <w:t xml:space="preserve"> </w:t>
      </w:r>
      <w:r w:rsidR="00854681">
        <w:t>adolescents</w:t>
      </w:r>
      <w:r w:rsidRPr="000E43A1">
        <w:t xml:space="preserve"> is presented in </w:t>
      </w:r>
      <w:r w:rsidR="00BD6D77">
        <w:fldChar w:fldCharType="begin" w:fldLock="1"/>
      </w:r>
      <w:r w:rsidR="00BD6D77">
        <w:instrText xml:space="preserve"> REF _Ref61949362 \h </w:instrText>
      </w:r>
      <w:r w:rsidR="00BD6D77">
        <w:fldChar w:fldCharType="separate"/>
      </w:r>
      <w:r w:rsidR="00EC5CC7">
        <w:t xml:space="preserve">Table </w:t>
      </w:r>
      <w:r w:rsidR="00EC5CC7">
        <w:rPr>
          <w:noProof/>
        </w:rPr>
        <w:t>131</w:t>
      </w:r>
      <w:r w:rsidR="00BD6D77">
        <w:fldChar w:fldCharType="end"/>
      </w:r>
      <w:r w:rsidRPr="000E43A1">
        <w:t xml:space="preserve">. A total of </w:t>
      </w:r>
      <w:r w:rsidR="005D5913">
        <w:t>five</w:t>
      </w:r>
      <w:r w:rsidRPr="000E43A1">
        <w:t xml:space="preserve"> RCTs were identified by </w:t>
      </w:r>
      <w:r w:rsidR="005D5913">
        <w:t>Fanshawe</w:t>
      </w:r>
      <w:r w:rsidRPr="000E43A1">
        <w:t xml:space="preserve"> et al. (20</w:t>
      </w:r>
      <w:r w:rsidR="005D5913">
        <w:t>17</w:t>
      </w:r>
      <w:r w:rsidRPr="000E43A1">
        <w:t>)</w:t>
      </w:r>
      <w:r w:rsidR="005D5913">
        <w:t xml:space="preserve">, with four RCTs contributing to </w:t>
      </w:r>
      <w:r w:rsidRPr="000E43A1">
        <w:t xml:space="preserve">the </w:t>
      </w:r>
      <w:r w:rsidR="005D5913">
        <w:t xml:space="preserve">primary </w:t>
      </w:r>
      <w:r w:rsidRPr="000E43A1">
        <w:t xml:space="preserve">efficacy </w:t>
      </w:r>
      <w:r w:rsidR="005D5913">
        <w:t>analysis</w:t>
      </w:r>
      <w:r w:rsidRPr="000E43A1">
        <w:t xml:space="preserve">. </w:t>
      </w:r>
      <w:r w:rsidR="005D5913">
        <w:t xml:space="preserve">Myung et al. (2019) </w:t>
      </w:r>
      <w:r w:rsidRPr="000E43A1">
        <w:t xml:space="preserve">and </w:t>
      </w:r>
      <w:r w:rsidR="005D5913">
        <w:t xml:space="preserve">Selph et al. (2019) identified nine and four RCTs, respectively. </w:t>
      </w:r>
      <w:r w:rsidR="00797412">
        <w:t>Four RCTs in Myung (2019)</w:t>
      </w:r>
      <w:r w:rsidR="005D5913">
        <w:t xml:space="preserve"> and </w:t>
      </w:r>
      <w:r w:rsidR="00797412">
        <w:t>three RCTs in Selph (2019) were previously included in Fanshawe (2017).</w:t>
      </w:r>
      <w:r w:rsidRPr="000E43A1">
        <w:t xml:space="preserve"> The characteristics of the individual studies are presented in </w:t>
      </w:r>
      <w:r w:rsidRPr="008138B1">
        <w:t xml:space="preserve">Appendix </w:t>
      </w:r>
      <w:r w:rsidR="00560D47">
        <w:t>Table 166 to Table 168.</w:t>
      </w:r>
    </w:p>
    <w:p w14:paraId="7B9E2D13" w14:textId="77777777" w:rsidR="004C6D5C" w:rsidRDefault="004C6D5C" w:rsidP="000A5F04">
      <w:pPr>
        <w:sectPr w:rsidR="004C6D5C" w:rsidSect="006356D2">
          <w:pgSz w:w="11906" w:h="16838"/>
          <w:pgMar w:top="1440" w:right="1440" w:bottom="1440" w:left="1440" w:header="708" w:footer="708" w:gutter="0"/>
          <w:cols w:space="708"/>
          <w:titlePg/>
          <w:docGrid w:linePitch="360"/>
        </w:sectPr>
      </w:pPr>
    </w:p>
    <w:p w14:paraId="4B48AE41" w14:textId="047964AE" w:rsidR="00854681" w:rsidRDefault="00854681" w:rsidP="004968C2">
      <w:pPr>
        <w:pStyle w:val="Caption"/>
        <w:keepNext/>
        <w:spacing w:before="0" w:after="120"/>
        <w:jc w:val="both"/>
      </w:pPr>
      <w:bookmarkStart w:id="225" w:name="_Ref61949362"/>
      <w:r>
        <w:lastRenderedPageBreak/>
        <w:t xml:space="preserve">Table </w:t>
      </w:r>
      <w:r w:rsidR="00BF3F75">
        <w:fldChar w:fldCharType="begin"/>
      </w:r>
      <w:r w:rsidR="00BF3F75">
        <w:instrText xml:space="preserve"> SEQ Table \* ARABIC </w:instrText>
      </w:r>
      <w:r w:rsidR="00BF3F75">
        <w:fldChar w:fldCharType="separate"/>
      </w:r>
      <w:r w:rsidR="00EC5CC7">
        <w:rPr>
          <w:noProof/>
        </w:rPr>
        <w:t>131</w:t>
      </w:r>
      <w:r w:rsidR="00BF3F75">
        <w:rPr>
          <w:noProof/>
        </w:rPr>
        <w:fldChar w:fldCharType="end"/>
      </w:r>
      <w:bookmarkEnd w:id="225"/>
      <w:r>
        <w:t xml:space="preserve">: </w:t>
      </w:r>
      <w:r w:rsidRPr="00A56CEC">
        <w:t>Characteristics of the studies evaluating pharmacotherapy for smoking cessation</w:t>
      </w:r>
      <w:r>
        <w:t xml:space="preserve"> in adolescents</w:t>
      </w:r>
    </w:p>
    <w:tbl>
      <w:tblPr>
        <w:tblStyle w:val="TableGrid"/>
        <w:tblW w:w="5000" w:type="pct"/>
        <w:tblLook w:val="04A0" w:firstRow="1" w:lastRow="0" w:firstColumn="1" w:lastColumn="0" w:noHBand="0" w:noVBand="1"/>
      </w:tblPr>
      <w:tblGrid>
        <w:gridCol w:w="1077"/>
        <w:gridCol w:w="1389"/>
        <w:gridCol w:w="2491"/>
        <w:gridCol w:w="3827"/>
        <w:gridCol w:w="2550"/>
        <w:gridCol w:w="2614"/>
      </w:tblGrid>
      <w:tr w:rsidR="00862E17" w14:paraId="4FC510C7" w14:textId="77777777" w:rsidTr="000B47EB">
        <w:tc>
          <w:tcPr>
            <w:tcW w:w="386" w:type="pct"/>
            <w:shd w:val="clear" w:color="auto" w:fill="BFBFBF" w:themeFill="background1" w:themeFillShade="BF"/>
          </w:tcPr>
          <w:p w14:paraId="63064ADF" w14:textId="77777777" w:rsidR="00050F29" w:rsidRPr="001E56A6" w:rsidRDefault="00050F29" w:rsidP="001E56A6">
            <w:pPr>
              <w:pStyle w:val="Tablewriting"/>
              <w:rPr>
                <w:b/>
              </w:rPr>
            </w:pPr>
            <w:r w:rsidRPr="001E56A6">
              <w:rPr>
                <w:b/>
              </w:rPr>
              <w:t>Study</w:t>
            </w:r>
          </w:p>
        </w:tc>
        <w:tc>
          <w:tcPr>
            <w:tcW w:w="498" w:type="pct"/>
            <w:shd w:val="clear" w:color="auto" w:fill="BFBFBF" w:themeFill="background1" w:themeFillShade="BF"/>
          </w:tcPr>
          <w:p w14:paraId="03733ED5" w14:textId="77777777" w:rsidR="00050F29" w:rsidRPr="001E56A6" w:rsidRDefault="00050F29" w:rsidP="001E56A6">
            <w:pPr>
              <w:pStyle w:val="Tablewriting"/>
              <w:jc w:val="center"/>
              <w:rPr>
                <w:b/>
              </w:rPr>
            </w:pPr>
            <w:r w:rsidRPr="001E56A6">
              <w:rPr>
                <w:b/>
              </w:rPr>
              <w:t>Study Type</w:t>
            </w:r>
          </w:p>
        </w:tc>
        <w:tc>
          <w:tcPr>
            <w:tcW w:w="893" w:type="pct"/>
            <w:shd w:val="clear" w:color="auto" w:fill="BFBFBF" w:themeFill="background1" w:themeFillShade="BF"/>
          </w:tcPr>
          <w:p w14:paraId="773E217B" w14:textId="440CDC9B" w:rsidR="00050F29" w:rsidRPr="009F6B4C" w:rsidRDefault="00050F29" w:rsidP="001E56A6">
            <w:pPr>
              <w:pStyle w:val="Tablewriting"/>
              <w:jc w:val="center"/>
              <w:rPr>
                <w:b/>
                <w:vertAlign w:val="superscript"/>
              </w:rPr>
            </w:pPr>
            <w:r w:rsidRPr="001E56A6">
              <w:rPr>
                <w:b/>
                <w:bCs/>
              </w:rPr>
              <w:t>N</w:t>
            </w:r>
            <w:r w:rsidR="00B75E91">
              <w:rPr>
                <w:b/>
                <w:bCs/>
                <w:vertAlign w:val="superscript"/>
              </w:rPr>
              <w:t>1</w:t>
            </w:r>
          </w:p>
        </w:tc>
        <w:tc>
          <w:tcPr>
            <w:tcW w:w="1372" w:type="pct"/>
            <w:shd w:val="clear" w:color="auto" w:fill="BFBFBF" w:themeFill="background1" w:themeFillShade="BF"/>
          </w:tcPr>
          <w:p w14:paraId="25975D0D" w14:textId="77777777" w:rsidR="00050F29" w:rsidRPr="001E56A6" w:rsidRDefault="00050F29" w:rsidP="001E56A6">
            <w:pPr>
              <w:pStyle w:val="Tablewriting"/>
              <w:jc w:val="center"/>
              <w:rPr>
                <w:b/>
              </w:rPr>
            </w:pPr>
            <w:r w:rsidRPr="001E56A6">
              <w:rPr>
                <w:b/>
              </w:rPr>
              <w:t>Population</w:t>
            </w:r>
          </w:p>
        </w:tc>
        <w:tc>
          <w:tcPr>
            <w:tcW w:w="914" w:type="pct"/>
            <w:shd w:val="clear" w:color="auto" w:fill="BFBFBF" w:themeFill="background1" w:themeFillShade="BF"/>
          </w:tcPr>
          <w:p w14:paraId="3AD98ED2" w14:textId="77777777" w:rsidR="00050F29" w:rsidRPr="001E56A6" w:rsidRDefault="00050F29" w:rsidP="001E56A6">
            <w:pPr>
              <w:pStyle w:val="Tablewriting"/>
              <w:jc w:val="center"/>
              <w:rPr>
                <w:b/>
              </w:rPr>
            </w:pPr>
            <w:r w:rsidRPr="001E56A6">
              <w:rPr>
                <w:b/>
              </w:rPr>
              <w:t>Intervention and comparator</w:t>
            </w:r>
          </w:p>
        </w:tc>
        <w:tc>
          <w:tcPr>
            <w:tcW w:w="937" w:type="pct"/>
            <w:shd w:val="clear" w:color="auto" w:fill="BFBFBF" w:themeFill="background1" w:themeFillShade="BF"/>
          </w:tcPr>
          <w:p w14:paraId="4748D2A0" w14:textId="77777777" w:rsidR="00050F29" w:rsidRPr="001E56A6" w:rsidRDefault="00050F29" w:rsidP="001E56A6">
            <w:pPr>
              <w:pStyle w:val="Tablewriting"/>
              <w:jc w:val="center"/>
              <w:rPr>
                <w:b/>
              </w:rPr>
            </w:pPr>
            <w:r w:rsidRPr="001E56A6">
              <w:rPr>
                <w:b/>
              </w:rPr>
              <w:t>Outcomes</w:t>
            </w:r>
          </w:p>
        </w:tc>
      </w:tr>
      <w:tr w:rsidR="00FC76C4" w14:paraId="7E4C0858" w14:textId="77777777" w:rsidTr="0082427B">
        <w:trPr>
          <w:trHeight w:val="1731"/>
        </w:trPr>
        <w:tc>
          <w:tcPr>
            <w:tcW w:w="386" w:type="pct"/>
          </w:tcPr>
          <w:p w14:paraId="5621752A" w14:textId="22E74A12" w:rsidR="00050F29" w:rsidRDefault="00050F29" w:rsidP="001E56A6">
            <w:pPr>
              <w:pStyle w:val="Tablewriting"/>
            </w:pPr>
            <w:r>
              <w:t xml:space="preserve">Fanshawe </w:t>
            </w:r>
            <w:r w:rsidR="000A0293">
              <w:t>(</w:t>
            </w:r>
            <w:r>
              <w:t>2017</w:t>
            </w:r>
            <w:r w:rsidR="000A0293">
              <w:t>)</w:t>
            </w:r>
          </w:p>
        </w:tc>
        <w:tc>
          <w:tcPr>
            <w:tcW w:w="498" w:type="pct"/>
          </w:tcPr>
          <w:p w14:paraId="1E9FF75F" w14:textId="77777777" w:rsidR="006E5ED0" w:rsidRDefault="001F034E" w:rsidP="00854681">
            <w:pPr>
              <w:pStyle w:val="Tablewriting"/>
            </w:pPr>
            <w:r>
              <w:t xml:space="preserve">Cochrane </w:t>
            </w:r>
          </w:p>
          <w:p w14:paraId="077FA900" w14:textId="5F8223B0" w:rsidR="001E56A6" w:rsidRDefault="00130212" w:rsidP="00854681">
            <w:pPr>
              <w:pStyle w:val="Tablewriting"/>
            </w:pPr>
            <w:r>
              <w:t>R</w:t>
            </w:r>
            <w:r w:rsidR="001F034E">
              <w:t>eview</w:t>
            </w:r>
            <w:r w:rsidR="00E57E63">
              <w:t xml:space="preserve"> </w:t>
            </w:r>
          </w:p>
          <w:p w14:paraId="5C98A20D" w14:textId="7E1D50EE" w:rsidR="00050F29" w:rsidRDefault="001F034E" w:rsidP="001E56A6">
            <w:pPr>
              <w:pStyle w:val="Tablewriting"/>
            </w:pPr>
            <w:r>
              <w:t>(</w:t>
            </w:r>
            <w:r w:rsidR="006E5ED0">
              <w:t>5</w:t>
            </w:r>
            <w:r w:rsidR="00FD1358">
              <w:t xml:space="preserve"> RCTs</w:t>
            </w:r>
            <w:r w:rsidR="00B75E91">
              <w:rPr>
                <w:vertAlign w:val="superscript"/>
              </w:rPr>
              <w:t>2</w:t>
            </w:r>
            <w:r w:rsidR="004C456B">
              <w:t>)</w:t>
            </w:r>
          </w:p>
        </w:tc>
        <w:tc>
          <w:tcPr>
            <w:tcW w:w="893" w:type="pct"/>
          </w:tcPr>
          <w:p w14:paraId="64D9EF83" w14:textId="77777777" w:rsidR="00196015" w:rsidRPr="004C6D5C" w:rsidRDefault="00196015" w:rsidP="001E56A6">
            <w:pPr>
              <w:pStyle w:val="Tablewriting"/>
              <w:rPr>
                <w:u w:val="single"/>
              </w:rPr>
            </w:pPr>
            <w:r w:rsidRPr="004C6D5C">
              <w:rPr>
                <w:u w:val="single"/>
              </w:rPr>
              <w:t xml:space="preserve">Efficacy (4 RCTs) </w:t>
            </w:r>
          </w:p>
          <w:p w14:paraId="38A343D9" w14:textId="108D409F" w:rsidR="00050F29" w:rsidRDefault="004C456B" w:rsidP="001E56A6">
            <w:pPr>
              <w:pStyle w:val="Tablewriting"/>
            </w:pPr>
            <w:r>
              <w:t>NRT</w:t>
            </w:r>
            <w:r w:rsidR="00D97977">
              <w:t xml:space="preserve"> versus placebo</w:t>
            </w:r>
            <w:r w:rsidR="00265FEA">
              <w:t xml:space="preserve"> (N=385),</w:t>
            </w:r>
          </w:p>
          <w:p w14:paraId="5D72A144" w14:textId="15F4D122" w:rsidR="004C456B" w:rsidRDefault="004C456B" w:rsidP="001E56A6">
            <w:pPr>
              <w:pStyle w:val="Tablewriting"/>
            </w:pPr>
            <w:r>
              <w:t>Bupropion</w:t>
            </w:r>
            <w:r w:rsidR="00D035F1">
              <w:t xml:space="preserve"> </w:t>
            </w:r>
            <w:r w:rsidR="00D97977">
              <w:t>versus placebo</w:t>
            </w:r>
            <w:r w:rsidR="00265FEA">
              <w:t xml:space="preserve"> (N=</w:t>
            </w:r>
            <w:r w:rsidR="00D035F1" w:rsidDel="001F793C">
              <w:t>207</w:t>
            </w:r>
            <w:r w:rsidR="00265FEA">
              <w:t>),</w:t>
            </w:r>
          </w:p>
          <w:p w14:paraId="668DA5BC" w14:textId="2CF6DE96" w:rsidR="004C456B" w:rsidRDefault="00D035F1" w:rsidP="001E56A6">
            <w:pPr>
              <w:pStyle w:val="Tablewriting"/>
            </w:pPr>
            <w:r>
              <w:t xml:space="preserve">NRT + bupropion </w:t>
            </w:r>
            <w:r w:rsidR="001F793C">
              <w:t>versus NRT + placebo</w:t>
            </w:r>
            <w:r w:rsidR="000B47EB">
              <w:t xml:space="preserve"> </w:t>
            </w:r>
            <w:r w:rsidR="00265FEA">
              <w:t>(</w:t>
            </w:r>
            <w:r w:rsidR="001F793C">
              <w:t>N</w:t>
            </w:r>
            <w:r w:rsidR="00265FEA">
              <w:t>=</w:t>
            </w:r>
            <w:r>
              <w:t>211</w:t>
            </w:r>
            <w:r w:rsidR="00265FEA">
              <w:t>)</w:t>
            </w:r>
          </w:p>
        </w:tc>
        <w:tc>
          <w:tcPr>
            <w:tcW w:w="1372" w:type="pct"/>
          </w:tcPr>
          <w:p w14:paraId="736D1930" w14:textId="63160DE1" w:rsidR="000B47EB" w:rsidRDefault="005D10A6" w:rsidP="001E56A6">
            <w:pPr>
              <w:pStyle w:val="Tablewriting"/>
            </w:pPr>
            <w:r w:rsidRPr="004C6D5C">
              <w:rPr>
                <w:u w:val="single"/>
              </w:rPr>
              <w:t>Inclusion:</w:t>
            </w:r>
            <w:r>
              <w:t xml:space="preserve"> p</w:t>
            </w:r>
            <w:r w:rsidR="00897DD2">
              <w:t>articipants were young people, aged under 20 years, who were</w:t>
            </w:r>
            <w:r w:rsidR="004C6D5C">
              <w:t xml:space="preserve"> </w:t>
            </w:r>
            <w:r w:rsidR="00897DD2">
              <w:t>regular, current tobacco smokers</w:t>
            </w:r>
            <w:r w:rsidR="00594205">
              <w:rPr>
                <w:vertAlign w:val="superscript"/>
              </w:rPr>
              <w:t>5</w:t>
            </w:r>
            <w:r w:rsidR="000A1430">
              <w:t xml:space="preserve">. </w:t>
            </w:r>
          </w:p>
          <w:p w14:paraId="631C1568" w14:textId="3C60E437" w:rsidR="00050F29" w:rsidRDefault="00594205" w:rsidP="001E56A6">
            <w:pPr>
              <w:pStyle w:val="Tablewriting"/>
            </w:pPr>
            <w:r w:rsidRPr="004C6D5C">
              <w:rPr>
                <w:u w:val="single"/>
              </w:rPr>
              <w:t>Exclusion:</w:t>
            </w:r>
            <w:r w:rsidR="000A1430">
              <w:t xml:space="preserve"> participants who were not current smokers, or if </w:t>
            </w:r>
            <w:r w:rsidR="001D4B71">
              <w:t>the majority of participants included were beyond their 20</w:t>
            </w:r>
            <w:r w:rsidR="001D4B71" w:rsidRPr="001D4B71">
              <w:rPr>
                <w:vertAlign w:val="superscript"/>
              </w:rPr>
              <w:t>th</w:t>
            </w:r>
            <w:r w:rsidR="001D4B71">
              <w:t xml:space="preserve"> birthday</w:t>
            </w:r>
            <w:r w:rsidR="005A689C">
              <w:t>.</w:t>
            </w:r>
          </w:p>
        </w:tc>
        <w:tc>
          <w:tcPr>
            <w:tcW w:w="914" w:type="pct"/>
          </w:tcPr>
          <w:p w14:paraId="476E1724" w14:textId="019975C9" w:rsidR="00C23084" w:rsidRDefault="00C23084" w:rsidP="001E56A6">
            <w:pPr>
              <w:pStyle w:val="Tablewriting"/>
            </w:pPr>
            <w:r>
              <w:t>Pharmacotherapy</w:t>
            </w:r>
            <w:r w:rsidR="000B47EB">
              <w:t xml:space="preserve"> </w:t>
            </w:r>
            <w:r w:rsidR="00975ADB">
              <w:t>(monotherapy or combination)</w:t>
            </w:r>
            <w:r w:rsidR="003720DC">
              <w:t>, Placebo</w:t>
            </w:r>
            <w:r w:rsidR="005A689C">
              <w:t>.</w:t>
            </w:r>
          </w:p>
        </w:tc>
        <w:tc>
          <w:tcPr>
            <w:tcW w:w="937" w:type="pct"/>
          </w:tcPr>
          <w:p w14:paraId="2913F934" w14:textId="5ACC4C5A" w:rsidR="00050F29" w:rsidRDefault="000B47EB" w:rsidP="001E56A6">
            <w:pPr>
              <w:pStyle w:val="Tablewriting"/>
            </w:pPr>
            <w:r w:rsidRPr="00BD6D77">
              <w:rPr>
                <w:u w:val="single"/>
              </w:rPr>
              <w:t>Primary</w:t>
            </w:r>
            <w:r>
              <w:t xml:space="preserve">: </w:t>
            </w:r>
            <w:r w:rsidR="00BD6D77">
              <w:t>c</w:t>
            </w:r>
            <w:r w:rsidR="005C5114">
              <w:t>hange in smoking behaviour</w:t>
            </w:r>
            <w:r w:rsidR="00BD6D77">
              <w:t xml:space="preserve"> </w:t>
            </w:r>
            <w:r w:rsidR="005C5114">
              <w:t>(being a smoker at baseline and becoming and ex-smoker at follow</w:t>
            </w:r>
            <w:r>
              <w:t>-</w:t>
            </w:r>
            <w:r w:rsidR="005C5114">
              <w:t>up)</w:t>
            </w:r>
            <w:r>
              <w:t xml:space="preserve"> </w:t>
            </w:r>
            <w:r w:rsidR="005C5114">
              <w:t xml:space="preserve">at six months follow-up or longer. </w:t>
            </w:r>
          </w:p>
        </w:tc>
      </w:tr>
      <w:tr w:rsidR="00FC76C4" w14:paraId="51CAC94C" w14:textId="77777777" w:rsidTr="0082427B">
        <w:tc>
          <w:tcPr>
            <w:tcW w:w="386" w:type="pct"/>
          </w:tcPr>
          <w:p w14:paraId="1A323A0A" w14:textId="77777777" w:rsidR="000A0293" w:rsidRDefault="00050F29" w:rsidP="00854681">
            <w:pPr>
              <w:pStyle w:val="Tablewriting"/>
            </w:pPr>
            <w:r>
              <w:t xml:space="preserve">Myung </w:t>
            </w:r>
          </w:p>
          <w:p w14:paraId="45E90A9C" w14:textId="77E78B03" w:rsidR="00050F29" w:rsidRDefault="000A0293" w:rsidP="001E56A6">
            <w:pPr>
              <w:pStyle w:val="Tablewriting"/>
            </w:pPr>
            <w:r>
              <w:t>(</w:t>
            </w:r>
            <w:r w:rsidR="00050F29">
              <w:t>2019</w:t>
            </w:r>
            <w:r>
              <w:t>)</w:t>
            </w:r>
          </w:p>
        </w:tc>
        <w:tc>
          <w:tcPr>
            <w:tcW w:w="498" w:type="pct"/>
          </w:tcPr>
          <w:p w14:paraId="054FCED5" w14:textId="54704B87" w:rsidR="006E5ED0" w:rsidRDefault="006E5ED0" w:rsidP="006E5ED0">
            <w:pPr>
              <w:pStyle w:val="Tablewriting"/>
            </w:pPr>
            <w:r>
              <w:t>SR and MA</w:t>
            </w:r>
          </w:p>
          <w:p w14:paraId="1848D938" w14:textId="4A2CC708" w:rsidR="00050F29" w:rsidRDefault="00130212" w:rsidP="001E56A6">
            <w:pPr>
              <w:pStyle w:val="Tablewriting"/>
            </w:pPr>
            <w:r>
              <w:t>(9</w:t>
            </w:r>
            <w:r w:rsidR="00626446">
              <w:t xml:space="preserve"> RCTs</w:t>
            </w:r>
            <w:r w:rsidR="005750D8">
              <w:rPr>
                <w:vertAlign w:val="superscript"/>
              </w:rPr>
              <w:t>3</w:t>
            </w:r>
            <w:r w:rsidR="004B1E25">
              <w:t>)</w:t>
            </w:r>
          </w:p>
        </w:tc>
        <w:tc>
          <w:tcPr>
            <w:tcW w:w="893" w:type="pct"/>
          </w:tcPr>
          <w:p w14:paraId="3AC40669" w14:textId="6E9BBCF4" w:rsidR="00050F29" w:rsidRDefault="00196015" w:rsidP="001E56A6">
            <w:pPr>
              <w:pStyle w:val="Tablewriting"/>
            </w:pPr>
            <w:r>
              <w:t>N=</w:t>
            </w:r>
            <w:r w:rsidR="00A91D17">
              <w:t>1</w:t>
            </w:r>
            <w:r>
              <w:t>,</w:t>
            </w:r>
            <w:r w:rsidR="00A91D17">
              <w:t>188</w:t>
            </w:r>
          </w:p>
        </w:tc>
        <w:tc>
          <w:tcPr>
            <w:tcW w:w="1372" w:type="pct"/>
          </w:tcPr>
          <w:p w14:paraId="29C4F889" w14:textId="6C1FD9D6" w:rsidR="00050F29" w:rsidRDefault="003720DC" w:rsidP="001E56A6">
            <w:pPr>
              <w:pStyle w:val="Tablewriting"/>
            </w:pPr>
            <w:r w:rsidRPr="00E119DC">
              <w:rPr>
                <w:u w:val="single"/>
              </w:rPr>
              <w:t>Inclusion:</w:t>
            </w:r>
            <w:r>
              <w:t xml:space="preserve"> a</w:t>
            </w:r>
            <w:r w:rsidR="00A91D17">
              <w:t>dolescent smokers</w:t>
            </w:r>
            <w:r w:rsidR="000B47EB">
              <w:t xml:space="preserve"> </w:t>
            </w:r>
            <w:r w:rsidR="00A91D17">
              <w:t>aged less than 20 years</w:t>
            </w:r>
            <w:r w:rsidR="005A689C">
              <w:t>.</w:t>
            </w:r>
          </w:p>
        </w:tc>
        <w:tc>
          <w:tcPr>
            <w:tcW w:w="914" w:type="pct"/>
          </w:tcPr>
          <w:p w14:paraId="047F7BB6" w14:textId="75A97925" w:rsidR="00F141D5" w:rsidRDefault="00F141D5" w:rsidP="001E56A6">
            <w:pPr>
              <w:pStyle w:val="Tablewriting"/>
            </w:pPr>
            <w:r>
              <w:t>Pharmacotherapy (monotherapy or in combination)</w:t>
            </w:r>
            <w:r w:rsidR="003720DC">
              <w:t>, Placebo</w:t>
            </w:r>
            <w:r w:rsidR="005A689C">
              <w:t>.</w:t>
            </w:r>
          </w:p>
        </w:tc>
        <w:tc>
          <w:tcPr>
            <w:tcW w:w="937" w:type="pct"/>
          </w:tcPr>
          <w:p w14:paraId="29B9A3B9" w14:textId="6D39F5F7" w:rsidR="00050F29" w:rsidRDefault="00BD6D77" w:rsidP="001E56A6">
            <w:pPr>
              <w:pStyle w:val="Tablewriting"/>
            </w:pPr>
            <w:r w:rsidRPr="00E119DC">
              <w:rPr>
                <w:u w:val="single"/>
              </w:rPr>
              <w:t>Primary</w:t>
            </w:r>
            <w:r>
              <w:t>: s</w:t>
            </w:r>
            <w:r w:rsidR="004B1E25">
              <w:t>moking abstinence, biochemically validated, longest follow-up</w:t>
            </w:r>
            <w:r w:rsidR="005E196D">
              <w:t xml:space="preserve"> (could be &lt;6</w:t>
            </w:r>
            <w:r>
              <w:t xml:space="preserve"> </w:t>
            </w:r>
            <w:r w:rsidR="005E196D">
              <w:t>mo</w:t>
            </w:r>
            <w:r>
              <w:t>nths</w:t>
            </w:r>
            <w:r w:rsidR="005E196D">
              <w:t>)</w:t>
            </w:r>
            <w:r w:rsidR="005A689C">
              <w:t>.</w:t>
            </w:r>
          </w:p>
        </w:tc>
      </w:tr>
      <w:tr w:rsidR="00FC76C4" w14:paraId="313CDACF" w14:textId="77777777" w:rsidTr="0082427B">
        <w:tc>
          <w:tcPr>
            <w:tcW w:w="386" w:type="pct"/>
          </w:tcPr>
          <w:p w14:paraId="387544A2" w14:textId="1CBBC6B6" w:rsidR="000A0293" w:rsidRDefault="00050F29" w:rsidP="00854681">
            <w:pPr>
              <w:pStyle w:val="Tablewriting"/>
            </w:pPr>
            <w:r>
              <w:t xml:space="preserve">Selph </w:t>
            </w:r>
          </w:p>
          <w:p w14:paraId="6B994152" w14:textId="274B4AC8" w:rsidR="00050F29" w:rsidRDefault="000A0293" w:rsidP="00C84EF6">
            <w:pPr>
              <w:pStyle w:val="Tablewriting"/>
            </w:pPr>
            <w:r>
              <w:t>(</w:t>
            </w:r>
            <w:r w:rsidR="00050F29">
              <w:t>20</w:t>
            </w:r>
            <w:r w:rsidR="00483C3A">
              <w:t>20</w:t>
            </w:r>
            <w:r>
              <w:t>)</w:t>
            </w:r>
          </w:p>
        </w:tc>
        <w:tc>
          <w:tcPr>
            <w:tcW w:w="498" w:type="pct"/>
          </w:tcPr>
          <w:p w14:paraId="613EBCE3" w14:textId="5E4DEC57" w:rsidR="006E5ED0" w:rsidRDefault="006E5ED0" w:rsidP="006E5ED0">
            <w:pPr>
              <w:pStyle w:val="Tablewriting"/>
            </w:pPr>
            <w:r>
              <w:t xml:space="preserve"> SR </w:t>
            </w:r>
          </w:p>
          <w:p w14:paraId="716BE963" w14:textId="65CFA905" w:rsidR="00050F29" w:rsidRDefault="006E5ED0" w:rsidP="00C84EF6">
            <w:pPr>
              <w:pStyle w:val="Tablewriting"/>
            </w:pPr>
            <w:r>
              <w:t>(4 RCTs</w:t>
            </w:r>
            <w:r w:rsidR="00594205">
              <w:rPr>
                <w:vertAlign w:val="superscript"/>
              </w:rPr>
              <w:t>4</w:t>
            </w:r>
            <w:r>
              <w:t>)</w:t>
            </w:r>
          </w:p>
        </w:tc>
        <w:tc>
          <w:tcPr>
            <w:tcW w:w="893" w:type="pct"/>
          </w:tcPr>
          <w:p w14:paraId="517FD333" w14:textId="0A2518C8" w:rsidR="003A395F" w:rsidRPr="00E119DC" w:rsidRDefault="003A395F" w:rsidP="003A395F">
            <w:pPr>
              <w:pStyle w:val="Tablewriting"/>
              <w:rPr>
                <w:u w:val="single"/>
              </w:rPr>
            </w:pPr>
            <w:r w:rsidRPr="00E119DC">
              <w:rPr>
                <w:u w:val="single"/>
              </w:rPr>
              <w:t>Efficacy (</w:t>
            </w:r>
            <w:r>
              <w:rPr>
                <w:u w:val="single"/>
              </w:rPr>
              <w:t>3</w:t>
            </w:r>
            <w:r w:rsidRPr="00E119DC">
              <w:rPr>
                <w:u w:val="single"/>
              </w:rPr>
              <w:t xml:space="preserve"> RCTs) </w:t>
            </w:r>
          </w:p>
          <w:p w14:paraId="13053A7B" w14:textId="010FFBC1" w:rsidR="00050F29" w:rsidRDefault="007B76CD" w:rsidP="00C84EF6">
            <w:pPr>
              <w:pStyle w:val="Tablewriting"/>
            </w:pPr>
            <w:r>
              <w:t xml:space="preserve">NRT </w:t>
            </w:r>
            <w:r w:rsidR="003A395F">
              <w:t>(</w:t>
            </w:r>
            <w:r w:rsidR="00EF330A">
              <w:t>N</w:t>
            </w:r>
            <w:r w:rsidR="003715AE">
              <w:t>=257</w:t>
            </w:r>
            <w:r w:rsidR="00EF330A">
              <w:t>),</w:t>
            </w:r>
          </w:p>
          <w:p w14:paraId="53E56BE2" w14:textId="1835A153" w:rsidR="003715AE" w:rsidRDefault="003715AE" w:rsidP="00C84EF6">
            <w:pPr>
              <w:pStyle w:val="Tablewriting"/>
            </w:pPr>
            <w:r>
              <w:t>Bupropion</w:t>
            </w:r>
            <w:r w:rsidR="00EF330A">
              <w:t xml:space="preserve"> (N</w:t>
            </w:r>
            <w:r>
              <w:t>=523</w:t>
            </w:r>
            <w:r w:rsidR="00EF330A">
              <w:t>)</w:t>
            </w:r>
          </w:p>
        </w:tc>
        <w:tc>
          <w:tcPr>
            <w:tcW w:w="1372" w:type="pct"/>
          </w:tcPr>
          <w:p w14:paraId="23688CC1" w14:textId="1CF4C800" w:rsidR="00050F29" w:rsidRDefault="003720DC" w:rsidP="00C84EF6">
            <w:pPr>
              <w:pStyle w:val="Tablewriting"/>
            </w:pPr>
            <w:r w:rsidRPr="00E119DC">
              <w:rPr>
                <w:u w:val="single"/>
              </w:rPr>
              <w:t>Inclusion:</w:t>
            </w:r>
            <w:r>
              <w:t xml:space="preserve"> c</w:t>
            </w:r>
            <w:r w:rsidR="005F1A4A" w:rsidRPr="005F1A4A">
              <w:t>hildren and adolescent</w:t>
            </w:r>
            <w:r w:rsidR="005F1A4A">
              <w:t xml:space="preserve"> smokers</w:t>
            </w:r>
            <w:r w:rsidR="005A689C">
              <w:t>.</w:t>
            </w:r>
          </w:p>
        </w:tc>
        <w:tc>
          <w:tcPr>
            <w:tcW w:w="914" w:type="pct"/>
          </w:tcPr>
          <w:p w14:paraId="7CEC7ECF" w14:textId="77483E83" w:rsidR="00050F29" w:rsidRDefault="00D57E58" w:rsidP="00C84EF6">
            <w:pPr>
              <w:pStyle w:val="Tablewriting"/>
            </w:pPr>
            <w:r>
              <w:t>Pharmacological interventions</w:t>
            </w:r>
            <w:r w:rsidR="004C6D5C">
              <w:t>,</w:t>
            </w:r>
            <w:r w:rsidR="000B47EB">
              <w:t xml:space="preserve"> </w:t>
            </w:r>
            <w:r>
              <w:t>Minimal or no tobacco use interventions</w:t>
            </w:r>
            <w:r w:rsidR="005A689C">
              <w:t>.</w:t>
            </w:r>
            <w:r w:rsidR="00E76F42">
              <w:t xml:space="preserve"> </w:t>
            </w:r>
          </w:p>
        </w:tc>
        <w:tc>
          <w:tcPr>
            <w:tcW w:w="937" w:type="pct"/>
          </w:tcPr>
          <w:p w14:paraId="17C9BBF8" w14:textId="639E0528" w:rsidR="00210C3D" w:rsidRDefault="00BD6D77" w:rsidP="00C84EF6">
            <w:pPr>
              <w:pStyle w:val="Tablewriting"/>
            </w:pPr>
            <w:r w:rsidRPr="00E119DC">
              <w:rPr>
                <w:u w:val="single"/>
              </w:rPr>
              <w:t>Primary</w:t>
            </w:r>
            <w:r>
              <w:t>: s</w:t>
            </w:r>
            <w:r w:rsidR="005B6A54">
              <w:t>moking abstinence at longest follow-up</w:t>
            </w:r>
            <w:r>
              <w:t xml:space="preserve"> (minimum of 6 months)</w:t>
            </w:r>
            <w:r w:rsidR="005A689C">
              <w:t>.</w:t>
            </w:r>
          </w:p>
        </w:tc>
      </w:tr>
    </w:tbl>
    <w:p w14:paraId="1936C279" w14:textId="1A8D7049" w:rsidR="00CE1793" w:rsidRDefault="00CE1793" w:rsidP="004968C2">
      <w:pPr>
        <w:pStyle w:val="TableFooter"/>
        <w:jc w:val="both"/>
        <w:rPr>
          <w:i/>
        </w:rPr>
      </w:pPr>
      <w:r>
        <w:t xml:space="preserve">Abbreviations: </w:t>
      </w:r>
      <w:r w:rsidR="005D35C5">
        <w:t>MA = meta-analysis;</w:t>
      </w:r>
      <w:r>
        <w:t xml:space="preserve"> NRT = nicotine replacement therapy; RCT = randomised controlled trial</w:t>
      </w:r>
      <w:r w:rsidR="00754AA1">
        <w:t>; SR = systematic review</w:t>
      </w:r>
      <w:r w:rsidRPr="00061F78">
        <w:t xml:space="preserve"> </w:t>
      </w:r>
    </w:p>
    <w:p w14:paraId="64CF568D" w14:textId="77777777" w:rsidR="00CE1793" w:rsidRDefault="00CE1793" w:rsidP="004968C2">
      <w:pPr>
        <w:pStyle w:val="TableFooter"/>
        <w:jc w:val="both"/>
      </w:pPr>
      <w:r>
        <w:t>Notes:</w:t>
      </w:r>
    </w:p>
    <w:p w14:paraId="63D855E5" w14:textId="57C20864" w:rsidR="00B75E91" w:rsidRDefault="00CE1793" w:rsidP="004968C2">
      <w:pPr>
        <w:pStyle w:val="TableFooter"/>
        <w:jc w:val="both"/>
      </w:pPr>
      <w:r>
        <w:t>1 Only the number of patients (n) in the relevant arms were included</w:t>
      </w:r>
      <w:r w:rsidR="005A689C">
        <w:t>.</w:t>
      </w:r>
    </w:p>
    <w:p w14:paraId="6C8E5A04" w14:textId="34040D2B" w:rsidR="005750D8" w:rsidRDefault="00B75E91" w:rsidP="004968C2">
      <w:pPr>
        <w:pStyle w:val="TableFooter"/>
        <w:jc w:val="both"/>
      </w:pPr>
      <w:r>
        <w:t>2</w:t>
      </w:r>
      <w:r w:rsidR="00CE1793">
        <w:t xml:space="preserve"> </w:t>
      </w:r>
      <w:r w:rsidR="006E5ED0">
        <w:t xml:space="preserve">A total of </w:t>
      </w:r>
      <w:r w:rsidR="00485E09">
        <w:t>five</w:t>
      </w:r>
      <w:r w:rsidR="006E5ED0">
        <w:t xml:space="preserve"> RCTs were identified, with </w:t>
      </w:r>
      <w:r w:rsidR="00485E09">
        <w:t>four</w:t>
      </w:r>
      <w:r w:rsidR="006E5ED0">
        <w:t xml:space="preserve"> RCTs contributing to primary efficacy analysis.</w:t>
      </w:r>
      <w:r w:rsidR="00CE1793">
        <w:t xml:space="preserve"> </w:t>
      </w:r>
      <w:r w:rsidR="005517FC">
        <w:t xml:space="preserve">Of the </w:t>
      </w:r>
      <w:r w:rsidR="00485E09">
        <w:t>four</w:t>
      </w:r>
      <w:r w:rsidR="005517FC">
        <w:t xml:space="preserve"> RCTs, </w:t>
      </w:r>
      <w:r w:rsidR="00485E09">
        <w:t>two</w:t>
      </w:r>
      <w:r w:rsidR="005517FC">
        <w:t xml:space="preserve"> RCT</w:t>
      </w:r>
      <w:r w:rsidR="009F68B5">
        <w:t>s</w:t>
      </w:r>
      <w:r w:rsidR="005517FC">
        <w:t xml:space="preserve"> compared NRT with placebo, </w:t>
      </w:r>
      <w:r w:rsidR="00485E09">
        <w:t>one</w:t>
      </w:r>
      <w:r w:rsidR="005517FC">
        <w:t xml:space="preserve"> </w:t>
      </w:r>
      <w:r w:rsidR="009F68B5">
        <w:t xml:space="preserve">RCT compared bupropion with placebo and </w:t>
      </w:r>
      <w:r w:rsidR="00485E09">
        <w:t>one</w:t>
      </w:r>
      <w:r w:rsidR="009F68B5">
        <w:t xml:space="preserve"> RCT compared NRT</w:t>
      </w:r>
      <w:r w:rsidR="00F839C1">
        <w:t xml:space="preserve"> patch </w:t>
      </w:r>
      <w:r w:rsidR="009F68B5">
        <w:t>+</w:t>
      </w:r>
      <w:r w:rsidR="00F839C1">
        <w:t xml:space="preserve"> </w:t>
      </w:r>
      <w:r w:rsidR="009F68B5">
        <w:t>bupropion with NRT</w:t>
      </w:r>
      <w:r w:rsidR="00F839C1">
        <w:t xml:space="preserve"> patch + placebo.</w:t>
      </w:r>
      <w:r w:rsidR="00CE1793">
        <w:t xml:space="preserve"> The characteristics of the individual studies included in </w:t>
      </w:r>
      <w:r w:rsidR="00F839C1">
        <w:t>Fanshawe</w:t>
      </w:r>
      <w:r w:rsidR="00CE1793">
        <w:t xml:space="preserve"> et al. </w:t>
      </w:r>
      <w:r w:rsidR="00CE1793" w:rsidRPr="008138B1">
        <w:t>(20</w:t>
      </w:r>
      <w:r w:rsidR="00F839C1" w:rsidRPr="008138B1">
        <w:t>17</w:t>
      </w:r>
      <w:r w:rsidR="00CE1793" w:rsidRPr="008138B1">
        <w:t>) are presented in Appendix</w:t>
      </w:r>
      <w:r w:rsidR="008138B1" w:rsidRPr="008138B1">
        <w:t xml:space="preserve"> </w:t>
      </w:r>
      <w:r w:rsidR="00560D47">
        <w:t>Table 166.</w:t>
      </w:r>
    </w:p>
    <w:p w14:paraId="63DE30CC" w14:textId="723AB56C" w:rsidR="009F6B4C" w:rsidRDefault="005750D8" w:rsidP="004968C2">
      <w:pPr>
        <w:pStyle w:val="TableFooter"/>
        <w:jc w:val="both"/>
      </w:pPr>
      <w:r>
        <w:t xml:space="preserve">3 Of the </w:t>
      </w:r>
      <w:r w:rsidR="00485E09">
        <w:t>nine</w:t>
      </w:r>
      <w:r>
        <w:t xml:space="preserve"> RCTs, </w:t>
      </w:r>
      <w:r w:rsidR="00485E09">
        <w:t>five</w:t>
      </w:r>
      <w:r>
        <w:t xml:space="preserve"> RCTs compared NRT with placebo, </w:t>
      </w:r>
      <w:r w:rsidR="00485E09">
        <w:t>three</w:t>
      </w:r>
      <w:r>
        <w:t xml:space="preserve"> RCT</w:t>
      </w:r>
      <w:r w:rsidR="0055553D">
        <w:t>s</w:t>
      </w:r>
      <w:r>
        <w:t xml:space="preserve"> compared bupropion with placebo and </w:t>
      </w:r>
      <w:r w:rsidR="00485E09">
        <w:t>one</w:t>
      </w:r>
      <w:r>
        <w:t xml:space="preserve"> RCT compared NRT patch + bupropion with NRT patch + placebo. </w:t>
      </w:r>
      <w:r w:rsidR="00485E09">
        <w:t>Four</w:t>
      </w:r>
      <w:r w:rsidR="00052D34">
        <w:t xml:space="preserve"> RCTs </w:t>
      </w:r>
      <w:r w:rsidR="00D97977">
        <w:t>(Killen 2004, Moolchan 2005, Muramoto 2007, Scherphof 2014)</w:t>
      </w:r>
      <w:r w:rsidR="00052D34">
        <w:t xml:space="preserve"> were previously included in Fanshawe et al. (2017) and the remaining studies excluded from Fanshawe (2017) because the outcomes were assessed </w:t>
      </w:r>
      <w:r w:rsidR="003C10F8">
        <w:t xml:space="preserve">at </w:t>
      </w:r>
      <w:r w:rsidR="00052D34">
        <w:t xml:space="preserve">&lt;6 months. </w:t>
      </w:r>
      <w:r>
        <w:t xml:space="preserve">The characteristics of the individual studies included in </w:t>
      </w:r>
      <w:r w:rsidR="00052D34">
        <w:t>Myung</w:t>
      </w:r>
      <w:r>
        <w:t xml:space="preserve"> et al. </w:t>
      </w:r>
      <w:r w:rsidRPr="008138B1">
        <w:t>(201</w:t>
      </w:r>
      <w:r w:rsidR="00052D34" w:rsidRPr="008138B1">
        <w:t>9</w:t>
      </w:r>
      <w:r w:rsidRPr="008138B1">
        <w:t>) are presented in Appendix</w:t>
      </w:r>
      <w:r w:rsidR="008138B1" w:rsidRPr="008138B1">
        <w:t xml:space="preserve"> </w:t>
      </w:r>
      <w:r w:rsidR="00560D47">
        <w:t>Table 167.</w:t>
      </w:r>
      <w:r w:rsidR="006F3D13">
        <w:t xml:space="preserve"> </w:t>
      </w:r>
      <w:r w:rsidR="00324ED8">
        <w:t xml:space="preserve">Myung et al. (2019) did not </w:t>
      </w:r>
      <w:r w:rsidR="006F3D13" w:rsidRPr="006F3D13">
        <w:t>state whether a protocol was registered before commencement of the review</w:t>
      </w:r>
      <w:r w:rsidR="00324ED8">
        <w:t xml:space="preserve"> (AMSTAR 2 critical domain).</w:t>
      </w:r>
    </w:p>
    <w:p w14:paraId="711D5E3B" w14:textId="2D20182F" w:rsidR="00594205" w:rsidRDefault="009F6B4C" w:rsidP="004968C2">
      <w:pPr>
        <w:pStyle w:val="TableFooter"/>
        <w:jc w:val="both"/>
      </w:pPr>
      <w:r>
        <w:t xml:space="preserve">4 A total of </w:t>
      </w:r>
      <w:r w:rsidR="00485E09">
        <w:t>four</w:t>
      </w:r>
      <w:r>
        <w:t xml:space="preserve"> RCTs were identified, with </w:t>
      </w:r>
      <w:r w:rsidR="00485E09">
        <w:t>three</w:t>
      </w:r>
      <w:r>
        <w:t xml:space="preserve"> RCTs contributing to </w:t>
      </w:r>
      <w:r w:rsidR="00485E09">
        <w:t xml:space="preserve">the </w:t>
      </w:r>
      <w:r>
        <w:t xml:space="preserve">primary efficacy analysis. Of the </w:t>
      </w:r>
      <w:r w:rsidR="00485E09">
        <w:t>three</w:t>
      </w:r>
      <w:r>
        <w:t xml:space="preserve"> RCTs, </w:t>
      </w:r>
      <w:r w:rsidR="00485E09">
        <w:t>one</w:t>
      </w:r>
      <w:r>
        <w:t xml:space="preserve"> RCT compared NRT with placebo, </w:t>
      </w:r>
      <w:r w:rsidR="00485E09">
        <w:t>one</w:t>
      </w:r>
      <w:r>
        <w:t xml:space="preserve"> RCT compared bupropion with placebo and </w:t>
      </w:r>
      <w:r w:rsidR="00485E09">
        <w:t>one</w:t>
      </w:r>
      <w:r>
        <w:t xml:space="preserve"> RCT compared NRT patch + bupropion with NRT patch + placebo. </w:t>
      </w:r>
      <w:r w:rsidR="00CF7F89">
        <w:t xml:space="preserve">The </w:t>
      </w:r>
      <w:r w:rsidR="00485E09">
        <w:t>three</w:t>
      </w:r>
      <w:r>
        <w:t xml:space="preserve"> RCTs</w:t>
      </w:r>
      <w:r w:rsidR="00CF7F89">
        <w:t xml:space="preserve"> (Killen 2004, Muramoto 2007, </w:t>
      </w:r>
      <w:r w:rsidR="009E7142">
        <w:t>and Scherpof</w:t>
      </w:r>
      <w:r w:rsidR="00CF7F89">
        <w:t xml:space="preserve"> 2014)</w:t>
      </w:r>
      <w:r>
        <w:t xml:space="preserve"> were previously included in Fanshawe et al. (2017</w:t>
      </w:r>
      <w:r w:rsidR="00CF7F89">
        <w:t>)</w:t>
      </w:r>
      <w:r>
        <w:t xml:space="preserve">. The characteristics of the individual studies included in </w:t>
      </w:r>
      <w:r w:rsidR="00CF7F89">
        <w:t>Selph</w:t>
      </w:r>
      <w:r>
        <w:t xml:space="preserve"> et al. </w:t>
      </w:r>
      <w:r w:rsidRPr="008138B1">
        <w:t>(2019) are presented in Appendix</w:t>
      </w:r>
      <w:r w:rsidR="008138B1" w:rsidRPr="008138B1">
        <w:t xml:space="preserve"> </w:t>
      </w:r>
      <w:r w:rsidR="008138B1" w:rsidRPr="008138B1">
        <w:fldChar w:fldCharType="begin" w:fldLock="1"/>
      </w:r>
      <w:r w:rsidR="008138B1" w:rsidRPr="008138B1">
        <w:instrText xml:space="preserve"> REF _Ref62378992 \h </w:instrText>
      </w:r>
      <w:r w:rsidR="008138B1">
        <w:instrText xml:space="preserve"> \* MERGEFORMAT </w:instrText>
      </w:r>
      <w:r w:rsidR="008138B1" w:rsidRPr="008138B1">
        <w:fldChar w:fldCharType="separate"/>
      </w:r>
      <w:r w:rsidR="00EC5CC7">
        <w:t xml:space="preserve">Table </w:t>
      </w:r>
      <w:r w:rsidR="00EC5CC7">
        <w:rPr>
          <w:noProof/>
        </w:rPr>
        <w:t>168</w:t>
      </w:r>
      <w:r w:rsidR="008138B1" w:rsidRPr="008138B1">
        <w:fldChar w:fldCharType="end"/>
      </w:r>
      <w:r w:rsidRPr="008138B1">
        <w:t>.</w:t>
      </w:r>
      <w:r w:rsidR="00324ED8">
        <w:t xml:space="preserve"> Selph et al. (2020) did not </w:t>
      </w:r>
      <w:r w:rsidR="00324ED8" w:rsidRPr="006F3D13">
        <w:t>state whether a protocol was registered before commencement of the review</w:t>
      </w:r>
      <w:r w:rsidR="00324ED8" w:rsidRPr="00324ED8">
        <w:t xml:space="preserve"> </w:t>
      </w:r>
      <w:r w:rsidR="00324ED8">
        <w:t xml:space="preserve">and </w:t>
      </w:r>
      <w:r w:rsidR="00324ED8" w:rsidRPr="00324ED8">
        <w:t>did not assess the presence and likely impact of publication bias.</w:t>
      </w:r>
      <w:r w:rsidR="00324ED8">
        <w:t xml:space="preserve"> (AMSTAR 2 critical domain).</w:t>
      </w:r>
    </w:p>
    <w:p w14:paraId="74DA6893" w14:textId="4A209FE1" w:rsidR="004C6D5C" w:rsidRDefault="00594205" w:rsidP="004968C2">
      <w:pPr>
        <w:pStyle w:val="TableFooter"/>
        <w:jc w:val="both"/>
      </w:pPr>
      <w:r>
        <w:t xml:space="preserve">5 Regular smokers were defined as a young person who smokes an average of at least one cigarette a </w:t>
      </w:r>
      <w:r w:rsidR="00826C95">
        <w:t>week and</w:t>
      </w:r>
      <w:r>
        <w:t xml:space="preserve"> has done so for at least six months</w:t>
      </w:r>
      <w:r w:rsidR="005A689C">
        <w:t>.</w:t>
      </w:r>
    </w:p>
    <w:p w14:paraId="794A2224" w14:textId="77777777" w:rsidR="004C6D5C" w:rsidRDefault="004C6D5C" w:rsidP="004C6D5C">
      <w:pPr>
        <w:pStyle w:val="TableFooter"/>
        <w:keepNext/>
        <w:sectPr w:rsidR="004C6D5C" w:rsidSect="004C6D5C">
          <w:pgSz w:w="16838" w:h="11906" w:orient="landscape"/>
          <w:pgMar w:top="1440" w:right="1440" w:bottom="1440" w:left="1440" w:header="708" w:footer="708" w:gutter="0"/>
          <w:cols w:space="708"/>
          <w:titlePg/>
          <w:docGrid w:linePitch="360"/>
        </w:sectPr>
      </w:pPr>
    </w:p>
    <w:p w14:paraId="09935465" w14:textId="2504B748" w:rsidR="00634E0F" w:rsidRDefault="002E0537" w:rsidP="004968C2">
      <w:pPr>
        <w:spacing w:after="120"/>
        <w:jc w:val="both"/>
      </w:pPr>
      <w:r>
        <w:lastRenderedPageBreak/>
        <w:t xml:space="preserve">While Myung et al. (2019) and Selph et al. (2019) were published after </w:t>
      </w:r>
      <w:r w:rsidR="001F4FDB">
        <w:t>Fanshawe et al</w:t>
      </w:r>
      <w:r>
        <w:t>. (2017), there w</w:t>
      </w:r>
      <w:r w:rsidR="00345DA4">
        <w:t>as</w:t>
      </w:r>
      <w:r>
        <w:t xml:space="preserve"> no new evidence identified since 2017</w:t>
      </w:r>
      <w:r w:rsidR="00105A73">
        <w:t xml:space="preserve"> (</w:t>
      </w:r>
      <w:r w:rsidR="00826C95">
        <w:t>i.e.,</w:t>
      </w:r>
      <w:r w:rsidR="00105A73">
        <w:t xml:space="preserve"> </w:t>
      </w:r>
      <w:r w:rsidR="00BD5F4F">
        <w:t>the</w:t>
      </w:r>
      <w:r w:rsidR="00105A73">
        <w:t xml:space="preserve"> latest RCT identified was Scherphof et al. 2014</w:t>
      </w:r>
      <w:r w:rsidR="00BA29DF">
        <w:t xml:space="preserve"> included in Fanshawe et al. 2017</w:t>
      </w:r>
      <w:r w:rsidR="00105A73">
        <w:t>).</w:t>
      </w:r>
      <w:r>
        <w:t xml:space="preserve"> </w:t>
      </w:r>
      <w:r w:rsidR="00B42367">
        <w:t>It was noted that</w:t>
      </w:r>
      <w:r w:rsidR="002705FE">
        <w:t xml:space="preserve"> five </w:t>
      </w:r>
      <w:r w:rsidR="00B42367">
        <w:t>RCTs in Myung et al. (2019)</w:t>
      </w:r>
      <w:r w:rsidR="002705FE">
        <w:t xml:space="preserve"> were excluded </w:t>
      </w:r>
      <w:r w:rsidR="00FA24EE">
        <w:t>by</w:t>
      </w:r>
      <w:r w:rsidR="002705FE">
        <w:t xml:space="preserve"> Fanshawe </w:t>
      </w:r>
      <w:r w:rsidR="00FA24EE">
        <w:t>et al</w:t>
      </w:r>
      <w:r w:rsidR="00B42367">
        <w:t>. (2017)</w:t>
      </w:r>
      <w:r w:rsidR="00FA24EE">
        <w:t xml:space="preserve"> </w:t>
      </w:r>
      <w:r w:rsidR="002705FE">
        <w:t xml:space="preserve">because the </w:t>
      </w:r>
      <w:r w:rsidR="00351375">
        <w:t xml:space="preserve">outcomes </w:t>
      </w:r>
      <w:r w:rsidR="00FA24EE">
        <w:t xml:space="preserve">in those trials </w:t>
      </w:r>
      <w:r w:rsidR="00351375">
        <w:t xml:space="preserve">were assessed at less than </w:t>
      </w:r>
      <w:r w:rsidR="00485E09">
        <w:t>six</w:t>
      </w:r>
      <w:r w:rsidR="00351375">
        <w:t xml:space="preserve"> months. </w:t>
      </w:r>
      <w:r w:rsidR="00BA29DF">
        <w:t>Of the five RCTs, t</w:t>
      </w:r>
      <w:r w:rsidR="00CA0F4F">
        <w:t>hree RCT</w:t>
      </w:r>
      <w:r w:rsidR="00A519B5">
        <w:t>s involved NRT</w:t>
      </w:r>
      <w:r w:rsidR="00263A80">
        <w:t xml:space="preserve"> (</w:t>
      </w:r>
      <w:r w:rsidR="00263A80" w:rsidRPr="008138B1">
        <w:t>Hanson 2003, Roddy 2006, Rubinstein 2008</w:t>
      </w:r>
      <w:r w:rsidR="00263A80">
        <w:t>)</w:t>
      </w:r>
      <w:r w:rsidR="00394914">
        <w:t xml:space="preserve"> and two </w:t>
      </w:r>
      <w:r w:rsidR="00CA0F4F">
        <w:t>RCTs</w:t>
      </w:r>
      <w:r w:rsidR="00394914">
        <w:t xml:space="preserve"> </w:t>
      </w:r>
      <w:r w:rsidR="00A519B5">
        <w:t>involved bupropion</w:t>
      </w:r>
      <w:r w:rsidR="00263A80">
        <w:t xml:space="preserve"> </w:t>
      </w:r>
      <w:r w:rsidR="00263A80" w:rsidRPr="008138B1">
        <w:t>(</w:t>
      </w:r>
      <w:r w:rsidR="007B58A5" w:rsidRPr="008138B1">
        <w:t>Niederhofer 2004, Gray 2011</w:t>
      </w:r>
      <w:r w:rsidR="007B58A5">
        <w:t>)</w:t>
      </w:r>
      <w:r w:rsidR="00263A80">
        <w:t>.</w:t>
      </w:r>
    </w:p>
    <w:p w14:paraId="5336352E" w14:textId="1ECFD318" w:rsidR="006434E2" w:rsidRDefault="00CA0F4F" w:rsidP="004968C2">
      <w:pPr>
        <w:spacing w:after="120"/>
        <w:jc w:val="both"/>
      </w:pPr>
      <w:r>
        <w:t xml:space="preserve">Accordingly, </w:t>
      </w:r>
      <w:r w:rsidR="00614D15">
        <w:t xml:space="preserve">the Cochrane Review by Fanshawe et al. (2017) was presented as the primary evidence for adolescents in this report while </w:t>
      </w:r>
      <w:r w:rsidR="006434E2">
        <w:t xml:space="preserve">Myung </w:t>
      </w:r>
      <w:r w:rsidR="00614D15">
        <w:t>et al. (</w:t>
      </w:r>
      <w:r w:rsidR="006434E2">
        <w:t>2019</w:t>
      </w:r>
      <w:r w:rsidR="00614D15">
        <w:t>)</w:t>
      </w:r>
      <w:r w:rsidR="006434E2">
        <w:t xml:space="preserve"> and Selph </w:t>
      </w:r>
      <w:r w:rsidR="00614D15">
        <w:t>et al. (</w:t>
      </w:r>
      <w:r w:rsidR="006434E2">
        <w:t>2019</w:t>
      </w:r>
      <w:r w:rsidR="00614D15">
        <w:t>)</w:t>
      </w:r>
      <w:r w:rsidR="006434E2">
        <w:t xml:space="preserve"> are presented as supportive evidence. </w:t>
      </w:r>
    </w:p>
    <w:p w14:paraId="25E1F0B9" w14:textId="76F5B4E2" w:rsidR="00862C77" w:rsidRPr="00862C77" w:rsidRDefault="00862C77" w:rsidP="004968C2">
      <w:pPr>
        <w:spacing w:after="120"/>
        <w:jc w:val="both"/>
        <w:rPr>
          <w:b/>
          <w:bCs/>
        </w:rPr>
      </w:pPr>
      <w:r w:rsidRPr="00862C77">
        <w:rPr>
          <w:b/>
          <w:bCs/>
        </w:rPr>
        <w:t>NRT</w:t>
      </w:r>
    </w:p>
    <w:p w14:paraId="565D8211" w14:textId="5772AE85" w:rsidR="003967C8" w:rsidRDefault="003967C8" w:rsidP="004968C2">
      <w:pPr>
        <w:spacing w:after="120"/>
        <w:jc w:val="both"/>
      </w:pPr>
      <w:r w:rsidRPr="005E196D">
        <w:rPr>
          <w:u w:val="single"/>
        </w:rPr>
        <w:t>Efficacy</w:t>
      </w:r>
    </w:p>
    <w:p w14:paraId="791EB5C9" w14:textId="46264233" w:rsidR="00DC7755" w:rsidRDefault="00DC7755" w:rsidP="004968C2">
      <w:pPr>
        <w:spacing w:after="120"/>
        <w:jc w:val="both"/>
      </w:pPr>
      <w:r>
        <w:t xml:space="preserve">A summary of the smoking cessation rates at the longest follow-up </w:t>
      </w:r>
      <w:r w:rsidR="00F9564A">
        <w:t xml:space="preserve">comparing </w:t>
      </w:r>
      <w:r w:rsidR="00D936F9">
        <w:t xml:space="preserve">NRT </w:t>
      </w:r>
      <w:r w:rsidR="004A3532">
        <w:t>(patch or gum)</w:t>
      </w:r>
      <w:r w:rsidR="00D936F9">
        <w:t xml:space="preserve"> with placebo</w:t>
      </w:r>
      <w:r>
        <w:t xml:space="preserve"> is presented in </w:t>
      </w:r>
      <w:r w:rsidR="00D936F9">
        <w:fldChar w:fldCharType="begin" w:fldLock="1"/>
      </w:r>
      <w:r w:rsidR="00D936F9">
        <w:instrText xml:space="preserve"> REF _Ref61957934 \h </w:instrText>
      </w:r>
      <w:r w:rsidR="004968C2">
        <w:instrText xml:space="preserve"> \* MERGEFORMAT </w:instrText>
      </w:r>
      <w:r w:rsidR="00D936F9">
        <w:fldChar w:fldCharType="separate"/>
      </w:r>
      <w:r w:rsidR="00EC5CC7">
        <w:t xml:space="preserve">Table </w:t>
      </w:r>
      <w:r w:rsidR="00EC5CC7">
        <w:rPr>
          <w:noProof/>
        </w:rPr>
        <w:t>132</w:t>
      </w:r>
      <w:r w:rsidR="00D936F9">
        <w:fldChar w:fldCharType="end"/>
      </w:r>
      <w:r>
        <w:t>.</w:t>
      </w:r>
      <w:r w:rsidR="00DB5108">
        <w:t xml:space="preserve"> </w:t>
      </w:r>
      <w:r w:rsidR="00DB5108" w:rsidRPr="00B817FB">
        <w:t xml:space="preserve">The results of the </w:t>
      </w:r>
      <w:r w:rsidR="00D936F9">
        <w:t>meta-analysis comprising two RCTs by Fanshawe et al. (2017) demonstrated</w:t>
      </w:r>
      <w:r w:rsidR="00D936F9" w:rsidRPr="00D936F9">
        <w:t xml:space="preserve"> </w:t>
      </w:r>
      <w:r w:rsidR="00D936F9">
        <w:t>no</w:t>
      </w:r>
      <w:r w:rsidR="00D936F9" w:rsidRPr="00D936F9">
        <w:t xml:space="preserve"> </w:t>
      </w:r>
      <w:r w:rsidR="00D936F9">
        <w:t xml:space="preserve">statistically </w:t>
      </w:r>
      <w:r w:rsidR="00D936F9" w:rsidRPr="00D936F9">
        <w:t xml:space="preserve">significant </w:t>
      </w:r>
      <w:r w:rsidR="00D936F9">
        <w:t>difference</w:t>
      </w:r>
      <w:r w:rsidR="00D936F9" w:rsidRPr="00D936F9">
        <w:t xml:space="preserve"> in smoking cessation rates </w:t>
      </w:r>
      <w:r w:rsidR="00D936F9">
        <w:t>between the two treatment arms</w:t>
      </w:r>
      <w:r w:rsidR="00D936F9" w:rsidRPr="00D936F9">
        <w:t xml:space="preserve">. Subgroup analysis by </w:t>
      </w:r>
      <w:r w:rsidR="008E0AD1">
        <w:t xml:space="preserve">NRT </w:t>
      </w:r>
      <w:r w:rsidR="00573F59">
        <w:t>patches</w:t>
      </w:r>
      <w:r w:rsidR="00D936F9" w:rsidRPr="00D936F9">
        <w:t xml:space="preserve"> and </w:t>
      </w:r>
      <w:r w:rsidR="008E0AD1">
        <w:t>NRT gum</w:t>
      </w:r>
      <w:r w:rsidR="00D936F9" w:rsidRPr="00D936F9">
        <w:t xml:space="preserve"> did not reveal evidence that the effect differed by NRT type (P=0.</w:t>
      </w:r>
      <w:r w:rsidR="008E0AD1">
        <w:t>65</w:t>
      </w:r>
      <w:r w:rsidR="00D936F9" w:rsidRPr="00D936F9">
        <w:t>).</w:t>
      </w:r>
      <w:r w:rsidR="006E1678">
        <w:t xml:space="preserve"> </w:t>
      </w:r>
      <w:r w:rsidR="006E1678" w:rsidRPr="006E1678">
        <w:t>Fanshawe et al</w:t>
      </w:r>
      <w:r w:rsidR="006E1678">
        <w:t>. (2017)</w:t>
      </w:r>
      <w:r w:rsidR="006E1678" w:rsidRPr="006E1678">
        <w:t xml:space="preserve"> noted that the wide confidence intervals and small number of events in both arms suggest that the studies were underpowered to detect any differences.</w:t>
      </w:r>
    </w:p>
    <w:p w14:paraId="676684F1" w14:textId="502CFC8F" w:rsidR="00F155EA" w:rsidRDefault="00F155EA" w:rsidP="004968C2">
      <w:pPr>
        <w:pStyle w:val="Caption"/>
        <w:keepNext/>
        <w:spacing w:before="0" w:after="120"/>
        <w:jc w:val="both"/>
      </w:pPr>
      <w:bookmarkStart w:id="226" w:name="_Ref61957934"/>
      <w:r>
        <w:t xml:space="preserve">Table </w:t>
      </w:r>
      <w:r w:rsidR="00BF3F75">
        <w:fldChar w:fldCharType="begin"/>
      </w:r>
      <w:r w:rsidR="00BF3F75">
        <w:instrText xml:space="preserve"> SEQ Table \* ARABIC </w:instrText>
      </w:r>
      <w:r w:rsidR="00BF3F75">
        <w:fldChar w:fldCharType="separate"/>
      </w:r>
      <w:r w:rsidR="00EC5CC7">
        <w:rPr>
          <w:noProof/>
        </w:rPr>
        <w:t>132</w:t>
      </w:r>
      <w:r w:rsidR="00BF3F75">
        <w:rPr>
          <w:noProof/>
        </w:rPr>
        <w:fldChar w:fldCharType="end"/>
      </w:r>
      <w:bookmarkEnd w:id="226"/>
      <w:r>
        <w:t xml:space="preserve">: </w:t>
      </w:r>
      <w:r w:rsidRPr="00B95017">
        <w:t xml:space="preserve">Results of smoking cessation in </w:t>
      </w:r>
      <w:r>
        <w:t>adolescents</w:t>
      </w:r>
      <w:r w:rsidRPr="00B95017">
        <w:t xml:space="preserve"> in </w:t>
      </w:r>
      <w:r>
        <w:t>Fanshawe</w:t>
      </w:r>
      <w:r w:rsidRPr="00B95017">
        <w:t xml:space="preserve"> et al. (20</w:t>
      </w:r>
      <w:r>
        <w:t>17</w:t>
      </w:r>
      <w:r w:rsidRPr="00B95017">
        <w:t xml:space="preserve">), </w:t>
      </w:r>
      <w:r>
        <w:t>NRT</w:t>
      </w:r>
      <w:r w:rsidRPr="00B95017">
        <w:t xml:space="preserve"> versus placebo</w:t>
      </w:r>
    </w:p>
    <w:tbl>
      <w:tblPr>
        <w:tblStyle w:val="TableGrid"/>
        <w:tblW w:w="5000" w:type="pct"/>
        <w:tblLook w:val="04A0" w:firstRow="1" w:lastRow="0" w:firstColumn="1" w:lastColumn="0" w:noHBand="0" w:noVBand="1"/>
      </w:tblPr>
      <w:tblGrid>
        <w:gridCol w:w="1129"/>
        <w:gridCol w:w="1985"/>
        <w:gridCol w:w="1843"/>
        <w:gridCol w:w="2126"/>
        <w:gridCol w:w="1933"/>
      </w:tblGrid>
      <w:tr w:rsidR="00AB043F" w:rsidRPr="007D5EC7" w14:paraId="1D1AA137" w14:textId="77777777" w:rsidTr="004E05BB">
        <w:tc>
          <w:tcPr>
            <w:tcW w:w="626" w:type="pct"/>
            <w:shd w:val="clear" w:color="auto" w:fill="BFBFBF" w:themeFill="background1" w:themeFillShade="BF"/>
          </w:tcPr>
          <w:p w14:paraId="3F6368DF" w14:textId="77777777" w:rsidR="00AB043F" w:rsidRPr="007D5EC7" w:rsidRDefault="00AB043F" w:rsidP="00A33E0D">
            <w:pPr>
              <w:pStyle w:val="Tablewriting"/>
              <w:rPr>
                <w:b/>
                <w:bCs/>
              </w:rPr>
            </w:pPr>
            <w:r w:rsidRPr="007D5EC7">
              <w:rPr>
                <w:b/>
                <w:bCs/>
              </w:rPr>
              <w:t>Study</w:t>
            </w:r>
          </w:p>
        </w:tc>
        <w:tc>
          <w:tcPr>
            <w:tcW w:w="1101" w:type="pct"/>
            <w:shd w:val="clear" w:color="auto" w:fill="BFBFBF" w:themeFill="background1" w:themeFillShade="BF"/>
          </w:tcPr>
          <w:p w14:paraId="63BB1158" w14:textId="77777777" w:rsidR="00AB043F" w:rsidRPr="007D5EC7" w:rsidRDefault="00AB043F" w:rsidP="00525B39">
            <w:pPr>
              <w:pStyle w:val="Tablewriting"/>
              <w:jc w:val="center"/>
              <w:rPr>
                <w:b/>
                <w:bCs/>
              </w:rPr>
            </w:pPr>
            <w:r w:rsidRPr="007D5EC7">
              <w:rPr>
                <w:b/>
                <w:bCs/>
              </w:rPr>
              <w:t>Study Type</w:t>
            </w:r>
          </w:p>
        </w:tc>
        <w:tc>
          <w:tcPr>
            <w:tcW w:w="1022" w:type="pct"/>
            <w:shd w:val="clear" w:color="auto" w:fill="BFBFBF" w:themeFill="background1" w:themeFillShade="BF"/>
          </w:tcPr>
          <w:p w14:paraId="1A95511C" w14:textId="77777777" w:rsidR="00AB043F" w:rsidRPr="007D5EC7" w:rsidRDefault="00AB043F" w:rsidP="00525B39">
            <w:pPr>
              <w:pStyle w:val="Tablewriting"/>
              <w:jc w:val="center"/>
              <w:rPr>
                <w:b/>
                <w:bCs/>
              </w:rPr>
            </w:pPr>
            <w:r w:rsidRPr="007D5EC7">
              <w:rPr>
                <w:b/>
                <w:bCs/>
              </w:rPr>
              <w:t>NRT</w:t>
            </w:r>
          </w:p>
        </w:tc>
        <w:tc>
          <w:tcPr>
            <w:tcW w:w="1179" w:type="pct"/>
            <w:shd w:val="clear" w:color="auto" w:fill="BFBFBF" w:themeFill="background1" w:themeFillShade="BF"/>
          </w:tcPr>
          <w:p w14:paraId="6D55677A" w14:textId="4D83F8CF" w:rsidR="00AB043F" w:rsidRPr="007D5EC7" w:rsidRDefault="00AB043F" w:rsidP="00525B39">
            <w:pPr>
              <w:pStyle w:val="Tablewriting"/>
              <w:jc w:val="center"/>
              <w:rPr>
                <w:b/>
                <w:bCs/>
              </w:rPr>
            </w:pPr>
            <w:r w:rsidRPr="007D5EC7">
              <w:rPr>
                <w:b/>
                <w:bCs/>
              </w:rPr>
              <w:t>Placebo</w:t>
            </w:r>
          </w:p>
        </w:tc>
        <w:tc>
          <w:tcPr>
            <w:tcW w:w="1072" w:type="pct"/>
            <w:shd w:val="clear" w:color="auto" w:fill="BFBFBF" w:themeFill="background1" w:themeFillShade="BF"/>
          </w:tcPr>
          <w:p w14:paraId="006F9807" w14:textId="261DFF5A" w:rsidR="00AB043F" w:rsidRPr="00F9564A" w:rsidRDefault="00AB043F" w:rsidP="00525B39">
            <w:pPr>
              <w:pStyle w:val="Tablewriting"/>
              <w:jc w:val="center"/>
              <w:rPr>
                <w:b/>
                <w:vertAlign w:val="superscript"/>
              </w:rPr>
            </w:pPr>
            <w:r w:rsidRPr="007D5EC7">
              <w:rPr>
                <w:b/>
                <w:bCs/>
              </w:rPr>
              <w:t>RR (95%CI)</w:t>
            </w:r>
            <w:r w:rsidR="00F9564A">
              <w:rPr>
                <w:b/>
                <w:bCs/>
                <w:vertAlign w:val="superscript"/>
              </w:rPr>
              <w:t>1</w:t>
            </w:r>
          </w:p>
        </w:tc>
      </w:tr>
      <w:tr w:rsidR="00AB043F" w14:paraId="7E15AC4D" w14:textId="77777777" w:rsidTr="004E05BB">
        <w:tc>
          <w:tcPr>
            <w:tcW w:w="626" w:type="pct"/>
          </w:tcPr>
          <w:p w14:paraId="7CE2ED5E" w14:textId="77777777" w:rsidR="00525B39" w:rsidRDefault="00E71654" w:rsidP="00A33E0D">
            <w:pPr>
              <w:pStyle w:val="Tablewriting"/>
            </w:pPr>
            <w:r>
              <w:t xml:space="preserve">Fanshawe </w:t>
            </w:r>
          </w:p>
          <w:p w14:paraId="21A77E45" w14:textId="7D929ECC" w:rsidR="00AB043F" w:rsidRDefault="00525B39" w:rsidP="00A33E0D">
            <w:pPr>
              <w:pStyle w:val="Tablewriting"/>
            </w:pPr>
            <w:r>
              <w:t>(</w:t>
            </w:r>
            <w:r w:rsidR="00E71654">
              <w:t>2017</w:t>
            </w:r>
            <w:r>
              <w:t>)</w:t>
            </w:r>
          </w:p>
        </w:tc>
        <w:tc>
          <w:tcPr>
            <w:tcW w:w="1101" w:type="pct"/>
          </w:tcPr>
          <w:p w14:paraId="0B2B533B" w14:textId="77777777" w:rsidR="00525B39" w:rsidRDefault="00A33E0D" w:rsidP="00525B39">
            <w:pPr>
              <w:pStyle w:val="Tablewriting"/>
              <w:jc w:val="center"/>
            </w:pPr>
            <w:r>
              <w:t xml:space="preserve">Cochrane Review </w:t>
            </w:r>
          </w:p>
          <w:p w14:paraId="31A3D4E4" w14:textId="5B1A5172" w:rsidR="00AB043F" w:rsidRDefault="00A33E0D" w:rsidP="00525B39">
            <w:pPr>
              <w:pStyle w:val="Tablewriting"/>
              <w:jc w:val="center"/>
            </w:pPr>
            <w:r>
              <w:t xml:space="preserve">(2 </w:t>
            </w:r>
            <w:r w:rsidR="00525B39">
              <w:t>RCT</w:t>
            </w:r>
            <w:r>
              <w:t>s</w:t>
            </w:r>
            <w:r w:rsidR="00525B39">
              <w:t>)</w:t>
            </w:r>
          </w:p>
        </w:tc>
        <w:tc>
          <w:tcPr>
            <w:tcW w:w="1022" w:type="pct"/>
          </w:tcPr>
          <w:p w14:paraId="61812FD9" w14:textId="77777777" w:rsidR="00A33E0D" w:rsidRDefault="00B92264" w:rsidP="00525B39">
            <w:pPr>
              <w:pStyle w:val="Tablewriting"/>
              <w:jc w:val="center"/>
            </w:pPr>
            <w:r>
              <w:t>17/216</w:t>
            </w:r>
          </w:p>
          <w:p w14:paraId="752AEEAA" w14:textId="680C6C6C" w:rsidR="00AB043F" w:rsidRDefault="00B92264" w:rsidP="00525B39">
            <w:pPr>
              <w:pStyle w:val="Tablewriting"/>
              <w:jc w:val="center"/>
            </w:pPr>
            <w:r>
              <w:t>(</w:t>
            </w:r>
            <w:r w:rsidR="0030637C">
              <w:t>7.9</w:t>
            </w:r>
            <w:r>
              <w:t>%)</w:t>
            </w:r>
          </w:p>
        </w:tc>
        <w:tc>
          <w:tcPr>
            <w:tcW w:w="1179" w:type="pct"/>
          </w:tcPr>
          <w:p w14:paraId="6F699491" w14:textId="3B7342EB" w:rsidR="005C396C" w:rsidRDefault="005C396C" w:rsidP="00525B39">
            <w:pPr>
              <w:pStyle w:val="Tablewriting"/>
              <w:jc w:val="center"/>
            </w:pPr>
            <w:r>
              <w:t>10/169</w:t>
            </w:r>
          </w:p>
          <w:p w14:paraId="0B12E6AC" w14:textId="6F3901B3" w:rsidR="00AB043F" w:rsidRDefault="005C396C" w:rsidP="00525B39">
            <w:pPr>
              <w:pStyle w:val="Tablewriting"/>
              <w:jc w:val="center"/>
            </w:pPr>
            <w:r>
              <w:t>(</w:t>
            </w:r>
            <w:r w:rsidR="0030637C">
              <w:t>5.9</w:t>
            </w:r>
            <w:r>
              <w:t>%)</w:t>
            </w:r>
          </w:p>
        </w:tc>
        <w:tc>
          <w:tcPr>
            <w:tcW w:w="1072" w:type="pct"/>
          </w:tcPr>
          <w:p w14:paraId="0B40BA14" w14:textId="5DDDB6C2" w:rsidR="00F155EA" w:rsidRDefault="00F155EA" w:rsidP="00525B39">
            <w:pPr>
              <w:pStyle w:val="Tablewriting"/>
              <w:jc w:val="center"/>
            </w:pPr>
            <w:r>
              <w:t>1.11</w:t>
            </w:r>
            <w:r w:rsidR="00A33E0D">
              <w:t xml:space="preserve"> </w:t>
            </w:r>
          </w:p>
          <w:p w14:paraId="6F281226" w14:textId="76A8F822" w:rsidR="00AB043F" w:rsidRDefault="00A33E0D" w:rsidP="00525B39">
            <w:pPr>
              <w:pStyle w:val="Tablewriting"/>
              <w:jc w:val="center"/>
            </w:pPr>
            <w:r>
              <w:t>(</w:t>
            </w:r>
            <w:r w:rsidR="00AB043F">
              <w:t>0.</w:t>
            </w:r>
            <w:r w:rsidR="00F155EA">
              <w:t>48</w:t>
            </w:r>
            <w:r w:rsidR="00AB043F">
              <w:t>, 2.</w:t>
            </w:r>
            <w:r w:rsidR="00F155EA">
              <w:t>58</w:t>
            </w:r>
            <w:r w:rsidR="00AB043F">
              <w:t>)</w:t>
            </w:r>
          </w:p>
        </w:tc>
      </w:tr>
    </w:tbl>
    <w:p w14:paraId="52C30D3B" w14:textId="5F005F2D" w:rsidR="00F155EA" w:rsidRDefault="00F155EA" w:rsidP="00F155EA">
      <w:pPr>
        <w:pStyle w:val="TableFooter"/>
      </w:pPr>
      <w:r>
        <w:t>Source: Fanshawe et al. (2017)</w:t>
      </w:r>
    </w:p>
    <w:p w14:paraId="1FDF6D1F" w14:textId="77777777" w:rsidR="00F155EA" w:rsidRDefault="00F155EA" w:rsidP="00F155EA">
      <w:pPr>
        <w:pStyle w:val="TableFooter"/>
        <w:rPr>
          <w:i/>
        </w:rPr>
      </w:pPr>
      <w:r>
        <w:t>Abbreviations: CI = confidence interval; RCT = randomised controlled trial; RR = risk ratio</w:t>
      </w:r>
      <w:r w:rsidRPr="00061F78">
        <w:t xml:space="preserve"> </w:t>
      </w:r>
    </w:p>
    <w:p w14:paraId="596A0C30" w14:textId="34039701" w:rsidR="00F155EA" w:rsidRDefault="00F155EA" w:rsidP="004968C2">
      <w:pPr>
        <w:pStyle w:val="TableFooter"/>
        <w:spacing w:after="120"/>
        <w:contextualSpacing w:val="0"/>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14:paraId="28FB7147" w14:textId="7DEF8BA3" w:rsidR="00FF7CA0" w:rsidRDefault="00D936F9" w:rsidP="00FF7CA0">
      <w:pPr>
        <w:spacing w:after="120"/>
        <w:jc w:val="both"/>
      </w:pPr>
      <w:r w:rsidRPr="00B817FB">
        <w:t xml:space="preserve">The results of the individual studies included in </w:t>
      </w:r>
      <w:r>
        <w:t>Fanshawe et al</w:t>
      </w:r>
      <w:r w:rsidRPr="00B817FB">
        <w:t>. (20</w:t>
      </w:r>
      <w:r>
        <w:t>17</w:t>
      </w:r>
      <w:r w:rsidRPr="00B817FB">
        <w:t xml:space="preserve">) </w:t>
      </w:r>
      <w:r>
        <w:t>and sub</w:t>
      </w:r>
      <w:r w:rsidR="006E1678">
        <w:t>-</w:t>
      </w:r>
      <w:r>
        <w:t xml:space="preserve">grouped by NRT type </w:t>
      </w:r>
      <w:r w:rsidRPr="00B817FB">
        <w:t xml:space="preserve">are presented using a forest plot </w:t>
      </w:r>
      <w:r>
        <w:t xml:space="preserve">in </w:t>
      </w:r>
      <w:r w:rsidR="00D024F9">
        <w:rPr>
          <w:highlight w:val="yellow"/>
        </w:rPr>
        <w:fldChar w:fldCharType="begin" w:fldLock="1"/>
      </w:r>
      <w:r w:rsidR="00D024F9">
        <w:instrText xml:space="preserve"> REF _Ref61958172 \h </w:instrText>
      </w:r>
      <w:r w:rsidR="00D024F9">
        <w:rPr>
          <w:highlight w:val="yellow"/>
        </w:rPr>
      </w:r>
      <w:r w:rsidR="00D024F9">
        <w:rPr>
          <w:highlight w:val="yellow"/>
        </w:rPr>
        <w:fldChar w:fldCharType="separate"/>
      </w:r>
      <w:r w:rsidR="00EC5CC7">
        <w:t xml:space="preserve">Figure </w:t>
      </w:r>
      <w:r w:rsidR="00EC5CC7">
        <w:rPr>
          <w:noProof/>
        </w:rPr>
        <w:t>43</w:t>
      </w:r>
      <w:r w:rsidR="00D024F9">
        <w:rPr>
          <w:highlight w:val="yellow"/>
        </w:rPr>
        <w:fldChar w:fldCharType="end"/>
      </w:r>
      <w:r w:rsidR="00D024F9">
        <w:t>.</w:t>
      </w:r>
      <w:r w:rsidR="00FF7CA0">
        <w:br w:type="page"/>
      </w:r>
    </w:p>
    <w:p w14:paraId="15AD6B0D" w14:textId="77777777" w:rsidR="00D024F9" w:rsidRDefault="182FFB49" w:rsidP="006E1678">
      <w:r>
        <w:rPr>
          <w:noProof/>
        </w:rPr>
        <w:lastRenderedPageBreak/>
        <w:drawing>
          <wp:inline distT="0" distB="0" distL="0" distR="0" wp14:anchorId="26B9CBC5" wp14:editId="285045C2">
            <wp:extent cx="5731510" cy="2381250"/>
            <wp:effectExtent l="0" t="0" r="2540" b="0"/>
            <wp:docPr id="54" name="Picture 54" descr="P84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P8402#yIS1"/>
                    <pic:cNvPicPr/>
                  </pic:nvPicPr>
                  <pic:blipFill>
                    <a:blip r:embed="rId65">
                      <a:extLst>
                        <a:ext uri="{28A0092B-C50C-407E-A947-70E740481C1C}">
                          <a14:useLocalDpi xmlns:a14="http://schemas.microsoft.com/office/drawing/2010/main" val="0"/>
                        </a:ext>
                      </a:extLst>
                    </a:blip>
                    <a:stretch>
                      <a:fillRect/>
                    </a:stretch>
                  </pic:blipFill>
                  <pic:spPr>
                    <a:xfrm>
                      <a:off x="0" y="0"/>
                      <a:ext cx="5731510" cy="2381250"/>
                    </a:xfrm>
                    <a:prstGeom prst="rect">
                      <a:avLst/>
                    </a:prstGeom>
                  </pic:spPr>
                </pic:pic>
              </a:graphicData>
            </a:graphic>
          </wp:inline>
        </w:drawing>
      </w:r>
    </w:p>
    <w:p w14:paraId="184A0152" w14:textId="45F25CE2" w:rsidR="000859BD" w:rsidRDefault="00D024F9" w:rsidP="00FF7CA0">
      <w:pPr>
        <w:pStyle w:val="Caption"/>
        <w:spacing w:before="120" w:after="60"/>
        <w:jc w:val="both"/>
      </w:pPr>
      <w:bookmarkStart w:id="227" w:name="_Ref61958172"/>
      <w:r>
        <w:t xml:space="preserve">Figure </w:t>
      </w:r>
      <w:r w:rsidR="00BF3F75">
        <w:fldChar w:fldCharType="begin"/>
      </w:r>
      <w:r w:rsidR="00BF3F75">
        <w:instrText xml:space="preserve"> SEQ Figure \* ARABIC </w:instrText>
      </w:r>
      <w:r w:rsidR="00BF3F75">
        <w:fldChar w:fldCharType="separate"/>
      </w:r>
      <w:r w:rsidR="00EC5CC7">
        <w:rPr>
          <w:noProof/>
        </w:rPr>
        <w:t>43</w:t>
      </w:r>
      <w:r w:rsidR="00BF3F75">
        <w:rPr>
          <w:noProof/>
        </w:rPr>
        <w:fldChar w:fldCharType="end"/>
      </w:r>
      <w:bookmarkEnd w:id="227"/>
      <w:r>
        <w:t xml:space="preserve">: </w:t>
      </w:r>
      <w:r w:rsidRPr="00394A23">
        <w:t>Results of smoking cessation in adolescents in Fanshawe et al. (2017), NRT versus placebo</w:t>
      </w:r>
    </w:p>
    <w:p w14:paraId="5C247430" w14:textId="348C26C7" w:rsidR="00D024F9" w:rsidRDefault="00D024F9" w:rsidP="006E1678">
      <w:pPr>
        <w:pStyle w:val="FigureFooter"/>
      </w:pPr>
      <w:r>
        <w:t>Source: Fanshawe et al. (2017)</w:t>
      </w:r>
    </w:p>
    <w:p w14:paraId="7D8A2F46" w14:textId="77777777" w:rsidR="00D024F9" w:rsidRDefault="00D024F9" w:rsidP="00FF7CA0">
      <w:pPr>
        <w:pStyle w:val="FigureFooter"/>
        <w:spacing w:after="120"/>
        <w:contextualSpacing w:val="0"/>
        <w:jc w:val="both"/>
      </w:pPr>
      <w:r>
        <w:t>Abbreviations: CI = confidence interval</w:t>
      </w:r>
    </w:p>
    <w:p w14:paraId="6B50E109" w14:textId="4774C4CB" w:rsidR="005D01E2" w:rsidRDefault="007023C0" w:rsidP="00FF7CA0">
      <w:pPr>
        <w:spacing w:after="120"/>
        <w:jc w:val="both"/>
      </w:pPr>
      <w:r>
        <w:t xml:space="preserve">Myung </w:t>
      </w:r>
      <w:r w:rsidR="0056442B">
        <w:t>et al. (</w:t>
      </w:r>
      <w:r>
        <w:t>2019</w:t>
      </w:r>
      <w:r w:rsidR="0056442B">
        <w:t>)</w:t>
      </w:r>
      <w:r w:rsidR="002E2667">
        <w:t xml:space="preserve"> meta-analysed an additional three trials that measured </w:t>
      </w:r>
      <w:r w:rsidR="006508C0">
        <w:t xml:space="preserve">the impact of NRT </w:t>
      </w:r>
      <w:r w:rsidR="00FF4FA3">
        <w:t>(patch or nasal spray)</w:t>
      </w:r>
      <w:r w:rsidR="006508C0">
        <w:t xml:space="preserve"> on </w:t>
      </w:r>
      <w:r w:rsidR="002E2667">
        <w:t>smoking cessation</w:t>
      </w:r>
      <w:r w:rsidR="003D4073">
        <w:t xml:space="preserve"> </w:t>
      </w:r>
      <w:r w:rsidR="00470E89">
        <w:t xml:space="preserve">outcomes </w:t>
      </w:r>
      <w:r w:rsidR="003D4073">
        <w:t xml:space="preserve">earlier than </w:t>
      </w:r>
      <w:r w:rsidR="00485E09">
        <w:t>six</w:t>
      </w:r>
      <w:r w:rsidR="003D4073">
        <w:t xml:space="preserve"> months, and similarly found no evidence of benefit </w:t>
      </w:r>
      <w:r w:rsidR="0056442B">
        <w:t>in the use of</w:t>
      </w:r>
      <w:r w:rsidR="003D4073">
        <w:t xml:space="preserve"> NRT (</w:t>
      </w:r>
      <w:r w:rsidR="001C3FE4">
        <w:t>RR</w:t>
      </w:r>
      <w:r w:rsidR="0056442B">
        <w:t>:</w:t>
      </w:r>
      <w:r w:rsidR="001C3FE4">
        <w:t xml:space="preserve"> 1.38</w:t>
      </w:r>
      <w:r w:rsidR="0056442B">
        <w:t>;</w:t>
      </w:r>
      <w:r w:rsidR="001C3FE4">
        <w:t xml:space="preserve"> 95%</w:t>
      </w:r>
      <w:r w:rsidR="0056442B">
        <w:t xml:space="preserve"> </w:t>
      </w:r>
      <w:r w:rsidR="001C3FE4">
        <w:t>CI</w:t>
      </w:r>
      <w:r w:rsidR="0056442B">
        <w:t>:</w:t>
      </w:r>
      <w:r w:rsidR="001C3FE4">
        <w:t xml:space="preserve"> 0.79</w:t>
      </w:r>
      <w:r w:rsidR="0056442B">
        <w:t>,</w:t>
      </w:r>
      <w:r w:rsidR="001C3FE4">
        <w:t xml:space="preserve"> 2.42)</w:t>
      </w:r>
      <w:r w:rsidR="001B501C">
        <w:t xml:space="preserve">. </w:t>
      </w:r>
      <w:r w:rsidR="00C25679">
        <w:t>Selph et al</w:t>
      </w:r>
      <w:r w:rsidR="0056442B">
        <w:t>.</w:t>
      </w:r>
      <w:r w:rsidR="00C25679">
        <w:t xml:space="preserve"> </w:t>
      </w:r>
      <w:r w:rsidR="0056442B">
        <w:t>(</w:t>
      </w:r>
      <w:r w:rsidR="00C25679">
        <w:t>2019</w:t>
      </w:r>
      <w:r w:rsidR="0056442B">
        <w:t>)</w:t>
      </w:r>
      <w:r w:rsidR="00C25679">
        <w:t xml:space="preserve"> </w:t>
      </w:r>
      <w:r w:rsidR="002308F6">
        <w:t>provided only a narrative review of one NRT study</w:t>
      </w:r>
      <w:r w:rsidR="006858BC">
        <w:t xml:space="preserve"> (</w:t>
      </w:r>
      <w:r w:rsidR="006858BC" w:rsidRPr="008138B1">
        <w:t xml:space="preserve">Scherphof </w:t>
      </w:r>
      <w:r w:rsidR="0056442B" w:rsidRPr="008138B1">
        <w:t xml:space="preserve">et al. </w:t>
      </w:r>
      <w:r w:rsidR="006858BC" w:rsidRPr="008138B1">
        <w:t>2014</w:t>
      </w:r>
      <w:r w:rsidR="006858BC">
        <w:t>)</w:t>
      </w:r>
      <w:r w:rsidR="007B3B21">
        <w:t xml:space="preserve"> </w:t>
      </w:r>
      <w:r w:rsidR="0056442B">
        <w:t xml:space="preserve">which was </w:t>
      </w:r>
      <w:r w:rsidR="007B3B21">
        <w:t xml:space="preserve">included in </w:t>
      </w:r>
      <w:r w:rsidR="00171BE6">
        <w:t xml:space="preserve">both </w:t>
      </w:r>
      <w:r w:rsidR="0056442B">
        <w:t>reviews by</w:t>
      </w:r>
      <w:r w:rsidR="00171BE6">
        <w:t xml:space="preserve"> </w:t>
      </w:r>
      <w:r w:rsidR="00CB5843">
        <w:t xml:space="preserve">Fanshawe </w:t>
      </w:r>
      <w:r w:rsidR="0056442B">
        <w:t xml:space="preserve">et al. (2017) and </w:t>
      </w:r>
      <w:r w:rsidR="00171BE6">
        <w:t>Myung</w:t>
      </w:r>
      <w:r w:rsidR="0056442B">
        <w:t xml:space="preserve"> et al. (2019)</w:t>
      </w:r>
      <w:r w:rsidR="0021141E">
        <w:t xml:space="preserve"> </w:t>
      </w:r>
      <w:r w:rsidR="006858BC">
        <w:t>and concluded that there was</w:t>
      </w:r>
      <w:r w:rsidR="00CB5843">
        <w:t xml:space="preserve"> no evidence of </w:t>
      </w:r>
      <w:r w:rsidR="006858BC">
        <w:t>an effect of NRT on adolescents.</w:t>
      </w:r>
    </w:p>
    <w:p w14:paraId="6564B673" w14:textId="50EBF18B" w:rsidR="0021141E" w:rsidRPr="0021141E" w:rsidRDefault="0021141E" w:rsidP="00FF7CA0">
      <w:pPr>
        <w:spacing w:after="120"/>
        <w:jc w:val="both"/>
        <w:rPr>
          <w:u w:val="single"/>
        </w:rPr>
      </w:pPr>
      <w:r w:rsidRPr="0021141E">
        <w:rPr>
          <w:u w:val="single"/>
        </w:rPr>
        <w:t>Safety</w:t>
      </w:r>
    </w:p>
    <w:p w14:paraId="4B80576E" w14:textId="17F8EC54" w:rsidR="0021141E" w:rsidRDefault="0021141E" w:rsidP="00FF7CA0">
      <w:pPr>
        <w:spacing w:after="120"/>
        <w:jc w:val="both"/>
      </w:pPr>
      <w:r>
        <w:t xml:space="preserve">Fanshawe et al. (2017) provided a narrative summary of adverse events that were reported in three NRT RCTs. </w:t>
      </w:r>
      <w:r w:rsidR="002613F3">
        <w:t>In Moolchan et al. (2005),</w:t>
      </w:r>
      <w:r w:rsidDel="002613F3">
        <w:t xml:space="preserve"> </w:t>
      </w:r>
      <w:r>
        <w:t>a</w:t>
      </w:r>
      <w:r w:rsidR="002613F3">
        <w:t xml:space="preserve"> sig</w:t>
      </w:r>
      <w:r>
        <w:t>n</w:t>
      </w:r>
      <w:r w:rsidR="002613F3">
        <w:t>ificant</w:t>
      </w:r>
      <w:r>
        <w:t xml:space="preserve"> increase in adverse events </w:t>
      </w:r>
      <w:r w:rsidR="002613F3">
        <w:t xml:space="preserve">was observed </w:t>
      </w:r>
      <w:r>
        <w:t>in the NRT arm compared to placebo arm, specifically sore</w:t>
      </w:r>
      <w:r w:rsidR="00C24499">
        <w:t xml:space="preserve"> </w:t>
      </w:r>
      <w:r>
        <w:t xml:space="preserve">throat, hiccups, erythema, </w:t>
      </w:r>
      <w:r w:rsidR="00826C95">
        <w:t>pruritus,</w:t>
      </w:r>
      <w:r>
        <w:t xml:space="preserve"> and </w:t>
      </w:r>
      <w:r w:rsidR="002613F3">
        <w:t>shoulder/arm</w:t>
      </w:r>
      <w:r>
        <w:t xml:space="preserve"> pain. </w:t>
      </w:r>
      <w:r w:rsidR="006A3554">
        <w:t xml:space="preserve">In Scherphof et al. (2014), a significantly higher incidence of headache, cough, abnormal dreams, </w:t>
      </w:r>
      <w:r w:rsidR="002940ED">
        <w:t xml:space="preserve">muscle pain and all patch-related adverse events were reported </w:t>
      </w:r>
      <w:r w:rsidR="00EF7489">
        <w:t xml:space="preserve">with </w:t>
      </w:r>
      <w:r w:rsidR="002940ED">
        <w:t xml:space="preserve">NRT </w:t>
      </w:r>
      <w:r w:rsidR="003A64CE">
        <w:t>compared to placebo</w:t>
      </w:r>
      <w:r w:rsidR="002940ED">
        <w:t xml:space="preserve">. </w:t>
      </w:r>
      <w:r w:rsidR="00EE5674">
        <w:t xml:space="preserve">Scherphof et al. </w:t>
      </w:r>
      <w:r w:rsidR="00CE2787">
        <w:t xml:space="preserve">(2014) </w:t>
      </w:r>
      <w:r w:rsidR="008F48AA" w:rsidRPr="008F48AA">
        <w:t>reported a lower level of insomnia in the NRT arm compared with placebo and attributed this observation to withdrawal effects</w:t>
      </w:r>
      <w:r w:rsidR="008F48AA">
        <w:t>.</w:t>
      </w:r>
      <w:r w:rsidR="008F48AA" w:rsidRPr="008F48AA">
        <w:t xml:space="preserve"> </w:t>
      </w:r>
      <w:r w:rsidR="002613F3">
        <w:t xml:space="preserve">In Bailey et al. (2013), </w:t>
      </w:r>
      <w:r w:rsidR="002E019E" w:rsidRPr="002E019E">
        <w:t xml:space="preserve">73 unspecified adverse events </w:t>
      </w:r>
      <w:r w:rsidR="002E019E">
        <w:t xml:space="preserve">were reported </w:t>
      </w:r>
      <w:r w:rsidR="002E019E" w:rsidRPr="002E019E">
        <w:t xml:space="preserve">during the open-label </w:t>
      </w:r>
      <w:r w:rsidR="002E019E">
        <w:t>NRT</w:t>
      </w:r>
      <w:r w:rsidR="002E019E" w:rsidRPr="002E019E">
        <w:t xml:space="preserve"> patch treatment phase, but none of these w</w:t>
      </w:r>
      <w:r w:rsidR="002E019E">
        <w:t xml:space="preserve">ere considered </w:t>
      </w:r>
      <w:r w:rsidR="002E019E" w:rsidRPr="002E019E">
        <w:t>medically serious.</w:t>
      </w:r>
      <w:r w:rsidR="002E019E">
        <w:t xml:space="preserve"> </w:t>
      </w:r>
    </w:p>
    <w:p w14:paraId="15A6F7FF" w14:textId="72F19D81" w:rsidR="0021141E" w:rsidRDefault="0021141E" w:rsidP="00FF7CA0">
      <w:pPr>
        <w:spacing w:after="120"/>
        <w:jc w:val="both"/>
      </w:pPr>
      <w:r>
        <w:t xml:space="preserve">Myung </w:t>
      </w:r>
      <w:r w:rsidR="00604CA5">
        <w:t>et al. (</w:t>
      </w:r>
      <w:r>
        <w:t>2019</w:t>
      </w:r>
      <w:r w:rsidR="00604CA5">
        <w:t>)</w:t>
      </w:r>
      <w:r>
        <w:t xml:space="preserve"> </w:t>
      </w:r>
      <w:r w:rsidR="00CC7D3A">
        <w:t>tabulated</w:t>
      </w:r>
      <w:r>
        <w:t xml:space="preserve"> the adverse events and serious adverse events reported in each trial along with a narrative summary. The profile of adverse events reported by Myung et al</w:t>
      </w:r>
      <w:r w:rsidR="00CC7D3A">
        <w:t>. (2019)</w:t>
      </w:r>
      <w:r>
        <w:t xml:space="preserve"> </w:t>
      </w:r>
      <w:r w:rsidR="00CC7D3A">
        <w:t xml:space="preserve">were </w:t>
      </w:r>
      <w:r>
        <w:t>aligned with those reported in Fanshawe et al</w:t>
      </w:r>
      <w:r w:rsidR="00CC7D3A">
        <w:t>.</w:t>
      </w:r>
      <w:r>
        <w:t xml:space="preserve"> (2017). Selph et al</w:t>
      </w:r>
      <w:r w:rsidR="00CC7D3A">
        <w:t>.</w:t>
      </w:r>
      <w:r>
        <w:t xml:space="preserve"> (2019) reported the same findings in their narrative review of one NRT trial, highlighting the absence of serious adverse events </w:t>
      </w:r>
      <w:r w:rsidR="003F0275">
        <w:t>in either arm</w:t>
      </w:r>
      <w:r>
        <w:t xml:space="preserve">. </w:t>
      </w:r>
    </w:p>
    <w:p w14:paraId="0963AF9E" w14:textId="62990B22" w:rsidR="00864AF9" w:rsidRDefault="00864AF9" w:rsidP="00FF7CA0">
      <w:pPr>
        <w:spacing w:after="120"/>
        <w:jc w:val="both"/>
        <w:rPr>
          <w:b/>
        </w:rPr>
      </w:pPr>
      <w:r w:rsidRPr="003F0275">
        <w:rPr>
          <w:b/>
        </w:rPr>
        <w:t>Bupropion</w:t>
      </w:r>
    </w:p>
    <w:p w14:paraId="244D09B2" w14:textId="1C3AF48A" w:rsidR="003F0275" w:rsidRPr="003F0275" w:rsidRDefault="003F0275" w:rsidP="00FF7CA0">
      <w:pPr>
        <w:spacing w:after="120"/>
        <w:jc w:val="both"/>
        <w:rPr>
          <w:u w:val="single"/>
        </w:rPr>
      </w:pPr>
      <w:r w:rsidRPr="003F0275">
        <w:rPr>
          <w:u w:val="single"/>
        </w:rPr>
        <w:t>Efficacy</w:t>
      </w:r>
    </w:p>
    <w:p w14:paraId="76CC8C21" w14:textId="7D7576E1" w:rsidR="00864AF9" w:rsidRDefault="00B92C81" w:rsidP="00FF7CA0">
      <w:pPr>
        <w:spacing w:after="120"/>
        <w:jc w:val="both"/>
      </w:pPr>
      <w:r>
        <w:t xml:space="preserve">A summary of the smoking cessation rates at the longest follow-up comparing bupropion with placebo is presented in </w:t>
      </w:r>
      <w:r>
        <w:fldChar w:fldCharType="begin" w:fldLock="1"/>
      </w:r>
      <w:r>
        <w:instrText xml:space="preserve"> REF _Ref61959754 \h </w:instrText>
      </w:r>
      <w:r w:rsidR="00FF7CA0">
        <w:instrText xml:space="preserve"> \* MERGEFORMAT </w:instrText>
      </w:r>
      <w:r>
        <w:fldChar w:fldCharType="separate"/>
      </w:r>
      <w:r w:rsidR="00EC5CC7">
        <w:t xml:space="preserve">Table </w:t>
      </w:r>
      <w:r w:rsidR="00EC5CC7">
        <w:rPr>
          <w:noProof/>
        </w:rPr>
        <w:t>133</w:t>
      </w:r>
      <w:r>
        <w:fldChar w:fldCharType="end"/>
      </w:r>
      <w:r>
        <w:t xml:space="preserve">. </w:t>
      </w:r>
      <w:r w:rsidR="00DA2EFB">
        <w:t>Based on the Cochrane Review by Fansha</w:t>
      </w:r>
      <w:r>
        <w:t>we et al. (2017)</w:t>
      </w:r>
      <w:r w:rsidR="00DA2EFB">
        <w:t>, the results of the one RCT (Muramoto et al. 2007)</w:t>
      </w:r>
      <w:r>
        <w:t xml:space="preserve"> demonstrated</w:t>
      </w:r>
      <w:r w:rsidRPr="00D936F9">
        <w:t xml:space="preserve"> </w:t>
      </w:r>
      <w:r>
        <w:t>no</w:t>
      </w:r>
      <w:r w:rsidRPr="00D936F9">
        <w:t xml:space="preserve"> </w:t>
      </w:r>
      <w:r>
        <w:t xml:space="preserve">statistically </w:t>
      </w:r>
      <w:r w:rsidRPr="00D936F9">
        <w:t xml:space="preserve">significant </w:t>
      </w:r>
      <w:r>
        <w:lastRenderedPageBreak/>
        <w:t>difference</w:t>
      </w:r>
      <w:r w:rsidRPr="00D936F9">
        <w:t xml:space="preserve"> in smoking cessation rates </w:t>
      </w:r>
      <w:r>
        <w:t>between the two treatment arms</w:t>
      </w:r>
      <w:r w:rsidR="00C8196D">
        <w:t>, although the results numerically favoured bupropion.</w:t>
      </w:r>
      <w:r w:rsidRPr="00D936F9">
        <w:t xml:space="preserve"> </w:t>
      </w:r>
      <w:r w:rsidR="00542A25">
        <w:t>T</w:t>
      </w:r>
      <w:r w:rsidR="00542A25" w:rsidRPr="006E1678">
        <w:t>he wide confidence intervals and small number of events in both arms suggest that the stud</w:t>
      </w:r>
      <w:r w:rsidR="00542A25">
        <w:t>y</w:t>
      </w:r>
      <w:r w:rsidR="00542A25" w:rsidRPr="006E1678">
        <w:t xml:space="preserve"> w</w:t>
      </w:r>
      <w:r w:rsidR="00542A25">
        <w:t>as</w:t>
      </w:r>
      <w:r w:rsidR="00542A25" w:rsidRPr="006E1678">
        <w:t xml:space="preserve"> underpowered to detect any differences.</w:t>
      </w:r>
    </w:p>
    <w:p w14:paraId="201F7B99" w14:textId="19BF1101" w:rsidR="00086CB3" w:rsidRDefault="00086CB3" w:rsidP="00FF7CA0">
      <w:pPr>
        <w:pStyle w:val="Caption"/>
        <w:keepNext/>
        <w:spacing w:before="0" w:after="120"/>
        <w:jc w:val="both"/>
      </w:pPr>
      <w:bookmarkStart w:id="228" w:name="_Ref61959754"/>
      <w:r>
        <w:t xml:space="preserve">Table </w:t>
      </w:r>
      <w:r w:rsidR="00BF3F75">
        <w:fldChar w:fldCharType="begin"/>
      </w:r>
      <w:r w:rsidR="00BF3F75">
        <w:instrText xml:space="preserve"> SEQ Table \* ARABIC </w:instrText>
      </w:r>
      <w:r w:rsidR="00BF3F75">
        <w:fldChar w:fldCharType="separate"/>
      </w:r>
      <w:r w:rsidR="00EC5CC7">
        <w:rPr>
          <w:noProof/>
        </w:rPr>
        <w:t>133</w:t>
      </w:r>
      <w:r w:rsidR="00BF3F75">
        <w:rPr>
          <w:noProof/>
        </w:rPr>
        <w:fldChar w:fldCharType="end"/>
      </w:r>
      <w:bookmarkEnd w:id="228"/>
      <w:r>
        <w:t xml:space="preserve">: </w:t>
      </w:r>
      <w:r w:rsidRPr="00B633F8">
        <w:t xml:space="preserve">Results of smoking cessation in adolescents in Fanshawe et al. (2017), </w:t>
      </w:r>
      <w:r>
        <w:t>bupropion</w:t>
      </w:r>
      <w:r w:rsidRPr="00B633F8">
        <w:t xml:space="preserve"> versus placebo</w:t>
      </w:r>
    </w:p>
    <w:tbl>
      <w:tblPr>
        <w:tblStyle w:val="TableGrid"/>
        <w:tblW w:w="5000" w:type="pct"/>
        <w:tblLook w:val="04A0" w:firstRow="1" w:lastRow="0" w:firstColumn="1" w:lastColumn="0" w:noHBand="0" w:noVBand="1"/>
      </w:tblPr>
      <w:tblGrid>
        <w:gridCol w:w="1133"/>
        <w:gridCol w:w="1701"/>
        <w:gridCol w:w="2268"/>
        <w:gridCol w:w="1985"/>
        <w:gridCol w:w="1929"/>
      </w:tblGrid>
      <w:tr w:rsidR="00646418" w:rsidRPr="007D5EC7" w14:paraId="374E8DA5" w14:textId="77777777" w:rsidTr="00FF7CA0">
        <w:tc>
          <w:tcPr>
            <w:tcW w:w="628" w:type="pct"/>
            <w:shd w:val="clear" w:color="auto" w:fill="BFBFBF" w:themeFill="background1" w:themeFillShade="BF"/>
          </w:tcPr>
          <w:p w14:paraId="097690F6" w14:textId="77777777" w:rsidR="00646418" w:rsidRPr="007D5EC7" w:rsidRDefault="00646418" w:rsidP="009E68ED">
            <w:pPr>
              <w:pStyle w:val="Tablewriting"/>
              <w:rPr>
                <w:b/>
                <w:bCs/>
              </w:rPr>
            </w:pPr>
            <w:r w:rsidRPr="007D5EC7">
              <w:rPr>
                <w:b/>
                <w:bCs/>
              </w:rPr>
              <w:t>Study</w:t>
            </w:r>
          </w:p>
        </w:tc>
        <w:tc>
          <w:tcPr>
            <w:tcW w:w="943" w:type="pct"/>
            <w:shd w:val="clear" w:color="auto" w:fill="BFBFBF" w:themeFill="background1" w:themeFillShade="BF"/>
          </w:tcPr>
          <w:p w14:paraId="24A3F1C7" w14:textId="77777777" w:rsidR="00646418" w:rsidRPr="007D5EC7" w:rsidRDefault="00646418" w:rsidP="009E68ED">
            <w:pPr>
              <w:pStyle w:val="Tablewriting"/>
              <w:jc w:val="center"/>
              <w:rPr>
                <w:b/>
                <w:bCs/>
              </w:rPr>
            </w:pPr>
            <w:r w:rsidRPr="007D5EC7">
              <w:rPr>
                <w:b/>
                <w:bCs/>
              </w:rPr>
              <w:t>Study Type</w:t>
            </w:r>
          </w:p>
        </w:tc>
        <w:tc>
          <w:tcPr>
            <w:tcW w:w="1258" w:type="pct"/>
            <w:shd w:val="clear" w:color="auto" w:fill="BFBFBF" w:themeFill="background1" w:themeFillShade="BF"/>
          </w:tcPr>
          <w:p w14:paraId="407F32EA" w14:textId="3670E107" w:rsidR="00646418" w:rsidRPr="007D5EC7" w:rsidRDefault="00646418" w:rsidP="009E68ED">
            <w:pPr>
              <w:pStyle w:val="Tablewriting"/>
              <w:jc w:val="center"/>
              <w:rPr>
                <w:b/>
                <w:bCs/>
              </w:rPr>
            </w:pPr>
            <w:r>
              <w:rPr>
                <w:b/>
                <w:bCs/>
              </w:rPr>
              <w:t>Bupropion</w:t>
            </w:r>
          </w:p>
        </w:tc>
        <w:tc>
          <w:tcPr>
            <w:tcW w:w="1101" w:type="pct"/>
            <w:shd w:val="clear" w:color="auto" w:fill="BFBFBF" w:themeFill="background1" w:themeFillShade="BF"/>
          </w:tcPr>
          <w:p w14:paraId="6AD109C1" w14:textId="1FF0A459" w:rsidR="00646418" w:rsidRPr="007D5EC7" w:rsidRDefault="00646418" w:rsidP="009E68ED">
            <w:pPr>
              <w:pStyle w:val="Tablewriting"/>
              <w:jc w:val="center"/>
              <w:rPr>
                <w:b/>
                <w:bCs/>
              </w:rPr>
            </w:pPr>
            <w:r w:rsidRPr="007D5EC7">
              <w:rPr>
                <w:b/>
                <w:bCs/>
              </w:rPr>
              <w:t>Placebo</w:t>
            </w:r>
          </w:p>
        </w:tc>
        <w:tc>
          <w:tcPr>
            <w:tcW w:w="1070" w:type="pct"/>
            <w:shd w:val="clear" w:color="auto" w:fill="BFBFBF" w:themeFill="background1" w:themeFillShade="BF"/>
          </w:tcPr>
          <w:p w14:paraId="70702DA4" w14:textId="05931B5F" w:rsidR="00646418" w:rsidRPr="00A41E46" w:rsidRDefault="00646418" w:rsidP="009E68ED">
            <w:pPr>
              <w:pStyle w:val="Tablewriting"/>
              <w:jc w:val="center"/>
              <w:rPr>
                <w:b/>
                <w:vertAlign w:val="superscript"/>
              </w:rPr>
            </w:pPr>
            <w:r w:rsidRPr="007D5EC7">
              <w:rPr>
                <w:b/>
                <w:bCs/>
              </w:rPr>
              <w:t>RR (95%CI)</w:t>
            </w:r>
            <w:r w:rsidR="00A41E46">
              <w:rPr>
                <w:b/>
                <w:bCs/>
                <w:vertAlign w:val="superscript"/>
              </w:rPr>
              <w:t>1</w:t>
            </w:r>
          </w:p>
        </w:tc>
      </w:tr>
      <w:tr w:rsidR="00646418" w14:paraId="7520ED73" w14:textId="77777777" w:rsidTr="00FF7CA0">
        <w:tc>
          <w:tcPr>
            <w:tcW w:w="628" w:type="pct"/>
          </w:tcPr>
          <w:p w14:paraId="382E2404" w14:textId="77777777" w:rsidR="009E68ED" w:rsidRDefault="00646418" w:rsidP="009E68ED">
            <w:pPr>
              <w:pStyle w:val="Tablewriting"/>
            </w:pPr>
            <w:r>
              <w:t xml:space="preserve">Fanshawe </w:t>
            </w:r>
          </w:p>
          <w:p w14:paraId="5B9CD3E6" w14:textId="242EF307" w:rsidR="00646418" w:rsidRDefault="009E68ED" w:rsidP="009E68ED">
            <w:pPr>
              <w:pStyle w:val="Tablewriting"/>
            </w:pPr>
            <w:r>
              <w:t>(</w:t>
            </w:r>
            <w:r w:rsidR="00646418">
              <w:t>2017</w:t>
            </w:r>
            <w:r>
              <w:t>)</w:t>
            </w:r>
          </w:p>
        </w:tc>
        <w:tc>
          <w:tcPr>
            <w:tcW w:w="943" w:type="pct"/>
          </w:tcPr>
          <w:p w14:paraId="2A79FA0B" w14:textId="3F80FD0A" w:rsidR="00646418" w:rsidRDefault="00646418" w:rsidP="009E68ED">
            <w:pPr>
              <w:pStyle w:val="Tablewriting"/>
              <w:jc w:val="center"/>
            </w:pPr>
            <w:r>
              <w:t xml:space="preserve">Cochrane Review (1 </w:t>
            </w:r>
            <w:r w:rsidR="009E68ED">
              <w:t>RCT</w:t>
            </w:r>
            <w:r>
              <w:t>)</w:t>
            </w:r>
          </w:p>
        </w:tc>
        <w:tc>
          <w:tcPr>
            <w:tcW w:w="1258" w:type="pct"/>
          </w:tcPr>
          <w:p w14:paraId="6941FD25" w14:textId="77777777" w:rsidR="009E68ED" w:rsidRDefault="00213ABA" w:rsidP="009E68ED">
            <w:pPr>
              <w:pStyle w:val="Tablewriting"/>
              <w:jc w:val="center"/>
            </w:pPr>
            <w:r>
              <w:t>9/104</w:t>
            </w:r>
          </w:p>
          <w:p w14:paraId="247A4985" w14:textId="57BE8AB6" w:rsidR="00646418" w:rsidRDefault="009E68ED" w:rsidP="009E68ED">
            <w:pPr>
              <w:pStyle w:val="Tablewriting"/>
              <w:jc w:val="center"/>
            </w:pPr>
            <w:r>
              <w:t>(</w:t>
            </w:r>
            <w:r w:rsidR="00B92C81">
              <w:t>8.7</w:t>
            </w:r>
            <w:r>
              <w:t>%)</w:t>
            </w:r>
          </w:p>
        </w:tc>
        <w:tc>
          <w:tcPr>
            <w:tcW w:w="1101" w:type="pct"/>
          </w:tcPr>
          <w:p w14:paraId="32B6C387" w14:textId="77777777" w:rsidR="009E68ED" w:rsidRDefault="00213ABA" w:rsidP="009E68ED">
            <w:pPr>
              <w:pStyle w:val="Tablewriting"/>
              <w:jc w:val="center"/>
            </w:pPr>
            <w:r>
              <w:t>6/103</w:t>
            </w:r>
          </w:p>
          <w:p w14:paraId="02633EC6" w14:textId="4B2AE8F1" w:rsidR="00646418" w:rsidRDefault="009E68ED" w:rsidP="009E68ED">
            <w:pPr>
              <w:pStyle w:val="Tablewriting"/>
              <w:jc w:val="center"/>
            </w:pPr>
            <w:r>
              <w:t>(</w:t>
            </w:r>
            <w:r w:rsidR="00B92C81">
              <w:t>5.8</w:t>
            </w:r>
            <w:r>
              <w:t>%)</w:t>
            </w:r>
          </w:p>
        </w:tc>
        <w:tc>
          <w:tcPr>
            <w:tcW w:w="1070" w:type="pct"/>
          </w:tcPr>
          <w:p w14:paraId="08AEEC95" w14:textId="77777777" w:rsidR="0030637C" w:rsidRDefault="00E04E62" w:rsidP="009E68ED">
            <w:pPr>
              <w:pStyle w:val="Tablewriting"/>
              <w:jc w:val="center"/>
            </w:pPr>
            <w:r>
              <w:t>1.49</w:t>
            </w:r>
            <w:r w:rsidR="00646418">
              <w:t xml:space="preserve"> </w:t>
            </w:r>
          </w:p>
          <w:p w14:paraId="346BE209" w14:textId="790324FD" w:rsidR="00646418" w:rsidRDefault="00646418" w:rsidP="009E68ED">
            <w:pPr>
              <w:pStyle w:val="Tablewriting"/>
              <w:jc w:val="center"/>
            </w:pPr>
            <w:r>
              <w:t>(</w:t>
            </w:r>
            <w:r w:rsidR="00E04E62">
              <w:t>0.55</w:t>
            </w:r>
            <w:r>
              <w:t xml:space="preserve">, </w:t>
            </w:r>
            <w:r w:rsidR="00E04E62">
              <w:t>4.02</w:t>
            </w:r>
            <w:r>
              <w:t>)</w:t>
            </w:r>
          </w:p>
        </w:tc>
      </w:tr>
    </w:tbl>
    <w:p w14:paraId="3D7F6006" w14:textId="77777777" w:rsidR="00B92C81" w:rsidRDefault="00B92C81" w:rsidP="00B92C81">
      <w:pPr>
        <w:pStyle w:val="TableFooter"/>
      </w:pPr>
      <w:r>
        <w:t>Source: Fanshawe et al. (2017)</w:t>
      </w:r>
    </w:p>
    <w:p w14:paraId="5A93A5C9" w14:textId="77777777" w:rsidR="00B92C81" w:rsidRDefault="00B92C81" w:rsidP="00B92C81">
      <w:pPr>
        <w:pStyle w:val="TableFooter"/>
        <w:rPr>
          <w:i/>
        </w:rPr>
      </w:pPr>
      <w:r>
        <w:t>Abbreviations: CI = confidence interval; RCT = randomised controlled trial; RR = risk ratio</w:t>
      </w:r>
      <w:r w:rsidRPr="00061F78">
        <w:t xml:space="preserve"> </w:t>
      </w:r>
    </w:p>
    <w:p w14:paraId="6D4C0787" w14:textId="7F8254F1" w:rsidR="00B92C81" w:rsidRDefault="00B92C81" w:rsidP="00FF7CA0">
      <w:pPr>
        <w:pStyle w:val="TableFooter"/>
        <w:spacing w:after="120"/>
        <w:contextualSpacing w:val="0"/>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14:paraId="3E521501" w14:textId="4148EB91" w:rsidR="00EC5104" w:rsidRDefault="00EC5104" w:rsidP="00FF7CA0">
      <w:pPr>
        <w:spacing w:after="120"/>
        <w:jc w:val="both"/>
      </w:pPr>
      <w:r w:rsidRPr="00B817FB">
        <w:t xml:space="preserve">The results of the </w:t>
      </w:r>
      <w:r>
        <w:t>study</w:t>
      </w:r>
      <w:r w:rsidRPr="00B817FB">
        <w:t xml:space="preserve"> included in </w:t>
      </w:r>
      <w:r>
        <w:t>Fanshawe et al</w:t>
      </w:r>
      <w:r w:rsidRPr="00B817FB">
        <w:t>. (20</w:t>
      </w:r>
      <w:r>
        <w:t>17</w:t>
      </w:r>
      <w:r w:rsidRPr="00B817FB">
        <w:t xml:space="preserve">) </w:t>
      </w:r>
      <w:r>
        <w:t>a</w:t>
      </w:r>
      <w:r w:rsidRPr="00B817FB">
        <w:t>re presented using a forest plot</w:t>
      </w:r>
      <w:r>
        <w:t xml:space="preserve"> in </w:t>
      </w:r>
      <w:r>
        <w:fldChar w:fldCharType="begin" w:fldLock="1"/>
      </w:r>
      <w:r>
        <w:instrText xml:space="preserve"> REF _Ref61960588 \h </w:instrText>
      </w:r>
      <w:r>
        <w:fldChar w:fldCharType="separate"/>
      </w:r>
      <w:r w:rsidR="00EC5CC7">
        <w:t xml:space="preserve">Figure </w:t>
      </w:r>
      <w:r w:rsidR="00EC5CC7">
        <w:rPr>
          <w:noProof/>
        </w:rPr>
        <w:t>44</w:t>
      </w:r>
      <w:r>
        <w:fldChar w:fldCharType="end"/>
      </w:r>
      <w:r>
        <w:t>.</w:t>
      </w:r>
    </w:p>
    <w:p w14:paraId="73C6777C" w14:textId="77777777" w:rsidR="00EC5104" w:rsidRDefault="4A907E23" w:rsidP="00EC5104">
      <w:pPr>
        <w:keepNext/>
      </w:pPr>
      <w:r>
        <w:rPr>
          <w:noProof/>
        </w:rPr>
        <w:drawing>
          <wp:inline distT="0" distB="0" distL="0" distR="0" wp14:anchorId="794FEEA4" wp14:editId="2A90F839">
            <wp:extent cx="5731510" cy="1200150"/>
            <wp:effectExtent l="0" t="0" r="2540" b="0"/>
            <wp:docPr id="55" name="Picture 55" descr="P84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P8434#yIS1"/>
                    <pic:cNvPicPr/>
                  </pic:nvPicPr>
                  <pic:blipFill>
                    <a:blip r:embed="rId66">
                      <a:extLst>
                        <a:ext uri="{28A0092B-C50C-407E-A947-70E740481C1C}">
                          <a14:useLocalDpi xmlns:a14="http://schemas.microsoft.com/office/drawing/2010/main" val="0"/>
                        </a:ext>
                      </a:extLst>
                    </a:blip>
                    <a:stretch>
                      <a:fillRect/>
                    </a:stretch>
                  </pic:blipFill>
                  <pic:spPr>
                    <a:xfrm>
                      <a:off x="0" y="0"/>
                      <a:ext cx="5731510" cy="1200150"/>
                    </a:xfrm>
                    <a:prstGeom prst="rect">
                      <a:avLst/>
                    </a:prstGeom>
                  </pic:spPr>
                </pic:pic>
              </a:graphicData>
            </a:graphic>
          </wp:inline>
        </w:drawing>
      </w:r>
    </w:p>
    <w:p w14:paraId="1EB5914E" w14:textId="6786942A" w:rsidR="00EC5104" w:rsidRDefault="00EC5104" w:rsidP="00FF7CA0">
      <w:pPr>
        <w:pStyle w:val="Caption"/>
        <w:spacing w:before="120" w:after="60"/>
        <w:jc w:val="both"/>
      </w:pPr>
      <w:bookmarkStart w:id="229" w:name="_Ref61960588"/>
      <w:r>
        <w:t xml:space="preserve">Figure </w:t>
      </w:r>
      <w:r w:rsidR="00BF3F75">
        <w:fldChar w:fldCharType="begin"/>
      </w:r>
      <w:r w:rsidR="00BF3F75">
        <w:instrText xml:space="preserve"> SEQ Figure \* ARABIC </w:instrText>
      </w:r>
      <w:r w:rsidR="00BF3F75">
        <w:fldChar w:fldCharType="separate"/>
      </w:r>
      <w:r w:rsidR="00EC5CC7">
        <w:rPr>
          <w:noProof/>
        </w:rPr>
        <w:t>44</w:t>
      </w:r>
      <w:r w:rsidR="00BF3F75">
        <w:rPr>
          <w:noProof/>
        </w:rPr>
        <w:fldChar w:fldCharType="end"/>
      </w:r>
      <w:bookmarkEnd w:id="229"/>
      <w:r>
        <w:t xml:space="preserve">: </w:t>
      </w:r>
      <w:r w:rsidRPr="00CD51F1">
        <w:t>Results of smoking cessation in adolescents in Fanshawe et al. (2017), bupropion versus placebo</w:t>
      </w:r>
    </w:p>
    <w:p w14:paraId="7A71BFF3" w14:textId="77777777" w:rsidR="00EC5104" w:rsidRDefault="00EC5104" w:rsidP="00EC5104">
      <w:pPr>
        <w:pStyle w:val="FigureFooter"/>
      </w:pPr>
      <w:r>
        <w:t>Source: Fanshawe et al. (2017)</w:t>
      </w:r>
    </w:p>
    <w:p w14:paraId="78DDC78F" w14:textId="77777777" w:rsidR="00EC5104" w:rsidRDefault="00EC5104" w:rsidP="00FF7CA0">
      <w:pPr>
        <w:pStyle w:val="FigureFooter"/>
        <w:spacing w:after="120"/>
        <w:contextualSpacing w:val="0"/>
        <w:jc w:val="both"/>
      </w:pPr>
      <w:r>
        <w:t>Abbreviations: CI = confidence interval</w:t>
      </w:r>
    </w:p>
    <w:p w14:paraId="213EA294" w14:textId="074BE501" w:rsidR="00B92C81" w:rsidRDefault="00B92C81" w:rsidP="00FF7CA0">
      <w:pPr>
        <w:spacing w:after="120"/>
        <w:jc w:val="both"/>
      </w:pPr>
      <w:r>
        <w:t>Myung et al</w:t>
      </w:r>
      <w:r w:rsidR="00591002">
        <w:t>.</w:t>
      </w:r>
      <w:r>
        <w:t xml:space="preserve"> (2019) identified a further three RCTs that measured the impact of bupropion on smoking cessation outcomes </w:t>
      </w:r>
      <w:r w:rsidR="00605610">
        <w:t xml:space="preserve">at follow-ups of less </w:t>
      </w:r>
      <w:r>
        <w:t xml:space="preserve">than </w:t>
      </w:r>
      <w:r w:rsidR="00485E09">
        <w:t>six</w:t>
      </w:r>
      <w:r>
        <w:t xml:space="preserve"> months. One of the studies included Killen (2014)</w:t>
      </w:r>
      <w:r w:rsidR="00AD2A48">
        <w:t>,</w:t>
      </w:r>
      <w:r>
        <w:t xml:space="preserve"> which evaluated bupropion in combination with NRT compared with </w:t>
      </w:r>
      <w:r w:rsidR="007D63C9">
        <w:t xml:space="preserve">placebo in combination with </w:t>
      </w:r>
      <w:r>
        <w:t xml:space="preserve">NRT. </w:t>
      </w:r>
      <w:r w:rsidR="007D63C9">
        <w:t>Based on the</w:t>
      </w:r>
      <w:r>
        <w:t xml:space="preserve"> meta-analysis</w:t>
      </w:r>
      <w:r w:rsidR="007D63C9">
        <w:t xml:space="preserve"> conducted by</w:t>
      </w:r>
      <w:r>
        <w:t xml:space="preserve"> Myung et al</w:t>
      </w:r>
      <w:r w:rsidR="007D63C9">
        <w:t>.</w:t>
      </w:r>
      <w:r>
        <w:t xml:space="preserve"> (2019)</w:t>
      </w:r>
      <w:r w:rsidR="00DD6593">
        <w:t>,</w:t>
      </w:r>
      <w:r>
        <w:t xml:space="preserve"> </w:t>
      </w:r>
      <w:r w:rsidR="00DD6593">
        <w:t>bupropion was shown to significantly improve smoking cessation rates compared</w:t>
      </w:r>
      <w:r w:rsidR="00E75990">
        <w:t xml:space="preserve"> with placebo</w:t>
      </w:r>
      <w:r>
        <w:t xml:space="preserve"> (RR</w:t>
      </w:r>
      <w:r w:rsidR="00E75990">
        <w:t>:</w:t>
      </w:r>
      <w:r>
        <w:t xml:space="preserve"> 2.03</w:t>
      </w:r>
      <w:r w:rsidR="00E75990">
        <w:t>;</w:t>
      </w:r>
      <w:r>
        <w:t xml:space="preserve"> 95%</w:t>
      </w:r>
      <w:r w:rsidR="00E75990">
        <w:t xml:space="preserve"> </w:t>
      </w:r>
      <w:r>
        <w:t>CI</w:t>
      </w:r>
      <w:r w:rsidR="00E75990">
        <w:t>:</w:t>
      </w:r>
      <w:r>
        <w:t xml:space="preserve"> 1.09</w:t>
      </w:r>
      <w:r w:rsidR="00E75990">
        <w:t>,</w:t>
      </w:r>
      <w:r>
        <w:t xml:space="preserve"> 3.77). However, two of the additional studies included in the</w:t>
      </w:r>
      <w:r w:rsidR="00E75990">
        <w:t xml:space="preserve"> meta-analysis by </w:t>
      </w:r>
      <w:r>
        <w:t>Myung et al</w:t>
      </w:r>
      <w:r w:rsidR="00E75990">
        <w:t>.</w:t>
      </w:r>
      <w:r>
        <w:t xml:space="preserve"> </w:t>
      </w:r>
      <w:r w:rsidR="00E75990">
        <w:t>(</w:t>
      </w:r>
      <w:r>
        <w:t>2019</w:t>
      </w:r>
      <w:r w:rsidR="00E75990">
        <w:t>)</w:t>
      </w:r>
      <w:r w:rsidR="00CB274A">
        <w:t xml:space="preserve"> were found to</w:t>
      </w:r>
      <w:r>
        <w:t xml:space="preserve"> </w:t>
      </w:r>
      <w:r w:rsidR="00CD40CF">
        <w:t xml:space="preserve">have </w:t>
      </w:r>
      <w:r>
        <w:t>substantially influence</w:t>
      </w:r>
      <w:r w:rsidR="00CD40CF">
        <w:t>d</w:t>
      </w:r>
      <w:r>
        <w:t xml:space="preserve"> the pooled estimat</w:t>
      </w:r>
      <w:r w:rsidR="00CD40CF">
        <w:t>e. T</w:t>
      </w:r>
      <w:r w:rsidR="00DA4774">
        <w:t>he smoki</w:t>
      </w:r>
      <w:r w:rsidR="0087015B">
        <w:t xml:space="preserve">ng </w:t>
      </w:r>
      <w:r w:rsidR="00DA4774">
        <w:t>cessation outcomes in these studies were</w:t>
      </w:r>
      <w:r>
        <w:t xml:space="preserve"> measured </w:t>
      </w:r>
      <w:r w:rsidR="00DA4774">
        <w:t>a</w:t>
      </w:r>
      <w:r>
        <w:t xml:space="preserve">t </w:t>
      </w:r>
      <w:r w:rsidR="00485E09">
        <w:t>three</w:t>
      </w:r>
      <w:r>
        <w:t xml:space="preserve"> months</w:t>
      </w:r>
      <w:r w:rsidR="00CD40CF">
        <w:t xml:space="preserve"> </w:t>
      </w:r>
      <w:r w:rsidR="003E74A9">
        <w:t>with</w:t>
      </w:r>
      <w:r w:rsidR="00CD40CF">
        <w:t xml:space="preserve"> a</w:t>
      </w:r>
      <w:r>
        <w:t xml:space="preserve"> relatively small sample size</w:t>
      </w:r>
      <w:r w:rsidR="0087015B">
        <w:t xml:space="preserve"> </w:t>
      </w:r>
      <w:r>
        <w:t>and very wide confidence intervals (Gray 2011</w:t>
      </w:r>
      <w:r w:rsidR="003E74A9">
        <w:t>:</w:t>
      </w:r>
      <w:r>
        <w:t xml:space="preserve"> RR</w:t>
      </w:r>
      <w:r w:rsidR="0087015B">
        <w:t>:</w:t>
      </w:r>
      <w:r>
        <w:t xml:space="preserve"> 2.51</w:t>
      </w:r>
      <w:r w:rsidR="003E74A9">
        <w:t>,</w:t>
      </w:r>
      <w:r>
        <w:t xml:space="preserve"> 95%</w:t>
      </w:r>
      <w:r w:rsidR="003E74A9">
        <w:t xml:space="preserve"> </w:t>
      </w:r>
      <w:r>
        <w:t>CI</w:t>
      </w:r>
      <w:r w:rsidR="003E74A9">
        <w:t>:</w:t>
      </w:r>
      <w:r>
        <w:t xml:space="preserve"> 0.52</w:t>
      </w:r>
      <w:r w:rsidR="003E74A9">
        <w:t>,</w:t>
      </w:r>
      <w:r>
        <w:t xml:space="preserve"> 11.97; Niederhofer 2004: RR</w:t>
      </w:r>
      <w:r w:rsidR="003E74A9">
        <w:t>:</w:t>
      </w:r>
      <w:r>
        <w:t xml:space="preserve"> 3.00</w:t>
      </w:r>
      <w:r w:rsidR="003E74A9">
        <w:t>.</w:t>
      </w:r>
      <w:r>
        <w:t xml:space="preserve"> 95%</w:t>
      </w:r>
      <w:r w:rsidR="003E74A9">
        <w:t xml:space="preserve"> </w:t>
      </w:r>
      <w:r>
        <w:t>CI</w:t>
      </w:r>
      <w:r w:rsidR="003E74A9">
        <w:t>:</w:t>
      </w:r>
      <w:r>
        <w:t xml:space="preserve"> 0.77</w:t>
      </w:r>
      <w:r w:rsidR="003E74A9">
        <w:t>,</w:t>
      </w:r>
      <w:r>
        <w:t xml:space="preserve"> 11.74). Further, </w:t>
      </w:r>
      <w:r w:rsidR="00580F73">
        <w:t xml:space="preserve">the study by </w:t>
      </w:r>
      <w:r>
        <w:t>Niederhofer</w:t>
      </w:r>
      <w:r w:rsidR="00580F73">
        <w:t xml:space="preserve"> et al.</w:t>
      </w:r>
      <w:r>
        <w:t xml:space="preserve"> </w:t>
      </w:r>
      <w:r w:rsidR="00580F73">
        <w:t>(</w:t>
      </w:r>
      <w:r>
        <w:t xml:space="preserve">2004) used a </w:t>
      </w:r>
      <w:r w:rsidR="00580F73">
        <w:t>lower</w:t>
      </w:r>
      <w:r>
        <w:t xml:space="preserve"> dose of bupropion (150</w:t>
      </w:r>
      <w:r w:rsidR="00580F73">
        <w:t xml:space="preserve"> </w:t>
      </w:r>
      <w:r>
        <w:t xml:space="preserve">mg/day). </w:t>
      </w:r>
    </w:p>
    <w:p w14:paraId="7AEFC700" w14:textId="7B732C45" w:rsidR="00B92C81" w:rsidRDefault="00B92C81" w:rsidP="00FF7CA0">
      <w:pPr>
        <w:spacing w:after="120"/>
        <w:jc w:val="both"/>
      </w:pPr>
      <w:r>
        <w:t>Selph et al</w:t>
      </w:r>
      <w:r w:rsidR="000B73F1">
        <w:t>. (2019)</w:t>
      </w:r>
      <w:r>
        <w:t xml:space="preserve"> concluded </w:t>
      </w:r>
      <w:r w:rsidR="00506D91">
        <w:t>that there was</w:t>
      </w:r>
      <w:r>
        <w:t xml:space="preserve"> an absence of benefit of bupropion on smoking cessation in adolescents compared </w:t>
      </w:r>
      <w:r w:rsidR="0045313C">
        <w:t>with</w:t>
      </w:r>
      <w:r>
        <w:t xml:space="preserve"> placebo</w:t>
      </w:r>
      <w:r w:rsidR="0045313C">
        <w:t xml:space="preserve"> based on one RCT (Muramoto 2007) which was included</w:t>
      </w:r>
      <w:r>
        <w:t xml:space="preserve"> in Fanshawe </w:t>
      </w:r>
      <w:r w:rsidR="0045313C">
        <w:t>et al. (</w:t>
      </w:r>
      <w:r>
        <w:t>2017</w:t>
      </w:r>
      <w:r w:rsidR="0045313C">
        <w:t>)</w:t>
      </w:r>
      <w:r>
        <w:t xml:space="preserve"> and Myung </w:t>
      </w:r>
      <w:r w:rsidR="0045313C">
        <w:t>et al. (</w:t>
      </w:r>
      <w:r>
        <w:t>2019</w:t>
      </w:r>
      <w:r w:rsidR="0045313C">
        <w:t>)</w:t>
      </w:r>
      <w:r>
        <w:t>.</w:t>
      </w:r>
    </w:p>
    <w:p w14:paraId="17622373" w14:textId="0DDA6CD5" w:rsidR="00646418" w:rsidRPr="0045313C" w:rsidRDefault="0045313C" w:rsidP="00FF7CA0">
      <w:pPr>
        <w:spacing w:after="120"/>
        <w:jc w:val="both"/>
        <w:rPr>
          <w:u w:val="single"/>
        </w:rPr>
      </w:pPr>
      <w:r w:rsidRPr="0045313C">
        <w:rPr>
          <w:u w:val="single"/>
        </w:rPr>
        <w:t>Safety</w:t>
      </w:r>
    </w:p>
    <w:p w14:paraId="7CD0BB65" w14:textId="5DCD58E9" w:rsidR="0045313C" w:rsidRDefault="0045313C" w:rsidP="00FF7CA0">
      <w:pPr>
        <w:spacing w:after="120"/>
        <w:jc w:val="both"/>
      </w:pPr>
      <w:r>
        <w:t>Fanshawe et al. (2017) provided a narrative summary of adverse events</w:t>
      </w:r>
      <w:r w:rsidR="001740F8">
        <w:t xml:space="preserve"> </w:t>
      </w:r>
      <w:r w:rsidR="0066775B">
        <w:t>based on the study by Muramoto et al. (2007).</w:t>
      </w:r>
      <w:r>
        <w:t xml:space="preserve"> </w:t>
      </w:r>
      <w:r w:rsidR="0066775B">
        <w:t xml:space="preserve">The Cochrane Review authors stated that </w:t>
      </w:r>
      <w:r>
        <w:t xml:space="preserve">a large number of </w:t>
      </w:r>
      <w:r w:rsidR="0066775B">
        <w:t xml:space="preserve">patients </w:t>
      </w:r>
      <w:r w:rsidR="00614E6F">
        <w:t xml:space="preserve">in both treatment arms reported </w:t>
      </w:r>
      <w:r>
        <w:t xml:space="preserve">adverse events </w:t>
      </w:r>
      <w:r w:rsidR="00B569F8">
        <w:t>which include</w:t>
      </w:r>
      <w:r w:rsidR="00AD2A48">
        <w:t>d</w:t>
      </w:r>
      <w:r>
        <w:t xml:space="preserve"> headache,</w:t>
      </w:r>
      <w:r w:rsidR="00B569F8">
        <w:t xml:space="preserve"> cough, throat symptoms, sleep disturbance</w:t>
      </w:r>
      <w:r w:rsidR="00FF7CA0">
        <w:t>s</w:t>
      </w:r>
      <w:r w:rsidR="00B569F8">
        <w:t xml:space="preserve"> and nausea</w:t>
      </w:r>
      <w:r>
        <w:t xml:space="preserve">. Additionally, treatment discontinuation due to adverse events was reported by </w:t>
      </w:r>
      <w:r w:rsidR="00C845F5">
        <w:t>eight patients in the bupropion arm</w:t>
      </w:r>
      <w:r>
        <w:t xml:space="preserve"> and a further two </w:t>
      </w:r>
      <w:r>
        <w:lastRenderedPageBreak/>
        <w:t>pa</w:t>
      </w:r>
      <w:r w:rsidR="00C845F5">
        <w:t>tient</w:t>
      </w:r>
      <w:r>
        <w:t>s</w:t>
      </w:r>
      <w:r w:rsidR="00C845F5">
        <w:t xml:space="preserve"> in the same arm</w:t>
      </w:r>
      <w:r>
        <w:t xml:space="preserve"> </w:t>
      </w:r>
      <w:r w:rsidR="0051486A">
        <w:t>experienced</w:t>
      </w:r>
      <w:r>
        <w:t xml:space="preserve"> serious adverse events </w:t>
      </w:r>
      <w:r w:rsidR="0051486A">
        <w:t>which led</w:t>
      </w:r>
      <w:r>
        <w:t xml:space="preserve"> to hospitalisation: </w:t>
      </w:r>
      <w:r w:rsidR="001C5C11" w:rsidRPr="001C5C11">
        <w:t>one pa</w:t>
      </w:r>
      <w:r w:rsidR="001C5C11">
        <w:t xml:space="preserve">tient </w:t>
      </w:r>
      <w:r w:rsidR="001C5C11" w:rsidRPr="001C5C11">
        <w:t>was admitted for anticholinergic crisis a</w:t>
      </w:r>
      <w:r w:rsidR="001C5C11">
        <w:t>fter</w:t>
      </w:r>
      <w:r w:rsidR="001C5C11" w:rsidRPr="001C5C11">
        <w:t xml:space="preserve"> ingesting Datura innoxia and one pa</w:t>
      </w:r>
      <w:r w:rsidR="001C5C11">
        <w:t>tient</w:t>
      </w:r>
      <w:r w:rsidR="001C5C11" w:rsidRPr="001C5C11">
        <w:t xml:space="preserve"> intentionally overdosed on study medication and other substances.</w:t>
      </w:r>
    </w:p>
    <w:p w14:paraId="6EB21AF5" w14:textId="1E418ACE" w:rsidR="0045313C" w:rsidRDefault="0045313C" w:rsidP="00FF7CA0">
      <w:pPr>
        <w:spacing w:after="120"/>
        <w:jc w:val="both"/>
      </w:pPr>
      <w:r>
        <w:t>Myung et al</w:t>
      </w:r>
      <w:r w:rsidR="001C5C11">
        <w:t>.</w:t>
      </w:r>
      <w:r>
        <w:t xml:space="preserve"> (2019) reported the following common adverse events</w:t>
      </w:r>
      <w:r w:rsidR="00E25A3E">
        <w:t xml:space="preserve"> were related to the use of</w:t>
      </w:r>
      <w:r>
        <w:t xml:space="preserve"> bupropion: headache, irritability, </w:t>
      </w:r>
      <w:r w:rsidR="00826C95">
        <w:t>insomnia,</w:t>
      </w:r>
      <w:r>
        <w:t xml:space="preserve"> and dream disturbances</w:t>
      </w:r>
      <w:r w:rsidR="00217767">
        <w:t>. The authors noted that</w:t>
      </w:r>
      <w:r w:rsidR="0041065D">
        <w:t xml:space="preserve"> </w:t>
      </w:r>
      <w:r>
        <w:t>there were no significant differences between the intervention and control groups</w:t>
      </w:r>
      <w:r w:rsidR="0041065D">
        <w:t>, except for dream disturbances in Gray et al. (2011)</w:t>
      </w:r>
      <w:r>
        <w:t xml:space="preserve">. </w:t>
      </w:r>
    </w:p>
    <w:p w14:paraId="41C12037" w14:textId="58781483" w:rsidR="0045313C" w:rsidRDefault="0045313C" w:rsidP="00FF7CA0">
      <w:pPr>
        <w:spacing w:after="120"/>
        <w:jc w:val="both"/>
      </w:pPr>
      <w:r>
        <w:t>Selph et al</w:t>
      </w:r>
      <w:r w:rsidR="0041065D">
        <w:t>.</w:t>
      </w:r>
      <w:r>
        <w:t xml:space="preserve"> (2019) </w:t>
      </w:r>
      <w:r w:rsidR="00C059E0">
        <w:t xml:space="preserve">stated that there were </w:t>
      </w:r>
      <w:r>
        <w:t xml:space="preserve">no increases in body mass index </w:t>
      </w:r>
      <w:r w:rsidR="00BF061D">
        <w:t xml:space="preserve">with the use of bupropion, </w:t>
      </w:r>
      <w:r>
        <w:t>either among those who achieved smoking abstinence or not</w:t>
      </w:r>
      <w:r w:rsidR="00BF061D">
        <w:t>, based on the study by</w:t>
      </w:r>
      <w:r w:rsidR="00AC252D">
        <w:t xml:space="preserve"> Muramoto et al. (2007)</w:t>
      </w:r>
      <w:r>
        <w:t xml:space="preserve">. Additionally, Selph </w:t>
      </w:r>
      <w:r w:rsidR="00AC252D">
        <w:t>et al. (</w:t>
      </w:r>
      <w:r>
        <w:t>2019</w:t>
      </w:r>
      <w:r w:rsidR="00AC252D">
        <w:t>)</w:t>
      </w:r>
      <w:r>
        <w:t xml:space="preserve"> highlighted the association of bupropion with abnormal dreams </w:t>
      </w:r>
      <w:r w:rsidR="004475DD">
        <w:t xml:space="preserve">based on the study by </w:t>
      </w:r>
      <w:r>
        <w:t xml:space="preserve">Gray </w:t>
      </w:r>
      <w:r w:rsidR="004475DD">
        <w:t>et al. (</w:t>
      </w:r>
      <w:r>
        <w:t>2011</w:t>
      </w:r>
      <w:r w:rsidR="004475DD">
        <w:t>)</w:t>
      </w:r>
      <w:r>
        <w:t xml:space="preserve">, </w:t>
      </w:r>
      <w:r w:rsidR="004475DD">
        <w:t>however</w:t>
      </w:r>
      <w:r>
        <w:t xml:space="preserve"> </w:t>
      </w:r>
      <w:r w:rsidR="002537AA">
        <w:t xml:space="preserve">the results should be interpreted with caution due to the wide confidence interval </w:t>
      </w:r>
      <w:r>
        <w:t>(RR</w:t>
      </w:r>
      <w:r w:rsidR="002537AA">
        <w:t>:</w:t>
      </w:r>
      <w:r>
        <w:t xml:space="preserve"> 15.92</w:t>
      </w:r>
      <w:r w:rsidR="002537AA">
        <w:t>;</w:t>
      </w:r>
      <w:r>
        <w:t xml:space="preserve"> 95%</w:t>
      </w:r>
      <w:r w:rsidR="002537AA">
        <w:t xml:space="preserve"> </w:t>
      </w:r>
      <w:r>
        <w:t>CI</w:t>
      </w:r>
      <w:r w:rsidR="002537AA">
        <w:t>:</w:t>
      </w:r>
      <w:r>
        <w:t xml:space="preserve"> 0.95</w:t>
      </w:r>
      <w:r w:rsidR="002537AA">
        <w:t>,</w:t>
      </w:r>
      <w:r w:rsidDel="002537AA">
        <w:t xml:space="preserve"> </w:t>
      </w:r>
      <w:r>
        <w:t>268).</w:t>
      </w:r>
    </w:p>
    <w:p w14:paraId="7AE8E757" w14:textId="6ECDD822" w:rsidR="001B26E2" w:rsidRDefault="005E7A4B" w:rsidP="00FF7CA0">
      <w:pPr>
        <w:spacing w:after="120"/>
        <w:jc w:val="both"/>
        <w:rPr>
          <w:b/>
        </w:rPr>
      </w:pPr>
      <w:r w:rsidRPr="007A3B1B">
        <w:rPr>
          <w:b/>
        </w:rPr>
        <w:t xml:space="preserve">Bupropion </w:t>
      </w:r>
      <w:r w:rsidR="00B74F13" w:rsidRPr="007A3B1B">
        <w:rPr>
          <w:b/>
        </w:rPr>
        <w:t xml:space="preserve">plus NRT patch versus </w:t>
      </w:r>
      <w:r w:rsidR="007A3B1B">
        <w:rPr>
          <w:b/>
          <w:bCs/>
        </w:rPr>
        <w:t xml:space="preserve">placebo plus </w:t>
      </w:r>
      <w:r w:rsidR="007C20D6" w:rsidRPr="007A3B1B">
        <w:rPr>
          <w:b/>
        </w:rPr>
        <w:t>NRT patch</w:t>
      </w:r>
    </w:p>
    <w:p w14:paraId="5A07E1F8" w14:textId="7842CA75" w:rsidR="007A3B1B" w:rsidRPr="007A3B1B" w:rsidRDefault="007A3B1B" w:rsidP="00FF7CA0">
      <w:pPr>
        <w:spacing w:after="120"/>
        <w:jc w:val="both"/>
        <w:rPr>
          <w:u w:val="single"/>
        </w:rPr>
      </w:pPr>
      <w:r w:rsidRPr="007A3B1B">
        <w:rPr>
          <w:u w:val="single"/>
        </w:rPr>
        <w:t>Efficacy</w:t>
      </w:r>
    </w:p>
    <w:p w14:paraId="5EB805F0" w14:textId="3CDC70EE" w:rsidR="008750AD" w:rsidRDefault="008750AD" w:rsidP="00FF7CA0">
      <w:pPr>
        <w:spacing w:after="120"/>
        <w:jc w:val="both"/>
      </w:pPr>
      <w:r w:rsidRPr="008750AD">
        <w:t xml:space="preserve">A summary of the smoking cessation rates at the longest follow-up comparing bupropion </w:t>
      </w:r>
      <w:r>
        <w:t xml:space="preserve">plus NRT patch </w:t>
      </w:r>
      <w:r w:rsidRPr="008750AD">
        <w:t>with placebo</w:t>
      </w:r>
      <w:r>
        <w:t xml:space="preserve"> plus NRT patch</w:t>
      </w:r>
      <w:r w:rsidRPr="008750AD">
        <w:t xml:space="preserve"> is presented in </w:t>
      </w:r>
      <w:r>
        <w:fldChar w:fldCharType="begin" w:fldLock="1"/>
      </w:r>
      <w:r>
        <w:instrText xml:space="preserve"> REF _Ref61962277 \h </w:instrText>
      </w:r>
      <w:r w:rsidR="00FF7CA0">
        <w:instrText xml:space="preserve"> \* MERGEFORMAT </w:instrText>
      </w:r>
      <w:r>
        <w:fldChar w:fldCharType="separate"/>
      </w:r>
      <w:r w:rsidR="00EC5CC7">
        <w:t xml:space="preserve">Table </w:t>
      </w:r>
      <w:r w:rsidR="00EC5CC7">
        <w:rPr>
          <w:noProof/>
        </w:rPr>
        <w:t>134</w:t>
      </w:r>
      <w:r>
        <w:fldChar w:fldCharType="end"/>
      </w:r>
      <w:r w:rsidRPr="008750AD">
        <w:t>. Based on the Cochrane Review by Fanshawe et al. (2017), the results of one RCT (</w:t>
      </w:r>
      <w:r w:rsidR="00EB246D">
        <w:t>Killen</w:t>
      </w:r>
      <w:r w:rsidRPr="008750AD">
        <w:t xml:space="preserve"> et al. 200</w:t>
      </w:r>
      <w:r w:rsidR="00EB246D">
        <w:t>4</w:t>
      </w:r>
      <w:r w:rsidRPr="008750AD">
        <w:t>) demonstrated no statistically significant difference in smoking cessation rates between the two treatment arms, although the results numerically favoured bupropion</w:t>
      </w:r>
      <w:r w:rsidR="00EB246D">
        <w:t xml:space="preserve"> plus NRT patch</w:t>
      </w:r>
      <w:r w:rsidRPr="008750AD">
        <w:t>. The wide confidence intervals and small number of events in both arms suggest that the study was underpowered to detect any differences.</w:t>
      </w:r>
    </w:p>
    <w:p w14:paraId="60EFFC56" w14:textId="355E7162" w:rsidR="00A41E46" w:rsidRDefault="00A41E46" w:rsidP="00AD2A48">
      <w:pPr>
        <w:pStyle w:val="Caption"/>
        <w:keepNext/>
        <w:spacing w:before="0" w:after="120"/>
        <w:jc w:val="both"/>
      </w:pPr>
      <w:bookmarkStart w:id="230" w:name="_Ref61962277"/>
      <w:r>
        <w:t xml:space="preserve">Table </w:t>
      </w:r>
      <w:r w:rsidR="00BF3F75">
        <w:fldChar w:fldCharType="begin"/>
      </w:r>
      <w:r w:rsidR="00BF3F75">
        <w:instrText xml:space="preserve"> SEQ Table \* ARABIC </w:instrText>
      </w:r>
      <w:r w:rsidR="00BF3F75">
        <w:fldChar w:fldCharType="separate"/>
      </w:r>
      <w:r w:rsidR="00EC5CC7">
        <w:rPr>
          <w:noProof/>
        </w:rPr>
        <w:t>134</w:t>
      </w:r>
      <w:r w:rsidR="00BF3F75">
        <w:rPr>
          <w:noProof/>
        </w:rPr>
        <w:fldChar w:fldCharType="end"/>
      </w:r>
      <w:bookmarkEnd w:id="230"/>
      <w:r>
        <w:t xml:space="preserve">: </w:t>
      </w:r>
      <w:r w:rsidRPr="00BE33BF">
        <w:t>Results of smoking cessation in adolescents in Fanshawe et al. (2017), bupropion</w:t>
      </w:r>
      <w:r w:rsidR="008750AD">
        <w:t xml:space="preserve"> + NRT patch </w:t>
      </w:r>
      <w:r w:rsidRPr="00BE33BF">
        <w:t>versus placebo</w:t>
      </w:r>
      <w:r w:rsidR="008750AD">
        <w:t xml:space="preserve"> + NRT patch</w:t>
      </w:r>
    </w:p>
    <w:tbl>
      <w:tblPr>
        <w:tblStyle w:val="TableGrid"/>
        <w:tblW w:w="5000" w:type="pct"/>
        <w:tblLook w:val="04A0" w:firstRow="1" w:lastRow="0" w:firstColumn="1" w:lastColumn="0" w:noHBand="0" w:noVBand="1"/>
      </w:tblPr>
      <w:tblGrid>
        <w:gridCol w:w="1131"/>
        <w:gridCol w:w="1700"/>
        <w:gridCol w:w="2409"/>
        <w:gridCol w:w="1985"/>
        <w:gridCol w:w="1791"/>
      </w:tblGrid>
      <w:tr w:rsidR="007C20D6" w:rsidRPr="007D5EC7" w14:paraId="3D96C1AF" w14:textId="77777777" w:rsidTr="007A3B1B">
        <w:tc>
          <w:tcPr>
            <w:tcW w:w="627" w:type="pct"/>
            <w:shd w:val="clear" w:color="auto" w:fill="BFBFBF" w:themeFill="background1" w:themeFillShade="BF"/>
          </w:tcPr>
          <w:p w14:paraId="44F899A9" w14:textId="77777777" w:rsidR="007C20D6" w:rsidRPr="007D5EC7" w:rsidRDefault="007C20D6" w:rsidP="007A3B1B">
            <w:pPr>
              <w:pStyle w:val="Tablewriting"/>
              <w:rPr>
                <w:b/>
                <w:bCs/>
              </w:rPr>
            </w:pPr>
            <w:r w:rsidRPr="007D5EC7">
              <w:rPr>
                <w:b/>
                <w:bCs/>
              </w:rPr>
              <w:t>Study</w:t>
            </w:r>
          </w:p>
        </w:tc>
        <w:tc>
          <w:tcPr>
            <w:tcW w:w="943" w:type="pct"/>
            <w:shd w:val="clear" w:color="auto" w:fill="BFBFBF" w:themeFill="background1" w:themeFillShade="BF"/>
          </w:tcPr>
          <w:p w14:paraId="102BD08C" w14:textId="77777777" w:rsidR="007C20D6" w:rsidRPr="007D5EC7" w:rsidRDefault="007C20D6" w:rsidP="007A3B1B">
            <w:pPr>
              <w:pStyle w:val="Tablewriting"/>
              <w:jc w:val="center"/>
              <w:rPr>
                <w:b/>
                <w:bCs/>
              </w:rPr>
            </w:pPr>
            <w:r w:rsidRPr="007D5EC7">
              <w:rPr>
                <w:b/>
                <w:bCs/>
              </w:rPr>
              <w:t>Study Type</w:t>
            </w:r>
          </w:p>
        </w:tc>
        <w:tc>
          <w:tcPr>
            <w:tcW w:w="1336" w:type="pct"/>
            <w:shd w:val="clear" w:color="auto" w:fill="BFBFBF" w:themeFill="background1" w:themeFillShade="BF"/>
          </w:tcPr>
          <w:p w14:paraId="7BEC50C4" w14:textId="6F3869B7" w:rsidR="007C20D6" w:rsidRPr="007D5EC7" w:rsidRDefault="007C20D6" w:rsidP="007A3B1B">
            <w:pPr>
              <w:pStyle w:val="Tablewriting"/>
              <w:jc w:val="center"/>
              <w:rPr>
                <w:b/>
                <w:bCs/>
              </w:rPr>
            </w:pPr>
            <w:r>
              <w:rPr>
                <w:b/>
                <w:bCs/>
              </w:rPr>
              <w:t>Bupropion</w:t>
            </w:r>
            <w:r w:rsidR="00B64887">
              <w:rPr>
                <w:b/>
                <w:bCs/>
              </w:rPr>
              <w:t xml:space="preserve"> + NRT patch</w:t>
            </w:r>
          </w:p>
        </w:tc>
        <w:tc>
          <w:tcPr>
            <w:tcW w:w="1101" w:type="pct"/>
            <w:shd w:val="clear" w:color="auto" w:fill="BFBFBF" w:themeFill="background1" w:themeFillShade="BF"/>
          </w:tcPr>
          <w:p w14:paraId="33E35B1A" w14:textId="3AF4CC98" w:rsidR="007C20D6" w:rsidRPr="007D5EC7" w:rsidRDefault="007C20D6" w:rsidP="007A3B1B">
            <w:pPr>
              <w:pStyle w:val="Tablewriting"/>
              <w:jc w:val="center"/>
              <w:rPr>
                <w:b/>
                <w:bCs/>
              </w:rPr>
            </w:pPr>
            <w:r w:rsidRPr="007D5EC7">
              <w:rPr>
                <w:b/>
                <w:bCs/>
              </w:rPr>
              <w:t>Placebo</w:t>
            </w:r>
            <w:r w:rsidR="0056089A">
              <w:rPr>
                <w:b/>
                <w:bCs/>
              </w:rPr>
              <w:t xml:space="preserve"> </w:t>
            </w:r>
            <w:r w:rsidR="00B64887">
              <w:rPr>
                <w:b/>
                <w:bCs/>
              </w:rPr>
              <w:t>+ NRT patch</w:t>
            </w:r>
          </w:p>
        </w:tc>
        <w:tc>
          <w:tcPr>
            <w:tcW w:w="993" w:type="pct"/>
            <w:shd w:val="clear" w:color="auto" w:fill="BFBFBF" w:themeFill="background1" w:themeFillShade="BF"/>
          </w:tcPr>
          <w:p w14:paraId="342ABD80" w14:textId="122DE411" w:rsidR="007C20D6" w:rsidRPr="00A41E46" w:rsidRDefault="007C20D6" w:rsidP="007A3B1B">
            <w:pPr>
              <w:pStyle w:val="Tablewriting"/>
              <w:jc w:val="center"/>
              <w:rPr>
                <w:b/>
                <w:vertAlign w:val="superscript"/>
              </w:rPr>
            </w:pPr>
            <w:r w:rsidRPr="007D5EC7">
              <w:rPr>
                <w:b/>
                <w:bCs/>
              </w:rPr>
              <w:t>RR (95%CI)</w:t>
            </w:r>
            <w:r w:rsidR="00A41E46">
              <w:rPr>
                <w:b/>
                <w:bCs/>
                <w:vertAlign w:val="superscript"/>
              </w:rPr>
              <w:t>1</w:t>
            </w:r>
          </w:p>
        </w:tc>
      </w:tr>
      <w:tr w:rsidR="007C20D6" w14:paraId="7456E5B7" w14:textId="77777777" w:rsidTr="007A3B1B">
        <w:tc>
          <w:tcPr>
            <w:tcW w:w="627" w:type="pct"/>
          </w:tcPr>
          <w:p w14:paraId="2208B36D" w14:textId="77777777" w:rsidR="007A3B1B" w:rsidRDefault="007C20D6" w:rsidP="007A3B1B">
            <w:pPr>
              <w:pStyle w:val="Tablewriting"/>
            </w:pPr>
            <w:r>
              <w:t xml:space="preserve">Fanshawe </w:t>
            </w:r>
          </w:p>
          <w:p w14:paraId="5B911D9B" w14:textId="39B2F909" w:rsidR="007C20D6" w:rsidRDefault="007A3B1B" w:rsidP="007A3B1B">
            <w:pPr>
              <w:pStyle w:val="Tablewriting"/>
            </w:pPr>
            <w:r>
              <w:t>(</w:t>
            </w:r>
            <w:r w:rsidR="007C20D6">
              <w:t>2017</w:t>
            </w:r>
            <w:r>
              <w:t>)</w:t>
            </w:r>
          </w:p>
        </w:tc>
        <w:tc>
          <w:tcPr>
            <w:tcW w:w="943" w:type="pct"/>
          </w:tcPr>
          <w:p w14:paraId="6929A4A3" w14:textId="73C44BD5" w:rsidR="007C20D6" w:rsidRDefault="007C20D6" w:rsidP="007A3B1B">
            <w:pPr>
              <w:pStyle w:val="Tablewriting"/>
              <w:jc w:val="center"/>
            </w:pPr>
            <w:r>
              <w:t xml:space="preserve">Cochrane Review (1 </w:t>
            </w:r>
            <w:r w:rsidR="007A3B1B">
              <w:t>RCT</w:t>
            </w:r>
            <w:r>
              <w:t>)</w:t>
            </w:r>
          </w:p>
        </w:tc>
        <w:tc>
          <w:tcPr>
            <w:tcW w:w="1336" w:type="pct"/>
          </w:tcPr>
          <w:p w14:paraId="781BAC9D" w14:textId="77777777" w:rsidR="007A3B1B" w:rsidRDefault="00E04E62" w:rsidP="007A3B1B">
            <w:pPr>
              <w:pStyle w:val="Tablewriting"/>
              <w:jc w:val="center"/>
            </w:pPr>
            <w:r>
              <w:t>8/103</w:t>
            </w:r>
          </w:p>
          <w:p w14:paraId="7D9DFF8A" w14:textId="588E7EA4" w:rsidR="007C20D6" w:rsidRDefault="0056089A" w:rsidP="007A3B1B">
            <w:pPr>
              <w:pStyle w:val="Tablewriting"/>
              <w:jc w:val="center"/>
            </w:pPr>
            <w:r>
              <w:t>(</w:t>
            </w:r>
            <w:r w:rsidR="008B4393">
              <w:t>7.8</w:t>
            </w:r>
            <w:r>
              <w:t>%)</w:t>
            </w:r>
          </w:p>
        </w:tc>
        <w:tc>
          <w:tcPr>
            <w:tcW w:w="1101" w:type="pct"/>
          </w:tcPr>
          <w:p w14:paraId="0D04B8D9" w14:textId="77777777" w:rsidR="007A3B1B" w:rsidRDefault="00E04E62" w:rsidP="007A3B1B">
            <w:pPr>
              <w:pStyle w:val="Tablewriting"/>
              <w:jc w:val="center"/>
            </w:pPr>
            <w:r>
              <w:t>8/108</w:t>
            </w:r>
          </w:p>
          <w:p w14:paraId="31615AC7" w14:textId="4BF5463F" w:rsidR="007C20D6" w:rsidRDefault="0056089A" w:rsidP="007A3B1B">
            <w:pPr>
              <w:pStyle w:val="Tablewriting"/>
              <w:jc w:val="center"/>
            </w:pPr>
            <w:r>
              <w:t>(</w:t>
            </w:r>
            <w:r w:rsidR="000E6AE7">
              <w:t>7.4</w:t>
            </w:r>
            <w:r>
              <w:t>%)</w:t>
            </w:r>
          </w:p>
        </w:tc>
        <w:tc>
          <w:tcPr>
            <w:tcW w:w="993" w:type="pct"/>
          </w:tcPr>
          <w:p w14:paraId="6A3E8D54" w14:textId="77777777" w:rsidR="0056089A" w:rsidRDefault="00E04E62" w:rsidP="007A3B1B">
            <w:pPr>
              <w:pStyle w:val="Tablewriting"/>
              <w:jc w:val="center"/>
            </w:pPr>
            <w:r>
              <w:t>1.05</w:t>
            </w:r>
            <w:r w:rsidR="007C20D6">
              <w:t xml:space="preserve"> </w:t>
            </w:r>
          </w:p>
          <w:p w14:paraId="7EE451B1" w14:textId="3721E1F6" w:rsidR="007C20D6" w:rsidRDefault="007C20D6" w:rsidP="007A3B1B">
            <w:pPr>
              <w:pStyle w:val="Tablewriting"/>
              <w:jc w:val="center"/>
            </w:pPr>
            <w:r>
              <w:t>(</w:t>
            </w:r>
            <w:r w:rsidR="00E04E62">
              <w:t>0.</w:t>
            </w:r>
            <w:r w:rsidR="0056089A">
              <w:t>41</w:t>
            </w:r>
            <w:r w:rsidR="007A3B1B">
              <w:t xml:space="preserve">, </w:t>
            </w:r>
            <w:r w:rsidR="0056089A">
              <w:t>2.69</w:t>
            </w:r>
            <w:r>
              <w:t>)</w:t>
            </w:r>
          </w:p>
        </w:tc>
      </w:tr>
    </w:tbl>
    <w:p w14:paraId="78F49D62" w14:textId="77777777" w:rsidR="0056089A" w:rsidRDefault="0056089A" w:rsidP="0056089A">
      <w:pPr>
        <w:pStyle w:val="TableFooter"/>
      </w:pPr>
      <w:r>
        <w:t>Source: Fanshawe et al. (2017)</w:t>
      </w:r>
    </w:p>
    <w:p w14:paraId="5B46A1BA" w14:textId="77B84327" w:rsidR="0056089A" w:rsidRDefault="0056089A" w:rsidP="0056089A">
      <w:pPr>
        <w:pStyle w:val="TableFooter"/>
        <w:rPr>
          <w:i/>
        </w:rPr>
      </w:pPr>
      <w:r>
        <w:t xml:space="preserve">Abbreviations: CI = confidence interval; </w:t>
      </w:r>
      <w:r w:rsidR="008750AD">
        <w:t xml:space="preserve">NRT = nicotine replacement therapy; </w:t>
      </w:r>
      <w:r>
        <w:t>RCT = randomised controlled trial; RR = risk ratio</w:t>
      </w:r>
      <w:r w:rsidRPr="00061F78">
        <w:t xml:space="preserve"> </w:t>
      </w:r>
    </w:p>
    <w:p w14:paraId="3FB7306A" w14:textId="49BDE2CE" w:rsidR="0056089A" w:rsidRDefault="0056089A" w:rsidP="00AD2A48">
      <w:pPr>
        <w:pStyle w:val="TableFooter"/>
        <w:spacing w:after="120"/>
        <w:contextualSpacing w:val="0"/>
      </w:pPr>
      <w:r w:rsidRPr="00D468CF">
        <w:t>Note</w:t>
      </w:r>
      <w:r>
        <w:t>s</w:t>
      </w:r>
      <w:r w:rsidRPr="00D468CF">
        <w:t>: Bold indicates statistically significant difference.</w:t>
      </w:r>
      <w:r w:rsidRPr="00962408">
        <w:t xml:space="preserve"> </w:t>
      </w:r>
      <w:r>
        <w:br/>
        <w:t>1 Calculated by Cochrane Review authors using a fixed-effect model</w:t>
      </w:r>
      <w:r w:rsidR="005A689C">
        <w:t>.</w:t>
      </w:r>
    </w:p>
    <w:p w14:paraId="4A35D980" w14:textId="7878C596" w:rsidR="00AD2A48" w:rsidRDefault="00CE542E" w:rsidP="00AD2A48">
      <w:pPr>
        <w:spacing w:after="120"/>
        <w:jc w:val="both"/>
      </w:pPr>
      <w:r w:rsidRPr="00B817FB">
        <w:t xml:space="preserve">The results of the </w:t>
      </w:r>
      <w:r>
        <w:t>study</w:t>
      </w:r>
      <w:r w:rsidRPr="00B817FB">
        <w:t xml:space="preserve"> included in </w:t>
      </w:r>
      <w:r>
        <w:t>Fanshawe et al</w:t>
      </w:r>
      <w:r w:rsidRPr="00B817FB">
        <w:t>. (20</w:t>
      </w:r>
      <w:r>
        <w:t>17</w:t>
      </w:r>
      <w:r w:rsidRPr="00B817FB">
        <w:t xml:space="preserve">) </w:t>
      </w:r>
      <w:r>
        <w:t>a</w:t>
      </w:r>
      <w:r w:rsidRPr="00B817FB">
        <w:t>re presented using a forest plot</w:t>
      </w:r>
      <w:r>
        <w:t xml:space="preserve"> in </w:t>
      </w:r>
      <w:r>
        <w:fldChar w:fldCharType="begin" w:fldLock="1"/>
      </w:r>
      <w:r>
        <w:instrText xml:space="preserve"> REF _Ref61962522 \h </w:instrText>
      </w:r>
      <w:r>
        <w:fldChar w:fldCharType="separate"/>
      </w:r>
      <w:r w:rsidR="00EC5CC7">
        <w:t xml:space="preserve">Figure </w:t>
      </w:r>
      <w:r w:rsidR="00EC5CC7">
        <w:rPr>
          <w:noProof/>
        </w:rPr>
        <w:t>45</w:t>
      </w:r>
      <w:r>
        <w:fldChar w:fldCharType="end"/>
      </w:r>
      <w:r>
        <w:t>.</w:t>
      </w:r>
      <w:r w:rsidR="00AD2A48">
        <w:br w:type="page"/>
      </w:r>
    </w:p>
    <w:p w14:paraId="02306F82" w14:textId="77777777" w:rsidR="00CE542E" w:rsidRDefault="5F70F5D0" w:rsidP="00CE542E">
      <w:pPr>
        <w:keepNext/>
      </w:pPr>
      <w:r>
        <w:rPr>
          <w:noProof/>
        </w:rPr>
        <w:lastRenderedPageBreak/>
        <w:drawing>
          <wp:inline distT="0" distB="0" distL="0" distR="0" wp14:anchorId="23629C30" wp14:editId="168F66E5">
            <wp:extent cx="5731510" cy="1200150"/>
            <wp:effectExtent l="0" t="0" r="2540" b="0"/>
            <wp:docPr id="90" name="Picture 90" descr="P84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P8468#yIS1"/>
                    <pic:cNvPicPr/>
                  </pic:nvPicPr>
                  <pic:blipFill>
                    <a:blip r:embed="rId67">
                      <a:extLst>
                        <a:ext uri="{28A0092B-C50C-407E-A947-70E740481C1C}">
                          <a14:useLocalDpi xmlns:a14="http://schemas.microsoft.com/office/drawing/2010/main" val="0"/>
                        </a:ext>
                      </a:extLst>
                    </a:blip>
                    <a:stretch>
                      <a:fillRect/>
                    </a:stretch>
                  </pic:blipFill>
                  <pic:spPr>
                    <a:xfrm>
                      <a:off x="0" y="0"/>
                      <a:ext cx="5731510" cy="1200150"/>
                    </a:xfrm>
                    <a:prstGeom prst="rect">
                      <a:avLst/>
                    </a:prstGeom>
                  </pic:spPr>
                </pic:pic>
              </a:graphicData>
            </a:graphic>
          </wp:inline>
        </w:drawing>
      </w:r>
    </w:p>
    <w:p w14:paraId="4B76CFFC" w14:textId="68882363" w:rsidR="007C20D6" w:rsidRDefault="00CE542E" w:rsidP="00AD2A48">
      <w:pPr>
        <w:pStyle w:val="Caption"/>
        <w:spacing w:before="120" w:after="60"/>
        <w:jc w:val="both"/>
      </w:pPr>
      <w:bookmarkStart w:id="231" w:name="_Ref61962522"/>
      <w:r>
        <w:t xml:space="preserve">Figure </w:t>
      </w:r>
      <w:r w:rsidR="00BF3F75">
        <w:fldChar w:fldCharType="begin"/>
      </w:r>
      <w:r w:rsidR="00BF3F75">
        <w:instrText xml:space="preserve"> SEQ Figure \* ARABIC </w:instrText>
      </w:r>
      <w:r w:rsidR="00BF3F75">
        <w:fldChar w:fldCharType="separate"/>
      </w:r>
      <w:r w:rsidR="00EC5CC7">
        <w:rPr>
          <w:noProof/>
        </w:rPr>
        <w:t>45</w:t>
      </w:r>
      <w:r w:rsidR="00BF3F75">
        <w:rPr>
          <w:noProof/>
        </w:rPr>
        <w:fldChar w:fldCharType="end"/>
      </w:r>
      <w:bookmarkEnd w:id="231"/>
      <w:r>
        <w:t xml:space="preserve">: </w:t>
      </w:r>
      <w:r w:rsidRPr="00D7243A">
        <w:t>Results of smoking cessation in adolescents in Fanshawe et al. (2017), bupropion + NRT patch versus placebo + NRT patch</w:t>
      </w:r>
    </w:p>
    <w:p w14:paraId="728E8FEE" w14:textId="77777777" w:rsidR="00CE542E" w:rsidRDefault="00CE542E" w:rsidP="00CE542E">
      <w:pPr>
        <w:pStyle w:val="FigureFooter"/>
      </w:pPr>
      <w:r>
        <w:t>Source: Fanshawe et al. (2017)</w:t>
      </w:r>
    </w:p>
    <w:p w14:paraId="623482D6" w14:textId="77777777" w:rsidR="00CE542E" w:rsidRDefault="00CE542E" w:rsidP="00AD2A48">
      <w:pPr>
        <w:pStyle w:val="FigureFooter"/>
        <w:spacing w:after="120"/>
        <w:contextualSpacing w:val="0"/>
      </w:pPr>
      <w:r>
        <w:t>Abbreviations: CI = confidence interval</w:t>
      </w:r>
    </w:p>
    <w:p w14:paraId="5BE9FBB7" w14:textId="164828B4" w:rsidR="00CE542E" w:rsidRDefault="00CE542E" w:rsidP="00AD2A48">
      <w:pPr>
        <w:spacing w:after="120"/>
        <w:jc w:val="both"/>
      </w:pPr>
      <w:r>
        <w:t>No other studies comparing bupropion plus NRT patch versus placebo plus NRT patch were identified by Myung et al. (2019) or Selph et al. (2019).</w:t>
      </w:r>
    </w:p>
    <w:p w14:paraId="6FC17BF4" w14:textId="6E158AF2" w:rsidR="00412FA2" w:rsidRPr="00CE542E" w:rsidRDefault="00556DDE" w:rsidP="00AD2A48">
      <w:pPr>
        <w:spacing w:after="120"/>
        <w:jc w:val="both"/>
        <w:rPr>
          <w:u w:val="single"/>
        </w:rPr>
      </w:pPr>
      <w:r w:rsidRPr="00CE542E">
        <w:rPr>
          <w:u w:val="single"/>
        </w:rPr>
        <w:t>Safety</w:t>
      </w:r>
    </w:p>
    <w:p w14:paraId="3D9309DC" w14:textId="0E267943" w:rsidR="00DC7755" w:rsidRPr="0094078B" w:rsidRDefault="00556DDE" w:rsidP="00AD2A48">
      <w:pPr>
        <w:spacing w:after="120"/>
        <w:jc w:val="both"/>
      </w:pPr>
      <w:r>
        <w:t>Fanshawe et al</w:t>
      </w:r>
      <w:r w:rsidR="00CE542E">
        <w:t>.</w:t>
      </w:r>
      <w:r>
        <w:t xml:space="preserve"> (2017)</w:t>
      </w:r>
      <w:r w:rsidR="00911828">
        <w:t xml:space="preserve"> </w:t>
      </w:r>
      <w:r>
        <w:t xml:space="preserve">provided a narrative summary of adverse events </w:t>
      </w:r>
      <w:r w:rsidR="00CE542E">
        <w:t xml:space="preserve">based on the study by Killen et al. (2004). </w:t>
      </w:r>
      <w:r w:rsidR="00C269D6">
        <w:t>The Cochrane Review authors stated that</w:t>
      </w:r>
      <w:r w:rsidR="006C1EFC">
        <w:t xml:space="preserve"> </w:t>
      </w:r>
      <w:r w:rsidR="003627FE">
        <w:t>none of</w:t>
      </w:r>
      <w:r w:rsidR="00CE0A6B">
        <w:t xml:space="preserve"> </w:t>
      </w:r>
      <w:r w:rsidR="003627FE">
        <w:t>the</w:t>
      </w:r>
      <w:r w:rsidR="00CE0A6B">
        <w:t xml:space="preserve"> 47</w:t>
      </w:r>
      <w:r w:rsidR="003B2A9A">
        <w:t xml:space="preserve"> self-reported adverse events </w:t>
      </w:r>
      <w:r w:rsidR="008D0C38">
        <w:t xml:space="preserve">in the study (nausea being the most common) </w:t>
      </w:r>
      <w:r w:rsidR="00CE0A6B">
        <w:t>were classified as severe.</w:t>
      </w:r>
      <w:r w:rsidR="0025036E">
        <w:t xml:space="preserve"> Neither Myung </w:t>
      </w:r>
      <w:r w:rsidR="008D0C38">
        <w:t>et al. (</w:t>
      </w:r>
      <w:r w:rsidR="0025036E">
        <w:t>2019</w:t>
      </w:r>
      <w:r w:rsidR="008D0C38">
        <w:t>)</w:t>
      </w:r>
      <w:r w:rsidR="0025036E">
        <w:t xml:space="preserve"> nor Selph </w:t>
      </w:r>
      <w:r w:rsidR="008D0C38">
        <w:t>et al. (</w:t>
      </w:r>
      <w:r w:rsidR="0025036E">
        <w:t>2019</w:t>
      </w:r>
      <w:r w:rsidR="008D0C38">
        <w:t>)</w:t>
      </w:r>
      <w:r w:rsidR="0025036E">
        <w:t xml:space="preserve"> provided any further </w:t>
      </w:r>
      <w:r w:rsidR="00EC4F94">
        <w:t xml:space="preserve">safety </w:t>
      </w:r>
      <w:r w:rsidR="0025036E">
        <w:t>information</w:t>
      </w:r>
      <w:r w:rsidR="00826C95">
        <w:t xml:space="preserve">. </w:t>
      </w:r>
    </w:p>
    <w:p w14:paraId="130706E2" w14:textId="440F3ACA" w:rsidR="00AA1D1D" w:rsidRDefault="001C09E6" w:rsidP="00AD2A48">
      <w:pPr>
        <w:pStyle w:val="Heading4"/>
        <w:numPr>
          <w:ilvl w:val="0"/>
          <w:numId w:val="0"/>
        </w:numPr>
        <w:spacing w:after="120"/>
        <w:jc w:val="both"/>
      </w:pPr>
      <w:r>
        <w:t>Summary of evidence for use in populations</w:t>
      </w:r>
      <w:r w:rsidR="00A86D1F">
        <w:t xml:space="preserve"> who have specific needs</w:t>
      </w:r>
    </w:p>
    <w:p w14:paraId="3CCB78A7" w14:textId="602E30F1" w:rsidR="007D6453" w:rsidRDefault="007D6453" w:rsidP="00AD2A48">
      <w:pPr>
        <w:spacing w:after="120"/>
        <w:jc w:val="both"/>
        <w:rPr>
          <w:b/>
          <w:bCs/>
        </w:rPr>
      </w:pPr>
      <w:r w:rsidRPr="007D6453">
        <w:rPr>
          <w:b/>
          <w:bCs/>
        </w:rPr>
        <w:t>Pregnancy and lactation</w:t>
      </w:r>
    </w:p>
    <w:p w14:paraId="200C3168" w14:textId="40314003" w:rsidR="003F26E4" w:rsidRDefault="00DB297B" w:rsidP="00AD2A48">
      <w:pPr>
        <w:spacing w:after="120"/>
        <w:jc w:val="both"/>
      </w:pPr>
      <w:r>
        <w:t xml:space="preserve">Based on the evidence presented (Claire et al. 2020), </w:t>
      </w:r>
      <w:r w:rsidR="000E3BEC">
        <w:t>NRT</w:t>
      </w:r>
      <w:r>
        <w:t xml:space="preserve"> was shown to provide a statistically significant improvement in smoking cessation rates </w:t>
      </w:r>
      <w:r w:rsidR="009E254D">
        <w:t>(</w:t>
      </w:r>
      <w:r w:rsidR="009E254D" w:rsidRPr="009E254D">
        <w:t>self-reported abstinence from smoking at the latest time point in pregnancy</w:t>
      </w:r>
      <w:r w:rsidR="009E254D">
        <w:t xml:space="preserve">; </w:t>
      </w:r>
      <w:r w:rsidR="009E254D" w:rsidRPr="009E254D">
        <w:t>biochemically validated where available)</w:t>
      </w:r>
      <w:r>
        <w:t xml:space="preserve"> compared with placebo</w:t>
      </w:r>
      <w:r w:rsidR="003F26E4">
        <w:t>/control</w:t>
      </w:r>
      <w:r>
        <w:t xml:space="preserve">, noting the </w:t>
      </w:r>
      <w:r w:rsidR="003B5EFF">
        <w:t>results were statistically significant in the long-acting NRT subgroup but not the fast-acting NRT subgroup</w:t>
      </w:r>
      <w:r w:rsidR="002B3167">
        <w:t xml:space="preserve"> which had fewer studies and participants included in the analysis</w:t>
      </w:r>
      <w:r w:rsidR="003B5EFF">
        <w:t>.</w:t>
      </w:r>
      <w:r w:rsidR="0039052A" w:rsidRPr="0039052A">
        <w:t xml:space="preserve"> </w:t>
      </w:r>
      <w:r w:rsidR="0039052A">
        <w:t xml:space="preserve">In terms of safety, </w:t>
      </w:r>
      <w:r w:rsidR="0039052A" w:rsidRPr="0039052A">
        <w:t>there were no statistically significant differences in rates of preterm births, neonatal intensive care unit admissions, neonatal deaths, congenital abnormalities</w:t>
      </w:r>
      <w:r w:rsidR="0039052A">
        <w:t xml:space="preserve">, </w:t>
      </w:r>
      <w:r w:rsidR="0039052A" w:rsidRPr="0039052A">
        <w:t>caesarean birth</w:t>
      </w:r>
      <w:r w:rsidR="0039052A">
        <w:t xml:space="preserve">, mean birthweight and </w:t>
      </w:r>
      <w:r w:rsidR="0039052A" w:rsidRPr="0039052A">
        <w:t>risk of miscarriage/spontaneous abortion between the two treatment arms.</w:t>
      </w:r>
    </w:p>
    <w:p w14:paraId="36D2BFDE" w14:textId="528F6FC7" w:rsidR="00AA1D1D" w:rsidRDefault="001F4201" w:rsidP="00AD2A48">
      <w:pPr>
        <w:spacing w:after="120"/>
        <w:jc w:val="both"/>
      </w:pPr>
      <w:r>
        <w:t xml:space="preserve">For the comparison of bupropion versus placebo, </w:t>
      </w:r>
      <w:r w:rsidR="0052629A">
        <w:t xml:space="preserve">there were </w:t>
      </w:r>
      <w:r w:rsidR="0052629A" w:rsidRPr="0052629A">
        <w:t>no statistically significant difference in smoking cessation rates</w:t>
      </w:r>
      <w:r w:rsidR="00601EBA">
        <w:t>, mean birthweight, mean length of infants and systolic o</w:t>
      </w:r>
      <w:r w:rsidR="00AD2A48">
        <w:t>r</w:t>
      </w:r>
      <w:r w:rsidR="00601EBA">
        <w:t xml:space="preserve"> diastolic blood pressure at the end of pregnancy</w:t>
      </w:r>
      <w:r w:rsidR="0052629A" w:rsidRPr="0052629A">
        <w:t xml:space="preserve"> between the two treatment arms, noting the relatively small sample size</w:t>
      </w:r>
      <w:r w:rsidR="00656435">
        <w:t xml:space="preserve">. </w:t>
      </w:r>
      <w:r w:rsidR="00D2611B">
        <w:t>It was noted that</w:t>
      </w:r>
      <w:r w:rsidR="00D2611B" w:rsidRPr="00D2611B">
        <w:t xml:space="preserve"> women across all studies reported known adverse effects of bupropion (</w:t>
      </w:r>
      <w:r w:rsidR="00826C95" w:rsidRPr="00D2611B">
        <w:t>i.e.,</w:t>
      </w:r>
      <w:r w:rsidR="00D2611B" w:rsidRPr="00D2611B">
        <w:t xml:space="preserve"> vomiting, headache, difficulty sleeping).</w:t>
      </w:r>
    </w:p>
    <w:p w14:paraId="706A595C" w14:textId="77777777" w:rsidR="00483B74" w:rsidRPr="00483B74" w:rsidRDefault="00483B74" w:rsidP="00AD2A48">
      <w:pPr>
        <w:spacing w:after="120"/>
        <w:jc w:val="both"/>
        <w:rPr>
          <w:b/>
          <w:bCs/>
        </w:rPr>
      </w:pPr>
      <w:r w:rsidRPr="00483B74">
        <w:rPr>
          <w:b/>
          <w:bCs/>
        </w:rPr>
        <w:t>Adolescents</w:t>
      </w:r>
    </w:p>
    <w:p w14:paraId="25409FFC" w14:textId="12AE0A07" w:rsidR="00517B21" w:rsidRDefault="00FD6C22" w:rsidP="00AD2A48">
      <w:pPr>
        <w:spacing w:after="120"/>
        <w:jc w:val="both"/>
      </w:pPr>
      <w:r>
        <w:t>S</w:t>
      </w:r>
      <w:r w:rsidR="00517B21" w:rsidRPr="00517B21">
        <w:t xml:space="preserve">tudies which assessed the use of pharmacotherapy for smoking cessation in adolescents </w:t>
      </w:r>
      <w:r>
        <w:t>may</w:t>
      </w:r>
      <w:r w:rsidR="00517B21" w:rsidRPr="00517B21">
        <w:t xml:space="preserve"> be underpowered given the small number of individuals in both the intervention </w:t>
      </w:r>
      <w:r w:rsidR="00826C95" w:rsidRPr="00517B21">
        <w:t>and</w:t>
      </w:r>
      <w:r w:rsidR="00517B21" w:rsidRPr="00517B21">
        <w:t xml:space="preserve"> control groups who achieved smoking cessation at any point during follow-up. As such, the results from these studies should be interpreted with caution.</w:t>
      </w:r>
    </w:p>
    <w:p w14:paraId="7EDF4DD7" w14:textId="0E4942CD" w:rsidR="00BA221C" w:rsidRDefault="00483B74" w:rsidP="00AD2A48">
      <w:pPr>
        <w:spacing w:after="120"/>
        <w:jc w:val="both"/>
      </w:pPr>
      <w:r>
        <w:t>Based on the evidence presented (</w:t>
      </w:r>
      <w:r w:rsidR="00B7779E">
        <w:t xml:space="preserve">Fanshawe et al. 2017, Myung </w:t>
      </w:r>
      <w:r w:rsidR="00901B2A">
        <w:t xml:space="preserve">et al. </w:t>
      </w:r>
      <w:r w:rsidR="00B7779E">
        <w:t xml:space="preserve">2019, Selph </w:t>
      </w:r>
      <w:r w:rsidR="00901B2A">
        <w:t xml:space="preserve">et al. </w:t>
      </w:r>
      <w:r w:rsidR="00B7779E">
        <w:t>2019</w:t>
      </w:r>
      <w:r>
        <w:t xml:space="preserve">), </w:t>
      </w:r>
      <w:r w:rsidR="00286B68">
        <w:t>there were no</w:t>
      </w:r>
      <w:r>
        <w:t xml:space="preserve"> statistically significant </w:t>
      </w:r>
      <w:r w:rsidR="00286B68">
        <w:t>differences</w:t>
      </w:r>
      <w:r>
        <w:t xml:space="preserve"> in smoking cessation rates</w:t>
      </w:r>
      <w:r w:rsidR="00BA221C">
        <w:t xml:space="preserve"> </w:t>
      </w:r>
      <w:r w:rsidR="00C116E0">
        <w:t>(short-term</w:t>
      </w:r>
      <w:r w:rsidR="00BA221C">
        <w:t xml:space="preserve"> and </w:t>
      </w:r>
      <w:r w:rsidR="00C116E0">
        <w:t>long-term)</w:t>
      </w:r>
      <w:r w:rsidR="00BA221C">
        <w:t xml:space="preserve"> between NRT </w:t>
      </w:r>
      <w:r w:rsidR="00D83B0B">
        <w:t xml:space="preserve">(patch, gum, nasal spray) </w:t>
      </w:r>
      <w:r w:rsidR="00BA221C">
        <w:t>and placebo. In terms of safety, the</w:t>
      </w:r>
      <w:r w:rsidR="00BA221C" w:rsidRPr="00BA221C">
        <w:t xml:space="preserve"> studies reported a </w:t>
      </w:r>
      <w:r w:rsidR="00751F63">
        <w:t>significantly higher incidence</w:t>
      </w:r>
      <w:r w:rsidR="00601B5B">
        <w:t xml:space="preserve"> of</w:t>
      </w:r>
      <w:r w:rsidR="00BA221C" w:rsidRPr="00BA221C">
        <w:t xml:space="preserve"> adverse events in the NRT arm compared to </w:t>
      </w:r>
      <w:r w:rsidR="00BA221C" w:rsidRPr="00BA221C">
        <w:lastRenderedPageBreak/>
        <w:t xml:space="preserve">placebo arm, specifically sore throat, hiccups, erythema, </w:t>
      </w:r>
      <w:r w:rsidR="009E7142" w:rsidRPr="00BA221C">
        <w:t>pruritus</w:t>
      </w:r>
      <w:r w:rsidR="00927A21">
        <w:t>, shoulder/arm pain,</w:t>
      </w:r>
      <w:r w:rsidR="00BA221C" w:rsidRPr="00BA221C">
        <w:t xml:space="preserve"> </w:t>
      </w:r>
      <w:r w:rsidR="00927A21" w:rsidRPr="00927A21">
        <w:t>headache, cough, abnormal dreams</w:t>
      </w:r>
      <w:r w:rsidR="00927A21">
        <w:t xml:space="preserve">, </w:t>
      </w:r>
      <w:r w:rsidR="00BA221C" w:rsidRPr="00BA221C">
        <w:t>and muscle pain.</w:t>
      </w:r>
    </w:p>
    <w:p w14:paraId="06481B72" w14:textId="7765E14F" w:rsidR="003B5B02" w:rsidRDefault="00562AEF" w:rsidP="00AD2A48">
      <w:pPr>
        <w:spacing w:after="120"/>
        <w:jc w:val="both"/>
      </w:pPr>
      <w:r>
        <w:t xml:space="preserve">For the comparison of bupropion versus placebo, </w:t>
      </w:r>
      <w:r w:rsidR="00E754C5" w:rsidRPr="00E754C5">
        <w:t xml:space="preserve">there were no statistically significant differences </w:t>
      </w:r>
      <w:r w:rsidR="004A77F0">
        <w:t>in long-term smoking cessation rates between the two treatment arms</w:t>
      </w:r>
      <w:r w:rsidR="00E07DBD">
        <w:t xml:space="preserve"> </w:t>
      </w:r>
      <w:r w:rsidR="003B5B02">
        <w:t xml:space="preserve">based on the one study (Muramoto </w:t>
      </w:r>
      <w:r w:rsidR="00DB296C">
        <w:t>et al.</w:t>
      </w:r>
      <w:r w:rsidR="003B5B02">
        <w:t xml:space="preserve"> 2007) identified by Fanshawe et al. (2017). </w:t>
      </w:r>
      <w:r w:rsidR="00C116E0">
        <w:t xml:space="preserve">However, </w:t>
      </w:r>
      <w:r w:rsidR="00C116E0" w:rsidRPr="00C116E0">
        <w:t xml:space="preserve">bupropion was shown to significantly improve smoking cessation rates compared with placebo </w:t>
      </w:r>
      <w:r w:rsidR="00896264">
        <w:t>based on the meta-analysis conducted by Myung et al. (2019),</w:t>
      </w:r>
      <w:r w:rsidR="00C7422F">
        <w:t xml:space="preserve"> noting that</w:t>
      </w:r>
      <w:r w:rsidR="003A6587">
        <w:t xml:space="preserve"> the</w:t>
      </w:r>
      <w:r w:rsidR="00C116E0" w:rsidRPr="00C116E0">
        <w:t xml:space="preserve"> two additional studies included </w:t>
      </w:r>
      <w:r w:rsidR="003A6587">
        <w:t xml:space="preserve">in the meta-analysis </w:t>
      </w:r>
      <w:r w:rsidR="00C116E0" w:rsidRPr="00C116E0">
        <w:t>measured</w:t>
      </w:r>
      <w:r w:rsidR="00C7422F">
        <w:t xml:space="preserve"> smoking cessation outcomes </w:t>
      </w:r>
      <w:r w:rsidR="00C116E0" w:rsidRPr="00C116E0">
        <w:t xml:space="preserve">at </w:t>
      </w:r>
      <w:r w:rsidR="00485E09">
        <w:t>three</w:t>
      </w:r>
      <w:r w:rsidR="00C116E0" w:rsidRPr="00C116E0">
        <w:t xml:space="preserve"> months</w:t>
      </w:r>
      <w:r w:rsidR="00414FAB">
        <w:t>, had</w:t>
      </w:r>
      <w:r w:rsidR="00C116E0" w:rsidRPr="00C116E0">
        <w:t xml:space="preserve"> a relatively small sample size and wide confidence intervals</w:t>
      </w:r>
      <w:r w:rsidR="003A6587">
        <w:t>.</w:t>
      </w:r>
      <w:r w:rsidR="00C116E0" w:rsidRPr="00C116E0">
        <w:t xml:space="preserve"> </w:t>
      </w:r>
      <w:r w:rsidR="003B5B02">
        <w:t xml:space="preserve">For safety, </w:t>
      </w:r>
      <w:r w:rsidR="00145BA3">
        <w:t>the</w:t>
      </w:r>
      <w:r w:rsidR="00445901">
        <w:t>re were no significant differences in</w:t>
      </w:r>
      <w:r w:rsidR="00145BA3">
        <w:t xml:space="preserve"> common adverse events </w:t>
      </w:r>
      <w:r w:rsidR="00A85F64">
        <w:t xml:space="preserve">between </w:t>
      </w:r>
      <w:r w:rsidR="00145BA3">
        <w:t xml:space="preserve">bupropion </w:t>
      </w:r>
      <w:r w:rsidR="00A85F64">
        <w:t>and placebo (</w:t>
      </w:r>
      <w:r w:rsidR="00826C95">
        <w:t>i.e.,</w:t>
      </w:r>
      <w:r w:rsidR="00A85F64">
        <w:t xml:space="preserve"> headache, irritability, insomnia), except for </w:t>
      </w:r>
      <w:r w:rsidR="00145BA3">
        <w:t>dream disturbances</w:t>
      </w:r>
      <w:r w:rsidR="00463B48">
        <w:t xml:space="preserve"> which was significantly higher in the bupropion </w:t>
      </w:r>
      <w:r w:rsidR="00826C95">
        <w:t>arm (</w:t>
      </w:r>
      <w:r w:rsidR="00A32ACE">
        <w:t>Fanshawe</w:t>
      </w:r>
      <w:r w:rsidR="00DB296C">
        <w:t xml:space="preserve"> et al</w:t>
      </w:r>
      <w:r w:rsidR="00145BA3">
        <w:t xml:space="preserve">. </w:t>
      </w:r>
      <w:r w:rsidR="00DB296C">
        <w:t>2017,</w:t>
      </w:r>
      <w:r w:rsidR="00DB296C" w:rsidRPr="00DB296C">
        <w:t xml:space="preserve"> </w:t>
      </w:r>
      <w:r w:rsidR="00DB296C">
        <w:t>Myung et al. 2019, Selph et al. 2019).</w:t>
      </w:r>
    </w:p>
    <w:p w14:paraId="20536EEE" w14:textId="07F0C957" w:rsidR="00483B74" w:rsidRDefault="00A32ACE" w:rsidP="00AD2A48">
      <w:pPr>
        <w:spacing w:after="120"/>
        <w:jc w:val="both"/>
      </w:pPr>
      <w:r>
        <w:t xml:space="preserve">For the comparison of </w:t>
      </w:r>
      <w:r w:rsidRPr="008750AD">
        <w:t xml:space="preserve">bupropion </w:t>
      </w:r>
      <w:r>
        <w:t>plus NRT patch versus</w:t>
      </w:r>
      <w:r w:rsidRPr="008750AD">
        <w:t xml:space="preserve"> placebo</w:t>
      </w:r>
      <w:r>
        <w:t xml:space="preserve"> plus NRT patch, </w:t>
      </w:r>
      <w:r w:rsidR="004A77F0" w:rsidRPr="004A77F0">
        <w:t xml:space="preserve">there were no statistically significant differences </w:t>
      </w:r>
      <w:r w:rsidR="004A77F0">
        <w:t>in long-term smoking cessation rates between the two treatment arms</w:t>
      </w:r>
      <w:r>
        <w:t xml:space="preserve"> based on the one study (</w:t>
      </w:r>
      <w:r w:rsidR="00DB296C">
        <w:t>Killen 2004</w:t>
      </w:r>
      <w:r>
        <w:t>) identified by Fanshawe et al. (2017).</w:t>
      </w:r>
      <w:r w:rsidR="00DB296C">
        <w:t xml:space="preserve"> For safety, Fanshawe et al. (2017) stated that none of the 47 self-reported adverse events in the study (nausea being the most common) were classified as severe</w:t>
      </w:r>
      <w:r w:rsidR="00336B9E">
        <w:t xml:space="preserve">; no statistical comparison </w:t>
      </w:r>
      <w:r w:rsidR="00602EA3">
        <w:t>was conducted by the authors of the study</w:t>
      </w:r>
      <w:r w:rsidR="00DB296C">
        <w:t>.</w:t>
      </w:r>
    </w:p>
    <w:p w14:paraId="3900668B" w14:textId="0785E5EF" w:rsidR="00AA1D1D" w:rsidRPr="00D2611B" w:rsidRDefault="00AA1D1D" w:rsidP="00816F95">
      <w:pPr>
        <w:rPr>
          <w:b/>
        </w:rPr>
        <w:sectPr w:rsidR="00AA1D1D" w:rsidRPr="00D2611B" w:rsidSect="006356D2">
          <w:pgSz w:w="11906" w:h="16838"/>
          <w:pgMar w:top="1440" w:right="1440" w:bottom="1440" w:left="1440" w:header="708" w:footer="708" w:gutter="0"/>
          <w:cols w:space="708"/>
          <w:titlePg/>
          <w:docGrid w:linePitch="360"/>
        </w:sectPr>
      </w:pPr>
    </w:p>
    <w:p w14:paraId="1EC684D4" w14:textId="77777777" w:rsidR="006950F0" w:rsidRDefault="006950F0">
      <w:pPr>
        <w:spacing w:line="276" w:lineRule="auto"/>
        <w:rPr>
          <w:rFonts w:eastAsiaTheme="majorEastAsia" w:cstheme="majorBidi"/>
          <w:b/>
          <w:bCs/>
          <w:color w:val="4F81BD" w:themeColor="accent1"/>
          <w:sz w:val="40"/>
          <w:szCs w:val="26"/>
        </w:rPr>
      </w:pPr>
      <w:bookmarkStart w:id="232" w:name="_Toc115254516"/>
      <w:bookmarkEnd w:id="26"/>
      <w:r>
        <w:br w:type="page"/>
      </w:r>
    </w:p>
    <w:p w14:paraId="4E5FC411" w14:textId="358086F7" w:rsidR="00923556" w:rsidRPr="00A41970" w:rsidRDefault="00923556" w:rsidP="00AD2A48">
      <w:pPr>
        <w:pStyle w:val="Heading1"/>
        <w:spacing w:before="0"/>
      </w:pPr>
      <w:r w:rsidRPr="00CE54F7">
        <w:lastRenderedPageBreak/>
        <w:t>References</w:t>
      </w:r>
      <w:bookmarkEnd w:id="232"/>
    </w:p>
    <w:p w14:paraId="14B38E5D" w14:textId="15A8CAA3" w:rsidR="0039468B" w:rsidRPr="004154B3" w:rsidRDefault="00930C4A" w:rsidP="00AD2A48">
      <w:pPr>
        <w:pStyle w:val="EndNoteBibliography"/>
        <w:widowControl w:val="0"/>
        <w:spacing w:after="0"/>
        <w:ind w:left="720" w:hanging="720"/>
        <w:rPr>
          <w:rFonts w:asciiTheme="minorHAnsi" w:hAnsiTheme="minorHAnsi" w:cstheme="minorHAnsi"/>
          <w:szCs w:val="24"/>
          <w:highlight w:val="black"/>
          <w:shd w:val="clear" w:color="auto" w:fill="C0C0C1"/>
        </w:rPr>
      </w:pPr>
      <w:r w:rsidRPr="00AD2A48">
        <w:rPr>
          <w:rFonts w:asciiTheme="minorHAnsi" w:hAnsiTheme="minorHAnsi" w:cstheme="minorHAnsi"/>
          <w:szCs w:val="24"/>
        </w:rPr>
        <w:fldChar w:fldCharType="begin"/>
      </w:r>
      <w:r w:rsidRPr="00AD2A48">
        <w:rPr>
          <w:rFonts w:asciiTheme="minorHAnsi" w:hAnsiTheme="minorHAnsi" w:cstheme="minorHAnsi"/>
          <w:szCs w:val="24"/>
        </w:rPr>
        <w:instrText xml:space="preserve"> ADDIN EN.REFLIST </w:instrText>
      </w:r>
      <w:r w:rsidRPr="00AD2A48">
        <w:rPr>
          <w:rFonts w:asciiTheme="minorHAnsi" w:hAnsiTheme="minorHAnsi" w:cstheme="minorHAnsi"/>
          <w:szCs w:val="24"/>
        </w:rPr>
        <w:fldChar w:fldCharType="separate"/>
      </w:r>
      <w:bookmarkStart w:id="233" w:name="_ENREF_1"/>
      <w:r w:rsidR="0039468B" w:rsidRPr="004154B3">
        <w:rPr>
          <w:rFonts w:asciiTheme="minorHAnsi" w:hAnsiTheme="minorHAnsi" w:cstheme="minorHAnsi"/>
          <w:szCs w:val="24"/>
          <w:highlight w:val="black"/>
          <w:shd w:val="clear" w:color="auto" w:fill="C0C0C1"/>
        </w:rPr>
        <w:t>1.</w:t>
      </w:r>
      <w:r w:rsidR="0039468B" w:rsidRPr="004154B3">
        <w:rPr>
          <w:rFonts w:asciiTheme="minorHAnsi" w:hAnsiTheme="minorHAnsi" w:cstheme="minorHAnsi"/>
          <w:szCs w:val="24"/>
          <w:highlight w:val="black"/>
          <w:shd w:val="clear" w:color="auto" w:fill="C0C0C1"/>
        </w:rPr>
        <w:tab/>
      </w:r>
      <w:bookmarkEnd w:id="233"/>
      <w:r w:rsidR="004154B3" w:rsidRPr="004154B3">
        <w:rPr>
          <w:rFonts w:asciiTheme="minorHAnsi" w:hAnsiTheme="minorHAnsi" w:cstheme="minorHAnsi"/>
          <w:color w:val="000000"/>
          <w:w w:val="55"/>
          <w:szCs w:val="24"/>
          <w:highlight w:val="black"/>
          <w:shd w:val="solid" w:color="000000" w:fill="000000"/>
          <w:fitText w:val="7780" w:id="-1402744320"/>
          <w14:textFill>
            <w14:solidFill>
              <w14:srgbClr w14:val="000000">
                <w14:alpha w14:val="100000"/>
              </w14:srgbClr>
            </w14:solidFill>
          </w14:textFill>
        </w:rPr>
        <w:t>||||||||||||||||||||||||||||||||||||||||||||||||||||||||||||||||||||||||||||||||||||||||||||||||||||||||||||||||||||||||||||||||</w:t>
      </w:r>
      <w:r w:rsidR="004154B3" w:rsidRPr="004154B3">
        <w:rPr>
          <w:rFonts w:asciiTheme="minorHAnsi" w:hAnsiTheme="minorHAnsi" w:cstheme="minorHAnsi"/>
          <w:szCs w:val="24"/>
          <w:highlight w:val="black"/>
          <w:shd w:val="clear" w:color="auto" w:fill="C0C0C1"/>
        </w:rPr>
        <w:t xml:space="preserve"> </w:t>
      </w:r>
      <w:r w:rsidR="004154B3" w:rsidRPr="004154B3">
        <w:rPr>
          <w:rFonts w:asciiTheme="minorHAnsi" w:hAnsiTheme="minorHAnsi" w:cstheme="minorHAnsi"/>
          <w:color w:val="000000"/>
          <w:spacing w:val="28"/>
          <w:szCs w:val="24"/>
          <w:highlight w:val="black"/>
          <w:shd w:val="solid" w:color="000000" w:fill="000000"/>
          <w:fitText w:val="250" w:id="-1402744319"/>
          <w14:textFill>
            <w14:solidFill>
              <w14:srgbClr w14:val="000000">
                <w14:alpha w14:val="100000"/>
              </w14:srgbClr>
            </w14:solidFill>
          </w14:textFill>
        </w:rPr>
        <w:t>|</w:t>
      </w:r>
      <w:r w:rsidR="004154B3" w:rsidRPr="004154B3">
        <w:rPr>
          <w:rFonts w:asciiTheme="minorHAnsi" w:hAnsiTheme="minorHAnsi" w:cstheme="minorHAnsi"/>
          <w:color w:val="000000"/>
          <w:szCs w:val="24"/>
          <w:highlight w:val="black"/>
          <w:shd w:val="solid" w:color="000000" w:fill="000000"/>
          <w:fitText w:val="250" w:id="-1402744319"/>
          <w14:textFill>
            <w14:solidFill>
              <w14:srgbClr w14:val="000000">
                <w14:alpha w14:val="100000"/>
              </w14:srgbClr>
            </w14:solidFill>
          </w14:textFill>
        </w:rPr>
        <w:t>|</w:t>
      </w:r>
      <w:r w:rsidR="004154B3" w:rsidRPr="004154B3">
        <w:rPr>
          <w:rFonts w:asciiTheme="minorHAnsi" w:hAnsiTheme="minorHAnsi" w:cstheme="minorHAnsi"/>
          <w:szCs w:val="24"/>
          <w:highlight w:val="black"/>
          <w:shd w:val="clear" w:color="auto" w:fill="C0C0C1"/>
        </w:rPr>
        <w:t xml:space="preserve"> </w:t>
      </w:r>
      <w:r w:rsidR="004154B3" w:rsidRPr="004154B3">
        <w:rPr>
          <w:rFonts w:asciiTheme="minorHAnsi" w:hAnsiTheme="minorHAnsi" w:cstheme="minorHAnsi"/>
          <w:color w:val="000000"/>
          <w:w w:val="55"/>
          <w:szCs w:val="24"/>
          <w:highlight w:val="black"/>
          <w:shd w:val="solid" w:color="000000" w:fill="000000"/>
          <w:fitText w:val="5980" w:id="-1402744064"/>
          <w14:textFill>
            <w14:solidFill>
              <w14:srgbClr w14:val="000000">
                <w14:alpha w14:val="100000"/>
              </w14:srgbClr>
            </w14:solidFill>
          </w14:textFill>
        </w:rPr>
        <w:t>|||||||||||||||||||||||||||||||||||||||||||||||||||||||||||||||||||||||||||||||||||||||||||||||||</w:t>
      </w:r>
      <w:r w:rsidR="004154B3" w:rsidRPr="004154B3">
        <w:rPr>
          <w:rFonts w:asciiTheme="minorHAnsi" w:hAnsiTheme="minorHAnsi" w:cstheme="minorHAnsi"/>
          <w:color w:val="000000"/>
          <w:spacing w:val="31"/>
          <w:w w:val="55"/>
          <w:szCs w:val="24"/>
          <w:highlight w:val="black"/>
          <w:shd w:val="solid" w:color="000000" w:fill="000000"/>
          <w:fitText w:val="5980" w:id="-1402744064"/>
          <w14:textFill>
            <w14:solidFill>
              <w14:srgbClr w14:val="000000">
                <w14:alpha w14:val="100000"/>
              </w14:srgbClr>
            </w14:solidFill>
          </w14:textFill>
        </w:rPr>
        <w:t>|</w:t>
      </w:r>
    </w:p>
    <w:p w14:paraId="7105AA4C" w14:textId="42C735F1" w:rsidR="0039468B" w:rsidRPr="00AD2A48" w:rsidRDefault="0039468B" w:rsidP="00AD2A48">
      <w:pPr>
        <w:pStyle w:val="EndNoteBibliography"/>
        <w:spacing w:after="0"/>
        <w:ind w:left="720" w:hanging="720"/>
        <w:rPr>
          <w:rFonts w:asciiTheme="minorHAnsi" w:hAnsiTheme="minorHAnsi" w:cstheme="minorHAnsi"/>
          <w:szCs w:val="24"/>
          <w:shd w:val="clear" w:color="auto" w:fill="C0C0C1"/>
        </w:rPr>
      </w:pPr>
      <w:bookmarkStart w:id="234" w:name="_ENREF_2"/>
      <w:r w:rsidRPr="004154B3">
        <w:rPr>
          <w:rFonts w:asciiTheme="minorHAnsi" w:hAnsiTheme="minorHAnsi" w:cstheme="minorHAnsi"/>
          <w:szCs w:val="24"/>
          <w:highlight w:val="black"/>
          <w:shd w:val="clear" w:color="auto" w:fill="C0C0C1"/>
        </w:rPr>
        <w:t>2.</w:t>
      </w:r>
      <w:r w:rsidRPr="004154B3">
        <w:rPr>
          <w:rFonts w:asciiTheme="minorHAnsi" w:hAnsiTheme="minorHAnsi" w:cstheme="minorHAnsi"/>
          <w:szCs w:val="24"/>
          <w:highlight w:val="black"/>
          <w:shd w:val="clear" w:color="auto" w:fill="C0C0C1"/>
        </w:rPr>
        <w:tab/>
      </w:r>
      <w:bookmarkEnd w:id="234"/>
      <w:r w:rsidR="004154B3" w:rsidRPr="004154B3">
        <w:rPr>
          <w:rFonts w:asciiTheme="minorHAnsi" w:hAnsiTheme="minorHAnsi" w:cstheme="minorHAnsi"/>
          <w:color w:val="000000"/>
          <w:spacing w:val="1"/>
          <w:w w:val="54"/>
          <w:szCs w:val="24"/>
          <w:highlight w:val="black"/>
          <w:shd w:val="solid" w:color="000000" w:fill="000000"/>
          <w:fitText w:val="7630" w:id="-1402744063"/>
          <w14:textFill>
            <w14:solidFill>
              <w14:srgbClr w14:val="000000">
                <w14:alpha w14:val="100000"/>
              </w14:srgbClr>
            </w14:solidFill>
          </w14:textFill>
        </w:rPr>
        <w:t>|||||||||||||||||||||||||||||||||||||||||||||||||||||||||||||||||||||||||||||||||||||||||||||||||||||||||||||||||||||||||||||</w:t>
      </w:r>
      <w:r w:rsidR="004154B3" w:rsidRPr="004154B3">
        <w:rPr>
          <w:rFonts w:asciiTheme="minorHAnsi" w:hAnsiTheme="minorHAnsi" w:cstheme="minorHAnsi"/>
          <w:color w:val="000000"/>
          <w:spacing w:val="-10"/>
          <w:w w:val="54"/>
          <w:szCs w:val="24"/>
          <w:highlight w:val="black"/>
          <w:shd w:val="solid" w:color="000000" w:fill="000000"/>
          <w:fitText w:val="7630" w:id="-1402744063"/>
          <w14:textFill>
            <w14:solidFill>
              <w14:srgbClr w14:val="000000">
                <w14:alpha w14:val="100000"/>
              </w14:srgbClr>
            </w14:solidFill>
          </w14:textFill>
        </w:rPr>
        <w:t>|</w:t>
      </w:r>
      <w:r w:rsidR="004154B3" w:rsidRPr="004154B3">
        <w:rPr>
          <w:rFonts w:asciiTheme="minorHAnsi" w:hAnsiTheme="minorHAnsi" w:cstheme="minorHAnsi"/>
          <w:szCs w:val="24"/>
          <w:highlight w:val="black"/>
          <w:shd w:val="clear" w:color="auto" w:fill="C0C0C1"/>
        </w:rPr>
        <w:t xml:space="preserve"> </w:t>
      </w:r>
      <w:r w:rsidR="004154B3" w:rsidRPr="004154B3">
        <w:rPr>
          <w:rFonts w:asciiTheme="minorHAnsi" w:hAnsiTheme="minorHAnsi" w:cstheme="minorHAnsi"/>
          <w:color w:val="000000"/>
          <w:w w:val="55"/>
          <w:szCs w:val="24"/>
          <w:highlight w:val="black"/>
          <w:shd w:val="solid" w:color="000000" w:fill="000000"/>
          <w:fitText w:val="6840" w:id="-1402744062"/>
          <w14:textFill>
            <w14:solidFill>
              <w14:srgbClr w14:val="000000">
                <w14:alpha w14:val="100000"/>
              </w14:srgbClr>
            </w14:solidFill>
          </w14:textFill>
        </w:rPr>
        <w:t>|||||||||||||||||||||||||||||||||||||||||||||||||||||||||||||||||||||||||||||||||||||||||||||||||||||||||||||||</w:t>
      </w:r>
      <w:r w:rsidR="004154B3" w:rsidRPr="004154B3">
        <w:rPr>
          <w:rFonts w:asciiTheme="minorHAnsi" w:hAnsiTheme="minorHAnsi" w:cstheme="minorHAnsi"/>
          <w:color w:val="000000"/>
          <w:spacing w:val="41"/>
          <w:w w:val="55"/>
          <w:szCs w:val="24"/>
          <w:highlight w:val="black"/>
          <w:shd w:val="solid" w:color="000000" w:fill="000000"/>
          <w:fitText w:val="6840" w:id="-1402744062"/>
          <w14:textFill>
            <w14:solidFill>
              <w14:srgbClr w14:val="000000">
                <w14:alpha w14:val="100000"/>
              </w14:srgbClr>
            </w14:solidFill>
          </w14:textFill>
        </w:rPr>
        <w:t>|</w:t>
      </w:r>
      <w:r w:rsidR="004154B3" w:rsidRPr="004154B3">
        <w:rPr>
          <w:rFonts w:asciiTheme="minorHAnsi" w:hAnsiTheme="minorHAnsi" w:cstheme="minorHAnsi"/>
          <w:szCs w:val="24"/>
          <w:highlight w:val="black"/>
          <w:shd w:val="clear" w:color="auto" w:fill="C0C0C1"/>
        </w:rPr>
        <w:t xml:space="preserve"> </w:t>
      </w:r>
      <w:r w:rsidR="004154B3" w:rsidRPr="004154B3">
        <w:rPr>
          <w:rFonts w:asciiTheme="minorHAnsi" w:hAnsiTheme="minorHAnsi" w:cstheme="minorHAnsi"/>
          <w:color w:val="000000"/>
          <w:w w:val="63"/>
          <w:szCs w:val="24"/>
          <w:highlight w:val="black"/>
          <w:shd w:val="solid" w:color="000000" w:fill="000000"/>
          <w:fitText w:val="420" w:id="-1402744060"/>
          <w14:textFill>
            <w14:solidFill>
              <w14:srgbClr w14:val="000000">
                <w14:alpha w14:val="100000"/>
              </w14:srgbClr>
            </w14:solidFill>
          </w14:textFill>
        </w:rPr>
        <w:t>||||||</w:t>
      </w:r>
    </w:p>
    <w:p w14:paraId="52585DA0"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35" w:name="_ENREF_3"/>
      <w:r w:rsidRPr="00AD2A48">
        <w:rPr>
          <w:rFonts w:asciiTheme="minorHAnsi" w:hAnsiTheme="minorHAnsi" w:cstheme="minorHAnsi"/>
          <w:szCs w:val="24"/>
        </w:rPr>
        <w:t>3.</w:t>
      </w:r>
      <w:r w:rsidRPr="00AD2A48">
        <w:rPr>
          <w:rFonts w:asciiTheme="minorHAnsi" w:hAnsiTheme="minorHAnsi" w:cstheme="minorHAnsi"/>
          <w:szCs w:val="24"/>
        </w:rPr>
        <w:tab/>
        <w:t xml:space="preserve">Howes S, Hartmann‐Boyce J, Livingstone‐Banks J, Hong B, Lindson N. Antidepressants for smoking cessation. </w:t>
      </w:r>
      <w:r w:rsidRPr="00AD2A48">
        <w:rPr>
          <w:rFonts w:asciiTheme="minorHAnsi" w:hAnsiTheme="minorHAnsi" w:cstheme="minorHAnsi"/>
          <w:i/>
          <w:szCs w:val="24"/>
        </w:rPr>
        <w:t>Cochrane Database of Systematic Reviews</w:t>
      </w:r>
      <w:r w:rsidRPr="00AD2A48">
        <w:rPr>
          <w:rFonts w:asciiTheme="minorHAnsi" w:hAnsiTheme="minorHAnsi" w:cstheme="minorHAnsi"/>
          <w:szCs w:val="24"/>
        </w:rPr>
        <w:t xml:space="preserve"> 2020; (4).</w:t>
      </w:r>
      <w:bookmarkEnd w:id="235"/>
    </w:p>
    <w:p w14:paraId="35708CD0"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36" w:name="_ENREF_4"/>
      <w:r w:rsidRPr="00AD2A48">
        <w:rPr>
          <w:rFonts w:asciiTheme="minorHAnsi" w:hAnsiTheme="minorHAnsi" w:cstheme="minorHAnsi"/>
          <w:szCs w:val="24"/>
        </w:rPr>
        <w:t>4.</w:t>
      </w:r>
      <w:r w:rsidRPr="00AD2A48">
        <w:rPr>
          <w:rFonts w:asciiTheme="minorHAnsi" w:hAnsiTheme="minorHAnsi" w:cstheme="minorHAnsi"/>
          <w:szCs w:val="24"/>
        </w:rPr>
        <w:tab/>
        <w:t xml:space="preserve">Benowitz NL, Pipe A, West R, et al. Cardiovascular Safety of Varenicline, Bupropion, and Nicotine Patch in Smokers: a Randomized Clinical Trial. </w:t>
      </w:r>
      <w:r w:rsidRPr="00AD2A48">
        <w:rPr>
          <w:rFonts w:asciiTheme="minorHAnsi" w:hAnsiTheme="minorHAnsi" w:cstheme="minorHAnsi"/>
          <w:i/>
          <w:szCs w:val="24"/>
        </w:rPr>
        <w:t>JAMA internal medicine</w:t>
      </w:r>
      <w:r w:rsidRPr="00AD2A48">
        <w:rPr>
          <w:rFonts w:asciiTheme="minorHAnsi" w:hAnsiTheme="minorHAnsi" w:cstheme="minorHAnsi"/>
          <w:szCs w:val="24"/>
        </w:rPr>
        <w:t xml:space="preserve"> 2018; </w:t>
      </w:r>
      <w:r w:rsidRPr="00AD2A48">
        <w:rPr>
          <w:rFonts w:asciiTheme="minorHAnsi" w:hAnsiTheme="minorHAnsi" w:cstheme="minorHAnsi"/>
          <w:b/>
          <w:szCs w:val="24"/>
        </w:rPr>
        <w:t>178</w:t>
      </w:r>
      <w:r w:rsidRPr="00AD2A48">
        <w:rPr>
          <w:rFonts w:asciiTheme="minorHAnsi" w:hAnsiTheme="minorHAnsi" w:cstheme="minorHAnsi"/>
          <w:szCs w:val="24"/>
        </w:rPr>
        <w:t>(5): 622‐31.</w:t>
      </w:r>
      <w:bookmarkEnd w:id="236"/>
    </w:p>
    <w:p w14:paraId="5994CD13"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37" w:name="_ENREF_5"/>
      <w:r w:rsidRPr="00AD2A48">
        <w:rPr>
          <w:rFonts w:asciiTheme="minorHAnsi" w:hAnsiTheme="minorHAnsi" w:cstheme="minorHAnsi"/>
          <w:szCs w:val="24"/>
        </w:rPr>
        <w:t>5.</w:t>
      </w:r>
      <w:r w:rsidRPr="00AD2A48">
        <w:rPr>
          <w:rFonts w:asciiTheme="minorHAnsi" w:hAnsiTheme="minorHAnsi" w:cstheme="minorHAnsi"/>
          <w:szCs w:val="24"/>
        </w:rPr>
        <w:tab/>
        <w:t xml:space="preserve">Gorecka D, Bednarek M, Nowinski A, Puscinska E, Goljan-Geremek A, Zielinski J. [Effect of treatment for nicotine dependence in patients with COPD]. </w:t>
      </w:r>
      <w:r w:rsidRPr="00AD2A48">
        <w:rPr>
          <w:rFonts w:asciiTheme="minorHAnsi" w:hAnsiTheme="minorHAnsi" w:cstheme="minorHAnsi"/>
          <w:i/>
          <w:szCs w:val="24"/>
        </w:rPr>
        <w:t>Pneumonol Alergol Pol</w:t>
      </w:r>
      <w:r w:rsidRPr="00AD2A48">
        <w:rPr>
          <w:rFonts w:asciiTheme="minorHAnsi" w:hAnsiTheme="minorHAnsi" w:cstheme="minorHAnsi"/>
          <w:szCs w:val="24"/>
        </w:rPr>
        <w:t xml:space="preserve"> 2003; </w:t>
      </w:r>
      <w:r w:rsidRPr="00AD2A48">
        <w:rPr>
          <w:rFonts w:asciiTheme="minorHAnsi" w:hAnsiTheme="minorHAnsi" w:cstheme="minorHAnsi"/>
          <w:b/>
          <w:szCs w:val="24"/>
        </w:rPr>
        <w:t>71</w:t>
      </w:r>
      <w:r w:rsidRPr="00AD2A48">
        <w:rPr>
          <w:rFonts w:asciiTheme="minorHAnsi" w:hAnsiTheme="minorHAnsi" w:cstheme="minorHAnsi"/>
          <w:szCs w:val="24"/>
        </w:rPr>
        <w:t>(9-10): 411-7.</w:t>
      </w:r>
      <w:bookmarkEnd w:id="237"/>
    </w:p>
    <w:p w14:paraId="523236A7"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38" w:name="_ENREF_6"/>
      <w:r w:rsidRPr="00AD2A48">
        <w:rPr>
          <w:rFonts w:asciiTheme="minorHAnsi" w:hAnsiTheme="minorHAnsi" w:cstheme="minorHAnsi"/>
          <w:szCs w:val="24"/>
        </w:rPr>
        <w:t>6.</w:t>
      </w:r>
      <w:r w:rsidRPr="00AD2A48">
        <w:rPr>
          <w:rFonts w:asciiTheme="minorHAnsi" w:hAnsiTheme="minorHAnsi" w:cstheme="minorHAnsi"/>
          <w:szCs w:val="24"/>
        </w:rPr>
        <w:tab/>
        <w:t xml:space="preserve">Uyar M, Filiz A, Bayram N, et al. A randomized trial of smoking cessation. Medication versus motivation. </w:t>
      </w:r>
      <w:r w:rsidRPr="00AD2A48">
        <w:rPr>
          <w:rFonts w:asciiTheme="minorHAnsi" w:hAnsiTheme="minorHAnsi" w:cstheme="minorHAnsi"/>
          <w:i/>
          <w:szCs w:val="24"/>
        </w:rPr>
        <w:t>Saudi Med J</w:t>
      </w:r>
      <w:r w:rsidRPr="00AD2A48">
        <w:rPr>
          <w:rFonts w:asciiTheme="minorHAnsi" w:hAnsiTheme="minorHAnsi" w:cstheme="minorHAnsi"/>
          <w:szCs w:val="24"/>
        </w:rPr>
        <w:t xml:space="preserve"> 2007; </w:t>
      </w:r>
      <w:r w:rsidRPr="00AD2A48">
        <w:rPr>
          <w:rFonts w:asciiTheme="minorHAnsi" w:hAnsiTheme="minorHAnsi" w:cstheme="minorHAnsi"/>
          <w:b/>
          <w:szCs w:val="24"/>
        </w:rPr>
        <w:t>28</w:t>
      </w:r>
      <w:r w:rsidRPr="00AD2A48">
        <w:rPr>
          <w:rFonts w:asciiTheme="minorHAnsi" w:hAnsiTheme="minorHAnsi" w:cstheme="minorHAnsi"/>
          <w:szCs w:val="24"/>
        </w:rPr>
        <w:t>(6): 922-6.</w:t>
      </w:r>
      <w:bookmarkEnd w:id="238"/>
    </w:p>
    <w:p w14:paraId="7D5BA829"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39" w:name="_ENREF_7"/>
      <w:r w:rsidRPr="00AD2A48">
        <w:rPr>
          <w:rFonts w:asciiTheme="minorHAnsi" w:hAnsiTheme="minorHAnsi" w:cstheme="minorHAnsi"/>
          <w:szCs w:val="24"/>
        </w:rPr>
        <w:t>7.</w:t>
      </w:r>
      <w:r w:rsidRPr="00AD2A48">
        <w:rPr>
          <w:rFonts w:asciiTheme="minorHAnsi" w:hAnsiTheme="minorHAnsi" w:cstheme="minorHAnsi"/>
          <w:szCs w:val="24"/>
        </w:rPr>
        <w:tab/>
        <w:t xml:space="preserve">Piper ME, Smith SS, Schlam TR, et al. A randomized placebo-controlled clinical trial of 5 smoking cessation pharmacotherapies. </w:t>
      </w:r>
      <w:r w:rsidRPr="00AD2A48">
        <w:rPr>
          <w:rFonts w:asciiTheme="minorHAnsi" w:hAnsiTheme="minorHAnsi" w:cstheme="minorHAnsi"/>
          <w:i/>
          <w:szCs w:val="24"/>
        </w:rPr>
        <w:t>Arch Gen Psychiatry</w:t>
      </w:r>
      <w:r w:rsidRPr="00AD2A48">
        <w:rPr>
          <w:rFonts w:asciiTheme="minorHAnsi" w:hAnsiTheme="minorHAnsi" w:cstheme="minorHAnsi"/>
          <w:szCs w:val="24"/>
        </w:rPr>
        <w:t xml:space="preserve"> 2009; </w:t>
      </w:r>
      <w:r w:rsidRPr="00AD2A48">
        <w:rPr>
          <w:rFonts w:asciiTheme="minorHAnsi" w:hAnsiTheme="minorHAnsi" w:cstheme="minorHAnsi"/>
          <w:b/>
          <w:szCs w:val="24"/>
        </w:rPr>
        <w:t>66</w:t>
      </w:r>
      <w:r w:rsidRPr="00AD2A48">
        <w:rPr>
          <w:rFonts w:asciiTheme="minorHAnsi" w:hAnsiTheme="minorHAnsi" w:cstheme="minorHAnsi"/>
          <w:szCs w:val="24"/>
        </w:rPr>
        <w:t>(11): 1253-62.</w:t>
      </w:r>
      <w:bookmarkEnd w:id="239"/>
    </w:p>
    <w:p w14:paraId="49680238"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0" w:name="_ENREF_8"/>
      <w:r w:rsidRPr="00AD2A48">
        <w:rPr>
          <w:rFonts w:asciiTheme="minorHAnsi" w:hAnsiTheme="minorHAnsi" w:cstheme="minorHAnsi"/>
          <w:szCs w:val="24"/>
        </w:rPr>
        <w:t>8.</w:t>
      </w:r>
      <w:r w:rsidRPr="00AD2A48">
        <w:rPr>
          <w:rFonts w:asciiTheme="minorHAnsi" w:hAnsiTheme="minorHAnsi" w:cstheme="minorHAnsi"/>
          <w:szCs w:val="24"/>
        </w:rPr>
        <w:tab/>
        <w:t xml:space="preserve">Gonzales D, Rennard SI, Nides M, et al. Varenicline, an alpha4beta2 nicotinic acetylcholine receptor partial agonist, vs sustained-release bupropion and placebo for smoking cessation: a randomized controlled trial. </w:t>
      </w:r>
      <w:r w:rsidRPr="00AD2A48">
        <w:rPr>
          <w:rFonts w:asciiTheme="minorHAnsi" w:hAnsiTheme="minorHAnsi" w:cstheme="minorHAnsi"/>
          <w:i/>
          <w:szCs w:val="24"/>
        </w:rPr>
        <w:t>JAMA</w:t>
      </w:r>
      <w:r w:rsidRPr="00AD2A48">
        <w:rPr>
          <w:rFonts w:asciiTheme="minorHAnsi" w:hAnsiTheme="minorHAnsi" w:cstheme="minorHAnsi"/>
          <w:szCs w:val="24"/>
        </w:rPr>
        <w:t xml:space="preserve"> 2006; </w:t>
      </w:r>
      <w:r w:rsidRPr="00AD2A48">
        <w:rPr>
          <w:rFonts w:asciiTheme="minorHAnsi" w:hAnsiTheme="minorHAnsi" w:cstheme="minorHAnsi"/>
          <w:b/>
          <w:szCs w:val="24"/>
        </w:rPr>
        <w:t>296</w:t>
      </w:r>
      <w:r w:rsidRPr="00AD2A48">
        <w:rPr>
          <w:rFonts w:asciiTheme="minorHAnsi" w:hAnsiTheme="minorHAnsi" w:cstheme="minorHAnsi"/>
          <w:szCs w:val="24"/>
        </w:rPr>
        <w:t>(1): 47-55.</w:t>
      </w:r>
      <w:bookmarkEnd w:id="240"/>
    </w:p>
    <w:p w14:paraId="5193D6F6"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1" w:name="_ENREF_9"/>
      <w:r w:rsidRPr="00AD2A48">
        <w:rPr>
          <w:rFonts w:asciiTheme="minorHAnsi" w:hAnsiTheme="minorHAnsi" w:cstheme="minorHAnsi"/>
          <w:szCs w:val="24"/>
        </w:rPr>
        <w:t>9.</w:t>
      </w:r>
      <w:r w:rsidRPr="00AD2A48">
        <w:rPr>
          <w:rFonts w:asciiTheme="minorHAnsi" w:hAnsiTheme="minorHAnsi" w:cstheme="minorHAnsi"/>
          <w:szCs w:val="24"/>
        </w:rPr>
        <w:tab/>
        <w:t xml:space="preserve">Jorenby DE, Hays JT, Rigotti NA, et al. Efficacy of varenicline, an alpha4beta2 nicotinic acetylcholine receptor partial agonist, vs placebo or sustained-release bupropion for smoking cessation: a randomized controlled trial. </w:t>
      </w:r>
      <w:r w:rsidRPr="00AD2A48">
        <w:rPr>
          <w:rFonts w:asciiTheme="minorHAnsi" w:hAnsiTheme="minorHAnsi" w:cstheme="minorHAnsi"/>
          <w:i/>
          <w:szCs w:val="24"/>
        </w:rPr>
        <w:t>JAMA</w:t>
      </w:r>
      <w:r w:rsidRPr="00AD2A48">
        <w:rPr>
          <w:rFonts w:asciiTheme="minorHAnsi" w:hAnsiTheme="minorHAnsi" w:cstheme="minorHAnsi"/>
          <w:szCs w:val="24"/>
        </w:rPr>
        <w:t xml:space="preserve"> 2006; </w:t>
      </w:r>
      <w:r w:rsidRPr="00AD2A48">
        <w:rPr>
          <w:rFonts w:asciiTheme="minorHAnsi" w:hAnsiTheme="minorHAnsi" w:cstheme="minorHAnsi"/>
          <w:b/>
          <w:szCs w:val="24"/>
        </w:rPr>
        <w:t>296</w:t>
      </w:r>
      <w:r w:rsidRPr="00AD2A48">
        <w:rPr>
          <w:rFonts w:asciiTheme="minorHAnsi" w:hAnsiTheme="minorHAnsi" w:cstheme="minorHAnsi"/>
          <w:szCs w:val="24"/>
        </w:rPr>
        <w:t>(1): 56-63.</w:t>
      </w:r>
      <w:bookmarkEnd w:id="241"/>
    </w:p>
    <w:p w14:paraId="4EE07AAF"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2" w:name="_ENREF_10"/>
      <w:r w:rsidRPr="00AD2A48">
        <w:rPr>
          <w:rFonts w:asciiTheme="minorHAnsi" w:hAnsiTheme="minorHAnsi" w:cstheme="minorHAnsi"/>
          <w:szCs w:val="24"/>
        </w:rPr>
        <w:t>10.</w:t>
      </w:r>
      <w:r w:rsidRPr="00AD2A48">
        <w:rPr>
          <w:rFonts w:asciiTheme="minorHAnsi" w:hAnsiTheme="minorHAnsi" w:cstheme="minorHAnsi"/>
          <w:szCs w:val="24"/>
        </w:rPr>
        <w:tab/>
        <w:t xml:space="preserve">Oncken C, Gonzales D, Nides M, et al. Efficacy and safety of the novel selective nicotinic acetylcholine receptor partial agonist, varenicline, for smoking cessation. </w:t>
      </w:r>
      <w:r w:rsidRPr="00AD2A48">
        <w:rPr>
          <w:rFonts w:asciiTheme="minorHAnsi" w:hAnsiTheme="minorHAnsi" w:cstheme="minorHAnsi"/>
          <w:i/>
          <w:szCs w:val="24"/>
        </w:rPr>
        <w:t>Arch Intern Med</w:t>
      </w:r>
      <w:r w:rsidRPr="00AD2A48">
        <w:rPr>
          <w:rFonts w:asciiTheme="minorHAnsi" w:hAnsiTheme="minorHAnsi" w:cstheme="minorHAnsi"/>
          <w:szCs w:val="24"/>
        </w:rPr>
        <w:t xml:space="preserve"> 2006; </w:t>
      </w:r>
      <w:r w:rsidRPr="00AD2A48">
        <w:rPr>
          <w:rFonts w:asciiTheme="minorHAnsi" w:hAnsiTheme="minorHAnsi" w:cstheme="minorHAnsi"/>
          <w:b/>
          <w:szCs w:val="24"/>
        </w:rPr>
        <w:t>166</w:t>
      </w:r>
      <w:r w:rsidRPr="00AD2A48">
        <w:rPr>
          <w:rFonts w:asciiTheme="minorHAnsi" w:hAnsiTheme="minorHAnsi" w:cstheme="minorHAnsi"/>
          <w:szCs w:val="24"/>
        </w:rPr>
        <w:t>(15): 1571-7.</w:t>
      </w:r>
      <w:bookmarkEnd w:id="242"/>
    </w:p>
    <w:p w14:paraId="6CCED44E"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3" w:name="_ENREF_11"/>
      <w:r w:rsidRPr="00AD2A48">
        <w:rPr>
          <w:rFonts w:asciiTheme="minorHAnsi" w:hAnsiTheme="minorHAnsi" w:cstheme="minorHAnsi"/>
          <w:szCs w:val="24"/>
        </w:rPr>
        <w:t>11.</w:t>
      </w:r>
      <w:r w:rsidRPr="00AD2A48">
        <w:rPr>
          <w:rFonts w:asciiTheme="minorHAnsi" w:hAnsiTheme="minorHAnsi" w:cstheme="minorHAnsi"/>
          <w:szCs w:val="24"/>
        </w:rPr>
        <w:tab/>
        <w:t xml:space="preserve">Nakamura M, Oshima A, Fujimoto Y, Maruyama N, Ishibashi T, Reeves KR. Efficacy and tolerability of varenicline, an alpha4beta2 nicotinic acetylcholine receptor partial agonist, in a 12-week, randomized, placebo-controlled, dose-response study with 40-week follow-up for smoking cessation in Japanese smokers. </w:t>
      </w:r>
      <w:r w:rsidRPr="00AD2A48">
        <w:rPr>
          <w:rFonts w:asciiTheme="minorHAnsi" w:hAnsiTheme="minorHAnsi" w:cstheme="minorHAnsi"/>
          <w:i/>
          <w:szCs w:val="24"/>
        </w:rPr>
        <w:t>Clin Ther</w:t>
      </w:r>
      <w:r w:rsidRPr="00AD2A48">
        <w:rPr>
          <w:rFonts w:asciiTheme="minorHAnsi" w:hAnsiTheme="minorHAnsi" w:cstheme="minorHAnsi"/>
          <w:szCs w:val="24"/>
        </w:rPr>
        <w:t xml:space="preserve"> 2007; </w:t>
      </w:r>
      <w:r w:rsidRPr="00AD2A48">
        <w:rPr>
          <w:rFonts w:asciiTheme="minorHAnsi" w:hAnsiTheme="minorHAnsi" w:cstheme="minorHAnsi"/>
          <w:b/>
          <w:szCs w:val="24"/>
        </w:rPr>
        <w:t>29</w:t>
      </w:r>
      <w:r w:rsidRPr="00AD2A48">
        <w:rPr>
          <w:rFonts w:asciiTheme="minorHAnsi" w:hAnsiTheme="minorHAnsi" w:cstheme="minorHAnsi"/>
          <w:szCs w:val="24"/>
        </w:rPr>
        <w:t>(6): 1040-56.</w:t>
      </w:r>
      <w:bookmarkEnd w:id="243"/>
    </w:p>
    <w:p w14:paraId="3B2EF7D8"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4" w:name="_ENREF_12"/>
      <w:r w:rsidRPr="00AD2A48">
        <w:rPr>
          <w:rFonts w:asciiTheme="minorHAnsi" w:hAnsiTheme="minorHAnsi" w:cstheme="minorHAnsi"/>
          <w:szCs w:val="24"/>
        </w:rPr>
        <w:t>12.</w:t>
      </w:r>
      <w:r w:rsidRPr="00AD2A48">
        <w:rPr>
          <w:rFonts w:asciiTheme="minorHAnsi" w:hAnsiTheme="minorHAnsi" w:cstheme="minorHAnsi"/>
          <w:szCs w:val="24"/>
        </w:rPr>
        <w:tab/>
        <w:t xml:space="preserve">Tsai ST, Cho HJ, Cheng HS, et al. A randomized, placebo-controlled trial of varenicline, a selective alpha4beta2 nicotinic acetylcholine receptor partial agonist, as a new therapy for smoking cessation in Asian smokers. </w:t>
      </w:r>
      <w:r w:rsidRPr="00AD2A48">
        <w:rPr>
          <w:rFonts w:asciiTheme="minorHAnsi" w:hAnsiTheme="minorHAnsi" w:cstheme="minorHAnsi"/>
          <w:i/>
          <w:szCs w:val="24"/>
        </w:rPr>
        <w:t>Clin Ther</w:t>
      </w:r>
      <w:r w:rsidRPr="00AD2A48">
        <w:rPr>
          <w:rFonts w:asciiTheme="minorHAnsi" w:hAnsiTheme="minorHAnsi" w:cstheme="minorHAnsi"/>
          <w:szCs w:val="24"/>
        </w:rPr>
        <w:t xml:space="preserve"> 2007; </w:t>
      </w:r>
      <w:r w:rsidRPr="00AD2A48">
        <w:rPr>
          <w:rFonts w:asciiTheme="minorHAnsi" w:hAnsiTheme="minorHAnsi" w:cstheme="minorHAnsi"/>
          <w:b/>
          <w:szCs w:val="24"/>
        </w:rPr>
        <w:t>29</w:t>
      </w:r>
      <w:r w:rsidRPr="00AD2A48">
        <w:rPr>
          <w:rFonts w:asciiTheme="minorHAnsi" w:hAnsiTheme="minorHAnsi" w:cstheme="minorHAnsi"/>
          <w:szCs w:val="24"/>
        </w:rPr>
        <w:t>(6): 1027-39.</w:t>
      </w:r>
      <w:bookmarkEnd w:id="244"/>
    </w:p>
    <w:p w14:paraId="53C75F9E"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5" w:name="_ENREF_13"/>
      <w:r w:rsidRPr="00AD2A48">
        <w:rPr>
          <w:rFonts w:asciiTheme="minorHAnsi" w:hAnsiTheme="minorHAnsi" w:cstheme="minorHAnsi"/>
          <w:szCs w:val="24"/>
        </w:rPr>
        <w:t>13.</w:t>
      </w:r>
      <w:r w:rsidRPr="00AD2A48">
        <w:rPr>
          <w:rFonts w:asciiTheme="minorHAnsi" w:hAnsiTheme="minorHAnsi" w:cstheme="minorHAnsi"/>
          <w:szCs w:val="24"/>
        </w:rPr>
        <w:tab/>
        <w:t xml:space="preserve">Wang C, Xiao D, Chan KP, Pothirat C, Garza D, Davies S. Varenicline for smoking cessation: a placebo-controlled, randomized study. </w:t>
      </w:r>
      <w:r w:rsidRPr="00AD2A48">
        <w:rPr>
          <w:rFonts w:asciiTheme="minorHAnsi" w:hAnsiTheme="minorHAnsi" w:cstheme="minorHAnsi"/>
          <w:i/>
          <w:szCs w:val="24"/>
        </w:rPr>
        <w:t>Respirology</w:t>
      </w:r>
      <w:r w:rsidRPr="00AD2A48">
        <w:rPr>
          <w:rFonts w:asciiTheme="minorHAnsi" w:hAnsiTheme="minorHAnsi" w:cstheme="minorHAnsi"/>
          <w:szCs w:val="24"/>
        </w:rPr>
        <w:t xml:space="preserve"> 2009; </w:t>
      </w:r>
      <w:r w:rsidRPr="00AD2A48">
        <w:rPr>
          <w:rFonts w:asciiTheme="minorHAnsi" w:hAnsiTheme="minorHAnsi" w:cstheme="minorHAnsi"/>
          <w:b/>
          <w:szCs w:val="24"/>
        </w:rPr>
        <w:t>14</w:t>
      </w:r>
      <w:r w:rsidRPr="00AD2A48">
        <w:rPr>
          <w:rFonts w:asciiTheme="minorHAnsi" w:hAnsiTheme="minorHAnsi" w:cstheme="minorHAnsi"/>
          <w:szCs w:val="24"/>
        </w:rPr>
        <w:t>(3): 384-92.</w:t>
      </w:r>
      <w:bookmarkEnd w:id="245"/>
    </w:p>
    <w:p w14:paraId="1C659C50"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6" w:name="_ENREF_14"/>
      <w:r w:rsidRPr="00AD2A48">
        <w:rPr>
          <w:rFonts w:asciiTheme="minorHAnsi" w:hAnsiTheme="minorHAnsi" w:cstheme="minorHAnsi"/>
          <w:szCs w:val="24"/>
        </w:rPr>
        <w:t>14.</w:t>
      </w:r>
      <w:r w:rsidRPr="00AD2A48">
        <w:rPr>
          <w:rFonts w:asciiTheme="minorHAnsi" w:hAnsiTheme="minorHAnsi" w:cstheme="minorHAnsi"/>
          <w:szCs w:val="24"/>
        </w:rPr>
        <w:tab/>
        <w:t xml:space="preserve">Bolliger CT, Issa JS, Posadas-Valay R, et al. Effects of varenicline in adult smokers: a multinational, 24-week, randomized, double-blind, placebo-controlled study. </w:t>
      </w:r>
      <w:r w:rsidRPr="00AD2A48">
        <w:rPr>
          <w:rFonts w:asciiTheme="minorHAnsi" w:hAnsiTheme="minorHAnsi" w:cstheme="minorHAnsi"/>
          <w:i/>
          <w:szCs w:val="24"/>
        </w:rPr>
        <w:t>Clin Ther</w:t>
      </w:r>
      <w:r w:rsidRPr="00AD2A48">
        <w:rPr>
          <w:rFonts w:asciiTheme="minorHAnsi" w:hAnsiTheme="minorHAnsi" w:cstheme="minorHAnsi"/>
          <w:szCs w:val="24"/>
        </w:rPr>
        <w:t xml:space="preserve"> 2011; </w:t>
      </w:r>
      <w:r w:rsidRPr="00AD2A48">
        <w:rPr>
          <w:rFonts w:asciiTheme="minorHAnsi" w:hAnsiTheme="minorHAnsi" w:cstheme="minorHAnsi"/>
          <w:b/>
          <w:szCs w:val="24"/>
        </w:rPr>
        <w:t>33</w:t>
      </w:r>
      <w:r w:rsidRPr="00AD2A48">
        <w:rPr>
          <w:rFonts w:asciiTheme="minorHAnsi" w:hAnsiTheme="minorHAnsi" w:cstheme="minorHAnsi"/>
          <w:szCs w:val="24"/>
        </w:rPr>
        <w:t>(4): 465-77.</w:t>
      </w:r>
      <w:bookmarkEnd w:id="246"/>
    </w:p>
    <w:p w14:paraId="237B78ED"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7" w:name="_ENREF_15"/>
      <w:r w:rsidRPr="00AD2A48">
        <w:rPr>
          <w:rFonts w:asciiTheme="minorHAnsi" w:hAnsiTheme="minorHAnsi" w:cstheme="minorHAnsi"/>
          <w:szCs w:val="24"/>
        </w:rPr>
        <w:t>15.</w:t>
      </w:r>
      <w:r w:rsidRPr="00AD2A48">
        <w:rPr>
          <w:rFonts w:asciiTheme="minorHAnsi" w:hAnsiTheme="minorHAnsi" w:cstheme="minorHAnsi"/>
          <w:szCs w:val="24"/>
        </w:rPr>
        <w:tab/>
        <w:t xml:space="preserve">Rigotti NA, Pipe AL, Benowitz NL, Arteaga C, Garza D, Tonstad S. Efficacy and safety of varenicline for smoking cessation in patients with cardiovascular disease: a randomized trial. </w:t>
      </w:r>
      <w:r w:rsidRPr="00AD2A48">
        <w:rPr>
          <w:rFonts w:asciiTheme="minorHAnsi" w:hAnsiTheme="minorHAnsi" w:cstheme="minorHAnsi"/>
          <w:i/>
          <w:szCs w:val="24"/>
        </w:rPr>
        <w:t>Circulation</w:t>
      </w:r>
      <w:r w:rsidRPr="00AD2A48">
        <w:rPr>
          <w:rFonts w:asciiTheme="minorHAnsi" w:hAnsiTheme="minorHAnsi" w:cstheme="minorHAnsi"/>
          <w:szCs w:val="24"/>
        </w:rPr>
        <w:t xml:space="preserve"> 2010; </w:t>
      </w:r>
      <w:r w:rsidRPr="00AD2A48">
        <w:rPr>
          <w:rFonts w:asciiTheme="minorHAnsi" w:hAnsiTheme="minorHAnsi" w:cstheme="minorHAnsi"/>
          <w:b/>
          <w:szCs w:val="24"/>
        </w:rPr>
        <w:t>121</w:t>
      </w:r>
      <w:r w:rsidRPr="00AD2A48">
        <w:rPr>
          <w:rFonts w:asciiTheme="minorHAnsi" w:hAnsiTheme="minorHAnsi" w:cstheme="minorHAnsi"/>
          <w:szCs w:val="24"/>
        </w:rPr>
        <w:t>(2): 221-9.</w:t>
      </w:r>
      <w:bookmarkEnd w:id="247"/>
    </w:p>
    <w:p w14:paraId="2F48CCDA"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8" w:name="_ENREF_16"/>
      <w:r w:rsidRPr="00AD2A48">
        <w:rPr>
          <w:rFonts w:asciiTheme="minorHAnsi" w:hAnsiTheme="minorHAnsi" w:cstheme="minorHAnsi"/>
          <w:szCs w:val="24"/>
        </w:rPr>
        <w:t>16.</w:t>
      </w:r>
      <w:r w:rsidRPr="00AD2A48">
        <w:rPr>
          <w:rFonts w:asciiTheme="minorHAnsi" w:hAnsiTheme="minorHAnsi" w:cstheme="minorHAnsi"/>
          <w:szCs w:val="24"/>
        </w:rPr>
        <w:tab/>
        <w:t xml:space="preserve">Tashkin DP, Rennard S, Hays JT, Ma W, Lawrence D, Lee TC. Effects of varenicline on smoking cessation in patients with mild to moderate COPD: a randomized controlled trial. </w:t>
      </w:r>
      <w:r w:rsidRPr="00AD2A48">
        <w:rPr>
          <w:rFonts w:asciiTheme="minorHAnsi" w:hAnsiTheme="minorHAnsi" w:cstheme="minorHAnsi"/>
          <w:i/>
          <w:szCs w:val="24"/>
        </w:rPr>
        <w:t>Chest</w:t>
      </w:r>
      <w:r w:rsidRPr="00AD2A48">
        <w:rPr>
          <w:rFonts w:asciiTheme="minorHAnsi" w:hAnsiTheme="minorHAnsi" w:cstheme="minorHAnsi"/>
          <w:szCs w:val="24"/>
        </w:rPr>
        <w:t xml:space="preserve"> 2011; </w:t>
      </w:r>
      <w:r w:rsidRPr="00AD2A48">
        <w:rPr>
          <w:rFonts w:asciiTheme="minorHAnsi" w:hAnsiTheme="minorHAnsi" w:cstheme="minorHAnsi"/>
          <w:b/>
          <w:szCs w:val="24"/>
        </w:rPr>
        <w:t>139</w:t>
      </w:r>
      <w:r w:rsidRPr="00AD2A48">
        <w:rPr>
          <w:rFonts w:asciiTheme="minorHAnsi" w:hAnsiTheme="minorHAnsi" w:cstheme="minorHAnsi"/>
          <w:szCs w:val="24"/>
        </w:rPr>
        <w:t>(3): 591-9.</w:t>
      </w:r>
      <w:bookmarkEnd w:id="248"/>
    </w:p>
    <w:p w14:paraId="2A96DE7F" w14:textId="77777777" w:rsidR="0039468B" w:rsidRPr="00AD2A48" w:rsidRDefault="0039468B" w:rsidP="00AD2A48">
      <w:pPr>
        <w:pStyle w:val="EndNoteBibliography"/>
        <w:spacing w:after="0"/>
        <w:ind w:left="720" w:hanging="720"/>
        <w:rPr>
          <w:rFonts w:asciiTheme="minorHAnsi" w:hAnsiTheme="minorHAnsi" w:cstheme="minorHAnsi"/>
          <w:szCs w:val="24"/>
        </w:rPr>
      </w:pPr>
      <w:bookmarkStart w:id="249" w:name="_ENREF_17"/>
      <w:r w:rsidRPr="00AD2A48">
        <w:rPr>
          <w:rFonts w:asciiTheme="minorHAnsi" w:hAnsiTheme="minorHAnsi" w:cstheme="minorHAnsi"/>
          <w:szCs w:val="24"/>
        </w:rPr>
        <w:lastRenderedPageBreak/>
        <w:t>17.</w:t>
      </w:r>
      <w:r w:rsidRPr="00AD2A48">
        <w:rPr>
          <w:rFonts w:asciiTheme="minorHAnsi" w:hAnsiTheme="minorHAnsi" w:cstheme="minorHAnsi"/>
          <w:szCs w:val="24"/>
        </w:rPr>
        <w:tab/>
        <w:t xml:space="preserve">Rennard S, Hughes J, Cinciripini PM, et al. A randomized placebo-controlled trial of varenicline for smoking cessation allowing flexible quit dates. </w:t>
      </w:r>
      <w:r w:rsidRPr="00AD2A48">
        <w:rPr>
          <w:rFonts w:asciiTheme="minorHAnsi" w:hAnsiTheme="minorHAnsi" w:cstheme="minorHAnsi"/>
          <w:i/>
          <w:szCs w:val="24"/>
        </w:rPr>
        <w:t>Nicotine Tob Res</w:t>
      </w:r>
      <w:r w:rsidRPr="00AD2A48">
        <w:rPr>
          <w:rFonts w:asciiTheme="minorHAnsi" w:hAnsiTheme="minorHAnsi" w:cstheme="minorHAnsi"/>
          <w:szCs w:val="24"/>
        </w:rPr>
        <w:t xml:space="preserve"> 2012; </w:t>
      </w:r>
      <w:r w:rsidRPr="00AD2A48">
        <w:rPr>
          <w:rFonts w:asciiTheme="minorHAnsi" w:hAnsiTheme="minorHAnsi" w:cstheme="minorHAnsi"/>
          <w:b/>
          <w:szCs w:val="24"/>
        </w:rPr>
        <w:t>14</w:t>
      </w:r>
      <w:r w:rsidRPr="00AD2A48">
        <w:rPr>
          <w:rFonts w:asciiTheme="minorHAnsi" w:hAnsiTheme="minorHAnsi" w:cstheme="minorHAnsi"/>
          <w:szCs w:val="24"/>
        </w:rPr>
        <w:t>(3): 343-50.</w:t>
      </w:r>
      <w:bookmarkEnd w:id="249"/>
    </w:p>
    <w:p w14:paraId="3E138400"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0" w:name="_ENREF_18"/>
      <w:r w:rsidRPr="00AD2A48">
        <w:rPr>
          <w:rFonts w:asciiTheme="minorHAnsi" w:hAnsiTheme="minorHAnsi" w:cstheme="minorHAnsi"/>
          <w:szCs w:val="24"/>
        </w:rPr>
        <w:t>18.</w:t>
      </w:r>
      <w:r w:rsidRPr="00AD2A48">
        <w:rPr>
          <w:rFonts w:asciiTheme="minorHAnsi" w:hAnsiTheme="minorHAnsi" w:cstheme="minorHAnsi"/>
          <w:szCs w:val="24"/>
        </w:rPr>
        <w:tab/>
        <w:t xml:space="preserve">Anthenelli RM, Benowitz NL, West R, et al. Neuropsychiatric safety and efficacy of varenicline, bupropion, and nicotine patch in smokers with and without psychiatric disorders (EAGLES): a double-blind, randomised, placebo-controlled clinical trial. </w:t>
      </w:r>
      <w:r w:rsidRPr="00AD2A48">
        <w:rPr>
          <w:rFonts w:asciiTheme="minorHAnsi" w:hAnsiTheme="minorHAnsi" w:cstheme="minorHAnsi"/>
          <w:i/>
          <w:szCs w:val="24"/>
        </w:rPr>
        <w:t>Lancet</w:t>
      </w:r>
      <w:r w:rsidRPr="00AD2A48">
        <w:rPr>
          <w:rFonts w:asciiTheme="minorHAnsi" w:hAnsiTheme="minorHAnsi" w:cstheme="minorHAnsi"/>
          <w:szCs w:val="24"/>
        </w:rPr>
        <w:t xml:space="preserve"> 2016; </w:t>
      </w:r>
      <w:r w:rsidRPr="00AD2A48">
        <w:rPr>
          <w:rFonts w:asciiTheme="minorHAnsi" w:hAnsiTheme="minorHAnsi" w:cstheme="minorHAnsi"/>
          <w:b/>
          <w:szCs w:val="24"/>
        </w:rPr>
        <w:t>387</w:t>
      </w:r>
      <w:r w:rsidRPr="00AD2A48">
        <w:rPr>
          <w:rFonts w:asciiTheme="minorHAnsi" w:hAnsiTheme="minorHAnsi" w:cstheme="minorHAnsi"/>
          <w:szCs w:val="24"/>
        </w:rPr>
        <w:t>(10037): 2507-20.</w:t>
      </w:r>
      <w:bookmarkEnd w:id="250"/>
    </w:p>
    <w:p w14:paraId="77CB314B"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1" w:name="_ENREF_19"/>
      <w:r w:rsidRPr="00AD2A48">
        <w:rPr>
          <w:rFonts w:asciiTheme="minorHAnsi" w:hAnsiTheme="minorHAnsi" w:cstheme="minorHAnsi"/>
          <w:szCs w:val="24"/>
        </w:rPr>
        <w:t>19.</w:t>
      </w:r>
      <w:r w:rsidRPr="00AD2A48">
        <w:rPr>
          <w:rFonts w:asciiTheme="minorHAnsi" w:hAnsiTheme="minorHAnsi" w:cstheme="minorHAnsi"/>
          <w:szCs w:val="24"/>
        </w:rPr>
        <w:tab/>
        <w:t xml:space="preserve">Cahill K, Lindson-Hawley N, Thomas KH, Fanshawe TR, Lancaster T. Nicotine receptor partial agonists for smoking cessation. </w:t>
      </w:r>
      <w:r w:rsidRPr="00AD2A48">
        <w:rPr>
          <w:rFonts w:asciiTheme="minorHAnsi" w:hAnsiTheme="minorHAnsi" w:cstheme="minorHAnsi"/>
          <w:i/>
          <w:szCs w:val="24"/>
        </w:rPr>
        <w:t>Cochrane Database of Systematic Reviews</w:t>
      </w:r>
      <w:r w:rsidRPr="00AD2A48">
        <w:rPr>
          <w:rFonts w:asciiTheme="minorHAnsi" w:hAnsiTheme="minorHAnsi" w:cstheme="minorHAnsi"/>
          <w:szCs w:val="24"/>
        </w:rPr>
        <w:t xml:space="preserve"> 2016; (5): CD006103.</w:t>
      </w:r>
      <w:bookmarkEnd w:id="251"/>
    </w:p>
    <w:p w14:paraId="5C7B1D07"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2" w:name="_ENREF_20"/>
      <w:r w:rsidRPr="00AD2A48">
        <w:rPr>
          <w:rFonts w:asciiTheme="minorHAnsi" w:hAnsiTheme="minorHAnsi" w:cstheme="minorHAnsi"/>
          <w:szCs w:val="24"/>
        </w:rPr>
        <w:t>20.</w:t>
      </w:r>
      <w:r w:rsidRPr="00AD2A48">
        <w:rPr>
          <w:rFonts w:asciiTheme="minorHAnsi" w:hAnsiTheme="minorHAnsi" w:cstheme="minorHAnsi"/>
          <w:szCs w:val="24"/>
        </w:rPr>
        <w:tab/>
        <w:t xml:space="preserve">Lerman C, Schnoll RA, Hawk LW, et al. Use of the nicotine metabolite ratio as a genetically informed biomarker of response to nicotine patch or varenicline for smoking cessation: a randomised, double-blind placebo-controlled trial. </w:t>
      </w:r>
      <w:r w:rsidRPr="00AD2A48">
        <w:rPr>
          <w:rFonts w:asciiTheme="minorHAnsi" w:hAnsiTheme="minorHAnsi" w:cstheme="minorHAnsi"/>
          <w:i/>
          <w:szCs w:val="24"/>
        </w:rPr>
        <w:t>The lancet Respiratory medicine</w:t>
      </w:r>
      <w:r w:rsidRPr="00AD2A48">
        <w:rPr>
          <w:rFonts w:asciiTheme="minorHAnsi" w:hAnsiTheme="minorHAnsi" w:cstheme="minorHAnsi"/>
          <w:szCs w:val="24"/>
        </w:rPr>
        <w:t xml:space="preserve"> 2015; </w:t>
      </w:r>
      <w:r w:rsidRPr="00AD2A48">
        <w:rPr>
          <w:rFonts w:asciiTheme="minorHAnsi" w:hAnsiTheme="minorHAnsi" w:cstheme="minorHAnsi"/>
          <w:b/>
          <w:szCs w:val="24"/>
        </w:rPr>
        <w:t>3</w:t>
      </w:r>
      <w:r w:rsidRPr="00AD2A48">
        <w:rPr>
          <w:rFonts w:asciiTheme="minorHAnsi" w:hAnsiTheme="minorHAnsi" w:cstheme="minorHAnsi"/>
          <w:szCs w:val="24"/>
        </w:rPr>
        <w:t>(2): 131‐8.</w:t>
      </w:r>
      <w:bookmarkEnd w:id="252"/>
    </w:p>
    <w:p w14:paraId="30ADBECE"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3" w:name="_ENREF_21"/>
      <w:r w:rsidRPr="00AD2A48">
        <w:rPr>
          <w:rFonts w:asciiTheme="minorHAnsi" w:hAnsiTheme="minorHAnsi" w:cstheme="minorHAnsi"/>
          <w:szCs w:val="24"/>
        </w:rPr>
        <w:t>21.</w:t>
      </w:r>
      <w:r w:rsidRPr="00AD2A48">
        <w:rPr>
          <w:rFonts w:asciiTheme="minorHAnsi" w:hAnsiTheme="minorHAnsi" w:cstheme="minorHAnsi"/>
          <w:szCs w:val="24"/>
        </w:rPr>
        <w:tab/>
        <w:t xml:space="preserve">Littlewood RA, Claus ED, Wilcox CE, et al. Moderators of smoking cessation outcomes in a randomized-controlled trial of varenicline versus placebo. </w:t>
      </w:r>
      <w:r w:rsidRPr="00AD2A48">
        <w:rPr>
          <w:rFonts w:asciiTheme="minorHAnsi" w:hAnsiTheme="minorHAnsi" w:cstheme="minorHAnsi"/>
          <w:i/>
          <w:szCs w:val="24"/>
        </w:rPr>
        <w:t>Psychopharmacology</w:t>
      </w:r>
      <w:r w:rsidRPr="00AD2A48">
        <w:rPr>
          <w:rFonts w:asciiTheme="minorHAnsi" w:hAnsiTheme="minorHAnsi" w:cstheme="minorHAnsi"/>
          <w:szCs w:val="24"/>
        </w:rPr>
        <w:t xml:space="preserve"> 2017; </w:t>
      </w:r>
      <w:r w:rsidRPr="00AD2A48">
        <w:rPr>
          <w:rFonts w:asciiTheme="minorHAnsi" w:hAnsiTheme="minorHAnsi" w:cstheme="minorHAnsi"/>
          <w:b/>
          <w:szCs w:val="24"/>
        </w:rPr>
        <w:t>234</w:t>
      </w:r>
      <w:r w:rsidRPr="00AD2A48">
        <w:rPr>
          <w:rFonts w:asciiTheme="minorHAnsi" w:hAnsiTheme="minorHAnsi" w:cstheme="minorHAnsi"/>
          <w:szCs w:val="24"/>
        </w:rPr>
        <w:t>(23‐24): 3417‐29.</w:t>
      </w:r>
      <w:bookmarkEnd w:id="253"/>
    </w:p>
    <w:p w14:paraId="39CFB27D"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4" w:name="_ENREF_22"/>
      <w:r w:rsidRPr="00AD2A48">
        <w:rPr>
          <w:rFonts w:asciiTheme="minorHAnsi" w:hAnsiTheme="minorHAnsi" w:cstheme="minorHAnsi"/>
          <w:szCs w:val="24"/>
        </w:rPr>
        <w:t>22.</w:t>
      </w:r>
      <w:r w:rsidRPr="00AD2A48">
        <w:rPr>
          <w:rFonts w:asciiTheme="minorHAnsi" w:hAnsiTheme="minorHAnsi" w:cstheme="minorHAnsi"/>
          <w:szCs w:val="24"/>
        </w:rPr>
        <w:tab/>
        <w:t xml:space="preserve">Hurt RT, Ebbert JO, Croghan IT, Schroeder DR, Hurt RD, Hays JT. Varenicline for tobacco-dependence treatment in alcohol-dependent smokers: a randomized controlled trial. </w:t>
      </w:r>
      <w:r w:rsidRPr="00AD2A48">
        <w:rPr>
          <w:rFonts w:asciiTheme="minorHAnsi" w:hAnsiTheme="minorHAnsi" w:cstheme="minorHAnsi"/>
          <w:i/>
          <w:szCs w:val="24"/>
        </w:rPr>
        <w:t>Drug and alcohol dependence</w:t>
      </w:r>
      <w:r w:rsidRPr="00AD2A48">
        <w:rPr>
          <w:rFonts w:asciiTheme="minorHAnsi" w:hAnsiTheme="minorHAnsi" w:cstheme="minorHAnsi"/>
          <w:szCs w:val="24"/>
        </w:rPr>
        <w:t xml:space="preserve"> 2018; </w:t>
      </w:r>
      <w:r w:rsidRPr="00AD2A48">
        <w:rPr>
          <w:rFonts w:asciiTheme="minorHAnsi" w:hAnsiTheme="minorHAnsi" w:cstheme="minorHAnsi"/>
          <w:b/>
          <w:szCs w:val="24"/>
        </w:rPr>
        <w:t>184</w:t>
      </w:r>
      <w:r w:rsidRPr="00AD2A48">
        <w:rPr>
          <w:rFonts w:asciiTheme="minorHAnsi" w:hAnsiTheme="minorHAnsi" w:cstheme="minorHAnsi"/>
          <w:szCs w:val="24"/>
        </w:rPr>
        <w:t>: 12‐7.</w:t>
      </w:r>
      <w:bookmarkEnd w:id="254"/>
    </w:p>
    <w:p w14:paraId="37630B37"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5" w:name="_ENREF_23"/>
      <w:r w:rsidRPr="00AD2A48">
        <w:rPr>
          <w:rFonts w:asciiTheme="minorHAnsi" w:hAnsiTheme="minorHAnsi" w:cstheme="minorHAnsi"/>
          <w:szCs w:val="24"/>
        </w:rPr>
        <w:t>23.</w:t>
      </w:r>
      <w:r w:rsidRPr="00AD2A48">
        <w:rPr>
          <w:rFonts w:asciiTheme="minorHAnsi" w:hAnsiTheme="minorHAnsi" w:cstheme="minorHAnsi"/>
          <w:szCs w:val="24"/>
        </w:rPr>
        <w:tab/>
        <w:t xml:space="preserve">Mercie P, Arsandaux J, Katlama C, et al. Efficacy and safety of varenicline for smoking cessation in people living with HIV in France (ANRS 144 Inter-ACTIV): a randomised controlled phase 3 clinical trial. </w:t>
      </w:r>
      <w:r w:rsidRPr="00AD2A48">
        <w:rPr>
          <w:rFonts w:asciiTheme="minorHAnsi" w:hAnsiTheme="minorHAnsi" w:cstheme="minorHAnsi"/>
          <w:i/>
          <w:szCs w:val="24"/>
        </w:rPr>
        <w:t>Lancet HIV</w:t>
      </w:r>
      <w:r w:rsidRPr="00AD2A48">
        <w:rPr>
          <w:rFonts w:asciiTheme="minorHAnsi" w:hAnsiTheme="minorHAnsi" w:cstheme="minorHAnsi"/>
          <w:szCs w:val="24"/>
        </w:rPr>
        <w:t xml:space="preserve"> 2018; </w:t>
      </w:r>
      <w:r w:rsidRPr="00AD2A48">
        <w:rPr>
          <w:rFonts w:asciiTheme="minorHAnsi" w:hAnsiTheme="minorHAnsi" w:cstheme="minorHAnsi"/>
          <w:b/>
          <w:szCs w:val="24"/>
        </w:rPr>
        <w:t>5</w:t>
      </w:r>
      <w:r w:rsidRPr="00AD2A48">
        <w:rPr>
          <w:rFonts w:asciiTheme="minorHAnsi" w:hAnsiTheme="minorHAnsi" w:cstheme="minorHAnsi"/>
          <w:szCs w:val="24"/>
        </w:rPr>
        <w:t>(3): e126-e35.</w:t>
      </w:r>
      <w:bookmarkEnd w:id="255"/>
    </w:p>
    <w:p w14:paraId="2E64751E"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6" w:name="_ENREF_24"/>
      <w:r w:rsidRPr="00AD2A48">
        <w:rPr>
          <w:rFonts w:asciiTheme="minorHAnsi" w:hAnsiTheme="minorHAnsi" w:cstheme="minorHAnsi"/>
          <w:szCs w:val="24"/>
        </w:rPr>
        <w:t>24.</w:t>
      </w:r>
      <w:r w:rsidRPr="00AD2A48">
        <w:rPr>
          <w:rFonts w:asciiTheme="minorHAnsi" w:hAnsiTheme="minorHAnsi" w:cstheme="minorHAnsi"/>
          <w:szCs w:val="24"/>
        </w:rPr>
        <w:tab/>
        <w:t xml:space="preserve">Windle SB, Dehghani P, Roy N, et al. Smoking abstinence 1 year after acute coronary syndrome: follow-up from a randomized controlled trial of varenicline in patients admitted to hospital. </w:t>
      </w:r>
      <w:r w:rsidRPr="00AD2A48">
        <w:rPr>
          <w:rFonts w:asciiTheme="minorHAnsi" w:hAnsiTheme="minorHAnsi" w:cstheme="minorHAnsi"/>
          <w:i/>
          <w:szCs w:val="24"/>
        </w:rPr>
        <w:t>CMAJ : Canadian Medical Association journal</w:t>
      </w:r>
      <w:r w:rsidRPr="00AD2A48">
        <w:rPr>
          <w:rFonts w:asciiTheme="minorHAnsi" w:hAnsiTheme="minorHAnsi" w:cstheme="minorHAnsi"/>
          <w:szCs w:val="24"/>
        </w:rPr>
        <w:t xml:space="preserve"> 2018; </w:t>
      </w:r>
      <w:r w:rsidRPr="00AD2A48">
        <w:rPr>
          <w:rFonts w:asciiTheme="minorHAnsi" w:hAnsiTheme="minorHAnsi" w:cstheme="minorHAnsi"/>
          <w:b/>
          <w:szCs w:val="24"/>
        </w:rPr>
        <w:t>190</w:t>
      </w:r>
      <w:r w:rsidRPr="00AD2A48">
        <w:rPr>
          <w:rFonts w:asciiTheme="minorHAnsi" w:hAnsiTheme="minorHAnsi" w:cstheme="minorHAnsi"/>
          <w:szCs w:val="24"/>
        </w:rPr>
        <w:t>(12): E347‐E54.</w:t>
      </w:r>
      <w:bookmarkEnd w:id="256"/>
    </w:p>
    <w:p w14:paraId="1BCE7E87"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7" w:name="_ENREF_25"/>
      <w:r w:rsidRPr="00AD2A48">
        <w:rPr>
          <w:rFonts w:asciiTheme="minorHAnsi" w:hAnsiTheme="minorHAnsi" w:cstheme="minorHAnsi"/>
          <w:szCs w:val="24"/>
        </w:rPr>
        <w:t>25.</w:t>
      </w:r>
      <w:r w:rsidRPr="00AD2A48">
        <w:rPr>
          <w:rFonts w:asciiTheme="minorHAnsi" w:hAnsiTheme="minorHAnsi" w:cstheme="minorHAnsi"/>
          <w:szCs w:val="24"/>
        </w:rPr>
        <w:tab/>
        <w:t xml:space="preserve">Ashare RL, Thompson M, Serrano K, et al. Placebo-controlled randomized clinical trial testing the efficacy and safety of varenicline for smokers with HIV. </w:t>
      </w:r>
      <w:r w:rsidRPr="00AD2A48">
        <w:rPr>
          <w:rFonts w:asciiTheme="minorHAnsi" w:hAnsiTheme="minorHAnsi" w:cstheme="minorHAnsi"/>
          <w:i/>
          <w:szCs w:val="24"/>
        </w:rPr>
        <w:t>Drug &amp; Alcohol Dependence</w:t>
      </w:r>
      <w:r w:rsidRPr="00AD2A48">
        <w:rPr>
          <w:rFonts w:asciiTheme="minorHAnsi" w:hAnsiTheme="minorHAnsi" w:cstheme="minorHAnsi"/>
          <w:szCs w:val="24"/>
        </w:rPr>
        <w:t xml:space="preserve"> 2019; </w:t>
      </w:r>
      <w:r w:rsidRPr="00AD2A48">
        <w:rPr>
          <w:rFonts w:asciiTheme="minorHAnsi" w:hAnsiTheme="minorHAnsi" w:cstheme="minorHAnsi"/>
          <w:b/>
          <w:szCs w:val="24"/>
        </w:rPr>
        <w:t>200</w:t>
      </w:r>
      <w:r w:rsidRPr="00AD2A48">
        <w:rPr>
          <w:rFonts w:asciiTheme="minorHAnsi" w:hAnsiTheme="minorHAnsi" w:cstheme="minorHAnsi"/>
          <w:szCs w:val="24"/>
        </w:rPr>
        <w:t>: 26-33.</w:t>
      </w:r>
      <w:bookmarkEnd w:id="257"/>
    </w:p>
    <w:p w14:paraId="261BC6C3"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58" w:name="_ENREF_26"/>
      <w:r w:rsidRPr="00AD2A48">
        <w:rPr>
          <w:rFonts w:asciiTheme="minorHAnsi" w:hAnsiTheme="minorHAnsi" w:cstheme="minorHAnsi"/>
          <w:szCs w:val="24"/>
        </w:rPr>
        <w:t>26.</w:t>
      </w:r>
      <w:r w:rsidRPr="00AD2A48">
        <w:rPr>
          <w:rFonts w:asciiTheme="minorHAnsi" w:hAnsiTheme="minorHAnsi" w:cstheme="minorHAnsi"/>
          <w:szCs w:val="24"/>
        </w:rPr>
        <w:tab/>
        <w:t xml:space="preserve">Chen LS, Baker TB, Miller JP, et al. Genetic Variant in CHRNA5 and Response to Varenicline and Combination Nicotine Replacement in a Randomized Placebo-Controlled Trial. </w:t>
      </w:r>
      <w:r w:rsidRPr="00AD2A48">
        <w:rPr>
          <w:rFonts w:asciiTheme="minorHAnsi" w:hAnsiTheme="minorHAnsi" w:cstheme="minorHAnsi"/>
          <w:i/>
          <w:szCs w:val="24"/>
        </w:rPr>
        <w:t>Clinical Pharmacology and Therapeutics</w:t>
      </w:r>
      <w:r w:rsidRPr="00AD2A48">
        <w:rPr>
          <w:rFonts w:asciiTheme="minorHAnsi" w:hAnsiTheme="minorHAnsi" w:cstheme="minorHAnsi"/>
          <w:szCs w:val="24"/>
        </w:rPr>
        <w:t xml:space="preserve"> 2020.</w:t>
      </w:r>
      <w:bookmarkEnd w:id="258"/>
    </w:p>
    <w:p w14:paraId="46D66105" w14:textId="0156C694" w:rsidR="00167858" w:rsidRDefault="00167858" w:rsidP="0058414C">
      <w:pPr>
        <w:pStyle w:val="EndNoteBibliography"/>
        <w:spacing w:after="0"/>
        <w:ind w:left="720" w:hanging="720"/>
        <w:rPr>
          <w:rFonts w:asciiTheme="minorHAnsi" w:hAnsiTheme="minorHAnsi" w:cstheme="minorHAnsi"/>
          <w:szCs w:val="24"/>
          <w:shd w:val="clear" w:color="auto" w:fill="C0C0C1"/>
        </w:rPr>
      </w:pPr>
      <w:bookmarkStart w:id="259" w:name="_ENREF_28"/>
      <w:r w:rsidRPr="00167858">
        <w:rPr>
          <w:rFonts w:asciiTheme="minorHAnsi" w:hAnsiTheme="minorHAnsi" w:cstheme="minorHAnsi"/>
          <w:color w:val="000000"/>
          <w:w w:val="55"/>
          <w:szCs w:val="24"/>
          <w:highlight w:val="black"/>
          <w:shd w:val="solid" w:color="000000" w:fill="000000"/>
          <w:fitText w:val="8790" w:id="-1402743040"/>
          <w14:textFill>
            <w14:solidFill>
              <w14:srgbClr w14:val="000000">
                <w14:alpha w14:val="100000"/>
              </w14:srgbClr>
            </w14:solidFill>
          </w14:textFill>
        </w:rPr>
        <w:t>|||||||||||||||||||||||||||||||||||||||||||||||||||||||||||||||||||||||||||||||||||||||||||||||||||||||||||||||||||||||||||||||||||||||||||||||</w:t>
      </w:r>
      <w:r w:rsidRPr="00167858">
        <w:rPr>
          <w:rFonts w:asciiTheme="minorHAnsi" w:hAnsiTheme="minorHAnsi" w:cstheme="minorHAnsi"/>
          <w:color w:val="000000"/>
          <w:spacing w:val="48"/>
          <w:w w:val="55"/>
          <w:szCs w:val="24"/>
          <w:highlight w:val="black"/>
          <w:shd w:val="solid" w:color="000000" w:fill="000000"/>
          <w:fitText w:val="8790" w:id="-1402743040"/>
          <w14:textFill>
            <w14:solidFill>
              <w14:srgbClr w14:val="000000">
                <w14:alpha w14:val="100000"/>
              </w14:srgbClr>
            </w14:solidFill>
          </w14:textFill>
        </w:rPr>
        <w:t>|</w:t>
      </w:r>
      <w:r w:rsidRPr="00167858">
        <w:rPr>
          <w:rFonts w:asciiTheme="minorHAnsi" w:hAnsiTheme="minorHAnsi" w:cstheme="minorHAnsi"/>
          <w:szCs w:val="24"/>
          <w:highlight w:val="black"/>
          <w:shd w:val="clear" w:color="auto" w:fill="C0C0C1"/>
        </w:rPr>
        <w:t xml:space="preserve"> </w:t>
      </w:r>
      <w:r w:rsidRPr="00167858">
        <w:rPr>
          <w:rFonts w:asciiTheme="minorHAnsi" w:hAnsiTheme="minorHAnsi" w:cstheme="minorHAnsi"/>
          <w:color w:val="000000"/>
          <w:w w:val="55"/>
          <w:szCs w:val="24"/>
          <w:highlight w:val="black"/>
          <w:shd w:val="solid" w:color="000000" w:fill="000000"/>
          <w:fitText w:val="6250" w:id="-1402743039"/>
          <w14:textFill>
            <w14:solidFill>
              <w14:srgbClr w14:val="000000">
                <w14:alpha w14:val="100000"/>
              </w14:srgbClr>
            </w14:solidFill>
          </w14:textFill>
        </w:rPr>
        <w:t>|||||||||||||||||||||||||||||||||||||||||||||||||||||||||||||||||||||||||||||||||||||||||||||||||||||</w:t>
      </w:r>
      <w:r w:rsidRPr="00167858">
        <w:rPr>
          <w:rFonts w:asciiTheme="minorHAnsi" w:hAnsiTheme="minorHAnsi" w:cstheme="minorHAnsi"/>
          <w:color w:val="000000"/>
          <w:spacing w:val="58"/>
          <w:w w:val="55"/>
          <w:szCs w:val="24"/>
          <w:highlight w:val="black"/>
          <w:shd w:val="solid" w:color="000000" w:fill="000000"/>
          <w:fitText w:val="6250" w:id="-1402743039"/>
          <w14:textFill>
            <w14:solidFill>
              <w14:srgbClr w14:val="000000">
                <w14:alpha w14:val="100000"/>
              </w14:srgbClr>
            </w14:solidFill>
          </w14:textFill>
        </w:rPr>
        <w:t>|</w:t>
      </w:r>
      <w:r w:rsidRPr="00167858">
        <w:rPr>
          <w:rFonts w:asciiTheme="minorHAnsi" w:hAnsiTheme="minorHAnsi" w:cstheme="minorHAnsi"/>
          <w:szCs w:val="24"/>
          <w:highlight w:val="black"/>
          <w:shd w:val="clear" w:color="auto" w:fill="C0C0C1"/>
        </w:rPr>
        <w:t xml:space="preserve"> </w:t>
      </w:r>
      <w:r w:rsidRPr="00167858">
        <w:rPr>
          <w:rFonts w:asciiTheme="minorHAnsi" w:hAnsiTheme="minorHAnsi" w:cstheme="minorHAnsi"/>
          <w:color w:val="000000"/>
          <w:w w:val="67"/>
          <w:szCs w:val="24"/>
          <w:highlight w:val="black"/>
          <w:shd w:val="solid" w:color="000000" w:fill="000000"/>
          <w:fitText w:val="450" w:id="-1402743038"/>
          <w14:textFill>
            <w14:solidFill>
              <w14:srgbClr w14:val="000000">
                <w14:alpha w14:val="100000"/>
              </w14:srgbClr>
            </w14:solidFill>
          </w14:textFill>
        </w:rPr>
        <w:t>||||||</w:t>
      </w:r>
      <w:r w:rsidRPr="00167858">
        <w:rPr>
          <w:rFonts w:asciiTheme="minorHAnsi" w:hAnsiTheme="minorHAnsi" w:cstheme="minorHAnsi"/>
          <w:szCs w:val="24"/>
          <w:highlight w:val="black"/>
          <w:shd w:val="clear" w:color="auto" w:fill="C0C0C1"/>
        </w:rPr>
        <w:t xml:space="preserve"> </w:t>
      </w:r>
      <w:r w:rsidRPr="00167858">
        <w:rPr>
          <w:rFonts w:asciiTheme="minorHAnsi" w:hAnsiTheme="minorHAnsi" w:cstheme="minorHAnsi"/>
          <w:color w:val="000000"/>
          <w:w w:val="59"/>
          <w:szCs w:val="24"/>
          <w:highlight w:val="black"/>
          <w:shd w:val="solid" w:color="000000" w:fill="000000"/>
          <w:fitText w:val="1320" w:id="-1402743036"/>
          <w14:textFill>
            <w14:solidFill>
              <w14:srgbClr w14:val="000000">
                <w14:alpha w14:val="100000"/>
              </w14:srgbClr>
            </w14:solidFill>
          </w14:textFill>
        </w:rPr>
        <w:t>|||||||||||||||||||</w:t>
      </w:r>
      <w:r w:rsidRPr="00167858">
        <w:rPr>
          <w:rFonts w:asciiTheme="minorHAnsi" w:hAnsiTheme="minorHAnsi" w:cstheme="minorHAnsi"/>
          <w:color w:val="000000"/>
          <w:spacing w:val="16"/>
          <w:w w:val="59"/>
          <w:szCs w:val="24"/>
          <w:highlight w:val="black"/>
          <w:shd w:val="solid" w:color="000000" w:fill="000000"/>
          <w:fitText w:val="1320" w:id="-1402743036"/>
          <w14:textFill>
            <w14:solidFill>
              <w14:srgbClr w14:val="000000">
                <w14:alpha w14:val="100000"/>
              </w14:srgbClr>
            </w14:solidFill>
          </w14:textFill>
        </w:rPr>
        <w:t>|</w:t>
      </w:r>
      <w:r w:rsidRPr="00167858">
        <w:rPr>
          <w:rFonts w:asciiTheme="minorHAnsi" w:hAnsiTheme="minorHAnsi" w:cstheme="minorHAnsi"/>
          <w:szCs w:val="24"/>
          <w:highlight w:val="black"/>
          <w:shd w:val="clear" w:color="auto" w:fill="C0C0C1"/>
        </w:rPr>
        <w:t xml:space="preserve"> </w:t>
      </w:r>
      <w:r w:rsidRPr="00167858">
        <w:rPr>
          <w:rFonts w:asciiTheme="minorHAnsi" w:hAnsiTheme="minorHAnsi" w:cstheme="minorHAnsi"/>
          <w:color w:val="000000"/>
          <w:spacing w:val="1"/>
          <w:w w:val="54"/>
          <w:szCs w:val="24"/>
          <w:highlight w:val="black"/>
          <w:shd w:val="solid" w:color="000000" w:fill="000000"/>
          <w:fitText w:val="6440" w:id="-1402743035"/>
          <w14:textFill>
            <w14:solidFill>
              <w14:srgbClr w14:val="000000">
                <w14:alpha w14:val="100000"/>
              </w14:srgbClr>
            </w14:solidFill>
          </w14:textFill>
        </w:rPr>
        <w:t>|||||||||||||||||||||||||||||||||||||||||||||||||||||||||||||||||||||||||||||||||||||||||||||||||||||||||</w:t>
      </w:r>
      <w:r w:rsidRPr="00167858">
        <w:rPr>
          <w:rFonts w:asciiTheme="minorHAnsi" w:hAnsiTheme="minorHAnsi" w:cstheme="minorHAnsi"/>
          <w:color w:val="000000"/>
          <w:spacing w:val="12"/>
          <w:w w:val="54"/>
          <w:szCs w:val="24"/>
          <w:highlight w:val="black"/>
          <w:shd w:val="solid" w:color="000000" w:fill="000000"/>
          <w:fitText w:val="6440" w:id="-1402743035"/>
          <w14:textFill>
            <w14:solidFill>
              <w14:srgbClr w14:val="000000">
                <w14:alpha w14:val="100000"/>
              </w14:srgbClr>
            </w14:solidFill>
          </w14:textFill>
        </w:rPr>
        <w:t>|</w:t>
      </w:r>
    </w:p>
    <w:p w14:paraId="4807A141" w14:textId="6EB8EDB1" w:rsidR="00167858" w:rsidRDefault="00167858" w:rsidP="0058414C">
      <w:pPr>
        <w:pStyle w:val="EndNoteBibliography"/>
        <w:spacing w:after="0"/>
        <w:ind w:left="720" w:hanging="720"/>
        <w:rPr>
          <w:rFonts w:asciiTheme="minorHAnsi" w:hAnsiTheme="minorHAnsi" w:cstheme="minorHAnsi"/>
          <w:szCs w:val="24"/>
          <w:shd w:val="clear" w:color="auto" w:fill="C0C0C1"/>
        </w:rPr>
      </w:pPr>
      <w:bookmarkStart w:id="260" w:name="_ENREF_29"/>
      <w:bookmarkEnd w:id="259"/>
      <w:r w:rsidRPr="00167858">
        <w:rPr>
          <w:rFonts w:asciiTheme="minorHAnsi" w:hAnsiTheme="minorHAnsi" w:cstheme="minorHAnsi"/>
          <w:color w:val="000000"/>
          <w:w w:val="55"/>
          <w:szCs w:val="24"/>
          <w:highlight w:val="black"/>
          <w:shd w:val="solid" w:color="000000" w:fill="000000"/>
          <w:fitText w:val="8700" w:id="-1402742784"/>
          <w14:textFill>
            <w14:solidFill>
              <w14:srgbClr w14:val="000000">
                <w14:alpha w14:val="100000"/>
              </w14:srgbClr>
            </w14:solidFill>
          </w14:textFill>
        </w:rPr>
        <w:t>|||||||||||||||||||||||||||||||||||||||||||||||||||||||||||||||||||||||||||||||||||||||||||||||||||||||||||||||||||||||||||||||||||||||||||||</w:t>
      </w:r>
      <w:r w:rsidRPr="00167858">
        <w:rPr>
          <w:rFonts w:asciiTheme="minorHAnsi" w:hAnsiTheme="minorHAnsi" w:cstheme="minorHAnsi"/>
          <w:color w:val="000000"/>
          <w:spacing w:val="80"/>
          <w:w w:val="55"/>
          <w:szCs w:val="24"/>
          <w:highlight w:val="black"/>
          <w:shd w:val="solid" w:color="000000" w:fill="000000"/>
          <w:fitText w:val="8700" w:id="-1402742784"/>
          <w14:textFill>
            <w14:solidFill>
              <w14:srgbClr w14:val="000000">
                <w14:alpha w14:val="100000"/>
              </w14:srgbClr>
            </w14:solidFill>
          </w14:textFill>
        </w:rPr>
        <w:t>|</w:t>
      </w:r>
      <w:r w:rsidRPr="00167858">
        <w:rPr>
          <w:rFonts w:asciiTheme="minorHAnsi" w:hAnsiTheme="minorHAnsi" w:cstheme="minorHAnsi"/>
          <w:szCs w:val="24"/>
          <w:highlight w:val="black"/>
          <w:shd w:val="clear" w:color="auto" w:fill="C0C0C1"/>
        </w:rPr>
        <w:t xml:space="preserve"> </w:t>
      </w:r>
      <w:r w:rsidRPr="00167858">
        <w:rPr>
          <w:rFonts w:asciiTheme="minorHAnsi" w:hAnsiTheme="minorHAnsi" w:cstheme="minorHAnsi"/>
          <w:color w:val="000000"/>
          <w:spacing w:val="1"/>
          <w:w w:val="54"/>
          <w:szCs w:val="24"/>
          <w:highlight w:val="black"/>
          <w:shd w:val="solid" w:color="000000" w:fill="000000"/>
          <w:fitText w:val="6180" w:id="-1402742783"/>
          <w14:textFill>
            <w14:solidFill>
              <w14:srgbClr w14:val="000000">
                <w14:alpha w14:val="100000"/>
              </w14:srgbClr>
            </w14:solidFill>
          </w14:textFill>
        </w:rPr>
        <w:t>|||||||||||||||||||||||||||||||||||||||||||||||||||||||||||||||||||||||||||||||||||||||||||||||||||||</w:t>
      </w:r>
      <w:r w:rsidRPr="00167858">
        <w:rPr>
          <w:rFonts w:asciiTheme="minorHAnsi" w:hAnsiTheme="minorHAnsi" w:cstheme="minorHAnsi"/>
          <w:color w:val="000000"/>
          <w:spacing w:val="-5"/>
          <w:w w:val="54"/>
          <w:szCs w:val="24"/>
          <w:highlight w:val="black"/>
          <w:shd w:val="solid" w:color="000000" w:fill="000000"/>
          <w:fitText w:val="6180" w:id="-1402742783"/>
          <w14:textFill>
            <w14:solidFill>
              <w14:srgbClr w14:val="000000">
                <w14:alpha w14:val="100000"/>
              </w14:srgbClr>
            </w14:solidFill>
          </w14:textFill>
        </w:rPr>
        <w:t>|</w:t>
      </w:r>
    </w:p>
    <w:p w14:paraId="1C7877FB" w14:textId="57B4A415" w:rsidR="0039468B" w:rsidRPr="00AD2A48" w:rsidRDefault="0039468B" w:rsidP="0058414C">
      <w:pPr>
        <w:pStyle w:val="EndNoteBibliography"/>
        <w:spacing w:after="0"/>
        <w:ind w:left="720" w:hanging="720"/>
        <w:rPr>
          <w:rFonts w:asciiTheme="minorHAnsi" w:hAnsiTheme="minorHAnsi" w:cstheme="minorHAnsi"/>
          <w:szCs w:val="24"/>
        </w:rPr>
      </w:pPr>
      <w:r w:rsidRPr="00AD2A48">
        <w:rPr>
          <w:rFonts w:asciiTheme="minorHAnsi" w:hAnsiTheme="minorHAnsi" w:cstheme="minorHAnsi"/>
          <w:szCs w:val="24"/>
        </w:rPr>
        <w:t>29.</w:t>
      </w:r>
      <w:r w:rsidRPr="00AD2A48">
        <w:rPr>
          <w:rFonts w:asciiTheme="minorHAnsi" w:hAnsiTheme="minorHAnsi" w:cstheme="minorHAnsi"/>
          <w:szCs w:val="24"/>
        </w:rPr>
        <w:tab/>
        <w:t xml:space="preserve">Stead LF, Perera R, Bullen C, Mant D, Lancaster T. Nicotine replacement therapy for smoking cessation. </w:t>
      </w:r>
      <w:r w:rsidRPr="00AD2A48">
        <w:rPr>
          <w:rFonts w:asciiTheme="minorHAnsi" w:hAnsiTheme="minorHAnsi" w:cstheme="minorHAnsi"/>
          <w:i/>
          <w:szCs w:val="24"/>
        </w:rPr>
        <w:t>Cochrane Database of Systematic Reviews</w:t>
      </w:r>
      <w:r w:rsidRPr="00AD2A48">
        <w:rPr>
          <w:rFonts w:asciiTheme="minorHAnsi" w:hAnsiTheme="minorHAnsi" w:cstheme="minorHAnsi"/>
          <w:szCs w:val="24"/>
        </w:rPr>
        <w:t xml:space="preserve"> 2008; (1).</w:t>
      </w:r>
      <w:bookmarkEnd w:id="260"/>
    </w:p>
    <w:p w14:paraId="09FC8A34"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1" w:name="_ENREF_30"/>
      <w:r w:rsidRPr="00AD2A48">
        <w:rPr>
          <w:rFonts w:asciiTheme="minorHAnsi" w:hAnsiTheme="minorHAnsi" w:cstheme="minorHAnsi"/>
          <w:szCs w:val="24"/>
        </w:rPr>
        <w:t>30.</w:t>
      </w:r>
      <w:r w:rsidRPr="00AD2A48">
        <w:rPr>
          <w:rFonts w:asciiTheme="minorHAnsi" w:hAnsiTheme="minorHAnsi" w:cstheme="minorHAnsi"/>
          <w:szCs w:val="24"/>
        </w:rPr>
        <w:tab/>
        <w:t xml:space="preserve">Hartmann-Boyce J, Chepkin SC, Ye W, Bullen C, Lancaster T. Nicotine replacement therapy versus control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2018; </w:t>
      </w:r>
      <w:r w:rsidRPr="00AD2A48">
        <w:rPr>
          <w:rFonts w:asciiTheme="minorHAnsi" w:hAnsiTheme="minorHAnsi" w:cstheme="minorHAnsi"/>
          <w:b/>
          <w:szCs w:val="24"/>
        </w:rPr>
        <w:t>5</w:t>
      </w:r>
      <w:r w:rsidRPr="00AD2A48">
        <w:rPr>
          <w:rFonts w:asciiTheme="minorHAnsi" w:hAnsiTheme="minorHAnsi" w:cstheme="minorHAnsi"/>
          <w:szCs w:val="24"/>
        </w:rPr>
        <w:t>: CD000146.</w:t>
      </w:r>
      <w:bookmarkEnd w:id="261"/>
    </w:p>
    <w:p w14:paraId="370E947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2" w:name="_ENREF_31"/>
      <w:r w:rsidRPr="00AD2A48">
        <w:rPr>
          <w:rFonts w:asciiTheme="minorHAnsi" w:hAnsiTheme="minorHAnsi" w:cstheme="minorHAnsi"/>
          <w:szCs w:val="24"/>
        </w:rPr>
        <w:t>31.</w:t>
      </w:r>
      <w:r w:rsidRPr="00AD2A48">
        <w:rPr>
          <w:rFonts w:asciiTheme="minorHAnsi" w:hAnsiTheme="minorHAnsi" w:cstheme="minorHAnsi"/>
          <w:szCs w:val="24"/>
        </w:rPr>
        <w:tab/>
        <w:t xml:space="preserve">Aubin HJ, Bobak A, Britton JR, et al. Varenicline versus transdermal nicotine patch for smoking cessation: results from a randomised open-label trial. </w:t>
      </w:r>
      <w:r w:rsidRPr="00AD2A48">
        <w:rPr>
          <w:rFonts w:asciiTheme="minorHAnsi" w:hAnsiTheme="minorHAnsi" w:cstheme="minorHAnsi"/>
          <w:i/>
          <w:szCs w:val="24"/>
        </w:rPr>
        <w:t>Thorax</w:t>
      </w:r>
      <w:r w:rsidRPr="00AD2A48">
        <w:rPr>
          <w:rFonts w:asciiTheme="minorHAnsi" w:hAnsiTheme="minorHAnsi" w:cstheme="minorHAnsi"/>
          <w:szCs w:val="24"/>
        </w:rPr>
        <w:t xml:space="preserve"> 2008; </w:t>
      </w:r>
      <w:r w:rsidRPr="00AD2A48">
        <w:rPr>
          <w:rFonts w:asciiTheme="minorHAnsi" w:hAnsiTheme="minorHAnsi" w:cstheme="minorHAnsi"/>
          <w:b/>
          <w:szCs w:val="24"/>
        </w:rPr>
        <w:t>63</w:t>
      </w:r>
      <w:r w:rsidRPr="00AD2A48">
        <w:rPr>
          <w:rFonts w:asciiTheme="minorHAnsi" w:hAnsiTheme="minorHAnsi" w:cstheme="minorHAnsi"/>
          <w:szCs w:val="24"/>
        </w:rPr>
        <w:t>(8): 717-24.</w:t>
      </w:r>
      <w:bookmarkEnd w:id="262"/>
    </w:p>
    <w:p w14:paraId="10DEE1E5"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3" w:name="_ENREF_32"/>
      <w:r w:rsidRPr="00AD2A48">
        <w:rPr>
          <w:rFonts w:asciiTheme="minorHAnsi" w:hAnsiTheme="minorHAnsi" w:cstheme="minorHAnsi"/>
          <w:szCs w:val="24"/>
        </w:rPr>
        <w:lastRenderedPageBreak/>
        <w:t>32.</w:t>
      </w:r>
      <w:r w:rsidRPr="00AD2A48">
        <w:rPr>
          <w:rFonts w:asciiTheme="minorHAnsi" w:hAnsiTheme="minorHAnsi" w:cstheme="minorHAnsi"/>
          <w:szCs w:val="24"/>
        </w:rPr>
        <w:tab/>
        <w:t xml:space="preserve">Tulloch HE, Pipe AL, Els C, Clyde MJ, Reid RD. Flexible, dual-form nicotine replacement therapy or varenicline in comparison with nicotine patch for smoking cessation: A randomized controlled trial. </w:t>
      </w:r>
      <w:r w:rsidRPr="00AD2A48">
        <w:rPr>
          <w:rFonts w:asciiTheme="minorHAnsi" w:hAnsiTheme="minorHAnsi" w:cstheme="minorHAnsi"/>
          <w:i/>
          <w:szCs w:val="24"/>
        </w:rPr>
        <w:t>BMC Medicine</w:t>
      </w:r>
      <w:r w:rsidRPr="00AD2A48">
        <w:rPr>
          <w:rFonts w:asciiTheme="minorHAnsi" w:hAnsiTheme="minorHAnsi" w:cstheme="minorHAnsi"/>
          <w:szCs w:val="24"/>
        </w:rPr>
        <w:t xml:space="preserve"> 2016; </w:t>
      </w:r>
      <w:r w:rsidRPr="00AD2A48">
        <w:rPr>
          <w:rFonts w:asciiTheme="minorHAnsi" w:hAnsiTheme="minorHAnsi" w:cstheme="minorHAnsi"/>
          <w:b/>
          <w:szCs w:val="24"/>
        </w:rPr>
        <w:t>14</w:t>
      </w:r>
      <w:r w:rsidRPr="00AD2A48">
        <w:rPr>
          <w:rFonts w:asciiTheme="minorHAnsi" w:hAnsiTheme="minorHAnsi" w:cstheme="minorHAnsi"/>
          <w:szCs w:val="24"/>
        </w:rPr>
        <w:t>(1).</w:t>
      </w:r>
      <w:bookmarkEnd w:id="263"/>
    </w:p>
    <w:p w14:paraId="5F1A8761"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4" w:name="_ENREF_33"/>
      <w:r w:rsidRPr="00AD2A48">
        <w:rPr>
          <w:rFonts w:asciiTheme="minorHAnsi" w:hAnsiTheme="minorHAnsi" w:cstheme="minorHAnsi"/>
          <w:szCs w:val="24"/>
        </w:rPr>
        <w:t>33.</w:t>
      </w:r>
      <w:r w:rsidRPr="00AD2A48">
        <w:rPr>
          <w:rFonts w:asciiTheme="minorHAnsi" w:hAnsiTheme="minorHAnsi" w:cstheme="minorHAnsi"/>
          <w:szCs w:val="24"/>
        </w:rPr>
        <w:tab/>
        <w:t xml:space="preserve">Rohsenow DJ, Tidey JW, Martin RA, et al. Varenicline versus nicotine patch with brief advice for smokers with substance use disorders with or without depression: effects on smoking, substance use and depressive symptoms. </w:t>
      </w:r>
      <w:r w:rsidRPr="00AD2A48">
        <w:rPr>
          <w:rFonts w:asciiTheme="minorHAnsi" w:hAnsiTheme="minorHAnsi" w:cstheme="minorHAnsi"/>
          <w:i/>
          <w:szCs w:val="24"/>
        </w:rPr>
        <w:t>Addiction (Abingdon, England)</w:t>
      </w:r>
      <w:r w:rsidRPr="00AD2A48">
        <w:rPr>
          <w:rFonts w:asciiTheme="minorHAnsi" w:hAnsiTheme="minorHAnsi" w:cstheme="minorHAnsi"/>
          <w:szCs w:val="24"/>
        </w:rPr>
        <w:t xml:space="preserve"> 2017; </w:t>
      </w:r>
      <w:r w:rsidRPr="00AD2A48">
        <w:rPr>
          <w:rFonts w:asciiTheme="minorHAnsi" w:hAnsiTheme="minorHAnsi" w:cstheme="minorHAnsi"/>
          <w:b/>
          <w:szCs w:val="24"/>
        </w:rPr>
        <w:t>112</w:t>
      </w:r>
      <w:r w:rsidRPr="00AD2A48">
        <w:rPr>
          <w:rFonts w:asciiTheme="minorHAnsi" w:hAnsiTheme="minorHAnsi" w:cstheme="minorHAnsi"/>
          <w:szCs w:val="24"/>
        </w:rPr>
        <w:t>(10): 1808-20.</w:t>
      </w:r>
      <w:bookmarkEnd w:id="264"/>
    </w:p>
    <w:p w14:paraId="1B618ECB"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5" w:name="_ENREF_34"/>
      <w:r w:rsidRPr="00AD2A48">
        <w:rPr>
          <w:rFonts w:asciiTheme="minorHAnsi" w:hAnsiTheme="minorHAnsi" w:cstheme="minorHAnsi"/>
          <w:szCs w:val="24"/>
        </w:rPr>
        <w:t>34.</w:t>
      </w:r>
      <w:r w:rsidRPr="00AD2A48">
        <w:rPr>
          <w:rFonts w:asciiTheme="minorHAnsi" w:hAnsiTheme="minorHAnsi" w:cstheme="minorHAnsi"/>
          <w:szCs w:val="24"/>
        </w:rPr>
        <w:tab/>
        <w:t xml:space="preserve">Moolchan ET, Robinson ML, Ernst M, et al. Safety and efficacy of the nicotine patch and gum for the treatment of adolescent tobacco addiction. </w:t>
      </w:r>
      <w:r w:rsidRPr="00AD2A48">
        <w:rPr>
          <w:rFonts w:asciiTheme="minorHAnsi" w:hAnsiTheme="minorHAnsi" w:cstheme="minorHAnsi"/>
          <w:i/>
          <w:szCs w:val="24"/>
        </w:rPr>
        <w:t>Pediatrics</w:t>
      </w:r>
      <w:r w:rsidRPr="00AD2A48">
        <w:rPr>
          <w:rFonts w:asciiTheme="minorHAnsi" w:hAnsiTheme="minorHAnsi" w:cstheme="minorHAnsi"/>
          <w:szCs w:val="24"/>
        </w:rPr>
        <w:t xml:space="preserve"> 2005; </w:t>
      </w:r>
      <w:r w:rsidRPr="00AD2A48">
        <w:rPr>
          <w:rFonts w:asciiTheme="minorHAnsi" w:hAnsiTheme="minorHAnsi" w:cstheme="minorHAnsi"/>
          <w:b/>
          <w:szCs w:val="24"/>
        </w:rPr>
        <w:t>115</w:t>
      </w:r>
      <w:r w:rsidRPr="00AD2A48">
        <w:rPr>
          <w:rFonts w:asciiTheme="minorHAnsi" w:hAnsiTheme="minorHAnsi" w:cstheme="minorHAnsi"/>
          <w:szCs w:val="24"/>
        </w:rPr>
        <w:t>(4): e407-14.</w:t>
      </w:r>
      <w:bookmarkEnd w:id="265"/>
    </w:p>
    <w:p w14:paraId="5F39C7E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6" w:name="_ENREF_35"/>
      <w:r w:rsidRPr="00AD2A48">
        <w:rPr>
          <w:rFonts w:asciiTheme="minorHAnsi" w:hAnsiTheme="minorHAnsi" w:cstheme="minorHAnsi"/>
          <w:szCs w:val="24"/>
        </w:rPr>
        <w:t>35.</w:t>
      </w:r>
      <w:r w:rsidRPr="00AD2A48">
        <w:rPr>
          <w:rFonts w:asciiTheme="minorHAnsi" w:hAnsiTheme="minorHAnsi" w:cstheme="minorHAnsi"/>
          <w:szCs w:val="24"/>
        </w:rPr>
        <w:tab/>
        <w:t xml:space="preserve">Smith SS, McCarthy DE, Japuntich SJ, et al. Comparative effectiveness of 5 smoking cessation pharmacotherapies in primary care clinics. </w:t>
      </w:r>
      <w:r w:rsidRPr="00AD2A48">
        <w:rPr>
          <w:rFonts w:asciiTheme="minorHAnsi" w:hAnsiTheme="minorHAnsi" w:cstheme="minorHAnsi"/>
          <w:i/>
          <w:szCs w:val="24"/>
        </w:rPr>
        <w:t>Arch Intern Med</w:t>
      </w:r>
      <w:r w:rsidRPr="00AD2A48">
        <w:rPr>
          <w:rFonts w:asciiTheme="minorHAnsi" w:hAnsiTheme="minorHAnsi" w:cstheme="minorHAnsi"/>
          <w:szCs w:val="24"/>
        </w:rPr>
        <w:t xml:space="preserve"> 2009; </w:t>
      </w:r>
      <w:r w:rsidRPr="00AD2A48">
        <w:rPr>
          <w:rFonts w:asciiTheme="minorHAnsi" w:hAnsiTheme="minorHAnsi" w:cstheme="minorHAnsi"/>
          <w:b/>
          <w:szCs w:val="24"/>
        </w:rPr>
        <w:t>169</w:t>
      </w:r>
      <w:r w:rsidRPr="00AD2A48">
        <w:rPr>
          <w:rFonts w:asciiTheme="minorHAnsi" w:hAnsiTheme="minorHAnsi" w:cstheme="minorHAnsi"/>
          <w:szCs w:val="24"/>
        </w:rPr>
        <w:t>(22): 2148-55.</w:t>
      </w:r>
      <w:bookmarkEnd w:id="266"/>
    </w:p>
    <w:p w14:paraId="73C9488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7" w:name="_ENREF_36"/>
      <w:r w:rsidRPr="00AD2A48">
        <w:rPr>
          <w:rFonts w:asciiTheme="minorHAnsi" w:hAnsiTheme="minorHAnsi" w:cstheme="minorHAnsi"/>
          <w:szCs w:val="24"/>
        </w:rPr>
        <w:t>36.</w:t>
      </w:r>
      <w:r w:rsidRPr="00AD2A48">
        <w:rPr>
          <w:rFonts w:asciiTheme="minorHAnsi" w:hAnsiTheme="minorHAnsi" w:cstheme="minorHAnsi"/>
          <w:szCs w:val="24"/>
        </w:rPr>
        <w:tab/>
        <w:t xml:space="preserve">Schnoll RA, Martinez E, Tatum KL, et al. Nicotine patch vs. nicotine lozenge for smoking cessation: an effectiveness trial coordinated by the Community Clinical Oncology Program. </w:t>
      </w:r>
      <w:r w:rsidRPr="00AD2A48">
        <w:rPr>
          <w:rFonts w:asciiTheme="minorHAnsi" w:hAnsiTheme="minorHAnsi" w:cstheme="minorHAnsi"/>
          <w:i/>
          <w:szCs w:val="24"/>
        </w:rPr>
        <w:t>Drug Alcohol Depend</w:t>
      </w:r>
      <w:r w:rsidRPr="00AD2A48">
        <w:rPr>
          <w:rFonts w:asciiTheme="minorHAnsi" w:hAnsiTheme="minorHAnsi" w:cstheme="minorHAnsi"/>
          <w:szCs w:val="24"/>
        </w:rPr>
        <w:t xml:space="preserve"> 2010; </w:t>
      </w:r>
      <w:r w:rsidRPr="00AD2A48">
        <w:rPr>
          <w:rFonts w:asciiTheme="minorHAnsi" w:hAnsiTheme="minorHAnsi" w:cstheme="minorHAnsi"/>
          <w:b/>
          <w:szCs w:val="24"/>
        </w:rPr>
        <w:t>107</w:t>
      </w:r>
      <w:r w:rsidRPr="00AD2A48">
        <w:rPr>
          <w:rFonts w:asciiTheme="minorHAnsi" w:hAnsiTheme="minorHAnsi" w:cstheme="minorHAnsi"/>
          <w:szCs w:val="24"/>
        </w:rPr>
        <w:t>(2-3): 237-43.</w:t>
      </w:r>
      <w:bookmarkEnd w:id="267"/>
    </w:p>
    <w:p w14:paraId="71152B39"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8" w:name="_ENREF_37"/>
      <w:r w:rsidRPr="00AD2A48">
        <w:rPr>
          <w:rFonts w:asciiTheme="minorHAnsi" w:hAnsiTheme="minorHAnsi" w:cstheme="minorHAnsi"/>
          <w:szCs w:val="24"/>
        </w:rPr>
        <w:t>37.</w:t>
      </w:r>
      <w:r w:rsidRPr="00AD2A48">
        <w:rPr>
          <w:rFonts w:asciiTheme="minorHAnsi" w:hAnsiTheme="minorHAnsi" w:cstheme="minorHAnsi"/>
          <w:szCs w:val="24"/>
        </w:rPr>
        <w:tab/>
        <w:t xml:space="preserve">Stead LF, Perera R, Bullen C, et al. Nicotine replacement therapy for smoking cessation. </w:t>
      </w:r>
      <w:r w:rsidRPr="00AD2A48">
        <w:rPr>
          <w:rFonts w:asciiTheme="minorHAnsi" w:hAnsiTheme="minorHAnsi" w:cstheme="minorHAnsi"/>
          <w:i/>
          <w:szCs w:val="24"/>
        </w:rPr>
        <w:t>Cochrane Database of Systematic Reviews</w:t>
      </w:r>
      <w:r w:rsidRPr="00AD2A48">
        <w:rPr>
          <w:rFonts w:asciiTheme="minorHAnsi" w:hAnsiTheme="minorHAnsi" w:cstheme="minorHAnsi"/>
          <w:szCs w:val="24"/>
        </w:rPr>
        <w:t xml:space="preserve"> 2012; (11).</w:t>
      </w:r>
      <w:bookmarkEnd w:id="268"/>
    </w:p>
    <w:p w14:paraId="2134E7A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69" w:name="_ENREF_38"/>
      <w:r w:rsidRPr="00AD2A48">
        <w:rPr>
          <w:rFonts w:asciiTheme="minorHAnsi" w:hAnsiTheme="minorHAnsi" w:cstheme="minorHAnsi"/>
          <w:szCs w:val="24"/>
        </w:rPr>
        <w:t>38.</w:t>
      </w:r>
      <w:r w:rsidRPr="00AD2A48">
        <w:rPr>
          <w:rFonts w:asciiTheme="minorHAnsi" w:hAnsiTheme="minorHAnsi" w:cstheme="minorHAnsi"/>
          <w:szCs w:val="24"/>
        </w:rPr>
        <w:tab/>
        <w:t xml:space="preserve">Lindson N, Chepkin SC, Ye W, Fanshawe TR, Bullen C, Hartmann‐Boyce J. Different doses, durations and modes of delivery of nicotine replacement therapy for smoking cessation. </w:t>
      </w:r>
      <w:r w:rsidRPr="00AD2A48">
        <w:rPr>
          <w:rFonts w:asciiTheme="minorHAnsi" w:hAnsiTheme="minorHAnsi" w:cstheme="minorHAnsi"/>
          <w:i/>
          <w:szCs w:val="24"/>
        </w:rPr>
        <w:t>Cochrane Database of Systematic Reviews</w:t>
      </w:r>
      <w:r w:rsidRPr="00AD2A48">
        <w:rPr>
          <w:rFonts w:asciiTheme="minorHAnsi" w:hAnsiTheme="minorHAnsi" w:cstheme="minorHAnsi"/>
          <w:szCs w:val="24"/>
        </w:rPr>
        <w:t xml:space="preserve"> 2019; (4).</w:t>
      </w:r>
      <w:bookmarkEnd w:id="269"/>
    </w:p>
    <w:p w14:paraId="5A2000C3"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0" w:name="_ENREF_39"/>
      <w:r w:rsidRPr="00AD2A48">
        <w:rPr>
          <w:rFonts w:asciiTheme="minorHAnsi" w:hAnsiTheme="minorHAnsi" w:cstheme="minorHAnsi"/>
          <w:szCs w:val="24"/>
        </w:rPr>
        <w:t>39.</w:t>
      </w:r>
      <w:r w:rsidRPr="00AD2A48">
        <w:rPr>
          <w:rFonts w:asciiTheme="minorHAnsi" w:hAnsiTheme="minorHAnsi" w:cstheme="minorHAnsi"/>
          <w:szCs w:val="24"/>
        </w:rPr>
        <w:tab/>
        <w:t xml:space="preserve">Tonstad S, Tonnesen P, Hajek P, et al. Effect of maintenance therapy with varenicline on smoking cessation: a randomized controlled trial. </w:t>
      </w:r>
      <w:r w:rsidRPr="00AD2A48">
        <w:rPr>
          <w:rFonts w:asciiTheme="minorHAnsi" w:hAnsiTheme="minorHAnsi" w:cstheme="minorHAnsi"/>
          <w:i/>
          <w:szCs w:val="24"/>
        </w:rPr>
        <w:t>JAMA</w:t>
      </w:r>
      <w:r w:rsidRPr="00AD2A48">
        <w:rPr>
          <w:rFonts w:asciiTheme="minorHAnsi" w:hAnsiTheme="minorHAnsi" w:cstheme="minorHAnsi"/>
          <w:szCs w:val="24"/>
        </w:rPr>
        <w:t xml:space="preserve"> 2006; </w:t>
      </w:r>
      <w:r w:rsidRPr="00AD2A48">
        <w:rPr>
          <w:rFonts w:asciiTheme="minorHAnsi" w:hAnsiTheme="minorHAnsi" w:cstheme="minorHAnsi"/>
          <w:b/>
          <w:szCs w:val="24"/>
        </w:rPr>
        <w:t>296</w:t>
      </w:r>
      <w:r w:rsidRPr="00AD2A48">
        <w:rPr>
          <w:rFonts w:asciiTheme="minorHAnsi" w:hAnsiTheme="minorHAnsi" w:cstheme="minorHAnsi"/>
          <w:szCs w:val="24"/>
        </w:rPr>
        <w:t>(1): 64-71.</w:t>
      </w:r>
      <w:bookmarkEnd w:id="270"/>
    </w:p>
    <w:p w14:paraId="1FA51C0F"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1" w:name="_ENREF_40"/>
      <w:r w:rsidRPr="00AD2A48">
        <w:rPr>
          <w:rFonts w:asciiTheme="minorHAnsi" w:hAnsiTheme="minorHAnsi" w:cstheme="minorHAnsi"/>
          <w:szCs w:val="24"/>
        </w:rPr>
        <w:t>40.</w:t>
      </w:r>
      <w:r w:rsidRPr="00AD2A48">
        <w:rPr>
          <w:rFonts w:asciiTheme="minorHAnsi" w:hAnsiTheme="minorHAnsi" w:cstheme="minorHAnsi"/>
          <w:szCs w:val="24"/>
        </w:rPr>
        <w:tab/>
        <w:t xml:space="preserve">Livingstone-Banks J, Norris E, Hartmann-Boyce J, et al. Relapse prevention interventions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2019</w:t>
      </w:r>
      <w:r w:rsidRPr="00AD2A48">
        <w:rPr>
          <w:rFonts w:asciiTheme="minorHAnsi" w:hAnsiTheme="minorHAnsi" w:cstheme="minorHAnsi"/>
          <w:szCs w:val="24"/>
        </w:rPr>
        <w:t>(10).</w:t>
      </w:r>
      <w:bookmarkEnd w:id="271"/>
    </w:p>
    <w:p w14:paraId="547C30C4"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2" w:name="_ENREF_41"/>
      <w:r w:rsidRPr="00AD2A48">
        <w:rPr>
          <w:rFonts w:asciiTheme="minorHAnsi" w:hAnsiTheme="minorHAnsi" w:cstheme="minorHAnsi"/>
          <w:szCs w:val="24"/>
        </w:rPr>
        <w:t>41.</w:t>
      </w:r>
      <w:r w:rsidRPr="00AD2A48">
        <w:rPr>
          <w:rFonts w:asciiTheme="minorHAnsi" w:hAnsiTheme="minorHAnsi" w:cstheme="minorHAnsi"/>
          <w:szCs w:val="24"/>
        </w:rPr>
        <w:tab/>
        <w:t xml:space="preserve">Schnoll R, Leone F, Veluz-Wilkins A, et al. A randomized controlled trial of 24 weeks of varenicline for tobacco use among cancer patients: Efficacy, safety, and adherence. </w:t>
      </w:r>
      <w:r w:rsidRPr="00AD2A48">
        <w:rPr>
          <w:rFonts w:asciiTheme="minorHAnsi" w:hAnsiTheme="minorHAnsi" w:cstheme="minorHAnsi"/>
          <w:i/>
          <w:szCs w:val="24"/>
        </w:rPr>
        <w:t>Psycho-Oncology</w:t>
      </w:r>
      <w:r w:rsidRPr="00AD2A48">
        <w:rPr>
          <w:rFonts w:asciiTheme="minorHAnsi" w:hAnsiTheme="minorHAnsi" w:cstheme="minorHAnsi"/>
          <w:szCs w:val="24"/>
        </w:rPr>
        <w:t xml:space="preserve"> 2019; </w:t>
      </w:r>
      <w:r w:rsidRPr="00AD2A48">
        <w:rPr>
          <w:rFonts w:asciiTheme="minorHAnsi" w:hAnsiTheme="minorHAnsi" w:cstheme="minorHAnsi"/>
          <w:b/>
          <w:szCs w:val="24"/>
        </w:rPr>
        <w:t>28</w:t>
      </w:r>
      <w:r w:rsidRPr="00AD2A48">
        <w:rPr>
          <w:rFonts w:asciiTheme="minorHAnsi" w:hAnsiTheme="minorHAnsi" w:cstheme="minorHAnsi"/>
          <w:szCs w:val="24"/>
        </w:rPr>
        <w:t>(3): 561-9.</w:t>
      </w:r>
      <w:bookmarkEnd w:id="272"/>
    </w:p>
    <w:p w14:paraId="2E57DE76"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3" w:name="_ENREF_42"/>
      <w:r w:rsidRPr="00AD2A48">
        <w:rPr>
          <w:rFonts w:asciiTheme="minorHAnsi" w:hAnsiTheme="minorHAnsi" w:cstheme="minorHAnsi"/>
          <w:szCs w:val="24"/>
        </w:rPr>
        <w:t>42.</w:t>
      </w:r>
      <w:r w:rsidRPr="00AD2A48">
        <w:rPr>
          <w:rFonts w:asciiTheme="minorHAnsi" w:hAnsiTheme="minorHAnsi" w:cstheme="minorHAnsi"/>
          <w:szCs w:val="24"/>
        </w:rPr>
        <w:tab/>
        <w:t xml:space="preserve">Gonzales D, Hajek P, Pliamm L, et al. Retreatment with varenicline for smoking cessation in smokers who have previously taken varenicline: a randomized, placebo-controlled trial. </w:t>
      </w:r>
      <w:r w:rsidRPr="00AD2A48">
        <w:rPr>
          <w:rFonts w:asciiTheme="minorHAnsi" w:hAnsiTheme="minorHAnsi" w:cstheme="minorHAnsi"/>
          <w:i/>
          <w:szCs w:val="24"/>
        </w:rPr>
        <w:t>Clin Pharmacol Ther</w:t>
      </w:r>
      <w:r w:rsidRPr="00AD2A48">
        <w:rPr>
          <w:rFonts w:asciiTheme="minorHAnsi" w:hAnsiTheme="minorHAnsi" w:cstheme="minorHAnsi"/>
          <w:szCs w:val="24"/>
        </w:rPr>
        <w:t xml:space="preserve"> 2014; </w:t>
      </w:r>
      <w:r w:rsidRPr="00AD2A48">
        <w:rPr>
          <w:rFonts w:asciiTheme="minorHAnsi" w:hAnsiTheme="minorHAnsi" w:cstheme="minorHAnsi"/>
          <w:b/>
          <w:szCs w:val="24"/>
        </w:rPr>
        <w:t>96</w:t>
      </w:r>
      <w:r w:rsidRPr="00AD2A48">
        <w:rPr>
          <w:rFonts w:asciiTheme="minorHAnsi" w:hAnsiTheme="minorHAnsi" w:cstheme="minorHAnsi"/>
          <w:szCs w:val="24"/>
        </w:rPr>
        <w:t>(3): 390-6.</w:t>
      </w:r>
      <w:bookmarkEnd w:id="273"/>
    </w:p>
    <w:p w14:paraId="7E63C1B0"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4" w:name="_ENREF_43"/>
      <w:r w:rsidRPr="00AD2A48">
        <w:rPr>
          <w:rFonts w:asciiTheme="minorHAnsi" w:hAnsiTheme="minorHAnsi" w:cstheme="minorHAnsi"/>
          <w:szCs w:val="24"/>
        </w:rPr>
        <w:t>43.</w:t>
      </w:r>
      <w:r w:rsidRPr="00AD2A48">
        <w:rPr>
          <w:rFonts w:asciiTheme="minorHAnsi" w:hAnsiTheme="minorHAnsi" w:cstheme="minorHAnsi"/>
          <w:szCs w:val="24"/>
        </w:rPr>
        <w:tab/>
        <w:t xml:space="preserve">Gonzales DH, Nides MA, Ferry LH, et al. Bupropion SR as an aid to smoking cessation in smokers treated previously with bupropion: a randomized placebo‐controlled study. </w:t>
      </w:r>
      <w:r w:rsidRPr="00AD2A48">
        <w:rPr>
          <w:rFonts w:asciiTheme="minorHAnsi" w:hAnsiTheme="minorHAnsi" w:cstheme="minorHAnsi"/>
          <w:i/>
          <w:szCs w:val="24"/>
        </w:rPr>
        <w:t>Clinical Pharmacology &amp; Therapeutics</w:t>
      </w:r>
      <w:r w:rsidRPr="00AD2A48">
        <w:rPr>
          <w:rFonts w:asciiTheme="minorHAnsi" w:hAnsiTheme="minorHAnsi" w:cstheme="minorHAnsi"/>
          <w:szCs w:val="24"/>
        </w:rPr>
        <w:t xml:space="preserve"> 2001; </w:t>
      </w:r>
      <w:r w:rsidRPr="00AD2A48">
        <w:rPr>
          <w:rFonts w:asciiTheme="minorHAnsi" w:hAnsiTheme="minorHAnsi" w:cstheme="minorHAnsi"/>
          <w:b/>
          <w:szCs w:val="24"/>
        </w:rPr>
        <w:t>69</w:t>
      </w:r>
      <w:r w:rsidRPr="00AD2A48">
        <w:rPr>
          <w:rFonts w:asciiTheme="minorHAnsi" w:hAnsiTheme="minorHAnsi" w:cstheme="minorHAnsi"/>
          <w:szCs w:val="24"/>
        </w:rPr>
        <w:t>(6): 438-44.</w:t>
      </w:r>
      <w:bookmarkEnd w:id="274"/>
    </w:p>
    <w:p w14:paraId="65115ADE"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5" w:name="_ENREF_44"/>
      <w:r w:rsidRPr="00AD2A48">
        <w:rPr>
          <w:rFonts w:asciiTheme="minorHAnsi" w:hAnsiTheme="minorHAnsi" w:cstheme="minorHAnsi"/>
          <w:szCs w:val="24"/>
        </w:rPr>
        <w:t>44.</w:t>
      </w:r>
      <w:r w:rsidRPr="00AD2A48">
        <w:rPr>
          <w:rFonts w:asciiTheme="minorHAnsi" w:hAnsiTheme="minorHAnsi" w:cstheme="minorHAnsi"/>
          <w:szCs w:val="24"/>
        </w:rPr>
        <w:tab/>
        <w:t xml:space="preserve">Selby P, Ainslie M, Stepner N, Roberts J. Sustained‐release bupropion (Zybanr) is effective in the re‐treatment of relapsed adult smokers. </w:t>
      </w:r>
      <w:r w:rsidRPr="00AD2A48">
        <w:rPr>
          <w:rFonts w:asciiTheme="minorHAnsi" w:hAnsiTheme="minorHAnsi" w:cstheme="minorHAnsi"/>
          <w:i/>
          <w:szCs w:val="24"/>
        </w:rPr>
        <w:t>American Journal of Respiratory and Critical Care Medicine</w:t>
      </w:r>
      <w:r w:rsidRPr="00AD2A48">
        <w:rPr>
          <w:rFonts w:asciiTheme="minorHAnsi" w:hAnsiTheme="minorHAnsi" w:cstheme="minorHAnsi"/>
          <w:szCs w:val="24"/>
        </w:rPr>
        <w:t xml:space="preserve"> 2003; </w:t>
      </w:r>
      <w:r w:rsidRPr="00AD2A48">
        <w:rPr>
          <w:rFonts w:asciiTheme="minorHAnsi" w:hAnsiTheme="minorHAnsi" w:cstheme="minorHAnsi"/>
          <w:b/>
          <w:szCs w:val="24"/>
        </w:rPr>
        <w:t>167</w:t>
      </w:r>
      <w:r w:rsidRPr="00AD2A48">
        <w:rPr>
          <w:rFonts w:asciiTheme="minorHAnsi" w:hAnsiTheme="minorHAnsi" w:cstheme="minorHAnsi"/>
          <w:szCs w:val="24"/>
        </w:rPr>
        <w:t>(7): A47.</w:t>
      </w:r>
      <w:bookmarkEnd w:id="275"/>
    </w:p>
    <w:p w14:paraId="271AB26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6" w:name="_ENREF_45"/>
      <w:r w:rsidRPr="00AD2A48">
        <w:rPr>
          <w:rFonts w:asciiTheme="minorHAnsi" w:hAnsiTheme="minorHAnsi" w:cstheme="minorHAnsi"/>
          <w:szCs w:val="24"/>
        </w:rPr>
        <w:t>45.</w:t>
      </w:r>
      <w:r w:rsidRPr="00AD2A48">
        <w:rPr>
          <w:rFonts w:asciiTheme="minorHAnsi" w:hAnsiTheme="minorHAnsi" w:cstheme="minorHAnsi"/>
          <w:szCs w:val="24"/>
        </w:rPr>
        <w:tab/>
        <w:t xml:space="preserve">Gourlay SG, Forbes A, Marriner T, Pethica D, McNeil JJ. Double blind trial of repeated treatment with transdermal nicotine for relapsed smokers. </w:t>
      </w:r>
      <w:r w:rsidRPr="00AD2A48">
        <w:rPr>
          <w:rFonts w:asciiTheme="minorHAnsi" w:hAnsiTheme="minorHAnsi" w:cstheme="minorHAnsi"/>
          <w:i/>
          <w:szCs w:val="24"/>
        </w:rPr>
        <w:t>BMJ</w:t>
      </w:r>
      <w:r w:rsidRPr="00AD2A48">
        <w:rPr>
          <w:rFonts w:asciiTheme="minorHAnsi" w:hAnsiTheme="minorHAnsi" w:cstheme="minorHAnsi"/>
          <w:szCs w:val="24"/>
        </w:rPr>
        <w:t xml:space="preserve"> 1995; </w:t>
      </w:r>
      <w:r w:rsidRPr="00AD2A48">
        <w:rPr>
          <w:rFonts w:asciiTheme="minorHAnsi" w:hAnsiTheme="minorHAnsi" w:cstheme="minorHAnsi"/>
          <w:b/>
          <w:szCs w:val="24"/>
        </w:rPr>
        <w:t>311</w:t>
      </w:r>
      <w:r w:rsidRPr="00AD2A48">
        <w:rPr>
          <w:rFonts w:asciiTheme="minorHAnsi" w:hAnsiTheme="minorHAnsi" w:cstheme="minorHAnsi"/>
          <w:szCs w:val="24"/>
        </w:rPr>
        <w:t>(7001): 363-6.</w:t>
      </w:r>
      <w:bookmarkEnd w:id="276"/>
    </w:p>
    <w:p w14:paraId="2BDD6F85"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7" w:name="_ENREF_46"/>
      <w:r w:rsidRPr="00AD2A48">
        <w:rPr>
          <w:rFonts w:asciiTheme="minorHAnsi" w:hAnsiTheme="minorHAnsi" w:cstheme="minorHAnsi"/>
          <w:szCs w:val="24"/>
        </w:rPr>
        <w:t>46.</w:t>
      </w:r>
      <w:r w:rsidRPr="00AD2A48">
        <w:rPr>
          <w:rFonts w:asciiTheme="minorHAnsi" w:hAnsiTheme="minorHAnsi" w:cstheme="minorHAnsi"/>
          <w:szCs w:val="24"/>
        </w:rPr>
        <w:tab/>
        <w:t xml:space="preserve">Chen LS, Baker TB, Miller JP, et al. Genetic Variant in CHRNA5 and Response to Varenicline and Combination Nicotine Replacement in a Randomized Placebo-Controlled Trial. </w:t>
      </w:r>
      <w:r w:rsidRPr="00AD2A48">
        <w:rPr>
          <w:rFonts w:asciiTheme="minorHAnsi" w:hAnsiTheme="minorHAnsi" w:cstheme="minorHAnsi"/>
          <w:i/>
          <w:szCs w:val="24"/>
        </w:rPr>
        <w:t>Clin Pharmacol Ther</w:t>
      </w:r>
      <w:r w:rsidRPr="00AD2A48">
        <w:rPr>
          <w:rFonts w:asciiTheme="minorHAnsi" w:hAnsiTheme="minorHAnsi" w:cstheme="minorHAnsi"/>
          <w:szCs w:val="24"/>
        </w:rPr>
        <w:t xml:space="preserve"> 2020.</w:t>
      </w:r>
      <w:bookmarkEnd w:id="277"/>
    </w:p>
    <w:p w14:paraId="53AFC34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8" w:name="_ENREF_47"/>
      <w:r w:rsidRPr="00AD2A48">
        <w:rPr>
          <w:rFonts w:asciiTheme="minorHAnsi" w:hAnsiTheme="minorHAnsi" w:cstheme="minorHAnsi"/>
          <w:szCs w:val="24"/>
        </w:rPr>
        <w:t>47.</w:t>
      </w:r>
      <w:r w:rsidRPr="00AD2A48">
        <w:rPr>
          <w:rFonts w:asciiTheme="minorHAnsi" w:hAnsiTheme="minorHAnsi" w:cstheme="minorHAnsi"/>
          <w:szCs w:val="24"/>
        </w:rPr>
        <w:tab/>
        <w:t xml:space="preserve">Leung MKW, Bai D, Yip BHK, et al. Combined nicotine patch with gum versus nicotine patch alone in smoking cessation in Hong Kong primary care clinics: a randomised controlled trial. </w:t>
      </w:r>
      <w:r w:rsidRPr="00AD2A48">
        <w:rPr>
          <w:rFonts w:asciiTheme="minorHAnsi" w:hAnsiTheme="minorHAnsi" w:cstheme="minorHAnsi"/>
          <w:i/>
          <w:szCs w:val="24"/>
        </w:rPr>
        <w:t>BMC public health</w:t>
      </w:r>
      <w:r w:rsidRPr="00AD2A48">
        <w:rPr>
          <w:rFonts w:asciiTheme="minorHAnsi" w:hAnsiTheme="minorHAnsi" w:cstheme="minorHAnsi"/>
          <w:szCs w:val="24"/>
        </w:rPr>
        <w:t xml:space="preserve"> 2019; </w:t>
      </w:r>
      <w:r w:rsidRPr="00AD2A48">
        <w:rPr>
          <w:rFonts w:asciiTheme="minorHAnsi" w:hAnsiTheme="minorHAnsi" w:cstheme="minorHAnsi"/>
          <w:b/>
          <w:szCs w:val="24"/>
        </w:rPr>
        <w:t>19</w:t>
      </w:r>
      <w:r w:rsidRPr="00AD2A48">
        <w:rPr>
          <w:rFonts w:asciiTheme="minorHAnsi" w:hAnsiTheme="minorHAnsi" w:cstheme="minorHAnsi"/>
          <w:szCs w:val="24"/>
        </w:rPr>
        <w:t>(1): 1302.</w:t>
      </w:r>
      <w:bookmarkEnd w:id="278"/>
    </w:p>
    <w:p w14:paraId="2A773122"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79" w:name="_ENREF_48"/>
      <w:r w:rsidRPr="00AD2A48">
        <w:rPr>
          <w:rFonts w:asciiTheme="minorHAnsi" w:hAnsiTheme="minorHAnsi" w:cstheme="minorHAnsi"/>
          <w:szCs w:val="24"/>
        </w:rPr>
        <w:lastRenderedPageBreak/>
        <w:t>48.</w:t>
      </w:r>
      <w:r w:rsidRPr="00AD2A48">
        <w:rPr>
          <w:rFonts w:asciiTheme="minorHAnsi" w:hAnsiTheme="minorHAnsi" w:cstheme="minorHAnsi"/>
          <w:szCs w:val="24"/>
        </w:rPr>
        <w:tab/>
        <w:t xml:space="preserve">Cahill K, Stevens S, Perera R, Lancaster T. Pharmacological interventions for smoking cessation: an overview and network meta-analysis. </w:t>
      </w:r>
      <w:r w:rsidRPr="00AD2A48">
        <w:rPr>
          <w:rFonts w:asciiTheme="minorHAnsi" w:hAnsiTheme="minorHAnsi" w:cstheme="minorHAnsi"/>
          <w:i/>
          <w:szCs w:val="24"/>
        </w:rPr>
        <w:t>The Cochrane database of systematic reviews</w:t>
      </w:r>
      <w:r w:rsidRPr="00AD2A48">
        <w:rPr>
          <w:rFonts w:asciiTheme="minorHAnsi" w:hAnsiTheme="minorHAnsi" w:cstheme="minorHAnsi"/>
          <w:szCs w:val="24"/>
        </w:rPr>
        <w:t xml:space="preserve"> 2013; </w:t>
      </w:r>
      <w:r w:rsidRPr="00AD2A48">
        <w:rPr>
          <w:rFonts w:asciiTheme="minorHAnsi" w:hAnsiTheme="minorHAnsi" w:cstheme="minorHAnsi"/>
          <w:b/>
          <w:szCs w:val="24"/>
        </w:rPr>
        <w:t>5</w:t>
      </w:r>
      <w:r w:rsidRPr="00AD2A48">
        <w:rPr>
          <w:rFonts w:asciiTheme="minorHAnsi" w:hAnsiTheme="minorHAnsi" w:cstheme="minorHAnsi"/>
          <w:szCs w:val="24"/>
        </w:rPr>
        <w:t>: CD009329.</w:t>
      </w:r>
      <w:bookmarkEnd w:id="279"/>
    </w:p>
    <w:p w14:paraId="53E4D758"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0" w:name="_ENREF_49"/>
      <w:r w:rsidRPr="00AD2A48">
        <w:rPr>
          <w:rFonts w:asciiTheme="minorHAnsi" w:hAnsiTheme="minorHAnsi" w:cstheme="minorHAnsi"/>
          <w:szCs w:val="24"/>
        </w:rPr>
        <w:t>49.</w:t>
      </w:r>
      <w:r w:rsidRPr="00AD2A48">
        <w:rPr>
          <w:rFonts w:asciiTheme="minorHAnsi" w:hAnsiTheme="minorHAnsi" w:cstheme="minorHAnsi"/>
          <w:szCs w:val="24"/>
        </w:rPr>
        <w:tab/>
        <w:t xml:space="preserve">Chang PH, Chiang CH, Ho WC, Wu PZ, Tsai JS, Guo FR. Combination therapy of varenicline with nicotine replacement therapy is better than varenicline alone: a systematic review and meta-analysis of randomized controlled trials. </w:t>
      </w:r>
      <w:r w:rsidRPr="00AD2A48">
        <w:rPr>
          <w:rFonts w:asciiTheme="minorHAnsi" w:hAnsiTheme="minorHAnsi" w:cstheme="minorHAnsi"/>
          <w:i/>
          <w:szCs w:val="24"/>
        </w:rPr>
        <w:t>BMC Public Health</w:t>
      </w:r>
      <w:r w:rsidRPr="00AD2A48">
        <w:rPr>
          <w:rFonts w:asciiTheme="minorHAnsi" w:hAnsiTheme="minorHAnsi" w:cstheme="minorHAnsi"/>
          <w:szCs w:val="24"/>
        </w:rPr>
        <w:t xml:space="preserve"> 2015; </w:t>
      </w:r>
      <w:r w:rsidRPr="00AD2A48">
        <w:rPr>
          <w:rFonts w:asciiTheme="minorHAnsi" w:hAnsiTheme="minorHAnsi" w:cstheme="minorHAnsi"/>
          <w:b/>
          <w:szCs w:val="24"/>
        </w:rPr>
        <w:t>15</w:t>
      </w:r>
      <w:r w:rsidRPr="00AD2A48">
        <w:rPr>
          <w:rFonts w:asciiTheme="minorHAnsi" w:hAnsiTheme="minorHAnsi" w:cstheme="minorHAnsi"/>
          <w:szCs w:val="24"/>
        </w:rPr>
        <w:t>: 689.</w:t>
      </w:r>
      <w:bookmarkEnd w:id="280"/>
    </w:p>
    <w:p w14:paraId="1DBED88A"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1" w:name="_ENREF_50"/>
      <w:r w:rsidRPr="00AD2A48">
        <w:rPr>
          <w:rFonts w:asciiTheme="minorHAnsi" w:hAnsiTheme="minorHAnsi" w:cstheme="minorHAnsi"/>
          <w:szCs w:val="24"/>
        </w:rPr>
        <w:t>50.</w:t>
      </w:r>
      <w:r w:rsidRPr="00AD2A48">
        <w:rPr>
          <w:rFonts w:asciiTheme="minorHAnsi" w:hAnsiTheme="minorHAnsi" w:cstheme="minorHAnsi"/>
          <w:szCs w:val="24"/>
        </w:rPr>
        <w:tab/>
        <w:t xml:space="preserve">Lindson N, Klemperer E, Hong B, Ordonez-Mena JM, Aveyard P. Smoking reduction interventions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9</w:t>
      </w:r>
      <w:r w:rsidRPr="00AD2A48">
        <w:rPr>
          <w:rFonts w:asciiTheme="minorHAnsi" w:hAnsiTheme="minorHAnsi" w:cstheme="minorHAnsi"/>
          <w:szCs w:val="24"/>
        </w:rPr>
        <w:t>: CD013183.</w:t>
      </w:r>
      <w:bookmarkEnd w:id="281"/>
    </w:p>
    <w:p w14:paraId="5630225B"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2" w:name="_ENREF_51"/>
      <w:r w:rsidRPr="00AD2A48">
        <w:rPr>
          <w:rFonts w:asciiTheme="minorHAnsi" w:hAnsiTheme="minorHAnsi" w:cstheme="minorHAnsi"/>
          <w:szCs w:val="24"/>
        </w:rPr>
        <w:t>51.</w:t>
      </w:r>
      <w:r w:rsidRPr="00AD2A48">
        <w:rPr>
          <w:rFonts w:asciiTheme="minorHAnsi" w:hAnsiTheme="minorHAnsi" w:cstheme="minorHAnsi"/>
          <w:szCs w:val="24"/>
        </w:rPr>
        <w:tab/>
        <w:t xml:space="preserve">Ellerbeck EF, Nollen N, Hutcheson TD, et al. Effect of Long-term Nicotine Replacement Therapy vs Standard Smoking Cessation for Smokers With Chronic Lung Disease: A Randomized Clinical Trial. </w:t>
      </w:r>
      <w:r w:rsidRPr="00AD2A48">
        <w:rPr>
          <w:rFonts w:asciiTheme="minorHAnsi" w:hAnsiTheme="minorHAnsi" w:cstheme="minorHAnsi"/>
          <w:i/>
          <w:szCs w:val="24"/>
        </w:rPr>
        <w:t>JAMA Netw Open</w:t>
      </w:r>
      <w:r w:rsidRPr="00AD2A48">
        <w:rPr>
          <w:rFonts w:asciiTheme="minorHAnsi" w:hAnsiTheme="minorHAnsi" w:cstheme="minorHAnsi"/>
          <w:szCs w:val="24"/>
        </w:rPr>
        <w:t xml:space="preserve"> 2018; </w:t>
      </w:r>
      <w:r w:rsidRPr="00AD2A48">
        <w:rPr>
          <w:rFonts w:asciiTheme="minorHAnsi" w:hAnsiTheme="minorHAnsi" w:cstheme="minorHAnsi"/>
          <w:b/>
          <w:szCs w:val="24"/>
        </w:rPr>
        <w:t>1</w:t>
      </w:r>
      <w:r w:rsidRPr="00AD2A48">
        <w:rPr>
          <w:rFonts w:asciiTheme="minorHAnsi" w:hAnsiTheme="minorHAnsi" w:cstheme="minorHAnsi"/>
          <w:szCs w:val="24"/>
        </w:rPr>
        <w:t>(5): e181843.</w:t>
      </w:r>
      <w:bookmarkEnd w:id="282"/>
    </w:p>
    <w:p w14:paraId="3E595697"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3" w:name="_ENREF_52"/>
      <w:r w:rsidRPr="00AD2A48">
        <w:rPr>
          <w:rFonts w:asciiTheme="minorHAnsi" w:hAnsiTheme="minorHAnsi" w:cstheme="minorHAnsi"/>
          <w:szCs w:val="24"/>
        </w:rPr>
        <w:t>52.</w:t>
      </w:r>
      <w:r w:rsidRPr="00AD2A48">
        <w:rPr>
          <w:rFonts w:asciiTheme="minorHAnsi" w:hAnsiTheme="minorHAnsi" w:cstheme="minorHAnsi"/>
          <w:szCs w:val="24"/>
        </w:rPr>
        <w:tab/>
        <w:t xml:space="preserve">Dedert EA, Dennis PA, Calhoun PS, Dennis MF, Beckham JC. A Randomized Clinical Trial of Nicotine Preloading for Smoking Cessation in People with Posttraumatic Stress Disorder. </w:t>
      </w:r>
      <w:r w:rsidRPr="00AD2A48">
        <w:rPr>
          <w:rFonts w:asciiTheme="minorHAnsi" w:hAnsiTheme="minorHAnsi" w:cstheme="minorHAnsi"/>
          <w:i/>
          <w:szCs w:val="24"/>
        </w:rPr>
        <w:t>J Dual Diagn</w:t>
      </w:r>
      <w:r w:rsidRPr="00AD2A48">
        <w:rPr>
          <w:rFonts w:asciiTheme="minorHAnsi" w:hAnsiTheme="minorHAnsi" w:cstheme="minorHAnsi"/>
          <w:szCs w:val="24"/>
        </w:rPr>
        <w:t xml:space="preserve"> 2018; </w:t>
      </w:r>
      <w:r w:rsidRPr="00AD2A48">
        <w:rPr>
          <w:rFonts w:asciiTheme="minorHAnsi" w:hAnsiTheme="minorHAnsi" w:cstheme="minorHAnsi"/>
          <w:b/>
          <w:szCs w:val="24"/>
        </w:rPr>
        <w:t>14</w:t>
      </w:r>
      <w:r w:rsidRPr="00AD2A48">
        <w:rPr>
          <w:rFonts w:asciiTheme="minorHAnsi" w:hAnsiTheme="minorHAnsi" w:cstheme="minorHAnsi"/>
          <w:szCs w:val="24"/>
        </w:rPr>
        <w:t>(3): 148-57.</w:t>
      </w:r>
      <w:bookmarkEnd w:id="283"/>
    </w:p>
    <w:p w14:paraId="47DBC51A"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4" w:name="_ENREF_53"/>
      <w:r w:rsidRPr="00AD2A48">
        <w:rPr>
          <w:rFonts w:asciiTheme="minorHAnsi" w:hAnsiTheme="minorHAnsi" w:cstheme="minorHAnsi"/>
          <w:szCs w:val="24"/>
        </w:rPr>
        <w:t>53.</w:t>
      </w:r>
      <w:r w:rsidRPr="00AD2A48">
        <w:rPr>
          <w:rFonts w:asciiTheme="minorHAnsi" w:hAnsiTheme="minorHAnsi" w:cstheme="minorHAnsi"/>
          <w:szCs w:val="24"/>
        </w:rPr>
        <w:tab/>
        <w:t xml:space="preserve">Oncken C, Dornelas EA, Kuo CL, et al. Randomized Trial of Nicotine Inhaler for Pregnant Smokers. </w:t>
      </w:r>
      <w:r w:rsidRPr="00AD2A48">
        <w:rPr>
          <w:rFonts w:asciiTheme="minorHAnsi" w:hAnsiTheme="minorHAnsi" w:cstheme="minorHAnsi"/>
          <w:i/>
          <w:szCs w:val="24"/>
        </w:rPr>
        <w:t>Am J Obstet Gynecol MFM</w:t>
      </w:r>
      <w:r w:rsidRPr="00AD2A48">
        <w:rPr>
          <w:rFonts w:asciiTheme="minorHAnsi" w:hAnsiTheme="minorHAnsi" w:cstheme="minorHAnsi"/>
          <w:szCs w:val="24"/>
        </w:rPr>
        <w:t xml:space="preserve"> 2019; </w:t>
      </w:r>
      <w:r w:rsidRPr="00AD2A48">
        <w:rPr>
          <w:rFonts w:asciiTheme="minorHAnsi" w:hAnsiTheme="minorHAnsi" w:cstheme="minorHAnsi"/>
          <w:b/>
          <w:szCs w:val="24"/>
        </w:rPr>
        <w:t>1</w:t>
      </w:r>
      <w:r w:rsidRPr="00AD2A48">
        <w:rPr>
          <w:rFonts w:asciiTheme="minorHAnsi" w:hAnsiTheme="minorHAnsi" w:cstheme="minorHAnsi"/>
          <w:szCs w:val="24"/>
        </w:rPr>
        <w:t>(1): 10-8.</w:t>
      </w:r>
      <w:bookmarkEnd w:id="284"/>
    </w:p>
    <w:p w14:paraId="727C527B"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5" w:name="_ENREF_54"/>
      <w:r w:rsidRPr="00AD2A48">
        <w:rPr>
          <w:rFonts w:asciiTheme="minorHAnsi" w:hAnsiTheme="minorHAnsi" w:cstheme="minorHAnsi"/>
          <w:szCs w:val="24"/>
        </w:rPr>
        <w:t>54.</w:t>
      </w:r>
      <w:r w:rsidRPr="00AD2A48">
        <w:rPr>
          <w:rFonts w:asciiTheme="minorHAnsi" w:hAnsiTheme="minorHAnsi" w:cstheme="minorHAnsi"/>
          <w:szCs w:val="24"/>
        </w:rPr>
        <w:tab/>
        <w:t xml:space="preserve">Nides M, Danielsson T, Saunders F, et al. Efficacy and Safety of a Nicotine Mouth Spray for Smoking Cessation: A Randomized, Multicenter, Controlled Study in a Naturalistic Setting. </w:t>
      </w:r>
      <w:r w:rsidRPr="00AD2A48">
        <w:rPr>
          <w:rFonts w:asciiTheme="minorHAnsi" w:hAnsiTheme="minorHAnsi" w:cstheme="minorHAnsi"/>
          <w:i/>
          <w:szCs w:val="24"/>
        </w:rPr>
        <w:t>Nicotine Tob Res</w:t>
      </w:r>
      <w:r w:rsidRPr="00AD2A48">
        <w:rPr>
          <w:rFonts w:asciiTheme="minorHAnsi" w:hAnsiTheme="minorHAnsi" w:cstheme="minorHAnsi"/>
          <w:szCs w:val="24"/>
        </w:rPr>
        <w:t xml:space="preserve"> 2020; </w:t>
      </w:r>
      <w:r w:rsidRPr="00AD2A48">
        <w:rPr>
          <w:rFonts w:asciiTheme="minorHAnsi" w:hAnsiTheme="minorHAnsi" w:cstheme="minorHAnsi"/>
          <w:b/>
          <w:szCs w:val="24"/>
        </w:rPr>
        <w:t>22</w:t>
      </w:r>
      <w:r w:rsidRPr="00AD2A48">
        <w:rPr>
          <w:rFonts w:asciiTheme="minorHAnsi" w:hAnsiTheme="minorHAnsi" w:cstheme="minorHAnsi"/>
          <w:szCs w:val="24"/>
        </w:rPr>
        <w:t>(3): 339-45.</w:t>
      </w:r>
      <w:bookmarkEnd w:id="285"/>
    </w:p>
    <w:p w14:paraId="7950B701"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6" w:name="_ENREF_55"/>
      <w:r w:rsidRPr="00AD2A48">
        <w:rPr>
          <w:rFonts w:asciiTheme="minorHAnsi" w:hAnsiTheme="minorHAnsi" w:cstheme="minorHAnsi"/>
          <w:szCs w:val="24"/>
        </w:rPr>
        <w:t>55.</w:t>
      </w:r>
      <w:r w:rsidRPr="00AD2A48">
        <w:rPr>
          <w:rFonts w:asciiTheme="minorHAnsi" w:hAnsiTheme="minorHAnsi" w:cstheme="minorHAnsi"/>
          <w:szCs w:val="24"/>
        </w:rPr>
        <w:tab/>
        <w:t xml:space="preserve">Lancaster T, Stead LF. Individual behavioural counselling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2017; </w:t>
      </w:r>
      <w:r w:rsidRPr="00AD2A48">
        <w:rPr>
          <w:rFonts w:asciiTheme="minorHAnsi" w:hAnsiTheme="minorHAnsi" w:cstheme="minorHAnsi"/>
          <w:b/>
          <w:szCs w:val="24"/>
        </w:rPr>
        <w:t>3</w:t>
      </w:r>
      <w:r w:rsidRPr="00AD2A48">
        <w:rPr>
          <w:rFonts w:asciiTheme="minorHAnsi" w:hAnsiTheme="minorHAnsi" w:cstheme="minorHAnsi"/>
          <w:szCs w:val="24"/>
        </w:rPr>
        <w:t>: CD001292.</w:t>
      </w:r>
      <w:bookmarkEnd w:id="286"/>
    </w:p>
    <w:p w14:paraId="4663EFE0"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7" w:name="_ENREF_56"/>
      <w:r w:rsidRPr="00AD2A48">
        <w:rPr>
          <w:rFonts w:asciiTheme="minorHAnsi" w:hAnsiTheme="minorHAnsi" w:cstheme="minorHAnsi"/>
          <w:szCs w:val="24"/>
        </w:rPr>
        <w:t>56.</w:t>
      </w:r>
      <w:r w:rsidRPr="00AD2A48">
        <w:rPr>
          <w:rFonts w:asciiTheme="minorHAnsi" w:hAnsiTheme="minorHAnsi" w:cstheme="minorHAnsi"/>
          <w:szCs w:val="24"/>
        </w:rPr>
        <w:tab/>
        <w:t xml:space="preserve">Stead LF, Carroll AJ, Lancaster T. Group behaviour therapy programmes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2017; </w:t>
      </w:r>
      <w:r w:rsidRPr="00AD2A48">
        <w:rPr>
          <w:rFonts w:asciiTheme="minorHAnsi" w:hAnsiTheme="minorHAnsi" w:cstheme="minorHAnsi"/>
          <w:b/>
          <w:szCs w:val="24"/>
        </w:rPr>
        <w:t>3</w:t>
      </w:r>
      <w:r w:rsidRPr="00AD2A48">
        <w:rPr>
          <w:rFonts w:asciiTheme="minorHAnsi" w:hAnsiTheme="minorHAnsi" w:cstheme="minorHAnsi"/>
          <w:szCs w:val="24"/>
        </w:rPr>
        <w:t>: CD001007.</w:t>
      </w:r>
      <w:bookmarkEnd w:id="287"/>
    </w:p>
    <w:p w14:paraId="3AE8DF39"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8" w:name="_ENREF_57"/>
      <w:r w:rsidRPr="00AD2A48">
        <w:rPr>
          <w:rFonts w:asciiTheme="minorHAnsi" w:hAnsiTheme="minorHAnsi" w:cstheme="minorHAnsi"/>
          <w:szCs w:val="24"/>
        </w:rPr>
        <w:t>57.</w:t>
      </w:r>
      <w:r w:rsidRPr="00AD2A48">
        <w:rPr>
          <w:rFonts w:asciiTheme="minorHAnsi" w:hAnsiTheme="minorHAnsi" w:cstheme="minorHAnsi"/>
          <w:szCs w:val="24"/>
        </w:rPr>
        <w:tab/>
        <w:t xml:space="preserve">Carson-Chahhoud KV, Livingstone-Banks J, Sharrad KJ, et al. Community pharmacy personnel interventions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2019</w:t>
      </w:r>
      <w:r w:rsidRPr="00AD2A48">
        <w:rPr>
          <w:rFonts w:asciiTheme="minorHAnsi" w:hAnsiTheme="minorHAnsi" w:cstheme="minorHAnsi"/>
          <w:szCs w:val="24"/>
        </w:rPr>
        <w:t>(10).</w:t>
      </w:r>
      <w:bookmarkEnd w:id="288"/>
    </w:p>
    <w:p w14:paraId="41B97197"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89" w:name="_ENREF_58"/>
      <w:r w:rsidRPr="00AD2A48">
        <w:rPr>
          <w:rFonts w:asciiTheme="minorHAnsi" w:hAnsiTheme="minorHAnsi" w:cstheme="minorHAnsi"/>
          <w:szCs w:val="24"/>
        </w:rPr>
        <w:t>58.</w:t>
      </w:r>
      <w:r w:rsidRPr="00AD2A48">
        <w:rPr>
          <w:rFonts w:asciiTheme="minorHAnsi" w:hAnsiTheme="minorHAnsi" w:cstheme="minorHAnsi"/>
          <w:szCs w:val="24"/>
        </w:rPr>
        <w:tab/>
        <w:t xml:space="preserve">Hartmann-Boyce J, Hong B, Livingstone-Banks J, Wheat H, Fanshawe TR. Additional behavioural support as an adjunct to pharmacotherapy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6</w:t>
      </w:r>
      <w:r w:rsidRPr="00AD2A48">
        <w:rPr>
          <w:rFonts w:asciiTheme="minorHAnsi" w:hAnsiTheme="minorHAnsi" w:cstheme="minorHAnsi"/>
          <w:szCs w:val="24"/>
        </w:rPr>
        <w:t>: CD009670.</w:t>
      </w:r>
      <w:bookmarkEnd w:id="289"/>
    </w:p>
    <w:p w14:paraId="40308AE4"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90" w:name="_ENREF_59"/>
      <w:r w:rsidRPr="00AD2A48">
        <w:rPr>
          <w:rFonts w:asciiTheme="minorHAnsi" w:hAnsiTheme="minorHAnsi" w:cstheme="minorHAnsi"/>
          <w:szCs w:val="24"/>
        </w:rPr>
        <w:t>59.</w:t>
      </w:r>
      <w:r w:rsidRPr="00AD2A48">
        <w:rPr>
          <w:rFonts w:asciiTheme="minorHAnsi" w:hAnsiTheme="minorHAnsi" w:cstheme="minorHAnsi"/>
          <w:szCs w:val="24"/>
        </w:rPr>
        <w:tab/>
        <w:t xml:space="preserve">Livingstone-Banks J, Ordonez-Mena JM, Hartmann-Boyce J. Print-based self-help interventions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1</w:t>
      </w:r>
      <w:r w:rsidRPr="00AD2A48">
        <w:rPr>
          <w:rFonts w:asciiTheme="minorHAnsi" w:hAnsiTheme="minorHAnsi" w:cstheme="minorHAnsi"/>
          <w:szCs w:val="24"/>
        </w:rPr>
        <w:t>: CD001118.</w:t>
      </w:r>
      <w:bookmarkEnd w:id="290"/>
    </w:p>
    <w:p w14:paraId="29B42A11"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91" w:name="_ENREF_60"/>
      <w:r w:rsidRPr="00AD2A48">
        <w:rPr>
          <w:rFonts w:asciiTheme="minorHAnsi" w:hAnsiTheme="minorHAnsi" w:cstheme="minorHAnsi"/>
          <w:szCs w:val="24"/>
        </w:rPr>
        <w:t>60.</w:t>
      </w:r>
      <w:r w:rsidRPr="00AD2A48">
        <w:rPr>
          <w:rFonts w:asciiTheme="minorHAnsi" w:hAnsiTheme="minorHAnsi" w:cstheme="minorHAnsi"/>
          <w:szCs w:val="24"/>
        </w:rPr>
        <w:tab/>
        <w:t xml:space="preserve">Matkin W, Ordonez-Mena JM, Hartmann-Boyce J. Telephone counselling for smoking cessation.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2019; </w:t>
      </w:r>
      <w:r w:rsidRPr="00AD2A48">
        <w:rPr>
          <w:rFonts w:asciiTheme="minorHAnsi" w:hAnsiTheme="minorHAnsi" w:cstheme="minorHAnsi"/>
          <w:b/>
          <w:szCs w:val="24"/>
        </w:rPr>
        <w:t>5</w:t>
      </w:r>
      <w:r w:rsidRPr="00AD2A48">
        <w:rPr>
          <w:rFonts w:asciiTheme="minorHAnsi" w:hAnsiTheme="minorHAnsi" w:cstheme="minorHAnsi"/>
          <w:szCs w:val="24"/>
        </w:rPr>
        <w:t>: CD002850.</w:t>
      </w:r>
      <w:bookmarkEnd w:id="291"/>
    </w:p>
    <w:p w14:paraId="674D034B"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92" w:name="_ENREF_61"/>
      <w:r w:rsidRPr="00AD2A48">
        <w:rPr>
          <w:rFonts w:asciiTheme="minorHAnsi" w:hAnsiTheme="minorHAnsi" w:cstheme="minorHAnsi"/>
          <w:szCs w:val="24"/>
        </w:rPr>
        <w:t>61.</w:t>
      </w:r>
      <w:r w:rsidRPr="00AD2A48">
        <w:rPr>
          <w:rFonts w:asciiTheme="minorHAnsi" w:hAnsiTheme="minorHAnsi" w:cstheme="minorHAnsi"/>
          <w:szCs w:val="24"/>
        </w:rPr>
        <w:tab/>
        <w:t xml:space="preserve">Claire R, Chamberlain C, Davey MA, et al. Pharmacological interventions for promoting smoking cessation during pregnancy.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2020; </w:t>
      </w:r>
      <w:r w:rsidRPr="00AD2A48">
        <w:rPr>
          <w:rFonts w:asciiTheme="minorHAnsi" w:hAnsiTheme="minorHAnsi" w:cstheme="minorHAnsi"/>
          <w:b/>
          <w:szCs w:val="24"/>
        </w:rPr>
        <w:t>3</w:t>
      </w:r>
      <w:r w:rsidRPr="00AD2A48">
        <w:rPr>
          <w:rFonts w:asciiTheme="minorHAnsi" w:hAnsiTheme="minorHAnsi" w:cstheme="minorHAnsi"/>
          <w:szCs w:val="24"/>
        </w:rPr>
        <w:t>: CD010078.</w:t>
      </w:r>
      <w:bookmarkEnd w:id="292"/>
    </w:p>
    <w:p w14:paraId="5EFC9983"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93" w:name="_ENREF_62"/>
      <w:r w:rsidRPr="00AD2A48">
        <w:rPr>
          <w:rFonts w:asciiTheme="minorHAnsi" w:hAnsiTheme="minorHAnsi" w:cstheme="minorHAnsi"/>
          <w:szCs w:val="24"/>
        </w:rPr>
        <w:t>62.</w:t>
      </w:r>
      <w:r w:rsidRPr="00AD2A48">
        <w:rPr>
          <w:rFonts w:asciiTheme="minorHAnsi" w:hAnsiTheme="minorHAnsi" w:cstheme="minorHAnsi"/>
          <w:szCs w:val="24"/>
        </w:rPr>
        <w:tab/>
        <w:t xml:space="preserve">Fanshawe TR, Halliwell W, Lindson N, Aveyard P, Livingstone-Banks J, Hartmann-Boyce J. Tobacco cessation interventions for young people. </w:t>
      </w:r>
      <w:r w:rsidRPr="00AD2A48">
        <w:rPr>
          <w:rFonts w:asciiTheme="minorHAnsi" w:hAnsiTheme="minorHAnsi" w:cstheme="minorHAnsi"/>
          <w:i/>
          <w:szCs w:val="24"/>
        </w:rPr>
        <w:t>Cochrane Database Syst Rev</w:t>
      </w:r>
      <w:r w:rsidRPr="00AD2A48">
        <w:rPr>
          <w:rFonts w:asciiTheme="minorHAnsi" w:hAnsiTheme="minorHAnsi" w:cstheme="minorHAnsi"/>
          <w:szCs w:val="24"/>
        </w:rPr>
        <w:t xml:space="preserve"> 2017; </w:t>
      </w:r>
      <w:r w:rsidRPr="00AD2A48">
        <w:rPr>
          <w:rFonts w:asciiTheme="minorHAnsi" w:hAnsiTheme="minorHAnsi" w:cstheme="minorHAnsi"/>
          <w:b/>
          <w:szCs w:val="24"/>
        </w:rPr>
        <w:t>11</w:t>
      </w:r>
      <w:r w:rsidRPr="00AD2A48">
        <w:rPr>
          <w:rFonts w:asciiTheme="minorHAnsi" w:hAnsiTheme="minorHAnsi" w:cstheme="minorHAnsi"/>
          <w:szCs w:val="24"/>
        </w:rPr>
        <w:t>: CD003289.</w:t>
      </w:r>
      <w:bookmarkEnd w:id="293"/>
    </w:p>
    <w:p w14:paraId="2D36E102" w14:textId="77777777" w:rsidR="0039468B" w:rsidRPr="00AD2A48" w:rsidRDefault="0039468B" w:rsidP="0058414C">
      <w:pPr>
        <w:pStyle w:val="EndNoteBibliography"/>
        <w:spacing w:after="0"/>
        <w:ind w:left="720" w:hanging="720"/>
        <w:rPr>
          <w:rFonts w:asciiTheme="minorHAnsi" w:hAnsiTheme="minorHAnsi" w:cstheme="minorHAnsi"/>
          <w:szCs w:val="24"/>
        </w:rPr>
      </w:pPr>
      <w:bookmarkStart w:id="294" w:name="_ENREF_63"/>
      <w:r w:rsidRPr="00AD2A48">
        <w:rPr>
          <w:rFonts w:asciiTheme="minorHAnsi" w:hAnsiTheme="minorHAnsi" w:cstheme="minorHAnsi"/>
          <w:szCs w:val="24"/>
        </w:rPr>
        <w:t>63.</w:t>
      </w:r>
      <w:r w:rsidRPr="00AD2A48">
        <w:rPr>
          <w:rFonts w:asciiTheme="minorHAnsi" w:hAnsiTheme="minorHAnsi" w:cstheme="minorHAnsi"/>
          <w:szCs w:val="24"/>
        </w:rPr>
        <w:tab/>
        <w:t xml:space="preserve">Myung SK, Park JY. Efficacy of Pharmacotherapy for Smoking Cessation in Adolescent Smokers: A Meta-analysis of Randomized Controlled Trials. </w:t>
      </w:r>
      <w:r w:rsidRPr="00AD2A48">
        <w:rPr>
          <w:rFonts w:asciiTheme="minorHAnsi" w:hAnsiTheme="minorHAnsi" w:cstheme="minorHAnsi"/>
          <w:i/>
          <w:szCs w:val="24"/>
        </w:rPr>
        <w:t>Nicotine Tob Res</w:t>
      </w:r>
      <w:r w:rsidRPr="00AD2A48">
        <w:rPr>
          <w:rFonts w:asciiTheme="minorHAnsi" w:hAnsiTheme="minorHAnsi" w:cstheme="minorHAnsi"/>
          <w:szCs w:val="24"/>
        </w:rPr>
        <w:t xml:space="preserve"> 2019; </w:t>
      </w:r>
      <w:r w:rsidRPr="00AD2A48">
        <w:rPr>
          <w:rFonts w:asciiTheme="minorHAnsi" w:hAnsiTheme="minorHAnsi" w:cstheme="minorHAnsi"/>
          <w:b/>
          <w:szCs w:val="24"/>
        </w:rPr>
        <w:t>21</w:t>
      </w:r>
      <w:r w:rsidRPr="00AD2A48">
        <w:rPr>
          <w:rFonts w:asciiTheme="minorHAnsi" w:hAnsiTheme="minorHAnsi" w:cstheme="minorHAnsi"/>
          <w:szCs w:val="24"/>
        </w:rPr>
        <w:t>(11): 1473-9.</w:t>
      </w:r>
      <w:bookmarkEnd w:id="294"/>
    </w:p>
    <w:p w14:paraId="3AD22069" w14:textId="77777777" w:rsidR="0039468B" w:rsidRPr="00AD2A48" w:rsidRDefault="0039468B" w:rsidP="0058414C">
      <w:pPr>
        <w:pStyle w:val="EndNoteBibliography"/>
        <w:ind w:left="720" w:hanging="720"/>
        <w:rPr>
          <w:rFonts w:asciiTheme="minorHAnsi" w:hAnsiTheme="minorHAnsi" w:cstheme="minorHAnsi"/>
          <w:szCs w:val="24"/>
        </w:rPr>
      </w:pPr>
      <w:bookmarkStart w:id="295" w:name="_ENREF_64"/>
      <w:r w:rsidRPr="00AD2A48">
        <w:rPr>
          <w:rFonts w:asciiTheme="minorHAnsi" w:hAnsiTheme="minorHAnsi" w:cstheme="minorHAnsi"/>
          <w:szCs w:val="24"/>
        </w:rPr>
        <w:t>64.</w:t>
      </w:r>
      <w:r w:rsidRPr="00AD2A48">
        <w:rPr>
          <w:rFonts w:asciiTheme="minorHAnsi" w:hAnsiTheme="minorHAnsi" w:cstheme="minorHAnsi"/>
          <w:szCs w:val="24"/>
        </w:rPr>
        <w:tab/>
        <w:t xml:space="preserve">Selph S, Patnode C, Bailey SR, Pappas M, Stoner R, Chou R. Primary Care-Relevant Interventions for Tobacco and Nicotine Use Prevention and Cessation in Children and Adolescents: Updated Evidence Report and Systematic Review for the US Preventive Services Task Force. </w:t>
      </w:r>
      <w:r w:rsidRPr="00AD2A48">
        <w:rPr>
          <w:rFonts w:asciiTheme="minorHAnsi" w:hAnsiTheme="minorHAnsi" w:cstheme="minorHAnsi"/>
          <w:i/>
          <w:szCs w:val="24"/>
        </w:rPr>
        <w:t>JAMA</w:t>
      </w:r>
      <w:r w:rsidRPr="00AD2A48">
        <w:rPr>
          <w:rFonts w:asciiTheme="minorHAnsi" w:hAnsiTheme="minorHAnsi" w:cstheme="minorHAnsi"/>
          <w:szCs w:val="24"/>
        </w:rPr>
        <w:t xml:space="preserve"> 2020; </w:t>
      </w:r>
      <w:r w:rsidRPr="00AD2A48">
        <w:rPr>
          <w:rFonts w:asciiTheme="minorHAnsi" w:hAnsiTheme="minorHAnsi" w:cstheme="minorHAnsi"/>
          <w:b/>
          <w:szCs w:val="24"/>
        </w:rPr>
        <w:t>323</w:t>
      </w:r>
      <w:r w:rsidRPr="00AD2A48">
        <w:rPr>
          <w:rFonts w:asciiTheme="minorHAnsi" w:hAnsiTheme="minorHAnsi" w:cstheme="minorHAnsi"/>
          <w:szCs w:val="24"/>
        </w:rPr>
        <w:t>(16): 1599-608.</w:t>
      </w:r>
      <w:bookmarkEnd w:id="295"/>
    </w:p>
    <w:p w14:paraId="7B0142FA" w14:textId="7716DD73" w:rsidR="00E51A3B" w:rsidRPr="00EB70E6" w:rsidRDefault="00930C4A" w:rsidP="00167858">
      <w:pPr>
        <w:pStyle w:val="Heading1"/>
        <w:spacing w:before="0"/>
      </w:pPr>
      <w:r w:rsidRPr="00AD2A48">
        <w:rPr>
          <w:rFonts w:asciiTheme="minorHAnsi" w:hAnsiTheme="minorHAnsi" w:cstheme="minorHAnsi"/>
          <w:szCs w:val="24"/>
        </w:rPr>
        <w:fldChar w:fldCharType="end"/>
      </w:r>
      <w:r w:rsidR="00294174" w:rsidRPr="00AD2A48">
        <w:rPr>
          <w:rFonts w:asciiTheme="minorHAnsi" w:hAnsiTheme="minorHAnsi" w:cstheme="minorHAnsi"/>
          <w:szCs w:val="24"/>
        </w:rPr>
        <w:br w:type="page"/>
      </w:r>
      <w:bookmarkStart w:id="296" w:name="_Appendix_A_-"/>
      <w:bookmarkStart w:id="297" w:name="_Appendix_A_–"/>
      <w:bookmarkStart w:id="298" w:name="_Toc115254517"/>
      <w:bookmarkEnd w:id="296"/>
      <w:bookmarkEnd w:id="297"/>
      <w:r w:rsidR="00E51A3B" w:rsidRPr="00EB70E6">
        <w:lastRenderedPageBreak/>
        <w:t>Appendix</w:t>
      </w:r>
      <w:bookmarkEnd w:id="298"/>
    </w:p>
    <w:p w14:paraId="104EC39D" w14:textId="7BAC0B2B" w:rsidR="002550E0" w:rsidRDefault="002C3EF9" w:rsidP="00D0517F">
      <w:pPr>
        <w:pStyle w:val="Heading2"/>
        <w:spacing w:after="120"/>
      </w:pPr>
      <w:bookmarkStart w:id="299" w:name="_Toc115254518"/>
      <w:r>
        <w:t>A</w:t>
      </w:r>
      <w:r w:rsidR="002550E0">
        <w:t xml:space="preserve"> Methodology and identification of relevant studies</w:t>
      </w:r>
      <w:bookmarkEnd w:id="299"/>
    </w:p>
    <w:p w14:paraId="6328B7A8" w14:textId="2E0FF8A6" w:rsidR="001B2507" w:rsidRDefault="001B2507" w:rsidP="00321710">
      <w:pPr>
        <w:pStyle w:val="Heading3"/>
        <w:numPr>
          <w:ilvl w:val="0"/>
          <w:numId w:val="0"/>
        </w:numPr>
        <w:spacing w:before="120" w:after="120"/>
        <w:jc w:val="both"/>
      </w:pPr>
      <w:bookmarkStart w:id="300" w:name="_Toc115254519"/>
      <w:r>
        <w:t>A.1 Key outcomes previously considered by the PBAC</w:t>
      </w:r>
      <w:bookmarkEnd w:id="300"/>
    </w:p>
    <w:p w14:paraId="251B689F" w14:textId="1C44A323" w:rsidR="001B2507" w:rsidRDefault="001B2507" w:rsidP="00321710">
      <w:pPr>
        <w:pStyle w:val="Caption"/>
        <w:keepNext/>
        <w:spacing w:before="0" w:after="120"/>
        <w:jc w:val="both"/>
      </w:pPr>
      <w:bookmarkStart w:id="301" w:name="_Ref60648875"/>
      <w:r>
        <w:t xml:space="preserve">Table </w:t>
      </w:r>
      <w:r>
        <w:fldChar w:fldCharType="begin"/>
      </w:r>
      <w:r>
        <w:instrText>SEQ Table \* ARABIC</w:instrText>
      </w:r>
      <w:r>
        <w:fldChar w:fldCharType="separate"/>
      </w:r>
      <w:r w:rsidR="00EC5CC7">
        <w:rPr>
          <w:noProof/>
        </w:rPr>
        <w:t>135</w:t>
      </w:r>
      <w:r>
        <w:fldChar w:fldCharType="end"/>
      </w:r>
      <w:bookmarkEnd w:id="301"/>
      <w:r>
        <w:t>: Key outcomes previously considered by the PBAC</w:t>
      </w:r>
    </w:p>
    <w:tbl>
      <w:tblPr>
        <w:tblStyle w:val="TableGrid"/>
        <w:tblW w:w="5000" w:type="pct"/>
        <w:tblLook w:val="0420" w:firstRow="1" w:lastRow="0" w:firstColumn="0" w:lastColumn="0" w:noHBand="0" w:noVBand="1"/>
      </w:tblPr>
      <w:tblGrid>
        <w:gridCol w:w="995"/>
        <w:gridCol w:w="633"/>
        <w:gridCol w:w="2350"/>
        <w:gridCol w:w="5038"/>
      </w:tblGrid>
      <w:tr w:rsidR="001B2507" w:rsidRPr="00AE3CBC" w14:paraId="572DDBC2" w14:textId="77777777" w:rsidTr="00D0517F">
        <w:trPr>
          <w:trHeight w:val="288"/>
        </w:trPr>
        <w:tc>
          <w:tcPr>
            <w:tcW w:w="552" w:type="pct"/>
            <w:shd w:val="clear" w:color="auto" w:fill="BFBFBF" w:themeFill="background1" w:themeFillShade="BF"/>
            <w:hideMark/>
          </w:tcPr>
          <w:p w14:paraId="27894F17" w14:textId="77777777" w:rsidR="001B2507" w:rsidRPr="00CF4ECB" w:rsidRDefault="001B2507" w:rsidP="002002BD">
            <w:pPr>
              <w:pStyle w:val="Tableheading"/>
            </w:pPr>
            <w:r>
              <w:t>PBAC meeting</w:t>
            </w:r>
          </w:p>
        </w:tc>
        <w:tc>
          <w:tcPr>
            <w:tcW w:w="351" w:type="pct"/>
            <w:shd w:val="clear" w:color="auto" w:fill="BFBFBF" w:themeFill="background1" w:themeFillShade="BF"/>
            <w:hideMark/>
          </w:tcPr>
          <w:p w14:paraId="59ABE917" w14:textId="77777777" w:rsidR="001B2507" w:rsidRPr="00CF4ECB" w:rsidRDefault="001B2507" w:rsidP="002002BD">
            <w:pPr>
              <w:pStyle w:val="Tableheading"/>
              <w:jc w:val="center"/>
            </w:pPr>
            <w:r w:rsidRPr="00CF4ECB">
              <w:t>Drug</w:t>
            </w:r>
          </w:p>
        </w:tc>
        <w:tc>
          <w:tcPr>
            <w:tcW w:w="1303" w:type="pct"/>
            <w:shd w:val="clear" w:color="auto" w:fill="BFBFBF" w:themeFill="background1" w:themeFillShade="BF"/>
            <w:hideMark/>
          </w:tcPr>
          <w:p w14:paraId="3319F8FD" w14:textId="77777777" w:rsidR="001B2507" w:rsidRPr="00CF4ECB" w:rsidRDefault="001B2507" w:rsidP="002002BD">
            <w:pPr>
              <w:pStyle w:val="Tableheading"/>
              <w:jc w:val="center"/>
            </w:pPr>
            <w:r w:rsidRPr="00CF4ECB">
              <w:t>Comparison</w:t>
            </w:r>
          </w:p>
        </w:tc>
        <w:tc>
          <w:tcPr>
            <w:tcW w:w="2794" w:type="pct"/>
            <w:shd w:val="clear" w:color="auto" w:fill="BFBFBF" w:themeFill="background1" w:themeFillShade="BF"/>
            <w:hideMark/>
          </w:tcPr>
          <w:p w14:paraId="0671CF64" w14:textId="02CE0E8D" w:rsidR="001B2507" w:rsidRPr="007B21C2" w:rsidRDefault="001B2507" w:rsidP="002002BD">
            <w:pPr>
              <w:pStyle w:val="Tableheading"/>
              <w:jc w:val="center"/>
              <w:rPr>
                <w:vertAlign w:val="superscript"/>
              </w:rPr>
            </w:pPr>
            <w:r w:rsidRPr="00CF4ECB">
              <w:t>Key outcomes</w:t>
            </w:r>
            <w:r w:rsidR="007B21C2">
              <w:rPr>
                <w:vertAlign w:val="superscript"/>
              </w:rPr>
              <w:t>1</w:t>
            </w:r>
          </w:p>
        </w:tc>
      </w:tr>
      <w:tr w:rsidR="001B2507" w:rsidRPr="00AE3CBC" w14:paraId="25DDA483" w14:textId="77777777" w:rsidTr="00D0517F">
        <w:trPr>
          <w:trHeight w:val="722"/>
        </w:trPr>
        <w:tc>
          <w:tcPr>
            <w:tcW w:w="552" w:type="pct"/>
            <w:hideMark/>
          </w:tcPr>
          <w:p w14:paraId="155496AB" w14:textId="77777777" w:rsidR="001B2507" w:rsidRPr="00AE3CBC" w:rsidRDefault="001B2507" w:rsidP="002002BD">
            <w:pPr>
              <w:pStyle w:val="Tablewriting"/>
            </w:pPr>
            <w:r w:rsidRPr="00AE3CBC">
              <w:t>Jul</w:t>
            </w:r>
            <w:r>
              <w:t xml:space="preserve"> 20</w:t>
            </w:r>
            <w:r w:rsidRPr="00AE3CBC">
              <w:t>07</w:t>
            </w:r>
          </w:p>
        </w:tc>
        <w:tc>
          <w:tcPr>
            <w:tcW w:w="351" w:type="pct"/>
            <w:hideMark/>
          </w:tcPr>
          <w:p w14:paraId="6924D4E4" w14:textId="77777777" w:rsidR="001B2507" w:rsidRPr="00AE3CBC" w:rsidRDefault="001B2507" w:rsidP="002002BD">
            <w:pPr>
              <w:pStyle w:val="Tablewriting"/>
            </w:pPr>
            <w:r w:rsidRPr="00AE3CBC">
              <w:t>VAR</w:t>
            </w:r>
          </w:p>
        </w:tc>
        <w:tc>
          <w:tcPr>
            <w:tcW w:w="1303" w:type="pct"/>
            <w:hideMark/>
          </w:tcPr>
          <w:p w14:paraId="45082690" w14:textId="77777777" w:rsidR="001B2507" w:rsidRPr="00AE3CBC" w:rsidRDefault="001B2507" w:rsidP="002002BD">
            <w:pPr>
              <w:pStyle w:val="Tablewriting"/>
            </w:pPr>
            <w:r w:rsidRPr="00AE3CBC">
              <w:t>VAR versus BUP</w:t>
            </w:r>
          </w:p>
        </w:tc>
        <w:tc>
          <w:tcPr>
            <w:tcW w:w="2794" w:type="pct"/>
            <w:hideMark/>
          </w:tcPr>
          <w:p w14:paraId="64BC4631" w14:textId="77777777" w:rsidR="001B2507" w:rsidRPr="00AE3CBC" w:rsidRDefault="001B2507" w:rsidP="002002BD">
            <w:pPr>
              <w:pStyle w:val="Tablewriting"/>
            </w:pPr>
            <w:r w:rsidRPr="00AE3CBC">
              <w:t xml:space="preserve">Primary: 4-week continuous quit rate </w:t>
            </w:r>
            <w:r>
              <w:t xml:space="preserve">week </w:t>
            </w:r>
            <w:r w:rsidRPr="00AE3CBC">
              <w:t>9-12</w:t>
            </w:r>
            <w:r w:rsidRPr="00AE3CBC">
              <w:br/>
              <w:t xml:space="preserve">Secondary: continuous abstinence </w:t>
            </w:r>
            <w:r>
              <w:t xml:space="preserve">week </w:t>
            </w:r>
            <w:r w:rsidRPr="00AE3CBC">
              <w:t>9-52</w:t>
            </w:r>
            <w:r>
              <w:t>,</w:t>
            </w:r>
            <w:r w:rsidRPr="00AE3CBC">
              <w:t xml:space="preserve"> safety including discontinuation due to AE</w:t>
            </w:r>
          </w:p>
        </w:tc>
      </w:tr>
      <w:tr w:rsidR="001B2507" w:rsidRPr="00AE3CBC" w14:paraId="34370CA0" w14:textId="77777777" w:rsidTr="00D0517F">
        <w:trPr>
          <w:trHeight w:val="493"/>
        </w:trPr>
        <w:tc>
          <w:tcPr>
            <w:tcW w:w="552" w:type="pct"/>
            <w:hideMark/>
          </w:tcPr>
          <w:p w14:paraId="42FCFFD8" w14:textId="77777777" w:rsidR="001B2507" w:rsidRPr="00AE3CBC" w:rsidRDefault="001B2507" w:rsidP="002002BD">
            <w:pPr>
              <w:pStyle w:val="Tablewriting"/>
            </w:pPr>
            <w:r w:rsidRPr="00AE3CBC">
              <w:t>Nov</w:t>
            </w:r>
            <w:r>
              <w:t xml:space="preserve"> 20</w:t>
            </w:r>
            <w:r w:rsidRPr="00AE3CBC">
              <w:t>09</w:t>
            </w:r>
          </w:p>
        </w:tc>
        <w:tc>
          <w:tcPr>
            <w:tcW w:w="351" w:type="pct"/>
            <w:hideMark/>
          </w:tcPr>
          <w:p w14:paraId="7EEFDB87" w14:textId="77777777" w:rsidR="001B2507" w:rsidRPr="00AE3CBC" w:rsidRDefault="001B2507" w:rsidP="002002BD">
            <w:pPr>
              <w:pStyle w:val="Tablewriting"/>
            </w:pPr>
            <w:r w:rsidRPr="00AE3CBC">
              <w:t>VAR</w:t>
            </w:r>
          </w:p>
        </w:tc>
        <w:tc>
          <w:tcPr>
            <w:tcW w:w="1303" w:type="pct"/>
            <w:hideMark/>
          </w:tcPr>
          <w:p w14:paraId="52C5D6FB" w14:textId="77777777" w:rsidR="001B2507" w:rsidRPr="00AE3CBC" w:rsidRDefault="001B2507" w:rsidP="002002BD">
            <w:pPr>
              <w:pStyle w:val="Tablewriting"/>
            </w:pPr>
            <w:r w:rsidRPr="00AE3CBC">
              <w:t>VAR versus PBO</w:t>
            </w:r>
          </w:p>
        </w:tc>
        <w:tc>
          <w:tcPr>
            <w:tcW w:w="2794" w:type="pct"/>
            <w:hideMark/>
          </w:tcPr>
          <w:p w14:paraId="0AD54EA7" w14:textId="77777777" w:rsidR="001B2507" w:rsidRPr="00AE3CBC" w:rsidRDefault="001B2507" w:rsidP="002002BD">
            <w:pPr>
              <w:pStyle w:val="Tablewriting"/>
            </w:pPr>
            <w:r w:rsidRPr="00AE3CBC">
              <w:t xml:space="preserve">Primary: continuous abstinence </w:t>
            </w:r>
            <w:r>
              <w:t xml:space="preserve">week </w:t>
            </w:r>
            <w:r w:rsidRPr="00AE3CBC">
              <w:t>13-24</w:t>
            </w:r>
            <w:r w:rsidRPr="00AE3CBC">
              <w:br/>
              <w:t xml:space="preserve">Secondary: continuous abstinence </w:t>
            </w:r>
            <w:r>
              <w:t xml:space="preserve">week </w:t>
            </w:r>
            <w:r w:rsidRPr="00AE3CBC">
              <w:t>13-52</w:t>
            </w:r>
            <w:r>
              <w:t>,</w:t>
            </w:r>
            <w:r w:rsidRPr="00AE3CBC">
              <w:t xml:space="preserve"> safety</w:t>
            </w:r>
          </w:p>
        </w:tc>
      </w:tr>
      <w:tr w:rsidR="001B2507" w:rsidRPr="00AE3CBC" w14:paraId="3790D61F" w14:textId="77777777" w:rsidTr="00D0517F">
        <w:trPr>
          <w:trHeight w:val="784"/>
        </w:trPr>
        <w:tc>
          <w:tcPr>
            <w:tcW w:w="552" w:type="pct"/>
            <w:hideMark/>
          </w:tcPr>
          <w:p w14:paraId="3EEC1331" w14:textId="77777777" w:rsidR="001B2507" w:rsidRPr="00AE3CBC" w:rsidRDefault="001B2507" w:rsidP="002002BD">
            <w:pPr>
              <w:pStyle w:val="Tablewriting"/>
            </w:pPr>
            <w:r w:rsidRPr="00AE3CBC">
              <w:t>Mar</w:t>
            </w:r>
            <w:r>
              <w:t xml:space="preserve"> 20</w:t>
            </w:r>
            <w:r w:rsidRPr="00AE3CBC">
              <w:t>10</w:t>
            </w:r>
          </w:p>
        </w:tc>
        <w:tc>
          <w:tcPr>
            <w:tcW w:w="351" w:type="pct"/>
            <w:hideMark/>
          </w:tcPr>
          <w:p w14:paraId="01A91A11" w14:textId="77777777" w:rsidR="001B2507" w:rsidRPr="00AE3CBC" w:rsidRDefault="001B2507" w:rsidP="002002BD">
            <w:pPr>
              <w:pStyle w:val="Tablewriting"/>
            </w:pPr>
            <w:r w:rsidRPr="00AE3CBC">
              <w:t>NRT</w:t>
            </w:r>
          </w:p>
        </w:tc>
        <w:tc>
          <w:tcPr>
            <w:tcW w:w="1303" w:type="pct"/>
            <w:hideMark/>
          </w:tcPr>
          <w:p w14:paraId="4F59BACB" w14:textId="77777777" w:rsidR="001B2507" w:rsidRPr="00AE3CBC" w:rsidRDefault="001B2507" w:rsidP="002002BD">
            <w:pPr>
              <w:pStyle w:val="Tablewriting"/>
            </w:pPr>
            <w:r w:rsidRPr="00AE3CBC">
              <w:t>NRT versus VAR</w:t>
            </w:r>
            <w:r>
              <w:t>,</w:t>
            </w:r>
            <w:r w:rsidRPr="00AE3CBC">
              <w:br/>
              <w:t>NRT versus BUP</w:t>
            </w:r>
          </w:p>
        </w:tc>
        <w:tc>
          <w:tcPr>
            <w:tcW w:w="2794" w:type="pct"/>
            <w:hideMark/>
          </w:tcPr>
          <w:p w14:paraId="405FD590" w14:textId="6F7C4020" w:rsidR="001B2507" w:rsidRPr="00AE3CBC" w:rsidRDefault="001B2507" w:rsidP="002002BD">
            <w:pPr>
              <w:pStyle w:val="Tablewriting"/>
            </w:pPr>
            <w:r w:rsidRPr="00AE3CBC">
              <w:t xml:space="preserve">Primary: 4-week continuous abstinence </w:t>
            </w:r>
            <w:r>
              <w:t xml:space="preserve">week </w:t>
            </w:r>
            <w:r w:rsidRPr="00AE3CBC">
              <w:t>9-12</w:t>
            </w:r>
            <w:r w:rsidRPr="00AE3CBC">
              <w:br/>
              <w:t xml:space="preserve">Secondary: continuous abstinence at 24 weeks and at 52 weeks, measures of craving, </w:t>
            </w:r>
            <w:r w:rsidR="00826C95" w:rsidRPr="00AE3CBC">
              <w:t>withdrawal,</w:t>
            </w:r>
            <w:r w:rsidRPr="00AE3CBC">
              <w:t xml:space="preserve"> and smoking cessation</w:t>
            </w:r>
          </w:p>
        </w:tc>
      </w:tr>
      <w:tr w:rsidR="001B2507" w:rsidRPr="00AE3CBC" w14:paraId="2B13C16C" w14:textId="77777777" w:rsidTr="00D0517F">
        <w:trPr>
          <w:trHeight w:val="554"/>
        </w:trPr>
        <w:tc>
          <w:tcPr>
            <w:tcW w:w="552" w:type="pct"/>
            <w:hideMark/>
          </w:tcPr>
          <w:p w14:paraId="4A7330D0" w14:textId="77777777" w:rsidR="001B2507" w:rsidRPr="00AE3CBC" w:rsidRDefault="001B2507" w:rsidP="002002BD">
            <w:pPr>
              <w:pStyle w:val="Tablewriting"/>
            </w:pPr>
            <w:r w:rsidRPr="00AE3CBC">
              <w:t>Nov</w:t>
            </w:r>
            <w:r>
              <w:t xml:space="preserve"> 20</w:t>
            </w:r>
            <w:r w:rsidRPr="00AE3CBC">
              <w:t>12</w:t>
            </w:r>
          </w:p>
        </w:tc>
        <w:tc>
          <w:tcPr>
            <w:tcW w:w="351" w:type="pct"/>
            <w:hideMark/>
          </w:tcPr>
          <w:p w14:paraId="40247554" w14:textId="77777777" w:rsidR="001B2507" w:rsidRPr="00AE3CBC" w:rsidRDefault="001B2507" w:rsidP="002002BD">
            <w:pPr>
              <w:pStyle w:val="Tablewriting"/>
            </w:pPr>
            <w:r w:rsidRPr="00AE3CBC">
              <w:t>VAR</w:t>
            </w:r>
          </w:p>
        </w:tc>
        <w:tc>
          <w:tcPr>
            <w:tcW w:w="1303" w:type="pct"/>
            <w:hideMark/>
          </w:tcPr>
          <w:p w14:paraId="51B5E238" w14:textId="77777777" w:rsidR="001B2507" w:rsidRPr="00AE3CBC" w:rsidRDefault="001B2507" w:rsidP="002002BD">
            <w:pPr>
              <w:pStyle w:val="Tablewriting"/>
            </w:pPr>
            <w:r w:rsidRPr="00AE3CBC">
              <w:t>VAR versus PBO</w:t>
            </w:r>
            <w:r>
              <w:t>,</w:t>
            </w:r>
            <w:r w:rsidRPr="00AE3CBC">
              <w:br/>
              <w:t>VAR versus BUP/PBO</w:t>
            </w:r>
            <w:r>
              <w:t>,</w:t>
            </w:r>
            <w:r w:rsidRPr="00AE3CBC">
              <w:br/>
              <w:t>VAR versus NRT</w:t>
            </w:r>
          </w:p>
        </w:tc>
        <w:tc>
          <w:tcPr>
            <w:tcW w:w="2794" w:type="pct"/>
            <w:hideMark/>
          </w:tcPr>
          <w:p w14:paraId="49B45BDB" w14:textId="77777777" w:rsidR="001B2507" w:rsidRDefault="001B2507" w:rsidP="002002BD">
            <w:pPr>
              <w:pStyle w:val="Tablewriting"/>
            </w:pPr>
            <w:r w:rsidRPr="00AE3CBC">
              <w:t xml:space="preserve">Primary: continuous abstinence </w:t>
            </w:r>
            <w:r>
              <w:t xml:space="preserve">week </w:t>
            </w:r>
            <w:r w:rsidRPr="00AE3CBC">
              <w:t>9-52</w:t>
            </w:r>
          </w:p>
          <w:p w14:paraId="2734AE69" w14:textId="77777777" w:rsidR="001B2507" w:rsidRPr="00AE3CBC" w:rsidRDefault="001B2507" w:rsidP="002002BD">
            <w:pPr>
              <w:pStyle w:val="Tablewriting"/>
            </w:pPr>
            <w:r>
              <w:t>Secondary: safety</w:t>
            </w:r>
          </w:p>
        </w:tc>
      </w:tr>
      <w:tr w:rsidR="001B2507" w:rsidRPr="00AE3CBC" w14:paraId="0972037F" w14:textId="77777777" w:rsidTr="00D0517F">
        <w:trPr>
          <w:trHeight w:val="584"/>
        </w:trPr>
        <w:tc>
          <w:tcPr>
            <w:tcW w:w="552" w:type="pct"/>
            <w:hideMark/>
          </w:tcPr>
          <w:p w14:paraId="2FF00674" w14:textId="77777777" w:rsidR="001B2507" w:rsidRPr="00AE3CBC" w:rsidRDefault="001B2507" w:rsidP="002002BD">
            <w:pPr>
              <w:pStyle w:val="Tablewriting"/>
            </w:pPr>
            <w:r w:rsidRPr="00AE3CBC">
              <w:t>Mar</w:t>
            </w:r>
            <w:r>
              <w:t xml:space="preserve"> 20</w:t>
            </w:r>
            <w:r w:rsidRPr="00AE3CBC">
              <w:t>14</w:t>
            </w:r>
          </w:p>
        </w:tc>
        <w:tc>
          <w:tcPr>
            <w:tcW w:w="351" w:type="pct"/>
            <w:hideMark/>
          </w:tcPr>
          <w:p w14:paraId="26346F27" w14:textId="77777777" w:rsidR="001B2507" w:rsidRPr="00AE3CBC" w:rsidRDefault="001B2507" w:rsidP="002002BD">
            <w:pPr>
              <w:pStyle w:val="Tablewriting"/>
            </w:pPr>
            <w:r w:rsidRPr="00AE3CBC">
              <w:t>VAR</w:t>
            </w:r>
          </w:p>
        </w:tc>
        <w:tc>
          <w:tcPr>
            <w:tcW w:w="1303" w:type="pct"/>
            <w:hideMark/>
          </w:tcPr>
          <w:p w14:paraId="4498EAEF" w14:textId="77777777" w:rsidR="001B2507" w:rsidRPr="00AE3CBC" w:rsidRDefault="001B2507" w:rsidP="002002BD">
            <w:pPr>
              <w:pStyle w:val="Tablewriting"/>
            </w:pPr>
            <w:r w:rsidRPr="00AE3CBC">
              <w:t>VAR versus PBO</w:t>
            </w:r>
            <w:r>
              <w:t>,</w:t>
            </w:r>
            <w:r w:rsidRPr="00AE3CBC">
              <w:br/>
              <w:t>VAR versus BUP/PBO</w:t>
            </w:r>
          </w:p>
        </w:tc>
        <w:tc>
          <w:tcPr>
            <w:tcW w:w="2794" w:type="pct"/>
            <w:hideMark/>
          </w:tcPr>
          <w:p w14:paraId="39799C68" w14:textId="77777777" w:rsidR="001B2507" w:rsidRPr="00AE3CBC" w:rsidRDefault="001B2507" w:rsidP="002002BD">
            <w:pPr>
              <w:pStyle w:val="Tablewriting"/>
            </w:pPr>
            <w:r w:rsidRPr="00AE3CBC">
              <w:t xml:space="preserve">Primary: continuous quit rate </w:t>
            </w:r>
            <w:r>
              <w:t xml:space="preserve">week </w:t>
            </w:r>
            <w:r w:rsidRPr="00AE3CBC">
              <w:t>9-12</w:t>
            </w:r>
            <w:r w:rsidRPr="00AE3CBC">
              <w:br/>
              <w:t xml:space="preserve">Secondary: continuous abstinence rate </w:t>
            </w:r>
            <w:r>
              <w:t xml:space="preserve">week </w:t>
            </w:r>
            <w:r w:rsidRPr="00AE3CBC">
              <w:t xml:space="preserve">9-24 and </w:t>
            </w:r>
            <w:r>
              <w:t xml:space="preserve">week </w:t>
            </w:r>
            <w:r w:rsidRPr="00AE3CBC">
              <w:t>9-52</w:t>
            </w:r>
            <w:r>
              <w:t>, safety</w:t>
            </w:r>
          </w:p>
        </w:tc>
      </w:tr>
      <w:tr w:rsidR="001B2507" w:rsidRPr="00AE3CBC" w14:paraId="6B0098AF" w14:textId="77777777" w:rsidTr="00D0517F">
        <w:trPr>
          <w:trHeight w:val="864"/>
        </w:trPr>
        <w:tc>
          <w:tcPr>
            <w:tcW w:w="552" w:type="pct"/>
            <w:hideMark/>
          </w:tcPr>
          <w:p w14:paraId="75FCDE13" w14:textId="77777777" w:rsidR="001B2507" w:rsidRPr="00AE3CBC" w:rsidRDefault="001B2507" w:rsidP="002002BD">
            <w:pPr>
              <w:pStyle w:val="Tablewriting"/>
            </w:pPr>
            <w:r w:rsidRPr="00AE3CBC">
              <w:t>Nov</w:t>
            </w:r>
            <w:r>
              <w:t xml:space="preserve"> 20</w:t>
            </w:r>
            <w:r w:rsidRPr="00AE3CBC">
              <w:t>16</w:t>
            </w:r>
          </w:p>
        </w:tc>
        <w:tc>
          <w:tcPr>
            <w:tcW w:w="351" w:type="pct"/>
            <w:hideMark/>
          </w:tcPr>
          <w:p w14:paraId="00E06EED" w14:textId="77777777" w:rsidR="001B2507" w:rsidRPr="00AE3CBC" w:rsidRDefault="001B2507" w:rsidP="002002BD">
            <w:pPr>
              <w:pStyle w:val="Tablewriting"/>
            </w:pPr>
            <w:r w:rsidRPr="00AE3CBC">
              <w:t>VAR</w:t>
            </w:r>
          </w:p>
        </w:tc>
        <w:tc>
          <w:tcPr>
            <w:tcW w:w="1303" w:type="pct"/>
            <w:hideMark/>
          </w:tcPr>
          <w:p w14:paraId="3D0C1C7E" w14:textId="77777777" w:rsidR="001B2507" w:rsidRPr="00AE3CBC" w:rsidRDefault="001B2507" w:rsidP="002002BD">
            <w:pPr>
              <w:pStyle w:val="Tablewriting"/>
            </w:pPr>
            <w:r w:rsidRPr="00AE3CBC">
              <w:t>VAR versus BUP/PBO/NRT</w:t>
            </w:r>
          </w:p>
        </w:tc>
        <w:tc>
          <w:tcPr>
            <w:tcW w:w="2794" w:type="pct"/>
            <w:hideMark/>
          </w:tcPr>
          <w:p w14:paraId="14ADCF91" w14:textId="77777777" w:rsidR="001B2507" w:rsidRPr="00AE3CBC" w:rsidRDefault="001B2507" w:rsidP="002002BD">
            <w:pPr>
              <w:pStyle w:val="Tablewriting"/>
            </w:pPr>
            <w:r w:rsidRPr="00AE3CBC">
              <w:t xml:space="preserve">Primary: continuous abstinence from smoking </w:t>
            </w:r>
            <w:r>
              <w:t xml:space="preserve">week </w:t>
            </w:r>
            <w:r w:rsidRPr="00AE3CBC">
              <w:t>9-24 (stratified based on psychiatric history)</w:t>
            </w:r>
            <w:r w:rsidRPr="00AE3CBC">
              <w:br/>
              <w:t>Secondary: neuropsychiatric adverse events (stratified based on psychiatric history)</w:t>
            </w:r>
          </w:p>
        </w:tc>
      </w:tr>
      <w:tr w:rsidR="001B2507" w:rsidRPr="00AE3CBC" w14:paraId="60F491E2" w14:textId="77777777" w:rsidTr="00D0517F">
        <w:trPr>
          <w:trHeight w:val="648"/>
        </w:trPr>
        <w:tc>
          <w:tcPr>
            <w:tcW w:w="552" w:type="pct"/>
            <w:hideMark/>
          </w:tcPr>
          <w:p w14:paraId="10EE5575" w14:textId="77777777" w:rsidR="001B2507" w:rsidRPr="00AE3CBC" w:rsidRDefault="001B2507" w:rsidP="002002BD">
            <w:pPr>
              <w:pStyle w:val="Tablewriting"/>
            </w:pPr>
            <w:r w:rsidRPr="00AE3CBC">
              <w:t>Jul</w:t>
            </w:r>
            <w:r>
              <w:t xml:space="preserve"> 20</w:t>
            </w:r>
            <w:r w:rsidRPr="00AE3CBC">
              <w:t>17</w:t>
            </w:r>
          </w:p>
        </w:tc>
        <w:tc>
          <w:tcPr>
            <w:tcW w:w="351" w:type="pct"/>
            <w:hideMark/>
          </w:tcPr>
          <w:p w14:paraId="225121ED" w14:textId="77777777" w:rsidR="001B2507" w:rsidRPr="00AE3CBC" w:rsidRDefault="001B2507" w:rsidP="002002BD">
            <w:pPr>
              <w:pStyle w:val="Tablewriting"/>
            </w:pPr>
            <w:r w:rsidRPr="00AE3CBC">
              <w:t>NRT</w:t>
            </w:r>
          </w:p>
        </w:tc>
        <w:tc>
          <w:tcPr>
            <w:tcW w:w="1303" w:type="pct"/>
            <w:hideMark/>
          </w:tcPr>
          <w:p w14:paraId="1D8F5253" w14:textId="77777777" w:rsidR="001B2507" w:rsidRPr="00AE3CBC" w:rsidRDefault="001B2507" w:rsidP="002002BD">
            <w:pPr>
              <w:pStyle w:val="Tablewriting"/>
            </w:pPr>
            <w:r w:rsidRPr="00AE3CBC">
              <w:t>NRT loz</w:t>
            </w:r>
            <w:r>
              <w:t>enge</w:t>
            </w:r>
            <w:r w:rsidRPr="00AE3CBC">
              <w:t xml:space="preserve"> v</w:t>
            </w:r>
            <w:r>
              <w:t>er</w:t>
            </w:r>
            <w:r w:rsidRPr="00AE3CBC">
              <w:t>s</w:t>
            </w:r>
            <w:r>
              <w:t>us</w:t>
            </w:r>
            <w:r w:rsidRPr="00AE3CBC">
              <w:t xml:space="preserve"> patch</w:t>
            </w:r>
            <w:r>
              <w:t xml:space="preserve">, </w:t>
            </w:r>
            <w:r w:rsidRPr="00AE3CBC">
              <w:t>NRT gum v</w:t>
            </w:r>
            <w:r>
              <w:t>er</w:t>
            </w:r>
            <w:r w:rsidRPr="00AE3CBC">
              <w:t>s</w:t>
            </w:r>
            <w:r>
              <w:t>us</w:t>
            </w:r>
            <w:r w:rsidRPr="00AE3CBC">
              <w:t xml:space="preserve"> patch</w:t>
            </w:r>
          </w:p>
        </w:tc>
        <w:tc>
          <w:tcPr>
            <w:tcW w:w="2794" w:type="pct"/>
            <w:hideMark/>
          </w:tcPr>
          <w:p w14:paraId="1E55E9BC" w14:textId="77777777" w:rsidR="001B2507" w:rsidRPr="00AE3CBC" w:rsidRDefault="001B2507" w:rsidP="002002BD">
            <w:pPr>
              <w:pStyle w:val="Tablewriting"/>
            </w:pPr>
            <w:r w:rsidRPr="00AE3CBC">
              <w:t>Primary: sustained abstinence (six-month)</w:t>
            </w:r>
            <w:r w:rsidRPr="00AE3CBC">
              <w:br/>
              <w:t>Secondary: nausea/vomiting, sleep problems, skin reaction, oral reaction, hiccups</w:t>
            </w:r>
          </w:p>
        </w:tc>
      </w:tr>
      <w:tr w:rsidR="001B2507" w:rsidRPr="00AE3CBC" w14:paraId="33B804F0" w14:textId="77777777" w:rsidTr="00D0517F">
        <w:trPr>
          <w:trHeight w:val="276"/>
        </w:trPr>
        <w:tc>
          <w:tcPr>
            <w:tcW w:w="552" w:type="pct"/>
            <w:hideMark/>
          </w:tcPr>
          <w:p w14:paraId="218D7AF9" w14:textId="77777777" w:rsidR="001B2507" w:rsidRPr="00AE3CBC" w:rsidRDefault="001B2507" w:rsidP="002002BD">
            <w:pPr>
              <w:pStyle w:val="Tablewriting"/>
            </w:pPr>
            <w:r w:rsidRPr="00AE3CBC">
              <w:t>Nov</w:t>
            </w:r>
            <w:r>
              <w:t xml:space="preserve"> 20</w:t>
            </w:r>
            <w:r w:rsidRPr="00AE3CBC">
              <w:t>17</w:t>
            </w:r>
          </w:p>
        </w:tc>
        <w:tc>
          <w:tcPr>
            <w:tcW w:w="351" w:type="pct"/>
            <w:hideMark/>
          </w:tcPr>
          <w:p w14:paraId="4BB35D33" w14:textId="77777777" w:rsidR="001B2507" w:rsidRPr="00AE3CBC" w:rsidRDefault="001B2507" w:rsidP="002002BD">
            <w:pPr>
              <w:pStyle w:val="Tablewriting"/>
            </w:pPr>
            <w:r w:rsidRPr="00AE3CBC">
              <w:t>VAR</w:t>
            </w:r>
          </w:p>
        </w:tc>
        <w:tc>
          <w:tcPr>
            <w:tcW w:w="1303" w:type="pct"/>
            <w:hideMark/>
          </w:tcPr>
          <w:p w14:paraId="3B0B56F4" w14:textId="77777777" w:rsidR="001B2507" w:rsidRPr="00AE3CBC" w:rsidRDefault="001B2507" w:rsidP="002002BD">
            <w:pPr>
              <w:pStyle w:val="Tablewriting"/>
            </w:pPr>
            <w:r>
              <w:t>Not applicable</w:t>
            </w:r>
          </w:p>
        </w:tc>
        <w:tc>
          <w:tcPr>
            <w:tcW w:w="2794" w:type="pct"/>
            <w:hideMark/>
          </w:tcPr>
          <w:p w14:paraId="3D1397EC" w14:textId="77777777" w:rsidR="001B2507" w:rsidRPr="00AE3CBC" w:rsidRDefault="001B2507" w:rsidP="002002BD">
            <w:pPr>
              <w:pStyle w:val="Tablewriting"/>
            </w:pPr>
            <w:r>
              <w:t>Not applicable – clinical criteria amendment</w:t>
            </w:r>
          </w:p>
        </w:tc>
      </w:tr>
      <w:tr w:rsidR="001B2507" w:rsidRPr="00AE3CBC" w14:paraId="669F8A1F" w14:textId="77777777" w:rsidTr="00D0517F">
        <w:trPr>
          <w:trHeight w:val="288"/>
        </w:trPr>
        <w:tc>
          <w:tcPr>
            <w:tcW w:w="552" w:type="pct"/>
            <w:hideMark/>
          </w:tcPr>
          <w:p w14:paraId="35A23A9D" w14:textId="77777777" w:rsidR="001B2507" w:rsidRPr="00AE3CBC" w:rsidRDefault="001B2507" w:rsidP="002002BD">
            <w:pPr>
              <w:pStyle w:val="Tablewriting"/>
            </w:pPr>
            <w:r w:rsidRPr="00AE3CBC">
              <w:t>Mar</w:t>
            </w:r>
            <w:r>
              <w:t xml:space="preserve"> 20</w:t>
            </w:r>
            <w:r w:rsidRPr="00AE3CBC">
              <w:t>18</w:t>
            </w:r>
          </w:p>
        </w:tc>
        <w:tc>
          <w:tcPr>
            <w:tcW w:w="351" w:type="pct"/>
            <w:hideMark/>
          </w:tcPr>
          <w:p w14:paraId="2BAF6131" w14:textId="77777777" w:rsidR="001B2507" w:rsidRPr="00AE3CBC" w:rsidRDefault="001B2507" w:rsidP="002002BD">
            <w:pPr>
              <w:pStyle w:val="Tablewriting"/>
            </w:pPr>
            <w:r w:rsidRPr="00AE3CBC">
              <w:t>NRT</w:t>
            </w:r>
          </w:p>
        </w:tc>
        <w:tc>
          <w:tcPr>
            <w:tcW w:w="1303" w:type="pct"/>
            <w:hideMark/>
          </w:tcPr>
          <w:p w14:paraId="02306B92" w14:textId="77777777" w:rsidR="001B2507" w:rsidRPr="00AE3CBC" w:rsidRDefault="001B2507" w:rsidP="002002BD">
            <w:pPr>
              <w:pStyle w:val="Tablewriting"/>
            </w:pPr>
            <w:r>
              <w:t>Unchanged from</w:t>
            </w:r>
            <w:r w:rsidRPr="00AE3CBC">
              <w:t xml:space="preserve"> Jul 17</w:t>
            </w:r>
          </w:p>
        </w:tc>
        <w:tc>
          <w:tcPr>
            <w:tcW w:w="2794" w:type="pct"/>
            <w:hideMark/>
          </w:tcPr>
          <w:p w14:paraId="169B808E" w14:textId="77777777" w:rsidR="001B2507" w:rsidRPr="00AE3CBC" w:rsidRDefault="001B2507" w:rsidP="002002BD">
            <w:pPr>
              <w:pStyle w:val="Tablewriting"/>
            </w:pPr>
            <w:r>
              <w:t>Unchanged from</w:t>
            </w:r>
            <w:r w:rsidRPr="00AE3CBC">
              <w:t xml:space="preserve"> Jul 17</w:t>
            </w:r>
          </w:p>
        </w:tc>
      </w:tr>
    </w:tbl>
    <w:p w14:paraId="1182C37F" w14:textId="77777777" w:rsidR="001B2507" w:rsidRDefault="001B2507" w:rsidP="00321710">
      <w:pPr>
        <w:pStyle w:val="TableFooter"/>
        <w:jc w:val="both"/>
      </w:pPr>
      <w:r>
        <w:t>Abbreviations: BUP = bupropion; NRT = nicotine replacement therapy; PBO = placebo; VAR = varenicline</w:t>
      </w:r>
    </w:p>
    <w:p w14:paraId="42CB0D67" w14:textId="77777777" w:rsidR="007B21C2" w:rsidRDefault="001B2507" w:rsidP="00321710">
      <w:pPr>
        <w:pStyle w:val="TableFooter"/>
        <w:jc w:val="both"/>
      </w:pPr>
      <w:r>
        <w:t>Note: Compiled during the review using public summary documents available since July 2005. Bupropion was considered prior to this date.</w:t>
      </w:r>
    </w:p>
    <w:p w14:paraId="609298C1" w14:textId="7B3A8447" w:rsidR="001B2507" w:rsidRDefault="007B21C2" w:rsidP="00321710">
      <w:pPr>
        <w:pStyle w:val="TableFooter"/>
        <w:spacing w:before="120" w:after="120"/>
        <w:contextualSpacing w:val="0"/>
        <w:jc w:val="both"/>
      </w:pPr>
      <w:r>
        <w:t xml:space="preserve">1 </w:t>
      </w:r>
      <w:r w:rsidRPr="007B21C2">
        <w:t>The PBAC has previously considered continuous abstinence rate to be the most relevant patient outcome.</w:t>
      </w:r>
    </w:p>
    <w:p w14:paraId="46308D88" w14:textId="77777777" w:rsidR="00321710" w:rsidRDefault="00321710">
      <w:pPr>
        <w:spacing w:line="276" w:lineRule="auto"/>
        <w:rPr>
          <w:rFonts w:eastAsiaTheme="majorEastAsia" w:cstheme="majorBidi"/>
          <w:b/>
          <w:bCs/>
          <w:i/>
          <w:sz w:val="28"/>
        </w:rPr>
      </w:pPr>
      <w:r>
        <w:br w:type="page"/>
      </w:r>
    </w:p>
    <w:p w14:paraId="3BA87EDD" w14:textId="7C683E72" w:rsidR="008F1238" w:rsidRDefault="008F1238" w:rsidP="00321710">
      <w:pPr>
        <w:pStyle w:val="Heading3"/>
        <w:numPr>
          <w:ilvl w:val="0"/>
          <w:numId w:val="0"/>
        </w:numPr>
        <w:spacing w:before="120" w:after="120"/>
        <w:jc w:val="both"/>
      </w:pPr>
      <w:bookmarkStart w:id="302" w:name="_Toc115254520"/>
      <w:r w:rsidRPr="008F1238">
        <w:lastRenderedPageBreak/>
        <w:t>A.</w:t>
      </w:r>
      <w:r w:rsidR="001B2507">
        <w:t>2</w:t>
      </w:r>
      <w:r>
        <w:t xml:space="preserve"> Search Strategy</w:t>
      </w:r>
      <w:bookmarkEnd w:id="302"/>
    </w:p>
    <w:p w14:paraId="5677D8DF" w14:textId="069C9EBE" w:rsidR="000713E9" w:rsidRPr="003145A2" w:rsidRDefault="000713E9" w:rsidP="00321710">
      <w:pPr>
        <w:pStyle w:val="Tableheading"/>
        <w:spacing w:before="120" w:after="120"/>
        <w:jc w:val="both"/>
        <w:rPr>
          <w:rFonts w:eastAsia="Times New Roman" w:cs="Times New Roman"/>
          <w:sz w:val="24"/>
          <w:szCs w:val="18"/>
        </w:rPr>
      </w:pPr>
      <w:bookmarkStart w:id="303" w:name="_Ref49755631"/>
      <w:r w:rsidRPr="003145A2">
        <w:rPr>
          <w:rFonts w:eastAsia="Times New Roman" w:cs="Times New Roman"/>
          <w:sz w:val="24"/>
          <w:szCs w:val="18"/>
        </w:rPr>
        <w:t xml:space="preserve">Table </w:t>
      </w:r>
      <w:r w:rsidRPr="003145A2">
        <w:rPr>
          <w:rFonts w:eastAsia="Times New Roman" w:cs="Times New Roman"/>
          <w:sz w:val="24"/>
          <w:szCs w:val="18"/>
        </w:rPr>
        <w:fldChar w:fldCharType="begin"/>
      </w:r>
      <w:r w:rsidRPr="003145A2">
        <w:rPr>
          <w:rFonts w:eastAsia="Times New Roman" w:cs="Times New Roman"/>
          <w:sz w:val="24"/>
          <w:szCs w:val="18"/>
        </w:rPr>
        <w:instrText>SEQ Table \* ARABIC</w:instrText>
      </w:r>
      <w:r w:rsidRPr="003145A2">
        <w:rPr>
          <w:rFonts w:eastAsia="Times New Roman" w:cs="Times New Roman"/>
          <w:sz w:val="24"/>
          <w:szCs w:val="18"/>
        </w:rPr>
        <w:fldChar w:fldCharType="separate"/>
      </w:r>
      <w:r w:rsidR="00EC5CC7">
        <w:rPr>
          <w:rFonts w:eastAsia="Times New Roman" w:cs="Times New Roman"/>
          <w:noProof/>
          <w:sz w:val="24"/>
          <w:szCs w:val="18"/>
        </w:rPr>
        <w:t>136</w:t>
      </w:r>
      <w:r w:rsidRPr="003145A2">
        <w:rPr>
          <w:rFonts w:eastAsia="Times New Roman" w:cs="Times New Roman"/>
          <w:sz w:val="24"/>
          <w:szCs w:val="18"/>
        </w:rPr>
        <w:fldChar w:fldCharType="end"/>
      </w:r>
      <w:bookmarkEnd w:id="303"/>
      <w:r w:rsidRPr="003145A2">
        <w:rPr>
          <w:rFonts w:eastAsia="Times New Roman" w:cs="Times New Roman"/>
          <w:sz w:val="24"/>
          <w:szCs w:val="18"/>
        </w:rPr>
        <w:t>: Search Strategy</w:t>
      </w:r>
      <w:r w:rsidR="000805A9" w:rsidRPr="003145A2">
        <w:rPr>
          <w:rFonts w:eastAsia="Times New Roman" w:cs="Times New Roman"/>
          <w:sz w:val="24"/>
          <w:szCs w:val="18"/>
        </w:rPr>
        <w:t>, Search date: 22/7/2020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812"/>
        <w:gridCol w:w="6183"/>
      </w:tblGrid>
      <w:tr w:rsidR="008647AA" w:rsidRPr="00A16D20" w14:paraId="49ACBF40" w14:textId="77777777" w:rsidTr="00D0517F">
        <w:tc>
          <w:tcPr>
            <w:tcW w:w="5000" w:type="pct"/>
            <w:gridSpan w:val="3"/>
            <w:tcBorders>
              <w:top w:val="single" w:sz="4" w:space="0" w:color="auto"/>
              <w:bottom w:val="single" w:sz="4" w:space="0" w:color="auto"/>
            </w:tcBorders>
          </w:tcPr>
          <w:p w14:paraId="2A0CD74F"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Ovid MEDLINE</w:t>
            </w:r>
            <w:r w:rsidRPr="00A16D20">
              <w:rPr>
                <w:rFonts w:ascii="Arial Narrow" w:hAnsi="Arial Narrow"/>
              </w:rPr>
              <w:t xml:space="preserve"> </w:t>
            </w:r>
            <w:r w:rsidRPr="00A16D20">
              <w:rPr>
                <w:rFonts w:ascii="Arial Narrow" w:hAnsi="Arial Narrow" w:cs="Arial"/>
                <w:b/>
                <w:bCs/>
              </w:rPr>
              <w:t>(R) and In-Process &amp; Other Non-Indexed Citations and Daily</w:t>
            </w:r>
          </w:p>
        </w:tc>
      </w:tr>
      <w:tr w:rsidR="008647AA" w:rsidRPr="00A16D20" w14:paraId="33811EDA" w14:textId="77777777" w:rsidTr="00D0517F">
        <w:tc>
          <w:tcPr>
            <w:tcW w:w="1125" w:type="pct"/>
            <w:tcBorders>
              <w:top w:val="single" w:sz="4" w:space="0" w:color="auto"/>
              <w:bottom w:val="single" w:sz="4" w:space="0" w:color="auto"/>
            </w:tcBorders>
            <w:shd w:val="clear" w:color="auto" w:fill="000000" w:themeFill="text1"/>
          </w:tcPr>
          <w:p w14:paraId="0331D405" w14:textId="77777777" w:rsidR="008647AA" w:rsidRPr="00A16D20" w:rsidRDefault="008647AA" w:rsidP="00CB27AE">
            <w:pPr>
              <w:jc w:val="center"/>
              <w:rPr>
                <w:rFonts w:ascii="Arial Narrow" w:hAnsi="Arial Narrow" w:cs="Arial"/>
                <w:b/>
                <w:bCs/>
              </w:rPr>
            </w:pPr>
          </w:p>
        </w:tc>
        <w:tc>
          <w:tcPr>
            <w:tcW w:w="450" w:type="pct"/>
            <w:tcBorders>
              <w:top w:val="single" w:sz="4" w:space="0" w:color="auto"/>
              <w:bottom w:val="single" w:sz="4" w:space="0" w:color="auto"/>
            </w:tcBorders>
            <w:shd w:val="clear" w:color="auto" w:fill="000000" w:themeFill="text1"/>
          </w:tcPr>
          <w:p w14:paraId="299F6829"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Search ID</w:t>
            </w:r>
          </w:p>
        </w:tc>
        <w:tc>
          <w:tcPr>
            <w:tcW w:w="3425" w:type="pct"/>
            <w:tcBorders>
              <w:top w:val="single" w:sz="4" w:space="0" w:color="auto"/>
              <w:bottom w:val="single" w:sz="4" w:space="0" w:color="auto"/>
            </w:tcBorders>
            <w:shd w:val="clear" w:color="auto" w:fill="000000" w:themeFill="text1"/>
          </w:tcPr>
          <w:p w14:paraId="636BA40B"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Search Terms</w:t>
            </w:r>
          </w:p>
        </w:tc>
      </w:tr>
      <w:tr w:rsidR="008647AA" w:rsidRPr="00A16D20" w14:paraId="5FCC45A6" w14:textId="77777777" w:rsidTr="00D0517F">
        <w:tc>
          <w:tcPr>
            <w:tcW w:w="1125" w:type="pct"/>
            <w:tcBorders>
              <w:top w:val="single" w:sz="4" w:space="0" w:color="auto"/>
            </w:tcBorders>
            <w:shd w:val="clear" w:color="auto" w:fill="EEECE1" w:themeFill="background2"/>
          </w:tcPr>
          <w:p w14:paraId="7B895766" w14:textId="77777777" w:rsidR="008647AA" w:rsidRPr="00A16D20" w:rsidRDefault="008647AA" w:rsidP="00CB27AE">
            <w:pPr>
              <w:rPr>
                <w:rFonts w:ascii="Arial Narrow" w:hAnsi="Arial Narrow" w:cs="Arial"/>
              </w:rPr>
            </w:pPr>
            <w:r w:rsidRPr="00A16D20">
              <w:rPr>
                <w:rFonts w:ascii="Arial Narrow" w:hAnsi="Arial Narrow" w:cs="Arial"/>
                <w:b/>
                <w:bCs/>
              </w:rPr>
              <w:t>Patient, Population, Problem terms</w:t>
            </w:r>
          </w:p>
        </w:tc>
        <w:tc>
          <w:tcPr>
            <w:tcW w:w="450" w:type="pct"/>
            <w:tcBorders>
              <w:top w:val="single" w:sz="4" w:space="0" w:color="auto"/>
            </w:tcBorders>
            <w:shd w:val="clear" w:color="auto" w:fill="EEECE1" w:themeFill="background2"/>
          </w:tcPr>
          <w:p w14:paraId="5EEAEBD3" w14:textId="77777777" w:rsidR="008647AA" w:rsidRPr="00A16D20" w:rsidRDefault="008647AA" w:rsidP="00CB27AE">
            <w:pPr>
              <w:jc w:val="center"/>
              <w:rPr>
                <w:rFonts w:ascii="Arial Narrow" w:hAnsi="Arial Narrow" w:cs="Arial"/>
              </w:rPr>
            </w:pPr>
            <w:r w:rsidRPr="00A16D20">
              <w:rPr>
                <w:rFonts w:ascii="Arial Narrow" w:hAnsi="Arial Narrow" w:cs="Arial"/>
              </w:rPr>
              <w:t>S1</w:t>
            </w:r>
          </w:p>
        </w:tc>
        <w:tc>
          <w:tcPr>
            <w:tcW w:w="3425" w:type="pct"/>
            <w:tcBorders>
              <w:top w:val="single" w:sz="4" w:space="0" w:color="auto"/>
            </w:tcBorders>
            <w:shd w:val="clear" w:color="auto" w:fill="EEECE1" w:themeFill="background2"/>
          </w:tcPr>
          <w:p w14:paraId="7565DC95" w14:textId="77777777" w:rsidR="008647AA" w:rsidRPr="00A16D20" w:rsidRDefault="008647AA" w:rsidP="00CB27AE">
            <w:pPr>
              <w:rPr>
                <w:rFonts w:ascii="Arial Narrow" w:hAnsi="Arial Narrow" w:cs="Arial"/>
              </w:rPr>
            </w:pPr>
            <w:r w:rsidRPr="00A16D20">
              <w:rPr>
                <w:rFonts w:ascii="Arial Narrow" w:hAnsi="Arial Narrow" w:cs="Arial"/>
              </w:rPr>
              <w:t>smoking cessation/</w:t>
            </w:r>
          </w:p>
        </w:tc>
      </w:tr>
      <w:tr w:rsidR="008647AA" w:rsidRPr="00A16D20" w14:paraId="0E4B62B3" w14:textId="77777777" w:rsidTr="00D0517F">
        <w:tc>
          <w:tcPr>
            <w:tcW w:w="1125" w:type="pct"/>
            <w:shd w:val="clear" w:color="auto" w:fill="EEECE1" w:themeFill="background2"/>
          </w:tcPr>
          <w:p w14:paraId="3A98E585" w14:textId="77777777" w:rsidR="008647AA" w:rsidRPr="00A16D20" w:rsidRDefault="008647AA" w:rsidP="00CB27AE">
            <w:pPr>
              <w:rPr>
                <w:rFonts w:ascii="Arial Narrow" w:hAnsi="Arial Narrow" w:cs="Arial"/>
              </w:rPr>
            </w:pPr>
          </w:p>
        </w:tc>
        <w:tc>
          <w:tcPr>
            <w:tcW w:w="450" w:type="pct"/>
            <w:shd w:val="clear" w:color="auto" w:fill="EEECE1" w:themeFill="background2"/>
          </w:tcPr>
          <w:p w14:paraId="16A9EE98" w14:textId="77777777" w:rsidR="008647AA" w:rsidRPr="00A16D20" w:rsidRDefault="008647AA" w:rsidP="00CB27AE">
            <w:pPr>
              <w:jc w:val="center"/>
              <w:rPr>
                <w:rFonts w:ascii="Arial Narrow" w:hAnsi="Arial Narrow" w:cs="Arial"/>
              </w:rPr>
            </w:pPr>
            <w:r w:rsidRPr="00A16D20">
              <w:rPr>
                <w:rFonts w:ascii="Arial Narrow" w:hAnsi="Arial Narrow" w:cs="Arial"/>
              </w:rPr>
              <w:t>S2</w:t>
            </w:r>
          </w:p>
        </w:tc>
        <w:tc>
          <w:tcPr>
            <w:tcW w:w="3425" w:type="pct"/>
            <w:shd w:val="clear" w:color="auto" w:fill="EEECE1" w:themeFill="background2"/>
          </w:tcPr>
          <w:p w14:paraId="1032F771" w14:textId="77777777" w:rsidR="008647AA" w:rsidRPr="00A16D20" w:rsidRDefault="008647AA" w:rsidP="00CB27AE">
            <w:pPr>
              <w:rPr>
                <w:rFonts w:ascii="Arial Narrow" w:hAnsi="Arial Narrow" w:cs="Arial"/>
              </w:rPr>
            </w:pPr>
            <w:r w:rsidRPr="00A16D20">
              <w:rPr>
                <w:rFonts w:ascii="Arial Narrow" w:eastAsiaTheme="majorEastAsia" w:hAnsi="Arial Narrow"/>
              </w:rPr>
              <w:t>"tobacco use cessation"/</w:t>
            </w:r>
          </w:p>
        </w:tc>
      </w:tr>
      <w:tr w:rsidR="008647AA" w:rsidRPr="00A16D20" w14:paraId="043CC71E" w14:textId="77777777" w:rsidTr="00D0517F">
        <w:tc>
          <w:tcPr>
            <w:tcW w:w="1125" w:type="pct"/>
            <w:shd w:val="clear" w:color="auto" w:fill="EEECE1" w:themeFill="background2"/>
          </w:tcPr>
          <w:p w14:paraId="7D162CCA" w14:textId="77777777" w:rsidR="008647AA" w:rsidRPr="00A16D20" w:rsidRDefault="008647AA" w:rsidP="00CB27AE">
            <w:pPr>
              <w:rPr>
                <w:rFonts w:ascii="Arial Narrow" w:hAnsi="Arial Narrow" w:cs="Arial"/>
              </w:rPr>
            </w:pPr>
          </w:p>
        </w:tc>
        <w:tc>
          <w:tcPr>
            <w:tcW w:w="450" w:type="pct"/>
            <w:shd w:val="clear" w:color="auto" w:fill="EEECE1" w:themeFill="background2"/>
          </w:tcPr>
          <w:p w14:paraId="56C13153" w14:textId="77777777" w:rsidR="008647AA" w:rsidRPr="00A16D20" w:rsidRDefault="008647AA" w:rsidP="00CB27AE">
            <w:pPr>
              <w:jc w:val="center"/>
              <w:rPr>
                <w:rFonts w:ascii="Arial Narrow" w:hAnsi="Arial Narrow" w:cs="Arial"/>
              </w:rPr>
            </w:pPr>
            <w:r w:rsidRPr="00A16D20">
              <w:rPr>
                <w:rFonts w:ascii="Arial Narrow" w:hAnsi="Arial Narrow" w:cs="Arial"/>
              </w:rPr>
              <w:t>S3</w:t>
            </w:r>
          </w:p>
        </w:tc>
        <w:tc>
          <w:tcPr>
            <w:tcW w:w="3425" w:type="pct"/>
            <w:shd w:val="clear" w:color="auto" w:fill="EEECE1" w:themeFill="background2"/>
          </w:tcPr>
          <w:p w14:paraId="4C8E2561" w14:textId="77777777" w:rsidR="008647AA" w:rsidRPr="00A16D20" w:rsidRDefault="008647AA" w:rsidP="00CB27AE">
            <w:pPr>
              <w:rPr>
                <w:rFonts w:ascii="Arial Narrow" w:hAnsi="Arial Narrow" w:cs="Arial"/>
              </w:rPr>
            </w:pPr>
            <w:r w:rsidRPr="00A16D20">
              <w:rPr>
                <w:rFonts w:ascii="Arial Narrow" w:eastAsiaTheme="majorEastAsia" w:hAnsi="Arial Narrow"/>
              </w:rPr>
              <w:t>smoking/dt [drug therapy]</w:t>
            </w:r>
          </w:p>
        </w:tc>
      </w:tr>
      <w:tr w:rsidR="008647AA" w:rsidRPr="00A16D20" w14:paraId="011FF432" w14:textId="77777777" w:rsidTr="00D0517F">
        <w:tc>
          <w:tcPr>
            <w:tcW w:w="1125" w:type="pct"/>
            <w:shd w:val="clear" w:color="auto" w:fill="EEECE1" w:themeFill="background2"/>
          </w:tcPr>
          <w:p w14:paraId="2AAF8B50" w14:textId="77777777" w:rsidR="008647AA" w:rsidRPr="00A16D20" w:rsidRDefault="008647AA" w:rsidP="00CB27AE">
            <w:pPr>
              <w:rPr>
                <w:rFonts w:ascii="Arial Narrow" w:hAnsi="Arial Narrow" w:cs="Arial"/>
              </w:rPr>
            </w:pPr>
          </w:p>
        </w:tc>
        <w:tc>
          <w:tcPr>
            <w:tcW w:w="450" w:type="pct"/>
            <w:shd w:val="clear" w:color="auto" w:fill="EEECE1" w:themeFill="background2"/>
          </w:tcPr>
          <w:p w14:paraId="2B80457E" w14:textId="77777777" w:rsidR="008647AA" w:rsidRPr="00A16D20" w:rsidRDefault="008647AA" w:rsidP="00CB27AE">
            <w:pPr>
              <w:jc w:val="center"/>
              <w:rPr>
                <w:rFonts w:ascii="Arial Narrow" w:hAnsi="Arial Narrow" w:cs="Arial"/>
              </w:rPr>
            </w:pPr>
            <w:r w:rsidRPr="00A16D20">
              <w:rPr>
                <w:rFonts w:ascii="Arial Narrow" w:hAnsi="Arial Narrow" w:cs="Arial"/>
              </w:rPr>
              <w:t>S4</w:t>
            </w:r>
          </w:p>
        </w:tc>
        <w:tc>
          <w:tcPr>
            <w:tcW w:w="3425" w:type="pct"/>
            <w:shd w:val="clear" w:color="auto" w:fill="EEECE1" w:themeFill="background2"/>
          </w:tcPr>
          <w:p w14:paraId="72F6CCE9" w14:textId="77777777" w:rsidR="008647AA" w:rsidRPr="00A16D20" w:rsidRDefault="008647AA" w:rsidP="00CB27AE">
            <w:pPr>
              <w:rPr>
                <w:rFonts w:ascii="Arial Narrow" w:eastAsiaTheme="majorEastAsia" w:hAnsi="Arial Narrow"/>
              </w:rPr>
            </w:pPr>
            <w:r w:rsidRPr="00A16D20">
              <w:rPr>
                <w:rFonts w:ascii="Arial Narrow" w:eastAsiaTheme="majorEastAsia" w:hAnsi="Arial Narrow"/>
              </w:rPr>
              <w:t>smoking/th [therapy]</w:t>
            </w:r>
          </w:p>
        </w:tc>
      </w:tr>
      <w:tr w:rsidR="008647AA" w:rsidRPr="00A16D20" w14:paraId="23BA26C0" w14:textId="77777777" w:rsidTr="00D0517F">
        <w:tc>
          <w:tcPr>
            <w:tcW w:w="1125" w:type="pct"/>
            <w:shd w:val="clear" w:color="auto" w:fill="EEECE1" w:themeFill="background2"/>
          </w:tcPr>
          <w:p w14:paraId="41E7C4DB" w14:textId="77777777" w:rsidR="008647AA" w:rsidRPr="00A16D20" w:rsidRDefault="008647AA" w:rsidP="00CB27AE">
            <w:pPr>
              <w:rPr>
                <w:rFonts w:ascii="Arial Narrow" w:hAnsi="Arial Narrow" w:cs="Arial"/>
              </w:rPr>
            </w:pPr>
          </w:p>
        </w:tc>
        <w:tc>
          <w:tcPr>
            <w:tcW w:w="450" w:type="pct"/>
            <w:shd w:val="clear" w:color="auto" w:fill="EEECE1" w:themeFill="background2"/>
          </w:tcPr>
          <w:p w14:paraId="7377E338" w14:textId="77777777" w:rsidR="008647AA" w:rsidRPr="00A16D20" w:rsidRDefault="008647AA" w:rsidP="00CB27AE">
            <w:pPr>
              <w:jc w:val="center"/>
              <w:rPr>
                <w:rFonts w:ascii="Arial Narrow" w:hAnsi="Arial Narrow" w:cs="Arial"/>
              </w:rPr>
            </w:pPr>
            <w:r w:rsidRPr="00A16D20">
              <w:rPr>
                <w:rFonts w:ascii="Arial Narrow" w:hAnsi="Arial Narrow" w:cs="Arial"/>
              </w:rPr>
              <w:t>S5</w:t>
            </w:r>
          </w:p>
        </w:tc>
        <w:tc>
          <w:tcPr>
            <w:tcW w:w="3425" w:type="pct"/>
            <w:shd w:val="clear" w:color="auto" w:fill="EEECE1" w:themeFill="background2"/>
          </w:tcPr>
          <w:p w14:paraId="5954C298" w14:textId="77777777" w:rsidR="008647AA" w:rsidRPr="00A16D20" w:rsidRDefault="008647AA" w:rsidP="00CB27AE">
            <w:pPr>
              <w:rPr>
                <w:rFonts w:ascii="Arial Narrow" w:hAnsi="Arial Narrow" w:cs="Arial"/>
              </w:rPr>
            </w:pPr>
            <w:r w:rsidRPr="00A16D20">
              <w:rPr>
                <w:rFonts w:ascii="Arial Narrow" w:eastAsiaTheme="majorEastAsia" w:hAnsi="Arial Narrow"/>
              </w:rPr>
              <w:t>exp tobacco smoking/dt [drug therapy]</w:t>
            </w:r>
          </w:p>
        </w:tc>
      </w:tr>
      <w:tr w:rsidR="008647AA" w:rsidRPr="00A16D20" w14:paraId="078AAC83" w14:textId="77777777" w:rsidTr="00D0517F">
        <w:tc>
          <w:tcPr>
            <w:tcW w:w="1125" w:type="pct"/>
            <w:shd w:val="clear" w:color="auto" w:fill="EEECE1" w:themeFill="background2"/>
          </w:tcPr>
          <w:p w14:paraId="376D4BF2" w14:textId="77777777" w:rsidR="008647AA" w:rsidRPr="00A16D20" w:rsidRDefault="008647AA" w:rsidP="00CB27AE">
            <w:pPr>
              <w:rPr>
                <w:rFonts w:ascii="Arial Narrow" w:hAnsi="Arial Narrow" w:cs="Arial"/>
              </w:rPr>
            </w:pPr>
          </w:p>
        </w:tc>
        <w:tc>
          <w:tcPr>
            <w:tcW w:w="450" w:type="pct"/>
            <w:shd w:val="clear" w:color="auto" w:fill="EEECE1" w:themeFill="background2"/>
          </w:tcPr>
          <w:p w14:paraId="77076597" w14:textId="77777777" w:rsidR="008647AA" w:rsidRPr="00A16D20" w:rsidRDefault="008647AA" w:rsidP="00CB27AE">
            <w:pPr>
              <w:jc w:val="center"/>
              <w:rPr>
                <w:rFonts w:ascii="Arial Narrow" w:hAnsi="Arial Narrow" w:cs="Arial"/>
              </w:rPr>
            </w:pPr>
            <w:r w:rsidRPr="00A16D20">
              <w:rPr>
                <w:rFonts w:ascii="Arial Narrow" w:hAnsi="Arial Narrow" w:cs="Arial"/>
              </w:rPr>
              <w:t>S6</w:t>
            </w:r>
          </w:p>
        </w:tc>
        <w:tc>
          <w:tcPr>
            <w:tcW w:w="3425" w:type="pct"/>
            <w:shd w:val="clear" w:color="auto" w:fill="EEECE1" w:themeFill="background2"/>
          </w:tcPr>
          <w:p w14:paraId="71D15A86" w14:textId="77777777" w:rsidR="008647AA" w:rsidRPr="00A16D20" w:rsidRDefault="008647AA" w:rsidP="00CB27AE">
            <w:pPr>
              <w:rPr>
                <w:rFonts w:ascii="Arial Narrow" w:hAnsi="Arial Narrow" w:cs="Arial"/>
              </w:rPr>
            </w:pPr>
            <w:r w:rsidRPr="00A16D20">
              <w:rPr>
                <w:rFonts w:ascii="Arial Narrow" w:hAnsi="Arial Narrow"/>
              </w:rPr>
              <w:t>exp tobacco smoking/th [therapy]</w:t>
            </w:r>
          </w:p>
        </w:tc>
      </w:tr>
      <w:tr w:rsidR="008647AA" w:rsidRPr="00A16D20" w14:paraId="020F8944" w14:textId="77777777" w:rsidTr="00D0517F">
        <w:tc>
          <w:tcPr>
            <w:tcW w:w="1125" w:type="pct"/>
            <w:tcBorders>
              <w:bottom w:val="single" w:sz="4" w:space="0" w:color="auto"/>
            </w:tcBorders>
            <w:shd w:val="clear" w:color="auto" w:fill="EEECE1" w:themeFill="background2"/>
          </w:tcPr>
          <w:p w14:paraId="6E08CB5E" w14:textId="77777777" w:rsidR="008647AA" w:rsidRPr="00A16D20" w:rsidRDefault="008647AA" w:rsidP="00CB27AE">
            <w:pPr>
              <w:rPr>
                <w:rFonts w:ascii="Arial Narrow" w:hAnsi="Arial Narrow" w:cs="Arial"/>
                <w:b/>
                <w:bCs/>
              </w:rPr>
            </w:pPr>
          </w:p>
        </w:tc>
        <w:tc>
          <w:tcPr>
            <w:tcW w:w="450" w:type="pct"/>
            <w:tcBorders>
              <w:bottom w:val="single" w:sz="4" w:space="0" w:color="auto"/>
            </w:tcBorders>
            <w:shd w:val="clear" w:color="auto" w:fill="EEECE1" w:themeFill="background2"/>
          </w:tcPr>
          <w:p w14:paraId="626ED4AD"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S7</w:t>
            </w:r>
          </w:p>
        </w:tc>
        <w:tc>
          <w:tcPr>
            <w:tcW w:w="3425" w:type="pct"/>
            <w:tcBorders>
              <w:bottom w:val="single" w:sz="4" w:space="0" w:color="auto"/>
            </w:tcBorders>
            <w:shd w:val="clear" w:color="auto" w:fill="EEECE1" w:themeFill="background2"/>
          </w:tcPr>
          <w:p w14:paraId="50E1D0AE" w14:textId="77777777" w:rsidR="008647AA" w:rsidRPr="00A16D20" w:rsidRDefault="008647AA" w:rsidP="00CB27AE">
            <w:pPr>
              <w:rPr>
                <w:rFonts w:ascii="Arial Narrow" w:hAnsi="Arial Narrow" w:cs="Arial"/>
                <w:b/>
                <w:bCs/>
              </w:rPr>
            </w:pPr>
            <w:r w:rsidRPr="00A16D20">
              <w:rPr>
                <w:rFonts w:ascii="Arial Narrow" w:eastAsiaTheme="majorEastAsia" w:hAnsi="Arial Narrow"/>
                <w:b/>
                <w:bCs/>
              </w:rPr>
              <w:t>S1 or S2 or S3 or S4 or S5 or S6</w:t>
            </w:r>
          </w:p>
        </w:tc>
      </w:tr>
      <w:tr w:rsidR="008647AA" w:rsidRPr="00A16D20" w14:paraId="26453AC2" w14:textId="77777777" w:rsidTr="00D0517F">
        <w:trPr>
          <w:trHeight w:val="125"/>
        </w:trPr>
        <w:tc>
          <w:tcPr>
            <w:tcW w:w="1125" w:type="pct"/>
            <w:tcBorders>
              <w:top w:val="single" w:sz="4" w:space="0" w:color="auto"/>
              <w:bottom w:val="single" w:sz="4" w:space="0" w:color="auto"/>
            </w:tcBorders>
            <w:shd w:val="clear" w:color="auto" w:fill="FFFFFF" w:themeFill="background1"/>
          </w:tcPr>
          <w:p w14:paraId="2911B851" w14:textId="77777777" w:rsidR="008647AA" w:rsidRPr="00A16D20" w:rsidRDefault="008647AA" w:rsidP="00CB27AE">
            <w:pPr>
              <w:rPr>
                <w:rFonts w:ascii="Arial Narrow" w:hAnsi="Arial Narrow" w:cs="Arial"/>
              </w:rPr>
            </w:pPr>
          </w:p>
        </w:tc>
        <w:tc>
          <w:tcPr>
            <w:tcW w:w="450" w:type="pct"/>
            <w:tcBorders>
              <w:top w:val="single" w:sz="4" w:space="0" w:color="auto"/>
              <w:bottom w:val="single" w:sz="4" w:space="0" w:color="auto"/>
            </w:tcBorders>
            <w:shd w:val="clear" w:color="auto" w:fill="FFFFFF" w:themeFill="background1"/>
          </w:tcPr>
          <w:p w14:paraId="27D8C143" w14:textId="77777777" w:rsidR="008647AA" w:rsidRPr="00A16D20" w:rsidRDefault="008647AA" w:rsidP="00CB27AE">
            <w:pPr>
              <w:jc w:val="center"/>
              <w:rPr>
                <w:rFonts w:ascii="Arial Narrow" w:hAnsi="Arial Narrow" w:cs="Arial"/>
              </w:rPr>
            </w:pPr>
          </w:p>
        </w:tc>
        <w:tc>
          <w:tcPr>
            <w:tcW w:w="3425" w:type="pct"/>
            <w:tcBorders>
              <w:top w:val="single" w:sz="4" w:space="0" w:color="auto"/>
              <w:bottom w:val="single" w:sz="4" w:space="0" w:color="auto"/>
            </w:tcBorders>
            <w:shd w:val="clear" w:color="auto" w:fill="FFFFFF" w:themeFill="background1"/>
          </w:tcPr>
          <w:p w14:paraId="417AFCE8" w14:textId="77777777" w:rsidR="008647AA" w:rsidRPr="00A16D20" w:rsidRDefault="008647AA" w:rsidP="00CB27AE">
            <w:pPr>
              <w:rPr>
                <w:rFonts w:ascii="Arial Narrow" w:hAnsi="Arial Narrow" w:cs="Arial"/>
              </w:rPr>
            </w:pPr>
          </w:p>
        </w:tc>
      </w:tr>
      <w:tr w:rsidR="008647AA" w:rsidRPr="00A16D20" w14:paraId="2D98EEED" w14:textId="77777777" w:rsidTr="00D0517F">
        <w:tc>
          <w:tcPr>
            <w:tcW w:w="1125" w:type="pct"/>
            <w:tcBorders>
              <w:top w:val="single" w:sz="4" w:space="0" w:color="auto"/>
            </w:tcBorders>
            <w:shd w:val="clear" w:color="auto" w:fill="EEECE1" w:themeFill="background2"/>
          </w:tcPr>
          <w:p w14:paraId="48EBDC39" w14:textId="77777777" w:rsidR="008647AA" w:rsidRPr="00A16D20" w:rsidRDefault="008647AA" w:rsidP="00CB27AE">
            <w:pPr>
              <w:rPr>
                <w:rFonts w:ascii="Arial Narrow" w:hAnsi="Arial Narrow" w:cs="Arial"/>
              </w:rPr>
            </w:pPr>
            <w:r w:rsidRPr="00A16D20">
              <w:rPr>
                <w:rFonts w:ascii="Arial Narrow" w:hAnsi="Arial Narrow" w:cs="Arial"/>
              </w:rPr>
              <w:t>Intervention – Varenicline terms</w:t>
            </w:r>
          </w:p>
        </w:tc>
        <w:tc>
          <w:tcPr>
            <w:tcW w:w="450" w:type="pct"/>
            <w:tcBorders>
              <w:top w:val="single" w:sz="4" w:space="0" w:color="auto"/>
            </w:tcBorders>
            <w:shd w:val="clear" w:color="auto" w:fill="EEECE1" w:themeFill="background2"/>
          </w:tcPr>
          <w:p w14:paraId="1B6C55F2" w14:textId="77777777" w:rsidR="008647AA" w:rsidRPr="00A16D20" w:rsidRDefault="008647AA" w:rsidP="00CB27AE">
            <w:pPr>
              <w:jc w:val="center"/>
              <w:rPr>
                <w:rFonts w:ascii="Arial Narrow" w:hAnsi="Arial Narrow" w:cs="Arial"/>
              </w:rPr>
            </w:pPr>
            <w:r w:rsidRPr="00A16D20">
              <w:rPr>
                <w:rFonts w:ascii="Arial Narrow" w:hAnsi="Arial Narrow" w:cs="Arial"/>
              </w:rPr>
              <w:t>S8</w:t>
            </w:r>
          </w:p>
        </w:tc>
        <w:tc>
          <w:tcPr>
            <w:tcW w:w="3425" w:type="pct"/>
            <w:tcBorders>
              <w:top w:val="single" w:sz="4" w:space="0" w:color="auto"/>
            </w:tcBorders>
            <w:shd w:val="clear" w:color="auto" w:fill="EEECE1" w:themeFill="background2"/>
          </w:tcPr>
          <w:p w14:paraId="2629D339" w14:textId="77777777" w:rsidR="008647AA" w:rsidRPr="00A16D20" w:rsidRDefault="008647AA" w:rsidP="00CB27AE">
            <w:pPr>
              <w:rPr>
                <w:rFonts w:ascii="Arial Narrow" w:hAnsi="Arial Narrow" w:cs="Arial"/>
              </w:rPr>
            </w:pPr>
            <w:r w:rsidRPr="00A16D20">
              <w:rPr>
                <w:rFonts w:ascii="Arial Narrow" w:hAnsi="Arial Narrow"/>
              </w:rPr>
              <w:t>varenicline/</w:t>
            </w:r>
          </w:p>
        </w:tc>
      </w:tr>
      <w:tr w:rsidR="008647AA" w:rsidRPr="00A16D20" w14:paraId="616AB130" w14:textId="77777777" w:rsidTr="00D0517F">
        <w:tc>
          <w:tcPr>
            <w:tcW w:w="1125" w:type="pct"/>
            <w:shd w:val="clear" w:color="auto" w:fill="EEECE1" w:themeFill="background2"/>
          </w:tcPr>
          <w:p w14:paraId="5F12BCEF" w14:textId="77777777" w:rsidR="008647AA" w:rsidRPr="00A16D20" w:rsidRDefault="008647AA" w:rsidP="00CB27AE">
            <w:pPr>
              <w:rPr>
                <w:rFonts w:ascii="Arial Narrow" w:hAnsi="Arial Narrow" w:cs="Arial"/>
              </w:rPr>
            </w:pPr>
          </w:p>
        </w:tc>
        <w:tc>
          <w:tcPr>
            <w:tcW w:w="450" w:type="pct"/>
            <w:shd w:val="clear" w:color="auto" w:fill="EEECE1" w:themeFill="background2"/>
          </w:tcPr>
          <w:p w14:paraId="6CE6F78F" w14:textId="77777777" w:rsidR="008647AA" w:rsidRPr="00A16D20" w:rsidRDefault="008647AA" w:rsidP="00CB27AE">
            <w:pPr>
              <w:jc w:val="center"/>
              <w:rPr>
                <w:rFonts w:ascii="Arial Narrow" w:hAnsi="Arial Narrow" w:cs="Arial"/>
              </w:rPr>
            </w:pPr>
            <w:r w:rsidRPr="00A16D20">
              <w:rPr>
                <w:rFonts w:ascii="Arial Narrow" w:hAnsi="Arial Narrow" w:cs="Arial"/>
              </w:rPr>
              <w:t>S9</w:t>
            </w:r>
          </w:p>
        </w:tc>
        <w:tc>
          <w:tcPr>
            <w:tcW w:w="3425" w:type="pct"/>
            <w:shd w:val="clear" w:color="auto" w:fill="EEECE1" w:themeFill="background2"/>
          </w:tcPr>
          <w:p w14:paraId="73B427E0" w14:textId="77777777" w:rsidR="008647AA" w:rsidRPr="00A16D20" w:rsidRDefault="008647AA" w:rsidP="00CB27AE">
            <w:pPr>
              <w:rPr>
                <w:rFonts w:ascii="Arial Narrow" w:hAnsi="Arial Narrow" w:cs="Arial"/>
              </w:rPr>
            </w:pPr>
            <w:r w:rsidRPr="00A16D20">
              <w:rPr>
                <w:rFonts w:ascii="Arial Narrow" w:hAnsi="Arial Narrow"/>
              </w:rPr>
              <w:t>(varenicline or champix* or chantix* or cp 526555-18 or unii-82269asb48).tw,kf.</w:t>
            </w:r>
          </w:p>
        </w:tc>
      </w:tr>
      <w:tr w:rsidR="008647AA" w:rsidRPr="00A16D20" w14:paraId="6AA43FA4" w14:textId="77777777" w:rsidTr="00D0517F">
        <w:tc>
          <w:tcPr>
            <w:tcW w:w="1125" w:type="pct"/>
            <w:shd w:val="clear" w:color="auto" w:fill="EEECE1" w:themeFill="background2"/>
          </w:tcPr>
          <w:p w14:paraId="551C5F2B" w14:textId="77777777" w:rsidR="008647AA" w:rsidRPr="00A16D20" w:rsidRDefault="008647AA" w:rsidP="00CB27AE">
            <w:pPr>
              <w:rPr>
                <w:rFonts w:ascii="Arial Narrow" w:hAnsi="Arial Narrow" w:cs="Arial"/>
              </w:rPr>
            </w:pPr>
          </w:p>
        </w:tc>
        <w:tc>
          <w:tcPr>
            <w:tcW w:w="450" w:type="pct"/>
            <w:shd w:val="clear" w:color="auto" w:fill="EEECE1" w:themeFill="background2"/>
          </w:tcPr>
          <w:p w14:paraId="3C7BE191" w14:textId="77777777" w:rsidR="008647AA" w:rsidRPr="00A16D20" w:rsidRDefault="008647AA" w:rsidP="00CB27AE">
            <w:pPr>
              <w:jc w:val="center"/>
              <w:rPr>
                <w:rFonts w:ascii="Arial Narrow" w:hAnsi="Arial Narrow" w:cs="Arial"/>
              </w:rPr>
            </w:pPr>
          </w:p>
        </w:tc>
        <w:tc>
          <w:tcPr>
            <w:tcW w:w="3425" w:type="pct"/>
            <w:shd w:val="clear" w:color="auto" w:fill="EEECE1" w:themeFill="background2"/>
          </w:tcPr>
          <w:p w14:paraId="7789558F" w14:textId="77777777" w:rsidR="008647AA" w:rsidRPr="00A16D20" w:rsidRDefault="008647AA" w:rsidP="00CB27AE">
            <w:pPr>
              <w:rPr>
                <w:rFonts w:ascii="Arial Narrow" w:hAnsi="Arial Narrow"/>
              </w:rPr>
            </w:pPr>
          </w:p>
        </w:tc>
      </w:tr>
      <w:tr w:rsidR="008647AA" w:rsidRPr="00A16D20" w14:paraId="10A37929" w14:textId="77777777" w:rsidTr="00D0517F">
        <w:tc>
          <w:tcPr>
            <w:tcW w:w="1125" w:type="pct"/>
            <w:shd w:val="clear" w:color="auto" w:fill="EEECE1" w:themeFill="background2"/>
          </w:tcPr>
          <w:p w14:paraId="3A2A579C" w14:textId="77777777" w:rsidR="008647AA" w:rsidRPr="00A16D20" w:rsidRDefault="008647AA" w:rsidP="00CB27AE">
            <w:pPr>
              <w:rPr>
                <w:rFonts w:ascii="Arial Narrow" w:hAnsi="Arial Narrow" w:cs="Arial"/>
              </w:rPr>
            </w:pPr>
            <w:r w:rsidRPr="00A16D20">
              <w:rPr>
                <w:rFonts w:ascii="Arial Narrow" w:hAnsi="Arial Narrow"/>
              </w:rPr>
              <w:t>Intervention – Bupropion terms</w:t>
            </w:r>
          </w:p>
        </w:tc>
        <w:tc>
          <w:tcPr>
            <w:tcW w:w="450" w:type="pct"/>
            <w:shd w:val="clear" w:color="auto" w:fill="EEECE1" w:themeFill="background2"/>
          </w:tcPr>
          <w:p w14:paraId="056FDE22" w14:textId="77777777" w:rsidR="008647AA" w:rsidRPr="00A16D20" w:rsidRDefault="008647AA" w:rsidP="00CB27AE">
            <w:pPr>
              <w:jc w:val="center"/>
              <w:rPr>
                <w:rFonts w:ascii="Arial Narrow" w:hAnsi="Arial Narrow" w:cs="Arial"/>
              </w:rPr>
            </w:pPr>
            <w:r w:rsidRPr="00A16D20">
              <w:rPr>
                <w:rFonts w:ascii="Arial Narrow" w:hAnsi="Arial Narrow" w:cs="Arial"/>
              </w:rPr>
              <w:t>S10</w:t>
            </w:r>
          </w:p>
        </w:tc>
        <w:tc>
          <w:tcPr>
            <w:tcW w:w="3425" w:type="pct"/>
            <w:shd w:val="clear" w:color="auto" w:fill="EEECE1" w:themeFill="background2"/>
          </w:tcPr>
          <w:p w14:paraId="2FA96564" w14:textId="77777777" w:rsidR="008647AA" w:rsidRPr="00A16D20" w:rsidRDefault="008647AA" w:rsidP="00CB27AE">
            <w:pPr>
              <w:rPr>
                <w:rFonts w:ascii="Arial Narrow" w:hAnsi="Arial Narrow" w:cs="Arial"/>
              </w:rPr>
            </w:pPr>
            <w:r w:rsidRPr="00A16D20">
              <w:rPr>
                <w:rFonts w:ascii="Arial Narrow" w:eastAsiaTheme="majorEastAsia" w:hAnsi="Arial Narrow"/>
              </w:rPr>
              <w:t>amfebutamone.mp. or bupropion/</w:t>
            </w:r>
          </w:p>
        </w:tc>
      </w:tr>
      <w:tr w:rsidR="008647AA" w:rsidRPr="00A16D20" w14:paraId="2C9AA3CD" w14:textId="77777777" w:rsidTr="00D0517F">
        <w:tc>
          <w:tcPr>
            <w:tcW w:w="1125" w:type="pct"/>
            <w:shd w:val="clear" w:color="auto" w:fill="EEECE1" w:themeFill="background2"/>
          </w:tcPr>
          <w:p w14:paraId="6A6BC679" w14:textId="77777777" w:rsidR="008647AA" w:rsidRPr="00A16D20" w:rsidRDefault="008647AA" w:rsidP="00CB27AE">
            <w:pPr>
              <w:rPr>
                <w:rFonts w:ascii="Arial Narrow" w:hAnsi="Arial Narrow" w:cs="Arial"/>
              </w:rPr>
            </w:pPr>
          </w:p>
        </w:tc>
        <w:tc>
          <w:tcPr>
            <w:tcW w:w="450" w:type="pct"/>
            <w:shd w:val="clear" w:color="auto" w:fill="EEECE1" w:themeFill="background2"/>
          </w:tcPr>
          <w:p w14:paraId="43AA1315" w14:textId="77777777" w:rsidR="008647AA" w:rsidRPr="00A16D20" w:rsidRDefault="008647AA" w:rsidP="00CB27AE">
            <w:pPr>
              <w:jc w:val="center"/>
              <w:rPr>
                <w:rFonts w:ascii="Arial Narrow" w:hAnsi="Arial Narrow" w:cs="Arial"/>
              </w:rPr>
            </w:pPr>
            <w:r w:rsidRPr="00A16D20">
              <w:rPr>
                <w:rFonts w:ascii="Arial Narrow" w:hAnsi="Arial Narrow" w:cs="Arial"/>
              </w:rPr>
              <w:t>S11</w:t>
            </w:r>
          </w:p>
        </w:tc>
        <w:tc>
          <w:tcPr>
            <w:tcW w:w="3425" w:type="pct"/>
            <w:shd w:val="clear" w:color="auto" w:fill="EEECE1" w:themeFill="background2"/>
          </w:tcPr>
          <w:p w14:paraId="6EAAE185" w14:textId="77777777" w:rsidR="008647AA" w:rsidRPr="00A16D20" w:rsidRDefault="008647AA" w:rsidP="00CB27AE">
            <w:pPr>
              <w:rPr>
                <w:rFonts w:ascii="Arial Narrow" w:hAnsi="Arial Narrow" w:cs="Arial"/>
              </w:rPr>
            </w:pPr>
            <w:r w:rsidRPr="00A16D20">
              <w:rPr>
                <w:rFonts w:ascii="Arial Narrow" w:eastAsiaTheme="majorEastAsia" w:hAnsi="Arial Narrow"/>
              </w:rPr>
              <w:t>(bupropion* or wellbutrin or zyban or zyntabac* or 249296-44-4).tw,kf.</w:t>
            </w:r>
          </w:p>
        </w:tc>
      </w:tr>
      <w:tr w:rsidR="008647AA" w:rsidRPr="00A16D20" w14:paraId="46063246" w14:textId="77777777" w:rsidTr="00D0517F">
        <w:tc>
          <w:tcPr>
            <w:tcW w:w="1125" w:type="pct"/>
            <w:shd w:val="clear" w:color="auto" w:fill="EEECE1" w:themeFill="background2"/>
          </w:tcPr>
          <w:p w14:paraId="438ACC4F" w14:textId="77777777" w:rsidR="008647AA" w:rsidRPr="00A16D20" w:rsidRDefault="008647AA" w:rsidP="00CB27AE">
            <w:pPr>
              <w:rPr>
                <w:rFonts w:ascii="Arial Narrow" w:hAnsi="Arial Narrow" w:cs="Arial"/>
                <w:b/>
                <w:bCs/>
              </w:rPr>
            </w:pPr>
          </w:p>
        </w:tc>
        <w:tc>
          <w:tcPr>
            <w:tcW w:w="450" w:type="pct"/>
            <w:shd w:val="clear" w:color="auto" w:fill="EEECE1" w:themeFill="background2"/>
          </w:tcPr>
          <w:p w14:paraId="3ECCCE90"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S12</w:t>
            </w:r>
          </w:p>
        </w:tc>
        <w:tc>
          <w:tcPr>
            <w:tcW w:w="3425" w:type="pct"/>
            <w:shd w:val="clear" w:color="auto" w:fill="EEECE1" w:themeFill="background2"/>
          </w:tcPr>
          <w:p w14:paraId="521D3850" w14:textId="77777777" w:rsidR="008647AA" w:rsidRPr="00A16D20" w:rsidRDefault="008647AA" w:rsidP="00CB27AE">
            <w:pPr>
              <w:rPr>
                <w:rFonts w:ascii="Arial Narrow" w:hAnsi="Arial Narrow" w:cs="Arial"/>
                <w:b/>
                <w:bCs/>
              </w:rPr>
            </w:pPr>
            <w:r w:rsidRPr="00A16D20">
              <w:rPr>
                <w:rFonts w:ascii="Arial Narrow" w:hAnsi="Arial Narrow"/>
                <w:b/>
                <w:bCs/>
              </w:rPr>
              <w:t>S8 or S9 or S10 or S11</w:t>
            </w:r>
          </w:p>
        </w:tc>
      </w:tr>
      <w:tr w:rsidR="008647AA" w:rsidRPr="00A16D20" w14:paraId="6AEB25A2" w14:textId="77777777" w:rsidTr="00D0517F">
        <w:tc>
          <w:tcPr>
            <w:tcW w:w="1125" w:type="pct"/>
            <w:shd w:val="clear" w:color="auto" w:fill="EEECE1" w:themeFill="background2"/>
          </w:tcPr>
          <w:p w14:paraId="76C37FC4" w14:textId="77777777" w:rsidR="008647AA" w:rsidRPr="00A16D20" w:rsidRDefault="008647AA" w:rsidP="00CB27AE">
            <w:pPr>
              <w:rPr>
                <w:rFonts w:ascii="Arial Narrow" w:hAnsi="Arial Narrow" w:cs="Arial"/>
              </w:rPr>
            </w:pPr>
            <w:r w:rsidRPr="00A16D20">
              <w:rPr>
                <w:rFonts w:ascii="Arial Narrow" w:hAnsi="Arial Narrow" w:cs="Arial"/>
              </w:rPr>
              <w:t>Comparator – Nicotine Replacement Therapy (NRT)</w:t>
            </w:r>
          </w:p>
        </w:tc>
        <w:tc>
          <w:tcPr>
            <w:tcW w:w="450" w:type="pct"/>
            <w:shd w:val="clear" w:color="auto" w:fill="EEECE1" w:themeFill="background2"/>
          </w:tcPr>
          <w:p w14:paraId="45098853" w14:textId="77777777" w:rsidR="008647AA" w:rsidRPr="00A16D20" w:rsidRDefault="008647AA" w:rsidP="00CB27AE">
            <w:pPr>
              <w:jc w:val="center"/>
              <w:rPr>
                <w:rFonts w:ascii="Arial Narrow" w:hAnsi="Arial Narrow" w:cs="Arial"/>
              </w:rPr>
            </w:pPr>
            <w:r w:rsidRPr="00A16D20">
              <w:rPr>
                <w:rFonts w:ascii="Arial Narrow" w:hAnsi="Arial Narrow" w:cs="Arial"/>
              </w:rPr>
              <w:t>S13</w:t>
            </w:r>
          </w:p>
        </w:tc>
        <w:tc>
          <w:tcPr>
            <w:tcW w:w="3425" w:type="pct"/>
            <w:shd w:val="clear" w:color="auto" w:fill="EEECE1" w:themeFill="background2"/>
          </w:tcPr>
          <w:p w14:paraId="19BFB764" w14:textId="77777777" w:rsidR="008647AA" w:rsidRPr="00A16D20" w:rsidRDefault="008647AA" w:rsidP="00CB27AE">
            <w:pPr>
              <w:rPr>
                <w:rFonts w:ascii="Arial Narrow" w:hAnsi="Arial Narrow" w:cs="Arial"/>
              </w:rPr>
            </w:pPr>
            <w:r w:rsidRPr="00A16D20">
              <w:rPr>
                <w:rFonts w:ascii="Arial Narrow" w:eastAsiaTheme="majorEastAsia" w:hAnsi="Arial Narrow"/>
              </w:rPr>
              <w:t>"tobacco use cessation products".mp. or "tobacco use cessation devices"/</w:t>
            </w:r>
          </w:p>
        </w:tc>
      </w:tr>
      <w:tr w:rsidR="008647AA" w:rsidRPr="00A16D20" w14:paraId="3E37804F" w14:textId="77777777" w:rsidTr="00D0517F">
        <w:tc>
          <w:tcPr>
            <w:tcW w:w="1125" w:type="pct"/>
            <w:shd w:val="clear" w:color="auto" w:fill="EEECE1" w:themeFill="background2"/>
          </w:tcPr>
          <w:p w14:paraId="5A0F9B6E" w14:textId="77777777" w:rsidR="008647AA" w:rsidRPr="00A16D20" w:rsidRDefault="008647AA" w:rsidP="00CB27AE">
            <w:pPr>
              <w:rPr>
                <w:rFonts w:ascii="Arial Narrow" w:hAnsi="Arial Narrow" w:cs="Arial"/>
              </w:rPr>
            </w:pPr>
          </w:p>
        </w:tc>
        <w:tc>
          <w:tcPr>
            <w:tcW w:w="450" w:type="pct"/>
            <w:shd w:val="clear" w:color="auto" w:fill="EEECE1" w:themeFill="background2"/>
          </w:tcPr>
          <w:p w14:paraId="23CAB43D" w14:textId="77777777" w:rsidR="008647AA" w:rsidRPr="00A16D20" w:rsidRDefault="008647AA" w:rsidP="00CB27AE">
            <w:pPr>
              <w:jc w:val="center"/>
              <w:rPr>
                <w:rFonts w:ascii="Arial Narrow" w:hAnsi="Arial Narrow" w:cs="Arial"/>
              </w:rPr>
            </w:pPr>
            <w:r w:rsidRPr="00A16D20">
              <w:rPr>
                <w:rFonts w:ascii="Arial Narrow" w:hAnsi="Arial Narrow" w:cs="Arial"/>
              </w:rPr>
              <w:t>S14</w:t>
            </w:r>
          </w:p>
        </w:tc>
        <w:tc>
          <w:tcPr>
            <w:tcW w:w="3425" w:type="pct"/>
            <w:shd w:val="clear" w:color="auto" w:fill="EEECE1" w:themeFill="background2"/>
          </w:tcPr>
          <w:p w14:paraId="32714381" w14:textId="77777777" w:rsidR="008647AA" w:rsidRPr="00A16D20" w:rsidRDefault="008647AA" w:rsidP="00CB27AE">
            <w:pPr>
              <w:rPr>
                <w:rFonts w:ascii="Arial Narrow" w:hAnsi="Arial Narrow" w:cs="Arial"/>
              </w:rPr>
            </w:pPr>
            <w:r w:rsidRPr="00A16D20">
              <w:rPr>
                <w:rFonts w:ascii="Arial Narrow" w:eastAsiaTheme="majorEastAsia" w:hAnsi="Arial Narrow"/>
              </w:rPr>
              <w:t>(nicotine adj2 replac*).tw,kf.</w:t>
            </w:r>
          </w:p>
        </w:tc>
      </w:tr>
      <w:tr w:rsidR="008647AA" w:rsidRPr="00A16D20" w14:paraId="55BA3007" w14:textId="77777777" w:rsidTr="00D0517F">
        <w:tc>
          <w:tcPr>
            <w:tcW w:w="1125" w:type="pct"/>
            <w:shd w:val="clear" w:color="auto" w:fill="EEECE1" w:themeFill="background2"/>
          </w:tcPr>
          <w:p w14:paraId="7242255F" w14:textId="77777777" w:rsidR="008647AA" w:rsidRPr="00A16D20" w:rsidRDefault="008647AA" w:rsidP="00CB27AE">
            <w:pPr>
              <w:rPr>
                <w:rFonts w:ascii="Arial Narrow" w:hAnsi="Arial Narrow" w:cs="Arial"/>
              </w:rPr>
            </w:pPr>
          </w:p>
        </w:tc>
        <w:tc>
          <w:tcPr>
            <w:tcW w:w="450" w:type="pct"/>
            <w:shd w:val="clear" w:color="auto" w:fill="EEECE1" w:themeFill="background2"/>
          </w:tcPr>
          <w:p w14:paraId="6EA0A312" w14:textId="77777777" w:rsidR="008647AA" w:rsidRPr="00A16D20" w:rsidRDefault="008647AA" w:rsidP="00CB27AE">
            <w:pPr>
              <w:jc w:val="center"/>
              <w:rPr>
                <w:rFonts w:ascii="Arial Narrow" w:hAnsi="Arial Narrow" w:cs="Arial"/>
              </w:rPr>
            </w:pPr>
            <w:r w:rsidRPr="00A16D20">
              <w:rPr>
                <w:rFonts w:ascii="Arial Narrow" w:hAnsi="Arial Narrow" w:cs="Arial"/>
              </w:rPr>
              <w:t>S15</w:t>
            </w:r>
          </w:p>
        </w:tc>
        <w:tc>
          <w:tcPr>
            <w:tcW w:w="3425" w:type="pct"/>
            <w:shd w:val="clear" w:color="auto" w:fill="EEECE1" w:themeFill="background2"/>
          </w:tcPr>
          <w:p w14:paraId="239CE998" w14:textId="77777777" w:rsidR="008647AA" w:rsidRPr="00A16D20" w:rsidRDefault="008647AA" w:rsidP="00CB27AE">
            <w:pPr>
              <w:rPr>
                <w:rFonts w:ascii="Arial Narrow" w:hAnsi="Arial Narrow" w:cs="Arial"/>
              </w:rPr>
            </w:pPr>
            <w:r w:rsidRPr="00A16D20">
              <w:rPr>
                <w:rFonts w:ascii="Arial Narrow" w:eastAsiaTheme="majorEastAsia" w:hAnsi="Arial Narrow"/>
              </w:rPr>
              <w:t>(nicotine adj3 (gum* or lozenge* or patch* or tablet* or transdermal* or inhaler* or spray*)).tw,kf.</w:t>
            </w:r>
          </w:p>
        </w:tc>
      </w:tr>
      <w:tr w:rsidR="008647AA" w:rsidRPr="00A16D20" w14:paraId="24403376" w14:textId="77777777" w:rsidTr="00D0517F">
        <w:tc>
          <w:tcPr>
            <w:tcW w:w="1125" w:type="pct"/>
            <w:shd w:val="clear" w:color="auto" w:fill="EEECE1" w:themeFill="background2"/>
          </w:tcPr>
          <w:p w14:paraId="62D16524" w14:textId="77777777" w:rsidR="008647AA" w:rsidRPr="00A16D20" w:rsidRDefault="008647AA" w:rsidP="00CB27AE">
            <w:pPr>
              <w:rPr>
                <w:rFonts w:ascii="Arial Narrow" w:hAnsi="Arial Narrow" w:cs="Arial"/>
              </w:rPr>
            </w:pPr>
          </w:p>
        </w:tc>
        <w:tc>
          <w:tcPr>
            <w:tcW w:w="450" w:type="pct"/>
            <w:shd w:val="clear" w:color="auto" w:fill="EEECE1" w:themeFill="background2"/>
          </w:tcPr>
          <w:p w14:paraId="162205CD" w14:textId="77777777" w:rsidR="008647AA" w:rsidRPr="00A16D20" w:rsidRDefault="008647AA" w:rsidP="00CB27AE">
            <w:pPr>
              <w:jc w:val="center"/>
              <w:rPr>
                <w:rFonts w:ascii="Arial Narrow" w:hAnsi="Arial Narrow" w:cs="Arial"/>
              </w:rPr>
            </w:pPr>
            <w:r w:rsidRPr="00A16D20">
              <w:rPr>
                <w:rFonts w:ascii="Arial Narrow" w:hAnsi="Arial Narrow" w:cs="Arial"/>
              </w:rPr>
              <w:t>S16</w:t>
            </w:r>
          </w:p>
        </w:tc>
        <w:tc>
          <w:tcPr>
            <w:tcW w:w="3425" w:type="pct"/>
            <w:shd w:val="clear" w:color="auto" w:fill="EEECE1" w:themeFill="background2"/>
          </w:tcPr>
          <w:p w14:paraId="32453648" w14:textId="77777777" w:rsidR="008647AA" w:rsidRPr="00A16D20" w:rsidRDefault="008647AA" w:rsidP="00CB27AE">
            <w:pPr>
              <w:rPr>
                <w:rFonts w:ascii="Arial Narrow" w:hAnsi="Arial Narrow" w:cs="Arial"/>
              </w:rPr>
            </w:pPr>
            <w:r w:rsidRPr="00A16D20">
              <w:rPr>
                <w:rFonts w:ascii="Arial Narrow" w:eastAsiaTheme="majorEastAsia" w:hAnsi="Arial Narrow"/>
              </w:rPr>
              <w:t>(nrt adj3 (gum* or lozenge* or tablet* or patch* or transdermal* or inhaler* or spray*)).tw,kf.</w:t>
            </w:r>
          </w:p>
        </w:tc>
      </w:tr>
      <w:tr w:rsidR="008647AA" w:rsidRPr="00A16D20" w14:paraId="34D4934C" w14:textId="77777777" w:rsidTr="00D0517F">
        <w:tc>
          <w:tcPr>
            <w:tcW w:w="1125" w:type="pct"/>
            <w:shd w:val="clear" w:color="auto" w:fill="EEECE1" w:themeFill="background2"/>
          </w:tcPr>
          <w:p w14:paraId="4E02FE66" w14:textId="77777777" w:rsidR="008647AA" w:rsidRPr="00A16D20" w:rsidRDefault="008647AA" w:rsidP="00CB27AE">
            <w:pPr>
              <w:rPr>
                <w:rFonts w:ascii="Arial Narrow" w:hAnsi="Arial Narrow" w:cs="Arial"/>
                <w:b/>
                <w:bCs/>
              </w:rPr>
            </w:pPr>
          </w:p>
        </w:tc>
        <w:tc>
          <w:tcPr>
            <w:tcW w:w="450" w:type="pct"/>
            <w:shd w:val="clear" w:color="auto" w:fill="EEECE1" w:themeFill="background2"/>
          </w:tcPr>
          <w:p w14:paraId="63E6624C"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S17</w:t>
            </w:r>
          </w:p>
        </w:tc>
        <w:tc>
          <w:tcPr>
            <w:tcW w:w="3425" w:type="pct"/>
            <w:shd w:val="clear" w:color="auto" w:fill="EEECE1" w:themeFill="background2"/>
          </w:tcPr>
          <w:p w14:paraId="1855F63F" w14:textId="77777777" w:rsidR="008647AA" w:rsidRPr="00A16D20" w:rsidRDefault="008647AA" w:rsidP="00CB27AE">
            <w:pPr>
              <w:rPr>
                <w:rFonts w:ascii="Arial Narrow" w:hAnsi="Arial Narrow" w:cs="Arial"/>
                <w:b/>
                <w:bCs/>
              </w:rPr>
            </w:pPr>
            <w:r w:rsidRPr="00A16D20">
              <w:rPr>
                <w:rFonts w:ascii="Arial Narrow" w:eastAsiaTheme="majorEastAsia" w:hAnsi="Arial Narrow"/>
                <w:b/>
                <w:bCs/>
              </w:rPr>
              <w:t>S13 or S14 or S15 or S16</w:t>
            </w:r>
          </w:p>
        </w:tc>
      </w:tr>
      <w:tr w:rsidR="008647AA" w:rsidRPr="00A16D20" w14:paraId="4E644904" w14:textId="77777777" w:rsidTr="00D0517F">
        <w:tc>
          <w:tcPr>
            <w:tcW w:w="1125" w:type="pct"/>
            <w:shd w:val="clear" w:color="auto" w:fill="EEECE1" w:themeFill="background2"/>
          </w:tcPr>
          <w:p w14:paraId="5A239E3A" w14:textId="77777777" w:rsidR="008647AA" w:rsidRPr="00A16D20" w:rsidRDefault="008647AA" w:rsidP="00CB27AE">
            <w:pPr>
              <w:rPr>
                <w:rFonts w:ascii="Arial Narrow" w:hAnsi="Arial Narrow" w:cs="Arial"/>
              </w:rPr>
            </w:pPr>
            <w:r w:rsidRPr="00A16D20">
              <w:rPr>
                <w:rFonts w:ascii="Arial Narrow" w:hAnsi="Arial Narrow" w:cs="Arial"/>
              </w:rPr>
              <w:t>Comparator – Behavioural interventions for smoking cessation</w:t>
            </w:r>
          </w:p>
        </w:tc>
        <w:tc>
          <w:tcPr>
            <w:tcW w:w="450" w:type="pct"/>
            <w:shd w:val="clear" w:color="auto" w:fill="EEECE1" w:themeFill="background2"/>
          </w:tcPr>
          <w:p w14:paraId="237A0C2F" w14:textId="77777777" w:rsidR="008647AA" w:rsidRPr="00A16D20" w:rsidRDefault="008647AA" w:rsidP="00CB27AE">
            <w:pPr>
              <w:jc w:val="center"/>
              <w:rPr>
                <w:rFonts w:ascii="Arial Narrow" w:hAnsi="Arial Narrow" w:cs="Arial"/>
              </w:rPr>
            </w:pPr>
            <w:r w:rsidRPr="00A16D20">
              <w:rPr>
                <w:rFonts w:ascii="Arial Narrow" w:hAnsi="Arial Narrow" w:cs="Arial"/>
              </w:rPr>
              <w:t>S18</w:t>
            </w:r>
          </w:p>
        </w:tc>
        <w:tc>
          <w:tcPr>
            <w:tcW w:w="3425" w:type="pct"/>
            <w:shd w:val="clear" w:color="auto" w:fill="EEECE1" w:themeFill="background2"/>
          </w:tcPr>
          <w:p w14:paraId="1C323D3F" w14:textId="5B1EC3F6" w:rsidR="008647AA" w:rsidRPr="00A16D20" w:rsidRDefault="00826C95" w:rsidP="00CB27AE">
            <w:pPr>
              <w:rPr>
                <w:rFonts w:ascii="Arial Narrow" w:hAnsi="Arial Narrow" w:cs="Arial"/>
              </w:rPr>
            </w:pPr>
            <w:r w:rsidRPr="00A16D20">
              <w:rPr>
                <w:rFonts w:ascii="Arial Narrow" w:eastAsiaTheme="majorEastAsia" w:hAnsi="Arial Narrow"/>
              </w:rPr>
              <w:t>behaviour</w:t>
            </w:r>
            <w:r w:rsidR="008647AA" w:rsidRPr="00A16D20">
              <w:rPr>
                <w:rFonts w:ascii="Arial Narrow" w:eastAsiaTheme="majorEastAsia" w:hAnsi="Arial Narrow"/>
              </w:rPr>
              <w:t xml:space="preserve"> therapy/ or cognitive </w:t>
            </w:r>
            <w:r w:rsidRPr="00A16D20">
              <w:rPr>
                <w:rFonts w:ascii="Arial Narrow" w:eastAsiaTheme="majorEastAsia" w:hAnsi="Arial Narrow"/>
              </w:rPr>
              <w:t>behavioural</w:t>
            </w:r>
            <w:r w:rsidR="008647AA" w:rsidRPr="00A16D20">
              <w:rPr>
                <w:rFonts w:ascii="Arial Narrow" w:eastAsiaTheme="majorEastAsia" w:hAnsi="Arial Narrow"/>
              </w:rPr>
              <w:t xml:space="preserve"> therapy/ or "acceptance and commitment therapy"/ or relaxation therapy/ or meditation/ or motivational interviewing/ or residential treatment/ or peer group/ or mindfulness/ or </w:t>
            </w:r>
            <w:r w:rsidR="004664D2" w:rsidRPr="00A16D20">
              <w:rPr>
                <w:rFonts w:ascii="Arial Narrow" w:eastAsiaTheme="majorEastAsia" w:hAnsi="Arial Narrow"/>
              </w:rPr>
              <w:t>counselling</w:t>
            </w:r>
            <w:r w:rsidR="008647AA" w:rsidRPr="00A16D20">
              <w:rPr>
                <w:rFonts w:ascii="Arial Narrow" w:eastAsiaTheme="majorEastAsia" w:hAnsi="Arial Narrow"/>
              </w:rPr>
              <w:t>/</w:t>
            </w:r>
          </w:p>
        </w:tc>
      </w:tr>
      <w:tr w:rsidR="008647AA" w:rsidRPr="00A16D20" w14:paraId="0D09F72C" w14:textId="77777777" w:rsidTr="00D0517F">
        <w:tc>
          <w:tcPr>
            <w:tcW w:w="1125" w:type="pct"/>
            <w:shd w:val="clear" w:color="auto" w:fill="EEECE1" w:themeFill="background2"/>
          </w:tcPr>
          <w:p w14:paraId="785201F4" w14:textId="77777777" w:rsidR="008647AA" w:rsidRPr="00A16D20" w:rsidRDefault="008647AA" w:rsidP="00CB27AE">
            <w:pPr>
              <w:rPr>
                <w:rFonts w:ascii="Arial Narrow" w:hAnsi="Arial Narrow" w:cs="Arial"/>
              </w:rPr>
            </w:pPr>
          </w:p>
        </w:tc>
        <w:tc>
          <w:tcPr>
            <w:tcW w:w="450" w:type="pct"/>
            <w:shd w:val="clear" w:color="auto" w:fill="EEECE1" w:themeFill="background2"/>
          </w:tcPr>
          <w:p w14:paraId="7D21F63B" w14:textId="77777777" w:rsidR="008647AA" w:rsidRPr="00A16D20" w:rsidRDefault="008647AA" w:rsidP="00CB27AE">
            <w:pPr>
              <w:jc w:val="center"/>
              <w:rPr>
                <w:rFonts w:ascii="Arial Narrow" w:hAnsi="Arial Narrow" w:cs="Arial"/>
              </w:rPr>
            </w:pPr>
            <w:r w:rsidRPr="00A16D20">
              <w:rPr>
                <w:rFonts w:ascii="Arial Narrow" w:hAnsi="Arial Narrow" w:cs="Arial"/>
              </w:rPr>
              <w:t>S19</w:t>
            </w:r>
          </w:p>
        </w:tc>
        <w:tc>
          <w:tcPr>
            <w:tcW w:w="3425" w:type="pct"/>
            <w:shd w:val="clear" w:color="auto" w:fill="EEECE1" w:themeFill="background2"/>
          </w:tcPr>
          <w:p w14:paraId="1AF03ABC" w14:textId="77777777" w:rsidR="008647AA" w:rsidRPr="00A16D20" w:rsidRDefault="008647AA" w:rsidP="00CB27AE">
            <w:pPr>
              <w:rPr>
                <w:rFonts w:ascii="Arial Narrow" w:hAnsi="Arial Narrow"/>
              </w:rPr>
            </w:pPr>
            <w:r w:rsidRPr="00A16D20">
              <w:rPr>
                <w:rFonts w:ascii="Arial Narrow" w:eastAsiaTheme="majorEastAsia" w:hAnsi="Arial Narrow"/>
              </w:rPr>
              <w:t>((behavio?r therapy or cognitive behavio?al therapy or "acceptance and commitment therapy" or relaxation therapy or meditation or motivational interview* or mindful* or positive psychotherapy or peer support program* or residential treat* or counsel*).kw,ti,ab</w:t>
            </w:r>
          </w:p>
        </w:tc>
      </w:tr>
      <w:tr w:rsidR="008647AA" w:rsidRPr="00A16D20" w14:paraId="07F08FB5" w14:textId="77777777" w:rsidTr="00D0517F">
        <w:tc>
          <w:tcPr>
            <w:tcW w:w="1125" w:type="pct"/>
            <w:shd w:val="clear" w:color="auto" w:fill="EEECE1" w:themeFill="background2"/>
          </w:tcPr>
          <w:p w14:paraId="525C014A" w14:textId="77777777" w:rsidR="008647AA" w:rsidRPr="00A16D20" w:rsidRDefault="008647AA" w:rsidP="00CB27AE">
            <w:pPr>
              <w:rPr>
                <w:rFonts w:ascii="Arial Narrow" w:hAnsi="Arial Narrow" w:cs="Arial"/>
              </w:rPr>
            </w:pPr>
          </w:p>
        </w:tc>
        <w:tc>
          <w:tcPr>
            <w:tcW w:w="450" w:type="pct"/>
            <w:shd w:val="clear" w:color="auto" w:fill="EEECE1" w:themeFill="background2"/>
          </w:tcPr>
          <w:p w14:paraId="2EAA5777" w14:textId="77777777" w:rsidR="008647AA" w:rsidRPr="00A16D20" w:rsidRDefault="008647AA" w:rsidP="00CB27AE">
            <w:pPr>
              <w:jc w:val="center"/>
              <w:rPr>
                <w:rFonts w:ascii="Arial Narrow" w:hAnsi="Arial Narrow" w:cs="Arial"/>
              </w:rPr>
            </w:pPr>
            <w:r w:rsidRPr="00A16D20">
              <w:rPr>
                <w:rFonts w:ascii="Arial Narrow" w:hAnsi="Arial Narrow" w:cs="Arial"/>
              </w:rPr>
              <w:t>S20</w:t>
            </w:r>
          </w:p>
          <w:p w14:paraId="57EA3311" w14:textId="77777777" w:rsidR="008647AA" w:rsidRPr="00A16D20" w:rsidRDefault="008647AA" w:rsidP="00CB27AE">
            <w:pPr>
              <w:jc w:val="center"/>
              <w:rPr>
                <w:rFonts w:ascii="Arial Narrow" w:hAnsi="Arial Narrow" w:cs="Arial"/>
              </w:rPr>
            </w:pPr>
          </w:p>
        </w:tc>
        <w:tc>
          <w:tcPr>
            <w:tcW w:w="3425" w:type="pct"/>
            <w:shd w:val="clear" w:color="auto" w:fill="EEECE1" w:themeFill="background2"/>
          </w:tcPr>
          <w:p w14:paraId="4EB5EDEA" w14:textId="77777777" w:rsidR="008647AA" w:rsidRPr="00A16D20" w:rsidRDefault="008647AA" w:rsidP="00CB27AE">
            <w:pPr>
              <w:rPr>
                <w:rFonts w:ascii="Arial Narrow" w:eastAsiaTheme="majorEastAsia" w:hAnsi="Arial Narrow"/>
              </w:rPr>
            </w:pPr>
            <w:r w:rsidRPr="00A16D20">
              <w:rPr>
                <w:rFonts w:ascii="Arial Narrow" w:eastAsiaTheme="majorEastAsia" w:hAnsi="Arial Narrow"/>
              </w:rPr>
              <w:t>18 or 19</w:t>
            </w:r>
          </w:p>
          <w:p w14:paraId="34750293" w14:textId="77777777" w:rsidR="008647AA" w:rsidRPr="00A16D20" w:rsidRDefault="008647AA" w:rsidP="00CB27AE">
            <w:pPr>
              <w:rPr>
                <w:rFonts w:ascii="Arial Narrow" w:hAnsi="Arial Narrow" w:cs="Arial"/>
              </w:rPr>
            </w:pPr>
          </w:p>
        </w:tc>
      </w:tr>
      <w:tr w:rsidR="008647AA" w:rsidRPr="00A16D20" w14:paraId="44376F7D" w14:textId="77777777" w:rsidTr="00D0517F">
        <w:tc>
          <w:tcPr>
            <w:tcW w:w="1125" w:type="pct"/>
            <w:tcBorders>
              <w:bottom w:val="single" w:sz="4" w:space="0" w:color="auto"/>
            </w:tcBorders>
            <w:shd w:val="clear" w:color="auto" w:fill="EEECE1" w:themeFill="background2"/>
          </w:tcPr>
          <w:p w14:paraId="32C5BF1D" w14:textId="77777777" w:rsidR="008647AA" w:rsidRPr="00A16D20" w:rsidRDefault="008647AA" w:rsidP="00CB27AE">
            <w:pPr>
              <w:rPr>
                <w:rFonts w:ascii="Arial Narrow" w:hAnsi="Arial Narrow" w:cs="Arial"/>
                <w:lang w:val="en-MY"/>
              </w:rPr>
            </w:pPr>
          </w:p>
        </w:tc>
        <w:tc>
          <w:tcPr>
            <w:tcW w:w="450" w:type="pct"/>
            <w:tcBorders>
              <w:bottom w:val="single" w:sz="4" w:space="0" w:color="auto"/>
            </w:tcBorders>
            <w:shd w:val="clear" w:color="auto" w:fill="EEECE1" w:themeFill="background2"/>
          </w:tcPr>
          <w:p w14:paraId="67418364" w14:textId="77777777" w:rsidR="008647AA" w:rsidRPr="00A16D20" w:rsidRDefault="008647AA" w:rsidP="00CB27AE">
            <w:pPr>
              <w:jc w:val="center"/>
              <w:rPr>
                <w:rFonts w:ascii="Arial Narrow" w:hAnsi="Arial Narrow" w:cs="Arial"/>
              </w:rPr>
            </w:pPr>
            <w:r w:rsidRPr="00A16D20">
              <w:rPr>
                <w:rFonts w:ascii="Arial Narrow" w:hAnsi="Arial Narrow" w:cs="Arial"/>
                <w:b/>
                <w:bCs/>
              </w:rPr>
              <w:t>S21</w:t>
            </w:r>
          </w:p>
        </w:tc>
        <w:tc>
          <w:tcPr>
            <w:tcW w:w="3425" w:type="pct"/>
            <w:tcBorders>
              <w:bottom w:val="single" w:sz="4" w:space="0" w:color="auto"/>
            </w:tcBorders>
            <w:shd w:val="clear" w:color="auto" w:fill="EEECE1" w:themeFill="background2"/>
          </w:tcPr>
          <w:p w14:paraId="575A7495" w14:textId="77777777" w:rsidR="008647AA" w:rsidRPr="00A16D20" w:rsidRDefault="008647AA" w:rsidP="00CB27AE">
            <w:pPr>
              <w:rPr>
                <w:rFonts w:ascii="Arial Narrow" w:hAnsi="Arial Narrow" w:cs="Arial"/>
              </w:rPr>
            </w:pPr>
            <w:r w:rsidRPr="00A16D20">
              <w:rPr>
                <w:rFonts w:ascii="Arial Narrow" w:hAnsi="Arial Narrow" w:cs="Arial"/>
                <w:b/>
                <w:bCs/>
              </w:rPr>
              <w:t>S12 OR S17 OR (S20 AND S12) OR (S20 AND S17)</w:t>
            </w:r>
          </w:p>
        </w:tc>
      </w:tr>
      <w:tr w:rsidR="008647AA" w:rsidRPr="00A16D20" w14:paraId="420479B3" w14:textId="77777777" w:rsidTr="00D0517F">
        <w:trPr>
          <w:trHeight w:val="206"/>
        </w:trPr>
        <w:tc>
          <w:tcPr>
            <w:tcW w:w="1125" w:type="pct"/>
            <w:tcBorders>
              <w:bottom w:val="single" w:sz="4" w:space="0" w:color="auto"/>
            </w:tcBorders>
            <w:shd w:val="clear" w:color="auto" w:fill="FFFFFF" w:themeFill="background1"/>
          </w:tcPr>
          <w:p w14:paraId="1DBCF5D0" w14:textId="77777777" w:rsidR="008647AA" w:rsidRPr="00A16D20" w:rsidRDefault="008647AA" w:rsidP="00CB27AE">
            <w:pPr>
              <w:rPr>
                <w:rFonts w:ascii="Arial Narrow" w:hAnsi="Arial Narrow" w:cs="Arial"/>
              </w:rPr>
            </w:pPr>
          </w:p>
        </w:tc>
        <w:tc>
          <w:tcPr>
            <w:tcW w:w="450" w:type="pct"/>
            <w:tcBorders>
              <w:bottom w:val="single" w:sz="4" w:space="0" w:color="auto"/>
            </w:tcBorders>
            <w:shd w:val="clear" w:color="auto" w:fill="FFFFFF" w:themeFill="background1"/>
          </w:tcPr>
          <w:p w14:paraId="752EF983" w14:textId="77777777" w:rsidR="008647AA" w:rsidRPr="00A16D20" w:rsidRDefault="008647AA" w:rsidP="00CB27AE">
            <w:pPr>
              <w:jc w:val="center"/>
              <w:rPr>
                <w:rFonts w:ascii="Arial Narrow" w:hAnsi="Arial Narrow" w:cs="Arial"/>
                <w:b/>
                <w:bCs/>
              </w:rPr>
            </w:pPr>
          </w:p>
        </w:tc>
        <w:tc>
          <w:tcPr>
            <w:tcW w:w="3425" w:type="pct"/>
            <w:tcBorders>
              <w:bottom w:val="single" w:sz="4" w:space="0" w:color="auto"/>
            </w:tcBorders>
            <w:shd w:val="clear" w:color="auto" w:fill="FFFFFF" w:themeFill="background1"/>
          </w:tcPr>
          <w:p w14:paraId="26270556" w14:textId="77777777" w:rsidR="008647AA" w:rsidRPr="00A16D20" w:rsidRDefault="008647AA" w:rsidP="00CB27AE">
            <w:pPr>
              <w:rPr>
                <w:rFonts w:ascii="Arial Narrow" w:hAnsi="Arial Narrow" w:cs="Arial"/>
                <w:b/>
                <w:bCs/>
              </w:rPr>
            </w:pPr>
          </w:p>
        </w:tc>
      </w:tr>
      <w:tr w:rsidR="008647AA" w:rsidRPr="00A16D20" w14:paraId="1571EC7A" w14:textId="77777777" w:rsidTr="00D0517F">
        <w:tc>
          <w:tcPr>
            <w:tcW w:w="1125" w:type="pct"/>
            <w:tcBorders>
              <w:top w:val="single" w:sz="4" w:space="0" w:color="auto"/>
              <w:bottom w:val="single" w:sz="4" w:space="0" w:color="auto"/>
            </w:tcBorders>
            <w:shd w:val="clear" w:color="auto" w:fill="FFFF00"/>
          </w:tcPr>
          <w:p w14:paraId="40BDB07A" w14:textId="77777777" w:rsidR="008647AA" w:rsidRPr="00A16D20" w:rsidRDefault="008647AA" w:rsidP="00CB27AE">
            <w:pPr>
              <w:rPr>
                <w:rFonts w:ascii="Arial Narrow" w:hAnsi="Arial Narrow" w:cs="Arial"/>
                <w:b/>
                <w:bCs/>
              </w:rPr>
            </w:pPr>
          </w:p>
        </w:tc>
        <w:tc>
          <w:tcPr>
            <w:tcW w:w="450" w:type="pct"/>
            <w:tcBorders>
              <w:top w:val="single" w:sz="4" w:space="0" w:color="auto"/>
              <w:bottom w:val="single" w:sz="4" w:space="0" w:color="auto"/>
            </w:tcBorders>
            <w:shd w:val="clear" w:color="auto" w:fill="FFFF00"/>
          </w:tcPr>
          <w:p w14:paraId="48281A1A"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S22</w:t>
            </w:r>
          </w:p>
        </w:tc>
        <w:tc>
          <w:tcPr>
            <w:tcW w:w="3425" w:type="pct"/>
            <w:tcBorders>
              <w:top w:val="single" w:sz="4" w:space="0" w:color="auto"/>
              <w:bottom w:val="single" w:sz="4" w:space="0" w:color="auto"/>
            </w:tcBorders>
            <w:shd w:val="clear" w:color="auto" w:fill="FFFF00"/>
          </w:tcPr>
          <w:p w14:paraId="457E32DC" w14:textId="77777777" w:rsidR="008647AA" w:rsidRPr="00A16D20" w:rsidRDefault="008647AA" w:rsidP="00CB27AE">
            <w:pPr>
              <w:rPr>
                <w:rFonts w:ascii="Arial Narrow" w:hAnsi="Arial Narrow" w:cs="Arial"/>
                <w:b/>
                <w:bCs/>
              </w:rPr>
            </w:pPr>
            <w:r w:rsidRPr="00A16D20">
              <w:rPr>
                <w:rFonts w:ascii="Arial Narrow" w:eastAsiaTheme="majorEastAsia" w:hAnsi="Arial Narrow"/>
                <w:b/>
                <w:bCs/>
              </w:rPr>
              <w:t>S7 and S26</w:t>
            </w:r>
          </w:p>
        </w:tc>
      </w:tr>
      <w:tr w:rsidR="008647AA" w:rsidRPr="00A16D20" w14:paraId="5862AE9F" w14:textId="77777777" w:rsidTr="00D0517F">
        <w:tc>
          <w:tcPr>
            <w:tcW w:w="1125" w:type="pct"/>
            <w:tcBorders>
              <w:top w:val="single" w:sz="4" w:space="0" w:color="auto"/>
              <w:bottom w:val="single" w:sz="4" w:space="0" w:color="auto"/>
            </w:tcBorders>
            <w:shd w:val="clear" w:color="auto" w:fill="FFFFFF" w:themeFill="background1"/>
          </w:tcPr>
          <w:p w14:paraId="4E89D3E5" w14:textId="77777777" w:rsidR="008647AA" w:rsidRPr="00A16D20" w:rsidRDefault="008647AA" w:rsidP="00CB27AE">
            <w:pPr>
              <w:rPr>
                <w:rFonts w:ascii="Arial Narrow" w:hAnsi="Arial Narrow" w:cs="Arial"/>
              </w:rPr>
            </w:pPr>
            <w:r w:rsidRPr="00A16D20">
              <w:rPr>
                <w:rFonts w:ascii="Arial Narrow" w:hAnsi="Arial Narrow" w:cs="Arial"/>
              </w:rPr>
              <w:t>Limit to systematic review/meta-analysis</w:t>
            </w:r>
          </w:p>
        </w:tc>
        <w:tc>
          <w:tcPr>
            <w:tcW w:w="450" w:type="pct"/>
            <w:tcBorders>
              <w:top w:val="single" w:sz="4" w:space="0" w:color="auto"/>
              <w:bottom w:val="single" w:sz="4" w:space="0" w:color="auto"/>
            </w:tcBorders>
            <w:shd w:val="clear" w:color="auto" w:fill="FFFFFF" w:themeFill="background1"/>
          </w:tcPr>
          <w:p w14:paraId="1892CE49"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S23</w:t>
            </w:r>
          </w:p>
        </w:tc>
        <w:tc>
          <w:tcPr>
            <w:tcW w:w="3425" w:type="pct"/>
            <w:tcBorders>
              <w:top w:val="single" w:sz="4" w:space="0" w:color="auto"/>
              <w:bottom w:val="single" w:sz="4" w:space="0" w:color="auto"/>
            </w:tcBorders>
            <w:shd w:val="clear" w:color="auto" w:fill="FFFFFF" w:themeFill="background1"/>
          </w:tcPr>
          <w:p w14:paraId="5300950B" w14:textId="77777777" w:rsidR="008647AA" w:rsidRPr="00A16D20" w:rsidRDefault="008647AA" w:rsidP="00CB27AE">
            <w:pPr>
              <w:rPr>
                <w:rFonts w:ascii="Arial Narrow" w:eastAsiaTheme="majorEastAsia" w:hAnsi="Arial Narrow"/>
                <w:b/>
                <w:bCs/>
              </w:rPr>
            </w:pPr>
            <w:r w:rsidRPr="00A16D20">
              <w:rPr>
                <w:rFonts w:eastAsiaTheme="majorEastAsia"/>
              </w:rPr>
              <w:t>"Systematic Review"/</w:t>
            </w:r>
          </w:p>
        </w:tc>
      </w:tr>
      <w:tr w:rsidR="008647AA" w:rsidRPr="00A16D20" w14:paraId="50EA834E" w14:textId="77777777" w:rsidTr="00D0517F">
        <w:tc>
          <w:tcPr>
            <w:tcW w:w="1125" w:type="pct"/>
            <w:tcBorders>
              <w:top w:val="single" w:sz="4" w:space="0" w:color="auto"/>
              <w:bottom w:val="single" w:sz="4" w:space="0" w:color="auto"/>
            </w:tcBorders>
            <w:shd w:val="clear" w:color="auto" w:fill="FFFFFF" w:themeFill="background1"/>
          </w:tcPr>
          <w:p w14:paraId="5CD1EB9E" w14:textId="77777777" w:rsidR="008647AA" w:rsidRPr="00A16D20" w:rsidRDefault="008647AA" w:rsidP="00CB27AE">
            <w:pPr>
              <w:rPr>
                <w:rFonts w:ascii="Arial Narrow" w:hAnsi="Arial Narrow" w:cs="Arial"/>
                <w:b/>
                <w:bCs/>
              </w:rPr>
            </w:pPr>
          </w:p>
        </w:tc>
        <w:tc>
          <w:tcPr>
            <w:tcW w:w="450" w:type="pct"/>
            <w:tcBorders>
              <w:top w:val="single" w:sz="4" w:space="0" w:color="auto"/>
              <w:bottom w:val="single" w:sz="4" w:space="0" w:color="auto"/>
            </w:tcBorders>
            <w:shd w:val="clear" w:color="auto" w:fill="FFFFFF" w:themeFill="background1"/>
          </w:tcPr>
          <w:p w14:paraId="7C48EEC7"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S24</w:t>
            </w:r>
          </w:p>
        </w:tc>
        <w:tc>
          <w:tcPr>
            <w:tcW w:w="3425" w:type="pct"/>
            <w:tcBorders>
              <w:top w:val="single" w:sz="4" w:space="0" w:color="auto"/>
              <w:bottom w:val="single" w:sz="4" w:space="0" w:color="auto"/>
            </w:tcBorders>
            <w:shd w:val="clear" w:color="auto" w:fill="FFFFFF" w:themeFill="background1"/>
          </w:tcPr>
          <w:p w14:paraId="14FD3518" w14:textId="77777777" w:rsidR="008647AA" w:rsidRPr="00A16D20" w:rsidRDefault="008647AA" w:rsidP="00CB27AE">
            <w:pPr>
              <w:rPr>
                <w:rFonts w:ascii="Times New Roman" w:hAnsi="Times New Roman"/>
                <w:szCs w:val="24"/>
              </w:rPr>
            </w:pPr>
            <w:r w:rsidRPr="00A16D20">
              <w:rPr>
                <w:rFonts w:ascii="Times New Roman" w:hAnsi="Times New Roman"/>
                <w:szCs w:val="24"/>
              </w:rPr>
              <w:t xml:space="preserve">Meta-Analysis/ </w:t>
            </w:r>
          </w:p>
        </w:tc>
      </w:tr>
      <w:tr w:rsidR="008647AA" w:rsidRPr="00A16D20" w14:paraId="12F1A5D0" w14:textId="77777777" w:rsidTr="00D0517F">
        <w:tc>
          <w:tcPr>
            <w:tcW w:w="1125" w:type="pct"/>
            <w:tcBorders>
              <w:top w:val="single" w:sz="4" w:space="0" w:color="auto"/>
              <w:bottom w:val="single" w:sz="4" w:space="0" w:color="auto"/>
            </w:tcBorders>
            <w:shd w:val="clear" w:color="auto" w:fill="FFFFFF" w:themeFill="background1"/>
          </w:tcPr>
          <w:p w14:paraId="4FBC19E8" w14:textId="77777777" w:rsidR="008647AA" w:rsidRPr="00A16D20" w:rsidRDefault="008647AA" w:rsidP="00CB27AE">
            <w:pPr>
              <w:rPr>
                <w:rFonts w:ascii="Arial Narrow" w:hAnsi="Arial Narrow" w:cs="Arial"/>
                <w:b/>
                <w:bCs/>
              </w:rPr>
            </w:pPr>
          </w:p>
        </w:tc>
        <w:tc>
          <w:tcPr>
            <w:tcW w:w="450" w:type="pct"/>
            <w:tcBorders>
              <w:top w:val="single" w:sz="4" w:space="0" w:color="auto"/>
              <w:bottom w:val="single" w:sz="4" w:space="0" w:color="auto"/>
            </w:tcBorders>
            <w:shd w:val="clear" w:color="auto" w:fill="FFFFFF" w:themeFill="background1"/>
          </w:tcPr>
          <w:p w14:paraId="7E3AB990"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S25</w:t>
            </w:r>
          </w:p>
        </w:tc>
        <w:tc>
          <w:tcPr>
            <w:tcW w:w="3425" w:type="pct"/>
            <w:tcBorders>
              <w:top w:val="single" w:sz="4" w:space="0" w:color="auto"/>
              <w:bottom w:val="single" w:sz="4" w:space="0" w:color="auto"/>
            </w:tcBorders>
            <w:shd w:val="clear" w:color="auto" w:fill="FFFFFF" w:themeFill="background1"/>
          </w:tcPr>
          <w:p w14:paraId="2DEDB2D0" w14:textId="77777777" w:rsidR="008647AA" w:rsidRPr="00A16D20" w:rsidRDefault="008647AA" w:rsidP="00CB27AE">
            <w:pPr>
              <w:rPr>
                <w:rFonts w:ascii="Times New Roman" w:hAnsi="Times New Roman"/>
                <w:szCs w:val="24"/>
              </w:rPr>
            </w:pPr>
            <w:r w:rsidRPr="00A16D20">
              <w:rPr>
                <w:rFonts w:ascii="Times New Roman" w:hAnsi="Times New Roman"/>
                <w:szCs w:val="24"/>
              </w:rPr>
              <w:t>(systematic review or meta?analysis).ti,ab.</w:t>
            </w:r>
          </w:p>
        </w:tc>
      </w:tr>
      <w:tr w:rsidR="008647AA" w:rsidRPr="00A16D20" w14:paraId="4D2B438E" w14:textId="77777777" w:rsidTr="00D0517F">
        <w:tc>
          <w:tcPr>
            <w:tcW w:w="1125" w:type="pct"/>
            <w:tcBorders>
              <w:top w:val="single" w:sz="4" w:space="0" w:color="auto"/>
              <w:bottom w:val="single" w:sz="4" w:space="0" w:color="auto"/>
            </w:tcBorders>
            <w:shd w:val="clear" w:color="auto" w:fill="FFFFFF" w:themeFill="background1"/>
          </w:tcPr>
          <w:p w14:paraId="5B72E4A4" w14:textId="77777777" w:rsidR="008647AA" w:rsidRPr="00A16D20" w:rsidRDefault="008647AA" w:rsidP="00CB27AE">
            <w:pPr>
              <w:rPr>
                <w:rFonts w:ascii="Arial Narrow" w:hAnsi="Arial Narrow" w:cs="Arial"/>
                <w:b/>
                <w:bCs/>
              </w:rPr>
            </w:pPr>
          </w:p>
        </w:tc>
        <w:tc>
          <w:tcPr>
            <w:tcW w:w="450" w:type="pct"/>
            <w:tcBorders>
              <w:top w:val="single" w:sz="4" w:space="0" w:color="auto"/>
              <w:bottom w:val="single" w:sz="4" w:space="0" w:color="auto"/>
            </w:tcBorders>
            <w:shd w:val="clear" w:color="auto" w:fill="FFFFFF" w:themeFill="background1"/>
          </w:tcPr>
          <w:p w14:paraId="61BA5DBD"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S26</w:t>
            </w:r>
          </w:p>
        </w:tc>
        <w:tc>
          <w:tcPr>
            <w:tcW w:w="3425" w:type="pct"/>
            <w:tcBorders>
              <w:top w:val="single" w:sz="4" w:space="0" w:color="auto"/>
              <w:bottom w:val="single" w:sz="4" w:space="0" w:color="auto"/>
            </w:tcBorders>
            <w:shd w:val="clear" w:color="auto" w:fill="FFFFFF" w:themeFill="background1"/>
          </w:tcPr>
          <w:p w14:paraId="45AB06A8" w14:textId="77777777" w:rsidR="008647AA" w:rsidRPr="00A16D20" w:rsidRDefault="008647AA" w:rsidP="00CB27AE">
            <w:pPr>
              <w:rPr>
                <w:rFonts w:ascii="Times New Roman" w:hAnsi="Times New Roman"/>
                <w:szCs w:val="24"/>
              </w:rPr>
            </w:pPr>
            <w:r w:rsidRPr="00A16D20">
              <w:rPr>
                <w:rFonts w:ascii="Times New Roman" w:hAnsi="Times New Roman"/>
                <w:szCs w:val="24"/>
              </w:rPr>
              <w:t>S23 or S24 or S25</w:t>
            </w:r>
          </w:p>
        </w:tc>
      </w:tr>
      <w:tr w:rsidR="008647AA" w:rsidRPr="00A16D20" w14:paraId="09651615" w14:textId="77777777" w:rsidTr="00D0517F">
        <w:tc>
          <w:tcPr>
            <w:tcW w:w="1125" w:type="pct"/>
            <w:tcBorders>
              <w:top w:val="single" w:sz="4" w:space="0" w:color="auto"/>
              <w:bottom w:val="single" w:sz="4" w:space="0" w:color="auto"/>
            </w:tcBorders>
            <w:shd w:val="clear" w:color="auto" w:fill="FFC000"/>
          </w:tcPr>
          <w:p w14:paraId="0FCB8757" w14:textId="77777777" w:rsidR="008647AA" w:rsidRPr="00A16D20" w:rsidRDefault="008647AA" w:rsidP="00CB27AE">
            <w:pPr>
              <w:rPr>
                <w:rFonts w:ascii="Arial Narrow" w:hAnsi="Arial Narrow" w:cs="Arial"/>
                <w:b/>
                <w:bCs/>
              </w:rPr>
            </w:pPr>
          </w:p>
        </w:tc>
        <w:tc>
          <w:tcPr>
            <w:tcW w:w="450" w:type="pct"/>
            <w:tcBorders>
              <w:top w:val="single" w:sz="4" w:space="0" w:color="auto"/>
              <w:bottom w:val="single" w:sz="4" w:space="0" w:color="auto"/>
            </w:tcBorders>
            <w:shd w:val="clear" w:color="auto" w:fill="FFC000"/>
          </w:tcPr>
          <w:p w14:paraId="0E13C589" w14:textId="77777777" w:rsidR="008647AA" w:rsidRPr="00A16D20" w:rsidRDefault="008647AA" w:rsidP="00CB27AE">
            <w:pPr>
              <w:jc w:val="center"/>
              <w:rPr>
                <w:rFonts w:ascii="Arial Narrow" w:hAnsi="Arial Narrow" w:cs="Arial"/>
                <w:b/>
                <w:bCs/>
              </w:rPr>
            </w:pPr>
            <w:r w:rsidRPr="00A16D20">
              <w:rPr>
                <w:rFonts w:ascii="Arial Narrow" w:hAnsi="Arial Narrow" w:cs="Arial"/>
                <w:b/>
                <w:bCs/>
              </w:rPr>
              <w:t>S27</w:t>
            </w:r>
          </w:p>
        </w:tc>
        <w:tc>
          <w:tcPr>
            <w:tcW w:w="3425" w:type="pct"/>
            <w:tcBorders>
              <w:top w:val="single" w:sz="4" w:space="0" w:color="auto"/>
              <w:bottom w:val="single" w:sz="4" w:space="0" w:color="auto"/>
            </w:tcBorders>
            <w:shd w:val="clear" w:color="auto" w:fill="FFC000"/>
          </w:tcPr>
          <w:p w14:paraId="278DE3B3" w14:textId="77777777" w:rsidR="008647AA" w:rsidRPr="00A16D20" w:rsidRDefault="008647AA" w:rsidP="00CB27AE">
            <w:pPr>
              <w:rPr>
                <w:rFonts w:ascii="Arial Narrow" w:eastAsiaTheme="majorEastAsia" w:hAnsi="Arial Narrow"/>
                <w:b/>
                <w:bCs/>
              </w:rPr>
            </w:pPr>
            <w:r w:rsidRPr="00A16D20">
              <w:rPr>
                <w:rFonts w:eastAsiaTheme="majorEastAsia"/>
                <w:b/>
                <w:bCs/>
              </w:rPr>
              <w:t>S22 and S26</w:t>
            </w:r>
          </w:p>
        </w:tc>
      </w:tr>
    </w:tbl>
    <w:p w14:paraId="360BA1D6" w14:textId="77777777" w:rsidR="00410E91" w:rsidRPr="008F1238" w:rsidRDefault="00410E91" w:rsidP="00E51A3B"/>
    <w:p w14:paraId="1CA0563B" w14:textId="77777777" w:rsidR="00EB70E6" w:rsidRDefault="00EB70E6" w:rsidP="00E51A3B">
      <w:pPr>
        <w:rPr>
          <w:highlight w:val="yellow"/>
        </w:rPr>
      </w:pPr>
    </w:p>
    <w:p w14:paraId="24B2A2C5" w14:textId="77777777" w:rsidR="008647AA" w:rsidRDefault="008647AA">
      <w:pPr>
        <w:spacing w:line="276" w:lineRule="auto"/>
        <w:rPr>
          <w:highlight w:val="yellow"/>
        </w:rPr>
      </w:pPr>
      <w:r>
        <w:rPr>
          <w:highlight w:val="yellow"/>
        </w:rPr>
        <w:br w:type="page"/>
      </w:r>
    </w:p>
    <w:p w14:paraId="2183540F" w14:textId="23C4AD28" w:rsidR="005A7664" w:rsidRPr="005A7664" w:rsidRDefault="008647AA" w:rsidP="00321710">
      <w:pPr>
        <w:pStyle w:val="Heading3"/>
        <w:numPr>
          <w:ilvl w:val="0"/>
          <w:numId w:val="0"/>
        </w:numPr>
        <w:spacing w:before="0" w:after="120"/>
        <w:jc w:val="both"/>
      </w:pPr>
      <w:bookmarkStart w:id="304" w:name="_Toc115254521"/>
      <w:r w:rsidRPr="004D1EE8">
        <w:lastRenderedPageBreak/>
        <w:t>A.</w:t>
      </w:r>
      <w:r w:rsidR="004C1E72">
        <w:t>3</w:t>
      </w:r>
      <w:r w:rsidR="005E6157">
        <w:t xml:space="preserve"> </w:t>
      </w:r>
      <w:r w:rsidR="004B0626" w:rsidRPr="004D1EE8">
        <w:t>PRISMA flow diagram</w:t>
      </w:r>
      <w:bookmarkEnd w:id="304"/>
    </w:p>
    <w:p w14:paraId="0C38849F" w14:textId="420A8B52" w:rsidR="00ED3594" w:rsidRDefault="00ED3594" w:rsidP="00321710">
      <w:pPr>
        <w:pStyle w:val="Caption"/>
        <w:keepNext/>
        <w:spacing w:before="120" w:after="120"/>
        <w:jc w:val="both"/>
      </w:pPr>
      <w:bookmarkStart w:id="305" w:name="_Ref62818086"/>
      <w:r>
        <w:t xml:space="preserve">Figure </w:t>
      </w:r>
      <w:r w:rsidR="00BF3F75">
        <w:fldChar w:fldCharType="begin"/>
      </w:r>
      <w:r w:rsidR="00BF3F75">
        <w:instrText xml:space="preserve"> SEQ Figure \* ARABIC </w:instrText>
      </w:r>
      <w:r w:rsidR="00BF3F75">
        <w:fldChar w:fldCharType="separate"/>
      </w:r>
      <w:r w:rsidR="00EC5CC7">
        <w:rPr>
          <w:noProof/>
        </w:rPr>
        <w:t>46</w:t>
      </w:r>
      <w:r w:rsidR="00BF3F75">
        <w:rPr>
          <w:noProof/>
        </w:rPr>
        <w:fldChar w:fldCharType="end"/>
      </w:r>
      <w:bookmarkEnd w:id="305"/>
      <w:r>
        <w:t xml:space="preserve">: </w:t>
      </w:r>
      <w:r w:rsidRPr="00301508">
        <w:t>PRISMA diagram for the primary literature search</w:t>
      </w:r>
    </w:p>
    <w:p w14:paraId="4AFDA59C" w14:textId="3DA42682" w:rsidR="004D1EE8" w:rsidRDefault="009A6EC1" w:rsidP="00127BAD">
      <w:pPr>
        <w:keepNext/>
      </w:pPr>
      <w:r>
        <w:rPr>
          <w:b/>
          <w:bCs/>
          <w:noProof/>
        </w:rPr>
        <w:drawing>
          <wp:inline distT="0" distB="0" distL="0" distR="0" wp14:anchorId="0091F039" wp14:editId="56E1A2EA">
            <wp:extent cx="5731510" cy="6025515"/>
            <wp:effectExtent l="0" t="0" r="0" b="0"/>
            <wp:docPr id="5" name="Picture 5" descr="P87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8745#yIS1"/>
                    <pic:cNvPicPr/>
                  </pic:nvPicPr>
                  <pic:blipFill>
                    <a:blip r:embed="rId68">
                      <a:extLst>
                        <a:ext uri="{28A0092B-C50C-407E-A947-70E740481C1C}">
                          <a14:useLocalDpi xmlns:a14="http://schemas.microsoft.com/office/drawing/2010/main" val="0"/>
                        </a:ext>
                      </a:extLst>
                    </a:blip>
                    <a:stretch>
                      <a:fillRect/>
                    </a:stretch>
                  </pic:blipFill>
                  <pic:spPr>
                    <a:xfrm>
                      <a:off x="0" y="0"/>
                      <a:ext cx="5731510" cy="6025515"/>
                    </a:xfrm>
                    <a:prstGeom prst="rect">
                      <a:avLst/>
                    </a:prstGeom>
                  </pic:spPr>
                </pic:pic>
              </a:graphicData>
            </a:graphic>
          </wp:inline>
        </w:drawing>
      </w:r>
    </w:p>
    <w:p w14:paraId="29A25741" w14:textId="77777777" w:rsidR="007F7677" w:rsidRDefault="007F7677" w:rsidP="00E51A3B">
      <w:pPr>
        <w:rPr>
          <w:b/>
          <w:bCs/>
          <w:highlight w:val="yellow"/>
        </w:rPr>
      </w:pPr>
    </w:p>
    <w:p w14:paraId="3BC8D5D6" w14:textId="72E5C158" w:rsidR="00ED3594" w:rsidRDefault="00ED3594" w:rsidP="00321710">
      <w:pPr>
        <w:pStyle w:val="Caption"/>
        <w:keepNext/>
        <w:spacing w:before="120" w:after="120"/>
        <w:jc w:val="both"/>
      </w:pPr>
      <w:bookmarkStart w:id="306" w:name="_Ref61471739"/>
      <w:r>
        <w:lastRenderedPageBreak/>
        <w:t xml:space="preserve">Figure </w:t>
      </w:r>
      <w:r w:rsidR="00BF3F75">
        <w:fldChar w:fldCharType="begin"/>
      </w:r>
      <w:r w:rsidR="00BF3F75">
        <w:instrText xml:space="preserve"> SEQ Figure \* ARABIC </w:instrText>
      </w:r>
      <w:r w:rsidR="00BF3F75">
        <w:fldChar w:fldCharType="separate"/>
      </w:r>
      <w:r w:rsidR="00EC5CC7">
        <w:rPr>
          <w:noProof/>
        </w:rPr>
        <w:t>47</w:t>
      </w:r>
      <w:r w:rsidR="00BF3F75">
        <w:rPr>
          <w:noProof/>
        </w:rPr>
        <w:fldChar w:fldCharType="end"/>
      </w:r>
      <w:bookmarkEnd w:id="306"/>
      <w:r>
        <w:t xml:space="preserve">: </w:t>
      </w:r>
      <w:r w:rsidRPr="003A3644">
        <w:t>PRISMA diagram for the supplemental literature search</w:t>
      </w:r>
    </w:p>
    <w:p w14:paraId="040226F7" w14:textId="77777777" w:rsidR="00ED3594" w:rsidRDefault="00ED3594" w:rsidP="00ED3594">
      <w:pPr>
        <w:keepNext/>
      </w:pPr>
      <w:r>
        <w:rPr>
          <w:b/>
          <w:bCs/>
          <w:noProof/>
        </w:rPr>
        <w:drawing>
          <wp:inline distT="0" distB="0" distL="0" distR="0" wp14:anchorId="6C50564F" wp14:editId="767BD3B7">
            <wp:extent cx="5731510" cy="6247765"/>
            <wp:effectExtent l="0" t="0" r="0" b="635"/>
            <wp:docPr id="36" name="Picture 36" descr="P87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8748#yIS1"/>
                    <pic:cNvPicPr/>
                  </pic:nvPicPr>
                  <pic:blipFill>
                    <a:blip r:embed="rId69">
                      <a:extLst>
                        <a:ext uri="{28A0092B-C50C-407E-A947-70E740481C1C}">
                          <a14:useLocalDpi xmlns:a14="http://schemas.microsoft.com/office/drawing/2010/main" val="0"/>
                        </a:ext>
                      </a:extLst>
                    </a:blip>
                    <a:stretch>
                      <a:fillRect/>
                    </a:stretch>
                  </pic:blipFill>
                  <pic:spPr>
                    <a:xfrm>
                      <a:off x="0" y="0"/>
                      <a:ext cx="5731510" cy="6247765"/>
                    </a:xfrm>
                    <a:prstGeom prst="rect">
                      <a:avLst/>
                    </a:prstGeom>
                  </pic:spPr>
                </pic:pic>
              </a:graphicData>
            </a:graphic>
          </wp:inline>
        </w:drawing>
      </w:r>
    </w:p>
    <w:p w14:paraId="45F40FBA" w14:textId="77777777" w:rsidR="00740045" w:rsidRDefault="00740045" w:rsidP="00E51A3B">
      <w:pPr>
        <w:rPr>
          <w:b/>
          <w:bCs/>
          <w:highlight w:val="yellow"/>
        </w:rPr>
      </w:pPr>
    </w:p>
    <w:p w14:paraId="1D80953D" w14:textId="1FC0E3E8" w:rsidR="00472BBD" w:rsidRDefault="00472BBD" w:rsidP="00E51A3B">
      <w:pPr>
        <w:rPr>
          <w:b/>
          <w:bCs/>
          <w:highlight w:val="yellow"/>
        </w:rPr>
        <w:sectPr w:rsidR="00472BBD" w:rsidSect="00294174">
          <w:type w:val="continuous"/>
          <w:pgSz w:w="11906" w:h="16838"/>
          <w:pgMar w:top="1440" w:right="1440" w:bottom="1440" w:left="1440" w:header="708" w:footer="708" w:gutter="0"/>
          <w:cols w:space="708"/>
          <w:titlePg/>
          <w:docGrid w:linePitch="360"/>
        </w:sectPr>
      </w:pPr>
    </w:p>
    <w:p w14:paraId="7BC4CC03" w14:textId="61E191F7" w:rsidR="004952E5" w:rsidRDefault="00D219CE" w:rsidP="00321710">
      <w:pPr>
        <w:pStyle w:val="Heading3"/>
        <w:numPr>
          <w:ilvl w:val="0"/>
          <w:numId w:val="0"/>
        </w:numPr>
        <w:spacing w:before="0" w:after="120"/>
        <w:jc w:val="both"/>
      </w:pPr>
      <w:bookmarkStart w:id="307" w:name="_Toc115254522"/>
      <w:r>
        <w:lastRenderedPageBreak/>
        <w:t>A</w:t>
      </w:r>
      <w:r w:rsidR="00F60F1B">
        <w:t>.</w:t>
      </w:r>
      <w:r w:rsidR="00916CE5">
        <w:t>4</w:t>
      </w:r>
      <w:r w:rsidR="00F60F1B">
        <w:t xml:space="preserve"> </w:t>
      </w:r>
      <w:r w:rsidR="004952E5">
        <w:t xml:space="preserve">Characteristics of </w:t>
      </w:r>
      <w:r w:rsidR="004952E5" w:rsidRPr="00C43A69">
        <w:t xml:space="preserve">Cochrane </w:t>
      </w:r>
      <w:r w:rsidR="004952E5">
        <w:t xml:space="preserve">systematic </w:t>
      </w:r>
      <w:r w:rsidR="004952E5" w:rsidRPr="00C43A69">
        <w:t>reviews</w:t>
      </w:r>
      <w:bookmarkEnd w:id="307"/>
      <w:r w:rsidR="004952E5" w:rsidRPr="00C43A69">
        <w:t xml:space="preserve"> </w:t>
      </w:r>
    </w:p>
    <w:p w14:paraId="6F9C47E1" w14:textId="64988FF4" w:rsidR="002D12B2" w:rsidRDefault="002D12B2" w:rsidP="00321710">
      <w:pPr>
        <w:pStyle w:val="Caption"/>
        <w:keepNext/>
        <w:spacing w:before="0" w:after="120"/>
        <w:jc w:val="both"/>
      </w:pPr>
      <w:bookmarkStart w:id="308" w:name="_Ref49755288"/>
      <w:r>
        <w:t xml:space="preserve">Table </w:t>
      </w:r>
      <w:r>
        <w:fldChar w:fldCharType="begin"/>
      </w:r>
      <w:r>
        <w:instrText>SEQ Table \* ARABIC</w:instrText>
      </w:r>
      <w:r>
        <w:fldChar w:fldCharType="separate"/>
      </w:r>
      <w:r w:rsidR="00EC5CC7">
        <w:rPr>
          <w:noProof/>
        </w:rPr>
        <w:t>137</w:t>
      </w:r>
      <w:r>
        <w:fldChar w:fldCharType="end"/>
      </w:r>
      <w:bookmarkEnd w:id="308"/>
      <w:r>
        <w:t xml:space="preserve">: </w:t>
      </w:r>
      <w:r w:rsidRPr="005B610F">
        <w:t>Characteristics of Cochrane systematic reviews included in qualitative synthesis (n=</w:t>
      </w:r>
      <w:r w:rsidR="00091B34">
        <w:t>1</w:t>
      </w:r>
      <w:r w:rsidR="00C74000">
        <w:t>5</w:t>
      </w:r>
      <w:r w:rsidRPr="005B610F">
        <w:t>)</w:t>
      </w:r>
    </w:p>
    <w:tbl>
      <w:tblPr>
        <w:tblStyle w:val="TableGrid"/>
        <w:tblW w:w="0" w:type="auto"/>
        <w:tblLayout w:type="fixed"/>
        <w:tblLook w:val="04A0" w:firstRow="1" w:lastRow="0" w:firstColumn="1" w:lastColumn="0" w:noHBand="0" w:noVBand="1"/>
      </w:tblPr>
      <w:tblGrid>
        <w:gridCol w:w="421"/>
        <w:gridCol w:w="850"/>
        <w:gridCol w:w="1985"/>
        <w:gridCol w:w="1134"/>
        <w:gridCol w:w="1701"/>
        <w:gridCol w:w="1134"/>
        <w:gridCol w:w="1134"/>
        <w:gridCol w:w="1520"/>
        <w:gridCol w:w="1031"/>
        <w:gridCol w:w="992"/>
        <w:gridCol w:w="1418"/>
      </w:tblGrid>
      <w:tr w:rsidR="00F144E3" w:rsidRPr="001A0D0B" w14:paraId="26499312" w14:textId="77777777" w:rsidTr="00B33FD4">
        <w:trPr>
          <w:tblHeader/>
        </w:trPr>
        <w:tc>
          <w:tcPr>
            <w:tcW w:w="421" w:type="dxa"/>
            <w:vMerge w:val="restart"/>
            <w:shd w:val="clear" w:color="auto" w:fill="BFBFBF" w:themeFill="background1" w:themeFillShade="BF"/>
            <w:noWrap/>
          </w:tcPr>
          <w:p w14:paraId="4ED765CF" w14:textId="77777777" w:rsidR="00F144E3" w:rsidRPr="001A0D0B" w:rsidRDefault="00F144E3" w:rsidP="00CB27AE">
            <w:pPr>
              <w:rPr>
                <w:rFonts w:cs="Calibri"/>
                <w:b/>
                <w:bCs/>
                <w:sz w:val="18"/>
                <w:szCs w:val="18"/>
              </w:rPr>
            </w:pPr>
            <w:r w:rsidRPr="001A0D0B">
              <w:rPr>
                <w:rFonts w:cs="Calibri"/>
                <w:b/>
                <w:bCs/>
                <w:sz w:val="18"/>
                <w:szCs w:val="18"/>
              </w:rPr>
              <w:t>No</w:t>
            </w:r>
          </w:p>
        </w:tc>
        <w:tc>
          <w:tcPr>
            <w:tcW w:w="850" w:type="dxa"/>
            <w:vMerge w:val="restart"/>
            <w:shd w:val="clear" w:color="auto" w:fill="BFBFBF" w:themeFill="background1" w:themeFillShade="BF"/>
            <w:noWrap/>
          </w:tcPr>
          <w:p w14:paraId="3869918A" w14:textId="77777777" w:rsidR="00F144E3" w:rsidRPr="001A0D0B" w:rsidRDefault="00F144E3" w:rsidP="00CB27AE">
            <w:pPr>
              <w:rPr>
                <w:rFonts w:cs="Calibri"/>
                <w:b/>
                <w:bCs/>
                <w:sz w:val="18"/>
                <w:szCs w:val="18"/>
              </w:rPr>
            </w:pPr>
            <w:r w:rsidRPr="001A0D0B">
              <w:rPr>
                <w:rFonts w:cs="Calibri"/>
                <w:b/>
                <w:bCs/>
                <w:sz w:val="18"/>
                <w:szCs w:val="18"/>
              </w:rPr>
              <w:t>Author (year)</w:t>
            </w:r>
          </w:p>
        </w:tc>
        <w:tc>
          <w:tcPr>
            <w:tcW w:w="1985" w:type="dxa"/>
            <w:vMerge w:val="restart"/>
            <w:shd w:val="clear" w:color="auto" w:fill="BFBFBF" w:themeFill="background1" w:themeFillShade="BF"/>
            <w:noWrap/>
          </w:tcPr>
          <w:p w14:paraId="45011EB8" w14:textId="77777777" w:rsidR="00F144E3" w:rsidRPr="001A0D0B" w:rsidRDefault="00F144E3" w:rsidP="00CB27AE">
            <w:pPr>
              <w:ind w:left="360"/>
              <w:jc w:val="center"/>
              <w:rPr>
                <w:rFonts w:cs="Calibri"/>
                <w:b/>
                <w:bCs/>
                <w:sz w:val="18"/>
                <w:szCs w:val="18"/>
              </w:rPr>
            </w:pPr>
            <w:r w:rsidRPr="001A0D0B">
              <w:rPr>
                <w:rFonts w:cs="Calibri"/>
                <w:b/>
                <w:bCs/>
                <w:sz w:val="18"/>
                <w:szCs w:val="18"/>
              </w:rPr>
              <w:t>Aim</w:t>
            </w:r>
          </w:p>
        </w:tc>
        <w:tc>
          <w:tcPr>
            <w:tcW w:w="1134" w:type="dxa"/>
            <w:vMerge w:val="restart"/>
            <w:shd w:val="clear" w:color="auto" w:fill="BFBFBF" w:themeFill="background1" w:themeFillShade="BF"/>
            <w:noWrap/>
          </w:tcPr>
          <w:p w14:paraId="57044C8A" w14:textId="77777777" w:rsidR="00F144E3" w:rsidRPr="001A0D0B" w:rsidRDefault="00F144E3" w:rsidP="00CB27AE">
            <w:pPr>
              <w:jc w:val="center"/>
              <w:rPr>
                <w:rFonts w:cs="Calibri"/>
                <w:b/>
                <w:bCs/>
                <w:sz w:val="18"/>
                <w:szCs w:val="18"/>
              </w:rPr>
            </w:pPr>
            <w:r w:rsidRPr="001A0D0B">
              <w:rPr>
                <w:rFonts w:cs="Calibri"/>
                <w:b/>
                <w:bCs/>
                <w:sz w:val="18"/>
                <w:szCs w:val="18"/>
              </w:rPr>
              <w:t>Type of studies and participants</w:t>
            </w:r>
          </w:p>
        </w:tc>
        <w:tc>
          <w:tcPr>
            <w:tcW w:w="1701" w:type="dxa"/>
            <w:vMerge w:val="restart"/>
            <w:shd w:val="clear" w:color="auto" w:fill="BFBFBF" w:themeFill="background1" w:themeFillShade="BF"/>
            <w:noWrap/>
          </w:tcPr>
          <w:p w14:paraId="5AF91FD9" w14:textId="77777777" w:rsidR="00F144E3" w:rsidRPr="001A0D0B" w:rsidRDefault="00F144E3" w:rsidP="00CB27AE">
            <w:pPr>
              <w:jc w:val="center"/>
              <w:rPr>
                <w:rFonts w:cs="Calibri"/>
                <w:b/>
                <w:bCs/>
                <w:sz w:val="18"/>
                <w:szCs w:val="18"/>
              </w:rPr>
            </w:pPr>
            <w:r w:rsidRPr="001A0D0B">
              <w:rPr>
                <w:rFonts w:cs="Calibri"/>
                <w:b/>
                <w:bCs/>
                <w:sz w:val="18"/>
                <w:szCs w:val="18"/>
              </w:rPr>
              <w:t>Interventions /</w:t>
            </w:r>
          </w:p>
          <w:p w14:paraId="2247C03E" w14:textId="77777777" w:rsidR="00F144E3" w:rsidRPr="001A0D0B" w:rsidRDefault="00F144E3" w:rsidP="00CB27AE">
            <w:pPr>
              <w:jc w:val="center"/>
              <w:rPr>
                <w:rFonts w:cs="Calibri"/>
                <w:b/>
                <w:bCs/>
                <w:sz w:val="18"/>
                <w:szCs w:val="18"/>
              </w:rPr>
            </w:pPr>
            <w:r w:rsidRPr="001A0D0B">
              <w:rPr>
                <w:rFonts w:cs="Calibri"/>
                <w:b/>
                <w:bCs/>
                <w:sz w:val="18"/>
                <w:szCs w:val="18"/>
              </w:rPr>
              <w:t>comparisons</w:t>
            </w:r>
          </w:p>
        </w:tc>
        <w:tc>
          <w:tcPr>
            <w:tcW w:w="3788" w:type="dxa"/>
            <w:gridSpan w:val="3"/>
            <w:shd w:val="clear" w:color="auto" w:fill="BFBFBF" w:themeFill="background1" w:themeFillShade="BF"/>
            <w:noWrap/>
          </w:tcPr>
          <w:p w14:paraId="35A6E064" w14:textId="77777777" w:rsidR="00F144E3" w:rsidRPr="001A0D0B" w:rsidRDefault="00F144E3" w:rsidP="00CB27AE">
            <w:pPr>
              <w:jc w:val="center"/>
              <w:rPr>
                <w:rFonts w:cs="Calibri"/>
                <w:b/>
                <w:bCs/>
                <w:sz w:val="18"/>
                <w:szCs w:val="18"/>
              </w:rPr>
            </w:pPr>
            <w:r w:rsidRPr="001A0D0B">
              <w:rPr>
                <w:rFonts w:cs="Calibri"/>
                <w:b/>
                <w:bCs/>
                <w:sz w:val="18"/>
                <w:szCs w:val="18"/>
              </w:rPr>
              <w:t>Types of outcome measures</w:t>
            </w:r>
          </w:p>
        </w:tc>
        <w:tc>
          <w:tcPr>
            <w:tcW w:w="1031" w:type="dxa"/>
            <w:vMerge w:val="restart"/>
            <w:shd w:val="clear" w:color="auto" w:fill="BFBFBF" w:themeFill="background1" w:themeFillShade="BF"/>
            <w:noWrap/>
          </w:tcPr>
          <w:p w14:paraId="5DFB3C4F" w14:textId="77777777" w:rsidR="00F144E3" w:rsidRPr="001A0D0B" w:rsidRDefault="00F144E3" w:rsidP="00CB27AE">
            <w:pPr>
              <w:jc w:val="center"/>
              <w:rPr>
                <w:rFonts w:cs="Calibri"/>
                <w:b/>
                <w:bCs/>
                <w:sz w:val="18"/>
                <w:szCs w:val="18"/>
              </w:rPr>
            </w:pPr>
            <w:r w:rsidRPr="001A0D0B">
              <w:rPr>
                <w:rFonts w:cs="Calibri"/>
                <w:b/>
                <w:bCs/>
                <w:sz w:val="18"/>
                <w:szCs w:val="18"/>
              </w:rPr>
              <w:t>Analysis</w:t>
            </w:r>
          </w:p>
        </w:tc>
        <w:tc>
          <w:tcPr>
            <w:tcW w:w="992" w:type="dxa"/>
            <w:vMerge w:val="restart"/>
            <w:shd w:val="clear" w:color="auto" w:fill="BFBFBF" w:themeFill="background1" w:themeFillShade="BF"/>
            <w:noWrap/>
          </w:tcPr>
          <w:p w14:paraId="0A4596B1" w14:textId="77777777" w:rsidR="00F144E3" w:rsidRPr="001A0D0B" w:rsidRDefault="00F144E3" w:rsidP="00CB27AE">
            <w:pPr>
              <w:jc w:val="center"/>
              <w:rPr>
                <w:rFonts w:cs="Calibri"/>
                <w:b/>
                <w:bCs/>
                <w:sz w:val="18"/>
                <w:szCs w:val="18"/>
              </w:rPr>
            </w:pPr>
            <w:r w:rsidRPr="001A0D0B">
              <w:rPr>
                <w:rFonts w:cs="Calibri"/>
                <w:b/>
                <w:bCs/>
                <w:sz w:val="18"/>
                <w:szCs w:val="18"/>
              </w:rPr>
              <w:t>Number studies</w:t>
            </w:r>
          </w:p>
        </w:tc>
        <w:tc>
          <w:tcPr>
            <w:tcW w:w="1418" w:type="dxa"/>
            <w:vMerge w:val="restart"/>
            <w:shd w:val="clear" w:color="auto" w:fill="BFBFBF" w:themeFill="background1" w:themeFillShade="BF"/>
            <w:noWrap/>
          </w:tcPr>
          <w:p w14:paraId="2AB2BEAC" w14:textId="77777777" w:rsidR="00F144E3" w:rsidRPr="001A0D0B" w:rsidRDefault="00F144E3" w:rsidP="00CB27AE">
            <w:pPr>
              <w:jc w:val="center"/>
              <w:rPr>
                <w:rFonts w:cs="Calibri"/>
                <w:b/>
                <w:bCs/>
                <w:sz w:val="18"/>
                <w:szCs w:val="18"/>
              </w:rPr>
            </w:pPr>
            <w:r w:rsidRPr="001A0D0B">
              <w:rPr>
                <w:rFonts w:cs="Calibri"/>
                <w:b/>
                <w:bCs/>
                <w:sz w:val="18"/>
                <w:szCs w:val="18"/>
              </w:rPr>
              <w:t>Total participants (n)</w:t>
            </w:r>
          </w:p>
        </w:tc>
      </w:tr>
      <w:tr w:rsidR="00B33FD4" w:rsidRPr="001A0D0B" w14:paraId="2FEB2810" w14:textId="77777777" w:rsidTr="00B33FD4">
        <w:trPr>
          <w:tblHeader/>
        </w:trPr>
        <w:tc>
          <w:tcPr>
            <w:tcW w:w="421" w:type="dxa"/>
            <w:vMerge/>
            <w:shd w:val="clear" w:color="auto" w:fill="BFBFBF" w:themeFill="background1" w:themeFillShade="BF"/>
            <w:noWrap/>
          </w:tcPr>
          <w:p w14:paraId="6F9BD10F" w14:textId="77777777" w:rsidR="00F144E3" w:rsidRPr="001A0D0B" w:rsidRDefault="00F144E3" w:rsidP="00CB27AE">
            <w:pPr>
              <w:rPr>
                <w:rFonts w:cs="Calibri"/>
                <w:b/>
                <w:bCs/>
                <w:sz w:val="18"/>
                <w:szCs w:val="18"/>
              </w:rPr>
            </w:pPr>
          </w:p>
        </w:tc>
        <w:tc>
          <w:tcPr>
            <w:tcW w:w="850" w:type="dxa"/>
            <w:vMerge/>
            <w:shd w:val="clear" w:color="auto" w:fill="BFBFBF" w:themeFill="background1" w:themeFillShade="BF"/>
            <w:noWrap/>
          </w:tcPr>
          <w:p w14:paraId="47B01D24" w14:textId="77777777" w:rsidR="00F144E3" w:rsidRPr="001A0D0B" w:rsidRDefault="00F144E3" w:rsidP="00CB27AE">
            <w:pPr>
              <w:rPr>
                <w:rFonts w:cs="Calibri"/>
                <w:b/>
                <w:bCs/>
                <w:sz w:val="18"/>
                <w:szCs w:val="18"/>
              </w:rPr>
            </w:pPr>
          </w:p>
        </w:tc>
        <w:tc>
          <w:tcPr>
            <w:tcW w:w="1985" w:type="dxa"/>
            <w:vMerge/>
            <w:shd w:val="clear" w:color="auto" w:fill="BFBFBF" w:themeFill="background1" w:themeFillShade="BF"/>
            <w:noWrap/>
          </w:tcPr>
          <w:p w14:paraId="4A5ACF1C" w14:textId="77777777" w:rsidR="00F144E3" w:rsidRPr="001A0D0B" w:rsidRDefault="00F144E3" w:rsidP="00CB27AE">
            <w:pPr>
              <w:ind w:left="360"/>
              <w:jc w:val="center"/>
              <w:rPr>
                <w:rFonts w:cs="Calibri"/>
                <w:b/>
                <w:bCs/>
                <w:sz w:val="18"/>
                <w:szCs w:val="18"/>
              </w:rPr>
            </w:pPr>
          </w:p>
        </w:tc>
        <w:tc>
          <w:tcPr>
            <w:tcW w:w="1134" w:type="dxa"/>
            <w:vMerge/>
            <w:shd w:val="clear" w:color="auto" w:fill="BFBFBF" w:themeFill="background1" w:themeFillShade="BF"/>
            <w:noWrap/>
          </w:tcPr>
          <w:p w14:paraId="18C847A1" w14:textId="77777777" w:rsidR="00F144E3" w:rsidRPr="001A0D0B" w:rsidRDefault="00F144E3" w:rsidP="00CB27AE">
            <w:pPr>
              <w:jc w:val="center"/>
              <w:rPr>
                <w:rFonts w:cs="Calibri"/>
                <w:b/>
                <w:bCs/>
                <w:sz w:val="18"/>
                <w:szCs w:val="18"/>
              </w:rPr>
            </w:pPr>
          </w:p>
        </w:tc>
        <w:tc>
          <w:tcPr>
            <w:tcW w:w="1701" w:type="dxa"/>
            <w:vMerge/>
            <w:shd w:val="clear" w:color="auto" w:fill="BFBFBF" w:themeFill="background1" w:themeFillShade="BF"/>
            <w:noWrap/>
          </w:tcPr>
          <w:p w14:paraId="5670B8E3" w14:textId="77777777" w:rsidR="00F144E3" w:rsidRPr="001A0D0B" w:rsidRDefault="00F144E3" w:rsidP="00CB27AE">
            <w:pPr>
              <w:jc w:val="center"/>
              <w:rPr>
                <w:rFonts w:cs="Calibri"/>
                <w:b/>
                <w:bCs/>
                <w:sz w:val="18"/>
                <w:szCs w:val="18"/>
              </w:rPr>
            </w:pPr>
          </w:p>
        </w:tc>
        <w:tc>
          <w:tcPr>
            <w:tcW w:w="1134" w:type="dxa"/>
            <w:shd w:val="clear" w:color="auto" w:fill="BFBFBF" w:themeFill="background1" w:themeFillShade="BF"/>
            <w:noWrap/>
          </w:tcPr>
          <w:p w14:paraId="3D71CEA8" w14:textId="77777777" w:rsidR="00F144E3" w:rsidRPr="001A0D0B" w:rsidRDefault="00F144E3" w:rsidP="00CB27AE">
            <w:pPr>
              <w:jc w:val="center"/>
              <w:rPr>
                <w:rFonts w:cs="Calibri"/>
                <w:b/>
                <w:bCs/>
                <w:sz w:val="18"/>
                <w:szCs w:val="18"/>
              </w:rPr>
            </w:pPr>
            <w:r w:rsidRPr="001A0D0B">
              <w:rPr>
                <w:rFonts w:cs="Calibri"/>
                <w:b/>
                <w:bCs/>
                <w:sz w:val="18"/>
                <w:szCs w:val="18"/>
              </w:rPr>
              <w:t>Primary outcomes</w:t>
            </w:r>
          </w:p>
        </w:tc>
        <w:tc>
          <w:tcPr>
            <w:tcW w:w="1134" w:type="dxa"/>
            <w:shd w:val="clear" w:color="auto" w:fill="BFBFBF" w:themeFill="background1" w:themeFillShade="BF"/>
            <w:noWrap/>
          </w:tcPr>
          <w:p w14:paraId="5211D5FA" w14:textId="77777777" w:rsidR="00F144E3" w:rsidRPr="001A0D0B" w:rsidRDefault="00F144E3" w:rsidP="00CB27AE">
            <w:pPr>
              <w:jc w:val="center"/>
              <w:rPr>
                <w:rFonts w:cs="Calibri"/>
                <w:b/>
                <w:bCs/>
                <w:sz w:val="18"/>
                <w:szCs w:val="18"/>
              </w:rPr>
            </w:pPr>
            <w:r w:rsidRPr="001A0D0B">
              <w:rPr>
                <w:rFonts w:cs="Calibri"/>
                <w:b/>
                <w:bCs/>
                <w:sz w:val="18"/>
                <w:szCs w:val="18"/>
              </w:rPr>
              <w:t>Secondary outcomes</w:t>
            </w:r>
          </w:p>
        </w:tc>
        <w:tc>
          <w:tcPr>
            <w:tcW w:w="1520" w:type="dxa"/>
            <w:shd w:val="clear" w:color="auto" w:fill="BFBFBF" w:themeFill="background1" w:themeFillShade="BF"/>
            <w:noWrap/>
          </w:tcPr>
          <w:p w14:paraId="114AB496" w14:textId="77777777" w:rsidR="00F144E3" w:rsidRPr="001A0D0B" w:rsidRDefault="00F144E3" w:rsidP="00CB27AE">
            <w:pPr>
              <w:jc w:val="center"/>
              <w:rPr>
                <w:rFonts w:cs="Calibri"/>
                <w:b/>
                <w:bCs/>
                <w:sz w:val="18"/>
                <w:szCs w:val="18"/>
              </w:rPr>
            </w:pPr>
            <w:r w:rsidRPr="001A0D0B">
              <w:rPr>
                <w:rFonts w:cs="Calibri"/>
                <w:b/>
                <w:bCs/>
                <w:sz w:val="18"/>
                <w:szCs w:val="18"/>
              </w:rPr>
              <w:t>Harmful outcomes</w:t>
            </w:r>
          </w:p>
        </w:tc>
        <w:tc>
          <w:tcPr>
            <w:tcW w:w="1031" w:type="dxa"/>
            <w:vMerge/>
            <w:shd w:val="clear" w:color="auto" w:fill="BFBFBF" w:themeFill="background1" w:themeFillShade="BF"/>
            <w:noWrap/>
          </w:tcPr>
          <w:p w14:paraId="79FE8D05" w14:textId="77777777" w:rsidR="00F144E3" w:rsidRPr="001A0D0B" w:rsidRDefault="00F144E3" w:rsidP="00CB27AE">
            <w:pPr>
              <w:jc w:val="center"/>
              <w:rPr>
                <w:rFonts w:cs="Calibri"/>
                <w:b/>
                <w:bCs/>
                <w:sz w:val="18"/>
                <w:szCs w:val="18"/>
              </w:rPr>
            </w:pPr>
          </w:p>
        </w:tc>
        <w:tc>
          <w:tcPr>
            <w:tcW w:w="992" w:type="dxa"/>
            <w:vMerge/>
            <w:shd w:val="clear" w:color="auto" w:fill="BFBFBF" w:themeFill="background1" w:themeFillShade="BF"/>
            <w:noWrap/>
          </w:tcPr>
          <w:p w14:paraId="3574F14D" w14:textId="77777777" w:rsidR="00F144E3" w:rsidRPr="001A0D0B" w:rsidRDefault="00F144E3" w:rsidP="00CB27AE">
            <w:pPr>
              <w:jc w:val="center"/>
              <w:rPr>
                <w:rFonts w:cs="Calibri"/>
                <w:b/>
                <w:bCs/>
                <w:sz w:val="18"/>
                <w:szCs w:val="18"/>
              </w:rPr>
            </w:pPr>
          </w:p>
        </w:tc>
        <w:tc>
          <w:tcPr>
            <w:tcW w:w="1418" w:type="dxa"/>
            <w:vMerge/>
            <w:shd w:val="clear" w:color="auto" w:fill="BFBFBF" w:themeFill="background1" w:themeFillShade="BF"/>
            <w:noWrap/>
          </w:tcPr>
          <w:p w14:paraId="6259F3CF" w14:textId="77777777" w:rsidR="00F144E3" w:rsidRPr="001A0D0B" w:rsidRDefault="00F144E3" w:rsidP="00CB27AE">
            <w:pPr>
              <w:jc w:val="center"/>
              <w:rPr>
                <w:rFonts w:cs="Calibri"/>
                <w:b/>
                <w:bCs/>
                <w:sz w:val="18"/>
                <w:szCs w:val="18"/>
              </w:rPr>
            </w:pPr>
          </w:p>
        </w:tc>
      </w:tr>
      <w:tr w:rsidR="00F144E3" w:rsidRPr="001A0D0B" w14:paraId="5EC99D8A" w14:textId="77777777" w:rsidTr="00B33FD4">
        <w:tc>
          <w:tcPr>
            <w:tcW w:w="421" w:type="dxa"/>
            <w:noWrap/>
          </w:tcPr>
          <w:p w14:paraId="6B6CBBCF" w14:textId="77777777" w:rsidR="00F144E3" w:rsidRPr="001A0D0B" w:rsidRDefault="00F144E3" w:rsidP="00C324F3">
            <w:pPr>
              <w:numPr>
                <w:ilvl w:val="0"/>
                <w:numId w:val="6"/>
              </w:numPr>
              <w:rPr>
                <w:rFonts w:cs="Calibri"/>
                <w:sz w:val="18"/>
                <w:szCs w:val="18"/>
              </w:rPr>
            </w:pPr>
          </w:p>
        </w:tc>
        <w:tc>
          <w:tcPr>
            <w:tcW w:w="850" w:type="dxa"/>
            <w:noWrap/>
          </w:tcPr>
          <w:p w14:paraId="456DF7C6" w14:textId="77777777" w:rsidR="00F144E3" w:rsidRPr="001A0D0B" w:rsidRDefault="00F144E3" w:rsidP="00CB27AE">
            <w:pPr>
              <w:rPr>
                <w:rFonts w:cs="Calibri"/>
                <w:sz w:val="18"/>
                <w:szCs w:val="18"/>
              </w:rPr>
            </w:pPr>
            <w:r w:rsidRPr="001A0D0B">
              <w:rPr>
                <w:rFonts w:cs="Calibri"/>
                <w:sz w:val="18"/>
                <w:szCs w:val="18"/>
              </w:rPr>
              <w:t>Howes 2020</w:t>
            </w:r>
          </w:p>
        </w:tc>
        <w:tc>
          <w:tcPr>
            <w:tcW w:w="1985" w:type="dxa"/>
            <w:noWrap/>
          </w:tcPr>
          <w:p w14:paraId="26C73F46" w14:textId="25E1A6D9" w:rsidR="00F144E3" w:rsidRPr="001A0D0B" w:rsidRDefault="00F144E3" w:rsidP="00CB27AE">
            <w:pPr>
              <w:rPr>
                <w:rFonts w:cs="Calibri"/>
                <w:sz w:val="18"/>
                <w:szCs w:val="18"/>
              </w:rPr>
            </w:pPr>
            <w:r w:rsidRPr="001A0D0B">
              <w:rPr>
                <w:rFonts w:cs="Calibri"/>
                <w:sz w:val="18"/>
                <w:szCs w:val="18"/>
              </w:rPr>
              <w:t xml:space="preserve">To assess the efficacy, </w:t>
            </w:r>
            <w:r w:rsidR="004664D2" w:rsidRPr="001A0D0B">
              <w:rPr>
                <w:rFonts w:cs="Calibri"/>
                <w:sz w:val="18"/>
                <w:szCs w:val="18"/>
              </w:rPr>
              <w:t>safety,</w:t>
            </w:r>
            <w:r w:rsidRPr="001A0D0B">
              <w:rPr>
                <w:rFonts w:cs="Calibri"/>
                <w:sz w:val="18"/>
                <w:szCs w:val="18"/>
              </w:rPr>
              <w:t xml:space="preserve"> and tolerability of medications with antidepressant properties in assisting long-term tobacco smoking cessation in people who smoke cigarettes</w:t>
            </w:r>
          </w:p>
        </w:tc>
        <w:tc>
          <w:tcPr>
            <w:tcW w:w="1134" w:type="dxa"/>
            <w:noWrap/>
          </w:tcPr>
          <w:p w14:paraId="44D319D3" w14:textId="77777777" w:rsidR="00F144E3" w:rsidRPr="001A0D0B" w:rsidRDefault="00F144E3" w:rsidP="00CB27AE">
            <w:pPr>
              <w:rPr>
                <w:rFonts w:cs="Calibri"/>
                <w:sz w:val="18"/>
                <w:szCs w:val="18"/>
              </w:rPr>
            </w:pPr>
            <w:r w:rsidRPr="001A0D0B">
              <w:rPr>
                <w:rFonts w:cs="Calibri"/>
                <w:sz w:val="18"/>
                <w:szCs w:val="18"/>
              </w:rPr>
              <w:t>RCTs and cluster-RCTs</w:t>
            </w:r>
          </w:p>
          <w:p w14:paraId="719292BC" w14:textId="77777777" w:rsidR="00F144E3" w:rsidRPr="001A0D0B" w:rsidRDefault="00F144E3" w:rsidP="00CB27AE">
            <w:pPr>
              <w:rPr>
                <w:rFonts w:cs="Calibri"/>
                <w:sz w:val="18"/>
                <w:szCs w:val="18"/>
              </w:rPr>
            </w:pPr>
            <w:r w:rsidRPr="001A0D0B">
              <w:rPr>
                <w:rFonts w:cs="Calibri"/>
                <w:sz w:val="18"/>
                <w:szCs w:val="18"/>
              </w:rPr>
              <w:t>Tobacco smokers</w:t>
            </w:r>
          </w:p>
        </w:tc>
        <w:tc>
          <w:tcPr>
            <w:tcW w:w="1701" w:type="dxa"/>
            <w:noWrap/>
          </w:tcPr>
          <w:p w14:paraId="1F142365" w14:textId="77777777" w:rsidR="00F144E3" w:rsidRPr="001A0D0B" w:rsidRDefault="00F144E3" w:rsidP="00CB27AE">
            <w:pPr>
              <w:rPr>
                <w:rFonts w:cs="Calibri"/>
                <w:sz w:val="18"/>
                <w:szCs w:val="18"/>
              </w:rPr>
            </w:pPr>
            <w:r w:rsidRPr="001A0D0B">
              <w:rPr>
                <w:rFonts w:cs="Calibri"/>
                <w:sz w:val="18"/>
                <w:szCs w:val="18"/>
              </w:rPr>
              <w:t>Pharmacotherapies with antidepressant, behavioural strategies</w:t>
            </w:r>
          </w:p>
          <w:p w14:paraId="629E9F26" w14:textId="77777777" w:rsidR="00F144E3" w:rsidRPr="001A0D0B" w:rsidRDefault="00F144E3" w:rsidP="00CB27AE">
            <w:pPr>
              <w:rPr>
                <w:rFonts w:cs="Calibri"/>
                <w:sz w:val="18"/>
                <w:szCs w:val="18"/>
              </w:rPr>
            </w:pPr>
          </w:p>
          <w:p w14:paraId="7A4C5D40" w14:textId="77777777" w:rsidR="00F144E3" w:rsidRPr="001A0D0B" w:rsidRDefault="00F144E3" w:rsidP="00CB27AE">
            <w:pPr>
              <w:rPr>
                <w:rFonts w:cs="Calibri"/>
                <w:sz w:val="18"/>
                <w:szCs w:val="18"/>
              </w:rPr>
            </w:pPr>
            <w:r w:rsidRPr="001A0D0B">
              <w:rPr>
                <w:rFonts w:cs="Calibri"/>
                <w:sz w:val="18"/>
                <w:szCs w:val="18"/>
              </w:rPr>
              <w:t>Placebo, no pharmacotherapy, alternative therapeutic control, or different dosages.</w:t>
            </w:r>
          </w:p>
        </w:tc>
        <w:tc>
          <w:tcPr>
            <w:tcW w:w="1134" w:type="dxa"/>
            <w:noWrap/>
          </w:tcPr>
          <w:p w14:paraId="5EA26865" w14:textId="77777777" w:rsidR="00F144E3" w:rsidRPr="001A0D0B" w:rsidRDefault="00F144E3" w:rsidP="00CB27AE">
            <w:pPr>
              <w:rPr>
                <w:rFonts w:cs="Calibri"/>
                <w:sz w:val="18"/>
                <w:szCs w:val="18"/>
              </w:rPr>
            </w:pPr>
            <w:r w:rsidRPr="001A0D0B">
              <w:rPr>
                <w:rFonts w:cs="Calibri"/>
                <w:sz w:val="18"/>
                <w:szCs w:val="18"/>
              </w:rPr>
              <w:t>Smoking cessation rates at least six months after baseline</w:t>
            </w:r>
          </w:p>
        </w:tc>
        <w:tc>
          <w:tcPr>
            <w:tcW w:w="1134" w:type="dxa"/>
            <w:noWrap/>
          </w:tcPr>
          <w:p w14:paraId="178BC62F"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683EA43B" w14:textId="77777777" w:rsidR="00F144E3" w:rsidRPr="001A0D0B" w:rsidRDefault="00F144E3" w:rsidP="00CB27AE">
            <w:pPr>
              <w:rPr>
                <w:rFonts w:cs="Calibri"/>
                <w:sz w:val="18"/>
                <w:szCs w:val="18"/>
              </w:rPr>
            </w:pPr>
            <w:r w:rsidRPr="001A0D0B">
              <w:rPr>
                <w:rFonts w:cs="Calibri"/>
                <w:sz w:val="18"/>
                <w:szCs w:val="18"/>
              </w:rPr>
              <w:t>Adverse events (AEs) of any severity</w:t>
            </w:r>
          </w:p>
          <w:p w14:paraId="462F5D40" w14:textId="77777777" w:rsidR="00F144E3" w:rsidRPr="001A0D0B" w:rsidRDefault="00F144E3" w:rsidP="00CB27AE">
            <w:pPr>
              <w:rPr>
                <w:rFonts w:cs="Calibri"/>
                <w:sz w:val="18"/>
                <w:szCs w:val="18"/>
              </w:rPr>
            </w:pPr>
            <w:r w:rsidRPr="001A0D0B">
              <w:rPr>
                <w:rFonts w:cs="Calibri"/>
                <w:sz w:val="18"/>
                <w:szCs w:val="18"/>
              </w:rPr>
              <w:t>Psychiatric AEs</w:t>
            </w:r>
          </w:p>
          <w:p w14:paraId="221936B8" w14:textId="77777777" w:rsidR="00F144E3" w:rsidRPr="001A0D0B" w:rsidRDefault="00F144E3" w:rsidP="00CB27AE">
            <w:pPr>
              <w:rPr>
                <w:rFonts w:cs="Calibri"/>
                <w:sz w:val="18"/>
                <w:szCs w:val="18"/>
              </w:rPr>
            </w:pPr>
            <w:r w:rsidRPr="001A0D0B">
              <w:rPr>
                <w:rFonts w:cs="Calibri"/>
                <w:sz w:val="18"/>
                <w:szCs w:val="18"/>
              </w:rPr>
              <w:t>Serious adverse events (SAEs)</w:t>
            </w:r>
          </w:p>
        </w:tc>
        <w:tc>
          <w:tcPr>
            <w:tcW w:w="1031" w:type="dxa"/>
            <w:noWrap/>
          </w:tcPr>
          <w:p w14:paraId="3C54FBD9"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234E86DB" w14:textId="77777777" w:rsidR="00F144E3" w:rsidRPr="001A0D0B" w:rsidRDefault="00F144E3" w:rsidP="00CB27AE">
            <w:pPr>
              <w:jc w:val="center"/>
              <w:rPr>
                <w:rFonts w:cs="Calibri"/>
                <w:sz w:val="18"/>
                <w:szCs w:val="18"/>
              </w:rPr>
            </w:pPr>
            <w:r w:rsidRPr="001A0D0B">
              <w:rPr>
                <w:rFonts w:cs="Calibri"/>
                <w:sz w:val="18"/>
                <w:szCs w:val="18"/>
              </w:rPr>
              <w:t>115</w:t>
            </w:r>
          </w:p>
        </w:tc>
        <w:tc>
          <w:tcPr>
            <w:tcW w:w="1418" w:type="dxa"/>
            <w:noWrap/>
          </w:tcPr>
          <w:p w14:paraId="16983CED" w14:textId="42BE99F5" w:rsidR="00F144E3" w:rsidRPr="001A0D0B" w:rsidRDefault="00F144E3" w:rsidP="00CB27AE">
            <w:pPr>
              <w:rPr>
                <w:rFonts w:cs="Calibri"/>
                <w:sz w:val="18"/>
                <w:szCs w:val="18"/>
              </w:rPr>
            </w:pPr>
            <w:r w:rsidRPr="001A0D0B">
              <w:rPr>
                <w:rFonts w:cs="Calibri"/>
                <w:sz w:val="18"/>
                <w:szCs w:val="18"/>
              </w:rPr>
              <w:t>BUP v</w:t>
            </w:r>
            <w:r w:rsidR="002436C7">
              <w:rPr>
                <w:rFonts w:cs="Calibri"/>
                <w:sz w:val="18"/>
                <w:szCs w:val="18"/>
              </w:rPr>
              <w:t>ersus</w:t>
            </w:r>
            <w:r w:rsidRPr="001A0D0B">
              <w:rPr>
                <w:rFonts w:cs="Calibri"/>
                <w:sz w:val="18"/>
                <w:szCs w:val="18"/>
              </w:rPr>
              <w:t xml:space="preserve"> PBO = 40,831;</w:t>
            </w:r>
          </w:p>
          <w:p w14:paraId="696620DE" w14:textId="591AA159" w:rsidR="00F144E3" w:rsidRPr="001A0D0B" w:rsidRDefault="00F144E3" w:rsidP="00CB27AE">
            <w:pPr>
              <w:rPr>
                <w:rFonts w:cs="Calibri"/>
                <w:sz w:val="18"/>
                <w:szCs w:val="18"/>
              </w:rPr>
            </w:pPr>
            <w:r w:rsidRPr="001A0D0B">
              <w:rPr>
                <w:rFonts w:cs="Calibri"/>
                <w:sz w:val="18"/>
                <w:szCs w:val="18"/>
              </w:rPr>
              <w:t>BUP + NRT v</w:t>
            </w:r>
            <w:r w:rsidR="002436C7">
              <w:rPr>
                <w:rFonts w:cs="Calibri"/>
                <w:sz w:val="18"/>
                <w:szCs w:val="18"/>
              </w:rPr>
              <w:t>e</w:t>
            </w:r>
            <w:r w:rsidR="00A86D76">
              <w:rPr>
                <w:rFonts w:cs="Calibri"/>
                <w:sz w:val="18"/>
                <w:szCs w:val="18"/>
              </w:rPr>
              <w:t>rsus</w:t>
            </w:r>
            <w:r w:rsidRPr="001A0D0B">
              <w:rPr>
                <w:rFonts w:cs="Calibri"/>
                <w:sz w:val="18"/>
                <w:szCs w:val="18"/>
              </w:rPr>
              <w:t xml:space="preserve"> NRT = 4,632;</w:t>
            </w:r>
          </w:p>
          <w:p w14:paraId="0E07DD83" w14:textId="7CA6E07A" w:rsidR="00F144E3" w:rsidRPr="001A0D0B" w:rsidRDefault="00F144E3" w:rsidP="00CB27AE">
            <w:pPr>
              <w:rPr>
                <w:rFonts w:cs="Calibri"/>
                <w:sz w:val="18"/>
                <w:szCs w:val="18"/>
              </w:rPr>
            </w:pPr>
            <w:r w:rsidRPr="001A0D0B">
              <w:rPr>
                <w:rFonts w:cs="Calibri"/>
                <w:sz w:val="18"/>
                <w:szCs w:val="18"/>
              </w:rPr>
              <w:t>BUP + VAR v</w:t>
            </w:r>
            <w:r w:rsidR="00C07E81">
              <w:rPr>
                <w:rFonts w:cs="Calibri"/>
                <w:sz w:val="18"/>
                <w:szCs w:val="18"/>
              </w:rPr>
              <w:t>ersus</w:t>
            </w:r>
            <w:r w:rsidRPr="001A0D0B">
              <w:rPr>
                <w:rFonts w:cs="Calibri"/>
                <w:sz w:val="18"/>
                <w:szCs w:val="18"/>
              </w:rPr>
              <w:t xml:space="preserve"> VAR = 3,381</w:t>
            </w:r>
          </w:p>
        </w:tc>
      </w:tr>
      <w:tr w:rsidR="00F144E3" w:rsidRPr="001A0D0B" w14:paraId="61D3FD13" w14:textId="77777777" w:rsidTr="00B33FD4">
        <w:tc>
          <w:tcPr>
            <w:tcW w:w="421" w:type="dxa"/>
            <w:noWrap/>
          </w:tcPr>
          <w:p w14:paraId="77ADA4C0" w14:textId="77777777" w:rsidR="00F144E3" w:rsidRPr="001A0D0B" w:rsidRDefault="00F144E3" w:rsidP="00C324F3">
            <w:pPr>
              <w:numPr>
                <w:ilvl w:val="0"/>
                <w:numId w:val="6"/>
              </w:numPr>
              <w:rPr>
                <w:rFonts w:cs="Calibri"/>
                <w:sz w:val="18"/>
                <w:szCs w:val="18"/>
              </w:rPr>
            </w:pPr>
          </w:p>
        </w:tc>
        <w:tc>
          <w:tcPr>
            <w:tcW w:w="850" w:type="dxa"/>
            <w:noWrap/>
          </w:tcPr>
          <w:p w14:paraId="5B964FFC" w14:textId="77777777" w:rsidR="00F144E3" w:rsidRPr="001A0D0B" w:rsidRDefault="00F144E3" w:rsidP="00CB27AE">
            <w:pPr>
              <w:rPr>
                <w:rFonts w:cs="Calibri"/>
                <w:sz w:val="18"/>
                <w:szCs w:val="18"/>
              </w:rPr>
            </w:pPr>
            <w:r w:rsidRPr="001A0D0B">
              <w:rPr>
                <w:rFonts w:cs="Calibri"/>
                <w:sz w:val="18"/>
                <w:szCs w:val="18"/>
              </w:rPr>
              <w:t>Claire 2020</w:t>
            </w:r>
          </w:p>
        </w:tc>
        <w:tc>
          <w:tcPr>
            <w:tcW w:w="1985" w:type="dxa"/>
            <w:noWrap/>
          </w:tcPr>
          <w:p w14:paraId="308768AA" w14:textId="77777777" w:rsidR="00F144E3" w:rsidRPr="001A0D0B" w:rsidRDefault="00F144E3" w:rsidP="00CB27AE">
            <w:pPr>
              <w:rPr>
                <w:rFonts w:cs="Calibri"/>
                <w:sz w:val="18"/>
                <w:szCs w:val="18"/>
              </w:rPr>
            </w:pPr>
            <w:r w:rsidRPr="001A0D0B">
              <w:rPr>
                <w:rFonts w:cs="Calibri"/>
                <w:sz w:val="18"/>
                <w:szCs w:val="18"/>
              </w:rPr>
              <w:t>Determine the efficacy and safety of smoking cessation pharmacotherapies and ECs used during pregnancy for smoking cessation in later pregnancy and after childbirth. Determine adherence to smoking cessation pharmacotherapies and ECs for smoking cessation during pregnancy</w:t>
            </w:r>
          </w:p>
        </w:tc>
        <w:tc>
          <w:tcPr>
            <w:tcW w:w="1134" w:type="dxa"/>
            <w:noWrap/>
          </w:tcPr>
          <w:p w14:paraId="55C70DBC" w14:textId="77777777" w:rsidR="00F144E3" w:rsidRPr="001A0D0B" w:rsidRDefault="00F144E3" w:rsidP="00CB27AE">
            <w:pPr>
              <w:rPr>
                <w:rFonts w:cs="Calibri"/>
                <w:sz w:val="18"/>
                <w:szCs w:val="18"/>
              </w:rPr>
            </w:pPr>
            <w:r w:rsidRPr="001A0D0B">
              <w:rPr>
                <w:rFonts w:cs="Calibri"/>
                <w:sz w:val="18"/>
                <w:szCs w:val="18"/>
              </w:rPr>
              <w:t>Parallel- or cluster-RCTs</w:t>
            </w:r>
          </w:p>
          <w:p w14:paraId="5066C62E" w14:textId="77777777" w:rsidR="00F144E3" w:rsidRPr="001A0D0B" w:rsidRDefault="00F144E3" w:rsidP="00CB27AE">
            <w:pPr>
              <w:rPr>
                <w:rFonts w:cs="Calibri"/>
                <w:sz w:val="18"/>
                <w:szCs w:val="18"/>
              </w:rPr>
            </w:pPr>
            <w:r w:rsidRPr="001A0D0B">
              <w:rPr>
                <w:rFonts w:cs="Calibri"/>
                <w:sz w:val="18"/>
                <w:szCs w:val="18"/>
              </w:rPr>
              <w:t>Pregnant smokers</w:t>
            </w:r>
          </w:p>
        </w:tc>
        <w:tc>
          <w:tcPr>
            <w:tcW w:w="1701" w:type="dxa"/>
            <w:noWrap/>
          </w:tcPr>
          <w:p w14:paraId="11CDA73C" w14:textId="77777777" w:rsidR="00F144E3" w:rsidRPr="001A0D0B" w:rsidRDefault="00F144E3" w:rsidP="00CB27AE">
            <w:pPr>
              <w:rPr>
                <w:rFonts w:cs="Calibri"/>
                <w:sz w:val="18"/>
                <w:szCs w:val="18"/>
              </w:rPr>
            </w:pPr>
            <w:r w:rsidRPr="001A0D0B">
              <w:rPr>
                <w:rFonts w:cs="Calibri"/>
                <w:sz w:val="18"/>
                <w:szCs w:val="18"/>
              </w:rPr>
              <w:t>NRT and BUP</w:t>
            </w:r>
          </w:p>
          <w:p w14:paraId="19955814" w14:textId="77777777" w:rsidR="00F144E3" w:rsidRPr="001A0D0B" w:rsidRDefault="00F144E3" w:rsidP="00CB27AE">
            <w:pPr>
              <w:rPr>
                <w:rFonts w:cs="Calibri"/>
                <w:sz w:val="18"/>
                <w:szCs w:val="18"/>
              </w:rPr>
            </w:pPr>
          </w:p>
          <w:p w14:paraId="1160C259" w14:textId="77777777" w:rsidR="00F144E3" w:rsidRPr="001A0D0B" w:rsidRDefault="00F144E3" w:rsidP="00CB27AE">
            <w:pPr>
              <w:rPr>
                <w:rFonts w:cs="Calibri"/>
                <w:sz w:val="18"/>
                <w:szCs w:val="18"/>
              </w:rPr>
            </w:pPr>
            <w:r w:rsidRPr="001A0D0B">
              <w:rPr>
                <w:rFonts w:cs="Calibri"/>
                <w:sz w:val="18"/>
                <w:szCs w:val="18"/>
              </w:rPr>
              <w:t>Placebo, no smoking, other pharmacotherapy</w:t>
            </w:r>
          </w:p>
        </w:tc>
        <w:tc>
          <w:tcPr>
            <w:tcW w:w="1134" w:type="dxa"/>
            <w:noWrap/>
          </w:tcPr>
          <w:p w14:paraId="480C83F5" w14:textId="77777777" w:rsidR="00F144E3" w:rsidRPr="001A0D0B" w:rsidRDefault="00F144E3" w:rsidP="00CB27AE">
            <w:pPr>
              <w:rPr>
                <w:rFonts w:cs="Calibri"/>
                <w:sz w:val="18"/>
                <w:szCs w:val="18"/>
              </w:rPr>
            </w:pPr>
            <w:r w:rsidRPr="001A0D0B">
              <w:rPr>
                <w:rFonts w:cs="Calibri"/>
                <w:sz w:val="18"/>
                <w:szCs w:val="18"/>
              </w:rPr>
              <w:t>Prolonged or continuous abstinence measures</w:t>
            </w:r>
          </w:p>
        </w:tc>
        <w:tc>
          <w:tcPr>
            <w:tcW w:w="1134" w:type="dxa"/>
            <w:noWrap/>
          </w:tcPr>
          <w:p w14:paraId="232F2D9D"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63F5B12E" w14:textId="77777777" w:rsidR="00F144E3" w:rsidRPr="001A0D0B" w:rsidRDefault="00F144E3" w:rsidP="00CB27AE">
            <w:pPr>
              <w:rPr>
                <w:rFonts w:cs="Calibri"/>
                <w:sz w:val="18"/>
                <w:szCs w:val="18"/>
              </w:rPr>
            </w:pPr>
            <w:r w:rsidRPr="001A0D0B">
              <w:rPr>
                <w:rFonts w:cs="Calibri"/>
                <w:sz w:val="18"/>
                <w:szCs w:val="18"/>
              </w:rPr>
              <w:t>Safety</w:t>
            </w:r>
          </w:p>
          <w:p w14:paraId="639B270C" w14:textId="77777777" w:rsidR="00F144E3" w:rsidRPr="001A0D0B" w:rsidRDefault="00F144E3" w:rsidP="00CB27AE">
            <w:pPr>
              <w:rPr>
                <w:rFonts w:cs="Calibri"/>
                <w:sz w:val="18"/>
                <w:szCs w:val="18"/>
              </w:rPr>
            </w:pPr>
            <w:r w:rsidRPr="001A0D0B">
              <w:rPr>
                <w:rFonts w:cs="Calibri"/>
                <w:sz w:val="18"/>
                <w:szCs w:val="18"/>
              </w:rPr>
              <w:t>Non-SAEs</w:t>
            </w:r>
          </w:p>
          <w:p w14:paraId="5235E26E" w14:textId="77777777" w:rsidR="00F144E3" w:rsidRPr="001A0D0B" w:rsidRDefault="00F144E3" w:rsidP="00CB27AE">
            <w:pPr>
              <w:rPr>
                <w:rFonts w:cs="Calibri"/>
                <w:sz w:val="18"/>
                <w:szCs w:val="18"/>
              </w:rPr>
            </w:pPr>
            <w:r w:rsidRPr="001A0D0B">
              <w:rPr>
                <w:rFonts w:cs="Calibri"/>
                <w:sz w:val="18"/>
                <w:szCs w:val="18"/>
              </w:rPr>
              <w:t>Any reported long-term effects of smoking cessation pharmacotherapies on safety</w:t>
            </w:r>
          </w:p>
        </w:tc>
        <w:tc>
          <w:tcPr>
            <w:tcW w:w="1031" w:type="dxa"/>
            <w:noWrap/>
          </w:tcPr>
          <w:p w14:paraId="783C8573"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44D897C5" w14:textId="77777777" w:rsidR="00F144E3" w:rsidRPr="001A0D0B" w:rsidRDefault="00F144E3" w:rsidP="00CB27AE">
            <w:pPr>
              <w:jc w:val="center"/>
              <w:rPr>
                <w:rFonts w:cs="Calibri"/>
                <w:sz w:val="18"/>
                <w:szCs w:val="18"/>
              </w:rPr>
            </w:pPr>
            <w:r w:rsidRPr="001A0D0B">
              <w:rPr>
                <w:rFonts w:cs="Calibri"/>
                <w:sz w:val="18"/>
                <w:szCs w:val="18"/>
              </w:rPr>
              <w:t>11</w:t>
            </w:r>
          </w:p>
        </w:tc>
        <w:tc>
          <w:tcPr>
            <w:tcW w:w="1418" w:type="dxa"/>
            <w:noWrap/>
          </w:tcPr>
          <w:p w14:paraId="4443384F" w14:textId="77777777" w:rsidR="00F144E3" w:rsidRPr="001A0D0B" w:rsidRDefault="00F144E3" w:rsidP="00CB27AE">
            <w:pPr>
              <w:rPr>
                <w:rFonts w:cs="Calibri"/>
                <w:sz w:val="18"/>
                <w:szCs w:val="18"/>
              </w:rPr>
            </w:pPr>
            <w:r w:rsidRPr="001A0D0B">
              <w:rPr>
                <w:rFonts w:cs="Calibri"/>
                <w:sz w:val="18"/>
                <w:szCs w:val="18"/>
              </w:rPr>
              <w:t>2412</w:t>
            </w:r>
          </w:p>
        </w:tc>
      </w:tr>
      <w:tr w:rsidR="00F144E3" w:rsidRPr="001A0D0B" w14:paraId="66F33A4C" w14:textId="77777777" w:rsidTr="00B33FD4">
        <w:tc>
          <w:tcPr>
            <w:tcW w:w="421" w:type="dxa"/>
            <w:noWrap/>
          </w:tcPr>
          <w:p w14:paraId="58797977" w14:textId="77777777" w:rsidR="00F144E3" w:rsidRPr="001A0D0B" w:rsidRDefault="00F144E3" w:rsidP="00C324F3">
            <w:pPr>
              <w:numPr>
                <w:ilvl w:val="0"/>
                <w:numId w:val="6"/>
              </w:numPr>
              <w:rPr>
                <w:rFonts w:cs="Calibri"/>
                <w:sz w:val="18"/>
                <w:szCs w:val="18"/>
              </w:rPr>
            </w:pPr>
          </w:p>
        </w:tc>
        <w:tc>
          <w:tcPr>
            <w:tcW w:w="850" w:type="dxa"/>
            <w:noWrap/>
          </w:tcPr>
          <w:p w14:paraId="4735B348" w14:textId="77777777" w:rsidR="00F144E3" w:rsidRPr="001A0D0B" w:rsidRDefault="00F144E3" w:rsidP="00CB27AE">
            <w:pPr>
              <w:rPr>
                <w:rFonts w:cs="Calibri"/>
                <w:sz w:val="18"/>
                <w:szCs w:val="18"/>
              </w:rPr>
            </w:pPr>
            <w:r w:rsidRPr="001A0D0B">
              <w:rPr>
                <w:rFonts w:cs="Calibri"/>
                <w:sz w:val="18"/>
                <w:szCs w:val="18"/>
              </w:rPr>
              <w:t>Matkin 2019</w:t>
            </w:r>
          </w:p>
        </w:tc>
        <w:tc>
          <w:tcPr>
            <w:tcW w:w="1985" w:type="dxa"/>
            <w:noWrap/>
          </w:tcPr>
          <w:p w14:paraId="722B9DF4" w14:textId="77777777" w:rsidR="00F144E3" w:rsidRPr="001A0D0B" w:rsidRDefault="00F144E3" w:rsidP="00CB27AE">
            <w:pPr>
              <w:rPr>
                <w:rFonts w:cs="Calibri"/>
                <w:sz w:val="18"/>
                <w:szCs w:val="18"/>
              </w:rPr>
            </w:pPr>
            <w:r w:rsidRPr="001A0D0B">
              <w:rPr>
                <w:rFonts w:cs="Calibri"/>
                <w:sz w:val="18"/>
                <w:szCs w:val="18"/>
              </w:rPr>
              <w:t xml:space="preserve">Evaluate the effect of telephone support to help smokers quit, including proactive or reactive counselling, or the provision of other </w:t>
            </w:r>
            <w:r w:rsidRPr="001A0D0B">
              <w:rPr>
                <w:rFonts w:cs="Calibri"/>
                <w:sz w:val="18"/>
                <w:szCs w:val="18"/>
              </w:rPr>
              <w:lastRenderedPageBreak/>
              <w:t>information to smokers calling a helpline</w:t>
            </w:r>
          </w:p>
        </w:tc>
        <w:tc>
          <w:tcPr>
            <w:tcW w:w="1134" w:type="dxa"/>
            <w:noWrap/>
          </w:tcPr>
          <w:p w14:paraId="0E57A0D1" w14:textId="77777777" w:rsidR="00F144E3" w:rsidRPr="001A0D0B" w:rsidRDefault="00F144E3" w:rsidP="00CB27AE">
            <w:pPr>
              <w:rPr>
                <w:rFonts w:cs="Calibri"/>
                <w:sz w:val="18"/>
                <w:szCs w:val="18"/>
              </w:rPr>
            </w:pPr>
            <w:r w:rsidRPr="001A0D0B">
              <w:rPr>
                <w:rFonts w:cs="Calibri"/>
                <w:sz w:val="18"/>
                <w:szCs w:val="18"/>
              </w:rPr>
              <w:lastRenderedPageBreak/>
              <w:t>RCTs or quasi-RCTs</w:t>
            </w:r>
          </w:p>
          <w:p w14:paraId="52C1191D" w14:textId="77777777" w:rsidR="00F144E3" w:rsidRPr="001A0D0B" w:rsidRDefault="00F144E3" w:rsidP="00CB27AE">
            <w:pPr>
              <w:rPr>
                <w:rFonts w:cs="Calibri"/>
                <w:sz w:val="18"/>
                <w:szCs w:val="18"/>
              </w:rPr>
            </w:pPr>
            <w:r w:rsidRPr="001A0D0B">
              <w:rPr>
                <w:rFonts w:cs="Calibri"/>
                <w:sz w:val="18"/>
                <w:szCs w:val="18"/>
              </w:rPr>
              <w:t xml:space="preserve">Adult smokers from the </w:t>
            </w:r>
            <w:r w:rsidRPr="001A0D0B">
              <w:rPr>
                <w:rFonts w:cs="Calibri"/>
                <w:sz w:val="18"/>
                <w:szCs w:val="18"/>
              </w:rPr>
              <w:lastRenderedPageBreak/>
              <w:t>general population</w:t>
            </w:r>
          </w:p>
          <w:p w14:paraId="54ED474C" w14:textId="77777777" w:rsidR="00F144E3" w:rsidRPr="001A0D0B" w:rsidRDefault="00F144E3" w:rsidP="00CB27AE">
            <w:pPr>
              <w:rPr>
                <w:rFonts w:eastAsiaTheme="minorEastAsia" w:cs="Calibri"/>
                <w:sz w:val="18"/>
                <w:szCs w:val="18"/>
              </w:rPr>
            </w:pPr>
            <w:r w:rsidRPr="001A0D0B">
              <w:rPr>
                <w:rFonts w:cs="Calibri"/>
                <w:sz w:val="18"/>
                <w:szCs w:val="18"/>
              </w:rPr>
              <w:t>Individuals who were current smokers</w:t>
            </w:r>
          </w:p>
        </w:tc>
        <w:tc>
          <w:tcPr>
            <w:tcW w:w="1701" w:type="dxa"/>
            <w:noWrap/>
          </w:tcPr>
          <w:p w14:paraId="2DD51FAD" w14:textId="77777777" w:rsidR="00F144E3" w:rsidRPr="001A0D0B" w:rsidRDefault="00F144E3" w:rsidP="00CB27AE">
            <w:pPr>
              <w:rPr>
                <w:rFonts w:cs="Calibri"/>
                <w:sz w:val="18"/>
                <w:szCs w:val="18"/>
              </w:rPr>
            </w:pPr>
            <w:r w:rsidRPr="001A0D0B">
              <w:rPr>
                <w:rFonts w:cs="Calibri"/>
                <w:sz w:val="18"/>
                <w:szCs w:val="18"/>
              </w:rPr>
              <w:lastRenderedPageBreak/>
              <w:t xml:space="preserve">Behavioural interventions, pharmacotherapy </w:t>
            </w:r>
          </w:p>
        </w:tc>
        <w:tc>
          <w:tcPr>
            <w:tcW w:w="1134" w:type="dxa"/>
            <w:noWrap/>
          </w:tcPr>
          <w:p w14:paraId="642D0D5B" w14:textId="77777777" w:rsidR="00F144E3" w:rsidRPr="001A0D0B" w:rsidRDefault="00F144E3" w:rsidP="00CB27AE">
            <w:pPr>
              <w:rPr>
                <w:rFonts w:cs="Calibri"/>
                <w:sz w:val="18"/>
                <w:szCs w:val="18"/>
              </w:rPr>
            </w:pPr>
            <w:r w:rsidRPr="001A0D0B">
              <w:rPr>
                <w:rFonts w:cs="Calibri"/>
                <w:sz w:val="18"/>
                <w:szCs w:val="18"/>
              </w:rPr>
              <w:t>Long-term smoking cessation</w:t>
            </w:r>
          </w:p>
        </w:tc>
        <w:tc>
          <w:tcPr>
            <w:tcW w:w="1134" w:type="dxa"/>
            <w:noWrap/>
          </w:tcPr>
          <w:p w14:paraId="2F665046"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03225CB5"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584B45F9"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5AC84078" w14:textId="77777777" w:rsidR="00F144E3" w:rsidRPr="001A0D0B" w:rsidRDefault="00F144E3" w:rsidP="00CB27AE">
            <w:pPr>
              <w:jc w:val="center"/>
              <w:rPr>
                <w:rFonts w:cs="Calibri"/>
                <w:sz w:val="18"/>
                <w:szCs w:val="18"/>
              </w:rPr>
            </w:pPr>
            <w:r w:rsidRPr="001A0D0B">
              <w:rPr>
                <w:rFonts w:cs="Calibri"/>
                <w:sz w:val="18"/>
                <w:szCs w:val="18"/>
              </w:rPr>
              <w:t>104</w:t>
            </w:r>
          </w:p>
        </w:tc>
        <w:tc>
          <w:tcPr>
            <w:tcW w:w="1418" w:type="dxa"/>
            <w:noWrap/>
          </w:tcPr>
          <w:p w14:paraId="4F5E125C" w14:textId="77777777" w:rsidR="00F144E3" w:rsidRPr="001A0D0B" w:rsidRDefault="00F144E3" w:rsidP="00CB27AE">
            <w:pPr>
              <w:rPr>
                <w:rFonts w:cs="Calibri"/>
                <w:sz w:val="18"/>
                <w:szCs w:val="18"/>
              </w:rPr>
            </w:pPr>
            <w:r w:rsidRPr="001A0D0B">
              <w:rPr>
                <w:rFonts w:cs="Calibri"/>
                <w:sz w:val="18"/>
                <w:szCs w:val="18"/>
              </w:rPr>
              <w:t>111,653</w:t>
            </w:r>
          </w:p>
        </w:tc>
      </w:tr>
      <w:tr w:rsidR="00F144E3" w:rsidRPr="001A0D0B" w14:paraId="7FCEDFE7" w14:textId="77777777" w:rsidTr="00B33FD4">
        <w:tc>
          <w:tcPr>
            <w:tcW w:w="421" w:type="dxa"/>
            <w:noWrap/>
          </w:tcPr>
          <w:p w14:paraId="1C105E83" w14:textId="77777777" w:rsidR="00F144E3" w:rsidRPr="001A0D0B" w:rsidRDefault="00F144E3" w:rsidP="00C324F3">
            <w:pPr>
              <w:numPr>
                <w:ilvl w:val="0"/>
                <w:numId w:val="6"/>
              </w:numPr>
              <w:rPr>
                <w:rFonts w:cs="Calibri"/>
                <w:sz w:val="18"/>
                <w:szCs w:val="18"/>
              </w:rPr>
            </w:pPr>
          </w:p>
        </w:tc>
        <w:tc>
          <w:tcPr>
            <w:tcW w:w="850" w:type="dxa"/>
            <w:noWrap/>
          </w:tcPr>
          <w:p w14:paraId="3B068675" w14:textId="77777777" w:rsidR="00F144E3" w:rsidRPr="001A0D0B" w:rsidRDefault="00F144E3" w:rsidP="00CB27AE">
            <w:pPr>
              <w:rPr>
                <w:rFonts w:cs="Calibri"/>
                <w:sz w:val="18"/>
                <w:szCs w:val="18"/>
              </w:rPr>
            </w:pPr>
            <w:r w:rsidRPr="001A0D0B">
              <w:rPr>
                <w:rFonts w:cs="Calibri"/>
                <w:sz w:val="18"/>
                <w:szCs w:val="18"/>
              </w:rPr>
              <w:t>Livingstone-Banks 2019a</w:t>
            </w:r>
          </w:p>
        </w:tc>
        <w:tc>
          <w:tcPr>
            <w:tcW w:w="1985" w:type="dxa"/>
            <w:noWrap/>
          </w:tcPr>
          <w:p w14:paraId="0460F932" w14:textId="77777777" w:rsidR="00F144E3" w:rsidRPr="001A0D0B" w:rsidRDefault="00F144E3" w:rsidP="00CB27AE">
            <w:pPr>
              <w:rPr>
                <w:rFonts w:cs="Calibri"/>
                <w:sz w:val="18"/>
                <w:szCs w:val="18"/>
              </w:rPr>
            </w:pPr>
            <w:r w:rsidRPr="001A0D0B">
              <w:rPr>
                <w:rFonts w:cs="Calibri"/>
                <w:sz w:val="18"/>
                <w:szCs w:val="18"/>
              </w:rPr>
              <w:t>To assess whether specific interventions for relapse prevention reduce the proportion of recent quitters who return to smoking</w:t>
            </w:r>
          </w:p>
        </w:tc>
        <w:tc>
          <w:tcPr>
            <w:tcW w:w="1134" w:type="dxa"/>
            <w:noWrap/>
          </w:tcPr>
          <w:p w14:paraId="1744999B" w14:textId="77777777" w:rsidR="00F144E3" w:rsidRPr="001A0D0B" w:rsidRDefault="00F144E3" w:rsidP="00CB27AE">
            <w:pPr>
              <w:rPr>
                <w:rFonts w:cs="Calibri"/>
                <w:sz w:val="18"/>
                <w:szCs w:val="18"/>
              </w:rPr>
            </w:pPr>
            <w:r w:rsidRPr="001A0D0B">
              <w:rPr>
                <w:rFonts w:cs="Calibri"/>
                <w:sz w:val="18"/>
                <w:szCs w:val="18"/>
              </w:rPr>
              <w:t>RCTs or quasi-RCTs</w:t>
            </w:r>
          </w:p>
          <w:p w14:paraId="3DC589C1" w14:textId="77777777" w:rsidR="00F144E3" w:rsidRPr="001A0D0B" w:rsidRDefault="00F144E3" w:rsidP="00CB27AE">
            <w:pPr>
              <w:rPr>
                <w:rFonts w:cs="Calibri"/>
                <w:sz w:val="18"/>
                <w:szCs w:val="18"/>
              </w:rPr>
            </w:pPr>
            <w:r w:rsidRPr="001A0D0B">
              <w:rPr>
                <w:rFonts w:cs="Calibri"/>
                <w:sz w:val="18"/>
                <w:szCs w:val="18"/>
              </w:rPr>
              <w:t>People who had quit smoking on their own</w:t>
            </w:r>
          </w:p>
          <w:p w14:paraId="5E427EAA" w14:textId="77777777" w:rsidR="00F144E3" w:rsidRPr="001A0D0B" w:rsidRDefault="00F144E3" w:rsidP="00CB27AE">
            <w:pPr>
              <w:rPr>
                <w:rFonts w:cs="Calibri"/>
                <w:sz w:val="18"/>
                <w:szCs w:val="18"/>
              </w:rPr>
            </w:pPr>
            <w:r w:rsidRPr="001A0D0B">
              <w:rPr>
                <w:rFonts w:cs="Calibri"/>
                <w:sz w:val="18"/>
                <w:szCs w:val="18"/>
              </w:rPr>
              <w:t>People who were undergoing enforced abstinence</w:t>
            </w:r>
          </w:p>
          <w:p w14:paraId="38021986" w14:textId="60AAF9EA" w:rsidR="00F144E3" w:rsidRPr="001A0D0B" w:rsidRDefault="00F144E3" w:rsidP="00CB27AE">
            <w:pPr>
              <w:rPr>
                <w:rFonts w:cs="Calibri"/>
                <w:sz w:val="18"/>
                <w:szCs w:val="18"/>
              </w:rPr>
            </w:pPr>
            <w:r w:rsidRPr="001A0D0B">
              <w:rPr>
                <w:rFonts w:cs="Calibri"/>
                <w:sz w:val="18"/>
                <w:szCs w:val="18"/>
              </w:rPr>
              <w:t>Smokers participating in treatment programs to assist initial cessation</w:t>
            </w:r>
          </w:p>
        </w:tc>
        <w:tc>
          <w:tcPr>
            <w:tcW w:w="1701" w:type="dxa"/>
            <w:noWrap/>
          </w:tcPr>
          <w:p w14:paraId="4399F462" w14:textId="072E7596" w:rsidR="00F144E3" w:rsidRPr="001A0D0B" w:rsidRDefault="00F144E3" w:rsidP="00CB27AE">
            <w:pPr>
              <w:rPr>
                <w:rFonts w:cs="Calibri"/>
                <w:sz w:val="18"/>
                <w:szCs w:val="18"/>
              </w:rPr>
            </w:pPr>
            <w:r w:rsidRPr="001A0D0B">
              <w:rPr>
                <w:rFonts w:cs="Calibri"/>
                <w:sz w:val="18"/>
                <w:szCs w:val="18"/>
              </w:rPr>
              <w:t xml:space="preserve">Extended use of smoking cessation medications, behavioural support/no intervention, shorter </w:t>
            </w:r>
            <w:r w:rsidR="004664D2" w:rsidRPr="001A0D0B">
              <w:rPr>
                <w:rFonts w:cs="Calibri"/>
                <w:sz w:val="18"/>
                <w:szCs w:val="18"/>
              </w:rPr>
              <w:t>intervention,</w:t>
            </w:r>
            <w:r w:rsidRPr="001A0D0B">
              <w:rPr>
                <w:rFonts w:cs="Calibri"/>
                <w:sz w:val="18"/>
                <w:szCs w:val="18"/>
              </w:rPr>
              <w:t xml:space="preserve"> or an intervention not oriented towards relapse prevention</w:t>
            </w:r>
          </w:p>
        </w:tc>
        <w:tc>
          <w:tcPr>
            <w:tcW w:w="1134" w:type="dxa"/>
            <w:noWrap/>
          </w:tcPr>
          <w:p w14:paraId="0441311E" w14:textId="77777777" w:rsidR="00F144E3" w:rsidRPr="001A0D0B" w:rsidRDefault="00F144E3" w:rsidP="00CB27AE">
            <w:pPr>
              <w:rPr>
                <w:rFonts w:cs="Calibri"/>
                <w:sz w:val="18"/>
                <w:szCs w:val="18"/>
              </w:rPr>
            </w:pPr>
            <w:r w:rsidRPr="001A0D0B">
              <w:rPr>
                <w:rFonts w:cs="Calibri"/>
                <w:sz w:val="18"/>
                <w:szCs w:val="18"/>
              </w:rPr>
              <w:t xml:space="preserve">Prolonged or multiple point prevalence abstinence </w:t>
            </w:r>
          </w:p>
          <w:p w14:paraId="5405F362" w14:textId="77777777" w:rsidR="00F144E3" w:rsidRPr="001A0D0B" w:rsidRDefault="00F144E3" w:rsidP="00CB27AE">
            <w:pPr>
              <w:rPr>
                <w:rFonts w:cs="Calibri"/>
                <w:sz w:val="18"/>
                <w:szCs w:val="18"/>
              </w:rPr>
            </w:pPr>
            <w:r w:rsidRPr="001A0D0B">
              <w:rPr>
                <w:rFonts w:cs="Calibri"/>
                <w:sz w:val="18"/>
                <w:szCs w:val="18"/>
              </w:rPr>
              <w:t xml:space="preserve">Reported only point prevalence abstinence </w:t>
            </w:r>
          </w:p>
        </w:tc>
        <w:tc>
          <w:tcPr>
            <w:tcW w:w="1134" w:type="dxa"/>
            <w:noWrap/>
          </w:tcPr>
          <w:p w14:paraId="0356EC3E"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38B1C0BE"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163C1809"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1A72D109" w14:textId="77777777" w:rsidR="00F144E3" w:rsidRPr="001A0D0B" w:rsidRDefault="00F144E3" w:rsidP="00CB27AE">
            <w:pPr>
              <w:jc w:val="center"/>
              <w:rPr>
                <w:rFonts w:cs="Calibri"/>
                <w:sz w:val="18"/>
                <w:szCs w:val="18"/>
              </w:rPr>
            </w:pPr>
            <w:r w:rsidRPr="001A0D0B">
              <w:rPr>
                <w:rFonts w:cs="Calibri"/>
                <w:sz w:val="18"/>
                <w:szCs w:val="18"/>
              </w:rPr>
              <w:t>81</w:t>
            </w:r>
          </w:p>
        </w:tc>
        <w:tc>
          <w:tcPr>
            <w:tcW w:w="1418" w:type="dxa"/>
            <w:noWrap/>
          </w:tcPr>
          <w:p w14:paraId="41CA0FD9" w14:textId="77777777" w:rsidR="00F144E3" w:rsidRPr="001A0D0B" w:rsidRDefault="00F144E3" w:rsidP="00CB27AE">
            <w:pPr>
              <w:rPr>
                <w:rFonts w:cs="Calibri"/>
                <w:sz w:val="18"/>
                <w:szCs w:val="18"/>
              </w:rPr>
            </w:pPr>
            <w:r w:rsidRPr="001A0D0B">
              <w:rPr>
                <w:rFonts w:cs="Calibri"/>
                <w:sz w:val="18"/>
                <w:szCs w:val="18"/>
              </w:rPr>
              <w:t>69,094</w:t>
            </w:r>
          </w:p>
        </w:tc>
      </w:tr>
      <w:tr w:rsidR="00F144E3" w:rsidRPr="001A0D0B" w14:paraId="12C06079" w14:textId="77777777" w:rsidTr="00B33FD4">
        <w:tc>
          <w:tcPr>
            <w:tcW w:w="421" w:type="dxa"/>
            <w:noWrap/>
          </w:tcPr>
          <w:p w14:paraId="3E70AC96" w14:textId="77777777" w:rsidR="00F144E3" w:rsidRPr="001A0D0B" w:rsidRDefault="00F144E3" w:rsidP="00C324F3">
            <w:pPr>
              <w:numPr>
                <w:ilvl w:val="0"/>
                <w:numId w:val="6"/>
              </w:numPr>
              <w:rPr>
                <w:rFonts w:cs="Calibri"/>
                <w:sz w:val="18"/>
                <w:szCs w:val="18"/>
              </w:rPr>
            </w:pPr>
          </w:p>
        </w:tc>
        <w:tc>
          <w:tcPr>
            <w:tcW w:w="850" w:type="dxa"/>
            <w:noWrap/>
          </w:tcPr>
          <w:p w14:paraId="0399C027" w14:textId="77777777" w:rsidR="00F144E3" w:rsidRPr="001A0D0B" w:rsidRDefault="00F144E3" w:rsidP="00CB27AE">
            <w:pPr>
              <w:rPr>
                <w:rFonts w:cs="Calibri"/>
                <w:sz w:val="18"/>
                <w:szCs w:val="18"/>
              </w:rPr>
            </w:pPr>
            <w:r w:rsidRPr="001A0D0B">
              <w:rPr>
                <w:rFonts w:cs="Calibri"/>
                <w:sz w:val="18"/>
                <w:szCs w:val="18"/>
              </w:rPr>
              <w:t>Livingstone-Banks 2019b</w:t>
            </w:r>
          </w:p>
        </w:tc>
        <w:tc>
          <w:tcPr>
            <w:tcW w:w="1985" w:type="dxa"/>
            <w:noWrap/>
          </w:tcPr>
          <w:p w14:paraId="3C6D3A7C" w14:textId="00976BAC" w:rsidR="00F144E3" w:rsidRPr="001A0D0B" w:rsidRDefault="00F144E3" w:rsidP="00CB27AE">
            <w:pPr>
              <w:rPr>
                <w:rFonts w:cs="Calibri"/>
                <w:sz w:val="18"/>
                <w:szCs w:val="18"/>
              </w:rPr>
            </w:pPr>
            <w:r w:rsidRPr="001A0D0B">
              <w:rPr>
                <w:rFonts w:cs="Calibri"/>
                <w:sz w:val="18"/>
                <w:szCs w:val="18"/>
              </w:rPr>
              <w:t xml:space="preserve">The aims of this review were to determine the effectiveness of different forms of print-based self-help materials that provide a structured program for smokers to follow, compared with no treatment and with other minimal contact strategies, and to determine the </w:t>
            </w:r>
            <w:r w:rsidRPr="001A0D0B">
              <w:rPr>
                <w:rFonts w:cs="Calibri"/>
                <w:sz w:val="18"/>
                <w:szCs w:val="18"/>
              </w:rPr>
              <w:lastRenderedPageBreak/>
              <w:t>comparative effectiveness of different components and characteristics of print-based self-help, such as computer-generated feedback, additional materials, tailoring of materials to individuals, and targeting of materials at specific groups</w:t>
            </w:r>
          </w:p>
        </w:tc>
        <w:tc>
          <w:tcPr>
            <w:tcW w:w="1134" w:type="dxa"/>
            <w:noWrap/>
          </w:tcPr>
          <w:p w14:paraId="4569883B" w14:textId="77777777" w:rsidR="00F144E3" w:rsidRPr="001A0D0B" w:rsidRDefault="00F144E3" w:rsidP="00CB27AE">
            <w:pPr>
              <w:rPr>
                <w:rFonts w:cs="Calibri"/>
                <w:sz w:val="18"/>
                <w:szCs w:val="18"/>
              </w:rPr>
            </w:pPr>
            <w:r w:rsidRPr="001A0D0B">
              <w:rPr>
                <w:rFonts w:cs="Calibri"/>
                <w:sz w:val="18"/>
                <w:szCs w:val="18"/>
              </w:rPr>
              <w:lastRenderedPageBreak/>
              <w:t>RCTs</w:t>
            </w:r>
          </w:p>
          <w:p w14:paraId="7C9C0976" w14:textId="77777777" w:rsidR="00F144E3" w:rsidRPr="001A0D0B" w:rsidRDefault="00F144E3" w:rsidP="00CB27AE">
            <w:pPr>
              <w:rPr>
                <w:rFonts w:cs="Calibri"/>
                <w:sz w:val="18"/>
                <w:szCs w:val="18"/>
              </w:rPr>
            </w:pPr>
            <w:r w:rsidRPr="001A0D0B">
              <w:rPr>
                <w:rFonts w:cs="Calibri"/>
                <w:sz w:val="18"/>
                <w:szCs w:val="18"/>
              </w:rPr>
              <w:t>Any smoker</w:t>
            </w:r>
          </w:p>
        </w:tc>
        <w:tc>
          <w:tcPr>
            <w:tcW w:w="1701" w:type="dxa"/>
            <w:noWrap/>
          </w:tcPr>
          <w:p w14:paraId="0923DF65" w14:textId="77777777" w:rsidR="00F144E3" w:rsidRPr="001A0D0B" w:rsidRDefault="00F144E3" w:rsidP="00CB27AE">
            <w:pPr>
              <w:rPr>
                <w:rFonts w:cs="Calibri"/>
                <w:sz w:val="18"/>
                <w:szCs w:val="18"/>
              </w:rPr>
            </w:pPr>
            <w:r w:rsidRPr="001A0D0B">
              <w:rPr>
                <w:rFonts w:cs="Calibri"/>
                <w:sz w:val="18"/>
                <w:szCs w:val="18"/>
              </w:rPr>
              <w:t>Print-based self-help materials/no treatment and with other minimal contact strategies</w:t>
            </w:r>
          </w:p>
        </w:tc>
        <w:tc>
          <w:tcPr>
            <w:tcW w:w="1134" w:type="dxa"/>
            <w:noWrap/>
          </w:tcPr>
          <w:p w14:paraId="403DCBFB" w14:textId="77777777" w:rsidR="00F144E3" w:rsidRPr="001A0D0B" w:rsidRDefault="00F144E3" w:rsidP="00CB27AE">
            <w:pPr>
              <w:rPr>
                <w:rFonts w:cs="Calibri"/>
                <w:sz w:val="18"/>
                <w:szCs w:val="18"/>
              </w:rPr>
            </w:pPr>
            <w:r w:rsidRPr="001A0D0B">
              <w:rPr>
                <w:rFonts w:cs="Calibri"/>
                <w:sz w:val="18"/>
                <w:szCs w:val="18"/>
              </w:rPr>
              <w:t>Sustained abstinence, or point prevalence</w:t>
            </w:r>
          </w:p>
          <w:p w14:paraId="1DC72F0F" w14:textId="77777777" w:rsidR="00F144E3" w:rsidRPr="001A0D0B" w:rsidRDefault="00F144E3" w:rsidP="00CB27AE">
            <w:pPr>
              <w:rPr>
                <w:rFonts w:cs="Calibri"/>
                <w:sz w:val="18"/>
                <w:szCs w:val="18"/>
              </w:rPr>
            </w:pPr>
            <w:r w:rsidRPr="001A0D0B">
              <w:rPr>
                <w:rFonts w:cs="Calibri"/>
                <w:sz w:val="18"/>
                <w:szCs w:val="18"/>
              </w:rPr>
              <w:t>Self‐report of cessation alone or biochemically validated cessation</w:t>
            </w:r>
          </w:p>
        </w:tc>
        <w:tc>
          <w:tcPr>
            <w:tcW w:w="1134" w:type="dxa"/>
            <w:noWrap/>
          </w:tcPr>
          <w:p w14:paraId="7D6501E0"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2705EDC1"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297ED6DD"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02059649" w14:textId="77777777" w:rsidR="00F144E3" w:rsidRPr="001A0D0B" w:rsidRDefault="00F144E3" w:rsidP="00CB27AE">
            <w:pPr>
              <w:jc w:val="center"/>
              <w:rPr>
                <w:rFonts w:cs="Calibri"/>
                <w:sz w:val="18"/>
                <w:szCs w:val="18"/>
              </w:rPr>
            </w:pPr>
            <w:r w:rsidRPr="001A0D0B">
              <w:rPr>
                <w:rFonts w:cs="Calibri"/>
                <w:sz w:val="18"/>
                <w:szCs w:val="18"/>
              </w:rPr>
              <w:t>75</w:t>
            </w:r>
          </w:p>
        </w:tc>
        <w:tc>
          <w:tcPr>
            <w:tcW w:w="1418" w:type="dxa"/>
            <w:noWrap/>
          </w:tcPr>
          <w:p w14:paraId="2B631243" w14:textId="77777777" w:rsidR="00F144E3" w:rsidRPr="001A0D0B" w:rsidRDefault="00F144E3" w:rsidP="00CB27AE">
            <w:pPr>
              <w:rPr>
                <w:rFonts w:cs="Calibri"/>
                <w:sz w:val="18"/>
                <w:szCs w:val="18"/>
              </w:rPr>
            </w:pPr>
            <w:r w:rsidRPr="001A0D0B">
              <w:rPr>
                <w:rFonts w:cs="Calibri"/>
                <w:sz w:val="18"/>
                <w:szCs w:val="18"/>
              </w:rPr>
              <w:t>Not mentioned</w:t>
            </w:r>
          </w:p>
        </w:tc>
      </w:tr>
      <w:tr w:rsidR="00F144E3" w:rsidRPr="001A0D0B" w14:paraId="092D5C30" w14:textId="77777777" w:rsidTr="00B33FD4">
        <w:tc>
          <w:tcPr>
            <w:tcW w:w="421" w:type="dxa"/>
            <w:noWrap/>
          </w:tcPr>
          <w:p w14:paraId="7941BB0D" w14:textId="77777777" w:rsidR="00F144E3" w:rsidRPr="001A0D0B" w:rsidRDefault="00F144E3" w:rsidP="00C324F3">
            <w:pPr>
              <w:numPr>
                <w:ilvl w:val="0"/>
                <w:numId w:val="6"/>
              </w:numPr>
              <w:rPr>
                <w:rFonts w:cs="Calibri"/>
                <w:sz w:val="18"/>
                <w:szCs w:val="18"/>
              </w:rPr>
            </w:pPr>
          </w:p>
        </w:tc>
        <w:tc>
          <w:tcPr>
            <w:tcW w:w="850" w:type="dxa"/>
            <w:noWrap/>
          </w:tcPr>
          <w:p w14:paraId="69B1CB4B" w14:textId="77777777" w:rsidR="00F144E3" w:rsidRPr="001A0D0B" w:rsidRDefault="00F144E3" w:rsidP="00CB27AE">
            <w:pPr>
              <w:rPr>
                <w:rFonts w:cs="Calibri"/>
                <w:sz w:val="18"/>
                <w:szCs w:val="18"/>
              </w:rPr>
            </w:pPr>
            <w:r w:rsidRPr="001A0D0B">
              <w:rPr>
                <w:rFonts w:cs="Calibri"/>
                <w:sz w:val="18"/>
                <w:szCs w:val="18"/>
              </w:rPr>
              <w:t>Lindson 2019a</w:t>
            </w:r>
          </w:p>
        </w:tc>
        <w:tc>
          <w:tcPr>
            <w:tcW w:w="1985" w:type="dxa"/>
            <w:noWrap/>
          </w:tcPr>
          <w:p w14:paraId="64D0F9E6" w14:textId="17A400EA" w:rsidR="00F144E3" w:rsidRPr="001A0D0B" w:rsidRDefault="00F144E3" w:rsidP="00CB27AE">
            <w:pPr>
              <w:rPr>
                <w:rFonts w:cs="Calibri"/>
                <w:sz w:val="18"/>
                <w:szCs w:val="18"/>
              </w:rPr>
            </w:pPr>
            <w:r w:rsidRPr="001A0D0B">
              <w:rPr>
                <w:rFonts w:cs="Calibri"/>
                <w:sz w:val="18"/>
                <w:szCs w:val="18"/>
              </w:rPr>
              <w:t xml:space="preserve">To determine the effectiveness and safety of different forms, deliveries, doses, </w:t>
            </w:r>
            <w:r w:rsidR="004664D2" w:rsidRPr="001A0D0B">
              <w:rPr>
                <w:rFonts w:cs="Calibri"/>
                <w:sz w:val="18"/>
                <w:szCs w:val="18"/>
              </w:rPr>
              <w:t>durations,</w:t>
            </w:r>
            <w:r w:rsidRPr="001A0D0B">
              <w:rPr>
                <w:rFonts w:cs="Calibri"/>
                <w:sz w:val="18"/>
                <w:szCs w:val="18"/>
              </w:rPr>
              <w:t xml:space="preserve"> and schedules of NRT, for achieving long-term smoking cessation, compared to one another</w:t>
            </w:r>
          </w:p>
        </w:tc>
        <w:tc>
          <w:tcPr>
            <w:tcW w:w="1134" w:type="dxa"/>
            <w:noWrap/>
          </w:tcPr>
          <w:p w14:paraId="400FDDD9" w14:textId="77777777" w:rsidR="00F144E3" w:rsidRPr="001A0D0B" w:rsidRDefault="00F144E3" w:rsidP="00CB27AE">
            <w:pPr>
              <w:rPr>
                <w:rFonts w:cs="Calibri"/>
                <w:sz w:val="18"/>
                <w:szCs w:val="18"/>
              </w:rPr>
            </w:pPr>
            <w:r w:rsidRPr="001A0D0B">
              <w:rPr>
                <w:rFonts w:cs="Calibri"/>
                <w:sz w:val="18"/>
                <w:szCs w:val="18"/>
              </w:rPr>
              <w:t>RCTs</w:t>
            </w:r>
          </w:p>
          <w:p w14:paraId="3BBE99E3" w14:textId="77777777" w:rsidR="00F144E3" w:rsidRPr="001A0D0B" w:rsidRDefault="00F144E3" w:rsidP="00CB27AE">
            <w:pPr>
              <w:rPr>
                <w:rFonts w:cs="Calibri"/>
                <w:sz w:val="18"/>
                <w:szCs w:val="18"/>
              </w:rPr>
            </w:pPr>
            <w:r w:rsidRPr="001A0D0B">
              <w:rPr>
                <w:rFonts w:cs="Calibri"/>
                <w:sz w:val="18"/>
                <w:szCs w:val="18"/>
              </w:rPr>
              <w:t>People of any age who smoked and were motivated to quit</w:t>
            </w:r>
          </w:p>
        </w:tc>
        <w:tc>
          <w:tcPr>
            <w:tcW w:w="1701" w:type="dxa"/>
            <w:noWrap/>
          </w:tcPr>
          <w:p w14:paraId="1A225AF4" w14:textId="77777777" w:rsidR="00F144E3" w:rsidRPr="001A0D0B" w:rsidRDefault="00F144E3" w:rsidP="00CB27AE">
            <w:pPr>
              <w:rPr>
                <w:rFonts w:cs="Calibri"/>
                <w:sz w:val="18"/>
                <w:szCs w:val="18"/>
              </w:rPr>
            </w:pPr>
            <w:r w:rsidRPr="001A0D0B">
              <w:rPr>
                <w:rFonts w:cs="Calibri"/>
                <w:sz w:val="18"/>
                <w:szCs w:val="18"/>
              </w:rPr>
              <w:t>Any form, dose, duration, schedule of NRT use/any other form(s), dose(s), duration(s), schedule(s) of NRT use</w:t>
            </w:r>
          </w:p>
        </w:tc>
        <w:tc>
          <w:tcPr>
            <w:tcW w:w="1134" w:type="dxa"/>
            <w:noWrap/>
          </w:tcPr>
          <w:p w14:paraId="3308130A" w14:textId="77777777" w:rsidR="00F144E3" w:rsidRPr="001A0D0B" w:rsidRDefault="00F144E3" w:rsidP="00CB27AE">
            <w:pPr>
              <w:rPr>
                <w:rFonts w:cs="Calibri"/>
                <w:sz w:val="18"/>
                <w:szCs w:val="18"/>
              </w:rPr>
            </w:pPr>
            <w:r w:rsidRPr="001A0D0B">
              <w:rPr>
                <w:rFonts w:cs="Calibri"/>
                <w:sz w:val="18"/>
                <w:szCs w:val="18"/>
              </w:rPr>
              <w:t>Smoking cessation</w:t>
            </w:r>
          </w:p>
          <w:p w14:paraId="57CF3CA6" w14:textId="77777777" w:rsidR="00F144E3" w:rsidRPr="001A0D0B" w:rsidRDefault="00F144E3" w:rsidP="00CB27AE">
            <w:pPr>
              <w:rPr>
                <w:rFonts w:cs="Calibri"/>
                <w:sz w:val="18"/>
                <w:szCs w:val="18"/>
              </w:rPr>
            </w:pPr>
            <w:r w:rsidRPr="001A0D0B">
              <w:rPr>
                <w:rFonts w:cs="Calibri"/>
                <w:sz w:val="18"/>
                <w:szCs w:val="18"/>
              </w:rPr>
              <w:t>AEs and SAEs).</w:t>
            </w:r>
          </w:p>
        </w:tc>
        <w:tc>
          <w:tcPr>
            <w:tcW w:w="1134" w:type="dxa"/>
            <w:noWrap/>
          </w:tcPr>
          <w:p w14:paraId="44569A39" w14:textId="5A264708" w:rsidR="00F144E3" w:rsidRPr="001A0D0B" w:rsidRDefault="00F144E3" w:rsidP="00CB27AE">
            <w:pPr>
              <w:rPr>
                <w:rFonts w:cs="Calibri"/>
                <w:sz w:val="18"/>
                <w:szCs w:val="18"/>
              </w:rPr>
            </w:pPr>
            <w:r w:rsidRPr="001A0D0B">
              <w:rPr>
                <w:rFonts w:cs="Calibri"/>
                <w:sz w:val="18"/>
                <w:szCs w:val="18"/>
              </w:rPr>
              <w:t>N/A</w:t>
            </w:r>
            <w:r w:rsidR="00621F25" w:rsidRPr="001A0D0B">
              <w:rPr>
                <w:rFonts w:cs="Calibri"/>
                <w:sz w:val="18"/>
                <w:szCs w:val="18"/>
              </w:rPr>
              <w:t xml:space="preserve"> </w:t>
            </w:r>
          </w:p>
        </w:tc>
        <w:tc>
          <w:tcPr>
            <w:tcW w:w="1520" w:type="dxa"/>
            <w:noWrap/>
          </w:tcPr>
          <w:p w14:paraId="49676874"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1F1F0BA0"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050DB8AB" w14:textId="77777777" w:rsidR="00F144E3" w:rsidRPr="001A0D0B" w:rsidRDefault="00F144E3" w:rsidP="00CB27AE">
            <w:pPr>
              <w:jc w:val="center"/>
              <w:rPr>
                <w:rFonts w:cs="Calibri"/>
                <w:sz w:val="18"/>
                <w:szCs w:val="18"/>
              </w:rPr>
            </w:pPr>
            <w:r w:rsidRPr="001A0D0B">
              <w:rPr>
                <w:rFonts w:cs="Calibri"/>
                <w:sz w:val="18"/>
                <w:szCs w:val="18"/>
              </w:rPr>
              <w:t>63</w:t>
            </w:r>
          </w:p>
        </w:tc>
        <w:tc>
          <w:tcPr>
            <w:tcW w:w="1418" w:type="dxa"/>
            <w:noWrap/>
          </w:tcPr>
          <w:p w14:paraId="7A722CCB" w14:textId="77777777" w:rsidR="00F144E3" w:rsidRPr="001A0D0B" w:rsidRDefault="00F144E3" w:rsidP="00CB27AE">
            <w:pPr>
              <w:rPr>
                <w:rFonts w:cs="Calibri"/>
                <w:sz w:val="18"/>
                <w:szCs w:val="18"/>
              </w:rPr>
            </w:pPr>
            <w:r w:rsidRPr="001A0D0B">
              <w:rPr>
                <w:rFonts w:cs="Calibri"/>
                <w:sz w:val="18"/>
                <w:szCs w:val="18"/>
              </w:rPr>
              <w:t>41,509</w:t>
            </w:r>
          </w:p>
        </w:tc>
      </w:tr>
      <w:tr w:rsidR="00F144E3" w:rsidRPr="001A0D0B" w14:paraId="2ADF8A14" w14:textId="77777777" w:rsidTr="00B33FD4">
        <w:tc>
          <w:tcPr>
            <w:tcW w:w="421" w:type="dxa"/>
            <w:noWrap/>
          </w:tcPr>
          <w:p w14:paraId="66B77600" w14:textId="77777777" w:rsidR="00F144E3" w:rsidRPr="001A0D0B" w:rsidRDefault="00F144E3" w:rsidP="00C324F3">
            <w:pPr>
              <w:numPr>
                <w:ilvl w:val="0"/>
                <w:numId w:val="6"/>
              </w:numPr>
              <w:rPr>
                <w:rFonts w:cs="Calibri"/>
                <w:sz w:val="18"/>
                <w:szCs w:val="18"/>
              </w:rPr>
            </w:pPr>
          </w:p>
        </w:tc>
        <w:tc>
          <w:tcPr>
            <w:tcW w:w="850" w:type="dxa"/>
            <w:noWrap/>
          </w:tcPr>
          <w:p w14:paraId="2736BA04" w14:textId="00FD0111" w:rsidR="00F144E3" w:rsidRPr="001A0D0B" w:rsidRDefault="00F144E3" w:rsidP="00CB27AE">
            <w:pPr>
              <w:rPr>
                <w:rFonts w:cs="Calibri"/>
                <w:sz w:val="18"/>
                <w:szCs w:val="18"/>
              </w:rPr>
            </w:pPr>
            <w:r w:rsidRPr="001A0D0B">
              <w:rPr>
                <w:rFonts w:cs="Calibri"/>
                <w:sz w:val="18"/>
                <w:szCs w:val="18"/>
              </w:rPr>
              <w:t>Lindson 2019</w:t>
            </w:r>
            <w:r w:rsidR="00954253" w:rsidRPr="001A0D0B">
              <w:rPr>
                <w:rFonts w:cs="Calibri"/>
                <w:sz w:val="18"/>
                <w:szCs w:val="18"/>
              </w:rPr>
              <w:t>b</w:t>
            </w:r>
          </w:p>
        </w:tc>
        <w:tc>
          <w:tcPr>
            <w:tcW w:w="1985" w:type="dxa"/>
            <w:noWrap/>
          </w:tcPr>
          <w:p w14:paraId="798AE106" w14:textId="77777777" w:rsidR="00F144E3" w:rsidRPr="001A0D0B" w:rsidRDefault="00F144E3" w:rsidP="00CB27AE">
            <w:pPr>
              <w:rPr>
                <w:rFonts w:cs="Calibri"/>
                <w:sz w:val="18"/>
                <w:szCs w:val="18"/>
              </w:rPr>
            </w:pPr>
            <w:r w:rsidRPr="001A0D0B">
              <w:rPr>
                <w:rFonts w:cs="Calibri"/>
                <w:sz w:val="18"/>
                <w:szCs w:val="18"/>
              </w:rPr>
              <w:t>To assess the effect of reduction-to-quit interventions on long-term smoking cessation</w:t>
            </w:r>
          </w:p>
        </w:tc>
        <w:tc>
          <w:tcPr>
            <w:tcW w:w="1134" w:type="dxa"/>
            <w:noWrap/>
          </w:tcPr>
          <w:p w14:paraId="5FE79E83" w14:textId="04D1AD07" w:rsidR="00F144E3" w:rsidRPr="001A0D0B" w:rsidRDefault="00F144E3" w:rsidP="00CB27AE">
            <w:pPr>
              <w:rPr>
                <w:rFonts w:eastAsiaTheme="minorEastAsia" w:cs="Calibri"/>
                <w:sz w:val="18"/>
                <w:szCs w:val="18"/>
              </w:rPr>
            </w:pPr>
            <w:r w:rsidRPr="001A0D0B">
              <w:rPr>
                <w:rFonts w:cs="Calibri"/>
                <w:sz w:val="18"/>
                <w:szCs w:val="18"/>
              </w:rPr>
              <w:t>RCT</w:t>
            </w:r>
            <w:r w:rsidR="00D43CA9" w:rsidRPr="001A0D0B">
              <w:rPr>
                <w:rFonts w:cs="Calibri"/>
                <w:sz w:val="18"/>
                <w:szCs w:val="18"/>
              </w:rPr>
              <w:t>s</w:t>
            </w:r>
          </w:p>
          <w:p w14:paraId="53B8E0D4" w14:textId="77777777" w:rsidR="00F144E3" w:rsidRPr="001A0D0B" w:rsidRDefault="00F144E3" w:rsidP="00CB27AE">
            <w:pPr>
              <w:rPr>
                <w:rFonts w:cs="Calibri"/>
                <w:sz w:val="18"/>
                <w:szCs w:val="18"/>
              </w:rPr>
            </w:pPr>
            <w:r w:rsidRPr="001A0D0B">
              <w:rPr>
                <w:rFonts w:cs="Calibri"/>
                <w:sz w:val="18"/>
                <w:szCs w:val="18"/>
              </w:rPr>
              <w:t xml:space="preserve">Cigarette smokers of any age </w:t>
            </w:r>
          </w:p>
        </w:tc>
        <w:tc>
          <w:tcPr>
            <w:tcW w:w="1701" w:type="dxa"/>
            <w:noWrap/>
          </w:tcPr>
          <w:p w14:paraId="76960BAA" w14:textId="0175CBA4" w:rsidR="00F144E3" w:rsidRPr="001A0D0B" w:rsidRDefault="00F144E3" w:rsidP="00CB27AE">
            <w:pPr>
              <w:rPr>
                <w:rFonts w:cs="Calibri"/>
                <w:sz w:val="18"/>
                <w:szCs w:val="18"/>
              </w:rPr>
            </w:pPr>
            <w:r w:rsidRPr="001A0D0B">
              <w:rPr>
                <w:rFonts w:cs="Calibri"/>
                <w:sz w:val="18"/>
                <w:szCs w:val="18"/>
              </w:rPr>
              <w:t xml:space="preserve">NRT, VAR, and behavioural interventions/no smoking cessation, </w:t>
            </w:r>
            <w:r w:rsidR="004664D2" w:rsidRPr="001A0D0B">
              <w:rPr>
                <w:rFonts w:cs="Calibri"/>
                <w:sz w:val="18"/>
                <w:szCs w:val="18"/>
              </w:rPr>
              <w:t>treatment,</w:t>
            </w:r>
            <w:r w:rsidRPr="001A0D0B">
              <w:rPr>
                <w:rFonts w:cs="Calibri"/>
                <w:sz w:val="18"/>
                <w:szCs w:val="18"/>
              </w:rPr>
              <w:t xml:space="preserve"> or advice              </w:t>
            </w:r>
          </w:p>
        </w:tc>
        <w:tc>
          <w:tcPr>
            <w:tcW w:w="1134" w:type="dxa"/>
            <w:noWrap/>
          </w:tcPr>
          <w:p w14:paraId="754A731D" w14:textId="77777777" w:rsidR="00F144E3" w:rsidRPr="001A0D0B" w:rsidRDefault="00F144E3" w:rsidP="00CB27AE">
            <w:pPr>
              <w:rPr>
                <w:rFonts w:cs="Calibri"/>
                <w:sz w:val="18"/>
                <w:szCs w:val="18"/>
              </w:rPr>
            </w:pPr>
            <w:r w:rsidRPr="001A0D0B">
              <w:rPr>
                <w:rFonts w:cs="Calibri"/>
                <w:sz w:val="18"/>
                <w:szCs w:val="18"/>
              </w:rPr>
              <w:t>Smoking abstinence at long-term follow-up</w:t>
            </w:r>
          </w:p>
        </w:tc>
        <w:tc>
          <w:tcPr>
            <w:tcW w:w="1134" w:type="dxa"/>
            <w:noWrap/>
          </w:tcPr>
          <w:p w14:paraId="442F1134" w14:textId="77777777" w:rsidR="00F144E3" w:rsidRPr="001A0D0B" w:rsidRDefault="00F144E3" w:rsidP="00CB27AE">
            <w:pPr>
              <w:rPr>
                <w:rFonts w:cs="Calibri"/>
                <w:sz w:val="18"/>
                <w:szCs w:val="18"/>
              </w:rPr>
            </w:pPr>
            <w:r w:rsidRPr="001A0D0B">
              <w:rPr>
                <w:rFonts w:cs="Calibri"/>
                <w:sz w:val="18"/>
                <w:szCs w:val="18"/>
              </w:rPr>
              <w:t>Reduction in smoking behaviour</w:t>
            </w:r>
          </w:p>
          <w:p w14:paraId="5CB3C07F" w14:textId="77777777" w:rsidR="00F144E3" w:rsidRPr="001A0D0B" w:rsidRDefault="00F144E3" w:rsidP="00CB27AE">
            <w:pPr>
              <w:rPr>
                <w:rFonts w:cs="Calibri"/>
                <w:sz w:val="18"/>
                <w:szCs w:val="18"/>
              </w:rPr>
            </w:pPr>
            <w:r w:rsidRPr="001A0D0B">
              <w:rPr>
                <w:rFonts w:cs="Calibri"/>
                <w:sz w:val="18"/>
                <w:szCs w:val="18"/>
              </w:rPr>
              <w:t xml:space="preserve">Proportion of participants who made a quit attempt </w:t>
            </w:r>
          </w:p>
          <w:p w14:paraId="76ECA259" w14:textId="77777777" w:rsidR="00F144E3" w:rsidRPr="001A0D0B" w:rsidRDefault="00F144E3" w:rsidP="00CB27AE">
            <w:pPr>
              <w:rPr>
                <w:rFonts w:cs="Calibri"/>
                <w:sz w:val="18"/>
                <w:szCs w:val="18"/>
              </w:rPr>
            </w:pPr>
            <w:r w:rsidRPr="001A0D0B">
              <w:rPr>
                <w:rFonts w:cs="Calibri"/>
                <w:sz w:val="18"/>
                <w:szCs w:val="18"/>
              </w:rPr>
              <w:t>AEs</w:t>
            </w:r>
          </w:p>
        </w:tc>
        <w:tc>
          <w:tcPr>
            <w:tcW w:w="1520" w:type="dxa"/>
            <w:noWrap/>
          </w:tcPr>
          <w:p w14:paraId="6F1D24D8"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4C1B5DB1"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50E62671" w14:textId="77777777" w:rsidR="00F144E3" w:rsidRPr="001A0D0B" w:rsidRDefault="00F144E3" w:rsidP="00CB27AE">
            <w:pPr>
              <w:jc w:val="center"/>
              <w:rPr>
                <w:rFonts w:cs="Calibri"/>
                <w:sz w:val="18"/>
                <w:szCs w:val="18"/>
              </w:rPr>
            </w:pPr>
            <w:r w:rsidRPr="001A0D0B">
              <w:rPr>
                <w:rFonts w:cs="Calibri"/>
                <w:sz w:val="18"/>
                <w:szCs w:val="18"/>
              </w:rPr>
              <w:t>51</w:t>
            </w:r>
          </w:p>
        </w:tc>
        <w:tc>
          <w:tcPr>
            <w:tcW w:w="1418" w:type="dxa"/>
            <w:noWrap/>
          </w:tcPr>
          <w:p w14:paraId="285DA068" w14:textId="77777777" w:rsidR="00F144E3" w:rsidRPr="001A0D0B" w:rsidRDefault="00F144E3" w:rsidP="00CB27AE">
            <w:pPr>
              <w:rPr>
                <w:rFonts w:cs="Calibri"/>
                <w:sz w:val="18"/>
                <w:szCs w:val="18"/>
              </w:rPr>
            </w:pPr>
            <w:r w:rsidRPr="001A0D0B">
              <w:rPr>
                <w:rFonts w:cs="Calibri"/>
                <w:sz w:val="18"/>
                <w:szCs w:val="18"/>
              </w:rPr>
              <w:t>22,509</w:t>
            </w:r>
          </w:p>
        </w:tc>
      </w:tr>
      <w:tr w:rsidR="00F144E3" w:rsidRPr="001A0D0B" w14:paraId="51E04626" w14:textId="77777777" w:rsidTr="00B33FD4">
        <w:tc>
          <w:tcPr>
            <w:tcW w:w="421" w:type="dxa"/>
            <w:noWrap/>
          </w:tcPr>
          <w:p w14:paraId="5CC0E201" w14:textId="77777777" w:rsidR="00F144E3" w:rsidRPr="001A0D0B" w:rsidRDefault="00F144E3" w:rsidP="00C324F3">
            <w:pPr>
              <w:numPr>
                <w:ilvl w:val="0"/>
                <w:numId w:val="6"/>
              </w:numPr>
              <w:rPr>
                <w:rFonts w:cs="Calibri"/>
                <w:sz w:val="18"/>
                <w:szCs w:val="18"/>
              </w:rPr>
            </w:pPr>
          </w:p>
        </w:tc>
        <w:tc>
          <w:tcPr>
            <w:tcW w:w="850" w:type="dxa"/>
            <w:noWrap/>
          </w:tcPr>
          <w:p w14:paraId="6EAB17CD" w14:textId="77777777" w:rsidR="00F144E3" w:rsidRPr="001A0D0B" w:rsidRDefault="00F144E3" w:rsidP="00CB27AE">
            <w:pPr>
              <w:rPr>
                <w:rFonts w:cs="Calibri"/>
                <w:sz w:val="18"/>
                <w:szCs w:val="18"/>
              </w:rPr>
            </w:pPr>
            <w:r w:rsidRPr="001A0D0B">
              <w:rPr>
                <w:rFonts w:cs="Calibri"/>
                <w:sz w:val="18"/>
                <w:szCs w:val="18"/>
              </w:rPr>
              <w:t>Hartmann-Boyce 2019</w:t>
            </w:r>
          </w:p>
        </w:tc>
        <w:tc>
          <w:tcPr>
            <w:tcW w:w="1985" w:type="dxa"/>
            <w:noWrap/>
          </w:tcPr>
          <w:p w14:paraId="34BD12B4" w14:textId="77777777" w:rsidR="00F144E3" w:rsidRPr="001A0D0B" w:rsidRDefault="00F144E3" w:rsidP="00CB27AE">
            <w:pPr>
              <w:rPr>
                <w:rFonts w:cs="Calibri"/>
                <w:sz w:val="18"/>
                <w:szCs w:val="18"/>
              </w:rPr>
            </w:pPr>
            <w:r w:rsidRPr="001A0D0B">
              <w:rPr>
                <w:rFonts w:cs="Calibri"/>
                <w:sz w:val="18"/>
                <w:szCs w:val="18"/>
              </w:rPr>
              <w:t xml:space="preserve">To evaluate the effect of adding or increasing the intensity of behavioural support for people using smoking </w:t>
            </w:r>
            <w:r w:rsidRPr="001A0D0B">
              <w:rPr>
                <w:rFonts w:cs="Calibri"/>
                <w:sz w:val="18"/>
                <w:szCs w:val="18"/>
              </w:rPr>
              <w:lastRenderedPageBreak/>
              <w:t>cessation medications, and to assess whether there are different effects depending on the type of pharmacotherapy, or the amount of support in each condition.</w:t>
            </w:r>
          </w:p>
          <w:p w14:paraId="5483475A" w14:textId="61D17D59" w:rsidR="00F144E3" w:rsidRPr="001A0D0B" w:rsidRDefault="00F144E3" w:rsidP="00CB27AE">
            <w:pPr>
              <w:rPr>
                <w:rFonts w:cs="Calibri"/>
                <w:sz w:val="18"/>
                <w:szCs w:val="18"/>
              </w:rPr>
            </w:pPr>
            <w:r w:rsidRPr="001A0D0B">
              <w:rPr>
                <w:rFonts w:cs="Calibri"/>
                <w:sz w:val="18"/>
                <w:szCs w:val="18"/>
              </w:rPr>
              <w:t>We also looked at studies which directly compare behavioural interventions matched for contact time, where pharmacotherapy is provided to both groups (</w:t>
            </w:r>
            <w:r w:rsidR="004664D2" w:rsidRPr="001A0D0B">
              <w:rPr>
                <w:rFonts w:cs="Calibri"/>
                <w:sz w:val="18"/>
                <w:szCs w:val="18"/>
              </w:rPr>
              <w:t>e.g.,</w:t>
            </w:r>
            <w:r w:rsidRPr="001A0D0B">
              <w:rPr>
                <w:rFonts w:cs="Calibri"/>
                <w:sz w:val="18"/>
                <w:szCs w:val="18"/>
              </w:rPr>
              <w:t xml:space="preserve"> tests of different components or approaches to behavioural support as an adjunct to pharmacotherapy)</w:t>
            </w:r>
          </w:p>
        </w:tc>
        <w:tc>
          <w:tcPr>
            <w:tcW w:w="1134" w:type="dxa"/>
            <w:noWrap/>
          </w:tcPr>
          <w:p w14:paraId="4B5517DE" w14:textId="77777777" w:rsidR="00F144E3" w:rsidRPr="001A0D0B" w:rsidRDefault="00F144E3" w:rsidP="00CB27AE">
            <w:pPr>
              <w:rPr>
                <w:rFonts w:cs="Calibri"/>
                <w:sz w:val="18"/>
                <w:szCs w:val="18"/>
              </w:rPr>
            </w:pPr>
            <w:r w:rsidRPr="001A0D0B">
              <w:rPr>
                <w:rFonts w:cs="Calibri"/>
                <w:sz w:val="18"/>
                <w:szCs w:val="18"/>
              </w:rPr>
              <w:lastRenderedPageBreak/>
              <w:t>RCTs, including cluster-RCTs</w:t>
            </w:r>
          </w:p>
          <w:p w14:paraId="1A818721" w14:textId="77777777" w:rsidR="00F144E3" w:rsidRPr="001A0D0B" w:rsidRDefault="00F144E3" w:rsidP="00CB27AE">
            <w:pPr>
              <w:rPr>
                <w:rFonts w:cs="Calibri"/>
                <w:sz w:val="18"/>
                <w:szCs w:val="18"/>
              </w:rPr>
            </w:pPr>
            <w:r w:rsidRPr="001A0D0B">
              <w:rPr>
                <w:rFonts w:cs="Calibri"/>
                <w:sz w:val="18"/>
                <w:szCs w:val="18"/>
              </w:rPr>
              <w:t>People who smoke</w:t>
            </w:r>
          </w:p>
        </w:tc>
        <w:tc>
          <w:tcPr>
            <w:tcW w:w="1701" w:type="dxa"/>
            <w:noWrap/>
          </w:tcPr>
          <w:p w14:paraId="7629AA8B" w14:textId="77777777" w:rsidR="00F144E3" w:rsidRPr="001A0D0B" w:rsidRDefault="00F144E3" w:rsidP="00CB27AE">
            <w:pPr>
              <w:rPr>
                <w:rFonts w:cs="Calibri"/>
                <w:sz w:val="18"/>
                <w:szCs w:val="18"/>
              </w:rPr>
            </w:pPr>
            <w:r w:rsidRPr="001A0D0B">
              <w:rPr>
                <w:rFonts w:cs="Calibri"/>
                <w:sz w:val="18"/>
                <w:szCs w:val="18"/>
              </w:rPr>
              <w:t>NRT, BUP, VAR, or nortriptyline and behavioural support/NA</w:t>
            </w:r>
          </w:p>
        </w:tc>
        <w:tc>
          <w:tcPr>
            <w:tcW w:w="1134" w:type="dxa"/>
            <w:noWrap/>
          </w:tcPr>
          <w:p w14:paraId="3780811F" w14:textId="77777777" w:rsidR="00F144E3" w:rsidRPr="001A0D0B" w:rsidRDefault="00F144E3" w:rsidP="00CB27AE">
            <w:pPr>
              <w:rPr>
                <w:rFonts w:cs="Calibri"/>
                <w:sz w:val="18"/>
                <w:szCs w:val="18"/>
              </w:rPr>
            </w:pPr>
            <w:r w:rsidRPr="001A0D0B">
              <w:rPr>
                <w:rFonts w:cs="Calibri"/>
                <w:sz w:val="18"/>
                <w:szCs w:val="18"/>
              </w:rPr>
              <w:t>Smoking cessation</w:t>
            </w:r>
          </w:p>
        </w:tc>
        <w:tc>
          <w:tcPr>
            <w:tcW w:w="1134" w:type="dxa"/>
            <w:noWrap/>
          </w:tcPr>
          <w:p w14:paraId="57E64805"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3865C5C7"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33613497"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332B61C5" w14:textId="77777777" w:rsidR="00F144E3" w:rsidRPr="001A0D0B" w:rsidRDefault="00F144E3" w:rsidP="00CB27AE">
            <w:pPr>
              <w:jc w:val="center"/>
              <w:rPr>
                <w:rFonts w:cs="Calibri"/>
                <w:sz w:val="18"/>
                <w:szCs w:val="18"/>
              </w:rPr>
            </w:pPr>
            <w:r w:rsidRPr="001A0D0B">
              <w:rPr>
                <w:rFonts w:cs="Calibri"/>
                <w:sz w:val="18"/>
                <w:szCs w:val="18"/>
              </w:rPr>
              <w:t>83</w:t>
            </w:r>
          </w:p>
        </w:tc>
        <w:tc>
          <w:tcPr>
            <w:tcW w:w="1418" w:type="dxa"/>
            <w:noWrap/>
          </w:tcPr>
          <w:p w14:paraId="22527F09" w14:textId="77777777" w:rsidR="00F144E3" w:rsidRPr="001A0D0B" w:rsidRDefault="00F144E3" w:rsidP="00CB27AE">
            <w:pPr>
              <w:rPr>
                <w:rFonts w:cs="Calibri"/>
                <w:sz w:val="18"/>
                <w:szCs w:val="18"/>
              </w:rPr>
            </w:pPr>
            <w:r w:rsidRPr="001A0D0B">
              <w:rPr>
                <w:rFonts w:cs="Calibri"/>
                <w:sz w:val="18"/>
                <w:szCs w:val="18"/>
              </w:rPr>
              <w:t>29,536</w:t>
            </w:r>
          </w:p>
        </w:tc>
      </w:tr>
      <w:tr w:rsidR="00F144E3" w:rsidRPr="001A0D0B" w14:paraId="50F4ED4F" w14:textId="77777777" w:rsidTr="00B33FD4">
        <w:tc>
          <w:tcPr>
            <w:tcW w:w="421" w:type="dxa"/>
            <w:noWrap/>
          </w:tcPr>
          <w:p w14:paraId="23EFFD64" w14:textId="77777777" w:rsidR="00F144E3" w:rsidRPr="001A0D0B" w:rsidRDefault="00F144E3" w:rsidP="00C324F3">
            <w:pPr>
              <w:numPr>
                <w:ilvl w:val="0"/>
                <w:numId w:val="6"/>
              </w:numPr>
              <w:rPr>
                <w:rFonts w:cs="Calibri"/>
                <w:sz w:val="18"/>
                <w:szCs w:val="18"/>
              </w:rPr>
            </w:pPr>
          </w:p>
        </w:tc>
        <w:tc>
          <w:tcPr>
            <w:tcW w:w="850" w:type="dxa"/>
            <w:noWrap/>
          </w:tcPr>
          <w:p w14:paraId="48D8BA26" w14:textId="77777777" w:rsidR="00F144E3" w:rsidRPr="001A0D0B" w:rsidRDefault="00F144E3" w:rsidP="00CB27AE">
            <w:pPr>
              <w:rPr>
                <w:rFonts w:cs="Calibri"/>
                <w:sz w:val="18"/>
                <w:szCs w:val="18"/>
              </w:rPr>
            </w:pPr>
            <w:r w:rsidRPr="001A0D0B">
              <w:rPr>
                <w:rFonts w:cs="Calibri"/>
                <w:sz w:val="18"/>
                <w:szCs w:val="18"/>
              </w:rPr>
              <w:t>Carson-Chahhoud 2019</w:t>
            </w:r>
          </w:p>
        </w:tc>
        <w:tc>
          <w:tcPr>
            <w:tcW w:w="1985" w:type="dxa"/>
            <w:noWrap/>
          </w:tcPr>
          <w:p w14:paraId="3D6A0EF5" w14:textId="77777777" w:rsidR="00F144E3" w:rsidRPr="001A0D0B" w:rsidRDefault="00F144E3" w:rsidP="00CB27AE">
            <w:pPr>
              <w:rPr>
                <w:rFonts w:cs="Calibri"/>
                <w:sz w:val="18"/>
                <w:szCs w:val="18"/>
              </w:rPr>
            </w:pPr>
            <w:r w:rsidRPr="001A0D0B">
              <w:rPr>
                <w:rFonts w:cs="Calibri"/>
                <w:sz w:val="18"/>
                <w:szCs w:val="18"/>
              </w:rPr>
              <w:t>To assess the effectiveness of interventions delivered by community pharmacy personnel to assist people to stop smoking, with or without concurrent use of pharmacotherapy</w:t>
            </w:r>
          </w:p>
        </w:tc>
        <w:tc>
          <w:tcPr>
            <w:tcW w:w="1134" w:type="dxa"/>
            <w:noWrap/>
          </w:tcPr>
          <w:p w14:paraId="28CCADF6" w14:textId="77777777" w:rsidR="00F144E3" w:rsidRPr="001A0D0B" w:rsidRDefault="00F144E3" w:rsidP="00CB27AE">
            <w:pPr>
              <w:rPr>
                <w:rFonts w:cs="Calibri"/>
                <w:sz w:val="18"/>
                <w:szCs w:val="18"/>
              </w:rPr>
            </w:pPr>
            <w:r w:rsidRPr="001A0D0B">
              <w:rPr>
                <w:rFonts w:cs="Calibri"/>
                <w:sz w:val="18"/>
                <w:szCs w:val="18"/>
              </w:rPr>
              <w:t>RCTs, including cluster-RCTs</w:t>
            </w:r>
          </w:p>
          <w:p w14:paraId="4F3A91DB" w14:textId="77777777" w:rsidR="00F144E3" w:rsidRPr="001A0D0B" w:rsidRDefault="00F144E3" w:rsidP="00CB27AE">
            <w:pPr>
              <w:rPr>
                <w:rFonts w:cs="Calibri"/>
                <w:sz w:val="18"/>
                <w:szCs w:val="18"/>
              </w:rPr>
            </w:pPr>
            <w:r w:rsidRPr="001A0D0B">
              <w:rPr>
                <w:rFonts w:cs="Calibri"/>
                <w:sz w:val="18"/>
                <w:szCs w:val="18"/>
              </w:rPr>
              <w:t>Community pharmacy clients who were current tobacco smokers and motivated to change their smoking behaviour</w:t>
            </w:r>
          </w:p>
        </w:tc>
        <w:tc>
          <w:tcPr>
            <w:tcW w:w="1701" w:type="dxa"/>
            <w:noWrap/>
          </w:tcPr>
          <w:p w14:paraId="14FA5015" w14:textId="77777777" w:rsidR="00F144E3" w:rsidRPr="001A0D0B" w:rsidRDefault="00F144E3" w:rsidP="00CB27AE">
            <w:pPr>
              <w:rPr>
                <w:rFonts w:cs="Calibri"/>
                <w:sz w:val="18"/>
                <w:szCs w:val="18"/>
              </w:rPr>
            </w:pPr>
            <w:r w:rsidRPr="001A0D0B">
              <w:rPr>
                <w:rFonts w:cs="Calibri"/>
                <w:sz w:val="18"/>
                <w:szCs w:val="18"/>
              </w:rPr>
              <w:t>Behavioural interventions provided by community pharmacy personnel/no or less intensive behavioural support.</w:t>
            </w:r>
          </w:p>
        </w:tc>
        <w:tc>
          <w:tcPr>
            <w:tcW w:w="1134" w:type="dxa"/>
            <w:noWrap/>
          </w:tcPr>
          <w:p w14:paraId="61DF0114" w14:textId="77777777" w:rsidR="00F144E3" w:rsidRPr="001A0D0B" w:rsidRDefault="00F144E3" w:rsidP="00CB27AE">
            <w:pPr>
              <w:rPr>
                <w:rFonts w:cs="Calibri"/>
                <w:sz w:val="18"/>
                <w:szCs w:val="18"/>
              </w:rPr>
            </w:pPr>
            <w:r w:rsidRPr="001A0D0B">
              <w:rPr>
                <w:rFonts w:cs="Calibri"/>
                <w:sz w:val="18"/>
                <w:szCs w:val="18"/>
              </w:rPr>
              <w:t>Abstinence from smoking</w:t>
            </w:r>
          </w:p>
        </w:tc>
        <w:tc>
          <w:tcPr>
            <w:tcW w:w="1134" w:type="dxa"/>
            <w:noWrap/>
          </w:tcPr>
          <w:p w14:paraId="43395919" w14:textId="77777777" w:rsidR="00F144E3" w:rsidRPr="001A0D0B" w:rsidRDefault="00F144E3" w:rsidP="00CB27AE">
            <w:pPr>
              <w:rPr>
                <w:rFonts w:cs="Calibri"/>
                <w:sz w:val="18"/>
                <w:szCs w:val="18"/>
              </w:rPr>
            </w:pPr>
            <w:r w:rsidRPr="001A0D0B">
              <w:rPr>
                <w:rFonts w:cs="Calibri"/>
                <w:sz w:val="18"/>
                <w:szCs w:val="18"/>
              </w:rPr>
              <w:t>Cost-effectiveness</w:t>
            </w:r>
          </w:p>
        </w:tc>
        <w:tc>
          <w:tcPr>
            <w:tcW w:w="1520" w:type="dxa"/>
            <w:noWrap/>
          </w:tcPr>
          <w:p w14:paraId="0A1BDF17" w14:textId="77777777" w:rsidR="00F144E3" w:rsidRPr="001A0D0B" w:rsidRDefault="00F144E3" w:rsidP="00CB27AE">
            <w:pPr>
              <w:rPr>
                <w:rFonts w:cs="Calibri"/>
                <w:sz w:val="18"/>
                <w:szCs w:val="18"/>
              </w:rPr>
            </w:pPr>
            <w:r w:rsidRPr="001A0D0B">
              <w:rPr>
                <w:rFonts w:cs="Calibri"/>
                <w:sz w:val="18"/>
                <w:szCs w:val="18"/>
              </w:rPr>
              <w:t>AEs</w:t>
            </w:r>
          </w:p>
        </w:tc>
        <w:tc>
          <w:tcPr>
            <w:tcW w:w="1031" w:type="dxa"/>
            <w:noWrap/>
          </w:tcPr>
          <w:p w14:paraId="6A4A2203"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3907B0D2" w14:textId="77777777" w:rsidR="00F144E3" w:rsidRPr="001A0D0B" w:rsidRDefault="00F144E3" w:rsidP="00CB27AE">
            <w:pPr>
              <w:jc w:val="center"/>
              <w:rPr>
                <w:rFonts w:cs="Calibri"/>
                <w:sz w:val="18"/>
                <w:szCs w:val="18"/>
              </w:rPr>
            </w:pPr>
            <w:r w:rsidRPr="001A0D0B">
              <w:rPr>
                <w:rFonts w:cs="Calibri"/>
                <w:sz w:val="18"/>
                <w:szCs w:val="18"/>
              </w:rPr>
              <w:t>7</w:t>
            </w:r>
          </w:p>
        </w:tc>
        <w:tc>
          <w:tcPr>
            <w:tcW w:w="1418" w:type="dxa"/>
            <w:noWrap/>
          </w:tcPr>
          <w:p w14:paraId="7717390F" w14:textId="77777777" w:rsidR="00F144E3" w:rsidRPr="001A0D0B" w:rsidRDefault="00F144E3" w:rsidP="00CB27AE">
            <w:pPr>
              <w:rPr>
                <w:rFonts w:cs="Calibri"/>
                <w:sz w:val="18"/>
                <w:szCs w:val="18"/>
              </w:rPr>
            </w:pPr>
            <w:r w:rsidRPr="001A0D0B">
              <w:rPr>
                <w:rFonts w:cs="Calibri"/>
                <w:sz w:val="18"/>
                <w:szCs w:val="18"/>
              </w:rPr>
              <w:t>1,774</w:t>
            </w:r>
          </w:p>
        </w:tc>
      </w:tr>
      <w:tr w:rsidR="00F144E3" w:rsidRPr="001A0D0B" w14:paraId="7C4237E6" w14:textId="77777777" w:rsidTr="00B33FD4">
        <w:tc>
          <w:tcPr>
            <w:tcW w:w="421" w:type="dxa"/>
            <w:noWrap/>
          </w:tcPr>
          <w:p w14:paraId="5F40C916" w14:textId="77777777" w:rsidR="00F144E3" w:rsidRPr="001A0D0B" w:rsidRDefault="00F144E3" w:rsidP="00C324F3">
            <w:pPr>
              <w:numPr>
                <w:ilvl w:val="0"/>
                <w:numId w:val="6"/>
              </w:numPr>
              <w:rPr>
                <w:rFonts w:cs="Calibri"/>
                <w:sz w:val="18"/>
                <w:szCs w:val="18"/>
              </w:rPr>
            </w:pPr>
          </w:p>
        </w:tc>
        <w:tc>
          <w:tcPr>
            <w:tcW w:w="850" w:type="dxa"/>
            <w:noWrap/>
          </w:tcPr>
          <w:p w14:paraId="536F4594" w14:textId="77777777" w:rsidR="00F144E3" w:rsidRPr="001A0D0B" w:rsidRDefault="00F144E3" w:rsidP="00CB27AE">
            <w:pPr>
              <w:rPr>
                <w:rFonts w:cs="Calibri"/>
                <w:sz w:val="18"/>
                <w:szCs w:val="18"/>
              </w:rPr>
            </w:pPr>
            <w:r w:rsidRPr="001A0D0B">
              <w:rPr>
                <w:rFonts w:cs="Calibri"/>
                <w:sz w:val="18"/>
                <w:szCs w:val="18"/>
              </w:rPr>
              <w:t>Hartmann-Boyce 2018</w:t>
            </w:r>
          </w:p>
        </w:tc>
        <w:tc>
          <w:tcPr>
            <w:tcW w:w="1985" w:type="dxa"/>
            <w:noWrap/>
          </w:tcPr>
          <w:p w14:paraId="6ECD30E1" w14:textId="77777777" w:rsidR="00F144E3" w:rsidRPr="001A0D0B" w:rsidRDefault="00F144E3" w:rsidP="00CB27AE">
            <w:pPr>
              <w:rPr>
                <w:rFonts w:cs="Calibri"/>
                <w:sz w:val="18"/>
                <w:szCs w:val="18"/>
              </w:rPr>
            </w:pPr>
            <w:r w:rsidRPr="001A0D0B">
              <w:rPr>
                <w:rFonts w:cs="Calibri"/>
                <w:sz w:val="18"/>
                <w:szCs w:val="18"/>
              </w:rPr>
              <w:t>To determine the effectiveness and safety of nicotine replacement therapy (NRT), including gum, transdermal patch, intranasal spray and inhaled and oral preparations, for achieving long-term smoking cessation, compared to placebo or 'no NRT' interventions</w:t>
            </w:r>
          </w:p>
        </w:tc>
        <w:tc>
          <w:tcPr>
            <w:tcW w:w="1134" w:type="dxa"/>
            <w:noWrap/>
          </w:tcPr>
          <w:p w14:paraId="50D91A14" w14:textId="77777777" w:rsidR="00F144E3" w:rsidRPr="001A0D0B" w:rsidRDefault="00F144E3" w:rsidP="00CB27AE">
            <w:pPr>
              <w:rPr>
                <w:rFonts w:cs="Calibri"/>
                <w:sz w:val="18"/>
                <w:szCs w:val="18"/>
              </w:rPr>
            </w:pPr>
            <w:r w:rsidRPr="001A0D0B">
              <w:rPr>
                <w:rFonts w:cs="Calibri"/>
                <w:sz w:val="18"/>
                <w:szCs w:val="18"/>
              </w:rPr>
              <w:t>RCTs</w:t>
            </w:r>
          </w:p>
          <w:p w14:paraId="33CA524D" w14:textId="77777777" w:rsidR="00F144E3" w:rsidRPr="001A0D0B" w:rsidRDefault="00F144E3" w:rsidP="00CB27AE">
            <w:pPr>
              <w:rPr>
                <w:rFonts w:cs="Calibri"/>
                <w:sz w:val="18"/>
                <w:szCs w:val="18"/>
              </w:rPr>
            </w:pPr>
            <w:r w:rsidRPr="001A0D0B">
              <w:rPr>
                <w:rFonts w:cs="Calibri"/>
                <w:sz w:val="18"/>
                <w:szCs w:val="18"/>
              </w:rPr>
              <w:t>Men or women who smoked and were motivated to quit</w:t>
            </w:r>
          </w:p>
        </w:tc>
        <w:tc>
          <w:tcPr>
            <w:tcW w:w="1701" w:type="dxa"/>
            <w:noWrap/>
          </w:tcPr>
          <w:p w14:paraId="73C41010" w14:textId="77777777" w:rsidR="00F144E3" w:rsidRPr="001A0D0B" w:rsidRDefault="00F144E3" w:rsidP="00CB27AE">
            <w:pPr>
              <w:rPr>
                <w:rFonts w:cs="Calibri"/>
                <w:sz w:val="18"/>
                <w:szCs w:val="18"/>
              </w:rPr>
            </w:pPr>
            <w:r w:rsidRPr="001A0D0B">
              <w:rPr>
                <w:rFonts w:cs="Calibri"/>
                <w:sz w:val="18"/>
                <w:szCs w:val="18"/>
              </w:rPr>
              <w:t>NRT/placebo or no NRT</w:t>
            </w:r>
          </w:p>
        </w:tc>
        <w:tc>
          <w:tcPr>
            <w:tcW w:w="1134" w:type="dxa"/>
            <w:noWrap/>
          </w:tcPr>
          <w:p w14:paraId="43A92994" w14:textId="77777777" w:rsidR="00F144E3" w:rsidRPr="001A0D0B" w:rsidRDefault="00F144E3" w:rsidP="00CB27AE">
            <w:pPr>
              <w:rPr>
                <w:rFonts w:cs="Calibri"/>
                <w:sz w:val="18"/>
                <w:szCs w:val="18"/>
              </w:rPr>
            </w:pPr>
            <w:r w:rsidRPr="001A0D0B">
              <w:rPr>
                <w:rFonts w:cs="Calibri"/>
                <w:sz w:val="18"/>
                <w:szCs w:val="18"/>
              </w:rPr>
              <w:t>Smoking cessation</w:t>
            </w:r>
          </w:p>
        </w:tc>
        <w:tc>
          <w:tcPr>
            <w:tcW w:w="1134" w:type="dxa"/>
            <w:noWrap/>
          </w:tcPr>
          <w:p w14:paraId="4BACDEAB"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41E72009" w14:textId="77777777" w:rsidR="00F144E3" w:rsidRPr="001A0D0B" w:rsidRDefault="00F144E3" w:rsidP="00CB27AE">
            <w:pPr>
              <w:rPr>
                <w:rFonts w:cs="Calibri"/>
                <w:sz w:val="18"/>
                <w:szCs w:val="18"/>
              </w:rPr>
            </w:pPr>
            <w:r w:rsidRPr="001A0D0B">
              <w:rPr>
                <w:rFonts w:cs="Calibri"/>
                <w:sz w:val="18"/>
                <w:szCs w:val="18"/>
              </w:rPr>
              <w:t>AEs</w:t>
            </w:r>
          </w:p>
        </w:tc>
        <w:tc>
          <w:tcPr>
            <w:tcW w:w="1031" w:type="dxa"/>
            <w:noWrap/>
          </w:tcPr>
          <w:p w14:paraId="5AC4D1E9"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4BB5ACEA" w14:textId="77777777" w:rsidR="00F144E3" w:rsidRPr="001A0D0B" w:rsidRDefault="00F144E3" w:rsidP="00CB27AE">
            <w:pPr>
              <w:jc w:val="center"/>
              <w:rPr>
                <w:rFonts w:cs="Calibri"/>
                <w:sz w:val="18"/>
                <w:szCs w:val="18"/>
              </w:rPr>
            </w:pPr>
            <w:r w:rsidRPr="001A0D0B">
              <w:rPr>
                <w:rFonts w:cs="Calibri"/>
                <w:sz w:val="18"/>
                <w:szCs w:val="18"/>
              </w:rPr>
              <w:t>134</w:t>
            </w:r>
          </w:p>
        </w:tc>
        <w:tc>
          <w:tcPr>
            <w:tcW w:w="1418" w:type="dxa"/>
            <w:noWrap/>
          </w:tcPr>
          <w:p w14:paraId="13B75B9C" w14:textId="77777777" w:rsidR="00F144E3" w:rsidRPr="001A0D0B" w:rsidRDefault="00F144E3" w:rsidP="00CB27AE">
            <w:pPr>
              <w:rPr>
                <w:rFonts w:cs="Calibri"/>
                <w:sz w:val="18"/>
                <w:szCs w:val="18"/>
              </w:rPr>
            </w:pPr>
            <w:r w:rsidRPr="001A0D0B">
              <w:rPr>
                <w:rFonts w:cs="Calibri"/>
                <w:sz w:val="18"/>
                <w:szCs w:val="18"/>
              </w:rPr>
              <w:t>64,640</w:t>
            </w:r>
          </w:p>
        </w:tc>
      </w:tr>
      <w:tr w:rsidR="00F144E3" w:rsidRPr="001A0D0B" w14:paraId="56CA626F" w14:textId="77777777" w:rsidTr="00B33FD4">
        <w:tc>
          <w:tcPr>
            <w:tcW w:w="421" w:type="dxa"/>
            <w:noWrap/>
          </w:tcPr>
          <w:p w14:paraId="136776A8" w14:textId="77777777" w:rsidR="00F144E3" w:rsidRPr="001A0D0B" w:rsidRDefault="00F144E3" w:rsidP="00C324F3">
            <w:pPr>
              <w:numPr>
                <w:ilvl w:val="0"/>
                <w:numId w:val="6"/>
              </w:numPr>
              <w:rPr>
                <w:rFonts w:cs="Calibri"/>
                <w:sz w:val="18"/>
                <w:szCs w:val="18"/>
              </w:rPr>
            </w:pPr>
          </w:p>
        </w:tc>
        <w:tc>
          <w:tcPr>
            <w:tcW w:w="850" w:type="dxa"/>
            <w:noWrap/>
          </w:tcPr>
          <w:p w14:paraId="033FC781" w14:textId="77777777" w:rsidR="00F144E3" w:rsidRPr="001A0D0B" w:rsidRDefault="00F144E3" w:rsidP="00CB27AE">
            <w:pPr>
              <w:rPr>
                <w:rFonts w:cs="Calibri"/>
                <w:sz w:val="18"/>
                <w:szCs w:val="18"/>
              </w:rPr>
            </w:pPr>
            <w:r w:rsidRPr="001A0D0B">
              <w:rPr>
                <w:rFonts w:cs="Calibri"/>
                <w:sz w:val="18"/>
                <w:szCs w:val="18"/>
              </w:rPr>
              <w:t>Stead 2017</w:t>
            </w:r>
          </w:p>
        </w:tc>
        <w:tc>
          <w:tcPr>
            <w:tcW w:w="1985" w:type="dxa"/>
            <w:noWrap/>
          </w:tcPr>
          <w:p w14:paraId="40D54361" w14:textId="77777777" w:rsidR="00F144E3" w:rsidRPr="001A0D0B" w:rsidRDefault="00F144E3" w:rsidP="00CB27AE">
            <w:pPr>
              <w:rPr>
                <w:rFonts w:cs="Calibri"/>
                <w:sz w:val="18"/>
                <w:szCs w:val="18"/>
              </w:rPr>
            </w:pPr>
            <w:r w:rsidRPr="001A0D0B">
              <w:rPr>
                <w:rFonts w:cs="Calibri"/>
                <w:sz w:val="18"/>
                <w:szCs w:val="18"/>
              </w:rPr>
              <w:t>To determine the effect of group-delivered behavioural interventions in achieving long-term smoking cessation</w:t>
            </w:r>
          </w:p>
        </w:tc>
        <w:tc>
          <w:tcPr>
            <w:tcW w:w="1134" w:type="dxa"/>
            <w:noWrap/>
          </w:tcPr>
          <w:p w14:paraId="5086BDD3" w14:textId="77777777" w:rsidR="00F144E3" w:rsidRPr="001A0D0B" w:rsidRDefault="00F144E3" w:rsidP="00CB27AE">
            <w:pPr>
              <w:rPr>
                <w:rFonts w:cs="Calibri"/>
                <w:sz w:val="18"/>
                <w:szCs w:val="18"/>
              </w:rPr>
            </w:pPr>
            <w:r w:rsidRPr="001A0D0B">
              <w:rPr>
                <w:rFonts w:cs="Calibri"/>
                <w:sz w:val="18"/>
                <w:szCs w:val="18"/>
              </w:rPr>
              <w:t>RCTs</w:t>
            </w:r>
          </w:p>
          <w:p w14:paraId="5C2D3379" w14:textId="411B2889" w:rsidR="00F144E3" w:rsidRPr="001A0D0B" w:rsidRDefault="00F144E3" w:rsidP="00CB27AE">
            <w:pPr>
              <w:rPr>
                <w:rFonts w:cs="Calibri"/>
                <w:sz w:val="18"/>
                <w:szCs w:val="18"/>
              </w:rPr>
            </w:pPr>
            <w:r w:rsidRPr="001A0D0B">
              <w:rPr>
                <w:rFonts w:cs="Calibri"/>
                <w:sz w:val="18"/>
                <w:szCs w:val="18"/>
              </w:rPr>
              <w:t>Trials that compared more than one group program</w:t>
            </w:r>
          </w:p>
          <w:p w14:paraId="4D1C9168" w14:textId="77777777" w:rsidR="00F144E3" w:rsidRPr="001A0D0B" w:rsidRDefault="00F144E3" w:rsidP="00CB27AE">
            <w:pPr>
              <w:rPr>
                <w:rFonts w:eastAsiaTheme="minorEastAsia" w:cs="Calibri"/>
                <w:sz w:val="18"/>
                <w:szCs w:val="18"/>
              </w:rPr>
            </w:pPr>
            <w:r w:rsidRPr="001A0D0B">
              <w:rPr>
                <w:rFonts w:cs="Calibri"/>
                <w:sz w:val="18"/>
                <w:szCs w:val="18"/>
              </w:rPr>
              <w:t xml:space="preserve">Trials with a minimum of two group meetings, and follow-up of smoking status at least six months </w:t>
            </w:r>
          </w:p>
          <w:p w14:paraId="5C032490" w14:textId="77777777" w:rsidR="00F144E3" w:rsidRPr="001A0D0B" w:rsidRDefault="00F144E3" w:rsidP="00CB27AE">
            <w:pPr>
              <w:rPr>
                <w:rFonts w:cs="Calibri"/>
                <w:sz w:val="18"/>
                <w:szCs w:val="18"/>
              </w:rPr>
            </w:pPr>
            <w:r w:rsidRPr="001A0D0B">
              <w:rPr>
                <w:rFonts w:cs="Calibri"/>
                <w:sz w:val="18"/>
                <w:szCs w:val="18"/>
              </w:rPr>
              <w:t>Adult smokers of either gender</w:t>
            </w:r>
          </w:p>
        </w:tc>
        <w:tc>
          <w:tcPr>
            <w:tcW w:w="1701" w:type="dxa"/>
            <w:noWrap/>
          </w:tcPr>
          <w:p w14:paraId="7F9E83B9" w14:textId="029F3715" w:rsidR="00F144E3" w:rsidRPr="001A0D0B" w:rsidRDefault="00F144E3" w:rsidP="00CB27AE">
            <w:pPr>
              <w:rPr>
                <w:rFonts w:cs="Calibri"/>
                <w:sz w:val="18"/>
                <w:szCs w:val="18"/>
              </w:rPr>
            </w:pPr>
            <w:r w:rsidRPr="001A0D0B">
              <w:rPr>
                <w:rFonts w:cs="Calibri"/>
                <w:sz w:val="18"/>
                <w:szCs w:val="18"/>
              </w:rPr>
              <w:t>Group therapy and pharmacotherapy/self-help program</w:t>
            </w:r>
            <w:r w:rsidR="007367C9">
              <w:rPr>
                <w:rFonts w:cs="Calibri"/>
                <w:sz w:val="18"/>
                <w:szCs w:val="18"/>
              </w:rPr>
              <w:t>s</w:t>
            </w:r>
            <w:r w:rsidRPr="001A0D0B">
              <w:rPr>
                <w:rFonts w:cs="Calibri"/>
                <w:sz w:val="18"/>
                <w:szCs w:val="18"/>
              </w:rPr>
              <w:t>, other less intensive interventions, pharmacotherapy alone, individual counselling sessions, no intervention</w:t>
            </w:r>
          </w:p>
        </w:tc>
        <w:tc>
          <w:tcPr>
            <w:tcW w:w="1134" w:type="dxa"/>
            <w:noWrap/>
          </w:tcPr>
          <w:p w14:paraId="7F30411F" w14:textId="77777777" w:rsidR="00F144E3" w:rsidRPr="001A0D0B" w:rsidRDefault="00F144E3" w:rsidP="00CB27AE">
            <w:pPr>
              <w:rPr>
                <w:rFonts w:cs="Calibri"/>
                <w:sz w:val="18"/>
                <w:szCs w:val="18"/>
              </w:rPr>
            </w:pPr>
            <w:r w:rsidRPr="001A0D0B">
              <w:rPr>
                <w:rFonts w:cs="Calibri"/>
                <w:sz w:val="18"/>
                <w:szCs w:val="18"/>
              </w:rPr>
              <w:t xml:space="preserve">Abstinence from cigarettes </w:t>
            </w:r>
          </w:p>
        </w:tc>
        <w:tc>
          <w:tcPr>
            <w:tcW w:w="1134" w:type="dxa"/>
            <w:noWrap/>
          </w:tcPr>
          <w:p w14:paraId="793F3845"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095EB292"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10F53620"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2A2A2E1C" w14:textId="532318C4" w:rsidR="00F144E3" w:rsidRPr="001A0D0B" w:rsidRDefault="00F144E3" w:rsidP="00CB27AE">
            <w:pPr>
              <w:jc w:val="center"/>
              <w:rPr>
                <w:rFonts w:cs="Calibri"/>
                <w:sz w:val="18"/>
                <w:szCs w:val="18"/>
              </w:rPr>
            </w:pPr>
            <w:r w:rsidRPr="001A0D0B">
              <w:rPr>
                <w:rFonts w:cs="Calibri"/>
                <w:sz w:val="18"/>
                <w:szCs w:val="18"/>
              </w:rPr>
              <w:t>Group program</w:t>
            </w:r>
            <w:r w:rsidR="007367C9">
              <w:rPr>
                <w:rFonts w:cs="Calibri"/>
                <w:sz w:val="18"/>
                <w:szCs w:val="18"/>
              </w:rPr>
              <w:t xml:space="preserve"> </w:t>
            </w:r>
            <w:r w:rsidRPr="001A0D0B">
              <w:rPr>
                <w:rFonts w:cs="Calibri"/>
                <w:sz w:val="18"/>
                <w:szCs w:val="18"/>
              </w:rPr>
              <w:t>compared to self-help program = 13;</w:t>
            </w:r>
          </w:p>
          <w:p w14:paraId="2F37C2C3" w14:textId="54520DFA" w:rsidR="00F144E3" w:rsidRPr="001A0D0B" w:rsidRDefault="00F144E3" w:rsidP="00CB27AE">
            <w:pPr>
              <w:jc w:val="center"/>
              <w:rPr>
                <w:rFonts w:cs="Calibri"/>
                <w:sz w:val="18"/>
                <w:szCs w:val="18"/>
              </w:rPr>
            </w:pPr>
            <w:r w:rsidRPr="001A0D0B">
              <w:rPr>
                <w:rFonts w:cs="Calibri"/>
                <w:sz w:val="18"/>
                <w:szCs w:val="18"/>
              </w:rPr>
              <w:t>Group program compared to brief support = 16;</w:t>
            </w:r>
          </w:p>
          <w:p w14:paraId="09377D79" w14:textId="52FB5F00" w:rsidR="00F144E3" w:rsidRPr="001A0D0B" w:rsidRDefault="00F144E3" w:rsidP="00CB27AE">
            <w:pPr>
              <w:jc w:val="center"/>
              <w:rPr>
                <w:rFonts w:cs="Calibri"/>
                <w:sz w:val="18"/>
                <w:szCs w:val="18"/>
              </w:rPr>
            </w:pPr>
            <w:r w:rsidRPr="001A0D0B">
              <w:rPr>
                <w:rFonts w:cs="Calibri"/>
                <w:sz w:val="18"/>
                <w:szCs w:val="18"/>
              </w:rPr>
              <w:t>Group program</w:t>
            </w:r>
            <w:r w:rsidR="007367C9">
              <w:rPr>
                <w:rFonts w:cs="Calibri"/>
                <w:sz w:val="18"/>
                <w:szCs w:val="18"/>
              </w:rPr>
              <w:t xml:space="preserve"> </w:t>
            </w:r>
            <w:r w:rsidRPr="001A0D0B">
              <w:rPr>
                <w:rFonts w:cs="Calibri"/>
                <w:sz w:val="18"/>
                <w:szCs w:val="18"/>
              </w:rPr>
              <w:t>compared to face-to-face in- dividual intervention = 6;</w:t>
            </w:r>
          </w:p>
          <w:p w14:paraId="30D53B23" w14:textId="73B11FBC" w:rsidR="00F144E3" w:rsidRPr="001A0D0B" w:rsidRDefault="00F144E3" w:rsidP="00CB27AE">
            <w:pPr>
              <w:jc w:val="center"/>
              <w:rPr>
                <w:rFonts w:cs="Calibri"/>
                <w:sz w:val="18"/>
                <w:szCs w:val="18"/>
              </w:rPr>
            </w:pPr>
            <w:r w:rsidRPr="001A0D0B">
              <w:rPr>
                <w:rFonts w:cs="Calibri"/>
                <w:sz w:val="18"/>
                <w:szCs w:val="18"/>
              </w:rPr>
              <w:t>Group prog</w:t>
            </w:r>
            <w:r w:rsidR="009E7142">
              <w:rPr>
                <w:rFonts w:cs="Calibri"/>
                <w:sz w:val="18"/>
                <w:szCs w:val="18"/>
              </w:rPr>
              <w:t xml:space="preserve">ram plus </w:t>
            </w:r>
            <w:r w:rsidR="009E7142">
              <w:rPr>
                <w:rFonts w:cs="Calibri"/>
                <w:sz w:val="18"/>
                <w:szCs w:val="18"/>
              </w:rPr>
              <w:lastRenderedPageBreak/>
              <w:t>pharmacotherapy ver</w:t>
            </w:r>
            <w:r w:rsidRPr="001A0D0B">
              <w:rPr>
                <w:rFonts w:cs="Calibri"/>
                <w:sz w:val="18"/>
                <w:szCs w:val="18"/>
              </w:rPr>
              <w:t>sus pharmacotherapy and brief support alone = 5;</w:t>
            </w:r>
          </w:p>
          <w:p w14:paraId="7F4A7FAF" w14:textId="413A8B30" w:rsidR="00F144E3" w:rsidRPr="001A0D0B" w:rsidRDefault="00F144E3" w:rsidP="00CB27AE">
            <w:pPr>
              <w:jc w:val="center"/>
              <w:rPr>
                <w:rFonts w:cs="Calibri"/>
                <w:sz w:val="18"/>
                <w:szCs w:val="18"/>
              </w:rPr>
            </w:pPr>
            <w:r w:rsidRPr="001A0D0B">
              <w:rPr>
                <w:rFonts w:cs="Calibri"/>
                <w:sz w:val="18"/>
                <w:szCs w:val="18"/>
              </w:rPr>
              <w:t>Group program versus 'no intervention' controls = 9</w:t>
            </w:r>
          </w:p>
        </w:tc>
        <w:tc>
          <w:tcPr>
            <w:tcW w:w="1418" w:type="dxa"/>
            <w:noWrap/>
          </w:tcPr>
          <w:p w14:paraId="681151D6" w14:textId="6B5A8C1F" w:rsidR="00F144E3" w:rsidRPr="001A0D0B" w:rsidRDefault="00F144E3" w:rsidP="00CB27AE">
            <w:pPr>
              <w:rPr>
                <w:rFonts w:cs="Calibri"/>
                <w:sz w:val="18"/>
                <w:szCs w:val="18"/>
              </w:rPr>
            </w:pPr>
            <w:r w:rsidRPr="001A0D0B">
              <w:rPr>
                <w:rFonts w:cs="Calibri"/>
                <w:sz w:val="18"/>
                <w:szCs w:val="18"/>
              </w:rPr>
              <w:lastRenderedPageBreak/>
              <w:t>Group program compared to self-help program =4395;</w:t>
            </w:r>
          </w:p>
          <w:p w14:paraId="7B7D62EB" w14:textId="77777777" w:rsidR="00F144E3" w:rsidRPr="001A0D0B" w:rsidRDefault="00F144E3" w:rsidP="00CB27AE">
            <w:pPr>
              <w:rPr>
                <w:rFonts w:cs="Calibri"/>
                <w:sz w:val="18"/>
                <w:szCs w:val="18"/>
              </w:rPr>
            </w:pPr>
          </w:p>
          <w:p w14:paraId="1448CBF5" w14:textId="1B107DD9" w:rsidR="00F144E3" w:rsidRPr="001A0D0B" w:rsidRDefault="00F144E3" w:rsidP="00CB27AE">
            <w:pPr>
              <w:rPr>
                <w:rFonts w:cs="Calibri"/>
                <w:sz w:val="18"/>
                <w:szCs w:val="18"/>
              </w:rPr>
            </w:pPr>
            <w:r w:rsidRPr="001A0D0B">
              <w:rPr>
                <w:rFonts w:cs="Calibri"/>
                <w:sz w:val="18"/>
                <w:szCs w:val="18"/>
              </w:rPr>
              <w:t>Group program</w:t>
            </w:r>
            <w:r w:rsidR="007367C9">
              <w:rPr>
                <w:rFonts w:cs="Calibri"/>
                <w:sz w:val="18"/>
                <w:szCs w:val="18"/>
              </w:rPr>
              <w:t xml:space="preserve"> </w:t>
            </w:r>
            <w:r w:rsidRPr="001A0D0B">
              <w:rPr>
                <w:rFonts w:cs="Calibri"/>
                <w:sz w:val="18"/>
                <w:szCs w:val="18"/>
              </w:rPr>
              <w:t>compared to brief support:  7601;</w:t>
            </w:r>
          </w:p>
          <w:p w14:paraId="47C52FC6" w14:textId="77777777" w:rsidR="00F144E3" w:rsidRPr="001A0D0B" w:rsidRDefault="00F144E3" w:rsidP="00CB27AE">
            <w:pPr>
              <w:rPr>
                <w:rFonts w:cs="Calibri"/>
                <w:sz w:val="18"/>
                <w:szCs w:val="18"/>
              </w:rPr>
            </w:pPr>
          </w:p>
          <w:p w14:paraId="72C69A7D" w14:textId="64809249" w:rsidR="00F144E3" w:rsidRPr="001A0D0B" w:rsidRDefault="00F144E3" w:rsidP="00CB27AE">
            <w:pPr>
              <w:rPr>
                <w:rFonts w:cs="Calibri"/>
                <w:sz w:val="18"/>
                <w:szCs w:val="18"/>
              </w:rPr>
            </w:pPr>
            <w:r w:rsidRPr="001A0D0B">
              <w:rPr>
                <w:rFonts w:cs="Calibri"/>
                <w:sz w:val="18"/>
                <w:szCs w:val="18"/>
              </w:rPr>
              <w:t>Group program compared to face-to-face in- dividual intervention:  980;</w:t>
            </w:r>
          </w:p>
          <w:p w14:paraId="4821AC43" w14:textId="77777777" w:rsidR="00F144E3" w:rsidRPr="001A0D0B" w:rsidRDefault="00F144E3" w:rsidP="00CB27AE">
            <w:pPr>
              <w:rPr>
                <w:rFonts w:cs="Calibri"/>
                <w:sz w:val="18"/>
                <w:szCs w:val="18"/>
              </w:rPr>
            </w:pPr>
          </w:p>
          <w:p w14:paraId="4EDA741C" w14:textId="40AADA3C" w:rsidR="00F144E3" w:rsidRPr="001A0D0B" w:rsidRDefault="00F144E3" w:rsidP="00CB27AE">
            <w:pPr>
              <w:rPr>
                <w:rFonts w:cs="Calibri"/>
                <w:sz w:val="18"/>
                <w:szCs w:val="18"/>
              </w:rPr>
            </w:pPr>
            <w:r w:rsidRPr="001A0D0B">
              <w:rPr>
                <w:rFonts w:cs="Calibri"/>
                <w:sz w:val="18"/>
                <w:szCs w:val="18"/>
              </w:rPr>
              <w:t>Group progra</w:t>
            </w:r>
            <w:r w:rsidR="009E7142">
              <w:rPr>
                <w:rFonts w:cs="Calibri"/>
                <w:sz w:val="18"/>
                <w:szCs w:val="18"/>
              </w:rPr>
              <w:t>m plus pharmacotherapy ver</w:t>
            </w:r>
            <w:r w:rsidRPr="001A0D0B">
              <w:rPr>
                <w:rFonts w:cs="Calibri"/>
                <w:sz w:val="18"/>
                <w:szCs w:val="18"/>
              </w:rPr>
              <w:t xml:space="preserve">sus pharmacotherapy and brief </w:t>
            </w:r>
            <w:r w:rsidRPr="001A0D0B">
              <w:rPr>
                <w:rFonts w:cs="Calibri"/>
                <w:sz w:val="18"/>
                <w:szCs w:val="18"/>
              </w:rPr>
              <w:lastRenderedPageBreak/>
              <w:t>support alone:   1523;</w:t>
            </w:r>
          </w:p>
          <w:p w14:paraId="2DA533FC" w14:textId="77777777" w:rsidR="00F144E3" w:rsidRPr="001A0D0B" w:rsidRDefault="00F144E3" w:rsidP="00CB27AE">
            <w:pPr>
              <w:rPr>
                <w:rFonts w:cs="Calibri"/>
                <w:sz w:val="18"/>
                <w:szCs w:val="18"/>
              </w:rPr>
            </w:pPr>
          </w:p>
          <w:p w14:paraId="35C80DE9" w14:textId="0C8F7A63" w:rsidR="00F144E3" w:rsidRPr="001A0D0B" w:rsidRDefault="00F144E3" w:rsidP="00CB27AE">
            <w:pPr>
              <w:rPr>
                <w:rFonts w:cs="Calibri"/>
                <w:sz w:val="18"/>
                <w:szCs w:val="18"/>
              </w:rPr>
            </w:pPr>
            <w:r w:rsidRPr="001A0D0B">
              <w:rPr>
                <w:rFonts w:cs="Calibri"/>
                <w:sz w:val="18"/>
                <w:szCs w:val="18"/>
              </w:rPr>
              <w:t>Group program versus 'no intervention' controls = 1098</w:t>
            </w:r>
          </w:p>
        </w:tc>
      </w:tr>
      <w:tr w:rsidR="00F144E3" w:rsidRPr="001A0D0B" w14:paraId="34C2EE84" w14:textId="77777777" w:rsidTr="00B33FD4">
        <w:tc>
          <w:tcPr>
            <w:tcW w:w="421" w:type="dxa"/>
            <w:noWrap/>
          </w:tcPr>
          <w:p w14:paraId="44A8C9BC" w14:textId="77777777" w:rsidR="00F144E3" w:rsidRPr="001A0D0B" w:rsidRDefault="00F144E3" w:rsidP="00C324F3">
            <w:pPr>
              <w:numPr>
                <w:ilvl w:val="0"/>
                <w:numId w:val="6"/>
              </w:numPr>
              <w:rPr>
                <w:rFonts w:cs="Calibri"/>
                <w:sz w:val="18"/>
                <w:szCs w:val="18"/>
              </w:rPr>
            </w:pPr>
          </w:p>
        </w:tc>
        <w:tc>
          <w:tcPr>
            <w:tcW w:w="850" w:type="dxa"/>
            <w:noWrap/>
          </w:tcPr>
          <w:p w14:paraId="1A4FFEA0" w14:textId="77777777" w:rsidR="00F144E3" w:rsidRPr="001A0D0B" w:rsidRDefault="00F144E3" w:rsidP="00CB27AE">
            <w:pPr>
              <w:rPr>
                <w:rFonts w:cs="Calibri"/>
                <w:sz w:val="18"/>
                <w:szCs w:val="18"/>
              </w:rPr>
            </w:pPr>
            <w:r w:rsidRPr="001A0D0B">
              <w:rPr>
                <w:rFonts w:cs="Calibri"/>
                <w:sz w:val="18"/>
                <w:szCs w:val="18"/>
              </w:rPr>
              <w:t>Lancaster 2017</w:t>
            </w:r>
          </w:p>
        </w:tc>
        <w:tc>
          <w:tcPr>
            <w:tcW w:w="1985" w:type="dxa"/>
            <w:noWrap/>
          </w:tcPr>
          <w:p w14:paraId="09E804FD" w14:textId="77777777" w:rsidR="00F144E3" w:rsidRPr="001A0D0B" w:rsidRDefault="00F144E3" w:rsidP="00CB27AE">
            <w:pPr>
              <w:rPr>
                <w:rFonts w:cs="Calibri"/>
                <w:sz w:val="18"/>
                <w:szCs w:val="18"/>
              </w:rPr>
            </w:pPr>
            <w:r w:rsidRPr="001A0D0B">
              <w:rPr>
                <w:rFonts w:cs="Calibri"/>
                <w:sz w:val="18"/>
                <w:szCs w:val="18"/>
              </w:rPr>
              <w:t>The review addresses the following hypotheses:</w:t>
            </w:r>
          </w:p>
          <w:p w14:paraId="25140E9E" w14:textId="77777777" w:rsidR="00F144E3" w:rsidRPr="001A0D0B" w:rsidRDefault="00F144E3" w:rsidP="00CB27AE">
            <w:pPr>
              <w:rPr>
                <w:rFonts w:cs="Calibri"/>
                <w:sz w:val="18"/>
                <w:szCs w:val="18"/>
              </w:rPr>
            </w:pPr>
            <w:r w:rsidRPr="001A0D0B">
              <w:rPr>
                <w:rFonts w:cs="Calibri"/>
                <w:sz w:val="18"/>
                <w:szCs w:val="18"/>
              </w:rPr>
              <w:t>Individual counselling is more effective than no treatment or brief advice in promoting smoking cessation;</w:t>
            </w:r>
          </w:p>
          <w:p w14:paraId="0D81796D" w14:textId="77777777" w:rsidR="00F144E3" w:rsidRPr="001A0D0B" w:rsidRDefault="00F144E3" w:rsidP="00CB27AE">
            <w:pPr>
              <w:rPr>
                <w:rFonts w:cs="Calibri"/>
                <w:sz w:val="18"/>
                <w:szCs w:val="18"/>
              </w:rPr>
            </w:pPr>
            <w:r w:rsidRPr="001A0D0B">
              <w:rPr>
                <w:rFonts w:cs="Calibri"/>
                <w:sz w:val="18"/>
                <w:szCs w:val="18"/>
              </w:rPr>
              <w:t>Individual counselling is more effective than self-help materials in promoting smoking cessation; and</w:t>
            </w:r>
          </w:p>
          <w:p w14:paraId="3B1BFCA6" w14:textId="77777777" w:rsidR="00F144E3" w:rsidRPr="001A0D0B" w:rsidRDefault="00F144E3" w:rsidP="00CB27AE">
            <w:pPr>
              <w:rPr>
                <w:rFonts w:cs="Calibri"/>
                <w:sz w:val="18"/>
                <w:szCs w:val="18"/>
              </w:rPr>
            </w:pPr>
            <w:r w:rsidRPr="001A0D0B">
              <w:rPr>
                <w:rFonts w:cs="Calibri"/>
                <w:sz w:val="18"/>
                <w:szCs w:val="18"/>
              </w:rPr>
              <w:t>A more intensive counselling intervention is more effective than a less intensive intervention</w:t>
            </w:r>
          </w:p>
        </w:tc>
        <w:tc>
          <w:tcPr>
            <w:tcW w:w="1134" w:type="dxa"/>
            <w:noWrap/>
          </w:tcPr>
          <w:p w14:paraId="3BB85308" w14:textId="77777777" w:rsidR="00F144E3" w:rsidRPr="001A0D0B" w:rsidRDefault="00F144E3" w:rsidP="00CB27AE">
            <w:pPr>
              <w:rPr>
                <w:rFonts w:cs="Calibri"/>
                <w:sz w:val="18"/>
                <w:szCs w:val="18"/>
              </w:rPr>
            </w:pPr>
            <w:r w:rsidRPr="001A0D0B">
              <w:rPr>
                <w:rFonts w:cs="Calibri"/>
                <w:sz w:val="18"/>
                <w:szCs w:val="18"/>
              </w:rPr>
              <w:t>RCTs or quasi-RCTs with a minimum follow-up of six months</w:t>
            </w:r>
          </w:p>
          <w:p w14:paraId="295634DF" w14:textId="77777777" w:rsidR="00F144E3" w:rsidRPr="001A0D0B" w:rsidRDefault="00F144E3" w:rsidP="00CB27AE">
            <w:pPr>
              <w:rPr>
                <w:rFonts w:cs="Calibri"/>
                <w:sz w:val="18"/>
                <w:szCs w:val="18"/>
              </w:rPr>
            </w:pPr>
            <w:r w:rsidRPr="001A0D0B">
              <w:rPr>
                <w:rFonts w:cs="Calibri"/>
                <w:sz w:val="18"/>
                <w:szCs w:val="18"/>
              </w:rPr>
              <w:t>Any smokers</w:t>
            </w:r>
          </w:p>
        </w:tc>
        <w:tc>
          <w:tcPr>
            <w:tcW w:w="1701" w:type="dxa"/>
            <w:noWrap/>
          </w:tcPr>
          <w:p w14:paraId="6B37161E" w14:textId="77777777" w:rsidR="00F144E3" w:rsidRPr="001A0D0B" w:rsidRDefault="00F144E3" w:rsidP="00CB27AE">
            <w:pPr>
              <w:rPr>
                <w:rFonts w:cs="Calibri"/>
                <w:sz w:val="18"/>
                <w:szCs w:val="18"/>
              </w:rPr>
            </w:pPr>
            <w:r w:rsidRPr="001A0D0B">
              <w:rPr>
                <w:rFonts w:cs="Calibri"/>
                <w:sz w:val="18"/>
                <w:szCs w:val="18"/>
              </w:rPr>
              <w:t>Individual counselling/no treatment or brief advice or self-help materials or less intensive intervention</w:t>
            </w:r>
          </w:p>
        </w:tc>
        <w:tc>
          <w:tcPr>
            <w:tcW w:w="1134" w:type="dxa"/>
            <w:noWrap/>
          </w:tcPr>
          <w:p w14:paraId="3B586533" w14:textId="77777777" w:rsidR="00F144E3" w:rsidRPr="001A0D0B" w:rsidRDefault="00F144E3" w:rsidP="00CB27AE">
            <w:pPr>
              <w:rPr>
                <w:rFonts w:cs="Calibri"/>
                <w:sz w:val="18"/>
                <w:szCs w:val="18"/>
              </w:rPr>
            </w:pPr>
            <w:r w:rsidRPr="001A0D0B">
              <w:rPr>
                <w:rFonts w:cs="Calibri"/>
                <w:sz w:val="18"/>
                <w:szCs w:val="18"/>
              </w:rPr>
              <w:t>Smoking cessation at the longest reported follow-up</w:t>
            </w:r>
          </w:p>
        </w:tc>
        <w:tc>
          <w:tcPr>
            <w:tcW w:w="1134" w:type="dxa"/>
            <w:noWrap/>
          </w:tcPr>
          <w:p w14:paraId="492F295F"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3153052B"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58FA0C6D"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0BBB8838" w14:textId="77777777" w:rsidR="00F144E3" w:rsidRPr="001A0D0B" w:rsidRDefault="00F144E3" w:rsidP="00CB27AE">
            <w:pPr>
              <w:jc w:val="center"/>
              <w:rPr>
                <w:rFonts w:cs="Calibri"/>
                <w:sz w:val="18"/>
                <w:szCs w:val="18"/>
              </w:rPr>
            </w:pPr>
            <w:r w:rsidRPr="001A0D0B">
              <w:rPr>
                <w:rFonts w:cs="Calibri"/>
                <w:sz w:val="18"/>
                <w:szCs w:val="18"/>
              </w:rPr>
              <w:t>49</w:t>
            </w:r>
          </w:p>
        </w:tc>
        <w:tc>
          <w:tcPr>
            <w:tcW w:w="1418" w:type="dxa"/>
            <w:noWrap/>
          </w:tcPr>
          <w:p w14:paraId="34657EEC" w14:textId="77777777" w:rsidR="00F144E3" w:rsidRPr="001A0D0B" w:rsidRDefault="00F144E3" w:rsidP="00CB27AE">
            <w:pPr>
              <w:rPr>
                <w:rFonts w:cs="Calibri"/>
                <w:sz w:val="18"/>
                <w:szCs w:val="18"/>
              </w:rPr>
            </w:pPr>
            <w:r w:rsidRPr="001A0D0B">
              <w:rPr>
                <w:rFonts w:cs="Calibri"/>
                <w:sz w:val="18"/>
                <w:szCs w:val="18"/>
              </w:rPr>
              <w:t>19,000</w:t>
            </w:r>
          </w:p>
        </w:tc>
      </w:tr>
      <w:tr w:rsidR="00F144E3" w:rsidRPr="001A0D0B" w14:paraId="431FBE95" w14:textId="77777777" w:rsidTr="00B33FD4">
        <w:tc>
          <w:tcPr>
            <w:tcW w:w="421" w:type="dxa"/>
            <w:noWrap/>
          </w:tcPr>
          <w:p w14:paraId="3544FC12" w14:textId="77777777" w:rsidR="00F144E3" w:rsidRPr="001A0D0B" w:rsidRDefault="00F144E3" w:rsidP="00C324F3">
            <w:pPr>
              <w:numPr>
                <w:ilvl w:val="0"/>
                <w:numId w:val="6"/>
              </w:numPr>
              <w:rPr>
                <w:rFonts w:cs="Calibri"/>
                <w:sz w:val="18"/>
                <w:szCs w:val="18"/>
              </w:rPr>
            </w:pPr>
          </w:p>
        </w:tc>
        <w:tc>
          <w:tcPr>
            <w:tcW w:w="850" w:type="dxa"/>
            <w:noWrap/>
          </w:tcPr>
          <w:p w14:paraId="32870845" w14:textId="77777777" w:rsidR="00F144E3" w:rsidRPr="001A0D0B" w:rsidRDefault="00F144E3" w:rsidP="00CB27AE">
            <w:pPr>
              <w:rPr>
                <w:rFonts w:cs="Calibri"/>
                <w:sz w:val="18"/>
                <w:szCs w:val="18"/>
              </w:rPr>
            </w:pPr>
            <w:r w:rsidRPr="001A0D0B">
              <w:rPr>
                <w:rFonts w:cs="Calibri"/>
                <w:sz w:val="18"/>
                <w:szCs w:val="18"/>
              </w:rPr>
              <w:t>Fanshawe 2017</w:t>
            </w:r>
          </w:p>
        </w:tc>
        <w:tc>
          <w:tcPr>
            <w:tcW w:w="1985" w:type="dxa"/>
            <w:noWrap/>
          </w:tcPr>
          <w:p w14:paraId="01550EB8" w14:textId="77777777" w:rsidR="00F144E3" w:rsidRPr="001A0D0B" w:rsidRDefault="00F144E3" w:rsidP="00CB27AE">
            <w:pPr>
              <w:rPr>
                <w:rFonts w:cs="Calibri"/>
                <w:sz w:val="18"/>
                <w:szCs w:val="18"/>
              </w:rPr>
            </w:pPr>
            <w:r w:rsidRPr="001A0D0B">
              <w:rPr>
                <w:rFonts w:cs="Calibri"/>
                <w:sz w:val="18"/>
                <w:szCs w:val="18"/>
              </w:rPr>
              <w:t xml:space="preserve">To evaluate the effectiveness of strategies that help </w:t>
            </w:r>
            <w:r w:rsidRPr="001A0D0B">
              <w:rPr>
                <w:rFonts w:cs="Calibri"/>
                <w:sz w:val="18"/>
                <w:szCs w:val="18"/>
              </w:rPr>
              <w:lastRenderedPageBreak/>
              <w:t>young people to stop smoking tobacco</w:t>
            </w:r>
          </w:p>
        </w:tc>
        <w:tc>
          <w:tcPr>
            <w:tcW w:w="1134" w:type="dxa"/>
            <w:noWrap/>
          </w:tcPr>
          <w:p w14:paraId="37225F8B" w14:textId="77777777" w:rsidR="00F144E3" w:rsidRPr="001A0D0B" w:rsidRDefault="00F144E3" w:rsidP="00CB27AE">
            <w:pPr>
              <w:rPr>
                <w:rFonts w:cs="Calibri"/>
                <w:sz w:val="18"/>
                <w:szCs w:val="18"/>
              </w:rPr>
            </w:pPr>
            <w:r w:rsidRPr="001A0D0B">
              <w:rPr>
                <w:rFonts w:cs="Calibri"/>
                <w:sz w:val="18"/>
                <w:szCs w:val="18"/>
              </w:rPr>
              <w:lastRenderedPageBreak/>
              <w:t>RCTs</w:t>
            </w:r>
          </w:p>
          <w:p w14:paraId="3CB821E7" w14:textId="77777777" w:rsidR="00F144E3" w:rsidRPr="001A0D0B" w:rsidRDefault="00F144E3" w:rsidP="00CB27AE">
            <w:pPr>
              <w:rPr>
                <w:rFonts w:cs="Calibri"/>
                <w:sz w:val="18"/>
                <w:szCs w:val="18"/>
              </w:rPr>
            </w:pPr>
            <w:r w:rsidRPr="001A0D0B">
              <w:rPr>
                <w:rFonts w:cs="Calibri"/>
                <w:sz w:val="18"/>
                <w:szCs w:val="18"/>
              </w:rPr>
              <w:t xml:space="preserve">Young people, aged under </w:t>
            </w:r>
            <w:r w:rsidRPr="001A0D0B">
              <w:rPr>
                <w:rFonts w:cs="Calibri"/>
                <w:sz w:val="18"/>
                <w:szCs w:val="18"/>
              </w:rPr>
              <w:lastRenderedPageBreak/>
              <w:t>20 years, who were regular, current tobacco smokers</w:t>
            </w:r>
          </w:p>
        </w:tc>
        <w:tc>
          <w:tcPr>
            <w:tcW w:w="1701" w:type="dxa"/>
            <w:noWrap/>
          </w:tcPr>
          <w:p w14:paraId="7EF96804" w14:textId="77777777" w:rsidR="00F144E3" w:rsidRPr="001A0D0B" w:rsidRDefault="00F144E3" w:rsidP="00CB27AE">
            <w:pPr>
              <w:rPr>
                <w:rFonts w:cs="Calibri"/>
                <w:sz w:val="18"/>
                <w:szCs w:val="18"/>
              </w:rPr>
            </w:pPr>
            <w:r w:rsidRPr="001A0D0B">
              <w:rPr>
                <w:rFonts w:cs="Calibri"/>
                <w:sz w:val="18"/>
                <w:szCs w:val="18"/>
              </w:rPr>
              <w:lastRenderedPageBreak/>
              <w:t xml:space="preserve">NRT, BUP, nicotine patch + BUP, individual counselling, group </w:t>
            </w:r>
            <w:r w:rsidRPr="001A0D0B">
              <w:rPr>
                <w:rFonts w:cs="Calibri"/>
                <w:sz w:val="18"/>
                <w:szCs w:val="18"/>
              </w:rPr>
              <w:lastRenderedPageBreak/>
              <w:t>counselling, computer-based interventions/</w:t>
            </w:r>
          </w:p>
          <w:p w14:paraId="41185E22" w14:textId="77777777" w:rsidR="00F144E3" w:rsidRPr="001A0D0B" w:rsidRDefault="00F144E3" w:rsidP="00CB27AE">
            <w:pPr>
              <w:rPr>
                <w:rFonts w:cs="Calibri"/>
                <w:sz w:val="18"/>
                <w:szCs w:val="18"/>
              </w:rPr>
            </w:pPr>
          </w:p>
          <w:p w14:paraId="5EE021C8" w14:textId="77777777" w:rsidR="00F144E3" w:rsidRPr="001A0D0B" w:rsidRDefault="00F144E3" w:rsidP="00CB27AE">
            <w:pPr>
              <w:rPr>
                <w:rFonts w:cs="Calibri"/>
                <w:sz w:val="18"/>
                <w:szCs w:val="18"/>
              </w:rPr>
            </w:pPr>
            <w:r w:rsidRPr="001A0D0B">
              <w:rPr>
                <w:rFonts w:cs="Calibri"/>
                <w:sz w:val="18"/>
                <w:szCs w:val="18"/>
              </w:rPr>
              <w:t>Placebo</w:t>
            </w:r>
          </w:p>
        </w:tc>
        <w:tc>
          <w:tcPr>
            <w:tcW w:w="1134" w:type="dxa"/>
            <w:noWrap/>
          </w:tcPr>
          <w:p w14:paraId="577CD0EB" w14:textId="77777777" w:rsidR="00F144E3" w:rsidRPr="001A0D0B" w:rsidRDefault="00F144E3" w:rsidP="00CB27AE">
            <w:pPr>
              <w:rPr>
                <w:rFonts w:cs="Calibri"/>
                <w:sz w:val="18"/>
                <w:szCs w:val="18"/>
              </w:rPr>
            </w:pPr>
            <w:r w:rsidRPr="001A0D0B">
              <w:rPr>
                <w:rFonts w:cs="Calibri"/>
                <w:sz w:val="18"/>
                <w:szCs w:val="18"/>
              </w:rPr>
              <w:lastRenderedPageBreak/>
              <w:t xml:space="preserve">Change in smoking behaviour (being a </w:t>
            </w:r>
            <w:r w:rsidRPr="001A0D0B">
              <w:rPr>
                <w:rFonts w:cs="Calibri"/>
                <w:sz w:val="18"/>
                <w:szCs w:val="18"/>
              </w:rPr>
              <w:lastRenderedPageBreak/>
              <w:t>smoker at baseline and becoming an ex-smoker at follow- up) at six months' follow-up or longer</w:t>
            </w:r>
          </w:p>
        </w:tc>
        <w:tc>
          <w:tcPr>
            <w:tcW w:w="1134" w:type="dxa"/>
            <w:noWrap/>
          </w:tcPr>
          <w:p w14:paraId="6A67AA59" w14:textId="77777777" w:rsidR="00F144E3" w:rsidRPr="001A0D0B" w:rsidRDefault="00F144E3" w:rsidP="00CB27AE">
            <w:pPr>
              <w:rPr>
                <w:rFonts w:cs="Calibri"/>
                <w:sz w:val="18"/>
                <w:szCs w:val="18"/>
              </w:rPr>
            </w:pPr>
            <w:r w:rsidRPr="001A0D0B">
              <w:rPr>
                <w:rFonts w:cs="Calibri"/>
                <w:sz w:val="18"/>
                <w:szCs w:val="18"/>
              </w:rPr>
              <w:lastRenderedPageBreak/>
              <w:t>N/A</w:t>
            </w:r>
          </w:p>
        </w:tc>
        <w:tc>
          <w:tcPr>
            <w:tcW w:w="1520" w:type="dxa"/>
            <w:noWrap/>
          </w:tcPr>
          <w:p w14:paraId="25FF1683"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460F74EF"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5A05CA64" w14:textId="77777777" w:rsidR="00F144E3" w:rsidRPr="001A0D0B" w:rsidRDefault="00F144E3" w:rsidP="00CB27AE">
            <w:pPr>
              <w:jc w:val="center"/>
              <w:rPr>
                <w:rFonts w:cs="Calibri"/>
                <w:sz w:val="18"/>
                <w:szCs w:val="18"/>
              </w:rPr>
            </w:pPr>
            <w:r w:rsidRPr="001A0D0B">
              <w:rPr>
                <w:rFonts w:cs="Calibri"/>
                <w:sz w:val="18"/>
                <w:szCs w:val="18"/>
              </w:rPr>
              <w:t>41</w:t>
            </w:r>
          </w:p>
        </w:tc>
        <w:tc>
          <w:tcPr>
            <w:tcW w:w="1418" w:type="dxa"/>
            <w:noWrap/>
          </w:tcPr>
          <w:p w14:paraId="2B3248CE" w14:textId="77777777" w:rsidR="00F144E3" w:rsidRPr="001A0D0B" w:rsidRDefault="00F144E3" w:rsidP="00CB27AE">
            <w:pPr>
              <w:rPr>
                <w:rFonts w:cs="Calibri"/>
                <w:sz w:val="18"/>
                <w:szCs w:val="18"/>
              </w:rPr>
            </w:pPr>
            <w:r w:rsidRPr="001A0D0B">
              <w:rPr>
                <w:rFonts w:cs="Calibri"/>
                <w:sz w:val="18"/>
                <w:szCs w:val="18"/>
              </w:rPr>
              <w:t>Around 13,000</w:t>
            </w:r>
          </w:p>
        </w:tc>
      </w:tr>
      <w:tr w:rsidR="00F144E3" w:rsidRPr="001A0D0B" w14:paraId="34B50FF9" w14:textId="77777777" w:rsidTr="00B33FD4">
        <w:tc>
          <w:tcPr>
            <w:tcW w:w="421" w:type="dxa"/>
            <w:noWrap/>
          </w:tcPr>
          <w:p w14:paraId="0C1F38C9" w14:textId="77777777" w:rsidR="00F144E3" w:rsidRPr="001A0D0B" w:rsidRDefault="00F144E3" w:rsidP="00C324F3">
            <w:pPr>
              <w:numPr>
                <w:ilvl w:val="0"/>
                <w:numId w:val="6"/>
              </w:numPr>
              <w:rPr>
                <w:rFonts w:cs="Calibri"/>
                <w:sz w:val="18"/>
                <w:szCs w:val="18"/>
              </w:rPr>
            </w:pPr>
          </w:p>
        </w:tc>
        <w:tc>
          <w:tcPr>
            <w:tcW w:w="850" w:type="dxa"/>
            <w:noWrap/>
          </w:tcPr>
          <w:p w14:paraId="24D22494" w14:textId="77777777" w:rsidR="00F144E3" w:rsidRPr="001A0D0B" w:rsidRDefault="00F144E3" w:rsidP="00CB27AE">
            <w:pPr>
              <w:rPr>
                <w:rFonts w:cs="Calibri"/>
                <w:sz w:val="18"/>
                <w:szCs w:val="18"/>
              </w:rPr>
            </w:pPr>
            <w:r w:rsidRPr="001A0D0B">
              <w:rPr>
                <w:rFonts w:cs="Calibri"/>
                <w:sz w:val="18"/>
                <w:szCs w:val="18"/>
              </w:rPr>
              <w:t>Cahill 2016</w:t>
            </w:r>
          </w:p>
        </w:tc>
        <w:tc>
          <w:tcPr>
            <w:tcW w:w="1985" w:type="dxa"/>
            <w:noWrap/>
          </w:tcPr>
          <w:p w14:paraId="2CD20607" w14:textId="77777777" w:rsidR="00F144E3" w:rsidRPr="001A0D0B" w:rsidRDefault="00F144E3" w:rsidP="00CB27AE">
            <w:pPr>
              <w:rPr>
                <w:rFonts w:cs="Calibri"/>
                <w:sz w:val="18"/>
                <w:szCs w:val="18"/>
              </w:rPr>
            </w:pPr>
            <w:r w:rsidRPr="001A0D0B">
              <w:rPr>
                <w:rFonts w:cs="Calibri"/>
                <w:sz w:val="18"/>
                <w:szCs w:val="18"/>
              </w:rPr>
              <w:t>To review the efficacy of nicotine receptor partial agonists, including varenicline and cytisine, for smoking cessation</w:t>
            </w:r>
          </w:p>
        </w:tc>
        <w:tc>
          <w:tcPr>
            <w:tcW w:w="1134" w:type="dxa"/>
            <w:noWrap/>
          </w:tcPr>
          <w:p w14:paraId="103E003B" w14:textId="77777777" w:rsidR="00F144E3" w:rsidRPr="001A0D0B" w:rsidRDefault="00F144E3" w:rsidP="00CB27AE">
            <w:pPr>
              <w:rPr>
                <w:rFonts w:cs="Calibri"/>
                <w:sz w:val="18"/>
                <w:szCs w:val="18"/>
              </w:rPr>
            </w:pPr>
            <w:r w:rsidRPr="001A0D0B">
              <w:rPr>
                <w:rFonts w:cs="Calibri"/>
                <w:sz w:val="18"/>
                <w:szCs w:val="18"/>
              </w:rPr>
              <w:t>RCTs</w:t>
            </w:r>
          </w:p>
          <w:p w14:paraId="359B8810" w14:textId="77777777" w:rsidR="00F144E3" w:rsidRPr="001A0D0B" w:rsidRDefault="00F144E3" w:rsidP="00CB27AE">
            <w:pPr>
              <w:rPr>
                <w:rFonts w:cs="Calibri"/>
                <w:sz w:val="18"/>
                <w:szCs w:val="18"/>
              </w:rPr>
            </w:pPr>
            <w:r w:rsidRPr="001A0D0B">
              <w:rPr>
                <w:rFonts w:cs="Calibri"/>
                <w:sz w:val="18"/>
                <w:szCs w:val="18"/>
              </w:rPr>
              <w:t>Adult smokers</w:t>
            </w:r>
          </w:p>
        </w:tc>
        <w:tc>
          <w:tcPr>
            <w:tcW w:w="1701" w:type="dxa"/>
            <w:noWrap/>
          </w:tcPr>
          <w:p w14:paraId="2ABFA33B" w14:textId="77777777" w:rsidR="00F144E3" w:rsidRPr="001A0D0B" w:rsidRDefault="00F144E3" w:rsidP="00CB27AE">
            <w:pPr>
              <w:rPr>
                <w:rFonts w:cs="Calibri"/>
                <w:sz w:val="18"/>
                <w:szCs w:val="18"/>
              </w:rPr>
            </w:pPr>
            <w:r w:rsidRPr="001A0D0B">
              <w:rPr>
                <w:rFonts w:cs="Calibri"/>
                <w:sz w:val="18"/>
                <w:szCs w:val="18"/>
              </w:rPr>
              <w:t>Selective nicotine receptor partial agonists</w:t>
            </w:r>
          </w:p>
          <w:p w14:paraId="14E5EAF9" w14:textId="77777777" w:rsidR="00F144E3" w:rsidRPr="001A0D0B" w:rsidRDefault="00F144E3" w:rsidP="00CB27AE">
            <w:pPr>
              <w:rPr>
                <w:rFonts w:cs="Calibri"/>
                <w:sz w:val="18"/>
                <w:szCs w:val="18"/>
              </w:rPr>
            </w:pPr>
          </w:p>
          <w:p w14:paraId="53741272" w14:textId="77777777" w:rsidR="00F144E3" w:rsidRPr="001A0D0B" w:rsidRDefault="00F144E3" w:rsidP="00CB27AE">
            <w:pPr>
              <w:rPr>
                <w:rFonts w:cs="Calibri"/>
                <w:sz w:val="18"/>
                <w:szCs w:val="18"/>
              </w:rPr>
            </w:pPr>
            <w:r w:rsidRPr="001A0D0B">
              <w:rPr>
                <w:rFonts w:cs="Calibri"/>
                <w:sz w:val="18"/>
                <w:szCs w:val="18"/>
              </w:rPr>
              <w:t>Placebo, NRT, both NRT and placebo, quitline counselling alone</w:t>
            </w:r>
          </w:p>
        </w:tc>
        <w:tc>
          <w:tcPr>
            <w:tcW w:w="1134" w:type="dxa"/>
            <w:noWrap/>
          </w:tcPr>
          <w:p w14:paraId="26F47DE7" w14:textId="77777777" w:rsidR="00F144E3" w:rsidRPr="001A0D0B" w:rsidRDefault="00F144E3" w:rsidP="00CB27AE">
            <w:pPr>
              <w:rPr>
                <w:rFonts w:cs="Calibri"/>
                <w:sz w:val="18"/>
                <w:szCs w:val="18"/>
              </w:rPr>
            </w:pPr>
            <w:r w:rsidRPr="001A0D0B">
              <w:rPr>
                <w:rFonts w:cs="Calibri"/>
                <w:sz w:val="18"/>
                <w:szCs w:val="18"/>
              </w:rPr>
              <w:t>A minimum of six months abstinence is the primary outcome measure.</w:t>
            </w:r>
          </w:p>
        </w:tc>
        <w:tc>
          <w:tcPr>
            <w:tcW w:w="1134" w:type="dxa"/>
            <w:noWrap/>
          </w:tcPr>
          <w:p w14:paraId="0C8EBC45" w14:textId="77777777" w:rsidR="00F144E3" w:rsidRPr="001A0D0B" w:rsidRDefault="00F144E3" w:rsidP="00CB27AE">
            <w:pPr>
              <w:rPr>
                <w:rFonts w:cs="Calibri"/>
                <w:sz w:val="18"/>
                <w:szCs w:val="18"/>
              </w:rPr>
            </w:pPr>
            <w:r w:rsidRPr="001A0D0B">
              <w:rPr>
                <w:rFonts w:cs="Calibri"/>
                <w:sz w:val="18"/>
                <w:szCs w:val="18"/>
              </w:rPr>
              <w:t>N/A</w:t>
            </w:r>
          </w:p>
        </w:tc>
        <w:tc>
          <w:tcPr>
            <w:tcW w:w="1520" w:type="dxa"/>
            <w:noWrap/>
          </w:tcPr>
          <w:p w14:paraId="5AD96321" w14:textId="77777777" w:rsidR="00F144E3" w:rsidRPr="001A0D0B" w:rsidRDefault="00F144E3" w:rsidP="00CB27AE">
            <w:pPr>
              <w:ind w:hanging="27"/>
              <w:rPr>
                <w:rFonts w:cs="Calibri"/>
                <w:sz w:val="18"/>
                <w:szCs w:val="18"/>
              </w:rPr>
            </w:pPr>
            <w:r w:rsidRPr="001A0D0B">
              <w:rPr>
                <w:rFonts w:cs="Calibri"/>
                <w:sz w:val="18"/>
                <w:szCs w:val="18"/>
              </w:rPr>
              <w:t>Adverse event: nausea, insomnia, abnormal dreams, headache, depression, suicidal ideation;</w:t>
            </w:r>
          </w:p>
          <w:p w14:paraId="60BCCE71" w14:textId="77777777" w:rsidR="00F144E3" w:rsidRPr="001A0D0B" w:rsidRDefault="00F144E3" w:rsidP="00CB27AE">
            <w:pPr>
              <w:ind w:hanging="27"/>
              <w:rPr>
                <w:rFonts w:cs="Calibri"/>
                <w:sz w:val="18"/>
                <w:szCs w:val="18"/>
              </w:rPr>
            </w:pPr>
            <w:r w:rsidRPr="001A0D0B">
              <w:rPr>
                <w:rFonts w:cs="Calibri"/>
                <w:sz w:val="18"/>
                <w:szCs w:val="18"/>
              </w:rPr>
              <w:t>Serious adverse events: neuropsychiatric SAEs (not deaths), Cardiac SAEs, including deaths</w:t>
            </w:r>
          </w:p>
        </w:tc>
        <w:tc>
          <w:tcPr>
            <w:tcW w:w="1031" w:type="dxa"/>
            <w:noWrap/>
          </w:tcPr>
          <w:p w14:paraId="46489CA4" w14:textId="77777777" w:rsidR="00F144E3" w:rsidRPr="001A0D0B" w:rsidRDefault="00F144E3" w:rsidP="00CB27AE">
            <w:pPr>
              <w:jc w:val="center"/>
              <w:rPr>
                <w:rFonts w:cs="Calibri"/>
                <w:sz w:val="18"/>
                <w:szCs w:val="18"/>
              </w:rPr>
            </w:pPr>
            <w:r w:rsidRPr="001A0D0B">
              <w:rPr>
                <w:rFonts w:cs="Calibri"/>
                <w:sz w:val="18"/>
                <w:szCs w:val="18"/>
              </w:rPr>
              <w:t>Meta-analysis</w:t>
            </w:r>
          </w:p>
        </w:tc>
        <w:tc>
          <w:tcPr>
            <w:tcW w:w="992" w:type="dxa"/>
            <w:noWrap/>
          </w:tcPr>
          <w:p w14:paraId="6AAE2661" w14:textId="77777777" w:rsidR="00F144E3" w:rsidRPr="001A0D0B" w:rsidRDefault="00F144E3" w:rsidP="00CB27AE">
            <w:pPr>
              <w:jc w:val="center"/>
              <w:rPr>
                <w:rFonts w:cs="Calibri"/>
                <w:sz w:val="18"/>
                <w:szCs w:val="18"/>
              </w:rPr>
            </w:pPr>
            <w:r w:rsidRPr="001A0D0B">
              <w:rPr>
                <w:rFonts w:cs="Calibri"/>
                <w:sz w:val="18"/>
                <w:szCs w:val="18"/>
              </w:rPr>
              <w:t xml:space="preserve">44 trials </w:t>
            </w:r>
          </w:p>
        </w:tc>
        <w:tc>
          <w:tcPr>
            <w:tcW w:w="1418" w:type="dxa"/>
            <w:noWrap/>
          </w:tcPr>
          <w:p w14:paraId="3603392C" w14:textId="77777777" w:rsidR="00F144E3" w:rsidRPr="001A0D0B" w:rsidRDefault="00F144E3" w:rsidP="00CB27AE">
            <w:pPr>
              <w:rPr>
                <w:rFonts w:cs="Calibri"/>
                <w:sz w:val="18"/>
                <w:szCs w:val="18"/>
              </w:rPr>
            </w:pPr>
            <w:r w:rsidRPr="001A0D0B">
              <w:rPr>
                <w:rFonts w:cs="Calibri"/>
                <w:sz w:val="18"/>
                <w:szCs w:val="18"/>
              </w:rPr>
              <w:t>Not mentioned</w:t>
            </w:r>
          </w:p>
        </w:tc>
      </w:tr>
      <w:tr w:rsidR="00F144E3" w:rsidRPr="001A0D0B" w14:paraId="0AC3D21E" w14:textId="77777777" w:rsidTr="00B33FD4">
        <w:tc>
          <w:tcPr>
            <w:tcW w:w="421" w:type="dxa"/>
            <w:noWrap/>
          </w:tcPr>
          <w:p w14:paraId="6C0F5985" w14:textId="77777777" w:rsidR="00F144E3" w:rsidRPr="001A0D0B" w:rsidRDefault="00F144E3" w:rsidP="00C324F3">
            <w:pPr>
              <w:numPr>
                <w:ilvl w:val="0"/>
                <w:numId w:val="6"/>
              </w:numPr>
              <w:rPr>
                <w:rFonts w:cs="Calibri"/>
                <w:sz w:val="18"/>
                <w:szCs w:val="18"/>
              </w:rPr>
            </w:pPr>
          </w:p>
        </w:tc>
        <w:tc>
          <w:tcPr>
            <w:tcW w:w="850" w:type="dxa"/>
            <w:noWrap/>
          </w:tcPr>
          <w:p w14:paraId="23EA41B9" w14:textId="77777777" w:rsidR="00F144E3" w:rsidRPr="001A0D0B" w:rsidRDefault="00F144E3" w:rsidP="00CB27AE">
            <w:pPr>
              <w:rPr>
                <w:rFonts w:cs="Calibri"/>
                <w:sz w:val="18"/>
                <w:szCs w:val="18"/>
              </w:rPr>
            </w:pPr>
            <w:r w:rsidRPr="001A0D0B">
              <w:rPr>
                <w:rFonts w:cs="Calibri"/>
                <w:sz w:val="18"/>
                <w:szCs w:val="18"/>
              </w:rPr>
              <w:t>Cahill 2013</w:t>
            </w:r>
          </w:p>
        </w:tc>
        <w:tc>
          <w:tcPr>
            <w:tcW w:w="1985" w:type="dxa"/>
            <w:noWrap/>
          </w:tcPr>
          <w:p w14:paraId="6CE81A2A" w14:textId="77777777" w:rsidR="00F144E3" w:rsidRPr="001A0D0B" w:rsidRDefault="00F144E3" w:rsidP="00CB27AE">
            <w:pPr>
              <w:rPr>
                <w:rFonts w:cs="Calibri"/>
                <w:sz w:val="18"/>
                <w:szCs w:val="18"/>
              </w:rPr>
            </w:pPr>
            <w:r w:rsidRPr="001A0D0B">
              <w:rPr>
                <w:rFonts w:cs="Calibri"/>
                <w:sz w:val="18"/>
                <w:szCs w:val="18"/>
              </w:rPr>
              <w:t>To conduct an overview of Cochrane reviews which assess the efficacy and safety of pharmacological interventions designed to support smoking cessation attempts</w:t>
            </w:r>
          </w:p>
        </w:tc>
        <w:tc>
          <w:tcPr>
            <w:tcW w:w="1134" w:type="dxa"/>
            <w:noWrap/>
          </w:tcPr>
          <w:p w14:paraId="1F40B3CC" w14:textId="77777777" w:rsidR="00F144E3" w:rsidRPr="001A0D0B" w:rsidRDefault="00F144E3" w:rsidP="00CB27AE">
            <w:pPr>
              <w:rPr>
                <w:rFonts w:cs="Calibri"/>
                <w:sz w:val="18"/>
                <w:szCs w:val="18"/>
              </w:rPr>
            </w:pPr>
            <w:r w:rsidRPr="001A0D0B">
              <w:rPr>
                <w:rFonts w:cs="Calibri"/>
                <w:sz w:val="18"/>
                <w:szCs w:val="18"/>
              </w:rPr>
              <w:t xml:space="preserve">RCTs </w:t>
            </w:r>
          </w:p>
          <w:p w14:paraId="103E5A60" w14:textId="77777777" w:rsidR="00F144E3" w:rsidRPr="001A0D0B" w:rsidRDefault="00F144E3" w:rsidP="00CB27AE">
            <w:pPr>
              <w:rPr>
                <w:rFonts w:cs="Calibri"/>
                <w:sz w:val="18"/>
                <w:szCs w:val="18"/>
              </w:rPr>
            </w:pPr>
            <w:r w:rsidRPr="001A0D0B">
              <w:rPr>
                <w:rFonts w:cs="Calibri"/>
                <w:sz w:val="18"/>
                <w:szCs w:val="18"/>
              </w:rPr>
              <w:t>Post-marketing surveillance data where these are available and appropriate</w:t>
            </w:r>
          </w:p>
          <w:p w14:paraId="431DD05E" w14:textId="77777777" w:rsidR="00F144E3" w:rsidRPr="001A0D0B" w:rsidRDefault="00F144E3" w:rsidP="00CB27AE">
            <w:pPr>
              <w:rPr>
                <w:rFonts w:cs="Calibri"/>
                <w:sz w:val="18"/>
                <w:szCs w:val="18"/>
              </w:rPr>
            </w:pPr>
          </w:p>
          <w:p w14:paraId="69CF8887" w14:textId="77777777" w:rsidR="00F144E3" w:rsidRPr="001A0D0B" w:rsidRDefault="00F144E3" w:rsidP="00CB27AE">
            <w:pPr>
              <w:rPr>
                <w:rFonts w:cs="Calibri"/>
                <w:sz w:val="18"/>
                <w:szCs w:val="18"/>
              </w:rPr>
            </w:pPr>
            <w:r w:rsidRPr="001A0D0B">
              <w:rPr>
                <w:rFonts w:cs="Calibri"/>
                <w:sz w:val="18"/>
                <w:szCs w:val="18"/>
              </w:rPr>
              <w:lastRenderedPageBreak/>
              <w:t>Adult smokers, of either gender, and of any nationality and ethnicity</w:t>
            </w:r>
          </w:p>
        </w:tc>
        <w:tc>
          <w:tcPr>
            <w:tcW w:w="1701" w:type="dxa"/>
            <w:noWrap/>
          </w:tcPr>
          <w:p w14:paraId="59B58FD6" w14:textId="77777777" w:rsidR="00F144E3" w:rsidRPr="001A0D0B" w:rsidRDefault="00F144E3" w:rsidP="00CB27AE">
            <w:pPr>
              <w:rPr>
                <w:rFonts w:cs="Calibri"/>
                <w:sz w:val="18"/>
                <w:szCs w:val="18"/>
              </w:rPr>
            </w:pPr>
            <w:r w:rsidRPr="001A0D0B">
              <w:rPr>
                <w:rFonts w:cs="Calibri"/>
                <w:sz w:val="18"/>
                <w:szCs w:val="18"/>
              </w:rPr>
              <w:lastRenderedPageBreak/>
              <w:t xml:space="preserve">NRT, antidepressants (bupropion and nortriptyline), nicotine receptor partial agonists (varenicline and cytisine), anxiolytics, selective type 1 cannabinoid </w:t>
            </w:r>
            <w:r w:rsidRPr="001A0D0B">
              <w:rPr>
                <w:rFonts w:cs="Calibri"/>
                <w:sz w:val="18"/>
                <w:szCs w:val="18"/>
              </w:rPr>
              <w:lastRenderedPageBreak/>
              <w:t>receptor antagonists (rimonabant), clonidine, lobeline, dianicline, mecamylamine, Nicobrevin, opioid antagonists, nicotine vaccines, and silver acetate. These interventions may be delivered as monotherapies or in combination.</w:t>
            </w:r>
          </w:p>
          <w:p w14:paraId="255BFB0E" w14:textId="77777777" w:rsidR="00F144E3" w:rsidRPr="001A0D0B" w:rsidRDefault="00F144E3" w:rsidP="00CB27AE">
            <w:pPr>
              <w:rPr>
                <w:rFonts w:cs="Calibri"/>
                <w:sz w:val="18"/>
                <w:szCs w:val="18"/>
              </w:rPr>
            </w:pPr>
          </w:p>
          <w:p w14:paraId="54BB1AA8" w14:textId="1E1C4ADC" w:rsidR="00F144E3" w:rsidRPr="001A0D0B" w:rsidRDefault="00F144E3" w:rsidP="00CB27AE">
            <w:pPr>
              <w:rPr>
                <w:rFonts w:cs="Calibri"/>
                <w:sz w:val="18"/>
                <w:szCs w:val="18"/>
              </w:rPr>
            </w:pPr>
            <w:r w:rsidRPr="001A0D0B">
              <w:rPr>
                <w:rFonts w:cs="Calibri"/>
                <w:sz w:val="18"/>
                <w:szCs w:val="18"/>
              </w:rPr>
              <w:t xml:space="preserve">Placebo, other pharmacological </w:t>
            </w:r>
            <w:r w:rsidR="004664D2" w:rsidRPr="001A0D0B">
              <w:rPr>
                <w:rFonts w:cs="Calibri"/>
                <w:sz w:val="18"/>
                <w:szCs w:val="18"/>
              </w:rPr>
              <w:t>treatments,</w:t>
            </w:r>
            <w:r w:rsidRPr="001A0D0B">
              <w:rPr>
                <w:rFonts w:cs="Calibri"/>
                <w:sz w:val="18"/>
                <w:szCs w:val="18"/>
              </w:rPr>
              <w:t xml:space="preserve"> or combinations of treatments, and usual or standard care.</w:t>
            </w:r>
          </w:p>
        </w:tc>
        <w:tc>
          <w:tcPr>
            <w:tcW w:w="1134" w:type="dxa"/>
            <w:noWrap/>
          </w:tcPr>
          <w:p w14:paraId="28FA7F51" w14:textId="581E7F61" w:rsidR="00F144E3" w:rsidRPr="001A0D0B" w:rsidRDefault="00F144E3" w:rsidP="00CB27AE">
            <w:pPr>
              <w:rPr>
                <w:rFonts w:cs="Calibri"/>
                <w:sz w:val="18"/>
                <w:szCs w:val="18"/>
              </w:rPr>
            </w:pPr>
            <w:r w:rsidRPr="001A0D0B">
              <w:rPr>
                <w:rFonts w:cs="Calibri"/>
                <w:sz w:val="18"/>
                <w:szCs w:val="18"/>
              </w:rPr>
              <w:lastRenderedPageBreak/>
              <w:t xml:space="preserve">Sustained smoking cessation, </w:t>
            </w:r>
            <w:r w:rsidR="004664D2" w:rsidRPr="001A0D0B">
              <w:rPr>
                <w:rFonts w:cs="Calibri"/>
                <w:sz w:val="18"/>
                <w:szCs w:val="18"/>
              </w:rPr>
              <w:t>i.e.,</w:t>
            </w:r>
            <w:r w:rsidRPr="001A0D0B">
              <w:rPr>
                <w:rFonts w:cs="Calibri"/>
                <w:sz w:val="18"/>
                <w:szCs w:val="18"/>
              </w:rPr>
              <w:t xml:space="preserve"> for six months or longer. </w:t>
            </w:r>
          </w:p>
        </w:tc>
        <w:tc>
          <w:tcPr>
            <w:tcW w:w="1134" w:type="dxa"/>
            <w:noWrap/>
          </w:tcPr>
          <w:p w14:paraId="2CF30990" w14:textId="77777777" w:rsidR="00F144E3" w:rsidRPr="001A0D0B" w:rsidRDefault="00F144E3" w:rsidP="00CB27AE">
            <w:pPr>
              <w:rPr>
                <w:rFonts w:cs="Calibri"/>
                <w:sz w:val="18"/>
                <w:szCs w:val="18"/>
              </w:rPr>
            </w:pPr>
            <w:r w:rsidRPr="001A0D0B">
              <w:rPr>
                <w:rFonts w:cs="Calibri"/>
                <w:sz w:val="18"/>
                <w:szCs w:val="18"/>
              </w:rPr>
              <w:t>Reduction of withdrawal symptoms and reduction of craving</w:t>
            </w:r>
          </w:p>
        </w:tc>
        <w:tc>
          <w:tcPr>
            <w:tcW w:w="1520" w:type="dxa"/>
            <w:noWrap/>
          </w:tcPr>
          <w:p w14:paraId="02C2A991" w14:textId="77777777" w:rsidR="00F144E3" w:rsidRPr="001A0D0B" w:rsidRDefault="00F144E3" w:rsidP="00CB27AE">
            <w:pPr>
              <w:rPr>
                <w:rFonts w:cs="Calibri"/>
                <w:sz w:val="18"/>
                <w:szCs w:val="18"/>
              </w:rPr>
            </w:pPr>
            <w:r w:rsidRPr="001A0D0B">
              <w:rPr>
                <w:rFonts w:cs="Calibri"/>
                <w:sz w:val="18"/>
                <w:szCs w:val="18"/>
              </w:rPr>
              <w:t>N/A</w:t>
            </w:r>
          </w:p>
        </w:tc>
        <w:tc>
          <w:tcPr>
            <w:tcW w:w="1031" w:type="dxa"/>
            <w:noWrap/>
          </w:tcPr>
          <w:p w14:paraId="00EFC166" w14:textId="77777777" w:rsidR="00F144E3" w:rsidRPr="001A0D0B" w:rsidRDefault="00F144E3" w:rsidP="00CB27AE">
            <w:pPr>
              <w:jc w:val="center"/>
              <w:rPr>
                <w:rFonts w:cs="Calibri"/>
                <w:sz w:val="18"/>
                <w:szCs w:val="18"/>
              </w:rPr>
            </w:pPr>
            <w:r w:rsidRPr="001A0D0B">
              <w:rPr>
                <w:rFonts w:cs="Calibri"/>
                <w:sz w:val="18"/>
                <w:szCs w:val="18"/>
              </w:rPr>
              <w:t>Network meta-analysis</w:t>
            </w:r>
          </w:p>
        </w:tc>
        <w:tc>
          <w:tcPr>
            <w:tcW w:w="992" w:type="dxa"/>
            <w:noWrap/>
          </w:tcPr>
          <w:p w14:paraId="08DB0F7F" w14:textId="77777777" w:rsidR="00F144E3" w:rsidRPr="001A0D0B" w:rsidRDefault="00F144E3" w:rsidP="00CB27AE">
            <w:pPr>
              <w:jc w:val="center"/>
              <w:rPr>
                <w:rFonts w:cs="Calibri"/>
                <w:sz w:val="18"/>
                <w:szCs w:val="18"/>
              </w:rPr>
            </w:pPr>
            <w:r w:rsidRPr="001A0D0B">
              <w:rPr>
                <w:rFonts w:cs="Calibri"/>
                <w:sz w:val="18"/>
                <w:szCs w:val="18"/>
              </w:rPr>
              <w:t>24</w:t>
            </w:r>
          </w:p>
        </w:tc>
        <w:tc>
          <w:tcPr>
            <w:tcW w:w="1418" w:type="dxa"/>
            <w:noWrap/>
          </w:tcPr>
          <w:p w14:paraId="56EE3067" w14:textId="77777777" w:rsidR="00F144E3" w:rsidRPr="001A0D0B" w:rsidRDefault="00F144E3" w:rsidP="00CB27AE">
            <w:pPr>
              <w:rPr>
                <w:rFonts w:cs="Calibri"/>
                <w:sz w:val="18"/>
                <w:szCs w:val="18"/>
              </w:rPr>
            </w:pPr>
            <w:r w:rsidRPr="001A0D0B">
              <w:rPr>
                <w:rFonts w:cs="Calibri"/>
                <w:sz w:val="18"/>
                <w:szCs w:val="18"/>
              </w:rPr>
              <w:t>101,804</w:t>
            </w:r>
          </w:p>
        </w:tc>
      </w:tr>
    </w:tbl>
    <w:p w14:paraId="29E8DC25" w14:textId="0F880852" w:rsidR="00906D7B" w:rsidRDefault="00FF725F" w:rsidP="00321710">
      <w:pPr>
        <w:pStyle w:val="TableFooter"/>
        <w:spacing w:after="120"/>
        <w:contextualSpacing w:val="0"/>
        <w:jc w:val="both"/>
      </w:pPr>
      <w:bookmarkStart w:id="309" w:name="_Appendix_B_–"/>
      <w:bookmarkStart w:id="310" w:name="_Appendix_C_–"/>
      <w:bookmarkEnd w:id="309"/>
      <w:bookmarkEnd w:id="310"/>
      <w:r>
        <w:t xml:space="preserve">Abbreviations: </w:t>
      </w:r>
      <w:r w:rsidR="000B4669">
        <w:t xml:space="preserve">AE = adverse event; </w:t>
      </w:r>
      <w:r w:rsidR="00BA54F4">
        <w:t xml:space="preserve">BUP = bupropion; </w:t>
      </w:r>
      <w:r w:rsidR="00C4141A">
        <w:t xml:space="preserve">COPD = chronic obstructive pulmonary disease; </w:t>
      </w:r>
      <w:r w:rsidR="0075643B">
        <w:t xml:space="preserve">EC = e-cigarette; </w:t>
      </w:r>
      <w:r w:rsidR="000B4669">
        <w:t xml:space="preserve">NRT = nicotine replacement therapy; </w:t>
      </w:r>
      <w:r w:rsidR="002144A5">
        <w:t xml:space="preserve">PBO = placebo; </w:t>
      </w:r>
      <w:r w:rsidR="000E3A8C">
        <w:t xml:space="preserve">PLWHA = people living with HIV/AIDS; </w:t>
      </w:r>
      <w:r w:rsidR="007949DB">
        <w:t xml:space="preserve">QoL = quality of life; </w:t>
      </w:r>
      <w:r w:rsidR="000B4669">
        <w:t>RCT = randomised controlled trial;</w:t>
      </w:r>
      <w:r w:rsidR="00BA54F4" w:rsidRPr="00BA54F4">
        <w:t xml:space="preserve"> </w:t>
      </w:r>
      <w:r w:rsidR="007949DB">
        <w:t xml:space="preserve">SAE = serious adverse event; </w:t>
      </w:r>
      <w:r w:rsidR="002A45B9">
        <w:t xml:space="preserve">SNP = </w:t>
      </w:r>
      <w:r w:rsidR="002A45B9" w:rsidRPr="002A45B9">
        <w:t xml:space="preserve">single-nucleotide polymorphisms </w:t>
      </w:r>
      <w:r w:rsidR="00BA54F4">
        <w:t>VAR = varenicline</w:t>
      </w:r>
      <w:r>
        <w:t>.</w:t>
      </w:r>
      <w:r w:rsidR="000E3A8C">
        <w:t xml:space="preserve"> </w:t>
      </w:r>
    </w:p>
    <w:p w14:paraId="7328B9AE" w14:textId="77777777" w:rsidR="00321710" w:rsidRDefault="00321710">
      <w:pPr>
        <w:spacing w:line="276" w:lineRule="auto"/>
        <w:rPr>
          <w:rFonts w:eastAsiaTheme="majorEastAsia" w:cstheme="majorBidi"/>
          <w:b/>
          <w:bCs/>
          <w:i/>
          <w:sz w:val="28"/>
        </w:rPr>
      </w:pPr>
      <w:r>
        <w:br w:type="page"/>
      </w:r>
    </w:p>
    <w:p w14:paraId="76260D43" w14:textId="4A3F22D9" w:rsidR="00C614E0" w:rsidRPr="00C614E0" w:rsidRDefault="00FD59DC" w:rsidP="00321710">
      <w:pPr>
        <w:pStyle w:val="Heading3"/>
        <w:numPr>
          <w:ilvl w:val="0"/>
          <w:numId w:val="0"/>
        </w:numPr>
        <w:spacing w:before="120" w:after="120"/>
        <w:jc w:val="both"/>
      </w:pPr>
      <w:bookmarkStart w:id="311" w:name="_Toc115254523"/>
      <w:r>
        <w:lastRenderedPageBreak/>
        <w:t>A.</w:t>
      </w:r>
      <w:r w:rsidR="00120334">
        <w:t>5</w:t>
      </w:r>
      <w:r>
        <w:t xml:space="preserve"> </w:t>
      </w:r>
      <w:r w:rsidR="00701DEA" w:rsidRPr="00701DEA">
        <w:t>Risk of bias assessment for included Cochrane reviews</w:t>
      </w:r>
      <w:bookmarkEnd w:id="311"/>
    </w:p>
    <w:p w14:paraId="7BCC1CAD" w14:textId="3BD0BB66" w:rsidR="00A90EA3" w:rsidRDefault="00A90EA3" w:rsidP="00321710">
      <w:pPr>
        <w:pStyle w:val="Caption"/>
        <w:keepNext/>
        <w:spacing w:before="120" w:after="120"/>
        <w:jc w:val="both"/>
      </w:pPr>
      <w:bookmarkStart w:id="312" w:name="_Ref62651210"/>
      <w:r>
        <w:t xml:space="preserve">Table </w:t>
      </w:r>
      <w:r w:rsidR="00BF3F75">
        <w:fldChar w:fldCharType="begin"/>
      </w:r>
      <w:r w:rsidR="00BF3F75">
        <w:instrText xml:space="preserve"> SEQ T</w:instrText>
      </w:r>
      <w:r w:rsidR="00BF3F75">
        <w:instrText xml:space="preserve">able \* ARABIC </w:instrText>
      </w:r>
      <w:r w:rsidR="00BF3F75">
        <w:fldChar w:fldCharType="separate"/>
      </w:r>
      <w:r w:rsidR="00EC5CC7">
        <w:rPr>
          <w:noProof/>
        </w:rPr>
        <w:t>138</w:t>
      </w:r>
      <w:r w:rsidR="00BF3F75">
        <w:rPr>
          <w:noProof/>
        </w:rPr>
        <w:fldChar w:fldCharType="end"/>
      </w:r>
      <w:bookmarkEnd w:id="312"/>
      <w:r>
        <w:t xml:space="preserve">: Quality assessment </w:t>
      </w:r>
      <w:r w:rsidR="001003C6">
        <w:t xml:space="preserve">for Cochrane Reviews </w:t>
      </w:r>
      <w:r>
        <w:t>using AMSTAR 2</w:t>
      </w:r>
      <w:r w:rsidR="0072171B">
        <w:t xml:space="preserve"> (1 of 2)</w:t>
      </w:r>
    </w:p>
    <w:tbl>
      <w:tblPr>
        <w:tblStyle w:val="TableGrid"/>
        <w:tblW w:w="5000" w:type="pct"/>
        <w:tblLook w:val="04A0" w:firstRow="1" w:lastRow="0" w:firstColumn="1" w:lastColumn="0" w:noHBand="0" w:noVBand="1"/>
      </w:tblPr>
      <w:tblGrid>
        <w:gridCol w:w="419"/>
        <w:gridCol w:w="5806"/>
        <w:gridCol w:w="780"/>
        <w:gridCol w:w="691"/>
        <w:gridCol w:w="971"/>
        <w:gridCol w:w="1222"/>
        <w:gridCol w:w="1222"/>
        <w:gridCol w:w="859"/>
        <w:gridCol w:w="859"/>
        <w:gridCol w:w="1119"/>
      </w:tblGrid>
      <w:tr w:rsidR="00987C5E" w:rsidRPr="00C62D0D" w14:paraId="4430A499" w14:textId="77777777" w:rsidTr="00D0517F">
        <w:trPr>
          <w:trHeight w:val="658"/>
        </w:trPr>
        <w:tc>
          <w:tcPr>
            <w:tcW w:w="148" w:type="pct"/>
            <w:shd w:val="clear" w:color="auto" w:fill="BFBFBF" w:themeFill="background1" w:themeFillShade="BF"/>
            <w:noWrap/>
            <w:vAlign w:val="center"/>
            <w:hideMark/>
          </w:tcPr>
          <w:p w14:paraId="011AE116" w14:textId="77777777" w:rsidR="000453CB" w:rsidRPr="00C62D0D" w:rsidRDefault="000453CB" w:rsidP="00367134">
            <w:pPr>
              <w:pStyle w:val="Tablewriting"/>
              <w:rPr>
                <w:b/>
              </w:rPr>
            </w:pPr>
            <w:r w:rsidRPr="00C62D0D">
              <w:rPr>
                <w:b/>
              </w:rPr>
              <w:t> </w:t>
            </w:r>
          </w:p>
        </w:tc>
        <w:tc>
          <w:tcPr>
            <w:tcW w:w="2102" w:type="pct"/>
            <w:shd w:val="clear" w:color="auto" w:fill="BFBFBF" w:themeFill="background1" w:themeFillShade="BF"/>
            <w:vAlign w:val="center"/>
            <w:hideMark/>
          </w:tcPr>
          <w:p w14:paraId="7F39A995" w14:textId="77777777" w:rsidR="000453CB" w:rsidRPr="00C62D0D" w:rsidRDefault="000453CB" w:rsidP="00367134">
            <w:pPr>
              <w:pStyle w:val="Tablewriting"/>
              <w:rPr>
                <w:b/>
              </w:rPr>
            </w:pPr>
            <w:r w:rsidRPr="00C62D0D">
              <w:rPr>
                <w:b/>
              </w:rPr>
              <w:t>Assessment criteria</w:t>
            </w:r>
          </w:p>
        </w:tc>
        <w:tc>
          <w:tcPr>
            <w:tcW w:w="275" w:type="pct"/>
            <w:shd w:val="clear" w:color="auto" w:fill="BFBFBF" w:themeFill="background1" w:themeFillShade="BF"/>
            <w:vAlign w:val="center"/>
            <w:hideMark/>
          </w:tcPr>
          <w:p w14:paraId="622BB9DB" w14:textId="77777777" w:rsidR="000453CB" w:rsidRPr="00C62D0D" w:rsidRDefault="000453CB" w:rsidP="00367134">
            <w:pPr>
              <w:pStyle w:val="Tablewriting"/>
              <w:rPr>
                <w:b/>
              </w:rPr>
            </w:pPr>
            <w:r w:rsidRPr="00C62D0D">
              <w:rPr>
                <w:b/>
              </w:rPr>
              <w:t>Howes 2020</w:t>
            </w:r>
          </w:p>
        </w:tc>
        <w:tc>
          <w:tcPr>
            <w:tcW w:w="244" w:type="pct"/>
            <w:shd w:val="clear" w:color="auto" w:fill="BFBFBF" w:themeFill="background1" w:themeFillShade="BF"/>
            <w:vAlign w:val="center"/>
            <w:hideMark/>
          </w:tcPr>
          <w:p w14:paraId="4285EE2F" w14:textId="77777777" w:rsidR="000453CB" w:rsidRPr="00C62D0D" w:rsidRDefault="000453CB" w:rsidP="00367134">
            <w:pPr>
              <w:pStyle w:val="Tablewriting"/>
              <w:rPr>
                <w:b/>
              </w:rPr>
            </w:pPr>
            <w:r w:rsidRPr="00C62D0D">
              <w:rPr>
                <w:b/>
              </w:rPr>
              <w:t>Claire 2020</w:t>
            </w:r>
          </w:p>
        </w:tc>
        <w:tc>
          <w:tcPr>
            <w:tcW w:w="369" w:type="pct"/>
            <w:shd w:val="clear" w:color="auto" w:fill="BFBFBF" w:themeFill="background1" w:themeFillShade="BF"/>
            <w:vAlign w:val="center"/>
            <w:hideMark/>
          </w:tcPr>
          <w:p w14:paraId="270F62EF" w14:textId="77777777" w:rsidR="000453CB" w:rsidRPr="00C62D0D" w:rsidRDefault="000453CB" w:rsidP="00367134">
            <w:pPr>
              <w:pStyle w:val="Tablewriting"/>
              <w:rPr>
                <w:b/>
              </w:rPr>
            </w:pPr>
            <w:r w:rsidRPr="00C62D0D">
              <w:rPr>
                <w:b/>
              </w:rPr>
              <w:t>Matkin 2019</w:t>
            </w:r>
          </w:p>
        </w:tc>
        <w:tc>
          <w:tcPr>
            <w:tcW w:w="431" w:type="pct"/>
            <w:shd w:val="clear" w:color="auto" w:fill="BFBFBF" w:themeFill="background1" w:themeFillShade="BF"/>
            <w:vAlign w:val="center"/>
            <w:hideMark/>
          </w:tcPr>
          <w:p w14:paraId="145326D8" w14:textId="77777777" w:rsidR="000453CB" w:rsidRPr="00C62D0D" w:rsidRDefault="000453CB" w:rsidP="00367134">
            <w:pPr>
              <w:pStyle w:val="Tablewriting"/>
              <w:rPr>
                <w:b/>
              </w:rPr>
            </w:pPr>
            <w:r w:rsidRPr="00C62D0D">
              <w:rPr>
                <w:b/>
              </w:rPr>
              <w:t>Livingstone-Banks 2019a</w:t>
            </w:r>
          </w:p>
        </w:tc>
        <w:tc>
          <w:tcPr>
            <w:tcW w:w="431" w:type="pct"/>
            <w:shd w:val="clear" w:color="auto" w:fill="BFBFBF" w:themeFill="background1" w:themeFillShade="BF"/>
            <w:vAlign w:val="center"/>
            <w:hideMark/>
          </w:tcPr>
          <w:p w14:paraId="5505F2E6" w14:textId="77777777" w:rsidR="000453CB" w:rsidRPr="00C62D0D" w:rsidRDefault="000453CB" w:rsidP="00367134">
            <w:pPr>
              <w:pStyle w:val="Tablewriting"/>
              <w:rPr>
                <w:b/>
              </w:rPr>
            </w:pPr>
            <w:r w:rsidRPr="00C62D0D">
              <w:rPr>
                <w:b/>
              </w:rPr>
              <w:t>Livingstone-Banks 2019b</w:t>
            </w:r>
          </w:p>
        </w:tc>
        <w:tc>
          <w:tcPr>
            <w:tcW w:w="303" w:type="pct"/>
            <w:shd w:val="clear" w:color="auto" w:fill="BFBFBF" w:themeFill="background1" w:themeFillShade="BF"/>
            <w:vAlign w:val="center"/>
            <w:hideMark/>
          </w:tcPr>
          <w:p w14:paraId="604457DD" w14:textId="77777777" w:rsidR="000453CB" w:rsidRPr="00C62D0D" w:rsidRDefault="000453CB" w:rsidP="00367134">
            <w:pPr>
              <w:pStyle w:val="Tablewriting"/>
              <w:rPr>
                <w:b/>
              </w:rPr>
            </w:pPr>
            <w:r w:rsidRPr="00C62D0D">
              <w:rPr>
                <w:b/>
              </w:rPr>
              <w:t>Lindson 2019a</w:t>
            </w:r>
          </w:p>
        </w:tc>
        <w:tc>
          <w:tcPr>
            <w:tcW w:w="303" w:type="pct"/>
            <w:shd w:val="clear" w:color="auto" w:fill="BFBFBF" w:themeFill="background1" w:themeFillShade="BF"/>
            <w:vAlign w:val="center"/>
            <w:hideMark/>
          </w:tcPr>
          <w:p w14:paraId="38EBB238" w14:textId="77777777" w:rsidR="000453CB" w:rsidRPr="00C62D0D" w:rsidRDefault="000453CB" w:rsidP="00367134">
            <w:pPr>
              <w:pStyle w:val="Tablewriting"/>
              <w:rPr>
                <w:b/>
              </w:rPr>
            </w:pPr>
            <w:r w:rsidRPr="00C62D0D">
              <w:rPr>
                <w:b/>
              </w:rPr>
              <w:t>Lindson 2019b</w:t>
            </w:r>
          </w:p>
        </w:tc>
        <w:tc>
          <w:tcPr>
            <w:tcW w:w="394" w:type="pct"/>
            <w:shd w:val="clear" w:color="auto" w:fill="BFBFBF" w:themeFill="background1" w:themeFillShade="BF"/>
            <w:vAlign w:val="center"/>
            <w:hideMark/>
          </w:tcPr>
          <w:p w14:paraId="4520EEA0" w14:textId="77777777" w:rsidR="000453CB" w:rsidRPr="00C62D0D" w:rsidRDefault="000453CB" w:rsidP="00367134">
            <w:pPr>
              <w:pStyle w:val="Tablewriting"/>
              <w:rPr>
                <w:b/>
              </w:rPr>
            </w:pPr>
            <w:r w:rsidRPr="00C62D0D">
              <w:rPr>
                <w:b/>
              </w:rPr>
              <w:t>Hartmann-Boyce 2019</w:t>
            </w:r>
          </w:p>
        </w:tc>
      </w:tr>
      <w:tr w:rsidR="000453CB" w:rsidRPr="00C62D0D" w14:paraId="0A19CB0C" w14:textId="77777777" w:rsidTr="00D0517F">
        <w:trPr>
          <w:trHeight w:val="143"/>
        </w:trPr>
        <w:tc>
          <w:tcPr>
            <w:tcW w:w="148" w:type="pct"/>
            <w:noWrap/>
            <w:vAlign w:val="center"/>
            <w:hideMark/>
          </w:tcPr>
          <w:p w14:paraId="19274C84" w14:textId="77777777" w:rsidR="000453CB" w:rsidRPr="00367134" w:rsidRDefault="000453CB" w:rsidP="00367134">
            <w:pPr>
              <w:pStyle w:val="Tablewriting"/>
            </w:pPr>
            <w:r w:rsidRPr="00367134">
              <w:t>1</w:t>
            </w:r>
          </w:p>
        </w:tc>
        <w:tc>
          <w:tcPr>
            <w:tcW w:w="2102" w:type="pct"/>
            <w:vAlign w:val="center"/>
            <w:hideMark/>
          </w:tcPr>
          <w:p w14:paraId="13AF20A6" w14:textId="77777777" w:rsidR="000453CB" w:rsidRPr="00367134" w:rsidRDefault="000453CB" w:rsidP="00367134">
            <w:pPr>
              <w:pStyle w:val="Tablewriting"/>
            </w:pPr>
            <w:r w:rsidRPr="00367134">
              <w:t xml:space="preserve">Did the research questions and inclusion criteria for the review include the components of PICO? </w:t>
            </w:r>
          </w:p>
        </w:tc>
        <w:tc>
          <w:tcPr>
            <w:tcW w:w="275" w:type="pct"/>
            <w:vAlign w:val="center"/>
            <w:hideMark/>
          </w:tcPr>
          <w:p w14:paraId="408438BA" w14:textId="77777777" w:rsidR="000453CB" w:rsidRPr="00367134" w:rsidRDefault="000453CB" w:rsidP="00367134">
            <w:pPr>
              <w:pStyle w:val="Tablewriting"/>
            </w:pPr>
            <w:r w:rsidRPr="00367134">
              <w:t>Yes</w:t>
            </w:r>
          </w:p>
        </w:tc>
        <w:tc>
          <w:tcPr>
            <w:tcW w:w="244" w:type="pct"/>
            <w:vAlign w:val="center"/>
            <w:hideMark/>
          </w:tcPr>
          <w:p w14:paraId="2B8108CB" w14:textId="77777777" w:rsidR="000453CB" w:rsidRPr="00367134" w:rsidRDefault="000453CB" w:rsidP="00367134">
            <w:pPr>
              <w:pStyle w:val="Tablewriting"/>
            </w:pPr>
            <w:r w:rsidRPr="00367134">
              <w:t>Yes</w:t>
            </w:r>
          </w:p>
        </w:tc>
        <w:tc>
          <w:tcPr>
            <w:tcW w:w="369" w:type="pct"/>
            <w:vAlign w:val="center"/>
            <w:hideMark/>
          </w:tcPr>
          <w:p w14:paraId="103B29B1" w14:textId="77777777" w:rsidR="000453CB" w:rsidRPr="00367134" w:rsidRDefault="000453CB" w:rsidP="00367134">
            <w:pPr>
              <w:pStyle w:val="Tablewriting"/>
            </w:pPr>
            <w:r w:rsidRPr="00367134">
              <w:t>Yes</w:t>
            </w:r>
          </w:p>
        </w:tc>
        <w:tc>
          <w:tcPr>
            <w:tcW w:w="431" w:type="pct"/>
            <w:vAlign w:val="center"/>
            <w:hideMark/>
          </w:tcPr>
          <w:p w14:paraId="48BB2BE4" w14:textId="77777777" w:rsidR="000453CB" w:rsidRPr="00367134" w:rsidRDefault="000453CB" w:rsidP="00367134">
            <w:pPr>
              <w:pStyle w:val="Tablewriting"/>
            </w:pPr>
            <w:r w:rsidRPr="00367134">
              <w:t>Yes</w:t>
            </w:r>
          </w:p>
        </w:tc>
        <w:tc>
          <w:tcPr>
            <w:tcW w:w="431" w:type="pct"/>
            <w:vAlign w:val="center"/>
            <w:hideMark/>
          </w:tcPr>
          <w:p w14:paraId="4F8F9355" w14:textId="77777777" w:rsidR="000453CB" w:rsidRPr="00367134" w:rsidRDefault="000453CB" w:rsidP="00367134">
            <w:pPr>
              <w:pStyle w:val="Tablewriting"/>
            </w:pPr>
            <w:r w:rsidRPr="00367134">
              <w:t>Yes</w:t>
            </w:r>
          </w:p>
        </w:tc>
        <w:tc>
          <w:tcPr>
            <w:tcW w:w="303" w:type="pct"/>
            <w:vAlign w:val="center"/>
            <w:hideMark/>
          </w:tcPr>
          <w:p w14:paraId="521404FC" w14:textId="77777777" w:rsidR="000453CB" w:rsidRPr="00367134" w:rsidRDefault="000453CB" w:rsidP="00367134">
            <w:pPr>
              <w:pStyle w:val="Tablewriting"/>
            </w:pPr>
            <w:r w:rsidRPr="00367134">
              <w:t>Yes</w:t>
            </w:r>
          </w:p>
        </w:tc>
        <w:tc>
          <w:tcPr>
            <w:tcW w:w="303" w:type="pct"/>
            <w:vAlign w:val="center"/>
            <w:hideMark/>
          </w:tcPr>
          <w:p w14:paraId="651020F8" w14:textId="77777777" w:rsidR="000453CB" w:rsidRPr="00367134" w:rsidRDefault="000453CB" w:rsidP="00367134">
            <w:pPr>
              <w:pStyle w:val="Tablewriting"/>
            </w:pPr>
            <w:r w:rsidRPr="00367134">
              <w:t>Yes</w:t>
            </w:r>
          </w:p>
        </w:tc>
        <w:tc>
          <w:tcPr>
            <w:tcW w:w="394" w:type="pct"/>
            <w:vAlign w:val="center"/>
            <w:hideMark/>
          </w:tcPr>
          <w:p w14:paraId="36CDB9BD" w14:textId="77777777" w:rsidR="000453CB" w:rsidRPr="00367134" w:rsidRDefault="000453CB" w:rsidP="00367134">
            <w:pPr>
              <w:pStyle w:val="Tablewriting"/>
            </w:pPr>
            <w:r w:rsidRPr="00367134">
              <w:t>Yes</w:t>
            </w:r>
          </w:p>
        </w:tc>
      </w:tr>
      <w:tr w:rsidR="000453CB" w:rsidRPr="00C62D0D" w14:paraId="6B62F596" w14:textId="77777777" w:rsidTr="00D0517F">
        <w:trPr>
          <w:trHeight w:val="367"/>
        </w:trPr>
        <w:tc>
          <w:tcPr>
            <w:tcW w:w="148" w:type="pct"/>
            <w:noWrap/>
            <w:vAlign w:val="center"/>
            <w:hideMark/>
          </w:tcPr>
          <w:p w14:paraId="1A8F444F" w14:textId="77777777" w:rsidR="000453CB" w:rsidRPr="00C62D0D" w:rsidRDefault="000453CB" w:rsidP="00367134">
            <w:pPr>
              <w:pStyle w:val="Tablewriting"/>
            </w:pPr>
            <w:r w:rsidRPr="00C62D0D">
              <w:t>2</w:t>
            </w:r>
          </w:p>
        </w:tc>
        <w:tc>
          <w:tcPr>
            <w:tcW w:w="2102" w:type="pct"/>
            <w:vAlign w:val="center"/>
            <w:hideMark/>
          </w:tcPr>
          <w:p w14:paraId="053C3FFA" w14:textId="77777777" w:rsidR="000453CB" w:rsidRPr="00C62D0D" w:rsidRDefault="000453CB" w:rsidP="00367134">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275" w:type="pct"/>
            <w:noWrap/>
            <w:vAlign w:val="center"/>
            <w:hideMark/>
          </w:tcPr>
          <w:p w14:paraId="736F12EA" w14:textId="77777777" w:rsidR="000453CB" w:rsidRPr="00C62D0D" w:rsidRDefault="000453CB" w:rsidP="00367134">
            <w:pPr>
              <w:pStyle w:val="Tablewriting"/>
            </w:pPr>
            <w:r w:rsidRPr="00C62D0D">
              <w:t>Yes</w:t>
            </w:r>
          </w:p>
        </w:tc>
        <w:tc>
          <w:tcPr>
            <w:tcW w:w="244" w:type="pct"/>
            <w:noWrap/>
            <w:vAlign w:val="center"/>
            <w:hideMark/>
          </w:tcPr>
          <w:p w14:paraId="07358496" w14:textId="77777777" w:rsidR="000453CB" w:rsidRPr="00C62D0D" w:rsidRDefault="000453CB" w:rsidP="00367134">
            <w:pPr>
              <w:pStyle w:val="Tablewriting"/>
            </w:pPr>
            <w:r w:rsidRPr="00C62D0D">
              <w:t>Yes</w:t>
            </w:r>
          </w:p>
        </w:tc>
        <w:tc>
          <w:tcPr>
            <w:tcW w:w="369" w:type="pct"/>
            <w:noWrap/>
            <w:vAlign w:val="center"/>
            <w:hideMark/>
          </w:tcPr>
          <w:p w14:paraId="2B2C1F6C" w14:textId="77777777" w:rsidR="000453CB" w:rsidRPr="00C62D0D" w:rsidRDefault="000453CB" w:rsidP="00367134">
            <w:pPr>
              <w:pStyle w:val="Tablewriting"/>
            </w:pPr>
            <w:r w:rsidRPr="00C62D0D">
              <w:t>Yes</w:t>
            </w:r>
          </w:p>
        </w:tc>
        <w:tc>
          <w:tcPr>
            <w:tcW w:w="431" w:type="pct"/>
            <w:noWrap/>
            <w:vAlign w:val="center"/>
            <w:hideMark/>
          </w:tcPr>
          <w:p w14:paraId="56BE3D29" w14:textId="77777777" w:rsidR="000453CB" w:rsidRPr="00C62D0D" w:rsidRDefault="000453CB" w:rsidP="00367134">
            <w:pPr>
              <w:pStyle w:val="Tablewriting"/>
            </w:pPr>
            <w:r w:rsidRPr="00C62D0D">
              <w:t>Yes</w:t>
            </w:r>
          </w:p>
        </w:tc>
        <w:tc>
          <w:tcPr>
            <w:tcW w:w="431" w:type="pct"/>
            <w:noWrap/>
            <w:vAlign w:val="center"/>
            <w:hideMark/>
          </w:tcPr>
          <w:p w14:paraId="5B3D404F" w14:textId="77777777" w:rsidR="000453CB" w:rsidRPr="00C62D0D" w:rsidRDefault="000453CB" w:rsidP="00367134">
            <w:pPr>
              <w:pStyle w:val="Tablewriting"/>
            </w:pPr>
            <w:r w:rsidRPr="00C62D0D">
              <w:t>Yes</w:t>
            </w:r>
          </w:p>
        </w:tc>
        <w:tc>
          <w:tcPr>
            <w:tcW w:w="303" w:type="pct"/>
            <w:noWrap/>
            <w:vAlign w:val="center"/>
            <w:hideMark/>
          </w:tcPr>
          <w:p w14:paraId="57D8FE8C" w14:textId="77777777" w:rsidR="000453CB" w:rsidRPr="00C62D0D" w:rsidRDefault="000453CB" w:rsidP="00367134">
            <w:pPr>
              <w:pStyle w:val="Tablewriting"/>
            </w:pPr>
            <w:r w:rsidRPr="00C62D0D">
              <w:t>Yes</w:t>
            </w:r>
          </w:p>
        </w:tc>
        <w:tc>
          <w:tcPr>
            <w:tcW w:w="303" w:type="pct"/>
            <w:noWrap/>
            <w:vAlign w:val="center"/>
            <w:hideMark/>
          </w:tcPr>
          <w:p w14:paraId="3AAA379F" w14:textId="77777777" w:rsidR="000453CB" w:rsidRPr="00C62D0D" w:rsidRDefault="000453CB" w:rsidP="00367134">
            <w:pPr>
              <w:pStyle w:val="Tablewriting"/>
            </w:pPr>
            <w:r w:rsidRPr="00C62D0D">
              <w:t>Yes</w:t>
            </w:r>
          </w:p>
        </w:tc>
        <w:tc>
          <w:tcPr>
            <w:tcW w:w="394" w:type="pct"/>
            <w:noWrap/>
            <w:vAlign w:val="center"/>
            <w:hideMark/>
          </w:tcPr>
          <w:p w14:paraId="2F24A4C8" w14:textId="77777777" w:rsidR="000453CB" w:rsidRPr="00C62D0D" w:rsidRDefault="000453CB" w:rsidP="00367134">
            <w:pPr>
              <w:pStyle w:val="Tablewriting"/>
            </w:pPr>
            <w:r w:rsidRPr="00C62D0D">
              <w:t>Yes</w:t>
            </w:r>
          </w:p>
        </w:tc>
      </w:tr>
      <w:tr w:rsidR="000453CB" w:rsidRPr="00C62D0D" w14:paraId="174ABF06" w14:textId="77777777" w:rsidTr="00D0517F">
        <w:trPr>
          <w:trHeight w:val="375"/>
        </w:trPr>
        <w:tc>
          <w:tcPr>
            <w:tcW w:w="148" w:type="pct"/>
            <w:noWrap/>
            <w:vAlign w:val="center"/>
            <w:hideMark/>
          </w:tcPr>
          <w:p w14:paraId="4E745BA0" w14:textId="77777777" w:rsidR="000453CB" w:rsidRPr="00C62D0D" w:rsidRDefault="000453CB" w:rsidP="00367134">
            <w:pPr>
              <w:pStyle w:val="Tablewriting"/>
            </w:pPr>
            <w:r w:rsidRPr="00C62D0D">
              <w:t>3</w:t>
            </w:r>
          </w:p>
        </w:tc>
        <w:tc>
          <w:tcPr>
            <w:tcW w:w="2102" w:type="pct"/>
            <w:vAlign w:val="center"/>
            <w:hideMark/>
          </w:tcPr>
          <w:p w14:paraId="60EBE4C3" w14:textId="77777777" w:rsidR="000453CB" w:rsidRPr="00C62D0D" w:rsidRDefault="000453CB" w:rsidP="00367134">
            <w:pPr>
              <w:pStyle w:val="Tablewriting"/>
            </w:pPr>
            <w:r w:rsidRPr="00C62D0D">
              <w:t xml:space="preserve">Did the review authors perform study selection in duplicate? </w:t>
            </w:r>
          </w:p>
        </w:tc>
        <w:tc>
          <w:tcPr>
            <w:tcW w:w="275" w:type="pct"/>
            <w:vAlign w:val="center"/>
            <w:hideMark/>
          </w:tcPr>
          <w:p w14:paraId="54B3EC4C" w14:textId="77777777" w:rsidR="000453CB" w:rsidRPr="00C62D0D" w:rsidRDefault="000453CB" w:rsidP="00367134">
            <w:pPr>
              <w:pStyle w:val="Tablewriting"/>
            </w:pPr>
            <w:r w:rsidRPr="00C62D0D">
              <w:t>Yes</w:t>
            </w:r>
          </w:p>
        </w:tc>
        <w:tc>
          <w:tcPr>
            <w:tcW w:w="244" w:type="pct"/>
            <w:vAlign w:val="center"/>
            <w:hideMark/>
          </w:tcPr>
          <w:p w14:paraId="157D0930" w14:textId="77777777" w:rsidR="000453CB" w:rsidRPr="00C62D0D" w:rsidRDefault="000453CB" w:rsidP="00367134">
            <w:pPr>
              <w:pStyle w:val="Tablewriting"/>
            </w:pPr>
            <w:r w:rsidRPr="00C62D0D">
              <w:t>Yes</w:t>
            </w:r>
          </w:p>
        </w:tc>
        <w:tc>
          <w:tcPr>
            <w:tcW w:w="369" w:type="pct"/>
            <w:vAlign w:val="center"/>
            <w:hideMark/>
          </w:tcPr>
          <w:p w14:paraId="78D6274A" w14:textId="77777777" w:rsidR="000453CB" w:rsidRPr="00C62D0D" w:rsidRDefault="000453CB" w:rsidP="00367134">
            <w:pPr>
              <w:pStyle w:val="Tablewriting"/>
            </w:pPr>
            <w:r w:rsidRPr="00C62D0D">
              <w:t>Yes</w:t>
            </w:r>
          </w:p>
        </w:tc>
        <w:tc>
          <w:tcPr>
            <w:tcW w:w="431" w:type="pct"/>
            <w:vAlign w:val="center"/>
            <w:hideMark/>
          </w:tcPr>
          <w:p w14:paraId="4AAE2C35" w14:textId="77777777" w:rsidR="000453CB" w:rsidRPr="00C62D0D" w:rsidRDefault="000453CB" w:rsidP="00367134">
            <w:pPr>
              <w:pStyle w:val="Tablewriting"/>
            </w:pPr>
            <w:r w:rsidRPr="00C62D0D">
              <w:t>Yes</w:t>
            </w:r>
          </w:p>
        </w:tc>
        <w:tc>
          <w:tcPr>
            <w:tcW w:w="431" w:type="pct"/>
            <w:vAlign w:val="center"/>
            <w:hideMark/>
          </w:tcPr>
          <w:p w14:paraId="16E2BD81" w14:textId="77777777" w:rsidR="000453CB" w:rsidRPr="00C62D0D" w:rsidRDefault="000453CB" w:rsidP="00367134">
            <w:pPr>
              <w:pStyle w:val="Tablewriting"/>
            </w:pPr>
            <w:r w:rsidRPr="00C62D0D">
              <w:t>Yes</w:t>
            </w:r>
          </w:p>
        </w:tc>
        <w:tc>
          <w:tcPr>
            <w:tcW w:w="303" w:type="pct"/>
            <w:vAlign w:val="center"/>
            <w:hideMark/>
          </w:tcPr>
          <w:p w14:paraId="138CC5F3" w14:textId="77777777" w:rsidR="000453CB" w:rsidRPr="00C62D0D" w:rsidRDefault="000453CB" w:rsidP="00367134">
            <w:pPr>
              <w:pStyle w:val="Tablewriting"/>
            </w:pPr>
            <w:r w:rsidRPr="00C62D0D">
              <w:t>Yes</w:t>
            </w:r>
          </w:p>
        </w:tc>
        <w:tc>
          <w:tcPr>
            <w:tcW w:w="303" w:type="pct"/>
            <w:vAlign w:val="center"/>
            <w:hideMark/>
          </w:tcPr>
          <w:p w14:paraId="1A92A4B7" w14:textId="77777777" w:rsidR="000453CB" w:rsidRPr="00C62D0D" w:rsidRDefault="000453CB" w:rsidP="00367134">
            <w:pPr>
              <w:pStyle w:val="Tablewriting"/>
            </w:pPr>
            <w:r w:rsidRPr="00C62D0D">
              <w:t>Yes</w:t>
            </w:r>
          </w:p>
        </w:tc>
        <w:tc>
          <w:tcPr>
            <w:tcW w:w="394" w:type="pct"/>
            <w:vAlign w:val="center"/>
            <w:hideMark/>
          </w:tcPr>
          <w:p w14:paraId="06C5C51E" w14:textId="77777777" w:rsidR="000453CB" w:rsidRPr="00C62D0D" w:rsidRDefault="000453CB" w:rsidP="00367134">
            <w:pPr>
              <w:pStyle w:val="Tablewriting"/>
            </w:pPr>
            <w:r w:rsidRPr="00C62D0D">
              <w:t>Yes</w:t>
            </w:r>
          </w:p>
        </w:tc>
      </w:tr>
      <w:tr w:rsidR="000453CB" w:rsidRPr="00C62D0D" w14:paraId="6880A1BC" w14:textId="77777777" w:rsidTr="00D0517F">
        <w:trPr>
          <w:trHeight w:val="375"/>
        </w:trPr>
        <w:tc>
          <w:tcPr>
            <w:tcW w:w="148" w:type="pct"/>
            <w:noWrap/>
            <w:vAlign w:val="center"/>
            <w:hideMark/>
          </w:tcPr>
          <w:p w14:paraId="298F147C" w14:textId="77777777" w:rsidR="000453CB" w:rsidRPr="00C62D0D" w:rsidRDefault="000453CB" w:rsidP="00367134">
            <w:pPr>
              <w:pStyle w:val="Tablewriting"/>
            </w:pPr>
            <w:r w:rsidRPr="00C62D0D">
              <w:t>4</w:t>
            </w:r>
          </w:p>
        </w:tc>
        <w:tc>
          <w:tcPr>
            <w:tcW w:w="2102" w:type="pct"/>
            <w:vAlign w:val="center"/>
            <w:hideMark/>
          </w:tcPr>
          <w:p w14:paraId="7111A193" w14:textId="77777777" w:rsidR="000453CB" w:rsidRPr="00C62D0D" w:rsidRDefault="000453CB" w:rsidP="00367134">
            <w:pPr>
              <w:pStyle w:val="Tablewriting"/>
            </w:pPr>
            <w:r w:rsidRPr="00C62D0D">
              <w:t xml:space="preserve">Did the review authors use a comprehensive literature search strategy? </w:t>
            </w:r>
          </w:p>
        </w:tc>
        <w:tc>
          <w:tcPr>
            <w:tcW w:w="275" w:type="pct"/>
            <w:noWrap/>
            <w:vAlign w:val="center"/>
            <w:hideMark/>
          </w:tcPr>
          <w:p w14:paraId="4C707E03" w14:textId="77777777" w:rsidR="000453CB" w:rsidRPr="00C62D0D" w:rsidRDefault="000453CB" w:rsidP="00367134">
            <w:pPr>
              <w:pStyle w:val="Tablewriting"/>
            </w:pPr>
            <w:r w:rsidRPr="00C62D0D">
              <w:t>Yes</w:t>
            </w:r>
          </w:p>
        </w:tc>
        <w:tc>
          <w:tcPr>
            <w:tcW w:w="244" w:type="pct"/>
            <w:noWrap/>
            <w:vAlign w:val="center"/>
            <w:hideMark/>
          </w:tcPr>
          <w:p w14:paraId="129F0B70" w14:textId="77777777" w:rsidR="000453CB" w:rsidRPr="00C62D0D" w:rsidRDefault="000453CB" w:rsidP="00367134">
            <w:pPr>
              <w:pStyle w:val="Tablewriting"/>
            </w:pPr>
            <w:r w:rsidRPr="00C62D0D">
              <w:t>Yes</w:t>
            </w:r>
          </w:p>
        </w:tc>
        <w:tc>
          <w:tcPr>
            <w:tcW w:w="369" w:type="pct"/>
            <w:noWrap/>
            <w:vAlign w:val="center"/>
            <w:hideMark/>
          </w:tcPr>
          <w:p w14:paraId="3C4DA7E3" w14:textId="4E27770B" w:rsidR="004368CE" w:rsidRPr="00C62D0D" w:rsidRDefault="000453CB" w:rsidP="00367134">
            <w:pPr>
              <w:pStyle w:val="Tablewriting"/>
            </w:pPr>
            <w:r w:rsidRPr="00C62D0D">
              <w:t>Partial</w:t>
            </w:r>
          </w:p>
          <w:p w14:paraId="7A869310" w14:textId="26DE6176" w:rsidR="000453CB" w:rsidRPr="00C62D0D" w:rsidRDefault="000453CB" w:rsidP="00367134">
            <w:pPr>
              <w:pStyle w:val="Tablewriting"/>
            </w:pPr>
            <w:r w:rsidRPr="00C62D0D">
              <w:t>yes</w:t>
            </w:r>
          </w:p>
        </w:tc>
        <w:tc>
          <w:tcPr>
            <w:tcW w:w="431" w:type="pct"/>
            <w:noWrap/>
            <w:vAlign w:val="center"/>
            <w:hideMark/>
          </w:tcPr>
          <w:p w14:paraId="17C4C2AD" w14:textId="77777777" w:rsidR="000453CB" w:rsidRPr="00C62D0D" w:rsidRDefault="000453CB" w:rsidP="00367134">
            <w:pPr>
              <w:pStyle w:val="Tablewriting"/>
            </w:pPr>
            <w:r w:rsidRPr="00C62D0D">
              <w:t>Yes</w:t>
            </w:r>
          </w:p>
        </w:tc>
        <w:tc>
          <w:tcPr>
            <w:tcW w:w="431" w:type="pct"/>
            <w:noWrap/>
            <w:vAlign w:val="center"/>
            <w:hideMark/>
          </w:tcPr>
          <w:p w14:paraId="726D360B" w14:textId="77777777" w:rsidR="000453CB" w:rsidRPr="00C62D0D" w:rsidRDefault="000453CB" w:rsidP="00367134">
            <w:pPr>
              <w:pStyle w:val="Tablewriting"/>
            </w:pPr>
            <w:r w:rsidRPr="00C62D0D">
              <w:t>Yes</w:t>
            </w:r>
          </w:p>
        </w:tc>
        <w:tc>
          <w:tcPr>
            <w:tcW w:w="303" w:type="pct"/>
            <w:noWrap/>
            <w:vAlign w:val="center"/>
            <w:hideMark/>
          </w:tcPr>
          <w:p w14:paraId="62BF43F9" w14:textId="77777777" w:rsidR="000453CB" w:rsidRPr="00C62D0D" w:rsidRDefault="000453CB" w:rsidP="00367134">
            <w:pPr>
              <w:pStyle w:val="Tablewriting"/>
            </w:pPr>
            <w:r w:rsidRPr="00C62D0D">
              <w:t>Yes</w:t>
            </w:r>
          </w:p>
        </w:tc>
        <w:tc>
          <w:tcPr>
            <w:tcW w:w="303" w:type="pct"/>
            <w:noWrap/>
            <w:vAlign w:val="center"/>
            <w:hideMark/>
          </w:tcPr>
          <w:p w14:paraId="5E9F8A96" w14:textId="77777777" w:rsidR="000453CB" w:rsidRPr="00C62D0D" w:rsidRDefault="000453CB" w:rsidP="00367134">
            <w:pPr>
              <w:pStyle w:val="Tablewriting"/>
            </w:pPr>
            <w:r w:rsidRPr="00C62D0D">
              <w:t>Yes</w:t>
            </w:r>
          </w:p>
        </w:tc>
        <w:tc>
          <w:tcPr>
            <w:tcW w:w="394" w:type="pct"/>
            <w:noWrap/>
            <w:vAlign w:val="center"/>
            <w:hideMark/>
          </w:tcPr>
          <w:p w14:paraId="2994823F" w14:textId="77777777" w:rsidR="000453CB" w:rsidRPr="00C62D0D" w:rsidRDefault="000453CB" w:rsidP="00367134">
            <w:pPr>
              <w:pStyle w:val="Tablewriting"/>
            </w:pPr>
            <w:r w:rsidRPr="00C62D0D">
              <w:t>Yes</w:t>
            </w:r>
          </w:p>
        </w:tc>
      </w:tr>
      <w:tr w:rsidR="000453CB" w:rsidRPr="00C62D0D" w14:paraId="5CB069DB" w14:textId="77777777" w:rsidTr="00D0517F">
        <w:trPr>
          <w:trHeight w:val="375"/>
        </w:trPr>
        <w:tc>
          <w:tcPr>
            <w:tcW w:w="148" w:type="pct"/>
            <w:vAlign w:val="center"/>
            <w:hideMark/>
          </w:tcPr>
          <w:p w14:paraId="29C993EC" w14:textId="77777777" w:rsidR="000453CB" w:rsidRPr="00C62D0D" w:rsidRDefault="000453CB" w:rsidP="00367134">
            <w:pPr>
              <w:pStyle w:val="Tablewriting"/>
            </w:pPr>
            <w:r w:rsidRPr="00C62D0D">
              <w:t>5</w:t>
            </w:r>
          </w:p>
        </w:tc>
        <w:tc>
          <w:tcPr>
            <w:tcW w:w="2102" w:type="pct"/>
            <w:vAlign w:val="center"/>
            <w:hideMark/>
          </w:tcPr>
          <w:p w14:paraId="353C8A6B" w14:textId="77777777" w:rsidR="000453CB" w:rsidRPr="00C62D0D" w:rsidRDefault="000453CB" w:rsidP="00367134">
            <w:pPr>
              <w:pStyle w:val="Tablewriting"/>
            </w:pPr>
            <w:r w:rsidRPr="00C62D0D">
              <w:t>Did the review authors perform study selection in duplicate?</w:t>
            </w:r>
          </w:p>
        </w:tc>
        <w:tc>
          <w:tcPr>
            <w:tcW w:w="275" w:type="pct"/>
            <w:vAlign w:val="center"/>
            <w:hideMark/>
          </w:tcPr>
          <w:p w14:paraId="6E9701DC" w14:textId="77777777" w:rsidR="000453CB" w:rsidRPr="00C62D0D" w:rsidRDefault="000453CB" w:rsidP="00367134">
            <w:pPr>
              <w:pStyle w:val="Tablewriting"/>
            </w:pPr>
            <w:r w:rsidRPr="00C62D0D">
              <w:t>Yes</w:t>
            </w:r>
          </w:p>
        </w:tc>
        <w:tc>
          <w:tcPr>
            <w:tcW w:w="244" w:type="pct"/>
            <w:vAlign w:val="center"/>
            <w:hideMark/>
          </w:tcPr>
          <w:p w14:paraId="322F50B4" w14:textId="77777777" w:rsidR="000453CB" w:rsidRPr="00C62D0D" w:rsidRDefault="000453CB" w:rsidP="00367134">
            <w:pPr>
              <w:pStyle w:val="Tablewriting"/>
            </w:pPr>
            <w:r w:rsidRPr="00C62D0D">
              <w:t>Yes</w:t>
            </w:r>
          </w:p>
        </w:tc>
        <w:tc>
          <w:tcPr>
            <w:tcW w:w="369" w:type="pct"/>
            <w:vAlign w:val="center"/>
            <w:hideMark/>
          </w:tcPr>
          <w:p w14:paraId="5C37E5ED" w14:textId="77777777" w:rsidR="000453CB" w:rsidRPr="00C62D0D" w:rsidRDefault="000453CB" w:rsidP="00367134">
            <w:pPr>
              <w:pStyle w:val="Tablewriting"/>
            </w:pPr>
            <w:r w:rsidRPr="00C62D0D">
              <w:t>No</w:t>
            </w:r>
          </w:p>
        </w:tc>
        <w:tc>
          <w:tcPr>
            <w:tcW w:w="431" w:type="pct"/>
            <w:vAlign w:val="center"/>
            <w:hideMark/>
          </w:tcPr>
          <w:p w14:paraId="677C9B73" w14:textId="77777777" w:rsidR="000453CB" w:rsidRPr="00C62D0D" w:rsidRDefault="000453CB" w:rsidP="00367134">
            <w:pPr>
              <w:pStyle w:val="Tablewriting"/>
            </w:pPr>
            <w:r w:rsidRPr="00C62D0D">
              <w:t>Yes</w:t>
            </w:r>
          </w:p>
        </w:tc>
        <w:tc>
          <w:tcPr>
            <w:tcW w:w="431" w:type="pct"/>
            <w:vAlign w:val="center"/>
            <w:hideMark/>
          </w:tcPr>
          <w:p w14:paraId="32646943" w14:textId="77777777" w:rsidR="000453CB" w:rsidRPr="00C62D0D" w:rsidRDefault="000453CB" w:rsidP="00367134">
            <w:pPr>
              <w:pStyle w:val="Tablewriting"/>
            </w:pPr>
            <w:r w:rsidRPr="00C62D0D">
              <w:t>Yes</w:t>
            </w:r>
          </w:p>
        </w:tc>
        <w:tc>
          <w:tcPr>
            <w:tcW w:w="303" w:type="pct"/>
            <w:vAlign w:val="center"/>
            <w:hideMark/>
          </w:tcPr>
          <w:p w14:paraId="51270B0D" w14:textId="77777777" w:rsidR="000453CB" w:rsidRPr="00C62D0D" w:rsidRDefault="000453CB" w:rsidP="00367134">
            <w:pPr>
              <w:pStyle w:val="Tablewriting"/>
            </w:pPr>
            <w:r w:rsidRPr="00C62D0D">
              <w:t>Yes</w:t>
            </w:r>
          </w:p>
        </w:tc>
        <w:tc>
          <w:tcPr>
            <w:tcW w:w="303" w:type="pct"/>
            <w:vAlign w:val="center"/>
            <w:hideMark/>
          </w:tcPr>
          <w:p w14:paraId="61DFD826" w14:textId="77777777" w:rsidR="000453CB" w:rsidRPr="00C62D0D" w:rsidRDefault="000453CB" w:rsidP="00367134">
            <w:pPr>
              <w:pStyle w:val="Tablewriting"/>
            </w:pPr>
            <w:r w:rsidRPr="00C62D0D">
              <w:t>Yes</w:t>
            </w:r>
          </w:p>
        </w:tc>
        <w:tc>
          <w:tcPr>
            <w:tcW w:w="394" w:type="pct"/>
            <w:vAlign w:val="center"/>
            <w:hideMark/>
          </w:tcPr>
          <w:p w14:paraId="63740F41" w14:textId="77777777" w:rsidR="000453CB" w:rsidRPr="00C62D0D" w:rsidRDefault="000453CB" w:rsidP="00367134">
            <w:pPr>
              <w:pStyle w:val="Tablewriting"/>
            </w:pPr>
            <w:r w:rsidRPr="00C62D0D">
              <w:t>Yes</w:t>
            </w:r>
          </w:p>
        </w:tc>
      </w:tr>
      <w:tr w:rsidR="000453CB" w:rsidRPr="00C62D0D" w14:paraId="430BC124" w14:textId="77777777" w:rsidTr="00D0517F">
        <w:trPr>
          <w:trHeight w:val="375"/>
        </w:trPr>
        <w:tc>
          <w:tcPr>
            <w:tcW w:w="148" w:type="pct"/>
            <w:vAlign w:val="center"/>
            <w:hideMark/>
          </w:tcPr>
          <w:p w14:paraId="76D9E1EE" w14:textId="77777777" w:rsidR="000453CB" w:rsidRPr="00C62D0D" w:rsidRDefault="000453CB" w:rsidP="00367134">
            <w:pPr>
              <w:pStyle w:val="Tablewriting"/>
            </w:pPr>
            <w:r w:rsidRPr="00C62D0D">
              <w:t>6</w:t>
            </w:r>
          </w:p>
        </w:tc>
        <w:tc>
          <w:tcPr>
            <w:tcW w:w="2102" w:type="pct"/>
            <w:vAlign w:val="center"/>
            <w:hideMark/>
          </w:tcPr>
          <w:p w14:paraId="1FBD57EE" w14:textId="77777777" w:rsidR="000453CB" w:rsidRPr="00C62D0D" w:rsidRDefault="000453CB" w:rsidP="00367134">
            <w:pPr>
              <w:pStyle w:val="Tablewriting"/>
            </w:pPr>
            <w:r w:rsidRPr="00C62D0D">
              <w:t xml:space="preserve">Did the review authors perform data extraction in duplicate? </w:t>
            </w:r>
          </w:p>
        </w:tc>
        <w:tc>
          <w:tcPr>
            <w:tcW w:w="275" w:type="pct"/>
            <w:vAlign w:val="center"/>
            <w:hideMark/>
          </w:tcPr>
          <w:p w14:paraId="3DE311AA" w14:textId="77777777" w:rsidR="000453CB" w:rsidRPr="00C62D0D" w:rsidRDefault="000453CB" w:rsidP="00367134">
            <w:pPr>
              <w:pStyle w:val="Tablewriting"/>
            </w:pPr>
            <w:r w:rsidRPr="00C62D0D">
              <w:t>Yes</w:t>
            </w:r>
          </w:p>
        </w:tc>
        <w:tc>
          <w:tcPr>
            <w:tcW w:w="244" w:type="pct"/>
            <w:vAlign w:val="center"/>
            <w:hideMark/>
          </w:tcPr>
          <w:p w14:paraId="4B29762E" w14:textId="77777777" w:rsidR="000453CB" w:rsidRPr="00C62D0D" w:rsidRDefault="000453CB" w:rsidP="00367134">
            <w:pPr>
              <w:pStyle w:val="Tablewriting"/>
            </w:pPr>
            <w:r w:rsidRPr="00C62D0D">
              <w:t>Yes</w:t>
            </w:r>
          </w:p>
        </w:tc>
        <w:tc>
          <w:tcPr>
            <w:tcW w:w="369" w:type="pct"/>
            <w:vAlign w:val="center"/>
            <w:hideMark/>
          </w:tcPr>
          <w:p w14:paraId="10A7B13C" w14:textId="77777777" w:rsidR="000453CB" w:rsidRPr="00C62D0D" w:rsidRDefault="000453CB" w:rsidP="00367134">
            <w:pPr>
              <w:pStyle w:val="Tablewriting"/>
            </w:pPr>
            <w:r w:rsidRPr="00C62D0D">
              <w:t>Yes</w:t>
            </w:r>
          </w:p>
        </w:tc>
        <w:tc>
          <w:tcPr>
            <w:tcW w:w="431" w:type="pct"/>
            <w:vAlign w:val="center"/>
            <w:hideMark/>
          </w:tcPr>
          <w:p w14:paraId="0C46FB34" w14:textId="77777777" w:rsidR="000453CB" w:rsidRPr="00C62D0D" w:rsidRDefault="000453CB" w:rsidP="00367134">
            <w:pPr>
              <w:pStyle w:val="Tablewriting"/>
            </w:pPr>
            <w:r w:rsidRPr="00C62D0D">
              <w:t>Yes</w:t>
            </w:r>
          </w:p>
        </w:tc>
        <w:tc>
          <w:tcPr>
            <w:tcW w:w="431" w:type="pct"/>
            <w:vAlign w:val="center"/>
            <w:hideMark/>
          </w:tcPr>
          <w:p w14:paraId="1A1FBA68" w14:textId="77777777" w:rsidR="000453CB" w:rsidRPr="00C62D0D" w:rsidRDefault="000453CB" w:rsidP="00367134">
            <w:pPr>
              <w:pStyle w:val="Tablewriting"/>
            </w:pPr>
            <w:r w:rsidRPr="00C62D0D">
              <w:t>Yes</w:t>
            </w:r>
          </w:p>
        </w:tc>
        <w:tc>
          <w:tcPr>
            <w:tcW w:w="303" w:type="pct"/>
            <w:vAlign w:val="center"/>
            <w:hideMark/>
          </w:tcPr>
          <w:p w14:paraId="4E3EEA51" w14:textId="77777777" w:rsidR="000453CB" w:rsidRPr="00C62D0D" w:rsidRDefault="000453CB" w:rsidP="00367134">
            <w:pPr>
              <w:pStyle w:val="Tablewriting"/>
            </w:pPr>
            <w:r w:rsidRPr="00C62D0D">
              <w:t>Yes</w:t>
            </w:r>
          </w:p>
        </w:tc>
        <w:tc>
          <w:tcPr>
            <w:tcW w:w="303" w:type="pct"/>
            <w:vAlign w:val="center"/>
            <w:hideMark/>
          </w:tcPr>
          <w:p w14:paraId="5EB00AA7" w14:textId="77777777" w:rsidR="000453CB" w:rsidRPr="00C62D0D" w:rsidRDefault="000453CB" w:rsidP="00367134">
            <w:pPr>
              <w:pStyle w:val="Tablewriting"/>
            </w:pPr>
            <w:r w:rsidRPr="00C62D0D">
              <w:t>Yes</w:t>
            </w:r>
          </w:p>
        </w:tc>
        <w:tc>
          <w:tcPr>
            <w:tcW w:w="394" w:type="pct"/>
            <w:vAlign w:val="center"/>
            <w:hideMark/>
          </w:tcPr>
          <w:p w14:paraId="229591B8" w14:textId="77777777" w:rsidR="000453CB" w:rsidRPr="00C62D0D" w:rsidRDefault="000453CB" w:rsidP="00367134">
            <w:pPr>
              <w:pStyle w:val="Tablewriting"/>
            </w:pPr>
            <w:r w:rsidRPr="00C62D0D">
              <w:t>Yes</w:t>
            </w:r>
          </w:p>
        </w:tc>
      </w:tr>
      <w:tr w:rsidR="000453CB" w:rsidRPr="00C62D0D" w14:paraId="169E3754" w14:textId="77777777" w:rsidTr="00D0517F">
        <w:trPr>
          <w:trHeight w:val="375"/>
        </w:trPr>
        <w:tc>
          <w:tcPr>
            <w:tcW w:w="148" w:type="pct"/>
            <w:vAlign w:val="center"/>
            <w:hideMark/>
          </w:tcPr>
          <w:p w14:paraId="34FD62D0" w14:textId="77777777" w:rsidR="000453CB" w:rsidRPr="00C62D0D" w:rsidRDefault="000453CB" w:rsidP="00367134">
            <w:pPr>
              <w:pStyle w:val="Tablewriting"/>
            </w:pPr>
            <w:r w:rsidRPr="00C62D0D">
              <w:t>7</w:t>
            </w:r>
          </w:p>
        </w:tc>
        <w:tc>
          <w:tcPr>
            <w:tcW w:w="2102" w:type="pct"/>
            <w:vAlign w:val="center"/>
            <w:hideMark/>
          </w:tcPr>
          <w:p w14:paraId="77C48C24" w14:textId="77777777" w:rsidR="000453CB" w:rsidRPr="00C62D0D" w:rsidRDefault="000453CB" w:rsidP="00367134">
            <w:pPr>
              <w:pStyle w:val="Tablewriting"/>
            </w:pPr>
            <w:r w:rsidRPr="00C62D0D">
              <w:t xml:space="preserve">Did the review authors provide a list of excluded studies and justify the exclusions? </w:t>
            </w:r>
          </w:p>
        </w:tc>
        <w:tc>
          <w:tcPr>
            <w:tcW w:w="275" w:type="pct"/>
            <w:noWrap/>
            <w:vAlign w:val="center"/>
            <w:hideMark/>
          </w:tcPr>
          <w:p w14:paraId="4A414554" w14:textId="77777777" w:rsidR="000453CB" w:rsidRPr="000453CB" w:rsidRDefault="000453CB" w:rsidP="00367134">
            <w:pPr>
              <w:pStyle w:val="Tablewriting"/>
            </w:pPr>
            <w:r w:rsidRPr="000453CB">
              <w:t>Yes</w:t>
            </w:r>
          </w:p>
        </w:tc>
        <w:tc>
          <w:tcPr>
            <w:tcW w:w="244" w:type="pct"/>
            <w:noWrap/>
            <w:vAlign w:val="center"/>
            <w:hideMark/>
          </w:tcPr>
          <w:p w14:paraId="450D71EB" w14:textId="77777777" w:rsidR="000453CB" w:rsidRPr="000453CB" w:rsidRDefault="000453CB" w:rsidP="00367134">
            <w:pPr>
              <w:pStyle w:val="Tablewriting"/>
            </w:pPr>
            <w:r w:rsidRPr="000453CB">
              <w:t>Yes</w:t>
            </w:r>
          </w:p>
        </w:tc>
        <w:tc>
          <w:tcPr>
            <w:tcW w:w="369" w:type="pct"/>
            <w:noWrap/>
            <w:vAlign w:val="center"/>
            <w:hideMark/>
          </w:tcPr>
          <w:p w14:paraId="2FD82C5F" w14:textId="77777777" w:rsidR="000453CB" w:rsidRPr="000453CB" w:rsidRDefault="000453CB" w:rsidP="00367134">
            <w:pPr>
              <w:pStyle w:val="Tablewriting"/>
            </w:pPr>
            <w:r w:rsidRPr="000453CB">
              <w:t>Yes</w:t>
            </w:r>
          </w:p>
        </w:tc>
        <w:tc>
          <w:tcPr>
            <w:tcW w:w="431" w:type="pct"/>
            <w:noWrap/>
            <w:vAlign w:val="center"/>
            <w:hideMark/>
          </w:tcPr>
          <w:p w14:paraId="132B16D9" w14:textId="77777777" w:rsidR="000453CB" w:rsidRPr="000453CB" w:rsidRDefault="000453CB" w:rsidP="00367134">
            <w:pPr>
              <w:pStyle w:val="Tablewriting"/>
            </w:pPr>
            <w:r w:rsidRPr="000453CB">
              <w:t>Yes</w:t>
            </w:r>
          </w:p>
        </w:tc>
        <w:tc>
          <w:tcPr>
            <w:tcW w:w="431" w:type="pct"/>
            <w:noWrap/>
            <w:vAlign w:val="center"/>
            <w:hideMark/>
          </w:tcPr>
          <w:p w14:paraId="7718509B" w14:textId="77777777" w:rsidR="000453CB" w:rsidRPr="000453CB" w:rsidRDefault="000453CB" w:rsidP="00367134">
            <w:pPr>
              <w:pStyle w:val="Tablewriting"/>
            </w:pPr>
            <w:r w:rsidRPr="000453CB">
              <w:t>Yes</w:t>
            </w:r>
          </w:p>
        </w:tc>
        <w:tc>
          <w:tcPr>
            <w:tcW w:w="303" w:type="pct"/>
            <w:noWrap/>
            <w:vAlign w:val="center"/>
            <w:hideMark/>
          </w:tcPr>
          <w:p w14:paraId="7AD938F9" w14:textId="77777777" w:rsidR="000453CB" w:rsidRPr="000453CB" w:rsidRDefault="000453CB" w:rsidP="00367134">
            <w:pPr>
              <w:pStyle w:val="Tablewriting"/>
            </w:pPr>
            <w:r w:rsidRPr="000453CB">
              <w:t>Yes</w:t>
            </w:r>
          </w:p>
        </w:tc>
        <w:tc>
          <w:tcPr>
            <w:tcW w:w="303" w:type="pct"/>
            <w:noWrap/>
            <w:vAlign w:val="center"/>
            <w:hideMark/>
          </w:tcPr>
          <w:p w14:paraId="7A6BB398" w14:textId="77777777" w:rsidR="000453CB" w:rsidRPr="000453CB" w:rsidRDefault="000453CB" w:rsidP="00367134">
            <w:pPr>
              <w:pStyle w:val="Tablewriting"/>
            </w:pPr>
            <w:r w:rsidRPr="000453CB">
              <w:t>Yes</w:t>
            </w:r>
          </w:p>
        </w:tc>
        <w:tc>
          <w:tcPr>
            <w:tcW w:w="394" w:type="pct"/>
            <w:noWrap/>
            <w:vAlign w:val="center"/>
            <w:hideMark/>
          </w:tcPr>
          <w:p w14:paraId="10D5DA43" w14:textId="77777777" w:rsidR="000453CB" w:rsidRPr="000453CB" w:rsidRDefault="000453CB" w:rsidP="00367134">
            <w:pPr>
              <w:pStyle w:val="Tablewriting"/>
            </w:pPr>
            <w:r w:rsidRPr="000453CB">
              <w:t>Yes</w:t>
            </w:r>
          </w:p>
        </w:tc>
      </w:tr>
      <w:tr w:rsidR="000453CB" w:rsidRPr="00C62D0D" w14:paraId="77592B5C" w14:textId="77777777" w:rsidTr="00D0517F">
        <w:trPr>
          <w:trHeight w:val="375"/>
        </w:trPr>
        <w:tc>
          <w:tcPr>
            <w:tcW w:w="148" w:type="pct"/>
            <w:vAlign w:val="center"/>
            <w:hideMark/>
          </w:tcPr>
          <w:p w14:paraId="4EBD5853" w14:textId="77777777" w:rsidR="000453CB" w:rsidRPr="00C62D0D" w:rsidRDefault="000453CB" w:rsidP="00367134">
            <w:pPr>
              <w:pStyle w:val="Tablewriting"/>
            </w:pPr>
            <w:r w:rsidRPr="00C62D0D">
              <w:t>8</w:t>
            </w:r>
          </w:p>
        </w:tc>
        <w:tc>
          <w:tcPr>
            <w:tcW w:w="2102" w:type="pct"/>
            <w:vAlign w:val="center"/>
            <w:hideMark/>
          </w:tcPr>
          <w:p w14:paraId="50F23494" w14:textId="77777777" w:rsidR="000453CB" w:rsidRPr="00C62D0D" w:rsidRDefault="000453CB" w:rsidP="00367134">
            <w:pPr>
              <w:pStyle w:val="Tablewriting"/>
            </w:pPr>
            <w:r w:rsidRPr="00C62D0D">
              <w:t>Did the review authors describe the included studies in adequate detail?</w:t>
            </w:r>
          </w:p>
        </w:tc>
        <w:tc>
          <w:tcPr>
            <w:tcW w:w="275" w:type="pct"/>
            <w:noWrap/>
            <w:vAlign w:val="center"/>
            <w:hideMark/>
          </w:tcPr>
          <w:p w14:paraId="76D7F617" w14:textId="77777777" w:rsidR="000453CB" w:rsidRPr="00C62D0D" w:rsidRDefault="000453CB" w:rsidP="00367134">
            <w:pPr>
              <w:pStyle w:val="Tablewriting"/>
            </w:pPr>
            <w:r w:rsidRPr="00C62D0D">
              <w:t>Yes</w:t>
            </w:r>
          </w:p>
        </w:tc>
        <w:tc>
          <w:tcPr>
            <w:tcW w:w="244" w:type="pct"/>
            <w:noWrap/>
            <w:vAlign w:val="center"/>
            <w:hideMark/>
          </w:tcPr>
          <w:p w14:paraId="5608D8E0" w14:textId="77777777" w:rsidR="000453CB" w:rsidRPr="00C62D0D" w:rsidRDefault="000453CB" w:rsidP="00367134">
            <w:pPr>
              <w:pStyle w:val="Tablewriting"/>
            </w:pPr>
            <w:r w:rsidRPr="00C62D0D">
              <w:t>Yes</w:t>
            </w:r>
          </w:p>
        </w:tc>
        <w:tc>
          <w:tcPr>
            <w:tcW w:w="369" w:type="pct"/>
            <w:noWrap/>
            <w:vAlign w:val="center"/>
            <w:hideMark/>
          </w:tcPr>
          <w:p w14:paraId="2C74E16B" w14:textId="77777777" w:rsidR="000453CB" w:rsidRPr="00C62D0D" w:rsidRDefault="000453CB" w:rsidP="00367134">
            <w:pPr>
              <w:pStyle w:val="Tablewriting"/>
            </w:pPr>
            <w:r w:rsidRPr="00C62D0D">
              <w:t>Yes</w:t>
            </w:r>
          </w:p>
        </w:tc>
        <w:tc>
          <w:tcPr>
            <w:tcW w:w="431" w:type="pct"/>
            <w:noWrap/>
            <w:vAlign w:val="center"/>
            <w:hideMark/>
          </w:tcPr>
          <w:p w14:paraId="1AF889C2" w14:textId="77777777" w:rsidR="000453CB" w:rsidRPr="00C62D0D" w:rsidRDefault="000453CB" w:rsidP="00367134">
            <w:pPr>
              <w:pStyle w:val="Tablewriting"/>
            </w:pPr>
            <w:r w:rsidRPr="00C62D0D">
              <w:t>Yes</w:t>
            </w:r>
          </w:p>
        </w:tc>
        <w:tc>
          <w:tcPr>
            <w:tcW w:w="431" w:type="pct"/>
            <w:noWrap/>
            <w:vAlign w:val="center"/>
            <w:hideMark/>
          </w:tcPr>
          <w:p w14:paraId="4BC9A0AE" w14:textId="77777777" w:rsidR="000453CB" w:rsidRPr="00C62D0D" w:rsidRDefault="000453CB" w:rsidP="00367134">
            <w:pPr>
              <w:pStyle w:val="Tablewriting"/>
            </w:pPr>
            <w:r w:rsidRPr="00C62D0D">
              <w:t>Yes</w:t>
            </w:r>
          </w:p>
        </w:tc>
        <w:tc>
          <w:tcPr>
            <w:tcW w:w="303" w:type="pct"/>
            <w:noWrap/>
            <w:vAlign w:val="center"/>
            <w:hideMark/>
          </w:tcPr>
          <w:p w14:paraId="11261ED0" w14:textId="77777777" w:rsidR="000453CB" w:rsidRPr="00C62D0D" w:rsidRDefault="000453CB" w:rsidP="00367134">
            <w:pPr>
              <w:pStyle w:val="Tablewriting"/>
            </w:pPr>
            <w:r w:rsidRPr="00C62D0D">
              <w:t>Yes</w:t>
            </w:r>
          </w:p>
        </w:tc>
        <w:tc>
          <w:tcPr>
            <w:tcW w:w="303" w:type="pct"/>
            <w:noWrap/>
            <w:vAlign w:val="center"/>
            <w:hideMark/>
          </w:tcPr>
          <w:p w14:paraId="7E78BEBE" w14:textId="77777777" w:rsidR="000453CB" w:rsidRPr="00C62D0D" w:rsidRDefault="000453CB" w:rsidP="00367134">
            <w:pPr>
              <w:pStyle w:val="Tablewriting"/>
            </w:pPr>
            <w:r w:rsidRPr="00C62D0D">
              <w:t>Yes</w:t>
            </w:r>
          </w:p>
        </w:tc>
        <w:tc>
          <w:tcPr>
            <w:tcW w:w="394" w:type="pct"/>
            <w:noWrap/>
            <w:vAlign w:val="center"/>
            <w:hideMark/>
          </w:tcPr>
          <w:p w14:paraId="793A6D2A" w14:textId="77777777" w:rsidR="000453CB" w:rsidRPr="00C62D0D" w:rsidRDefault="000453CB" w:rsidP="00367134">
            <w:pPr>
              <w:pStyle w:val="Tablewriting"/>
            </w:pPr>
            <w:r w:rsidRPr="00C62D0D">
              <w:t>Yes</w:t>
            </w:r>
          </w:p>
        </w:tc>
      </w:tr>
      <w:tr w:rsidR="000453CB" w:rsidRPr="00C62D0D" w14:paraId="06E02166" w14:textId="77777777" w:rsidTr="00D0517F">
        <w:trPr>
          <w:trHeight w:val="750"/>
        </w:trPr>
        <w:tc>
          <w:tcPr>
            <w:tcW w:w="148" w:type="pct"/>
            <w:vAlign w:val="center"/>
            <w:hideMark/>
          </w:tcPr>
          <w:p w14:paraId="32E163C1" w14:textId="77777777" w:rsidR="000453CB" w:rsidRPr="00C62D0D" w:rsidRDefault="000453CB" w:rsidP="00367134">
            <w:pPr>
              <w:pStyle w:val="Tablewriting"/>
            </w:pPr>
            <w:r w:rsidRPr="00C62D0D">
              <w:t>9</w:t>
            </w:r>
          </w:p>
        </w:tc>
        <w:tc>
          <w:tcPr>
            <w:tcW w:w="2102" w:type="pct"/>
            <w:vAlign w:val="center"/>
            <w:hideMark/>
          </w:tcPr>
          <w:p w14:paraId="0BBCBC5B" w14:textId="77777777" w:rsidR="000453CB" w:rsidRPr="00C62D0D" w:rsidRDefault="000453CB" w:rsidP="00367134">
            <w:pPr>
              <w:pStyle w:val="Tablewriting"/>
            </w:pPr>
            <w:r w:rsidRPr="00C62D0D">
              <w:t xml:space="preserve">Did the review authors use a satisfactory technique for assessing the risk of bias (RoB) in individual studies that were included in the review? </w:t>
            </w:r>
          </w:p>
        </w:tc>
        <w:tc>
          <w:tcPr>
            <w:tcW w:w="275" w:type="pct"/>
            <w:noWrap/>
            <w:vAlign w:val="center"/>
            <w:hideMark/>
          </w:tcPr>
          <w:p w14:paraId="6292AF58" w14:textId="77777777" w:rsidR="000453CB" w:rsidRPr="00C62D0D" w:rsidRDefault="000453CB" w:rsidP="00367134">
            <w:pPr>
              <w:pStyle w:val="Tablewriting"/>
            </w:pPr>
            <w:r w:rsidRPr="00C62D0D">
              <w:t>Yes</w:t>
            </w:r>
          </w:p>
        </w:tc>
        <w:tc>
          <w:tcPr>
            <w:tcW w:w="244" w:type="pct"/>
            <w:noWrap/>
            <w:vAlign w:val="center"/>
            <w:hideMark/>
          </w:tcPr>
          <w:p w14:paraId="305DBD54" w14:textId="77777777" w:rsidR="000453CB" w:rsidRPr="00C62D0D" w:rsidRDefault="000453CB" w:rsidP="00367134">
            <w:pPr>
              <w:pStyle w:val="Tablewriting"/>
            </w:pPr>
            <w:r w:rsidRPr="00C62D0D">
              <w:t>Yes</w:t>
            </w:r>
          </w:p>
        </w:tc>
        <w:tc>
          <w:tcPr>
            <w:tcW w:w="369" w:type="pct"/>
            <w:noWrap/>
            <w:vAlign w:val="center"/>
            <w:hideMark/>
          </w:tcPr>
          <w:p w14:paraId="17350ABF" w14:textId="77777777" w:rsidR="000453CB" w:rsidRPr="00C62D0D" w:rsidRDefault="000453CB" w:rsidP="00367134">
            <w:pPr>
              <w:pStyle w:val="Tablewriting"/>
            </w:pPr>
            <w:r w:rsidRPr="00C62D0D">
              <w:t>Yes</w:t>
            </w:r>
          </w:p>
        </w:tc>
        <w:tc>
          <w:tcPr>
            <w:tcW w:w="431" w:type="pct"/>
            <w:noWrap/>
            <w:vAlign w:val="center"/>
            <w:hideMark/>
          </w:tcPr>
          <w:p w14:paraId="68EA02F2" w14:textId="77777777" w:rsidR="000453CB" w:rsidRPr="00C62D0D" w:rsidRDefault="000453CB" w:rsidP="00367134">
            <w:pPr>
              <w:pStyle w:val="Tablewriting"/>
            </w:pPr>
            <w:r w:rsidRPr="00C62D0D">
              <w:t>Yes</w:t>
            </w:r>
          </w:p>
        </w:tc>
        <w:tc>
          <w:tcPr>
            <w:tcW w:w="431" w:type="pct"/>
            <w:noWrap/>
            <w:vAlign w:val="center"/>
            <w:hideMark/>
          </w:tcPr>
          <w:p w14:paraId="747FFBA4" w14:textId="77777777" w:rsidR="000453CB" w:rsidRPr="00C62D0D" w:rsidRDefault="000453CB" w:rsidP="00367134">
            <w:pPr>
              <w:pStyle w:val="Tablewriting"/>
            </w:pPr>
            <w:r w:rsidRPr="00C62D0D">
              <w:t>Yes</w:t>
            </w:r>
          </w:p>
        </w:tc>
        <w:tc>
          <w:tcPr>
            <w:tcW w:w="303" w:type="pct"/>
            <w:noWrap/>
            <w:vAlign w:val="center"/>
            <w:hideMark/>
          </w:tcPr>
          <w:p w14:paraId="6CE5BAD6" w14:textId="77777777" w:rsidR="000453CB" w:rsidRPr="00C62D0D" w:rsidRDefault="000453CB" w:rsidP="00367134">
            <w:pPr>
              <w:pStyle w:val="Tablewriting"/>
            </w:pPr>
            <w:r w:rsidRPr="00C62D0D">
              <w:t>Yes</w:t>
            </w:r>
          </w:p>
        </w:tc>
        <w:tc>
          <w:tcPr>
            <w:tcW w:w="303" w:type="pct"/>
            <w:noWrap/>
            <w:vAlign w:val="center"/>
            <w:hideMark/>
          </w:tcPr>
          <w:p w14:paraId="443D921D" w14:textId="77777777" w:rsidR="000453CB" w:rsidRPr="00C62D0D" w:rsidRDefault="000453CB" w:rsidP="00367134">
            <w:pPr>
              <w:pStyle w:val="Tablewriting"/>
            </w:pPr>
            <w:r w:rsidRPr="00C62D0D">
              <w:t>Yes</w:t>
            </w:r>
          </w:p>
        </w:tc>
        <w:tc>
          <w:tcPr>
            <w:tcW w:w="394" w:type="pct"/>
            <w:noWrap/>
            <w:vAlign w:val="center"/>
            <w:hideMark/>
          </w:tcPr>
          <w:p w14:paraId="091B2B72" w14:textId="77777777" w:rsidR="000453CB" w:rsidRPr="00C62D0D" w:rsidRDefault="000453CB" w:rsidP="00367134">
            <w:pPr>
              <w:pStyle w:val="Tablewriting"/>
            </w:pPr>
            <w:r w:rsidRPr="00C62D0D">
              <w:t>Yes</w:t>
            </w:r>
          </w:p>
        </w:tc>
      </w:tr>
      <w:tr w:rsidR="000453CB" w:rsidRPr="00C62D0D" w14:paraId="547060D8" w14:textId="77777777" w:rsidTr="00D0517F">
        <w:trPr>
          <w:trHeight w:val="220"/>
        </w:trPr>
        <w:tc>
          <w:tcPr>
            <w:tcW w:w="148" w:type="pct"/>
            <w:vAlign w:val="center"/>
            <w:hideMark/>
          </w:tcPr>
          <w:p w14:paraId="5F6E0C43" w14:textId="77777777" w:rsidR="000453CB" w:rsidRPr="00C62D0D" w:rsidRDefault="000453CB" w:rsidP="00367134">
            <w:pPr>
              <w:pStyle w:val="Tablewriting"/>
            </w:pPr>
            <w:r w:rsidRPr="00C62D0D">
              <w:t>10</w:t>
            </w:r>
          </w:p>
        </w:tc>
        <w:tc>
          <w:tcPr>
            <w:tcW w:w="2102" w:type="pct"/>
            <w:vAlign w:val="center"/>
            <w:hideMark/>
          </w:tcPr>
          <w:p w14:paraId="1BD947C0" w14:textId="77777777" w:rsidR="000453CB" w:rsidRPr="00C62D0D" w:rsidRDefault="000453CB" w:rsidP="00367134">
            <w:pPr>
              <w:pStyle w:val="Tablewriting"/>
            </w:pPr>
            <w:r w:rsidRPr="00C62D0D">
              <w:t xml:space="preserve">Did the review authors report on the sources of funding for the studies included in the review? </w:t>
            </w:r>
          </w:p>
        </w:tc>
        <w:tc>
          <w:tcPr>
            <w:tcW w:w="275" w:type="pct"/>
            <w:vAlign w:val="center"/>
            <w:hideMark/>
          </w:tcPr>
          <w:p w14:paraId="79A24951" w14:textId="77777777" w:rsidR="000453CB" w:rsidRPr="00C62D0D" w:rsidRDefault="000453CB" w:rsidP="00367134">
            <w:pPr>
              <w:pStyle w:val="Tablewriting"/>
            </w:pPr>
            <w:r w:rsidRPr="00C62D0D">
              <w:t>Yes</w:t>
            </w:r>
          </w:p>
        </w:tc>
        <w:tc>
          <w:tcPr>
            <w:tcW w:w="244" w:type="pct"/>
            <w:vAlign w:val="center"/>
            <w:hideMark/>
          </w:tcPr>
          <w:p w14:paraId="61E3ADF2" w14:textId="77777777" w:rsidR="000453CB" w:rsidRPr="00C62D0D" w:rsidRDefault="000453CB" w:rsidP="00367134">
            <w:pPr>
              <w:pStyle w:val="Tablewriting"/>
            </w:pPr>
            <w:r w:rsidRPr="00C62D0D">
              <w:t>Yes</w:t>
            </w:r>
          </w:p>
        </w:tc>
        <w:tc>
          <w:tcPr>
            <w:tcW w:w="369" w:type="pct"/>
            <w:vAlign w:val="center"/>
            <w:hideMark/>
          </w:tcPr>
          <w:p w14:paraId="76951120" w14:textId="77777777" w:rsidR="000453CB" w:rsidRPr="00C62D0D" w:rsidRDefault="000453CB" w:rsidP="00367134">
            <w:pPr>
              <w:pStyle w:val="Tablewriting"/>
            </w:pPr>
            <w:r w:rsidRPr="00C62D0D">
              <w:t>Yes</w:t>
            </w:r>
          </w:p>
        </w:tc>
        <w:tc>
          <w:tcPr>
            <w:tcW w:w="431" w:type="pct"/>
            <w:vAlign w:val="center"/>
            <w:hideMark/>
          </w:tcPr>
          <w:p w14:paraId="4FBEEE43" w14:textId="77777777" w:rsidR="000453CB" w:rsidRPr="00C62D0D" w:rsidRDefault="000453CB" w:rsidP="00367134">
            <w:pPr>
              <w:pStyle w:val="Tablewriting"/>
            </w:pPr>
            <w:r w:rsidRPr="00C62D0D">
              <w:t>Yes</w:t>
            </w:r>
          </w:p>
        </w:tc>
        <w:tc>
          <w:tcPr>
            <w:tcW w:w="431" w:type="pct"/>
            <w:vAlign w:val="center"/>
            <w:hideMark/>
          </w:tcPr>
          <w:p w14:paraId="6AC76112" w14:textId="77777777" w:rsidR="000453CB" w:rsidRPr="00C62D0D" w:rsidRDefault="000453CB" w:rsidP="00367134">
            <w:pPr>
              <w:pStyle w:val="Tablewriting"/>
            </w:pPr>
            <w:r w:rsidRPr="00C62D0D">
              <w:t>Yes</w:t>
            </w:r>
          </w:p>
        </w:tc>
        <w:tc>
          <w:tcPr>
            <w:tcW w:w="303" w:type="pct"/>
            <w:vAlign w:val="center"/>
            <w:hideMark/>
          </w:tcPr>
          <w:p w14:paraId="7DE3DC7B" w14:textId="77777777" w:rsidR="000453CB" w:rsidRPr="00C62D0D" w:rsidRDefault="000453CB" w:rsidP="00367134">
            <w:pPr>
              <w:pStyle w:val="Tablewriting"/>
            </w:pPr>
            <w:r w:rsidRPr="00C62D0D">
              <w:t>Yes</w:t>
            </w:r>
          </w:p>
        </w:tc>
        <w:tc>
          <w:tcPr>
            <w:tcW w:w="303" w:type="pct"/>
            <w:vAlign w:val="center"/>
            <w:hideMark/>
          </w:tcPr>
          <w:p w14:paraId="298E5F15" w14:textId="77777777" w:rsidR="000453CB" w:rsidRPr="00C62D0D" w:rsidRDefault="000453CB" w:rsidP="00367134">
            <w:pPr>
              <w:pStyle w:val="Tablewriting"/>
            </w:pPr>
            <w:r w:rsidRPr="00C62D0D">
              <w:t>Yes</w:t>
            </w:r>
          </w:p>
        </w:tc>
        <w:tc>
          <w:tcPr>
            <w:tcW w:w="394" w:type="pct"/>
            <w:vAlign w:val="center"/>
            <w:hideMark/>
          </w:tcPr>
          <w:p w14:paraId="55E280F8" w14:textId="77777777" w:rsidR="000453CB" w:rsidRPr="00C62D0D" w:rsidRDefault="000453CB" w:rsidP="00367134">
            <w:pPr>
              <w:pStyle w:val="Tablewriting"/>
            </w:pPr>
            <w:r w:rsidRPr="00C62D0D">
              <w:t>Yes</w:t>
            </w:r>
          </w:p>
        </w:tc>
      </w:tr>
      <w:tr w:rsidR="000453CB" w:rsidRPr="00C62D0D" w14:paraId="5A5553B5" w14:textId="77777777" w:rsidTr="00D0517F">
        <w:trPr>
          <w:trHeight w:val="89"/>
        </w:trPr>
        <w:tc>
          <w:tcPr>
            <w:tcW w:w="148" w:type="pct"/>
            <w:vAlign w:val="center"/>
            <w:hideMark/>
          </w:tcPr>
          <w:p w14:paraId="76400FEA" w14:textId="77777777" w:rsidR="000453CB" w:rsidRPr="00C62D0D" w:rsidRDefault="000453CB" w:rsidP="00367134">
            <w:pPr>
              <w:pStyle w:val="Tablewriting"/>
            </w:pPr>
            <w:r w:rsidRPr="00C62D0D">
              <w:t>11</w:t>
            </w:r>
          </w:p>
        </w:tc>
        <w:tc>
          <w:tcPr>
            <w:tcW w:w="2102" w:type="pct"/>
            <w:vAlign w:val="center"/>
            <w:hideMark/>
          </w:tcPr>
          <w:p w14:paraId="12AF6EDC" w14:textId="77777777" w:rsidR="000453CB" w:rsidRPr="00C62D0D" w:rsidRDefault="000453CB" w:rsidP="00367134">
            <w:pPr>
              <w:pStyle w:val="Tablewriting"/>
            </w:pPr>
            <w:r w:rsidRPr="00C62D0D">
              <w:t xml:space="preserve">If meta-analysis was performed did the review authors use appropriate methods for statistical combination of results? </w:t>
            </w:r>
          </w:p>
        </w:tc>
        <w:tc>
          <w:tcPr>
            <w:tcW w:w="275" w:type="pct"/>
            <w:vAlign w:val="center"/>
            <w:hideMark/>
          </w:tcPr>
          <w:p w14:paraId="6F3CA24B" w14:textId="77777777" w:rsidR="000453CB" w:rsidRPr="00C62D0D" w:rsidRDefault="000453CB" w:rsidP="00367134">
            <w:pPr>
              <w:pStyle w:val="Tablewriting"/>
            </w:pPr>
            <w:r w:rsidRPr="00C62D0D">
              <w:t>Yes</w:t>
            </w:r>
          </w:p>
        </w:tc>
        <w:tc>
          <w:tcPr>
            <w:tcW w:w="244" w:type="pct"/>
            <w:vAlign w:val="center"/>
            <w:hideMark/>
          </w:tcPr>
          <w:p w14:paraId="042B162E" w14:textId="77777777" w:rsidR="000453CB" w:rsidRPr="00C62D0D" w:rsidRDefault="000453CB" w:rsidP="00367134">
            <w:pPr>
              <w:pStyle w:val="Tablewriting"/>
            </w:pPr>
            <w:r w:rsidRPr="00C62D0D">
              <w:t>Yes</w:t>
            </w:r>
          </w:p>
        </w:tc>
        <w:tc>
          <w:tcPr>
            <w:tcW w:w="369" w:type="pct"/>
            <w:vAlign w:val="center"/>
            <w:hideMark/>
          </w:tcPr>
          <w:p w14:paraId="03FE8ACD" w14:textId="77777777" w:rsidR="000453CB" w:rsidRPr="00C62D0D" w:rsidRDefault="000453CB" w:rsidP="00367134">
            <w:pPr>
              <w:pStyle w:val="Tablewriting"/>
            </w:pPr>
            <w:r w:rsidRPr="00C62D0D">
              <w:t>Yes</w:t>
            </w:r>
          </w:p>
        </w:tc>
        <w:tc>
          <w:tcPr>
            <w:tcW w:w="431" w:type="pct"/>
            <w:vAlign w:val="center"/>
            <w:hideMark/>
          </w:tcPr>
          <w:p w14:paraId="571F94C4" w14:textId="77777777" w:rsidR="000453CB" w:rsidRPr="00C62D0D" w:rsidRDefault="000453CB" w:rsidP="00367134">
            <w:pPr>
              <w:pStyle w:val="Tablewriting"/>
            </w:pPr>
            <w:r w:rsidRPr="00C62D0D">
              <w:t>Yes</w:t>
            </w:r>
          </w:p>
        </w:tc>
        <w:tc>
          <w:tcPr>
            <w:tcW w:w="431" w:type="pct"/>
            <w:vAlign w:val="center"/>
            <w:hideMark/>
          </w:tcPr>
          <w:p w14:paraId="719B092E" w14:textId="77777777" w:rsidR="000453CB" w:rsidRPr="00C62D0D" w:rsidRDefault="000453CB" w:rsidP="00367134">
            <w:pPr>
              <w:pStyle w:val="Tablewriting"/>
            </w:pPr>
            <w:r w:rsidRPr="00C62D0D">
              <w:t>Yes</w:t>
            </w:r>
          </w:p>
        </w:tc>
        <w:tc>
          <w:tcPr>
            <w:tcW w:w="303" w:type="pct"/>
            <w:vAlign w:val="center"/>
            <w:hideMark/>
          </w:tcPr>
          <w:p w14:paraId="63BC0BB7" w14:textId="77777777" w:rsidR="000453CB" w:rsidRPr="00C62D0D" w:rsidRDefault="000453CB" w:rsidP="00367134">
            <w:pPr>
              <w:pStyle w:val="Tablewriting"/>
            </w:pPr>
            <w:r w:rsidRPr="00C62D0D">
              <w:t>Yes</w:t>
            </w:r>
          </w:p>
        </w:tc>
        <w:tc>
          <w:tcPr>
            <w:tcW w:w="303" w:type="pct"/>
            <w:vAlign w:val="center"/>
            <w:hideMark/>
          </w:tcPr>
          <w:p w14:paraId="401A5BCC" w14:textId="77777777" w:rsidR="000453CB" w:rsidRPr="00C62D0D" w:rsidRDefault="000453CB" w:rsidP="00367134">
            <w:pPr>
              <w:pStyle w:val="Tablewriting"/>
            </w:pPr>
            <w:r w:rsidRPr="00C62D0D">
              <w:t>Yes</w:t>
            </w:r>
          </w:p>
        </w:tc>
        <w:tc>
          <w:tcPr>
            <w:tcW w:w="394" w:type="pct"/>
            <w:vAlign w:val="center"/>
            <w:hideMark/>
          </w:tcPr>
          <w:p w14:paraId="4E4085AA" w14:textId="77777777" w:rsidR="000453CB" w:rsidRPr="00C62D0D" w:rsidRDefault="000453CB" w:rsidP="00367134">
            <w:pPr>
              <w:pStyle w:val="Tablewriting"/>
            </w:pPr>
            <w:r w:rsidRPr="00C62D0D">
              <w:t>Yes</w:t>
            </w:r>
          </w:p>
        </w:tc>
      </w:tr>
      <w:tr w:rsidR="000453CB" w:rsidRPr="00C62D0D" w14:paraId="09F9CC00" w14:textId="77777777" w:rsidTr="00D0517F">
        <w:trPr>
          <w:trHeight w:val="750"/>
        </w:trPr>
        <w:tc>
          <w:tcPr>
            <w:tcW w:w="148" w:type="pct"/>
            <w:vAlign w:val="center"/>
            <w:hideMark/>
          </w:tcPr>
          <w:p w14:paraId="16792039" w14:textId="77777777" w:rsidR="000453CB" w:rsidRPr="00C62D0D" w:rsidRDefault="000453CB" w:rsidP="00367134">
            <w:pPr>
              <w:pStyle w:val="Tablewriting"/>
            </w:pPr>
            <w:r w:rsidRPr="00C62D0D">
              <w:t>12</w:t>
            </w:r>
          </w:p>
        </w:tc>
        <w:tc>
          <w:tcPr>
            <w:tcW w:w="2102" w:type="pct"/>
            <w:vAlign w:val="center"/>
            <w:hideMark/>
          </w:tcPr>
          <w:p w14:paraId="3FD5E500" w14:textId="77777777" w:rsidR="000453CB" w:rsidRPr="00C62D0D" w:rsidRDefault="000453CB" w:rsidP="00367134">
            <w:pPr>
              <w:pStyle w:val="Tablewriting"/>
            </w:pPr>
            <w:r w:rsidRPr="00C62D0D">
              <w:t xml:space="preserve">If meta-analysis was performed, did the review authors assess the potential impact of RoB in individual studies on the results of the meta-analysis or other evidence synthesis? </w:t>
            </w:r>
          </w:p>
        </w:tc>
        <w:tc>
          <w:tcPr>
            <w:tcW w:w="275" w:type="pct"/>
            <w:vAlign w:val="center"/>
            <w:hideMark/>
          </w:tcPr>
          <w:p w14:paraId="0BBF16FB" w14:textId="77777777" w:rsidR="000453CB" w:rsidRPr="00C62D0D" w:rsidRDefault="000453CB" w:rsidP="00367134">
            <w:pPr>
              <w:pStyle w:val="Tablewriting"/>
            </w:pPr>
            <w:r w:rsidRPr="00C62D0D">
              <w:t>Yes</w:t>
            </w:r>
          </w:p>
        </w:tc>
        <w:tc>
          <w:tcPr>
            <w:tcW w:w="244" w:type="pct"/>
            <w:vAlign w:val="center"/>
            <w:hideMark/>
          </w:tcPr>
          <w:p w14:paraId="3CE156D4" w14:textId="77777777" w:rsidR="000453CB" w:rsidRPr="00C62D0D" w:rsidRDefault="000453CB" w:rsidP="00367134">
            <w:pPr>
              <w:pStyle w:val="Tablewriting"/>
            </w:pPr>
            <w:r w:rsidRPr="00C62D0D">
              <w:t>Yes</w:t>
            </w:r>
          </w:p>
        </w:tc>
        <w:tc>
          <w:tcPr>
            <w:tcW w:w="369" w:type="pct"/>
            <w:vAlign w:val="center"/>
            <w:hideMark/>
          </w:tcPr>
          <w:p w14:paraId="2BCCCCF9" w14:textId="77777777" w:rsidR="000453CB" w:rsidRPr="00C62D0D" w:rsidRDefault="000453CB" w:rsidP="00367134">
            <w:pPr>
              <w:pStyle w:val="Tablewriting"/>
            </w:pPr>
            <w:r w:rsidRPr="00C62D0D">
              <w:t>Yes</w:t>
            </w:r>
          </w:p>
        </w:tc>
        <w:tc>
          <w:tcPr>
            <w:tcW w:w="431" w:type="pct"/>
            <w:vAlign w:val="center"/>
            <w:hideMark/>
          </w:tcPr>
          <w:p w14:paraId="6AE02AA5" w14:textId="77777777" w:rsidR="000453CB" w:rsidRPr="00C62D0D" w:rsidRDefault="000453CB" w:rsidP="00367134">
            <w:pPr>
              <w:pStyle w:val="Tablewriting"/>
            </w:pPr>
            <w:r w:rsidRPr="00C62D0D">
              <w:t>Yes</w:t>
            </w:r>
          </w:p>
        </w:tc>
        <w:tc>
          <w:tcPr>
            <w:tcW w:w="431" w:type="pct"/>
            <w:vAlign w:val="center"/>
            <w:hideMark/>
          </w:tcPr>
          <w:p w14:paraId="34D0F301" w14:textId="77777777" w:rsidR="000453CB" w:rsidRPr="00C62D0D" w:rsidRDefault="000453CB" w:rsidP="00367134">
            <w:pPr>
              <w:pStyle w:val="Tablewriting"/>
            </w:pPr>
            <w:r w:rsidRPr="00C62D0D">
              <w:t>Yes</w:t>
            </w:r>
          </w:p>
        </w:tc>
        <w:tc>
          <w:tcPr>
            <w:tcW w:w="303" w:type="pct"/>
            <w:vAlign w:val="center"/>
            <w:hideMark/>
          </w:tcPr>
          <w:p w14:paraId="4F0738F7" w14:textId="77777777" w:rsidR="000453CB" w:rsidRPr="00C62D0D" w:rsidRDefault="000453CB" w:rsidP="00367134">
            <w:pPr>
              <w:pStyle w:val="Tablewriting"/>
            </w:pPr>
            <w:r w:rsidRPr="00C62D0D">
              <w:t>Yes</w:t>
            </w:r>
          </w:p>
        </w:tc>
        <w:tc>
          <w:tcPr>
            <w:tcW w:w="303" w:type="pct"/>
            <w:vAlign w:val="center"/>
            <w:hideMark/>
          </w:tcPr>
          <w:p w14:paraId="63214022" w14:textId="77777777" w:rsidR="000453CB" w:rsidRPr="00C62D0D" w:rsidRDefault="000453CB" w:rsidP="00367134">
            <w:pPr>
              <w:pStyle w:val="Tablewriting"/>
            </w:pPr>
            <w:r w:rsidRPr="00C62D0D">
              <w:t>Yes</w:t>
            </w:r>
          </w:p>
        </w:tc>
        <w:tc>
          <w:tcPr>
            <w:tcW w:w="394" w:type="pct"/>
            <w:vAlign w:val="center"/>
            <w:hideMark/>
          </w:tcPr>
          <w:p w14:paraId="0DA6417B" w14:textId="77777777" w:rsidR="000453CB" w:rsidRPr="00C62D0D" w:rsidRDefault="000453CB" w:rsidP="00367134">
            <w:pPr>
              <w:pStyle w:val="Tablewriting"/>
            </w:pPr>
            <w:r w:rsidRPr="00C62D0D">
              <w:t>Yes</w:t>
            </w:r>
          </w:p>
        </w:tc>
      </w:tr>
      <w:tr w:rsidR="000453CB" w:rsidRPr="00C62D0D" w14:paraId="26449C14" w14:textId="77777777" w:rsidTr="00D0517F">
        <w:trPr>
          <w:trHeight w:val="72"/>
        </w:trPr>
        <w:tc>
          <w:tcPr>
            <w:tcW w:w="148" w:type="pct"/>
            <w:vAlign w:val="center"/>
            <w:hideMark/>
          </w:tcPr>
          <w:p w14:paraId="4F13DF96" w14:textId="77777777" w:rsidR="000453CB" w:rsidRPr="00C62D0D" w:rsidRDefault="000453CB" w:rsidP="00367134">
            <w:pPr>
              <w:pStyle w:val="Tablewriting"/>
            </w:pPr>
            <w:r w:rsidRPr="00C62D0D">
              <w:t>13</w:t>
            </w:r>
          </w:p>
        </w:tc>
        <w:tc>
          <w:tcPr>
            <w:tcW w:w="2102" w:type="pct"/>
            <w:vAlign w:val="center"/>
            <w:hideMark/>
          </w:tcPr>
          <w:p w14:paraId="48755130" w14:textId="77777777" w:rsidR="000453CB" w:rsidRPr="00C62D0D" w:rsidRDefault="000453CB" w:rsidP="00367134">
            <w:pPr>
              <w:pStyle w:val="Tablewriting"/>
            </w:pPr>
            <w:r w:rsidRPr="00C62D0D">
              <w:t xml:space="preserve">Did the review authors account for RoB in individual studies when interpreting/ discussing the results of the review? </w:t>
            </w:r>
          </w:p>
        </w:tc>
        <w:tc>
          <w:tcPr>
            <w:tcW w:w="275" w:type="pct"/>
            <w:vAlign w:val="center"/>
            <w:hideMark/>
          </w:tcPr>
          <w:p w14:paraId="57B87428" w14:textId="77777777" w:rsidR="000453CB" w:rsidRPr="00C62D0D" w:rsidRDefault="000453CB" w:rsidP="00367134">
            <w:pPr>
              <w:pStyle w:val="Tablewriting"/>
            </w:pPr>
            <w:r w:rsidRPr="00C62D0D">
              <w:t>Yes</w:t>
            </w:r>
          </w:p>
        </w:tc>
        <w:tc>
          <w:tcPr>
            <w:tcW w:w="244" w:type="pct"/>
            <w:vAlign w:val="center"/>
            <w:hideMark/>
          </w:tcPr>
          <w:p w14:paraId="5A4CF494" w14:textId="77777777" w:rsidR="000453CB" w:rsidRPr="00C62D0D" w:rsidRDefault="000453CB" w:rsidP="00367134">
            <w:pPr>
              <w:pStyle w:val="Tablewriting"/>
            </w:pPr>
            <w:r w:rsidRPr="00C62D0D">
              <w:t>Yes</w:t>
            </w:r>
          </w:p>
        </w:tc>
        <w:tc>
          <w:tcPr>
            <w:tcW w:w="369" w:type="pct"/>
            <w:vAlign w:val="center"/>
            <w:hideMark/>
          </w:tcPr>
          <w:p w14:paraId="554FA7A2" w14:textId="77777777" w:rsidR="000453CB" w:rsidRPr="00C62D0D" w:rsidRDefault="000453CB" w:rsidP="00367134">
            <w:pPr>
              <w:pStyle w:val="Tablewriting"/>
            </w:pPr>
            <w:r w:rsidRPr="00C62D0D">
              <w:t>Yes</w:t>
            </w:r>
          </w:p>
        </w:tc>
        <w:tc>
          <w:tcPr>
            <w:tcW w:w="431" w:type="pct"/>
            <w:vAlign w:val="center"/>
            <w:hideMark/>
          </w:tcPr>
          <w:p w14:paraId="6BDED1D5" w14:textId="77777777" w:rsidR="000453CB" w:rsidRPr="00C62D0D" w:rsidRDefault="000453CB" w:rsidP="00367134">
            <w:pPr>
              <w:pStyle w:val="Tablewriting"/>
            </w:pPr>
            <w:r w:rsidRPr="00C62D0D">
              <w:t>Yes</w:t>
            </w:r>
          </w:p>
        </w:tc>
        <w:tc>
          <w:tcPr>
            <w:tcW w:w="431" w:type="pct"/>
            <w:vAlign w:val="center"/>
            <w:hideMark/>
          </w:tcPr>
          <w:p w14:paraId="5E24CC5E" w14:textId="77777777" w:rsidR="000453CB" w:rsidRPr="00C62D0D" w:rsidRDefault="000453CB" w:rsidP="00367134">
            <w:pPr>
              <w:pStyle w:val="Tablewriting"/>
            </w:pPr>
            <w:r w:rsidRPr="00C62D0D">
              <w:t>Yes</w:t>
            </w:r>
          </w:p>
        </w:tc>
        <w:tc>
          <w:tcPr>
            <w:tcW w:w="303" w:type="pct"/>
            <w:vAlign w:val="center"/>
            <w:hideMark/>
          </w:tcPr>
          <w:p w14:paraId="44C112E2" w14:textId="77777777" w:rsidR="000453CB" w:rsidRPr="00C62D0D" w:rsidRDefault="000453CB" w:rsidP="00367134">
            <w:pPr>
              <w:pStyle w:val="Tablewriting"/>
            </w:pPr>
            <w:r w:rsidRPr="00C62D0D">
              <w:t>Yes</w:t>
            </w:r>
          </w:p>
        </w:tc>
        <w:tc>
          <w:tcPr>
            <w:tcW w:w="303" w:type="pct"/>
            <w:vAlign w:val="center"/>
            <w:hideMark/>
          </w:tcPr>
          <w:p w14:paraId="3DFE2EAF" w14:textId="77777777" w:rsidR="000453CB" w:rsidRPr="00C62D0D" w:rsidRDefault="000453CB" w:rsidP="00367134">
            <w:pPr>
              <w:pStyle w:val="Tablewriting"/>
            </w:pPr>
            <w:r w:rsidRPr="00C62D0D">
              <w:t>Yes</w:t>
            </w:r>
          </w:p>
        </w:tc>
        <w:tc>
          <w:tcPr>
            <w:tcW w:w="394" w:type="pct"/>
            <w:vAlign w:val="center"/>
            <w:hideMark/>
          </w:tcPr>
          <w:p w14:paraId="5B51CD75" w14:textId="77777777" w:rsidR="000453CB" w:rsidRPr="00C62D0D" w:rsidRDefault="000453CB" w:rsidP="00367134">
            <w:pPr>
              <w:pStyle w:val="Tablewriting"/>
            </w:pPr>
            <w:r w:rsidRPr="00C62D0D">
              <w:t>Yes</w:t>
            </w:r>
          </w:p>
        </w:tc>
      </w:tr>
      <w:tr w:rsidR="000453CB" w:rsidRPr="00C62D0D" w14:paraId="47ED03E5" w14:textId="77777777" w:rsidTr="00D0517F">
        <w:trPr>
          <w:trHeight w:val="181"/>
        </w:trPr>
        <w:tc>
          <w:tcPr>
            <w:tcW w:w="148" w:type="pct"/>
            <w:vAlign w:val="center"/>
            <w:hideMark/>
          </w:tcPr>
          <w:p w14:paraId="31247F43" w14:textId="77777777" w:rsidR="000453CB" w:rsidRPr="00C62D0D" w:rsidRDefault="000453CB" w:rsidP="00367134">
            <w:pPr>
              <w:pStyle w:val="Tablewriting"/>
            </w:pPr>
            <w:r w:rsidRPr="00C62D0D">
              <w:lastRenderedPageBreak/>
              <w:t>14</w:t>
            </w:r>
          </w:p>
        </w:tc>
        <w:tc>
          <w:tcPr>
            <w:tcW w:w="2102" w:type="pct"/>
            <w:vAlign w:val="center"/>
            <w:hideMark/>
          </w:tcPr>
          <w:p w14:paraId="6032F891" w14:textId="77777777" w:rsidR="000453CB" w:rsidRPr="00C62D0D" w:rsidRDefault="000453CB" w:rsidP="00367134">
            <w:pPr>
              <w:pStyle w:val="Tablewriting"/>
            </w:pPr>
            <w:r w:rsidRPr="00C62D0D">
              <w:t xml:space="preserve">Did the review authors provide a satisfactory explanation for, and discussion of, any heterogeneity observed in the results of the review? </w:t>
            </w:r>
          </w:p>
        </w:tc>
        <w:tc>
          <w:tcPr>
            <w:tcW w:w="275" w:type="pct"/>
            <w:vAlign w:val="center"/>
            <w:hideMark/>
          </w:tcPr>
          <w:p w14:paraId="1E76BA9B" w14:textId="77777777" w:rsidR="000453CB" w:rsidRPr="00C62D0D" w:rsidRDefault="000453CB" w:rsidP="00367134">
            <w:pPr>
              <w:pStyle w:val="Tablewriting"/>
            </w:pPr>
            <w:r w:rsidRPr="00C62D0D">
              <w:t>Yes</w:t>
            </w:r>
          </w:p>
        </w:tc>
        <w:tc>
          <w:tcPr>
            <w:tcW w:w="244" w:type="pct"/>
            <w:vAlign w:val="center"/>
            <w:hideMark/>
          </w:tcPr>
          <w:p w14:paraId="4BE17D50" w14:textId="77777777" w:rsidR="000453CB" w:rsidRPr="00C62D0D" w:rsidRDefault="000453CB" w:rsidP="00367134">
            <w:pPr>
              <w:pStyle w:val="Tablewriting"/>
            </w:pPr>
            <w:r w:rsidRPr="00C62D0D">
              <w:t>Yes</w:t>
            </w:r>
          </w:p>
        </w:tc>
        <w:tc>
          <w:tcPr>
            <w:tcW w:w="369" w:type="pct"/>
            <w:vAlign w:val="center"/>
            <w:hideMark/>
          </w:tcPr>
          <w:p w14:paraId="249137F6" w14:textId="77777777" w:rsidR="000453CB" w:rsidRPr="00C62D0D" w:rsidRDefault="000453CB" w:rsidP="00367134">
            <w:pPr>
              <w:pStyle w:val="Tablewriting"/>
            </w:pPr>
            <w:r w:rsidRPr="00C62D0D">
              <w:t>Yes</w:t>
            </w:r>
          </w:p>
        </w:tc>
        <w:tc>
          <w:tcPr>
            <w:tcW w:w="431" w:type="pct"/>
            <w:vAlign w:val="center"/>
            <w:hideMark/>
          </w:tcPr>
          <w:p w14:paraId="721CA04C" w14:textId="77777777" w:rsidR="000453CB" w:rsidRPr="00C62D0D" w:rsidRDefault="000453CB" w:rsidP="00367134">
            <w:pPr>
              <w:pStyle w:val="Tablewriting"/>
            </w:pPr>
            <w:r w:rsidRPr="00C62D0D">
              <w:t>Yes</w:t>
            </w:r>
          </w:p>
        </w:tc>
        <w:tc>
          <w:tcPr>
            <w:tcW w:w="431" w:type="pct"/>
            <w:vAlign w:val="center"/>
            <w:hideMark/>
          </w:tcPr>
          <w:p w14:paraId="4F3E6BD6" w14:textId="77777777" w:rsidR="000453CB" w:rsidRPr="00C62D0D" w:rsidRDefault="000453CB" w:rsidP="00367134">
            <w:pPr>
              <w:pStyle w:val="Tablewriting"/>
            </w:pPr>
            <w:r w:rsidRPr="00C62D0D">
              <w:t>Yes</w:t>
            </w:r>
          </w:p>
        </w:tc>
        <w:tc>
          <w:tcPr>
            <w:tcW w:w="303" w:type="pct"/>
            <w:vAlign w:val="center"/>
            <w:hideMark/>
          </w:tcPr>
          <w:p w14:paraId="28BBBDB2" w14:textId="77777777" w:rsidR="000453CB" w:rsidRPr="00C62D0D" w:rsidRDefault="000453CB" w:rsidP="00367134">
            <w:pPr>
              <w:pStyle w:val="Tablewriting"/>
            </w:pPr>
            <w:r w:rsidRPr="00C62D0D">
              <w:t>Yes</w:t>
            </w:r>
          </w:p>
        </w:tc>
        <w:tc>
          <w:tcPr>
            <w:tcW w:w="303" w:type="pct"/>
            <w:vAlign w:val="center"/>
            <w:hideMark/>
          </w:tcPr>
          <w:p w14:paraId="45691E0B" w14:textId="77777777" w:rsidR="000453CB" w:rsidRPr="00C62D0D" w:rsidRDefault="000453CB" w:rsidP="00367134">
            <w:pPr>
              <w:pStyle w:val="Tablewriting"/>
            </w:pPr>
            <w:r w:rsidRPr="00C62D0D">
              <w:t>Yes</w:t>
            </w:r>
          </w:p>
        </w:tc>
        <w:tc>
          <w:tcPr>
            <w:tcW w:w="394" w:type="pct"/>
            <w:vAlign w:val="center"/>
            <w:hideMark/>
          </w:tcPr>
          <w:p w14:paraId="6CB277AA" w14:textId="77777777" w:rsidR="000453CB" w:rsidRPr="00C62D0D" w:rsidRDefault="000453CB" w:rsidP="00367134">
            <w:pPr>
              <w:pStyle w:val="Tablewriting"/>
            </w:pPr>
            <w:r w:rsidRPr="00C62D0D">
              <w:t>Yes</w:t>
            </w:r>
          </w:p>
        </w:tc>
      </w:tr>
      <w:tr w:rsidR="000453CB" w:rsidRPr="00C62D0D" w14:paraId="04B8D0D9" w14:textId="77777777" w:rsidTr="00D0517F">
        <w:trPr>
          <w:trHeight w:val="547"/>
        </w:trPr>
        <w:tc>
          <w:tcPr>
            <w:tcW w:w="148" w:type="pct"/>
            <w:vAlign w:val="center"/>
            <w:hideMark/>
          </w:tcPr>
          <w:p w14:paraId="6ABB3750" w14:textId="77777777" w:rsidR="000453CB" w:rsidRPr="00C62D0D" w:rsidRDefault="000453CB" w:rsidP="00367134">
            <w:pPr>
              <w:pStyle w:val="Tablewriting"/>
            </w:pPr>
            <w:r w:rsidRPr="00C62D0D">
              <w:t>15</w:t>
            </w:r>
          </w:p>
        </w:tc>
        <w:tc>
          <w:tcPr>
            <w:tcW w:w="2102" w:type="pct"/>
            <w:vAlign w:val="center"/>
            <w:hideMark/>
          </w:tcPr>
          <w:p w14:paraId="2B45F113" w14:textId="77777777" w:rsidR="000453CB" w:rsidRPr="00C62D0D" w:rsidRDefault="000453CB" w:rsidP="00367134">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275" w:type="pct"/>
            <w:vAlign w:val="center"/>
            <w:hideMark/>
          </w:tcPr>
          <w:p w14:paraId="353E26CB" w14:textId="77777777" w:rsidR="000453CB" w:rsidRPr="00C62D0D" w:rsidRDefault="000453CB" w:rsidP="00367134">
            <w:pPr>
              <w:pStyle w:val="Tablewriting"/>
            </w:pPr>
            <w:r w:rsidRPr="00C62D0D">
              <w:t>Yes</w:t>
            </w:r>
          </w:p>
        </w:tc>
        <w:tc>
          <w:tcPr>
            <w:tcW w:w="244" w:type="pct"/>
            <w:vAlign w:val="center"/>
            <w:hideMark/>
          </w:tcPr>
          <w:p w14:paraId="2C62F8C3" w14:textId="77777777" w:rsidR="000453CB" w:rsidRPr="00C62D0D" w:rsidRDefault="000453CB" w:rsidP="00367134">
            <w:pPr>
              <w:pStyle w:val="Tablewriting"/>
            </w:pPr>
            <w:r w:rsidRPr="00C62D0D">
              <w:t>Yes</w:t>
            </w:r>
          </w:p>
        </w:tc>
        <w:tc>
          <w:tcPr>
            <w:tcW w:w="369" w:type="pct"/>
            <w:vAlign w:val="center"/>
            <w:hideMark/>
          </w:tcPr>
          <w:p w14:paraId="6BEE2176" w14:textId="77777777" w:rsidR="000453CB" w:rsidRPr="00C62D0D" w:rsidRDefault="000453CB" w:rsidP="00367134">
            <w:pPr>
              <w:pStyle w:val="Tablewriting"/>
            </w:pPr>
            <w:r w:rsidRPr="00C62D0D">
              <w:t>Yes</w:t>
            </w:r>
          </w:p>
        </w:tc>
        <w:tc>
          <w:tcPr>
            <w:tcW w:w="431" w:type="pct"/>
            <w:vAlign w:val="center"/>
            <w:hideMark/>
          </w:tcPr>
          <w:p w14:paraId="298696CB" w14:textId="77777777" w:rsidR="000453CB" w:rsidRPr="00C62D0D" w:rsidRDefault="000453CB" w:rsidP="00367134">
            <w:pPr>
              <w:pStyle w:val="Tablewriting"/>
            </w:pPr>
            <w:r w:rsidRPr="00C62D0D">
              <w:t>Yes</w:t>
            </w:r>
          </w:p>
        </w:tc>
        <w:tc>
          <w:tcPr>
            <w:tcW w:w="431" w:type="pct"/>
            <w:vAlign w:val="center"/>
            <w:hideMark/>
          </w:tcPr>
          <w:p w14:paraId="2B53A504" w14:textId="77777777" w:rsidR="000453CB" w:rsidRPr="00C62D0D" w:rsidRDefault="000453CB" w:rsidP="00367134">
            <w:pPr>
              <w:pStyle w:val="Tablewriting"/>
            </w:pPr>
            <w:r w:rsidRPr="00C62D0D">
              <w:t>Yes</w:t>
            </w:r>
          </w:p>
        </w:tc>
        <w:tc>
          <w:tcPr>
            <w:tcW w:w="303" w:type="pct"/>
            <w:vAlign w:val="center"/>
            <w:hideMark/>
          </w:tcPr>
          <w:p w14:paraId="42EE57EE" w14:textId="77777777" w:rsidR="000453CB" w:rsidRPr="00C62D0D" w:rsidRDefault="000453CB" w:rsidP="00367134">
            <w:pPr>
              <w:pStyle w:val="Tablewriting"/>
            </w:pPr>
            <w:r w:rsidRPr="00C62D0D">
              <w:t>Yes</w:t>
            </w:r>
          </w:p>
        </w:tc>
        <w:tc>
          <w:tcPr>
            <w:tcW w:w="303" w:type="pct"/>
            <w:vAlign w:val="center"/>
            <w:hideMark/>
          </w:tcPr>
          <w:p w14:paraId="4CB01842" w14:textId="77777777" w:rsidR="000453CB" w:rsidRPr="00C62D0D" w:rsidRDefault="000453CB" w:rsidP="00367134">
            <w:pPr>
              <w:pStyle w:val="Tablewriting"/>
            </w:pPr>
            <w:r w:rsidRPr="00C62D0D">
              <w:t>Yes</w:t>
            </w:r>
          </w:p>
        </w:tc>
        <w:tc>
          <w:tcPr>
            <w:tcW w:w="394" w:type="pct"/>
            <w:vAlign w:val="center"/>
            <w:hideMark/>
          </w:tcPr>
          <w:p w14:paraId="1A9F6ACE" w14:textId="77777777" w:rsidR="000453CB" w:rsidRPr="00C62D0D" w:rsidRDefault="000453CB" w:rsidP="00367134">
            <w:pPr>
              <w:pStyle w:val="Tablewriting"/>
            </w:pPr>
            <w:r w:rsidRPr="00C62D0D">
              <w:t>Yes</w:t>
            </w:r>
          </w:p>
        </w:tc>
      </w:tr>
      <w:tr w:rsidR="000453CB" w:rsidRPr="00C62D0D" w14:paraId="09040310" w14:textId="77777777" w:rsidTr="00D0517F">
        <w:trPr>
          <w:trHeight w:val="750"/>
        </w:trPr>
        <w:tc>
          <w:tcPr>
            <w:tcW w:w="148" w:type="pct"/>
            <w:vAlign w:val="center"/>
            <w:hideMark/>
          </w:tcPr>
          <w:p w14:paraId="4130C8E8" w14:textId="77777777" w:rsidR="000453CB" w:rsidRPr="00C62D0D" w:rsidRDefault="000453CB" w:rsidP="00367134">
            <w:pPr>
              <w:pStyle w:val="Tablewriting"/>
            </w:pPr>
            <w:r w:rsidRPr="00C62D0D">
              <w:t>16</w:t>
            </w:r>
          </w:p>
        </w:tc>
        <w:tc>
          <w:tcPr>
            <w:tcW w:w="2102" w:type="pct"/>
            <w:vAlign w:val="center"/>
            <w:hideMark/>
          </w:tcPr>
          <w:p w14:paraId="07984F57" w14:textId="77777777" w:rsidR="000453CB" w:rsidRPr="00C62D0D" w:rsidRDefault="000453CB" w:rsidP="00367134">
            <w:pPr>
              <w:pStyle w:val="Tablewriting"/>
            </w:pPr>
            <w:r w:rsidRPr="00C62D0D">
              <w:t xml:space="preserve">Did the review authors report any potential sources of conflict of interest, including any funding they received for conducting the review? </w:t>
            </w:r>
          </w:p>
        </w:tc>
        <w:tc>
          <w:tcPr>
            <w:tcW w:w="275" w:type="pct"/>
            <w:vAlign w:val="center"/>
            <w:hideMark/>
          </w:tcPr>
          <w:p w14:paraId="79287506" w14:textId="77777777" w:rsidR="000453CB" w:rsidRPr="00C62D0D" w:rsidRDefault="000453CB" w:rsidP="00367134">
            <w:pPr>
              <w:pStyle w:val="Tablewriting"/>
            </w:pPr>
            <w:r w:rsidRPr="00C62D0D">
              <w:t>Yes</w:t>
            </w:r>
          </w:p>
        </w:tc>
        <w:tc>
          <w:tcPr>
            <w:tcW w:w="244" w:type="pct"/>
            <w:vAlign w:val="center"/>
            <w:hideMark/>
          </w:tcPr>
          <w:p w14:paraId="201E5EC4" w14:textId="77777777" w:rsidR="000453CB" w:rsidRPr="00C62D0D" w:rsidRDefault="000453CB" w:rsidP="00367134">
            <w:pPr>
              <w:pStyle w:val="Tablewriting"/>
            </w:pPr>
            <w:r w:rsidRPr="00C62D0D">
              <w:t>Yes</w:t>
            </w:r>
          </w:p>
        </w:tc>
        <w:tc>
          <w:tcPr>
            <w:tcW w:w="369" w:type="pct"/>
            <w:vAlign w:val="center"/>
            <w:hideMark/>
          </w:tcPr>
          <w:p w14:paraId="48265B25" w14:textId="77777777" w:rsidR="000453CB" w:rsidRPr="00C62D0D" w:rsidRDefault="000453CB" w:rsidP="00367134">
            <w:pPr>
              <w:pStyle w:val="Tablewriting"/>
            </w:pPr>
            <w:r w:rsidRPr="00C62D0D">
              <w:t>Yes</w:t>
            </w:r>
          </w:p>
        </w:tc>
        <w:tc>
          <w:tcPr>
            <w:tcW w:w="431" w:type="pct"/>
            <w:vAlign w:val="center"/>
            <w:hideMark/>
          </w:tcPr>
          <w:p w14:paraId="02838166" w14:textId="77777777" w:rsidR="000453CB" w:rsidRPr="00C62D0D" w:rsidRDefault="000453CB" w:rsidP="00367134">
            <w:pPr>
              <w:pStyle w:val="Tablewriting"/>
            </w:pPr>
            <w:r w:rsidRPr="00C62D0D">
              <w:t>Yes</w:t>
            </w:r>
          </w:p>
        </w:tc>
        <w:tc>
          <w:tcPr>
            <w:tcW w:w="431" w:type="pct"/>
            <w:vAlign w:val="center"/>
            <w:hideMark/>
          </w:tcPr>
          <w:p w14:paraId="0A07C933" w14:textId="77777777" w:rsidR="000453CB" w:rsidRPr="00C62D0D" w:rsidRDefault="000453CB" w:rsidP="00367134">
            <w:pPr>
              <w:pStyle w:val="Tablewriting"/>
            </w:pPr>
            <w:r w:rsidRPr="00C62D0D">
              <w:t>Yes</w:t>
            </w:r>
          </w:p>
        </w:tc>
        <w:tc>
          <w:tcPr>
            <w:tcW w:w="303" w:type="pct"/>
            <w:vAlign w:val="center"/>
            <w:hideMark/>
          </w:tcPr>
          <w:p w14:paraId="67BE6445" w14:textId="77777777" w:rsidR="000453CB" w:rsidRPr="00C62D0D" w:rsidRDefault="000453CB" w:rsidP="00367134">
            <w:pPr>
              <w:pStyle w:val="Tablewriting"/>
            </w:pPr>
            <w:r w:rsidRPr="00C62D0D">
              <w:t>Yes</w:t>
            </w:r>
          </w:p>
        </w:tc>
        <w:tc>
          <w:tcPr>
            <w:tcW w:w="303" w:type="pct"/>
            <w:vAlign w:val="center"/>
            <w:hideMark/>
          </w:tcPr>
          <w:p w14:paraId="0E19AB7D" w14:textId="77777777" w:rsidR="000453CB" w:rsidRPr="00C62D0D" w:rsidRDefault="000453CB" w:rsidP="00367134">
            <w:pPr>
              <w:pStyle w:val="Tablewriting"/>
            </w:pPr>
            <w:r w:rsidRPr="00C62D0D">
              <w:t>Yes</w:t>
            </w:r>
          </w:p>
        </w:tc>
        <w:tc>
          <w:tcPr>
            <w:tcW w:w="394" w:type="pct"/>
            <w:vAlign w:val="center"/>
            <w:hideMark/>
          </w:tcPr>
          <w:p w14:paraId="09D48B58" w14:textId="77777777" w:rsidR="000453CB" w:rsidRPr="00C62D0D" w:rsidRDefault="000453CB" w:rsidP="00367134">
            <w:pPr>
              <w:pStyle w:val="Tablewriting"/>
            </w:pPr>
            <w:r w:rsidRPr="00C62D0D">
              <w:t>Yes</w:t>
            </w:r>
          </w:p>
        </w:tc>
      </w:tr>
    </w:tbl>
    <w:p w14:paraId="6323F781" w14:textId="02819668" w:rsidR="00987C5E" w:rsidRPr="00987C5E" w:rsidRDefault="00F75497" w:rsidP="007A4CBA">
      <w:pPr>
        <w:pStyle w:val="TableFooter"/>
      </w:pPr>
      <w:r>
        <w:t xml:space="preserve">Abbreviations: </w:t>
      </w:r>
      <w:r w:rsidR="00C269D8">
        <w:t xml:space="preserve">AMSTAR = </w:t>
      </w:r>
      <w:r w:rsidR="00C269D8" w:rsidRPr="00C269D8">
        <w:t>Assessing the Methodological Quality of Systematic Reviews</w:t>
      </w:r>
      <w:r w:rsidR="00C269D8">
        <w:t>;</w:t>
      </w:r>
      <w:r w:rsidR="00C269D8" w:rsidRPr="00C269D8">
        <w:t xml:space="preserve"> </w:t>
      </w:r>
      <w:r w:rsidR="00C269D8">
        <w:t>RoB = risk of bias</w:t>
      </w:r>
    </w:p>
    <w:p w14:paraId="600B9B96" w14:textId="385CB7A3" w:rsidR="00EA7016" w:rsidRDefault="00EA7016">
      <w:pPr>
        <w:spacing w:line="276" w:lineRule="auto"/>
        <w:rPr>
          <w:rFonts w:asciiTheme="minorHAnsi" w:eastAsia="Times New Roman" w:hAnsiTheme="minorHAnsi" w:cs="Times New Roman"/>
          <w:b/>
          <w:bCs/>
          <w:szCs w:val="18"/>
        </w:rPr>
      </w:pPr>
      <w:bookmarkStart w:id="313" w:name="_Ref62651212"/>
      <w:r>
        <w:br w:type="page"/>
      </w:r>
    </w:p>
    <w:p w14:paraId="21A461E6" w14:textId="3CE98B9F" w:rsidR="0072171B" w:rsidRDefault="0072171B" w:rsidP="00321710">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139</w:t>
      </w:r>
      <w:r w:rsidR="00BF3F75">
        <w:rPr>
          <w:noProof/>
        </w:rPr>
        <w:fldChar w:fldCharType="end"/>
      </w:r>
      <w:bookmarkEnd w:id="313"/>
      <w:r>
        <w:t xml:space="preserve">: </w:t>
      </w:r>
      <w:r w:rsidRPr="0023339C">
        <w:t>Quality assessment for Cochrane Reviews using AMSTAR 2 (</w:t>
      </w:r>
      <w:r>
        <w:t>2</w:t>
      </w:r>
      <w:r w:rsidRPr="0023339C">
        <w:t xml:space="preserve"> of 2)</w:t>
      </w:r>
    </w:p>
    <w:tbl>
      <w:tblPr>
        <w:tblStyle w:val="TableGrid"/>
        <w:tblW w:w="5000" w:type="pct"/>
        <w:tblLook w:val="04A0" w:firstRow="1" w:lastRow="0" w:firstColumn="1" w:lastColumn="0" w:noHBand="0" w:noVBand="1"/>
      </w:tblPr>
      <w:tblGrid>
        <w:gridCol w:w="419"/>
        <w:gridCol w:w="6641"/>
        <w:gridCol w:w="1066"/>
        <w:gridCol w:w="1266"/>
        <w:gridCol w:w="976"/>
        <w:gridCol w:w="1010"/>
        <w:gridCol w:w="1050"/>
        <w:gridCol w:w="806"/>
        <w:gridCol w:w="714"/>
      </w:tblGrid>
      <w:tr w:rsidR="00FC008C" w:rsidRPr="00C62D0D" w14:paraId="79AB9BAB" w14:textId="77777777" w:rsidTr="00D0517F">
        <w:trPr>
          <w:trHeight w:val="552"/>
        </w:trPr>
        <w:tc>
          <w:tcPr>
            <w:tcW w:w="150" w:type="pct"/>
            <w:shd w:val="clear" w:color="auto" w:fill="BFBFBF" w:themeFill="background1" w:themeFillShade="BF"/>
            <w:noWrap/>
            <w:vAlign w:val="center"/>
            <w:hideMark/>
          </w:tcPr>
          <w:p w14:paraId="2A2F4572" w14:textId="77777777" w:rsidR="00816E55" w:rsidRPr="00832D16" w:rsidRDefault="00816E55" w:rsidP="00C62D0D">
            <w:pPr>
              <w:pStyle w:val="Tablewriting"/>
              <w:rPr>
                <w:b/>
              </w:rPr>
            </w:pPr>
            <w:r w:rsidRPr="00832D16">
              <w:rPr>
                <w:b/>
              </w:rPr>
              <w:t> </w:t>
            </w:r>
          </w:p>
        </w:tc>
        <w:tc>
          <w:tcPr>
            <w:tcW w:w="2381" w:type="pct"/>
            <w:shd w:val="clear" w:color="auto" w:fill="BFBFBF" w:themeFill="background1" w:themeFillShade="BF"/>
            <w:vAlign w:val="center"/>
            <w:hideMark/>
          </w:tcPr>
          <w:p w14:paraId="7287EB32" w14:textId="77777777" w:rsidR="00816E55" w:rsidRPr="00832D16" w:rsidRDefault="00816E55" w:rsidP="00C62D0D">
            <w:pPr>
              <w:pStyle w:val="Tablewriting"/>
              <w:rPr>
                <w:b/>
              </w:rPr>
            </w:pPr>
            <w:r w:rsidRPr="00832D16">
              <w:rPr>
                <w:b/>
              </w:rPr>
              <w:t>Assessment criteria</w:t>
            </w:r>
          </w:p>
        </w:tc>
        <w:tc>
          <w:tcPr>
            <w:tcW w:w="382" w:type="pct"/>
            <w:shd w:val="clear" w:color="auto" w:fill="BFBFBF" w:themeFill="background1" w:themeFillShade="BF"/>
            <w:vAlign w:val="center"/>
            <w:hideMark/>
          </w:tcPr>
          <w:p w14:paraId="5931F2E5" w14:textId="77777777" w:rsidR="00816E55" w:rsidRPr="00832D16" w:rsidRDefault="00816E55" w:rsidP="00C62D0D">
            <w:pPr>
              <w:pStyle w:val="Tablewriting"/>
              <w:rPr>
                <w:b/>
              </w:rPr>
            </w:pPr>
            <w:r w:rsidRPr="00832D16">
              <w:rPr>
                <w:b/>
              </w:rPr>
              <w:t>Carson-Chahhoud 2019</w:t>
            </w:r>
          </w:p>
        </w:tc>
        <w:tc>
          <w:tcPr>
            <w:tcW w:w="454" w:type="pct"/>
            <w:shd w:val="clear" w:color="auto" w:fill="BFBFBF" w:themeFill="background1" w:themeFillShade="BF"/>
            <w:vAlign w:val="center"/>
            <w:hideMark/>
          </w:tcPr>
          <w:p w14:paraId="6C402EF4" w14:textId="77777777" w:rsidR="00816E55" w:rsidRPr="00832D16" w:rsidRDefault="00816E55" w:rsidP="00C62D0D">
            <w:pPr>
              <w:pStyle w:val="Tablewriting"/>
              <w:rPr>
                <w:b/>
              </w:rPr>
            </w:pPr>
            <w:r w:rsidRPr="00832D16">
              <w:rPr>
                <w:b/>
              </w:rPr>
              <w:t>Hartmann-Boyce 2018</w:t>
            </w:r>
          </w:p>
        </w:tc>
        <w:tc>
          <w:tcPr>
            <w:tcW w:w="350" w:type="pct"/>
            <w:shd w:val="clear" w:color="auto" w:fill="BFBFBF" w:themeFill="background1" w:themeFillShade="BF"/>
            <w:vAlign w:val="center"/>
            <w:hideMark/>
          </w:tcPr>
          <w:p w14:paraId="755638D4" w14:textId="77777777" w:rsidR="00816E55" w:rsidRPr="00832D16" w:rsidRDefault="00816E55" w:rsidP="00C62D0D">
            <w:pPr>
              <w:pStyle w:val="Tablewriting"/>
              <w:rPr>
                <w:b/>
              </w:rPr>
            </w:pPr>
            <w:r w:rsidRPr="00832D16">
              <w:rPr>
                <w:b/>
              </w:rPr>
              <w:t>Stead 2017</w:t>
            </w:r>
          </w:p>
        </w:tc>
        <w:tc>
          <w:tcPr>
            <w:tcW w:w="362" w:type="pct"/>
            <w:shd w:val="clear" w:color="auto" w:fill="BFBFBF" w:themeFill="background1" w:themeFillShade="BF"/>
            <w:vAlign w:val="center"/>
            <w:hideMark/>
          </w:tcPr>
          <w:p w14:paraId="07CF1654" w14:textId="77777777" w:rsidR="00816E55" w:rsidRPr="00832D16" w:rsidRDefault="00816E55" w:rsidP="00C62D0D">
            <w:pPr>
              <w:pStyle w:val="Tablewriting"/>
              <w:rPr>
                <w:b/>
              </w:rPr>
            </w:pPr>
            <w:r w:rsidRPr="00832D16">
              <w:rPr>
                <w:b/>
              </w:rPr>
              <w:t>Lancaster 2017</w:t>
            </w:r>
          </w:p>
        </w:tc>
        <w:tc>
          <w:tcPr>
            <w:tcW w:w="376" w:type="pct"/>
            <w:shd w:val="clear" w:color="auto" w:fill="BFBFBF" w:themeFill="background1" w:themeFillShade="BF"/>
            <w:vAlign w:val="center"/>
            <w:hideMark/>
          </w:tcPr>
          <w:p w14:paraId="2E984AFD" w14:textId="77777777" w:rsidR="00816E55" w:rsidRPr="00832D16" w:rsidRDefault="00816E55" w:rsidP="00C62D0D">
            <w:pPr>
              <w:pStyle w:val="Tablewriting"/>
              <w:rPr>
                <w:b/>
              </w:rPr>
            </w:pPr>
            <w:r w:rsidRPr="00832D16">
              <w:rPr>
                <w:b/>
              </w:rPr>
              <w:t>Fanshawe 2017</w:t>
            </w:r>
          </w:p>
        </w:tc>
        <w:tc>
          <w:tcPr>
            <w:tcW w:w="289" w:type="pct"/>
            <w:shd w:val="clear" w:color="auto" w:fill="BFBFBF" w:themeFill="background1" w:themeFillShade="BF"/>
            <w:vAlign w:val="center"/>
            <w:hideMark/>
          </w:tcPr>
          <w:p w14:paraId="2381A7C6" w14:textId="77777777" w:rsidR="00816E55" w:rsidRPr="00832D16" w:rsidRDefault="00816E55" w:rsidP="00C62D0D">
            <w:pPr>
              <w:pStyle w:val="Tablewriting"/>
              <w:rPr>
                <w:b/>
              </w:rPr>
            </w:pPr>
            <w:r w:rsidRPr="00832D16">
              <w:rPr>
                <w:b/>
              </w:rPr>
              <w:t>Cahill 2016</w:t>
            </w:r>
          </w:p>
        </w:tc>
        <w:tc>
          <w:tcPr>
            <w:tcW w:w="256" w:type="pct"/>
            <w:shd w:val="clear" w:color="auto" w:fill="BFBFBF" w:themeFill="background1" w:themeFillShade="BF"/>
            <w:vAlign w:val="center"/>
            <w:hideMark/>
          </w:tcPr>
          <w:p w14:paraId="400E24EE" w14:textId="77777777" w:rsidR="00816E55" w:rsidRPr="00832D16" w:rsidRDefault="00816E55" w:rsidP="00C62D0D">
            <w:pPr>
              <w:pStyle w:val="Tablewriting"/>
              <w:rPr>
                <w:b/>
              </w:rPr>
            </w:pPr>
            <w:r w:rsidRPr="00832D16">
              <w:rPr>
                <w:b/>
              </w:rPr>
              <w:t>Cahill 2013</w:t>
            </w:r>
          </w:p>
        </w:tc>
      </w:tr>
      <w:tr w:rsidR="00816E55" w:rsidRPr="00C62D0D" w14:paraId="2F98456B" w14:textId="77777777" w:rsidTr="00D0517F">
        <w:trPr>
          <w:trHeight w:val="291"/>
        </w:trPr>
        <w:tc>
          <w:tcPr>
            <w:tcW w:w="150" w:type="pct"/>
            <w:noWrap/>
            <w:vAlign w:val="center"/>
            <w:hideMark/>
          </w:tcPr>
          <w:p w14:paraId="477FEDD3" w14:textId="77777777" w:rsidR="00816E55" w:rsidRPr="00C62D0D" w:rsidRDefault="00816E55" w:rsidP="00C62D0D">
            <w:pPr>
              <w:pStyle w:val="Tablewriting"/>
            </w:pPr>
            <w:r w:rsidRPr="00C62D0D">
              <w:t>1</w:t>
            </w:r>
          </w:p>
        </w:tc>
        <w:tc>
          <w:tcPr>
            <w:tcW w:w="2381" w:type="pct"/>
            <w:vAlign w:val="center"/>
            <w:hideMark/>
          </w:tcPr>
          <w:p w14:paraId="11D3977D" w14:textId="77777777" w:rsidR="00816E55" w:rsidRPr="00C62D0D" w:rsidRDefault="00816E55" w:rsidP="00C62D0D">
            <w:pPr>
              <w:pStyle w:val="Tablewriting"/>
            </w:pPr>
            <w:r w:rsidRPr="00C62D0D">
              <w:t xml:space="preserve">Did the research questions and inclusion criteria for the review include the components of PICO? </w:t>
            </w:r>
          </w:p>
        </w:tc>
        <w:tc>
          <w:tcPr>
            <w:tcW w:w="382" w:type="pct"/>
            <w:vAlign w:val="center"/>
            <w:hideMark/>
          </w:tcPr>
          <w:p w14:paraId="161F5C3D" w14:textId="77777777" w:rsidR="00816E55" w:rsidRPr="00C62D0D" w:rsidRDefault="00816E55" w:rsidP="00C62D0D">
            <w:pPr>
              <w:pStyle w:val="Tablewriting"/>
            </w:pPr>
            <w:r w:rsidRPr="00C62D0D">
              <w:t>Yes</w:t>
            </w:r>
          </w:p>
        </w:tc>
        <w:tc>
          <w:tcPr>
            <w:tcW w:w="454" w:type="pct"/>
            <w:vAlign w:val="center"/>
            <w:hideMark/>
          </w:tcPr>
          <w:p w14:paraId="4C223CF8" w14:textId="77777777" w:rsidR="00816E55" w:rsidRPr="00C62D0D" w:rsidRDefault="00816E55" w:rsidP="00C62D0D">
            <w:pPr>
              <w:pStyle w:val="Tablewriting"/>
            </w:pPr>
            <w:r w:rsidRPr="00C62D0D">
              <w:t>Yes</w:t>
            </w:r>
          </w:p>
        </w:tc>
        <w:tc>
          <w:tcPr>
            <w:tcW w:w="350" w:type="pct"/>
            <w:vAlign w:val="center"/>
            <w:hideMark/>
          </w:tcPr>
          <w:p w14:paraId="5889C165" w14:textId="77777777" w:rsidR="00816E55" w:rsidRPr="00C62D0D" w:rsidRDefault="00816E55" w:rsidP="00C62D0D">
            <w:pPr>
              <w:pStyle w:val="Tablewriting"/>
            </w:pPr>
            <w:r w:rsidRPr="00C62D0D">
              <w:t>Yes</w:t>
            </w:r>
          </w:p>
        </w:tc>
        <w:tc>
          <w:tcPr>
            <w:tcW w:w="362" w:type="pct"/>
            <w:vAlign w:val="center"/>
            <w:hideMark/>
          </w:tcPr>
          <w:p w14:paraId="37CD2E96" w14:textId="77777777" w:rsidR="00816E55" w:rsidRPr="00C62D0D" w:rsidRDefault="00816E55" w:rsidP="00C62D0D">
            <w:pPr>
              <w:pStyle w:val="Tablewriting"/>
            </w:pPr>
            <w:r w:rsidRPr="00C62D0D">
              <w:t>Yes</w:t>
            </w:r>
          </w:p>
        </w:tc>
        <w:tc>
          <w:tcPr>
            <w:tcW w:w="376" w:type="pct"/>
            <w:vAlign w:val="center"/>
            <w:hideMark/>
          </w:tcPr>
          <w:p w14:paraId="558103BD" w14:textId="77777777" w:rsidR="00816E55" w:rsidRPr="00C62D0D" w:rsidRDefault="00816E55" w:rsidP="00C62D0D">
            <w:pPr>
              <w:pStyle w:val="Tablewriting"/>
            </w:pPr>
            <w:r w:rsidRPr="00C62D0D">
              <w:t>Yes</w:t>
            </w:r>
          </w:p>
        </w:tc>
        <w:tc>
          <w:tcPr>
            <w:tcW w:w="289" w:type="pct"/>
            <w:vAlign w:val="center"/>
            <w:hideMark/>
          </w:tcPr>
          <w:p w14:paraId="51793BEE" w14:textId="77777777" w:rsidR="00816E55" w:rsidRPr="00C62D0D" w:rsidRDefault="00816E55" w:rsidP="00C62D0D">
            <w:pPr>
              <w:pStyle w:val="Tablewriting"/>
            </w:pPr>
            <w:r w:rsidRPr="00C62D0D">
              <w:t>Yes</w:t>
            </w:r>
          </w:p>
        </w:tc>
        <w:tc>
          <w:tcPr>
            <w:tcW w:w="256" w:type="pct"/>
            <w:vAlign w:val="center"/>
            <w:hideMark/>
          </w:tcPr>
          <w:p w14:paraId="32FD043C" w14:textId="77777777" w:rsidR="00816E55" w:rsidRPr="00C62D0D" w:rsidRDefault="00816E55" w:rsidP="00C62D0D">
            <w:pPr>
              <w:pStyle w:val="Tablewriting"/>
            </w:pPr>
            <w:r w:rsidRPr="00C62D0D">
              <w:t>Yes</w:t>
            </w:r>
          </w:p>
        </w:tc>
      </w:tr>
      <w:tr w:rsidR="00816E55" w:rsidRPr="00C62D0D" w14:paraId="324CB2FC" w14:textId="77777777" w:rsidTr="00D0517F">
        <w:trPr>
          <w:trHeight w:val="497"/>
        </w:trPr>
        <w:tc>
          <w:tcPr>
            <w:tcW w:w="150" w:type="pct"/>
            <w:noWrap/>
            <w:vAlign w:val="center"/>
            <w:hideMark/>
          </w:tcPr>
          <w:p w14:paraId="7FABE89E" w14:textId="77777777" w:rsidR="00816E55" w:rsidRPr="00C62D0D" w:rsidRDefault="00816E55" w:rsidP="00C62D0D">
            <w:pPr>
              <w:pStyle w:val="Tablewriting"/>
            </w:pPr>
            <w:r w:rsidRPr="00C62D0D">
              <w:t>2</w:t>
            </w:r>
          </w:p>
        </w:tc>
        <w:tc>
          <w:tcPr>
            <w:tcW w:w="2381" w:type="pct"/>
            <w:vAlign w:val="center"/>
            <w:hideMark/>
          </w:tcPr>
          <w:p w14:paraId="0107F1EF" w14:textId="77777777" w:rsidR="00816E55" w:rsidRPr="00C62D0D" w:rsidRDefault="00816E55" w:rsidP="00C62D0D">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382" w:type="pct"/>
            <w:noWrap/>
            <w:vAlign w:val="center"/>
            <w:hideMark/>
          </w:tcPr>
          <w:p w14:paraId="17DBFC91" w14:textId="77777777" w:rsidR="00816E55" w:rsidRPr="00C62D0D" w:rsidRDefault="00816E55" w:rsidP="00C62D0D">
            <w:pPr>
              <w:pStyle w:val="Tablewriting"/>
            </w:pPr>
            <w:r w:rsidRPr="00C62D0D">
              <w:t>Yes</w:t>
            </w:r>
          </w:p>
        </w:tc>
        <w:tc>
          <w:tcPr>
            <w:tcW w:w="454" w:type="pct"/>
            <w:noWrap/>
            <w:vAlign w:val="center"/>
            <w:hideMark/>
          </w:tcPr>
          <w:p w14:paraId="6D7515DF" w14:textId="77777777" w:rsidR="00816E55" w:rsidRPr="00C62D0D" w:rsidRDefault="00816E55" w:rsidP="00C62D0D">
            <w:pPr>
              <w:pStyle w:val="Tablewriting"/>
            </w:pPr>
            <w:r w:rsidRPr="00C62D0D">
              <w:t>Yes</w:t>
            </w:r>
          </w:p>
        </w:tc>
        <w:tc>
          <w:tcPr>
            <w:tcW w:w="350" w:type="pct"/>
            <w:noWrap/>
            <w:vAlign w:val="center"/>
            <w:hideMark/>
          </w:tcPr>
          <w:p w14:paraId="3FD50BFD" w14:textId="77777777" w:rsidR="00816E55" w:rsidRPr="00C62D0D" w:rsidRDefault="00816E55" w:rsidP="00C62D0D">
            <w:pPr>
              <w:pStyle w:val="Tablewriting"/>
            </w:pPr>
            <w:r w:rsidRPr="00C62D0D">
              <w:t>Yes</w:t>
            </w:r>
          </w:p>
        </w:tc>
        <w:tc>
          <w:tcPr>
            <w:tcW w:w="362" w:type="pct"/>
            <w:noWrap/>
            <w:vAlign w:val="center"/>
            <w:hideMark/>
          </w:tcPr>
          <w:p w14:paraId="6B39CC0A" w14:textId="77777777" w:rsidR="00816E55" w:rsidRPr="00C62D0D" w:rsidRDefault="00816E55" w:rsidP="00C62D0D">
            <w:pPr>
              <w:pStyle w:val="Tablewriting"/>
            </w:pPr>
            <w:r w:rsidRPr="00C62D0D">
              <w:t>Yes</w:t>
            </w:r>
          </w:p>
        </w:tc>
        <w:tc>
          <w:tcPr>
            <w:tcW w:w="376" w:type="pct"/>
            <w:noWrap/>
            <w:vAlign w:val="center"/>
            <w:hideMark/>
          </w:tcPr>
          <w:p w14:paraId="23558163" w14:textId="77777777" w:rsidR="00816E55" w:rsidRPr="00C62D0D" w:rsidRDefault="00816E55" w:rsidP="00C62D0D">
            <w:pPr>
              <w:pStyle w:val="Tablewriting"/>
            </w:pPr>
            <w:r w:rsidRPr="00C62D0D">
              <w:t>Yes</w:t>
            </w:r>
          </w:p>
        </w:tc>
        <w:tc>
          <w:tcPr>
            <w:tcW w:w="289" w:type="pct"/>
            <w:vAlign w:val="center"/>
            <w:hideMark/>
          </w:tcPr>
          <w:p w14:paraId="22518038" w14:textId="77777777" w:rsidR="00816E55" w:rsidRPr="00C62D0D" w:rsidRDefault="00816E55" w:rsidP="00C62D0D">
            <w:pPr>
              <w:pStyle w:val="Tablewriting"/>
            </w:pPr>
            <w:r w:rsidRPr="00C62D0D">
              <w:t>Yes</w:t>
            </w:r>
          </w:p>
        </w:tc>
        <w:tc>
          <w:tcPr>
            <w:tcW w:w="256" w:type="pct"/>
            <w:vAlign w:val="center"/>
            <w:hideMark/>
          </w:tcPr>
          <w:p w14:paraId="2BB0A23C" w14:textId="77777777" w:rsidR="00816E55" w:rsidRPr="00C62D0D" w:rsidRDefault="00816E55" w:rsidP="00C62D0D">
            <w:pPr>
              <w:pStyle w:val="Tablewriting"/>
            </w:pPr>
            <w:r w:rsidRPr="00C62D0D">
              <w:t>Yes</w:t>
            </w:r>
          </w:p>
        </w:tc>
      </w:tr>
      <w:tr w:rsidR="00816E55" w:rsidRPr="00C62D0D" w14:paraId="5D784BE5" w14:textId="77777777" w:rsidTr="00D0517F">
        <w:trPr>
          <w:trHeight w:val="181"/>
        </w:trPr>
        <w:tc>
          <w:tcPr>
            <w:tcW w:w="150" w:type="pct"/>
            <w:noWrap/>
            <w:vAlign w:val="center"/>
            <w:hideMark/>
          </w:tcPr>
          <w:p w14:paraId="437B498F" w14:textId="77777777" w:rsidR="00816E55" w:rsidRPr="00C62D0D" w:rsidRDefault="00816E55" w:rsidP="00C62D0D">
            <w:pPr>
              <w:pStyle w:val="Tablewriting"/>
            </w:pPr>
            <w:r w:rsidRPr="00C62D0D">
              <w:t>3</w:t>
            </w:r>
          </w:p>
        </w:tc>
        <w:tc>
          <w:tcPr>
            <w:tcW w:w="2381" w:type="pct"/>
            <w:vAlign w:val="center"/>
            <w:hideMark/>
          </w:tcPr>
          <w:p w14:paraId="6BC1CEE2" w14:textId="77777777" w:rsidR="00816E55" w:rsidRPr="00C62D0D" w:rsidRDefault="00816E55" w:rsidP="00C62D0D">
            <w:pPr>
              <w:pStyle w:val="Tablewriting"/>
            </w:pPr>
            <w:r w:rsidRPr="00C62D0D">
              <w:t xml:space="preserve">Did the review authors perform study selection in duplicate? </w:t>
            </w:r>
          </w:p>
        </w:tc>
        <w:tc>
          <w:tcPr>
            <w:tcW w:w="382" w:type="pct"/>
            <w:vAlign w:val="center"/>
            <w:hideMark/>
          </w:tcPr>
          <w:p w14:paraId="444FD1FC" w14:textId="77777777" w:rsidR="00816E55" w:rsidRPr="00C62D0D" w:rsidRDefault="00816E55" w:rsidP="00C62D0D">
            <w:pPr>
              <w:pStyle w:val="Tablewriting"/>
            </w:pPr>
            <w:r w:rsidRPr="00C62D0D">
              <w:t>Yes</w:t>
            </w:r>
          </w:p>
        </w:tc>
        <w:tc>
          <w:tcPr>
            <w:tcW w:w="454" w:type="pct"/>
            <w:vAlign w:val="center"/>
            <w:hideMark/>
          </w:tcPr>
          <w:p w14:paraId="4537921B" w14:textId="77777777" w:rsidR="00816E55" w:rsidRPr="00C62D0D" w:rsidRDefault="00816E55" w:rsidP="00C62D0D">
            <w:pPr>
              <w:pStyle w:val="Tablewriting"/>
            </w:pPr>
            <w:r w:rsidRPr="00C62D0D">
              <w:t>Yes</w:t>
            </w:r>
          </w:p>
        </w:tc>
        <w:tc>
          <w:tcPr>
            <w:tcW w:w="350" w:type="pct"/>
            <w:vAlign w:val="center"/>
            <w:hideMark/>
          </w:tcPr>
          <w:p w14:paraId="7FECDC50" w14:textId="77777777" w:rsidR="00816E55" w:rsidRPr="00C62D0D" w:rsidRDefault="00816E55" w:rsidP="00C62D0D">
            <w:pPr>
              <w:pStyle w:val="Tablewriting"/>
            </w:pPr>
            <w:r w:rsidRPr="00C62D0D">
              <w:t>Yes</w:t>
            </w:r>
          </w:p>
        </w:tc>
        <w:tc>
          <w:tcPr>
            <w:tcW w:w="362" w:type="pct"/>
            <w:vAlign w:val="center"/>
            <w:hideMark/>
          </w:tcPr>
          <w:p w14:paraId="3CCCE658" w14:textId="77777777" w:rsidR="00816E55" w:rsidRPr="00C62D0D" w:rsidRDefault="00816E55" w:rsidP="00C62D0D">
            <w:pPr>
              <w:pStyle w:val="Tablewriting"/>
            </w:pPr>
            <w:r w:rsidRPr="00C62D0D">
              <w:t>Yes</w:t>
            </w:r>
          </w:p>
        </w:tc>
        <w:tc>
          <w:tcPr>
            <w:tcW w:w="376" w:type="pct"/>
            <w:vAlign w:val="center"/>
            <w:hideMark/>
          </w:tcPr>
          <w:p w14:paraId="1BAD8C6C" w14:textId="77777777" w:rsidR="00816E55" w:rsidRPr="00C62D0D" w:rsidRDefault="00816E55" w:rsidP="00C62D0D">
            <w:pPr>
              <w:pStyle w:val="Tablewriting"/>
            </w:pPr>
            <w:r w:rsidRPr="00C62D0D">
              <w:t>Yes</w:t>
            </w:r>
          </w:p>
        </w:tc>
        <w:tc>
          <w:tcPr>
            <w:tcW w:w="289" w:type="pct"/>
            <w:vAlign w:val="center"/>
            <w:hideMark/>
          </w:tcPr>
          <w:p w14:paraId="6BF0C587" w14:textId="77777777" w:rsidR="00816E55" w:rsidRPr="00C62D0D" w:rsidRDefault="00816E55" w:rsidP="00C62D0D">
            <w:pPr>
              <w:pStyle w:val="Tablewriting"/>
            </w:pPr>
            <w:r w:rsidRPr="00C62D0D">
              <w:t>Yes</w:t>
            </w:r>
          </w:p>
        </w:tc>
        <w:tc>
          <w:tcPr>
            <w:tcW w:w="256" w:type="pct"/>
            <w:vAlign w:val="center"/>
            <w:hideMark/>
          </w:tcPr>
          <w:p w14:paraId="0ED6B206" w14:textId="77777777" w:rsidR="00816E55" w:rsidRPr="00C62D0D" w:rsidRDefault="00816E55" w:rsidP="00C62D0D">
            <w:pPr>
              <w:pStyle w:val="Tablewriting"/>
            </w:pPr>
            <w:r w:rsidRPr="00C62D0D">
              <w:t>Yes</w:t>
            </w:r>
          </w:p>
        </w:tc>
      </w:tr>
      <w:tr w:rsidR="00816E55" w:rsidRPr="00C62D0D" w14:paraId="2BABFA9D" w14:textId="77777777" w:rsidTr="00D0517F">
        <w:trPr>
          <w:trHeight w:val="157"/>
        </w:trPr>
        <w:tc>
          <w:tcPr>
            <w:tcW w:w="150" w:type="pct"/>
            <w:noWrap/>
            <w:vAlign w:val="center"/>
            <w:hideMark/>
          </w:tcPr>
          <w:p w14:paraId="6B04877A" w14:textId="77777777" w:rsidR="00816E55" w:rsidRPr="00C62D0D" w:rsidRDefault="00816E55" w:rsidP="00C62D0D">
            <w:pPr>
              <w:pStyle w:val="Tablewriting"/>
            </w:pPr>
            <w:r w:rsidRPr="00C62D0D">
              <w:t>4</w:t>
            </w:r>
          </w:p>
        </w:tc>
        <w:tc>
          <w:tcPr>
            <w:tcW w:w="2381" w:type="pct"/>
            <w:vAlign w:val="center"/>
            <w:hideMark/>
          </w:tcPr>
          <w:p w14:paraId="27CE33C1" w14:textId="77777777" w:rsidR="00816E55" w:rsidRPr="00C62D0D" w:rsidRDefault="00816E55" w:rsidP="00C62D0D">
            <w:pPr>
              <w:pStyle w:val="Tablewriting"/>
            </w:pPr>
            <w:r w:rsidRPr="00C62D0D">
              <w:t xml:space="preserve">Did the review authors use a comprehensive literature search strategy? </w:t>
            </w:r>
          </w:p>
        </w:tc>
        <w:tc>
          <w:tcPr>
            <w:tcW w:w="382" w:type="pct"/>
            <w:noWrap/>
            <w:vAlign w:val="center"/>
            <w:hideMark/>
          </w:tcPr>
          <w:p w14:paraId="68553988" w14:textId="77777777" w:rsidR="00816E55" w:rsidRPr="00C62D0D" w:rsidRDefault="00816E55" w:rsidP="00C62D0D">
            <w:pPr>
              <w:pStyle w:val="Tablewriting"/>
            </w:pPr>
            <w:r w:rsidRPr="00C62D0D">
              <w:t>Yes</w:t>
            </w:r>
          </w:p>
        </w:tc>
        <w:tc>
          <w:tcPr>
            <w:tcW w:w="454" w:type="pct"/>
            <w:noWrap/>
            <w:vAlign w:val="center"/>
            <w:hideMark/>
          </w:tcPr>
          <w:p w14:paraId="288CF80A" w14:textId="77777777" w:rsidR="00816E55" w:rsidRPr="00C62D0D" w:rsidRDefault="00816E55" w:rsidP="00C62D0D">
            <w:pPr>
              <w:pStyle w:val="Tablewriting"/>
            </w:pPr>
            <w:r w:rsidRPr="00C62D0D">
              <w:t>Yes</w:t>
            </w:r>
          </w:p>
        </w:tc>
        <w:tc>
          <w:tcPr>
            <w:tcW w:w="350" w:type="pct"/>
            <w:noWrap/>
            <w:vAlign w:val="center"/>
            <w:hideMark/>
          </w:tcPr>
          <w:p w14:paraId="4314651C" w14:textId="77777777" w:rsidR="00816E55" w:rsidRPr="00C62D0D" w:rsidRDefault="00816E55" w:rsidP="00C62D0D">
            <w:pPr>
              <w:pStyle w:val="Tablewriting"/>
            </w:pPr>
            <w:r w:rsidRPr="00C62D0D">
              <w:t>Yes</w:t>
            </w:r>
          </w:p>
        </w:tc>
        <w:tc>
          <w:tcPr>
            <w:tcW w:w="362" w:type="pct"/>
            <w:noWrap/>
            <w:vAlign w:val="center"/>
            <w:hideMark/>
          </w:tcPr>
          <w:p w14:paraId="0077B5F9" w14:textId="77777777" w:rsidR="00816E55" w:rsidRPr="00C62D0D" w:rsidRDefault="00816E55" w:rsidP="00C62D0D">
            <w:pPr>
              <w:pStyle w:val="Tablewriting"/>
            </w:pPr>
            <w:r w:rsidRPr="00C62D0D">
              <w:t>Yes</w:t>
            </w:r>
          </w:p>
        </w:tc>
        <w:tc>
          <w:tcPr>
            <w:tcW w:w="376" w:type="pct"/>
            <w:noWrap/>
            <w:vAlign w:val="center"/>
            <w:hideMark/>
          </w:tcPr>
          <w:p w14:paraId="0B8CB9EC" w14:textId="77777777" w:rsidR="00816E55" w:rsidRPr="00C62D0D" w:rsidRDefault="00816E55" w:rsidP="00C62D0D">
            <w:pPr>
              <w:pStyle w:val="Tablewriting"/>
            </w:pPr>
            <w:r w:rsidRPr="00C62D0D">
              <w:t>Yes</w:t>
            </w:r>
          </w:p>
        </w:tc>
        <w:tc>
          <w:tcPr>
            <w:tcW w:w="289" w:type="pct"/>
            <w:noWrap/>
            <w:vAlign w:val="center"/>
            <w:hideMark/>
          </w:tcPr>
          <w:p w14:paraId="30C54982" w14:textId="77777777" w:rsidR="00816E55" w:rsidRPr="00C62D0D" w:rsidRDefault="00816E55" w:rsidP="00C62D0D">
            <w:pPr>
              <w:pStyle w:val="Tablewriting"/>
            </w:pPr>
            <w:r w:rsidRPr="00C62D0D">
              <w:t>Yes</w:t>
            </w:r>
          </w:p>
        </w:tc>
        <w:tc>
          <w:tcPr>
            <w:tcW w:w="256" w:type="pct"/>
            <w:noWrap/>
            <w:vAlign w:val="center"/>
            <w:hideMark/>
          </w:tcPr>
          <w:p w14:paraId="1BA1DD1A" w14:textId="77777777" w:rsidR="00816E55" w:rsidRPr="00C62D0D" w:rsidRDefault="00816E55" w:rsidP="00C62D0D">
            <w:pPr>
              <w:pStyle w:val="Tablewriting"/>
            </w:pPr>
            <w:r w:rsidRPr="00C62D0D">
              <w:t>Yes</w:t>
            </w:r>
          </w:p>
        </w:tc>
      </w:tr>
      <w:tr w:rsidR="00816E55" w:rsidRPr="00C62D0D" w14:paraId="46AFA1F1" w14:textId="77777777" w:rsidTr="00D0517F">
        <w:trPr>
          <w:trHeight w:val="70"/>
        </w:trPr>
        <w:tc>
          <w:tcPr>
            <w:tcW w:w="150" w:type="pct"/>
            <w:vAlign w:val="center"/>
            <w:hideMark/>
          </w:tcPr>
          <w:p w14:paraId="7FBA11CA" w14:textId="77777777" w:rsidR="00816E55" w:rsidRPr="00C62D0D" w:rsidRDefault="00816E55" w:rsidP="00C62D0D">
            <w:pPr>
              <w:pStyle w:val="Tablewriting"/>
            </w:pPr>
            <w:r w:rsidRPr="00C62D0D">
              <w:t>5</w:t>
            </w:r>
          </w:p>
        </w:tc>
        <w:tc>
          <w:tcPr>
            <w:tcW w:w="2381" w:type="pct"/>
            <w:vAlign w:val="center"/>
            <w:hideMark/>
          </w:tcPr>
          <w:p w14:paraId="20497625" w14:textId="77777777" w:rsidR="00816E55" w:rsidRPr="00C62D0D" w:rsidRDefault="00816E55" w:rsidP="00C62D0D">
            <w:pPr>
              <w:pStyle w:val="Tablewriting"/>
            </w:pPr>
            <w:r w:rsidRPr="00C62D0D">
              <w:t>Did the review authors perform study selection in duplicate?</w:t>
            </w:r>
          </w:p>
        </w:tc>
        <w:tc>
          <w:tcPr>
            <w:tcW w:w="382" w:type="pct"/>
            <w:vAlign w:val="center"/>
            <w:hideMark/>
          </w:tcPr>
          <w:p w14:paraId="5CCA2132" w14:textId="77777777" w:rsidR="00816E55" w:rsidRPr="00C62D0D" w:rsidRDefault="00816E55" w:rsidP="00C62D0D">
            <w:pPr>
              <w:pStyle w:val="Tablewriting"/>
            </w:pPr>
            <w:r w:rsidRPr="00C62D0D">
              <w:t>Yes</w:t>
            </w:r>
          </w:p>
        </w:tc>
        <w:tc>
          <w:tcPr>
            <w:tcW w:w="454" w:type="pct"/>
            <w:vAlign w:val="center"/>
            <w:hideMark/>
          </w:tcPr>
          <w:p w14:paraId="516862F0" w14:textId="77777777" w:rsidR="00816E55" w:rsidRPr="00C62D0D" w:rsidRDefault="00816E55" w:rsidP="00C62D0D">
            <w:pPr>
              <w:pStyle w:val="Tablewriting"/>
            </w:pPr>
            <w:r w:rsidRPr="00C62D0D">
              <w:t>Yes</w:t>
            </w:r>
          </w:p>
        </w:tc>
        <w:tc>
          <w:tcPr>
            <w:tcW w:w="350" w:type="pct"/>
            <w:vAlign w:val="center"/>
            <w:hideMark/>
          </w:tcPr>
          <w:p w14:paraId="2CA880FB" w14:textId="77777777" w:rsidR="00816E55" w:rsidRPr="00C62D0D" w:rsidRDefault="00816E55" w:rsidP="00C62D0D">
            <w:pPr>
              <w:pStyle w:val="Tablewriting"/>
            </w:pPr>
            <w:r w:rsidRPr="00C62D0D">
              <w:t>Yes</w:t>
            </w:r>
          </w:p>
        </w:tc>
        <w:tc>
          <w:tcPr>
            <w:tcW w:w="362" w:type="pct"/>
            <w:vAlign w:val="center"/>
            <w:hideMark/>
          </w:tcPr>
          <w:p w14:paraId="5768F752" w14:textId="77777777" w:rsidR="00816E55" w:rsidRPr="00C62D0D" w:rsidRDefault="00816E55" w:rsidP="00C62D0D">
            <w:pPr>
              <w:pStyle w:val="Tablewriting"/>
            </w:pPr>
            <w:r w:rsidRPr="00C62D0D">
              <w:t>Yes</w:t>
            </w:r>
          </w:p>
        </w:tc>
        <w:tc>
          <w:tcPr>
            <w:tcW w:w="376" w:type="pct"/>
            <w:vAlign w:val="center"/>
            <w:hideMark/>
          </w:tcPr>
          <w:p w14:paraId="70E4F255" w14:textId="77777777" w:rsidR="00816E55" w:rsidRPr="00C62D0D" w:rsidRDefault="00816E55" w:rsidP="00C62D0D">
            <w:pPr>
              <w:pStyle w:val="Tablewriting"/>
            </w:pPr>
            <w:r w:rsidRPr="00C62D0D">
              <w:t>Yes</w:t>
            </w:r>
          </w:p>
        </w:tc>
        <w:tc>
          <w:tcPr>
            <w:tcW w:w="289" w:type="pct"/>
            <w:vAlign w:val="center"/>
            <w:hideMark/>
          </w:tcPr>
          <w:p w14:paraId="1A319626" w14:textId="77777777" w:rsidR="00816E55" w:rsidRPr="00C62D0D" w:rsidRDefault="00816E55" w:rsidP="00C62D0D">
            <w:pPr>
              <w:pStyle w:val="Tablewriting"/>
            </w:pPr>
            <w:r w:rsidRPr="00C62D0D">
              <w:t>Yes</w:t>
            </w:r>
          </w:p>
        </w:tc>
        <w:tc>
          <w:tcPr>
            <w:tcW w:w="256" w:type="pct"/>
            <w:vAlign w:val="center"/>
            <w:hideMark/>
          </w:tcPr>
          <w:p w14:paraId="7B59FF9A" w14:textId="77777777" w:rsidR="00816E55" w:rsidRPr="00C62D0D" w:rsidRDefault="00816E55" w:rsidP="00C62D0D">
            <w:pPr>
              <w:pStyle w:val="Tablewriting"/>
            </w:pPr>
            <w:r w:rsidRPr="00C62D0D">
              <w:t>Yes</w:t>
            </w:r>
          </w:p>
        </w:tc>
      </w:tr>
      <w:tr w:rsidR="00816E55" w:rsidRPr="00C62D0D" w14:paraId="4961EC9D" w14:textId="77777777" w:rsidTr="00D0517F">
        <w:trPr>
          <w:trHeight w:val="82"/>
        </w:trPr>
        <w:tc>
          <w:tcPr>
            <w:tcW w:w="150" w:type="pct"/>
            <w:vAlign w:val="center"/>
            <w:hideMark/>
          </w:tcPr>
          <w:p w14:paraId="5AE48313" w14:textId="77777777" w:rsidR="00816E55" w:rsidRPr="00C62D0D" w:rsidRDefault="00816E55" w:rsidP="00C62D0D">
            <w:pPr>
              <w:pStyle w:val="Tablewriting"/>
            </w:pPr>
            <w:r w:rsidRPr="00C62D0D">
              <w:t>6</w:t>
            </w:r>
          </w:p>
        </w:tc>
        <w:tc>
          <w:tcPr>
            <w:tcW w:w="2381" w:type="pct"/>
            <w:vAlign w:val="center"/>
            <w:hideMark/>
          </w:tcPr>
          <w:p w14:paraId="0B8558A8" w14:textId="77777777" w:rsidR="00816E55" w:rsidRPr="00C62D0D" w:rsidRDefault="00816E55" w:rsidP="00C62D0D">
            <w:pPr>
              <w:pStyle w:val="Tablewriting"/>
            </w:pPr>
            <w:r w:rsidRPr="00C62D0D">
              <w:t xml:space="preserve">Did the review authors perform data extraction in duplicate? </w:t>
            </w:r>
          </w:p>
        </w:tc>
        <w:tc>
          <w:tcPr>
            <w:tcW w:w="382" w:type="pct"/>
            <w:vAlign w:val="center"/>
            <w:hideMark/>
          </w:tcPr>
          <w:p w14:paraId="26C6A7BE" w14:textId="77777777" w:rsidR="00816E55" w:rsidRPr="00C62D0D" w:rsidRDefault="00816E55" w:rsidP="00C62D0D">
            <w:pPr>
              <w:pStyle w:val="Tablewriting"/>
            </w:pPr>
            <w:r w:rsidRPr="00C62D0D">
              <w:t>Yes</w:t>
            </w:r>
          </w:p>
        </w:tc>
        <w:tc>
          <w:tcPr>
            <w:tcW w:w="454" w:type="pct"/>
            <w:vAlign w:val="center"/>
            <w:hideMark/>
          </w:tcPr>
          <w:p w14:paraId="2E1DE390" w14:textId="77777777" w:rsidR="00816E55" w:rsidRPr="00C62D0D" w:rsidRDefault="00816E55" w:rsidP="00C62D0D">
            <w:pPr>
              <w:pStyle w:val="Tablewriting"/>
            </w:pPr>
            <w:r w:rsidRPr="00C62D0D">
              <w:t>Yes</w:t>
            </w:r>
          </w:p>
        </w:tc>
        <w:tc>
          <w:tcPr>
            <w:tcW w:w="350" w:type="pct"/>
            <w:vAlign w:val="center"/>
            <w:hideMark/>
          </w:tcPr>
          <w:p w14:paraId="4BAFE65A" w14:textId="77777777" w:rsidR="00816E55" w:rsidRPr="00C62D0D" w:rsidRDefault="00816E55" w:rsidP="00C62D0D">
            <w:pPr>
              <w:pStyle w:val="Tablewriting"/>
            </w:pPr>
            <w:r w:rsidRPr="00C62D0D">
              <w:t>Yes</w:t>
            </w:r>
          </w:p>
        </w:tc>
        <w:tc>
          <w:tcPr>
            <w:tcW w:w="362" w:type="pct"/>
            <w:vAlign w:val="center"/>
            <w:hideMark/>
          </w:tcPr>
          <w:p w14:paraId="3624D8C6" w14:textId="77777777" w:rsidR="00816E55" w:rsidRPr="00C62D0D" w:rsidRDefault="00816E55" w:rsidP="00C62D0D">
            <w:pPr>
              <w:pStyle w:val="Tablewriting"/>
            </w:pPr>
            <w:r w:rsidRPr="00C62D0D">
              <w:t>Yes</w:t>
            </w:r>
          </w:p>
        </w:tc>
        <w:tc>
          <w:tcPr>
            <w:tcW w:w="376" w:type="pct"/>
            <w:vAlign w:val="center"/>
            <w:hideMark/>
          </w:tcPr>
          <w:p w14:paraId="3E9CE1BF" w14:textId="77777777" w:rsidR="00816E55" w:rsidRPr="00C62D0D" w:rsidRDefault="00816E55" w:rsidP="00C62D0D">
            <w:pPr>
              <w:pStyle w:val="Tablewriting"/>
            </w:pPr>
            <w:r w:rsidRPr="00C62D0D">
              <w:t>Yes</w:t>
            </w:r>
          </w:p>
        </w:tc>
        <w:tc>
          <w:tcPr>
            <w:tcW w:w="289" w:type="pct"/>
            <w:vAlign w:val="center"/>
            <w:hideMark/>
          </w:tcPr>
          <w:p w14:paraId="238D309C" w14:textId="77777777" w:rsidR="00816E55" w:rsidRPr="00C62D0D" w:rsidRDefault="00816E55" w:rsidP="00C62D0D">
            <w:pPr>
              <w:pStyle w:val="Tablewriting"/>
            </w:pPr>
            <w:r w:rsidRPr="00C62D0D">
              <w:t>Yes</w:t>
            </w:r>
          </w:p>
        </w:tc>
        <w:tc>
          <w:tcPr>
            <w:tcW w:w="256" w:type="pct"/>
            <w:vAlign w:val="center"/>
            <w:hideMark/>
          </w:tcPr>
          <w:p w14:paraId="7A8E8A70" w14:textId="77777777" w:rsidR="00816E55" w:rsidRPr="00C62D0D" w:rsidRDefault="00816E55" w:rsidP="00C62D0D">
            <w:pPr>
              <w:pStyle w:val="Tablewriting"/>
            </w:pPr>
            <w:r w:rsidRPr="00C62D0D">
              <w:t>Yes</w:t>
            </w:r>
          </w:p>
        </w:tc>
      </w:tr>
      <w:tr w:rsidR="00816E55" w:rsidRPr="00C62D0D" w14:paraId="5AF5B7CE" w14:textId="77777777" w:rsidTr="00D0517F">
        <w:trPr>
          <w:trHeight w:val="375"/>
        </w:trPr>
        <w:tc>
          <w:tcPr>
            <w:tcW w:w="150" w:type="pct"/>
            <w:vAlign w:val="center"/>
            <w:hideMark/>
          </w:tcPr>
          <w:p w14:paraId="4CBF1BAD" w14:textId="77777777" w:rsidR="00816E55" w:rsidRPr="00C62D0D" w:rsidRDefault="00816E55" w:rsidP="00C62D0D">
            <w:pPr>
              <w:pStyle w:val="Tablewriting"/>
            </w:pPr>
            <w:r w:rsidRPr="00C62D0D">
              <w:t>7</w:t>
            </w:r>
          </w:p>
        </w:tc>
        <w:tc>
          <w:tcPr>
            <w:tcW w:w="2381" w:type="pct"/>
            <w:vAlign w:val="center"/>
            <w:hideMark/>
          </w:tcPr>
          <w:p w14:paraId="5A95911D" w14:textId="77777777" w:rsidR="00816E55" w:rsidRPr="00C62D0D" w:rsidRDefault="00816E55" w:rsidP="00C62D0D">
            <w:pPr>
              <w:pStyle w:val="Tablewriting"/>
            </w:pPr>
            <w:r w:rsidRPr="00C62D0D">
              <w:t xml:space="preserve">Did the review authors provide a list of excluded studies and justify the exclusions? </w:t>
            </w:r>
          </w:p>
        </w:tc>
        <w:tc>
          <w:tcPr>
            <w:tcW w:w="382" w:type="pct"/>
            <w:noWrap/>
            <w:vAlign w:val="center"/>
            <w:hideMark/>
          </w:tcPr>
          <w:p w14:paraId="1139329E" w14:textId="77777777" w:rsidR="00816E55" w:rsidRPr="00816E55" w:rsidRDefault="00816E55" w:rsidP="00C62D0D">
            <w:pPr>
              <w:pStyle w:val="Tablewriting"/>
            </w:pPr>
            <w:r w:rsidRPr="00816E55">
              <w:t>Yes</w:t>
            </w:r>
          </w:p>
        </w:tc>
        <w:tc>
          <w:tcPr>
            <w:tcW w:w="454" w:type="pct"/>
            <w:noWrap/>
            <w:vAlign w:val="center"/>
            <w:hideMark/>
          </w:tcPr>
          <w:p w14:paraId="5A578AA6" w14:textId="77777777" w:rsidR="00816E55" w:rsidRPr="00816E55" w:rsidRDefault="00816E55" w:rsidP="00C62D0D">
            <w:pPr>
              <w:pStyle w:val="Tablewriting"/>
            </w:pPr>
            <w:r w:rsidRPr="00816E55">
              <w:t>Yes</w:t>
            </w:r>
          </w:p>
        </w:tc>
        <w:tc>
          <w:tcPr>
            <w:tcW w:w="350" w:type="pct"/>
            <w:noWrap/>
            <w:vAlign w:val="center"/>
            <w:hideMark/>
          </w:tcPr>
          <w:p w14:paraId="6B6EE56F" w14:textId="77777777" w:rsidR="00816E55" w:rsidRPr="00816E55" w:rsidRDefault="00816E55" w:rsidP="00C62D0D">
            <w:pPr>
              <w:pStyle w:val="Tablewriting"/>
            </w:pPr>
            <w:r w:rsidRPr="00816E55">
              <w:t>Yes</w:t>
            </w:r>
          </w:p>
        </w:tc>
        <w:tc>
          <w:tcPr>
            <w:tcW w:w="362" w:type="pct"/>
            <w:noWrap/>
            <w:vAlign w:val="center"/>
            <w:hideMark/>
          </w:tcPr>
          <w:p w14:paraId="1864B914" w14:textId="77777777" w:rsidR="00816E55" w:rsidRPr="00816E55" w:rsidRDefault="00816E55" w:rsidP="00C62D0D">
            <w:pPr>
              <w:pStyle w:val="Tablewriting"/>
            </w:pPr>
            <w:r w:rsidRPr="00816E55">
              <w:t>Yes</w:t>
            </w:r>
          </w:p>
        </w:tc>
        <w:tc>
          <w:tcPr>
            <w:tcW w:w="376" w:type="pct"/>
            <w:noWrap/>
            <w:vAlign w:val="center"/>
            <w:hideMark/>
          </w:tcPr>
          <w:p w14:paraId="6B1D0184" w14:textId="77777777" w:rsidR="00816E55" w:rsidRPr="00816E55" w:rsidRDefault="00816E55" w:rsidP="00C62D0D">
            <w:pPr>
              <w:pStyle w:val="Tablewriting"/>
            </w:pPr>
            <w:r w:rsidRPr="00816E55">
              <w:t>Yes</w:t>
            </w:r>
          </w:p>
        </w:tc>
        <w:tc>
          <w:tcPr>
            <w:tcW w:w="289" w:type="pct"/>
            <w:vAlign w:val="center"/>
            <w:hideMark/>
          </w:tcPr>
          <w:p w14:paraId="52D00935" w14:textId="77777777" w:rsidR="00816E55" w:rsidRPr="00816E55" w:rsidRDefault="00816E55" w:rsidP="00C62D0D">
            <w:pPr>
              <w:pStyle w:val="Tablewriting"/>
            </w:pPr>
            <w:r w:rsidRPr="00816E55">
              <w:t>Yes</w:t>
            </w:r>
          </w:p>
        </w:tc>
        <w:tc>
          <w:tcPr>
            <w:tcW w:w="256" w:type="pct"/>
            <w:vAlign w:val="center"/>
            <w:hideMark/>
          </w:tcPr>
          <w:p w14:paraId="11FE1198" w14:textId="77777777" w:rsidR="00816E55" w:rsidRPr="00816E55" w:rsidRDefault="00816E55" w:rsidP="00C62D0D">
            <w:pPr>
              <w:pStyle w:val="Tablewriting"/>
            </w:pPr>
            <w:r w:rsidRPr="00816E55">
              <w:t>Yes</w:t>
            </w:r>
          </w:p>
        </w:tc>
      </w:tr>
      <w:tr w:rsidR="00816E55" w:rsidRPr="00C62D0D" w14:paraId="7C7DB102" w14:textId="77777777" w:rsidTr="00D0517F">
        <w:trPr>
          <w:trHeight w:val="135"/>
        </w:trPr>
        <w:tc>
          <w:tcPr>
            <w:tcW w:w="150" w:type="pct"/>
            <w:vAlign w:val="center"/>
            <w:hideMark/>
          </w:tcPr>
          <w:p w14:paraId="1F992D88" w14:textId="77777777" w:rsidR="00816E55" w:rsidRPr="00C62D0D" w:rsidRDefault="00816E55" w:rsidP="00C62D0D">
            <w:pPr>
              <w:pStyle w:val="Tablewriting"/>
            </w:pPr>
            <w:r w:rsidRPr="00C62D0D">
              <w:t>8</w:t>
            </w:r>
          </w:p>
        </w:tc>
        <w:tc>
          <w:tcPr>
            <w:tcW w:w="2381" w:type="pct"/>
            <w:vAlign w:val="center"/>
            <w:hideMark/>
          </w:tcPr>
          <w:p w14:paraId="52749020" w14:textId="77777777" w:rsidR="00816E55" w:rsidRPr="00C62D0D" w:rsidRDefault="00816E55" w:rsidP="00C62D0D">
            <w:pPr>
              <w:pStyle w:val="Tablewriting"/>
            </w:pPr>
            <w:r w:rsidRPr="00C62D0D">
              <w:t>Did the review authors describe the included studies in adequate detail?</w:t>
            </w:r>
          </w:p>
        </w:tc>
        <w:tc>
          <w:tcPr>
            <w:tcW w:w="382" w:type="pct"/>
            <w:noWrap/>
            <w:vAlign w:val="center"/>
            <w:hideMark/>
          </w:tcPr>
          <w:p w14:paraId="0D18817F" w14:textId="77777777" w:rsidR="00816E55" w:rsidRPr="00C62D0D" w:rsidRDefault="00816E55" w:rsidP="00C62D0D">
            <w:pPr>
              <w:pStyle w:val="Tablewriting"/>
            </w:pPr>
            <w:r w:rsidRPr="00C62D0D">
              <w:t>Yes</w:t>
            </w:r>
          </w:p>
        </w:tc>
        <w:tc>
          <w:tcPr>
            <w:tcW w:w="454" w:type="pct"/>
            <w:noWrap/>
            <w:vAlign w:val="center"/>
            <w:hideMark/>
          </w:tcPr>
          <w:p w14:paraId="002C9DB6" w14:textId="77777777" w:rsidR="00816E55" w:rsidRPr="00C62D0D" w:rsidRDefault="00816E55" w:rsidP="00C62D0D">
            <w:pPr>
              <w:pStyle w:val="Tablewriting"/>
            </w:pPr>
            <w:r w:rsidRPr="00C62D0D">
              <w:t>Yes</w:t>
            </w:r>
          </w:p>
        </w:tc>
        <w:tc>
          <w:tcPr>
            <w:tcW w:w="350" w:type="pct"/>
            <w:noWrap/>
            <w:vAlign w:val="center"/>
            <w:hideMark/>
          </w:tcPr>
          <w:p w14:paraId="4AAB07EA" w14:textId="77777777" w:rsidR="00816E55" w:rsidRPr="00C62D0D" w:rsidRDefault="00816E55" w:rsidP="00C62D0D">
            <w:pPr>
              <w:pStyle w:val="Tablewriting"/>
            </w:pPr>
            <w:r w:rsidRPr="00C62D0D">
              <w:t>Yes</w:t>
            </w:r>
          </w:p>
        </w:tc>
        <w:tc>
          <w:tcPr>
            <w:tcW w:w="362" w:type="pct"/>
            <w:noWrap/>
            <w:vAlign w:val="center"/>
            <w:hideMark/>
          </w:tcPr>
          <w:p w14:paraId="1E5B69B6" w14:textId="77777777" w:rsidR="00816E55" w:rsidRPr="00C62D0D" w:rsidRDefault="00816E55" w:rsidP="00C62D0D">
            <w:pPr>
              <w:pStyle w:val="Tablewriting"/>
            </w:pPr>
            <w:r w:rsidRPr="00C62D0D">
              <w:t>Yes</w:t>
            </w:r>
          </w:p>
        </w:tc>
        <w:tc>
          <w:tcPr>
            <w:tcW w:w="376" w:type="pct"/>
            <w:noWrap/>
            <w:vAlign w:val="center"/>
            <w:hideMark/>
          </w:tcPr>
          <w:p w14:paraId="33F33AD8" w14:textId="77777777" w:rsidR="00816E55" w:rsidRPr="00C62D0D" w:rsidRDefault="00816E55" w:rsidP="00C62D0D">
            <w:pPr>
              <w:pStyle w:val="Tablewriting"/>
            </w:pPr>
            <w:r w:rsidRPr="00C62D0D">
              <w:t>Yes</w:t>
            </w:r>
          </w:p>
        </w:tc>
        <w:tc>
          <w:tcPr>
            <w:tcW w:w="289" w:type="pct"/>
            <w:vAlign w:val="center"/>
            <w:hideMark/>
          </w:tcPr>
          <w:p w14:paraId="15252E23" w14:textId="77777777" w:rsidR="00816E55" w:rsidRPr="00C62D0D" w:rsidRDefault="00816E55" w:rsidP="00C62D0D">
            <w:pPr>
              <w:pStyle w:val="Tablewriting"/>
            </w:pPr>
            <w:r w:rsidRPr="00C62D0D">
              <w:t>Yes</w:t>
            </w:r>
          </w:p>
        </w:tc>
        <w:tc>
          <w:tcPr>
            <w:tcW w:w="256" w:type="pct"/>
            <w:vAlign w:val="center"/>
            <w:hideMark/>
          </w:tcPr>
          <w:p w14:paraId="4E67BAFF" w14:textId="77777777" w:rsidR="00816E55" w:rsidRPr="00C62D0D" w:rsidRDefault="00816E55" w:rsidP="00C62D0D">
            <w:pPr>
              <w:pStyle w:val="Tablewriting"/>
            </w:pPr>
            <w:r w:rsidRPr="00C62D0D">
              <w:t>Yes</w:t>
            </w:r>
          </w:p>
        </w:tc>
      </w:tr>
      <w:tr w:rsidR="00816E55" w:rsidRPr="00C62D0D" w14:paraId="755A1D52" w14:textId="77777777" w:rsidTr="00D0517F">
        <w:trPr>
          <w:trHeight w:val="70"/>
        </w:trPr>
        <w:tc>
          <w:tcPr>
            <w:tcW w:w="150" w:type="pct"/>
            <w:vAlign w:val="center"/>
            <w:hideMark/>
          </w:tcPr>
          <w:p w14:paraId="7CFC9AE6" w14:textId="77777777" w:rsidR="00816E55" w:rsidRPr="00C62D0D" w:rsidRDefault="00816E55" w:rsidP="00C62D0D">
            <w:pPr>
              <w:pStyle w:val="Tablewriting"/>
            </w:pPr>
            <w:r w:rsidRPr="00C62D0D">
              <w:t>9</w:t>
            </w:r>
          </w:p>
        </w:tc>
        <w:tc>
          <w:tcPr>
            <w:tcW w:w="2381" w:type="pct"/>
            <w:vAlign w:val="center"/>
            <w:hideMark/>
          </w:tcPr>
          <w:p w14:paraId="01CF6F75" w14:textId="77777777" w:rsidR="00816E55" w:rsidRPr="00C62D0D" w:rsidRDefault="00816E55" w:rsidP="00C62D0D">
            <w:pPr>
              <w:pStyle w:val="Tablewriting"/>
            </w:pPr>
            <w:r w:rsidRPr="00C62D0D">
              <w:t xml:space="preserve">Did the review authors use a satisfactory technique for assessing the risk of bias (RoB) in individual studies that were included in the review? </w:t>
            </w:r>
          </w:p>
        </w:tc>
        <w:tc>
          <w:tcPr>
            <w:tcW w:w="382" w:type="pct"/>
            <w:noWrap/>
            <w:vAlign w:val="center"/>
            <w:hideMark/>
          </w:tcPr>
          <w:p w14:paraId="1D8631C1" w14:textId="77777777" w:rsidR="00816E55" w:rsidRPr="00C62D0D" w:rsidRDefault="00816E55" w:rsidP="00C62D0D">
            <w:pPr>
              <w:pStyle w:val="Tablewriting"/>
            </w:pPr>
            <w:r w:rsidRPr="00C62D0D">
              <w:t>Yes</w:t>
            </w:r>
          </w:p>
        </w:tc>
        <w:tc>
          <w:tcPr>
            <w:tcW w:w="454" w:type="pct"/>
            <w:noWrap/>
            <w:vAlign w:val="center"/>
            <w:hideMark/>
          </w:tcPr>
          <w:p w14:paraId="402F69BE" w14:textId="77777777" w:rsidR="00816E55" w:rsidRPr="00C62D0D" w:rsidRDefault="00816E55" w:rsidP="00C62D0D">
            <w:pPr>
              <w:pStyle w:val="Tablewriting"/>
            </w:pPr>
            <w:r w:rsidRPr="00C62D0D">
              <w:t>Yes</w:t>
            </w:r>
          </w:p>
        </w:tc>
        <w:tc>
          <w:tcPr>
            <w:tcW w:w="350" w:type="pct"/>
            <w:noWrap/>
            <w:vAlign w:val="center"/>
            <w:hideMark/>
          </w:tcPr>
          <w:p w14:paraId="75F87370" w14:textId="77777777" w:rsidR="00816E55" w:rsidRPr="00C62D0D" w:rsidRDefault="00816E55" w:rsidP="00C62D0D">
            <w:pPr>
              <w:pStyle w:val="Tablewriting"/>
            </w:pPr>
            <w:r w:rsidRPr="00C62D0D">
              <w:t>Yes</w:t>
            </w:r>
          </w:p>
        </w:tc>
        <w:tc>
          <w:tcPr>
            <w:tcW w:w="362" w:type="pct"/>
            <w:noWrap/>
            <w:vAlign w:val="center"/>
            <w:hideMark/>
          </w:tcPr>
          <w:p w14:paraId="57719296" w14:textId="77777777" w:rsidR="00816E55" w:rsidRPr="00C62D0D" w:rsidRDefault="00816E55" w:rsidP="00C62D0D">
            <w:pPr>
              <w:pStyle w:val="Tablewriting"/>
            </w:pPr>
            <w:r w:rsidRPr="00C62D0D">
              <w:t>Yes</w:t>
            </w:r>
          </w:p>
        </w:tc>
        <w:tc>
          <w:tcPr>
            <w:tcW w:w="376" w:type="pct"/>
            <w:noWrap/>
            <w:vAlign w:val="center"/>
            <w:hideMark/>
          </w:tcPr>
          <w:p w14:paraId="3B116AEB" w14:textId="77777777" w:rsidR="00816E55" w:rsidRPr="00C62D0D" w:rsidRDefault="00816E55" w:rsidP="00C62D0D">
            <w:pPr>
              <w:pStyle w:val="Tablewriting"/>
            </w:pPr>
            <w:r w:rsidRPr="00C62D0D">
              <w:t>Yes</w:t>
            </w:r>
          </w:p>
        </w:tc>
        <w:tc>
          <w:tcPr>
            <w:tcW w:w="289" w:type="pct"/>
            <w:vAlign w:val="center"/>
            <w:hideMark/>
          </w:tcPr>
          <w:p w14:paraId="263F9ED3" w14:textId="77777777" w:rsidR="00816E55" w:rsidRPr="00C62D0D" w:rsidRDefault="00816E55" w:rsidP="00C62D0D">
            <w:pPr>
              <w:pStyle w:val="Tablewriting"/>
            </w:pPr>
            <w:r w:rsidRPr="00C62D0D">
              <w:t>Yes</w:t>
            </w:r>
          </w:p>
        </w:tc>
        <w:tc>
          <w:tcPr>
            <w:tcW w:w="256" w:type="pct"/>
            <w:vAlign w:val="center"/>
            <w:hideMark/>
          </w:tcPr>
          <w:p w14:paraId="71BCDC3E" w14:textId="77777777" w:rsidR="00816E55" w:rsidRPr="00C62D0D" w:rsidRDefault="00816E55" w:rsidP="00C62D0D">
            <w:pPr>
              <w:pStyle w:val="Tablewriting"/>
            </w:pPr>
            <w:r w:rsidRPr="00C62D0D">
              <w:t>Yes</w:t>
            </w:r>
          </w:p>
        </w:tc>
      </w:tr>
      <w:tr w:rsidR="00816E55" w:rsidRPr="00C62D0D" w14:paraId="41BABDBA" w14:textId="77777777" w:rsidTr="00D0517F">
        <w:trPr>
          <w:trHeight w:val="317"/>
        </w:trPr>
        <w:tc>
          <w:tcPr>
            <w:tcW w:w="150" w:type="pct"/>
            <w:vAlign w:val="center"/>
            <w:hideMark/>
          </w:tcPr>
          <w:p w14:paraId="1D23DB16" w14:textId="77777777" w:rsidR="00816E55" w:rsidRPr="00C62D0D" w:rsidRDefault="00816E55" w:rsidP="00C62D0D">
            <w:pPr>
              <w:pStyle w:val="Tablewriting"/>
            </w:pPr>
            <w:r w:rsidRPr="00C62D0D">
              <w:t>10</w:t>
            </w:r>
          </w:p>
        </w:tc>
        <w:tc>
          <w:tcPr>
            <w:tcW w:w="2381" w:type="pct"/>
            <w:vAlign w:val="center"/>
            <w:hideMark/>
          </w:tcPr>
          <w:p w14:paraId="03989E0F" w14:textId="77777777" w:rsidR="00816E55" w:rsidRPr="00C62D0D" w:rsidRDefault="00816E55" w:rsidP="00C62D0D">
            <w:pPr>
              <w:pStyle w:val="Tablewriting"/>
            </w:pPr>
            <w:r w:rsidRPr="00C62D0D">
              <w:t xml:space="preserve">Did the review authors report on the sources of funding for the studies included in the review? </w:t>
            </w:r>
          </w:p>
        </w:tc>
        <w:tc>
          <w:tcPr>
            <w:tcW w:w="382" w:type="pct"/>
            <w:vAlign w:val="center"/>
            <w:hideMark/>
          </w:tcPr>
          <w:p w14:paraId="57F14827" w14:textId="77777777" w:rsidR="00816E55" w:rsidRPr="00C62D0D" w:rsidRDefault="00816E55" w:rsidP="00C62D0D">
            <w:pPr>
              <w:pStyle w:val="Tablewriting"/>
            </w:pPr>
            <w:r w:rsidRPr="00C62D0D">
              <w:t>Yes</w:t>
            </w:r>
          </w:p>
        </w:tc>
        <w:tc>
          <w:tcPr>
            <w:tcW w:w="454" w:type="pct"/>
            <w:vAlign w:val="center"/>
            <w:hideMark/>
          </w:tcPr>
          <w:p w14:paraId="5E69F355" w14:textId="77777777" w:rsidR="00816E55" w:rsidRPr="00C62D0D" w:rsidRDefault="00816E55" w:rsidP="00C62D0D">
            <w:pPr>
              <w:pStyle w:val="Tablewriting"/>
            </w:pPr>
            <w:r w:rsidRPr="00C62D0D">
              <w:t>Yes</w:t>
            </w:r>
          </w:p>
        </w:tc>
        <w:tc>
          <w:tcPr>
            <w:tcW w:w="350" w:type="pct"/>
            <w:vAlign w:val="center"/>
            <w:hideMark/>
          </w:tcPr>
          <w:p w14:paraId="21A8E4B0" w14:textId="77777777" w:rsidR="00816E55" w:rsidRPr="00C62D0D" w:rsidRDefault="00816E55" w:rsidP="00C62D0D">
            <w:pPr>
              <w:pStyle w:val="Tablewriting"/>
            </w:pPr>
            <w:r w:rsidRPr="00C62D0D">
              <w:t>Yes</w:t>
            </w:r>
          </w:p>
        </w:tc>
        <w:tc>
          <w:tcPr>
            <w:tcW w:w="362" w:type="pct"/>
            <w:vAlign w:val="center"/>
            <w:hideMark/>
          </w:tcPr>
          <w:p w14:paraId="675A017C" w14:textId="77777777" w:rsidR="00816E55" w:rsidRPr="00C62D0D" w:rsidRDefault="00816E55" w:rsidP="00C62D0D">
            <w:pPr>
              <w:pStyle w:val="Tablewriting"/>
            </w:pPr>
            <w:r w:rsidRPr="00C62D0D">
              <w:t>Yes</w:t>
            </w:r>
          </w:p>
        </w:tc>
        <w:tc>
          <w:tcPr>
            <w:tcW w:w="376" w:type="pct"/>
            <w:vAlign w:val="center"/>
            <w:hideMark/>
          </w:tcPr>
          <w:p w14:paraId="02F7F22E" w14:textId="77777777" w:rsidR="00816E55" w:rsidRPr="00C62D0D" w:rsidRDefault="00816E55" w:rsidP="00C62D0D">
            <w:pPr>
              <w:pStyle w:val="Tablewriting"/>
            </w:pPr>
            <w:r w:rsidRPr="00C62D0D">
              <w:t>Yes</w:t>
            </w:r>
          </w:p>
        </w:tc>
        <w:tc>
          <w:tcPr>
            <w:tcW w:w="289" w:type="pct"/>
            <w:vAlign w:val="center"/>
            <w:hideMark/>
          </w:tcPr>
          <w:p w14:paraId="7D12730C" w14:textId="77777777" w:rsidR="00816E55" w:rsidRPr="00C62D0D" w:rsidRDefault="00816E55" w:rsidP="00C62D0D">
            <w:pPr>
              <w:pStyle w:val="Tablewriting"/>
            </w:pPr>
            <w:r w:rsidRPr="00C62D0D">
              <w:t>Yes</w:t>
            </w:r>
          </w:p>
        </w:tc>
        <w:tc>
          <w:tcPr>
            <w:tcW w:w="256" w:type="pct"/>
            <w:vAlign w:val="center"/>
            <w:hideMark/>
          </w:tcPr>
          <w:p w14:paraId="47D4973C" w14:textId="77777777" w:rsidR="00816E55" w:rsidRPr="00C62D0D" w:rsidRDefault="00816E55" w:rsidP="00C62D0D">
            <w:pPr>
              <w:pStyle w:val="Tablewriting"/>
            </w:pPr>
            <w:r w:rsidRPr="00C62D0D">
              <w:t>Yes</w:t>
            </w:r>
          </w:p>
        </w:tc>
      </w:tr>
      <w:tr w:rsidR="00816E55" w:rsidRPr="00C62D0D" w14:paraId="27B7C74A" w14:textId="77777777" w:rsidTr="00D0517F">
        <w:trPr>
          <w:trHeight w:val="132"/>
        </w:trPr>
        <w:tc>
          <w:tcPr>
            <w:tcW w:w="150" w:type="pct"/>
            <w:vAlign w:val="center"/>
            <w:hideMark/>
          </w:tcPr>
          <w:p w14:paraId="340D55BF" w14:textId="77777777" w:rsidR="00816E55" w:rsidRPr="00C62D0D" w:rsidRDefault="00816E55" w:rsidP="00C62D0D">
            <w:pPr>
              <w:pStyle w:val="Tablewriting"/>
            </w:pPr>
            <w:r w:rsidRPr="00C62D0D">
              <w:t>11</w:t>
            </w:r>
          </w:p>
        </w:tc>
        <w:tc>
          <w:tcPr>
            <w:tcW w:w="2381" w:type="pct"/>
            <w:vAlign w:val="center"/>
            <w:hideMark/>
          </w:tcPr>
          <w:p w14:paraId="7E9F5DAB" w14:textId="77777777" w:rsidR="00816E55" w:rsidRPr="00C62D0D" w:rsidRDefault="00816E55" w:rsidP="00C62D0D">
            <w:pPr>
              <w:pStyle w:val="Tablewriting"/>
            </w:pPr>
            <w:r w:rsidRPr="00C62D0D">
              <w:t xml:space="preserve">If meta-analysis was performed did the review authors use appropriate methods for statistical combination of results? </w:t>
            </w:r>
          </w:p>
        </w:tc>
        <w:tc>
          <w:tcPr>
            <w:tcW w:w="382" w:type="pct"/>
            <w:vAlign w:val="center"/>
            <w:hideMark/>
          </w:tcPr>
          <w:p w14:paraId="0D9D683D" w14:textId="77777777" w:rsidR="00816E55" w:rsidRPr="00C62D0D" w:rsidRDefault="00816E55" w:rsidP="00C62D0D">
            <w:pPr>
              <w:pStyle w:val="Tablewriting"/>
            </w:pPr>
            <w:r w:rsidRPr="00C62D0D">
              <w:t>Yes</w:t>
            </w:r>
          </w:p>
        </w:tc>
        <w:tc>
          <w:tcPr>
            <w:tcW w:w="454" w:type="pct"/>
            <w:vAlign w:val="center"/>
            <w:hideMark/>
          </w:tcPr>
          <w:p w14:paraId="6AB49BD0" w14:textId="77777777" w:rsidR="00816E55" w:rsidRPr="00C62D0D" w:rsidRDefault="00816E55" w:rsidP="00C62D0D">
            <w:pPr>
              <w:pStyle w:val="Tablewriting"/>
            </w:pPr>
            <w:r w:rsidRPr="00C62D0D">
              <w:t>Yes</w:t>
            </w:r>
          </w:p>
        </w:tc>
        <w:tc>
          <w:tcPr>
            <w:tcW w:w="350" w:type="pct"/>
            <w:vAlign w:val="center"/>
            <w:hideMark/>
          </w:tcPr>
          <w:p w14:paraId="2DCA687C" w14:textId="77777777" w:rsidR="00816E55" w:rsidRPr="00C62D0D" w:rsidRDefault="00816E55" w:rsidP="00C62D0D">
            <w:pPr>
              <w:pStyle w:val="Tablewriting"/>
            </w:pPr>
            <w:r w:rsidRPr="00C62D0D">
              <w:t>Yes</w:t>
            </w:r>
          </w:p>
        </w:tc>
        <w:tc>
          <w:tcPr>
            <w:tcW w:w="362" w:type="pct"/>
            <w:vAlign w:val="center"/>
            <w:hideMark/>
          </w:tcPr>
          <w:p w14:paraId="4917226E" w14:textId="77777777" w:rsidR="00816E55" w:rsidRPr="00C62D0D" w:rsidRDefault="00816E55" w:rsidP="00C62D0D">
            <w:pPr>
              <w:pStyle w:val="Tablewriting"/>
            </w:pPr>
            <w:r w:rsidRPr="00C62D0D">
              <w:t>Yes</w:t>
            </w:r>
          </w:p>
        </w:tc>
        <w:tc>
          <w:tcPr>
            <w:tcW w:w="376" w:type="pct"/>
            <w:vAlign w:val="center"/>
            <w:hideMark/>
          </w:tcPr>
          <w:p w14:paraId="1790B772" w14:textId="77777777" w:rsidR="00816E55" w:rsidRPr="00C62D0D" w:rsidRDefault="00816E55" w:rsidP="00C62D0D">
            <w:pPr>
              <w:pStyle w:val="Tablewriting"/>
            </w:pPr>
            <w:r w:rsidRPr="00C62D0D">
              <w:t>Yes</w:t>
            </w:r>
          </w:p>
        </w:tc>
        <w:tc>
          <w:tcPr>
            <w:tcW w:w="289" w:type="pct"/>
            <w:vAlign w:val="center"/>
            <w:hideMark/>
          </w:tcPr>
          <w:p w14:paraId="25DA4FF5" w14:textId="77777777" w:rsidR="00816E55" w:rsidRPr="00C62D0D" w:rsidRDefault="00816E55" w:rsidP="00C62D0D">
            <w:pPr>
              <w:pStyle w:val="Tablewriting"/>
            </w:pPr>
            <w:r w:rsidRPr="00C62D0D">
              <w:t>Yes</w:t>
            </w:r>
          </w:p>
        </w:tc>
        <w:tc>
          <w:tcPr>
            <w:tcW w:w="256" w:type="pct"/>
            <w:vAlign w:val="center"/>
            <w:hideMark/>
          </w:tcPr>
          <w:p w14:paraId="433A1EAE" w14:textId="77777777" w:rsidR="00816E55" w:rsidRPr="00C62D0D" w:rsidRDefault="00816E55" w:rsidP="00C62D0D">
            <w:pPr>
              <w:pStyle w:val="Tablewriting"/>
            </w:pPr>
            <w:r w:rsidRPr="00C62D0D">
              <w:t>Yes</w:t>
            </w:r>
          </w:p>
        </w:tc>
      </w:tr>
      <w:tr w:rsidR="00816E55" w:rsidRPr="00C62D0D" w14:paraId="0561E7AF" w14:textId="77777777" w:rsidTr="00D0517F">
        <w:trPr>
          <w:trHeight w:val="750"/>
        </w:trPr>
        <w:tc>
          <w:tcPr>
            <w:tcW w:w="150" w:type="pct"/>
            <w:vAlign w:val="center"/>
            <w:hideMark/>
          </w:tcPr>
          <w:p w14:paraId="50651FB3" w14:textId="77777777" w:rsidR="00816E55" w:rsidRPr="00C62D0D" w:rsidRDefault="00816E55" w:rsidP="00C62D0D">
            <w:pPr>
              <w:pStyle w:val="Tablewriting"/>
            </w:pPr>
            <w:r w:rsidRPr="00C62D0D">
              <w:t>12</w:t>
            </w:r>
          </w:p>
        </w:tc>
        <w:tc>
          <w:tcPr>
            <w:tcW w:w="2381" w:type="pct"/>
            <w:vAlign w:val="center"/>
            <w:hideMark/>
          </w:tcPr>
          <w:p w14:paraId="527DEA3F" w14:textId="77777777" w:rsidR="00816E55" w:rsidRPr="00C62D0D" w:rsidRDefault="00816E55" w:rsidP="00C62D0D">
            <w:pPr>
              <w:pStyle w:val="Tablewriting"/>
            </w:pPr>
            <w:r w:rsidRPr="00C62D0D">
              <w:t xml:space="preserve">If meta-analysis was performed, did the review authors assess the potential impact of RoB in individual studies on the results of the meta-analysis or other evidence synthesis? </w:t>
            </w:r>
          </w:p>
        </w:tc>
        <w:tc>
          <w:tcPr>
            <w:tcW w:w="382" w:type="pct"/>
            <w:vAlign w:val="center"/>
            <w:hideMark/>
          </w:tcPr>
          <w:p w14:paraId="60F9ACB2" w14:textId="77777777" w:rsidR="00816E55" w:rsidRPr="00C62D0D" w:rsidRDefault="00816E55" w:rsidP="00C62D0D">
            <w:pPr>
              <w:pStyle w:val="Tablewriting"/>
            </w:pPr>
            <w:r w:rsidRPr="00C62D0D">
              <w:t>Yes</w:t>
            </w:r>
          </w:p>
        </w:tc>
        <w:tc>
          <w:tcPr>
            <w:tcW w:w="454" w:type="pct"/>
            <w:vAlign w:val="center"/>
            <w:hideMark/>
          </w:tcPr>
          <w:p w14:paraId="65630AAB" w14:textId="77777777" w:rsidR="00816E55" w:rsidRPr="00C62D0D" w:rsidRDefault="00816E55" w:rsidP="00C62D0D">
            <w:pPr>
              <w:pStyle w:val="Tablewriting"/>
            </w:pPr>
            <w:r w:rsidRPr="00C62D0D">
              <w:t>Yes</w:t>
            </w:r>
          </w:p>
        </w:tc>
        <w:tc>
          <w:tcPr>
            <w:tcW w:w="350" w:type="pct"/>
            <w:vAlign w:val="center"/>
            <w:hideMark/>
          </w:tcPr>
          <w:p w14:paraId="239D3271" w14:textId="77777777" w:rsidR="00816E55" w:rsidRPr="00C62D0D" w:rsidRDefault="00816E55" w:rsidP="00C62D0D">
            <w:pPr>
              <w:pStyle w:val="Tablewriting"/>
            </w:pPr>
            <w:r w:rsidRPr="00C62D0D">
              <w:t>Yes</w:t>
            </w:r>
          </w:p>
        </w:tc>
        <w:tc>
          <w:tcPr>
            <w:tcW w:w="362" w:type="pct"/>
            <w:vAlign w:val="center"/>
            <w:hideMark/>
          </w:tcPr>
          <w:p w14:paraId="60A4D73D" w14:textId="77777777" w:rsidR="00816E55" w:rsidRPr="00C62D0D" w:rsidRDefault="00816E55" w:rsidP="00C62D0D">
            <w:pPr>
              <w:pStyle w:val="Tablewriting"/>
            </w:pPr>
            <w:r w:rsidRPr="00C62D0D">
              <w:t>Yes</w:t>
            </w:r>
          </w:p>
        </w:tc>
        <w:tc>
          <w:tcPr>
            <w:tcW w:w="376" w:type="pct"/>
            <w:vAlign w:val="center"/>
            <w:hideMark/>
          </w:tcPr>
          <w:p w14:paraId="2EE23639" w14:textId="77777777" w:rsidR="00816E55" w:rsidRPr="00C62D0D" w:rsidRDefault="00816E55" w:rsidP="00C62D0D">
            <w:pPr>
              <w:pStyle w:val="Tablewriting"/>
            </w:pPr>
            <w:r w:rsidRPr="00C62D0D">
              <w:t>Yes</w:t>
            </w:r>
          </w:p>
        </w:tc>
        <w:tc>
          <w:tcPr>
            <w:tcW w:w="289" w:type="pct"/>
            <w:vAlign w:val="center"/>
            <w:hideMark/>
          </w:tcPr>
          <w:p w14:paraId="3746F43C" w14:textId="77777777" w:rsidR="00816E55" w:rsidRPr="00C62D0D" w:rsidRDefault="00816E55" w:rsidP="00C62D0D">
            <w:pPr>
              <w:pStyle w:val="Tablewriting"/>
            </w:pPr>
            <w:r w:rsidRPr="00C62D0D">
              <w:t>Yes</w:t>
            </w:r>
          </w:p>
        </w:tc>
        <w:tc>
          <w:tcPr>
            <w:tcW w:w="256" w:type="pct"/>
            <w:vAlign w:val="center"/>
            <w:hideMark/>
          </w:tcPr>
          <w:p w14:paraId="38147F3C" w14:textId="77777777" w:rsidR="00816E55" w:rsidRPr="00C62D0D" w:rsidRDefault="00816E55" w:rsidP="00C62D0D">
            <w:pPr>
              <w:pStyle w:val="Tablewriting"/>
            </w:pPr>
            <w:r w:rsidRPr="00C62D0D">
              <w:t>Yes</w:t>
            </w:r>
          </w:p>
        </w:tc>
      </w:tr>
      <w:tr w:rsidR="00816E55" w:rsidRPr="00C62D0D" w14:paraId="4DE2AB34" w14:textId="77777777" w:rsidTr="00D0517F">
        <w:trPr>
          <w:trHeight w:val="292"/>
        </w:trPr>
        <w:tc>
          <w:tcPr>
            <w:tcW w:w="150" w:type="pct"/>
            <w:vAlign w:val="center"/>
            <w:hideMark/>
          </w:tcPr>
          <w:p w14:paraId="1801D19C" w14:textId="77777777" w:rsidR="00816E55" w:rsidRPr="00C62D0D" w:rsidRDefault="00816E55" w:rsidP="00C62D0D">
            <w:pPr>
              <w:pStyle w:val="Tablewriting"/>
            </w:pPr>
            <w:r w:rsidRPr="00C62D0D">
              <w:t>13</w:t>
            </w:r>
          </w:p>
        </w:tc>
        <w:tc>
          <w:tcPr>
            <w:tcW w:w="2381" w:type="pct"/>
            <w:vAlign w:val="center"/>
            <w:hideMark/>
          </w:tcPr>
          <w:p w14:paraId="18D30785" w14:textId="77777777" w:rsidR="00816E55" w:rsidRPr="00C62D0D" w:rsidRDefault="00816E55" w:rsidP="00C62D0D">
            <w:pPr>
              <w:pStyle w:val="Tablewriting"/>
            </w:pPr>
            <w:r w:rsidRPr="00C62D0D">
              <w:t xml:space="preserve">Did the review authors account for RoB in individual studies when interpreting/ discussing the results of the review? </w:t>
            </w:r>
          </w:p>
        </w:tc>
        <w:tc>
          <w:tcPr>
            <w:tcW w:w="382" w:type="pct"/>
            <w:vAlign w:val="center"/>
            <w:hideMark/>
          </w:tcPr>
          <w:p w14:paraId="605C87B0" w14:textId="77777777" w:rsidR="00816E55" w:rsidRPr="00C62D0D" w:rsidRDefault="00816E55" w:rsidP="00C62D0D">
            <w:pPr>
              <w:pStyle w:val="Tablewriting"/>
            </w:pPr>
            <w:r w:rsidRPr="00C62D0D">
              <w:t>Yes</w:t>
            </w:r>
          </w:p>
        </w:tc>
        <w:tc>
          <w:tcPr>
            <w:tcW w:w="454" w:type="pct"/>
            <w:vAlign w:val="center"/>
            <w:hideMark/>
          </w:tcPr>
          <w:p w14:paraId="58CE429A" w14:textId="77777777" w:rsidR="00816E55" w:rsidRPr="00C62D0D" w:rsidRDefault="00816E55" w:rsidP="00C62D0D">
            <w:pPr>
              <w:pStyle w:val="Tablewriting"/>
            </w:pPr>
            <w:r w:rsidRPr="00C62D0D">
              <w:t>Yes</w:t>
            </w:r>
          </w:p>
        </w:tc>
        <w:tc>
          <w:tcPr>
            <w:tcW w:w="350" w:type="pct"/>
            <w:vAlign w:val="center"/>
            <w:hideMark/>
          </w:tcPr>
          <w:p w14:paraId="7BDDFBB6" w14:textId="77777777" w:rsidR="00816E55" w:rsidRPr="00C62D0D" w:rsidRDefault="00816E55" w:rsidP="00C62D0D">
            <w:pPr>
              <w:pStyle w:val="Tablewriting"/>
            </w:pPr>
            <w:r w:rsidRPr="00C62D0D">
              <w:t>Yes</w:t>
            </w:r>
          </w:p>
        </w:tc>
        <w:tc>
          <w:tcPr>
            <w:tcW w:w="362" w:type="pct"/>
            <w:vAlign w:val="center"/>
            <w:hideMark/>
          </w:tcPr>
          <w:p w14:paraId="0E0E794B" w14:textId="77777777" w:rsidR="00816E55" w:rsidRPr="00C62D0D" w:rsidRDefault="00816E55" w:rsidP="00C62D0D">
            <w:pPr>
              <w:pStyle w:val="Tablewriting"/>
            </w:pPr>
            <w:r w:rsidRPr="00C62D0D">
              <w:t>Yes</w:t>
            </w:r>
          </w:p>
        </w:tc>
        <w:tc>
          <w:tcPr>
            <w:tcW w:w="376" w:type="pct"/>
            <w:vAlign w:val="center"/>
            <w:hideMark/>
          </w:tcPr>
          <w:p w14:paraId="5C4FF59B" w14:textId="77777777" w:rsidR="00816E55" w:rsidRPr="00C62D0D" w:rsidRDefault="00816E55" w:rsidP="00C62D0D">
            <w:pPr>
              <w:pStyle w:val="Tablewriting"/>
            </w:pPr>
            <w:r w:rsidRPr="00C62D0D">
              <w:t>Yes</w:t>
            </w:r>
          </w:p>
        </w:tc>
        <w:tc>
          <w:tcPr>
            <w:tcW w:w="289" w:type="pct"/>
            <w:vAlign w:val="center"/>
            <w:hideMark/>
          </w:tcPr>
          <w:p w14:paraId="028E2077" w14:textId="77777777" w:rsidR="00816E55" w:rsidRPr="00C62D0D" w:rsidRDefault="00816E55" w:rsidP="00C62D0D">
            <w:pPr>
              <w:pStyle w:val="Tablewriting"/>
            </w:pPr>
            <w:r w:rsidRPr="00C62D0D">
              <w:t>Yes</w:t>
            </w:r>
          </w:p>
        </w:tc>
        <w:tc>
          <w:tcPr>
            <w:tcW w:w="256" w:type="pct"/>
            <w:vAlign w:val="center"/>
            <w:hideMark/>
          </w:tcPr>
          <w:p w14:paraId="218030F3" w14:textId="77777777" w:rsidR="00816E55" w:rsidRPr="00C62D0D" w:rsidRDefault="00816E55" w:rsidP="00C62D0D">
            <w:pPr>
              <w:pStyle w:val="Tablewriting"/>
            </w:pPr>
            <w:r w:rsidRPr="00C62D0D">
              <w:t>Yes</w:t>
            </w:r>
          </w:p>
        </w:tc>
      </w:tr>
      <w:tr w:rsidR="00816E55" w:rsidRPr="00C62D0D" w14:paraId="573D93A1" w14:textId="77777777" w:rsidTr="00D0517F">
        <w:trPr>
          <w:trHeight w:val="213"/>
        </w:trPr>
        <w:tc>
          <w:tcPr>
            <w:tcW w:w="150" w:type="pct"/>
            <w:vAlign w:val="center"/>
            <w:hideMark/>
          </w:tcPr>
          <w:p w14:paraId="0BCEBAF7" w14:textId="77777777" w:rsidR="00816E55" w:rsidRPr="00C62D0D" w:rsidRDefault="00816E55" w:rsidP="00C62D0D">
            <w:pPr>
              <w:pStyle w:val="Tablewriting"/>
            </w:pPr>
            <w:r w:rsidRPr="00C62D0D">
              <w:t>14</w:t>
            </w:r>
          </w:p>
        </w:tc>
        <w:tc>
          <w:tcPr>
            <w:tcW w:w="2381" w:type="pct"/>
            <w:vAlign w:val="center"/>
            <w:hideMark/>
          </w:tcPr>
          <w:p w14:paraId="14E75DBD" w14:textId="77777777" w:rsidR="00816E55" w:rsidRPr="00C62D0D" w:rsidRDefault="00816E55" w:rsidP="00C62D0D">
            <w:pPr>
              <w:pStyle w:val="Tablewriting"/>
            </w:pPr>
            <w:r w:rsidRPr="00C62D0D">
              <w:t xml:space="preserve">Did the review authors provide a satisfactory explanation for, and discussion of, any heterogeneity observed in the results of the review? </w:t>
            </w:r>
          </w:p>
        </w:tc>
        <w:tc>
          <w:tcPr>
            <w:tcW w:w="382" w:type="pct"/>
            <w:vAlign w:val="center"/>
            <w:hideMark/>
          </w:tcPr>
          <w:p w14:paraId="71CC65D1" w14:textId="77777777" w:rsidR="00816E55" w:rsidRPr="00C62D0D" w:rsidRDefault="00816E55" w:rsidP="00C62D0D">
            <w:pPr>
              <w:pStyle w:val="Tablewriting"/>
            </w:pPr>
            <w:r w:rsidRPr="00C62D0D">
              <w:t>Yes</w:t>
            </w:r>
          </w:p>
        </w:tc>
        <w:tc>
          <w:tcPr>
            <w:tcW w:w="454" w:type="pct"/>
            <w:vAlign w:val="center"/>
            <w:hideMark/>
          </w:tcPr>
          <w:p w14:paraId="496AE442" w14:textId="77777777" w:rsidR="00816E55" w:rsidRPr="00C62D0D" w:rsidRDefault="00816E55" w:rsidP="00C62D0D">
            <w:pPr>
              <w:pStyle w:val="Tablewriting"/>
            </w:pPr>
            <w:r w:rsidRPr="00C62D0D">
              <w:t>Yes</w:t>
            </w:r>
          </w:p>
        </w:tc>
        <w:tc>
          <w:tcPr>
            <w:tcW w:w="350" w:type="pct"/>
            <w:vAlign w:val="center"/>
            <w:hideMark/>
          </w:tcPr>
          <w:p w14:paraId="24C39005" w14:textId="77777777" w:rsidR="00816E55" w:rsidRPr="00C62D0D" w:rsidRDefault="00816E55" w:rsidP="00C62D0D">
            <w:pPr>
              <w:pStyle w:val="Tablewriting"/>
            </w:pPr>
            <w:r w:rsidRPr="00C62D0D">
              <w:t>Yes</w:t>
            </w:r>
          </w:p>
        </w:tc>
        <w:tc>
          <w:tcPr>
            <w:tcW w:w="362" w:type="pct"/>
            <w:vAlign w:val="center"/>
            <w:hideMark/>
          </w:tcPr>
          <w:p w14:paraId="7D78D3B3" w14:textId="77777777" w:rsidR="00816E55" w:rsidRPr="00C62D0D" w:rsidRDefault="00816E55" w:rsidP="00C62D0D">
            <w:pPr>
              <w:pStyle w:val="Tablewriting"/>
            </w:pPr>
            <w:r w:rsidRPr="00C62D0D">
              <w:t>Yes</w:t>
            </w:r>
          </w:p>
        </w:tc>
        <w:tc>
          <w:tcPr>
            <w:tcW w:w="376" w:type="pct"/>
            <w:vAlign w:val="center"/>
            <w:hideMark/>
          </w:tcPr>
          <w:p w14:paraId="1F5E6999" w14:textId="77777777" w:rsidR="00816E55" w:rsidRPr="00C62D0D" w:rsidRDefault="00816E55" w:rsidP="00C62D0D">
            <w:pPr>
              <w:pStyle w:val="Tablewriting"/>
            </w:pPr>
            <w:r w:rsidRPr="00C62D0D">
              <w:t>Yes</w:t>
            </w:r>
          </w:p>
        </w:tc>
        <w:tc>
          <w:tcPr>
            <w:tcW w:w="289" w:type="pct"/>
            <w:vAlign w:val="center"/>
            <w:hideMark/>
          </w:tcPr>
          <w:p w14:paraId="0405D7E5" w14:textId="77777777" w:rsidR="00816E55" w:rsidRPr="00C62D0D" w:rsidRDefault="00816E55" w:rsidP="00C62D0D">
            <w:pPr>
              <w:pStyle w:val="Tablewriting"/>
            </w:pPr>
            <w:r w:rsidRPr="00C62D0D">
              <w:t>Yes</w:t>
            </w:r>
          </w:p>
        </w:tc>
        <w:tc>
          <w:tcPr>
            <w:tcW w:w="256" w:type="pct"/>
            <w:vAlign w:val="center"/>
            <w:hideMark/>
          </w:tcPr>
          <w:p w14:paraId="6F382057" w14:textId="77777777" w:rsidR="00816E55" w:rsidRPr="00C62D0D" w:rsidRDefault="00816E55" w:rsidP="00C62D0D">
            <w:pPr>
              <w:pStyle w:val="Tablewriting"/>
            </w:pPr>
            <w:r w:rsidRPr="00C62D0D">
              <w:t>Yes</w:t>
            </w:r>
          </w:p>
        </w:tc>
      </w:tr>
      <w:tr w:rsidR="00816E55" w:rsidRPr="00C62D0D" w14:paraId="5BA0F951" w14:textId="77777777" w:rsidTr="00D0517F">
        <w:trPr>
          <w:trHeight w:val="149"/>
        </w:trPr>
        <w:tc>
          <w:tcPr>
            <w:tcW w:w="150" w:type="pct"/>
            <w:vAlign w:val="center"/>
            <w:hideMark/>
          </w:tcPr>
          <w:p w14:paraId="70556239" w14:textId="77777777" w:rsidR="00816E55" w:rsidRPr="00C62D0D" w:rsidRDefault="00816E55" w:rsidP="00C62D0D">
            <w:pPr>
              <w:pStyle w:val="Tablewriting"/>
            </w:pPr>
            <w:r w:rsidRPr="00C62D0D">
              <w:t>15</w:t>
            </w:r>
          </w:p>
        </w:tc>
        <w:tc>
          <w:tcPr>
            <w:tcW w:w="2381" w:type="pct"/>
            <w:vAlign w:val="center"/>
            <w:hideMark/>
          </w:tcPr>
          <w:p w14:paraId="16A623A3" w14:textId="77777777" w:rsidR="00816E55" w:rsidRPr="00C62D0D" w:rsidRDefault="00816E55" w:rsidP="00C62D0D">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382" w:type="pct"/>
            <w:vAlign w:val="center"/>
            <w:hideMark/>
          </w:tcPr>
          <w:p w14:paraId="5182BA78" w14:textId="77777777" w:rsidR="00816E55" w:rsidRPr="00C62D0D" w:rsidRDefault="00816E55" w:rsidP="00C62D0D">
            <w:pPr>
              <w:pStyle w:val="Tablewriting"/>
            </w:pPr>
            <w:r w:rsidRPr="00C62D0D">
              <w:t>Yes</w:t>
            </w:r>
          </w:p>
        </w:tc>
        <w:tc>
          <w:tcPr>
            <w:tcW w:w="454" w:type="pct"/>
            <w:vAlign w:val="center"/>
            <w:hideMark/>
          </w:tcPr>
          <w:p w14:paraId="1F387A78" w14:textId="77777777" w:rsidR="00816E55" w:rsidRPr="00C62D0D" w:rsidRDefault="00816E55" w:rsidP="00C62D0D">
            <w:pPr>
              <w:pStyle w:val="Tablewriting"/>
            </w:pPr>
            <w:r w:rsidRPr="00C62D0D">
              <w:t>Yes</w:t>
            </w:r>
          </w:p>
        </w:tc>
        <w:tc>
          <w:tcPr>
            <w:tcW w:w="350" w:type="pct"/>
            <w:vAlign w:val="center"/>
            <w:hideMark/>
          </w:tcPr>
          <w:p w14:paraId="54BEFE25" w14:textId="77777777" w:rsidR="00816E55" w:rsidRPr="00C62D0D" w:rsidRDefault="00816E55" w:rsidP="00C62D0D">
            <w:pPr>
              <w:pStyle w:val="Tablewriting"/>
            </w:pPr>
            <w:r w:rsidRPr="00C62D0D">
              <w:t>Yes</w:t>
            </w:r>
          </w:p>
        </w:tc>
        <w:tc>
          <w:tcPr>
            <w:tcW w:w="362" w:type="pct"/>
            <w:vAlign w:val="center"/>
            <w:hideMark/>
          </w:tcPr>
          <w:p w14:paraId="3E28C641" w14:textId="77777777" w:rsidR="00816E55" w:rsidRPr="00C62D0D" w:rsidRDefault="00816E55" w:rsidP="00C62D0D">
            <w:pPr>
              <w:pStyle w:val="Tablewriting"/>
            </w:pPr>
            <w:r w:rsidRPr="00C62D0D">
              <w:t>Yes</w:t>
            </w:r>
          </w:p>
        </w:tc>
        <w:tc>
          <w:tcPr>
            <w:tcW w:w="376" w:type="pct"/>
            <w:vAlign w:val="center"/>
            <w:hideMark/>
          </w:tcPr>
          <w:p w14:paraId="3D4A8C45" w14:textId="77777777" w:rsidR="00816E55" w:rsidRPr="00C62D0D" w:rsidRDefault="00816E55" w:rsidP="00C62D0D">
            <w:pPr>
              <w:pStyle w:val="Tablewriting"/>
            </w:pPr>
            <w:r w:rsidRPr="00C62D0D">
              <w:t>Yes</w:t>
            </w:r>
          </w:p>
        </w:tc>
        <w:tc>
          <w:tcPr>
            <w:tcW w:w="289" w:type="pct"/>
            <w:vAlign w:val="center"/>
            <w:hideMark/>
          </w:tcPr>
          <w:p w14:paraId="6FF4190B" w14:textId="77777777" w:rsidR="00816E55" w:rsidRPr="00C62D0D" w:rsidRDefault="00816E55" w:rsidP="00C62D0D">
            <w:pPr>
              <w:pStyle w:val="Tablewriting"/>
            </w:pPr>
            <w:r w:rsidRPr="00C62D0D">
              <w:t>Yes</w:t>
            </w:r>
          </w:p>
        </w:tc>
        <w:tc>
          <w:tcPr>
            <w:tcW w:w="256" w:type="pct"/>
            <w:vAlign w:val="center"/>
            <w:hideMark/>
          </w:tcPr>
          <w:p w14:paraId="02719D02" w14:textId="77777777" w:rsidR="00816E55" w:rsidRPr="00C62D0D" w:rsidRDefault="00816E55" w:rsidP="00C62D0D">
            <w:pPr>
              <w:pStyle w:val="Tablewriting"/>
            </w:pPr>
            <w:r w:rsidRPr="00C62D0D">
              <w:t>Yes</w:t>
            </w:r>
          </w:p>
        </w:tc>
      </w:tr>
      <w:tr w:rsidR="00816E55" w:rsidRPr="00C62D0D" w14:paraId="18D988F4" w14:textId="77777777" w:rsidTr="00D0517F">
        <w:trPr>
          <w:trHeight w:val="750"/>
        </w:trPr>
        <w:tc>
          <w:tcPr>
            <w:tcW w:w="150" w:type="pct"/>
            <w:vAlign w:val="center"/>
            <w:hideMark/>
          </w:tcPr>
          <w:p w14:paraId="49897CFB" w14:textId="77777777" w:rsidR="00816E55" w:rsidRPr="00C62D0D" w:rsidRDefault="00816E55" w:rsidP="00C62D0D">
            <w:pPr>
              <w:pStyle w:val="Tablewriting"/>
            </w:pPr>
            <w:r w:rsidRPr="00C62D0D">
              <w:lastRenderedPageBreak/>
              <w:t>16</w:t>
            </w:r>
          </w:p>
        </w:tc>
        <w:tc>
          <w:tcPr>
            <w:tcW w:w="2381" w:type="pct"/>
            <w:vAlign w:val="center"/>
            <w:hideMark/>
          </w:tcPr>
          <w:p w14:paraId="3A8C90E3" w14:textId="77777777" w:rsidR="00816E55" w:rsidRPr="00C62D0D" w:rsidRDefault="00816E55" w:rsidP="00C62D0D">
            <w:pPr>
              <w:pStyle w:val="Tablewriting"/>
            </w:pPr>
            <w:r w:rsidRPr="00C62D0D">
              <w:t xml:space="preserve">Did the review authors report any potential sources of conflict of interest, including any funding they received for conducting the review? </w:t>
            </w:r>
          </w:p>
        </w:tc>
        <w:tc>
          <w:tcPr>
            <w:tcW w:w="382" w:type="pct"/>
            <w:vAlign w:val="center"/>
            <w:hideMark/>
          </w:tcPr>
          <w:p w14:paraId="581EA28E" w14:textId="77777777" w:rsidR="00816E55" w:rsidRPr="00C62D0D" w:rsidRDefault="00816E55" w:rsidP="00C62D0D">
            <w:pPr>
              <w:pStyle w:val="Tablewriting"/>
            </w:pPr>
            <w:r w:rsidRPr="00C62D0D">
              <w:t>Yes</w:t>
            </w:r>
          </w:p>
        </w:tc>
        <w:tc>
          <w:tcPr>
            <w:tcW w:w="454" w:type="pct"/>
            <w:vAlign w:val="center"/>
            <w:hideMark/>
          </w:tcPr>
          <w:p w14:paraId="2A4F0C6F" w14:textId="77777777" w:rsidR="00816E55" w:rsidRPr="00C62D0D" w:rsidRDefault="00816E55" w:rsidP="00C62D0D">
            <w:pPr>
              <w:pStyle w:val="Tablewriting"/>
            </w:pPr>
            <w:r w:rsidRPr="00C62D0D">
              <w:t>Yes</w:t>
            </w:r>
          </w:p>
        </w:tc>
        <w:tc>
          <w:tcPr>
            <w:tcW w:w="350" w:type="pct"/>
            <w:vAlign w:val="center"/>
            <w:hideMark/>
          </w:tcPr>
          <w:p w14:paraId="359CD8EA" w14:textId="77777777" w:rsidR="00816E55" w:rsidRPr="00C62D0D" w:rsidRDefault="00816E55" w:rsidP="00C62D0D">
            <w:pPr>
              <w:pStyle w:val="Tablewriting"/>
            </w:pPr>
            <w:r w:rsidRPr="00C62D0D">
              <w:t>Yes</w:t>
            </w:r>
          </w:p>
        </w:tc>
        <w:tc>
          <w:tcPr>
            <w:tcW w:w="362" w:type="pct"/>
            <w:vAlign w:val="center"/>
            <w:hideMark/>
          </w:tcPr>
          <w:p w14:paraId="5D3A53A3" w14:textId="77777777" w:rsidR="00816E55" w:rsidRPr="00C62D0D" w:rsidRDefault="00816E55" w:rsidP="00C62D0D">
            <w:pPr>
              <w:pStyle w:val="Tablewriting"/>
            </w:pPr>
            <w:r w:rsidRPr="00C62D0D">
              <w:t>Yes</w:t>
            </w:r>
          </w:p>
        </w:tc>
        <w:tc>
          <w:tcPr>
            <w:tcW w:w="376" w:type="pct"/>
            <w:vAlign w:val="center"/>
            <w:hideMark/>
          </w:tcPr>
          <w:p w14:paraId="21A76AC2" w14:textId="77777777" w:rsidR="00816E55" w:rsidRPr="00C62D0D" w:rsidRDefault="00816E55" w:rsidP="00C62D0D">
            <w:pPr>
              <w:pStyle w:val="Tablewriting"/>
            </w:pPr>
            <w:r w:rsidRPr="00C62D0D">
              <w:t>Yes</w:t>
            </w:r>
          </w:p>
        </w:tc>
        <w:tc>
          <w:tcPr>
            <w:tcW w:w="289" w:type="pct"/>
            <w:vAlign w:val="center"/>
            <w:hideMark/>
          </w:tcPr>
          <w:p w14:paraId="2EB76673" w14:textId="77777777" w:rsidR="00816E55" w:rsidRPr="00C62D0D" w:rsidRDefault="00816E55" w:rsidP="00C62D0D">
            <w:pPr>
              <w:pStyle w:val="Tablewriting"/>
            </w:pPr>
            <w:r w:rsidRPr="00C62D0D">
              <w:t>Yes</w:t>
            </w:r>
          </w:p>
        </w:tc>
        <w:tc>
          <w:tcPr>
            <w:tcW w:w="256" w:type="pct"/>
            <w:vAlign w:val="center"/>
            <w:hideMark/>
          </w:tcPr>
          <w:p w14:paraId="4CE218AD" w14:textId="77777777" w:rsidR="00816E55" w:rsidRPr="00C62D0D" w:rsidRDefault="00816E55" w:rsidP="00C62D0D">
            <w:pPr>
              <w:pStyle w:val="Tablewriting"/>
            </w:pPr>
            <w:r w:rsidRPr="00C62D0D">
              <w:t>Yes</w:t>
            </w:r>
          </w:p>
        </w:tc>
      </w:tr>
    </w:tbl>
    <w:p w14:paraId="7B415F4E" w14:textId="3C2DFAB1" w:rsidR="00404D7A" w:rsidRDefault="00C269D8" w:rsidP="00321710">
      <w:pPr>
        <w:pStyle w:val="TableFooter"/>
        <w:spacing w:after="120"/>
        <w:contextualSpacing w:val="0"/>
      </w:pPr>
      <w:r>
        <w:t xml:space="preserve">Abbreviations: AMSTAR = </w:t>
      </w:r>
      <w:r w:rsidRPr="00C269D8">
        <w:t>Assessing the Methodological Quality of Systematic Reviews</w:t>
      </w:r>
      <w:r>
        <w:t>;</w:t>
      </w:r>
      <w:r w:rsidRPr="00C269D8">
        <w:t xml:space="preserve"> </w:t>
      </w:r>
      <w:r>
        <w:t>RoB = risk of bias</w:t>
      </w:r>
    </w:p>
    <w:p w14:paraId="22D46BFA" w14:textId="77777777" w:rsidR="00321710" w:rsidRDefault="00321710">
      <w:pPr>
        <w:spacing w:line="276" w:lineRule="auto"/>
        <w:rPr>
          <w:rFonts w:eastAsiaTheme="majorEastAsia" w:cstheme="majorBidi"/>
          <w:b/>
          <w:bCs/>
          <w:i/>
          <w:sz w:val="28"/>
        </w:rPr>
      </w:pPr>
      <w:r>
        <w:br w:type="page"/>
      </w:r>
    </w:p>
    <w:p w14:paraId="63E7DD50" w14:textId="00C1B89F" w:rsidR="00294174" w:rsidRDefault="003B1140" w:rsidP="00321710">
      <w:pPr>
        <w:pStyle w:val="Heading3"/>
        <w:numPr>
          <w:ilvl w:val="0"/>
          <w:numId w:val="0"/>
        </w:numPr>
        <w:spacing w:before="0" w:after="120"/>
        <w:jc w:val="both"/>
      </w:pPr>
      <w:bookmarkStart w:id="314" w:name="_Toc115254524"/>
      <w:r>
        <w:lastRenderedPageBreak/>
        <w:t>A.</w:t>
      </w:r>
      <w:r w:rsidR="00120334">
        <w:t>6</w:t>
      </w:r>
      <w:r w:rsidR="00701DEA">
        <w:t xml:space="preserve"> </w:t>
      </w:r>
      <w:r w:rsidR="00FD59DC">
        <w:t>Characteristics</w:t>
      </w:r>
      <w:r w:rsidR="00AC6E8A">
        <w:t xml:space="preserve"> of non-Cochrane systematic reviews</w:t>
      </w:r>
      <w:bookmarkEnd w:id="314"/>
    </w:p>
    <w:p w14:paraId="2DA9DB40" w14:textId="1B1A0CF3" w:rsidR="006A4263" w:rsidRDefault="006A4263" w:rsidP="00321710">
      <w:pPr>
        <w:pStyle w:val="Caption"/>
        <w:keepNext/>
        <w:spacing w:before="120" w:after="120"/>
        <w:jc w:val="both"/>
      </w:pPr>
      <w:bookmarkStart w:id="315" w:name="_Ref61472324"/>
      <w:r>
        <w:t xml:space="preserve">Table </w:t>
      </w:r>
      <w:r w:rsidR="00BF3F75">
        <w:fldChar w:fldCharType="begin"/>
      </w:r>
      <w:r w:rsidR="00BF3F75">
        <w:instrText xml:space="preserve"> SEQ Table \* ARABIC </w:instrText>
      </w:r>
      <w:r w:rsidR="00BF3F75">
        <w:fldChar w:fldCharType="separate"/>
      </w:r>
      <w:r w:rsidR="00EC5CC7">
        <w:rPr>
          <w:noProof/>
        </w:rPr>
        <w:t>140</w:t>
      </w:r>
      <w:r w:rsidR="00BF3F75">
        <w:rPr>
          <w:noProof/>
        </w:rPr>
        <w:fldChar w:fldCharType="end"/>
      </w:r>
      <w:bookmarkEnd w:id="315"/>
      <w:r>
        <w:t xml:space="preserve">: </w:t>
      </w:r>
      <w:r w:rsidRPr="008F57B9">
        <w:t>Characteristics of non-Cochrane systematic reviews</w:t>
      </w:r>
      <w:r>
        <w:t xml:space="preserve"> included in qualitative synthesis </w:t>
      </w:r>
      <w:r w:rsidR="003B6885">
        <w:t>(n=3)</w:t>
      </w:r>
    </w:p>
    <w:tbl>
      <w:tblPr>
        <w:tblStyle w:val="TableGrid"/>
        <w:tblW w:w="0" w:type="auto"/>
        <w:tblLayout w:type="fixed"/>
        <w:tblLook w:val="04A0" w:firstRow="1" w:lastRow="0" w:firstColumn="1" w:lastColumn="0" w:noHBand="0" w:noVBand="1"/>
      </w:tblPr>
      <w:tblGrid>
        <w:gridCol w:w="421"/>
        <w:gridCol w:w="992"/>
        <w:gridCol w:w="1209"/>
        <w:gridCol w:w="1447"/>
        <w:gridCol w:w="1617"/>
        <w:gridCol w:w="1251"/>
        <w:gridCol w:w="1197"/>
        <w:gridCol w:w="1745"/>
        <w:gridCol w:w="880"/>
        <w:gridCol w:w="1143"/>
        <w:gridCol w:w="1418"/>
      </w:tblGrid>
      <w:tr w:rsidR="00536754" w:rsidRPr="00C202F1" w14:paraId="557297E1" w14:textId="77777777" w:rsidTr="00693DA2">
        <w:trPr>
          <w:tblHeader/>
        </w:trPr>
        <w:tc>
          <w:tcPr>
            <w:tcW w:w="421" w:type="dxa"/>
            <w:vMerge w:val="restart"/>
            <w:shd w:val="clear" w:color="auto" w:fill="BFBFBF" w:themeFill="background1" w:themeFillShade="BF"/>
            <w:noWrap/>
          </w:tcPr>
          <w:p w14:paraId="5641DF63" w14:textId="77777777" w:rsidR="00536754" w:rsidRPr="00C202F1" w:rsidRDefault="00536754" w:rsidP="00693DA2">
            <w:pPr>
              <w:rPr>
                <w:rFonts w:asciiTheme="minorHAnsi" w:hAnsiTheme="minorHAnsi" w:cstheme="minorHAnsi"/>
                <w:b/>
                <w:bCs/>
                <w:sz w:val="18"/>
                <w:szCs w:val="18"/>
              </w:rPr>
            </w:pPr>
            <w:r w:rsidRPr="00C202F1">
              <w:rPr>
                <w:rFonts w:asciiTheme="minorHAnsi" w:hAnsiTheme="minorHAnsi" w:cstheme="minorHAnsi"/>
                <w:b/>
                <w:bCs/>
                <w:sz w:val="18"/>
                <w:szCs w:val="18"/>
              </w:rPr>
              <w:t>No</w:t>
            </w:r>
          </w:p>
        </w:tc>
        <w:tc>
          <w:tcPr>
            <w:tcW w:w="992" w:type="dxa"/>
            <w:vMerge w:val="restart"/>
            <w:shd w:val="clear" w:color="auto" w:fill="BFBFBF" w:themeFill="background1" w:themeFillShade="BF"/>
            <w:noWrap/>
          </w:tcPr>
          <w:p w14:paraId="3823B654" w14:textId="77777777" w:rsidR="00536754" w:rsidRPr="00C202F1" w:rsidRDefault="00536754" w:rsidP="00693DA2">
            <w:pPr>
              <w:rPr>
                <w:rFonts w:asciiTheme="minorHAnsi" w:hAnsiTheme="minorHAnsi" w:cstheme="minorHAnsi"/>
                <w:b/>
                <w:bCs/>
                <w:sz w:val="18"/>
                <w:szCs w:val="18"/>
              </w:rPr>
            </w:pPr>
            <w:r w:rsidRPr="00C202F1">
              <w:rPr>
                <w:rFonts w:asciiTheme="minorHAnsi" w:hAnsiTheme="minorHAnsi" w:cstheme="minorHAnsi"/>
                <w:b/>
                <w:bCs/>
                <w:sz w:val="18"/>
                <w:szCs w:val="18"/>
              </w:rPr>
              <w:t>Author (year)</w:t>
            </w:r>
          </w:p>
        </w:tc>
        <w:tc>
          <w:tcPr>
            <w:tcW w:w="1209" w:type="dxa"/>
            <w:vMerge w:val="restart"/>
            <w:shd w:val="clear" w:color="auto" w:fill="BFBFBF" w:themeFill="background1" w:themeFillShade="BF"/>
            <w:noWrap/>
          </w:tcPr>
          <w:p w14:paraId="4D16746E" w14:textId="77777777" w:rsidR="00536754" w:rsidRPr="00C202F1" w:rsidRDefault="00536754" w:rsidP="00693DA2">
            <w:pPr>
              <w:ind w:left="360"/>
              <w:jc w:val="center"/>
              <w:rPr>
                <w:rFonts w:asciiTheme="minorHAnsi" w:hAnsiTheme="minorHAnsi" w:cstheme="minorHAnsi"/>
                <w:b/>
                <w:bCs/>
                <w:sz w:val="18"/>
                <w:szCs w:val="18"/>
              </w:rPr>
            </w:pPr>
            <w:r w:rsidRPr="00C202F1">
              <w:rPr>
                <w:rFonts w:asciiTheme="minorHAnsi" w:hAnsiTheme="minorHAnsi" w:cstheme="minorHAnsi"/>
                <w:b/>
                <w:bCs/>
                <w:sz w:val="18"/>
                <w:szCs w:val="18"/>
              </w:rPr>
              <w:t>Aim</w:t>
            </w:r>
          </w:p>
        </w:tc>
        <w:tc>
          <w:tcPr>
            <w:tcW w:w="1447" w:type="dxa"/>
            <w:vMerge w:val="restart"/>
            <w:shd w:val="clear" w:color="auto" w:fill="BFBFBF" w:themeFill="background1" w:themeFillShade="BF"/>
            <w:noWrap/>
          </w:tcPr>
          <w:p w14:paraId="717D7779"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Type of studies and participants</w:t>
            </w:r>
          </w:p>
        </w:tc>
        <w:tc>
          <w:tcPr>
            <w:tcW w:w="1617" w:type="dxa"/>
            <w:vMerge w:val="restart"/>
            <w:shd w:val="clear" w:color="auto" w:fill="BFBFBF" w:themeFill="background1" w:themeFillShade="BF"/>
            <w:noWrap/>
          </w:tcPr>
          <w:p w14:paraId="755D6327"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Interventions /</w:t>
            </w:r>
          </w:p>
          <w:p w14:paraId="1AB1B54C"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comparisons</w:t>
            </w:r>
          </w:p>
        </w:tc>
        <w:tc>
          <w:tcPr>
            <w:tcW w:w="4193" w:type="dxa"/>
            <w:gridSpan w:val="3"/>
            <w:shd w:val="clear" w:color="auto" w:fill="BFBFBF" w:themeFill="background1" w:themeFillShade="BF"/>
            <w:noWrap/>
          </w:tcPr>
          <w:p w14:paraId="2E84EE44"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Types of outcome measures</w:t>
            </w:r>
          </w:p>
        </w:tc>
        <w:tc>
          <w:tcPr>
            <w:tcW w:w="880" w:type="dxa"/>
            <w:vMerge w:val="restart"/>
            <w:shd w:val="clear" w:color="auto" w:fill="BFBFBF" w:themeFill="background1" w:themeFillShade="BF"/>
            <w:noWrap/>
          </w:tcPr>
          <w:p w14:paraId="3CB56F62"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Analysis</w:t>
            </w:r>
          </w:p>
        </w:tc>
        <w:tc>
          <w:tcPr>
            <w:tcW w:w="1143" w:type="dxa"/>
            <w:vMerge w:val="restart"/>
            <w:shd w:val="clear" w:color="auto" w:fill="BFBFBF" w:themeFill="background1" w:themeFillShade="BF"/>
            <w:noWrap/>
          </w:tcPr>
          <w:p w14:paraId="177EE3C9"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Number studies</w:t>
            </w:r>
          </w:p>
        </w:tc>
        <w:tc>
          <w:tcPr>
            <w:tcW w:w="1418" w:type="dxa"/>
            <w:vMerge w:val="restart"/>
            <w:shd w:val="clear" w:color="auto" w:fill="BFBFBF" w:themeFill="background1" w:themeFillShade="BF"/>
            <w:noWrap/>
          </w:tcPr>
          <w:p w14:paraId="79F5600C"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Total participants (n)</w:t>
            </w:r>
          </w:p>
        </w:tc>
      </w:tr>
      <w:tr w:rsidR="00536754" w:rsidRPr="00C202F1" w14:paraId="0658536F" w14:textId="77777777" w:rsidTr="00693DA2">
        <w:trPr>
          <w:tblHeader/>
        </w:trPr>
        <w:tc>
          <w:tcPr>
            <w:tcW w:w="421" w:type="dxa"/>
            <w:vMerge/>
            <w:shd w:val="clear" w:color="auto" w:fill="BFBFBF" w:themeFill="background1" w:themeFillShade="BF"/>
            <w:noWrap/>
          </w:tcPr>
          <w:p w14:paraId="283985C1" w14:textId="77777777" w:rsidR="00536754" w:rsidRPr="00C202F1" w:rsidRDefault="00536754" w:rsidP="00693DA2">
            <w:pPr>
              <w:rPr>
                <w:rFonts w:asciiTheme="minorHAnsi" w:hAnsiTheme="minorHAnsi" w:cstheme="minorHAnsi"/>
                <w:b/>
                <w:bCs/>
                <w:sz w:val="18"/>
                <w:szCs w:val="18"/>
              </w:rPr>
            </w:pPr>
          </w:p>
        </w:tc>
        <w:tc>
          <w:tcPr>
            <w:tcW w:w="992" w:type="dxa"/>
            <w:vMerge/>
            <w:shd w:val="clear" w:color="auto" w:fill="BFBFBF" w:themeFill="background1" w:themeFillShade="BF"/>
            <w:noWrap/>
          </w:tcPr>
          <w:p w14:paraId="41CD0FFC" w14:textId="77777777" w:rsidR="00536754" w:rsidRPr="00C202F1" w:rsidRDefault="00536754" w:rsidP="00693DA2">
            <w:pPr>
              <w:rPr>
                <w:rFonts w:asciiTheme="minorHAnsi" w:hAnsiTheme="minorHAnsi" w:cstheme="minorHAnsi"/>
                <w:b/>
                <w:bCs/>
                <w:sz w:val="18"/>
                <w:szCs w:val="18"/>
              </w:rPr>
            </w:pPr>
          </w:p>
        </w:tc>
        <w:tc>
          <w:tcPr>
            <w:tcW w:w="1209" w:type="dxa"/>
            <w:vMerge/>
            <w:shd w:val="clear" w:color="auto" w:fill="BFBFBF" w:themeFill="background1" w:themeFillShade="BF"/>
            <w:noWrap/>
          </w:tcPr>
          <w:p w14:paraId="72EB0C56" w14:textId="77777777" w:rsidR="00536754" w:rsidRPr="00C202F1" w:rsidRDefault="00536754" w:rsidP="00693DA2">
            <w:pPr>
              <w:ind w:left="360"/>
              <w:jc w:val="center"/>
              <w:rPr>
                <w:rFonts w:asciiTheme="minorHAnsi" w:hAnsiTheme="minorHAnsi" w:cstheme="minorHAnsi"/>
                <w:b/>
                <w:bCs/>
                <w:sz w:val="18"/>
                <w:szCs w:val="18"/>
              </w:rPr>
            </w:pPr>
          </w:p>
        </w:tc>
        <w:tc>
          <w:tcPr>
            <w:tcW w:w="1447" w:type="dxa"/>
            <w:vMerge/>
            <w:shd w:val="clear" w:color="auto" w:fill="BFBFBF" w:themeFill="background1" w:themeFillShade="BF"/>
            <w:noWrap/>
          </w:tcPr>
          <w:p w14:paraId="3E453E9F" w14:textId="77777777" w:rsidR="00536754" w:rsidRPr="00C202F1" w:rsidRDefault="00536754" w:rsidP="00693DA2">
            <w:pPr>
              <w:jc w:val="center"/>
              <w:rPr>
                <w:rFonts w:asciiTheme="minorHAnsi" w:hAnsiTheme="minorHAnsi" w:cstheme="minorHAnsi"/>
                <w:b/>
                <w:bCs/>
                <w:sz w:val="18"/>
                <w:szCs w:val="18"/>
              </w:rPr>
            </w:pPr>
          </w:p>
        </w:tc>
        <w:tc>
          <w:tcPr>
            <w:tcW w:w="1617" w:type="dxa"/>
            <w:vMerge/>
            <w:shd w:val="clear" w:color="auto" w:fill="BFBFBF" w:themeFill="background1" w:themeFillShade="BF"/>
            <w:noWrap/>
          </w:tcPr>
          <w:p w14:paraId="01802B83" w14:textId="77777777" w:rsidR="00536754" w:rsidRPr="00C202F1" w:rsidRDefault="00536754" w:rsidP="00693DA2">
            <w:pPr>
              <w:jc w:val="center"/>
              <w:rPr>
                <w:rFonts w:asciiTheme="minorHAnsi" w:hAnsiTheme="minorHAnsi" w:cstheme="minorHAnsi"/>
                <w:b/>
                <w:bCs/>
                <w:sz w:val="18"/>
                <w:szCs w:val="18"/>
              </w:rPr>
            </w:pPr>
          </w:p>
        </w:tc>
        <w:tc>
          <w:tcPr>
            <w:tcW w:w="1251" w:type="dxa"/>
            <w:shd w:val="clear" w:color="auto" w:fill="BFBFBF" w:themeFill="background1" w:themeFillShade="BF"/>
            <w:noWrap/>
          </w:tcPr>
          <w:p w14:paraId="2D11FA96"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Primary outcomes</w:t>
            </w:r>
          </w:p>
        </w:tc>
        <w:tc>
          <w:tcPr>
            <w:tcW w:w="1197" w:type="dxa"/>
            <w:shd w:val="clear" w:color="auto" w:fill="BFBFBF" w:themeFill="background1" w:themeFillShade="BF"/>
            <w:noWrap/>
          </w:tcPr>
          <w:p w14:paraId="25C71699"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Secondary outcomes</w:t>
            </w:r>
          </w:p>
        </w:tc>
        <w:tc>
          <w:tcPr>
            <w:tcW w:w="1745" w:type="dxa"/>
            <w:shd w:val="clear" w:color="auto" w:fill="BFBFBF" w:themeFill="background1" w:themeFillShade="BF"/>
            <w:noWrap/>
          </w:tcPr>
          <w:p w14:paraId="61BAC335" w14:textId="77777777" w:rsidR="00536754" w:rsidRPr="00C202F1" w:rsidRDefault="00536754" w:rsidP="00693DA2">
            <w:pPr>
              <w:jc w:val="center"/>
              <w:rPr>
                <w:rFonts w:asciiTheme="minorHAnsi" w:hAnsiTheme="minorHAnsi" w:cstheme="minorHAnsi"/>
                <w:b/>
                <w:bCs/>
                <w:sz w:val="18"/>
                <w:szCs w:val="18"/>
              </w:rPr>
            </w:pPr>
            <w:r w:rsidRPr="00C202F1">
              <w:rPr>
                <w:rFonts w:asciiTheme="minorHAnsi" w:hAnsiTheme="minorHAnsi" w:cstheme="minorHAnsi"/>
                <w:b/>
                <w:bCs/>
                <w:sz w:val="18"/>
                <w:szCs w:val="18"/>
              </w:rPr>
              <w:t>Harmful outcomes</w:t>
            </w:r>
          </w:p>
        </w:tc>
        <w:tc>
          <w:tcPr>
            <w:tcW w:w="880" w:type="dxa"/>
            <w:vMerge/>
            <w:shd w:val="clear" w:color="auto" w:fill="BFBFBF" w:themeFill="background1" w:themeFillShade="BF"/>
            <w:noWrap/>
          </w:tcPr>
          <w:p w14:paraId="54DFC5B8" w14:textId="77777777" w:rsidR="00536754" w:rsidRPr="00C202F1" w:rsidRDefault="00536754" w:rsidP="00693DA2">
            <w:pPr>
              <w:jc w:val="center"/>
              <w:rPr>
                <w:rFonts w:asciiTheme="minorHAnsi" w:hAnsiTheme="minorHAnsi" w:cstheme="minorHAnsi"/>
                <w:b/>
                <w:bCs/>
                <w:sz w:val="18"/>
                <w:szCs w:val="18"/>
              </w:rPr>
            </w:pPr>
          </w:p>
        </w:tc>
        <w:tc>
          <w:tcPr>
            <w:tcW w:w="1143" w:type="dxa"/>
            <w:vMerge/>
            <w:shd w:val="clear" w:color="auto" w:fill="BFBFBF" w:themeFill="background1" w:themeFillShade="BF"/>
            <w:noWrap/>
          </w:tcPr>
          <w:p w14:paraId="27B116EF" w14:textId="77777777" w:rsidR="00536754" w:rsidRPr="00C202F1" w:rsidRDefault="00536754" w:rsidP="00693DA2">
            <w:pPr>
              <w:jc w:val="center"/>
              <w:rPr>
                <w:rFonts w:asciiTheme="minorHAnsi" w:hAnsiTheme="minorHAnsi" w:cstheme="minorHAnsi"/>
                <w:b/>
                <w:bCs/>
                <w:sz w:val="18"/>
                <w:szCs w:val="18"/>
              </w:rPr>
            </w:pPr>
          </w:p>
        </w:tc>
        <w:tc>
          <w:tcPr>
            <w:tcW w:w="1418" w:type="dxa"/>
            <w:vMerge/>
            <w:shd w:val="clear" w:color="auto" w:fill="BFBFBF" w:themeFill="background1" w:themeFillShade="BF"/>
            <w:noWrap/>
          </w:tcPr>
          <w:p w14:paraId="4FC9A8AA" w14:textId="77777777" w:rsidR="00536754" w:rsidRPr="00C202F1" w:rsidRDefault="00536754" w:rsidP="00693DA2">
            <w:pPr>
              <w:jc w:val="center"/>
              <w:rPr>
                <w:rFonts w:asciiTheme="minorHAnsi" w:hAnsiTheme="minorHAnsi" w:cstheme="minorHAnsi"/>
                <w:b/>
                <w:bCs/>
                <w:sz w:val="18"/>
                <w:szCs w:val="18"/>
              </w:rPr>
            </w:pPr>
          </w:p>
        </w:tc>
      </w:tr>
      <w:tr w:rsidR="00536754" w:rsidRPr="00C202F1" w14:paraId="7F241883" w14:textId="77777777" w:rsidTr="00693DA2">
        <w:tc>
          <w:tcPr>
            <w:tcW w:w="421" w:type="dxa"/>
            <w:noWrap/>
          </w:tcPr>
          <w:p w14:paraId="05857C5B" w14:textId="56E2AA96" w:rsidR="00536754" w:rsidRPr="00C202F1" w:rsidRDefault="00536754" w:rsidP="00FF725F">
            <w:pPr>
              <w:rPr>
                <w:rFonts w:asciiTheme="minorHAnsi" w:hAnsiTheme="minorHAnsi" w:cstheme="minorHAnsi"/>
                <w:sz w:val="18"/>
                <w:szCs w:val="18"/>
              </w:rPr>
            </w:pPr>
            <w:r w:rsidRPr="00C202F1">
              <w:rPr>
                <w:rFonts w:asciiTheme="minorHAnsi" w:hAnsiTheme="minorHAnsi" w:cstheme="minorHAnsi"/>
                <w:sz w:val="18"/>
                <w:szCs w:val="18"/>
              </w:rPr>
              <w:t>1</w:t>
            </w:r>
          </w:p>
        </w:tc>
        <w:tc>
          <w:tcPr>
            <w:tcW w:w="992" w:type="dxa"/>
            <w:noWrap/>
          </w:tcPr>
          <w:p w14:paraId="6D0056EB" w14:textId="17931B84" w:rsidR="00536754" w:rsidRPr="00C202F1" w:rsidRDefault="0007640C" w:rsidP="00693DA2">
            <w:pPr>
              <w:rPr>
                <w:rFonts w:asciiTheme="minorHAnsi" w:hAnsiTheme="minorHAnsi" w:cstheme="minorHAnsi"/>
                <w:sz w:val="18"/>
                <w:szCs w:val="18"/>
              </w:rPr>
            </w:pPr>
            <w:r w:rsidRPr="00C202F1">
              <w:rPr>
                <w:rFonts w:asciiTheme="minorHAnsi" w:hAnsiTheme="minorHAnsi" w:cstheme="minorHAnsi"/>
                <w:sz w:val="18"/>
                <w:szCs w:val="18"/>
              </w:rPr>
              <w:t>Selph 2020</w:t>
            </w:r>
          </w:p>
        </w:tc>
        <w:tc>
          <w:tcPr>
            <w:tcW w:w="1209" w:type="dxa"/>
            <w:noWrap/>
          </w:tcPr>
          <w:p w14:paraId="4113677D" w14:textId="4036A161" w:rsidR="00536754" w:rsidRPr="00C202F1" w:rsidRDefault="0077650C" w:rsidP="00693DA2">
            <w:pPr>
              <w:rPr>
                <w:rFonts w:asciiTheme="minorHAnsi" w:hAnsiTheme="minorHAnsi" w:cstheme="minorHAnsi"/>
                <w:sz w:val="18"/>
                <w:szCs w:val="18"/>
              </w:rPr>
            </w:pPr>
            <w:r w:rsidRPr="00C202F1">
              <w:rPr>
                <w:rFonts w:asciiTheme="minorHAnsi" w:hAnsiTheme="minorHAnsi" w:cstheme="minorHAnsi"/>
                <w:sz w:val="18"/>
                <w:szCs w:val="18"/>
              </w:rPr>
              <w:t>To update the 2013 review on primary care–relevant interventions for tobacco use prevention and cessation in children and adolescents to inform the US Preventive Services Task Force</w:t>
            </w:r>
          </w:p>
        </w:tc>
        <w:tc>
          <w:tcPr>
            <w:tcW w:w="1447" w:type="dxa"/>
            <w:noWrap/>
          </w:tcPr>
          <w:p w14:paraId="0947DC71" w14:textId="49CE0E0D" w:rsidR="00536754" w:rsidRPr="00C202F1" w:rsidRDefault="00616AD7" w:rsidP="00693DA2">
            <w:pPr>
              <w:rPr>
                <w:rFonts w:asciiTheme="minorHAnsi" w:hAnsiTheme="minorHAnsi" w:cstheme="minorHAnsi"/>
                <w:sz w:val="18"/>
                <w:szCs w:val="18"/>
              </w:rPr>
            </w:pPr>
            <w:r w:rsidRPr="00C202F1">
              <w:rPr>
                <w:rFonts w:asciiTheme="minorHAnsi" w:hAnsiTheme="minorHAnsi" w:cstheme="minorHAnsi"/>
                <w:sz w:val="18"/>
                <w:szCs w:val="18"/>
              </w:rPr>
              <w:t>RCTs, non-RCTs</w:t>
            </w:r>
            <w:r w:rsidR="009B6B44" w:rsidRPr="00C202F1">
              <w:rPr>
                <w:rFonts w:asciiTheme="minorHAnsi" w:hAnsiTheme="minorHAnsi" w:cstheme="minorHAnsi"/>
                <w:sz w:val="18"/>
                <w:szCs w:val="18"/>
              </w:rPr>
              <w:t>, cohorts (harms only)</w:t>
            </w:r>
          </w:p>
          <w:p w14:paraId="67E380B7" w14:textId="27885EA7" w:rsidR="00616AD7" w:rsidRPr="00C202F1" w:rsidRDefault="00616AD7" w:rsidP="00693DA2">
            <w:pPr>
              <w:rPr>
                <w:rFonts w:asciiTheme="minorHAnsi" w:hAnsiTheme="minorHAnsi" w:cstheme="minorHAnsi"/>
                <w:sz w:val="18"/>
                <w:szCs w:val="18"/>
              </w:rPr>
            </w:pPr>
            <w:r w:rsidRPr="00C202F1">
              <w:rPr>
                <w:rFonts w:asciiTheme="minorHAnsi" w:hAnsiTheme="minorHAnsi" w:cstheme="minorHAnsi"/>
                <w:sz w:val="18"/>
                <w:szCs w:val="18"/>
              </w:rPr>
              <w:t>Children and adolescents</w:t>
            </w:r>
            <w:r w:rsidR="00284EA0" w:rsidRPr="00C202F1">
              <w:rPr>
                <w:rFonts w:asciiTheme="minorHAnsi" w:hAnsiTheme="minorHAnsi" w:cstheme="minorHAnsi"/>
                <w:sz w:val="18"/>
                <w:szCs w:val="18"/>
              </w:rPr>
              <w:t>, parents/</w:t>
            </w:r>
            <w:r w:rsidR="004664D2" w:rsidRPr="00C202F1">
              <w:rPr>
                <w:rFonts w:asciiTheme="minorHAnsi" w:hAnsiTheme="minorHAnsi" w:cstheme="minorHAnsi"/>
                <w:sz w:val="18"/>
                <w:szCs w:val="18"/>
              </w:rPr>
              <w:t>caregivers,</w:t>
            </w:r>
            <w:r w:rsidR="00284EA0" w:rsidRPr="00C202F1">
              <w:rPr>
                <w:rFonts w:asciiTheme="minorHAnsi" w:hAnsiTheme="minorHAnsi" w:cstheme="minorHAnsi"/>
                <w:sz w:val="18"/>
                <w:szCs w:val="18"/>
              </w:rPr>
              <w:t xml:space="preserve"> o</w:t>
            </w:r>
            <w:r w:rsidR="009B6B44" w:rsidRPr="00C202F1">
              <w:rPr>
                <w:rFonts w:asciiTheme="minorHAnsi" w:hAnsiTheme="minorHAnsi" w:cstheme="minorHAnsi"/>
                <w:sz w:val="18"/>
                <w:szCs w:val="18"/>
              </w:rPr>
              <w:t>r both</w:t>
            </w:r>
          </w:p>
        </w:tc>
        <w:tc>
          <w:tcPr>
            <w:tcW w:w="1617" w:type="dxa"/>
            <w:noWrap/>
          </w:tcPr>
          <w:p w14:paraId="7FDB432A" w14:textId="0F624CFA" w:rsidR="00536754" w:rsidRPr="00C202F1" w:rsidRDefault="00E476B5" w:rsidP="00693DA2">
            <w:pPr>
              <w:rPr>
                <w:rFonts w:asciiTheme="minorHAnsi" w:hAnsiTheme="minorHAnsi" w:cstheme="minorHAnsi"/>
                <w:sz w:val="18"/>
                <w:szCs w:val="18"/>
              </w:rPr>
            </w:pPr>
            <w:r w:rsidRPr="00C202F1">
              <w:rPr>
                <w:rFonts w:asciiTheme="minorHAnsi" w:hAnsiTheme="minorHAnsi" w:cstheme="minorHAnsi"/>
                <w:sz w:val="18"/>
                <w:szCs w:val="18"/>
              </w:rPr>
              <w:t>Primary-care relevant pharmacotherapy</w:t>
            </w:r>
            <w:r w:rsidR="00207036" w:rsidRPr="00C202F1">
              <w:rPr>
                <w:rFonts w:asciiTheme="minorHAnsi" w:hAnsiTheme="minorHAnsi" w:cstheme="minorHAnsi"/>
                <w:sz w:val="18"/>
                <w:szCs w:val="18"/>
              </w:rPr>
              <w:t xml:space="preserve">, behavioural </w:t>
            </w:r>
            <w:r w:rsidR="009E7142" w:rsidRPr="00C202F1">
              <w:rPr>
                <w:rFonts w:asciiTheme="minorHAnsi" w:hAnsiTheme="minorHAnsi" w:cstheme="minorHAnsi"/>
                <w:sz w:val="18"/>
                <w:szCs w:val="18"/>
              </w:rPr>
              <w:t>counselling</w:t>
            </w:r>
            <w:r w:rsidR="00207036" w:rsidRPr="00C202F1">
              <w:rPr>
                <w:rFonts w:asciiTheme="minorHAnsi" w:hAnsiTheme="minorHAnsi" w:cstheme="minorHAnsi"/>
                <w:sz w:val="18"/>
                <w:szCs w:val="18"/>
              </w:rPr>
              <w:t xml:space="preserve"> </w:t>
            </w:r>
            <w:r w:rsidR="009E7142" w:rsidRPr="00C202F1">
              <w:rPr>
                <w:rFonts w:asciiTheme="minorHAnsi" w:hAnsiTheme="minorHAnsi" w:cstheme="minorHAnsi"/>
                <w:sz w:val="18"/>
                <w:szCs w:val="18"/>
              </w:rPr>
              <w:t>interventions</w:t>
            </w:r>
            <w:r w:rsidR="00207036" w:rsidRPr="00C202F1">
              <w:rPr>
                <w:rFonts w:asciiTheme="minorHAnsi" w:hAnsiTheme="minorHAnsi" w:cstheme="minorHAnsi"/>
                <w:sz w:val="18"/>
                <w:szCs w:val="18"/>
              </w:rPr>
              <w:t>, and complementary and alternative medicine treatments</w:t>
            </w:r>
          </w:p>
          <w:p w14:paraId="105709CE" w14:textId="77777777" w:rsidR="00207036" w:rsidRPr="00C202F1" w:rsidRDefault="00207036" w:rsidP="00693DA2">
            <w:pPr>
              <w:rPr>
                <w:rFonts w:asciiTheme="minorHAnsi" w:hAnsiTheme="minorHAnsi" w:cstheme="minorHAnsi"/>
                <w:sz w:val="18"/>
                <w:szCs w:val="18"/>
              </w:rPr>
            </w:pPr>
          </w:p>
          <w:p w14:paraId="7F29770D" w14:textId="1670C7B4" w:rsidR="00207036" w:rsidRPr="00C202F1" w:rsidRDefault="00207036" w:rsidP="009E7142">
            <w:pPr>
              <w:rPr>
                <w:rFonts w:asciiTheme="minorHAnsi" w:hAnsiTheme="minorHAnsi" w:cstheme="minorHAnsi"/>
                <w:sz w:val="18"/>
                <w:szCs w:val="18"/>
              </w:rPr>
            </w:pPr>
            <w:r w:rsidRPr="00C202F1">
              <w:rPr>
                <w:rFonts w:asciiTheme="minorHAnsi" w:hAnsiTheme="minorHAnsi" w:cstheme="minorHAnsi"/>
                <w:sz w:val="18"/>
                <w:szCs w:val="18"/>
              </w:rPr>
              <w:t>Usual care</w:t>
            </w:r>
            <w:r w:rsidR="00C42C28" w:rsidRPr="00C202F1">
              <w:rPr>
                <w:rFonts w:asciiTheme="minorHAnsi" w:hAnsiTheme="minorHAnsi" w:cstheme="minorHAnsi"/>
                <w:sz w:val="18"/>
                <w:szCs w:val="18"/>
              </w:rPr>
              <w:t xml:space="preserve">, </w:t>
            </w:r>
            <w:r w:rsidR="009E7142" w:rsidRPr="00C202F1">
              <w:rPr>
                <w:rFonts w:asciiTheme="minorHAnsi" w:hAnsiTheme="minorHAnsi" w:cstheme="minorHAnsi"/>
                <w:sz w:val="18"/>
                <w:szCs w:val="18"/>
              </w:rPr>
              <w:t>attention</w:t>
            </w:r>
            <w:r w:rsidR="009E7142">
              <w:rPr>
                <w:rFonts w:asciiTheme="minorHAnsi" w:hAnsiTheme="minorHAnsi" w:cstheme="minorHAnsi"/>
                <w:sz w:val="18"/>
                <w:szCs w:val="18"/>
              </w:rPr>
              <w:t xml:space="preserve"> control, wait-list control, o</w:t>
            </w:r>
            <w:r w:rsidR="00C42C28" w:rsidRPr="00C202F1">
              <w:rPr>
                <w:rFonts w:asciiTheme="minorHAnsi" w:hAnsiTheme="minorHAnsi" w:cstheme="minorHAnsi"/>
                <w:sz w:val="18"/>
                <w:szCs w:val="18"/>
              </w:rPr>
              <w:t>r other non</w:t>
            </w:r>
            <w:r w:rsidR="009E7142">
              <w:rPr>
                <w:rFonts w:asciiTheme="minorHAnsi" w:hAnsiTheme="minorHAnsi" w:cstheme="minorHAnsi"/>
                <w:sz w:val="18"/>
                <w:szCs w:val="18"/>
              </w:rPr>
              <w:t>-</w:t>
            </w:r>
            <w:r w:rsidR="00C42C28" w:rsidRPr="00C202F1">
              <w:rPr>
                <w:rFonts w:asciiTheme="minorHAnsi" w:hAnsiTheme="minorHAnsi" w:cstheme="minorHAnsi"/>
                <w:sz w:val="18"/>
                <w:szCs w:val="18"/>
              </w:rPr>
              <w:t xml:space="preserve">smoking or minimal </w:t>
            </w:r>
            <w:r w:rsidR="009E7142" w:rsidRPr="00C202F1">
              <w:rPr>
                <w:rFonts w:asciiTheme="minorHAnsi" w:hAnsiTheme="minorHAnsi" w:cstheme="minorHAnsi"/>
                <w:sz w:val="18"/>
                <w:szCs w:val="18"/>
              </w:rPr>
              <w:t>smoking</w:t>
            </w:r>
            <w:r w:rsidR="00C42C28" w:rsidRPr="00C202F1">
              <w:rPr>
                <w:rFonts w:asciiTheme="minorHAnsi" w:hAnsiTheme="minorHAnsi" w:cstheme="minorHAnsi"/>
                <w:sz w:val="18"/>
                <w:szCs w:val="18"/>
              </w:rPr>
              <w:t xml:space="preserve"> intervention</w:t>
            </w:r>
          </w:p>
        </w:tc>
        <w:tc>
          <w:tcPr>
            <w:tcW w:w="1251" w:type="dxa"/>
            <w:noWrap/>
          </w:tcPr>
          <w:p w14:paraId="17CC8632" w14:textId="77777777" w:rsidR="00536754" w:rsidRPr="00C202F1" w:rsidRDefault="00AA22DC" w:rsidP="00693DA2">
            <w:pPr>
              <w:rPr>
                <w:rFonts w:asciiTheme="minorHAnsi" w:hAnsiTheme="minorHAnsi" w:cstheme="minorHAnsi"/>
                <w:sz w:val="18"/>
                <w:szCs w:val="18"/>
              </w:rPr>
            </w:pPr>
            <w:r w:rsidRPr="00C202F1">
              <w:rPr>
                <w:rFonts w:asciiTheme="minorHAnsi" w:hAnsiTheme="minorHAnsi" w:cstheme="minorHAnsi"/>
                <w:sz w:val="18"/>
                <w:szCs w:val="18"/>
              </w:rPr>
              <w:t>Preve</w:t>
            </w:r>
            <w:r w:rsidR="00417E20" w:rsidRPr="00C202F1">
              <w:rPr>
                <w:rFonts w:asciiTheme="minorHAnsi" w:hAnsiTheme="minorHAnsi" w:cstheme="minorHAnsi"/>
                <w:sz w:val="18"/>
                <w:szCs w:val="18"/>
              </w:rPr>
              <w:t>ntion of tobacco initiation</w:t>
            </w:r>
          </w:p>
          <w:p w14:paraId="1A5B3BB5" w14:textId="77777777" w:rsidR="00417E20" w:rsidRPr="00C202F1" w:rsidRDefault="00417E20" w:rsidP="00693DA2">
            <w:pPr>
              <w:rPr>
                <w:rFonts w:asciiTheme="minorHAnsi" w:hAnsiTheme="minorHAnsi" w:cstheme="minorHAnsi"/>
                <w:sz w:val="18"/>
                <w:szCs w:val="18"/>
              </w:rPr>
            </w:pPr>
          </w:p>
          <w:p w14:paraId="74C9198B" w14:textId="668367B6" w:rsidR="00417E20" w:rsidRPr="00C202F1" w:rsidRDefault="00417E20" w:rsidP="00693DA2">
            <w:pPr>
              <w:rPr>
                <w:rFonts w:asciiTheme="minorHAnsi" w:hAnsiTheme="minorHAnsi" w:cstheme="minorHAnsi"/>
                <w:sz w:val="18"/>
                <w:szCs w:val="18"/>
              </w:rPr>
            </w:pPr>
            <w:r w:rsidRPr="00C202F1">
              <w:rPr>
                <w:rFonts w:asciiTheme="minorHAnsi" w:hAnsiTheme="minorHAnsi" w:cstheme="minorHAnsi"/>
                <w:sz w:val="18"/>
                <w:szCs w:val="18"/>
              </w:rPr>
              <w:t>Cessation of current tobacco use</w:t>
            </w:r>
          </w:p>
        </w:tc>
        <w:tc>
          <w:tcPr>
            <w:tcW w:w="1197" w:type="dxa"/>
            <w:noWrap/>
          </w:tcPr>
          <w:p w14:paraId="61E5D205" w14:textId="523A494D" w:rsidR="00536754" w:rsidRPr="00C202F1" w:rsidRDefault="009B17BA"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14:paraId="0AACBCAD" w14:textId="77777777" w:rsidR="00536754" w:rsidRPr="00C202F1" w:rsidRDefault="000C1A0C" w:rsidP="00693DA2">
            <w:pPr>
              <w:rPr>
                <w:rFonts w:asciiTheme="minorHAnsi" w:hAnsiTheme="minorHAnsi" w:cstheme="minorHAnsi"/>
                <w:sz w:val="18"/>
                <w:szCs w:val="18"/>
              </w:rPr>
            </w:pPr>
            <w:r w:rsidRPr="00C202F1">
              <w:rPr>
                <w:rFonts w:asciiTheme="minorHAnsi" w:hAnsiTheme="minorHAnsi" w:cstheme="minorHAnsi"/>
                <w:sz w:val="18"/>
                <w:szCs w:val="18"/>
              </w:rPr>
              <w:t>SAE</w:t>
            </w:r>
          </w:p>
          <w:p w14:paraId="2EE580AE" w14:textId="77777777" w:rsidR="00A36D21" w:rsidRPr="00C202F1" w:rsidRDefault="00A36D21" w:rsidP="00693DA2">
            <w:pPr>
              <w:rPr>
                <w:rFonts w:asciiTheme="minorHAnsi" w:hAnsiTheme="minorHAnsi" w:cstheme="minorHAnsi"/>
                <w:sz w:val="18"/>
                <w:szCs w:val="18"/>
              </w:rPr>
            </w:pPr>
            <w:r w:rsidRPr="00C202F1">
              <w:rPr>
                <w:rFonts w:asciiTheme="minorHAnsi" w:hAnsiTheme="minorHAnsi" w:cstheme="minorHAnsi"/>
                <w:sz w:val="18"/>
                <w:szCs w:val="18"/>
              </w:rPr>
              <w:t>Withdrawals due to AE</w:t>
            </w:r>
          </w:p>
          <w:p w14:paraId="3CDB0DEA" w14:textId="3A9BC641" w:rsidR="00A36D21" w:rsidRPr="00C202F1" w:rsidRDefault="00A36D21" w:rsidP="00693DA2">
            <w:pPr>
              <w:rPr>
                <w:rFonts w:asciiTheme="minorHAnsi" w:hAnsiTheme="minorHAnsi" w:cstheme="minorHAnsi"/>
                <w:sz w:val="18"/>
                <w:szCs w:val="18"/>
              </w:rPr>
            </w:pPr>
            <w:r w:rsidRPr="00C202F1">
              <w:rPr>
                <w:rFonts w:asciiTheme="minorHAnsi" w:hAnsiTheme="minorHAnsi" w:cstheme="minorHAnsi"/>
                <w:sz w:val="18"/>
                <w:szCs w:val="18"/>
              </w:rPr>
              <w:t>AEs</w:t>
            </w:r>
          </w:p>
        </w:tc>
        <w:tc>
          <w:tcPr>
            <w:tcW w:w="880" w:type="dxa"/>
            <w:noWrap/>
          </w:tcPr>
          <w:p w14:paraId="3AB1966F" w14:textId="74DC83DF" w:rsidR="00536754" w:rsidRPr="00C202F1" w:rsidRDefault="009E7142" w:rsidP="00693DA2">
            <w:pPr>
              <w:jc w:val="center"/>
              <w:rPr>
                <w:rFonts w:asciiTheme="minorHAnsi" w:hAnsiTheme="minorHAnsi" w:cstheme="minorHAnsi"/>
                <w:sz w:val="18"/>
                <w:szCs w:val="18"/>
              </w:rPr>
            </w:pPr>
            <w:r w:rsidRPr="00C202F1">
              <w:rPr>
                <w:rFonts w:asciiTheme="minorHAnsi" w:hAnsiTheme="minorHAnsi" w:cstheme="minorHAnsi"/>
                <w:sz w:val="18"/>
                <w:szCs w:val="18"/>
              </w:rPr>
              <w:t>Qualitative</w:t>
            </w:r>
          </w:p>
        </w:tc>
        <w:tc>
          <w:tcPr>
            <w:tcW w:w="1143" w:type="dxa"/>
            <w:noWrap/>
          </w:tcPr>
          <w:p w14:paraId="49E504A7" w14:textId="462A8440" w:rsidR="00536754" w:rsidRPr="00C202F1" w:rsidRDefault="008F71B4" w:rsidP="00693DA2">
            <w:pPr>
              <w:jc w:val="center"/>
              <w:rPr>
                <w:rFonts w:asciiTheme="minorHAnsi" w:hAnsiTheme="minorHAnsi" w:cstheme="minorHAnsi"/>
                <w:sz w:val="18"/>
                <w:szCs w:val="18"/>
              </w:rPr>
            </w:pPr>
            <w:r w:rsidRPr="00C202F1">
              <w:rPr>
                <w:rFonts w:asciiTheme="minorHAnsi" w:hAnsiTheme="minorHAnsi" w:cstheme="minorHAnsi"/>
                <w:sz w:val="18"/>
                <w:szCs w:val="18"/>
              </w:rPr>
              <w:t>3</w:t>
            </w:r>
          </w:p>
        </w:tc>
        <w:tc>
          <w:tcPr>
            <w:tcW w:w="1418" w:type="dxa"/>
            <w:noWrap/>
          </w:tcPr>
          <w:p w14:paraId="2170CAE3" w14:textId="477DE76F" w:rsidR="00536754" w:rsidRPr="00C202F1" w:rsidRDefault="008F71B4" w:rsidP="00693DA2">
            <w:pPr>
              <w:rPr>
                <w:rFonts w:asciiTheme="minorHAnsi" w:hAnsiTheme="minorHAnsi" w:cstheme="minorHAnsi"/>
                <w:sz w:val="18"/>
                <w:szCs w:val="18"/>
              </w:rPr>
            </w:pPr>
            <w:r w:rsidRPr="00C202F1">
              <w:rPr>
                <w:rFonts w:asciiTheme="minorHAnsi" w:hAnsiTheme="minorHAnsi" w:cstheme="minorHAnsi"/>
                <w:sz w:val="18"/>
                <w:szCs w:val="18"/>
              </w:rPr>
              <w:t>780</w:t>
            </w:r>
          </w:p>
        </w:tc>
      </w:tr>
      <w:tr w:rsidR="00536754" w:rsidRPr="00C202F1" w14:paraId="058A53CE" w14:textId="77777777" w:rsidTr="00693DA2">
        <w:tc>
          <w:tcPr>
            <w:tcW w:w="421" w:type="dxa"/>
            <w:noWrap/>
          </w:tcPr>
          <w:p w14:paraId="26CD66AF" w14:textId="50B7307B" w:rsidR="00536754" w:rsidRPr="00C202F1" w:rsidRDefault="00536754" w:rsidP="00FF725F">
            <w:pPr>
              <w:rPr>
                <w:rFonts w:asciiTheme="minorHAnsi" w:hAnsiTheme="minorHAnsi" w:cstheme="minorHAnsi"/>
                <w:sz w:val="18"/>
                <w:szCs w:val="18"/>
              </w:rPr>
            </w:pPr>
            <w:r w:rsidRPr="00C202F1">
              <w:rPr>
                <w:rFonts w:asciiTheme="minorHAnsi" w:hAnsiTheme="minorHAnsi" w:cstheme="minorHAnsi"/>
                <w:sz w:val="18"/>
                <w:szCs w:val="18"/>
              </w:rPr>
              <w:t>2</w:t>
            </w:r>
          </w:p>
        </w:tc>
        <w:tc>
          <w:tcPr>
            <w:tcW w:w="992" w:type="dxa"/>
            <w:noWrap/>
          </w:tcPr>
          <w:p w14:paraId="30E8FC40" w14:textId="6F0ED3A3" w:rsidR="00536754" w:rsidRPr="00C202F1" w:rsidRDefault="007E494E" w:rsidP="00693DA2">
            <w:pPr>
              <w:rPr>
                <w:rFonts w:asciiTheme="minorHAnsi" w:hAnsiTheme="minorHAnsi" w:cstheme="minorHAnsi"/>
                <w:sz w:val="18"/>
                <w:szCs w:val="18"/>
              </w:rPr>
            </w:pPr>
            <w:r w:rsidRPr="00C202F1">
              <w:rPr>
                <w:rFonts w:asciiTheme="minorHAnsi" w:hAnsiTheme="minorHAnsi" w:cstheme="minorHAnsi"/>
                <w:sz w:val="18"/>
                <w:szCs w:val="18"/>
              </w:rPr>
              <w:t>Myung 2019</w:t>
            </w:r>
          </w:p>
        </w:tc>
        <w:tc>
          <w:tcPr>
            <w:tcW w:w="1209" w:type="dxa"/>
            <w:noWrap/>
          </w:tcPr>
          <w:p w14:paraId="7521F153" w14:textId="14E0B88F" w:rsidR="00536754" w:rsidRPr="00C202F1" w:rsidRDefault="007828E5" w:rsidP="00693DA2">
            <w:pPr>
              <w:rPr>
                <w:rFonts w:asciiTheme="minorHAnsi" w:hAnsiTheme="minorHAnsi" w:cstheme="minorHAnsi"/>
                <w:sz w:val="18"/>
                <w:szCs w:val="18"/>
              </w:rPr>
            </w:pPr>
            <w:r w:rsidRPr="00C202F1">
              <w:rPr>
                <w:rFonts w:asciiTheme="minorHAnsi" w:hAnsiTheme="minorHAnsi" w:cstheme="minorHAnsi"/>
                <w:sz w:val="18"/>
                <w:szCs w:val="18"/>
              </w:rPr>
              <w:t xml:space="preserve">To evaluate the efficacy of pharmacotherapy for smoking cessation among adolescent smokers by using a meta-analysis of randomized </w:t>
            </w:r>
            <w:r w:rsidRPr="00C202F1">
              <w:rPr>
                <w:rFonts w:asciiTheme="minorHAnsi" w:hAnsiTheme="minorHAnsi" w:cstheme="minorHAnsi"/>
                <w:sz w:val="18"/>
                <w:szCs w:val="18"/>
              </w:rPr>
              <w:lastRenderedPageBreak/>
              <w:t>controlled trials (RCTs).</w:t>
            </w:r>
          </w:p>
        </w:tc>
        <w:tc>
          <w:tcPr>
            <w:tcW w:w="1447" w:type="dxa"/>
            <w:noWrap/>
          </w:tcPr>
          <w:p w14:paraId="0B584E2D" w14:textId="46D16A6D" w:rsidR="00536754" w:rsidRPr="00C202F1" w:rsidRDefault="007828E5" w:rsidP="00693DA2">
            <w:pPr>
              <w:rPr>
                <w:rFonts w:asciiTheme="minorHAnsi" w:hAnsiTheme="minorHAnsi" w:cstheme="minorHAnsi"/>
                <w:sz w:val="18"/>
                <w:szCs w:val="18"/>
              </w:rPr>
            </w:pPr>
            <w:r w:rsidRPr="00C202F1">
              <w:rPr>
                <w:rFonts w:asciiTheme="minorHAnsi" w:hAnsiTheme="minorHAnsi" w:cstheme="minorHAnsi"/>
                <w:sz w:val="18"/>
                <w:szCs w:val="18"/>
              </w:rPr>
              <w:lastRenderedPageBreak/>
              <w:t>RCT</w:t>
            </w:r>
          </w:p>
        </w:tc>
        <w:tc>
          <w:tcPr>
            <w:tcW w:w="1617" w:type="dxa"/>
            <w:noWrap/>
          </w:tcPr>
          <w:p w14:paraId="0C3B0CB6" w14:textId="77777777" w:rsidR="00536754"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Pharmacotherapy for smoking cessation</w:t>
            </w:r>
          </w:p>
          <w:p w14:paraId="3CE76F31" w14:textId="36C8C518" w:rsidR="00C36DC8"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Control/placebo</w:t>
            </w:r>
          </w:p>
        </w:tc>
        <w:tc>
          <w:tcPr>
            <w:tcW w:w="1251" w:type="dxa"/>
            <w:noWrap/>
          </w:tcPr>
          <w:p w14:paraId="15A16E9D" w14:textId="75901C52" w:rsidR="00536754" w:rsidRPr="00C202F1" w:rsidRDefault="00C36DC8" w:rsidP="00693DA2">
            <w:pPr>
              <w:rPr>
                <w:rFonts w:asciiTheme="minorHAnsi" w:hAnsiTheme="minorHAnsi" w:cstheme="minorHAnsi"/>
                <w:sz w:val="18"/>
                <w:szCs w:val="18"/>
              </w:rPr>
            </w:pPr>
            <w:r w:rsidRPr="00C202F1">
              <w:rPr>
                <w:rFonts w:asciiTheme="minorHAnsi" w:hAnsiTheme="minorHAnsi" w:cstheme="minorHAnsi"/>
                <w:sz w:val="18"/>
                <w:szCs w:val="18"/>
              </w:rPr>
              <w:t xml:space="preserve">Smoking abstinence </w:t>
            </w:r>
            <w:r w:rsidR="00633241" w:rsidRPr="00C202F1">
              <w:rPr>
                <w:rFonts w:asciiTheme="minorHAnsi" w:hAnsiTheme="minorHAnsi" w:cstheme="minorHAnsi"/>
                <w:sz w:val="18"/>
                <w:szCs w:val="18"/>
              </w:rPr>
              <w:t xml:space="preserve">(validated) </w:t>
            </w:r>
            <w:r w:rsidRPr="00C202F1">
              <w:rPr>
                <w:rFonts w:asciiTheme="minorHAnsi" w:hAnsiTheme="minorHAnsi" w:cstheme="minorHAnsi"/>
                <w:sz w:val="18"/>
                <w:szCs w:val="18"/>
              </w:rPr>
              <w:t>rates</w:t>
            </w:r>
            <w:r w:rsidR="00633241" w:rsidRPr="00C202F1">
              <w:rPr>
                <w:rFonts w:asciiTheme="minorHAnsi" w:hAnsiTheme="minorHAnsi" w:cstheme="minorHAnsi"/>
                <w:sz w:val="18"/>
                <w:szCs w:val="18"/>
              </w:rPr>
              <w:t xml:space="preserve"> at longest follow-up</w:t>
            </w:r>
          </w:p>
        </w:tc>
        <w:tc>
          <w:tcPr>
            <w:tcW w:w="1197" w:type="dxa"/>
            <w:noWrap/>
          </w:tcPr>
          <w:p w14:paraId="6D1D3F45" w14:textId="6FA7397C" w:rsidR="00536754" w:rsidRPr="00C202F1" w:rsidRDefault="00633241"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14:paraId="6F5B1DF9" w14:textId="76CEBC79" w:rsidR="00536754" w:rsidRPr="00C202F1" w:rsidRDefault="00633241"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880" w:type="dxa"/>
            <w:noWrap/>
          </w:tcPr>
          <w:p w14:paraId="1599C43C" w14:textId="6B73E4F7" w:rsidR="00536754" w:rsidRPr="00C202F1" w:rsidRDefault="00633241" w:rsidP="00693DA2">
            <w:pPr>
              <w:jc w:val="center"/>
              <w:rPr>
                <w:rFonts w:asciiTheme="minorHAnsi" w:hAnsiTheme="minorHAnsi" w:cstheme="minorHAnsi"/>
                <w:sz w:val="18"/>
                <w:szCs w:val="18"/>
              </w:rPr>
            </w:pPr>
            <w:r w:rsidRPr="00C202F1">
              <w:rPr>
                <w:rFonts w:asciiTheme="minorHAnsi" w:hAnsiTheme="minorHAnsi" w:cstheme="minorHAnsi"/>
                <w:sz w:val="18"/>
                <w:szCs w:val="18"/>
              </w:rPr>
              <w:t>Meta-analysis</w:t>
            </w:r>
          </w:p>
        </w:tc>
        <w:tc>
          <w:tcPr>
            <w:tcW w:w="1143" w:type="dxa"/>
            <w:noWrap/>
          </w:tcPr>
          <w:p w14:paraId="4709DF21" w14:textId="1B54BB59" w:rsidR="00536754" w:rsidRPr="00C202F1" w:rsidRDefault="001B0352" w:rsidP="00693DA2">
            <w:pPr>
              <w:jc w:val="center"/>
              <w:rPr>
                <w:rFonts w:asciiTheme="minorHAnsi" w:hAnsiTheme="minorHAnsi" w:cstheme="minorHAnsi"/>
                <w:sz w:val="18"/>
                <w:szCs w:val="18"/>
              </w:rPr>
            </w:pPr>
            <w:r w:rsidRPr="00C202F1">
              <w:rPr>
                <w:rFonts w:asciiTheme="minorHAnsi" w:hAnsiTheme="minorHAnsi" w:cstheme="minorHAnsi"/>
                <w:sz w:val="18"/>
                <w:szCs w:val="18"/>
              </w:rPr>
              <w:t>9</w:t>
            </w:r>
          </w:p>
        </w:tc>
        <w:tc>
          <w:tcPr>
            <w:tcW w:w="1418" w:type="dxa"/>
            <w:noWrap/>
          </w:tcPr>
          <w:p w14:paraId="60C1CAB4" w14:textId="3995CF52" w:rsidR="00536754" w:rsidRPr="00C202F1" w:rsidRDefault="001B0352" w:rsidP="00693DA2">
            <w:pPr>
              <w:rPr>
                <w:rFonts w:asciiTheme="minorHAnsi" w:hAnsiTheme="minorHAnsi" w:cstheme="minorHAnsi"/>
                <w:sz w:val="18"/>
                <w:szCs w:val="18"/>
              </w:rPr>
            </w:pPr>
            <w:r w:rsidRPr="00C202F1">
              <w:rPr>
                <w:rFonts w:asciiTheme="minorHAnsi" w:hAnsiTheme="minorHAnsi" w:cstheme="minorHAnsi"/>
                <w:sz w:val="18"/>
                <w:szCs w:val="18"/>
              </w:rPr>
              <w:t>1188</w:t>
            </w:r>
          </w:p>
        </w:tc>
      </w:tr>
      <w:tr w:rsidR="000E096D" w:rsidRPr="00C202F1" w14:paraId="0F737F00" w14:textId="77777777" w:rsidTr="00693DA2">
        <w:tc>
          <w:tcPr>
            <w:tcW w:w="421" w:type="dxa"/>
            <w:noWrap/>
          </w:tcPr>
          <w:p w14:paraId="53CC182D" w14:textId="46F5F219" w:rsidR="000E096D" w:rsidRPr="00C202F1" w:rsidRDefault="00810A5C" w:rsidP="00536754">
            <w:pPr>
              <w:rPr>
                <w:rFonts w:asciiTheme="minorHAnsi" w:hAnsiTheme="minorHAnsi" w:cstheme="minorHAnsi"/>
                <w:sz w:val="18"/>
                <w:szCs w:val="18"/>
              </w:rPr>
            </w:pPr>
            <w:r w:rsidRPr="00C202F1">
              <w:rPr>
                <w:rFonts w:asciiTheme="minorHAnsi" w:hAnsiTheme="minorHAnsi" w:cstheme="minorHAnsi"/>
                <w:sz w:val="18"/>
                <w:szCs w:val="18"/>
              </w:rPr>
              <w:t>3</w:t>
            </w:r>
          </w:p>
        </w:tc>
        <w:tc>
          <w:tcPr>
            <w:tcW w:w="992" w:type="dxa"/>
            <w:noWrap/>
          </w:tcPr>
          <w:p w14:paraId="57C85176" w14:textId="6BD82686" w:rsidR="000E096D" w:rsidRPr="00C202F1" w:rsidRDefault="001B0352" w:rsidP="00693DA2">
            <w:pPr>
              <w:rPr>
                <w:rFonts w:asciiTheme="minorHAnsi" w:hAnsiTheme="minorHAnsi" w:cstheme="minorHAnsi"/>
                <w:sz w:val="18"/>
                <w:szCs w:val="18"/>
              </w:rPr>
            </w:pPr>
            <w:r w:rsidRPr="00C202F1">
              <w:rPr>
                <w:rFonts w:asciiTheme="minorHAnsi" w:hAnsiTheme="minorHAnsi" w:cstheme="minorHAnsi"/>
                <w:sz w:val="18"/>
                <w:szCs w:val="18"/>
              </w:rPr>
              <w:t>Chang</w:t>
            </w:r>
            <w:r w:rsidR="00D44C8A" w:rsidRPr="00C202F1">
              <w:rPr>
                <w:rFonts w:asciiTheme="minorHAnsi" w:hAnsiTheme="minorHAnsi" w:cstheme="minorHAnsi"/>
                <w:sz w:val="18"/>
                <w:szCs w:val="18"/>
              </w:rPr>
              <w:t xml:space="preserve"> </w:t>
            </w:r>
            <w:r w:rsidRPr="00C202F1">
              <w:rPr>
                <w:rFonts w:asciiTheme="minorHAnsi" w:hAnsiTheme="minorHAnsi" w:cstheme="minorHAnsi"/>
                <w:sz w:val="18"/>
                <w:szCs w:val="18"/>
              </w:rPr>
              <w:t>2015</w:t>
            </w:r>
          </w:p>
        </w:tc>
        <w:tc>
          <w:tcPr>
            <w:tcW w:w="1209" w:type="dxa"/>
            <w:noWrap/>
          </w:tcPr>
          <w:p w14:paraId="3AE9F0E9" w14:textId="234FFB1E" w:rsidR="000E096D" w:rsidRPr="00C202F1" w:rsidRDefault="00E0743A" w:rsidP="00693DA2">
            <w:pPr>
              <w:rPr>
                <w:rFonts w:asciiTheme="minorHAnsi" w:hAnsiTheme="minorHAnsi" w:cstheme="minorHAnsi"/>
                <w:sz w:val="18"/>
                <w:szCs w:val="18"/>
              </w:rPr>
            </w:pPr>
            <w:r w:rsidRPr="00C202F1">
              <w:rPr>
                <w:rFonts w:asciiTheme="minorHAnsi" w:hAnsiTheme="minorHAnsi" w:cstheme="minorHAnsi"/>
                <w:sz w:val="18"/>
                <w:szCs w:val="18"/>
              </w:rPr>
              <w:t>To investigate the efficacy and safety of varenicline combined with NRT.</w:t>
            </w:r>
          </w:p>
        </w:tc>
        <w:tc>
          <w:tcPr>
            <w:tcW w:w="1447" w:type="dxa"/>
            <w:noWrap/>
          </w:tcPr>
          <w:p w14:paraId="08ABC7FC" w14:textId="77777777" w:rsidR="000E096D" w:rsidRPr="00C202F1" w:rsidRDefault="000D017F" w:rsidP="00693DA2">
            <w:pPr>
              <w:rPr>
                <w:rFonts w:asciiTheme="minorHAnsi" w:hAnsiTheme="minorHAnsi" w:cstheme="minorHAnsi"/>
                <w:sz w:val="18"/>
                <w:szCs w:val="18"/>
              </w:rPr>
            </w:pPr>
            <w:r w:rsidRPr="00C202F1">
              <w:rPr>
                <w:rFonts w:asciiTheme="minorHAnsi" w:hAnsiTheme="minorHAnsi" w:cstheme="minorHAnsi"/>
                <w:sz w:val="18"/>
                <w:szCs w:val="18"/>
              </w:rPr>
              <w:t>RCT</w:t>
            </w:r>
          </w:p>
          <w:p w14:paraId="3BCBFAB4" w14:textId="7733AA0B" w:rsidR="00812EAD" w:rsidRPr="00C202F1" w:rsidRDefault="00812EAD" w:rsidP="00693DA2">
            <w:pPr>
              <w:rPr>
                <w:rFonts w:asciiTheme="minorHAnsi" w:hAnsiTheme="minorHAnsi" w:cstheme="minorHAnsi"/>
                <w:sz w:val="18"/>
                <w:szCs w:val="18"/>
              </w:rPr>
            </w:pPr>
            <w:r w:rsidRPr="00C202F1">
              <w:rPr>
                <w:rFonts w:asciiTheme="minorHAnsi" w:hAnsiTheme="minorHAnsi" w:cstheme="minorHAnsi"/>
                <w:sz w:val="18"/>
                <w:szCs w:val="18"/>
              </w:rPr>
              <w:t>Adults</w:t>
            </w:r>
          </w:p>
        </w:tc>
        <w:tc>
          <w:tcPr>
            <w:tcW w:w="1617" w:type="dxa"/>
            <w:noWrap/>
          </w:tcPr>
          <w:p w14:paraId="791A0654" w14:textId="77777777" w:rsidR="000E096D" w:rsidRPr="00C202F1" w:rsidRDefault="0080798D" w:rsidP="00693DA2">
            <w:pPr>
              <w:rPr>
                <w:rFonts w:asciiTheme="minorHAnsi" w:hAnsiTheme="minorHAnsi" w:cstheme="minorHAnsi"/>
                <w:sz w:val="18"/>
                <w:szCs w:val="18"/>
              </w:rPr>
            </w:pPr>
            <w:r w:rsidRPr="00C202F1">
              <w:rPr>
                <w:rFonts w:asciiTheme="minorHAnsi" w:hAnsiTheme="minorHAnsi" w:cstheme="minorHAnsi"/>
                <w:sz w:val="18"/>
                <w:szCs w:val="18"/>
              </w:rPr>
              <w:t>Varenicline and nicotine replacement therapy</w:t>
            </w:r>
          </w:p>
          <w:p w14:paraId="1B5D9FFD" w14:textId="6A7CF159" w:rsidR="0080798D" w:rsidRPr="00C202F1" w:rsidRDefault="0080798D" w:rsidP="00693DA2">
            <w:pPr>
              <w:rPr>
                <w:rFonts w:asciiTheme="minorHAnsi" w:hAnsiTheme="minorHAnsi" w:cstheme="minorHAnsi"/>
                <w:sz w:val="18"/>
                <w:szCs w:val="18"/>
              </w:rPr>
            </w:pPr>
            <w:r w:rsidRPr="00C202F1">
              <w:rPr>
                <w:rFonts w:asciiTheme="minorHAnsi" w:hAnsiTheme="minorHAnsi" w:cstheme="minorHAnsi"/>
                <w:sz w:val="18"/>
                <w:szCs w:val="18"/>
              </w:rPr>
              <w:t>Varenicline</w:t>
            </w:r>
          </w:p>
        </w:tc>
        <w:tc>
          <w:tcPr>
            <w:tcW w:w="1251" w:type="dxa"/>
            <w:noWrap/>
          </w:tcPr>
          <w:p w14:paraId="71CF6328" w14:textId="12497D36" w:rsidR="000E096D" w:rsidRPr="00C202F1" w:rsidRDefault="00936BA6" w:rsidP="00693DA2">
            <w:pPr>
              <w:rPr>
                <w:rFonts w:asciiTheme="minorHAnsi" w:hAnsiTheme="minorHAnsi" w:cstheme="minorHAnsi"/>
                <w:sz w:val="18"/>
                <w:szCs w:val="18"/>
              </w:rPr>
            </w:pPr>
            <w:r w:rsidRPr="00C202F1">
              <w:rPr>
                <w:rFonts w:asciiTheme="minorHAnsi" w:hAnsiTheme="minorHAnsi" w:cstheme="minorHAnsi"/>
                <w:sz w:val="18"/>
                <w:szCs w:val="18"/>
              </w:rPr>
              <w:t>Abstinence rates with biochemical verification</w:t>
            </w:r>
          </w:p>
        </w:tc>
        <w:tc>
          <w:tcPr>
            <w:tcW w:w="1197" w:type="dxa"/>
            <w:noWrap/>
          </w:tcPr>
          <w:p w14:paraId="3C1BE2DA" w14:textId="74130317" w:rsidR="000E096D" w:rsidRPr="00C202F1" w:rsidRDefault="00EA77E3" w:rsidP="00693DA2">
            <w:pPr>
              <w:rPr>
                <w:rFonts w:asciiTheme="minorHAnsi" w:hAnsiTheme="minorHAnsi" w:cstheme="minorHAnsi"/>
                <w:sz w:val="18"/>
                <w:szCs w:val="18"/>
              </w:rPr>
            </w:pPr>
            <w:r w:rsidRPr="00C202F1">
              <w:rPr>
                <w:rFonts w:asciiTheme="minorHAnsi" w:hAnsiTheme="minorHAnsi" w:cstheme="minorHAnsi"/>
                <w:sz w:val="18"/>
                <w:szCs w:val="18"/>
              </w:rPr>
              <w:t>N/A</w:t>
            </w:r>
          </w:p>
        </w:tc>
        <w:tc>
          <w:tcPr>
            <w:tcW w:w="1745" w:type="dxa"/>
            <w:noWrap/>
          </w:tcPr>
          <w:p w14:paraId="14DA9FA3" w14:textId="403D49FF" w:rsidR="000E096D" w:rsidRPr="00C202F1" w:rsidRDefault="00EA77E3" w:rsidP="00693DA2">
            <w:pPr>
              <w:rPr>
                <w:rFonts w:asciiTheme="minorHAnsi" w:hAnsiTheme="minorHAnsi" w:cstheme="minorHAnsi"/>
                <w:sz w:val="18"/>
                <w:szCs w:val="18"/>
              </w:rPr>
            </w:pPr>
            <w:r w:rsidRPr="00C202F1">
              <w:rPr>
                <w:rFonts w:asciiTheme="minorHAnsi" w:hAnsiTheme="minorHAnsi" w:cstheme="minorHAnsi"/>
                <w:sz w:val="18"/>
                <w:szCs w:val="18"/>
              </w:rPr>
              <w:t>Safety profile, or tolerability of the therapy.</w:t>
            </w:r>
          </w:p>
        </w:tc>
        <w:tc>
          <w:tcPr>
            <w:tcW w:w="880" w:type="dxa"/>
            <w:noWrap/>
          </w:tcPr>
          <w:p w14:paraId="222AECE9" w14:textId="0704AAAF" w:rsidR="000E096D" w:rsidRPr="00C202F1" w:rsidRDefault="00EA77E3" w:rsidP="00693DA2">
            <w:pPr>
              <w:jc w:val="center"/>
              <w:rPr>
                <w:rFonts w:asciiTheme="minorHAnsi" w:hAnsiTheme="minorHAnsi" w:cstheme="minorHAnsi"/>
                <w:sz w:val="18"/>
                <w:szCs w:val="18"/>
              </w:rPr>
            </w:pPr>
            <w:r w:rsidRPr="00C202F1">
              <w:rPr>
                <w:rFonts w:asciiTheme="minorHAnsi" w:hAnsiTheme="minorHAnsi" w:cstheme="minorHAnsi"/>
                <w:sz w:val="18"/>
                <w:szCs w:val="18"/>
              </w:rPr>
              <w:t>Meta-analysis</w:t>
            </w:r>
          </w:p>
        </w:tc>
        <w:tc>
          <w:tcPr>
            <w:tcW w:w="1143" w:type="dxa"/>
            <w:noWrap/>
          </w:tcPr>
          <w:p w14:paraId="63CF5F10" w14:textId="5914A2FC" w:rsidR="000E096D" w:rsidRPr="00C202F1" w:rsidRDefault="00EA77E3" w:rsidP="00693DA2">
            <w:pPr>
              <w:jc w:val="center"/>
              <w:rPr>
                <w:rFonts w:asciiTheme="minorHAnsi" w:hAnsiTheme="minorHAnsi" w:cstheme="minorHAnsi"/>
                <w:sz w:val="18"/>
                <w:szCs w:val="18"/>
              </w:rPr>
            </w:pPr>
            <w:r w:rsidRPr="00C202F1">
              <w:rPr>
                <w:rFonts w:asciiTheme="minorHAnsi" w:hAnsiTheme="minorHAnsi" w:cstheme="minorHAnsi"/>
                <w:sz w:val="18"/>
                <w:szCs w:val="18"/>
              </w:rPr>
              <w:t>3</w:t>
            </w:r>
          </w:p>
        </w:tc>
        <w:tc>
          <w:tcPr>
            <w:tcW w:w="1418" w:type="dxa"/>
            <w:noWrap/>
          </w:tcPr>
          <w:p w14:paraId="257EE066" w14:textId="370A4E18" w:rsidR="000E096D" w:rsidRPr="00C202F1" w:rsidRDefault="00EC53D0" w:rsidP="00693DA2">
            <w:pPr>
              <w:rPr>
                <w:rFonts w:asciiTheme="minorHAnsi" w:hAnsiTheme="minorHAnsi" w:cstheme="minorHAnsi"/>
                <w:sz w:val="18"/>
                <w:szCs w:val="18"/>
              </w:rPr>
            </w:pPr>
            <w:r w:rsidRPr="00C202F1">
              <w:rPr>
                <w:rFonts w:asciiTheme="minorHAnsi" w:hAnsiTheme="minorHAnsi" w:cstheme="minorHAnsi"/>
                <w:sz w:val="18"/>
                <w:szCs w:val="18"/>
              </w:rPr>
              <w:t>893</w:t>
            </w:r>
          </w:p>
        </w:tc>
      </w:tr>
    </w:tbl>
    <w:p w14:paraId="021A7D8C" w14:textId="3CFA0AE4" w:rsidR="00FC008C" w:rsidRPr="003A2E44" w:rsidRDefault="009E7142" w:rsidP="00485ECA">
      <w:pPr>
        <w:pStyle w:val="TableFooter"/>
      </w:pPr>
      <w:bookmarkStart w:id="316" w:name="_Toc61966624"/>
      <w:bookmarkEnd w:id="316"/>
      <w:r>
        <w:t>Abbreviations</w:t>
      </w:r>
      <w:r w:rsidR="003A2E44">
        <w:t xml:space="preserve">: </w:t>
      </w:r>
      <w:r w:rsidR="007528B6">
        <w:t xml:space="preserve">AE = adverse event; </w:t>
      </w:r>
      <w:r w:rsidR="001802D6">
        <w:t xml:space="preserve">RCT = randomised controlled trial; </w:t>
      </w:r>
      <w:r w:rsidR="007528B6">
        <w:t>N/A = not applicable; SAE = serious adverse event</w:t>
      </w:r>
      <w:r w:rsidR="00485ECA">
        <w:t>.</w:t>
      </w:r>
      <w:r w:rsidR="00FC008C">
        <w:br w:type="page"/>
      </w:r>
    </w:p>
    <w:p w14:paraId="4F28E96E" w14:textId="28A52A2D" w:rsidR="00701DEA" w:rsidRDefault="00FD59DC" w:rsidP="00321710">
      <w:pPr>
        <w:pStyle w:val="Heading3"/>
        <w:numPr>
          <w:ilvl w:val="0"/>
          <w:numId w:val="0"/>
        </w:numPr>
        <w:spacing w:before="0" w:after="120"/>
        <w:jc w:val="both"/>
      </w:pPr>
      <w:bookmarkStart w:id="317" w:name="_Toc115254525"/>
      <w:r w:rsidRPr="00E85569">
        <w:lastRenderedPageBreak/>
        <w:t>A.</w:t>
      </w:r>
      <w:r w:rsidR="00120334">
        <w:t>7</w:t>
      </w:r>
      <w:r w:rsidR="00404D7A">
        <w:t xml:space="preserve"> Risk of bias assessment for non-Cochrane evidence</w:t>
      </w:r>
      <w:bookmarkEnd w:id="317"/>
    </w:p>
    <w:p w14:paraId="783C2EEA" w14:textId="5DE2DC26" w:rsidR="00BB2493" w:rsidRDefault="00BB2493" w:rsidP="00321710">
      <w:pPr>
        <w:pStyle w:val="Caption"/>
        <w:keepNext/>
        <w:spacing w:before="0" w:after="120"/>
        <w:jc w:val="both"/>
      </w:pPr>
      <w:bookmarkStart w:id="318" w:name="_Ref62720989"/>
      <w:r>
        <w:t xml:space="preserve">Table </w:t>
      </w:r>
      <w:r w:rsidR="00BF3F75">
        <w:fldChar w:fldCharType="begin"/>
      </w:r>
      <w:r w:rsidR="00BF3F75">
        <w:instrText xml:space="preserve"> SEQ Table \* ARABIC </w:instrText>
      </w:r>
      <w:r w:rsidR="00BF3F75">
        <w:fldChar w:fldCharType="separate"/>
      </w:r>
      <w:r w:rsidR="00EC5CC7">
        <w:rPr>
          <w:noProof/>
        </w:rPr>
        <w:t>141</w:t>
      </w:r>
      <w:r w:rsidR="00BF3F75">
        <w:rPr>
          <w:noProof/>
        </w:rPr>
        <w:fldChar w:fldCharType="end"/>
      </w:r>
      <w:bookmarkEnd w:id="318"/>
      <w:r>
        <w:t xml:space="preserve">: </w:t>
      </w:r>
      <w:r w:rsidRPr="004F6F7E">
        <w:t>Quality assessment for non-Cochrane reviews using AMSTAR 2</w:t>
      </w:r>
    </w:p>
    <w:tbl>
      <w:tblPr>
        <w:tblStyle w:val="TableGrid"/>
        <w:tblW w:w="5000" w:type="pct"/>
        <w:tblLook w:val="04A0" w:firstRow="1" w:lastRow="0" w:firstColumn="1" w:lastColumn="0" w:noHBand="0" w:noVBand="1"/>
      </w:tblPr>
      <w:tblGrid>
        <w:gridCol w:w="446"/>
        <w:gridCol w:w="9490"/>
        <w:gridCol w:w="1225"/>
        <w:gridCol w:w="1428"/>
        <w:gridCol w:w="1359"/>
      </w:tblGrid>
      <w:tr w:rsidR="00BB2493" w:rsidRPr="00C62D0D" w14:paraId="238A8F1A" w14:textId="0555DFA8" w:rsidTr="00D0517F">
        <w:trPr>
          <w:trHeight w:val="552"/>
        </w:trPr>
        <w:tc>
          <w:tcPr>
            <w:tcW w:w="160" w:type="pct"/>
            <w:shd w:val="clear" w:color="auto" w:fill="BFBFBF" w:themeFill="background1" w:themeFillShade="BF"/>
            <w:noWrap/>
            <w:vAlign w:val="center"/>
            <w:hideMark/>
          </w:tcPr>
          <w:p w14:paraId="1A4BE239" w14:textId="77777777" w:rsidR="00BB2493" w:rsidRPr="00832D16" w:rsidRDefault="00BB2493" w:rsidP="00FB500F">
            <w:pPr>
              <w:pStyle w:val="Tablewriting"/>
              <w:rPr>
                <w:b/>
              </w:rPr>
            </w:pPr>
            <w:r w:rsidRPr="00832D16">
              <w:rPr>
                <w:b/>
              </w:rPr>
              <w:t> </w:t>
            </w:r>
          </w:p>
        </w:tc>
        <w:tc>
          <w:tcPr>
            <w:tcW w:w="3402" w:type="pct"/>
            <w:shd w:val="clear" w:color="auto" w:fill="BFBFBF" w:themeFill="background1" w:themeFillShade="BF"/>
            <w:vAlign w:val="center"/>
            <w:hideMark/>
          </w:tcPr>
          <w:p w14:paraId="6C32733B" w14:textId="77777777" w:rsidR="00BB2493" w:rsidRPr="00832D16" w:rsidRDefault="00BB2493" w:rsidP="00FB500F">
            <w:pPr>
              <w:pStyle w:val="Tablewriting"/>
              <w:rPr>
                <w:b/>
              </w:rPr>
            </w:pPr>
            <w:r w:rsidRPr="00832D16">
              <w:rPr>
                <w:b/>
              </w:rPr>
              <w:t>Assessment criteria</w:t>
            </w:r>
          </w:p>
        </w:tc>
        <w:tc>
          <w:tcPr>
            <w:tcW w:w="439" w:type="pct"/>
            <w:shd w:val="clear" w:color="auto" w:fill="BFBFBF" w:themeFill="background1" w:themeFillShade="BF"/>
            <w:vAlign w:val="center"/>
            <w:hideMark/>
          </w:tcPr>
          <w:p w14:paraId="667B860F" w14:textId="786C78F4" w:rsidR="00BB2493" w:rsidRPr="00832D16" w:rsidRDefault="0024348C" w:rsidP="00FB500F">
            <w:pPr>
              <w:pStyle w:val="Tablewriting"/>
              <w:rPr>
                <w:b/>
              </w:rPr>
            </w:pPr>
            <w:r w:rsidRPr="0024348C">
              <w:rPr>
                <w:b/>
              </w:rPr>
              <w:t>Selph 2020</w:t>
            </w:r>
          </w:p>
        </w:tc>
        <w:tc>
          <w:tcPr>
            <w:tcW w:w="512" w:type="pct"/>
            <w:shd w:val="clear" w:color="auto" w:fill="BFBFBF" w:themeFill="background1" w:themeFillShade="BF"/>
            <w:vAlign w:val="center"/>
          </w:tcPr>
          <w:p w14:paraId="25FBA53F" w14:textId="28EC5365" w:rsidR="00BB2493" w:rsidRPr="00832D16" w:rsidRDefault="0024348C" w:rsidP="00FB500F">
            <w:pPr>
              <w:pStyle w:val="Tablewriting"/>
              <w:rPr>
                <w:b/>
              </w:rPr>
            </w:pPr>
            <w:r w:rsidRPr="0024348C">
              <w:rPr>
                <w:b/>
              </w:rPr>
              <w:t>Myung 2019</w:t>
            </w:r>
          </w:p>
        </w:tc>
        <w:tc>
          <w:tcPr>
            <w:tcW w:w="487" w:type="pct"/>
            <w:shd w:val="clear" w:color="auto" w:fill="BFBFBF" w:themeFill="background1" w:themeFillShade="BF"/>
            <w:vAlign w:val="center"/>
          </w:tcPr>
          <w:p w14:paraId="4A71ED9F" w14:textId="669D0164" w:rsidR="00BB2493" w:rsidRPr="00832D16" w:rsidRDefault="0024348C" w:rsidP="00FB500F">
            <w:pPr>
              <w:pStyle w:val="Tablewriting"/>
              <w:rPr>
                <w:b/>
              </w:rPr>
            </w:pPr>
            <w:r w:rsidRPr="0024348C">
              <w:rPr>
                <w:b/>
              </w:rPr>
              <w:t>Chang 2015</w:t>
            </w:r>
          </w:p>
        </w:tc>
      </w:tr>
      <w:tr w:rsidR="00BB2493" w:rsidRPr="00C62D0D" w14:paraId="79B0B7BE" w14:textId="1D888884" w:rsidTr="00D0517F">
        <w:trPr>
          <w:trHeight w:val="291"/>
        </w:trPr>
        <w:tc>
          <w:tcPr>
            <w:tcW w:w="160" w:type="pct"/>
            <w:noWrap/>
            <w:vAlign w:val="center"/>
            <w:hideMark/>
          </w:tcPr>
          <w:p w14:paraId="15A099F0" w14:textId="77777777" w:rsidR="00BB2493" w:rsidRPr="00C62D0D" w:rsidRDefault="00BB2493" w:rsidP="00FB500F">
            <w:pPr>
              <w:pStyle w:val="Tablewriting"/>
            </w:pPr>
            <w:r w:rsidRPr="00C62D0D">
              <w:t>1</w:t>
            </w:r>
          </w:p>
        </w:tc>
        <w:tc>
          <w:tcPr>
            <w:tcW w:w="3402" w:type="pct"/>
            <w:vAlign w:val="center"/>
            <w:hideMark/>
          </w:tcPr>
          <w:p w14:paraId="4D3E4D3A" w14:textId="77777777" w:rsidR="00BB2493" w:rsidRPr="00C62D0D" w:rsidRDefault="00BB2493" w:rsidP="00FB500F">
            <w:pPr>
              <w:pStyle w:val="Tablewriting"/>
            </w:pPr>
            <w:r w:rsidRPr="00C62D0D">
              <w:t xml:space="preserve">Did the research questions and inclusion criteria for the review include the components of PICO? </w:t>
            </w:r>
          </w:p>
        </w:tc>
        <w:tc>
          <w:tcPr>
            <w:tcW w:w="439" w:type="pct"/>
            <w:vAlign w:val="center"/>
            <w:hideMark/>
          </w:tcPr>
          <w:p w14:paraId="6A257705" w14:textId="0C5A474C" w:rsidR="00BB2493" w:rsidRPr="00C62D0D" w:rsidRDefault="00727095" w:rsidP="0010575F">
            <w:pPr>
              <w:pStyle w:val="Tablewriting"/>
            </w:pPr>
            <w:r>
              <w:t>Yes</w:t>
            </w:r>
          </w:p>
        </w:tc>
        <w:tc>
          <w:tcPr>
            <w:tcW w:w="512" w:type="pct"/>
            <w:vAlign w:val="center"/>
          </w:tcPr>
          <w:p w14:paraId="6D5B1DF9" w14:textId="56EF0A07" w:rsidR="00BB2493" w:rsidRPr="00C62D0D" w:rsidRDefault="00727095" w:rsidP="0010575F">
            <w:pPr>
              <w:pStyle w:val="Tablewriting"/>
            </w:pPr>
            <w:r>
              <w:t>Yes</w:t>
            </w:r>
          </w:p>
        </w:tc>
        <w:tc>
          <w:tcPr>
            <w:tcW w:w="487" w:type="pct"/>
            <w:vAlign w:val="center"/>
          </w:tcPr>
          <w:p w14:paraId="19E9ECA6" w14:textId="2B6091AD" w:rsidR="00BB2493" w:rsidRPr="00C62D0D" w:rsidRDefault="00727095" w:rsidP="0010575F">
            <w:pPr>
              <w:pStyle w:val="Tablewriting"/>
            </w:pPr>
            <w:r>
              <w:t>Yes</w:t>
            </w:r>
          </w:p>
        </w:tc>
      </w:tr>
      <w:tr w:rsidR="00BB2493" w:rsidRPr="00C62D0D" w14:paraId="055A1B33" w14:textId="42C125B0" w:rsidTr="00D0517F">
        <w:trPr>
          <w:trHeight w:val="497"/>
        </w:trPr>
        <w:tc>
          <w:tcPr>
            <w:tcW w:w="160" w:type="pct"/>
            <w:noWrap/>
            <w:vAlign w:val="center"/>
            <w:hideMark/>
          </w:tcPr>
          <w:p w14:paraId="0B85ECBD" w14:textId="77777777" w:rsidR="00BB2493" w:rsidRPr="00C62D0D" w:rsidRDefault="00BB2493" w:rsidP="00FB500F">
            <w:pPr>
              <w:pStyle w:val="Tablewriting"/>
            </w:pPr>
            <w:r w:rsidRPr="00C62D0D">
              <w:t>2</w:t>
            </w:r>
          </w:p>
        </w:tc>
        <w:tc>
          <w:tcPr>
            <w:tcW w:w="3402" w:type="pct"/>
            <w:vAlign w:val="center"/>
            <w:hideMark/>
          </w:tcPr>
          <w:p w14:paraId="2BD7B3C0" w14:textId="77777777" w:rsidR="00BB2493" w:rsidRPr="00C62D0D" w:rsidRDefault="00BB2493" w:rsidP="00FB500F">
            <w:pPr>
              <w:pStyle w:val="Tablewriting"/>
            </w:pPr>
            <w:r w:rsidRPr="00C62D0D">
              <w:t xml:space="preserve">Did the report of the review contain an explicit statement that the review methods were established prior to the conduct of the review and did the report justify any significant deviations from the protocol? </w:t>
            </w:r>
          </w:p>
        </w:tc>
        <w:tc>
          <w:tcPr>
            <w:tcW w:w="439" w:type="pct"/>
            <w:noWrap/>
            <w:vAlign w:val="center"/>
            <w:hideMark/>
          </w:tcPr>
          <w:p w14:paraId="0D17A338" w14:textId="3E894643" w:rsidR="00BB2493" w:rsidRPr="00C62D0D" w:rsidRDefault="00727095" w:rsidP="0010575F">
            <w:pPr>
              <w:pStyle w:val="Tablewriting"/>
            </w:pPr>
            <w:r>
              <w:t>No</w:t>
            </w:r>
          </w:p>
        </w:tc>
        <w:tc>
          <w:tcPr>
            <w:tcW w:w="512" w:type="pct"/>
            <w:vAlign w:val="center"/>
          </w:tcPr>
          <w:p w14:paraId="05964244" w14:textId="18E60380" w:rsidR="00BB2493" w:rsidRPr="00C62D0D" w:rsidRDefault="00727095" w:rsidP="0010575F">
            <w:pPr>
              <w:pStyle w:val="Tablewriting"/>
            </w:pPr>
            <w:r>
              <w:t>No</w:t>
            </w:r>
          </w:p>
        </w:tc>
        <w:tc>
          <w:tcPr>
            <w:tcW w:w="487" w:type="pct"/>
            <w:vAlign w:val="center"/>
          </w:tcPr>
          <w:p w14:paraId="06CFB7E5" w14:textId="4B20F6E1" w:rsidR="00BB2493" w:rsidRPr="00C62D0D" w:rsidRDefault="00727095" w:rsidP="0010575F">
            <w:pPr>
              <w:pStyle w:val="Tablewriting"/>
            </w:pPr>
            <w:r>
              <w:t>No</w:t>
            </w:r>
          </w:p>
        </w:tc>
      </w:tr>
      <w:tr w:rsidR="00BB2493" w:rsidRPr="00C62D0D" w14:paraId="4590B399" w14:textId="0CD6DCF9" w:rsidTr="00D0517F">
        <w:trPr>
          <w:trHeight w:val="181"/>
        </w:trPr>
        <w:tc>
          <w:tcPr>
            <w:tcW w:w="160" w:type="pct"/>
            <w:noWrap/>
            <w:vAlign w:val="center"/>
            <w:hideMark/>
          </w:tcPr>
          <w:p w14:paraId="6CD237A2" w14:textId="77777777" w:rsidR="00BB2493" w:rsidRPr="00C62D0D" w:rsidRDefault="00BB2493" w:rsidP="00FB500F">
            <w:pPr>
              <w:pStyle w:val="Tablewriting"/>
            </w:pPr>
            <w:r w:rsidRPr="00C62D0D">
              <w:t>3</w:t>
            </w:r>
          </w:p>
        </w:tc>
        <w:tc>
          <w:tcPr>
            <w:tcW w:w="3402" w:type="pct"/>
            <w:vAlign w:val="center"/>
            <w:hideMark/>
          </w:tcPr>
          <w:p w14:paraId="57AD4653" w14:textId="77777777" w:rsidR="00BB2493" w:rsidRPr="00C62D0D" w:rsidRDefault="00BB2493" w:rsidP="00FB500F">
            <w:pPr>
              <w:pStyle w:val="Tablewriting"/>
            </w:pPr>
            <w:r w:rsidRPr="00C62D0D">
              <w:t xml:space="preserve">Did the review authors perform study selection in duplicate? </w:t>
            </w:r>
          </w:p>
        </w:tc>
        <w:tc>
          <w:tcPr>
            <w:tcW w:w="439" w:type="pct"/>
            <w:vAlign w:val="center"/>
            <w:hideMark/>
          </w:tcPr>
          <w:p w14:paraId="2D6FBD63" w14:textId="1605EDAF" w:rsidR="00BB2493" w:rsidRPr="00C62D0D" w:rsidRDefault="003013E3" w:rsidP="0010575F">
            <w:pPr>
              <w:pStyle w:val="Tablewriting"/>
            </w:pPr>
            <w:r>
              <w:t>Yes</w:t>
            </w:r>
          </w:p>
        </w:tc>
        <w:tc>
          <w:tcPr>
            <w:tcW w:w="512" w:type="pct"/>
            <w:vAlign w:val="center"/>
          </w:tcPr>
          <w:p w14:paraId="3AE94AD5" w14:textId="7FED457C" w:rsidR="00BB2493" w:rsidRPr="00C62D0D" w:rsidRDefault="003013E3" w:rsidP="0010575F">
            <w:pPr>
              <w:pStyle w:val="Tablewriting"/>
            </w:pPr>
            <w:r>
              <w:t>Yes</w:t>
            </w:r>
          </w:p>
        </w:tc>
        <w:tc>
          <w:tcPr>
            <w:tcW w:w="487" w:type="pct"/>
            <w:vAlign w:val="center"/>
          </w:tcPr>
          <w:p w14:paraId="29E805BD" w14:textId="4C8FAA5F" w:rsidR="00BB2493" w:rsidRPr="00C62D0D" w:rsidRDefault="003013E3" w:rsidP="0010575F">
            <w:pPr>
              <w:pStyle w:val="Tablewriting"/>
            </w:pPr>
            <w:r>
              <w:t>Yes</w:t>
            </w:r>
          </w:p>
        </w:tc>
      </w:tr>
      <w:tr w:rsidR="00BB2493" w:rsidRPr="00C62D0D" w14:paraId="3EFC582A" w14:textId="10E3CE47" w:rsidTr="00D0517F">
        <w:trPr>
          <w:trHeight w:val="157"/>
        </w:trPr>
        <w:tc>
          <w:tcPr>
            <w:tcW w:w="160" w:type="pct"/>
            <w:noWrap/>
            <w:vAlign w:val="center"/>
            <w:hideMark/>
          </w:tcPr>
          <w:p w14:paraId="5B46BCE3" w14:textId="77777777" w:rsidR="00BB2493" w:rsidRPr="00C62D0D" w:rsidRDefault="00BB2493" w:rsidP="00FB500F">
            <w:pPr>
              <w:pStyle w:val="Tablewriting"/>
            </w:pPr>
            <w:r w:rsidRPr="00C62D0D">
              <w:t>4</w:t>
            </w:r>
          </w:p>
        </w:tc>
        <w:tc>
          <w:tcPr>
            <w:tcW w:w="3402" w:type="pct"/>
            <w:vAlign w:val="center"/>
            <w:hideMark/>
          </w:tcPr>
          <w:p w14:paraId="43C9352B" w14:textId="77777777" w:rsidR="00BB2493" w:rsidRPr="00C62D0D" w:rsidRDefault="00BB2493" w:rsidP="00FB500F">
            <w:pPr>
              <w:pStyle w:val="Tablewriting"/>
            </w:pPr>
            <w:r w:rsidRPr="00C62D0D">
              <w:t xml:space="preserve">Did the review authors use a comprehensive literature search strategy? </w:t>
            </w:r>
          </w:p>
        </w:tc>
        <w:tc>
          <w:tcPr>
            <w:tcW w:w="439" w:type="pct"/>
            <w:noWrap/>
            <w:vAlign w:val="center"/>
            <w:hideMark/>
          </w:tcPr>
          <w:p w14:paraId="19099142" w14:textId="21B1E2B0" w:rsidR="00BB2493" w:rsidRPr="00C62D0D" w:rsidRDefault="002732C5" w:rsidP="0010575F">
            <w:pPr>
              <w:pStyle w:val="Tablewriting"/>
            </w:pPr>
            <w:r>
              <w:t>Partial</w:t>
            </w:r>
            <w:r w:rsidR="00F85607">
              <w:t xml:space="preserve"> yes</w:t>
            </w:r>
          </w:p>
        </w:tc>
        <w:tc>
          <w:tcPr>
            <w:tcW w:w="512" w:type="pct"/>
            <w:vAlign w:val="center"/>
          </w:tcPr>
          <w:p w14:paraId="70E02414" w14:textId="38F0EA4E" w:rsidR="00BB2493" w:rsidRPr="00C62D0D" w:rsidRDefault="00F85607" w:rsidP="0010575F">
            <w:pPr>
              <w:pStyle w:val="Tablewriting"/>
            </w:pPr>
            <w:r>
              <w:t>Partial yes</w:t>
            </w:r>
          </w:p>
        </w:tc>
        <w:tc>
          <w:tcPr>
            <w:tcW w:w="487" w:type="pct"/>
            <w:vAlign w:val="center"/>
          </w:tcPr>
          <w:p w14:paraId="0E6D2A34" w14:textId="0D597C72" w:rsidR="00BB2493" w:rsidRPr="00C62D0D" w:rsidRDefault="00F85607" w:rsidP="0010575F">
            <w:pPr>
              <w:pStyle w:val="Tablewriting"/>
            </w:pPr>
            <w:r>
              <w:t>Partial yes</w:t>
            </w:r>
          </w:p>
        </w:tc>
      </w:tr>
      <w:tr w:rsidR="00BB2493" w:rsidRPr="00C62D0D" w14:paraId="12572B09" w14:textId="0D8BABDB" w:rsidTr="00D0517F">
        <w:trPr>
          <w:trHeight w:val="70"/>
        </w:trPr>
        <w:tc>
          <w:tcPr>
            <w:tcW w:w="160" w:type="pct"/>
            <w:vAlign w:val="center"/>
            <w:hideMark/>
          </w:tcPr>
          <w:p w14:paraId="71CF1DB2" w14:textId="77777777" w:rsidR="00BB2493" w:rsidRPr="00C62D0D" w:rsidRDefault="00BB2493" w:rsidP="00FB500F">
            <w:pPr>
              <w:pStyle w:val="Tablewriting"/>
            </w:pPr>
            <w:r w:rsidRPr="00C62D0D">
              <w:t>5</w:t>
            </w:r>
          </w:p>
        </w:tc>
        <w:tc>
          <w:tcPr>
            <w:tcW w:w="3402" w:type="pct"/>
            <w:vAlign w:val="center"/>
            <w:hideMark/>
          </w:tcPr>
          <w:p w14:paraId="31B318B8" w14:textId="77777777" w:rsidR="00BB2493" w:rsidRPr="00C62D0D" w:rsidRDefault="00BB2493" w:rsidP="00FB500F">
            <w:pPr>
              <w:pStyle w:val="Tablewriting"/>
            </w:pPr>
            <w:r w:rsidRPr="00C62D0D">
              <w:t>Did the review authors perform study selection in duplicate?</w:t>
            </w:r>
          </w:p>
        </w:tc>
        <w:tc>
          <w:tcPr>
            <w:tcW w:w="439" w:type="pct"/>
            <w:vAlign w:val="center"/>
            <w:hideMark/>
          </w:tcPr>
          <w:p w14:paraId="3EC829C7" w14:textId="4210A06A" w:rsidR="00BB2493" w:rsidRPr="00C62D0D" w:rsidRDefault="00F85607" w:rsidP="0010575F">
            <w:pPr>
              <w:pStyle w:val="Tablewriting"/>
            </w:pPr>
            <w:r>
              <w:t>Yes</w:t>
            </w:r>
          </w:p>
        </w:tc>
        <w:tc>
          <w:tcPr>
            <w:tcW w:w="512" w:type="pct"/>
            <w:vAlign w:val="center"/>
          </w:tcPr>
          <w:p w14:paraId="50E5FF7F" w14:textId="59361796" w:rsidR="00BB2493" w:rsidRPr="00C62D0D" w:rsidRDefault="00F85607" w:rsidP="0010575F">
            <w:pPr>
              <w:pStyle w:val="Tablewriting"/>
            </w:pPr>
            <w:r>
              <w:t>Yes</w:t>
            </w:r>
          </w:p>
        </w:tc>
        <w:tc>
          <w:tcPr>
            <w:tcW w:w="487" w:type="pct"/>
            <w:vAlign w:val="center"/>
          </w:tcPr>
          <w:p w14:paraId="424CA010" w14:textId="0B33C524" w:rsidR="00BB2493" w:rsidRPr="00C62D0D" w:rsidRDefault="00F85607" w:rsidP="0010575F">
            <w:pPr>
              <w:pStyle w:val="Tablewriting"/>
            </w:pPr>
            <w:r>
              <w:t>Yes</w:t>
            </w:r>
          </w:p>
        </w:tc>
      </w:tr>
      <w:tr w:rsidR="00BB2493" w:rsidRPr="00C62D0D" w14:paraId="13F1DC69" w14:textId="7271DD07" w:rsidTr="00D0517F">
        <w:trPr>
          <w:trHeight w:val="82"/>
        </w:trPr>
        <w:tc>
          <w:tcPr>
            <w:tcW w:w="160" w:type="pct"/>
            <w:vAlign w:val="center"/>
            <w:hideMark/>
          </w:tcPr>
          <w:p w14:paraId="351AC4E2" w14:textId="77777777" w:rsidR="00BB2493" w:rsidRPr="00C62D0D" w:rsidRDefault="00BB2493" w:rsidP="00FB500F">
            <w:pPr>
              <w:pStyle w:val="Tablewriting"/>
            </w:pPr>
            <w:r w:rsidRPr="00C62D0D">
              <w:t>6</w:t>
            </w:r>
          </w:p>
        </w:tc>
        <w:tc>
          <w:tcPr>
            <w:tcW w:w="3402" w:type="pct"/>
            <w:vAlign w:val="center"/>
            <w:hideMark/>
          </w:tcPr>
          <w:p w14:paraId="5EFFF4AB" w14:textId="77777777" w:rsidR="00BB2493" w:rsidRPr="00C62D0D" w:rsidRDefault="00BB2493" w:rsidP="00FB500F">
            <w:pPr>
              <w:pStyle w:val="Tablewriting"/>
            </w:pPr>
            <w:r w:rsidRPr="00C62D0D">
              <w:t xml:space="preserve">Did the review authors perform data extraction in duplicate? </w:t>
            </w:r>
          </w:p>
        </w:tc>
        <w:tc>
          <w:tcPr>
            <w:tcW w:w="439" w:type="pct"/>
            <w:vAlign w:val="center"/>
            <w:hideMark/>
          </w:tcPr>
          <w:p w14:paraId="1C5A2F29" w14:textId="444179A4" w:rsidR="00BB2493" w:rsidRPr="00C62D0D" w:rsidRDefault="0043053A" w:rsidP="0010575F">
            <w:pPr>
              <w:pStyle w:val="Tablewriting"/>
            </w:pPr>
            <w:r>
              <w:t>Yes</w:t>
            </w:r>
          </w:p>
        </w:tc>
        <w:tc>
          <w:tcPr>
            <w:tcW w:w="512" w:type="pct"/>
            <w:vAlign w:val="center"/>
          </w:tcPr>
          <w:p w14:paraId="2EA08353" w14:textId="3B192F1D" w:rsidR="00BB2493" w:rsidRPr="00C62D0D" w:rsidRDefault="0043053A" w:rsidP="0010575F">
            <w:pPr>
              <w:pStyle w:val="Tablewriting"/>
            </w:pPr>
            <w:r>
              <w:t>No</w:t>
            </w:r>
          </w:p>
        </w:tc>
        <w:tc>
          <w:tcPr>
            <w:tcW w:w="487" w:type="pct"/>
            <w:vAlign w:val="center"/>
          </w:tcPr>
          <w:p w14:paraId="1539427E" w14:textId="5031314B" w:rsidR="00BB2493" w:rsidRPr="00C62D0D" w:rsidRDefault="0043053A" w:rsidP="0010575F">
            <w:pPr>
              <w:pStyle w:val="Tablewriting"/>
            </w:pPr>
            <w:r>
              <w:t>Yes</w:t>
            </w:r>
          </w:p>
        </w:tc>
      </w:tr>
      <w:tr w:rsidR="00BB2493" w:rsidRPr="00C62D0D" w14:paraId="418670C3" w14:textId="38A67000" w:rsidTr="00D0517F">
        <w:trPr>
          <w:trHeight w:val="375"/>
        </w:trPr>
        <w:tc>
          <w:tcPr>
            <w:tcW w:w="160" w:type="pct"/>
            <w:vAlign w:val="center"/>
            <w:hideMark/>
          </w:tcPr>
          <w:p w14:paraId="40A15567" w14:textId="77777777" w:rsidR="00BB2493" w:rsidRPr="00C62D0D" w:rsidRDefault="00BB2493" w:rsidP="00FB500F">
            <w:pPr>
              <w:pStyle w:val="Tablewriting"/>
            </w:pPr>
            <w:r w:rsidRPr="00C62D0D">
              <w:t>7</w:t>
            </w:r>
          </w:p>
        </w:tc>
        <w:tc>
          <w:tcPr>
            <w:tcW w:w="3402" w:type="pct"/>
            <w:vAlign w:val="center"/>
            <w:hideMark/>
          </w:tcPr>
          <w:p w14:paraId="08561F2C" w14:textId="77777777" w:rsidR="00BB2493" w:rsidRPr="00C62D0D" w:rsidRDefault="00BB2493" w:rsidP="00FB500F">
            <w:pPr>
              <w:pStyle w:val="Tablewriting"/>
            </w:pPr>
            <w:r w:rsidRPr="00C62D0D">
              <w:t xml:space="preserve">Did the review authors provide a list of excluded studies and justify the exclusions? </w:t>
            </w:r>
          </w:p>
        </w:tc>
        <w:tc>
          <w:tcPr>
            <w:tcW w:w="439" w:type="pct"/>
            <w:noWrap/>
            <w:vAlign w:val="center"/>
            <w:hideMark/>
          </w:tcPr>
          <w:p w14:paraId="6AF68AC9" w14:textId="0A3CE836" w:rsidR="00BB2493" w:rsidRPr="00816E55" w:rsidRDefault="0043053A" w:rsidP="0010575F">
            <w:pPr>
              <w:pStyle w:val="Tablewriting"/>
            </w:pPr>
            <w:r>
              <w:t>Yes</w:t>
            </w:r>
          </w:p>
        </w:tc>
        <w:tc>
          <w:tcPr>
            <w:tcW w:w="512" w:type="pct"/>
            <w:vAlign w:val="center"/>
          </w:tcPr>
          <w:p w14:paraId="433C4527" w14:textId="5DA50A8D" w:rsidR="00BB2493" w:rsidRPr="00816E55" w:rsidRDefault="0043053A" w:rsidP="0010575F">
            <w:pPr>
              <w:pStyle w:val="Tablewriting"/>
            </w:pPr>
            <w:r>
              <w:t>Yes</w:t>
            </w:r>
          </w:p>
        </w:tc>
        <w:tc>
          <w:tcPr>
            <w:tcW w:w="487" w:type="pct"/>
            <w:vAlign w:val="center"/>
          </w:tcPr>
          <w:p w14:paraId="64239334" w14:textId="11B6CCB9" w:rsidR="00BB2493" w:rsidRPr="00816E55" w:rsidRDefault="00927F8F" w:rsidP="0010575F">
            <w:pPr>
              <w:pStyle w:val="Tablewriting"/>
            </w:pPr>
            <w:r>
              <w:t>No</w:t>
            </w:r>
          </w:p>
        </w:tc>
      </w:tr>
      <w:tr w:rsidR="00BB2493" w:rsidRPr="00C62D0D" w14:paraId="5433C1B1" w14:textId="5B070E25" w:rsidTr="00D0517F">
        <w:trPr>
          <w:trHeight w:val="135"/>
        </w:trPr>
        <w:tc>
          <w:tcPr>
            <w:tcW w:w="160" w:type="pct"/>
            <w:vAlign w:val="center"/>
            <w:hideMark/>
          </w:tcPr>
          <w:p w14:paraId="5DA0B0B2" w14:textId="77777777" w:rsidR="00BB2493" w:rsidRPr="00C62D0D" w:rsidRDefault="00BB2493" w:rsidP="00FB500F">
            <w:pPr>
              <w:pStyle w:val="Tablewriting"/>
            </w:pPr>
            <w:r w:rsidRPr="00C62D0D">
              <w:t>8</w:t>
            </w:r>
          </w:p>
        </w:tc>
        <w:tc>
          <w:tcPr>
            <w:tcW w:w="3402" w:type="pct"/>
            <w:vAlign w:val="center"/>
            <w:hideMark/>
          </w:tcPr>
          <w:p w14:paraId="78A77DEB" w14:textId="77777777" w:rsidR="00BB2493" w:rsidRPr="00C62D0D" w:rsidRDefault="00BB2493" w:rsidP="00FB500F">
            <w:pPr>
              <w:pStyle w:val="Tablewriting"/>
            </w:pPr>
            <w:r w:rsidRPr="00C62D0D">
              <w:t>Did the review authors describe the included studies in adequate detail?</w:t>
            </w:r>
          </w:p>
        </w:tc>
        <w:tc>
          <w:tcPr>
            <w:tcW w:w="439" w:type="pct"/>
            <w:noWrap/>
            <w:vAlign w:val="center"/>
            <w:hideMark/>
          </w:tcPr>
          <w:p w14:paraId="4C9697BB" w14:textId="2CD89559" w:rsidR="00BB2493" w:rsidRPr="00C62D0D" w:rsidRDefault="00927F8F" w:rsidP="0010575F">
            <w:pPr>
              <w:pStyle w:val="Tablewriting"/>
            </w:pPr>
            <w:r>
              <w:t>Yes</w:t>
            </w:r>
          </w:p>
        </w:tc>
        <w:tc>
          <w:tcPr>
            <w:tcW w:w="512" w:type="pct"/>
            <w:vAlign w:val="center"/>
          </w:tcPr>
          <w:p w14:paraId="7164F9B7" w14:textId="0BE63D65" w:rsidR="00BB2493" w:rsidRPr="00C62D0D" w:rsidDel="00BB2493" w:rsidRDefault="00927F8F" w:rsidP="0010575F">
            <w:pPr>
              <w:pStyle w:val="Tablewriting"/>
            </w:pPr>
            <w:r>
              <w:t>Yes</w:t>
            </w:r>
          </w:p>
        </w:tc>
        <w:tc>
          <w:tcPr>
            <w:tcW w:w="487" w:type="pct"/>
            <w:vAlign w:val="center"/>
          </w:tcPr>
          <w:p w14:paraId="38B6815A" w14:textId="1ACDF8CD" w:rsidR="00BB2493" w:rsidRPr="00C62D0D" w:rsidDel="00BB2493" w:rsidRDefault="00927F8F" w:rsidP="0010575F">
            <w:pPr>
              <w:pStyle w:val="Tablewriting"/>
            </w:pPr>
            <w:r>
              <w:t>Yes</w:t>
            </w:r>
          </w:p>
        </w:tc>
      </w:tr>
      <w:tr w:rsidR="00BB2493" w:rsidRPr="00C62D0D" w14:paraId="6BE5DAB9" w14:textId="098B446F" w:rsidTr="00D0517F">
        <w:trPr>
          <w:trHeight w:val="70"/>
        </w:trPr>
        <w:tc>
          <w:tcPr>
            <w:tcW w:w="160" w:type="pct"/>
            <w:vAlign w:val="center"/>
            <w:hideMark/>
          </w:tcPr>
          <w:p w14:paraId="609A9527" w14:textId="77777777" w:rsidR="00BB2493" w:rsidRPr="00C62D0D" w:rsidRDefault="00BB2493" w:rsidP="00FB500F">
            <w:pPr>
              <w:pStyle w:val="Tablewriting"/>
            </w:pPr>
            <w:r w:rsidRPr="00C62D0D">
              <w:t>9</w:t>
            </w:r>
          </w:p>
        </w:tc>
        <w:tc>
          <w:tcPr>
            <w:tcW w:w="3402" w:type="pct"/>
            <w:vAlign w:val="center"/>
            <w:hideMark/>
          </w:tcPr>
          <w:p w14:paraId="2558E644" w14:textId="77777777" w:rsidR="00BB2493" w:rsidRPr="00C62D0D" w:rsidRDefault="00BB2493" w:rsidP="00FB500F">
            <w:pPr>
              <w:pStyle w:val="Tablewriting"/>
            </w:pPr>
            <w:r w:rsidRPr="00C62D0D">
              <w:t xml:space="preserve">Did the review authors use a satisfactory technique for assessing the risk of bias (RoB) in individual studies that were included in the review? </w:t>
            </w:r>
          </w:p>
        </w:tc>
        <w:tc>
          <w:tcPr>
            <w:tcW w:w="439" w:type="pct"/>
            <w:noWrap/>
            <w:vAlign w:val="center"/>
            <w:hideMark/>
          </w:tcPr>
          <w:p w14:paraId="5E868429" w14:textId="6ACE9149" w:rsidR="00BB2493" w:rsidRPr="00C62D0D" w:rsidRDefault="00927F8F" w:rsidP="0010575F">
            <w:pPr>
              <w:pStyle w:val="Tablewriting"/>
            </w:pPr>
            <w:r>
              <w:t>Yes</w:t>
            </w:r>
          </w:p>
        </w:tc>
        <w:tc>
          <w:tcPr>
            <w:tcW w:w="512" w:type="pct"/>
            <w:vAlign w:val="center"/>
          </w:tcPr>
          <w:p w14:paraId="6FCC1A60" w14:textId="11A87BEF" w:rsidR="00BB2493" w:rsidRPr="00C62D0D" w:rsidDel="00BB2493" w:rsidRDefault="00927F8F" w:rsidP="0010575F">
            <w:pPr>
              <w:pStyle w:val="Tablewriting"/>
            </w:pPr>
            <w:r>
              <w:t>Yes</w:t>
            </w:r>
          </w:p>
        </w:tc>
        <w:tc>
          <w:tcPr>
            <w:tcW w:w="487" w:type="pct"/>
            <w:vAlign w:val="center"/>
          </w:tcPr>
          <w:p w14:paraId="3ECD115E" w14:textId="07A72E35" w:rsidR="00BB2493" w:rsidRPr="00C62D0D" w:rsidDel="00BB2493" w:rsidRDefault="00927F8F" w:rsidP="0010575F">
            <w:pPr>
              <w:pStyle w:val="Tablewriting"/>
            </w:pPr>
            <w:r>
              <w:t>Yes</w:t>
            </w:r>
          </w:p>
        </w:tc>
      </w:tr>
      <w:tr w:rsidR="00BB2493" w:rsidRPr="00C62D0D" w14:paraId="7F3F7298" w14:textId="3CE93915" w:rsidTr="00D0517F">
        <w:trPr>
          <w:trHeight w:val="317"/>
        </w:trPr>
        <w:tc>
          <w:tcPr>
            <w:tcW w:w="160" w:type="pct"/>
            <w:vAlign w:val="center"/>
            <w:hideMark/>
          </w:tcPr>
          <w:p w14:paraId="6C04D2D5" w14:textId="77777777" w:rsidR="00BB2493" w:rsidRPr="00C62D0D" w:rsidRDefault="00BB2493" w:rsidP="00FB500F">
            <w:pPr>
              <w:pStyle w:val="Tablewriting"/>
            </w:pPr>
            <w:r w:rsidRPr="00C62D0D">
              <w:t>10</w:t>
            </w:r>
          </w:p>
        </w:tc>
        <w:tc>
          <w:tcPr>
            <w:tcW w:w="3402" w:type="pct"/>
            <w:vAlign w:val="center"/>
            <w:hideMark/>
          </w:tcPr>
          <w:p w14:paraId="101922DA" w14:textId="77777777" w:rsidR="00BB2493" w:rsidRPr="00C62D0D" w:rsidRDefault="00BB2493" w:rsidP="00FB500F">
            <w:pPr>
              <w:pStyle w:val="Tablewriting"/>
            </w:pPr>
            <w:r w:rsidRPr="00C62D0D">
              <w:t xml:space="preserve">Did the review authors report on the sources of funding for the studies included in the review? </w:t>
            </w:r>
          </w:p>
        </w:tc>
        <w:tc>
          <w:tcPr>
            <w:tcW w:w="439" w:type="pct"/>
            <w:vAlign w:val="center"/>
            <w:hideMark/>
          </w:tcPr>
          <w:p w14:paraId="2F5AC735" w14:textId="45BA8CC4" w:rsidR="00BB2493" w:rsidRPr="00C62D0D" w:rsidRDefault="00927F8F" w:rsidP="0010575F">
            <w:pPr>
              <w:pStyle w:val="Tablewriting"/>
            </w:pPr>
            <w:r>
              <w:t>No</w:t>
            </w:r>
          </w:p>
        </w:tc>
        <w:tc>
          <w:tcPr>
            <w:tcW w:w="512" w:type="pct"/>
            <w:vAlign w:val="center"/>
          </w:tcPr>
          <w:p w14:paraId="7D8FED73" w14:textId="2ADFF679" w:rsidR="00BB2493" w:rsidRPr="00C62D0D" w:rsidDel="00BB2493" w:rsidRDefault="00927F8F" w:rsidP="0010575F">
            <w:pPr>
              <w:pStyle w:val="Tablewriting"/>
            </w:pPr>
            <w:r>
              <w:t>No</w:t>
            </w:r>
          </w:p>
        </w:tc>
        <w:tc>
          <w:tcPr>
            <w:tcW w:w="487" w:type="pct"/>
            <w:vAlign w:val="center"/>
          </w:tcPr>
          <w:p w14:paraId="5A3FC254" w14:textId="16539044" w:rsidR="00BB2493" w:rsidRPr="00C62D0D" w:rsidDel="00BB2493" w:rsidRDefault="00927F8F" w:rsidP="0010575F">
            <w:pPr>
              <w:pStyle w:val="Tablewriting"/>
            </w:pPr>
            <w:r>
              <w:t>No</w:t>
            </w:r>
          </w:p>
        </w:tc>
      </w:tr>
      <w:tr w:rsidR="00BB2493" w:rsidRPr="00C62D0D" w14:paraId="012AAAD1" w14:textId="1F777775" w:rsidTr="00D0517F">
        <w:trPr>
          <w:trHeight w:val="132"/>
        </w:trPr>
        <w:tc>
          <w:tcPr>
            <w:tcW w:w="160" w:type="pct"/>
            <w:vAlign w:val="center"/>
            <w:hideMark/>
          </w:tcPr>
          <w:p w14:paraId="401C2D60" w14:textId="77777777" w:rsidR="00BB2493" w:rsidRPr="00C62D0D" w:rsidRDefault="00BB2493" w:rsidP="00FB500F">
            <w:pPr>
              <w:pStyle w:val="Tablewriting"/>
            </w:pPr>
            <w:r w:rsidRPr="00C62D0D">
              <w:t>11</w:t>
            </w:r>
          </w:p>
        </w:tc>
        <w:tc>
          <w:tcPr>
            <w:tcW w:w="3402" w:type="pct"/>
            <w:vAlign w:val="center"/>
            <w:hideMark/>
          </w:tcPr>
          <w:p w14:paraId="140594F8" w14:textId="77777777" w:rsidR="00BB2493" w:rsidRPr="00C62D0D" w:rsidRDefault="00BB2493" w:rsidP="00FB500F">
            <w:pPr>
              <w:pStyle w:val="Tablewriting"/>
            </w:pPr>
            <w:r w:rsidRPr="00C62D0D">
              <w:t xml:space="preserve">If meta-analysis was performed did the review authors use appropriate methods for statistical combination of results? </w:t>
            </w:r>
          </w:p>
        </w:tc>
        <w:tc>
          <w:tcPr>
            <w:tcW w:w="439" w:type="pct"/>
            <w:vAlign w:val="center"/>
            <w:hideMark/>
          </w:tcPr>
          <w:p w14:paraId="3530A072" w14:textId="7CCE107E" w:rsidR="00BB2493" w:rsidRPr="00C62D0D" w:rsidRDefault="00927F8F" w:rsidP="0010575F">
            <w:pPr>
              <w:pStyle w:val="Tablewriting"/>
            </w:pPr>
            <w:r>
              <w:t>Yes</w:t>
            </w:r>
          </w:p>
        </w:tc>
        <w:tc>
          <w:tcPr>
            <w:tcW w:w="512" w:type="pct"/>
            <w:vAlign w:val="center"/>
          </w:tcPr>
          <w:p w14:paraId="271E1C0B" w14:textId="085BB8CC" w:rsidR="00BB2493" w:rsidRPr="00C62D0D" w:rsidRDefault="00927F8F" w:rsidP="0010575F">
            <w:pPr>
              <w:pStyle w:val="Tablewriting"/>
            </w:pPr>
            <w:r>
              <w:t>Yes</w:t>
            </w:r>
          </w:p>
        </w:tc>
        <w:tc>
          <w:tcPr>
            <w:tcW w:w="487" w:type="pct"/>
            <w:vAlign w:val="center"/>
          </w:tcPr>
          <w:p w14:paraId="452E8FEE" w14:textId="58B05F89" w:rsidR="00BB2493" w:rsidRPr="00C62D0D" w:rsidRDefault="00DF487B" w:rsidP="0010575F">
            <w:pPr>
              <w:pStyle w:val="Tablewriting"/>
            </w:pPr>
            <w:r>
              <w:t>Yes</w:t>
            </w:r>
          </w:p>
        </w:tc>
      </w:tr>
      <w:tr w:rsidR="00BB2493" w:rsidRPr="00C62D0D" w14:paraId="6AEA7146" w14:textId="1C2EFA07" w:rsidTr="00D0517F">
        <w:trPr>
          <w:trHeight w:val="423"/>
        </w:trPr>
        <w:tc>
          <w:tcPr>
            <w:tcW w:w="160" w:type="pct"/>
            <w:vAlign w:val="center"/>
            <w:hideMark/>
          </w:tcPr>
          <w:p w14:paraId="5CE7D184" w14:textId="77777777" w:rsidR="00BB2493" w:rsidRPr="00C62D0D" w:rsidRDefault="00BB2493" w:rsidP="00FB500F">
            <w:pPr>
              <w:pStyle w:val="Tablewriting"/>
            </w:pPr>
            <w:r w:rsidRPr="00C62D0D">
              <w:t>12</w:t>
            </w:r>
          </w:p>
        </w:tc>
        <w:tc>
          <w:tcPr>
            <w:tcW w:w="3402" w:type="pct"/>
            <w:vAlign w:val="center"/>
            <w:hideMark/>
          </w:tcPr>
          <w:p w14:paraId="445D9AA2" w14:textId="77777777" w:rsidR="00BB2493" w:rsidRPr="00C62D0D" w:rsidRDefault="00BB2493" w:rsidP="00FB500F">
            <w:pPr>
              <w:pStyle w:val="Tablewriting"/>
            </w:pPr>
            <w:r w:rsidRPr="00C62D0D">
              <w:t xml:space="preserve">If meta-analysis was performed, did the review authors assess the potential impact of RoB in individual studies on the results of the meta-analysis or other evidence synthesis? </w:t>
            </w:r>
          </w:p>
        </w:tc>
        <w:tc>
          <w:tcPr>
            <w:tcW w:w="439" w:type="pct"/>
            <w:vAlign w:val="center"/>
            <w:hideMark/>
          </w:tcPr>
          <w:p w14:paraId="56020A73" w14:textId="014DF7F2" w:rsidR="00BB2493" w:rsidRPr="00C62D0D" w:rsidRDefault="00DF487B" w:rsidP="0010575F">
            <w:pPr>
              <w:pStyle w:val="Tablewriting"/>
            </w:pPr>
            <w:r>
              <w:t>Yes</w:t>
            </w:r>
          </w:p>
        </w:tc>
        <w:tc>
          <w:tcPr>
            <w:tcW w:w="512" w:type="pct"/>
            <w:vAlign w:val="center"/>
          </w:tcPr>
          <w:p w14:paraId="51472A60" w14:textId="272DA4FB" w:rsidR="00BB2493" w:rsidRPr="00C62D0D" w:rsidRDefault="00DF487B" w:rsidP="0010575F">
            <w:pPr>
              <w:pStyle w:val="Tablewriting"/>
            </w:pPr>
            <w:r>
              <w:t>Yes</w:t>
            </w:r>
          </w:p>
        </w:tc>
        <w:tc>
          <w:tcPr>
            <w:tcW w:w="487" w:type="pct"/>
            <w:vAlign w:val="center"/>
          </w:tcPr>
          <w:p w14:paraId="513A947E" w14:textId="1D1EEF27" w:rsidR="00BB2493" w:rsidRPr="00C62D0D" w:rsidRDefault="00DF487B" w:rsidP="0010575F">
            <w:pPr>
              <w:pStyle w:val="Tablewriting"/>
            </w:pPr>
            <w:r>
              <w:t>Yes</w:t>
            </w:r>
          </w:p>
        </w:tc>
      </w:tr>
      <w:tr w:rsidR="00BB2493" w:rsidRPr="00C62D0D" w14:paraId="46B50D8E" w14:textId="315B5464" w:rsidTr="00D0517F">
        <w:trPr>
          <w:trHeight w:val="292"/>
        </w:trPr>
        <w:tc>
          <w:tcPr>
            <w:tcW w:w="160" w:type="pct"/>
            <w:vAlign w:val="center"/>
            <w:hideMark/>
          </w:tcPr>
          <w:p w14:paraId="3F08702F" w14:textId="77777777" w:rsidR="00BB2493" w:rsidRPr="00C62D0D" w:rsidRDefault="00BB2493" w:rsidP="00FB500F">
            <w:pPr>
              <w:pStyle w:val="Tablewriting"/>
            </w:pPr>
            <w:r w:rsidRPr="00C62D0D">
              <w:t>13</w:t>
            </w:r>
          </w:p>
        </w:tc>
        <w:tc>
          <w:tcPr>
            <w:tcW w:w="3402" w:type="pct"/>
            <w:vAlign w:val="center"/>
            <w:hideMark/>
          </w:tcPr>
          <w:p w14:paraId="41C48853" w14:textId="77777777" w:rsidR="00BB2493" w:rsidRPr="00C62D0D" w:rsidRDefault="00BB2493" w:rsidP="00FB500F">
            <w:pPr>
              <w:pStyle w:val="Tablewriting"/>
            </w:pPr>
            <w:r w:rsidRPr="00C62D0D">
              <w:t xml:space="preserve">Did the review authors account for RoB in individual studies when interpreting/ discussing the results of the review? </w:t>
            </w:r>
          </w:p>
        </w:tc>
        <w:tc>
          <w:tcPr>
            <w:tcW w:w="439" w:type="pct"/>
            <w:vAlign w:val="center"/>
            <w:hideMark/>
          </w:tcPr>
          <w:p w14:paraId="2BAEBC68" w14:textId="46C97276" w:rsidR="00BB2493" w:rsidRPr="00C62D0D" w:rsidRDefault="00DF487B" w:rsidP="0010575F">
            <w:pPr>
              <w:pStyle w:val="Tablewriting"/>
            </w:pPr>
            <w:r>
              <w:t>Yes</w:t>
            </w:r>
          </w:p>
        </w:tc>
        <w:tc>
          <w:tcPr>
            <w:tcW w:w="512" w:type="pct"/>
            <w:vAlign w:val="center"/>
          </w:tcPr>
          <w:p w14:paraId="43BA61CD" w14:textId="3938FF68" w:rsidR="00BB2493" w:rsidRPr="00C62D0D" w:rsidRDefault="00DF487B" w:rsidP="0010575F">
            <w:pPr>
              <w:pStyle w:val="Tablewriting"/>
            </w:pPr>
            <w:r>
              <w:t>Yes</w:t>
            </w:r>
          </w:p>
        </w:tc>
        <w:tc>
          <w:tcPr>
            <w:tcW w:w="487" w:type="pct"/>
            <w:vAlign w:val="center"/>
          </w:tcPr>
          <w:p w14:paraId="17C14AF6" w14:textId="5AAB158B" w:rsidR="00BB2493" w:rsidRPr="00C62D0D" w:rsidRDefault="00DF487B" w:rsidP="0010575F">
            <w:pPr>
              <w:pStyle w:val="Tablewriting"/>
            </w:pPr>
            <w:r>
              <w:t>Yes</w:t>
            </w:r>
          </w:p>
        </w:tc>
      </w:tr>
      <w:tr w:rsidR="00BB2493" w:rsidRPr="00C62D0D" w14:paraId="54A6F697" w14:textId="1352FD6E" w:rsidTr="00D0517F">
        <w:trPr>
          <w:trHeight w:val="213"/>
        </w:trPr>
        <w:tc>
          <w:tcPr>
            <w:tcW w:w="160" w:type="pct"/>
            <w:vAlign w:val="center"/>
            <w:hideMark/>
          </w:tcPr>
          <w:p w14:paraId="2AD5CB11" w14:textId="77777777" w:rsidR="00BB2493" w:rsidRPr="00C62D0D" w:rsidRDefault="00BB2493" w:rsidP="00FB500F">
            <w:pPr>
              <w:pStyle w:val="Tablewriting"/>
            </w:pPr>
            <w:r w:rsidRPr="00C62D0D">
              <w:t>14</w:t>
            </w:r>
          </w:p>
        </w:tc>
        <w:tc>
          <w:tcPr>
            <w:tcW w:w="3402" w:type="pct"/>
            <w:vAlign w:val="center"/>
            <w:hideMark/>
          </w:tcPr>
          <w:p w14:paraId="66DC13C7" w14:textId="77777777" w:rsidR="00BB2493" w:rsidRPr="00C62D0D" w:rsidRDefault="00BB2493" w:rsidP="00FB500F">
            <w:pPr>
              <w:pStyle w:val="Tablewriting"/>
            </w:pPr>
            <w:r w:rsidRPr="00C62D0D">
              <w:t xml:space="preserve">Did the review authors provide a satisfactory explanation for, and discussion of, any heterogeneity observed in the results of the review? </w:t>
            </w:r>
          </w:p>
        </w:tc>
        <w:tc>
          <w:tcPr>
            <w:tcW w:w="439" w:type="pct"/>
            <w:vAlign w:val="center"/>
            <w:hideMark/>
          </w:tcPr>
          <w:p w14:paraId="23EFB9DF" w14:textId="2B5A3B3E" w:rsidR="00BB2493" w:rsidRPr="00C62D0D" w:rsidRDefault="002D2CA9" w:rsidP="0010575F">
            <w:pPr>
              <w:pStyle w:val="Tablewriting"/>
            </w:pPr>
            <w:r>
              <w:t>Yes</w:t>
            </w:r>
          </w:p>
        </w:tc>
        <w:tc>
          <w:tcPr>
            <w:tcW w:w="512" w:type="pct"/>
            <w:vAlign w:val="center"/>
          </w:tcPr>
          <w:p w14:paraId="5355DACC" w14:textId="2A74A61F" w:rsidR="00BB2493" w:rsidRPr="00C62D0D" w:rsidRDefault="00927F8F" w:rsidP="0010575F">
            <w:pPr>
              <w:pStyle w:val="Tablewriting"/>
            </w:pPr>
            <w:r>
              <w:t>No</w:t>
            </w:r>
          </w:p>
        </w:tc>
        <w:tc>
          <w:tcPr>
            <w:tcW w:w="487" w:type="pct"/>
            <w:vAlign w:val="center"/>
          </w:tcPr>
          <w:p w14:paraId="71D130A3" w14:textId="538969D3" w:rsidR="00BB2493" w:rsidRPr="00C62D0D" w:rsidRDefault="00503403" w:rsidP="0010575F">
            <w:pPr>
              <w:pStyle w:val="Tablewriting"/>
            </w:pPr>
            <w:r>
              <w:t>Yes</w:t>
            </w:r>
          </w:p>
        </w:tc>
      </w:tr>
      <w:tr w:rsidR="00BB2493" w:rsidRPr="00C62D0D" w14:paraId="57F449E8" w14:textId="77F64726" w:rsidTr="00D0517F">
        <w:trPr>
          <w:trHeight w:val="149"/>
        </w:trPr>
        <w:tc>
          <w:tcPr>
            <w:tcW w:w="160" w:type="pct"/>
            <w:vAlign w:val="center"/>
            <w:hideMark/>
          </w:tcPr>
          <w:p w14:paraId="244ED21A" w14:textId="77777777" w:rsidR="00BB2493" w:rsidRPr="00C62D0D" w:rsidRDefault="00BB2493" w:rsidP="00FB500F">
            <w:pPr>
              <w:pStyle w:val="Tablewriting"/>
            </w:pPr>
            <w:r w:rsidRPr="00C62D0D">
              <w:t>15</w:t>
            </w:r>
          </w:p>
        </w:tc>
        <w:tc>
          <w:tcPr>
            <w:tcW w:w="3402" w:type="pct"/>
            <w:vAlign w:val="center"/>
            <w:hideMark/>
          </w:tcPr>
          <w:p w14:paraId="7EDF01B7" w14:textId="77777777" w:rsidR="00BB2493" w:rsidRPr="00C62D0D" w:rsidRDefault="00BB2493" w:rsidP="00FB500F">
            <w:pPr>
              <w:pStyle w:val="Tablewriting"/>
            </w:pPr>
            <w:r w:rsidRPr="00C62D0D">
              <w:t xml:space="preserve">If they performed quantitative synthesis did the review authors carry out an adequate investigation of publication bias (small study bias) and discuss its likely impact on the results of the review? </w:t>
            </w:r>
          </w:p>
        </w:tc>
        <w:tc>
          <w:tcPr>
            <w:tcW w:w="439" w:type="pct"/>
            <w:vAlign w:val="center"/>
            <w:hideMark/>
          </w:tcPr>
          <w:p w14:paraId="4C51B441" w14:textId="1F40B074" w:rsidR="00BB2493" w:rsidRPr="00C62D0D" w:rsidRDefault="00DF487B" w:rsidP="0010575F">
            <w:pPr>
              <w:pStyle w:val="Tablewriting"/>
            </w:pPr>
            <w:r>
              <w:t>No</w:t>
            </w:r>
          </w:p>
        </w:tc>
        <w:tc>
          <w:tcPr>
            <w:tcW w:w="512" w:type="pct"/>
            <w:vAlign w:val="center"/>
          </w:tcPr>
          <w:p w14:paraId="6184A6F8" w14:textId="0FBE089E" w:rsidR="00BB2493" w:rsidRPr="00C62D0D" w:rsidRDefault="00DF487B" w:rsidP="0010575F">
            <w:pPr>
              <w:pStyle w:val="Tablewriting"/>
            </w:pPr>
            <w:r>
              <w:t>Yes</w:t>
            </w:r>
          </w:p>
        </w:tc>
        <w:tc>
          <w:tcPr>
            <w:tcW w:w="487" w:type="pct"/>
            <w:vAlign w:val="center"/>
          </w:tcPr>
          <w:p w14:paraId="3E1483B7" w14:textId="085D4AE7" w:rsidR="00BB2493" w:rsidRPr="00C62D0D" w:rsidRDefault="00DF487B" w:rsidP="0010575F">
            <w:pPr>
              <w:pStyle w:val="Tablewriting"/>
            </w:pPr>
            <w:r>
              <w:t>Yes</w:t>
            </w:r>
          </w:p>
        </w:tc>
      </w:tr>
      <w:tr w:rsidR="00BB2493" w:rsidRPr="00C62D0D" w14:paraId="3EF31CB6" w14:textId="3B7AE5A0" w:rsidTr="00D0517F">
        <w:trPr>
          <w:trHeight w:val="267"/>
        </w:trPr>
        <w:tc>
          <w:tcPr>
            <w:tcW w:w="160" w:type="pct"/>
            <w:vAlign w:val="center"/>
            <w:hideMark/>
          </w:tcPr>
          <w:p w14:paraId="51C4363A" w14:textId="77777777" w:rsidR="00BB2493" w:rsidRPr="00C62D0D" w:rsidRDefault="00BB2493" w:rsidP="00FB500F">
            <w:pPr>
              <w:pStyle w:val="Tablewriting"/>
            </w:pPr>
            <w:r w:rsidRPr="00C62D0D">
              <w:t>16</w:t>
            </w:r>
          </w:p>
        </w:tc>
        <w:tc>
          <w:tcPr>
            <w:tcW w:w="3402" w:type="pct"/>
            <w:vAlign w:val="center"/>
            <w:hideMark/>
          </w:tcPr>
          <w:p w14:paraId="6F612CF4" w14:textId="77777777" w:rsidR="00BB2493" w:rsidRPr="00C62D0D" w:rsidRDefault="00BB2493" w:rsidP="00FB500F">
            <w:pPr>
              <w:pStyle w:val="Tablewriting"/>
            </w:pPr>
            <w:r w:rsidRPr="00C62D0D">
              <w:t xml:space="preserve">Did the review authors report any potential sources of conflict of interest, including any funding they received for conducting the review? </w:t>
            </w:r>
          </w:p>
        </w:tc>
        <w:tc>
          <w:tcPr>
            <w:tcW w:w="439" w:type="pct"/>
            <w:vAlign w:val="center"/>
            <w:hideMark/>
          </w:tcPr>
          <w:p w14:paraId="7E067D54" w14:textId="7E0F278D" w:rsidR="00BB2493" w:rsidRPr="00C62D0D" w:rsidRDefault="00DF487B" w:rsidP="0010575F">
            <w:pPr>
              <w:pStyle w:val="Tablewriting"/>
            </w:pPr>
            <w:r>
              <w:t>Yes</w:t>
            </w:r>
          </w:p>
        </w:tc>
        <w:tc>
          <w:tcPr>
            <w:tcW w:w="512" w:type="pct"/>
            <w:vAlign w:val="center"/>
          </w:tcPr>
          <w:p w14:paraId="7B051B09" w14:textId="266D4FCC" w:rsidR="00BB2493" w:rsidRPr="00C62D0D" w:rsidRDefault="00DF487B" w:rsidP="0010575F">
            <w:pPr>
              <w:pStyle w:val="Tablewriting"/>
            </w:pPr>
            <w:r>
              <w:t>Yes</w:t>
            </w:r>
          </w:p>
        </w:tc>
        <w:tc>
          <w:tcPr>
            <w:tcW w:w="487" w:type="pct"/>
            <w:vAlign w:val="center"/>
          </w:tcPr>
          <w:p w14:paraId="74C7EF28" w14:textId="4A9B1D73" w:rsidR="00BB2493" w:rsidRPr="00C62D0D" w:rsidRDefault="00DF487B" w:rsidP="0010575F">
            <w:pPr>
              <w:pStyle w:val="Tablewriting"/>
            </w:pPr>
            <w:r>
              <w:t>Yes</w:t>
            </w:r>
          </w:p>
        </w:tc>
      </w:tr>
    </w:tbl>
    <w:p w14:paraId="68C199A9" w14:textId="2287B3AC" w:rsidR="00404D7A" w:rsidRPr="00404D7A" w:rsidRDefault="00E83C1A" w:rsidP="00AB465E">
      <w:pPr>
        <w:pStyle w:val="TableFooter"/>
      </w:pPr>
      <w:r>
        <w:t xml:space="preserve">Abbreviations: AMSTAR = </w:t>
      </w:r>
      <w:r w:rsidRPr="00C269D8">
        <w:t>Assessing the Methodological Quality of Systematic Reviews</w:t>
      </w:r>
      <w:r>
        <w:t>;</w:t>
      </w:r>
      <w:r w:rsidRPr="00C269D8">
        <w:t xml:space="preserve"> </w:t>
      </w:r>
      <w:r>
        <w:t>RoB = risk of bias</w:t>
      </w:r>
    </w:p>
    <w:p w14:paraId="09F89A0C" w14:textId="380CA53B" w:rsidR="000D14FB" w:rsidRPr="00A36ED1" w:rsidRDefault="00701DEA" w:rsidP="00321710">
      <w:pPr>
        <w:pStyle w:val="Heading3"/>
        <w:numPr>
          <w:ilvl w:val="0"/>
          <w:numId w:val="0"/>
        </w:numPr>
        <w:spacing w:before="0" w:after="120"/>
        <w:jc w:val="both"/>
      </w:pPr>
      <w:bookmarkStart w:id="319" w:name="_Toc115254526"/>
      <w:r>
        <w:lastRenderedPageBreak/>
        <w:t>A.</w:t>
      </w:r>
      <w:r w:rsidR="00120334">
        <w:t>8</w:t>
      </w:r>
      <w:r w:rsidR="00FD59DC" w:rsidRPr="00E85569">
        <w:t xml:space="preserve"> </w:t>
      </w:r>
      <w:r w:rsidR="000D14FB" w:rsidRPr="00E85569">
        <w:t>Characteristics of Supplemental RCT evidence</w:t>
      </w:r>
      <w:bookmarkEnd w:id="319"/>
    </w:p>
    <w:p w14:paraId="0EA02C4C" w14:textId="429B069E" w:rsidR="006A4263" w:rsidRDefault="006A4263" w:rsidP="00321710">
      <w:pPr>
        <w:pStyle w:val="Caption"/>
        <w:keepNext/>
        <w:spacing w:before="0" w:after="120"/>
        <w:jc w:val="both"/>
      </w:pPr>
      <w:bookmarkStart w:id="320" w:name="_Ref61472406"/>
      <w:r>
        <w:t xml:space="preserve">Table </w:t>
      </w:r>
      <w:r w:rsidR="00BF3F75">
        <w:fldChar w:fldCharType="begin"/>
      </w:r>
      <w:r w:rsidR="00BF3F75">
        <w:instrText xml:space="preserve"> SEQ Table \* ARABIC </w:instrText>
      </w:r>
      <w:r w:rsidR="00BF3F75">
        <w:fldChar w:fldCharType="separate"/>
      </w:r>
      <w:r w:rsidR="00EC5CC7">
        <w:rPr>
          <w:noProof/>
        </w:rPr>
        <w:t>142</w:t>
      </w:r>
      <w:r w:rsidR="00BF3F75">
        <w:rPr>
          <w:noProof/>
        </w:rPr>
        <w:fldChar w:fldCharType="end"/>
      </w:r>
      <w:bookmarkEnd w:id="320"/>
      <w:r>
        <w:t xml:space="preserve">: </w:t>
      </w:r>
      <w:r w:rsidRPr="00A36FBA">
        <w:t xml:space="preserve">Characteristics of </w:t>
      </w:r>
      <w:r w:rsidR="003B6885">
        <w:t>s</w:t>
      </w:r>
      <w:r w:rsidRPr="00A36FBA">
        <w:t>upplemental RCT evidence</w:t>
      </w:r>
      <w:r w:rsidR="003B6885">
        <w:t xml:space="preserve"> (n=22)</w:t>
      </w:r>
    </w:p>
    <w:tbl>
      <w:tblPr>
        <w:tblStyle w:val="TableGrid"/>
        <w:tblW w:w="5000" w:type="pct"/>
        <w:tblLook w:val="04A0" w:firstRow="1" w:lastRow="0" w:firstColumn="1" w:lastColumn="0" w:noHBand="0" w:noVBand="1"/>
        <w:tblCaption w:val="Efficacy results of adalimumab trials (PASI 75 and DLQI)"/>
      </w:tblPr>
      <w:tblGrid>
        <w:gridCol w:w="516"/>
        <w:gridCol w:w="1343"/>
        <w:gridCol w:w="1047"/>
        <w:gridCol w:w="1151"/>
        <w:gridCol w:w="1429"/>
        <w:gridCol w:w="3176"/>
        <w:gridCol w:w="2244"/>
        <w:gridCol w:w="3042"/>
      </w:tblGrid>
      <w:tr w:rsidR="00116486" w:rsidRPr="00061F78" w14:paraId="721829F5" w14:textId="77777777" w:rsidTr="00D0517F">
        <w:trPr>
          <w:trHeight w:val="299"/>
          <w:tblHeader/>
        </w:trPr>
        <w:tc>
          <w:tcPr>
            <w:tcW w:w="189" w:type="pct"/>
            <w:shd w:val="clear" w:color="auto" w:fill="BFBFBF" w:themeFill="background1" w:themeFillShade="BF"/>
          </w:tcPr>
          <w:p w14:paraId="23F9C814" w14:textId="2F8F5785" w:rsidR="0050534C" w:rsidRDefault="0050534C" w:rsidP="00693DA2">
            <w:pPr>
              <w:pStyle w:val="Tableheading"/>
              <w:keepNext/>
              <w:rPr>
                <w:rFonts w:eastAsia="MS Mincho"/>
              </w:rPr>
            </w:pPr>
            <w:r>
              <w:rPr>
                <w:rFonts w:eastAsia="MS Mincho"/>
              </w:rPr>
              <w:t>No.</w:t>
            </w:r>
          </w:p>
        </w:tc>
        <w:tc>
          <w:tcPr>
            <w:tcW w:w="485" w:type="pct"/>
            <w:shd w:val="clear" w:color="auto" w:fill="BFBFBF" w:themeFill="background1" w:themeFillShade="BF"/>
            <w:tcMar>
              <w:left w:w="28" w:type="dxa"/>
              <w:right w:w="28" w:type="dxa"/>
            </w:tcMar>
          </w:tcPr>
          <w:p w14:paraId="6BBABF5F" w14:textId="04469CCB" w:rsidR="001835D1" w:rsidRPr="00061F78" w:rsidRDefault="001835D1" w:rsidP="00693DA2">
            <w:pPr>
              <w:pStyle w:val="Tableheading"/>
              <w:keepNext/>
              <w:rPr>
                <w:rFonts w:eastAsia="MS Mincho"/>
              </w:rPr>
            </w:pPr>
            <w:r>
              <w:rPr>
                <w:rFonts w:eastAsia="MS Mincho"/>
              </w:rPr>
              <w:t>Study</w:t>
            </w:r>
          </w:p>
        </w:tc>
        <w:tc>
          <w:tcPr>
            <w:tcW w:w="379" w:type="pct"/>
            <w:shd w:val="clear" w:color="auto" w:fill="BFBFBF" w:themeFill="background1" w:themeFillShade="BF"/>
          </w:tcPr>
          <w:p w14:paraId="764C95BF" w14:textId="77777777" w:rsidR="001835D1" w:rsidRDefault="001835D1" w:rsidP="00693DA2">
            <w:pPr>
              <w:pStyle w:val="Tableheading"/>
              <w:keepNext/>
              <w:jc w:val="center"/>
              <w:rPr>
                <w:rFonts w:eastAsia="MS Mincho"/>
              </w:rPr>
            </w:pPr>
            <w:r>
              <w:rPr>
                <w:rFonts w:eastAsia="MS Mincho"/>
              </w:rPr>
              <w:t>Study type</w:t>
            </w:r>
          </w:p>
        </w:tc>
        <w:tc>
          <w:tcPr>
            <w:tcW w:w="387" w:type="pct"/>
            <w:shd w:val="clear" w:color="auto" w:fill="BFBFBF" w:themeFill="background1" w:themeFillShade="BF"/>
          </w:tcPr>
          <w:p w14:paraId="7319B280" w14:textId="77777777" w:rsidR="001835D1" w:rsidRDefault="001835D1" w:rsidP="00693DA2">
            <w:pPr>
              <w:pStyle w:val="Tableheading"/>
              <w:keepNext/>
              <w:jc w:val="center"/>
              <w:rPr>
                <w:rFonts w:eastAsia="MS Mincho"/>
              </w:rPr>
            </w:pPr>
            <w:r>
              <w:rPr>
                <w:rFonts w:eastAsia="MS Mincho"/>
              </w:rPr>
              <w:t>Countries</w:t>
            </w:r>
          </w:p>
        </w:tc>
        <w:tc>
          <w:tcPr>
            <w:tcW w:w="516" w:type="pct"/>
            <w:shd w:val="clear" w:color="auto" w:fill="BFBFBF" w:themeFill="background1" w:themeFillShade="BF"/>
            <w:tcMar>
              <w:left w:w="28" w:type="dxa"/>
              <w:right w:w="28" w:type="dxa"/>
            </w:tcMar>
          </w:tcPr>
          <w:p w14:paraId="3BE1CAEB" w14:textId="0454E75F" w:rsidR="001835D1" w:rsidRPr="00061F78" w:rsidRDefault="001835D1" w:rsidP="00693DA2">
            <w:pPr>
              <w:pStyle w:val="Tableheading"/>
              <w:keepNext/>
              <w:jc w:val="center"/>
              <w:rPr>
                <w:rFonts w:eastAsia="MS Mincho"/>
              </w:rPr>
            </w:pPr>
            <w:r>
              <w:rPr>
                <w:rFonts w:eastAsia="MS Mincho"/>
              </w:rPr>
              <w:t>N</w:t>
            </w:r>
            <w:r w:rsidR="00EF4F5E" w:rsidRPr="00EF4F5E">
              <w:rPr>
                <w:rFonts w:eastAsia="MS Mincho"/>
                <w:vertAlign w:val="superscript"/>
              </w:rPr>
              <w:t>1</w:t>
            </w:r>
          </w:p>
        </w:tc>
        <w:tc>
          <w:tcPr>
            <w:tcW w:w="1142" w:type="pct"/>
            <w:shd w:val="clear" w:color="auto" w:fill="BFBFBF" w:themeFill="background1" w:themeFillShade="BF"/>
            <w:tcMar>
              <w:left w:w="28" w:type="dxa"/>
              <w:right w:w="28" w:type="dxa"/>
            </w:tcMar>
          </w:tcPr>
          <w:p w14:paraId="60325AEF" w14:textId="77777777" w:rsidR="001835D1" w:rsidRPr="00061F78" w:rsidRDefault="001835D1" w:rsidP="00693DA2">
            <w:pPr>
              <w:pStyle w:val="Tableheading"/>
              <w:keepNext/>
              <w:jc w:val="center"/>
              <w:rPr>
                <w:rFonts w:eastAsia="MS Mincho"/>
              </w:rPr>
            </w:pPr>
            <w:r w:rsidRPr="00061F78">
              <w:rPr>
                <w:rFonts w:eastAsia="MS Mincho"/>
              </w:rPr>
              <w:t>P</w:t>
            </w:r>
            <w:r>
              <w:rPr>
                <w:rFonts w:eastAsia="MS Mincho"/>
              </w:rPr>
              <w:t>opulation</w:t>
            </w:r>
          </w:p>
        </w:tc>
        <w:tc>
          <w:tcPr>
            <w:tcW w:w="808" w:type="pct"/>
            <w:shd w:val="clear" w:color="auto" w:fill="BFBFBF" w:themeFill="background1" w:themeFillShade="BF"/>
          </w:tcPr>
          <w:p w14:paraId="06D75A32" w14:textId="77777777" w:rsidR="001835D1" w:rsidRDefault="001835D1" w:rsidP="00693DA2">
            <w:pPr>
              <w:pStyle w:val="Tableheading"/>
              <w:keepNext/>
              <w:jc w:val="center"/>
              <w:rPr>
                <w:rFonts w:eastAsia="MS Mincho"/>
              </w:rPr>
            </w:pPr>
            <w:r>
              <w:rPr>
                <w:rFonts w:eastAsia="MS Mincho"/>
              </w:rPr>
              <w:t>Intervention and comparator</w:t>
            </w:r>
          </w:p>
        </w:tc>
        <w:tc>
          <w:tcPr>
            <w:tcW w:w="1094" w:type="pct"/>
            <w:shd w:val="clear" w:color="auto" w:fill="BFBFBF" w:themeFill="background1" w:themeFillShade="BF"/>
            <w:tcMar>
              <w:left w:w="28" w:type="dxa"/>
              <w:right w:w="28" w:type="dxa"/>
            </w:tcMar>
          </w:tcPr>
          <w:p w14:paraId="0EABDBB3" w14:textId="77777777" w:rsidR="001835D1" w:rsidRPr="00061F78" w:rsidRDefault="001835D1" w:rsidP="00693DA2">
            <w:pPr>
              <w:pStyle w:val="Tableheading"/>
              <w:keepNext/>
              <w:jc w:val="center"/>
              <w:rPr>
                <w:rFonts w:eastAsia="MS Mincho"/>
              </w:rPr>
            </w:pPr>
            <w:r>
              <w:rPr>
                <w:rFonts w:eastAsia="MS Mincho"/>
              </w:rPr>
              <w:t>Outcomes</w:t>
            </w:r>
          </w:p>
        </w:tc>
      </w:tr>
      <w:tr w:rsidR="00F040D5" w:rsidRPr="00061F78" w14:paraId="791FCB66" w14:textId="77777777" w:rsidTr="00D0517F">
        <w:trPr>
          <w:trHeight w:val="99"/>
        </w:trPr>
        <w:tc>
          <w:tcPr>
            <w:tcW w:w="189" w:type="pct"/>
          </w:tcPr>
          <w:p w14:paraId="4543D1BC" w14:textId="7989964F"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240E843B" w14:textId="52489332" w:rsidR="001835D1" w:rsidRPr="001E2154" w:rsidRDefault="001835D1" w:rsidP="00693DA2">
            <w:pPr>
              <w:pStyle w:val="Tableheading"/>
              <w:autoSpaceDE w:val="0"/>
              <w:autoSpaceDN w:val="0"/>
              <w:adjustRightInd w:val="0"/>
              <w:rPr>
                <w:rFonts w:eastAsiaTheme="minorEastAsia" w:cs="Calibri"/>
                <w:b w:val="0"/>
              </w:rPr>
            </w:pPr>
            <w:r>
              <w:rPr>
                <w:rFonts w:eastAsiaTheme="minorEastAsia" w:cs="Calibri"/>
                <w:b w:val="0"/>
              </w:rPr>
              <w:t>Xiao 2020</w:t>
            </w:r>
          </w:p>
        </w:tc>
        <w:tc>
          <w:tcPr>
            <w:tcW w:w="379" w:type="pct"/>
            <w:shd w:val="clear" w:color="auto" w:fill="auto"/>
          </w:tcPr>
          <w:p w14:paraId="5BF39862" w14:textId="77777777" w:rsidR="001835D1" w:rsidRPr="001E2154"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RCT</w:t>
            </w:r>
          </w:p>
        </w:tc>
        <w:tc>
          <w:tcPr>
            <w:tcW w:w="387" w:type="pct"/>
          </w:tcPr>
          <w:p w14:paraId="2B29D659" w14:textId="625FBE4D" w:rsidR="001835D1" w:rsidRPr="001E2154" w:rsidRDefault="00F1226F" w:rsidP="00693DA2">
            <w:pPr>
              <w:pStyle w:val="Tableheading"/>
              <w:autoSpaceDE w:val="0"/>
              <w:autoSpaceDN w:val="0"/>
              <w:adjustRightInd w:val="0"/>
              <w:rPr>
                <w:rFonts w:eastAsiaTheme="minorEastAsia" w:cs="Calibri"/>
                <w:b w:val="0"/>
              </w:rPr>
            </w:pPr>
            <w:r>
              <w:rPr>
                <w:rFonts w:eastAsiaTheme="minorEastAsia" w:cs="Calibri"/>
                <w:b w:val="0"/>
              </w:rPr>
              <w:t>China</w:t>
            </w:r>
          </w:p>
        </w:tc>
        <w:tc>
          <w:tcPr>
            <w:tcW w:w="516" w:type="pct"/>
            <w:shd w:val="clear" w:color="auto" w:fill="auto"/>
            <w:tcMar>
              <w:left w:w="28" w:type="dxa"/>
              <w:right w:w="28" w:type="dxa"/>
            </w:tcMar>
          </w:tcPr>
          <w:p w14:paraId="7F10D9A3" w14:textId="0E1476A1" w:rsidR="001835D1" w:rsidRPr="001E2154"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5120ED">
              <w:rPr>
                <w:rFonts w:eastAsiaTheme="minorEastAsia" w:cs="Calibri"/>
                <w:b w:val="0"/>
              </w:rPr>
              <w:t>723</w:t>
            </w:r>
            <w:r w:rsidRPr="001E2154">
              <w:rPr>
                <w:rFonts w:eastAsiaTheme="minorEastAsia" w:cs="Calibri"/>
                <w:b w:val="0"/>
              </w:rPr>
              <w:t>;</w:t>
            </w:r>
          </w:p>
          <w:p w14:paraId="209E75BF" w14:textId="77777777" w:rsidR="00116486" w:rsidRDefault="00116486" w:rsidP="00693DA2">
            <w:pPr>
              <w:pStyle w:val="Tableheading"/>
              <w:autoSpaceDE w:val="0"/>
              <w:autoSpaceDN w:val="0"/>
              <w:adjustRightInd w:val="0"/>
              <w:rPr>
                <w:rFonts w:eastAsiaTheme="minorEastAsia" w:cs="Calibri"/>
                <w:b w:val="0"/>
              </w:rPr>
            </w:pPr>
            <w:r>
              <w:rPr>
                <w:rFonts w:eastAsiaTheme="minorEastAsia" w:cs="Calibri"/>
                <w:b w:val="0"/>
              </w:rPr>
              <w:t>High dependence</w:t>
            </w:r>
          </w:p>
          <w:p w14:paraId="5CE7E775" w14:textId="1384F802" w:rsidR="00B325A0"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B325A0">
              <w:rPr>
                <w:rFonts w:eastAsiaTheme="minorEastAsia" w:cs="Calibri"/>
                <w:b w:val="0"/>
              </w:rPr>
              <w:t>120</w:t>
            </w:r>
            <w:r w:rsidR="002C30FC">
              <w:rPr>
                <w:rFonts w:eastAsiaTheme="minorEastAsia" w:cs="Calibri"/>
                <w:b w:val="0"/>
              </w:rPr>
              <w:t>,</w:t>
            </w:r>
          </w:p>
          <w:p w14:paraId="3DE8C233" w14:textId="77777777" w:rsidR="00B325A0" w:rsidRDefault="00B325A0" w:rsidP="00693DA2">
            <w:pPr>
              <w:pStyle w:val="Tableheading"/>
              <w:autoSpaceDE w:val="0"/>
              <w:autoSpaceDN w:val="0"/>
              <w:adjustRightInd w:val="0"/>
              <w:rPr>
                <w:rFonts w:eastAsiaTheme="minorEastAsia" w:cs="Calibri"/>
                <w:b w:val="0"/>
              </w:rPr>
            </w:pPr>
            <w:r>
              <w:rPr>
                <w:rFonts w:eastAsiaTheme="minorEastAsia" w:cs="Calibri"/>
                <w:b w:val="0"/>
              </w:rPr>
              <w:t>Low dependence</w:t>
            </w:r>
          </w:p>
          <w:p w14:paraId="4542C849" w14:textId="77777777" w:rsidR="00F040D5" w:rsidRDefault="00B325A0" w:rsidP="00693DA2">
            <w:pPr>
              <w:pStyle w:val="Tableheading"/>
              <w:autoSpaceDE w:val="0"/>
              <w:autoSpaceDN w:val="0"/>
              <w:adjustRightInd w:val="0"/>
              <w:rPr>
                <w:rFonts w:eastAsiaTheme="minorEastAsia" w:cs="Calibri"/>
                <w:b w:val="0"/>
              </w:rPr>
            </w:pPr>
            <w:r>
              <w:rPr>
                <w:rFonts w:eastAsiaTheme="minorEastAsia" w:cs="Calibri"/>
                <w:b w:val="0"/>
              </w:rPr>
              <w:t>n=</w:t>
            </w:r>
            <w:r w:rsidR="00F040D5">
              <w:rPr>
                <w:rFonts w:eastAsiaTheme="minorEastAsia" w:cs="Calibri"/>
                <w:b w:val="0"/>
              </w:rPr>
              <w:t>241</w:t>
            </w:r>
            <w:r w:rsidR="001835D1" w:rsidRPr="001E2154">
              <w:rPr>
                <w:rFonts w:eastAsiaTheme="minorEastAsia" w:cs="Calibri"/>
                <w:b w:val="0"/>
              </w:rPr>
              <w:t xml:space="preserve"> (bupropion), </w:t>
            </w:r>
            <w:r w:rsidR="00F040D5">
              <w:rPr>
                <w:rFonts w:eastAsiaTheme="minorEastAsia" w:cs="Calibri"/>
                <w:b w:val="0"/>
              </w:rPr>
              <w:t>High dependence</w:t>
            </w:r>
          </w:p>
          <w:p w14:paraId="17537335" w14:textId="2774C1CB" w:rsidR="00F040D5" w:rsidRDefault="001835D1" w:rsidP="00693DA2">
            <w:pPr>
              <w:pStyle w:val="Tableheading"/>
              <w:autoSpaceDE w:val="0"/>
              <w:autoSpaceDN w:val="0"/>
              <w:adjustRightInd w:val="0"/>
              <w:rPr>
                <w:rFonts w:eastAsiaTheme="minorEastAsia" w:cs="Calibri"/>
                <w:b w:val="0"/>
              </w:rPr>
            </w:pPr>
            <w:r w:rsidRPr="001E2154">
              <w:rPr>
                <w:rFonts w:eastAsiaTheme="minorEastAsia" w:cs="Calibri"/>
                <w:b w:val="0"/>
              </w:rPr>
              <w:t>n=</w:t>
            </w:r>
            <w:r w:rsidR="00F040D5">
              <w:rPr>
                <w:rFonts w:eastAsiaTheme="minorEastAsia" w:cs="Calibri"/>
                <w:b w:val="0"/>
              </w:rPr>
              <w:t>120</w:t>
            </w:r>
            <w:r w:rsidR="002C30FC">
              <w:rPr>
                <w:rFonts w:eastAsiaTheme="minorEastAsia" w:cs="Calibri"/>
                <w:b w:val="0"/>
              </w:rPr>
              <w:t>,</w:t>
            </w:r>
          </w:p>
          <w:p w14:paraId="33026CD2" w14:textId="77777777" w:rsidR="00F040D5" w:rsidRDefault="00F040D5" w:rsidP="00693DA2">
            <w:pPr>
              <w:pStyle w:val="Tableheading"/>
              <w:autoSpaceDE w:val="0"/>
              <w:autoSpaceDN w:val="0"/>
              <w:adjustRightInd w:val="0"/>
              <w:rPr>
                <w:rFonts w:eastAsiaTheme="minorEastAsia" w:cs="Calibri"/>
                <w:b w:val="0"/>
              </w:rPr>
            </w:pPr>
            <w:r>
              <w:rPr>
                <w:rFonts w:eastAsiaTheme="minorEastAsia" w:cs="Calibri"/>
                <w:b w:val="0"/>
              </w:rPr>
              <w:t>Low dependence</w:t>
            </w:r>
          </w:p>
          <w:p w14:paraId="447A4317" w14:textId="5E57A963" w:rsidR="001835D1" w:rsidRPr="001E2154" w:rsidRDefault="00F040D5" w:rsidP="00693DA2">
            <w:pPr>
              <w:pStyle w:val="Tableheading"/>
              <w:autoSpaceDE w:val="0"/>
              <w:autoSpaceDN w:val="0"/>
              <w:adjustRightInd w:val="0"/>
              <w:rPr>
                <w:rFonts w:eastAsiaTheme="minorEastAsia" w:cs="Calibri"/>
                <w:b w:val="0"/>
              </w:rPr>
            </w:pPr>
            <w:r>
              <w:rPr>
                <w:rFonts w:eastAsiaTheme="minorEastAsia" w:cs="Calibri"/>
                <w:b w:val="0"/>
              </w:rPr>
              <w:t>n=</w:t>
            </w:r>
            <w:r w:rsidR="00446BE7">
              <w:rPr>
                <w:rFonts w:eastAsiaTheme="minorEastAsia" w:cs="Calibri"/>
                <w:b w:val="0"/>
              </w:rPr>
              <w:t>242</w:t>
            </w:r>
            <w:r w:rsidR="001835D1" w:rsidRPr="001E2154">
              <w:rPr>
                <w:rFonts w:eastAsiaTheme="minorEastAsia" w:cs="Calibri"/>
                <w:b w:val="0"/>
              </w:rPr>
              <w:t xml:space="preserve"> (placebo</w:t>
            </w:r>
            <w:r w:rsidR="0050534C" w:rsidRPr="001E2154">
              <w:rPr>
                <w:rFonts w:eastAsiaTheme="minorEastAsia" w:cs="Calibri"/>
                <w:b w:val="0"/>
              </w:rPr>
              <w:t>)</w:t>
            </w:r>
            <w:r w:rsidR="002C30FC">
              <w:rPr>
                <w:rFonts w:eastAsiaTheme="minorEastAsia" w:cs="Calibri"/>
                <w:b w:val="0"/>
              </w:rPr>
              <w:t>.</w:t>
            </w:r>
          </w:p>
        </w:tc>
        <w:tc>
          <w:tcPr>
            <w:tcW w:w="1142" w:type="pct"/>
            <w:shd w:val="clear" w:color="auto" w:fill="auto"/>
            <w:tcMar>
              <w:left w:w="28" w:type="dxa"/>
              <w:right w:w="28" w:type="dxa"/>
            </w:tcMar>
          </w:tcPr>
          <w:p w14:paraId="568BC676" w14:textId="6D6F6B9B" w:rsidR="00446BE7" w:rsidRPr="00446BE7" w:rsidRDefault="00446BE7" w:rsidP="00446BE7">
            <w:pPr>
              <w:pStyle w:val="Tableheading"/>
              <w:autoSpaceDE w:val="0"/>
              <w:autoSpaceDN w:val="0"/>
              <w:adjustRightInd w:val="0"/>
              <w:rPr>
                <w:rFonts w:eastAsiaTheme="minorEastAsia" w:cs="Calibri"/>
                <w:b w:val="0"/>
              </w:rPr>
            </w:pPr>
            <w:r w:rsidRPr="00446BE7">
              <w:rPr>
                <w:rFonts w:eastAsiaTheme="minorEastAsia" w:cs="Calibri"/>
                <w:b w:val="0"/>
              </w:rPr>
              <w:t xml:space="preserve">Adult </w:t>
            </w:r>
            <w:r w:rsidR="0050534C" w:rsidRPr="00446BE7">
              <w:rPr>
                <w:rFonts w:eastAsiaTheme="minorEastAsia" w:cs="Calibri"/>
                <w:b w:val="0"/>
              </w:rPr>
              <w:t>(</w:t>
            </w:r>
            <w:r w:rsidR="00A314FD" w:rsidRPr="00A314FD">
              <w:rPr>
                <w:rFonts w:eastAsiaTheme="minorEastAsia" w:cs="Calibri"/>
                <w:b w:val="0"/>
              </w:rPr>
              <w:t xml:space="preserve">≥ </w:t>
            </w:r>
            <w:r w:rsidR="0050534C" w:rsidRPr="00446BE7">
              <w:rPr>
                <w:rFonts w:eastAsiaTheme="minorEastAsia" w:cs="Calibri"/>
                <w:b w:val="0"/>
              </w:rPr>
              <w:t>18</w:t>
            </w:r>
            <w:r w:rsidR="00A314FD">
              <w:rPr>
                <w:rFonts w:eastAsiaTheme="minorEastAsia" w:cs="Calibri"/>
                <w:b w:val="0"/>
              </w:rPr>
              <w:t xml:space="preserve"> </w:t>
            </w:r>
            <w:r w:rsidR="0050534C" w:rsidRPr="00446BE7">
              <w:rPr>
                <w:rFonts w:eastAsiaTheme="minorEastAsia" w:cs="Calibri"/>
                <w:b w:val="0"/>
              </w:rPr>
              <w:t>y</w:t>
            </w:r>
            <w:r w:rsidR="00A314FD">
              <w:rPr>
                <w:rFonts w:eastAsiaTheme="minorEastAsia" w:cs="Calibri"/>
                <w:b w:val="0"/>
              </w:rPr>
              <w:t>ears</w:t>
            </w:r>
            <w:r w:rsidR="0050534C" w:rsidRPr="00446BE7">
              <w:rPr>
                <w:rFonts w:eastAsiaTheme="minorEastAsia" w:cs="Calibri"/>
                <w:b w:val="0"/>
              </w:rPr>
              <w:t>)</w:t>
            </w:r>
            <w:r w:rsidRPr="00446BE7">
              <w:rPr>
                <w:rFonts w:eastAsiaTheme="minorEastAsia" w:cs="Calibri"/>
                <w:b w:val="0"/>
              </w:rPr>
              <w:t xml:space="preserve"> daily smokers </w:t>
            </w:r>
            <w:r w:rsidR="0050534C" w:rsidRPr="00446BE7">
              <w:rPr>
                <w:rFonts w:eastAsiaTheme="minorEastAsia" w:cs="Calibri"/>
                <w:b w:val="0"/>
              </w:rPr>
              <w:t>(</w:t>
            </w:r>
            <w:r w:rsidR="00A314FD" w:rsidRPr="00A314FD">
              <w:rPr>
                <w:rFonts w:eastAsiaTheme="minorEastAsia" w:cs="Calibri"/>
                <w:b w:val="0"/>
              </w:rPr>
              <w:t xml:space="preserve">≥ </w:t>
            </w:r>
            <w:r w:rsidRPr="00446BE7">
              <w:rPr>
                <w:rFonts w:eastAsiaTheme="minorEastAsia" w:cs="Calibri"/>
                <w:b w:val="0"/>
              </w:rPr>
              <w:t>1 year) motivated to quit</w:t>
            </w:r>
            <w:r w:rsidR="00554906">
              <w:rPr>
                <w:rFonts w:eastAsiaTheme="minorEastAsia" w:cs="Calibri"/>
                <w:b w:val="0"/>
              </w:rPr>
              <w:t>.</w:t>
            </w:r>
          </w:p>
          <w:p w14:paraId="216CB362" w14:textId="0187AA8B" w:rsidR="001835D1" w:rsidRPr="001E2154" w:rsidRDefault="00446BE7" w:rsidP="00446BE7">
            <w:pPr>
              <w:pStyle w:val="Tableheading"/>
              <w:autoSpaceDE w:val="0"/>
              <w:autoSpaceDN w:val="0"/>
              <w:adjustRightInd w:val="0"/>
              <w:rPr>
                <w:rFonts w:eastAsiaTheme="minorEastAsia" w:cs="Calibri"/>
                <w:b w:val="0"/>
              </w:rPr>
            </w:pPr>
            <w:r w:rsidRPr="00621F25">
              <w:rPr>
                <w:rFonts w:eastAsiaTheme="minorEastAsia" w:cs="Calibri"/>
                <w:b w:val="0"/>
                <w:u w:val="single"/>
              </w:rPr>
              <w:t>Exclusions</w:t>
            </w:r>
            <w:r w:rsidRPr="00446BE7">
              <w:rPr>
                <w:rFonts w:eastAsiaTheme="minorEastAsia" w:cs="Calibri"/>
                <w:b w:val="0"/>
              </w:rPr>
              <w:t>:</w:t>
            </w:r>
            <w:r w:rsidR="00621F25">
              <w:rPr>
                <w:rFonts w:eastAsiaTheme="minorEastAsia" w:cs="Calibri"/>
                <w:b w:val="0"/>
              </w:rPr>
              <w:t xml:space="preserve"> </w:t>
            </w:r>
            <w:r>
              <w:rPr>
                <w:rFonts w:eastAsiaTheme="minorEastAsia" w:cs="Calibri"/>
                <w:b w:val="0"/>
              </w:rPr>
              <w:t>N</w:t>
            </w:r>
            <w:r w:rsidRPr="00446BE7">
              <w:rPr>
                <w:rFonts w:eastAsiaTheme="minorEastAsia" w:cs="Calibri"/>
                <w:b w:val="0"/>
              </w:rPr>
              <w:t>on-cigarette tobacco use or other NRT, illicit substance use, smoking cessation aids within 30 days, history of drug or alcohol use, involvement in other clinical trial, preg</w:t>
            </w:r>
            <w:r>
              <w:rPr>
                <w:rFonts w:eastAsiaTheme="minorEastAsia" w:cs="Calibri"/>
                <w:b w:val="0"/>
              </w:rPr>
              <w:t>n</w:t>
            </w:r>
            <w:r w:rsidRPr="00446BE7">
              <w:rPr>
                <w:rFonts w:eastAsiaTheme="minorEastAsia" w:cs="Calibri"/>
                <w:b w:val="0"/>
              </w:rPr>
              <w:t>ant, breastfeeding, childbearing potential refusing medical contraception, unstable or uncontrolled medical conditions, hyperthyr</w:t>
            </w:r>
            <w:r w:rsidR="00F64DCB">
              <w:rPr>
                <w:rFonts w:eastAsiaTheme="minorEastAsia" w:cs="Calibri"/>
                <w:b w:val="0"/>
              </w:rPr>
              <w:t>oi</w:t>
            </w:r>
            <w:r w:rsidRPr="00446BE7">
              <w:rPr>
                <w:rFonts w:eastAsiaTheme="minorEastAsia" w:cs="Calibri"/>
                <w:b w:val="0"/>
              </w:rPr>
              <w:t xml:space="preserve">dism or used medical insulin for diabetes, recent MI or cerebral vascular accidents, allergy to aspartame or phenylpyruvic acid, </w:t>
            </w:r>
            <w:r w:rsidR="009E7142" w:rsidRPr="00446BE7">
              <w:rPr>
                <w:rFonts w:eastAsiaTheme="minorEastAsia" w:cs="Calibri"/>
                <w:b w:val="0"/>
              </w:rPr>
              <w:t>phenylketonuria</w:t>
            </w:r>
            <w:r w:rsidRPr="00446BE7">
              <w:rPr>
                <w:rFonts w:eastAsiaTheme="minorEastAsia" w:cs="Calibri"/>
                <w:b w:val="0"/>
              </w:rPr>
              <w:t xml:space="preserve"> diagnosis, medical hist</w:t>
            </w:r>
            <w:r w:rsidR="00F64DCB">
              <w:rPr>
                <w:rFonts w:eastAsiaTheme="minorEastAsia" w:cs="Calibri"/>
                <w:b w:val="0"/>
              </w:rPr>
              <w:t>o</w:t>
            </w:r>
            <w:r w:rsidRPr="00446BE7">
              <w:rPr>
                <w:rFonts w:eastAsiaTheme="minorEastAsia" w:cs="Calibri"/>
                <w:b w:val="0"/>
              </w:rPr>
              <w:t>ry endangering subject safety or study re</w:t>
            </w:r>
            <w:r w:rsidR="00F64DCB">
              <w:rPr>
                <w:rFonts w:eastAsiaTheme="minorEastAsia" w:cs="Calibri"/>
                <w:b w:val="0"/>
              </w:rPr>
              <w:t>s</w:t>
            </w:r>
            <w:r w:rsidRPr="00446BE7">
              <w:rPr>
                <w:rFonts w:eastAsiaTheme="minorEastAsia" w:cs="Calibri"/>
                <w:b w:val="0"/>
              </w:rPr>
              <w:t>ult validity</w:t>
            </w:r>
            <w:r w:rsidR="00621F25">
              <w:rPr>
                <w:rFonts w:eastAsiaTheme="minorEastAsia" w:cs="Calibri"/>
                <w:b w:val="0"/>
              </w:rPr>
              <w:t>.</w:t>
            </w:r>
          </w:p>
        </w:tc>
        <w:tc>
          <w:tcPr>
            <w:tcW w:w="808" w:type="pct"/>
            <w:shd w:val="clear" w:color="auto" w:fill="auto"/>
          </w:tcPr>
          <w:p w14:paraId="10D236BF" w14:textId="6E0558A4" w:rsidR="00F64DCB" w:rsidRPr="00F64DCB" w:rsidRDefault="00F64DCB" w:rsidP="00C324F3">
            <w:pPr>
              <w:pStyle w:val="Tablewriting"/>
              <w:keepNext/>
              <w:numPr>
                <w:ilvl w:val="0"/>
                <w:numId w:val="8"/>
              </w:numPr>
              <w:rPr>
                <w:rFonts w:eastAsia="MS Mincho"/>
              </w:rPr>
            </w:pPr>
            <w:r w:rsidRPr="00F64DCB">
              <w:rPr>
                <w:rFonts w:eastAsia="MS Mincho"/>
              </w:rPr>
              <w:t>NRT lozenge (</w:t>
            </w:r>
            <w:r w:rsidR="0050534C" w:rsidRPr="00F64DCB">
              <w:rPr>
                <w:rFonts w:eastAsia="MS Mincho"/>
              </w:rPr>
              <w:t>2</w:t>
            </w:r>
            <w:r w:rsidR="002C30FC">
              <w:rPr>
                <w:rFonts w:eastAsia="MS Mincho"/>
              </w:rPr>
              <w:t xml:space="preserve"> </w:t>
            </w:r>
            <w:r w:rsidR="0050534C" w:rsidRPr="00F64DCB">
              <w:rPr>
                <w:rFonts w:eastAsia="MS Mincho"/>
              </w:rPr>
              <w:t>mg</w:t>
            </w:r>
            <w:r w:rsidRPr="00F64DCB">
              <w:rPr>
                <w:rFonts w:eastAsia="MS Mincho"/>
              </w:rPr>
              <w:t xml:space="preserve"> or </w:t>
            </w:r>
            <w:r w:rsidR="0050534C" w:rsidRPr="00F64DCB">
              <w:rPr>
                <w:rFonts w:eastAsia="MS Mincho"/>
              </w:rPr>
              <w:t>4</w:t>
            </w:r>
            <w:r w:rsidR="002C30FC">
              <w:rPr>
                <w:rFonts w:eastAsia="MS Mincho"/>
              </w:rPr>
              <w:t xml:space="preserve"> </w:t>
            </w:r>
            <w:r w:rsidR="0050534C" w:rsidRPr="00F64DCB">
              <w:rPr>
                <w:rFonts w:eastAsia="MS Mincho"/>
              </w:rPr>
              <w:t>mg</w:t>
            </w:r>
            <w:r w:rsidRPr="00F64DCB">
              <w:rPr>
                <w:rFonts w:eastAsia="MS Mincho"/>
              </w:rPr>
              <w:t xml:space="preserve">) daily, </w:t>
            </w:r>
            <w:r w:rsidR="0050534C" w:rsidRPr="00F64DCB">
              <w:rPr>
                <w:rFonts w:eastAsia="MS Mincho"/>
              </w:rPr>
              <w:t>12</w:t>
            </w:r>
            <w:r w:rsidR="002C30FC">
              <w:rPr>
                <w:rFonts w:eastAsia="MS Mincho"/>
              </w:rPr>
              <w:t xml:space="preserve"> </w:t>
            </w:r>
            <w:r w:rsidR="0050534C" w:rsidRPr="00F64DCB">
              <w:rPr>
                <w:rFonts w:eastAsia="MS Mincho"/>
              </w:rPr>
              <w:t>w</w:t>
            </w:r>
            <w:r w:rsidR="002C30FC">
              <w:rPr>
                <w:rFonts w:eastAsia="MS Mincho"/>
              </w:rPr>
              <w:t>ee</w:t>
            </w:r>
            <w:r w:rsidR="0050534C" w:rsidRPr="00F64DCB">
              <w:rPr>
                <w:rFonts w:eastAsia="MS Mincho"/>
              </w:rPr>
              <w:t>ks</w:t>
            </w:r>
            <w:r w:rsidRPr="00F64DCB">
              <w:rPr>
                <w:rFonts w:eastAsia="MS Mincho"/>
              </w:rPr>
              <w:t xml:space="preserve">, dose tapered </w:t>
            </w:r>
            <w:r w:rsidR="004664D2" w:rsidRPr="00F64DCB">
              <w:rPr>
                <w:rFonts w:eastAsia="MS Mincho"/>
              </w:rPr>
              <w:t>down, then</w:t>
            </w:r>
            <w:r w:rsidRPr="00F64DCB">
              <w:rPr>
                <w:rFonts w:eastAsia="MS Mincho"/>
              </w:rPr>
              <w:t xml:space="preserve"> occasional use for relapse prevention until week 24</w:t>
            </w:r>
          </w:p>
          <w:p w14:paraId="6B8AEFA9" w14:textId="77777777" w:rsidR="00F64DCB" w:rsidRPr="00F64DCB" w:rsidRDefault="00F64DCB" w:rsidP="00C324F3">
            <w:pPr>
              <w:pStyle w:val="Tablewriting"/>
              <w:keepNext/>
              <w:numPr>
                <w:ilvl w:val="0"/>
                <w:numId w:val="8"/>
              </w:numPr>
              <w:rPr>
                <w:rFonts w:eastAsia="MS Mincho"/>
              </w:rPr>
            </w:pPr>
            <w:r w:rsidRPr="00F64DCB">
              <w:rPr>
                <w:rFonts w:eastAsia="MS Mincho"/>
              </w:rPr>
              <w:t>Placebo</w:t>
            </w:r>
          </w:p>
          <w:p w14:paraId="37324B40" w14:textId="77777777" w:rsidR="00494AD7" w:rsidRDefault="00494AD7" w:rsidP="00A27426">
            <w:pPr>
              <w:pStyle w:val="Tablewriting"/>
              <w:keepNext/>
              <w:rPr>
                <w:rFonts w:eastAsia="MS Mincho"/>
                <w:u w:val="single"/>
              </w:rPr>
            </w:pPr>
          </w:p>
          <w:p w14:paraId="4C192207" w14:textId="77777777" w:rsidR="00F64DCB" w:rsidRPr="00494AD7" w:rsidRDefault="00F64DCB" w:rsidP="00A27426">
            <w:pPr>
              <w:pStyle w:val="Tablewriting"/>
              <w:keepNext/>
              <w:rPr>
                <w:rFonts w:eastAsia="MS Mincho"/>
                <w:u w:val="single"/>
              </w:rPr>
            </w:pPr>
            <w:r w:rsidRPr="00494AD7">
              <w:rPr>
                <w:rFonts w:eastAsia="MS Mincho"/>
                <w:u w:val="single"/>
              </w:rPr>
              <w:t>Common elements:</w:t>
            </w:r>
          </w:p>
          <w:p w14:paraId="66A46038" w14:textId="639B6167" w:rsidR="001835D1" w:rsidRPr="00A34E7B" w:rsidRDefault="00F64DCB" w:rsidP="00693DA2">
            <w:pPr>
              <w:pStyle w:val="Tablewriting"/>
              <w:keepNext/>
              <w:rPr>
                <w:rFonts w:eastAsia="MS Mincho"/>
              </w:rPr>
            </w:pPr>
            <w:r w:rsidRPr="00F64DCB">
              <w:rPr>
                <w:rFonts w:eastAsia="MS Mincho"/>
              </w:rPr>
              <w:t xml:space="preserve">Low-intensity behavioural support </w:t>
            </w:r>
            <w:r w:rsidR="0050534C" w:rsidRPr="00F64DCB">
              <w:rPr>
                <w:rFonts w:eastAsia="MS Mincho"/>
              </w:rPr>
              <w:t>w</w:t>
            </w:r>
            <w:r w:rsidR="00494AD7">
              <w:rPr>
                <w:rFonts w:eastAsia="MS Mincho"/>
              </w:rPr>
              <w:t>ee</w:t>
            </w:r>
            <w:r w:rsidR="0050534C" w:rsidRPr="00F64DCB">
              <w:rPr>
                <w:rFonts w:eastAsia="MS Mincho"/>
              </w:rPr>
              <w:t>k</w:t>
            </w:r>
            <w:r w:rsidR="00494AD7">
              <w:rPr>
                <w:rFonts w:eastAsia="MS Mincho"/>
              </w:rPr>
              <w:t xml:space="preserve"> (</w:t>
            </w:r>
            <w:r w:rsidR="0050534C" w:rsidRPr="00F64DCB">
              <w:rPr>
                <w:rFonts w:eastAsia="MS Mincho"/>
              </w:rPr>
              <w:t>0</w:t>
            </w:r>
            <w:r w:rsidRPr="00F64DCB">
              <w:rPr>
                <w:rFonts w:eastAsia="MS Mincho"/>
              </w:rPr>
              <w:t>,1,2,4)</w:t>
            </w:r>
            <w:r w:rsidR="0028211B">
              <w:rPr>
                <w:rFonts w:eastAsia="MS Mincho"/>
              </w:rPr>
              <w:t xml:space="preserve">. </w:t>
            </w:r>
          </w:p>
        </w:tc>
        <w:tc>
          <w:tcPr>
            <w:tcW w:w="1094" w:type="pct"/>
            <w:shd w:val="clear" w:color="auto" w:fill="auto"/>
            <w:tcMar>
              <w:left w:w="28" w:type="dxa"/>
              <w:right w:w="28" w:type="dxa"/>
            </w:tcMar>
          </w:tcPr>
          <w:p w14:paraId="2B5CD962" w14:textId="77777777" w:rsidR="002E5408" w:rsidRDefault="001835D1" w:rsidP="00744925">
            <w:pPr>
              <w:pStyle w:val="Tableheading"/>
              <w:autoSpaceDE w:val="0"/>
              <w:autoSpaceDN w:val="0"/>
              <w:adjustRightInd w:val="0"/>
              <w:rPr>
                <w:rFonts w:eastAsiaTheme="minorEastAsia" w:cs="Calibri"/>
                <w:b w:val="0"/>
              </w:rPr>
            </w:pPr>
            <w:r w:rsidRPr="00320A67">
              <w:rPr>
                <w:rFonts w:eastAsiaTheme="minorEastAsia" w:cs="Calibri"/>
                <w:b w:val="0"/>
                <w:u w:val="single"/>
              </w:rPr>
              <w:t>Efficacy:</w:t>
            </w:r>
            <w:r w:rsidRPr="001E2154">
              <w:rPr>
                <w:rFonts w:eastAsiaTheme="minorEastAsia" w:cs="Calibri"/>
                <w:b w:val="0"/>
              </w:rPr>
              <w:t xml:space="preserve"> </w:t>
            </w:r>
          </w:p>
          <w:p w14:paraId="17715DCA" w14:textId="65CAAD07" w:rsidR="00744925" w:rsidRPr="00554906" w:rsidRDefault="00744925" w:rsidP="00744925">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7327BEA2" w14:textId="6910E34A"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28-day continuous abstinence </w:t>
            </w:r>
            <w:r w:rsidR="0050534C" w:rsidRPr="00744925">
              <w:rPr>
                <w:rFonts w:eastAsiaTheme="minorEastAsia" w:cs="Calibri"/>
                <w:b w:val="0"/>
              </w:rPr>
              <w:t>6</w:t>
            </w:r>
            <w:r w:rsidR="00494AD7">
              <w:rPr>
                <w:rFonts w:eastAsiaTheme="minorEastAsia" w:cs="Calibri"/>
                <w:b w:val="0"/>
              </w:rPr>
              <w:t xml:space="preserve">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CO-verified </w:t>
            </w:r>
            <w:r w:rsidR="0050534C" w:rsidRPr="00744925">
              <w:rPr>
                <w:rFonts w:eastAsiaTheme="minorEastAsia" w:cs="Calibri"/>
                <w:b w:val="0"/>
              </w:rPr>
              <w:t>(</w:t>
            </w:r>
            <w:r w:rsidR="00494AD7" w:rsidRPr="00494AD7">
              <w:rPr>
                <w:rFonts w:eastAsiaTheme="minorEastAsia" w:cs="Calibri"/>
                <w:b w:val="0"/>
              </w:rPr>
              <w:t xml:space="preserve">≤ </w:t>
            </w:r>
            <w:r w:rsidRPr="00744925">
              <w:rPr>
                <w:rFonts w:eastAsiaTheme="minorEastAsia" w:cs="Calibri"/>
                <w:b w:val="0"/>
              </w:rPr>
              <w:t>10ppm)</w:t>
            </w:r>
            <w:r w:rsidR="002E5408">
              <w:rPr>
                <w:rFonts w:eastAsiaTheme="minorEastAsia" w:cs="Calibri"/>
                <w:b w:val="0"/>
              </w:rPr>
              <w:t>.</w:t>
            </w:r>
          </w:p>
          <w:p w14:paraId="56C94C27" w14:textId="30BBC556" w:rsidR="00744925" w:rsidRPr="00494AD7" w:rsidRDefault="00744925" w:rsidP="00744925">
            <w:pPr>
              <w:pStyle w:val="Tableheading"/>
              <w:autoSpaceDE w:val="0"/>
              <w:autoSpaceDN w:val="0"/>
              <w:adjustRightInd w:val="0"/>
              <w:rPr>
                <w:rFonts w:eastAsiaTheme="minorEastAsia" w:cs="Calibri"/>
                <w:b w:val="0"/>
                <w:i/>
              </w:rPr>
            </w:pPr>
            <w:r w:rsidRPr="00494AD7">
              <w:rPr>
                <w:rFonts w:eastAsiaTheme="minorEastAsia" w:cs="Calibri"/>
                <w:b w:val="0"/>
                <w:i/>
              </w:rPr>
              <w:t>Secondary</w:t>
            </w:r>
            <w:r w:rsidR="00494AD7">
              <w:rPr>
                <w:rFonts w:eastAsiaTheme="minorEastAsia" w:cs="Calibri"/>
                <w:b w:val="0"/>
                <w:i/>
                <w:iCs/>
              </w:rPr>
              <w:t>:</w:t>
            </w:r>
          </w:p>
          <w:p w14:paraId="037B6563" w14:textId="328C054E"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7-day PPA, time points through to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24</w:t>
            </w:r>
            <w:r w:rsidR="00494AD7">
              <w:rPr>
                <w:rFonts w:eastAsiaTheme="minorEastAsia" w:cs="Calibri"/>
                <w:b w:val="0"/>
              </w:rPr>
              <w:t>.</w:t>
            </w:r>
          </w:p>
          <w:p w14:paraId="2FED4C0D" w14:textId="25C07771" w:rsidR="00744925" w:rsidRPr="00744925" w:rsidRDefault="00744925" w:rsidP="00744925">
            <w:pPr>
              <w:pStyle w:val="Tableheading"/>
              <w:autoSpaceDE w:val="0"/>
              <w:autoSpaceDN w:val="0"/>
              <w:adjustRightInd w:val="0"/>
              <w:rPr>
                <w:rFonts w:eastAsiaTheme="minorEastAsia" w:cs="Calibri"/>
                <w:b w:val="0"/>
              </w:rPr>
            </w:pPr>
            <w:r w:rsidRPr="00744925">
              <w:rPr>
                <w:rFonts w:eastAsiaTheme="minorEastAsia" w:cs="Calibri"/>
                <w:b w:val="0"/>
              </w:rPr>
              <w:t xml:space="preserve">Long-term successful cessation,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24</w:t>
            </w:r>
            <w:r w:rsidRPr="00744925">
              <w:rPr>
                <w:rFonts w:eastAsiaTheme="minorEastAsia" w:cs="Calibri"/>
                <w:b w:val="0"/>
              </w:rPr>
              <w:t xml:space="preserve"> (Primary endpoint AND smoking on </w:t>
            </w:r>
            <w:r w:rsidR="002C30FC" w:rsidRPr="00494AD7">
              <w:rPr>
                <w:rFonts w:eastAsiaTheme="minorEastAsia" w:cs="Calibri"/>
                <w:b w:val="0"/>
              </w:rPr>
              <w:t>≤</w:t>
            </w:r>
            <w:r w:rsidRPr="00744925">
              <w:rPr>
                <w:rFonts w:eastAsiaTheme="minorEastAsia" w:cs="Calibri"/>
                <w:b w:val="0"/>
              </w:rPr>
              <w:t>6</w:t>
            </w:r>
            <w:r w:rsidR="00FB72C8">
              <w:rPr>
                <w:rFonts w:eastAsiaTheme="minorEastAsia" w:cs="Calibri"/>
                <w:b w:val="0"/>
              </w:rPr>
              <w:t xml:space="preserve"> </w:t>
            </w:r>
            <w:r w:rsidRPr="00744925">
              <w:rPr>
                <w:rFonts w:eastAsiaTheme="minorEastAsia" w:cs="Calibri"/>
                <w:b w:val="0"/>
              </w:rPr>
              <w:t xml:space="preserve">days between </w:t>
            </w:r>
            <w:r w:rsidR="0050534C" w:rsidRPr="00744925">
              <w:rPr>
                <w:rFonts w:eastAsiaTheme="minorEastAsia" w:cs="Calibri"/>
                <w:b w:val="0"/>
              </w:rPr>
              <w:t>w</w:t>
            </w:r>
            <w:r w:rsidR="00494AD7">
              <w:rPr>
                <w:rFonts w:eastAsiaTheme="minorEastAsia" w:cs="Calibri"/>
                <w:b w:val="0"/>
              </w:rPr>
              <w:t>ee</w:t>
            </w:r>
            <w:r w:rsidR="0050534C" w:rsidRPr="00744925">
              <w:rPr>
                <w:rFonts w:eastAsiaTheme="minorEastAsia" w:cs="Calibri"/>
                <w:b w:val="0"/>
              </w:rPr>
              <w:t>k</w:t>
            </w:r>
            <w:r w:rsidR="00494AD7">
              <w:rPr>
                <w:rFonts w:eastAsiaTheme="minorEastAsia" w:cs="Calibri"/>
                <w:b w:val="0"/>
              </w:rPr>
              <w:t xml:space="preserve"> </w:t>
            </w:r>
            <w:r w:rsidR="0050534C" w:rsidRPr="00744925">
              <w:rPr>
                <w:rFonts w:eastAsiaTheme="minorEastAsia" w:cs="Calibri"/>
                <w:b w:val="0"/>
              </w:rPr>
              <w:t>6</w:t>
            </w:r>
            <w:r w:rsidRPr="00744925">
              <w:rPr>
                <w:rFonts w:eastAsiaTheme="minorEastAsia" w:cs="Calibri"/>
                <w:b w:val="0"/>
              </w:rPr>
              <w:t>=24)</w:t>
            </w:r>
            <w:r w:rsidR="00074910">
              <w:rPr>
                <w:rFonts w:eastAsiaTheme="minorEastAsia" w:cs="Calibri"/>
                <w:b w:val="0"/>
              </w:rPr>
              <w:t>.</w:t>
            </w:r>
          </w:p>
          <w:p w14:paraId="1A3D3BC1" w14:textId="2D2C66F5" w:rsidR="00621F25" w:rsidRDefault="00744925" w:rsidP="00693DA2">
            <w:pPr>
              <w:pStyle w:val="Tableheading"/>
              <w:autoSpaceDE w:val="0"/>
              <w:autoSpaceDN w:val="0"/>
              <w:adjustRightInd w:val="0"/>
              <w:rPr>
                <w:rFonts w:eastAsiaTheme="minorEastAsia" w:cs="Calibri"/>
                <w:b w:val="0"/>
              </w:rPr>
            </w:pPr>
            <w:r w:rsidRPr="00744925">
              <w:rPr>
                <w:rFonts w:eastAsiaTheme="minorEastAsia" w:cs="Calibri"/>
                <w:b w:val="0"/>
              </w:rPr>
              <w:t xml:space="preserve">Continuous successful smoking cessation (Primary endpoint AND complete cessation), </w:t>
            </w:r>
            <w:r w:rsidR="0050534C" w:rsidRPr="00744925">
              <w:rPr>
                <w:rFonts w:eastAsiaTheme="minorEastAsia" w:cs="Calibri"/>
                <w:b w:val="0"/>
              </w:rPr>
              <w:t>w</w:t>
            </w:r>
            <w:r w:rsidR="002C30FC">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12, </w:t>
            </w:r>
            <w:r w:rsidR="0050534C" w:rsidRPr="00744925">
              <w:rPr>
                <w:rFonts w:eastAsiaTheme="minorEastAsia" w:cs="Calibri"/>
                <w:b w:val="0"/>
              </w:rPr>
              <w:t>w</w:t>
            </w:r>
            <w:r w:rsidR="002C30FC">
              <w:rPr>
                <w:rFonts w:eastAsiaTheme="minorEastAsia" w:cs="Calibri"/>
                <w:b w:val="0"/>
              </w:rPr>
              <w:t>ee</w:t>
            </w:r>
            <w:r w:rsidR="0050534C" w:rsidRPr="00744925">
              <w:rPr>
                <w:rFonts w:eastAsiaTheme="minorEastAsia" w:cs="Calibri"/>
                <w:b w:val="0"/>
              </w:rPr>
              <w:t>k</w:t>
            </w:r>
            <w:r w:rsidRPr="00744925">
              <w:rPr>
                <w:rFonts w:eastAsiaTheme="minorEastAsia" w:cs="Calibri"/>
                <w:b w:val="0"/>
              </w:rPr>
              <w:t xml:space="preserve"> 24, month 12</w:t>
            </w:r>
            <w:r w:rsidR="00494AD7">
              <w:rPr>
                <w:rFonts w:eastAsiaTheme="minorEastAsia" w:cs="Calibri"/>
                <w:b w:val="0"/>
              </w:rPr>
              <w:t>.</w:t>
            </w:r>
          </w:p>
          <w:p w14:paraId="5D79130F" w14:textId="77777777" w:rsidR="00494AD7" w:rsidRPr="00494AD7" w:rsidRDefault="00494AD7" w:rsidP="00693DA2">
            <w:pPr>
              <w:pStyle w:val="Tableheading"/>
              <w:autoSpaceDE w:val="0"/>
              <w:autoSpaceDN w:val="0"/>
              <w:adjustRightInd w:val="0"/>
              <w:rPr>
                <w:rFonts w:eastAsiaTheme="minorEastAsia" w:cs="Calibri"/>
                <w:b w:val="0"/>
              </w:rPr>
            </w:pPr>
          </w:p>
          <w:p w14:paraId="7CB64FC9" w14:textId="22D5D193" w:rsidR="001835D1" w:rsidRPr="001E2154" w:rsidRDefault="001835D1" w:rsidP="00693DA2">
            <w:pPr>
              <w:pStyle w:val="Tableheading"/>
              <w:autoSpaceDE w:val="0"/>
              <w:autoSpaceDN w:val="0"/>
              <w:adjustRightInd w:val="0"/>
              <w:rPr>
                <w:rFonts w:eastAsiaTheme="minorEastAsia" w:cs="Calibri"/>
                <w:b w:val="0"/>
              </w:rPr>
            </w:pPr>
            <w:r w:rsidRPr="00320A67">
              <w:rPr>
                <w:rFonts w:eastAsiaTheme="minorEastAsia" w:cs="Calibri"/>
                <w:b w:val="0"/>
                <w:u w:val="single"/>
              </w:rPr>
              <w:t>Safety:</w:t>
            </w:r>
            <w:r w:rsidRPr="001E2154">
              <w:rPr>
                <w:rFonts w:eastAsiaTheme="minorEastAsia" w:cs="Calibri"/>
                <w:b w:val="0"/>
              </w:rPr>
              <w:t xml:space="preserve"> </w:t>
            </w:r>
            <w:r w:rsidR="002E5408">
              <w:rPr>
                <w:rFonts w:eastAsiaTheme="minorEastAsia" w:cs="Calibri"/>
                <w:b w:val="0"/>
              </w:rPr>
              <w:t>A</w:t>
            </w:r>
            <w:r w:rsidRPr="001E2154">
              <w:rPr>
                <w:rFonts w:eastAsiaTheme="minorEastAsia" w:cs="Calibri"/>
                <w:b w:val="0"/>
              </w:rPr>
              <w:t>dverse events</w:t>
            </w:r>
            <w:r w:rsidR="00A314FD">
              <w:rPr>
                <w:rFonts w:eastAsiaTheme="minorEastAsia" w:cs="Calibri"/>
                <w:b w:val="0"/>
              </w:rPr>
              <w:t>.</w:t>
            </w:r>
          </w:p>
        </w:tc>
      </w:tr>
      <w:tr w:rsidR="003A409B" w:rsidRPr="00061F78" w14:paraId="1849C31A" w14:textId="77777777" w:rsidTr="00D0517F">
        <w:trPr>
          <w:trHeight w:val="99"/>
        </w:trPr>
        <w:tc>
          <w:tcPr>
            <w:tcW w:w="189" w:type="pct"/>
          </w:tcPr>
          <w:p w14:paraId="602EF7E9" w14:textId="23B76249"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5C57140A" w14:textId="50121150" w:rsidR="001835D1" w:rsidRPr="001E2154" w:rsidRDefault="00657964" w:rsidP="00693DA2">
            <w:pPr>
              <w:pStyle w:val="Tableheading"/>
              <w:autoSpaceDE w:val="0"/>
              <w:autoSpaceDN w:val="0"/>
              <w:adjustRightInd w:val="0"/>
              <w:rPr>
                <w:rFonts w:eastAsiaTheme="minorEastAsia" w:cs="Calibri"/>
                <w:b w:val="0"/>
              </w:rPr>
            </w:pPr>
            <w:r>
              <w:rPr>
                <w:rFonts w:eastAsiaTheme="minorEastAsia" w:cs="Calibri"/>
                <w:b w:val="0"/>
              </w:rPr>
              <w:t>Shiffman 2020</w:t>
            </w:r>
          </w:p>
        </w:tc>
        <w:tc>
          <w:tcPr>
            <w:tcW w:w="379" w:type="pct"/>
            <w:shd w:val="clear" w:color="auto" w:fill="auto"/>
          </w:tcPr>
          <w:p w14:paraId="13A8A245" w14:textId="3FF9C2CA" w:rsidR="001835D1" w:rsidRPr="001E2154" w:rsidRDefault="00657964"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4765F45A" w14:textId="710251C1" w:rsidR="001835D1" w:rsidRPr="001E2154" w:rsidRDefault="00C91205"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720B70EA" w14:textId="77777777" w:rsidR="001835D1" w:rsidRDefault="00C91205" w:rsidP="00693DA2">
            <w:pPr>
              <w:pStyle w:val="Tableheading"/>
              <w:autoSpaceDE w:val="0"/>
              <w:autoSpaceDN w:val="0"/>
              <w:adjustRightInd w:val="0"/>
              <w:rPr>
                <w:rFonts w:eastAsiaTheme="minorEastAsia" w:cs="Calibri"/>
                <w:b w:val="0"/>
              </w:rPr>
            </w:pPr>
            <w:r>
              <w:rPr>
                <w:rFonts w:eastAsiaTheme="minorEastAsia" w:cs="Calibri"/>
                <w:b w:val="0"/>
              </w:rPr>
              <w:t>N=369</w:t>
            </w:r>
          </w:p>
          <w:p w14:paraId="15F369B7" w14:textId="77777777" w:rsidR="00C91205" w:rsidRDefault="00105F77" w:rsidP="00693DA2">
            <w:pPr>
              <w:pStyle w:val="Tableheading"/>
              <w:autoSpaceDE w:val="0"/>
              <w:autoSpaceDN w:val="0"/>
              <w:adjustRightInd w:val="0"/>
              <w:rPr>
                <w:rFonts w:eastAsiaTheme="minorEastAsia" w:cs="Calibri"/>
                <w:b w:val="0"/>
              </w:rPr>
            </w:pPr>
            <w:r>
              <w:rPr>
                <w:rFonts w:eastAsiaTheme="minorEastAsia" w:cs="Calibri"/>
                <w:b w:val="0"/>
              </w:rPr>
              <w:t>n=181 (NRT)</w:t>
            </w:r>
          </w:p>
          <w:p w14:paraId="2D5BFEE2" w14:textId="2A463776" w:rsidR="00CA762D" w:rsidRPr="001E2154" w:rsidRDefault="00CA762D" w:rsidP="00693DA2">
            <w:pPr>
              <w:pStyle w:val="Tableheading"/>
              <w:autoSpaceDE w:val="0"/>
              <w:autoSpaceDN w:val="0"/>
              <w:adjustRightInd w:val="0"/>
              <w:rPr>
                <w:rFonts w:eastAsiaTheme="minorEastAsia" w:cs="Calibri"/>
                <w:b w:val="0"/>
              </w:rPr>
            </w:pPr>
            <w:r>
              <w:rPr>
                <w:rFonts w:eastAsiaTheme="minorEastAsia" w:cs="Calibri"/>
                <w:b w:val="0"/>
              </w:rPr>
              <w:t>n=188 (placebo)</w:t>
            </w:r>
          </w:p>
        </w:tc>
        <w:tc>
          <w:tcPr>
            <w:tcW w:w="1142" w:type="pct"/>
            <w:shd w:val="clear" w:color="auto" w:fill="auto"/>
            <w:tcMar>
              <w:left w:w="28" w:type="dxa"/>
              <w:right w:w="28" w:type="dxa"/>
            </w:tcMar>
          </w:tcPr>
          <w:p w14:paraId="4459AAFA" w14:textId="51FD877A" w:rsidR="00CA762D" w:rsidRPr="00CA762D" w:rsidRDefault="00CA762D" w:rsidP="00CA762D">
            <w:pPr>
              <w:pStyle w:val="Tableheading"/>
              <w:autoSpaceDE w:val="0"/>
              <w:autoSpaceDN w:val="0"/>
              <w:adjustRightInd w:val="0"/>
              <w:rPr>
                <w:rFonts w:eastAsiaTheme="minorEastAsia" w:cs="Calibri"/>
                <w:b w:val="0"/>
              </w:rPr>
            </w:pPr>
            <w:r w:rsidRPr="00CA762D">
              <w:rPr>
                <w:rFonts w:eastAsiaTheme="minorEastAsia" w:cs="Calibri"/>
                <w:b w:val="0"/>
              </w:rPr>
              <w:t xml:space="preserve">Adult </w:t>
            </w:r>
            <w:r w:rsidR="0050534C" w:rsidRPr="00CA762D">
              <w:rPr>
                <w:rFonts w:eastAsiaTheme="minorEastAsia" w:cs="Calibri"/>
                <w:b w:val="0"/>
              </w:rPr>
              <w:t>(</w:t>
            </w:r>
            <w:r w:rsidR="00A314FD" w:rsidRPr="00A314FD">
              <w:rPr>
                <w:rFonts w:eastAsiaTheme="minorEastAsia" w:cs="Calibri"/>
                <w:b w:val="0"/>
              </w:rPr>
              <w:t>≥</w:t>
            </w:r>
            <w:r w:rsidR="00A314FD">
              <w:rPr>
                <w:rFonts w:eastAsiaTheme="minorEastAsia" w:cs="Calibri"/>
                <w:b w:val="0"/>
              </w:rPr>
              <w:t xml:space="preserve"> </w:t>
            </w:r>
            <w:r w:rsidR="0050534C" w:rsidRPr="00CA762D">
              <w:rPr>
                <w:rFonts w:eastAsiaTheme="minorEastAsia" w:cs="Calibri"/>
                <w:b w:val="0"/>
              </w:rPr>
              <w:t>18</w:t>
            </w:r>
            <w:r w:rsidR="00A314FD">
              <w:rPr>
                <w:rFonts w:eastAsiaTheme="minorEastAsia" w:cs="Calibri"/>
                <w:b w:val="0"/>
              </w:rPr>
              <w:t xml:space="preserve"> years</w:t>
            </w:r>
            <w:r w:rsidR="0050534C" w:rsidRPr="00CA762D">
              <w:rPr>
                <w:rFonts w:eastAsiaTheme="minorEastAsia" w:cs="Calibri"/>
                <w:b w:val="0"/>
              </w:rPr>
              <w:t>)</w:t>
            </w:r>
            <w:r w:rsidRPr="00CA762D">
              <w:rPr>
                <w:rFonts w:eastAsiaTheme="minorEastAsia" w:cs="Calibri"/>
                <w:b w:val="0"/>
              </w:rPr>
              <w:t xml:space="preserve"> intermittent smokers (4-27 days per month for </w:t>
            </w:r>
            <w:r w:rsidR="0050534C" w:rsidRPr="00CA762D">
              <w:rPr>
                <w:rFonts w:eastAsiaTheme="minorEastAsia" w:cs="Calibri"/>
                <w:b w:val="0"/>
              </w:rPr>
              <w:t>1</w:t>
            </w:r>
            <w:r w:rsidR="00A314FD">
              <w:rPr>
                <w:rFonts w:eastAsiaTheme="minorEastAsia" w:cs="Calibri"/>
                <w:b w:val="0"/>
              </w:rPr>
              <w:t xml:space="preserve"> </w:t>
            </w:r>
            <w:r w:rsidR="0050534C" w:rsidRPr="00CA762D">
              <w:rPr>
                <w:rFonts w:eastAsiaTheme="minorEastAsia" w:cs="Calibri"/>
                <w:b w:val="0"/>
              </w:rPr>
              <w:t>y</w:t>
            </w:r>
            <w:r w:rsidR="00A314FD">
              <w:rPr>
                <w:rFonts w:eastAsiaTheme="minorEastAsia" w:cs="Calibri"/>
                <w:b w:val="0"/>
              </w:rPr>
              <w:t>ea</w:t>
            </w:r>
            <w:r w:rsidR="0050534C" w:rsidRPr="00CA762D">
              <w:rPr>
                <w:rFonts w:eastAsiaTheme="minorEastAsia" w:cs="Calibri"/>
                <w:b w:val="0"/>
              </w:rPr>
              <w:t>r</w:t>
            </w:r>
            <w:r w:rsidRPr="00CA762D">
              <w:rPr>
                <w:rFonts w:eastAsiaTheme="minorEastAsia" w:cs="Calibri"/>
                <w:b w:val="0"/>
              </w:rPr>
              <w:t xml:space="preserve"> or more and smoking for 3 years or more), interested in quitting, willing to use nicotine gum</w:t>
            </w:r>
            <w:r w:rsidR="00A314FD">
              <w:rPr>
                <w:rFonts w:eastAsiaTheme="minorEastAsia" w:cs="Calibri"/>
                <w:b w:val="0"/>
              </w:rPr>
              <w:t>.</w:t>
            </w:r>
          </w:p>
          <w:p w14:paraId="3D4DE3F1" w14:textId="00572A3A" w:rsidR="001835D1" w:rsidRPr="00A314FD" w:rsidRDefault="00CA762D" w:rsidP="00CA762D">
            <w:pPr>
              <w:pStyle w:val="Tableheading"/>
              <w:autoSpaceDE w:val="0"/>
              <w:autoSpaceDN w:val="0"/>
              <w:adjustRightInd w:val="0"/>
              <w:rPr>
                <w:rFonts w:eastAsiaTheme="minorEastAsia" w:cs="Calibri"/>
                <w:b w:val="0"/>
                <w:u w:val="single"/>
              </w:rPr>
            </w:pPr>
            <w:r w:rsidRPr="00A314FD">
              <w:rPr>
                <w:rFonts w:eastAsiaTheme="minorEastAsia" w:cs="Calibri"/>
                <w:b w:val="0"/>
                <w:u w:val="single"/>
              </w:rPr>
              <w:t>Exclusion:</w:t>
            </w:r>
            <w:r w:rsidR="00A314FD">
              <w:rPr>
                <w:rFonts w:eastAsiaTheme="minorEastAsia" w:cs="Calibri"/>
                <w:b w:val="0"/>
                <w:u w:val="single"/>
              </w:rPr>
              <w:t xml:space="preserve"> </w:t>
            </w:r>
            <w:r w:rsidRPr="00CA762D">
              <w:rPr>
                <w:rFonts w:eastAsiaTheme="minorEastAsia" w:cs="Calibri"/>
                <w:b w:val="0"/>
              </w:rPr>
              <w:t xml:space="preserve">received smoking cessation </w:t>
            </w:r>
            <w:r w:rsidR="009E7142" w:rsidRPr="00CA762D">
              <w:rPr>
                <w:rFonts w:eastAsiaTheme="minorEastAsia" w:cs="Calibri"/>
                <w:b w:val="0"/>
              </w:rPr>
              <w:t>counselling</w:t>
            </w:r>
            <w:r w:rsidRPr="00CA762D">
              <w:rPr>
                <w:rFonts w:eastAsiaTheme="minorEastAsia" w:cs="Calibri"/>
                <w:b w:val="0"/>
              </w:rPr>
              <w:t xml:space="preserve"> or any NRT in previous </w:t>
            </w:r>
            <w:r w:rsidR="0050534C" w:rsidRPr="00CA762D">
              <w:rPr>
                <w:rFonts w:eastAsiaTheme="minorEastAsia" w:cs="Calibri"/>
                <w:b w:val="0"/>
              </w:rPr>
              <w:t>2</w:t>
            </w:r>
            <w:r w:rsidR="00A314FD">
              <w:rPr>
                <w:rFonts w:eastAsiaTheme="minorEastAsia" w:cs="Calibri"/>
                <w:b w:val="0"/>
              </w:rPr>
              <w:t xml:space="preserve"> </w:t>
            </w:r>
            <w:r w:rsidR="0050534C" w:rsidRPr="00CA762D">
              <w:rPr>
                <w:rFonts w:eastAsiaTheme="minorEastAsia" w:cs="Calibri"/>
                <w:b w:val="0"/>
              </w:rPr>
              <w:t>mo</w:t>
            </w:r>
            <w:r w:rsidR="00A314FD">
              <w:rPr>
                <w:rFonts w:eastAsiaTheme="minorEastAsia" w:cs="Calibri"/>
                <w:b w:val="0"/>
              </w:rPr>
              <w:t>nths</w:t>
            </w:r>
            <w:r w:rsidRPr="00CA762D">
              <w:rPr>
                <w:rFonts w:eastAsiaTheme="minorEastAsia" w:cs="Calibri"/>
                <w:b w:val="0"/>
              </w:rPr>
              <w:t>, contraindications for NRT, unstable psychiatric status, pregnant (current or planning), breastfeeding</w:t>
            </w:r>
            <w:r w:rsidR="00FA729E">
              <w:rPr>
                <w:rFonts w:eastAsiaTheme="minorEastAsia" w:cs="Calibri"/>
                <w:b w:val="0"/>
              </w:rPr>
              <w:t>.</w:t>
            </w:r>
          </w:p>
        </w:tc>
        <w:tc>
          <w:tcPr>
            <w:tcW w:w="808" w:type="pct"/>
            <w:shd w:val="clear" w:color="auto" w:fill="auto"/>
          </w:tcPr>
          <w:p w14:paraId="2EE1A1C2" w14:textId="26E0BA31" w:rsidR="00C64E3D" w:rsidRPr="00C64E3D" w:rsidRDefault="00C64E3D" w:rsidP="00C324F3">
            <w:pPr>
              <w:pStyle w:val="Tablewriting"/>
              <w:keepNext/>
              <w:numPr>
                <w:ilvl w:val="0"/>
                <w:numId w:val="8"/>
              </w:numPr>
              <w:rPr>
                <w:rFonts w:eastAsia="MS Mincho"/>
              </w:rPr>
            </w:pPr>
            <w:r w:rsidRPr="00C64E3D">
              <w:rPr>
                <w:rFonts w:eastAsia="MS Mincho"/>
              </w:rPr>
              <w:t xml:space="preserve">NRT (gum) </w:t>
            </w:r>
            <w:r w:rsidR="0050534C" w:rsidRPr="00C64E3D">
              <w:rPr>
                <w:rFonts w:eastAsia="MS Mincho"/>
              </w:rPr>
              <w:t>2</w:t>
            </w:r>
            <w:r w:rsidR="00FA729E">
              <w:rPr>
                <w:rFonts w:eastAsia="MS Mincho"/>
              </w:rPr>
              <w:t xml:space="preserve"> </w:t>
            </w:r>
            <w:r w:rsidR="0050534C" w:rsidRPr="00C64E3D">
              <w:rPr>
                <w:rFonts w:eastAsia="MS Mincho"/>
              </w:rPr>
              <w:t>mg</w:t>
            </w:r>
            <w:r w:rsidRPr="00C64E3D">
              <w:rPr>
                <w:rFonts w:eastAsia="MS Mincho"/>
              </w:rPr>
              <w:t xml:space="preserve"> with cravings, 8 </w:t>
            </w:r>
            <w:r w:rsidR="0050534C" w:rsidRPr="00C64E3D">
              <w:rPr>
                <w:rFonts w:eastAsia="MS Mincho"/>
              </w:rPr>
              <w:t>w</w:t>
            </w:r>
            <w:r w:rsidR="00FA729E">
              <w:rPr>
                <w:rFonts w:eastAsia="MS Mincho"/>
              </w:rPr>
              <w:t>ee</w:t>
            </w:r>
            <w:r w:rsidR="0050534C" w:rsidRPr="00C64E3D">
              <w:rPr>
                <w:rFonts w:eastAsia="MS Mincho"/>
              </w:rPr>
              <w:t>ks</w:t>
            </w:r>
            <w:r w:rsidRPr="00C64E3D">
              <w:rPr>
                <w:rFonts w:eastAsia="MS Mincho"/>
              </w:rPr>
              <w:t>,</w:t>
            </w:r>
          </w:p>
          <w:p w14:paraId="210761D3" w14:textId="2AE8DD3E" w:rsidR="00C64E3D" w:rsidRPr="00C64E3D" w:rsidRDefault="00C64E3D" w:rsidP="00C324F3">
            <w:pPr>
              <w:pStyle w:val="Tablewriting"/>
              <w:keepNext/>
              <w:numPr>
                <w:ilvl w:val="0"/>
                <w:numId w:val="8"/>
              </w:numPr>
              <w:rPr>
                <w:rFonts w:eastAsia="MS Mincho"/>
              </w:rPr>
            </w:pPr>
            <w:r w:rsidRPr="00C64E3D">
              <w:rPr>
                <w:rFonts w:eastAsia="MS Mincho"/>
              </w:rPr>
              <w:t>Dentyne Arctic Chill mint gum</w:t>
            </w:r>
            <w:r w:rsidR="00120A81">
              <w:rPr>
                <w:rFonts w:eastAsia="MS Mincho"/>
              </w:rPr>
              <w:t>.</w:t>
            </w:r>
          </w:p>
          <w:p w14:paraId="3340A708" w14:textId="77777777" w:rsidR="00C64E3D" w:rsidRPr="00C64E3D" w:rsidRDefault="00C64E3D" w:rsidP="00FF725F">
            <w:pPr>
              <w:pStyle w:val="Tablewriting"/>
              <w:keepNext/>
              <w:rPr>
                <w:rFonts w:eastAsia="MS Mincho"/>
              </w:rPr>
            </w:pPr>
            <w:r w:rsidRPr="00554906">
              <w:rPr>
                <w:rFonts w:eastAsia="MS Mincho"/>
                <w:u w:val="single"/>
              </w:rPr>
              <w:t>Common elements</w:t>
            </w:r>
            <w:r w:rsidRPr="00C64E3D">
              <w:rPr>
                <w:rFonts w:eastAsia="MS Mincho"/>
              </w:rPr>
              <w:t>:</w:t>
            </w:r>
          </w:p>
          <w:p w14:paraId="702E6519" w14:textId="4BA4A314" w:rsidR="001835D1" w:rsidRPr="00D11171" w:rsidRDefault="00C64E3D" w:rsidP="00C324F3">
            <w:pPr>
              <w:pStyle w:val="Tablewriting"/>
              <w:keepNext/>
              <w:numPr>
                <w:ilvl w:val="0"/>
                <w:numId w:val="8"/>
              </w:numPr>
              <w:rPr>
                <w:rFonts w:eastAsia="MS Mincho"/>
              </w:rPr>
            </w:pPr>
            <w:r w:rsidRPr="00C64E3D">
              <w:rPr>
                <w:rFonts w:eastAsia="MS Mincho"/>
              </w:rPr>
              <w:t xml:space="preserve">Counselling (enrolment to </w:t>
            </w:r>
            <w:r w:rsidR="0050534C" w:rsidRPr="00C64E3D">
              <w:rPr>
                <w:rFonts w:eastAsia="MS Mincho"/>
              </w:rPr>
              <w:t>w</w:t>
            </w:r>
            <w:r w:rsidR="00FA729E">
              <w:rPr>
                <w:rFonts w:eastAsia="MS Mincho"/>
              </w:rPr>
              <w:t>ee</w:t>
            </w:r>
            <w:r w:rsidR="0050534C" w:rsidRPr="00C64E3D">
              <w:rPr>
                <w:rFonts w:eastAsia="MS Mincho"/>
              </w:rPr>
              <w:t>k</w:t>
            </w:r>
            <w:r w:rsidR="00FA729E">
              <w:rPr>
                <w:rFonts w:eastAsia="MS Mincho"/>
              </w:rPr>
              <w:t xml:space="preserve"> </w:t>
            </w:r>
            <w:r w:rsidR="0050534C" w:rsidRPr="00C64E3D">
              <w:rPr>
                <w:rFonts w:eastAsia="MS Mincho"/>
              </w:rPr>
              <w:t>6</w:t>
            </w:r>
            <w:r w:rsidRPr="00C64E3D">
              <w:rPr>
                <w:rFonts w:eastAsia="MS Mincho"/>
              </w:rPr>
              <w:t xml:space="preserve">): cues and use of </w:t>
            </w:r>
            <w:r w:rsidRPr="00C64E3D">
              <w:rPr>
                <w:rFonts w:eastAsia="MS Mincho"/>
              </w:rPr>
              <w:lastRenderedPageBreak/>
              <w:t>gum to threats in abstinence</w:t>
            </w:r>
          </w:p>
        </w:tc>
        <w:tc>
          <w:tcPr>
            <w:tcW w:w="1094" w:type="pct"/>
            <w:shd w:val="clear" w:color="auto" w:fill="auto"/>
            <w:tcMar>
              <w:left w:w="28" w:type="dxa"/>
              <w:right w:w="28" w:type="dxa"/>
            </w:tcMar>
          </w:tcPr>
          <w:p w14:paraId="76A4D677" w14:textId="77777777" w:rsidR="00746F9A" w:rsidRDefault="004054DA" w:rsidP="004054DA">
            <w:pPr>
              <w:pStyle w:val="Tableheading"/>
              <w:autoSpaceDE w:val="0"/>
              <w:autoSpaceDN w:val="0"/>
              <w:adjustRightInd w:val="0"/>
              <w:rPr>
                <w:rFonts w:eastAsiaTheme="minorEastAsia" w:cs="Calibri"/>
                <w:b w:val="0"/>
                <w:u w:val="single"/>
              </w:rPr>
            </w:pPr>
            <w:r w:rsidRPr="004054DA">
              <w:rPr>
                <w:rFonts w:eastAsiaTheme="minorEastAsia" w:cs="Calibri"/>
                <w:b w:val="0"/>
                <w:u w:val="single"/>
              </w:rPr>
              <w:lastRenderedPageBreak/>
              <w:t>Efficacy:</w:t>
            </w:r>
            <w:r>
              <w:rPr>
                <w:rFonts w:eastAsiaTheme="minorEastAsia" w:cs="Calibri"/>
                <w:b w:val="0"/>
                <w:u w:val="single"/>
              </w:rPr>
              <w:t xml:space="preserve"> </w:t>
            </w:r>
          </w:p>
          <w:p w14:paraId="0737A9D8" w14:textId="49C71CB3" w:rsidR="004054DA" w:rsidRPr="00FA729E" w:rsidRDefault="004054DA" w:rsidP="004054DA">
            <w:pPr>
              <w:pStyle w:val="Tableheading"/>
              <w:autoSpaceDE w:val="0"/>
              <w:autoSpaceDN w:val="0"/>
              <w:adjustRightInd w:val="0"/>
              <w:rPr>
                <w:rFonts w:eastAsiaTheme="minorEastAsia" w:cs="Calibri"/>
                <w:b w:val="0"/>
              </w:rPr>
            </w:pPr>
            <w:r w:rsidRPr="004E12E8">
              <w:rPr>
                <w:rFonts w:eastAsiaTheme="minorEastAsia" w:cs="Calibri"/>
                <w:b w:val="0"/>
                <w:i/>
                <w:iCs/>
              </w:rPr>
              <w:t>Primary</w:t>
            </w:r>
          </w:p>
          <w:p w14:paraId="7D7B7A03" w14:textId="2EF3606E" w:rsidR="004054DA" w:rsidRPr="00FA729E" w:rsidRDefault="004054DA" w:rsidP="004054DA">
            <w:pPr>
              <w:pStyle w:val="Tableheading"/>
              <w:autoSpaceDE w:val="0"/>
              <w:autoSpaceDN w:val="0"/>
              <w:adjustRightInd w:val="0"/>
              <w:rPr>
                <w:rFonts w:eastAsiaTheme="minorEastAsia" w:cs="Calibri"/>
                <w:b w:val="0"/>
              </w:rPr>
            </w:pPr>
            <w:r w:rsidRPr="00FA729E">
              <w:rPr>
                <w:rFonts w:eastAsiaTheme="minorEastAsia" w:cs="Calibri"/>
                <w:b w:val="0"/>
              </w:rPr>
              <w:t>CAR CO-verified (&lt;10ppm), w</w:t>
            </w:r>
            <w:r w:rsidR="004E12E8">
              <w:rPr>
                <w:rFonts w:eastAsiaTheme="minorEastAsia" w:cs="Calibri"/>
                <w:b w:val="0"/>
              </w:rPr>
              <w:t>ee</w:t>
            </w:r>
            <w:r w:rsidRPr="00FA729E">
              <w:rPr>
                <w:rFonts w:eastAsiaTheme="minorEastAsia" w:cs="Calibri"/>
                <w:b w:val="0"/>
              </w:rPr>
              <w:t>k 2-6</w:t>
            </w:r>
            <w:r w:rsidR="00746F9A">
              <w:rPr>
                <w:rFonts w:eastAsiaTheme="minorEastAsia" w:cs="Calibri"/>
                <w:b w:val="0"/>
              </w:rPr>
              <w:t>.</w:t>
            </w:r>
          </w:p>
          <w:p w14:paraId="0504CE4A" w14:textId="77777777" w:rsidR="004054DA" w:rsidRPr="004E12E8" w:rsidRDefault="004054DA" w:rsidP="004054DA">
            <w:pPr>
              <w:pStyle w:val="Tableheading"/>
              <w:autoSpaceDE w:val="0"/>
              <w:autoSpaceDN w:val="0"/>
              <w:adjustRightInd w:val="0"/>
              <w:rPr>
                <w:rFonts w:eastAsiaTheme="minorEastAsia" w:cs="Calibri"/>
                <w:b w:val="0"/>
                <w:i/>
                <w:iCs/>
              </w:rPr>
            </w:pPr>
            <w:r w:rsidRPr="004E12E8">
              <w:rPr>
                <w:rFonts w:eastAsiaTheme="minorEastAsia" w:cs="Calibri"/>
                <w:b w:val="0"/>
                <w:i/>
                <w:iCs/>
              </w:rPr>
              <w:t>Secondary</w:t>
            </w:r>
          </w:p>
          <w:p w14:paraId="246A907A" w14:textId="7B72C11C" w:rsidR="004054DA" w:rsidRPr="00FA729E" w:rsidRDefault="004054DA" w:rsidP="004054DA">
            <w:pPr>
              <w:pStyle w:val="Tableheading"/>
              <w:autoSpaceDE w:val="0"/>
              <w:autoSpaceDN w:val="0"/>
              <w:adjustRightInd w:val="0"/>
              <w:rPr>
                <w:rFonts w:eastAsiaTheme="minorEastAsia" w:cs="Calibri"/>
                <w:b w:val="0"/>
              </w:rPr>
            </w:pPr>
            <w:r w:rsidRPr="00FA729E">
              <w:rPr>
                <w:rFonts w:eastAsiaTheme="minorEastAsia" w:cs="Calibri"/>
                <w:b w:val="0"/>
              </w:rPr>
              <w:t>CAR CO-verified (&lt;10ppm)</w:t>
            </w:r>
            <w:r w:rsidR="009E7142" w:rsidRPr="00FA729E">
              <w:rPr>
                <w:rFonts w:eastAsiaTheme="minorEastAsia" w:cs="Calibri"/>
                <w:b w:val="0"/>
              </w:rPr>
              <w:t>, week</w:t>
            </w:r>
            <w:r w:rsidRPr="00FA729E">
              <w:rPr>
                <w:rFonts w:eastAsiaTheme="minorEastAsia" w:cs="Calibri"/>
                <w:b w:val="0"/>
              </w:rPr>
              <w:t xml:space="preserve"> 2-12 and 2-26, 2-8, 2-16, 2-20</w:t>
            </w:r>
            <w:r w:rsidR="00746F9A">
              <w:rPr>
                <w:rFonts w:eastAsiaTheme="minorEastAsia" w:cs="Calibri"/>
                <w:b w:val="0"/>
              </w:rPr>
              <w:t>.</w:t>
            </w:r>
          </w:p>
          <w:p w14:paraId="1A2BD26A" w14:textId="10D58DF0" w:rsidR="004054DA" w:rsidRPr="00074910" w:rsidRDefault="004054DA" w:rsidP="004054DA">
            <w:pPr>
              <w:pStyle w:val="Tableheading"/>
              <w:autoSpaceDE w:val="0"/>
              <w:autoSpaceDN w:val="0"/>
              <w:adjustRightInd w:val="0"/>
              <w:rPr>
                <w:rFonts w:eastAsiaTheme="minorEastAsia" w:cs="Calibri"/>
                <w:b w:val="0"/>
              </w:rPr>
            </w:pPr>
            <w:r>
              <w:rPr>
                <w:rFonts w:eastAsiaTheme="minorEastAsia" w:cs="Calibri"/>
                <w:b w:val="0"/>
                <w:u w:val="single"/>
              </w:rPr>
              <w:t>Safety</w:t>
            </w:r>
            <w:r w:rsidRPr="004054DA">
              <w:rPr>
                <w:rFonts w:eastAsiaTheme="minorEastAsia" w:cs="Calibri"/>
                <w:b w:val="0"/>
                <w:u w:val="single"/>
              </w:rPr>
              <w:t>:</w:t>
            </w:r>
            <w:r w:rsidR="00074910">
              <w:rPr>
                <w:rFonts w:eastAsiaTheme="minorEastAsia" w:cs="Calibri"/>
                <w:b w:val="0"/>
              </w:rPr>
              <w:t xml:space="preserve"> </w:t>
            </w:r>
            <w:r w:rsidRPr="00074910">
              <w:rPr>
                <w:rFonts w:eastAsiaTheme="minorEastAsia" w:cs="Calibri"/>
                <w:b w:val="0"/>
              </w:rPr>
              <w:t>Any adverse event</w:t>
            </w:r>
            <w:r w:rsidR="00830E6B">
              <w:rPr>
                <w:rFonts w:eastAsiaTheme="minorEastAsia" w:cs="Calibri"/>
                <w:b w:val="0"/>
              </w:rPr>
              <w:t>, d</w:t>
            </w:r>
            <w:r w:rsidRPr="00074910">
              <w:rPr>
                <w:rFonts w:eastAsiaTheme="minorEastAsia" w:cs="Calibri"/>
                <w:b w:val="0"/>
              </w:rPr>
              <w:t>eath</w:t>
            </w:r>
          </w:p>
          <w:p w14:paraId="3EE95409" w14:textId="0E07553B" w:rsidR="001835D1" w:rsidRPr="00320A67" w:rsidRDefault="00830E6B" w:rsidP="004054DA">
            <w:pPr>
              <w:pStyle w:val="Tableheading"/>
              <w:autoSpaceDE w:val="0"/>
              <w:autoSpaceDN w:val="0"/>
              <w:adjustRightInd w:val="0"/>
              <w:rPr>
                <w:rFonts w:eastAsiaTheme="minorEastAsia" w:cs="Calibri"/>
                <w:b w:val="0"/>
                <w:u w:val="single"/>
              </w:rPr>
            </w:pPr>
            <w:r>
              <w:rPr>
                <w:rFonts w:eastAsiaTheme="minorEastAsia" w:cs="Calibri"/>
                <w:b w:val="0"/>
              </w:rPr>
              <w:lastRenderedPageBreak/>
              <w:t>a</w:t>
            </w:r>
            <w:r w:rsidR="004054DA" w:rsidRPr="00074910">
              <w:rPr>
                <w:rFonts w:eastAsiaTheme="minorEastAsia" w:cs="Calibri"/>
                <w:b w:val="0"/>
              </w:rPr>
              <w:t>ny SAE</w:t>
            </w:r>
            <w:r>
              <w:rPr>
                <w:rFonts w:eastAsiaTheme="minorEastAsia" w:cs="Calibri"/>
                <w:b w:val="0"/>
              </w:rPr>
              <w:t>, t</w:t>
            </w:r>
            <w:r w:rsidR="004054DA" w:rsidRPr="00074910">
              <w:rPr>
                <w:rFonts w:eastAsiaTheme="minorEastAsia" w:cs="Calibri"/>
                <w:b w:val="0"/>
              </w:rPr>
              <w:t>reatment related AE (&gt;4%)</w:t>
            </w:r>
            <w:r>
              <w:rPr>
                <w:rFonts w:eastAsiaTheme="minorEastAsia" w:cs="Calibri"/>
                <w:b w:val="0"/>
              </w:rPr>
              <w:t>.</w:t>
            </w:r>
          </w:p>
        </w:tc>
      </w:tr>
      <w:tr w:rsidR="003A409B" w:rsidRPr="00061F78" w14:paraId="30CE1F32" w14:textId="77777777" w:rsidTr="00D0517F">
        <w:trPr>
          <w:trHeight w:val="99"/>
        </w:trPr>
        <w:tc>
          <w:tcPr>
            <w:tcW w:w="189" w:type="pct"/>
          </w:tcPr>
          <w:p w14:paraId="0521D441" w14:textId="60946AD1"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2DB22CB0" w14:textId="6DD7A6AB" w:rsidR="001835D1" w:rsidRPr="001E2154" w:rsidRDefault="00C20269" w:rsidP="00693DA2">
            <w:pPr>
              <w:pStyle w:val="Tableheading"/>
              <w:autoSpaceDE w:val="0"/>
              <w:autoSpaceDN w:val="0"/>
              <w:adjustRightInd w:val="0"/>
              <w:rPr>
                <w:rFonts w:eastAsiaTheme="minorEastAsia" w:cs="Calibri"/>
                <w:b w:val="0"/>
              </w:rPr>
            </w:pPr>
            <w:r>
              <w:rPr>
                <w:rFonts w:eastAsiaTheme="minorEastAsia" w:cs="Calibri"/>
                <w:b w:val="0"/>
              </w:rPr>
              <w:t>Nides 2020</w:t>
            </w:r>
          </w:p>
        </w:tc>
        <w:tc>
          <w:tcPr>
            <w:tcW w:w="379" w:type="pct"/>
            <w:shd w:val="clear" w:color="auto" w:fill="auto"/>
          </w:tcPr>
          <w:p w14:paraId="2769296A" w14:textId="50048290" w:rsidR="001835D1" w:rsidRPr="001E2154" w:rsidRDefault="00C25B08"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08669A4F" w14:textId="05DBB81B" w:rsidR="001835D1" w:rsidRPr="001E2154" w:rsidRDefault="00C25B08"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3A30FDA8" w14:textId="77777777" w:rsidR="001835D1" w:rsidRDefault="00C25B08" w:rsidP="00693DA2">
            <w:pPr>
              <w:pStyle w:val="Tableheading"/>
              <w:autoSpaceDE w:val="0"/>
              <w:autoSpaceDN w:val="0"/>
              <w:adjustRightInd w:val="0"/>
              <w:rPr>
                <w:rFonts w:eastAsiaTheme="minorEastAsia" w:cs="Calibri"/>
                <w:b w:val="0"/>
              </w:rPr>
            </w:pPr>
            <w:r>
              <w:rPr>
                <w:rFonts w:eastAsiaTheme="minorEastAsia" w:cs="Calibri"/>
                <w:b w:val="0"/>
              </w:rPr>
              <w:t>1198</w:t>
            </w:r>
          </w:p>
          <w:p w14:paraId="633A7129" w14:textId="1C4D8083" w:rsidR="00831023" w:rsidRPr="001E2154" w:rsidRDefault="00DA59A2" w:rsidP="00693DA2">
            <w:pPr>
              <w:pStyle w:val="Tableheading"/>
              <w:autoSpaceDE w:val="0"/>
              <w:autoSpaceDN w:val="0"/>
              <w:adjustRightInd w:val="0"/>
              <w:rPr>
                <w:rFonts w:eastAsiaTheme="minorEastAsia" w:cs="Calibri"/>
                <w:b w:val="0"/>
              </w:rPr>
            </w:pPr>
            <w:r>
              <w:rPr>
                <w:rFonts w:eastAsiaTheme="minorEastAsia" w:cs="Calibri"/>
                <w:b w:val="0"/>
              </w:rPr>
              <w:t>n=597 (NRT) n=601 (placebo)</w:t>
            </w:r>
          </w:p>
        </w:tc>
        <w:tc>
          <w:tcPr>
            <w:tcW w:w="1142" w:type="pct"/>
            <w:shd w:val="clear" w:color="auto" w:fill="auto"/>
            <w:tcMar>
              <w:left w:w="28" w:type="dxa"/>
              <w:right w:w="28" w:type="dxa"/>
            </w:tcMar>
          </w:tcPr>
          <w:p w14:paraId="4E1193A7" w14:textId="346D309E" w:rsidR="00C25B08" w:rsidRPr="00C25B08"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Adult (18-65yrs) daily smokers willing to quit, exhaled CO ppm&gt;</w:t>
            </w:r>
            <w:r w:rsidR="000B79FB">
              <w:rPr>
                <w:rFonts w:eastAsiaTheme="minorEastAsia" w:cs="Calibri"/>
                <w:b w:val="0"/>
              </w:rPr>
              <w:t xml:space="preserve"> </w:t>
            </w:r>
            <w:r w:rsidRPr="00C25B08">
              <w:rPr>
                <w:rFonts w:eastAsiaTheme="minorEastAsia" w:cs="Calibri"/>
                <w:b w:val="0"/>
              </w:rPr>
              <w:t>10ppm</w:t>
            </w:r>
          </w:p>
          <w:p w14:paraId="135A3E12" w14:textId="77777777" w:rsidR="00C25B08" w:rsidRPr="00C25B08"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Exclusion:</w:t>
            </w:r>
          </w:p>
          <w:p w14:paraId="54140F08" w14:textId="3B8FCB54" w:rsidR="001835D1" w:rsidRPr="001E2154" w:rsidRDefault="00C25B08" w:rsidP="00C25B08">
            <w:pPr>
              <w:pStyle w:val="Tableheading"/>
              <w:autoSpaceDE w:val="0"/>
              <w:autoSpaceDN w:val="0"/>
              <w:adjustRightInd w:val="0"/>
              <w:rPr>
                <w:rFonts w:eastAsiaTheme="minorEastAsia" w:cs="Calibri"/>
                <w:b w:val="0"/>
              </w:rPr>
            </w:pPr>
            <w:r w:rsidRPr="00C25B08">
              <w:rPr>
                <w:rFonts w:eastAsiaTheme="minorEastAsia" w:cs="Calibri"/>
                <w:b w:val="0"/>
              </w:rPr>
              <w:t>Pregnant/lactating, history of cardiovascular disease, stomach ulcer, diabetes (unless with physician approval), use of other forms of nicotine containing products (except cigarettes), NRT or other medical aids or non-drug therapies for smoking cessation within 30days, participating in another study or investigational drugs within 30 days, suspected alcohol or other substance abuse or history of significant psychiatric illness within previous 12 months, presence of oral lesion requiring further inve</w:t>
            </w:r>
            <w:r>
              <w:rPr>
                <w:rFonts w:eastAsiaTheme="minorEastAsia" w:cs="Calibri"/>
                <w:b w:val="0"/>
              </w:rPr>
              <w:t>s</w:t>
            </w:r>
            <w:r w:rsidRPr="00C25B08">
              <w:rPr>
                <w:rFonts w:eastAsiaTheme="minorEastAsia" w:cs="Calibri"/>
                <w:b w:val="0"/>
              </w:rPr>
              <w:t>tigation at baseline.</w:t>
            </w:r>
          </w:p>
        </w:tc>
        <w:tc>
          <w:tcPr>
            <w:tcW w:w="808" w:type="pct"/>
            <w:shd w:val="clear" w:color="auto" w:fill="auto"/>
          </w:tcPr>
          <w:p w14:paraId="5A62BE2C" w14:textId="4D2DD02F" w:rsidR="00831023" w:rsidRPr="00831023" w:rsidRDefault="00831023" w:rsidP="00C324F3">
            <w:pPr>
              <w:pStyle w:val="Tablewriting"/>
              <w:keepNext/>
              <w:numPr>
                <w:ilvl w:val="0"/>
                <w:numId w:val="8"/>
              </w:numPr>
              <w:rPr>
                <w:rFonts w:eastAsia="MS Mincho"/>
              </w:rPr>
            </w:pPr>
            <w:r w:rsidRPr="00831023">
              <w:rPr>
                <w:rFonts w:eastAsia="MS Mincho"/>
              </w:rPr>
              <w:t>NRT (1</w:t>
            </w:r>
            <w:r w:rsidR="006E016C">
              <w:rPr>
                <w:rFonts w:eastAsia="MS Mincho"/>
              </w:rPr>
              <w:t xml:space="preserve"> </w:t>
            </w:r>
            <w:r w:rsidRPr="00831023">
              <w:rPr>
                <w:rFonts w:eastAsia="MS Mincho"/>
              </w:rPr>
              <w:t>mg spray) with cravings, 12 w</w:t>
            </w:r>
            <w:r w:rsidR="006E016C">
              <w:rPr>
                <w:rFonts w:eastAsia="MS Mincho"/>
              </w:rPr>
              <w:t>ee</w:t>
            </w:r>
            <w:r w:rsidRPr="00831023">
              <w:rPr>
                <w:rFonts w:eastAsia="MS Mincho"/>
              </w:rPr>
              <w:t>ks, dose tapered down; additional product up to week 26 if requested by subject</w:t>
            </w:r>
          </w:p>
          <w:p w14:paraId="20917748" w14:textId="192696B7" w:rsidR="001835D1" w:rsidRPr="00D11171" w:rsidRDefault="00831023" w:rsidP="00C324F3">
            <w:pPr>
              <w:pStyle w:val="Tablewriting"/>
              <w:keepNext/>
              <w:numPr>
                <w:ilvl w:val="0"/>
                <w:numId w:val="8"/>
              </w:numPr>
              <w:rPr>
                <w:rFonts w:eastAsia="MS Mincho"/>
              </w:rPr>
            </w:pPr>
            <w:r w:rsidRPr="00831023">
              <w:rPr>
                <w:rFonts w:eastAsia="MS Mincho"/>
              </w:rPr>
              <w:t>Placebo</w:t>
            </w:r>
          </w:p>
        </w:tc>
        <w:tc>
          <w:tcPr>
            <w:tcW w:w="1094" w:type="pct"/>
            <w:shd w:val="clear" w:color="auto" w:fill="auto"/>
            <w:tcMar>
              <w:left w:w="28" w:type="dxa"/>
              <w:right w:w="28" w:type="dxa"/>
            </w:tcMar>
          </w:tcPr>
          <w:p w14:paraId="74DE01CA" w14:textId="77777777" w:rsidR="00831023" w:rsidRPr="00831023" w:rsidRDefault="00831023" w:rsidP="00831023">
            <w:pPr>
              <w:pStyle w:val="Tableheading"/>
              <w:autoSpaceDE w:val="0"/>
              <w:autoSpaceDN w:val="0"/>
              <w:adjustRightInd w:val="0"/>
              <w:rPr>
                <w:rFonts w:eastAsiaTheme="minorEastAsia" w:cs="Calibri"/>
                <w:b w:val="0"/>
                <w:u w:val="single"/>
              </w:rPr>
            </w:pPr>
            <w:r w:rsidRPr="00831023">
              <w:rPr>
                <w:rFonts w:eastAsiaTheme="minorEastAsia" w:cs="Calibri"/>
                <w:b w:val="0"/>
                <w:u w:val="single"/>
              </w:rPr>
              <w:t>Efficacy:</w:t>
            </w:r>
          </w:p>
          <w:p w14:paraId="03F7ABA8" w14:textId="77777777" w:rsidR="00831023" w:rsidRPr="008366D4" w:rsidRDefault="00831023" w:rsidP="00831023">
            <w:pPr>
              <w:pStyle w:val="Tableheading"/>
              <w:autoSpaceDE w:val="0"/>
              <w:autoSpaceDN w:val="0"/>
              <w:adjustRightInd w:val="0"/>
              <w:rPr>
                <w:rFonts w:eastAsiaTheme="minorEastAsia" w:cs="Calibri"/>
                <w:b w:val="0"/>
                <w:i/>
                <w:iCs/>
              </w:rPr>
            </w:pPr>
            <w:r w:rsidRPr="008366D4">
              <w:rPr>
                <w:rFonts w:eastAsiaTheme="minorEastAsia" w:cs="Calibri"/>
                <w:b w:val="0"/>
                <w:i/>
                <w:iCs/>
              </w:rPr>
              <w:t>Primary</w:t>
            </w:r>
          </w:p>
          <w:p w14:paraId="4F80F684" w14:textId="0684C2F6"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CAR CO-verified (&lt;10ppm), w</w:t>
            </w:r>
            <w:r w:rsidR="000B79FB">
              <w:rPr>
                <w:rFonts w:eastAsiaTheme="minorEastAsia" w:cs="Calibri"/>
                <w:b w:val="0"/>
              </w:rPr>
              <w:t>ee</w:t>
            </w:r>
            <w:r w:rsidRPr="00F1381A">
              <w:rPr>
                <w:rFonts w:eastAsiaTheme="minorEastAsia" w:cs="Calibri"/>
                <w:b w:val="0"/>
              </w:rPr>
              <w:t>k 2-6,</w:t>
            </w:r>
          </w:p>
          <w:p w14:paraId="217DFF6B" w14:textId="77777777"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Secondary</w:t>
            </w:r>
          </w:p>
          <w:p w14:paraId="79BC8110" w14:textId="369D4DD5" w:rsidR="00831023" w:rsidRPr="00F1381A" w:rsidRDefault="00831023" w:rsidP="00831023">
            <w:pPr>
              <w:pStyle w:val="Tableheading"/>
              <w:autoSpaceDE w:val="0"/>
              <w:autoSpaceDN w:val="0"/>
              <w:adjustRightInd w:val="0"/>
              <w:rPr>
                <w:rFonts w:eastAsiaTheme="minorEastAsia" w:cs="Calibri"/>
                <w:b w:val="0"/>
              </w:rPr>
            </w:pPr>
            <w:r w:rsidRPr="00F1381A">
              <w:rPr>
                <w:rFonts w:eastAsiaTheme="minorEastAsia" w:cs="Calibri"/>
                <w:b w:val="0"/>
              </w:rPr>
              <w:t>CAR CO-verified (&lt;10ppm</w:t>
            </w:r>
            <w:r w:rsidR="004664D2" w:rsidRPr="00F1381A">
              <w:rPr>
                <w:rFonts w:eastAsiaTheme="minorEastAsia" w:cs="Calibri"/>
                <w:b w:val="0"/>
              </w:rPr>
              <w:t>), week</w:t>
            </w:r>
            <w:r w:rsidRPr="00F1381A">
              <w:rPr>
                <w:rFonts w:eastAsiaTheme="minorEastAsia" w:cs="Calibri"/>
                <w:b w:val="0"/>
              </w:rPr>
              <w:t xml:space="preserve"> 2-12 and 2-26, 2-8, 2-16, 2-20</w:t>
            </w:r>
          </w:p>
          <w:p w14:paraId="4FB030CE" w14:textId="6FD01D66" w:rsidR="00831023" w:rsidRPr="00831023" w:rsidRDefault="00831023" w:rsidP="00831023">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Pr="00831023">
              <w:rPr>
                <w:rFonts w:eastAsiaTheme="minorEastAsia" w:cs="Calibri"/>
                <w:b w:val="0"/>
                <w:u w:val="single"/>
              </w:rPr>
              <w:t>:</w:t>
            </w:r>
          </w:p>
          <w:p w14:paraId="0799C2AD" w14:textId="11B6B813" w:rsidR="001835D1" w:rsidRPr="00320A67" w:rsidRDefault="00831023" w:rsidP="00831023">
            <w:pPr>
              <w:pStyle w:val="Tableheading"/>
              <w:autoSpaceDE w:val="0"/>
              <w:autoSpaceDN w:val="0"/>
              <w:adjustRightInd w:val="0"/>
              <w:rPr>
                <w:rFonts w:eastAsiaTheme="minorEastAsia" w:cs="Calibri"/>
                <w:b w:val="0"/>
                <w:u w:val="single"/>
              </w:rPr>
            </w:pPr>
            <w:r w:rsidRPr="008366D4">
              <w:rPr>
                <w:rFonts w:eastAsiaTheme="minorEastAsia" w:cs="Calibri"/>
                <w:b w:val="0"/>
              </w:rPr>
              <w:t>Any adverse event</w:t>
            </w:r>
            <w:r w:rsidR="008366D4">
              <w:rPr>
                <w:rFonts w:eastAsiaTheme="minorEastAsia" w:cs="Calibri"/>
                <w:b w:val="0"/>
              </w:rPr>
              <w:t>, d</w:t>
            </w:r>
            <w:r w:rsidRPr="008366D4">
              <w:rPr>
                <w:rFonts w:eastAsiaTheme="minorEastAsia" w:cs="Calibri"/>
                <w:b w:val="0"/>
              </w:rPr>
              <w:t>eath</w:t>
            </w:r>
            <w:r w:rsidR="008366D4">
              <w:rPr>
                <w:rFonts w:eastAsiaTheme="minorEastAsia" w:cs="Calibri"/>
                <w:b w:val="0"/>
              </w:rPr>
              <w:t>, a</w:t>
            </w:r>
            <w:r w:rsidRPr="008366D4">
              <w:rPr>
                <w:rFonts w:eastAsiaTheme="minorEastAsia" w:cs="Calibri"/>
                <w:b w:val="0"/>
              </w:rPr>
              <w:t>ny SAE</w:t>
            </w:r>
            <w:r w:rsidR="008366D4">
              <w:rPr>
                <w:rFonts w:eastAsiaTheme="minorEastAsia" w:cs="Calibri"/>
                <w:b w:val="0"/>
              </w:rPr>
              <w:t>, t</w:t>
            </w:r>
            <w:r w:rsidRPr="000B79FB">
              <w:rPr>
                <w:rFonts w:eastAsiaTheme="minorEastAsia" w:cs="Calibri"/>
                <w:b w:val="0"/>
              </w:rPr>
              <w:t>reatment related AE (&gt;4%)</w:t>
            </w:r>
            <w:r w:rsidR="000B79FB">
              <w:rPr>
                <w:rFonts w:eastAsiaTheme="minorEastAsia" w:cs="Calibri"/>
                <w:b w:val="0"/>
              </w:rPr>
              <w:t>.</w:t>
            </w:r>
          </w:p>
        </w:tc>
      </w:tr>
      <w:tr w:rsidR="003A409B" w:rsidRPr="00061F78" w14:paraId="1BF65791" w14:textId="77777777" w:rsidTr="00D0517F">
        <w:trPr>
          <w:trHeight w:val="99"/>
        </w:trPr>
        <w:tc>
          <w:tcPr>
            <w:tcW w:w="189" w:type="pct"/>
          </w:tcPr>
          <w:p w14:paraId="34789112" w14:textId="1E92658D"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7A1D395E" w14:textId="36FA1EB3"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Chen 2020</w:t>
            </w:r>
          </w:p>
        </w:tc>
        <w:tc>
          <w:tcPr>
            <w:tcW w:w="379" w:type="pct"/>
            <w:shd w:val="clear" w:color="auto" w:fill="auto"/>
          </w:tcPr>
          <w:p w14:paraId="4E2EC249" w14:textId="1A98BC69"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72E03D2A" w14:textId="08D59260" w:rsidR="001835D1" w:rsidRPr="001E2154" w:rsidRDefault="002660D0"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3E505D3D" w14:textId="77777777" w:rsidR="001835D1" w:rsidRDefault="002660D0" w:rsidP="00693DA2">
            <w:pPr>
              <w:pStyle w:val="Tableheading"/>
              <w:autoSpaceDE w:val="0"/>
              <w:autoSpaceDN w:val="0"/>
              <w:adjustRightInd w:val="0"/>
              <w:rPr>
                <w:rFonts w:eastAsiaTheme="minorEastAsia" w:cs="Calibri"/>
                <w:b w:val="0"/>
              </w:rPr>
            </w:pPr>
            <w:r>
              <w:rPr>
                <w:rFonts w:eastAsiaTheme="minorEastAsia" w:cs="Calibri"/>
                <w:b w:val="0"/>
              </w:rPr>
              <w:t>822</w:t>
            </w:r>
          </w:p>
          <w:p w14:paraId="6725A3EB" w14:textId="77777777" w:rsidR="005140C7" w:rsidRDefault="00A43F37" w:rsidP="00693DA2">
            <w:pPr>
              <w:pStyle w:val="Tableheading"/>
              <w:autoSpaceDE w:val="0"/>
              <w:autoSpaceDN w:val="0"/>
              <w:adjustRightInd w:val="0"/>
              <w:rPr>
                <w:rFonts w:eastAsiaTheme="minorEastAsia" w:cs="Calibri"/>
                <w:b w:val="0"/>
              </w:rPr>
            </w:pPr>
            <w:r>
              <w:rPr>
                <w:rFonts w:eastAsiaTheme="minorEastAsia" w:cs="Calibri"/>
                <w:b w:val="0"/>
              </w:rPr>
              <w:t>n=275 (NRT) n=274 (</w:t>
            </w:r>
            <w:r w:rsidR="00963507">
              <w:rPr>
                <w:rFonts w:eastAsiaTheme="minorEastAsia" w:cs="Calibri"/>
                <w:b w:val="0"/>
              </w:rPr>
              <w:t>varenicline</w:t>
            </w:r>
            <w:r>
              <w:rPr>
                <w:rFonts w:eastAsiaTheme="minorEastAsia" w:cs="Calibri"/>
                <w:b w:val="0"/>
              </w:rPr>
              <w:t>)</w:t>
            </w:r>
          </w:p>
          <w:p w14:paraId="1F975B83" w14:textId="49924FD8" w:rsidR="00963507" w:rsidRPr="001E2154" w:rsidRDefault="00963507" w:rsidP="00693DA2">
            <w:pPr>
              <w:pStyle w:val="Tableheading"/>
              <w:autoSpaceDE w:val="0"/>
              <w:autoSpaceDN w:val="0"/>
              <w:adjustRightInd w:val="0"/>
              <w:rPr>
                <w:rFonts w:eastAsiaTheme="minorEastAsia" w:cs="Calibri"/>
                <w:b w:val="0"/>
              </w:rPr>
            </w:pPr>
            <w:r>
              <w:rPr>
                <w:rFonts w:eastAsiaTheme="minorEastAsia" w:cs="Calibri"/>
                <w:b w:val="0"/>
              </w:rPr>
              <w:t>n=</w:t>
            </w:r>
            <w:r w:rsidR="007C38AC">
              <w:rPr>
                <w:rFonts w:eastAsiaTheme="minorEastAsia" w:cs="Calibri"/>
                <w:b w:val="0"/>
              </w:rPr>
              <w:t>273 (placebo)</w:t>
            </w:r>
          </w:p>
        </w:tc>
        <w:tc>
          <w:tcPr>
            <w:tcW w:w="1142" w:type="pct"/>
            <w:shd w:val="clear" w:color="auto" w:fill="auto"/>
            <w:tcMar>
              <w:left w:w="28" w:type="dxa"/>
              <w:right w:w="28" w:type="dxa"/>
            </w:tcMar>
          </w:tcPr>
          <w:p w14:paraId="7A47CDEA" w14:textId="77777777" w:rsidR="002660D0" w:rsidRPr="002660D0" w:rsidRDefault="002660D0" w:rsidP="002660D0">
            <w:pPr>
              <w:pStyle w:val="Tableheading"/>
              <w:autoSpaceDE w:val="0"/>
              <w:autoSpaceDN w:val="0"/>
              <w:adjustRightInd w:val="0"/>
              <w:rPr>
                <w:rFonts w:eastAsiaTheme="minorEastAsia" w:cs="Calibri"/>
                <w:b w:val="0"/>
              </w:rPr>
            </w:pPr>
            <w:r w:rsidRPr="002660D0">
              <w:rPr>
                <w:rFonts w:eastAsiaTheme="minorEastAsia" w:cs="Calibri"/>
                <w:b w:val="0"/>
              </w:rPr>
              <w:t>Adults (21+) English speaking smokers (&gt;=5 cigarettes per day and exhaled CO &gt;=8 ppm), seeking treatment for cessation.</w:t>
            </w:r>
          </w:p>
          <w:p w14:paraId="0C9E6FC2" w14:textId="4E3AAD3B" w:rsidR="001835D1" w:rsidRPr="001E2154" w:rsidRDefault="002660D0" w:rsidP="009E7142">
            <w:pPr>
              <w:pStyle w:val="Tableheading"/>
              <w:autoSpaceDE w:val="0"/>
              <w:autoSpaceDN w:val="0"/>
              <w:adjustRightInd w:val="0"/>
              <w:rPr>
                <w:rFonts w:eastAsiaTheme="minorEastAsia" w:cs="Calibri"/>
                <w:b w:val="0"/>
              </w:rPr>
            </w:pPr>
            <w:r w:rsidRPr="002660D0">
              <w:rPr>
                <w:rFonts w:eastAsiaTheme="minorEastAsia" w:cs="Calibri"/>
                <w:b w:val="0"/>
              </w:rPr>
              <w:t>Pregnancy or breastfeeding, active or recent use of medications or e-cigarettes for smoking cessation, allergy to interve</w:t>
            </w:r>
            <w:r>
              <w:rPr>
                <w:rFonts w:eastAsiaTheme="minorEastAsia" w:cs="Calibri"/>
                <w:b w:val="0"/>
              </w:rPr>
              <w:t>nt</w:t>
            </w:r>
            <w:r w:rsidRPr="002660D0">
              <w:rPr>
                <w:rFonts w:eastAsiaTheme="minorEastAsia" w:cs="Calibri"/>
                <w:b w:val="0"/>
              </w:rPr>
              <w:t>ions, unwillingness to prevent pregnancy during treatment or 1</w:t>
            </w:r>
            <w:r w:rsidR="009E7142">
              <w:rPr>
                <w:rFonts w:eastAsiaTheme="minorEastAsia" w:cs="Calibri"/>
                <w:b w:val="0"/>
              </w:rPr>
              <w:t xml:space="preserve"> </w:t>
            </w:r>
            <w:r w:rsidRPr="002660D0">
              <w:rPr>
                <w:rFonts w:eastAsiaTheme="minorEastAsia" w:cs="Calibri"/>
                <w:b w:val="0"/>
              </w:rPr>
              <w:t>mo</w:t>
            </w:r>
            <w:r w:rsidR="009E7142">
              <w:rPr>
                <w:rFonts w:eastAsiaTheme="minorEastAsia" w:cs="Calibri"/>
                <w:b w:val="0"/>
              </w:rPr>
              <w:t>nth</w:t>
            </w:r>
            <w:r w:rsidRPr="002660D0">
              <w:rPr>
                <w:rFonts w:eastAsiaTheme="minorEastAsia" w:cs="Calibri"/>
                <w:b w:val="0"/>
              </w:rPr>
              <w:t xml:space="preserve"> after, significant cardiac conditions, current heavy alcohol consumption, active </w:t>
            </w:r>
            <w:r w:rsidRPr="002660D0">
              <w:rPr>
                <w:rFonts w:eastAsiaTheme="minorEastAsia" w:cs="Calibri"/>
                <w:b w:val="0"/>
              </w:rPr>
              <w:lastRenderedPageBreak/>
              <w:t xml:space="preserve">psychosis or poorly controlled depression </w:t>
            </w:r>
            <w:r w:rsidR="009E7142">
              <w:rPr>
                <w:rFonts w:eastAsiaTheme="minorEastAsia" w:cs="Calibri"/>
                <w:b w:val="0"/>
              </w:rPr>
              <w:t>at</w:t>
            </w:r>
            <w:r w:rsidRPr="002660D0">
              <w:rPr>
                <w:rFonts w:eastAsiaTheme="minorEastAsia" w:cs="Calibri"/>
                <w:b w:val="0"/>
              </w:rPr>
              <w:t xml:space="preserve"> 6 mo</w:t>
            </w:r>
            <w:r w:rsidR="009E7142">
              <w:rPr>
                <w:rFonts w:eastAsiaTheme="minorEastAsia" w:cs="Calibri"/>
                <w:b w:val="0"/>
              </w:rPr>
              <w:t>nths</w:t>
            </w:r>
            <w:r w:rsidRPr="002660D0">
              <w:rPr>
                <w:rFonts w:eastAsiaTheme="minorEastAsia" w:cs="Calibri"/>
                <w:b w:val="0"/>
              </w:rPr>
              <w:t>, any prior suicide attempt or suicide ideation in past 6</w:t>
            </w:r>
            <w:r w:rsidR="009E7142">
              <w:rPr>
                <w:rFonts w:eastAsiaTheme="minorEastAsia" w:cs="Calibri"/>
                <w:b w:val="0"/>
              </w:rPr>
              <w:t xml:space="preserve"> </w:t>
            </w:r>
            <w:r w:rsidRPr="002660D0">
              <w:rPr>
                <w:rFonts w:eastAsiaTheme="minorEastAsia" w:cs="Calibri"/>
                <w:b w:val="0"/>
              </w:rPr>
              <w:t>mo</w:t>
            </w:r>
            <w:r w:rsidR="009E7142">
              <w:rPr>
                <w:rFonts w:eastAsiaTheme="minorEastAsia" w:cs="Calibri"/>
                <w:b w:val="0"/>
              </w:rPr>
              <w:t>nths</w:t>
            </w:r>
            <w:r w:rsidRPr="002660D0">
              <w:rPr>
                <w:rFonts w:eastAsiaTheme="minorEastAsia" w:cs="Calibri"/>
                <w:b w:val="0"/>
              </w:rPr>
              <w:t xml:space="preserve">, end stage renal disease with </w:t>
            </w:r>
            <w:r w:rsidR="009E7142" w:rsidRPr="002660D0">
              <w:rPr>
                <w:rFonts w:eastAsiaTheme="minorEastAsia" w:cs="Calibri"/>
                <w:b w:val="0"/>
              </w:rPr>
              <w:t>haemodialysis</w:t>
            </w:r>
            <w:r w:rsidRPr="002660D0">
              <w:rPr>
                <w:rFonts w:eastAsiaTheme="minorEastAsia" w:cs="Calibri"/>
                <w:b w:val="0"/>
              </w:rPr>
              <w:t>.</w:t>
            </w:r>
          </w:p>
        </w:tc>
        <w:tc>
          <w:tcPr>
            <w:tcW w:w="808" w:type="pct"/>
            <w:shd w:val="clear" w:color="auto" w:fill="auto"/>
          </w:tcPr>
          <w:p w14:paraId="0624FCF6" w14:textId="6B8746D9" w:rsidR="00C05D96" w:rsidRPr="00C05D96" w:rsidRDefault="00C05D96" w:rsidP="00C324F3">
            <w:pPr>
              <w:pStyle w:val="Tablewriting"/>
              <w:keepNext/>
              <w:numPr>
                <w:ilvl w:val="0"/>
                <w:numId w:val="8"/>
              </w:numPr>
              <w:rPr>
                <w:rFonts w:eastAsia="MS Mincho"/>
              </w:rPr>
            </w:pPr>
            <w:r w:rsidRPr="00C05D96">
              <w:rPr>
                <w:rFonts w:eastAsia="MS Mincho"/>
              </w:rPr>
              <w:lastRenderedPageBreak/>
              <w:t>Varenicline, 12 weeks with 1 w</w:t>
            </w:r>
            <w:r w:rsidR="006E016C">
              <w:rPr>
                <w:rFonts w:eastAsia="MS Mincho"/>
              </w:rPr>
              <w:t>ee</w:t>
            </w:r>
            <w:r w:rsidRPr="00C05D96">
              <w:rPr>
                <w:rFonts w:eastAsia="MS Mincho"/>
              </w:rPr>
              <w:t>k titration prior to quit date</w:t>
            </w:r>
          </w:p>
          <w:p w14:paraId="54091E31" w14:textId="77777777" w:rsidR="00C05D96" w:rsidRPr="00C05D96" w:rsidRDefault="00C05D96" w:rsidP="00C324F3">
            <w:pPr>
              <w:pStyle w:val="Tablewriting"/>
              <w:keepNext/>
              <w:numPr>
                <w:ilvl w:val="0"/>
                <w:numId w:val="8"/>
              </w:numPr>
              <w:rPr>
                <w:rFonts w:eastAsia="MS Mincho"/>
              </w:rPr>
            </w:pPr>
            <w:r w:rsidRPr="00C05D96">
              <w:rPr>
                <w:rFonts w:eastAsia="MS Mincho"/>
              </w:rPr>
              <w:t xml:space="preserve">NRT patches and lozenges, 12 weeks with lozenges 1 wk prior to planned quit date </w:t>
            </w:r>
          </w:p>
          <w:p w14:paraId="7CD819CF" w14:textId="77777777" w:rsidR="00C05D96" w:rsidRPr="00C05D96" w:rsidRDefault="00C05D96" w:rsidP="00C324F3">
            <w:pPr>
              <w:pStyle w:val="Tablewriting"/>
              <w:keepNext/>
              <w:numPr>
                <w:ilvl w:val="0"/>
                <w:numId w:val="8"/>
              </w:numPr>
              <w:rPr>
                <w:rFonts w:eastAsia="MS Mincho"/>
              </w:rPr>
            </w:pPr>
            <w:r w:rsidRPr="00C05D96">
              <w:rPr>
                <w:rFonts w:eastAsia="MS Mincho"/>
              </w:rPr>
              <w:t>Placebo</w:t>
            </w:r>
          </w:p>
          <w:p w14:paraId="09631C81" w14:textId="77777777" w:rsidR="00C05D96" w:rsidRPr="00C05D96" w:rsidRDefault="00C05D96" w:rsidP="00FF725F">
            <w:pPr>
              <w:pStyle w:val="Tablewriting"/>
              <w:keepNext/>
              <w:rPr>
                <w:rFonts w:eastAsia="MS Mincho"/>
              </w:rPr>
            </w:pPr>
            <w:r w:rsidRPr="00554906">
              <w:rPr>
                <w:rFonts w:eastAsia="MS Mincho"/>
                <w:u w:val="single"/>
              </w:rPr>
              <w:t>Common elements</w:t>
            </w:r>
            <w:r w:rsidRPr="00C05D96">
              <w:rPr>
                <w:rFonts w:eastAsia="MS Mincho"/>
              </w:rPr>
              <w:t>:</w:t>
            </w:r>
          </w:p>
          <w:p w14:paraId="35321DAC" w14:textId="4F1EBD76" w:rsidR="00D4427A" w:rsidRPr="00465ED1" w:rsidRDefault="00C05D96" w:rsidP="00C324F3">
            <w:pPr>
              <w:pStyle w:val="Tablewriting"/>
              <w:keepNext/>
              <w:numPr>
                <w:ilvl w:val="0"/>
                <w:numId w:val="8"/>
              </w:numPr>
              <w:rPr>
                <w:rFonts w:eastAsia="MS Mincho"/>
              </w:rPr>
            </w:pPr>
            <w:r w:rsidRPr="00C05D96">
              <w:rPr>
                <w:rFonts w:eastAsia="MS Mincho"/>
              </w:rPr>
              <w:t>Counselling</w:t>
            </w:r>
          </w:p>
        </w:tc>
        <w:tc>
          <w:tcPr>
            <w:tcW w:w="1094" w:type="pct"/>
            <w:shd w:val="clear" w:color="auto" w:fill="auto"/>
            <w:tcMar>
              <w:left w:w="28" w:type="dxa"/>
              <w:right w:w="28" w:type="dxa"/>
            </w:tcMar>
          </w:tcPr>
          <w:p w14:paraId="3518CD78" w14:textId="77777777" w:rsidR="00C05D96" w:rsidRPr="00C05D96" w:rsidRDefault="00C05D96" w:rsidP="00C05D96">
            <w:pPr>
              <w:pStyle w:val="Tableheading"/>
              <w:autoSpaceDE w:val="0"/>
              <w:autoSpaceDN w:val="0"/>
              <w:adjustRightInd w:val="0"/>
              <w:rPr>
                <w:rFonts w:eastAsiaTheme="minorEastAsia" w:cs="Calibri"/>
                <w:b w:val="0"/>
                <w:u w:val="single"/>
              </w:rPr>
            </w:pPr>
            <w:r w:rsidRPr="00C05D96">
              <w:rPr>
                <w:rFonts w:eastAsiaTheme="minorEastAsia" w:cs="Calibri"/>
                <w:b w:val="0"/>
                <w:u w:val="single"/>
              </w:rPr>
              <w:t>Efficacy:</w:t>
            </w:r>
          </w:p>
          <w:p w14:paraId="3EEC4564" w14:textId="77777777" w:rsidR="002E5408"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554906">
              <w:rPr>
                <w:rFonts w:eastAsiaTheme="minorEastAsia" w:cs="Calibri"/>
                <w:b w:val="0"/>
              </w:rPr>
              <w:t xml:space="preserve"> </w:t>
            </w:r>
          </w:p>
          <w:p w14:paraId="7A6D9941" w14:textId="6868A5BE" w:rsidR="00C05D96" w:rsidRPr="00554906"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rPr>
              <w:t>7-day PPA,12</w:t>
            </w:r>
            <w:r w:rsidR="00E23963">
              <w:rPr>
                <w:rFonts w:eastAsiaTheme="minorEastAsia" w:cs="Calibri"/>
                <w:b w:val="0"/>
              </w:rPr>
              <w:t xml:space="preserve"> </w:t>
            </w:r>
            <w:r w:rsidRPr="00554906">
              <w:rPr>
                <w:rFonts w:eastAsiaTheme="minorEastAsia" w:cs="Calibri"/>
                <w:b w:val="0"/>
              </w:rPr>
              <w:t>w</w:t>
            </w:r>
            <w:r w:rsidR="00E23963">
              <w:rPr>
                <w:rFonts w:eastAsiaTheme="minorEastAsia" w:cs="Calibri"/>
                <w:b w:val="0"/>
              </w:rPr>
              <w:t>ee</w:t>
            </w:r>
            <w:r w:rsidRPr="00554906">
              <w:rPr>
                <w:rFonts w:eastAsiaTheme="minorEastAsia" w:cs="Calibri"/>
                <w:b w:val="0"/>
              </w:rPr>
              <w:t>k; CO</w:t>
            </w:r>
            <w:r w:rsidR="00952A8D">
              <w:rPr>
                <w:rFonts w:eastAsiaTheme="minorEastAsia" w:cs="Calibri"/>
                <w:b w:val="0"/>
              </w:rPr>
              <w:t xml:space="preserve">; </w:t>
            </w:r>
            <w:r w:rsidRPr="00554906">
              <w:rPr>
                <w:rFonts w:eastAsiaTheme="minorEastAsia" w:cs="Calibri"/>
                <w:b w:val="0"/>
              </w:rPr>
              <w:t>verification (&lt;8ppm)</w:t>
            </w:r>
          </w:p>
          <w:p w14:paraId="599D45ED" w14:textId="77777777" w:rsidR="00C05D96" w:rsidRPr="00554906" w:rsidRDefault="00C05D96" w:rsidP="00C05D96">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20219AA6" w14:textId="1348E974" w:rsidR="00C05D96" w:rsidRPr="00554906" w:rsidRDefault="00C05D96" w:rsidP="00C05D96">
            <w:pPr>
              <w:pStyle w:val="Tableheading"/>
              <w:autoSpaceDE w:val="0"/>
              <w:autoSpaceDN w:val="0"/>
              <w:adjustRightInd w:val="0"/>
              <w:rPr>
                <w:rFonts w:eastAsiaTheme="minorEastAsia" w:cs="Calibri"/>
                <w:b w:val="0"/>
              </w:rPr>
            </w:pPr>
            <w:r w:rsidRPr="00554906">
              <w:rPr>
                <w:rFonts w:eastAsiaTheme="minorEastAsia" w:cs="Calibri"/>
                <w:b w:val="0"/>
              </w:rPr>
              <w:t>CAR, 12</w:t>
            </w:r>
            <w:r w:rsidR="00E23963">
              <w:rPr>
                <w:rFonts w:eastAsiaTheme="minorEastAsia" w:cs="Calibri"/>
                <w:b w:val="0"/>
              </w:rPr>
              <w:t xml:space="preserve"> </w:t>
            </w:r>
            <w:r w:rsidRPr="00554906">
              <w:rPr>
                <w:rFonts w:eastAsiaTheme="minorEastAsia" w:cs="Calibri"/>
                <w:b w:val="0"/>
              </w:rPr>
              <w:t>w</w:t>
            </w:r>
            <w:r w:rsidR="00E23963">
              <w:rPr>
                <w:rFonts w:eastAsiaTheme="minorEastAsia" w:cs="Calibri"/>
                <w:b w:val="0"/>
              </w:rPr>
              <w:t>ee</w:t>
            </w:r>
            <w:r w:rsidRPr="00554906">
              <w:rPr>
                <w:rFonts w:eastAsiaTheme="minorEastAsia" w:cs="Calibri"/>
                <w:b w:val="0"/>
              </w:rPr>
              <w:t>k</w:t>
            </w:r>
            <w:r w:rsidR="00952A8D">
              <w:rPr>
                <w:rFonts w:eastAsiaTheme="minorEastAsia" w:cs="Calibri"/>
                <w:b w:val="0"/>
              </w:rPr>
              <w:t xml:space="preserve">, </w:t>
            </w:r>
            <w:r w:rsidRPr="00554906">
              <w:rPr>
                <w:rFonts w:eastAsiaTheme="minorEastAsia" w:cs="Calibri"/>
                <w:b w:val="0"/>
              </w:rPr>
              <w:t>7-day PPA, 6</w:t>
            </w:r>
            <w:r w:rsidR="00952A8D">
              <w:rPr>
                <w:rFonts w:eastAsiaTheme="minorEastAsia" w:cs="Calibri"/>
                <w:b w:val="0"/>
              </w:rPr>
              <w:t xml:space="preserve"> </w:t>
            </w:r>
            <w:r w:rsidRPr="00554906">
              <w:rPr>
                <w:rFonts w:eastAsiaTheme="minorEastAsia" w:cs="Calibri"/>
                <w:b w:val="0"/>
              </w:rPr>
              <w:t>mo</w:t>
            </w:r>
            <w:r w:rsidR="00952A8D">
              <w:rPr>
                <w:rFonts w:eastAsiaTheme="minorEastAsia" w:cs="Calibri"/>
                <w:b w:val="0"/>
              </w:rPr>
              <w:t>nths</w:t>
            </w:r>
          </w:p>
          <w:p w14:paraId="5EA9322A" w14:textId="1541F266" w:rsidR="001835D1" w:rsidRPr="00320A67" w:rsidRDefault="00C05D96" w:rsidP="00C05D96">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Pr="00C05D96">
              <w:rPr>
                <w:rFonts w:eastAsiaTheme="minorEastAsia" w:cs="Calibri"/>
                <w:b w:val="0"/>
                <w:u w:val="single"/>
              </w:rPr>
              <w:t>:</w:t>
            </w:r>
            <w:r w:rsidR="00952A8D">
              <w:rPr>
                <w:rFonts w:eastAsiaTheme="minorEastAsia" w:cs="Calibri"/>
                <w:b w:val="0"/>
                <w:u w:val="single"/>
              </w:rPr>
              <w:t xml:space="preserve"> </w:t>
            </w:r>
            <w:r w:rsidRPr="005A157B">
              <w:rPr>
                <w:rFonts w:eastAsiaTheme="minorEastAsia" w:cs="Calibri"/>
                <w:b w:val="0"/>
              </w:rPr>
              <w:t>All AE, 12</w:t>
            </w:r>
            <w:r w:rsidR="00952A8D" w:rsidRPr="005A157B">
              <w:rPr>
                <w:rFonts w:eastAsiaTheme="minorEastAsia" w:cs="Calibri"/>
                <w:b w:val="0"/>
              </w:rPr>
              <w:t xml:space="preserve"> </w:t>
            </w:r>
            <w:r w:rsidRPr="005A157B">
              <w:rPr>
                <w:rFonts w:eastAsiaTheme="minorEastAsia" w:cs="Calibri"/>
                <w:b w:val="0"/>
              </w:rPr>
              <w:t>w</w:t>
            </w:r>
            <w:r w:rsidR="00952A8D" w:rsidRPr="005A157B">
              <w:rPr>
                <w:rFonts w:eastAsiaTheme="minorEastAsia" w:cs="Calibri"/>
                <w:b w:val="0"/>
              </w:rPr>
              <w:t>ee</w:t>
            </w:r>
            <w:r w:rsidRPr="005A157B">
              <w:rPr>
                <w:rFonts w:eastAsiaTheme="minorEastAsia" w:cs="Calibri"/>
                <w:b w:val="0"/>
              </w:rPr>
              <w:t>k</w:t>
            </w:r>
            <w:r w:rsidR="00952A8D" w:rsidRPr="005A157B">
              <w:rPr>
                <w:rFonts w:eastAsiaTheme="minorEastAsia" w:cs="Calibri"/>
                <w:b w:val="0"/>
              </w:rPr>
              <w:t>.</w:t>
            </w:r>
          </w:p>
        </w:tc>
      </w:tr>
      <w:tr w:rsidR="003A409B" w:rsidRPr="00061F78" w14:paraId="7CECA99E" w14:textId="77777777" w:rsidTr="00D0517F">
        <w:trPr>
          <w:trHeight w:val="99"/>
        </w:trPr>
        <w:tc>
          <w:tcPr>
            <w:tcW w:w="189" w:type="pct"/>
          </w:tcPr>
          <w:p w14:paraId="75875715" w14:textId="265CBC6A"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1E620A4E" w14:textId="35180512"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Schnoll 2019</w:t>
            </w:r>
          </w:p>
        </w:tc>
        <w:tc>
          <w:tcPr>
            <w:tcW w:w="379" w:type="pct"/>
            <w:shd w:val="clear" w:color="auto" w:fill="auto"/>
          </w:tcPr>
          <w:p w14:paraId="32320D9B" w14:textId="143378B9"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4540C0C9" w14:textId="5D25CA49" w:rsidR="001835D1" w:rsidRPr="001E2154" w:rsidRDefault="000263E2"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08A1215B" w14:textId="77777777" w:rsidR="001835D1" w:rsidRDefault="000263E2" w:rsidP="00693DA2">
            <w:pPr>
              <w:pStyle w:val="Tableheading"/>
              <w:autoSpaceDE w:val="0"/>
              <w:autoSpaceDN w:val="0"/>
              <w:adjustRightInd w:val="0"/>
              <w:rPr>
                <w:rFonts w:eastAsiaTheme="minorEastAsia" w:cs="Calibri"/>
                <w:b w:val="0"/>
              </w:rPr>
            </w:pPr>
            <w:r>
              <w:rPr>
                <w:rFonts w:eastAsiaTheme="minorEastAsia" w:cs="Calibri"/>
                <w:b w:val="0"/>
              </w:rPr>
              <w:t>207</w:t>
            </w:r>
          </w:p>
          <w:p w14:paraId="68A1B789" w14:textId="54D75698" w:rsidR="007C38AC" w:rsidRDefault="009B20B3" w:rsidP="00693DA2">
            <w:pPr>
              <w:pStyle w:val="Tableheading"/>
              <w:autoSpaceDE w:val="0"/>
              <w:autoSpaceDN w:val="0"/>
              <w:adjustRightInd w:val="0"/>
              <w:rPr>
                <w:rFonts w:eastAsiaTheme="minorEastAsia" w:cs="Calibri"/>
                <w:b w:val="0"/>
              </w:rPr>
            </w:pPr>
            <w:r>
              <w:rPr>
                <w:rFonts w:eastAsiaTheme="minorEastAsia" w:cs="Calibri"/>
                <w:b w:val="0"/>
              </w:rPr>
              <w:t>n=105 (varenicline) n=102 (placebo)</w:t>
            </w:r>
          </w:p>
          <w:p w14:paraId="6030B1D0" w14:textId="3C768775" w:rsidR="005140C7" w:rsidRPr="001E2154" w:rsidRDefault="005140C7"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14:paraId="4D2436B0" w14:textId="77777777" w:rsidR="005140C7" w:rsidRPr="005140C7" w:rsidRDefault="005140C7" w:rsidP="005140C7">
            <w:pPr>
              <w:pStyle w:val="Tableheading"/>
              <w:autoSpaceDE w:val="0"/>
              <w:autoSpaceDN w:val="0"/>
              <w:adjustRightInd w:val="0"/>
              <w:rPr>
                <w:rFonts w:eastAsiaTheme="minorEastAsia" w:cs="Calibri"/>
                <w:b w:val="0"/>
              </w:rPr>
            </w:pPr>
            <w:r w:rsidRPr="005140C7">
              <w:rPr>
                <w:rFonts w:eastAsiaTheme="minorEastAsia" w:cs="Calibri"/>
                <w:b w:val="0"/>
              </w:rPr>
              <w:t xml:space="preserve">Adults (18+) smokers (5 cigarettes per week), motivated to quit with a diagnosis of cancer or a recurrence within the past 5 years and Participants were required to a Karnofsky score ≥50 or an ECOG Performance status ≤2 </w:t>
            </w:r>
          </w:p>
          <w:p w14:paraId="0152E472" w14:textId="77777777" w:rsidR="005140C7" w:rsidRPr="005140C7" w:rsidRDefault="005140C7" w:rsidP="005140C7">
            <w:pPr>
              <w:pStyle w:val="Tableheading"/>
              <w:autoSpaceDE w:val="0"/>
              <w:autoSpaceDN w:val="0"/>
              <w:adjustRightInd w:val="0"/>
              <w:rPr>
                <w:rFonts w:eastAsiaTheme="minorEastAsia" w:cs="Calibri"/>
                <w:b w:val="0"/>
              </w:rPr>
            </w:pPr>
            <w:r w:rsidRPr="006A6B9B">
              <w:rPr>
                <w:rFonts w:eastAsiaTheme="minorEastAsia" w:cs="Calibri"/>
                <w:b w:val="0"/>
                <w:u w:val="single"/>
              </w:rPr>
              <w:t>Exclusions</w:t>
            </w:r>
            <w:r w:rsidRPr="005140C7">
              <w:rPr>
                <w:rFonts w:eastAsiaTheme="minorEastAsia" w:cs="Calibri"/>
                <w:b w:val="0"/>
              </w:rPr>
              <w:t>:</w:t>
            </w:r>
          </w:p>
          <w:p w14:paraId="47226DC0" w14:textId="099C5BC5" w:rsidR="001835D1" w:rsidRPr="001E2154" w:rsidRDefault="005140C7" w:rsidP="005140C7">
            <w:pPr>
              <w:pStyle w:val="Tableheading"/>
              <w:autoSpaceDE w:val="0"/>
              <w:autoSpaceDN w:val="0"/>
              <w:adjustRightInd w:val="0"/>
              <w:rPr>
                <w:rFonts w:eastAsiaTheme="minorEastAsia" w:cs="Calibri"/>
                <w:b w:val="0"/>
              </w:rPr>
            </w:pPr>
            <w:r w:rsidRPr="005140C7">
              <w:rPr>
                <w:rFonts w:eastAsiaTheme="minorEastAsia" w:cs="Calibri"/>
                <w:b w:val="0"/>
              </w:rPr>
              <w:t>Daily use of nicotine products other than cigarettes, unstable substance abuse/dependence in the last year, a current medical problem for which varenicline use is contraindicated (e.g., allergy), a lifetime DSM-IV diagnosis of psychotic or bipolar disorder or current unstable or untreated major depression, current suicidality or a past attempt as identified by the Mini International Neuropsychiatric Interview (MINI) or the Columbia-Suicide Severity Rating Scale, unable to communicate in English, pregnant, planning a pregnancy, or lactating.</w:t>
            </w:r>
          </w:p>
        </w:tc>
        <w:tc>
          <w:tcPr>
            <w:tcW w:w="808" w:type="pct"/>
            <w:shd w:val="clear" w:color="auto" w:fill="auto"/>
          </w:tcPr>
          <w:p w14:paraId="127400AE" w14:textId="65AD3324" w:rsidR="005140C7" w:rsidRPr="005140C7" w:rsidRDefault="005140C7" w:rsidP="00C324F3">
            <w:pPr>
              <w:pStyle w:val="Tablewriting"/>
              <w:keepNext/>
              <w:numPr>
                <w:ilvl w:val="0"/>
                <w:numId w:val="8"/>
              </w:numPr>
              <w:rPr>
                <w:rFonts w:eastAsia="MS Mincho"/>
              </w:rPr>
            </w:pPr>
            <w:r w:rsidRPr="005140C7">
              <w:rPr>
                <w:rFonts w:eastAsia="MS Mincho"/>
              </w:rPr>
              <w:t>Varenicline, 1mg b</w:t>
            </w:r>
            <w:r w:rsidR="0075452C">
              <w:rPr>
                <w:rFonts w:eastAsia="MS Mincho"/>
              </w:rPr>
              <w:t>.</w:t>
            </w:r>
            <w:r w:rsidRPr="005140C7">
              <w:rPr>
                <w:rFonts w:eastAsia="MS Mincho"/>
              </w:rPr>
              <w:t>d, 12</w:t>
            </w:r>
            <w:r w:rsidR="0075452C">
              <w:rPr>
                <w:rFonts w:eastAsia="MS Mincho"/>
              </w:rPr>
              <w:t xml:space="preserve"> </w:t>
            </w:r>
            <w:r w:rsidRPr="005140C7">
              <w:rPr>
                <w:rFonts w:eastAsia="MS Mincho"/>
              </w:rPr>
              <w:t>w</w:t>
            </w:r>
            <w:r w:rsidR="0075452C">
              <w:rPr>
                <w:rFonts w:eastAsia="MS Mincho"/>
              </w:rPr>
              <w:t>ee</w:t>
            </w:r>
            <w:r w:rsidRPr="005140C7">
              <w:rPr>
                <w:rFonts w:eastAsia="MS Mincho"/>
              </w:rPr>
              <w:t>ks from wks 12-24</w:t>
            </w:r>
          </w:p>
          <w:p w14:paraId="074AD6A6" w14:textId="77777777" w:rsidR="005140C7" w:rsidRPr="005140C7" w:rsidRDefault="005140C7" w:rsidP="00C324F3">
            <w:pPr>
              <w:pStyle w:val="Tablewriting"/>
              <w:keepNext/>
              <w:numPr>
                <w:ilvl w:val="0"/>
                <w:numId w:val="8"/>
              </w:numPr>
              <w:rPr>
                <w:rFonts w:eastAsia="MS Mincho"/>
              </w:rPr>
            </w:pPr>
            <w:r w:rsidRPr="005140C7">
              <w:rPr>
                <w:rFonts w:eastAsia="MS Mincho"/>
              </w:rPr>
              <w:t>Placebo, 12wks from wks 12-24</w:t>
            </w:r>
          </w:p>
          <w:p w14:paraId="5D196410" w14:textId="77777777" w:rsidR="005140C7" w:rsidRPr="005140C7" w:rsidRDefault="005140C7" w:rsidP="00FF725F">
            <w:pPr>
              <w:pStyle w:val="Tablewriting"/>
              <w:keepNext/>
              <w:rPr>
                <w:rFonts w:eastAsia="MS Mincho"/>
              </w:rPr>
            </w:pPr>
            <w:r w:rsidRPr="00554906">
              <w:rPr>
                <w:rFonts w:eastAsia="MS Mincho"/>
                <w:u w:val="single"/>
              </w:rPr>
              <w:t>Common elements</w:t>
            </w:r>
            <w:r w:rsidRPr="005140C7">
              <w:rPr>
                <w:rFonts w:eastAsia="MS Mincho"/>
              </w:rPr>
              <w:t>:</w:t>
            </w:r>
          </w:p>
          <w:p w14:paraId="322097C6" w14:textId="316F371E" w:rsidR="005140C7" w:rsidRPr="005140C7" w:rsidRDefault="005140C7" w:rsidP="00C324F3">
            <w:pPr>
              <w:pStyle w:val="Tablewriting"/>
              <w:keepNext/>
              <w:numPr>
                <w:ilvl w:val="0"/>
                <w:numId w:val="8"/>
              </w:numPr>
              <w:rPr>
                <w:rFonts w:eastAsia="MS Mincho"/>
              </w:rPr>
            </w:pPr>
            <w:r w:rsidRPr="005140C7">
              <w:rPr>
                <w:rFonts w:eastAsia="MS Mincho"/>
              </w:rPr>
              <w:t>Varenicline, 1mg b</w:t>
            </w:r>
            <w:r w:rsidR="0075452C">
              <w:rPr>
                <w:rFonts w:eastAsia="MS Mincho"/>
              </w:rPr>
              <w:t>.</w:t>
            </w:r>
            <w:r w:rsidRPr="005140C7">
              <w:rPr>
                <w:rFonts w:eastAsia="MS Mincho"/>
              </w:rPr>
              <w:t>d, w</w:t>
            </w:r>
            <w:r w:rsidR="0075452C">
              <w:rPr>
                <w:rFonts w:eastAsia="MS Mincho"/>
              </w:rPr>
              <w:t>ee</w:t>
            </w:r>
            <w:r w:rsidRPr="005140C7">
              <w:rPr>
                <w:rFonts w:eastAsia="MS Mincho"/>
              </w:rPr>
              <w:t>ks 0-12, with 1 w</w:t>
            </w:r>
            <w:r w:rsidR="00E23963">
              <w:rPr>
                <w:rFonts w:eastAsia="MS Mincho"/>
              </w:rPr>
              <w:t>ee</w:t>
            </w:r>
            <w:r w:rsidRPr="005140C7">
              <w:rPr>
                <w:rFonts w:eastAsia="MS Mincho"/>
              </w:rPr>
              <w:t>k titrated dose prior to quit date</w:t>
            </w:r>
          </w:p>
          <w:p w14:paraId="0ED93BE4" w14:textId="17F43DBE" w:rsidR="001835D1" w:rsidRPr="00D11171" w:rsidRDefault="005140C7" w:rsidP="00C324F3">
            <w:pPr>
              <w:pStyle w:val="Tablewriting"/>
              <w:keepNext/>
              <w:numPr>
                <w:ilvl w:val="0"/>
                <w:numId w:val="8"/>
              </w:numPr>
              <w:rPr>
                <w:rFonts w:eastAsia="MS Mincho"/>
              </w:rPr>
            </w:pPr>
            <w:r w:rsidRPr="005140C7">
              <w:rPr>
                <w:rFonts w:eastAsia="MS Mincho"/>
              </w:rPr>
              <w:t>Smoking cessation counselling at Quit date then w</w:t>
            </w:r>
            <w:r w:rsidR="00742293">
              <w:rPr>
                <w:rFonts w:eastAsia="MS Mincho"/>
              </w:rPr>
              <w:t>ee</w:t>
            </w:r>
            <w:r w:rsidRPr="005140C7">
              <w:rPr>
                <w:rFonts w:eastAsia="MS Mincho"/>
              </w:rPr>
              <w:t>k 4,8,12,14,18.</w:t>
            </w:r>
          </w:p>
        </w:tc>
        <w:tc>
          <w:tcPr>
            <w:tcW w:w="1094" w:type="pct"/>
            <w:shd w:val="clear" w:color="auto" w:fill="auto"/>
            <w:tcMar>
              <w:left w:w="28" w:type="dxa"/>
              <w:right w:w="28" w:type="dxa"/>
            </w:tcMar>
          </w:tcPr>
          <w:p w14:paraId="6AD04954" w14:textId="77777777" w:rsidR="005140C7" w:rsidRPr="005140C7" w:rsidRDefault="005140C7" w:rsidP="005140C7">
            <w:pPr>
              <w:pStyle w:val="Tableheading"/>
              <w:autoSpaceDE w:val="0"/>
              <w:autoSpaceDN w:val="0"/>
              <w:adjustRightInd w:val="0"/>
              <w:rPr>
                <w:rFonts w:eastAsiaTheme="minorEastAsia" w:cs="Calibri"/>
                <w:b w:val="0"/>
                <w:u w:val="single"/>
              </w:rPr>
            </w:pPr>
            <w:r w:rsidRPr="005140C7">
              <w:rPr>
                <w:rFonts w:eastAsiaTheme="minorEastAsia" w:cs="Calibri"/>
                <w:b w:val="0"/>
                <w:u w:val="single"/>
              </w:rPr>
              <w:t>Efficacy</w:t>
            </w:r>
          </w:p>
          <w:p w14:paraId="539A1187" w14:textId="77777777" w:rsidR="005140C7" w:rsidRPr="00554906" w:rsidRDefault="005140C7" w:rsidP="005140C7">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589F452D" w14:textId="52091BC4" w:rsidR="005140C7" w:rsidRPr="00554906" w:rsidRDefault="005140C7" w:rsidP="005140C7">
            <w:pPr>
              <w:pStyle w:val="Tableheading"/>
              <w:autoSpaceDE w:val="0"/>
              <w:autoSpaceDN w:val="0"/>
              <w:adjustRightInd w:val="0"/>
              <w:rPr>
                <w:rFonts w:eastAsiaTheme="minorEastAsia" w:cs="Calibri"/>
                <w:b w:val="0"/>
              </w:rPr>
            </w:pPr>
            <w:r w:rsidRPr="00554906">
              <w:rPr>
                <w:rFonts w:eastAsiaTheme="minorEastAsia" w:cs="Calibri"/>
                <w:b w:val="0"/>
              </w:rPr>
              <w:t>7-day PPA, CO-confirmed (&lt;10ppm), w</w:t>
            </w:r>
            <w:r w:rsidR="00057A3C">
              <w:rPr>
                <w:rFonts w:eastAsiaTheme="minorEastAsia" w:cs="Calibri"/>
                <w:b w:val="0"/>
              </w:rPr>
              <w:t>ee</w:t>
            </w:r>
            <w:r w:rsidRPr="00554906">
              <w:rPr>
                <w:rFonts w:eastAsiaTheme="minorEastAsia" w:cs="Calibri"/>
                <w:b w:val="0"/>
              </w:rPr>
              <w:t>k</w:t>
            </w:r>
            <w:r w:rsidR="00057A3C">
              <w:rPr>
                <w:rFonts w:eastAsiaTheme="minorEastAsia" w:cs="Calibri"/>
                <w:b w:val="0"/>
              </w:rPr>
              <w:t xml:space="preserve"> </w:t>
            </w:r>
            <w:r w:rsidRPr="00554906">
              <w:rPr>
                <w:rFonts w:eastAsiaTheme="minorEastAsia" w:cs="Calibri"/>
                <w:b w:val="0"/>
              </w:rPr>
              <w:t>24 and 5</w:t>
            </w:r>
            <w:r w:rsidR="002E5408">
              <w:rPr>
                <w:rFonts w:eastAsiaTheme="minorEastAsia" w:cs="Calibri"/>
                <w:b w:val="0"/>
              </w:rPr>
              <w:t>2.</w:t>
            </w:r>
          </w:p>
          <w:p w14:paraId="712DC715" w14:textId="77777777" w:rsidR="005140C7" w:rsidRPr="00554906" w:rsidRDefault="005140C7" w:rsidP="005140C7">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3EDB44D6" w14:textId="6F95241B" w:rsidR="001835D1" w:rsidRPr="00554906" w:rsidRDefault="005140C7" w:rsidP="005140C7">
            <w:pPr>
              <w:pStyle w:val="Tableheading"/>
              <w:autoSpaceDE w:val="0"/>
              <w:autoSpaceDN w:val="0"/>
              <w:adjustRightInd w:val="0"/>
              <w:rPr>
                <w:rFonts w:eastAsiaTheme="minorEastAsia" w:cs="Calibri"/>
                <w:b w:val="0"/>
              </w:rPr>
            </w:pPr>
            <w:r w:rsidRPr="00554906">
              <w:rPr>
                <w:rFonts w:eastAsiaTheme="minorEastAsia" w:cs="Calibri"/>
                <w:b w:val="0"/>
              </w:rPr>
              <w:t xml:space="preserve">CAR, CO-confirmed (&lt;10ppm), </w:t>
            </w:r>
            <w:r w:rsidR="002E5408">
              <w:rPr>
                <w:rFonts w:eastAsiaTheme="minorEastAsia" w:cs="Calibri"/>
                <w:b w:val="0"/>
              </w:rPr>
              <w:t>wee</w:t>
            </w:r>
            <w:r w:rsidRPr="00554906">
              <w:rPr>
                <w:rFonts w:eastAsiaTheme="minorEastAsia" w:cs="Calibri"/>
                <w:b w:val="0"/>
              </w:rPr>
              <w:t xml:space="preserve">ks 9-24 and </w:t>
            </w:r>
            <w:r w:rsidR="002E5408">
              <w:rPr>
                <w:rFonts w:eastAsiaTheme="minorEastAsia" w:cs="Calibri"/>
                <w:b w:val="0"/>
              </w:rPr>
              <w:t>wee</w:t>
            </w:r>
            <w:r w:rsidRPr="00554906">
              <w:rPr>
                <w:rFonts w:eastAsiaTheme="minorEastAsia" w:cs="Calibri"/>
                <w:b w:val="0"/>
              </w:rPr>
              <w:t>ks 9-52</w:t>
            </w:r>
          </w:p>
        </w:tc>
      </w:tr>
      <w:tr w:rsidR="003A409B" w:rsidRPr="00061F78" w14:paraId="415B2B24" w14:textId="77777777" w:rsidTr="00D0517F">
        <w:trPr>
          <w:trHeight w:val="99"/>
        </w:trPr>
        <w:tc>
          <w:tcPr>
            <w:tcW w:w="189" w:type="pct"/>
          </w:tcPr>
          <w:p w14:paraId="2ECFBAD3" w14:textId="5AE62826"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6BF101E9" w14:textId="50B44534"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Oncken 2019</w:t>
            </w:r>
          </w:p>
        </w:tc>
        <w:tc>
          <w:tcPr>
            <w:tcW w:w="379" w:type="pct"/>
            <w:shd w:val="clear" w:color="auto" w:fill="auto"/>
          </w:tcPr>
          <w:p w14:paraId="17E32A07" w14:textId="6DE35BBE"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00D0150E" w14:textId="37F5614B" w:rsidR="001835D1" w:rsidRPr="001E2154" w:rsidRDefault="00567E6C"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4B21AB1E" w14:textId="77777777" w:rsidR="001835D1" w:rsidRDefault="00567E6C" w:rsidP="00693DA2">
            <w:pPr>
              <w:pStyle w:val="Tableheading"/>
              <w:autoSpaceDE w:val="0"/>
              <w:autoSpaceDN w:val="0"/>
              <w:adjustRightInd w:val="0"/>
              <w:rPr>
                <w:rFonts w:eastAsiaTheme="minorEastAsia" w:cs="Calibri"/>
                <w:b w:val="0"/>
              </w:rPr>
            </w:pPr>
            <w:r>
              <w:rPr>
                <w:rFonts w:eastAsiaTheme="minorEastAsia" w:cs="Calibri"/>
                <w:b w:val="0"/>
              </w:rPr>
              <w:t>137</w:t>
            </w:r>
          </w:p>
          <w:p w14:paraId="57DBFBBF" w14:textId="77777777" w:rsidR="00D84FBD" w:rsidRDefault="00D84FBD" w:rsidP="00693DA2">
            <w:pPr>
              <w:pStyle w:val="Tableheading"/>
              <w:autoSpaceDE w:val="0"/>
              <w:autoSpaceDN w:val="0"/>
              <w:adjustRightInd w:val="0"/>
              <w:rPr>
                <w:rFonts w:eastAsiaTheme="minorEastAsia" w:cs="Calibri"/>
                <w:b w:val="0"/>
              </w:rPr>
            </w:pPr>
            <w:r>
              <w:rPr>
                <w:rFonts w:eastAsiaTheme="minorEastAsia" w:cs="Calibri"/>
                <w:b w:val="0"/>
              </w:rPr>
              <w:t>n=70 (NRT)</w:t>
            </w:r>
          </w:p>
          <w:p w14:paraId="49C46AA4" w14:textId="1B90BAD0" w:rsidR="00856FDD"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n=67 (placebo</w:t>
            </w:r>
            <w:r w:rsidR="00A02D42">
              <w:rPr>
                <w:rFonts w:eastAsiaTheme="minorEastAsia" w:cs="Calibri"/>
                <w:b w:val="0"/>
              </w:rPr>
              <w:t>)</w:t>
            </w:r>
          </w:p>
        </w:tc>
        <w:tc>
          <w:tcPr>
            <w:tcW w:w="1142" w:type="pct"/>
            <w:shd w:val="clear" w:color="auto" w:fill="auto"/>
            <w:tcMar>
              <w:left w:w="28" w:type="dxa"/>
              <w:right w:w="28" w:type="dxa"/>
            </w:tcMar>
          </w:tcPr>
          <w:p w14:paraId="234AD632" w14:textId="43A2792C" w:rsidR="002F7DDC" w:rsidRPr="002F7DDC"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rPr>
              <w:t>Pregnant female (&gt;15 years) English speaking smokers (&gt;5 cigarettes per day), 13-26</w:t>
            </w:r>
            <w:r w:rsidR="00A02D42">
              <w:rPr>
                <w:rFonts w:eastAsiaTheme="minorEastAsia" w:cs="Calibri"/>
                <w:b w:val="0"/>
              </w:rPr>
              <w:t xml:space="preserve"> </w:t>
            </w:r>
            <w:r w:rsidRPr="002F7DDC">
              <w:rPr>
                <w:rFonts w:eastAsiaTheme="minorEastAsia" w:cs="Calibri"/>
                <w:b w:val="0"/>
              </w:rPr>
              <w:t>w</w:t>
            </w:r>
            <w:r w:rsidR="00A02D42">
              <w:rPr>
                <w:rFonts w:eastAsiaTheme="minorEastAsia" w:cs="Calibri"/>
                <w:b w:val="0"/>
              </w:rPr>
              <w:t>ee</w:t>
            </w:r>
            <w:r w:rsidRPr="002F7DDC">
              <w:rPr>
                <w:rFonts w:eastAsiaTheme="minorEastAsia" w:cs="Calibri"/>
                <w:b w:val="0"/>
              </w:rPr>
              <w:t xml:space="preserve">ks gestation, </w:t>
            </w:r>
            <w:r w:rsidRPr="002F7DDC">
              <w:rPr>
                <w:rFonts w:eastAsiaTheme="minorEastAsia" w:cs="Calibri"/>
                <w:b w:val="0"/>
              </w:rPr>
              <w:lastRenderedPageBreak/>
              <w:t>intending to carry pregnancy to term, living in stable residence</w:t>
            </w:r>
          </w:p>
          <w:p w14:paraId="09080539" w14:textId="77777777" w:rsidR="002F7DDC" w:rsidRPr="006A6B9B" w:rsidRDefault="002F7DDC" w:rsidP="002F7DDC">
            <w:pPr>
              <w:pStyle w:val="Tableheading"/>
              <w:autoSpaceDE w:val="0"/>
              <w:autoSpaceDN w:val="0"/>
              <w:adjustRightInd w:val="0"/>
              <w:rPr>
                <w:rFonts w:eastAsiaTheme="minorEastAsia" w:cs="Calibri"/>
                <w:b w:val="0"/>
                <w:u w:val="single"/>
              </w:rPr>
            </w:pPr>
            <w:r w:rsidRPr="006A6B9B">
              <w:rPr>
                <w:rFonts w:eastAsiaTheme="minorEastAsia" w:cs="Calibri"/>
                <w:b w:val="0"/>
                <w:u w:val="single"/>
              </w:rPr>
              <w:t xml:space="preserve">Exclusions: </w:t>
            </w:r>
          </w:p>
          <w:p w14:paraId="0F3BE408" w14:textId="13BD1302" w:rsidR="001835D1" w:rsidRPr="001E2154"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rPr>
              <w:t>Current drug abuse or dependence (self-report, excluding methadone maintenance), twins or other multiple gestation, unstable psychiatric (PRIME MD questionnaire) or medical condition, congenital abnormality</w:t>
            </w:r>
          </w:p>
        </w:tc>
        <w:tc>
          <w:tcPr>
            <w:tcW w:w="808" w:type="pct"/>
            <w:shd w:val="clear" w:color="auto" w:fill="auto"/>
          </w:tcPr>
          <w:p w14:paraId="55DBA899" w14:textId="77777777" w:rsidR="002F7DDC" w:rsidRPr="002F7DDC" w:rsidRDefault="002F7DDC" w:rsidP="00C324F3">
            <w:pPr>
              <w:pStyle w:val="Tablewriting"/>
              <w:keepNext/>
              <w:numPr>
                <w:ilvl w:val="0"/>
                <w:numId w:val="8"/>
              </w:numPr>
              <w:rPr>
                <w:rFonts w:eastAsia="MS Mincho"/>
              </w:rPr>
            </w:pPr>
            <w:r w:rsidRPr="002F7DDC">
              <w:rPr>
                <w:rFonts w:eastAsia="MS Mincho"/>
              </w:rPr>
              <w:lastRenderedPageBreak/>
              <w:t xml:space="preserve">NRT (inhaler) while actively trying to quit (6 weeks, </w:t>
            </w:r>
            <w:r w:rsidRPr="002F7DDC">
              <w:rPr>
                <w:rFonts w:eastAsia="MS Mincho"/>
              </w:rPr>
              <w:lastRenderedPageBreak/>
              <w:t>followed by additional 6 weeks if abstinent)</w:t>
            </w:r>
          </w:p>
          <w:p w14:paraId="66DFE5BF" w14:textId="77777777" w:rsidR="002F7DDC" w:rsidRPr="002F7DDC" w:rsidRDefault="002F7DDC" w:rsidP="00C324F3">
            <w:pPr>
              <w:pStyle w:val="Tablewriting"/>
              <w:keepNext/>
              <w:numPr>
                <w:ilvl w:val="0"/>
                <w:numId w:val="8"/>
              </w:numPr>
              <w:rPr>
                <w:rFonts w:eastAsia="MS Mincho"/>
              </w:rPr>
            </w:pPr>
            <w:r w:rsidRPr="002F7DDC">
              <w:rPr>
                <w:rFonts w:eastAsia="MS Mincho"/>
              </w:rPr>
              <w:t>Placebo</w:t>
            </w:r>
          </w:p>
          <w:p w14:paraId="367DCD5E" w14:textId="77777777" w:rsidR="002F7DDC" w:rsidRPr="002F7DDC" w:rsidRDefault="002F7DDC" w:rsidP="00FF725F">
            <w:pPr>
              <w:pStyle w:val="Tablewriting"/>
              <w:keepNext/>
              <w:rPr>
                <w:rFonts w:eastAsia="MS Mincho"/>
              </w:rPr>
            </w:pPr>
            <w:r w:rsidRPr="00554906">
              <w:rPr>
                <w:rFonts w:eastAsia="MS Mincho"/>
                <w:u w:val="single"/>
              </w:rPr>
              <w:t>Common elements</w:t>
            </w:r>
            <w:r w:rsidRPr="002F7DDC">
              <w:rPr>
                <w:rFonts w:eastAsia="MS Mincho"/>
              </w:rPr>
              <w:t>:</w:t>
            </w:r>
          </w:p>
          <w:p w14:paraId="133C6817" w14:textId="77777777" w:rsidR="002F7DDC" w:rsidRPr="002F7DDC" w:rsidRDefault="002F7DDC" w:rsidP="00C324F3">
            <w:pPr>
              <w:pStyle w:val="Tablewriting"/>
              <w:keepNext/>
              <w:numPr>
                <w:ilvl w:val="0"/>
                <w:numId w:val="8"/>
              </w:numPr>
              <w:rPr>
                <w:rFonts w:eastAsia="MS Mincho"/>
              </w:rPr>
            </w:pPr>
            <w:r w:rsidRPr="002F7DDC">
              <w:rPr>
                <w:rFonts w:eastAsia="MS Mincho"/>
              </w:rPr>
              <w:t>Individual smoking cessation counselling (motivational interviews) (baseline and 1 week after quit date</w:t>
            </w:r>
          </w:p>
          <w:p w14:paraId="07A7CCAB" w14:textId="0F720523" w:rsidR="001835D1" w:rsidRPr="00D11171" w:rsidRDefault="002F7DDC" w:rsidP="00C324F3">
            <w:pPr>
              <w:pStyle w:val="Tablewriting"/>
              <w:keepNext/>
              <w:numPr>
                <w:ilvl w:val="0"/>
                <w:numId w:val="8"/>
              </w:numPr>
              <w:rPr>
                <w:rFonts w:eastAsia="MS Mincho"/>
              </w:rPr>
            </w:pPr>
            <w:r w:rsidRPr="002F7DDC">
              <w:rPr>
                <w:rFonts w:eastAsia="MS Mincho"/>
              </w:rPr>
              <w:t>Written educational material</w:t>
            </w:r>
          </w:p>
        </w:tc>
        <w:tc>
          <w:tcPr>
            <w:tcW w:w="1094" w:type="pct"/>
            <w:shd w:val="clear" w:color="auto" w:fill="auto"/>
            <w:tcMar>
              <w:left w:w="28" w:type="dxa"/>
              <w:right w:w="28" w:type="dxa"/>
            </w:tcMar>
          </w:tcPr>
          <w:p w14:paraId="21D9CFC4" w14:textId="73C79B21" w:rsidR="002F7DDC" w:rsidRPr="00554906" w:rsidRDefault="002F7DDC" w:rsidP="002F7DDC">
            <w:pPr>
              <w:pStyle w:val="Tableheading"/>
              <w:autoSpaceDE w:val="0"/>
              <w:autoSpaceDN w:val="0"/>
              <w:adjustRightInd w:val="0"/>
              <w:rPr>
                <w:rFonts w:eastAsiaTheme="minorEastAsia" w:cs="Calibri"/>
                <w:b w:val="0"/>
              </w:rPr>
            </w:pPr>
            <w:r w:rsidRPr="002F7DDC">
              <w:rPr>
                <w:rFonts w:eastAsiaTheme="minorEastAsia" w:cs="Calibri"/>
                <w:b w:val="0"/>
                <w:u w:val="single"/>
              </w:rPr>
              <w:lastRenderedPageBreak/>
              <w:t>Efficacy:</w:t>
            </w:r>
            <w:r w:rsidR="001A2257">
              <w:rPr>
                <w:rFonts w:eastAsiaTheme="minorEastAsia" w:cs="Calibri"/>
                <w:b w:val="0"/>
              </w:rPr>
              <w:t xml:space="preserve"> </w:t>
            </w:r>
            <w:r w:rsidRPr="00554906">
              <w:rPr>
                <w:rFonts w:eastAsiaTheme="minorEastAsia" w:cs="Calibri"/>
                <w:b w:val="0"/>
              </w:rPr>
              <w:t>7-day PPA, end of pregnancy, CO-confirmed (&lt;4ppm)</w:t>
            </w:r>
            <w:r w:rsidR="001A2257">
              <w:rPr>
                <w:rFonts w:eastAsiaTheme="minorEastAsia" w:cs="Calibri"/>
                <w:b w:val="0"/>
              </w:rPr>
              <w:t>.</w:t>
            </w:r>
          </w:p>
          <w:p w14:paraId="4B6373B8" w14:textId="4203F738" w:rsidR="001835D1" w:rsidRPr="00320A67" w:rsidRDefault="00D84FBD" w:rsidP="002F7DDC">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1A2257" w:rsidRPr="005A157B">
              <w:rPr>
                <w:rFonts w:eastAsiaTheme="minorEastAsia" w:cs="Calibri"/>
                <w:b w:val="0"/>
              </w:rPr>
              <w:t xml:space="preserve">:  </w:t>
            </w:r>
            <w:r w:rsidR="002F7DDC" w:rsidRPr="005A157B">
              <w:rPr>
                <w:rFonts w:eastAsiaTheme="minorEastAsia" w:cs="Calibri"/>
                <w:b w:val="0"/>
              </w:rPr>
              <w:t>A</w:t>
            </w:r>
            <w:r w:rsidR="001A2257" w:rsidRPr="005A157B">
              <w:rPr>
                <w:rFonts w:eastAsiaTheme="minorEastAsia" w:cs="Calibri"/>
                <w:b w:val="0"/>
              </w:rPr>
              <w:t>Es</w:t>
            </w:r>
            <w:r w:rsidR="002F7DDC" w:rsidRPr="005A157B">
              <w:rPr>
                <w:rFonts w:eastAsiaTheme="minorEastAsia" w:cs="Calibri"/>
                <w:b w:val="0"/>
              </w:rPr>
              <w:t>, SAEs</w:t>
            </w:r>
            <w:r w:rsidR="000A529A">
              <w:rPr>
                <w:rFonts w:eastAsiaTheme="minorEastAsia" w:cs="Calibri"/>
                <w:b w:val="0"/>
              </w:rPr>
              <w:t>.</w:t>
            </w:r>
          </w:p>
        </w:tc>
      </w:tr>
      <w:tr w:rsidR="003A409B" w:rsidRPr="00061F78" w14:paraId="75E72853" w14:textId="77777777" w:rsidTr="00D0517F">
        <w:trPr>
          <w:trHeight w:val="99"/>
        </w:trPr>
        <w:tc>
          <w:tcPr>
            <w:tcW w:w="189" w:type="pct"/>
          </w:tcPr>
          <w:p w14:paraId="49A1FE67" w14:textId="38177E33"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4B7A9888" w14:textId="739C2E1D"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Leung 2019</w:t>
            </w:r>
          </w:p>
        </w:tc>
        <w:tc>
          <w:tcPr>
            <w:tcW w:w="379" w:type="pct"/>
            <w:shd w:val="clear" w:color="auto" w:fill="auto"/>
          </w:tcPr>
          <w:p w14:paraId="393A6AEE" w14:textId="735EA32A"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1124F7EB" w14:textId="07A49481" w:rsidR="001835D1" w:rsidRPr="001E2154" w:rsidRDefault="00856FDD" w:rsidP="00693DA2">
            <w:pPr>
              <w:pStyle w:val="Tableheading"/>
              <w:autoSpaceDE w:val="0"/>
              <w:autoSpaceDN w:val="0"/>
              <w:adjustRightInd w:val="0"/>
              <w:rPr>
                <w:rFonts w:eastAsiaTheme="minorEastAsia" w:cs="Calibri"/>
                <w:b w:val="0"/>
              </w:rPr>
            </w:pPr>
            <w:r>
              <w:rPr>
                <w:rFonts w:eastAsiaTheme="minorEastAsia" w:cs="Calibri"/>
                <w:b w:val="0"/>
              </w:rPr>
              <w:t>Hong Kong</w:t>
            </w:r>
          </w:p>
        </w:tc>
        <w:tc>
          <w:tcPr>
            <w:tcW w:w="516" w:type="pct"/>
            <w:shd w:val="clear" w:color="auto" w:fill="auto"/>
            <w:tcMar>
              <w:left w:w="28" w:type="dxa"/>
              <w:right w:w="28" w:type="dxa"/>
            </w:tcMar>
          </w:tcPr>
          <w:p w14:paraId="5153EEE5" w14:textId="77777777" w:rsidR="001835D1" w:rsidRDefault="00856FDD" w:rsidP="00693DA2">
            <w:pPr>
              <w:pStyle w:val="Tableheading"/>
              <w:autoSpaceDE w:val="0"/>
              <w:autoSpaceDN w:val="0"/>
              <w:adjustRightInd w:val="0"/>
              <w:rPr>
                <w:rFonts w:eastAsiaTheme="minorEastAsia" w:cs="Calibri"/>
                <w:b w:val="0"/>
              </w:rPr>
            </w:pPr>
            <w:r>
              <w:rPr>
                <w:rFonts w:eastAsiaTheme="minorEastAsia" w:cs="Calibri"/>
                <w:b w:val="0"/>
              </w:rPr>
              <w:t>560</w:t>
            </w:r>
          </w:p>
          <w:p w14:paraId="20D1E5A4" w14:textId="77777777" w:rsidR="00A20D8D" w:rsidRDefault="00A20D8D" w:rsidP="00693DA2">
            <w:pPr>
              <w:pStyle w:val="Tableheading"/>
              <w:autoSpaceDE w:val="0"/>
              <w:autoSpaceDN w:val="0"/>
              <w:adjustRightInd w:val="0"/>
              <w:rPr>
                <w:rFonts w:eastAsiaTheme="minorEastAsia" w:cs="Calibri"/>
                <w:b w:val="0"/>
              </w:rPr>
            </w:pPr>
            <w:r>
              <w:rPr>
                <w:rFonts w:eastAsiaTheme="minorEastAsia" w:cs="Calibri"/>
                <w:b w:val="0"/>
              </w:rPr>
              <w:t>n=</w:t>
            </w:r>
            <w:r w:rsidR="002339E5">
              <w:rPr>
                <w:rFonts w:eastAsiaTheme="minorEastAsia" w:cs="Calibri"/>
                <w:b w:val="0"/>
              </w:rPr>
              <w:t>274 (NRT patch + gum)</w:t>
            </w:r>
          </w:p>
          <w:p w14:paraId="5247A279" w14:textId="14944014" w:rsidR="002339E5" w:rsidRPr="001E2154" w:rsidRDefault="002339E5" w:rsidP="00693DA2">
            <w:pPr>
              <w:pStyle w:val="Tableheading"/>
              <w:autoSpaceDE w:val="0"/>
              <w:autoSpaceDN w:val="0"/>
              <w:adjustRightInd w:val="0"/>
              <w:rPr>
                <w:rFonts w:eastAsiaTheme="minorEastAsia" w:cs="Calibri"/>
                <w:b w:val="0"/>
              </w:rPr>
            </w:pPr>
            <w:r>
              <w:rPr>
                <w:rFonts w:eastAsiaTheme="minorEastAsia" w:cs="Calibri"/>
                <w:b w:val="0"/>
              </w:rPr>
              <w:t>n=</w:t>
            </w:r>
            <w:r w:rsidR="0091711F">
              <w:rPr>
                <w:rFonts w:eastAsiaTheme="minorEastAsia" w:cs="Calibri"/>
                <w:b w:val="0"/>
              </w:rPr>
              <w:t>286 (NRT patch)</w:t>
            </w:r>
          </w:p>
        </w:tc>
        <w:tc>
          <w:tcPr>
            <w:tcW w:w="1142" w:type="pct"/>
            <w:shd w:val="clear" w:color="auto" w:fill="auto"/>
            <w:tcMar>
              <w:left w:w="28" w:type="dxa"/>
              <w:right w:w="28" w:type="dxa"/>
            </w:tcMar>
          </w:tcPr>
          <w:p w14:paraId="671C3DA8" w14:textId="77777777" w:rsidR="00A20D8D" w:rsidRPr="00A20D8D"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Adult smokers (&gt;=10 CPD for &gt;=1 yr)</w:t>
            </w:r>
          </w:p>
          <w:p w14:paraId="41765496" w14:textId="77777777" w:rsidR="00A20D8D" w:rsidRPr="00A20D8D"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Exclusions:</w:t>
            </w:r>
          </w:p>
          <w:p w14:paraId="2130ED53" w14:textId="07F24F21" w:rsidR="001835D1" w:rsidRPr="001E2154" w:rsidRDefault="00A20D8D" w:rsidP="00A20D8D">
            <w:pPr>
              <w:pStyle w:val="Tableheading"/>
              <w:autoSpaceDE w:val="0"/>
              <w:autoSpaceDN w:val="0"/>
              <w:adjustRightInd w:val="0"/>
              <w:rPr>
                <w:rFonts w:eastAsiaTheme="minorEastAsia" w:cs="Calibri"/>
                <w:b w:val="0"/>
              </w:rPr>
            </w:pPr>
            <w:r w:rsidRPr="00A20D8D">
              <w:rPr>
                <w:rFonts w:eastAsiaTheme="minorEastAsia" w:cs="Calibri"/>
                <w:b w:val="0"/>
              </w:rPr>
              <w:t xml:space="preserve">Unstable angina, severe cardiac arrhythmia, recent </w:t>
            </w:r>
            <w:r w:rsidR="004664D2" w:rsidRPr="00A20D8D">
              <w:rPr>
                <w:rFonts w:eastAsiaTheme="minorEastAsia" w:cs="Calibri"/>
                <w:b w:val="0"/>
              </w:rPr>
              <w:t>AMI,</w:t>
            </w:r>
            <w:r w:rsidRPr="00A20D8D">
              <w:rPr>
                <w:rFonts w:eastAsiaTheme="minorEastAsia" w:cs="Calibri"/>
                <w:b w:val="0"/>
              </w:rPr>
              <w:t xml:space="preserve"> or cerebrovascular accident in previous 3mo, pregnant or breastfeeding, unable to use gum, previous history of </w:t>
            </w:r>
            <w:r w:rsidR="000E1409">
              <w:rPr>
                <w:rFonts w:eastAsiaTheme="minorEastAsia" w:cs="Calibri"/>
                <w:b w:val="0"/>
              </w:rPr>
              <w:t>unsuccessfully quitting with</w:t>
            </w:r>
            <w:r w:rsidRPr="00A20D8D">
              <w:rPr>
                <w:rFonts w:eastAsiaTheme="minorEastAsia" w:cs="Calibri"/>
                <w:b w:val="0"/>
              </w:rPr>
              <w:t xml:space="preserve"> NRT</w:t>
            </w:r>
          </w:p>
        </w:tc>
        <w:tc>
          <w:tcPr>
            <w:tcW w:w="808" w:type="pct"/>
            <w:shd w:val="clear" w:color="auto" w:fill="auto"/>
          </w:tcPr>
          <w:p w14:paraId="03FE94E6" w14:textId="7B2F6A74" w:rsidR="00A20D8D" w:rsidRPr="00A20D8D" w:rsidRDefault="00A20D8D" w:rsidP="00C324F3">
            <w:pPr>
              <w:pStyle w:val="Tablewriting"/>
              <w:keepNext/>
              <w:numPr>
                <w:ilvl w:val="0"/>
                <w:numId w:val="8"/>
              </w:numPr>
              <w:rPr>
                <w:rFonts w:eastAsia="MS Mincho"/>
              </w:rPr>
            </w:pPr>
            <w:r w:rsidRPr="00A20D8D">
              <w:rPr>
                <w:rFonts w:eastAsia="MS Mincho"/>
              </w:rPr>
              <w:t>NRT patch, 8 wks, dose tapered down, initial dose by CPD, PLUS NRT 2</w:t>
            </w:r>
            <w:r w:rsidR="00A1651B">
              <w:rPr>
                <w:rFonts w:eastAsia="MS Mincho"/>
              </w:rPr>
              <w:t xml:space="preserve"> </w:t>
            </w:r>
            <w:r w:rsidRPr="00A20D8D">
              <w:rPr>
                <w:rFonts w:eastAsia="MS Mincho"/>
              </w:rPr>
              <w:t>mg gum when required</w:t>
            </w:r>
          </w:p>
          <w:p w14:paraId="58A2F147" w14:textId="4536B707" w:rsidR="00A20D8D" w:rsidRPr="00A20D8D" w:rsidRDefault="00A20D8D" w:rsidP="00C324F3">
            <w:pPr>
              <w:pStyle w:val="Tablewriting"/>
              <w:keepNext/>
              <w:numPr>
                <w:ilvl w:val="0"/>
                <w:numId w:val="8"/>
              </w:numPr>
              <w:rPr>
                <w:rFonts w:eastAsia="MS Mincho"/>
              </w:rPr>
            </w:pPr>
            <w:r w:rsidRPr="00A20D8D">
              <w:rPr>
                <w:rFonts w:eastAsia="MS Mincho"/>
              </w:rPr>
              <w:t>NRT patch 8 w</w:t>
            </w:r>
            <w:r w:rsidR="0075573E">
              <w:rPr>
                <w:rFonts w:eastAsia="MS Mincho"/>
              </w:rPr>
              <w:t>ee</w:t>
            </w:r>
            <w:r w:rsidRPr="00A20D8D">
              <w:rPr>
                <w:rFonts w:eastAsia="MS Mincho"/>
              </w:rPr>
              <w:t>ks, dose tapered down, initial dose by CPD</w:t>
            </w:r>
            <w:r w:rsidR="0075573E">
              <w:rPr>
                <w:rFonts w:eastAsia="MS Mincho"/>
              </w:rPr>
              <w:t>.</w:t>
            </w:r>
          </w:p>
          <w:p w14:paraId="7E0F13B2" w14:textId="4AE1D498" w:rsidR="00A20D8D" w:rsidRPr="00554906" w:rsidRDefault="00A20D8D" w:rsidP="00FF725F">
            <w:pPr>
              <w:pStyle w:val="Tablewriting"/>
              <w:keepNext/>
              <w:rPr>
                <w:rFonts w:eastAsia="MS Mincho"/>
                <w:u w:val="single"/>
              </w:rPr>
            </w:pPr>
            <w:r w:rsidRPr="00554906">
              <w:rPr>
                <w:rFonts w:eastAsia="MS Mincho"/>
                <w:u w:val="single"/>
              </w:rPr>
              <w:t>Common elements</w:t>
            </w:r>
            <w:r w:rsidR="006E016C">
              <w:rPr>
                <w:rFonts w:eastAsia="MS Mincho"/>
                <w:u w:val="single"/>
              </w:rPr>
              <w:t>:</w:t>
            </w:r>
          </w:p>
          <w:p w14:paraId="6D0D5C2C" w14:textId="72D99AB3" w:rsidR="001835D1" w:rsidRPr="00D11171" w:rsidRDefault="00A20D8D" w:rsidP="00C324F3">
            <w:pPr>
              <w:pStyle w:val="Tablewriting"/>
              <w:keepNext/>
              <w:numPr>
                <w:ilvl w:val="0"/>
                <w:numId w:val="8"/>
              </w:numPr>
              <w:rPr>
                <w:rFonts w:eastAsia="MS Mincho"/>
              </w:rPr>
            </w:pPr>
            <w:r w:rsidRPr="00A20D8D">
              <w:rPr>
                <w:rFonts w:eastAsia="MS Mincho"/>
              </w:rPr>
              <w:t xml:space="preserve">Counselling based on the 2013 service </w:t>
            </w:r>
            <w:r w:rsidR="009E7142" w:rsidRPr="00A20D8D">
              <w:rPr>
                <w:rFonts w:eastAsia="MS Mincho"/>
              </w:rPr>
              <w:t>framework</w:t>
            </w:r>
            <w:r w:rsidRPr="00A20D8D">
              <w:rPr>
                <w:rFonts w:eastAsia="MS Mincho"/>
              </w:rPr>
              <w:t xml:space="preserve"> from the Hospital Authority</w:t>
            </w:r>
            <w:r w:rsidR="0075573E">
              <w:rPr>
                <w:rFonts w:eastAsia="MS Mincho"/>
              </w:rPr>
              <w:t>.</w:t>
            </w:r>
          </w:p>
        </w:tc>
        <w:tc>
          <w:tcPr>
            <w:tcW w:w="1094" w:type="pct"/>
            <w:shd w:val="clear" w:color="auto" w:fill="auto"/>
            <w:tcMar>
              <w:left w:w="28" w:type="dxa"/>
              <w:right w:w="28" w:type="dxa"/>
            </w:tcMar>
          </w:tcPr>
          <w:p w14:paraId="6A7FEDE1" w14:textId="77777777" w:rsidR="00A20D8D" w:rsidRPr="00A20D8D" w:rsidRDefault="00A20D8D" w:rsidP="00A20D8D">
            <w:pPr>
              <w:pStyle w:val="Tableheading"/>
              <w:autoSpaceDE w:val="0"/>
              <w:autoSpaceDN w:val="0"/>
              <w:adjustRightInd w:val="0"/>
              <w:rPr>
                <w:rFonts w:eastAsiaTheme="minorEastAsia" w:cs="Calibri"/>
                <w:b w:val="0"/>
                <w:u w:val="single"/>
              </w:rPr>
            </w:pPr>
            <w:r w:rsidRPr="00A20D8D">
              <w:rPr>
                <w:rFonts w:eastAsiaTheme="minorEastAsia" w:cs="Calibri"/>
                <w:b w:val="0"/>
                <w:u w:val="single"/>
              </w:rPr>
              <w:t>Efficacy:</w:t>
            </w:r>
          </w:p>
          <w:p w14:paraId="78DB8C6E" w14:textId="749C981C" w:rsidR="001A2257" w:rsidRPr="00554906" w:rsidRDefault="00A20D8D" w:rsidP="00A20D8D">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48D5D151" w14:textId="73B16E26" w:rsidR="00A20D8D" w:rsidRPr="00881D39" w:rsidRDefault="00A20D8D" w:rsidP="00A20D8D">
            <w:pPr>
              <w:pStyle w:val="Tableheading"/>
              <w:autoSpaceDE w:val="0"/>
              <w:autoSpaceDN w:val="0"/>
              <w:adjustRightInd w:val="0"/>
              <w:rPr>
                <w:rFonts w:eastAsiaTheme="minorEastAsia" w:cs="Calibri"/>
                <w:b w:val="0"/>
              </w:rPr>
            </w:pPr>
            <w:r w:rsidRPr="00881D39">
              <w:rPr>
                <w:rFonts w:eastAsiaTheme="minorEastAsia" w:cs="Calibri"/>
                <w:b w:val="0"/>
              </w:rPr>
              <w:t>7-day PPA CO-verified (=&lt;6ppm), 52wks</w:t>
            </w:r>
          </w:p>
          <w:p w14:paraId="4DCBDE93" w14:textId="36846880" w:rsidR="00A20D8D" w:rsidRPr="00554906" w:rsidRDefault="00A20D8D" w:rsidP="00A20D8D">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2126988D" w14:textId="124132E8" w:rsidR="00A20D8D" w:rsidRPr="00881D39" w:rsidRDefault="00A20D8D" w:rsidP="00A20D8D">
            <w:pPr>
              <w:pStyle w:val="Tableheading"/>
              <w:autoSpaceDE w:val="0"/>
              <w:autoSpaceDN w:val="0"/>
              <w:adjustRightInd w:val="0"/>
              <w:rPr>
                <w:rFonts w:eastAsiaTheme="minorEastAsia" w:cs="Calibri"/>
                <w:b w:val="0"/>
              </w:rPr>
            </w:pPr>
            <w:r w:rsidRPr="00881D39">
              <w:rPr>
                <w:rFonts w:eastAsiaTheme="minorEastAsia" w:cs="Calibri"/>
                <w:b w:val="0"/>
              </w:rPr>
              <w:t>7-day PPA CO-verified (=&lt;6ppm), 4, 12, 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w:t>
            </w:r>
            <w:r w:rsidR="001A2257">
              <w:rPr>
                <w:rFonts w:eastAsiaTheme="minorEastAsia" w:cs="Calibri"/>
                <w:b w:val="0"/>
              </w:rPr>
              <w:t>s.</w:t>
            </w:r>
          </w:p>
          <w:p w14:paraId="3495E7B7" w14:textId="21952D53" w:rsidR="001835D1" w:rsidRPr="00320A67" w:rsidRDefault="00A20D8D" w:rsidP="00A20D8D">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Specific AE</w:t>
            </w:r>
            <w:r w:rsidR="00881D39">
              <w:rPr>
                <w:rFonts w:eastAsiaTheme="minorEastAsia" w:cs="Calibri"/>
                <w:b w:val="0"/>
              </w:rPr>
              <w:t>.</w:t>
            </w:r>
          </w:p>
        </w:tc>
      </w:tr>
      <w:tr w:rsidR="003A409B" w:rsidRPr="00061F78" w14:paraId="4E26989C" w14:textId="77777777" w:rsidTr="00D0517F">
        <w:trPr>
          <w:trHeight w:val="99"/>
        </w:trPr>
        <w:tc>
          <w:tcPr>
            <w:tcW w:w="189" w:type="pct"/>
          </w:tcPr>
          <w:p w14:paraId="3E054BC3" w14:textId="670BE0F2"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442DC190" w14:textId="02EC4AFC" w:rsidR="001835D1" w:rsidRPr="001E2154" w:rsidRDefault="0091711F" w:rsidP="00693DA2">
            <w:pPr>
              <w:pStyle w:val="Tableheading"/>
              <w:autoSpaceDE w:val="0"/>
              <w:autoSpaceDN w:val="0"/>
              <w:adjustRightInd w:val="0"/>
              <w:rPr>
                <w:rFonts w:eastAsiaTheme="minorEastAsia" w:cs="Calibri"/>
                <w:b w:val="0"/>
              </w:rPr>
            </w:pPr>
            <w:r>
              <w:rPr>
                <w:rFonts w:eastAsiaTheme="minorEastAsia" w:cs="Calibri"/>
                <w:b w:val="0"/>
              </w:rPr>
              <w:t>Ashare 2019</w:t>
            </w:r>
          </w:p>
        </w:tc>
        <w:tc>
          <w:tcPr>
            <w:tcW w:w="379" w:type="pct"/>
            <w:shd w:val="clear" w:color="auto" w:fill="auto"/>
          </w:tcPr>
          <w:p w14:paraId="2A679A83" w14:textId="07006732" w:rsidR="001835D1" w:rsidRPr="001E2154" w:rsidRDefault="0091711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639F6E53" w14:textId="439B6004" w:rsidR="001835D1" w:rsidRPr="001E2154" w:rsidRDefault="004441BE"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62C2D2C4" w14:textId="77777777" w:rsidR="001835D1" w:rsidRDefault="004441BE" w:rsidP="00693DA2">
            <w:pPr>
              <w:pStyle w:val="Tableheading"/>
              <w:autoSpaceDE w:val="0"/>
              <w:autoSpaceDN w:val="0"/>
              <w:adjustRightInd w:val="0"/>
              <w:rPr>
                <w:rFonts w:eastAsiaTheme="minorEastAsia" w:cs="Calibri"/>
                <w:b w:val="0"/>
              </w:rPr>
            </w:pPr>
            <w:r>
              <w:rPr>
                <w:rFonts w:eastAsiaTheme="minorEastAsia" w:cs="Calibri"/>
                <w:b w:val="0"/>
              </w:rPr>
              <w:t>179</w:t>
            </w:r>
          </w:p>
          <w:p w14:paraId="76B20943" w14:textId="75D36341" w:rsidR="008D2DAF" w:rsidRDefault="008D2DAF" w:rsidP="00693DA2">
            <w:pPr>
              <w:pStyle w:val="Tableheading"/>
              <w:autoSpaceDE w:val="0"/>
              <w:autoSpaceDN w:val="0"/>
              <w:adjustRightInd w:val="0"/>
              <w:rPr>
                <w:rFonts w:eastAsiaTheme="minorEastAsia" w:cs="Calibri"/>
                <w:b w:val="0"/>
              </w:rPr>
            </w:pPr>
            <w:r>
              <w:rPr>
                <w:rFonts w:eastAsiaTheme="minorEastAsia" w:cs="Calibri"/>
                <w:b w:val="0"/>
              </w:rPr>
              <w:t xml:space="preserve">n= </w:t>
            </w:r>
            <w:r w:rsidR="00142923">
              <w:rPr>
                <w:rFonts w:eastAsiaTheme="minorEastAsia" w:cs="Calibri"/>
                <w:b w:val="0"/>
              </w:rPr>
              <w:t xml:space="preserve">89 </w:t>
            </w:r>
            <w:r>
              <w:rPr>
                <w:rFonts w:eastAsiaTheme="minorEastAsia" w:cs="Calibri"/>
                <w:b w:val="0"/>
              </w:rPr>
              <w:t>(varenicline)</w:t>
            </w:r>
          </w:p>
          <w:p w14:paraId="76586514" w14:textId="40E8DA8E" w:rsidR="008D2DAF" w:rsidRPr="001E2154" w:rsidRDefault="008D2DAF" w:rsidP="00693DA2">
            <w:pPr>
              <w:pStyle w:val="Tableheading"/>
              <w:autoSpaceDE w:val="0"/>
              <w:autoSpaceDN w:val="0"/>
              <w:adjustRightInd w:val="0"/>
              <w:rPr>
                <w:rFonts w:eastAsiaTheme="minorEastAsia" w:cs="Calibri"/>
                <w:b w:val="0"/>
              </w:rPr>
            </w:pPr>
            <w:r>
              <w:rPr>
                <w:rFonts w:eastAsiaTheme="minorEastAsia" w:cs="Calibri"/>
                <w:b w:val="0"/>
              </w:rPr>
              <w:t>n=</w:t>
            </w:r>
            <w:r w:rsidR="00142923">
              <w:rPr>
                <w:rFonts w:eastAsiaTheme="minorEastAsia" w:cs="Calibri"/>
                <w:b w:val="0"/>
              </w:rPr>
              <w:t>90</w:t>
            </w:r>
            <w:r>
              <w:rPr>
                <w:rFonts w:eastAsiaTheme="minorEastAsia" w:cs="Calibri"/>
                <w:b w:val="0"/>
              </w:rPr>
              <w:t xml:space="preserve"> (placebo)</w:t>
            </w:r>
          </w:p>
        </w:tc>
        <w:tc>
          <w:tcPr>
            <w:tcW w:w="1142" w:type="pct"/>
            <w:shd w:val="clear" w:color="auto" w:fill="auto"/>
            <w:tcMar>
              <w:left w:w="28" w:type="dxa"/>
              <w:right w:w="28" w:type="dxa"/>
            </w:tcMar>
          </w:tcPr>
          <w:p w14:paraId="0DECE4B1" w14:textId="77777777" w:rsidR="004441BE" w:rsidRPr="004441BE" w:rsidRDefault="004441BE" w:rsidP="004441BE">
            <w:pPr>
              <w:pStyle w:val="Tableheading"/>
              <w:autoSpaceDE w:val="0"/>
              <w:autoSpaceDN w:val="0"/>
              <w:adjustRightInd w:val="0"/>
              <w:rPr>
                <w:rFonts w:eastAsiaTheme="minorEastAsia" w:cs="Calibri"/>
                <w:b w:val="0"/>
              </w:rPr>
            </w:pPr>
            <w:r w:rsidRPr="004441BE">
              <w:rPr>
                <w:rFonts w:eastAsiaTheme="minorEastAsia" w:cs="Calibri"/>
                <w:b w:val="0"/>
              </w:rPr>
              <w:t xml:space="preserve">Adult (18+ yrs) daily smokers with a confirmed HIV diagnosis, and treated with ART with HIV viral loads&lt;1000 copies/ml and CD4+ counts&gt;200 cells/mm3, ALT and AST &lt; 2 times </w:t>
            </w:r>
            <w:r w:rsidRPr="004441BE">
              <w:rPr>
                <w:rFonts w:eastAsiaTheme="minorEastAsia" w:cs="Calibri"/>
                <w:b w:val="0"/>
              </w:rPr>
              <w:lastRenderedPageBreak/>
              <w:t>upper limit of normal, and creatinine clearance&gt;50 mL/min</w:t>
            </w:r>
          </w:p>
          <w:p w14:paraId="540E0E86" w14:textId="7165D744" w:rsidR="004441BE" w:rsidRPr="006A6B9B" w:rsidRDefault="004441BE" w:rsidP="004441BE">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r w:rsidR="00C52DE5" w:rsidRPr="006A6B9B">
              <w:rPr>
                <w:rFonts w:eastAsiaTheme="minorEastAsia" w:cs="Calibri"/>
                <w:b w:val="0"/>
                <w:u w:val="single"/>
              </w:rPr>
              <w:t>:</w:t>
            </w:r>
          </w:p>
          <w:p w14:paraId="382AA4EE" w14:textId="3A501BAC" w:rsidR="001835D1" w:rsidRPr="001E2154" w:rsidRDefault="004441BE" w:rsidP="004441BE">
            <w:pPr>
              <w:pStyle w:val="Tableheading"/>
              <w:autoSpaceDE w:val="0"/>
              <w:autoSpaceDN w:val="0"/>
              <w:adjustRightInd w:val="0"/>
              <w:rPr>
                <w:rFonts w:eastAsiaTheme="minorEastAsia" w:cs="Calibri"/>
                <w:b w:val="0"/>
              </w:rPr>
            </w:pPr>
            <w:r w:rsidRPr="004441BE">
              <w:rPr>
                <w:rFonts w:eastAsiaTheme="minorEastAsia" w:cs="Calibri"/>
                <w:b w:val="0"/>
              </w:rPr>
              <w:t>Self-reported history of psychosis or a suicide attempt, self-reported current or planned pregnancy, self-reported current use of smoking cessation medications, unstable or untreated alcohol/substance abuse [those with current alcohol/substance use disorder were considered stable if they were currently receiving treatment (e.g., medication, group therapy, etc.) and had been in treatment and/or not using for more than 30 days], and uncontrolled hypertension (systolic &gt; 160 or diastolic &gt; 100).</w:t>
            </w:r>
          </w:p>
        </w:tc>
        <w:tc>
          <w:tcPr>
            <w:tcW w:w="808" w:type="pct"/>
            <w:shd w:val="clear" w:color="auto" w:fill="auto"/>
          </w:tcPr>
          <w:p w14:paraId="46CB04C5" w14:textId="6A811421" w:rsidR="008D2DAF" w:rsidRPr="008D2DAF" w:rsidRDefault="008D2DAF" w:rsidP="00C324F3">
            <w:pPr>
              <w:pStyle w:val="Tablewriting"/>
              <w:keepNext/>
              <w:numPr>
                <w:ilvl w:val="0"/>
                <w:numId w:val="8"/>
              </w:numPr>
              <w:rPr>
                <w:rFonts w:eastAsia="MS Mincho"/>
              </w:rPr>
            </w:pPr>
            <w:r w:rsidRPr="008D2DAF">
              <w:rPr>
                <w:rFonts w:eastAsia="MS Mincho"/>
              </w:rPr>
              <w:lastRenderedPageBreak/>
              <w:t>Varenicline, 1</w:t>
            </w:r>
            <w:r w:rsidR="00A1651B">
              <w:rPr>
                <w:rFonts w:eastAsia="MS Mincho"/>
              </w:rPr>
              <w:t xml:space="preserve"> </w:t>
            </w:r>
            <w:r w:rsidRPr="008D2DAF">
              <w:rPr>
                <w:rFonts w:eastAsia="MS Mincho"/>
              </w:rPr>
              <w:t>mg bd, 12 w</w:t>
            </w:r>
            <w:r w:rsidR="0075573E">
              <w:rPr>
                <w:rFonts w:eastAsia="MS Mincho"/>
              </w:rPr>
              <w:t>ee</w:t>
            </w:r>
            <w:r w:rsidRPr="008D2DAF">
              <w:rPr>
                <w:rFonts w:eastAsia="MS Mincho"/>
              </w:rPr>
              <w:t xml:space="preserve">ks with 1 </w:t>
            </w:r>
            <w:r w:rsidRPr="008D2DAF">
              <w:rPr>
                <w:rFonts w:eastAsia="MS Mincho"/>
              </w:rPr>
              <w:lastRenderedPageBreak/>
              <w:t>week titrated dose prior to quit date</w:t>
            </w:r>
          </w:p>
          <w:p w14:paraId="7582DE31" w14:textId="77777777" w:rsidR="008D2DAF" w:rsidRPr="008D2DAF" w:rsidRDefault="008D2DAF" w:rsidP="00C324F3">
            <w:pPr>
              <w:pStyle w:val="Tablewriting"/>
              <w:keepNext/>
              <w:numPr>
                <w:ilvl w:val="0"/>
                <w:numId w:val="8"/>
              </w:numPr>
              <w:rPr>
                <w:rFonts w:eastAsia="MS Mincho"/>
              </w:rPr>
            </w:pPr>
            <w:r w:rsidRPr="008D2DAF">
              <w:rPr>
                <w:rFonts w:eastAsia="MS Mincho"/>
              </w:rPr>
              <w:t>Placebo</w:t>
            </w:r>
          </w:p>
          <w:p w14:paraId="3892FBD5" w14:textId="77777777" w:rsidR="008D2DAF" w:rsidRPr="008D2DAF" w:rsidRDefault="008D2DAF" w:rsidP="00FF725F">
            <w:pPr>
              <w:pStyle w:val="Tablewriting"/>
              <w:keepNext/>
              <w:rPr>
                <w:rFonts w:eastAsia="MS Mincho"/>
              </w:rPr>
            </w:pPr>
            <w:r w:rsidRPr="00554906">
              <w:rPr>
                <w:rFonts w:eastAsia="MS Mincho"/>
                <w:u w:val="single"/>
              </w:rPr>
              <w:t>Common elements</w:t>
            </w:r>
            <w:r w:rsidRPr="008D2DAF">
              <w:rPr>
                <w:rFonts w:eastAsia="MS Mincho"/>
              </w:rPr>
              <w:t>:</w:t>
            </w:r>
          </w:p>
          <w:p w14:paraId="57061141" w14:textId="1107BFE8" w:rsidR="001835D1" w:rsidRPr="00D11171" w:rsidRDefault="008D2DAF" w:rsidP="00C324F3">
            <w:pPr>
              <w:pStyle w:val="Tablewriting"/>
              <w:keepNext/>
              <w:numPr>
                <w:ilvl w:val="0"/>
                <w:numId w:val="8"/>
              </w:numPr>
              <w:rPr>
                <w:rFonts w:eastAsia="MS Mincho"/>
              </w:rPr>
            </w:pPr>
            <w:r w:rsidRPr="008D2DAF">
              <w:rPr>
                <w:rFonts w:eastAsia="MS Mincho"/>
              </w:rPr>
              <w:t xml:space="preserve">6 smoking cessation </w:t>
            </w:r>
            <w:r w:rsidR="009E7142" w:rsidRPr="008D2DAF">
              <w:rPr>
                <w:rFonts w:eastAsia="MS Mincho"/>
              </w:rPr>
              <w:t>behavioural</w:t>
            </w:r>
            <w:r w:rsidR="0075573E">
              <w:rPr>
                <w:rFonts w:eastAsia="MS Mincho"/>
              </w:rPr>
              <w:t xml:space="preserve"> </w:t>
            </w:r>
            <w:r w:rsidRPr="008D2DAF">
              <w:rPr>
                <w:rFonts w:eastAsia="MS Mincho"/>
              </w:rPr>
              <w:t>counselling sessions</w:t>
            </w:r>
          </w:p>
        </w:tc>
        <w:tc>
          <w:tcPr>
            <w:tcW w:w="1094" w:type="pct"/>
            <w:shd w:val="clear" w:color="auto" w:fill="auto"/>
            <w:tcMar>
              <w:left w:w="28" w:type="dxa"/>
              <w:right w:w="28" w:type="dxa"/>
            </w:tcMar>
          </w:tcPr>
          <w:p w14:paraId="1E5C9F19" w14:textId="77777777" w:rsidR="008D2DAF" w:rsidRPr="008D2DAF" w:rsidRDefault="008D2DAF" w:rsidP="008D2DAF">
            <w:pPr>
              <w:pStyle w:val="Tableheading"/>
              <w:autoSpaceDE w:val="0"/>
              <w:autoSpaceDN w:val="0"/>
              <w:adjustRightInd w:val="0"/>
              <w:rPr>
                <w:rFonts w:eastAsiaTheme="minorEastAsia" w:cs="Calibri"/>
                <w:b w:val="0"/>
                <w:u w:val="single"/>
              </w:rPr>
            </w:pPr>
            <w:r w:rsidRPr="008D2DAF">
              <w:rPr>
                <w:rFonts w:eastAsiaTheme="minorEastAsia" w:cs="Calibri"/>
                <w:b w:val="0"/>
                <w:u w:val="single"/>
              </w:rPr>
              <w:lastRenderedPageBreak/>
              <w:t>Efficacy</w:t>
            </w:r>
          </w:p>
          <w:p w14:paraId="5AD0522A" w14:textId="461F5F41" w:rsidR="001A2257" w:rsidRPr="00554906" w:rsidRDefault="008D2DAF" w:rsidP="008D2DAF">
            <w:pPr>
              <w:pStyle w:val="Tableheading"/>
              <w:autoSpaceDE w:val="0"/>
              <w:autoSpaceDN w:val="0"/>
              <w:adjustRightInd w:val="0"/>
              <w:rPr>
                <w:rFonts w:eastAsiaTheme="minorEastAsia" w:cs="Calibri"/>
                <w:b w:val="0"/>
                <w:i/>
                <w:iCs/>
              </w:rPr>
            </w:pPr>
            <w:r w:rsidRPr="00554906">
              <w:rPr>
                <w:rFonts w:eastAsiaTheme="minorEastAsia" w:cs="Calibri"/>
                <w:b w:val="0"/>
                <w:i/>
                <w:iCs/>
              </w:rPr>
              <w:t>Primar</w:t>
            </w:r>
            <w:r w:rsidR="001A2257">
              <w:rPr>
                <w:rFonts w:eastAsiaTheme="minorEastAsia" w:cs="Calibri"/>
                <w:b w:val="0"/>
                <w:i/>
                <w:iCs/>
              </w:rPr>
              <w:t>y</w:t>
            </w:r>
          </w:p>
          <w:p w14:paraId="3A29405D" w14:textId="5805D585"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t>7-day PPA, CO-confirmed &lt;=8ppm, 12, 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ks</w:t>
            </w:r>
          </w:p>
          <w:p w14:paraId="5B9700EE" w14:textId="77777777" w:rsidR="008D2DAF" w:rsidRPr="00554906" w:rsidRDefault="008D2DAF" w:rsidP="008D2DAF">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4B0B9FCC" w14:textId="5B9D0EF2"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lastRenderedPageBreak/>
              <w:t>Continuous abstinence, 9-12</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 9-18</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 9-24</w:t>
            </w:r>
            <w:r w:rsidR="001A2257">
              <w:rPr>
                <w:rFonts w:eastAsiaTheme="minorEastAsia" w:cs="Calibri"/>
                <w:b w:val="0"/>
              </w:rPr>
              <w:t xml:space="preserve"> </w:t>
            </w:r>
            <w:r w:rsidRPr="00881D39">
              <w:rPr>
                <w:rFonts w:eastAsiaTheme="minorEastAsia" w:cs="Calibri"/>
                <w:b w:val="0"/>
              </w:rPr>
              <w:t>w</w:t>
            </w:r>
            <w:r w:rsidR="001A2257">
              <w:rPr>
                <w:rFonts w:eastAsiaTheme="minorEastAsia" w:cs="Calibri"/>
                <w:b w:val="0"/>
              </w:rPr>
              <w:t>ee</w:t>
            </w:r>
            <w:r w:rsidRPr="00881D39">
              <w:rPr>
                <w:rFonts w:eastAsiaTheme="minorEastAsia" w:cs="Calibri"/>
                <w:b w:val="0"/>
              </w:rPr>
              <w:t>k</w:t>
            </w:r>
          </w:p>
          <w:p w14:paraId="17FE402F" w14:textId="6AC9E954" w:rsidR="008D2DAF" w:rsidRPr="00881D39" w:rsidRDefault="008D2DAF" w:rsidP="008D2DAF">
            <w:pPr>
              <w:pStyle w:val="Tableheading"/>
              <w:autoSpaceDE w:val="0"/>
              <w:autoSpaceDN w:val="0"/>
              <w:adjustRightInd w:val="0"/>
              <w:rPr>
                <w:rFonts w:eastAsiaTheme="minorEastAsia" w:cs="Calibri"/>
                <w:b w:val="0"/>
              </w:rPr>
            </w:pPr>
            <w:r w:rsidRPr="00881D39">
              <w:rPr>
                <w:rFonts w:eastAsiaTheme="minorEastAsia" w:cs="Calibri"/>
                <w:b w:val="0"/>
              </w:rPr>
              <w:t xml:space="preserve">7-day PPA </w:t>
            </w:r>
            <w:r w:rsidR="009E7142" w:rsidRPr="00881D39">
              <w:rPr>
                <w:rFonts w:eastAsiaTheme="minorEastAsia" w:cs="Calibri"/>
                <w:b w:val="0"/>
              </w:rPr>
              <w:t>CO-confirmed, week</w:t>
            </w:r>
            <w:r w:rsidRPr="00881D39">
              <w:rPr>
                <w:rFonts w:eastAsiaTheme="minorEastAsia" w:cs="Calibri"/>
                <w:b w:val="0"/>
              </w:rPr>
              <w:t xml:space="preserve"> 18</w:t>
            </w:r>
            <w:r w:rsidR="001A2257">
              <w:rPr>
                <w:rFonts w:eastAsiaTheme="minorEastAsia" w:cs="Calibri"/>
                <w:b w:val="0"/>
              </w:rPr>
              <w:t>.</w:t>
            </w:r>
          </w:p>
          <w:p w14:paraId="1ED0DFCE" w14:textId="518DA5BB" w:rsidR="001835D1" w:rsidRPr="00320A67" w:rsidRDefault="008D2DAF" w:rsidP="008D2DA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SAEs</w:t>
            </w:r>
            <w:r w:rsidR="00881D39">
              <w:rPr>
                <w:rFonts w:eastAsiaTheme="minorEastAsia" w:cs="Calibri"/>
                <w:b w:val="0"/>
              </w:rPr>
              <w:t xml:space="preserve"> and</w:t>
            </w:r>
            <w:r>
              <w:rPr>
                <w:rFonts w:eastAsiaTheme="minorEastAsia" w:cs="Calibri"/>
                <w:b w:val="0"/>
              </w:rPr>
              <w:t xml:space="preserve"> </w:t>
            </w:r>
            <w:r w:rsidRPr="00881D39">
              <w:rPr>
                <w:rFonts w:eastAsiaTheme="minorEastAsia" w:cs="Calibri"/>
                <w:b w:val="0"/>
              </w:rPr>
              <w:t>AEs</w:t>
            </w:r>
            <w:r w:rsidR="00881D39">
              <w:rPr>
                <w:rFonts w:eastAsiaTheme="minorEastAsia" w:cs="Calibri"/>
                <w:b w:val="0"/>
              </w:rPr>
              <w:t>.</w:t>
            </w:r>
          </w:p>
        </w:tc>
      </w:tr>
      <w:tr w:rsidR="003A409B" w:rsidRPr="00061F78" w14:paraId="65133CF4" w14:textId="77777777" w:rsidTr="00D0517F">
        <w:trPr>
          <w:trHeight w:val="99"/>
        </w:trPr>
        <w:tc>
          <w:tcPr>
            <w:tcW w:w="189" w:type="pct"/>
          </w:tcPr>
          <w:p w14:paraId="46825A97" w14:textId="0CB53406"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6B11AAD7" w14:textId="1D75AD34" w:rsidR="001835D1" w:rsidRPr="001E2154" w:rsidRDefault="00142923" w:rsidP="00693DA2">
            <w:pPr>
              <w:pStyle w:val="Tableheading"/>
              <w:autoSpaceDE w:val="0"/>
              <w:autoSpaceDN w:val="0"/>
              <w:adjustRightInd w:val="0"/>
              <w:rPr>
                <w:rFonts w:eastAsiaTheme="minorEastAsia" w:cs="Calibri"/>
                <w:b w:val="0"/>
              </w:rPr>
            </w:pPr>
            <w:r>
              <w:rPr>
                <w:rFonts w:eastAsiaTheme="minorEastAsia" w:cs="Calibri"/>
                <w:b w:val="0"/>
              </w:rPr>
              <w:t>Windle 2018</w:t>
            </w:r>
          </w:p>
        </w:tc>
        <w:tc>
          <w:tcPr>
            <w:tcW w:w="379" w:type="pct"/>
            <w:shd w:val="clear" w:color="auto" w:fill="auto"/>
          </w:tcPr>
          <w:p w14:paraId="1FD3E1A9" w14:textId="15C7D3AB" w:rsidR="001835D1" w:rsidRPr="001E2154" w:rsidRDefault="0014292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1E84C512" w14:textId="4CA2E46F" w:rsidR="001835D1" w:rsidRPr="001E2154" w:rsidRDefault="00FF5EBF" w:rsidP="00693DA2">
            <w:pPr>
              <w:pStyle w:val="Tableheading"/>
              <w:autoSpaceDE w:val="0"/>
              <w:autoSpaceDN w:val="0"/>
              <w:adjustRightInd w:val="0"/>
              <w:rPr>
                <w:rFonts w:eastAsiaTheme="minorEastAsia" w:cs="Calibri"/>
                <w:b w:val="0"/>
              </w:rPr>
            </w:pPr>
            <w:r>
              <w:rPr>
                <w:rFonts w:eastAsiaTheme="minorEastAsia" w:cs="Calibri"/>
                <w:b w:val="0"/>
              </w:rPr>
              <w:t>Canada, USA</w:t>
            </w:r>
          </w:p>
        </w:tc>
        <w:tc>
          <w:tcPr>
            <w:tcW w:w="516" w:type="pct"/>
            <w:shd w:val="clear" w:color="auto" w:fill="auto"/>
            <w:tcMar>
              <w:left w:w="28" w:type="dxa"/>
              <w:right w:w="28" w:type="dxa"/>
            </w:tcMar>
          </w:tcPr>
          <w:p w14:paraId="5980FD8A" w14:textId="77777777" w:rsidR="001835D1" w:rsidRDefault="00FF5EBF" w:rsidP="00693DA2">
            <w:pPr>
              <w:pStyle w:val="Tableheading"/>
              <w:autoSpaceDE w:val="0"/>
              <w:autoSpaceDN w:val="0"/>
              <w:adjustRightInd w:val="0"/>
              <w:rPr>
                <w:rFonts w:eastAsiaTheme="minorEastAsia" w:cs="Calibri"/>
                <w:b w:val="0"/>
              </w:rPr>
            </w:pPr>
            <w:r>
              <w:rPr>
                <w:rFonts w:eastAsiaTheme="minorEastAsia" w:cs="Calibri"/>
                <w:b w:val="0"/>
              </w:rPr>
              <w:t>302</w:t>
            </w:r>
          </w:p>
          <w:p w14:paraId="55F83916" w14:textId="0BF54B00" w:rsidR="004B476A" w:rsidRDefault="004B476A" w:rsidP="00693DA2">
            <w:pPr>
              <w:pStyle w:val="Tableheading"/>
              <w:autoSpaceDE w:val="0"/>
              <w:autoSpaceDN w:val="0"/>
              <w:adjustRightInd w:val="0"/>
              <w:rPr>
                <w:rFonts w:eastAsiaTheme="minorEastAsia" w:cs="Calibri"/>
                <w:b w:val="0"/>
              </w:rPr>
            </w:pPr>
            <w:r>
              <w:rPr>
                <w:rFonts w:eastAsiaTheme="minorEastAsia" w:cs="Calibri"/>
                <w:b w:val="0"/>
              </w:rPr>
              <w:t xml:space="preserve"> n= </w:t>
            </w:r>
            <w:r w:rsidR="007D7DFF">
              <w:rPr>
                <w:rFonts w:eastAsiaTheme="minorEastAsia" w:cs="Calibri"/>
                <w:b w:val="0"/>
              </w:rPr>
              <w:t xml:space="preserve">151 </w:t>
            </w:r>
            <w:r>
              <w:rPr>
                <w:rFonts w:eastAsiaTheme="minorEastAsia" w:cs="Calibri"/>
                <w:b w:val="0"/>
              </w:rPr>
              <w:t>(varenicline)</w:t>
            </w:r>
          </w:p>
          <w:p w14:paraId="6689119D" w14:textId="354602F4" w:rsidR="004B476A" w:rsidRPr="001E2154" w:rsidRDefault="004B476A" w:rsidP="00693DA2">
            <w:pPr>
              <w:pStyle w:val="Tableheading"/>
              <w:autoSpaceDE w:val="0"/>
              <w:autoSpaceDN w:val="0"/>
              <w:adjustRightInd w:val="0"/>
              <w:rPr>
                <w:rFonts w:eastAsiaTheme="minorEastAsia" w:cs="Calibri"/>
                <w:b w:val="0"/>
              </w:rPr>
            </w:pPr>
            <w:r>
              <w:rPr>
                <w:rFonts w:eastAsiaTheme="minorEastAsia" w:cs="Calibri"/>
                <w:b w:val="0"/>
              </w:rPr>
              <w:t>n=</w:t>
            </w:r>
            <w:r w:rsidR="007D7DFF">
              <w:rPr>
                <w:rFonts w:eastAsiaTheme="minorEastAsia" w:cs="Calibri"/>
                <w:b w:val="0"/>
              </w:rPr>
              <w:t>151</w:t>
            </w:r>
            <w:r>
              <w:rPr>
                <w:rFonts w:eastAsiaTheme="minorEastAsia" w:cs="Calibri"/>
                <w:b w:val="0"/>
              </w:rPr>
              <w:t xml:space="preserve"> (placebo)</w:t>
            </w:r>
          </w:p>
        </w:tc>
        <w:tc>
          <w:tcPr>
            <w:tcW w:w="1142" w:type="pct"/>
            <w:shd w:val="clear" w:color="auto" w:fill="auto"/>
            <w:tcMar>
              <w:left w:w="28" w:type="dxa"/>
              <w:right w:w="28" w:type="dxa"/>
            </w:tcMar>
          </w:tcPr>
          <w:p w14:paraId="49351EF3" w14:textId="77777777" w:rsidR="00FF5EBF" w:rsidRPr="00FF5EBF" w:rsidRDefault="00FF5EBF" w:rsidP="00FF5EBF">
            <w:pPr>
              <w:pStyle w:val="Tableheading"/>
              <w:autoSpaceDE w:val="0"/>
              <w:autoSpaceDN w:val="0"/>
              <w:adjustRightInd w:val="0"/>
              <w:rPr>
                <w:rFonts w:eastAsiaTheme="minorEastAsia" w:cs="Calibri"/>
                <w:b w:val="0"/>
              </w:rPr>
            </w:pPr>
            <w:r w:rsidRPr="00FF5EBF">
              <w:rPr>
                <w:rFonts w:eastAsiaTheme="minorEastAsia" w:cs="Calibri"/>
                <w:b w:val="0"/>
              </w:rPr>
              <w:t>Adult (18yr+) smokers, (10+ CPD), motivated to quit, hospitalised for acute coronary syndrome (MI or unstable angina).</w:t>
            </w:r>
          </w:p>
          <w:p w14:paraId="15F12540" w14:textId="77777777" w:rsidR="00FF5EBF" w:rsidRPr="006A6B9B" w:rsidRDefault="00FF5EBF" w:rsidP="00FF5EBF">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14:paraId="33759837" w14:textId="5F2EBAFA" w:rsidR="001835D1" w:rsidRPr="001E2154" w:rsidRDefault="00FF5EBF" w:rsidP="00FF5EBF">
            <w:pPr>
              <w:pStyle w:val="Tableheading"/>
              <w:autoSpaceDE w:val="0"/>
              <w:autoSpaceDN w:val="0"/>
              <w:adjustRightInd w:val="0"/>
              <w:rPr>
                <w:rFonts w:eastAsiaTheme="minorEastAsia" w:cs="Calibri"/>
                <w:b w:val="0"/>
              </w:rPr>
            </w:pPr>
            <w:r w:rsidRPr="00FF5EBF">
              <w:rPr>
                <w:rFonts w:eastAsiaTheme="minorEastAsia" w:cs="Calibri"/>
                <w:b w:val="0"/>
              </w:rPr>
              <w:t>Excessive alcohol, history of panic disorder, psychosis, bipolar disease, dementia, renal or hepatic impairment, current or recent drug use, history of suicidal ideation/attempt or family history of suicide</w:t>
            </w:r>
          </w:p>
        </w:tc>
        <w:tc>
          <w:tcPr>
            <w:tcW w:w="808" w:type="pct"/>
            <w:shd w:val="clear" w:color="auto" w:fill="auto"/>
          </w:tcPr>
          <w:p w14:paraId="300976B0" w14:textId="71465EE2" w:rsidR="00FF5EBF" w:rsidRPr="00FF5EBF" w:rsidRDefault="00FF5EBF" w:rsidP="00C324F3">
            <w:pPr>
              <w:pStyle w:val="Tablewriting"/>
              <w:keepNext/>
              <w:numPr>
                <w:ilvl w:val="0"/>
                <w:numId w:val="8"/>
              </w:numPr>
              <w:rPr>
                <w:rFonts w:eastAsia="MS Mincho"/>
              </w:rPr>
            </w:pPr>
            <w:r w:rsidRPr="00FF5EBF">
              <w:rPr>
                <w:rFonts w:eastAsia="MS Mincho"/>
              </w:rPr>
              <w:t>Varenicline, 1</w:t>
            </w:r>
            <w:r w:rsidR="00A1651B">
              <w:rPr>
                <w:rFonts w:eastAsia="MS Mincho"/>
              </w:rPr>
              <w:t xml:space="preserve"> </w:t>
            </w:r>
            <w:r w:rsidRPr="00FF5EBF">
              <w:rPr>
                <w:rFonts w:eastAsia="MS Mincho"/>
              </w:rPr>
              <w:t>mg bd, 12</w:t>
            </w:r>
            <w:r w:rsidR="00A1651B">
              <w:rPr>
                <w:rFonts w:eastAsia="MS Mincho"/>
              </w:rPr>
              <w:t xml:space="preserve"> </w:t>
            </w:r>
            <w:r w:rsidRPr="00FF5EBF">
              <w:rPr>
                <w:rFonts w:eastAsia="MS Mincho"/>
              </w:rPr>
              <w:t>w</w:t>
            </w:r>
            <w:r w:rsidR="00A1651B">
              <w:rPr>
                <w:rFonts w:eastAsia="MS Mincho"/>
              </w:rPr>
              <w:t>ee</w:t>
            </w:r>
            <w:r w:rsidRPr="00FF5EBF">
              <w:rPr>
                <w:rFonts w:eastAsia="MS Mincho"/>
              </w:rPr>
              <w:t>ks, with titrated dose 1 week before quit date</w:t>
            </w:r>
          </w:p>
          <w:p w14:paraId="761B15C0" w14:textId="77777777" w:rsidR="00FF5EBF" w:rsidRPr="00FF5EBF" w:rsidRDefault="00FF5EBF" w:rsidP="00C324F3">
            <w:pPr>
              <w:pStyle w:val="Tablewriting"/>
              <w:keepNext/>
              <w:numPr>
                <w:ilvl w:val="0"/>
                <w:numId w:val="8"/>
              </w:numPr>
              <w:rPr>
                <w:rFonts w:eastAsia="MS Mincho"/>
              </w:rPr>
            </w:pPr>
            <w:r w:rsidRPr="00FF5EBF">
              <w:rPr>
                <w:rFonts w:eastAsia="MS Mincho"/>
              </w:rPr>
              <w:t>Placebo</w:t>
            </w:r>
          </w:p>
          <w:p w14:paraId="081E6276" w14:textId="77777777" w:rsidR="00FF5EBF" w:rsidRPr="00FF5EBF" w:rsidRDefault="00FF5EBF" w:rsidP="00FF725F">
            <w:pPr>
              <w:pStyle w:val="Tablewriting"/>
              <w:keepNext/>
              <w:rPr>
                <w:rFonts w:eastAsia="MS Mincho"/>
              </w:rPr>
            </w:pPr>
            <w:r w:rsidRPr="00554906">
              <w:rPr>
                <w:rFonts w:eastAsia="MS Mincho"/>
                <w:u w:val="single"/>
              </w:rPr>
              <w:t>Common elements</w:t>
            </w:r>
            <w:r w:rsidRPr="00FF5EBF">
              <w:rPr>
                <w:rFonts w:eastAsia="MS Mincho"/>
              </w:rPr>
              <w:t xml:space="preserve">: </w:t>
            </w:r>
          </w:p>
          <w:p w14:paraId="10B3F826" w14:textId="77777777" w:rsidR="00FF5EBF" w:rsidRPr="00FF5EBF" w:rsidRDefault="00FF5EBF" w:rsidP="00C324F3">
            <w:pPr>
              <w:pStyle w:val="Tablewriting"/>
              <w:keepNext/>
              <w:numPr>
                <w:ilvl w:val="0"/>
                <w:numId w:val="8"/>
              </w:numPr>
              <w:rPr>
                <w:rFonts w:eastAsia="MS Mincho"/>
              </w:rPr>
            </w:pPr>
            <w:r w:rsidRPr="00FF5EBF">
              <w:rPr>
                <w:rFonts w:eastAsia="MS Mincho"/>
              </w:rPr>
              <w:t>Medication began in hospital</w:t>
            </w:r>
          </w:p>
          <w:p w14:paraId="415D4A33" w14:textId="634394E2" w:rsidR="001835D1" w:rsidRPr="00D11171" w:rsidRDefault="00FF5EBF" w:rsidP="00C324F3">
            <w:pPr>
              <w:pStyle w:val="Tablewriting"/>
              <w:keepNext/>
              <w:numPr>
                <w:ilvl w:val="0"/>
                <w:numId w:val="8"/>
              </w:numPr>
              <w:rPr>
                <w:rFonts w:eastAsia="MS Mincho"/>
              </w:rPr>
            </w:pPr>
            <w:r w:rsidRPr="00FF5EBF">
              <w:rPr>
                <w:rFonts w:eastAsia="MS Mincho"/>
              </w:rPr>
              <w:t>Low-intensity counselling for smoking cessation and relapse prevention</w:t>
            </w:r>
          </w:p>
        </w:tc>
        <w:tc>
          <w:tcPr>
            <w:tcW w:w="1094" w:type="pct"/>
            <w:shd w:val="clear" w:color="auto" w:fill="auto"/>
            <w:tcMar>
              <w:left w:w="28" w:type="dxa"/>
              <w:right w:w="28" w:type="dxa"/>
            </w:tcMar>
          </w:tcPr>
          <w:p w14:paraId="64F25E1B" w14:textId="77777777" w:rsidR="004B476A" w:rsidRPr="004B476A" w:rsidRDefault="004B476A" w:rsidP="004B476A">
            <w:pPr>
              <w:pStyle w:val="Tableheading"/>
              <w:autoSpaceDE w:val="0"/>
              <w:autoSpaceDN w:val="0"/>
              <w:adjustRightInd w:val="0"/>
              <w:rPr>
                <w:rFonts w:eastAsiaTheme="minorEastAsia" w:cs="Calibri"/>
                <w:b w:val="0"/>
                <w:u w:val="single"/>
              </w:rPr>
            </w:pPr>
            <w:r w:rsidRPr="004B476A">
              <w:rPr>
                <w:rFonts w:eastAsiaTheme="minorEastAsia" w:cs="Calibri"/>
                <w:b w:val="0"/>
                <w:u w:val="single"/>
              </w:rPr>
              <w:t>Efficacy</w:t>
            </w:r>
          </w:p>
          <w:p w14:paraId="41112BA4" w14:textId="77777777" w:rsidR="004B476A" w:rsidRPr="00554906" w:rsidRDefault="004B476A" w:rsidP="004B476A">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4AC419C1" w14:textId="4BBD79AF"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7-dayPPA, CO-confirmed &lt;=10ppm, 24</w:t>
            </w:r>
            <w:r w:rsidR="007719DB">
              <w:rPr>
                <w:rFonts w:eastAsiaTheme="minorEastAsia" w:cs="Calibri"/>
                <w:b w:val="0"/>
              </w:rPr>
              <w:t xml:space="preserve"> </w:t>
            </w:r>
            <w:r w:rsidRPr="00881D39">
              <w:rPr>
                <w:rFonts w:eastAsiaTheme="minorEastAsia" w:cs="Calibri"/>
                <w:b w:val="0"/>
              </w:rPr>
              <w:t>w</w:t>
            </w:r>
            <w:r w:rsidR="007719DB">
              <w:rPr>
                <w:rFonts w:eastAsiaTheme="minorEastAsia" w:cs="Calibri"/>
                <w:b w:val="0"/>
              </w:rPr>
              <w:t>ee</w:t>
            </w:r>
            <w:r w:rsidRPr="00881D39">
              <w:rPr>
                <w:rFonts w:eastAsiaTheme="minorEastAsia" w:cs="Calibri"/>
                <w:b w:val="0"/>
              </w:rPr>
              <w:t>ks</w:t>
            </w:r>
          </w:p>
          <w:p w14:paraId="601CDF85" w14:textId="77777777" w:rsidR="004B476A" w:rsidRPr="00554906" w:rsidRDefault="004B476A" w:rsidP="004B476A">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4EB7EC6C" w14:textId="4546D2AE"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CA, CO-confirmed (&lt;=10ppm and 7-day PPA at all follow-up visits since baseline), all follow-up visits, w</w:t>
            </w:r>
            <w:r w:rsidR="007719DB">
              <w:rPr>
                <w:rFonts w:eastAsiaTheme="minorEastAsia" w:cs="Calibri"/>
                <w:b w:val="0"/>
              </w:rPr>
              <w:t>ee</w:t>
            </w:r>
            <w:r w:rsidRPr="00881D39">
              <w:rPr>
                <w:rFonts w:eastAsiaTheme="minorEastAsia" w:cs="Calibri"/>
                <w:b w:val="0"/>
              </w:rPr>
              <w:t>k 52</w:t>
            </w:r>
          </w:p>
          <w:p w14:paraId="00F5D5C9" w14:textId="21C3BCF7" w:rsidR="004B476A" w:rsidRPr="00881D39" w:rsidRDefault="004B476A" w:rsidP="004B476A">
            <w:pPr>
              <w:pStyle w:val="Tableheading"/>
              <w:autoSpaceDE w:val="0"/>
              <w:autoSpaceDN w:val="0"/>
              <w:adjustRightInd w:val="0"/>
              <w:rPr>
                <w:rFonts w:eastAsiaTheme="minorEastAsia" w:cs="Calibri"/>
                <w:b w:val="0"/>
              </w:rPr>
            </w:pPr>
            <w:r w:rsidRPr="00881D39">
              <w:rPr>
                <w:rFonts w:eastAsiaTheme="minorEastAsia" w:cs="Calibri"/>
                <w:b w:val="0"/>
              </w:rPr>
              <w:t>7-day PPA CO-</w:t>
            </w:r>
            <w:r w:rsidR="004664D2" w:rsidRPr="00881D39">
              <w:rPr>
                <w:rFonts w:eastAsiaTheme="minorEastAsia" w:cs="Calibri"/>
                <w:b w:val="0"/>
              </w:rPr>
              <w:t>confirmed,</w:t>
            </w:r>
            <w:r w:rsidRPr="00881D39">
              <w:rPr>
                <w:rFonts w:eastAsiaTheme="minorEastAsia" w:cs="Calibri"/>
                <w:b w:val="0"/>
              </w:rPr>
              <w:t xml:space="preserve"> other follow-up visits</w:t>
            </w:r>
          </w:p>
          <w:p w14:paraId="32F466A9" w14:textId="1AB379FC" w:rsidR="001835D1" w:rsidRPr="00320A67" w:rsidRDefault="004B476A" w:rsidP="004B476A">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SAEs</w:t>
            </w:r>
            <w:r w:rsidR="00881D39">
              <w:rPr>
                <w:rFonts w:eastAsiaTheme="minorEastAsia" w:cs="Calibri"/>
                <w:b w:val="0"/>
              </w:rPr>
              <w:t xml:space="preserve"> and</w:t>
            </w:r>
            <w:r>
              <w:rPr>
                <w:rFonts w:eastAsiaTheme="minorEastAsia" w:cs="Calibri"/>
                <w:b w:val="0"/>
              </w:rPr>
              <w:t xml:space="preserve"> </w:t>
            </w:r>
            <w:r w:rsidRPr="00881D39">
              <w:rPr>
                <w:rFonts w:eastAsiaTheme="minorEastAsia" w:cs="Calibri"/>
                <w:b w:val="0"/>
              </w:rPr>
              <w:t>AEs</w:t>
            </w:r>
            <w:r w:rsidR="00881D39">
              <w:rPr>
                <w:rFonts w:eastAsiaTheme="minorEastAsia" w:cs="Calibri"/>
                <w:b w:val="0"/>
              </w:rPr>
              <w:t>.</w:t>
            </w:r>
          </w:p>
        </w:tc>
      </w:tr>
      <w:tr w:rsidR="003A409B" w:rsidRPr="00061F78" w14:paraId="2833C450" w14:textId="77777777" w:rsidTr="00D0517F">
        <w:trPr>
          <w:trHeight w:val="99"/>
        </w:trPr>
        <w:tc>
          <w:tcPr>
            <w:tcW w:w="189" w:type="pct"/>
          </w:tcPr>
          <w:p w14:paraId="29A8A162" w14:textId="1F7D0CEC"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45524A82" w14:textId="0345D929"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Mercie 2018</w:t>
            </w:r>
          </w:p>
        </w:tc>
        <w:tc>
          <w:tcPr>
            <w:tcW w:w="379" w:type="pct"/>
            <w:shd w:val="clear" w:color="auto" w:fill="auto"/>
          </w:tcPr>
          <w:p w14:paraId="01013FE9" w14:textId="5A9E4A21"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27FD8997" w14:textId="2FB6C087" w:rsidR="001835D1" w:rsidRPr="001E2154" w:rsidRDefault="007D7DFF" w:rsidP="00693DA2">
            <w:pPr>
              <w:pStyle w:val="Tableheading"/>
              <w:autoSpaceDE w:val="0"/>
              <w:autoSpaceDN w:val="0"/>
              <w:adjustRightInd w:val="0"/>
              <w:rPr>
                <w:rFonts w:eastAsiaTheme="minorEastAsia" w:cs="Calibri"/>
                <w:b w:val="0"/>
              </w:rPr>
            </w:pPr>
            <w:r>
              <w:rPr>
                <w:rFonts w:eastAsiaTheme="minorEastAsia" w:cs="Calibri"/>
                <w:b w:val="0"/>
              </w:rPr>
              <w:t>France</w:t>
            </w:r>
          </w:p>
        </w:tc>
        <w:tc>
          <w:tcPr>
            <w:tcW w:w="516" w:type="pct"/>
            <w:shd w:val="clear" w:color="auto" w:fill="auto"/>
            <w:tcMar>
              <w:left w:w="28" w:type="dxa"/>
              <w:right w:w="28" w:type="dxa"/>
            </w:tcMar>
          </w:tcPr>
          <w:p w14:paraId="072680BC" w14:textId="77777777" w:rsidR="001835D1" w:rsidRDefault="00890214" w:rsidP="00693DA2">
            <w:pPr>
              <w:pStyle w:val="Tableheading"/>
              <w:autoSpaceDE w:val="0"/>
              <w:autoSpaceDN w:val="0"/>
              <w:adjustRightInd w:val="0"/>
              <w:rPr>
                <w:rFonts w:eastAsiaTheme="minorEastAsia" w:cs="Calibri"/>
                <w:b w:val="0"/>
              </w:rPr>
            </w:pPr>
            <w:r>
              <w:rPr>
                <w:rFonts w:eastAsiaTheme="minorEastAsia" w:cs="Calibri"/>
                <w:b w:val="0"/>
              </w:rPr>
              <w:t>248</w:t>
            </w:r>
          </w:p>
          <w:p w14:paraId="4BEEB358" w14:textId="51A9602B" w:rsidR="00890214" w:rsidRDefault="00890214" w:rsidP="00693DA2">
            <w:pPr>
              <w:pStyle w:val="Tableheading"/>
              <w:autoSpaceDE w:val="0"/>
              <w:autoSpaceDN w:val="0"/>
              <w:adjustRightInd w:val="0"/>
              <w:rPr>
                <w:rFonts w:eastAsiaTheme="minorEastAsia" w:cs="Calibri"/>
                <w:b w:val="0"/>
              </w:rPr>
            </w:pPr>
            <w:r>
              <w:rPr>
                <w:rFonts w:eastAsiaTheme="minorEastAsia" w:cs="Calibri"/>
                <w:b w:val="0"/>
              </w:rPr>
              <w:t>n=</w:t>
            </w:r>
            <w:r w:rsidR="00CC316E">
              <w:rPr>
                <w:rFonts w:eastAsiaTheme="minorEastAsia" w:cs="Calibri"/>
                <w:b w:val="0"/>
              </w:rPr>
              <w:t xml:space="preserve"> 123(varenicline)</w:t>
            </w:r>
          </w:p>
          <w:p w14:paraId="44942552" w14:textId="477FB0E0" w:rsidR="00CC316E" w:rsidRPr="001E2154" w:rsidRDefault="00CC316E" w:rsidP="00693DA2">
            <w:pPr>
              <w:pStyle w:val="Tableheading"/>
              <w:autoSpaceDE w:val="0"/>
              <w:autoSpaceDN w:val="0"/>
              <w:adjustRightInd w:val="0"/>
              <w:rPr>
                <w:rFonts w:eastAsiaTheme="minorEastAsia" w:cs="Calibri"/>
                <w:b w:val="0"/>
              </w:rPr>
            </w:pPr>
            <w:r>
              <w:rPr>
                <w:rFonts w:eastAsiaTheme="minorEastAsia" w:cs="Calibri"/>
                <w:b w:val="0"/>
              </w:rPr>
              <w:t>n=125 (placebo)</w:t>
            </w:r>
          </w:p>
        </w:tc>
        <w:tc>
          <w:tcPr>
            <w:tcW w:w="1142" w:type="pct"/>
            <w:shd w:val="clear" w:color="auto" w:fill="auto"/>
            <w:tcMar>
              <w:left w:w="28" w:type="dxa"/>
              <w:right w:w="28" w:type="dxa"/>
            </w:tcMar>
          </w:tcPr>
          <w:p w14:paraId="26023FBA" w14:textId="77777777" w:rsidR="00890214" w:rsidRPr="00890214" w:rsidRDefault="00890214" w:rsidP="00890214">
            <w:pPr>
              <w:pStyle w:val="Tableheading"/>
              <w:autoSpaceDE w:val="0"/>
              <w:autoSpaceDN w:val="0"/>
              <w:adjustRightInd w:val="0"/>
              <w:rPr>
                <w:rFonts w:eastAsiaTheme="minorEastAsia" w:cs="Calibri"/>
                <w:b w:val="0"/>
              </w:rPr>
            </w:pPr>
            <w:r w:rsidRPr="00890214">
              <w:rPr>
                <w:rFonts w:eastAsiaTheme="minorEastAsia" w:cs="Calibri"/>
                <w:b w:val="0"/>
              </w:rPr>
              <w:t>Adults (18 years +) smokers (10+ CPD for a year or more) with documented HIV infection, volunteered to stop smoking after completing a Q-MAT smoking cessation motivation questionnaire and were regularly followed up in one of the participating French hospitals.</w:t>
            </w:r>
          </w:p>
          <w:p w14:paraId="3F53924B" w14:textId="77777777" w:rsidR="00890214" w:rsidRPr="006A6B9B" w:rsidRDefault="00890214" w:rsidP="00890214">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14:paraId="02689A5D" w14:textId="2005710A" w:rsidR="001835D1" w:rsidRPr="001E2154" w:rsidRDefault="00890214" w:rsidP="00890214">
            <w:pPr>
              <w:pStyle w:val="Tableheading"/>
              <w:autoSpaceDE w:val="0"/>
              <w:autoSpaceDN w:val="0"/>
              <w:adjustRightInd w:val="0"/>
              <w:rPr>
                <w:rFonts w:eastAsiaTheme="minorEastAsia" w:cs="Calibri"/>
                <w:b w:val="0"/>
              </w:rPr>
            </w:pPr>
            <w:r w:rsidRPr="00890214">
              <w:rPr>
                <w:rFonts w:eastAsiaTheme="minorEastAsia" w:cs="Calibri"/>
                <w:b w:val="0"/>
              </w:rPr>
              <w:t xml:space="preserve">Co-dependent on a psychoactive substance other than tobacco, depressive episode during enrolment diagnosed by a psychiatrist, ever attempted suicide, receiving ongoing treatment with interferon, taking efavirenz for less than 3 months, had neuropsychological drug-related adverse events while taking efavirenz. </w:t>
            </w:r>
            <w:r w:rsidR="009E7142" w:rsidRPr="00890214">
              <w:rPr>
                <w:rFonts w:eastAsiaTheme="minorEastAsia" w:cs="Calibri"/>
                <w:b w:val="0"/>
              </w:rPr>
              <w:t>Previous</w:t>
            </w:r>
            <w:r w:rsidRPr="00890214">
              <w:rPr>
                <w:rFonts w:eastAsiaTheme="minorEastAsia" w:cs="Calibri"/>
                <w:b w:val="0"/>
              </w:rPr>
              <w:t xml:space="preserve"> treatment with varenicline (or known hypersensitivity to varenicline) or bupropion or ongoing nicotine replacement therapy</w:t>
            </w:r>
            <w:r w:rsidR="009E7142" w:rsidRPr="00890214">
              <w:rPr>
                <w:rFonts w:eastAsiaTheme="minorEastAsia" w:cs="Calibri"/>
                <w:b w:val="0"/>
              </w:rPr>
              <w:t>, pregnant</w:t>
            </w:r>
            <w:r w:rsidRPr="00890214">
              <w:rPr>
                <w:rFonts w:eastAsiaTheme="minorEastAsia" w:cs="Calibri"/>
                <w:b w:val="0"/>
              </w:rPr>
              <w:t>, or ongoing breastfeeding. Participants were not eligible if they had occupations requiring high vigilance or if they were not affiliated to the health-care system.</w:t>
            </w:r>
          </w:p>
        </w:tc>
        <w:tc>
          <w:tcPr>
            <w:tcW w:w="808" w:type="pct"/>
            <w:shd w:val="clear" w:color="auto" w:fill="auto"/>
          </w:tcPr>
          <w:p w14:paraId="3DC63918" w14:textId="541DF0C2" w:rsidR="00890214" w:rsidRPr="00890214" w:rsidRDefault="00890214" w:rsidP="00C324F3">
            <w:pPr>
              <w:pStyle w:val="Tablewriting"/>
              <w:keepNext/>
              <w:numPr>
                <w:ilvl w:val="0"/>
                <w:numId w:val="8"/>
              </w:numPr>
              <w:rPr>
                <w:rFonts w:eastAsia="MS Mincho"/>
              </w:rPr>
            </w:pPr>
            <w:r w:rsidRPr="00890214">
              <w:rPr>
                <w:rFonts w:eastAsia="MS Mincho"/>
              </w:rPr>
              <w:t>Varenicline, 1mg bd, 12</w:t>
            </w:r>
            <w:r w:rsidR="00A1651B">
              <w:rPr>
                <w:rFonts w:eastAsia="MS Mincho"/>
              </w:rPr>
              <w:t xml:space="preserve"> </w:t>
            </w:r>
            <w:r w:rsidRPr="00890214">
              <w:rPr>
                <w:rFonts w:eastAsia="MS Mincho"/>
              </w:rPr>
              <w:t>w</w:t>
            </w:r>
            <w:r w:rsidR="00A1651B">
              <w:rPr>
                <w:rFonts w:eastAsia="MS Mincho"/>
              </w:rPr>
              <w:t>ee</w:t>
            </w:r>
            <w:r w:rsidRPr="00890214">
              <w:rPr>
                <w:rFonts w:eastAsia="MS Mincho"/>
              </w:rPr>
              <w:t>ks, with titrated dose 1 week before quit date</w:t>
            </w:r>
          </w:p>
          <w:p w14:paraId="78891679" w14:textId="77777777" w:rsidR="00890214" w:rsidRPr="00890214" w:rsidRDefault="00890214" w:rsidP="00C324F3">
            <w:pPr>
              <w:pStyle w:val="Tablewriting"/>
              <w:keepNext/>
              <w:numPr>
                <w:ilvl w:val="0"/>
                <w:numId w:val="8"/>
              </w:numPr>
              <w:rPr>
                <w:rFonts w:eastAsia="MS Mincho"/>
              </w:rPr>
            </w:pPr>
            <w:r w:rsidRPr="00890214">
              <w:rPr>
                <w:rFonts w:eastAsia="MS Mincho"/>
              </w:rPr>
              <w:t>Placebo</w:t>
            </w:r>
          </w:p>
          <w:p w14:paraId="3E30081C" w14:textId="77777777" w:rsidR="00890214" w:rsidRPr="00890214" w:rsidRDefault="00890214" w:rsidP="00FF725F">
            <w:pPr>
              <w:pStyle w:val="Tablewriting"/>
              <w:keepNext/>
              <w:rPr>
                <w:rFonts w:eastAsia="MS Mincho"/>
              </w:rPr>
            </w:pPr>
            <w:r w:rsidRPr="00554906">
              <w:rPr>
                <w:rFonts w:eastAsia="MS Mincho"/>
                <w:u w:val="single"/>
              </w:rPr>
              <w:t>Common elements</w:t>
            </w:r>
            <w:r w:rsidRPr="00890214">
              <w:rPr>
                <w:rFonts w:eastAsia="MS Mincho"/>
              </w:rPr>
              <w:t xml:space="preserve">: </w:t>
            </w:r>
          </w:p>
          <w:p w14:paraId="53B3E03B" w14:textId="5A176352" w:rsidR="00890214" w:rsidRPr="00890214" w:rsidRDefault="00890214" w:rsidP="00C324F3">
            <w:pPr>
              <w:pStyle w:val="Tablewriting"/>
              <w:keepNext/>
              <w:numPr>
                <w:ilvl w:val="0"/>
                <w:numId w:val="8"/>
              </w:numPr>
              <w:rPr>
                <w:rFonts w:eastAsia="MS Mincho"/>
              </w:rPr>
            </w:pPr>
            <w:r w:rsidRPr="00890214">
              <w:rPr>
                <w:rFonts w:eastAsia="MS Mincho"/>
              </w:rPr>
              <w:t>Additional open-label 12 w</w:t>
            </w:r>
            <w:r w:rsidR="00A1651B">
              <w:rPr>
                <w:rFonts w:eastAsia="MS Mincho"/>
              </w:rPr>
              <w:t>ee</w:t>
            </w:r>
            <w:r w:rsidRPr="00890214">
              <w:rPr>
                <w:rFonts w:eastAsia="MS Mincho"/>
              </w:rPr>
              <w:t>ks of therapy if smoking at w</w:t>
            </w:r>
            <w:r w:rsidR="00A1651B">
              <w:rPr>
                <w:rFonts w:eastAsia="MS Mincho"/>
              </w:rPr>
              <w:t>ee</w:t>
            </w:r>
            <w:r w:rsidRPr="00890214">
              <w:rPr>
                <w:rFonts w:eastAsia="MS Mincho"/>
              </w:rPr>
              <w:t>k</w:t>
            </w:r>
            <w:r w:rsidR="00A1651B">
              <w:rPr>
                <w:rFonts w:eastAsia="MS Mincho"/>
              </w:rPr>
              <w:t xml:space="preserve"> </w:t>
            </w:r>
            <w:r w:rsidRPr="00890214">
              <w:rPr>
                <w:rFonts w:eastAsia="MS Mincho"/>
              </w:rPr>
              <w:t>24 and motivated to stop</w:t>
            </w:r>
          </w:p>
          <w:p w14:paraId="01F69C3C" w14:textId="5608499D" w:rsidR="001835D1" w:rsidRPr="00D11171" w:rsidRDefault="00890214" w:rsidP="00C324F3">
            <w:pPr>
              <w:pStyle w:val="Tablewriting"/>
              <w:keepNext/>
              <w:numPr>
                <w:ilvl w:val="0"/>
                <w:numId w:val="8"/>
              </w:numPr>
              <w:rPr>
                <w:rFonts w:eastAsia="MS Mincho"/>
              </w:rPr>
            </w:pPr>
            <w:r w:rsidRPr="00890214">
              <w:rPr>
                <w:rFonts w:eastAsia="MS Mincho"/>
              </w:rPr>
              <w:t>Counselling (behavioural change) 4 weeks prior to quit date and 10-15 sessions over 1 y</w:t>
            </w:r>
            <w:r w:rsidR="0040273F">
              <w:rPr>
                <w:rFonts w:eastAsia="MS Mincho"/>
              </w:rPr>
              <w:t>ea</w:t>
            </w:r>
            <w:r w:rsidRPr="00890214">
              <w:rPr>
                <w:rFonts w:eastAsia="MS Mincho"/>
              </w:rPr>
              <w:t>r</w:t>
            </w:r>
          </w:p>
        </w:tc>
        <w:tc>
          <w:tcPr>
            <w:tcW w:w="1094" w:type="pct"/>
            <w:shd w:val="clear" w:color="auto" w:fill="auto"/>
            <w:tcMar>
              <w:left w:w="28" w:type="dxa"/>
              <w:right w:w="28" w:type="dxa"/>
            </w:tcMar>
          </w:tcPr>
          <w:p w14:paraId="2D34D152" w14:textId="77777777" w:rsidR="00890214" w:rsidRPr="00890214" w:rsidRDefault="00890214" w:rsidP="00890214">
            <w:pPr>
              <w:pStyle w:val="Tableheading"/>
              <w:autoSpaceDE w:val="0"/>
              <w:autoSpaceDN w:val="0"/>
              <w:adjustRightInd w:val="0"/>
              <w:rPr>
                <w:rFonts w:eastAsiaTheme="minorEastAsia" w:cs="Calibri"/>
                <w:b w:val="0"/>
                <w:u w:val="single"/>
              </w:rPr>
            </w:pPr>
            <w:r w:rsidRPr="00890214">
              <w:rPr>
                <w:rFonts w:eastAsiaTheme="minorEastAsia" w:cs="Calibri"/>
                <w:b w:val="0"/>
                <w:u w:val="single"/>
              </w:rPr>
              <w:t>Efficacy:</w:t>
            </w:r>
          </w:p>
          <w:p w14:paraId="5E4EF221" w14:textId="77777777" w:rsidR="00890214" w:rsidRPr="00554906" w:rsidRDefault="00890214" w:rsidP="00890214">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15ABD6CC" w14:textId="3F0813AB" w:rsidR="00890214" w:rsidRPr="00881D39" w:rsidRDefault="00890214" w:rsidP="00890214">
            <w:pPr>
              <w:pStyle w:val="Tableheading"/>
              <w:autoSpaceDE w:val="0"/>
              <w:autoSpaceDN w:val="0"/>
              <w:adjustRightInd w:val="0"/>
              <w:rPr>
                <w:rFonts w:eastAsiaTheme="minorEastAsia" w:cs="Calibri"/>
                <w:b w:val="0"/>
              </w:rPr>
            </w:pPr>
            <w:r w:rsidRPr="00881D39">
              <w:rPr>
                <w:rFonts w:eastAsiaTheme="minorEastAsia" w:cs="Calibri"/>
                <w:b w:val="0"/>
              </w:rPr>
              <w:t>CAR, w</w:t>
            </w:r>
            <w:r w:rsidR="00702B2B">
              <w:rPr>
                <w:rFonts w:eastAsiaTheme="minorEastAsia" w:cs="Calibri"/>
                <w:b w:val="0"/>
              </w:rPr>
              <w:t>ee</w:t>
            </w:r>
            <w:r w:rsidRPr="00881D39">
              <w:rPr>
                <w:rFonts w:eastAsiaTheme="minorEastAsia" w:cs="Calibri"/>
                <w:b w:val="0"/>
              </w:rPr>
              <w:t>k</w:t>
            </w:r>
            <w:r w:rsidR="00702B2B">
              <w:rPr>
                <w:rFonts w:eastAsiaTheme="minorEastAsia" w:cs="Calibri"/>
                <w:b w:val="0"/>
              </w:rPr>
              <w:t xml:space="preserve"> </w:t>
            </w:r>
            <w:r w:rsidRPr="00881D39">
              <w:rPr>
                <w:rFonts w:eastAsiaTheme="minorEastAsia" w:cs="Calibri"/>
                <w:b w:val="0"/>
              </w:rPr>
              <w:t>9-48 (non-validated)</w:t>
            </w:r>
            <w:r w:rsidR="00702B2B">
              <w:rPr>
                <w:rFonts w:eastAsiaTheme="minorEastAsia" w:cs="Calibri"/>
                <w:b w:val="0"/>
              </w:rPr>
              <w:t>.</w:t>
            </w:r>
          </w:p>
          <w:p w14:paraId="7C5C1EC8" w14:textId="77777777" w:rsidR="00890214" w:rsidRPr="00554906" w:rsidRDefault="00890214" w:rsidP="00890214">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7515D437" w14:textId="1AE42FBD" w:rsidR="00890214" w:rsidRPr="00881D39" w:rsidRDefault="00890214" w:rsidP="00890214">
            <w:pPr>
              <w:pStyle w:val="Tableheading"/>
              <w:autoSpaceDE w:val="0"/>
              <w:autoSpaceDN w:val="0"/>
              <w:adjustRightInd w:val="0"/>
              <w:rPr>
                <w:rFonts w:eastAsiaTheme="minorEastAsia" w:cs="Calibri"/>
                <w:b w:val="0"/>
              </w:rPr>
            </w:pPr>
            <w:r w:rsidRPr="00881D39">
              <w:rPr>
                <w:rFonts w:eastAsiaTheme="minorEastAsia" w:cs="Calibri"/>
                <w:b w:val="0"/>
              </w:rPr>
              <w:t>CAR, w</w:t>
            </w:r>
            <w:r w:rsidR="00702B2B">
              <w:rPr>
                <w:rFonts w:eastAsiaTheme="minorEastAsia" w:cs="Calibri"/>
                <w:b w:val="0"/>
              </w:rPr>
              <w:t>ee</w:t>
            </w:r>
            <w:r w:rsidRPr="00881D39">
              <w:rPr>
                <w:rFonts w:eastAsiaTheme="minorEastAsia" w:cs="Calibri"/>
                <w:b w:val="0"/>
              </w:rPr>
              <w:t>k</w:t>
            </w:r>
            <w:r w:rsidR="00702B2B">
              <w:rPr>
                <w:rFonts w:eastAsiaTheme="minorEastAsia" w:cs="Calibri"/>
                <w:b w:val="0"/>
              </w:rPr>
              <w:t xml:space="preserve"> </w:t>
            </w:r>
            <w:r w:rsidRPr="00881D39">
              <w:rPr>
                <w:rFonts w:eastAsiaTheme="minorEastAsia" w:cs="Calibri"/>
                <w:b w:val="0"/>
              </w:rPr>
              <w:t>9-12</w:t>
            </w:r>
            <w:r w:rsidR="00702B2B">
              <w:rPr>
                <w:rFonts w:eastAsiaTheme="minorEastAsia" w:cs="Calibri"/>
                <w:b w:val="0"/>
              </w:rPr>
              <w:t>.</w:t>
            </w:r>
          </w:p>
          <w:p w14:paraId="617B4208" w14:textId="7D103679" w:rsidR="00890214" w:rsidRPr="00890214" w:rsidRDefault="00890214" w:rsidP="00890214">
            <w:pPr>
              <w:pStyle w:val="Tableheading"/>
              <w:autoSpaceDE w:val="0"/>
              <w:autoSpaceDN w:val="0"/>
              <w:adjustRightInd w:val="0"/>
              <w:rPr>
                <w:rFonts w:eastAsiaTheme="minorEastAsia" w:cs="Calibri"/>
                <w:b w:val="0"/>
                <w:u w:val="single"/>
              </w:rPr>
            </w:pPr>
            <w:r>
              <w:rPr>
                <w:rFonts w:eastAsiaTheme="minorEastAsia" w:cs="Calibri"/>
                <w:b w:val="0"/>
                <w:u w:val="single"/>
              </w:rPr>
              <w:t>Safety</w:t>
            </w:r>
          </w:p>
          <w:p w14:paraId="6CD450FC" w14:textId="61422483" w:rsidR="001835D1" w:rsidRPr="00320A67" w:rsidRDefault="00890214" w:rsidP="00890214">
            <w:pPr>
              <w:pStyle w:val="Tableheading"/>
              <w:autoSpaceDE w:val="0"/>
              <w:autoSpaceDN w:val="0"/>
              <w:adjustRightInd w:val="0"/>
              <w:rPr>
                <w:rFonts w:eastAsiaTheme="minorEastAsia" w:cs="Calibri"/>
                <w:b w:val="0"/>
                <w:u w:val="single"/>
              </w:rPr>
            </w:pPr>
            <w:r w:rsidRPr="00881D39">
              <w:rPr>
                <w:rFonts w:eastAsiaTheme="minorEastAsia" w:cs="Calibri"/>
                <w:b w:val="0"/>
              </w:rPr>
              <w:t>Depression</w:t>
            </w:r>
            <w:r w:rsidR="00702B2B">
              <w:rPr>
                <w:rFonts w:eastAsiaTheme="minorEastAsia" w:cs="Calibri"/>
                <w:b w:val="0"/>
              </w:rPr>
              <w:t xml:space="preserve">, </w:t>
            </w:r>
            <w:r w:rsidRPr="00881D39">
              <w:rPr>
                <w:rFonts w:eastAsiaTheme="minorEastAsia" w:cs="Calibri"/>
                <w:b w:val="0"/>
              </w:rPr>
              <w:t>cardiovascular and cerebrovascular events</w:t>
            </w:r>
            <w:r w:rsidR="00702B2B">
              <w:rPr>
                <w:rFonts w:eastAsiaTheme="minorEastAsia" w:cs="Calibri"/>
                <w:b w:val="0"/>
              </w:rPr>
              <w:t>.</w:t>
            </w:r>
          </w:p>
        </w:tc>
      </w:tr>
      <w:tr w:rsidR="003A409B" w:rsidRPr="00061F78" w14:paraId="354B0BBB" w14:textId="77777777" w:rsidTr="00D0517F">
        <w:trPr>
          <w:trHeight w:val="99"/>
        </w:trPr>
        <w:tc>
          <w:tcPr>
            <w:tcW w:w="189" w:type="pct"/>
          </w:tcPr>
          <w:p w14:paraId="5E1573A6" w14:textId="0279F228"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77C2F3F5" w14:textId="3AF82E50"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Hurt 2018</w:t>
            </w:r>
          </w:p>
        </w:tc>
        <w:tc>
          <w:tcPr>
            <w:tcW w:w="379" w:type="pct"/>
            <w:shd w:val="clear" w:color="auto" w:fill="auto"/>
          </w:tcPr>
          <w:p w14:paraId="0D15ED6D" w14:textId="46A5E741"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1D4225F9" w14:textId="104F0338" w:rsidR="001835D1" w:rsidRPr="001E2154" w:rsidRDefault="00C3743C"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21BF5DD4" w14:textId="77777777" w:rsidR="001835D1" w:rsidRDefault="00C3743C" w:rsidP="00693DA2">
            <w:pPr>
              <w:pStyle w:val="Tableheading"/>
              <w:autoSpaceDE w:val="0"/>
              <w:autoSpaceDN w:val="0"/>
              <w:adjustRightInd w:val="0"/>
              <w:rPr>
                <w:rFonts w:eastAsiaTheme="minorEastAsia" w:cs="Calibri"/>
                <w:b w:val="0"/>
              </w:rPr>
            </w:pPr>
            <w:r>
              <w:rPr>
                <w:rFonts w:eastAsiaTheme="minorEastAsia" w:cs="Calibri"/>
                <w:b w:val="0"/>
              </w:rPr>
              <w:t>33</w:t>
            </w:r>
          </w:p>
          <w:p w14:paraId="6EA3AB3D" w14:textId="018B668A" w:rsidR="00FF6D7E" w:rsidRDefault="00FF6D7E" w:rsidP="00693DA2">
            <w:pPr>
              <w:pStyle w:val="Tableheading"/>
              <w:autoSpaceDE w:val="0"/>
              <w:autoSpaceDN w:val="0"/>
              <w:adjustRightInd w:val="0"/>
              <w:rPr>
                <w:rFonts w:eastAsiaTheme="minorEastAsia" w:cs="Calibri"/>
                <w:b w:val="0"/>
              </w:rPr>
            </w:pPr>
            <w:r>
              <w:rPr>
                <w:rFonts w:eastAsiaTheme="minorEastAsia" w:cs="Calibri"/>
                <w:b w:val="0"/>
              </w:rPr>
              <w:t xml:space="preserve">n= </w:t>
            </w:r>
            <w:r w:rsidR="00C42B22">
              <w:rPr>
                <w:rFonts w:eastAsiaTheme="minorEastAsia" w:cs="Calibri"/>
                <w:b w:val="0"/>
              </w:rPr>
              <w:t xml:space="preserve">16 </w:t>
            </w:r>
            <w:r>
              <w:rPr>
                <w:rFonts w:eastAsiaTheme="minorEastAsia" w:cs="Calibri"/>
                <w:b w:val="0"/>
              </w:rPr>
              <w:t>(varenicline)</w:t>
            </w:r>
          </w:p>
          <w:p w14:paraId="0DB77DDA" w14:textId="2606BE5D" w:rsidR="00FF6D7E" w:rsidRPr="001E2154" w:rsidRDefault="00FF6D7E" w:rsidP="00693DA2">
            <w:pPr>
              <w:pStyle w:val="Tableheading"/>
              <w:autoSpaceDE w:val="0"/>
              <w:autoSpaceDN w:val="0"/>
              <w:adjustRightInd w:val="0"/>
              <w:rPr>
                <w:rFonts w:eastAsiaTheme="minorEastAsia" w:cs="Calibri"/>
                <w:b w:val="0"/>
              </w:rPr>
            </w:pPr>
            <w:r>
              <w:rPr>
                <w:rFonts w:eastAsiaTheme="minorEastAsia" w:cs="Calibri"/>
                <w:b w:val="0"/>
              </w:rPr>
              <w:t>n=</w:t>
            </w:r>
            <w:r w:rsidR="00C42B22">
              <w:rPr>
                <w:rFonts w:eastAsiaTheme="minorEastAsia" w:cs="Calibri"/>
                <w:b w:val="0"/>
              </w:rPr>
              <w:t>17</w:t>
            </w:r>
            <w:r>
              <w:rPr>
                <w:rFonts w:eastAsiaTheme="minorEastAsia" w:cs="Calibri"/>
                <w:b w:val="0"/>
              </w:rPr>
              <w:t xml:space="preserve"> (placebo)</w:t>
            </w:r>
          </w:p>
        </w:tc>
        <w:tc>
          <w:tcPr>
            <w:tcW w:w="1142" w:type="pct"/>
            <w:shd w:val="clear" w:color="auto" w:fill="auto"/>
            <w:tcMar>
              <w:left w:w="28" w:type="dxa"/>
              <w:right w:w="28" w:type="dxa"/>
            </w:tcMar>
          </w:tcPr>
          <w:p w14:paraId="7D878FC1" w14:textId="27F680D7" w:rsidR="00C3743C" w:rsidRPr="00C3743C" w:rsidRDefault="00C3743C" w:rsidP="00C3743C">
            <w:pPr>
              <w:pStyle w:val="Tableheading"/>
              <w:autoSpaceDE w:val="0"/>
              <w:autoSpaceDN w:val="0"/>
              <w:adjustRightInd w:val="0"/>
              <w:rPr>
                <w:rFonts w:eastAsiaTheme="minorEastAsia" w:cs="Calibri"/>
                <w:b w:val="0"/>
              </w:rPr>
            </w:pPr>
            <w:r w:rsidRPr="00C3743C">
              <w:rPr>
                <w:rFonts w:eastAsiaTheme="minorEastAsia" w:cs="Calibri"/>
                <w:b w:val="0"/>
              </w:rPr>
              <w:t xml:space="preserve">Adult (18 yr+) smokers </w:t>
            </w:r>
            <w:r w:rsidR="004664D2" w:rsidRPr="00C3743C">
              <w:rPr>
                <w:rFonts w:eastAsiaTheme="minorEastAsia" w:cs="Calibri"/>
                <w:b w:val="0"/>
              </w:rPr>
              <w:t>(10</w:t>
            </w:r>
            <w:r w:rsidRPr="00C3743C">
              <w:rPr>
                <w:rFonts w:eastAsiaTheme="minorEastAsia" w:cs="Calibri"/>
                <w:b w:val="0"/>
              </w:rPr>
              <w:t xml:space="preserve"> or more CPD for 6 months or more) motivated to quit with alcohol dependence or abuse as assessed by the Mini-International Neuropsychiatric </w:t>
            </w:r>
            <w:r w:rsidRPr="00C3743C">
              <w:rPr>
                <w:rFonts w:eastAsiaTheme="minorEastAsia" w:cs="Calibri"/>
                <w:b w:val="0"/>
              </w:rPr>
              <w:lastRenderedPageBreak/>
              <w:t>Interview and the physician investigator, currently drinking; and 5)</w:t>
            </w:r>
          </w:p>
          <w:p w14:paraId="54A2DABE" w14:textId="77777777" w:rsidR="00C3743C" w:rsidRPr="006A6B9B" w:rsidRDefault="00C3743C" w:rsidP="00C3743C">
            <w:pPr>
              <w:pStyle w:val="Tableheading"/>
              <w:autoSpaceDE w:val="0"/>
              <w:autoSpaceDN w:val="0"/>
              <w:adjustRightInd w:val="0"/>
              <w:rPr>
                <w:rFonts w:eastAsiaTheme="minorEastAsia" w:cs="Calibri"/>
                <w:b w:val="0"/>
                <w:u w:val="single"/>
              </w:rPr>
            </w:pPr>
            <w:r w:rsidRPr="006A6B9B">
              <w:rPr>
                <w:rFonts w:eastAsiaTheme="minorEastAsia" w:cs="Calibri"/>
                <w:b w:val="0"/>
                <w:u w:val="single"/>
              </w:rPr>
              <w:t>Exclusions:</w:t>
            </w:r>
          </w:p>
          <w:p w14:paraId="5363D71B" w14:textId="45A804BB" w:rsidR="001835D1" w:rsidRPr="001E2154" w:rsidRDefault="00C3743C" w:rsidP="00C3743C">
            <w:pPr>
              <w:pStyle w:val="Tableheading"/>
              <w:autoSpaceDE w:val="0"/>
              <w:autoSpaceDN w:val="0"/>
              <w:adjustRightInd w:val="0"/>
              <w:rPr>
                <w:rFonts w:eastAsiaTheme="minorEastAsia" w:cs="Calibri"/>
                <w:b w:val="0"/>
              </w:rPr>
            </w:pPr>
            <w:r w:rsidRPr="00C3743C">
              <w:rPr>
                <w:rFonts w:eastAsiaTheme="minorEastAsia" w:cs="Calibri"/>
                <w:b w:val="0"/>
              </w:rPr>
              <w:t xml:space="preserve">Cardiac condition (angina, myocardial infarction, or coronary angioplasty within the past 3 months), untreated cardiac dysrhythmia, kidney disease, or cancer;  psychosis, bipolar disorder, or unstable or untreated moderate or severe depression as assessed by the Center for Epidemiologic Studies-Depression scale , current nonspecific suicidal thoughts as defined by the Columbia-Suicide Severity Rating Scale or had ever made a suicide attempt, varenicline allergy, another member of their household participating in the study; undergoing current treatment with another investigational drug within the past 30 days, untreated hypertension or a baseline blood pressure higher than 180mm Hg systolic or 100mm Hg diastolic, currently using a tobacco-dependence treatment involving a drug, </w:t>
            </w:r>
            <w:r w:rsidR="009E7142" w:rsidRPr="00C3743C">
              <w:rPr>
                <w:rFonts w:eastAsiaTheme="minorEastAsia" w:cs="Calibri"/>
                <w:b w:val="0"/>
              </w:rPr>
              <w:t>behavioural</w:t>
            </w:r>
            <w:r w:rsidRPr="00C3743C">
              <w:rPr>
                <w:rFonts w:eastAsiaTheme="minorEastAsia" w:cs="Calibri"/>
                <w:b w:val="0"/>
              </w:rPr>
              <w:t xml:space="preserve"> intervention, or both; concurrently using another nicotine product other than cigarettes, women of childbearing potential or women who were pregnant, breastfeeding, or likely to become pregnant and who were not </w:t>
            </w:r>
            <w:r w:rsidRPr="00C3743C">
              <w:rPr>
                <w:rFonts w:eastAsiaTheme="minorEastAsia" w:cs="Calibri"/>
                <w:b w:val="0"/>
              </w:rPr>
              <w:lastRenderedPageBreak/>
              <w:t>willing to use contraception during the medication phase of the trial .</w:t>
            </w:r>
          </w:p>
        </w:tc>
        <w:tc>
          <w:tcPr>
            <w:tcW w:w="808" w:type="pct"/>
            <w:shd w:val="clear" w:color="auto" w:fill="auto"/>
          </w:tcPr>
          <w:p w14:paraId="43363E36" w14:textId="1C7D0752" w:rsidR="00FF6D7E" w:rsidRPr="00FF6D7E" w:rsidRDefault="00FF6D7E" w:rsidP="00C324F3">
            <w:pPr>
              <w:pStyle w:val="Tablewriting"/>
              <w:keepNext/>
              <w:numPr>
                <w:ilvl w:val="0"/>
                <w:numId w:val="8"/>
              </w:numPr>
              <w:rPr>
                <w:rFonts w:eastAsia="MS Mincho"/>
              </w:rPr>
            </w:pPr>
            <w:r w:rsidRPr="00FF6D7E">
              <w:rPr>
                <w:rFonts w:eastAsia="MS Mincho"/>
              </w:rPr>
              <w:lastRenderedPageBreak/>
              <w:t>Varenicline, 1</w:t>
            </w:r>
            <w:r w:rsidR="00FA4314">
              <w:rPr>
                <w:rFonts w:eastAsia="MS Mincho"/>
              </w:rPr>
              <w:t xml:space="preserve"> </w:t>
            </w:r>
            <w:r w:rsidRPr="00FF6D7E">
              <w:rPr>
                <w:rFonts w:eastAsia="MS Mincho"/>
              </w:rPr>
              <w:t>mg bd, 12</w:t>
            </w:r>
            <w:r w:rsidR="00A1651B">
              <w:rPr>
                <w:rFonts w:eastAsia="MS Mincho"/>
              </w:rPr>
              <w:t xml:space="preserve"> </w:t>
            </w:r>
            <w:r w:rsidRPr="00FF6D7E">
              <w:rPr>
                <w:rFonts w:eastAsia="MS Mincho"/>
              </w:rPr>
              <w:t>w</w:t>
            </w:r>
            <w:r w:rsidR="00A1651B">
              <w:rPr>
                <w:rFonts w:eastAsia="MS Mincho"/>
              </w:rPr>
              <w:t>ee</w:t>
            </w:r>
            <w:r w:rsidRPr="00FF6D7E">
              <w:rPr>
                <w:rFonts w:eastAsia="MS Mincho"/>
              </w:rPr>
              <w:t xml:space="preserve">ks, titrated dose 1 </w:t>
            </w:r>
            <w:r w:rsidRPr="00FF6D7E">
              <w:rPr>
                <w:rFonts w:eastAsia="MS Mincho"/>
              </w:rPr>
              <w:lastRenderedPageBreak/>
              <w:t>w</w:t>
            </w:r>
            <w:r w:rsidR="00A1651B">
              <w:rPr>
                <w:rFonts w:eastAsia="MS Mincho"/>
              </w:rPr>
              <w:t>ee</w:t>
            </w:r>
            <w:r w:rsidRPr="00FF6D7E">
              <w:rPr>
                <w:rFonts w:eastAsia="MS Mincho"/>
              </w:rPr>
              <w:t>k before quit date</w:t>
            </w:r>
          </w:p>
          <w:p w14:paraId="12FD7AC2" w14:textId="77777777" w:rsidR="00FF6D7E" w:rsidRPr="00FF6D7E" w:rsidRDefault="00FF6D7E" w:rsidP="00C324F3">
            <w:pPr>
              <w:pStyle w:val="Tablewriting"/>
              <w:keepNext/>
              <w:numPr>
                <w:ilvl w:val="0"/>
                <w:numId w:val="8"/>
              </w:numPr>
              <w:rPr>
                <w:rFonts w:eastAsia="MS Mincho"/>
              </w:rPr>
            </w:pPr>
            <w:r w:rsidRPr="00FF6D7E">
              <w:rPr>
                <w:rFonts w:eastAsia="MS Mincho"/>
              </w:rPr>
              <w:t>Placebo</w:t>
            </w:r>
          </w:p>
          <w:p w14:paraId="215B0F7D" w14:textId="77777777" w:rsidR="00FF6D7E" w:rsidRPr="00FF6D7E" w:rsidRDefault="00FF6D7E" w:rsidP="00FF725F">
            <w:pPr>
              <w:pStyle w:val="Tablewriting"/>
              <w:keepNext/>
              <w:rPr>
                <w:rFonts w:eastAsia="MS Mincho"/>
              </w:rPr>
            </w:pPr>
            <w:r w:rsidRPr="00554906">
              <w:rPr>
                <w:rFonts w:eastAsia="MS Mincho"/>
                <w:u w:val="single"/>
              </w:rPr>
              <w:t>Common elements</w:t>
            </w:r>
            <w:r w:rsidRPr="00FF6D7E">
              <w:rPr>
                <w:rFonts w:eastAsia="MS Mincho"/>
              </w:rPr>
              <w:t>:</w:t>
            </w:r>
          </w:p>
          <w:p w14:paraId="38400884" w14:textId="4CF096CA" w:rsidR="001835D1" w:rsidRPr="00D11171" w:rsidRDefault="00FF6D7E" w:rsidP="00C324F3">
            <w:pPr>
              <w:pStyle w:val="Tablewriting"/>
              <w:keepNext/>
              <w:numPr>
                <w:ilvl w:val="0"/>
                <w:numId w:val="8"/>
              </w:numPr>
              <w:rPr>
                <w:rFonts w:eastAsia="MS Mincho"/>
              </w:rPr>
            </w:pPr>
            <w:r w:rsidRPr="00FF6D7E">
              <w:rPr>
                <w:rFonts w:eastAsia="MS Mincho"/>
              </w:rPr>
              <w:t>Brief behavioural counselling during study visits (w</w:t>
            </w:r>
            <w:r w:rsidR="00A1651B">
              <w:rPr>
                <w:rFonts w:eastAsia="MS Mincho"/>
              </w:rPr>
              <w:t>ee</w:t>
            </w:r>
            <w:r w:rsidRPr="00FF6D7E">
              <w:rPr>
                <w:rFonts w:eastAsia="MS Mincho"/>
              </w:rPr>
              <w:t>k 1-4, then q2w w</w:t>
            </w:r>
            <w:r w:rsidR="00A1651B">
              <w:rPr>
                <w:rFonts w:eastAsia="MS Mincho"/>
              </w:rPr>
              <w:t>ee</w:t>
            </w:r>
            <w:r w:rsidRPr="00FF6D7E">
              <w:rPr>
                <w:rFonts w:eastAsia="MS Mincho"/>
              </w:rPr>
              <w:t>ks 6-12</w:t>
            </w:r>
            <w:r w:rsidR="006E016C">
              <w:rPr>
                <w:rFonts w:eastAsia="MS Mincho"/>
              </w:rPr>
              <w:t>.</w:t>
            </w:r>
          </w:p>
        </w:tc>
        <w:tc>
          <w:tcPr>
            <w:tcW w:w="1094" w:type="pct"/>
            <w:shd w:val="clear" w:color="auto" w:fill="auto"/>
            <w:tcMar>
              <w:left w:w="28" w:type="dxa"/>
              <w:right w:w="28" w:type="dxa"/>
            </w:tcMar>
          </w:tcPr>
          <w:p w14:paraId="2DB89D11" w14:textId="77777777" w:rsidR="00FF6D7E" w:rsidRPr="00FF6D7E" w:rsidRDefault="00FF6D7E" w:rsidP="00FF6D7E">
            <w:pPr>
              <w:pStyle w:val="Tableheading"/>
              <w:autoSpaceDE w:val="0"/>
              <w:autoSpaceDN w:val="0"/>
              <w:adjustRightInd w:val="0"/>
              <w:rPr>
                <w:rFonts w:eastAsiaTheme="minorEastAsia" w:cs="Calibri"/>
                <w:b w:val="0"/>
                <w:u w:val="single"/>
              </w:rPr>
            </w:pPr>
            <w:r w:rsidRPr="00FF6D7E">
              <w:rPr>
                <w:rFonts w:eastAsiaTheme="minorEastAsia" w:cs="Calibri"/>
                <w:b w:val="0"/>
                <w:u w:val="single"/>
              </w:rPr>
              <w:lastRenderedPageBreak/>
              <w:t>Efficacy:</w:t>
            </w:r>
          </w:p>
          <w:p w14:paraId="1E6E6700" w14:textId="77777777" w:rsidR="00FF6D7E" w:rsidRPr="00554906" w:rsidRDefault="00FF6D7E" w:rsidP="00FF6D7E">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0C722BF7" w14:textId="1F19059B"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t>7-day PPA, CO-verified (&lt;=8ppm), 12 w</w:t>
            </w:r>
            <w:r w:rsidR="0040273F">
              <w:rPr>
                <w:rFonts w:eastAsiaTheme="minorEastAsia" w:cs="Calibri"/>
                <w:b w:val="0"/>
              </w:rPr>
              <w:t>ee</w:t>
            </w:r>
            <w:r w:rsidRPr="00881D39">
              <w:rPr>
                <w:rFonts w:eastAsiaTheme="minorEastAsia" w:cs="Calibri"/>
                <w:b w:val="0"/>
              </w:rPr>
              <w:t>ks</w:t>
            </w:r>
            <w:r w:rsidR="0040273F">
              <w:rPr>
                <w:rFonts w:eastAsiaTheme="minorEastAsia" w:cs="Calibri"/>
                <w:b w:val="0"/>
              </w:rPr>
              <w:t>.</w:t>
            </w:r>
          </w:p>
          <w:p w14:paraId="130D68B7" w14:textId="77777777" w:rsidR="00FF6D7E" w:rsidRPr="00554906" w:rsidRDefault="00FF6D7E" w:rsidP="00FF6D7E">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047700FC" w14:textId="1DF8D498"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lastRenderedPageBreak/>
              <w:t>7-day PPA, CO-verified (&lt;=8ppm), 24 weeks</w:t>
            </w:r>
            <w:r w:rsidR="0040273F">
              <w:rPr>
                <w:rFonts w:eastAsiaTheme="minorEastAsia" w:cs="Calibri"/>
                <w:b w:val="0"/>
              </w:rPr>
              <w:t>.</w:t>
            </w:r>
          </w:p>
          <w:p w14:paraId="646D887B" w14:textId="04BE5DAB" w:rsidR="00FF6D7E" w:rsidRPr="00881D39" w:rsidRDefault="00FF6D7E" w:rsidP="00FF6D7E">
            <w:pPr>
              <w:pStyle w:val="Tableheading"/>
              <w:autoSpaceDE w:val="0"/>
              <w:autoSpaceDN w:val="0"/>
              <w:adjustRightInd w:val="0"/>
              <w:rPr>
                <w:rFonts w:eastAsiaTheme="minorEastAsia" w:cs="Calibri"/>
                <w:b w:val="0"/>
              </w:rPr>
            </w:pPr>
            <w:r w:rsidRPr="00881D39">
              <w:rPr>
                <w:rFonts w:eastAsiaTheme="minorEastAsia" w:cs="Calibri"/>
                <w:b w:val="0"/>
              </w:rPr>
              <w:t>Prolonged smoking abstinence, 12</w:t>
            </w:r>
            <w:r w:rsidR="0040273F">
              <w:rPr>
                <w:rFonts w:eastAsiaTheme="minorEastAsia" w:cs="Calibri"/>
                <w:b w:val="0"/>
              </w:rPr>
              <w:t xml:space="preserve"> </w:t>
            </w:r>
            <w:r w:rsidRPr="00881D39">
              <w:rPr>
                <w:rFonts w:eastAsiaTheme="minorEastAsia" w:cs="Calibri"/>
                <w:b w:val="0"/>
              </w:rPr>
              <w:t>w</w:t>
            </w:r>
            <w:r w:rsidR="0040273F">
              <w:rPr>
                <w:rFonts w:eastAsiaTheme="minorEastAsia" w:cs="Calibri"/>
                <w:b w:val="0"/>
              </w:rPr>
              <w:t>ee</w:t>
            </w:r>
            <w:r w:rsidRPr="00881D39">
              <w:rPr>
                <w:rFonts w:eastAsiaTheme="minorEastAsia" w:cs="Calibri"/>
                <w:b w:val="0"/>
              </w:rPr>
              <w:t>ks, 24 w</w:t>
            </w:r>
            <w:r w:rsidR="0040273F">
              <w:rPr>
                <w:rFonts w:eastAsiaTheme="minorEastAsia" w:cs="Calibri"/>
                <w:b w:val="0"/>
              </w:rPr>
              <w:t>ee</w:t>
            </w:r>
            <w:r w:rsidRPr="00881D39">
              <w:rPr>
                <w:rFonts w:eastAsiaTheme="minorEastAsia" w:cs="Calibri"/>
                <w:b w:val="0"/>
              </w:rPr>
              <w:t>ks*</w:t>
            </w:r>
          </w:p>
          <w:p w14:paraId="0B938467" w14:textId="5919B4B8" w:rsidR="001835D1" w:rsidRPr="00320A67" w:rsidRDefault="00FF6D7E" w:rsidP="00FF6D7E">
            <w:pPr>
              <w:pStyle w:val="Tableheading"/>
              <w:autoSpaceDE w:val="0"/>
              <w:autoSpaceDN w:val="0"/>
              <w:adjustRightInd w:val="0"/>
              <w:rPr>
                <w:rFonts w:eastAsiaTheme="minorEastAsia" w:cs="Calibri"/>
                <w:b w:val="0"/>
                <w:u w:val="single"/>
              </w:rPr>
            </w:pPr>
            <w:r w:rsidRPr="00881D39">
              <w:rPr>
                <w:rFonts w:eastAsiaTheme="minorEastAsia" w:cs="Calibri"/>
                <w:b w:val="0"/>
              </w:rPr>
              <w:t>*answer of “no” to both questions: 1) Since 14 days after your target quit date, have you used any tobacco on each of 7 consecutive days? and 2) Since 14 days after your target quit date, have you used any tobacco on at least 1 day in each of 2 consecutive weeks?</w:t>
            </w:r>
          </w:p>
        </w:tc>
      </w:tr>
      <w:tr w:rsidR="003A409B" w:rsidRPr="00061F78" w14:paraId="5B288122" w14:textId="77777777" w:rsidTr="00D0517F">
        <w:trPr>
          <w:trHeight w:val="99"/>
        </w:trPr>
        <w:tc>
          <w:tcPr>
            <w:tcW w:w="189" w:type="pct"/>
          </w:tcPr>
          <w:p w14:paraId="1A41C4F0" w14:textId="5FAB2900"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56C179EF" w14:textId="219CDFC8" w:rsidR="001835D1" w:rsidRPr="001E2154" w:rsidRDefault="00C42B22" w:rsidP="00693DA2">
            <w:pPr>
              <w:pStyle w:val="Tableheading"/>
              <w:autoSpaceDE w:val="0"/>
              <w:autoSpaceDN w:val="0"/>
              <w:adjustRightInd w:val="0"/>
              <w:rPr>
                <w:rFonts w:eastAsiaTheme="minorEastAsia" w:cs="Calibri"/>
                <w:b w:val="0"/>
              </w:rPr>
            </w:pPr>
            <w:r>
              <w:rPr>
                <w:rFonts w:eastAsiaTheme="minorEastAsia" w:cs="Calibri"/>
                <w:b w:val="0"/>
              </w:rPr>
              <w:t>Ellerbeck 2018</w:t>
            </w:r>
          </w:p>
        </w:tc>
        <w:tc>
          <w:tcPr>
            <w:tcW w:w="379" w:type="pct"/>
            <w:shd w:val="clear" w:color="auto" w:fill="auto"/>
          </w:tcPr>
          <w:p w14:paraId="576FBA90" w14:textId="5B209DDD" w:rsidR="001835D1" w:rsidRPr="001E2154" w:rsidRDefault="00C42B2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74550000" w14:textId="24B9EE03" w:rsidR="001835D1" w:rsidRPr="001E2154" w:rsidRDefault="003C44D2"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3B784038" w14:textId="77777777" w:rsidR="001835D1" w:rsidRDefault="003C44D2" w:rsidP="00693DA2">
            <w:pPr>
              <w:pStyle w:val="Tableheading"/>
              <w:autoSpaceDE w:val="0"/>
              <w:autoSpaceDN w:val="0"/>
              <w:adjustRightInd w:val="0"/>
              <w:rPr>
                <w:rFonts w:eastAsiaTheme="minorEastAsia" w:cs="Calibri"/>
                <w:b w:val="0"/>
              </w:rPr>
            </w:pPr>
            <w:r>
              <w:rPr>
                <w:rFonts w:eastAsiaTheme="minorEastAsia" w:cs="Calibri"/>
                <w:b w:val="0"/>
              </w:rPr>
              <w:t>398</w:t>
            </w:r>
          </w:p>
          <w:p w14:paraId="33F86291" w14:textId="680F73B3" w:rsidR="00386FCF" w:rsidRDefault="00386FCF" w:rsidP="00693DA2">
            <w:pPr>
              <w:pStyle w:val="Tableheading"/>
              <w:autoSpaceDE w:val="0"/>
              <w:autoSpaceDN w:val="0"/>
              <w:adjustRightInd w:val="0"/>
              <w:rPr>
                <w:rFonts w:eastAsiaTheme="minorEastAsia" w:cs="Calibri"/>
                <w:b w:val="0"/>
              </w:rPr>
            </w:pPr>
            <w:r>
              <w:rPr>
                <w:rFonts w:eastAsiaTheme="minorEastAsia" w:cs="Calibri"/>
                <w:b w:val="0"/>
              </w:rPr>
              <w:t>n=</w:t>
            </w:r>
            <w:r w:rsidR="00681271">
              <w:rPr>
                <w:rFonts w:eastAsiaTheme="minorEastAsia" w:cs="Calibri"/>
                <w:b w:val="0"/>
              </w:rPr>
              <w:t>200</w:t>
            </w:r>
            <w:r w:rsidR="00E42941">
              <w:rPr>
                <w:rFonts w:eastAsiaTheme="minorEastAsia" w:cs="Calibri"/>
                <w:b w:val="0"/>
              </w:rPr>
              <w:t xml:space="preserve"> (NRT, 10wks)</w:t>
            </w:r>
          </w:p>
          <w:p w14:paraId="7BEDEA18" w14:textId="0EC307FC" w:rsidR="00E42941" w:rsidRPr="001E2154" w:rsidRDefault="00E42941" w:rsidP="00693DA2">
            <w:pPr>
              <w:pStyle w:val="Tableheading"/>
              <w:autoSpaceDE w:val="0"/>
              <w:autoSpaceDN w:val="0"/>
              <w:adjustRightInd w:val="0"/>
              <w:rPr>
                <w:rFonts w:eastAsiaTheme="minorEastAsia" w:cs="Calibri"/>
                <w:b w:val="0"/>
              </w:rPr>
            </w:pPr>
            <w:r>
              <w:rPr>
                <w:rFonts w:eastAsiaTheme="minorEastAsia" w:cs="Calibri"/>
                <w:b w:val="0"/>
              </w:rPr>
              <w:t>n=</w:t>
            </w:r>
            <w:r w:rsidR="00681271">
              <w:rPr>
                <w:rFonts w:eastAsiaTheme="minorEastAsia" w:cs="Calibri"/>
                <w:b w:val="0"/>
              </w:rPr>
              <w:t>198</w:t>
            </w:r>
            <w:r>
              <w:rPr>
                <w:rFonts w:eastAsiaTheme="minorEastAsia" w:cs="Calibri"/>
                <w:b w:val="0"/>
              </w:rPr>
              <w:t xml:space="preserve"> (NRT, 52wks)</w:t>
            </w:r>
          </w:p>
        </w:tc>
        <w:tc>
          <w:tcPr>
            <w:tcW w:w="1142" w:type="pct"/>
            <w:shd w:val="clear" w:color="auto" w:fill="auto"/>
            <w:tcMar>
              <w:left w:w="28" w:type="dxa"/>
              <w:right w:w="28" w:type="dxa"/>
            </w:tcMar>
          </w:tcPr>
          <w:p w14:paraId="4027D0DF" w14:textId="77777777" w:rsidR="003C44D2" w:rsidRPr="003C44D2"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Adult smokers (&gt;4 daily for 25 or last 30 days) with physician diagnosed COPD from academic medical centres</w:t>
            </w:r>
          </w:p>
          <w:p w14:paraId="5284D7D9" w14:textId="77777777" w:rsidR="003C44D2" w:rsidRPr="003C44D2"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Exclusions:</w:t>
            </w:r>
          </w:p>
          <w:p w14:paraId="713AA2B6" w14:textId="4D597BB2" w:rsidR="001835D1" w:rsidRPr="001E2154" w:rsidRDefault="003C44D2" w:rsidP="003C44D2">
            <w:pPr>
              <w:pStyle w:val="Tableheading"/>
              <w:autoSpaceDE w:val="0"/>
              <w:autoSpaceDN w:val="0"/>
              <w:adjustRightInd w:val="0"/>
              <w:rPr>
                <w:rFonts w:eastAsiaTheme="minorEastAsia" w:cs="Calibri"/>
                <w:b w:val="0"/>
              </w:rPr>
            </w:pPr>
            <w:r w:rsidRPr="003C44D2">
              <w:rPr>
                <w:rFonts w:eastAsiaTheme="minorEastAsia" w:cs="Calibri"/>
                <w:b w:val="0"/>
              </w:rPr>
              <w:t>Pregnant or breastfeeding in next year, Terminal illness, long-term facility resident, severe cognitive impairment, another household member in the study, no home address, hospitalised with MI or experiencing irregular heartbeat or increasing angina in last 30 days.</w:t>
            </w:r>
          </w:p>
        </w:tc>
        <w:tc>
          <w:tcPr>
            <w:tcW w:w="808" w:type="pct"/>
            <w:shd w:val="clear" w:color="auto" w:fill="auto"/>
          </w:tcPr>
          <w:p w14:paraId="2E2BBBB7" w14:textId="6F24C8D2" w:rsidR="003C44D2" w:rsidRPr="003C44D2" w:rsidRDefault="003C44D2" w:rsidP="00C324F3">
            <w:pPr>
              <w:pStyle w:val="Tablewriting"/>
              <w:keepNext/>
              <w:numPr>
                <w:ilvl w:val="0"/>
                <w:numId w:val="8"/>
              </w:numPr>
              <w:rPr>
                <w:rFonts w:eastAsia="MS Mincho"/>
              </w:rPr>
            </w:pPr>
            <w:r w:rsidRPr="003C44D2">
              <w:rPr>
                <w:rFonts w:eastAsia="MS Mincho"/>
              </w:rPr>
              <w:t xml:space="preserve">Combination NRT (patch and gum/lozenge) for 10 weeks and 4 follow-up </w:t>
            </w:r>
            <w:r w:rsidR="009E7142" w:rsidRPr="003C44D2">
              <w:rPr>
                <w:rFonts w:eastAsia="MS Mincho"/>
              </w:rPr>
              <w:t>counselling</w:t>
            </w:r>
            <w:r w:rsidRPr="003C44D2">
              <w:rPr>
                <w:rFonts w:eastAsia="MS Mincho"/>
              </w:rPr>
              <w:t xml:space="preserve"> sessions</w:t>
            </w:r>
          </w:p>
          <w:p w14:paraId="5ECD2356" w14:textId="101F19EA" w:rsidR="003C44D2" w:rsidRPr="003C44D2" w:rsidRDefault="003C44D2" w:rsidP="00C324F3">
            <w:pPr>
              <w:pStyle w:val="Tablewriting"/>
              <w:keepNext/>
              <w:numPr>
                <w:ilvl w:val="0"/>
                <w:numId w:val="8"/>
              </w:numPr>
              <w:rPr>
                <w:rFonts w:eastAsia="MS Mincho"/>
              </w:rPr>
            </w:pPr>
            <w:r w:rsidRPr="003C44D2">
              <w:rPr>
                <w:rFonts w:eastAsia="MS Mincho"/>
              </w:rPr>
              <w:t xml:space="preserve">Combination NRT (patch and gum/lozenge) for 52 weeks and 6 follow-up </w:t>
            </w:r>
            <w:r w:rsidR="009E7142" w:rsidRPr="003C44D2">
              <w:rPr>
                <w:rFonts w:eastAsia="MS Mincho"/>
              </w:rPr>
              <w:t>counselling</w:t>
            </w:r>
            <w:r w:rsidRPr="003C44D2">
              <w:rPr>
                <w:rFonts w:eastAsia="MS Mincho"/>
              </w:rPr>
              <w:t xml:space="preserve"> sessions</w:t>
            </w:r>
          </w:p>
          <w:p w14:paraId="71811407" w14:textId="7ED17B7F" w:rsidR="001835D1" w:rsidRPr="00D11171" w:rsidRDefault="003C44D2" w:rsidP="00FF725F">
            <w:pPr>
              <w:pStyle w:val="Tablewriting"/>
              <w:keepNext/>
              <w:ind w:left="360"/>
              <w:rPr>
                <w:rFonts w:eastAsia="MS Mincho"/>
              </w:rPr>
            </w:pPr>
            <w:r w:rsidRPr="003C44D2">
              <w:rPr>
                <w:rFonts w:eastAsia="MS Mincho"/>
              </w:rPr>
              <w:t>*counselling included motivational techniques, setting a quit date and personalised quit plans</w:t>
            </w:r>
          </w:p>
        </w:tc>
        <w:tc>
          <w:tcPr>
            <w:tcW w:w="1094" w:type="pct"/>
            <w:shd w:val="clear" w:color="auto" w:fill="auto"/>
            <w:tcMar>
              <w:left w:w="28" w:type="dxa"/>
              <w:right w:w="28" w:type="dxa"/>
            </w:tcMar>
          </w:tcPr>
          <w:p w14:paraId="1D0BFCC7" w14:textId="77777777" w:rsidR="00386FCF" w:rsidRPr="00386FCF" w:rsidRDefault="00386FCF" w:rsidP="00386FCF">
            <w:pPr>
              <w:pStyle w:val="Tableheading"/>
              <w:autoSpaceDE w:val="0"/>
              <w:autoSpaceDN w:val="0"/>
              <w:adjustRightInd w:val="0"/>
              <w:rPr>
                <w:rFonts w:eastAsiaTheme="minorEastAsia" w:cs="Calibri"/>
                <w:b w:val="0"/>
                <w:u w:val="single"/>
              </w:rPr>
            </w:pPr>
            <w:r w:rsidRPr="00386FCF">
              <w:rPr>
                <w:rFonts w:eastAsiaTheme="minorEastAsia" w:cs="Calibri"/>
                <w:b w:val="0"/>
                <w:u w:val="single"/>
              </w:rPr>
              <w:t>Efficacy</w:t>
            </w:r>
          </w:p>
          <w:p w14:paraId="04D365DB" w14:textId="417F93B3" w:rsidR="0040273F" w:rsidRDefault="00386FCF" w:rsidP="00386FCF">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881D39">
              <w:rPr>
                <w:rFonts w:eastAsiaTheme="minorEastAsia" w:cs="Calibri"/>
                <w:b w:val="0"/>
              </w:rPr>
              <w:t xml:space="preserve"> </w:t>
            </w:r>
          </w:p>
          <w:p w14:paraId="6FED1058" w14:textId="112AA68E" w:rsidR="00386FCF" w:rsidRPr="00881D39" w:rsidRDefault="00386FCF" w:rsidP="00386FCF">
            <w:pPr>
              <w:pStyle w:val="Tableheading"/>
              <w:autoSpaceDE w:val="0"/>
              <w:autoSpaceDN w:val="0"/>
              <w:adjustRightInd w:val="0"/>
              <w:rPr>
                <w:rFonts w:eastAsiaTheme="minorEastAsia" w:cs="Calibri"/>
                <w:b w:val="0"/>
              </w:rPr>
            </w:pPr>
            <w:r w:rsidRPr="00881D39">
              <w:rPr>
                <w:rFonts w:eastAsiaTheme="minorEastAsia" w:cs="Calibri"/>
                <w:b w:val="0"/>
              </w:rPr>
              <w:t>12</w:t>
            </w:r>
            <w:r w:rsidR="0040273F">
              <w:rPr>
                <w:rFonts w:eastAsiaTheme="minorEastAsia" w:cs="Calibri"/>
                <w:b w:val="0"/>
              </w:rPr>
              <w:t xml:space="preserve"> </w:t>
            </w:r>
            <w:r w:rsidRPr="00881D39">
              <w:rPr>
                <w:rFonts w:eastAsiaTheme="minorEastAsia" w:cs="Calibri"/>
                <w:b w:val="0"/>
              </w:rPr>
              <w:t>mo</w:t>
            </w:r>
            <w:r w:rsidR="0040273F">
              <w:rPr>
                <w:rFonts w:eastAsiaTheme="minorEastAsia" w:cs="Calibri"/>
                <w:b w:val="0"/>
              </w:rPr>
              <w:t>nths</w:t>
            </w:r>
            <w:r w:rsidRPr="00881D39">
              <w:rPr>
                <w:rFonts w:eastAsiaTheme="minorEastAsia" w:cs="Calibri"/>
                <w:b w:val="0"/>
              </w:rPr>
              <w:t>, 7-day point prevalence of smoking abstinence verified by exhaled CO&lt;10</w:t>
            </w:r>
            <w:r w:rsidR="00FA4314">
              <w:rPr>
                <w:rFonts w:eastAsiaTheme="minorEastAsia" w:cs="Calibri"/>
                <w:b w:val="0"/>
              </w:rPr>
              <w:t xml:space="preserve"> </w:t>
            </w:r>
            <w:r w:rsidRPr="00881D39">
              <w:rPr>
                <w:rFonts w:eastAsiaTheme="minorEastAsia" w:cs="Calibri"/>
                <w:b w:val="0"/>
              </w:rPr>
              <w:t>ppm</w:t>
            </w:r>
            <w:r w:rsidR="00FA4314">
              <w:rPr>
                <w:rFonts w:eastAsiaTheme="minorEastAsia" w:cs="Calibri"/>
                <w:b w:val="0"/>
              </w:rPr>
              <w:t>.</w:t>
            </w:r>
          </w:p>
          <w:p w14:paraId="5674D9D7" w14:textId="56521943" w:rsidR="0040273F" w:rsidRDefault="00386FCF" w:rsidP="00386FCF">
            <w:pPr>
              <w:pStyle w:val="Tableheading"/>
              <w:autoSpaceDE w:val="0"/>
              <w:autoSpaceDN w:val="0"/>
              <w:adjustRightInd w:val="0"/>
              <w:rPr>
                <w:rFonts w:eastAsiaTheme="minorEastAsia" w:cs="Calibri"/>
                <w:b w:val="0"/>
              </w:rPr>
            </w:pPr>
            <w:r w:rsidRPr="00554906">
              <w:rPr>
                <w:rFonts w:eastAsiaTheme="minorEastAsia" w:cs="Calibri"/>
                <w:b w:val="0"/>
                <w:i/>
                <w:iCs/>
              </w:rPr>
              <w:t xml:space="preserve">Secondary </w:t>
            </w:r>
          </w:p>
          <w:p w14:paraId="7498E6B1" w14:textId="096BEC06" w:rsidR="00386FCF" w:rsidRPr="00881D39" w:rsidRDefault="00386FCF" w:rsidP="00386FCF">
            <w:pPr>
              <w:pStyle w:val="Tableheading"/>
              <w:autoSpaceDE w:val="0"/>
              <w:autoSpaceDN w:val="0"/>
              <w:adjustRightInd w:val="0"/>
              <w:rPr>
                <w:rFonts w:eastAsiaTheme="minorEastAsia" w:cs="Calibri"/>
                <w:b w:val="0"/>
              </w:rPr>
            </w:pPr>
            <w:r w:rsidRPr="00881D39">
              <w:rPr>
                <w:rFonts w:eastAsiaTheme="minorEastAsia" w:cs="Calibri"/>
                <w:b w:val="0"/>
              </w:rPr>
              <w:t>6</w:t>
            </w:r>
            <w:r w:rsidR="0040273F">
              <w:rPr>
                <w:rFonts w:eastAsiaTheme="minorEastAsia" w:cs="Calibri"/>
                <w:b w:val="0"/>
              </w:rPr>
              <w:t xml:space="preserve"> </w:t>
            </w:r>
            <w:r w:rsidRPr="00881D39">
              <w:rPr>
                <w:rFonts w:eastAsiaTheme="minorEastAsia" w:cs="Calibri"/>
                <w:b w:val="0"/>
              </w:rPr>
              <w:t>mo</w:t>
            </w:r>
            <w:r w:rsidR="0040273F">
              <w:rPr>
                <w:rFonts w:eastAsiaTheme="minorEastAsia" w:cs="Calibri"/>
                <w:b w:val="0"/>
              </w:rPr>
              <w:t>nths</w:t>
            </w:r>
            <w:r w:rsidRPr="00881D39">
              <w:rPr>
                <w:rFonts w:eastAsiaTheme="minorEastAsia" w:cs="Calibri"/>
                <w:b w:val="0"/>
              </w:rPr>
              <w:t xml:space="preserve"> sustained abstinence (CO-verified at 6</w:t>
            </w:r>
            <w:r w:rsidR="0040273F">
              <w:rPr>
                <w:rFonts w:eastAsiaTheme="minorEastAsia" w:cs="Calibri"/>
                <w:b w:val="0"/>
              </w:rPr>
              <w:t xml:space="preserve"> </w:t>
            </w:r>
            <w:r w:rsidR="009E7142" w:rsidRPr="00881D39">
              <w:rPr>
                <w:rFonts w:eastAsiaTheme="minorEastAsia" w:cs="Calibri"/>
                <w:b w:val="0"/>
              </w:rPr>
              <w:t>mo</w:t>
            </w:r>
            <w:r w:rsidR="009E7142">
              <w:rPr>
                <w:rFonts w:eastAsiaTheme="minorEastAsia" w:cs="Calibri"/>
                <w:b w:val="0"/>
              </w:rPr>
              <w:t>nths</w:t>
            </w:r>
            <w:r w:rsidRPr="00881D39">
              <w:rPr>
                <w:rFonts w:eastAsiaTheme="minorEastAsia" w:cs="Calibri"/>
                <w:b w:val="0"/>
              </w:rPr>
              <w:t xml:space="preserve"> &amp; 12 mo</w:t>
            </w:r>
            <w:r w:rsidR="0040273F">
              <w:rPr>
                <w:rFonts w:eastAsiaTheme="minorEastAsia" w:cs="Calibri"/>
                <w:b w:val="0"/>
              </w:rPr>
              <w:t>nths</w:t>
            </w:r>
            <w:r w:rsidRPr="00881D39">
              <w:rPr>
                <w:rFonts w:eastAsiaTheme="minorEastAsia" w:cs="Calibri"/>
                <w:b w:val="0"/>
              </w:rPr>
              <w:t>); cumulative number of quit attempts</w:t>
            </w:r>
          </w:p>
          <w:p w14:paraId="7FEA50BE" w14:textId="10954D02" w:rsidR="001835D1" w:rsidRPr="00320A67" w:rsidRDefault="00386FCF" w:rsidP="00386FC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881D39">
              <w:rPr>
                <w:rFonts w:eastAsiaTheme="minorEastAsia" w:cs="Calibri"/>
                <w:b w:val="0"/>
                <w:u w:val="single"/>
              </w:rPr>
              <w:t xml:space="preserve">: </w:t>
            </w:r>
            <w:r w:rsidRPr="00881D39">
              <w:rPr>
                <w:rFonts w:eastAsiaTheme="minorEastAsia" w:cs="Calibri"/>
                <w:b w:val="0"/>
              </w:rPr>
              <w:t>Cardiovascular events</w:t>
            </w:r>
            <w:r w:rsidR="00881D39">
              <w:rPr>
                <w:rFonts w:eastAsiaTheme="minorEastAsia" w:cs="Calibri"/>
                <w:b w:val="0"/>
              </w:rPr>
              <w:t>.</w:t>
            </w:r>
          </w:p>
        </w:tc>
      </w:tr>
      <w:tr w:rsidR="003A409B" w:rsidRPr="00061F78" w14:paraId="38C98CFB" w14:textId="77777777" w:rsidTr="00D0517F">
        <w:trPr>
          <w:trHeight w:val="99"/>
        </w:trPr>
        <w:tc>
          <w:tcPr>
            <w:tcW w:w="189" w:type="pct"/>
          </w:tcPr>
          <w:p w14:paraId="2B7FC7D6" w14:textId="2BE42E1A"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355AC820" w14:textId="5B0D6245"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Dedert 2018</w:t>
            </w:r>
          </w:p>
        </w:tc>
        <w:tc>
          <w:tcPr>
            <w:tcW w:w="379" w:type="pct"/>
            <w:shd w:val="clear" w:color="auto" w:fill="auto"/>
          </w:tcPr>
          <w:p w14:paraId="76BC34A9" w14:textId="3DEC98B5"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2D3D2AB6" w14:textId="3E6DBD6A" w:rsidR="001835D1" w:rsidRPr="001E2154" w:rsidRDefault="00681271"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03892156" w14:textId="77777777" w:rsidR="001835D1" w:rsidRDefault="00681271" w:rsidP="00693DA2">
            <w:pPr>
              <w:pStyle w:val="Tableheading"/>
              <w:autoSpaceDE w:val="0"/>
              <w:autoSpaceDN w:val="0"/>
              <w:adjustRightInd w:val="0"/>
              <w:rPr>
                <w:rFonts w:eastAsiaTheme="minorEastAsia" w:cs="Calibri"/>
                <w:b w:val="0"/>
              </w:rPr>
            </w:pPr>
            <w:r>
              <w:rPr>
                <w:rFonts w:eastAsiaTheme="minorEastAsia" w:cs="Calibri"/>
                <w:b w:val="0"/>
              </w:rPr>
              <w:t>81</w:t>
            </w:r>
          </w:p>
          <w:p w14:paraId="1208FDA7" w14:textId="6AA9DD59" w:rsidR="009400A3" w:rsidRDefault="009400A3" w:rsidP="00693DA2">
            <w:pPr>
              <w:pStyle w:val="Tableheading"/>
              <w:autoSpaceDE w:val="0"/>
              <w:autoSpaceDN w:val="0"/>
              <w:adjustRightInd w:val="0"/>
              <w:rPr>
                <w:rFonts w:eastAsiaTheme="minorEastAsia" w:cs="Calibri"/>
                <w:b w:val="0"/>
              </w:rPr>
            </w:pPr>
            <w:r>
              <w:rPr>
                <w:rFonts w:eastAsiaTheme="minorEastAsia" w:cs="Calibri"/>
                <w:b w:val="0"/>
              </w:rPr>
              <w:t>n=</w:t>
            </w:r>
            <w:r w:rsidR="00D72412">
              <w:rPr>
                <w:rFonts w:eastAsiaTheme="minorEastAsia" w:cs="Calibri"/>
                <w:b w:val="0"/>
              </w:rPr>
              <w:t>37</w:t>
            </w:r>
            <w:r>
              <w:rPr>
                <w:rFonts w:eastAsiaTheme="minorEastAsia" w:cs="Calibri"/>
                <w:b w:val="0"/>
              </w:rPr>
              <w:t xml:space="preserve"> (</w:t>
            </w:r>
            <w:r w:rsidR="0041384C">
              <w:rPr>
                <w:rFonts w:eastAsiaTheme="minorEastAsia" w:cs="Calibri"/>
                <w:b w:val="0"/>
              </w:rPr>
              <w:t>NRT</w:t>
            </w:r>
            <w:r>
              <w:rPr>
                <w:rFonts w:eastAsiaTheme="minorEastAsia" w:cs="Calibri"/>
                <w:b w:val="0"/>
              </w:rPr>
              <w:t>)</w:t>
            </w:r>
          </w:p>
          <w:p w14:paraId="1E9C5093" w14:textId="628EAF86" w:rsidR="0041384C" w:rsidRPr="001E2154" w:rsidRDefault="0041384C" w:rsidP="00693DA2">
            <w:pPr>
              <w:pStyle w:val="Tableheading"/>
              <w:autoSpaceDE w:val="0"/>
              <w:autoSpaceDN w:val="0"/>
              <w:adjustRightInd w:val="0"/>
              <w:rPr>
                <w:rFonts w:eastAsiaTheme="minorEastAsia" w:cs="Calibri"/>
                <w:b w:val="0"/>
              </w:rPr>
            </w:pPr>
            <w:r>
              <w:rPr>
                <w:rFonts w:eastAsiaTheme="minorEastAsia" w:cs="Calibri"/>
                <w:b w:val="0"/>
              </w:rPr>
              <w:t>n=</w:t>
            </w:r>
            <w:r w:rsidR="00D72412">
              <w:rPr>
                <w:rFonts w:eastAsiaTheme="minorEastAsia" w:cs="Calibri"/>
                <w:b w:val="0"/>
              </w:rPr>
              <w:t>44</w:t>
            </w:r>
            <w:r>
              <w:rPr>
                <w:rFonts w:eastAsiaTheme="minorEastAsia" w:cs="Calibri"/>
                <w:b w:val="0"/>
              </w:rPr>
              <w:t xml:space="preserve"> (placebo)</w:t>
            </w:r>
          </w:p>
        </w:tc>
        <w:tc>
          <w:tcPr>
            <w:tcW w:w="1142" w:type="pct"/>
            <w:shd w:val="clear" w:color="auto" w:fill="auto"/>
            <w:tcMar>
              <w:left w:w="28" w:type="dxa"/>
              <w:right w:w="28" w:type="dxa"/>
            </w:tcMar>
          </w:tcPr>
          <w:p w14:paraId="2148FA45" w14:textId="77777777" w:rsidR="009400A3" w:rsidRPr="009400A3"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Military veterans and civilian adult (18-70 years) smokers (&gt;9 per day) with interview-verified PTSD, from outpatient clinics, and willing to make a quit attempt and fluent in English.</w:t>
            </w:r>
          </w:p>
          <w:p w14:paraId="07B5E6D0" w14:textId="77777777" w:rsidR="009400A3" w:rsidRPr="009400A3"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Exclusion:</w:t>
            </w:r>
          </w:p>
          <w:p w14:paraId="6DCBE3AD" w14:textId="1BE9758E" w:rsidR="001835D1" w:rsidRPr="001E2154" w:rsidRDefault="009400A3" w:rsidP="009400A3">
            <w:pPr>
              <w:pStyle w:val="Tableheading"/>
              <w:autoSpaceDE w:val="0"/>
              <w:autoSpaceDN w:val="0"/>
              <w:adjustRightInd w:val="0"/>
              <w:rPr>
                <w:rFonts w:eastAsiaTheme="minorEastAsia" w:cs="Calibri"/>
                <w:b w:val="0"/>
              </w:rPr>
            </w:pPr>
            <w:r w:rsidRPr="009400A3">
              <w:rPr>
                <w:rFonts w:eastAsiaTheme="minorEastAsia" w:cs="Calibri"/>
                <w:b w:val="0"/>
              </w:rPr>
              <w:t xml:space="preserve">Non-cigarette forms of nicotine, pregnant, major unstable medical problems or medication regimens, current manic syndrome, psychotic disorder, current </w:t>
            </w:r>
            <w:r w:rsidR="004664D2" w:rsidRPr="009400A3">
              <w:rPr>
                <w:rFonts w:eastAsiaTheme="minorEastAsia" w:cs="Calibri"/>
                <w:b w:val="0"/>
              </w:rPr>
              <w:t>drug,</w:t>
            </w:r>
            <w:r w:rsidRPr="009400A3">
              <w:rPr>
                <w:rFonts w:eastAsiaTheme="minorEastAsia" w:cs="Calibri"/>
                <w:b w:val="0"/>
              </w:rPr>
              <w:t xml:space="preserve"> or alcohol use disorder, using bupropion or benzodiazepines.</w:t>
            </w:r>
          </w:p>
        </w:tc>
        <w:tc>
          <w:tcPr>
            <w:tcW w:w="808" w:type="pct"/>
            <w:shd w:val="clear" w:color="auto" w:fill="auto"/>
          </w:tcPr>
          <w:p w14:paraId="3BEBEFC7" w14:textId="61227DEC" w:rsidR="009400A3" w:rsidRPr="009400A3" w:rsidRDefault="009400A3" w:rsidP="00C324F3">
            <w:pPr>
              <w:pStyle w:val="Tablewriting"/>
              <w:keepNext/>
              <w:numPr>
                <w:ilvl w:val="0"/>
                <w:numId w:val="8"/>
              </w:numPr>
              <w:rPr>
                <w:rFonts w:eastAsia="MS Mincho"/>
              </w:rPr>
            </w:pPr>
            <w:r w:rsidRPr="009400A3">
              <w:rPr>
                <w:rFonts w:eastAsia="MS Mincho"/>
              </w:rPr>
              <w:t>21mg/24hour NRT patch daily, 3</w:t>
            </w:r>
            <w:r w:rsidR="00F515B5">
              <w:rPr>
                <w:rFonts w:eastAsia="MS Mincho"/>
              </w:rPr>
              <w:t>-</w:t>
            </w:r>
            <w:r w:rsidRPr="009400A3">
              <w:rPr>
                <w:rFonts w:eastAsia="MS Mincho"/>
              </w:rPr>
              <w:t>w</w:t>
            </w:r>
            <w:r w:rsidR="00F515B5">
              <w:rPr>
                <w:rFonts w:eastAsia="MS Mincho"/>
              </w:rPr>
              <w:t>ee</w:t>
            </w:r>
            <w:r w:rsidRPr="009400A3">
              <w:rPr>
                <w:rFonts w:eastAsia="MS Mincho"/>
              </w:rPr>
              <w:t xml:space="preserve">k prior to quit date </w:t>
            </w:r>
          </w:p>
          <w:p w14:paraId="655A7C22" w14:textId="77777777" w:rsidR="009400A3" w:rsidRPr="009400A3" w:rsidRDefault="009400A3" w:rsidP="00C324F3">
            <w:pPr>
              <w:pStyle w:val="Tablewriting"/>
              <w:keepNext/>
              <w:numPr>
                <w:ilvl w:val="0"/>
                <w:numId w:val="8"/>
              </w:numPr>
              <w:rPr>
                <w:rFonts w:eastAsia="MS Mincho"/>
              </w:rPr>
            </w:pPr>
            <w:r w:rsidRPr="009400A3">
              <w:rPr>
                <w:rFonts w:eastAsia="MS Mincho"/>
              </w:rPr>
              <w:t>Placebo patch daily, 3 wk prior to quit date</w:t>
            </w:r>
          </w:p>
          <w:p w14:paraId="5B591232" w14:textId="77777777" w:rsidR="009400A3" w:rsidRPr="009400A3" w:rsidRDefault="009400A3" w:rsidP="00FF725F">
            <w:pPr>
              <w:pStyle w:val="Tablewriting"/>
              <w:keepNext/>
              <w:rPr>
                <w:rFonts w:eastAsia="MS Mincho"/>
              </w:rPr>
            </w:pPr>
            <w:r w:rsidRPr="00554906">
              <w:rPr>
                <w:rFonts w:eastAsia="MS Mincho"/>
                <w:u w:val="single"/>
              </w:rPr>
              <w:t>Common elements</w:t>
            </w:r>
            <w:r w:rsidRPr="009400A3">
              <w:rPr>
                <w:rFonts w:eastAsia="MS Mincho"/>
              </w:rPr>
              <w:t>:</w:t>
            </w:r>
          </w:p>
          <w:p w14:paraId="031BECF2" w14:textId="77777777" w:rsidR="009400A3" w:rsidRPr="009400A3" w:rsidRDefault="009400A3" w:rsidP="00C324F3">
            <w:pPr>
              <w:pStyle w:val="Tablewriting"/>
              <w:keepNext/>
              <w:numPr>
                <w:ilvl w:val="0"/>
                <w:numId w:val="8"/>
              </w:numPr>
              <w:rPr>
                <w:rFonts w:eastAsia="MS Mincho"/>
              </w:rPr>
            </w:pPr>
            <w:r w:rsidRPr="009400A3">
              <w:rPr>
                <w:rFonts w:eastAsia="MS Mincho"/>
              </w:rPr>
              <w:t>Counselling</w:t>
            </w:r>
          </w:p>
          <w:p w14:paraId="615DBF27" w14:textId="77777777" w:rsidR="009400A3" w:rsidRPr="009400A3" w:rsidRDefault="009400A3" w:rsidP="00C324F3">
            <w:pPr>
              <w:pStyle w:val="Tablewriting"/>
              <w:keepNext/>
              <w:numPr>
                <w:ilvl w:val="0"/>
                <w:numId w:val="8"/>
              </w:numPr>
              <w:rPr>
                <w:rFonts w:eastAsia="MS Mincho"/>
              </w:rPr>
            </w:pPr>
            <w:r w:rsidRPr="009400A3">
              <w:rPr>
                <w:rFonts w:eastAsia="MS Mincho"/>
              </w:rPr>
              <w:t>Low nicotine cigarettes pre-quit phase</w:t>
            </w:r>
          </w:p>
          <w:p w14:paraId="647B20B2" w14:textId="77777777" w:rsidR="009400A3" w:rsidRPr="009400A3" w:rsidRDefault="009400A3" w:rsidP="00C324F3">
            <w:pPr>
              <w:pStyle w:val="Tablewriting"/>
              <w:keepNext/>
              <w:numPr>
                <w:ilvl w:val="0"/>
                <w:numId w:val="8"/>
              </w:numPr>
              <w:rPr>
                <w:rFonts w:eastAsia="MS Mincho"/>
              </w:rPr>
            </w:pPr>
            <w:r w:rsidRPr="009400A3">
              <w:rPr>
                <w:rFonts w:eastAsia="MS Mincho"/>
              </w:rPr>
              <w:t>Bupropion 1wk prior to quit date until study completion</w:t>
            </w:r>
          </w:p>
          <w:p w14:paraId="41EA609A" w14:textId="281A4F22" w:rsidR="001835D1" w:rsidRPr="00D11171" w:rsidRDefault="009400A3" w:rsidP="00C324F3">
            <w:pPr>
              <w:pStyle w:val="Tablewriting"/>
              <w:keepNext/>
              <w:numPr>
                <w:ilvl w:val="0"/>
                <w:numId w:val="8"/>
              </w:numPr>
              <w:rPr>
                <w:rFonts w:eastAsia="MS Mincho"/>
              </w:rPr>
            </w:pPr>
            <w:r w:rsidRPr="009400A3">
              <w:rPr>
                <w:rFonts w:eastAsia="MS Mincho"/>
              </w:rPr>
              <w:t>NRT for 6</w:t>
            </w:r>
            <w:r w:rsidR="004664D2" w:rsidRPr="009400A3">
              <w:rPr>
                <w:rFonts w:eastAsia="MS Mincho"/>
              </w:rPr>
              <w:t>wks (</w:t>
            </w:r>
            <w:r w:rsidRPr="009400A3">
              <w:rPr>
                <w:rFonts w:eastAsia="MS Mincho"/>
              </w:rPr>
              <w:t>patch: 21mg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14mg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7</w:t>
            </w:r>
            <w:r w:rsidR="006E016C">
              <w:rPr>
                <w:rFonts w:eastAsia="MS Mincho"/>
              </w:rPr>
              <w:t xml:space="preserve"> </w:t>
            </w:r>
            <w:r w:rsidRPr="009400A3">
              <w:rPr>
                <w:rFonts w:eastAsia="MS Mincho"/>
              </w:rPr>
              <w:t>mg 2</w:t>
            </w:r>
            <w:r w:rsidR="006E016C">
              <w:rPr>
                <w:rFonts w:eastAsia="MS Mincho"/>
              </w:rPr>
              <w:t xml:space="preserve"> </w:t>
            </w:r>
            <w:r w:rsidRPr="009400A3">
              <w:rPr>
                <w:rFonts w:eastAsia="MS Mincho"/>
              </w:rPr>
              <w:t>w</w:t>
            </w:r>
            <w:r w:rsidR="006E016C">
              <w:rPr>
                <w:rFonts w:eastAsia="MS Mincho"/>
              </w:rPr>
              <w:t>ee</w:t>
            </w:r>
            <w:r w:rsidRPr="009400A3">
              <w:rPr>
                <w:rFonts w:eastAsia="MS Mincho"/>
              </w:rPr>
              <w:t>ks and rescue NRT (gum/lozenge) as required)</w:t>
            </w:r>
          </w:p>
        </w:tc>
        <w:tc>
          <w:tcPr>
            <w:tcW w:w="1094" w:type="pct"/>
            <w:shd w:val="clear" w:color="auto" w:fill="auto"/>
            <w:tcMar>
              <w:left w:w="28" w:type="dxa"/>
              <w:right w:w="28" w:type="dxa"/>
            </w:tcMar>
          </w:tcPr>
          <w:p w14:paraId="2AD89195" w14:textId="269FF403" w:rsidR="00FC60E5" w:rsidRDefault="009400A3" w:rsidP="009400A3">
            <w:pPr>
              <w:pStyle w:val="Tableheading"/>
              <w:autoSpaceDE w:val="0"/>
              <w:autoSpaceDN w:val="0"/>
              <w:adjustRightInd w:val="0"/>
              <w:rPr>
                <w:rFonts w:eastAsiaTheme="minorEastAsia" w:cs="Calibri"/>
                <w:b w:val="0"/>
              </w:rPr>
            </w:pPr>
            <w:r w:rsidRPr="00554906">
              <w:rPr>
                <w:rFonts w:eastAsiaTheme="minorEastAsia" w:cs="Calibri"/>
                <w:b w:val="0"/>
                <w:i/>
                <w:iCs/>
              </w:rPr>
              <w:t>Primary</w:t>
            </w:r>
            <w:r w:rsidRPr="00554906">
              <w:rPr>
                <w:rFonts w:eastAsiaTheme="minorEastAsia" w:cs="Calibri"/>
                <w:b w:val="0"/>
              </w:rPr>
              <w:t xml:space="preserve"> </w:t>
            </w:r>
          </w:p>
          <w:p w14:paraId="3FC9E277" w14:textId="0D1D7E72" w:rsidR="009400A3" w:rsidRPr="00554906" w:rsidRDefault="009400A3" w:rsidP="009400A3">
            <w:pPr>
              <w:pStyle w:val="Tableheading"/>
              <w:autoSpaceDE w:val="0"/>
              <w:autoSpaceDN w:val="0"/>
              <w:adjustRightInd w:val="0"/>
              <w:rPr>
                <w:rFonts w:eastAsiaTheme="minorEastAsia" w:cs="Calibri"/>
                <w:b w:val="0"/>
              </w:rPr>
            </w:pPr>
            <w:r w:rsidRPr="00554906">
              <w:rPr>
                <w:rFonts w:eastAsiaTheme="minorEastAsia" w:cs="Calibri"/>
                <w:b w:val="0"/>
              </w:rPr>
              <w:t>6</w:t>
            </w:r>
            <w:r w:rsidR="00FC60E5">
              <w:rPr>
                <w:rFonts w:eastAsiaTheme="minorEastAsia" w:cs="Calibri"/>
                <w:b w:val="0"/>
              </w:rPr>
              <w:t xml:space="preserve"> </w:t>
            </w:r>
            <w:r w:rsidRPr="00554906">
              <w:rPr>
                <w:rFonts w:eastAsiaTheme="minorEastAsia" w:cs="Calibri"/>
                <w:b w:val="0"/>
              </w:rPr>
              <w:t>w</w:t>
            </w:r>
            <w:r w:rsidR="00FC60E5">
              <w:rPr>
                <w:rFonts w:eastAsiaTheme="minorEastAsia" w:cs="Calibri"/>
                <w:b w:val="0"/>
              </w:rPr>
              <w:t>ee</w:t>
            </w:r>
            <w:r w:rsidRPr="00554906">
              <w:rPr>
                <w:rFonts w:eastAsiaTheme="minorEastAsia" w:cs="Calibri"/>
                <w:b w:val="0"/>
              </w:rPr>
              <w:t>k 7-day self-reported abstinence verified by exhaled CO &lt;4</w:t>
            </w:r>
            <w:r w:rsidR="00FA4314">
              <w:rPr>
                <w:rFonts w:eastAsiaTheme="minorEastAsia" w:cs="Calibri"/>
                <w:b w:val="0"/>
              </w:rPr>
              <w:t xml:space="preserve"> </w:t>
            </w:r>
            <w:r w:rsidRPr="00554906">
              <w:rPr>
                <w:rFonts w:eastAsiaTheme="minorEastAsia" w:cs="Calibri"/>
                <w:b w:val="0"/>
              </w:rPr>
              <w:t>ppm</w:t>
            </w:r>
            <w:r w:rsidR="00FC60E5">
              <w:rPr>
                <w:rFonts w:eastAsiaTheme="minorEastAsia" w:cs="Calibri"/>
                <w:b w:val="0"/>
              </w:rPr>
              <w:t>.</w:t>
            </w:r>
          </w:p>
          <w:p w14:paraId="6437DE6C" w14:textId="6160D44E" w:rsidR="00FC60E5" w:rsidRPr="00554906" w:rsidRDefault="009400A3" w:rsidP="009400A3">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5788DE6B" w14:textId="3A7E9912" w:rsidR="001835D1" w:rsidRPr="00320A67" w:rsidRDefault="009400A3" w:rsidP="009400A3">
            <w:pPr>
              <w:pStyle w:val="Tableheading"/>
              <w:autoSpaceDE w:val="0"/>
              <w:autoSpaceDN w:val="0"/>
              <w:adjustRightInd w:val="0"/>
              <w:rPr>
                <w:rFonts w:eastAsiaTheme="minorEastAsia" w:cs="Calibri"/>
                <w:b w:val="0"/>
                <w:u w:val="single"/>
              </w:rPr>
            </w:pPr>
            <w:r w:rsidRPr="00554906">
              <w:rPr>
                <w:rFonts w:eastAsiaTheme="minorEastAsia" w:cs="Calibri"/>
                <w:b w:val="0"/>
              </w:rPr>
              <w:t>6mo 7-day self-reported abstinence verified by exhaled CO &lt;</w:t>
            </w:r>
            <w:r w:rsidR="00FA4314">
              <w:rPr>
                <w:rFonts w:eastAsiaTheme="minorEastAsia" w:cs="Calibri"/>
                <w:b w:val="0"/>
              </w:rPr>
              <w:t xml:space="preserve"> </w:t>
            </w:r>
            <w:r w:rsidRPr="00554906">
              <w:rPr>
                <w:rFonts w:eastAsiaTheme="minorEastAsia" w:cs="Calibri"/>
                <w:b w:val="0"/>
              </w:rPr>
              <w:t>4ppm</w:t>
            </w:r>
            <w:r w:rsidR="00FC60E5">
              <w:rPr>
                <w:rFonts w:eastAsiaTheme="minorEastAsia" w:cs="Calibri"/>
                <w:b w:val="0"/>
              </w:rPr>
              <w:t>.</w:t>
            </w:r>
          </w:p>
        </w:tc>
      </w:tr>
      <w:tr w:rsidR="003A409B" w:rsidRPr="00061F78" w14:paraId="0D6BEDE2" w14:textId="77777777" w:rsidTr="00D0517F">
        <w:trPr>
          <w:trHeight w:val="99"/>
        </w:trPr>
        <w:tc>
          <w:tcPr>
            <w:tcW w:w="189" w:type="pct"/>
          </w:tcPr>
          <w:p w14:paraId="0F89CFFB" w14:textId="1CA32522"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2E187970" w14:textId="1C3099D2" w:rsidR="001835D1" w:rsidRPr="001E2154" w:rsidRDefault="00D72412" w:rsidP="00693DA2">
            <w:pPr>
              <w:pStyle w:val="Tableheading"/>
              <w:autoSpaceDE w:val="0"/>
              <w:autoSpaceDN w:val="0"/>
              <w:adjustRightInd w:val="0"/>
              <w:rPr>
                <w:rFonts w:eastAsiaTheme="minorEastAsia" w:cs="Calibri"/>
                <w:b w:val="0"/>
              </w:rPr>
            </w:pPr>
            <w:r>
              <w:rPr>
                <w:rFonts w:eastAsiaTheme="minorEastAsia" w:cs="Calibri"/>
                <w:b w:val="0"/>
              </w:rPr>
              <w:t>Benowitz 2018</w:t>
            </w:r>
          </w:p>
        </w:tc>
        <w:tc>
          <w:tcPr>
            <w:tcW w:w="379" w:type="pct"/>
            <w:shd w:val="clear" w:color="auto" w:fill="auto"/>
          </w:tcPr>
          <w:p w14:paraId="7BF78C95" w14:textId="6D3D338E" w:rsidR="001835D1" w:rsidRPr="001E2154" w:rsidRDefault="00D72412"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62D93A98" w14:textId="7322F2CA" w:rsidR="001835D1" w:rsidRPr="001E2154" w:rsidRDefault="00985E64" w:rsidP="00693DA2">
            <w:pPr>
              <w:pStyle w:val="Tableheading"/>
              <w:autoSpaceDE w:val="0"/>
              <w:autoSpaceDN w:val="0"/>
              <w:adjustRightInd w:val="0"/>
              <w:rPr>
                <w:rFonts w:eastAsiaTheme="minorEastAsia" w:cs="Calibri"/>
                <w:b w:val="0"/>
              </w:rPr>
            </w:pPr>
            <w:r w:rsidRPr="00985E64">
              <w:rPr>
                <w:rFonts w:eastAsiaTheme="minorEastAsia" w:cs="Calibri"/>
                <w:b w:val="0"/>
              </w:rPr>
              <w:t xml:space="preserve">USA, Australia, Canada, Denmark, Finland, Germany, New Zealand, South Africa, Spain, </w:t>
            </w:r>
            <w:r w:rsidRPr="00985E64">
              <w:rPr>
                <w:rFonts w:eastAsiaTheme="minorEastAsia" w:cs="Calibri"/>
                <w:b w:val="0"/>
              </w:rPr>
              <w:lastRenderedPageBreak/>
              <w:t>Bulgaria, Russian Federation, Slovakia, Argentina, Brazil, Chile, and Mexico</w:t>
            </w:r>
          </w:p>
        </w:tc>
        <w:tc>
          <w:tcPr>
            <w:tcW w:w="516" w:type="pct"/>
            <w:shd w:val="clear" w:color="auto" w:fill="auto"/>
            <w:tcMar>
              <w:left w:w="28" w:type="dxa"/>
              <w:right w:w="28" w:type="dxa"/>
            </w:tcMar>
          </w:tcPr>
          <w:p w14:paraId="03A1DEF7" w14:textId="77777777" w:rsidR="00985E64" w:rsidRPr="00985E64"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lastRenderedPageBreak/>
              <w:t>EAGLES: 8058</w:t>
            </w:r>
          </w:p>
          <w:p w14:paraId="207E9C37" w14:textId="77777777" w:rsidR="001835D1"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t>EAGLES Extension: 4595</w:t>
            </w:r>
          </w:p>
          <w:p w14:paraId="14F528A8" w14:textId="77777777" w:rsidR="000A5831" w:rsidRDefault="000A5831" w:rsidP="00985E64">
            <w:pPr>
              <w:pStyle w:val="Tableheading"/>
              <w:autoSpaceDE w:val="0"/>
              <w:autoSpaceDN w:val="0"/>
              <w:adjustRightInd w:val="0"/>
              <w:rPr>
                <w:rFonts w:eastAsiaTheme="minorEastAsia" w:cs="Calibri"/>
                <w:b w:val="0"/>
              </w:rPr>
            </w:pPr>
            <w:r>
              <w:rPr>
                <w:rFonts w:eastAsiaTheme="minorEastAsia" w:cs="Calibri"/>
                <w:b w:val="0"/>
              </w:rPr>
              <w:t>n=</w:t>
            </w:r>
            <w:r w:rsidR="00642FF8">
              <w:rPr>
                <w:rFonts w:eastAsiaTheme="minorEastAsia" w:cs="Calibri"/>
                <w:b w:val="0"/>
              </w:rPr>
              <w:t>2022 (NRT)</w:t>
            </w:r>
          </w:p>
          <w:p w14:paraId="342EE597" w14:textId="619B21F0" w:rsidR="00642FF8" w:rsidRDefault="00642FF8" w:rsidP="00985E64">
            <w:pPr>
              <w:pStyle w:val="Tableheading"/>
              <w:autoSpaceDE w:val="0"/>
              <w:autoSpaceDN w:val="0"/>
              <w:adjustRightInd w:val="0"/>
              <w:rPr>
                <w:rFonts w:eastAsiaTheme="minorEastAsia" w:cs="Calibri"/>
                <w:b w:val="0"/>
              </w:rPr>
            </w:pPr>
            <w:r>
              <w:rPr>
                <w:rFonts w:eastAsiaTheme="minorEastAsia" w:cs="Calibri"/>
                <w:b w:val="0"/>
              </w:rPr>
              <w:t>n=</w:t>
            </w:r>
            <w:r w:rsidR="00F476D3">
              <w:rPr>
                <w:rFonts w:eastAsiaTheme="minorEastAsia" w:cs="Calibri"/>
                <w:b w:val="0"/>
              </w:rPr>
              <w:t>2016</w:t>
            </w:r>
            <w:r>
              <w:rPr>
                <w:rFonts w:eastAsiaTheme="minorEastAsia" w:cs="Calibri"/>
                <w:b w:val="0"/>
              </w:rPr>
              <w:t xml:space="preserve"> (varenicline)</w:t>
            </w:r>
          </w:p>
          <w:p w14:paraId="42A9CCD5" w14:textId="53A7A910" w:rsidR="00642FF8" w:rsidRPr="001E2154" w:rsidRDefault="00642FF8" w:rsidP="00985E64">
            <w:pPr>
              <w:pStyle w:val="Tableheading"/>
              <w:autoSpaceDE w:val="0"/>
              <w:autoSpaceDN w:val="0"/>
              <w:adjustRightInd w:val="0"/>
              <w:rPr>
                <w:rFonts w:eastAsiaTheme="minorEastAsia" w:cs="Calibri"/>
                <w:b w:val="0"/>
              </w:rPr>
            </w:pPr>
            <w:r>
              <w:rPr>
                <w:rFonts w:eastAsiaTheme="minorEastAsia" w:cs="Calibri"/>
                <w:b w:val="0"/>
              </w:rPr>
              <w:t xml:space="preserve">n= </w:t>
            </w:r>
            <w:r w:rsidR="00F476D3">
              <w:rPr>
                <w:rFonts w:eastAsiaTheme="minorEastAsia" w:cs="Calibri"/>
                <w:b w:val="0"/>
              </w:rPr>
              <w:t xml:space="preserve">2014 </w:t>
            </w:r>
            <w:r>
              <w:rPr>
                <w:rFonts w:eastAsiaTheme="minorEastAsia" w:cs="Calibri"/>
                <w:b w:val="0"/>
              </w:rPr>
              <w:t>(placebo)</w:t>
            </w:r>
          </w:p>
        </w:tc>
        <w:tc>
          <w:tcPr>
            <w:tcW w:w="1142" w:type="pct"/>
            <w:shd w:val="clear" w:color="auto" w:fill="auto"/>
            <w:tcMar>
              <w:left w:w="28" w:type="dxa"/>
              <w:right w:w="28" w:type="dxa"/>
            </w:tcMar>
          </w:tcPr>
          <w:p w14:paraId="1AE935D7" w14:textId="3260AC55" w:rsidR="00985E64" w:rsidRPr="00985E64" w:rsidRDefault="009E7142" w:rsidP="00985E64">
            <w:pPr>
              <w:pStyle w:val="Tableheading"/>
              <w:autoSpaceDE w:val="0"/>
              <w:autoSpaceDN w:val="0"/>
              <w:adjustRightInd w:val="0"/>
              <w:rPr>
                <w:rFonts w:eastAsiaTheme="minorEastAsia" w:cs="Calibri"/>
                <w:b w:val="0"/>
              </w:rPr>
            </w:pPr>
            <w:r w:rsidRPr="00985E64">
              <w:rPr>
                <w:rFonts w:eastAsiaTheme="minorEastAsia" w:cs="Calibri"/>
                <w:b w:val="0"/>
              </w:rPr>
              <w:t>Adults (</w:t>
            </w:r>
            <w:r w:rsidR="00985E64" w:rsidRPr="00985E64">
              <w:rPr>
                <w:rFonts w:eastAsiaTheme="minorEastAsia" w:cs="Calibri"/>
                <w:b w:val="0"/>
              </w:rPr>
              <w:t>18 to 75 years), smokers (10 or more CPD), motivated to quit</w:t>
            </w:r>
            <w:r w:rsidRPr="00985E64">
              <w:rPr>
                <w:rFonts w:eastAsiaTheme="minorEastAsia" w:cs="Calibri"/>
                <w:b w:val="0"/>
              </w:rPr>
              <w:t>, randomized</w:t>
            </w:r>
            <w:r w:rsidR="00985E64" w:rsidRPr="00985E64">
              <w:rPr>
                <w:rFonts w:eastAsiaTheme="minorEastAsia" w:cs="Calibri"/>
                <w:b w:val="0"/>
              </w:rPr>
              <w:t xml:space="preserve"> to treatment in—and had completed the week 24 visit of—EAGLES. By definition, these participants met the inclusion or exclusion criteria for EAGLES. Participants were eligible for inclusion if they stopped study medication prematurely during EAGLES, so long </w:t>
            </w:r>
            <w:r w:rsidR="00985E64" w:rsidRPr="00985E64">
              <w:rPr>
                <w:rFonts w:eastAsiaTheme="minorEastAsia" w:cs="Calibri"/>
                <w:b w:val="0"/>
              </w:rPr>
              <w:lastRenderedPageBreak/>
              <w:t xml:space="preserve">as they had completed all EAGLES study visits. </w:t>
            </w:r>
          </w:p>
          <w:p w14:paraId="0723EBA3" w14:textId="501A88A6" w:rsidR="001835D1" w:rsidRPr="001E2154" w:rsidRDefault="00985E64" w:rsidP="00985E64">
            <w:pPr>
              <w:pStyle w:val="Tableheading"/>
              <w:autoSpaceDE w:val="0"/>
              <w:autoSpaceDN w:val="0"/>
              <w:adjustRightInd w:val="0"/>
              <w:rPr>
                <w:rFonts w:eastAsiaTheme="minorEastAsia" w:cs="Calibri"/>
                <w:b w:val="0"/>
              </w:rPr>
            </w:pPr>
            <w:r w:rsidRPr="00985E64">
              <w:rPr>
                <w:rFonts w:eastAsiaTheme="minorEastAsia" w:cs="Calibri"/>
                <w:b w:val="0"/>
              </w:rPr>
              <w:t>Exclusions: unstable psychiatric illness, active substance abuse, clinically significant CVD in the 2 months prior to study entry (</w:t>
            </w:r>
            <w:r w:rsidR="004664D2" w:rsidRPr="00985E64">
              <w:rPr>
                <w:rFonts w:eastAsiaTheme="minorEastAsia" w:cs="Calibri"/>
                <w:b w:val="0"/>
              </w:rPr>
              <w:t>e.g.</w:t>
            </w:r>
            <w:r w:rsidRPr="00985E64">
              <w:rPr>
                <w:rFonts w:eastAsiaTheme="minorEastAsia" w:cs="Calibri"/>
                <w:b w:val="0"/>
              </w:rPr>
              <w:t>, MI or coronary artery bypass graft), clinically significant cerebrovascular disease in the 2 months prior to study entry (</w:t>
            </w:r>
            <w:r w:rsidR="004664D2" w:rsidRPr="00985E64">
              <w:rPr>
                <w:rFonts w:eastAsiaTheme="minorEastAsia" w:cs="Calibri"/>
                <w:b w:val="0"/>
              </w:rPr>
              <w:t>e.g.</w:t>
            </w:r>
            <w:r w:rsidRPr="00985E64">
              <w:rPr>
                <w:rFonts w:eastAsiaTheme="minorEastAsia" w:cs="Calibri"/>
                <w:b w:val="0"/>
              </w:rPr>
              <w:t>, stroke or documented transient ischemic attack), or inadequate control of hypertension as judged by investigators at screening and baseline.</w:t>
            </w:r>
          </w:p>
        </w:tc>
        <w:tc>
          <w:tcPr>
            <w:tcW w:w="808" w:type="pct"/>
            <w:shd w:val="clear" w:color="auto" w:fill="auto"/>
          </w:tcPr>
          <w:p w14:paraId="1CA08F92" w14:textId="0489F1B7" w:rsidR="000A5831" w:rsidRPr="000A5831" w:rsidRDefault="000A5831" w:rsidP="00C324F3">
            <w:pPr>
              <w:pStyle w:val="Tablewriting"/>
              <w:keepNext/>
              <w:numPr>
                <w:ilvl w:val="0"/>
                <w:numId w:val="8"/>
              </w:numPr>
              <w:rPr>
                <w:rFonts w:eastAsia="MS Mincho"/>
              </w:rPr>
            </w:pPr>
            <w:r w:rsidRPr="000A5831">
              <w:rPr>
                <w:rFonts w:eastAsia="MS Mincho"/>
              </w:rPr>
              <w:lastRenderedPageBreak/>
              <w:t>Varenicline, 1</w:t>
            </w:r>
            <w:r w:rsidR="00A1651B">
              <w:rPr>
                <w:rFonts w:eastAsia="MS Mincho"/>
              </w:rPr>
              <w:t xml:space="preserve"> </w:t>
            </w:r>
            <w:r w:rsidRPr="000A5831">
              <w:rPr>
                <w:rFonts w:eastAsia="MS Mincho"/>
              </w:rPr>
              <w:t>mg bd, 12 w</w:t>
            </w:r>
            <w:r w:rsidR="006E016C">
              <w:rPr>
                <w:rFonts w:eastAsia="MS Mincho"/>
              </w:rPr>
              <w:t>ee</w:t>
            </w:r>
            <w:r w:rsidRPr="000A5831">
              <w:rPr>
                <w:rFonts w:eastAsia="MS Mincho"/>
              </w:rPr>
              <w:t xml:space="preserve">ks; </w:t>
            </w:r>
          </w:p>
          <w:p w14:paraId="56B0A33D" w14:textId="3B0AA1B8" w:rsidR="000A5831" w:rsidRPr="000A5831" w:rsidRDefault="000A5831" w:rsidP="00C324F3">
            <w:pPr>
              <w:pStyle w:val="Tablewriting"/>
              <w:keepNext/>
              <w:numPr>
                <w:ilvl w:val="0"/>
                <w:numId w:val="8"/>
              </w:numPr>
              <w:rPr>
                <w:rFonts w:eastAsia="MS Mincho"/>
              </w:rPr>
            </w:pPr>
            <w:r w:rsidRPr="000A5831">
              <w:rPr>
                <w:rFonts w:eastAsia="MS Mincho"/>
              </w:rPr>
              <w:t>Bupropion 150</w:t>
            </w:r>
            <w:r w:rsidR="00A1651B">
              <w:rPr>
                <w:rFonts w:eastAsia="MS Mincho"/>
              </w:rPr>
              <w:t xml:space="preserve"> </w:t>
            </w:r>
            <w:r w:rsidRPr="000A5831">
              <w:rPr>
                <w:rFonts w:eastAsia="MS Mincho"/>
              </w:rPr>
              <w:t>mg bd, 12</w:t>
            </w:r>
            <w:r w:rsidR="006E016C">
              <w:rPr>
                <w:rFonts w:eastAsia="MS Mincho"/>
              </w:rPr>
              <w:t xml:space="preserve"> </w:t>
            </w:r>
            <w:r w:rsidRPr="000A5831">
              <w:rPr>
                <w:rFonts w:eastAsia="MS Mincho"/>
              </w:rPr>
              <w:t>w</w:t>
            </w:r>
            <w:r w:rsidR="006E016C">
              <w:rPr>
                <w:rFonts w:eastAsia="MS Mincho"/>
              </w:rPr>
              <w:t>ee</w:t>
            </w:r>
            <w:r w:rsidRPr="000A5831">
              <w:rPr>
                <w:rFonts w:eastAsia="MS Mincho"/>
              </w:rPr>
              <w:t>ks</w:t>
            </w:r>
          </w:p>
          <w:p w14:paraId="517334C6" w14:textId="022818F2" w:rsidR="000A5831" w:rsidRPr="000A5831" w:rsidRDefault="000A5831" w:rsidP="00C324F3">
            <w:pPr>
              <w:pStyle w:val="Tablewriting"/>
              <w:keepNext/>
              <w:numPr>
                <w:ilvl w:val="0"/>
                <w:numId w:val="8"/>
              </w:numPr>
              <w:rPr>
                <w:rFonts w:eastAsia="MS Mincho"/>
              </w:rPr>
            </w:pPr>
            <w:r w:rsidRPr="000A5831">
              <w:rPr>
                <w:rFonts w:eastAsia="MS Mincho"/>
              </w:rPr>
              <w:t>NRT patch, 12</w:t>
            </w:r>
            <w:r w:rsidR="006E016C">
              <w:rPr>
                <w:rFonts w:eastAsia="MS Mincho"/>
              </w:rPr>
              <w:t xml:space="preserve"> </w:t>
            </w:r>
            <w:r w:rsidRPr="000A5831">
              <w:rPr>
                <w:rFonts w:eastAsia="MS Mincho"/>
              </w:rPr>
              <w:t>w</w:t>
            </w:r>
            <w:r w:rsidR="006E016C">
              <w:rPr>
                <w:rFonts w:eastAsia="MS Mincho"/>
              </w:rPr>
              <w:t>ee</w:t>
            </w:r>
            <w:r w:rsidRPr="000A5831">
              <w:rPr>
                <w:rFonts w:eastAsia="MS Mincho"/>
              </w:rPr>
              <w:t>ks, 21</w:t>
            </w:r>
            <w:r w:rsidR="006E016C">
              <w:rPr>
                <w:rFonts w:eastAsia="MS Mincho"/>
              </w:rPr>
              <w:t xml:space="preserve"> </w:t>
            </w:r>
            <w:r w:rsidRPr="000A5831">
              <w:rPr>
                <w:rFonts w:eastAsia="MS Mincho"/>
              </w:rPr>
              <w:t>mg dose tapered down</w:t>
            </w:r>
          </w:p>
          <w:p w14:paraId="4BBC730F" w14:textId="781CBC5B" w:rsidR="000A5831" w:rsidRPr="000A5831" w:rsidRDefault="000A5831" w:rsidP="00C324F3">
            <w:pPr>
              <w:pStyle w:val="Tablewriting"/>
              <w:keepNext/>
              <w:numPr>
                <w:ilvl w:val="0"/>
                <w:numId w:val="8"/>
              </w:numPr>
              <w:rPr>
                <w:rFonts w:eastAsia="MS Mincho"/>
              </w:rPr>
            </w:pPr>
            <w:r w:rsidRPr="000A5831">
              <w:rPr>
                <w:rFonts w:eastAsia="MS Mincho"/>
              </w:rPr>
              <w:t>Placebo, 12 w</w:t>
            </w:r>
            <w:r w:rsidR="006E016C">
              <w:rPr>
                <w:rFonts w:eastAsia="MS Mincho"/>
              </w:rPr>
              <w:t>ee</w:t>
            </w:r>
            <w:r w:rsidRPr="000A5831">
              <w:rPr>
                <w:rFonts w:eastAsia="MS Mincho"/>
              </w:rPr>
              <w:t>ks</w:t>
            </w:r>
          </w:p>
          <w:p w14:paraId="1796EC34" w14:textId="77777777" w:rsidR="000A5831" w:rsidRPr="00554906" w:rsidRDefault="000A5831" w:rsidP="00FF725F">
            <w:pPr>
              <w:pStyle w:val="Tablewriting"/>
              <w:keepNext/>
              <w:rPr>
                <w:rFonts w:eastAsia="MS Mincho"/>
                <w:u w:val="single"/>
              </w:rPr>
            </w:pPr>
            <w:r w:rsidRPr="00554906">
              <w:rPr>
                <w:rFonts w:eastAsia="MS Mincho"/>
                <w:u w:val="single"/>
              </w:rPr>
              <w:t>Common elements</w:t>
            </w:r>
          </w:p>
          <w:p w14:paraId="0813810B" w14:textId="13F053FF" w:rsidR="001835D1" w:rsidRPr="00D11171" w:rsidRDefault="000A5831" w:rsidP="00C324F3">
            <w:pPr>
              <w:pStyle w:val="Tablewriting"/>
              <w:keepNext/>
              <w:numPr>
                <w:ilvl w:val="0"/>
                <w:numId w:val="8"/>
              </w:numPr>
              <w:rPr>
                <w:rFonts w:eastAsia="MS Mincho"/>
              </w:rPr>
            </w:pPr>
            <w:r w:rsidRPr="000A5831">
              <w:rPr>
                <w:rFonts w:eastAsia="MS Mincho"/>
              </w:rPr>
              <w:t xml:space="preserve">Smoking cessation counselling </w:t>
            </w:r>
            <w:r w:rsidRPr="000A5831">
              <w:rPr>
                <w:rFonts w:eastAsia="MS Mincho"/>
              </w:rPr>
              <w:lastRenderedPageBreak/>
              <w:t>consisting of 10 minute sessions at each of the 15 clinic visits, totalling 2 hours and 30 minutes</w:t>
            </w:r>
          </w:p>
        </w:tc>
        <w:tc>
          <w:tcPr>
            <w:tcW w:w="1094" w:type="pct"/>
            <w:shd w:val="clear" w:color="auto" w:fill="auto"/>
            <w:tcMar>
              <w:left w:w="28" w:type="dxa"/>
              <w:right w:w="28" w:type="dxa"/>
            </w:tcMar>
          </w:tcPr>
          <w:p w14:paraId="17B7B5CD" w14:textId="7805D13A" w:rsidR="000A5831" w:rsidRPr="000A5831" w:rsidRDefault="000A5831" w:rsidP="000A5831">
            <w:pPr>
              <w:pStyle w:val="Tableheading"/>
              <w:autoSpaceDE w:val="0"/>
              <w:autoSpaceDN w:val="0"/>
              <w:adjustRightInd w:val="0"/>
              <w:rPr>
                <w:rFonts w:eastAsiaTheme="minorEastAsia" w:cs="Calibri"/>
                <w:b w:val="0"/>
                <w:u w:val="single"/>
              </w:rPr>
            </w:pPr>
            <w:r>
              <w:rPr>
                <w:rFonts w:eastAsiaTheme="minorEastAsia" w:cs="Calibri"/>
                <w:b w:val="0"/>
                <w:u w:val="single"/>
              </w:rPr>
              <w:lastRenderedPageBreak/>
              <w:t>Safety</w:t>
            </w:r>
          </w:p>
          <w:p w14:paraId="7DC62AC6" w14:textId="66B34D84"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 xml:space="preserve">MACE (time to major CV Event during treatment, </w:t>
            </w:r>
            <w:r w:rsidR="004664D2" w:rsidRPr="00DD7C0B">
              <w:rPr>
                <w:rFonts w:eastAsiaTheme="minorEastAsia" w:cs="Calibri"/>
                <w:b w:val="0"/>
              </w:rPr>
              <w:t>i.e.,</w:t>
            </w:r>
            <w:r w:rsidRPr="00DD7C0B">
              <w:rPr>
                <w:rFonts w:eastAsiaTheme="minorEastAsia" w:cs="Calibri"/>
                <w:b w:val="0"/>
              </w:rPr>
              <w:t xml:space="preserve"> CV death, nonfatal MI, nonfatal stroke)</w:t>
            </w:r>
          </w:p>
          <w:p w14:paraId="3663DBB3" w14:textId="77777777"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MACE (treatment-emergent)</w:t>
            </w:r>
          </w:p>
          <w:p w14:paraId="2FF03FEA" w14:textId="25212D31"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MACE (end-of-study, w</w:t>
            </w:r>
            <w:r w:rsidR="00FA4314">
              <w:rPr>
                <w:rFonts w:eastAsiaTheme="minorEastAsia" w:cs="Calibri"/>
                <w:b w:val="0"/>
              </w:rPr>
              <w:t>ee</w:t>
            </w:r>
            <w:r w:rsidRPr="00DD7C0B">
              <w:rPr>
                <w:rFonts w:eastAsiaTheme="minorEastAsia" w:cs="Calibri"/>
                <w:b w:val="0"/>
              </w:rPr>
              <w:t>k</w:t>
            </w:r>
            <w:r w:rsidR="00FA4314">
              <w:rPr>
                <w:rFonts w:eastAsiaTheme="minorEastAsia" w:cs="Calibri"/>
                <w:b w:val="0"/>
              </w:rPr>
              <w:t xml:space="preserve"> </w:t>
            </w:r>
            <w:r w:rsidRPr="00DD7C0B">
              <w:rPr>
                <w:rFonts w:eastAsiaTheme="minorEastAsia" w:cs="Calibri"/>
                <w:b w:val="0"/>
              </w:rPr>
              <w:t>52 for extension study and 24</w:t>
            </w:r>
            <w:r w:rsidR="00FA4314">
              <w:rPr>
                <w:rFonts w:eastAsiaTheme="minorEastAsia" w:cs="Calibri"/>
                <w:b w:val="0"/>
              </w:rPr>
              <w:t xml:space="preserve"> </w:t>
            </w:r>
            <w:r w:rsidRPr="00DD7C0B">
              <w:rPr>
                <w:rFonts w:eastAsiaTheme="minorEastAsia" w:cs="Calibri"/>
                <w:b w:val="0"/>
              </w:rPr>
              <w:t>w</w:t>
            </w:r>
            <w:r w:rsidR="00FA4314">
              <w:rPr>
                <w:rFonts w:eastAsiaTheme="minorEastAsia" w:cs="Calibri"/>
                <w:b w:val="0"/>
              </w:rPr>
              <w:t>ee</w:t>
            </w:r>
            <w:r w:rsidRPr="00DD7C0B">
              <w:rPr>
                <w:rFonts w:eastAsiaTheme="minorEastAsia" w:cs="Calibri"/>
                <w:b w:val="0"/>
              </w:rPr>
              <w:t>k for others)</w:t>
            </w:r>
          </w:p>
          <w:p w14:paraId="2ED0BE57" w14:textId="77777777" w:rsidR="000A5831" w:rsidRPr="00554906" w:rsidRDefault="000A5831" w:rsidP="000A5831">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66B6C1E2" w14:textId="3E27C22F"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lastRenderedPageBreak/>
              <w:t>Occurrence of MACE</w:t>
            </w:r>
            <w:r w:rsidR="00FA4314">
              <w:rPr>
                <w:rFonts w:eastAsiaTheme="minorEastAsia" w:cs="Calibri"/>
                <w:b w:val="0"/>
              </w:rPr>
              <w:t>, e</w:t>
            </w:r>
            <w:r w:rsidRPr="00DD7C0B">
              <w:rPr>
                <w:rFonts w:eastAsiaTheme="minorEastAsia" w:cs="Calibri"/>
                <w:b w:val="0"/>
              </w:rPr>
              <w:t>valuation of MACE+ (</w:t>
            </w:r>
            <w:r w:rsidR="004664D2" w:rsidRPr="00DD7C0B">
              <w:rPr>
                <w:rFonts w:eastAsiaTheme="minorEastAsia" w:cs="Calibri"/>
                <w:b w:val="0"/>
              </w:rPr>
              <w:t>i.e.,</w:t>
            </w:r>
            <w:r w:rsidRPr="00DD7C0B">
              <w:rPr>
                <w:rFonts w:eastAsiaTheme="minorEastAsia" w:cs="Calibri"/>
                <w:b w:val="0"/>
              </w:rPr>
              <w:t xml:space="preserve"> </w:t>
            </w:r>
            <w:r w:rsidR="004664D2" w:rsidRPr="00DD7C0B">
              <w:rPr>
                <w:rFonts w:eastAsiaTheme="minorEastAsia" w:cs="Calibri"/>
                <w:b w:val="0"/>
              </w:rPr>
              <w:t>new,</w:t>
            </w:r>
            <w:r w:rsidRPr="00DD7C0B">
              <w:rPr>
                <w:rFonts w:eastAsiaTheme="minorEastAsia" w:cs="Calibri"/>
                <w:b w:val="0"/>
              </w:rPr>
              <w:t xml:space="preserve"> or worsening PVD)</w:t>
            </w:r>
          </w:p>
          <w:p w14:paraId="03A3C945" w14:textId="5A781732" w:rsidR="000A5831" w:rsidRPr="00DD7C0B" w:rsidRDefault="000A5831" w:rsidP="000A5831">
            <w:pPr>
              <w:pStyle w:val="Tableheading"/>
              <w:autoSpaceDE w:val="0"/>
              <w:autoSpaceDN w:val="0"/>
              <w:adjustRightInd w:val="0"/>
              <w:rPr>
                <w:rFonts w:eastAsiaTheme="minorEastAsia" w:cs="Calibri"/>
                <w:b w:val="0"/>
              </w:rPr>
            </w:pPr>
            <w:r w:rsidRPr="00DD7C0B">
              <w:rPr>
                <w:rFonts w:eastAsiaTheme="minorEastAsia" w:cs="Calibri"/>
                <w:b w:val="0"/>
              </w:rPr>
              <w:t>CV deaths</w:t>
            </w:r>
            <w:r w:rsidR="00FA4314">
              <w:rPr>
                <w:rFonts w:eastAsiaTheme="minorEastAsia" w:cs="Calibri"/>
                <w:b w:val="0"/>
              </w:rPr>
              <w:t xml:space="preserve">, </w:t>
            </w:r>
            <w:r w:rsidRPr="00DD7C0B">
              <w:rPr>
                <w:rFonts w:eastAsiaTheme="minorEastAsia" w:cs="Calibri"/>
                <w:b w:val="0"/>
              </w:rPr>
              <w:t>nonfatal MI</w:t>
            </w:r>
            <w:r w:rsidR="00FF4C28">
              <w:rPr>
                <w:rFonts w:eastAsiaTheme="minorEastAsia" w:cs="Calibri"/>
                <w:b w:val="0"/>
              </w:rPr>
              <w:t xml:space="preserve">, </w:t>
            </w:r>
            <w:r w:rsidRPr="00DD7C0B">
              <w:rPr>
                <w:rFonts w:eastAsiaTheme="minorEastAsia" w:cs="Calibri"/>
                <w:b w:val="0"/>
              </w:rPr>
              <w:t>nonfatal stroke</w:t>
            </w:r>
          </w:p>
          <w:p w14:paraId="6F4A38A4" w14:textId="78E44F65" w:rsidR="001835D1" w:rsidRPr="00320A67" w:rsidRDefault="000A5831" w:rsidP="000A5831">
            <w:pPr>
              <w:pStyle w:val="Tableheading"/>
              <w:autoSpaceDE w:val="0"/>
              <w:autoSpaceDN w:val="0"/>
              <w:adjustRightInd w:val="0"/>
              <w:rPr>
                <w:rFonts w:eastAsiaTheme="minorEastAsia" w:cs="Calibri"/>
                <w:b w:val="0"/>
                <w:u w:val="single"/>
              </w:rPr>
            </w:pPr>
            <w:r w:rsidRPr="00DD7C0B">
              <w:rPr>
                <w:rFonts w:eastAsiaTheme="minorEastAsia" w:cs="Calibri"/>
                <w:b w:val="0"/>
              </w:rPr>
              <w:t>Hospitalisations for CHF</w:t>
            </w:r>
            <w:r w:rsidR="00FF4C28">
              <w:rPr>
                <w:rFonts w:eastAsiaTheme="minorEastAsia" w:cs="Calibri"/>
                <w:b w:val="0"/>
              </w:rPr>
              <w:t>.</w:t>
            </w:r>
          </w:p>
        </w:tc>
      </w:tr>
      <w:tr w:rsidR="003A409B" w:rsidRPr="00061F78" w14:paraId="5F3FC5BA" w14:textId="77777777" w:rsidTr="00D0517F">
        <w:trPr>
          <w:trHeight w:val="99"/>
        </w:trPr>
        <w:tc>
          <w:tcPr>
            <w:tcW w:w="189" w:type="pct"/>
          </w:tcPr>
          <w:p w14:paraId="5864529E" w14:textId="3EFD4909"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16FE02AA" w14:textId="7186B896" w:rsidR="001835D1" w:rsidRPr="001E2154" w:rsidRDefault="00F476D3" w:rsidP="00693DA2">
            <w:pPr>
              <w:pStyle w:val="Tableheading"/>
              <w:autoSpaceDE w:val="0"/>
              <w:autoSpaceDN w:val="0"/>
              <w:adjustRightInd w:val="0"/>
              <w:rPr>
                <w:rFonts w:eastAsiaTheme="minorEastAsia" w:cs="Calibri"/>
                <w:b w:val="0"/>
              </w:rPr>
            </w:pPr>
            <w:r>
              <w:rPr>
                <w:rFonts w:eastAsiaTheme="minorEastAsia" w:cs="Calibri"/>
                <w:b w:val="0"/>
              </w:rPr>
              <w:t>Rohsenow 2017</w:t>
            </w:r>
          </w:p>
        </w:tc>
        <w:tc>
          <w:tcPr>
            <w:tcW w:w="379" w:type="pct"/>
            <w:shd w:val="clear" w:color="auto" w:fill="auto"/>
          </w:tcPr>
          <w:p w14:paraId="29B8FAF1" w14:textId="21B1A4B4" w:rsidR="001835D1" w:rsidRPr="001E2154" w:rsidRDefault="00F476D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387FB875" w14:textId="5B765A7F" w:rsidR="001835D1" w:rsidRPr="001E2154" w:rsidRDefault="00137DFA"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16D4303B" w14:textId="009C4276" w:rsidR="001835D1" w:rsidRPr="001E2154" w:rsidRDefault="00137DFA" w:rsidP="00693DA2">
            <w:pPr>
              <w:pStyle w:val="Tableheading"/>
              <w:autoSpaceDE w:val="0"/>
              <w:autoSpaceDN w:val="0"/>
              <w:adjustRightInd w:val="0"/>
              <w:rPr>
                <w:rFonts w:eastAsiaTheme="minorEastAsia" w:cs="Calibri"/>
                <w:b w:val="0"/>
              </w:rPr>
            </w:pPr>
            <w:r>
              <w:rPr>
                <w:rFonts w:eastAsiaTheme="minorEastAsia" w:cs="Calibri"/>
                <w:b w:val="0"/>
              </w:rPr>
              <w:t>137</w:t>
            </w:r>
          </w:p>
        </w:tc>
        <w:tc>
          <w:tcPr>
            <w:tcW w:w="1142" w:type="pct"/>
            <w:shd w:val="clear" w:color="auto" w:fill="auto"/>
            <w:tcMar>
              <w:left w:w="28" w:type="dxa"/>
              <w:right w:w="28" w:type="dxa"/>
            </w:tcMar>
          </w:tcPr>
          <w:p w14:paraId="781586B7" w14:textId="26342577" w:rsidR="00137DFA" w:rsidRPr="00137DFA" w:rsidRDefault="00137DFA" w:rsidP="00137DFA">
            <w:pPr>
              <w:pStyle w:val="Tableheading"/>
              <w:autoSpaceDE w:val="0"/>
              <w:autoSpaceDN w:val="0"/>
              <w:adjustRightInd w:val="0"/>
              <w:rPr>
                <w:rFonts w:eastAsiaTheme="minorEastAsia" w:cs="Calibri"/>
                <w:b w:val="0"/>
              </w:rPr>
            </w:pPr>
            <w:r w:rsidRPr="00137DFA">
              <w:rPr>
                <w:rFonts w:eastAsiaTheme="minorEastAsia" w:cs="Calibri"/>
                <w:b w:val="0"/>
              </w:rPr>
              <w:t>Adult (18-75yrs) smokers (10+ CPD for the past 6</w:t>
            </w:r>
            <w:r w:rsidR="00E4625C">
              <w:rPr>
                <w:rFonts w:eastAsiaTheme="minorEastAsia" w:cs="Calibri"/>
                <w:b w:val="0"/>
              </w:rPr>
              <w:t xml:space="preserve"> </w:t>
            </w:r>
            <w:r w:rsidRPr="00137DFA">
              <w:rPr>
                <w:rFonts w:eastAsiaTheme="minorEastAsia" w:cs="Calibri"/>
                <w:b w:val="0"/>
              </w:rPr>
              <w:t>mo</w:t>
            </w:r>
            <w:r w:rsidR="00E4625C">
              <w:rPr>
                <w:rFonts w:eastAsiaTheme="minorEastAsia" w:cs="Calibri"/>
                <w:b w:val="0"/>
              </w:rPr>
              <w:t>nths</w:t>
            </w:r>
            <w:r w:rsidRPr="00137DFA">
              <w:rPr>
                <w:rFonts w:eastAsiaTheme="minorEastAsia" w:cs="Calibri"/>
                <w:b w:val="0"/>
              </w:rPr>
              <w:t xml:space="preserve">) with SUD diagnosis and enrolled in any out-patient SUD treatment. Did not need to be motivated to quit </w:t>
            </w:r>
          </w:p>
          <w:p w14:paraId="6CDE1CC7" w14:textId="5ABD9D89" w:rsidR="00137DFA" w:rsidRPr="00137DFA" w:rsidRDefault="00137DFA" w:rsidP="00137DFA">
            <w:pPr>
              <w:pStyle w:val="Tableheading"/>
              <w:autoSpaceDE w:val="0"/>
              <w:autoSpaceDN w:val="0"/>
              <w:adjustRightInd w:val="0"/>
              <w:rPr>
                <w:rFonts w:eastAsiaTheme="minorEastAsia" w:cs="Calibri"/>
                <w:b w:val="0"/>
              </w:rPr>
            </w:pPr>
            <w:r w:rsidRPr="00554906">
              <w:rPr>
                <w:rFonts w:eastAsiaTheme="minorEastAsia" w:cs="Calibri"/>
                <w:b w:val="0"/>
                <w:u w:val="single"/>
              </w:rPr>
              <w:t>Exclusions</w:t>
            </w:r>
            <w:r w:rsidRPr="00137DFA">
              <w:rPr>
                <w:rFonts w:eastAsiaTheme="minorEastAsia" w:cs="Calibri"/>
                <w:b w:val="0"/>
              </w:rPr>
              <w:t xml:space="preserve">: </w:t>
            </w:r>
          </w:p>
          <w:p w14:paraId="654B0519" w14:textId="4FC3080D" w:rsidR="001835D1" w:rsidRPr="001E2154" w:rsidRDefault="00137DFA" w:rsidP="00137DFA">
            <w:pPr>
              <w:pStyle w:val="Tableheading"/>
              <w:autoSpaceDE w:val="0"/>
              <w:autoSpaceDN w:val="0"/>
              <w:adjustRightInd w:val="0"/>
              <w:rPr>
                <w:rFonts w:eastAsiaTheme="minorEastAsia" w:cs="Calibri"/>
                <w:b w:val="0"/>
              </w:rPr>
            </w:pPr>
            <w:r w:rsidRPr="00137DFA">
              <w:rPr>
                <w:rFonts w:eastAsiaTheme="minorEastAsia" w:cs="Calibri"/>
                <w:b w:val="0"/>
              </w:rPr>
              <w:t>Evidence of hallucinations or delusions</w:t>
            </w:r>
            <w:r w:rsidR="009E7142" w:rsidRPr="00137DFA">
              <w:rPr>
                <w:rFonts w:eastAsiaTheme="minorEastAsia" w:cs="Calibri"/>
                <w:b w:val="0"/>
              </w:rPr>
              <w:t>, current</w:t>
            </w:r>
            <w:r w:rsidRPr="00137DFA">
              <w:rPr>
                <w:rFonts w:eastAsiaTheme="minorEastAsia" w:cs="Calibri"/>
                <w:b w:val="0"/>
              </w:rPr>
              <w:t xml:space="preserve"> smoking cessation treatment, contraindications for either medication (such as pregnancy, uncontrolled </w:t>
            </w:r>
            <w:r w:rsidR="004664D2" w:rsidRPr="00137DFA">
              <w:rPr>
                <w:rFonts w:eastAsiaTheme="minorEastAsia" w:cs="Calibri"/>
                <w:b w:val="0"/>
              </w:rPr>
              <w:t>hypertension,</w:t>
            </w:r>
            <w:r w:rsidRPr="00137DFA">
              <w:rPr>
                <w:rFonts w:eastAsiaTheme="minorEastAsia" w:cs="Calibri"/>
                <w:b w:val="0"/>
              </w:rPr>
              <w:t xml:space="preserve"> or severe renal impairment), using medications affected by smoking cessation (antipsychotics, warfarin, </w:t>
            </w:r>
            <w:r w:rsidR="004664D2" w:rsidRPr="00137DFA">
              <w:rPr>
                <w:rFonts w:eastAsiaTheme="minorEastAsia" w:cs="Calibri"/>
                <w:b w:val="0"/>
              </w:rPr>
              <w:t>theophylline,</w:t>
            </w:r>
            <w:r w:rsidRPr="00137DFA">
              <w:rPr>
                <w:rFonts w:eastAsiaTheme="minorEastAsia" w:cs="Calibri"/>
                <w:b w:val="0"/>
              </w:rPr>
              <w:t xml:space="preserve"> and insulin), suicidal plan or attempts in past 5 yrs, not willing to try to quit smoking and substance use reported on the day of </w:t>
            </w:r>
            <w:r w:rsidRPr="00137DFA">
              <w:rPr>
                <w:rFonts w:eastAsiaTheme="minorEastAsia" w:cs="Calibri"/>
                <w:b w:val="0"/>
              </w:rPr>
              <w:lastRenderedPageBreak/>
              <w:t>or before recruitment or positive breath alcohol at recruitment.</w:t>
            </w:r>
          </w:p>
        </w:tc>
        <w:tc>
          <w:tcPr>
            <w:tcW w:w="808" w:type="pct"/>
            <w:shd w:val="clear" w:color="auto" w:fill="auto"/>
          </w:tcPr>
          <w:p w14:paraId="2F8BE6E3" w14:textId="74A0ABB1" w:rsidR="00137DFA" w:rsidRPr="00137DFA" w:rsidRDefault="00137DFA" w:rsidP="00C324F3">
            <w:pPr>
              <w:pStyle w:val="Tablewriting"/>
              <w:keepNext/>
              <w:numPr>
                <w:ilvl w:val="0"/>
                <w:numId w:val="8"/>
              </w:numPr>
              <w:rPr>
                <w:rFonts w:eastAsia="MS Mincho"/>
              </w:rPr>
            </w:pPr>
            <w:r w:rsidRPr="00137DFA">
              <w:rPr>
                <w:rFonts w:eastAsia="MS Mincho"/>
              </w:rPr>
              <w:lastRenderedPageBreak/>
              <w:t>Varenicline, 1</w:t>
            </w:r>
            <w:r w:rsidR="00DB7A7C">
              <w:rPr>
                <w:rFonts w:eastAsia="MS Mincho"/>
              </w:rPr>
              <w:t xml:space="preserve"> </w:t>
            </w:r>
            <w:r w:rsidRPr="00137DFA">
              <w:rPr>
                <w:rFonts w:eastAsia="MS Mincho"/>
              </w:rPr>
              <w:t>mg bd, 12 w</w:t>
            </w:r>
            <w:r w:rsidR="00DB7A7C">
              <w:rPr>
                <w:rFonts w:eastAsia="MS Mincho"/>
              </w:rPr>
              <w:t>ee</w:t>
            </w:r>
            <w:r w:rsidRPr="00137DFA">
              <w:rPr>
                <w:rFonts w:eastAsia="MS Mincho"/>
              </w:rPr>
              <w:t>ks with 1 week titrated dose prior to quit date</w:t>
            </w:r>
          </w:p>
          <w:p w14:paraId="25255B5F" w14:textId="4167C3A5" w:rsidR="00137DFA" w:rsidRPr="00137DFA" w:rsidRDefault="00137DFA" w:rsidP="00C324F3">
            <w:pPr>
              <w:pStyle w:val="Tablewriting"/>
              <w:keepNext/>
              <w:numPr>
                <w:ilvl w:val="0"/>
                <w:numId w:val="8"/>
              </w:numPr>
              <w:rPr>
                <w:rFonts w:eastAsia="MS Mincho"/>
              </w:rPr>
            </w:pPr>
            <w:r w:rsidRPr="00137DFA">
              <w:rPr>
                <w:rFonts w:eastAsia="MS Mincho"/>
              </w:rPr>
              <w:t>NRT patch, 12 weeks, 21</w:t>
            </w:r>
            <w:r w:rsidR="00A1651B">
              <w:rPr>
                <w:rFonts w:eastAsia="MS Mincho"/>
              </w:rPr>
              <w:t xml:space="preserve"> </w:t>
            </w:r>
            <w:r w:rsidRPr="00137DFA">
              <w:rPr>
                <w:rFonts w:eastAsia="MS Mincho"/>
              </w:rPr>
              <w:t>mg/24hours, dose tapered down</w:t>
            </w:r>
          </w:p>
          <w:p w14:paraId="252F1B3D" w14:textId="77777777" w:rsidR="00137DFA" w:rsidRPr="00137DFA" w:rsidRDefault="00137DFA" w:rsidP="00FF725F">
            <w:pPr>
              <w:pStyle w:val="Tablewriting"/>
              <w:keepNext/>
              <w:rPr>
                <w:rFonts w:eastAsia="MS Mincho"/>
              </w:rPr>
            </w:pPr>
            <w:r w:rsidRPr="00554906">
              <w:rPr>
                <w:rFonts w:eastAsia="MS Mincho"/>
                <w:u w:val="single"/>
              </w:rPr>
              <w:t>Common elements</w:t>
            </w:r>
            <w:r w:rsidRPr="00137DFA">
              <w:rPr>
                <w:rFonts w:eastAsia="MS Mincho"/>
              </w:rPr>
              <w:t>:</w:t>
            </w:r>
          </w:p>
          <w:p w14:paraId="0A0F7CBB" w14:textId="1B34B0D4" w:rsidR="001835D1" w:rsidRPr="00D11171" w:rsidRDefault="00137DFA" w:rsidP="00C324F3">
            <w:pPr>
              <w:pStyle w:val="Tablewriting"/>
              <w:keepNext/>
              <w:numPr>
                <w:ilvl w:val="0"/>
                <w:numId w:val="8"/>
              </w:numPr>
              <w:rPr>
                <w:rFonts w:eastAsia="MS Mincho"/>
              </w:rPr>
            </w:pPr>
            <w:r w:rsidRPr="00137DFA">
              <w:rPr>
                <w:rFonts w:eastAsia="MS Mincho"/>
              </w:rPr>
              <w:t>Brief advice sessions (pre-quit, quit day, 8 weekly 5-10 minute sessions)</w:t>
            </w:r>
          </w:p>
        </w:tc>
        <w:tc>
          <w:tcPr>
            <w:tcW w:w="1094" w:type="pct"/>
            <w:shd w:val="clear" w:color="auto" w:fill="auto"/>
            <w:tcMar>
              <w:left w:w="28" w:type="dxa"/>
              <w:right w:w="28" w:type="dxa"/>
            </w:tcMar>
          </w:tcPr>
          <w:p w14:paraId="0157716E" w14:textId="1FDA08D5" w:rsidR="00137DFA" w:rsidRPr="00137DFA" w:rsidRDefault="00137DFA" w:rsidP="00137DFA">
            <w:pPr>
              <w:pStyle w:val="Tableheading"/>
              <w:autoSpaceDE w:val="0"/>
              <w:autoSpaceDN w:val="0"/>
              <w:adjustRightInd w:val="0"/>
              <w:rPr>
                <w:rFonts w:eastAsiaTheme="minorEastAsia" w:cs="Calibri"/>
                <w:b w:val="0"/>
                <w:u w:val="single"/>
              </w:rPr>
            </w:pPr>
            <w:r w:rsidRPr="00137DFA">
              <w:rPr>
                <w:rFonts w:eastAsiaTheme="minorEastAsia" w:cs="Calibri"/>
                <w:b w:val="0"/>
                <w:u w:val="single"/>
              </w:rPr>
              <w:t>Efficacy</w:t>
            </w:r>
            <w:r w:rsidR="00F95EF8">
              <w:rPr>
                <w:rFonts w:eastAsiaTheme="minorEastAsia" w:cs="Calibri"/>
                <w:b w:val="0"/>
                <w:u w:val="single"/>
              </w:rPr>
              <w:t>:</w:t>
            </w:r>
          </w:p>
          <w:p w14:paraId="7DA24908" w14:textId="77777777" w:rsidR="00F95EF8" w:rsidRDefault="00137DFA" w:rsidP="00137DFA">
            <w:pPr>
              <w:pStyle w:val="Tableheading"/>
              <w:autoSpaceDE w:val="0"/>
              <w:autoSpaceDN w:val="0"/>
              <w:adjustRightInd w:val="0"/>
              <w:rPr>
                <w:rFonts w:eastAsiaTheme="minorEastAsia" w:cs="Calibri"/>
                <w:b w:val="0"/>
              </w:rPr>
            </w:pPr>
            <w:r w:rsidRPr="00554906">
              <w:rPr>
                <w:rFonts w:eastAsiaTheme="minorEastAsia" w:cs="Calibri"/>
                <w:b w:val="0"/>
                <w:i/>
                <w:iCs/>
              </w:rPr>
              <w:t>Primary</w:t>
            </w:r>
          </w:p>
          <w:p w14:paraId="12A741C2" w14:textId="6B894C2A" w:rsidR="00137DFA" w:rsidRPr="003A352C" w:rsidRDefault="00137DFA" w:rsidP="00137DFA">
            <w:pPr>
              <w:pStyle w:val="Tableheading"/>
              <w:autoSpaceDE w:val="0"/>
              <w:autoSpaceDN w:val="0"/>
              <w:adjustRightInd w:val="0"/>
              <w:rPr>
                <w:rFonts w:eastAsiaTheme="minorEastAsia" w:cs="Calibri"/>
                <w:b w:val="0"/>
              </w:rPr>
            </w:pPr>
            <w:r w:rsidRPr="003A352C">
              <w:rPr>
                <w:rFonts w:eastAsiaTheme="minorEastAsia" w:cs="Calibri"/>
                <w:b w:val="0"/>
              </w:rPr>
              <w:t>7-day PPA, CO-confirmed (&lt;=4ppm and salivary cotinine &lt;=15ng/mL), 3 mo</w:t>
            </w:r>
            <w:r w:rsidR="00FF4C28">
              <w:rPr>
                <w:rFonts w:eastAsiaTheme="minorEastAsia" w:cs="Calibri"/>
                <w:b w:val="0"/>
              </w:rPr>
              <w:t>nths.</w:t>
            </w:r>
          </w:p>
          <w:p w14:paraId="77E4E76D" w14:textId="77777777" w:rsidR="00F95EF8" w:rsidRPr="00554906" w:rsidRDefault="00137DFA" w:rsidP="00137DFA">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35927D2E" w14:textId="3829DA98" w:rsidR="00137DFA" w:rsidRPr="003A352C" w:rsidRDefault="00137DFA" w:rsidP="00137DFA">
            <w:pPr>
              <w:pStyle w:val="Tableheading"/>
              <w:autoSpaceDE w:val="0"/>
              <w:autoSpaceDN w:val="0"/>
              <w:adjustRightInd w:val="0"/>
              <w:rPr>
                <w:rFonts w:eastAsiaTheme="minorEastAsia" w:cs="Calibri"/>
                <w:b w:val="0"/>
              </w:rPr>
            </w:pPr>
            <w:r w:rsidRPr="003A352C">
              <w:rPr>
                <w:rFonts w:eastAsiaTheme="minorEastAsia" w:cs="Calibri"/>
                <w:b w:val="0"/>
              </w:rPr>
              <w:t xml:space="preserve">7-day confirmed </w:t>
            </w:r>
            <w:r w:rsidR="004664D2" w:rsidRPr="003A352C">
              <w:rPr>
                <w:rFonts w:eastAsiaTheme="minorEastAsia" w:cs="Calibri"/>
                <w:b w:val="0"/>
              </w:rPr>
              <w:t>PPA, 6</w:t>
            </w:r>
            <w:r w:rsidRPr="003A352C">
              <w:rPr>
                <w:rFonts w:eastAsiaTheme="minorEastAsia" w:cs="Calibri"/>
                <w:b w:val="0"/>
              </w:rPr>
              <w:t xml:space="preserve"> mo</w:t>
            </w:r>
            <w:r w:rsidR="009E7142">
              <w:rPr>
                <w:rFonts w:eastAsiaTheme="minorEastAsia" w:cs="Calibri"/>
                <w:b w:val="0"/>
              </w:rPr>
              <w:t>nth</w:t>
            </w:r>
          </w:p>
          <w:p w14:paraId="0F30D3F3" w14:textId="52402B47" w:rsidR="001835D1" w:rsidRPr="00320A67" w:rsidRDefault="00137DFA" w:rsidP="00137DFA">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u w:val="single"/>
              </w:rPr>
              <w:t>:</w:t>
            </w:r>
            <w:r w:rsidR="00F95EF8">
              <w:rPr>
                <w:rFonts w:eastAsiaTheme="minorEastAsia" w:cs="Calibri"/>
                <w:b w:val="0"/>
              </w:rPr>
              <w:t xml:space="preserve"> </w:t>
            </w:r>
            <w:r w:rsidRPr="003A352C">
              <w:rPr>
                <w:rFonts w:eastAsiaTheme="minorEastAsia" w:cs="Calibri"/>
                <w:b w:val="0"/>
              </w:rPr>
              <w:t>Beck Depression Inventory (BDI)</w:t>
            </w:r>
            <w:r w:rsidR="00F95EF8">
              <w:rPr>
                <w:rFonts w:eastAsiaTheme="minorEastAsia" w:cs="Calibri"/>
                <w:b w:val="0"/>
              </w:rPr>
              <w:t xml:space="preserve">, </w:t>
            </w:r>
            <w:r w:rsidRPr="003A352C">
              <w:rPr>
                <w:rFonts w:eastAsiaTheme="minorEastAsia" w:cs="Calibri"/>
                <w:b w:val="0"/>
              </w:rPr>
              <w:t>AEs</w:t>
            </w:r>
            <w:r w:rsidR="00F95EF8">
              <w:rPr>
                <w:rFonts w:eastAsiaTheme="minorEastAsia" w:cs="Calibri"/>
                <w:b w:val="0"/>
              </w:rPr>
              <w:t>.</w:t>
            </w:r>
          </w:p>
        </w:tc>
      </w:tr>
      <w:tr w:rsidR="003A409B" w:rsidRPr="00061F78" w14:paraId="357BC9E2" w14:textId="77777777" w:rsidTr="00D0517F">
        <w:trPr>
          <w:trHeight w:val="99"/>
        </w:trPr>
        <w:tc>
          <w:tcPr>
            <w:tcW w:w="189" w:type="pct"/>
          </w:tcPr>
          <w:p w14:paraId="06B9390F" w14:textId="2E9F108B"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143F6F12" w14:textId="4AB46CA8" w:rsidR="001835D1" w:rsidRPr="001E2154" w:rsidRDefault="0030465C" w:rsidP="00693DA2">
            <w:pPr>
              <w:pStyle w:val="Tableheading"/>
              <w:autoSpaceDE w:val="0"/>
              <w:autoSpaceDN w:val="0"/>
              <w:adjustRightInd w:val="0"/>
              <w:rPr>
                <w:rFonts w:eastAsiaTheme="minorEastAsia" w:cs="Calibri"/>
                <w:b w:val="0"/>
              </w:rPr>
            </w:pPr>
            <w:r>
              <w:rPr>
                <w:rFonts w:eastAsiaTheme="minorEastAsia" w:cs="Calibri"/>
                <w:b w:val="0"/>
              </w:rPr>
              <w:t>Littlewood 2017</w:t>
            </w:r>
          </w:p>
        </w:tc>
        <w:tc>
          <w:tcPr>
            <w:tcW w:w="379" w:type="pct"/>
            <w:shd w:val="clear" w:color="auto" w:fill="auto"/>
          </w:tcPr>
          <w:p w14:paraId="6094B15F" w14:textId="42B973F9" w:rsidR="001835D1"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43656D51" w14:textId="1D16D690" w:rsidR="001835D1"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442D3FDC" w14:textId="091D2D18" w:rsidR="001835D1" w:rsidRDefault="005B23CF" w:rsidP="00693DA2">
            <w:pPr>
              <w:pStyle w:val="Tableheading"/>
              <w:autoSpaceDE w:val="0"/>
              <w:autoSpaceDN w:val="0"/>
              <w:adjustRightInd w:val="0"/>
              <w:rPr>
                <w:rFonts w:eastAsiaTheme="minorEastAsia" w:cs="Calibri"/>
                <w:b w:val="0"/>
              </w:rPr>
            </w:pPr>
            <w:r>
              <w:rPr>
                <w:rFonts w:eastAsiaTheme="minorEastAsia" w:cs="Calibri"/>
                <w:b w:val="0"/>
              </w:rPr>
              <w:t>205</w:t>
            </w:r>
          </w:p>
          <w:p w14:paraId="43BD1C34" w14:textId="06090913" w:rsidR="005B23CF" w:rsidRDefault="005B23CF" w:rsidP="00693DA2">
            <w:pPr>
              <w:pStyle w:val="Tableheading"/>
              <w:autoSpaceDE w:val="0"/>
              <w:autoSpaceDN w:val="0"/>
              <w:adjustRightInd w:val="0"/>
              <w:rPr>
                <w:rFonts w:eastAsiaTheme="minorEastAsia" w:cs="Calibri"/>
                <w:b w:val="0"/>
              </w:rPr>
            </w:pPr>
            <w:r>
              <w:rPr>
                <w:rFonts w:eastAsiaTheme="minorEastAsia" w:cs="Calibri"/>
                <w:b w:val="0"/>
              </w:rPr>
              <w:t>n=</w:t>
            </w:r>
            <w:r w:rsidR="008B5A63">
              <w:rPr>
                <w:rFonts w:eastAsiaTheme="minorEastAsia" w:cs="Calibri"/>
                <w:b w:val="0"/>
              </w:rPr>
              <w:t>111</w:t>
            </w:r>
            <w:r>
              <w:rPr>
                <w:rFonts w:eastAsiaTheme="minorEastAsia" w:cs="Calibri"/>
                <w:b w:val="0"/>
              </w:rPr>
              <w:t xml:space="preserve"> (varenicline)</w:t>
            </w:r>
          </w:p>
          <w:p w14:paraId="251F942B" w14:textId="5E51C764" w:rsidR="005B23CF" w:rsidRPr="001E2154" w:rsidRDefault="005B23CF" w:rsidP="00693DA2">
            <w:pPr>
              <w:pStyle w:val="Tableheading"/>
              <w:autoSpaceDE w:val="0"/>
              <w:autoSpaceDN w:val="0"/>
              <w:adjustRightInd w:val="0"/>
              <w:rPr>
                <w:rFonts w:eastAsiaTheme="minorEastAsia" w:cs="Calibri"/>
                <w:b w:val="0"/>
              </w:rPr>
            </w:pPr>
            <w:r>
              <w:rPr>
                <w:rFonts w:eastAsiaTheme="minorEastAsia" w:cs="Calibri"/>
                <w:b w:val="0"/>
              </w:rPr>
              <w:t>n=</w:t>
            </w:r>
            <w:r w:rsidR="008B5A63">
              <w:rPr>
                <w:rFonts w:eastAsiaTheme="minorEastAsia" w:cs="Calibri"/>
                <w:b w:val="0"/>
              </w:rPr>
              <w:t>94</w:t>
            </w:r>
            <w:r>
              <w:rPr>
                <w:rFonts w:eastAsiaTheme="minorEastAsia" w:cs="Calibri"/>
                <w:b w:val="0"/>
              </w:rPr>
              <w:t xml:space="preserve"> (placebo)</w:t>
            </w:r>
          </w:p>
        </w:tc>
        <w:tc>
          <w:tcPr>
            <w:tcW w:w="1142" w:type="pct"/>
            <w:shd w:val="clear" w:color="auto" w:fill="auto"/>
            <w:tcMar>
              <w:left w:w="28" w:type="dxa"/>
              <w:right w:w="28" w:type="dxa"/>
            </w:tcMar>
          </w:tcPr>
          <w:p w14:paraId="0560D8E5" w14:textId="77777777" w:rsidR="002E0D7F" w:rsidRPr="002E0D7F"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Adults (18-55) smokers (&gt;=10 CPD), motivated to quit, </w:t>
            </w:r>
          </w:p>
          <w:p w14:paraId="6F6D8189" w14:textId="77777777" w:rsidR="002E0D7F" w:rsidRPr="002E0D7F"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Exclusions: </w:t>
            </w:r>
          </w:p>
          <w:p w14:paraId="478403FF" w14:textId="2BE5262B" w:rsidR="001835D1" w:rsidRPr="001E2154" w:rsidRDefault="002E0D7F" w:rsidP="002E0D7F">
            <w:pPr>
              <w:pStyle w:val="Tableheading"/>
              <w:autoSpaceDE w:val="0"/>
              <w:autoSpaceDN w:val="0"/>
              <w:adjustRightInd w:val="0"/>
              <w:rPr>
                <w:rFonts w:eastAsiaTheme="minorEastAsia" w:cs="Calibri"/>
                <w:b w:val="0"/>
              </w:rPr>
            </w:pPr>
            <w:r w:rsidRPr="002E0D7F">
              <w:rPr>
                <w:rFonts w:eastAsiaTheme="minorEastAsia" w:cs="Calibri"/>
                <w:b w:val="0"/>
              </w:rPr>
              <w:t xml:space="preserve"> Previous varenicline use, serious medical of psychiatric condition in the past 6mo,illicit drug use (excluding marijuana in past 60 days, self-reported or physician identified health concerns (e.g. cardiovascular disease, uncontrolled hypertension, hepatic, or renal disease), currently taking insulin or oral </w:t>
            </w:r>
            <w:r w:rsidR="009E7142" w:rsidRPr="002E0D7F">
              <w:rPr>
                <w:rFonts w:eastAsiaTheme="minorEastAsia" w:cs="Calibri"/>
                <w:b w:val="0"/>
              </w:rPr>
              <w:t>hypoglycaemic</w:t>
            </w:r>
            <w:r w:rsidRPr="002E0D7F">
              <w:rPr>
                <w:rFonts w:eastAsiaTheme="minorEastAsia" w:cs="Calibri"/>
                <w:b w:val="0"/>
              </w:rPr>
              <w:t xml:space="preserve"> medication; self-reported use </w:t>
            </w:r>
            <w:r w:rsidR="009E7142" w:rsidRPr="002E0D7F">
              <w:rPr>
                <w:rFonts w:eastAsiaTheme="minorEastAsia" w:cs="Calibri"/>
                <w:b w:val="0"/>
              </w:rPr>
              <w:t>of cocaine</w:t>
            </w:r>
            <w:r w:rsidRPr="002E0D7F">
              <w:rPr>
                <w:rFonts w:eastAsiaTheme="minorEastAsia" w:cs="Calibri"/>
                <w:b w:val="0"/>
              </w:rPr>
              <w:t>, methamphetamine, heroin, or other illicit drugs (excluding marijuana) in the previous 60 days or a positive urine toxicology screen; (d) met DSM-</w:t>
            </w:r>
            <w:r w:rsidR="009E7142" w:rsidRPr="002E0D7F">
              <w:rPr>
                <w:rFonts w:eastAsiaTheme="minorEastAsia" w:cs="Calibri"/>
                <w:b w:val="0"/>
              </w:rPr>
              <w:t>I criteria</w:t>
            </w:r>
            <w:r w:rsidRPr="002E0D7F">
              <w:rPr>
                <w:rFonts w:eastAsiaTheme="minorEastAsia" w:cs="Calibri"/>
                <w:b w:val="0"/>
              </w:rPr>
              <w:t xml:space="preserve"> for psychotic disorder, bipolar disorder, or major depression in the past year.</w:t>
            </w:r>
          </w:p>
        </w:tc>
        <w:tc>
          <w:tcPr>
            <w:tcW w:w="808" w:type="pct"/>
            <w:shd w:val="clear" w:color="auto" w:fill="auto"/>
          </w:tcPr>
          <w:p w14:paraId="47592F37" w14:textId="0363C35B" w:rsidR="002E0D7F" w:rsidRPr="002E0D7F" w:rsidRDefault="002E0D7F" w:rsidP="00C324F3">
            <w:pPr>
              <w:pStyle w:val="Tablewriting"/>
              <w:keepNext/>
              <w:numPr>
                <w:ilvl w:val="0"/>
                <w:numId w:val="8"/>
              </w:numPr>
              <w:rPr>
                <w:rFonts w:eastAsia="MS Mincho"/>
              </w:rPr>
            </w:pPr>
            <w:r w:rsidRPr="002E0D7F">
              <w:rPr>
                <w:rFonts w:eastAsia="MS Mincho"/>
              </w:rPr>
              <w:t>Varenicline, 1</w:t>
            </w:r>
            <w:r w:rsidR="00DB7A7C">
              <w:rPr>
                <w:rFonts w:eastAsia="MS Mincho"/>
              </w:rPr>
              <w:t xml:space="preserve"> </w:t>
            </w:r>
            <w:r w:rsidRPr="002E0D7F">
              <w:rPr>
                <w:rFonts w:eastAsia="MS Mincho"/>
              </w:rPr>
              <w:t>mg bd, 12 w</w:t>
            </w:r>
            <w:r w:rsidR="00DB7A7C">
              <w:rPr>
                <w:rFonts w:eastAsia="MS Mincho"/>
              </w:rPr>
              <w:t>ee</w:t>
            </w:r>
            <w:r w:rsidRPr="002E0D7F">
              <w:rPr>
                <w:rFonts w:eastAsia="MS Mincho"/>
              </w:rPr>
              <w:t>ks with dose titration 1</w:t>
            </w:r>
            <w:r w:rsidR="00DB7A7C">
              <w:rPr>
                <w:rFonts w:eastAsia="MS Mincho"/>
              </w:rPr>
              <w:t xml:space="preserve"> </w:t>
            </w:r>
            <w:r w:rsidRPr="002E0D7F">
              <w:rPr>
                <w:rFonts w:eastAsia="MS Mincho"/>
              </w:rPr>
              <w:t>w</w:t>
            </w:r>
            <w:r w:rsidR="00DB7A7C">
              <w:rPr>
                <w:rFonts w:eastAsia="MS Mincho"/>
              </w:rPr>
              <w:t>ee</w:t>
            </w:r>
            <w:r w:rsidRPr="002E0D7F">
              <w:rPr>
                <w:rFonts w:eastAsia="MS Mincho"/>
              </w:rPr>
              <w:t>k prior to quit date</w:t>
            </w:r>
          </w:p>
          <w:p w14:paraId="43752E31" w14:textId="77777777" w:rsidR="002E0D7F" w:rsidRPr="002E0D7F" w:rsidRDefault="002E0D7F" w:rsidP="00C324F3">
            <w:pPr>
              <w:pStyle w:val="Tablewriting"/>
              <w:keepNext/>
              <w:numPr>
                <w:ilvl w:val="0"/>
                <w:numId w:val="8"/>
              </w:numPr>
              <w:rPr>
                <w:rFonts w:eastAsia="MS Mincho"/>
              </w:rPr>
            </w:pPr>
            <w:r w:rsidRPr="002E0D7F">
              <w:rPr>
                <w:rFonts w:eastAsia="MS Mincho"/>
              </w:rPr>
              <w:t>Placebo</w:t>
            </w:r>
          </w:p>
          <w:p w14:paraId="0179E625" w14:textId="77777777" w:rsidR="002E0D7F" w:rsidRPr="002E0D7F" w:rsidRDefault="002E0D7F" w:rsidP="00FF725F">
            <w:pPr>
              <w:pStyle w:val="Tablewriting"/>
              <w:keepNext/>
              <w:rPr>
                <w:rFonts w:eastAsia="MS Mincho"/>
              </w:rPr>
            </w:pPr>
            <w:r w:rsidRPr="00554906">
              <w:rPr>
                <w:rFonts w:eastAsia="MS Mincho"/>
                <w:u w:val="single"/>
              </w:rPr>
              <w:t>Common elements</w:t>
            </w:r>
            <w:r w:rsidRPr="002E0D7F">
              <w:rPr>
                <w:rFonts w:eastAsia="MS Mincho"/>
              </w:rPr>
              <w:t>:</w:t>
            </w:r>
          </w:p>
          <w:p w14:paraId="3C7ED2D6" w14:textId="304E5133" w:rsidR="002E0D7F" w:rsidRPr="002E0D7F" w:rsidRDefault="002E0D7F" w:rsidP="00C324F3">
            <w:pPr>
              <w:pStyle w:val="Tablewriting"/>
              <w:keepNext/>
              <w:numPr>
                <w:ilvl w:val="0"/>
                <w:numId w:val="8"/>
              </w:numPr>
              <w:rPr>
                <w:rFonts w:eastAsia="MS Mincho"/>
              </w:rPr>
            </w:pPr>
            <w:r w:rsidRPr="002E0D7F">
              <w:rPr>
                <w:rFonts w:eastAsia="MS Mincho"/>
              </w:rPr>
              <w:t>30</w:t>
            </w:r>
            <w:r w:rsidR="00DB7A7C">
              <w:rPr>
                <w:rFonts w:eastAsia="MS Mincho"/>
              </w:rPr>
              <w:t xml:space="preserve"> </w:t>
            </w:r>
            <w:r w:rsidRPr="002E0D7F">
              <w:rPr>
                <w:rFonts w:eastAsia="MS Mincho"/>
              </w:rPr>
              <w:t>minute baseline counselling (motivational interviewing) plus 10-20 minute enhancement counselling at w</w:t>
            </w:r>
            <w:r w:rsidR="00DB7A7C">
              <w:rPr>
                <w:rFonts w:eastAsia="MS Mincho"/>
              </w:rPr>
              <w:t>ee</w:t>
            </w:r>
            <w:r w:rsidRPr="002E0D7F">
              <w:rPr>
                <w:rFonts w:eastAsia="MS Mincho"/>
              </w:rPr>
              <w:t>k 2, 6, 12)</w:t>
            </w:r>
          </w:p>
          <w:p w14:paraId="2E9A2754" w14:textId="686B3AD3" w:rsidR="001835D1" w:rsidRPr="00D11171" w:rsidRDefault="002E0D7F" w:rsidP="00C324F3">
            <w:pPr>
              <w:pStyle w:val="Tablewriting"/>
              <w:keepNext/>
              <w:numPr>
                <w:ilvl w:val="0"/>
                <w:numId w:val="8"/>
              </w:numPr>
              <w:rPr>
                <w:rFonts w:eastAsia="MS Mincho"/>
              </w:rPr>
            </w:pPr>
            <w:r w:rsidRPr="002E0D7F">
              <w:rPr>
                <w:rFonts w:eastAsia="MS Mincho"/>
              </w:rPr>
              <w:t>*if unsuccessful quit attempt, encouraged to continue making quit attempts or gradually reduce smoking until abstinent</w:t>
            </w:r>
          </w:p>
        </w:tc>
        <w:tc>
          <w:tcPr>
            <w:tcW w:w="1094" w:type="pct"/>
            <w:shd w:val="clear" w:color="auto" w:fill="auto"/>
            <w:tcMar>
              <w:left w:w="28" w:type="dxa"/>
              <w:right w:w="28" w:type="dxa"/>
            </w:tcMar>
          </w:tcPr>
          <w:p w14:paraId="1BDBDEB6" w14:textId="77777777" w:rsidR="002E0D7F" w:rsidRPr="002E0D7F" w:rsidRDefault="002E0D7F" w:rsidP="002E0D7F">
            <w:pPr>
              <w:pStyle w:val="Tableheading"/>
              <w:autoSpaceDE w:val="0"/>
              <w:autoSpaceDN w:val="0"/>
              <w:adjustRightInd w:val="0"/>
              <w:rPr>
                <w:rFonts w:eastAsiaTheme="minorEastAsia" w:cs="Calibri"/>
                <w:b w:val="0"/>
                <w:u w:val="single"/>
              </w:rPr>
            </w:pPr>
            <w:r w:rsidRPr="002E0D7F">
              <w:rPr>
                <w:rFonts w:eastAsiaTheme="minorEastAsia" w:cs="Calibri"/>
                <w:b w:val="0"/>
                <w:u w:val="single"/>
              </w:rPr>
              <w:t>Efficacy:</w:t>
            </w:r>
          </w:p>
          <w:p w14:paraId="5CFBB5C5" w14:textId="77777777" w:rsidR="002E0D7F" w:rsidRPr="00554906" w:rsidRDefault="002E0D7F" w:rsidP="002E0D7F">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3F79359C" w14:textId="60C9AD40" w:rsidR="002E0D7F" w:rsidRPr="003A352C" w:rsidRDefault="002E0D7F" w:rsidP="002E0D7F">
            <w:pPr>
              <w:pStyle w:val="Tableheading"/>
              <w:autoSpaceDE w:val="0"/>
              <w:autoSpaceDN w:val="0"/>
              <w:adjustRightInd w:val="0"/>
              <w:rPr>
                <w:rFonts w:eastAsiaTheme="minorEastAsia" w:cs="Calibri"/>
                <w:b w:val="0"/>
              </w:rPr>
            </w:pPr>
            <w:r w:rsidRPr="003A352C">
              <w:rPr>
                <w:rFonts w:eastAsiaTheme="minorEastAsia" w:cs="Calibri"/>
                <w:b w:val="0"/>
              </w:rPr>
              <w:t>CAR, w</w:t>
            </w:r>
            <w:r w:rsidR="00F95EF8">
              <w:rPr>
                <w:rFonts w:eastAsiaTheme="minorEastAsia" w:cs="Calibri"/>
                <w:b w:val="0"/>
              </w:rPr>
              <w:t>ee</w:t>
            </w:r>
            <w:r w:rsidRPr="003A352C">
              <w:rPr>
                <w:rFonts w:eastAsiaTheme="minorEastAsia" w:cs="Calibri"/>
                <w:b w:val="0"/>
              </w:rPr>
              <w:t>k</w:t>
            </w:r>
            <w:r w:rsidR="00F95EF8">
              <w:rPr>
                <w:rFonts w:eastAsiaTheme="minorEastAsia" w:cs="Calibri"/>
                <w:b w:val="0"/>
              </w:rPr>
              <w:t xml:space="preserve"> </w:t>
            </w:r>
            <w:r w:rsidRPr="003A352C">
              <w:rPr>
                <w:rFonts w:eastAsiaTheme="minorEastAsia" w:cs="Calibri"/>
                <w:b w:val="0"/>
              </w:rPr>
              <w:t>9-12 and w</w:t>
            </w:r>
            <w:r w:rsidR="00F95EF8">
              <w:rPr>
                <w:rFonts w:eastAsiaTheme="minorEastAsia" w:cs="Calibri"/>
                <w:b w:val="0"/>
              </w:rPr>
              <w:t>ee</w:t>
            </w:r>
            <w:r w:rsidRPr="003A352C">
              <w:rPr>
                <w:rFonts w:eastAsiaTheme="minorEastAsia" w:cs="Calibri"/>
                <w:b w:val="0"/>
              </w:rPr>
              <w:t>k</w:t>
            </w:r>
            <w:r w:rsidR="00F95EF8">
              <w:rPr>
                <w:rFonts w:eastAsiaTheme="minorEastAsia" w:cs="Calibri"/>
                <w:b w:val="0"/>
              </w:rPr>
              <w:t xml:space="preserve"> </w:t>
            </w:r>
            <w:r w:rsidRPr="003A352C">
              <w:rPr>
                <w:rFonts w:eastAsiaTheme="minorEastAsia" w:cs="Calibri"/>
                <w:b w:val="0"/>
              </w:rPr>
              <w:t>32-36, CO-verified (&lt;6ppm)</w:t>
            </w:r>
            <w:r w:rsidR="00F95EF8">
              <w:rPr>
                <w:rFonts w:eastAsiaTheme="minorEastAsia" w:cs="Calibri"/>
                <w:b w:val="0"/>
              </w:rPr>
              <w:t>.</w:t>
            </w:r>
          </w:p>
          <w:p w14:paraId="280A82DB" w14:textId="77777777" w:rsidR="002E0D7F" w:rsidRPr="00554906" w:rsidRDefault="002E0D7F" w:rsidP="002E0D7F">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364AD597" w14:textId="77777777" w:rsidR="002E0D7F" w:rsidRPr="003A352C" w:rsidRDefault="002E0D7F" w:rsidP="002E0D7F">
            <w:pPr>
              <w:pStyle w:val="Tableheading"/>
              <w:autoSpaceDE w:val="0"/>
              <w:autoSpaceDN w:val="0"/>
              <w:adjustRightInd w:val="0"/>
              <w:rPr>
                <w:rFonts w:eastAsiaTheme="minorEastAsia" w:cs="Calibri"/>
                <w:b w:val="0"/>
              </w:rPr>
            </w:pPr>
            <w:r w:rsidRPr="003A352C">
              <w:rPr>
                <w:rFonts w:eastAsiaTheme="minorEastAsia" w:cs="Calibri"/>
                <w:b w:val="0"/>
              </w:rPr>
              <w:t>7-day PPA, CO-confirmed (&lt;6ppm)</w:t>
            </w:r>
          </w:p>
          <w:p w14:paraId="6AE38540" w14:textId="3BFBC3BE" w:rsidR="001835D1" w:rsidRPr="00320A67" w:rsidRDefault="002E0D7F" w:rsidP="002E0D7F">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u w:val="single"/>
              </w:rPr>
              <w:t xml:space="preserve">: </w:t>
            </w:r>
            <w:r w:rsidRPr="003A352C">
              <w:rPr>
                <w:rFonts w:eastAsiaTheme="minorEastAsia" w:cs="Calibri"/>
                <w:b w:val="0"/>
              </w:rPr>
              <w:t>AE</w:t>
            </w:r>
            <w:r w:rsidR="00F95EF8">
              <w:rPr>
                <w:rFonts w:eastAsiaTheme="minorEastAsia" w:cs="Calibri"/>
                <w:b w:val="0"/>
              </w:rPr>
              <w:t xml:space="preserve">, </w:t>
            </w:r>
            <w:r w:rsidRPr="003A352C">
              <w:rPr>
                <w:rFonts w:eastAsiaTheme="minorEastAsia" w:cs="Calibri"/>
                <w:b w:val="0"/>
              </w:rPr>
              <w:t>SAE</w:t>
            </w:r>
            <w:r w:rsidR="00F95EF8">
              <w:rPr>
                <w:rFonts w:eastAsiaTheme="minorEastAsia" w:cs="Calibri"/>
                <w:b w:val="0"/>
              </w:rPr>
              <w:t>, t</w:t>
            </w:r>
            <w:r w:rsidRPr="003A352C">
              <w:rPr>
                <w:rFonts w:eastAsiaTheme="minorEastAsia" w:cs="Calibri"/>
                <w:b w:val="0"/>
              </w:rPr>
              <w:t>reatment discontinuation</w:t>
            </w:r>
            <w:r w:rsidR="00F95EF8">
              <w:rPr>
                <w:rFonts w:eastAsiaTheme="minorEastAsia" w:cs="Calibri"/>
                <w:b w:val="0"/>
              </w:rPr>
              <w:t>.</w:t>
            </w:r>
          </w:p>
        </w:tc>
      </w:tr>
      <w:tr w:rsidR="0030465C" w:rsidRPr="00061F78" w14:paraId="763498DE" w14:textId="77777777" w:rsidTr="00D0517F">
        <w:trPr>
          <w:trHeight w:val="99"/>
        </w:trPr>
        <w:tc>
          <w:tcPr>
            <w:tcW w:w="189" w:type="pct"/>
          </w:tcPr>
          <w:p w14:paraId="768D6A6A" w14:textId="448C8EE8"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5A94BB86" w14:textId="15C9B765"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Tulloch 2016</w:t>
            </w:r>
          </w:p>
        </w:tc>
        <w:tc>
          <w:tcPr>
            <w:tcW w:w="379" w:type="pct"/>
            <w:shd w:val="clear" w:color="auto" w:fill="auto"/>
          </w:tcPr>
          <w:p w14:paraId="16EADCEC" w14:textId="716C1408"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4B2A0A06" w14:textId="6B8E6D0D" w:rsidR="0030465C" w:rsidRPr="001E2154" w:rsidRDefault="008B5A63" w:rsidP="00693DA2">
            <w:pPr>
              <w:pStyle w:val="Tableheading"/>
              <w:autoSpaceDE w:val="0"/>
              <w:autoSpaceDN w:val="0"/>
              <w:adjustRightInd w:val="0"/>
              <w:rPr>
                <w:rFonts w:eastAsiaTheme="minorEastAsia" w:cs="Calibri"/>
                <w:b w:val="0"/>
              </w:rPr>
            </w:pPr>
            <w:r>
              <w:rPr>
                <w:rFonts w:eastAsiaTheme="minorEastAsia" w:cs="Calibri"/>
                <w:b w:val="0"/>
              </w:rPr>
              <w:t>Canada</w:t>
            </w:r>
          </w:p>
        </w:tc>
        <w:tc>
          <w:tcPr>
            <w:tcW w:w="516" w:type="pct"/>
            <w:shd w:val="clear" w:color="auto" w:fill="auto"/>
            <w:tcMar>
              <w:left w:w="28" w:type="dxa"/>
              <w:right w:w="28" w:type="dxa"/>
            </w:tcMar>
          </w:tcPr>
          <w:p w14:paraId="5B7C5119" w14:textId="77777777" w:rsidR="0030465C" w:rsidRDefault="008B5A63" w:rsidP="00693DA2">
            <w:pPr>
              <w:pStyle w:val="Tableheading"/>
              <w:autoSpaceDE w:val="0"/>
              <w:autoSpaceDN w:val="0"/>
              <w:adjustRightInd w:val="0"/>
              <w:rPr>
                <w:rFonts w:eastAsiaTheme="minorEastAsia" w:cs="Calibri"/>
                <w:b w:val="0"/>
              </w:rPr>
            </w:pPr>
            <w:r>
              <w:rPr>
                <w:rFonts w:eastAsiaTheme="minorEastAsia" w:cs="Calibri"/>
                <w:b w:val="0"/>
              </w:rPr>
              <w:t>737</w:t>
            </w:r>
          </w:p>
          <w:p w14:paraId="3DCB373F" w14:textId="2D5F224F" w:rsidR="00AB439E"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245</w:t>
            </w:r>
            <w:r>
              <w:rPr>
                <w:rFonts w:eastAsiaTheme="minorEastAsia" w:cs="Calibri"/>
                <w:b w:val="0"/>
              </w:rPr>
              <w:t xml:space="preserve"> (NRT, standard)</w:t>
            </w:r>
          </w:p>
          <w:p w14:paraId="780DFF40" w14:textId="2EF47765" w:rsidR="00AB439E"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245</w:t>
            </w:r>
            <w:r>
              <w:rPr>
                <w:rFonts w:eastAsiaTheme="minorEastAsia" w:cs="Calibri"/>
                <w:b w:val="0"/>
              </w:rPr>
              <w:t xml:space="preserve"> (NRT, flexible)</w:t>
            </w:r>
          </w:p>
          <w:p w14:paraId="26CF5C2D" w14:textId="7CD59949" w:rsidR="00AB439E" w:rsidRPr="001E2154" w:rsidRDefault="00AB439E" w:rsidP="00693DA2">
            <w:pPr>
              <w:pStyle w:val="Tableheading"/>
              <w:autoSpaceDE w:val="0"/>
              <w:autoSpaceDN w:val="0"/>
              <w:adjustRightInd w:val="0"/>
              <w:rPr>
                <w:rFonts w:eastAsiaTheme="minorEastAsia" w:cs="Calibri"/>
                <w:b w:val="0"/>
              </w:rPr>
            </w:pPr>
            <w:r>
              <w:rPr>
                <w:rFonts w:eastAsiaTheme="minorEastAsia" w:cs="Calibri"/>
                <w:b w:val="0"/>
              </w:rPr>
              <w:t>n=</w:t>
            </w:r>
            <w:r w:rsidR="00E72EAF">
              <w:rPr>
                <w:rFonts w:eastAsiaTheme="minorEastAsia" w:cs="Calibri"/>
                <w:b w:val="0"/>
              </w:rPr>
              <w:t>247</w:t>
            </w:r>
            <w:r>
              <w:rPr>
                <w:rFonts w:eastAsiaTheme="minorEastAsia" w:cs="Calibri"/>
                <w:b w:val="0"/>
              </w:rPr>
              <w:t xml:space="preserve"> (varenicline)</w:t>
            </w:r>
          </w:p>
        </w:tc>
        <w:tc>
          <w:tcPr>
            <w:tcW w:w="1142" w:type="pct"/>
            <w:shd w:val="clear" w:color="auto" w:fill="auto"/>
            <w:tcMar>
              <w:left w:w="28" w:type="dxa"/>
              <w:right w:w="28" w:type="dxa"/>
            </w:tcMar>
          </w:tcPr>
          <w:p w14:paraId="5206473A" w14:textId="77777777" w:rsidR="008B5A63" w:rsidRPr="008B5A63"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Adult smokers (&gt;=10 CPD), willing to quit in 2-4wks</w:t>
            </w:r>
          </w:p>
          <w:p w14:paraId="55E76D83" w14:textId="77777777" w:rsidR="008B5A63" w:rsidRPr="008B5A63"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Exclusions</w:t>
            </w:r>
          </w:p>
          <w:p w14:paraId="7C0FF593" w14:textId="5186B39D" w:rsidR="0030465C" w:rsidRPr="001E2154" w:rsidRDefault="008B5A63" w:rsidP="008B5A63">
            <w:pPr>
              <w:pStyle w:val="Tableheading"/>
              <w:autoSpaceDE w:val="0"/>
              <w:autoSpaceDN w:val="0"/>
              <w:adjustRightInd w:val="0"/>
              <w:rPr>
                <w:rFonts w:eastAsiaTheme="minorEastAsia" w:cs="Calibri"/>
                <w:b w:val="0"/>
              </w:rPr>
            </w:pPr>
            <w:r w:rsidRPr="008B5A63">
              <w:rPr>
                <w:rFonts w:eastAsiaTheme="minorEastAsia" w:cs="Calibri"/>
                <w:b w:val="0"/>
              </w:rPr>
              <w:t xml:space="preserve">Use of NRT or varenicline for &gt; 3 days in the previous month, contraindications to study medications, serious cardiac </w:t>
            </w:r>
            <w:r w:rsidRPr="008B5A63">
              <w:rPr>
                <w:rFonts w:eastAsiaTheme="minorEastAsia" w:cs="Calibri"/>
                <w:b w:val="0"/>
              </w:rPr>
              <w:lastRenderedPageBreak/>
              <w:t xml:space="preserve">arrhythmias or </w:t>
            </w:r>
            <w:r w:rsidR="00114FF2" w:rsidRPr="008B5A63">
              <w:rPr>
                <w:rFonts w:eastAsiaTheme="minorEastAsia" w:cs="Calibri"/>
                <w:b w:val="0"/>
              </w:rPr>
              <w:t>myocardial</w:t>
            </w:r>
            <w:r w:rsidRPr="008B5A63">
              <w:rPr>
                <w:rFonts w:eastAsiaTheme="minorEastAsia" w:cs="Calibri"/>
                <w:b w:val="0"/>
              </w:rPr>
              <w:t xml:space="preserve"> infarction or cerebral vascular accident within 10 days, severe or unstable angina </w:t>
            </w:r>
            <w:r w:rsidR="00114FF2" w:rsidRPr="008B5A63">
              <w:rPr>
                <w:rFonts w:eastAsiaTheme="minorEastAsia" w:cs="Calibri"/>
                <w:b w:val="0"/>
              </w:rPr>
              <w:t>pectoris</w:t>
            </w:r>
            <w:r w:rsidRPr="008B5A63">
              <w:rPr>
                <w:rFonts w:eastAsiaTheme="minorEastAsia" w:cs="Calibri"/>
                <w:b w:val="0"/>
              </w:rPr>
              <w:t>, end-stage renal disease or use of cimetidine, alcohol or substance abuse in the previous 3 months, unstable psychiatric symptoms precluding informed consent, inability to understand English or French, pregnant, lactating or likely to become pregnant in the next year, another household member enrolled in the trial.</w:t>
            </w:r>
          </w:p>
        </w:tc>
        <w:tc>
          <w:tcPr>
            <w:tcW w:w="808" w:type="pct"/>
            <w:shd w:val="clear" w:color="auto" w:fill="auto"/>
          </w:tcPr>
          <w:p w14:paraId="5F5FF56D" w14:textId="4E5C6699" w:rsidR="005D5CDA" w:rsidRPr="005D5CDA" w:rsidRDefault="005D5CDA" w:rsidP="00C324F3">
            <w:pPr>
              <w:pStyle w:val="Tablewriting"/>
              <w:keepNext/>
              <w:numPr>
                <w:ilvl w:val="0"/>
                <w:numId w:val="8"/>
              </w:numPr>
              <w:rPr>
                <w:rFonts w:eastAsia="MS Mincho"/>
              </w:rPr>
            </w:pPr>
            <w:r w:rsidRPr="005D5CDA">
              <w:rPr>
                <w:rFonts w:eastAsia="MS Mincho"/>
              </w:rPr>
              <w:lastRenderedPageBreak/>
              <w:t>NRT patch, 10</w:t>
            </w:r>
            <w:r w:rsidR="00E00D0D">
              <w:rPr>
                <w:rFonts w:eastAsia="MS Mincho"/>
              </w:rPr>
              <w:t xml:space="preserve"> </w:t>
            </w:r>
            <w:r w:rsidRPr="005D5CDA">
              <w:rPr>
                <w:rFonts w:eastAsia="MS Mincho"/>
              </w:rPr>
              <w:t>w</w:t>
            </w:r>
            <w:r w:rsidR="00E00D0D">
              <w:rPr>
                <w:rFonts w:eastAsia="MS Mincho"/>
              </w:rPr>
              <w:t>ee</w:t>
            </w:r>
            <w:r w:rsidRPr="005D5CDA">
              <w:rPr>
                <w:rFonts w:eastAsia="MS Mincho"/>
              </w:rPr>
              <w:t xml:space="preserve">ks, dose tapered down, initial dose by CPD </w:t>
            </w:r>
          </w:p>
          <w:p w14:paraId="7F5742A4" w14:textId="66E28A8A" w:rsidR="005D5CDA" w:rsidRPr="005D5CDA" w:rsidRDefault="005D5CDA" w:rsidP="00C324F3">
            <w:pPr>
              <w:pStyle w:val="Tablewriting"/>
              <w:keepNext/>
              <w:numPr>
                <w:ilvl w:val="0"/>
                <w:numId w:val="8"/>
              </w:numPr>
              <w:rPr>
                <w:rFonts w:eastAsia="MS Mincho"/>
              </w:rPr>
            </w:pPr>
            <w:r w:rsidRPr="005D5CDA">
              <w:rPr>
                <w:rFonts w:eastAsia="MS Mincho"/>
              </w:rPr>
              <w:t>NRT patch, up to 22</w:t>
            </w:r>
            <w:r w:rsidR="00E00D0D">
              <w:rPr>
                <w:rFonts w:eastAsia="MS Mincho"/>
              </w:rPr>
              <w:t xml:space="preserve"> </w:t>
            </w:r>
            <w:r w:rsidRPr="005D5CDA">
              <w:rPr>
                <w:rFonts w:eastAsia="MS Mincho"/>
              </w:rPr>
              <w:t>w</w:t>
            </w:r>
            <w:r w:rsidR="00E00D0D">
              <w:rPr>
                <w:rFonts w:eastAsia="MS Mincho"/>
              </w:rPr>
              <w:t>ee</w:t>
            </w:r>
            <w:r w:rsidRPr="005D5CDA">
              <w:rPr>
                <w:rFonts w:eastAsia="MS Mincho"/>
              </w:rPr>
              <w:t xml:space="preserve">ks, titrated dosing by withdrawal </w:t>
            </w:r>
            <w:r w:rsidRPr="005D5CDA">
              <w:rPr>
                <w:rFonts w:eastAsia="MS Mincho"/>
              </w:rPr>
              <w:lastRenderedPageBreak/>
              <w:t xml:space="preserve">symptoms up to 35mg/day using </w:t>
            </w:r>
            <w:r w:rsidR="004664D2" w:rsidRPr="005D5CDA">
              <w:rPr>
                <w:rFonts w:eastAsia="MS Mincho"/>
              </w:rPr>
              <w:t>Minnesota</w:t>
            </w:r>
            <w:r w:rsidRPr="005D5CDA">
              <w:rPr>
                <w:rFonts w:eastAsia="MS Mincho"/>
              </w:rPr>
              <w:t xml:space="preserve"> Nicotine withdrawal Scale used to titrate dose with scores&gt;=2 </w:t>
            </w:r>
            <w:r w:rsidR="00114FF2" w:rsidRPr="005D5CDA">
              <w:rPr>
                <w:rFonts w:eastAsia="MS Mincho"/>
              </w:rPr>
              <w:t>signalling</w:t>
            </w:r>
            <w:r w:rsidRPr="005D5CDA">
              <w:rPr>
                <w:rFonts w:eastAsia="MS Mincho"/>
              </w:rPr>
              <w:t xml:space="preserve"> increased dose, PLUS NRT gum or inhalers when required</w:t>
            </w:r>
          </w:p>
          <w:p w14:paraId="0B4CF055" w14:textId="73DF647A" w:rsidR="0030465C" w:rsidRPr="00D11171" w:rsidRDefault="005D5CDA" w:rsidP="00C324F3">
            <w:pPr>
              <w:pStyle w:val="Tablewriting"/>
              <w:keepNext/>
              <w:numPr>
                <w:ilvl w:val="0"/>
                <w:numId w:val="8"/>
              </w:numPr>
              <w:rPr>
                <w:rFonts w:eastAsia="MS Mincho"/>
              </w:rPr>
            </w:pPr>
            <w:r w:rsidRPr="005D5CDA">
              <w:rPr>
                <w:rFonts w:eastAsia="MS Mincho"/>
              </w:rPr>
              <w:t>Varenicline: 12 w</w:t>
            </w:r>
            <w:r w:rsidR="00E00D0D">
              <w:rPr>
                <w:rFonts w:eastAsia="MS Mincho"/>
              </w:rPr>
              <w:t>ee</w:t>
            </w:r>
            <w:r w:rsidRPr="005D5CDA">
              <w:rPr>
                <w:rFonts w:eastAsia="MS Mincho"/>
              </w:rPr>
              <w:t>ks including 1 w</w:t>
            </w:r>
            <w:r w:rsidR="00E00D0D">
              <w:rPr>
                <w:rFonts w:eastAsia="MS Mincho"/>
              </w:rPr>
              <w:t>ee</w:t>
            </w:r>
            <w:r w:rsidRPr="005D5CDA">
              <w:rPr>
                <w:rFonts w:eastAsia="MS Mincho"/>
              </w:rPr>
              <w:t>k titration dose before quit date. Additional 12 weeks supply if interested and recommended by study nurse or physician.</w:t>
            </w:r>
          </w:p>
        </w:tc>
        <w:tc>
          <w:tcPr>
            <w:tcW w:w="1094" w:type="pct"/>
            <w:shd w:val="clear" w:color="auto" w:fill="auto"/>
            <w:tcMar>
              <w:left w:w="28" w:type="dxa"/>
              <w:right w:w="28" w:type="dxa"/>
            </w:tcMar>
          </w:tcPr>
          <w:p w14:paraId="37671ED3" w14:textId="77777777" w:rsidR="00AB439E" w:rsidRPr="00AB439E" w:rsidRDefault="00AB439E" w:rsidP="00AB439E">
            <w:pPr>
              <w:pStyle w:val="Tableheading"/>
              <w:autoSpaceDE w:val="0"/>
              <w:autoSpaceDN w:val="0"/>
              <w:adjustRightInd w:val="0"/>
              <w:rPr>
                <w:rFonts w:eastAsiaTheme="minorEastAsia" w:cs="Calibri"/>
                <w:b w:val="0"/>
                <w:u w:val="single"/>
              </w:rPr>
            </w:pPr>
            <w:r w:rsidRPr="00AB439E">
              <w:rPr>
                <w:rFonts w:eastAsiaTheme="minorEastAsia" w:cs="Calibri"/>
                <w:b w:val="0"/>
                <w:u w:val="single"/>
              </w:rPr>
              <w:lastRenderedPageBreak/>
              <w:t>Efficacy:</w:t>
            </w:r>
          </w:p>
          <w:p w14:paraId="0A165A13" w14:textId="77777777" w:rsidR="00AB439E" w:rsidRPr="00554906" w:rsidRDefault="00AB439E" w:rsidP="00AB439E">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168A4114" w14:textId="73BEA5B8"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t>CAR, CO-confirmed (&lt;=9ppm), w</w:t>
            </w:r>
            <w:r w:rsidR="00F95EF8">
              <w:rPr>
                <w:rFonts w:eastAsiaTheme="minorEastAsia" w:cs="Calibri"/>
                <w:b w:val="0"/>
              </w:rPr>
              <w:t>ee</w:t>
            </w:r>
            <w:r w:rsidRPr="003A352C">
              <w:rPr>
                <w:rFonts w:eastAsiaTheme="minorEastAsia" w:cs="Calibri"/>
                <w:b w:val="0"/>
              </w:rPr>
              <w:t>k 5-52</w:t>
            </w:r>
          </w:p>
          <w:p w14:paraId="50EF5C41" w14:textId="77777777" w:rsidR="00AB439E" w:rsidRPr="00554906" w:rsidRDefault="00AB439E" w:rsidP="00AB439E">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09B3081A" w14:textId="191E22C0"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lastRenderedPageBreak/>
              <w:t>CAR, CO-confirmed, w</w:t>
            </w:r>
            <w:r w:rsidR="00F95EF8">
              <w:rPr>
                <w:rFonts w:eastAsiaTheme="minorEastAsia" w:cs="Calibri"/>
                <w:b w:val="0"/>
              </w:rPr>
              <w:t>ee</w:t>
            </w:r>
            <w:r w:rsidRPr="003A352C">
              <w:rPr>
                <w:rFonts w:eastAsiaTheme="minorEastAsia" w:cs="Calibri"/>
                <w:b w:val="0"/>
              </w:rPr>
              <w:t>ks 5-10, 5-22</w:t>
            </w:r>
          </w:p>
          <w:p w14:paraId="344A82CC" w14:textId="61364752" w:rsidR="00AB439E" w:rsidRPr="003A352C" w:rsidRDefault="00AB439E" w:rsidP="00AB439E">
            <w:pPr>
              <w:pStyle w:val="Tableheading"/>
              <w:autoSpaceDE w:val="0"/>
              <w:autoSpaceDN w:val="0"/>
              <w:adjustRightInd w:val="0"/>
              <w:rPr>
                <w:rFonts w:eastAsiaTheme="minorEastAsia" w:cs="Calibri"/>
                <w:b w:val="0"/>
              </w:rPr>
            </w:pPr>
            <w:r w:rsidRPr="003A352C">
              <w:rPr>
                <w:rFonts w:eastAsiaTheme="minorEastAsia" w:cs="Calibri"/>
                <w:b w:val="0"/>
              </w:rPr>
              <w:t>7-day PPA, CO-confirmed, w</w:t>
            </w:r>
            <w:r w:rsidR="00F95EF8">
              <w:rPr>
                <w:rFonts w:eastAsiaTheme="minorEastAsia" w:cs="Calibri"/>
                <w:b w:val="0"/>
              </w:rPr>
              <w:t>ee</w:t>
            </w:r>
            <w:r w:rsidRPr="003A352C">
              <w:rPr>
                <w:rFonts w:eastAsiaTheme="minorEastAsia" w:cs="Calibri"/>
                <w:b w:val="0"/>
              </w:rPr>
              <w:t>ks, 5, 10, 22, 52</w:t>
            </w:r>
            <w:r w:rsidR="00F95EF8">
              <w:rPr>
                <w:rFonts w:eastAsiaTheme="minorEastAsia" w:cs="Calibri"/>
                <w:b w:val="0"/>
              </w:rPr>
              <w:t>.</w:t>
            </w:r>
          </w:p>
          <w:p w14:paraId="21AC9DF6" w14:textId="1ECC007F" w:rsidR="0030465C" w:rsidRPr="00320A67" w:rsidRDefault="00AB439E" w:rsidP="00AB439E">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F95EF8">
              <w:rPr>
                <w:rFonts w:eastAsiaTheme="minorEastAsia" w:cs="Calibri"/>
                <w:b w:val="0"/>
              </w:rPr>
              <w:t xml:space="preserve">: </w:t>
            </w:r>
            <w:r w:rsidRPr="003A352C">
              <w:rPr>
                <w:rFonts w:eastAsiaTheme="minorEastAsia" w:cs="Calibri"/>
                <w:b w:val="0"/>
              </w:rPr>
              <w:t>AE, specific</w:t>
            </w:r>
            <w:r w:rsidR="00F95EF8">
              <w:rPr>
                <w:rFonts w:eastAsiaTheme="minorEastAsia" w:cs="Calibri"/>
                <w:b w:val="0"/>
              </w:rPr>
              <w:t xml:space="preserve"> </w:t>
            </w:r>
            <w:r w:rsidRPr="003A352C">
              <w:rPr>
                <w:rFonts w:eastAsiaTheme="minorEastAsia" w:cs="Calibri"/>
                <w:b w:val="0"/>
              </w:rPr>
              <w:t>AE, treatment discontinuation</w:t>
            </w:r>
            <w:r w:rsidR="00F95EF8">
              <w:rPr>
                <w:rFonts w:eastAsiaTheme="minorEastAsia" w:cs="Calibri"/>
                <w:b w:val="0"/>
              </w:rPr>
              <w:t xml:space="preserve">, </w:t>
            </w:r>
            <w:r w:rsidRPr="003A352C">
              <w:rPr>
                <w:rFonts w:eastAsiaTheme="minorEastAsia" w:cs="Calibri"/>
                <w:b w:val="0"/>
              </w:rPr>
              <w:t>SAE</w:t>
            </w:r>
            <w:r w:rsidR="00F95EF8">
              <w:rPr>
                <w:rFonts w:eastAsiaTheme="minorEastAsia" w:cs="Calibri"/>
                <w:b w:val="0"/>
              </w:rPr>
              <w:t>.</w:t>
            </w:r>
          </w:p>
        </w:tc>
      </w:tr>
      <w:tr w:rsidR="0030465C" w:rsidRPr="00061F78" w14:paraId="77247BEC" w14:textId="77777777" w:rsidTr="00D0517F">
        <w:trPr>
          <w:trHeight w:val="99"/>
        </w:trPr>
        <w:tc>
          <w:tcPr>
            <w:tcW w:w="189" w:type="pct"/>
          </w:tcPr>
          <w:p w14:paraId="303DCD0C" w14:textId="5E1D28BC"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0CAF2A42" w14:textId="5042DDA4"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Tuisku 2016</w:t>
            </w:r>
          </w:p>
        </w:tc>
        <w:tc>
          <w:tcPr>
            <w:tcW w:w="379" w:type="pct"/>
            <w:shd w:val="clear" w:color="auto" w:fill="auto"/>
          </w:tcPr>
          <w:p w14:paraId="36F4D542" w14:textId="6D826E7E"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69A6100D" w14:textId="0251491D" w:rsidR="0030465C" w:rsidRPr="001E2154" w:rsidRDefault="00204015" w:rsidP="00693DA2">
            <w:pPr>
              <w:pStyle w:val="Tableheading"/>
              <w:autoSpaceDE w:val="0"/>
              <w:autoSpaceDN w:val="0"/>
              <w:adjustRightInd w:val="0"/>
              <w:rPr>
                <w:rFonts w:eastAsiaTheme="minorEastAsia" w:cs="Calibri"/>
                <w:b w:val="0"/>
              </w:rPr>
            </w:pPr>
            <w:r>
              <w:rPr>
                <w:rFonts w:eastAsiaTheme="minorEastAsia" w:cs="Calibri"/>
                <w:b w:val="0"/>
              </w:rPr>
              <w:t>Finland</w:t>
            </w:r>
          </w:p>
        </w:tc>
        <w:tc>
          <w:tcPr>
            <w:tcW w:w="516" w:type="pct"/>
            <w:shd w:val="clear" w:color="auto" w:fill="auto"/>
            <w:tcMar>
              <w:left w:w="28" w:type="dxa"/>
              <w:right w:w="28" w:type="dxa"/>
            </w:tcMar>
          </w:tcPr>
          <w:p w14:paraId="55727970" w14:textId="77777777" w:rsidR="0030465C" w:rsidRDefault="00204015" w:rsidP="00693DA2">
            <w:pPr>
              <w:pStyle w:val="Tableheading"/>
              <w:autoSpaceDE w:val="0"/>
              <w:autoSpaceDN w:val="0"/>
              <w:adjustRightInd w:val="0"/>
              <w:rPr>
                <w:rFonts w:eastAsiaTheme="minorEastAsia" w:cs="Calibri"/>
                <w:b w:val="0"/>
              </w:rPr>
            </w:pPr>
            <w:r>
              <w:rPr>
                <w:rFonts w:eastAsiaTheme="minorEastAsia" w:cs="Calibri"/>
                <w:b w:val="0"/>
              </w:rPr>
              <w:t>291</w:t>
            </w:r>
          </w:p>
          <w:p w14:paraId="7A77854B" w14:textId="77777777"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Heavy smokers</w:t>
            </w:r>
          </w:p>
          <w:p w14:paraId="4DD9E131" w14:textId="4484B4EC"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n=</w:t>
            </w:r>
            <w:r w:rsidR="003F01AD">
              <w:rPr>
                <w:rFonts w:eastAsiaTheme="minorEastAsia" w:cs="Calibri"/>
                <w:b w:val="0"/>
              </w:rPr>
              <w:t>51</w:t>
            </w:r>
            <w:r>
              <w:rPr>
                <w:rFonts w:eastAsiaTheme="minorEastAsia" w:cs="Calibri"/>
                <w:b w:val="0"/>
              </w:rPr>
              <w:t xml:space="preserve"> (NRT)</w:t>
            </w:r>
          </w:p>
          <w:p w14:paraId="45B1D06B" w14:textId="34B82A25" w:rsidR="000A34E0" w:rsidRDefault="000A34E0" w:rsidP="00693DA2">
            <w:pPr>
              <w:pStyle w:val="Tableheading"/>
              <w:autoSpaceDE w:val="0"/>
              <w:autoSpaceDN w:val="0"/>
              <w:adjustRightInd w:val="0"/>
              <w:rPr>
                <w:rFonts w:eastAsiaTheme="minorEastAsia" w:cs="Calibri"/>
                <w:b w:val="0"/>
              </w:rPr>
            </w:pPr>
            <w:r>
              <w:rPr>
                <w:rFonts w:eastAsiaTheme="minorEastAsia" w:cs="Calibri"/>
                <w:b w:val="0"/>
              </w:rPr>
              <w:t>n=</w:t>
            </w:r>
            <w:r w:rsidR="003F01AD">
              <w:rPr>
                <w:rFonts w:eastAsiaTheme="minorEastAsia" w:cs="Calibri"/>
                <w:b w:val="0"/>
              </w:rPr>
              <w:t>60</w:t>
            </w:r>
            <w:r>
              <w:rPr>
                <w:rFonts w:eastAsiaTheme="minorEastAsia" w:cs="Calibri"/>
                <w:b w:val="0"/>
              </w:rPr>
              <w:t xml:space="preserve"> (varenicline)</w:t>
            </w:r>
          </w:p>
          <w:p w14:paraId="6B1CBBC8" w14:textId="77777777" w:rsidR="00136112" w:rsidRDefault="00136112" w:rsidP="00693DA2">
            <w:pPr>
              <w:pStyle w:val="Tableheading"/>
              <w:autoSpaceDE w:val="0"/>
              <w:autoSpaceDN w:val="0"/>
              <w:adjustRightInd w:val="0"/>
              <w:rPr>
                <w:rFonts w:eastAsiaTheme="minorEastAsia" w:cs="Calibri"/>
                <w:b w:val="0"/>
              </w:rPr>
            </w:pPr>
          </w:p>
          <w:p w14:paraId="22C2C314" w14:textId="723DF82E" w:rsidR="00136112" w:rsidRPr="001E2154" w:rsidRDefault="00136112" w:rsidP="00693DA2">
            <w:pPr>
              <w:pStyle w:val="Tableheading"/>
              <w:autoSpaceDE w:val="0"/>
              <w:autoSpaceDN w:val="0"/>
              <w:adjustRightInd w:val="0"/>
              <w:rPr>
                <w:rFonts w:eastAsiaTheme="minorEastAsia" w:cs="Calibri"/>
                <w:b w:val="0"/>
              </w:rPr>
            </w:pPr>
            <w:r>
              <w:rPr>
                <w:rFonts w:eastAsiaTheme="minorEastAsia" w:cs="Calibri"/>
                <w:b w:val="0"/>
              </w:rPr>
              <w:t>*</w:t>
            </w:r>
            <w:r w:rsidR="00454E03">
              <w:rPr>
                <w:rFonts w:eastAsiaTheme="minorEastAsia" w:cs="Calibri"/>
                <w:b w:val="0"/>
              </w:rPr>
              <w:t>light smokers (n=180</w:t>
            </w:r>
            <w:r w:rsidR="004664D2">
              <w:rPr>
                <w:rFonts w:eastAsiaTheme="minorEastAsia" w:cs="Calibri"/>
                <w:b w:val="0"/>
              </w:rPr>
              <w:t>) data</w:t>
            </w:r>
            <w:r w:rsidR="00454E03">
              <w:rPr>
                <w:rFonts w:eastAsiaTheme="minorEastAsia" w:cs="Calibri"/>
                <w:b w:val="0"/>
              </w:rPr>
              <w:t xml:space="preserve"> already included in Hartmann-Boyce 2018</w:t>
            </w:r>
          </w:p>
        </w:tc>
        <w:tc>
          <w:tcPr>
            <w:tcW w:w="1142" w:type="pct"/>
            <w:shd w:val="clear" w:color="auto" w:fill="auto"/>
            <w:tcMar>
              <w:left w:w="28" w:type="dxa"/>
              <w:right w:w="28" w:type="dxa"/>
            </w:tcMar>
          </w:tcPr>
          <w:p w14:paraId="2D6662E1" w14:textId="77777777" w:rsidR="00092856" w:rsidRPr="00092856"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18-26yo smokers (daily for the past month and 100 or more lifetime cigarettes), motivated to quit</w:t>
            </w:r>
          </w:p>
          <w:p w14:paraId="4BEC21D6" w14:textId="77777777" w:rsidR="00092856" w:rsidRPr="00092856"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Exclusions:</w:t>
            </w:r>
          </w:p>
          <w:p w14:paraId="24C28F83" w14:textId="672CA4ED" w:rsidR="0030465C" w:rsidRPr="001E2154" w:rsidRDefault="00092856" w:rsidP="00092856">
            <w:pPr>
              <w:pStyle w:val="Tableheading"/>
              <w:autoSpaceDE w:val="0"/>
              <w:autoSpaceDN w:val="0"/>
              <w:adjustRightInd w:val="0"/>
              <w:rPr>
                <w:rFonts w:eastAsiaTheme="minorEastAsia" w:cs="Calibri"/>
                <w:b w:val="0"/>
              </w:rPr>
            </w:pPr>
            <w:r w:rsidRPr="00092856">
              <w:rPr>
                <w:rFonts w:eastAsiaTheme="minorEastAsia" w:cs="Calibri"/>
                <w:b w:val="0"/>
              </w:rPr>
              <w:t xml:space="preserve">Current drug or alcohol abuse, known allergy to study medications, lactation, </w:t>
            </w:r>
            <w:r w:rsidR="004664D2" w:rsidRPr="00092856">
              <w:rPr>
                <w:rFonts w:eastAsiaTheme="minorEastAsia" w:cs="Calibri"/>
                <w:b w:val="0"/>
              </w:rPr>
              <w:t>pregnancy,</w:t>
            </w:r>
            <w:r w:rsidRPr="00092856">
              <w:rPr>
                <w:rFonts w:eastAsiaTheme="minorEastAsia" w:cs="Calibri"/>
                <w:b w:val="0"/>
              </w:rPr>
              <w:t xml:space="preserve"> or intention to become pregnant during study period.</w:t>
            </w:r>
          </w:p>
        </w:tc>
        <w:tc>
          <w:tcPr>
            <w:tcW w:w="808" w:type="pct"/>
            <w:shd w:val="clear" w:color="auto" w:fill="auto"/>
          </w:tcPr>
          <w:p w14:paraId="01C2641B" w14:textId="77777777" w:rsidR="00092856" w:rsidRPr="00092856" w:rsidRDefault="00092856" w:rsidP="00FF725F">
            <w:pPr>
              <w:pStyle w:val="Tablewriting"/>
              <w:keepNext/>
              <w:rPr>
                <w:rFonts w:eastAsia="MS Mincho"/>
              </w:rPr>
            </w:pPr>
            <w:r w:rsidRPr="00092856">
              <w:rPr>
                <w:rFonts w:eastAsia="MS Mincho"/>
              </w:rPr>
              <w:t>HIS 0-2 points (light smokers):</w:t>
            </w:r>
          </w:p>
          <w:p w14:paraId="198703ED" w14:textId="0EBB5A75" w:rsidR="00092856" w:rsidRPr="00092856" w:rsidRDefault="00092856" w:rsidP="00C324F3">
            <w:pPr>
              <w:pStyle w:val="Tablewriting"/>
              <w:keepNext/>
              <w:numPr>
                <w:ilvl w:val="0"/>
                <w:numId w:val="8"/>
              </w:numPr>
              <w:rPr>
                <w:rFonts w:eastAsia="MS Mincho"/>
              </w:rPr>
            </w:pPr>
            <w:r w:rsidRPr="00092856">
              <w:rPr>
                <w:rFonts w:eastAsia="MS Mincho"/>
              </w:rPr>
              <w:t>NRT patch (10</w:t>
            </w:r>
            <w:r w:rsidR="00E00D0D">
              <w:rPr>
                <w:rFonts w:eastAsia="MS Mincho"/>
              </w:rPr>
              <w:t xml:space="preserve"> </w:t>
            </w:r>
            <w:r w:rsidRPr="00092856">
              <w:rPr>
                <w:rFonts w:eastAsia="MS Mincho"/>
              </w:rPr>
              <w:t>mg/16hr), 8wks</w:t>
            </w:r>
          </w:p>
          <w:p w14:paraId="6BAE63B4" w14:textId="73D5C3D6" w:rsidR="00092856" w:rsidRPr="00092856" w:rsidRDefault="00092856" w:rsidP="00C324F3">
            <w:pPr>
              <w:pStyle w:val="Tablewriting"/>
              <w:keepNext/>
              <w:numPr>
                <w:ilvl w:val="0"/>
                <w:numId w:val="8"/>
              </w:numPr>
              <w:rPr>
                <w:rFonts w:eastAsia="MS Mincho"/>
              </w:rPr>
            </w:pPr>
            <w:r w:rsidRPr="00092856">
              <w:rPr>
                <w:rFonts w:eastAsia="MS Mincho"/>
              </w:rPr>
              <w:t>P</w:t>
            </w:r>
            <w:r w:rsidR="00D879FF">
              <w:rPr>
                <w:rFonts w:eastAsia="MS Mincho"/>
              </w:rPr>
              <w:t>l</w:t>
            </w:r>
            <w:r w:rsidRPr="00092856">
              <w:rPr>
                <w:rFonts w:eastAsia="MS Mincho"/>
              </w:rPr>
              <w:t>acebo patch</w:t>
            </w:r>
          </w:p>
          <w:p w14:paraId="1C33E19C" w14:textId="77777777" w:rsidR="00092856" w:rsidRPr="00092856" w:rsidRDefault="00092856" w:rsidP="00FF725F">
            <w:pPr>
              <w:pStyle w:val="Tablewriting"/>
              <w:keepNext/>
              <w:rPr>
                <w:rFonts w:eastAsia="MS Mincho"/>
              </w:rPr>
            </w:pPr>
            <w:r w:rsidRPr="00092856">
              <w:rPr>
                <w:rFonts w:eastAsia="MS Mincho"/>
              </w:rPr>
              <w:t>HIS 3-6 points (heavy smokers)</w:t>
            </w:r>
          </w:p>
          <w:p w14:paraId="0D62E2D6" w14:textId="4489FC11" w:rsidR="00092856" w:rsidRPr="00092856" w:rsidRDefault="00092856" w:rsidP="00C324F3">
            <w:pPr>
              <w:pStyle w:val="Tablewriting"/>
              <w:keepNext/>
              <w:numPr>
                <w:ilvl w:val="0"/>
                <w:numId w:val="8"/>
              </w:numPr>
              <w:rPr>
                <w:rFonts w:eastAsia="MS Mincho"/>
              </w:rPr>
            </w:pPr>
            <w:r w:rsidRPr="00092856">
              <w:rPr>
                <w:rFonts w:eastAsia="MS Mincho"/>
              </w:rPr>
              <w:t>NRT patch (15</w:t>
            </w:r>
            <w:r w:rsidR="00E00D0D">
              <w:rPr>
                <w:rFonts w:eastAsia="MS Mincho"/>
              </w:rPr>
              <w:t xml:space="preserve"> </w:t>
            </w:r>
            <w:r w:rsidRPr="00092856">
              <w:rPr>
                <w:rFonts w:eastAsia="MS Mincho"/>
              </w:rPr>
              <w:t xml:space="preserve">mg/16hr) 8 wks) </w:t>
            </w:r>
          </w:p>
          <w:p w14:paraId="25A4D1F5" w14:textId="6ADE0CE3" w:rsidR="00092856" w:rsidRPr="00092856" w:rsidRDefault="00092856" w:rsidP="00C324F3">
            <w:pPr>
              <w:pStyle w:val="Tablewriting"/>
              <w:keepNext/>
              <w:numPr>
                <w:ilvl w:val="0"/>
                <w:numId w:val="8"/>
              </w:numPr>
              <w:rPr>
                <w:rFonts w:eastAsia="MS Mincho"/>
              </w:rPr>
            </w:pPr>
            <w:r w:rsidRPr="00092856">
              <w:rPr>
                <w:rFonts w:eastAsia="MS Mincho"/>
              </w:rPr>
              <w:t>Varenicline, 1</w:t>
            </w:r>
            <w:r w:rsidR="00E00D0D">
              <w:rPr>
                <w:rFonts w:eastAsia="MS Mincho"/>
              </w:rPr>
              <w:t xml:space="preserve"> </w:t>
            </w:r>
            <w:r w:rsidRPr="00092856">
              <w:rPr>
                <w:rFonts w:eastAsia="MS Mincho"/>
              </w:rPr>
              <w:t>mg bd, 12 w</w:t>
            </w:r>
            <w:r w:rsidR="00E00D0D">
              <w:rPr>
                <w:rFonts w:eastAsia="MS Mincho"/>
              </w:rPr>
              <w:t>ee</w:t>
            </w:r>
            <w:r w:rsidRPr="00092856">
              <w:rPr>
                <w:rFonts w:eastAsia="MS Mincho"/>
              </w:rPr>
              <w:t>ks with 1</w:t>
            </w:r>
            <w:r w:rsidR="00E00D0D">
              <w:rPr>
                <w:rFonts w:eastAsia="MS Mincho"/>
              </w:rPr>
              <w:t xml:space="preserve"> </w:t>
            </w:r>
            <w:r w:rsidRPr="00092856">
              <w:rPr>
                <w:rFonts w:eastAsia="MS Mincho"/>
              </w:rPr>
              <w:t>w</w:t>
            </w:r>
            <w:r w:rsidR="00E00D0D">
              <w:rPr>
                <w:rFonts w:eastAsia="MS Mincho"/>
              </w:rPr>
              <w:t>ee</w:t>
            </w:r>
            <w:r w:rsidRPr="00092856">
              <w:rPr>
                <w:rFonts w:eastAsia="MS Mincho"/>
              </w:rPr>
              <w:t xml:space="preserve">k dose titration </w:t>
            </w:r>
          </w:p>
          <w:p w14:paraId="3F176FE8" w14:textId="77777777" w:rsidR="00092856" w:rsidRPr="00092856" w:rsidRDefault="00092856" w:rsidP="00FF725F">
            <w:pPr>
              <w:pStyle w:val="Tablewriting"/>
              <w:keepNext/>
              <w:rPr>
                <w:rFonts w:eastAsia="MS Mincho"/>
              </w:rPr>
            </w:pPr>
            <w:r w:rsidRPr="00554906">
              <w:rPr>
                <w:rFonts w:eastAsia="MS Mincho"/>
                <w:u w:val="single"/>
              </w:rPr>
              <w:t>Common elements</w:t>
            </w:r>
            <w:r w:rsidRPr="00092856">
              <w:rPr>
                <w:rFonts w:eastAsia="MS Mincho"/>
              </w:rPr>
              <w:t>:</w:t>
            </w:r>
          </w:p>
          <w:p w14:paraId="570865BC" w14:textId="3DD697E8" w:rsidR="0030465C" w:rsidRPr="00D11171" w:rsidRDefault="00092856" w:rsidP="00C324F3">
            <w:pPr>
              <w:pStyle w:val="Tablewriting"/>
              <w:keepNext/>
              <w:numPr>
                <w:ilvl w:val="0"/>
                <w:numId w:val="8"/>
              </w:numPr>
              <w:rPr>
                <w:rFonts w:eastAsia="MS Mincho"/>
              </w:rPr>
            </w:pPr>
            <w:r w:rsidRPr="00092856">
              <w:rPr>
                <w:rFonts w:eastAsia="MS Mincho"/>
              </w:rPr>
              <w:t>Motivational interviewing (30</w:t>
            </w:r>
            <w:r w:rsidR="00E00D0D">
              <w:rPr>
                <w:rFonts w:eastAsia="MS Mincho"/>
              </w:rPr>
              <w:t xml:space="preserve"> </w:t>
            </w:r>
            <w:r w:rsidRPr="00092856">
              <w:rPr>
                <w:rFonts w:eastAsia="MS Mincho"/>
              </w:rPr>
              <w:t>minutes), w</w:t>
            </w:r>
            <w:r w:rsidR="00E00D0D">
              <w:rPr>
                <w:rFonts w:eastAsia="MS Mincho"/>
              </w:rPr>
              <w:t>ee</w:t>
            </w:r>
            <w:r w:rsidRPr="00092856">
              <w:rPr>
                <w:rFonts w:eastAsia="MS Mincho"/>
              </w:rPr>
              <w:t>k 0, 4, 52)</w:t>
            </w:r>
          </w:p>
        </w:tc>
        <w:tc>
          <w:tcPr>
            <w:tcW w:w="1094" w:type="pct"/>
            <w:shd w:val="clear" w:color="auto" w:fill="auto"/>
            <w:tcMar>
              <w:left w:w="28" w:type="dxa"/>
              <w:right w:w="28" w:type="dxa"/>
            </w:tcMar>
          </w:tcPr>
          <w:p w14:paraId="449F23F5" w14:textId="77777777" w:rsidR="00092856" w:rsidRPr="00092856" w:rsidRDefault="00092856" w:rsidP="00092856">
            <w:pPr>
              <w:pStyle w:val="Tableheading"/>
              <w:autoSpaceDE w:val="0"/>
              <w:autoSpaceDN w:val="0"/>
              <w:adjustRightInd w:val="0"/>
              <w:rPr>
                <w:rFonts w:eastAsiaTheme="minorEastAsia" w:cs="Calibri"/>
                <w:b w:val="0"/>
                <w:u w:val="single"/>
              </w:rPr>
            </w:pPr>
            <w:r w:rsidRPr="00092856">
              <w:rPr>
                <w:rFonts w:eastAsiaTheme="minorEastAsia" w:cs="Calibri"/>
                <w:b w:val="0"/>
                <w:u w:val="single"/>
              </w:rPr>
              <w:t>Efficacy:</w:t>
            </w:r>
          </w:p>
          <w:p w14:paraId="28334DFD" w14:textId="77777777" w:rsidR="00092856" w:rsidRPr="00554906" w:rsidRDefault="00092856" w:rsidP="00092856">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5343B089" w14:textId="195FFF2B"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7-day PPA, non-validated (=&lt;10ng/mL), 12 w</w:t>
            </w:r>
            <w:r w:rsidR="00F95EF8">
              <w:rPr>
                <w:rFonts w:eastAsiaTheme="minorEastAsia" w:cs="Calibri"/>
                <w:b w:val="0"/>
              </w:rPr>
              <w:t>ee</w:t>
            </w:r>
            <w:r w:rsidRPr="003A352C">
              <w:rPr>
                <w:rFonts w:eastAsiaTheme="minorEastAsia" w:cs="Calibri"/>
                <w:b w:val="0"/>
              </w:rPr>
              <w:t>ks</w:t>
            </w:r>
          </w:p>
          <w:p w14:paraId="66D85880" w14:textId="77777777" w:rsidR="00092856" w:rsidRPr="00554906" w:rsidRDefault="00092856" w:rsidP="00092856">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14C81373" w14:textId="008869A2"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 xml:space="preserve">7-day </w:t>
            </w:r>
            <w:r w:rsidR="004664D2" w:rsidRPr="003A352C">
              <w:rPr>
                <w:rFonts w:eastAsiaTheme="minorEastAsia" w:cs="Calibri"/>
                <w:b w:val="0"/>
              </w:rPr>
              <w:t>PPA, (</w:t>
            </w:r>
            <w:r w:rsidRPr="003A352C">
              <w:rPr>
                <w:rFonts w:eastAsiaTheme="minorEastAsia" w:cs="Calibri"/>
                <w:b w:val="0"/>
              </w:rPr>
              <w:t>non-validated), 1mo, 6mo</w:t>
            </w:r>
          </w:p>
          <w:p w14:paraId="5A9EDA4C" w14:textId="24273637" w:rsidR="00092856" w:rsidRPr="003A352C" w:rsidRDefault="00092856" w:rsidP="00092856">
            <w:pPr>
              <w:pStyle w:val="Tableheading"/>
              <w:autoSpaceDE w:val="0"/>
              <w:autoSpaceDN w:val="0"/>
              <w:adjustRightInd w:val="0"/>
              <w:rPr>
                <w:rFonts w:eastAsiaTheme="minorEastAsia" w:cs="Calibri"/>
                <w:b w:val="0"/>
              </w:rPr>
            </w:pPr>
            <w:r w:rsidRPr="003A352C">
              <w:rPr>
                <w:rFonts w:eastAsiaTheme="minorEastAsia" w:cs="Calibri"/>
                <w:b w:val="0"/>
              </w:rPr>
              <w:t xml:space="preserve">7-day PPA, </w:t>
            </w:r>
            <w:r w:rsidR="00115AEE" w:rsidRPr="003A352C">
              <w:rPr>
                <w:rFonts w:eastAsiaTheme="minorEastAsia" w:cs="Calibri"/>
                <w:b w:val="0"/>
              </w:rPr>
              <w:t>cotinine</w:t>
            </w:r>
            <w:r w:rsidRPr="003A352C">
              <w:rPr>
                <w:rFonts w:eastAsiaTheme="minorEastAsia" w:cs="Calibri"/>
                <w:b w:val="0"/>
              </w:rPr>
              <w:t>-validated (=&lt;10ng/mL), 12 w</w:t>
            </w:r>
            <w:r w:rsidR="00F95EF8">
              <w:rPr>
                <w:rFonts w:eastAsiaTheme="minorEastAsia" w:cs="Calibri"/>
                <w:b w:val="0"/>
              </w:rPr>
              <w:t>ee</w:t>
            </w:r>
            <w:r w:rsidRPr="003A352C">
              <w:rPr>
                <w:rFonts w:eastAsiaTheme="minorEastAsia" w:cs="Calibri"/>
                <w:b w:val="0"/>
              </w:rPr>
              <w:t>ks</w:t>
            </w:r>
          </w:p>
          <w:p w14:paraId="08561DD3" w14:textId="5AA12DDD" w:rsidR="00092856" w:rsidRPr="00092856" w:rsidRDefault="00092856" w:rsidP="00092856">
            <w:pPr>
              <w:pStyle w:val="Tableheading"/>
              <w:autoSpaceDE w:val="0"/>
              <w:autoSpaceDN w:val="0"/>
              <w:adjustRightInd w:val="0"/>
              <w:rPr>
                <w:rFonts w:eastAsiaTheme="minorEastAsia" w:cs="Calibri"/>
                <w:b w:val="0"/>
                <w:u w:val="single"/>
              </w:rPr>
            </w:pPr>
            <w:r>
              <w:rPr>
                <w:rFonts w:eastAsiaTheme="minorEastAsia" w:cs="Calibri"/>
                <w:b w:val="0"/>
                <w:u w:val="single"/>
              </w:rPr>
              <w:t>Safety</w:t>
            </w:r>
            <w:r w:rsidR="006A467D">
              <w:rPr>
                <w:rFonts w:eastAsiaTheme="minorEastAsia" w:cs="Calibri"/>
                <w:b w:val="0"/>
              </w:rPr>
              <w:t xml:space="preserve">: </w:t>
            </w:r>
            <w:r w:rsidRPr="003A352C">
              <w:rPr>
                <w:rFonts w:eastAsiaTheme="minorEastAsia" w:cs="Calibri"/>
                <w:b w:val="0"/>
              </w:rPr>
              <w:t>Treatment discontinuations due to AE</w:t>
            </w:r>
            <w:r w:rsidR="006A467D">
              <w:rPr>
                <w:rFonts w:eastAsiaTheme="minorEastAsia" w:cs="Calibri"/>
                <w:b w:val="0"/>
              </w:rPr>
              <w:t xml:space="preserve">, </w:t>
            </w:r>
            <w:r w:rsidRPr="003A352C">
              <w:rPr>
                <w:rFonts w:eastAsiaTheme="minorEastAsia" w:cs="Calibri"/>
                <w:b w:val="0"/>
              </w:rPr>
              <w:t>SAE</w:t>
            </w:r>
            <w:r w:rsidR="006A467D">
              <w:rPr>
                <w:rFonts w:eastAsiaTheme="minorEastAsia" w:cs="Calibri"/>
                <w:b w:val="0"/>
              </w:rPr>
              <w:t>.</w:t>
            </w:r>
          </w:p>
          <w:p w14:paraId="7833D2A2" w14:textId="358BC281" w:rsidR="0030465C" w:rsidRPr="00320A67" w:rsidRDefault="0030465C" w:rsidP="00092856">
            <w:pPr>
              <w:pStyle w:val="Tableheading"/>
              <w:autoSpaceDE w:val="0"/>
              <w:autoSpaceDN w:val="0"/>
              <w:adjustRightInd w:val="0"/>
              <w:rPr>
                <w:rFonts w:eastAsiaTheme="minorEastAsia" w:cs="Calibri"/>
                <w:b w:val="0"/>
                <w:u w:val="single"/>
              </w:rPr>
            </w:pPr>
          </w:p>
        </w:tc>
      </w:tr>
      <w:tr w:rsidR="003A409B" w:rsidRPr="00061F78" w14:paraId="390BD1A4" w14:textId="77777777" w:rsidTr="00D0517F">
        <w:trPr>
          <w:trHeight w:val="99"/>
        </w:trPr>
        <w:tc>
          <w:tcPr>
            <w:tcW w:w="189" w:type="pct"/>
          </w:tcPr>
          <w:p w14:paraId="33B95A7E" w14:textId="69216A5D"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70750486" w14:textId="401D00ED"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Lerman 2015</w:t>
            </w:r>
          </w:p>
        </w:tc>
        <w:tc>
          <w:tcPr>
            <w:tcW w:w="379" w:type="pct"/>
            <w:shd w:val="clear" w:color="auto" w:fill="auto"/>
          </w:tcPr>
          <w:p w14:paraId="543B8CED" w14:textId="506BA086"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0B9A50DE" w14:textId="2D9FFF2D" w:rsidR="001835D1" w:rsidRPr="001E2154" w:rsidRDefault="003F01AD" w:rsidP="00693DA2">
            <w:pPr>
              <w:pStyle w:val="Tableheading"/>
              <w:autoSpaceDE w:val="0"/>
              <w:autoSpaceDN w:val="0"/>
              <w:adjustRightInd w:val="0"/>
              <w:rPr>
                <w:rFonts w:eastAsiaTheme="minorEastAsia" w:cs="Calibri"/>
                <w:b w:val="0"/>
              </w:rPr>
            </w:pPr>
            <w:r>
              <w:rPr>
                <w:rFonts w:eastAsiaTheme="minorEastAsia" w:cs="Calibri"/>
                <w:b w:val="0"/>
              </w:rPr>
              <w:t>USA, Canada</w:t>
            </w:r>
          </w:p>
        </w:tc>
        <w:tc>
          <w:tcPr>
            <w:tcW w:w="516" w:type="pct"/>
            <w:shd w:val="clear" w:color="auto" w:fill="auto"/>
            <w:tcMar>
              <w:left w:w="28" w:type="dxa"/>
              <w:right w:w="28" w:type="dxa"/>
            </w:tcMar>
          </w:tcPr>
          <w:p w14:paraId="77855B9A" w14:textId="77777777" w:rsidR="001835D1" w:rsidRDefault="003F01AD" w:rsidP="00693DA2">
            <w:pPr>
              <w:pStyle w:val="Tableheading"/>
              <w:autoSpaceDE w:val="0"/>
              <w:autoSpaceDN w:val="0"/>
              <w:adjustRightInd w:val="0"/>
              <w:rPr>
                <w:rFonts w:eastAsiaTheme="minorEastAsia" w:cs="Calibri"/>
                <w:b w:val="0"/>
              </w:rPr>
            </w:pPr>
            <w:r>
              <w:rPr>
                <w:rFonts w:eastAsiaTheme="minorEastAsia" w:cs="Calibri"/>
                <w:b w:val="0"/>
              </w:rPr>
              <w:t>1246</w:t>
            </w:r>
          </w:p>
          <w:p w14:paraId="0453A365" w14:textId="74EB3202" w:rsidR="001572A8"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418</w:t>
            </w:r>
            <w:r>
              <w:rPr>
                <w:rFonts w:eastAsiaTheme="minorEastAsia" w:cs="Calibri"/>
                <w:b w:val="0"/>
              </w:rPr>
              <w:t xml:space="preserve"> (NRT)</w:t>
            </w:r>
          </w:p>
          <w:p w14:paraId="1F9162EA" w14:textId="2FA6162A" w:rsidR="006A076B"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420</w:t>
            </w:r>
            <w:r>
              <w:rPr>
                <w:rFonts w:eastAsiaTheme="minorEastAsia" w:cs="Calibri"/>
                <w:b w:val="0"/>
              </w:rPr>
              <w:t xml:space="preserve"> (varenicline)</w:t>
            </w:r>
          </w:p>
          <w:p w14:paraId="3A1D1649" w14:textId="2081D2D0" w:rsidR="006A076B" w:rsidRPr="001E2154" w:rsidRDefault="006A076B" w:rsidP="00693DA2">
            <w:pPr>
              <w:pStyle w:val="Tableheading"/>
              <w:autoSpaceDE w:val="0"/>
              <w:autoSpaceDN w:val="0"/>
              <w:adjustRightInd w:val="0"/>
              <w:rPr>
                <w:rFonts w:eastAsiaTheme="minorEastAsia" w:cs="Calibri"/>
                <w:b w:val="0"/>
              </w:rPr>
            </w:pPr>
            <w:r>
              <w:rPr>
                <w:rFonts w:eastAsiaTheme="minorEastAsia" w:cs="Calibri"/>
                <w:b w:val="0"/>
              </w:rPr>
              <w:t>n=</w:t>
            </w:r>
            <w:r w:rsidR="009F45C0">
              <w:rPr>
                <w:rFonts w:eastAsiaTheme="minorEastAsia" w:cs="Calibri"/>
                <w:b w:val="0"/>
              </w:rPr>
              <w:t>408</w:t>
            </w:r>
            <w:r>
              <w:rPr>
                <w:rFonts w:eastAsiaTheme="minorEastAsia" w:cs="Calibri"/>
                <w:b w:val="0"/>
              </w:rPr>
              <w:t xml:space="preserve"> (placebo)</w:t>
            </w:r>
          </w:p>
        </w:tc>
        <w:tc>
          <w:tcPr>
            <w:tcW w:w="1142" w:type="pct"/>
            <w:shd w:val="clear" w:color="auto" w:fill="auto"/>
            <w:tcMar>
              <w:left w:w="28" w:type="dxa"/>
              <w:right w:w="28" w:type="dxa"/>
            </w:tcMar>
          </w:tcPr>
          <w:p w14:paraId="70BA5EB4" w14:textId="77777777" w:rsidR="001572A8" w:rsidRPr="001572A8"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Adults (18-65yrs) smokers (10 or more CPD for 6mo or longer, CO&gt;10ppm)</w:t>
            </w:r>
          </w:p>
          <w:p w14:paraId="38D01002" w14:textId="77777777" w:rsidR="001572A8" w:rsidRPr="001572A8"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Exclusions:</w:t>
            </w:r>
          </w:p>
          <w:p w14:paraId="08ECCCDC" w14:textId="2331E36B" w:rsidR="001835D1" w:rsidRPr="001E2154" w:rsidRDefault="001572A8" w:rsidP="001572A8">
            <w:pPr>
              <w:pStyle w:val="Tableheading"/>
              <w:autoSpaceDE w:val="0"/>
              <w:autoSpaceDN w:val="0"/>
              <w:adjustRightInd w:val="0"/>
              <w:rPr>
                <w:rFonts w:eastAsiaTheme="minorEastAsia" w:cs="Calibri"/>
                <w:b w:val="0"/>
              </w:rPr>
            </w:pPr>
            <w:r w:rsidRPr="001572A8">
              <w:rPr>
                <w:rFonts w:eastAsiaTheme="minorEastAsia" w:cs="Calibri"/>
                <w:b w:val="0"/>
              </w:rPr>
              <w:t>Non-cigarette tobacco products, e-cigarettes, or current smoking treatment; history of substance misuse, current use of cocaine or methamphetamine, more than 25 alcoholic drinks per week, medical contraindications (pregnancy, history of cancer, kidney or liver disease, or transplant, clinically significance cardiac dysrhythmias, stroke, angin</w:t>
            </w:r>
            <w:r w:rsidR="009F45C0">
              <w:rPr>
                <w:rFonts w:eastAsiaTheme="minorEastAsia" w:cs="Calibri"/>
                <w:b w:val="0"/>
              </w:rPr>
              <w:t>a</w:t>
            </w:r>
            <w:r w:rsidRPr="001572A8">
              <w:rPr>
                <w:rFonts w:eastAsiaTheme="minorEastAsia" w:cs="Calibri"/>
                <w:b w:val="0"/>
              </w:rPr>
              <w:t xml:space="preserve">, heart attack, uncontrolled </w:t>
            </w:r>
            <w:r w:rsidRPr="001572A8">
              <w:rPr>
                <w:rFonts w:eastAsiaTheme="minorEastAsia" w:cs="Calibri"/>
                <w:b w:val="0"/>
              </w:rPr>
              <w:lastRenderedPageBreak/>
              <w:t xml:space="preserve">hypertension), </w:t>
            </w:r>
            <w:r w:rsidR="00114FF2" w:rsidRPr="001572A8">
              <w:rPr>
                <w:rFonts w:eastAsiaTheme="minorEastAsia" w:cs="Calibri"/>
                <w:b w:val="0"/>
              </w:rPr>
              <w:t>history</w:t>
            </w:r>
            <w:r w:rsidRPr="001572A8">
              <w:rPr>
                <w:rFonts w:eastAsiaTheme="minorEastAsia" w:cs="Calibri"/>
                <w:b w:val="0"/>
              </w:rPr>
              <w:t xml:space="preserve"> of DSM-IV Axis 1 psychiatric disorder or suicide risk score on MINI interview more than 1, current major depression, current use of antipsychotics, stimulants, opiates, anticoagulants, rescue inhalers, </w:t>
            </w:r>
            <w:r w:rsidR="000F2987" w:rsidRPr="001572A8">
              <w:rPr>
                <w:rFonts w:eastAsiaTheme="minorEastAsia" w:cs="Calibri"/>
                <w:b w:val="0"/>
              </w:rPr>
              <w:t>antiarrhythmics</w:t>
            </w:r>
            <w:r w:rsidRPr="001572A8">
              <w:rPr>
                <w:rFonts w:eastAsiaTheme="minorEastAsia" w:cs="Calibri"/>
                <w:b w:val="0"/>
              </w:rPr>
              <w:t xml:space="preserve">, medications altering CYP2A6 activity, inability to </w:t>
            </w:r>
            <w:r w:rsidR="00114FF2" w:rsidRPr="001572A8">
              <w:rPr>
                <w:rFonts w:eastAsiaTheme="minorEastAsia" w:cs="Calibri"/>
                <w:b w:val="0"/>
              </w:rPr>
              <w:t>provide</w:t>
            </w:r>
            <w:r w:rsidRPr="001572A8">
              <w:rPr>
                <w:rFonts w:eastAsiaTheme="minorEastAsia" w:cs="Calibri"/>
                <w:b w:val="0"/>
              </w:rPr>
              <w:t xml:space="preserve"> consent or any condition that </w:t>
            </w:r>
            <w:r w:rsidR="00114FF2" w:rsidRPr="001572A8">
              <w:rPr>
                <w:rFonts w:eastAsiaTheme="minorEastAsia" w:cs="Calibri"/>
                <w:b w:val="0"/>
              </w:rPr>
              <w:t>could compromise</w:t>
            </w:r>
            <w:r w:rsidRPr="001572A8">
              <w:rPr>
                <w:rFonts w:eastAsiaTheme="minorEastAsia" w:cs="Calibri"/>
                <w:b w:val="0"/>
              </w:rPr>
              <w:t xml:space="preserve"> safety.</w:t>
            </w:r>
          </w:p>
        </w:tc>
        <w:tc>
          <w:tcPr>
            <w:tcW w:w="808" w:type="pct"/>
            <w:shd w:val="clear" w:color="auto" w:fill="auto"/>
          </w:tcPr>
          <w:p w14:paraId="5FD19E04" w14:textId="23B9A9D3" w:rsidR="001572A8" w:rsidRPr="001572A8" w:rsidRDefault="001572A8" w:rsidP="00C324F3">
            <w:pPr>
              <w:pStyle w:val="Tablewriting"/>
              <w:keepNext/>
              <w:numPr>
                <w:ilvl w:val="0"/>
                <w:numId w:val="8"/>
              </w:numPr>
              <w:rPr>
                <w:rFonts w:eastAsia="MS Mincho"/>
              </w:rPr>
            </w:pPr>
            <w:r w:rsidRPr="001572A8">
              <w:rPr>
                <w:rFonts w:eastAsia="MS Mincho"/>
              </w:rPr>
              <w:lastRenderedPageBreak/>
              <w:t>NRT patch, 11 w</w:t>
            </w:r>
            <w:r w:rsidR="00E00D0D">
              <w:rPr>
                <w:rFonts w:eastAsia="MS Mincho"/>
              </w:rPr>
              <w:t>ee</w:t>
            </w:r>
            <w:r w:rsidRPr="001572A8">
              <w:rPr>
                <w:rFonts w:eastAsia="MS Mincho"/>
              </w:rPr>
              <w:t>k, dose tapered down</w:t>
            </w:r>
          </w:p>
          <w:p w14:paraId="07A7FB50" w14:textId="2D49CBA0" w:rsidR="001572A8" w:rsidRPr="001572A8" w:rsidRDefault="00115AEE" w:rsidP="00C324F3">
            <w:pPr>
              <w:pStyle w:val="Tablewriting"/>
              <w:keepNext/>
              <w:numPr>
                <w:ilvl w:val="0"/>
                <w:numId w:val="8"/>
              </w:numPr>
              <w:rPr>
                <w:rFonts w:eastAsia="MS Mincho"/>
              </w:rPr>
            </w:pPr>
            <w:r w:rsidRPr="001572A8">
              <w:rPr>
                <w:rFonts w:eastAsia="MS Mincho"/>
              </w:rPr>
              <w:t>Varenicline,</w:t>
            </w:r>
            <w:r w:rsidR="001572A8" w:rsidRPr="001572A8">
              <w:rPr>
                <w:rFonts w:eastAsia="MS Mincho"/>
              </w:rPr>
              <w:t xml:space="preserve"> 1</w:t>
            </w:r>
            <w:r w:rsidR="00E00D0D">
              <w:rPr>
                <w:rFonts w:eastAsia="MS Mincho"/>
              </w:rPr>
              <w:t xml:space="preserve"> </w:t>
            </w:r>
            <w:r w:rsidR="001572A8" w:rsidRPr="001572A8">
              <w:rPr>
                <w:rFonts w:eastAsia="MS Mincho"/>
              </w:rPr>
              <w:t>mg bd, 12</w:t>
            </w:r>
            <w:r w:rsidR="00E00D0D">
              <w:rPr>
                <w:rFonts w:eastAsia="MS Mincho"/>
              </w:rPr>
              <w:t xml:space="preserve"> </w:t>
            </w:r>
            <w:r w:rsidR="001572A8" w:rsidRPr="001572A8">
              <w:rPr>
                <w:rFonts w:eastAsia="MS Mincho"/>
              </w:rPr>
              <w:t>w</w:t>
            </w:r>
            <w:r w:rsidR="00E00D0D">
              <w:rPr>
                <w:rFonts w:eastAsia="MS Mincho"/>
              </w:rPr>
              <w:t>ee</w:t>
            </w:r>
            <w:r w:rsidR="001572A8" w:rsidRPr="001572A8">
              <w:rPr>
                <w:rFonts w:eastAsia="MS Mincho"/>
              </w:rPr>
              <w:t>ks with 1</w:t>
            </w:r>
            <w:r w:rsidR="000C78BF">
              <w:rPr>
                <w:rFonts w:eastAsia="MS Mincho"/>
              </w:rPr>
              <w:t xml:space="preserve"> </w:t>
            </w:r>
            <w:r w:rsidR="001572A8" w:rsidRPr="001572A8">
              <w:rPr>
                <w:rFonts w:eastAsia="MS Mincho"/>
              </w:rPr>
              <w:t>w</w:t>
            </w:r>
            <w:r w:rsidR="000C78BF">
              <w:rPr>
                <w:rFonts w:eastAsia="MS Mincho"/>
              </w:rPr>
              <w:t>ee</w:t>
            </w:r>
            <w:r w:rsidR="001572A8" w:rsidRPr="001572A8">
              <w:rPr>
                <w:rFonts w:eastAsia="MS Mincho"/>
              </w:rPr>
              <w:t>k pre-quit dose titration</w:t>
            </w:r>
          </w:p>
          <w:p w14:paraId="5260E934" w14:textId="76DB710B" w:rsidR="001572A8" w:rsidRPr="001572A8" w:rsidRDefault="001572A8" w:rsidP="00C324F3">
            <w:pPr>
              <w:pStyle w:val="Tablewriting"/>
              <w:keepNext/>
              <w:numPr>
                <w:ilvl w:val="0"/>
                <w:numId w:val="8"/>
              </w:numPr>
              <w:rPr>
                <w:rFonts w:eastAsia="MS Mincho"/>
              </w:rPr>
            </w:pPr>
            <w:r w:rsidRPr="001572A8">
              <w:rPr>
                <w:rFonts w:eastAsia="MS Mincho"/>
              </w:rPr>
              <w:t>Placebo (11</w:t>
            </w:r>
            <w:r w:rsidR="000C78BF">
              <w:rPr>
                <w:rFonts w:eastAsia="MS Mincho"/>
              </w:rPr>
              <w:t xml:space="preserve"> </w:t>
            </w:r>
            <w:r w:rsidRPr="001572A8">
              <w:rPr>
                <w:rFonts w:eastAsia="MS Mincho"/>
              </w:rPr>
              <w:t>w</w:t>
            </w:r>
            <w:r w:rsidR="000C78BF">
              <w:rPr>
                <w:rFonts w:eastAsia="MS Mincho"/>
              </w:rPr>
              <w:t>ee</w:t>
            </w:r>
            <w:r w:rsidRPr="001572A8">
              <w:rPr>
                <w:rFonts w:eastAsia="MS Mincho"/>
              </w:rPr>
              <w:t>k)</w:t>
            </w:r>
          </w:p>
          <w:p w14:paraId="6ADF521F" w14:textId="77777777" w:rsidR="001572A8" w:rsidRPr="00554906" w:rsidRDefault="001572A8" w:rsidP="00FF725F">
            <w:pPr>
              <w:pStyle w:val="Tablewriting"/>
              <w:keepNext/>
              <w:rPr>
                <w:rFonts w:eastAsia="MS Mincho"/>
                <w:u w:val="single"/>
              </w:rPr>
            </w:pPr>
            <w:r w:rsidRPr="00554906">
              <w:rPr>
                <w:rFonts w:eastAsia="MS Mincho"/>
                <w:u w:val="single"/>
              </w:rPr>
              <w:t>Common elements</w:t>
            </w:r>
          </w:p>
          <w:p w14:paraId="7F7BBB55" w14:textId="145E4E20" w:rsidR="001835D1" w:rsidRPr="00D11171" w:rsidRDefault="001572A8" w:rsidP="00C324F3">
            <w:pPr>
              <w:pStyle w:val="Tablewriting"/>
              <w:keepNext/>
              <w:numPr>
                <w:ilvl w:val="0"/>
                <w:numId w:val="8"/>
              </w:numPr>
              <w:rPr>
                <w:rFonts w:eastAsia="MS Mincho"/>
              </w:rPr>
            </w:pPr>
            <w:r w:rsidRPr="001572A8">
              <w:rPr>
                <w:rFonts w:eastAsia="MS Mincho"/>
              </w:rPr>
              <w:t>Behavioural counselling</w:t>
            </w:r>
          </w:p>
        </w:tc>
        <w:tc>
          <w:tcPr>
            <w:tcW w:w="1094" w:type="pct"/>
            <w:shd w:val="clear" w:color="auto" w:fill="auto"/>
            <w:tcMar>
              <w:left w:w="28" w:type="dxa"/>
              <w:right w:w="28" w:type="dxa"/>
            </w:tcMar>
          </w:tcPr>
          <w:p w14:paraId="0CB07D62" w14:textId="77777777" w:rsidR="001572A8" w:rsidRPr="001572A8" w:rsidRDefault="001572A8" w:rsidP="001572A8">
            <w:pPr>
              <w:pStyle w:val="Tableheading"/>
              <w:autoSpaceDE w:val="0"/>
              <w:autoSpaceDN w:val="0"/>
              <w:adjustRightInd w:val="0"/>
              <w:rPr>
                <w:rFonts w:eastAsiaTheme="minorEastAsia" w:cs="Calibri"/>
                <w:b w:val="0"/>
                <w:u w:val="single"/>
              </w:rPr>
            </w:pPr>
            <w:r w:rsidRPr="001572A8">
              <w:rPr>
                <w:rFonts w:eastAsiaTheme="minorEastAsia" w:cs="Calibri"/>
                <w:b w:val="0"/>
                <w:u w:val="single"/>
              </w:rPr>
              <w:t>Efficacy:</w:t>
            </w:r>
          </w:p>
          <w:p w14:paraId="69C6C435" w14:textId="77777777" w:rsidR="001572A8" w:rsidRPr="00554906" w:rsidRDefault="001572A8"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09621A85" w14:textId="2CC9B0CB" w:rsidR="001572A8" w:rsidRPr="003A352C" w:rsidRDefault="001572A8" w:rsidP="001572A8">
            <w:pPr>
              <w:pStyle w:val="Tableheading"/>
              <w:autoSpaceDE w:val="0"/>
              <w:autoSpaceDN w:val="0"/>
              <w:adjustRightInd w:val="0"/>
              <w:rPr>
                <w:rFonts w:eastAsiaTheme="minorEastAsia" w:cs="Calibri"/>
                <w:b w:val="0"/>
              </w:rPr>
            </w:pPr>
            <w:r w:rsidRPr="003A352C">
              <w:rPr>
                <w:rFonts w:eastAsiaTheme="minorEastAsia" w:cs="Calibri"/>
                <w:b w:val="0"/>
              </w:rPr>
              <w:t>7-day PPA, w</w:t>
            </w:r>
            <w:r w:rsidR="006A467D">
              <w:rPr>
                <w:rFonts w:eastAsiaTheme="minorEastAsia" w:cs="Calibri"/>
                <w:b w:val="0"/>
              </w:rPr>
              <w:t>ee</w:t>
            </w:r>
            <w:r w:rsidRPr="003A352C">
              <w:rPr>
                <w:rFonts w:eastAsiaTheme="minorEastAsia" w:cs="Calibri"/>
                <w:b w:val="0"/>
              </w:rPr>
              <w:t>k</w:t>
            </w:r>
            <w:r w:rsidR="006A467D">
              <w:rPr>
                <w:rFonts w:eastAsiaTheme="minorEastAsia" w:cs="Calibri"/>
                <w:b w:val="0"/>
              </w:rPr>
              <w:t xml:space="preserve"> </w:t>
            </w:r>
            <w:r w:rsidRPr="003A352C">
              <w:rPr>
                <w:rFonts w:eastAsiaTheme="minorEastAsia" w:cs="Calibri"/>
                <w:b w:val="0"/>
              </w:rPr>
              <w:t>11, CO-confirmed &lt;=8ppm</w:t>
            </w:r>
          </w:p>
          <w:p w14:paraId="13A01E0F" w14:textId="77777777" w:rsidR="001572A8" w:rsidRPr="00554906" w:rsidRDefault="001572A8"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00ADF2B4" w14:textId="64F2FB08" w:rsidR="001572A8" w:rsidRPr="003A352C" w:rsidRDefault="001572A8" w:rsidP="001572A8">
            <w:pPr>
              <w:pStyle w:val="Tableheading"/>
              <w:autoSpaceDE w:val="0"/>
              <w:autoSpaceDN w:val="0"/>
              <w:adjustRightInd w:val="0"/>
              <w:rPr>
                <w:rFonts w:eastAsiaTheme="minorEastAsia" w:cs="Calibri"/>
                <w:b w:val="0"/>
              </w:rPr>
            </w:pPr>
            <w:r w:rsidRPr="003A352C">
              <w:rPr>
                <w:rFonts w:eastAsiaTheme="minorEastAsia" w:cs="Calibri"/>
                <w:b w:val="0"/>
              </w:rPr>
              <w:t>7-day PPA 6</w:t>
            </w:r>
            <w:r w:rsidR="006A467D">
              <w:rPr>
                <w:rFonts w:eastAsiaTheme="minorEastAsia" w:cs="Calibri"/>
                <w:b w:val="0"/>
              </w:rPr>
              <w:t xml:space="preserve"> </w:t>
            </w:r>
            <w:r w:rsidRPr="003A352C">
              <w:rPr>
                <w:rFonts w:eastAsiaTheme="minorEastAsia" w:cs="Calibri"/>
                <w:b w:val="0"/>
              </w:rPr>
              <w:t>mo</w:t>
            </w:r>
            <w:r w:rsidR="006A467D">
              <w:rPr>
                <w:rFonts w:eastAsiaTheme="minorEastAsia" w:cs="Calibri"/>
                <w:b w:val="0"/>
              </w:rPr>
              <w:t>nths</w:t>
            </w:r>
            <w:r w:rsidRPr="003A352C">
              <w:rPr>
                <w:rFonts w:eastAsiaTheme="minorEastAsia" w:cs="Calibri"/>
                <w:b w:val="0"/>
              </w:rPr>
              <w:t>, 12</w:t>
            </w:r>
            <w:r w:rsidR="006A467D">
              <w:rPr>
                <w:rFonts w:eastAsiaTheme="minorEastAsia" w:cs="Calibri"/>
                <w:b w:val="0"/>
              </w:rPr>
              <w:t xml:space="preserve"> </w:t>
            </w:r>
            <w:r w:rsidRPr="003A352C">
              <w:rPr>
                <w:rFonts w:eastAsiaTheme="minorEastAsia" w:cs="Calibri"/>
                <w:b w:val="0"/>
              </w:rPr>
              <w:t>mo</w:t>
            </w:r>
            <w:r w:rsidR="006A467D">
              <w:rPr>
                <w:rFonts w:eastAsiaTheme="minorEastAsia" w:cs="Calibri"/>
                <w:b w:val="0"/>
              </w:rPr>
              <w:t>nths</w:t>
            </w:r>
            <w:r w:rsidR="00EF3BD0">
              <w:rPr>
                <w:rFonts w:eastAsiaTheme="minorEastAsia" w:cs="Calibri"/>
                <w:b w:val="0"/>
              </w:rPr>
              <w:t>.</w:t>
            </w:r>
            <w:r w:rsidRPr="003A352C">
              <w:rPr>
                <w:rFonts w:eastAsiaTheme="minorEastAsia" w:cs="Calibri"/>
                <w:b w:val="0"/>
              </w:rPr>
              <w:t xml:space="preserve"> </w:t>
            </w:r>
          </w:p>
          <w:p w14:paraId="48CE9A8C" w14:textId="04684856" w:rsidR="001835D1" w:rsidRPr="003A352C" w:rsidRDefault="001572A8" w:rsidP="001572A8">
            <w:pPr>
              <w:pStyle w:val="Tableheading"/>
              <w:autoSpaceDE w:val="0"/>
              <w:autoSpaceDN w:val="0"/>
              <w:adjustRightInd w:val="0"/>
              <w:rPr>
                <w:rFonts w:eastAsiaTheme="minorEastAsia" w:cs="Calibri"/>
                <w:b w:val="0"/>
              </w:rPr>
            </w:pPr>
            <w:r>
              <w:rPr>
                <w:rFonts w:eastAsiaTheme="minorEastAsia" w:cs="Calibri"/>
                <w:b w:val="0"/>
                <w:u w:val="single"/>
              </w:rPr>
              <w:t>Safety</w:t>
            </w:r>
            <w:r w:rsidR="00EF3BD0">
              <w:rPr>
                <w:rFonts w:eastAsiaTheme="minorEastAsia" w:cs="Calibri"/>
                <w:b w:val="0"/>
              </w:rPr>
              <w:t xml:space="preserve">: </w:t>
            </w:r>
            <w:r w:rsidRPr="003A352C">
              <w:rPr>
                <w:rFonts w:eastAsiaTheme="minorEastAsia" w:cs="Calibri"/>
                <w:b w:val="0"/>
              </w:rPr>
              <w:t>Serious Adverse events</w:t>
            </w:r>
            <w:r w:rsidR="00EF3BD0">
              <w:rPr>
                <w:rFonts w:eastAsiaTheme="minorEastAsia" w:cs="Calibri"/>
                <w:b w:val="0"/>
              </w:rPr>
              <w:t>.</w:t>
            </w:r>
          </w:p>
        </w:tc>
      </w:tr>
      <w:tr w:rsidR="0068347E" w:rsidRPr="00061F78" w14:paraId="77CCBE8F" w14:textId="77777777" w:rsidTr="00D0517F">
        <w:trPr>
          <w:trHeight w:val="99"/>
        </w:trPr>
        <w:tc>
          <w:tcPr>
            <w:tcW w:w="5000" w:type="pct"/>
            <w:gridSpan w:val="8"/>
            <w:shd w:val="clear" w:color="auto" w:fill="D9D9D9" w:themeFill="background1" w:themeFillShade="D9"/>
          </w:tcPr>
          <w:p w14:paraId="0CCB8C29" w14:textId="3F4927F6" w:rsidR="0068347E" w:rsidRPr="0050534C" w:rsidRDefault="00E07980" w:rsidP="001572A8">
            <w:pPr>
              <w:pStyle w:val="Tableheading"/>
              <w:autoSpaceDE w:val="0"/>
              <w:autoSpaceDN w:val="0"/>
              <w:adjustRightInd w:val="0"/>
              <w:rPr>
                <w:rFonts w:eastAsiaTheme="minorEastAsia" w:cs="Calibri"/>
                <w:u w:val="single"/>
              </w:rPr>
            </w:pPr>
            <w:r w:rsidRPr="0050534C">
              <w:rPr>
                <w:rFonts w:eastAsiaTheme="minorEastAsia" w:cs="Calibri"/>
                <w:bCs w:val="0"/>
              </w:rPr>
              <w:t>Ongoing studies</w:t>
            </w:r>
          </w:p>
        </w:tc>
      </w:tr>
      <w:tr w:rsidR="0068347E" w:rsidRPr="00061F78" w14:paraId="67F2980A" w14:textId="77777777" w:rsidTr="00D0517F">
        <w:trPr>
          <w:trHeight w:val="99"/>
        </w:trPr>
        <w:tc>
          <w:tcPr>
            <w:tcW w:w="189" w:type="pct"/>
          </w:tcPr>
          <w:p w14:paraId="34A00DAA" w14:textId="2C392E60" w:rsidR="0050534C" w:rsidRPr="005B064B"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1ECF4130" w14:textId="3750DFA2" w:rsidR="0068347E" w:rsidRDefault="005B064B" w:rsidP="00693DA2">
            <w:pPr>
              <w:pStyle w:val="Tableheading"/>
              <w:autoSpaceDE w:val="0"/>
              <w:autoSpaceDN w:val="0"/>
              <w:adjustRightInd w:val="0"/>
              <w:rPr>
                <w:rFonts w:eastAsiaTheme="minorEastAsia" w:cs="Calibri"/>
                <w:b w:val="0"/>
              </w:rPr>
            </w:pPr>
            <w:r w:rsidRPr="005B064B">
              <w:rPr>
                <w:rFonts w:eastAsiaTheme="minorEastAsia" w:cs="Calibri"/>
                <w:b w:val="0"/>
              </w:rPr>
              <w:t>Zawertailo</w:t>
            </w:r>
            <w:r>
              <w:rPr>
                <w:rFonts w:eastAsiaTheme="minorEastAsia" w:cs="Calibri"/>
                <w:b w:val="0"/>
              </w:rPr>
              <w:t xml:space="preserve"> 2020</w:t>
            </w:r>
          </w:p>
        </w:tc>
        <w:tc>
          <w:tcPr>
            <w:tcW w:w="379" w:type="pct"/>
            <w:shd w:val="clear" w:color="auto" w:fill="auto"/>
          </w:tcPr>
          <w:p w14:paraId="1004A0F0" w14:textId="1CFFE3DD" w:rsidR="0068347E" w:rsidRDefault="005B064B"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1C9ECA24" w14:textId="7F18CA1F" w:rsidR="0068347E" w:rsidRDefault="005E4A51" w:rsidP="00693DA2">
            <w:pPr>
              <w:pStyle w:val="Tableheading"/>
              <w:autoSpaceDE w:val="0"/>
              <w:autoSpaceDN w:val="0"/>
              <w:adjustRightInd w:val="0"/>
              <w:rPr>
                <w:rFonts w:eastAsiaTheme="minorEastAsia" w:cs="Calibri"/>
                <w:b w:val="0"/>
              </w:rPr>
            </w:pPr>
            <w:r>
              <w:rPr>
                <w:rFonts w:eastAsiaTheme="minorEastAsia" w:cs="Calibri"/>
                <w:b w:val="0"/>
              </w:rPr>
              <w:t>Canada</w:t>
            </w:r>
          </w:p>
        </w:tc>
        <w:tc>
          <w:tcPr>
            <w:tcW w:w="516" w:type="pct"/>
            <w:shd w:val="clear" w:color="auto" w:fill="auto"/>
            <w:tcMar>
              <w:left w:w="28" w:type="dxa"/>
              <w:right w:w="28" w:type="dxa"/>
            </w:tcMar>
          </w:tcPr>
          <w:p w14:paraId="12BD8E57" w14:textId="77777777" w:rsidR="0068347E" w:rsidRDefault="0068347E"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14:paraId="0C3289B2" w14:textId="77777777" w:rsidR="0068347E" w:rsidRDefault="003E62AD" w:rsidP="001572A8">
            <w:pPr>
              <w:pStyle w:val="Tableheading"/>
              <w:autoSpaceDE w:val="0"/>
              <w:autoSpaceDN w:val="0"/>
              <w:adjustRightInd w:val="0"/>
              <w:rPr>
                <w:rFonts w:eastAsiaTheme="minorEastAsia" w:cs="Calibri"/>
                <w:b w:val="0"/>
              </w:rPr>
            </w:pPr>
            <w:r>
              <w:rPr>
                <w:rFonts w:eastAsiaTheme="minorEastAsia" w:cs="Calibri"/>
                <w:b w:val="0"/>
              </w:rPr>
              <w:t xml:space="preserve">Adults (18-75) </w:t>
            </w:r>
            <w:r w:rsidRPr="003E62AD">
              <w:rPr>
                <w:rFonts w:eastAsiaTheme="minorEastAsia" w:cs="Calibri"/>
                <w:b w:val="0"/>
              </w:rPr>
              <w:t>treatment-seeking daily tobacco smokers (at least 10 cigarettes per day), interested in using a nicotine patch for smoking cessation, and intending to make a quit attempt within the next 30 days.</w:t>
            </w:r>
          </w:p>
          <w:p w14:paraId="496D3BE5" w14:textId="77777777" w:rsidR="003E62AD" w:rsidRDefault="003E62AD" w:rsidP="001572A8">
            <w:pPr>
              <w:pStyle w:val="Tableheading"/>
              <w:autoSpaceDE w:val="0"/>
              <w:autoSpaceDN w:val="0"/>
              <w:adjustRightInd w:val="0"/>
              <w:rPr>
                <w:rFonts w:eastAsiaTheme="minorEastAsia" w:cs="Calibri"/>
                <w:b w:val="0"/>
              </w:rPr>
            </w:pPr>
            <w:r>
              <w:rPr>
                <w:rFonts w:eastAsiaTheme="minorEastAsia" w:cs="Calibri"/>
                <w:b w:val="0"/>
              </w:rPr>
              <w:t>Exclusion</w:t>
            </w:r>
          </w:p>
          <w:p w14:paraId="0D0A491F" w14:textId="01D929B1" w:rsidR="003E62AD" w:rsidRPr="001572A8" w:rsidRDefault="00CB59C5" w:rsidP="001572A8">
            <w:pPr>
              <w:pStyle w:val="Tableheading"/>
              <w:autoSpaceDE w:val="0"/>
              <w:autoSpaceDN w:val="0"/>
              <w:adjustRightInd w:val="0"/>
              <w:rPr>
                <w:rFonts w:eastAsiaTheme="minorEastAsia" w:cs="Calibri"/>
                <w:b w:val="0"/>
              </w:rPr>
            </w:pPr>
            <w:r>
              <w:rPr>
                <w:rFonts w:eastAsiaTheme="minorEastAsia" w:cs="Calibri"/>
                <w:b w:val="0"/>
              </w:rPr>
              <w:t>A</w:t>
            </w:r>
            <w:r w:rsidRPr="00CB59C5">
              <w:rPr>
                <w:rFonts w:eastAsiaTheme="minorEastAsia" w:cs="Calibri"/>
                <w:b w:val="0"/>
              </w:rPr>
              <w:t xml:space="preserve">t least weekly use of tobacco products other than cigarettes (e.g., oral tobacco, e-cigarettes); breastfeeding, pregnancy or not using a reliable form of birth control; any generalized skin disorders precluding use of the patch; any known hypersensitivity or allergies to any of the components of the nicotine patch; any life-threatening arrhythmias or severe/worsening angina pectoris; myocardial infarction or cerebral vascular accident in the past 2 weeks; currently using or has </w:t>
            </w:r>
            <w:r w:rsidRPr="00CB59C5">
              <w:rPr>
                <w:rFonts w:eastAsiaTheme="minorEastAsia" w:cs="Calibri"/>
                <w:b w:val="0"/>
              </w:rPr>
              <w:lastRenderedPageBreak/>
              <w:t>used NRT or other smoking cessation pharmacotherapy within the past 2 weeks; current (in the past month) active substance dependence (excluding caffeine) or unstable psychiatric condition which would compromise study compliance; diagnosed with a terminal illness; current regular use of e-cigarettes or other vaping devices containing nicotine (and not willing to stop using these devices for the duration of the study)</w:t>
            </w:r>
          </w:p>
        </w:tc>
        <w:tc>
          <w:tcPr>
            <w:tcW w:w="808" w:type="pct"/>
            <w:shd w:val="clear" w:color="auto" w:fill="auto"/>
          </w:tcPr>
          <w:p w14:paraId="5C6471AD" w14:textId="5B8C9DEB" w:rsidR="00735388" w:rsidRDefault="00BA16F5" w:rsidP="00C324F3">
            <w:pPr>
              <w:pStyle w:val="Tablewriting"/>
              <w:keepNext/>
              <w:numPr>
                <w:ilvl w:val="0"/>
                <w:numId w:val="8"/>
              </w:numPr>
              <w:rPr>
                <w:rFonts w:eastAsia="MS Mincho"/>
              </w:rPr>
            </w:pPr>
            <w:r>
              <w:rPr>
                <w:rFonts w:eastAsia="MS Mincho"/>
              </w:rPr>
              <w:lastRenderedPageBreak/>
              <w:t>NRT patch, 21</w:t>
            </w:r>
            <w:r w:rsidR="000C78BF">
              <w:rPr>
                <w:rFonts w:eastAsia="MS Mincho"/>
              </w:rPr>
              <w:t xml:space="preserve"> </w:t>
            </w:r>
            <w:r>
              <w:rPr>
                <w:rFonts w:eastAsia="MS Mincho"/>
              </w:rPr>
              <w:t>mg + titration of active NRT patch doses until 7 consecutive days of abstinence</w:t>
            </w:r>
            <w:r w:rsidR="00774E44">
              <w:rPr>
                <w:rFonts w:eastAsia="MS Mincho"/>
              </w:rPr>
              <w:t>, max dose 84mg</w:t>
            </w:r>
          </w:p>
          <w:p w14:paraId="2B675728" w14:textId="689303E6" w:rsidR="00774E44" w:rsidRDefault="00774E44" w:rsidP="00C324F3">
            <w:pPr>
              <w:pStyle w:val="Tablewriting"/>
              <w:keepNext/>
              <w:numPr>
                <w:ilvl w:val="0"/>
                <w:numId w:val="8"/>
              </w:numPr>
              <w:rPr>
                <w:rFonts w:eastAsia="MS Mincho"/>
              </w:rPr>
            </w:pPr>
            <w:r>
              <w:rPr>
                <w:rFonts w:eastAsia="MS Mincho"/>
              </w:rPr>
              <w:t>NRT patch 21</w:t>
            </w:r>
            <w:r w:rsidR="000C78BF">
              <w:rPr>
                <w:rFonts w:eastAsia="MS Mincho"/>
              </w:rPr>
              <w:t xml:space="preserve"> </w:t>
            </w:r>
            <w:r>
              <w:rPr>
                <w:rFonts w:eastAsia="MS Mincho"/>
              </w:rPr>
              <w:t xml:space="preserve">mg + placebo </w:t>
            </w:r>
            <w:r w:rsidR="009732BD">
              <w:rPr>
                <w:rFonts w:eastAsia="MS Mincho"/>
              </w:rPr>
              <w:t>patch until 7 consecutive days of abstinence; max dose of 21</w:t>
            </w:r>
            <w:r w:rsidR="000C78BF">
              <w:rPr>
                <w:rFonts w:eastAsia="MS Mincho"/>
              </w:rPr>
              <w:t xml:space="preserve"> </w:t>
            </w:r>
            <w:r w:rsidR="009732BD">
              <w:rPr>
                <w:rFonts w:eastAsia="MS Mincho"/>
              </w:rPr>
              <w:t>mg NRT and 3*21</w:t>
            </w:r>
            <w:r w:rsidR="000C78BF">
              <w:rPr>
                <w:rFonts w:eastAsia="MS Mincho"/>
              </w:rPr>
              <w:t xml:space="preserve"> </w:t>
            </w:r>
            <w:r w:rsidR="009732BD">
              <w:rPr>
                <w:rFonts w:eastAsia="MS Mincho"/>
              </w:rPr>
              <w:t>mg placebo</w:t>
            </w:r>
          </w:p>
          <w:p w14:paraId="4C1826E5" w14:textId="6B0983D1" w:rsidR="009732BD" w:rsidRDefault="009732BD" w:rsidP="00C324F3">
            <w:pPr>
              <w:pStyle w:val="Tablewriting"/>
              <w:keepNext/>
              <w:numPr>
                <w:ilvl w:val="0"/>
                <w:numId w:val="8"/>
              </w:numPr>
              <w:rPr>
                <w:rFonts w:eastAsia="MS Mincho"/>
              </w:rPr>
            </w:pPr>
            <w:r>
              <w:rPr>
                <w:rFonts w:eastAsia="MS Mincho"/>
              </w:rPr>
              <w:t>NRT patch 21</w:t>
            </w:r>
            <w:r w:rsidR="000C78BF">
              <w:rPr>
                <w:rFonts w:eastAsia="MS Mincho"/>
              </w:rPr>
              <w:t xml:space="preserve"> </w:t>
            </w:r>
            <w:r>
              <w:rPr>
                <w:rFonts w:eastAsia="MS Mincho"/>
              </w:rPr>
              <w:t>mg, open-label</w:t>
            </w:r>
          </w:p>
          <w:p w14:paraId="135C3907" w14:textId="7D2C6445" w:rsidR="0068347E" w:rsidRPr="00554906" w:rsidRDefault="00AC0981" w:rsidP="00FF725F">
            <w:pPr>
              <w:pStyle w:val="Tablewriting"/>
              <w:keepNext/>
              <w:rPr>
                <w:rFonts w:eastAsia="MS Mincho"/>
                <w:u w:val="single"/>
              </w:rPr>
            </w:pPr>
            <w:r w:rsidRPr="00554906">
              <w:rPr>
                <w:rFonts w:eastAsia="MS Mincho"/>
                <w:u w:val="single"/>
              </w:rPr>
              <w:t>Common elements</w:t>
            </w:r>
            <w:r w:rsidR="000C78BF">
              <w:rPr>
                <w:rFonts w:eastAsia="MS Mincho"/>
                <w:u w:val="single"/>
              </w:rPr>
              <w:t>:</w:t>
            </w:r>
          </w:p>
          <w:p w14:paraId="4E3BEC43" w14:textId="77777777" w:rsidR="00AC0981" w:rsidRDefault="00AC0981" w:rsidP="00C324F3">
            <w:pPr>
              <w:pStyle w:val="Tablewriting"/>
              <w:keepNext/>
              <w:numPr>
                <w:ilvl w:val="0"/>
                <w:numId w:val="8"/>
              </w:numPr>
              <w:rPr>
                <w:rFonts w:eastAsia="MS Mincho"/>
              </w:rPr>
            </w:pPr>
            <w:r>
              <w:rPr>
                <w:rFonts w:eastAsia="MS Mincho"/>
              </w:rPr>
              <w:t>Weekly 10-minute brief behavioural support</w:t>
            </w:r>
          </w:p>
          <w:p w14:paraId="5EA3CF80" w14:textId="04662DC4" w:rsidR="00AC0981" w:rsidRPr="001572A8" w:rsidRDefault="00735388" w:rsidP="00C324F3">
            <w:pPr>
              <w:pStyle w:val="Tablewriting"/>
              <w:keepNext/>
              <w:numPr>
                <w:ilvl w:val="0"/>
                <w:numId w:val="8"/>
              </w:numPr>
              <w:rPr>
                <w:rFonts w:eastAsia="MS Mincho"/>
              </w:rPr>
            </w:pPr>
            <w:r>
              <w:rPr>
                <w:rFonts w:eastAsia="MS Mincho"/>
              </w:rPr>
              <w:t>2-week run-in with NRT 21</w:t>
            </w:r>
            <w:r w:rsidR="00A1651B">
              <w:rPr>
                <w:rFonts w:eastAsia="MS Mincho"/>
              </w:rPr>
              <w:t xml:space="preserve"> </w:t>
            </w:r>
            <w:r>
              <w:rPr>
                <w:rFonts w:eastAsia="MS Mincho"/>
              </w:rPr>
              <w:t>mg</w:t>
            </w:r>
            <w:r w:rsidR="00A1651B">
              <w:rPr>
                <w:rFonts w:eastAsia="MS Mincho"/>
              </w:rPr>
              <w:t>.</w:t>
            </w:r>
          </w:p>
        </w:tc>
        <w:tc>
          <w:tcPr>
            <w:tcW w:w="1094" w:type="pct"/>
            <w:shd w:val="clear" w:color="auto" w:fill="auto"/>
            <w:tcMar>
              <w:left w:w="28" w:type="dxa"/>
              <w:right w:w="28" w:type="dxa"/>
            </w:tcMar>
          </w:tcPr>
          <w:p w14:paraId="7B21ADC3" w14:textId="77777777" w:rsidR="0068347E" w:rsidRDefault="00CD11ED" w:rsidP="001572A8">
            <w:pPr>
              <w:pStyle w:val="Tableheading"/>
              <w:autoSpaceDE w:val="0"/>
              <w:autoSpaceDN w:val="0"/>
              <w:adjustRightInd w:val="0"/>
              <w:rPr>
                <w:rFonts w:eastAsiaTheme="minorEastAsia" w:cs="Calibri"/>
                <w:b w:val="0"/>
                <w:u w:val="single"/>
              </w:rPr>
            </w:pPr>
            <w:r>
              <w:rPr>
                <w:rFonts w:eastAsiaTheme="minorEastAsia" w:cs="Calibri"/>
                <w:b w:val="0"/>
                <w:u w:val="single"/>
              </w:rPr>
              <w:t>Efficacy</w:t>
            </w:r>
          </w:p>
          <w:p w14:paraId="4AFAFB6A" w14:textId="2FABD0A1" w:rsidR="00C51D64" w:rsidRPr="00554906" w:rsidRDefault="00CD11ED"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04FE13BE" w14:textId="29A5715E" w:rsidR="005830E9" w:rsidRPr="003A352C" w:rsidRDefault="00CD11ED" w:rsidP="001572A8">
            <w:pPr>
              <w:pStyle w:val="Tableheading"/>
              <w:autoSpaceDE w:val="0"/>
              <w:autoSpaceDN w:val="0"/>
              <w:adjustRightInd w:val="0"/>
              <w:rPr>
                <w:rFonts w:eastAsiaTheme="minorEastAsia" w:cs="Calibri"/>
                <w:b w:val="0"/>
              </w:rPr>
            </w:pPr>
            <w:r w:rsidRPr="003A352C">
              <w:rPr>
                <w:rFonts w:eastAsiaTheme="minorEastAsia" w:cs="Calibri"/>
                <w:b w:val="0"/>
              </w:rPr>
              <w:t>CAR w</w:t>
            </w:r>
            <w:r w:rsidR="00C51D64">
              <w:rPr>
                <w:rFonts w:eastAsiaTheme="minorEastAsia" w:cs="Calibri"/>
                <w:b w:val="0"/>
              </w:rPr>
              <w:t>ee</w:t>
            </w:r>
            <w:r w:rsidRPr="003A352C">
              <w:rPr>
                <w:rFonts w:eastAsiaTheme="minorEastAsia" w:cs="Calibri"/>
                <w:b w:val="0"/>
              </w:rPr>
              <w:t>k 9-12, CO-confirmed</w:t>
            </w:r>
            <w:r w:rsidR="005830E9" w:rsidRPr="003A352C">
              <w:rPr>
                <w:rFonts w:eastAsiaTheme="minorEastAsia" w:cs="Calibri"/>
                <w:b w:val="0"/>
              </w:rPr>
              <w:t xml:space="preserve"> and urine confirmed</w:t>
            </w:r>
          </w:p>
          <w:p w14:paraId="5A83E786" w14:textId="77777777" w:rsidR="00CD11ED" w:rsidRPr="00554906" w:rsidRDefault="005830E9"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4D5C45E7" w14:textId="692DCE5D" w:rsidR="003324BA" w:rsidRPr="001572A8" w:rsidRDefault="003324BA" w:rsidP="001572A8">
            <w:pPr>
              <w:pStyle w:val="Tableheading"/>
              <w:autoSpaceDE w:val="0"/>
              <w:autoSpaceDN w:val="0"/>
              <w:adjustRightInd w:val="0"/>
              <w:rPr>
                <w:rFonts w:eastAsiaTheme="minorEastAsia" w:cs="Calibri"/>
                <w:b w:val="0"/>
                <w:u w:val="single"/>
              </w:rPr>
            </w:pPr>
            <w:r w:rsidRPr="003A352C">
              <w:rPr>
                <w:rFonts w:eastAsiaTheme="minorEastAsia" w:cs="Calibri"/>
                <w:b w:val="0"/>
              </w:rPr>
              <w:t>CAR, urinary confirmed w</w:t>
            </w:r>
            <w:r w:rsidR="00C51D64">
              <w:rPr>
                <w:rFonts w:eastAsiaTheme="minorEastAsia" w:cs="Calibri"/>
                <w:b w:val="0"/>
              </w:rPr>
              <w:t>ee</w:t>
            </w:r>
            <w:r w:rsidRPr="003A352C">
              <w:rPr>
                <w:rFonts w:eastAsiaTheme="minorEastAsia" w:cs="Calibri"/>
                <w:b w:val="0"/>
              </w:rPr>
              <w:t>k</w:t>
            </w:r>
            <w:r w:rsidR="00C51D64">
              <w:rPr>
                <w:rFonts w:eastAsiaTheme="minorEastAsia" w:cs="Calibri"/>
                <w:b w:val="0"/>
              </w:rPr>
              <w:t xml:space="preserve"> </w:t>
            </w:r>
            <w:r w:rsidRPr="003A352C">
              <w:rPr>
                <w:rFonts w:eastAsiaTheme="minorEastAsia" w:cs="Calibri"/>
                <w:b w:val="0"/>
              </w:rPr>
              <w:t>9-26, w</w:t>
            </w:r>
            <w:r w:rsidR="00C51D64">
              <w:rPr>
                <w:rFonts w:eastAsiaTheme="minorEastAsia" w:cs="Calibri"/>
                <w:b w:val="0"/>
              </w:rPr>
              <w:t>ee</w:t>
            </w:r>
            <w:r w:rsidRPr="003A352C">
              <w:rPr>
                <w:rFonts w:eastAsiaTheme="minorEastAsia" w:cs="Calibri"/>
                <w:b w:val="0"/>
              </w:rPr>
              <w:t>k</w:t>
            </w:r>
            <w:r w:rsidR="00C51D64">
              <w:rPr>
                <w:rFonts w:eastAsiaTheme="minorEastAsia" w:cs="Calibri"/>
                <w:b w:val="0"/>
              </w:rPr>
              <w:t xml:space="preserve"> </w:t>
            </w:r>
            <w:r w:rsidRPr="003A352C">
              <w:rPr>
                <w:rFonts w:eastAsiaTheme="minorEastAsia" w:cs="Calibri"/>
                <w:b w:val="0"/>
              </w:rPr>
              <w:t>9-52</w:t>
            </w:r>
            <w:r w:rsidR="00C51D64">
              <w:rPr>
                <w:rFonts w:eastAsiaTheme="minorEastAsia" w:cs="Calibri"/>
                <w:b w:val="0"/>
              </w:rPr>
              <w:t>.</w:t>
            </w:r>
          </w:p>
        </w:tc>
      </w:tr>
      <w:tr w:rsidR="0068347E" w:rsidRPr="00061F78" w14:paraId="6EAABD48" w14:textId="77777777" w:rsidTr="00D0517F">
        <w:trPr>
          <w:trHeight w:val="99"/>
        </w:trPr>
        <w:tc>
          <w:tcPr>
            <w:tcW w:w="189" w:type="pct"/>
          </w:tcPr>
          <w:p w14:paraId="4F593296" w14:textId="02BF8B75" w:rsidR="0050534C" w:rsidRDefault="0050534C" w:rsidP="00C324F3">
            <w:pPr>
              <w:pStyle w:val="Tableheading"/>
              <w:numPr>
                <w:ilvl w:val="0"/>
                <w:numId w:val="229"/>
              </w:numPr>
              <w:autoSpaceDE w:val="0"/>
              <w:autoSpaceDN w:val="0"/>
              <w:adjustRightInd w:val="0"/>
              <w:rPr>
                <w:rFonts w:eastAsiaTheme="minorEastAsia" w:cs="Calibri"/>
                <w:b w:val="0"/>
              </w:rPr>
            </w:pPr>
          </w:p>
        </w:tc>
        <w:tc>
          <w:tcPr>
            <w:tcW w:w="485" w:type="pct"/>
            <w:shd w:val="clear" w:color="auto" w:fill="auto"/>
            <w:tcMar>
              <w:left w:w="28" w:type="dxa"/>
              <w:right w:w="28" w:type="dxa"/>
            </w:tcMar>
          </w:tcPr>
          <w:p w14:paraId="63EEE4EE" w14:textId="666F1A84" w:rsidR="0068347E" w:rsidRDefault="00F527BE" w:rsidP="00693DA2">
            <w:pPr>
              <w:pStyle w:val="Tableheading"/>
              <w:autoSpaceDE w:val="0"/>
              <w:autoSpaceDN w:val="0"/>
              <w:adjustRightInd w:val="0"/>
              <w:rPr>
                <w:rFonts w:eastAsiaTheme="minorEastAsia" w:cs="Calibri"/>
                <w:b w:val="0"/>
              </w:rPr>
            </w:pPr>
            <w:r>
              <w:rPr>
                <w:rFonts w:eastAsiaTheme="minorEastAsia" w:cs="Calibri"/>
                <w:b w:val="0"/>
              </w:rPr>
              <w:t>NCT</w:t>
            </w:r>
            <w:r w:rsidR="00A253DB">
              <w:rPr>
                <w:rFonts w:eastAsiaTheme="minorEastAsia" w:cs="Calibri"/>
                <w:b w:val="0"/>
              </w:rPr>
              <w:t>04188873</w:t>
            </w:r>
          </w:p>
        </w:tc>
        <w:tc>
          <w:tcPr>
            <w:tcW w:w="379" w:type="pct"/>
            <w:shd w:val="clear" w:color="auto" w:fill="auto"/>
          </w:tcPr>
          <w:p w14:paraId="5ED1706D" w14:textId="2981F017" w:rsidR="0068347E" w:rsidRDefault="00A253DB" w:rsidP="00693DA2">
            <w:pPr>
              <w:pStyle w:val="Tableheading"/>
              <w:autoSpaceDE w:val="0"/>
              <w:autoSpaceDN w:val="0"/>
              <w:adjustRightInd w:val="0"/>
              <w:rPr>
                <w:rFonts w:eastAsiaTheme="minorEastAsia" w:cs="Calibri"/>
                <w:b w:val="0"/>
              </w:rPr>
            </w:pPr>
            <w:r>
              <w:rPr>
                <w:rFonts w:eastAsiaTheme="minorEastAsia" w:cs="Calibri"/>
                <w:b w:val="0"/>
              </w:rPr>
              <w:t>RCT</w:t>
            </w:r>
          </w:p>
        </w:tc>
        <w:tc>
          <w:tcPr>
            <w:tcW w:w="387" w:type="pct"/>
          </w:tcPr>
          <w:p w14:paraId="23D2EA01" w14:textId="481A6A14" w:rsidR="0068347E" w:rsidRDefault="00A253DB" w:rsidP="00693DA2">
            <w:pPr>
              <w:pStyle w:val="Tableheading"/>
              <w:autoSpaceDE w:val="0"/>
              <w:autoSpaceDN w:val="0"/>
              <w:adjustRightInd w:val="0"/>
              <w:rPr>
                <w:rFonts w:eastAsiaTheme="minorEastAsia" w:cs="Calibri"/>
                <w:b w:val="0"/>
              </w:rPr>
            </w:pPr>
            <w:r>
              <w:rPr>
                <w:rFonts w:eastAsiaTheme="minorEastAsia" w:cs="Calibri"/>
                <w:b w:val="0"/>
              </w:rPr>
              <w:t>USA</w:t>
            </w:r>
          </w:p>
        </w:tc>
        <w:tc>
          <w:tcPr>
            <w:tcW w:w="516" w:type="pct"/>
            <w:shd w:val="clear" w:color="auto" w:fill="auto"/>
            <w:tcMar>
              <w:left w:w="28" w:type="dxa"/>
              <w:right w:w="28" w:type="dxa"/>
            </w:tcMar>
          </w:tcPr>
          <w:p w14:paraId="6D67EB1F" w14:textId="77777777" w:rsidR="0068347E" w:rsidRDefault="0068347E" w:rsidP="00693DA2">
            <w:pPr>
              <w:pStyle w:val="Tableheading"/>
              <w:autoSpaceDE w:val="0"/>
              <w:autoSpaceDN w:val="0"/>
              <w:adjustRightInd w:val="0"/>
              <w:rPr>
                <w:rFonts w:eastAsiaTheme="minorEastAsia" w:cs="Calibri"/>
                <w:b w:val="0"/>
              </w:rPr>
            </w:pPr>
          </w:p>
        </w:tc>
        <w:tc>
          <w:tcPr>
            <w:tcW w:w="1142" w:type="pct"/>
            <w:shd w:val="clear" w:color="auto" w:fill="auto"/>
            <w:tcMar>
              <w:left w:w="28" w:type="dxa"/>
              <w:right w:w="28" w:type="dxa"/>
            </w:tcMar>
          </w:tcPr>
          <w:p w14:paraId="150C563F" w14:textId="77777777" w:rsidR="0068347E" w:rsidRDefault="00A253DB" w:rsidP="001572A8">
            <w:pPr>
              <w:pStyle w:val="Tableheading"/>
              <w:autoSpaceDE w:val="0"/>
              <w:autoSpaceDN w:val="0"/>
              <w:adjustRightInd w:val="0"/>
              <w:rPr>
                <w:rFonts w:eastAsiaTheme="minorEastAsia" w:cs="Calibri"/>
                <w:b w:val="0"/>
              </w:rPr>
            </w:pPr>
            <w:r w:rsidRPr="00A253DB">
              <w:rPr>
                <w:rFonts w:eastAsiaTheme="minorEastAsia" w:cs="Calibri"/>
                <w:b w:val="0"/>
              </w:rPr>
              <w:t>Smoking &gt;4 cigarettes/day for the previous 6 months Able to read, write, and speak English If currently using nicotine replacement therapy (NRT), agreeing to use only study medication for the duration of the study Medically eligible to use study medications If the participant is a woman of childbearing potential, using an approved method of birth control during treatment</w:t>
            </w:r>
          </w:p>
          <w:p w14:paraId="4DD7525B" w14:textId="77777777" w:rsidR="00A253DB" w:rsidRDefault="00A253DB" w:rsidP="001572A8">
            <w:pPr>
              <w:pStyle w:val="Tableheading"/>
              <w:autoSpaceDE w:val="0"/>
              <w:autoSpaceDN w:val="0"/>
              <w:adjustRightInd w:val="0"/>
              <w:rPr>
                <w:rFonts w:eastAsiaTheme="minorEastAsia" w:cs="Calibri"/>
                <w:b w:val="0"/>
              </w:rPr>
            </w:pPr>
            <w:r>
              <w:rPr>
                <w:rFonts w:eastAsiaTheme="minorEastAsia" w:cs="Calibri"/>
                <w:b w:val="0"/>
              </w:rPr>
              <w:t>Exclusion</w:t>
            </w:r>
          </w:p>
          <w:p w14:paraId="46B3FE65" w14:textId="5699477D" w:rsidR="00A253DB" w:rsidRPr="001572A8" w:rsidRDefault="003C69EF" w:rsidP="001572A8">
            <w:pPr>
              <w:pStyle w:val="Tableheading"/>
              <w:autoSpaceDE w:val="0"/>
              <w:autoSpaceDN w:val="0"/>
              <w:adjustRightInd w:val="0"/>
              <w:rPr>
                <w:rFonts w:eastAsiaTheme="minorEastAsia" w:cs="Calibri"/>
                <w:b w:val="0"/>
              </w:rPr>
            </w:pPr>
            <w:r w:rsidRPr="003C69EF">
              <w:rPr>
                <w:rFonts w:eastAsiaTheme="minorEastAsia" w:cs="Calibri"/>
                <w:b w:val="0"/>
              </w:rPr>
              <w:t>Currently taking bupropion or varenicline Suicidal ideation in the last 12 months or any suicide attempts in the past 10 years</w:t>
            </w:r>
          </w:p>
        </w:tc>
        <w:tc>
          <w:tcPr>
            <w:tcW w:w="808" w:type="pct"/>
            <w:shd w:val="clear" w:color="auto" w:fill="auto"/>
          </w:tcPr>
          <w:p w14:paraId="370FF6B2" w14:textId="4CD96FBD" w:rsidR="00E31559" w:rsidRDefault="00B0134A" w:rsidP="00C324F3">
            <w:pPr>
              <w:pStyle w:val="Tablewriting"/>
              <w:keepNext/>
              <w:numPr>
                <w:ilvl w:val="0"/>
                <w:numId w:val="8"/>
              </w:numPr>
              <w:rPr>
                <w:rFonts w:eastAsia="MS Mincho"/>
              </w:rPr>
            </w:pPr>
            <w:r w:rsidRPr="00B0134A">
              <w:rPr>
                <w:rFonts w:eastAsia="MS Mincho"/>
              </w:rPr>
              <w:t xml:space="preserve">Standard 12-week Varenicline </w:t>
            </w:r>
            <w:r w:rsidR="00B83892">
              <w:rPr>
                <w:rFonts w:eastAsia="MS Mincho"/>
              </w:rPr>
              <w:t>+ 2</w:t>
            </w:r>
            <w:r w:rsidR="00B83892" w:rsidRPr="00E31559">
              <w:rPr>
                <w:rFonts w:eastAsia="MS Mincho"/>
              </w:rPr>
              <w:t xml:space="preserve"> brief phone or video </w:t>
            </w:r>
            <w:r w:rsidR="00114FF2" w:rsidRPr="00E31559">
              <w:rPr>
                <w:rFonts w:eastAsia="MS Mincho"/>
              </w:rPr>
              <w:t>counselling</w:t>
            </w:r>
            <w:r w:rsidR="00B83892" w:rsidRPr="00E31559">
              <w:rPr>
                <w:rFonts w:eastAsia="MS Mincho"/>
              </w:rPr>
              <w:t xml:space="preserve"> sessions</w:t>
            </w:r>
          </w:p>
          <w:p w14:paraId="2F11AA18" w14:textId="095EAC53" w:rsidR="00E31559" w:rsidRPr="00B83892" w:rsidRDefault="00DD49F4" w:rsidP="00C324F3">
            <w:pPr>
              <w:pStyle w:val="Tablewriting"/>
              <w:keepNext/>
              <w:numPr>
                <w:ilvl w:val="0"/>
                <w:numId w:val="8"/>
              </w:numPr>
              <w:rPr>
                <w:rFonts w:eastAsia="MS Mincho"/>
              </w:rPr>
            </w:pPr>
            <w:r w:rsidRPr="00DD49F4">
              <w:rPr>
                <w:rFonts w:eastAsia="MS Mincho"/>
              </w:rPr>
              <w:t>15 weeks of varenicline starting 4 weeks pre-quit</w:t>
            </w:r>
            <w:r w:rsidR="00B83892">
              <w:rPr>
                <w:rFonts w:eastAsia="MS Mincho"/>
              </w:rPr>
              <w:t xml:space="preserve"> +2</w:t>
            </w:r>
            <w:r w:rsidR="00B83892" w:rsidRPr="00E31559">
              <w:rPr>
                <w:rFonts w:eastAsia="MS Mincho"/>
              </w:rPr>
              <w:t xml:space="preserve"> brief phone or video </w:t>
            </w:r>
            <w:r w:rsidR="00114FF2" w:rsidRPr="00E31559">
              <w:rPr>
                <w:rFonts w:eastAsia="MS Mincho"/>
              </w:rPr>
              <w:t>counselling</w:t>
            </w:r>
            <w:r w:rsidR="00B83892" w:rsidRPr="00E31559">
              <w:rPr>
                <w:rFonts w:eastAsia="MS Mincho"/>
              </w:rPr>
              <w:t xml:space="preserve"> sessions</w:t>
            </w:r>
          </w:p>
          <w:p w14:paraId="3506A1EA" w14:textId="262C7EC5" w:rsidR="00E31559" w:rsidRPr="007C541C" w:rsidRDefault="00DD49F4" w:rsidP="00C324F3">
            <w:pPr>
              <w:pStyle w:val="Tablewriting"/>
              <w:keepNext/>
              <w:numPr>
                <w:ilvl w:val="0"/>
                <w:numId w:val="8"/>
              </w:numPr>
              <w:rPr>
                <w:rFonts w:eastAsia="MS Mincho"/>
              </w:rPr>
            </w:pPr>
            <w:r w:rsidRPr="00DD49F4">
              <w:rPr>
                <w:rFonts w:eastAsia="MS Mincho"/>
              </w:rPr>
              <w:t>24 weeks of varenicline</w:t>
            </w:r>
            <w:r w:rsidR="007C541C">
              <w:rPr>
                <w:rFonts w:eastAsia="MS Mincho"/>
              </w:rPr>
              <w:t xml:space="preserve"> + 2</w:t>
            </w:r>
            <w:r w:rsidR="007C541C" w:rsidRPr="00E31559">
              <w:rPr>
                <w:rFonts w:eastAsia="MS Mincho"/>
              </w:rPr>
              <w:t xml:space="preserve"> brief phone or video </w:t>
            </w:r>
            <w:r w:rsidR="00114FF2" w:rsidRPr="00E31559">
              <w:rPr>
                <w:rFonts w:eastAsia="MS Mincho"/>
              </w:rPr>
              <w:t>counselling</w:t>
            </w:r>
            <w:r w:rsidR="007C541C" w:rsidRPr="00E31559">
              <w:rPr>
                <w:rFonts w:eastAsia="MS Mincho"/>
              </w:rPr>
              <w:t xml:space="preserve"> sessions</w:t>
            </w:r>
          </w:p>
          <w:p w14:paraId="24AE37CE" w14:textId="65F89B53" w:rsidR="002E59BC" w:rsidRPr="007C541C" w:rsidRDefault="002E59BC" w:rsidP="00C324F3">
            <w:pPr>
              <w:pStyle w:val="Tablewriting"/>
              <w:keepNext/>
              <w:numPr>
                <w:ilvl w:val="0"/>
                <w:numId w:val="8"/>
              </w:numPr>
              <w:rPr>
                <w:rFonts w:eastAsia="MS Mincho"/>
              </w:rPr>
            </w:pPr>
            <w:r w:rsidRPr="002E59BC">
              <w:rPr>
                <w:rFonts w:eastAsia="MS Mincho"/>
              </w:rPr>
              <w:t>27 weeks of varenicline starting 4 weeks pre-quit</w:t>
            </w:r>
            <w:r w:rsidR="007C541C">
              <w:rPr>
                <w:rFonts w:eastAsia="MS Mincho"/>
              </w:rPr>
              <w:t xml:space="preserve"> + 2</w:t>
            </w:r>
            <w:r w:rsidR="007C541C" w:rsidRPr="00E31559">
              <w:rPr>
                <w:rFonts w:eastAsia="MS Mincho"/>
              </w:rPr>
              <w:t xml:space="preserve"> brief phone or video </w:t>
            </w:r>
            <w:r w:rsidR="00114FF2" w:rsidRPr="00E31559">
              <w:rPr>
                <w:rFonts w:eastAsia="MS Mincho"/>
              </w:rPr>
              <w:t>counselling</w:t>
            </w:r>
            <w:r w:rsidR="007C541C" w:rsidRPr="00E31559">
              <w:rPr>
                <w:rFonts w:eastAsia="MS Mincho"/>
              </w:rPr>
              <w:t xml:space="preserve"> sessions</w:t>
            </w:r>
          </w:p>
          <w:p w14:paraId="2C0EDCD9" w14:textId="4F5B6392" w:rsidR="00E31559" w:rsidRDefault="00B83892" w:rsidP="00C324F3">
            <w:pPr>
              <w:pStyle w:val="Tablewriting"/>
              <w:keepNext/>
              <w:numPr>
                <w:ilvl w:val="0"/>
                <w:numId w:val="8"/>
              </w:numPr>
              <w:rPr>
                <w:rFonts w:eastAsia="MS Mincho"/>
              </w:rPr>
            </w:pPr>
            <w:r w:rsidRPr="00B83892">
              <w:rPr>
                <w:rFonts w:eastAsia="MS Mincho"/>
              </w:rPr>
              <w:t>12 weeks of varenicline</w:t>
            </w:r>
            <w:r>
              <w:rPr>
                <w:rFonts w:eastAsia="MS Mincho"/>
              </w:rPr>
              <w:t xml:space="preserve"> + 4</w:t>
            </w:r>
            <w:r w:rsidR="00E31559" w:rsidRPr="00E31559">
              <w:rPr>
                <w:rFonts w:eastAsia="MS Mincho"/>
              </w:rPr>
              <w:t xml:space="preserve"> brief </w:t>
            </w:r>
            <w:r w:rsidR="00E31559" w:rsidRPr="00E31559">
              <w:rPr>
                <w:rFonts w:eastAsia="MS Mincho"/>
              </w:rPr>
              <w:lastRenderedPageBreak/>
              <w:t xml:space="preserve">phone or video </w:t>
            </w:r>
            <w:r w:rsidR="00114FF2" w:rsidRPr="00E31559">
              <w:rPr>
                <w:rFonts w:eastAsia="MS Mincho"/>
              </w:rPr>
              <w:t>counselling</w:t>
            </w:r>
            <w:r w:rsidR="00E31559" w:rsidRPr="00E31559">
              <w:rPr>
                <w:rFonts w:eastAsia="MS Mincho"/>
              </w:rPr>
              <w:t xml:space="preserve"> sessions</w:t>
            </w:r>
          </w:p>
          <w:p w14:paraId="65321AA6" w14:textId="347E9297" w:rsidR="00636017" w:rsidRPr="00266165" w:rsidRDefault="00636017" w:rsidP="00C324F3">
            <w:pPr>
              <w:pStyle w:val="Tablewriting"/>
              <w:keepNext/>
              <w:numPr>
                <w:ilvl w:val="0"/>
                <w:numId w:val="8"/>
              </w:numPr>
              <w:rPr>
                <w:rFonts w:eastAsia="MS Mincho"/>
              </w:rPr>
            </w:pPr>
            <w:r w:rsidRPr="00DD49F4">
              <w:rPr>
                <w:rFonts w:eastAsia="MS Mincho"/>
              </w:rPr>
              <w:t>15 weeks of varenicline starting 4 weeks pre-quit</w:t>
            </w:r>
            <w:r>
              <w:rPr>
                <w:rFonts w:eastAsia="MS Mincho"/>
              </w:rPr>
              <w:t xml:space="preserve">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4E353B21" w14:textId="7EEE7A25" w:rsidR="00636017" w:rsidRPr="00266165" w:rsidRDefault="00636017" w:rsidP="00C324F3">
            <w:pPr>
              <w:pStyle w:val="Tablewriting"/>
              <w:keepNext/>
              <w:numPr>
                <w:ilvl w:val="0"/>
                <w:numId w:val="8"/>
              </w:numPr>
              <w:rPr>
                <w:rFonts w:eastAsia="MS Mincho"/>
              </w:rPr>
            </w:pPr>
            <w:r w:rsidRPr="00DD49F4">
              <w:rPr>
                <w:rFonts w:eastAsia="MS Mincho"/>
              </w:rPr>
              <w:t>24 weeks of varenicline</w:t>
            </w:r>
            <w:r>
              <w:rPr>
                <w:rFonts w:eastAsia="MS Mincho"/>
              </w:rPr>
              <w:t xml:space="preserve"> +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6B2A3F3F" w14:textId="35667731" w:rsidR="00636017" w:rsidRPr="00266165" w:rsidRDefault="00636017" w:rsidP="00C324F3">
            <w:pPr>
              <w:pStyle w:val="Tablewriting"/>
              <w:keepNext/>
              <w:numPr>
                <w:ilvl w:val="0"/>
                <w:numId w:val="8"/>
              </w:numPr>
              <w:rPr>
                <w:rFonts w:eastAsia="MS Mincho"/>
              </w:rPr>
            </w:pPr>
            <w:r w:rsidRPr="002E59BC">
              <w:rPr>
                <w:rFonts w:eastAsia="MS Mincho"/>
              </w:rPr>
              <w:t>27 weeks of varenicline starting 4 weeks pre-quit</w:t>
            </w:r>
            <w:r>
              <w:rPr>
                <w:rFonts w:eastAsia="MS Mincho"/>
              </w:rPr>
              <w:t xml:space="preserve"> + </w:t>
            </w:r>
            <w:r w:rsidR="00132F90">
              <w:rPr>
                <w:rFonts w:eastAsia="MS Mincho"/>
              </w:rPr>
              <w:t>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5395BE8D" w14:textId="5CBE713D" w:rsidR="00BA0218" w:rsidRDefault="00BA0218" w:rsidP="00C324F3">
            <w:pPr>
              <w:pStyle w:val="Tablewriting"/>
              <w:keepNext/>
              <w:numPr>
                <w:ilvl w:val="0"/>
                <w:numId w:val="8"/>
              </w:numPr>
              <w:rPr>
                <w:rFonts w:eastAsia="MS Mincho"/>
              </w:rPr>
            </w:pPr>
            <w:r w:rsidRPr="00BA0218">
              <w:rPr>
                <w:rFonts w:eastAsia="MS Mincho"/>
              </w:rPr>
              <w:t>12 weeks of nicotine patch + nicotine mini-lozenge</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7846907D" w14:textId="13AC43AA" w:rsidR="007C541C" w:rsidRDefault="00074B91" w:rsidP="00C324F3">
            <w:pPr>
              <w:pStyle w:val="Tablewriting"/>
              <w:keepNext/>
              <w:numPr>
                <w:ilvl w:val="0"/>
                <w:numId w:val="8"/>
              </w:numPr>
              <w:rPr>
                <w:rFonts w:eastAsia="MS Mincho"/>
              </w:rPr>
            </w:pPr>
            <w:r w:rsidRPr="00074B91">
              <w:rPr>
                <w:rFonts w:eastAsia="MS Mincho"/>
              </w:rPr>
              <w:t>16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62C69B5A" w14:textId="7B350544" w:rsidR="00074B91" w:rsidRDefault="000C5DBB" w:rsidP="00C324F3">
            <w:pPr>
              <w:pStyle w:val="Tablewriting"/>
              <w:keepNext/>
              <w:numPr>
                <w:ilvl w:val="0"/>
                <w:numId w:val="8"/>
              </w:numPr>
              <w:rPr>
                <w:rFonts w:eastAsia="MS Mincho"/>
              </w:rPr>
            </w:pPr>
            <w:r w:rsidRPr="000C5DBB">
              <w:rPr>
                <w:rFonts w:eastAsia="MS Mincho"/>
              </w:rPr>
              <w:t>24 weeks of nicotine patch + nicotine mini-lozenge</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63FCF1A8" w14:textId="3F567D90" w:rsidR="000C5DBB" w:rsidRDefault="00272A53" w:rsidP="00C324F3">
            <w:pPr>
              <w:pStyle w:val="Tablewriting"/>
              <w:keepNext/>
              <w:numPr>
                <w:ilvl w:val="0"/>
                <w:numId w:val="8"/>
              </w:numPr>
              <w:rPr>
                <w:rFonts w:eastAsia="MS Mincho"/>
              </w:rPr>
            </w:pPr>
            <w:r w:rsidRPr="00272A53">
              <w:rPr>
                <w:rFonts w:eastAsia="MS Mincho"/>
              </w:rPr>
              <w:lastRenderedPageBreak/>
              <w:t>28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6662FC32" w14:textId="3C3FC3D3" w:rsidR="00272A53" w:rsidRDefault="00272A53" w:rsidP="00C324F3">
            <w:pPr>
              <w:pStyle w:val="Tablewriting"/>
              <w:keepNext/>
              <w:numPr>
                <w:ilvl w:val="0"/>
                <w:numId w:val="8"/>
              </w:numPr>
              <w:rPr>
                <w:rFonts w:eastAsia="MS Mincho"/>
              </w:rPr>
            </w:pPr>
            <w:r w:rsidRPr="00BA0218">
              <w:rPr>
                <w:rFonts w:eastAsia="MS Mincho"/>
              </w:rPr>
              <w:t>12 weeks of nicotine patch + nicotine mini-lozenge</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7E71FAED" w14:textId="6C99F692" w:rsidR="00272A53" w:rsidRDefault="00272A53" w:rsidP="00C324F3">
            <w:pPr>
              <w:pStyle w:val="Tablewriting"/>
              <w:keepNext/>
              <w:numPr>
                <w:ilvl w:val="0"/>
                <w:numId w:val="8"/>
              </w:numPr>
              <w:rPr>
                <w:rFonts w:eastAsia="MS Mincho"/>
              </w:rPr>
            </w:pPr>
            <w:r w:rsidRPr="00074B91">
              <w:rPr>
                <w:rFonts w:eastAsia="MS Mincho"/>
              </w:rPr>
              <w:t>16 weeks of nicotine patch + nicotine mini-lozenge starting 4 weeks pre-quit</w:t>
            </w:r>
            <w:r>
              <w:rPr>
                <w:rFonts w:eastAsia="MS Mincho"/>
              </w:rPr>
              <w:t xml:space="preserve"> + 2</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75B46475" w14:textId="17DFA1A6" w:rsidR="00272A53" w:rsidRDefault="00272A53" w:rsidP="00C324F3">
            <w:pPr>
              <w:pStyle w:val="Tablewriting"/>
              <w:keepNext/>
              <w:numPr>
                <w:ilvl w:val="0"/>
                <w:numId w:val="8"/>
              </w:numPr>
              <w:rPr>
                <w:rFonts w:eastAsia="MS Mincho"/>
              </w:rPr>
            </w:pPr>
            <w:r w:rsidRPr="000C5DBB">
              <w:rPr>
                <w:rFonts w:eastAsia="MS Mincho"/>
              </w:rPr>
              <w:t>24 weeks of nicotine patch + nicotine mini-lozenge</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p w14:paraId="02334588" w14:textId="0E81998C" w:rsidR="00272A53" w:rsidRPr="00E31559" w:rsidRDefault="00272A53" w:rsidP="00C324F3">
            <w:pPr>
              <w:pStyle w:val="Tablewriting"/>
              <w:keepNext/>
              <w:numPr>
                <w:ilvl w:val="0"/>
                <w:numId w:val="8"/>
              </w:numPr>
              <w:rPr>
                <w:rFonts w:eastAsia="MS Mincho"/>
              </w:rPr>
            </w:pPr>
            <w:r w:rsidRPr="00272A53">
              <w:rPr>
                <w:rFonts w:eastAsia="MS Mincho"/>
              </w:rPr>
              <w:t>28 weeks of nicotine patch + nicotine mini-lozenge starting 4 weeks pre-quit</w:t>
            </w:r>
            <w:r>
              <w:rPr>
                <w:rFonts w:eastAsia="MS Mincho"/>
              </w:rPr>
              <w:t xml:space="preserve"> + 4</w:t>
            </w:r>
            <w:r w:rsidRPr="00E31559">
              <w:rPr>
                <w:rFonts w:eastAsia="MS Mincho"/>
              </w:rPr>
              <w:t xml:space="preserve"> brief phone or video </w:t>
            </w:r>
            <w:r w:rsidR="00114FF2" w:rsidRPr="00E31559">
              <w:rPr>
                <w:rFonts w:eastAsia="MS Mincho"/>
              </w:rPr>
              <w:t>counselling</w:t>
            </w:r>
            <w:r w:rsidRPr="00E31559">
              <w:rPr>
                <w:rFonts w:eastAsia="MS Mincho"/>
              </w:rPr>
              <w:t xml:space="preserve"> sessions</w:t>
            </w:r>
          </w:p>
        </w:tc>
        <w:tc>
          <w:tcPr>
            <w:tcW w:w="1094" w:type="pct"/>
            <w:shd w:val="clear" w:color="auto" w:fill="auto"/>
            <w:tcMar>
              <w:left w:w="28" w:type="dxa"/>
              <w:right w:w="28" w:type="dxa"/>
            </w:tcMar>
          </w:tcPr>
          <w:p w14:paraId="01D77201" w14:textId="7E8AFB65" w:rsidR="0068347E" w:rsidRDefault="00ED0783" w:rsidP="001572A8">
            <w:pPr>
              <w:pStyle w:val="Tableheading"/>
              <w:autoSpaceDE w:val="0"/>
              <w:autoSpaceDN w:val="0"/>
              <w:adjustRightInd w:val="0"/>
              <w:rPr>
                <w:rFonts w:eastAsiaTheme="minorEastAsia" w:cs="Calibri"/>
                <w:b w:val="0"/>
                <w:u w:val="single"/>
              </w:rPr>
            </w:pPr>
            <w:r>
              <w:rPr>
                <w:rFonts w:eastAsiaTheme="minorEastAsia" w:cs="Calibri"/>
                <w:b w:val="0"/>
                <w:u w:val="single"/>
              </w:rPr>
              <w:lastRenderedPageBreak/>
              <w:t>E</w:t>
            </w:r>
            <w:r w:rsidR="006C4766">
              <w:rPr>
                <w:rFonts w:eastAsiaTheme="minorEastAsia" w:cs="Calibri"/>
                <w:b w:val="0"/>
                <w:u w:val="single"/>
              </w:rPr>
              <w:t>f</w:t>
            </w:r>
            <w:r>
              <w:rPr>
                <w:rFonts w:eastAsiaTheme="minorEastAsia" w:cs="Calibri"/>
                <w:b w:val="0"/>
                <w:u w:val="single"/>
              </w:rPr>
              <w:t>ficacy</w:t>
            </w:r>
          </w:p>
          <w:p w14:paraId="3B77A6E1" w14:textId="77777777" w:rsidR="00ED0783" w:rsidRPr="00554906" w:rsidRDefault="00ED0783"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Primary</w:t>
            </w:r>
          </w:p>
          <w:p w14:paraId="7C8C89EB" w14:textId="77777777" w:rsidR="00ED0783" w:rsidRPr="003A352C" w:rsidRDefault="00ED0783" w:rsidP="001572A8">
            <w:pPr>
              <w:pStyle w:val="Tableheading"/>
              <w:autoSpaceDE w:val="0"/>
              <w:autoSpaceDN w:val="0"/>
              <w:adjustRightInd w:val="0"/>
              <w:rPr>
                <w:rFonts w:eastAsiaTheme="minorEastAsia" w:cs="Calibri"/>
                <w:b w:val="0"/>
              </w:rPr>
            </w:pPr>
            <w:r w:rsidRPr="003A352C">
              <w:rPr>
                <w:rFonts w:eastAsiaTheme="minorEastAsia" w:cs="Calibri"/>
                <w:b w:val="0"/>
              </w:rPr>
              <w:t>7-day PPA, CO-confirmed (&lt;5ppm)</w:t>
            </w:r>
          </w:p>
          <w:p w14:paraId="04F0B30B" w14:textId="77777777" w:rsidR="006C4766" w:rsidRPr="00554906" w:rsidRDefault="006C4766" w:rsidP="001572A8">
            <w:pPr>
              <w:pStyle w:val="Tableheading"/>
              <w:autoSpaceDE w:val="0"/>
              <w:autoSpaceDN w:val="0"/>
              <w:adjustRightInd w:val="0"/>
              <w:rPr>
                <w:rFonts w:eastAsiaTheme="minorEastAsia" w:cs="Calibri"/>
                <w:b w:val="0"/>
                <w:i/>
                <w:iCs/>
              </w:rPr>
            </w:pPr>
            <w:r w:rsidRPr="00554906">
              <w:rPr>
                <w:rFonts w:eastAsiaTheme="minorEastAsia" w:cs="Calibri"/>
                <w:b w:val="0"/>
                <w:i/>
                <w:iCs/>
              </w:rPr>
              <w:t>Secondary</w:t>
            </w:r>
          </w:p>
          <w:p w14:paraId="03FF27E9" w14:textId="3135F87F" w:rsidR="006C4766" w:rsidRPr="001572A8" w:rsidRDefault="006C4766" w:rsidP="001572A8">
            <w:pPr>
              <w:pStyle w:val="Tableheading"/>
              <w:autoSpaceDE w:val="0"/>
              <w:autoSpaceDN w:val="0"/>
              <w:adjustRightInd w:val="0"/>
              <w:rPr>
                <w:rFonts w:eastAsiaTheme="minorEastAsia" w:cs="Calibri"/>
                <w:b w:val="0"/>
                <w:u w:val="single"/>
              </w:rPr>
            </w:pPr>
            <w:r w:rsidRPr="003A352C">
              <w:rPr>
                <w:rFonts w:eastAsiaTheme="minorEastAsia" w:cs="Calibri"/>
                <w:b w:val="0"/>
              </w:rPr>
              <w:t>Cost-effectiveness</w:t>
            </w:r>
          </w:p>
        </w:tc>
      </w:tr>
    </w:tbl>
    <w:p w14:paraId="0AB66C02" w14:textId="3F13E5C0" w:rsidR="001462DB" w:rsidRDefault="001462DB" w:rsidP="00321710">
      <w:pPr>
        <w:pStyle w:val="TableFooter"/>
        <w:keepNext/>
        <w:jc w:val="both"/>
      </w:pPr>
      <w:r>
        <w:lastRenderedPageBreak/>
        <w:t>Abbreviations:</w:t>
      </w:r>
      <w:r w:rsidR="00C04870">
        <w:t xml:space="preserve"> </w:t>
      </w:r>
      <w:r w:rsidRPr="009B042A">
        <w:t xml:space="preserve">PPA= point prevalence smoking abstinence; </w:t>
      </w:r>
      <w:r w:rsidR="00C04870">
        <w:t xml:space="preserve">b.d = twice </w:t>
      </w:r>
      <w:r w:rsidR="00114FF2">
        <w:t>daily</w:t>
      </w:r>
      <w:r w:rsidR="00C04870">
        <w:t xml:space="preserve">; </w:t>
      </w:r>
      <w:r>
        <w:t xml:space="preserve">CAR= continuous abstinence rate; </w:t>
      </w:r>
      <w:r w:rsidR="00E85E50">
        <w:t xml:space="preserve">CHF = congestive </w:t>
      </w:r>
      <w:r w:rsidR="00114FF2">
        <w:t>heart</w:t>
      </w:r>
      <w:r w:rsidR="00E85E50">
        <w:t xml:space="preserve"> failure; COPD = </w:t>
      </w:r>
      <w:r w:rsidR="003D6FE5" w:rsidRPr="003D6FE5">
        <w:t>Chronic obstructive pulmonary disease</w:t>
      </w:r>
      <w:r w:rsidR="00E85E50">
        <w:t xml:space="preserve">; PTSD = </w:t>
      </w:r>
      <w:r w:rsidR="003D6FE5">
        <w:t>p</w:t>
      </w:r>
      <w:r w:rsidR="00CE45F8" w:rsidRPr="00CE45F8">
        <w:t>ost-traumatic stress disorde</w:t>
      </w:r>
      <w:r w:rsidR="00CE45F8">
        <w:t>r</w:t>
      </w:r>
      <w:r w:rsidR="00E85E50">
        <w:t xml:space="preserve">; </w:t>
      </w:r>
      <w:r w:rsidRPr="009B042A">
        <w:t xml:space="preserve">RCT= randomised controlled trial; CO= carbon monoxide; </w:t>
      </w:r>
      <w:r w:rsidRPr="00D66694">
        <w:rPr>
          <w:szCs w:val="18"/>
        </w:rPr>
        <w:t>ppm=</w:t>
      </w:r>
      <w:r w:rsidRPr="009B042A">
        <w:t xml:space="preserve"> </w:t>
      </w:r>
      <w:r>
        <w:t>part per million; CPD= cigarette per day; AEs= adverse events; SAEs= serious adverse events;</w:t>
      </w:r>
      <w:r w:rsidR="003F4F6B">
        <w:t xml:space="preserve"> </w:t>
      </w:r>
      <w:r w:rsidR="00E85E50">
        <w:t xml:space="preserve">MI = </w:t>
      </w:r>
      <w:r w:rsidR="003D6FE5">
        <w:t>myocardial infarction</w:t>
      </w:r>
      <w:r w:rsidR="00E85E50">
        <w:t xml:space="preserve">; NRT = nicotine </w:t>
      </w:r>
      <w:r w:rsidR="00114FF2">
        <w:t>replacement</w:t>
      </w:r>
      <w:r w:rsidR="00E85E50">
        <w:t xml:space="preserve"> therapy</w:t>
      </w:r>
      <w:r>
        <w:t>.</w:t>
      </w:r>
    </w:p>
    <w:p w14:paraId="79C7BAF5" w14:textId="226D69D1" w:rsidR="00924C32" w:rsidRPr="00822B64" w:rsidRDefault="00924C32" w:rsidP="00321710">
      <w:pPr>
        <w:pStyle w:val="TableFooter"/>
        <w:keepNext/>
        <w:jc w:val="both"/>
        <w:sectPr w:rsidR="00924C32" w:rsidRPr="00822B64" w:rsidSect="001F38AD">
          <w:footerReference w:type="default" r:id="rId70"/>
          <w:pgSz w:w="16838" w:h="11906" w:orient="landscape"/>
          <w:pgMar w:top="1440" w:right="1440" w:bottom="1440" w:left="1440" w:header="708" w:footer="708" w:gutter="0"/>
          <w:cols w:space="708"/>
          <w:titlePg/>
          <w:docGrid w:linePitch="360"/>
        </w:sectPr>
      </w:pPr>
      <w:r>
        <w:t>Note: 1</w:t>
      </w:r>
      <w:r w:rsidR="00E970F7">
        <w:t>.</w:t>
      </w:r>
      <w:r>
        <w:t xml:space="preserve"> </w:t>
      </w:r>
      <w:r w:rsidR="005E4156">
        <w:t xml:space="preserve">Total </w:t>
      </w:r>
      <w:r w:rsidR="00114FF2">
        <w:t>number</w:t>
      </w:r>
      <w:r w:rsidR="006A6B9B">
        <w:t xml:space="preserve"> of participants. </w:t>
      </w:r>
    </w:p>
    <w:p w14:paraId="56384974" w14:textId="1BA158C1" w:rsidR="00701DEA" w:rsidRDefault="00701DEA" w:rsidP="00321710">
      <w:pPr>
        <w:pStyle w:val="Heading3"/>
        <w:numPr>
          <w:ilvl w:val="0"/>
          <w:numId w:val="0"/>
        </w:numPr>
        <w:spacing w:before="0" w:after="120"/>
        <w:jc w:val="both"/>
      </w:pPr>
      <w:bookmarkStart w:id="321" w:name="_Toc115254527"/>
      <w:r w:rsidRPr="00E85569">
        <w:lastRenderedPageBreak/>
        <w:t>A.</w:t>
      </w:r>
      <w:r w:rsidR="00120334">
        <w:t>9</w:t>
      </w:r>
      <w:r w:rsidR="00D358CB">
        <w:t xml:space="preserve"> Risk of bias assessment for supplemental evidence</w:t>
      </w:r>
      <w:bookmarkEnd w:id="321"/>
    </w:p>
    <w:p w14:paraId="76052C31" w14:textId="77777777" w:rsidR="000240D8" w:rsidRDefault="00EF2220" w:rsidP="005B09FF">
      <w:pPr>
        <w:keepNext/>
      </w:pPr>
      <w:r w:rsidRPr="00EF2220">
        <w:rPr>
          <w:noProof/>
        </w:rPr>
        <w:drawing>
          <wp:inline distT="0" distB="0" distL="0" distR="0" wp14:anchorId="4CEBDEB3" wp14:editId="5E857FBC">
            <wp:extent cx="7620000" cy="3800475"/>
            <wp:effectExtent l="0" t="0" r="0" b="9525"/>
            <wp:docPr id="110" name="Picture 110" descr="P100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P10050#yIS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000" cy="3800475"/>
                    </a:xfrm>
                    <a:prstGeom prst="rect">
                      <a:avLst/>
                    </a:prstGeom>
                    <a:noFill/>
                    <a:ln>
                      <a:noFill/>
                    </a:ln>
                  </pic:spPr>
                </pic:pic>
              </a:graphicData>
            </a:graphic>
          </wp:inline>
        </w:drawing>
      </w:r>
    </w:p>
    <w:p w14:paraId="203789FC" w14:textId="770D40DD" w:rsidR="00D358CB" w:rsidRDefault="000240D8" w:rsidP="00D0517F">
      <w:pPr>
        <w:pStyle w:val="Caption"/>
        <w:spacing w:before="120" w:after="60"/>
        <w:jc w:val="both"/>
      </w:pPr>
      <w:bookmarkStart w:id="322" w:name="_Ref62648339"/>
      <w:r>
        <w:t xml:space="preserve">Figure </w:t>
      </w:r>
      <w:r w:rsidR="00BF3F75">
        <w:fldChar w:fldCharType="begin"/>
      </w:r>
      <w:r w:rsidR="00BF3F75">
        <w:instrText xml:space="preserve"> SEQ Figure \* ARABIC </w:instrText>
      </w:r>
      <w:r w:rsidR="00BF3F75">
        <w:fldChar w:fldCharType="separate"/>
      </w:r>
      <w:r w:rsidR="00EC5CC7">
        <w:rPr>
          <w:noProof/>
        </w:rPr>
        <w:t>48</w:t>
      </w:r>
      <w:r w:rsidR="00BF3F75">
        <w:rPr>
          <w:noProof/>
        </w:rPr>
        <w:fldChar w:fldCharType="end"/>
      </w:r>
      <w:bookmarkEnd w:id="322"/>
      <w:r>
        <w:t>: Risk of bias assessment for supplemental evidence</w:t>
      </w:r>
      <w:r w:rsidR="0072171B">
        <w:t xml:space="preserve"> </w:t>
      </w:r>
      <w:r w:rsidR="005B09FF">
        <w:t>using RoB 2 tool</w:t>
      </w:r>
    </w:p>
    <w:p w14:paraId="7F1894F1" w14:textId="4B457C2E" w:rsidR="005C6181" w:rsidRPr="005C6181" w:rsidRDefault="005C6181" w:rsidP="00D0517F">
      <w:pPr>
        <w:pStyle w:val="TableFooter"/>
        <w:spacing w:after="120"/>
        <w:contextualSpacing w:val="0"/>
        <w:jc w:val="both"/>
      </w:pPr>
      <w:r>
        <w:t xml:space="preserve">Abbreviations: CAR = continuous abstinence rate; CV = cardiovascular; PPA = point prevalence abstinence; </w:t>
      </w:r>
      <w:r w:rsidR="00C269D8">
        <w:t xml:space="preserve">RoB = risk of bias; </w:t>
      </w:r>
      <w:r>
        <w:t>SAE = serious adverse events</w:t>
      </w:r>
    </w:p>
    <w:p w14:paraId="1DE37B30" w14:textId="0C587816" w:rsidR="001E2B20" w:rsidRDefault="001E2B20">
      <w:pPr>
        <w:spacing w:line="276" w:lineRule="auto"/>
      </w:pPr>
    </w:p>
    <w:p w14:paraId="041AC7B6" w14:textId="77777777" w:rsidR="001E2B20" w:rsidRDefault="001E2B20" w:rsidP="000E7853">
      <w:pPr>
        <w:sectPr w:rsidR="001E2B20" w:rsidSect="00472BBD">
          <w:pgSz w:w="16838" w:h="11906" w:orient="landscape"/>
          <w:pgMar w:top="1440" w:right="1440" w:bottom="1440" w:left="1440" w:header="708" w:footer="708" w:gutter="0"/>
          <w:cols w:space="708"/>
          <w:titlePg/>
          <w:docGrid w:linePitch="360"/>
        </w:sectPr>
      </w:pPr>
    </w:p>
    <w:p w14:paraId="13954AB8" w14:textId="407BE52E" w:rsidR="000A4FA9" w:rsidRDefault="002C3EF9" w:rsidP="00D0517F">
      <w:pPr>
        <w:pStyle w:val="Heading2"/>
        <w:spacing w:before="0" w:after="120"/>
        <w:jc w:val="both"/>
      </w:pPr>
      <w:bookmarkStart w:id="323" w:name="_Toc115254528"/>
      <w:r>
        <w:lastRenderedPageBreak/>
        <w:t>B</w:t>
      </w:r>
      <w:r w:rsidR="002550E0">
        <w:t xml:space="preserve"> Summary of evidence</w:t>
      </w:r>
      <w:bookmarkEnd w:id="323"/>
    </w:p>
    <w:p w14:paraId="3A99DBEF" w14:textId="1986B1C3" w:rsidR="00C81B46" w:rsidRDefault="002C3EF9" w:rsidP="00D0517F">
      <w:pPr>
        <w:pStyle w:val="Heading3"/>
        <w:numPr>
          <w:ilvl w:val="0"/>
          <w:numId w:val="0"/>
        </w:numPr>
        <w:spacing w:before="0" w:after="120"/>
        <w:jc w:val="both"/>
      </w:pPr>
      <w:bookmarkStart w:id="324" w:name="_Toc115254529"/>
      <w:r>
        <w:t xml:space="preserve">B.1 </w:t>
      </w:r>
      <w:r w:rsidR="00C81B46">
        <w:t>Evidence previously considered by the PBAC</w:t>
      </w:r>
      <w:bookmarkEnd w:id="324"/>
    </w:p>
    <w:p w14:paraId="1FE370AC" w14:textId="4D31F861" w:rsidR="00C81B46" w:rsidRDefault="00C81B46" w:rsidP="00D0517F">
      <w:pPr>
        <w:pStyle w:val="Caption"/>
        <w:keepNext/>
        <w:spacing w:before="0" w:after="120"/>
        <w:jc w:val="both"/>
      </w:pPr>
      <w:bookmarkStart w:id="325" w:name="_Ref54768636"/>
      <w:r>
        <w:t xml:space="preserve">Table </w:t>
      </w:r>
      <w:r w:rsidR="00BF3F75">
        <w:fldChar w:fldCharType="begin"/>
      </w:r>
      <w:r w:rsidR="00BF3F75">
        <w:instrText xml:space="preserve"> SEQ</w:instrText>
      </w:r>
      <w:r w:rsidR="00BF3F75">
        <w:instrText xml:space="preserve"> Table \* ARABIC </w:instrText>
      </w:r>
      <w:r w:rsidR="00BF3F75">
        <w:fldChar w:fldCharType="separate"/>
      </w:r>
      <w:r w:rsidR="00EC5CC7">
        <w:rPr>
          <w:noProof/>
        </w:rPr>
        <w:t>143</w:t>
      </w:r>
      <w:r w:rsidR="00BF3F75">
        <w:rPr>
          <w:noProof/>
        </w:rPr>
        <w:fldChar w:fldCharType="end"/>
      </w:r>
      <w:bookmarkEnd w:id="325"/>
      <w:r>
        <w:t xml:space="preserve">: </w:t>
      </w:r>
      <w:r w:rsidRPr="00AB2947">
        <w:t xml:space="preserve">Details of the evidence previously considered by the </w:t>
      </w:r>
      <w:r w:rsidR="00115AEE" w:rsidRPr="00AB2947">
        <w:t>PBAC,</w:t>
      </w:r>
      <w:r w:rsidRPr="00AB2947">
        <w:t xml:space="preserve"> and new evidence identified in this review</w:t>
      </w:r>
    </w:p>
    <w:tbl>
      <w:tblPr>
        <w:tblStyle w:val="TableGrid3"/>
        <w:tblW w:w="5000" w:type="pct"/>
        <w:tblLook w:val="04A0" w:firstRow="1" w:lastRow="0" w:firstColumn="1" w:lastColumn="0" w:noHBand="0" w:noVBand="1"/>
      </w:tblPr>
      <w:tblGrid>
        <w:gridCol w:w="1652"/>
        <w:gridCol w:w="1410"/>
        <w:gridCol w:w="1815"/>
        <w:gridCol w:w="1743"/>
        <w:gridCol w:w="1668"/>
        <w:gridCol w:w="1696"/>
        <w:gridCol w:w="1333"/>
        <w:gridCol w:w="1275"/>
        <w:gridCol w:w="1356"/>
      </w:tblGrid>
      <w:tr w:rsidR="00B16F78" w:rsidRPr="00B11797" w14:paraId="572576C4" w14:textId="77777777" w:rsidTr="00D0517F">
        <w:trPr>
          <w:trHeight w:val="70"/>
        </w:trPr>
        <w:tc>
          <w:tcPr>
            <w:tcW w:w="592" w:type="pct"/>
            <w:shd w:val="clear" w:color="auto" w:fill="BFBFBF" w:themeFill="background1" w:themeFillShade="BF"/>
            <w:hideMark/>
          </w:tcPr>
          <w:p w14:paraId="2467B5D3" w14:textId="3A88BFEC" w:rsidR="00C81B46" w:rsidRPr="00B11797" w:rsidRDefault="00C81B46" w:rsidP="00560650">
            <w:pPr>
              <w:pStyle w:val="Tableheading"/>
            </w:pPr>
            <w:r w:rsidRPr="00B11797">
              <w:t xml:space="preserve">PBAC </w:t>
            </w:r>
            <w:r w:rsidR="00E556D2">
              <w:t>recommendation</w:t>
            </w:r>
          </w:p>
        </w:tc>
        <w:tc>
          <w:tcPr>
            <w:tcW w:w="517" w:type="pct"/>
            <w:shd w:val="clear" w:color="auto" w:fill="BFBFBF" w:themeFill="background1" w:themeFillShade="BF"/>
            <w:hideMark/>
          </w:tcPr>
          <w:p w14:paraId="39B72F14" w14:textId="77777777" w:rsidR="00C81B46" w:rsidRPr="00B11797" w:rsidRDefault="00C81B46" w:rsidP="00560650">
            <w:pPr>
              <w:pStyle w:val="Tableheading"/>
              <w:jc w:val="center"/>
            </w:pPr>
            <w:r w:rsidRPr="00B11797">
              <w:t>Comparator</w:t>
            </w:r>
          </w:p>
        </w:tc>
        <w:tc>
          <w:tcPr>
            <w:tcW w:w="662" w:type="pct"/>
            <w:shd w:val="clear" w:color="auto" w:fill="BFBFBF" w:themeFill="background1" w:themeFillShade="BF"/>
            <w:hideMark/>
          </w:tcPr>
          <w:p w14:paraId="4395DA6C" w14:textId="77777777" w:rsidR="00C81B46" w:rsidRPr="00B11797" w:rsidRDefault="00C81B46" w:rsidP="00560650">
            <w:pPr>
              <w:pStyle w:val="Tableheading"/>
              <w:jc w:val="center"/>
            </w:pPr>
            <w:r w:rsidRPr="00B11797">
              <w:t>Evidence used</w:t>
            </w:r>
          </w:p>
        </w:tc>
        <w:tc>
          <w:tcPr>
            <w:tcW w:w="625" w:type="pct"/>
            <w:shd w:val="clear" w:color="auto" w:fill="BFBFBF" w:themeFill="background1" w:themeFillShade="BF"/>
            <w:hideMark/>
          </w:tcPr>
          <w:p w14:paraId="66E93800" w14:textId="77777777" w:rsidR="00C81B46" w:rsidRPr="00B11797" w:rsidRDefault="00C81B46" w:rsidP="00560650">
            <w:pPr>
              <w:pStyle w:val="Tableheading"/>
              <w:jc w:val="center"/>
            </w:pPr>
            <w:r w:rsidRPr="00B11797">
              <w:t>Evidence synthesis</w:t>
            </w:r>
          </w:p>
        </w:tc>
        <w:tc>
          <w:tcPr>
            <w:tcW w:w="620" w:type="pct"/>
            <w:shd w:val="clear" w:color="auto" w:fill="BFBFBF" w:themeFill="background1" w:themeFillShade="BF"/>
            <w:hideMark/>
          </w:tcPr>
          <w:p w14:paraId="1C163EE1" w14:textId="77777777" w:rsidR="00C81B46" w:rsidRPr="00B11797" w:rsidRDefault="00C81B46" w:rsidP="00560650">
            <w:pPr>
              <w:pStyle w:val="Tableheading"/>
              <w:jc w:val="center"/>
            </w:pPr>
            <w:r w:rsidRPr="00B11797">
              <w:t>Accepted Clinical Claim</w:t>
            </w:r>
          </w:p>
        </w:tc>
        <w:tc>
          <w:tcPr>
            <w:tcW w:w="542" w:type="pct"/>
            <w:shd w:val="clear" w:color="auto" w:fill="BFBFBF" w:themeFill="background1" w:themeFillShade="BF"/>
            <w:hideMark/>
          </w:tcPr>
          <w:p w14:paraId="1C770047" w14:textId="77777777" w:rsidR="00C81B46" w:rsidRPr="00B11797" w:rsidRDefault="00C81B46" w:rsidP="00560650">
            <w:pPr>
              <w:pStyle w:val="Tableheading"/>
              <w:jc w:val="center"/>
            </w:pPr>
            <w:r w:rsidRPr="00B11797">
              <w:t>Therapeutic Relativity</w:t>
            </w:r>
          </w:p>
        </w:tc>
        <w:tc>
          <w:tcPr>
            <w:tcW w:w="489" w:type="pct"/>
            <w:shd w:val="clear" w:color="auto" w:fill="BFBFBF" w:themeFill="background1" w:themeFillShade="BF"/>
            <w:hideMark/>
          </w:tcPr>
          <w:p w14:paraId="1C5262A9" w14:textId="77777777" w:rsidR="00C81B46" w:rsidRPr="00B11797" w:rsidRDefault="00C81B46" w:rsidP="00560650">
            <w:pPr>
              <w:pStyle w:val="Tableheading"/>
              <w:jc w:val="center"/>
            </w:pPr>
            <w:r w:rsidRPr="00B11797">
              <w:t>Updated Cochrane evidence</w:t>
            </w:r>
          </w:p>
        </w:tc>
        <w:tc>
          <w:tcPr>
            <w:tcW w:w="468" w:type="pct"/>
            <w:shd w:val="clear" w:color="auto" w:fill="BFBFBF" w:themeFill="background1" w:themeFillShade="BF"/>
            <w:hideMark/>
          </w:tcPr>
          <w:p w14:paraId="1F9FB015" w14:textId="77777777" w:rsidR="00C81B46" w:rsidRPr="00B11797" w:rsidRDefault="00C81B46" w:rsidP="00560650">
            <w:pPr>
              <w:pStyle w:val="Tableheading"/>
              <w:jc w:val="center"/>
            </w:pPr>
            <w:r w:rsidRPr="00B11797">
              <w:t>No. of trials in Cochrane review</w:t>
            </w:r>
          </w:p>
        </w:tc>
        <w:tc>
          <w:tcPr>
            <w:tcW w:w="486" w:type="pct"/>
            <w:shd w:val="clear" w:color="auto" w:fill="BFBFBF" w:themeFill="background1" w:themeFillShade="BF"/>
            <w:hideMark/>
          </w:tcPr>
          <w:p w14:paraId="4C32E26E" w14:textId="69F681D7" w:rsidR="00C81B46" w:rsidRPr="00B11797" w:rsidRDefault="00297ECE" w:rsidP="00560650">
            <w:pPr>
              <w:pStyle w:val="Tableheading"/>
              <w:jc w:val="center"/>
            </w:pPr>
            <w:r>
              <w:rPr>
                <w:rFonts w:eastAsiaTheme="minorEastAsia"/>
              </w:rPr>
              <w:t xml:space="preserve">No. of </w:t>
            </w:r>
            <w:r w:rsidR="005C1F56">
              <w:rPr>
                <w:rFonts w:eastAsiaTheme="minorEastAsia"/>
              </w:rPr>
              <w:t xml:space="preserve">trials </w:t>
            </w:r>
            <w:r w:rsidR="001A4582">
              <w:rPr>
                <w:rFonts w:eastAsiaTheme="minorEastAsia"/>
              </w:rPr>
              <w:t xml:space="preserve">in </w:t>
            </w:r>
            <w:r>
              <w:rPr>
                <w:rFonts w:eastAsiaTheme="minorEastAsia"/>
              </w:rPr>
              <w:t>supplemental evidenc</w:t>
            </w:r>
            <w:r w:rsidR="00C81B46" w:rsidRPr="00B11797">
              <w:rPr>
                <w:rFonts w:eastAsiaTheme="minorEastAsia"/>
              </w:rPr>
              <w:t>e</w:t>
            </w:r>
          </w:p>
        </w:tc>
      </w:tr>
      <w:tr w:rsidR="00C81B46" w:rsidRPr="00B11797" w14:paraId="604B25A9" w14:textId="77777777" w:rsidTr="00D0517F">
        <w:trPr>
          <w:trHeight w:val="186"/>
        </w:trPr>
        <w:tc>
          <w:tcPr>
            <w:tcW w:w="5000" w:type="pct"/>
            <w:gridSpan w:val="9"/>
            <w:shd w:val="clear" w:color="auto" w:fill="D9D9D9" w:themeFill="background1" w:themeFillShade="D9"/>
            <w:hideMark/>
          </w:tcPr>
          <w:p w14:paraId="534A311E" w14:textId="77777777" w:rsidR="00C81B46" w:rsidRPr="00574107" w:rsidRDefault="00C81B46" w:rsidP="00560650">
            <w:pPr>
              <w:pStyle w:val="Tablewriting"/>
              <w:rPr>
                <w:b/>
                <w:bCs/>
              </w:rPr>
            </w:pPr>
            <w:r w:rsidRPr="00574107">
              <w:rPr>
                <w:b/>
                <w:bCs/>
              </w:rPr>
              <w:t>Bupropion</w:t>
            </w:r>
          </w:p>
        </w:tc>
      </w:tr>
      <w:tr w:rsidR="00926E9F" w:rsidRPr="00B11797" w14:paraId="7A54ED59" w14:textId="77777777" w:rsidTr="004C6F83">
        <w:trPr>
          <w:trHeight w:val="234"/>
        </w:trPr>
        <w:tc>
          <w:tcPr>
            <w:tcW w:w="592" w:type="pct"/>
            <w:vMerge w:val="restart"/>
            <w:hideMark/>
          </w:tcPr>
          <w:p w14:paraId="3DF0B576" w14:textId="77777777" w:rsidR="00C81B46" w:rsidRPr="00B11797" w:rsidRDefault="00C81B46" w:rsidP="00560650">
            <w:pPr>
              <w:pStyle w:val="Tablewriting"/>
            </w:pPr>
            <w:r w:rsidRPr="00B11797">
              <w:t>2000</w:t>
            </w:r>
          </w:p>
          <w:p w14:paraId="566E4D60" w14:textId="77777777" w:rsidR="00C81B46" w:rsidRPr="00B11797" w:rsidRDefault="00C81B46" w:rsidP="00560650">
            <w:pPr>
              <w:pStyle w:val="Tablewriting"/>
            </w:pPr>
            <w:r w:rsidRPr="00B11797">
              <w:t>(New listing)</w:t>
            </w:r>
          </w:p>
        </w:tc>
        <w:tc>
          <w:tcPr>
            <w:tcW w:w="517" w:type="pct"/>
            <w:hideMark/>
          </w:tcPr>
          <w:p w14:paraId="609B5016" w14:textId="77777777" w:rsidR="00C81B46" w:rsidRPr="00B11797" w:rsidRDefault="00C81B46" w:rsidP="00560650">
            <w:pPr>
              <w:pStyle w:val="Tablewriting"/>
            </w:pPr>
            <w:r w:rsidRPr="00B11797">
              <w:t>Placebo</w:t>
            </w:r>
          </w:p>
        </w:tc>
        <w:tc>
          <w:tcPr>
            <w:tcW w:w="662" w:type="pct"/>
            <w:tcBorders>
              <w:bottom w:val="single" w:sz="4" w:space="0" w:color="auto"/>
            </w:tcBorders>
            <w:shd w:val="solid" w:color="000000" w:fill="000000"/>
            <w:hideMark/>
          </w:tcPr>
          <w:p w14:paraId="415C51A1" w14:textId="76BA6EA4" w:rsidR="00C81B46" w:rsidRPr="00C73EFF" w:rsidRDefault="00C73EFF" w:rsidP="00560650">
            <w:pPr>
              <w:pStyle w:val="Tablewriting"/>
            </w:pPr>
            <w:r w:rsidRPr="007B466C">
              <w:rPr>
                <w:color w:val="000000"/>
                <w:w w:val="69"/>
                <w:highlight w:val="black"/>
                <w:shd w:val="clear" w:color="auto" w:fill="C0C0C1"/>
                <w:fitText w:val="1150" w:id="-1402741504"/>
                <w14:textFill>
                  <w14:solidFill>
                    <w14:srgbClr w14:val="000000">
                      <w14:alpha w14:val="100000"/>
                    </w14:srgbClr>
                  </w14:solidFill>
                </w14:textFill>
              </w:rPr>
              <w:t>|||||||||||||||||</w:t>
            </w:r>
            <w:r w:rsidRPr="007B466C">
              <w:rPr>
                <w:color w:val="000000"/>
                <w:spacing w:val="7"/>
                <w:w w:val="69"/>
                <w:highlight w:val="black"/>
                <w:shd w:val="clear" w:color="auto" w:fill="C0C0C1"/>
                <w:fitText w:val="1150" w:id="-1402741504"/>
                <w14:textFill>
                  <w14:solidFill>
                    <w14:srgbClr w14:val="000000">
                      <w14:alpha w14:val="100000"/>
                    </w14:srgbClr>
                  </w14:solidFill>
                </w14:textFill>
              </w:rPr>
              <w:t>|</w:t>
            </w:r>
          </w:p>
        </w:tc>
        <w:tc>
          <w:tcPr>
            <w:tcW w:w="625" w:type="pct"/>
            <w:tcBorders>
              <w:bottom w:val="single" w:sz="4" w:space="0" w:color="auto"/>
            </w:tcBorders>
            <w:shd w:val="solid" w:color="000000" w:fill="000000"/>
            <w:hideMark/>
          </w:tcPr>
          <w:p w14:paraId="0DB46E13" w14:textId="32E4853E" w:rsidR="00C81B46" w:rsidRPr="00C73EFF" w:rsidRDefault="00C73EFF" w:rsidP="00560650">
            <w:pPr>
              <w:pStyle w:val="Tablewriting"/>
            </w:pPr>
            <w:r w:rsidRPr="00BF3F75">
              <w:rPr>
                <w:color w:val="000000"/>
                <w:spacing w:val="1"/>
                <w:w w:val="74"/>
                <w:highlight w:val="black"/>
                <w:shd w:val="clear" w:color="auto" w:fill="C0C0C1"/>
                <w:fitText w:val="1370" w:id="-1402741248"/>
                <w14:textFill>
                  <w14:solidFill>
                    <w14:srgbClr w14:val="000000">
                      <w14:alpha w14:val="100000"/>
                    </w14:srgbClr>
                  </w14:solidFill>
                </w14:textFill>
              </w:rPr>
              <w:t>|||||||||||||||||||</w:t>
            </w:r>
            <w:r w:rsidRPr="00BF3F75">
              <w:rPr>
                <w:color w:val="000000"/>
                <w:spacing w:val="11"/>
                <w:w w:val="74"/>
                <w:highlight w:val="black"/>
                <w:shd w:val="clear" w:color="auto" w:fill="C0C0C1"/>
                <w:fitText w:val="1370" w:id="-1402741248"/>
                <w14:textFill>
                  <w14:solidFill>
                    <w14:srgbClr w14:val="000000">
                      <w14:alpha w14:val="100000"/>
                    </w14:srgbClr>
                  </w14:solidFill>
                </w14:textFill>
              </w:rPr>
              <w:t>|</w:t>
            </w:r>
          </w:p>
        </w:tc>
        <w:tc>
          <w:tcPr>
            <w:tcW w:w="620" w:type="pct"/>
            <w:hideMark/>
          </w:tcPr>
          <w:p w14:paraId="5DEF878C" w14:textId="00C438D0" w:rsidR="00C81B46" w:rsidRPr="00C324F3" w:rsidRDefault="00C73EFF" w:rsidP="00560650">
            <w:pPr>
              <w:pStyle w:val="Tablewriting"/>
              <w:rPr>
                <w:highlight w:val="green"/>
              </w:rPr>
            </w:pPr>
            <w:r w:rsidRPr="007B466C">
              <w:rPr>
                <w:color w:val="000000"/>
                <w:w w:val="71"/>
                <w:shd w:val="solid" w:color="000000" w:fill="000000"/>
                <w:fitText w:val="1320" w:id="-1402740992"/>
                <w14:textFill>
                  <w14:solidFill>
                    <w14:srgbClr w14:val="000000">
                      <w14:alpha w14:val="100000"/>
                    </w14:srgbClr>
                  </w14:solidFill>
                </w14:textFill>
              </w:rPr>
              <w:t>|||||||||||||||||||</w:t>
            </w:r>
            <w:r w:rsidRPr="007B466C">
              <w:rPr>
                <w:color w:val="000000"/>
                <w:spacing w:val="13"/>
                <w:w w:val="71"/>
                <w:shd w:val="solid" w:color="000000" w:fill="000000"/>
                <w:fitText w:val="1320" w:id="-1402740992"/>
                <w14:textFill>
                  <w14:solidFill>
                    <w14:srgbClr w14:val="000000">
                      <w14:alpha w14:val="100000"/>
                    </w14:srgbClr>
                  </w14:solidFill>
                </w14:textFill>
              </w:rPr>
              <w:t>|</w:t>
            </w:r>
            <w:r>
              <w:rPr>
                <w:highlight w:val="green"/>
                <w:shd w:val="clear" w:color="auto" w:fill="C0C0C1"/>
              </w:rPr>
              <w:t xml:space="preserve"> </w:t>
            </w:r>
            <w:r w:rsidRPr="00BF3F75">
              <w:rPr>
                <w:color w:val="000000"/>
                <w:spacing w:val="2"/>
                <w:w w:val="73"/>
                <w:shd w:val="solid" w:color="000000" w:fill="000000"/>
                <w:fitText w:val="1090" w:id="-1402740991"/>
                <w14:textFill>
                  <w14:solidFill>
                    <w14:srgbClr w14:val="000000">
                      <w14:alpha w14:val="100000"/>
                    </w14:srgbClr>
                  </w14:solidFill>
                </w14:textFill>
              </w:rPr>
              <w:t>|||||||||||||||</w:t>
            </w:r>
            <w:r w:rsidRPr="00BF3F75">
              <w:rPr>
                <w:color w:val="000000"/>
                <w:spacing w:val="4"/>
                <w:w w:val="73"/>
                <w:shd w:val="solid" w:color="000000" w:fill="000000"/>
                <w:fitText w:val="1090" w:id="-1402740991"/>
                <w14:textFill>
                  <w14:solidFill>
                    <w14:srgbClr w14:val="000000">
                      <w14:alpha w14:val="100000"/>
                    </w14:srgbClr>
                  </w14:solidFill>
                </w14:textFill>
              </w:rPr>
              <w:t>|</w:t>
            </w:r>
          </w:p>
        </w:tc>
        <w:tc>
          <w:tcPr>
            <w:tcW w:w="542" w:type="pct"/>
            <w:tcBorders>
              <w:bottom w:val="single" w:sz="4" w:space="0" w:color="auto"/>
            </w:tcBorders>
            <w:hideMark/>
          </w:tcPr>
          <w:p w14:paraId="492FEBFD" w14:textId="51719655" w:rsidR="00C81B46" w:rsidRPr="00C324F3" w:rsidRDefault="00C73EFF" w:rsidP="00560650">
            <w:pPr>
              <w:pStyle w:val="Tablewriting"/>
              <w:rPr>
                <w:highlight w:val="green"/>
              </w:rPr>
            </w:pPr>
            <w:r w:rsidRPr="007B466C">
              <w:rPr>
                <w:color w:val="000000"/>
                <w:w w:val="84"/>
                <w:shd w:val="solid" w:color="000000" w:fill="000000"/>
                <w:fitText w:val="780" w:id="-1402740736"/>
                <w14:textFill>
                  <w14:solidFill>
                    <w14:srgbClr w14:val="000000">
                      <w14:alpha w14:val="100000"/>
                    </w14:srgbClr>
                  </w14:solidFill>
                </w14:textFill>
              </w:rPr>
              <w:t>|||||||||</w:t>
            </w:r>
            <w:r w:rsidRPr="007B466C">
              <w:rPr>
                <w:color w:val="000000"/>
                <w:spacing w:val="6"/>
                <w:w w:val="84"/>
                <w:shd w:val="solid" w:color="000000" w:fill="000000"/>
                <w:fitText w:val="780" w:id="-1402740736"/>
                <w14:textFill>
                  <w14:solidFill>
                    <w14:srgbClr w14:val="000000">
                      <w14:alpha w14:val="100000"/>
                    </w14:srgbClr>
                  </w14:solidFill>
                </w14:textFill>
              </w:rPr>
              <w:t>|</w:t>
            </w:r>
            <w:r>
              <w:rPr>
                <w:highlight w:val="green"/>
                <w:shd w:val="clear" w:color="auto" w:fill="C0C0C1"/>
              </w:rPr>
              <w:t xml:space="preserve"> </w:t>
            </w:r>
            <w:r w:rsidRPr="007B466C">
              <w:rPr>
                <w:color w:val="000000"/>
                <w:w w:val="69"/>
                <w:shd w:val="solid" w:color="000000" w:fill="000000"/>
                <w:fitText w:val="1160" w:id="-1402740734"/>
                <w14:textFill>
                  <w14:solidFill>
                    <w14:srgbClr w14:val="000000">
                      <w14:alpha w14:val="100000"/>
                    </w14:srgbClr>
                  </w14:solidFill>
                </w14:textFill>
              </w:rPr>
              <w:t>|||||||||||||||||</w:t>
            </w:r>
            <w:r w:rsidRPr="007B466C">
              <w:rPr>
                <w:color w:val="000000"/>
                <w:spacing w:val="17"/>
                <w:w w:val="69"/>
                <w:shd w:val="solid" w:color="000000" w:fill="000000"/>
                <w:fitText w:val="1160" w:id="-1402740734"/>
                <w14:textFill>
                  <w14:solidFill>
                    <w14:srgbClr w14:val="000000">
                      <w14:alpha w14:val="100000"/>
                    </w14:srgbClr>
                  </w14:solidFill>
                </w14:textFill>
              </w:rPr>
              <w:t>|</w:t>
            </w:r>
            <w:r>
              <w:rPr>
                <w:highlight w:val="green"/>
                <w:shd w:val="clear" w:color="auto" w:fill="C0C0C1"/>
              </w:rPr>
              <w:t xml:space="preserve"> </w:t>
            </w:r>
            <w:r w:rsidRPr="0097330E">
              <w:rPr>
                <w:color w:val="000000"/>
                <w:w w:val="84"/>
                <w:shd w:val="solid" w:color="000000" w:fill="000000"/>
                <w:fitText w:val="310" w:id="-1402740733"/>
                <w14:textFill>
                  <w14:solidFill>
                    <w14:srgbClr w14:val="000000">
                      <w14:alpha w14:val="100000"/>
                    </w14:srgbClr>
                  </w14:solidFill>
                </w14:textFill>
              </w:rPr>
              <w:t>|||</w:t>
            </w:r>
            <w:r w:rsidRPr="0097330E">
              <w:rPr>
                <w:color w:val="000000"/>
                <w:spacing w:val="2"/>
                <w:w w:val="84"/>
                <w:shd w:val="solid" w:color="000000" w:fill="000000"/>
                <w:fitText w:val="310" w:id="-1402740733"/>
                <w14:textFill>
                  <w14:solidFill>
                    <w14:srgbClr w14:val="000000">
                      <w14:alpha w14:val="100000"/>
                    </w14:srgbClr>
                  </w14:solidFill>
                </w14:textFill>
              </w:rPr>
              <w:t>|</w:t>
            </w:r>
          </w:p>
        </w:tc>
        <w:tc>
          <w:tcPr>
            <w:tcW w:w="489" w:type="pct"/>
            <w:hideMark/>
          </w:tcPr>
          <w:p w14:paraId="4E7D127D" w14:textId="77777777" w:rsidR="00C81B46" w:rsidRPr="00B11797" w:rsidRDefault="00C81B46" w:rsidP="00560650">
            <w:pPr>
              <w:pStyle w:val="Tablewriting"/>
            </w:pPr>
            <w:r w:rsidRPr="00B11797">
              <w:t>Howes (2020) (efficacy and safety)</w:t>
            </w:r>
          </w:p>
        </w:tc>
        <w:tc>
          <w:tcPr>
            <w:tcW w:w="468" w:type="pct"/>
            <w:hideMark/>
          </w:tcPr>
          <w:p w14:paraId="2F3B2D7D" w14:textId="77777777" w:rsidR="00C81B46" w:rsidRPr="00B11797" w:rsidRDefault="00C81B46" w:rsidP="00560650">
            <w:pPr>
              <w:pStyle w:val="Tablewriting"/>
            </w:pPr>
            <w:r w:rsidRPr="00B11797">
              <w:t xml:space="preserve">46 trials </w:t>
            </w:r>
            <w:r w:rsidRPr="00B11797">
              <w:rPr>
                <w:rFonts w:eastAsiaTheme="minorEastAsia"/>
              </w:rPr>
              <w:t>(</w:t>
            </w:r>
            <w:r w:rsidRPr="00B11797">
              <w:t>PBAC evidence included)</w:t>
            </w:r>
          </w:p>
        </w:tc>
        <w:tc>
          <w:tcPr>
            <w:tcW w:w="486" w:type="pct"/>
            <w:hideMark/>
          </w:tcPr>
          <w:p w14:paraId="0C4CD35A" w14:textId="7DEA0EE7" w:rsidR="00C81B46" w:rsidRPr="00B11797" w:rsidRDefault="00F2641F" w:rsidP="00560650">
            <w:pPr>
              <w:pStyle w:val="Tablewriting"/>
            </w:pPr>
            <w:r w:rsidRPr="00213443">
              <w:t>1</w:t>
            </w:r>
          </w:p>
        </w:tc>
      </w:tr>
      <w:tr w:rsidR="00926E9F" w:rsidRPr="00B11797" w14:paraId="0EE2696C" w14:textId="77777777" w:rsidTr="003737DD">
        <w:trPr>
          <w:trHeight w:val="70"/>
        </w:trPr>
        <w:tc>
          <w:tcPr>
            <w:tcW w:w="592" w:type="pct"/>
            <w:vMerge/>
            <w:hideMark/>
          </w:tcPr>
          <w:p w14:paraId="27225E61" w14:textId="77777777" w:rsidR="00C81B46" w:rsidRPr="00B11797" w:rsidRDefault="00C81B46" w:rsidP="00560650">
            <w:pPr>
              <w:pStyle w:val="Tablewriting"/>
            </w:pPr>
          </w:p>
        </w:tc>
        <w:tc>
          <w:tcPr>
            <w:tcW w:w="517" w:type="pct"/>
            <w:hideMark/>
          </w:tcPr>
          <w:p w14:paraId="6C8B6A34" w14:textId="77777777" w:rsidR="00C81B46" w:rsidRPr="00B11797" w:rsidRDefault="00C81B46" w:rsidP="00560650">
            <w:pPr>
              <w:pStyle w:val="Tablewriting"/>
            </w:pPr>
            <w:r w:rsidRPr="00B11797">
              <w:t>NRT</w:t>
            </w:r>
          </w:p>
        </w:tc>
        <w:tc>
          <w:tcPr>
            <w:tcW w:w="662" w:type="pct"/>
            <w:tcBorders>
              <w:bottom w:val="single" w:sz="4" w:space="0" w:color="auto"/>
            </w:tcBorders>
            <w:shd w:val="solid" w:color="000000" w:fill="000000"/>
            <w:hideMark/>
          </w:tcPr>
          <w:p w14:paraId="3B764B38" w14:textId="2897F9D0" w:rsidR="00C81B46" w:rsidRPr="004C6F83" w:rsidRDefault="004C6F83" w:rsidP="00560650">
            <w:pPr>
              <w:pStyle w:val="Tablewriting"/>
            </w:pPr>
            <w:r w:rsidRPr="0097330E">
              <w:rPr>
                <w:color w:val="000000"/>
                <w:w w:val="69"/>
                <w:highlight w:val="black"/>
                <w:shd w:val="clear" w:color="auto" w:fill="C0C0C1"/>
                <w:fitText w:val="1150" w:id="-1402740732"/>
                <w14:textFill>
                  <w14:solidFill>
                    <w14:srgbClr w14:val="000000">
                      <w14:alpha w14:val="100000"/>
                    </w14:srgbClr>
                  </w14:solidFill>
                </w14:textFill>
              </w:rPr>
              <w:t>|||||||||||||||||</w:t>
            </w:r>
            <w:r w:rsidRPr="0097330E">
              <w:rPr>
                <w:color w:val="000000"/>
                <w:spacing w:val="16"/>
                <w:w w:val="69"/>
                <w:highlight w:val="black"/>
                <w:shd w:val="clear" w:color="auto" w:fill="C0C0C1"/>
                <w:fitText w:val="1150" w:id="-1402740732"/>
                <w14:textFill>
                  <w14:solidFill>
                    <w14:srgbClr w14:val="000000">
                      <w14:alpha w14:val="100000"/>
                    </w14:srgbClr>
                  </w14:solidFill>
                </w14:textFill>
              </w:rPr>
              <w:t>|</w:t>
            </w:r>
          </w:p>
        </w:tc>
        <w:tc>
          <w:tcPr>
            <w:tcW w:w="625" w:type="pct"/>
            <w:shd w:val="solid" w:color="000000" w:fill="000000"/>
            <w:hideMark/>
          </w:tcPr>
          <w:p w14:paraId="443086C6" w14:textId="59455CF0" w:rsidR="00C81B46" w:rsidRPr="004C6F83" w:rsidRDefault="004C6F83" w:rsidP="00560650">
            <w:pPr>
              <w:pStyle w:val="Tablewriting"/>
            </w:pPr>
            <w:r w:rsidRPr="00BF3F75">
              <w:rPr>
                <w:color w:val="000000"/>
                <w:spacing w:val="1"/>
                <w:w w:val="74"/>
                <w:highlight w:val="black"/>
                <w:shd w:val="clear" w:color="auto" w:fill="C0C0C1"/>
                <w:fitText w:val="1370" w:id="-1402740480"/>
                <w14:textFill>
                  <w14:solidFill>
                    <w14:srgbClr w14:val="000000">
                      <w14:alpha w14:val="100000"/>
                    </w14:srgbClr>
                  </w14:solidFill>
                </w14:textFill>
              </w:rPr>
              <w:t>|||||||||||||||||||</w:t>
            </w:r>
            <w:r w:rsidRPr="00BF3F75">
              <w:rPr>
                <w:color w:val="000000"/>
                <w:spacing w:val="11"/>
                <w:w w:val="74"/>
                <w:highlight w:val="black"/>
                <w:shd w:val="clear" w:color="auto" w:fill="C0C0C1"/>
                <w:fitText w:val="1370" w:id="-1402740480"/>
                <w14:textFill>
                  <w14:solidFill>
                    <w14:srgbClr w14:val="000000">
                      <w14:alpha w14:val="100000"/>
                    </w14:srgbClr>
                  </w14:solidFill>
                </w14:textFill>
              </w:rPr>
              <w:t>|</w:t>
            </w:r>
          </w:p>
        </w:tc>
        <w:tc>
          <w:tcPr>
            <w:tcW w:w="620" w:type="pct"/>
            <w:hideMark/>
          </w:tcPr>
          <w:p w14:paraId="69AA7C8A" w14:textId="28A78114" w:rsidR="004C6F83" w:rsidRPr="004C6F83" w:rsidRDefault="004C6F83" w:rsidP="00560650">
            <w:pPr>
              <w:pStyle w:val="Tablewriting"/>
              <w:rPr>
                <w:shd w:val="clear" w:color="auto" w:fill="C0C0C1"/>
              </w:rPr>
            </w:pPr>
            <w:r w:rsidRPr="0097330E">
              <w:rPr>
                <w:color w:val="000000"/>
                <w:w w:val="71"/>
                <w:shd w:val="solid" w:color="000000" w:fill="000000"/>
                <w:fitText w:val="1320" w:id="-1402740479"/>
                <w14:textFill>
                  <w14:solidFill>
                    <w14:srgbClr w14:val="000000">
                      <w14:alpha w14:val="100000"/>
                    </w14:srgbClr>
                  </w14:solidFill>
                </w14:textFill>
              </w:rPr>
              <w:t>|||||||||||||||||||</w:t>
            </w:r>
            <w:r w:rsidRPr="0097330E">
              <w:rPr>
                <w:color w:val="000000"/>
                <w:spacing w:val="20"/>
                <w:w w:val="71"/>
                <w:shd w:val="solid" w:color="000000" w:fill="000000"/>
                <w:fitText w:val="1320" w:id="-1402740479"/>
                <w14:textFill>
                  <w14:solidFill>
                    <w14:srgbClr w14:val="000000">
                      <w14:alpha w14:val="100000"/>
                    </w14:srgbClr>
                  </w14:solidFill>
                </w14:textFill>
              </w:rPr>
              <w:t>|</w:t>
            </w:r>
            <w:r w:rsidRPr="004C6F83">
              <w:rPr>
                <w:shd w:val="clear" w:color="auto" w:fill="C0C0C1"/>
              </w:rPr>
              <w:t xml:space="preserve"> </w:t>
            </w:r>
          </w:p>
          <w:p w14:paraId="20987BC9" w14:textId="0E965189" w:rsidR="00C81B46" w:rsidRPr="00C324F3" w:rsidRDefault="004C6F83" w:rsidP="00560650">
            <w:pPr>
              <w:pStyle w:val="Tablewriting"/>
              <w:rPr>
                <w:highlight w:val="green"/>
              </w:rPr>
            </w:pPr>
            <w:r w:rsidRPr="0097330E">
              <w:rPr>
                <w:color w:val="000000"/>
                <w:w w:val="78"/>
                <w:shd w:val="solid" w:color="000000" w:fill="000000"/>
                <w:fitText w:val="870" w:id="-1402740478"/>
                <w14:textFill>
                  <w14:solidFill>
                    <w14:srgbClr w14:val="000000">
                      <w14:alpha w14:val="100000"/>
                    </w14:srgbClr>
                  </w14:solidFill>
                </w14:textFill>
              </w:rPr>
              <w:t>|||||||||||</w:t>
            </w:r>
            <w:r w:rsidRPr="0097330E">
              <w:rPr>
                <w:color w:val="000000"/>
                <w:spacing w:val="6"/>
                <w:w w:val="78"/>
                <w:shd w:val="solid" w:color="000000" w:fill="000000"/>
                <w:fitText w:val="870" w:id="-1402740478"/>
                <w14:textFill>
                  <w14:solidFill>
                    <w14:srgbClr w14:val="000000">
                      <w14:alpha w14:val="100000"/>
                    </w14:srgbClr>
                  </w14:solidFill>
                </w14:textFill>
              </w:rPr>
              <w:t>|</w:t>
            </w:r>
            <w:r w:rsidRPr="004C6F83">
              <w:rPr>
                <w:highlight w:val="black"/>
                <w:shd w:val="clear" w:color="auto" w:fill="C0C0C1"/>
              </w:rPr>
              <w:t xml:space="preserve"> </w:t>
            </w:r>
            <w:r w:rsidRPr="0097330E">
              <w:rPr>
                <w:color w:val="000000"/>
                <w:w w:val="76"/>
                <w:highlight w:val="black"/>
                <w:shd w:val="solid" w:color="000000" w:fill="000000"/>
                <w:fitText w:val="420" w:id="-1402740477"/>
                <w14:textFill>
                  <w14:solidFill>
                    <w14:srgbClr w14:val="000000">
                      <w14:alpha w14:val="100000"/>
                    </w14:srgbClr>
                  </w14:solidFill>
                </w14:textFill>
              </w:rPr>
              <w:t>||||||</w:t>
            </w:r>
            <w:r w:rsidRPr="004C6F83">
              <w:rPr>
                <w:highlight w:val="black"/>
                <w:shd w:val="clear" w:color="auto" w:fill="C0C0C1"/>
              </w:rPr>
              <w:t xml:space="preserve"> </w:t>
            </w:r>
            <w:r w:rsidRPr="00BF3F75">
              <w:rPr>
                <w:color w:val="000000"/>
                <w:spacing w:val="2"/>
                <w:w w:val="74"/>
                <w:shd w:val="solid" w:color="000000" w:fill="000000"/>
                <w:fitText w:val="1240" w:id="-1402740476"/>
                <w14:textFill>
                  <w14:solidFill>
                    <w14:srgbClr w14:val="000000">
                      <w14:alpha w14:val="100000"/>
                    </w14:srgbClr>
                  </w14:solidFill>
                </w14:textFill>
              </w:rPr>
              <w:t>|||||||||||||||||</w:t>
            </w:r>
            <w:r w:rsidRPr="00BF3F75">
              <w:rPr>
                <w:color w:val="000000"/>
                <w:w w:val="74"/>
                <w:shd w:val="solid" w:color="000000" w:fill="000000"/>
                <w:fitText w:val="1240" w:id="-1402740476"/>
                <w14:textFill>
                  <w14:solidFill>
                    <w14:srgbClr w14:val="000000">
                      <w14:alpha w14:val="100000"/>
                    </w14:srgbClr>
                  </w14:solidFill>
                </w14:textFill>
              </w:rPr>
              <w:t>|</w:t>
            </w:r>
            <w:r>
              <w:rPr>
                <w:highlight w:val="green"/>
                <w:shd w:val="clear" w:color="auto" w:fill="C0C0C1"/>
              </w:rPr>
              <w:t xml:space="preserve"> </w:t>
            </w:r>
          </w:p>
        </w:tc>
        <w:tc>
          <w:tcPr>
            <w:tcW w:w="542" w:type="pct"/>
            <w:tcBorders>
              <w:bottom w:val="single" w:sz="4" w:space="0" w:color="auto"/>
            </w:tcBorders>
            <w:shd w:val="solid" w:color="000000" w:fill="000000"/>
            <w:hideMark/>
          </w:tcPr>
          <w:p w14:paraId="14D17F7A" w14:textId="18008A28" w:rsidR="00C81B46" w:rsidRPr="004C6F83" w:rsidRDefault="004C6F83" w:rsidP="00560650">
            <w:pPr>
              <w:pStyle w:val="Tablewriting"/>
            </w:pPr>
            <w:r w:rsidRPr="00BF3F75">
              <w:rPr>
                <w:color w:val="000000"/>
                <w:spacing w:val="1"/>
                <w:w w:val="72"/>
                <w:highlight w:val="black"/>
                <w:shd w:val="clear" w:color="auto" w:fill="C0C0C1"/>
                <w:fitText w:val="800" w:id="-1402740224"/>
                <w14:textFill>
                  <w14:solidFill>
                    <w14:srgbClr w14:val="000000">
                      <w14:alpha w14:val="100000"/>
                    </w14:srgbClr>
                  </w14:solidFill>
                </w14:textFill>
              </w:rPr>
              <w:t>|||||||||||</w:t>
            </w:r>
            <w:r w:rsidRPr="00BF3F75">
              <w:rPr>
                <w:color w:val="000000"/>
                <w:spacing w:val="9"/>
                <w:w w:val="72"/>
                <w:highlight w:val="black"/>
                <w:shd w:val="clear" w:color="auto" w:fill="C0C0C1"/>
                <w:fitText w:val="800" w:id="-1402740224"/>
                <w14:textFill>
                  <w14:solidFill>
                    <w14:srgbClr w14:val="000000">
                      <w14:alpha w14:val="100000"/>
                    </w14:srgbClr>
                  </w14:solidFill>
                </w14:textFill>
              </w:rPr>
              <w:t>|</w:t>
            </w:r>
          </w:p>
        </w:tc>
        <w:tc>
          <w:tcPr>
            <w:tcW w:w="489" w:type="pct"/>
            <w:hideMark/>
          </w:tcPr>
          <w:p w14:paraId="44141A4D" w14:textId="77777777" w:rsidR="00C81B46" w:rsidRPr="00B11797" w:rsidRDefault="00C81B46" w:rsidP="00560650">
            <w:pPr>
              <w:pStyle w:val="Tablewriting"/>
            </w:pPr>
            <w:r w:rsidRPr="00B11797">
              <w:t>Howes (2020) (efficacy and safety)</w:t>
            </w:r>
          </w:p>
        </w:tc>
        <w:tc>
          <w:tcPr>
            <w:tcW w:w="468" w:type="pct"/>
            <w:hideMark/>
          </w:tcPr>
          <w:p w14:paraId="5241D18A" w14:textId="77777777" w:rsidR="00C81B46" w:rsidRPr="00B11797" w:rsidRDefault="00C81B46" w:rsidP="00560650">
            <w:pPr>
              <w:pStyle w:val="Tablewriting"/>
            </w:pPr>
            <w:r w:rsidRPr="00B11797">
              <w:t xml:space="preserve">10 trials </w:t>
            </w:r>
            <w:r w:rsidRPr="00B11797">
              <w:rPr>
                <w:rFonts w:eastAsiaTheme="minorEastAsia"/>
              </w:rPr>
              <w:t>(</w:t>
            </w:r>
            <w:r w:rsidRPr="00B11797">
              <w:t>PBAC evidence included)</w:t>
            </w:r>
          </w:p>
        </w:tc>
        <w:tc>
          <w:tcPr>
            <w:tcW w:w="486" w:type="pct"/>
            <w:hideMark/>
          </w:tcPr>
          <w:p w14:paraId="4210859B" w14:textId="621581B6" w:rsidR="00C81B46" w:rsidRPr="00B11797" w:rsidRDefault="007642A3" w:rsidP="00560650">
            <w:pPr>
              <w:pStyle w:val="Tablewriting"/>
            </w:pPr>
            <w:r w:rsidRPr="00213443">
              <w:t>1</w:t>
            </w:r>
          </w:p>
        </w:tc>
      </w:tr>
      <w:tr w:rsidR="00B16F78" w:rsidRPr="00B11797" w14:paraId="44D4C338" w14:textId="77777777" w:rsidTr="003737DD">
        <w:trPr>
          <w:trHeight w:val="164"/>
        </w:trPr>
        <w:tc>
          <w:tcPr>
            <w:tcW w:w="592" w:type="pct"/>
            <w:vMerge/>
            <w:hideMark/>
          </w:tcPr>
          <w:p w14:paraId="1EF30D1B" w14:textId="77777777" w:rsidR="00C81B46" w:rsidRPr="00B11797" w:rsidRDefault="00C81B46" w:rsidP="00560650">
            <w:pPr>
              <w:pStyle w:val="Tablewriting"/>
            </w:pPr>
          </w:p>
        </w:tc>
        <w:tc>
          <w:tcPr>
            <w:tcW w:w="517" w:type="pct"/>
            <w:hideMark/>
          </w:tcPr>
          <w:p w14:paraId="6D4A997A" w14:textId="77777777" w:rsidR="00C81B46" w:rsidRPr="00B11797" w:rsidRDefault="00C81B46" w:rsidP="00560650">
            <w:pPr>
              <w:pStyle w:val="Tablewriting"/>
            </w:pPr>
            <w:r w:rsidRPr="00B11797">
              <w:t>Placebo </w:t>
            </w:r>
          </w:p>
        </w:tc>
        <w:tc>
          <w:tcPr>
            <w:tcW w:w="662" w:type="pct"/>
            <w:shd w:val="solid" w:color="000000" w:fill="000000"/>
            <w:hideMark/>
          </w:tcPr>
          <w:p w14:paraId="61EEC0E6" w14:textId="6ACCB3BF" w:rsidR="00C81B46" w:rsidRPr="003737DD" w:rsidRDefault="003737DD" w:rsidP="00560650">
            <w:pPr>
              <w:pStyle w:val="Tablewriting"/>
            </w:pPr>
            <w:r w:rsidRPr="00BF3F75">
              <w:rPr>
                <w:color w:val="000000"/>
                <w:spacing w:val="1"/>
                <w:w w:val="74"/>
                <w:highlight w:val="black"/>
                <w:shd w:val="clear" w:color="auto" w:fill="C0C0C1"/>
                <w:fitText w:val="820" w:id="-1402739968"/>
                <w14:textFill>
                  <w14:solidFill>
                    <w14:srgbClr w14:val="000000">
                      <w14:alpha w14:val="100000"/>
                    </w14:srgbClr>
                  </w14:solidFill>
                </w14:textFill>
              </w:rPr>
              <w:t>|||||||||||</w:t>
            </w:r>
            <w:r w:rsidRPr="00BF3F75">
              <w:rPr>
                <w:color w:val="000000"/>
                <w:spacing w:val="5"/>
                <w:w w:val="74"/>
                <w:highlight w:val="black"/>
                <w:shd w:val="clear" w:color="auto" w:fill="C0C0C1"/>
                <w:fitText w:val="820" w:id="-1402739968"/>
                <w14:textFill>
                  <w14:solidFill>
                    <w14:srgbClr w14:val="000000">
                      <w14:alpha w14:val="100000"/>
                    </w14:srgbClr>
                  </w14:solidFill>
                </w14:textFill>
              </w:rPr>
              <w:t>|</w:t>
            </w:r>
          </w:p>
        </w:tc>
        <w:tc>
          <w:tcPr>
            <w:tcW w:w="625" w:type="pct"/>
            <w:hideMark/>
          </w:tcPr>
          <w:p w14:paraId="1F6B20D5" w14:textId="0057602F" w:rsidR="00C81B46" w:rsidRPr="00C324F3" w:rsidRDefault="003737DD" w:rsidP="00560650">
            <w:pPr>
              <w:pStyle w:val="Tablewriting"/>
              <w:rPr>
                <w:highlight w:val="green"/>
              </w:rPr>
            </w:pPr>
            <w:r w:rsidRPr="003737DD">
              <w:rPr>
                <w:color w:val="000000"/>
                <w:highlight w:val="black"/>
                <w:shd w:val="solid" w:color="000000" w:fill="000000"/>
                <w:fitText w:val="370" w:id="-1402739712"/>
                <w14:textFill>
                  <w14:solidFill>
                    <w14:srgbClr w14:val="000000">
                      <w14:alpha w14:val="100000"/>
                    </w14:srgbClr>
                  </w14:solidFill>
                </w14:textFill>
              </w:rPr>
              <w:t>||||</w:t>
            </w:r>
            <w:r w:rsidRPr="003737DD">
              <w:rPr>
                <w:highlight w:val="black"/>
                <w:shd w:val="clear" w:color="auto" w:fill="C0C0C1"/>
              </w:rPr>
              <w:t xml:space="preserve"> </w:t>
            </w:r>
            <w:r w:rsidRPr="00BF3F75">
              <w:rPr>
                <w:color w:val="000000"/>
                <w:spacing w:val="2"/>
                <w:w w:val="73"/>
                <w:highlight w:val="black"/>
                <w:shd w:val="solid" w:color="000000" w:fill="000000"/>
                <w:fitText w:val="950" w:id="-1402739711"/>
                <w14:textFill>
                  <w14:solidFill>
                    <w14:srgbClr w14:val="000000">
                      <w14:alpha w14:val="100000"/>
                    </w14:srgbClr>
                  </w14:solidFill>
                </w14:textFill>
              </w:rPr>
              <w:t>|||||||||||||</w:t>
            </w:r>
            <w:r w:rsidRPr="00BF3F75">
              <w:rPr>
                <w:color w:val="000000"/>
                <w:w w:val="73"/>
                <w:highlight w:val="black"/>
                <w:shd w:val="solid" w:color="000000" w:fill="000000"/>
                <w:fitText w:val="950" w:id="-1402739711"/>
                <w14:textFill>
                  <w14:solidFill>
                    <w14:srgbClr w14:val="000000">
                      <w14:alpha w14:val="100000"/>
                    </w14:srgbClr>
                  </w14:solidFill>
                </w14:textFill>
              </w:rPr>
              <w:t>|</w:t>
            </w:r>
            <w:r w:rsidRPr="003737DD">
              <w:rPr>
                <w:highlight w:val="black"/>
                <w:shd w:val="clear" w:color="auto" w:fill="C0C0C1"/>
              </w:rPr>
              <w:t xml:space="preserve"> </w:t>
            </w:r>
            <w:r w:rsidRPr="003737DD">
              <w:rPr>
                <w:color w:val="000000"/>
                <w:spacing w:val="15"/>
                <w:highlight w:val="black"/>
                <w:shd w:val="solid" w:color="000000" w:fill="000000"/>
                <w:fitText w:val="200" w:id="-1402739710"/>
                <w14:textFill>
                  <w14:solidFill>
                    <w14:srgbClr w14:val="000000">
                      <w14:alpha w14:val="100000"/>
                    </w14:srgbClr>
                  </w14:solidFill>
                </w14:textFill>
              </w:rPr>
              <w:t>|</w:t>
            </w:r>
            <w:r w:rsidRPr="003737DD">
              <w:rPr>
                <w:color w:val="000000"/>
                <w:highlight w:val="black"/>
                <w:shd w:val="solid" w:color="000000" w:fill="000000"/>
                <w:fitText w:val="200" w:id="-1402739710"/>
                <w14:textFill>
                  <w14:solidFill>
                    <w14:srgbClr w14:val="000000">
                      <w14:alpha w14:val="100000"/>
                    </w14:srgbClr>
                  </w14:solidFill>
                </w14:textFill>
              </w:rPr>
              <w:t>|</w:t>
            </w:r>
            <w:r w:rsidRPr="003737DD">
              <w:rPr>
                <w:highlight w:val="black"/>
                <w:shd w:val="clear" w:color="auto" w:fill="C0C0C1"/>
              </w:rPr>
              <w:t>  </w:t>
            </w:r>
          </w:p>
        </w:tc>
        <w:tc>
          <w:tcPr>
            <w:tcW w:w="620" w:type="pct"/>
            <w:hideMark/>
          </w:tcPr>
          <w:p w14:paraId="167E918C" w14:textId="724DA802" w:rsidR="003737DD" w:rsidRPr="003737DD" w:rsidRDefault="003737DD" w:rsidP="00560650">
            <w:pPr>
              <w:pStyle w:val="Tablewriting"/>
              <w:rPr>
                <w:shd w:val="clear" w:color="auto" w:fill="C0C0C1"/>
              </w:rPr>
            </w:pPr>
            <w:r w:rsidRPr="0097330E">
              <w:rPr>
                <w:color w:val="000000"/>
                <w:w w:val="76"/>
                <w:shd w:val="solid" w:color="000000" w:fill="000000"/>
                <w:fitText w:val="840" w:id="-1402739456"/>
                <w14:textFill>
                  <w14:solidFill>
                    <w14:srgbClr w14:val="000000">
                      <w14:alpha w14:val="100000"/>
                    </w14:srgbClr>
                  </w14:solidFill>
                </w14:textFill>
              </w:rPr>
              <w:t>||||||||||||</w:t>
            </w:r>
          </w:p>
          <w:p w14:paraId="3CC0FBA7" w14:textId="0F98DB3B" w:rsidR="00C81B46" w:rsidRPr="003737DD" w:rsidRDefault="003737DD" w:rsidP="00560650">
            <w:pPr>
              <w:pStyle w:val="Tablewriting"/>
            </w:pPr>
            <w:r w:rsidRPr="0097330E">
              <w:rPr>
                <w:color w:val="000000"/>
                <w:w w:val="69"/>
                <w:shd w:val="solid" w:color="000000" w:fill="000000"/>
                <w:fitText w:val="1270" w:id="-1402739455"/>
                <w14:textFill>
                  <w14:solidFill>
                    <w14:srgbClr w14:val="000000">
                      <w14:alpha w14:val="100000"/>
                    </w14:srgbClr>
                  </w14:solidFill>
                </w14:textFill>
              </w:rPr>
              <w:t>|||||||||||||||||||</w:t>
            </w:r>
            <w:r w:rsidRPr="0097330E">
              <w:rPr>
                <w:color w:val="000000"/>
                <w:spacing w:val="10"/>
                <w:w w:val="69"/>
                <w:shd w:val="solid" w:color="000000" w:fill="000000"/>
                <w:fitText w:val="1270" w:id="-1402739455"/>
                <w14:textFill>
                  <w14:solidFill>
                    <w14:srgbClr w14:val="000000">
                      <w14:alpha w14:val="100000"/>
                    </w14:srgbClr>
                  </w14:solidFill>
                </w14:textFill>
              </w:rPr>
              <w:t>|</w:t>
            </w:r>
          </w:p>
        </w:tc>
        <w:tc>
          <w:tcPr>
            <w:tcW w:w="542" w:type="pct"/>
            <w:shd w:val="solid" w:color="000000" w:fill="000000"/>
            <w:hideMark/>
          </w:tcPr>
          <w:p w14:paraId="5283046B" w14:textId="02A9BE02" w:rsidR="00C81B46" w:rsidRPr="003737DD" w:rsidRDefault="003737DD" w:rsidP="00560650">
            <w:pPr>
              <w:pStyle w:val="Tablewriting"/>
            </w:pPr>
            <w:r w:rsidRPr="003737DD">
              <w:rPr>
                <w:color w:val="000000"/>
                <w:highlight w:val="black"/>
                <w:shd w:val="clear" w:color="auto" w:fill="C0C0C1"/>
                <w:fitText w:val="190" w:id="-1402739454"/>
                <w14:textFill>
                  <w14:solidFill>
                    <w14:srgbClr w14:val="000000">
                      <w14:alpha w14:val="100000"/>
                    </w14:srgbClr>
                  </w14:solidFill>
                </w14:textFill>
              </w:rPr>
              <w:t>||</w:t>
            </w:r>
          </w:p>
        </w:tc>
        <w:tc>
          <w:tcPr>
            <w:tcW w:w="489" w:type="pct"/>
            <w:hideMark/>
          </w:tcPr>
          <w:p w14:paraId="074D530B" w14:textId="77777777" w:rsidR="00C81B46" w:rsidRPr="00B11797" w:rsidRDefault="00C81B46" w:rsidP="00560650">
            <w:pPr>
              <w:pStyle w:val="Tablewriting"/>
            </w:pPr>
            <w:r w:rsidRPr="00B11797">
              <w:t>Howes (2020) (efficacy and safety)</w:t>
            </w:r>
          </w:p>
        </w:tc>
        <w:tc>
          <w:tcPr>
            <w:tcW w:w="468" w:type="pct"/>
            <w:hideMark/>
          </w:tcPr>
          <w:p w14:paraId="3C777C20" w14:textId="77777777" w:rsidR="00C81B46" w:rsidRPr="00B11797" w:rsidRDefault="00C81B46" w:rsidP="00560650">
            <w:pPr>
              <w:pStyle w:val="Tablewriting"/>
            </w:pPr>
            <w:r w:rsidRPr="00B11797">
              <w:t xml:space="preserve">46 trials </w:t>
            </w:r>
            <w:r w:rsidRPr="00B11797">
              <w:rPr>
                <w:rFonts w:eastAsiaTheme="minorEastAsia"/>
              </w:rPr>
              <w:t>(</w:t>
            </w:r>
            <w:r w:rsidRPr="00B11797">
              <w:t>PBAC evidence included)</w:t>
            </w:r>
          </w:p>
        </w:tc>
        <w:tc>
          <w:tcPr>
            <w:tcW w:w="486" w:type="pct"/>
            <w:hideMark/>
          </w:tcPr>
          <w:p w14:paraId="4EE1BB21" w14:textId="6B63501E" w:rsidR="00C81B46" w:rsidRPr="00B11797" w:rsidRDefault="001A0888" w:rsidP="00560650">
            <w:pPr>
              <w:pStyle w:val="Tablewriting"/>
            </w:pPr>
            <w:r w:rsidRPr="00213443">
              <w:t>1</w:t>
            </w:r>
          </w:p>
        </w:tc>
      </w:tr>
      <w:tr w:rsidR="00C81B46" w:rsidRPr="00B11797" w14:paraId="35C41515" w14:textId="77777777" w:rsidTr="00D0517F">
        <w:trPr>
          <w:trHeight w:val="164"/>
        </w:trPr>
        <w:tc>
          <w:tcPr>
            <w:tcW w:w="5000" w:type="pct"/>
            <w:gridSpan w:val="9"/>
            <w:shd w:val="clear" w:color="auto" w:fill="D9D9D9" w:themeFill="background1" w:themeFillShade="D9"/>
          </w:tcPr>
          <w:p w14:paraId="31521A34" w14:textId="77777777" w:rsidR="00C81B46" w:rsidRPr="00574107" w:rsidRDefault="00C81B46" w:rsidP="00560650">
            <w:pPr>
              <w:pStyle w:val="Tablewriting"/>
              <w:rPr>
                <w:b/>
                <w:bCs/>
              </w:rPr>
            </w:pPr>
            <w:r w:rsidRPr="00574107">
              <w:rPr>
                <w:b/>
                <w:bCs/>
              </w:rPr>
              <w:t>Varenicline</w:t>
            </w:r>
          </w:p>
        </w:tc>
      </w:tr>
      <w:tr w:rsidR="00C81B46" w:rsidRPr="00574107" w14:paraId="5E51AF8D" w14:textId="77777777" w:rsidTr="00D0517F">
        <w:trPr>
          <w:trHeight w:val="391"/>
        </w:trPr>
        <w:tc>
          <w:tcPr>
            <w:tcW w:w="592" w:type="pct"/>
            <w:hideMark/>
          </w:tcPr>
          <w:p w14:paraId="3E699873" w14:textId="77777777" w:rsidR="00C81B46" w:rsidRPr="00574107" w:rsidRDefault="00C81B46" w:rsidP="00560650">
            <w:pPr>
              <w:pStyle w:val="Tablewriting"/>
            </w:pPr>
            <w:r w:rsidRPr="00574107">
              <w:t>2007</w:t>
            </w:r>
          </w:p>
          <w:p w14:paraId="740A5B1A" w14:textId="77777777" w:rsidR="00C81B46" w:rsidRPr="00574107" w:rsidRDefault="00C81B46" w:rsidP="00560650">
            <w:pPr>
              <w:pStyle w:val="Tablewriting"/>
            </w:pPr>
            <w:r w:rsidRPr="00574107">
              <w:t>(New listing)</w:t>
            </w:r>
          </w:p>
        </w:tc>
        <w:tc>
          <w:tcPr>
            <w:tcW w:w="517" w:type="pct"/>
            <w:hideMark/>
          </w:tcPr>
          <w:p w14:paraId="4C55E0CB" w14:textId="77777777" w:rsidR="00C81B46" w:rsidRPr="00574107" w:rsidRDefault="00C81B46" w:rsidP="00560650">
            <w:pPr>
              <w:pStyle w:val="Tablewriting"/>
            </w:pPr>
            <w:r w:rsidRPr="00574107">
              <w:t>Bupropion</w:t>
            </w:r>
          </w:p>
        </w:tc>
        <w:tc>
          <w:tcPr>
            <w:tcW w:w="662" w:type="pct"/>
            <w:hideMark/>
          </w:tcPr>
          <w:p w14:paraId="159D9867" w14:textId="77777777" w:rsidR="00C81B46" w:rsidRPr="00574107" w:rsidRDefault="00C81B46" w:rsidP="00560650">
            <w:pPr>
              <w:pStyle w:val="Tablewriting"/>
            </w:pPr>
            <w:r w:rsidRPr="00574107">
              <w:t>Gonzales (2006)</w:t>
            </w:r>
          </w:p>
          <w:p w14:paraId="59EC53ED" w14:textId="77777777" w:rsidR="00C81B46" w:rsidRPr="00574107" w:rsidRDefault="00C81B46" w:rsidP="00560650">
            <w:pPr>
              <w:pStyle w:val="Tablewriting"/>
            </w:pPr>
            <w:r w:rsidRPr="00574107">
              <w:t>Jorenby (2006) </w:t>
            </w:r>
          </w:p>
        </w:tc>
        <w:tc>
          <w:tcPr>
            <w:tcW w:w="625" w:type="pct"/>
            <w:hideMark/>
          </w:tcPr>
          <w:p w14:paraId="5A5C80E4" w14:textId="77777777" w:rsidR="00C81B46" w:rsidRPr="00574107" w:rsidRDefault="00C81B46" w:rsidP="00560650">
            <w:pPr>
              <w:pStyle w:val="Tablewriting"/>
            </w:pPr>
            <w:r w:rsidRPr="00574107">
              <w:t>Direct comparison/ Meta-analysis  </w:t>
            </w:r>
          </w:p>
        </w:tc>
        <w:tc>
          <w:tcPr>
            <w:tcW w:w="620" w:type="pct"/>
            <w:hideMark/>
          </w:tcPr>
          <w:p w14:paraId="29C983D8" w14:textId="77777777" w:rsidR="00C81B46" w:rsidRPr="00574107" w:rsidRDefault="00C81B46" w:rsidP="00560650">
            <w:pPr>
              <w:pStyle w:val="Tablewriting"/>
            </w:pPr>
            <w:r w:rsidRPr="00574107">
              <w:t>Superior effectiveness</w:t>
            </w:r>
            <w:r>
              <w:t>,</w:t>
            </w:r>
          </w:p>
          <w:p w14:paraId="32D3C737" w14:textId="77777777" w:rsidR="00C81B46" w:rsidRPr="00574107" w:rsidRDefault="00C81B46" w:rsidP="00560650">
            <w:pPr>
              <w:pStyle w:val="Tablewriting"/>
            </w:pPr>
            <w:r w:rsidRPr="00574107">
              <w:t>Similar or less toxicity</w:t>
            </w:r>
          </w:p>
        </w:tc>
        <w:tc>
          <w:tcPr>
            <w:tcW w:w="542" w:type="pct"/>
            <w:hideMark/>
          </w:tcPr>
          <w:p w14:paraId="018E6958" w14:textId="77777777" w:rsidR="00C81B46" w:rsidRPr="00574107" w:rsidRDefault="00C81B46" w:rsidP="00560650">
            <w:pPr>
              <w:pStyle w:val="Tablewriting"/>
            </w:pPr>
            <w:r w:rsidRPr="00574107">
              <w:t>Acceptable cost-effectiveness ratio</w:t>
            </w:r>
          </w:p>
        </w:tc>
        <w:tc>
          <w:tcPr>
            <w:tcW w:w="489" w:type="pct"/>
            <w:hideMark/>
          </w:tcPr>
          <w:p w14:paraId="4F6BF8B5" w14:textId="77777777" w:rsidR="00C81B46" w:rsidRPr="00574107" w:rsidRDefault="00C81B46" w:rsidP="00560650">
            <w:pPr>
              <w:pStyle w:val="Tablewriting"/>
            </w:pPr>
            <w:r w:rsidRPr="00574107">
              <w:t>Howes (2020) (efficacy and safety)</w:t>
            </w:r>
          </w:p>
        </w:tc>
        <w:tc>
          <w:tcPr>
            <w:tcW w:w="468" w:type="pct"/>
            <w:hideMark/>
          </w:tcPr>
          <w:p w14:paraId="7C312A3E" w14:textId="77777777" w:rsidR="00C81B46" w:rsidRPr="00574107" w:rsidRDefault="00C81B46" w:rsidP="00560650">
            <w:pPr>
              <w:pStyle w:val="Tablewriting"/>
            </w:pPr>
            <w:r w:rsidRPr="00574107">
              <w:t xml:space="preserve">6 trials </w:t>
            </w:r>
          </w:p>
          <w:p w14:paraId="052E86CF" w14:textId="77777777" w:rsidR="00C81B46" w:rsidRPr="00574107" w:rsidRDefault="00C81B46" w:rsidP="00560650">
            <w:pPr>
              <w:pStyle w:val="Tablewriting"/>
            </w:pPr>
            <w:r w:rsidRPr="00574107">
              <w:rPr>
                <w:rFonts w:eastAsiaTheme="minorEastAsia"/>
              </w:rPr>
              <w:t>(</w:t>
            </w:r>
            <w:r w:rsidRPr="00574107">
              <w:t>PBAC evidence included)</w:t>
            </w:r>
          </w:p>
        </w:tc>
        <w:tc>
          <w:tcPr>
            <w:tcW w:w="486" w:type="pct"/>
            <w:hideMark/>
          </w:tcPr>
          <w:p w14:paraId="64F67775" w14:textId="57A5272B" w:rsidR="00C81B46" w:rsidRPr="00574107" w:rsidRDefault="00467D0E" w:rsidP="00560650">
            <w:pPr>
              <w:pStyle w:val="Tablewriting"/>
            </w:pPr>
            <w:r w:rsidRPr="00213443">
              <w:rPr>
                <w:rFonts w:eastAsia="Calibri"/>
              </w:rPr>
              <w:t>1</w:t>
            </w:r>
          </w:p>
        </w:tc>
      </w:tr>
      <w:tr w:rsidR="00C81B46" w:rsidRPr="00574107" w14:paraId="22BADF68" w14:textId="77777777" w:rsidTr="00D0517F">
        <w:trPr>
          <w:trHeight w:val="70"/>
        </w:trPr>
        <w:tc>
          <w:tcPr>
            <w:tcW w:w="592" w:type="pct"/>
            <w:hideMark/>
          </w:tcPr>
          <w:p w14:paraId="7EC88B36" w14:textId="77777777" w:rsidR="00C81B46" w:rsidRPr="00574107" w:rsidRDefault="00C81B46" w:rsidP="00560650">
            <w:pPr>
              <w:pStyle w:val="Tablewriting"/>
            </w:pPr>
            <w:r w:rsidRPr="00574107">
              <w:t>2009</w:t>
            </w:r>
          </w:p>
          <w:p w14:paraId="6E919265" w14:textId="77777777" w:rsidR="00C81B46" w:rsidRPr="00574107" w:rsidRDefault="00C81B46" w:rsidP="00560650">
            <w:pPr>
              <w:pStyle w:val="Tablewriting"/>
            </w:pPr>
            <w:r w:rsidRPr="00574107">
              <w:t>(Additional 12 weeks, abstainers)</w:t>
            </w:r>
          </w:p>
        </w:tc>
        <w:tc>
          <w:tcPr>
            <w:tcW w:w="517" w:type="pct"/>
            <w:hideMark/>
          </w:tcPr>
          <w:p w14:paraId="61AA2F97" w14:textId="77777777" w:rsidR="00C81B46" w:rsidRPr="00574107" w:rsidRDefault="00C81B46" w:rsidP="00560650">
            <w:pPr>
              <w:pStyle w:val="Tablewriting"/>
            </w:pPr>
            <w:r w:rsidRPr="00574107">
              <w:t>Placebo </w:t>
            </w:r>
          </w:p>
        </w:tc>
        <w:tc>
          <w:tcPr>
            <w:tcW w:w="662" w:type="pct"/>
            <w:hideMark/>
          </w:tcPr>
          <w:p w14:paraId="58F09A48" w14:textId="77777777" w:rsidR="00C81B46" w:rsidRPr="00574107" w:rsidRDefault="00C81B46" w:rsidP="00560650">
            <w:pPr>
              <w:pStyle w:val="Tablewriting"/>
            </w:pPr>
            <w:r w:rsidRPr="00574107">
              <w:t>Tonstad (2006) </w:t>
            </w:r>
          </w:p>
        </w:tc>
        <w:tc>
          <w:tcPr>
            <w:tcW w:w="625" w:type="pct"/>
            <w:hideMark/>
          </w:tcPr>
          <w:p w14:paraId="215BA19D" w14:textId="77777777" w:rsidR="00C81B46" w:rsidRPr="00574107" w:rsidRDefault="00C81B46" w:rsidP="00560650">
            <w:pPr>
              <w:pStyle w:val="Tablewriting"/>
            </w:pPr>
            <w:r w:rsidRPr="00574107">
              <w:t>Direct comparison</w:t>
            </w:r>
          </w:p>
        </w:tc>
        <w:tc>
          <w:tcPr>
            <w:tcW w:w="620" w:type="pct"/>
            <w:hideMark/>
          </w:tcPr>
          <w:p w14:paraId="5353B543" w14:textId="77777777" w:rsidR="00C81B46" w:rsidRPr="00574107" w:rsidRDefault="00C81B46" w:rsidP="00560650">
            <w:pPr>
              <w:pStyle w:val="Tablewriting"/>
            </w:pPr>
            <w:r w:rsidRPr="00574107">
              <w:t>Superior efficacy and inferior safety</w:t>
            </w:r>
          </w:p>
        </w:tc>
        <w:tc>
          <w:tcPr>
            <w:tcW w:w="542" w:type="pct"/>
            <w:hideMark/>
          </w:tcPr>
          <w:p w14:paraId="4D5DB224" w14:textId="77777777" w:rsidR="00C81B46" w:rsidRPr="00574107" w:rsidRDefault="00C81B46" w:rsidP="00560650">
            <w:pPr>
              <w:pStyle w:val="Tablewriting"/>
            </w:pPr>
            <w:r w:rsidRPr="00574107">
              <w:t>Acceptable cost-effectiveness ratio</w:t>
            </w:r>
          </w:p>
        </w:tc>
        <w:tc>
          <w:tcPr>
            <w:tcW w:w="489" w:type="pct"/>
            <w:hideMark/>
          </w:tcPr>
          <w:p w14:paraId="1E87F103" w14:textId="77777777" w:rsidR="00C81B46" w:rsidRPr="00574107" w:rsidRDefault="00C81B46" w:rsidP="00560650">
            <w:pPr>
              <w:pStyle w:val="Tablewriting"/>
            </w:pPr>
            <w:r w:rsidRPr="00574107">
              <w:t>Livingstone-Banks (2019) (efficacy)</w:t>
            </w:r>
          </w:p>
        </w:tc>
        <w:tc>
          <w:tcPr>
            <w:tcW w:w="468" w:type="pct"/>
            <w:hideMark/>
          </w:tcPr>
          <w:p w14:paraId="6035C313" w14:textId="77777777" w:rsidR="00C81B46" w:rsidRPr="00574107" w:rsidRDefault="00C81B46" w:rsidP="00560650">
            <w:pPr>
              <w:pStyle w:val="Tablewriting"/>
            </w:pPr>
            <w:r w:rsidRPr="00574107">
              <w:t xml:space="preserve">2 trials </w:t>
            </w:r>
          </w:p>
          <w:p w14:paraId="09899895" w14:textId="77777777" w:rsidR="00C81B46" w:rsidRPr="00574107" w:rsidRDefault="00C81B46" w:rsidP="00560650">
            <w:pPr>
              <w:pStyle w:val="Tablewriting"/>
            </w:pPr>
            <w:r w:rsidRPr="00574107">
              <w:rPr>
                <w:rFonts w:eastAsiaTheme="minorEastAsia"/>
              </w:rPr>
              <w:t>(</w:t>
            </w:r>
            <w:r w:rsidRPr="00574107">
              <w:t>PBAC evidence included)</w:t>
            </w:r>
          </w:p>
        </w:tc>
        <w:tc>
          <w:tcPr>
            <w:tcW w:w="486" w:type="pct"/>
            <w:hideMark/>
          </w:tcPr>
          <w:p w14:paraId="7EAF3616" w14:textId="349AC541" w:rsidR="00C81B46" w:rsidRPr="00574107" w:rsidRDefault="00920E58" w:rsidP="00560650">
            <w:pPr>
              <w:pStyle w:val="Tablewriting"/>
            </w:pPr>
            <w:r w:rsidRPr="00213443">
              <w:rPr>
                <w:rFonts w:eastAsia="Calibri"/>
              </w:rPr>
              <w:t>1</w:t>
            </w:r>
          </w:p>
        </w:tc>
      </w:tr>
      <w:tr w:rsidR="00C81B46" w:rsidRPr="00574107" w14:paraId="336A60D0" w14:textId="77777777" w:rsidTr="00D0517F">
        <w:trPr>
          <w:trHeight w:val="70"/>
        </w:trPr>
        <w:tc>
          <w:tcPr>
            <w:tcW w:w="592" w:type="pct"/>
            <w:vMerge w:val="restart"/>
            <w:hideMark/>
          </w:tcPr>
          <w:p w14:paraId="76196488" w14:textId="77777777" w:rsidR="00C81B46" w:rsidRPr="00574107" w:rsidRDefault="00C81B46" w:rsidP="00560650">
            <w:pPr>
              <w:pStyle w:val="Tablewriting"/>
            </w:pPr>
            <w:r w:rsidRPr="00574107">
              <w:rPr>
                <w:rFonts w:eastAsiaTheme="minorEastAsia"/>
              </w:rPr>
              <w:t>2014,</w:t>
            </w:r>
          </w:p>
          <w:p w14:paraId="4732A7BF" w14:textId="77777777" w:rsidR="00C81B46" w:rsidRPr="00574107" w:rsidRDefault="00C81B46" w:rsidP="00560650">
            <w:pPr>
              <w:pStyle w:val="Tablewriting"/>
            </w:pPr>
            <w:r w:rsidRPr="00574107">
              <w:rPr>
                <w:rFonts w:eastAsiaTheme="minorEastAsia"/>
              </w:rPr>
              <w:lastRenderedPageBreak/>
              <w:t xml:space="preserve">(Re-treatment, non- abstainers) </w:t>
            </w:r>
          </w:p>
        </w:tc>
        <w:tc>
          <w:tcPr>
            <w:tcW w:w="517" w:type="pct"/>
            <w:hideMark/>
          </w:tcPr>
          <w:p w14:paraId="7D5A2B6A" w14:textId="77777777" w:rsidR="00C81B46" w:rsidRPr="00574107" w:rsidRDefault="00C81B46" w:rsidP="00560650">
            <w:pPr>
              <w:pStyle w:val="Tablewriting"/>
            </w:pPr>
            <w:r w:rsidRPr="00574107">
              <w:rPr>
                <w:rFonts w:eastAsiaTheme="minorEastAsia"/>
              </w:rPr>
              <w:lastRenderedPageBreak/>
              <w:t>Placebo</w:t>
            </w:r>
          </w:p>
        </w:tc>
        <w:tc>
          <w:tcPr>
            <w:tcW w:w="662" w:type="pct"/>
            <w:hideMark/>
          </w:tcPr>
          <w:p w14:paraId="07408A55" w14:textId="77777777" w:rsidR="00C81B46" w:rsidRPr="00574107" w:rsidRDefault="00C81B46" w:rsidP="00560650">
            <w:pPr>
              <w:pStyle w:val="Tablewriting"/>
            </w:pPr>
            <w:r w:rsidRPr="00574107">
              <w:rPr>
                <w:rFonts w:eastAsiaTheme="minorEastAsia"/>
              </w:rPr>
              <w:t>Gonzales (2014)</w:t>
            </w:r>
          </w:p>
        </w:tc>
        <w:tc>
          <w:tcPr>
            <w:tcW w:w="625" w:type="pct"/>
            <w:hideMark/>
          </w:tcPr>
          <w:p w14:paraId="52078611" w14:textId="77777777" w:rsidR="00C81B46" w:rsidRPr="00574107" w:rsidRDefault="00C81B46" w:rsidP="00560650">
            <w:pPr>
              <w:pStyle w:val="Tablewriting"/>
            </w:pPr>
            <w:r w:rsidRPr="00574107">
              <w:rPr>
                <w:rFonts w:eastAsiaTheme="minorEastAsia"/>
              </w:rPr>
              <w:t>Direct comparison</w:t>
            </w:r>
          </w:p>
        </w:tc>
        <w:tc>
          <w:tcPr>
            <w:tcW w:w="620" w:type="pct"/>
            <w:hideMark/>
          </w:tcPr>
          <w:p w14:paraId="05AF13F2" w14:textId="77777777" w:rsidR="00C81B46" w:rsidRPr="00574107" w:rsidRDefault="00C81B46" w:rsidP="00560650">
            <w:pPr>
              <w:pStyle w:val="Tablewriting"/>
            </w:pPr>
            <w:r w:rsidRPr="00574107">
              <w:rPr>
                <w:rFonts w:eastAsiaTheme="minorEastAsia"/>
              </w:rPr>
              <w:t>Pivotal, non- abstainers</w:t>
            </w:r>
          </w:p>
          <w:p w14:paraId="289CCF42" w14:textId="77777777" w:rsidR="00C81B46" w:rsidRPr="00574107" w:rsidRDefault="00C81B46" w:rsidP="00560650">
            <w:pPr>
              <w:pStyle w:val="Tablewriting"/>
            </w:pPr>
            <w:r w:rsidRPr="00574107">
              <w:rPr>
                <w:rFonts w:eastAsiaTheme="minorEastAsia"/>
              </w:rPr>
              <w:lastRenderedPageBreak/>
              <w:t xml:space="preserve">Superior efficacy, Inferior safety </w:t>
            </w:r>
          </w:p>
        </w:tc>
        <w:tc>
          <w:tcPr>
            <w:tcW w:w="542" w:type="pct"/>
            <w:hideMark/>
          </w:tcPr>
          <w:p w14:paraId="22C7CE20" w14:textId="77777777" w:rsidR="00C81B46" w:rsidRPr="00574107" w:rsidRDefault="00C81B46" w:rsidP="00560650">
            <w:pPr>
              <w:pStyle w:val="Tablewriting"/>
            </w:pPr>
            <w:r w:rsidRPr="00574107">
              <w:rPr>
                <w:rFonts w:eastAsiaTheme="minorEastAsia"/>
              </w:rPr>
              <w:lastRenderedPageBreak/>
              <w:t>Acceptable cost-effectiveness ratio</w:t>
            </w:r>
          </w:p>
        </w:tc>
        <w:tc>
          <w:tcPr>
            <w:tcW w:w="489" w:type="pct"/>
            <w:hideMark/>
          </w:tcPr>
          <w:p w14:paraId="663B6F79" w14:textId="77777777" w:rsidR="00C81B46" w:rsidRPr="00574107" w:rsidRDefault="00C81B46" w:rsidP="00560650">
            <w:pPr>
              <w:pStyle w:val="Tablewriting"/>
            </w:pPr>
            <w:r w:rsidRPr="00574107">
              <w:rPr>
                <w:rFonts w:eastAsiaTheme="minorEastAsia"/>
              </w:rPr>
              <w:t>Cahill (2016) (efficacy)</w:t>
            </w:r>
          </w:p>
        </w:tc>
        <w:tc>
          <w:tcPr>
            <w:tcW w:w="468" w:type="pct"/>
            <w:hideMark/>
          </w:tcPr>
          <w:p w14:paraId="11306A99" w14:textId="77777777" w:rsidR="00C81B46" w:rsidRPr="00574107" w:rsidRDefault="00C81B46" w:rsidP="00560650">
            <w:pPr>
              <w:pStyle w:val="Tablewriting"/>
            </w:pPr>
            <w:r w:rsidRPr="00574107">
              <w:rPr>
                <w:rFonts w:eastAsiaTheme="minorEastAsia"/>
              </w:rPr>
              <w:t xml:space="preserve">1 </w:t>
            </w:r>
          </w:p>
          <w:p w14:paraId="097629CE" w14:textId="77777777" w:rsidR="00C81B46" w:rsidRPr="00574107" w:rsidRDefault="00C81B46" w:rsidP="00560650">
            <w:pPr>
              <w:pStyle w:val="Tablewriting"/>
            </w:pPr>
            <w:r w:rsidRPr="00574107">
              <w:rPr>
                <w:rFonts w:eastAsiaTheme="minorEastAsia"/>
              </w:rPr>
              <w:lastRenderedPageBreak/>
              <w:t>(</w:t>
            </w:r>
            <w:r w:rsidRPr="00574107">
              <w:t>PBAC evidence included)</w:t>
            </w:r>
          </w:p>
        </w:tc>
        <w:tc>
          <w:tcPr>
            <w:tcW w:w="486" w:type="pct"/>
            <w:hideMark/>
          </w:tcPr>
          <w:p w14:paraId="152E7C7C" w14:textId="546B8D16" w:rsidR="00C81B46" w:rsidRPr="00574107" w:rsidRDefault="00920E58" w:rsidP="00560650">
            <w:pPr>
              <w:pStyle w:val="Tablewriting"/>
            </w:pPr>
            <w:r w:rsidRPr="00213443">
              <w:rPr>
                <w:rFonts w:eastAsiaTheme="minorEastAsia"/>
              </w:rPr>
              <w:lastRenderedPageBreak/>
              <w:t>8</w:t>
            </w:r>
          </w:p>
        </w:tc>
      </w:tr>
      <w:tr w:rsidR="00C81B46" w:rsidRPr="00574107" w14:paraId="0CD607A9" w14:textId="77777777" w:rsidTr="00D0517F">
        <w:trPr>
          <w:trHeight w:val="70"/>
        </w:trPr>
        <w:tc>
          <w:tcPr>
            <w:tcW w:w="592" w:type="pct"/>
            <w:vMerge/>
            <w:hideMark/>
          </w:tcPr>
          <w:p w14:paraId="1310D525" w14:textId="77777777" w:rsidR="00C81B46" w:rsidRPr="00574107" w:rsidRDefault="00C81B46" w:rsidP="00560650">
            <w:pPr>
              <w:pStyle w:val="Tablewriting"/>
            </w:pPr>
          </w:p>
        </w:tc>
        <w:tc>
          <w:tcPr>
            <w:tcW w:w="517" w:type="pct"/>
            <w:hideMark/>
          </w:tcPr>
          <w:p w14:paraId="07CDAE28" w14:textId="77777777" w:rsidR="00C81B46" w:rsidRPr="00574107" w:rsidRDefault="00C81B46" w:rsidP="00560650">
            <w:pPr>
              <w:pStyle w:val="Tablewriting"/>
            </w:pPr>
            <w:r w:rsidRPr="00574107">
              <w:t>Bupropion</w:t>
            </w:r>
          </w:p>
        </w:tc>
        <w:tc>
          <w:tcPr>
            <w:tcW w:w="662" w:type="pct"/>
            <w:hideMark/>
          </w:tcPr>
          <w:p w14:paraId="789EF378" w14:textId="77777777" w:rsidR="00C81B46" w:rsidRPr="00574107" w:rsidRDefault="00C81B46" w:rsidP="00560650">
            <w:pPr>
              <w:pStyle w:val="Tablewriting"/>
            </w:pPr>
            <w:r w:rsidRPr="00574107">
              <w:t>Gonzales (2006)</w:t>
            </w:r>
          </w:p>
          <w:p w14:paraId="04EF329E" w14:textId="77777777" w:rsidR="00C81B46" w:rsidRPr="00574107" w:rsidRDefault="00C81B46" w:rsidP="00560650">
            <w:pPr>
              <w:pStyle w:val="Tablewriting"/>
            </w:pPr>
            <w:r w:rsidRPr="00574107">
              <w:t>Jorenby (2006)</w:t>
            </w:r>
          </w:p>
        </w:tc>
        <w:tc>
          <w:tcPr>
            <w:tcW w:w="625" w:type="pct"/>
            <w:hideMark/>
          </w:tcPr>
          <w:p w14:paraId="677579CA" w14:textId="77777777" w:rsidR="00C81B46" w:rsidRPr="00574107" w:rsidRDefault="00C81B46" w:rsidP="00560650">
            <w:pPr>
              <w:pStyle w:val="Tablewriting"/>
            </w:pPr>
            <w:r w:rsidRPr="00574107">
              <w:t>Direct comparison/ Meta-analysis</w:t>
            </w:r>
          </w:p>
        </w:tc>
        <w:tc>
          <w:tcPr>
            <w:tcW w:w="620" w:type="pct"/>
            <w:hideMark/>
          </w:tcPr>
          <w:p w14:paraId="20CE2289" w14:textId="77777777" w:rsidR="00C81B46" w:rsidRPr="00574107" w:rsidRDefault="00C81B46" w:rsidP="00560650">
            <w:pPr>
              <w:pStyle w:val="Tablewriting"/>
            </w:pPr>
            <w:r w:rsidRPr="00574107">
              <w:t>Supportive, Tx naive</w:t>
            </w:r>
          </w:p>
          <w:p w14:paraId="1F0FA7AE" w14:textId="77777777" w:rsidR="00C81B46" w:rsidRPr="00574107" w:rsidRDefault="00C81B46" w:rsidP="00560650">
            <w:pPr>
              <w:pStyle w:val="Tablewriting"/>
            </w:pPr>
            <w:r w:rsidRPr="00574107">
              <w:t>Superior efficacy,</w:t>
            </w:r>
          </w:p>
          <w:p w14:paraId="36A083BF" w14:textId="77777777" w:rsidR="00C81B46" w:rsidRPr="00574107" w:rsidRDefault="00C81B46" w:rsidP="00560650">
            <w:pPr>
              <w:pStyle w:val="Tablewriting"/>
            </w:pPr>
            <w:r w:rsidRPr="00574107">
              <w:t>Non-inferior safety</w:t>
            </w:r>
          </w:p>
        </w:tc>
        <w:tc>
          <w:tcPr>
            <w:tcW w:w="542" w:type="pct"/>
            <w:hideMark/>
          </w:tcPr>
          <w:p w14:paraId="46EAFF71" w14:textId="77777777" w:rsidR="00C81B46" w:rsidRPr="00574107" w:rsidRDefault="00C81B46" w:rsidP="00560650">
            <w:pPr>
              <w:pStyle w:val="Tablewriting"/>
            </w:pPr>
            <w:r w:rsidRPr="00574107">
              <w:t>Acceptable cost-effectiveness ratio</w:t>
            </w:r>
          </w:p>
        </w:tc>
        <w:tc>
          <w:tcPr>
            <w:tcW w:w="489" w:type="pct"/>
            <w:hideMark/>
          </w:tcPr>
          <w:p w14:paraId="40566FB6" w14:textId="77777777" w:rsidR="00C81B46" w:rsidRPr="00574107" w:rsidRDefault="00C81B46" w:rsidP="00560650">
            <w:pPr>
              <w:pStyle w:val="Tablewriting"/>
            </w:pPr>
            <w:r w:rsidRPr="00574107">
              <w:t>Howes (2020) (efficacy and safety)</w:t>
            </w:r>
          </w:p>
        </w:tc>
        <w:tc>
          <w:tcPr>
            <w:tcW w:w="468" w:type="pct"/>
            <w:hideMark/>
          </w:tcPr>
          <w:p w14:paraId="4F0874E7" w14:textId="77777777" w:rsidR="00C81B46" w:rsidRPr="00574107" w:rsidRDefault="00C81B46" w:rsidP="00560650">
            <w:pPr>
              <w:pStyle w:val="Tablewriting"/>
            </w:pPr>
            <w:r w:rsidRPr="00574107">
              <w:t xml:space="preserve">6 trials </w:t>
            </w:r>
          </w:p>
          <w:p w14:paraId="1279AF51" w14:textId="77777777" w:rsidR="00C81B46" w:rsidRPr="00574107" w:rsidRDefault="00C81B46" w:rsidP="00560650">
            <w:pPr>
              <w:pStyle w:val="Tablewriting"/>
            </w:pPr>
            <w:r w:rsidRPr="00574107">
              <w:t>(PBAC evidence included)</w:t>
            </w:r>
          </w:p>
        </w:tc>
        <w:tc>
          <w:tcPr>
            <w:tcW w:w="486" w:type="pct"/>
            <w:hideMark/>
          </w:tcPr>
          <w:p w14:paraId="61477165" w14:textId="77777777" w:rsidR="00C81B46" w:rsidRPr="00574107" w:rsidRDefault="00C81B46" w:rsidP="00560650">
            <w:pPr>
              <w:pStyle w:val="Tablewriting"/>
            </w:pPr>
            <w:r w:rsidRPr="00574107">
              <w:rPr>
                <w:rFonts w:eastAsia="Calibri"/>
              </w:rPr>
              <w:t>0</w:t>
            </w:r>
          </w:p>
        </w:tc>
      </w:tr>
      <w:tr w:rsidR="00C81B46" w:rsidRPr="00574107" w14:paraId="556DF15B" w14:textId="77777777" w:rsidTr="00D0517F">
        <w:trPr>
          <w:trHeight w:val="70"/>
        </w:trPr>
        <w:tc>
          <w:tcPr>
            <w:tcW w:w="592" w:type="pct"/>
            <w:vMerge/>
            <w:hideMark/>
          </w:tcPr>
          <w:p w14:paraId="09F09B51" w14:textId="77777777" w:rsidR="00C81B46" w:rsidRPr="00574107" w:rsidRDefault="00C81B46" w:rsidP="00560650">
            <w:pPr>
              <w:pStyle w:val="Tablewriting"/>
            </w:pPr>
          </w:p>
        </w:tc>
        <w:tc>
          <w:tcPr>
            <w:tcW w:w="517" w:type="pct"/>
            <w:hideMark/>
          </w:tcPr>
          <w:p w14:paraId="6E831963" w14:textId="77777777" w:rsidR="00C81B46" w:rsidRPr="00574107" w:rsidRDefault="00C81B46" w:rsidP="00560650">
            <w:pPr>
              <w:pStyle w:val="Tablewriting"/>
            </w:pPr>
            <w:r w:rsidRPr="00574107">
              <w:t>NRT</w:t>
            </w:r>
          </w:p>
        </w:tc>
        <w:tc>
          <w:tcPr>
            <w:tcW w:w="662" w:type="pct"/>
            <w:hideMark/>
          </w:tcPr>
          <w:p w14:paraId="3671D630" w14:textId="77777777" w:rsidR="00C81B46" w:rsidRPr="00574107" w:rsidRDefault="00C81B46" w:rsidP="00560650">
            <w:pPr>
              <w:pStyle w:val="Tablewriting"/>
            </w:pPr>
            <w:r w:rsidRPr="00574107">
              <w:t>Aubin (2008) </w:t>
            </w:r>
          </w:p>
        </w:tc>
        <w:tc>
          <w:tcPr>
            <w:tcW w:w="625" w:type="pct"/>
            <w:hideMark/>
          </w:tcPr>
          <w:p w14:paraId="4832C694" w14:textId="77777777" w:rsidR="00C81B46" w:rsidRPr="00574107" w:rsidRDefault="00C81B46" w:rsidP="00560650">
            <w:pPr>
              <w:pStyle w:val="Tablewriting"/>
            </w:pPr>
            <w:r w:rsidRPr="00574107">
              <w:t>Direct comparison (open-label)</w:t>
            </w:r>
          </w:p>
        </w:tc>
        <w:tc>
          <w:tcPr>
            <w:tcW w:w="620" w:type="pct"/>
            <w:hideMark/>
          </w:tcPr>
          <w:p w14:paraId="5EF8FF1E" w14:textId="77777777" w:rsidR="00C81B46" w:rsidRPr="00574107" w:rsidRDefault="00C81B46" w:rsidP="00560650">
            <w:pPr>
              <w:pStyle w:val="Tablewriting"/>
            </w:pPr>
            <w:r w:rsidRPr="00574107">
              <w:t>Supportive, Tx naive</w:t>
            </w:r>
          </w:p>
          <w:p w14:paraId="11601C8F" w14:textId="77777777" w:rsidR="00C81B46" w:rsidRPr="00574107" w:rsidRDefault="00C81B46" w:rsidP="00560650">
            <w:pPr>
              <w:pStyle w:val="Tablewriting"/>
            </w:pPr>
            <w:r w:rsidRPr="00574107">
              <w:t>Superior efficacy, Inferior safety </w:t>
            </w:r>
          </w:p>
        </w:tc>
        <w:tc>
          <w:tcPr>
            <w:tcW w:w="542" w:type="pct"/>
            <w:hideMark/>
          </w:tcPr>
          <w:p w14:paraId="2F345AB0" w14:textId="77777777" w:rsidR="00C81B46" w:rsidRPr="00574107" w:rsidRDefault="00C81B46" w:rsidP="00560650">
            <w:pPr>
              <w:pStyle w:val="Tablewriting"/>
            </w:pPr>
            <w:r w:rsidRPr="00574107">
              <w:t xml:space="preserve">Acceptable cost effectiveness ratio </w:t>
            </w:r>
          </w:p>
        </w:tc>
        <w:tc>
          <w:tcPr>
            <w:tcW w:w="489" w:type="pct"/>
            <w:hideMark/>
          </w:tcPr>
          <w:p w14:paraId="0687E962" w14:textId="77777777" w:rsidR="00C81B46" w:rsidRPr="00574107" w:rsidRDefault="00C81B46" w:rsidP="00560650">
            <w:pPr>
              <w:pStyle w:val="Tablewriting"/>
            </w:pPr>
            <w:r w:rsidRPr="00574107">
              <w:t>Cahill (2016) (efficacy)</w:t>
            </w:r>
          </w:p>
        </w:tc>
        <w:tc>
          <w:tcPr>
            <w:tcW w:w="468" w:type="pct"/>
            <w:hideMark/>
          </w:tcPr>
          <w:p w14:paraId="2711071B" w14:textId="77777777" w:rsidR="00C81B46" w:rsidRPr="00574107" w:rsidRDefault="00C81B46" w:rsidP="00560650">
            <w:pPr>
              <w:pStyle w:val="Tablewriting"/>
            </w:pPr>
            <w:r w:rsidRPr="00574107">
              <w:t xml:space="preserve">8 trials </w:t>
            </w:r>
          </w:p>
          <w:p w14:paraId="534A5A9E" w14:textId="77777777" w:rsidR="00C81B46" w:rsidRPr="00574107" w:rsidRDefault="00C81B46" w:rsidP="00560650">
            <w:pPr>
              <w:pStyle w:val="Tablewriting"/>
            </w:pPr>
            <w:r w:rsidRPr="00574107">
              <w:t>(PBAC evidence included)</w:t>
            </w:r>
          </w:p>
        </w:tc>
        <w:tc>
          <w:tcPr>
            <w:tcW w:w="486" w:type="pct"/>
            <w:hideMark/>
          </w:tcPr>
          <w:p w14:paraId="668347FF" w14:textId="7E29544F" w:rsidR="00C81B46" w:rsidRPr="00574107" w:rsidRDefault="00151D22" w:rsidP="00560650">
            <w:pPr>
              <w:pStyle w:val="Tablewriting"/>
            </w:pPr>
            <w:r w:rsidRPr="00213443">
              <w:rPr>
                <w:rFonts w:eastAsia="Calibri"/>
              </w:rPr>
              <w:t>4</w:t>
            </w:r>
          </w:p>
        </w:tc>
      </w:tr>
      <w:tr w:rsidR="00C81B46" w:rsidRPr="00574107" w14:paraId="28E84D6C" w14:textId="77777777" w:rsidTr="00D0517F">
        <w:trPr>
          <w:trHeight w:val="132"/>
        </w:trPr>
        <w:tc>
          <w:tcPr>
            <w:tcW w:w="592" w:type="pct"/>
            <w:vMerge/>
            <w:hideMark/>
          </w:tcPr>
          <w:p w14:paraId="75D1033A" w14:textId="77777777" w:rsidR="00C81B46" w:rsidRPr="00574107" w:rsidRDefault="00C81B46" w:rsidP="00560650">
            <w:pPr>
              <w:pStyle w:val="Tablewriting"/>
            </w:pPr>
          </w:p>
        </w:tc>
        <w:tc>
          <w:tcPr>
            <w:tcW w:w="517" w:type="pct"/>
            <w:hideMark/>
          </w:tcPr>
          <w:p w14:paraId="6E75B9BC" w14:textId="77777777" w:rsidR="00C81B46" w:rsidRPr="00574107" w:rsidRDefault="00C81B46" w:rsidP="00560650">
            <w:pPr>
              <w:pStyle w:val="Tablewriting"/>
            </w:pPr>
            <w:r w:rsidRPr="00574107">
              <w:t>Placebo</w:t>
            </w:r>
          </w:p>
        </w:tc>
        <w:tc>
          <w:tcPr>
            <w:tcW w:w="662" w:type="pct"/>
            <w:hideMark/>
          </w:tcPr>
          <w:p w14:paraId="35635044" w14:textId="77777777" w:rsidR="00C81B46" w:rsidRPr="00574107" w:rsidRDefault="00C81B46" w:rsidP="00560650">
            <w:pPr>
              <w:pStyle w:val="Tablewriting"/>
            </w:pPr>
            <w:r w:rsidRPr="00574107">
              <w:t>Gonzales (2006), Jorenby (2006), Nakamura (2007), Rigotti (201</w:t>
            </w:r>
            <w:r>
              <w:t>0</w:t>
            </w:r>
            <w:r w:rsidRPr="00574107">
              <w:t>), Tashkin (2011) </w:t>
            </w:r>
          </w:p>
        </w:tc>
        <w:tc>
          <w:tcPr>
            <w:tcW w:w="625" w:type="pct"/>
            <w:hideMark/>
          </w:tcPr>
          <w:p w14:paraId="3E0B1AFE" w14:textId="77777777" w:rsidR="00C81B46" w:rsidRPr="00574107" w:rsidRDefault="00C81B46" w:rsidP="00560650">
            <w:pPr>
              <w:pStyle w:val="Tablewriting"/>
            </w:pPr>
            <w:r w:rsidRPr="00574107">
              <w:t>Direct comparison/ Meta-analysis</w:t>
            </w:r>
          </w:p>
        </w:tc>
        <w:tc>
          <w:tcPr>
            <w:tcW w:w="620" w:type="pct"/>
            <w:hideMark/>
          </w:tcPr>
          <w:p w14:paraId="4B175764" w14:textId="77777777" w:rsidR="00C81B46" w:rsidRPr="00574107" w:rsidRDefault="00C81B46" w:rsidP="00560650">
            <w:pPr>
              <w:pStyle w:val="Tablewriting"/>
            </w:pPr>
            <w:r w:rsidRPr="00574107">
              <w:t>Supportive, Tx naive</w:t>
            </w:r>
          </w:p>
          <w:p w14:paraId="59807E5A" w14:textId="77777777" w:rsidR="00C81B46" w:rsidRPr="00574107" w:rsidRDefault="00C81B46" w:rsidP="00560650">
            <w:pPr>
              <w:pStyle w:val="Tablewriting"/>
            </w:pPr>
            <w:r w:rsidRPr="00574107">
              <w:t>Superior efficacy, Inferior safety</w:t>
            </w:r>
          </w:p>
        </w:tc>
        <w:tc>
          <w:tcPr>
            <w:tcW w:w="542" w:type="pct"/>
            <w:hideMark/>
          </w:tcPr>
          <w:p w14:paraId="317C3988" w14:textId="77777777" w:rsidR="00C81B46" w:rsidRPr="00574107" w:rsidRDefault="00C81B46" w:rsidP="00560650">
            <w:pPr>
              <w:pStyle w:val="Tablewriting"/>
            </w:pPr>
            <w:r w:rsidRPr="00574107">
              <w:t>Acceptable cost-effectiveness ratio</w:t>
            </w:r>
          </w:p>
        </w:tc>
        <w:tc>
          <w:tcPr>
            <w:tcW w:w="489" w:type="pct"/>
            <w:hideMark/>
          </w:tcPr>
          <w:p w14:paraId="05B7F365" w14:textId="77777777" w:rsidR="00C81B46" w:rsidRPr="00574107" w:rsidRDefault="00C81B46" w:rsidP="00560650">
            <w:pPr>
              <w:pStyle w:val="Tablewriting"/>
            </w:pPr>
            <w:r w:rsidRPr="00574107">
              <w:t>Cahill (2016) (efficacy and safety)</w:t>
            </w:r>
          </w:p>
        </w:tc>
        <w:tc>
          <w:tcPr>
            <w:tcW w:w="468" w:type="pct"/>
            <w:hideMark/>
          </w:tcPr>
          <w:p w14:paraId="7D012D20" w14:textId="77777777" w:rsidR="00C81B46" w:rsidRPr="00574107" w:rsidRDefault="00C81B46" w:rsidP="00560650">
            <w:pPr>
              <w:pStyle w:val="Tablewriting"/>
            </w:pPr>
            <w:r w:rsidRPr="00574107">
              <w:t>27 trials (PBAC evidence included) </w:t>
            </w:r>
          </w:p>
        </w:tc>
        <w:tc>
          <w:tcPr>
            <w:tcW w:w="486" w:type="pct"/>
            <w:hideMark/>
          </w:tcPr>
          <w:p w14:paraId="312D10BF" w14:textId="3797489D" w:rsidR="00C81B46" w:rsidRPr="00574107" w:rsidRDefault="00920E58" w:rsidP="00560650">
            <w:pPr>
              <w:pStyle w:val="Tablewriting"/>
            </w:pPr>
            <w:r w:rsidRPr="00213443">
              <w:rPr>
                <w:rFonts w:eastAsia="Calibri"/>
              </w:rPr>
              <w:t>8</w:t>
            </w:r>
          </w:p>
        </w:tc>
      </w:tr>
      <w:tr w:rsidR="00C81B46" w:rsidRPr="00574107" w14:paraId="4E4A535C" w14:textId="77777777" w:rsidTr="00D0517F">
        <w:trPr>
          <w:trHeight w:val="210"/>
        </w:trPr>
        <w:tc>
          <w:tcPr>
            <w:tcW w:w="592" w:type="pct"/>
            <w:vMerge w:val="restart"/>
            <w:hideMark/>
          </w:tcPr>
          <w:p w14:paraId="72EF007F" w14:textId="77777777" w:rsidR="00C81B46" w:rsidRPr="00574107" w:rsidRDefault="00C81B46" w:rsidP="00560650">
            <w:pPr>
              <w:pStyle w:val="Tablewriting"/>
            </w:pPr>
            <w:r w:rsidRPr="00574107">
              <w:t>2016  </w:t>
            </w:r>
          </w:p>
          <w:p w14:paraId="55F3074A" w14:textId="77777777" w:rsidR="00C81B46" w:rsidRPr="00574107" w:rsidRDefault="00C81B46" w:rsidP="00560650">
            <w:pPr>
              <w:pStyle w:val="Tablewriting"/>
            </w:pPr>
            <w:r w:rsidRPr="00574107">
              <w:t>(Authority Required</w:t>
            </w:r>
            <w:r>
              <w:t xml:space="preserve"> -</w:t>
            </w:r>
            <w:r w:rsidRPr="00574107">
              <w:t>STREAMLINED)</w:t>
            </w:r>
          </w:p>
        </w:tc>
        <w:tc>
          <w:tcPr>
            <w:tcW w:w="517" w:type="pct"/>
            <w:hideMark/>
          </w:tcPr>
          <w:p w14:paraId="676B8529" w14:textId="77777777" w:rsidR="00C81B46" w:rsidRPr="00574107" w:rsidRDefault="00C81B46" w:rsidP="00560650">
            <w:pPr>
              <w:pStyle w:val="Tablewriting"/>
            </w:pPr>
            <w:r w:rsidRPr="00574107">
              <w:t>Placebo</w:t>
            </w:r>
          </w:p>
        </w:tc>
        <w:tc>
          <w:tcPr>
            <w:tcW w:w="662" w:type="pct"/>
            <w:hideMark/>
          </w:tcPr>
          <w:p w14:paraId="22E06996" w14:textId="77777777" w:rsidR="00C81B46" w:rsidRPr="00574107" w:rsidRDefault="00C81B46" w:rsidP="00560650">
            <w:pPr>
              <w:pStyle w:val="Tablewriting"/>
            </w:pPr>
            <w:r w:rsidRPr="00574107">
              <w:t>Anthenelli (2016) EAGLES trial </w:t>
            </w:r>
          </w:p>
        </w:tc>
        <w:tc>
          <w:tcPr>
            <w:tcW w:w="625" w:type="pct"/>
            <w:hideMark/>
          </w:tcPr>
          <w:p w14:paraId="163F645B" w14:textId="77777777" w:rsidR="00C81B46" w:rsidRPr="00574107" w:rsidRDefault="00C81B46" w:rsidP="00560650">
            <w:pPr>
              <w:pStyle w:val="Tablewriting"/>
            </w:pPr>
            <w:r w:rsidRPr="00574107">
              <w:t>Direct comparison</w:t>
            </w:r>
          </w:p>
        </w:tc>
        <w:tc>
          <w:tcPr>
            <w:tcW w:w="620" w:type="pct"/>
            <w:hideMark/>
          </w:tcPr>
          <w:p w14:paraId="18F9A7C4" w14:textId="77777777" w:rsidR="00C81B46" w:rsidRPr="00574107" w:rsidRDefault="00C81B46" w:rsidP="00560650">
            <w:pPr>
              <w:pStyle w:val="Tablewriting"/>
            </w:pPr>
            <w:r w:rsidRPr="00574107">
              <w:t>Primary comparison</w:t>
            </w:r>
          </w:p>
          <w:p w14:paraId="3CA5C03A" w14:textId="77777777" w:rsidR="00C81B46" w:rsidRPr="00574107" w:rsidRDefault="00C81B46" w:rsidP="00560650">
            <w:pPr>
              <w:pStyle w:val="Tablewriting"/>
            </w:pPr>
            <w:r w:rsidRPr="00574107">
              <w:t xml:space="preserve">Superior efficacy, </w:t>
            </w:r>
          </w:p>
          <w:p w14:paraId="3DCC497C" w14:textId="77777777" w:rsidR="00C81B46" w:rsidRPr="00574107" w:rsidRDefault="00C81B46" w:rsidP="00560650">
            <w:pPr>
              <w:pStyle w:val="Tablewriting"/>
            </w:pPr>
            <w:r w:rsidRPr="00574107">
              <w:t>Non-inferior safety</w:t>
            </w:r>
          </w:p>
        </w:tc>
        <w:tc>
          <w:tcPr>
            <w:tcW w:w="542" w:type="pct"/>
            <w:hideMark/>
          </w:tcPr>
          <w:p w14:paraId="612C00C6" w14:textId="77777777" w:rsidR="00C81B46" w:rsidRPr="00574107" w:rsidRDefault="00C81B46" w:rsidP="00560650">
            <w:pPr>
              <w:pStyle w:val="Tablewriting"/>
            </w:pPr>
            <w:r w:rsidRPr="00574107">
              <w:t>N/A</w:t>
            </w:r>
          </w:p>
        </w:tc>
        <w:tc>
          <w:tcPr>
            <w:tcW w:w="489" w:type="pct"/>
            <w:hideMark/>
          </w:tcPr>
          <w:p w14:paraId="702686E4" w14:textId="77777777" w:rsidR="00C81B46" w:rsidRPr="00574107" w:rsidRDefault="00C81B46" w:rsidP="00560650">
            <w:pPr>
              <w:pStyle w:val="Tablewriting"/>
            </w:pPr>
            <w:r w:rsidRPr="00574107">
              <w:t>Cahill (2016) (safety)</w:t>
            </w:r>
          </w:p>
        </w:tc>
        <w:tc>
          <w:tcPr>
            <w:tcW w:w="468" w:type="pct"/>
            <w:hideMark/>
          </w:tcPr>
          <w:p w14:paraId="1111C64D" w14:textId="77777777" w:rsidR="00C81B46" w:rsidRPr="00574107" w:rsidRDefault="00C81B46" w:rsidP="00560650">
            <w:pPr>
              <w:pStyle w:val="Tablewriting"/>
            </w:pPr>
            <w:r w:rsidRPr="00574107">
              <w:t xml:space="preserve">36 trials </w:t>
            </w:r>
            <w:r w:rsidRPr="00574107">
              <w:rPr>
                <w:rFonts w:eastAsiaTheme="minorEastAsia"/>
              </w:rPr>
              <w:t>(</w:t>
            </w:r>
            <w:r w:rsidRPr="00574107">
              <w:t>PBAC evidence included)</w:t>
            </w:r>
          </w:p>
        </w:tc>
        <w:tc>
          <w:tcPr>
            <w:tcW w:w="486" w:type="pct"/>
            <w:hideMark/>
          </w:tcPr>
          <w:p w14:paraId="71F139FB" w14:textId="2EA80746" w:rsidR="00C81B46" w:rsidRPr="00574107" w:rsidRDefault="00213443" w:rsidP="00560650">
            <w:pPr>
              <w:pStyle w:val="Tablewriting"/>
            </w:pPr>
            <w:r w:rsidRPr="00213443">
              <w:rPr>
                <w:rFonts w:eastAsiaTheme="minorEastAsia"/>
              </w:rPr>
              <w:t>0</w:t>
            </w:r>
          </w:p>
        </w:tc>
      </w:tr>
      <w:tr w:rsidR="00C81B46" w:rsidRPr="00574107" w14:paraId="1FEFFC26" w14:textId="77777777" w:rsidTr="00D0517F">
        <w:trPr>
          <w:trHeight w:val="565"/>
        </w:trPr>
        <w:tc>
          <w:tcPr>
            <w:tcW w:w="592" w:type="pct"/>
            <w:vMerge/>
            <w:hideMark/>
          </w:tcPr>
          <w:p w14:paraId="146CCFF5" w14:textId="77777777" w:rsidR="00C81B46" w:rsidRPr="00574107" w:rsidRDefault="00C81B46" w:rsidP="00560650">
            <w:pPr>
              <w:pStyle w:val="Tablewriting"/>
            </w:pPr>
          </w:p>
        </w:tc>
        <w:tc>
          <w:tcPr>
            <w:tcW w:w="517" w:type="pct"/>
            <w:hideMark/>
          </w:tcPr>
          <w:p w14:paraId="2D72B42F" w14:textId="77777777" w:rsidR="00C81B46" w:rsidRPr="00574107" w:rsidRDefault="00C81B46" w:rsidP="00560650">
            <w:pPr>
              <w:pStyle w:val="Tablewriting"/>
            </w:pPr>
            <w:r w:rsidRPr="00574107">
              <w:t>Bupropion</w:t>
            </w:r>
          </w:p>
        </w:tc>
        <w:tc>
          <w:tcPr>
            <w:tcW w:w="662" w:type="pct"/>
            <w:hideMark/>
          </w:tcPr>
          <w:p w14:paraId="2477422C" w14:textId="77777777" w:rsidR="00C81B46" w:rsidRPr="00574107" w:rsidRDefault="00C81B46" w:rsidP="00560650">
            <w:pPr>
              <w:pStyle w:val="Tablewriting"/>
            </w:pPr>
            <w:r w:rsidRPr="00574107">
              <w:t>Anthenelli (2016) EAGLES trial</w:t>
            </w:r>
          </w:p>
        </w:tc>
        <w:tc>
          <w:tcPr>
            <w:tcW w:w="625" w:type="pct"/>
            <w:hideMark/>
          </w:tcPr>
          <w:p w14:paraId="0E325653" w14:textId="77777777" w:rsidR="00C81B46" w:rsidRPr="00574107" w:rsidRDefault="00C81B46" w:rsidP="00560650">
            <w:pPr>
              <w:pStyle w:val="Tablewriting"/>
            </w:pPr>
            <w:r w:rsidRPr="00574107">
              <w:t>Direct comparison</w:t>
            </w:r>
          </w:p>
        </w:tc>
        <w:tc>
          <w:tcPr>
            <w:tcW w:w="620" w:type="pct"/>
            <w:hideMark/>
          </w:tcPr>
          <w:p w14:paraId="3C265471" w14:textId="77777777" w:rsidR="00C81B46" w:rsidRPr="00574107" w:rsidRDefault="00C81B46" w:rsidP="00560650">
            <w:pPr>
              <w:pStyle w:val="Tablewriting"/>
            </w:pPr>
            <w:r w:rsidRPr="00574107">
              <w:t>Secondary comparison</w:t>
            </w:r>
          </w:p>
          <w:p w14:paraId="258245EC" w14:textId="77777777" w:rsidR="00C81B46" w:rsidRPr="00574107" w:rsidRDefault="00C81B46" w:rsidP="00560650">
            <w:pPr>
              <w:pStyle w:val="Tablewriting"/>
            </w:pPr>
            <w:r w:rsidRPr="00574107">
              <w:t xml:space="preserve">Superior efficacy, </w:t>
            </w:r>
          </w:p>
          <w:p w14:paraId="11C14488" w14:textId="77777777" w:rsidR="00C81B46" w:rsidRPr="00574107" w:rsidRDefault="00C81B46" w:rsidP="00560650">
            <w:pPr>
              <w:pStyle w:val="Tablewriting"/>
            </w:pPr>
            <w:r w:rsidRPr="00574107">
              <w:t>Non-inferior safety </w:t>
            </w:r>
          </w:p>
        </w:tc>
        <w:tc>
          <w:tcPr>
            <w:tcW w:w="542" w:type="pct"/>
            <w:hideMark/>
          </w:tcPr>
          <w:p w14:paraId="3E6EC80F" w14:textId="77777777" w:rsidR="00C81B46" w:rsidRPr="00574107" w:rsidRDefault="00C81B46" w:rsidP="00560650">
            <w:pPr>
              <w:pStyle w:val="Tablewriting"/>
            </w:pPr>
            <w:r w:rsidRPr="00574107">
              <w:t>N/A</w:t>
            </w:r>
          </w:p>
        </w:tc>
        <w:tc>
          <w:tcPr>
            <w:tcW w:w="489" w:type="pct"/>
            <w:hideMark/>
          </w:tcPr>
          <w:p w14:paraId="3AFDB932" w14:textId="77777777" w:rsidR="00C81B46" w:rsidRPr="00574107" w:rsidRDefault="00C81B46" w:rsidP="00560650">
            <w:pPr>
              <w:pStyle w:val="Tablewriting"/>
            </w:pPr>
            <w:r w:rsidRPr="00574107">
              <w:t>Howes (2020) (safety)</w:t>
            </w:r>
          </w:p>
        </w:tc>
        <w:tc>
          <w:tcPr>
            <w:tcW w:w="468" w:type="pct"/>
            <w:hideMark/>
          </w:tcPr>
          <w:p w14:paraId="32B69386" w14:textId="77777777" w:rsidR="00C81B46" w:rsidRPr="00574107" w:rsidRDefault="00C81B46" w:rsidP="00560650">
            <w:pPr>
              <w:pStyle w:val="Tablewriting"/>
            </w:pPr>
            <w:r w:rsidRPr="00574107">
              <w:t xml:space="preserve">5 trials </w:t>
            </w:r>
            <w:r w:rsidRPr="00574107">
              <w:rPr>
                <w:rFonts w:eastAsiaTheme="minorEastAsia"/>
              </w:rPr>
              <w:t>(</w:t>
            </w:r>
            <w:r w:rsidRPr="00574107">
              <w:t>PBAC evidence included)</w:t>
            </w:r>
          </w:p>
        </w:tc>
        <w:tc>
          <w:tcPr>
            <w:tcW w:w="486" w:type="pct"/>
            <w:hideMark/>
          </w:tcPr>
          <w:p w14:paraId="214645C9" w14:textId="77777777" w:rsidR="00C81B46" w:rsidRPr="00574107" w:rsidRDefault="00C81B46" w:rsidP="00560650">
            <w:pPr>
              <w:pStyle w:val="Tablewriting"/>
            </w:pPr>
            <w:r w:rsidRPr="00574107">
              <w:rPr>
                <w:rFonts w:eastAsiaTheme="minorEastAsia"/>
              </w:rPr>
              <w:t>0</w:t>
            </w:r>
          </w:p>
        </w:tc>
      </w:tr>
      <w:tr w:rsidR="00C81B46" w:rsidRPr="00574107" w14:paraId="557D6164" w14:textId="77777777" w:rsidTr="00D0517F">
        <w:trPr>
          <w:trHeight w:val="70"/>
        </w:trPr>
        <w:tc>
          <w:tcPr>
            <w:tcW w:w="592" w:type="pct"/>
            <w:vMerge/>
            <w:hideMark/>
          </w:tcPr>
          <w:p w14:paraId="54A90642" w14:textId="77777777" w:rsidR="00C81B46" w:rsidRPr="00574107" w:rsidRDefault="00C81B46" w:rsidP="00560650">
            <w:pPr>
              <w:pStyle w:val="Tablewriting"/>
            </w:pPr>
          </w:p>
        </w:tc>
        <w:tc>
          <w:tcPr>
            <w:tcW w:w="517" w:type="pct"/>
            <w:hideMark/>
          </w:tcPr>
          <w:p w14:paraId="7362049D" w14:textId="77777777" w:rsidR="00C81B46" w:rsidRPr="00574107" w:rsidRDefault="00C81B46" w:rsidP="00560650">
            <w:pPr>
              <w:pStyle w:val="Tablewriting"/>
            </w:pPr>
            <w:r w:rsidRPr="00574107">
              <w:rPr>
                <w:rFonts w:eastAsiaTheme="minorEastAsia"/>
              </w:rPr>
              <w:t>NRT</w:t>
            </w:r>
          </w:p>
        </w:tc>
        <w:tc>
          <w:tcPr>
            <w:tcW w:w="662" w:type="pct"/>
            <w:hideMark/>
          </w:tcPr>
          <w:p w14:paraId="1257F7CB" w14:textId="77777777" w:rsidR="00C81B46" w:rsidRPr="00574107" w:rsidRDefault="00C81B46" w:rsidP="00560650">
            <w:pPr>
              <w:pStyle w:val="Tablewriting"/>
            </w:pPr>
            <w:r w:rsidRPr="00574107">
              <w:rPr>
                <w:rFonts w:eastAsiaTheme="minorEastAsia"/>
              </w:rPr>
              <w:t>Anthenelli (2016) EAGLES trial</w:t>
            </w:r>
          </w:p>
        </w:tc>
        <w:tc>
          <w:tcPr>
            <w:tcW w:w="625" w:type="pct"/>
            <w:hideMark/>
          </w:tcPr>
          <w:p w14:paraId="53C9EADB" w14:textId="77777777" w:rsidR="00C81B46" w:rsidRPr="00574107" w:rsidRDefault="00C81B46" w:rsidP="00560650">
            <w:pPr>
              <w:pStyle w:val="Tablewriting"/>
            </w:pPr>
            <w:r w:rsidRPr="00574107">
              <w:rPr>
                <w:rFonts w:eastAsiaTheme="minorEastAsia"/>
              </w:rPr>
              <w:t>Direct comparison</w:t>
            </w:r>
          </w:p>
        </w:tc>
        <w:tc>
          <w:tcPr>
            <w:tcW w:w="620" w:type="pct"/>
            <w:hideMark/>
          </w:tcPr>
          <w:p w14:paraId="0443B1AC" w14:textId="77777777" w:rsidR="00C81B46" w:rsidRPr="00574107" w:rsidRDefault="00C81B46" w:rsidP="00560650">
            <w:pPr>
              <w:pStyle w:val="Tablewriting"/>
            </w:pPr>
            <w:r w:rsidRPr="00574107">
              <w:rPr>
                <w:rFonts w:eastAsiaTheme="minorEastAsia"/>
              </w:rPr>
              <w:t>Secondary comparison</w:t>
            </w:r>
          </w:p>
          <w:p w14:paraId="3403CC5B" w14:textId="77777777" w:rsidR="00C81B46" w:rsidRPr="00574107" w:rsidRDefault="00C81B46" w:rsidP="00560650">
            <w:pPr>
              <w:pStyle w:val="Tablewriting"/>
            </w:pPr>
            <w:r w:rsidRPr="00574107">
              <w:rPr>
                <w:rFonts w:eastAsiaTheme="minorEastAsia"/>
              </w:rPr>
              <w:t xml:space="preserve">Superior efficacy, </w:t>
            </w:r>
          </w:p>
          <w:p w14:paraId="10C393BB" w14:textId="77777777" w:rsidR="00C81B46" w:rsidRPr="00574107" w:rsidRDefault="00C81B46" w:rsidP="00560650">
            <w:pPr>
              <w:pStyle w:val="Tablewriting"/>
            </w:pPr>
            <w:r w:rsidRPr="00574107">
              <w:rPr>
                <w:rFonts w:eastAsiaTheme="minorEastAsia"/>
              </w:rPr>
              <w:t>Non-inferior safety</w:t>
            </w:r>
          </w:p>
        </w:tc>
        <w:tc>
          <w:tcPr>
            <w:tcW w:w="542" w:type="pct"/>
            <w:hideMark/>
          </w:tcPr>
          <w:p w14:paraId="3A072A27" w14:textId="77777777" w:rsidR="00C81B46" w:rsidRPr="00574107" w:rsidRDefault="00C81B46" w:rsidP="00560650">
            <w:pPr>
              <w:pStyle w:val="Tablewriting"/>
            </w:pPr>
            <w:r w:rsidRPr="00574107">
              <w:rPr>
                <w:rFonts w:eastAsiaTheme="minorEastAsia"/>
              </w:rPr>
              <w:t>N/A</w:t>
            </w:r>
          </w:p>
        </w:tc>
        <w:tc>
          <w:tcPr>
            <w:tcW w:w="489" w:type="pct"/>
            <w:hideMark/>
          </w:tcPr>
          <w:p w14:paraId="3FE8DD01" w14:textId="77777777" w:rsidR="00C81B46" w:rsidRPr="00574107" w:rsidRDefault="00C81B46" w:rsidP="00560650">
            <w:pPr>
              <w:pStyle w:val="Tablewriting"/>
            </w:pPr>
            <w:r w:rsidRPr="00574107">
              <w:rPr>
                <w:rFonts w:eastAsiaTheme="minorEastAsia"/>
              </w:rPr>
              <w:t>No updated safety evidence </w:t>
            </w:r>
          </w:p>
        </w:tc>
        <w:tc>
          <w:tcPr>
            <w:tcW w:w="468" w:type="pct"/>
            <w:hideMark/>
          </w:tcPr>
          <w:p w14:paraId="63734A19" w14:textId="77777777" w:rsidR="00C81B46" w:rsidRPr="00574107" w:rsidRDefault="00C81B46" w:rsidP="00560650">
            <w:pPr>
              <w:pStyle w:val="Tablewriting"/>
            </w:pPr>
            <w:r w:rsidRPr="00574107">
              <w:rPr>
                <w:rFonts w:eastAsiaTheme="minorEastAsia"/>
              </w:rPr>
              <w:t>N/A</w:t>
            </w:r>
          </w:p>
        </w:tc>
        <w:tc>
          <w:tcPr>
            <w:tcW w:w="486" w:type="pct"/>
            <w:hideMark/>
          </w:tcPr>
          <w:p w14:paraId="58EEA002" w14:textId="72CADB26" w:rsidR="00C81B46" w:rsidRPr="00574107" w:rsidRDefault="005765E0" w:rsidP="00560650">
            <w:pPr>
              <w:pStyle w:val="Tablewriting"/>
            </w:pPr>
            <w:r w:rsidRPr="00213443">
              <w:rPr>
                <w:rFonts w:eastAsiaTheme="minorEastAsia"/>
              </w:rPr>
              <w:t>4</w:t>
            </w:r>
          </w:p>
        </w:tc>
      </w:tr>
      <w:tr w:rsidR="00C81B46" w:rsidRPr="00B11797" w14:paraId="23F11695" w14:textId="77777777" w:rsidTr="00D0517F">
        <w:trPr>
          <w:trHeight w:val="164"/>
        </w:trPr>
        <w:tc>
          <w:tcPr>
            <w:tcW w:w="5000" w:type="pct"/>
            <w:gridSpan w:val="9"/>
            <w:shd w:val="clear" w:color="auto" w:fill="D9D9D9" w:themeFill="background1" w:themeFillShade="D9"/>
          </w:tcPr>
          <w:p w14:paraId="460E0C0D" w14:textId="77777777" w:rsidR="00C81B46" w:rsidRPr="00574107" w:rsidRDefault="00C81B46" w:rsidP="00560650">
            <w:pPr>
              <w:pStyle w:val="Tablewriting"/>
              <w:rPr>
                <w:b/>
                <w:bCs/>
              </w:rPr>
            </w:pPr>
            <w:r w:rsidRPr="00574107">
              <w:rPr>
                <w:b/>
                <w:bCs/>
              </w:rPr>
              <w:t xml:space="preserve">NRT </w:t>
            </w:r>
            <w:r>
              <w:rPr>
                <w:b/>
                <w:bCs/>
              </w:rPr>
              <w:t>p</w:t>
            </w:r>
            <w:r w:rsidRPr="00574107">
              <w:rPr>
                <w:b/>
                <w:bCs/>
              </w:rPr>
              <w:t>atch</w:t>
            </w:r>
          </w:p>
        </w:tc>
      </w:tr>
      <w:tr w:rsidR="00B16F78" w:rsidRPr="00574107" w14:paraId="465C6257" w14:textId="77777777" w:rsidTr="00B16F78">
        <w:trPr>
          <w:trHeight w:val="70"/>
        </w:trPr>
        <w:tc>
          <w:tcPr>
            <w:tcW w:w="592" w:type="pct"/>
            <w:vMerge w:val="restart"/>
            <w:hideMark/>
          </w:tcPr>
          <w:p w14:paraId="72FC0D05" w14:textId="77777777" w:rsidR="00C81B46" w:rsidRPr="00574107" w:rsidRDefault="00C81B46" w:rsidP="00560650">
            <w:pPr>
              <w:pStyle w:val="Tablewriting"/>
            </w:pPr>
            <w:r w:rsidRPr="00574107">
              <w:t>2008</w:t>
            </w:r>
          </w:p>
          <w:p w14:paraId="4A8C702D" w14:textId="2B37A5BD" w:rsidR="00C81B46" w:rsidRPr="00574107" w:rsidRDefault="00C81B46" w:rsidP="00560650">
            <w:pPr>
              <w:pStyle w:val="Tablewriting"/>
            </w:pPr>
            <w:r w:rsidRPr="00574107">
              <w:lastRenderedPageBreak/>
              <w:t xml:space="preserve">(New listing – </w:t>
            </w:r>
            <w:r w:rsidR="008424DC" w:rsidRPr="008424DC">
              <w:t>Aboriginal and Torres Strait Islander</w:t>
            </w:r>
            <w:r w:rsidR="00F0085D">
              <w:t xml:space="preserve"> population</w:t>
            </w:r>
            <w:r w:rsidRPr="00574107">
              <w:t>)</w:t>
            </w:r>
          </w:p>
        </w:tc>
        <w:tc>
          <w:tcPr>
            <w:tcW w:w="517" w:type="pct"/>
            <w:hideMark/>
          </w:tcPr>
          <w:p w14:paraId="08B855D4" w14:textId="77777777" w:rsidR="00C81B46" w:rsidRPr="00574107" w:rsidRDefault="00C81B46" w:rsidP="00560650">
            <w:pPr>
              <w:pStyle w:val="Tablewriting"/>
            </w:pPr>
            <w:r w:rsidRPr="00574107">
              <w:rPr>
                <w:rFonts w:eastAsiaTheme="minorEastAsia"/>
              </w:rPr>
              <w:lastRenderedPageBreak/>
              <w:t>No control/ control group</w:t>
            </w:r>
          </w:p>
        </w:tc>
        <w:tc>
          <w:tcPr>
            <w:tcW w:w="662" w:type="pct"/>
            <w:tcBorders>
              <w:bottom w:val="single" w:sz="4" w:space="0" w:color="auto"/>
            </w:tcBorders>
            <w:hideMark/>
          </w:tcPr>
          <w:p w14:paraId="22C15393" w14:textId="0310294D" w:rsidR="00C81B46" w:rsidRPr="00751D1B" w:rsidRDefault="00926E9F" w:rsidP="00560650">
            <w:pPr>
              <w:pStyle w:val="Tablewriting"/>
              <w:rPr>
                <w:highlight w:val="red"/>
              </w:rPr>
            </w:pPr>
            <w:r w:rsidRPr="00926E9F">
              <w:rPr>
                <w:rFonts w:eastAsiaTheme="minorEastAsia"/>
                <w:color w:val="000000"/>
                <w:w w:val="70"/>
                <w:shd w:val="solid" w:color="000000" w:fill="000000"/>
                <w:fitText w:val="1430" w:id="-1402739200"/>
                <w14:textFill>
                  <w14:solidFill>
                    <w14:srgbClr w14:val="000000">
                      <w14:alpha w14:val="100000"/>
                    </w14:srgbClr>
                  </w14:solidFill>
                </w14:textFill>
              </w:rPr>
              <w:t>|||||||||||||||||||||</w:t>
            </w:r>
            <w:r w:rsidRPr="00926E9F">
              <w:rPr>
                <w:rFonts w:eastAsiaTheme="minorEastAsia"/>
                <w:color w:val="000000"/>
                <w:spacing w:val="14"/>
                <w:w w:val="70"/>
                <w:shd w:val="solid" w:color="000000" w:fill="000000"/>
                <w:fitText w:val="1430" w:id="-1402739200"/>
                <w14:textFill>
                  <w14:solidFill>
                    <w14:srgbClr w14:val="000000">
                      <w14:alpha w14:val="100000"/>
                    </w14:srgbClr>
                  </w14:solidFill>
                </w14:textFill>
              </w:rPr>
              <w:t>|</w:t>
            </w:r>
            <w:r>
              <w:rPr>
                <w:rFonts w:eastAsiaTheme="minorEastAsia"/>
                <w:highlight w:val="red"/>
                <w:shd w:val="clear" w:color="auto" w:fill="C0C0C1"/>
              </w:rPr>
              <w:t xml:space="preserve"> </w:t>
            </w:r>
            <w:r w:rsidRPr="00926E9F">
              <w:rPr>
                <w:rFonts w:eastAsiaTheme="minorEastAsia"/>
                <w:color w:val="000000"/>
                <w:w w:val="76"/>
                <w:shd w:val="solid" w:color="000000" w:fill="000000"/>
                <w:fitText w:val="1120" w:id="-1402739199"/>
                <w14:textFill>
                  <w14:solidFill>
                    <w14:srgbClr w14:val="000000">
                      <w14:alpha w14:val="100000"/>
                    </w14:srgbClr>
                  </w14:solidFill>
                </w14:textFill>
              </w:rPr>
              <w:t>||||||||||||||||</w:t>
            </w:r>
            <w:r>
              <w:rPr>
                <w:rFonts w:eastAsiaTheme="minorEastAsia"/>
                <w:highlight w:val="red"/>
                <w:shd w:val="clear" w:color="auto" w:fill="C0C0C1"/>
              </w:rPr>
              <w:t xml:space="preserve"> </w:t>
            </w:r>
            <w:r w:rsidRPr="00926E9F">
              <w:rPr>
                <w:rFonts w:eastAsiaTheme="minorEastAsia"/>
                <w:color w:val="000000"/>
                <w:w w:val="85"/>
                <w:shd w:val="solid" w:color="000000" w:fill="000000"/>
                <w:fitText w:val="470" w:id="-1402739198"/>
                <w14:textFill>
                  <w14:solidFill>
                    <w14:srgbClr w14:val="000000">
                      <w14:alpha w14:val="100000"/>
                    </w14:srgbClr>
                  </w14:solidFill>
                </w14:textFill>
              </w:rPr>
              <w:t>||||||</w:t>
            </w:r>
          </w:p>
        </w:tc>
        <w:tc>
          <w:tcPr>
            <w:tcW w:w="625" w:type="pct"/>
            <w:tcBorders>
              <w:bottom w:val="single" w:sz="4" w:space="0" w:color="auto"/>
            </w:tcBorders>
            <w:hideMark/>
          </w:tcPr>
          <w:p w14:paraId="6DAFF2A9" w14:textId="1C059638" w:rsidR="00C81B46" w:rsidRPr="00751D1B" w:rsidRDefault="00926E9F" w:rsidP="00560650">
            <w:pPr>
              <w:pStyle w:val="Tablewriting"/>
              <w:rPr>
                <w:highlight w:val="red"/>
              </w:rPr>
            </w:pPr>
            <w:r w:rsidRPr="00926E9F">
              <w:rPr>
                <w:rFonts w:eastAsiaTheme="minorEastAsia"/>
                <w:color w:val="000000"/>
                <w:highlight w:val="black"/>
                <w:shd w:val="solid" w:color="000000" w:fill="000000"/>
                <w:fitText w:val="370" w:id="-1402738944"/>
                <w14:textFill>
                  <w14:solidFill>
                    <w14:srgbClr w14:val="000000">
                      <w14:alpha w14:val="100000"/>
                    </w14:srgbClr>
                  </w14:solidFill>
                </w14:textFill>
              </w:rPr>
              <w:t>||||</w:t>
            </w:r>
            <w:r w:rsidRPr="00926E9F">
              <w:rPr>
                <w:rFonts w:eastAsiaTheme="minorEastAsia"/>
                <w:highlight w:val="black"/>
                <w:shd w:val="clear" w:color="auto" w:fill="C0C0C1"/>
              </w:rPr>
              <w:t xml:space="preserve"> </w:t>
            </w:r>
            <w:r w:rsidRPr="00BF3F75">
              <w:rPr>
                <w:rFonts w:eastAsiaTheme="minorEastAsia"/>
                <w:color w:val="000000"/>
                <w:spacing w:val="2"/>
                <w:w w:val="73"/>
                <w:highlight w:val="black"/>
                <w:shd w:val="solid" w:color="000000" w:fill="000000"/>
                <w:fitText w:val="950" w:id="-1402738943"/>
                <w14:textFill>
                  <w14:solidFill>
                    <w14:srgbClr w14:val="000000">
                      <w14:alpha w14:val="100000"/>
                    </w14:srgbClr>
                  </w14:solidFill>
                </w14:textFill>
              </w:rPr>
              <w:t>|||||||||||||</w:t>
            </w:r>
            <w:r w:rsidRPr="00BF3F75">
              <w:rPr>
                <w:rFonts w:eastAsiaTheme="minorEastAsia"/>
                <w:color w:val="000000"/>
                <w:w w:val="73"/>
                <w:highlight w:val="black"/>
                <w:shd w:val="solid" w:color="000000" w:fill="000000"/>
                <w:fitText w:val="950" w:id="-1402738943"/>
                <w14:textFill>
                  <w14:solidFill>
                    <w14:srgbClr w14:val="000000">
                      <w14:alpha w14:val="100000"/>
                    </w14:srgbClr>
                  </w14:solidFill>
                </w14:textFill>
              </w:rPr>
              <w:t>|</w:t>
            </w:r>
            <w:r w:rsidRPr="00926E9F">
              <w:rPr>
                <w:rFonts w:eastAsiaTheme="minorEastAsia"/>
                <w:highlight w:val="black"/>
                <w:shd w:val="clear" w:color="auto" w:fill="C0C0C1"/>
              </w:rPr>
              <w:t xml:space="preserve"> </w:t>
            </w:r>
            <w:r w:rsidRPr="00BF3F75">
              <w:rPr>
                <w:rFonts w:eastAsiaTheme="minorEastAsia"/>
                <w:color w:val="000000"/>
                <w:spacing w:val="2"/>
                <w:w w:val="74"/>
                <w:shd w:val="solid" w:color="000000" w:fill="000000"/>
                <w:fitText w:val="1240" w:id="-1402738942"/>
                <w14:textFill>
                  <w14:solidFill>
                    <w14:srgbClr w14:val="000000">
                      <w14:alpha w14:val="100000"/>
                    </w14:srgbClr>
                  </w14:solidFill>
                </w14:textFill>
              </w:rPr>
              <w:t>|||||||||||||||||</w:t>
            </w:r>
            <w:r w:rsidRPr="00BF3F75">
              <w:rPr>
                <w:rFonts w:eastAsiaTheme="minorEastAsia"/>
                <w:color w:val="000000"/>
                <w:w w:val="74"/>
                <w:shd w:val="solid" w:color="000000" w:fill="000000"/>
                <w:fitText w:val="1240" w:id="-1402738942"/>
                <w14:textFill>
                  <w14:solidFill>
                    <w14:srgbClr w14:val="000000">
                      <w14:alpha w14:val="100000"/>
                    </w14:srgbClr>
                  </w14:solidFill>
                </w14:textFill>
              </w:rPr>
              <w:t>|</w:t>
            </w:r>
            <w:r>
              <w:rPr>
                <w:rFonts w:eastAsiaTheme="minorEastAsia"/>
                <w:highlight w:val="red"/>
                <w:shd w:val="clear" w:color="auto" w:fill="C0C0C1"/>
              </w:rPr>
              <w:t xml:space="preserve"> </w:t>
            </w:r>
            <w:r w:rsidRPr="00926E9F">
              <w:rPr>
                <w:rFonts w:eastAsiaTheme="minorEastAsia"/>
                <w:color w:val="000000"/>
                <w:spacing w:val="65"/>
                <w:shd w:val="solid" w:color="000000" w:fill="000000"/>
                <w:fitText w:val="250" w:id="-1402738941"/>
                <w14:textFill>
                  <w14:solidFill>
                    <w14:srgbClr w14:val="000000">
                      <w14:alpha w14:val="100000"/>
                    </w14:srgbClr>
                  </w14:solidFill>
                </w14:textFill>
              </w:rPr>
              <w:t>|</w:t>
            </w:r>
            <w:r w:rsidRPr="00926E9F">
              <w:rPr>
                <w:rFonts w:eastAsiaTheme="minorEastAsia"/>
                <w:color w:val="000000"/>
                <w:shd w:val="solid" w:color="000000" w:fill="000000"/>
                <w:fitText w:val="250" w:id="-1402738941"/>
                <w14:textFill>
                  <w14:solidFill>
                    <w14:srgbClr w14:val="000000">
                      <w14:alpha w14:val="100000"/>
                    </w14:srgbClr>
                  </w14:solidFill>
                </w14:textFill>
              </w:rPr>
              <w:t>|</w:t>
            </w:r>
            <w:r>
              <w:rPr>
                <w:rFonts w:eastAsiaTheme="minorEastAsia"/>
                <w:highlight w:val="red"/>
                <w:shd w:val="clear" w:color="auto" w:fill="C0C0C1"/>
              </w:rPr>
              <w:t xml:space="preserve"> </w:t>
            </w:r>
          </w:p>
        </w:tc>
        <w:tc>
          <w:tcPr>
            <w:tcW w:w="620" w:type="pct"/>
            <w:hideMark/>
          </w:tcPr>
          <w:p w14:paraId="11FD2972" w14:textId="0FE50FD2" w:rsidR="00C81B46" w:rsidRPr="00751D1B" w:rsidRDefault="00926E9F" w:rsidP="00560650">
            <w:pPr>
              <w:pStyle w:val="Tablewriting"/>
              <w:rPr>
                <w:highlight w:val="red"/>
              </w:rPr>
            </w:pPr>
            <w:r w:rsidRPr="00BF3F75">
              <w:rPr>
                <w:rFonts w:eastAsiaTheme="minorEastAsia"/>
                <w:color w:val="000000"/>
                <w:spacing w:val="1"/>
                <w:w w:val="73"/>
                <w:shd w:val="solid" w:color="000000" w:fill="000000"/>
                <w:fitText w:val="1350" w:id="-1402738688"/>
                <w14:textFill>
                  <w14:solidFill>
                    <w14:srgbClr w14:val="000000">
                      <w14:alpha w14:val="100000"/>
                    </w14:srgbClr>
                  </w14:solidFill>
                </w14:textFill>
              </w:rPr>
              <w:t>|||||||||||||||||||</w:t>
            </w:r>
            <w:r w:rsidRPr="00BF3F75">
              <w:rPr>
                <w:rFonts w:eastAsiaTheme="minorEastAsia"/>
                <w:color w:val="000000"/>
                <w:spacing w:val="11"/>
                <w:w w:val="73"/>
                <w:shd w:val="solid" w:color="000000" w:fill="000000"/>
                <w:fitText w:val="1350" w:id="-1402738688"/>
                <w14:textFill>
                  <w14:solidFill>
                    <w14:srgbClr w14:val="000000">
                      <w14:alpha w14:val="100000"/>
                    </w14:srgbClr>
                  </w14:solidFill>
                </w14:textFill>
              </w:rPr>
              <w:t>|</w:t>
            </w:r>
            <w:r>
              <w:rPr>
                <w:rFonts w:eastAsiaTheme="minorEastAsia"/>
                <w:highlight w:val="red"/>
                <w:shd w:val="clear" w:color="auto" w:fill="C0C0C1"/>
              </w:rPr>
              <w:t xml:space="preserve"> </w:t>
            </w:r>
            <w:r w:rsidRPr="00926E9F">
              <w:rPr>
                <w:rFonts w:eastAsiaTheme="minorEastAsia"/>
                <w:color w:val="000000"/>
                <w:w w:val="76"/>
                <w:shd w:val="solid" w:color="000000" w:fill="000000"/>
                <w:fitText w:val="420" w:id="-1402738687"/>
                <w14:textFill>
                  <w14:solidFill>
                    <w14:srgbClr w14:val="000000">
                      <w14:alpha w14:val="100000"/>
                    </w14:srgbClr>
                  </w14:solidFill>
                </w14:textFill>
              </w:rPr>
              <w:t>||||||</w:t>
            </w:r>
          </w:p>
        </w:tc>
        <w:tc>
          <w:tcPr>
            <w:tcW w:w="542" w:type="pct"/>
            <w:hideMark/>
          </w:tcPr>
          <w:p w14:paraId="382BAB31" w14:textId="5B565562" w:rsidR="00C81B46" w:rsidRPr="00751D1B" w:rsidRDefault="00926E9F" w:rsidP="00560650">
            <w:pPr>
              <w:pStyle w:val="Tablewriting"/>
              <w:rPr>
                <w:highlight w:val="red"/>
              </w:rPr>
            </w:pPr>
            <w:r w:rsidRPr="00BF3F75">
              <w:rPr>
                <w:rFonts w:eastAsiaTheme="minorEastAsia"/>
                <w:color w:val="000000"/>
                <w:spacing w:val="1"/>
                <w:w w:val="73"/>
                <w:shd w:val="solid" w:color="000000" w:fill="000000"/>
                <w:fitText w:val="1480" w:id="-1402738685"/>
                <w14:textFill>
                  <w14:solidFill>
                    <w14:srgbClr w14:val="000000">
                      <w14:alpha w14:val="100000"/>
                    </w14:srgbClr>
                  </w14:solidFill>
                </w14:textFill>
              </w:rPr>
              <w:t>|||||||||||||||||||||</w:t>
            </w:r>
            <w:r w:rsidRPr="00BF3F75">
              <w:rPr>
                <w:rFonts w:eastAsiaTheme="minorEastAsia"/>
                <w:color w:val="000000"/>
                <w:spacing w:val="7"/>
                <w:w w:val="73"/>
                <w:shd w:val="solid" w:color="000000" w:fill="000000"/>
                <w:fitText w:val="1480" w:id="-1402738685"/>
                <w14:textFill>
                  <w14:solidFill>
                    <w14:srgbClr w14:val="000000">
                      <w14:alpha w14:val="100000"/>
                    </w14:srgbClr>
                  </w14:solidFill>
                </w14:textFill>
              </w:rPr>
              <w:t>|</w:t>
            </w:r>
            <w:r>
              <w:rPr>
                <w:rFonts w:eastAsiaTheme="minorEastAsia"/>
                <w:highlight w:val="red"/>
                <w:shd w:val="clear" w:color="auto" w:fill="C0C0C1"/>
              </w:rPr>
              <w:t xml:space="preserve"> </w:t>
            </w:r>
            <w:r w:rsidRPr="00926E9F">
              <w:rPr>
                <w:rFonts w:eastAsiaTheme="minorEastAsia"/>
                <w:color w:val="000000"/>
                <w:spacing w:val="2"/>
                <w:w w:val="97"/>
                <w:highlight w:val="black"/>
                <w:shd w:val="solid" w:color="000000" w:fill="000000"/>
                <w:fitText w:val="540" w:id="-1402738684"/>
                <w14:textFill>
                  <w14:solidFill>
                    <w14:srgbClr w14:val="000000">
                      <w14:alpha w14:val="100000"/>
                    </w14:srgbClr>
                  </w14:solidFill>
                </w14:textFill>
              </w:rPr>
              <w:t>||||||</w:t>
            </w:r>
            <w:r w:rsidRPr="00926E9F">
              <w:rPr>
                <w:rFonts w:eastAsiaTheme="minorEastAsia"/>
                <w:highlight w:val="black"/>
                <w:shd w:val="clear" w:color="auto" w:fill="C0C0C1"/>
              </w:rPr>
              <w:t xml:space="preserve"> </w:t>
            </w:r>
            <w:r w:rsidRPr="00926E9F">
              <w:rPr>
                <w:rFonts w:eastAsiaTheme="minorEastAsia"/>
                <w:color w:val="000000"/>
                <w:w w:val="78"/>
                <w:highlight w:val="black"/>
                <w:shd w:val="solid" w:color="000000" w:fill="000000"/>
                <w:fitText w:val="720" w:id="-1402738683"/>
                <w14:textFill>
                  <w14:solidFill>
                    <w14:srgbClr w14:val="000000">
                      <w14:alpha w14:val="100000"/>
                    </w14:srgbClr>
                  </w14:solidFill>
                </w14:textFill>
              </w:rPr>
              <w:t>||||||||||</w:t>
            </w:r>
          </w:p>
        </w:tc>
        <w:tc>
          <w:tcPr>
            <w:tcW w:w="489" w:type="pct"/>
            <w:hideMark/>
          </w:tcPr>
          <w:p w14:paraId="7E535A27" w14:textId="77777777" w:rsidR="00C81B46" w:rsidRPr="00574107" w:rsidRDefault="00C81B46" w:rsidP="00560650">
            <w:pPr>
              <w:pStyle w:val="Tablewriting"/>
            </w:pPr>
            <w:r w:rsidRPr="00574107">
              <w:rPr>
                <w:rFonts w:eastAsiaTheme="minorEastAsia"/>
              </w:rPr>
              <w:t>Hartmann-Boyce (2018) (efficacy)</w:t>
            </w:r>
          </w:p>
          <w:p w14:paraId="5EB684D3" w14:textId="77777777" w:rsidR="00C81B46" w:rsidRPr="00574107" w:rsidRDefault="00C81B46" w:rsidP="00560650">
            <w:pPr>
              <w:pStyle w:val="Tablewriting"/>
            </w:pPr>
            <w:r w:rsidRPr="00574107">
              <w:rPr>
                <w:rFonts w:eastAsiaTheme="minorEastAsia"/>
              </w:rPr>
              <w:lastRenderedPageBreak/>
              <w:t> </w:t>
            </w:r>
          </w:p>
        </w:tc>
        <w:tc>
          <w:tcPr>
            <w:tcW w:w="468" w:type="pct"/>
            <w:hideMark/>
          </w:tcPr>
          <w:p w14:paraId="1B1279D5" w14:textId="77777777" w:rsidR="00C81B46" w:rsidRPr="00574107" w:rsidRDefault="00C81B46" w:rsidP="00560650">
            <w:pPr>
              <w:pStyle w:val="Tablewriting"/>
            </w:pPr>
            <w:r w:rsidRPr="00574107">
              <w:rPr>
                <w:rFonts w:eastAsiaTheme="minorEastAsia"/>
              </w:rPr>
              <w:lastRenderedPageBreak/>
              <w:t xml:space="preserve">51 trials (PBAC </w:t>
            </w:r>
            <w:r w:rsidRPr="00574107">
              <w:rPr>
                <w:rFonts w:eastAsiaTheme="minorEastAsia"/>
              </w:rPr>
              <w:lastRenderedPageBreak/>
              <w:t>evidence not included) </w:t>
            </w:r>
          </w:p>
        </w:tc>
        <w:tc>
          <w:tcPr>
            <w:tcW w:w="486" w:type="pct"/>
            <w:hideMark/>
          </w:tcPr>
          <w:p w14:paraId="2ED8986D" w14:textId="77777777" w:rsidR="00C81B46" w:rsidRPr="00574107" w:rsidRDefault="00C81B46" w:rsidP="00560650">
            <w:pPr>
              <w:pStyle w:val="Tablewriting"/>
            </w:pPr>
            <w:r w:rsidRPr="00574107">
              <w:rPr>
                <w:rFonts w:eastAsiaTheme="minorEastAsia"/>
              </w:rPr>
              <w:lastRenderedPageBreak/>
              <w:t>0</w:t>
            </w:r>
          </w:p>
        </w:tc>
      </w:tr>
      <w:tr w:rsidR="00B16F78" w:rsidRPr="00574107" w14:paraId="21117CF7" w14:textId="77777777" w:rsidTr="00B16F78">
        <w:trPr>
          <w:trHeight w:val="841"/>
        </w:trPr>
        <w:tc>
          <w:tcPr>
            <w:tcW w:w="592" w:type="pct"/>
            <w:vMerge/>
            <w:hideMark/>
          </w:tcPr>
          <w:p w14:paraId="61358E27" w14:textId="77777777" w:rsidR="00C81B46" w:rsidRPr="00574107" w:rsidRDefault="00C81B46" w:rsidP="00560650">
            <w:pPr>
              <w:pStyle w:val="Tablewriting"/>
            </w:pPr>
          </w:p>
        </w:tc>
        <w:tc>
          <w:tcPr>
            <w:tcW w:w="517" w:type="pct"/>
            <w:hideMark/>
          </w:tcPr>
          <w:p w14:paraId="5E9B533F" w14:textId="77777777" w:rsidR="00C81B46" w:rsidRPr="00574107" w:rsidRDefault="00C81B46" w:rsidP="00560650">
            <w:pPr>
              <w:pStyle w:val="Tablewriting"/>
            </w:pPr>
            <w:r w:rsidRPr="00574107">
              <w:rPr>
                <w:rFonts w:eastAsiaTheme="minorEastAsia"/>
              </w:rPr>
              <w:t>Placebo</w:t>
            </w:r>
          </w:p>
        </w:tc>
        <w:tc>
          <w:tcPr>
            <w:tcW w:w="662" w:type="pct"/>
            <w:shd w:val="solid" w:color="000000" w:fill="000000"/>
            <w:hideMark/>
          </w:tcPr>
          <w:p w14:paraId="07D57301" w14:textId="63D45128" w:rsidR="00C81B46" w:rsidRPr="00B16F78" w:rsidRDefault="00B16F78" w:rsidP="00560650">
            <w:pPr>
              <w:pStyle w:val="Tablewriting"/>
            </w:pPr>
            <w:r w:rsidRPr="00BF3F75">
              <w:rPr>
                <w:rFonts w:eastAsiaTheme="minorEastAsia"/>
                <w:color w:val="000000"/>
                <w:spacing w:val="2"/>
                <w:w w:val="73"/>
                <w:highlight w:val="black"/>
                <w:shd w:val="clear" w:color="auto" w:fill="C0C0C1"/>
                <w:fitText w:val="950" w:id="-1402738432"/>
                <w14:textFill>
                  <w14:solidFill>
                    <w14:srgbClr w14:val="000000">
                      <w14:alpha w14:val="100000"/>
                    </w14:srgbClr>
                  </w14:solidFill>
                </w14:textFill>
              </w:rPr>
              <w:t>|||||||||||||</w:t>
            </w:r>
            <w:r w:rsidRPr="00BF3F75">
              <w:rPr>
                <w:rFonts w:eastAsiaTheme="minorEastAsia"/>
                <w:color w:val="000000"/>
                <w:w w:val="73"/>
                <w:highlight w:val="black"/>
                <w:shd w:val="clear" w:color="auto" w:fill="C0C0C1"/>
                <w:fitText w:val="950" w:id="-1402738432"/>
                <w14:textFill>
                  <w14:solidFill>
                    <w14:srgbClr w14:val="000000">
                      <w14:alpha w14:val="100000"/>
                    </w14:srgbClr>
                  </w14:solidFill>
                </w14:textFill>
              </w:rPr>
              <w:t>|</w:t>
            </w:r>
          </w:p>
        </w:tc>
        <w:tc>
          <w:tcPr>
            <w:tcW w:w="625" w:type="pct"/>
            <w:shd w:val="solid" w:color="000000" w:fill="000000"/>
            <w:hideMark/>
          </w:tcPr>
          <w:p w14:paraId="22A99C0C" w14:textId="44B585C6" w:rsidR="00C81B46" w:rsidRPr="00B16F78" w:rsidRDefault="00B16F78" w:rsidP="00560650">
            <w:pPr>
              <w:pStyle w:val="Tablewriting"/>
            </w:pPr>
            <w:r w:rsidRPr="00B16F78">
              <w:rPr>
                <w:rFonts w:eastAsiaTheme="minorEastAsia"/>
                <w:color w:val="000000"/>
                <w:w w:val="76"/>
                <w:highlight w:val="black"/>
                <w:shd w:val="clear" w:color="auto" w:fill="C0C0C1"/>
                <w:fitText w:val="1260" w:id="-1402738176"/>
                <w14:textFill>
                  <w14:solidFill>
                    <w14:srgbClr w14:val="000000">
                      <w14:alpha w14:val="100000"/>
                    </w14:srgbClr>
                  </w14:solidFill>
                </w14:textFill>
              </w:rPr>
              <w:t>||||||||||||||||||</w:t>
            </w:r>
          </w:p>
        </w:tc>
        <w:tc>
          <w:tcPr>
            <w:tcW w:w="620" w:type="pct"/>
            <w:hideMark/>
          </w:tcPr>
          <w:p w14:paraId="5FD4320D" w14:textId="3A4C3FBE" w:rsidR="00C81B46" w:rsidRPr="00751D1B" w:rsidRDefault="00B16F78" w:rsidP="00560650">
            <w:pPr>
              <w:pStyle w:val="Tablewriting"/>
              <w:rPr>
                <w:highlight w:val="red"/>
              </w:rPr>
            </w:pPr>
            <w:r w:rsidRPr="00B16F78">
              <w:rPr>
                <w:rFonts w:eastAsiaTheme="minorEastAsia"/>
                <w:color w:val="000000"/>
                <w:w w:val="85"/>
                <w:highlight w:val="black"/>
                <w:shd w:val="solid" w:color="000000" w:fill="000000"/>
                <w:fitText w:val="630" w:id="-1402738175"/>
                <w14:textFill>
                  <w14:solidFill>
                    <w14:srgbClr w14:val="000000">
                      <w14:alpha w14:val="100000"/>
                    </w14:srgbClr>
                  </w14:solidFill>
                </w14:textFill>
              </w:rPr>
              <w:t>||||||||</w:t>
            </w:r>
            <w:r w:rsidRPr="00B16F78">
              <w:rPr>
                <w:rFonts w:eastAsiaTheme="minorEastAsia"/>
                <w:highlight w:val="black"/>
                <w:shd w:val="clear" w:color="auto" w:fill="C0C0C1"/>
              </w:rPr>
              <w:t xml:space="preserve"> </w:t>
            </w:r>
            <w:r w:rsidRPr="00B16F78">
              <w:rPr>
                <w:rFonts w:eastAsiaTheme="minorEastAsia"/>
                <w:color w:val="000000"/>
                <w:w w:val="85"/>
                <w:highlight w:val="black"/>
                <w:shd w:val="solid" w:color="000000" w:fill="000000"/>
                <w:fitText w:val="630" w:id="-1402738174"/>
                <w14:textFill>
                  <w14:solidFill>
                    <w14:srgbClr w14:val="000000">
                      <w14:alpha w14:val="100000"/>
                    </w14:srgbClr>
                  </w14:solidFill>
                </w14:textFill>
              </w:rPr>
              <w:t>||||||||</w:t>
            </w:r>
            <w:r w:rsidRPr="00B16F78">
              <w:rPr>
                <w:rFonts w:eastAsiaTheme="minorEastAsia"/>
                <w:highlight w:val="black"/>
                <w:shd w:val="clear" w:color="auto" w:fill="C0C0C1"/>
              </w:rPr>
              <w:t xml:space="preserve"> </w:t>
            </w:r>
            <w:r w:rsidRPr="00B16F78">
              <w:rPr>
                <w:rFonts w:eastAsiaTheme="minorEastAsia"/>
                <w:color w:val="000000"/>
                <w:w w:val="76"/>
                <w:shd w:val="solid" w:color="000000" w:fill="000000"/>
                <w:fitText w:val="420" w:id="-1402738173"/>
                <w14:textFill>
                  <w14:solidFill>
                    <w14:srgbClr w14:val="000000">
                      <w14:alpha w14:val="100000"/>
                    </w14:srgbClr>
                  </w14:solidFill>
                </w14:textFill>
              </w:rPr>
              <w:t>||||||</w:t>
            </w:r>
          </w:p>
        </w:tc>
        <w:tc>
          <w:tcPr>
            <w:tcW w:w="542" w:type="pct"/>
            <w:hideMark/>
          </w:tcPr>
          <w:p w14:paraId="6A9117AD" w14:textId="76C98EFC" w:rsidR="00C81B46" w:rsidRPr="00751D1B" w:rsidRDefault="00B16F78" w:rsidP="00560650">
            <w:pPr>
              <w:pStyle w:val="Tablewriting"/>
              <w:rPr>
                <w:highlight w:val="red"/>
              </w:rPr>
            </w:pPr>
            <w:r w:rsidRPr="00BF3F75">
              <w:rPr>
                <w:rFonts w:eastAsiaTheme="minorEastAsia"/>
                <w:color w:val="000000"/>
                <w:spacing w:val="1"/>
                <w:w w:val="73"/>
                <w:shd w:val="solid" w:color="000000" w:fill="000000"/>
                <w:fitText w:val="1480" w:id="-1402737919"/>
                <w14:textFill>
                  <w14:solidFill>
                    <w14:srgbClr w14:val="000000">
                      <w14:alpha w14:val="100000"/>
                    </w14:srgbClr>
                  </w14:solidFill>
                </w14:textFill>
              </w:rPr>
              <w:t>|||||||||||||||||||||</w:t>
            </w:r>
            <w:r w:rsidRPr="00BF3F75">
              <w:rPr>
                <w:rFonts w:eastAsiaTheme="minorEastAsia"/>
                <w:color w:val="000000"/>
                <w:spacing w:val="7"/>
                <w:w w:val="73"/>
                <w:shd w:val="solid" w:color="000000" w:fill="000000"/>
                <w:fitText w:val="1480" w:id="-1402737919"/>
                <w14:textFill>
                  <w14:solidFill>
                    <w14:srgbClr w14:val="000000">
                      <w14:alpha w14:val="100000"/>
                    </w14:srgbClr>
                  </w14:solidFill>
                </w14:textFill>
              </w:rPr>
              <w:t>|</w:t>
            </w:r>
            <w:r>
              <w:rPr>
                <w:rFonts w:eastAsiaTheme="minorEastAsia"/>
                <w:highlight w:val="red"/>
                <w:shd w:val="clear" w:color="auto" w:fill="C0C0C1"/>
              </w:rPr>
              <w:t xml:space="preserve"> </w:t>
            </w:r>
            <w:r w:rsidRPr="00B16F78">
              <w:rPr>
                <w:rFonts w:eastAsiaTheme="minorEastAsia"/>
                <w:color w:val="000000"/>
                <w:w w:val="97"/>
                <w:highlight w:val="black"/>
                <w:shd w:val="solid" w:color="000000" w:fill="000000"/>
                <w:fitText w:val="540" w:id="-1402737918"/>
                <w14:textFill>
                  <w14:solidFill>
                    <w14:srgbClr w14:val="000000">
                      <w14:alpha w14:val="100000"/>
                    </w14:srgbClr>
                  </w14:solidFill>
                </w14:textFill>
              </w:rPr>
              <w:t>|||||</w:t>
            </w:r>
            <w:r w:rsidRPr="00B16F78">
              <w:rPr>
                <w:rFonts w:eastAsiaTheme="minorEastAsia"/>
                <w:color w:val="000000"/>
                <w:spacing w:val="4"/>
                <w:w w:val="97"/>
                <w:highlight w:val="black"/>
                <w:shd w:val="solid" w:color="000000" w:fill="000000"/>
                <w:fitText w:val="540" w:id="-1402737918"/>
                <w14:textFill>
                  <w14:solidFill>
                    <w14:srgbClr w14:val="000000">
                      <w14:alpha w14:val="100000"/>
                    </w14:srgbClr>
                  </w14:solidFill>
                </w14:textFill>
              </w:rPr>
              <w:t>|</w:t>
            </w:r>
            <w:r w:rsidRPr="00B16F78">
              <w:rPr>
                <w:rFonts w:eastAsiaTheme="minorEastAsia"/>
                <w:highlight w:val="black"/>
                <w:shd w:val="clear" w:color="auto" w:fill="C0C0C1"/>
              </w:rPr>
              <w:t xml:space="preserve"> </w:t>
            </w:r>
            <w:r w:rsidRPr="00B16F78">
              <w:rPr>
                <w:rFonts w:eastAsiaTheme="minorEastAsia"/>
                <w:color w:val="000000"/>
                <w:w w:val="78"/>
                <w:highlight w:val="black"/>
                <w:shd w:val="solid" w:color="000000" w:fill="000000"/>
                <w:fitText w:val="720" w:id="-1402737917"/>
                <w14:textFill>
                  <w14:solidFill>
                    <w14:srgbClr w14:val="000000">
                      <w14:alpha w14:val="100000"/>
                    </w14:srgbClr>
                  </w14:solidFill>
                </w14:textFill>
              </w:rPr>
              <w:t>||||||||||</w:t>
            </w:r>
          </w:p>
        </w:tc>
        <w:tc>
          <w:tcPr>
            <w:tcW w:w="489" w:type="pct"/>
            <w:hideMark/>
          </w:tcPr>
          <w:p w14:paraId="5B464AD2" w14:textId="77777777" w:rsidR="00C81B46" w:rsidRPr="00574107" w:rsidRDefault="00C81B46" w:rsidP="00560650">
            <w:pPr>
              <w:pStyle w:val="Tablewriting"/>
            </w:pPr>
            <w:r w:rsidRPr="00574107">
              <w:rPr>
                <w:rFonts w:eastAsiaTheme="minorEastAsia"/>
              </w:rPr>
              <w:t>Hartmann-Boyce (2018) (efficacy)</w:t>
            </w:r>
          </w:p>
          <w:p w14:paraId="32B1479C" w14:textId="77777777" w:rsidR="00C81B46" w:rsidRPr="00574107" w:rsidRDefault="00C81B46" w:rsidP="00560650">
            <w:pPr>
              <w:pStyle w:val="Tablewriting"/>
            </w:pPr>
            <w:r w:rsidRPr="00574107">
              <w:rPr>
                <w:rFonts w:eastAsiaTheme="minorEastAsia"/>
              </w:rPr>
              <w:t> </w:t>
            </w:r>
          </w:p>
        </w:tc>
        <w:tc>
          <w:tcPr>
            <w:tcW w:w="468" w:type="pct"/>
            <w:hideMark/>
          </w:tcPr>
          <w:p w14:paraId="56150609" w14:textId="77777777" w:rsidR="00C81B46" w:rsidRPr="00574107" w:rsidRDefault="00C81B46" w:rsidP="00560650">
            <w:pPr>
              <w:pStyle w:val="Tablewriting"/>
            </w:pPr>
            <w:r w:rsidRPr="00574107">
              <w:rPr>
                <w:rFonts w:eastAsiaTheme="minorEastAsia"/>
              </w:rPr>
              <w:t>51 trials (PBAC evidence included) </w:t>
            </w:r>
          </w:p>
        </w:tc>
        <w:tc>
          <w:tcPr>
            <w:tcW w:w="486" w:type="pct"/>
            <w:hideMark/>
          </w:tcPr>
          <w:p w14:paraId="7F95635A" w14:textId="37BB8F29" w:rsidR="00C81B46" w:rsidRPr="00574107" w:rsidRDefault="00C81B46" w:rsidP="00560650">
            <w:pPr>
              <w:pStyle w:val="Tablewriting"/>
            </w:pPr>
            <w:r w:rsidRPr="00574107">
              <w:rPr>
                <w:rFonts w:eastAsiaTheme="minorEastAsia"/>
              </w:rPr>
              <w:t>0</w:t>
            </w:r>
          </w:p>
        </w:tc>
      </w:tr>
      <w:tr w:rsidR="00C81B46" w:rsidRPr="00574107" w14:paraId="58202D61" w14:textId="77777777" w:rsidTr="00D0517F">
        <w:trPr>
          <w:trHeight w:val="70"/>
        </w:trPr>
        <w:tc>
          <w:tcPr>
            <w:tcW w:w="592" w:type="pct"/>
            <w:vMerge w:val="restart"/>
            <w:hideMark/>
          </w:tcPr>
          <w:p w14:paraId="36F3E094" w14:textId="77777777" w:rsidR="00C81B46" w:rsidRPr="00574107" w:rsidRDefault="00C81B46" w:rsidP="00560650">
            <w:pPr>
              <w:pStyle w:val="Tablewriting"/>
            </w:pPr>
            <w:r w:rsidRPr="00574107">
              <w:t>2010</w:t>
            </w:r>
          </w:p>
          <w:p w14:paraId="44FB673B" w14:textId="77777777" w:rsidR="00C81B46" w:rsidRPr="00574107" w:rsidRDefault="00C81B46" w:rsidP="00560650">
            <w:pPr>
              <w:pStyle w:val="Tablewriting"/>
            </w:pPr>
            <w:r w:rsidRPr="00574107">
              <w:t>(General population)</w:t>
            </w:r>
          </w:p>
        </w:tc>
        <w:tc>
          <w:tcPr>
            <w:tcW w:w="517" w:type="pct"/>
            <w:hideMark/>
          </w:tcPr>
          <w:p w14:paraId="7BB417A0" w14:textId="77777777" w:rsidR="00C81B46" w:rsidRPr="00574107" w:rsidRDefault="00C81B46" w:rsidP="00560650">
            <w:pPr>
              <w:pStyle w:val="Tablewriting"/>
            </w:pPr>
            <w:r w:rsidRPr="00574107">
              <w:rPr>
                <w:rFonts w:eastAsiaTheme="minorEastAsia"/>
              </w:rPr>
              <w:t>Varenicline</w:t>
            </w:r>
          </w:p>
        </w:tc>
        <w:tc>
          <w:tcPr>
            <w:tcW w:w="662" w:type="pct"/>
            <w:hideMark/>
          </w:tcPr>
          <w:p w14:paraId="46FB431F" w14:textId="77777777" w:rsidR="00C81B46" w:rsidRPr="00574107" w:rsidRDefault="00C81B46" w:rsidP="00560650">
            <w:pPr>
              <w:pStyle w:val="Tablewriting"/>
            </w:pPr>
            <w:r w:rsidRPr="00574107">
              <w:rPr>
                <w:rFonts w:eastAsiaTheme="minorEastAsia"/>
              </w:rPr>
              <w:t>Aubin (2008)</w:t>
            </w:r>
          </w:p>
        </w:tc>
        <w:tc>
          <w:tcPr>
            <w:tcW w:w="625" w:type="pct"/>
            <w:hideMark/>
          </w:tcPr>
          <w:p w14:paraId="304AC89D" w14:textId="77777777" w:rsidR="00C81B46" w:rsidRPr="00574107" w:rsidRDefault="00C81B46" w:rsidP="00560650">
            <w:pPr>
              <w:pStyle w:val="Tablewriting"/>
            </w:pPr>
            <w:r w:rsidRPr="00574107">
              <w:rPr>
                <w:rFonts w:eastAsiaTheme="minorEastAsia"/>
              </w:rPr>
              <w:t>Direct comparison/ RCT</w:t>
            </w:r>
          </w:p>
        </w:tc>
        <w:tc>
          <w:tcPr>
            <w:tcW w:w="620" w:type="pct"/>
            <w:hideMark/>
          </w:tcPr>
          <w:p w14:paraId="3FFF0C65" w14:textId="77777777" w:rsidR="00C81B46" w:rsidRPr="00574107" w:rsidRDefault="00C81B46" w:rsidP="00560650">
            <w:pPr>
              <w:pStyle w:val="Tablewriting"/>
            </w:pPr>
            <w:r w:rsidRPr="00574107">
              <w:rPr>
                <w:rFonts w:eastAsiaTheme="minorEastAsia"/>
              </w:rPr>
              <w:t>Uncertain (or inferior) efficacy, superior safety</w:t>
            </w:r>
          </w:p>
        </w:tc>
        <w:tc>
          <w:tcPr>
            <w:tcW w:w="542" w:type="pct"/>
            <w:hideMark/>
          </w:tcPr>
          <w:p w14:paraId="368B64F8" w14:textId="77777777" w:rsidR="00C81B46" w:rsidRPr="00574107" w:rsidRDefault="00C81B46" w:rsidP="00560650">
            <w:pPr>
              <w:pStyle w:val="Tablewriting"/>
            </w:pPr>
            <w:r w:rsidRPr="00574107">
              <w:rPr>
                <w:rFonts w:eastAsiaTheme="minorEastAsia"/>
              </w:rPr>
              <w:t>Lower cost (cost analysis)</w:t>
            </w:r>
          </w:p>
        </w:tc>
        <w:tc>
          <w:tcPr>
            <w:tcW w:w="489" w:type="pct"/>
            <w:hideMark/>
          </w:tcPr>
          <w:p w14:paraId="1CAD559D" w14:textId="77777777" w:rsidR="00C81B46" w:rsidRPr="00574107" w:rsidRDefault="00C81B46" w:rsidP="00560650">
            <w:pPr>
              <w:pStyle w:val="Tablewriting"/>
            </w:pPr>
            <w:r w:rsidRPr="00574107">
              <w:rPr>
                <w:rFonts w:eastAsiaTheme="minorEastAsia"/>
              </w:rPr>
              <w:t>Cahill (2016) (efficacy)</w:t>
            </w:r>
          </w:p>
        </w:tc>
        <w:tc>
          <w:tcPr>
            <w:tcW w:w="468" w:type="pct"/>
            <w:hideMark/>
          </w:tcPr>
          <w:p w14:paraId="40BA2181" w14:textId="77777777" w:rsidR="00C81B46" w:rsidRPr="00574107" w:rsidRDefault="00C81B46" w:rsidP="00560650">
            <w:pPr>
              <w:pStyle w:val="Tablewriting"/>
            </w:pPr>
            <w:r w:rsidRPr="00574107">
              <w:rPr>
                <w:rFonts w:eastAsiaTheme="minorEastAsia"/>
              </w:rPr>
              <w:t xml:space="preserve">8 trials </w:t>
            </w:r>
          </w:p>
          <w:p w14:paraId="3FA437EA" w14:textId="77777777" w:rsidR="00C81B46" w:rsidRPr="00574107" w:rsidRDefault="00C81B46" w:rsidP="00560650">
            <w:pPr>
              <w:pStyle w:val="Tablewriting"/>
            </w:pPr>
            <w:r w:rsidRPr="00574107">
              <w:rPr>
                <w:rFonts w:eastAsiaTheme="minorEastAsia"/>
              </w:rPr>
              <w:t>(PBAC evidence included) </w:t>
            </w:r>
          </w:p>
        </w:tc>
        <w:tc>
          <w:tcPr>
            <w:tcW w:w="486" w:type="pct"/>
            <w:hideMark/>
          </w:tcPr>
          <w:p w14:paraId="1A01F4FC" w14:textId="0458E560" w:rsidR="00C81B46" w:rsidRPr="00213443" w:rsidRDefault="00803FCE" w:rsidP="00560650">
            <w:pPr>
              <w:pStyle w:val="Tablewriting"/>
              <w:rPr>
                <w:rFonts w:eastAsiaTheme="minorEastAsia"/>
              </w:rPr>
            </w:pPr>
            <w:r w:rsidRPr="00213443">
              <w:rPr>
                <w:rFonts w:eastAsiaTheme="minorEastAsia"/>
              </w:rPr>
              <w:t>4</w:t>
            </w:r>
          </w:p>
        </w:tc>
      </w:tr>
      <w:tr w:rsidR="00C81B46" w:rsidRPr="00574107" w14:paraId="0BE81892" w14:textId="77777777" w:rsidTr="00D0517F">
        <w:trPr>
          <w:trHeight w:val="70"/>
        </w:trPr>
        <w:tc>
          <w:tcPr>
            <w:tcW w:w="592" w:type="pct"/>
            <w:vMerge/>
            <w:hideMark/>
          </w:tcPr>
          <w:p w14:paraId="6579C72A" w14:textId="77777777" w:rsidR="00C81B46" w:rsidRPr="00574107" w:rsidRDefault="00C81B46" w:rsidP="00560650">
            <w:pPr>
              <w:pStyle w:val="Tablewriting"/>
            </w:pPr>
          </w:p>
        </w:tc>
        <w:tc>
          <w:tcPr>
            <w:tcW w:w="517" w:type="pct"/>
            <w:hideMark/>
          </w:tcPr>
          <w:p w14:paraId="0BDA89CD" w14:textId="77777777" w:rsidR="00C81B46" w:rsidRPr="00574107" w:rsidRDefault="00C81B46" w:rsidP="00560650">
            <w:pPr>
              <w:pStyle w:val="Tablewriting"/>
            </w:pPr>
            <w:r w:rsidRPr="00574107">
              <w:rPr>
                <w:rFonts w:eastAsiaTheme="minorEastAsia"/>
              </w:rPr>
              <w:t>Bupropion</w:t>
            </w:r>
          </w:p>
        </w:tc>
        <w:tc>
          <w:tcPr>
            <w:tcW w:w="662" w:type="pct"/>
            <w:hideMark/>
          </w:tcPr>
          <w:p w14:paraId="59E53465" w14:textId="77777777" w:rsidR="00C81B46" w:rsidRPr="00574107" w:rsidRDefault="00C81B46" w:rsidP="00560650">
            <w:pPr>
              <w:pStyle w:val="Tablewriting"/>
            </w:pPr>
            <w:r w:rsidRPr="00574107">
              <w:rPr>
                <w:rFonts w:eastAsiaTheme="minorEastAsia"/>
              </w:rPr>
              <w:t>Gore</w:t>
            </w:r>
            <w:r>
              <w:rPr>
                <w:rFonts w:eastAsiaTheme="minorEastAsia"/>
              </w:rPr>
              <w:t>c</w:t>
            </w:r>
            <w:r w:rsidRPr="00574107">
              <w:rPr>
                <w:rFonts w:eastAsiaTheme="minorEastAsia"/>
              </w:rPr>
              <w:t>ka (2003), Jorenby (1999), Uyar (2007)</w:t>
            </w:r>
            <w:r>
              <w:rPr>
                <w:rFonts w:eastAsiaTheme="minorEastAsia"/>
              </w:rPr>
              <w:t>, Piper (2009)</w:t>
            </w:r>
            <w:r w:rsidRPr="00574107">
              <w:rPr>
                <w:rFonts w:eastAsiaTheme="minorEastAsia"/>
              </w:rPr>
              <w:t xml:space="preserve"> </w:t>
            </w:r>
          </w:p>
        </w:tc>
        <w:tc>
          <w:tcPr>
            <w:tcW w:w="625" w:type="pct"/>
            <w:hideMark/>
          </w:tcPr>
          <w:p w14:paraId="4917E600" w14:textId="77777777" w:rsidR="00C81B46" w:rsidRPr="00574107" w:rsidRDefault="00C81B46" w:rsidP="00560650">
            <w:pPr>
              <w:pStyle w:val="Tablewriting"/>
            </w:pPr>
            <w:r w:rsidRPr="00574107">
              <w:rPr>
                <w:rFonts w:eastAsiaTheme="minorEastAsia"/>
              </w:rPr>
              <w:t>Direct comparison/ meta-analysis</w:t>
            </w:r>
          </w:p>
        </w:tc>
        <w:tc>
          <w:tcPr>
            <w:tcW w:w="620" w:type="pct"/>
            <w:hideMark/>
          </w:tcPr>
          <w:p w14:paraId="34DF69A3" w14:textId="77777777" w:rsidR="00C81B46" w:rsidRPr="00574107" w:rsidRDefault="00C81B46" w:rsidP="00560650">
            <w:pPr>
              <w:pStyle w:val="Tablewriting"/>
            </w:pPr>
            <w:r w:rsidRPr="00574107">
              <w:rPr>
                <w:rFonts w:eastAsiaTheme="minorEastAsia"/>
              </w:rPr>
              <w:t>Non-inferior efficacy, superior safety</w:t>
            </w:r>
          </w:p>
        </w:tc>
        <w:tc>
          <w:tcPr>
            <w:tcW w:w="542" w:type="pct"/>
            <w:hideMark/>
          </w:tcPr>
          <w:p w14:paraId="79E471AC" w14:textId="77777777" w:rsidR="00C81B46" w:rsidRPr="00574107" w:rsidRDefault="00C81B46" w:rsidP="00560650">
            <w:pPr>
              <w:pStyle w:val="Tablewriting"/>
            </w:pPr>
            <w:r w:rsidRPr="00574107">
              <w:rPr>
                <w:rFonts w:eastAsiaTheme="minorEastAsia"/>
              </w:rPr>
              <w:t>Lower cost (cost analysis)</w:t>
            </w:r>
          </w:p>
        </w:tc>
        <w:tc>
          <w:tcPr>
            <w:tcW w:w="489" w:type="pct"/>
            <w:hideMark/>
          </w:tcPr>
          <w:p w14:paraId="4BE9BD0F" w14:textId="77777777" w:rsidR="00C81B46" w:rsidRPr="00574107" w:rsidRDefault="00C81B46" w:rsidP="00560650">
            <w:pPr>
              <w:pStyle w:val="Tablewriting"/>
            </w:pPr>
            <w:r w:rsidRPr="00574107">
              <w:t>Howes (2020)</w:t>
            </w:r>
          </w:p>
          <w:p w14:paraId="6106BFBD" w14:textId="77777777" w:rsidR="00C81B46" w:rsidRPr="00574107" w:rsidRDefault="00C81B46" w:rsidP="00560650">
            <w:pPr>
              <w:pStyle w:val="Tablewriting"/>
            </w:pPr>
            <w:r w:rsidRPr="00574107">
              <w:t xml:space="preserve">(efficacy and safety) </w:t>
            </w:r>
          </w:p>
        </w:tc>
        <w:tc>
          <w:tcPr>
            <w:tcW w:w="468" w:type="pct"/>
            <w:hideMark/>
          </w:tcPr>
          <w:p w14:paraId="5AF6A6F3" w14:textId="77777777" w:rsidR="00C81B46" w:rsidRPr="00574107" w:rsidRDefault="00C81B46" w:rsidP="00560650">
            <w:pPr>
              <w:pStyle w:val="Tablewriting"/>
            </w:pPr>
            <w:r w:rsidRPr="00574107">
              <w:rPr>
                <w:rFonts w:eastAsiaTheme="minorEastAsia"/>
              </w:rPr>
              <w:t xml:space="preserve">8 trials </w:t>
            </w:r>
          </w:p>
          <w:p w14:paraId="436FAAB1" w14:textId="77777777" w:rsidR="00C81B46" w:rsidRPr="00574107" w:rsidRDefault="00C81B46" w:rsidP="00560650">
            <w:pPr>
              <w:pStyle w:val="Tablewriting"/>
            </w:pPr>
            <w:r w:rsidRPr="00574107">
              <w:rPr>
                <w:rFonts w:eastAsiaTheme="minorEastAsia"/>
              </w:rPr>
              <w:t>(PBAC evidence included) </w:t>
            </w:r>
          </w:p>
        </w:tc>
        <w:tc>
          <w:tcPr>
            <w:tcW w:w="486" w:type="pct"/>
            <w:hideMark/>
          </w:tcPr>
          <w:p w14:paraId="2DF43027" w14:textId="77777777" w:rsidR="00C81B46" w:rsidRPr="00574107" w:rsidRDefault="00C81B46" w:rsidP="00560650">
            <w:pPr>
              <w:pStyle w:val="Tablewriting"/>
            </w:pPr>
            <w:r w:rsidRPr="00574107">
              <w:rPr>
                <w:rFonts w:eastAsia="Calibri"/>
              </w:rPr>
              <w:t>0</w:t>
            </w:r>
          </w:p>
        </w:tc>
      </w:tr>
      <w:tr w:rsidR="00882611" w:rsidRPr="00574107" w14:paraId="15B7A061" w14:textId="77777777" w:rsidTr="00882611">
        <w:trPr>
          <w:trHeight w:val="70"/>
        </w:trPr>
        <w:tc>
          <w:tcPr>
            <w:tcW w:w="592" w:type="pct"/>
            <w:vMerge/>
            <w:hideMark/>
          </w:tcPr>
          <w:p w14:paraId="620348B1" w14:textId="77777777" w:rsidR="00C81B46" w:rsidRPr="00574107" w:rsidRDefault="00C81B46" w:rsidP="00560650">
            <w:pPr>
              <w:pStyle w:val="Tablewriting"/>
            </w:pPr>
          </w:p>
        </w:tc>
        <w:tc>
          <w:tcPr>
            <w:tcW w:w="517" w:type="pct"/>
            <w:hideMark/>
          </w:tcPr>
          <w:p w14:paraId="33089C39" w14:textId="77777777" w:rsidR="00C81B46" w:rsidRPr="00574107" w:rsidRDefault="00C81B46" w:rsidP="00560650">
            <w:pPr>
              <w:pStyle w:val="Tablewriting"/>
            </w:pPr>
            <w:r w:rsidRPr="00574107">
              <w:rPr>
                <w:rFonts w:eastAsiaTheme="minorEastAsia"/>
              </w:rPr>
              <w:t>Placebo</w:t>
            </w:r>
          </w:p>
        </w:tc>
        <w:tc>
          <w:tcPr>
            <w:tcW w:w="662" w:type="pct"/>
            <w:tcBorders>
              <w:bottom w:val="single" w:sz="4" w:space="0" w:color="auto"/>
            </w:tcBorders>
            <w:hideMark/>
          </w:tcPr>
          <w:p w14:paraId="6C5DFC17" w14:textId="77777777" w:rsidR="00C81B46" w:rsidRPr="00574107" w:rsidRDefault="00C81B46" w:rsidP="00560650">
            <w:pPr>
              <w:pStyle w:val="Tablewriting"/>
            </w:pPr>
            <w:r w:rsidRPr="00574107">
              <w:rPr>
                <w:rFonts w:eastAsiaTheme="minorEastAsia"/>
              </w:rPr>
              <w:t xml:space="preserve">Stead (2008) </w:t>
            </w:r>
          </w:p>
        </w:tc>
        <w:tc>
          <w:tcPr>
            <w:tcW w:w="625" w:type="pct"/>
            <w:hideMark/>
          </w:tcPr>
          <w:p w14:paraId="6C9CDFD6" w14:textId="77777777" w:rsidR="00C81B46" w:rsidRPr="00574107" w:rsidRDefault="00C81B46" w:rsidP="00560650">
            <w:pPr>
              <w:pStyle w:val="Tablewriting"/>
            </w:pPr>
            <w:r w:rsidRPr="00574107">
              <w:rPr>
                <w:rFonts w:eastAsiaTheme="minorEastAsia"/>
              </w:rPr>
              <w:t>Direct comparison/ meta-analysis</w:t>
            </w:r>
          </w:p>
        </w:tc>
        <w:tc>
          <w:tcPr>
            <w:tcW w:w="620" w:type="pct"/>
            <w:tcBorders>
              <w:bottom w:val="single" w:sz="4" w:space="0" w:color="auto"/>
            </w:tcBorders>
            <w:hideMark/>
          </w:tcPr>
          <w:p w14:paraId="5943FAB8" w14:textId="77777777" w:rsidR="00C81B46" w:rsidRPr="00574107" w:rsidRDefault="00C81B46" w:rsidP="00560650">
            <w:pPr>
              <w:pStyle w:val="Tablewriting"/>
            </w:pPr>
            <w:r w:rsidRPr="00574107">
              <w:rPr>
                <w:rFonts w:eastAsiaTheme="minorEastAsia"/>
              </w:rPr>
              <w:t xml:space="preserve">Supportive, </w:t>
            </w:r>
          </w:p>
          <w:p w14:paraId="1FF646ED" w14:textId="77777777" w:rsidR="00C81B46" w:rsidRPr="00574107" w:rsidRDefault="00C81B46" w:rsidP="00560650">
            <w:pPr>
              <w:pStyle w:val="Tablewriting"/>
            </w:pPr>
            <w:r w:rsidRPr="00574107">
              <w:rPr>
                <w:rFonts w:eastAsiaTheme="minorEastAsia"/>
              </w:rPr>
              <w:t>Superior efficacy,</w:t>
            </w:r>
          </w:p>
          <w:p w14:paraId="460BC305" w14:textId="77777777" w:rsidR="00C81B46" w:rsidRPr="00574107" w:rsidRDefault="00C81B46" w:rsidP="00560650">
            <w:pPr>
              <w:pStyle w:val="Tablewriting"/>
            </w:pPr>
            <w:r w:rsidRPr="00574107">
              <w:rPr>
                <w:rFonts w:eastAsiaTheme="minorEastAsia"/>
              </w:rPr>
              <w:t>Inferior safety</w:t>
            </w:r>
          </w:p>
        </w:tc>
        <w:tc>
          <w:tcPr>
            <w:tcW w:w="542" w:type="pct"/>
            <w:hideMark/>
          </w:tcPr>
          <w:p w14:paraId="4C457740" w14:textId="77777777" w:rsidR="00C81B46" w:rsidRPr="00574107" w:rsidRDefault="00C81B46" w:rsidP="00560650">
            <w:pPr>
              <w:pStyle w:val="Tablewriting"/>
            </w:pPr>
            <w:r w:rsidRPr="00574107">
              <w:rPr>
                <w:rFonts w:eastAsiaTheme="minorEastAsia"/>
              </w:rPr>
              <w:t>N/A</w:t>
            </w:r>
          </w:p>
        </w:tc>
        <w:tc>
          <w:tcPr>
            <w:tcW w:w="489" w:type="pct"/>
            <w:hideMark/>
          </w:tcPr>
          <w:p w14:paraId="1FFCA353" w14:textId="77777777" w:rsidR="00C81B46" w:rsidRPr="00574107" w:rsidRDefault="00C81B46" w:rsidP="00560650">
            <w:pPr>
              <w:pStyle w:val="Tablewriting"/>
            </w:pPr>
            <w:r w:rsidRPr="00574107">
              <w:t>Hartmann-Boyce (2018) (efficacy and safety)</w:t>
            </w:r>
          </w:p>
        </w:tc>
        <w:tc>
          <w:tcPr>
            <w:tcW w:w="468" w:type="pct"/>
            <w:hideMark/>
          </w:tcPr>
          <w:p w14:paraId="3A126F29" w14:textId="77777777" w:rsidR="00C81B46" w:rsidRPr="00574107" w:rsidRDefault="00C81B46" w:rsidP="00560650">
            <w:pPr>
              <w:pStyle w:val="Tablewriting"/>
            </w:pPr>
            <w:r w:rsidRPr="00574107">
              <w:t xml:space="preserve">51 trials </w:t>
            </w:r>
          </w:p>
          <w:p w14:paraId="703F40B9" w14:textId="77777777" w:rsidR="00C81B46" w:rsidRPr="00574107" w:rsidRDefault="00C81B46" w:rsidP="00560650">
            <w:pPr>
              <w:pStyle w:val="Tablewriting"/>
            </w:pPr>
            <w:r w:rsidRPr="00574107">
              <w:rPr>
                <w:rFonts w:eastAsiaTheme="minorEastAsia"/>
              </w:rPr>
              <w:t>(PBAC evidence included) </w:t>
            </w:r>
            <w:r w:rsidRPr="00574107">
              <w:t xml:space="preserve"> </w:t>
            </w:r>
          </w:p>
        </w:tc>
        <w:tc>
          <w:tcPr>
            <w:tcW w:w="486" w:type="pct"/>
            <w:hideMark/>
          </w:tcPr>
          <w:p w14:paraId="45A2E853" w14:textId="208BEFAD" w:rsidR="00C81B46" w:rsidRPr="00574107" w:rsidRDefault="0050195B" w:rsidP="00560650">
            <w:pPr>
              <w:pStyle w:val="Tablewriting"/>
            </w:pPr>
            <w:r w:rsidRPr="00213443">
              <w:rPr>
                <w:rFonts w:eastAsia="Calibri"/>
              </w:rPr>
              <w:t>3</w:t>
            </w:r>
          </w:p>
        </w:tc>
      </w:tr>
      <w:tr w:rsidR="00882611" w:rsidRPr="00574107" w14:paraId="3C77E668" w14:textId="77777777" w:rsidTr="00882611">
        <w:trPr>
          <w:trHeight w:val="205"/>
        </w:trPr>
        <w:tc>
          <w:tcPr>
            <w:tcW w:w="592" w:type="pct"/>
            <w:hideMark/>
          </w:tcPr>
          <w:p w14:paraId="4090761D" w14:textId="77777777" w:rsidR="00C81B46" w:rsidRPr="00574107" w:rsidRDefault="00C81B46" w:rsidP="00560650">
            <w:pPr>
              <w:pStyle w:val="Tablewriting"/>
            </w:pPr>
            <w:r w:rsidRPr="00574107">
              <w:t>2011</w:t>
            </w:r>
          </w:p>
          <w:p w14:paraId="01101E51" w14:textId="77777777" w:rsidR="00C81B46" w:rsidRPr="00574107" w:rsidRDefault="00C81B46" w:rsidP="00560650">
            <w:pPr>
              <w:pStyle w:val="Tablewriting"/>
            </w:pPr>
            <w:r w:rsidRPr="00574107">
              <w:t>(Higher strength)</w:t>
            </w:r>
          </w:p>
        </w:tc>
        <w:tc>
          <w:tcPr>
            <w:tcW w:w="517" w:type="pct"/>
            <w:hideMark/>
          </w:tcPr>
          <w:p w14:paraId="6267AC7E" w14:textId="77777777" w:rsidR="00C81B46" w:rsidRPr="00574107" w:rsidRDefault="00C81B46" w:rsidP="00560650">
            <w:pPr>
              <w:pStyle w:val="Tablewriting"/>
            </w:pPr>
            <w:r w:rsidRPr="00574107">
              <w:t>Placebo</w:t>
            </w:r>
          </w:p>
        </w:tc>
        <w:tc>
          <w:tcPr>
            <w:tcW w:w="662" w:type="pct"/>
            <w:shd w:val="solid" w:color="000000" w:fill="000000"/>
            <w:hideMark/>
          </w:tcPr>
          <w:p w14:paraId="3E5137EA" w14:textId="7DE785B9" w:rsidR="00C81B46" w:rsidRPr="00882611" w:rsidRDefault="00882611" w:rsidP="00560650">
            <w:pPr>
              <w:pStyle w:val="Tablewriting"/>
            </w:pPr>
            <w:r w:rsidRPr="00BF3F75">
              <w:rPr>
                <w:color w:val="000000"/>
                <w:spacing w:val="1"/>
                <w:w w:val="68"/>
                <w:highlight w:val="black"/>
                <w:shd w:val="clear" w:color="auto" w:fill="C0C0C1"/>
                <w:fitText w:val="1270" w:id="-1402737664"/>
                <w14:textFill>
                  <w14:solidFill>
                    <w14:srgbClr w14:val="000000">
                      <w14:alpha w14:val="100000"/>
                    </w14:srgbClr>
                  </w14:solidFill>
                </w14:textFill>
              </w:rPr>
              <w:t>|||||||||||||||||||</w:t>
            </w:r>
            <w:r w:rsidRPr="00BF3F75">
              <w:rPr>
                <w:color w:val="000000"/>
                <w:spacing w:val="11"/>
                <w:w w:val="68"/>
                <w:highlight w:val="black"/>
                <w:shd w:val="clear" w:color="auto" w:fill="C0C0C1"/>
                <w:fitText w:val="1270" w:id="-1402737664"/>
                <w14:textFill>
                  <w14:solidFill>
                    <w14:srgbClr w14:val="000000">
                      <w14:alpha w14:val="100000"/>
                    </w14:srgbClr>
                  </w14:solidFill>
                </w14:textFill>
              </w:rPr>
              <w:t>|</w:t>
            </w:r>
          </w:p>
        </w:tc>
        <w:tc>
          <w:tcPr>
            <w:tcW w:w="625" w:type="pct"/>
            <w:hideMark/>
          </w:tcPr>
          <w:p w14:paraId="4D9DC817" w14:textId="0CB7771D" w:rsidR="00882611" w:rsidRDefault="00882611" w:rsidP="00560650">
            <w:pPr>
              <w:pStyle w:val="Tablewriting"/>
              <w:rPr>
                <w:highlight w:val="red"/>
                <w:shd w:val="clear" w:color="auto" w:fill="C0C0C1"/>
              </w:rPr>
            </w:pPr>
            <w:r w:rsidRPr="00882611">
              <w:rPr>
                <w:color w:val="000000"/>
                <w:highlight w:val="black"/>
                <w:shd w:val="solid" w:color="000000" w:fill="000000"/>
                <w:fitText w:val="370" w:id="-1402737663"/>
                <w14:textFill>
                  <w14:solidFill>
                    <w14:srgbClr w14:val="000000">
                      <w14:alpha w14:val="100000"/>
                    </w14:srgbClr>
                  </w14:solidFill>
                </w14:textFill>
              </w:rPr>
              <w:t>||||</w:t>
            </w:r>
            <w:r w:rsidRPr="00882611">
              <w:rPr>
                <w:highlight w:val="black"/>
                <w:shd w:val="clear" w:color="auto" w:fill="C0C0C1"/>
              </w:rPr>
              <w:t xml:space="preserve"> </w:t>
            </w:r>
            <w:r w:rsidRPr="00BF3F75">
              <w:rPr>
                <w:color w:val="000000"/>
                <w:spacing w:val="2"/>
                <w:w w:val="73"/>
                <w:highlight w:val="black"/>
                <w:shd w:val="solid" w:color="000000" w:fill="000000"/>
                <w:fitText w:val="950" w:id="-1402737662"/>
                <w14:textFill>
                  <w14:solidFill>
                    <w14:srgbClr w14:val="000000">
                      <w14:alpha w14:val="100000"/>
                    </w14:srgbClr>
                  </w14:solidFill>
                </w14:textFill>
              </w:rPr>
              <w:t>||||</w:t>
            </w:r>
            <w:r w:rsidRPr="00BF3F75">
              <w:rPr>
                <w:color w:val="000000"/>
                <w:spacing w:val="2"/>
                <w:w w:val="73"/>
                <w:shd w:val="solid" w:color="000000" w:fill="000000"/>
                <w:fitText w:val="950" w:id="-1402737662"/>
                <w14:textFill>
                  <w14:solidFill>
                    <w14:srgbClr w14:val="000000">
                      <w14:alpha w14:val="100000"/>
                    </w14:srgbClr>
                  </w14:solidFill>
                </w14:textFill>
              </w:rPr>
              <w:t>|||||||||</w:t>
            </w:r>
            <w:r w:rsidRPr="00BF3F75">
              <w:rPr>
                <w:color w:val="000000"/>
                <w:w w:val="73"/>
                <w:shd w:val="solid" w:color="000000" w:fill="000000"/>
                <w:fitText w:val="950" w:id="-1402737662"/>
                <w14:textFill>
                  <w14:solidFill>
                    <w14:srgbClr w14:val="000000">
                      <w14:alpha w14:val="100000"/>
                    </w14:srgbClr>
                  </w14:solidFill>
                </w14:textFill>
              </w:rPr>
              <w:t>|</w:t>
            </w:r>
          </w:p>
          <w:p w14:paraId="039C93EC" w14:textId="09E579F2" w:rsidR="00C81B46" w:rsidRPr="00882611" w:rsidRDefault="00882611" w:rsidP="00560650">
            <w:pPr>
              <w:pStyle w:val="Tablewriting"/>
            </w:pPr>
            <w:r w:rsidRPr="00882611">
              <w:rPr>
                <w:color w:val="000000"/>
                <w:spacing w:val="15"/>
                <w:shd w:val="solid" w:color="000000" w:fill="000000"/>
                <w:fitText w:val="200" w:id="-1402737661"/>
                <w14:textFill>
                  <w14:solidFill>
                    <w14:srgbClr w14:val="000000">
                      <w14:alpha w14:val="100000"/>
                    </w14:srgbClr>
                  </w14:solidFill>
                </w14:textFill>
              </w:rPr>
              <w:t>|</w:t>
            </w:r>
            <w:r w:rsidRPr="00882611">
              <w:rPr>
                <w:color w:val="000000"/>
                <w:spacing w:val="1"/>
                <w:shd w:val="solid" w:color="000000" w:fill="000000"/>
                <w:fitText w:val="200" w:id="-1402737661"/>
                <w14:textFill>
                  <w14:solidFill>
                    <w14:srgbClr w14:val="000000">
                      <w14:alpha w14:val="100000"/>
                    </w14:srgbClr>
                  </w14:solidFill>
                </w14:textFill>
              </w:rPr>
              <w:t>|</w:t>
            </w:r>
          </w:p>
        </w:tc>
        <w:tc>
          <w:tcPr>
            <w:tcW w:w="620" w:type="pct"/>
            <w:shd w:val="solid" w:color="000000" w:fill="000000"/>
            <w:hideMark/>
          </w:tcPr>
          <w:p w14:paraId="28E383C0" w14:textId="1A8DC3DE" w:rsidR="00C81B46" w:rsidRPr="00882611" w:rsidRDefault="00882611" w:rsidP="00560650">
            <w:pPr>
              <w:pStyle w:val="Tablewriting"/>
            </w:pPr>
            <w:r w:rsidRPr="00882611">
              <w:rPr>
                <w:color w:val="000000"/>
                <w:w w:val="78"/>
                <w:highlight w:val="black"/>
                <w:shd w:val="clear" w:color="auto" w:fill="C0C0C1"/>
                <w:fitText w:val="580" w:id="-1402737408"/>
                <w14:textFill>
                  <w14:solidFill>
                    <w14:srgbClr w14:val="000000">
                      <w14:alpha w14:val="100000"/>
                    </w14:srgbClr>
                  </w14:solidFill>
                </w14:textFill>
              </w:rPr>
              <w:t>||||||||</w:t>
            </w:r>
          </w:p>
        </w:tc>
        <w:tc>
          <w:tcPr>
            <w:tcW w:w="542" w:type="pct"/>
            <w:hideMark/>
          </w:tcPr>
          <w:p w14:paraId="3B422D60" w14:textId="71C4A430" w:rsidR="00C81B46" w:rsidRPr="00882611" w:rsidRDefault="00882611" w:rsidP="00560650">
            <w:pPr>
              <w:pStyle w:val="Tablewriting"/>
            </w:pPr>
            <w:r w:rsidRPr="00882611">
              <w:rPr>
                <w:highlight w:val="black"/>
                <w:shd w:val="clear" w:color="auto" w:fill="C0C0C1"/>
              </w:rPr>
              <w:t> </w:t>
            </w:r>
            <w:r w:rsidRPr="00882611">
              <w:rPr>
                <w:color w:val="000000"/>
                <w:spacing w:val="15"/>
                <w:highlight w:val="black"/>
                <w:shd w:val="solid" w:color="000000" w:fill="000000"/>
                <w:fitText w:val="200" w:id="-1402737407"/>
                <w14:textFill>
                  <w14:solidFill>
                    <w14:srgbClr w14:val="000000">
                      <w14:alpha w14:val="100000"/>
                    </w14:srgbClr>
                  </w14:solidFill>
                </w14:textFill>
              </w:rPr>
              <w:t>|</w:t>
            </w:r>
            <w:r w:rsidRPr="00882611">
              <w:rPr>
                <w:color w:val="000000"/>
                <w:highlight w:val="black"/>
                <w:shd w:val="solid" w:color="000000" w:fill="000000"/>
                <w:fitText w:val="200" w:id="-1402737407"/>
                <w14:textFill>
                  <w14:solidFill>
                    <w14:srgbClr w14:val="000000">
                      <w14:alpha w14:val="100000"/>
                    </w14:srgbClr>
                  </w14:solidFill>
                </w14:textFill>
              </w:rPr>
              <w:t>|</w:t>
            </w:r>
          </w:p>
        </w:tc>
        <w:tc>
          <w:tcPr>
            <w:tcW w:w="489" w:type="pct"/>
            <w:hideMark/>
          </w:tcPr>
          <w:p w14:paraId="74D3806E" w14:textId="77777777" w:rsidR="00C81B46" w:rsidRPr="00574107" w:rsidRDefault="00C81B46" w:rsidP="00560650">
            <w:pPr>
              <w:pStyle w:val="Tablewriting"/>
            </w:pPr>
            <w:r w:rsidRPr="00574107">
              <w:t>Hartmann-Boyce (2018) (efficacy and safety)</w:t>
            </w:r>
          </w:p>
        </w:tc>
        <w:tc>
          <w:tcPr>
            <w:tcW w:w="468" w:type="pct"/>
            <w:hideMark/>
          </w:tcPr>
          <w:p w14:paraId="70F303E1" w14:textId="77777777" w:rsidR="00C81B46" w:rsidRPr="00574107" w:rsidRDefault="00C81B46" w:rsidP="00560650">
            <w:pPr>
              <w:pStyle w:val="Tablewriting"/>
            </w:pPr>
            <w:r w:rsidRPr="00574107">
              <w:t>51 trials (PBAC evidence included) </w:t>
            </w:r>
          </w:p>
        </w:tc>
        <w:tc>
          <w:tcPr>
            <w:tcW w:w="486" w:type="pct"/>
            <w:hideMark/>
          </w:tcPr>
          <w:p w14:paraId="35E8BBC3" w14:textId="77777777" w:rsidR="00C81B46" w:rsidRPr="00574107" w:rsidRDefault="00C81B46" w:rsidP="00560650">
            <w:pPr>
              <w:pStyle w:val="Tablewriting"/>
            </w:pPr>
            <w:r w:rsidRPr="00574107">
              <w:t>0</w:t>
            </w:r>
          </w:p>
        </w:tc>
      </w:tr>
      <w:tr w:rsidR="00C81B46" w:rsidRPr="00B11797" w14:paraId="43FEC44A" w14:textId="77777777" w:rsidTr="00D0517F">
        <w:trPr>
          <w:trHeight w:val="164"/>
        </w:trPr>
        <w:tc>
          <w:tcPr>
            <w:tcW w:w="5000" w:type="pct"/>
            <w:gridSpan w:val="9"/>
            <w:shd w:val="clear" w:color="auto" w:fill="D9D9D9" w:themeFill="background1" w:themeFillShade="D9"/>
          </w:tcPr>
          <w:p w14:paraId="5ECEF0F5" w14:textId="77777777" w:rsidR="00C81B46" w:rsidRPr="00574107" w:rsidRDefault="00C81B46" w:rsidP="00560650">
            <w:pPr>
              <w:pStyle w:val="Tablewriting"/>
              <w:rPr>
                <w:b/>
                <w:bCs/>
              </w:rPr>
            </w:pPr>
            <w:r w:rsidRPr="00574107">
              <w:rPr>
                <w:b/>
                <w:bCs/>
              </w:rPr>
              <w:t>NRT lozenge</w:t>
            </w:r>
          </w:p>
        </w:tc>
      </w:tr>
      <w:tr w:rsidR="00C81B46" w:rsidRPr="00574107" w14:paraId="070FBD41" w14:textId="77777777" w:rsidTr="00D0517F">
        <w:trPr>
          <w:trHeight w:val="547"/>
        </w:trPr>
        <w:tc>
          <w:tcPr>
            <w:tcW w:w="592" w:type="pct"/>
            <w:hideMark/>
          </w:tcPr>
          <w:p w14:paraId="1FBD2A32" w14:textId="0E2E9B47" w:rsidR="00C81B46" w:rsidRPr="00574107" w:rsidRDefault="00C81B46" w:rsidP="00560650">
            <w:pPr>
              <w:pStyle w:val="Tablewriting"/>
            </w:pPr>
            <w:r w:rsidRPr="00574107">
              <w:t>201</w:t>
            </w:r>
            <w:r w:rsidR="005A5D92">
              <w:t xml:space="preserve">8 </w:t>
            </w:r>
          </w:p>
          <w:p w14:paraId="37087570" w14:textId="77777777" w:rsidR="00C81B46" w:rsidRPr="00574107" w:rsidRDefault="00C81B46" w:rsidP="00560650">
            <w:pPr>
              <w:pStyle w:val="Tablewriting"/>
            </w:pPr>
            <w:r w:rsidRPr="00574107">
              <w:t>(New listing)</w:t>
            </w:r>
          </w:p>
        </w:tc>
        <w:tc>
          <w:tcPr>
            <w:tcW w:w="517" w:type="pct"/>
            <w:hideMark/>
          </w:tcPr>
          <w:p w14:paraId="5A8E2925" w14:textId="77777777" w:rsidR="00C81B46" w:rsidRPr="00574107" w:rsidRDefault="00C81B46" w:rsidP="00560650">
            <w:pPr>
              <w:pStyle w:val="Tablewriting"/>
            </w:pPr>
            <w:r w:rsidRPr="00574107">
              <w:t>NRT patches</w:t>
            </w:r>
          </w:p>
        </w:tc>
        <w:tc>
          <w:tcPr>
            <w:tcW w:w="662" w:type="pct"/>
            <w:hideMark/>
          </w:tcPr>
          <w:p w14:paraId="1ACD5A05" w14:textId="77777777" w:rsidR="00C81B46" w:rsidRPr="00574107" w:rsidRDefault="00C81B46" w:rsidP="00560650">
            <w:pPr>
              <w:pStyle w:val="Tablewriting"/>
            </w:pPr>
            <w:r w:rsidRPr="00574107">
              <w:t>Schnoll (2010), Piper (2009), Smith (2009)</w:t>
            </w:r>
          </w:p>
        </w:tc>
        <w:tc>
          <w:tcPr>
            <w:tcW w:w="625" w:type="pct"/>
            <w:hideMark/>
          </w:tcPr>
          <w:p w14:paraId="530322AB" w14:textId="77777777" w:rsidR="00C81B46" w:rsidRPr="00574107" w:rsidRDefault="00C81B46" w:rsidP="00560650">
            <w:pPr>
              <w:pStyle w:val="Tablewriting"/>
            </w:pPr>
            <w:r w:rsidRPr="00574107">
              <w:t>Direct comparison/Meta-analysis</w:t>
            </w:r>
          </w:p>
        </w:tc>
        <w:tc>
          <w:tcPr>
            <w:tcW w:w="620" w:type="pct"/>
            <w:hideMark/>
          </w:tcPr>
          <w:p w14:paraId="3A55E472" w14:textId="2E16F1B6" w:rsidR="00C81B46" w:rsidRPr="00574107" w:rsidRDefault="00C81B46" w:rsidP="00560650">
            <w:pPr>
              <w:pStyle w:val="Tablewriting"/>
            </w:pPr>
            <w:r w:rsidRPr="00574107">
              <w:t xml:space="preserve">Non inferior efficacy, </w:t>
            </w:r>
            <w:r w:rsidR="00114FF2" w:rsidRPr="00574107">
              <w:t>non-inferior</w:t>
            </w:r>
            <w:r w:rsidRPr="00574107">
              <w:t xml:space="preserve"> safety</w:t>
            </w:r>
          </w:p>
        </w:tc>
        <w:tc>
          <w:tcPr>
            <w:tcW w:w="542" w:type="pct"/>
            <w:hideMark/>
          </w:tcPr>
          <w:p w14:paraId="0C29B997" w14:textId="77777777" w:rsidR="00C81B46" w:rsidRPr="00574107" w:rsidRDefault="00C81B46" w:rsidP="00560650">
            <w:pPr>
              <w:pStyle w:val="Tablewriting"/>
            </w:pPr>
            <w:r w:rsidRPr="00574107">
              <w:t>Acceptable cost-minimisation analysis</w:t>
            </w:r>
          </w:p>
        </w:tc>
        <w:tc>
          <w:tcPr>
            <w:tcW w:w="489" w:type="pct"/>
            <w:hideMark/>
          </w:tcPr>
          <w:p w14:paraId="37C196F8" w14:textId="5C112483" w:rsidR="00C81B46" w:rsidRPr="00574107" w:rsidRDefault="00C81B46" w:rsidP="00560650">
            <w:pPr>
              <w:pStyle w:val="Tablewriting"/>
            </w:pPr>
            <w:r w:rsidRPr="00574107">
              <w:t>Lindson (</w:t>
            </w:r>
            <w:r w:rsidR="00115AEE" w:rsidRPr="00574107">
              <w:t>2019) (</w:t>
            </w:r>
            <w:r w:rsidRPr="00574107">
              <w:t>a) (efficacy and safety)</w:t>
            </w:r>
          </w:p>
        </w:tc>
        <w:tc>
          <w:tcPr>
            <w:tcW w:w="468" w:type="pct"/>
            <w:hideMark/>
          </w:tcPr>
          <w:p w14:paraId="18C97C04" w14:textId="77777777" w:rsidR="00C81B46" w:rsidRPr="00574107" w:rsidRDefault="00C81B46" w:rsidP="00560650">
            <w:pPr>
              <w:pStyle w:val="Tablewriting"/>
            </w:pPr>
            <w:r w:rsidRPr="00574107">
              <w:t xml:space="preserve">3 trials </w:t>
            </w:r>
          </w:p>
          <w:p w14:paraId="04A769B7" w14:textId="77777777" w:rsidR="00C81B46" w:rsidRPr="00574107" w:rsidRDefault="00C81B46" w:rsidP="00560650">
            <w:pPr>
              <w:pStyle w:val="Tablewriting"/>
            </w:pPr>
            <w:r w:rsidRPr="00574107">
              <w:rPr>
                <w:rFonts w:eastAsiaTheme="minorEastAsia"/>
              </w:rPr>
              <w:t>(PBAC evidence included)</w:t>
            </w:r>
          </w:p>
        </w:tc>
        <w:tc>
          <w:tcPr>
            <w:tcW w:w="486" w:type="pct"/>
            <w:hideMark/>
          </w:tcPr>
          <w:p w14:paraId="258F572A" w14:textId="37BC0C43" w:rsidR="00C81B46" w:rsidRPr="00574107" w:rsidRDefault="00C81B46" w:rsidP="00560650">
            <w:pPr>
              <w:pStyle w:val="Tablewriting"/>
            </w:pPr>
            <w:r w:rsidRPr="00574107">
              <w:t>0</w:t>
            </w:r>
          </w:p>
        </w:tc>
      </w:tr>
      <w:tr w:rsidR="00C81B46" w:rsidRPr="00B11797" w14:paraId="73381DA8" w14:textId="77777777" w:rsidTr="00D0517F">
        <w:trPr>
          <w:trHeight w:val="164"/>
        </w:trPr>
        <w:tc>
          <w:tcPr>
            <w:tcW w:w="5000" w:type="pct"/>
            <w:gridSpan w:val="9"/>
            <w:shd w:val="clear" w:color="auto" w:fill="D9D9D9" w:themeFill="background1" w:themeFillShade="D9"/>
          </w:tcPr>
          <w:p w14:paraId="01DC15AC" w14:textId="77777777" w:rsidR="00C81B46" w:rsidRPr="00574107" w:rsidRDefault="00C81B46" w:rsidP="00560650">
            <w:pPr>
              <w:pStyle w:val="Tablewriting"/>
              <w:rPr>
                <w:b/>
                <w:bCs/>
              </w:rPr>
            </w:pPr>
            <w:r w:rsidRPr="00574107">
              <w:rPr>
                <w:b/>
                <w:bCs/>
              </w:rPr>
              <w:t>NRT gum</w:t>
            </w:r>
          </w:p>
        </w:tc>
      </w:tr>
      <w:tr w:rsidR="00C81B46" w:rsidRPr="00574107" w14:paraId="60BF8C8A" w14:textId="77777777" w:rsidTr="00D0517F">
        <w:trPr>
          <w:trHeight w:val="416"/>
        </w:trPr>
        <w:tc>
          <w:tcPr>
            <w:tcW w:w="592" w:type="pct"/>
            <w:vMerge w:val="restart"/>
            <w:hideMark/>
          </w:tcPr>
          <w:p w14:paraId="4AD69C63" w14:textId="1B4E620C" w:rsidR="00C81B46" w:rsidRPr="00574107" w:rsidRDefault="00C81B46" w:rsidP="00560650">
            <w:pPr>
              <w:pStyle w:val="Tablewriting"/>
            </w:pPr>
            <w:r w:rsidRPr="00574107">
              <w:t>201</w:t>
            </w:r>
            <w:r w:rsidR="005A5D92">
              <w:t xml:space="preserve">8 </w:t>
            </w:r>
          </w:p>
          <w:p w14:paraId="263A512A" w14:textId="77777777" w:rsidR="00C81B46" w:rsidRPr="00574107" w:rsidRDefault="00C81B46" w:rsidP="00560650">
            <w:pPr>
              <w:pStyle w:val="Tablewriting"/>
            </w:pPr>
            <w:r w:rsidRPr="00574107">
              <w:t>(New listing)</w:t>
            </w:r>
          </w:p>
        </w:tc>
        <w:tc>
          <w:tcPr>
            <w:tcW w:w="517" w:type="pct"/>
            <w:hideMark/>
          </w:tcPr>
          <w:p w14:paraId="264891E0" w14:textId="77777777" w:rsidR="00C81B46" w:rsidRPr="00574107" w:rsidRDefault="00C81B46" w:rsidP="00560650">
            <w:pPr>
              <w:pStyle w:val="Tablewriting"/>
            </w:pPr>
            <w:r w:rsidRPr="00574107">
              <w:t xml:space="preserve">NRT Patch </w:t>
            </w:r>
          </w:p>
          <w:p w14:paraId="4910FB24" w14:textId="77777777" w:rsidR="00C81B46" w:rsidRPr="00574107" w:rsidRDefault="00C81B46" w:rsidP="00560650">
            <w:pPr>
              <w:pStyle w:val="Tablewriting"/>
            </w:pPr>
            <w:r w:rsidRPr="00574107">
              <w:t>(Placebo as common comparator)</w:t>
            </w:r>
          </w:p>
          <w:p w14:paraId="2B7F79D5" w14:textId="77777777" w:rsidR="00C81B46" w:rsidRPr="00574107" w:rsidRDefault="00C81B46" w:rsidP="00560650">
            <w:pPr>
              <w:pStyle w:val="Tablewriting"/>
            </w:pPr>
            <w:r w:rsidRPr="00574107">
              <w:t> </w:t>
            </w:r>
          </w:p>
        </w:tc>
        <w:tc>
          <w:tcPr>
            <w:tcW w:w="662" w:type="pct"/>
            <w:hideMark/>
          </w:tcPr>
          <w:p w14:paraId="5471AD7B" w14:textId="77777777" w:rsidR="00C81B46" w:rsidRPr="00574107" w:rsidRDefault="00C81B46" w:rsidP="00560650">
            <w:pPr>
              <w:pStyle w:val="Tablewriting"/>
            </w:pPr>
            <w:r w:rsidRPr="00574107">
              <w:t>Stead (2012), Moolchan, (2005)</w:t>
            </w:r>
          </w:p>
        </w:tc>
        <w:tc>
          <w:tcPr>
            <w:tcW w:w="625" w:type="pct"/>
            <w:hideMark/>
          </w:tcPr>
          <w:p w14:paraId="28191E01" w14:textId="77777777" w:rsidR="00C81B46" w:rsidRPr="00574107" w:rsidRDefault="00C81B46" w:rsidP="00560650">
            <w:pPr>
              <w:pStyle w:val="Tablewriting"/>
            </w:pPr>
            <w:r w:rsidRPr="00574107">
              <w:t>Indirect comparison/ Meta-analysis</w:t>
            </w:r>
          </w:p>
        </w:tc>
        <w:tc>
          <w:tcPr>
            <w:tcW w:w="620" w:type="pct"/>
            <w:hideMark/>
          </w:tcPr>
          <w:p w14:paraId="66A0C96E" w14:textId="6E444744" w:rsidR="00C81B46" w:rsidRPr="00574107" w:rsidRDefault="00C81B46" w:rsidP="00560650">
            <w:pPr>
              <w:pStyle w:val="Tablewriting"/>
            </w:pPr>
            <w:r w:rsidRPr="00574107">
              <w:t xml:space="preserve">Non inferior efficacy, </w:t>
            </w:r>
            <w:r w:rsidR="00114FF2" w:rsidRPr="00574107">
              <w:t>non-inferior</w:t>
            </w:r>
            <w:r w:rsidRPr="00574107">
              <w:t xml:space="preserve"> safety</w:t>
            </w:r>
          </w:p>
        </w:tc>
        <w:tc>
          <w:tcPr>
            <w:tcW w:w="542" w:type="pct"/>
            <w:hideMark/>
          </w:tcPr>
          <w:p w14:paraId="415C5C39" w14:textId="77777777" w:rsidR="00C81B46" w:rsidRPr="00574107" w:rsidRDefault="00C81B46" w:rsidP="00560650">
            <w:pPr>
              <w:pStyle w:val="Tablewriting"/>
            </w:pPr>
            <w:r w:rsidRPr="00574107">
              <w:t>Acceptable cost-minimisation analysis</w:t>
            </w:r>
          </w:p>
        </w:tc>
        <w:tc>
          <w:tcPr>
            <w:tcW w:w="489" w:type="pct"/>
            <w:hideMark/>
          </w:tcPr>
          <w:p w14:paraId="0F4AD9B1" w14:textId="3E3B992D" w:rsidR="00C81B46" w:rsidRPr="00574107" w:rsidRDefault="00C81B46" w:rsidP="00560650">
            <w:pPr>
              <w:pStyle w:val="Tablewriting"/>
            </w:pPr>
            <w:r w:rsidRPr="00574107">
              <w:t>Lindson (</w:t>
            </w:r>
            <w:r w:rsidR="00115AEE" w:rsidRPr="00574107">
              <w:t>2019) (</w:t>
            </w:r>
            <w:r w:rsidRPr="00574107">
              <w:t xml:space="preserve">a) (efficacy and safety) </w:t>
            </w:r>
          </w:p>
          <w:p w14:paraId="458E0CC1" w14:textId="77777777" w:rsidR="00C81B46" w:rsidRPr="00574107" w:rsidRDefault="00C81B46" w:rsidP="00560650">
            <w:pPr>
              <w:pStyle w:val="Tablewriting"/>
            </w:pPr>
            <w:r w:rsidRPr="00574107">
              <w:t> </w:t>
            </w:r>
          </w:p>
          <w:p w14:paraId="758C1D74" w14:textId="77777777" w:rsidR="00C81B46" w:rsidRPr="00574107" w:rsidRDefault="00C81B46" w:rsidP="00560650">
            <w:pPr>
              <w:pStyle w:val="Tablewriting"/>
            </w:pPr>
            <w:r w:rsidRPr="00574107">
              <w:t> </w:t>
            </w:r>
          </w:p>
        </w:tc>
        <w:tc>
          <w:tcPr>
            <w:tcW w:w="468" w:type="pct"/>
            <w:hideMark/>
          </w:tcPr>
          <w:p w14:paraId="1B52E713" w14:textId="77777777" w:rsidR="00C81B46" w:rsidRPr="00574107" w:rsidRDefault="00C81B46" w:rsidP="00560650">
            <w:pPr>
              <w:pStyle w:val="Tablewriting"/>
            </w:pPr>
            <w:r w:rsidRPr="00574107">
              <w:t>2 trials</w:t>
            </w:r>
          </w:p>
          <w:p w14:paraId="56778829" w14:textId="77777777" w:rsidR="00C81B46" w:rsidRPr="00574107" w:rsidRDefault="00C81B46" w:rsidP="00560650">
            <w:pPr>
              <w:pStyle w:val="Tablewriting"/>
            </w:pPr>
            <w:r w:rsidRPr="00574107">
              <w:t>(</w:t>
            </w:r>
            <w:r w:rsidRPr="00574107">
              <w:rPr>
                <w:rFonts w:eastAsiaTheme="minorEastAsia"/>
              </w:rPr>
              <w:t>PBAC evidence included)</w:t>
            </w:r>
          </w:p>
        </w:tc>
        <w:tc>
          <w:tcPr>
            <w:tcW w:w="486" w:type="pct"/>
            <w:hideMark/>
          </w:tcPr>
          <w:p w14:paraId="42AF78F1" w14:textId="77777777" w:rsidR="00C81B46" w:rsidRPr="00574107" w:rsidRDefault="00C81B46" w:rsidP="00560650">
            <w:pPr>
              <w:pStyle w:val="Tablewriting"/>
            </w:pPr>
            <w:r w:rsidRPr="00574107">
              <w:t>0</w:t>
            </w:r>
          </w:p>
        </w:tc>
      </w:tr>
      <w:tr w:rsidR="00C81B46" w:rsidRPr="00574107" w14:paraId="752874BE" w14:textId="77777777" w:rsidTr="00D0517F">
        <w:trPr>
          <w:trHeight w:val="70"/>
        </w:trPr>
        <w:tc>
          <w:tcPr>
            <w:tcW w:w="592" w:type="pct"/>
            <w:vMerge/>
            <w:hideMark/>
          </w:tcPr>
          <w:p w14:paraId="2F7F85EA" w14:textId="77777777" w:rsidR="00C81B46" w:rsidRPr="00574107" w:rsidRDefault="00C81B46" w:rsidP="00560650">
            <w:pPr>
              <w:pStyle w:val="Tablewriting"/>
            </w:pPr>
          </w:p>
        </w:tc>
        <w:tc>
          <w:tcPr>
            <w:tcW w:w="517" w:type="pct"/>
            <w:hideMark/>
          </w:tcPr>
          <w:p w14:paraId="4A413E8B" w14:textId="77777777" w:rsidR="00C81B46" w:rsidRPr="00574107" w:rsidRDefault="00C81B46" w:rsidP="00560650">
            <w:pPr>
              <w:pStyle w:val="Tablewriting"/>
            </w:pPr>
            <w:r w:rsidRPr="00574107">
              <w:t>NRT Patch</w:t>
            </w:r>
          </w:p>
          <w:p w14:paraId="440940D9" w14:textId="6226C0C5" w:rsidR="00C81B46" w:rsidRPr="00574107" w:rsidRDefault="00882611" w:rsidP="00560650">
            <w:pPr>
              <w:pStyle w:val="Tablewriting"/>
            </w:pPr>
            <w:r w:rsidRPr="00882611">
              <w:rPr>
                <w:color w:val="000000"/>
                <w:w w:val="71"/>
                <w:shd w:val="solid" w:color="000000" w:fill="000000"/>
                <w:fitText w:val="1050" w:id="-1402737152"/>
                <w14:textFill>
                  <w14:solidFill>
                    <w14:srgbClr w14:val="000000">
                      <w14:alpha w14:val="100000"/>
                    </w14:srgbClr>
                  </w14:solidFill>
                </w14:textFill>
              </w:rPr>
              <w:t>|||||||||||||||</w:t>
            </w:r>
            <w:r w:rsidRPr="00882611">
              <w:rPr>
                <w:color w:val="000000"/>
                <w:spacing w:val="4"/>
                <w:w w:val="71"/>
                <w:shd w:val="solid" w:color="000000" w:fill="000000"/>
                <w:fitText w:val="1050" w:id="-1402737152"/>
                <w14:textFill>
                  <w14:solidFill>
                    <w14:srgbClr w14:val="000000">
                      <w14:alpha w14:val="100000"/>
                    </w14:srgbClr>
                  </w14:solidFill>
                </w14:textFill>
              </w:rPr>
              <w:t>|</w:t>
            </w:r>
            <w:r>
              <w:rPr>
                <w:highlight w:val="lightGray"/>
                <w:shd w:val="clear" w:color="auto" w:fill="C0C0C1"/>
              </w:rPr>
              <w:t xml:space="preserve"> </w:t>
            </w:r>
            <w:r w:rsidRPr="00882611">
              <w:rPr>
                <w:color w:val="000000"/>
                <w:w w:val="76"/>
                <w:shd w:val="solid" w:color="000000" w:fill="000000"/>
                <w:fitText w:val="840" w:id="-1402737151"/>
                <w14:textFill>
                  <w14:solidFill>
                    <w14:srgbClr w14:val="000000">
                      <w14:alpha w14:val="100000"/>
                    </w14:srgbClr>
                  </w14:solidFill>
                </w14:textFill>
              </w:rPr>
              <w:t>||||||||||||</w:t>
            </w:r>
            <w:r>
              <w:rPr>
                <w:highlight w:val="lightGray"/>
                <w:shd w:val="clear" w:color="auto" w:fill="C0C0C1"/>
              </w:rPr>
              <w:t xml:space="preserve"> </w:t>
            </w:r>
            <w:r w:rsidRPr="00BF3F75">
              <w:rPr>
                <w:color w:val="000000"/>
                <w:spacing w:val="2"/>
                <w:w w:val="72"/>
                <w:shd w:val="solid" w:color="000000" w:fill="000000"/>
                <w:fitText w:val="940" w:id="-1402737150"/>
                <w14:textFill>
                  <w14:solidFill>
                    <w14:srgbClr w14:val="000000">
                      <w14:alpha w14:val="100000"/>
                    </w14:srgbClr>
                  </w14:solidFill>
                </w14:textFill>
              </w:rPr>
              <w:t>|||||||||||||</w:t>
            </w:r>
            <w:r w:rsidRPr="00BF3F75">
              <w:rPr>
                <w:color w:val="000000"/>
                <w:spacing w:val="4"/>
                <w:w w:val="72"/>
                <w:shd w:val="solid" w:color="000000" w:fill="000000"/>
                <w:fitText w:val="940" w:id="-1402737150"/>
                <w14:textFill>
                  <w14:solidFill>
                    <w14:srgbClr w14:val="000000">
                      <w14:alpha w14:val="100000"/>
                    </w14:srgbClr>
                  </w14:solidFill>
                </w14:textFill>
              </w:rPr>
              <w:t>|</w:t>
            </w:r>
          </w:p>
        </w:tc>
        <w:tc>
          <w:tcPr>
            <w:tcW w:w="662" w:type="pct"/>
            <w:hideMark/>
          </w:tcPr>
          <w:p w14:paraId="3209A351" w14:textId="18BE2D4D" w:rsidR="00C81B46" w:rsidRPr="00574107" w:rsidRDefault="00882611" w:rsidP="00560650">
            <w:pPr>
              <w:pStyle w:val="Tablewriting"/>
            </w:pPr>
            <w:r w:rsidRPr="00BF3F75">
              <w:rPr>
                <w:color w:val="000000"/>
                <w:spacing w:val="1"/>
                <w:w w:val="72"/>
                <w:shd w:val="solid" w:color="000000" w:fill="000000"/>
                <w:fitText w:val="1200" w:id="-1402736896"/>
                <w14:textFill>
                  <w14:solidFill>
                    <w14:srgbClr w14:val="000000">
                      <w14:alpha w14:val="100000"/>
                    </w14:srgbClr>
                  </w14:solidFill>
                </w14:textFill>
              </w:rPr>
              <w:t>|||||||||||||||||</w:t>
            </w:r>
            <w:r w:rsidRPr="00BF3F75">
              <w:rPr>
                <w:color w:val="000000"/>
                <w:spacing w:val="13"/>
                <w:w w:val="72"/>
                <w:shd w:val="solid" w:color="000000" w:fill="000000"/>
                <w:fitText w:val="1200" w:id="-1402736896"/>
                <w14:textFill>
                  <w14:solidFill>
                    <w14:srgbClr w14:val="000000">
                      <w14:alpha w14:val="100000"/>
                    </w14:srgbClr>
                  </w14:solidFill>
                </w14:textFill>
              </w:rPr>
              <w:t>|</w:t>
            </w:r>
            <w:r>
              <w:rPr>
                <w:highlight w:val="lightGray"/>
                <w:shd w:val="clear" w:color="auto" w:fill="C0C0C1"/>
              </w:rPr>
              <w:t xml:space="preserve"> </w:t>
            </w:r>
            <w:r w:rsidR="00C81B46" w:rsidRPr="00574107">
              <w:t>Piper (2009)</w:t>
            </w:r>
          </w:p>
        </w:tc>
        <w:tc>
          <w:tcPr>
            <w:tcW w:w="625" w:type="pct"/>
            <w:hideMark/>
          </w:tcPr>
          <w:p w14:paraId="36CB3624" w14:textId="77685B12" w:rsidR="00C81B46" w:rsidRPr="00574107" w:rsidRDefault="00882611" w:rsidP="00560650">
            <w:pPr>
              <w:pStyle w:val="Tablewriting"/>
            </w:pPr>
            <w:r w:rsidRPr="00882611">
              <w:rPr>
                <w:color w:val="000000"/>
                <w:w w:val="78"/>
                <w:shd w:val="solid" w:color="000000" w:fill="000000"/>
                <w:fitText w:val="580" w:id="-1402736895"/>
                <w14:textFill>
                  <w14:solidFill>
                    <w14:srgbClr w14:val="000000">
                      <w14:alpha w14:val="100000"/>
                    </w14:srgbClr>
                  </w14:solidFill>
                </w14:textFill>
              </w:rPr>
              <w:t>|||||||</w:t>
            </w:r>
            <w:r w:rsidRPr="00882611">
              <w:rPr>
                <w:color w:val="000000"/>
                <w:spacing w:val="5"/>
                <w:w w:val="78"/>
                <w:shd w:val="solid" w:color="000000" w:fill="000000"/>
                <w:fitText w:val="580" w:id="-1402736895"/>
                <w14:textFill>
                  <w14:solidFill>
                    <w14:srgbClr w14:val="000000">
                      <w14:alpha w14:val="100000"/>
                    </w14:srgbClr>
                  </w14:solidFill>
                </w14:textFill>
              </w:rPr>
              <w:t>|</w:t>
            </w:r>
            <w:r>
              <w:rPr>
                <w:highlight w:val="lightGray"/>
                <w:shd w:val="clear" w:color="auto" w:fill="C0C0C1"/>
              </w:rPr>
              <w:t xml:space="preserve"> </w:t>
            </w:r>
            <w:r w:rsidRPr="00BF3F75">
              <w:rPr>
                <w:color w:val="000000"/>
                <w:spacing w:val="2"/>
                <w:w w:val="73"/>
                <w:shd w:val="solid" w:color="000000" w:fill="000000"/>
                <w:fitText w:val="950" w:id="-1402736894"/>
                <w14:textFill>
                  <w14:solidFill>
                    <w14:srgbClr w14:val="000000">
                      <w14:alpha w14:val="100000"/>
                    </w14:srgbClr>
                  </w14:solidFill>
                </w14:textFill>
              </w:rPr>
              <w:t>|||||||||||||</w:t>
            </w:r>
            <w:r w:rsidRPr="00BF3F75">
              <w:rPr>
                <w:color w:val="000000"/>
                <w:w w:val="73"/>
                <w:shd w:val="solid" w:color="000000" w:fill="000000"/>
                <w:fitText w:val="950" w:id="-1402736894"/>
                <w14:textFill>
                  <w14:solidFill>
                    <w14:srgbClr w14:val="000000">
                      <w14:alpha w14:val="100000"/>
                    </w14:srgbClr>
                  </w14:solidFill>
                </w14:textFill>
              </w:rPr>
              <w:t>|</w:t>
            </w:r>
            <w:r w:rsidR="00C81B46" w:rsidRPr="00574107">
              <w:t xml:space="preserve">RCT </w:t>
            </w:r>
            <w:r w:rsidRPr="00882611">
              <w:rPr>
                <w:color w:val="000000"/>
                <w:w w:val="95"/>
                <w:highlight w:val="black"/>
                <w:shd w:val="solid" w:color="000000" w:fill="000000"/>
                <w:fitText w:val="530" w:id="-1402736893"/>
                <w14:textFill>
                  <w14:solidFill>
                    <w14:srgbClr w14:val="000000">
                      <w14:alpha w14:val="100000"/>
                    </w14:srgbClr>
                  </w14:solidFill>
                </w14:textFill>
              </w:rPr>
              <w:t>||||||</w:t>
            </w:r>
            <w:r w:rsidRPr="00882611">
              <w:rPr>
                <w:highlight w:val="black"/>
                <w:shd w:val="clear" w:color="auto" w:fill="C0C0C1"/>
              </w:rPr>
              <w:t xml:space="preserve"> </w:t>
            </w:r>
            <w:r w:rsidRPr="00BF3F75">
              <w:rPr>
                <w:color w:val="000000"/>
                <w:spacing w:val="1"/>
                <w:w w:val="74"/>
                <w:highlight w:val="black"/>
                <w:shd w:val="solid" w:color="000000" w:fill="000000"/>
                <w:fitText w:val="820" w:id="-1402736640"/>
                <w14:textFill>
                  <w14:solidFill>
                    <w14:srgbClr w14:val="000000">
                      <w14:alpha w14:val="100000"/>
                    </w14:srgbClr>
                  </w14:solidFill>
                </w14:textFill>
              </w:rPr>
              <w:t>|</w:t>
            </w:r>
            <w:r w:rsidRPr="00BF3F75">
              <w:rPr>
                <w:color w:val="000000"/>
                <w:spacing w:val="1"/>
                <w:w w:val="74"/>
                <w:shd w:val="solid" w:color="000000" w:fill="000000"/>
                <w:fitText w:val="820" w:id="-1402736640"/>
                <w14:textFill>
                  <w14:solidFill>
                    <w14:srgbClr w14:val="000000">
                      <w14:alpha w14:val="100000"/>
                    </w14:srgbClr>
                  </w14:solidFill>
                </w14:textFill>
              </w:rPr>
              <w:t>||||||||||</w:t>
            </w:r>
            <w:r w:rsidRPr="00BF3F75">
              <w:rPr>
                <w:color w:val="000000"/>
                <w:spacing w:val="5"/>
                <w:w w:val="74"/>
                <w:shd w:val="solid" w:color="000000" w:fill="000000"/>
                <w:fitText w:val="820" w:id="-1402736640"/>
                <w14:textFill>
                  <w14:solidFill>
                    <w14:srgbClr w14:val="000000">
                      <w14:alpha w14:val="100000"/>
                    </w14:srgbClr>
                  </w14:solidFill>
                </w14:textFill>
              </w:rPr>
              <w:t>|</w:t>
            </w:r>
          </w:p>
        </w:tc>
        <w:tc>
          <w:tcPr>
            <w:tcW w:w="620" w:type="pct"/>
            <w:hideMark/>
          </w:tcPr>
          <w:p w14:paraId="2CE8C325" w14:textId="67D614BE" w:rsidR="00C81B46" w:rsidRPr="00574107" w:rsidRDefault="00882611" w:rsidP="00560650">
            <w:pPr>
              <w:pStyle w:val="Tablewriting"/>
            </w:pPr>
            <w:r w:rsidRPr="00882611">
              <w:rPr>
                <w:color w:val="000000"/>
                <w:w w:val="70"/>
                <w:shd w:val="solid" w:color="000000" w:fill="000000"/>
                <w:fitText w:val="1300" w:id="-1402736128"/>
                <w14:textFill>
                  <w14:solidFill>
                    <w14:srgbClr w14:val="000000">
                      <w14:alpha w14:val="100000"/>
                    </w14:srgbClr>
                  </w14:solidFill>
                </w14:textFill>
              </w:rPr>
              <w:t>|||||||||||||||||||</w:t>
            </w:r>
            <w:r w:rsidRPr="00882611">
              <w:rPr>
                <w:color w:val="000000"/>
                <w:spacing w:val="12"/>
                <w:w w:val="70"/>
                <w:shd w:val="solid" w:color="000000" w:fill="000000"/>
                <w:fitText w:val="1300" w:id="-1402736128"/>
                <w14:textFill>
                  <w14:solidFill>
                    <w14:srgbClr w14:val="000000">
                      <w14:alpha w14:val="100000"/>
                    </w14:srgbClr>
                  </w14:solidFill>
                </w14:textFill>
              </w:rPr>
              <w:t>|</w:t>
            </w:r>
            <w:r>
              <w:rPr>
                <w:highlight w:val="lightGray"/>
                <w:shd w:val="clear" w:color="auto" w:fill="C0C0C1"/>
              </w:rPr>
              <w:t xml:space="preserve"> </w:t>
            </w:r>
            <w:r w:rsidRPr="00882611">
              <w:rPr>
                <w:color w:val="000000"/>
                <w:w w:val="82"/>
                <w:shd w:val="solid" w:color="000000" w:fill="000000"/>
                <w:fitText w:val="760" w:id="-1402736127"/>
                <w14:textFill>
                  <w14:solidFill>
                    <w14:srgbClr w14:val="000000">
                      <w14:alpha w14:val="100000"/>
                    </w14:srgbClr>
                  </w14:solidFill>
                </w14:textFill>
              </w:rPr>
              <w:t>||||||||||</w:t>
            </w:r>
          </w:p>
        </w:tc>
        <w:tc>
          <w:tcPr>
            <w:tcW w:w="542" w:type="pct"/>
            <w:hideMark/>
          </w:tcPr>
          <w:p w14:paraId="78932187" w14:textId="77777777" w:rsidR="00C81B46" w:rsidRPr="00574107" w:rsidRDefault="00C81B46" w:rsidP="00560650">
            <w:pPr>
              <w:pStyle w:val="Tablewriting"/>
            </w:pPr>
            <w:r w:rsidRPr="00574107">
              <w:t>N/A</w:t>
            </w:r>
          </w:p>
        </w:tc>
        <w:tc>
          <w:tcPr>
            <w:tcW w:w="489" w:type="pct"/>
            <w:hideMark/>
          </w:tcPr>
          <w:p w14:paraId="3F7A35FF" w14:textId="262E1F20" w:rsidR="00C81B46" w:rsidRPr="00574107" w:rsidRDefault="00C81B46" w:rsidP="00560650">
            <w:pPr>
              <w:pStyle w:val="Tablewriting"/>
            </w:pPr>
            <w:r w:rsidRPr="00574107">
              <w:t>Lindson (</w:t>
            </w:r>
            <w:r w:rsidR="00115AEE" w:rsidRPr="00574107">
              <w:t>2019) (</w:t>
            </w:r>
            <w:r w:rsidRPr="00574107">
              <w:t xml:space="preserve">a) (efficacy and safety) </w:t>
            </w:r>
          </w:p>
          <w:p w14:paraId="4E765E83" w14:textId="77777777" w:rsidR="00C81B46" w:rsidRPr="00574107" w:rsidRDefault="00C81B46" w:rsidP="00560650">
            <w:pPr>
              <w:pStyle w:val="Tablewriting"/>
            </w:pPr>
            <w:r w:rsidRPr="00574107">
              <w:t> </w:t>
            </w:r>
          </w:p>
          <w:p w14:paraId="2E14B07E" w14:textId="77777777" w:rsidR="00C81B46" w:rsidRPr="00574107" w:rsidRDefault="00C81B46" w:rsidP="00560650">
            <w:pPr>
              <w:pStyle w:val="Tablewriting"/>
            </w:pPr>
            <w:r w:rsidRPr="00574107">
              <w:t> </w:t>
            </w:r>
          </w:p>
        </w:tc>
        <w:tc>
          <w:tcPr>
            <w:tcW w:w="468" w:type="pct"/>
            <w:hideMark/>
          </w:tcPr>
          <w:p w14:paraId="6AC390A3" w14:textId="77777777" w:rsidR="00C81B46" w:rsidRPr="00574107" w:rsidRDefault="00C81B46" w:rsidP="00560650">
            <w:pPr>
              <w:pStyle w:val="Tablewriting"/>
            </w:pPr>
            <w:r w:rsidRPr="00574107">
              <w:t>2 trials</w:t>
            </w:r>
          </w:p>
          <w:p w14:paraId="6B90A643" w14:textId="71201752" w:rsidR="00C81B46" w:rsidRPr="00574107" w:rsidRDefault="00882611" w:rsidP="00560650">
            <w:pPr>
              <w:pStyle w:val="Tablewriting"/>
            </w:pPr>
            <w:r w:rsidRPr="00BF3F75">
              <w:rPr>
                <w:color w:val="000000"/>
                <w:spacing w:val="2"/>
                <w:w w:val="73"/>
                <w:shd w:val="solid" w:color="000000" w:fill="000000"/>
                <w:fitText w:val="950" w:id="-1402736126"/>
                <w14:textFill>
                  <w14:solidFill>
                    <w14:srgbClr w14:val="000000">
                      <w14:alpha w14:val="100000"/>
                    </w14:srgbClr>
                  </w14:solidFill>
                </w14:textFill>
              </w:rPr>
              <w:t>|||||||||||||</w:t>
            </w:r>
            <w:r w:rsidRPr="00BF3F75">
              <w:rPr>
                <w:color w:val="000000"/>
                <w:w w:val="73"/>
                <w:shd w:val="solid" w:color="000000" w:fill="000000"/>
                <w:fitText w:val="950" w:id="-1402736126"/>
                <w14:textFill>
                  <w14:solidFill>
                    <w14:srgbClr w14:val="000000">
                      <w14:alpha w14:val="100000"/>
                    </w14:srgbClr>
                  </w14:solidFill>
                </w14:textFill>
              </w:rPr>
              <w:t>|</w:t>
            </w:r>
            <w:r>
              <w:rPr>
                <w:highlight w:val="lightGray"/>
                <w:shd w:val="clear" w:color="auto" w:fill="C0C0C1"/>
              </w:rPr>
              <w:t xml:space="preserve"> </w:t>
            </w:r>
            <w:r w:rsidRPr="00882611">
              <w:rPr>
                <w:color w:val="000000"/>
                <w:w w:val="92"/>
                <w:highlight w:val="black"/>
                <w:shd w:val="solid" w:color="000000" w:fill="000000"/>
                <w:fitText w:val="170" w:id="-1402736125"/>
                <w14:textFill>
                  <w14:solidFill>
                    <w14:srgbClr w14:val="000000">
                      <w14:alpha w14:val="100000"/>
                    </w14:srgbClr>
                  </w14:solidFill>
                </w14:textFill>
              </w:rPr>
              <w:t>||</w:t>
            </w:r>
            <w:r w:rsidRPr="00882611">
              <w:rPr>
                <w:highlight w:val="black"/>
                <w:shd w:val="clear" w:color="auto" w:fill="C0C0C1"/>
              </w:rPr>
              <w:t xml:space="preserve"> </w:t>
            </w:r>
            <w:r w:rsidRPr="00882611">
              <w:rPr>
                <w:color w:val="000000"/>
                <w:w w:val="77"/>
                <w:highlight w:val="black"/>
                <w:shd w:val="solid" w:color="000000" w:fill="000000"/>
                <w:fitText w:val="710" w:id="-1402736124"/>
                <w14:textFill>
                  <w14:solidFill>
                    <w14:srgbClr w14:val="000000">
                      <w14:alpha w14:val="100000"/>
                    </w14:srgbClr>
                  </w14:solidFill>
                </w14:textFill>
              </w:rPr>
              <w:t>|</w:t>
            </w:r>
            <w:r w:rsidRPr="00882611">
              <w:rPr>
                <w:color w:val="000000"/>
                <w:w w:val="77"/>
                <w:shd w:val="solid" w:color="000000" w:fill="000000"/>
                <w:fitText w:val="710" w:id="-1402736124"/>
                <w14:textFill>
                  <w14:solidFill>
                    <w14:srgbClr w14:val="000000">
                      <w14:alpha w14:val="100000"/>
                    </w14:srgbClr>
                  </w14:solidFill>
                </w14:textFill>
              </w:rPr>
              <w:t>|||||||||</w:t>
            </w:r>
          </w:p>
        </w:tc>
        <w:tc>
          <w:tcPr>
            <w:tcW w:w="486" w:type="pct"/>
            <w:hideMark/>
          </w:tcPr>
          <w:p w14:paraId="27474B82" w14:textId="77777777" w:rsidR="00C81B46" w:rsidRPr="00574107" w:rsidRDefault="00C81B46" w:rsidP="00560650">
            <w:pPr>
              <w:pStyle w:val="Tablewriting"/>
            </w:pPr>
            <w:r w:rsidRPr="00574107">
              <w:rPr>
                <w:rFonts w:eastAsia="Calibri"/>
              </w:rPr>
              <w:t>0</w:t>
            </w:r>
          </w:p>
        </w:tc>
      </w:tr>
    </w:tbl>
    <w:p w14:paraId="6A085F56" w14:textId="77777777" w:rsidR="00C81B46" w:rsidRDefault="00C81B46" w:rsidP="00D0517F">
      <w:pPr>
        <w:pStyle w:val="TableFooter"/>
        <w:spacing w:after="120"/>
        <w:contextualSpacing w:val="0"/>
        <w:jc w:val="both"/>
      </w:pPr>
      <w:r>
        <w:t>Abbreviations: NRT = nicotine replacement therapy</w:t>
      </w:r>
    </w:p>
    <w:p w14:paraId="4AF0563C" w14:textId="77777777" w:rsidR="00D0517F" w:rsidRDefault="00D0517F">
      <w:pPr>
        <w:spacing w:line="276" w:lineRule="auto"/>
        <w:rPr>
          <w:rFonts w:eastAsiaTheme="majorEastAsia" w:cstheme="majorBidi"/>
          <w:b/>
          <w:bCs/>
          <w:i/>
          <w:sz w:val="28"/>
        </w:rPr>
      </w:pPr>
      <w:bookmarkStart w:id="326" w:name="_Ref53135242"/>
      <w:r>
        <w:br w:type="page"/>
      </w:r>
    </w:p>
    <w:p w14:paraId="7DD86525" w14:textId="6542B395" w:rsidR="00F63C13" w:rsidRDefault="002C3EF9" w:rsidP="00D0517F">
      <w:pPr>
        <w:pStyle w:val="Heading3"/>
        <w:numPr>
          <w:ilvl w:val="0"/>
          <w:numId w:val="0"/>
        </w:numPr>
        <w:spacing w:before="0" w:after="120"/>
        <w:jc w:val="both"/>
      </w:pPr>
      <w:bookmarkStart w:id="327" w:name="_Toc115254530"/>
      <w:r>
        <w:lastRenderedPageBreak/>
        <w:t xml:space="preserve">B.2 </w:t>
      </w:r>
      <w:r w:rsidR="00F63C13">
        <w:t>C</w:t>
      </w:r>
      <w:r w:rsidR="001738B6">
        <w:t>haracteristics of individual studies</w:t>
      </w:r>
      <w:bookmarkEnd w:id="327"/>
    </w:p>
    <w:p w14:paraId="0BDF7D7B" w14:textId="50E7EF13" w:rsidR="007237F2" w:rsidRDefault="007237F2" w:rsidP="00D0517F">
      <w:pPr>
        <w:pStyle w:val="Caption"/>
        <w:keepNext/>
        <w:spacing w:before="0" w:after="120"/>
        <w:jc w:val="both"/>
      </w:pPr>
      <w:bookmarkStart w:id="328" w:name="_Ref55118117"/>
      <w:r>
        <w:t xml:space="preserve">Table </w:t>
      </w:r>
      <w:r>
        <w:fldChar w:fldCharType="begin"/>
      </w:r>
      <w:r>
        <w:instrText>SEQ Table \* ARABIC</w:instrText>
      </w:r>
      <w:r>
        <w:fldChar w:fldCharType="separate"/>
      </w:r>
      <w:r w:rsidR="00EC5CC7">
        <w:rPr>
          <w:noProof/>
        </w:rPr>
        <w:t>144</w:t>
      </w:r>
      <w:r>
        <w:fldChar w:fldCharType="end"/>
      </w:r>
      <w:bookmarkEnd w:id="326"/>
      <w:bookmarkEnd w:id="328"/>
      <w:r>
        <w:t>: Characteristics of studies</w:t>
      </w:r>
      <w:r w:rsidR="00126F24">
        <w:t xml:space="preserve"> included</w:t>
      </w:r>
      <w:r>
        <w:t xml:space="preserve"> in Howes et al. (2020), bupropion versus placebo</w:t>
      </w:r>
    </w:p>
    <w:tbl>
      <w:tblPr>
        <w:tblStyle w:val="TableGrid"/>
        <w:tblW w:w="5000" w:type="pct"/>
        <w:tblLook w:val="04A0" w:firstRow="1" w:lastRow="0" w:firstColumn="1" w:lastColumn="0" w:noHBand="0" w:noVBand="1"/>
        <w:tblCaption w:val="Efficacy results of adalimumab trials (PASI 75 and DLQI)"/>
      </w:tblPr>
      <w:tblGrid>
        <w:gridCol w:w="1563"/>
        <w:gridCol w:w="690"/>
        <w:gridCol w:w="1216"/>
        <w:gridCol w:w="1240"/>
        <w:gridCol w:w="3534"/>
        <w:gridCol w:w="3402"/>
        <w:gridCol w:w="2303"/>
      </w:tblGrid>
      <w:tr w:rsidR="00771C66" w:rsidRPr="00061F78" w14:paraId="6451B00E" w14:textId="10E2BF06" w:rsidTr="00D0517F">
        <w:trPr>
          <w:trHeight w:val="299"/>
          <w:tblHeader/>
        </w:trPr>
        <w:tc>
          <w:tcPr>
            <w:tcW w:w="565" w:type="pct"/>
            <w:shd w:val="clear" w:color="auto" w:fill="BFBFBF" w:themeFill="background1" w:themeFillShade="BF"/>
            <w:tcMar>
              <w:left w:w="28" w:type="dxa"/>
              <w:right w:w="28" w:type="dxa"/>
            </w:tcMar>
          </w:tcPr>
          <w:p w14:paraId="1A44D3C7" w14:textId="1C16C7A7" w:rsidR="00771C66" w:rsidRPr="00061F78" w:rsidRDefault="008B4BB0" w:rsidP="00A71365">
            <w:pPr>
              <w:pStyle w:val="Tableheading"/>
              <w:rPr>
                <w:rFonts w:eastAsia="MS Mincho"/>
              </w:rPr>
            </w:pPr>
            <w:r>
              <w:rPr>
                <w:rFonts w:eastAsia="MS Mincho"/>
              </w:rPr>
              <w:t>Study</w:t>
            </w:r>
          </w:p>
        </w:tc>
        <w:tc>
          <w:tcPr>
            <w:tcW w:w="239" w:type="pct"/>
            <w:shd w:val="clear" w:color="auto" w:fill="BFBFBF" w:themeFill="background1" w:themeFillShade="BF"/>
          </w:tcPr>
          <w:p w14:paraId="5D7D3AB4" w14:textId="77777777" w:rsidR="00771C66" w:rsidRDefault="00771C66" w:rsidP="00A71365">
            <w:pPr>
              <w:pStyle w:val="Tableheading"/>
              <w:jc w:val="center"/>
              <w:rPr>
                <w:rFonts w:eastAsia="MS Mincho"/>
              </w:rPr>
            </w:pPr>
            <w:r>
              <w:rPr>
                <w:rFonts w:eastAsia="MS Mincho"/>
              </w:rPr>
              <w:t>Study type</w:t>
            </w:r>
          </w:p>
        </w:tc>
        <w:tc>
          <w:tcPr>
            <w:tcW w:w="422" w:type="pct"/>
            <w:shd w:val="clear" w:color="auto" w:fill="BFBFBF" w:themeFill="background1" w:themeFillShade="BF"/>
          </w:tcPr>
          <w:p w14:paraId="10F7721A" w14:textId="45468C46" w:rsidR="002F2D96" w:rsidRDefault="002F2D96" w:rsidP="00A71365">
            <w:pPr>
              <w:pStyle w:val="Tableheading"/>
              <w:jc w:val="center"/>
              <w:rPr>
                <w:rFonts w:eastAsia="MS Mincho"/>
              </w:rPr>
            </w:pPr>
            <w:r>
              <w:rPr>
                <w:rFonts w:eastAsia="MS Mincho"/>
              </w:rPr>
              <w:t>Countries</w:t>
            </w:r>
          </w:p>
        </w:tc>
        <w:tc>
          <w:tcPr>
            <w:tcW w:w="449" w:type="pct"/>
            <w:shd w:val="clear" w:color="auto" w:fill="BFBFBF" w:themeFill="background1" w:themeFillShade="BF"/>
            <w:tcMar>
              <w:left w:w="28" w:type="dxa"/>
              <w:right w:w="28" w:type="dxa"/>
            </w:tcMar>
          </w:tcPr>
          <w:p w14:paraId="2841FB2F" w14:textId="77777777" w:rsidR="00771C66" w:rsidRPr="00061F78" w:rsidRDefault="00771C66" w:rsidP="00A71365">
            <w:pPr>
              <w:pStyle w:val="Tableheading"/>
              <w:jc w:val="center"/>
              <w:rPr>
                <w:rFonts w:eastAsia="MS Mincho"/>
              </w:rPr>
            </w:pPr>
            <w:r>
              <w:rPr>
                <w:rFonts w:eastAsia="MS Mincho"/>
              </w:rPr>
              <w:t>N</w:t>
            </w:r>
          </w:p>
        </w:tc>
        <w:tc>
          <w:tcPr>
            <w:tcW w:w="1271" w:type="pct"/>
            <w:shd w:val="clear" w:color="auto" w:fill="BFBFBF" w:themeFill="background1" w:themeFillShade="BF"/>
            <w:tcMar>
              <w:left w:w="28" w:type="dxa"/>
              <w:right w:w="28" w:type="dxa"/>
            </w:tcMar>
          </w:tcPr>
          <w:p w14:paraId="064E1438" w14:textId="77777777" w:rsidR="00771C66" w:rsidRPr="00061F78" w:rsidRDefault="00771C66" w:rsidP="00A71365">
            <w:pPr>
              <w:pStyle w:val="Tableheading"/>
              <w:jc w:val="center"/>
              <w:rPr>
                <w:rFonts w:eastAsia="MS Mincho"/>
              </w:rPr>
            </w:pPr>
            <w:r w:rsidRPr="00061F78">
              <w:rPr>
                <w:rFonts w:eastAsia="MS Mincho"/>
              </w:rPr>
              <w:t>P</w:t>
            </w:r>
            <w:r>
              <w:rPr>
                <w:rFonts w:eastAsia="MS Mincho"/>
              </w:rPr>
              <w:t>opulation</w:t>
            </w:r>
          </w:p>
        </w:tc>
        <w:tc>
          <w:tcPr>
            <w:tcW w:w="1224" w:type="pct"/>
            <w:shd w:val="clear" w:color="auto" w:fill="BFBFBF" w:themeFill="background1" w:themeFillShade="BF"/>
          </w:tcPr>
          <w:p w14:paraId="7C6A4929" w14:textId="2FF3915F" w:rsidR="00771C66" w:rsidRDefault="00771C66" w:rsidP="00A71365">
            <w:pPr>
              <w:pStyle w:val="Tableheading"/>
              <w:jc w:val="center"/>
              <w:rPr>
                <w:rFonts w:eastAsia="MS Mincho"/>
              </w:rPr>
            </w:pPr>
            <w:r>
              <w:rPr>
                <w:rFonts w:eastAsia="MS Mincho"/>
              </w:rPr>
              <w:t>Intervention and comparator</w:t>
            </w:r>
          </w:p>
        </w:tc>
        <w:tc>
          <w:tcPr>
            <w:tcW w:w="832" w:type="pct"/>
            <w:shd w:val="clear" w:color="auto" w:fill="BFBFBF" w:themeFill="background1" w:themeFillShade="BF"/>
            <w:tcMar>
              <w:left w:w="28" w:type="dxa"/>
              <w:right w:w="28" w:type="dxa"/>
            </w:tcMar>
          </w:tcPr>
          <w:p w14:paraId="1485992B" w14:textId="77777777" w:rsidR="00771C66" w:rsidRPr="00061F78" w:rsidRDefault="00771C66" w:rsidP="00A71365">
            <w:pPr>
              <w:pStyle w:val="Tableheading"/>
              <w:jc w:val="center"/>
              <w:rPr>
                <w:rFonts w:eastAsia="MS Mincho"/>
              </w:rPr>
            </w:pPr>
            <w:r>
              <w:rPr>
                <w:rFonts w:eastAsia="MS Mincho"/>
              </w:rPr>
              <w:t>Outcomes</w:t>
            </w:r>
          </w:p>
        </w:tc>
      </w:tr>
      <w:tr w:rsidR="00771C66" w:rsidRPr="00061F78" w14:paraId="12E9C27E" w14:textId="1EFCBE55" w:rsidTr="00D0517F">
        <w:trPr>
          <w:trHeight w:val="99"/>
        </w:trPr>
        <w:tc>
          <w:tcPr>
            <w:tcW w:w="565" w:type="pct"/>
            <w:shd w:val="clear" w:color="auto" w:fill="auto"/>
            <w:tcMar>
              <w:left w:w="28" w:type="dxa"/>
              <w:right w:w="28" w:type="dxa"/>
            </w:tcMar>
          </w:tcPr>
          <w:p w14:paraId="17D71B7B" w14:textId="2661B8A3" w:rsidR="00771C66" w:rsidRPr="001E2154" w:rsidRDefault="00716C82" w:rsidP="00A71365">
            <w:pPr>
              <w:pStyle w:val="Tableheading"/>
              <w:autoSpaceDE w:val="0"/>
              <w:autoSpaceDN w:val="0"/>
              <w:adjustRightInd w:val="0"/>
              <w:rPr>
                <w:rFonts w:eastAsiaTheme="minorEastAsia" w:cs="Calibri"/>
                <w:b w:val="0"/>
              </w:rPr>
            </w:pPr>
            <w:r w:rsidRPr="001E2154">
              <w:rPr>
                <w:rFonts w:eastAsiaTheme="minorEastAsia" w:cs="Calibri"/>
                <w:b w:val="0"/>
              </w:rPr>
              <w:t xml:space="preserve">Ahluwalia </w:t>
            </w:r>
            <w:r w:rsidR="00A61F60" w:rsidRPr="001E2154">
              <w:rPr>
                <w:rFonts w:eastAsiaTheme="minorEastAsia" w:cs="Calibri"/>
                <w:b w:val="0"/>
              </w:rPr>
              <w:t>(</w:t>
            </w:r>
            <w:r w:rsidRPr="001E2154">
              <w:rPr>
                <w:rFonts w:eastAsiaTheme="minorEastAsia" w:cs="Calibri"/>
                <w:b w:val="0"/>
              </w:rPr>
              <w:t>2002</w:t>
            </w:r>
            <w:r w:rsidR="00A61F60" w:rsidRPr="001E2154">
              <w:rPr>
                <w:rFonts w:eastAsiaTheme="minorEastAsia" w:cs="Calibri"/>
                <w:b w:val="0"/>
              </w:rPr>
              <w:t>)</w:t>
            </w:r>
          </w:p>
        </w:tc>
        <w:tc>
          <w:tcPr>
            <w:tcW w:w="239" w:type="pct"/>
            <w:shd w:val="clear" w:color="auto" w:fill="auto"/>
          </w:tcPr>
          <w:p w14:paraId="3246029E" w14:textId="679ECB63" w:rsidR="00771C66" w:rsidRPr="001E2154" w:rsidRDefault="002F2D96" w:rsidP="00A71365">
            <w:pPr>
              <w:pStyle w:val="Tableheading"/>
              <w:autoSpaceDE w:val="0"/>
              <w:autoSpaceDN w:val="0"/>
              <w:adjustRightInd w:val="0"/>
              <w:rPr>
                <w:rFonts w:eastAsiaTheme="minorEastAsia" w:cs="Calibri"/>
                <w:b w:val="0"/>
              </w:rPr>
            </w:pPr>
            <w:r w:rsidRPr="001E2154">
              <w:rPr>
                <w:rFonts w:eastAsiaTheme="minorEastAsia" w:cs="Calibri"/>
                <w:b w:val="0"/>
              </w:rPr>
              <w:t>RCT</w:t>
            </w:r>
          </w:p>
        </w:tc>
        <w:tc>
          <w:tcPr>
            <w:tcW w:w="422" w:type="pct"/>
          </w:tcPr>
          <w:p w14:paraId="4B8EBA7F" w14:textId="4C8F7159" w:rsidR="00E31549" w:rsidRPr="001E2154" w:rsidRDefault="00E31549" w:rsidP="00A71365">
            <w:pPr>
              <w:pStyle w:val="Tableheading"/>
              <w:autoSpaceDE w:val="0"/>
              <w:autoSpaceDN w:val="0"/>
              <w:adjustRightInd w:val="0"/>
              <w:rPr>
                <w:rFonts w:eastAsiaTheme="minorEastAsia" w:cs="Calibri"/>
                <w:b w:val="0"/>
              </w:rPr>
            </w:pPr>
            <w:r w:rsidRPr="001E2154">
              <w:rPr>
                <w:rFonts w:eastAsiaTheme="minorEastAsia" w:cs="Calibri"/>
                <w:b w:val="0"/>
              </w:rPr>
              <w:t>USA</w:t>
            </w:r>
          </w:p>
        </w:tc>
        <w:tc>
          <w:tcPr>
            <w:tcW w:w="449" w:type="pct"/>
            <w:shd w:val="clear" w:color="auto" w:fill="auto"/>
            <w:tcMar>
              <w:left w:w="28" w:type="dxa"/>
              <w:right w:w="28" w:type="dxa"/>
            </w:tcMar>
          </w:tcPr>
          <w:p w14:paraId="3A0B1F36" w14:textId="6E8D9570" w:rsidR="00771C66" w:rsidRPr="001E2154" w:rsidRDefault="004A288A" w:rsidP="00A71365">
            <w:pPr>
              <w:pStyle w:val="Tableheading"/>
              <w:autoSpaceDE w:val="0"/>
              <w:autoSpaceDN w:val="0"/>
              <w:adjustRightInd w:val="0"/>
              <w:rPr>
                <w:rFonts w:eastAsiaTheme="minorEastAsia" w:cs="Calibri"/>
                <w:b w:val="0"/>
              </w:rPr>
            </w:pPr>
            <w:r w:rsidRPr="001E2154">
              <w:rPr>
                <w:rFonts w:eastAsiaTheme="minorEastAsia" w:cs="Calibri"/>
                <w:b w:val="0"/>
              </w:rPr>
              <w:t>N=600</w:t>
            </w:r>
            <w:r w:rsidR="003B7E88" w:rsidRPr="001E2154">
              <w:rPr>
                <w:rFonts w:eastAsiaTheme="minorEastAsia" w:cs="Calibri"/>
                <w:b w:val="0"/>
              </w:rPr>
              <w:t>;</w:t>
            </w:r>
          </w:p>
          <w:p w14:paraId="2732F8A6" w14:textId="75847D08" w:rsidR="00771C66" w:rsidRPr="001E2154" w:rsidRDefault="00A0733E" w:rsidP="00A71365">
            <w:pPr>
              <w:pStyle w:val="Tableheading"/>
              <w:autoSpaceDE w:val="0"/>
              <w:autoSpaceDN w:val="0"/>
              <w:adjustRightInd w:val="0"/>
              <w:rPr>
                <w:rFonts w:eastAsiaTheme="minorEastAsia" w:cs="Calibri"/>
                <w:b w:val="0"/>
              </w:rPr>
            </w:pPr>
            <w:r w:rsidRPr="001E2154">
              <w:rPr>
                <w:rFonts w:eastAsiaTheme="minorEastAsia" w:cs="Calibri"/>
                <w:b w:val="0"/>
              </w:rPr>
              <w:t>n</w:t>
            </w:r>
            <w:r w:rsidR="008B61A9" w:rsidRPr="001E2154">
              <w:rPr>
                <w:rFonts w:eastAsiaTheme="minorEastAsia" w:cs="Calibri"/>
                <w:b w:val="0"/>
              </w:rPr>
              <w:t>=</w:t>
            </w:r>
            <w:r w:rsidRPr="001E2154">
              <w:rPr>
                <w:rFonts w:eastAsiaTheme="minorEastAsia" w:cs="Calibri"/>
                <w:b w:val="0"/>
              </w:rPr>
              <w:t>300 (bupropion), n=300 (placebo)</w:t>
            </w:r>
          </w:p>
        </w:tc>
        <w:tc>
          <w:tcPr>
            <w:tcW w:w="1271" w:type="pct"/>
            <w:shd w:val="clear" w:color="auto" w:fill="auto"/>
            <w:tcMar>
              <w:left w:w="28" w:type="dxa"/>
              <w:right w:w="28" w:type="dxa"/>
            </w:tcMar>
          </w:tcPr>
          <w:p w14:paraId="7D273929" w14:textId="4E5002F0" w:rsidR="00771C66" w:rsidRPr="001E2154" w:rsidRDefault="002F2D96" w:rsidP="00A71365">
            <w:pPr>
              <w:pStyle w:val="Tableheading"/>
              <w:autoSpaceDE w:val="0"/>
              <w:autoSpaceDN w:val="0"/>
              <w:adjustRightInd w:val="0"/>
              <w:rPr>
                <w:rFonts w:eastAsiaTheme="minorEastAsia" w:cs="Calibri"/>
                <w:b w:val="0"/>
              </w:rPr>
            </w:pPr>
            <w:r w:rsidRPr="001E2154">
              <w:rPr>
                <w:rFonts w:eastAsiaTheme="minorEastAsia" w:cs="Calibri"/>
                <w:b w:val="0"/>
              </w:rPr>
              <w:t>African American smokers</w:t>
            </w:r>
            <w:r w:rsidR="00AE162A" w:rsidRPr="001E2154">
              <w:rPr>
                <w:rFonts w:eastAsiaTheme="minorEastAsia" w:cs="Calibri"/>
                <w:b w:val="0"/>
              </w:rPr>
              <w:t>,</w:t>
            </w:r>
            <w:r w:rsidRPr="001E2154">
              <w:rPr>
                <w:rFonts w:eastAsiaTheme="minorEastAsia" w:cs="Calibri"/>
                <w:b w:val="0"/>
              </w:rPr>
              <w:t xml:space="preserve"> 70% female, average age 44</w:t>
            </w:r>
            <w:r w:rsidR="00AE162A" w:rsidRPr="001E2154">
              <w:rPr>
                <w:rFonts w:eastAsiaTheme="minorEastAsia" w:cs="Calibri"/>
                <w:b w:val="0"/>
              </w:rPr>
              <w:t>,</w:t>
            </w:r>
            <w:r w:rsidRPr="001E2154">
              <w:rPr>
                <w:rFonts w:eastAsiaTheme="minorEastAsia" w:cs="Calibri"/>
                <w:b w:val="0"/>
              </w:rPr>
              <w:t xml:space="preserve"> average cigarettes per day 17</w:t>
            </w:r>
            <w:r w:rsidR="00AE162A" w:rsidRPr="001E2154">
              <w:rPr>
                <w:rFonts w:eastAsiaTheme="minorEastAsia" w:cs="Calibri"/>
                <w:b w:val="0"/>
              </w:rPr>
              <w:t>,</w:t>
            </w:r>
            <w:r w:rsidR="004A288A" w:rsidRPr="001E2154">
              <w:rPr>
                <w:rFonts w:eastAsiaTheme="minorEastAsia" w:cs="Calibri"/>
                <w:b w:val="0"/>
              </w:rPr>
              <w:t xml:space="preserve"> </w:t>
            </w:r>
            <w:r w:rsidRPr="001E2154">
              <w:rPr>
                <w:rFonts w:eastAsiaTheme="minorEastAsia" w:cs="Calibri"/>
                <w:b w:val="0"/>
              </w:rPr>
              <w:t>27% had possible clinical depression CES-D &gt; 16</w:t>
            </w:r>
            <w:r w:rsidR="00AE162A" w:rsidRPr="001E2154">
              <w:rPr>
                <w:rFonts w:eastAsiaTheme="minorEastAsia" w:cs="Calibri"/>
                <w:b w:val="0"/>
              </w:rPr>
              <w:t>.</w:t>
            </w:r>
          </w:p>
        </w:tc>
        <w:tc>
          <w:tcPr>
            <w:tcW w:w="1224" w:type="pct"/>
            <w:shd w:val="clear" w:color="auto" w:fill="auto"/>
          </w:tcPr>
          <w:p w14:paraId="5DA3D001" w14:textId="5F31D8C9" w:rsidR="00771C66" w:rsidRDefault="00D11171" w:rsidP="00C324F3">
            <w:pPr>
              <w:pStyle w:val="Tablewriting"/>
              <w:numPr>
                <w:ilvl w:val="0"/>
                <w:numId w:val="8"/>
              </w:numPr>
              <w:rPr>
                <w:rFonts w:eastAsia="MS Mincho"/>
              </w:rPr>
            </w:pPr>
            <w:r w:rsidRPr="00D11171">
              <w:rPr>
                <w:rFonts w:eastAsia="MS Mincho"/>
              </w:rPr>
              <w:t xml:space="preserve">Bupropion, </w:t>
            </w:r>
            <w:r w:rsidR="00346ACC">
              <w:rPr>
                <w:rFonts w:eastAsia="MS Mincho"/>
              </w:rPr>
              <w:t>150 mg</w:t>
            </w:r>
            <w:r w:rsidR="008820DC">
              <w:rPr>
                <w:rFonts w:eastAsia="MS Mincho"/>
              </w:rPr>
              <w:t xml:space="preserve">/day for 3 days, then </w:t>
            </w:r>
            <w:r w:rsidRPr="00D11171">
              <w:rPr>
                <w:rFonts w:eastAsia="MS Mincho"/>
              </w:rPr>
              <w:t xml:space="preserve">300 mg/day for </w:t>
            </w:r>
            <w:r w:rsidR="008820DC">
              <w:rPr>
                <w:rFonts w:eastAsia="MS Mincho"/>
              </w:rPr>
              <w:t xml:space="preserve">a total of </w:t>
            </w:r>
            <w:r w:rsidRPr="00D11171">
              <w:rPr>
                <w:rFonts w:eastAsia="MS Mincho"/>
              </w:rPr>
              <w:t>7 weeks</w:t>
            </w:r>
          </w:p>
          <w:p w14:paraId="4F267AC7" w14:textId="6C3598BF" w:rsidR="008229B2" w:rsidRPr="008229B2" w:rsidRDefault="008229B2" w:rsidP="00C324F3">
            <w:pPr>
              <w:pStyle w:val="Tablewriting"/>
              <w:numPr>
                <w:ilvl w:val="0"/>
                <w:numId w:val="8"/>
              </w:numPr>
              <w:rPr>
                <w:rFonts w:eastAsia="MS Mincho"/>
              </w:rPr>
            </w:pPr>
            <w:r w:rsidRPr="008229B2">
              <w:rPr>
                <w:rFonts w:eastAsia="MS Mincho"/>
              </w:rPr>
              <w:t>Placebo</w:t>
            </w:r>
          </w:p>
          <w:p w14:paraId="4BE6ADB9" w14:textId="77777777" w:rsidR="008229B2" w:rsidRDefault="008229B2" w:rsidP="00A71365">
            <w:pPr>
              <w:pStyle w:val="Tablewriting"/>
              <w:rPr>
                <w:rFonts w:eastAsia="MS Mincho"/>
              </w:rPr>
            </w:pPr>
          </w:p>
          <w:p w14:paraId="05DD0002" w14:textId="53C3594D" w:rsidR="00771C66" w:rsidRPr="00A34E7B" w:rsidRDefault="008229B2" w:rsidP="00A71365">
            <w:pPr>
              <w:pStyle w:val="Tablewriting"/>
              <w:rPr>
                <w:rFonts w:eastAsia="MS Mincho"/>
              </w:rPr>
            </w:pPr>
            <w:r w:rsidRPr="00C324F3">
              <w:rPr>
                <w:rFonts w:eastAsia="MS Mincho"/>
                <w:u w:val="single"/>
              </w:rPr>
              <w:t>Common components</w:t>
            </w:r>
            <w:r w:rsidRPr="008229B2">
              <w:rPr>
                <w:rFonts w:eastAsia="MS Mincho"/>
              </w:rPr>
              <w:t>: 8 sessions of in-person or telephone</w:t>
            </w:r>
            <w:r>
              <w:rPr>
                <w:rFonts w:eastAsia="MS Mincho"/>
              </w:rPr>
              <w:t xml:space="preserve"> </w:t>
            </w:r>
            <w:r w:rsidRPr="008229B2">
              <w:rPr>
                <w:rFonts w:eastAsia="MS Mincho"/>
              </w:rPr>
              <w:t>counselling and self-help guide</w:t>
            </w:r>
            <w:r w:rsidR="00C553D1">
              <w:rPr>
                <w:rFonts w:eastAsia="MS Mincho"/>
              </w:rPr>
              <w:t>.</w:t>
            </w:r>
          </w:p>
        </w:tc>
        <w:tc>
          <w:tcPr>
            <w:tcW w:w="832" w:type="pct"/>
            <w:shd w:val="clear" w:color="auto" w:fill="auto"/>
            <w:tcMar>
              <w:left w:w="28" w:type="dxa"/>
              <w:right w:w="28" w:type="dxa"/>
            </w:tcMar>
          </w:tcPr>
          <w:p w14:paraId="363B8008" w14:textId="76F2C15D" w:rsidR="002F2D96" w:rsidRPr="001E2154" w:rsidRDefault="00023A2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Efficacy</w:t>
            </w:r>
            <w:r w:rsidR="002F2D96" w:rsidRPr="00320A67">
              <w:rPr>
                <w:rFonts w:eastAsiaTheme="minorEastAsia" w:cs="Calibri"/>
                <w:b w:val="0"/>
                <w:u w:val="single"/>
              </w:rPr>
              <w:t>:</w:t>
            </w:r>
            <w:r w:rsidR="002F2D96" w:rsidRPr="001E2154">
              <w:rPr>
                <w:rFonts w:eastAsiaTheme="minorEastAsia" w:cs="Calibri"/>
                <w:b w:val="0"/>
              </w:rPr>
              <w:t xml:space="preserve"> prolonged abstinence at 26 weeks. Validated by CO </w:t>
            </w:r>
            <w:r w:rsidR="00D96BA4" w:rsidRPr="001E2154">
              <w:rPr>
                <w:rFonts w:eastAsiaTheme="minorEastAsia" w:cs="Calibri"/>
                <w:b w:val="0"/>
              </w:rPr>
              <w:t>≤</w:t>
            </w:r>
            <w:r w:rsidR="002F2D96" w:rsidRPr="001E2154">
              <w:rPr>
                <w:rFonts w:eastAsiaTheme="minorEastAsia" w:cs="Calibri"/>
                <w:b w:val="0"/>
              </w:rPr>
              <w:t xml:space="preserve"> 10 ppm, discrepancies resolved</w:t>
            </w:r>
            <w:r w:rsidR="00C553D1" w:rsidRPr="001E2154">
              <w:rPr>
                <w:rFonts w:eastAsiaTheme="minorEastAsia" w:cs="Calibri"/>
                <w:b w:val="0"/>
              </w:rPr>
              <w:t xml:space="preserve"> </w:t>
            </w:r>
            <w:r w:rsidR="002F2D96" w:rsidRPr="001E2154">
              <w:rPr>
                <w:rFonts w:eastAsiaTheme="minorEastAsia" w:cs="Calibri"/>
                <w:b w:val="0"/>
              </w:rPr>
              <w:t xml:space="preserve">with cotinine </w:t>
            </w:r>
            <w:r w:rsidR="003F5E89" w:rsidRPr="001E2154">
              <w:rPr>
                <w:rFonts w:eastAsiaTheme="minorEastAsia" w:cs="Calibri"/>
                <w:b w:val="0"/>
              </w:rPr>
              <w:t>≤</w:t>
            </w:r>
            <w:r w:rsidR="002F2D96" w:rsidRPr="001E2154">
              <w:rPr>
                <w:rFonts w:eastAsiaTheme="minorEastAsia" w:cs="Calibri"/>
                <w:b w:val="0"/>
              </w:rPr>
              <w:t>20 mg</w:t>
            </w:r>
            <w:r w:rsidR="00C553D1" w:rsidRPr="001E2154">
              <w:rPr>
                <w:rFonts w:eastAsiaTheme="minorEastAsia" w:cs="Calibri"/>
                <w:b w:val="0"/>
              </w:rPr>
              <w:t>.</w:t>
            </w:r>
          </w:p>
          <w:p w14:paraId="21743A27" w14:textId="77777777" w:rsidR="002F2D96" w:rsidRPr="001E2154" w:rsidRDefault="002F2D96" w:rsidP="00A71365">
            <w:pPr>
              <w:pStyle w:val="Tableheading"/>
              <w:autoSpaceDE w:val="0"/>
              <w:autoSpaceDN w:val="0"/>
              <w:adjustRightInd w:val="0"/>
              <w:rPr>
                <w:rFonts w:eastAsiaTheme="minorEastAsia" w:cs="Calibri"/>
                <w:b w:val="0"/>
              </w:rPr>
            </w:pPr>
          </w:p>
          <w:p w14:paraId="1D925C40" w14:textId="59F113E1" w:rsidR="00771C66" w:rsidRPr="001E2154" w:rsidRDefault="00023A2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Safety:</w:t>
            </w:r>
            <w:r w:rsidR="002F2D96" w:rsidRPr="001E2154">
              <w:rPr>
                <w:rFonts w:eastAsiaTheme="minorEastAsia" w:cs="Calibri"/>
                <w:b w:val="0"/>
              </w:rPr>
              <w:t xml:space="preserve"> </w:t>
            </w:r>
            <w:r w:rsidR="00FA521C" w:rsidRPr="001E2154">
              <w:rPr>
                <w:rFonts w:eastAsiaTheme="minorEastAsia" w:cs="Calibri"/>
                <w:b w:val="0"/>
              </w:rPr>
              <w:t>adverse ev</w:t>
            </w:r>
            <w:r w:rsidR="006559C1" w:rsidRPr="001E2154">
              <w:rPr>
                <w:rFonts w:eastAsiaTheme="minorEastAsia" w:cs="Calibri"/>
                <w:b w:val="0"/>
              </w:rPr>
              <w:t xml:space="preserve">ents </w:t>
            </w:r>
            <w:r w:rsidR="002F2D96" w:rsidRPr="001E2154">
              <w:rPr>
                <w:rFonts w:eastAsiaTheme="minorEastAsia" w:cs="Calibri"/>
                <w:b w:val="0"/>
              </w:rPr>
              <w:t>measured for 26 weeks</w:t>
            </w:r>
            <w:r w:rsidR="00C553D1" w:rsidRPr="001E2154">
              <w:rPr>
                <w:rFonts w:eastAsiaTheme="minorEastAsia" w:cs="Calibri"/>
                <w:b w:val="0"/>
              </w:rPr>
              <w:t>.</w:t>
            </w:r>
          </w:p>
        </w:tc>
      </w:tr>
      <w:tr w:rsidR="00771C66" w:rsidRPr="00061F78" w14:paraId="0581A18D" w14:textId="6919ADF1" w:rsidTr="00D0517F">
        <w:trPr>
          <w:trHeight w:val="149"/>
        </w:trPr>
        <w:tc>
          <w:tcPr>
            <w:tcW w:w="565" w:type="pct"/>
            <w:tcMar>
              <w:left w:w="28" w:type="dxa"/>
              <w:right w:w="28" w:type="dxa"/>
            </w:tcMar>
          </w:tcPr>
          <w:p w14:paraId="2CD71AF1" w14:textId="5CDFA431" w:rsidR="00771C66" w:rsidRPr="00320A67" w:rsidRDefault="003C7432" w:rsidP="00A71365">
            <w:pPr>
              <w:pStyle w:val="Tableheading"/>
              <w:autoSpaceDE w:val="0"/>
              <w:autoSpaceDN w:val="0"/>
              <w:adjustRightInd w:val="0"/>
              <w:rPr>
                <w:rFonts w:eastAsiaTheme="minorEastAsia" w:cs="Calibri"/>
                <w:b w:val="0"/>
              </w:rPr>
            </w:pPr>
            <w:r w:rsidRPr="00320A67">
              <w:rPr>
                <w:rFonts w:eastAsiaTheme="minorEastAsia" w:cs="Calibri"/>
                <w:b w:val="0"/>
              </w:rPr>
              <w:t xml:space="preserve">  </w:t>
            </w:r>
            <w:r w:rsidR="00D517C0" w:rsidRPr="00320A67">
              <w:rPr>
                <w:rFonts w:eastAsiaTheme="minorEastAsia" w:cs="Calibri"/>
                <w:b w:val="0"/>
              </w:rPr>
              <w:t xml:space="preserve">Anthenelli </w:t>
            </w:r>
            <w:r w:rsidR="002B4919" w:rsidRPr="00320A67">
              <w:rPr>
                <w:rFonts w:eastAsiaTheme="minorEastAsia" w:cs="Calibri"/>
                <w:b w:val="0"/>
              </w:rPr>
              <w:t>(</w:t>
            </w:r>
            <w:r w:rsidR="00D517C0" w:rsidRPr="00320A67">
              <w:rPr>
                <w:rFonts w:eastAsiaTheme="minorEastAsia" w:cs="Calibri"/>
                <w:b w:val="0"/>
              </w:rPr>
              <w:t>2016</w:t>
            </w:r>
            <w:r w:rsidR="002B4919" w:rsidRPr="00320A67">
              <w:rPr>
                <w:rFonts w:eastAsiaTheme="minorEastAsia" w:cs="Calibri"/>
                <w:b w:val="0"/>
              </w:rPr>
              <w:t>)</w:t>
            </w:r>
          </w:p>
        </w:tc>
        <w:tc>
          <w:tcPr>
            <w:tcW w:w="239" w:type="pct"/>
          </w:tcPr>
          <w:p w14:paraId="533147BF" w14:textId="3A538EA7" w:rsidR="00771C66" w:rsidRPr="00320A67" w:rsidRDefault="003540CF" w:rsidP="00A71365">
            <w:pPr>
              <w:pStyle w:val="Tableheading"/>
              <w:autoSpaceDE w:val="0"/>
              <w:autoSpaceDN w:val="0"/>
              <w:adjustRightInd w:val="0"/>
              <w:rPr>
                <w:rFonts w:eastAsiaTheme="minorEastAsia" w:cs="Calibri"/>
                <w:b w:val="0"/>
              </w:rPr>
            </w:pPr>
            <w:r w:rsidRPr="00320A67">
              <w:rPr>
                <w:rFonts w:eastAsiaTheme="minorEastAsia" w:cs="Calibri"/>
                <w:b w:val="0"/>
              </w:rPr>
              <w:t>RCT</w:t>
            </w:r>
          </w:p>
        </w:tc>
        <w:tc>
          <w:tcPr>
            <w:tcW w:w="422" w:type="pct"/>
          </w:tcPr>
          <w:p w14:paraId="255AC195" w14:textId="77777777" w:rsidR="005A5FF0" w:rsidRPr="00320A67" w:rsidRDefault="005A5FF0" w:rsidP="00A71365">
            <w:pPr>
              <w:pStyle w:val="Tableheading"/>
              <w:autoSpaceDE w:val="0"/>
              <w:autoSpaceDN w:val="0"/>
              <w:adjustRightInd w:val="0"/>
              <w:rPr>
                <w:rFonts w:eastAsiaTheme="minorEastAsia" w:cs="Calibri"/>
                <w:b w:val="0"/>
              </w:rPr>
            </w:pPr>
            <w:r w:rsidRPr="00320A67">
              <w:rPr>
                <w:rFonts w:eastAsiaTheme="minorEastAsia" w:cs="Calibri"/>
                <w:b w:val="0"/>
              </w:rPr>
              <w:t>USA, Australia, Canada, Denmark, Finland, Germany, New Zealand, South Africa, Spain, Bulgaria,</w:t>
            </w:r>
          </w:p>
          <w:p w14:paraId="096396C0" w14:textId="25C12834" w:rsidR="005A5FF0" w:rsidRPr="00320A67" w:rsidRDefault="005A5FF0" w:rsidP="00A71365">
            <w:pPr>
              <w:pStyle w:val="Tableheading"/>
              <w:autoSpaceDE w:val="0"/>
              <w:autoSpaceDN w:val="0"/>
              <w:adjustRightInd w:val="0"/>
              <w:rPr>
                <w:rFonts w:eastAsiaTheme="minorEastAsia" w:cs="Calibri"/>
                <w:b w:val="0"/>
              </w:rPr>
            </w:pPr>
            <w:r w:rsidRPr="00320A67">
              <w:rPr>
                <w:rFonts w:eastAsiaTheme="minorEastAsia" w:cs="Calibri"/>
                <w:b w:val="0"/>
              </w:rPr>
              <w:t>Russian Federation, Slovakia, Argentina, Brazil, Chile, and Mexico</w:t>
            </w:r>
          </w:p>
        </w:tc>
        <w:tc>
          <w:tcPr>
            <w:tcW w:w="449" w:type="pct"/>
            <w:tcMar>
              <w:left w:w="28" w:type="dxa"/>
              <w:right w:w="28" w:type="dxa"/>
            </w:tcMar>
          </w:tcPr>
          <w:p w14:paraId="717623C5" w14:textId="77777777" w:rsidR="002F2D96" w:rsidRPr="00320A67" w:rsidRDefault="00A5274A" w:rsidP="00A71365">
            <w:pPr>
              <w:pStyle w:val="Tableheading"/>
              <w:autoSpaceDE w:val="0"/>
              <w:autoSpaceDN w:val="0"/>
              <w:adjustRightInd w:val="0"/>
              <w:rPr>
                <w:rFonts w:eastAsiaTheme="minorEastAsia" w:cs="Calibri"/>
                <w:b w:val="0"/>
              </w:rPr>
            </w:pPr>
            <w:r w:rsidRPr="00320A67">
              <w:rPr>
                <w:rFonts w:eastAsiaTheme="minorEastAsia" w:cs="Calibri"/>
                <w:b w:val="0"/>
              </w:rPr>
              <w:t>N= 8144</w:t>
            </w:r>
          </w:p>
          <w:p w14:paraId="0B038C1C" w14:textId="77777777" w:rsidR="00290A75" w:rsidRPr="00320A67" w:rsidRDefault="00290A75" w:rsidP="00A71365">
            <w:pPr>
              <w:pStyle w:val="Tableheading"/>
              <w:autoSpaceDE w:val="0"/>
              <w:autoSpaceDN w:val="0"/>
              <w:adjustRightInd w:val="0"/>
              <w:rPr>
                <w:rFonts w:eastAsiaTheme="minorEastAsia" w:cs="Calibri"/>
                <w:b w:val="0"/>
              </w:rPr>
            </w:pPr>
          </w:p>
          <w:p w14:paraId="550DBF83" w14:textId="75371B83" w:rsidR="00771C66" w:rsidRPr="00320A67" w:rsidRDefault="00290A75" w:rsidP="00A71365">
            <w:pPr>
              <w:pStyle w:val="Tableheading"/>
              <w:autoSpaceDE w:val="0"/>
              <w:autoSpaceDN w:val="0"/>
              <w:adjustRightInd w:val="0"/>
              <w:rPr>
                <w:rFonts w:eastAsiaTheme="minorEastAsia" w:cs="Calibri"/>
                <w:b w:val="0"/>
              </w:rPr>
            </w:pPr>
            <w:r w:rsidRPr="00320A67">
              <w:rPr>
                <w:rFonts w:eastAsiaTheme="minorEastAsia" w:cs="Calibri"/>
                <w:b w:val="0"/>
                <w:u w:val="single"/>
              </w:rPr>
              <w:t>Special population:</w:t>
            </w:r>
            <w:r w:rsidRPr="00320A67">
              <w:rPr>
                <w:rFonts w:eastAsiaTheme="minorEastAsia" w:cs="Calibri"/>
                <w:b w:val="0"/>
              </w:rPr>
              <w:t xml:space="preserve"> participants psychiatric cohort (n= 4074), non-psychiatric cohort (n= 3984)</w:t>
            </w:r>
          </w:p>
        </w:tc>
        <w:tc>
          <w:tcPr>
            <w:tcW w:w="1271" w:type="pct"/>
            <w:tcMar>
              <w:left w:w="28" w:type="dxa"/>
              <w:right w:w="28" w:type="dxa"/>
            </w:tcMar>
          </w:tcPr>
          <w:p w14:paraId="37B831E5" w14:textId="45936A66" w:rsidR="007A4367" w:rsidRPr="007A4367" w:rsidRDefault="007A4367" w:rsidP="00A71365">
            <w:pPr>
              <w:pStyle w:val="Tablewriting"/>
              <w:rPr>
                <w:rFonts w:eastAsia="MS Mincho"/>
              </w:rPr>
            </w:pPr>
            <w:r w:rsidRPr="007A4367">
              <w:rPr>
                <w:rFonts w:eastAsia="MS Mincho"/>
              </w:rPr>
              <w:t>56% female</w:t>
            </w:r>
            <w:r w:rsidR="00C553D1">
              <w:rPr>
                <w:rFonts w:eastAsia="MS Mincho"/>
              </w:rPr>
              <w:t>,</w:t>
            </w:r>
            <w:r w:rsidRPr="007A4367">
              <w:rPr>
                <w:rFonts w:eastAsia="MS Mincho"/>
              </w:rPr>
              <w:t xml:space="preserve"> average age 46.5</w:t>
            </w:r>
            <w:r w:rsidR="00C553D1">
              <w:rPr>
                <w:rFonts w:eastAsia="MS Mincho"/>
              </w:rPr>
              <w:t>,</w:t>
            </w:r>
            <w:r w:rsidRPr="007A4367">
              <w:rPr>
                <w:rFonts w:eastAsia="MS Mincho"/>
              </w:rPr>
              <w:t xml:space="preserve"> average cigarettes per day 21, mean FTND 5.8</w:t>
            </w:r>
            <w:r w:rsidR="008546E9">
              <w:rPr>
                <w:rFonts w:eastAsia="MS Mincho"/>
              </w:rPr>
              <w:t>.</w:t>
            </w:r>
          </w:p>
          <w:p w14:paraId="3605BEC8" w14:textId="77777777" w:rsidR="00F644C9" w:rsidRDefault="00F644C9" w:rsidP="00A71365">
            <w:pPr>
              <w:pStyle w:val="Tablewriting"/>
              <w:rPr>
                <w:rFonts w:eastAsia="MS Mincho"/>
              </w:rPr>
            </w:pPr>
          </w:p>
          <w:p w14:paraId="361C9D98" w14:textId="0AF5878A" w:rsidR="00771C66" w:rsidRPr="00061F78" w:rsidRDefault="007A4367" w:rsidP="00A71365">
            <w:pPr>
              <w:pStyle w:val="Tablewriting"/>
              <w:rPr>
                <w:rFonts w:eastAsia="MS Mincho"/>
              </w:rPr>
            </w:pPr>
            <w:r w:rsidRPr="007A4367">
              <w:rPr>
                <w:rFonts w:eastAsia="MS Mincho"/>
              </w:rPr>
              <w:t>Participants were included in the psychiatric cohort if they met</w:t>
            </w:r>
            <w:r w:rsidR="008D7405">
              <w:rPr>
                <w:rFonts w:eastAsia="MS Mincho"/>
              </w:rPr>
              <w:t xml:space="preserve"> </w:t>
            </w:r>
            <w:r w:rsidRPr="007A4367">
              <w:rPr>
                <w:rFonts w:eastAsia="MS Mincho"/>
              </w:rPr>
              <w:t>Diagnostic and Statistical Manual of DSM-IV-TR diagnostic</w:t>
            </w:r>
            <w:r w:rsidR="008D7405">
              <w:rPr>
                <w:rFonts w:eastAsia="MS Mincho"/>
              </w:rPr>
              <w:t xml:space="preserve"> </w:t>
            </w:r>
            <w:r w:rsidRPr="007A4367">
              <w:rPr>
                <w:rFonts w:eastAsia="MS Mincho"/>
              </w:rPr>
              <w:t>criteria for mood disorders including major depressive disorder or bipolar disorder; anxiety disorders</w:t>
            </w:r>
            <w:r w:rsidR="002955E5">
              <w:rPr>
                <w:rFonts w:eastAsia="MS Mincho"/>
              </w:rPr>
              <w:t xml:space="preserve"> </w:t>
            </w:r>
            <w:r w:rsidRPr="007A4367">
              <w:rPr>
                <w:rFonts w:eastAsia="MS Mincho"/>
              </w:rPr>
              <w:t>including panic disorder, with or without agoraphobia, post-traumatic stress disorder, obsessive-compulsive disorder, social phobia, and generalized anxiety disorder; psychotic disorders including</w:t>
            </w:r>
            <w:r w:rsidR="002955E5">
              <w:rPr>
                <w:rFonts w:eastAsia="MS Mincho"/>
              </w:rPr>
              <w:t xml:space="preserve"> </w:t>
            </w:r>
            <w:r w:rsidRPr="007A4367">
              <w:rPr>
                <w:rFonts w:eastAsia="MS Mincho"/>
              </w:rPr>
              <w:t>schizophrenia and schizoaffective disorders; or borderline personality disorder. Participants in the</w:t>
            </w:r>
            <w:r w:rsidR="002955E5">
              <w:rPr>
                <w:rFonts w:eastAsia="MS Mincho"/>
              </w:rPr>
              <w:t xml:space="preserve"> </w:t>
            </w:r>
            <w:r w:rsidRPr="007A4367">
              <w:rPr>
                <w:rFonts w:eastAsia="MS Mincho"/>
              </w:rPr>
              <w:t>non-psychiatric cohort had no confirmed history of DSM-IV-TR Axis I or II disorders.</w:t>
            </w:r>
          </w:p>
        </w:tc>
        <w:tc>
          <w:tcPr>
            <w:tcW w:w="1224" w:type="pct"/>
          </w:tcPr>
          <w:p w14:paraId="67907B67" w14:textId="5A117EAD" w:rsidR="00210580" w:rsidRPr="00210580" w:rsidRDefault="00210580" w:rsidP="00C324F3">
            <w:pPr>
              <w:pStyle w:val="Tablewriting"/>
              <w:numPr>
                <w:ilvl w:val="0"/>
                <w:numId w:val="9"/>
              </w:numPr>
              <w:rPr>
                <w:rFonts w:eastAsia="MS Mincho"/>
              </w:rPr>
            </w:pPr>
            <w:r w:rsidRPr="00210580">
              <w:rPr>
                <w:rFonts w:eastAsia="MS Mincho"/>
              </w:rPr>
              <w:t xml:space="preserve">Bupropion sustained release </w:t>
            </w:r>
            <w:r w:rsidR="00922FB2" w:rsidRPr="00210580">
              <w:rPr>
                <w:rFonts w:eastAsia="MS Mincho"/>
              </w:rPr>
              <w:t>150 mg twice a day</w:t>
            </w:r>
            <w:r w:rsidR="00922FB2">
              <w:rPr>
                <w:rFonts w:eastAsia="MS Mincho"/>
              </w:rPr>
              <w:t xml:space="preserve">, </w:t>
            </w:r>
            <w:r w:rsidRPr="00210580">
              <w:rPr>
                <w:rFonts w:eastAsia="MS Mincho"/>
              </w:rPr>
              <w:t>and placebo varenicline and placebo nicotine patch</w:t>
            </w:r>
          </w:p>
          <w:p w14:paraId="68A37FF0" w14:textId="2A109ADB" w:rsidR="00210580" w:rsidRPr="00072AD3" w:rsidRDefault="00210580" w:rsidP="00C324F3">
            <w:pPr>
              <w:pStyle w:val="Tablewriting"/>
              <w:numPr>
                <w:ilvl w:val="0"/>
                <w:numId w:val="9"/>
              </w:numPr>
              <w:rPr>
                <w:rFonts w:eastAsia="MS Mincho"/>
              </w:rPr>
            </w:pPr>
            <w:r w:rsidRPr="00210580">
              <w:rPr>
                <w:rFonts w:eastAsia="MS Mincho"/>
              </w:rPr>
              <w:t xml:space="preserve">Varenicline </w:t>
            </w:r>
            <w:r w:rsidR="00EB78F9" w:rsidRPr="00210580">
              <w:rPr>
                <w:rFonts w:eastAsia="MS Mincho"/>
              </w:rPr>
              <w:t>1 mg twice a day</w:t>
            </w:r>
            <w:r w:rsidR="000F0658">
              <w:rPr>
                <w:rFonts w:eastAsia="MS Mincho"/>
              </w:rPr>
              <w:t xml:space="preserve">, </w:t>
            </w:r>
            <w:r w:rsidRPr="00210580">
              <w:rPr>
                <w:rFonts w:eastAsia="MS Mincho"/>
              </w:rPr>
              <w:t>and placebo bupropion sustained release and placebo nicotine patch</w:t>
            </w:r>
          </w:p>
          <w:p w14:paraId="5C66DA62" w14:textId="346BE3D8" w:rsidR="00210580" w:rsidRPr="00072AD3" w:rsidRDefault="00210580" w:rsidP="00C324F3">
            <w:pPr>
              <w:pStyle w:val="Tablewriting"/>
              <w:numPr>
                <w:ilvl w:val="0"/>
                <w:numId w:val="9"/>
              </w:numPr>
              <w:rPr>
                <w:rFonts w:eastAsia="MS Mincho"/>
              </w:rPr>
            </w:pPr>
            <w:r w:rsidRPr="00210580">
              <w:rPr>
                <w:rFonts w:eastAsia="MS Mincho"/>
              </w:rPr>
              <w:t xml:space="preserve">Transdermal nicotine patch </w:t>
            </w:r>
            <w:r w:rsidR="000F0658" w:rsidRPr="00210580">
              <w:rPr>
                <w:rFonts w:eastAsia="MS Mincho"/>
              </w:rPr>
              <w:t>21 mg</w:t>
            </w:r>
            <w:r w:rsidR="000F0658">
              <w:rPr>
                <w:rFonts w:eastAsia="MS Mincho"/>
              </w:rPr>
              <w:t xml:space="preserve"> </w:t>
            </w:r>
            <w:r w:rsidR="000F0658" w:rsidRPr="00072AD3">
              <w:rPr>
                <w:rFonts w:eastAsia="MS Mincho"/>
              </w:rPr>
              <w:t>per day with taper for 12 weeks</w:t>
            </w:r>
            <w:r w:rsidR="000F0658">
              <w:rPr>
                <w:rFonts w:eastAsia="MS Mincho"/>
              </w:rPr>
              <w:t xml:space="preserve">, </w:t>
            </w:r>
            <w:r w:rsidRPr="00210580">
              <w:rPr>
                <w:rFonts w:eastAsia="MS Mincho"/>
              </w:rPr>
              <w:t>and placebo varenicline and placebo bupropion sustained release</w:t>
            </w:r>
          </w:p>
          <w:p w14:paraId="72D048EC" w14:textId="6A9A16DC" w:rsidR="00210580" w:rsidRPr="00072AD3" w:rsidRDefault="00210580" w:rsidP="00C324F3">
            <w:pPr>
              <w:pStyle w:val="Tablewriting"/>
              <w:numPr>
                <w:ilvl w:val="0"/>
                <w:numId w:val="9"/>
              </w:numPr>
              <w:rPr>
                <w:rFonts w:eastAsia="MS Mincho"/>
              </w:rPr>
            </w:pPr>
            <w:r w:rsidRPr="00210580">
              <w:rPr>
                <w:rFonts w:eastAsia="MS Mincho"/>
              </w:rPr>
              <w:t>Placebo bupropion sustained release and placebo varenicline and placebo nicotine patch</w:t>
            </w:r>
          </w:p>
          <w:p w14:paraId="18C54E2B" w14:textId="59832DFC" w:rsidR="003D2AB2" w:rsidRPr="00072AD3" w:rsidRDefault="003D2AB2" w:rsidP="00A71365">
            <w:pPr>
              <w:pStyle w:val="Tablewriting"/>
              <w:rPr>
                <w:rFonts w:eastAsia="MS Mincho"/>
              </w:rPr>
            </w:pPr>
            <w:r>
              <w:rPr>
                <w:rFonts w:eastAsia="MS Mincho"/>
              </w:rPr>
              <w:t xml:space="preserve">Treatment duration was 12 weeks. </w:t>
            </w:r>
          </w:p>
          <w:p w14:paraId="4BEADDD0" w14:textId="77777777" w:rsidR="00210580" w:rsidRDefault="00210580" w:rsidP="00A71365">
            <w:pPr>
              <w:pStyle w:val="Tablewriting"/>
              <w:rPr>
                <w:rFonts w:eastAsia="MS Mincho"/>
              </w:rPr>
            </w:pPr>
          </w:p>
          <w:p w14:paraId="75DF6117" w14:textId="31A55206" w:rsidR="00771C66" w:rsidRPr="00061F78" w:rsidRDefault="00210580" w:rsidP="00A71365">
            <w:pPr>
              <w:pStyle w:val="Tablewriting"/>
              <w:rPr>
                <w:rFonts w:eastAsia="MS Mincho"/>
              </w:rPr>
            </w:pPr>
            <w:r w:rsidRPr="0096450D">
              <w:rPr>
                <w:rFonts w:eastAsia="MS Mincho"/>
                <w:u w:val="single"/>
              </w:rPr>
              <w:t>Common components:</w:t>
            </w:r>
            <w:r w:rsidRPr="00210580">
              <w:rPr>
                <w:rFonts w:eastAsia="MS Mincho"/>
              </w:rPr>
              <w:t xml:space="preserve"> smoking cessation counselling consisting of </w:t>
            </w:r>
            <w:r w:rsidR="0096450D" w:rsidRPr="00210580">
              <w:rPr>
                <w:rFonts w:eastAsia="MS Mincho"/>
              </w:rPr>
              <w:t>10-</w:t>
            </w:r>
            <w:r w:rsidR="0096450D" w:rsidRPr="00210580">
              <w:rPr>
                <w:rFonts w:eastAsia="MS Mincho"/>
              </w:rPr>
              <w:lastRenderedPageBreak/>
              <w:t>minute</w:t>
            </w:r>
            <w:r w:rsidRPr="00210580">
              <w:rPr>
                <w:rFonts w:eastAsia="MS Mincho"/>
              </w:rPr>
              <w:t xml:space="preserve"> sessions at each of the</w:t>
            </w:r>
            <w:r w:rsidR="00887DF9">
              <w:rPr>
                <w:rFonts w:eastAsia="MS Mincho"/>
              </w:rPr>
              <w:t xml:space="preserve"> </w:t>
            </w:r>
            <w:r w:rsidRPr="00210580">
              <w:rPr>
                <w:rFonts w:eastAsia="MS Mincho"/>
              </w:rPr>
              <w:t>15 clinic visits, totalling 2 hours and 30 minutes</w:t>
            </w:r>
            <w:r w:rsidR="000E5A5C">
              <w:rPr>
                <w:rFonts w:eastAsia="MS Mincho"/>
              </w:rPr>
              <w:t>.</w:t>
            </w:r>
          </w:p>
        </w:tc>
        <w:tc>
          <w:tcPr>
            <w:tcW w:w="832" w:type="pct"/>
            <w:tcMar>
              <w:left w:w="28" w:type="dxa"/>
              <w:right w:w="28" w:type="dxa"/>
            </w:tcMar>
          </w:tcPr>
          <w:p w14:paraId="78EA8F45" w14:textId="6C154A4C" w:rsidR="00F270CA" w:rsidRPr="00F270CA" w:rsidRDefault="004969C1" w:rsidP="00A71365">
            <w:pPr>
              <w:pStyle w:val="Tablewriting"/>
              <w:rPr>
                <w:rFonts w:eastAsia="MS Mincho"/>
              </w:rPr>
            </w:pPr>
            <w:r w:rsidRPr="004969C1">
              <w:rPr>
                <w:rFonts w:eastAsia="MS Mincho"/>
                <w:u w:val="single"/>
              </w:rPr>
              <w:lastRenderedPageBreak/>
              <w:t>Efficacy</w:t>
            </w:r>
            <w:r w:rsidR="00F270CA" w:rsidRPr="004969C1">
              <w:rPr>
                <w:rFonts w:eastAsia="MS Mincho"/>
                <w:u w:val="single"/>
              </w:rPr>
              <w:t>:</w:t>
            </w:r>
            <w:r w:rsidR="00F270CA" w:rsidRPr="00F270CA">
              <w:rPr>
                <w:rFonts w:eastAsia="MS Mincho"/>
              </w:rPr>
              <w:t xml:space="preserve"> continuous abstinence from week 9 to week 24 post-quit date (validated by CO</w:t>
            </w:r>
          </w:p>
          <w:p w14:paraId="59875548" w14:textId="4365A9FD" w:rsidR="00F270CA" w:rsidRPr="00F270CA" w:rsidRDefault="003F5E89" w:rsidP="00A71365">
            <w:pPr>
              <w:pStyle w:val="Tablewriting"/>
              <w:rPr>
                <w:rFonts w:eastAsia="MS Mincho"/>
              </w:rPr>
            </w:pPr>
            <w:r w:rsidRPr="00D96BA4">
              <w:rPr>
                <w:rFonts w:eastAsia="MS Mincho"/>
              </w:rPr>
              <w:t>≤</w:t>
            </w:r>
            <w:r w:rsidR="00F270CA" w:rsidRPr="00F270CA">
              <w:rPr>
                <w:rFonts w:eastAsia="MS Mincho"/>
              </w:rPr>
              <w:t xml:space="preserve"> 10 ppm)</w:t>
            </w:r>
            <w:r w:rsidR="00C553D1">
              <w:rPr>
                <w:rFonts w:eastAsia="MS Mincho"/>
              </w:rPr>
              <w:t>.</w:t>
            </w:r>
          </w:p>
          <w:p w14:paraId="34B7AD57" w14:textId="2E372E12" w:rsidR="00771C66" w:rsidRPr="00061F78" w:rsidRDefault="004969C1" w:rsidP="00A71365">
            <w:pPr>
              <w:pStyle w:val="Tablewriting"/>
              <w:rPr>
                <w:rFonts w:eastAsia="MS Mincho"/>
              </w:rPr>
            </w:pPr>
            <w:r w:rsidRPr="004969C1">
              <w:rPr>
                <w:rFonts w:eastAsia="MS Mincho"/>
                <w:u w:val="single"/>
              </w:rPr>
              <w:t>Safety</w:t>
            </w:r>
            <w:r w:rsidR="00F270CA" w:rsidRPr="004969C1">
              <w:rPr>
                <w:rFonts w:eastAsia="MS Mincho"/>
                <w:u w:val="single"/>
              </w:rPr>
              <w:t>:</w:t>
            </w:r>
            <w:r w:rsidR="00F270CA" w:rsidRPr="00F270CA">
              <w:rPr>
                <w:rFonts w:eastAsia="MS Mincho"/>
              </w:rPr>
              <w:t xml:space="preserve"> measured within 12-week treatment period, or for 30 days thereafter</w:t>
            </w:r>
            <w:r w:rsidR="00C553D1">
              <w:rPr>
                <w:rFonts w:eastAsia="MS Mincho"/>
              </w:rPr>
              <w:t>.</w:t>
            </w:r>
          </w:p>
        </w:tc>
      </w:tr>
      <w:tr w:rsidR="00541274" w:rsidRPr="00061F78" w14:paraId="527DE1E9" w14:textId="77777777" w:rsidTr="00D0517F">
        <w:trPr>
          <w:trHeight w:val="149"/>
        </w:trPr>
        <w:tc>
          <w:tcPr>
            <w:tcW w:w="565" w:type="pct"/>
            <w:tcMar>
              <w:left w:w="28" w:type="dxa"/>
              <w:right w:w="28" w:type="dxa"/>
            </w:tcMar>
          </w:tcPr>
          <w:p w14:paraId="0E6A4FD0" w14:textId="5A8697B3" w:rsidR="00541274" w:rsidRPr="00541274" w:rsidRDefault="0013284A" w:rsidP="00A71365">
            <w:pPr>
              <w:pStyle w:val="Tablewriting"/>
              <w:rPr>
                <w:rFonts w:eastAsia="MS Mincho"/>
              </w:rPr>
            </w:pPr>
            <w:r w:rsidRPr="0013284A">
              <w:rPr>
                <w:rFonts w:eastAsia="MS Mincho"/>
              </w:rPr>
              <w:t xml:space="preserve">Aubin </w:t>
            </w:r>
            <w:r w:rsidR="0065538B">
              <w:rPr>
                <w:rFonts w:eastAsia="MS Mincho"/>
              </w:rPr>
              <w:t>(</w:t>
            </w:r>
            <w:r w:rsidRPr="0013284A">
              <w:rPr>
                <w:rFonts w:eastAsia="MS Mincho"/>
              </w:rPr>
              <w:t>2004</w:t>
            </w:r>
            <w:r w:rsidR="0065538B">
              <w:rPr>
                <w:rFonts w:eastAsia="MS Mincho"/>
              </w:rPr>
              <w:t>)</w:t>
            </w:r>
          </w:p>
        </w:tc>
        <w:tc>
          <w:tcPr>
            <w:tcW w:w="239" w:type="pct"/>
          </w:tcPr>
          <w:p w14:paraId="1F84A2F9" w14:textId="589E971D" w:rsidR="00541274" w:rsidRDefault="003469C1" w:rsidP="00A71365">
            <w:pPr>
              <w:pStyle w:val="Tablewriting"/>
              <w:rPr>
                <w:rFonts w:eastAsia="MS Mincho"/>
              </w:rPr>
            </w:pPr>
            <w:r>
              <w:rPr>
                <w:rFonts w:eastAsia="MS Mincho"/>
              </w:rPr>
              <w:t>RCT</w:t>
            </w:r>
          </w:p>
        </w:tc>
        <w:tc>
          <w:tcPr>
            <w:tcW w:w="422" w:type="pct"/>
          </w:tcPr>
          <w:p w14:paraId="47846E5F" w14:textId="37F097FB" w:rsidR="003469C1" w:rsidRPr="003469C1" w:rsidRDefault="003469C1" w:rsidP="00A71365">
            <w:pPr>
              <w:pStyle w:val="Tablewriting"/>
              <w:rPr>
                <w:rFonts w:eastAsia="MS Mincho"/>
              </w:rPr>
            </w:pPr>
            <w:r w:rsidRPr="003469C1">
              <w:rPr>
                <w:rFonts w:eastAsia="MS Mincho"/>
              </w:rPr>
              <w:t>France</w:t>
            </w:r>
          </w:p>
        </w:tc>
        <w:tc>
          <w:tcPr>
            <w:tcW w:w="449" w:type="pct"/>
            <w:tcMar>
              <w:left w:w="28" w:type="dxa"/>
              <w:right w:w="28" w:type="dxa"/>
            </w:tcMar>
          </w:tcPr>
          <w:p w14:paraId="3E6CFE14" w14:textId="2FDA7674" w:rsidR="00541274" w:rsidRPr="00061F78" w:rsidRDefault="000E0276" w:rsidP="00A71365">
            <w:pPr>
              <w:pStyle w:val="Tablewriting"/>
              <w:rPr>
                <w:rFonts w:eastAsia="MS Mincho"/>
              </w:rPr>
            </w:pPr>
            <w:r>
              <w:rPr>
                <w:rFonts w:eastAsia="MS Mincho"/>
              </w:rPr>
              <w:t>N=504</w:t>
            </w:r>
            <w:r w:rsidR="00301AA7">
              <w:rPr>
                <w:rFonts w:eastAsia="MS Mincho"/>
              </w:rPr>
              <w:t>; n=</w:t>
            </w:r>
            <w:r w:rsidR="00301AA7" w:rsidRPr="00301AA7">
              <w:rPr>
                <w:rFonts w:eastAsia="MS Mincho"/>
              </w:rPr>
              <w:t>34</w:t>
            </w:r>
            <w:r w:rsidR="00DC068A">
              <w:rPr>
                <w:rFonts w:eastAsia="MS Mincho"/>
              </w:rPr>
              <w:t>0</w:t>
            </w:r>
            <w:r w:rsidR="00301AA7" w:rsidRPr="00301AA7">
              <w:rPr>
                <w:rFonts w:eastAsia="MS Mincho"/>
              </w:rPr>
              <w:t xml:space="preserve"> </w:t>
            </w:r>
            <w:r w:rsidR="00301AA7">
              <w:rPr>
                <w:rFonts w:eastAsia="MS Mincho"/>
              </w:rPr>
              <w:t>(</w:t>
            </w:r>
            <w:r w:rsidR="00301AA7" w:rsidRPr="00301AA7">
              <w:rPr>
                <w:rFonts w:eastAsia="MS Mincho"/>
              </w:rPr>
              <w:t>bupropion</w:t>
            </w:r>
            <w:r w:rsidR="00301AA7">
              <w:rPr>
                <w:rFonts w:eastAsia="MS Mincho"/>
              </w:rPr>
              <w:t>),</w:t>
            </w:r>
            <w:r w:rsidR="00301AA7" w:rsidRPr="00301AA7">
              <w:rPr>
                <w:rFonts w:eastAsia="MS Mincho"/>
              </w:rPr>
              <w:t xml:space="preserve"> </w:t>
            </w:r>
            <w:r w:rsidR="00301AA7">
              <w:rPr>
                <w:rFonts w:eastAsia="MS Mincho"/>
              </w:rPr>
              <w:t>n=</w:t>
            </w:r>
            <w:r w:rsidR="00301AA7" w:rsidRPr="00301AA7">
              <w:rPr>
                <w:rFonts w:eastAsia="MS Mincho"/>
              </w:rPr>
              <w:t>16</w:t>
            </w:r>
            <w:r w:rsidR="00DC068A">
              <w:rPr>
                <w:rFonts w:eastAsia="MS Mincho"/>
              </w:rPr>
              <w:t xml:space="preserve">4 </w:t>
            </w:r>
            <w:r w:rsidR="00301AA7">
              <w:rPr>
                <w:rFonts w:eastAsia="MS Mincho"/>
              </w:rPr>
              <w:t>(</w:t>
            </w:r>
            <w:r w:rsidR="00301AA7" w:rsidRPr="00301AA7">
              <w:rPr>
                <w:rFonts w:eastAsia="MS Mincho"/>
              </w:rPr>
              <w:t>placebo)</w:t>
            </w:r>
          </w:p>
        </w:tc>
        <w:tc>
          <w:tcPr>
            <w:tcW w:w="1271" w:type="pct"/>
            <w:tcMar>
              <w:left w:w="28" w:type="dxa"/>
              <w:right w:w="28" w:type="dxa"/>
            </w:tcMar>
          </w:tcPr>
          <w:p w14:paraId="765C1403" w14:textId="3C6DAE3A" w:rsidR="00541274" w:rsidRPr="00061F78" w:rsidRDefault="000E0276" w:rsidP="00A71365">
            <w:pPr>
              <w:pStyle w:val="Tablewriting"/>
              <w:rPr>
                <w:rFonts w:eastAsia="MS Mincho"/>
              </w:rPr>
            </w:pPr>
            <w:r w:rsidRPr="000E0276">
              <w:rPr>
                <w:rFonts w:eastAsia="MS Mincho"/>
              </w:rPr>
              <w:t>56% female, average age 41, average cigarettes per day</w:t>
            </w:r>
            <w:r w:rsidR="00DE1068">
              <w:rPr>
                <w:rFonts w:eastAsia="MS Mincho"/>
              </w:rPr>
              <w:t xml:space="preserve"> was</w:t>
            </w:r>
            <w:r w:rsidRPr="000E0276">
              <w:rPr>
                <w:rFonts w:eastAsia="MS Mincho"/>
              </w:rPr>
              <w:t xml:space="preserve"> not stated</w:t>
            </w:r>
            <w:r w:rsidR="00DE1068">
              <w:rPr>
                <w:rFonts w:eastAsia="MS Mincho"/>
              </w:rPr>
              <w:t>.</w:t>
            </w:r>
          </w:p>
        </w:tc>
        <w:tc>
          <w:tcPr>
            <w:tcW w:w="1224" w:type="pct"/>
          </w:tcPr>
          <w:p w14:paraId="5C1C15E6" w14:textId="0CC5ED25" w:rsidR="008201C0" w:rsidRPr="008201C0" w:rsidRDefault="008201C0" w:rsidP="00C324F3">
            <w:pPr>
              <w:pStyle w:val="Tablewriting"/>
              <w:numPr>
                <w:ilvl w:val="0"/>
                <w:numId w:val="10"/>
              </w:numPr>
              <w:rPr>
                <w:rFonts w:eastAsia="MS Mincho"/>
              </w:rPr>
            </w:pPr>
            <w:r w:rsidRPr="008201C0">
              <w:rPr>
                <w:rFonts w:eastAsia="MS Mincho"/>
              </w:rPr>
              <w:t>Bupropion 300 mg</w:t>
            </w:r>
            <w:r w:rsidR="00FA5AC1">
              <w:rPr>
                <w:rFonts w:eastAsia="MS Mincho"/>
              </w:rPr>
              <w:t>/day</w:t>
            </w:r>
            <w:r w:rsidRPr="008201C0">
              <w:rPr>
                <w:rFonts w:eastAsia="MS Mincho"/>
              </w:rPr>
              <w:t xml:space="preserve"> for 7 weeks</w:t>
            </w:r>
          </w:p>
          <w:p w14:paraId="3C80FD55" w14:textId="6A6A2BF0" w:rsidR="008201C0" w:rsidRPr="008201C0" w:rsidRDefault="008201C0" w:rsidP="00C324F3">
            <w:pPr>
              <w:pStyle w:val="Tablewriting"/>
              <w:numPr>
                <w:ilvl w:val="0"/>
                <w:numId w:val="10"/>
              </w:numPr>
              <w:rPr>
                <w:rFonts w:eastAsia="MS Mincho"/>
              </w:rPr>
            </w:pPr>
            <w:r w:rsidRPr="008201C0">
              <w:rPr>
                <w:rFonts w:eastAsia="MS Mincho"/>
              </w:rPr>
              <w:t>Placebo</w:t>
            </w:r>
          </w:p>
          <w:p w14:paraId="38A77487" w14:textId="77777777" w:rsidR="008201C0" w:rsidRDefault="008201C0" w:rsidP="00A71365">
            <w:pPr>
              <w:pStyle w:val="Tablewriting"/>
              <w:rPr>
                <w:rFonts w:eastAsia="MS Mincho"/>
              </w:rPr>
            </w:pPr>
          </w:p>
          <w:p w14:paraId="4578B39F" w14:textId="35704377" w:rsidR="00541274" w:rsidRPr="00061F78" w:rsidRDefault="008201C0" w:rsidP="00A71365">
            <w:pPr>
              <w:pStyle w:val="Tablewriting"/>
              <w:rPr>
                <w:rFonts w:eastAsia="MS Mincho"/>
              </w:rPr>
            </w:pPr>
            <w:r w:rsidRPr="008201C0">
              <w:rPr>
                <w:rFonts w:eastAsia="MS Mincho"/>
                <w:u w:val="single"/>
              </w:rPr>
              <w:t>Common components:</w:t>
            </w:r>
            <w:r>
              <w:rPr>
                <w:rFonts w:eastAsia="MS Mincho"/>
                <w:u w:val="single"/>
              </w:rPr>
              <w:t xml:space="preserve"> </w:t>
            </w:r>
            <w:r w:rsidRPr="00AC66CC">
              <w:rPr>
                <w:rFonts w:eastAsia="MS Mincho"/>
              </w:rPr>
              <w:t>M</w:t>
            </w:r>
            <w:r w:rsidRPr="008201C0">
              <w:rPr>
                <w:rFonts w:eastAsia="MS Mincho"/>
              </w:rPr>
              <w:t>otivational support at clinic visits at baseline</w:t>
            </w:r>
            <w:r w:rsidR="00763500">
              <w:rPr>
                <w:rFonts w:eastAsia="MS Mincho"/>
              </w:rPr>
              <w:t xml:space="preserve"> (</w:t>
            </w:r>
            <w:r w:rsidRPr="008201C0">
              <w:rPr>
                <w:rFonts w:eastAsia="MS Mincho"/>
              </w:rPr>
              <w:t>w</w:t>
            </w:r>
            <w:r w:rsidR="005D6594">
              <w:rPr>
                <w:rFonts w:eastAsia="MS Mincho"/>
              </w:rPr>
              <w:t xml:space="preserve">eek </w:t>
            </w:r>
            <w:r w:rsidRPr="008201C0">
              <w:rPr>
                <w:rFonts w:eastAsia="MS Mincho"/>
              </w:rPr>
              <w:t xml:space="preserve">3, 7, </w:t>
            </w:r>
            <w:r w:rsidR="00F116E7">
              <w:rPr>
                <w:rFonts w:eastAsia="MS Mincho"/>
              </w:rPr>
              <w:t>and</w:t>
            </w:r>
            <w:r w:rsidR="005D6594">
              <w:rPr>
                <w:rFonts w:eastAsia="MS Mincho"/>
              </w:rPr>
              <w:t xml:space="preserve"> </w:t>
            </w:r>
            <w:r w:rsidRPr="008201C0">
              <w:rPr>
                <w:rFonts w:eastAsia="MS Mincho"/>
              </w:rPr>
              <w:t>12</w:t>
            </w:r>
            <w:r w:rsidR="00763500">
              <w:rPr>
                <w:rFonts w:eastAsia="MS Mincho"/>
              </w:rPr>
              <w:t>)</w:t>
            </w:r>
            <w:r w:rsidRPr="008201C0">
              <w:rPr>
                <w:rFonts w:eastAsia="MS Mincho"/>
              </w:rPr>
              <w:t xml:space="preserve"> and 3 phone calls</w:t>
            </w:r>
            <w:r>
              <w:rPr>
                <w:rFonts w:eastAsia="MS Mincho"/>
              </w:rPr>
              <w:t xml:space="preserve"> </w:t>
            </w:r>
            <w:r w:rsidRPr="008201C0">
              <w:rPr>
                <w:rFonts w:eastAsia="MS Mincho"/>
              </w:rPr>
              <w:t>TQD, 2 to 3 days later</w:t>
            </w:r>
            <w:r w:rsidR="00763500">
              <w:rPr>
                <w:rFonts w:eastAsia="MS Mincho"/>
              </w:rPr>
              <w:t xml:space="preserve"> (</w:t>
            </w:r>
            <w:r w:rsidRPr="008201C0">
              <w:rPr>
                <w:rFonts w:eastAsia="MS Mincho"/>
              </w:rPr>
              <w:t>w</w:t>
            </w:r>
            <w:r w:rsidR="005D6594">
              <w:rPr>
                <w:rFonts w:eastAsia="MS Mincho"/>
              </w:rPr>
              <w:t xml:space="preserve">eek </w:t>
            </w:r>
            <w:r w:rsidRPr="008201C0">
              <w:rPr>
                <w:rFonts w:eastAsia="MS Mincho"/>
              </w:rPr>
              <w:t>5</w:t>
            </w:r>
            <w:r w:rsidR="00763500">
              <w:rPr>
                <w:rFonts w:eastAsia="MS Mincho"/>
              </w:rPr>
              <w:t xml:space="preserve"> and </w:t>
            </w:r>
            <w:r w:rsidRPr="008201C0">
              <w:rPr>
                <w:rFonts w:eastAsia="MS Mincho"/>
              </w:rPr>
              <w:t>18</w:t>
            </w:r>
            <w:r w:rsidR="00763500">
              <w:rPr>
                <w:rFonts w:eastAsia="MS Mincho"/>
              </w:rPr>
              <w:t>)</w:t>
            </w:r>
          </w:p>
        </w:tc>
        <w:tc>
          <w:tcPr>
            <w:tcW w:w="832" w:type="pct"/>
            <w:tcMar>
              <w:left w:w="28" w:type="dxa"/>
              <w:right w:w="28" w:type="dxa"/>
            </w:tcMar>
          </w:tcPr>
          <w:p w14:paraId="666EC7DF" w14:textId="77777777" w:rsidR="00F11C03" w:rsidRDefault="002D4421" w:rsidP="00A71365">
            <w:pPr>
              <w:pStyle w:val="Tablewriting"/>
              <w:rPr>
                <w:rFonts w:eastAsia="MS Mincho"/>
              </w:rPr>
            </w:pPr>
            <w:r w:rsidRPr="002D4421">
              <w:rPr>
                <w:rFonts w:eastAsia="MS Mincho"/>
                <w:u w:val="single"/>
              </w:rPr>
              <w:t>Efficacy:</w:t>
            </w:r>
            <w:r>
              <w:rPr>
                <w:rFonts w:eastAsia="MS Mincho"/>
              </w:rPr>
              <w:t xml:space="preserve"> </w:t>
            </w:r>
          </w:p>
          <w:p w14:paraId="09A2DCBB" w14:textId="05545D5C" w:rsidR="00F11C03" w:rsidRDefault="005D5C89" w:rsidP="00A71365">
            <w:pPr>
              <w:pStyle w:val="Tablewriting"/>
              <w:rPr>
                <w:rFonts w:eastAsia="MS Mincho"/>
              </w:rPr>
            </w:pPr>
            <w:r w:rsidRPr="005D5C89">
              <w:rPr>
                <w:rFonts w:eastAsia="MS Mincho"/>
              </w:rPr>
              <w:t>The primary efficacy criterion was point prevalence abstinence</w:t>
            </w:r>
            <w:r w:rsidR="00302972">
              <w:rPr>
                <w:rFonts w:eastAsia="MS Mincho"/>
              </w:rPr>
              <w:t xml:space="preserve"> </w:t>
            </w:r>
            <w:r w:rsidR="008139D1">
              <w:rPr>
                <w:rFonts w:eastAsia="MS Mincho"/>
              </w:rPr>
              <w:t>(PPA)</w:t>
            </w:r>
            <w:r w:rsidR="00302972">
              <w:rPr>
                <w:rFonts w:eastAsia="MS Mincho"/>
              </w:rPr>
              <w:t xml:space="preserve"> </w:t>
            </w:r>
            <w:r w:rsidRPr="005D5C89">
              <w:rPr>
                <w:rFonts w:eastAsia="MS Mincho"/>
              </w:rPr>
              <w:t>at</w:t>
            </w:r>
            <w:r w:rsidR="007D1F3D">
              <w:rPr>
                <w:rFonts w:eastAsia="MS Mincho"/>
              </w:rPr>
              <w:t xml:space="preserve"> </w:t>
            </w:r>
            <w:r w:rsidRPr="005D5C89">
              <w:rPr>
                <w:rFonts w:eastAsia="MS Mincho"/>
              </w:rPr>
              <w:t>week 26.</w:t>
            </w:r>
          </w:p>
          <w:p w14:paraId="259B8532" w14:textId="77777777" w:rsidR="006715A1" w:rsidRDefault="006715A1" w:rsidP="00A71365">
            <w:pPr>
              <w:pStyle w:val="Tablewriting"/>
              <w:rPr>
                <w:rFonts w:eastAsia="MS Mincho"/>
              </w:rPr>
            </w:pPr>
          </w:p>
          <w:p w14:paraId="5CBD9F87" w14:textId="67DD087D" w:rsidR="00F11C03" w:rsidRPr="00F11C03" w:rsidRDefault="00F11C03" w:rsidP="00A71365">
            <w:pPr>
              <w:pStyle w:val="Tablewriting"/>
              <w:rPr>
                <w:rFonts w:eastAsia="MS Mincho"/>
              </w:rPr>
            </w:pPr>
            <w:r w:rsidRPr="00F11C03">
              <w:rPr>
                <w:rFonts w:eastAsia="MS Mincho"/>
              </w:rPr>
              <w:t>Secondary efficacy criteria were point prevalence abstinence</w:t>
            </w:r>
          </w:p>
          <w:p w14:paraId="497128C1" w14:textId="7523FAD2" w:rsidR="005D5C89" w:rsidRDefault="00F11C03" w:rsidP="00A71365">
            <w:pPr>
              <w:pStyle w:val="Tablewriting"/>
              <w:rPr>
                <w:rFonts w:eastAsia="MS Mincho"/>
              </w:rPr>
            </w:pPr>
            <w:r w:rsidRPr="00F11C03">
              <w:rPr>
                <w:rFonts w:eastAsia="MS Mincho"/>
              </w:rPr>
              <w:t>at the end of the treatment phase (week 7), the</w:t>
            </w:r>
            <w:r w:rsidR="006715A1">
              <w:rPr>
                <w:rFonts w:eastAsia="MS Mincho"/>
              </w:rPr>
              <w:t xml:space="preserve"> </w:t>
            </w:r>
            <w:r w:rsidRPr="00F11C03">
              <w:rPr>
                <w:rFonts w:eastAsia="MS Mincho"/>
              </w:rPr>
              <w:t>rates of continuous abstinence over the treatment period</w:t>
            </w:r>
            <w:r w:rsidR="006715A1">
              <w:rPr>
                <w:rFonts w:eastAsia="MS Mincho"/>
              </w:rPr>
              <w:t xml:space="preserve"> </w:t>
            </w:r>
            <w:r w:rsidRPr="00F11C03">
              <w:rPr>
                <w:rFonts w:eastAsia="MS Mincho"/>
              </w:rPr>
              <w:t>(from weeks 4 to 7) and over the follow-up period</w:t>
            </w:r>
            <w:r w:rsidR="006715A1">
              <w:rPr>
                <w:rFonts w:eastAsia="MS Mincho"/>
              </w:rPr>
              <w:t xml:space="preserve"> </w:t>
            </w:r>
            <w:r w:rsidRPr="00F11C03">
              <w:rPr>
                <w:rFonts w:eastAsia="MS Mincho"/>
              </w:rPr>
              <w:t>(weeks 4–26)</w:t>
            </w:r>
            <w:r w:rsidR="0064534C">
              <w:rPr>
                <w:rFonts w:eastAsia="MS Mincho"/>
              </w:rPr>
              <w:t>.</w:t>
            </w:r>
            <w:r w:rsidR="005D5C89" w:rsidRPr="005D5C89">
              <w:rPr>
                <w:rFonts w:eastAsia="MS Mincho"/>
              </w:rPr>
              <w:t xml:space="preserve"> </w:t>
            </w:r>
          </w:p>
          <w:p w14:paraId="52BF7194" w14:textId="77777777" w:rsidR="006715A1" w:rsidRDefault="006715A1" w:rsidP="00A71365">
            <w:pPr>
              <w:pStyle w:val="Tablewriting"/>
              <w:rPr>
                <w:rFonts w:eastAsia="MS Mincho"/>
              </w:rPr>
            </w:pPr>
          </w:p>
          <w:p w14:paraId="47B30FFB" w14:textId="0C667C69" w:rsidR="002F2D96" w:rsidRDefault="002D4421" w:rsidP="00A71365">
            <w:pPr>
              <w:pStyle w:val="Tablewriting"/>
              <w:rPr>
                <w:rFonts w:eastAsia="MS Mincho"/>
              </w:rPr>
            </w:pPr>
            <w:r w:rsidRPr="002D4421">
              <w:rPr>
                <w:rFonts w:eastAsia="MS Mincho"/>
              </w:rPr>
              <w:t>Validation: CO &lt; 10 ppm</w:t>
            </w:r>
          </w:p>
          <w:p w14:paraId="2A3508A7" w14:textId="77777777" w:rsidR="00FD30C5" w:rsidRDefault="00FD30C5" w:rsidP="00A71365">
            <w:pPr>
              <w:pStyle w:val="Tablewriting"/>
              <w:rPr>
                <w:rFonts w:eastAsia="MS Mincho"/>
              </w:rPr>
            </w:pPr>
          </w:p>
          <w:p w14:paraId="428FB068" w14:textId="5A3B7D7F" w:rsidR="00541274" w:rsidRPr="00061F78" w:rsidRDefault="00FD30C5" w:rsidP="00A71365">
            <w:pPr>
              <w:pStyle w:val="Tablewriting"/>
              <w:rPr>
                <w:rFonts w:eastAsia="MS Mincho"/>
              </w:rPr>
            </w:pPr>
            <w:r w:rsidRPr="00FD30C5">
              <w:rPr>
                <w:rFonts w:eastAsia="MS Mincho"/>
                <w:u w:val="single"/>
              </w:rPr>
              <w:t>Safety:</w:t>
            </w:r>
            <w:r>
              <w:rPr>
                <w:rFonts w:eastAsia="MS Mincho"/>
              </w:rPr>
              <w:t xml:space="preserve"> </w:t>
            </w:r>
            <w:r w:rsidR="00F72929">
              <w:rPr>
                <w:rFonts w:eastAsia="MS Mincho"/>
              </w:rPr>
              <w:t>Adverse events</w:t>
            </w:r>
            <w:r w:rsidR="00801C6F">
              <w:rPr>
                <w:rFonts w:eastAsia="MS Mincho"/>
              </w:rPr>
              <w:t xml:space="preserve">, serious adverse events. </w:t>
            </w:r>
          </w:p>
        </w:tc>
      </w:tr>
      <w:tr w:rsidR="00541274" w:rsidRPr="00061F78" w14:paraId="169462C9" w14:textId="77777777" w:rsidTr="00D0517F">
        <w:trPr>
          <w:trHeight w:val="149"/>
        </w:trPr>
        <w:tc>
          <w:tcPr>
            <w:tcW w:w="565" w:type="pct"/>
            <w:tcMar>
              <w:left w:w="28" w:type="dxa"/>
              <w:right w:w="28" w:type="dxa"/>
            </w:tcMar>
          </w:tcPr>
          <w:p w14:paraId="503713A8" w14:textId="794F3E66" w:rsidR="00541274" w:rsidRPr="00541274" w:rsidRDefault="0013284A" w:rsidP="00A71365">
            <w:pPr>
              <w:pStyle w:val="Tablewriting"/>
              <w:rPr>
                <w:rFonts w:eastAsia="MS Mincho"/>
              </w:rPr>
            </w:pPr>
            <w:r w:rsidRPr="0013284A">
              <w:rPr>
                <w:rFonts w:eastAsia="MS Mincho"/>
              </w:rPr>
              <w:t xml:space="preserve">Brown </w:t>
            </w:r>
            <w:r w:rsidR="0065538B">
              <w:rPr>
                <w:rFonts w:eastAsia="MS Mincho"/>
              </w:rPr>
              <w:t>(</w:t>
            </w:r>
            <w:r w:rsidRPr="0013284A">
              <w:rPr>
                <w:rFonts w:eastAsia="MS Mincho"/>
              </w:rPr>
              <w:t>2007</w:t>
            </w:r>
            <w:r w:rsidR="0065538B">
              <w:rPr>
                <w:rFonts w:eastAsia="MS Mincho"/>
              </w:rPr>
              <w:t>)</w:t>
            </w:r>
          </w:p>
        </w:tc>
        <w:tc>
          <w:tcPr>
            <w:tcW w:w="239" w:type="pct"/>
          </w:tcPr>
          <w:p w14:paraId="6BF9F1D7" w14:textId="312B0C7A" w:rsidR="00541274" w:rsidRDefault="0019413C" w:rsidP="00A71365">
            <w:pPr>
              <w:pStyle w:val="Tablewriting"/>
              <w:rPr>
                <w:rFonts w:eastAsia="MS Mincho"/>
              </w:rPr>
            </w:pPr>
            <w:r>
              <w:rPr>
                <w:rFonts w:eastAsia="MS Mincho"/>
              </w:rPr>
              <w:t>RCT</w:t>
            </w:r>
          </w:p>
        </w:tc>
        <w:tc>
          <w:tcPr>
            <w:tcW w:w="422" w:type="pct"/>
          </w:tcPr>
          <w:p w14:paraId="2E9A6B6D" w14:textId="7C9AEF48" w:rsidR="0019413C" w:rsidRDefault="0019413C" w:rsidP="00A71365">
            <w:pPr>
              <w:pStyle w:val="Tablewriting"/>
              <w:rPr>
                <w:rFonts w:eastAsia="MS Mincho"/>
              </w:rPr>
            </w:pPr>
            <w:r>
              <w:rPr>
                <w:rFonts w:eastAsia="MS Mincho"/>
              </w:rPr>
              <w:t>USA</w:t>
            </w:r>
          </w:p>
        </w:tc>
        <w:tc>
          <w:tcPr>
            <w:tcW w:w="449" w:type="pct"/>
            <w:tcMar>
              <w:left w:w="28" w:type="dxa"/>
              <w:right w:w="28" w:type="dxa"/>
            </w:tcMar>
          </w:tcPr>
          <w:p w14:paraId="6EBFAED4" w14:textId="28C170C0" w:rsidR="00541274" w:rsidRPr="00061F78" w:rsidRDefault="00B12A69" w:rsidP="00A71365">
            <w:pPr>
              <w:pStyle w:val="Tablewriting"/>
              <w:rPr>
                <w:rFonts w:eastAsia="MS Mincho"/>
              </w:rPr>
            </w:pPr>
            <w:r>
              <w:rPr>
                <w:rFonts w:eastAsia="MS Mincho"/>
              </w:rPr>
              <w:t>N=524</w:t>
            </w:r>
          </w:p>
        </w:tc>
        <w:tc>
          <w:tcPr>
            <w:tcW w:w="1271" w:type="pct"/>
            <w:tcMar>
              <w:left w:w="28" w:type="dxa"/>
              <w:right w:w="28" w:type="dxa"/>
            </w:tcMar>
          </w:tcPr>
          <w:p w14:paraId="4AA2E03E" w14:textId="112CC5E0" w:rsidR="00541274" w:rsidRPr="00061F78" w:rsidRDefault="00B12A69" w:rsidP="00A71365">
            <w:pPr>
              <w:pStyle w:val="Tablewriting"/>
              <w:rPr>
                <w:rFonts w:eastAsia="MS Mincho"/>
              </w:rPr>
            </w:pPr>
            <w:r w:rsidRPr="00B12A69">
              <w:rPr>
                <w:rFonts w:eastAsia="MS Mincho"/>
              </w:rPr>
              <w:t>48% female</w:t>
            </w:r>
            <w:r w:rsidR="0064534C">
              <w:rPr>
                <w:rFonts w:eastAsia="MS Mincho"/>
              </w:rPr>
              <w:t>,</w:t>
            </w:r>
            <w:r w:rsidRPr="00B12A69">
              <w:rPr>
                <w:rFonts w:eastAsia="MS Mincho"/>
              </w:rPr>
              <w:t xml:space="preserve"> average age 44</w:t>
            </w:r>
            <w:r w:rsidR="0064534C">
              <w:rPr>
                <w:rFonts w:eastAsia="MS Mincho"/>
              </w:rPr>
              <w:t>,</w:t>
            </w:r>
            <w:r w:rsidRPr="00B12A69">
              <w:rPr>
                <w:rFonts w:eastAsia="MS Mincho"/>
              </w:rPr>
              <w:t xml:space="preserve"> average cigarettes per day 25</w:t>
            </w:r>
            <w:r w:rsidR="0064534C">
              <w:rPr>
                <w:rFonts w:eastAsia="MS Mincho"/>
              </w:rPr>
              <w:t>.</w:t>
            </w:r>
          </w:p>
        </w:tc>
        <w:tc>
          <w:tcPr>
            <w:tcW w:w="1224" w:type="pct"/>
          </w:tcPr>
          <w:p w14:paraId="7C177FC2" w14:textId="75D795C8" w:rsidR="00B927EA" w:rsidRPr="00B927EA" w:rsidRDefault="00B927EA" w:rsidP="00C324F3">
            <w:pPr>
              <w:pStyle w:val="Tablewriting"/>
              <w:numPr>
                <w:ilvl w:val="0"/>
                <w:numId w:val="11"/>
              </w:numPr>
              <w:rPr>
                <w:rFonts w:eastAsia="MS Mincho"/>
              </w:rPr>
            </w:pPr>
            <w:r w:rsidRPr="00B927EA">
              <w:rPr>
                <w:rFonts w:eastAsia="MS Mincho"/>
              </w:rPr>
              <w:t>Bupropion 300 mg/day for 12 weeks</w:t>
            </w:r>
          </w:p>
          <w:p w14:paraId="6BC001E5" w14:textId="0845B904" w:rsidR="002F2D96" w:rsidRDefault="00B927EA" w:rsidP="00C324F3">
            <w:pPr>
              <w:pStyle w:val="Tablewriting"/>
              <w:numPr>
                <w:ilvl w:val="0"/>
                <w:numId w:val="11"/>
              </w:numPr>
              <w:rPr>
                <w:rFonts w:eastAsia="MS Mincho"/>
              </w:rPr>
            </w:pPr>
            <w:r w:rsidRPr="00B927EA">
              <w:rPr>
                <w:rFonts w:eastAsia="MS Mincho"/>
              </w:rPr>
              <w:t>Placebo</w:t>
            </w:r>
          </w:p>
          <w:p w14:paraId="1ABEEB37" w14:textId="77777777" w:rsidR="00A06F2A" w:rsidRDefault="00A06F2A" w:rsidP="00A71365">
            <w:pPr>
              <w:pStyle w:val="Tablewriting"/>
              <w:rPr>
                <w:rFonts w:eastAsia="MS Mincho"/>
              </w:rPr>
            </w:pPr>
          </w:p>
          <w:p w14:paraId="658193A5" w14:textId="545AB276" w:rsidR="00541274" w:rsidRPr="00061F78" w:rsidRDefault="00A06F2A" w:rsidP="00A71365">
            <w:pPr>
              <w:pStyle w:val="Tablewriting"/>
              <w:rPr>
                <w:rFonts w:eastAsia="MS Mincho"/>
              </w:rPr>
            </w:pPr>
            <w:r w:rsidRPr="00494271">
              <w:rPr>
                <w:rFonts w:eastAsia="MS Mincho"/>
                <w:u w:val="single"/>
              </w:rPr>
              <w:t>Common components:</w:t>
            </w:r>
            <w:r w:rsidR="00494271" w:rsidRPr="00494271">
              <w:rPr>
                <w:rFonts w:eastAsia="MS Mincho"/>
                <w:u w:val="single"/>
              </w:rPr>
              <w:t xml:space="preserve"> </w:t>
            </w:r>
            <w:r w:rsidR="00494271" w:rsidRPr="00494271">
              <w:rPr>
                <w:rFonts w:eastAsia="MS Mincho"/>
              </w:rPr>
              <w:t>Alternative psychosocial treatments were standard cessation therapy or plus CBT</w:t>
            </w:r>
            <w:r w:rsidR="004C06B7">
              <w:rPr>
                <w:rFonts w:eastAsia="MS Mincho"/>
              </w:rPr>
              <w:t xml:space="preserve"> </w:t>
            </w:r>
            <w:r w:rsidR="00494271" w:rsidRPr="00494271">
              <w:rPr>
                <w:rFonts w:eastAsia="MS Mincho"/>
              </w:rPr>
              <w:t>for depression. Both had 12 x 90 min groups twice weekly/weekly/monthly for 12 weeks. TQD 5th session.</w:t>
            </w:r>
          </w:p>
        </w:tc>
        <w:tc>
          <w:tcPr>
            <w:tcW w:w="832" w:type="pct"/>
            <w:tcMar>
              <w:left w:w="28" w:type="dxa"/>
              <w:right w:w="28" w:type="dxa"/>
            </w:tcMar>
          </w:tcPr>
          <w:p w14:paraId="619386A2" w14:textId="0C7A82D9" w:rsidR="00BA3C72" w:rsidRPr="00BA3C72" w:rsidRDefault="00BA3C72" w:rsidP="00A71365">
            <w:pPr>
              <w:pStyle w:val="Tablewriting"/>
              <w:rPr>
                <w:rFonts w:eastAsia="MS Mincho"/>
              </w:rPr>
            </w:pPr>
            <w:r>
              <w:rPr>
                <w:rFonts w:eastAsia="MS Mincho"/>
                <w:u w:val="single"/>
              </w:rPr>
              <w:t>Efficacy:</w:t>
            </w:r>
            <w:r w:rsidRPr="00BA3C72">
              <w:rPr>
                <w:rFonts w:eastAsia="MS Mincho"/>
              </w:rPr>
              <w:t xml:space="preserve"> abstinence at 12 months (sustained at 4 visits). Validated by CO </w:t>
            </w:r>
            <w:r w:rsidR="00AC7F27" w:rsidRPr="00D96BA4">
              <w:rPr>
                <w:rFonts w:eastAsia="MS Mincho"/>
              </w:rPr>
              <w:t>≤</w:t>
            </w:r>
            <w:r w:rsidRPr="00BA3C72">
              <w:rPr>
                <w:rFonts w:eastAsia="MS Mincho"/>
              </w:rPr>
              <w:t xml:space="preserve"> 10 ppm, saliva</w:t>
            </w:r>
          </w:p>
          <w:p w14:paraId="73A0E9F6" w14:textId="63515360" w:rsidR="00BA3C72" w:rsidRPr="00BA3C72" w:rsidRDefault="00BA3C72" w:rsidP="00A71365">
            <w:pPr>
              <w:pStyle w:val="Tablewriting"/>
              <w:rPr>
                <w:rFonts w:eastAsia="MS Mincho"/>
              </w:rPr>
            </w:pPr>
            <w:r w:rsidRPr="00BA3C72">
              <w:rPr>
                <w:rFonts w:eastAsia="MS Mincho"/>
              </w:rPr>
              <w:t xml:space="preserve">cotinine </w:t>
            </w:r>
            <w:r w:rsidR="004E45D3" w:rsidRPr="00D96BA4">
              <w:rPr>
                <w:rFonts w:eastAsia="MS Mincho"/>
              </w:rPr>
              <w:t>≤</w:t>
            </w:r>
            <w:r w:rsidRPr="00BA3C72">
              <w:rPr>
                <w:rFonts w:eastAsia="MS Mincho"/>
              </w:rPr>
              <w:t xml:space="preserve"> 15 ng/mL</w:t>
            </w:r>
          </w:p>
          <w:p w14:paraId="370A1B13" w14:textId="5FD2EBFA" w:rsidR="00541274" w:rsidRPr="00061F78" w:rsidRDefault="00BA3C72" w:rsidP="00A71365">
            <w:pPr>
              <w:pStyle w:val="Tablewriting"/>
              <w:rPr>
                <w:rFonts w:eastAsia="MS Mincho"/>
              </w:rPr>
            </w:pPr>
            <w:r>
              <w:rPr>
                <w:rFonts w:eastAsia="MS Mincho"/>
                <w:u w:val="single"/>
              </w:rPr>
              <w:t>Safety:</w:t>
            </w:r>
            <w:r w:rsidRPr="00BA3C72">
              <w:rPr>
                <w:rFonts w:eastAsia="MS Mincho"/>
              </w:rPr>
              <w:t xml:space="preserve"> measured for 12 weeks</w:t>
            </w:r>
            <w:r w:rsidR="00975231">
              <w:rPr>
                <w:rFonts w:eastAsia="MS Mincho"/>
              </w:rPr>
              <w:t>.</w:t>
            </w:r>
          </w:p>
        </w:tc>
      </w:tr>
      <w:tr w:rsidR="00541274" w:rsidRPr="00061F78" w14:paraId="20E91BBF" w14:textId="77777777" w:rsidTr="00D0517F">
        <w:trPr>
          <w:trHeight w:val="149"/>
        </w:trPr>
        <w:tc>
          <w:tcPr>
            <w:tcW w:w="565" w:type="pct"/>
            <w:tcMar>
              <w:left w:w="28" w:type="dxa"/>
              <w:right w:w="28" w:type="dxa"/>
            </w:tcMar>
          </w:tcPr>
          <w:p w14:paraId="46F9D884" w14:textId="2919E9C2" w:rsidR="00541274" w:rsidRPr="00541274" w:rsidRDefault="00FE349B" w:rsidP="00A71365">
            <w:pPr>
              <w:pStyle w:val="Tablewriting"/>
              <w:rPr>
                <w:rFonts w:eastAsia="MS Mincho"/>
              </w:rPr>
            </w:pPr>
            <w:r w:rsidRPr="00FE349B">
              <w:rPr>
                <w:rFonts w:eastAsia="MS Mincho"/>
              </w:rPr>
              <w:lastRenderedPageBreak/>
              <w:t xml:space="preserve">Cinciripini </w:t>
            </w:r>
            <w:r w:rsidR="0065538B">
              <w:rPr>
                <w:rFonts w:eastAsia="MS Mincho"/>
              </w:rPr>
              <w:t>(</w:t>
            </w:r>
            <w:r w:rsidRPr="00FE349B">
              <w:rPr>
                <w:rFonts w:eastAsia="MS Mincho"/>
              </w:rPr>
              <w:t>2013</w:t>
            </w:r>
            <w:r w:rsidR="0065538B">
              <w:rPr>
                <w:rFonts w:eastAsia="MS Mincho"/>
              </w:rPr>
              <w:t>)</w:t>
            </w:r>
          </w:p>
        </w:tc>
        <w:tc>
          <w:tcPr>
            <w:tcW w:w="239" w:type="pct"/>
          </w:tcPr>
          <w:p w14:paraId="79F411FF" w14:textId="13670EEA" w:rsidR="00541274" w:rsidRDefault="00B51DDD" w:rsidP="00A71365">
            <w:pPr>
              <w:pStyle w:val="Tablewriting"/>
              <w:rPr>
                <w:rFonts w:eastAsia="MS Mincho"/>
              </w:rPr>
            </w:pPr>
            <w:r>
              <w:rPr>
                <w:rFonts w:eastAsia="MS Mincho"/>
              </w:rPr>
              <w:t>RCT</w:t>
            </w:r>
          </w:p>
        </w:tc>
        <w:tc>
          <w:tcPr>
            <w:tcW w:w="422" w:type="pct"/>
          </w:tcPr>
          <w:p w14:paraId="1CBBB569" w14:textId="2DE81AF3" w:rsidR="00B51DDD" w:rsidRDefault="00B51DDD" w:rsidP="00A71365">
            <w:pPr>
              <w:pStyle w:val="Tablewriting"/>
              <w:rPr>
                <w:rFonts w:eastAsia="MS Mincho"/>
              </w:rPr>
            </w:pPr>
            <w:r>
              <w:rPr>
                <w:rFonts w:eastAsia="MS Mincho"/>
              </w:rPr>
              <w:t>USA</w:t>
            </w:r>
          </w:p>
        </w:tc>
        <w:tc>
          <w:tcPr>
            <w:tcW w:w="449" w:type="pct"/>
            <w:tcMar>
              <w:left w:w="28" w:type="dxa"/>
              <w:right w:w="28" w:type="dxa"/>
            </w:tcMar>
          </w:tcPr>
          <w:p w14:paraId="23635FDF" w14:textId="177C3688" w:rsidR="00541274" w:rsidRPr="00061F78" w:rsidRDefault="00B51DDD" w:rsidP="00A71365">
            <w:pPr>
              <w:pStyle w:val="Tablewriting"/>
              <w:rPr>
                <w:rFonts w:eastAsia="MS Mincho"/>
              </w:rPr>
            </w:pPr>
            <w:r>
              <w:rPr>
                <w:rFonts w:eastAsia="MS Mincho"/>
              </w:rPr>
              <w:t>N=</w:t>
            </w:r>
            <w:r w:rsidR="00D80F8A">
              <w:rPr>
                <w:rFonts w:eastAsia="MS Mincho"/>
              </w:rPr>
              <w:t>294</w:t>
            </w:r>
          </w:p>
        </w:tc>
        <w:tc>
          <w:tcPr>
            <w:tcW w:w="1271" w:type="pct"/>
            <w:tcMar>
              <w:left w:w="28" w:type="dxa"/>
              <w:right w:w="28" w:type="dxa"/>
            </w:tcMar>
          </w:tcPr>
          <w:p w14:paraId="3661A7C8" w14:textId="41325094" w:rsidR="00541274" w:rsidRPr="00061F78" w:rsidRDefault="006862A4" w:rsidP="00A71365">
            <w:pPr>
              <w:pStyle w:val="Tablewriting"/>
              <w:rPr>
                <w:rFonts w:eastAsia="MS Mincho"/>
              </w:rPr>
            </w:pPr>
            <w:r w:rsidRPr="006862A4">
              <w:rPr>
                <w:rFonts w:eastAsia="MS Mincho"/>
              </w:rPr>
              <w:t>39% female</w:t>
            </w:r>
            <w:r w:rsidR="00A1641E">
              <w:rPr>
                <w:rFonts w:eastAsia="MS Mincho"/>
              </w:rPr>
              <w:t>,</w:t>
            </w:r>
            <w:r w:rsidRPr="006862A4">
              <w:rPr>
                <w:rFonts w:eastAsia="MS Mincho"/>
              </w:rPr>
              <w:t xml:space="preserve"> average age 44</w:t>
            </w:r>
            <w:r w:rsidR="00A1641E">
              <w:rPr>
                <w:rFonts w:eastAsia="MS Mincho"/>
              </w:rPr>
              <w:t>,</w:t>
            </w:r>
            <w:r w:rsidRPr="006862A4">
              <w:rPr>
                <w:rFonts w:eastAsia="MS Mincho"/>
              </w:rPr>
              <w:t xml:space="preserve"> average cigarettes per day 20</w:t>
            </w:r>
            <w:r w:rsidR="00A1641E">
              <w:rPr>
                <w:rFonts w:eastAsia="MS Mincho"/>
              </w:rPr>
              <w:t>,</w:t>
            </w:r>
            <w:r w:rsidRPr="006862A4">
              <w:rPr>
                <w:rFonts w:eastAsia="MS Mincho"/>
              </w:rPr>
              <w:t xml:space="preserve"> mean FTND</w:t>
            </w:r>
            <w:r w:rsidR="00A1641E">
              <w:rPr>
                <w:rFonts w:eastAsia="MS Mincho"/>
              </w:rPr>
              <w:t xml:space="preserve"> </w:t>
            </w:r>
            <w:r w:rsidRPr="006862A4">
              <w:rPr>
                <w:rFonts w:eastAsia="MS Mincho"/>
              </w:rPr>
              <w:t>4.5</w:t>
            </w:r>
            <w:r w:rsidR="00A1641E">
              <w:rPr>
                <w:rFonts w:eastAsia="MS Mincho"/>
              </w:rPr>
              <w:t>.</w:t>
            </w:r>
          </w:p>
        </w:tc>
        <w:tc>
          <w:tcPr>
            <w:tcW w:w="1224" w:type="pct"/>
          </w:tcPr>
          <w:p w14:paraId="52C6857B" w14:textId="69088E3D" w:rsidR="006862A4" w:rsidRPr="006862A4" w:rsidRDefault="006862A4" w:rsidP="00C324F3">
            <w:pPr>
              <w:pStyle w:val="Tablewriting"/>
              <w:numPr>
                <w:ilvl w:val="0"/>
                <w:numId w:val="12"/>
              </w:numPr>
              <w:rPr>
                <w:rFonts w:eastAsia="MS Mincho"/>
              </w:rPr>
            </w:pPr>
            <w:r w:rsidRPr="006862A4">
              <w:rPr>
                <w:rFonts w:eastAsia="MS Mincho"/>
              </w:rPr>
              <w:t>Bupropion, 12 weeks, started 12 to 19 days before TQD (150 mg/d days 1 to 3, 300 mg/d thereafter)</w:t>
            </w:r>
          </w:p>
          <w:p w14:paraId="65E6BCB3" w14:textId="47AA01B4" w:rsidR="006862A4" w:rsidRPr="006862A4" w:rsidRDefault="006862A4" w:rsidP="00C324F3">
            <w:pPr>
              <w:pStyle w:val="Tablewriting"/>
              <w:numPr>
                <w:ilvl w:val="0"/>
                <w:numId w:val="12"/>
              </w:numPr>
              <w:rPr>
                <w:rFonts w:eastAsia="MS Mincho"/>
              </w:rPr>
            </w:pPr>
            <w:r w:rsidRPr="006862A4">
              <w:rPr>
                <w:rFonts w:eastAsia="MS Mincho"/>
              </w:rPr>
              <w:t>Varenicline, 12 weeks on same schedule (0.5 mg/day days 1 to 3, 1.0 mg/day, days 4 to 7, 2.0 mg/day</w:t>
            </w:r>
            <w:r>
              <w:rPr>
                <w:rFonts w:eastAsia="MS Mincho"/>
              </w:rPr>
              <w:t xml:space="preserve"> </w:t>
            </w:r>
            <w:r w:rsidRPr="006862A4">
              <w:rPr>
                <w:rFonts w:eastAsia="MS Mincho"/>
              </w:rPr>
              <w:t>hereafter)</w:t>
            </w:r>
          </w:p>
          <w:p w14:paraId="5FE20D2C" w14:textId="60103686" w:rsidR="006862A4" w:rsidRPr="006862A4" w:rsidRDefault="006862A4" w:rsidP="00C324F3">
            <w:pPr>
              <w:pStyle w:val="Tablewriting"/>
              <w:numPr>
                <w:ilvl w:val="0"/>
                <w:numId w:val="13"/>
              </w:numPr>
              <w:rPr>
                <w:rFonts w:eastAsia="MS Mincho"/>
              </w:rPr>
            </w:pPr>
            <w:r w:rsidRPr="006862A4">
              <w:rPr>
                <w:rFonts w:eastAsia="MS Mincho"/>
              </w:rPr>
              <w:t>Placebo, same schedule as above</w:t>
            </w:r>
          </w:p>
          <w:p w14:paraId="5ED817AB" w14:textId="77777777" w:rsidR="006862A4" w:rsidRDefault="006862A4" w:rsidP="00A71365">
            <w:pPr>
              <w:pStyle w:val="Tablewriting"/>
              <w:rPr>
                <w:rFonts w:eastAsia="MS Mincho"/>
              </w:rPr>
            </w:pPr>
          </w:p>
          <w:p w14:paraId="5B6E7F38" w14:textId="5F2D1053" w:rsidR="00541274" w:rsidRPr="00061F78" w:rsidRDefault="006862A4" w:rsidP="00A71365">
            <w:pPr>
              <w:pStyle w:val="Tablewriting"/>
              <w:rPr>
                <w:rFonts w:eastAsia="MS Mincho"/>
              </w:rPr>
            </w:pPr>
            <w:r w:rsidRPr="006862A4">
              <w:rPr>
                <w:rFonts w:eastAsia="MS Mincho"/>
                <w:u w:val="single"/>
              </w:rPr>
              <w:t xml:space="preserve">Common components: </w:t>
            </w:r>
            <w:r w:rsidRPr="006862A4">
              <w:rPr>
                <w:rFonts w:eastAsia="MS Mincho"/>
              </w:rPr>
              <w:t>10 individual counselling sessions (6 in person, 4 via phone, 240 mins total)</w:t>
            </w:r>
          </w:p>
        </w:tc>
        <w:tc>
          <w:tcPr>
            <w:tcW w:w="832" w:type="pct"/>
            <w:tcMar>
              <w:left w:w="28" w:type="dxa"/>
              <w:right w:w="28" w:type="dxa"/>
            </w:tcMar>
          </w:tcPr>
          <w:p w14:paraId="76BC99A4" w14:textId="485423B9" w:rsidR="00C034FD" w:rsidRPr="00C034FD" w:rsidRDefault="00C034FD" w:rsidP="00A71365">
            <w:pPr>
              <w:pStyle w:val="Tablewriting"/>
              <w:rPr>
                <w:rFonts w:eastAsia="MS Mincho"/>
              </w:rPr>
            </w:pPr>
            <w:r>
              <w:rPr>
                <w:rFonts w:eastAsia="MS Mincho"/>
                <w:u w:val="single"/>
              </w:rPr>
              <w:t>Efficacy</w:t>
            </w:r>
            <w:r w:rsidRPr="00C034FD">
              <w:rPr>
                <w:rFonts w:eastAsia="MS Mincho"/>
                <w:u w:val="single"/>
              </w:rPr>
              <w:t>:</w:t>
            </w:r>
            <w:r w:rsidRPr="00B4229F">
              <w:rPr>
                <w:rFonts w:eastAsia="MS Mincho"/>
              </w:rPr>
              <w:t xml:space="preserve"> </w:t>
            </w:r>
            <w:r w:rsidR="00174942" w:rsidRPr="00B4229F">
              <w:rPr>
                <w:rFonts w:eastAsia="MS Mincho"/>
              </w:rPr>
              <w:t>prolonged</w:t>
            </w:r>
            <w:r w:rsidRPr="00C034FD">
              <w:rPr>
                <w:rFonts w:eastAsia="MS Mincho"/>
              </w:rPr>
              <w:t xml:space="preserve"> abstinence after 2-week grace period at 6 months (validated by CO &lt;</w:t>
            </w:r>
            <w:r w:rsidR="00BF3230">
              <w:rPr>
                <w:rFonts w:eastAsia="MS Mincho"/>
              </w:rPr>
              <w:t xml:space="preserve"> </w:t>
            </w:r>
            <w:r w:rsidRPr="00C034FD">
              <w:rPr>
                <w:rFonts w:eastAsia="MS Mincho"/>
              </w:rPr>
              <w:t>10 ppm or salivary cotinine &lt; 15 ng/mL)</w:t>
            </w:r>
            <w:r w:rsidR="00BF3230">
              <w:rPr>
                <w:rFonts w:eastAsia="MS Mincho"/>
              </w:rPr>
              <w:t>.</w:t>
            </w:r>
          </w:p>
          <w:p w14:paraId="39135FD6" w14:textId="143C1016" w:rsidR="00541274" w:rsidRPr="00061F78" w:rsidRDefault="00C034FD" w:rsidP="00A71365">
            <w:pPr>
              <w:pStyle w:val="Tablewriting"/>
              <w:rPr>
                <w:rFonts w:eastAsia="MS Mincho"/>
              </w:rPr>
            </w:pPr>
            <w:r w:rsidRPr="00C034FD">
              <w:rPr>
                <w:rFonts w:eastAsia="MS Mincho"/>
                <w:u w:val="single"/>
              </w:rPr>
              <w:t>Safety:</w:t>
            </w:r>
            <w:r w:rsidRPr="00C034FD">
              <w:rPr>
                <w:rFonts w:eastAsia="MS Mincho"/>
              </w:rPr>
              <w:t xml:space="preserve"> measured for 12 weeks</w:t>
            </w:r>
            <w:r w:rsidR="00BF3230">
              <w:rPr>
                <w:rFonts w:eastAsia="MS Mincho"/>
              </w:rPr>
              <w:t>.</w:t>
            </w:r>
          </w:p>
        </w:tc>
      </w:tr>
      <w:tr w:rsidR="00541274" w:rsidRPr="00061F78" w14:paraId="2DE62B6F" w14:textId="77777777" w:rsidTr="00D0517F">
        <w:trPr>
          <w:trHeight w:val="149"/>
        </w:trPr>
        <w:tc>
          <w:tcPr>
            <w:tcW w:w="565" w:type="pct"/>
            <w:tcMar>
              <w:left w:w="28" w:type="dxa"/>
              <w:right w:w="28" w:type="dxa"/>
            </w:tcMar>
          </w:tcPr>
          <w:p w14:paraId="36218201" w14:textId="3EBC4071" w:rsidR="00541274" w:rsidRPr="00541274" w:rsidRDefault="00FE349B" w:rsidP="00A71365">
            <w:pPr>
              <w:pStyle w:val="Tablewriting"/>
              <w:rPr>
                <w:rFonts w:eastAsia="MS Mincho"/>
              </w:rPr>
            </w:pPr>
            <w:r w:rsidRPr="00A5320A">
              <w:rPr>
                <w:rFonts w:eastAsia="MS Mincho"/>
              </w:rPr>
              <w:t xml:space="preserve">Collins </w:t>
            </w:r>
            <w:r w:rsidR="0065538B">
              <w:rPr>
                <w:rFonts w:eastAsia="MS Mincho"/>
              </w:rPr>
              <w:t>(</w:t>
            </w:r>
            <w:r w:rsidRPr="00A5320A">
              <w:rPr>
                <w:rFonts w:eastAsia="MS Mincho"/>
              </w:rPr>
              <w:t>2004</w:t>
            </w:r>
            <w:r w:rsidR="0065538B">
              <w:rPr>
                <w:rFonts w:eastAsia="MS Mincho"/>
              </w:rPr>
              <w:t>)</w:t>
            </w:r>
          </w:p>
        </w:tc>
        <w:tc>
          <w:tcPr>
            <w:tcW w:w="239" w:type="pct"/>
          </w:tcPr>
          <w:p w14:paraId="3E85346F" w14:textId="3C912291" w:rsidR="00541274" w:rsidRDefault="00621FB0" w:rsidP="00A71365">
            <w:pPr>
              <w:pStyle w:val="Tablewriting"/>
              <w:rPr>
                <w:rFonts w:eastAsia="MS Mincho"/>
              </w:rPr>
            </w:pPr>
            <w:r>
              <w:rPr>
                <w:rFonts w:eastAsia="MS Mincho"/>
              </w:rPr>
              <w:t>RCT</w:t>
            </w:r>
          </w:p>
        </w:tc>
        <w:tc>
          <w:tcPr>
            <w:tcW w:w="422" w:type="pct"/>
          </w:tcPr>
          <w:p w14:paraId="4DF7D01B" w14:textId="359332C6" w:rsidR="00621FB0" w:rsidRDefault="00621FB0" w:rsidP="00A71365">
            <w:pPr>
              <w:pStyle w:val="Tablewriting"/>
              <w:rPr>
                <w:rFonts w:eastAsia="MS Mincho"/>
              </w:rPr>
            </w:pPr>
            <w:r>
              <w:rPr>
                <w:rFonts w:eastAsia="MS Mincho"/>
              </w:rPr>
              <w:t>USA</w:t>
            </w:r>
          </w:p>
        </w:tc>
        <w:tc>
          <w:tcPr>
            <w:tcW w:w="449" w:type="pct"/>
            <w:tcMar>
              <w:left w:w="28" w:type="dxa"/>
              <w:right w:w="28" w:type="dxa"/>
            </w:tcMar>
          </w:tcPr>
          <w:p w14:paraId="17395886" w14:textId="30D802C6" w:rsidR="00541274" w:rsidRPr="00061F78" w:rsidRDefault="00621FB0" w:rsidP="00A71365">
            <w:pPr>
              <w:pStyle w:val="Tablewriting"/>
              <w:rPr>
                <w:rFonts w:eastAsia="MS Mincho"/>
              </w:rPr>
            </w:pPr>
            <w:r>
              <w:rPr>
                <w:rFonts w:eastAsia="MS Mincho"/>
              </w:rPr>
              <w:t>N=</w:t>
            </w:r>
            <w:r w:rsidR="008F3296">
              <w:rPr>
                <w:rFonts w:eastAsia="MS Mincho"/>
              </w:rPr>
              <w:t>555</w:t>
            </w:r>
          </w:p>
        </w:tc>
        <w:tc>
          <w:tcPr>
            <w:tcW w:w="1271" w:type="pct"/>
            <w:tcMar>
              <w:left w:w="28" w:type="dxa"/>
              <w:right w:w="28" w:type="dxa"/>
            </w:tcMar>
          </w:tcPr>
          <w:p w14:paraId="0E05CA20" w14:textId="33A365DA" w:rsidR="00541274" w:rsidRPr="00BF3230" w:rsidRDefault="008F3296" w:rsidP="00A71365">
            <w:pPr>
              <w:pStyle w:val="Tablewriting"/>
              <w:rPr>
                <w:rFonts w:eastAsia="MS Mincho"/>
                <w:lang w:val="en-GB"/>
              </w:rPr>
            </w:pPr>
            <w:r>
              <w:rPr>
                <w:rFonts w:eastAsia="MS Mincho"/>
                <w:lang w:val="en-GB"/>
              </w:rPr>
              <w:t>E</w:t>
            </w:r>
            <w:r w:rsidRPr="008F3296">
              <w:rPr>
                <w:rFonts w:eastAsia="MS Mincho"/>
                <w:lang w:val="en-GB"/>
              </w:rPr>
              <w:t>xcluding history of psychiatric disorder including MDD</w:t>
            </w:r>
            <w:r w:rsidR="00BF3230">
              <w:rPr>
                <w:rFonts w:eastAsia="MS Mincho"/>
                <w:lang w:val="en-GB"/>
              </w:rPr>
              <w:t>,</w:t>
            </w:r>
            <w:r w:rsidRPr="008F3296">
              <w:rPr>
                <w:rFonts w:eastAsia="MS Mincho"/>
                <w:lang w:val="en-GB"/>
              </w:rPr>
              <w:t xml:space="preserve"> 57% female, average</w:t>
            </w:r>
            <w:r w:rsidR="00BF3230">
              <w:rPr>
                <w:rFonts w:eastAsia="MS Mincho"/>
                <w:lang w:val="en-GB"/>
              </w:rPr>
              <w:t xml:space="preserve"> </w:t>
            </w:r>
            <w:r w:rsidRPr="008F3296">
              <w:rPr>
                <w:rFonts w:eastAsia="MS Mincho"/>
                <w:lang w:val="en-GB"/>
              </w:rPr>
              <w:t>age 46, average cigarettes per day 21</w:t>
            </w:r>
            <w:r w:rsidR="00BF3230">
              <w:rPr>
                <w:rFonts w:eastAsia="MS Mincho"/>
                <w:lang w:val="en-GB"/>
              </w:rPr>
              <w:t>.</w:t>
            </w:r>
          </w:p>
        </w:tc>
        <w:tc>
          <w:tcPr>
            <w:tcW w:w="1224" w:type="pct"/>
          </w:tcPr>
          <w:p w14:paraId="7EA1431F" w14:textId="10AC93AD" w:rsidR="007577B3" w:rsidRPr="007577B3" w:rsidRDefault="007577B3" w:rsidP="00C324F3">
            <w:pPr>
              <w:pStyle w:val="Tablewriting"/>
              <w:numPr>
                <w:ilvl w:val="0"/>
                <w:numId w:val="13"/>
              </w:numPr>
              <w:rPr>
                <w:rFonts w:eastAsia="MS Mincho"/>
              </w:rPr>
            </w:pPr>
            <w:r w:rsidRPr="007577B3">
              <w:rPr>
                <w:rFonts w:eastAsia="MS Mincho"/>
              </w:rPr>
              <w:t>Bupropion 300 mg/day for 10 weeks beginning 2 weeks before TQD</w:t>
            </w:r>
          </w:p>
          <w:p w14:paraId="0B98E756" w14:textId="0410B997" w:rsidR="007577B3" w:rsidRPr="007577B3" w:rsidRDefault="007577B3" w:rsidP="00C324F3">
            <w:pPr>
              <w:pStyle w:val="Tablewriting"/>
              <w:numPr>
                <w:ilvl w:val="0"/>
                <w:numId w:val="13"/>
              </w:numPr>
              <w:rPr>
                <w:rFonts w:eastAsia="MS Mincho"/>
              </w:rPr>
            </w:pPr>
            <w:r w:rsidRPr="007577B3">
              <w:rPr>
                <w:rFonts w:eastAsia="MS Mincho"/>
              </w:rPr>
              <w:t>Placebo</w:t>
            </w:r>
          </w:p>
          <w:p w14:paraId="476EDB08" w14:textId="77777777" w:rsidR="007577B3" w:rsidRDefault="007577B3" w:rsidP="00A71365">
            <w:pPr>
              <w:pStyle w:val="Tablewriting"/>
              <w:rPr>
                <w:rFonts w:eastAsia="MS Mincho"/>
              </w:rPr>
            </w:pPr>
          </w:p>
          <w:p w14:paraId="0F27DF02" w14:textId="4CE2BC5C" w:rsidR="00541274" w:rsidRPr="00061F78" w:rsidRDefault="007577B3" w:rsidP="00A71365">
            <w:pPr>
              <w:pStyle w:val="Tablewriting"/>
              <w:rPr>
                <w:rFonts w:eastAsia="MS Mincho"/>
              </w:rPr>
            </w:pPr>
            <w:r w:rsidRPr="007577B3">
              <w:rPr>
                <w:rFonts w:eastAsia="MS Mincho"/>
                <w:u w:val="single"/>
              </w:rPr>
              <w:t>Common components:</w:t>
            </w:r>
            <w:r w:rsidRPr="007577B3">
              <w:rPr>
                <w:rFonts w:eastAsia="MS Mincho"/>
              </w:rPr>
              <w:t xml:space="preserve"> 7 sessions group behavioural counselling</w:t>
            </w:r>
            <w:r w:rsidR="0064534C">
              <w:rPr>
                <w:rFonts w:eastAsia="MS Mincho"/>
              </w:rPr>
              <w:t>.</w:t>
            </w:r>
          </w:p>
        </w:tc>
        <w:tc>
          <w:tcPr>
            <w:tcW w:w="832" w:type="pct"/>
            <w:tcMar>
              <w:left w:w="28" w:type="dxa"/>
              <w:right w:w="28" w:type="dxa"/>
            </w:tcMar>
          </w:tcPr>
          <w:p w14:paraId="034D8CC2" w14:textId="172035BB" w:rsidR="0058223B" w:rsidRPr="0058223B" w:rsidRDefault="0058223B" w:rsidP="00A71365">
            <w:pPr>
              <w:pStyle w:val="Tablewriting"/>
              <w:rPr>
                <w:rFonts w:eastAsia="MS Mincho"/>
              </w:rPr>
            </w:pPr>
            <w:r w:rsidRPr="0058223B">
              <w:rPr>
                <w:rFonts w:eastAsia="MS Mincho"/>
                <w:u w:val="single"/>
              </w:rPr>
              <w:t>Efficacy:</w:t>
            </w:r>
            <w:r w:rsidRPr="0058223B">
              <w:rPr>
                <w:rFonts w:eastAsia="MS Mincho"/>
              </w:rPr>
              <w:t xml:space="preserve"> prolonged abstinence at 6 months (from week 2, 7 consecutive days of smoking</w:t>
            </w:r>
            <w:r>
              <w:rPr>
                <w:rFonts w:eastAsia="MS Mincho"/>
              </w:rPr>
              <w:t xml:space="preserve"> </w:t>
            </w:r>
            <w:r w:rsidRPr="0058223B">
              <w:rPr>
                <w:rFonts w:eastAsia="MS Mincho"/>
              </w:rPr>
              <w:t xml:space="preserve">defined as relapse). Validated by saliva cotinine </w:t>
            </w:r>
            <w:r w:rsidR="00AC7F27" w:rsidRPr="00D96BA4">
              <w:rPr>
                <w:rFonts w:eastAsia="MS Mincho"/>
              </w:rPr>
              <w:t>≤</w:t>
            </w:r>
            <w:r w:rsidRPr="0058223B">
              <w:rPr>
                <w:rFonts w:eastAsia="MS Mincho"/>
              </w:rPr>
              <w:t xml:space="preserve"> 15 ng/m</w:t>
            </w:r>
            <w:r w:rsidR="00DD0B9B">
              <w:rPr>
                <w:rFonts w:eastAsia="MS Mincho"/>
              </w:rPr>
              <w:t>l</w:t>
            </w:r>
            <w:r w:rsidRPr="0058223B">
              <w:rPr>
                <w:rFonts w:eastAsia="MS Mincho"/>
              </w:rPr>
              <w:t>.</w:t>
            </w:r>
          </w:p>
          <w:p w14:paraId="07A2F7BE" w14:textId="453CCF8C" w:rsidR="00541274" w:rsidRPr="00061F78" w:rsidRDefault="00FD5EA6" w:rsidP="00A71365">
            <w:pPr>
              <w:pStyle w:val="Tablewriting"/>
              <w:rPr>
                <w:rFonts w:eastAsia="MS Mincho"/>
              </w:rPr>
            </w:pPr>
            <w:r>
              <w:rPr>
                <w:rFonts w:eastAsia="MS Mincho"/>
                <w:u w:val="single"/>
              </w:rPr>
              <w:t>Safety</w:t>
            </w:r>
            <w:r w:rsidR="0058223B" w:rsidRPr="0058223B">
              <w:rPr>
                <w:rFonts w:eastAsia="MS Mincho"/>
              </w:rPr>
              <w:t>: measured for unspecified period</w:t>
            </w:r>
            <w:r w:rsidR="000A12DC">
              <w:rPr>
                <w:rFonts w:eastAsia="MS Mincho"/>
              </w:rPr>
              <w:t>.</w:t>
            </w:r>
          </w:p>
        </w:tc>
      </w:tr>
      <w:tr w:rsidR="00541274" w:rsidRPr="00061F78" w14:paraId="0BFCC977" w14:textId="77777777" w:rsidTr="00D0517F">
        <w:trPr>
          <w:trHeight w:val="149"/>
        </w:trPr>
        <w:tc>
          <w:tcPr>
            <w:tcW w:w="565" w:type="pct"/>
            <w:tcMar>
              <w:left w:w="28" w:type="dxa"/>
              <w:right w:w="28" w:type="dxa"/>
            </w:tcMar>
          </w:tcPr>
          <w:p w14:paraId="70864B09" w14:textId="5F4B92A7" w:rsidR="00541274" w:rsidRPr="00541274" w:rsidRDefault="00D7259E" w:rsidP="00A71365">
            <w:pPr>
              <w:pStyle w:val="Tablewriting"/>
              <w:rPr>
                <w:rFonts w:eastAsia="MS Mincho"/>
              </w:rPr>
            </w:pPr>
            <w:r w:rsidRPr="00A5320A">
              <w:rPr>
                <w:rFonts w:eastAsia="MS Mincho"/>
              </w:rPr>
              <w:t xml:space="preserve">Cox </w:t>
            </w:r>
            <w:r w:rsidR="0065538B">
              <w:rPr>
                <w:rFonts w:eastAsia="MS Mincho"/>
              </w:rPr>
              <w:t>(</w:t>
            </w:r>
            <w:r w:rsidRPr="00A5320A">
              <w:rPr>
                <w:rFonts w:eastAsia="MS Mincho"/>
              </w:rPr>
              <w:t>2012</w:t>
            </w:r>
            <w:r w:rsidR="0065538B">
              <w:rPr>
                <w:rFonts w:eastAsia="MS Mincho"/>
              </w:rPr>
              <w:t>)</w:t>
            </w:r>
          </w:p>
        </w:tc>
        <w:tc>
          <w:tcPr>
            <w:tcW w:w="239" w:type="pct"/>
          </w:tcPr>
          <w:p w14:paraId="6AF98CC8" w14:textId="4C355FCB" w:rsidR="00541274" w:rsidRDefault="00333F19" w:rsidP="00A71365">
            <w:pPr>
              <w:pStyle w:val="Tablewriting"/>
              <w:rPr>
                <w:rFonts w:eastAsia="MS Mincho"/>
              </w:rPr>
            </w:pPr>
            <w:r>
              <w:rPr>
                <w:rFonts w:eastAsia="MS Mincho"/>
              </w:rPr>
              <w:t>RCT</w:t>
            </w:r>
          </w:p>
        </w:tc>
        <w:tc>
          <w:tcPr>
            <w:tcW w:w="422" w:type="pct"/>
          </w:tcPr>
          <w:p w14:paraId="2426C19D" w14:textId="6B13CDA8" w:rsidR="00333F19" w:rsidRDefault="00D07711" w:rsidP="00A71365">
            <w:pPr>
              <w:pStyle w:val="Tablewriting"/>
              <w:rPr>
                <w:rFonts w:eastAsia="MS Mincho"/>
              </w:rPr>
            </w:pPr>
            <w:r>
              <w:rPr>
                <w:rFonts w:eastAsia="MS Mincho"/>
              </w:rPr>
              <w:t>USA</w:t>
            </w:r>
          </w:p>
        </w:tc>
        <w:tc>
          <w:tcPr>
            <w:tcW w:w="449" w:type="pct"/>
            <w:tcMar>
              <w:left w:w="28" w:type="dxa"/>
              <w:right w:w="28" w:type="dxa"/>
            </w:tcMar>
          </w:tcPr>
          <w:p w14:paraId="029ABFE2" w14:textId="4E03C705" w:rsidR="00541274" w:rsidRPr="00061F78" w:rsidRDefault="00333F19" w:rsidP="00A71365">
            <w:pPr>
              <w:pStyle w:val="Tablewriting"/>
              <w:rPr>
                <w:rFonts w:eastAsia="MS Mincho"/>
              </w:rPr>
            </w:pPr>
            <w:r>
              <w:rPr>
                <w:rFonts w:eastAsia="MS Mincho"/>
              </w:rPr>
              <w:t>N=</w:t>
            </w:r>
            <w:r w:rsidR="009610F9">
              <w:rPr>
                <w:rFonts w:eastAsia="MS Mincho"/>
              </w:rPr>
              <w:t>540</w:t>
            </w:r>
            <w:r w:rsidR="004C3EF8">
              <w:rPr>
                <w:rFonts w:eastAsia="MS Mincho"/>
              </w:rPr>
              <w:t>; n=270 (Buprop</w:t>
            </w:r>
            <w:r w:rsidR="0073240A">
              <w:rPr>
                <w:rFonts w:eastAsia="MS Mincho"/>
              </w:rPr>
              <w:t>ion</w:t>
            </w:r>
            <w:r w:rsidR="004C3EF8">
              <w:rPr>
                <w:rFonts w:eastAsia="MS Mincho"/>
              </w:rPr>
              <w:t>), n=270 (placebo).</w:t>
            </w:r>
          </w:p>
        </w:tc>
        <w:tc>
          <w:tcPr>
            <w:tcW w:w="1271" w:type="pct"/>
            <w:tcMar>
              <w:left w:w="28" w:type="dxa"/>
              <w:right w:w="28" w:type="dxa"/>
            </w:tcMar>
          </w:tcPr>
          <w:p w14:paraId="05BFF1E2" w14:textId="0A587936" w:rsidR="00541274" w:rsidRPr="00061F78" w:rsidRDefault="009610F9" w:rsidP="00A71365">
            <w:pPr>
              <w:pStyle w:val="Tablewriting"/>
              <w:rPr>
                <w:rFonts w:eastAsia="MS Mincho"/>
              </w:rPr>
            </w:pPr>
            <w:r w:rsidRPr="009610F9">
              <w:rPr>
                <w:rFonts w:eastAsia="MS Mincho"/>
              </w:rPr>
              <w:t>African American light smokers (</w:t>
            </w:r>
            <w:r w:rsidR="006F14A9" w:rsidRPr="006F14A9">
              <w:rPr>
                <w:rFonts w:eastAsia="MS Mincho"/>
              </w:rPr>
              <w:t>≥</w:t>
            </w:r>
            <w:r w:rsidRPr="009610F9">
              <w:rPr>
                <w:rFonts w:eastAsia="MS Mincho"/>
              </w:rPr>
              <w:t xml:space="preserve"> 10 cigarettes per day for </w:t>
            </w:r>
            <w:r w:rsidR="00D86357" w:rsidRPr="006F14A9">
              <w:rPr>
                <w:rFonts w:eastAsia="MS Mincho"/>
              </w:rPr>
              <w:t>≥</w:t>
            </w:r>
            <w:r w:rsidRPr="009610F9">
              <w:rPr>
                <w:rFonts w:eastAsia="MS Mincho"/>
              </w:rPr>
              <w:t xml:space="preserve"> 2 years, smoked on </w:t>
            </w:r>
            <w:r w:rsidR="00D86357" w:rsidRPr="006F14A9">
              <w:rPr>
                <w:rFonts w:eastAsia="MS Mincho"/>
              </w:rPr>
              <w:t>≥</w:t>
            </w:r>
            <w:r w:rsidR="00D86357">
              <w:rPr>
                <w:rFonts w:eastAsia="MS Mincho"/>
              </w:rPr>
              <w:t xml:space="preserve"> </w:t>
            </w:r>
            <w:r w:rsidRPr="009610F9">
              <w:rPr>
                <w:rFonts w:eastAsia="MS Mincho"/>
              </w:rPr>
              <w:t>25 days in past</w:t>
            </w:r>
            <w:r>
              <w:rPr>
                <w:rFonts w:eastAsia="MS Mincho"/>
              </w:rPr>
              <w:t xml:space="preserve"> </w:t>
            </w:r>
            <w:r w:rsidRPr="009610F9">
              <w:rPr>
                <w:rFonts w:eastAsia="MS Mincho"/>
              </w:rPr>
              <w:t>month)</w:t>
            </w:r>
            <w:r w:rsidR="000A12DC">
              <w:rPr>
                <w:rFonts w:eastAsia="MS Mincho"/>
              </w:rPr>
              <w:t>,</w:t>
            </w:r>
            <w:r w:rsidRPr="009610F9">
              <w:rPr>
                <w:rFonts w:eastAsia="MS Mincho"/>
              </w:rPr>
              <w:t xml:space="preserve"> 66% female</w:t>
            </w:r>
            <w:r w:rsidR="000A12DC">
              <w:rPr>
                <w:rFonts w:eastAsia="MS Mincho"/>
              </w:rPr>
              <w:t>,</w:t>
            </w:r>
            <w:r w:rsidRPr="009610F9">
              <w:rPr>
                <w:rFonts w:eastAsia="MS Mincho"/>
              </w:rPr>
              <w:t xml:space="preserve"> average age 47</w:t>
            </w:r>
            <w:r w:rsidR="000A12DC">
              <w:rPr>
                <w:rFonts w:eastAsia="MS Mincho"/>
              </w:rPr>
              <w:t xml:space="preserve"> years,</w:t>
            </w:r>
            <w:r w:rsidRPr="009610F9">
              <w:rPr>
                <w:rFonts w:eastAsia="MS Mincho"/>
              </w:rPr>
              <w:t xml:space="preserve"> average cigarettes per day 8</w:t>
            </w:r>
            <w:r w:rsidR="000A12DC">
              <w:rPr>
                <w:rFonts w:eastAsia="MS Mincho"/>
              </w:rPr>
              <w:t>,</w:t>
            </w:r>
            <w:r w:rsidRPr="009610F9">
              <w:rPr>
                <w:rFonts w:eastAsia="MS Mincho"/>
              </w:rPr>
              <w:t xml:space="preserve"> average FTND 3.2</w:t>
            </w:r>
            <w:r w:rsidR="000A12DC">
              <w:rPr>
                <w:rFonts w:eastAsia="MS Mincho"/>
              </w:rPr>
              <w:t>.</w:t>
            </w:r>
          </w:p>
        </w:tc>
        <w:tc>
          <w:tcPr>
            <w:tcW w:w="1224" w:type="pct"/>
          </w:tcPr>
          <w:p w14:paraId="5E391CEF" w14:textId="4ABFDD87" w:rsidR="00757CDB" w:rsidRPr="00757CDB" w:rsidRDefault="00757CDB" w:rsidP="00C324F3">
            <w:pPr>
              <w:pStyle w:val="Tablewriting"/>
              <w:numPr>
                <w:ilvl w:val="0"/>
                <w:numId w:val="14"/>
              </w:numPr>
              <w:rPr>
                <w:rFonts w:eastAsia="MS Mincho"/>
              </w:rPr>
            </w:pPr>
            <w:r w:rsidRPr="00757CDB">
              <w:rPr>
                <w:rFonts w:eastAsia="MS Mincho"/>
              </w:rPr>
              <w:t>Bupropion, 300 mg for 7 weeks (150 mg 1</w:t>
            </w:r>
            <w:r w:rsidR="00981B5D">
              <w:rPr>
                <w:rFonts w:eastAsia="MS Mincho"/>
              </w:rPr>
              <w:t xml:space="preserve"> </w:t>
            </w:r>
            <w:r w:rsidRPr="00757CDB">
              <w:rPr>
                <w:rFonts w:eastAsia="MS Mincho"/>
              </w:rPr>
              <w:t>x</w:t>
            </w:r>
            <w:r w:rsidR="00981B5D">
              <w:rPr>
                <w:rFonts w:eastAsia="MS Mincho"/>
              </w:rPr>
              <w:t xml:space="preserve"> </w:t>
            </w:r>
            <w:r w:rsidRPr="00757CDB">
              <w:rPr>
                <w:rFonts w:eastAsia="MS Mincho"/>
              </w:rPr>
              <w:t>d</w:t>
            </w:r>
            <w:r w:rsidR="00482964">
              <w:rPr>
                <w:rFonts w:eastAsia="MS Mincho"/>
              </w:rPr>
              <w:t>ay</w:t>
            </w:r>
            <w:r w:rsidRPr="00757CDB">
              <w:rPr>
                <w:rFonts w:eastAsia="MS Mincho"/>
              </w:rPr>
              <w:t xml:space="preserve"> for 3</w:t>
            </w:r>
            <w:r w:rsidR="00981B5D">
              <w:rPr>
                <w:rFonts w:eastAsia="MS Mincho"/>
              </w:rPr>
              <w:t xml:space="preserve"> </w:t>
            </w:r>
            <w:r w:rsidRPr="00757CDB">
              <w:rPr>
                <w:rFonts w:eastAsia="MS Mincho"/>
              </w:rPr>
              <w:t>d</w:t>
            </w:r>
            <w:r w:rsidR="00981B5D">
              <w:rPr>
                <w:rFonts w:eastAsia="MS Mincho"/>
              </w:rPr>
              <w:t>ays</w:t>
            </w:r>
            <w:r w:rsidRPr="00757CDB">
              <w:rPr>
                <w:rFonts w:eastAsia="MS Mincho"/>
              </w:rPr>
              <w:t>, then 150 mg 2</w:t>
            </w:r>
            <w:r w:rsidR="00981B5D">
              <w:rPr>
                <w:rFonts w:eastAsia="MS Mincho"/>
              </w:rPr>
              <w:t xml:space="preserve"> </w:t>
            </w:r>
            <w:r w:rsidRPr="00757CDB">
              <w:rPr>
                <w:rFonts w:eastAsia="MS Mincho"/>
              </w:rPr>
              <w:t>x</w:t>
            </w:r>
            <w:r w:rsidR="00981B5D">
              <w:rPr>
                <w:rFonts w:eastAsia="MS Mincho"/>
              </w:rPr>
              <w:t xml:space="preserve"> </w:t>
            </w:r>
            <w:r w:rsidRPr="00757CDB">
              <w:rPr>
                <w:rFonts w:eastAsia="MS Mincho"/>
              </w:rPr>
              <w:t>d</w:t>
            </w:r>
            <w:r w:rsidR="00981B5D">
              <w:rPr>
                <w:rFonts w:eastAsia="MS Mincho"/>
              </w:rPr>
              <w:t>ay</w:t>
            </w:r>
            <w:r w:rsidRPr="00757CDB">
              <w:rPr>
                <w:rFonts w:eastAsia="MS Mincho"/>
              </w:rPr>
              <w:t xml:space="preserve"> for remainder)</w:t>
            </w:r>
          </w:p>
          <w:p w14:paraId="5017F04A" w14:textId="3FEB73CD" w:rsidR="00757CDB" w:rsidRPr="00757CDB" w:rsidRDefault="00757CDB" w:rsidP="00C324F3">
            <w:pPr>
              <w:pStyle w:val="Tablewriting"/>
              <w:numPr>
                <w:ilvl w:val="0"/>
                <w:numId w:val="14"/>
              </w:numPr>
              <w:rPr>
                <w:rFonts w:eastAsia="MS Mincho"/>
              </w:rPr>
            </w:pPr>
            <w:r w:rsidRPr="00757CDB">
              <w:rPr>
                <w:rFonts w:eastAsia="MS Mincho"/>
              </w:rPr>
              <w:t>Placebo, same schedule as bupropion</w:t>
            </w:r>
          </w:p>
          <w:p w14:paraId="37AF6D30" w14:textId="77777777" w:rsidR="00757CDB" w:rsidRDefault="00757CDB" w:rsidP="00A71365">
            <w:pPr>
              <w:pStyle w:val="Tablewriting"/>
              <w:rPr>
                <w:rFonts w:eastAsia="MS Mincho"/>
              </w:rPr>
            </w:pPr>
          </w:p>
          <w:p w14:paraId="2FAF2819" w14:textId="5C972DEF" w:rsidR="00541274" w:rsidRPr="00061F78" w:rsidRDefault="00757CDB" w:rsidP="00A71365">
            <w:pPr>
              <w:pStyle w:val="Tablewriting"/>
              <w:rPr>
                <w:rFonts w:eastAsia="MS Mincho"/>
              </w:rPr>
            </w:pPr>
            <w:r w:rsidRPr="00757CDB">
              <w:rPr>
                <w:rFonts w:eastAsia="MS Mincho"/>
                <w:u w:val="single"/>
              </w:rPr>
              <w:t>Common components:</w:t>
            </w:r>
            <w:r w:rsidRPr="00757CDB">
              <w:rPr>
                <w:rFonts w:eastAsia="MS Mincho"/>
              </w:rPr>
              <w:t xml:space="preserve"> up to 6 one-to-one 15-20 minute individual counselling sessions, self-help guide</w:t>
            </w:r>
            <w:r w:rsidR="004128E3">
              <w:rPr>
                <w:rFonts w:eastAsia="MS Mincho"/>
              </w:rPr>
              <w:t xml:space="preserve"> </w:t>
            </w:r>
            <w:r w:rsidRPr="00757CDB">
              <w:rPr>
                <w:rFonts w:eastAsia="MS Mincho"/>
              </w:rPr>
              <w:t>at start</w:t>
            </w:r>
            <w:r w:rsidR="004128E3">
              <w:rPr>
                <w:rFonts w:eastAsia="MS Mincho"/>
              </w:rPr>
              <w:t>.</w:t>
            </w:r>
          </w:p>
        </w:tc>
        <w:tc>
          <w:tcPr>
            <w:tcW w:w="832" w:type="pct"/>
            <w:tcMar>
              <w:left w:w="28" w:type="dxa"/>
              <w:right w:w="28" w:type="dxa"/>
            </w:tcMar>
          </w:tcPr>
          <w:p w14:paraId="445E66CB" w14:textId="72D7CE4C" w:rsidR="000C0013" w:rsidRPr="000C0013" w:rsidRDefault="000C0013" w:rsidP="00A71365">
            <w:pPr>
              <w:pStyle w:val="Tablewriting"/>
              <w:rPr>
                <w:rFonts w:eastAsia="MS Mincho"/>
              </w:rPr>
            </w:pPr>
            <w:r w:rsidRPr="000C0013">
              <w:rPr>
                <w:rFonts w:eastAsia="MS Mincho"/>
                <w:u w:val="single"/>
              </w:rPr>
              <w:t>Efficacy:</w:t>
            </w:r>
            <w:r w:rsidRPr="000C0013">
              <w:rPr>
                <w:rFonts w:eastAsia="MS Mincho"/>
              </w:rPr>
              <w:t xml:space="preserve"> 7-day </w:t>
            </w:r>
            <w:r w:rsidR="0035264F">
              <w:rPr>
                <w:rFonts w:eastAsia="MS Mincho"/>
              </w:rPr>
              <w:t>PPA</w:t>
            </w:r>
            <w:r w:rsidRPr="000C0013">
              <w:rPr>
                <w:rFonts w:eastAsia="MS Mincho"/>
              </w:rPr>
              <w:t xml:space="preserve"> at 6 months. Validated by salivary cotinine &lt; 15 ng/mL</w:t>
            </w:r>
          </w:p>
          <w:p w14:paraId="6DA20C01" w14:textId="48F30141" w:rsidR="00541274" w:rsidRPr="00061F78" w:rsidRDefault="000C0013" w:rsidP="00A71365">
            <w:pPr>
              <w:pStyle w:val="Tablewriting"/>
              <w:rPr>
                <w:rFonts w:eastAsia="MS Mincho"/>
              </w:rPr>
            </w:pPr>
            <w:r w:rsidRPr="000C0013">
              <w:rPr>
                <w:rFonts w:eastAsia="MS Mincho"/>
                <w:u w:val="single"/>
              </w:rPr>
              <w:t>Safety:</w:t>
            </w:r>
            <w:r w:rsidRPr="000C0013">
              <w:rPr>
                <w:rFonts w:eastAsia="MS Mincho"/>
              </w:rPr>
              <w:t xml:space="preserve"> measured for 16 weeks</w:t>
            </w:r>
            <w:r w:rsidR="000A12DC">
              <w:rPr>
                <w:rFonts w:eastAsia="MS Mincho"/>
              </w:rPr>
              <w:t>.</w:t>
            </w:r>
          </w:p>
        </w:tc>
      </w:tr>
      <w:tr w:rsidR="00541274" w:rsidRPr="00061F78" w14:paraId="6CCBC874" w14:textId="77777777" w:rsidTr="00D0517F">
        <w:trPr>
          <w:trHeight w:val="149"/>
        </w:trPr>
        <w:tc>
          <w:tcPr>
            <w:tcW w:w="565" w:type="pct"/>
            <w:tcMar>
              <w:left w:w="28" w:type="dxa"/>
              <w:right w:w="28" w:type="dxa"/>
            </w:tcMar>
          </w:tcPr>
          <w:p w14:paraId="112E2A56" w14:textId="2333C40A" w:rsidR="00541274" w:rsidRPr="00541274" w:rsidRDefault="002F2D96" w:rsidP="00A71365">
            <w:pPr>
              <w:pStyle w:val="Tablewriting"/>
              <w:rPr>
                <w:rFonts w:eastAsia="MS Mincho"/>
              </w:rPr>
            </w:pPr>
            <w:r w:rsidRPr="00A5320A">
              <w:rPr>
                <w:rFonts w:eastAsia="MS Mincho"/>
              </w:rPr>
              <w:lastRenderedPageBreak/>
              <w:t>Dalsgar</w:t>
            </w:r>
            <w:r w:rsidR="00CA1C48">
              <w:rPr>
                <w:rFonts w:eastAsia="MS Mincho"/>
              </w:rPr>
              <w:t>o</w:t>
            </w:r>
            <w:r w:rsidR="00D7259E">
              <w:rPr>
                <w:rFonts w:eastAsia="MS Mincho"/>
              </w:rPr>
              <w:t xml:space="preserve"> </w:t>
            </w:r>
            <w:r w:rsidR="0065538B">
              <w:rPr>
                <w:rFonts w:eastAsia="MS Mincho"/>
              </w:rPr>
              <w:t>(</w:t>
            </w:r>
            <w:r w:rsidR="00D7259E" w:rsidRPr="00A5320A">
              <w:rPr>
                <w:rFonts w:eastAsia="MS Mincho"/>
              </w:rPr>
              <w:t>2004</w:t>
            </w:r>
            <w:r w:rsidR="0065538B">
              <w:rPr>
                <w:rFonts w:eastAsia="MS Mincho"/>
              </w:rPr>
              <w:t>)</w:t>
            </w:r>
          </w:p>
        </w:tc>
        <w:tc>
          <w:tcPr>
            <w:tcW w:w="239" w:type="pct"/>
          </w:tcPr>
          <w:p w14:paraId="331AE382" w14:textId="2A809D8D" w:rsidR="00541274" w:rsidRDefault="00113AD7" w:rsidP="00A71365">
            <w:pPr>
              <w:pStyle w:val="Tablewriting"/>
              <w:rPr>
                <w:rFonts w:eastAsia="MS Mincho"/>
              </w:rPr>
            </w:pPr>
            <w:r>
              <w:rPr>
                <w:rFonts w:eastAsia="MS Mincho"/>
              </w:rPr>
              <w:t>RCT</w:t>
            </w:r>
          </w:p>
        </w:tc>
        <w:tc>
          <w:tcPr>
            <w:tcW w:w="422" w:type="pct"/>
          </w:tcPr>
          <w:p w14:paraId="0FC69455" w14:textId="5FCE0127" w:rsidR="00113AD7" w:rsidRDefault="00113AD7" w:rsidP="00A71365">
            <w:pPr>
              <w:pStyle w:val="Tablewriting"/>
              <w:rPr>
                <w:rFonts w:eastAsia="MS Mincho"/>
              </w:rPr>
            </w:pPr>
            <w:r>
              <w:rPr>
                <w:rFonts w:eastAsia="MS Mincho"/>
              </w:rPr>
              <w:t>Denmark</w:t>
            </w:r>
          </w:p>
        </w:tc>
        <w:tc>
          <w:tcPr>
            <w:tcW w:w="449" w:type="pct"/>
            <w:tcMar>
              <w:left w:w="28" w:type="dxa"/>
              <w:right w:w="28" w:type="dxa"/>
            </w:tcMar>
          </w:tcPr>
          <w:p w14:paraId="2996C9E5" w14:textId="34D5A3CC" w:rsidR="00541274" w:rsidRPr="00061F78" w:rsidRDefault="00113AD7" w:rsidP="00A71365">
            <w:pPr>
              <w:pStyle w:val="Tablewriting"/>
              <w:rPr>
                <w:rFonts w:eastAsia="MS Mincho"/>
              </w:rPr>
            </w:pPr>
            <w:r>
              <w:rPr>
                <w:rFonts w:eastAsia="MS Mincho"/>
              </w:rPr>
              <w:t>N=33</w:t>
            </w:r>
            <w:r w:rsidR="00BD47DA">
              <w:rPr>
                <w:rFonts w:eastAsia="MS Mincho"/>
              </w:rPr>
              <w:t>5</w:t>
            </w:r>
            <w:r w:rsidR="003C19C4">
              <w:rPr>
                <w:rFonts w:eastAsia="MS Mincho"/>
              </w:rPr>
              <w:t xml:space="preserve"> n=22</w:t>
            </w:r>
            <w:r w:rsidR="00BD47DA">
              <w:rPr>
                <w:rFonts w:eastAsia="MS Mincho"/>
              </w:rPr>
              <w:t>1</w:t>
            </w:r>
            <w:r w:rsidR="003C19C4">
              <w:rPr>
                <w:rFonts w:eastAsia="MS Mincho"/>
              </w:rPr>
              <w:t xml:space="preserve"> (bupropion), n=114 (placebo).</w:t>
            </w:r>
          </w:p>
        </w:tc>
        <w:tc>
          <w:tcPr>
            <w:tcW w:w="1271" w:type="pct"/>
            <w:tcMar>
              <w:left w:w="28" w:type="dxa"/>
              <w:right w:w="28" w:type="dxa"/>
            </w:tcMar>
          </w:tcPr>
          <w:p w14:paraId="52F7F66D" w14:textId="77777777" w:rsidR="00151EDE" w:rsidRDefault="00663FE5" w:rsidP="00A71365">
            <w:pPr>
              <w:pStyle w:val="Tablewriting"/>
              <w:rPr>
                <w:rFonts w:eastAsia="MS Mincho"/>
              </w:rPr>
            </w:pPr>
            <w:r>
              <w:rPr>
                <w:rFonts w:eastAsia="MS Mincho"/>
              </w:rPr>
              <w:t xml:space="preserve">Hospital </w:t>
            </w:r>
            <w:r w:rsidR="00046B7E">
              <w:rPr>
                <w:rFonts w:eastAsia="MS Mincho"/>
              </w:rPr>
              <w:t xml:space="preserve">employees </w:t>
            </w:r>
            <w:r w:rsidR="001F0C85" w:rsidRPr="00AE02E0">
              <w:rPr>
                <w:rFonts w:eastAsia="MS Mincho"/>
              </w:rPr>
              <w:t>including</w:t>
            </w:r>
            <w:r w:rsidR="00AE02E0" w:rsidRPr="00AE02E0">
              <w:rPr>
                <w:rFonts w:eastAsia="MS Mincho"/>
              </w:rPr>
              <w:t xml:space="preserve"> physicians, nurses, other hospital service and admin sta</w:t>
            </w:r>
            <w:r w:rsidR="00AE02E0">
              <w:rPr>
                <w:rFonts w:eastAsia="MS Mincho"/>
              </w:rPr>
              <w:t>ff</w:t>
            </w:r>
            <w:r w:rsidR="001F0C85">
              <w:rPr>
                <w:rFonts w:eastAsia="MS Mincho"/>
              </w:rPr>
              <w:t xml:space="preserve"> </w:t>
            </w:r>
            <w:r w:rsidR="001F0C85" w:rsidRPr="001F0C85">
              <w:rPr>
                <w:rFonts w:eastAsia="MS Mincho"/>
              </w:rPr>
              <w:t>who smoked at least 10 cigarettes</w:t>
            </w:r>
            <w:r w:rsidR="00151EDE">
              <w:rPr>
                <w:rFonts w:eastAsia="MS Mincho"/>
              </w:rPr>
              <w:t>.</w:t>
            </w:r>
          </w:p>
          <w:p w14:paraId="18CC1D9A" w14:textId="55F03EB5" w:rsidR="00541274" w:rsidRPr="00061F78" w:rsidRDefault="00AE02E0" w:rsidP="00A71365">
            <w:pPr>
              <w:pStyle w:val="Tablewriting"/>
              <w:rPr>
                <w:rFonts w:eastAsia="MS Mincho"/>
              </w:rPr>
            </w:pPr>
            <w:r w:rsidRPr="00AE02E0">
              <w:rPr>
                <w:rFonts w:eastAsia="MS Mincho"/>
              </w:rPr>
              <w:t xml:space="preserve"> 75% female</w:t>
            </w:r>
            <w:r w:rsidR="00151EDE">
              <w:rPr>
                <w:rFonts w:eastAsia="MS Mincho"/>
              </w:rPr>
              <w:t>,</w:t>
            </w:r>
            <w:r w:rsidRPr="00AE02E0">
              <w:rPr>
                <w:rFonts w:eastAsia="MS Mincho"/>
              </w:rPr>
              <w:t xml:space="preserve"> average</w:t>
            </w:r>
            <w:r>
              <w:rPr>
                <w:rFonts w:eastAsia="MS Mincho"/>
              </w:rPr>
              <w:t xml:space="preserve"> </w:t>
            </w:r>
            <w:r w:rsidRPr="00AE02E0">
              <w:rPr>
                <w:rFonts w:eastAsia="MS Mincho"/>
              </w:rPr>
              <w:t>age 43</w:t>
            </w:r>
            <w:r w:rsidR="002C6BE7">
              <w:rPr>
                <w:rFonts w:eastAsia="MS Mincho"/>
              </w:rPr>
              <w:t xml:space="preserve"> years</w:t>
            </w:r>
            <w:r w:rsidR="00151EDE">
              <w:rPr>
                <w:rFonts w:eastAsia="MS Mincho"/>
              </w:rPr>
              <w:t>,</w:t>
            </w:r>
            <w:r w:rsidRPr="00AE02E0">
              <w:rPr>
                <w:rFonts w:eastAsia="MS Mincho"/>
              </w:rPr>
              <w:t xml:space="preserve"> average cigarettes per day 19</w:t>
            </w:r>
            <w:r w:rsidR="00151EDE">
              <w:rPr>
                <w:rFonts w:eastAsia="MS Mincho"/>
              </w:rPr>
              <w:t>.</w:t>
            </w:r>
          </w:p>
        </w:tc>
        <w:tc>
          <w:tcPr>
            <w:tcW w:w="1224" w:type="pct"/>
          </w:tcPr>
          <w:p w14:paraId="296FA0EA" w14:textId="2EE78CC9" w:rsidR="00FB23C3" w:rsidRPr="00FB23C3" w:rsidRDefault="00FB23C3" w:rsidP="00C324F3">
            <w:pPr>
              <w:pStyle w:val="Tablewriting"/>
              <w:numPr>
                <w:ilvl w:val="0"/>
                <w:numId w:val="15"/>
              </w:numPr>
              <w:rPr>
                <w:rFonts w:eastAsia="MS Mincho"/>
              </w:rPr>
            </w:pPr>
            <w:r w:rsidRPr="00FB23C3">
              <w:rPr>
                <w:rFonts w:eastAsia="MS Mincho"/>
              </w:rPr>
              <w:t>Bupropion, 300 mg/day for 7 weeks</w:t>
            </w:r>
          </w:p>
          <w:p w14:paraId="3A7CF1BF" w14:textId="02B32D90" w:rsidR="00FB23C3" w:rsidRPr="00FB23C3" w:rsidRDefault="00FB23C3" w:rsidP="00C324F3">
            <w:pPr>
              <w:pStyle w:val="Tablewriting"/>
              <w:numPr>
                <w:ilvl w:val="0"/>
                <w:numId w:val="15"/>
              </w:numPr>
              <w:rPr>
                <w:rFonts w:eastAsia="MS Mincho"/>
              </w:rPr>
            </w:pPr>
            <w:r w:rsidRPr="00FB23C3">
              <w:rPr>
                <w:rFonts w:eastAsia="MS Mincho"/>
              </w:rPr>
              <w:t>Placebo</w:t>
            </w:r>
          </w:p>
          <w:p w14:paraId="74FB3A10" w14:textId="77777777" w:rsidR="00FB23C3" w:rsidRDefault="00FB23C3" w:rsidP="00A71365">
            <w:pPr>
              <w:pStyle w:val="Tablewriting"/>
              <w:rPr>
                <w:rFonts w:eastAsia="MS Mincho"/>
              </w:rPr>
            </w:pPr>
          </w:p>
          <w:p w14:paraId="69985464" w14:textId="6B576ED5" w:rsidR="00541274" w:rsidRPr="00061F78" w:rsidRDefault="00FB23C3" w:rsidP="00A71365">
            <w:pPr>
              <w:pStyle w:val="Tablewriting"/>
              <w:rPr>
                <w:rFonts w:eastAsia="MS Mincho"/>
              </w:rPr>
            </w:pPr>
            <w:r w:rsidRPr="00FB23C3">
              <w:rPr>
                <w:rFonts w:eastAsia="MS Mincho"/>
                <w:u w:val="single"/>
              </w:rPr>
              <w:t>Common components:</w:t>
            </w:r>
            <w:r>
              <w:rPr>
                <w:rFonts w:eastAsia="MS Mincho"/>
                <w:u w:val="single"/>
              </w:rPr>
              <w:t xml:space="preserve"> </w:t>
            </w:r>
            <w:r w:rsidR="00CA4A62" w:rsidRPr="00CA4A62">
              <w:rPr>
                <w:rFonts w:eastAsia="MS Mincho"/>
              </w:rPr>
              <w:t>M</w:t>
            </w:r>
            <w:r w:rsidRPr="00FB23C3">
              <w:rPr>
                <w:rFonts w:eastAsia="MS Mincho"/>
              </w:rPr>
              <w:t>otivational support around TQD, at weeks 3 and 7, and at 12-week follow-up</w:t>
            </w:r>
          </w:p>
        </w:tc>
        <w:tc>
          <w:tcPr>
            <w:tcW w:w="832" w:type="pct"/>
            <w:tcMar>
              <w:left w:w="28" w:type="dxa"/>
              <w:right w:w="28" w:type="dxa"/>
            </w:tcMar>
          </w:tcPr>
          <w:p w14:paraId="2B09A67E" w14:textId="751C8379" w:rsidR="002F2D96" w:rsidRDefault="0079566E" w:rsidP="00A71365">
            <w:pPr>
              <w:pStyle w:val="Tablewriting"/>
              <w:rPr>
                <w:rFonts w:eastAsia="MS Mincho"/>
              </w:rPr>
            </w:pPr>
            <w:r w:rsidRPr="00C34B41">
              <w:rPr>
                <w:rFonts w:eastAsia="MS Mincho"/>
                <w:u w:val="single"/>
              </w:rPr>
              <w:t>Efficacy:</w:t>
            </w:r>
            <w:r w:rsidRPr="0079566E">
              <w:rPr>
                <w:rFonts w:eastAsia="MS Mincho"/>
              </w:rPr>
              <w:t xml:space="preserve"> </w:t>
            </w:r>
            <w:r w:rsidR="006D6B47">
              <w:rPr>
                <w:rFonts w:eastAsia="MS Mincho"/>
              </w:rPr>
              <w:t>P</w:t>
            </w:r>
            <w:r w:rsidRPr="0079566E">
              <w:rPr>
                <w:rFonts w:eastAsia="MS Mincho"/>
              </w:rPr>
              <w:t>rolonged abstinence at 6 months (starting from week 4) Validated by CO &lt; 10</w:t>
            </w:r>
            <w:r>
              <w:rPr>
                <w:rFonts w:eastAsia="MS Mincho"/>
              </w:rPr>
              <w:t xml:space="preserve"> </w:t>
            </w:r>
            <w:r w:rsidRPr="0079566E">
              <w:rPr>
                <w:rFonts w:eastAsia="MS Mincho"/>
              </w:rPr>
              <w:t>ppm</w:t>
            </w:r>
            <w:r w:rsidR="0064534C">
              <w:rPr>
                <w:rFonts w:eastAsia="MS Mincho"/>
              </w:rPr>
              <w:t>.</w:t>
            </w:r>
          </w:p>
          <w:p w14:paraId="13EA6A0E" w14:textId="5A96D1CE" w:rsidR="00541274" w:rsidRPr="00C34B41" w:rsidRDefault="00C34B41" w:rsidP="00A71365">
            <w:pPr>
              <w:pStyle w:val="Tablewriting"/>
              <w:rPr>
                <w:rFonts w:eastAsia="MS Mincho"/>
                <w:u w:val="single"/>
              </w:rPr>
            </w:pPr>
            <w:r w:rsidRPr="00C34B41">
              <w:rPr>
                <w:rFonts w:eastAsia="MS Mincho"/>
                <w:u w:val="single"/>
              </w:rPr>
              <w:t>Safety:</w:t>
            </w:r>
            <w:r>
              <w:rPr>
                <w:rFonts w:eastAsia="MS Mincho"/>
                <w:u w:val="single"/>
              </w:rPr>
              <w:t xml:space="preserve"> </w:t>
            </w:r>
            <w:r w:rsidRPr="0064534C">
              <w:rPr>
                <w:rFonts w:eastAsia="MS Mincho"/>
              </w:rPr>
              <w:t>N</w:t>
            </w:r>
            <w:r w:rsidR="0064534C">
              <w:rPr>
                <w:rFonts w:eastAsia="MS Mincho"/>
              </w:rPr>
              <w:t>R</w:t>
            </w:r>
          </w:p>
        </w:tc>
      </w:tr>
      <w:tr w:rsidR="00541274" w:rsidRPr="00061F78" w14:paraId="700B4D16" w14:textId="77777777" w:rsidTr="00D0517F">
        <w:trPr>
          <w:trHeight w:val="149"/>
        </w:trPr>
        <w:tc>
          <w:tcPr>
            <w:tcW w:w="565" w:type="pct"/>
            <w:tcMar>
              <w:left w:w="28" w:type="dxa"/>
              <w:right w:w="28" w:type="dxa"/>
            </w:tcMar>
          </w:tcPr>
          <w:p w14:paraId="71734CEA" w14:textId="21F670EA" w:rsidR="00541274" w:rsidRPr="00541274" w:rsidRDefault="00D7259E" w:rsidP="00A71365">
            <w:pPr>
              <w:pStyle w:val="Tablewriting"/>
              <w:rPr>
                <w:rFonts w:eastAsia="MS Mincho"/>
              </w:rPr>
            </w:pPr>
            <w:r w:rsidRPr="00A5320A">
              <w:rPr>
                <w:rFonts w:eastAsia="MS Mincho"/>
              </w:rPr>
              <w:t xml:space="preserve">Eisenberg </w:t>
            </w:r>
            <w:r w:rsidR="0065538B">
              <w:rPr>
                <w:rFonts w:eastAsia="MS Mincho"/>
              </w:rPr>
              <w:t>(</w:t>
            </w:r>
            <w:r w:rsidRPr="00A5320A">
              <w:rPr>
                <w:rFonts w:eastAsia="MS Mincho"/>
              </w:rPr>
              <w:t>2013</w:t>
            </w:r>
            <w:r w:rsidR="0065538B">
              <w:rPr>
                <w:rFonts w:eastAsia="MS Mincho"/>
              </w:rPr>
              <w:t>)</w:t>
            </w:r>
          </w:p>
        </w:tc>
        <w:tc>
          <w:tcPr>
            <w:tcW w:w="239" w:type="pct"/>
          </w:tcPr>
          <w:p w14:paraId="6F5A9E26" w14:textId="7553AF39" w:rsidR="00541274" w:rsidRDefault="00D659EE" w:rsidP="00A71365">
            <w:pPr>
              <w:pStyle w:val="Tablewriting"/>
              <w:rPr>
                <w:rFonts w:eastAsia="MS Mincho"/>
              </w:rPr>
            </w:pPr>
            <w:r>
              <w:rPr>
                <w:rFonts w:eastAsia="MS Mincho"/>
              </w:rPr>
              <w:t>RCT</w:t>
            </w:r>
          </w:p>
        </w:tc>
        <w:tc>
          <w:tcPr>
            <w:tcW w:w="422" w:type="pct"/>
          </w:tcPr>
          <w:p w14:paraId="2A42955C" w14:textId="34476A94" w:rsidR="00D659EE" w:rsidRDefault="00D659EE" w:rsidP="00A71365">
            <w:pPr>
              <w:pStyle w:val="Tablewriting"/>
              <w:rPr>
                <w:rFonts w:eastAsia="MS Mincho"/>
              </w:rPr>
            </w:pPr>
            <w:r>
              <w:rPr>
                <w:rFonts w:eastAsia="MS Mincho"/>
              </w:rPr>
              <w:t>Canada</w:t>
            </w:r>
          </w:p>
        </w:tc>
        <w:tc>
          <w:tcPr>
            <w:tcW w:w="449" w:type="pct"/>
            <w:tcMar>
              <w:left w:w="28" w:type="dxa"/>
              <w:right w:w="28" w:type="dxa"/>
            </w:tcMar>
          </w:tcPr>
          <w:p w14:paraId="0271FC70" w14:textId="5E5F1199" w:rsidR="00541274" w:rsidRPr="00061F78" w:rsidRDefault="00CA3C21" w:rsidP="00A71365">
            <w:pPr>
              <w:pStyle w:val="Tablewriting"/>
              <w:rPr>
                <w:rFonts w:eastAsia="MS Mincho"/>
              </w:rPr>
            </w:pPr>
            <w:r>
              <w:rPr>
                <w:rFonts w:eastAsia="MS Mincho"/>
              </w:rPr>
              <w:t>N=392</w:t>
            </w:r>
            <w:r w:rsidR="00C75289">
              <w:rPr>
                <w:rFonts w:eastAsia="MS Mincho"/>
              </w:rPr>
              <w:t>;</w:t>
            </w:r>
            <w:r w:rsidR="00510700">
              <w:rPr>
                <w:rFonts w:eastAsia="MS Mincho"/>
              </w:rPr>
              <w:t xml:space="preserve"> n=192 (bupropion), n=200 (placebo)</w:t>
            </w:r>
          </w:p>
        </w:tc>
        <w:tc>
          <w:tcPr>
            <w:tcW w:w="1271" w:type="pct"/>
            <w:tcMar>
              <w:left w:w="28" w:type="dxa"/>
              <w:right w:w="28" w:type="dxa"/>
            </w:tcMar>
          </w:tcPr>
          <w:p w14:paraId="678CCC50" w14:textId="1BDC4DCD" w:rsidR="009A09F5" w:rsidRPr="009A09F5" w:rsidRDefault="009A09F5" w:rsidP="00A71365">
            <w:pPr>
              <w:pStyle w:val="Tablewriting"/>
              <w:rPr>
                <w:rFonts w:eastAsia="MS Mincho"/>
              </w:rPr>
            </w:pPr>
            <w:r>
              <w:rPr>
                <w:rFonts w:eastAsia="MS Mincho"/>
              </w:rPr>
              <w:t>S</w:t>
            </w:r>
            <w:r w:rsidRPr="009A09F5">
              <w:rPr>
                <w:rFonts w:eastAsia="MS Mincho"/>
              </w:rPr>
              <w:t>mokers of at least 10 cigarettes per day, hospitalized with enzyme positive acute myocardial infarction.</w:t>
            </w:r>
          </w:p>
          <w:p w14:paraId="69EE0610" w14:textId="0D981FE8" w:rsidR="00541274" w:rsidRPr="00061F78" w:rsidRDefault="009A09F5" w:rsidP="00A71365">
            <w:pPr>
              <w:pStyle w:val="Tablewriting"/>
              <w:rPr>
                <w:rFonts w:eastAsia="MS Mincho"/>
              </w:rPr>
            </w:pPr>
            <w:r w:rsidRPr="009A09F5">
              <w:rPr>
                <w:rFonts w:eastAsia="MS Mincho"/>
              </w:rPr>
              <w:t>16% female; average age 54</w:t>
            </w:r>
            <w:r w:rsidR="002C6BE7">
              <w:rPr>
                <w:rFonts w:eastAsia="MS Mincho"/>
              </w:rPr>
              <w:t xml:space="preserve"> years,</w:t>
            </w:r>
            <w:r w:rsidRPr="009A09F5">
              <w:rPr>
                <w:rFonts w:eastAsia="MS Mincho"/>
              </w:rPr>
              <w:t xml:space="preserve"> average cigarettes per day 23</w:t>
            </w:r>
            <w:r w:rsidR="002C6BE7">
              <w:rPr>
                <w:rFonts w:eastAsia="MS Mincho"/>
              </w:rPr>
              <w:t>,</w:t>
            </w:r>
            <w:r w:rsidRPr="009A09F5">
              <w:rPr>
                <w:rFonts w:eastAsia="MS Mincho"/>
              </w:rPr>
              <w:t xml:space="preserve"> average FTND not speci</w:t>
            </w:r>
            <w:r>
              <w:rPr>
                <w:rFonts w:eastAsia="MS Mincho"/>
              </w:rPr>
              <w:t>fied</w:t>
            </w:r>
            <w:r w:rsidR="002C6BE7">
              <w:rPr>
                <w:rFonts w:eastAsia="MS Mincho"/>
              </w:rPr>
              <w:t>.</w:t>
            </w:r>
          </w:p>
        </w:tc>
        <w:tc>
          <w:tcPr>
            <w:tcW w:w="1224" w:type="pct"/>
          </w:tcPr>
          <w:p w14:paraId="3674D5FF" w14:textId="77777777" w:rsidR="00374189" w:rsidRPr="00374189" w:rsidRDefault="00374189" w:rsidP="00C324F3">
            <w:pPr>
              <w:pStyle w:val="Tablewriting"/>
              <w:numPr>
                <w:ilvl w:val="0"/>
                <w:numId w:val="16"/>
              </w:numPr>
              <w:rPr>
                <w:rFonts w:eastAsia="MS Mincho"/>
              </w:rPr>
            </w:pPr>
            <w:r w:rsidRPr="00374189">
              <w:rPr>
                <w:rFonts w:eastAsia="MS Mincho"/>
              </w:rPr>
              <w:t>Bupropion, 300 mg/day for 9 weeks (150 mg for 3 days, then 150 mg 2 x day for remainder)</w:t>
            </w:r>
          </w:p>
          <w:p w14:paraId="3B4266E9" w14:textId="43D2D6C4" w:rsidR="00374189" w:rsidRPr="00374189" w:rsidRDefault="00374189" w:rsidP="00C324F3">
            <w:pPr>
              <w:pStyle w:val="Tablewriting"/>
              <w:numPr>
                <w:ilvl w:val="0"/>
                <w:numId w:val="16"/>
              </w:numPr>
              <w:rPr>
                <w:rFonts w:eastAsia="MS Mincho"/>
              </w:rPr>
            </w:pPr>
            <w:r w:rsidRPr="00374189">
              <w:rPr>
                <w:rFonts w:eastAsia="MS Mincho"/>
              </w:rPr>
              <w:t>Placebo, same schedule as bupropion</w:t>
            </w:r>
          </w:p>
          <w:p w14:paraId="3A39B561" w14:textId="77777777" w:rsidR="00374189" w:rsidRDefault="00374189" w:rsidP="00A71365">
            <w:pPr>
              <w:pStyle w:val="Tablewriting"/>
              <w:rPr>
                <w:rFonts w:eastAsia="MS Mincho"/>
              </w:rPr>
            </w:pPr>
          </w:p>
          <w:p w14:paraId="6B6B888D" w14:textId="2BEC5ED2" w:rsidR="00541274" w:rsidRPr="00061F78" w:rsidRDefault="00374189" w:rsidP="00A71365">
            <w:pPr>
              <w:pStyle w:val="Tablewriting"/>
              <w:rPr>
                <w:rFonts w:eastAsia="MS Mincho"/>
              </w:rPr>
            </w:pPr>
            <w:r w:rsidRPr="00374189">
              <w:rPr>
                <w:rFonts w:eastAsia="MS Mincho"/>
                <w:u w:val="single"/>
              </w:rPr>
              <w:t>Common components:</w:t>
            </w:r>
            <w:r w:rsidRPr="00374189">
              <w:rPr>
                <w:rFonts w:eastAsia="MS Mincho"/>
              </w:rPr>
              <w:t xml:space="preserve"> 7 one-to-one counselling sessions by research nurses at baseline and all follow-ups of &lt; 20 mins (average 5) – mix of phone and in-person</w:t>
            </w:r>
          </w:p>
        </w:tc>
        <w:tc>
          <w:tcPr>
            <w:tcW w:w="832" w:type="pct"/>
            <w:tcMar>
              <w:left w:w="28" w:type="dxa"/>
              <w:right w:w="28" w:type="dxa"/>
            </w:tcMar>
          </w:tcPr>
          <w:p w14:paraId="1B893545" w14:textId="7DC1DECC" w:rsidR="00810283" w:rsidRPr="00810283" w:rsidRDefault="00810283" w:rsidP="00A71365">
            <w:pPr>
              <w:pStyle w:val="Tablewriting"/>
              <w:rPr>
                <w:rFonts w:eastAsia="MS Mincho"/>
              </w:rPr>
            </w:pPr>
            <w:r>
              <w:rPr>
                <w:rFonts w:eastAsia="MS Mincho"/>
                <w:u w:val="single"/>
              </w:rPr>
              <w:t>Efficacy:</w:t>
            </w:r>
            <w:r w:rsidRPr="00810283">
              <w:rPr>
                <w:rFonts w:eastAsia="MS Mincho"/>
              </w:rPr>
              <w:t xml:space="preserve"> 12 months continuous abstinence (7 days </w:t>
            </w:r>
            <w:r w:rsidR="009358E1">
              <w:rPr>
                <w:rFonts w:eastAsia="MS Mincho"/>
              </w:rPr>
              <w:t>PPA</w:t>
            </w:r>
            <w:r w:rsidRPr="00810283">
              <w:rPr>
                <w:rFonts w:eastAsia="MS Mincho"/>
              </w:rPr>
              <w:t xml:space="preserve"> also reported). Validated by CO </w:t>
            </w:r>
            <w:r w:rsidR="00AC7F27" w:rsidRPr="00D96BA4">
              <w:rPr>
                <w:rFonts w:eastAsia="MS Mincho"/>
              </w:rPr>
              <w:t>≤</w:t>
            </w:r>
            <w:r w:rsidR="00095F26">
              <w:rPr>
                <w:rFonts w:eastAsia="MS Mincho"/>
              </w:rPr>
              <w:t xml:space="preserve"> </w:t>
            </w:r>
            <w:r w:rsidRPr="00810283">
              <w:rPr>
                <w:rFonts w:eastAsia="MS Mincho"/>
              </w:rPr>
              <w:t>10 ppm</w:t>
            </w:r>
          </w:p>
          <w:p w14:paraId="176279EB" w14:textId="13D2192A" w:rsidR="00541274" w:rsidRPr="00061F78" w:rsidRDefault="00810283" w:rsidP="00A71365">
            <w:pPr>
              <w:pStyle w:val="Tablewriting"/>
              <w:rPr>
                <w:rFonts w:eastAsia="MS Mincho"/>
              </w:rPr>
            </w:pPr>
            <w:r w:rsidRPr="00810283">
              <w:rPr>
                <w:rFonts w:eastAsia="MS Mincho"/>
                <w:u w:val="single"/>
              </w:rPr>
              <w:t>Safety:</w:t>
            </w:r>
            <w:r w:rsidRPr="00810283">
              <w:rPr>
                <w:rFonts w:eastAsia="MS Mincho"/>
              </w:rPr>
              <w:t xml:space="preserve"> non-SAEs measured for 9 weeks. SAEs measured for 12 months</w:t>
            </w:r>
            <w:r w:rsidR="00936C4D">
              <w:rPr>
                <w:rFonts w:eastAsia="MS Mincho"/>
              </w:rPr>
              <w:t>.</w:t>
            </w:r>
          </w:p>
        </w:tc>
      </w:tr>
      <w:tr w:rsidR="00E30B27" w:rsidRPr="00061F78" w14:paraId="725AD762" w14:textId="77777777" w:rsidTr="00D0517F">
        <w:trPr>
          <w:trHeight w:val="149"/>
        </w:trPr>
        <w:tc>
          <w:tcPr>
            <w:tcW w:w="565" w:type="pct"/>
          </w:tcPr>
          <w:p w14:paraId="10293D4E" w14:textId="41D01BE7" w:rsidR="00E30B27" w:rsidRPr="00541274" w:rsidRDefault="00D7259E" w:rsidP="00A71365">
            <w:pPr>
              <w:pStyle w:val="Tablewriting"/>
              <w:rPr>
                <w:rFonts w:eastAsia="MS Mincho"/>
              </w:rPr>
            </w:pPr>
            <w:r w:rsidRPr="00A5320A">
              <w:rPr>
                <w:rFonts w:eastAsia="MS Mincho"/>
              </w:rPr>
              <w:t xml:space="preserve">Evins </w:t>
            </w:r>
            <w:r w:rsidR="0065538B">
              <w:rPr>
                <w:rFonts w:eastAsia="MS Mincho"/>
              </w:rPr>
              <w:t>(</w:t>
            </w:r>
            <w:r w:rsidRPr="00A5320A">
              <w:rPr>
                <w:rFonts w:eastAsia="MS Mincho"/>
              </w:rPr>
              <w:t>2001</w:t>
            </w:r>
            <w:r w:rsidR="0065538B">
              <w:rPr>
                <w:rFonts w:eastAsia="MS Mincho"/>
              </w:rPr>
              <w:t>)</w:t>
            </w:r>
          </w:p>
        </w:tc>
        <w:tc>
          <w:tcPr>
            <w:tcW w:w="239" w:type="pct"/>
          </w:tcPr>
          <w:p w14:paraId="19219402" w14:textId="01A3BF05" w:rsidR="00E30B27" w:rsidRDefault="00E66D7E" w:rsidP="00A71365">
            <w:pPr>
              <w:pStyle w:val="Tablewriting"/>
              <w:rPr>
                <w:rFonts w:eastAsia="MS Mincho"/>
              </w:rPr>
            </w:pPr>
            <w:r>
              <w:rPr>
                <w:rFonts w:eastAsia="MS Mincho"/>
              </w:rPr>
              <w:t>RCT</w:t>
            </w:r>
          </w:p>
        </w:tc>
        <w:tc>
          <w:tcPr>
            <w:tcW w:w="422" w:type="pct"/>
          </w:tcPr>
          <w:p w14:paraId="1068C543" w14:textId="2706CAEA" w:rsidR="00E66D7E" w:rsidRDefault="00E66D7E" w:rsidP="00A71365">
            <w:pPr>
              <w:pStyle w:val="Tablewriting"/>
              <w:rPr>
                <w:rFonts w:eastAsia="MS Mincho"/>
              </w:rPr>
            </w:pPr>
            <w:r>
              <w:rPr>
                <w:rFonts w:eastAsia="MS Mincho"/>
              </w:rPr>
              <w:t>USA</w:t>
            </w:r>
          </w:p>
        </w:tc>
        <w:tc>
          <w:tcPr>
            <w:tcW w:w="449" w:type="pct"/>
          </w:tcPr>
          <w:p w14:paraId="3837CCD2" w14:textId="0343E211" w:rsidR="00E30B27" w:rsidRPr="00061F78" w:rsidRDefault="00CA3C21" w:rsidP="00A71365">
            <w:pPr>
              <w:pStyle w:val="Tablewriting"/>
              <w:rPr>
                <w:rFonts w:eastAsia="MS Mincho"/>
              </w:rPr>
            </w:pPr>
            <w:r>
              <w:rPr>
                <w:rFonts w:eastAsia="MS Mincho"/>
              </w:rPr>
              <w:t>N=18</w:t>
            </w:r>
            <w:r w:rsidR="00193A2A">
              <w:rPr>
                <w:rFonts w:eastAsia="MS Mincho"/>
              </w:rPr>
              <w:t>; n=9 bupropion), n=9 (placebo).</w:t>
            </w:r>
          </w:p>
        </w:tc>
        <w:tc>
          <w:tcPr>
            <w:tcW w:w="1271" w:type="pct"/>
          </w:tcPr>
          <w:p w14:paraId="4FB961B0" w14:textId="322D566D" w:rsidR="00E30B27" w:rsidRPr="00061F78" w:rsidRDefault="00E33E12" w:rsidP="00A71365">
            <w:pPr>
              <w:pStyle w:val="Tablewriting"/>
              <w:rPr>
                <w:rFonts w:eastAsia="MS Mincho"/>
              </w:rPr>
            </w:pPr>
            <w:r>
              <w:rPr>
                <w:rFonts w:eastAsia="MS Mincho"/>
              </w:rPr>
              <w:t>S</w:t>
            </w:r>
            <w:r w:rsidR="00186A66" w:rsidRPr="00186A66">
              <w:rPr>
                <w:rFonts w:eastAsia="MS Mincho"/>
              </w:rPr>
              <w:t>mokers with stable schizophrenia (excluding 1 dropout prior to</w:t>
            </w:r>
            <w:r w:rsidR="00186A66">
              <w:rPr>
                <w:rFonts w:eastAsia="MS Mincho"/>
              </w:rPr>
              <w:t xml:space="preserve"> </w:t>
            </w:r>
            <w:r w:rsidR="00186A66" w:rsidRPr="00186A66">
              <w:rPr>
                <w:rFonts w:eastAsia="MS Mincho"/>
              </w:rPr>
              <w:t>medication)</w:t>
            </w:r>
            <w:r w:rsidR="000C29E2">
              <w:rPr>
                <w:rFonts w:eastAsia="MS Mincho"/>
              </w:rPr>
              <w:t>,</w:t>
            </w:r>
            <w:r w:rsidR="00186A66" w:rsidRPr="00186A66">
              <w:rPr>
                <w:rFonts w:eastAsia="MS Mincho"/>
              </w:rPr>
              <w:t xml:space="preserve"> 39% female</w:t>
            </w:r>
            <w:r w:rsidR="002C6BE7">
              <w:rPr>
                <w:rFonts w:eastAsia="MS Mincho"/>
              </w:rPr>
              <w:t>,</w:t>
            </w:r>
            <w:r w:rsidR="00186A66" w:rsidRPr="00186A66">
              <w:rPr>
                <w:rFonts w:eastAsia="MS Mincho"/>
              </w:rPr>
              <w:t xml:space="preserve"> average</w:t>
            </w:r>
            <w:r w:rsidR="00592C3C">
              <w:rPr>
                <w:rFonts w:eastAsia="MS Mincho"/>
              </w:rPr>
              <w:t xml:space="preserve"> </w:t>
            </w:r>
            <w:r w:rsidR="00186A66" w:rsidRPr="00186A66">
              <w:rPr>
                <w:rFonts w:eastAsia="MS Mincho"/>
              </w:rPr>
              <w:t>age 45.5/42.7</w:t>
            </w:r>
            <w:r w:rsidR="002C6BE7">
              <w:rPr>
                <w:rFonts w:eastAsia="MS Mincho"/>
              </w:rPr>
              <w:t>,</w:t>
            </w:r>
            <w:r w:rsidR="00186A66" w:rsidRPr="00186A66">
              <w:rPr>
                <w:rFonts w:eastAsia="MS Mincho"/>
              </w:rPr>
              <w:t xml:space="preserve"> average cigarettes per day 34</w:t>
            </w:r>
            <w:r w:rsidR="002C6BE7">
              <w:rPr>
                <w:rFonts w:eastAsia="MS Mincho"/>
              </w:rPr>
              <w:t>.</w:t>
            </w:r>
          </w:p>
        </w:tc>
        <w:tc>
          <w:tcPr>
            <w:tcW w:w="1224" w:type="pct"/>
          </w:tcPr>
          <w:p w14:paraId="70C6039F" w14:textId="51494399" w:rsidR="0025173C" w:rsidRPr="0025173C" w:rsidRDefault="0025173C" w:rsidP="00C324F3">
            <w:pPr>
              <w:pStyle w:val="Tablewriting"/>
              <w:numPr>
                <w:ilvl w:val="0"/>
                <w:numId w:val="17"/>
              </w:numPr>
              <w:rPr>
                <w:rFonts w:eastAsia="MS Mincho"/>
              </w:rPr>
            </w:pPr>
            <w:r w:rsidRPr="0025173C">
              <w:rPr>
                <w:rFonts w:eastAsia="MS Mincho"/>
              </w:rPr>
              <w:t>Bupropion</w:t>
            </w:r>
            <w:r>
              <w:rPr>
                <w:rFonts w:eastAsia="MS Mincho"/>
              </w:rPr>
              <w:t>,</w:t>
            </w:r>
            <w:r w:rsidRPr="0025173C">
              <w:rPr>
                <w:rFonts w:eastAsia="MS Mincho"/>
              </w:rPr>
              <w:t xml:space="preserve"> 300 mg/day for 3 months</w:t>
            </w:r>
            <w:r w:rsidR="0016533A">
              <w:rPr>
                <w:rFonts w:eastAsia="MS Mincho"/>
              </w:rPr>
              <w:t>,</w:t>
            </w:r>
            <w:r w:rsidRPr="0025173C">
              <w:rPr>
                <w:rFonts w:eastAsia="MS Mincho"/>
              </w:rPr>
              <w:t xml:space="preserve"> TQD after week 3</w:t>
            </w:r>
          </w:p>
          <w:p w14:paraId="7785E26B" w14:textId="3D3282D6" w:rsidR="0025173C" w:rsidRPr="0025173C" w:rsidRDefault="0025173C" w:rsidP="00C324F3">
            <w:pPr>
              <w:pStyle w:val="Tablewriting"/>
              <w:numPr>
                <w:ilvl w:val="0"/>
                <w:numId w:val="17"/>
              </w:numPr>
              <w:rPr>
                <w:rFonts w:eastAsia="MS Mincho"/>
              </w:rPr>
            </w:pPr>
            <w:r w:rsidRPr="0025173C">
              <w:rPr>
                <w:rFonts w:eastAsia="MS Mincho"/>
              </w:rPr>
              <w:t>Placebo</w:t>
            </w:r>
          </w:p>
          <w:p w14:paraId="494F2943" w14:textId="77777777" w:rsidR="0025173C" w:rsidRDefault="0025173C" w:rsidP="00A71365">
            <w:pPr>
              <w:pStyle w:val="Tablewriting"/>
              <w:rPr>
                <w:rFonts w:eastAsia="MS Mincho"/>
              </w:rPr>
            </w:pPr>
          </w:p>
          <w:p w14:paraId="15E58F22" w14:textId="1EDFD76B" w:rsidR="00E30B27" w:rsidRPr="00061F78" w:rsidRDefault="0025173C" w:rsidP="00A71365">
            <w:pPr>
              <w:pStyle w:val="Tablewriting"/>
              <w:rPr>
                <w:rFonts w:eastAsia="MS Mincho"/>
              </w:rPr>
            </w:pPr>
            <w:r w:rsidRPr="0025173C">
              <w:rPr>
                <w:rFonts w:eastAsia="MS Mincho"/>
                <w:u w:val="single"/>
              </w:rPr>
              <w:t>Common components</w:t>
            </w:r>
            <w:r w:rsidRPr="0025173C">
              <w:rPr>
                <w:rFonts w:eastAsia="MS Mincho"/>
              </w:rPr>
              <w:t>: 9x1</w:t>
            </w:r>
            <w:r>
              <w:rPr>
                <w:rFonts w:eastAsia="MS Mincho"/>
              </w:rPr>
              <w:t xml:space="preserve"> </w:t>
            </w:r>
            <w:r w:rsidRPr="0025173C">
              <w:rPr>
                <w:rFonts w:eastAsia="MS Mincho"/>
              </w:rPr>
              <w:t>hour weekly group CBT</w:t>
            </w:r>
          </w:p>
        </w:tc>
        <w:tc>
          <w:tcPr>
            <w:tcW w:w="832" w:type="pct"/>
          </w:tcPr>
          <w:p w14:paraId="26FE5A7C" w14:textId="30731E2E" w:rsidR="00514D56" w:rsidRPr="00514D56" w:rsidRDefault="00514D56" w:rsidP="00A71365">
            <w:pPr>
              <w:pStyle w:val="Tablewriting"/>
              <w:rPr>
                <w:rFonts w:eastAsia="MS Mincho"/>
              </w:rPr>
            </w:pPr>
            <w:r w:rsidRPr="00514D56">
              <w:rPr>
                <w:rFonts w:eastAsia="MS Mincho"/>
                <w:u w:val="single"/>
              </w:rPr>
              <w:t>Efficacy:</w:t>
            </w:r>
            <w:r w:rsidRPr="00514D56">
              <w:rPr>
                <w:rFonts w:eastAsia="MS Mincho"/>
              </w:rPr>
              <w:t xml:space="preserve"> prolonged abstinence at 6 months. Validated by CO &lt; 9 ppm or serum cotinine &lt;</w:t>
            </w:r>
            <w:r>
              <w:rPr>
                <w:rFonts w:eastAsia="MS Mincho"/>
              </w:rPr>
              <w:t xml:space="preserve"> </w:t>
            </w:r>
            <w:r w:rsidRPr="00514D56">
              <w:rPr>
                <w:rFonts w:eastAsia="MS Mincho"/>
              </w:rPr>
              <w:t>14 ng/mL</w:t>
            </w:r>
          </w:p>
          <w:p w14:paraId="22B0B7F0" w14:textId="2F25E697" w:rsidR="00E30B27" w:rsidRPr="00061F78" w:rsidRDefault="00514D56" w:rsidP="00A71365">
            <w:pPr>
              <w:pStyle w:val="Tablewriting"/>
              <w:rPr>
                <w:rFonts w:eastAsia="MS Mincho"/>
              </w:rPr>
            </w:pPr>
            <w:r>
              <w:rPr>
                <w:rFonts w:eastAsia="MS Mincho"/>
                <w:u w:val="single"/>
              </w:rPr>
              <w:t>Safety</w:t>
            </w:r>
            <w:r w:rsidRPr="00514D56">
              <w:rPr>
                <w:rFonts w:eastAsia="MS Mincho"/>
              </w:rPr>
              <w:t>: measured for 24 weeks</w:t>
            </w:r>
          </w:p>
        </w:tc>
      </w:tr>
      <w:tr w:rsidR="00E30B27" w:rsidRPr="00061F78" w14:paraId="4262103C" w14:textId="77777777" w:rsidTr="00D0517F">
        <w:trPr>
          <w:trHeight w:val="149"/>
        </w:trPr>
        <w:tc>
          <w:tcPr>
            <w:tcW w:w="565" w:type="pct"/>
          </w:tcPr>
          <w:p w14:paraId="2205C32A" w14:textId="7CFBCB6C" w:rsidR="00E30B27" w:rsidRPr="00541274" w:rsidRDefault="00F87B92" w:rsidP="00A71365">
            <w:pPr>
              <w:pStyle w:val="Tablewriting"/>
              <w:rPr>
                <w:rFonts w:eastAsia="MS Mincho"/>
              </w:rPr>
            </w:pPr>
            <w:r w:rsidRPr="00A5320A">
              <w:rPr>
                <w:rFonts w:eastAsia="MS Mincho"/>
              </w:rPr>
              <w:t xml:space="preserve">Evins </w:t>
            </w:r>
            <w:r w:rsidR="0065538B">
              <w:rPr>
                <w:rFonts w:eastAsia="MS Mincho"/>
              </w:rPr>
              <w:t>(</w:t>
            </w:r>
            <w:r w:rsidRPr="00A5320A">
              <w:rPr>
                <w:rFonts w:eastAsia="MS Mincho"/>
              </w:rPr>
              <w:t>2005</w:t>
            </w:r>
            <w:r w:rsidR="0065538B">
              <w:rPr>
                <w:rFonts w:eastAsia="MS Mincho"/>
              </w:rPr>
              <w:t>)</w:t>
            </w:r>
          </w:p>
        </w:tc>
        <w:tc>
          <w:tcPr>
            <w:tcW w:w="239" w:type="pct"/>
          </w:tcPr>
          <w:p w14:paraId="521CDFC6" w14:textId="6A81CE83" w:rsidR="00E30B27" w:rsidRDefault="002832E8" w:rsidP="00A71365">
            <w:pPr>
              <w:pStyle w:val="Tablewriting"/>
              <w:rPr>
                <w:rFonts w:eastAsia="MS Mincho"/>
              </w:rPr>
            </w:pPr>
            <w:r>
              <w:rPr>
                <w:rFonts w:eastAsia="MS Mincho"/>
              </w:rPr>
              <w:t>RCT</w:t>
            </w:r>
          </w:p>
        </w:tc>
        <w:tc>
          <w:tcPr>
            <w:tcW w:w="422" w:type="pct"/>
          </w:tcPr>
          <w:p w14:paraId="6F7ECB49" w14:textId="5CE220C2" w:rsidR="002832E8" w:rsidRDefault="002832E8" w:rsidP="00A71365">
            <w:pPr>
              <w:pStyle w:val="Tablewriting"/>
              <w:rPr>
                <w:rFonts w:eastAsia="MS Mincho"/>
              </w:rPr>
            </w:pPr>
            <w:r>
              <w:rPr>
                <w:rFonts w:eastAsia="MS Mincho"/>
              </w:rPr>
              <w:t>USA</w:t>
            </w:r>
          </w:p>
        </w:tc>
        <w:tc>
          <w:tcPr>
            <w:tcW w:w="449" w:type="pct"/>
          </w:tcPr>
          <w:p w14:paraId="38C18DA4" w14:textId="562727CB" w:rsidR="00E30B27" w:rsidRPr="00061F78" w:rsidRDefault="00CA3C21" w:rsidP="00A71365">
            <w:pPr>
              <w:pStyle w:val="Tablewriting"/>
              <w:rPr>
                <w:rFonts w:eastAsia="MS Mincho"/>
              </w:rPr>
            </w:pPr>
            <w:r>
              <w:rPr>
                <w:rFonts w:eastAsia="MS Mincho"/>
              </w:rPr>
              <w:t>N=56</w:t>
            </w:r>
            <w:r w:rsidR="00F370B3">
              <w:rPr>
                <w:rFonts w:eastAsia="MS Mincho"/>
              </w:rPr>
              <w:t>; n=</w:t>
            </w:r>
            <w:r w:rsidR="008271C0">
              <w:rPr>
                <w:rFonts w:eastAsia="MS Mincho"/>
              </w:rPr>
              <w:t xml:space="preserve">25 </w:t>
            </w:r>
            <w:r w:rsidR="00F370B3">
              <w:rPr>
                <w:rFonts w:eastAsia="MS Mincho"/>
              </w:rPr>
              <w:t xml:space="preserve">(bupropion), n= </w:t>
            </w:r>
            <w:r w:rsidR="008271C0">
              <w:rPr>
                <w:rFonts w:eastAsia="MS Mincho"/>
              </w:rPr>
              <w:t xml:space="preserve">28 </w:t>
            </w:r>
            <w:r w:rsidR="00F370B3">
              <w:rPr>
                <w:rFonts w:eastAsia="MS Mincho"/>
              </w:rPr>
              <w:t>(placebo).</w:t>
            </w:r>
          </w:p>
        </w:tc>
        <w:tc>
          <w:tcPr>
            <w:tcW w:w="1271" w:type="pct"/>
          </w:tcPr>
          <w:p w14:paraId="746396D4" w14:textId="7C165FEF" w:rsidR="00E30B27" w:rsidRPr="00061F78" w:rsidRDefault="00E33E12" w:rsidP="00A71365">
            <w:pPr>
              <w:pStyle w:val="Tablewriting"/>
              <w:rPr>
                <w:rFonts w:eastAsia="MS Mincho"/>
              </w:rPr>
            </w:pPr>
            <w:r>
              <w:rPr>
                <w:rFonts w:eastAsia="MS Mincho"/>
              </w:rPr>
              <w:t>S</w:t>
            </w:r>
            <w:r w:rsidRPr="00E33E12">
              <w:rPr>
                <w:rFonts w:eastAsia="MS Mincho"/>
              </w:rPr>
              <w:t>mokers with schizophrenia (excluding 6 dropouts prior to medication)</w:t>
            </w:r>
            <w:r w:rsidR="000C29E2">
              <w:rPr>
                <w:rFonts w:eastAsia="MS Mincho"/>
              </w:rPr>
              <w:t>,</w:t>
            </w:r>
            <w:r w:rsidRPr="00E33E12">
              <w:rPr>
                <w:rFonts w:eastAsia="MS Mincho"/>
              </w:rPr>
              <w:t xml:space="preserve"> 27% female</w:t>
            </w:r>
            <w:r w:rsidR="000C29E2">
              <w:rPr>
                <w:rFonts w:eastAsia="MS Mincho"/>
              </w:rPr>
              <w:t>,</w:t>
            </w:r>
            <w:r w:rsidRPr="00E33E12">
              <w:rPr>
                <w:rFonts w:eastAsia="MS Mincho"/>
              </w:rPr>
              <w:t xml:space="preserve"> average age 45</w:t>
            </w:r>
            <w:r w:rsidR="000C29E2">
              <w:rPr>
                <w:rFonts w:eastAsia="MS Mincho"/>
              </w:rPr>
              <w:t xml:space="preserve"> years</w:t>
            </w:r>
            <w:r w:rsidRPr="00E33E12">
              <w:rPr>
                <w:rFonts w:eastAsia="MS Mincho"/>
              </w:rPr>
              <w:t>,</w:t>
            </w:r>
            <w:r>
              <w:rPr>
                <w:rFonts w:eastAsia="MS Mincho"/>
              </w:rPr>
              <w:t xml:space="preserve"> </w:t>
            </w:r>
            <w:r w:rsidRPr="00E33E12">
              <w:rPr>
                <w:rFonts w:eastAsia="MS Mincho"/>
              </w:rPr>
              <w:t>average cigarettes per day 37/26</w:t>
            </w:r>
            <w:r w:rsidR="008D5C7A">
              <w:rPr>
                <w:rFonts w:eastAsia="MS Mincho"/>
              </w:rPr>
              <w:t>.</w:t>
            </w:r>
          </w:p>
        </w:tc>
        <w:tc>
          <w:tcPr>
            <w:tcW w:w="1224" w:type="pct"/>
          </w:tcPr>
          <w:p w14:paraId="5CCD1934" w14:textId="430B3674" w:rsidR="008A364D" w:rsidRPr="008A364D" w:rsidRDefault="008A364D" w:rsidP="00C324F3">
            <w:pPr>
              <w:pStyle w:val="Tablewriting"/>
              <w:numPr>
                <w:ilvl w:val="0"/>
                <w:numId w:val="18"/>
              </w:numPr>
              <w:rPr>
                <w:rFonts w:eastAsia="MS Mincho"/>
              </w:rPr>
            </w:pPr>
            <w:r w:rsidRPr="008A364D">
              <w:rPr>
                <w:rFonts w:eastAsia="MS Mincho"/>
              </w:rPr>
              <w:t>Bupropion, 300 mg/day for 3 months</w:t>
            </w:r>
          </w:p>
          <w:p w14:paraId="434CBEAD" w14:textId="618193AD" w:rsidR="008A364D" w:rsidRPr="008A364D" w:rsidRDefault="008A364D" w:rsidP="00C324F3">
            <w:pPr>
              <w:pStyle w:val="Tablewriting"/>
              <w:numPr>
                <w:ilvl w:val="0"/>
                <w:numId w:val="18"/>
              </w:numPr>
              <w:rPr>
                <w:rFonts w:eastAsia="MS Mincho"/>
              </w:rPr>
            </w:pPr>
            <w:r w:rsidRPr="008A364D">
              <w:rPr>
                <w:rFonts w:eastAsia="MS Mincho"/>
              </w:rPr>
              <w:t>Placebo</w:t>
            </w:r>
          </w:p>
          <w:p w14:paraId="1B2BFE6C" w14:textId="77777777" w:rsidR="008A364D" w:rsidRDefault="008A364D" w:rsidP="00A71365">
            <w:pPr>
              <w:pStyle w:val="Tablewriting"/>
              <w:rPr>
                <w:rFonts w:eastAsia="MS Mincho"/>
              </w:rPr>
            </w:pPr>
          </w:p>
          <w:p w14:paraId="2B9E4372" w14:textId="129884E4" w:rsidR="00E30B27" w:rsidRPr="00061F78" w:rsidRDefault="008A364D" w:rsidP="00A71365">
            <w:pPr>
              <w:pStyle w:val="Tablewriting"/>
              <w:rPr>
                <w:rFonts w:eastAsia="MS Mincho"/>
              </w:rPr>
            </w:pPr>
            <w:r w:rsidRPr="008A364D">
              <w:rPr>
                <w:rFonts w:eastAsia="MS Mincho"/>
                <w:u w:val="single"/>
              </w:rPr>
              <w:t>Common components:</w:t>
            </w:r>
            <w:r w:rsidRPr="008A364D">
              <w:rPr>
                <w:rFonts w:eastAsia="MS Mincho"/>
              </w:rPr>
              <w:t xml:space="preserve"> 12</w:t>
            </w:r>
            <w:r>
              <w:rPr>
                <w:rFonts w:eastAsia="MS Mincho"/>
              </w:rPr>
              <w:t xml:space="preserve"> </w:t>
            </w:r>
            <w:r w:rsidRPr="008A364D">
              <w:rPr>
                <w:rFonts w:eastAsia="MS Mincho"/>
              </w:rPr>
              <w:t>session group CBT</w:t>
            </w:r>
          </w:p>
        </w:tc>
        <w:tc>
          <w:tcPr>
            <w:tcW w:w="832" w:type="pct"/>
          </w:tcPr>
          <w:p w14:paraId="0EF51FE0" w14:textId="4AE850DB" w:rsidR="00C53007" w:rsidRPr="00C53007" w:rsidRDefault="00C53007" w:rsidP="00A71365">
            <w:pPr>
              <w:pStyle w:val="Tablewriting"/>
              <w:rPr>
                <w:rFonts w:eastAsia="MS Mincho"/>
              </w:rPr>
            </w:pPr>
            <w:r w:rsidRPr="00C53007">
              <w:rPr>
                <w:rFonts w:eastAsia="MS Mincho"/>
                <w:u w:val="single"/>
              </w:rPr>
              <w:t>Efficacy:</w:t>
            </w:r>
            <w:r w:rsidRPr="00C53007">
              <w:rPr>
                <w:rFonts w:eastAsia="MS Mincho"/>
              </w:rPr>
              <w:t xml:space="preserve"> </w:t>
            </w:r>
            <w:r w:rsidR="00BE4391" w:rsidRPr="00C53007">
              <w:rPr>
                <w:rFonts w:eastAsia="MS Mincho"/>
              </w:rPr>
              <w:t>7-day</w:t>
            </w:r>
            <w:r w:rsidRPr="00C53007">
              <w:rPr>
                <w:rFonts w:eastAsia="MS Mincho"/>
              </w:rPr>
              <w:t xml:space="preserve"> </w:t>
            </w:r>
            <w:r w:rsidR="009358E1">
              <w:rPr>
                <w:rFonts w:eastAsia="MS Mincho"/>
              </w:rPr>
              <w:t>PPA</w:t>
            </w:r>
            <w:r w:rsidRPr="00C53007">
              <w:rPr>
                <w:rFonts w:eastAsia="MS Mincho"/>
              </w:rPr>
              <w:t xml:space="preserve"> at 6 months. Validated by CO &lt;</w:t>
            </w:r>
            <w:r w:rsidR="00AE23CD">
              <w:rPr>
                <w:rFonts w:eastAsia="MS Mincho"/>
              </w:rPr>
              <w:t xml:space="preserve"> </w:t>
            </w:r>
            <w:r w:rsidRPr="00C53007">
              <w:rPr>
                <w:rFonts w:eastAsia="MS Mincho"/>
              </w:rPr>
              <w:t>9 ppm</w:t>
            </w:r>
            <w:r w:rsidR="00714110">
              <w:rPr>
                <w:rFonts w:eastAsia="MS Mincho"/>
              </w:rPr>
              <w:t>.</w:t>
            </w:r>
          </w:p>
          <w:p w14:paraId="718E2CC6" w14:textId="41E53EA2" w:rsidR="00E30B27" w:rsidRPr="00061F78" w:rsidRDefault="00AE23CD" w:rsidP="00A71365">
            <w:pPr>
              <w:pStyle w:val="Tablewriting"/>
              <w:rPr>
                <w:rFonts w:eastAsia="MS Mincho"/>
              </w:rPr>
            </w:pPr>
            <w:r w:rsidRPr="00AE23CD">
              <w:rPr>
                <w:rFonts w:eastAsia="MS Mincho"/>
                <w:u w:val="single"/>
              </w:rPr>
              <w:t>Safety</w:t>
            </w:r>
            <w:r w:rsidR="00C53007" w:rsidRPr="00AE23CD">
              <w:rPr>
                <w:rFonts w:eastAsia="MS Mincho"/>
                <w:u w:val="single"/>
              </w:rPr>
              <w:t>:</w:t>
            </w:r>
            <w:r w:rsidR="00C53007" w:rsidRPr="00C53007">
              <w:rPr>
                <w:rFonts w:eastAsia="MS Mincho"/>
              </w:rPr>
              <w:t xml:space="preserve"> measured for</w:t>
            </w:r>
            <w:r>
              <w:rPr>
                <w:rFonts w:eastAsia="MS Mincho"/>
              </w:rPr>
              <w:t xml:space="preserve"> </w:t>
            </w:r>
            <w:r w:rsidR="00C53007" w:rsidRPr="00C53007">
              <w:rPr>
                <w:rFonts w:eastAsia="MS Mincho"/>
              </w:rPr>
              <w:t>unspecified period</w:t>
            </w:r>
          </w:p>
        </w:tc>
      </w:tr>
      <w:tr w:rsidR="00E30B27" w:rsidRPr="00061F78" w14:paraId="15DD27EF" w14:textId="77777777" w:rsidTr="00D0517F">
        <w:trPr>
          <w:trHeight w:val="149"/>
        </w:trPr>
        <w:tc>
          <w:tcPr>
            <w:tcW w:w="565" w:type="pct"/>
          </w:tcPr>
          <w:p w14:paraId="47159DBF" w14:textId="41D37802" w:rsidR="00E30B27" w:rsidRPr="00541274" w:rsidRDefault="00443BE6" w:rsidP="00A71365">
            <w:pPr>
              <w:pStyle w:val="Tablewriting"/>
              <w:rPr>
                <w:rFonts w:eastAsia="MS Mincho"/>
              </w:rPr>
            </w:pPr>
            <w:r w:rsidRPr="00B63651">
              <w:rPr>
                <w:rFonts w:eastAsia="MS Mincho"/>
              </w:rPr>
              <w:t xml:space="preserve">Ferry </w:t>
            </w:r>
            <w:r w:rsidR="0065538B" w:rsidRPr="00B63651">
              <w:rPr>
                <w:rFonts w:eastAsia="MS Mincho"/>
              </w:rPr>
              <w:t>(</w:t>
            </w:r>
            <w:r w:rsidRPr="00B63651">
              <w:rPr>
                <w:rFonts w:eastAsia="MS Mincho"/>
              </w:rPr>
              <w:t>1992</w:t>
            </w:r>
            <w:r w:rsidR="0065538B" w:rsidRPr="00B63651">
              <w:rPr>
                <w:rFonts w:eastAsia="MS Mincho"/>
              </w:rPr>
              <w:t>)</w:t>
            </w:r>
          </w:p>
        </w:tc>
        <w:tc>
          <w:tcPr>
            <w:tcW w:w="239" w:type="pct"/>
          </w:tcPr>
          <w:p w14:paraId="23517AF6" w14:textId="20F213F3" w:rsidR="00E30B27" w:rsidRDefault="00940DB3" w:rsidP="00A71365">
            <w:pPr>
              <w:pStyle w:val="Tablewriting"/>
              <w:rPr>
                <w:rFonts w:eastAsia="MS Mincho"/>
              </w:rPr>
            </w:pPr>
            <w:r>
              <w:rPr>
                <w:rFonts w:eastAsia="MS Mincho"/>
              </w:rPr>
              <w:t>RCT</w:t>
            </w:r>
          </w:p>
        </w:tc>
        <w:tc>
          <w:tcPr>
            <w:tcW w:w="422" w:type="pct"/>
          </w:tcPr>
          <w:p w14:paraId="6B370C15" w14:textId="4E3A2F31" w:rsidR="00940DB3" w:rsidRDefault="00940DB3" w:rsidP="00A71365">
            <w:pPr>
              <w:pStyle w:val="Tablewriting"/>
              <w:rPr>
                <w:rFonts w:eastAsia="MS Mincho"/>
              </w:rPr>
            </w:pPr>
            <w:r>
              <w:rPr>
                <w:rFonts w:eastAsia="MS Mincho"/>
              </w:rPr>
              <w:t>USA</w:t>
            </w:r>
          </w:p>
        </w:tc>
        <w:tc>
          <w:tcPr>
            <w:tcW w:w="449" w:type="pct"/>
          </w:tcPr>
          <w:p w14:paraId="07E6E94A" w14:textId="600C8175" w:rsidR="00E30B27" w:rsidRPr="00061F78" w:rsidRDefault="00940DB3" w:rsidP="00A71365">
            <w:pPr>
              <w:pStyle w:val="Tablewriting"/>
              <w:rPr>
                <w:rFonts w:eastAsia="MS Mincho"/>
              </w:rPr>
            </w:pPr>
            <w:r>
              <w:rPr>
                <w:rFonts w:eastAsia="MS Mincho"/>
              </w:rPr>
              <w:t>N=42</w:t>
            </w:r>
          </w:p>
        </w:tc>
        <w:tc>
          <w:tcPr>
            <w:tcW w:w="1271" w:type="pct"/>
          </w:tcPr>
          <w:p w14:paraId="40907F05" w14:textId="63B062AA" w:rsidR="00E30B27" w:rsidRPr="00061F78" w:rsidRDefault="00515A48" w:rsidP="00A71365">
            <w:pPr>
              <w:pStyle w:val="Tablewriting"/>
              <w:rPr>
                <w:rFonts w:eastAsia="MS Mincho"/>
              </w:rPr>
            </w:pPr>
            <w:r>
              <w:rPr>
                <w:rFonts w:eastAsia="MS Mincho"/>
              </w:rPr>
              <w:t>M</w:t>
            </w:r>
            <w:r w:rsidRPr="00515A48">
              <w:rPr>
                <w:rFonts w:eastAsia="MS Mincho"/>
              </w:rPr>
              <w:t>ale smokers</w:t>
            </w:r>
          </w:p>
        </w:tc>
        <w:tc>
          <w:tcPr>
            <w:tcW w:w="1224" w:type="pct"/>
          </w:tcPr>
          <w:p w14:paraId="54ACBB05" w14:textId="77777777" w:rsidR="00515A48" w:rsidRDefault="00515A48" w:rsidP="00C324F3">
            <w:pPr>
              <w:pStyle w:val="Tablewriting"/>
              <w:numPr>
                <w:ilvl w:val="0"/>
                <w:numId w:val="19"/>
              </w:numPr>
              <w:rPr>
                <w:rFonts w:eastAsia="MS Mincho"/>
              </w:rPr>
            </w:pPr>
            <w:r w:rsidRPr="00515A48">
              <w:rPr>
                <w:rFonts w:eastAsia="MS Mincho"/>
              </w:rPr>
              <w:t>Bupropion, 300 mg/day for 3 months</w:t>
            </w:r>
          </w:p>
          <w:p w14:paraId="53CFF7A4" w14:textId="1C1E6245" w:rsidR="00515A48" w:rsidRPr="00515A48" w:rsidRDefault="00515A48" w:rsidP="00C324F3">
            <w:pPr>
              <w:pStyle w:val="Tablewriting"/>
              <w:numPr>
                <w:ilvl w:val="0"/>
                <w:numId w:val="19"/>
              </w:numPr>
              <w:rPr>
                <w:rFonts w:eastAsia="MS Mincho"/>
              </w:rPr>
            </w:pPr>
            <w:r w:rsidRPr="00515A48">
              <w:rPr>
                <w:rFonts w:eastAsia="MS Mincho"/>
              </w:rPr>
              <w:lastRenderedPageBreak/>
              <w:t>Placebo</w:t>
            </w:r>
          </w:p>
          <w:p w14:paraId="7C157435" w14:textId="77777777" w:rsidR="00515A48" w:rsidRDefault="00515A48" w:rsidP="00A71365">
            <w:pPr>
              <w:pStyle w:val="Tablewriting"/>
              <w:rPr>
                <w:rFonts w:eastAsia="MS Mincho"/>
              </w:rPr>
            </w:pPr>
          </w:p>
          <w:p w14:paraId="0265B312" w14:textId="018F9360" w:rsidR="00E30B27" w:rsidRPr="00061F78" w:rsidRDefault="00515A48" w:rsidP="00A71365">
            <w:pPr>
              <w:pStyle w:val="Tablewriting"/>
              <w:rPr>
                <w:rFonts w:eastAsia="MS Mincho"/>
              </w:rPr>
            </w:pPr>
            <w:r w:rsidRPr="00515A48">
              <w:rPr>
                <w:rFonts w:eastAsia="MS Mincho"/>
                <w:u w:val="single"/>
              </w:rPr>
              <w:t>Common components</w:t>
            </w:r>
            <w:r w:rsidRPr="00515A48">
              <w:rPr>
                <w:rFonts w:eastAsia="MS Mincho"/>
              </w:rPr>
              <w:t>: group smoking cessation and relapse prevention counselling</w:t>
            </w:r>
          </w:p>
        </w:tc>
        <w:tc>
          <w:tcPr>
            <w:tcW w:w="832" w:type="pct"/>
          </w:tcPr>
          <w:p w14:paraId="682BB2FF" w14:textId="04B6B9D8" w:rsidR="00166449" w:rsidRPr="00166449" w:rsidRDefault="00166449" w:rsidP="00A71365">
            <w:pPr>
              <w:pStyle w:val="Tablewriting"/>
              <w:rPr>
                <w:rFonts w:eastAsia="MS Mincho"/>
              </w:rPr>
            </w:pPr>
            <w:r w:rsidRPr="00166449">
              <w:rPr>
                <w:rFonts w:eastAsia="MS Mincho"/>
                <w:u w:val="single"/>
              </w:rPr>
              <w:lastRenderedPageBreak/>
              <w:t>Efficacy:</w:t>
            </w:r>
            <w:r w:rsidRPr="00166449">
              <w:rPr>
                <w:rFonts w:eastAsia="MS Mincho"/>
              </w:rPr>
              <w:t xml:space="preserve"> sustained abstinence at 6m from </w:t>
            </w:r>
            <w:r w:rsidRPr="00166449">
              <w:rPr>
                <w:rFonts w:eastAsia="MS Mincho"/>
              </w:rPr>
              <w:lastRenderedPageBreak/>
              <w:t>end of treatment. Validated by saliva cotinine</w:t>
            </w:r>
            <w:r w:rsidR="00714110">
              <w:rPr>
                <w:rFonts w:eastAsia="MS Mincho"/>
              </w:rPr>
              <w:t>.</w:t>
            </w:r>
          </w:p>
          <w:p w14:paraId="12935B43" w14:textId="020CB483" w:rsidR="00E30B27" w:rsidRPr="00061F78" w:rsidRDefault="00166449" w:rsidP="00A71365">
            <w:pPr>
              <w:pStyle w:val="Tablewriting"/>
              <w:rPr>
                <w:rFonts w:eastAsia="MS Mincho"/>
              </w:rPr>
            </w:pPr>
            <w:r w:rsidRPr="00166449">
              <w:rPr>
                <w:rFonts w:eastAsia="MS Mincho"/>
                <w:u w:val="single"/>
              </w:rPr>
              <w:t>Safety:</w:t>
            </w:r>
            <w:r w:rsidRPr="00166449">
              <w:rPr>
                <w:rFonts w:eastAsia="MS Mincho"/>
              </w:rPr>
              <w:t xml:space="preserve"> measured for unspecified period</w:t>
            </w:r>
            <w:r w:rsidR="00714110">
              <w:rPr>
                <w:rFonts w:eastAsia="MS Mincho"/>
              </w:rPr>
              <w:t>.</w:t>
            </w:r>
          </w:p>
        </w:tc>
      </w:tr>
      <w:tr w:rsidR="00E30B27" w:rsidRPr="00061F78" w14:paraId="6ED3FAF4" w14:textId="77777777" w:rsidTr="00D0517F">
        <w:trPr>
          <w:trHeight w:val="149"/>
        </w:trPr>
        <w:tc>
          <w:tcPr>
            <w:tcW w:w="565" w:type="pct"/>
          </w:tcPr>
          <w:p w14:paraId="6051B4EB" w14:textId="396AEFA2" w:rsidR="00E30B27" w:rsidRPr="00541274" w:rsidRDefault="008B16AE" w:rsidP="00A71365">
            <w:pPr>
              <w:pStyle w:val="Tablewriting"/>
              <w:rPr>
                <w:rFonts w:eastAsia="MS Mincho"/>
              </w:rPr>
            </w:pPr>
            <w:r w:rsidRPr="000B7F41">
              <w:rPr>
                <w:rFonts w:eastAsia="MS Mincho"/>
              </w:rPr>
              <w:lastRenderedPageBreak/>
              <w:t xml:space="preserve">Ferry </w:t>
            </w:r>
            <w:r w:rsidR="0065538B" w:rsidRPr="000B7F41">
              <w:rPr>
                <w:rFonts w:eastAsia="MS Mincho"/>
              </w:rPr>
              <w:t>(</w:t>
            </w:r>
            <w:r w:rsidRPr="000B7F41">
              <w:rPr>
                <w:rFonts w:eastAsia="MS Mincho"/>
              </w:rPr>
              <w:t>1994</w:t>
            </w:r>
            <w:r w:rsidR="0065538B" w:rsidRPr="000B7F41">
              <w:rPr>
                <w:rFonts w:eastAsia="MS Mincho"/>
              </w:rPr>
              <w:t>)</w:t>
            </w:r>
          </w:p>
        </w:tc>
        <w:tc>
          <w:tcPr>
            <w:tcW w:w="239" w:type="pct"/>
          </w:tcPr>
          <w:p w14:paraId="399684F2" w14:textId="352F55C7" w:rsidR="00E30B27" w:rsidRDefault="00A76AB8" w:rsidP="00A71365">
            <w:pPr>
              <w:pStyle w:val="Tablewriting"/>
              <w:rPr>
                <w:rFonts w:eastAsia="MS Mincho"/>
              </w:rPr>
            </w:pPr>
            <w:r>
              <w:rPr>
                <w:rFonts w:eastAsia="MS Mincho"/>
              </w:rPr>
              <w:t>RCT</w:t>
            </w:r>
          </w:p>
        </w:tc>
        <w:tc>
          <w:tcPr>
            <w:tcW w:w="422" w:type="pct"/>
          </w:tcPr>
          <w:p w14:paraId="4C56F7D4" w14:textId="01898A71" w:rsidR="00A76AB8" w:rsidRDefault="00A76AB8" w:rsidP="00A71365">
            <w:pPr>
              <w:pStyle w:val="Tablewriting"/>
              <w:rPr>
                <w:rFonts w:eastAsia="MS Mincho"/>
              </w:rPr>
            </w:pPr>
            <w:r>
              <w:rPr>
                <w:rFonts w:eastAsia="MS Mincho"/>
              </w:rPr>
              <w:t>USA</w:t>
            </w:r>
          </w:p>
        </w:tc>
        <w:tc>
          <w:tcPr>
            <w:tcW w:w="449" w:type="pct"/>
          </w:tcPr>
          <w:p w14:paraId="5E770F21" w14:textId="160C0ABA" w:rsidR="00E30B27" w:rsidRPr="00061F78" w:rsidRDefault="00A76AB8" w:rsidP="00A71365">
            <w:pPr>
              <w:pStyle w:val="Tablewriting"/>
              <w:rPr>
                <w:rFonts w:eastAsia="MS Mincho"/>
              </w:rPr>
            </w:pPr>
            <w:r>
              <w:rPr>
                <w:rFonts w:eastAsia="MS Mincho"/>
              </w:rPr>
              <w:t>N=190</w:t>
            </w:r>
          </w:p>
        </w:tc>
        <w:tc>
          <w:tcPr>
            <w:tcW w:w="1271" w:type="pct"/>
          </w:tcPr>
          <w:p w14:paraId="188C4F50" w14:textId="7549E316" w:rsidR="00E30B27" w:rsidRPr="00061F78" w:rsidRDefault="00C577A2" w:rsidP="00A71365">
            <w:pPr>
              <w:pStyle w:val="Tablewriting"/>
              <w:rPr>
                <w:rFonts w:eastAsia="MS Mincho"/>
              </w:rPr>
            </w:pPr>
            <w:r>
              <w:rPr>
                <w:rFonts w:eastAsia="MS Mincho"/>
              </w:rPr>
              <w:t>Smokers</w:t>
            </w:r>
          </w:p>
        </w:tc>
        <w:tc>
          <w:tcPr>
            <w:tcW w:w="1224" w:type="pct"/>
          </w:tcPr>
          <w:p w14:paraId="08C04E11" w14:textId="77777777" w:rsidR="00C577A2" w:rsidRPr="00C577A2" w:rsidRDefault="00C577A2" w:rsidP="00C324F3">
            <w:pPr>
              <w:pStyle w:val="Tablewriting"/>
              <w:numPr>
                <w:ilvl w:val="0"/>
                <w:numId w:val="20"/>
              </w:numPr>
              <w:rPr>
                <w:rFonts w:eastAsia="MS Mincho"/>
              </w:rPr>
            </w:pPr>
            <w:r w:rsidRPr="00C577A2">
              <w:rPr>
                <w:rFonts w:eastAsia="MS Mincho"/>
              </w:rPr>
              <w:t>Bupropion, 100 mg x 3/day for 12 weeks</w:t>
            </w:r>
          </w:p>
          <w:p w14:paraId="547F8DA2" w14:textId="3AFAA18C" w:rsidR="00C577A2" w:rsidRPr="00C577A2" w:rsidRDefault="00C577A2" w:rsidP="00C324F3">
            <w:pPr>
              <w:pStyle w:val="Tablewriting"/>
              <w:numPr>
                <w:ilvl w:val="0"/>
                <w:numId w:val="20"/>
              </w:numPr>
              <w:rPr>
                <w:rFonts w:eastAsia="MS Mincho"/>
              </w:rPr>
            </w:pPr>
            <w:r w:rsidRPr="00C577A2">
              <w:rPr>
                <w:rFonts w:eastAsia="MS Mincho"/>
              </w:rPr>
              <w:t>Placebo</w:t>
            </w:r>
          </w:p>
          <w:p w14:paraId="19032410" w14:textId="77777777" w:rsidR="00C577A2" w:rsidRDefault="00C577A2" w:rsidP="00A71365">
            <w:pPr>
              <w:pStyle w:val="Tablewriting"/>
              <w:rPr>
                <w:rFonts w:eastAsia="MS Mincho"/>
              </w:rPr>
            </w:pPr>
          </w:p>
          <w:p w14:paraId="3C69672E" w14:textId="3AA64DCA" w:rsidR="00C577A2" w:rsidRPr="00C577A2" w:rsidRDefault="00C577A2" w:rsidP="00A71365">
            <w:pPr>
              <w:pStyle w:val="Tablewriting"/>
              <w:rPr>
                <w:rFonts w:eastAsia="MS Mincho"/>
              </w:rPr>
            </w:pPr>
            <w:r w:rsidRPr="00C577A2">
              <w:rPr>
                <w:rFonts w:eastAsia="MS Mincho"/>
                <w:u w:val="single"/>
              </w:rPr>
              <w:t>Common components</w:t>
            </w:r>
            <w:r w:rsidRPr="00C577A2">
              <w:rPr>
                <w:rFonts w:eastAsia="MS Mincho"/>
              </w:rPr>
              <w:t>: group smoking cessation and relapse prevention counselling; TQD within first 4</w:t>
            </w:r>
          </w:p>
          <w:p w14:paraId="59CB803C" w14:textId="32A815B2" w:rsidR="00E30B27" w:rsidRPr="00061F78" w:rsidRDefault="00C577A2" w:rsidP="00A71365">
            <w:pPr>
              <w:pStyle w:val="Tablewriting"/>
              <w:rPr>
                <w:rFonts w:eastAsia="MS Mincho"/>
              </w:rPr>
            </w:pPr>
            <w:r w:rsidRPr="00C577A2">
              <w:rPr>
                <w:rFonts w:eastAsia="MS Mincho"/>
              </w:rPr>
              <w:t>weeks</w:t>
            </w:r>
          </w:p>
        </w:tc>
        <w:tc>
          <w:tcPr>
            <w:tcW w:w="832" w:type="pct"/>
          </w:tcPr>
          <w:p w14:paraId="63EA5E15" w14:textId="410A9C97" w:rsidR="00D70018" w:rsidRDefault="00FE268C" w:rsidP="00A71365">
            <w:pPr>
              <w:pStyle w:val="Tablewriting"/>
              <w:rPr>
                <w:rFonts w:eastAsia="MS Mincho"/>
              </w:rPr>
            </w:pPr>
            <w:r w:rsidRPr="00FE268C">
              <w:rPr>
                <w:rFonts w:eastAsia="MS Mincho"/>
                <w:u w:val="single"/>
              </w:rPr>
              <w:t>Efficacy:</w:t>
            </w:r>
            <w:r w:rsidRPr="00FE268C">
              <w:rPr>
                <w:rFonts w:eastAsia="MS Mincho"/>
              </w:rPr>
              <w:t xml:space="preserve"> prolonged abstinence at 12 months (from day 29). Validated by saliva cotinine </w:t>
            </w:r>
            <w:r w:rsidR="00BD2306" w:rsidRPr="00BD2306">
              <w:rPr>
                <w:rFonts w:eastAsia="MS Mincho"/>
              </w:rPr>
              <w:t>≤</w:t>
            </w:r>
            <w:r w:rsidR="00771DEB">
              <w:rPr>
                <w:rFonts w:eastAsia="MS Mincho"/>
              </w:rPr>
              <w:t xml:space="preserve"> </w:t>
            </w:r>
            <w:r w:rsidRPr="00FE268C">
              <w:rPr>
                <w:rFonts w:eastAsia="MS Mincho"/>
              </w:rPr>
              <w:t>15 ng/mL</w:t>
            </w:r>
            <w:r w:rsidR="003C6675">
              <w:rPr>
                <w:rFonts w:eastAsia="MS Mincho"/>
              </w:rPr>
              <w:t xml:space="preserve"> </w:t>
            </w:r>
            <w:r w:rsidRPr="00FE268C">
              <w:rPr>
                <w:rFonts w:eastAsia="MS Mincho"/>
              </w:rPr>
              <w:t>at 6 months and 12 months</w:t>
            </w:r>
          </w:p>
          <w:p w14:paraId="6F036545" w14:textId="4F1BDD92" w:rsidR="00E30B27" w:rsidRPr="00061F78" w:rsidRDefault="00D70018" w:rsidP="00A71365">
            <w:pPr>
              <w:pStyle w:val="Tablewriting"/>
              <w:rPr>
                <w:rFonts w:eastAsia="MS Mincho"/>
              </w:rPr>
            </w:pPr>
            <w:r w:rsidRPr="00D70018">
              <w:rPr>
                <w:rFonts w:eastAsia="MS Mincho"/>
                <w:u w:val="single"/>
              </w:rPr>
              <w:t>Safety</w:t>
            </w:r>
            <w:r w:rsidR="00FE268C" w:rsidRPr="00D70018">
              <w:rPr>
                <w:rFonts w:eastAsia="MS Mincho"/>
                <w:u w:val="single"/>
              </w:rPr>
              <w:t>:</w:t>
            </w:r>
            <w:r w:rsidR="00FE268C" w:rsidRPr="00FE268C">
              <w:rPr>
                <w:rFonts w:eastAsia="MS Mincho"/>
              </w:rPr>
              <w:t xml:space="preserve"> measured for unspecified period</w:t>
            </w:r>
            <w:r w:rsidR="00714110">
              <w:rPr>
                <w:rFonts w:eastAsia="MS Mincho"/>
              </w:rPr>
              <w:t>.</w:t>
            </w:r>
          </w:p>
        </w:tc>
      </w:tr>
      <w:tr w:rsidR="00E30B27" w:rsidRPr="00061F78" w14:paraId="46EBFA17" w14:textId="77777777" w:rsidTr="00D0517F">
        <w:trPr>
          <w:trHeight w:val="149"/>
        </w:trPr>
        <w:tc>
          <w:tcPr>
            <w:tcW w:w="565" w:type="pct"/>
          </w:tcPr>
          <w:p w14:paraId="554F4EC3" w14:textId="5142D0B1" w:rsidR="00E30B27" w:rsidRPr="00541274" w:rsidRDefault="008B16AE" w:rsidP="00A71365">
            <w:pPr>
              <w:pStyle w:val="Tablewriting"/>
              <w:rPr>
                <w:rFonts w:eastAsia="MS Mincho"/>
              </w:rPr>
            </w:pPr>
            <w:r w:rsidRPr="00866DE0">
              <w:rPr>
                <w:rFonts w:eastAsia="MS Mincho"/>
              </w:rPr>
              <w:t xml:space="preserve">Fossati </w:t>
            </w:r>
            <w:r w:rsidR="0065538B">
              <w:rPr>
                <w:rFonts w:eastAsia="MS Mincho"/>
              </w:rPr>
              <w:t>(</w:t>
            </w:r>
            <w:r w:rsidRPr="00866DE0">
              <w:rPr>
                <w:rFonts w:eastAsia="MS Mincho"/>
              </w:rPr>
              <w:t>2007</w:t>
            </w:r>
            <w:r w:rsidR="0065538B">
              <w:rPr>
                <w:rFonts w:eastAsia="MS Mincho"/>
              </w:rPr>
              <w:t>)</w:t>
            </w:r>
          </w:p>
        </w:tc>
        <w:tc>
          <w:tcPr>
            <w:tcW w:w="239" w:type="pct"/>
          </w:tcPr>
          <w:p w14:paraId="5E8D6CE0" w14:textId="4EF211C9" w:rsidR="00E30B27" w:rsidRDefault="00D505D0" w:rsidP="00A71365">
            <w:pPr>
              <w:pStyle w:val="Tablewriting"/>
              <w:rPr>
                <w:rFonts w:eastAsia="MS Mincho"/>
              </w:rPr>
            </w:pPr>
            <w:r>
              <w:rPr>
                <w:rFonts w:eastAsia="MS Mincho"/>
              </w:rPr>
              <w:t>RCT</w:t>
            </w:r>
          </w:p>
        </w:tc>
        <w:tc>
          <w:tcPr>
            <w:tcW w:w="422" w:type="pct"/>
          </w:tcPr>
          <w:p w14:paraId="0AF4A2BA" w14:textId="0E09CA4E" w:rsidR="00D505D0" w:rsidRDefault="00D505D0" w:rsidP="00A71365">
            <w:pPr>
              <w:pStyle w:val="Tablewriting"/>
              <w:rPr>
                <w:rFonts w:eastAsia="MS Mincho"/>
              </w:rPr>
            </w:pPr>
            <w:r>
              <w:rPr>
                <w:rFonts w:eastAsia="MS Mincho"/>
              </w:rPr>
              <w:t>Italy</w:t>
            </w:r>
          </w:p>
        </w:tc>
        <w:tc>
          <w:tcPr>
            <w:tcW w:w="449" w:type="pct"/>
          </w:tcPr>
          <w:p w14:paraId="7296A5A3" w14:textId="38F6F078" w:rsidR="00E30B27" w:rsidRPr="00061F78" w:rsidRDefault="00D505D0" w:rsidP="00A71365">
            <w:pPr>
              <w:pStyle w:val="Tablewriting"/>
              <w:rPr>
                <w:rFonts w:eastAsia="MS Mincho"/>
              </w:rPr>
            </w:pPr>
            <w:r>
              <w:rPr>
                <w:rFonts w:eastAsia="MS Mincho"/>
              </w:rPr>
              <w:t>N=</w:t>
            </w:r>
            <w:r w:rsidR="00A902CA">
              <w:rPr>
                <w:rFonts w:eastAsia="MS Mincho"/>
              </w:rPr>
              <w:t>593</w:t>
            </w:r>
          </w:p>
        </w:tc>
        <w:tc>
          <w:tcPr>
            <w:tcW w:w="1271" w:type="pct"/>
          </w:tcPr>
          <w:p w14:paraId="185D5D5F" w14:textId="1EC19124" w:rsidR="00E30B27" w:rsidRPr="00061F78" w:rsidRDefault="00A902CA" w:rsidP="00A71365">
            <w:pPr>
              <w:pStyle w:val="Tablewriting"/>
              <w:rPr>
                <w:rFonts w:eastAsia="MS Mincho"/>
              </w:rPr>
            </w:pPr>
            <w:r>
              <w:rPr>
                <w:rFonts w:eastAsia="MS Mincho"/>
              </w:rPr>
              <w:t>S</w:t>
            </w:r>
            <w:r w:rsidRPr="00A902CA">
              <w:rPr>
                <w:rFonts w:eastAsia="MS Mincho"/>
              </w:rPr>
              <w:t>mokers</w:t>
            </w:r>
            <w:r w:rsidR="005B0930">
              <w:rPr>
                <w:rFonts w:eastAsia="MS Mincho"/>
              </w:rPr>
              <w:t>,</w:t>
            </w:r>
            <w:r w:rsidRPr="00A902CA">
              <w:rPr>
                <w:rFonts w:eastAsia="MS Mincho"/>
              </w:rPr>
              <w:t xml:space="preserve"> 40% female</w:t>
            </w:r>
            <w:r w:rsidR="005B0930">
              <w:rPr>
                <w:rFonts w:eastAsia="MS Mincho"/>
              </w:rPr>
              <w:t>,</w:t>
            </w:r>
            <w:r w:rsidRPr="00A902CA">
              <w:rPr>
                <w:rFonts w:eastAsia="MS Mincho"/>
              </w:rPr>
              <w:t xml:space="preserve"> average age 49</w:t>
            </w:r>
            <w:r w:rsidR="005B0930">
              <w:rPr>
                <w:rFonts w:eastAsia="MS Mincho"/>
              </w:rPr>
              <w:t xml:space="preserve"> years,</w:t>
            </w:r>
            <w:r w:rsidRPr="00A902CA">
              <w:rPr>
                <w:rFonts w:eastAsia="MS Mincho"/>
              </w:rPr>
              <w:t xml:space="preserve"> average cigarettes per day 22</w:t>
            </w:r>
          </w:p>
        </w:tc>
        <w:tc>
          <w:tcPr>
            <w:tcW w:w="1224" w:type="pct"/>
          </w:tcPr>
          <w:p w14:paraId="4A6C453D" w14:textId="77777777" w:rsidR="00AD2097" w:rsidRPr="00AD2097" w:rsidRDefault="00AD2097" w:rsidP="00C324F3">
            <w:pPr>
              <w:pStyle w:val="Tablewriting"/>
              <w:numPr>
                <w:ilvl w:val="0"/>
                <w:numId w:val="21"/>
              </w:numPr>
              <w:rPr>
                <w:rFonts w:eastAsia="MS Mincho"/>
              </w:rPr>
            </w:pPr>
            <w:r w:rsidRPr="00AD2097">
              <w:rPr>
                <w:rFonts w:eastAsia="MS Mincho"/>
              </w:rPr>
              <w:t>Bupropion, 300 mg/day for 7 weeks</w:t>
            </w:r>
          </w:p>
          <w:p w14:paraId="36A920FC" w14:textId="7C21E111" w:rsidR="00AD2097" w:rsidRPr="00AD2097" w:rsidRDefault="00AD2097" w:rsidP="00C324F3">
            <w:pPr>
              <w:pStyle w:val="Tablewriting"/>
              <w:numPr>
                <w:ilvl w:val="0"/>
                <w:numId w:val="21"/>
              </w:numPr>
              <w:rPr>
                <w:rFonts w:eastAsia="MS Mincho"/>
              </w:rPr>
            </w:pPr>
            <w:r w:rsidRPr="00AD2097">
              <w:rPr>
                <w:rFonts w:eastAsia="MS Mincho"/>
              </w:rPr>
              <w:t>Placebo</w:t>
            </w:r>
          </w:p>
          <w:p w14:paraId="1072A88E" w14:textId="77777777" w:rsidR="00AD2097" w:rsidRDefault="00AD2097" w:rsidP="00A71365">
            <w:pPr>
              <w:pStyle w:val="Tablewriting"/>
              <w:rPr>
                <w:rFonts w:eastAsia="MS Mincho"/>
              </w:rPr>
            </w:pPr>
          </w:p>
          <w:p w14:paraId="50D3C26D" w14:textId="63B0202D" w:rsidR="00E30B27" w:rsidRPr="00061F78" w:rsidRDefault="00AD2097" w:rsidP="00A71365">
            <w:pPr>
              <w:pStyle w:val="Tablewriting"/>
              <w:rPr>
                <w:rFonts w:eastAsia="MS Mincho"/>
              </w:rPr>
            </w:pPr>
            <w:r w:rsidRPr="00AD2097">
              <w:rPr>
                <w:rFonts w:eastAsia="MS Mincho"/>
                <w:u w:val="single"/>
              </w:rPr>
              <w:t>Common components:</w:t>
            </w:r>
            <w:r w:rsidRPr="00AD2097">
              <w:rPr>
                <w:rFonts w:eastAsia="MS Mincho"/>
              </w:rPr>
              <w:t xml:space="preserve"> GP visits at enrolment and 4, 7, 26 &amp; 52 weeks, phone calls </w:t>
            </w:r>
            <w:r w:rsidR="00A85E94" w:rsidRPr="00AD2097">
              <w:rPr>
                <w:rFonts w:eastAsia="MS Mincho"/>
              </w:rPr>
              <w:t>1</w:t>
            </w:r>
            <w:r w:rsidR="00BA6341">
              <w:rPr>
                <w:rFonts w:eastAsia="MS Mincho"/>
              </w:rPr>
              <w:t>-</w:t>
            </w:r>
            <w:r w:rsidR="00A85E94" w:rsidRPr="00AD2097">
              <w:rPr>
                <w:rFonts w:eastAsia="MS Mincho"/>
              </w:rPr>
              <w:t>day</w:t>
            </w:r>
            <w:r w:rsidRPr="00AD2097">
              <w:rPr>
                <w:rFonts w:eastAsia="MS Mincho"/>
              </w:rPr>
              <w:t xml:space="preserve"> pre-TQD, 3</w:t>
            </w:r>
            <w:r>
              <w:rPr>
                <w:rFonts w:eastAsia="MS Mincho"/>
              </w:rPr>
              <w:t xml:space="preserve"> </w:t>
            </w:r>
            <w:r w:rsidRPr="00AD2097">
              <w:rPr>
                <w:rFonts w:eastAsia="MS Mincho"/>
              </w:rPr>
              <w:t>days post-TQD, 10 weeks post-enrolment. Classified as low intensity</w:t>
            </w:r>
          </w:p>
        </w:tc>
        <w:tc>
          <w:tcPr>
            <w:tcW w:w="832" w:type="pct"/>
          </w:tcPr>
          <w:p w14:paraId="17E3D5D6" w14:textId="67CADC55" w:rsidR="00477864" w:rsidRPr="00477864" w:rsidRDefault="00477864" w:rsidP="00A71365">
            <w:pPr>
              <w:pStyle w:val="Tablewriting"/>
              <w:rPr>
                <w:rFonts w:eastAsia="MS Mincho"/>
              </w:rPr>
            </w:pPr>
            <w:r w:rsidRPr="00477864">
              <w:rPr>
                <w:rFonts w:eastAsia="MS Mincho"/>
                <w:u w:val="single"/>
              </w:rPr>
              <w:t>Efficacy:</w:t>
            </w:r>
            <w:r w:rsidRPr="00477864">
              <w:rPr>
                <w:rFonts w:eastAsia="MS Mincho"/>
              </w:rPr>
              <w:t xml:space="preserve"> abstinence at 12 months (continuous from week 4). Validated by CO </w:t>
            </w:r>
            <w:r w:rsidR="00AC7F27" w:rsidRPr="00D96BA4">
              <w:rPr>
                <w:rFonts w:eastAsia="MS Mincho"/>
              </w:rPr>
              <w:t>≤</w:t>
            </w:r>
            <w:r>
              <w:rPr>
                <w:rFonts w:eastAsia="MS Mincho"/>
              </w:rPr>
              <w:t xml:space="preserve"> </w:t>
            </w:r>
            <w:r w:rsidRPr="00477864">
              <w:rPr>
                <w:rFonts w:eastAsia="MS Mincho"/>
              </w:rPr>
              <w:t>10 ppm at</w:t>
            </w:r>
            <w:r>
              <w:rPr>
                <w:rFonts w:eastAsia="MS Mincho"/>
              </w:rPr>
              <w:t xml:space="preserve"> </w:t>
            </w:r>
            <w:r w:rsidRPr="00477864">
              <w:rPr>
                <w:rFonts w:eastAsia="MS Mincho"/>
              </w:rPr>
              <w:t>each visit</w:t>
            </w:r>
          </w:p>
          <w:p w14:paraId="66D6C349" w14:textId="6C61BE55" w:rsidR="00E30B27" w:rsidRPr="00061F78" w:rsidRDefault="00477864" w:rsidP="00A71365">
            <w:pPr>
              <w:pStyle w:val="Tablewriting"/>
              <w:rPr>
                <w:rFonts w:eastAsia="MS Mincho"/>
              </w:rPr>
            </w:pPr>
            <w:r w:rsidRPr="00477864">
              <w:rPr>
                <w:rFonts w:eastAsia="MS Mincho"/>
                <w:u w:val="single"/>
              </w:rPr>
              <w:t>Safety:</w:t>
            </w:r>
            <w:r w:rsidRPr="00477864">
              <w:rPr>
                <w:rFonts w:eastAsia="MS Mincho"/>
              </w:rPr>
              <w:t xml:space="preserve"> measured for 52 weeks</w:t>
            </w:r>
          </w:p>
        </w:tc>
      </w:tr>
      <w:tr w:rsidR="00E30B27" w:rsidRPr="00061F78" w14:paraId="4C370CE4" w14:textId="77777777" w:rsidTr="00D0517F">
        <w:trPr>
          <w:trHeight w:val="149"/>
        </w:trPr>
        <w:tc>
          <w:tcPr>
            <w:tcW w:w="565" w:type="pct"/>
          </w:tcPr>
          <w:p w14:paraId="65E620BD" w14:textId="1FF35A48" w:rsidR="00E30B27" w:rsidRPr="00541274" w:rsidRDefault="00FB298F" w:rsidP="00A71365">
            <w:pPr>
              <w:pStyle w:val="Tablewriting"/>
              <w:rPr>
                <w:rFonts w:eastAsia="MS Mincho"/>
              </w:rPr>
            </w:pPr>
            <w:r w:rsidRPr="00866DE0">
              <w:rPr>
                <w:rFonts w:eastAsia="MS Mincho"/>
              </w:rPr>
              <w:t xml:space="preserve">George </w:t>
            </w:r>
            <w:r w:rsidR="0065538B">
              <w:rPr>
                <w:rFonts w:eastAsia="MS Mincho"/>
              </w:rPr>
              <w:t>(</w:t>
            </w:r>
            <w:r w:rsidRPr="00866DE0">
              <w:rPr>
                <w:rFonts w:eastAsia="MS Mincho"/>
              </w:rPr>
              <w:t>2002</w:t>
            </w:r>
            <w:r w:rsidR="0065538B">
              <w:rPr>
                <w:rFonts w:eastAsia="MS Mincho"/>
              </w:rPr>
              <w:t>)</w:t>
            </w:r>
          </w:p>
        </w:tc>
        <w:tc>
          <w:tcPr>
            <w:tcW w:w="239" w:type="pct"/>
          </w:tcPr>
          <w:p w14:paraId="4882F170" w14:textId="3FBDB2C8" w:rsidR="00E30B27" w:rsidRDefault="00FC443A" w:rsidP="00A71365">
            <w:pPr>
              <w:pStyle w:val="Tablewriting"/>
              <w:rPr>
                <w:rFonts w:eastAsia="MS Mincho"/>
              </w:rPr>
            </w:pPr>
            <w:r>
              <w:rPr>
                <w:rFonts w:eastAsia="MS Mincho"/>
              </w:rPr>
              <w:t>RCT</w:t>
            </w:r>
          </w:p>
        </w:tc>
        <w:tc>
          <w:tcPr>
            <w:tcW w:w="422" w:type="pct"/>
          </w:tcPr>
          <w:p w14:paraId="09E526EC" w14:textId="3854819F" w:rsidR="00FC443A" w:rsidRDefault="00FC443A" w:rsidP="00A71365">
            <w:pPr>
              <w:pStyle w:val="Tablewriting"/>
              <w:rPr>
                <w:rFonts w:eastAsia="MS Mincho"/>
              </w:rPr>
            </w:pPr>
            <w:r>
              <w:rPr>
                <w:rFonts w:eastAsia="MS Mincho"/>
              </w:rPr>
              <w:t>USA</w:t>
            </w:r>
          </w:p>
        </w:tc>
        <w:tc>
          <w:tcPr>
            <w:tcW w:w="449" w:type="pct"/>
          </w:tcPr>
          <w:p w14:paraId="62753C6A" w14:textId="170F1173" w:rsidR="00E30B27" w:rsidRPr="00061F78" w:rsidRDefault="00FC443A" w:rsidP="00A71365">
            <w:pPr>
              <w:pStyle w:val="Tablewriting"/>
              <w:rPr>
                <w:rFonts w:eastAsia="MS Mincho"/>
              </w:rPr>
            </w:pPr>
            <w:r>
              <w:rPr>
                <w:rFonts w:eastAsia="MS Mincho"/>
              </w:rPr>
              <w:t>N=</w:t>
            </w:r>
            <w:r w:rsidR="00D8216A">
              <w:rPr>
                <w:rFonts w:eastAsia="MS Mincho"/>
              </w:rPr>
              <w:t>32</w:t>
            </w:r>
          </w:p>
        </w:tc>
        <w:tc>
          <w:tcPr>
            <w:tcW w:w="1271" w:type="pct"/>
          </w:tcPr>
          <w:p w14:paraId="469B8978" w14:textId="6681242F" w:rsidR="00E30B27" w:rsidRPr="00061F78" w:rsidRDefault="00D8216A" w:rsidP="00A71365">
            <w:pPr>
              <w:pStyle w:val="Tablewriting"/>
              <w:rPr>
                <w:rFonts w:eastAsia="MS Mincho"/>
              </w:rPr>
            </w:pPr>
            <w:r>
              <w:rPr>
                <w:rFonts w:eastAsia="MS Mincho"/>
              </w:rPr>
              <w:t>S</w:t>
            </w:r>
            <w:r w:rsidRPr="00D8216A">
              <w:rPr>
                <w:rFonts w:eastAsia="MS Mincho"/>
              </w:rPr>
              <w:t>mokers with schizophrenia motivated to quit</w:t>
            </w:r>
            <w:r w:rsidR="005B0930">
              <w:rPr>
                <w:rFonts w:eastAsia="MS Mincho"/>
              </w:rPr>
              <w:t>,</w:t>
            </w:r>
            <w:r w:rsidRPr="00D8216A">
              <w:rPr>
                <w:rFonts w:eastAsia="MS Mincho"/>
              </w:rPr>
              <w:t xml:space="preserve"> 44% female</w:t>
            </w:r>
            <w:r w:rsidR="005B0930">
              <w:rPr>
                <w:rFonts w:eastAsia="MS Mincho"/>
              </w:rPr>
              <w:t>,</w:t>
            </w:r>
            <w:r w:rsidRPr="00D8216A">
              <w:rPr>
                <w:rFonts w:eastAsia="MS Mincho"/>
              </w:rPr>
              <w:t xml:space="preserve"> average age 41/45</w:t>
            </w:r>
            <w:r w:rsidR="005B0930">
              <w:rPr>
                <w:rFonts w:eastAsia="MS Mincho"/>
              </w:rPr>
              <w:t>,</w:t>
            </w:r>
            <w:r w:rsidRPr="00D8216A">
              <w:rPr>
                <w:rFonts w:eastAsia="MS Mincho"/>
              </w:rPr>
              <w:t xml:space="preserve"> average cigarettes</w:t>
            </w:r>
            <w:r>
              <w:rPr>
                <w:rFonts w:eastAsia="MS Mincho"/>
              </w:rPr>
              <w:t xml:space="preserve"> </w:t>
            </w:r>
            <w:r w:rsidRPr="00D8216A">
              <w:rPr>
                <w:rFonts w:eastAsia="MS Mincho"/>
              </w:rPr>
              <w:t>per day 24</w:t>
            </w:r>
          </w:p>
        </w:tc>
        <w:tc>
          <w:tcPr>
            <w:tcW w:w="1224" w:type="pct"/>
          </w:tcPr>
          <w:p w14:paraId="4576B14F" w14:textId="77777777" w:rsidR="00801ABD" w:rsidRPr="00801ABD" w:rsidRDefault="00801ABD" w:rsidP="00C324F3">
            <w:pPr>
              <w:pStyle w:val="Tablewriting"/>
              <w:numPr>
                <w:ilvl w:val="0"/>
                <w:numId w:val="22"/>
              </w:numPr>
              <w:rPr>
                <w:rFonts w:eastAsia="MS Mincho"/>
              </w:rPr>
            </w:pPr>
            <w:r w:rsidRPr="00801ABD">
              <w:rPr>
                <w:rFonts w:eastAsia="MS Mincho"/>
              </w:rPr>
              <w:t>Bupropion, 300 mg/day for 9 weeks. TQD 3 weeks</w:t>
            </w:r>
          </w:p>
          <w:p w14:paraId="757D0447" w14:textId="737C86B2" w:rsidR="00801ABD" w:rsidRPr="00801ABD" w:rsidRDefault="00801ABD" w:rsidP="00C324F3">
            <w:pPr>
              <w:pStyle w:val="Tablewriting"/>
              <w:numPr>
                <w:ilvl w:val="0"/>
                <w:numId w:val="22"/>
              </w:numPr>
              <w:rPr>
                <w:rFonts w:eastAsia="MS Mincho"/>
              </w:rPr>
            </w:pPr>
            <w:r w:rsidRPr="00801ABD">
              <w:rPr>
                <w:rFonts w:eastAsia="MS Mincho"/>
              </w:rPr>
              <w:t>Placebo</w:t>
            </w:r>
          </w:p>
          <w:p w14:paraId="78BF0FBC" w14:textId="77777777" w:rsidR="00801ABD" w:rsidRDefault="00801ABD" w:rsidP="00A71365">
            <w:pPr>
              <w:pStyle w:val="Tablewriting"/>
              <w:rPr>
                <w:rFonts w:eastAsia="MS Mincho"/>
              </w:rPr>
            </w:pPr>
          </w:p>
          <w:p w14:paraId="57F5AE10" w14:textId="46F32429" w:rsidR="00E30B27" w:rsidRPr="00061F78" w:rsidRDefault="00801ABD" w:rsidP="00A71365">
            <w:pPr>
              <w:pStyle w:val="Tablewriting"/>
              <w:rPr>
                <w:rFonts w:eastAsia="MS Mincho"/>
              </w:rPr>
            </w:pPr>
            <w:r w:rsidRPr="00801ABD">
              <w:rPr>
                <w:rFonts w:eastAsia="MS Mincho"/>
                <w:u w:val="single"/>
              </w:rPr>
              <w:t>Common components:</w:t>
            </w:r>
            <w:r w:rsidRPr="00801ABD">
              <w:rPr>
                <w:rFonts w:eastAsia="MS Mincho"/>
              </w:rPr>
              <w:t xml:space="preserve"> 10 x 60-minute weekly group therapy</w:t>
            </w:r>
          </w:p>
        </w:tc>
        <w:tc>
          <w:tcPr>
            <w:tcW w:w="832" w:type="pct"/>
          </w:tcPr>
          <w:p w14:paraId="30714C0A" w14:textId="2B90E35F" w:rsidR="003479EA" w:rsidRPr="003479EA" w:rsidRDefault="003479EA" w:rsidP="00A71365">
            <w:pPr>
              <w:pStyle w:val="Tablewriting"/>
              <w:rPr>
                <w:rFonts w:eastAsia="MS Mincho"/>
              </w:rPr>
            </w:pPr>
            <w:r w:rsidRPr="003479EA">
              <w:rPr>
                <w:rFonts w:eastAsia="MS Mincho"/>
                <w:u w:val="single"/>
              </w:rPr>
              <w:t>Efficacy:</w:t>
            </w:r>
            <w:r w:rsidRPr="003479EA">
              <w:rPr>
                <w:rFonts w:eastAsia="MS Mincho"/>
              </w:rPr>
              <w:t xml:space="preserve"> 7</w:t>
            </w:r>
            <w:r w:rsidR="00BA6341" w:rsidRPr="003479EA">
              <w:rPr>
                <w:rFonts w:eastAsia="MS Mincho"/>
              </w:rPr>
              <w:t>-</w:t>
            </w:r>
            <w:r w:rsidRPr="003479EA">
              <w:rPr>
                <w:rFonts w:eastAsia="MS Mincho"/>
              </w:rPr>
              <w:t xml:space="preserve">day </w:t>
            </w:r>
            <w:r w:rsidR="000C29E2">
              <w:rPr>
                <w:rFonts w:eastAsia="MS Mincho"/>
              </w:rPr>
              <w:t>PPA</w:t>
            </w:r>
            <w:r w:rsidRPr="003479EA">
              <w:rPr>
                <w:rFonts w:eastAsia="MS Mincho"/>
              </w:rPr>
              <w:t xml:space="preserve"> at 6 months. Validated by expired CO &lt; 10 ppm</w:t>
            </w:r>
          </w:p>
          <w:p w14:paraId="0723841E" w14:textId="704BCDEA" w:rsidR="00E30B27" w:rsidRPr="00061F78" w:rsidRDefault="003479EA" w:rsidP="00A71365">
            <w:pPr>
              <w:pStyle w:val="Tablewriting"/>
              <w:rPr>
                <w:rFonts w:eastAsia="MS Mincho"/>
              </w:rPr>
            </w:pPr>
            <w:r w:rsidRPr="003479EA">
              <w:rPr>
                <w:rFonts w:eastAsia="MS Mincho"/>
                <w:u w:val="single"/>
              </w:rPr>
              <w:t>Safety:</w:t>
            </w:r>
            <w:r w:rsidRPr="003479EA">
              <w:rPr>
                <w:rFonts w:eastAsia="MS Mincho"/>
              </w:rPr>
              <w:t xml:space="preserve"> measured for unspecified period</w:t>
            </w:r>
            <w:r w:rsidR="00714110">
              <w:rPr>
                <w:rFonts w:eastAsia="MS Mincho"/>
              </w:rPr>
              <w:t>.</w:t>
            </w:r>
          </w:p>
        </w:tc>
      </w:tr>
      <w:tr w:rsidR="00E30B27" w:rsidRPr="00061F78" w14:paraId="63A60B40" w14:textId="77777777" w:rsidTr="00D0517F">
        <w:trPr>
          <w:trHeight w:val="149"/>
        </w:trPr>
        <w:tc>
          <w:tcPr>
            <w:tcW w:w="565" w:type="pct"/>
          </w:tcPr>
          <w:p w14:paraId="76F67725" w14:textId="55F2BDAF" w:rsidR="00E30B27" w:rsidRPr="00541274" w:rsidRDefault="00FB298F" w:rsidP="00A71365">
            <w:pPr>
              <w:pStyle w:val="Tablewriting"/>
              <w:rPr>
                <w:rFonts w:eastAsia="MS Mincho"/>
              </w:rPr>
            </w:pPr>
            <w:r w:rsidRPr="00BF3058">
              <w:rPr>
                <w:rFonts w:eastAsia="MS Mincho"/>
              </w:rPr>
              <w:t xml:space="preserve">Gilbert </w:t>
            </w:r>
            <w:r w:rsidR="0065538B" w:rsidRPr="00BF3058">
              <w:rPr>
                <w:rFonts w:eastAsia="MS Mincho"/>
              </w:rPr>
              <w:t>(</w:t>
            </w:r>
            <w:r w:rsidRPr="00BF3058">
              <w:rPr>
                <w:rFonts w:eastAsia="MS Mincho"/>
              </w:rPr>
              <w:t>2019</w:t>
            </w:r>
            <w:r w:rsidR="0065538B" w:rsidRPr="00BF3058">
              <w:rPr>
                <w:rFonts w:eastAsia="MS Mincho"/>
              </w:rPr>
              <w:t>)</w:t>
            </w:r>
          </w:p>
        </w:tc>
        <w:tc>
          <w:tcPr>
            <w:tcW w:w="239" w:type="pct"/>
          </w:tcPr>
          <w:p w14:paraId="6845AAFE" w14:textId="29199692" w:rsidR="00E30B27" w:rsidRDefault="003E0711" w:rsidP="00A71365">
            <w:pPr>
              <w:pStyle w:val="Tablewriting"/>
              <w:rPr>
                <w:rFonts w:eastAsia="MS Mincho"/>
              </w:rPr>
            </w:pPr>
            <w:r>
              <w:rPr>
                <w:rFonts w:eastAsia="MS Mincho"/>
              </w:rPr>
              <w:t>RCT</w:t>
            </w:r>
          </w:p>
        </w:tc>
        <w:tc>
          <w:tcPr>
            <w:tcW w:w="422" w:type="pct"/>
          </w:tcPr>
          <w:p w14:paraId="55BB82C5" w14:textId="44E5198C" w:rsidR="003E0711" w:rsidRDefault="003E0711" w:rsidP="00A71365">
            <w:pPr>
              <w:pStyle w:val="Tablewriting"/>
              <w:rPr>
                <w:rFonts w:eastAsia="MS Mincho"/>
              </w:rPr>
            </w:pPr>
            <w:r>
              <w:rPr>
                <w:rFonts w:eastAsia="MS Mincho"/>
              </w:rPr>
              <w:t>USA</w:t>
            </w:r>
          </w:p>
        </w:tc>
        <w:tc>
          <w:tcPr>
            <w:tcW w:w="449" w:type="pct"/>
          </w:tcPr>
          <w:p w14:paraId="53BDC97C" w14:textId="370C4DDD" w:rsidR="00E30B27" w:rsidRPr="00061F78" w:rsidRDefault="003E0711" w:rsidP="00A71365">
            <w:pPr>
              <w:pStyle w:val="Tablewriting"/>
              <w:rPr>
                <w:rFonts w:eastAsia="MS Mincho"/>
              </w:rPr>
            </w:pPr>
            <w:r>
              <w:rPr>
                <w:rFonts w:eastAsia="MS Mincho"/>
              </w:rPr>
              <w:t>N=</w:t>
            </w:r>
            <w:r w:rsidR="00E54128">
              <w:rPr>
                <w:rFonts w:eastAsia="MS Mincho"/>
              </w:rPr>
              <w:t>105</w:t>
            </w:r>
          </w:p>
        </w:tc>
        <w:tc>
          <w:tcPr>
            <w:tcW w:w="1271" w:type="pct"/>
          </w:tcPr>
          <w:p w14:paraId="5A008B18" w14:textId="4448B442" w:rsidR="00E54128" w:rsidRPr="00E54128" w:rsidRDefault="00E54128" w:rsidP="00A71365">
            <w:pPr>
              <w:pStyle w:val="Tablewriting"/>
              <w:rPr>
                <w:rFonts w:eastAsia="MS Mincho"/>
              </w:rPr>
            </w:pPr>
            <w:r w:rsidRPr="00E54128">
              <w:rPr>
                <w:rFonts w:eastAsia="MS Mincho"/>
              </w:rPr>
              <w:t>42% female</w:t>
            </w:r>
            <w:r w:rsidR="002B7E10">
              <w:rPr>
                <w:rFonts w:eastAsia="MS Mincho"/>
              </w:rPr>
              <w:t>,</w:t>
            </w:r>
            <w:r w:rsidRPr="00E54128">
              <w:rPr>
                <w:rFonts w:eastAsia="MS Mincho"/>
              </w:rPr>
              <w:t xml:space="preserve"> average age 26.4</w:t>
            </w:r>
            <w:r w:rsidR="002B7E10">
              <w:rPr>
                <w:rFonts w:eastAsia="MS Mincho"/>
              </w:rPr>
              <w:t>,</w:t>
            </w:r>
            <w:r w:rsidRPr="00E54128">
              <w:rPr>
                <w:rFonts w:eastAsia="MS Mincho"/>
              </w:rPr>
              <w:t xml:space="preserve"> average cigarettes per day 17.9, mean FTND</w:t>
            </w:r>
          </w:p>
          <w:p w14:paraId="32E77383" w14:textId="61E4F18E" w:rsidR="00E30B27" w:rsidRPr="00061F78" w:rsidRDefault="00E54128" w:rsidP="00A71365">
            <w:pPr>
              <w:pStyle w:val="Tablewriting"/>
              <w:rPr>
                <w:rFonts w:eastAsia="MS Mincho"/>
              </w:rPr>
            </w:pPr>
            <w:r w:rsidRPr="00E54128">
              <w:rPr>
                <w:rFonts w:eastAsia="MS Mincho"/>
              </w:rPr>
              <w:t>4.2</w:t>
            </w:r>
          </w:p>
        </w:tc>
        <w:tc>
          <w:tcPr>
            <w:tcW w:w="1224" w:type="pct"/>
          </w:tcPr>
          <w:p w14:paraId="00B1C933" w14:textId="19FC2D04" w:rsidR="00046D27" w:rsidRPr="00046D27" w:rsidRDefault="00046D27" w:rsidP="00C324F3">
            <w:pPr>
              <w:pStyle w:val="Tablewriting"/>
              <w:numPr>
                <w:ilvl w:val="0"/>
                <w:numId w:val="23"/>
              </w:numPr>
              <w:rPr>
                <w:rFonts w:eastAsia="MS Mincho"/>
              </w:rPr>
            </w:pPr>
            <w:r w:rsidRPr="00046D27">
              <w:rPr>
                <w:rFonts w:eastAsia="MS Mincho"/>
              </w:rPr>
              <w:t>Bupropion SR and placebo nicotine patch. 150 mg pill once daily for 3 days, then twice daily for 56</w:t>
            </w:r>
            <w:r>
              <w:rPr>
                <w:rFonts w:eastAsia="MS Mincho"/>
              </w:rPr>
              <w:t xml:space="preserve"> </w:t>
            </w:r>
            <w:r w:rsidRPr="00046D27">
              <w:rPr>
                <w:rFonts w:eastAsia="MS Mincho"/>
              </w:rPr>
              <w:t xml:space="preserve">days, then once daily for </w:t>
            </w:r>
            <w:r w:rsidRPr="00046D27">
              <w:rPr>
                <w:rFonts w:eastAsia="MS Mincho"/>
              </w:rPr>
              <w:lastRenderedPageBreak/>
              <w:t>three days. Placebo nicotine patch schedule given below</w:t>
            </w:r>
          </w:p>
          <w:p w14:paraId="3BD2D1A6" w14:textId="5447C2F7" w:rsidR="00046D27" w:rsidRPr="00046D27" w:rsidRDefault="00046D27" w:rsidP="00C324F3">
            <w:pPr>
              <w:pStyle w:val="Tablewriting"/>
              <w:numPr>
                <w:ilvl w:val="0"/>
                <w:numId w:val="23"/>
              </w:numPr>
              <w:rPr>
                <w:rFonts w:eastAsia="MS Mincho"/>
              </w:rPr>
            </w:pPr>
            <w:r w:rsidRPr="00046D27">
              <w:rPr>
                <w:rFonts w:eastAsia="MS Mincho"/>
              </w:rPr>
              <w:t>Nicotine patch and placebo bupropion. Beginning on first day of cessation: 21 mg for 24 days, 14 mg</w:t>
            </w:r>
            <w:r>
              <w:rPr>
                <w:rFonts w:eastAsia="MS Mincho"/>
              </w:rPr>
              <w:t xml:space="preserve"> </w:t>
            </w:r>
            <w:r w:rsidRPr="00046D27">
              <w:rPr>
                <w:rFonts w:eastAsia="MS Mincho"/>
              </w:rPr>
              <w:t>for 14 days, then 7 mg for 7 days. Placebo bupropion schedule as given above</w:t>
            </w:r>
          </w:p>
          <w:p w14:paraId="21C1941D" w14:textId="49377B59" w:rsidR="00046D27" w:rsidRPr="00046D27" w:rsidRDefault="00046D27" w:rsidP="00C324F3">
            <w:pPr>
              <w:pStyle w:val="Tablewriting"/>
              <w:numPr>
                <w:ilvl w:val="0"/>
                <w:numId w:val="23"/>
              </w:numPr>
              <w:rPr>
                <w:rFonts w:eastAsia="MS Mincho"/>
              </w:rPr>
            </w:pPr>
            <w:r w:rsidRPr="00046D27">
              <w:rPr>
                <w:rFonts w:eastAsia="MS Mincho"/>
              </w:rPr>
              <w:t>Matched placebos, according to the schedules given above</w:t>
            </w:r>
          </w:p>
          <w:p w14:paraId="4B6E4A02" w14:textId="77777777" w:rsidR="00902695" w:rsidRDefault="00902695" w:rsidP="00A71365">
            <w:pPr>
              <w:pStyle w:val="Tablewriting"/>
              <w:rPr>
                <w:rFonts w:eastAsia="MS Mincho"/>
              </w:rPr>
            </w:pPr>
          </w:p>
          <w:p w14:paraId="74473DC8" w14:textId="48D5C188" w:rsidR="00E30B27" w:rsidRPr="00061F78" w:rsidRDefault="00046D27" w:rsidP="00A71365">
            <w:pPr>
              <w:pStyle w:val="Tablewriting"/>
              <w:rPr>
                <w:rFonts w:eastAsia="MS Mincho"/>
              </w:rPr>
            </w:pPr>
            <w:r w:rsidRPr="00902695">
              <w:rPr>
                <w:rFonts w:eastAsia="MS Mincho"/>
                <w:u w:val="single"/>
              </w:rPr>
              <w:t>Common components:</w:t>
            </w:r>
            <w:r w:rsidRPr="00046D27">
              <w:rPr>
                <w:rFonts w:eastAsia="MS Mincho"/>
              </w:rPr>
              <w:t xml:space="preserve"> an abbreviated form of the American Lung Association smoking cessation program</w:t>
            </w:r>
          </w:p>
        </w:tc>
        <w:tc>
          <w:tcPr>
            <w:tcW w:w="832" w:type="pct"/>
          </w:tcPr>
          <w:p w14:paraId="66D1AB08" w14:textId="77777777" w:rsidR="002F2D96" w:rsidRDefault="007D6440" w:rsidP="00A71365">
            <w:pPr>
              <w:pStyle w:val="Tablewriting"/>
              <w:rPr>
                <w:rFonts w:eastAsia="MS Mincho"/>
              </w:rPr>
            </w:pPr>
            <w:r w:rsidRPr="007D6440">
              <w:rPr>
                <w:rFonts w:eastAsia="MS Mincho"/>
                <w:u w:val="single"/>
              </w:rPr>
              <w:lastRenderedPageBreak/>
              <w:t>Efficacy:</w:t>
            </w:r>
            <w:r w:rsidRPr="007D6440">
              <w:rPr>
                <w:rFonts w:eastAsia="MS Mincho"/>
              </w:rPr>
              <w:t xml:space="preserve"> prolonged abstinence at 12 months. Validation method not specified</w:t>
            </w:r>
          </w:p>
          <w:p w14:paraId="6C1A0FA6" w14:textId="69619259" w:rsidR="00E30B27" w:rsidRPr="007D6440" w:rsidRDefault="007D6440" w:rsidP="00A71365">
            <w:pPr>
              <w:pStyle w:val="Tablewriting"/>
              <w:rPr>
                <w:rFonts w:eastAsia="MS Mincho"/>
                <w:u w:val="single"/>
              </w:rPr>
            </w:pPr>
            <w:r w:rsidRPr="007D6440">
              <w:rPr>
                <w:rFonts w:eastAsia="MS Mincho"/>
                <w:u w:val="single"/>
              </w:rPr>
              <w:lastRenderedPageBreak/>
              <w:t>Safety:</w:t>
            </w:r>
            <w:r>
              <w:rPr>
                <w:rFonts w:eastAsia="MS Mincho"/>
                <w:u w:val="single"/>
              </w:rPr>
              <w:t xml:space="preserve"> </w:t>
            </w:r>
            <w:r w:rsidR="00B404D7" w:rsidRPr="00B404D7">
              <w:rPr>
                <w:rFonts w:eastAsia="MS Mincho"/>
              </w:rPr>
              <w:t>measured for 62 days</w:t>
            </w:r>
          </w:p>
        </w:tc>
      </w:tr>
      <w:tr w:rsidR="00E30B27" w:rsidRPr="00061F78" w14:paraId="0B24AE49" w14:textId="77777777" w:rsidTr="00D0517F">
        <w:trPr>
          <w:trHeight w:val="149"/>
        </w:trPr>
        <w:tc>
          <w:tcPr>
            <w:tcW w:w="565" w:type="pct"/>
          </w:tcPr>
          <w:p w14:paraId="740A837E" w14:textId="7C173F75" w:rsidR="00E30B27" w:rsidRPr="00541274" w:rsidRDefault="00FB298F" w:rsidP="00A71365">
            <w:pPr>
              <w:pStyle w:val="Tablewriting"/>
              <w:rPr>
                <w:rFonts w:eastAsia="MS Mincho"/>
              </w:rPr>
            </w:pPr>
            <w:r w:rsidRPr="00B63651">
              <w:rPr>
                <w:rFonts w:eastAsia="MS Mincho"/>
              </w:rPr>
              <w:lastRenderedPageBreak/>
              <w:t xml:space="preserve">Gonzales </w:t>
            </w:r>
            <w:r w:rsidR="0065538B" w:rsidRPr="00B63651">
              <w:rPr>
                <w:rFonts w:eastAsia="MS Mincho"/>
              </w:rPr>
              <w:t>(</w:t>
            </w:r>
            <w:r w:rsidRPr="00B63651">
              <w:rPr>
                <w:rFonts w:eastAsia="MS Mincho"/>
              </w:rPr>
              <w:t>2001</w:t>
            </w:r>
            <w:r w:rsidR="0065538B" w:rsidRPr="00B63651">
              <w:rPr>
                <w:rFonts w:eastAsia="MS Mincho"/>
              </w:rPr>
              <w:t>)</w:t>
            </w:r>
          </w:p>
        </w:tc>
        <w:tc>
          <w:tcPr>
            <w:tcW w:w="239" w:type="pct"/>
          </w:tcPr>
          <w:p w14:paraId="52637288" w14:textId="0C399188" w:rsidR="00E30B27" w:rsidRDefault="00FF3AFA" w:rsidP="00A71365">
            <w:pPr>
              <w:pStyle w:val="Tablewriting"/>
              <w:rPr>
                <w:rFonts w:eastAsia="MS Mincho"/>
              </w:rPr>
            </w:pPr>
            <w:r>
              <w:rPr>
                <w:rFonts w:eastAsia="MS Mincho"/>
              </w:rPr>
              <w:t>RCT</w:t>
            </w:r>
          </w:p>
        </w:tc>
        <w:tc>
          <w:tcPr>
            <w:tcW w:w="422" w:type="pct"/>
          </w:tcPr>
          <w:p w14:paraId="3F0F93C2" w14:textId="6EFC0A17" w:rsidR="00FF3AFA" w:rsidRDefault="00FF3AFA" w:rsidP="00A71365">
            <w:pPr>
              <w:pStyle w:val="Tablewriting"/>
              <w:rPr>
                <w:rFonts w:eastAsia="MS Mincho"/>
              </w:rPr>
            </w:pPr>
            <w:r>
              <w:rPr>
                <w:rFonts w:eastAsia="MS Mincho"/>
              </w:rPr>
              <w:t>USA</w:t>
            </w:r>
          </w:p>
        </w:tc>
        <w:tc>
          <w:tcPr>
            <w:tcW w:w="449" w:type="pct"/>
          </w:tcPr>
          <w:p w14:paraId="4C2DABB0" w14:textId="6CB76F71" w:rsidR="00E30B27" w:rsidRPr="00061F78" w:rsidRDefault="00FF3AFA" w:rsidP="00A71365">
            <w:pPr>
              <w:pStyle w:val="Tablewriting"/>
              <w:rPr>
                <w:rFonts w:eastAsia="MS Mincho"/>
              </w:rPr>
            </w:pPr>
            <w:r>
              <w:rPr>
                <w:rFonts w:eastAsia="MS Mincho"/>
              </w:rPr>
              <w:t>N=</w:t>
            </w:r>
            <w:r w:rsidR="0035253E">
              <w:rPr>
                <w:rFonts w:eastAsia="MS Mincho"/>
              </w:rPr>
              <w:t>450</w:t>
            </w:r>
          </w:p>
        </w:tc>
        <w:tc>
          <w:tcPr>
            <w:tcW w:w="1271" w:type="pct"/>
          </w:tcPr>
          <w:p w14:paraId="64B6F827" w14:textId="7FC5B7F4" w:rsidR="006A620F" w:rsidRPr="006A620F" w:rsidRDefault="006A620F" w:rsidP="00A71365">
            <w:pPr>
              <w:pStyle w:val="Tablewriting"/>
              <w:rPr>
                <w:rFonts w:eastAsia="MS Mincho"/>
              </w:rPr>
            </w:pPr>
            <w:r>
              <w:rPr>
                <w:rFonts w:eastAsia="MS Mincho"/>
              </w:rPr>
              <w:t>S</w:t>
            </w:r>
            <w:r w:rsidRPr="006A620F">
              <w:rPr>
                <w:rFonts w:eastAsia="MS Mincho"/>
              </w:rPr>
              <w:t xml:space="preserve">mokers who had previously used bupropion for at least 2 weeks without adverse effects and </w:t>
            </w:r>
            <w:r w:rsidR="000E1409">
              <w:rPr>
                <w:rFonts w:eastAsia="MS Mincho"/>
              </w:rPr>
              <w:t xml:space="preserve">had been unsuccessful at </w:t>
            </w:r>
            <w:r w:rsidRPr="006A620F">
              <w:rPr>
                <w:rFonts w:eastAsia="MS Mincho"/>
              </w:rPr>
              <w:t>quit</w:t>
            </w:r>
            <w:r w:rsidR="000E1409">
              <w:rPr>
                <w:rFonts w:eastAsia="MS Mincho"/>
              </w:rPr>
              <w:t>ting</w:t>
            </w:r>
            <w:r w:rsidRPr="006A620F">
              <w:rPr>
                <w:rFonts w:eastAsia="MS Mincho"/>
              </w:rPr>
              <w:t>; 55% female in placebo arm, 48% female in bupropion arm</w:t>
            </w:r>
            <w:r w:rsidR="00B86921">
              <w:rPr>
                <w:rFonts w:eastAsia="MS Mincho"/>
              </w:rPr>
              <w:t>,</w:t>
            </w:r>
            <w:r>
              <w:rPr>
                <w:rFonts w:eastAsia="MS Mincho"/>
              </w:rPr>
              <w:t xml:space="preserve"> </w:t>
            </w:r>
            <w:r w:rsidRPr="006A620F">
              <w:rPr>
                <w:rFonts w:eastAsia="MS Mincho"/>
              </w:rPr>
              <w:t>average age 45</w:t>
            </w:r>
            <w:r w:rsidR="00B86921">
              <w:rPr>
                <w:rFonts w:eastAsia="MS Mincho"/>
              </w:rPr>
              <w:t xml:space="preserve"> years,</w:t>
            </w:r>
            <w:r w:rsidRPr="006A620F">
              <w:rPr>
                <w:rFonts w:eastAsia="MS Mincho"/>
              </w:rPr>
              <w:t xml:space="preserve"> average cigarettes</w:t>
            </w:r>
          </w:p>
          <w:p w14:paraId="0F206871" w14:textId="5A5AD83F" w:rsidR="00E30B27" w:rsidRPr="00061F78" w:rsidRDefault="006A620F" w:rsidP="00A71365">
            <w:pPr>
              <w:pStyle w:val="Tablewriting"/>
              <w:rPr>
                <w:rFonts w:eastAsia="MS Mincho"/>
              </w:rPr>
            </w:pPr>
            <w:r w:rsidRPr="006A620F">
              <w:rPr>
                <w:rFonts w:eastAsia="MS Mincho"/>
              </w:rPr>
              <w:t>per day not specified</w:t>
            </w:r>
          </w:p>
        </w:tc>
        <w:tc>
          <w:tcPr>
            <w:tcW w:w="1224" w:type="pct"/>
          </w:tcPr>
          <w:p w14:paraId="643B4211" w14:textId="77777777" w:rsidR="000B7780" w:rsidRPr="000B7780" w:rsidRDefault="000B7780" w:rsidP="00C324F3">
            <w:pPr>
              <w:pStyle w:val="Tablewriting"/>
              <w:numPr>
                <w:ilvl w:val="0"/>
                <w:numId w:val="24"/>
              </w:numPr>
              <w:rPr>
                <w:rFonts w:eastAsia="MS Mincho"/>
              </w:rPr>
            </w:pPr>
            <w:r w:rsidRPr="000B7780">
              <w:rPr>
                <w:rFonts w:eastAsia="MS Mincho"/>
              </w:rPr>
              <w:t>Bupropion, 300 mg/day for 12 weeks, begun 7 days pre-TQD</w:t>
            </w:r>
          </w:p>
          <w:p w14:paraId="50627598" w14:textId="72EE2BBC" w:rsidR="000B7780" w:rsidRPr="000B7780" w:rsidRDefault="000B7780" w:rsidP="00C324F3">
            <w:pPr>
              <w:pStyle w:val="Tablewriting"/>
              <w:numPr>
                <w:ilvl w:val="0"/>
                <w:numId w:val="24"/>
              </w:numPr>
              <w:rPr>
                <w:rFonts w:eastAsia="MS Mincho"/>
              </w:rPr>
            </w:pPr>
            <w:r w:rsidRPr="000B7780">
              <w:rPr>
                <w:rFonts w:eastAsia="MS Mincho"/>
              </w:rPr>
              <w:t>Placebo</w:t>
            </w:r>
          </w:p>
          <w:p w14:paraId="3EF8490E" w14:textId="77777777" w:rsidR="005428E0" w:rsidRDefault="005428E0" w:rsidP="00A71365">
            <w:pPr>
              <w:pStyle w:val="Tablewriting"/>
              <w:rPr>
                <w:rFonts w:eastAsia="MS Mincho"/>
              </w:rPr>
            </w:pPr>
          </w:p>
          <w:p w14:paraId="695360EF" w14:textId="6E9AAD53" w:rsidR="00E30B27" w:rsidRPr="00061F78" w:rsidRDefault="000B7780" w:rsidP="00A71365">
            <w:pPr>
              <w:pStyle w:val="Tablewriting"/>
              <w:rPr>
                <w:rFonts w:eastAsia="MS Mincho"/>
              </w:rPr>
            </w:pPr>
            <w:r w:rsidRPr="005428E0">
              <w:rPr>
                <w:rFonts w:eastAsia="MS Mincho"/>
                <w:u w:val="single"/>
              </w:rPr>
              <w:t>Common components:</w:t>
            </w:r>
            <w:r w:rsidRPr="000B7780">
              <w:rPr>
                <w:rFonts w:eastAsia="MS Mincho"/>
              </w:rPr>
              <w:t xml:space="preserve"> brief individual counselling at visits weeks 1-7, 9, 12, + telephone counselling at</w:t>
            </w:r>
            <w:r w:rsidR="005428E0">
              <w:rPr>
                <w:rFonts w:eastAsia="MS Mincho"/>
              </w:rPr>
              <w:t xml:space="preserve"> </w:t>
            </w:r>
            <w:r w:rsidRPr="000B7780">
              <w:rPr>
                <w:rFonts w:eastAsia="MS Mincho"/>
              </w:rPr>
              <w:t>4 months and 5 months</w:t>
            </w:r>
          </w:p>
        </w:tc>
        <w:tc>
          <w:tcPr>
            <w:tcW w:w="832" w:type="pct"/>
          </w:tcPr>
          <w:p w14:paraId="38A33745" w14:textId="1451AA60" w:rsidR="00903D93" w:rsidRPr="00903D93" w:rsidRDefault="00903D93" w:rsidP="00A71365">
            <w:pPr>
              <w:pStyle w:val="Tablewriting"/>
              <w:rPr>
                <w:rFonts w:eastAsia="MS Mincho"/>
              </w:rPr>
            </w:pPr>
            <w:r w:rsidRPr="00903D93">
              <w:rPr>
                <w:rFonts w:eastAsia="MS Mincho"/>
                <w:u w:val="single"/>
              </w:rPr>
              <w:t>Efficacy:</w:t>
            </w:r>
            <w:r w:rsidRPr="00903D93">
              <w:rPr>
                <w:rFonts w:eastAsia="MS Mincho"/>
              </w:rPr>
              <w:t xml:space="preserve"> prolonged abstinence 12 months, starting from week 4. Validated by CO </w:t>
            </w:r>
            <w:r w:rsidR="00AC7F27" w:rsidRPr="00D96BA4">
              <w:rPr>
                <w:rFonts w:eastAsia="MS Mincho"/>
              </w:rPr>
              <w:t>≤</w:t>
            </w:r>
            <w:r w:rsidRPr="00903D93">
              <w:rPr>
                <w:rFonts w:eastAsia="MS Mincho"/>
              </w:rPr>
              <w:t xml:space="preserve"> 10 ppm</w:t>
            </w:r>
          </w:p>
          <w:p w14:paraId="688C3100" w14:textId="77777777" w:rsidR="00903D93" w:rsidRPr="00903D93" w:rsidRDefault="00903D93" w:rsidP="00A71365">
            <w:pPr>
              <w:pStyle w:val="Tablewriting"/>
              <w:rPr>
                <w:rFonts w:eastAsia="MS Mincho"/>
              </w:rPr>
            </w:pPr>
            <w:r w:rsidRPr="00903D93">
              <w:rPr>
                <w:rFonts w:eastAsia="MS Mincho"/>
              </w:rPr>
              <w:t>at each visit</w:t>
            </w:r>
          </w:p>
          <w:p w14:paraId="3EBA9F45" w14:textId="46E5644C" w:rsidR="00E30B27" w:rsidRPr="00061F78" w:rsidRDefault="00903D93" w:rsidP="00A71365">
            <w:pPr>
              <w:pStyle w:val="Tablewriting"/>
              <w:rPr>
                <w:rFonts w:eastAsia="MS Mincho"/>
              </w:rPr>
            </w:pPr>
            <w:r w:rsidRPr="00903D93">
              <w:rPr>
                <w:rFonts w:eastAsia="MS Mincho"/>
                <w:u w:val="single"/>
              </w:rPr>
              <w:t>Safety:</w:t>
            </w:r>
            <w:r w:rsidRPr="00903D93">
              <w:rPr>
                <w:rFonts w:eastAsia="MS Mincho"/>
              </w:rPr>
              <w:t xml:space="preserve"> measured for</w:t>
            </w:r>
            <w:r>
              <w:rPr>
                <w:rFonts w:eastAsia="MS Mincho"/>
              </w:rPr>
              <w:t xml:space="preserve"> </w:t>
            </w:r>
            <w:r w:rsidRPr="00903D93">
              <w:rPr>
                <w:rFonts w:eastAsia="MS Mincho"/>
              </w:rPr>
              <w:t>unspecified duration</w:t>
            </w:r>
          </w:p>
        </w:tc>
      </w:tr>
      <w:tr w:rsidR="00E30B27" w:rsidRPr="00061F78" w14:paraId="1FDE2541" w14:textId="77777777" w:rsidTr="00D0517F">
        <w:trPr>
          <w:trHeight w:val="149"/>
        </w:trPr>
        <w:tc>
          <w:tcPr>
            <w:tcW w:w="565" w:type="pct"/>
          </w:tcPr>
          <w:p w14:paraId="193EE8AF" w14:textId="151BFD20" w:rsidR="00E30B27" w:rsidRPr="00541274" w:rsidRDefault="00D166C4" w:rsidP="00A71365">
            <w:pPr>
              <w:pStyle w:val="Tablewriting"/>
              <w:rPr>
                <w:rFonts w:eastAsia="MS Mincho"/>
              </w:rPr>
            </w:pPr>
            <w:r w:rsidRPr="00866DE0">
              <w:rPr>
                <w:rFonts w:eastAsia="MS Mincho"/>
              </w:rPr>
              <w:t xml:space="preserve">Gonzales </w:t>
            </w:r>
            <w:r w:rsidR="0065538B">
              <w:rPr>
                <w:rFonts w:eastAsia="MS Mincho"/>
              </w:rPr>
              <w:t>(</w:t>
            </w:r>
            <w:r w:rsidRPr="00866DE0">
              <w:rPr>
                <w:rFonts w:eastAsia="MS Mincho"/>
              </w:rPr>
              <w:t>2006</w:t>
            </w:r>
            <w:r w:rsidR="0065538B">
              <w:rPr>
                <w:rFonts w:eastAsia="MS Mincho"/>
              </w:rPr>
              <w:t>)</w:t>
            </w:r>
          </w:p>
        </w:tc>
        <w:tc>
          <w:tcPr>
            <w:tcW w:w="239" w:type="pct"/>
          </w:tcPr>
          <w:p w14:paraId="1D7143F7" w14:textId="4180E7F8" w:rsidR="00E30B27" w:rsidRDefault="0035253E" w:rsidP="00A71365">
            <w:pPr>
              <w:pStyle w:val="Tablewriting"/>
              <w:rPr>
                <w:rFonts w:eastAsia="MS Mincho"/>
              </w:rPr>
            </w:pPr>
            <w:r>
              <w:rPr>
                <w:rFonts w:eastAsia="MS Mincho"/>
              </w:rPr>
              <w:t>RCT</w:t>
            </w:r>
          </w:p>
        </w:tc>
        <w:tc>
          <w:tcPr>
            <w:tcW w:w="422" w:type="pct"/>
          </w:tcPr>
          <w:p w14:paraId="00D52F81" w14:textId="094FE918" w:rsidR="0035253E" w:rsidRDefault="0035253E" w:rsidP="00A71365">
            <w:pPr>
              <w:pStyle w:val="Tablewriting"/>
              <w:rPr>
                <w:rFonts w:eastAsia="MS Mincho"/>
              </w:rPr>
            </w:pPr>
            <w:r>
              <w:rPr>
                <w:rFonts w:eastAsia="MS Mincho"/>
              </w:rPr>
              <w:t>USA</w:t>
            </w:r>
          </w:p>
        </w:tc>
        <w:tc>
          <w:tcPr>
            <w:tcW w:w="449" w:type="pct"/>
          </w:tcPr>
          <w:p w14:paraId="1D490BA9" w14:textId="24E11658" w:rsidR="00E30B27" w:rsidRPr="00061F78" w:rsidRDefault="0035253E" w:rsidP="00A71365">
            <w:pPr>
              <w:pStyle w:val="Tablewriting"/>
              <w:rPr>
                <w:rFonts w:eastAsia="MS Mincho"/>
              </w:rPr>
            </w:pPr>
            <w:r>
              <w:rPr>
                <w:rFonts w:eastAsia="MS Mincho"/>
              </w:rPr>
              <w:t>N=673</w:t>
            </w:r>
          </w:p>
        </w:tc>
        <w:tc>
          <w:tcPr>
            <w:tcW w:w="1271" w:type="pct"/>
          </w:tcPr>
          <w:p w14:paraId="16511D53" w14:textId="05D48F68" w:rsidR="00E30B27" w:rsidRPr="00061F78" w:rsidRDefault="00504862" w:rsidP="00A71365">
            <w:pPr>
              <w:pStyle w:val="Tablewriting"/>
              <w:rPr>
                <w:rFonts w:eastAsia="MS Mincho"/>
              </w:rPr>
            </w:pPr>
            <w:r w:rsidRPr="00504862">
              <w:rPr>
                <w:rFonts w:eastAsia="MS Mincho"/>
              </w:rPr>
              <w:t>Participants</w:t>
            </w:r>
            <w:r>
              <w:rPr>
                <w:rFonts w:eastAsia="MS Mincho"/>
              </w:rPr>
              <w:t xml:space="preserve"> </w:t>
            </w:r>
            <w:r w:rsidRPr="00504862">
              <w:rPr>
                <w:rFonts w:eastAsia="MS Mincho"/>
              </w:rPr>
              <w:t>with prior exposure to bupropion excluded</w:t>
            </w:r>
            <w:r w:rsidR="00B86921">
              <w:rPr>
                <w:rFonts w:eastAsia="MS Mincho"/>
              </w:rPr>
              <w:t>,</w:t>
            </w:r>
            <w:r w:rsidRPr="00504862">
              <w:rPr>
                <w:rFonts w:eastAsia="MS Mincho"/>
              </w:rPr>
              <w:t xml:space="preserve"> 46% female</w:t>
            </w:r>
            <w:r w:rsidR="00B86921">
              <w:rPr>
                <w:rFonts w:eastAsia="MS Mincho"/>
              </w:rPr>
              <w:t>,</w:t>
            </w:r>
            <w:r w:rsidRPr="00504862">
              <w:rPr>
                <w:rFonts w:eastAsia="MS Mincho"/>
              </w:rPr>
              <w:t xml:space="preserve"> average age 42</w:t>
            </w:r>
            <w:r w:rsidR="00B86921">
              <w:rPr>
                <w:rFonts w:eastAsia="MS Mincho"/>
              </w:rPr>
              <w:t>,</w:t>
            </w:r>
            <w:r w:rsidRPr="00504862">
              <w:rPr>
                <w:rFonts w:eastAsia="MS Mincho"/>
              </w:rPr>
              <w:t xml:space="preserve"> average cigarettes</w:t>
            </w:r>
            <w:r w:rsidR="00B86921">
              <w:rPr>
                <w:rFonts w:eastAsia="MS Mincho"/>
              </w:rPr>
              <w:t xml:space="preserve"> </w:t>
            </w:r>
            <w:r w:rsidRPr="00504862">
              <w:rPr>
                <w:rFonts w:eastAsia="MS Mincho"/>
              </w:rPr>
              <w:t>per day 21</w:t>
            </w:r>
          </w:p>
        </w:tc>
        <w:tc>
          <w:tcPr>
            <w:tcW w:w="1224" w:type="pct"/>
          </w:tcPr>
          <w:p w14:paraId="7EBF11D4" w14:textId="77777777" w:rsidR="0017192A" w:rsidRPr="0017192A" w:rsidRDefault="0017192A" w:rsidP="00C324F3">
            <w:pPr>
              <w:pStyle w:val="Tablewriting"/>
              <w:numPr>
                <w:ilvl w:val="0"/>
                <w:numId w:val="25"/>
              </w:numPr>
              <w:rPr>
                <w:rFonts w:eastAsia="MS Mincho"/>
              </w:rPr>
            </w:pPr>
            <w:r w:rsidRPr="0017192A">
              <w:rPr>
                <w:rFonts w:eastAsia="MS Mincho"/>
              </w:rPr>
              <w:t>Bupropion, 300 mg/day for 12 weeks, begun 7 days pre-TQD</w:t>
            </w:r>
          </w:p>
          <w:p w14:paraId="031BF8BE" w14:textId="4578A8DA" w:rsidR="0017192A" w:rsidRPr="0017192A" w:rsidRDefault="0017192A" w:rsidP="00C324F3">
            <w:pPr>
              <w:pStyle w:val="Tablewriting"/>
              <w:numPr>
                <w:ilvl w:val="0"/>
                <w:numId w:val="25"/>
              </w:numPr>
              <w:rPr>
                <w:rFonts w:eastAsia="MS Mincho"/>
              </w:rPr>
            </w:pPr>
            <w:r w:rsidRPr="0017192A">
              <w:rPr>
                <w:rFonts w:eastAsia="MS Mincho"/>
              </w:rPr>
              <w:t>Varenicline, 2 mg/day</w:t>
            </w:r>
          </w:p>
          <w:p w14:paraId="632234EA" w14:textId="65BF969E" w:rsidR="0017192A" w:rsidRPr="0017192A" w:rsidRDefault="0017192A" w:rsidP="00C324F3">
            <w:pPr>
              <w:pStyle w:val="Tablewriting"/>
              <w:numPr>
                <w:ilvl w:val="0"/>
                <w:numId w:val="25"/>
              </w:numPr>
              <w:rPr>
                <w:rFonts w:eastAsia="MS Mincho"/>
              </w:rPr>
            </w:pPr>
            <w:r w:rsidRPr="0017192A">
              <w:rPr>
                <w:rFonts w:eastAsia="MS Mincho"/>
              </w:rPr>
              <w:t>Placebo</w:t>
            </w:r>
          </w:p>
          <w:p w14:paraId="4A3F0E61" w14:textId="77777777" w:rsidR="0017192A" w:rsidRDefault="0017192A" w:rsidP="00A71365">
            <w:pPr>
              <w:pStyle w:val="Tablewriting"/>
              <w:rPr>
                <w:rFonts w:eastAsia="MS Mincho"/>
              </w:rPr>
            </w:pPr>
          </w:p>
          <w:p w14:paraId="40DEC534" w14:textId="582AFA97" w:rsidR="00E30B27" w:rsidRPr="00061F78" w:rsidRDefault="0017192A" w:rsidP="00A71365">
            <w:pPr>
              <w:pStyle w:val="Tablewriting"/>
              <w:rPr>
                <w:rFonts w:eastAsia="MS Mincho"/>
              </w:rPr>
            </w:pPr>
            <w:r w:rsidRPr="0017192A">
              <w:rPr>
                <w:rFonts w:eastAsia="MS Mincho"/>
                <w:u w:val="single"/>
              </w:rPr>
              <w:t>Common components:</w:t>
            </w:r>
            <w:r w:rsidRPr="0017192A">
              <w:rPr>
                <w:rFonts w:eastAsia="MS Mincho"/>
              </w:rPr>
              <w:t xml:space="preserve"> brief (&lt;10-minute) standardized individual counselling at 12</w:t>
            </w:r>
            <w:r>
              <w:rPr>
                <w:rFonts w:eastAsia="MS Mincho"/>
              </w:rPr>
              <w:t xml:space="preserve"> </w:t>
            </w:r>
            <w:r w:rsidRPr="0017192A">
              <w:rPr>
                <w:rFonts w:eastAsia="MS Mincho"/>
              </w:rPr>
              <w:t>weekly visits during</w:t>
            </w:r>
            <w:r>
              <w:rPr>
                <w:rFonts w:eastAsia="MS Mincho"/>
              </w:rPr>
              <w:t xml:space="preserve"> </w:t>
            </w:r>
            <w:r w:rsidRPr="0017192A">
              <w:rPr>
                <w:rFonts w:eastAsia="MS Mincho"/>
              </w:rPr>
              <w:t>drug phase and 11 clinic/phone visits</w:t>
            </w:r>
            <w:r>
              <w:rPr>
                <w:rFonts w:eastAsia="MS Mincho"/>
              </w:rPr>
              <w:t xml:space="preserve"> </w:t>
            </w:r>
            <w:r w:rsidRPr="0017192A">
              <w:rPr>
                <w:rFonts w:eastAsia="MS Mincho"/>
              </w:rPr>
              <w:t>during follow-up, problem</w:t>
            </w:r>
            <w:r>
              <w:rPr>
                <w:rFonts w:eastAsia="MS Mincho"/>
              </w:rPr>
              <w:t xml:space="preserve"> </w:t>
            </w:r>
            <w:r w:rsidRPr="0017192A">
              <w:rPr>
                <w:rFonts w:eastAsia="MS Mincho"/>
              </w:rPr>
              <w:t>solving and relapse prevention</w:t>
            </w:r>
            <w:r w:rsidR="00714110">
              <w:rPr>
                <w:rFonts w:eastAsia="MS Mincho"/>
              </w:rPr>
              <w:t>.</w:t>
            </w:r>
          </w:p>
        </w:tc>
        <w:tc>
          <w:tcPr>
            <w:tcW w:w="832" w:type="pct"/>
          </w:tcPr>
          <w:p w14:paraId="375C6536" w14:textId="0131D0C9" w:rsidR="00BD16BB" w:rsidRPr="00BD16BB" w:rsidRDefault="00BD16BB" w:rsidP="00A71365">
            <w:pPr>
              <w:pStyle w:val="Tablewriting"/>
              <w:rPr>
                <w:rFonts w:eastAsia="MS Mincho"/>
              </w:rPr>
            </w:pPr>
            <w:r w:rsidRPr="00BD16BB">
              <w:rPr>
                <w:rFonts w:eastAsia="MS Mincho"/>
                <w:u w:val="single"/>
              </w:rPr>
              <w:t>Efficacy:</w:t>
            </w:r>
            <w:r w:rsidRPr="00BD16BB">
              <w:rPr>
                <w:rFonts w:eastAsia="MS Mincho"/>
              </w:rPr>
              <w:t xml:space="preserve"> sustained abstinence at 1 year (starting from week 4). Validated by CO </w:t>
            </w:r>
            <w:r w:rsidR="00AC7F27" w:rsidRPr="00D96BA4">
              <w:rPr>
                <w:rFonts w:eastAsia="MS Mincho"/>
              </w:rPr>
              <w:t>≤</w:t>
            </w:r>
            <w:r w:rsidRPr="00BD16BB">
              <w:rPr>
                <w:rFonts w:eastAsia="MS Mincho"/>
              </w:rPr>
              <w:t xml:space="preserve"> 10 ppm</w:t>
            </w:r>
            <w:r w:rsidR="00095F26">
              <w:rPr>
                <w:rFonts w:eastAsia="MS Mincho"/>
              </w:rPr>
              <w:t xml:space="preserve"> </w:t>
            </w:r>
            <w:r w:rsidRPr="00BD16BB">
              <w:rPr>
                <w:rFonts w:eastAsia="MS Mincho"/>
              </w:rPr>
              <w:t>at each visit</w:t>
            </w:r>
          </w:p>
          <w:p w14:paraId="3D4043BE" w14:textId="4A35714A" w:rsidR="00E30B27" w:rsidRPr="00061F78" w:rsidRDefault="00BD16BB" w:rsidP="00A71365">
            <w:pPr>
              <w:pStyle w:val="Tablewriting"/>
              <w:rPr>
                <w:rFonts w:eastAsia="MS Mincho"/>
              </w:rPr>
            </w:pPr>
            <w:r w:rsidRPr="00BD16BB">
              <w:rPr>
                <w:rFonts w:eastAsia="MS Mincho"/>
                <w:u w:val="single"/>
              </w:rPr>
              <w:t>Safety:</w:t>
            </w:r>
            <w:r w:rsidRPr="00BD16BB">
              <w:rPr>
                <w:rFonts w:eastAsia="MS Mincho"/>
              </w:rPr>
              <w:t xml:space="preserve"> measured for 13 weeks</w:t>
            </w:r>
            <w:r w:rsidR="00714110">
              <w:rPr>
                <w:rFonts w:eastAsia="MS Mincho"/>
              </w:rPr>
              <w:t>.</w:t>
            </w:r>
          </w:p>
        </w:tc>
      </w:tr>
      <w:tr w:rsidR="00E30B27" w:rsidRPr="00061F78" w14:paraId="2C24B10E" w14:textId="77777777" w:rsidTr="00D0517F">
        <w:trPr>
          <w:trHeight w:val="149"/>
        </w:trPr>
        <w:tc>
          <w:tcPr>
            <w:tcW w:w="565" w:type="pct"/>
          </w:tcPr>
          <w:p w14:paraId="2847F62C" w14:textId="07B82E41" w:rsidR="00E30B27" w:rsidRPr="00541274" w:rsidRDefault="00D166C4" w:rsidP="00A71365">
            <w:pPr>
              <w:pStyle w:val="Tablewriting"/>
              <w:rPr>
                <w:rFonts w:eastAsia="MS Mincho"/>
              </w:rPr>
            </w:pPr>
            <w:r w:rsidRPr="00866DE0">
              <w:rPr>
                <w:rFonts w:eastAsia="MS Mincho"/>
              </w:rPr>
              <w:lastRenderedPageBreak/>
              <w:t xml:space="preserve">Haggsträm </w:t>
            </w:r>
            <w:r w:rsidR="0065538B">
              <w:rPr>
                <w:rFonts w:eastAsia="MS Mincho"/>
              </w:rPr>
              <w:t>(</w:t>
            </w:r>
            <w:r w:rsidRPr="00866DE0">
              <w:rPr>
                <w:rFonts w:eastAsia="MS Mincho"/>
              </w:rPr>
              <w:t>2006</w:t>
            </w:r>
            <w:r w:rsidR="0065538B">
              <w:rPr>
                <w:rFonts w:eastAsia="MS Mincho"/>
              </w:rPr>
              <w:t>)</w:t>
            </w:r>
          </w:p>
        </w:tc>
        <w:tc>
          <w:tcPr>
            <w:tcW w:w="239" w:type="pct"/>
          </w:tcPr>
          <w:p w14:paraId="6BBBBB5E" w14:textId="1FAB7AA3" w:rsidR="00E30B27" w:rsidRDefault="00D60542" w:rsidP="00A71365">
            <w:pPr>
              <w:pStyle w:val="Tablewriting"/>
              <w:rPr>
                <w:rFonts w:eastAsia="MS Mincho"/>
              </w:rPr>
            </w:pPr>
            <w:r>
              <w:rPr>
                <w:rFonts w:eastAsia="MS Mincho"/>
              </w:rPr>
              <w:t>RCT</w:t>
            </w:r>
          </w:p>
        </w:tc>
        <w:tc>
          <w:tcPr>
            <w:tcW w:w="422" w:type="pct"/>
          </w:tcPr>
          <w:p w14:paraId="271B5815" w14:textId="62175BD8" w:rsidR="00D60542" w:rsidRDefault="00D60542" w:rsidP="00A71365">
            <w:pPr>
              <w:pStyle w:val="Tablewriting"/>
              <w:rPr>
                <w:rFonts w:eastAsia="MS Mincho"/>
              </w:rPr>
            </w:pPr>
            <w:r>
              <w:rPr>
                <w:rFonts w:eastAsia="MS Mincho"/>
              </w:rPr>
              <w:t>Brazil</w:t>
            </w:r>
          </w:p>
        </w:tc>
        <w:tc>
          <w:tcPr>
            <w:tcW w:w="449" w:type="pct"/>
          </w:tcPr>
          <w:p w14:paraId="1C0FE6A2" w14:textId="7B8F4B4E" w:rsidR="00E30B27" w:rsidRPr="00061F78" w:rsidRDefault="003B2251" w:rsidP="00A71365">
            <w:pPr>
              <w:pStyle w:val="Tablewriting"/>
              <w:rPr>
                <w:rFonts w:eastAsia="MS Mincho"/>
              </w:rPr>
            </w:pPr>
            <w:r>
              <w:rPr>
                <w:rFonts w:eastAsia="MS Mincho"/>
              </w:rPr>
              <w:t>N=156</w:t>
            </w:r>
          </w:p>
        </w:tc>
        <w:tc>
          <w:tcPr>
            <w:tcW w:w="1271" w:type="pct"/>
          </w:tcPr>
          <w:p w14:paraId="290F9478" w14:textId="48AA2F96" w:rsidR="00E30B27" w:rsidRPr="00061F78" w:rsidRDefault="003B2251" w:rsidP="00A71365">
            <w:pPr>
              <w:pStyle w:val="Tablewriting"/>
              <w:rPr>
                <w:rFonts w:eastAsia="MS Mincho"/>
              </w:rPr>
            </w:pPr>
            <w:r w:rsidRPr="003B2251">
              <w:rPr>
                <w:rFonts w:eastAsia="MS Mincho"/>
              </w:rPr>
              <w:t>FTND &gt; 4; 70% female in placebo and nortriptyline arms, 59% in bupropion arm</w:t>
            </w:r>
            <w:r w:rsidR="00B86921">
              <w:rPr>
                <w:rFonts w:eastAsia="MS Mincho"/>
              </w:rPr>
              <w:t>,</w:t>
            </w:r>
            <w:r w:rsidRPr="003B2251">
              <w:rPr>
                <w:rFonts w:eastAsia="MS Mincho"/>
              </w:rPr>
              <w:t xml:space="preserve"> average</w:t>
            </w:r>
            <w:r w:rsidR="00B86921">
              <w:rPr>
                <w:rFonts w:eastAsia="MS Mincho"/>
              </w:rPr>
              <w:t xml:space="preserve"> </w:t>
            </w:r>
            <w:r w:rsidRPr="003B2251">
              <w:rPr>
                <w:rFonts w:eastAsia="MS Mincho"/>
              </w:rPr>
              <w:t>age 44</w:t>
            </w:r>
            <w:r w:rsidR="00B86921">
              <w:rPr>
                <w:rFonts w:eastAsia="MS Mincho"/>
              </w:rPr>
              <w:t xml:space="preserve"> years,</w:t>
            </w:r>
            <w:r w:rsidRPr="003B2251">
              <w:rPr>
                <w:rFonts w:eastAsia="MS Mincho"/>
              </w:rPr>
              <w:t xml:space="preserve"> average cigarettes per day not specified</w:t>
            </w:r>
          </w:p>
        </w:tc>
        <w:tc>
          <w:tcPr>
            <w:tcW w:w="1224" w:type="pct"/>
          </w:tcPr>
          <w:p w14:paraId="5430E3CD" w14:textId="77777777" w:rsidR="003B2251" w:rsidRPr="003B2251" w:rsidRDefault="003B2251" w:rsidP="00C324F3">
            <w:pPr>
              <w:pStyle w:val="Tablewriting"/>
              <w:numPr>
                <w:ilvl w:val="0"/>
                <w:numId w:val="26"/>
              </w:numPr>
              <w:rPr>
                <w:rFonts w:eastAsia="MS Mincho"/>
              </w:rPr>
            </w:pPr>
            <w:r w:rsidRPr="003B2251">
              <w:rPr>
                <w:rFonts w:eastAsia="MS Mincho"/>
              </w:rPr>
              <w:t>Bupropion, 300 mg/day for 60 days, placebo nortriptyline, TQD during week 2</w:t>
            </w:r>
          </w:p>
          <w:p w14:paraId="72A004F7" w14:textId="7B20CAA4" w:rsidR="003B2251" w:rsidRPr="003B2251" w:rsidRDefault="004D0344" w:rsidP="00C324F3">
            <w:pPr>
              <w:pStyle w:val="Tablewriting"/>
              <w:numPr>
                <w:ilvl w:val="0"/>
                <w:numId w:val="26"/>
              </w:numPr>
              <w:rPr>
                <w:rFonts w:eastAsia="MS Mincho"/>
              </w:rPr>
            </w:pPr>
            <w:r w:rsidRPr="003B2251">
              <w:rPr>
                <w:rFonts w:eastAsia="MS Mincho"/>
              </w:rPr>
              <w:t>Nortriptyline</w:t>
            </w:r>
            <w:r w:rsidR="003B2251" w:rsidRPr="003B2251">
              <w:rPr>
                <w:rFonts w:eastAsia="MS Mincho"/>
              </w:rPr>
              <w:t>, 75 mg/day for 60 days, placebo bupropion</w:t>
            </w:r>
          </w:p>
          <w:p w14:paraId="7FEB5B3B" w14:textId="3EB360DA" w:rsidR="003B2251" w:rsidRPr="003B2251" w:rsidRDefault="003B2251" w:rsidP="00C324F3">
            <w:pPr>
              <w:pStyle w:val="Tablewriting"/>
              <w:numPr>
                <w:ilvl w:val="0"/>
                <w:numId w:val="26"/>
              </w:numPr>
              <w:rPr>
                <w:rFonts w:eastAsia="MS Mincho"/>
              </w:rPr>
            </w:pPr>
            <w:r w:rsidRPr="003B2251">
              <w:rPr>
                <w:rFonts w:eastAsia="MS Mincho"/>
              </w:rPr>
              <w:t>Double placebo</w:t>
            </w:r>
          </w:p>
          <w:p w14:paraId="2676E0B6" w14:textId="77777777" w:rsidR="00D77219" w:rsidRDefault="00D77219" w:rsidP="00A71365">
            <w:pPr>
              <w:pStyle w:val="Tablewriting"/>
              <w:rPr>
                <w:rFonts w:eastAsia="MS Mincho"/>
              </w:rPr>
            </w:pPr>
          </w:p>
          <w:p w14:paraId="55BF7B3C" w14:textId="3526A439" w:rsidR="00E30B27" w:rsidRPr="00061F78" w:rsidRDefault="003B2251" w:rsidP="00A71365">
            <w:pPr>
              <w:pStyle w:val="Tablewriting"/>
              <w:rPr>
                <w:rFonts w:eastAsia="MS Mincho"/>
              </w:rPr>
            </w:pPr>
            <w:r w:rsidRPr="00D77219">
              <w:rPr>
                <w:rFonts w:eastAsia="MS Mincho"/>
                <w:u w:val="single"/>
              </w:rPr>
              <w:t>Common components:</w:t>
            </w:r>
            <w:r w:rsidRPr="003B2251">
              <w:rPr>
                <w:rFonts w:eastAsia="MS Mincho"/>
              </w:rPr>
              <w:t xml:space="preserve"> 6 x 15-min individual CBT, weekly then bi-weekly</w:t>
            </w:r>
          </w:p>
        </w:tc>
        <w:tc>
          <w:tcPr>
            <w:tcW w:w="832" w:type="pct"/>
          </w:tcPr>
          <w:p w14:paraId="3C858A93" w14:textId="568C851F" w:rsidR="00362303" w:rsidRPr="00362303" w:rsidRDefault="00362303" w:rsidP="00A71365">
            <w:pPr>
              <w:pStyle w:val="Tablewriting"/>
              <w:rPr>
                <w:rFonts w:eastAsia="MS Mincho"/>
              </w:rPr>
            </w:pPr>
            <w:r w:rsidRPr="00362303">
              <w:rPr>
                <w:rFonts w:eastAsia="MS Mincho"/>
                <w:u w:val="single"/>
              </w:rPr>
              <w:t>Efficacy</w:t>
            </w:r>
            <w:r w:rsidRPr="00362303">
              <w:rPr>
                <w:rFonts w:eastAsia="MS Mincho"/>
              </w:rPr>
              <w:t xml:space="preserve">: continuous abstinence at 6 metres (starting from TQD). Validated by CO </w:t>
            </w:r>
            <w:r w:rsidR="00AC7F27" w:rsidRPr="00D96BA4">
              <w:rPr>
                <w:rFonts w:eastAsia="MS Mincho"/>
              </w:rPr>
              <w:t>≤</w:t>
            </w:r>
            <w:r w:rsidRPr="00362303">
              <w:rPr>
                <w:rFonts w:eastAsia="MS Mincho"/>
              </w:rPr>
              <w:t xml:space="preserve"> 10 ppm</w:t>
            </w:r>
            <w:r w:rsidR="00095F26">
              <w:rPr>
                <w:rFonts w:eastAsia="MS Mincho"/>
              </w:rPr>
              <w:t xml:space="preserve"> </w:t>
            </w:r>
            <w:r w:rsidRPr="00362303">
              <w:rPr>
                <w:rFonts w:eastAsia="MS Mincho"/>
              </w:rPr>
              <w:t>at 3 months and 6 months</w:t>
            </w:r>
          </w:p>
          <w:p w14:paraId="2DE79D1E" w14:textId="1AF09890" w:rsidR="00E30B27" w:rsidRPr="00061F78" w:rsidRDefault="00362303" w:rsidP="00A71365">
            <w:pPr>
              <w:pStyle w:val="Tablewriting"/>
              <w:rPr>
                <w:rFonts w:eastAsia="MS Mincho"/>
              </w:rPr>
            </w:pPr>
            <w:r w:rsidRPr="00362303">
              <w:rPr>
                <w:rFonts w:eastAsia="MS Mincho"/>
                <w:u w:val="single"/>
              </w:rPr>
              <w:t>Safety:</w:t>
            </w:r>
            <w:r w:rsidRPr="00362303">
              <w:rPr>
                <w:rFonts w:eastAsia="MS Mincho"/>
              </w:rPr>
              <w:t xml:space="preserve"> measured for 26 weeks</w:t>
            </w:r>
            <w:r w:rsidR="00714110">
              <w:rPr>
                <w:rFonts w:eastAsia="MS Mincho"/>
              </w:rPr>
              <w:t>.</w:t>
            </w:r>
          </w:p>
        </w:tc>
      </w:tr>
      <w:tr w:rsidR="00E30B27" w:rsidRPr="00061F78" w14:paraId="689F1924" w14:textId="77777777" w:rsidTr="00D0517F">
        <w:trPr>
          <w:trHeight w:val="149"/>
        </w:trPr>
        <w:tc>
          <w:tcPr>
            <w:tcW w:w="565" w:type="pct"/>
          </w:tcPr>
          <w:p w14:paraId="16A9319E" w14:textId="2005CC42" w:rsidR="00E30B27" w:rsidRPr="00541274" w:rsidRDefault="00D166C4" w:rsidP="00A71365">
            <w:pPr>
              <w:pStyle w:val="Tablewriting"/>
              <w:rPr>
                <w:rFonts w:eastAsia="MS Mincho"/>
              </w:rPr>
            </w:pPr>
            <w:r w:rsidRPr="00866DE0">
              <w:rPr>
                <w:rFonts w:eastAsia="MS Mincho"/>
              </w:rPr>
              <w:t xml:space="preserve">Hall </w:t>
            </w:r>
            <w:r w:rsidR="0065538B">
              <w:rPr>
                <w:rFonts w:eastAsia="MS Mincho"/>
              </w:rPr>
              <w:t>(</w:t>
            </w:r>
            <w:r w:rsidRPr="00866DE0">
              <w:rPr>
                <w:rFonts w:eastAsia="MS Mincho"/>
              </w:rPr>
              <w:t>2002</w:t>
            </w:r>
            <w:r w:rsidR="0065538B">
              <w:rPr>
                <w:rFonts w:eastAsia="MS Mincho"/>
              </w:rPr>
              <w:t>)</w:t>
            </w:r>
          </w:p>
        </w:tc>
        <w:tc>
          <w:tcPr>
            <w:tcW w:w="239" w:type="pct"/>
          </w:tcPr>
          <w:p w14:paraId="73E13178" w14:textId="7B437757" w:rsidR="00E30B27" w:rsidRDefault="00C94D8E" w:rsidP="00A71365">
            <w:pPr>
              <w:pStyle w:val="Tablewriting"/>
              <w:rPr>
                <w:rFonts w:eastAsia="MS Mincho"/>
              </w:rPr>
            </w:pPr>
            <w:r>
              <w:rPr>
                <w:rFonts w:eastAsia="MS Mincho"/>
              </w:rPr>
              <w:t>RCT</w:t>
            </w:r>
          </w:p>
        </w:tc>
        <w:tc>
          <w:tcPr>
            <w:tcW w:w="422" w:type="pct"/>
          </w:tcPr>
          <w:p w14:paraId="23E07486" w14:textId="1B099A23" w:rsidR="00C94D8E" w:rsidRDefault="00C94D8E" w:rsidP="00A71365">
            <w:pPr>
              <w:pStyle w:val="Tablewriting"/>
              <w:rPr>
                <w:rFonts w:eastAsia="MS Mincho"/>
              </w:rPr>
            </w:pPr>
            <w:r>
              <w:rPr>
                <w:rFonts w:eastAsia="MS Mincho"/>
              </w:rPr>
              <w:t>USA</w:t>
            </w:r>
          </w:p>
        </w:tc>
        <w:tc>
          <w:tcPr>
            <w:tcW w:w="449" w:type="pct"/>
          </w:tcPr>
          <w:p w14:paraId="2133B5D7" w14:textId="6D57B4CB" w:rsidR="00E30B27" w:rsidRPr="00061F78" w:rsidRDefault="00EC6730" w:rsidP="00A71365">
            <w:pPr>
              <w:pStyle w:val="Tablewriting"/>
              <w:rPr>
                <w:rFonts w:eastAsia="MS Mincho"/>
              </w:rPr>
            </w:pPr>
            <w:r>
              <w:rPr>
                <w:rFonts w:eastAsia="MS Mincho"/>
              </w:rPr>
              <w:t>N=220</w:t>
            </w:r>
          </w:p>
        </w:tc>
        <w:tc>
          <w:tcPr>
            <w:tcW w:w="1271" w:type="pct"/>
          </w:tcPr>
          <w:p w14:paraId="57D3CCA6" w14:textId="4F4823CF" w:rsidR="00E30B27" w:rsidRPr="00061F78" w:rsidRDefault="003806E1" w:rsidP="00A71365">
            <w:pPr>
              <w:pStyle w:val="Tablewriting"/>
              <w:rPr>
                <w:rFonts w:eastAsia="MS Mincho"/>
              </w:rPr>
            </w:pPr>
            <w:r>
              <w:rPr>
                <w:rFonts w:eastAsia="MS Mincho"/>
              </w:rPr>
              <w:t>S</w:t>
            </w:r>
            <w:r w:rsidRPr="003806E1">
              <w:rPr>
                <w:rFonts w:eastAsia="MS Mincho"/>
              </w:rPr>
              <w:t>mokers; 40% to 47% female</w:t>
            </w:r>
            <w:r w:rsidR="00FA2F6C">
              <w:rPr>
                <w:rFonts w:eastAsia="MS Mincho"/>
              </w:rPr>
              <w:t>,</w:t>
            </w:r>
            <w:r w:rsidRPr="003806E1">
              <w:rPr>
                <w:rFonts w:eastAsia="MS Mincho"/>
              </w:rPr>
              <w:t xml:space="preserve"> average age 37-43</w:t>
            </w:r>
            <w:r w:rsidR="00FA2F6C">
              <w:rPr>
                <w:rFonts w:eastAsia="MS Mincho"/>
              </w:rPr>
              <w:t xml:space="preserve"> years,</w:t>
            </w:r>
            <w:r w:rsidRPr="003806E1">
              <w:rPr>
                <w:rFonts w:eastAsia="MS Mincho"/>
              </w:rPr>
              <w:t xml:space="preserve"> average cigarettes per day 20-23</w:t>
            </w:r>
          </w:p>
        </w:tc>
        <w:tc>
          <w:tcPr>
            <w:tcW w:w="1224" w:type="pct"/>
          </w:tcPr>
          <w:p w14:paraId="247F1958" w14:textId="77777777" w:rsidR="00EC6730" w:rsidRPr="00EC6730" w:rsidRDefault="00EC6730" w:rsidP="00C324F3">
            <w:pPr>
              <w:pStyle w:val="Tablewriting"/>
              <w:numPr>
                <w:ilvl w:val="0"/>
                <w:numId w:val="27"/>
              </w:numPr>
              <w:rPr>
                <w:rFonts w:eastAsia="MS Mincho"/>
                <w:lang w:val="en-GB"/>
              </w:rPr>
            </w:pPr>
            <w:r w:rsidRPr="00EC6730">
              <w:rPr>
                <w:rFonts w:eastAsia="MS Mincho"/>
                <w:lang w:val="en-GB"/>
              </w:rPr>
              <w:t>Bupropion, 300 mg/day, 12 weeks</w:t>
            </w:r>
          </w:p>
          <w:p w14:paraId="5700D98B" w14:textId="77777777" w:rsidR="00EC6730" w:rsidRDefault="00EC6730" w:rsidP="00C324F3">
            <w:pPr>
              <w:pStyle w:val="Tablewriting"/>
              <w:numPr>
                <w:ilvl w:val="0"/>
                <w:numId w:val="27"/>
              </w:numPr>
              <w:rPr>
                <w:rFonts w:eastAsia="MS Mincho"/>
                <w:lang w:val="en-GB"/>
              </w:rPr>
            </w:pPr>
            <w:r w:rsidRPr="00EC6730">
              <w:rPr>
                <w:rFonts w:eastAsia="MS Mincho"/>
                <w:lang w:val="en-GB"/>
              </w:rPr>
              <w:t>Nortriptyline, titrated to therapeutic levels, 12 weeks</w:t>
            </w:r>
          </w:p>
          <w:p w14:paraId="72C9D8CD" w14:textId="6240476C" w:rsidR="00EC6730" w:rsidRPr="00EC6730" w:rsidRDefault="00EC6730" w:rsidP="00C324F3">
            <w:pPr>
              <w:pStyle w:val="Tablewriting"/>
              <w:numPr>
                <w:ilvl w:val="0"/>
                <w:numId w:val="27"/>
              </w:numPr>
              <w:rPr>
                <w:rFonts w:eastAsia="MS Mincho"/>
                <w:lang w:val="en-GB"/>
              </w:rPr>
            </w:pPr>
            <w:r w:rsidRPr="00EC6730">
              <w:rPr>
                <w:rFonts w:eastAsia="MS Mincho"/>
                <w:i/>
                <w:iCs/>
                <w:lang w:val="en-GB"/>
              </w:rPr>
              <w:t xml:space="preserve"> </w:t>
            </w:r>
            <w:r w:rsidRPr="00EC6730">
              <w:rPr>
                <w:rFonts w:eastAsia="MS Mincho"/>
                <w:lang w:val="en-GB"/>
              </w:rPr>
              <w:t>Placebo</w:t>
            </w:r>
          </w:p>
          <w:p w14:paraId="4D4E48CF" w14:textId="77777777" w:rsidR="00EC6730" w:rsidRDefault="00EC6730" w:rsidP="00A71365">
            <w:pPr>
              <w:pStyle w:val="Tablewriting"/>
              <w:rPr>
                <w:rFonts w:eastAsia="MS Mincho"/>
                <w:lang w:val="en-GB"/>
              </w:rPr>
            </w:pPr>
          </w:p>
          <w:p w14:paraId="448F3805" w14:textId="56A68522" w:rsidR="00EC6730" w:rsidRPr="00EC6730" w:rsidRDefault="00EC6730" w:rsidP="00A71365">
            <w:pPr>
              <w:pStyle w:val="Tablewriting"/>
              <w:rPr>
                <w:rFonts w:eastAsia="MS Mincho"/>
                <w:lang w:val="en-GB"/>
              </w:rPr>
            </w:pPr>
            <w:r w:rsidRPr="00EC6730">
              <w:rPr>
                <w:rFonts w:eastAsia="MS Mincho"/>
                <w:lang w:val="en-GB"/>
              </w:rPr>
              <w:t>3 x 2 factorial design. Alternative psychological interventions were Medical Management (MM, physician</w:t>
            </w:r>
          </w:p>
          <w:p w14:paraId="735EEA72" w14:textId="4E4ECF7E" w:rsidR="00E30B27" w:rsidRPr="00EC6730" w:rsidRDefault="00EC6730" w:rsidP="00A71365">
            <w:pPr>
              <w:pStyle w:val="Tablewriting"/>
              <w:rPr>
                <w:rFonts w:eastAsia="MS Mincho"/>
                <w:lang w:val="en-GB"/>
              </w:rPr>
            </w:pPr>
            <w:r w:rsidRPr="00EC6730">
              <w:rPr>
                <w:rFonts w:eastAsia="MS Mincho"/>
                <w:lang w:val="en-GB"/>
              </w:rPr>
              <w:t>advice, S-H, 10 mins to 20 mins 1st visit, 5 minds at 2, 6, 11 weeks) or Psychosocial Intervention (PI,</w:t>
            </w:r>
            <w:r>
              <w:rPr>
                <w:rFonts w:eastAsia="MS Mincho"/>
                <w:lang w:val="en-GB"/>
              </w:rPr>
              <w:t xml:space="preserve"> </w:t>
            </w:r>
            <w:r w:rsidRPr="00EC6730">
              <w:rPr>
                <w:rFonts w:eastAsia="MS Mincho"/>
                <w:lang w:val="en-GB"/>
              </w:rPr>
              <w:t>as MM plus 5 x 90-min group sessions at 4, 5, 7, 11 weeks)</w:t>
            </w:r>
            <w:r w:rsidR="00714110">
              <w:rPr>
                <w:rFonts w:eastAsia="MS Mincho"/>
                <w:lang w:val="en-GB"/>
              </w:rPr>
              <w:t>.</w:t>
            </w:r>
          </w:p>
        </w:tc>
        <w:tc>
          <w:tcPr>
            <w:tcW w:w="832" w:type="pct"/>
          </w:tcPr>
          <w:p w14:paraId="022753C3" w14:textId="787F00DB" w:rsidR="008314F4" w:rsidRPr="008314F4" w:rsidRDefault="00204F24" w:rsidP="00A71365">
            <w:pPr>
              <w:rPr>
                <w:rFonts w:eastAsia="MS Mincho"/>
                <w:lang w:eastAsia="en-US"/>
              </w:rPr>
            </w:pPr>
            <w:r w:rsidRPr="00204F24">
              <w:rPr>
                <w:rFonts w:eastAsia="MS Mincho"/>
                <w:u w:val="single"/>
                <w:lang w:eastAsia="en-US"/>
              </w:rPr>
              <w:t>Efficacy</w:t>
            </w:r>
            <w:r w:rsidR="008314F4" w:rsidRPr="00204F24">
              <w:rPr>
                <w:rFonts w:eastAsia="MS Mincho"/>
                <w:u w:val="single"/>
                <w:lang w:eastAsia="en-US"/>
              </w:rPr>
              <w:t>:</w:t>
            </w:r>
            <w:r w:rsidR="008314F4" w:rsidRPr="008314F4">
              <w:rPr>
                <w:rFonts w:eastAsia="MS Mincho"/>
                <w:lang w:eastAsia="en-US"/>
              </w:rPr>
              <w:t xml:space="preserve"> prolonged abstinence at 1 year (47 weeks post-quit date). Validated by CO </w:t>
            </w:r>
            <w:r w:rsidR="00AC7F27" w:rsidRPr="00D96BA4">
              <w:rPr>
                <w:rFonts w:eastAsia="MS Mincho"/>
              </w:rPr>
              <w:t>≤</w:t>
            </w:r>
            <w:r w:rsidR="008314F4" w:rsidRPr="008314F4">
              <w:rPr>
                <w:rFonts w:eastAsia="MS Mincho"/>
                <w:lang w:eastAsia="en-US"/>
              </w:rPr>
              <w:t xml:space="preserve"> 10</w:t>
            </w:r>
            <w:r>
              <w:rPr>
                <w:rFonts w:eastAsia="MS Mincho"/>
                <w:lang w:eastAsia="en-US"/>
              </w:rPr>
              <w:t xml:space="preserve"> </w:t>
            </w:r>
            <w:r w:rsidR="008314F4" w:rsidRPr="008314F4">
              <w:rPr>
                <w:rFonts w:eastAsia="MS Mincho"/>
                <w:lang w:eastAsia="en-US"/>
              </w:rPr>
              <w:t>ppm, urine cotinine h 60 ng/mL</w:t>
            </w:r>
          </w:p>
          <w:p w14:paraId="1B551812" w14:textId="32A68E33" w:rsidR="00E30B27" w:rsidRPr="00061F78" w:rsidRDefault="005B351C" w:rsidP="00A71365">
            <w:pPr>
              <w:rPr>
                <w:rFonts w:eastAsia="MS Mincho"/>
              </w:rPr>
            </w:pPr>
            <w:r w:rsidRPr="005B351C">
              <w:rPr>
                <w:rFonts w:eastAsia="MS Mincho"/>
                <w:u w:val="single"/>
                <w:lang w:eastAsia="en-US"/>
              </w:rPr>
              <w:t>Safety</w:t>
            </w:r>
            <w:r w:rsidR="008314F4" w:rsidRPr="005B351C">
              <w:rPr>
                <w:rFonts w:eastAsia="MS Mincho"/>
                <w:u w:val="single"/>
                <w:lang w:eastAsia="en-US"/>
              </w:rPr>
              <w:t>:</w:t>
            </w:r>
            <w:r w:rsidR="008314F4" w:rsidRPr="008314F4">
              <w:rPr>
                <w:rFonts w:eastAsia="MS Mincho"/>
                <w:lang w:eastAsia="en-US"/>
              </w:rPr>
              <w:t xml:space="preserve"> measured for unspecified period</w:t>
            </w:r>
            <w:r w:rsidR="00714110">
              <w:rPr>
                <w:rFonts w:eastAsia="MS Mincho"/>
                <w:lang w:eastAsia="en-US"/>
              </w:rPr>
              <w:t>.</w:t>
            </w:r>
          </w:p>
        </w:tc>
      </w:tr>
      <w:tr w:rsidR="00E30B27" w:rsidRPr="00061F78" w14:paraId="6575AE85" w14:textId="77777777" w:rsidTr="00D0517F">
        <w:trPr>
          <w:trHeight w:val="149"/>
        </w:trPr>
        <w:tc>
          <w:tcPr>
            <w:tcW w:w="565" w:type="pct"/>
          </w:tcPr>
          <w:p w14:paraId="3A946CCB" w14:textId="6E6D2939" w:rsidR="00E30B27" w:rsidRPr="00541274" w:rsidRDefault="00D05A51" w:rsidP="00A71365">
            <w:pPr>
              <w:pStyle w:val="Tablewriting"/>
              <w:rPr>
                <w:rFonts w:eastAsia="MS Mincho"/>
              </w:rPr>
            </w:pPr>
            <w:r w:rsidRPr="00866DE0">
              <w:rPr>
                <w:rFonts w:eastAsia="MS Mincho"/>
              </w:rPr>
              <w:t xml:space="preserve">Hertzberg </w:t>
            </w:r>
            <w:r w:rsidR="0065538B">
              <w:rPr>
                <w:rFonts w:eastAsia="MS Mincho"/>
              </w:rPr>
              <w:t>(</w:t>
            </w:r>
            <w:r w:rsidRPr="00866DE0">
              <w:rPr>
                <w:rFonts w:eastAsia="MS Mincho"/>
              </w:rPr>
              <w:t>2001</w:t>
            </w:r>
            <w:r w:rsidR="0065538B">
              <w:rPr>
                <w:rFonts w:eastAsia="MS Mincho"/>
              </w:rPr>
              <w:t>)</w:t>
            </w:r>
          </w:p>
        </w:tc>
        <w:tc>
          <w:tcPr>
            <w:tcW w:w="239" w:type="pct"/>
          </w:tcPr>
          <w:p w14:paraId="6B1E851B" w14:textId="5F51FAE5" w:rsidR="00E30B27" w:rsidRDefault="00130CFF" w:rsidP="00A71365">
            <w:pPr>
              <w:pStyle w:val="Tablewriting"/>
              <w:rPr>
                <w:rFonts w:eastAsia="MS Mincho"/>
              </w:rPr>
            </w:pPr>
            <w:r>
              <w:rPr>
                <w:rFonts w:eastAsia="MS Mincho"/>
              </w:rPr>
              <w:t>RCT</w:t>
            </w:r>
          </w:p>
        </w:tc>
        <w:tc>
          <w:tcPr>
            <w:tcW w:w="422" w:type="pct"/>
          </w:tcPr>
          <w:p w14:paraId="5849372A" w14:textId="1AEDDBDF" w:rsidR="0035253E" w:rsidRPr="00061F78" w:rsidRDefault="00130CFF" w:rsidP="00A71365">
            <w:pPr>
              <w:pStyle w:val="Tablewriting"/>
              <w:rPr>
                <w:rFonts w:eastAsia="MS Mincho"/>
              </w:rPr>
            </w:pPr>
            <w:r>
              <w:rPr>
                <w:rFonts w:eastAsia="MS Mincho"/>
              </w:rPr>
              <w:t>USA</w:t>
            </w:r>
          </w:p>
        </w:tc>
        <w:tc>
          <w:tcPr>
            <w:tcW w:w="449" w:type="pct"/>
          </w:tcPr>
          <w:p w14:paraId="0CE54317" w14:textId="18362869" w:rsidR="00E30B27" w:rsidRPr="00061F78" w:rsidRDefault="00130CFF" w:rsidP="00A71365">
            <w:pPr>
              <w:pStyle w:val="Tablewriting"/>
              <w:rPr>
                <w:rFonts w:eastAsia="MS Mincho"/>
              </w:rPr>
            </w:pPr>
            <w:r>
              <w:rPr>
                <w:rFonts w:eastAsia="MS Mincho"/>
              </w:rPr>
              <w:t>N=15</w:t>
            </w:r>
          </w:p>
        </w:tc>
        <w:tc>
          <w:tcPr>
            <w:tcW w:w="1271" w:type="pct"/>
          </w:tcPr>
          <w:p w14:paraId="524B7A95" w14:textId="52AE4252" w:rsidR="00E30B27" w:rsidRPr="00061F78" w:rsidRDefault="00130CFF" w:rsidP="00A71365">
            <w:pPr>
              <w:pStyle w:val="Tablewriting"/>
              <w:rPr>
                <w:rFonts w:eastAsia="MS Mincho"/>
              </w:rPr>
            </w:pPr>
            <w:r w:rsidRPr="00130CFF">
              <w:rPr>
                <w:rFonts w:eastAsia="MS Mincho"/>
              </w:rPr>
              <w:t>male veterans with post-traumatic stress disorder</w:t>
            </w:r>
            <w:r w:rsidR="002B1E57">
              <w:rPr>
                <w:rFonts w:eastAsia="MS Mincho"/>
              </w:rPr>
              <w:t>,</w:t>
            </w:r>
            <w:r w:rsidRPr="00130CFF">
              <w:rPr>
                <w:rFonts w:eastAsia="MS Mincho"/>
              </w:rPr>
              <w:t xml:space="preserve"> average age 50</w:t>
            </w:r>
            <w:r w:rsidR="002B1E57">
              <w:rPr>
                <w:rFonts w:eastAsia="MS Mincho"/>
              </w:rPr>
              <w:t xml:space="preserve"> years,</w:t>
            </w:r>
            <w:r w:rsidRPr="00130CFF">
              <w:rPr>
                <w:rFonts w:eastAsia="MS Mincho"/>
              </w:rPr>
              <w:t xml:space="preserve"> average cigarettes per day 33</w:t>
            </w:r>
          </w:p>
        </w:tc>
        <w:tc>
          <w:tcPr>
            <w:tcW w:w="1224" w:type="pct"/>
          </w:tcPr>
          <w:p w14:paraId="1922A664" w14:textId="77777777" w:rsidR="00130CFF" w:rsidRPr="00130CFF" w:rsidRDefault="00130CFF" w:rsidP="00C324F3">
            <w:pPr>
              <w:pStyle w:val="Tablewriting"/>
              <w:numPr>
                <w:ilvl w:val="0"/>
                <w:numId w:val="28"/>
              </w:numPr>
              <w:rPr>
                <w:rFonts w:eastAsia="MS Mincho"/>
              </w:rPr>
            </w:pPr>
            <w:r w:rsidRPr="00130CFF">
              <w:rPr>
                <w:rFonts w:eastAsia="MS Mincho"/>
              </w:rPr>
              <w:t>Bupropion, 300 mg/day, 12 weeks begun at least 1 week before TQD</w:t>
            </w:r>
          </w:p>
          <w:p w14:paraId="6156194D" w14:textId="64755F62" w:rsidR="00130CFF" w:rsidRPr="00130CFF" w:rsidRDefault="00130CFF" w:rsidP="00C324F3">
            <w:pPr>
              <w:pStyle w:val="Tablewriting"/>
              <w:numPr>
                <w:ilvl w:val="0"/>
                <w:numId w:val="28"/>
              </w:numPr>
              <w:rPr>
                <w:rFonts w:eastAsia="MS Mincho"/>
              </w:rPr>
            </w:pPr>
            <w:r w:rsidRPr="00130CFF">
              <w:rPr>
                <w:rFonts w:eastAsia="MS Mincho"/>
              </w:rPr>
              <w:t>Placebo</w:t>
            </w:r>
          </w:p>
          <w:p w14:paraId="6816B664" w14:textId="77777777" w:rsidR="00130CFF" w:rsidRDefault="00130CFF" w:rsidP="00A71365">
            <w:pPr>
              <w:pStyle w:val="Tablewriting"/>
              <w:rPr>
                <w:rFonts w:eastAsia="MS Mincho"/>
              </w:rPr>
            </w:pPr>
          </w:p>
          <w:p w14:paraId="34AA8CEE" w14:textId="1C9E5907" w:rsidR="00E30B27" w:rsidRPr="00061F78" w:rsidRDefault="00130CFF" w:rsidP="00A71365">
            <w:pPr>
              <w:pStyle w:val="Tablewriting"/>
              <w:rPr>
                <w:rFonts w:eastAsia="MS Mincho"/>
              </w:rPr>
            </w:pPr>
            <w:r w:rsidRPr="00130CFF">
              <w:rPr>
                <w:rFonts w:eastAsia="MS Mincho"/>
                <w:u w:val="single"/>
              </w:rPr>
              <w:t>Common components</w:t>
            </w:r>
            <w:r w:rsidRPr="00130CFF">
              <w:rPr>
                <w:rFonts w:eastAsia="MS Mincho"/>
              </w:rPr>
              <w:t>:</w:t>
            </w:r>
            <w:r>
              <w:rPr>
                <w:rFonts w:eastAsia="MS Mincho"/>
              </w:rPr>
              <w:t xml:space="preserve"> </w:t>
            </w:r>
            <w:r w:rsidRPr="00130CFF">
              <w:rPr>
                <w:rFonts w:eastAsia="MS Mincho"/>
              </w:rPr>
              <w:t>individual counselling pre-quit, weeks 1, 2, 4, 8, 12</w:t>
            </w:r>
            <w:r w:rsidR="00714110">
              <w:rPr>
                <w:rFonts w:eastAsia="MS Mincho"/>
              </w:rPr>
              <w:t>.</w:t>
            </w:r>
          </w:p>
        </w:tc>
        <w:tc>
          <w:tcPr>
            <w:tcW w:w="832" w:type="pct"/>
          </w:tcPr>
          <w:p w14:paraId="44AFEBEC" w14:textId="054A6991" w:rsidR="00130CFF" w:rsidRPr="00130CFF" w:rsidRDefault="00130CFF" w:rsidP="00A71365">
            <w:pPr>
              <w:pStyle w:val="Tablewriting"/>
              <w:rPr>
                <w:rFonts w:eastAsia="MS Mincho"/>
              </w:rPr>
            </w:pPr>
            <w:r w:rsidRPr="00130CFF">
              <w:rPr>
                <w:rFonts w:eastAsia="MS Mincho"/>
                <w:u w:val="single"/>
              </w:rPr>
              <w:t>Efficacy:</w:t>
            </w:r>
            <w:r w:rsidRPr="00130CFF">
              <w:rPr>
                <w:rFonts w:eastAsia="MS Mincho"/>
              </w:rPr>
              <w:t xml:space="preserve"> prolonged abstinence at 6 months. Validated at weeks 2, 8 by CO </w:t>
            </w:r>
            <w:r w:rsidR="005B1423" w:rsidRPr="00D96BA4">
              <w:rPr>
                <w:rFonts w:eastAsia="MS Mincho"/>
              </w:rPr>
              <w:t>≤</w:t>
            </w:r>
            <w:r w:rsidRPr="00130CFF">
              <w:rPr>
                <w:rFonts w:eastAsia="MS Mincho"/>
              </w:rPr>
              <w:t xml:space="preserve"> 10 ppm</w:t>
            </w:r>
          </w:p>
          <w:p w14:paraId="0DED6865" w14:textId="7E159266" w:rsidR="00E30B27" w:rsidRPr="00061F78" w:rsidRDefault="00130CFF" w:rsidP="00A71365">
            <w:pPr>
              <w:pStyle w:val="Tablewriting"/>
              <w:rPr>
                <w:rFonts w:eastAsia="MS Mincho"/>
              </w:rPr>
            </w:pPr>
            <w:r w:rsidRPr="00130CFF">
              <w:rPr>
                <w:rFonts w:eastAsia="MS Mincho"/>
                <w:u w:val="single"/>
              </w:rPr>
              <w:t>Safety:</w:t>
            </w:r>
            <w:r w:rsidRPr="00130CFF">
              <w:rPr>
                <w:rFonts w:eastAsia="MS Mincho"/>
              </w:rPr>
              <w:t xml:space="preserve"> measured for 12 weeks</w:t>
            </w:r>
            <w:r w:rsidR="00714110">
              <w:rPr>
                <w:rFonts w:eastAsia="MS Mincho"/>
              </w:rPr>
              <w:t>.</w:t>
            </w:r>
          </w:p>
        </w:tc>
      </w:tr>
      <w:tr w:rsidR="00E30B27" w:rsidRPr="00061F78" w14:paraId="7030B0FC" w14:textId="77777777" w:rsidTr="00D0517F">
        <w:trPr>
          <w:trHeight w:val="149"/>
        </w:trPr>
        <w:tc>
          <w:tcPr>
            <w:tcW w:w="565" w:type="pct"/>
          </w:tcPr>
          <w:p w14:paraId="6EB51B00" w14:textId="02E6F885" w:rsidR="00E30B27" w:rsidRPr="00541274" w:rsidRDefault="00D05A51" w:rsidP="00A71365">
            <w:pPr>
              <w:pStyle w:val="Tablewriting"/>
              <w:rPr>
                <w:rFonts w:eastAsia="MS Mincho"/>
              </w:rPr>
            </w:pPr>
            <w:r w:rsidRPr="00866DE0">
              <w:rPr>
                <w:rFonts w:eastAsia="MS Mincho"/>
              </w:rPr>
              <w:t xml:space="preserve">Holt </w:t>
            </w:r>
            <w:r w:rsidR="0065538B">
              <w:rPr>
                <w:rFonts w:eastAsia="MS Mincho"/>
              </w:rPr>
              <w:t>(</w:t>
            </w:r>
            <w:r w:rsidRPr="00866DE0">
              <w:rPr>
                <w:rFonts w:eastAsia="MS Mincho"/>
              </w:rPr>
              <w:t>2005</w:t>
            </w:r>
            <w:r w:rsidR="0065538B">
              <w:rPr>
                <w:rFonts w:eastAsia="MS Mincho"/>
              </w:rPr>
              <w:t>)</w:t>
            </w:r>
          </w:p>
        </w:tc>
        <w:tc>
          <w:tcPr>
            <w:tcW w:w="239" w:type="pct"/>
          </w:tcPr>
          <w:p w14:paraId="34D9C46A" w14:textId="2A90237C" w:rsidR="00E30B27" w:rsidRDefault="00D0432F" w:rsidP="00A71365">
            <w:pPr>
              <w:pStyle w:val="Tablewriting"/>
              <w:rPr>
                <w:rFonts w:eastAsia="MS Mincho"/>
              </w:rPr>
            </w:pPr>
            <w:r>
              <w:rPr>
                <w:rFonts w:eastAsia="MS Mincho"/>
              </w:rPr>
              <w:t>RCT</w:t>
            </w:r>
          </w:p>
        </w:tc>
        <w:tc>
          <w:tcPr>
            <w:tcW w:w="422" w:type="pct"/>
          </w:tcPr>
          <w:p w14:paraId="310FD726" w14:textId="1EC7E838" w:rsidR="0035253E" w:rsidRPr="00061F78" w:rsidRDefault="00D0432F" w:rsidP="00A71365">
            <w:pPr>
              <w:pStyle w:val="Tablewriting"/>
              <w:rPr>
                <w:rFonts w:eastAsia="MS Mincho"/>
              </w:rPr>
            </w:pPr>
            <w:r>
              <w:rPr>
                <w:rFonts w:eastAsia="MS Mincho"/>
              </w:rPr>
              <w:t>New Zealand</w:t>
            </w:r>
          </w:p>
        </w:tc>
        <w:tc>
          <w:tcPr>
            <w:tcW w:w="449" w:type="pct"/>
          </w:tcPr>
          <w:p w14:paraId="2150E243" w14:textId="74CEC16C" w:rsidR="00E30B27" w:rsidRPr="00061F78" w:rsidRDefault="00D0432F" w:rsidP="00A71365">
            <w:pPr>
              <w:pStyle w:val="Tablewriting"/>
              <w:rPr>
                <w:rFonts w:eastAsia="MS Mincho"/>
              </w:rPr>
            </w:pPr>
            <w:r>
              <w:rPr>
                <w:rFonts w:eastAsia="MS Mincho"/>
              </w:rPr>
              <w:t>N=</w:t>
            </w:r>
            <w:r w:rsidR="00302EAB">
              <w:rPr>
                <w:rFonts w:eastAsia="MS Mincho"/>
              </w:rPr>
              <w:t>134</w:t>
            </w:r>
          </w:p>
        </w:tc>
        <w:tc>
          <w:tcPr>
            <w:tcW w:w="1271" w:type="pct"/>
          </w:tcPr>
          <w:p w14:paraId="3704F051" w14:textId="44D78656" w:rsidR="00E30B27" w:rsidRPr="00061F78" w:rsidRDefault="00302EAB" w:rsidP="00A71365">
            <w:pPr>
              <w:pStyle w:val="Tablewriting"/>
              <w:rPr>
                <w:rFonts w:eastAsia="MS Mincho"/>
              </w:rPr>
            </w:pPr>
            <w:r w:rsidRPr="00302EAB">
              <w:rPr>
                <w:rFonts w:eastAsia="MS Mincho"/>
              </w:rPr>
              <w:t>72% female</w:t>
            </w:r>
            <w:r w:rsidR="00803D0E">
              <w:rPr>
                <w:rFonts w:eastAsia="MS Mincho"/>
              </w:rPr>
              <w:t>,</w:t>
            </w:r>
            <w:r w:rsidRPr="00302EAB">
              <w:rPr>
                <w:rFonts w:eastAsia="MS Mincho"/>
              </w:rPr>
              <w:t xml:space="preserve"> average age 42/38</w:t>
            </w:r>
            <w:r w:rsidR="00803D0E">
              <w:rPr>
                <w:rFonts w:eastAsia="MS Mincho"/>
              </w:rPr>
              <w:t xml:space="preserve"> years</w:t>
            </w:r>
          </w:p>
        </w:tc>
        <w:tc>
          <w:tcPr>
            <w:tcW w:w="1224" w:type="pct"/>
          </w:tcPr>
          <w:p w14:paraId="464C4E6F" w14:textId="77777777" w:rsidR="00302EAB" w:rsidRPr="00302EAB" w:rsidRDefault="00302EAB" w:rsidP="00C324F3">
            <w:pPr>
              <w:pStyle w:val="Tablewriting"/>
              <w:numPr>
                <w:ilvl w:val="0"/>
                <w:numId w:val="29"/>
              </w:numPr>
              <w:rPr>
                <w:rFonts w:eastAsia="MS Mincho"/>
              </w:rPr>
            </w:pPr>
            <w:r w:rsidRPr="00302EAB">
              <w:rPr>
                <w:rFonts w:eastAsia="MS Mincho"/>
              </w:rPr>
              <w:t>Bupropion, 300 mg/day for 7 weeks</w:t>
            </w:r>
          </w:p>
          <w:p w14:paraId="7869C220" w14:textId="434B2A32" w:rsidR="00302EAB" w:rsidRPr="00302EAB" w:rsidRDefault="00302EAB" w:rsidP="00C324F3">
            <w:pPr>
              <w:pStyle w:val="Tablewriting"/>
              <w:numPr>
                <w:ilvl w:val="0"/>
                <w:numId w:val="29"/>
              </w:numPr>
              <w:rPr>
                <w:rFonts w:eastAsia="MS Mincho"/>
              </w:rPr>
            </w:pPr>
            <w:r w:rsidRPr="00302EAB">
              <w:rPr>
                <w:rFonts w:eastAsia="MS Mincho"/>
              </w:rPr>
              <w:t>Placebo</w:t>
            </w:r>
          </w:p>
          <w:p w14:paraId="3863FD79" w14:textId="77777777" w:rsidR="00302EAB" w:rsidRDefault="00302EAB" w:rsidP="00A71365">
            <w:pPr>
              <w:pStyle w:val="Tablewriting"/>
              <w:rPr>
                <w:rFonts w:eastAsia="MS Mincho"/>
              </w:rPr>
            </w:pPr>
          </w:p>
          <w:p w14:paraId="5384344F" w14:textId="4A958764" w:rsidR="00E30B27" w:rsidRPr="00061F78" w:rsidRDefault="00302EAB" w:rsidP="00A71365">
            <w:pPr>
              <w:pStyle w:val="Tablewriting"/>
              <w:rPr>
                <w:rFonts w:eastAsia="MS Mincho"/>
              </w:rPr>
            </w:pPr>
            <w:r w:rsidRPr="00302EAB">
              <w:rPr>
                <w:rFonts w:eastAsia="MS Mincho"/>
                <w:u w:val="single"/>
              </w:rPr>
              <w:lastRenderedPageBreak/>
              <w:t>Common components</w:t>
            </w:r>
            <w:r w:rsidRPr="00302EAB">
              <w:rPr>
                <w:rFonts w:eastAsia="MS Mincho"/>
              </w:rPr>
              <w:t>: counselling at 3 clinic visits during medication and 3 monthly follow-ups,</w:t>
            </w:r>
            <w:r>
              <w:rPr>
                <w:rFonts w:eastAsia="MS Mincho"/>
              </w:rPr>
              <w:t xml:space="preserve"> </w:t>
            </w:r>
            <w:r w:rsidRPr="00302EAB">
              <w:rPr>
                <w:rFonts w:eastAsia="MS Mincho"/>
              </w:rPr>
              <w:t>motivational</w:t>
            </w:r>
            <w:r>
              <w:rPr>
                <w:rFonts w:eastAsia="MS Mincho"/>
              </w:rPr>
              <w:t xml:space="preserve"> </w:t>
            </w:r>
            <w:r w:rsidRPr="00302EAB">
              <w:rPr>
                <w:rFonts w:eastAsia="MS Mincho"/>
              </w:rPr>
              <w:t>phone call 1 day before and 2 days after TQD</w:t>
            </w:r>
            <w:r w:rsidR="00714110">
              <w:rPr>
                <w:rFonts w:eastAsia="MS Mincho"/>
              </w:rPr>
              <w:t>.</w:t>
            </w:r>
          </w:p>
        </w:tc>
        <w:tc>
          <w:tcPr>
            <w:tcW w:w="832" w:type="pct"/>
          </w:tcPr>
          <w:p w14:paraId="4906A2E6" w14:textId="6BE3038E" w:rsidR="00302EAB" w:rsidRPr="00302EAB" w:rsidRDefault="00302EAB" w:rsidP="00A71365">
            <w:pPr>
              <w:pStyle w:val="Tablewriting"/>
              <w:rPr>
                <w:rFonts w:eastAsia="MS Mincho"/>
              </w:rPr>
            </w:pPr>
            <w:r w:rsidRPr="00302EAB">
              <w:rPr>
                <w:rFonts w:eastAsia="MS Mincho"/>
                <w:u w:val="single"/>
              </w:rPr>
              <w:lastRenderedPageBreak/>
              <w:t>Efficacy:</w:t>
            </w:r>
            <w:r w:rsidRPr="00302EAB">
              <w:rPr>
                <w:rFonts w:eastAsia="MS Mincho"/>
              </w:rPr>
              <w:t xml:space="preserve"> continuous abstinence at 12 months. Validated by CO at each</w:t>
            </w:r>
            <w:r>
              <w:rPr>
                <w:rFonts w:eastAsia="MS Mincho"/>
              </w:rPr>
              <w:t xml:space="preserve"> </w:t>
            </w:r>
            <w:r w:rsidRPr="00302EAB">
              <w:rPr>
                <w:rFonts w:eastAsia="MS Mincho"/>
              </w:rPr>
              <w:t>visit</w:t>
            </w:r>
          </w:p>
          <w:p w14:paraId="11D78F39" w14:textId="6577EA62" w:rsidR="00E30B27" w:rsidRPr="00061F78" w:rsidRDefault="00302EAB" w:rsidP="00A71365">
            <w:pPr>
              <w:pStyle w:val="Tablewriting"/>
              <w:rPr>
                <w:rFonts w:eastAsia="MS Mincho"/>
              </w:rPr>
            </w:pPr>
            <w:r w:rsidRPr="00302EAB">
              <w:rPr>
                <w:rFonts w:eastAsia="MS Mincho"/>
                <w:u w:val="single"/>
              </w:rPr>
              <w:lastRenderedPageBreak/>
              <w:t>Safety:</w:t>
            </w:r>
            <w:r w:rsidRPr="00302EAB">
              <w:rPr>
                <w:rFonts w:eastAsia="MS Mincho"/>
              </w:rPr>
              <w:t xml:space="preserve"> measured for 12 months</w:t>
            </w:r>
            <w:r w:rsidR="00714110">
              <w:rPr>
                <w:rFonts w:eastAsia="MS Mincho"/>
              </w:rPr>
              <w:t>.</w:t>
            </w:r>
          </w:p>
        </w:tc>
      </w:tr>
      <w:tr w:rsidR="00E30B27" w:rsidRPr="00061F78" w14:paraId="4747BE74" w14:textId="77777777" w:rsidTr="00D0517F">
        <w:trPr>
          <w:trHeight w:val="149"/>
        </w:trPr>
        <w:tc>
          <w:tcPr>
            <w:tcW w:w="565" w:type="pct"/>
          </w:tcPr>
          <w:p w14:paraId="1702B3E7" w14:textId="24451C70" w:rsidR="00E30B27" w:rsidRPr="00541274" w:rsidRDefault="00D05A51" w:rsidP="00A71365">
            <w:pPr>
              <w:pStyle w:val="Tablewriting"/>
              <w:rPr>
                <w:rFonts w:eastAsia="MS Mincho"/>
              </w:rPr>
            </w:pPr>
            <w:r w:rsidRPr="00866DE0">
              <w:rPr>
                <w:rFonts w:eastAsia="MS Mincho"/>
              </w:rPr>
              <w:lastRenderedPageBreak/>
              <w:t xml:space="preserve">Hurt </w:t>
            </w:r>
            <w:r w:rsidR="0065538B">
              <w:rPr>
                <w:rFonts w:eastAsia="MS Mincho"/>
              </w:rPr>
              <w:t>(</w:t>
            </w:r>
            <w:r w:rsidRPr="00866DE0">
              <w:rPr>
                <w:rFonts w:eastAsia="MS Mincho"/>
              </w:rPr>
              <w:t>1997</w:t>
            </w:r>
            <w:r w:rsidR="0065538B">
              <w:rPr>
                <w:rFonts w:eastAsia="MS Mincho"/>
              </w:rPr>
              <w:t>)</w:t>
            </w:r>
          </w:p>
        </w:tc>
        <w:tc>
          <w:tcPr>
            <w:tcW w:w="239" w:type="pct"/>
          </w:tcPr>
          <w:p w14:paraId="5DBC5E3D" w14:textId="218EBF3D" w:rsidR="00E30B27" w:rsidRDefault="00342971" w:rsidP="00A71365">
            <w:pPr>
              <w:pStyle w:val="Tablewriting"/>
              <w:rPr>
                <w:rFonts w:eastAsia="MS Mincho"/>
              </w:rPr>
            </w:pPr>
            <w:r>
              <w:rPr>
                <w:rFonts w:eastAsia="MS Mincho"/>
              </w:rPr>
              <w:t>RCT</w:t>
            </w:r>
          </w:p>
        </w:tc>
        <w:tc>
          <w:tcPr>
            <w:tcW w:w="422" w:type="pct"/>
          </w:tcPr>
          <w:p w14:paraId="03AA053B" w14:textId="243DEA5D" w:rsidR="0035253E" w:rsidRPr="00061F78" w:rsidRDefault="00342971" w:rsidP="00A71365">
            <w:pPr>
              <w:pStyle w:val="Tablewriting"/>
              <w:rPr>
                <w:rFonts w:eastAsia="MS Mincho"/>
              </w:rPr>
            </w:pPr>
            <w:r>
              <w:rPr>
                <w:rFonts w:eastAsia="MS Mincho"/>
              </w:rPr>
              <w:t>USA</w:t>
            </w:r>
          </w:p>
        </w:tc>
        <w:tc>
          <w:tcPr>
            <w:tcW w:w="449" w:type="pct"/>
          </w:tcPr>
          <w:p w14:paraId="1E782247" w14:textId="3F0E76EE" w:rsidR="00E30B27" w:rsidRPr="00061F78" w:rsidRDefault="00342971" w:rsidP="00A71365">
            <w:pPr>
              <w:pStyle w:val="Tablewriting"/>
              <w:rPr>
                <w:rFonts w:eastAsia="MS Mincho"/>
              </w:rPr>
            </w:pPr>
            <w:r>
              <w:rPr>
                <w:rFonts w:eastAsia="MS Mincho"/>
              </w:rPr>
              <w:t>N=</w:t>
            </w:r>
            <w:r w:rsidR="00E12C0A">
              <w:rPr>
                <w:rFonts w:eastAsia="MS Mincho"/>
              </w:rPr>
              <w:t>615</w:t>
            </w:r>
          </w:p>
        </w:tc>
        <w:tc>
          <w:tcPr>
            <w:tcW w:w="1271" w:type="pct"/>
          </w:tcPr>
          <w:p w14:paraId="01C7C8A7" w14:textId="2B35C5DB" w:rsidR="00E30B27" w:rsidRPr="00061F78" w:rsidRDefault="00E12C0A" w:rsidP="00A71365">
            <w:pPr>
              <w:pStyle w:val="Tablewriting"/>
              <w:rPr>
                <w:rFonts w:eastAsia="MS Mincho"/>
              </w:rPr>
            </w:pPr>
            <w:r>
              <w:rPr>
                <w:rFonts w:eastAsia="MS Mincho"/>
              </w:rPr>
              <w:t>S</w:t>
            </w:r>
            <w:r w:rsidRPr="00E12C0A">
              <w:rPr>
                <w:rFonts w:eastAsia="MS Mincho"/>
              </w:rPr>
              <w:t>mokers; 55% female</w:t>
            </w:r>
            <w:r w:rsidR="00803D0E">
              <w:rPr>
                <w:rFonts w:eastAsia="MS Mincho"/>
              </w:rPr>
              <w:t>,</w:t>
            </w:r>
            <w:r w:rsidRPr="00E12C0A">
              <w:rPr>
                <w:rFonts w:eastAsia="MS Mincho"/>
              </w:rPr>
              <w:t xml:space="preserve"> average age 44</w:t>
            </w:r>
            <w:r w:rsidR="00803D0E">
              <w:rPr>
                <w:rFonts w:eastAsia="MS Mincho"/>
              </w:rPr>
              <w:t xml:space="preserve"> years,</w:t>
            </w:r>
            <w:r w:rsidRPr="00E12C0A">
              <w:rPr>
                <w:rFonts w:eastAsia="MS Mincho"/>
              </w:rPr>
              <w:t xml:space="preserve"> average cigarettes per day 27</w:t>
            </w:r>
          </w:p>
        </w:tc>
        <w:tc>
          <w:tcPr>
            <w:tcW w:w="1224" w:type="pct"/>
          </w:tcPr>
          <w:p w14:paraId="7257D309" w14:textId="77777777" w:rsidR="00F36C6A" w:rsidRPr="00F36C6A" w:rsidRDefault="00F36C6A" w:rsidP="00C324F3">
            <w:pPr>
              <w:pStyle w:val="Tablewriting"/>
              <w:numPr>
                <w:ilvl w:val="0"/>
                <w:numId w:val="30"/>
              </w:numPr>
              <w:rPr>
                <w:rFonts w:eastAsia="MS Mincho"/>
              </w:rPr>
            </w:pPr>
            <w:r w:rsidRPr="00F36C6A">
              <w:rPr>
                <w:rFonts w:eastAsia="MS Mincho"/>
              </w:rPr>
              <w:t>Bupropion,100 mg/day for 7 weeks</w:t>
            </w:r>
          </w:p>
          <w:p w14:paraId="2E47F59C" w14:textId="640696A8" w:rsidR="00F36C6A" w:rsidRPr="00F36C6A" w:rsidRDefault="00F36C6A" w:rsidP="00C324F3">
            <w:pPr>
              <w:pStyle w:val="Tablewriting"/>
              <w:numPr>
                <w:ilvl w:val="0"/>
                <w:numId w:val="30"/>
              </w:numPr>
              <w:rPr>
                <w:rFonts w:eastAsia="MS Mincho"/>
              </w:rPr>
            </w:pPr>
            <w:r w:rsidRPr="00F36C6A">
              <w:rPr>
                <w:rFonts w:eastAsia="MS Mincho"/>
              </w:rPr>
              <w:t>Bupropion, 150 mg/day</w:t>
            </w:r>
          </w:p>
          <w:p w14:paraId="19A62689" w14:textId="145CF820" w:rsidR="00F36C6A" w:rsidRPr="00F36C6A" w:rsidRDefault="00F36C6A" w:rsidP="00C324F3">
            <w:pPr>
              <w:pStyle w:val="Tablewriting"/>
              <w:numPr>
                <w:ilvl w:val="0"/>
                <w:numId w:val="30"/>
              </w:numPr>
              <w:rPr>
                <w:rFonts w:eastAsia="MS Mincho"/>
              </w:rPr>
            </w:pPr>
            <w:r w:rsidRPr="00F36C6A">
              <w:rPr>
                <w:rFonts w:eastAsia="MS Mincho"/>
              </w:rPr>
              <w:t>Bupropion, 300 mg/day</w:t>
            </w:r>
          </w:p>
          <w:p w14:paraId="1621067A" w14:textId="77989D22" w:rsidR="00F36C6A" w:rsidRPr="00F36C6A" w:rsidRDefault="00F36C6A" w:rsidP="00C324F3">
            <w:pPr>
              <w:pStyle w:val="Tablewriting"/>
              <w:numPr>
                <w:ilvl w:val="0"/>
                <w:numId w:val="30"/>
              </w:numPr>
              <w:rPr>
                <w:rFonts w:eastAsia="MS Mincho"/>
              </w:rPr>
            </w:pPr>
            <w:r w:rsidRPr="00F36C6A">
              <w:rPr>
                <w:rFonts w:eastAsia="MS Mincho"/>
              </w:rPr>
              <w:t>Placebo</w:t>
            </w:r>
          </w:p>
          <w:p w14:paraId="12C3C1DE" w14:textId="77777777" w:rsidR="00F36C6A" w:rsidRDefault="00F36C6A" w:rsidP="00A71365">
            <w:pPr>
              <w:pStyle w:val="Tablewriting"/>
              <w:rPr>
                <w:rFonts w:eastAsia="MS Mincho"/>
              </w:rPr>
            </w:pPr>
          </w:p>
          <w:p w14:paraId="68694D63" w14:textId="541AF730" w:rsidR="00E30B27" w:rsidRPr="00061F78" w:rsidRDefault="00F36C6A" w:rsidP="00A71365">
            <w:pPr>
              <w:pStyle w:val="Tablewriting"/>
              <w:rPr>
                <w:rFonts w:eastAsia="MS Mincho"/>
              </w:rPr>
            </w:pPr>
            <w:r w:rsidRPr="00F36C6A">
              <w:rPr>
                <w:rFonts w:eastAsia="MS Mincho"/>
                <w:u w:val="single"/>
              </w:rPr>
              <w:t>Common components</w:t>
            </w:r>
            <w:r w:rsidRPr="00F36C6A">
              <w:rPr>
                <w:rFonts w:eastAsia="MS Mincho"/>
              </w:rPr>
              <w:t>:</w:t>
            </w:r>
            <w:r>
              <w:rPr>
                <w:rFonts w:eastAsia="MS Mincho"/>
              </w:rPr>
              <w:t xml:space="preserve"> </w:t>
            </w:r>
            <w:r w:rsidRPr="00F36C6A">
              <w:rPr>
                <w:rFonts w:eastAsia="MS Mincho"/>
              </w:rPr>
              <w:t>physician advice, S-H materials, and brief individual counselling by study assistant</w:t>
            </w:r>
            <w:r>
              <w:rPr>
                <w:rFonts w:eastAsia="MS Mincho"/>
              </w:rPr>
              <w:t xml:space="preserve"> </w:t>
            </w:r>
            <w:r w:rsidRPr="00F36C6A">
              <w:rPr>
                <w:rFonts w:eastAsia="MS Mincho"/>
              </w:rPr>
              <w:t>at each visit</w:t>
            </w:r>
            <w:r w:rsidR="00714110">
              <w:rPr>
                <w:rFonts w:eastAsia="MS Mincho"/>
              </w:rPr>
              <w:t>.</w:t>
            </w:r>
          </w:p>
        </w:tc>
        <w:tc>
          <w:tcPr>
            <w:tcW w:w="832" w:type="pct"/>
          </w:tcPr>
          <w:p w14:paraId="591A98F4" w14:textId="4ED87D07" w:rsidR="0004753B" w:rsidRPr="0004753B" w:rsidRDefault="0004753B" w:rsidP="00A71365">
            <w:pPr>
              <w:pStyle w:val="Tablewriting"/>
              <w:rPr>
                <w:rFonts w:eastAsia="MS Mincho"/>
              </w:rPr>
            </w:pPr>
            <w:r w:rsidRPr="0004753B">
              <w:rPr>
                <w:rFonts w:eastAsia="MS Mincho"/>
                <w:u w:val="single"/>
              </w:rPr>
              <w:t>Efficacy:</w:t>
            </w:r>
            <w:r w:rsidRPr="0004753B">
              <w:rPr>
                <w:rFonts w:eastAsia="MS Mincho"/>
              </w:rPr>
              <w:t xml:space="preserve"> prolonged abstinence at 12 months (starting from day 22). Validated by CO </w:t>
            </w:r>
            <w:r w:rsidR="005B1423" w:rsidRPr="00D96BA4">
              <w:rPr>
                <w:rFonts w:eastAsia="MS Mincho"/>
              </w:rPr>
              <w:t>≤</w:t>
            </w:r>
            <w:r w:rsidRPr="0004753B">
              <w:rPr>
                <w:rFonts w:eastAsia="MS Mincho"/>
              </w:rPr>
              <w:t xml:space="preserve"> 10</w:t>
            </w:r>
            <w:r>
              <w:rPr>
                <w:rFonts w:eastAsia="MS Mincho"/>
              </w:rPr>
              <w:t xml:space="preserve"> </w:t>
            </w:r>
            <w:r w:rsidRPr="0004753B">
              <w:rPr>
                <w:rFonts w:eastAsia="MS Mincho"/>
              </w:rPr>
              <w:t>ppm</w:t>
            </w:r>
          </w:p>
          <w:p w14:paraId="2ACABAF1" w14:textId="44679063" w:rsidR="00E30B27" w:rsidRPr="00061F78" w:rsidRDefault="0004753B" w:rsidP="00A71365">
            <w:pPr>
              <w:pStyle w:val="Tablewriting"/>
              <w:rPr>
                <w:rFonts w:eastAsia="MS Mincho"/>
              </w:rPr>
            </w:pPr>
            <w:r w:rsidRPr="0004753B">
              <w:rPr>
                <w:rFonts w:eastAsia="MS Mincho"/>
                <w:u w:val="single"/>
              </w:rPr>
              <w:t>Safety</w:t>
            </w:r>
            <w:r w:rsidRPr="0004753B">
              <w:rPr>
                <w:rFonts w:eastAsia="MS Mincho"/>
              </w:rPr>
              <w:t>: measured for 52 weeks</w:t>
            </w:r>
            <w:r w:rsidR="00714110">
              <w:rPr>
                <w:rFonts w:eastAsia="MS Mincho"/>
              </w:rPr>
              <w:t>.</w:t>
            </w:r>
          </w:p>
        </w:tc>
      </w:tr>
      <w:tr w:rsidR="00E30B27" w:rsidRPr="00061F78" w14:paraId="536E6AC4" w14:textId="77777777" w:rsidTr="00D0517F">
        <w:trPr>
          <w:trHeight w:val="149"/>
        </w:trPr>
        <w:tc>
          <w:tcPr>
            <w:tcW w:w="565" w:type="pct"/>
          </w:tcPr>
          <w:p w14:paraId="26624521" w14:textId="3B030F34" w:rsidR="00E30B27" w:rsidRPr="00541274" w:rsidRDefault="00D05A51" w:rsidP="00A71365">
            <w:pPr>
              <w:pStyle w:val="Tablewriting"/>
              <w:rPr>
                <w:rFonts w:eastAsia="MS Mincho"/>
              </w:rPr>
            </w:pPr>
            <w:r w:rsidRPr="00866DE0">
              <w:rPr>
                <w:rFonts w:eastAsia="MS Mincho"/>
              </w:rPr>
              <w:t xml:space="preserve">Jorenby </w:t>
            </w:r>
            <w:r w:rsidR="0065538B">
              <w:rPr>
                <w:rFonts w:eastAsia="MS Mincho"/>
              </w:rPr>
              <w:t>(</w:t>
            </w:r>
            <w:r w:rsidRPr="00866DE0">
              <w:rPr>
                <w:rFonts w:eastAsia="MS Mincho"/>
              </w:rPr>
              <w:t>1999</w:t>
            </w:r>
            <w:r w:rsidR="0065538B">
              <w:rPr>
                <w:rFonts w:eastAsia="MS Mincho"/>
              </w:rPr>
              <w:t>)</w:t>
            </w:r>
          </w:p>
        </w:tc>
        <w:tc>
          <w:tcPr>
            <w:tcW w:w="239" w:type="pct"/>
          </w:tcPr>
          <w:p w14:paraId="2302C66D" w14:textId="4461BFB7" w:rsidR="00E30B27" w:rsidRDefault="009A2AB8" w:rsidP="00A71365">
            <w:pPr>
              <w:pStyle w:val="Tablewriting"/>
              <w:rPr>
                <w:rFonts w:eastAsia="MS Mincho"/>
              </w:rPr>
            </w:pPr>
            <w:r>
              <w:rPr>
                <w:rFonts w:eastAsia="MS Mincho"/>
              </w:rPr>
              <w:t>RCT</w:t>
            </w:r>
          </w:p>
        </w:tc>
        <w:tc>
          <w:tcPr>
            <w:tcW w:w="422" w:type="pct"/>
          </w:tcPr>
          <w:p w14:paraId="188B1DCA" w14:textId="50B80241" w:rsidR="0035253E" w:rsidRPr="00061F78" w:rsidRDefault="009A2AB8" w:rsidP="00A71365">
            <w:pPr>
              <w:pStyle w:val="Tablewriting"/>
              <w:rPr>
                <w:rFonts w:eastAsia="MS Mincho"/>
              </w:rPr>
            </w:pPr>
            <w:r>
              <w:rPr>
                <w:rFonts w:eastAsia="MS Mincho"/>
              </w:rPr>
              <w:t>USA</w:t>
            </w:r>
          </w:p>
        </w:tc>
        <w:tc>
          <w:tcPr>
            <w:tcW w:w="449" w:type="pct"/>
          </w:tcPr>
          <w:p w14:paraId="3C83095B" w14:textId="37E1D3A4" w:rsidR="00E30B27" w:rsidRPr="00061F78" w:rsidRDefault="0014446B" w:rsidP="00A71365">
            <w:pPr>
              <w:pStyle w:val="Tablewriting"/>
              <w:rPr>
                <w:rFonts w:eastAsia="MS Mincho"/>
              </w:rPr>
            </w:pPr>
            <w:r>
              <w:rPr>
                <w:rFonts w:eastAsia="MS Mincho"/>
              </w:rPr>
              <w:t>N=</w:t>
            </w:r>
            <w:r w:rsidR="008B7B32">
              <w:rPr>
                <w:rFonts w:eastAsia="MS Mincho"/>
              </w:rPr>
              <w:t>893</w:t>
            </w:r>
          </w:p>
        </w:tc>
        <w:tc>
          <w:tcPr>
            <w:tcW w:w="1271" w:type="pct"/>
          </w:tcPr>
          <w:p w14:paraId="0A0AC606" w14:textId="324495CF" w:rsidR="00E30B27" w:rsidRPr="00061F78" w:rsidRDefault="0014446B" w:rsidP="00A71365">
            <w:pPr>
              <w:pStyle w:val="Tablewriting"/>
              <w:rPr>
                <w:rFonts w:eastAsia="MS Mincho"/>
              </w:rPr>
            </w:pPr>
            <w:r>
              <w:rPr>
                <w:rFonts w:eastAsia="MS Mincho"/>
              </w:rPr>
              <w:t>S</w:t>
            </w:r>
            <w:r w:rsidRPr="0014446B">
              <w:rPr>
                <w:rFonts w:eastAsia="MS Mincho"/>
              </w:rPr>
              <w:t>mokers</w:t>
            </w:r>
            <w:r w:rsidR="00E26655">
              <w:rPr>
                <w:rFonts w:eastAsia="MS Mincho"/>
              </w:rPr>
              <w:t>,</w:t>
            </w:r>
            <w:r w:rsidRPr="0014446B">
              <w:rPr>
                <w:rFonts w:eastAsia="MS Mincho"/>
              </w:rPr>
              <w:t xml:space="preserve"> 52% female</w:t>
            </w:r>
            <w:r w:rsidR="00E26655">
              <w:rPr>
                <w:rFonts w:eastAsia="MS Mincho"/>
              </w:rPr>
              <w:t>,</w:t>
            </w:r>
            <w:r w:rsidRPr="0014446B">
              <w:rPr>
                <w:rFonts w:eastAsia="MS Mincho"/>
              </w:rPr>
              <w:t xml:space="preserve"> average age 43</w:t>
            </w:r>
            <w:r w:rsidR="00E26655">
              <w:rPr>
                <w:rFonts w:eastAsia="MS Mincho"/>
              </w:rPr>
              <w:t xml:space="preserve"> years,</w:t>
            </w:r>
            <w:r w:rsidRPr="0014446B">
              <w:rPr>
                <w:rFonts w:eastAsia="MS Mincho"/>
              </w:rPr>
              <w:t xml:space="preserve"> average cigarettes per day 25</w:t>
            </w:r>
          </w:p>
        </w:tc>
        <w:tc>
          <w:tcPr>
            <w:tcW w:w="1224" w:type="pct"/>
          </w:tcPr>
          <w:p w14:paraId="61AA05FA" w14:textId="77777777" w:rsidR="00A842BF" w:rsidRDefault="00A842BF" w:rsidP="00C324F3">
            <w:pPr>
              <w:pStyle w:val="Tablewriting"/>
              <w:numPr>
                <w:ilvl w:val="0"/>
                <w:numId w:val="31"/>
              </w:numPr>
              <w:rPr>
                <w:rFonts w:eastAsia="MS Mincho"/>
              </w:rPr>
            </w:pPr>
            <w:r w:rsidRPr="00A842BF">
              <w:rPr>
                <w:rFonts w:eastAsia="MS Mincho"/>
              </w:rPr>
              <w:t>Nicotine patch and bupropion SR. Nicotine patch dosing and schedule 24 hr, 21 mg for 6 weeks, tapered</w:t>
            </w:r>
            <w:r>
              <w:rPr>
                <w:rFonts w:eastAsia="MS Mincho"/>
              </w:rPr>
              <w:t xml:space="preserve"> </w:t>
            </w:r>
            <w:r w:rsidRPr="00A842BF">
              <w:rPr>
                <w:rFonts w:eastAsia="MS Mincho"/>
              </w:rPr>
              <w:t>for 2 weeks. Bupropion dosing and schedule was 300 mg for 9 weeks from 1 week before quit day</w:t>
            </w:r>
          </w:p>
          <w:p w14:paraId="2367C54A" w14:textId="77777777" w:rsidR="00A842BF" w:rsidRDefault="00A842BF" w:rsidP="00C324F3">
            <w:pPr>
              <w:pStyle w:val="Tablewriting"/>
              <w:numPr>
                <w:ilvl w:val="0"/>
                <w:numId w:val="31"/>
              </w:numPr>
              <w:rPr>
                <w:rFonts w:eastAsia="MS Mincho"/>
              </w:rPr>
            </w:pPr>
            <w:r w:rsidRPr="00A842BF">
              <w:rPr>
                <w:rFonts w:eastAsia="MS Mincho"/>
              </w:rPr>
              <w:t>Bupropion and placebo patch</w:t>
            </w:r>
          </w:p>
          <w:p w14:paraId="5583EBCA" w14:textId="77777777" w:rsidR="00A842BF" w:rsidRDefault="00A842BF" w:rsidP="00C324F3">
            <w:pPr>
              <w:pStyle w:val="Tablewriting"/>
              <w:numPr>
                <w:ilvl w:val="0"/>
                <w:numId w:val="31"/>
              </w:numPr>
              <w:rPr>
                <w:rFonts w:eastAsia="MS Mincho"/>
              </w:rPr>
            </w:pPr>
            <w:r w:rsidRPr="00A842BF">
              <w:rPr>
                <w:rFonts w:eastAsia="MS Mincho"/>
              </w:rPr>
              <w:t>Nicotine patch and placebo tablets</w:t>
            </w:r>
          </w:p>
          <w:p w14:paraId="53FC6F07" w14:textId="54E44DA7" w:rsidR="00A842BF" w:rsidRPr="00A842BF" w:rsidRDefault="00A842BF" w:rsidP="00C324F3">
            <w:pPr>
              <w:pStyle w:val="Tablewriting"/>
              <w:numPr>
                <w:ilvl w:val="0"/>
                <w:numId w:val="31"/>
              </w:numPr>
              <w:rPr>
                <w:rFonts w:eastAsia="MS Mincho"/>
              </w:rPr>
            </w:pPr>
            <w:r w:rsidRPr="00A842BF">
              <w:rPr>
                <w:rFonts w:eastAsia="MS Mincho"/>
              </w:rPr>
              <w:t>Placebo patch and placebo tablets</w:t>
            </w:r>
          </w:p>
          <w:p w14:paraId="3F0A3B44" w14:textId="77777777" w:rsidR="00A842BF" w:rsidRDefault="00A842BF" w:rsidP="00A71365">
            <w:pPr>
              <w:pStyle w:val="Tablewriting"/>
              <w:rPr>
                <w:rFonts w:eastAsia="MS Mincho"/>
              </w:rPr>
            </w:pPr>
          </w:p>
          <w:p w14:paraId="5A5B7F1D" w14:textId="0EBE0BC8" w:rsidR="00E30B27" w:rsidRPr="00061F78" w:rsidRDefault="00A842BF" w:rsidP="00A71365">
            <w:pPr>
              <w:pStyle w:val="Tablewriting"/>
              <w:rPr>
                <w:rFonts w:eastAsia="MS Mincho"/>
              </w:rPr>
            </w:pPr>
            <w:r w:rsidRPr="00A842BF">
              <w:rPr>
                <w:rFonts w:eastAsia="MS Mincho"/>
                <w:u w:val="single"/>
              </w:rPr>
              <w:t>Common components:</w:t>
            </w:r>
            <w:r w:rsidRPr="00A842BF">
              <w:rPr>
                <w:rFonts w:eastAsia="MS Mincho"/>
              </w:rPr>
              <w:t xml:space="preserve"> brief (&lt; 15 min) individual counselling session at each weekly assessment. One</w:t>
            </w:r>
            <w:r>
              <w:rPr>
                <w:rFonts w:eastAsia="MS Mincho"/>
              </w:rPr>
              <w:t xml:space="preserve"> </w:t>
            </w:r>
            <w:r w:rsidRPr="00A842BF">
              <w:rPr>
                <w:rFonts w:eastAsia="MS Mincho"/>
              </w:rPr>
              <w:t>telephone call 3 days after quit day</w:t>
            </w:r>
          </w:p>
        </w:tc>
        <w:tc>
          <w:tcPr>
            <w:tcW w:w="832" w:type="pct"/>
          </w:tcPr>
          <w:p w14:paraId="5132E10F" w14:textId="325E6343" w:rsidR="00F93E6F" w:rsidRPr="00F93E6F" w:rsidRDefault="00F93E6F" w:rsidP="00A71365">
            <w:pPr>
              <w:pStyle w:val="Tablewriting"/>
              <w:rPr>
                <w:rFonts w:eastAsia="MS Mincho"/>
              </w:rPr>
            </w:pPr>
            <w:r w:rsidRPr="00F93E6F">
              <w:rPr>
                <w:rFonts w:eastAsia="MS Mincho"/>
                <w:u w:val="single"/>
              </w:rPr>
              <w:t>Efficacy:</w:t>
            </w:r>
            <w:r w:rsidRPr="00F93E6F">
              <w:rPr>
                <w:rFonts w:eastAsia="MS Mincho"/>
              </w:rPr>
              <w:t xml:space="preserve"> continuous </w:t>
            </w:r>
            <w:r w:rsidR="00934C77">
              <w:rPr>
                <w:rFonts w:eastAsia="MS Mincho"/>
              </w:rPr>
              <w:t>PPA</w:t>
            </w:r>
            <w:r w:rsidRPr="00F93E6F">
              <w:rPr>
                <w:rFonts w:eastAsia="MS Mincho"/>
              </w:rPr>
              <w:t xml:space="preserve"> at 12 months. Validated by CO &lt; 10 ppm at each clinic visit</w:t>
            </w:r>
          </w:p>
          <w:p w14:paraId="03285873" w14:textId="34D914E8" w:rsidR="00E30B27" w:rsidRPr="00061F78" w:rsidRDefault="00F93E6F" w:rsidP="00A71365">
            <w:pPr>
              <w:pStyle w:val="Tablewriting"/>
              <w:rPr>
                <w:rFonts w:eastAsia="MS Mincho"/>
              </w:rPr>
            </w:pPr>
            <w:r w:rsidRPr="00F93E6F">
              <w:rPr>
                <w:rFonts w:eastAsia="MS Mincho"/>
                <w:u w:val="single"/>
              </w:rPr>
              <w:t>Safety:</w:t>
            </w:r>
            <w:r w:rsidRPr="00F93E6F">
              <w:rPr>
                <w:rFonts w:eastAsia="MS Mincho"/>
              </w:rPr>
              <w:t xml:space="preserve"> measured for unspecified period</w:t>
            </w:r>
            <w:r w:rsidR="00714110">
              <w:rPr>
                <w:rFonts w:eastAsia="MS Mincho"/>
              </w:rPr>
              <w:t>.</w:t>
            </w:r>
          </w:p>
        </w:tc>
      </w:tr>
      <w:tr w:rsidR="00E30B27" w:rsidRPr="00061F78" w14:paraId="0D3E1002" w14:textId="77777777" w:rsidTr="00D0517F">
        <w:trPr>
          <w:trHeight w:val="149"/>
        </w:trPr>
        <w:tc>
          <w:tcPr>
            <w:tcW w:w="565" w:type="pct"/>
          </w:tcPr>
          <w:p w14:paraId="4E02D5CA" w14:textId="4A23F67C" w:rsidR="00E30B27" w:rsidRPr="00541274" w:rsidRDefault="003A2018" w:rsidP="00A71365">
            <w:pPr>
              <w:pStyle w:val="Tablewriting"/>
              <w:rPr>
                <w:rFonts w:eastAsia="MS Mincho"/>
              </w:rPr>
            </w:pPr>
            <w:r w:rsidRPr="00866DE0">
              <w:rPr>
                <w:rFonts w:eastAsia="MS Mincho"/>
              </w:rPr>
              <w:lastRenderedPageBreak/>
              <w:t xml:space="preserve">Jorenby </w:t>
            </w:r>
            <w:r w:rsidR="0065538B">
              <w:rPr>
                <w:rFonts w:eastAsia="MS Mincho"/>
              </w:rPr>
              <w:t>(</w:t>
            </w:r>
            <w:r w:rsidRPr="00866DE0">
              <w:rPr>
                <w:rFonts w:eastAsia="MS Mincho"/>
              </w:rPr>
              <w:t>2006</w:t>
            </w:r>
            <w:r w:rsidR="0065538B">
              <w:rPr>
                <w:rFonts w:eastAsia="MS Mincho"/>
              </w:rPr>
              <w:t>)</w:t>
            </w:r>
          </w:p>
        </w:tc>
        <w:tc>
          <w:tcPr>
            <w:tcW w:w="239" w:type="pct"/>
          </w:tcPr>
          <w:p w14:paraId="5DD0987F" w14:textId="27D4E7B7" w:rsidR="00E30B27" w:rsidRDefault="009A2AB8" w:rsidP="00A71365">
            <w:pPr>
              <w:pStyle w:val="Tablewriting"/>
              <w:rPr>
                <w:rFonts w:eastAsia="MS Mincho"/>
              </w:rPr>
            </w:pPr>
            <w:r>
              <w:rPr>
                <w:rFonts w:eastAsia="MS Mincho"/>
              </w:rPr>
              <w:t>RCT</w:t>
            </w:r>
          </w:p>
        </w:tc>
        <w:tc>
          <w:tcPr>
            <w:tcW w:w="422" w:type="pct"/>
          </w:tcPr>
          <w:p w14:paraId="6D4CFAE8" w14:textId="027FA86D" w:rsidR="0035253E" w:rsidRPr="00061F78" w:rsidRDefault="009A2AB8" w:rsidP="00A71365">
            <w:pPr>
              <w:pStyle w:val="Tablewriting"/>
              <w:rPr>
                <w:rFonts w:eastAsia="MS Mincho"/>
              </w:rPr>
            </w:pPr>
            <w:r>
              <w:rPr>
                <w:rFonts w:eastAsia="MS Mincho"/>
              </w:rPr>
              <w:t>USA</w:t>
            </w:r>
          </w:p>
        </w:tc>
        <w:tc>
          <w:tcPr>
            <w:tcW w:w="449" w:type="pct"/>
          </w:tcPr>
          <w:p w14:paraId="2677327B" w14:textId="18C5DA2D" w:rsidR="00E30B27" w:rsidRPr="00061F78" w:rsidRDefault="009A2AB8" w:rsidP="00A71365">
            <w:pPr>
              <w:pStyle w:val="Tablewriting"/>
              <w:rPr>
                <w:rFonts w:eastAsia="MS Mincho"/>
              </w:rPr>
            </w:pPr>
            <w:r>
              <w:rPr>
                <w:rFonts w:eastAsia="MS Mincho"/>
              </w:rPr>
              <w:t>N=</w:t>
            </w:r>
            <w:r w:rsidR="00FC26BE">
              <w:rPr>
                <w:rFonts w:eastAsia="MS Mincho"/>
              </w:rPr>
              <w:t>683</w:t>
            </w:r>
          </w:p>
        </w:tc>
        <w:tc>
          <w:tcPr>
            <w:tcW w:w="1271" w:type="pct"/>
          </w:tcPr>
          <w:p w14:paraId="2726DEA3" w14:textId="3BC2696B" w:rsidR="00FC26BE" w:rsidRPr="00FC26BE" w:rsidRDefault="00FC26BE" w:rsidP="00A71365">
            <w:pPr>
              <w:pStyle w:val="Tablewriting"/>
              <w:rPr>
                <w:rFonts w:eastAsia="MS Mincho"/>
              </w:rPr>
            </w:pPr>
            <w:r>
              <w:rPr>
                <w:rFonts w:eastAsia="MS Mincho"/>
              </w:rPr>
              <w:t>S</w:t>
            </w:r>
            <w:r w:rsidRPr="00FC26BE">
              <w:rPr>
                <w:rFonts w:eastAsia="MS Mincho"/>
              </w:rPr>
              <w:t>mokers (in relevant arms), with prior exposure to bupropion excluded</w:t>
            </w:r>
            <w:r w:rsidR="001B5337">
              <w:rPr>
                <w:rFonts w:eastAsia="MS Mincho"/>
              </w:rPr>
              <w:t>,</w:t>
            </w:r>
            <w:r w:rsidRPr="00FC26BE">
              <w:rPr>
                <w:rFonts w:eastAsia="MS Mincho"/>
              </w:rPr>
              <w:t xml:space="preserve"> 41% female</w:t>
            </w:r>
            <w:r w:rsidR="001B5337">
              <w:rPr>
                <w:rFonts w:eastAsia="MS Mincho"/>
              </w:rPr>
              <w:t>,</w:t>
            </w:r>
            <w:r w:rsidRPr="00FC26BE">
              <w:rPr>
                <w:rFonts w:eastAsia="MS Mincho"/>
              </w:rPr>
              <w:t xml:space="preserve"> average age</w:t>
            </w:r>
          </w:p>
          <w:p w14:paraId="45D85334" w14:textId="0678B885" w:rsidR="00E30B27" w:rsidRPr="00061F78" w:rsidRDefault="00FC26BE" w:rsidP="00A71365">
            <w:pPr>
              <w:pStyle w:val="Tablewriting"/>
              <w:rPr>
                <w:rFonts w:eastAsia="MS Mincho"/>
              </w:rPr>
            </w:pPr>
            <w:r w:rsidRPr="00FC26BE">
              <w:rPr>
                <w:rFonts w:eastAsia="MS Mincho"/>
              </w:rPr>
              <w:t>42</w:t>
            </w:r>
            <w:r w:rsidR="001B5337">
              <w:rPr>
                <w:rFonts w:eastAsia="MS Mincho"/>
              </w:rPr>
              <w:t>,</w:t>
            </w:r>
            <w:r w:rsidRPr="00FC26BE">
              <w:rPr>
                <w:rFonts w:eastAsia="MS Mincho"/>
              </w:rPr>
              <w:t xml:space="preserve"> average cigarettes per day 22</w:t>
            </w:r>
          </w:p>
        </w:tc>
        <w:tc>
          <w:tcPr>
            <w:tcW w:w="1224" w:type="pct"/>
          </w:tcPr>
          <w:p w14:paraId="5CF0B13F" w14:textId="77777777" w:rsidR="003078C0" w:rsidRDefault="003078C0" w:rsidP="00C324F3">
            <w:pPr>
              <w:pStyle w:val="Tablewriting"/>
              <w:numPr>
                <w:ilvl w:val="0"/>
                <w:numId w:val="32"/>
              </w:numPr>
              <w:rPr>
                <w:rFonts w:eastAsia="MS Mincho"/>
              </w:rPr>
            </w:pPr>
            <w:r w:rsidRPr="003078C0">
              <w:rPr>
                <w:rFonts w:eastAsia="MS Mincho"/>
              </w:rPr>
              <w:t>Bupropion 300 mg for 12 weeks + placebo varenicline</w:t>
            </w:r>
          </w:p>
          <w:p w14:paraId="5F2CA4B5" w14:textId="77777777" w:rsidR="003078C0" w:rsidRDefault="003078C0" w:rsidP="00C324F3">
            <w:pPr>
              <w:pStyle w:val="Tablewriting"/>
              <w:numPr>
                <w:ilvl w:val="0"/>
                <w:numId w:val="32"/>
              </w:numPr>
              <w:rPr>
                <w:rFonts w:eastAsia="MS Mincho"/>
              </w:rPr>
            </w:pPr>
            <w:r w:rsidRPr="003078C0">
              <w:rPr>
                <w:rFonts w:eastAsia="MS Mincho"/>
              </w:rPr>
              <w:t>Varenicline 2 mg for 12 weeks + placebo bupropion</w:t>
            </w:r>
          </w:p>
          <w:p w14:paraId="7672EA5A" w14:textId="7AAD2335" w:rsidR="003078C0" w:rsidRPr="003078C0" w:rsidRDefault="003078C0" w:rsidP="00C324F3">
            <w:pPr>
              <w:pStyle w:val="Tablewriting"/>
              <w:numPr>
                <w:ilvl w:val="0"/>
                <w:numId w:val="32"/>
              </w:numPr>
              <w:rPr>
                <w:rFonts w:eastAsia="MS Mincho"/>
              </w:rPr>
            </w:pPr>
            <w:r w:rsidRPr="003078C0">
              <w:rPr>
                <w:rFonts w:eastAsia="MS Mincho"/>
              </w:rPr>
              <w:t>Placebo bupropion and placebo varenicline</w:t>
            </w:r>
          </w:p>
          <w:p w14:paraId="76D06312" w14:textId="77777777" w:rsidR="003078C0" w:rsidRDefault="003078C0" w:rsidP="00A71365">
            <w:pPr>
              <w:pStyle w:val="Tablewriting"/>
              <w:rPr>
                <w:rFonts w:eastAsia="MS Mincho"/>
              </w:rPr>
            </w:pPr>
          </w:p>
          <w:p w14:paraId="16FCC66A" w14:textId="063FB6A4" w:rsidR="00E30B27" w:rsidRPr="00061F78" w:rsidRDefault="003078C0" w:rsidP="00A71365">
            <w:pPr>
              <w:pStyle w:val="Tablewriting"/>
              <w:rPr>
                <w:rFonts w:eastAsia="MS Mincho"/>
              </w:rPr>
            </w:pPr>
            <w:r w:rsidRPr="003078C0">
              <w:rPr>
                <w:rFonts w:eastAsia="MS Mincho"/>
                <w:u w:val="single"/>
              </w:rPr>
              <w:t>Common components:</w:t>
            </w:r>
            <w:r w:rsidRPr="003078C0">
              <w:rPr>
                <w:rFonts w:eastAsia="MS Mincho"/>
              </w:rPr>
              <w:t xml:space="preserve"> brief (&lt; 10 min) individual counselling at each weekly assessment for 12 weeks</w:t>
            </w:r>
            <w:r>
              <w:rPr>
                <w:rFonts w:eastAsia="MS Mincho"/>
              </w:rPr>
              <w:t xml:space="preserve"> </w:t>
            </w:r>
            <w:r w:rsidRPr="003078C0">
              <w:rPr>
                <w:rFonts w:eastAsia="MS Mincho"/>
              </w:rPr>
              <w:t>and 5 follow-up visits. One telephone call 3 days after quit day</w:t>
            </w:r>
            <w:r w:rsidR="00714110">
              <w:rPr>
                <w:rFonts w:eastAsia="MS Mincho"/>
              </w:rPr>
              <w:t>.</w:t>
            </w:r>
          </w:p>
        </w:tc>
        <w:tc>
          <w:tcPr>
            <w:tcW w:w="832" w:type="pct"/>
          </w:tcPr>
          <w:p w14:paraId="616705FE" w14:textId="13D1B254" w:rsidR="00871B41" w:rsidRPr="00871B41" w:rsidRDefault="00871B41" w:rsidP="00A71365">
            <w:pPr>
              <w:pStyle w:val="Tablewriting"/>
              <w:rPr>
                <w:rFonts w:eastAsia="MS Mincho"/>
              </w:rPr>
            </w:pPr>
            <w:r w:rsidRPr="00871B41">
              <w:rPr>
                <w:rFonts w:eastAsia="MS Mincho"/>
                <w:u w:val="single"/>
              </w:rPr>
              <w:t xml:space="preserve">Efficacy: </w:t>
            </w:r>
            <w:r w:rsidRPr="00871B41">
              <w:rPr>
                <w:rFonts w:eastAsia="MS Mincho"/>
              </w:rPr>
              <w:t xml:space="preserve">sustained abstinence at 12 </w:t>
            </w:r>
            <w:r w:rsidR="000A7478" w:rsidRPr="00871B41">
              <w:rPr>
                <w:rFonts w:eastAsia="MS Mincho"/>
              </w:rPr>
              <w:t>months</w:t>
            </w:r>
            <w:r w:rsidRPr="00871B41">
              <w:rPr>
                <w:rFonts w:eastAsia="MS Mincho"/>
              </w:rPr>
              <w:t>, from week 9. Validated by CO &lt; 10 ppm at each</w:t>
            </w:r>
          </w:p>
          <w:p w14:paraId="3E75229C" w14:textId="77777777" w:rsidR="0035253E" w:rsidRDefault="00871B41" w:rsidP="00A71365">
            <w:pPr>
              <w:pStyle w:val="Tablewriting"/>
              <w:rPr>
                <w:rFonts w:eastAsia="MS Mincho"/>
              </w:rPr>
            </w:pPr>
            <w:r w:rsidRPr="00871B41">
              <w:rPr>
                <w:rFonts w:eastAsia="MS Mincho"/>
              </w:rPr>
              <w:t>clinic visit</w:t>
            </w:r>
          </w:p>
          <w:p w14:paraId="7A547FC9" w14:textId="5C716BC1" w:rsidR="00E30B27" w:rsidRPr="00061F78" w:rsidRDefault="00871B41" w:rsidP="00A71365">
            <w:pPr>
              <w:pStyle w:val="Tablewriting"/>
              <w:rPr>
                <w:rFonts w:eastAsia="MS Mincho"/>
              </w:rPr>
            </w:pPr>
            <w:r w:rsidRPr="00871B41">
              <w:rPr>
                <w:rFonts w:eastAsia="MS Mincho"/>
                <w:u w:val="single"/>
              </w:rPr>
              <w:t>Safety:</w:t>
            </w:r>
            <w:r>
              <w:rPr>
                <w:rFonts w:eastAsia="MS Mincho"/>
              </w:rPr>
              <w:t xml:space="preserve"> N/A</w:t>
            </w:r>
            <w:r w:rsidR="00714110">
              <w:rPr>
                <w:rFonts w:eastAsia="MS Mincho"/>
              </w:rPr>
              <w:t>.</w:t>
            </w:r>
          </w:p>
        </w:tc>
      </w:tr>
      <w:tr w:rsidR="00E30B27" w:rsidRPr="00061F78" w14:paraId="61B6D451" w14:textId="77777777" w:rsidTr="00D0517F">
        <w:trPr>
          <w:trHeight w:val="149"/>
        </w:trPr>
        <w:tc>
          <w:tcPr>
            <w:tcW w:w="565" w:type="pct"/>
          </w:tcPr>
          <w:p w14:paraId="20F8E3E9" w14:textId="6DFE642B" w:rsidR="00E30B27" w:rsidRPr="00541274" w:rsidRDefault="003A2018" w:rsidP="00A71365">
            <w:pPr>
              <w:pStyle w:val="Tablewriting"/>
              <w:rPr>
                <w:rFonts w:eastAsia="MS Mincho"/>
              </w:rPr>
            </w:pPr>
            <w:r w:rsidRPr="00866DE0">
              <w:rPr>
                <w:rFonts w:eastAsia="MS Mincho"/>
              </w:rPr>
              <w:t xml:space="preserve">Levine </w:t>
            </w:r>
            <w:r w:rsidR="0065538B">
              <w:rPr>
                <w:rFonts w:eastAsia="MS Mincho"/>
              </w:rPr>
              <w:t>(</w:t>
            </w:r>
            <w:r w:rsidRPr="00866DE0">
              <w:rPr>
                <w:rFonts w:eastAsia="MS Mincho"/>
              </w:rPr>
              <w:t>2010</w:t>
            </w:r>
            <w:r w:rsidR="0065538B">
              <w:rPr>
                <w:rFonts w:eastAsia="MS Mincho"/>
              </w:rPr>
              <w:t>)</w:t>
            </w:r>
          </w:p>
        </w:tc>
        <w:tc>
          <w:tcPr>
            <w:tcW w:w="239" w:type="pct"/>
          </w:tcPr>
          <w:p w14:paraId="074C2A8E" w14:textId="500BCFD1" w:rsidR="00E30B27" w:rsidRDefault="00270AF3" w:rsidP="00A71365">
            <w:pPr>
              <w:pStyle w:val="Tablewriting"/>
              <w:rPr>
                <w:rFonts w:eastAsia="MS Mincho"/>
              </w:rPr>
            </w:pPr>
            <w:r>
              <w:rPr>
                <w:rFonts w:eastAsia="MS Mincho"/>
              </w:rPr>
              <w:t>RCT</w:t>
            </w:r>
          </w:p>
        </w:tc>
        <w:tc>
          <w:tcPr>
            <w:tcW w:w="422" w:type="pct"/>
          </w:tcPr>
          <w:p w14:paraId="17D9A3B2" w14:textId="0C81631B" w:rsidR="0035253E" w:rsidRPr="00061F78" w:rsidRDefault="00270AF3" w:rsidP="00A71365">
            <w:pPr>
              <w:pStyle w:val="Tablewriting"/>
              <w:rPr>
                <w:rFonts w:eastAsia="MS Mincho"/>
              </w:rPr>
            </w:pPr>
            <w:r>
              <w:rPr>
                <w:rFonts w:eastAsia="MS Mincho"/>
              </w:rPr>
              <w:t>USA</w:t>
            </w:r>
          </w:p>
        </w:tc>
        <w:tc>
          <w:tcPr>
            <w:tcW w:w="449" w:type="pct"/>
          </w:tcPr>
          <w:p w14:paraId="100932F3" w14:textId="74B972D5" w:rsidR="00E30B27" w:rsidRPr="00061F78" w:rsidRDefault="00270AF3" w:rsidP="00A71365">
            <w:pPr>
              <w:pStyle w:val="Tablewriting"/>
              <w:rPr>
                <w:rFonts w:eastAsia="MS Mincho"/>
              </w:rPr>
            </w:pPr>
            <w:r>
              <w:rPr>
                <w:rFonts w:eastAsia="MS Mincho"/>
              </w:rPr>
              <w:t>N=349</w:t>
            </w:r>
          </w:p>
        </w:tc>
        <w:tc>
          <w:tcPr>
            <w:tcW w:w="1271" w:type="pct"/>
          </w:tcPr>
          <w:p w14:paraId="4BF451F1" w14:textId="1E31CE75" w:rsidR="00E30B27" w:rsidRPr="00061F78" w:rsidRDefault="00D67249" w:rsidP="00A71365">
            <w:pPr>
              <w:pStyle w:val="Tablewriting"/>
              <w:rPr>
                <w:rFonts w:eastAsia="MS Mincho"/>
              </w:rPr>
            </w:pPr>
            <w:r>
              <w:rPr>
                <w:rFonts w:eastAsia="MS Mincho"/>
              </w:rPr>
              <w:t>W</w:t>
            </w:r>
            <w:r w:rsidRPr="00D67249">
              <w:rPr>
                <w:rFonts w:eastAsia="MS Mincho"/>
              </w:rPr>
              <w:t>eight-concerned women smokers</w:t>
            </w:r>
            <w:r w:rsidR="001B5337">
              <w:rPr>
                <w:rFonts w:eastAsia="MS Mincho"/>
              </w:rPr>
              <w:t>,</w:t>
            </w:r>
            <w:r w:rsidRPr="00D67249">
              <w:rPr>
                <w:rFonts w:eastAsia="MS Mincho"/>
              </w:rPr>
              <w:t xml:space="preserve"> average age 42</w:t>
            </w:r>
            <w:r w:rsidR="001B5337">
              <w:rPr>
                <w:rFonts w:eastAsia="MS Mincho"/>
              </w:rPr>
              <w:t xml:space="preserve"> years,</w:t>
            </w:r>
            <w:r w:rsidRPr="00D67249">
              <w:rPr>
                <w:rFonts w:eastAsia="MS Mincho"/>
              </w:rPr>
              <w:t xml:space="preserve"> average cigarettes per day </w:t>
            </w:r>
            <w:r w:rsidR="004664D2" w:rsidRPr="00D67249">
              <w:rPr>
                <w:rFonts w:eastAsia="MS Mincho"/>
              </w:rPr>
              <w:t>21</w:t>
            </w:r>
            <w:r w:rsidR="004664D2">
              <w:rPr>
                <w:rFonts w:eastAsia="MS Mincho"/>
              </w:rPr>
              <w:t xml:space="preserve">, </w:t>
            </w:r>
            <w:r w:rsidR="004664D2" w:rsidRPr="00D67249">
              <w:rPr>
                <w:rFonts w:eastAsia="MS Mincho"/>
              </w:rPr>
              <w:t>mean</w:t>
            </w:r>
            <w:r w:rsidRPr="00D67249">
              <w:rPr>
                <w:rFonts w:eastAsia="MS Mincho"/>
              </w:rPr>
              <w:t xml:space="preserve"> FTND 5.2</w:t>
            </w:r>
          </w:p>
        </w:tc>
        <w:tc>
          <w:tcPr>
            <w:tcW w:w="1224" w:type="pct"/>
          </w:tcPr>
          <w:p w14:paraId="110F9E18" w14:textId="77777777" w:rsidR="00D67249" w:rsidRDefault="00D67249" w:rsidP="00C324F3">
            <w:pPr>
              <w:pStyle w:val="Tablewriting"/>
              <w:numPr>
                <w:ilvl w:val="0"/>
                <w:numId w:val="33"/>
              </w:numPr>
              <w:rPr>
                <w:rFonts w:eastAsia="MS Mincho"/>
              </w:rPr>
            </w:pPr>
            <w:r w:rsidRPr="00D67249">
              <w:rPr>
                <w:rFonts w:eastAsia="MS Mincho"/>
              </w:rPr>
              <w:t>Bupropion SR. 26 weeks. 150 mg/day for first 2 days and 300 mg/day for remainder of treatment</w:t>
            </w:r>
          </w:p>
          <w:p w14:paraId="6083AC41" w14:textId="3FF40FD1" w:rsidR="00D67249" w:rsidRPr="00D67249" w:rsidRDefault="00D67249" w:rsidP="00C324F3">
            <w:pPr>
              <w:pStyle w:val="Tablewriting"/>
              <w:numPr>
                <w:ilvl w:val="0"/>
                <w:numId w:val="33"/>
              </w:numPr>
              <w:rPr>
                <w:rFonts w:eastAsia="MS Mincho"/>
              </w:rPr>
            </w:pPr>
            <w:r w:rsidRPr="00D67249">
              <w:rPr>
                <w:rFonts w:eastAsia="MS Mincho"/>
              </w:rPr>
              <w:t>Placebo, same schedule</w:t>
            </w:r>
          </w:p>
          <w:p w14:paraId="374085E6" w14:textId="77777777" w:rsidR="00E00CF9" w:rsidRDefault="00E00CF9" w:rsidP="00A71365">
            <w:pPr>
              <w:pStyle w:val="Tablewriting"/>
              <w:rPr>
                <w:rFonts w:eastAsia="MS Mincho"/>
              </w:rPr>
            </w:pPr>
          </w:p>
          <w:p w14:paraId="36741434" w14:textId="5DD10884" w:rsidR="00D67249" w:rsidRPr="00D67249" w:rsidRDefault="00D67249" w:rsidP="00A71365">
            <w:pPr>
              <w:pStyle w:val="Tablewriting"/>
              <w:rPr>
                <w:rFonts w:eastAsia="MS Mincho"/>
              </w:rPr>
            </w:pPr>
            <w:r w:rsidRPr="00D67249">
              <w:rPr>
                <w:rFonts w:eastAsia="MS Mincho"/>
              </w:rPr>
              <w:t>Counselling conditions</w:t>
            </w:r>
          </w:p>
          <w:p w14:paraId="40233828" w14:textId="77777777" w:rsidR="00E00CF9" w:rsidRDefault="00D67249" w:rsidP="00C324F3">
            <w:pPr>
              <w:pStyle w:val="Tablewriting"/>
              <w:numPr>
                <w:ilvl w:val="0"/>
                <w:numId w:val="34"/>
              </w:numPr>
              <w:rPr>
                <w:rFonts w:eastAsia="MS Mincho"/>
              </w:rPr>
            </w:pPr>
            <w:r w:rsidRPr="00D67249">
              <w:rPr>
                <w:rFonts w:eastAsia="MS Mincho"/>
              </w:rPr>
              <w:t>Standard cessation counselling</w:t>
            </w:r>
          </w:p>
          <w:p w14:paraId="5FA099DB" w14:textId="5F0E54AF" w:rsidR="00D67249" w:rsidRPr="00D67249" w:rsidRDefault="00D67249" w:rsidP="00C324F3">
            <w:pPr>
              <w:pStyle w:val="Tablewriting"/>
              <w:numPr>
                <w:ilvl w:val="0"/>
                <w:numId w:val="34"/>
              </w:numPr>
              <w:rPr>
                <w:rFonts w:eastAsia="MS Mincho"/>
              </w:rPr>
            </w:pPr>
            <w:r w:rsidRPr="00D67249">
              <w:rPr>
                <w:rFonts w:eastAsia="MS Mincho"/>
              </w:rPr>
              <w:t>Standard cessation counselling + material on weight concerns</w:t>
            </w:r>
          </w:p>
          <w:p w14:paraId="2B4CE22D" w14:textId="77777777" w:rsidR="00E00CF9" w:rsidRDefault="00E00CF9" w:rsidP="00A71365">
            <w:pPr>
              <w:pStyle w:val="Tablewriting"/>
              <w:rPr>
                <w:rFonts w:eastAsia="MS Mincho"/>
              </w:rPr>
            </w:pPr>
          </w:p>
          <w:p w14:paraId="76F87732" w14:textId="08DF6D05" w:rsidR="00E30B27" w:rsidRPr="00061F78" w:rsidRDefault="00D67249" w:rsidP="00A71365">
            <w:pPr>
              <w:pStyle w:val="Tablewriting"/>
              <w:rPr>
                <w:rFonts w:eastAsia="MS Mincho"/>
              </w:rPr>
            </w:pPr>
            <w:r w:rsidRPr="00E00CF9">
              <w:rPr>
                <w:rFonts w:eastAsia="MS Mincho"/>
                <w:u w:val="single"/>
              </w:rPr>
              <w:t>Common components</w:t>
            </w:r>
            <w:r w:rsidRPr="00D67249">
              <w:rPr>
                <w:rFonts w:eastAsia="MS Mincho"/>
              </w:rPr>
              <w:t>: 12 x 90-minute group counselling sessions delivered over 3 months</w:t>
            </w:r>
            <w:r w:rsidR="00714110">
              <w:rPr>
                <w:rFonts w:eastAsia="MS Mincho"/>
              </w:rPr>
              <w:t>.</w:t>
            </w:r>
          </w:p>
        </w:tc>
        <w:tc>
          <w:tcPr>
            <w:tcW w:w="832" w:type="pct"/>
          </w:tcPr>
          <w:p w14:paraId="5567150E" w14:textId="6A75B4FD" w:rsidR="002C04F5" w:rsidRPr="002C04F5" w:rsidRDefault="002C04F5" w:rsidP="00A71365">
            <w:pPr>
              <w:pStyle w:val="Tablewriting"/>
              <w:rPr>
                <w:rFonts w:eastAsia="MS Mincho"/>
              </w:rPr>
            </w:pPr>
            <w:r w:rsidRPr="002C04F5">
              <w:rPr>
                <w:rFonts w:eastAsia="MS Mincho"/>
                <w:u w:val="single"/>
              </w:rPr>
              <w:t>Efficacy:</w:t>
            </w:r>
            <w:r w:rsidRPr="002C04F5">
              <w:rPr>
                <w:rFonts w:eastAsia="MS Mincho"/>
              </w:rPr>
              <w:t xml:space="preserve"> prolonged abstinence at 12 months. Validated by CO </w:t>
            </w:r>
            <w:r w:rsidR="005B1423" w:rsidRPr="00D96BA4">
              <w:rPr>
                <w:rFonts w:eastAsia="MS Mincho"/>
              </w:rPr>
              <w:t>≤</w:t>
            </w:r>
            <w:r w:rsidRPr="002C04F5">
              <w:rPr>
                <w:rFonts w:eastAsia="MS Mincho"/>
              </w:rPr>
              <w:t xml:space="preserve"> 8 ppm and salivary cotinine</w:t>
            </w:r>
          </w:p>
          <w:p w14:paraId="6E9FADD9" w14:textId="1FDDCC0F" w:rsidR="002C04F5" w:rsidRPr="002C04F5" w:rsidRDefault="005B1423" w:rsidP="00A71365">
            <w:pPr>
              <w:pStyle w:val="Tablewriting"/>
              <w:rPr>
                <w:rFonts w:eastAsia="MS Mincho"/>
              </w:rPr>
            </w:pPr>
            <w:r w:rsidRPr="00D96BA4">
              <w:rPr>
                <w:rFonts w:eastAsia="MS Mincho"/>
              </w:rPr>
              <w:t>≤</w:t>
            </w:r>
            <w:r w:rsidR="002C04F5" w:rsidRPr="002C04F5">
              <w:rPr>
                <w:rFonts w:eastAsia="MS Mincho"/>
              </w:rPr>
              <w:t xml:space="preserve"> 15 </w:t>
            </w:r>
            <w:r>
              <w:rPr>
                <w:rFonts w:eastAsia="MS Mincho"/>
              </w:rPr>
              <w:t>m</w:t>
            </w:r>
            <w:r w:rsidR="002C04F5" w:rsidRPr="002C04F5">
              <w:rPr>
                <w:rFonts w:eastAsia="MS Mincho"/>
              </w:rPr>
              <w:t>g</w:t>
            </w:r>
          </w:p>
          <w:p w14:paraId="3501A18A" w14:textId="647F7604" w:rsidR="00E30B27" w:rsidRPr="00061F78" w:rsidRDefault="002C04F5" w:rsidP="00A71365">
            <w:pPr>
              <w:pStyle w:val="Tablewriting"/>
              <w:rPr>
                <w:rFonts w:eastAsia="MS Mincho"/>
              </w:rPr>
            </w:pPr>
            <w:r w:rsidRPr="002C04F5">
              <w:rPr>
                <w:rFonts w:eastAsia="MS Mincho"/>
                <w:u w:val="single"/>
              </w:rPr>
              <w:t>Safety:</w:t>
            </w:r>
            <w:r w:rsidRPr="002C04F5">
              <w:rPr>
                <w:rFonts w:eastAsia="MS Mincho"/>
              </w:rPr>
              <w:t xml:space="preserve"> measured for 26 weeks</w:t>
            </w:r>
            <w:r w:rsidR="00714110">
              <w:rPr>
                <w:rFonts w:eastAsia="MS Mincho"/>
              </w:rPr>
              <w:t>.</w:t>
            </w:r>
          </w:p>
        </w:tc>
      </w:tr>
      <w:tr w:rsidR="00E30B27" w:rsidRPr="00061F78" w14:paraId="712FC8E9" w14:textId="77777777" w:rsidTr="00D0517F">
        <w:trPr>
          <w:trHeight w:val="149"/>
        </w:trPr>
        <w:tc>
          <w:tcPr>
            <w:tcW w:w="565" w:type="pct"/>
          </w:tcPr>
          <w:p w14:paraId="3DFC13D9" w14:textId="190C6A03" w:rsidR="00E30B27" w:rsidRPr="00541274" w:rsidRDefault="003A2018" w:rsidP="00A71365">
            <w:pPr>
              <w:pStyle w:val="Tablewriting"/>
              <w:rPr>
                <w:rFonts w:eastAsia="MS Mincho"/>
              </w:rPr>
            </w:pPr>
            <w:r w:rsidRPr="00866DE0">
              <w:rPr>
                <w:rFonts w:eastAsia="MS Mincho"/>
              </w:rPr>
              <w:t xml:space="preserve">McCarthy </w:t>
            </w:r>
            <w:r w:rsidR="0065538B">
              <w:rPr>
                <w:rFonts w:eastAsia="MS Mincho"/>
              </w:rPr>
              <w:t>(</w:t>
            </w:r>
            <w:r w:rsidRPr="00866DE0">
              <w:rPr>
                <w:rFonts w:eastAsia="MS Mincho"/>
              </w:rPr>
              <w:t>2008</w:t>
            </w:r>
            <w:r w:rsidR="0065538B">
              <w:rPr>
                <w:rFonts w:eastAsia="MS Mincho"/>
              </w:rPr>
              <w:t>)</w:t>
            </w:r>
          </w:p>
        </w:tc>
        <w:tc>
          <w:tcPr>
            <w:tcW w:w="239" w:type="pct"/>
          </w:tcPr>
          <w:p w14:paraId="0A923F4E" w14:textId="74D0F831" w:rsidR="00E30B27" w:rsidRDefault="0079584C" w:rsidP="00A71365">
            <w:pPr>
              <w:pStyle w:val="Tablewriting"/>
              <w:rPr>
                <w:rFonts w:eastAsia="MS Mincho"/>
              </w:rPr>
            </w:pPr>
            <w:r>
              <w:rPr>
                <w:rFonts w:eastAsia="MS Mincho"/>
              </w:rPr>
              <w:t>RCT</w:t>
            </w:r>
          </w:p>
        </w:tc>
        <w:tc>
          <w:tcPr>
            <w:tcW w:w="422" w:type="pct"/>
          </w:tcPr>
          <w:p w14:paraId="01E23FEA" w14:textId="19CDB114" w:rsidR="0035253E" w:rsidRPr="00061F78" w:rsidRDefault="0079584C" w:rsidP="00A71365">
            <w:pPr>
              <w:pStyle w:val="Tablewriting"/>
              <w:rPr>
                <w:rFonts w:eastAsia="MS Mincho"/>
              </w:rPr>
            </w:pPr>
            <w:r>
              <w:rPr>
                <w:rFonts w:eastAsia="MS Mincho"/>
              </w:rPr>
              <w:t>USA</w:t>
            </w:r>
          </w:p>
        </w:tc>
        <w:tc>
          <w:tcPr>
            <w:tcW w:w="449" w:type="pct"/>
          </w:tcPr>
          <w:p w14:paraId="27935427" w14:textId="2FE795AE" w:rsidR="00E30B27" w:rsidRPr="00061F78" w:rsidRDefault="0079584C" w:rsidP="00A71365">
            <w:pPr>
              <w:pStyle w:val="Tablewriting"/>
              <w:rPr>
                <w:rFonts w:eastAsia="MS Mincho"/>
              </w:rPr>
            </w:pPr>
            <w:r>
              <w:rPr>
                <w:rFonts w:eastAsia="MS Mincho"/>
              </w:rPr>
              <w:t>N=463</w:t>
            </w:r>
          </w:p>
        </w:tc>
        <w:tc>
          <w:tcPr>
            <w:tcW w:w="1271" w:type="pct"/>
          </w:tcPr>
          <w:p w14:paraId="5A101437" w14:textId="01540887" w:rsidR="00E30B27" w:rsidRPr="00061F78" w:rsidRDefault="0026462B" w:rsidP="00A71365">
            <w:pPr>
              <w:pStyle w:val="Tablewriting"/>
              <w:rPr>
                <w:rFonts w:eastAsia="MS Mincho"/>
              </w:rPr>
            </w:pPr>
            <w:r>
              <w:rPr>
                <w:rFonts w:eastAsia="MS Mincho"/>
              </w:rPr>
              <w:t>S</w:t>
            </w:r>
            <w:r w:rsidRPr="0026462B">
              <w:rPr>
                <w:rFonts w:eastAsia="MS Mincho"/>
              </w:rPr>
              <w:t>mokers</w:t>
            </w:r>
            <w:r w:rsidR="001B5337">
              <w:rPr>
                <w:rFonts w:eastAsia="MS Mincho"/>
              </w:rPr>
              <w:t>,</w:t>
            </w:r>
            <w:r w:rsidRPr="0026462B">
              <w:rPr>
                <w:rFonts w:eastAsia="MS Mincho"/>
              </w:rPr>
              <w:t xml:space="preserve"> 50% female</w:t>
            </w:r>
            <w:r w:rsidR="001B5337">
              <w:rPr>
                <w:rFonts w:eastAsia="MS Mincho"/>
              </w:rPr>
              <w:t>,</w:t>
            </w:r>
            <w:r w:rsidRPr="0026462B">
              <w:rPr>
                <w:rFonts w:eastAsia="MS Mincho"/>
              </w:rPr>
              <w:t xml:space="preserve"> average age 36-41</w:t>
            </w:r>
            <w:r w:rsidR="001B5337">
              <w:rPr>
                <w:rFonts w:eastAsia="MS Mincho"/>
              </w:rPr>
              <w:t>,</w:t>
            </w:r>
            <w:r w:rsidRPr="0026462B">
              <w:rPr>
                <w:rFonts w:eastAsia="MS Mincho"/>
              </w:rPr>
              <w:t xml:space="preserve"> average cigarettes per day 22</w:t>
            </w:r>
          </w:p>
        </w:tc>
        <w:tc>
          <w:tcPr>
            <w:tcW w:w="1224" w:type="pct"/>
          </w:tcPr>
          <w:p w14:paraId="35F20736" w14:textId="77777777" w:rsidR="008E3BA2" w:rsidRPr="008E3BA2" w:rsidRDefault="008E3BA2" w:rsidP="00C324F3">
            <w:pPr>
              <w:pStyle w:val="Tablewriting"/>
              <w:numPr>
                <w:ilvl w:val="0"/>
                <w:numId w:val="35"/>
              </w:numPr>
              <w:rPr>
                <w:rFonts w:eastAsia="MS Mincho"/>
              </w:rPr>
            </w:pPr>
            <w:r w:rsidRPr="008E3BA2">
              <w:rPr>
                <w:rFonts w:eastAsia="MS Mincho"/>
              </w:rPr>
              <w:t>Bupropion SR 300 mg for 8 weeks</w:t>
            </w:r>
          </w:p>
          <w:p w14:paraId="210B63BB" w14:textId="276D9A06" w:rsidR="008E3BA2" w:rsidRPr="008E3BA2" w:rsidRDefault="008E3BA2" w:rsidP="00C324F3">
            <w:pPr>
              <w:pStyle w:val="Tablewriting"/>
              <w:numPr>
                <w:ilvl w:val="0"/>
                <w:numId w:val="35"/>
              </w:numPr>
              <w:rPr>
                <w:rFonts w:eastAsia="MS Mincho"/>
              </w:rPr>
            </w:pPr>
            <w:r w:rsidRPr="008E3BA2">
              <w:rPr>
                <w:rFonts w:eastAsia="MS Mincho"/>
              </w:rPr>
              <w:t>Placebo</w:t>
            </w:r>
          </w:p>
          <w:p w14:paraId="1C111B1C" w14:textId="77777777" w:rsidR="000403C7" w:rsidRDefault="000403C7" w:rsidP="00A71365">
            <w:pPr>
              <w:pStyle w:val="Tablewriting"/>
              <w:rPr>
                <w:rFonts w:eastAsia="MS Mincho"/>
              </w:rPr>
            </w:pPr>
          </w:p>
          <w:p w14:paraId="4CFDD0DA" w14:textId="77777777" w:rsidR="008E3BA2" w:rsidRPr="008E3BA2" w:rsidRDefault="008E3BA2" w:rsidP="00A71365">
            <w:pPr>
              <w:pStyle w:val="Tablewriting"/>
              <w:rPr>
                <w:rFonts w:eastAsia="MS Mincho"/>
              </w:rPr>
            </w:pPr>
            <w:r w:rsidRPr="008E3BA2">
              <w:rPr>
                <w:rFonts w:eastAsia="MS Mincho"/>
              </w:rPr>
              <w:t>Counselling conditions</w:t>
            </w:r>
          </w:p>
          <w:p w14:paraId="21DE63E6" w14:textId="06D61852" w:rsidR="000403C7" w:rsidRDefault="008E3BA2" w:rsidP="00C324F3">
            <w:pPr>
              <w:pStyle w:val="Tablewriting"/>
              <w:numPr>
                <w:ilvl w:val="0"/>
                <w:numId w:val="36"/>
              </w:numPr>
              <w:rPr>
                <w:rFonts w:eastAsia="MS Mincho"/>
              </w:rPr>
            </w:pPr>
            <w:r w:rsidRPr="008E3BA2">
              <w:rPr>
                <w:rFonts w:eastAsia="MS Mincho"/>
              </w:rPr>
              <w:t>8 x 10-min session, 2 pre</w:t>
            </w:r>
            <w:r w:rsidR="00273AD6">
              <w:rPr>
                <w:rFonts w:eastAsia="MS Mincho"/>
              </w:rPr>
              <w:t>-</w:t>
            </w:r>
            <w:r w:rsidRPr="008E3BA2">
              <w:rPr>
                <w:rFonts w:eastAsia="MS Mincho"/>
              </w:rPr>
              <w:t>quit, TQD, 5 over 4 weeks</w:t>
            </w:r>
          </w:p>
          <w:p w14:paraId="35E456BA" w14:textId="47D306BD" w:rsidR="00E30B27" w:rsidRPr="00061F78" w:rsidRDefault="008E3BA2" w:rsidP="00C324F3">
            <w:pPr>
              <w:pStyle w:val="Tablewriting"/>
              <w:numPr>
                <w:ilvl w:val="0"/>
                <w:numId w:val="36"/>
              </w:numPr>
              <w:rPr>
                <w:rFonts w:eastAsia="MS Mincho"/>
              </w:rPr>
            </w:pPr>
            <w:r w:rsidRPr="008E3BA2">
              <w:rPr>
                <w:rFonts w:eastAsia="MS Mincho"/>
              </w:rPr>
              <w:lastRenderedPageBreak/>
              <w:t xml:space="preserve">Psychoeducation about medication, </w:t>
            </w:r>
            <w:r w:rsidR="004664D2" w:rsidRPr="008E3BA2">
              <w:rPr>
                <w:rFonts w:eastAsia="MS Mincho"/>
              </w:rPr>
              <w:t>support,</w:t>
            </w:r>
            <w:r w:rsidRPr="008E3BA2">
              <w:rPr>
                <w:rFonts w:eastAsia="MS Mincho"/>
              </w:rPr>
              <w:t xml:space="preserve"> and encouragement. Same number of sessions, 80 mins</w:t>
            </w:r>
            <w:r w:rsidR="000403C7">
              <w:rPr>
                <w:rFonts w:eastAsia="MS Mincho"/>
              </w:rPr>
              <w:t xml:space="preserve"> </w:t>
            </w:r>
            <w:r w:rsidRPr="008E3BA2">
              <w:rPr>
                <w:rFonts w:eastAsia="MS Mincho"/>
              </w:rPr>
              <w:t>less contact time</w:t>
            </w:r>
          </w:p>
        </w:tc>
        <w:tc>
          <w:tcPr>
            <w:tcW w:w="832" w:type="pct"/>
          </w:tcPr>
          <w:p w14:paraId="75A11927" w14:textId="64B174AE" w:rsidR="0057734E" w:rsidRPr="0057734E" w:rsidRDefault="000403C7" w:rsidP="00A71365">
            <w:pPr>
              <w:pStyle w:val="Tablewriting"/>
              <w:rPr>
                <w:rFonts w:eastAsia="MS Mincho"/>
              </w:rPr>
            </w:pPr>
            <w:r w:rsidRPr="000403C7">
              <w:rPr>
                <w:rFonts w:eastAsia="MS Mincho"/>
                <w:u w:val="single"/>
              </w:rPr>
              <w:lastRenderedPageBreak/>
              <w:t>Efficacy</w:t>
            </w:r>
            <w:r w:rsidR="0057734E" w:rsidRPr="000403C7">
              <w:rPr>
                <w:rFonts w:eastAsia="MS Mincho"/>
                <w:u w:val="single"/>
              </w:rPr>
              <w:t>:</w:t>
            </w:r>
            <w:r w:rsidR="0057734E" w:rsidRPr="0057734E">
              <w:rPr>
                <w:rFonts w:eastAsia="MS Mincho"/>
              </w:rPr>
              <w:t xml:space="preserve"> 7</w:t>
            </w:r>
            <w:r w:rsidR="008F7343" w:rsidRPr="0057734E">
              <w:rPr>
                <w:rFonts w:eastAsia="MS Mincho"/>
              </w:rPr>
              <w:t>-</w:t>
            </w:r>
            <w:r w:rsidR="0057734E" w:rsidRPr="0057734E">
              <w:rPr>
                <w:rFonts w:eastAsia="MS Mincho"/>
              </w:rPr>
              <w:t xml:space="preserve">day </w:t>
            </w:r>
            <w:r w:rsidR="00273AD6">
              <w:rPr>
                <w:rFonts w:eastAsia="MS Mincho"/>
              </w:rPr>
              <w:t>PPA</w:t>
            </w:r>
            <w:r w:rsidR="0057734E" w:rsidRPr="0057734E">
              <w:rPr>
                <w:rFonts w:eastAsia="MS Mincho"/>
              </w:rPr>
              <w:t xml:space="preserve"> at 12 months. Validated by CO </w:t>
            </w:r>
            <w:r w:rsidR="005B1423" w:rsidRPr="00D96BA4">
              <w:rPr>
                <w:rFonts w:eastAsia="MS Mincho"/>
              </w:rPr>
              <w:t>≤</w:t>
            </w:r>
            <w:r w:rsidR="0057734E" w:rsidRPr="0057734E">
              <w:rPr>
                <w:rFonts w:eastAsia="MS Mincho"/>
              </w:rPr>
              <w:t xml:space="preserve"> 10 ppm. Prolonged self-reported abstinence</w:t>
            </w:r>
          </w:p>
          <w:p w14:paraId="404EDB63" w14:textId="77777777" w:rsidR="0057734E" w:rsidRPr="0057734E" w:rsidRDefault="0057734E" w:rsidP="00A71365">
            <w:pPr>
              <w:pStyle w:val="Tablewriting"/>
              <w:rPr>
                <w:rFonts w:eastAsia="MS Mincho"/>
              </w:rPr>
            </w:pPr>
            <w:r w:rsidRPr="0057734E">
              <w:rPr>
                <w:rFonts w:eastAsia="MS Mincho"/>
              </w:rPr>
              <w:t>also assessed</w:t>
            </w:r>
          </w:p>
          <w:p w14:paraId="13DFE1C2" w14:textId="7E660C10" w:rsidR="00E30B27" w:rsidRPr="00061F78" w:rsidRDefault="000403C7" w:rsidP="00A71365">
            <w:pPr>
              <w:pStyle w:val="Tablewriting"/>
              <w:rPr>
                <w:rFonts w:eastAsia="MS Mincho"/>
              </w:rPr>
            </w:pPr>
            <w:r w:rsidRPr="000403C7">
              <w:rPr>
                <w:rFonts w:eastAsia="MS Mincho"/>
                <w:u w:val="single"/>
              </w:rPr>
              <w:t>Safety</w:t>
            </w:r>
            <w:r w:rsidR="0057734E" w:rsidRPr="000403C7">
              <w:rPr>
                <w:rFonts w:eastAsia="MS Mincho"/>
                <w:u w:val="single"/>
              </w:rPr>
              <w:t>:</w:t>
            </w:r>
            <w:r w:rsidR="0057734E" w:rsidRPr="0057734E">
              <w:rPr>
                <w:rFonts w:eastAsia="MS Mincho"/>
              </w:rPr>
              <w:t xml:space="preserve"> measured for 9 weeks</w:t>
            </w:r>
            <w:r w:rsidR="00714110">
              <w:rPr>
                <w:rFonts w:eastAsia="MS Mincho"/>
              </w:rPr>
              <w:t>.</w:t>
            </w:r>
          </w:p>
        </w:tc>
      </w:tr>
      <w:tr w:rsidR="00E30B27" w:rsidRPr="00061F78" w14:paraId="0A1C363E" w14:textId="77777777" w:rsidTr="00D0517F">
        <w:trPr>
          <w:trHeight w:val="149"/>
        </w:trPr>
        <w:tc>
          <w:tcPr>
            <w:tcW w:w="565" w:type="pct"/>
          </w:tcPr>
          <w:p w14:paraId="617CF692" w14:textId="4CFBFAF1" w:rsidR="00E30B27" w:rsidRPr="00541274" w:rsidRDefault="00904F79" w:rsidP="00A71365">
            <w:pPr>
              <w:pStyle w:val="Tablewriting"/>
              <w:rPr>
                <w:rFonts w:eastAsia="MS Mincho"/>
              </w:rPr>
            </w:pPr>
            <w:r w:rsidRPr="00866DE0">
              <w:rPr>
                <w:rFonts w:eastAsia="MS Mincho"/>
              </w:rPr>
              <w:t xml:space="preserve">Muramoto </w:t>
            </w:r>
            <w:r w:rsidR="0065538B">
              <w:rPr>
                <w:rFonts w:eastAsia="MS Mincho"/>
              </w:rPr>
              <w:t>(</w:t>
            </w:r>
            <w:r w:rsidRPr="00866DE0">
              <w:rPr>
                <w:rFonts w:eastAsia="MS Mincho"/>
              </w:rPr>
              <w:t>2007</w:t>
            </w:r>
            <w:r w:rsidR="0065538B">
              <w:rPr>
                <w:rFonts w:eastAsia="MS Mincho"/>
              </w:rPr>
              <w:t>)</w:t>
            </w:r>
          </w:p>
        </w:tc>
        <w:tc>
          <w:tcPr>
            <w:tcW w:w="239" w:type="pct"/>
          </w:tcPr>
          <w:p w14:paraId="120C2851" w14:textId="40E3538E" w:rsidR="00E30B27" w:rsidRDefault="00DC0B5B" w:rsidP="00A71365">
            <w:pPr>
              <w:pStyle w:val="Tablewriting"/>
              <w:rPr>
                <w:rFonts w:eastAsia="MS Mincho"/>
              </w:rPr>
            </w:pPr>
            <w:r>
              <w:rPr>
                <w:rFonts w:eastAsia="MS Mincho"/>
              </w:rPr>
              <w:t>RCT</w:t>
            </w:r>
          </w:p>
        </w:tc>
        <w:tc>
          <w:tcPr>
            <w:tcW w:w="422" w:type="pct"/>
          </w:tcPr>
          <w:p w14:paraId="21370438" w14:textId="0E639C8D" w:rsidR="0035253E" w:rsidRPr="00061F78" w:rsidRDefault="00DC0B5B" w:rsidP="00A71365">
            <w:pPr>
              <w:pStyle w:val="Tablewriting"/>
              <w:rPr>
                <w:rFonts w:eastAsia="MS Mincho"/>
              </w:rPr>
            </w:pPr>
            <w:r>
              <w:rPr>
                <w:rFonts w:eastAsia="MS Mincho"/>
              </w:rPr>
              <w:t>USA</w:t>
            </w:r>
          </w:p>
        </w:tc>
        <w:tc>
          <w:tcPr>
            <w:tcW w:w="449" w:type="pct"/>
          </w:tcPr>
          <w:p w14:paraId="777366C4" w14:textId="2F6FB6E5" w:rsidR="00E30B27" w:rsidRPr="00061F78" w:rsidRDefault="00056400" w:rsidP="00A71365">
            <w:pPr>
              <w:pStyle w:val="Tablewriting"/>
              <w:rPr>
                <w:rFonts w:eastAsia="MS Mincho"/>
              </w:rPr>
            </w:pPr>
            <w:r>
              <w:rPr>
                <w:rFonts w:eastAsia="MS Mincho"/>
              </w:rPr>
              <w:t>N=</w:t>
            </w:r>
            <w:r w:rsidRPr="00056400">
              <w:rPr>
                <w:rFonts w:eastAsia="MS Mincho"/>
              </w:rPr>
              <w:t>312</w:t>
            </w:r>
          </w:p>
        </w:tc>
        <w:tc>
          <w:tcPr>
            <w:tcW w:w="1271" w:type="pct"/>
          </w:tcPr>
          <w:p w14:paraId="213A6803" w14:textId="699C6F42" w:rsidR="00E30B27" w:rsidRPr="00061F78" w:rsidRDefault="00056400" w:rsidP="00A71365">
            <w:pPr>
              <w:pStyle w:val="Tablewriting"/>
              <w:rPr>
                <w:rFonts w:eastAsia="MS Mincho"/>
              </w:rPr>
            </w:pPr>
            <w:r>
              <w:rPr>
                <w:rFonts w:eastAsia="MS Mincho"/>
              </w:rPr>
              <w:t>A</w:t>
            </w:r>
            <w:r w:rsidRPr="00056400">
              <w:rPr>
                <w:rFonts w:eastAsia="MS Mincho"/>
              </w:rPr>
              <w:t>dolescents (14 to 17)</w:t>
            </w:r>
            <w:r w:rsidR="00587829">
              <w:rPr>
                <w:rFonts w:eastAsia="MS Mincho"/>
              </w:rPr>
              <w:t>,</w:t>
            </w:r>
            <w:r w:rsidRPr="00056400">
              <w:rPr>
                <w:rFonts w:eastAsia="MS Mincho"/>
              </w:rPr>
              <w:t xml:space="preserve"> 46% females</w:t>
            </w:r>
            <w:r w:rsidR="00587829">
              <w:rPr>
                <w:rFonts w:eastAsia="MS Mincho"/>
              </w:rPr>
              <w:t>,</w:t>
            </w:r>
            <w:r w:rsidRPr="00056400">
              <w:rPr>
                <w:rFonts w:eastAsia="MS Mincho"/>
              </w:rPr>
              <w:t xml:space="preserve"> median age 16</w:t>
            </w:r>
            <w:r w:rsidR="00587829">
              <w:rPr>
                <w:rFonts w:eastAsia="MS Mincho"/>
              </w:rPr>
              <w:t>,</w:t>
            </w:r>
            <w:r w:rsidRPr="00056400">
              <w:rPr>
                <w:rFonts w:eastAsia="MS Mincho"/>
              </w:rPr>
              <w:t xml:space="preserve"> median cigarettes per day 11</w:t>
            </w:r>
          </w:p>
        </w:tc>
        <w:tc>
          <w:tcPr>
            <w:tcW w:w="1224" w:type="pct"/>
          </w:tcPr>
          <w:p w14:paraId="1E5DB2A9" w14:textId="77777777" w:rsidR="00056400" w:rsidRDefault="00056400" w:rsidP="00C324F3">
            <w:pPr>
              <w:pStyle w:val="Tablewriting"/>
              <w:numPr>
                <w:ilvl w:val="0"/>
                <w:numId w:val="37"/>
              </w:numPr>
              <w:rPr>
                <w:rFonts w:eastAsia="MS Mincho"/>
              </w:rPr>
            </w:pPr>
            <w:r w:rsidRPr="00056400">
              <w:rPr>
                <w:rFonts w:eastAsia="MS Mincho"/>
              </w:rPr>
              <w:t>Bupropion, 300 mg for 7 weeks</w:t>
            </w:r>
          </w:p>
          <w:p w14:paraId="55045100" w14:textId="77777777" w:rsidR="00056400" w:rsidRDefault="00056400" w:rsidP="00C324F3">
            <w:pPr>
              <w:pStyle w:val="Tablewriting"/>
              <w:numPr>
                <w:ilvl w:val="0"/>
                <w:numId w:val="37"/>
              </w:numPr>
              <w:rPr>
                <w:rFonts w:eastAsia="MS Mincho"/>
              </w:rPr>
            </w:pPr>
            <w:r w:rsidRPr="00056400">
              <w:rPr>
                <w:rFonts w:eastAsia="MS Mincho"/>
              </w:rPr>
              <w:t>Bupropion, 150 mg for 7 weeks</w:t>
            </w:r>
          </w:p>
          <w:p w14:paraId="2B178E0B" w14:textId="41D2F4C0" w:rsidR="00056400" w:rsidRPr="00056400" w:rsidRDefault="00056400" w:rsidP="00C324F3">
            <w:pPr>
              <w:pStyle w:val="Tablewriting"/>
              <w:numPr>
                <w:ilvl w:val="0"/>
                <w:numId w:val="37"/>
              </w:numPr>
              <w:rPr>
                <w:rFonts w:eastAsia="MS Mincho"/>
              </w:rPr>
            </w:pPr>
            <w:r w:rsidRPr="00056400">
              <w:rPr>
                <w:rFonts w:eastAsia="MS Mincho"/>
              </w:rPr>
              <w:t>Placebo</w:t>
            </w:r>
          </w:p>
          <w:p w14:paraId="22D3F255" w14:textId="77777777" w:rsidR="00056400" w:rsidRDefault="00056400" w:rsidP="00A71365">
            <w:pPr>
              <w:pStyle w:val="Tablewriting"/>
              <w:rPr>
                <w:rFonts w:eastAsia="MS Mincho"/>
              </w:rPr>
            </w:pPr>
          </w:p>
          <w:p w14:paraId="58B509D7" w14:textId="733DBEF7" w:rsidR="00E30B27" w:rsidRPr="00061F78" w:rsidRDefault="00056400" w:rsidP="00A71365">
            <w:pPr>
              <w:pStyle w:val="Tablewriting"/>
              <w:rPr>
                <w:rFonts w:eastAsia="MS Mincho"/>
              </w:rPr>
            </w:pPr>
            <w:r w:rsidRPr="00056400">
              <w:rPr>
                <w:rFonts w:eastAsia="MS Mincho"/>
                <w:u w:val="single"/>
              </w:rPr>
              <w:t>Common components</w:t>
            </w:r>
            <w:r w:rsidRPr="00056400">
              <w:rPr>
                <w:rFonts w:eastAsia="MS Mincho"/>
              </w:rPr>
              <w:t>: brief (10-20 mins) individual counselling session pre-quit and at each weekly assessment</w:t>
            </w:r>
          </w:p>
        </w:tc>
        <w:tc>
          <w:tcPr>
            <w:tcW w:w="832" w:type="pct"/>
          </w:tcPr>
          <w:p w14:paraId="50724FA3" w14:textId="20EC4DB0" w:rsidR="008931E1" w:rsidRPr="008931E1" w:rsidRDefault="008931E1" w:rsidP="00A71365">
            <w:pPr>
              <w:pStyle w:val="Tablewriting"/>
              <w:rPr>
                <w:rFonts w:eastAsia="MS Mincho"/>
              </w:rPr>
            </w:pPr>
            <w:r w:rsidRPr="008931E1">
              <w:rPr>
                <w:rFonts w:eastAsia="MS Mincho"/>
                <w:u w:val="single"/>
              </w:rPr>
              <w:t>Efficacy:</w:t>
            </w:r>
            <w:r w:rsidRPr="008931E1">
              <w:rPr>
                <w:rFonts w:eastAsia="MS Mincho"/>
              </w:rPr>
              <w:t xml:space="preserve"> 7-day </w:t>
            </w:r>
            <w:r w:rsidR="00273AD6">
              <w:rPr>
                <w:rFonts w:eastAsia="MS Mincho"/>
              </w:rPr>
              <w:t>PPA</w:t>
            </w:r>
            <w:r w:rsidRPr="008931E1">
              <w:rPr>
                <w:rFonts w:eastAsia="MS Mincho"/>
              </w:rPr>
              <w:t xml:space="preserve"> at 6 months. Validated by CO &lt; 10 ppm (cotinine at weeks 2 and 6 only)</w:t>
            </w:r>
          </w:p>
          <w:p w14:paraId="34475346" w14:textId="0E5FE6F7" w:rsidR="00E30B27" w:rsidRPr="00061F78" w:rsidRDefault="008931E1" w:rsidP="00A71365">
            <w:pPr>
              <w:pStyle w:val="Tablewriting"/>
              <w:rPr>
                <w:rFonts w:eastAsia="MS Mincho"/>
              </w:rPr>
            </w:pPr>
            <w:r w:rsidRPr="008931E1">
              <w:rPr>
                <w:rFonts w:eastAsia="MS Mincho"/>
                <w:u w:val="single"/>
              </w:rPr>
              <w:t>Safety:</w:t>
            </w:r>
            <w:r w:rsidRPr="008931E1">
              <w:rPr>
                <w:rFonts w:eastAsia="MS Mincho"/>
              </w:rPr>
              <w:t xml:space="preserve"> measured for 26 weeks</w:t>
            </w:r>
            <w:r w:rsidR="00714110">
              <w:rPr>
                <w:rFonts w:eastAsia="MS Mincho"/>
              </w:rPr>
              <w:t>.</w:t>
            </w:r>
          </w:p>
        </w:tc>
      </w:tr>
      <w:tr w:rsidR="00904F79" w:rsidRPr="00061F78" w14:paraId="304DF142" w14:textId="77777777" w:rsidTr="00D0517F">
        <w:trPr>
          <w:trHeight w:val="149"/>
        </w:trPr>
        <w:tc>
          <w:tcPr>
            <w:tcW w:w="565" w:type="pct"/>
          </w:tcPr>
          <w:p w14:paraId="5B0B3E1C" w14:textId="42A7D417" w:rsidR="00904F79" w:rsidRPr="00866DE0" w:rsidRDefault="00F70D1A" w:rsidP="00A71365">
            <w:pPr>
              <w:pStyle w:val="Tablewriting"/>
              <w:rPr>
                <w:rFonts w:eastAsia="MS Mincho"/>
              </w:rPr>
            </w:pPr>
            <w:r w:rsidRPr="00866DE0">
              <w:rPr>
                <w:rFonts w:eastAsia="MS Mincho"/>
              </w:rPr>
              <w:t xml:space="preserve">Myles </w:t>
            </w:r>
            <w:r w:rsidR="0065538B">
              <w:rPr>
                <w:rFonts w:eastAsia="MS Mincho"/>
              </w:rPr>
              <w:t>(</w:t>
            </w:r>
            <w:r w:rsidRPr="00866DE0">
              <w:rPr>
                <w:rFonts w:eastAsia="MS Mincho"/>
              </w:rPr>
              <w:t>2004</w:t>
            </w:r>
            <w:r w:rsidR="0065538B">
              <w:rPr>
                <w:rFonts w:eastAsia="MS Mincho"/>
              </w:rPr>
              <w:t>)</w:t>
            </w:r>
          </w:p>
        </w:tc>
        <w:tc>
          <w:tcPr>
            <w:tcW w:w="239" w:type="pct"/>
          </w:tcPr>
          <w:p w14:paraId="595A8F3D" w14:textId="43D00A2B" w:rsidR="00904F79" w:rsidRDefault="009144BE" w:rsidP="00A71365">
            <w:pPr>
              <w:pStyle w:val="Tablewriting"/>
              <w:rPr>
                <w:rFonts w:eastAsia="MS Mincho"/>
              </w:rPr>
            </w:pPr>
            <w:r>
              <w:rPr>
                <w:rFonts w:eastAsia="MS Mincho"/>
              </w:rPr>
              <w:t>RCT</w:t>
            </w:r>
          </w:p>
        </w:tc>
        <w:tc>
          <w:tcPr>
            <w:tcW w:w="422" w:type="pct"/>
          </w:tcPr>
          <w:p w14:paraId="61CB52E7" w14:textId="03AF87D6" w:rsidR="0035253E" w:rsidRPr="00061F78" w:rsidRDefault="009144BE" w:rsidP="00A71365">
            <w:pPr>
              <w:pStyle w:val="Tablewriting"/>
              <w:rPr>
                <w:rFonts w:eastAsia="MS Mincho"/>
              </w:rPr>
            </w:pPr>
            <w:r>
              <w:rPr>
                <w:rFonts w:eastAsia="MS Mincho"/>
              </w:rPr>
              <w:t>Australia</w:t>
            </w:r>
          </w:p>
        </w:tc>
        <w:tc>
          <w:tcPr>
            <w:tcW w:w="449" w:type="pct"/>
          </w:tcPr>
          <w:p w14:paraId="0235F38D" w14:textId="34947A93" w:rsidR="00904F79" w:rsidRPr="00061F78" w:rsidRDefault="009144BE" w:rsidP="00A71365">
            <w:pPr>
              <w:pStyle w:val="Tablewriting"/>
              <w:rPr>
                <w:rFonts w:eastAsia="MS Mincho"/>
              </w:rPr>
            </w:pPr>
            <w:r>
              <w:rPr>
                <w:rFonts w:eastAsia="MS Mincho"/>
              </w:rPr>
              <w:t>N=47</w:t>
            </w:r>
          </w:p>
        </w:tc>
        <w:tc>
          <w:tcPr>
            <w:tcW w:w="1271" w:type="pct"/>
          </w:tcPr>
          <w:p w14:paraId="2CE79E01" w14:textId="551B8038" w:rsidR="009144BE" w:rsidRPr="009144BE" w:rsidRDefault="009144BE" w:rsidP="00A71365">
            <w:pPr>
              <w:pStyle w:val="Tablewriting"/>
              <w:rPr>
                <w:rFonts w:eastAsia="MS Mincho"/>
              </w:rPr>
            </w:pPr>
            <w:r>
              <w:rPr>
                <w:rFonts w:eastAsia="MS Mincho"/>
              </w:rPr>
              <w:t>S</w:t>
            </w:r>
            <w:r w:rsidRPr="009144BE">
              <w:rPr>
                <w:rFonts w:eastAsia="MS Mincho"/>
              </w:rPr>
              <w:t>mokers expected to undergo surgery within 8-14 weeks</w:t>
            </w:r>
            <w:r w:rsidR="0014479B">
              <w:rPr>
                <w:rFonts w:eastAsia="MS Mincho"/>
              </w:rPr>
              <w:t>,</w:t>
            </w:r>
            <w:r w:rsidRPr="009144BE">
              <w:rPr>
                <w:rFonts w:eastAsia="MS Mincho"/>
              </w:rPr>
              <w:t xml:space="preserve"> 34% female</w:t>
            </w:r>
            <w:r w:rsidR="00587829">
              <w:rPr>
                <w:rFonts w:eastAsia="MS Mincho"/>
              </w:rPr>
              <w:t>,</w:t>
            </w:r>
            <w:r w:rsidRPr="009144BE">
              <w:rPr>
                <w:rFonts w:eastAsia="MS Mincho"/>
              </w:rPr>
              <w:t xml:space="preserve"> average age 45/40</w:t>
            </w:r>
            <w:r w:rsidR="0014479B">
              <w:rPr>
                <w:rFonts w:eastAsia="MS Mincho"/>
              </w:rPr>
              <w:t xml:space="preserve"> years,</w:t>
            </w:r>
            <w:r w:rsidRPr="009144BE">
              <w:rPr>
                <w:rFonts w:eastAsia="MS Mincho"/>
              </w:rPr>
              <w:t xml:space="preserve"> 49%</w:t>
            </w:r>
          </w:p>
          <w:p w14:paraId="6ACD1A46" w14:textId="4CA56275" w:rsidR="00904F79" w:rsidRPr="00061F78" w:rsidRDefault="009144BE" w:rsidP="00A71365">
            <w:pPr>
              <w:pStyle w:val="Tablewriting"/>
              <w:rPr>
                <w:rFonts w:eastAsia="MS Mincho"/>
              </w:rPr>
            </w:pPr>
            <w:r w:rsidRPr="009144BE">
              <w:rPr>
                <w:rFonts w:eastAsia="MS Mincho"/>
              </w:rPr>
              <w:t>smoked 21-30 cigarettes per day</w:t>
            </w:r>
          </w:p>
        </w:tc>
        <w:tc>
          <w:tcPr>
            <w:tcW w:w="1224" w:type="pct"/>
          </w:tcPr>
          <w:p w14:paraId="35997018" w14:textId="77777777" w:rsidR="0005143C" w:rsidRDefault="0005143C" w:rsidP="00C324F3">
            <w:pPr>
              <w:pStyle w:val="Tablewriting"/>
              <w:numPr>
                <w:ilvl w:val="0"/>
                <w:numId w:val="38"/>
              </w:numPr>
              <w:rPr>
                <w:rFonts w:eastAsia="MS Mincho"/>
              </w:rPr>
            </w:pPr>
            <w:r w:rsidRPr="0005143C">
              <w:rPr>
                <w:rFonts w:eastAsia="MS Mincho"/>
              </w:rPr>
              <w:t>Bupropion</w:t>
            </w:r>
            <w:r>
              <w:rPr>
                <w:rFonts w:eastAsia="MS Mincho"/>
              </w:rPr>
              <w:t>,</w:t>
            </w:r>
            <w:r w:rsidRPr="0005143C">
              <w:rPr>
                <w:rFonts w:eastAsia="MS Mincho"/>
              </w:rPr>
              <w:t xml:space="preserve"> 300 mg for 7 weeks</w:t>
            </w:r>
          </w:p>
          <w:p w14:paraId="6FDCF21F" w14:textId="5E9FDACA" w:rsidR="0005143C" w:rsidRPr="0005143C" w:rsidRDefault="0005143C" w:rsidP="00C324F3">
            <w:pPr>
              <w:pStyle w:val="Tablewriting"/>
              <w:numPr>
                <w:ilvl w:val="0"/>
                <w:numId w:val="38"/>
              </w:numPr>
              <w:rPr>
                <w:rFonts w:eastAsia="MS Mincho"/>
              </w:rPr>
            </w:pPr>
            <w:r w:rsidRPr="0005143C">
              <w:rPr>
                <w:rFonts w:eastAsia="MS Mincho"/>
              </w:rPr>
              <w:t xml:space="preserve"> Placebo</w:t>
            </w:r>
          </w:p>
          <w:p w14:paraId="4C05D295" w14:textId="77777777" w:rsidR="0005143C" w:rsidRDefault="0005143C" w:rsidP="00A71365">
            <w:pPr>
              <w:pStyle w:val="Tablewriting"/>
              <w:rPr>
                <w:rFonts w:eastAsia="MS Mincho"/>
              </w:rPr>
            </w:pPr>
          </w:p>
          <w:p w14:paraId="5975D628" w14:textId="102C5864" w:rsidR="00904F79" w:rsidRPr="00061F78" w:rsidRDefault="0005143C" w:rsidP="00A71365">
            <w:pPr>
              <w:pStyle w:val="Tablewriting"/>
              <w:rPr>
                <w:rFonts w:eastAsia="MS Mincho"/>
              </w:rPr>
            </w:pPr>
            <w:r w:rsidRPr="0005143C">
              <w:rPr>
                <w:rFonts w:eastAsia="MS Mincho"/>
                <w:u w:val="single"/>
              </w:rPr>
              <w:t>Common components:</w:t>
            </w:r>
            <w:r w:rsidRPr="0005143C">
              <w:rPr>
                <w:rFonts w:eastAsia="MS Mincho"/>
              </w:rPr>
              <w:t xml:space="preserve"> advice at baseline, 1 phone call 2-4 days after TQD. Low intensity</w:t>
            </w:r>
            <w:r w:rsidR="00714110">
              <w:rPr>
                <w:rFonts w:eastAsia="MS Mincho"/>
              </w:rPr>
              <w:t>.</w:t>
            </w:r>
          </w:p>
        </w:tc>
        <w:tc>
          <w:tcPr>
            <w:tcW w:w="832" w:type="pct"/>
          </w:tcPr>
          <w:p w14:paraId="6231663C" w14:textId="5C59462C" w:rsidR="0005143C" w:rsidRPr="0005143C" w:rsidRDefault="0005143C" w:rsidP="00A71365">
            <w:pPr>
              <w:pStyle w:val="Tablewriting"/>
              <w:rPr>
                <w:rFonts w:eastAsia="MS Mincho"/>
              </w:rPr>
            </w:pPr>
            <w:r w:rsidRPr="0005143C">
              <w:rPr>
                <w:rFonts w:eastAsia="MS Mincho"/>
                <w:u w:val="single"/>
              </w:rPr>
              <w:t>Efficacy:</w:t>
            </w:r>
            <w:r w:rsidRPr="0005143C">
              <w:rPr>
                <w:rFonts w:eastAsia="MS Mincho"/>
              </w:rPr>
              <w:t xml:space="preserve"> 28-day </w:t>
            </w:r>
            <w:r w:rsidR="00587829">
              <w:rPr>
                <w:rFonts w:eastAsia="MS Mincho"/>
              </w:rPr>
              <w:t>PPA</w:t>
            </w:r>
            <w:r w:rsidRPr="0005143C">
              <w:rPr>
                <w:rFonts w:eastAsia="MS Mincho"/>
              </w:rPr>
              <w:t xml:space="preserve"> at 6 months. Validated by CO </w:t>
            </w:r>
            <w:r w:rsidR="005B1423" w:rsidRPr="00D96BA4">
              <w:rPr>
                <w:rFonts w:eastAsia="MS Mincho"/>
              </w:rPr>
              <w:t>≤</w:t>
            </w:r>
            <w:r w:rsidRPr="0005143C">
              <w:rPr>
                <w:rFonts w:eastAsia="MS Mincho"/>
              </w:rPr>
              <w:t xml:space="preserve"> 10 ppm</w:t>
            </w:r>
          </w:p>
          <w:p w14:paraId="18A5AE80" w14:textId="101B318C" w:rsidR="00904F79" w:rsidRPr="00061F78" w:rsidRDefault="0005143C" w:rsidP="00A71365">
            <w:pPr>
              <w:pStyle w:val="Tablewriting"/>
              <w:rPr>
                <w:rFonts w:eastAsia="MS Mincho"/>
              </w:rPr>
            </w:pPr>
            <w:r w:rsidRPr="0005143C">
              <w:rPr>
                <w:rFonts w:eastAsia="MS Mincho"/>
                <w:u w:val="single"/>
              </w:rPr>
              <w:t>Safety:</w:t>
            </w:r>
            <w:r w:rsidRPr="0005143C">
              <w:rPr>
                <w:rFonts w:eastAsia="MS Mincho"/>
              </w:rPr>
              <w:t xml:space="preserve"> not clearly</w:t>
            </w:r>
            <w:r w:rsidR="00714110">
              <w:rPr>
                <w:rFonts w:eastAsia="MS Mincho"/>
              </w:rPr>
              <w:t xml:space="preserve"> </w:t>
            </w:r>
            <w:r w:rsidRPr="0005143C">
              <w:rPr>
                <w:rFonts w:eastAsia="MS Mincho"/>
              </w:rPr>
              <w:t>specified</w:t>
            </w:r>
            <w:r w:rsidR="00714110">
              <w:rPr>
                <w:rFonts w:eastAsia="MS Mincho"/>
              </w:rPr>
              <w:t>.</w:t>
            </w:r>
          </w:p>
        </w:tc>
      </w:tr>
      <w:tr w:rsidR="00D137CE" w:rsidRPr="00061F78" w14:paraId="1108D370" w14:textId="77777777" w:rsidTr="00D0517F">
        <w:trPr>
          <w:trHeight w:val="149"/>
        </w:trPr>
        <w:tc>
          <w:tcPr>
            <w:tcW w:w="565" w:type="pct"/>
          </w:tcPr>
          <w:p w14:paraId="2B465EE7" w14:textId="46630AE3" w:rsidR="00D137CE" w:rsidRPr="00866DE0" w:rsidRDefault="00F70D1A" w:rsidP="00A71365">
            <w:pPr>
              <w:pStyle w:val="Tablewriting"/>
              <w:rPr>
                <w:rFonts w:eastAsia="MS Mincho"/>
              </w:rPr>
            </w:pPr>
            <w:r w:rsidRPr="00866DE0">
              <w:rPr>
                <w:rFonts w:eastAsia="MS Mincho"/>
              </w:rPr>
              <w:t xml:space="preserve">Nides </w:t>
            </w:r>
            <w:r w:rsidR="0065538B">
              <w:rPr>
                <w:rFonts w:eastAsia="MS Mincho"/>
              </w:rPr>
              <w:t>(</w:t>
            </w:r>
            <w:r w:rsidRPr="00866DE0">
              <w:rPr>
                <w:rFonts w:eastAsia="MS Mincho"/>
              </w:rPr>
              <w:t>2006</w:t>
            </w:r>
            <w:r w:rsidR="0065538B">
              <w:rPr>
                <w:rFonts w:eastAsia="MS Mincho"/>
              </w:rPr>
              <w:t>)</w:t>
            </w:r>
          </w:p>
        </w:tc>
        <w:tc>
          <w:tcPr>
            <w:tcW w:w="239" w:type="pct"/>
          </w:tcPr>
          <w:p w14:paraId="45B39F55" w14:textId="1BD73EFD" w:rsidR="00D137CE" w:rsidRDefault="00AA76BD" w:rsidP="00A71365">
            <w:pPr>
              <w:pStyle w:val="Tablewriting"/>
              <w:rPr>
                <w:rFonts w:eastAsia="MS Mincho"/>
              </w:rPr>
            </w:pPr>
            <w:r>
              <w:rPr>
                <w:rFonts w:eastAsia="MS Mincho"/>
              </w:rPr>
              <w:t>RCT</w:t>
            </w:r>
          </w:p>
        </w:tc>
        <w:tc>
          <w:tcPr>
            <w:tcW w:w="422" w:type="pct"/>
          </w:tcPr>
          <w:p w14:paraId="3E57B4DF" w14:textId="46121D7B" w:rsidR="0035253E" w:rsidRPr="00061F78" w:rsidRDefault="00AA76BD" w:rsidP="00A71365">
            <w:pPr>
              <w:pStyle w:val="Tablewriting"/>
              <w:rPr>
                <w:rFonts w:eastAsia="MS Mincho"/>
              </w:rPr>
            </w:pPr>
            <w:r>
              <w:rPr>
                <w:rFonts w:eastAsia="MS Mincho"/>
              </w:rPr>
              <w:t>USA</w:t>
            </w:r>
          </w:p>
        </w:tc>
        <w:tc>
          <w:tcPr>
            <w:tcW w:w="449" w:type="pct"/>
          </w:tcPr>
          <w:p w14:paraId="16F44A6F" w14:textId="374109C2" w:rsidR="00D137CE" w:rsidRPr="00061F78" w:rsidRDefault="00AA76BD" w:rsidP="00A71365">
            <w:pPr>
              <w:pStyle w:val="Tablewriting"/>
              <w:rPr>
                <w:rFonts w:eastAsia="MS Mincho"/>
              </w:rPr>
            </w:pPr>
            <w:r>
              <w:rPr>
                <w:rFonts w:eastAsia="MS Mincho"/>
              </w:rPr>
              <w:t>N=</w:t>
            </w:r>
            <w:r w:rsidRPr="00AA76BD">
              <w:rPr>
                <w:rFonts w:eastAsia="MS Mincho"/>
              </w:rPr>
              <w:t>638</w:t>
            </w:r>
          </w:p>
        </w:tc>
        <w:tc>
          <w:tcPr>
            <w:tcW w:w="1271" w:type="pct"/>
          </w:tcPr>
          <w:p w14:paraId="34D853E6" w14:textId="7000EB70" w:rsidR="00D137CE" w:rsidRPr="00061F78" w:rsidRDefault="00AA76BD" w:rsidP="00A71365">
            <w:pPr>
              <w:pStyle w:val="Tablewriting"/>
              <w:rPr>
                <w:rFonts w:eastAsia="MS Mincho"/>
              </w:rPr>
            </w:pPr>
            <w:r>
              <w:rPr>
                <w:rFonts w:eastAsia="MS Mincho"/>
              </w:rPr>
              <w:t>S</w:t>
            </w:r>
            <w:r w:rsidRPr="00AA76BD">
              <w:rPr>
                <w:rFonts w:eastAsia="MS Mincho"/>
              </w:rPr>
              <w:t>mokers (255 in relevant arms, including 2 bupropion and 4 placebo who did not start medication)</w:t>
            </w:r>
            <w:r w:rsidR="0014479B">
              <w:rPr>
                <w:rFonts w:eastAsia="MS Mincho"/>
              </w:rPr>
              <w:t>,</w:t>
            </w:r>
            <w:r>
              <w:rPr>
                <w:rFonts w:eastAsia="MS Mincho"/>
              </w:rPr>
              <w:t xml:space="preserve"> </w:t>
            </w:r>
            <w:r w:rsidRPr="00AA76BD">
              <w:rPr>
                <w:rFonts w:eastAsia="MS Mincho"/>
              </w:rPr>
              <w:t>51% female</w:t>
            </w:r>
            <w:r w:rsidR="0014479B">
              <w:rPr>
                <w:rFonts w:eastAsia="MS Mincho"/>
              </w:rPr>
              <w:t>,</w:t>
            </w:r>
            <w:r w:rsidRPr="00AA76BD">
              <w:rPr>
                <w:rFonts w:eastAsia="MS Mincho"/>
              </w:rPr>
              <w:t xml:space="preserve"> average age 41</w:t>
            </w:r>
            <w:r w:rsidR="0014479B">
              <w:rPr>
                <w:rFonts w:eastAsia="MS Mincho"/>
              </w:rPr>
              <w:t xml:space="preserve"> years,</w:t>
            </w:r>
            <w:r>
              <w:rPr>
                <w:rFonts w:eastAsia="MS Mincho"/>
              </w:rPr>
              <w:t xml:space="preserve"> </w:t>
            </w:r>
            <w:r w:rsidRPr="00AA76BD">
              <w:rPr>
                <w:rFonts w:eastAsia="MS Mincho"/>
              </w:rPr>
              <w:t>average cigarettes per day 20</w:t>
            </w:r>
          </w:p>
        </w:tc>
        <w:tc>
          <w:tcPr>
            <w:tcW w:w="1224" w:type="pct"/>
          </w:tcPr>
          <w:p w14:paraId="48B70B20" w14:textId="77777777" w:rsidR="006B7916" w:rsidRPr="006B7916" w:rsidRDefault="006B7916" w:rsidP="00C324F3">
            <w:pPr>
              <w:pStyle w:val="Tablewriting"/>
              <w:numPr>
                <w:ilvl w:val="0"/>
                <w:numId w:val="39"/>
              </w:numPr>
              <w:rPr>
                <w:rFonts w:eastAsia="MS Mincho"/>
              </w:rPr>
            </w:pPr>
            <w:r w:rsidRPr="006B7916">
              <w:rPr>
                <w:rFonts w:eastAsia="MS Mincho"/>
              </w:rPr>
              <w:t>Bupropion, 300 mg for 7 weeks</w:t>
            </w:r>
          </w:p>
          <w:p w14:paraId="0CC3D647" w14:textId="77777777" w:rsidR="006B7916" w:rsidRDefault="006B7916" w:rsidP="00C324F3">
            <w:pPr>
              <w:pStyle w:val="Tablewriting"/>
              <w:numPr>
                <w:ilvl w:val="0"/>
                <w:numId w:val="39"/>
              </w:numPr>
              <w:rPr>
                <w:rFonts w:eastAsia="MS Mincho"/>
              </w:rPr>
            </w:pPr>
            <w:r w:rsidRPr="006B7916">
              <w:rPr>
                <w:rFonts w:eastAsia="MS Mincho"/>
              </w:rPr>
              <w:t>Varenicline, 2 mg for 7 weeks (other dose regimens not used in review)</w:t>
            </w:r>
          </w:p>
          <w:p w14:paraId="7CA5F460" w14:textId="55111E4A" w:rsidR="006B7916" w:rsidRPr="006B7916" w:rsidRDefault="006B7916" w:rsidP="00C324F3">
            <w:pPr>
              <w:pStyle w:val="Tablewriting"/>
              <w:numPr>
                <w:ilvl w:val="0"/>
                <w:numId w:val="39"/>
              </w:numPr>
              <w:rPr>
                <w:rFonts w:eastAsia="MS Mincho"/>
              </w:rPr>
            </w:pPr>
            <w:r w:rsidRPr="006B7916">
              <w:rPr>
                <w:rFonts w:eastAsia="MS Mincho"/>
              </w:rPr>
              <w:t xml:space="preserve"> Placebo</w:t>
            </w:r>
          </w:p>
          <w:p w14:paraId="2C7F3DC9" w14:textId="77777777" w:rsidR="006B7916" w:rsidRDefault="006B7916" w:rsidP="00A71365">
            <w:pPr>
              <w:pStyle w:val="Tablewriting"/>
              <w:rPr>
                <w:rFonts w:eastAsia="MS Mincho"/>
              </w:rPr>
            </w:pPr>
          </w:p>
          <w:p w14:paraId="6A1774A5" w14:textId="0FC05DAE" w:rsidR="00D137CE" w:rsidRPr="00061F78" w:rsidRDefault="006B7916" w:rsidP="00A71365">
            <w:pPr>
              <w:pStyle w:val="Tablewriting"/>
              <w:rPr>
                <w:rFonts w:eastAsia="MS Mincho"/>
              </w:rPr>
            </w:pPr>
            <w:r w:rsidRPr="006B7916">
              <w:rPr>
                <w:rFonts w:eastAsia="MS Mincho"/>
                <w:u w:val="single"/>
              </w:rPr>
              <w:t>Common components:</w:t>
            </w:r>
            <w:r w:rsidRPr="006B7916">
              <w:rPr>
                <w:rFonts w:eastAsia="MS Mincho"/>
              </w:rPr>
              <w:t xml:space="preserve"> up to 10 mins counselling at 7</w:t>
            </w:r>
            <w:r>
              <w:rPr>
                <w:rFonts w:eastAsia="MS Mincho"/>
              </w:rPr>
              <w:t xml:space="preserve"> </w:t>
            </w:r>
            <w:r w:rsidRPr="006B7916">
              <w:rPr>
                <w:rFonts w:eastAsia="MS Mincho"/>
              </w:rPr>
              <w:t xml:space="preserve">weekly clinic visits, 12 </w:t>
            </w:r>
            <w:r w:rsidR="004664D2" w:rsidRPr="006B7916">
              <w:rPr>
                <w:rFonts w:eastAsia="MS Mincho"/>
              </w:rPr>
              <w:t>weeks,</w:t>
            </w:r>
            <w:r w:rsidRPr="006B7916">
              <w:rPr>
                <w:rFonts w:eastAsia="MS Mincho"/>
              </w:rPr>
              <w:t xml:space="preserve"> and 24 weeks</w:t>
            </w:r>
          </w:p>
        </w:tc>
        <w:tc>
          <w:tcPr>
            <w:tcW w:w="832" w:type="pct"/>
          </w:tcPr>
          <w:p w14:paraId="30EFF8C0" w14:textId="0D57941C" w:rsidR="000B11D5" w:rsidRPr="000B11D5" w:rsidRDefault="000B11D5" w:rsidP="00A71365">
            <w:pPr>
              <w:pStyle w:val="Tablewriting"/>
              <w:rPr>
                <w:rFonts w:eastAsia="MS Mincho"/>
              </w:rPr>
            </w:pPr>
            <w:r w:rsidRPr="000B11D5">
              <w:rPr>
                <w:rFonts w:eastAsia="MS Mincho"/>
                <w:u w:val="single"/>
              </w:rPr>
              <w:t>Efficacy</w:t>
            </w:r>
            <w:r w:rsidRPr="000B11D5">
              <w:rPr>
                <w:rFonts w:eastAsia="MS Mincho"/>
              </w:rPr>
              <w:t>: continuous abstinence at 12 months (starting from week 4). Validated by CO</w:t>
            </w:r>
          </w:p>
          <w:p w14:paraId="20E2D2D5" w14:textId="0E1746EB" w:rsidR="00D137CE" w:rsidRPr="00061F78" w:rsidRDefault="000B11D5" w:rsidP="00A71365">
            <w:pPr>
              <w:pStyle w:val="Tablewriting"/>
              <w:rPr>
                <w:rFonts w:eastAsia="MS Mincho"/>
              </w:rPr>
            </w:pPr>
            <w:r w:rsidRPr="000B11D5">
              <w:rPr>
                <w:rFonts w:eastAsia="MS Mincho"/>
                <w:u w:val="single"/>
              </w:rPr>
              <w:t>Safety:</w:t>
            </w:r>
            <w:r w:rsidRPr="000B11D5">
              <w:rPr>
                <w:rFonts w:eastAsia="MS Mincho"/>
              </w:rPr>
              <w:t xml:space="preserve"> measured for 11 weeks</w:t>
            </w:r>
            <w:r w:rsidR="00E41249">
              <w:rPr>
                <w:rFonts w:eastAsia="MS Mincho"/>
              </w:rPr>
              <w:t>.</w:t>
            </w:r>
          </w:p>
        </w:tc>
      </w:tr>
      <w:tr w:rsidR="00D137CE" w:rsidRPr="00061F78" w14:paraId="779CD733" w14:textId="77777777" w:rsidTr="00D0517F">
        <w:trPr>
          <w:trHeight w:val="149"/>
        </w:trPr>
        <w:tc>
          <w:tcPr>
            <w:tcW w:w="565" w:type="pct"/>
          </w:tcPr>
          <w:p w14:paraId="67337E2D" w14:textId="45D69D6D" w:rsidR="00D137CE" w:rsidRPr="00866DE0" w:rsidRDefault="00E73E12" w:rsidP="00A71365">
            <w:pPr>
              <w:pStyle w:val="Tablewriting"/>
              <w:rPr>
                <w:rFonts w:eastAsia="MS Mincho"/>
              </w:rPr>
            </w:pPr>
            <w:r w:rsidRPr="00866DE0">
              <w:rPr>
                <w:rFonts w:eastAsia="MS Mincho"/>
              </w:rPr>
              <w:t xml:space="preserve">Piper </w:t>
            </w:r>
            <w:r w:rsidR="0065538B">
              <w:rPr>
                <w:rFonts w:eastAsia="MS Mincho"/>
              </w:rPr>
              <w:t>(</w:t>
            </w:r>
            <w:r w:rsidRPr="00866DE0">
              <w:rPr>
                <w:rFonts w:eastAsia="MS Mincho"/>
              </w:rPr>
              <w:t>2007</w:t>
            </w:r>
            <w:r w:rsidR="0065538B">
              <w:rPr>
                <w:rFonts w:eastAsia="MS Mincho"/>
              </w:rPr>
              <w:t>)</w:t>
            </w:r>
          </w:p>
        </w:tc>
        <w:tc>
          <w:tcPr>
            <w:tcW w:w="239" w:type="pct"/>
          </w:tcPr>
          <w:p w14:paraId="3D7C830D" w14:textId="4FD3FEC1" w:rsidR="00D137CE" w:rsidRDefault="005051DC" w:rsidP="00A71365">
            <w:pPr>
              <w:pStyle w:val="Tablewriting"/>
              <w:rPr>
                <w:rFonts w:eastAsia="MS Mincho"/>
              </w:rPr>
            </w:pPr>
            <w:r>
              <w:rPr>
                <w:rFonts w:eastAsia="MS Mincho"/>
              </w:rPr>
              <w:t>RCT</w:t>
            </w:r>
          </w:p>
        </w:tc>
        <w:tc>
          <w:tcPr>
            <w:tcW w:w="422" w:type="pct"/>
          </w:tcPr>
          <w:p w14:paraId="7B513DDD" w14:textId="12901A5F" w:rsidR="0035253E" w:rsidRPr="00061F78" w:rsidRDefault="005051DC" w:rsidP="00A71365">
            <w:pPr>
              <w:pStyle w:val="Tablewriting"/>
              <w:rPr>
                <w:rFonts w:eastAsia="MS Mincho"/>
              </w:rPr>
            </w:pPr>
            <w:r>
              <w:rPr>
                <w:rFonts w:eastAsia="MS Mincho"/>
              </w:rPr>
              <w:t>USA</w:t>
            </w:r>
          </w:p>
        </w:tc>
        <w:tc>
          <w:tcPr>
            <w:tcW w:w="449" w:type="pct"/>
          </w:tcPr>
          <w:p w14:paraId="6CBC697B" w14:textId="35C1210B" w:rsidR="00D137CE" w:rsidRPr="00061F78" w:rsidRDefault="005051DC" w:rsidP="00A71365">
            <w:pPr>
              <w:pStyle w:val="Tablewriting"/>
              <w:rPr>
                <w:rFonts w:eastAsia="MS Mincho"/>
              </w:rPr>
            </w:pPr>
            <w:r>
              <w:rPr>
                <w:rFonts w:eastAsia="MS Mincho"/>
              </w:rPr>
              <w:t>N=</w:t>
            </w:r>
            <w:r w:rsidRPr="005051DC">
              <w:rPr>
                <w:rFonts w:eastAsia="MS Mincho"/>
              </w:rPr>
              <w:t xml:space="preserve">608 </w:t>
            </w:r>
          </w:p>
        </w:tc>
        <w:tc>
          <w:tcPr>
            <w:tcW w:w="1271" w:type="pct"/>
          </w:tcPr>
          <w:p w14:paraId="132772C5" w14:textId="5641324D" w:rsidR="00D137CE" w:rsidRPr="00061F78" w:rsidRDefault="005051DC" w:rsidP="00A71365">
            <w:pPr>
              <w:pStyle w:val="Tablewriting"/>
              <w:rPr>
                <w:rFonts w:eastAsia="MS Mincho"/>
              </w:rPr>
            </w:pPr>
            <w:r>
              <w:rPr>
                <w:rFonts w:eastAsia="MS Mincho"/>
              </w:rPr>
              <w:t>S</w:t>
            </w:r>
            <w:r w:rsidRPr="005051DC">
              <w:rPr>
                <w:rFonts w:eastAsia="MS Mincho"/>
              </w:rPr>
              <w:t>mokers</w:t>
            </w:r>
            <w:r w:rsidR="0014479B">
              <w:rPr>
                <w:rFonts w:eastAsia="MS Mincho"/>
              </w:rPr>
              <w:t>,</w:t>
            </w:r>
            <w:r w:rsidRPr="005051DC">
              <w:rPr>
                <w:rFonts w:eastAsia="MS Mincho"/>
              </w:rPr>
              <w:t xml:space="preserve"> 58% female</w:t>
            </w:r>
            <w:r w:rsidR="0014479B">
              <w:rPr>
                <w:rFonts w:eastAsia="MS Mincho"/>
              </w:rPr>
              <w:t>,</w:t>
            </w:r>
            <w:r w:rsidRPr="005051DC">
              <w:rPr>
                <w:rFonts w:eastAsia="MS Mincho"/>
              </w:rPr>
              <w:t xml:space="preserve"> average age 42</w:t>
            </w:r>
            <w:r w:rsidR="0014479B">
              <w:rPr>
                <w:rFonts w:eastAsia="MS Mincho"/>
              </w:rPr>
              <w:t>,</w:t>
            </w:r>
            <w:r w:rsidRPr="005051DC">
              <w:rPr>
                <w:rFonts w:eastAsia="MS Mincho"/>
              </w:rPr>
              <w:t xml:space="preserve"> average cigarettes per day 22</w:t>
            </w:r>
          </w:p>
        </w:tc>
        <w:tc>
          <w:tcPr>
            <w:tcW w:w="1224" w:type="pct"/>
          </w:tcPr>
          <w:p w14:paraId="545C2DF9" w14:textId="77777777" w:rsidR="005051DC" w:rsidRPr="005051DC" w:rsidRDefault="005051DC" w:rsidP="00C324F3">
            <w:pPr>
              <w:pStyle w:val="Tablewriting"/>
              <w:numPr>
                <w:ilvl w:val="0"/>
                <w:numId w:val="40"/>
              </w:numPr>
              <w:rPr>
                <w:rFonts w:eastAsia="MS Mincho"/>
              </w:rPr>
            </w:pPr>
            <w:r w:rsidRPr="005051DC">
              <w:rPr>
                <w:rFonts w:eastAsia="MS Mincho"/>
              </w:rPr>
              <w:t>Nicotine gum and bupropion. Gum at 4 mg. Bupropion at 300 mg</w:t>
            </w:r>
          </w:p>
          <w:p w14:paraId="6F5C7AD4" w14:textId="01B618F9" w:rsidR="005051DC" w:rsidRPr="005051DC" w:rsidRDefault="005051DC" w:rsidP="00C324F3">
            <w:pPr>
              <w:pStyle w:val="Tablewriting"/>
              <w:numPr>
                <w:ilvl w:val="0"/>
                <w:numId w:val="40"/>
              </w:numPr>
              <w:rPr>
                <w:rFonts w:eastAsia="MS Mincho"/>
              </w:rPr>
            </w:pPr>
            <w:r w:rsidRPr="005051DC">
              <w:rPr>
                <w:rFonts w:eastAsia="MS Mincho"/>
              </w:rPr>
              <w:t>Placebo gum and bupropion</w:t>
            </w:r>
          </w:p>
          <w:p w14:paraId="49E0FAE5" w14:textId="706B9E04" w:rsidR="005051DC" w:rsidRPr="005051DC" w:rsidRDefault="005051DC" w:rsidP="00C324F3">
            <w:pPr>
              <w:pStyle w:val="Tablewriting"/>
              <w:numPr>
                <w:ilvl w:val="0"/>
                <w:numId w:val="40"/>
              </w:numPr>
              <w:rPr>
                <w:rFonts w:eastAsia="MS Mincho"/>
              </w:rPr>
            </w:pPr>
            <w:r w:rsidRPr="005051DC">
              <w:rPr>
                <w:rFonts w:eastAsia="MS Mincho"/>
              </w:rPr>
              <w:t>Double placebo</w:t>
            </w:r>
          </w:p>
          <w:p w14:paraId="337458D9" w14:textId="77777777" w:rsidR="005051DC" w:rsidRDefault="005051DC" w:rsidP="00A71365">
            <w:pPr>
              <w:pStyle w:val="Tablewriting"/>
              <w:rPr>
                <w:rFonts w:eastAsia="MS Mincho"/>
              </w:rPr>
            </w:pPr>
          </w:p>
          <w:p w14:paraId="6B6AB65F" w14:textId="2A16457B" w:rsidR="00D137CE" w:rsidRPr="00061F78" w:rsidRDefault="005051DC" w:rsidP="00A71365">
            <w:pPr>
              <w:pStyle w:val="Tablewriting"/>
              <w:rPr>
                <w:rFonts w:eastAsia="MS Mincho"/>
              </w:rPr>
            </w:pPr>
            <w:r w:rsidRPr="005051DC">
              <w:rPr>
                <w:rFonts w:eastAsia="MS Mincho"/>
                <w:u w:val="single"/>
              </w:rPr>
              <w:lastRenderedPageBreak/>
              <w:t>Common components:</w:t>
            </w:r>
            <w:r w:rsidRPr="005051DC">
              <w:rPr>
                <w:rFonts w:eastAsia="MS Mincho"/>
              </w:rPr>
              <w:t xml:space="preserve"> three 10-min counselling sessions over 3 weeks</w:t>
            </w:r>
          </w:p>
        </w:tc>
        <w:tc>
          <w:tcPr>
            <w:tcW w:w="832" w:type="pct"/>
          </w:tcPr>
          <w:p w14:paraId="33FF6B63" w14:textId="047BCC85" w:rsidR="008E15EF" w:rsidRPr="008E15EF" w:rsidRDefault="008E15EF" w:rsidP="00A71365">
            <w:pPr>
              <w:pStyle w:val="Tablewriting"/>
              <w:rPr>
                <w:rFonts w:eastAsia="MS Mincho"/>
              </w:rPr>
            </w:pPr>
            <w:r w:rsidRPr="008E15EF">
              <w:rPr>
                <w:rFonts w:eastAsia="MS Mincho"/>
                <w:u w:val="single"/>
              </w:rPr>
              <w:lastRenderedPageBreak/>
              <w:t>Efficacy:</w:t>
            </w:r>
            <w:r w:rsidRPr="008E15EF">
              <w:rPr>
                <w:rFonts w:eastAsia="MS Mincho"/>
              </w:rPr>
              <w:t xml:space="preserve"> </w:t>
            </w:r>
            <w:r w:rsidR="0014479B">
              <w:rPr>
                <w:rFonts w:eastAsia="MS Mincho"/>
              </w:rPr>
              <w:t>PPA</w:t>
            </w:r>
            <w:r w:rsidRPr="008E15EF">
              <w:rPr>
                <w:rFonts w:eastAsia="MS Mincho"/>
              </w:rPr>
              <w:t xml:space="preserve"> at 12 months. Validated by CO or blood cotinine</w:t>
            </w:r>
          </w:p>
          <w:p w14:paraId="77E34D4C" w14:textId="4105CD62" w:rsidR="00D137CE" w:rsidRPr="00061F78" w:rsidRDefault="008E15EF" w:rsidP="00A71365">
            <w:pPr>
              <w:pStyle w:val="Tablewriting"/>
              <w:rPr>
                <w:rFonts w:eastAsia="MS Mincho"/>
              </w:rPr>
            </w:pPr>
            <w:r w:rsidRPr="008E15EF">
              <w:rPr>
                <w:rFonts w:eastAsia="MS Mincho"/>
                <w:u w:val="single"/>
              </w:rPr>
              <w:t>Safety:</w:t>
            </w:r>
            <w:r w:rsidRPr="008E15EF">
              <w:rPr>
                <w:rFonts w:eastAsia="MS Mincho"/>
              </w:rPr>
              <w:t xml:space="preserve"> measured for unspecified period</w:t>
            </w:r>
            <w:r w:rsidR="00E41249">
              <w:rPr>
                <w:rFonts w:eastAsia="MS Mincho"/>
              </w:rPr>
              <w:t>.</w:t>
            </w:r>
          </w:p>
        </w:tc>
      </w:tr>
      <w:tr w:rsidR="00D137CE" w:rsidRPr="00061F78" w14:paraId="67BD2BB6" w14:textId="77777777" w:rsidTr="00D0517F">
        <w:trPr>
          <w:trHeight w:val="149"/>
        </w:trPr>
        <w:tc>
          <w:tcPr>
            <w:tcW w:w="565" w:type="pct"/>
          </w:tcPr>
          <w:p w14:paraId="19DAFE4D" w14:textId="32BD4223" w:rsidR="00D137CE" w:rsidRPr="00866DE0" w:rsidRDefault="00E73E12" w:rsidP="00A71365">
            <w:pPr>
              <w:pStyle w:val="Tablewriting"/>
              <w:rPr>
                <w:rFonts w:eastAsia="MS Mincho"/>
              </w:rPr>
            </w:pPr>
            <w:r w:rsidRPr="00866DE0">
              <w:rPr>
                <w:rFonts w:eastAsia="MS Mincho"/>
              </w:rPr>
              <w:t xml:space="preserve">Piper </w:t>
            </w:r>
            <w:r w:rsidR="0065538B">
              <w:rPr>
                <w:rFonts w:eastAsia="MS Mincho"/>
              </w:rPr>
              <w:t>(</w:t>
            </w:r>
            <w:r w:rsidRPr="00866DE0">
              <w:rPr>
                <w:rFonts w:eastAsia="MS Mincho"/>
              </w:rPr>
              <w:t>2009</w:t>
            </w:r>
            <w:r w:rsidR="0065538B">
              <w:rPr>
                <w:rFonts w:eastAsia="MS Mincho"/>
              </w:rPr>
              <w:t>)</w:t>
            </w:r>
          </w:p>
        </w:tc>
        <w:tc>
          <w:tcPr>
            <w:tcW w:w="239" w:type="pct"/>
          </w:tcPr>
          <w:p w14:paraId="015A810E" w14:textId="793201F5" w:rsidR="00D137CE" w:rsidRDefault="008E15EF" w:rsidP="00A71365">
            <w:pPr>
              <w:pStyle w:val="Tablewriting"/>
              <w:rPr>
                <w:rFonts w:eastAsia="MS Mincho"/>
              </w:rPr>
            </w:pPr>
            <w:r>
              <w:rPr>
                <w:rFonts w:eastAsia="MS Mincho"/>
              </w:rPr>
              <w:t>RCT</w:t>
            </w:r>
          </w:p>
        </w:tc>
        <w:tc>
          <w:tcPr>
            <w:tcW w:w="422" w:type="pct"/>
          </w:tcPr>
          <w:p w14:paraId="0EC9670C" w14:textId="51A2BA7B" w:rsidR="0035253E" w:rsidRPr="00061F78" w:rsidRDefault="008E15EF" w:rsidP="00A71365">
            <w:pPr>
              <w:pStyle w:val="Tablewriting"/>
              <w:rPr>
                <w:rFonts w:eastAsia="MS Mincho"/>
              </w:rPr>
            </w:pPr>
            <w:r>
              <w:rPr>
                <w:rFonts w:eastAsia="MS Mincho"/>
              </w:rPr>
              <w:t>USA</w:t>
            </w:r>
          </w:p>
        </w:tc>
        <w:tc>
          <w:tcPr>
            <w:tcW w:w="449" w:type="pct"/>
          </w:tcPr>
          <w:p w14:paraId="0815A897" w14:textId="0A5E7503" w:rsidR="00D137CE" w:rsidRPr="00061F78" w:rsidRDefault="008E15EF" w:rsidP="00A71365">
            <w:pPr>
              <w:pStyle w:val="Tablewriting"/>
              <w:rPr>
                <w:rFonts w:eastAsia="MS Mincho"/>
              </w:rPr>
            </w:pPr>
            <w:r>
              <w:rPr>
                <w:rFonts w:eastAsia="MS Mincho"/>
              </w:rPr>
              <w:t>N=</w:t>
            </w:r>
            <w:r w:rsidRPr="008E15EF">
              <w:rPr>
                <w:rFonts w:eastAsia="MS Mincho"/>
              </w:rPr>
              <w:t xml:space="preserve">1504 </w:t>
            </w:r>
          </w:p>
        </w:tc>
        <w:tc>
          <w:tcPr>
            <w:tcW w:w="1271" w:type="pct"/>
          </w:tcPr>
          <w:p w14:paraId="41F16CAB" w14:textId="47A12798" w:rsidR="00D137CE" w:rsidRPr="00061F78" w:rsidRDefault="008E15EF" w:rsidP="00A71365">
            <w:pPr>
              <w:pStyle w:val="Tablewriting"/>
              <w:rPr>
                <w:rFonts w:eastAsia="MS Mincho"/>
              </w:rPr>
            </w:pPr>
            <w:r>
              <w:rPr>
                <w:rFonts w:eastAsia="MS Mincho"/>
              </w:rPr>
              <w:t>S</w:t>
            </w:r>
            <w:r w:rsidRPr="008E15EF">
              <w:rPr>
                <w:rFonts w:eastAsia="MS Mincho"/>
              </w:rPr>
              <w:t>mokers</w:t>
            </w:r>
            <w:r w:rsidR="0014479B">
              <w:rPr>
                <w:rFonts w:eastAsia="MS Mincho"/>
              </w:rPr>
              <w:t>,</w:t>
            </w:r>
            <w:r w:rsidRPr="008E15EF">
              <w:rPr>
                <w:rFonts w:eastAsia="MS Mincho"/>
              </w:rPr>
              <w:t xml:space="preserve"> 58% female</w:t>
            </w:r>
            <w:r w:rsidR="0014479B">
              <w:rPr>
                <w:rFonts w:eastAsia="MS Mincho"/>
              </w:rPr>
              <w:t>,</w:t>
            </w:r>
            <w:r w:rsidRPr="008E15EF">
              <w:rPr>
                <w:rFonts w:eastAsia="MS Mincho"/>
              </w:rPr>
              <w:t xml:space="preserve"> average age 45</w:t>
            </w:r>
            <w:r w:rsidR="0014479B">
              <w:rPr>
                <w:rFonts w:eastAsia="MS Mincho"/>
              </w:rPr>
              <w:t>,</w:t>
            </w:r>
            <w:r w:rsidRPr="008E15EF">
              <w:rPr>
                <w:rFonts w:eastAsia="MS Mincho"/>
              </w:rPr>
              <w:t xml:space="preserve"> average cigarettes per day 21.4</w:t>
            </w:r>
          </w:p>
        </w:tc>
        <w:tc>
          <w:tcPr>
            <w:tcW w:w="1224" w:type="pct"/>
          </w:tcPr>
          <w:p w14:paraId="1F94E269" w14:textId="77777777" w:rsidR="00643CC8" w:rsidRPr="00643CC8" w:rsidRDefault="00643CC8" w:rsidP="00C324F3">
            <w:pPr>
              <w:pStyle w:val="Tablewriting"/>
              <w:numPr>
                <w:ilvl w:val="0"/>
                <w:numId w:val="41"/>
              </w:numPr>
              <w:rPr>
                <w:rFonts w:eastAsia="MS Mincho"/>
              </w:rPr>
            </w:pPr>
            <w:r w:rsidRPr="00643CC8">
              <w:rPr>
                <w:rFonts w:eastAsia="MS Mincho"/>
              </w:rPr>
              <w:t>Bupropion SR. 150 mg twice/day, 1 week pre-quit, 8 weeks post-quit</w:t>
            </w:r>
          </w:p>
          <w:p w14:paraId="2653C0B2" w14:textId="77777777" w:rsidR="00643CC8" w:rsidRDefault="00643CC8" w:rsidP="00C324F3">
            <w:pPr>
              <w:pStyle w:val="Tablewriting"/>
              <w:numPr>
                <w:ilvl w:val="0"/>
                <w:numId w:val="41"/>
              </w:numPr>
              <w:rPr>
                <w:rFonts w:eastAsia="MS Mincho"/>
              </w:rPr>
            </w:pPr>
            <w:r w:rsidRPr="00643CC8">
              <w:rPr>
                <w:rFonts w:eastAsia="MS Mincho"/>
              </w:rPr>
              <w:t>Bupropion and nicotine lozenge. Duration and dosage as below</w:t>
            </w:r>
          </w:p>
          <w:p w14:paraId="204DC40A" w14:textId="77777777" w:rsidR="00643CC8" w:rsidRDefault="00643CC8" w:rsidP="00C324F3">
            <w:pPr>
              <w:pStyle w:val="Tablewriting"/>
              <w:numPr>
                <w:ilvl w:val="0"/>
                <w:numId w:val="41"/>
              </w:numPr>
              <w:rPr>
                <w:rFonts w:eastAsia="MS Mincho"/>
              </w:rPr>
            </w:pPr>
            <w:r w:rsidRPr="00643CC8">
              <w:rPr>
                <w:rFonts w:eastAsia="MS Mincho"/>
              </w:rPr>
              <w:t>Nicotine lozenge. 2 mg or 4 mg for 12 weeks (based on dose-for-dependence level as per instructions)</w:t>
            </w:r>
          </w:p>
          <w:p w14:paraId="066E2AB4" w14:textId="13E2A959" w:rsidR="00643CC8" w:rsidRDefault="00643CC8" w:rsidP="00C324F3">
            <w:pPr>
              <w:pStyle w:val="Tablewriting"/>
              <w:numPr>
                <w:ilvl w:val="0"/>
                <w:numId w:val="41"/>
              </w:numPr>
              <w:rPr>
                <w:rFonts w:eastAsia="MS Mincho"/>
              </w:rPr>
            </w:pPr>
            <w:r w:rsidRPr="00643CC8">
              <w:rPr>
                <w:rFonts w:eastAsia="MS Mincho"/>
              </w:rPr>
              <w:t>Nicotine patch (24 hr, 21, 14, and 7 mg titrated down over 8-week period post-quit)</w:t>
            </w:r>
          </w:p>
          <w:p w14:paraId="6C971DD8" w14:textId="77777777" w:rsidR="00643CC8" w:rsidRDefault="00643CC8" w:rsidP="00C324F3">
            <w:pPr>
              <w:pStyle w:val="Tablewriting"/>
              <w:numPr>
                <w:ilvl w:val="0"/>
                <w:numId w:val="41"/>
              </w:numPr>
              <w:rPr>
                <w:rFonts w:eastAsia="MS Mincho"/>
              </w:rPr>
            </w:pPr>
            <w:r w:rsidRPr="00643CC8">
              <w:rPr>
                <w:rFonts w:eastAsia="MS Mincho"/>
              </w:rPr>
              <w:t>Nicotine lozenge and nicotine patch. Duration and dosage as above</w:t>
            </w:r>
          </w:p>
          <w:p w14:paraId="455C6321" w14:textId="77777777" w:rsidR="00643CC8" w:rsidRDefault="00643CC8" w:rsidP="00C324F3">
            <w:pPr>
              <w:pStyle w:val="Tablewriting"/>
              <w:numPr>
                <w:ilvl w:val="0"/>
                <w:numId w:val="41"/>
              </w:numPr>
              <w:rPr>
                <w:rFonts w:eastAsia="MS Mincho"/>
              </w:rPr>
            </w:pPr>
            <w:r w:rsidRPr="00643CC8">
              <w:rPr>
                <w:rFonts w:eastAsia="MS Mincho"/>
              </w:rPr>
              <w:t>Placebo bupropion</w:t>
            </w:r>
          </w:p>
          <w:p w14:paraId="13C8845D" w14:textId="77777777" w:rsidR="00643CC8" w:rsidRDefault="00643CC8" w:rsidP="00C324F3">
            <w:pPr>
              <w:pStyle w:val="Tablewriting"/>
              <w:numPr>
                <w:ilvl w:val="0"/>
                <w:numId w:val="41"/>
              </w:numPr>
              <w:rPr>
                <w:rFonts w:eastAsia="MS Mincho"/>
              </w:rPr>
            </w:pPr>
            <w:r w:rsidRPr="00643CC8">
              <w:rPr>
                <w:rFonts w:eastAsia="MS Mincho"/>
              </w:rPr>
              <w:t>Placebo bupropion and placebo lozenge</w:t>
            </w:r>
          </w:p>
          <w:p w14:paraId="77D60B89" w14:textId="77777777" w:rsidR="00643CC8" w:rsidRDefault="00643CC8" w:rsidP="00C324F3">
            <w:pPr>
              <w:pStyle w:val="Tablewriting"/>
              <w:numPr>
                <w:ilvl w:val="0"/>
                <w:numId w:val="41"/>
              </w:numPr>
              <w:rPr>
                <w:rFonts w:eastAsia="MS Mincho"/>
              </w:rPr>
            </w:pPr>
            <w:r w:rsidRPr="00643CC8">
              <w:rPr>
                <w:rFonts w:eastAsia="MS Mincho"/>
              </w:rPr>
              <w:t>Placebo lozenge</w:t>
            </w:r>
          </w:p>
          <w:p w14:paraId="3DE9156B" w14:textId="77777777" w:rsidR="00643CC8" w:rsidRDefault="00643CC8" w:rsidP="00C324F3">
            <w:pPr>
              <w:pStyle w:val="Tablewriting"/>
              <w:numPr>
                <w:ilvl w:val="0"/>
                <w:numId w:val="41"/>
              </w:numPr>
              <w:rPr>
                <w:rFonts w:eastAsia="MS Mincho"/>
              </w:rPr>
            </w:pPr>
            <w:r w:rsidRPr="00643CC8">
              <w:rPr>
                <w:rFonts w:eastAsia="MS Mincho"/>
              </w:rPr>
              <w:t>Placebo patch</w:t>
            </w:r>
          </w:p>
          <w:p w14:paraId="46E9C0F0" w14:textId="53ECC908" w:rsidR="00643CC8" w:rsidRPr="00643CC8" w:rsidRDefault="00643CC8" w:rsidP="00C324F3">
            <w:pPr>
              <w:pStyle w:val="Tablewriting"/>
              <w:numPr>
                <w:ilvl w:val="0"/>
                <w:numId w:val="41"/>
              </w:numPr>
              <w:rPr>
                <w:rFonts w:eastAsia="MS Mincho"/>
              </w:rPr>
            </w:pPr>
            <w:r w:rsidRPr="00643CC8">
              <w:rPr>
                <w:rFonts w:eastAsia="MS Mincho"/>
              </w:rPr>
              <w:t>Placebo lozenge and placebo patch</w:t>
            </w:r>
          </w:p>
          <w:p w14:paraId="17E8C37C" w14:textId="77777777" w:rsidR="00643CC8" w:rsidRDefault="00643CC8" w:rsidP="00A71365">
            <w:pPr>
              <w:pStyle w:val="Tablewriting"/>
              <w:rPr>
                <w:rFonts w:eastAsia="MS Mincho"/>
              </w:rPr>
            </w:pPr>
          </w:p>
          <w:p w14:paraId="65E2A9DB" w14:textId="35E8DDB7" w:rsidR="00D137CE" w:rsidRPr="00061F78" w:rsidRDefault="00643CC8" w:rsidP="00A71365">
            <w:pPr>
              <w:pStyle w:val="Tablewriting"/>
              <w:rPr>
                <w:rFonts w:eastAsia="MS Mincho"/>
              </w:rPr>
            </w:pPr>
            <w:r w:rsidRPr="00643CC8">
              <w:rPr>
                <w:rFonts w:eastAsia="MS Mincho"/>
                <w:u w:val="single"/>
              </w:rPr>
              <w:t>Common components:</w:t>
            </w:r>
            <w:r w:rsidRPr="00643CC8">
              <w:rPr>
                <w:rFonts w:eastAsia="MS Mincho"/>
              </w:rPr>
              <w:t xml:space="preserve"> 7 one-to-one 10 to 20-min</w:t>
            </w:r>
            <w:r>
              <w:rPr>
                <w:rFonts w:eastAsia="MS Mincho"/>
              </w:rPr>
              <w:t xml:space="preserve"> </w:t>
            </w:r>
            <w:r w:rsidRPr="00643CC8">
              <w:rPr>
                <w:rFonts w:eastAsia="MS Mincho"/>
              </w:rPr>
              <w:t>counselling sessions</w:t>
            </w:r>
          </w:p>
        </w:tc>
        <w:tc>
          <w:tcPr>
            <w:tcW w:w="832" w:type="pct"/>
          </w:tcPr>
          <w:p w14:paraId="51D217C4" w14:textId="40203850" w:rsidR="001F1445" w:rsidRPr="001F1445" w:rsidRDefault="001F1445" w:rsidP="00A71365">
            <w:pPr>
              <w:pStyle w:val="Tablewriting"/>
              <w:rPr>
                <w:rFonts w:eastAsia="MS Mincho"/>
              </w:rPr>
            </w:pPr>
            <w:r w:rsidRPr="001F1445">
              <w:rPr>
                <w:rFonts w:eastAsia="MS Mincho"/>
                <w:u w:val="single"/>
              </w:rPr>
              <w:t>Efficacy:</w:t>
            </w:r>
            <w:r w:rsidRPr="001F1445">
              <w:rPr>
                <w:rFonts w:eastAsia="MS Mincho"/>
              </w:rPr>
              <w:t xml:space="preserve"> 7-day </w:t>
            </w:r>
            <w:r w:rsidR="0069303D">
              <w:rPr>
                <w:rFonts w:eastAsia="MS Mincho"/>
              </w:rPr>
              <w:t>PPA</w:t>
            </w:r>
            <w:r w:rsidRPr="001F1445">
              <w:rPr>
                <w:rFonts w:eastAsia="MS Mincho"/>
              </w:rPr>
              <w:t xml:space="preserve"> at 6 months. Validated by CO &lt; 10 ppm</w:t>
            </w:r>
          </w:p>
          <w:p w14:paraId="439B34E3" w14:textId="264330B0" w:rsidR="00D137CE" w:rsidRPr="00061F78" w:rsidRDefault="001F1445" w:rsidP="00A71365">
            <w:pPr>
              <w:pStyle w:val="Tablewriting"/>
              <w:rPr>
                <w:rFonts w:eastAsia="MS Mincho"/>
              </w:rPr>
            </w:pPr>
            <w:r w:rsidRPr="001F1445">
              <w:rPr>
                <w:rFonts w:eastAsia="MS Mincho"/>
                <w:u w:val="single"/>
              </w:rPr>
              <w:t>Safety:</w:t>
            </w:r>
            <w:r w:rsidRPr="001F1445">
              <w:rPr>
                <w:rFonts w:eastAsia="MS Mincho"/>
              </w:rPr>
              <w:t xml:space="preserve"> measured for 10 weeks</w:t>
            </w:r>
            <w:r w:rsidR="00E41249">
              <w:rPr>
                <w:rFonts w:eastAsia="MS Mincho"/>
              </w:rPr>
              <w:t>.</w:t>
            </w:r>
          </w:p>
        </w:tc>
      </w:tr>
      <w:tr w:rsidR="00D137CE" w:rsidRPr="00061F78" w14:paraId="010C28AB" w14:textId="77777777" w:rsidTr="00D0517F">
        <w:trPr>
          <w:trHeight w:val="149"/>
        </w:trPr>
        <w:tc>
          <w:tcPr>
            <w:tcW w:w="565" w:type="pct"/>
          </w:tcPr>
          <w:p w14:paraId="5F42D057" w14:textId="6F219D0C" w:rsidR="00D137CE" w:rsidRPr="00866DE0" w:rsidRDefault="00A71288" w:rsidP="00A71365">
            <w:pPr>
              <w:pStyle w:val="Tablewriting"/>
              <w:rPr>
                <w:rFonts w:eastAsia="MS Mincho"/>
              </w:rPr>
            </w:pPr>
            <w:r w:rsidRPr="00866DE0">
              <w:rPr>
                <w:rFonts w:eastAsia="MS Mincho"/>
              </w:rPr>
              <w:t xml:space="preserve">Planer </w:t>
            </w:r>
            <w:r w:rsidR="0065538B">
              <w:rPr>
                <w:rFonts w:eastAsia="MS Mincho"/>
              </w:rPr>
              <w:t>(</w:t>
            </w:r>
            <w:r w:rsidRPr="00866DE0">
              <w:rPr>
                <w:rFonts w:eastAsia="MS Mincho"/>
              </w:rPr>
              <w:t>2011</w:t>
            </w:r>
            <w:r w:rsidR="0065538B">
              <w:rPr>
                <w:rFonts w:eastAsia="MS Mincho"/>
              </w:rPr>
              <w:t>)</w:t>
            </w:r>
          </w:p>
        </w:tc>
        <w:tc>
          <w:tcPr>
            <w:tcW w:w="239" w:type="pct"/>
          </w:tcPr>
          <w:p w14:paraId="213F70AD" w14:textId="15A3110E" w:rsidR="00D137CE" w:rsidRDefault="001A0B5B" w:rsidP="00A71365">
            <w:pPr>
              <w:pStyle w:val="Tablewriting"/>
              <w:rPr>
                <w:rFonts w:eastAsia="MS Mincho"/>
              </w:rPr>
            </w:pPr>
            <w:r>
              <w:rPr>
                <w:rFonts w:eastAsia="MS Mincho"/>
              </w:rPr>
              <w:t>RCT</w:t>
            </w:r>
          </w:p>
        </w:tc>
        <w:tc>
          <w:tcPr>
            <w:tcW w:w="422" w:type="pct"/>
          </w:tcPr>
          <w:p w14:paraId="241E732F" w14:textId="11C052EF" w:rsidR="0035253E" w:rsidRPr="00061F78" w:rsidRDefault="001A0B5B" w:rsidP="00A71365">
            <w:pPr>
              <w:pStyle w:val="Tablewriting"/>
              <w:rPr>
                <w:rFonts w:eastAsia="MS Mincho"/>
              </w:rPr>
            </w:pPr>
            <w:r>
              <w:rPr>
                <w:rFonts w:eastAsia="MS Mincho"/>
              </w:rPr>
              <w:t>Israel</w:t>
            </w:r>
          </w:p>
        </w:tc>
        <w:tc>
          <w:tcPr>
            <w:tcW w:w="449" w:type="pct"/>
          </w:tcPr>
          <w:p w14:paraId="19D252E0" w14:textId="35889799" w:rsidR="00D137CE" w:rsidRPr="00061F78" w:rsidRDefault="001A0B5B" w:rsidP="00A71365">
            <w:pPr>
              <w:pStyle w:val="Tablewriting"/>
              <w:rPr>
                <w:rFonts w:eastAsia="MS Mincho"/>
              </w:rPr>
            </w:pPr>
            <w:r>
              <w:rPr>
                <w:rFonts w:eastAsia="MS Mincho"/>
              </w:rPr>
              <w:t>N=</w:t>
            </w:r>
            <w:r w:rsidR="006A7E6E" w:rsidRPr="006A7E6E">
              <w:rPr>
                <w:rFonts w:eastAsia="MS Mincho"/>
              </w:rPr>
              <w:t>151</w:t>
            </w:r>
          </w:p>
        </w:tc>
        <w:tc>
          <w:tcPr>
            <w:tcW w:w="1271" w:type="pct"/>
          </w:tcPr>
          <w:p w14:paraId="34C20D6E" w14:textId="1C845C48" w:rsidR="00D137CE" w:rsidRPr="00061F78" w:rsidRDefault="006A7E6E" w:rsidP="00A71365">
            <w:pPr>
              <w:pStyle w:val="Tablewriting"/>
              <w:rPr>
                <w:rFonts w:eastAsia="MS Mincho"/>
              </w:rPr>
            </w:pPr>
            <w:r>
              <w:rPr>
                <w:rFonts w:eastAsia="MS Mincho"/>
              </w:rPr>
              <w:t>S</w:t>
            </w:r>
            <w:r w:rsidRPr="006A7E6E">
              <w:rPr>
                <w:rFonts w:eastAsia="MS Mincho"/>
              </w:rPr>
              <w:t>mokers with diagnosis of acute coronary syndrome, motivated to quit</w:t>
            </w:r>
            <w:r w:rsidR="0014479B">
              <w:rPr>
                <w:rFonts w:eastAsia="MS Mincho"/>
              </w:rPr>
              <w:t>,</w:t>
            </w:r>
            <w:r w:rsidRPr="006A7E6E">
              <w:rPr>
                <w:rFonts w:eastAsia="MS Mincho"/>
              </w:rPr>
              <w:t xml:space="preserve"> average age 51.9</w:t>
            </w:r>
            <w:r w:rsidR="0014479B">
              <w:rPr>
                <w:rFonts w:eastAsia="MS Mincho"/>
              </w:rPr>
              <w:t>,</w:t>
            </w:r>
            <w:r w:rsidRPr="006A7E6E">
              <w:rPr>
                <w:rFonts w:eastAsia="MS Mincho"/>
              </w:rPr>
              <w:t xml:space="preserve"> 20.1% female</w:t>
            </w:r>
            <w:r w:rsidR="0014479B">
              <w:rPr>
                <w:rFonts w:eastAsia="MS Mincho"/>
              </w:rPr>
              <w:t>,</w:t>
            </w:r>
            <w:r>
              <w:rPr>
                <w:rFonts w:eastAsia="MS Mincho"/>
              </w:rPr>
              <w:t xml:space="preserve"> </w:t>
            </w:r>
            <w:r w:rsidRPr="006A7E6E">
              <w:rPr>
                <w:rFonts w:eastAsia="MS Mincho"/>
              </w:rPr>
              <w:t>average cigarettes per day 31</w:t>
            </w:r>
          </w:p>
        </w:tc>
        <w:tc>
          <w:tcPr>
            <w:tcW w:w="1224" w:type="pct"/>
          </w:tcPr>
          <w:p w14:paraId="128DCA5D" w14:textId="77777777" w:rsidR="006A7E6E" w:rsidRDefault="006A7E6E" w:rsidP="00C324F3">
            <w:pPr>
              <w:pStyle w:val="Tablewriting"/>
              <w:numPr>
                <w:ilvl w:val="0"/>
                <w:numId w:val="42"/>
              </w:numPr>
              <w:rPr>
                <w:rFonts w:eastAsia="MS Mincho"/>
              </w:rPr>
            </w:pPr>
            <w:r w:rsidRPr="006A7E6E">
              <w:rPr>
                <w:rFonts w:eastAsia="MS Mincho"/>
              </w:rPr>
              <w:t>Bupropion, 150 mg 1 x day for 3 days, then 2 x day for 2 months</w:t>
            </w:r>
          </w:p>
          <w:p w14:paraId="453D1497" w14:textId="0E955941" w:rsidR="006A7E6E" w:rsidRPr="006A7E6E" w:rsidRDefault="006A7E6E" w:rsidP="00C324F3">
            <w:pPr>
              <w:pStyle w:val="Tablewriting"/>
              <w:numPr>
                <w:ilvl w:val="0"/>
                <w:numId w:val="42"/>
              </w:numPr>
              <w:rPr>
                <w:rFonts w:eastAsia="MS Mincho"/>
              </w:rPr>
            </w:pPr>
            <w:r w:rsidRPr="006A7E6E">
              <w:rPr>
                <w:rFonts w:eastAsia="MS Mincho"/>
              </w:rPr>
              <w:t>Placebo, same schedule as above</w:t>
            </w:r>
          </w:p>
          <w:p w14:paraId="5E3AA3B3" w14:textId="77777777" w:rsidR="006A7E6E" w:rsidRDefault="006A7E6E" w:rsidP="00A71365">
            <w:pPr>
              <w:pStyle w:val="Tablewriting"/>
              <w:rPr>
                <w:rFonts w:eastAsia="MS Mincho"/>
              </w:rPr>
            </w:pPr>
          </w:p>
          <w:p w14:paraId="534BC390" w14:textId="40F63C82" w:rsidR="006A7E6E" w:rsidRPr="006A7E6E" w:rsidRDefault="006A7E6E" w:rsidP="00A71365">
            <w:pPr>
              <w:pStyle w:val="Tablewriting"/>
              <w:rPr>
                <w:rFonts w:eastAsia="MS Mincho"/>
              </w:rPr>
            </w:pPr>
            <w:r w:rsidRPr="006A7E6E">
              <w:rPr>
                <w:rFonts w:eastAsia="MS Mincho"/>
                <w:u w:val="single"/>
              </w:rPr>
              <w:t>Common components:</w:t>
            </w:r>
            <w:r>
              <w:rPr>
                <w:rFonts w:eastAsia="MS Mincho"/>
                <w:u w:val="single"/>
              </w:rPr>
              <w:t xml:space="preserve"> </w:t>
            </w:r>
            <w:r w:rsidRPr="006A7E6E">
              <w:rPr>
                <w:rFonts w:eastAsia="MS Mincho"/>
              </w:rPr>
              <w:t>counselling (at least 15 min of motivational support) during hospitalization</w:t>
            </w:r>
          </w:p>
          <w:p w14:paraId="68C59386" w14:textId="4C05EB5D" w:rsidR="006A7E6E" w:rsidRPr="006A7E6E" w:rsidRDefault="006A7E6E" w:rsidP="00A71365">
            <w:pPr>
              <w:pStyle w:val="Tablewriting"/>
              <w:rPr>
                <w:rFonts w:eastAsia="MS Mincho"/>
              </w:rPr>
            </w:pPr>
            <w:r w:rsidRPr="006A7E6E">
              <w:rPr>
                <w:rFonts w:eastAsia="MS Mincho"/>
              </w:rPr>
              <w:lastRenderedPageBreak/>
              <w:t>and continued after discharge (at least 2 visits with physician and nurse at 1 month and 2 months and</w:t>
            </w:r>
            <w:r>
              <w:rPr>
                <w:rFonts w:eastAsia="MS Mincho"/>
              </w:rPr>
              <w:t xml:space="preserve"> </w:t>
            </w:r>
            <w:r w:rsidRPr="006A7E6E">
              <w:rPr>
                <w:rFonts w:eastAsia="MS Mincho"/>
              </w:rPr>
              <w:t>weekly telephone call by nurse during first and second month, then monthly telephone calls during rest</w:t>
            </w:r>
          </w:p>
          <w:p w14:paraId="1389F554" w14:textId="7EB96241" w:rsidR="00D137CE" w:rsidRPr="00061F78" w:rsidRDefault="006A7E6E" w:rsidP="00A71365">
            <w:pPr>
              <w:pStyle w:val="Tablewriting"/>
              <w:rPr>
                <w:rFonts w:eastAsia="MS Mincho"/>
              </w:rPr>
            </w:pPr>
            <w:r w:rsidRPr="006A7E6E">
              <w:rPr>
                <w:rFonts w:eastAsia="MS Mincho"/>
              </w:rPr>
              <w:t>of the year)</w:t>
            </w:r>
          </w:p>
        </w:tc>
        <w:tc>
          <w:tcPr>
            <w:tcW w:w="832" w:type="pct"/>
          </w:tcPr>
          <w:p w14:paraId="75E51AE4" w14:textId="3BBA2752" w:rsidR="006A7E6E" w:rsidRPr="006A7E6E" w:rsidRDefault="006A7E6E" w:rsidP="00A71365">
            <w:pPr>
              <w:pStyle w:val="Tablewriting"/>
              <w:rPr>
                <w:rFonts w:eastAsia="MS Mincho"/>
              </w:rPr>
            </w:pPr>
            <w:r w:rsidRPr="006A7E6E">
              <w:rPr>
                <w:rFonts w:eastAsia="MS Mincho"/>
                <w:u w:val="single"/>
              </w:rPr>
              <w:lastRenderedPageBreak/>
              <w:t>Efficacy:</w:t>
            </w:r>
            <w:r w:rsidRPr="006A7E6E">
              <w:rPr>
                <w:rFonts w:eastAsia="MS Mincho"/>
              </w:rPr>
              <w:t xml:space="preserve"> self-reported continuous abstinence at 12 months</w:t>
            </w:r>
          </w:p>
          <w:p w14:paraId="2E954C1E" w14:textId="1FC8B04F" w:rsidR="00D137CE" w:rsidRPr="00061F78" w:rsidRDefault="006A7E6E" w:rsidP="00A71365">
            <w:pPr>
              <w:pStyle w:val="Tablewriting"/>
              <w:rPr>
                <w:rFonts w:eastAsia="MS Mincho"/>
              </w:rPr>
            </w:pPr>
            <w:r w:rsidRPr="006A7E6E">
              <w:rPr>
                <w:rFonts w:eastAsia="MS Mincho"/>
                <w:u w:val="single"/>
              </w:rPr>
              <w:t>Safety:</w:t>
            </w:r>
            <w:r w:rsidRPr="006A7E6E">
              <w:rPr>
                <w:rFonts w:eastAsia="MS Mincho"/>
              </w:rPr>
              <w:t xml:space="preserve"> measured for 12 months</w:t>
            </w:r>
            <w:r w:rsidR="00E41249">
              <w:rPr>
                <w:rFonts w:eastAsia="MS Mincho"/>
              </w:rPr>
              <w:t>.</w:t>
            </w:r>
          </w:p>
        </w:tc>
      </w:tr>
      <w:tr w:rsidR="00D137CE" w:rsidRPr="00061F78" w14:paraId="57FE5AF1" w14:textId="77777777" w:rsidTr="00D0517F">
        <w:trPr>
          <w:trHeight w:val="149"/>
        </w:trPr>
        <w:tc>
          <w:tcPr>
            <w:tcW w:w="565" w:type="pct"/>
          </w:tcPr>
          <w:p w14:paraId="4A80D59A" w14:textId="5620922E" w:rsidR="00D137CE" w:rsidRPr="00866DE0" w:rsidRDefault="00A71288" w:rsidP="00A71365">
            <w:pPr>
              <w:pStyle w:val="Tablewriting"/>
              <w:rPr>
                <w:rFonts w:eastAsia="MS Mincho"/>
              </w:rPr>
            </w:pPr>
            <w:r w:rsidRPr="00B63651">
              <w:rPr>
                <w:rFonts w:eastAsia="MS Mincho"/>
              </w:rPr>
              <w:t xml:space="preserve">Rigotti </w:t>
            </w:r>
            <w:r w:rsidR="0065538B" w:rsidRPr="00B63651">
              <w:rPr>
                <w:rFonts w:eastAsia="MS Mincho"/>
              </w:rPr>
              <w:t>(</w:t>
            </w:r>
            <w:r w:rsidRPr="00B63651">
              <w:rPr>
                <w:rFonts w:eastAsia="MS Mincho"/>
              </w:rPr>
              <w:t>2006</w:t>
            </w:r>
            <w:r w:rsidR="0065538B" w:rsidRPr="00B63651">
              <w:rPr>
                <w:rFonts w:eastAsia="MS Mincho"/>
              </w:rPr>
              <w:t>)</w:t>
            </w:r>
          </w:p>
        </w:tc>
        <w:tc>
          <w:tcPr>
            <w:tcW w:w="239" w:type="pct"/>
          </w:tcPr>
          <w:p w14:paraId="4B8F589A" w14:textId="7A41EF79" w:rsidR="00D137CE" w:rsidRDefault="00D31F6D" w:rsidP="00A71365">
            <w:pPr>
              <w:pStyle w:val="Tablewriting"/>
              <w:rPr>
                <w:rFonts w:eastAsia="MS Mincho"/>
              </w:rPr>
            </w:pPr>
            <w:r>
              <w:rPr>
                <w:rFonts w:eastAsia="MS Mincho"/>
              </w:rPr>
              <w:t>RCT</w:t>
            </w:r>
          </w:p>
        </w:tc>
        <w:tc>
          <w:tcPr>
            <w:tcW w:w="422" w:type="pct"/>
          </w:tcPr>
          <w:p w14:paraId="2ABCD880" w14:textId="754528A5" w:rsidR="0035253E" w:rsidRPr="00061F78" w:rsidRDefault="00D31F6D" w:rsidP="00A71365">
            <w:pPr>
              <w:pStyle w:val="Tablewriting"/>
              <w:rPr>
                <w:rFonts w:eastAsia="MS Mincho"/>
              </w:rPr>
            </w:pPr>
            <w:r>
              <w:rPr>
                <w:rFonts w:eastAsia="MS Mincho"/>
              </w:rPr>
              <w:t>USA</w:t>
            </w:r>
          </w:p>
        </w:tc>
        <w:tc>
          <w:tcPr>
            <w:tcW w:w="449" w:type="pct"/>
          </w:tcPr>
          <w:p w14:paraId="5546E136" w14:textId="04C48377" w:rsidR="00D137CE" w:rsidRPr="00061F78" w:rsidRDefault="00D31F6D" w:rsidP="00A71365">
            <w:pPr>
              <w:pStyle w:val="Tablewriting"/>
              <w:rPr>
                <w:rFonts w:eastAsia="MS Mincho"/>
              </w:rPr>
            </w:pPr>
            <w:r>
              <w:rPr>
                <w:rFonts w:eastAsia="MS Mincho"/>
              </w:rPr>
              <w:t>N=</w:t>
            </w:r>
            <w:r w:rsidRPr="00D31F6D">
              <w:rPr>
                <w:rFonts w:eastAsia="MS Mincho"/>
              </w:rPr>
              <w:t>248</w:t>
            </w:r>
          </w:p>
        </w:tc>
        <w:tc>
          <w:tcPr>
            <w:tcW w:w="1271" w:type="pct"/>
          </w:tcPr>
          <w:p w14:paraId="171A707C" w14:textId="3077F37B" w:rsidR="00D31F6D" w:rsidRPr="00D31F6D" w:rsidRDefault="00D31F6D" w:rsidP="00A71365">
            <w:pPr>
              <w:pStyle w:val="Tablewriting"/>
              <w:rPr>
                <w:rFonts w:eastAsia="MS Mincho"/>
              </w:rPr>
            </w:pPr>
            <w:r>
              <w:rPr>
                <w:rFonts w:eastAsia="MS Mincho"/>
              </w:rPr>
              <w:t>S</w:t>
            </w:r>
            <w:r w:rsidRPr="00D31F6D">
              <w:rPr>
                <w:rFonts w:eastAsia="MS Mincho"/>
              </w:rPr>
              <w:t>mokers hospitalized with cardiovascular disease (excludes 3/3 dropped prior to treatment and 2</w:t>
            </w:r>
          </w:p>
          <w:p w14:paraId="1B3AC995" w14:textId="53DB7D26" w:rsidR="00D137CE" w:rsidRPr="00061F78" w:rsidRDefault="00D31F6D" w:rsidP="00A71365">
            <w:pPr>
              <w:pStyle w:val="Tablewriting"/>
              <w:rPr>
                <w:rFonts w:eastAsia="MS Mincho"/>
              </w:rPr>
            </w:pPr>
            <w:r w:rsidRPr="00D31F6D">
              <w:rPr>
                <w:rFonts w:eastAsia="MS Mincho"/>
              </w:rPr>
              <w:t>placebo deaths during follow-up)</w:t>
            </w:r>
            <w:r w:rsidR="0014479B">
              <w:rPr>
                <w:rFonts w:eastAsia="MS Mincho"/>
              </w:rPr>
              <w:t>,</w:t>
            </w:r>
            <w:r>
              <w:rPr>
                <w:rFonts w:eastAsia="MS Mincho"/>
              </w:rPr>
              <w:t xml:space="preserve"> </w:t>
            </w:r>
            <w:r w:rsidRPr="00D31F6D">
              <w:rPr>
                <w:rFonts w:eastAsia="MS Mincho"/>
              </w:rPr>
              <w:t>31% female</w:t>
            </w:r>
            <w:r w:rsidR="0014479B">
              <w:rPr>
                <w:rFonts w:eastAsia="MS Mincho"/>
              </w:rPr>
              <w:t>,</w:t>
            </w:r>
            <w:r w:rsidRPr="00D31F6D">
              <w:rPr>
                <w:rFonts w:eastAsia="MS Mincho"/>
              </w:rPr>
              <w:t xml:space="preserve"> average age 56</w:t>
            </w:r>
            <w:r w:rsidR="0014479B">
              <w:rPr>
                <w:rFonts w:eastAsia="MS Mincho"/>
              </w:rPr>
              <w:t xml:space="preserve"> years,</w:t>
            </w:r>
            <w:r>
              <w:rPr>
                <w:rFonts w:eastAsia="MS Mincho"/>
              </w:rPr>
              <w:t xml:space="preserve"> </w:t>
            </w:r>
            <w:r w:rsidRPr="00D31F6D">
              <w:rPr>
                <w:rFonts w:eastAsia="MS Mincho"/>
              </w:rPr>
              <w:t>average cigarettes per day 23/21</w:t>
            </w:r>
          </w:p>
        </w:tc>
        <w:tc>
          <w:tcPr>
            <w:tcW w:w="1224" w:type="pct"/>
          </w:tcPr>
          <w:p w14:paraId="16A5476E" w14:textId="77777777" w:rsidR="00D31F6D" w:rsidRDefault="00D31F6D" w:rsidP="00C324F3">
            <w:pPr>
              <w:pStyle w:val="Tablewriting"/>
              <w:numPr>
                <w:ilvl w:val="0"/>
                <w:numId w:val="43"/>
              </w:numPr>
              <w:rPr>
                <w:rFonts w:eastAsia="MS Mincho"/>
              </w:rPr>
            </w:pPr>
            <w:r w:rsidRPr="00D31F6D">
              <w:rPr>
                <w:rFonts w:eastAsia="MS Mincho"/>
              </w:rPr>
              <w:t>Bupropion 300 mg for 12 weeks</w:t>
            </w:r>
          </w:p>
          <w:p w14:paraId="5EDBA610" w14:textId="27A5972C" w:rsidR="00D31F6D" w:rsidRPr="00D31F6D" w:rsidRDefault="00D31F6D" w:rsidP="00C324F3">
            <w:pPr>
              <w:pStyle w:val="Tablewriting"/>
              <w:numPr>
                <w:ilvl w:val="0"/>
                <w:numId w:val="43"/>
              </w:numPr>
              <w:rPr>
                <w:rFonts w:eastAsia="MS Mincho"/>
              </w:rPr>
            </w:pPr>
            <w:r w:rsidRPr="00D31F6D">
              <w:rPr>
                <w:rFonts w:eastAsia="MS Mincho"/>
              </w:rPr>
              <w:t>Placebo, same schedule as above</w:t>
            </w:r>
          </w:p>
          <w:p w14:paraId="13F4DD6B" w14:textId="77777777" w:rsidR="00D31F6D" w:rsidRDefault="00D31F6D" w:rsidP="00A71365">
            <w:pPr>
              <w:pStyle w:val="Tablewriting"/>
              <w:rPr>
                <w:rFonts w:eastAsia="MS Mincho"/>
              </w:rPr>
            </w:pPr>
          </w:p>
          <w:p w14:paraId="32353B06" w14:textId="5A21D03D" w:rsidR="00D31F6D" w:rsidRPr="00D31F6D" w:rsidRDefault="00D31F6D" w:rsidP="00A71365">
            <w:pPr>
              <w:pStyle w:val="Tablewriting"/>
              <w:rPr>
                <w:rFonts w:eastAsia="MS Mincho"/>
              </w:rPr>
            </w:pPr>
            <w:r w:rsidRPr="00D31F6D">
              <w:rPr>
                <w:rFonts w:eastAsia="MS Mincho"/>
                <w:u w:val="single"/>
              </w:rPr>
              <w:t>Common components:</w:t>
            </w:r>
            <w:r>
              <w:rPr>
                <w:rFonts w:eastAsia="MS Mincho"/>
                <w:u w:val="single"/>
              </w:rPr>
              <w:t xml:space="preserve"> </w:t>
            </w:r>
            <w:r w:rsidRPr="00D31F6D">
              <w:rPr>
                <w:rFonts w:eastAsia="MS Mincho"/>
              </w:rPr>
              <w:t>multicomponent CBT cessation and relapse prevention program, motivational</w:t>
            </w:r>
            <w:r>
              <w:rPr>
                <w:rFonts w:eastAsia="MS Mincho"/>
              </w:rPr>
              <w:t xml:space="preserve"> </w:t>
            </w:r>
            <w:r w:rsidRPr="00D31F6D">
              <w:rPr>
                <w:rFonts w:eastAsia="MS Mincho"/>
              </w:rPr>
              <w:t>interviewing approach. Begun in hospital, 30-45 mins, 5 x 10 min post-discharge contacts (2 days,</w:t>
            </w:r>
          </w:p>
          <w:p w14:paraId="3954215C" w14:textId="7A330DEF" w:rsidR="00D137CE" w:rsidRPr="00061F78" w:rsidRDefault="00D31F6D" w:rsidP="00A71365">
            <w:pPr>
              <w:pStyle w:val="Tablewriting"/>
              <w:rPr>
                <w:rFonts w:eastAsia="MS Mincho"/>
              </w:rPr>
            </w:pPr>
            <w:r w:rsidRPr="00D31F6D">
              <w:rPr>
                <w:rFonts w:eastAsia="MS Mincho"/>
              </w:rPr>
              <w:t>1 week, 3 weeks, 8 weeks, 12 weeks), self-help, chart</w:t>
            </w:r>
            <w:r>
              <w:rPr>
                <w:rFonts w:eastAsia="MS Mincho"/>
              </w:rPr>
              <w:t xml:space="preserve"> </w:t>
            </w:r>
            <w:r w:rsidRPr="00D31F6D">
              <w:rPr>
                <w:rFonts w:eastAsia="MS Mincho"/>
              </w:rPr>
              <w:t>prompt for physician. Total time 80-95 mins</w:t>
            </w:r>
          </w:p>
        </w:tc>
        <w:tc>
          <w:tcPr>
            <w:tcW w:w="832" w:type="pct"/>
          </w:tcPr>
          <w:p w14:paraId="69B6268A" w14:textId="1660AC7C" w:rsidR="002E76DB" w:rsidRPr="002E76DB" w:rsidRDefault="002E76DB" w:rsidP="00A71365">
            <w:pPr>
              <w:pStyle w:val="Tablewriting"/>
              <w:rPr>
                <w:rFonts w:eastAsia="MS Mincho"/>
              </w:rPr>
            </w:pPr>
            <w:r w:rsidRPr="002E76DB">
              <w:rPr>
                <w:rFonts w:eastAsia="MS Mincho"/>
                <w:u w:val="single"/>
              </w:rPr>
              <w:t>Efficacy</w:t>
            </w:r>
            <w:r w:rsidRPr="002E76DB">
              <w:rPr>
                <w:rFonts w:eastAsia="MS Mincho"/>
              </w:rPr>
              <w:t>: sustained abstinence at 12 months (at multiple follow-ups) Validated by saliva</w:t>
            </w:r>
            <w:r>
              <w:rPr>
                <w:rFonts w:eastAsia="MS Mincho"/>
              </w:rPr>
              <w:t xml:space="preserve"> </w:t>
            </w:r>
            <w:r w:rsidRPr="002E76DB">
              <w:rPr>
                <w:rFonts w:eastAsia="MS Mincho"/>
              </w:rPr>
              <w:t>cotinine at 12 weeks and 52 weeks, CO at 2 weeks and 4 weeks</w:t>
            </w:r>
          </w:p>
          <w:p w14:paraId="6B90A428" w14:textId="23C1A4A7" w:rsidR="00D137CE" w:rsidRPr="00061F78" w:rsidRDefault="002E76DB" w:rsidP="00A71365">
            <w:pPr>
              <w:pStyle w:val="Tablewriting"/>
              <w:rPr>
                <w:rFonts w:eastAsia="MS Mincho"/>
              </w:rPr>
            </w:pPr>
            <w:r w:rsidRPr="002E76DB">
              <w:rPr>
                <w:rFonts w:eastAsia="MS Mincho"/>
                <w:u w:val="single"/>
              </w:rPr>
              <w:t>Safety:</w:t>
            </w:r>
            <w:r w:rsidRPr="002E76DB">
              <w:rPr>
                <w:rFonts w:eastAsia="MS Mincho"/>
              </w:rPr>
              <w:t xml:space="preserve"> measured for 52 weeks</w:t>
            </w:r>
            <w:r w:rsidR="00E41249">
              <w:rPr>
                <w:rFonts w:eastAsia="MS Mincho"/>
              </w:rPr>
              <w:t>.</w:t>
            </w:r>
          </w:p>
        </w:tc>
      </w:tr>
      <w:tr w:rsidR="00D137CE" w:rsidRPr="00061F78" w14:paraId="77075F1A" w14:textId="77777777" w:rsidTr="00D0517F">
        <w:trPr>
          <w:trHeight w:val="149"/>
        </w:trPr>
        <w:tc>
          <w:tcPr>
            <w:tcW w:w="565" w:type="pct"/>
          </w:tcPr>
          <w:p w14:paraId="53F3BF31" w14:textId="7B3A3FBC" w:rsidR="00D137CE" w:rsidRPr="00866DE0" w:rsidRDefault="00D11E20" w:rsidP="00A71365">
            <w:pPr>
              <w:pStyle w:val="Tablewriting"/>
              <w:rPr>
                <w:rFonts w:eastAsia="MS Mincho"/>
              </w:rPr>
            </w:pPr>
            <w:r w:rsidRPr="00866DE0">
              <w:rPr>
                <w:rFonts w:eastAsia="MS Mincho"/>
              </w:rPr>
              <w:t xml:space="preserve">Rovina </w:t>
            </w:r>
            <w:r w:rsidR="0065538B">
              <w:rPr>
                <w:rFonts w:eastAsia="MS Mincho"/>
              </w:rPr>
              <w:t>(</w:t>
            </w:r>
            <w:r w:rsidRPr="00866DE0">
              <w:rPr>
                <w:rFonts w:eastAsia="MS Mincho"/>
              </w:rPr>
              <w:t>2009</w:t>
            </w:r>
            <w:r w:rsidR="0065538B">
              <w:rPr>
                <w:rFonts w:eastAsia="MS Mincho"/>
              </w:rPr>
              <w:t>)</w:t>
            </w:r>
          </w:p>
        </w:tc>
        <w:tc>
          <w:tcPr>
            <w:tcW w:w="239" w:type="pct"/>
          </w:tcPr>
          <w:p w14:paraId="48FAAD5E" w14:textId="464BADBF" w:rsidR="00D137CE" w:rsidRDefault="00561439" w:rsidP="00A71365">
            <w:pPr>
              <w:pStyle w:val="Tablewriting"/>
              <w:rPr>
                <w:rFonts w:eastAsia="MS Mincho"/>
              </w:rPr>
            </w:pPr>
            <w:r>
              <w:rPr>
                <w:rFonts w:eastAsia="MS Mincho"/>
              </w:rPr>
              <w:t>RCT</w:t>
            </w:r>
          </w:p>
        </w:tc>
        <w:tc>
          <w:tcPr>
            <w:tcW w:w="422" w:type="pct"/>
          </w:tcPr>
          <w:p w14:paraId="44A26770" w14:textId="44A36D1C" w:rsidR="0035253E" w:rsidRPr="00061F78" w:rsidRDefault="00561439" w:rsidP="00A71365">
            <w:pPr>
              <w:pStyle w:val="Tablewriting"/>
              <w:rPr>
                <w:rFonts w:eastAsia="MS Mincho"/>
              </w:rPr>
            </w:pPr>
            <w:r>
              <w:rPr>
                <w:rFonts w:eastAsia="MS Mincho"/>
              </w:rPr>
              <w:t>Greece</w:t>
            </w:r>
          </w:p>
        </w:tc>
        <w:tc>
          <w:tcPr>
            <w:tcW w:w="449" w:type="pct"/>
          </w:tcPr>
          <w:p w14:paraId="53D9BE92" w14:textId="5593121A" w:rsidR="00D137CE" w:rsidRPr="00061F78" w:rsidRDefault="00561439" w:rsidP="00A71365">
            <w:pPr>
              <w:pStyle w:val="Tablewriting"/>
              <w:rPr>
                <w:rFonts w:eastAsia="MS Mincho"/>
              </w:rPr>
            </w:pPr>
            <w:r>
              <w:rPr>
                <w:rFonts w:eastAsia="MS Mincho"/>
              </w:rPr>
              <w:t>N=</w:t>
            </w:r>
            <w:r w:rsidR="007D0821" w:rsidRPr="007D0821">
              <w:rPr>
                <w:rFonts w:eastAsia="MS Mincho"/>
              </w:rPr>
              <w:t>205</w:t>
            </w:r>
          </w:p>
        </w:tc>
        <w:tc>
          <w:tcPr>
            <w:tcW w:w="1271" w:type="pct"/>
          </w:tcPr>
          <w:p w14:paraId="6370D58E" w14:textId="28984085" w:rsidR="00D137CE" w:rsidRPr="00061F78" w:rsidRDefault="007D0821" w:rsidP="00A71365">
            <w:pPr>
              <w:pStyle w:val="Tablewriting"/>
              <w:rPr>
                <w:rFonts w:eastAsia="MS Mincho"/>
              </w:rPr>
            </w:pPr>
            <w:r>
              <w:rPr>
                <w:rFonts w:eastAsia="MS Mincho"/>
              </w:rPr>
              <w:t>S</w:t>
            </w:r>
            <w:r w:rsidRPr="007D0821">
              <w:rPr>
                <w:rFonts w:eastAsia="MS Mincho"/>
              </w:rPr>
              <w:t>mokers</w:t>
            </w:r>
            <w:r w:rsidR="0014479B">
              <w:rPr>
                <w:rFonts w:eastAsia="MS Mincho"/>
              </w:rPr>
              <w:t>,</w:t>
            </w:r>
            <w:r w:rsidRPr="007D0821">
              <w:rPr>
                <w:rFonts w:eastAsia="MS Mincho"/>
              </w:rPr>
              <w:t xml:space="preserve"> 40% female</w:t>
            </w:r>
            <w:r w:rsidR="0014479B">
              <w:rPr>
                <w:rFonts w:eastAsia="MS Mincho"/>
              </w:rPr>
              <w:t>,</w:t>
            </w:r>
            <w:r w:rsidRPr="007D0821">
              <w:rPr>
                <w:rFonts w:eastAsia="MS Mincho"/>
              </w:rPr>
              <w:t xml:space="preserve"> average age 45</w:t>
            </w:r>
            <w:r w:rsidR="0014479B">
              <w:rPr>
                <w:rFonts w:eastAsia="MS Mincho"/>
              </w:rPr>
              <w:t>,</w:t>
            </w:r>
            <w:r w:rsidRPr="007D0821">
              <w:rPr>
                <w:rFonts w:eastAsia="MS Mincho"/>
              </w:rPr>
              <w:t xml:space="preserve"> average cigarettes per day 37</w:t>
            </w:r>
          </w:p>
        </w:tc>
        <w:tc>
          <w:tcPr>
            <w:tcW w:w="1224" w:type="pct"/>
          </w:tcPr>
          <w:p w14:paraId="51593AF6" w14:textId="77777777" w:rsidR="008904B1" w:rsidRDefault="008904B1" w:rsidP="00C324F3">
            <w:pPr>
              <w:pStyle w:val="Tablewriting"/>
              <w:numPr>
                <w:ilvl w:val="0"/>
                <w:numId w:val="44"/>
              </w:numPr>
              <w:rPr>
                <w:rFonts w:eastAsia="MS Mincho"/>
              </w:rPr>
            </w:pPr>
            <w:r w:rsidRPr="008904B1">
              <w:rPr>
                <w:rFonts w:eastAsia="MS Mincho"/>
              </w:rPr>
              <w:t>Bupropion 300 mg/day for 19 weeks + 15 mins physician counselling</w:t>
            </w:r>
          </w:p>
          <w:p w14:paraId="424EF2F8" w14:textId="234A5B92" w:rsidR="008904B1" w:rsidRDefault="008904B1" w:rsidP="00C324F3">
            <w:pPr>
              <w:pStyle w:val="Tablewriting"/>
              <w:numPr>
                <w:ilvl w:val="0"/>
                <w:numId w:val="44"/>
              </w:numPr>
              <w:rPr>
                <w:rFonts w:eastAsia="MS Mincho"/>
              </w:rPr>
            </w:pPr>
            <w:r w:rsidRPr="008904B1">
              <w:rPr>
                <w:rFonts w:eastAsia="MS Mincho"/>
              </w:rPr>
              <w:t>Bupropion 300 mg/day for 19 weeks + nonspecific group therapy, 1-hour weekly for 1 month, then</w:t>
            </w:r>
            <w:r>
              <w:rPr>
                <w:rFonts w:eastAsia="MS Mincho"/>
              </w:rPr>
              <w:t xml:space="preserve"> </w:t>
            </w:r>
            <w:r w:rsidRPr="008904B1">
              <w:rPr>
                <w:rFonts w:eastAsia="MS Mincho"/>
              </w:rPr>
              <w:t>every 3 weeks until 19 weeks</w:t>
            </w:r>
          </w:p>
          <w:p w14:paraId="4A4EBC72" w14:textId="77777777" w:rsidR="008904B1" w:rsidRDefault="008904B1" w:rsidP="00C324F3">
            <w:pPr>
              <w:pStyle w:val="Tablewriting"/>
              <w:numPr>
                <w:ilvl w:val="0"/>
                <w:numId w:val="44"/>
              </w:numPr>
              <w:rPr>
                <w:rFonts w:eastAsia="MS Mincho"/>
              </w:rPr>
            </w:pPr>
            <w:r w:rsidRPr="008904B1">
              <w:rPr>
                <w:rFonts w:eastAsia="MS Mincho"/>
              </w:rPr>
              <w:t>Bupropion 300 mg/day for 19 weeks + CBGT, same</w:t>
            </w:r>
            <w:r>
              <w:rPr>
                <w:rFonts w:eastAsia="MS Mincho"/>
              </w:rPr>
              <w:t xml:space="preserve"> </w:t>
            </w:r>
            <w:r w:rsidRPr="008904B1">
              <w:rPr>
                <w:rFonts w:eastAsia="MS Mincho"/>
              </w:rPr>
              <w:t>schedule</w:t>
            </w:r>
          </w:p>
          <w:p w14:paraId="7ABDA5B7" w14:textId="613506B2" w:rsidR="00D137CE" w:rsidRPr="008904B1" w:rsidRDefault="008904B1" w:rsidP="00C324F3">
            <w:pPr>
              <w:pStyle w:val="Tablewriting"/>
              <w:numPr>
                <w:ilvl w:val="0"/>
                <w:numId w:val="44"/>
              </w:numPr>
              <w:rPr>
                <w:rFonts w:eastAsia="MS Mincho"/>
              </w:rPr>
            </w:pPr>
            <w:r w:rsidRPr="008904B1">
              <w:rPr>
                <w:rFonts w:eastAsia="MS Mincho"/>
              </w:rPr>
              <w:t>CBGT without bupropion</w:t>
            </w:r>
          </w:p>
        </w:tc>
        <w:tc>
          <w:tcPr>
            <w:tcW w:w="832" w:type="pct"/>
          </w:tcPr>
          <w:p w14:paraId="2A4380D8" w14:textId="6C2C9D98" w:rsidR="006C3BE3" w:rsidRPr="006C3BE3" w:rsidRDefault="006C3BE3" w:rsidP="00A71365">
            <w:pPr>
              <w:pStyle w:val="Tablewriting"/>
              <w:rPr>
                <w:rFonts w:eastAsia="MS Mincho"/>
              </w:rPr>
            </w:pPr>
            <w:r w:rsidRPr="006C3BE3">
              <w:rPr>
                <w:rFonts w:eastAsia="MS Mincho"/>
                <w:u w:val="single"/>
              </w:rPr>
              <w:t>Efficacy:</w:t>
            </w:r>
            <w:r w:rsidRPr="006C3BE3">
              <w:rPr>
                <w:rFonts w:eastAsia="MS Mincho"/>
              </w:rPr>
              <w:t xml:space="preserve"> continuous abstinence at 12 months after end of treatment. Validated by CO </w:t>
            </w:r>
            <w:r w:rsidR="00424BE8" w:rsidRPr="00D96BA4">
              <w:rPr>
                <w:rFonts w:eastAsia="MS Mincho"/>
              </w:rPr>
              <w:t>≤</w:t>
            </w:r>
            <w:r w:rsidRPr="006C3BE3">
              <w:rPr>
                <w:rFonts w:eastAsia="MS Mincho"/>
              </w:rPr>
              <w:t xml:space="preserve"> 10</w:t>
            </w:r>
            <w:r w:rsidR="00095F26">
              <w:rPr>
                <w:rFonts w:eastAsia="MS Mincho"/>
              </w:rPr>
              <w:t xml:space="preserve"> </w:t>
            </w:r>
            <w:r w:rsidRPr="006C3BE3">
              <w:rPr>
                <w:rFonts w:eastAsia="MS Mincho"/>
              </w:rPr>
              <w:t>ppm</w:t>
            </w:r>
          </w:p>
          <w:p w14:paraId="588B445B" w14:textId="07BF9285" w:rsidR="00D137CE" w:rsidRPr="00061F78" w:rsidRDefault="006C3BE3" w:rsidP="00A71365">
            <w:pPr>
              <w:pStyle w:val="Tablewriting"/>
              <w:rPr>
                <w:rFonts w:eastAsia="MS Mincho"/>
              </w:rPr>
            </w:pPr>
            <w:r w:rsidRPr="006C3BE3">
              <w:rPr>
                <w:rFonts w:eastAsia="MS Mincho"/>
                <w:u w:val="single"/>
              </w:rPr>
              <w:t>Safety</w:t>
            </w:r>
            <w:r w:rsidRPr="006C3BE3">
              <w:rPr>
                <w:rFonts w:eastAsia="MS Mincho"/>
              </w:rPr>
              <w:t>: measured for 31 weeks</w:t>
            </w:r>
            <w:r w:rsidR="00E41249">
              <w:rPr>
                <w:rFonts w:eastAsia="MS Mincho"/>
              </w:rPr>
              <w:t>.</w:t>
            </w:r>
          </w:p>
        </w:tc>
      </w:tr>
      <w:tr w:rsidR="00D137CE" w:rsidRPr="00061F78" w14:paraId="562D2013" w14:textId="77777777" w:rsidTr="00D0517F">
        <w:trPr>
          <w:trHeight w:val="149"/>
        </w:trPr>
        <w:tc>
          <w:tcPr>
            <w:tcW w:w="565" w:type="pct"/>
          </w:tcPr>
          <w:p w14:paraId="70D84D5F" w14:textId="54941902" w:rsidR="00D137CE" w:rsidRPr="00866DE0" w:rsidRDefault="00D11E20" w:rsidP="00A71365">
            <w:pPr>
              <w:pStyle w:val="Tablewriting"/>
              <w:rPr>
                <w:rFonts w:eastAsia="MS Mincho"/>
              </w:rPr>
            </w:pPr>
            <w:r w:rsidRPr="00866DE0">
              <w:rPr>
                <w:rFonts w:eastAsia="MS Mincho"/>
              </w:rPr>
              <w:t xml:space="preserve">Schmitz </w:t>
            </w:r>
            <w:r w:rsidR="0065538B">
              <w:rPr>
                <w:rFonts w:eastAsia="MS Mincho"/>
              </w:rPr>
              <w:t>(</w:t>
            </w:r>
            <w:r w:rsidRPr="00866DE0">
              <w:rPr>
                <w:rFonts w:eastAsia="MS Mincho"/>
              </w:rPr>
              <w:t>2007</w:t>
            </w:r>
            <w:r w:rsidR="0065538B">
              <w:rPr>
                <w:rFonts w:eastAsia="MS Mincho"/>
              </w:rPr>
              <w:t>)</w:t>
            </w:r>
          </w:p>
        </w:tc>
        <w:tc>
          <w:tcPr>
            <w:tcW w:w="239" w:type="pct"/>
          </w:tcPr>
          <w:p w14:paraId="351D2921" w14:textId="7A037A9E" w:rsidR="00D137CE" w:rsidRDefault="00A1015D" w:rsidP="00A71365">
            <w:pPr>
              <w:pStyle w:val="Tablewriting"/>
              <w:rPr>
                <w:rFonts w:eastAsia="MS Mincho"/>
              </w:rPr>
            </w:pPr>
            <w:r>
              <w:rPr>
                <w:rFonts w:eastAsia="MS Mincho"/>
              </w:rPr>
              <w:t>RCT</w:t>
            </w:r>
          </w:p>
        </w:tc>
        <w:tc>
          <w:tcPr>
            <w:tcW w:w="422" w:type="pct"/>
          </w:tcPr>
          <w:p w14:paraId="48242B25" w14:textId="3B0F79DF" w:rsidR="0035253E" w:rsidRPr="00061F78" w:rsidRDefault="00425713" w:rsidP="00A71365">
            <w:pPr>
              <w:pStyle w:val="Tablewriting"/>
              <w:rPr>
                <w:rFonts w:eastAsia="MS Mincho"/>
              </w:rPr>
            </w:pPr>
            <w:r>
              <w:rPr>
                <w:rFonts w:eastAsia="MS Mincho"/>
              </w:rPr>
              <w:t>USA</w:t>
            </w:r>
          </w:p>
        </w:tc>
        <w:tc>
          <w:tcPr>
            <w:tcW w:w="449" w:type="pct"/>
          </w:tcPr>
          <w:p w14:paraId="3ABF94F4" w14:textId="2A14F23A" w:rsidR="00D137CE" w:rsidRPr="00061F78" w:rsidRDefault="00AF47CF" w:rsidP="00A71365">
            <w:pPr>
              <w:pStyle w:val="Tablewriting"/>
              <w:rPr>
                <w:rFonts w:eastAsia="MS Mincho"/>
              </w:rPr>
            </w:pPr>
            <w:r>
              <w:rPr>
                <w:rFonts w:eastAsia="MS Mincho"/>
              </w:rPr>
              <w:t>N=154</w:t>
            </w:r>
          </w:p>
        </w:tc>
        <w:tc>
          <w:tcPr>
            <w:tcW w:w="1271" w:type="pct"/>
          </w:tcPr>
          <w:p w14:paraId="62C236CB" w14:textId="164280CF" w:rsidR="00D137CE" w:rsidRPr="00061F78" w:rsidRDefault="00AF47CF" w:rsidP="00A71365">
            <w:pPr>
              <w:pStyle w:val="Tablewriting"/>
              <w:rPr>
                <w:rFonts w:eastAsia="MS Mincho"/>
              </w:rPr>
            </w:pPr>
            <w:r>
              <w:rPr>
                <w:rFonts w:eastAsia="MS Mincho"/>
              </w:rPr>
              <w:t>S</w:t>
            </w:r>
            <w:r w:rsidRPr="00AF47CF">
              <w:rPr>
                <w:rFonts w:eastAsia="MS Mincho"/>
              </w:rPr>
              <w:t>mokers</w:t>
            </w:r>
            <w:r w:rsidR="0053333D">
              <w:rPr>
                <w:rFonts w:eastAsia="MS Mincho"/>
              </w:rPr>
              <w:t>,</w:t>
            </w:r>
            <w:r w:rsidRPr="00AF47CF">
              <w:rPr>
                <w:rFonts w:eastAsia="MS Mincho"/>
              </w:rPr>
              <w:t xml:space="preserve"> average age 48</w:t>
            </w:r>
            <w:r w:rsidR="0053333D">
              <w:rPr>
                <w:rFonts w:eastAsia="MS Mincho"/>
              </w:rPr>
              <w:t>,</w:t>
            </w:r>
            <w:r w:rsidRPr="00AF47CF">
              <w:rPr>
                <w:rFonts w:eastAsia="MS Mincho"/>
              </w:rPr>
              <w:t xml:space="preserve"> average cigarettes per day 21</w:t>
            </w:r>
          </w:p>
        </w:tc>
        <w:tc>
          <w:tcPr>
            <w:tcW w:w="1224" w:type="pct"/>
          </w:tcPr>
          <w:p w14:paraId="66B14DB7" w14:textId="77777777" w:rsidR="004C772B" w:rsidRDefault="004C772B" w:rsidP="00C324F3">
            <w:pPr>
              <w:pStyle w:val="Tablewriting"/>
              <w:numPr>
                <w:ilvl w:val="0"/>
                <w:numId w:val="45"/>
              </w:numPr>
              <w:rPr>
                <w:rFonts w:eastAsia="MS Mincho"/>
              </w:rPr>
            </w:pPr>
            <w:r w:rsidRPr="004C772B">
              <w:rPr>
                <w:rFonts w:eastAsia="MS Mincho"/>
              </w:rPr>
              <w:t>Bupropion 300 mg/day for 7 weeks</w:t>
            </w:r>
          </w:p>
          <w:p w14:paraId="6075CF66" w14:textId="3F0CBCBC" w:rsidR="004C772B" w:rsidRPr="004C772B" w:rsidRDefault="004C772B" w:rsidP="00C324F3">
            <w:pPr>
              <w:pStyle w:val="Tablewriting"/>
              <w:numPr>
                <w:ilvl w:val="0"/>
                <w:numId w:val="45"/>
              </w:numPr>
              <w:rPr>
                <w:rFonts w:eastAsia="MS Mincho"/>
              </w:rPr>
            </w:pPr>
            <w:r w:rsidRPr="004C772B">
              <w:rPr>
                <w:rFonts w:eastAsia="MS Mincho"/>
              </w:rPr>
              <w:t>Placebo</w:t>
            </w:r>
          </w:p>
          <w:p w14:paraId="6D9479CD" w14:textId="77777777" w:rsidR="004C772B" w:rsidRDefault="004C772B" w:rsidP="00A71365">
            <w:pPr>
              <w:pStyle w:val="Tablewriting"/>
              <w:rPr>
                <w:rFonts w:eastAsia="MS Mincho"/>
              </w:rPr>
            </w:pPr>
          </w:p>
          <w:p w14:paraId="4FBD0800" w14:textId="1CD90C9C" w:rsidR="00D137CE" w:rsidRPr="00061F78" w:rsidRDefault="004C772B" w:rsidP="00A71365">
            <w:pPr>
              <w:pStyle w:val="Tablewriting"/>
              <w:rPr>
                <w:rFonts w:eastAsia="MS Mincho"/>
              </w:rPr>
            </w:pPr>
            <w:r w:rsidRPr="004C772B">
              <w:rPr>
                <w:rFonts w:eastAsia="MS Mincho"/>
                <w:u w:val="single"/>
              </w:rPr>
              <w:t>Common components</w:t>
            </w:r>
            <w:r w:rsidRPr="004C772B">
              <w:rPr>
                <w:rFonts w:eastAsia="MS Mincho"/>
              </w:rPr>
              <w:t>: either CBT based on relapse</w:t>
            </w:r>
            <w:r>
              <w:rPr>
                <w:rFonts w:eastAsia="MS Mincho"/>
              </w:rPr>
              <w:t xml:space="preserve"> </w:t>
            </w:r>
            <w:r w:rsidRPr="004C772B">
              <w:rPr>
                <w:rFonts w:eastAsia="MS Mincho"/>
              </w:rPr>
              <w:t>prevention model, or group support therapy, both</w:t>
            </w:r>
            <w:r w:rsidR="0053333D">
              <w:rPr>
                <w:rFonts w:eastAsia="MS Mincho"/>
              </w:rPr>
              <w:t xml:space="preserve"> </w:t>
            </w:r>
            <w:r w:rsidRPr="004C772B">
              <w:rPr>
                <w:rFonts w:eastAsia="MS Mincho"/>
              </w:rPr>
              <w:t>7 weekly 60-min meetings, TQD morning of 1st session, 10 days after start of medications</w:t>
            </w:r>
          </w:p>
        </w:tc>
        <w:tc>
          <w:tcPr>
            <w:tcW w:w="832" w:type="pct"/>
          </w:tcPr>
          <w:p w14:paraId="36A83916" w14:textId="02AE5A8A" w:rsidR="004C772B" w:rsidRPr="004C772B" w:rsidRDefault="004C772B" w:rsidP="00A71365">
            <w:pPr>
              <w:pStyle w:val="Tablewriting"/>
              <w:rPr>
                <w:rFonts w:eastAsia="MS Mincho"/>
              </w:rPr>
            </w:pPr>
            <w:r w:rsidRPr="004C772B">
              <w:rPr>
                <w:rFonts w:eastAsia="MS Mincho"/>
                <w:u w:val="single"/>
              </w:rPr>
              <w:lastRenderedPageBreak/>
              <w:t>Efficacy:</w:t>
            </w:r>
            <w:r w:rsidRPr="004C772B">
              <w:rPr>
                <w:rFonts w:eastAsia="MS Mincho"/>
              </w:rPr>
              <w:t xml:space="preserve"> 7-day </w:t>
            </w:r>
            <w:r w:rsidR="0053333D">
              <w:rPr>
                <w:rFonts w:eastAsia="MS Mincho"/>
              </w:rPr>
              <w:t>PPA</w:t>
            </w:r>
            <w:r w:rsidRPr="004C772B">
              <w:rPr>
                <w:rFonts w:eastAsia="MS Mincho"/>
              </w:rPr>
              <w:t xml:space="preserve"> at 12 months. Validated by CO </w:t>
            </w:r>
            <w:r w:rsidR="00424BE8" w:rsidRPr="00D96BA4">
              <w:rPr>
                <w:rFonts w:eastAsia="MS Mincho"/>
              </w:rPr>
              <w:lastRenderedPageBreak/>
              <w:t>≤</w:t>
            </w:r>
            <w:r w:rsidRPr="004C772B">
              <w:rPr>
                <w:rFonts w:eastAsia="MS Mincho"/>
              </w:rPr>
              <w:t xml:space="preserve"> 10 ppm, saliva cotinine &lt; 15ng/mL</w:t>
            </w:r>
          </w:p>
          <w:p w14:paraId="21E8C450" w14:textId="14EC3487" w:rsidR="00D137CE" w:rsidRPr="00061F78" w:rsidRDefault="004C772B" w:rsidP="00A71365">
            <w:pPr>
              <w:pStyle w:val="Tablewriting"/>
              <w:rPr>
                <w:rFonts w:eastAsia="MS Mincho"/>
              </w:rPr>
            </w:pPr>
            <w:r w:rsidRPr="004C772B">
              <w:rPr>
                <w:rFonts w:eastAsia="MS Mincho"/>
                <w:u w:val="single"/>
              </w:rPr>
              <w:t>Safety:</w:t>
            </w:r>
            <w:r w:rsidRPr="004C772B">
              <w:rPr>
                <w:rFonts w:eastAsia="MS Mincho"/>
              </w:rPr>
              <w:t xml:space="preserve"> </w:t>
            </w:r>
            <w:r w:rsidR="00E0585F">
              <w:rPr>
                <w:rFonts w:eastAsia="MS Mincho"/>
              </w:rPr>
              <w:t>a</w:t>
            </w:r>
            <w:r w:rsidR="00E0585F" w:rsidRPr="00E0585F">
              <w:rPr>
                <w:rFonts w:eastAsia="MS Mincho"/>
              </w:rPr>
              <w:t>dverse events</w:t>
            </w:r>
            <w:r w:rsidR="00E0585F">
              <w:rPr>
                <w:rFonts w:eastAsia="MS Mincho"/>
              </w:rPr>
              <w:t xml:space="preserve"> at </w:t>
            </w:r>
            <w:r w:rsidRPr="004C772B">
              <w:rPr>
                <w:rFonts w:eastAsia="MS Mincho"/>
              </w:rPr>
              <w:t>7 weeks</w:t>
            </w:r>
            <w:r w:rsidR="00E41249">
              <w:rPr>
                <w:rFonts w:eastAsia="MS Mincho"/>
              </w:rPr>
              <w:t>.</w:t>
            </w:r>
          </w:p>
        </w:tc>
      </w:tr>
      <w:tr w:rsidR="00D137CE" w:rsidRPr="00061F78" w14:paraId="217FB412" w14:textId="77777777" w:rsidTr="00D0517F">
        <w:trPr>
          <w:trHeight w:val="149"/>
        </w:trPr>
        <w:tc>
          <w:tcPr>
            <w:tcW w:w="565" w:type="pct"/>
          </w:tcPr>
          <w:p w14:paraId="1C3453A5" w14:textId="4B6077C8" w:rsidR="00D137CE" w:rsidRPr="00866DE0" w:rsidRDefault="00005237" w:rsidP="00A71365">
            <w:pPr>
              <w:pStyle w:val="Tablewriting"/>
              <w:rPr>
                <w:rFonts w:eastAsia="MS Mincho"/>
              </w:rPr>
            </w:pPr>
            <w:r w:rsidRPr="00B63651">
              <w:rPr>
                <w:rFonts w:eastAsia="MS Mincho"/>
              </w:rPr>
              <w:lastRenderedPageBreak/>
              <w:t xml:space="preserve">Selby </w:t>
            </w:r>
            <w:r w:rsidR="0065538B" w:rsidRPr="00B63651">
              <w:rPr>
                <w:rFonts w:eastAsia="MS Mincho"/>
              </w:rPr>
              <w:t>(</w:t>
            </w:r>
            <w:r w:rsidRPr="00B63651">
              <w:rPr>
                <w:rFonts w:eastAsia="MS Mincho"/>
              </w:rPr>
              <w:t>2003</w:t>
            </w:r>
            <w:r w:rsidR="0065538B" w:rsidRPr="00B63651">
              <w:rPr>
                <w:rFonts w:eastAsia="MS Mincho"/>
              </w:rPr>
              <w:t>)</w:t>
            </w:r>
          </w:p>
        </w:tc>
        <w:tc>
          <w:tcPr>
            <w:tcW w:w="239" w:type="pct"/>
          </w:tcPr>
          <w:p w14:paraId="1E799325" w14:textId="4AEF324A" w:rsidR="00D137CE" w:rsidRDefault="000A21D2" w:rsidP="00A71365">
            <w:pPr>
              <w:pStyle w:val="Tablewriting"/>
              <w:rPr>
                <w:rFonts w:eastAsia="MS Mincho"/>
              </w:rPr>
            </w:pPr>
            <w:r>
              <w:rPr>
                <w:rFonts w:eastAsia="MS Mincho"/>
              </w:rPr>
              <w:t>RCT</w:t>
            </w:r>
          </w:p>
        </w:tc>
        <w:tc>
          <w:tcPr>
            <w:tcW w:w="422" w:type="pct"/>
          </w:tcPr>
          <w:p w14:paraId="0A054277" w14:textId="219E8580" w:rsidR="0035253E" w:rsidRPr="00061F78" w:rsidRDefault="000A21D2" w:rsidP="00A71365">
            <w:pPr>
              <w:pStyle w:val="Tablewriting"/>
              <w:rPr>
                <w:rFonts w:eastAsia="MS Mincho"/>
              </w:rPr>
            </w:pPr>
            <w:r>
              <w:rPr>
                <w:rFonts w:eastAsia="MS Mincho"/>
              </w:rPr>
              <w:t>Canada</w:t>
            </w:r>
          </w:p>
        </w:tc>
        <w:tc>
          <w:tcPr>
            <w:tcW w:w="449" w:type="pct"/>
          </w:tcPr>
          <w:p w14:paraId="390EC0BE" w14:textId="2EC476D5" w:rsidR="00D137CE" w:rsidRPr="00061F78" w:rsidRDefault="000A21D2" w:rsidP="00A71365">
            <w:pPr>
              <w:pStyle w:val="Tablewriting"/>
              <w:rPr>
                <w:rFonts w:eastAsia="MS Mincho"/>
              </w:rPr>
            </w:pPr>
            <w:r>
              <w:rPr>
                <w:rFonts w:eastAsia="MS Mincho"/>
              </w:rPr>
              <w:t>N=284</w:t>
            </w:r>
          </w:p>
        </w:tc>
        <w:tc>
          <w:tcPr>
            <w:tcW w:w="1271" w:type="pct"/>
          </w:tcPr>
          <w:p w14:paraId="6BBD8A87" w14:textId="7CD4BC9D" w:rsidR="000A21D2" w:rsidRPr="000A21D2" w:rsidRDefault="000A21D2" w:rsidP="00A71365">
            <w:pPr>
              <w:pStyle w:val="Tablewriting"/>
              <w:rPr>
                <w:rFonts w:eastAsia="MS Mincho"/>
              </w:rPr>
            </w:pPr>
            <w:r>
              <w:rPr>
                <w:rFonts w:eastAsia="MS Mincho"/>
              </w:rPr>
              <w:t>S</w:t>
            </w:r>
            <w:r w:rsidRPr="000A21D2">
              <w:rPr>
                <w:rFonts w:eastAsia="MS Mincho"/>
              </w:rPr>
              <w:t>mokers previously exposed to bupropion for at least 2weeks, not quit for more than 24 hours in</w:t>
            </w:r>
          </w:p>
          <w:p w14:paraId="06050BC0" w14:textId="61785EAB" w:rsidR="00D137CE" w:rsidRPr="00061F78" w:rsidRDefault="000A21D2" w:rsidP="00A71365">
            <w:pPr>
              <w:pStyle w:val="Tablewriting"/>
              <w:rPr>
                <w:rFonts w:eastAsia="MS Mincho"/>
              </w:rPr>
            </w:pPr>
            <w:r w:rsidRPr="000A21D2">
              <w:rPr>
                <w:rFonts w:eastAsia="MS Mincho"/>
              </w:rPr>
              <w:t>previous month</w:t>
            </w:r>
          </w:p>
        </w:tc>
        <w:tc>
          <w:tcPr>
            <w:tcW w:w="1224" w:type="pct"/>
          </w:tcPr>
          <w:p w14:paraId="3AB2E6CC" w14:textId="77777777" w:rsidR="000A21D2" w:rsidRDefault="000A21D2" w:rsidP="00C324F3">
            <w:pPr>
              <w:pStyle w:val="Tablewriting"/>
              <w:numPr>
                <w:ilvl w:val="0"/>
                <w:numId w:val="46"/>
              </w:numPr>
              <w:rPr>
                <w:rFonts w:eastAsia="MS Mincho"/>
              </w:rPr>
            </w:pPr>
            <w:r w:rsidRPr="000A21D2">
              <w:rPr>
                <w:rFonts w:eastAsia="MS Mincho"/>
              </w:rPr>
              <w:t>Bupropion 300 mg for 12 weeks</w:t>
            </w:r>
          </w:p>
          <w:p w14:paraId="531C2387" w14:textId="77777777" w:rsidR="000A21D2" w:rsidRDefault="000A21D2" w:rsidP="00C324F3">
            <w:pPr>
              <w:pStyle w:val="Tablewriting"/>
              <w:numPr>
                <w:ilvl w:val="0"/>
                <w:numId w:val="46"/>
              </w:numPr>
              <w:rPr>
                <w:rFonts w:eastAsia="MS Mincho"/>
              </w:rPr>
            </w:pPr>
            <w:r w:rsidRPr="000A21D2">
              <w:rPr>
                <w:rFonts w:eastAsia="MS Mincho"/>
              </w:rPr>
              <w:t>Placebo</w:t>
            </w:r>
          </w:p>
          <w:p w14:paraId="5481E55A" w14:textId="77777777" w:rsidR="00654171" w:rsidRDefault="00654171" w:rsidP="00A71365">
            <w:pPr>
              <w:pStyle w:val="Tablewriting"/>
              <w:rPr>
                <w:rFonts w:eastAsia="MS Mincho"/>
              </w:rPr>
            </w:pPr>
          </w:p>
          <w:p w14:paraId="0AA0663F" w14:textId="433E9FB6" w:rsidR="00D137CE" w:rsidRPr="00061F78" w:rsidRDefault="000A21D2" w:rsidP="00A71365">
            <w:pPr>
              <w:pStyle w:val="Tablewriting"/>
              <w:rPr>
                <w:rFonts w:eastAsia="MS Mincho"/>
              </w:rPr>
            </w:pPr>
            <w:r w:rsidRPr="000A21D2">
              <w:rPr>
                <w:rFonts w:eastAsia="MS Mincho"/>
              </w:rPr>
              <w:t>Behavioural support not described</w:t>
            </w:r>
          </w:p>
        </w:tc>
        <w:tc>
          <w:tcPr>
            <w:tcW w:w="832" w:type="pct"/>
          </w:tcPr>
          <w:p w14:paraId="0495DBBA" w14:textId="73C62F82" w:rsidR="000A21D2" w:rsidRPr="000A21D2" w:rsidRDefault="000A21D2" w:rsidP="00A71365">
            <w:pPr>
              <w:pStyle w:val="Tablewriting"/>
              <w:rPr>
                <w:rFonts w:eastAsia="MS Mincho"/>
              </w:rPr>
            </w:pPr>
            <w:r w:rsidRPr="0099009C">
              <w:rPr>
                <w:rFonts w:eastAsia="MS Mincho"/>
                <w:u w:val="single"/>
              </w:rPr>
              <w:t>Efficacy:</w:t>
            </w:r>
            <w:r w:rsidRPr="000A21D2">
              <w:rPr>
                <w:rFonts w:eastAsia="MS Mincho"/>
              </w:rPr>
              <w:t xml:space="preserve"> </w:t>
            </w:r>
            <w:r w:rsidR="0053333D">
              <w:rPr>
                <w:rFonts w:eastAsia="MS Mincho"/>
              </w:rPr>
              <w:t>PPA</w:t>
            </w:r>
            <w:r w:rsidRPr="000A21D2">
              <w:rPr>
                <w:rFonts w:eastAsia="MS Mincho"/>
              </w:rPr>
              <w:t xml:space="preserve"> at 12 months. Validated by CO </w:t>
            </w:r>
            <w:r w:rsidR="00424BE8" w:rsidRPr="00D96BA4">
              <w:rPr>
                <w:rFonts w:eastAsia="MS Mincho"/>
              </w:rPr>
              <w:t>≤</w:t>
            </w:r>
            <w:r w:rsidRPr="000A21D2">
              <w:rPr>
                <w:rFonts w:eastAsia="MS Mincho"/>
              </w:rPr>
              <w:t xml:space="preserve"> 10 ppm at treatment visits</w:t>
            </w:r>
          </w:p>
          <w:p w14:paraId="467F39C8" w14:textId="5C93F995" w:rsidR="00D137CE" w:rsidRPr="00061F78" w:rsidRDefault="0099009C" w:rsidP="00A71365">
            <w:pPr>
              <w:pStyle w:val="Tablewriting"/>
              <w:rPr>
                <w:rFonts w:eastAsia="MS Mincho"/>
              </w:rPr>
            </w:pPr>
            <w:r w:rsidRPr="0099009C">
              <w:rPr>
                <w:rFonts w:eastAsia="MS Mincho"/>
                <w:u w:val="single"/>
              </w:rPr>
              <w:t>Safety:</w:t>
            </w:r>
            <w:r>
              <w:rPr>
                <w:rFonts w:eastAsia="MS Mincho"/>
              </w:rPr>
              <w:t xml:space="preserve"> a</w:t>
            </w:r>
            <w:r w:rsidR="000A21D2" w:rsidRPr="000A21D2">
              <w:rPr>
                <w:rFonts w:eastAsia="MS Mincho"/>
              </w:rPr>
              <w:t>dverse events</w:t>
            </w:r>
            <w:r>
              <w:rPr>
                <w:rFonts w:eastAsia="MS Mincho"/>
              </w:rPr>
              <w:t xml:space="preserve"> </w:t>
            </w:r>
            <w:r w:rsidR="000A21D2" w:rsidRPr="000A21D2">
              <w:rPr>
                <w:rFonts w:eastAsia="MS Mincho"/>
              </w:rPr>
              <w:t>measured for</w:t>
            </w:r>
            <w:r w:rsidR="00095F26">
              <w:rPr>
                <w:rFonts w:eastAsia="MS Mincho"/>
              </w:rPr>
              <w:t xml:space="preserve"> </w:t>
            </w:r>
            <w:r w:rsidR="000A21D2" w:rsidRPr="000A21D2">
              <w:rPr>
                <w:rFonts w:eastAsia="MS Mincho"/>
              </w:rPr>
              <w:t>unspecified period</w:t>
            </w:r>
            <w:r w:rsidR="00E41249">
              <w:rPr>
                <w:rFonts w:eastAsia="MS Mincho"/>
              </w:rPr>
              <w:t>.</w:t>
            </w:r>
          </w:p>
        </w:tc>
      </w:tr>
      <w:tr w:rsidR="00D137CE" w:rsidRPr="00061F78" w14:paraId="0EB66555" w14:textId="77777777" w:rsidTr="00D0517F">
        <w:trPr>
          <w:trHeight w:val="149"/>
        </w:trPr>
        <w:tc>
          <w:tcPr>
            <w:tcW w:w="565" w:type="pct"/>
          </w:tcPr>
          <w:p w14:paraId="3B2BE37E" w14:textId="0704D532" w:rsidR="00D137CE" w:rsidRPr="00866DE0" w:rsidRDefault="002C7C24" w:rsidP="00A71365">
            <w:pPr>
              <w:pStyle w:val="Tablewriting"/>
              <w:rPr>
                <w:rFonts w:eastAsia="MS Mincho"/>
              </w:rPr>
            </w:pPr>
            <w:r w:rsidRPr="00B63651">
              <w:rPr>
                <w:rFonts w:eastAsia="MS Mincho"/>
              </w:rPr>
              <w:t xml:space="preserve">Simon </w:t>
            </w:r>
            <w:r w:rsidR="0065538B" w:rsidRPr="00B63651">
              <w:rPr>
                <w:rFonts w:eastAsia="MS Mincho"/>
              </w:rPr>
              <w:t>(</w:t>
            </w:r>
            <w:r w:rsidRPr="00B63651">
              <w:rPr>
                <w:rFonts w:eastAsia="MS Mincho"/>
              </w:rPr>
              <w:t>2009</w:t>
            </w:r>
            <w:r w:rsidR="0065538B" w:rsidRPr="00B63651">
              <w:rPr>
                <w:rFonts w:eastAsia="MS Mincho"/>
              </w:rPr>
              <w:t>)</w:t>
            </w:r>
          </w:p>
        </w:tc>
        <w:tc>
          <w:tcPr>
            <w:tcW w:w="239" w:type="pct"/>
          </w:tcPr>
          <w:p w14:paraId="1DC32128" w14:textId="28B8A966" w:rsidR="00D137CE" w:rsidRDefault="006955C7" w:rsidP="00A71365">
            <w:pPr>
              <w:pStyle w:val="Tablewriting"/>
              <w:rPr>
                <w:rFonts w:eastAsia="MS Mincho"/>
              </w:rPr>
            </w:pPr>
            <w:r>
              <w:rPr>
                <w:rFonts w:eastAsia="MS Mincho"/>
              </w:rPr>
              <w:t>RCT</w:t>
            </w:r>
          </w:p>
        </w:tc>
        <w:tc>
          <w:tcPr>
            <w:tcW w:w="422" w:type="pct"/>
          </w:tcPr>
          <w:p w14:paraId="22D533C7" w14:textId="2980D429" w:rsidR="0035253E" w:rsidRPr="00061F78" w:rsidRDefault="006955C7" w:rsidP="00A71365">
            <w:pPr>
              <w:pStyle w:val="Tablewriting"/>
              <w:rPr>
                <w:rFonts w:eastAsia="MS Mincho"/>
              </w:rPr>
            </w:pPr>
            <w:r>
              <w:rPr>
                <w:rFonts w:eastAsia="MS Mincho"/>
              </w:rPr>
              <w:t>USA</w:t>
            </w:r>
          </w:p>
        </w:tc>
        <w:tc>
          <w:tcPr>
            <w:tcW w:w="449" w:type="pct"/>
          </w:tcPr>
          <w:p w14:paraId="61DBC0D7" w14:textId="119854C6" w:rsidR="00D137CE" w:rsidRPr="00061F78" w:rsidRDefault="006955C7" w:rsidP="00A71365">
            <w:pPr>
              <w:pStyle w:val="Tablewriting"/>
              <w:rPr>
                <w:rFonts w:eastAsia="MS Mincho"/>
              </w:rPr>
            </w:pPr>
            <w:r>
              <w:rPr>
                <w:rFonts w:eastAsia="MS Mincho"/>
              </w:rPr>
              <w:t>N=</w:t>
            </w:r>
            <w:r w:rsidR="00E51F3C">
              <w:rPr>
                <w:rFonts w:eastAsia="MS Mincho"/>
              </w:rPr>
              <w:t>83</w:t>
            </w:r>
          </w:p>
        </w:tc>
        <w:tc>
          <w:tcPr>
            <w:tcW w:w="1271" w:type="pct"/>
          </w:tcPr>
          <w:p w14:paraId="4681D29E" w14:textId="032A2076" w:rsidR="00D137CE" w:rsidRPr="00061F78" w:rsidRDefault="00E51F3C" w:rsidP="00A71365">
            <w:pPr>
              <w:pStyle w:val="Tablewriting"/>
              <w:rPr>
                <w:rFonts w:eastAsia="MS Mincho"/>
              </w:rPr>
            </w:pPr>
            <w:r>
              <w:rPr>
                <w:rFonts w:eastAsia="MS Mincho"/>
              </w:rPr>
              <w:t>I</w:t>
            </w:r>
            <w:r w:rsidR="00C34C6B" w:rsidRPr="00C34C6B">
              <w:rPr>
                <w:rFonts w:eastAsia="MS Mincho"/>
              </w:rPr>
              <w:t>npatients smoking at least 5 cigarettes per day in previous year, smoking in week before admission,</w:t>
            </w:r>
            <w:r w:rsidR="00D66694">
              <w:rPr>
                <w:rFonts w:eastAsia="MS Mincho"/>
              </w:rPr>
              <w:t xml:space="preserve"> </w:t>
            </w:r>
            <w:r w:rsidR="00C34C6B" w:rsidRPr="00C34C6B">
              <w:rPr>
                <w:rFonts w:eastAsia="MS Mincho"/>
              </w:rPr>
              <w:t>in contemplation or preparation stage of change</w:t>
            </w:r>
          </w:p>
        </w:tc>
        <w:tc>
          <w:tcPr>
            <w:tcW w:w="1224" w:type="pct"/>
          </w:tcPr>
          <w:p w14:paraId="583103C2" w14:textId="77777777" w:rsidR="00BE0732" w:rsidRDefault="00BE0732" w:rsidP="00C324F3">
            <w:pPr>
              <w:pStyle w:val="Tablewriting"/>
              <w:numPr>
                <w:ilvl w:val="0"/>
                <w:numId w:val="47"/>
              </w:numPr>
              <w:rPr>
                <w:rFonts w:eastAsia="MS Mincho"/>
              </w:rPr>
            </w:pPr>
            <w:r w:rsidRPr="00BE0732">
              <w:rPr>
                <w:rFonts w:eastAsia="MS Mincho"/>
              </w:rPr>
              <w:t>Bupropion 300 mg for 7 weeks</w:t>
            </w:r>
          </w:p>
          <w:p w14:paraId="709C3EFD" w14:textId="0780184D" w:rsidR="00BE0732" w:rsidRPr="00BE0732" w:rsidRDefault="00BE0732" w:rsidP="00C324F3">
            <w:pPr>
              <w:pStyle w:val="Tablewriting"/>
              <w:numPr>
                <w:ilvl w:val="0"/>
                <w:numId w:val="47"/>
              </w:numPr>
              <w:rPr>
                <w:rFonts w:eastAsia="MS Mincho"/>
              </w:rPr>
            </w:pPr>
            <w:r w:rsidRPr="00BE0732">
              <w:rPr>
                <w:rFonts w:eastAsia="MS Mincho"/>
              </w:rPr>
              <w:t>Placebo</w:t>
            </w:r>
          </w:p>
          <w:p w14:paraId="5FD12C48" w14:textId="77777777" w:rsidR="00BE0732" w:rsidRDefault="00BE0732" w:rsidP="00A71365">
            <w:pPr>
              <w:pStyle w:val="Tablewriting"/>
              <w:rPr>
                <w:rFonts w:eastAsia="MS Mincho"/>
              </w:rPr>
            </w:pPr>
          </w:p>
          <w:p w14:paraId="7D79E16B" w14:textId="0D488DCC" w:rsidR="00D137CE" w:rsidRPr="00061F78" w:rsidRDefault="00BE0732" w:rsidP="00A71365">
            <w:pPr>
              <w:pStyle w:val="Tablewriting"/>
              <w:rPr>
                <w:rFonts w:eastAsia="MS Mincho"/>
              </w:rPr>
            </w:pPr>
            <w:r w:rsidRPr="00BE0732">
              <w:rPr>
                <w:rFonts w:eastAsia="MS Mincho"/>
                <w:u w:val="single"/>
              </w:rPr>
              <w:t>Common components:</w:t>
            </w:r>
            <w:r w:rsidRPr="00BE0732">
              <w:rPr>
                <w:rFonts w:eastAsia="MS Mincho"/>
              </w:rPr>
              <w:t xml:space="preserve"> individual CBT 30-60 min during hospital stay + 5 phone calls at week 1, week 3,</w:t>
            </w:r>
            <w:r>
              <w:rPr>
                <w:rFonts w:eastAsia="MS Mincho"/>
              </w:rPr>
              <w:t xml:space="preserve"> </w:t>
            </w:r>
            <w:r w:rsidRPr="00BE0732">
              <w:rPr>
                <w:rFonts w:eastAsia="MS Mincho"/>
              </w:rPr>
              <w:t>week 5, week 8, week 12, recycling encouraged</w:t>
            </w:r>
          </w:p>
        </w:tc>
        <w:tc>
          <w:tcPr>
            <w:tcW w:w="832" w:type="pct"/>
          </w:tcPr>
          <w:p w14:paraId="7D3A3EE6" w14:textId="4C06277B" w:rsidR="00AA47B9" w:rsidRPr="00AA47B9" w:rsidRDefault="00AA47B9" w:rsidP="00A71365">
            <w:pPr>
              <w:pStyle w:val="Tablewriting"/>
              <w:rPr>
                <w:rFonts w:eastAsia="MS Mincho"/>
              </w:rPr>
            </w:pPr>
            <w:r w:rsidRPr="00AA47B9">
              <w:rPr>
                <w:rFonts w:eastAsia="MS Mincho"/>
                <w:u w:val="single"/>
              </w:rPr>
              <w:t>Efficacy:</w:t>
            </w:r>
            <w:r w:rsidRPr="00AA47B9">
              <w:rPr>
                <w:rFonts w:eastAsia="MS Mincho"/>
              </w:rPr>
              <w:t xml:space="preserve"> continuous abstinence at 6 months. Validated at each visit by saliva cotinine &lt; 15</w:t>
            </w:r>
            <w:r w:rsidR="00095F26">
              <w:rPr>
                <w:rFonts w:eastAsia="MS Mincho"/>
              </w:rPr>
              <w:t xml:space="preserve"> </w:t>
            </w:r>
            <w:r w:rsidRPr="00AA47B9">
              <w:rPr>
                <w:rFonts w:eastAsia="MS Mincho"/>
              </w:rPr>
              <w:t>ng/mL</w:t>
            </w:r>
          </w:p>
          <w:p w14:paraId="47C9C6E6" w14:textId="49E995D5" w:rsidR="00D137CE" w:rsidRPr="00061F78" w:rsidRDefault="00AA47B9" w:rsidP="00A71365">
            <w:pPr>
              <w:pStyle w:val="Tablewriting"/>
              <w:rPr>
                <w:rFonts w:eastAsia="MS Mincho"/>
              </w:rPr>
            </w:pPr>
            <w:r w:rsidRPr="00AA47B9">
              <w:rPr>
                <w:rFonts w:eastAsia="MS Mincho"/>
                <w:u w:val="single"/>
              </w:rPr>
              <w:t>Safety:</w:t>
            </w:r>
            <w:r>
              <w:rPr>
                <w:rFonts w:eastAsia="MS Mincho"/>
              </w:rPr>
              <w:t xml:space="preserve"> a</w:t>
            </w:r>
            <w:r w:rsidRPr="00AA47B9">
              <w:rPr>
                <w:rFonts w:eastAsia="MS Mincho"/>
              </w:rPr>
              <w:t>dverse events measured for 7 weeks</w:t>
            </w:r>
            <w:r w:rsidR="00E41249">
              <w:rPr>
                <w:rFonts w:eastAsia="MS Mincho"/>
              </w:rPr>
              <w:t>.</w:t>
            </w:r>
          </w:p>
        </w:tc>
      </w:tr>
      <w:tr w:rsidR="00D137CE" w:rsidRPr="00061F78" w14:paraId="7C9DFDA5" w14:textId="77777777" w:rsidTr="00D0517F">
        <w:trPr>
          <w:trHeight w:val="149"/>
        </w:trPr>
        <w:tc>
          <w:tcPr>
            <w:tcW w:w="565" w:type="pct"/>
          </w:tcPr>
          <w:p w14:paraId="065A37FD" w14:textId="53155541" w:rsidR="00D137CE" w:rsidRPr="00866DE0" w:rsidRDefault="00D77A5B" w:rsidP="00A71365">
            <w:pPr>
              <w:pStyle w:val="Tablewriting"/>
              <w:rPr>
                <w:rFonts w:eastAsia="MS Mincho"/>
              </w:rPr>
            </w:pPr>
            <w:r w:rsidRPr="00B63651">
              <w:rPr>
                <w:rFonts w:eastAsia="MS Mincho"/>
              </w:rPr>
              <w:t>SMK20001</w:t>
            </w:r>
          </w:p>
        </w:tc>
        <w:tc>
          <w:tcPr>
            <w:tcW w:w="239" w:type="pct"/>
          </w:tcPr>
          <w:p w14:paraId="4E228AAC" w14:textId="3D5ACBCD" w:rsidR="00D137CE" w:rsidRDefault="00777277" w:rsidP="00A71365">
            <w:pPr>
              <w:pStyle w:val="Tablewriting"/>
              <w:rPr>
                <w:rFonts w:eastAsia="MS Mincho"/>
              </w:rPr>
            </w:pPr>
            <w:r>
              <w:rPr>
                <w:rFonts w:eastAsia="MS Mincho"/>
              </w:rPr>
              <w:t>RCT</w:t>
            </w:r>
          </w:p>
        </w:tc>
        <w:tc>
          <w:tcPr>
            <w:tcW w:w="422" w:type="pct"/>
          </w:tcPr>
          <w:p w14:paraId="15A0A1D9" w14:textId="354435D8" w:rsidR="0035253E" w:rsidRPr="00061F78" w:rsidRDefault="00777277" w:rsidP="00A71365">
            <w:pPr>
              <w:pStyle w:val="Tablewriting"/>
              <w:rPr>
                <w:rFonts w:eastAsia="MS Mincho"/>
              </w:rPr>
            </w:pPr>
            <w:r>
              <w:rPr>
                <w:rFonts w:eastAsia="MS Mincho"/>
              </w:rPr>
              <w:t>USA</w:t>
            </w:r>
          </w:p>
        </w:tc>
        <w:tc>
          <w:tcPr>
            <w:tcW w:w="449" w:type="pct"/>
          </w:tcPr>
          <w:p w14:paraId="1E2ED74E" w14:textId="2BF54D1A" w:rsidR="00D137CE" w:rsidRPr="00061F78" w:rsidRDefault="00777277" w:rsidP="00A71365">
            <w:pPr>
              <w:pStyle w:val="Tablewriting"/>
              <w:rPr>
                <w:rFonts w:eastAsia="MS Mincho"/>
              </w:rPr>
            </w:pPr>
            <w:r>
              <w:rPr>
                <w:rFonts w:eastAsia="MS Mincho"/>
              </w:rPr>
              <w:t>N=286</w:t>
            </w:r>
          </w:p>
        </w:tc>
        <w:tc>
          <w:tcPr>
            <w:tcW w:w="1271" w:type="pct"/>
          </w:tcPr>
          <w:p w14:paraId="0606979E" w14:textId="477340E0" w:rsidR="00D137CE" w:rsidRPr="00061F78" w:rsidRDefault="00777277" w:rsidP="00A71365">
            <w:pPr>
              <w:pStyle w:val="Tablewriting"/>
              <w:rPr>
                <w:rFonts w:eastAsia="MS Mincho"/>
              </w:rPr>
            </w:pPr>
            <w:r>
              <w:rPr>
                <w:rFonts w:eastAsia="MS Mincho"/>
              </w:rPr>
              <w:t>S</w:t>
            </w:r>
            <w:r w:rsidRPr="00777277">
              <w:rPr>
                <w:rFonts w:eastAsia="MS Mincho"/>
              </w:rPr>
              <w:t>mokers</w:t>
            </w:r>
            <w:r w:rsidR="00D66694">
              <w:rPr>
                <w:rFonts w:eastAsia="MS Mincho"/>
              </w:rPr>
              <w:t>,</w:t>
            </w:r>
            <w:r w:rsidRPr="00777277">
              <w:rPr>
                <w:rFonts w:eastAsia="MS Mincho"/>
              </w:rPr>
              <w:t xml:space="preserve"> 48% female</w:t>
            </w:r>
            <w:r w:rsidR="00D66694">
              <w:rPr>
                <w:rFonts w:eastAsia="MS Mincho"/>
              </w:rPr>
              <w:t>,</w:t>
            </w:r>
            <w:r w:rsidRPr="00777277">
              <w:rPr>
                <w:rFonts w:eastAsia="MS Mincho"/>
              </w:rPr>
              <w:t xml:space="preserve"> average age 42</w:t>
            </w:r>
            <w:r w:rsidR="00D66694">
              <w:rPr>
                <w:rFonts w:eastAsia="MS Mincho"/>
              </w:rPr>
              <w:t>,</w:t>
            </w:r>
            <w:r w:rsidRPr="00777277">
              <w:rPr>
                <w:rFonts w:eastAsia="MS Mincho"/>
              </w:rPr>
              <w:t xml:space="preserve"> average cigarettes per day not specified</w:t>
            </w:r>
          </w:p>
        </w:tc>
        <w:tc>
          <w:tcPr>
            <w:tcW w:w="1224" w:type="pct"/>
          </w:tcPr>
          <w:p w14:paraId="392385C7" w14:textId="77777777" w:rsidR="00D137CE" w:rsidRDefault="008C37BD" w:rsidP="00C324F3">
            <w:pPr>
              <w:pStyle w:val="Tablewriting"/>
              <w:numPr>
                <w:ilvl w:val="0"/>
                <w:numId w:val="48"/>
              </w:numPr>
              <w:rPr>
                <w:rFonts w:eastAsia="MS Mincho"/>
              </w:rPr>
            </w:pPr>
            <w:r w:rsidRPr="008C37BD">
              <w:rPr>
                <w:rFonts w:eastAsia="MS Mincho"/>
              </w:rPr>
              <w:t>Bupropion 300 mg for 7 weeks and placebo novel therapy</w:t>
            </w:r>
          </w:p>
          <w:p w14:paraId="45F3386D" w14:textId="09A1DDFC" w:rsidR="00D137CE" w:rsidRPr="00061F78" w:rsidRDefault="008C37BD" w:rsidP="00C324F3">
            <w:pPr>
              <w:pStyle w:val="Tablewriting"/>
              <w:numPr>
                <w:ilvl w:val="0"/>
                <w:numId w:val="48"/>
              </w:numPr>
              <w:rPr>
                <w:rFonts w:eastAsia="MS Mincho"/>
              </w:rPr>
            </w:pPr>
            <w:r>
              <w:rPr>
                <w:rFonts w:eastAsia="MS Mincho"/>
              </w:rPr>
              <w:t>Double placebo</w:t>
            </w:r>
          </w:p>
        </w:tc>
        <w:tc>
          <w:tcPr>
            <w:tcW w:w="832" w:type="pct"/>
          </w:tcPr>
          <w:p w14:paraId="7619C47C" w14:textId="3B10E776" w:rsidR="00D137CE" w:rsidRDefault="001B193C" w:rsidP="00A71365">
            <w:pPr>
              <w:pStyle w:val="Tablewriting"/>
              <w:rPr>
                <w:rFonts w:eastAsia="MS Mincho"/>
              </w:rPr>
            </w:pPr>
            <w:r w:rsidRPr="001B193C">
              <w:rPr>
                <w:rFonts w:eastAsia="MS Mincho"/>
                <w:u w:val="single"/>
              </w:rPr>
              <w:t>Efficacy:</w:t>
            </w:r>
            <w:r>
              <w:rPr>
                <w:rFonts w:eastAsia="MS Mincho"/>
              </w:rPr>
              <w:t xml:space="preserve"> </w:t>
            </w:r>
            <w:r w:rsidRPr="001B193C">
              <w:rPr>
                <w:rFonts w:eastAsia="MS Mincho"/>
              </w:rPr>
              <w:t xml:space="preserve">continuous abstinence at 12 months. Validated by CO </w:t>
            </w:r>
            <w:r w:rsidR="00424BE8" w:rsidRPr="00D96BA4">
              <w:rPr>
                <w:rFonts w:eastAsia="MS Mincho"/>
              </w:rPr>
              <w:t>≤</w:t>
            </w:r>
            <w:r w:rsidRPr="001B193C">
              <w:rPr>
                <w:rFonts w:eastAsia="MS Mincho"/>
              </w:rPr>
              <w:t xml:space="preserve"> 10 ppm</w:t>
            </w:r>
          </w:p>
          <w:p w14:paraId="1EC89800" w14:textId="1A152246" w:rsidR="00D137CE" w:rsidRPr="00061F78" w:rsidRDefault="001B193C" w:rsidP="00A71365">
            <w:pPr>
              <w:pStyle w:val="Tablewriting"/>
              <w:rPr>
                <w:rFonts w:eastAsia="MS Mincho"/>
              </w:rPr>
            </w:pPr>
            <w:r w:rsidRPr="001B193C">
              <w:rPr>
                <w:rFonts w:eastAsia="MS Mincho"/>
                <w:u w:val="single"/>
              </w:rPr>
              <w:t>Safety:</w:t>
            </w:r>
            <w:r>
              <w:rPr>
                <w:rFonts w:eastAsia="MS Mincho"/>
              </w:rPr>
              <w:t xml:space="preserve"> N/A</w:t>
            </w:r>
            <w:r w:rsidR="00E41249">
              <w:rPr>
                <w:rFonts w:eastAsia="MS Mincho"/>
              </w:rPr>
              <w:t>.</w:t>
            </w:r>
          </w:p>
        </w:tc>
      </w:tr>
      <w:tr w:rsidR="00D137CE" w:rsidRPr="00061F78" w14:paraId="225ABE4A" w14:textId="77777777" w:rsidTr="00D0517F">
        <w:trPr>
          <w:trHeight w:val="149"/>
        </w:trPr>
        <w:tc>
          <w:tcPr>
            <w:tcW w:w="565" w:type="pct"/>
          </w:tcPr>
          <w:p w14:paraId="54189D99" w14:textId="72097583" w:rsidR="00D137CE" w:rsidRPr="00866DE0" w:rsidRDefault="0025513D" w:rsidP="00A71365">
            <w:pPr>
              <w:pStyle w:val="Tablewriting"/>
              <w:rPr>
                <w:rFonts w:eastAsia="MS Mincho"/>
              </w:rPr>
            </w:pPr>
            <w:r w:rsidRPr="00866DE0">
              <w:rPr>
                <w:rFonts w:eastAsia="MS Mincho"/>
              </w:rPr>
              <w:t xml:space="preserve">Tashkin </w:t>
            </w:r>
            <w:r w:rsidR="0065538B">
              <w:rPr>
                <w:rFonts w:eastAsia="MS Mincho"/>
              </w:rPr>
              <w:t>(</w:t>
            </w:r>
            <w:r w:rsidRPr="00866DE0">
              <w:rPr>
                <w:rFonts w:eastAsia="MS Mincho"/>
              </w:rPr>
              <w:t>2001</w:t>
            </w:r>
            <w:r w:rsidR="0065538B">
              <w:rPr>
                <w:rFonts w:eastAsia="MS Mincho"/>
              </w:rPr>
              <w:t>)</w:t>
            </w:r>
          </w:p>
        </w:tc>
        <w:tc>
          <w:tcPr>
            <w:tcW w:w="239" w:type="pct"/>
          </w:tcPr>
          <w:p w14:paraId="4F62DDC2" w14:textId="0A3709AD" w:rsidR="00D137CE" w:rsidRDefault="003C27CB" w:rsidP="00A71365">
            <w:pPr>
              <w:pStyle w:val="Tablewriting"/>
              <w:rPr>
                <w:rFonts w:eastAsia="MS Mincho"/>
              </w:rPr>
            </w:pPr>
            <w:r>
              <w:rPr>
                <w:rFonts w:eastAsia="MS Mincho"/>
              </w:rPr>
              <w:t>RCT</w:t>
            </w:r>
          </w:p>
        </w:tc>
        <w:tc>
          <w:tcPr>
            <w:tcW w:w="422" w:type="pct"/>
          </w:tcPr>
          <w:p w14:paraId="7AAAFA1A" w14:textId="5A87D703" w:rsidR="0035253E" w:rsidRPr="00061F78" w:rsidRDefault="009A3B97" w:rsidP="00A71365">
            <w:pPr>
              <w:pStyle w:val="Tablewriting"/>
              <w:rPr>
                <w:rFonts w:eastAsia="MS Mincho"/>
              </w:rPr>
            </w:pPr>
            <w:r>
              <w:rPr>
                <w:rFonts w:eastAsia="MS Mincho"/>
              </w:rPr>
              <w:t>USA</w:t>
            </w:r>
          </w:p>
        </w:tc>
        <w:tc>
          <w:tcPr>
            <w:tcW w:w="449" w:type="pct"/>
          </w:tcPr>
          <w:p w14:paraId="1EE239E3" w14:textId="38E1288E" w:rsidR="00D137CE" w:rsidRPr="00061F78" w:rsidRDefault="009A3B97" w:rsidP="00A71365">
            <w:pPr>
              <w:pStyle w:val="Tablewriting"/>
              <w:rPr>
                <w:rFonts w:eastAsia="MS Mincho"/>
              </w:rPr>
            </w:pPr>
            <w:r>
              <w:rPr>
                <w:rFonts w:eastAsia="MS Mincho"/>
              </w:rPr>
              <w:t>N=404</w:t>
            </w:r>
          </w:p>
        </w:tc>
        <w:tc>
          <w:tcPr>
            <w:tcW w:w="1271" w:type="pct"/>
          </w:tcPr>
          <w:p w14:paraId="67D38E35" w14:textId="2CA6238A" w:rsidR="00D137CE" w:rsidRPr="00061F78" w:rsidRDefault="009A3B97" w:rsidP="00A71365">
            <w:pPr>
              <w:pStyle w:val="Tablewriting"/>
              <w:rPr>
                <w:rFonts w:eastAsia="MS Mincho"/>
              </w:rPr>
            </w:pPr>
            <w:r>
              <w:rPr>
                <w:rFonts w:eastAsia="MS Mincho"/>
              </w:rPr>
              <w:t>S</w:t>
            </w:r>
            <w:r w:rsidR="003C27CB" w:rsidRPr="003C27CB">
              <w:rPr>
                <w:rFonts w:eastAsia="MS Mincho"/>
              </w:rPr>
              <w:t>mokers with mild to moderate COPD (excludes 7 early dropouts who did not take any study medication)</w:t>
            </w:r>
            <w:r w:rsidR="00D66694">
              <w:rPr>
                <w:rFonts w:eastAsia="MS Mincho"/>
              </w:rPr>
              <w:t>,</w:t>
            </w:r>
            <w:r>
              <w:rPr>
                <w:rFonts w:eastAsia="MS Mincho"/>
              </w:rPr>
              <w:t xml:space="preserve"> </w:t>
            </w:r>
            <w:r w:rsidR="003C27CB" w:rsidRPr="003C27CB">
              <w:rPr>
                <w:rFonts w:eastAsia="MS Mincho"/>
              </w:rPr>
              <w:t>45% female</w:t>
            </w:r>
            <w:r w:rsidR="00D66694">
              <w:rPr>
                <w:rFonts w:eastAsia="MS Mincho"/>
              </w:rPr>
              <w:t>,</w:t>
            </w:r>
            <w:r w:rsidR="003C27CB" w:rsidRPr="003C27CB">
              <w:rPr>
                <w:rFonts w:eastAsia="MS Mincho"/>
              </w:rPr>
              <w:t xml:space="preserve"> average age 53-54</w:t>
            </w:r>
            <w:r w:rsidR="00D66694">
              <w:rPr>
                <w:rFonts w:eastAsia="MS Mincho"/>
              </w:rPr>
              <w:t xml:space="preserve"> years,</w:t>
            </w:r>
            <w:r w:rsidR="003C27CB" w:rsidRPr="003C27CB">
              <w:rPr>
                <w:rFonts w:eastAsia="MS Mincho"/>
              </w:rPr>
              <w:t xml:space="preserve"> average cigarettes per day 28</w:t>
            </w:r>
          </w:p>
        </w:tc>
        <w:tc>
          <w:tcPr>
            <w:tcW w:w="1224" w:type="pct"/>
          </w:tcPr>
          <w:p w14:paraId="5AF0CC1B" w14:textId="77777777" w:rsidR="009A3B97" w:rsidRDefault="009A3B97" w:rsidP="00C324F3">
            <w:pPr>
              <w:pStyle w:val="Tablewriting"/>
              <w:numPr>
                <w:ilvl w:val="0"/>
                <w:numId w:val="49"/>
              </w:numPr>
              <w:rPr>
                <w:rFonts w:eastAsia="MS Mincho"/>
              </w:rPr>
            </w:pPr>
            <w:r w:rsidRPr="009A3B97">
              <w:rPr>
                <w:rFonts w:eastAsia="MS Mincho"/>
              </w:rPr>
              <w:t>Bupropion SR 300 mg/day for 12 weeks from 1 week before TQD</w:t>
            </w:r>
          </w:p>
          <w:p w14:paraId="0A075F29" w14:textId="697F7D24" w:rsidR="009A3B97" w:rsidRPr="009A3B97" w:rsidRDefault="009A3B97" w:rsidP="00C324F3">
            <w:pPr>
              <w:pStyle w:val="Tablewriting"/>
              <w:numPr>
                <w:ilvl w:val="0"/>
                <w:numId w:val="49"/>
              </w:numPr>
              <w:rPr>
                <w:rFonts w:eastAsia="MS Mincho"/>
              </w:rPr>
            </w:pPr>
            <w:r w:rsidRPr="009A3B97">
              <w:rPr>
                <w:rFonts w:eastAsia="MS Mincho"/>
              </w:rPr>
              <w:t>Placebo</w:t>
            </w:r>
          </w:p>
          <w:p w14:paraId="2EB349C8" w14:textId="77777777" w:rsidR="009A3B97" w:rsidRDefault="009A3B97" w:rsidP="00A71365">
            <w:pPr>
              <w:pStyle w:val="Tablewriting"/>
              <w:rPr>
                <w:rFonts w:eastAsia="MS Mincho"/>
              </w:rPr>
            </w:pPr>
          </w:p>
          <w:p w14:paraId="3A0371CD" w14:textId="7A0B3791" w:rsidR="00D137CE" w:rsidRPr="00061F78" w:rsidRDefault="009A3B97" w:rsidP="00A71365">
            <w:pPr>
              <w:pStyle w:val="Tablewriting"/>
              <w:rPr>
                <w:rFonts w:eastAsia="MS Mincho"/>
              </w:rPr>
            </w:pPr>
            <w:r w:rsidRPr="009A3B97">
              <w:rPr>
                <w:rFonts w:eastAsia="MS Mincho"/>
                <w:u w:val="single"/>
              </w:rPr>
              <w:t>Common components:</w:t>
            </w:r>
            <w:r w:rsidRPr="009A3B97">
              <w:rPr>
                <w:rFonts w:eastAsia="MS Mincho"/>
              </w:rPr>
              <w:t xml:space="preserve"> brief face-to-face counselling at each clinic visit </w:t>
            </w:r>
            <w:r w:rsidRPr="009A3B97">
              <w:rPr>
                <w:rFonts w:eastAsia="MS Mincho"/>
              </w:rPr>
              <w:lastRenderedPageBreak/>
              <w:t>(weeks 1-7, 10, 12), telephone</w:t>
            </w:r>
            <w:r>
              <w:rPr>
                <w:rFonts w:eastAsia="MS Mincho"/>
              </w:rPr>
              <w:t xml:space="preserve"> </w:t>
            </w:r>
            <w:r w:rsidRPr="009A3B97">
              <w:rPr>
                <w:rFonts w:eastAsia="MS Mincho"/>
              </w:rPr>
              <w:t>counselling 3 days after TQD</w:t>
            </w:r>
          </w:p>
        </w:tc>
        <w:tc>
          <w:tcPr>
            <w:tcW w:w="832" w:type="pct"/>
          </w:tcPr>
          <w:p w14:paraId="1A5EFF06" w14:textId="37DA4F43" w:rsidR="00A50485" w:rsidRDefault="00A50485" w:rsidP="00A71365">
            <w:pPr>
              <w:pStyle w:val="Tablewriting"/>
              <w:rPr>
                <w:rFonts w:eastAsia="MS Mincho"/>
              </w:rPr>
            </w:pPr>
            <w:r w:rsidRPr="00A50485">
              <w:rPr>
                <w:rFonts w:eastAsia="MS Mincho"/>
                <w:u w:val="single"/>
              </w:rPr>
              <w:lastRenderedPageBreak/>
              <w:t>Efficacy:</w:t>
            </w:r>
            <w:r w:rsidRPr="00A50485">
              <w:rPr>
                <w:rFonts w:eastAsia="MS Mincho"/>
              </w:rPr>
              <w:t xml:space="preserve"> sustained abstinence at 52 weeks (starting from week 4). Validated by CO </w:t>
            </w:r>
            <w:r w:rsidR="00424BE8" w:rsidRPr="00D96BA4">
              <w:rPr>
                <w:rFonts w:eastAsia="MS Mincho"/>
              </w:rPr>
              <w:t>≤</w:t>
            </w:r>
            <w:r w:rsidRPr="00A50485">
              <w:rPr>
                <w:rFonts w:eastAsia="MS Mincho"/>
              </w:rPr>
              <w:t xml:space="preserve"> 10</w:t>
            </w:r>
            <w:r w:rsidR="00095F26">
              <w:rPr>
                <w:rFonts w:eastAsia="MS Mincho"/>
              </w:rPr>
              <w:t xml:space="preserve"> </w:t>
            </w:r>
            <w:r w:rsidRPr="00A50485">
              <w:rPr>
                <w:rFonts w:eastAsia="MS Mincho"/>
              </w:rPr>
              <w:t>ppm at each visit</w:t>
            </w:r>
          </w:p>
          <w:p w14:paraId="3131AA8D" w14:textId="36710F18" w:rsidR="00D137CE" w:rsidRPr="00061F78" w:rsidRDefault="00A50485" w:rsidP="00A71365">
            <w:pPr>
              <w:pStyle w:val="Tablewriting"/>
              <w:rPr>
                <w:rFonts w:eastAsia="MS Mincho"/>
              </w:rPr>
            </w:pPr>
            <w:r w:rsidRPr="00A50485">
              <w:rPr>
                <w:rFonts w:eastAsia="MS Mincho"/>
                <w:u w:val="single"/>
              </w:rPr>
              <w:t>Safety:</w:t>
            </w:r>
            <w:r>
              <w:rPr>
                <w:rFonts w:eastAsia="MS Mincho"/>
              </w:rPr>
              <w:t xml:space="preserve"> a</w:t>
            </w:r>
            <w:r w:rsidRPr="00A50485">
              <w:rPr>
                <w:rFonts w:eastAsia="MS Mincho"/>
              </w:rPr>
              <w:t>dverse events</w:t>
            </w:r>
            <w:r w:rsidR="008B77AB">
              <w:rPr>
                <w:rFonts w:eastAsia="MS Mincho"/>
              </w:rPr>
              <w:t xml:space="preserve"> </w:t>
            </w:r>
            <w:r w:rsidRPr="00A50485">
              <w:rPr>
                <w:rFonts w:eastAsia="MS Mincho"/>
              </w:rPr>
              <w:t>measured for 12 weeks</w:t>
            </w:r>
          </w:p>
        </w:tc>
      </w:tr>
      <w:tr w:rsidR="00D137CE" w:rsidRPr="00061F78" w14:paraId="40598D5A" w14:textId="77777777" w:rsidTr="00D0517F">
        <w:trPr>
          <w:trHeight w:val="149"/>
        </w:trPr>
        <w:tc>
          <w:tcPr>
            <w:tcW w:w="565" w:type="pct"/>
          </w:tcPr>
          <w:p w14:paraId="0E42D695" w14:textId="1B7D9128" w:rsidR="00D137CE" w:rsidRPr="00866DE0" w:rsidRDefault="007727E6" w:rsidP="00A71365">
            <w:pPr>
              <w:pStyle w:val="Tablewriting"/>
              <w:rPr>
                <w:rFonts w:eastAsia="MS Mincho"/>
              </w:rPr>
            </w:pPr>
            <w:r w:rsidRPr="00866DE0">
              <w:rPr>
                <w:rFonts w:eastAsia="MS Mincho"/>
              </w:rPr>
              <w:t xml:space="preserve">Tonnesen </w:t>
            </w:r>
            <w:r w:rsidR="0065538B">
              <w:rPr>
                <w:rFonts w:eastAsia="MS Mincho"/>
              </w:rPr>
              <w:t>(</w:t>
            </w:r>
            <w:r w:rsidRPr="00866DE0">
              <w:rPr>
                <w:rFonts w:eastAsia="MS Mincho"/>
              </w:rPr>
              <w:t>2003</w:t>
            </w:r>
            <w:r w:rsidR="0065538B">
              <w:rPr>
                <w:rFonts w:eastAsia="MS Mincho"/>
              </w:rPr>
              <w:t>)</w:t>
            </w:r>
          </w:p>
        </w:tc>
        <w:tc>
          <w:tcPr>
            <w:tcW w:w="239" w:type="pct"/>
          </w:tcPr>
          <w:p w14:paraId="352EC05C" w14:textId="6C618885" w:rsidR="00D137CE" w:rsidRDefault="00281838" w:rsidP="00A71365">
            <w:pPr>
              <w:pStyle w:val="Tablewriting"/>
              <w:rPr>
                <w:rFonts w:eastAsia="MS Mincho"/>
              </w:rPr>
            </w:pPr>
            <w:r>
              <w:rPr>
                <w:rFonts w:eastAsia="MS Mincho"/>
              </w:rPr>
              <w:t>RCT</w:t>
            </w:r>
          </w:p>
        </w:tc>
        <w:tc>
          <w:tcPr>
            <w:tcW w:w="422" w:type="pct"/>
          </w:tcPr>
          <w:p w14:paraId="1B8D1C22" w14:textId="3CAB0EB0" w:rsidR="0035253E" w:rsidRPr="00061F78" w:rsidRDefault="00281838" w:rsidP="00A71365">
            <w:pPr>
              <w:pStyle w:val="Tablewriting"/>
              <w:rPr>
                <w:rFonts w:eastAsia="MS Mincho"/>
              </w:rPr>
            </w:pPr>
            <w:r w:rsidRPr="00281838">
              <w:rPr>
                <w:rFonts w:eastAsia="MS Mincho"/>
              </w:rPr>
              <w:t>8 European countries, Australia, New Zealand</w:t>
            </w:r>
          </w:p>
        </w:tc>
        <w:tc>
          <w:tcPr>
            <w:tcW w:w="449" w:type="pct"/>
          </w:tcPr>
          <w:p w14:paraId="5D966608" w14:textId="31310911" w:rsidR="00D137CE" w:rsidRPr="00061F78" w:rsidRDefault="007103BA" w:rsidP="00A71365">
            <w:pPr>
              <w:pStyle w:val="Tablewriting"/>
              <w:rPr>
                <w:rFonts w:eastAsia="MS Mincho"/>
              </w:rPr>
            </w:pPr>
            <w:r>
              <w:rPr>
                <w:rFonts w:eastAsia="MS Mincho"/>
              </w:rPr>
              <w:t>N=710</w:t>
            </w:r>
          </w:p>
        </w:tc>
        <w:tc>
          <w:tcPr>
            <w:tcW w:w="1271" w:type="pct"/>
          </w:tcPr>
          <w:p w14:paraId="6DD52E39" w14:textId="3BC12B4A" w:rsidR="00D137CE" w:rsidRPr="00061F78" w:rsidRDefault="007103BA" w:rsidP="00A71365">
            <w:pPr>
              <w:pStyle w:val="Tablewriting"/>
              <w:rPr>
                <w:rFonts w:eastAsia="MS Mincho"/>
              </w:rPr>
            </w:pPr>
            <w:r>
              <w:rPr>
                <w:rFonts w:eastAsia="MS Mincho"/>
              </w:rPr>
              <w:t>S</w:t>
            </w:r>
            <w:r w:rsidRPr="007103BA">
              <w:rPr>
                <w:rFonts w:eastAsia="MS Mincho"/>
              </w:rPr>
              <w:t>mokers</w:t>
            </w:r>
            <w:r w:rsidR="00D66694">
              <w:rPr>
                <w:rFonts w:eastAsia="MS Mincho"/>
              </w:rPr>
              <w:t>,</w:t>
            </w:r>
            <w:r w:rsidRPr="007103BA">
              <w:rPr>
                <w:rFonts w:eastAsia="MS Mincho"/>
              </w:rPr>
              <w:t xml:space="preserve"> 51% female</w:t>
            </w:r>
            <w:r w:rsidR="00D66694">
              <w:rPr>
                <w:rFonts w:eastAsia="MS Mincho"/>
              </w:rPr>
              <w:t>,</w:t>
            </w:r>
            <w:r w:rsidRPr="007103BA">
              <w:rPr>
                <w:rFonts w:eastAsia="MS Mincho"/>
              </w:rPr>
              <w:t xml:space="preserve"> average age 42</w:t>
            </w:r>
            <w:r w:rsidR="00D66694">
              <w:rPr>
                <w:rFonts w:eastAsia="MS Mincho"/>
              </w:rPr>
              <w:t>,</w:t>
            </w:r>
            <w:r w:rsidRPr="007103BA">
              <w:rPr>
                <w:rFonts w:eastAsia="MS Mincho"/>
              </w:rPr>
              <w:t xml:space="preserve"> median cigarettes per day 20</w:t>
            </w:r>
          </w:p>
        </w:tc>
        <w:tc>
          <w:tcPr>
            <w:tcW w:w="1224" w:type="pct"/>
          </w:tcPr>
          <w:p w14:paraId="29CD4137" w14:textId="77777777" w:rsidR="007103BA" w:rsidRDefault="007103BA" w:rsidP="00C324F3">
            <w:pPr>
              <w:pStyle w:val="Tablewriting"/>
              <w:numPr>
                <w:ilvl w:val="0"/>
                <w:numId w:val="50"/>
              </w:numPr>
              <w:rPr>
                <w:rFonts w:eastAsia="MS Mincho"/>
              </w:rPr>
            </w:pPr>
            <w:r w:rsidRPr="007103BA">
              <w:rPr>
                <w:rFonts w:eastAsia="MS Mincho"/>
              </w:rPr>
              <w:t>Bupropion SR 300 mg/day for 7 weeks</w:t>
            </w:r>
          </w:p>
          <w:p w14:paraId="7AEA81F0" w14:textId="01C2D0B4" w:rsidR="007103BA" w:rsidRPr="007103BA" w:rsidRDefault="007103BA" w:rsidP="00C324F3">
            <w:pPr>
              <w:pStyle w:val="Tablewriting"/>
              <w:numPr>
                <w:ilvl w:val="0"/>
                <w:numId w:val="50"/>
              </w:numPr>
              <w:rPr>
                <w:rFonts w:eastAsia="MS Mincho"/>
              </w:rPr>
            </w:pPr>
            <w:r w:rsidRPr="007103BA">
              <w:rPr>
                <w:rFonts w:eastAsia="MS Mincho"/>
              </w:rPr>
              <w:t>Placebo</w:t>
            </w:r>
          </w:p>
          <w:p w14:paraId="697F51D6" w14:textId="77777777" w:rsidR="007103BA" w:rsidRDefault="007103BA" w:rsidP="00A71365">
            <w:pPr>
              <w:pStyle w:val="Tablewriting"/>
              <w:rPr>
                <w:rFonts w:eastAsia="MS Mincho"/>
              </w:rPr>
            </w:pPr>
          </w:p>
          <w:p w14:paraId="1187DE35" w14:textId="6E0219C6" w:rsidR="007103BA" w:rsidRPr="007103BA" w:rsidRDefault="007103BA" w:rsidP="00A71365">
            <w:pPr>
              <w:pStyle w:val="Tablewriting"/>
              <w:rPr>
                <w:rFonts w:eastAsia="MS Mincho"/>
              </w:rPr>
            </w:pPr>
            <w:r w:rsidRPr="007103BA">
              <w:rPr>
                <w:rFonts w:eastAsia="MS Mincho"/>
                <w:u w:val="single"/>
              </w:rPr>
              <w:t>Common components</w:t>
            </w:r>
            <w:r w:rsidRPr="007103BA">
              <w:rPr>
                <w:rFonts w:eastAsia="MS Mincho"/>
              </w:rPr>
              <w:t>: brief motivational support at</w:t>
            </w:r>
            <w:r>
              <w:rPr>
                <w:rFonts w:eastAsia="MS Mincho"/>
              </w:rPr>
              <w:t xml:space="preserve"> </w:t>
            </w:r>
            <w:r w:rsidRPr="007103BA">
              <w:rPr>
                <w:rFonts w:eastAsia="MS Mincho"/>
              </w:rPr>
              <w:t>weekly clinic visits and telephone support during</w:t>
            </w:r>
          </w:p>
          <w:p w14:paraId="265B4170" w14:textId="24646136" w:rsidR="00D137CE" w:rsidRPr="00061F78" w:rsidRDefault="007103BA" w:rsidP="00A71365">
            <w:pPr>
              <w:pStyle w:val="Tablewriting"/>
              <w:rPr>
                <w:rFonts w:eastAsia="MS Mincho"/>
              </w:rPr>
            </w:pPr>
            <w:r w:rsidRPr="007103BA">
              <w:rPr>
                <w:rFonts w:eastAsia="MS Mincho"/>
              </w:rPr>
              <w:t>follow-up. 11 clinic visits and 10 phone calls scheduled</w:t>
            </w:r>
          </w:p>
        </w:tc>
        <w:tc>
          <w:tcPr>
            <w:tcW w:w="832" w:type="pct"/>
          </w:tcPr>
          <w:p w14:paraId="7764DEAF" w14:textId="53F67FEC" w:rsidR="00FC3EC9" w:rsidRPr="00FC3EC9" w:rsidRDefault="00FC3EC9" w:rsidP="00A71365">
            <w:pPr>
              <w:pStyle w:val="Tablewriting"/>
              <w:rPr>
                <w:rFonts w:eastAsia="MS Mincho"/>
              </w:rPr>
            </w:pPr>
            <w:r w:rsidRPr="00FC3EC9">
              <w:rPr>
                <w:rFonts w:eastAsia="MS Mincho"/>
                <w:u w:val="single"/>
              </w:rPr>
              <w:t>Efficacy:</w:t>
            </w:r>
            <w:r w:rsidRPr="00FC3EC9">
              <w:rPr>
                <w:rFonts w:eastAsia="MS Mincho"/>
              </w:rPr>
              <w:t xml:space="preserve"> prolonged abstinence at 52 weeks (starting from week 4). Validated by CO </w:t>
            </w:r>
            <w:r w:rsidR="00424BE8" w:rsidRPr="00D96BA4">
              <w:rPr>
                <w:rFonts w:eastAsia="MS Mincho"/>
              </w:rPr>
              <w:t>≤</w:t>
            </w:r>
            <w:r w:rsidRPr="00FC3EC9">
              <w:rPr>
                <w:rFonts w:eastAsia="MS Mincho"/>
              </w:rPr>
              <w:t xml:space="preserve"> 10</w:t>
            </w:r>
            <w:r w:rsidR="00095F26">
              <w:rPr>
                <w:rFonts w:eastAsia="MS Mincho"/>
              </w:rPr>
              <w:t xml:space="preserve"> </w:t>
            </w:r>
            <w:r w:rsidRPr="00FC3EC9">
              <w:rPr>
                <w:rFonts w:eastAsia="MS Mincho"/>
              </w:rPr>
              <w:t>ppm</w:t>
            </w:r>
          </w:p>
          <w:p w14:paraId="15EA1B90" w14:textId="33F6D25F" w:rsidR="00D137CE" w:rsidRPr="00061F78" w:rsidRDefault="00FC3EC9" w:rsidP="00A71365">
            <w:pPr>
              <w:pStyle w:val="Tablewriting"/>
              <w:rPr>
                <w:rFonts w:eastAsia="MS Mincho"/>
              </w:rPr>
            </w:pPr>
            <w:r w:rsidRPr="00FC3EC9">
              <w:rPr>
                <w:rFonts w:eastAsia="MS Mincho"/>
                <w:u w:val="single"/>
              </w:rPr>
              <w:t>Safety:</w:t>
            </w:r>
            <w:r>
              <w:rPr>
                <w:rFonts w:eastAsia="MS Mincho"/>
              </w:rPr>
              <w:t xml:space="preserve"> a</w:t>
            </w:r>
            <w:r w:rsidRPr="00FC3EC9">
              <w:rPr>
                <w:rFonts w:eastAsia="MS Mincho"/>
              </w:rPr>
              <w:t>dverse events</w:t>
            </w:r>
            <w:r w:rsidR="008B77AB">
              <w:rPr>
                <w:rFonts w:eastAsia="MS Mincho"/>
              </w:rPr>
              <w:t xml:space="preserve"> </w:t>
            </w:r>
            <w:r w:rsidRPr="00FC3EC9">
              <w:rPr>
                <w:rFonts w:eastAsia="MS Mincho"/>
              </w:rPr>
              <w:t>measured for 52</w:t>
            </w:r>
            <w:r w:rsidR="00095F26">
              <w:rPr>
                <w:rFonts w:eastAsia="MS Mincho"/>
              </w:rPr>
              <w:t xml:space="preserve"> </w:t>
            </w:r>
            <w:r w:rsidRPr="00FC3EC9">
              <w:rPr>
                <w:rFonts w:eastAsia="MS Mincho"/>
              </w:rPr>
              <w:t>weeks</w:t>
            </w:r>
            <w:r w:rsidR="00EF7420">
              <w:rPr>
                <w:rFonts w:eastAsia="MS Mincho"/>
              </w:rPr>
              <w:t>.</w:t>
            </w:r>
          </w:p>
        </w:tc>
      </w:tr>
      <w:tr w:rsidR="00D137CE" w:rsidRPr="00061F78" w14:paraId="6CE59B42" w14:textId="77777777" w:rsidTr="00D0517F">
        <w:trPr>
          <w:trHeight w:val="149"/>
        </w:trPr>
        <w:tc>
          <w:tcPr>
            <w:tcW w:w="565" w:type="pct"/>
          </w:tcPr>
          <w:p w14:paraId="46908FE9" w14:textId="32040916" w:rsidR="00D137CE" w:rsidRPr="00866DE0" w:rsidRDefault="002D407F" w:rsidP="00A71365">
            <w:pPr>
              <w:pStyle w:val="Tablewriting"/>
              <w:rPr>
                <w:rFonts w:eastAsia="MS Mincho"/>
              </w:rPr>
            </w:pPr>
            <w:r w:rsidRPr="00343F64">
              <w:rPr>
                <w:rFonts w:eastAsia="MS Mincho"/>
              </w:rPr>
              <w:t xml:space="preserve">Tonstad </w:t>
            </w:r>
            <w:r w:rsidR="0065538B" w:rsidRPr="00343F64">
              <w:rPr>
                <w:rFonts w:eastAsia="MS Mincho"/>
              </w:rPr>
              <w:t>(</w:t>
            </w:r>
            <w:r w:rsidRPr="00343F64">
              <w:rPr>
                <w:rFonts w:eastAsia="MS Mincho"/>
              </w:rPr>
              <w:t>2003</w:t>
            </w:r>
            <w:r w:rsidR="0065538B" w:rsidRPr="00343F64">
              <w:rPr>
                <w:rFonts w:eastAsia="MS Mincho"/>
              </w:rPr>
              <w:t>)</w:t>
            </w:r>
          </w:p>
        </w:tc>
        <w:tc>
          <w:tcPr>
            <w:tcW w:w="239" w:type="pct"/>
          </w:tcPr>
          <w:p w14:paraId="32EDABCC" w14:textId="435A182E" w:rsidR="00D137CE" w:rsidRDefault="00B96CF7" w:rsidP="00A71365">
            <w:pPr>
              <w:pStyle w:val="Tablewriting"/>
              <w:rPr>
                <w:rFonts w:eastAsia="MS Mincho"/>
              </w:rPr>
            </w:pPr>
            <w:r>
              <w:rPr>
                <w:rFonts w:eastAsia="MS Mincho"/>
              </w:rPr>
              <w:t>RCT</w:t>
            </w:r>
          </w:p>
        </w:tc>
        <w:tc>
          <w:tcPr>
            <w:tcW w:w="422" w:type="pct"/>
          </w:tcPr>
          <w:p w14:paraId="09EA4301" w14:textId="3C4B1512" w:rsidR="0035253E" w:rsidRPr="00061F78" w:rsidRDefault="007D134F" w:rsidP="00A71365">
            <w:pPr>
              <w:pStyle w:val="Tablewriting"/>
              <w:rPr>
                <w:rFonts w:eastAsia="MS Mincho"/>
              </w:rPr>
            </w:pPr>
            <w:r w:rsidRPr="007D134F">
              <w:rPr>
                <w:rFonts w:eastAsia="MS Mincho"/>
              </w:rPr>
              <w:t>10 countries including European countries, Australia, and NZ</w:t>
            </w:r>
          </w:p>
        </w:tc>
        <w:tc>
          <w:tcPr>
            <w:tcW w:w="449" w:type="pct"/>
          </w:tcPr>
          <w:p w14:paraId="62E475E4" w14:textId="2CF93D37" w:rsidR="00D137CE" w:rsidRPr="00061F78" w:rsidRDefault="00B96CF7" w:rsidP="00A71365">
            <w:pPr>
              <w:pStyle w:val="Tablewriting"/>
              <w:rPr>
                <w:rFonts w:eastAsia="MS Mincho"/>
              </w:rPr>
            </w:pPr>
            <w:r>
              <w:rPr>
                <w:rFonts w:eastAsia="MS Mincho"/>
              </w:rPr>
              <w:t>N=</w:t>
            </w:r>
            <w:r w:rsidR="007D134F">
              <w:rPr>
                <w:rFonts w:eastAsia="MS Mincho"/>
              </w:rPr>
              <w:t>629</w:t>
            </w:r>
          </w:p>
        </w:tc>
        <w:tc>
          <w:tcPr>
            <w:tcW w:w="1271" w:type="pct"/>
          </w:tcPr>
          <w:p w14:paraId="718BA249" w14:textId="1D08F60D" w:rsidR="00D137CE" w:rsidRPr="00061F78" w:rsidRDefault="007D134F" w:rsidP="00A71365">
            <w:pPr>
              <w:pStyle w:val="Tablewriting"/>
              <w:rPr>
                <w:rFonts w:eastAsia="MS Mincho"/>
              </w:rPr>
            </w:pPr>
            <w:r>
              <w:rPr>
                <w:rFonts w:eastAsia="MS Mincho"/>
              </w:rPr>
              <w:t>S</w:t>
            </w:r>
            <w:r w:rsidRPr="007D134F">
              <w:rPr>
                <w:rFonts w:eastAsia="MS Mincho"/>
              </w:rPr>
              <w:t>mokers with stable CVD</w:t>
            </w:r>
            <w:r w:rsidR="00D66694">
              <w:rPr>
                <w:rFonts w:eastAsia="MS Mincho"/>
              </w:rPr>
              <w:t>,</w:t>
            </w:r>
            <w:r w:rsidRPr="007D134F">
              <w:rPr>
                <w:rFonts w:eastAsia="MS Mincho"/>
              </w:rPr>
              <w:t xml:space="preserve"> 23% female</w:t>
            </w:r>
            <w:r w:rsidR="00D66694">
              <w:rPr>
                <w:rFonts w:eastAsia="MS Mincho"/>
              </w:rPr>
              <w:t>,</w:t>
            </w:r>
            <w:r w:rsidRPr="007D134F">
              <w:rPr>
                <w:rFonts w:eastAsia="MS Mincho"/>
              </w:rPr>
              <w:t xml:space="preserve"> average age 55</w:t>
            </w:r>
            <w:r w:rsidR="00D66694">
              <w:rPr>
                <w:rFonts w:eastAsia="MS Mincho"/>
              </w:rPr>
              <w:t xml:space="preserve"> years,</w:t>
            </w:r>
            <w:r w:rsidRPr="007D134F">
              <w:rPr>
                <w:rFonts w:eastAsia="MS Mincho"/>
              </w:rPr>
              <w:t xml:space="preserve"> average cigarettes per day 25</w:t>
            </w:r>
            <w:r w:rsidR="00D66694">
              <w:rPr>
                <w:rFonts w:eastAsia="MS Mincho"/>
              </w:rPr>
              <w:t>,</w:t>
            </w:r>
            <w:r w:rsidRPr="007D134F">
              <w:rPr>
                <w:rFonts w:eastAsia="MS Mincho"/>
              </w:rPr>
              <w:t xml:space="preserve"> 49% had</w:t>
            </w:r>
            <w:r>
              <w:rPr>
                <w:rFonts w:eastAsia="MS Mincho"/>
              </w:rPr>
              <w:t xml:space="preserve"> </w:t>
            </w:r>
            <w:r w:rsidRPr="007D134F">
              <w:rPr>
                <w:rFonts w:eastAsia="MS Mincho"/>
              </w:rPr>
              <w:t>history</w:t>
            </w:r>
            <w:r>
              <w:rPr>
                <w:rFonts w:eastAsia="MS Mincho"/>
              </w:rPr>
              <w:t xml:space="preserve"> </w:t>
            </w:r>
            <w:r w:rsidRPr="007D134F">
              <w:rPr>
                <w:rFonts w:eastAsia="MS Mincho"/>
              </w:rPr>
              <w:t>of MI</w:t>
            </w:r>
          </w:p>
        </w:tc>
        <w:tc>
          <w:tcPr>
            <w:tcW w:w="1224" w:type="pct"/>
          </w:tcPr>
          <w:p w14:paraId="62D4FBD0" w14:textId="77777777" w:rsidR="000A6BF0" w:rsidRDefault="000A6BF0" w:rsidP="00C324F3">
            <w:pPr>
              <w:pStyle w:val="Tablewriting"/>
              <w:numPr>
                <w:ilvl w:val="0"/>
                <w:numId w:val="51"/>
              </w:numPr>
              <w:rPr>
                <w:rFonts w:eastAsia="MS Mincho"/>
              </w:rPr>
            </w:pPr>
            <w:r w:rsidRPr="000A6BF0">
              <w:rPr>
                <w:rFonts w:eastAsia="MS Mincho"/>
              </w:rPr>
              <w:t>Bupropion SR 300 mg/day for 7 weeks, begun 1-2 weeks before TQD</w:t>
            </w:r>
          </w:p>
          <w:p w14:paraId="552EC93E" w14:textId="303E587A" w:rsidR="000A6BF0" w:rsidRPr="000A6BF0" w:rsidRDefault="000A6BF0" w:rsidP="00C324F3">
            <w:pPr>
              <w:pStyle w:val="Tablewriting"/>
              <w:numPr>
                <w:ilvl w:val="0"/>
                <w:numId w:val="51"/>
              </w:numPr>
              <w:rPr>
                <w:rFonts w:eastAsia="MS Mincho"/>
              </w:rPr>
            </w:pPr>
            <w:r w:rsidRPr="000A6BF0">
              <w:rPr>
                <w:rFonts w:eastAsia="MS Mincho"/>
              </w:rPr>
              <w:t>Placebo</w:t>
            </w:r>
          </w:p>
          <w:p w14:paraId="21611289" w14:textId="77777777" w:rsidR="000A6BF0" w:rsidRDefault="000A6BF0" w:rsidP="00A71365">
            <w:pPr>
              <w:pStyle w:val="Tablewriting"/>
              <w:rPr>
                <w:rFonts w:eastAsia="MS Mincho"/>
              </w:rPr>
            </w:pPr>
          </w:p>
          <w:p w14:paraId="7EEB2A1C" w14:textId="6FFE7184" w:rsidR="000A6BF0" w:rsidRPr="000A6BF0" w:rsidRDefault="000A6BF0" w:rsidP="00A71365">
            <w:pPr>
              <w:pStyle w:val="Tablewriting"/>
              <w:rPr>
                <w:rFonts w:eastAsia="MS Mincho"/>
              </w:rPr>
            </w:pPr>
            <w:r w:rsidRPr="000A6BF0">
              <w:rPr>
                <w:rFonts w:eastAsia="MS Mincho"/>
                <w:u w:val="single"/>
              </w:rPr>
              <w:t>Common components:</w:t>
            </w:r>
            <w:r w:rsidRPr="000A6BF0">
              <w:rPr>
                <w:rFonts w:eastAsia="MS Mincho"/>
              </w:rPr>
              <w:t xml:space="preserve"> brief motivational support at</w:t>
            </w:r>
            <w:r>
              <w:rPr>
                <w:rFonts w:eastAsia="MS Mincho"/>
              </w:rPr>
              <w:t xml:space="preserve"> </w:t>
            </w:r>
            <w:r w:rsidRPr="000A6BF0">
              <w:rPr>
                <w:rFonts w:eastAsia="MS Mincho"/>
              </w:rPr>
              <w:t>weekly clinic visits and</w:t>
            </w:r>
            <w:r>
              <w:rPr>
                <w:rFonts w:eastAsia="MS Mincho"/>
              </w:rPr>
              <w:t xml:space="preserve"> </w:t>
            </w:r>
            <w:r w:rsidRPr="000A6BF0">
              <w:rPr>
                <w:rFonts w:eastAsia="MS Mincho"/>
              </w:rPr>
              <w:t>telephone support during</w:t>
            </w:r>
          </w:p>
          <w:p w14:paraId="14DDD165" w14:textId="67DCD3EF" w:rsidR="00D137CE" w:rsidRPr="00061F78" w:rsidRDefault="000A6BF0" w:rsidP="00A71365">
            <w:pPr>
              <w:pStyle w:val="Tablewriting"/>
              <w:rPr>
                <w:rFonts w:eastAsia="MS Mincho"/>
              </w:rPr>
            </w:pPr>
            <w:r w:rsidRPr="000A6BF0">
              <w:rPr>
                <w:rFonts w:eastAsia="MS Mincho"/>
              </w:rPr>
              <w:t>follow-up. 9 clinic visits and 10</w:t>
            </w:r>
            <w:r>
              <w:rPr>
                <w:rFonts w:eastAsia="MS Mincho"/>
              </w:rPr>
              <w:t xml:space="preserve"> </w:t>
            </w:r>
            <w:r w:rsidRPr="000A6BF0">
              <w:rPr>
                <w:rFonts w:eastAsia="MS Mincho"/>
              </w:rPr>
              <w:t>phone calls scheduled</w:t>
            </w:r>
          </w:p>
        </w:tc>
        <w:tc>
          <w:tcPr>
            <w:tcW w:w="832" w:type="pct"/>
          </w:tcPr>
          <w:p w14:paraId="6824CED1" w14:textId="10543FA7" w:rsidR="00546DB2" w:rsidRPr="00546DB2" w:rsidRDefault="00546DB2" w:rsidP="00A71365">
            <w:pPr>
              <w:pStyle w:val="Tablewriting"/>
              <w:rPr>
                <w:rFonts w:eastAsia="MS Mincho"/>
              </w:rPr>
            </w:pPr>
            <w:r w:rsidRPr="00546DB2">
              <w:rPr>
                <w:rFonts w:eastAsia="MS Mincho"/>
                <w:u w:val="single"/>
              </w:rPr>
              <w:t>Efficacy</w:t>
            </w:r>
            <w:r w:rsidRPr="00546DB2">
              <w:rPr>
                <w:rFonts w:eastAsia="MS Mincho"/>
              </w:rPr>
              <w:t xml:space="preserve">: prolonged abstinence at 12 months (starting from week 4). Validated by CO </w:t>
            </w:r>
            <w:r w:rsidR="00424BE8" w:rsidRPr="00D96BA4">
              <w:rPr>
                <w:rFonts w:eastAsia="MS Mincho"/>
              </w:rPr>
              <w:t>≤</w:t>
            </w:r>
            <w:r w:rsidRPr="00546DB2">
              <w:rPr>
                <w:rFonts w:eastAsia="MS Mincho"/>
              </w:rPr>
              <w:t xml:space="preserve"> 10</w:t>
            </w:r>
            <w:r w:rsidR="00095F26">
              <w:rPr>
                <w:rFonts w:eastAsia="MS Mincho"/>
              </w:rPr>
              <w:t xml:space="preserve"> </w:t>
            </w:r>
            <w:r w:rsidRPr="00546DB2">
              <w:rPr>
                <w:rFonts w:eastAsia="MS Mincho"/>
              </w:rPr>
              <w:t>ppm</w:t>
            </w:r>
          </w:p>
          <w:p w14:paraId="1CB6C15F" w14:textId="1EF1667F" w:rsidR="00D137CE" w:rsidRPr="00061F78" w:rsidRDefault="008B77AB" w:rsidP="00A71365">
            <w:pPr>
              <w:pStyle w:val="Tablewriting"/>
              <w:rPr>
                <w:rFonts w:eastAsia="MS Mincho"/>
              </w:rPr>
            </w:pPr>
            <w:r>
              <w:rPr>
                <w:rFonts w:eastAsia="MS Mincho"/>
                <w:u w:val="single"/>
              </w:rPr>
              <w:t>Safety:</w:t>
            </w:r>
            <w:r>
              <w:rPr>
                <w:rFonts w:eastAsia="MS Mincho"/>
              </w:rPr>
              <w:t xml:space="preserve"> a</w:t>
            </w:r>
            <w:r w:rsidR="00546DB2" w:rsidRPr="00546DB2">
              <w:rPr>
                <w:rFonts w:eastAsia="MS Mincho"/>
              </w:rPr>
              <w:t>dverse events</w:t>
            </w:r>
            <w:r>
              <w:rPr>
                <w:rFonts w:eastAsia="MS Mincho"/>
              </w:rPr>
              <w:t xml:space="preserve"> </w:t>
            </w:r>
            <w:r w:rsidR="00546DB2" w:rsidRPr="00546DB2">
              <w:rPr>
                <w:rFonts w:eastAsia="MS Mincho"/>
              </w:rPr>
              <w:t>measured for 9 weeks</w:t>
            </w:r>
            <w:r w:rsidR="00EF7420">
              <w:rPr>
                <w:rFonts w:eastAsia="MS Mincho"/>
              </w:rPr>
              <w:t>.</w:t>
            </w:r>
          </w:p>
        </w:tc>
      </w:tr>
      <w:tr w:rsidR="00D137CE" w:rsidRPr="00061F78" w14:paraId="2120CF45" w14:textId="77777777" w:rsidTr="00D0517F">
        <w:trPr>
          <w:trHeight w:val="149"/>
        </w:trPr>
        <w:tc>
          <w:tcPr>
            <w:tcW w:w="565" w:type="pct"/>
          </w:tcPr>
          <w:p w14:paraId="3F821E93" w14:textId="4B278CC2" w:rsidR="00D137CE" w:rsidRPr="00866DE0" w:rsidRDefault="002D407F" w:rsidP="00A71365">
            <w:pPr>
              <w:pStyle w:val="Tablewriting"/>
              <w:rPr>
                <w:rFonts w:eastAsia="MS Mincho"/>
              </w:rPr>
            </w:pPr>
            <w:r w:rsidRPr="00B63651">
              <w:rPr>
                <w:rFonts w:eastAsia="MS Mincho"/>
              </w:rPr>
              <w:t xml:space="preserve">Uyar </w:t>
            </w:r>
            <w:r w:rsidR="0065538B" w:rsidRPr="00B63651">
              <w:rPr>
                <w:rFonts w:eastAsia="MS Mincho"/>
              </w:rPr>
              <w:t>(</w:t>
            </w:r>
            <w:r w:rsidRPr="00B63651">
              <w:rPr>
                <w:rFonts w:eastAsia="MS Mincho"/>
              </w:rPr>
              <w:t>2007</w:t>
            </w:r>
            <w:r w:rsidR="0065538B" w:rsidRPr="00B63651">
              <w:rPr>
                <w:rFonts w:eastAsia="MS Mincho"/>
              </w:rPr>
              <w:t>)</w:t>
            </w:r>
          </w:p>
        </w:tc>
        <w:tc>
          <w:tcPr>
            <w:tcW w:w="239" w:type="pct"/>
          </w:tcPr>
          <w:p w14:paraId="7DDBC0F2" w14:textId="4C4EE074" w:rsidR="00D137CE" w:rsidRDefault="00B96CF7" w:rsidP="00A71365">
            <w:pPr>
              <w:pStyle w:val="Tablewriting"/>
              <w:rPr>
                <w:rFonts w:eastAsia="MS Mincho"/>
              </w:rPr>
            </w:pPr>
            <w:r w:rsidRPr="00DD3336">
              <w:rPr>
                <w:rFonts w:eastAsia="MS Mincho"/>
              </w:rPr>
              <w:t>RCT</w:t>
            </w:r>
          </w:p>
        </w:tc>
        <w:tc>
          <w:tcPr>
            <w:tcW w:w="422" w:type="pct"/>
          </w:tcPr>
          <w:p w14:paraId="563DB17E" w14:textId="4D04688E" w:rsidR="0035253E" w:rsidRPr="00061F78" w:rsidRDefault="00C16B87" w:rsidP="00A71365">
            <w:pPr>
              <w:pStyle w:val="Tablewriting"/>
              <w:rPr>
                <w:rFonts w:eastAsia="MS Mincho"/>
              </w:rPr>
            </w:pPr>
            <w:r>
              <w:rPr>
                <w:rFonts w:eastAsia="MS Mincho"/>
              </w:rPr>
              <w:t>Turkey</w:t>
            </w:r>
          </w:p>
        </w:tc>
        <w:tc>
          <w:tcPr>
            <w:tcW w:w="449" w:type="pct"/>
          </w:tcPr>
          <w:p w14:paraId="7285F20E" w14:textId="6BBA34A0" w:rsidR="00D137CE" w:rsidRPr="00061F78" w:rsidRDefault="00B96CF7" w:rsidP="00A71365">
            <w:pPr>
              <w:pStyle w:val="Tablewriting"/>
              <w:rPr>
                <w:rFonts w:eastAsia="MS Mincho"/>
              </w:rPr>
            </w:pPr>
            <w:r w:rsidRPr="00864366">
              <w:rPr>
                <w:rFonts w:eastAsia="MS Mincho"/>
              </w:rPr>
              <w:t>N=</w:t>
            </w:r>
            <w:r w:rsidR="00C16B87">
              <w:rPr>
                <w:rFonts w:eastAsia="MS Mincho"/>
              </w:rPr>
              <w:t>131</w:t>
            </w:r>
          </w:p>
        </w:tc>
        <w:tc>
          <w:tcPr>
            <w:tcW w:w="1271" w:type="pct"/>
          </w:tcPr>
          <w:p w14:paraId="17A403E4" w14:textId="55E18D1C" w:rsidR="00D137CE" w:rsidRPr="00061F78" w:rsidRDefault="00C16B87" w:rsidP="00A71365">
            <w:pPr>
              <w:pStyle w:val="Tablewriting"/>
              <w:rPr>
                <w:rFonts w:eastAsia="MS Mincho"/>
              </w:rPr>
            </w:pPr>
            <w:r>
              <w:rPr>
                <w:rFonts w:eastAsia="MS Mincho"/>
              </w:rPr>
              <w:t>S</w:t>
            </w:r>
            <w:r w:rsidRPr="00C16B87">
              <w:rPr>
                <w:rFonts w:eastAsia="MS Mincho"/>
              </w:rPr>
              <w:t>mokers</w:t>
            </w:r>
            <w:r w:rsidR="00D66694">
              <w:rPr>
                <w:rFonts w:eastAsia="MS Mincho"/>
              </w:rPr>
              <w:t>,</w:t>
            </w:r>
            <w:r w:rsidRPr="00C16B87">
              <w:rPr>
                <w:rFonts w:eastAsia="MS Mincho"/>
              </w:rPr>
              <w:t xml:space="preserve"> 19% female</w:t>
            </w:r>
            <w:r w:rsidR="00D66694">
              <w:rPr>
                <w:rFonts w:eastAsia="MS Mincho"/>
              </w:rPr>
              <w:t>,</w:t>
            </w:r>
            <w:r w:rsidRPr="00C16B87">
              <w:rPr>
                <w:rFonts w:eastAsia="MS Mincho"/>
              </w:rPr>
              <w:t xml:space="preserve"> average age</w:t>
            </w:r>
            <w:r>
              <w:rPr>
                <w:rFonts w:eastAsia="MS Mincho"/>
              </w:rPr>
              <w:t xml:space="preserve"> </w:t>
            </w:r>
            <w:r w:rsidRPr="00C16B87">
              <w:rPr>
                <w:rFonts w:eastAsia="MS Mincho"/>
              </w:rPr>
              <w:t>36</w:t>
            </w:r>
          </w:p>
        </w:tc>
        <w:tc>
          <w:tcPr>
            <w:tcW w:w="1224" w:type="pct"/>
          </w:tcPr>
          <w:p w14:paraId="601A8742" w14:textId="77777777" w:rsidR="00091A49" w:rsidRDefault="00091A49" w:rsidP="00C324F3">
            <w:pPr>
              <w:pStyle w:val="Tablewriting"/>
              <w:numPr>
                <w:ilvl w:val="0"/>
                <w:numId w:val="52"/>
              </w:numPr>
              <w:rPr>
                <w:rFonts w:eastAsia="MS Mincho"/>
              </w:rPr>
            </w:pPr>
            <w:r w:rsidRPr="00091A49">
              <w:rPr>
                <w:rFonts w:eastAsia="MS Mincho"/>
              </w:rPr>
              <w:t>Bupropion 300 mg for 7 weeks</w:t>
            </w:r>
          </w:p>
          <w:p w14:paraId="070D7BFB" w14:textId="77777777" w:rsidR="001E7A17" w:rsidRDefault="00091A49" w:rsidP="00C324F3">
            <w:pPr>
              <w:pStyle w:val="Tablewriting"/>
              <w:numPr>
                <w:ilvl w:val="0"/>
                <w:numId w:val="52"/>
              </w:numPr>
              <w:rPr>
                <w:rFonts w:eastAsia="MS Mincho"/>
              </w:rPr>
            </w:pPr>
            <w:r w:rsidRPr="00091A49">
              <w:rPr>
                <w:rFonts w:eastAsia="MS Mincho"/>
              </w:rPr>
              <w:t>Nicotine patch 21 mg for 6 weeks including tapering</w:t>
            </w:r>
          </w:p>
          <w:p w14:paraId="5AA45369" w14:textId="66DB5309" w:rsidR="00091A49" w:rsidRPr="001E7A17" w:rsidRDefault="00091A49" w:rsidP="00C324F3">
            <w:pPr>
              <w:pStyle w:val="Tablewriting"/>
              <w:numPr>
                <w:ilvl w:val="0"/>
                <w:numId w:val="52"/>
              </w:numPr>
              <w:rPr>
                <w:rFonts w:eastAsia="MS Mincho"/>
              </w:rPr>
            </w:pPr>
            <w:r w:rsidRPr="001E7A17">
              <w:rPr>
                <w:rFonts w:eastAsia="MS Mincho"/>
              </w:rPr>
              <w:t>Advice and follow-up only</w:t>
            </w:r>
          </w:p>
          <w:p w14:paraId="15FEAB79" w14:textId="77777777" w:rsidR="00091A49" w:rsidRDefault="00091A49" w:rsidP="00A71365">
            <w:pPr>
              <w:pStyle w:val="Tablewriting"/>
              <w:rPr>
                <w:rFonts w:eastAsia="MS Mincho"/>
              </w:rPr>
            </w:pPr>
          </w:p>
          <w:p w14:paraId="0A35FE99" w14:textId="38F69553" w:rsidR="00D137CE" w:rsidRPr="00061F78" w:rsidRDefault="00091A49" w:rsidP="00A71365">
            <w:pPr>
              <w:pStyle w:val="Tablewriting"/>
              <w:rPr>
                <w:rFonts w:eastAsia="MS Mincho"/>
              </w:rPr>
            </w:pPr>
            <w:r w:rsidRPr="00091A49">
              <w:rPr>
                <w:rFonts w:eastAsia="MS Mincho"/>
                <w:u w:val="single"/>
              </w:rPr>
              <w:t>Common components</w:t>
            </w:r>
            <w:r w:rsidRPr="00091A49">
              <w:rPr>
                <w:rFonts w:eastAsia="MS Mincho"/>
              </w:rPr>
              <w:t>: brief counselling on consequences of smoking with follow-up for 24 weeks</w:t>
            </w:r>
            <w:r w:rsidR="001E7A17">
              <w:rPr>
                <w:rFonts w:eastAsia="MS Mincho"/>
              </w:rPr>
              <w:t xml:space="preserve"> </w:t>
            </w:r>
            <w:r w:rsidRPr="00091A49">
              <w:rPr>
                <w:rFonts w:eastAsia="MS Mincho"/>
              </w:rPr>
              <w:t>more than low intensity</w:t>
            </w:r>
          </w:p>
        </w:tc>
        <w:tc>
          <w:tcPr>
            <w:tcW w:w="832" w:type="pct"/>
          </w:tcPr>
          <w:p w14:paraId="0E992C3B" w14:textId="45F7EB2D" w:rsidR="001E7A17" w:rsidRPr="001E7A17" w:rsidRDefault="001E7A17" w:rsidP="00A71365">
            <w:pPr>
              <w:pStyle w:val="Tablewriting"/>
              <w:rPr>
                <w:rFonts w:eastAsia="MS Mincho"/>
              </w:rPr>
            </w:pPr>
            <w:r w:rsidRPr="001E7A17">
              <w:rPr>
                <w:rFonts w:eastAsia="MS Mincho"/>
                <w:u w:val="single"/>
              </w:rPr>
              <w:t>Efficacy:</w:t>
            </w:r>
            <w:r w:rsidRPr="001E7A17">
              <w:rPr>
                <w:rFonts w:eastAsia="MS Mincho"/>
              </w:rPr>
              <w:t xml:space="preserve"> abstinence at 24 weeks (definition not specified). Validated by CO &lt; 10 ppm</w:t>
            </w:r>
          </w:p>
          <w:p w14:paraId="5474F2F8" w14:textId="2E6CE679" w:rsidR="00D137CE" w:rsidRPr="00061F78" w:rsidRDefault="001E7A17" w:rsidP="00A71365">
            <w:pPr>
              <w:pStyle w:val="Tablewriting"/>
              <w:rPr>
                <w:rFonts w:eastAsia="MS Mincho"/>
              </w:rPr>
            </w:pPr>
            <w:r w:rsidRPr="001E7A17">
              <w:rPr>
                <w:rFonts w:eastAsia="MS Mincho"/>
                <w:u w:val="single"/>
              </w:rPr>
              <w:t>Safety:</w:t>
            </w:r>
            <w:r>
              <w:rPr>
                <w:rFonts w:eastAsia="MS Mincho"/>
              </w:rPr>
              <w:t xml:space="preserve"> a</w:t>
            </w:r>
            <w:r w:rsidRPr="001E7A17">
              <w:rPr>
                <w:rFonts w:eastAsia="MS Mincho"/>
              </w:rPr>
              <w:t>dverse events</w:t>
            </w:r>
            <w:r>
              <w:rPr>
                <w:rFonts w:eastAsia="MS Mincho"/>
              </w:rPr>
              <w:t xml:space="preserve"> </w:t>
            </w:r>
            <w:r w:rsidRPr="001E7A17">
              <w:rPr>
                <w:rFonts w:eastAsia="MS Mincho"/>
              </w:rPr>
              <w:t>measured for unspecified period</w:t>
            </w:r>
            <w:r w:rsidR="00EF7420">
              <w:rPr>
                <w:rFonts w:eastAsia="MS Mincho"/>
              </w:rPr>
              <w:t>.</w:t>
            </w:r>
          </w:p>
        </w:tc>
      </w:tr>
      <w:tr w:rsidR="004272CA" w:rsidRPr="00061F78" w14:paraId="6662F748" w14:textId="77777777" w:rsidTr="00D0517F">
        <w:trPr>
          <w:trHeight w:val="149"/>
        </w:trPr>
        <w:tc>
          <w:tcPr>
            <w:tcW w:w="565" w:type="pct"/>
          </w:tcPr>
          <w:p w14:paraId="1073F706" w14:textId="5CEC8444" w:rsidR="004272CA" w:rsidRPr="00866DE0" w:rsidRDefault="006561B9" w:rsidP="00A71365">
            <w:pPr>
              <w:pStyle w:val="Tablewriting"/>
              <w:rPr>
                <w:rFonts w:eastAsia="MS Mincho"/>
              </w:rPr>
            </w:pPr>
            <w:r w:rsidRPr="00866DE0">
              <w:rPr>
                <w:rFonts w:eastAsia="MS Mincho"/>
              </w:rPr>
              <w:t xml:space="preserve">Wagena </w:t>
            </w:r>
            <w:r w:rsidR="0065538B">
              <w:rPr>
                <w:rFonts w:eastAsia="MS Mincho"/>
              </w:rPr>
              <w:t>(</w:t>
            </w:r>
            <w:r w:rsidRPr="00866DE0">
              <w:rPr>
                <w:rFonts w:eastAsia="MS Mincho"/>
              </w:rPr>
              <w:t>2005</w:t>
            </w:r>
            <w:r w:rsidR="0065538B">
              <w:rPr>
                <w:rFonts w:eastAsia="MS Mincho"/>
              </w:rPr>
              <w:t>)</w:t>
            </w:r>
          </w:p>
        </w:tc>
        <w:tc>
          <w:tcPr>
            <w:tcW w:w="239" w:type="pct"/>
          </w:tcPr>
          <w:p w14:paraId="4BD86956" w14:textId="0905977D" w:rsidR="004272CA" w:rsidRDefault="00B96CF7" w:rsidP="00A71365">
            <w:pPr>
              <w:pStyle w:val="Tablewriting"/>
              <w:rPr>
                <w:rFonts w:eastAsia="MS Mincho"/>
              </w:rPr>
            </w:pPr>
            <w:r w:rsidRPr="00DD3336">
              <w:rPr>
                <w:rFonts w:eastAsia="MS Mincho"/>
              </w:rPr>
              <w:t>RCT</w:t>
            </w:r>
          </w:p>
        </w:tc>
        <w:tc>
          <w:tcPr>
            <w:tcW w:w="422" w:type="pct"/>
          </w:tcPr>
          <w:p w14:paraId="52D73A80" w14:textId="1C27C80B" w:rsidR="0035253E" w:rsidRPr="00061F78" w:rsidRDefault="00EE39C1" w:rsidP="00A71365">
            <w:pPr>
              <w:pStyle w:val="Tablewriting"/>
              <w:rPr>
                <w:rFonts w:eastAsia="MS Mincho"/>
              </w:rPr>
            </w:pPr>
            <w:r>
              <w:rPr>
                <w:rFonts w:eastAsia="MS Mincho"/>
              </w:rPr>
              <w:t>Netherlands</w:t>
            </w:r>
          </w:p>
        </w:tc>
        <w:tc>
          <w:tcPr>
            <w:tcW w:w="449" w:type="pct"/>
          </w:tcPr>
          <w:p w14:paraId="484DDF02" w14:textId="06323847" w:rsidR="004272CA" w:rsidRPr="00061F78" w:rsidRDefault="00B96CF7" w:rsidP="00A71365">
            <w:pPr>
              <w:pStyle w:val="Tablewriting"/>
              <w:rPr>
                <w:rFonts w:eastAsia="MS Mincho"/>
              </w:rPr>
            </w:pPr>
            <w:r w:rsidRPr="00864366">
              <w:rPr>
                <w:rFonts w:eastAsia="MS Mincho"/>
              </w:rPr>
              <w:t>N=</w:t>
            </w:r>
            <w:r w:rsidR="00EE39C1">
              <w:rPr>
                <w:rFonts w:eastAsia="MS Mincho"/>
              </w:rPr>
              <w:t>255</w:t>
            </w:r>
          </w:p>
        </w:tc>
        <w:tc>
          <w:tcPr>
            <w:tcW w:w="1271" w:type="pct"/>
          </w:tcPr>
          <w:p w14:paraId="6E71369A" w14:textId="19F7595A" w:rsidR="004272CA" w:rsidRPr="00061F78" w:rsidRDefault="00EE39C1" w:rsidP="00A71365">
            <w:pPr>
              <w:pStyle w:val="Tablewriting"/>
              <w:rPr>
                <w:rFonts w:eastAsia="MS Mincho"/>
              </w:rPr>
            </w:pPr>
            <w:r>
              <w:rPr>
                <w:rFonts w:eastAsia="MS Mincho"/>
              </w:rPr>
              <w:t>S</w:t>
            </w:r>
            <w:r w:rsidRPr="00EE39C1">
              <w:rPr>
                <w:rFonts w:eastAsia="MS Mincho"/>
              </w:rPr>
              <w:t>mokers with or at risk of COPD</w:t>
            </w:r>
            <w:r w:rsidR="00D66694">
              <w:rPr>
                <w:rFonts w:eastAsia="MS Mincho"/>
              </w:rPr>
              <w:t>,</w:t>
            </w:r>
            <w:r w:rsidRPr="00EE39C1">
              <w:rPr>
                <w:rFonts w:eastAsia="MS Mincho"/>
              </w:rPr>
              <w:t xml:space="preserve"> 51% female</w:t>
            </w:r>
            <w:r w:rsidR="00D66694">
              <w:rPr>
                <w:rFonts w:eastAsia="MS Mincho"/>
              </w:rPr>
              <w:t>,</w:t>
            </w:r>
            <w:r w:rsidRPr="00EE39C1">
              <w:rPr>
                <w:rFonts w:eastAsia="MS Mincho"/>
              </w:rPr>
              <w:t xml:space="preserve"> average age 51</w:t>
            </w:r>
            <w:r w:rsidR="00D66694">
              <w:rPr>
                <w:rFonts w:eastAsia="MS Mincho"/>
              </w:rPr>
              <w:t xml:space="preserve"> years,</w:t>
            </w:r>
            <w:r>
              <w:rPr>
                <w:rFonts w:eastAsia="MS Mincho"/>
              </w:rPr>
              <w:t xml:space="preserve"> </w:t>
            </w:r>
            <w:r w:rsidRPr="00EE39C1">
              <w:rPr>
                <w:rFonts w:eastAsia="MS Mincho"/>
              </w:rPr>
              <w:t>average cigarettes per day 23</w:t>
            </w:r>
          </w:p>
        </w:tc>
        <w:tc>
          <w:tcPr>
            <w:tcW w:w="1224" w:type="pct"/>
          </w:tcPr>
          <w:p w14:paraId="639B20B9" w14:textId="77777777" w:rsidR="004F4EB7" w:rsidRDefault="004F4EB7" w:rsidP="00C324F3">
            <w:pPr>
              <w:pStyle w:val="Tablewriting"/>
              <w:numPr>
                <w:ilvl w:val="0"/>
                <w:numId w:val="53"/>
              </w:numPr>
              <w:rPr>
                <w:rFonts w:eastAsia="MS Mincho"/>
              </w:rPr>
            </w:pPr>
            <w:r w:rsidRPr="004F4EB7">
              <w:rPr>
                <w:rFonts w:eastAsia="MS Mincho"/>
              </w:rPr>
              <w:t>Bupropion SR 300 mg/day for 12 weeks</w:t>
            </w:r>
          </w:p>
          <w:p w14:paraId="692BE820" w14:textId="77777777" w:rsidR="004F4EB7" w:rsidRDefault="004F4EB7" w:rsidP="00C324F3">
            <w:pPr>
              <w:pStyle w:val="Tablewriting"/>
              <w:numPr>
                <w:ilvl w:val="0"/>
                <w:numId w:val="53"/>
              </w:numPr>
              <w:rPr>
                <w:rFonts w:eastAsia="MS Mincho"/>
              </w:rPr>
            </w:pPr>
            <w:r w:rsidRPr="004F4EB7">
              <w:rPr>
                <w:rFonts w:eastAsia="MS Mincho"/>
              </w:rPr>
              <w:lastRenderedPageBreak/>
              <w:t>Nortriptyline 75 mg/day for 12 weeks</w:t>
            </w:r>
          </w:p>
          <w:p w14:paraId="33E8019E" w14:textId="245843C0" w:rsidR="004F4EB7" w:rsidRPr="004F4EB7" w:rsidRDefault="004F4EB7" w:rsidP="00C324F3">
            <w:pPr>
              <w:pStyle w:val="Tablewriting"/>
              <w:numPr>
                <w:ilvl w:val="0"/>
                <w:numId w:val="53"/>
              </w:numPr>
              <w:rPr>
                <w:rFonts w:eastAsia="MS Mincho"/>
              </w:rPr>
            </w:pPr>
            <w:r w:rsidRPr="004F4EB7">
              <w:rPr>
                <w:rFonts w:eastAsia="MS Mincho"/>
              </w:rPr>
              <w:t>Placebo bupropion or placebo nortriptyline</w:t>
            </w:r>
          </w:p>
          <w:p w14:paraId="28F9CF89" w14:textId="77777777" w:rsidR="004F4EB7" w:rsidRDefault="004F4EB7" w:rsidP="00A71365">
            <w:pPr>
              <w:pStyle w:val="Tablewriting"/>
              <w:rPr>
                <w:rFonts w:eastAsia="MS Mincho"/>
              </w:rPr>
            </w:pPr>
          </w:p>
          <w:p w14:paraId="08489AD9" w14:textId="043DE7F8" w:rsidR="004272CA" w:rsidRPr="00061F78" w:rsidRDefault="004F4EB7" w:rsidP="00A71365">
            <w:pPr>
              <w:pStyle w:val="Tablewriting"/>
              <w:rPr>
                <w:rFonts w:eastAsia="MS Mincho"/>
              </w:rPr>
            </w:pPr>
            <w:r w:rsidRPr="004F4EB7">
              <w:rPr>
                <w:rFonts w:eastAsia="MS Mincho"/>
                <w:u w:val="single"/>
              </w:rPr>
              <w:t>Common components:</w:t>
            </w:r>
            <w:r w:rsidRPr="004F4EB7">
              <w:rPr>
                <w:rFonts w:eastAsia="MS Mincho"/>
              </w:rPr>
              <w:t xml:space="preserve"> individual counselling 10-20 mins at baseline, 1 week and 3 weeks post-TQD</w:t>
            </w:r>
            <w:r>
              <w:rPr>
                <w:rFonts w:eastAsia="MS Mincho"/>
              </w:rPr>
              <w:t xml:space="preserve"> </w:t>
            </w:r>
            <w:r w:rsidRPr="004F4EB7">
              <w:rPr>
                <w:rFonts w:eastAsia="MS Mincho"/>
              </w:rPr>
              <w:t>(TQD typically day 11). Telephone support TQD, 2 weeks, 4</w:t>
            </w:r>
            <w:r w:rsidR="001369EF">
              <w:rPr>
                <w:rFonts w:eastAsia="MS Mincho"/>
              </w:rPr>
              <w:t xml:space="preserve"> </w:t>
            </w:r>
            <w:r w:rsidRPr="004F4EB7">
              <w:rPr>
                <w:rFonts w:eastAsia="MS Mincho"/>
              </w:rPr>
              <w:t>weeks, 6 weeks, 8 weeks, 11 weeks</w:t>
            </w:r>
          </w:p>
        </w:tc>
        <w:tc>
          <w:tcPr>
            <w:tcW w:w="832" w:type="pct"/>
          </w:tcPr>
          <w:p w14:paraId="5005E45A" w14:textId="5761B47E" w:rsidR="00DB28F6" w:rsidRPr="00DB28F6" w:rsidRDefault="00DB28F6" w:rsidP="00A71365">
            <w:pPr>
              <w:pStyle w:val="Tablewriting"/>
              <w:rPr>
                <w:rFonts w:eastAsia="MS Mincho"/>
              </w:rPr>
            </w:pPr>
            <w:r w:rsidRPr="00DB28F6">
              <w:rPr>
                <w:rFonts w:eastAsia="MS Mincho"/>
                <w:u w:val="single"/>
              </w:rPr>
              <w:lastRenderedPageBreak/>
              <w:t>Efficacy:</w:t>
            </w:r>
            <w:r w:rsidRPr="00DB28F6">
              <w:rPr>
                <w:rFonts w:eastAsia="MS Mincho"/>
              </w:rPr>
              <w:t xml:space="preserve"> prolonged abstinence at 26 weeks (pu</w:t>
            </w:r>
            <w:r w:rsidR="004039C9">
              <w:rPr>
                <w:rFonts w:eastAsia="MS Mincho"/>
              </w:rPr>
              <w:t>ff</w:t>
            </w:r>
            <w:r w:rsidRPr="00DB28F6">
              <w:rPr>
                <w:rFonts w:eastAsia="MS Mincho"/>
              </w:rPr>
              <w:t xml:space="preserve">-free from week 4). </w:t>
            </w:r>
            <w:r w:rsidRPr="00DB28F6">
              <w:rPr>
                <w:rFonts w:eastAsia="MS Mincho"/>
              </w:rPr>
              <w:lastRenderedPageBreak/>
              <w:t>Validated by urine cotinine</w:t>
            </w:r>
            <w:r>
              <w:rPr>
                <w:rFonts w:eastAsia="MS Mincho"/>
              </w:rPr>
              <w:t xml:space="preserve"> </w:t>
            </w:r>
            <w:r w:rsidRPr="00DB28F6">
              <w:rPr>
                <w:rFonts w:eastAsia="MS Mincho"/>
              </w:rPr>
              <w:t xml:space="preserve">h 60 ng/mL at 4 weeks, 12 </w:t>
            </w:r>
            <w:r w:rsidR="004664D2" w:rsidRPr="00DB28F6">
              <w:rPr>
                <w:rFonts w:eastAsia="MS Mincho"/>
              </w:rPr>
              <w:t>weeks,</w:t>
            </w:r>
            <w:r w:rsidRPr="00DB28F6">
              <w:rPr>
                <w:rFonts w:eastAsia="MS Mincho"/>
              </w:rPr>
              <w:t xml:space="preserve"> and 26 weeks</w:t>
            </w:r>
          </w:p>
          <w:p w14:paraId="646935B2" w14:textId="403379E5" w:rsidR="004272CA" w:rsidRPr="00061F78" w:rsidRDefault="00DB28F6" w:rsidP="00A71365">
            <w:pPr>
              <w:pStyle w:val="Tablewriting"/>
              <w:rPr>
                <w:rFonts w:eastAsia="MS Mincho"/>
              </w:rPr>
            </w:pPr>
            <w:r w:rsidRPr="00DB28F6">
              <w:rPr>
                <w:rFonts w:eastAsia="MS Mincho"/>
                <w:u w:val="single"/>
              </w:rPr>
              <w:t>Safety:</w:t>
            </w:r>
            <w:r>
              <w:rPr>
                <w:rFonts w:eastAsia="MS Mincho"/>
              </w:rPr>
              <w:t xml:space="preserve"> a</w:t>
            </w:r>
            <w:r w:rsidRPr="00DB28F6">
              <w:rPr>
                <w:rFonts w:eastAsia="MS Mincho"/>
              </w:rPr>
              <w:t>dverse</w:t>
            </w:r>
            <w:r w:rsidR="003470D6">
              <w:rPr>
                <w:rFonts w:eastAsia="MS Mincho"/>
              </w:rPr>
              <w:t xml:space="preserve"> </w:t>
            </w:r>
            <w:r w:rsidRPr="00DB28F6">
              <w:rPr>
                <w:rFonts w:eastAsia="MS Mincho"/>
              </w:rPr>
              <w:t>events none specified</w:t>
            </w:r>
            <w:r w:rsidR="00EF7420">
              <w:rPr>
                <w:rFonts w:eastAsia="MS Mincho"/>
              </w:rPr>
              <w:t>.</w:t>
            </w:r>
          </w:p>
        </w:tc>
      </w:tr>
      <w:tr w:rsidR="004272CA" w:rsidRPr="00061F78" w14:paraId="2FF1A2B1" w14:textId="77777777" w:rsidTr="00D0517F">
        <w:trPr>
          <w:trHeight w:val="149"/>
        </w:trPr>
        <w:tc>
          <w:tcPr>
            <w:tcW w:w="565" w:type="pct"/>
          </w:tcPr>
          <w:p w14:paraId="740027F7" w14:textId="6F3A941C" w:rsidR="004272CA" w:rsidRPr="00866DE0" w:rsidRDefault="00CA0718" w:rsidP="00A71365">
            <w:pPr>
              <w:pStyle w:val="Tablewriting"/>
              <w:rPr>
                <w:rFonts w:eastAsia="MS Mincho"/>
              </w:rPr>
            </w:pPr>
            <w:r w:rsidRPr="00866DE0">
              <w:rPr>
                <w:rFonts w:eastAsia="MS Mincho"/>
              </w:rPr>
              <w:lastRenderedPageBreak/>
              <w:t xml:space="preserve">Wittchen </w:t>
            </w:r>
            <w:r w:rsidR="0065538B">
              <w:rPr>
                <w:rFonts w:eastAsia="MS Mincho"/>
              </w:rPr>
              <w:t>(</w:t>
            </w:r>
            <w:r w:rsidRPr="00866DE0">
              <w:rPr>
                <w:rFonts w:eastAsia="MS Mincho"/>
              </w:rPr>
              <w:t>2011</w:t>
            </w:r>
            <w:r w:rsidR="0065538B">
              <w:rPr>
                <w:rFonts w:eastAsia="MS Mincho"/>
              </w:rPr>
              <w:t>)</w:t>
            </w:r>
          </w:p>
        </w:tc>
        <w:tc>
          <w:tcPr>
            <w:tcW w:w="239" w:type="pct"/>
          </w:tcPr>
          <w:p w14:paraId="450A365A" w14:textId="3691459E" w:rsidR="004272CA" w:rsidRDefault="00B96CF7" w:rsidP="00A71365">
            <w:pPr>
              <w:pStyle w:val="Tablewriting"/>
              <w:rPr>
                <w:rFonts w:eastAsia="MS Mincho"/>
              </w:rPr>
            </w:pPr>
            <w:r w:rsidRPr="00DD3336">
              <w:rPr>
                <w:rFonts w:eastAsia="MS Mincho"/>
              </w:rPr>
              <w:t>RCT</w:t>
            </w:r>
          </w:p>
        </w:tc>
        <w:tc>
          <w:tcPr>
            <w:tcW w:w="422" w:type="pct"/>
          </w:tcPr>
          <w:p w14:paraId="49E335D3" w14:textId="6ADEA925" w:rsidR="0035253E" w:rsidRPr="00061F78" w:rsidRDefault="005C5699" w:rsidP="00A71365">
            <w:pPr>
              <w:pStyle w:val="Tablewriting"/>
              <w:rPr>
                <w:rFonts w:eastAsia="MS Mincho"/>
              </w:rPr>
            </w:pPr>
            <w:r>
              <w:rPr>
                <w:rFonts w:eastAsia="MS Mincho"/>
              </w:rPr>
              <w:t>Germany</w:t>
            </w:r>
          </w:p>
        </w:tc>
        <w:tc>
          <w:tcPr>
            <w:tcW w:w="449" w:type="pct"/>
          </w:tcPr>
          <w:p w14:paraId="33D3EBD8" w14:textId="35385244" w:rsidR="004272CA" w:rsidRPr="00061F78" w:rsidRDefault="00B96CF7" w:rsidP="00A71365">
            <w:pPr>
              <w:pStyle w:val="Tablewriting"/>
              <w:rPr>
                <w:rFonts w:eastAsia="MS Mincho"/>
              </w:rPr>
            </w:pPr>
            <w:r w:rsidRPr="00864366">
              <w:rPr>
                <w:rFonts w:eastAsia="MS Mincho"/>
              </w:rPr>
              <w:t>N=</w:t>
            </w:r>
            <w:r w:rsidR="00693CD3">
              <w:rPr>
                <w:rFonts w:eastAsia="MS Mincho"/>
              </w:rPr>
              <w:t>467</w:t>
            </w:r>
          </w:p>
        </w:tc>
        <w:tc>
          <w:tcPr>
            <w:tcW w:w="1271" w:type="pct"/>
          </w:tcPr>
          <w:p w14:paraId="640B8C71" w14:textId="10E8DB32" w:rsidR="004272CA" w:rsidRPr="00061F78" w:rsidRDefault="00693CD3" w:rsidP="00A71365">
            <w:pPr>
              <w:pStyle w:val="Tablewriting"/>
              <w:rPr>
                <w:rFonts w:eastAsia="MS Mincho"/>
              </w:rPr>
            </w:pPr>
            <w:r w:rsidRPr="00693CD3">
              <w:rPr>
                <w:rFonts w:eastAsia="MS Mincho"/>
              </w:rPr>
              <w:t>"current regular smokers"; 52% female</w:t>
            </w:r>
            <w:r w:rsidR="00D66694">
              <w:rPr>
                <w:rFonts w:eastAsia="MS Mincho"/>
              </w:rPr>
              <w:t>,</w:t>
            </w:r>
            <w:r w:rsidRPr="00693CD3">
              <w:rPr>
                <w:rFonts w:eastAsia="MS Mincho"/>
              </w:rPr>
              <w:t xml:space="preserve"> average age 43</w:t>
            </w:r>
            <w:r w:rsidR="00D66694">
              <w:rPr>
                <w:rFonts w:eastAsia="MS Mincho"/>
              </w:rPr>
              <w:t xml:space="preserve"> years,</w:t>
            </w:r>
            <w:r w:rsidRPr="00693CD3">
              <w:rPr>
                <w:rFonts w:eastAsia="MS Mincho"/>
              </w:rPr>
              <w:t xml:space="preserve"> average cigarettes per day 20</w:t>
            </w:r>
          </w:p>
        </w:tc>
        <w:tc>
          <w:tcPr>
            <w:tcW w:w="1224" w:type="pct"/>
          </w:tcPr>
          <w:p w14:paraId="3D9C7105" w14:textId="77777777" w:rsidR="00B96CF7" w:rsidRDefault="00295E4E" w:rsidP="00C324F3">
            <w:pPr>
              <w:pStyle w:val="Tablewriting"/>
              <w:numPr>
                <w:ilvl w:val="0"/>
                <w:numId w:val="54"/>
              </w:numPr>
              <w:rPr>
                <w:rFonts w:eastAsia="MS Mincho"/>
              </w:rPr>
            </w:pPr>
            <w:r w:rsidRPr="00295E4E">
              <w:rPr>
                <w:rFonts w:eastAsia="MS Mincho"/>
              </w:rPr>
              <w:t>CBT 4-5 one-on-one counselling sessions for 20-30 mins</w:t>
            </w:r>
          </w:p>
          <w:p w14:paraId="55F708FA" w14:textId="2A64BE85" w:rsidR="00295E4E" w:rsidRPr="00295E4E" w:rsidRDefault="00295E4E" w:rsidP="00C324F3">
            <w:pPr>
              <w:pStyle w:val="Tablewriting"/>
              <w:numPr>
                <w:ilvl w:val="0"/>
                <w:numId w:val="54"/>
              </w:numPr>
              <w:rPr>
                <w:rFonts w:eastAsia="MS Mincho"/>
              </w:rPr>
            </w:pPr>
            <w:r w:rsidRPr="00295E4E">
              <w:rPr>
                <w:rFonts w:eastAsia="MS Mincho"/>
              </w:rPr>
              <w:t>CBT and bupropion SR. CBT as above. Bupropion SR (9-12 weeks, 150 mg;</w:t>
            </w:r>
            <w:r>
              <w:rPr>
                <w:rFonts w:eastAsia="MS Mincho"/>
              </w:rPr>
              <w:t xml:space="preserve"> </w:t>
            </w:r>
            <w:r w:rsidRPr="00295E4E">
              <w:rPr>
                <w:rFonts w:eastAsia="MS Mincho"/>
              </w:rPr>
              <w:t>1/day for first 6 days;</w:t>
            </w:r>
            <w:r>
              <w:rPr>
                <w:rFonts w:eastAsia="MS Mincho"/>
              </w:rPr>
              <w:t xml:space="preserve"> </w:t>
            </w:r>
            <w:r w:rsidRPr="00295E4E">
              <w:rPr>
                <w:rFonts w:eastAsia="MS Mincho"/>
              </w:rPr>
              <w:t>2/day</w:t>
            </w:r>
            <w:r>
              <w:rPr>
                <w:rFonts w:eastAsia="MS Mincho"/>
              </w:rPr>
              <w:t xml:space="preserve"> </w:t>
            </w:r>
            <w:r w:rsidRPr="00295E4E">
              <w:rPr>
                <w:rFonts w:eastAsia="MS Mincho"/>
              </w:rPr>
              <w:t>thereafter)</w:t>
            </w:r>
          </w:p>
          <w:p w14:paraId="4B10C9BD" w14:textId="3124E19D" w:rsidR="00295E4E" w:rsidRPr="00295E4E" w:rsidRDefault="00295E4E" w:rsidP="00C324F3">
            <w:pPr>
              <w:pStyle w:val="Tablewriting"/>
              <w:numPr>
                <w:ilvl w:val="0"/>
                <w:numId w:val="54"/>
              </w:numPr>
              <w:rPr>
                <w:rFonts w:eastAsia="MS Mincho"/>
              </w:rPr>
            </w:pPr>
            <w:r w:rsidRPr="00295E4E">
              <w:rPr>
                <w:rFonts w:eastAsia="MS Mincho"/>
              </w:rPr>
              <w:t>CBT and NRT. CBT as above. NRT for 9-12 weeks, patient's choice of patch (7 mg to 52.5 mg), gum (2</w:t>
            </w:r>
            <w:r>
              <w:rPr>
                <w:rFonts w:eastAsia="MS Mincho"/>
              </w:rPr>
              <w:t xml:space="preserve"> </w:t>
            </w:r>
            <w:r w:rsidRPr="00295E4E">
              <w:rPr>
                <w:rFonts w:eastAsia="MS Mincho"/>
              </w:rPr>
              <w:t>or 4 mg) or spray (10 mg/mL)</w:t>
            </w:r>
          </w:p>
          <w:p w14:paraId="2A17B620" w14:textId="0C5A462D" w:rsidR="004272CA" w:rsidRPr="00061F78" w:rsidRDefault="00295E4E" w:rsidP="00C324F3">
            <w:pPr>
              <w:pStyle w:val="Tablewriting"/>
              <w:numPr>
                <w:ilvl w:val="0"/>
                <w:numId w:val="54"/>
              </w:numPr>
              <w:rPr>
                <w:rFonts w:eastAsia="MS Mincho"/>
              </w:rPr>
            </w:pPr>
            <w:r w:rsidRPr="00295E4E">
              <w:rPr>
                <w:rFonts w:eastAsia="MS Mincho"/>
              </w:rPr>
              <w:t>Minimal intervention</w:t>
            </w:r>
            <w:r>
              <w:rPr>
                <w:rFonts w:eastAsia="MS Mincho"/>
              </w:rPr>
              <w:t xml:space="preserve"> </w:t>
            </w:r>
            <w:r w:rsidRPr="00295E4E">
              <w:rPr>
                <w:rFonts w:eastAsia="MS Mincho"/>
              </w:rPr>
              <w:t>(not used in review)</w:t>
            </w:r>
          </w:p>
        </w:tc>
        <w:tc>
          <w:tcPr>
            <w:tcW w:w="832" w:type="pct"/>
          </w:tcPr>
          <w:p w14:paraId="34317531" w14:textId="5F66CF8B" w:rsidR="003C019E" w:rsidRPr="003C019E" w:rsidRDefault="003C019E" w:rsidP="00A71365">
            <w:pPr>
              <w:pStyle w:val="Tablewriting"/>
              <w:rPr>
                <w:rFonts w:eastAsia="MS Mincho"/>
              </w:rPr>
            </w:pPr>
            <w:r w:rsidRPr="003C019E">
              <w:rPr>
                <w:rFonts w:eastAsia="MS Mincho"/>
                <w:u w:val="single"/>
              </w:rPr>
              <w:t>Efficacy:</w:t>
            </w:r>
            <w:r w:rsidRPr="003C019E">
              <w:rPr>
                <w:rFonts w:eastAsia="MS Mincho"/>
              </w:rPr>
              <w:t xml:space="preserve"> abstinence at 12 months (from EoT). Validation method not specified</w:t>
            </w:r>
          </w:p>
          <w:p w14:paraId="6AB2B2C1" w14:textId="73CA91B2" w:rsidR="004272CA" w:rsidRPr="00061F78" w:rsidRDefault="00027C01" w:rsidP="00A71365">
            <w:pPr>
              <w:pStyle w:val="Tablewriting"/>
              <w:rPr>
                <w:rFonts w:eastAsia="MS Mincho"/>
              </w:rPr>
            </w:pPr>
            <w:r w:rsidRPr="00027C01">
              <w:rPr>
                <w:rFonts w:eastAsia="MS Mincho"/>
                <w:u w:val="single"/>
              </w:rPr>
              <w:t>Safety:</w:t>
            </w:r>
            <w:r>
              <w:rPr>
                <w:rFonts w:eastAsia="MS Mincho"/>
              </w:rPr>
              <w:t xml:space="preserve"> a</w:t>
            </w:r>
            <w:r w:rsidR="003C019E" w:rsidRPr="003C019E">
              <w:rPr>
                <w:rFonts w:eastAsia="MS Mincho"/>
              </w:rPr>
              <w:t>dverse events</w:t>
            </w:r>
            <w:r>
              <w:rPr>
                <w:rFonts w:eastAsia="MS Mincho"/>
              </w:rPr>
              <w:t xml:space="preserve"> </w:t>
            </w:r>
            <w:r w:rsidR="003C019E" w:rsidRPr="003C019E">
              <w:rPr>
                <w:rFonts w:eastAsia="MS Mincho"/>
              </w:rPr>
              <w:t>measured for 12</w:t>
            </w:r>
            <w:r w:rsidR="002E1EF9">
              <w:rPr>
                <w:rFonts w:eastAsia="MS Mincho"/>
              </w:rPr>
              <w:t xml:space="preserve"> </w:t>
            </w:r>
            <w:r w:rsidR="003C019E" w:rsidRPr="003C019E">
              <w:rPr>
                <w:rFonts w:eastAsia="MS Mincho"/>
              </w:rPr>
              <w:t>weeks</w:t>
            </w:r>
            <w:r w:rsidR="00EF7420">
              <w:rPr>
                <w:rFonts w:eastAsia="MS Mincho"/>
              </w:rPr>
              <w:t>.</w:t>
            </w:r>
          </w:p>
        </w:tc>
      </w:tr>
      <w:tr w:rsidR="004272CA" w:rsidRPr="00061F78" w14:paraId="77BDCB9E" w14:textId="77777777" w:rsidTr="00D0517F">
        <w:trPr>
          <w:trHeight w:val="149"/>
        </w:trPr>
        <w:tc>
          <w:tcPr>
            <w:tcW w:w="565" w:type="pct"/>
          </w:tcPr>
          <w:p w14:paraId="0CB57EAC" w14:textId="7E14121A" w:rsidR="004272CA" w:rsidRPr="00866DE0" w:rsidRDefault="00866DE0" w:rsidP="00A71365">
            <w:pPr>
              <w:pStyle w:val="Tablewriting"/>
              <w:rPr>
                <w:rFonts w:eastAsia="MS Mincho"/>
              </w:rPr>
            </w:pPr>
            <w:r w:rsidRPr="00866DE0">
              <w:rPr>
                <w:rFonts w:eastAsia="MS Mincho"/>
              </w:rPr>
              <w:t xml:space="preserve">Zellweger </w:t>
            </w:r>
            <w:r w:rsidR="0065538B">
              <w:rPr>
                <w:rFonts w:eastAsia="MS Mincho"/>
              </w:rPr>
              <w:t>(</w:t>
            </w:r>
            <w:r w:rsidRPr="00866DE0">
              <w:rPr>
                <w:rFonts w:eastAsia="MS Mincho"/>
              </w:rPr>
              <w:t>2005</w:t>
            </w:r>
            <w:r w:rsidR="0065538B">
              <w:rPr>
                <w:rFonts w:eastAsia="MS Mincho"/>
              </w:rPr>
              <w:t>)</w:t>
            </w:r>
          </w:p>
        </w:tc>
        <w:tc>
          <w:tcPr>
            <w:tcW w:w="239" w:type="pct"/>
          </w:tcPr>
          <w:p w14:paraId="29C9328D" w14:textId="7E288281" w:rsidR="004272CA" w:rsidRDefault="00B96CF7" w:rsidP="00A71365">
            <w:pPr>
              <w:pStyle w:val="Tablewriting"/>
              <w:rPr>
                <w:rFonts w:eastAsia="MS Mincho"/>
              </w:rPr>
            </w:pPr>
            <w:r w:rsidRPr="00DD3336">
              <w:rPr>
                <w:rFonts w:eastAsia="MS Mincho"/>
              </w:rPr>
              <w:t>RCT</w:t>
            </w:r>
          </w:p>
        </w:tc>
        <w:tc>
          <w:tcPr>
            <w:tcW w:w="422" w:type="pct"/>
          </w:tcPr>
          <w:p w14:paraId="45B8636E" w14:textId="6339B791" w:rsidR="0035253E" w:rsidRPr="00061F78" w:rsidRDefault="00942A69" w:rsidP="00A71365">
            <w:pPr>
              <w:pStyle w:val="Tablewriting"/>
              <w:rPr>
                <w:rFonts w:eastAsia="MS Mincho"/>
              </w:rPr>
            </w:pPr>
            <w:r w:rsidRPr="00942A69">
              <w:rPr>
                <w:rFonts w:eastAsia="MS Mincho"/>
              </w:rPr>
              <w:t>12</w:t>
            </w:r>
            <w:r>
              <w:rPr>
                <w:rFonts w:eastAsia="MS Mincho"/>
              </w:rPr>
              <w:t xml:space="preserve"> </w:t>
            </w:r>
            <w:r w:rsidRPr="00942A69">
              <w:rPr>
                <w:rFonts w:eastAsia="MS Mincho"/>
              </w:rPr>
              <w:t>European countries</w:t>
            </w:r>
          </w:p>
        </w:tc>
        <w:tc>
          <w:tcPr>
            <w:tcW w:w="449" w:type="pct"/>
          </w:tcPr>
          <w:p w14:paraId="26A50931" w14:textId="24361463" w:rsidR="004272CA" w:rsidRPr="00061F78" w:rsidRDefault="00B96CF7" w:rsidP="00A71365">
            <w:pPr>
              <w:pStyle w:val="Tablewriting"/>
              <w:rPr>
                <w:rFonts w:eastAsia="MS Mincho"/>
              </w:rPr>
            </w:pPr>
            <w:r w:rsidRPr="00864366">
              <w:rPr>
                <w:rFonts w:eastAsia="MS Mincho"/>
              </w:rPr>
              <w:t>N=</w:t>
            </w:r>
            <w:r w:rsidR="0027066C">
              <w:rPr>
                <w:rFonts w:eastAsia="MS Mincho"/>
              </w:rPr>
              <w:t>667</w:t>
            </w:r>
          </w:p>
        </w:tc>
        <w:tc>
          <w:tcPr>
            <w:tcW w:w="1271" w:type="pct"/>
          </w:tcPr>
          <w:p w14:paraId="245E5898" w14:textId="567699E1" w:rsidR="004272CA" w:rsidRPr="00061F78" w:rsidRDefault="0027066C" w:rsidP="00A71365">
            <w:pPr>
              <w:pStyle w:val="Tablewriting"/>
              <w:rPr>
                <w:rFonts w:eastAsia="MS Mincho"/>
              </w:rPr>
            </w:pPr>
            <w:r>
              <w:rPr>
                <w:rFonts w:eastAsia="MS Mincho"/>
              </w:rPr>
              <w:t>S</w:t>
            </w:r>
            <w:r w:rsidRPr="0027066C">
              <w:rPr>
                <w:rFonts w:eastAsia="MS Mincho"/>
              </w:rPr>
              <w:t>mokers (excludes 1 centre enrolling 20 people, and 3 people who took no medication)</w:t>
            </w:r>
            <w:r w:rsidR="00D66694">
              <w:rPr>
                <w:rFonts w:eastAsia="MS Mincho"/>
              </w:rPr>
              <w:t>,</w:t>
            </w:r>
            <w:r w:rsidRPr="0027066C">
              <w:rPr>
                <w:rFonts w:eastAsia="MS Mincho"/>
              </w:rPr>
              <w:t xml:space="preserve"> 64% female</w:t>
            </w:r>
            <w:r w:rsidR="00D66694">
              <w:rPr>
                <w:rFonts w:eastAsia="MS Mincho"/>
              </w:rPr>
              <w:t>,</w:t>
            </w:r>
            <w:r>
              <w:rPr>
                <w:rFonts w:eastAsia="MS Mincho"/>
              </w:rPr>
              <w:t xml:space="preserve"> </w:t>
            </w:r>
            <w:r w:rsidRPr="0027066C">
              <w:rPr>
                <w:rFonts w:eastAsia="MS Mincho"/>
              </w:rPr>
              <w:t>average age 40</w:t>
            </w:r>
            <w:r w:rsidR="00D66694">
              <w:rPr>
                <w:rFonts w:eastAsia="MS Mincho"/>
              </w:rPr>
              <w:t xml:space="preserve"> years,</w:t>
            </w:r>
            <w:r w:rsidRPr="0027066C">
              <w:rPr>
                <w:rFonts w:eastAsia="MS Mincho"/>
              </w:rPr>
              <w:t xml:space="preserve"> average cigarettes per day 23</w:t>
            </w:r>
            <w:r w:rsidR="00D66694">
              <w:rPr>
                <w:rFonts w:eastAsia="MS Mincho"/>
              </w:rPr>
              <w:t>,</w:t>
            </w:r>
            <w:r w:rsidRPr="0027066C">
              <w:rPr>
                <w:rFonts w:eastAsia="MS Mincho"/>
              </w:rPr>
              <w:t xml:space="preserve"> 32% doctor, 68% nurse</w:t>
            </w:r>
          </w:p>
        </w:tc>
        <w:tc>
          <w:tcPr>
            <w:tcW w:w="1224" w:type="pct"/>
          </w:tcPr>
          <w:p w14:paraId="4C5BF906" w14:textId="77777777" w:rsidR="00B96CF7" w:rsidRDefault="0027066C" w:rsidP="00C324F3">
            <w:pPr>
              <w:pStyle w:val="Tablewriting"/>
              <w:numPr>
                <w:ilvl w:val="0"/>
                <w:numId w:val="55"/>
              </w:numPr>
              <w:rPr>
                <w:rFonts w:eastAsia="MS Mincho"/>
              </w:rPr>
            </w:pPr>
            <w:r w:rsidRPr="0027066C">
              <w:rPr>
                <w:rFonts w:eastAsia="MS Mincho"/>
              </w:rPr>
              <w:t>Bupropion SR. 300 mg/day for 7 weeks</w:t>
            </w:r>
          </w:p>
          <w:p w14:paraId="10E9EDFD" w14:textId="77777777" w:rsidR="0049768F" w:rsidRPr="0049768F" w:rsidRDefault="0049768F" w:rsidP="00C324F3">
            <w:pPr>
              <w:pStyle w:val="Tablewriting"/>
              <w:numPr>
                <w:ilvl w:val="0"/>
                <w:numId w:val="55"/>
              </w:numPr>
              <w:rPr>
                <w:rFonts w:eastAsia="MS Mincho"/>
              </w:rPr>
            </w:pPr>
            <w:r w:rsidRPr="0049768F">
              <w:rPr>
                <w:rFonts w:eastAsia="MS Mincho"/>
              </w:rPr>
              <w:t>Placebo</w:t>
            </w:r>
          </w:p>
          <w:p w14:paraId="4D034CBE" w14:textId="77777777" w:rsidR="0049768F" w:rsidRDefault="0049768F" w:rsidP="00A71365">
            <w:pPr>
              <w:pStyle w:val="Tablewriting"/>
              <w:rPr>
                <w:rFonts w:eastAsia="MS Mincho"/>
              </w:rPr>
            </w:pPr>
          </w:p>
          <w:p w14:paraId="5279971C" w14:textId="0A9DD60D" w:rsidR="004272CA" w:rsidRPr="00061F78" w:rsidRDefault="0049768F" w:rsidP="00A71365">
            <w:pPr>
              <w:pStyle w:val="Tablewriting"/>
              <w:rPr>
                <w:rFonts w:eastAsia="MS Mincho"/>
              </w:rPr>
            </w:pPr>
            <w:r w:rsidRPr="0049768F">
              <w:rPr>
                <w:rFonts w:eastAsia="MS Mincho"/>
                <w:u w:val="single"/>
              </w:rPr>
              <w:t>Common components:</w:t>
            </w:r>
            <w:r w:rsidRPr="0049768F">
              <w:rPr>
                <w:rFonts w:eastAsia="MS Mincho"/>
              </w:rPr>
              <w:t xml:space="preserve"> Brief (10-15 min) motivational support at weekly clinic visits and telephone support</w:t>
            </w:r>
            <w:r>
              <w:rPr>
                <w:rFonts w:eastAsia="MS Mincho"/>
              </w:rPr>
              <w:t xml:space="preserve"> </w:t>
            </w:r>
            <w:r w:rsidRPr="0049768F">
              <w:rPr>
                <w:rFonts w:eastAsia="MS Mincho"/>
              </w:rPr>
              <w:t>one day before TQD, 3 days after TQD, monthly during follow-up</w:t>
            </w:r>
          </w:p>
        </w:tc>
        <w:tc>
          <w:tcPr>
            <w:tcW w:w="832" w:type="pct"/>
          </w:tcPr>
          <w:p w14:paraId="31460C8F" w14:textId="2654DF17" w:rsidR="00B96CF7" w:rsidRDefault="00461A55" w:rsidP="00A71365">
            <w:pPr>
              <w:pStyle w:val="Tablewriting"/>
              <w:rPr>
                <w:rFonts w:eastAsia="MS Mincho"/>
              </w:rPr>
            </w:pPr>
            <w:r w:rsidRPr="00461A55">
              <w:rPr>
                <w:rFonts w:eastAsia="MS Mincho"/>
                <w:u w:val="single"/>
              </w:rPr>
              <w:t>Efficacy:</w:t>
            </w:r>
            <w:r w:rsidRPr="00461A55">
              <w:rPr>
                <w:rFonts w:eastAsia="MS Mincho"/>
              </w:rPr>
              <w:t xml:space="preserve"> Prolonged abstinence at 52 weeks (starting from week 4). Validated by CO </w:t>
            </w:r>
            <w:r w:rsidR="00455594" w:rsidRPr="00D96BA4">
              <w:rPr>
                <w:rFonts w:eastAsia="MS Mincho"/>
              </w:rPr>
              <w:t>≤</w:t>
            </w:r>
            <w:r w:rsidRPr="00461A55">
              <w:rPr>
                <w:rFonts w:eastAsia="MS Mincho"/>
              </w:rPr>
              <w:t xml:space="preserve"> 10</w:t>
            </w:r>
            <w:r>
              <w:rPr>
                <w:rFonts w:eastAsia="MS Mincho"/>
              </w:rPr>
              <w:t xml:space="preserve"> </w:t>
            </w:r>
            <w:r w:rsidRPr="00461A55">
              <w:rPr>
                <w:rFonts w:eastAsia="MS Mincho"/>
              </w:rPr>
              <w:t>ppm</w:t>
            </w:r>
          </w:p>
          <w:p w14:paraId="1DA6E97C" w14:textId="3D44597E" w:rsidR="004272CA" w:rsidRPr="00061F78" w:rsidRDefault="00461A55" w:rsidP="00A71365">
            <w:pPr>
              <w:pStyle w:val="Tablewriting"/>
              <w:rPr>
                <w:rFonts w:eastAsia="MS Mincho"/>
              </w:rPr>
            </w:pPr>
            <w:r w:rsidRPr="00461A55">
              <w:rPr>
                <w:rFonts w:eastAsia="MS Mincho"/>
                <w:u w:val="single"/>
              </w:rPr>
              <w:t>Safety:</w:t>
            </w:r>
            <w:r>
              <w:rPr>
                <w:rFonts w:eastAsia="MS Mincho"/>
              </w:rPr>
              <w:t xml:space="preserve"> N/A</w:t>
            </w:r>
            <w:r w:rsidR="00EF7420">
              <w:rPr>
                <w:rFonts w:eastAsia="MS Mincho"/>
              </w:rPr>
              <w:t>.</w:t>
            </w:r>
          </w:p>
        </w:tc>
      </w:tr>
    </w:tbl>
    <w:p w14:paraId="5BAF866C" w14:textId="77777777" w:rsidR="00D66694" w:rsidRPr="009B042A" w:rsidRDefault="00D66694" w:rsidP="00D0517F">
      <w:pPr>
        <w:pStyle w:val="TableFooter"/>
        <w:keepNext/>
        <w:jc w:val="both"/>
      </w:pPr>
      <w:r>
        <w:lastRenderedPageBreak/>
        <w:t>Source: Howes et al. (2020)</w:t>
      </w:r>
    </w:p>
    <w:p w14:paraId="3FF94F04" w14:textId="3763408D" w:rsidR="009B042A" w:rsidRPr="00FC4F81" w:rsidRDefault="00596B59" w:rsidP="00D0517F">
      <w:pPr>
        <w:pStyle w:val="TableFooter"/>
        <w:keepNext/>
        <w:spacing w:after="120"/>
        <w:contextualSpacing w:val="0"/>
        <w:jc w:val="both"/>
      </w:pPr>
      <w:r>
        <w:t xml:space="preserve">Abbreviations: </w:t>
      </w:r>
      <w:r w:rsidR="00EF3FD1">
        <w:t>NR= not reported;</w:t>
      </w:r>
      <w:r>
        <w:t xml:space="preserve"> </w:t>
      </w:r>
      <w:r w:rsidR="00A6574A" w:rsidRPr="009B042A">
        <w:t>PPA</w:t>
      </w:r>
      <w:r w:rsidR="00974BBA" w:rsidRPr="009B042A">
        <w:t>= point prevalence smoking abstinence</w:t>
      </w:r>
      <w:r w:rsidR="00753240" w:rsidRPr="009B042A">
        <w:t>;</w:t>
      </w:r>
      <w:r w:rsidR="00974BBA" w:rsidRPr="009B042A">
        <w:t xml:space="preserve"> </w:t>
      </w:r>
      <w:r w:rsidR="005A24EF">
        <w:t xml:space="preserve">CA= continuous abstinence; </w:t>
      </w:r>
      <w:r w:rsidR="00974BBA" w:rsidRPr="009B042A">
        <w:t>RCT= randomised controlled trial</w:t>
      </w:r>
      <w:r w:rsidR="00753240" w:rsidRPr="009B042A">
        <w:t>;</w:t>
      </w:r>
      <w:r w:rsidR="005E7042" w:rsidRPr="009B042A">
        <w:t xml:space="preserve"> N=</w:t>
      </w:r>
      <w:r w:rsidR="007A5790" w:rsidRPr="009B042A">
        <w:t xml:space="preserve"> total participants</w:t>
      </w:r>
      <w:r w:rsidR="00753240" w:rsidRPr="009B042A">
        <w:t>;</w:t>
      </w:r>
      <w:r w:rsidR="007A5790" w:rsidRPr="009B042A">
        <w:t xml:space="preserve"> </w:t>
      </w:r>
      <w:r w:rsidR="00F85410" w:rsidRPr="009B042A">
        <w:t>TQD= target quit date</w:t>
      </w:r>
      <w:r w:rsidR="00753240" w:rsidRPr="009B042A">
        <w:t>;</w:t>
      </w:r>
      <w:r w:rsidR="00F85410" w:rsidRPr="009B042A">
        <w:t xml:space="preserve"> </w:t>
      </w:r>
      <w:r w:rsidR="00063DFD" w:rsidRPr="009B042A">
        <w:t>ITT= intention to treat</w:t>
      </w:r>
      <w:r w:rsidR="00753240" w:rsidRPr="009B042A">
        <w:t>;</w:t>
      </w:r>
      <w:r w:rsidR="00063DFD" w:rsidRPr="009B042A">
        <w:t xml:space="preserve"> </w:t>
      </w:r>
      <w:r w:rsidR="00753240" w:rsidRPr="009B042A">
        <w:t xml:space="preserve">DSM-IV-TR= </w:t>
      </w:r>
      <w:r w:rsidR="00FB74DA" w:rsidRPr="009B042A">
        <w:t>Mental Disorders, Fourth Edition, Text Revision</w:t>
      </w:r>
      <w:r w:rsidR="00753240" w:rsidRPr="009B042A">
        <w:t xml:space="preserve">; </w:t>
      </w:r>
      <w:r w:rsidR="004743B1" w:rsidRPr="00D32125">
        <w:rPr>
          <w:szCs w:val="18"/>
        </w:rPr>
        <w:t>CES-D=</w:t>
      </w:r>
      <w:r w:rsidR="00D32125" w:rsidRPr="00D32125">
        <w:t>Centre for Epidemiological Studies Depression Scale</w:t>
      </w:r>
      <w:r w:rsidR="004743B1" w:rsidRPr="009B042A">
        <w:t xml:space="preserve">; CO= carbon </w:t>
      </w:r>
      <w:r w:rsidR="003740A3" w:rsidRPr="009B042A">
        <w:t xml:space="preserve">monoxide; </w:t>
      </w:r>
      <w:r w:rsidR="003740A3" w:rsidRPr="00D66694">
        <w:rPr>
          <w:szCs w:val="18"/>
        </w:rPr>
        <w:t>ppm=</w:t>
      </w:r>
      <w:r w:rsidR="003740A3" w:rsidRPr="009B042A">
        <w:t xml:space="preserve"> </w:t>
      </w:r>
      <w:r w:rsidR="00D66694">
        <w:t>part per million</w:t>
      </w:r>
      <w:r w:rsidR="003740A3" w:rsidRPr="009B042A">
        <w:t xml:space="preserve">; </w:t>
      </w:r>
      <w:r w:rsidR="00C6152B" w:rsidRPr="009B042A">
        <w:t xml:space="preserve">EoT= end of treatment; </w:t>
      </w:r>
      <w:r w:rsidR="005A24EF">
        <w:t>F</w:t>
      </w:r>
      <w:r w:rsidR="00F03174">
        <w:t xml:space="preserve">TND= </w:t>
      </w:r>
      <w:r w:rsidR="004664D2" w:rsidRPr="00BD70BE">
        <w:t>Fagerstrӧm</w:t>
      </w:r>
      <w:r w:rsidR="00F03174" w:rsidRPr="00BD70BE">
        <w:t xml:space="preserve"> test for nicotine dependence</w:t>
      </w:r>
      <w:r w:rsidR="00F03174">
        <w:t xml:space="preserve">; </w:t>
      </w:r>
      <w:r w:rsidR="00760B33">
        <w:t xml:space="preserve">CBT= </w:t>
      </w:r>
      <w:r w:rsidR="00E02772">
        <w:t xml:space="preserve">cognitive </w:t>
      </w:r>
      <w:r w:rsidR="00DF415C">
        <w:t xml:space="preserve">behavioural therapy; </w:t>
      </w:r>
      <w:r w:rsidR="00E60301">
        <w:t xml:space="preserve">MDD= major depressive disorder; MI= myocardial infarction; </w:t>
      </w:r>
      <w:r w:rsidR="004D10DC">
        <w:t>COPD=</w:t>
      </w:r>
      <w:r w:rsidR="0040258D">
        <w:t xml:space="preserve"> </w:t>
      </w:r>
      <w:r w:rsidR="003D2386">
        <w:t>c</w:t>
      </w:r>
      <w:r w:rsidR="003D2386" w:rsidRPr="003D2386">
        <w:t>hronic obstructive pulmonary disease</w:t>
      </w:r>
      <w:r w:rsidR="0040258D">
        <w:t>;</w:t>
      </w:r>
      <w:r w:rsidR="003D2386">
        <w:t xml:space="preserve"> </w:t>
      </w:r>
      <w:r w:rsidR="00BD02E4">
        <w:t>SR= sustained release</w:t>
      </w:r>
      <w:r w:rsidR="00B63651">
        <w:t>.</w:t>
      </w:r>
    </w:p>
    <w:p w14:paraId="53B4757A" w14:textId="4D0BBC69" w:rsidR="00EA7016" w:rsidRDefault="00EA7016">
      <w:pPr>
        <w:spacing w:line="276" w:lineRule="auto"/>
        <w:rPr>
          <w:rFonts w:asciiTheme="minorHAnsi" w:eastAsia="Times New Roman" w:hAnsiTheme="minorHAnsi" w:cs="Times New Roman"/>
          <w:b/>
          <w:bCs/>
          <w:szCs w:val="18"/>
        </w:rPr>
      </w:pPr>
      <w:bookmarkStart w:id="329" w:name="_Ref55119887"/>
      <w:r>
        <w:br w:type="page"/>
      </w:r>
    </w:p>
    <w:p w14:paraId="70867528" w14:textId="4A32E9BE" w:rsidR="00DB6037" w:rsidRDefault="00DB6037" w:rsidP="00D0517F">
      <w:pPr>
        <w:pStyle w:val="Caption"/>
        <w:keepNext/>
        <w:spacing w:before="0" w:after="120"/>
        <w:jc w:val="both"/>
      </w:pPr>
      <w:r>
        <w:lastRenderedPageBreak/>
        <w:t xml:space="preserve">Table </w:t>
      </w:r>
      <w:r>
        <w:fldChar w:fldCharType="begin"/>
      </w:r>
      <w:r>
        <w:instrText>SEQ Table \* ARABIC</w:instrText>
      </w:r>
      <w:r>
        <w:fldChar w:fldCharType="separate"/>
      </w:r>
      <w:r w:rsidR="00EC5CC7">
        <w:rPr>
          <w:noProof/>
        </w:rPr>
        <w:t>145</w:t>
      </w:r>
      <w:r>
        <w:fldChar w:fldCharType="end"/>
      </w:r>
      <w:bookmarkEnd w:id="329"/>
      <w:r>
        <w:t xml:space="preserve">: </w:t>
      </w:r>
      <w:r w:rsidRPr="00E72D88">
        <w:t xml:space="preserve">Characteristics of studies </w:t>
      </w:r>
      <w:r w:rsidR="00126F24">
        <w:t xml:space="preserve">included </w:t>
      </w:r>
      <w:r w:rsidRPr="00E72D88">
        <w:t xml:space="preserve">in Howes et al. (2020), bupropion versus </w:t>
      </w:r>
      <w:r>
        <w:t>NRT</w:t>
      </w:r>
    </w:p>
    <w:tbl>
      <w:tblPr>
        <w:tblStyle w:val="TableGrid"/>
        <w:tblpPr w:leftFromText="180" w:rightFromText="180" w:vertAnchor="text" w:tblpX="-91" w:tblpY="1"/>
        <w:tblOverlap w:val="never"/>
        <w:tblW w:w="5000" w:type="pct"/>
        <w:tblLook w:val="04A0" w:firstRow="1" w:lastRow="0" w:firstColumn="1" w:lastColumn="0" w:noHBand="0" w:noVBand="1"/>
        <w:tblCaption w:val="Efficacy results of adalimumab trials (PASI 75 and DLQI)"/>
      </w:tblPr>
      <w:tblGrid>
        <w:gridCol w:w="1347"/>
        <w:gridCol w:w="711"/>
        <w:gridCol w:w="1216"/>
        <w:gridCol w:w="1080"/>
        <w:gridCol w:w="3646"/>
        <w:gridCol w:w="3515"/>
        <w:gridCol w:w="2433"/>
      </w:tblGrid>
      <w:tr w:rsidR="00A31D77" w:rsidRPr="00223463" w14:paraId="01488927" w14:textId="77777777" w:rsidTr="00EA7016">
        <w:trPr>
          <w:trHeight w:val="299"/>
          <w:tblHeader/>
        </w:trPr>
        <w:tc>
          <w:tcPr>
            <w:tcW w:w="483" w:type="pct"/>
            <w:shd w:val="clear" w:color="auto" w:fill="BFBFBF" w:themeFill="background1" w:themeFillShade="BF"/>
            <w:tcMar>
              <w:left w:w="28" w:type="dxa"/>
              <w:right w:w="28" w:type="dxa"/>
            </w:tcMar>
          </w:tcPr>
          <w:p w14:paraId="4BA2CF65" w14:textId="238893AD" w:rsidR="0002227D" w:rsidRPr="00223463" w:rsidRDefault="008B4BB0" w:rsidP="00E5419D">
            <w:pPr>
              <w:pStyle w:val="Tableheading"/>
              <w:keepNext/>
              <w:rPr>
                <w:rFonts w:eastAsia="MS Mincho"/>
              </w:rPr>
            </w:pPr>
            <w:r>
              <w:rPr>
                <w:rFonts w:eastAsia="MS Mincho"/>
              </w:rPr>
              <w:t>Study</w:t>
            </w:r>
          </w:p>
        </w:tc>
        <w:tc>
          <w:tcPr>
            <w:tcW w:w="255" w:type="pct"/>
            <w:shd w:val="clear" w:color="auto" w:fill="BFBFBF" w:themeFill="background1" w:themeFillShade="BF"/>
          </w:tcPr>
          <w:p w14:paraId="3FFB3B85" w14:textId="77777777" w:rsidR="0002227D" w:rsidRPr="00223463" w:rsidRDefault="0002227D" w:rsidP="00E5419D">
            <w:pPr>
              <w:pStyle w:val="Tableheading"/>
              <w:keepNext/>
              <w:jc w:val="center"/>
              <w:rPr>
                <w:rFonts w:eastAsia="MS Mincho"/>
              </w:rPr>
            </w:pPr>
            <w:r w:rsidRPr="00223463">
              <w:rPr>
                <w:rFonts w:eastAsia="MS Mincho"/>
              </w:rPr>
              <w:t>Study type</w:t>
            </w:r>
          </w:p>
        </w:tc>
        <w:tc>
          <w:tcPr>
            <w:tcW w:w="436" w:type="pct"/>
            <w:shd w:val="clear" w:color="auto" w:fill="BFBFBF" w:themeFill="background1" w:themeFillShade="BF"/>
          </w:tcPr>
          <w:p w14:paraId="24273163" w14:textId="77777777" w:rsidR="0002227D" w:rsidRPr="00223463" w:rsidRDefault="0002227D" w:rsidP="00E5419D">
            <w:pPr>
              <w:pStyle w:val="Tableheading"/>
              <w:keepNext/>
              <w:jc w:val="center"/>
              <w:rPr>
                <w:rFonts w:eastAsia="MS Mincho"/>
              </w:rPr>
            </w:pPr>
            <w:r w:rsidRPr="00223463">
              <w:rPr>
                <w:rFonts w:eastAsia="MS Mincho"/>
              </w:rPr>
              <w:t>Country</w:t>
            </w:r>
          </w:p>
        </w:tc>
        <w:tc>
          <w:tcPr>
            <w:tcW w:w="387" w:type="pct"/>
            <w:shd w:val="clear" w:color="auto" w:fill="BFBFBF" w:themeFill="background1" w:themeFillShade="BF"/>
            <w:tcMar>
              <w:left w:w="28" w:type="dxa"/>
              <w:right w:w="28" w:type="dxa"/>
            </w:tcMar>
          </w:tcPr>
          <w:p w14:paraId="0E9E752A" w14:textId="77777777" w:rsidR="0002227D" w:rsidRPr="00223463" w:rsidRDefault="0002227D" w:rsidP="00E5419D">
            <w:pPr>
              <w:pStyle w:val="Tableheading"/>
              <w:keepNext/>
              <w:jc w:val="center"/>
              <w:rPr>
                <w:rFonts w:eastAsia="MS Mincho"/>
              </w:rPr>
            </w:pPr>
            <w:r w:rsidRPr="00223463">
              <w:rPr>
                <w:rFonts w:eastAsia="MS Mincho"/>
              </w:rPr>
              <w:t>N</w:t>
            </w:r>
          </w:p>
        </w:tc>
        <w:tc>
          <w:tcPr>
            <w:tcW w:w="1307" w:type="pct"/>
            <w:shd w:val="clear" w:color="auto" w:fill="BFBFBF" w:themeFill="background1" w:themeFillShade="BF"/>
            <w:tcMar>
              <w:left w:w="28" w:type="dxa"/>
              <w:right w:w="28" w:type="dxa"/>
            </w:tcMar>
          </w:tcPr>
          <w:p w14:paraId="700189B2" w14:textId="77777777" w:rsidR="0002227D" w:rsidRPr="00223463" w:rsidRDefault="0002227D" w:rsidP="00E5419D">
            <w:pPr>
              <w:pStyle w:val="Tableheading"/>
              <w:keepNext/>
              <w:jc w:val="center"/>
              <w:rPr>
                <w:rFonts w:eastAsia="MS Mincho"/>
              </w:rPr>
            </w:pPr>
            <w:r w:rsidRPr="00223463">
              <w:rPr>
                <w:rFonts w:eastAsia="MS Mincho"/>
              </w:rPr>
              <w:t>Population</w:t>
            </w:r>
          </w:p>
        </w:tc>
        <w:tc>
          <w:tcPr>
            <w:tcW w:w="1260" w:type="pct"/>
            <w:shd w:val="clear" w:color="auto" w:fill="BFBFBF" w:themeFill="background1" w:themeFillShade="BF"/>
          </w:tcPr>
          <w:p w14:paraId="060C6FC6" w14:textId="77777777" w:rsidR="0002227D" w:rsidRPr="00223463" w:rsidRDefault="0002227D" w:rsidP="00E5419D">
            <w:pPr>
              <w:pStyle w:val="Tableheading"/>
              <w:keepNext/>
              <w:jc w:val="center"/>
              <w:rPr>
                <w:rFonts w:eastAsia="MS Mincho"/>
              </w:rPr>
            </w:pPr>
            <w:r w:rsidRPr="00223463">
              <w:rPr>
                <w:rFonts w:eastAsia="MS Mincho"/>
              </w:rPr>
              <w:t>Intervention and comparator</w:t>
            </w:r>
          </w:p>
        </w:tc>
        <w:tc>
          <w:tcPr>
            <w:tcW w:w="872" w:type="pct"/>
            <w:shd w:val="clear" w:color="auto" w:fill="BFBFBF" w:themeFill="background1" w:themeFillShade="BF"/>
            <w:tcMar>
              <w:left w:w="28" w:type="dxa"/>
              <w:right w:w="28" w:type="dxa"/>
            </w:tcMar>
          </w:tcPr>
          <w:p w14:paraId="2628A705" w14:textId="77777777" w:rsidR="0002227D" w:rsidRPr="00223463" w:rsidRDefault="0002227D" w:rsidP="00E5419D">
            <w:pPr>
              <w:pStyle w:val="Tableheading"/>
              <w:keepNext/>
              <w:jc w:val="center"/>
              <w:rPr>
                <w:rFonts w:eastAsia="MS Mincho"/>
              </w:rPr>
            </w:pPr>
            <w:r w:rsidRPr="00223463">
              <w:rPr>
                <w:rFonts w:eastAsia="MS Mincho"/>
              </w:rPr>
              <w:t>Outcomes</w:t>
            </w:r>
          </w:p>
        </w:tc>
      </w:tr>
      <w:tr w:rsidR="00A31D77" w:rsidRPr="00223463" w14:paraId="3555549A" w14:textId="77777777" w:rsidTr="00EA7016">
        <w:trPr>
          <w:trHeight w:val="99"/>
        </w:trPr>
        <w:tc>
          <w:tcPr>
            <w:tcW w:w="483" w:type="pct"/>
            <w:shd w:val="clear" w:color="auto" w:fill="auto"/>
            <w:tcMar>
              <w:left w:w="28" w:type="dxa"/>
              <w:right w:w="28" w:type="dxa"/>
            </w:tcMar>
          </w:tcPr>
          <w:p w14:paraId="56C258D0" w14:textId="2DD4B654" w:rsidR="0002227D" w:rsidRPr="00223463" w:rsidRDefault="0002227D" w:rsidP="00E5419D">
            <w:pPr>
              <w:pStyle w:val="Tablewriting"/>
              <w:keepNext/>
              <w:rPr>
                <w:rFonts w:eastAsia="MS Mincho" w:cstheme="minorHAnsi"/>
              </w:rPr>
            </w:pPr>
            <w:r w:rsidRPr="00223463">
              <w:rPr>
                <w:rFonts w:eastAsia="MS Mincho" w:cstheme="minorHAnsi"/>
              </w:rPr>
              <w:t xml:space="preserve">Anthenelli </w:t>
            </w:r>
            <w:r w:rsidR="0065538B">
              <w:rPr>
                <w:rFonts w:eastAsia="MS Mincho" w:cstheme="minorHAnsi"/>
              </w:rPr>
              <w:t>(</w:t>
            </w:r>
            <w:r w:rsidRPr="00223463">
              <w:rPr>
                <w:rFonts w:eastAsia="MS Mincho" w:cstheme="minorHAnsi"/>
              </w:rPr>
              <w:t>2016</w:t>
            </w:r>
            <w:r w:rsidR="0065538B">
              <w:rPr>
                <w:rFonts w:eastAsia="MS Mincho" w:cstheme="minorHAnsi"/>
              </w:rPr>
              <w:t>)</w:t>
            </w:r>
          </w:p>
        </w:tc>
        <w:tc>
          <w:tcPr>
            <w:tcW w:w="255" w:type="pct"/>
            <w:shd w:val="clear" w:color="auto" w:fill="auto"/>
          </w:tcPr>
          <w:p w14:paraId="78D5F903" w14:textId="77777777"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14:paraId="43BEEAB1" w14:textId="77777777" w:rsidR="0002227D" w:rsidRPr="00223463" w:rsidRDefault="0002227D" w:rsidP="00E5419D">
            <w:pPr>
              <w:pStyle w:val="Tablewriting"/>
              <w:keepNext/>
              <w:rPr>
                <w:rFonts w:eastAsia="MS Mincho" w:cstheme="minorHAnsi"/>
              </w:rPr>
            </w:pPr>
            <w:r w:rsidRPr="00223463">
              <w:rPr>
                <w:rFonts w:eastAsia="MS Mincho" w:cstheme="minorHAnsi"/>
              </w:rPr>
              <w:t>USA, Australia, Canada, Denmark, Finland, Germany, New Zealand, South Africa, Spain, Bulgaria,</w:t>
            </w:r>
          </w:p>
          <w:p w14:paraId="0E3E52DC" w14:textId="77777777" w:rsidR="0002227D" w:rsidRPr="00223463" w:rsidRDefault="0002227D" w:rsidP="00E5419D">
            <w:pPr>
              <w:pStyle w:val="Tablewriting"/>
              <w:keepNext/>
              <w:rPr>
                <w:rFonts w:eastAsia="MS Mincho" w:cstheme="minorHAnsi"/>
              </w:rPr>
            </w:pPr>
            <w:r w:rsidRPr="00223463">
              <w:rPr>
                <w:rFonts w:eastAsia="MS Mincho" w:cstheme="minorHAnsi"/>
              </w:rPr>
              <w:t>Russian Federation, Slovakia, Argentina, Brazil, Chile, and Mexico</w:t>
            </w:r>
          </w:p>
        </w:tc>
        <w:tc>
          <w:tcPr>
            <w:tcW w:w="387" w:type="pct"/>
            <w:shd w:val="clear" w:color="auto" w:fill="auto"/>
            <w:tcMar>
              <w:left w:w="28" w:type="dxa"/>
              <w:right w:w="28" w:type="dxa"/>
            </w:tcMar>
          </w:tcPr>
          <w:p w14:paraId="07FD6B23" w14:textId="77777777" w:rsidR="0002227D" w:rsidRPr="00223463" w:rsidRDefault="0002227D" w:rsidP="00E5419D">
            <w:pPr>
              <w:pStyle w:val="Tablewriting"/>
              <w:keepNext/>
              <w:rPr>
                <w:rFonts w:eastAsia="MS Mincho" w:cstheme="minorHAnsi"/>
              </w:rPr>
            </w:pPr>
            <w:r w:rsidRPr="00223463">
              <w:rPr>
                <w:rFonts w:eastAsia="MS Mincho" w:cstheme="minorHAnsi"/>
              </w:rPr>
              <w:t>N= 8144</w:t>
            </w:r>
          </w:p>
          <w:p w14:paraId="2003CD72" w14:textId="77777777" w:rsidR="0002227D" w:rsidRPr="00223463" w:rsidRDefault="0002227D" w:rsidP="00E5419D">
            <w:pPr>
              <w:pStyle w:val="Tablewriting"/>
              <w:keepNext/>
              <w:rPr>
                <w:rFonts w:eastAsia="MS Mincho" w:cstheme="minorHAnsi"/>
              </w:rPr>
            </w:pPr>
          </w:p>
          <w:p w14:paraId="4CED5CF0"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Specialist population:</w:t>
            </w:r>
            <w:r w:rsidRPr="00223463">
              <w:rPr>
                <w:rFonts w:eastAsia="MS Mincho" w:cstheme="minorHAnsi"/>
              </w:rPr>
              <w:t xml:space="preserve"> participants psychiatric cohort (n= 4074), non-psychiatric cohort (n= 3984)</w:t>
            </w:r>
          </w:p>
        </w:tc>
        <w:tc>
          <w:tcPr>
            <w:tcW w:w="1307" w:type="pct"/>
            <w:shd w:val="clear" w:color="auto" w:fill="auto"/>
            <w:tcMar>
              <w:left w:w="28" w:type="dxa"/>
              <w:right w:w="28" w:type="dxa"/>
            </w:tcMar>
          </w:tcPr>
          <w:p w14:paraId="49134AD0" w14:textId="7D8EED4D" w:rsidR="0002227D" w:rsidRPr="00223463" w:rsidRDefault="0002227D" w:rsidP="00E5419D">
            <w:pPr>
              <w:pStyle w:val="Tablewriting"/>
              <w:keepNext/>
              <w:rPr>
                <w:rFonts w:eastAsia="MS Mincho" w:cstheme="minorHAnsi"/>
              </w:rPr>
            </w:pPr>
            <w:r w:rsidRPr="00223463">
              <w:rPr>
                <w:rFonts w:eastAsia="MS Mincho" w:cstheme="minorHAnsi"/>
              </w:rPr>
              <w:t>56% female</w:t>
            </w:r>
            <w:r w:rsidR="00060E7D">
              <w:rPr>
                <w:rFonts w:eastAsia="MS Mincho" w:cstheme="minorHAnsi"/>
              </w:rPr>
              <w:t>,</w:t>
            </w:r>
            <w:r w:rsidRPr="00223463">
              <w:rPr>
                <w:rFonts w:eastAsia="MS Mincho" w:cstheme="minorHAnsi"/>
              </w:rPr>
              <w:t xml:space="preserve"> average age 46.5</w:t>
            </w:r>
            <w:r w:rsidR="00060E7D">
              <w:rPr>
                <w:rFonts w:eastAsia="MS Mincho" w:cstheme="minorHAnsi"/>
              </w:rPr>
              <w:t xml:space="preserve"> years,</w:t>
            </w:r>
            <w:r w:rsidRPr="00223463">
              <w:rPr>
                <w:rFonts w:eastAsia="MS Mincho" w:cstheme="minorHAnsi"/>
              </w:rPr>
              <w:t xml:space="preserve"> average cigarettes per day 21, mean FTND 5.8</w:t>
            </w:r>
          </w:p>
          <w:p w14:paraId="0429EF6C" w14:textId="77777777" w:rsidR="0002227D" w:rsidRPr="00223463" w:rsidRDefault="0002227D" w:rsidP="00E5419D">
            <w:pPr>
              <w:pStyle w:val="Tablewriting"/>
              <w:keepNext/>
              <w:rPr>
                <w:rFonts w:eastAsia="MS Mincho" w:cstheme="minorHAnsi"/>
              </w:rPr>
            </w:pPr>
          </w:p>
          <w:p w14:paraId="57D2BE40" w14:textId="77777777" w:rsidR="0002227D" w:rsidRPr="00223463" w:rsidRDefault="0002227D" w:rsidP="00E5419D">
            <w:pPr>
              <w:pStyle w:val="Tablewriting"/>
              <w:keepNext/>
              <w:rPr>
                <w:rFonts w:eastAsia="MS Mincho" w:cstheme="minorHAnsi"/>
              </w:rPr>
            </w:pPr>
            <w:r w:rsidRPr="00223463">
              <w:rPr>
                <w:rFonts w:eastAsia="MS Mincho" w:cstheme="minorHAnsi"/>
              </w:rPr>
              <w:t>Participants were included in the psychiatric cohort if they met</w:t>
            </w:r>
          </w:p>
          <w:p w14:paraId="1691BE50" w14:textId="763ECDE3" w:rsidR="0002227D" w:rsidRPr="00223463" w:rsidRDefault="0002227D" w:rsidP="00E5419D">
            <w:pPr>
              <w:pStyle w:val="Tablewriting"/>
              <w:keepNext/>
              <w:rPr>
                <w:rFonts w:eastAsia="MS Mincho" w:cstheme="minorHAnsi"/>
              </w:rPr>
            </w:pPr>
            <w:r w:rsidRPr="00223463">
              <w:rPr>
                <w:rFonts w:eastAsia="MS Mincho" w:cstheme="minorHAnsi"/>
              </w:rPr>
              <w:t>Diagnostic and Statistical Manual of DSM-IV-TR diagnostic</w:t>
            </w:r>
            <w:r w:rsidR="005E0482">
              <w:rPr>
                <w:rFonts w:eastAsia="MS Mincho" w:cstheme="minorHAnsi"/>
              </w:rPr>
              <w:t xml:space="preserve"> </w:t>
            </w:r>
            <w:r w:rsidRPr="00223463">
              <w:rPr>
                <w:rFonts w:eastAsia="MS Mincho" w:cstheme="minorHAnsi"/>
              </w:rPr>
              <w:t>criteria for mood disorders including major depressive disorder or bipolar disorder; anxiety disorders</w:t>
            </w:r>
          </w:p>
          <w:p w14:paraId="2FD6CA5A" w14:textId="765CEC26" w:rsidR="0002227D" w:rsidRPr="00223463" w:rsidRDefault="0002227D" w:rsidP="00E5419D">
            <w:pPr>
              <w:pStyle w:val="Tablewriting"/>
              <w:keepNext/>
              <w:rPr>
                <w:rFonts w:eastAsia="MS Mincho" w:cstheme="minorHAnsi"/>
              </w:rPr>
            </w:pPr>
            <w:r w:rsidRPr="00223463">
              <w:rPr>
                <w:rFonts w:eastAsia="MS Mincho" w:cstheme="minorHAnsi"/>
              </w:rPr>
              <w:t>including panic disorder, with or without agoraphobia, post-traumatic stress disorder, obsessive-</w:t>
            </w:r>
            <w:r w:rsidR="005E0482">
              <w:rPr>
                <w:rFonts w:eastAsia="MS Mincho" w:cstheme="minorHAnsi"/>
              </w:rPr>
              <w:t xml:space="preserve"> </w:t>
            </w:r>
            <w:r w:rsidRPr="00223463">
              <w:rPr>
                <w:rFonts w:eastAsia="MS Mincho" w:cstheme="minorHAnsi"/>
              </w:rPr>
              <w:t>compulsive disorder, social phobia, and generalized anxiety disorder; psychotic disorders including</w:t>
            </w:r>
          </w:p>
          <w:p w14:paraId="5E1DA1E8" w14:textId="77777777" w:rsidR="0002227D" w:rsidRPr="00223463" w:rsidRDefault="0002227D" w:rsidP="00E5419D">
            <w:pPr>
              <w:pStyle w:val="Tablewriting"/>
              <w:keepNext/>
              <w:rPr>
                <w:rFonts w:eastAsia="MS Mincho" w:cstheme="minorHAnsi"/>
              </w:rPr>
            </w:pPr>
            <w:r w:rsidRPr="00223463">
              <w:rPr>
                <w:rFonts w:eastAsia="MS Mincho" w:cstheme="minorHAnsi"/>
              </w:rPr>
              <w:t>schizophrenia and schizoaffective disorders; or borderline personality disorder. Participants in the</w:t>
            </w:r>
          </w:p>
          <w:p w14:paraId="31D91880" w14:textId="77777777" w:rsidR="0002227D" w:rsidRPr="00223463" w:rsidRDefault="0002227D" w:rsidP="00E5419D">
            <w:pPr>
              <w:pStyle w:val="Tablewriting"/>
              <w:keepNext/>
              <w:rPr>
                <w:rFonts w:eastAsia="MS Mincho" w:cstheme="minorHAnsi"/>
              </w:rPr>
            </w:pPr>
            <w:r w:rsidRPr="00223463">
              <w:rPr>
                <w:rFonts w:eastAsia="MS Mincho" w:cstheme="minorHAnsi"/>
              </w:rPr>
              <w:t>non-psychiatric cohort had no confirmed history of DSM-IV-TR Axis I or II disorders.</w:t>
            </w:r>
          </w:p>
        </w:tc>
        <w:tc>
          <w:tcPr>
            <w:tcW w:w="1260" w:type="pct"/>
            <w:shd w:val="clear" w:color="auto" w:fill="auto"/>
          </w:tcPr>
          <w:p w14:paraId="708DAA75" w14:textId="77777777"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Bupropion sustained release and placebo varenicline and placebo nicotine patch (150 mg twice a day for 12 weeks)</w:t>
            </w:r>
          </w:p>
          <w:p w14:paraId="05D1410B" w14:textId="77777777"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Varenicline and placebo bupropion sustained release and placebo nicotine patch (1 mg twice a day for 12 weeks)</w:t>
            </w:r>
          </w:p>
          <w:p w14:paraId="47B90442" w14:textId="77777777"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Transdermal nicotine patch and placebo varenicline and placebo bupropion sustained release (21 mg per day with taper for 12 weeks)</w:t>
            </w:r>
          </w:p>
          <w:p w14:paraId="1FE539D6" w14:textId="17D7C036" w:rsidR="0002227D" w:rsidRPr="00223463" w:rsidRDefault="0002227D" w:rsidP="00C324F3">
            <w:pPr>
              <w:pStyle w:val="Tablewriting"/>
              <w:keepNext/>
              <w:numPr>
                <w:ilvl w:val="0"/>
                <w:numId w:val="9"/>
              </w:numPr>
              <w:rPr>
                <w:rFonts w:eastAsia="MS Mincho" w:cstheme="minorHAnsi"/>
              </w:rPr>
            </w:pPr>
            <w:r w:rsidRPr="00223463">
              <w:rPr>
                <w:rFonts w:eastAsia="MS Mincho" w:cstheme="minorHAnsi"/>
              </w:rPr>
              <w:t>Placebo bupropion sustained release and placebo varenicline and placebo nicotine patch for 12 weeks</w:t>
            </w:r>
          </w:p>
          <w:p w14:paraId="37E882C3" w14:textId="77777777" w:rsidR="0002227D" w:rsidRPr="00223463" w:rsidRDefault="0002227D" w:rsidP="00E5419D">
            <w:pPr>
              <w:pStyle w:val="Tablewriting"/>
              <w:keepNext/>
              <w:rPr>
                <w:rFonts w:eastAsia="MS Mincho" w:cstheme="minorHAnsi"/>
              </w:rPr>
            </w:pPr>
          </w:p>
          <w:p w14:paraId="40BB0261" w14:textId="64E09C44"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smoking cessation counselling consisting of 10-minute sessions at each of the</w:t>
            </w:r>
            <w:r w:rsidR="00A17B14">
              <w:rPr>
                <w:rFonts w:eastAsia="MS Mincho" w:cstheme="minorHAnsi"/>
              </w:rPr>
              <w:t xml:space="preserve"> </w:t>
            </w:r>
            <w:r w:rsidRPr="00223463">
              <w:rPr>
                <w:rFonts w:eastAsia="MS Mincho" w:cstheme="minorHAnsi"/>
              </w:rPr>
              <w:t>15 clinic visits, totalling 2 hours and 30 minutes</w:t>
            </w:r>
            <w:r w:rsidR="00A17B14">
              <w:rPr>
                <w:rFonts w:eastAsia="MS Mincho" w:cstheme="minorHAnsi"/>
              </w:rPr>
              <w:t>.</w:t>
            </w:r>
          </w:p>
        </w:tc>
        <w:tc>
          <w:tcPr>
            <w:tcW w:w="872" w:type="pct"/>
            <w:shd w:val="clear" w:color="auto" w:fill="auto"/>
            <w:tcMar>
              <w:left w:w="28" w:type="dxa"/>
              <w:right w:w="28" w:type="dxa"/>
            </w:tcMar>
          </w:tcPr>
          <w:p w14:paraId="64EF665A" w14:textId="4E9686E2" w:rsidR="0002227D" w:rsidRPr="00223463" w:rsidRDefault="0002227D" w:rsidP="00E5419D">
            <w:pPr>
              <w:pStyle w:val="Tablewriting"/>
              <w:keepNext/>
              <w:rPr>
                <w:rFonts w:eastAsia="MS Mincho" w:cstheme="minorHAnsi"/>
              </w:rPr>
            </w:pPr>
            <w:r w:rsidRPr="00223463">
              <w:rPr>
                <w:rFonts w:eastAsia="MS Mincho" w:cstheme="minorHAnsi"/>
                <w:u w:val="single"/>
              </w:rPr>
              <w:t>Efficacy:</w:t>
            </w:r>
            <w:r w:rsidRPr="00223463">
              <w:rPr>
                <w:rFonts w:eastAsia="MS Mincho" w:cstheme="minorHAnsi"/>
              </w:rPr>
              <w:t xml:space="preserve"> continuous abstinence from week 9 to week 24 post-quit date (validated by CO</w:t>
            </w:r>
            <w:r w:rsidR="00310437">
              <w:rPr>
                <w:rFonts w:eastAsia="MS Mincho" w:cstheme="minorHAnsi"/>
              </w:rPr>
              <w:t xml:space="preserve"> </w:t>
            </w:r>
            <w:r w:rsidR="000B6AB4" w:rsidRPr="00D96BA4">
              <w:rPr>
                <w:rFonts w:eastAsia="MS Mincho"/>
              </w:rPr>
              <w:t>≤</w:t>
            </w:r>
            <w:r w:rsidRPr="00223463">
              <w:rPr>
                <w:rFonts w:eastAsia="MS Mincho" w:cstheme="minorHAnsi"/>
              </w:rPr>
              <w:t xml:space="preserve"> 10 ppm)</w:t>
            </w:r>
          </w:p>
          <w:p w14:paraId="4F367013"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Safety:</w:t>
            </w:r>
            <w:r w:rsidRPr="00223463">
              <w:rPr>
                <w:rFonts w:eastAsia="MS Mincho" w:cstheme="minorHAnsi"/>
              </w:rPr>
              <w:t xml:space="preserve"> measured within 12-week treatment period, or for 30 days thereafter</w:t>
            </w:r>
          </w:p>
        </w:tc>
      </w:tr>
      <w:tr w:rsidR="00A31D77" w:rsidRPr="00223463" w14:paraId="0737A2D8" w14:textId="77777777" w:rsidTr="00EA7016">
        <w:trPr>
          <w:trHeight w:val="149"/>
        </w:trPr>
        <w:tc>
          <w:tcPr>
            <w:tcW w:w="483" w:type="pct"/>
            <w:tcMar>
              <w:left w:w="28" w:type="dxa"/>
              <w:right w:w="28" w:type="dxa"/>
            </w:tcMar>
          </w:tcPr>
          <w:p w14:paraId="259B7994" w14:textId="084542A9" w:rsidR="0002227D" w:rsidRPr="00223463" w:rsidRDefault="0002227D" w:rsidP="00E5419D">
            <w:pPr>
              <w:pStyle w:val="Tablewriting"/>
              <w:keepNext/>
              <w:rPr>
                <w:rFonts w:eastAsia="MS Mincho" w:cstheme="minorHAnsi"/>
              </w:rPr>
            </w:pPr>
            <w:r w:rsidRPr="00AD265F">
              <w:rPr>
                <w:rFonts w:eastAsia="MS Mincho" w:cstheme="minorHAnsi"/>
              </w:rPr>
              <w:t xml:space="preserve">Gariti </w:t>
            </w:r>
            <w:r w:rsidR="0065538B" w:rsidRPr="00AD265F">
              <w:rPr>
                <w:rFonts w:eastAsia="MS Mincho" w:cstheme="minorHAnsi"/>
              </w:rPr>
              <w:t>(</w:t>
            </w:r>
            <w:r w:rsidRPr="00AD265F">
              <w:rPr>
                <w:rFonts w:eastAsia="MS Mincho" w:cstheme="minorHAnsi"/>
              </w:rPr>
              <w:t>2009</w:t>
            </w:r>
            <w:r w:rsidR="0065538B" w:rsidRPr="00AD265F">
              <w:rPr>
                <w:rFonts w:eastAsia="MS Mincho" w:cstheme="minorHAnsi"/>
              </w:rPr>
              <w:t>)</w:t>
            </w:r>
          </w:p>
        </w:tc>
        <w:tc>
          <w:tcPr>
            <w:tcW w:w="255" w:type="pct"/>
          </w:tcPr>
          <w:p w14:paraId="5893F03E" w14:textId="77777777"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14:paraId="3E744D52" w14:textId="77777777" w:rsidR="0002227D" w:rsidRPr="00223463" w:rsidRDefault="0002227D" w:rsidP="00E5419D">
            <w:pPr>
              <w:pStyle w:val="Tablewriting"/>
              <w:keepNext/>
              <w:rPr>
                <w:rFonts w:eastAsia="MS Mincho" w:cstheme="minorHAnsi"/>
              </w:rPr>
            </w:pPr>
            <w:r>
              <w:rPr>
                <w:rFonts w:eastAsia="MS Mincho" w:cstheme="minorHAnsi"/>
              </w:rPr>
              <w:t>USA</w:t>
            </w:r>
          </w:p>
        </w:tc>
        <w:tc>
          <w:tcPr>
            <w:tcW w:w="387" w:type="pct"/>
            <w:tcMar>
              <w:left w:w="28" w:type="dxa"/>
              <w:right w:w="28" w:type="dxa"/>
            </w:tcMar>
          </w:tcPr>
          <w:p w14:paraId="0EC7119E" w14:textId="77777777" w:rsidR="0002227D" w:rsidRPr="00223463" w:rsidRDefault="0002227D" w:rsidP="00E5419D">
            <w:pPr>
              <w:pStyle w:val="Tablewriting"/>
              <w:keepNext/>
              <w:rPr>
                <w:rFonts w:eastAsia="MS Mincho" w:cstheme="minorHAnsi"/>
              </w:rPr>
            </w:pPr>
            <w:r>
              <w:rPr>
                <w:rFonts w:eastAsia="MS Mincho" w:cstheme="minorHAnsi"/>
              </w:rPr>
              <w:t>N=260</w:t>
            </w:r>
          </w:p>
        </w:tc>
        <w:tc>
          <w:tcPr>
            <w:tcW w:w="1307" w:type="pct"/>
            <w:tcMar>
              <w:left w:w="28" w:type="dxa"/>
              <w:right w:w="28" w:type="dxa"/>
            </w:tcMar>
          </w:tcPr>
          <w:p w14:paraId="05FB912D" w14:textId="0E4044EA" w:rsidR="0002227D" w:rsidRPr="004C7597" w:rsidRDefault="0002227D" w:rsidP="00E5419D">
            <w:pPr>
              <w:pStyle w:val="Tablewriting"/>
              <w:keepNext/>
              <w:rPr>
                <w:rFonts w:eastAsia="MS Mincho" w:cstheme="minorHAnsi"/>
              </w:rPr>
            </w:pPr>
            <w:r>
              <w:rPr>
                <w:rFonts w:eastAsia="MS Mincho" w:cstheme="minorHAnsi"/>
              </w:rPr>
              <w:t>L</w:t>
            </w:r>
            <w:r w:rsidRPr="004C7597">
              <w:rPr>
                <w:rFonts w:eastAsia="MS Mincho" w:cstheme="minorHAnsi"/>
              </w:rPr>
              <w:t>ight smokers (6-15 cigarettes per day) motivated to quit</w:t>
            </w:r>
            <w:r w:rsidR="00060E7D">
              <w:rPr>
                <w:rFonts w:eastAsia="MS Mincho" w:cstheme="minorHAnsi"/>
              </w:rPr>
              <w:t>,</w:t>
            </w:r>
            <w:r w:rsidRPr="004C7597">
              <w:rPr>
                <w:rFonts w:eastAsia="MS Mincho" w:cstheme="minorHAnsi"/>
              </w:rPr>
              <w:t xml:space="preserve"> 57% female, average age 54</w:t>
            </w:r>
            <w:r w:rsidR="00060E7D">
              <w:rPr>
                <w:rFonts w:eastAsia="MS Mincho" w:cstheme="minorHAnsi"/>
              </w:rPr>
              <w:t>,</w:t>
            </w:r>
            <w:r w:rsidRPr="004C7597">
              <w:rPr>
                <w:rFonts w:eastAsia="MS Mincho" w:cstheme="minorHAnsi"/>
              </w:rPr>
              <w:t xml:space="preserve"> average cigarettes</w:t>
            </w:r>
          </w:p>
          <w:p w14:paraId="1EFD165C" w14:textId="721B34A1" w:rsidR="0002227D" w:rsidRPr="00223463" w:rsidRDefault="0002227D" w:rsidP="00E5419D">
            <w:pPr>
              <w:pStyle w:val="Tablewriting"/>
              <w:keepNext/>
              <w:rPr>
                <w:rFonts w:eastAsia="MS Mincho" w:cstheme="minorHAnsi"/>
              </w:rPr>
            </w:pPr>
            <w:r w:rsidRPr="004C7597">
              <w:rPr>
                <w:rFonts w:eastAsia="MS Mincho" w:cstheme="minorHAnsi"/>
              </w:rPr>
              <w:t>per day 11</w:t>
            </w:r>
            <w:r w:rsidR="00060E7D">
              <w:rPr>
                <w:rFonts w:eastAsia="MS Mincho" w:cstheme="minorHAnsi"/>
              </w:rPr>
              <w:t>,</w:t>
            </w:r>
            <w:r w:rsidRPr="004C7597">
              <w:rPr>
                <w:rFonts w:eastAsia="MS Mincho" w:cstheme="minorHAnsi"/>
              </w:rPr>
              <w:t xml:space="preserve"> average FTND 4</w:t>
            </w:r>
          </w:p>
        </w:tc>
        <w:tc>
          <w:tcPr>
            <w:tcW w:w="1260" w:type="pct"/>
          </w:tcPr>
          <w:p w14:paraId="6E4F84EF" w14:textId="77777777"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placebo patch. Bupropion for 9 weeks. Patch for 8 weeks. 10 weeks individualized</w:t>
            </w:r>
            <w:r>
              <w:rPr>
                <w:rFonts w:eastAsia="MS Mincho" w:cstheme="minorHAnsi"/>
              </w:rPr>
              <w:t xml:space="preserve"> </w:t>
            </w:r>
            <w:r w:rsidRPr="004C7597">
              <w:rPr>
                <w:rFonts w:eastAsia="MS Mincho" w:cstheme="minorHAnsi"/>
              </w:rPr>
              <w:t>counselling sessions</w:t>
            </w:r>
          </w:p>
          <w:p w14:paraId="7BABC9E5" w14:textId="77777777"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placebo patch. Bupropion for 9 weeks. Patch for 8 weeks. Four 5-10 minutes counselling</w:t>
            </w:r>
            <w:r>
              <w:rPr>
                <w:rFonts w:eastAsia="MS Mincho" w:cstheme="minorHAnsi"/>
              </w:rPr>
              <w:t xml:space="preserve"> </w:t>
            </w:r>
            <w:r w:rsidRPr="004C7597">
              <w:rPr>
                <w:rFonts w:eastAsia="MS Mincho" w:cstheme="minorHAnsi"/>
              </w:rPr>
              <w:t>sessions</w:t>
            </w:r>
          </w:p>
          <w:p w14:paraId="086D46D0" w14:textId="77777777" w:rsidR="0002227D" w:rsidRDefault="0002227D" w:rsidP="00C324F3">
            <w:pPr>
              <w:pStyle w:val="Tablewriting"/>
              <w:keepNext/>
              <w:numPr>
                <w:ilvl w:val="0"/>
                <w:numId w:val="56"/>
              </w:numPr>
              <w:rPr>
                <w:rFonts w:eastAsia="MS Mincho" w:cstheme="minorHAnsi"/>
              </w:rPr>
            </w:pPr>
            <w:r w:rsidRPr="004C7597">
              <w:rPr>
                <w:rFonts w:eastAsia="MS Mincho" w:cstheme="minorHAnsi"/>
              </w:rPr>
              <w:t>Bupropion SR and nicotine patch. Bupropion for 9 weeks. Patch for 8 weeks. 10 weeks individualized</w:t>
            </w:r>
            <w:r>
              <w:rPr>
                <w:rFonts w:eastAsia="MS Mincho" w:cstheme="minorHAnsi"/>
              </w:rPr>
              <w:t xml:space="preserve"> </w:t>
            </w:r>
            <w:r w:rsidRPr="004C7597">
              <w:rPr>
                <w:rFonts w:eastAsia="MS Mincho" w:cstheme="minorHAnsi"/>
              </w:rPr>
              <w:t>counselling sessions</w:t>
            </w:r>
          </w:p>
          <w:p w14:paraId="63424D56" w14:textId="2EF7D443" w:rsidR="0002227D" w:rsidRPr="004C7597" w:rsidRDefault="0002227D" w:rsidP="00C324F3">
            <w:pPr>
              <w:pStyle w:val="Tablewriting"/>
              <w:keepNext/>
              <w:numPr>
                <w:ilvl w:val="0"/>
                <w:numId w:val="56"/>
              </w:numPr>
              <w:rPr>
                <w:rFonts w:eastAsia="MS Mincho" w:cstheme="minorHAnsi"/>
              </w:rPr>
            </w:pPr>
            <w:r w:rsidRPr="004C7597">
              <w:rPr>
                <w:rFonts w:eastAsia="MS Mincho" w:cstheme="minorHAnsi"/>
              </w:rPr>
              <w:lastRenderedPageBreak/>
              <w:t>Bupropion SR and nicotine patch. Bupropion for 9 weeks. Patch for 8 weeks. Four 5-10 minutes</w:t>
            </w:r>
            <w:r w:rsidR="00830CFB">
              <w:rPr>
                <w:rFonts w:eastAsia="MS Mincho" w:cstheme="minorHAnsi"/>
              </w:rPr>
              <w:t xml:space="preserve"> </w:t>
            </w:r>
            <w:r w:rsidRPr="004C7597">
              <w:rPr>
                <w:rFonts w:eastAsia="MS Mincho" w:cstheme="minorHAnsi"/>
              </w:rPr>
              <w:t>counselling</w:t>
            </w:r>
            <w:r>
              <w:rPr>
                <w:rFonts w:eastAsia="MS Mincho" w:cstheme="minorHAnsi"/>
              </w:rPr>
              <w:t xml:space="preserve"> </w:t>
            </w:r>
            <w:r w:rsidRPr="004C7597">
              <w:rPr>
                <w:rFonts w:eastAsia="MS Mincho" w:cstheme="minorHAnsi"/>
              </w:rPr>
              <w:t>sessions</w:t>
            </w:r>
          </w:p>
        </w:tc>
        <w:tc>
          <w:tcPr>
            <w:tcW w:w="872" w:type="pct"/>
            <w:tcMar>
              <w:left w:w="28" w:type="dxa"/>
              <w:right w:w="28" w:type="dxa"/>
            </w:tcMar>
          </w:tcPr>
          <w:p w14:paraId="019DC9CB" w14:textId="023CAEBC" w:rsidR="0002227D" w:rsidRPr="004C7597" w:rsidRDefault="0002227D" w:rsidP="00E5419D">
            <w:pPr>
              <w:pStyle w:val="Tablewriting"/>
              <w:keepNext/>
              <w:rPr>
                <w:rFonts w:eastAsia="MS Mincho" w:cstheme="minorHAnsi"/>
              </w:rPr>
            </w:pPr>
            <w:r w:rsidRPr="004C7597">
              <w:rPr>
                <w:rFonts w:eastAsia="MS Mincho" w:cstheme="minorHAnsi"/>
                <w:u w:val="single"/>
              </w:rPr>
              <w:lastRenderedPageBreak/>
              <w:t>Efficacy:</w:t>
            </w:r>
            <w:r w:rsidRPr="004C7597">
              <w:rPr>
                <w:rFonts w:eastAsia="MS Mincho" w:cstheme="minorHAnsi"/>
              </w:rPr>
              <w:t xml:space="preserve"> 7-day </w:t>
            </w:r>
            <w:r w:rsidR="00060E7D">
              <w:rPr>
                <w:rFonts w:eastAsia="MS Mincho" w:cstheme="minorHAnsi"/>
              </w:rPr>
              <w:t>PPA</w:t>
            </w:r>
            <w:r w:rsidRPr="004C7597">
              <w:rPr>
                <w:rFonts w:eastAsia="MS Mincho" w:cstheme="minorHAnsi"/>
              </w:rPr>
              <w:t xml:space="preserve"> at 12 months. Validated by CO &lt; 10 ppm;</w:t>
            </w:r>
            <w:r>
              <w:rPr>
                <w:rFonts w:eastAsia="MS Mincho" w:cstheme="minorHAnsi"/>
              </w:rPr>
              <w:t xml:space="preserve"> </w:t>
            </w:r>
            <w:r w:rsidRPr="004C7597">
              <w:rPr>
                <w:rFonts w:eastAsia="MS Mincho" w:cstheme="minorHAnsi"/>
              </w:rPr>
              <w:t>urinary cotinine &lt; 200 ng/mL</w:t>
            </w:r>
          </w:p>
          <w:p w14:paraId="1D53134A" w14:textId="77777777" w:rsidR="0002227D" w:rsidRPr="00223463" w:rsidRDefault="0002227D" w:rsidP="00E5419D">
            <w:pPr>
              <w:pStyle w:val="Tablewriting"/>
              <w:keepNext/>
              <w:rPr>
                <w:rFonts w:eastAsia="MS Mincho" w:cstheme="minorHAnsi"/>
              </w:rPr>
            </w:pPr>
            <w:r w:rsidRPr="004C7597">
              <w:rPr>
                <w:rFonts w:eastAsia="MS Mincho" w:cstheme="minorHAnsi"/>
                <w:u w:val="single"/>
              </w:rPr>
              <w:t>Safety:</w:t>
            </w:r>
            <w:r>
              <w:rPr>
                <w:rFonts w:eastAsia="MS Mincho" w:cstheme="minorHAnsi"/>
              </w:rPr>
              <w:t xml:space="preserve"> a</w:t>
            </w:r>
            <w:r w:rsidRPr="004C7597">
              <w:rPr>
                <w:rFonts w:eastAsia="MS Mincho" w:cstheme="minorHAnsi"/>
              </w:rPr>
              <w:t>dverse events: measured for unspecified period</w:t>
            </w:r>
          </w:p>
        </w:tc>
      </w:tr>
      <w:tr w:rsidR="00A31D77" w:rsidRPr="00223463" w14:paraId="320A99A9" w14:textId="77777777" w:rsidTr="00EA7016">
        <w:trPr>
          <w:trHeight w:val="149"/>
        </w:trPr>
        <w:tc>
          <w:tcPr>
            <w:tcW w:w="483" w:type="pct"/>
            <w:tcMar>
              <w:left w:w="28" w:type="dxa"/>
              <w:right w:w="28" w:type="dxa"/>
            </w:tcMar>
          </w:tcPr>
          <w:p w14:paraId="7C6EE709" w14:textId="7A3125DD" w:rsidR="0002227D" w:rsidRPr="00223463" w:rsidRDefault="0002227D" w:rsidP="00E5419D">
            <w:pPr>
              <w:pStyle w:val="Tablewriting"/>
              <w:keepNext/>
              <w:rPr>
                <w:rFonts w:eastAsia="MS Mincho" w:cstheme="minorHAnsi"/>
              </w:rPr>
            </w:pPr>
            <w:r w:rsidRPr="00223463">
              <w:rPr>
                <w:rFonts w:eastAsia="MS Mincho" w:cstheme="minorHAnsi"/>
              </w:rPr>
              <w:t xml:space="preserve">Gilbert </w:t>
            </w:r>
            <w:r w:rsidR="0065538B">
              <w:rPr>
                <w:rFonts w:eastAsia="MS Mincho" w:cstheme="minorHAnsi"/>
              </w:rPr>
              <w:t>(</w:t>
            </w:r>
            <w:r w:rsidRPr="00223463">
              <w:rPr>
                <w:rFonts w:eastAsia="MS Mincho" w:cstheme="minorHAnsi"/>
              </w:rPr>
              <w:t>2019</w:t>
            </w:r>
            <w:r w:rsidR="0065538B">
              <w:rPr>
                <w:rFonts w:eastAsia="MS Mincho" w:cstheme="minorHAnsi"/>
              </w:rPr>
              <w:t>)</w:t>
            </w:r>
          </w:p>
        </w:tc>
        <w:tc>
          <w:tcPr>
            <w:tcW w:w="255" w:type="pct"/>
          </w:tcPr>
          <w:p w14:paraId="45A22D0F" w14:textId="77777777"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14:paraId="79A76027" w14:textId="77777777" w:rsidR="0002227D" w:rsidRPr="00223463" w:rsidRDefault="0002227D" w:rsidP="00E5419D">
            <w:pPr>
              <w:pStyle w:val="Tablewriting"/>
              <w:keepNext/>
              <w:rPr>
                <w:rFonts w:eastAsia="MS Mincho" w:cstheme="minorHAnsi"/>
              </w:rPr>
            </w:pPr>
            <w:r w:rsidRPr="00223463">
              <w:rPr>
                <w:rFonts w:eastAsia="MS Mincho" w:cstheme="minorHAnsi"/>
              </w:rPr>
              <w:t>USA</w:t>
            </w:r>
          </w:p>
        </w:tc>
        <w:tc>
          <w:tcPr>
            <w:tcW w:w="387" w:type="pct"/>
            <w:tcMar>
              <w:left w:w="28" w:type="dxa"/>
              <w:right w:w="28" w:type="dxa"/>
            </w:tcMar>
          </w:tcPr>
          <w:p w14:paraId="2520B1DA" w14:textId="77777777" w:rsidR="0002227D" w:rsidRPr="00223463" w:rsidRDefault="0002227D" w:rsidP="00E5419D">
            <w:pPr>
              <w:pStyle w:val="Tablewriting"/>
              <w:keepNext/>
              <w:rPr>
                <w:rFonts w:eastAsia="MS Mincho" w:cstheme="minorHAnsi"/>
              </w:rPr>
            </w:pPr>
            <w:r w:rsidRPr="00223463">
              <w:rPr>
                <w:rFonts w:eastAsia="MS Mincho" w:cstheme="minorHAnsi"/>
              </w:rPr>
              <w:t>N=105</w:t>
            </w:r>
          </w:p>
        </w:tc>
        <w:tc>
          <w:tcPr>
            <w:tcW w:w="1307" w:type="pct"/>
            <w:tcMar>
              <w:left w:w="28" w:type="dxa"/>
              <w:right w:w="28" w:type="dxa"/>
            </w:tcMar>
          </w:tcPr>
          <w:p w14:paraId="7253D16F" w14:textId="743FB23C" w:rsidR="0002227D" w:rsidRPr="00223463" w:rsidRDefault="0002227D" w:rsidP="00E5419D">
            <w:pPr>
              <w:pStyle w:val="Tablewriting"/>
              <w:keepNext/>
              <w:rPr>
                <w:rFonts w:eastAsia="MS Mincho" w:cstheme="minorHAnsi"/>
              </w:rPr>
            </w:pPr>
            <w:r w:rsidRPr="00223463">
              <w:rPr>
                <w:rFonts w:eastAsia="MS Mincho" w:cstheme="minorHAnsi"/>
              </w:rPr>
              <w:t>42% female</w:t>
            </w:r>
            <w:r w:rsidR="00060E7D">
              <w:rPr>
                <w:rFonts w:eastAsia="MS Mincho" w:cstheme="minorHAnsi"/>
              </w:rPr>
              <w:t>,</w:t>
            </w:r>
            <w:r w:rsidRPr="00223463">
              <w:rPr>
                <w:rFonts w:eastAsia="MS Mincho" w:cstheme="minorHAnsi"/>
              </w:rPr>
              <w:t xml:space="preserve"> average age 26.4</w:t>
            </w:r>
            <w:r w:rsidR="00060E7D">
              <w:rPr>
                <w:rFonts w:eastAsia="MS Mincho" w:cstheme="minorHAnsi"/>
              </w:rPr>
              <w:t>,</w:t>
            </w:r>
            <w:r w:rsidRPr="00223463">
              <w:rPr>
                <w:rFonts w:eastAsia="MS Mincho" w:cstheme="minorHAnsi"/>
              </w:rPr>
              <w:t xml:space="preserve"> average cigarettes per day 17.9, mean FTND</w:t>
            </w:r>
          </w:p>
          <w:p w14:paraId="149675FB" w14:textId="77777777" w:rsidR="0002227D" w:rsidRPr="00223463" w:rsidRDefault="0002227D" w:rsidP="00E5419D">
            <w:pPr>
              <w:pStyle w:val="Tablewriting"/>
              <w:keepNext/>
              <w:rPr>
                <w:rFonts w:eastAsia="MS Mincho" w:cstheme="minorHAnsi"/>
              </w:rPr>
            </w:pPr>
            <w:r w:rsidRPr="00223463">
              <w:rPr>
                <w:rFonts w:eastAsia="MS Mincho" w:cstheme="minorHAnsi"/>
              </w:rPr>
              <w:t>4.2</w:t>
            </w:r>
          </w:p>
        </w:tc>
        <w:tc>
          <w:tcPr>
            <w:tcW w:w="1260" w:type="pct"/>
          </w:tcPr>
          <w:p w14:paraId="6B38CBF6" w14:textId="77777777"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Bupropion SR and placebo nicotine patch. 150 mg pill once daily for 3 days, then twice daily for 56 days, then once daily for three days. Placebo nicotine patch schedule given below</w:t>
            </w:r>
          </w:p>
          <w:p w14:paraId="7CF59BE4" w14:textId="77777777"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Nicotine patch and placebo bupropion. Beginning on first day of cessation: 21 mg for 24 days, 14 mg for 14 days, then 7 mg for 7 days. Placebo bupropion schedule as given above</w:t>
            </w:r>
          </w:p>
          <w:p w14:paraId="756A8006" w14:textId="77777777" w:rsidR="0002227D" w:rsidRPr="00223463" w:rsidRDefault="0002227D" w:rsidP="00C324F3">
            <w:pPr>
              <w:pStyle w:val="Tablewriting"/>
              <w:keepNext/>
              <w:numPr>
                <w:ilvl w:val="0"/>
                <w:numId w:val="23"/>
              </w:numPr>
              <w:rPr>
                <w:rFonts w:eastAsia="MS Mincho" w:cstheme="minorHAnsi"/>
              </w:rPr>
            </w:pPr>
            <w:r w:rsidRPr="00223463">
              <w:rPr>
                <w:rFonts w:eastAsia="MS Mincho" w:cstheme="minorHAnsi"/>
              </w:rPr>
              <w:t>Matched placebos, according to the schedules given above</w:t>
            </w:r>
          </w:p>
          <w:p w14:paraId="11BE4C4F" w14:textId="77777777" w:rsidR="0002227D" w:rsidRPr="00223463" w:rsidRDefault="0002227D" w:rsidP="00E5419D">
            <w:pPr>
              <w:pStyle w:val="Tablewriting"/>
              <w:keepNext/>
              <w:rPr>
                <w:rFonts w:eastAsia="MS Mincho" w:cstheme="minorHAnsi"/>
              </w:rPr>
            </w:pPr>
          </w:p>
          <w:p w14:paraId="4C823C5A"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an abbreviated form of the American Lung Association smoking cessation program</w:t>
            </w:r>
          </w:p>
        </w:tc>
        <w:tc>
          <w:tcPr>
            <w:tcW w:w="872" w:type="pct"/>
            <w:tcMar>
              <w:left w:w="28" w:type="dxa"/>
              <w:right w:w="28" w:type="dxa"/>
            </w:tcMar>
          </w:tcPr>
          <w:p w14:paraId="3B5237BD"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Efficacy:</w:t>
            </w:r>
            <w:r w:rsidRPr="00223463">
              <w:rPr>
                <w:rFonts w:eastAsia="MS Mincho" w:cstheme="minorHAnsi"/>
              </w:rPr>
              <w:t xml:space="preserve"> prolonged abstinence at 12 months. Validation method not specified</w:t>
            </w:r>
          </w:p>
          <w:p w14:paraId="5C312ED7"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 xml:space="preserve">Safety: </w:t>
            </w:r>
            <w:r w:rsidRPr="00223463">
              <w:rPr>
                <w:rFonts w:eastAsia="MS Mincho" w:cstheme="minorHAnsi"/>
              </w:rPr>
              <w:t>measured for 62 days</w:t>
            </w:r>
          </w:p>
        </w:tc>
      </w:tr>
      <w:tr w:rsidR="00A31D77" w:rsidRPr="00223463" w14:paraId="39C2F326" w14:textId="77777777" w:rsidTr="00EA7016">
        <w:trPr>
          <w:trHeight w:val="149"/>
        </w:trPr>
        <w:tc>
          <w:tcPr>
            <w:tcW w:w="483" w:type="pct"/>
            <w:tcMar>
              <w:left w:w="28" w:type="dxa"/>
              <w:right w:w="28" w:type="dxa"/>
            </w:tcMar>
          </w:tcPr>
          <w:p w14:paraId="5BB5B4F8" w14:textId="250539B6" w:rsidR="0002227D" w:rsidRPr="00223463" w:rsidRDefault="0002227D" w:rsidP="00E5419D">
            <w:pPr>
              <w:pStyle w:val="Tablewriting"/>
              <w:keepNext/>
              <w:rPr>
                <w:rFonts w:eastAsia="MS Mincho" w:cstheme="minorHAnsi"/>
              </w:rPr>
            </w:pPr>
            <w:r w:rsidRPr="00060E7D">
              <w:rPr>
                <w:rFonts w:eastAsia="MS Mincho" w:cstheme="minorHAnsi"/>
              </w:rPr>
              <w:t xml:space="preserve">Górecka </w:t>
            </w:r>
            <w:r w:rsidR="0065538B" w:rsidRPr="00060E7D">
              <w:rPr>
                <w:rFonts w:eastAsia="MS Mincho" w:cstheme="minorHAnsi"/>
              </w:rPr>
              <w:t>(</w:t>
            </w:r>
            <w:r w:rsidRPr="00060E7D">
              <w:rPr>
                <w:rFonts w:eastAsia="MS Mincho" w:cstheme="minorHAnsi"/>
              </w:rPr>
              <w:t>2003</w:t>
            </w:r>
            <w:r w:rsidR="0065538B" w:rsidRPr="00060E7D">
              <w:rPr>
                <w:rFonts w:eastAsia="MS Mincho" w:cstheme="minorHAnsi"/>
              </w:rPr>
              <w:t>)</w:t>
            </w:r>
          </w:p>
        </w:tc>
        <w:tc>
          <w:tcPr>
            <w:tcW w:w="255" w:type="pct"/>
          </w:tcPr>
          <w:p w14:paraId="64EC805C" w14:textId="77777777"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14:paraId="60052356" w14:textId="77777777" w:rsidR="0002227D" w:rsidRPr="00223463" w:rsidRDefault="0002227D" w:rsidP="00E5419D">
            <w:pPr>
              <w:pStyle w:val="Tablewriting"/>
              <w:keepNext/>
              <w:rPr>
                <w:rFonts w:eastAsia="MS Mincho" w:cstheme="minorHAnsi"/>
              </w:rPr>
            </w:pPr>
            <w:r>
              <w:rPr>
                <w:rFonts w:eastAsia="MS Mincho" w:cstheme="minorHAnsi"/>
              </w:rPr>
              <w:t>Poland</w:t>
            </w:r>
          </w:p>
        </w:tc>
        <w:tc>
          <w:tcPr>
            <w:tcW w:w="387" w:type="pct"/>
            <w:tcMar>
              <w:left w:w="28" w:type="dxa"/>
              <w:right w:w="28" w:type="dxa"/>
            </w:tcMar>
          </w:tcPr>
          <w:p w14:paraId="402972E2" w14:textId="77777777" w:rsidR="0002227D" w:rsidRPr="00223463" w:rsidRDefault="0002227D" w:rsidP="00E5419D">
            <w:pPr>
              <w:pStyle w:val="Tablewriting"/>
              <w:keepNext/>
              <w:rPr>
                <w:rFonts w:eastAsia="MS Mincho" w:cstheme="minorHAnsi"/>
              </w:rPr>
            </w:pPr>
            <w:r>
              <w:rPr>
                <w:rFonts w:eastAsia="MS Mincho" w:cstheme="minorHAnsi"/>
              </w:rPr>
              <w:t>N=70</w:t>
            </w:r>
          </w:p>
        </w:tc>
        <w:tc>
          <w:tcPr>
            <w:tcW w:w="1307" w:type="pct"/>
            <w:tcMar>
              <w:left w:w="28" w:type="dxa"/>
              <w:right w:w="28" w:type="dxa"/>
            </w:tcMar>
          </w:tcPr>
          <w:p w14:paraId="7158941C" w14:textId="7E197311" w:rsidR="0002227D" w:rsidRPr="00223463" w:rsidRDefault="0002227D" w:rsidP="00E5419D">
            <w:pPr>
              <w:pStyle w:val="Tablewriting"/>
              <w:keepNext/>
              <w:rPr>
                <w:rFonts w:eastAsia="MS Mincho" w:cstheme="minorHAnsi"/>
              </w:rPr>
            </w:pPr>
            <w:r>
              <w:rPr>
                <w:rFonts w:eastAsia="MS Mincho" w:cstheme="minorHAnsi"/>
              </w:rPr>
              <w:t>S</w:t>
            </w:r>
            <w:r w:rsidRPr="00820B17">
              <w:rPr>
                <w:rFonts w:eastAsia="MS Mincho" w:cstheme="minorHAnsi"/>
              </w:rPr>
              <w:t>mokers with COPD</w:t>
            </w:r>
            <w:r w:rsidR="001678F6">
              <w:rPr>
                <w:rFonts w:eastAsia="MS Mincho" w:cstheme="minorHAnsi"/>
              </w:rPr>
              <w:t xml:space="preserve">, </w:t>
            </w:r>
            <w:r w:rsidRPr="00820B17">
              <w:rPr>
                <w:rFonts w:eastAsia="MS Mincho" w:cstheme="minorHAnsi"/>
              </w:rPr>
              <w:t>43% female</w:t>
            </w:r>
            <w:r w:rsidR="00060E7D">
              <w:rPr>
                <w:rFonts w:eastAsia="MS Mincho" w:cstheme="minorHAnsi"/>
              </w:rPr>
              <w:t>,</w:t>
            </w:r>
            <w:r w:rsidRPr="00820B17">
              <w:rPr>
                <w:rFonts w:eastAsia="MS Mincho" w:cstheme="minorHAnsi"/>
              </w:rPr>
              <w:t xml:space="preserve"> average age 56</w:t>
            </w:r>
            <w:r w:rsidR="00060E7D">
              <w:rPr>
                <w:rFonts w:eastAsia="MS Mincho" w:cstheme="minorHAnsi"/>
              </w:rPr>
              <w:t xml:space="preserve"> years,</w:t>
            </w:r>
            <w:r w:rsidRPr="00820B17">
              <w:rPr>
                <w:rFonts w:eastAsia="MS Mincho" w:cstheme="minorHAnsi"/>
              </w:rPr>
              <w:t xml:space="preserve"> average cigarettes per day 24</w:t>
            </w:r>
          </w:p>
        </w:tc>
        <w:tc>
          <w:tcPr>
            <w:tcW w:w="1260" w:type="pct"/>
          </w:tcPr>
          <w:p w14:paraId="6E36E4C3" w14:textId="77777777" w:rsidR="0002227D" w:rsidRDefault="0002227D" w:rsidP="00C324F3">
            <w:pPr>
              <w:pStyle w:val="Tablewriting"/>
              <w:keepNext/>
              <w:numPr>
                <w:ilvl w:val="0"/>
                <w:numId w:val="57"/>
              </w:numPr>
              <w:rPr>
                <w:rFonts w:eastAsia="MS Mincho" w:cstheme="minorHAnsi"/>
              </w:rPr>
            </w:pPr>
            <w:r w:rsidRPr="00820B17">
              <w:rPr>
                <w:rFonts w:eastAsia="MS Mincho" w:cstheme="minorHAnsi"/>
              </w:rPr>
              <w:t>Bupropion, 300 mg/day for 7 weeks</w:t>
            </w:r>
          </w:p>
          <w:p w14:paraId="4AF310F0" w14:textId="77777777" w:rsidR="0002227D" w:rsidRPr="00820B17" w:rsidRDefault="0002227D" w:rsidP="00C324F3">
            <w:pPr>
              <w:pStyle w:val="Tablewriting"/>
              <w:keepNext/>
              <w:numPr>
                <w:ilvl w:val="0"/>
                <w:numId w:val="57"/>
              </w:numPr>
              <w:rPr>
                <w:rFonts w:eastAsia="MS Mincho" w:cstheme="minorHAnsi"/>
              </w:rPr>
            </w:pPr>
            <w:r w:rsidRPr="00820B17">
              <w:rPr>
                <w:rFonts w:eastAsia="MS Mincho" w:cstheme="minorHAnsi"/>
              </w:rPr>
              <w:t>Nicotine patch, 15 mg/day for 8 weeks</w:t>
            </w:r>
          </w:p>
          <w:p w14:paraId="69DDAA04" w14:textId="77777777" w:rsidR="0002227D" w:rsidRDefault="0002227D" w:rsidP="00E5419D">
            <w:pPr>
              <w:pStyle w:val="Tablewriting"/>
              <w:keepNext/>
              <w:rPr>
                <w:rFonts w:eastAsia="MS Mincho" w:cstheme="minorHAnsi"/>
              </w:rPr>
            </w:pPr>
          </w:p>
          <w:p w14:paraId="77D04BB1" w14:textId="77777777" w:rsidR="0002227D" w:rsidRPr="00223463" w:rsidRDefault="0002227D" w:rsidP="00E5419D">
            <w:pPr>
              <w:pStyle w:val="Tablewriting"/>
              <w:keepNext/>
              <w:rPr>
                <w:rFonts w:eastAsia="MS Mincho" w:cstheme="minorHAnsi"/>
              </w:rPr>
            </w:pPr>
            <w:r w:rsidRPr="00820B17">
              <w:rPr>
                <w:rFonts w:eastAsia="MS Mincho" w:cstheme="minorHAnsi"/>
                <w:u w:val="single"/>
              </w:rPr>
              <w:t>Common components:</w:t>
            </w:r>
            <w:r w:rsidRPr="00820B17">
              <w:rPr>
                <w:rFonts w:eastAsia="MS Mincho" w:cstheme="minorHAnsi"/>
              </w:rPr>
              <w:t xml:space="preserve"> support at clinic visits at baseline, 2 weeks, EOT</w:t>
            </w:r>
          </w:p>
        </w:tc>
        <w:tc>
          <w:tcPr>
            <w:tcW w:w="872" w:type="pct"/>
            <w:tcMar>
              <w:left w:w="28" w:type="dxa"/>
              <w:right w:w="28" w:type="dxa"/>
            </w:tcMar>
          </w:tcPr>
          <w:p w14:paraId="0CF4C941" w14:textId="77777777" w:rsidR="0002227D" w:rsidRPr="00AD7467" w:rsidRDefault="0002227D" w:rsidP="00E5419D">
            <w:pPr>
              <w:pStyle w:val="Tablewriting"/>
              <w:keepNext/>
              <w:rPr>
                <w:rFonts w:eastAsia="MS Mincho" w:cstheme="minorHAnsi"/>
              </w:rPr>
            </w:pPr>
            <w:r w:rsidRPr="00AD7467">
              <w:rPr>
                <w:rFonts w:eastAsia="MS Mincho" w:cstheme="minorHAnsi"/>
                <w:u w:val="single"/>
              </w:rPr>
              <w:t>Efficacy:</w:t>
            </w:r>
            <w:r w:rsidRPr="00AD7467">
              <w:rPr>
                <w:rFonts w:eastAsia="MS Mincho" w:cstheme="minorHAnsi"/>
              </w:rPr>
              <w:t xml:space="preserve"> sustained abstinence at 1 year. Validated by CO &lt; 10 ppm</w:t>
            </w:r>
          </w:p>
          <w:p w14:paraId="25D97125" w14:textId="77777777" w:rsidR="0002227D" w:rsidRPr="00223463" w:rsidRDefault="0002227D" w:rsidP="00E5419D">
            <w:pPr>
              <w:pStyle w:val="Tablewriting"/>
              <w:keepNext/>
              <w:rPr>
                <w:rFonts w:eastAsia="MS Mincho" w:cstheme="minorHAnsi"/>
              </w:rPr>
            </w:pPr>
            <w:r w:rsidRPr="00AD7467">
              <w:rPr>
                <w:rFonts w:eastAsia="MS Mincho" w:cstheme="minorHAnsi"/>
                <w:u w:val="single"/>
              </w:rPr>
              <w:t>Safety:</w:t>
            </w:r>
            <w:r>
              <w:rPr>
                <w:rFonts w:eastAsia="MS Mincho" w:cstheme="minorHAnsi"/>
              </w:rPr>
              <w:t xml:space="preserve"> a</w:t>
            </w:r>
            <w:r w:rsidRPr="00AD7467">
              <w:rPr>
                <w:rFonts w:eastAsia="MS Mincho" w:cstheme="minorHAnsi"/>
              </w:rPr>
              <w:t>dverse events: period of</w:t>
            </w:r>
            <w:r>
              <w:rPr>
                <w:rFonts w:eastAsia="MS Mincho" w:cstheme="minorHAnsi"/>
              </w:rPr>
              <w:t xml:space="preserve"> </w:t>
            </w:r>
            <w:r w:rsidRPr="00AD7467">
              <w:rPr>
                <w:rFonts w:eastAsia="MS Mincho" w:cstheme="minorHAnsi"/>
              </w:rPr>
              <w:t>measurement unspecified</w:t>
            </w:r>
          </w:p>
        </w:tc>
      </w:tr>
      <w:tr w:rsidR="00A31D77" w:rsidRPr="00223463" w14:paraId="7BEB9026" w14:textId="77777777" w:rsidTr="00EA7016">
        <w:trPr>
          <w:trHeight w:val="149"/>
        </w:trPr>
        <w:tc>
          <w:tcPr>
            <w:tcW w:w="483" w:type="pct"/>
          </w:tcPr>
          <w:p w14:paraId="06F6D4AC" w14:textId="5DC1CCE0" w:rsidR="0002227D" w:rsidRPr="00223463" w:rsidRDefault="0002227D" w:rsidP="00E5419D">
            <w:pPr>
              <w:pStyle w:val="Tablewriting"/>
              <w:keepNext/>
              <w:rPr>
                <w:rFonts w:eastAsia="MS Mincho" w:cstheme="minorHAnsi"/>
              </w:rPr>
            </w:pPr>
            <w:r w:rsidRPr="00223463">
              <w:rPr>
                <w:rFonts w:eastAsia="MS Mincho" w:cstheme="minorHAnsi"/>
              </w:rPr>
              <w:t xml:space="preserve">Jorenby </w:t>
            </w:r>
            <w:r w:rsidR="0065538B">
              <w:rPr>
                <w:rFonts w:eastAsia="MS Mincho" w:cstheme="minorHAnsi"/>
              </w:rPr>
              <w:t>(</w:t>
            </w:r>
            <w:r w:rsidRPr="00223463">
              <w:rPr>
                <w:rFonts w:eastAsia="MS Mincho" w:cstheme="minorHAnsi"/>
              </w:rPr>
              <w:t>1999</w:t>
            </w:r>
            <w:r w:rsidR="0065538B">
              <w:rPr>
                <w:rFonts w:eastAsia="MS Mincho" w:cstheme="minorHAnsi"/>
              </w:rPr>
              <w:t>)</w:t>
            </w:r>
          </w:p>
        </w:tc>
        <w:tc>
          <w:tcPr>
            <w:tcW w:w="255" w:type="pct"/>
          </w:tcPr>
          <w:p w14:paraId="4649721F" w14:textId="77777777" w:rsidR="0002227D" w:rsidRPr="00223463" w:rsidRDefault="0002227D" w:rsidP="00E5419D">
            <w:pPr>
              <w:pStyle w:val="Tablewriting"/>
              <w:keepNext/>
              <w:rPr>
                <w:rFonts w:eastAsia="MS Mincho" w:cstheme="minorHAnsi"/>
              </w:rPr>
            </w:pPr>
            <w:r w:rsidRPr="00223463">
              <w:rPr>
                <w:rFonts w:eastAsia="MS Mincho" w:cstheme="minorHAnsi"/>
              </w:rPr>
              <w:t>RCT</w:t>
            </w:r>
          </w:p>
        </w:tc>
        <w:tc>
          <w:tcPr>
            <w:tcW w:w="436" w:type="pct"/>
          </w:tcPr>
          <w:p w14:paraId="0AABEC7A" w14:textId="77777777" w:rsidR="0002227D" w:rsidRPr="00223463" w:rsidRDefault="0002227D" w:rsidP="00E5419D">
            <w:pPr>
              <w:pStyle w:val="Tablewriting"/>
              <w:keepNext/>
              <w:rPr>
                <w:rFonts w:eastAsia="MS Mincho" w:cstheme="minorHAnsi"/>
              </w:rPr>
            </w:pPr>
            <w:r w:rsidRPr="00223463">
              <w:rPr>
                <w:rFonts w:eastAsia="MS Mincho" w:cstheme="minorHAnsi"/>
              </w:rPr>
              <w:t>USA</w:t>
            </w:r>
          </w:p>
        </w:tc>
        <w:tc>
          <w:tcPr>
            <w:tcW w:w="387" w:type="pct"/>
          </w:tcPr>
          <w:p w14:paraId="009BB64D" w14:textId="77777777" w:rsidR="0002227D" w:rsidRPr="00223463" w:rsidRDefault="0002227D" w:rsidP="00E5419D">
            <w:pPr>
              <w:pStyle w:val="Tablewriting"/>
              <w:keepNext/>
              <w:rPr>
                <w:rFonts w:eastAsia="MS Mincho" w:cstheme="minorHAnsi"/>
              </w:rPr>
            </w:pPr>
            <w:r w:rsidRPr="00223463">
              <w:rPr>
                <w:rFonts w:eastAsia="MS Mincho" w:cstheme="minorHAnsi"/>
              </w:rPr>
              <w:t>N=893</w:t>
            </w:r>
          </w:p>
        </w:tc>
        <w:tc>
          <w:tcPr>
            <w:tcW w:w="1307" w:type="pct"/>
          </w:tcPr>
          <w:p w14:paraId="70AD615D" w14:textId="57DCC011" w:rsidR="0002227D" w:rsidRPr="00223463" w:rsidRDefault="0002227D" w:rsidP="00E5419D">
            <w:pPr>
              <w:pStyle w:val="Tablewriting"/>
              <w:keepNext/>
              <w:rPr>
                <w:rFonts w:eastAsia="MS Mincho" w:cstheme="minorHAnsi"/>
              </w:rPr>
            </w:pPr>
            <w:r w:rsidRPr="00223463">
              <w:rPr>
                <w:rFonts w:eastAsia="MS Mincho" w:cstheme="minorHAnsi"/>
              </w:rPr>
              <w:t>Smokers</w:t>
            </w:r>
            <w:r w:rsidR="00060E7D">
              <w:rPr>
                <w:rFonts w:eastAsia="MS Mincho" w:cstheme="minorHAnsi"/>
              </w:rPr>
              <w:t>,</w:t>
            </w:r>
            <w:r w:rsidRPr="00223463">
              <w:rPr>
                <w:rFonts w:eastAsia="MS Mincho" w:cstheme="minorHAnsi"/>
              </w:rPr>
              <w:t xml:space="preserve"> 52% female</w:t>
            </w:r>
            <w:r w:rsidR="00060E7D">
              <w:rPr>
                <w:rFonts w:eastAsia="MS Mincho" w:cstheme="minorHAnsi"/>
              </w:rPr>
              <w:t>,</w:t>
            </w:r>
            <w:r w:rsidRPr="00223463">
              <w:rPr>
                <w:rFonts w:eastAsia="MS Mincho" w:cstheme="minorHAnsi"/>
              </w:rPr>
              <w:t xml:space="preserve"> average age 43</w:t>
            </w:r>
            <w:r w:rsidR="00060E7D">
              <w:rPr>
                <w:rFonts w:eastAsia="MS Mincho" w:cstheme="minorHAnsi"/>
              </w:rPr>
              <w:t xml:space="preserve"> years,</w:t>
            </w:r>
            <w:r w:rsidRPr="00223463">
              <w:rPr>
                <w:rFonts w:eastAsia="MS Mincho" w:cstheme="minorHAnsi"/>
              </w:rPr>
              <w:t xml:space="preserve"> average cigarettes per day 25</w:t>
            </w:r>
          </w:p>
        </w:tc>
        <w:tc>
          <w:tcPr>
            <w:tcW w:w="1260" w:type="pct"/>
          </w:tcPr>
          <w:p w14:paraId="467D323C" w14:textId="77777777"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Nicotine patch and bupropion SR. Nicotine patch dosing and schedule 24 hr, 21 mg for 6 weeks, tapered for 2 weeks. Bupropion dosing and schedule was 300 mg for 9 weeks from 1 week before quit day</w:t>
            </w:r>
          </w:p>
          <w:p w14:paraId="4BFCFA25" w14:textId="77777777"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Bupropion and placebo patch</w:t>
            </w:r>
          </w:p>
          <w:p w14:paraId="431528D2" w14:textId="77777777"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t>Nicotine patch and placebo tablets</w:t>
            </w:r>
          </w:p>
          <w:p w14:paraId="1DCBCFCA" w14:textId="77777777" w:rsidR="0002227D" w:rsidRPr="00223463" w:rsidRDefault="0002227D" w:rsidP="00C324F3">
            <w:pPr>
              <w:pStyle w:val="Tablewriting"/>
              <w:keepNext/>
              <w:numPr>
                <w:ilvl w:val="0"/>
                <w:numId w:val="31"/>
              </w:numPr>
              <w:rPr>
                <w:rFonts w:eastAsia="MS Mincho" w:cstheme="minorHAnsi"/>
              </w:rPr>
            </w:pPr>
            <w:r w:rsidRPr="00223463">
              <w:rPr>
                <w:rFonts w:eastAsia="MS Mincho" w:cstheme="minorHAnsi"/>
              </w:rPr>
              <w:lastRenderedPageBreak/>
              <w:t>Placebo patch and placebo tablets</w:t>
            </w:r>
          </w:p>
          <w:p w14:paraId="2EEF4782" w14:textId="77777777" w:rsidR="0002227D" w:rsidRPr="00223463" w:rsidRDefault="0002227D" w:rsidP="00E5419D">
            <w:pPr>
              <w:pStyle w:val="Tablewriting"/>
              <w:keepNext/>
              <w:rPr>
                <w:rFonts w:eastAsia="MS Mincho" w:cstheme="minorHAnsi"/>
              </w:rPr>
            </w:pPr>
          </w:p>
          <w:p w14:paraId="2C9718E0"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Common components:</w:t>
            </w:r>
            <w:r w:rsidRPr="00223463">
              <w:rPr>
                <w:rFonts w:eastAsia="MS Mincho" w:cstheme="minorHAnsi"/>
              </w:rPr>
              <w:t xml:space="preserve"> brief (&lt; 15 min) individual counselling session at each weekly assessment. One telephone call 3 days after quit day</w:t>
            </w:r>
          </w:p>
        </w:tc>
        <w:tc>
          <w:tcPr>
            <w:tcW w:w="872" w:type="pct"/>
          </w:tcPr>
          <w:p w14:paraId="3BA20A43" w14:textId="55E7AD4B" w:rsidR="0002227D" w:rsidRPr="00223463" w:rsidRDefault="0002227D" w:rsidP="00E5419D">
            <w:pPr>
              <w:pStyle w:val="Tablewriting"/>
              <w:keepNext/>
              <w:rPr>
                <w:rFonts w:eastAsia="MS Mincho" w:cstheme="minorHAnsi"/>
              </w:rPr>
            </w:pPr>
            <w:r w:rsidRPr="00223463">
              <w:rPr>
                <w:rFonts w:eastAsia="MS Mincho" w:cstheme="minorHAnsi"/>
                <w:u w:val="single"/>
              </w:rPr>
              <w:lastRenderedPageBreak/>
              <w:t>Efficacy:</w:t>
            </w:r>
            <w:r w:rsidRPr="00223463">
              <w:rPr>
                <w:rFonts w:eastAsia="MS Mincho" w:cstheme="minorHAnsi"/>
              </w:rPr>
              <w:t xml:space="preserve"> continuous </w:t>
            </w:r>
            <w:r w:rsidR="009E30D6">
              <w:rPr>
                <w:rFonts w:eastAsia="MS Mincho" w:cstheme="minorHAnsi"/>
              </w:rPr>
              <w:t>PPA</w:t>
            </w:r>
            <w:r w:rsidRPr="00223463">
              <w:rPr>
                <w:rFonts w:eastAsia="MS Mincho" w:cstheme="minorHAnsi"/>
              </w:rPr>
              <w:t xml:space="preserve"> at 12 months. Validated by CO &lt; 10 ppm at each clinic visit</w:t>
            </w:r>
          </w:p>
          <w:p w14:paraId="527091B8" w14:textId="77777777" w:rsidR="0002227D" w:rsidRPr="00223463" w:rsidRDefault="0002227D" w:rsidP="00E5419D">
            <w:pPr>
              <w:pStyle w:val="Tablewriting"/>
              <w:keepNext/>
              <w:rPr>
                <w:rFonts w:eastAsia="MS Mincho" w:cstheme="minorHAnsi"/>
              </w:rPr>
            </w:pPr>
            <w:r w:rsidRPr="00223463">
              <w:rPr>
                <w:rFonts w:eastAsia="MS Mincho" w:cstheme="minorHAnsi"/>
                <w:u w:val="single"/>
              </w:rPr>
              <w:t>Safety:</w:t>
            </w:r>
            <w:r w:rsidRPr="00223463">
              <w:rPr>
                <w:rFonts w:eastAsia="MS Mincho" w:cstheme="minorHAnsi"/>
              </w:rPr>
              <w:t xml:space="preserve"> measured for unspecified period</w:t>
            </w:r>
          </w:p>
        </w:tc>
      </w:tr>
      <w:tr w:rsidR="00A31D77" w:rsidRPr="00223463" w14:paraId="32618D40" w14:textId="77777777" w:rsidTr="00EA7016">
        <w:trPr>
          <w:trHeight w:val="149"/>
        </w:trPr>
        <w:tc>
          <w:tcPr>
            <w:tcW w:w="483" w:type="pct"/>
          </w:tcPr>
          <w:p w14:paraId="170609BA" w14:textId="47D4C9E5" w:rsidR="006C5323" w:rsidRPr="00223463" w:rsidRDefault="006C5323" w:rsidP="006C5323">
            <w:pPr>
              <w:pStyle w:val="Tablewriting"/>
              <w:keepNext/>
              <w:rPr>
                <w:rFonts w:eastAsia="MS Mincho" w:cstheme="minorHAnsi"/>
              </w:rPr>
            </w:pPr>
            <w:r w:rsidRPr="00223463">
              <w:rPr>
                <w:rFonts w:eastAsia="MS Mincho" w:cstheme="minorHAnsi"/>
              </w:rPr>
              <w:t xml:space="preserve">Piper </w:t>
            </w:r>
            <w:r w:rsidR="0065538B">
              <w:rPr>
                <w:rFonts w:eastAsia="MS Mincho" w:cstheme="minorHAnsi"/>
              </w:rPr>
              <w:t>(</w:t>
            </w:r>
            <w:r w:rsidRPr="00223463">
              <w:rPr>
                <w:rFonts w:eastAsia="MS Mincho" w:cstheme="minorHAnsi"/>
              </w:rPr>
              <w:t>2009</w:t>
            </w:r>
            <w:r w:rsidR="0065538B">
              <w:rPr>
                <w:rFonts w:eastAsia="MS Mincho" w:cstheme="minorHAnsi"/>
              </w:rPr>
              <w:t>)</w:t>
            </w:r>
          </w:p>
        </w:tc>
        <w:tc>
          <w:tcPr>
            <w:tcW w:w="255" w:type="pct"/>
          </w:tcPr>
          <w:p w14:paraId="5DAFEB3A" w14:textId="77777777"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14:paraId="40DFF4ED" w14:textId="77777777" w:rsidR="006C5323" w:rsidRPr="00223463" w:rsidRDefault="006C5323" w:rsidP="006C5323">
            <w:pPr>
              <w:pStyle w:val="Tablewriting"/>
              <w:keepNext/>
              <w:rPr>
                <w:rFonts w:eastAsia="MS Mincho" w:cstheme="minorHAnsi"/>
              </w:rPr>
            </w:pPr>
            <w:r w:rsidRPr="00223463">
              <w:rPr>
                <w:rFonts w:eastAsia="MS Mincho" w:cstheme="minorHAnsi"/>
              </w:rPr>
              <w:t>USA</w:t>
            </w:r>
          </w:p>
        </w:tc>
        <w:tc>
          <w:tcPr>
            <w:tcW w:w="387" w:type="pct"/>
          </w:tcPr>
          <w:p w14:paraId="6AC3EE4E" w14:textId="77777777" w:rsidR="006C5323" w:rsidRPr="00223463" w:rsidRDefault="006C5323" w:rsidP="006C5323">
            <w:pPr>
              <w:pStyle w:val="Tablewriting"/>
              <w:keepNext/>
              <w:rPr>
                <w:rFonts w:eastAsia="MS Mincho" w:cstheme="minorHAnsi"/>
              </w:rPr>
            </w:pPr>
            <w:r w:rsidRPr="00223463">
              <w:rPr>
                <w:rFonts w:eastAsia="MS Mincho" w:cstheme="minorHAnsi"/>
              </w:rPr>
              <w:t xml:space="preserve">N=1504 </w:t>
            </w:r>
          </w:p>
        </w:tc>
        <w:tc>
          <w:tcPr>
            <w:tcW w:w="1307" w:type="pct"/>
          </w:tcPr>
          <w:p w14:paraId="799A07BD" w14:textId="517FA1CC" w:rsidR="006C5323" w:rsidRPr="00223463" w:rsidRDefault="006C5323" w:rsidP="006C5323">
            <w:pPr>
              <w:pStyle w:val="Tablewriting"/>
              <w:keepNext/>
              <w:rPr>
                <w:rFonts w:eastAsia="MS Mincho" w:cstheme="minorHAnsi"/>
              </w:rPr>
            </w:pPr>
            <w:r w:rsidRPr="00223463">
              <w:rPr>
                <w:rFonts w:eastAsia="MS Mincho" w:cstheme="minorHAnsi"/>
              </w:rPr>
              <w:t>Smokers</w:t>
            </w:r>
            <w:r w:rsidR="009E30D6">
              <w:rPr>
                <w:rFonts w:eastAsia="MS Mincho" w:cstheme="minorHAnsi"/>
              </w:rPr>
              <w:t>,</w:t>
            </w:r>
            <w:r w:rsidRPr="00223463">
              <w:rPr>
                <w:rFonts w:eastAsia="MS Mincho" w:cstheme="minorHAnsi"/>
              </w:rPr>
              <w:t xml:space="preserve"> 58% female</w:t>
            </w:r>
            <w:r w:rsidR="009E30D6">
              <w:rPr>
                <w:rFonts w:eastAsia="MS Mincho" w:cstheme="minorHAnsi"/>
              </w:rPr>
              <w:t>,</w:t>
            </w:r>
            <w:r w:rsidRPr="00223463">
              <w:rPr>
                <w:rFonts w:eastAsia="MS Mincho" w:cstheme="minorHAnsi"/>
              </w:rPr>
              <w:t xml:space="preserve"> average age 45</w:t>
            </w:r>
            <w:r w:rsidR="009E30D6">
              <w:rPr>
                <w:rFonts w:eastAsia="MS Mincho" w:cstheme="minorHAnsi"/>
              </w:rPr>
              <w:t xml:space="preserve"> years,</w:t>
            </w:r>
            <w:r w:rsidRPr="00223463">
              <w:rPr>
                <w:rFonts w:eastAsia="MS Mincho" w:cstheme="minorHAnsi"/>
              </w:rPr>
              <w:t xml:space="preserve"> average cigarettes per day 21.4</w:t>
            </w:r>
          </w:p>
        </w:tc>
        <w:tc>
          <w:tcPr>
            <w:tcW w:w="1260" w:type="pct"/>
          </w:tcPr>
          <w:p w14:paraId="2527E2F6"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Bupropion SR. 150 mg twice/day, 1 week pre-quit, 8 weeks post-quit</w:t>
            </w:r>
          </w:p>
          <w:p w14:paraId="063AB03E"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Bupropion and nicotine lozenge. Duration and dosage as below</w:t>
            </w:r>
          </w:p>
          <w:p w14:paraId="1487E8D5"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Nicotine lozenge. 2 mg or 4 mg for 12 weeks (based on dose-for-dependence level as per instructions)</w:t>
            </w:r>
          </w:p>
          <w:p w14:paraId="3CFBF099"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Nicotine patch (24 hr, 21, 14, and 7 mg titrated down over 8-week period post-quit)</w:t>
            </w:r>
          </w:p>
          <w:p w14:paraId="2849E06B"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Nicotine lozenge and nicotine patch. Duration and dosage as above</w:t>
            </w:r>
          </w:p>
          <w:p w14:paraId="3533439C"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bupropion</w:t>
            </w:r>
          </w:p>
          <w:p w14:paraId="0AB5903E"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bupropion and placebo lozenge</w:t>
            </w:r>
          </w:p>
          <w:p w14:paraId="726B4275"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lozenge</w:t>
            </w:r>
          </w:p>
          <w:p w14:paraId="17E17B97"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patch</w:t>
            </w:r>
          </w:p>
          <w:p w14:paraId="404F17B6" w14:textId="77777777" w:rsidR="006C5323" w:rsidRPr="00223463" w:rsidRDefault="006C5323" w:rsidP="00C324F3">
            <w:pPr>
              <w:pStyle w:val="Tablewriting"/>
              <w:keepNext/>
              <w:numPr>
                <w:ilvl w:val="0"/>
                <w:numId w:val="41"/>
              </w:numPr>
              <w:rPr>
                <w:rFonts w:eastAsia="MS Mincho" w:cstheme="minorHAnsi"/>
              </w:rPr>
            </w:pPr>
            <w:r w:rsidRPr="00223463">
              <w:rPr>
                <w:rFonts w:eastAsia="MS Mincho" w:cstheme="minorHAnsi"/>
              </w:rPr>
              <w:t>Placebo lozenge and placebo patch</w:t>
            </w:r>
          </w:p>
          <w:p w14:paraId="354D8260" w14:textId="77777777" w:rsidR="006C5323" w:rsidRPr="00223463" w:rsidRDefault="006C5323" w:rsidP="006C5323">
            <w:pPr>
              <w:pStyle w:val="Tablewriting"/>
              <w:keepNext/>
              <w:rPr>
                <w:rFonts w:eastAsia="MS Mincho" w:cstheme="minorHAnsi"/>
              </w:rPr>
            </w:pPr>
          </w:p>
          <w:p w14:paraId="798F6DDF" w14:textId="77777777" w:rsidR="006C5323" w:rsidRPr="00223463" w:rsidRDefault="006C5323" w:rsidP="006C5323">
            <w:pPr>
              <w:pStyle w:val="Tablewriting"/>
              <w:keepNext/>
              <w:rPr>
                <w:rFonts w:eastAsia="MS Mincho" w:cstheme="minorHAnsi"/>
              </w:rPr>
            </w:pPr>
            <w:r w:rsidRPr="00223463">
              <w:rPr>
                <w:rFonts w:eastAsia="MS Mincho" w:cstheme="minorHAnsi"/>
              </w:rPr>
              <w:t>Common components: 7 one-to-one 10 to 20-min counselling sessions</w:t>
            </w:r>
          </w:p>
        </w:tc>
        <w:tc>
          <w:tcPr>
            <w:tcW w:w="872" w:type="pct"/>
          </w:tcPr>
          <w:p w14:paraId="452D6098" w14:textId="08264159" w:rsidR="006C5323" w:rsidRPr="001F1445" w:rsidRDefault="006C5323" w:rsidP="006C5323">
            <w:pPr>
              <w:pStyle w:val="Tablewriting"/>
              <w:keepNext/>
              <w:rPr>
                <w:rFonts w:eastAsia="MS Mincho"/>
              </w:rPr>
            </w:pPr>
            <w:r w:rsidRPr="001F1445">
              <w:rPr>
                <w:rFonts w:eastAsia="MS Mincho"/>
                <w:u w:val="single"/>
              </w:rPr>
              <w:t>Efficacy:</w:t>
            </w:r>
            <w:r w:rsidRPr="001F1445">
              <w:rPr>
                <w:rFonts w:eastAsia="MS Mincho"/>
              </w:rPr>
              <w:t xml:space="preserve"> 7-day </w:t>
            </w:r>
            <w:r w:rsidR="009E30D6">
              <w:rPr>
                <w:rFonts w:eastAsia="MS Mincho"/>
              </w:rPr>
              <w:t>PPA</w:t>
            </w:r>
            <w:r w:rsidRPr="001F1445">
              <w:rPr>
                <w:rFonts w:eastAsia="MS Mincho"/>
              </w:rPr>
              <w:t xml:space="preserve"> at 6 months. Validated by CO &lt; 10 ppm</w:t>
            </w:r>
          </w:p>
          <w:p w14:paraId="0E76EB6B" w14:textId="78DF8686" w:rsidR="006C5323" w:rsidRPr="00223463" w:rsidRDefault="006C5323" w:rsidP="006C5323">
            <w:pPr>
              <w:pStyle w:val="Tablewriting"/>
              <w:keepNext/>
              <w:rPr>
                <w:rFonts w:eastAsia="MS Mincho" w:cstheme="minorHAnsi"/>
              </w:rPr>
            </w:pPr>
            <w:r w:rsidRPr="001F1445">
              <w:rPr>
                <w:rFonts w:eastAsia="MS Mincho"/>
                <w:u w:val="single"/>
              </w:rPr>
              <w:t>Safety:</w:t>
            </w:r>
            <w:r w:rsidRPr="001F1445">
              <w:rPr>
                <w:rFonts w:eastAsia="MS Mincho"/>
              </w:rPr>
              <w:t xml:space="preserve"> measured for 10 weeks</w:t>
            </w:r>
          </w:p>
        </w:tc>
      </w:tr>
      <w:tr w:rsidR="00A31D77" w:rsidRPr="00223463" w14:paraId="22D3A020" w14:textId="77777777" w:rsidTr="00EA7016">
        <w:trPr>
          <w:trHeight w:val="149"/>
        </w:trPr>
        <w:tc>
          <w:tcPr>
            <w:tcW w:w="483" w:type="pct"/>
          </w:tcPr>
          <w:p w14:paraId="6374958F" w14:textId="73DDD3FC" w:rsidR="006C5323" w:rsidRPr="00223463" w:rsidRDefault="006C5323" w:rsidP="006C5323">
            <w:pPr>
              <w:pStyle w:val="Tablewriting"/>
              <w:keepNext/>
              <w:rPr>
                <w:rFonts w:eastAsia="MS Mincho" w:cstheme="minorHAnsi"/>
              </w:rPr>
            </w:pPr>
            <w:r w:rsidRPr="005939E7">
              <w:rPr>
                <w:rFonts w:eastAsia="MS Mincho" w:cstheme="minorHAnsi"/>
              </w:rPr>
              <w:t xml:space="preserve">Smith </w:t>
            </w:r>
            <w:r w:rsidR="0065538B" w:rsidRPr="005939E7">
              <w:rPr>
                <w:rFonts w:eastAsia="MS Mincho" w:cstheme="minorHAnsi"/>
              </w:rPr>
              <w:t>(</w:t>
            </w:r>
            <w:r w:rsidRPr="005939E7">
              <w:rPr>
                <w:rFonts w:eastAsia="MS Mincho" w:cstheme="minorHAnsi"/>
              </w:rPr>
              <w:t>2009</w:t>
            </w:r>
            <w:r w:rsidR="0065538B" w:rsidRPr="005939E7">
              <w:rPr>
                <w:rFonts w:eastAsia="MS Mincho" w:cstheme="minorHAnsi"/>
              </w:rPr>
              <w:t>)</w:t>
            </w:r>
          </w:p>
        </w:tc>
        <w:tc>
          <w:tcPr>
            <w:tcW w:w="255" w:type="pct"/>
          </w:tcPr>
          <w:p w14:paraId="0A9A8078" w14:textId="77777777"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14:paraId="643F3630" w14:textId="77777777" w:rsidR="006C5323" w:rsidRPr="00223463" w:rsidRDefault="006C5323" w:rsidP="006C5323">
            <w:pPr>
              <w:pStyle w:val="Tablewriting"/>
              <w:keepNext/>
              <w:rPr>
                <w:rFonts w:eastAsia="MS Mincho" w:cstheme="minorHAnsi"/>
              </w:rPr>
            </w:pPr>
            <w:r>
              <w:rPr>
                <w:rFonts w:eastAsia="MS Mincho" w:cstheme="minorHAnsi"/>
              </w:rPr>
              <w:t>USA</w:t>
            </w:r>
          </w:p>
        </w:tc>
        <w:tc>
          <w:tcPr>
            <w:tcW w:w="387" w:type="pct"/>
          </w:tcPr>
          <w:p w14:paraId="680EAAEC" w14:textId="77777777" w:rsidR="006C5323" w:rsidRPr="00223463" w:rsidRDefault="006C5323" w:rsidP="006C5323">
            <w:pPr>
              <w:pStyle w:val="Tablewriting"/>
              <w:keepNext/>
              <w:rPr>
                <w:rFonts w:eastAsia="MS Mincho" w:cstheme="minorHAnsi"/>
              </w:rPr>
            </w:pPr>
            <w:r>
              <w:rPr>
                <w:rFonts w:eastAsia="MS Mincho" w:cstheme="minorHAnsi"/>
              </w:rPr>
              <w:t>N=</w:t>
            </w:r>
            <w:r w:rsidRPr="00F63511">
              <w:rPr>
                <w:rFonts w:eastAsia="MS Mincho" w:cstheme="minorHAnsi"/>
              </w:rPr>
              <w:t>1346</w:t>
            </w:r>
          </w:p>
        </w:tc>
        <w:tc>
          <w:tcPr>
            <w:tcW w:w="1307" w:type="pct"/>
          </w:tcPr>
          <w:p w14:paraId="15C0179F" w14:textId="4D3BDEF8" w:rsidR="006C5323" w:rsidRPr="00223463" w:rsidRDefault="006C5323" w:rsidP="006C5323">
            <w:pPr>
              <w:pStyle w:val="Tablewriting"/>
              <w:keepNext/>
              <w:rPr>
                <w:rFonts w:eastAsia="MS Mincho" w:cstheme="minorHAnsi"/>
              </w:rPr>
            </w:pPr>
            <w:r>
              <w:rPr>
                <w:rFonts w:eastAsia="MS Mincho" w:cstheme="minorHAnsi"/>
              </w:rPr>
              <w:t>S</w:t>
            </w:r>
            <w:r w:rsidRPr="00F63511">
              <w:rPr>
                <w:rFonts w:eastAsia="MS Mincho" w:cstheme="minorHAnsi"/>
              </w:rPr>
              <w:t>mokers</w:t>
            </w:r>
            <w:r w:rsidR="009E30D6">
              <w:rPr>
                <w:rFonts w:eastAsia="MS Mincho" w:cstheme="minorHAnsi"/>
              </w:rPr>
              <w:t>,</w:t>
            </w:r>
            <w:r w:rsidRPr="00F63511">
              <w:rPr>
                <w:rFonts w:eastAsia="MS Mincho" w:cstheme="minorHAnsi"/>
              </w:rPr>
              <w:t xml:space="preserve"> 56% female</w:t>
            </w:r>
            <w:r w:rsidR="009E30D6">
              <w:rPr>
                <w:rFonts w:eastAsia="MS Mincho" w:cstheme="minorHAnsi"/>
              </w:rPr>
              <w:t>,</w:t>
            </w:r>
            <w:r w:rsidRPr="00F63511">
              <w:rPr>
                <w:rFonts w:eastAsia="MS Mincho" w:cstheme="minorHAnsi"/>
              </w:rPr>
              <w:t xml:space="preserve"> average age 44</w:t>
            </w:r>
            <w:r w:rsidR="009E30D6">
              <w:rPr>
                <w:rFonts w:eastAsia="MS Mincho" w:cstheme="minorHAnsi"/>
              </w:rPr>
              <w:t>,</w:t>
            </w:r>
            <w:r w:rsidRPr="00F63511">
              <w:rPr>
                <w:rFonts w:eastAsia="MS Mincho" w:cstheme="minorHAnsi"/>
              </w:rPr>
              <w:t xml:space="preserve"> average cigarettes per day 20.3</w:t>
            </w:r>
          </w:p>
        </w:tc>
        <w:tc>
          <w:tcPr>
            <w:tcW w:w="1260" w:type="pct"/>
          </w:tcPr>
          <w:p w14:paraId="0556FA38" w14:textId="1654A940" w:rsidR="006C5323" w:rsidRDefault="006C5323" w:rsidP="00C324F3">
            <w:pPr>
              <w:pStyle w:val="Tablewriting"/>
              <w:keepNext/>
              <w:numPr>
                <w:ilvl w:val="0"/>
                <w:numId w:val="58"/>
              </w:numPr>
              <w:rPr>
                <w:rFonts w:eastAsia="MS Mincho" w:cstheme="minorHAnsi"/>
              </w:rPr>
            </w:pPr>
            <w:r w:rsidRPr="00F63511">
              <w:rPr>
                <w:rFonts w:eastAsia="MS Mincho" w:cstheme="minorHAnsi"/>
              </w:rPr>
              <w:t>Bupropion</w:t>
            </w:r>
            <w:r>
              <w:rPr>
                <w:rFonts w:eastAsia="MS Mincho" w:cstheme="minorHAnsi"/>
              </w:rPr>
              <w:t>, u</w:t>
            </w:r>
            <w:r w:rsidRPr="00F63511">
              <w:rPr>
                <w:rFonts w:eastAsia="MS Mincho" w:cstheme="minorHAnsi"/>
              </w:rPr>
              <w:t>p</w:t>
            </w:r>
            <w:r w:rsidR="008A78A1">
              <w:rPr>
                <w:rFonts w:eastAsia="MS Mincho" w:cstheme="minorHAnsi"/>
              </w:rPr>
              <w:t>-</w:t>
            </w:r>
            <w:r w:rsidRPr="00F63511">
              <w:rPr>
                <w:rFonts w:eastAsia="MS Mincho" w:cstheme="minorHAnsi"/>
              </w:rPr>
              <w:t>titrated during week pre-quitting, 150 mg twice/day for 8 weeks post-quit</w:t>
            </w:r>
          </w:p>
          <w:p w14:paraId="74C9E672" w14:textId="77777777" w:rsidR="006C5323" w:rsidRDefault="006C5323" w:rsidP="00C324F3">
            <w:pPr>
              <w:pStyle w:val="Tablewriting"/>
              <w:keepNext/>
              <w:numPr>
                <w:ilvl w:val="0"/>
                <w:numId w:val="58"/>
              </w:numPr>
              <w:rPr>
                <w:rFonts w:eastAsia="MS Mincho" w:cstheme="minorHAnsi"/>
              </w:rPr>
            </w:pPr>
            <w:r w:rsidRPr="00F63511">
              <w:rPr>
                <w:rFonts w:eastAsia="MS Mincho" w:cstheme="minorHAnsi"/>
              </w:rPr>
              <w:t>Nicotine lozenge. 4 mg lozenge if first cigarette of day smoked &gt; 30 min after waking, 2 mg otherwise. 1</w:t>
            </w:r>
            <w:r>
              <w:rPr>
                <w:rFonts w:eastAsia="MS Mincho" w:cstheme="minorHAnsi"/>
              </w:rPr>
              <w:t xml:space="preserve"> </w:t>
            </w:r>
            <w:r w:rsidRPr="00F63511">
              <w:rPr>
                <w:rFonts w:eastAsia="MS Mincho" w:cstheme="minorHAnsi"/>
              </w:rPr>
              <w:t xml:space="preserve">lozenge every 1-2 hrs post-quit </w:t>
            </w:r>
            <w:r w:rsidRPr="00F63511">
              <w:rPr>
                <w:rFonts w:eastAsia="MS Mincho" w:cstheme="minorHAnsi"/>
              </w:rPr>
              <w:lastRenderedPageBreak/>
              <w:t>week 1-6; 1 lozenge every 2-4 hrs week 7-9; 1 lozenge every 4-8 hours</w:t>
            </w:r>
            <w:r>
              <w:rPr>
                <w:rFonts w:eastAsia="MS Mincho" w:cstheme="minorHAnsi"/>
              </w:rPr>
              <w:t xml:space="preserve"> </w:t>
            </w:r>
            <w:r w:rsidRPr="00F63511">
              <w:rPr>
                <w:rFonts w:eastAsia="MS Mincho" w:cstheme="minorHAnsi"/>
              </w:rPr>
              <w:t>week 10-12</w:t>
            </w:r>
          </w:p>
          <w:p w14:paraId="009A94C9" w14:textId="156672F4" w:rsidR="006C5323" w:rsidRDefault="006C5323" w:rsidP="00C324F3">
            <w:pPr>
              <w:pStyle w:val="Tablewriting"/>
              <w:keepNext/>
              <w:numPr>
                <w:ilvl w:val="0"/>
                <w:numId w:val="58"/>
              </w:numPr>
              <w:rPr>
                <w:rFonts w:eastAsia="MS Mincho" w:cstheme="minorHAnsi"/>
              </w:rPr>
            </w:pPr>
            <w:r w:rsidRPr="00F63511">
              <w:rPr>
                <w:rFonts w:eastAsia="MS Mincho" w:cstheme="minorHAnsi"/>
              </w:rPr>
              <w:t>Nicotine patch. 21 mg post-quit w</w:t>
            </w:r>
            <w:r w:rsidR="008A78A1">
              <w:rPr>
                <w:rFonts w:eastAsia="MS Mincho" w:cstheme="minorHAnsi"/>
              </w:rPr>
              <w:t>ee</w:t>
            </w:r>
            <w:r w:rsidRPr="00F63511">
              <w:rPr>
                <w:rFonts w:eastAsia="MS Mincho" w:cstheme="minorHAnsi"/>
              </w:rPr>
              <w:t>k 1-4; 14 mg w</w:t>
            </w:r>
            <w:r w:rsidR="008A78A1">
              <w:rPr>
                <w:rFonts w:eastAsia="MS Mincho" w:cstheme="minorHAnsi"/>
              </w:rPr>
              <w:t>ee</w:t>
            </w:r>
            <w:r w:rsidRPr="00F63511">
              <w:rPr>
                <w:rFonts w:eastAsia="MS Mincho" w:cstheme="minorHAnsi"/>
              </w:rPr>
              <w:t>k 5-6; 7 mg w</w:t>
            </w:r>
            <w:r w:rsidR="008A78A1">
              <w:rPr>
                <w:rFonts w:eastAsia="MS Mincho" w:cstheme="minorHAnsi"/>
              </w:rPr>
              <w:t>ee</w:t>
            </w:r>
            <w:r w:rsidRPr="00F63511">
              <w:rPr>
                <w:rFonts w:eastAsia="MS Mincho" w:cstheme="minorHAnsi"/>
              </w:rPr>
              <w:t>k 7-8</w:t>
            </w:r>
          </w:p>
          <w:p w14:paraId="454A8FC0" w14:textId="77777777" w:rsidR="006C5323" w:rsidRDefault="006C5323" w:rsidP="00C324F3">
            <w:pPr>
              <w:pStyle w:val="Tablewriting"/>
              <w:keepNext/>
              <w:numPr>
                <w:ilvl w:val="0"/>
                <w:numId w:val="58"/>
              </w:numPr>
              <w:rPr>
                <w:rFonts w:eastAsia="MS Mincho" w:cstheme="minorHAnsi"/>
              </w:rPr>
            </w:pPr>
            <w:r w:rsidRPr="00F63511">
              <w:rPr>
                <w:rFonts w:eastAsia="MS Mincho" w:cstheme="minorHAnsi"/>
              </w:rPr>
              <w:t>Bupropion and nicotine lozenge. Dosing as above</w:t>
            </w:r>
          </w:p>
          <w:p w14:paraId="5879A373" w14:textId="77777777" w:rsidR="006C5323" w:rsidRPr="00F63511" w:rsidRDefault="006C5323" w:rsidP="00C324F3">
            <w:pPr>
              <w:pStyle w:val="Tablewriting"/>
              <w:keepNext/>
              <w:numPr>
                <w:ilvl w:val="0"/>
                <w:numId w:val="58"/>
              </w:numPr>
              <w:rPr>
                <w:rFonts w:eastAsia="MS Mincho" w:cstheme="minorHAnsi"/>
              </w:rPr>
            </w:pPr>
            <w:r w:rsidRPr="00F63511">
              <w:rPr>
                <w:rFonts w:eastAsia="MS Mincho" w:cstheme="minorHAnsi"/>
              </w:rPr>
              <w:t>Nicotine patch and nicotine lozenge. Dosing as above</w:t>
            </w:r>
          </w:p>
          <w:p w14:paraId="4D804AE4" w14:textId="77777777" w:rsidR="006C5323" w:rsidRDefault="006C5323" w:rsidP="006C5323">
            <w:pPr>
              <w:pStyle w:val="Tablewriting"/>
              <w:keepNext/>
              <w:rPr>
                <w:rFonts w:eastAsia="MS Mincho" w:cstheme="minorHAnsi"/>
              </w:rPr>
            </w:pPr>
          </w:p>
          <w:p w14:paraId="4DC5FE0B" w14:textId="77777777" w:rsidR="006C5323" w:rsidRPr="00F63511" w:rsidRDefault="006C5323" w:rsidP="006C5323">
            <w:pPr>
              <w:pStyle w:val="Tablewriting"/>
              <w:keepNext/>
              <w:rPr>
                <w:rFonts w:eastAsia="MS Mincho" w:cstheme="minorHAnsi"/>
              </w:rPr>
            </w:pPr>
            <w:r w:rsidRPr="00F63511">
              <w:rPr>
                <w:rFonts w:eastAsia="MS Mincho" w:cstheme="minorHAnsi"/>
                <w:u w:val="single"/>
              </w:rPr>
              <w:t>Common components:</w:t>
            </w:r>
            <w:r w:rsidRPr="00F63511">
              <w:rPr>
                <w:rFonts w:eastAsia="MS Mincho" w:cstheme="minorHAnsi"/>
              </w:rPr>
              <w:t xml:space="preserve"> quitline counselling (state provided). All participants received initial session,</w:t>
            </w:r>
            <w:r>
              <w:rPr>
                <w:rFonts w:eastAsia="MS Mincho" w:cstheme="minorHAnsi"/>
              </w:rPr>
              <w:t xml:space="preserve"> </w:t>
            </w:r>
            <w:r w:rsidRPr="00F63511">
              <w:rPr>
                <w:rFonts w:eastAsia="MS Mincho" w:cstheme="minorHAnsi"/>
              </w:rPr>
              <w:t>then could elect to receive up to 4 additional calls + could call for</w:t>
            </w:r>
            <w:r>
              <w:rPr>
                <w:rFonts w:eastAsia="MS Mincho" w:cstheme="minorHAnsi"/>
              </w:rPr>
              <w:t xml:space="preserve"> </w:t>
            </w:r>
            <w:r w:rsidRPr="00F63511">
              <w:rPr>
                <w:rFonts w:eastAsia="MS Mincho" w:cstheme="minorHAnsi"/>
              </w:rPr>
              <w:t>additional support if required.</w:t>
            </w:r>
          </w:p>
        </w:tc>
        <w:tc>
          <w:tcPr>
            <w:tcW w:w="872" w:type="pct"/>
          </w:tcPr>
          <w:p w14:paraId="3FAFD772" w14:textId="75023CAC" w:rsidR="006C5323" w:rsidRPr="00F63511" w:rsidRDefault="006C5323" w:rsidP="006C5323">
            <w:pPr>
              <w:pStyle w:val="Tablewriting"/>
              <w:keepNext/>
              <w:rPr>
                <w:rFonts w:eastAsia="MS Mincho" w:cstheme="minorHAnsi"/>
              </w:rPr>
            </w:pPr>
            <w:r w:rsidRPr="00F63511">
              <w:rPr>
                <w:rFonts w:eastAsia="MS Mincho" w:cstheme="minorHAnsi"/>
                <w:u w:val="single"/>
              </w:rPr>
              <w:lastRenderedPageBreak/>
              <w:t>Efficacy:</w:t>
            </w:r>
            <w:r>
              <w:rPr>
                <w:rFonts w:eastAsia="MS Mincho" w:cstheme="minorHAnsi"/>
              </w:rPr>
              <w:t xml:space="preserve"> </w:t>
            </w:r>
            <w:r w:rsidRPr="00F63511">
              <w:rPr>
                <w:rFonts w:eastAsia="MS Mincho" w:cstheme="minorHAnsi"/>
              </w:rPr>
              <w:t xml:space="preserve">7-day </w:t>
            </w:r>
            <w:r w:rsidR="009E30D6">
              <w:rPr>
                <w:rFonts w:eastAsia="MS Mincho" w:cstheme="minorHAnsi"/>
              </w:rPr>
              <w:t>PPA</w:t>
            </w:r>
            <w:r w:rsidRPr="00F63511">
              <w:rPr>
                <w:rFonts w:eastAsia="MS Mincho" w:cstheme="minorHAnsi"/>
              </w:rPr>
              <w:t xml:space="preserve"> at 6 months. No validation method specified</w:t>
            </w:r>
          </w:p>
          <w:p w14:paraId="57E8F605" w14:textId="61B8248A" w:rsidR="006C5323" w:rsidRPr="00223463" w:rsidRDefault="006C5323" w:rsidP="006C5323">
            <w:pPr>
              <w:pStyle w:val="Tablewriting"/>
              <w:keepNext/>
              <w:rPr>
                <w:rFonts w:eastAsia="MS Mincho" w:cstheme="minorHAnsi"/>
              </w:rPr>
            </w:pPr>
            <w:r w:rsidRPr="00F63511">
              <w:rPr>
                <w:rFonts w:eastAsia="MS Mincho" w:cstheme="minorHAnsi"/>
                <w:u w:val="single"/>
              </w:rPr>
              <w:t>Safety:</w:t>
            </w:r>
            <w:r>
              <w:rPr>
                <w:rFonts w:eastAsia="MS Mincho" w:cstheme="minorHAnsi"/>
              </w:rPr>
              <w:t xml:space="preserve"> a</w:t>
            </w:r>
            <w:r w:rsidRPr="00F63511">
              <w:rPr>
                <w:rFonts w:eastAsia="MS Mincho" w:cstheme="minorHAnsi"/>
              </w:rPr>
              <w:t>dverse events</w:t>
            </w:r>
            <w:r w:rsidR="00B14CEC">
              <w:rPr>
                <w:rFonts w:eastAsia="MS Mincho" w:cstheme="minorHAnsi"/>
              </w:rPr>
              <w:t xml:space="preserve"> </w:t>
            </w:r>
            <w:r w:rsidRPr="00F63511">
              <w:rPr>
                <w:rFonts w:eastAsia="MS Mincho" w:cstheme="minorHAnsi"/>
              </w:rPr>
              <w:t>measured for unspecified period</w:t>
            </w:r>
          </w:p>
        </w:tc>
      </w:tr>
      <w:tr w:rsidR="00A31D77" w:rsidRPr="00223463" w14:paraId="1CB129C8" w14:textId="77777777" w:rsidTr="00EA7016">
        <w:trPr>
          <w:trHeight w:val="149"/>
        </w:trPr>
        <w:tc>
          <w:tcPr>
            <w:tcW w:w="483" w:type="pct"/>
          </w:tcPr>
          <w:p w14:paraId="2BB2AF23" w14:textId="30055EEE" w:rsidR="006C5323" w:rsidRPr="00223463" w:rsidRDefault="006C5323" w:rsidP="006C5323">
            <w:pPr>
              <w:pStyle w:val="Tablewriting"/>
              <w:keepNext/>
              <w:rPr>
                <w:rFonts w:eastAsia="MS Mincho" w:cstheme="minorHAnsi"/>
              </w:rPr>
            </w:pPr>
            <w:r w:rsidRPr="009E30D6">
              <w:rPr>
                <w:rFonts w:eastAsia="MS Mincho" w:cstheme="minorHAnsi"/>
              </w:rPr>
              <w:t xml:space="preserve">Uyar </w:t>
            </w:r>
            <w:r w:rsidR="0065538B" w:rsidRPr="009E30D6">
              <w:rPr>
                <w:rFonts w:eastAsia="MS Mincho" w:cstheme="minorHAnsi"/>
              </w:rPr>
              <w:t>(</w:t>
            </w:r>
            <w:r w:rsidRPr="009E30D6">
              <w:rPr>
                <w:rFonts w:eastAsia="MS Mincho" w:cstheme="minorHAnsi"/>
              </w:rPr>
              <w:t>2007</w:t>
            </w:r>
            <w:r w:rsidR="0065538B" w:rsidRPr="009E30D6">
              <w:rPr>
                <w:rFonts w:eastAsia="MS Mincho" w:cstheme="minorHAnsi"/>
              </w:rPr>
              <w:t>)</w:t>
            </w:r>
          </w:p>
        </w:tc>
        <w:tc>
          <w:tcPr>
            <w:tcW w:w="255" w:type="pct"/>
          </w:tcPr>
          <w:p w14:paraId="00F59E72" w14:textId="77777777"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14:paraId="69CC2EE3" w14:textId="77777777" w:rsidR="006C5323" w:rsidRPr="00223463" w:rsidRDefault="006C5323" w:rsidP="006C5323">
            <w:pPr>
              <w:pStyle w:val="Tablewriting"/>
              <w:keepNext/>
              <w:rPr>
                <w:rFonts w:eastAsia="MS Mincho" w:cstheme="minorHAnsi"/>
              </w:rPr>
            </w:pPr>
            <w:r w:rsidRPr="00223463">
              <w:rPr>
                <w:rFonts w:eastAsia="MS Mincho" w:cstheme="minorHAnsi"/>
              </w:rPr>
              <w:t>Turkey</w:t>
            </w:r>
          </w:p>
        </w:tc>
        <w:tc>
          <w:tcPr>
            <w:tcW w:w="387" w:type="pct"/>
          </w:tcPr>
          <w:p w14:paraId="592FB280" w14:textId="77777777" w:rsidR="006C5323" w:rsidRPr="00223463" w:rsidRDefault="006C5323" w:rsidP="006C5323">
            <w:pPr>
              <w:pStyle w:val="Tablewriting"/>
              <w:keepNext/>
              <w:rPr>
                <w:rFonts w:eastAsia="MS Mincho" w:cstheme="minorHAnsi"/>
              </w:rPr>
            </w:pPr>
            <w:r w:rsidRPr="00223463">
              <w:rPr>
                <w:rFonts w:eastAsia="MS Mincho" w:cstheme="minorHAnsi"/>
              </w:rPr>
              <w:t>N=131</w:t>
            </w:r>
          </w:p>
        </w:tc>
        <w:tc>
          <w:tcPr>
            <w:tcW w:w="1307" w:type="pct"/>
          </w:tcPr>
          <w:p w14:paraId="15DFBD5B" w14:textId="53316AC2" w:rsidR="006C5323" w:rsidRPr="00223463" w:rsidRDefault="006C5323" w:rsidP="006C5323">
            <w:pPr>
              <w:pStyle w:val="Tablewriting"/>
              <w:keepNext/>
              <w:rPr>
                <w:rFonts w:eastAsia="MS Mincho" w:cstheme="minorHAnsi"/>
              </w:rPr>
            </w:pPr>
            <w:r w:rsidRPr="00223463">
              <w:rPr>
                <w:rFonts w:eastAsia="MS Mincho" w:cstheme="minorHAnsi"/>
              </w:rPr>
              <w:t>Smokers</w:t>
            </w:r>
            <w:r w:rsidR="009E30D6">
              <w:rPr>
                <w:rFonts w:eastAsia="MS Mincho" w:cstheme="minorHAnsi"/>
              </w:rPr>
              <w:t>,</w:t>
            </w:r>
            <w:r w:rsidRPr="00223463">
              <w:rPr>
                <w:rFonts w:eastAsia="MS Mincho" w:cstheme="minorHAnsi"/>
              </w:rPr>
              <w:t xml:space="preserve"> 19% female</w:t>
            </w:r>
            <w:r w:rsidR="009E30D6">
              <w:rPr>
                <w:rFonts w:eastAsia="MS Mincho" w:cstheme="minorHAnsi"/>
              </w:rPr>
              <w:t>,</w:t>
            </w:r>
            <w:r w:rsidRPr="00223463">
              <w:rPr>
                <w:rFonts w:eastAsia="MS Mincho" w:cstheme="minorHAnsi"/>
              </w:rPr>
              <w:t xml:space="preserve"> average age 36</w:t>
            </w:r>
          </w:p>
        </w:tc>
        <w:tc>
          <w:tcPr>
            <w:tcW w:w="1260" w:type="pct"/>
          </w:tcPr>
          <w:p w14:paraId="43701244" w14:textId="77777777"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Bupropion 300 mg for 7 weeks</w:t>
            </w:r>
          </w:p>
          <w:p w14:paraId="3D799C1C" w14:textId="77777777"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Nicotine patch 21 mg for 6 weeks including tapering</w:t>
            </w:r>
          </w:p>
          <w:p w14:paraId="7D66BD1A" w14:textId="77777777" w:rsidR="006C5323" w:rsidRPr="00223463" w:rsidRDefault="006C5323" w:rsidP="00C324F3">
            <w:pPr>
              <w:pStyle w:val="Tablewriting"/>
              <w:keepNext/>
              <w:numPr>
                <w:ilvl w:val="0"/>
                <w:numId w:val="52"/>
              </w:numPr>
              <w:rPr>
                <w:rFonts w:eastAsia="MS Mincho" w:cstheme="minorHAnsi"/>
              </w:rPr>
            </w:pPr>
            <w:r w:rsidRPr="00223463">
              <w:rPr>
                <w:rFonts w:eastAsia="MS Mincho" w:cstheme="minorHAnsi"/>
              </w:rPr>
              <w:t>Advice and follow-up only</w:t>
            </w:r>
          </w:p>
          <w:p w14:paraId="697193F7" w14:textId="77777777" w:rsidR="006C5323" w:rsidRPr="00223463" w:rsidRDefault="006C5323" w:rsidP="006C5323">
            <w:pPr>
              <w:pStyle w:val="Tablewriting"/>
              <w:keepNext/>
              <w:rPr>
                <w:rFonts w:eastAsia="MS Mincho" w:cstheme="minorHAnsi"/>
              </w:rPr>
            </w:pPr>
          </w:p>
          <w:p w14:paraId="45465EF2" w14:textId="77777777" w:rsidR="006C5323" w:rsidRPr="00223463" w:rsidRDefault="006C5323" w:rsidP="006C5323">
            <w:pPr>
              <w:pStyle w:val="Tablewriting"/>
              <w:keepNext/>
              <w:rPr>
                <w:rFonts w:eastAsia="MS Mincho" w:cstheme="minorHAnsi"/>
              </w:rPr>
            </w:pPr>
            <w:r w:rsidRPr="00223463">
              <w:rPr>
                <w:rFonts w:eastAsia="MS Mincho" w:cstheme="minorHAnsi"/>
              </w:rPr>
              <w:t>Common components: brief counselling on consequences of smoking with follow-up for 24 weeks more than low intensity</w:t>
            </w:r>
          </w:p>
        </w:tc>
        <w:tc>
          <w:tcPr>
            <w:tcW w:w="872" w:type="pct"/>
          </w:tcPr>
          <w:p w14:paraId="37B53930" w14:textId="77777777" w:rsidR="006C5323" w:rsidRPr="00223463" w:rsidRDefault="006C5323" w:rsidP="006C5323">
            <w:pPr>
              <w:pStyle w:val="Tablewriting"/>
              <w:keepNext/>
              <w:rPr>
                <w:rFonts w:eastAsia="MS Mincho" w:cstheme="minorHAnsi"/>
              </w:rPr>
            </w:pPr>
            <w:r w:rsidRPr="005726AD">
              <w:rPr>
                <w:rFonts w:eastAsia="MS Mincho" w:cstheme="minorHAnsi"/>
                <w:u w:val="single"/>
              </w:rPr>
              <w:t>Efficacy:</w:t>
            </w:r>
            <w:r w:rsidRPr="00223463">
              <w:rPr>
                <w:rFonts w:eastAsia="MS Mincho" w:cstheme="minorHAnsi"/>
              </w:rPr>
              <w:t xml:space="preserve"> abstinence at 24 weeks (definition not specified). Validated by CO &lt; 10 ppm</w:t>
            </w:r>
          </w:p>
          <w:p w14:paraId="3E5FC705" w14:textId="505E7D61" w:rsidR="006C5323" w:rsidRPr="00223463" w:rsidRDefault="006C5323" w:rsidP="006C5323">
            <w:pPr>
              <w:pStyle w:val="Tablewriting"/>
              <w:keepNext/>
              <w:rPr>
                <w:rFonts w:eastAsia="MS Mincho" w:cstheme="minorHAnsi"/>
              </w:rPr>
            </w:pPr>
            <w:r w:rsidRPr="005726AD">
              <w:rPr>
                <w:rFonts w:eastAsia="MS Mincho" w:cstheme="minorHAnsi"/>
                <w:u w:val="single"/>
              </w:rPr>
              <w:t>Safety:</w:t>
            </w:r>
            <w:r w:rsidRPr="00223463">
              <w:rPr>
                <w:rFonts w:eastAsia="MS Mincho" w:cstheme="minorHAnsi"/>
              </w:rPr>
              <w:t xml:space="preserve"> adverse events measured for</w:t>
            </w:r>
            <w:r w:rsidR="005726AD">
              <w:rPr>
                <w:rFonts w:eastAsia="MS Mincho" w:cstheme="minorHAnsi"/>
              </w:rPr>
              <w:t xml:space="preserve"> </w:t>
            </w:r>
            <w:r w:rsidRPr="00223463">
              <w:rPr>
                <w:rFonts w:eastAsia="MS Mincho" w:cstheme="minorHAnsi"/>
              </w:rPr>
              <w:t>unspecified period</w:t>
            </w:r>
          </w:p>
        </w:tc>
      </w:tr>
      <w:tr w:rsidR="00A31D77" w:rsidRPr="00223463" w14:paraId="6521E578" w14:textId="77777777" w:rsidTr="00EA7016">
        <w:trPr>
          <w:trHeight w:val="149"/>
        </w:trPr>
        <w:tc>
          <w:tcPr>
            <w:tcW w:w="483" w:type="pct"/>
          </w:tcPr>
          <w:p w14:paraId="539CA74F" w14:textId="7A1892B9" w:rsidR="006C5323" w:rsidRPr="00223463" w:rsidRDefault="006C5323" w:rsidP="006C5323">
            <w:pPr>
              <w:pStyle w:val="Tablewriting"/>
              <w:keepNext/>
              <w:rPr>
                <w:rFonts w:eastAsia="MS Mincho" w:cstheme="minorHAnsi"/>
              </w:rPr>
            </w:pPr>
            <w:r w:rsidRPr="00892843">
              <w:rPr>
                <w:rFonts w:eastAsia="MS Mincho" w:cstheme="minorHAnsi"/>
              </w:rPr>
              <w:t xml:space="preserve">Stapleton </w:t>
            </w:r>
            <w:r w:rsidR="0065538B" w:rsidRPr="00892843">
              <w:rPr>
                <w:rFonts w:eastAsia="MS Mincho" w:cstheme="minorHAnsi"/>
              </w:rPr>
              <w:t>(</w:t>
            </w:r>
            <w:r w:rsidRPr="00892843">
              <w:rPr>
                <w:rFonts w:eastAsia="MS Mincho" w:cstheme="minorHAnsi"/>
              </w:rPr>
              <w:t>2013</w:t>
            </w:r>
            <w:r w:rsidR="0065538B" w:rsidRPr="00892843">
              <w:rPr>
                <w:rFonts w:eastAsia="MS Mincho" w:cstheme="minorHAnsi"/>
              </w:rPr>
              <w:t>)</w:t>
            </w:r>
          </w:p>
        </w:tc>
        <w:tc>
          <w:tcPr>
            <w:tcW w:w="255" w:type="pct"/>
          </w:tcPr>
          <w:p w14:paraId="3BCB70BE" w14:textId="77777777"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14:paraId="06B10A36" w14:textId="77777777" w:rsidR="006C5323" w:rsidRPr="00223463" w:rsidRDefault="006C5323" w:rsidP="006C5323">
            <w:pPr>
              <w:pStyle w:val="Tablewriting"/>
              <w:keepNext/>
              <w:rPr>
                <w:rFonts w:eastAsia="MS Mincho" w:cstheme="minorHAnsi"/>
              </w:rPr>
            </w:pPr>
            <w:r>
              <w:rPr>
                <w:rFonts w:eastAsia="MS Mincho" w:cstheme="minorHAnsi"/>
              </w:rPr>
              <w:t>UK</w:t>
            </w:r>
          </w:p>
        </w:tc>
        <w:tc>
          <w:tcPr>
            <w:tcW w:w="387" w:type="pct"/>
          </w:tcPr>
          <w:p w14:paraId="50E15D48" w14:textId="77777777" w:rsidR="006C5323" w:rsidRPr="00223463" w:rsidRDefault="006C5323" w:rsidP="006C5323">
            <w:pPr>
              <w:pStyle w:val="Tablewriting"/>
              <w:keepNext/>
              <w:rPr>
                <w:rFonts w:eastAsia="MS Mincho" w:cstheme="minorHAnsi"/>
              </w:rPr>
            </w:pPr>
            <w:r>
              <w:rPr>
                <w:rFonts w:eastAsia="MS Mincho" w:cstheme="minorHAnsi"/>
              </w:rPr>
              <w:t>N=</w:t>
            </w:r>
            <w:r w:rsidRPr="00F63511">
              <w:rPr>
                <w:rFonts w:eastAsia="MS Mincho" w:cstheme="minorHAnsi"/>
              </w:rPr>
              <w:t>1071</w:t>
            </w:r>
          </w:p>
        </w:tc>
        <w:tc>
          <w:tcPr>
            <w:tcW w:w="1307" w:type="pct"/>
          </w:tcPr>
          <w:p w14:paraId="70C47EAD" w14:textId="1776095A" w:rsidR="006C5323" w:rsidRPr="00223463" w:rsidRDefault="006C5323" w:rsidP="006C5323">
            <w:pPr>
              <w:pStyle w:val="Tablewriting"/>
              <w:keepNext/>
              <w:rPr>
                <w:rFonts w:eastAsia="MS Mincho" w:cstheme="minorHAnsi"/>
              </w:rPr>
            </w:pPr>
            <w:r w:rsidRPr="00F63511">
              <w:rPr>
                <w:rFonts w:eastAsia="MS Mincho" w:cstheme="minorHAnsi"/>
              </w:rPr>
              <w:t>daily smokers</w:t>
            </w:r>
            <w:r w:rsidR="008A78A1">
              <w:rPr>
                <w:rFonts w:eastAsia="MS Mincho" w:cstheme="minorHAnsi"/>
              </w:rPr>
              <w:t>,</w:t>
            </w:r>
            <w:r w:rsidRPr="00F63511">
              <w:rPr>
                <w:rFonts w:eastAsia="MS Mincho" w:cstheme="minorHAnsi"/>
              </w:rPr>
              <w:t xml:space="preserve"> 53% female</w:t>
            </w:r>
            <w:r w:rsidR="008A78A1">
              <w:rPr>
                <w:rFonts w:eastAsia="MS Mincho" w:cstheme="minorHAnsi"/>
              </w:rPr>
              <w:t>,</w:t>
            </w:r>
            <w:r w:rsidRPr="00F63511">
              <w:rPr>
                <w:rFonts w:eastAsia="MS Mincho" w:cstheme="minorHAnsi"/>
              </w:rPr>
              <w:t xml:space="preserve"> average age 41</w:t>
            </w:r>
            <w:r w:rsidR="008A78A1">
              <w:rPr>
                <w:rFonts w:eastAsia="MS Mincho" w:cstheme="minorHAnsi"/>
              </w:rPr>
              <w:t xml:space="preserve"> years,</w:t>
            </w:r>
            <w:r w:rsidRPr="00F63511">
              <w:rPr>
                <w:rFonts w:eastAsia="MS Mincho" w:cstheme="minorHAnsi"/>
              </w:rPr>
              <w:t xml:space="preserve"> average cigarettes per day 20</w:t>
            </w:r>
          </w:p>
        </w:tc>
        <w:tc>
          <w:tcPr>
            <w:tcW w:w="1260" w:type="pct"/>
          </w:tcPr>
          <w:p w14:paraId="3D3CA5CA" w14:textId="77777777" w:rsidR="006C5323" w:rsidRDefault="006C5323" w:rsidP="00C324F3">
            <w:pPr>
              <w:pStyle w:val="Tablewriting"/>
              <w:keepNext/>
              <w:numPr>
                <w:ilvl w:val="0"/>
                <w:numId w:val="59"/>
              </w:numPr>
              <w:rPr>
                <w:rFonts w:eastAsia="MS Mincho" w:cstheme="minorHAnsi"/>
              </w:rPr>
            </w:pPr>
            <w:r w:rsidRPr="00F63511">
              <w:rPr>
                <w:rFonts w:eastAsia="MS Mincho" w:cstheme="minorHAnsi"/>
              </w:rPr>
              <w:t>Bupropion 8 weeks, started prior to TQD (exact period not specified), 150 mg/d for first 6 day, then</w:t>
            </w:r>
            <w:r>
              <w:rPr>
                <w:rFonts w:eastAsia="MS Mincho" w:cstheme="minorHAnsi"/>
              </w:rPr>
              <w:t xml:space="preserve"> </w:t>
            </w:r>
            <w:r w:rsidRPr="00F63511">
              <w:rPr>
                <w:rFonts w:eastAsia="MS Mincho" w:cstheme="minorHAnsi"/>
              </w:rPr>
              <w:t>300 mg for remainder</w:t>
            </w:r>
          </w:p>
          <w:p w14:paraId="5AB1026F" w14:textId="77777777" w:rsidR="006C5323" w:rsidRDefault="006C5323" w:rsidP="00C324F3">
            <w:pPr>
              <w:pStyle w:val="Tablewriting"/>
              <w:keepNext/>
              <w:numPr>
                <w:ilvl w:val="0"/>
                <w:numId w:val="59"/>
              </w:numPr>
              <w:rPr>
                <w:rFonts w:eastAsia="MS Mincho" w:cstheme="minorHAnsi"/>
              </w:rPr>
            </w:pPr>
            <w:r w:rsidRPr="00F63511">
              <w:rPr>
                <w:rFonts w:eastAsia="MS Mincho" w:cstheme="minorHAnsi"/>
              </w:rPr>
              <w:t>Bupropion and NRT. Bupropion as above. NRT given as choice of single product, 12 weeks started on</w:t>
            </w:r>
            <w:r>
              <w:rPr>
                <w:rFonts w:eastAsia="MS Mincho" w:cstheme="minorHAnsi"/>
              </w:rPr>
              <w:t xml:space="preserve"> </w:t>
            </w:r>
            <w:r w:rsidRPr="00F63511">
              <w:rPr>
                <w:rFonts w:eastAsia="MS Mincho" w:cstheme="minorHAnsi"/>
              </w:rPr>
              <w:t>TQD, dosage determined on individual basis</w:t>
            </w:r>
          </w:p>
          <w:p w14:paraId="53B7442D" w14:textId="77777777" w:rsidR="006C5323" w:rsidRPr="00F63511" w:rsidRDefault="006C5323" w:rsidP="00C324F3">
            <w:pPr>
              <w:pStyle w:val="Tablewriting"/>
              <w:keepNext/>
              <w:numPr>
                <w:ilvl w:val="0"/>
                <w:numId w:val="59"/>
              </w:numPr>
              <w:rPr>
                <w:rFonts w:eastAsia="MS Mincho" w:cstheme="minorHAnsi"/>
              </w:rPr>
            </w:pPr>
            <w:r w:rsidRPr="00F63511">
              <w:rPr>
                <w:rFonts w:eastAsia="MS Mincho" w:cstheme="minorHAnsi"/>
              </w:rPr>
              <w:t>NRT. As above</w:t>
            </w:r>
          </w:p>
          <w:p w14:paraId="38BF42BF" w14:textId="77777777" w:rsidR="006C5323" w:rsidRDefault="006C5323" w:rsidP="006C5323">
            <w:pPr>
              <w:pStyle w:val="Tablewriting"/>
              <w:keepNext/>
              <w:rPr>
                <w:rFonts w:eastAsia="MS Mincho" w:cstheme="minorHAnsi"/>
              </w:rPr>
            </w:pPr>
          </w:p>
          <w:p w14:paraId="1C706F68" w14:textId="77777777" w:rsidR="006C5323" w:rsidRPr="00F63511" w:rsidRDefault="006C5323" w:rsidP="006C5323">
            <w:pPr>
              <w:pStyle w:val="Tablewriting"/>
              <w:keepNext/>
              <w:rPr>
                <w:rFonts w:eastAsia="MS Mincho" w:cstheme="minorHAnsi"/>
              </w:rPr>
            </w:pPr>
            <w:r w:rsidRPr="00F63511">
              <w:rPr>
                <w:rFonts w:eastAsia="MS Mincho" w:cstheme="minorHAnsi"/>
                <w:u w:val="single"/>
              </w:rPr>
              <w:t>Common components:</w:t>
            </w:r>
            <w:r w:rsidRPr="00F63511">
              <w:rPr>
                <w:rFonts w:eastAsia="MS Mincho" w:cstheme="minorHAnsi"/>
              </w:rPr>
              <w:t xml:space="preserve"> 7 weekly behavioural support sessions as per standard service protocol. Mainly</w:t>
            </w:r>
          </w:p>
          <w:p w14:paraId="206EB057" w14:textId="77777777" w:rsidR="006C5323" w:rsidRPr="00223463" w:rsidRDefault="006C5323" w:rsidP="006C5323">
            <w:pPr>
              <w:pStyle w:val="Tablewriting"/>
              <w:keepNext/>
              <w:rPr>
                <w:rFonts w:eastAsia="MS Mincho" w:cstheme="minorHAnsi"/>
              </w:rPr>
            </w:pPr>
            <w:r w:rsidRPr="00F63511">
              <w:rPr>
                <w:rFonts w:eastAsia="MS Mincho" w:cstheme="minorHAnsi"/>
              </w:rPr>
              <w:t>group, 60-90 mins each</w:t>
            </w:r>
          </w:p>
        </w:tc>
        <w:tc>
          <w:tcPr>
            <w:tcW w:w="872" w:type="pct"/>
          </w:tcPr>
          <w:p w14:paraId="516FBEFD" w14:textId="77777777" w:rsidR="006C5323" w:rsidRPr="00F63511" w:rsidRDefault="006C5323" w:rsidP="006C5323">
            <w:pPr>
              <w:pStyle w:val="Tablewriting"/>
              <w:keepNext/>
              <w:rPr>
                <w:rFonts w:eastAsia="MS Mincho" w:cstheme="minorHAnsi"/>
              </w:rPr>
            </w:pPr>
            <w:r w:rsidRPr="00F63511">
              <w:rPr>
                <w:rFonts w:eastAsia="MS Mincho" w:cstheme="minorHAnsi"/>
                <w:u w:val="single"/>
              </w:rPr>
              <w:lastRenderedPageBreak/>
              <w:t>Efficacy:</w:t>
            </w:r>
            <w:r w:rsidRPr="00F63511">
              <w:rPr>
                <w:rFonts w:eastAsia="MS Mincho" w:cstheme="minorHAnsi"/>
              </w:rPr>
              <w:t xml:space="preserve"> prolonged abstinence at 6 months. Validated by CO &lt; 10 ppm</w:t>
            </w:r>
          </w:p>
          <w:p w14:paraId="46FED164" w14:textId="5B217F69" w:rsidR="006C5323" w:rsidRPr="00223463" w:rsidRDefault="006C5323" w:rsidP="006C5323">
            <w:pPr>
              <w:pStyle w:val="Tablewriting"/>
              <w:keepNext/>
              <w:rPr>
                <w:rFonts w:eastAsia="MS Mincho" w:cstheme="minorHAnsi"/>
              </w:rPr>
            </w:pPr>
            <w:r w:rsidRPr="00F63511">
              <w:rPr>
                <w:rFonts w:eastAsia="MS Mincho" w:cstheme="minorHAnsi"/>
                <w:u w:val="single"/>
              </w:rPr>
              <w:t>Safety:</w:t>
            </w:r>
            <w:r>
              <w:rPr>
                <w:rFonts w:eastAsia="MS Mincho" w:cstheme="minorHAnsi"/>
              </w:rPr>
              <w:t xml:space="preserve"> a</w:t>
            </w:r>
            <w:r w:rsidRPr="00F63511">
              <w:rPr>
                <w:rFonts w:eastAsia="MS Mincho" w:cstheme="minorHAnsi"/>
              </w:rPr>
              <w:t>dverse events</w:t>
            </w:r>
            <w:r>
              <w:rPr>
                <w:rFonts w:eastAsia="MS Mincho" w:cstheme="minorHAnsi"/>
              </w:rPr>
              <w:t xml:space="preserve"> </w:t>
            </w:r>
            <w:r w:rsidRPr="00F63511">
              <w:rPr>
                <w:rFonts w:eastAsia="MS Mincho" w:cstheme="minorHAnsi"/>
              </w:rPr>
              <w:t>measured for</w:t>
            </w:r>
            <w:r w:rsidR="00E26CFA">
              <w:rPr>
                <w:rFonts w:eastAsia="MS Mincho" w:cstheme="minorHAnsi"/>
              </w:rPr>
              <w:t xml:space="preserve"> </w:t>
            </w:r>
            <w:r w:rsidRPr="00F63511">
              <w:rPr>
                <w:rFonts w:eastAsia="MS Mincho" w:cstheme="minorHAnsi"/>
              </w:rPr>
              <w:t>unspecified period</w:t>
            </w:r>
          </w:p>
        </w:tc>
      </w:tr>
      <w:tr w:rsidR="00A31D77" w:rsidRPr="00223463" w14:paraId="7D616175" w14:textId="77777777" w:rsidTr="00EA7016">
        <w:trPr>
          <w:trHeight w:val="149"/>
        </w:trPr>
        <w:tc>
          <w:tcPr>
            <w:tcW w:w="483" w:type="pct"/>
          </w:tcPr>
          <w:p w14:paraId="606D2108" w14:textId="708FA633" w:rsidR="006C5323" w:rsidRPr="00223463" w:rsidRDefault="006C5323" w:rsidP="006C5323">
            <w:pPr>
              <w:pStyle w:val="Tablewriting"/>
              <w:keepNext/>
              <w:rPr>
                <w:rFonts w:eastAsia="MS Mincho" w:cstheme="minorHAnsi"/>
              </w:rPr>
            </w:pPr>
            <w:r w:rsidRPr="00223463">
              <w:rPr>
                <w:rFonts w:eastAsia="MS Mincho" w:cstheme="minorHAnsi"/>
              </w:rPr>
              <w:t xml:space="preserve">Wittchen </w:t>
            </w:r>
            <w:r w:rsidR="0065538B">
              <w:rPr>
                <w:rFonts w:eastAsia="MS Mincho" w:cstheme="minorHAnsi"/>
              </w:rPr>
              <w:t>(</w:t>
            </w:r>
            <w:r w:rsidRPr="00223463">
              <w:rPr>
                <w:rFonts w:eastAsia="MS Mincho" w:cstheme="minorHAnsi"/>
              </w:rPr>
              <w:t>2011</w:t>
            </w:r>
            <w:r w:rsidR="0065538B">
              <w:rPr>
                <w:rFonts w:eastAsia="MS Mincho" w:cstheme="minorHAnsi"/>
              </w:rPr>
              <w:t>)</w:t>
            </w:r>
          </w:p>
        </w:tc>
        <w:tc>
          <w:tcPr>
            <w:tcW w:w="255" w:type="pct"/>
          </w:tcPr>
          <w:p w14:paraId="55991416" w14:textId="77777777" w:rsidR="006C5323" w:rsidRPr="00223463" w:rsidRDefault="006C5323" w:rsidP="006C5323">
            <w:pPr>
              <w:pStyle w:val="Tablewriting"/>
              <w:keepNext/>
              <w:rPr>
                <w:rFonts w:eastAsia="MS Mincho" w:cstheme="minorHAnsi"/>
              </w:rPr>
            </w:pPr>
            <w:r w:rsidRPr="00223463">
              <w:rPr>
                <w:rFonts w:eastAsia="MS Mincho" w:cstheme="minorHAnsi"/>
              </w:rPr>
              <w:t>RCT</w:t>
            </w:r>
          </w:p>
        </w:tc>
        <w:tc>
          <w:tcPr>
            <w:tcW w:w="436" w:type="pct"/>
          </w:tcPr>
          <w:p w14:paraId="6CA46436" w14:textId="77777777" w:rsidR="006C5323" w:rsidRPr="00223463" w:rsidRDefault="006C5323" w:rsidP="006C5323">
            <w:pPr>
              <w:pStyle w:val="Tablewriting"/>
              <w:keepNext/>
              <w:rPr>
                <w:rFonts w:eastAsia="MS Mincho" w:cstheme="minorHAnsi"/>
              </w:rPr>
            </w:pPr>
            <w:r w:rsidRPr="00223463">
              <w:rPr>
                <w:rFonts w:eastAsia="MS Mincho" w:cstheme="minorHAnsi"/>
              </w:rPr>
              <w:t>Germany</w:t>
            </w:r>
          </w:p>
        </w:tc>
        <w:tc>
          <w:tcPr>
            <w:tcW w:w="387" w:type="pct"/>
          </w:tcPr>
          <w:p w14:paraId="79A54BBF" w14:textId="77777777" w:rsidR="006C5323" w:rsidRPr="00223463" w:rsidRDefault="006C5323" w:rsidP="006C5323">
            <w:pPr>
              <w:pStyle w:val="Tablewriting"/>
              <w:keepNext/>
              <w:rPr>
                <w:rFonts w:eastAsia="MS Mincho" w:cstheme="minorHAnsi"/>
              </w:rPr>
            </w:pPr>
            <w:r w:rsidRPr="00223463">
              <w:rPr>
                <w:rFonts w:eastAsia="MS Mincho" w:cstheme="minorHAnsi"/>
              </w:rPr>
              <w:t>N=467</w:t>
            </w:r>
          </w:p>
        </w:tc>
        <w:tc>
          <w:tcPr>
            <w:tcW w:w="1307" w:type="pct"/>
          </w:tcPr>
          <w:p w14:paraId="5557E063" w14:textId="3E4D5016" w:rsidR="006C5323" w:rsidRPr="00223463" w:rsidRDefault="006C5323" w:rsidP="006C5323">
            <w:pPr>
              <w:pStyle w:val="Tablewriting"/>
              <w:keepNext/>
              <w:rPr>
                <w:rFonts w:eastAsia="MS Mincho" w:cstheme="minorHAnsi"/>
              </w:rPr>
            </w:pPr>
            <w:r w:rsidRPr="00223463">
              <w:rPr>
                <w:rFonts w:eastAsia="MS Mincho" w:cstheme="minorHAnsi"/>
              </w:rPr>
              <w:t>"current regular smokers"; 52% female</w:t>
            </w:r>
            <w:r w:rsidR="008A78A1">
              <w:rPr>
                <w:rFonts w:eastAsia="MS Mincho" w:cstheme="minorHAnsi"/>
              </w:rPr>
              <w:t>,</w:t>
            </w:r>
            <w:r w:rsidRPr="00223463">
              <w:rPr>
                <w:rFonts w:eastAsia="MS Mincho" w:cstheme="minorHAnsi"/>
              </w:rPr>
              <w:t xml:space="preserve"> average age 43</w:t>
            </w:r>
            <w:r w:rsidR="008A78A1">
              <w:rPr>
                <w:rFonts w:eastAsia="MS Mincho" w:cstheme="minorHAnsi"/>
              </w:rPr>
              <w:t xml:space="preserve"> years,</w:t>
            </w:r>
            <w:r w:rsidRPr="00223463">
              <w:rPr>
                <w:rFonts w:eastAsia="MS Mincho" w:cstheme="minorHAnsi"/>
              </w:rPr>
              <w:t xml:space="preserve"> average cigarettes per day 20</w:t>
            </w:r>
          </w:p>
        </w:tc>
        <w:tc>
          <w:tcPr>
            <w:tcW w:w="1260" w:type="pct"/>
          </w:tcPr>
          <w:p w14:paraId="27481580" w14:textId="77777777"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4-5 one-on-one counselling sessions for 20-30 mins</w:t>
            </w:r>
          </w:p>
          <w:p w14:paraId="136D99AF" w14:textId="77777777"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and bupropion SR. CBT as above. Bupropion SR (9-12 weeks, 150 mg; 1/day for first 6 days; 2/day thereafter)</w:t>
            </w:r>
          </w:p>
          <w:p w14:paraId="6EAD7B4E" w14:textId="77777777" w:rsidR="006C5323" w:rsidRPr="00223463" w:rsidRDefault="006C5323" w:rsidP="00C324F3">
            <w:pPr>
              <w:pStyle w:val="Tablewriting"/>
              <w:keepNext/>
              <w:numPr>
                <w:ilvl w:val="0"/>
                <w:numId w:val="54"/>
              </w:numPr>
              <w:rPr>
                <w:rFonts w:eastAsia="MS Mincho" w:cstheme="minorHAnsi"/>
              </w:rPr>
            </w:pPr>
            <w:r w:rsidRPr="00223463">
              <w:rPr>
                <w:rFonts w:eastAsia="MS Mincho" w:cstheme="minorHAnsi"/>
              </w:rPr>
              <w:t>CBT and NRT. CBT as above. NRT for 9-12 weeks, patient's choice of patch (7 mg to 52.5 mg), gum (2 or 4 mg) or spray (10 mg/mL)</w:t>
            </w:r>
          </w:p>
          <w:p w14:paraId="10604A09" w14:textId="77777777" w:rsidR="006C5323" w:rsidRPr="00223463" w:rsidRDefault="006C5323" w:rsidP="008A78A1">
            <w:pPr>
              <w:pStyle w:val="Tablewriting"/>
              <w:keepNext/>
              <w:ind w:left="360"/>
              <w:rPr>
                <w:rFonts w:eastAsia="MS Mincho" w:cstheme="minorHAnsi"/>
              </w:rPr>
            </w:pPr>
            <w:r w:rsidRPr="00223463">
              <w:rPr>
                <w:rFonts w:eastAsia="MS Mincho" w:cstheme="minorHAnsi"/>
              </w:rPr>
              <w:t>Minimal intervention (not used in review)</w:t>
            </w:r>
          </w:p>
        </w:tc>
        <w:tc>
          <w:tcPr>
            <w:tcW w:w="872" w:type="pct"/>
          </w:tcPr>
          <w:p w14:paraId="590507EC" w14:textId="77777777" w:rsidR="006C5323" w:rsidRPr="00223463" w:rsidRDefault="006C5323" w:rsidP="006C5323">
            <w:pPr>
              <w:pStyle w:val="Tablewriting"/>
              <w:keepNext/>
              <w:rPr>
                <w:rFonts w:eastAsia="MS Mincho" w:cstheme="minorHAnsi"/>
              </w:rPr>
            </w:pPr>
            <w:r w:rsidRPr="00477384">
              <w:rPr>
                <w:rFonts w:eastAsia="MS Mincho" w:cstheme="minorHAnsi"/>
                <w:u w:val="single"/>
              </w:rPr>
              <w:t>Efficacy:</w:t>
            </w:r>
            <w:r w:rsidRPr="00223463">
              <w:rPr>
                <w:rFonts w:eastAsia="MS Mincho" w:cstheme="minorHAnsi"/>
              </w:rPr>
              <w:t xml:space="preserve"> abstinence at 12 months (from EoT). Validation method not specified</w:t>
            </w:r>
          </w:p>
          <w:p w14:paraId="310DBB9B" w14:textId="77777777" w:rsidR="006C5323" w:rsidRPr="00223463" w:rsidRDefault="006C5323" w:rsidP="006C5323">
            <w:pPr>
              <w:pStyle w:val="Tablewriting"/>
              <w:keepNext/>
              <w:rPr>
                <w:rFonts w:eastAsia="MS Mincho" w:cstheme="minorHAnsi"/>
              </w:rPr>
            </w:pPr>
            <w:r w:rsidRPr="00477384">
              <w:rPr>
                <w:rFonts w:eastAsia="MS Mincho" w:cstheme="minorHAnsi"/>
                <w:u w:val="single"/>
              </w:rPr>
              <w:t>Safety:</w:t>
            </w:r>
            <w:r w:rsidRPr="00223463">
              <w:rPr>
                <w:rFonts w:eastAsia="MS Mincho" w:cstheme="minorHAnsi"/>
              </w:rPr>
              <w:t xml:space="preserve"> adverse events measured for 12 weeks</w:t>
            </w:r>
          </w:p>
        </w:tc>
      </w:tr>
    </w:tbl>
    <w:p w14:paraId="2937127A" w14:textId="77777777" w:rsidR="00092116" w:rsidRPr="009B042A" w:rsidRDefault="00092116" w:rsidP="00D0517F">
      <w:pPr>
        <w:pStyle w:val="TableFooter"/>
        <w:keepNext/>
        <w:jc w:val="both"/>
      </w:pPr>
      <w:r>
        <w:t>Source: Howes et al. (2020)</w:t>
      </w:r>
    </w:p>
    <w:p w14:paraId="26518A74" w14:textId="018F4C40" w:rsidR="008A78A1" w:rsidRPr="00FC4F81" w:rsidRDefault="008A78A1" w:rsidP="00D0517F">
      <w:pPr>
        <w:pStyle w:val="TableFooter"/>
        <w:keepNext/>
        <w:spacing w:after="120"/>
        <w:contextualSpacing w:val="0"/>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DSM-IV-TR= Mental Disorders, Fourth Edition, Text Revision; CO= carbon monoxide; </w:t>
      </w:r>
      <w:r w:rsidRPr="00D66694">
        <w:rPr>
          <w:szCs w:val="18"/>
        </w:rPr>
        <w:t>ppm=</w:t>
      </w:r>
      <w:r w:rsidRPr="009B042A">
        <w:t xml:space="preserve"> </w:t>
      </w:r>
      <w:r>
        <w:t>part per million</w:t>
      </w:r>
      <w:r w:rsidRPr="009B042A">
        <w:t xml:space="preserve">; EoT= end of treatment; </w:t>
      </w:r>
      <w:r>
        <w:t xml:space="preserve">FTND= </w:t>
      </w:r>
      <w:r w:rsidR="004664D2" w:rsidRPr="00BD70BE">
        <w:t>Fagerstrӧm</w:t>
      </w:r>
      <w:r w:rsidRPr="00BD70BE">
        <w:t xml:space="preserve"> test for nicotine dependence</w:t>
      </w:r>
      <w:r>
        <w:t>; CBT= cognitive behavioural therapy; MI= myocardial infarction; COPD= c</w:t>
      </w:r>
      <w:r w:rsidRPr="003D2386">
        <w:t>hronic obstructive pulmonary disease</w:t>
      </w:r>
      <w:r>
        <w:t>; SR= sustained release</w:t>
      </w:r>
      <w:r w:rsidR="005801BD">
        <w:t xml:space="preserve">; AEs= adverse events; SAEs= serious adverse events. </w:t>
      </w:r>
    </w:p>
    <w:p w14:paraId="1D253B4E" w14:textId="77777777" w:rsidR="00EA7016" w:rsidRDefault="00EA7016">
      <w:pPr>
        <w:spacing w:line="276" w:lineRule="auto"/>
        <w:rPr>
          <w:rFonts w:asciiTheme="minorHAnsi" w:eastAsia="Times New Roman" w:hAnsiTheme="minorHAnsi" w:cs="Times New Roman"/>
          <w:b/>
          <w:bCs/>
          <w:szCs w:val="18"/>
        </w:rPr>
      </w:pPr>
      <w:bookmarkStart w:id="330" w:name="_Ref54000082"/>
      <w:r>
        <w:br w:type="page"/>
      </w:r>
    </w:p>
    <w:p w14:paraId="5DEC9668" w14:textId="61EB9192" w:rsidR="008259C8" w:rsidRDefault="008259C8" w:rsidP="00D0517F">
      <w:pPr>
        <w:pStyle w:val="Caption"/>
        <w:keepNext/>
        <w:spacing w:before="0" w:after="120"/>
        <w:jc w:val="both"/>
      </w:pPr>
      <w:r>
        <w:lastRenderedPageBreak/>
        <w:t xml:space="preserve">Table </w:t>
      </w:r>
      <w:r>
        <w:fldChar w:fldCharType="begin"/>
      </w:r>
      <w:r>
        <w:instrText>SEQ Table \* ARABIC</w:instrText>
      </w:r>
      <w:r>
        <w:fldChar w:fldCharType="separate"/>
      </w:r>
      <w:r w:rsidR="00EC5CC7">
        <w:rPr>
          <w:noProof/>
        </w:rPr>
        <w:t>146</w:t>
      </w:r>
      <w:r>
        <w:fldChar w:fldCharType="end"/>
      </w:r>
      <w:bookmarkEnd w:id="330"/>
      <w:r>
        <w:t xml:space="preserve">: </w:t>
      </w:r>
      <w:r w:rsidRPr="00A66934">
        <w:t xml:space="preserve">Characteristics of studies included in </w:t>
      </w:r>
      <w:r>
        <w:t>Cahill</w:t>
      </w:r>
      <w:r w:rsidRPr="00A66934">
        <w:t xml:space="preserve"> et al. (20</w:t>
      </w:r>
      <w:r>
        <w:t>16</w:t>
      </w:r>
      <w:r w:rsidRPr="00A66934">
        <w:t xml:space="preserve">), </w:t>
      </w:r>
      <w:r>
        <w:t>varenicline</w:t>
      </w:r>
      <w:r w:rsidRPr="00A66934">
        <w:t xml:space="preserve"> versus placebo</w:t>
      </w:r>
    </w:p>
    <w:tbl>
      <w:tblPr>
        <w:tblStyle w:val="TableGrid"/>
        <w:tblW w:w="5000" w:type="pct"/>
        <w:tblLook w:val="04A0" w:firstRow="1" w:lastRow="0" w:firstColumn="1" w:lastColumn="0" w:noHBand="0" w:noVBand="1"/>
        <w:tblCaption w:val="Efficacy results of adalimumab trials (PASI 75 and DLQI)"/>
      </w:tblPr>
      <w:tblGrid>
        <w:gridCol w:w="2017"/>
        <w:gridCol w:w="690"/>
        <w:gridCol w:w="1358"/>
        <w:gridCol w:w="1995"/>
        <w:gridCol w:w="2268"/>
        <w:gridCol w:w="2835"/>
        <w:gridCol w:w="2785"/>
      </w:tblGrid>
      <w:tr w:rsidR="003D3459" w:rsidRPr="00061F78" w14:paraId="5E53CDA8" w14:textId="77777777" w:rsidTr="005821B1">
        <w:trPr>
          <w:trHeight w:val="299"/>
          <w:tblHeader/>
        </w:trPr>
        <w:tc>
          <w:tcPr>
            <w:tcW w:w="761" w:type="pct"/>
            <w:shd w:val="clear" w:color="auto" w:fill="BFBFBF" w:themeFill="background1" w:themeFillShade="BF"/>
            <w:tcMar>
              <w:left w:w="28" w:type="dxa"/>
              <w:right w:w="28" w:type="dxa"/>
            </w:tcMar>
          </w:tcPr>
          <w:p w14:paraId="162CADDF" w14:textId="08E8077D" w:rsidR="008259C8" w:rsidRPr="00061F78" w:rsidRDefault="008B4BB0" w:rsidP="00A71365">
            <w:pPr>
              <w:pStyle w:val="Tableheading"/>
              <w:rPr>
                <w:rFonts w:eastAsia="MS Mincho"/>
              </w:rPr>
            </w:pPr>
            <w:r>
              <w:rPr>
                <w:rFonts w:eastAsia="MS Mincho"/>
              </w:rPr>
              <w:t>Study</w:t>
            </w:r>
          </w:p>
        </w:tc>
        <w:tc>
          <w:tcPr>
            <w:tcW w:w="235" w:type="pct"/>
            <w:shd w:val="clear" w:color="auto" w:fill="BFBFBF" w:themeFill="background1" w:themeFillShade="BF"/>
          </w:tcPr>
          <w:p w14:paraId="4B16EFB2" w14:textId="77777777" w:rsidR="008259C8" w:rsidRDefault="008259C8" w:rsidP="00A71365">
            <w:pPr>
              <w:pStyle w:val="Tableheading"/>
              <w:jc w:val="center"/>
              <w:rPr>
                <w:rFonts w:eastAsia="MS Mincho"/>
              </w:rPr>
            </w:pPr>
            <w:r>
              <w:rPr>
                <w:rFonts w:eastAsia="MS Mincho"/>
              </w:rPr>
              <w:t>Study type</w:t>
            </w:r>
          </w:p>
        </w:tc>
        <w:tc>
          <w:tcPr>
            <w:tcW w:w="462" w:type="pct"/>
            <w:shd w:val="clear" w:color="auto" w:fill="BFBFBF" w:themeFill="background1" w:themeFillShade="BF"/>
          </w:tcPr>
          <w:p w14:paraId="49F65588" w14:textId="77777777" w:rsidR="008259C8" w:rsidRDefault="008259C8" w:rsidP="00A71365">
            <w:pPr>
              <w:pStyle w:val="Tableheading"/>
              <w:jc w:val="center"/>
              <w:rPr>
                <w:rFonts w:eastAsia="MS Mincho"/>
              </w:rPr>
            </w:pPr>
            <w:r>
              <w:rPr>
                <w:rFonts w:eastAsia="MS Mincho"/>
              </w:rPr>
              <w:t>Countries</w:t>
            </w:r>
          </w:p>
        </w:tc>
        <w:tc>
          <w:tcPr>
            <w:tcW w:w="679" w:type="pct"/>
            <w:shd w:val="clear" w:color="auto" w:fill="BFBFBF" w:themeFill="background1" w:themeFillShade="BF"/>
            <w:tcMar>
              <w:left w:w="28" w:type="dxa"/>
              <w:right w:w="28" w:type="dxa"/>
            </w:tcMar>
          </w:tcPr>
          <w:p w14:paraId="0A3C2265" w14:textId="77777777" w:rsidR="008259C8" w:rsidRPr="00061F78" w:rsidRDefault="008259C8" w:rsidP="00A71365">
            <w:pPr>
              <w:pStyle w:val="Tableheading"/>
              <w:jc w:val="center"/>
              <w:rPr>
                <w:rFonts w:eastAsia="MS Mincho"/>
              </w:rPr>
            </w:pPr>
            <w:r>
              <w:rPr>
                <w:rFonts w:eastAsia="MS Mincho"/>
              </w:rPr>
              <w:t>N</w:t>
            </w:r>
          </w:p>
        </w:tc>
        <w:tc>
          <w:tcPr>
            <w:tcW w:w="851" w:type="pct"/>
            <w:shd w:val="clear" w:color="auto" w:fill="BFBFBF" w:themeFill="background1" w:themeFillShade="BF"/>
            <w:tcMar>
              <w:left w:w="28" w:type="dxa"/>
              <w:right w:w="28" w:type="dxa"/>
            </w:tcMar>
          </w:tcPr>
          <w:p w14:paraId="400023F4" w14:textId="77777777" w:rsidR="008259C8" w:rsidRPr="00061F78" w:rsidRDefault="008259C8" w:rsidP="00A71365">
            <w:pPr>
              <w:pStyle w:val="Tableheading"/>
              <w:jc w:val="center"/>
              <w:rPr>
                <w:rFonts w:eastAsia="MS Mincho"/>
              </w:rPr>
            </w:pPr>
            <w:r w:rsidRPr="00061F78">
              <w:rPr>
                <w:rFonts w:eastAsia="MS Mincho"/>
              </w:rPr>
              <w:t>P</w:t>
            </w:r>
            <w:r>
              <w:rPr>
                <w:rFonts w:eastAsia="MS Mincho"/>
              </w:rPr>
              <w:t>opulation</w:t>
            </w:r>
          </w:p>
        </w:tc>
        <w:tc>
          <w:tcPr>
            <w:tcW w:w="1054" w:type="pct"/>
            <w:shd w:val="clear" w:color="auto" w:fill="BFBFBF" w:themeFill="background1" w:themeFillShade="BF"/>
          </w:tcPr>
          <w:p w14:paraId="6070285F" w14:textId="77777777" w:rsidR="008259C8" w:rsidRDefault="008259C8" w:rsidP="00A71365">
            <w:pPr>
              <w:pStyle w:val="Tableheading"/>
              <w:jc w:val="center"/>
              <w:rPr>
                <w:rFonts w:eastAsia="MS Mincho"/>
              </w:rPr>
            </w:pPr>
            <w:r>
              <w:rPr>
                <w:rFonts w:eastAsia="MS Mincho"/>
              </w:rPr>
              <w:t>Intervention and comparator</w:t>
            </w:r>
          </w:p>
        </w:tc>
        <w:tc>
          <w:tcPr>
            <w:tcW w:w="959" w:type="pct"/>
            <w:shd w:val="clear" w:color="auto" w:fill="BFBFBF" w:themeFill="background1" w:themeFillShade="BF"/>
            <w:tcMar>
              <w:left w:w="28" w:type="dxa"/>
              <w:right w:w="28" w:type="dxa"/>
            </w:tcMar>
          </w:tcPr>
          <w:p w14:paraId="49C9B175" w14:textId="77777777" w:rsidR="008259C8" w:rsidRPr="00061F78" w:rsidRDefault="008259C8" w:rsidP="00A71365">
            <w:pPr>
              <w:pStyle w:val="Tableheading"/>
              <w:jc w:val="center"/>
              <w:rPr>
                <w:rFonts w:eastAsia="MS Mincho"/>
              </w:rPr>
            </w:pPr>
            <w:r>
              <w:rPr>
                <w:rFonts w:eastAsia="MS Mincho"/>
              </w:rPr>
              <w:t>Outcomes</w:t>
            </w:r>
          </w:p>
        </w:tc>
      </w:tr>
      <w:tr w:rsidR="003D3459" w:rsidRPr="00017AE6" w14:paraId="4B1EAB5C" w14:textId="77777777" w:rsidTr="005821B1">
        <w:trPr>
          <w:trHeight w:val="99"/>
        </w:trPr>
        <w:tc>
          <w:tcPr>
            <w:tcW w:w="761" w:type="pct"/>
          </w:tcPr>
          <w:p w14:paraId="0049DB4F" w14:textId="797E4662" w:rsidR="005138DD" w:rsidRPr="00017AE6" w:rsidRDefault="005138DD" w:rsidP="00A71365">
            <w:pPr>
              <w:pStyle w:val="Tablewriting"/>
              <w:rPr>
                <w:rFonts w:eastAsia="MS Mincho" w:cstheme="minorHAnsi"/>
              </w:rPr>
            </w:pPr>
            <w:r w:rsidRPr="007F1CCF">
              <w:rPr>
                <w:rFonts w:eastAsia="MS Mincho" w:cstheme="minorHAnsi"/>
              </w:rPr>
              <w:t xml:space="preserve">Anthenelli </w:t>
            </w:r>
            <w:r w:rsidR="008C25BC" w:rsidRPr="007F1CCF">
              <w:rPr>
                <w:rFonts w:eastAsia="MS Mincho" w:cstheme="minorHAnsi"/>
              </w:rPr>
              <w:t>(</w:t>
            </w:r>
            <w:r w:rsidRPr="007F1CCF">
              <w:rPr>
                <w:rFonts w:eastAsia="MS Mincho" w:cstheme="minorHAnsi"/>
              </w:rPr>
              <w:t>2013</w:t>
            </w:r>
            <w:r w:rsidR="008C25BC" w:rsidRPr="007F1CCF">
              <w:rPr>
                <w:rFonts w:eastAsia="MS Mincho" w:cstheme="minorHAnsi"/>
              </w:rPr>
              <w:t>)</w:t>
            </w:r>
          </w:p>
        </w:tc>
        <w:tc>
          <w:tcPr>
            <w:tcW w:w="235" w:type="pct"/>
          </w:tcPr>
          <w:p w14:paraId="2C6F1CA0" w14:textId="1EE6C599" w:rsidR="005138DD" w:rsidRPr="00017AE6" w:rsidRDefault="001B2086" w:rsidP="00A71365">
            <w:pPr>
              <w:pStyle w:val="Tablewriting"/>
              <w:rPr>
                <w:rFonts w:eastAsia="MS Mincho" w:cstheme="minorHAnsi"/>
              </w:rPr>
            </w:pPr>
            <w:r w:rsidRPr="00017AE6">
              <w:rPr>
                <w:rFonts w:eastAsia="MS Mincho" w:cstheme="minorHAnsi"/>
              </w:rPr>
              <w:t>RCT</w:t>
            </w:r>
          </w:p>
        </w:tc>
        <w:tc>
          <w:tcPr>
            <w:tcW w:w="462" w:type="pct"/>
          </w:tcPr>
          <w:p w14:paraId="5EE4CCB2" w14:textId="4AC54AD1" w:rsidR="0072357B" w:rsidRPr="00017AE6" w:rsidRDefault="0072357B" w:rsidP="00A71365">
            <w:pPr>
              <w:pStyle w:val="Tablewriting"/>
              <w:rPr>
                <w:rFonts w:eastAsia="MS Mincho" w:cstheme="minorHAnsi"/>
              </w:rPr>
            </w:pPr>
            <w:r w:rsidRPr="00017AE6">
              <w:rPr>
                <w:rFonts w:eastAsia="MS Mincho" w:cstheme="minorHAnsi"/>
              </w:rPr>
              <w:t>Country: USA (9 centres) and international (24 centres, across Bosnia &amp;</w:t>
            </w:r>
            <w:r w:rsidR="00D7597F">
              <w:rPr>
                <w:rFonts w:eastAsia="MS Mincho" w:cstheme="minorHAnsi"/>
              </w:rPr>
              <w:t xml:space="preserve"> </w:t>
            </w:r>
            <w:r w:rsidR="00980395" w:rsidRPr="00017AE6">
              <w:rPr>
                <w:rFonts w:eastAsia="MS Mincho" w:cstheme="minorHAnsi"/>
              </w:rPr>
              <w:t>Herzegovina</w:t>
            </w:r>
            <w:r w:rsidRPr="00017AE6">
              <w:rPr>
                <w:rFonts w:eastAsia="MS Mincho" w:cstheme="minorHAnsi"/>
              </w:rPr>
              <w:t>, Croatia, Germany,</w:t>
            </w:r>
          </w:p>
          <w:p w14:paraId="3DA9DF13" w14:textId="0A8DADD2" w:rsidR="005138DD" w:rsidRPr="00017AE6" w:rsidRDefault="0072357B" w:rsidP="00A71365">
            <w:pPr>
              <w:pStyle w:val="Tablewriting"/>
              <w:rPr>
                <w:rFonts w:eastAsia="MS Mincho" w:cstheme="minorHAnsi"/>
              </w:rPr>
            </w:pPr>
            <w:r w:rsidRPr="00017AE6">
              <w:rPr>
                <w:rFonts w:eastAsia="MS Mincho" w:cstheme="minorHAnsi"/>
              </w:rPr>
              <w:t>Hungary, Romania, Russian Federation, Spain)</w:t>
            </w:r>
          </w:p>
        </w:tc>
        <w:tc>
          <w:tcPr>
            <w:tcW w:w="679" w:type="pct"/>
          </w:tcPr>
          <w:p w14:paraId="5DA207C7" w14:textId="35174BD7" w:rsidR="005138DD" w:rsidRDefault="00C25F5E" w:rsidP="00A71365">
            <w:pPr>
              <w:pStyle w:val="Tablewriting"/>
              <w:rPr>
                <w:rFonts w:eastAsia="MS Mincho" w:cstheme="minorHAnsi"/>
              </w:rPr>
            </w:pPr>
            <w:r w:rsidRPr="00017AE6">
              <w:rPr>
                <w:rFonts w:eastAsia="MS Mincho" w:cstheme="minorHAnsi"/>
              </w:rPr>
              <w:t>N=525</w:t>
            </w:r>
            <w:r w:rsidR="00157BC9">
              <w:rPr>
                <w:rFonts w:eastAsia="MS Mincho" w:cstheme="minorHAnsi"/>
              </w:rPr>
              <w:t>; n=</w:t>
            </w:r>
            <w:r w:rsidR="00157BC9" w:rsidRPr="00017AE6">
              <w:rPr>
                <w:rFonts w:eastAsia="MS Mincho" w:cstheme="minorHAnsi"/>
              </w:rPr>
              <w:t xml:space="preserve"> 256</w:t>
            </w:r>
            <w:r w:rsidR="00157BC9">
              <w:rPr>
                <w:rFonts w:eastAsia="MS Mincho" w:cstheme="minorHAnsi"/>
              </w:rPr>
              <w:t xml:space="preserve"> (</w:t>
            </w:r>
            <w:r w:rsidR="00157BC9" w:rsidRPr="00017AE6">
              <w:rPr>
                <w:rFonts w:eastAsia="MS Mincho" w:cstheme="minorHAnsi"/>
              </w:rPr>
              <w:t>varenicline</w:t>
            </w:r>
            <w:r w:rsidR="00157BC9">
              <w:rPr>
                <w:rFonts w:eastAsia="MS Mincho" w:cstheme="minorHAnsi"/>
              </w:rPr>
              <w:t>), n= 269 (</w:t>
            </w:r>
            <w:r w:rsidR="00157BC9" w:rsidRPr="00017AE6">
              <w:rPr>
                <w:rFonts w:eastAsia="MS Mincho" w:cstheme="minorHAnsi"/>
              </w:rPr>
              <w:t>placebo)</w:t>
            </w:r>
          </w:p>
          <w:p w14:paraId="38DF9F90" w14:textId="2E2644B4" w:rsidR="009C08D6" w:rsidRPr="00017AE6" w:rsidRDefault="009C08D6" w:rsidP="00A71365">
            <w:pPr>
              <w:pStyle w:val="Tablewriting"/>
              <w:rPr>
                <w:rFonts w:eastAsia="MS Mincho" w:cstheme="minorHAnsi"/>
              </w:rPr>
            </w:pPr>
          </w:p>
        </w:tc>
        <w:tc>
          <w:tcPr>
            <w:tcW w:w="851" w:type="pct"/>
          </w:tcPr>
          <w:p w14:paraId="6D2BB248" w14:textId="3885D4E5" w:rsidR="00992D77" w:rsidRDefault="004664D2" w:rsidP="00A71365">
            <w:pPr>
              <w:pStyle w:val="Tablewriting"/>
              <w:rPr>
                <w:rFonts w:eastAsia="MS Mincho" w:cstheme="minorHAnsi"/>
              </w:rPr>
            </w:pPr>
            <w:r w:rsidRPr="00017AE6">
              <w:rPr>
                <w:rFonts w:eastAsia="MS Mincho" w:cstheme="minorHAnsi"/>
              </w:rPr>
              <w:t>Adult smokers</w:t>
            </w:r>
            <w:r w:rsidR="005921F8" w:rsidRPr="00017AE6">
              <w:rPr>
                <w:rFonts w:eastAsia="MS Mincho" w:cstheme="minorHAnsi"/>
              </w:rPr>
              <w:t xml:space="preserve"> aged 18 - 75, smoking at least 10 CPD, motivated to quit, diagnosed with unipolar MDD without psychotic features. </w:t>
            </w:r>
          </w:p>
          <w:p w14:paraId="5CA65D86" w14:textId="41C64782" w:rsidR="005921F8" w:rsidRPr="00017AE6" w:rsidRDefault="00F82CA3" w:rsidP="00A71365">
            <w:pPr>
              <w:pStyle w:val="Tablewriting"/>
              <w:rPr>
                <w:rFonts w:eastAsia="MS Mincho" w:cstheme="minorHAnsi"/>
              </w:rPr>
            </w:pPr>
            <w:r w:rsidRPr="00017AE6">
              <w:rPr>
                <w:rFonts w:eastAsia="MS Mincho" w:cstheme="minorHAnsi"/>
              </w:rPr>
              <w:t>37% male</w:t>
            </w:r>
            <w:r w:rsidR="00992D77">
              <w:rPr>
                <w:rFonts w:eastAsia="MS Mincho" w:cstheme="minorHAnsi"/>
              </w:rPr>
              <w:t xml:space="preserve">; </w:t>
            </w:r>
            <w:r w:rsidR="005921F8" w:rsidRPr="00017AE6">
              <w:rPr>
                <w:rFonts w:eastAsia="MS Mincho" w:cstheme="minorHAnsi"/>
              </w:rPr>
              <w:t>mean age 46</w:t>
            </w:r>
            <w:r w:rsidR="00D30FC8">
              <w:rPr>
                <w:rFonts w:eastAsia="MS Mincho" w:cstheme="minorHAnsi"/>
              </w:rPr>
              <w:t xml:space="preserve"> y</w:t>
            </w:r>
            <w:r w:rsidR="009F262B">
              <w:rPr>
                <w:rFonts w:eastAsia="MS Mincho" w:cstheme="minorHAnsi"/>
              </w:rPr>
              <w:t>ea</w:t>
            </w:r>
            <w:r w:rsidR="00D30FC8">
              <w:rPr>
                <w:rFonts w:eastAsia="MS Mincho" w:cstheme="minorHAnsi"/>
              </w:rPr>
              <w:t>rs</w:t>
            </w:r>
            <w:r w:rsidR="005921F8" w:rsidRPr="00017AE6">
              <w:rPr>
                <w:rFonts w:eastAsia="MS Mincho" w:cstheme="minorHAnsi"/>
              </w:rPr>
              <w:t>, av</w:t>
            </w:r>
            <w:r w:rsidR="003A5FB4">
              <w:rPr>
                <w:rFonts w:eastAsia="MS Mincho" w:cstheme="minorHAnsi"/>
              </w:rPr>
              <w:t>erage</w:t>
            </w:r>
            <w:r w:rsidR="005921F8" w:rsidRPr="00017AE6">
              <w:rPr>
                <w:rFonts w:eastAsia="MS Mincho" w:cstheme="minorHAnsi"/>
              </w:rPr>
              <w:t xml:space="preserve"> CPD at baseline 22, mean FTND 5.9. </w:t>
            </w:r>
          </w:p>
          <w:p w14:paraId="64D7A248" w14:textId="77777777" w:rsidR="005921F8" w:rsidRPr="00017AE6" w:rsidRDefault="005921F8" w:rsidP="00A71365">
            <w:pPr>
              <w:pStyle w:val="Tablewriting"/>
              <w:rPr>
                <w:rFonts w:eastAsia="MS Mincho" w:cstheme="minorHAnsi"/>
              </w:rPr>
            </w:pPr>
          </w:p>
          <w:p w14:paraId="659FBAE3" w14:textId="3179AE36" w:rsidR="00F82CA3" w:rsidRDefault="005921F8" w:rsidP="00A71365">
            <w:pPr>
              <w:pStyle w:val="Tablewriting"/>
              <w:rPr>
                <w:rFonts w:eastAsia="MS Mincho" w:cstheme="minorHAnsi"/>
              </w:rPr>
            </w:pPr>
            <w:r w:rsidRPr="0066078F">
              <w:rPr>
                <w:rFonts w:eastAsia="MS Mincho" w:cstheme="minorHAnsi"/>
                <w:u w:val="single"/>
              </w:rPr>
              <w:t>Exclusion criteria:</w:t>
            </w:r>
            <w:r w:rsidRPr="00017AE6">
              <w:rPr>
                <w:rFonts w:eastAsia="MS Mincho" w:cstheme="minorHAnsi"/>
              </w:rPr>
              <w:t xml:space="preserve"> Current or past diagnosis of</w:t>
            </w:r>
            <w:r w:rsidR="00351702">
              <w:rPr>
                <w:rFonts w:eastAsia="MS Mincho" w:cstheme="minorHAnsi"/>
              </w:rPr>
              <w:t xml:space="preserve"> </w:t>
            </w:r>
            <w:r w:rsidRPr="00017AE6">
              <w:rPr>
                <w:rFonts w:eastAsia="MS Mincho" w:cstheme="minorHAnsi"/>
              </w:rPr>
              <w:t xml:space="preserve">dementia, schizophrenia, schizoaffective disorder, or other psychotic disorder, bipolar I disorder, bipolar II disorder. </w:t>
            </w:r>
          </w:p>
          <w:p w14:paraId="75F931F9" w14:textId="4283D7DF" w:rsidR="005138DD" w:rsidRPr="00017AE6" w:rsidRDefault="005921F8" w:rsidP="00A71365">
            <w:pPr>
              <w:pStyle w:val="Tablewriting"/>
              <w:rPr>
                <w:rFonts w:eastAsia="MS Mincho" w:cstheme="minorHAnsi"/>
              </w:rPr>
            </w:pPr>
            <w:r w:rsidRPr="00017AE6">
              <w:rPr>
                <w:rFonts w:eastAsia="MS Mincho" w:cstheme="minorHAnsi"/>
              </w:rPr>
              <w:t>People with antisocial, schizotypal, or any other personality disorder severe enough to</w:t>
            </w:r>
            <w:r w:rsidR="00351702">
              <w:rPr>
                <w:rFonts w:eastAsia="MS Mincho" w:cstheme="minorHAnsi"/>
              </w:rPr>
              <w:t xml:space="preserve"> </w:t>
            </w:r>
            <w:r w:rsidRPr="00017AE6">
              <w:rPr>
                <w:rFonts w:eastAsia="MS Mincho" w:cstheme="minorHAnsi"/>
              </w:rPr>
              <w:t>compromise their ability to comply with the study</w:t>
            </w:r>
            <w:r w:rsidR="00351702">
              <w:rPr>
                <w:rFonts w:eastAsia="MS Mincho" w:cstheme="minorHAnsi"/>
              </w:rPr>
              <w:t xml:space="preserve"> </w:t>
            </w:r>
            <w:r w:rsidRPr="00017AE6">
              <w:rPr>
                <w:rFonts w:eastAsia="MS Mincho" w:cstheme="minorHAnsi"/>
              </w:rPr>
              <w:t>requirements</w:t>
            </w:r>
          </w:p>
        </w:tc>
        <w:tc>
          <w:tcPr>
            <w:tcW w:w="1054" w:type="pct"/>
          </w:tcPr>
          <w:p w14:paraId="52CDD959" w14:textId="77777777" w:rsidR="007B6D21" w:rsidRDefault="00C72ECD" w:rsidP="00C324F3">
            <w:pPr>
              <w:pStyle w:val="Tablewriting"/>
              <w:numPr>
                <w:ilvl w:val="0"/>
                <w:numId w:val="60"/>
              </w:numPr>
              <w:rPr>
                <w:rFonts w:eastAsia="MS Mincho" w:cstheme="minorHAnsi"/>
              </w:rPr>
            </w:pPr>
            <w:r w:rsidRPr="00017AE6">
              <w:rPr>
                <w:rFonts w:eastAsia="MS Mincho" w:cstheme="minorHAnsi"/>
              </w:rPr>
              <w:t>Varenicline 1 mg x 2/day, titrated for first w</w:t>
            </w:r>
            <w:r w:rsidR="007B6D21">
              <w:rPr>
                <w:rFonts w:eastAsia="MS Mincho" w:cstheme="minorHAnsi"/>
              </w:rPr>
              <w:t>ee</w:t>
            </w:r>
            <w:r w:rsidRPr="00017AE6">
              <w:rPr>
                <w:rFonts w:eastAsia="MS Mincho" w:cstheme="minorHAnsi"/>
              </w:rPr>
              <w:t>k</w:t>
            </w:r>
          </w:p>
          <w:p w14:paraId="0BE6D7F9" w14:textId="3D46739B" w:rsidR="00C72ECD" w:rsidRPr="007B6D21" w:rsidRDefault="00C72ECD" w:rsidP="00C324F3">
            <w:pPr>
              <w:pStyle w:val="Tablewriting"/>
              <w:numPr>
                <w:ilvl w:val="0"/>
                <w:numId w:val="60"/>
              </w:numPr>
              <w:rPr>
                <w:rFonts w:eastAsia="MS Mincho" w:cstheme="minorHAnsi"/>
              </w:rPr>
            </w:pPr>
            <w:r w:rsidRPr="007B6D21">
              <w:rPr>
                <w:rFonts w:eastAsia="MS Mincho" w:cstheme="minorHAnsi"/>
              </w:rPr>
              <w:t>Placebo inactive tablets, same regimen</w:t>
            </w:r>
          </w:p>
          <w:p w14:paraId="7D68F108" w14:textId="12AEBA6F" w:rsidR="00C72ECD" w:rsidRPr="00017AE6" w:rsidRDefault="00890045"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C72ECD" w:rsidRPr="00017AE6">
              <w:rPr>
                <w:rFonts w:eastAsia="MS Mincho" w:cstheme="minorHAnsi"/>
              </w:rPr>
              <w:t>All participants received manual-guided SC support, telephone support and one-to-one 10-minute</w:t>
            </w:r>
            <w:r>
              <w:rPr>
                <w:rFonts w:eastAsia="MS Mincho" w:cstheme="minorHAnsi"/>
              </w:rPr>
              <w:t xml:space="preserve"> </w:t>
            </w:r>
            <w:r w:rsidR="00C72ECD" w:rsidRPr="00017AE6">
              <w:rPr>
                <w:rFonts w:eastAsia="MS Mincho" w:cstheme="minorHAnsi"/>
              </w:rPr>
              <w:t>counselling by the same person where possible. Participants in both groups could reduce the dosage if</w:t>
            </w:r>
            <w:r>
              <w:rPr>
                <w:rFonts w:eastAsia="MS Mincho" w:cstheme="minorHAnsi"/>
              </w:rPr>
              <w:t xml:space="preserve"> </w:t>
            </w:r>
            <w:r w:rsidR="00C72ECD" w:rsidRPr="00017AE6">
              <w:rPr>
                <w:rFonts w:eastAsia="MS Mincho" w:cstheme="minorHAnsi"/>
              </w:rPr>
              <w:t>they wished</w:t>
            </w:r>
            <w:r w:rsidR="005801BD">
              <w:rPr>
                <w:rFonts w:eastAsia="MS Mincho" w:cstheme="minorHAnsi"/>
              </w:rPr>
              <w:t>.</w:t>
            </w:r>
          </w:p>
          <w:p w14:paraId="3DF3BBB0" w14:textId="40D96ACC" w:rsidR="00C72ECD" w:rsidRPr="005801BD" w:rsidRDefault="00C72ECD" w:rsidP="00A71365">
            <w:pPr>
              <w:pStyle w:val="Tablewriting"/>
              <w:rPr>
                <w:rFonts w:eastAsia="MS Mincho" w:cstheme="minorHAnsi"/>
              </w:rPr>
            </w:pPr>
            <w:r w:rsidRPr="005801BD">
              <w:rPr>
                <w:rFonts w:eastAsia="MS Mincho" w:cstheme="minorHAnsi"/>
              </w:rPr>
              <w:t>TQD was set for w</w:t>
            </w:r>
            <w:r w:rsidR="005801BD">
              <w:rPr>
                <w:rFonts w:eastAsia="MS Mincho" w:cstheme="minorHAnsi"/>
              </w:rPr>
              <w:t>ee</w:t>
            </w:r>
            <w:r w:rsidRPr="005801BD">
              <w:rPr>
                <w:rFonts w:eastAsia="MS Mincho" w:cstheme="minorHAnsi"/>
              </w:rPr>
              <w:t>k 1 visit</w:t>
            </w:r>
          </w:p>
          <w:p w14:paraId="4A742B79" w14:textId="6D020261" w:rsidR="00C72ECD" w:rsidRPr="005801BD" w:rsidRDefault="00C72ECD" w:rsidP="00A71365">
            <w:pPr>
              <w:pStyle w:val="Tablewriting"/>
              <w:rPr>
                <w:rFonts w:eastAsia="MS Mincho" w:cstheme="minorHAnsi"/>
              </w:rPr>
            </w:pPr>
            <w:r w:rsidRPr="005801BD">
              <w:rPr>
                <w:rFonts w:eastAsia="MS Mincho" w:cstheme="minorHAnsi"/>
              </w:rPr>
              <w:t>Treatment period was 12 wks. Visits at screening, baseline, weekly for w</w:t>
            </w:r>
            <w:r w:rsidR="005801BD">
              <w:rPr>
                <w:rFonts w:eastAsia="MS Mincho" w:cstheme="minorHAnsi"/>
              </w:rPr>
              <w:t>ee</w:t>
            </w:r>
            <w:r w:rsidRPr="005801BD">
              <w:rPr>
                <w:rFonts w:eastAsia="MS Mincho" w:cstheme="minorHAnsi"/>
              </w:rPr>
              <w:t>ks 1 - 12, and then at w</w:t>
            </w:r>
            <w:r w:rsidR="005801BD">
              <w:rPr>
                <w:rFonts w:eastAsia="MS Mincho" w:cstheme="minorHAnsi"/>
              </w:rPr>
              <w:t>ee</w:t>
            </w:r>
            <w:r w:rsidRPr="005801BD">
              <w:rPr>
                <w:rFonts w:eastAsia="MS Mincho" w:cstheme="minorHAnsi"/>
              </w:rPr>
              <w:t>ks 13,</w:t>
            </w:r>
          </w:p>
          <w:p w14:paraId="73FF156A" w14:textId="772EBA6E" w:rsidR="005138DD" w:rsidRPr="00017AE6" w:rsidRDefault="00C72ECD" w:rsidP="00A71365">
            <w:pPr>
              <w:pStyle w:val="Tablewriting"/>
              <w:rPr>
                <w:rFonts w:eastAsia="MS Mincho" w:cstheme="minorHAnsi"/>
              </w:rPr>
            </w:pPr>
            <w:r w:rsidRPr="005801BD">
              <w:rPr>
                <w:rFonts w:eastAsia="MS Mincho" w:cstheme="minorHAnsi"/>
              </w:rPr>
              <w:t>16, 24, 32, 40, 52 (or early termination); phone calls at w</w:t>
            </w:r>
            <w:r w:rsidR="007F1CCF">
              <w:rPr>
                <w:rFonts w:eastAsia="MS Mincho" w:cstheme="minorHAnsi"/>
              </w:rPr>
              <w:t>ee</w:t>
            </w:r>
            <w:r w:rsidRPr="005801BD">
              <w:rPr>
                <w:rFonts w:eastAsia="MS Mincho" w:cstheme="minorHAnsi"/>
              </w:rPr>
              <w:t>ks 14, 20, 28, 36, 44 and 48. Weekly pill counts</w:t>
            </w:r>
            <w:r w:rsidR="004764A6" w:rsidRPr="005801BD">
              <w:rPr>
                <w:rFonts w:eastAsia="MS Mincho" w:cstheme="minorHAnsi"/>
              </w:rPr>
              <w:t xml:space="preserve"> </w:t>
            </w:r>
            <w:r w:rsidRPr="005801BD">
              <w:rPr>
                <w:rFonts w:eastAsia="MS Mincho" w:cstheme="minorHAnsi"/>
              </w:rPr>
              <w:t xml:space="preserve">to assess </w:t>
            </w:r>
            <w:r w:rsidR="00AE7D8F" w:rsidRPr="005801BD">
              <w:rPr>
                <w:rFonts w:eastAsia="MS Mincho" w:cstheme="minorHAnsi"/>
              </w:rPr>
              <w:t>adherence.</w:t>
            </w:r>
          </w:p>
        </w:tc>
        <w:tc>
          <w:tcPr>
            <w:tcW w:w="959" w:type="pct"/>
          </w:tcPr>
          <w:p w14:paraId="44A0E97A" w14:textId="77777777" w:rsidR="00F06A4E" w:rsidRPr="00F06A4E" w:rsidRDefault="00F06A4E" w:rsidP="00A71365">
            <w:pPr>
              <w:pStyle w:val="Tablewriting"/>
              <w:rPr>
                <w:rFonts w:eastAsia="MS Mincho" w:cstheme="minorHAnsi"/>
                <w:u w:val="single"/>
              </w:rPr>
            </w:pPr>
            <w:r w:rsidRPr="00F06A4E">
              <w:rPr>
                <w:rFonts w:eastAsia="MS Mincho" w:cstheme="minorHAnsi"/>
                <w:u w:val="single"/>
              </w:rPr>
              <w:t>Efficacy:</w:t>
            </w:r>
          </w:p>
          <w:p w14:paraId="2109965D" w14:textId="746E6686" w:rsidR="00EB693D" w:rsidRPr="00017AE6" w:rsidRDefault="00EB693D" w:rsidP="00A71365">
            <w:pPr>
              <w:pStyle w:val="Tablewriting"/>
              <w:rPr>
                <w:rFonts w:eastAsia="MS Mincho" w:cstheme="minorHAnsi"/>
              </w:rPr>
            </w:pPr>
            <w:r w:rsidRPr="00017AE6">
              <w:rPr>
                <w:rFonts w:eastAsia="MS Mincho" w:cstheme="minorHAnsi"/>
              </w:rPr>
              <w:t>Primary: CO-confirmed CAR for w</w:t>
            </w:r>
            <w:r w:rsidR="0038732F">
              <w:rPr>
                <w:rFonts w:eastAsia="MS Mincho" w:cstheme="minorHAnsi"/>
              </w:rPr>
              <w:t>ee</w:t>
            </w:r>
            <w:r w:rsidRPr="00017AE6">
              <w:rPr>
                <w:rFonts w:eastAsia="MS Mincho" w:cstheme="minorHAnsi"/>
              </w:rPr>
              <w:t xml:space="preserve">ks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12</w:t>
            </w:r>
            <w:r w:rsidR="0038732F">
              <w:rPr>
                <w:rFonts w:eastAsia="MS Mincho" w:cstheme="minorHAnsi"/>
              </w:rPr>
              <w:t>)</w:t>
            </w:r>
          </w:p>
          <w:p w14:paraId="472A9A7C" w14:textId="77777777" w:rsidR="00B46B39" w:rsidRDefault="00EB693D" w:rsidP="00A71365">
            <w:pPr>
              <w:pStyle w:val="Tablewriting"/>
              <w:rPr>
                <w:rFonts w:eastAsia="MS Mincho" w:cstheme="minorHAnsi"/>
              </w:rPr>
            </w:pPr>
            <w:r w:rsidRPr="00017AE6">
              <w:rPr>
                <w:rFonts w:eastAsia="MS Mincho" w:cstheme="minorHAnsi"/>
              </w:rPr>
              <w:t>Secondary: CO-confirmed CAR for w</w:t>
            </w:r>
            <w:r w:rsidR="0038732F">
              <w:rPr>
                <w:rFonts w:eastAsia="MS Mincho" w:cstheme="minorHAnsi"/>
              </w:rPr>
              <w:t>ee</w:t>
            </w:r>
            <w:r w:rsidRPr="00017AE6">
              <w:rPr>
                <w:rFonts w:eastAsia="MS Mincho" w:cstheme="minorHAnsi"/>
              </w:rPr>
              <w:t xml:space="preserve">ks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24</w:t>
            </w:r>
            <w:r w:rsidR="0038732F">
              <w:rPr>
                <w:rFonts w:eastAsia="MS Mincho" w:cstheme="minorHAnsi"/>
              </w:rPr>
              <w:t>)</w:t>
            </w:r>
            <w:r w:rsidRPr="00017AE6">
              <w:rPr>
                <w:rFonts w:eastAsia="MS Mincho" w:cstheme="minorHAnsi"/>
              </w:rPr>
              <w:t xml:space="preserve">, </w:t>
            </w:r>
            <w:r w:rsidR="0038732F">
              <w:rPr>
                <w:rFonts w:eastAsia="MS Mincho" w:cstheme="minorHAnsi"/>
              </w:rPr>
              <w:t>(</w:t>
            </w:r>
            <w:r w:rsidRPr="00017AE6">
              <w:rPr>
                <w:rFonts w:eastAsia="MS Mincho" w:cstheme="minorHAnsi"/>
              </w:rPr>
              <w:t xml:space="preserve">9 </w:t>
            </w:r>
            <w:r w:rsidR="0038732F">
              <w:rPr>
                <w:rFonts w:eastAsia="MS Mincho" w:cstheme="minorHAnsi"/>
              </w:rPr>
              <w:t>–</w:t>
            </w:r>
            <w:r w:rsidRPr="00017AE6">
              <w:rPr>
                <w:rFonts w:eastAsia="MS Mincho" w:cstheme="minorHAnsi"/>
              </w:rPr>
              <w:t xml:space="preserve"> 52</w:t>
            </w:r>
            <w:r w:rsidR="0038732F">
              <w:rPr>
                <w:rFonts w:eastAsia="MS Mincho" w:cstheme="minorHAnsi"/>
              </w:rPr>
              <w:t>)</w:t>
            </w:r>
            <w:r w:rsidRPr="00017AE6">
              <w:rPr>
                <w:rFonts w:eastAsia="MS Mincho" w:cstheme="minorHAnsi"/>
              </w:rPr>
              <w:t xml:space="preserve">; </w:t>
            </w:r>
          </w:p>
          <w:p w14:paraId="07DA302D" w14:textId="1E8D1AD9" w:rsidR="00EB693D" w:rsidRPr="00017AE6" w:rsidRDefault="00EB693D" w:rsidP="00A71365">
            <w:pPr>
              <w:pStyle w:val="Tablewriting"/>
              <w:rPr>
                <w:rFonts w:eastAsia="MS Mincho" w:cstheme="minorHAnsi"/>
              </w:rPr>
            </w:pPr>
            <w:r w:rsidRPr="00017AE6">
              <w:rPr>
                <w:rFonts w:eastAsia="MS Mincho" w:cstheme="minorHAnsi"/>
              </w:rPr>
              <w:t>7-day PPA at w</w:t>
            </w:r>
            <w:r w:rsidR="00B46B39">
              <w:rPr>
                <w:rFonts w:eastAsia="MS Mincho" w:cstheme="minorHAnsi"/>
              </w:rPr>
              <w:t>ee</w:t>
            </w:r>
            <w:r w:rsidRPr="00017AE6">
              <w:rPr>
                <w:rFonts w:eastAsia="MS Mincho" w:cstheme="minorHAnsi"/>
              </w:rPr>
              <w:t xml:space="preserve">ks 12, 24, 52 </w:t>
            </w:r>
          </w:p>
          <w:p w14:paraId="06B21B58" w14:textId="77777777" w:rsidR="00C4760C" w:rsidRDefault="00C4760C" w:rsidP="00A71365">
            <w:pPr>
              <w:pStyle w:val="Tablewriting"/>
              <w:rPr>
                <w:rFonts w:eastAsia="MS Mincho" w:cstheme="minorHAnsi"/>
              </w:rPr>
            </w:pPr>
          </w:p>
          <w:p w14:paraId="4027A67E" w14:textId="2953961A" w:rsidR="003C1E82" w:rsidRPr="00C4760C" w:rsidRDefault="00C4760C" w:rsidP="00A71365">
            <w:pPr>
              <w:pStyle w:val="Tablewriting"/>
              <w:rPr>
                <w:rFonts w:eastAsia="MS Mincho" w:cstheme="minorHAnsi"/>
              </w:rPr>
            </w:pPr>
            <w:r w:rsidRPr="00C4760C">
              <w:rPr>
                <w:rFonts w:eastAsia="MS Mincho" w:cstheme="minorHAnsi"/>
              </w:rPr>
              <w:t>Verification: CO &lt; 10 ppm</w:t>
            </w:r>
          </w:p>
          <w:p w14:paraId="350D49F7" w14:textId="77777777" w:rsidR="00C4760C" w:rsidRDefault="00C4760C" w:rsidP="00A71365">
            <w:pPr>
              <w:pStyle w:val="Tablewriting"/>
              <w:rPr>
                <w:rFonts w:eastAsia="MS Mincho" w:cstheme="minorHAnsi"/>
                <w:u w:val="single"/>
              </w:rPr>
            </w:pPr>
          </w:p>
          <w:p w14:paraId="547750EF" w14:textId="264BAC8F" w:rsidR="00295E3E" w:rsidRPr="00017AE6" w:rsidRDefault="00F06A4E" w:rsidP="00A71365">
            <w:pPr>
              <w:pStyle w:val="Tablewriting"/>
              <w:rPr>
                <w:rFonts w:eastAsia="MS Mincho" w:cstheme="minorHAnsi"/>
              </w:rPr>
            </w:pPr>
            <w:r w:rsidRPr="00F06A4E">
              <w:rPr>
                <w:rFonts w:eastAsia="MS Mincho" w:cstheme="minorHAnsi"/>
                <w:u w:val="single"/>
              </w:rPr>
              <w:t xml:space="preserve">Safety: </w:t>
            </w:r>
            <w:r w:rsidR="00295E3E" w:rsidRPr="00017AE6">
              <w:rPr>
                <w:rFonts w:eastAsia="MS Mincho" w:cstheme="minorHAnsi"/>
              </w:rPr>
              <w:t>AEs and SAEs</w:t>
            </w:r>
          </w:p>
          <w:p w14:paraId="1B2BD1A9" w14:textId="0068C4DC" w:rsidR="00F06A4E" w:rsidRPr="00F06A4E" w:rsidRDefault="00F06A4E" w:rsidP="00A71365">
            <w:pPr>
              <w:pStyle w:val="Tablewriting"/>
              <w:rPr>
                <w:rFonts w:eastAsia="MS Mincho" w:cstheme="minorHAnsi"/>
                <w:u w:val="single"/>
              </w:rPr>
            </w:pPr>
          </w:p>
          <w:p w14:paraId="1BE57C5F" w14:textId="5AFD89A0" w:rsidR="005138DD" w:rsidRPr="00017AE6" w:rsidRDefault="005138DD" w:rsidP="00A71365">
            <w:pPr>
              <w:pStyle w:val="Tablewriting"/>
              <w:rPr>
                <w:rFonts w:eastAsia="MS Mincho" w:cstheme="minorHAnsi"/>
              </w:rPr>
            </w:pPr>
          </w:p>
        </w:tc>
      </w:tr>
      <w:tr w:rsidR="003D3459" w:rsidRPr="00017AE6" w14:paraId="7A87BF74" w14:textId="77777777" w:rsidTr="005821B1">
        <w:trPr>
          <w:trHeight w:val="99"/>
        </w:trPr>
        <w:tc>
          <w:tcPr>
            <w:tcW w:w="761" w:type="pct"/>
          </w:tcPr>
          <w:p w14:paraId="72A0B42C" w14:textId="662FCECA" w:rsidR="00C25F5E" w:rsidRPr="00017AE6" w:rsidRDefault="00C25F5E" w:rsidP="00A71365">
            <w:pPr>
              <w:pStyle w:val="Tablewriting"/>
              <w:rPr>
                <w:rFonts w:eastAsia="MS Mincho" w:cstheme="minorHAnsi"/>
              </w:rPr>
            </w:pPr>
            <w:r w:rsidRPr="00017AE6">
              <w:rPr>
                <w:rFonts w:eastAsia="MS Mincho" w:cstheme="minorHAnsi"/>
              </w:rPr>
              <w:t xml:space="preserve">Bolliger </w:t>
            </w:r>
            <w:r w:rsidR="008C25BC">
              <w:rPr>
                <w:rFonts w:eastAsia="MS Mincho" w:cstheme="minorHAnsi"/>
              </w:rPr>
              <w:t>(</w:t>
            </w:r>
            <w:r w:rsidRPr="00017AE6">
              <w:rPr>
                <w:rFonts w:eastAsia="MS Mincho" w:cstheme="minorHAnsi"/>
              </w:rPr>
              <w:t>2011</w:t>
            </w:r>
            <w:r w:rsidR="008C25BC">
              <w:rPr>
                <w:rFonts w:eastAsia="MS Mincho" w:cstheme="minorHAnsi"/>
              </w:rPr>
              <w:t>)</w:t>
            </w:r>
          </w:p>
        </w:tc>
        <w:tc>
          <w:tcPr>
            <w:tcW w:w="235" w:type="pct"/>
          </w:tcPr>
          <w:p w14:paraId="1A2CEE54" w14:textId="7CB44A5C"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48BFC72F" w14:textId="0FCB2F2D" w:rsidR="00C25F5E" w:rsidRPr="00017AE6" w:rsidRDefault="00212587" w:rsidP="00A71365">
            <w:pPr>
              <w:pStyle w:val="Tablewriting"/>
              <w:rPr>
                <w:rFonts w:eastAsia="MS Mincho" w:cstheme="minorHAnsi"/>
              </w:rPr>
            </w:pPr>
            <w:r w:rsidRPr="00017AE6">
              <w:rPr>
                <w:rFonts w:eastAsia="MS Mincho" w:cstheme="minorHAnsi"/>
              </w:rPr>
              <w:t>Brazil,</w:t>
            </w:r>
            <w:r w:rsidR="003D3459">
              <w:rPr>
                <w:rFonts w:eastAsia="MS Mincho" w:cstheme="minorHAnsi"/>
              </w:rPr>
              <w:t xml:space="preserve"> </w:t>
            </w:r>
            <w:r w:rsidRPr="00017AE6">
              <w:rPr>
                <w:rFonts w:eastAsia="MS Mincho" w:cstheme="minorHAnsi"/>
              </w:rPr>
              <w:t>Colombia,</w:t>
            </w:r>
            <w:r w:rsidR="003D3459">
              <w:rPr>
                <w:rFonts w:eastAsia="MS Mincho" w:cstheme="minorHAnsi"/>
              </w:rPr>
              <w:t xml:space="preserve"> </w:t>
            </w:r>
            <w:r w:rsidRPr="00017AE6">
              <w:rPr>
                <w:rFonts w:eastAsia="MS Mincho" w:cstheme="minorHAnsi"/>
              </w:rPr>
              <w:t>Costa Rica,</w:t>
            </w:r>
            <w:r w:rsidR="003D3459">
              <w:rPr>
                <w:rFonts w:eastAsia="MS Mincho" w:cstheme="minorHAnsi"/>
              </w:rPr>
              <w:t xml:space="preserve"> </w:t>
            </w:r>
            <w:r w:rsidRPr="00017AE6">
              <w:rPr>
                <w:rFonts w:eastAsia="MS Mincho" w:cstheme="minorHAnsi"/>
              </w:rPr>
              <w:t>Egypt,</w:t>
            </w:r>
            <w:r w:rsidR="003D3459">
              <w:rPr>
                <w:rFonts w:eastAsia="MS Mincho" w:cstheme="minorHAnsi"/>
              </w:rPr>
              <w:t xml:space="preserve"> </w:t>
            </w:r>
            <w:r w:rsidRPr="00017AE6">
              <w:rPr>
                <w:rFonts w:eastAsia="MS Mincho" w:cstheme="minorHAnsi"/>
              </w:rPr>
              <w:t>Jordan,</w:t>
            </w:r>
            <w:r w:rsidR="003D3459">
              <w:rPr>
                <w:rFonts w:eastAsia="MS Mincho" w:cstheme="minorHAnsi"/>
              </w:rPr>
              <w:t xml:space="preserve"> </w:t>
            </w:r>
            <w:r w:rsidRPr="00017AE6">
              <w:rPr>
                <w:rFonts w:eastAsia="MS Mincho" w:cstheme="minorHAnsi"/>
              </w:rPr>
              <w:lastRenderedPageBreak/>
              <w:t>Lebanon,</w:t>
            </w:r>
            <w:r w:rsidR="003D3459">
              <w:rPr>
                <w:rFonts w:eastAsia="MS Mincho" w:cstheme="minorHAnsi"/>
              </w:rPr>
              <w:t xml:space="preserve"> </w:t>
            </w:r>
            <w:r w:rsidRPr="00017AE6">
              <w:rPr>
                <w:rFonts w:eastAsia="MS Mincho" w:cstheme="minorHAnsi"/>
              </w:rPr>
              <w:t>Mexico, Saudi Arabia, South Africa,</w:t>
            </w:r>
            <w:r w:rsidR="003D3459">
              <w:rPr>
                <w:rFonts w:eastAsia="MS Mincho" w:cstheme="minorHAnsi"/>
              </w:rPr>
              <w:t xml:space="preserve"> </w:t>
            </w:r>
            <w:r w:rsidRPr="00017AE6">
              <w:rPr>
                <w:rFonts w:eastAsia="MS Mincho" w:cstheme="minorHAnsi"/>
              </w:rPr>
              <w:t>United Arab</w:t>
            </w:r>
            <w:r w:rsidR="003D3459">
              <w:rPr>
                <w:rFonts w:eastAsia="MS Mincho" w:cstheme="minorHAnsi"/>
              </w:rPr>
              <w:t xml:space="preserve"> </w:t>
            </w:r>
            <w:r w:rsidRPr="00017AE6">
              <w:rPr>
                <w:rFonts w:eastAsia="MS Mincho" w:cstheme="minorHAnsi"/>
              </w:rPr>
              <w:t>Emirates,</w:t>
            </w:r>
            <w:r w:rsidR="003D3459">
              <w:rPr>
                <w:rFonts w:eastAsia="MS Mincho" w:cstheme="minorHAnsi"/>
              </w:rPr>
              <w:t xml:space="preserve"> </w:t>
            </w:r>
            <w:r w:rsidRPr="00017AE6">
              <w:rPr>
                <w:rFonts w:eastAsia="MS Mincho" w:cstheme="minorHAnsi"/>
              </w:rPr>
              <w:t>Venezuela</w:t>
            </w:r>
          </w:p>
        </w:tc>
        <w:tc>
          <w:tcPr>
            <w:tcW w:w="679" w:type="pct"/>
          </w:tcPr>
          <w:p w14:paraId="00493889" w14:textId="4346B332" w:rsidR="00C25F5E" w:rsidRPr="00017AE6" w:rsidRDefault="00C25F5E" w:rsidP="00A71365">
            <w:pPr>
              <w:pStyle w:val="Tablewriting"/>
              <w:rPr>
                <w:rFonts w:eastAsia="MS Mincho" w:cstheme="minorHAnsi"/>
              </w:rPr>
            </w:pPr>
            <w:r w:rsidRPr="00017AE6">
              <w:rPr>
                <w:rFonts w:eastAsia="MS Mincho" w:cstheme="minorHAnsi"/>
              </w:rPr>
              <w:lastRenderedPageBreak/>
              <w:t>N=</w:t>
            </w:r>
            <w:r w:rsidR="00471549" w:rsidRPr="00017AE6">
              <w:rPr>
                <w:rFonts w:eastAsia="MS Mincho" w:cstheme="minorHAnsi"/>
              </w:rPr>
              <w:t>593</w:t>
            </w:r>
            <w:r w:rsidR="00EF172D">
              <w:rPr>
                <w:rFonts w:eastAsia="MS Mincho" w:cstheme="minorHAnsi"/>
              </w:rPr>
              <w:t xml:space="preserve">; </w:t>
            </w:r>
            <w:r w:rsidR="001F4FC5">
              <w:rPr>
                <w:rFonts w:eastAsia="MS Mincho" w:cstheme="minorHAnsi"/>
              </w:rPr>
              <w:t>n=</w:t>
            </w:r>
            <w:r w:rsidR="00EF172D" w:rsidRPr="00017AE6">
              <w:rPr>
                <w:rFonts w:eastAsia="MS Mincho" w:cstheme="minorHAnsi"/>
              </w:rPr>
              <w:t>394</w:t>
            </w:r>
            <w:r w:rsidR="00A00662">
              <w:rPr>
                <w:rFonts w:eastAsia="MS Mincho" w:cstheme="minorHAnsi"/>
              </w:rPr>
              <w:t xml:space="preserve"> </w:t>
            </w:r>
            <w:r w:rsidR="00EF172D" w:rsidRPr="00017AE6">
              <w:rPr>
                <w:rFonts w:eastAsia="MS Mincho" w:cstheme="minorHAnsi"/>
              </w:rPr>
              <w:t>(</w:t>
            </w:r>
            <w:r w:rsidR="001F4FC5" w:rsidRPr="00017AE6">
              <w:rPr>
                <w:rFonts w:eastAsia="MS Mincho" w:cstheme="minorHAnsi"/>
              </w:rPr>
              <w:t>varenicline</w:t>
            </w:r>
            <w:r w:rsidR="00EF172D" w:rsidRPr="00017AE6">
              <w:rPr>
                <w:rFonts w:eastAsia="MS Mincho" w:cstheme="minorHAnsi"/>
              </w:rPr>
              <w:t xml:space="preserve">), </w:t>
            </w:r>
            <w:r w:rsidR="00A00662">
              <w:rPr>
                <w:rFonts w:eastAsia="MS Mincho" w:cstheme="minorHAnsi"/>
              </w:rPr>
              <w:t>n=199 (</w:t>
            </w:r>
            <w:r w:rsidR="00EF172D" w:rsidRPr="00017AE6">
              <w:rPr>
                <w:rFonts w:eastAsia="MS Mincho" w:cstheme="minorHAnsi"/>
              </w:rPr>
              <w:t>placebo</w:t>
            </w:r>
            <w:r w:rsidR="00A00662">
              <w:rPr>
                <w:rFonts w:eastAsia="MS Mincho" w:cstheme="minorHAnsi"/>
              </w:rPr>
              <w:t>)</w:t>
            </w:r>
          </w:p>
        </w:tc>
        <w:tc>
          <w:tcPr>
            <w:tcW w:w="851" w:type="pct"/>
          </w:tcPr>
          <w:p w14:paraId="13459F94" w14:textId="422A4D37" w:rsidR="00EF172D" w:rsidRDefault="00471549" w:rsidP="00A71365">
            <w:pPr>
              <w:pStyle w:val="Tablewriting"/>
              <w:rPr>
                <w:rFonts w:eastAsia="MS Mincho" w:cstheme="minorHAnsi"/>
              </w:rPr>
            </w:pPr>
            <w:r w:rsidRPr="00017AE6">
              <w:rPr>
                <w:rFonts w:eastAsia="MS Mincho" w:cstheme="minorHAnsi"/>
              </w:rPr>
              <w:t xml:space="preserve">Adults, recruited from smoking cessation clinics, aged 18 </w:t>
            </w:r>
            <w:r w:rsidR="0078286F">
              <w:rPr>
                <w:rFonts w:eastAsia="MS Mincho" w:cstheme="minorHAnsi"/>
              </w:rPr>
              <w:t>–</w:t>
            </w:r>
            <w:r w:rsidRPr="00017AE6">
              <w:rPr>
                <w:rFonts w:eastAsia="MS Mincho" w:cstheme="minorHAnsi"/>
              </w:rPr>
              <w:t xml:space="preserve"> 75</w:t>
            </w:r>
            <w:r w:rsidR="0078286F">
              <w:rPr>
                <w:rFonts w:eastAsia="MS Mincho" w:cstheme="minorHAnsi"/>
              </w:rPr>
              <w:t xml:space="preserve"> years</w:t>
            </w:r>
            <w:r w:rsidRPr="00017AE6">
              <w:rPr>
                <w:rFonts w:eastAsia="MS Mincho" w:cstheme="minorHAnsi"/>
              </w:rPr>
              <w:t>, weight &gt; 45.5 kg, BMI 15 - 38, smoking</w:t>
            </w:r>
            <w:r w:rsidR="0078286F">
              <w:rPr>
                <w:rFonts w:eastAsia="MS Mincho" w:cstheme="minorHAnsi"/>
              </w:rPr>
              <w:t xml:space="preserve"> </w:t>
            </w:r>
            <w:r w:rsidR="00210E5A" w:rsidRPr="00210E5A">
              <w:rPr>
                <w:rFonts w:eastAsia="MS Mincho" w:cstheme="minorHAnsi"/>
              </w:rPr>
              <w:t>≥</w:t>
            </w:r>
            <w:r w:rsidRPr="00017AE6">
              <w:rPr>
                <w:rFonts w:eastAsia="MS Mincho" w:cstheme="minorHAnsi"/>
              </w:rPr>
              <w:t xml:space="preserve"> </w:t>
            </w:r>
            <w:r w:rsidRPr="00017AE6">
              <w:rPr>
                <w:rFonts w:eastAsia="MS Mincho" w:cstheme="minorHAnsi"/>
              </w:rPr>
              <w:lastRenderedPageBreak/>
              <w:t xml:space="preserve">10 CPD, motivated to quit. </w:t>
            </w:r>
          </w:p>
          <w:p w14:paraId="432CD877" w14:textId="213CE38B" w:rsidR="00471549" w:rsidRPr="00017AE6" w:rsidRDefault="00471549" w:rsidP="00A71365">
            <w:pPr>
              <w:pStyle w:val="Tablewriting"/>
              <w:rPr>
                <w:rFonts w:eastAsia="MS Mincho" w:cstheme="minorHAnsi"/>
              </w:rPr>
            </w:pPr>
            <w:r w:rsidRPr="00017AE6">
              <w:rPr>
                <w:rFonts w:eastAsia="MS Mincho" w:cstheme="minorHAnsi"/>
              </w:rPr>
              <w:t>Mean age 43.5, 63.6% men, mean CPD 23.8, mean FTND 6.0. 55% had no prior quit attempt</w:t>
            </w:r>
          </w:p>
          <w:p w14:paraId="312F2C1C" w14:textId="77777777" w:rsidR="00471549" w:rsidRPr="00017AE6" w:rsidRDefault="00471549" w:rsidP="00A71365">
            <w:pPr>
              <w:pStyle w:val="Tablewriting"/>
              <w:rPr>
                <w:rFonts w:eastAsia="MS Mincho" w:cstheme="minorHAnsi"/>
              </w:rPr>
            </w:pPr>
          </w:p>
          <w:p w14:paraId="2A792892" w14:textId="582D609F" w:rsidR="00471549" w:rsidRPr="00017AE6" w:rsidRDefault="00471549" w:rsidP="00A71365">
            <w:pPr>
              <w:pStyle w:val="Tablewriting"/>
              <w:rPr>
                <w:rFonts w:eastAsia="MS Mincho" w:cstheme="minorHAnsi"/>
              </w:rPr>
            </w:pPr>
            <w:r w:rsidRPr="00EF172D">
              <w:rPr>
                <w:rFonts w:eastAsia="MS Mincho" w:cstheme="minorHAnsi"/>
                <w:u w:val="single"/>
              </w:rPr>
              <w:t>Exclusion criteria:</w:t>
            </w:r>
            <w:r w:rsidRPr="00017AE6">
              <w:rPr>
                <w:rFonts w:eastAsia="MS Mincho" w:cstheme="minorHAnsi"/>
              </w:rPr>
              <w:t xml:space="preserve"> Standard pharmacotherapy trial criteria, + participants must not have used NRT,</w:t>
            </w:r>
          </w:p>
          <w:p w14:paraId="140A86CF" w14:textId="7AA38767" w:rsidR="00C25F5E" w:rsidRPr="00017AE6" w:rsidRDefault="00471549" w:rsidP="00A71365">
            <w:pPr>
              <w:pStyle w:val="Tablewriting"/>
              <w:rPr>
                <w:rFonts w:eastAsia="MS Mincho" w:cstheme="minorHAnsi"/>
              </w:rPr>
            </w:pPr>
            <w:r w:rsidRPr="00017AE6">
              <w:rPr>
                <w:rFonts w:eastAsia="MS Mincho" w:cstheme="minorHAnsi"/>
              </w:rPr>
              <w:t xml:space="preserve">bupropion, </w:t>
            </w:r>
            <w:r w:rsidR="004664D2" w:rsidRPr="00017AE6">
              <w:rPr>
                <w:rFonts w:eastAsia="MS Mincho" w:cstheme="minorHAnsi"/>
              </w:rPr>
              <w:t>clonidine,</w:t>
            </w:r>
            <w:r w:rsidRPr="00017AE6">
              <w:rPr>
                <w:rFonts w:eastAsia="MS Mincho" w:cstheme="minorHAnsi"/>
              </w:rPr>
              <w:t xml:space="preserve"> or nortriptyline in previous 6</w:t>
            </w:r>
            <w:r w:rsidR="00DB01C9">
              <w:rPr>
                <w:rFonts w:eastAsia="MS Mincho" w:cstheme="minorHAnsi"/>
              </w:rPr>
              <w:t xml:space="preserve"> months. </w:t>
            </w:r>
          </w:p>
        </w:tc>
        <w:tc>
          <w:tcPr>
            <w:tcW w:w="1054" w:type="pct"/>
          </w:tcPr>
          <w:p w14:paraId="2200C5EA" w14:textId="24BEC205" w:rsidR="00DB01C9" w:rsidRDefault="00152301" w:rsidP="00C324F3">
            <w:pPr>
              <w:pStyle w:val="Tablewriting"/>
              <w:numPr>
                <w:ilvl w:val="0"/>
                <w:numId w:val="61"/>
              </w:numPr>
              <w:rPr>
                <w:rFonts w:eastAsia="MS Mincho" w:cstheme="minorHAnsi"/>
              </w:rPr>
            </w:pPr>
            <w:r w:rsidRPr="00017AE6">
              <w:rPr>
                <w:rFonts w:eastAsia="MS Mincho" w:cstheme="minorHAnsi"/>
              </w:rPr>
              <w:lastRenderedPageBreak/>
              <w:t>Varenicline 1</w:t>
            </w:r>
            <w:r w:rsidR="00002E73">
              <w:rPr>
                <w:rFonts w:eastAsia="MS Mincho" w:cstheme="minorHAnsi"/>
              </w:rPr>
              <w:t xml:space="preserve"> </w:t>
            </w:r>
            <w:r w:rsidRPr="00017AE6">
              <w:rPr>
                <w:rFonts w:eastAsia="MS Mincho" w:cstheme="minorHAnsi"/>
              </w:rPr>
              <w:t>mg x 2/day, titrated during w</w:t>
            </w:r>
            <w:r w:rsidR="00DB01C9">
              <w:rPr>
                <w:rFonts w:eastAsia="MS Mincho" w:cstheme="minorHAnsi"/>
              </w:rPr>
              <w:t>ee</w:t>
            </w:r>
            <w:r w:rsidRPr="00017AE6">
              <w:rPr>
                <w:rFonts w:eastAsia="MS Mincho" w:cstheme="minorHAnsi"/>
              </w:rPr>
              <w:t>k 1</w:t>
            </w:r>
          </w:p>
          <w:p w14:paraId="24195887" w14:textId="6714BF6E" w:rsidR="00152301" w:rsidRPr="00017AE6" w:rsidRDefault="00152301" w:rsidP="00C324F3">
            <w:pPr>
              <w:pStyle w:val="Tablewriting"/>
              <w:numPr>
                <w:ilvl w:val="0"/>
                <w:numId w:val="61"/>
              </w:numPr>
              <w:rPr>
                <w:rFonts w:eastAsia="MS Mincho" w:cstheme="minorHAnsi"/>
              </w:rPr>
            </w:pPr>
            <w:r w:rsidRPr="00017AE6">
              <w:rPr>
                <w:rFonts w:eastAsia="MS Mincho" w:cstheme="minorHAnsi"/>
              </w:rPr>
              <w:t>Placebo inactive tablets, same regimen</w:t>
            </w:r>
          </w:p>
          <w:p w14:paraId="41FCEB5B" w14:textId="77777777" w:rsidR="00B00573" w:rsidRDefault="00B00573" w:rsidP="00A71365">
            <w:pPr>
              <w:pStyle w:val="Tablewriting"/>
              <w:rPr>
                <w:rFonts w:eastAsia="MS Mincho" w:cstheme="minorHAnsi"/>
              </w:rPr>
            </w:pPr>
          </w:p>
          <w:p w14:paraId="16E6A46C" w14:textId="77777777" w:rsidR="00B00573" w:rsidRDefault="00152301" w:rsidP="00A71365">
            <w:pPr>
              <w:pStyle w:val="Tablewriting"/>
              <w:rPr>
                <w:rFonts w:eastAsia="MS Mincho" w:cstheme="minorHAnsi"/>
              </w:rPr>
            </w:pPr>
            <w:r w:rsidRPr="00017AE6">
              <w:rPr>
                <w:rFonts w:eastAsia="MS Mincho" w:cstheme="minorHAnsi"/>
              </w:rPr>
              <w:lastRenderedPageBreak/>
              <w:t>Treatment period was 12 w</w:t>
            </w:r>
            <w:r w:rsidR="00B00573">
              <w:rPr>
                <w:rFonts w:eastAsia="MS Mincho" w:cstheme="minorHAnsi"/>
              </w:rPr>
              <w:t>ee</w:t>
            </w:r>
            <w:r w:rsidRPr="00017AE6">
              <w:rPr>
                <w:rFonts w:eastAsia="MS Mincho" w:cstheme="minorHAnsi"/>
              </w:rPr>
              <w:t xml:space="preserve">ks. </w:t>
            </w:r>
          </w:p>
          <w:p w14:paraId="5E42BFEE" w14:textId="77777777" w:rsidR="00B00573" w:rsidRDefault="00B00573" w:rsidP="00A71365">
            <w:pPr>
              <w:pStyle w:val="Tablewriting"/>
              <w:rPr>
                <w:rFonts w:eastAsia="MS Mincho" w:cstheme="minorHAnsi"/>
              </w:rPr>
            </w:pPr>
          </w:p>
          <w:p w14:paraId="45F68322" w14:textId="052F9DB7" w:rsidR="006E071A" w:rsidRDefault="0043603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w:t>
            </w:r>
            <w:r w:rsidR="00152301">
              <w:rPr>
                <w:rFonts w:eastAsia="MS Mincho" w:cstheme="minorHAnsi"/>
                <w:u w:val="single"/>
              </w:rPr>
              <w:t xml:space="preserve"> </w:t>
            </w:r>
            <w:r w:rsidR="00152301" w:rsidRPr="00017AE6">
              <w:rPr>
                <w:rFonts w:eastAsia="MS Mincho" w:cstheme="minorHAnsi"/>
              </w:rPr>
              <w:t xml:space="preserve">All participants received </w:t>
            </w:r>
            <w:r>
              <w:rPr>
                <w:rFonts w:eastAsia="MS Mincho" w:cstheme="minorHAnsi"/>
              </w:rPr>
              <w:t>‘’</w:t>
            </w:r>
            <w:r w:rsidR="00152301" w:rsidRPr="00017AE6">
              <w:rPr>
                <w:rFonts w:eastAsia="MS Mincho" w:cstheme="minorHAnsi"/>
              </w:rPr>
              <w:t>You can quit smoking self-help booklet</w:t>
            </w:r>
            <w:r>
              <w:rPr>
                <w:rFonts w:eastAsia="MS Mincho" w:cstheme="minorHAnsi"/>
              </w:rPr>
              <w:t>’’</w:t>
            </w:r>
            <w:r w:rsidR="00152301" w:rsidRPr="00017AE6">
              <w:rPr>
                <w:rFonts w:eastAsia="MS Mincho" w:cstheme="minorHAnsi"/>
              </w:rPr>
              <w:t xml:space="preserve"> at baseline, and brief counselling (</w:t>
            </w:r>
            <w:r w:rsidR="002B6FDB" w:rsidRPr="002B6FDB">
              <w:rPr>
                <w:rFonts w:eastAsia="MS Mincho" w:cstheme="minorHAnsi"/>
              </w:rPr>
              <w:t>≤</w:t>
            </w:r>
            <w:r w:rsidR="00152301" w:rsidRPr="00017AE6">
              <w:rPr>
                <w:rFonts w:eastAsia="MS Mincho" w:cstheme="minorHAnsi"/>
              </w:rPr>
              <w:t xml:space="preserve"> 10 mins) at each</w:t>
            </w:r>
            <w:r w:rsidR="006E071A">
              <w:rPr>
                <w:rFonts w:eastAsia="MS Mincho" w:cstheme="minorHAnsi"/>
              </w:rPr>
              <w:t xml:space="preserve"> </w:t>
            </w:r>
            <w:r w:rsidR="00152301" w:rsidRPr="00017AE6">
              <w:rPr>
                <w:rFonts w:eastAsia="MS Mincho" w:cstheme="minorHAnsi"/>
              </w:rPr>
              <w:t xml:space="preserve">clinic or telephone contact. </w:t>
            </w:r>
          </w:p>
          <w:p w14:paraId="29B7BC0D" w14:textId="30C9F03A" w:rsidR="00152301" w:rsidRPr="007F1CCF" w:rsidRDefault="00152301" w:rsidP="00A71365">
            <w:pPr>
              <w:pStyle w:val="Tablewriting"/>
              <w:rPr>
                <w:rFonts w:eastAsia="MS Mincho" w:cstheme="minorHAnsi"/>
              </w:rPr>
            </w:pPr>
            <w:r w:rsidRPr="007F1CCF">
              <w:rPr>
                <w:rFonts w:eastAsia="MS Mincho" w:cstheme="minorHAnsi"/>
              </w:rPr>
              <w:t>TQD set for w</w:t>
            </w:r>
            <w:r w:rsidR="007F1CCF">
              <w:rPr>
                <w:rFonts w:eastAsia="MS Mincho" w:cstheme="minorHAnsi"/>
              </w:rPr>
              <w:t>ee</w:t>
            </w:r>
            <w:r w:rsidRPr="007F1CCF">
              <w:rPr>
                <w:rFonts w:eastAsia="MS Mincho" w:cstheme="minorHAnsi"/>
              </w:rPr>
              <w:t>k 1. Clinic visits at w</w:t>
            </w:r>
            <w:r w:rsidR="007F1CCF">
              <w:rPr>
                <w:rFonts w:eastAsia="MS Mincho" w:cstheme="minorHAnsi"/>
              </w:rPr>
              <w:t>ee</w:t>
            </w:r>
            <w:r w:rsidRPr="007F1CCF">
              <w:rPr>
                <w:rFonts w:eastAsia="MS Mincho" w:cstheme="minorHAnsi"/>
              </w:rPr>
              <w:t>ks 2, 3, 4, 6, 8, 10 and 12 throughout treatment</w:t>
            </w:r>
            <w:r w:rsidR="006E071A" w:rsidRPr="007F1CCF">
              <w:rPr>
                <w:rFonts w:eastAsia="MS Mincho" w:cstheme="minorHAnsi"/>
              </w:rPr>
              <w:t xml:space="preserve"> </w:t>
            </w:r>
            <w:r w:rsidRPr="007F1CCF">
              <w:rPr>
                <w:rFonts w:eastAsia="MS Mincho" w:cstheme="minorHAnsi"/>
              </w:rPr>
              <w:t>phase, plus a phone call 3 days post-TQD</w:t>
            </w:r>
          </w:p>
          <w:p w14:paraId="72E27F06" w14:textId="753A238E" w:rsidR="00C25F5E" w:rsidRPr="00017AE6" w:rsidRDefault="00152301" w:rsidP="00A71365">
            <w:pPr>
              <w:pStyle w:val="Tablewriting"/>
              <w:rPr>
                <w:rFonts w:eastAsia="MS Mincho" w:cstheme="minorHAnsi"/>
              </w:rPr>
            </w:pPr>
            <w:r w:rsidRPr="007F1CCF">
              <w:rPr>
                <w:rFonts w:eastAsia="MS Mincho" w:cstheme="minorHAnsi"/>
              </w:rPr>
              <w:t>In follow-up phase, clinic visits at w</w:t>
            </w:r>
            <w:r w:rsidR="007F1CCF">
              <w:rPr>
                <w:rFonts w:eastAsia="MS Mincho" w:cstheme="minorHAnsi"/>
              </w:rPr>
              <w:t>ee</w:t>
            </w:r>
            <w:r w:rsidRPr="007F1CCF">
              <w:rPr>
                <w:rFonts w:eastAsia="MS Mincho" w:cstheme="minorHAnsi"/>
              </w:rPr>
              <w:t>ks 13, 16, 20 and 24, plus brief phone calls at w</w:t>
            </w:r>
            <w:r w:rsidR="007F1CCF">
              <w:rPr>
                <w:rFonts w:eastAsia="MS Mincho" w:cstheme="minorHAnsi"/>
              </w:rPr>
              <w:t>ee</w:t>
            </w:r>
            <w:r w:rsidRPr="007F1CCF">
              <w:rPr>
                <w:rFonts w:eastAsia="MS Mincho" w:cstheme="minorHAnsi"/>
              </w:rPr>
              <w:t>ks 14, 18 and 22</w:t>
            </w:r>
            <w:r w:rsidR="007F1CCF">
              <w:rPr>
                <w:rFonts w:eastAsia="MS Mincho" w:cstheme="minorHAnsi"/>
              </w:rPr>
              <w:t>.</w:t>
            </w:r>
          </w:p>
        </w:tc>
        <w:tc>
          <w:tcPr>
            <w:tcW w:w="959" w:type="pct"/>
          </w:tcPr>
          <w:p w14:paraId="07EF0446" w14:textId="77777777" w:rsidR="00A033D8" w:rsidRDefault="00A033D8" w:rsidP="00A71365">
            <w:pPr>
              <w:pStyle w:val="Tablewriting"/>
              <w:rPr>
                <w:rFonts w:eastAsia="MS Mincho" w:cstheme="minorHAnsi"/>
                <w:u w:val="single"/>
              </w:rPr>
            </w:pPr>
            <w:r w:rsidRPr="00A033D8">
              <w:rPr>
                <w:rFonts w:eastAsia="MS Mincho" w:cstheme="minorHAnsi"/>
                <w:u w:val="single"/>
              </w:rPr>
              <w:lastRenderedPageBreak/>
              <w:t>Efficacy:</w:t>
            </w:r>
          </w:p>
          <w:p w14:paraId="7190F4FD" w14:textId="32E32FB9" w:rsidR="00152301" w:rsidRPr="00017AE6" w:rsidRDefault="00152301" w:rsidP="00A71365">
            <w:pPr>
              <w:pStyle w:val="Tablewriting"/>
              <w:rPr>
                <w:rFonts w:eastAsia="MS Mincho" w:cstheme="minorHAnsi"/>
              </w:rPr>
            </w:pPr>
            <w:r w:rsidRPr="00017AE6">
              <w:rPr>
                <w:rFonts w:eastAsia="MS Mincho" w:cstheme="minorHAnsi"/>
              </w:rPr>
              <w:t>Primary outcome: CO-validated CAR at 9 -12 w</w:t>
            </w:r>
            <w:r w:rsidR="00A033D8">
              <w:rPr>
                <w:rFonts w:eastAsia="MS Mincho" w:cstheme="minorHAnsi"/>
              </w:rPr>
              <w:t>ee</w:t>
            </w:r>
            <w:r w:rsidRPr="00017AE6">
              <w:rPr>
                <w:rFonts w:eastAsia="MS Mincho" w:cstheme="minorHAnsi"/>
              </w:rPr>
              <w:t>ks</w:t>
            </w:r>
            <w:r w:rsidR="00C4760C">
              <w:rPr>
                <w:rFonts w:eastAsia="MS Mincho" w:cstheme="minorHAnsi"/>
              </w:rPr>
              <w:t>.</w:t>
            </w:r>
          </w:p>
          <w:p w14:paraId="61139288" w14:textId="39839C24" w:rsidR="00152301" w:rsidRPr="00017AE6" w:rsidRDefault="00152301" w:rsidP="00A71365">
            <w:pPr>
              <w:pStyle w:val="Tablewriting"/>
              <w:rPr>
                <w:rFonts w:eastAsia="MS Mincho" w:cstheme="minorHAnsi"/>
              </w:rPr>
            </w:pPr>
            <w:r w:rsidRPr="00017AE6">
              <w:rPr>
                <w:rFonts w:eastAsia="MS Mincho" w:cstheme="minorHAnsi"/>
              </w:rPr>
              <w:lastRenderedPageBreak/>
              <w:t>Secondary outcomes: CO-validated CAR at 9 - 24 w</w:t>
            </w:r>
            <w:r w:rsidR="00A033D8">
              <w:rPr>
                <w:rFonts w:eastAsia="MS Mincho" w:cstheme="minorHAnsi"/>
              </w:rPr>
              <w:t>ee</w:t>
            </w:r>
            <w:r w:rsidRPr="00017AE6">
              <w:rPr>
                <w:rFonts w:eastAsia="MS Mincho" w:cstheme="minorHAnsi"/>
              </w:rPr>
              <w:t>ks</w:t>
            </w:r>
            <w:r w:rsidR="00C4760C">
              <w:rPr>
                <w:rFonts w:eastAsia="MS Mincho" w:cstheme="minorHAnsi"/>
              </w:rPr>
              <w:t>,</w:t>
            </w:r>
            <w:r w:rsidRPr="00017AE6">
              <w:rPr>
                <w:rFonts w:eastAsia="MS Mincho" w:cstheme="minorHAnsi"/>
              </w:rPr>
              <w:t xml:space="preserve"> 7-day PPA at w</w:t>
            </w:r>
            <w:r w:rsidR="00A033D8">
              <w:rPr>
                <w:rFonts w:eastAsia="MS Mincho" w:cstheme="minorHAnsi"/>
              </w:rPr>
              <w:t>ee</w:t>
            </w:r>
            <w:r w:rsidRPr="00017AE6">
              <w:rPr>
                <w:rFonts w:eastAsia="MS Mincho" w:cstheme="minorHAnsi"/>
              </w:rPr>
              <w:t>ks 12 and 24</w:t>
            </w:r>
          </w:p>
          <w:p w14:paraId="442C776C" w14:textId="77777777" w:rsidR="00152301" w:rsidRPr="00017AE6" w:rsidRDefault="00152301" w:rsidP="00A71365">
            <w:pPr>
              <w:pStyle w:val="Tablewriting"/>
              <w:rPr>
                <w:rFonts w:eastAsia="MS Mincho" w:cstheme="minorHAnsi"/>
              </w:rPr>
            </w:pPr>
          </w:p>
          <w:p w14:paraId="46E958BA" w14:textId="5E3C8FBC" w:rsidR="00152301" w:rsidRPr="00652620" w:rsidRDefault="00A033D8" w:rsidP="00A71365">
            <w:pPr>
              <w:pStyle w:val="Tablewriting"/>
              <w:rPr>
                <w:rFonts w:eastAsia="MS Mincho" w:cstheme="minorHAnsi"/>
                <w:u w:val="single"/>
              </w:rPr>
            </w:pPr>
            <w:r w:rsidRPr="00A033D8">
              <w:rPr>
                <w:rFonts w:eastAsia="MS Mincho" w:cstheme="minorHAnsi"/>
                <w:u w:val="single"/>
              </w:rPr>
              <w:t>Safety</w:t>
            </w:r>
            <w:r w:rsidR="00152301" w:rsidRPr="00A033D8">
              <w:rPr>
                <w:rFonts w:eastAsia="MS Mincho" w:cstheme="minorHAnsi"/>
                <w:u w:val="single"/>
              </w:rPr>
              <w:t>:</w:t>
            </w:r>
            <w:r w:rsidR="00152301">
              <w:rPr>
                <w:rFonts w:eastAsia="MS Mincho" w:cstheme="minorHAnsi"/>
                <w:u w:val="single"/>
              </w:rPr>
              <w:t xml:space="preserve"> </w:t>
            </w:r>
            <w:r w:rsidR="00152301" w:rsidRPr="00017AE6">
              <w:rPr>
                <w:rFonts w:eastAsia="MS Mincho" w:cstheme="minorHAnsi"/>
              </w:rPr>
              <w:t>Adverse events, clinically significant changes in vital signs, SAEs.</w:t>
            </w:r>
          </w:p>
          <w:p w14:paraId="38960061" w14:textId="77777777" w:rsidR="00652620" w:rsidRDefault="00652620" w:rsidP="00A71365">
            <w:pPr>
              <w:pStyle w:val="Tablewriting"/>
              <w:rPr>
                <w:rFonts w:eastAsia="MS Mincho" w:cstheme="minorHAnsi"/>
              </w:rPr>
            </w:pPr>
          </w:p>
          <w:p w14:paraId="763010DA" w14:textId="6AE37897" w:rsidR="00C25F5E" w:rsidRPr="00017AE6" w:rsidRDefault="00152301" w:rsidP="00A71365">
            <w:pPr>
              <w:pStyle w:val="Tablewriting"/>
              <w:rPr>
                <w:rFonts w:eastAsia="MS Mincho" w:cstheme="minorHAnsi"/>
              </w:rPr>
            </w:pPr>
            <w:r w:rsidRPr="00017AE6">
              <w:rPr>
                <w:rFonts w:eastAsia="MS Mincho" w:cstheme="minorHAnsi"/>
              </w:rPr>
              <w:t xml:space="preserve">Abstinence was assessed using the Nicotine-Use Inventory (NUI); validation was by expired CO </w:t>
            </w:r>
            <w:r w:rsidR="00811C83" w:rsidRPr="002B6FDB">
              <w:rPr>
                <w:rFonts w:eastAsia="MS Mincho" w:cstheme="minorHAnsi"/>
              </w:rPr>
              <w:t>≤</w:t>
            </w:r>
            <w:r w:rsidRPr="00017AE6">
              <w:rPr>
                <w:rFonts w:eastAsia="MS Mincho" w:cstheme="minorHAnsi"/>
              </w:rPr>
              <w:t xml:space="preserve"> 10</w:t>
            </w:r>
            <w:r w:rsidR="000D1D5B">
              <w:rPr>
                <w:rFonts w:eastAsia="MS Mincho" w:cstheme="minorHAnsi"/>
              </w:rPr>
              <w:t xml:space="preserve"> </w:t>
            </w:r>
            <w:r w:rsidRPr="00017AE6">
              <w:rPr>
                <w:rFonts w:eastAsia="MS Mincho" w:cstheme="minorHAnsi"/>
              </w:rPr>
              <w:t>ppm</w:t>
            </w:r>
          </w:p>
        </w:tc>
      </w:tr>
      <w:tr w:rsidR="003D3459" w:rsidRPr="00017AE6" w14:paraId="49C9B07C" w14:textId="77777777" w:rsidTr="005821B1">
        <w:trPr>
          <w:trHeight w:val="99"/>
        </w:trPr>
        <w:tc>
          <w:tcPr>
            <w:tcW w:w="761" w:type="pct"/>
          </w:tcPr>
          <w:p w14:paraId="44C8B515" w14:textId="1D81A922" w:rsidR="00C25F5E" w:rsidRPr="00017AE6" w:rsidRDefault="00C25F5E" w:rsidP="00A71365">
            <w:pPr>
              <w:pStyle w:val="Tablewriting"/>
              <w:rPr>
                <w:rFonts w:eastAsia="MS Mincho" w:cstheme="minorHAnsi"/>
              </w:rPr>
            </w:pPr>
            <w:r w:rsidRPr="007F1CCF">
              <w:rPr>
                <w:rFonts w:eastAsia="MS Mincho" w:cstheme="minorHAnsi"/>
              </w:rPr>
              <w:lastRenderedPageBreak/>
              <w:t xml:space="preserve">Carson </w:t>
            </w:r>
            <w:r w:rsidR="008C25BC" w:rsidRPr="007F1CCF">
              <w:rPr>
                <w:rFonts w:eastAsia="MS Mincho" w:cstheme="minorHAnsi"/>
              </w:rPr>
              <w:t>(</w:t>
            </w:r>
            <w:r w:rsidRPr="007F1CCF">
              <w:rPr>
                <w:rFonts w:eastAsia="MS Mincho" w:cstheme="minorHAnsi"/>
              </w:rPr>
              <w:t>2014</w:t>
            </w:r>
            <w:r w:rsidR="008C25BC" w:rsidRPr="007F1CCF">
              <w:rPr>
                <w:rFonts w:eastAsia="MS Mincho" w:cstheme="minorHAnsi"/>
              </w:rPr>
              <w:t>)</w:t>
            </w:r>
          </w:p>
        </w:tc>
        <w:tc>
          <w:tcPr>
            <w:tcW w:w="235" w:type="pct"/>
          </w:tcPr>
          <w:p w14:paraId="62D7CEDA" w14:textId="2B95B0A5"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0C277470" w14:textId="27DC74D5" w:rsidR="00C25F5E" w:rsidRPr="00017AE6" w:rsidRDefault="007E39FE" w:rsidP="00A71365">
            <w:pPr>
              <w:pStyle w:val="Tablewriting"/>
              <w:rPr>
                <w:rFonts w:eastAsia="MS Mincho" w:cstheme="minorHAnsi"/>
              </w:rPr>
            </w:pPr>
            <w:r w:rsidRPr="00017AE6">
              <w:rPr>
                <w:rFonts w:eastAsia="MS Mincho" w:cstheme="minorHAnsi"/>
              </w:rPr>
              <w:t>Australia</w:t>
            </w:r>
          </w:p>
        </w:tc>
        <w:tc>
          <w:tcPr>
            <w:tcW w:w="679" w:type="pct"/>
          </w:tcPr>
          <w:p w14:paraId="60AAAE19" w14:textId="6181481C" w:rsidR="00C25F5E" w:rsidRPr="00017AE6" w:rsidRDefault="00C25F5E" w:rsidP="00A71365">
            <w:pPr>
              <w:pStyle w:val="Tablewriting"/>
              <w:rPr>
                <w:rFonts w:eastAsia="MS Mincho" w:cstheme="minorHAnsi"/>
              </w:rPr>
            </w:pPr>
            <w:r w:rsidRPr="00017AE6">
              <w:rPr>
                <w:rFonts w:eastAsia="MS Mincho" w:cstheme="minorHAnsi"/>
              </w:rPr>
              <w:t>N=</w:t>
            </w:r>
            <w:r w:rsidR="007E39FE" w:rsidRPr="00017AE6">
              <w:rPr>
                <w:rFonts w:eastAsia="MS Mincho" w:cstheme="minorHAnsi"/>
              </w:rPr>
              <w:t>392</w:t>
            </w:r>
            <w:r w:rsidR="00721778">
              <w:rPr>
                <w:rFonts w:eastAsia="MS Mincho" w:cstheme="minorHAnsi"/>
              </w:rPr>
              <w:t>; n=</w:t>
            </w:r>
            <w:r w:rsidR="004F0EAA">
              <w:rPr>
                <w:rFonts w:eastAsia="MS Mincho" w:cstheme="minorHAnsi"/>
              </w:rPr>
              <w:t>196 (var</w:t>
            </w:r>
            <w:r w:rsidR="0049319F">
              <w:rPr>
                <w:rFonts w:eastAsia="MS Mincho" w:cstheme="minorHAnsi"/>
              </w:rPr>
              <w:t>enicline</w:t>
            </w:r>
            <w:r w:rsidR="00CD7C3E">
              <w:rPr>
                <w:rFonts w:eastAsia="MS Mincho" w:cstheme="minorHAnsi"/>
              </w:rPr>
              <w:t xml:space="preserve"> + counselling), n=</w:t>
            </w:r>
            <w:r w:rsidR="008213B3">
              <w:rPr>
                <w:rFonts w:eastAsia="MS Mincho" w:cstheme="minorHAnsi"/>
              </w:rPr>
              <w:t>196 (counselling alone)</w:t>
            </w:r>
          </w:p>
        </w:tc>
        <w:tc>
          <w:tcPr>
            <w:tcW w:w="851" w:type="pct"/>
          </w:tcPr>
          <w:p w14:paraId="2AB25FAD" w14:textId="5CB848E0" w:rsidR="007E39FE" w:rsidRPr="00017AE6" w:rsidRDefault="00F37116" w:rsidP="00A71365">
            <w:pPr>
              <w:pStyle w:val="Tablewriting"/>
              <w:rPr>
                <w:rFonts w:eastAsia="MS Mincho" w:cstheme="minorHAnsi"/>
              </w:rPr>
            </w:pPr>
            <w:r>
              <w:rPr>
                <w:rFonts w:eastAsia="MS Mincho" w:cstheme="minorHAnsi"/>
              </w:rPr>
              <w:t>A</w:t>
            </w:r>
            <w:r w:rsidR="007E39FE" w:rsidRPr="00017AE6">
              <w:rPr>
                <w:rFonts w:eastAsia="MS Mincho" w:cstheme="minorHAnsi"/>
              </w:rPr>
              <w:t xml:space="preserve">dult smokers, aged 18 </w:t>
            </w:r>
            <w:r w:rsidR="009A760B">
              <w:rPr>
                <w:rFonts w:eastAsia="MS Mincho" w:cstheme="minorHAnsi"/>
              </w:rPr>
              <w:t>–</w:t>
            </w:r>
            <w:r w:rsidR="007E39FE" w:rsidRPr="00017AE6">
              <w:rPr>
                <w:rFonts w:eastAsia="MS Mincho" w:cstheme="minorHAnsi"/>
              </w:rPr>
              <w:t xml:space="preserve"> 75</w:t>
            </w:r>
            <w:r w:rsidR="009A760B">
              <w:rPr>
                <w:rFonts w:eastAsia="MS Mincho" w:cstheme="minorHAnsi"/>
              </w:rPr>
              <w:t xml:space="preserve"> years</w:t>
            </w:r>
            <w:r w:rsidR="007E39FE" w:rsidRPr="00017AE6">
              <w:rPr>
                <w:rFonts w:eastAsia="MS Mincho" w:cstheme="minorHAnsi"/>
              </w:rPr>
              <w:t>, smoking 10 CPD+, willing to quit, admitted with acute smoking-related</w:t>
            </w:r>
            <w:r w:rsidR="00B1169E">
              <w:rPr>
                <w:rFonts w:eastAsia="MS Mincho" w:cstheme="minorHAnsi"/>
              </w:rPr>
              <w:t xml:space="preserve"> </w:t>
            </w:r>
            <w:r w:rsidR="007E39FE" w:rsidRPr="00017AE6">
              <w:rPr>
                <w:rFonts w:eastAsia="MS Mincho" w:cstheme="minorHAnsi"/>
              </w:rPr>
              <w:t xml:space="preserve">illnesses; </w:t>
            </w:r>
            <w:r w:rsidR="008213B3">
              <w:rPr>
                <w:rFonts w:eastAsia="MS Mincho" w:cstheme="minorHAnsi"/>
              </w:rPr>
              <w:t>m</w:t>
            </w:r>
            <w:r w:rsidR="007E39FE" w:rsidRPr="00017AE6">
              <w:rPr>
                <w:rFonts w:eastAsia="MS Mincho" w:cstheme="minorHAnsi"/>
              </w:rPr>
              <w:t>ean age 53</w:t>
            </w:r>
            <w:r w:rsidR="00D84231">
              <w:rPr>
                <w:rFonts w:eastAsia="MS Mincho" w:cstheme="minorHAnsi"/>
              </w:rPr>
              <w:t xml:space="preserve"> years</w:t>
            </w:r>
            <w:r w:rsidR="007E39FE" w:rsidRPr="00017AE6">
              <w:rPr>
                <w:rFonts w:eastAsia="MS Mincho" w:cstheme="minorHAnsi"/>
              </w:rPr>
              <w:t xml:space="preserve">, 32% women, 96% white, mean CPD 25, mean FTND 5.6, mean baseline </w:t>
            </w:r>
            <w:r w:rsidR="007E39FE" w:rsidRPr="00D84231">
              <w:rPr>
                <w:rFonts w:eastAsia="MS Mincho" w:cstheme="minorHAnsi"/>
              </w:rPr>
              <w:t>LoS</w:t>
            </w:r>
            <w:r w:rsidR="007E39FE" w:rsidRPr="00017AE6">
              <w:rPr>
                <w:rFonts w:eastAsia="MS Mincho" w:cstheme="minorHAnsi"/>
              </w:rPr>
              <w:t xml:space="preserve"> 6.5 days</w:t>
            </w:r>
          </w:p>
          <w:p w14:paraId="3A69FA39" w14:textId="77777777" w:rsidR="008213B3" w:rsidRDefault="008213B3" w:rsidP="00A71365">
            <w:pPr>
              <w:pStyle w:val="Tablewriting"/>
              <w:rPr>
                <w:rFonts w:eastAsia="MS Mincho" w:cstheme="minorHAnsi"/>
              </w:rPr>
            </w:pPr>
          </w:p>
          <w:p w14:paraId="0EE5E4E1" w14:textId="729AFFBC" w:rsidR="00C25F5E" w:rsidRPr="00017AE6" w:rsidRDefault="007E39FE" w:rsidP="00A71365">
            <w:pPr>
              <w:pStyle w:val="Tablewriting"/>
              <w:rPr>
                <w:rFonts w:eastAsia="MS Mincho" w:cstheme="minorHAnsi"/>
              </w:rPr>
            </w:pPr>
            <w:r w:rsidRPr="008213B3">
              <w:rPr>
                <w:rFonts w:eastAsia="MS Mincho" w:cstheme="minorHAnsi"/>
                <w:u w:val="single"/>
              </w:rPr>
              <w:t>Exclusion criteria</w:t>
            </w:r>
            <w:r w:rsidRPr="00017AE6">
              <w:rPr>
                <w:rFonts w:eastAsia="MS Mincho" w:cstheme="minorHAnsi"/>
              </w:rPr>
              <w:t xml:space="preserve">: Standard pharmacotherapy criteria, acute or pre-existing psychiatric </w:t>
            </w:r>
            <w:r w:rsidRPr="00017AE6">
              <w:rPr>
                <w:rFonts w:eastAsia="MS Mincho" w:cstheme="minorHAnsi"/>
              </w:rPr>
              <w:lastRenderedPageBreak/>
              <w:t>illness, history of psychosis or suicidal ideation, use of varenicline in past 12</w:t>
            </w:r>
            <w:r w:rsidR="00646213">
              <w:rPr>
                <w:rFonts w:eastAsia="MS Mincho" w:cstheme="minorHAnsi"/>
              </w:rPr>
              <w:t xml:space="preserve"> months</w:t>
            </w:r>
          </w:p>
        </w:tc>
        <w:tc>
          <w:tcPr>
            <w:tcW w:w="1054" w:type="pct"/>
          </w:tcPr>
          <w:p w14:paraId="126603BD" w14:textId="77777777" w:rsidR="00193271" w:rsidRDefault="00593C1F" w:rsidP="00C324F3">
            <w:pPr>
              <w:pStyle w:val="Tablewriting"/>
              <w:numPr>
                <w:ilvl w:val="0"/>
                <w:numId w:val="62"/>
              </w:numPr>
              <w:rPr>
                <w:rFonts w:eastAsia="MS Mincho" w:cstheme="minorHAnsi"/>
              </w:rPr>
            </w:pPr>
            <w:r w:rsidRPr="00017AE6">
              <w:rPr>
                <w:rFonts w:eastAsia="MS Mincho" w:cstheme="minorHAnsi"/>
              </w:rPr>
              <w:lastRenderedPageBreak/>
              <w:t>Varenicline 1.0 mg x 2/d for 12 w</w:t>
            </w:r>
            <w:r w:rsidR="003D25A5">
              <w:rPr>
                <w:rFonts w:eastAsia="MS Mincho" w:cstheme="minorHAnsi"/>
              </w:rPr>
              <w:t>ee</w:t>
            </w:r>
            <w:r w:rsidRPr="00017AE6">
              <w:rPr>
                <w:rFonts w:eastAsia="MS Mincho" w:cstheme="minorHAnsi"/>
              </w:rPr>
              <w:t>ks, including w</w:t>
            </w:r>
            <w:r w:rsidR="003D25A5">
              <w:rPr>
                <w:rFonts w:eastAsia="MS Mincho" w:cstheme="minorHAnsi"/>
              </w:rPr>
              <w:t>ee</w:t>
            </w:r>
            <w:r w:rsidRPr="00017AE6">
              <w:rPr>
                <w:rFonts w:eastAsia="MS Mincho" w:cstheme="minorHAnsi"/>
              </w:rPr>
              <w:t>k 1 at titrated dose</w:t>
            </w:r>
            <w:r w:rsidR="003D25A5">
              <w:rPr>
                <w:rFonts w:eastAsia="MS Mincho" w:cstheme="minorHAnsi"/>
              </w:rPr>
              <w:t xml:space="preserve"> </w:t>
            </w:r>
            <w:r w:rsidRPr="00017AE6">
              <w:rPr>
                <w:rFonts w:eastAsia="MS Mincho" w:cstheme="minorHAnsi"/>
              </w:rPr>
              <w:t>(described as standard MIMS</w:t>
            </w:r>
            <w:r w:rsidR="003D25A5">
              <w:rPr>
                <w:rFonts w:eastAsia="MS Mincho" w:cstheme="minorHAnsi"/>
              </w:rPr>
              <w:t xml:space="preserve"> </w:t>
            </w:r>
            <w:r w:rsidRPr="00017AE6">
              <w:rPr>
                <w:rFonts w:eastAsia="MS Mincho" w:cstheme="minorHAnsi"/>
              </w:rPr>
              <w:t>dosing</w:t>
            </w:r>
            <w:r w:rsidR="003D25A5">
              <w:rPr>
                <w:rFonts w:eastAsia="MS Mincho" w:cstheme="minorHAnsi"/>
              </w:rPr>
              <w:t xml:space="preserve"> </w:t>
            </w:r>
            <w:r w:rsidRPr="003D25A5">
              <w:rPr>
                <w:rFonts w:eastAsia="MS Mincho" w:cstheme="minorHAnsi"/>
              </w:rPr>
              <w:t>schedule), + counselling</w:t>
            </w:r>
          </w:p>
          <w:p w14:paraId="02416824" w14:textId="65EEBA17" w:rsidR="00593C1F" w:rsidRPr="00017AE6" w:rsidRDefault="00593C1F" w:rsidP="00C324F3">
            <w:pPr>
              <w:pStyle w:val="Tablewriting"/>
              <w:numPr>
                <w:ilvl w:val="0"/>
                <w:numId w:val="62"/>
              </w:numPr>
              <w:rPr>
                <w:rFonts w:eastAsia="MS Mincho" w:cstheme="minorHAnsi"/>
              </w:rPr>
            </w:pPr>
            <w:r w:rsidRPr="00017AE6">
              <w:rPr>
                <w:rFonts w:eastAsia="MS Mincho" w:cstheme="minorHAnsi"/>
              </w:rPr>
              <w:t>Counselling only</w:t>
            </w:r>
          </w:p>
          <w:p w14:paraId="1CF11665" w14:textId="77777777" w:rsidR="0024341A" w:rsidRPr="00017AE6" w:rsidRDefault="0024341A" w:rsidP="00A71365">
            <w:pPr>
              <w:pStyle w:val="Tablewriting"/>
              <w:rPr>
                <w:rFonts w:eastAsia="MS Mincho" w:cstheme="minorHAnsi"/>
              </w:rPr>
            </w:pPr>
          </w:p>
          <w:p w14:paraId="3BA7F6BB" w14:textId="2D4DFD1F" w:rsidR="00777A72" w:rsidRDefault="0019327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593C1F" w:rsidRPr="00017AE6">
              <w:rPr>
                <w:rFonts w:eastAsia="MS Mincho" w:cstheme="minorHAnsi"/>
              </w:rPr>
              <w:t xml:space="preserve">Both groups received </w:t>
            </w:r>
            <w:r w:rsidR="00AA2E96">
              <w:rPr>
                <w:rFonts w:eastAsia="MS Mincho" w:cstheme="minorHAnsi"/>
              </w:rPr>
              <w:t>‘’</w:t>
            </w:r>
            <w:r w:rsidR="00593C1F" w:rsidRPr="00017AE6">
              <w:rPr>
                <w:rFonts w:eastAsia="MS Mincho" w:cstheme="minorHAnsi"/>
              </w:rPr>
              <w:t>Quit SA 5A behavioural counselling</w:t>
            </w:r>
            <w:r w:rsidR="00777A72">
              <w:rPr>
                <w:rFonts w:eastAsia="MS Mincho" w:cstheme="minorHAnsi"/>
              </w:rPr>
              <w:t>’’</w:t>
            </w:r>
            <w:r w:rsidR="00593C1F" w:rsidRPr="00017AE6">
              <w:rPr>
                <w:rFonts w:eastAsia="MS Mincho" w:cstheme="minorHAnsi"/>
              </w:rPr>
              <w:t xml:space="preserve">, </w:t>
            </w:r>
            <w:r w:rsidR="004664D2" w:rsidRPr="00017AE6">
              <w:rPr>
                <w:rFonts w:eastAsia="MS Mincho" w:cstheme="minorHAnsi"/>
              </w:rPr>
              <w:t>i.e.,</w:t>
            </w:r>
            <w:r w:rsidR="00593C1F" w:rsidRPr="00017AE6">
              <w:rPr>
                <w:rFonts w:eastAsia="MS Mincho" w:cstheme="minorHAnsi"/>
              </w:rPr>
              <w:t xml:space="preserve"> maximum of 8 calls over 3</w:t>
            </w:r>
            <w:r>
              <w:rPr>
                <w:rFonts w:eastAsia="MS Mincho" w:cstheme="minorHAnsi"/>
              </w:rPr>
              <w:t xml:space="preserve"> </w:t>
            </w:r>
            <w:r w:rsidR="00593C1F" w:rsidRPr="00017AE6">
              <w:rPr>
                <w:rFonts w:eastAsia="MS Mincho" w:cstheme="minorHAnsi"/>
              </w:rPr>
              <w:t>m</w:t>
            </w:r>
            <w:r>
              <w:rPr>
                <w:rFonts w:eastAsia="MS Mincho" w:cstheme="minorHAnsi"/>
              </w:rPr>
              <w:t>onths</w:t>
            </w:r>
            <w:r w:rsidR="00593C1F" w:rsidRPr="00017AE6">
              <w:rPr>
                <w:rFonts w:eastAsia="MS Mincho" w:cstheme="minorHAnsi"/>
              </w:rPr>
              <w:t xml:space="preserve">. </w:t>
            </w:r>
          </w:p>
          <w:p w14:paraId="2AA8E16F" w14:textId="0AF559AC" w:rsidR="00F74CAA" w:rsidRDefault="00593C1F" w:rsidP="00A71365">
            <w:pPr>
              <w:pStyle w:val="Tablewriting"/>
              <w:rPr>
                <w:rFonts w:eastAsia="MS Mincho" w:cstheme="minorHAnsi"/>
              </w:rPr>
            </w:pPr>
            <w:r w:rsidRPr="00017AE6">
              <w:rPr>
                <w:rFonts w:eastAsia="MS Mincho" w:cstheme="minorHAnsi"/>
              </w:rPr>
              <w:t>Also</w:t>
            </w:r>
            <w:r w:rsidR="00777A72" w:rsidRPr="00017AE6">
              <w:rPr>
                <w:rFonts w:eastAsia="MS Mincho" w:cstheme="minorHAnsi"/>
              </w:rPr>
              <w:t>,</w:t>
            </w:r>
            <w:r w:rsidRPr="00017AE6">
              <w:rPr>
                <w:rFonts w:eastAsia="MS Mincho" w:cstheme="minorHAnsi"/>
              </w:rPr>
              <w:t xml:space="preserve"> booklet</w:t>
            </w:r>
            <w:r w:rsidR="00193271">
              <w:rPr>
                <w:rFonts w:eastAsia="MS Mincho" w:cstheme="minorHAnsi"/>
              </w:rPr>
              <w:t xml:space="preserve"> </w:t>
            </w:r>
            <w:r w:rsidR="00CC00A8">
              <w:rPr>
                <w:rFonts w:eastAsia="MS Mincho" w:cstheme="minorHAnsi"/>
              </w:rPr>
              <w:t>‘</w:t>
            </w:r>
            <w:r w:rsidR="00CC00A8" w:rsidRPr="00AA2E96">
              <w:rPr>
                <w:rFonts w:eastAsia="MS Mincho" w:cstheme="minorHAnsi"/>
                <w:i/>
                <w:iCs/>
              </w:rPr>
              <w:t>’</w:t>
            </w:r>
            <w:r w:rsidRPr="00AA2E96">
              <w:rPr>
                <w:rFonts w:eastAsia="MS Mincho" w:cstheme="minorHAnsi"/>
                <w:i/>
                <w:iCs/>
              </w:rPr>
              <w:t>Quit</w:t>
            </w:r>
            <w:r w:rsidRPr="00AA2E96">
              <w:rPr>
                <w:rFonts w:eastAsia="MS Mincho" w:cstheme="minorHAnsi"/>
                <w:i/>
              </w:rPr>
              <w:t xml:space="preserve"> because you </w:t>
            </w:r>
            <w:r w:rsidRPr="00AA2E96">
              <w:rPr>
                <w:rFonts w:eastAsia="MS Mincho" w:cstheme="minorHAnsi"/>
                <w:i/>
                <w:iCs/>
              </w:rPr>
              <w:t>can</w:t>
            </w:r>
            <w:r w:rsidR="00CC00A8">
              <w:rPr>
                <w:rFonts w:eastAsia="MS Mincho" w:cstheme="minorHAnsi"/>
              </w:rPr>
              <w:t>’’</w:t>
            </w:r>
            <w:r w:rsidRPr="00017AE6">
              <w:rPr>
                <w:rFonts w:eastAsia="MS Mincho" w:cstheme="minorHAnsi"/>
              </w:rPr>
              <w:t xml:space="preserve">, + stickers and fridge magnets. </w:t>
            </w:r>
          </w:p>
          <w:p w14:paraId="248A3F84" w14:textId="3C1294F7" w:rsidR="00C25F5E" w:rsidRPr="007F1CCF" w:rsidRDefault="00593C1F" w:rsidP="00A71365">
            <w:pPr>
              <w:pStyle w:val="Tablewriting"/>
              <w:rPr>
                <w:rFonts w:eastAsia="MS Mincho" w:cstheme="minorHAnsi"/>
              </w:rPr>
            </w:pPr>
            <w:r w:rsidRPr="007F1CCF">
              <w:rPr>
                <w:rFonts w:eastAsia="MS Mincho" w:cstheme="minorHAnsi"/>
              </w:rPr>
              <w:lastRenderedPageBreak/>
              <w:t>Participants had to set a TQD within 1st 2 w</w:t>
            </w:r>
            <w:r w:rsidR="007F1CCF">
              <w:rPr>
                <w:rFonts w:eastAsia="MS Mincho" w:cstheme="minorHAnsi"/>
              </w:rPr>
              <w:t>ee</w:t>
            </w:r>
            <w:r w:rsidRPr="007F1CCF">
              <w:rPr>
                <w:rFonts w:eastAsia="MS Mincho" w:cstheme="minorHAnsi"/>
              </w:rPr>
              <w:t>ks Contacts were attempted with all participants at days 3 and 5, w</w:t>
            </w:r>
            <w:r w:rsidR="007F1CCF">
              <w:rPr>
                <w:rFonts w:eastAsia="MS Mincho" w:cstheme="minorHAnsi"/>
              </w:rPr>
              <w:t>ee</w:t>
            </w:r>
            <w:r w:rsidRPr="007F1CCF">
              <w:rPr>
                <w:rFonts w:eastAsia="MS Mincho" w:cstheme="minorHAnsi"/>
              </w:rPr>
              <w:t>ks 1, 2, 3, 4, 12 (EoT). Additional contacts</w:t>
            </w:r>
            <w:r w:rsidR="007145BD" w:rsidRPr="007F1CCF">
              <w:rPr>
                <w:rFonts w:eastAsia="MS Mincho" w:cstheme="minorHAnsi"/>
              </w:rPr>
              <w:t xml:space="preserve"> </w:t>
            </w:r>
            <w:r w:rsidRPr="007F1CCF">
              <w:rPr>
                <w:rFonts w:eastAsia="MS Mincho" w:cstheme="minorHAnsi"/>
              </w:rPr>
              <w:t>at w</w:t>
            </w:r>
            <w:r w:rsidR="007F1CCF">
              <w:rPr>
                <w:rFonts w:eastAsia="MS Mincho" w:cstheme="minorHAnsi"/>
              </w:rPr>
              <w:t>ee</w:t>
            </w:r>
            <w:r w:rsidRPr="007F1CCF">
              <w:rPr>
                <w:rFonts w:eastAsia="MS Mincho" w:cstheme="minorHAnsi"/>
              </w:rPr>
              <w:t>ks 26 and 52</w:t>
            </w:r>
            <w:r w:rsidR="007F1CCF">
              <w:rPr>
                <w:rFonts w:eastAsia="MS Mincho" w:cstheme="minorHAnsi"/>
              </w:rPr>
              <w:t>.</w:t>
            </w:r>
          </w:p>
        </w:tc>
        <w:tc>
          <w:tcPr>
            <w:tcW w:w="959" w:type="pct"/>
          </w:tcPr>
          <w:p w14:paraId="1BB105A4" w14:textId="77777777" w:rsidR="00772BDF" w:rsidRDefault="00772BDF" w:rsidP="00A71365">
            <w:pPr>
              <w:pStyle w:val="Tablewriting"/>
              <w:rPr>
                <w:rFonts w:eastAsia="MS Mincho" w:cstheme="minorHAnsi"/>
              </w:rPr>
            </w:pPr>
            <w:r w:rsidRPr="00772BDF">
              <w:rPr>
                <w:rFonts w:eastAsia="MS Mincho" w:cstheme="minorHAnsi"/>
                <w:u w:val="single"/>
              </w:rPr>
              <w:lastRenderedPageBreak/>
              <w:t>Efficacy:</w:t>
            </w:r>
            <w:r>
              <w:rPr>
                <w:rFonts w:eastAsia="MS Mincho" w:cstheme="minorHAnsi"/>
              </w:rPr>
              <w:t xml:space="preserve"> </w:t>
            </w:r>
          </w:p>
          <w:p w14:paraId="0C3606AB" w14:textId="224A7D67" w:rsidR="0024341A" w:rsidRPr="00017AE6" w:rsidRDefault="0024341A" w:rsidP="00A71365">
            <w:pPr>
              <w:pStyle w:val="Tablewriting"/>
              <w:rPr>
                <w:rFonts w:eastAsia="MS Mincho" w:cstheme="minorHAnsi"/>
              </w:rPr>
            </w:pPr>
            <w:r w:rsidRPr="00017AE6">
              <w:rPr>
                <w:rFonts w:eastAsia="MS Mincho" w:cstheme="minorHAnsi"/>
              </w:rPr>
              <w:t>Primary outcome: Self-reported CAR (&lt; 5 cigs in total) (2 w</w:t>
            </w:r>
            <w:r w:rsidR="00272B62">
              <w:rPr>
                <w:rFonts w:eastAsia="MS Mincho" w:cstheme="minorHAnsi"/>
              </w:rPr>
              <w:t>ee</w:t>
            </w:r>
            <w:r w:rsidRPr="00017AE6">
              <w:rPr>
                <w:rFonts w:eastAsia="MS Mincho" w:cstheme="minorHAnsi"/>
              </w:rPr>
              <w:t xml:space="preserve">ks </w:t>
            </w:r>
            <w:r w:rsidR="00272B62">
              <w:rPr>
                <w:rFonts w:eastAsia="MS Mincho" w:cstheme="minorHAnsi"/>
              </w:rPr>
              <w:t>–</w:t>
            </w:r>
            <w:r w:rsidRPr="00017AE6">
              <w:rPr>
                <w:rFonts w:eastAsia="MS Mincho" w:cstheme="minorHAnsi"/>
              </w:rPr>
              <w:t xml:space="preserve"> 12</w:t>
            </w:r>
            <w:r w:rsidR="00272B62">
              <w:rPr>
                <w:rFonts w:eastAsia="MS Mincho" w:cstheme="minorHAnsi"/>
              </w:rPr>
              <w:t xml:space="preserve"> months</w:t>
            </w:r>
            <w:r w:rsidRPr="00017AE6">
              <w:rPr>
                <w:rFonts w:eastAsia="MS Mincho" w:cstheme="minorHAnsi"/>
              </w:rPr>
              <w:t>)</w:t>
            </w:r>
            <w:r w:rsidR="0015251C">
              <w:rPr>
                <w:rFonts w:eastAsia="MS Mincho" w:cstheme="minorHAnsi"/>
              </w:rPr>
              <w:t>;</w:t>
            </w:r>
          </w:p>
          <w:p w14:paraId="1DEC7D38" w14:textId="731F6A1C" w:rsidR="0024341A" w:rsidRPr="00017AE6" w:rsidRDefault="0024341A" w:rsidP="00A71365">
            <w:pPr>
              <w:pStyle w:val="Tablewriting"/>
              <w:rPr>
                <w:rFonts w:eastAsia="MS Mincho" w:cstheme="minorHAnsi"/>
              </w:rPr>
            </w:pPr>
            <w:r w:rsidRPr="00017AE6">
              <w:rPr>
                <w:rFonts w:eastAsia="MS Mincho" w:cstheme="minorHAnsi"/>
              </w:rPr>
              <w:t>Secondary outcomes: CAR at 4, 12 and 26 w</w:t>
            </w:r>
            <w:r w:rsidR="00272B62">
              <w:rPr>
                <w:rFonts w:eastAsia="MS Mincho" w:cstheme="minorHAnsi"/>
              </w:rPr>
              <w:t>ee</w:t>
            </w:r>
            <w:r w:rsidRPr="00017AE6">
              <w:rPr>
                <w:rFonts w:eastAsia="MS Mincho" w:cstheme="minorHAnsi"/>
              </w:rPr>
              <w:t xml:space="preserve">ks. </w:t>
            </w:r>
            <w:r w:rsidR="000728F8" w:rsidRPr="00017AE6">
              <w:rPr>
                <w:rFonts w:eastAsia="MS Mincho" w:cstheme="minorHAnsi"/>
              </w:rPr>
              <w:t>7-day PPA each week for 1st 4 w</w:t>
            </w:r>
            <w:r w:rsidR="000728F8">
              <w:rPr>
                <w:rFonts w:eastAsia="MS Mincho" w:cstheme="minorHAnsi"/>
              </w:rPr>
              <w:t>ee</w:t>
            </w:r>
            <w:r w:rsidR="000728F8" w:rsidRPr="00017AE6">
              <w:rPr>
                <w:rFonts w:eastAsia="MS Mincho" w:cstheme="minorHAnsi"/>
              </w:rPr>
              <w:t>ks</w:t>
            </w:r>
            <w:r w:rsidR="007A7BAD">
              <w:rPr>
                <w:rFonts w:eastAsia="MS Mincho" w:cstheme="minorHAnsi"/>
              </w:rPr>
              <w:t>.</w:t>
            </w:r>
          </w:p>
          <w:p w14:paraId="246621D5" w14:textId="77777777" w:rsidR="00DA7D87" w:rsidRDefault="00DA7D87" w:rsidP="00A71365">
            <w:pPr>
              <w:pStyle w:val="Tablewriting"/>
              <w:rPr>
                <w:rFonts w:eastAsia="MS Mincho" w:cstheme="minorHAnsi"/>
              </w:rPr>
            </w:pPr>
          </w:p>
          <w:p w14:paraId="360A53B6" w14:textId="77777777" w:rsidR="00DA7D87" w:rsidRDefault="00DA7D87" w:rsidP="00A71365">
            <w:pPr>
              <w:pStyle w:val="Tablewriting"/>
              <w:rPr>
                <w:rFonts w:eastAsia="MS Mincho" w:cstheme="minorHAnsi"/>
              </w:rPr>
            </w:pPr>
            <w:r w:rsidRPr="00017AE6">
              <w:rPr>
                <w:rFonts w:eastAsia="MS Mincho" w:cstheme="minorHAnsi"/>
              </w:rPr>
              <w:t xml:space="preserve">CO validation </w:t>
            </w:r>
            <w:r w:rsidRPr="009659E3">
              <w:rPr>
                <w:rFonts w:eastAsia="MS Mincho" w:cstheme="minorHAnsi"/>
              </w:rPr>
              <w:t>≤</w:t>
            </w:r>
            <w:r w:rsidRPr="00017AE6">
              <w:rPr>
                <w:rFonts w:eastAsia="MS Mincho" w:cstheme="minorHAnsi"/>
              </w:rPr>
              <w:t xml:space="preserve"> 10 ppm used only in "a random sub-set of </w:t>
            </w:r>
          </w:p>
          <w:p w14:paraId="72590FA9" w14:textId="7D2CAD89" w:rsidR="0024341A" w:rsidRPr="00017AE6" w:rsidRDefault="00DA7D87" w:rsidP="00A71365">
            <w:pPr>
              <w:pStyle w:val="Tablewriting"/>
              <w:rPr>
                <w:rFonts w:eastAsia="MS Mincho" w:cstheme="minorHAnsi"/>
              </w:rPr>
            </w:pPr>
            <w:r w:rsidRPr="00017AE6">
              <w:rPr>
                <w:rFonts w:eastAsia="MS Mincho" w:cstheme="minorHAnsi"/>
              </w:rPr>
              <w:t>subjects"</w:t>
            </w:r>
          </w:p>
          <w:p w14:paraId="65B00E78" w14:textId="77777777" w:rsidR="00DA7D87" w:rsidRDefault="00DA7D87" w:rsidP="00A71365">
            <w:pPr>
              <w:pStyle w:val="Tablewriting"/>
              <w:rPr>
                <w:rFonts w:eastAsia="MS Mincho" w:cstheme="minorHAnsi"/>
                <w:u w:val="single"/>
              </w:rPr>
            </w:pPr>
          </w:p>
          <w:p w14:paraId="0054A1D0" w14:textId="453A392B" w:rsidR="0012484D" w:rsidRPr="0012484D" w:rsidRDefault="005B45B7" w:rsidP="00A71365">
            <w:pPr>
              <w:pStyle w:val="Tablewriting"/>
              <w:rPr>
                <w:rFonts w:eastAsia="MS Mincho" w:cstheme="minorHAnsi"/>
              </w:rPr>
            </w:pPr>
            <w:r w:rsidRPr="00917D9B">
              <w:rPr>
                <w:rFonts w:eastAsia="MS Mincho" w:cstheme="minorHAnsi"/>
                <w:u w:val="single"/>
              </w:rPr>
              <w:t>Safety:</w:t>
            </w:r>
            <w:r>
              <w:rPr>
                <w:rFonts w:eastAsia="MS Mincho" w:cstheme="minorHAnsi"/>
              </w:rPr>
              <w:t xml:space="preserve"> N</w:t>
            </w:r>
            <w:r w:rsidR="00917D9B">
              <w:rPr>
                <w:rFonts w:eastAsia="MS Mincho" w:cstheme="minorHAnsi"/>
              </w:rPr>
              <w:t>/A</w:t>
            </w:r>
          </w:p>
          <w:p w14:paraId="6AD817E4" w14:textId="77777777" w:rsidR="00BC45D7" w:rsidRDefault="00BC45D7" w:rsidP="00A71365">
            <w:pPr>
              <w:pStyle w:val="Tablewriting"/>
              <w:rPr>
                <w:rFonts w:eastAsia="MS Mincho" w:cstheme="minorHAnsi"/>
              </w:rPr>
            </w:pPr>
          </w:p>
          <w:p w14:paraId="0DE9467C" w14:textId="77777777" w:rsidR="00BC45D7" w:rsidRPr="00017AE6" w:rsidRDefault="00BC45D7" w:rsidP="00A71365">
            <w:pPr>
              <w:pStyle w:val="Tablewriting"/>
              <w:rPr>
                <w:rFonts w:eastAsia="MS Mincho" w:cstheme="minorHAnsi"/>
              </w:rPr>
            </w:pPr>
            <w:r w:rsidRPr="00BC45D7">
              <w:rPr>
                <w:rFonts w:eastAsia="MS Mincho" w:cstheme="minorHAnsi"/>
                <w:u w:val="single"/>
              </w:rPr>
              <w:t>Other:</w:t>
            </w:r>
            <w:r>
              <w:rPr>
                <w:rFonts w:eastAsia="MS Mincho" w:cstheme="minorHAnsi"/>
                <w:u w:val="single"/>
              </w:rPr>
              <w:t xml:space="preserve"> </w:t>
            </w:r>
            <w:r w:rsidRPr="00017AE6">
              <w:rPr>
                <w:rFonts w:eastAsia="MS Mincho" w:cstheme="minorHAnsi"/>
              </w:rPr>
              <w:t xml:space="preserve">craving; prevalence of I/P smoking; Reduced hospital </w:t>
            </w:r>
            <w:r w:rsidRPr="00017AE6">
              <w:rPr>
                <w:rFonts w:eastAsia="MS Mincho" w:cstheme="minorHAnsi"/>
              </w:rPr>
              <w:lastRenderedPageBreak/>
              <w:t>bed utilisation; Reduction in healthcare costs</w:t>
            </w:r>
          </w:p>
          <w:p w14:paraId="0E63533F" w14:textId="4941B805" w:rsidR="00BC45D7" w:rsidRPr="00BC45D7" w:rsidRDefault="00BC45D7" w:rsidP="00A71365">
            <w:pPr>
              <w:pStyle w:val="Tablewriting"/>
              <w:rPr>
                <w:rFonts w:eastAsia="MS Mincho" w:cstheme="minorHAnsi"/>
                <w:u w:val="single"/>
              </w:rPr>
            </w:pPr>
          </w:p>
          <w:p w14:paraId="5A47F338" w14:textId="77777777" w:rsidR="005B45B7" w:rsidRDefault="005B45B7" w:rsidP="00A71365">
            <w:pPr>
              <w:pStyle w:val="Tablewriting"/>
              <w:rPr>
                <w:rFonts w:eastAsia="MS Mincho" w:cstheme="minorHAnsi"/>
              </w:rPr>
            </w:pPr>
          </w:p>
          <w:p w14:paraId="66B37222" w14:textId="6FCB4A7C" w:rsidR="0024341A" w:rsidRPr="00017AE6" w:rsidRDefault="0024341A" w:rsidP="00A71365">
            <w:pPr>
              <w:pStyle w:val="Tablewriting"/>
              <w:rPr>
                <w:rFonts w:eastAsia="MS Mincho" w:cstheme="minorHAnsi"/>
              </w:rPr>
            </w:pPr>
          </w:p>
        </w:tc>
      </w:tr>
      <w:tr w:rsidR="003D3459" w:rsidRPr="00017AE6" w14:paraId="559F0DB1" w14:textId="77777777" w:rsidTr="005821B1">
        <w:trPr>
          <w:trHeight w:val="99"/>
        </w:trPr>
        <w:tc>
          <w:tcPr>
            <w:tcW w:w="761" w:type="pct"/>
          </w:tcPr>
          <w:p w14:paraId="59846913" w14:textId="1B2DD4E3" w:rsidR="00C25F5E" w:rsidRPr="00017AE6" w:rsidRDefault="00C25F5E" w:rsidP="00A71365">
            <w:pPr>
              <w:pStyle w:val="Tablewriting"/>
              <w:rPr>
                <w:rFonts w:eastAsia="MS Mincho" w:cstheme="minorHAnsi"/>
              </w:rPr>
            </w:pPr>
            <w:r w:rsidRPr="00017AE6">
              <w:rPr>
                <w:rFonts w:eastAsia="MS Mincho" w:cstheme="minorHAnsi"/>
              </w:rPr>
              <w:lastRenderedPageBreak/>
              <w:t xml:space="preserve">Chengappa </w:t>
            </w:r>
            <w:r w:rsidR="008C25BC">
              <w:rPr>
                <w:rFonts w:eastAsia="MS Mincho" w:cstheme="minorHAnsi"/>
              </w:rPr>
              <w:t>(</w:t>
            </w:r>
            <w:r w:rsidRPr="00017AE6">
              <w:rPr>
                <w:rFonts w:eastAsia="MS Mincho" w:cstheme="minorHAnsi"/>
              </w:rPr>
              <w:t>2014</w:t>
            </w:r>
            <w:r w:rsidR="00F143BB">
              <w:rPr>
                <w:rFonts w:eastAsia="MS Mincho" w:cstheme="minorHAnsi"/>
              </w:rPr>
              <w:t>)</w:t>
            </w:r>
          </w:p>
        </w:tc>
        <w:tc>
          <w:tcPr>
            <w:tcW w:w="235" w:type="pct"/>
          </w:tcPr>
          <w:p w14:paraId="47BFEA8C" w14:textId="28A68249"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2895E53C" w14:textId="5AA7404B" w:rsidR="00C25F5E" w:rsidRPr="00017AE6" w:rsidRDefault="002640D9" w:rsidP="00A71365">
            <w:pPr>
              <w:pStyle w:val="Tablewriting"/>
              <w:rPr>
                <w:rFonts w:eastAsia="MS Mincho" w:cstheme="minorHAnsi"/>
              </w:rPr>
            </w:pPr>
            <w:r w:rsidRPr="00017AE6">
              <w:rPr>
                <w:rFonts w:eastAsia="MS Mincho" w:cstheme="minorHAnsi"/>
              </w:rPr>
              <w:t>USA</w:t>
            </w:r>
          </w:p>
        </w:tc>
        <w:tc>
          <w:tcPr>
            <w:tcW w:w="679" w:type="pct"/>
          </w:tcPr>
          <w:p w14:paraId="1988099D" w14:textId="46148BD2" w:rsidR="00C25F5E" w:rsidRPr="00017AE6" w:rsidRDefault="00C25F5E" w:rsidP="00A71365">
            <w:pPr>
              <w:pStyle w:val="Tablewriting"/>
              <w:rPr>
                <w:rFonts w:eastAsia="MS Mincho" w:cstheme="minorHAnsi"/>
              </w:rPr>
            </w:pPr>
            <w:r w:rsidRPr="00017AE6">
              <w:rPr>
                <w:rFonts w:eastAsia="MS Mincho" w:cstheme="minorHAnsi"/>
              </w:rPr>
              <w:t>N=</w:t>
            </w:r>
            <w:r w:rsidR="002640D9" w:rsidRPr="00017AE6">
              <w:rPr>
                <w:rFonts w:eastAsia="MS Mincho" w:cstheme="minorHAnsi"/>
              </w:rPr>
              <w:t>60</w:t>
            </w:r>
            <w:r w:rsidR="0052548C">
              <w:rPr>
                <w:rFonts w:eastAsia="MS Mincho" w:cstheme="minorHAnsi"/>
              </w:rPr>
              <w:t>; n=</w:t>
            </w:r>
            <w:r w:rsidR="006338B0">
              <w:rPr>
                <w:rFonts w:eastAsia="MS Mincho" w:cstheme="minorHAnsi"/>
              </w:rPr>
              <w:t>31 (varenicline), n=</w:t>
            </w:r>
            <w:r w:rsidR="00B03AE8">
              <w:rPr>
                <w:rFonts w:eastAsia="MS Mincho" w:cstheme="minorHAnsi"/>
              </w:rPr>
              <w:t>29 (placebo)</w:t>
            </w:r>
          </w:p>
        </w:tc>
        <w:tc>
          <w:tcPr>
            <w:tcW w:w="851" w:type="pct"/>
          </w:tcPr>
          <w:p w14:paraId="2C889483" w14:textId="5724A316" w:rsidR="00D674EF" w:rsidRPr="00017AE6" w:rsidRDefault="00363569" w:rsidP="00A71365">
            <w:pPr>
              <w:pStyle w:val="Tablewriting"/>
              <w:rPr>
                <w:rFonts w:eastAsia="MS Mincho" w:cstheme="minorHAnsi"/>
              </w:rPr>
            </w:pPr>
            <w:r>
              <w:rPr>
                <w:rFonts w:eastAsia="MS Mincho" w:cstheme="minorHAnsi"/>
              </w:rPr>
              <w:t>O</w:t>
            </w:r>
            <w:r w:rsidR="00D674EF" w:rsidRPr="00017AE6">
              <w:rPr>
                <w:rFonts w:eastAsia="MS Mincho" w:cstheme="minorHAnsi"/>
              </w:rPr>
              <w:t xml:space="preserve">utpatient smokers with DSMIV-diagnosed bipolar disorder, aged 18 </w:t>
            </w:r>
            <w:r w:rsidR="00E670A9">
              <w:rPr>
                <w:rFonts w:eastAsia="MS Mincho" w:cstheme="minorHAnsi"/>
              </w:rPr>
              <w:t>–</w:t>
            </w:r>
            <w:r w:rsidR="00D674EF" w:rsidRPr="00017AE6">
              <w:rPr>
                <w:rFonts w:eastAsia="MS Mincho" w:cstheme="minorHAnsi"/>
              </w:rPr>
              <w:t xml:space="preserve"> 65</w:t>
            </w:r>
            <w:r w:rsidR="00E670A9">
              <w:rPr>
                <w:rFonts w:eastAsia="MS Mincho" w:cstheme="minorHAnsi"/>
              </w:rPr>
              <w:t xml:space="preserve"> years</w:t>
            </w:r>
            <w:r w:rsidR="00D674EF" w:rsidRPr="00017AE6">
              <w:rPr>
                <w:rFonts w:eastAsia="MS Mincho" w:cstheme="minorHAnsi"/>
              </w:rPr>
              <w:t>, stable state or on</w:t>
            </w:r>
            <w:r w:rsidR="00C3564E">
              <w:rPr>
                <w:rFonts w:eastAsia="MS Mincho" w:cstheme="minorHAnsi"/>
              </w:rPr>
              <w:t xml:space="preserve"> </w:t>
            </w:r>
            <w:r w:rsidR="00D674EF" w:rsidRPr="00017AE6">
              <w:rPr>
                <w:rFonts w:eastAsia="MS Mincho" w:cstheme="minorHAnsi"/>
              </w:rPr>
              <w:t>medication,</w:t>
            </w:r>
            <w:r w:rsidR="00E670A9">
              <w:rPr>
                <w:rFonts w:eastAsia="MS Mincho" w:cstheme="minorHAnsi"/>
              </w:rPr>
              <w:t xml:space="preserve"> </w:t>
            </w:r>
            <w:r w:rsidR="00D674EF" w:rsidRPr="00017AE6">
              <w:rPr>
                <w:rFonts w:eastAsia="MS Mincho" w:cstheme="minorHAnsi"/>
              </w:rPr>
              <w:t>willing to quit in the next 30 days, 10+ CPD</w:t>
            </w:r>
            <w:r w:rsidR="006050FB">
              <w:rPr>
                <w:rFonts w:eastAsia="MS Mincho" w:cstheme="minorHAnsi"/>
              </w:rPr>
              <w:t>.</w:t>
            </w:r>
          </w:p>
          <w:p w14:paraId="4230B7DA" w14:textId="78D1ED57" w:rsidR="00D674EF" w:rsidRPr="00017AE6" w:rsidRDefault="00D674EF" w:rsidP="00A71365">
            <w:pPr>
              <w:pStyle w:val="Tablewriting"/>
              <w:rPr>
                <w:rFonts w:eastAsia="MS Mincho" w:cstheme="minorHAnsi"/>
              </w:rPr>
            </w:pPr>
            <w:r w:rsidRPr="00017AE6">
              <w:rPr>
                <w:rFonts w:eastAsia="MS Mincho" w:cstheme="minorHAnsi"/>
              </w:rPr>
              <w:t>Mean age 46</w:t>
            </w:r>
            <w:r w:rsidR="006050FB">
              <w:rPr>
                <w:rFonts w:eastAsia="MS Mincho" w:cstheme="minorHAnsi"/>
              </w:rPr>
              <w:t xml:space="preserve"> years</w:t>
            </w:r>
            <w:r w:rsidRPr="00017AE6">
              <w:rPr>
                <w:rFonts w:eastAsia="MS Mincho" w:cstheme="minorHAnsi"/>
              </w:rPr>
              <w:t>, 69% women, 66% white, mean CPD 18.1, mean FTND 6.2</w:t>
            </w:r>
          </w:p>
          <w:p w14:paraId="7FDA5A12" w14:textId="77777777" w:rsidR="00D674EF" w:rsidRPr="00017AE6" w:rsidRDefault="00D674EF" w:rsidP="00A71365">
            <w:pPr>
              <w:pStyle w:val="Tablewriting"/>
              <w:rPr>
                <w:rFonts w:eastAsia="MS Mincho" w:cstheme="minorHAnsi"/>
              </w:rPr>
            </w:pPr>
          </w:p>
          <w:p w14:paraId="12E58535" w14:textId="7A422DB5" w:rsidR="00C25F5E" w:rsidRPr="00017AE6" w:rsidRDefault="00D674EF" w:rsidP="00A71365">
            <w:pPr>
              <w:pStyle w:val="Tablewriting"/>
              <w:rPr>
                <w:rFonts w:eastAsia="MS Mincho" w:cstheme="minorHAnsi"/>
              </w:rPr>
            </w:pPr>
            <w:r w:rsidRPr="00EF71EE">
              <w:rPr>
                <w:rFonts w:eastAsia="MS Mincho" w:cstheme="minorHAnsi"/>
                <w:u w:val="single"/>
              </w:rPr>
              <w:t>Exclusions:</w:t>
            </w:r>
            <w:r w:rsidRPr="00017AE6">
              <w:rPr>
                <w:rFonts w:eastAsia="MS Mincho" w:cstheme="minorHAnsi"/>
              </w:rPr>
              <w:t xml:space="preserve"> Bupropion use (for SC); usual pharmacological criteria</w:t>
            </w:r>
          </w:p>
        </w:tc>
        <w:tc>
          <w:tcPr>
            <w:tcW w:w="1054" w:type="pct"/>
          </w:tcPr>
          <w:p w14:paraId="70DF81CB" w14:textId="7D23077C" w:rsidR="004143A4" w:rsidRPr="00017AE6" w:rsidRDefault="004143A4" w:rsidP="00C324F3">
            <w:pPr>
              <w:pStyle w:val="Tablewriting"/>
              <w:numPr>
                <w:ilvl w:val="0"/>
                <w:numId w:val="63"/>
              </w:numPr>
              <w:rPr>
                <w:rFonts w:eastAsia="MS Mincho" w:cstheme="minorHAnsi"/>
              </w:rPr>
            </w:pPr>
            <w:r w:rsidRPr="00017AE6">
              <w:rPr>
                <w:rFonts w:eastAsia="MS Mincho" w:cstheme="minorHAnsi"/>
              </w:rPr>
              <w:t>Varenicline 1 mg x 2/day, titrated for first w</w:t>
            </w:r>
            <w:r w:rsidR="008C645C">
              <w:rPr>
                <w:rFonts w:eastAsia="MS Mincho" w:cstheme="minorHAnsi"/>
              </w:rPr>
              <w:t>ee</w:t>
            </w:r>
            <w:r w:rsidRPr="00017AE6">
              <w:rPr>
                <w:rFonts w:eastAsia="MS Mincho" w:cstheme="minorHAnsi"/>
              </w:rPr>
              <w:t>k</w:t>
            </w:r>
          </w:p>
          <w:p w14:paraId="49834461" w14:textId="73CC3834" w:rsidR="004143A4" w:rsidRPr="00017AE6" w:rsidRDefault="004143A4" w:rsidP="00C324F3">
            <w:pPr>
              <w:pStyle w:val="Tablewriting"/>
              <w:numPr>
                <w:ilvl w:val="0"/>
                <w:numId w:val="63"/>
              </w:numPr>
              <w:rPr>
                <w:rFonts w:eastAsia="MS Mincho" w:cstheme="minorHAnsi"/>
              </w:rPr>
            </w:pPr>
            <w:r w:rsidRPr="00017AE6">
              <w:rPr>
                <w:rFonts w:eastAsia="MS Mincho" w:cstheme="minorHAnsi"/>
              </w:rPr>
              <w:t>Placebo inactive tablets, same regimen</w:t>
            </w:r>
          </w:p>
          <w:p w14:paraId="79EED94A" w14:textId="77777777" w:rsidR="008C645C" w:rsidRDefault="008C645C" w:rsidP="00A71365">
            <w:pPr>
              <w:pStyle w:val="Tablewriting"/>
              <w:rPr>
                <w:rFonts w:eastAsia="MS Mincho" w:cstheme="minorHAnsi"/>
              </w:rPr>
            </w:pPr>
          </w:p>
          <w:p w14:paraId="4CAA9DAE" w14:textId="77777777" w:rsidR="008C645C" w:rsidRDefault="008C645C"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4143A4" w:rsidRPr="00017AE6">
              <w:rPr>
                <w:rFonts w:eastAsia="MS Mincho" w:cstheme="minorHAnsi"/>
              </w:rPr>
              <w:t xml:space="preserve">All participants received 15-minute SC counselling at each visit. </w:t>
            </w:r>
          </w:p>
          <w:p w14:paraId="3C747256" w14:textId="77777777" w:rsidR="00CD3434" w:rsidRDefault="00CD3434" w:rsidP="00A71365">
            <w:pPr>
              <w:pStyle w:val="Tablewriting"/>
              <w:rPr>
                <w:rFonts w:eastAsia="MS Mincho" w:cstheme="minorHAnsi"/>
              </w:rPr>
            </w:pPr>
          </w:p>
          <w:p w14:paraId="604FBF13" w14:textId="77777777" w:rsidR="004143A4" w:rsidRPr="00017AE6" w:rsidRDefault="004143A4" w:rsidP="00A71365">
            <w:pPr>
              <w:pStyle w:val="Tablewriting"/>
              <w:rPr>
                <w:rFonts w:eastAsia="MS Mincho" w:cstheme="minorHAnsi"/>
              </w:rPr>
            </w:pPr>
            <w:r w:rsidRPr="00017AE6">
              <w:rPr>
                <w:rFonts w:eastAsia="MS Mincho" w:cstheme="minorHAnsi"/>
              </w:rPr>
              <w:t>Participants in both groups could reduce the dosage if they wished.</w:t>
            </w:r>
          </w:p>
          <w:p w14:paraId="6E6237C2" w14:textId="29A4266B" w:rsidR="004143A4" w:rsidRPr="00017AE6" w:rsidRDefault="004143A4" w:rsidP="00A71365">
            <w:pPr>
              <w:pStyle w:val="Tablewriting"/>
              <w:rPr>
                <w:rFonts w:eastAsia="MS Mincho" w:cstheme="minorHAnsi"/>
              </w:rPr>
            </w:pPr>
            <w:r w:rsidRPr="00017AE6">
              <w:rPr>
                <w:rFonts w:eastAsia="MS Mincho" w:cstheme="minorHAnsi"/>
              </w:rPr>
              <w:t>TQD was set for w</w:t>
            </w:r>
            <w:r w:rsidR="008C645C">
              <w:rPr>
                <w:rFonts w:eastAsia="MS Mincho" w:cstheme="minorHAnsi"/>
              </w:rPr>
              <w:t>ee</w:t>
            </w:r>
            <w:r w:rsidRPr="00017AE6">
              <w:rPr>
                <w:rFonts w:eastAsia="MS Mincho" w:cstheme="minorHAnsi"/>
              </w:rPr>
              <w:t>k 2 onwards (</w:t>
            </w:r>
            <w:r w:rsidR="004664D2" w:rsidRPr="00017AE6">
              <w:rPr>
                <w:rFonts w:eastAsia="MS Mincho" w:cstheme="minorHAnsi"/>
              </w:rPr>
              <w:t>i.e.,</w:t>
            </w:r>
            <w:r w:rsidRPr="00017AE6">
              <w:rPr>
                <w:rFonts w:eastAsia="MS Mincho" w:cstheme="minorHAnsi"/>
              </w:rPr>
              <w:t xml:space="preserve"> full dosage reached)</w:t>
            </w:r>
          </w:p>
          <w:p w14:paraId="761EEA86" w14:textId="77777777" w:rsidR="00D4308E" w:rsidRDefault="00D4308E" w:rsidP="00A71365">
            <w:pPr>
              <w:pStyle w:val="Tablewriting"/>
              <w:rPr>
                <w:rFonts w:eastAsia="MS Mincho" w:cstheme="minorHAnsi"/>
              </w:rPr>
            </w:pPr>
          </w:p>
          <w:p w14:paraId="46D514ED" w14:textId="77777777" w:rsidR="001464FD" w:rsidRDefault="004143A4" w:rsidP="00A71365">
            <w:pPr>
              <w:pStyle w:val="Tablewriting"/>
              <w:rPr>
                <w:rFonts w:eastAsia="MS Mincho" w:cstheme="minorHAnsi"/>
              </w:rPr>
            </w:pPr>
            <w:r w:rsidRPr="00017AE6">
              <w:rPr>
                <w:rFonts w:eastAsia="MS Mincho" w:cstheme="minorHAnsi"/>
              </w:rPr>
              <w:t>Treatment period was 12 w</w:t>
            </w:r>
            <w:r w:rsidR="00D4308E">
              <w:rPr>
                <w:rFonts w:eastAsia="MS Mincho" w:cstheme="minorHAnsi"/>
              </w:rPr>
              <w:t>ee</w:t>
            </w:r>
            <w:r w:rsidRPr="00017AE6">
              <w:rPr>
                <w:rFonts w:eastAsia="MS Mincho" w:cstheme="minorHAnsi"/>
              </w:rPr>
              <w:t xml:space="preserve">ks. </w:t>
            </w:r>
          </w:p>
          <w:p w14:paraId="007C3E91" w14:textId="77777777" w:rsidR="001464FD" w:rsidRDefault="001464FD" w:rsidP="00A71365">
            <w:pPr>
              <w:pStyle w:val="Tablewriting"/>
              <w:rPr>
                <w:rFonts w:eastAsia="MS Mincho" w:cstheme="minorHAnsi"/>
              </w:rPr>
            </w:pPr>
          </w:p>
          <w:p w14:paraId="4901F0FB" w14:textId="7790939F" w:rsidR="004143A4" w:rsidRPr="00017AE6" w:rsidRDefault="004143A4" w:rsidP="00A71365">
            <w:pPr>
              <w:pStyle w:val="Tablewriting"/>
              <w:rPr>
                <w:rFonts w:eastAsia="MS Mincho" w:cstheme="minorHAnsi"/>
              </w:rPr>
            </w:pPr>
            <w:r w:rsidRPr="00017AE6">
              <w:rPr>
                <w:rFonts w:eastAsia="MS Mincho" w:cstheme="minorHAnsi"/>
              </w:rPr>
              <w:t>Weekly pill counts to assess adherence</w:t>
            </w:r>
          </w:p>
          <w:p w14:paraId="0A340C70" w14:textId="7175B2F0" w:rsidR="00C25F5E" w:rsidRPr="00017AE6" w:rsidRDefault="00C25F5E" w:rsidP="00A71365">
            <w:pPr>
              <w:pStyle w:val="Tablewriting"/>
              <w:rPr>
                <w:rFonts w:eastAsia="MS Mincho" w:cstheme="minorHAnsi"/>
              </w:rPr>
            </w:pPr>
          </w:p>
        </w:tc>
        <w:tc>
          <w:tcPr>
            <w:tcW w:w="959" w:type="pct"/>
          </w:tcPr>
          <w:p w14:paraId="0E913C0F" w14:textId="77777777" w:rsidR="00D53E03" w:rsidRDefault="00D53E03" w:rsidP="00A71365">
            <w:pPr>
              <w:pStyle w:val="Tablewriting"/>
              <w:rPr>
                <w:rFonts w:eastAsia="MS Mincho" w:cstheme="minorHAnsi"/>
              </w:rPr>
            </w:pPr>
            <w:r w:rsidRPr="00D53E03">
              <w:rPr>
                <w:rFonts w:eastAsia="MS Mincho" w:cstheme="minorHAnsi"/>
                <w:u w:val="single"/>
              </w:rPr>
              <w:t>Efficacy:</w:t>
            </w:r>
            <w:r>
              <w:rPr>
                <w:rFonts w:eastAsia="MS Mincho" w:cstheme="minorHAnsi"/>
              </w:rPr>
              <w:t xml:space="preserve"> </w:t>
            </w:r>
          </w:p>
          <w:p w14:paraId="567F21CA" w14:textId="394835F3" w:rsidR="00084EFC" w:rsidRPr="00017AE6" w:rsidRDefault="00084EFC" w:rsidP="00A71365">
            <w:pPr>
              <w:pStyle w:val="Tablewriting"/>
              <w:rPr>
                <w:rFonts w:eastAsia="MS Mincho" w:cstheme="minorHAnsi"/>
              </w:rPr>
            </w:pPr>
            <w:r w:rsidRPr="00017AE6">
              <w:rPr>
                <w:rFonts w:eastAsia="MS Mincho" w:cstheme="minorHAnsi"/>
              </w:rPr>
              <w:t>Primary: 7-day PPA, CO-verified at 12 w</w:t>
            </w:r>
            <w:r w:rsidR="00D53E03">
              <w:rPr>
                <w:rFonts w:eastAsia="MS Mincho" w:cstheme="minorHAnsi"/>
              </w:rPr>
              <w:t>ee</w:t>
            </w:r>
            <w:r w:rsidRPr="00017AE6">
              <w:rPr>
                <w:rFonts w:eastAsia="MS Mincho" w:cstheme="minorHAnsi"/>
              </w:rPr>
              <w:t>ks</w:t>
            </w:r>
            <w:r w:rsidR="0015251C">
              <w:rPr>
                <w:rFonts w:eastAsia="MS Mincho" w:cstheme="minorHAnsi"/>
              </w:rPr>
              <w:t>;</w:t>
            </w:r>
          </w:p>
          <w:p w14:paraId="664027D5" w14:textId="0B3FC918" w:rsidR="00084EFC" w:rsidRPr="00017AE6" w:rsidRDefault="00084EFC" w:rsidP="00A71365">
            <w:pPr>
              <w:pStyle w:val="Tablewriting"/>
              <w:rPr>
                <w:rFonts w:eastAsia="MS Mincho" w:cstheme="minorHAnsi"/>
              </w:rPr>
            </w:pPr>
            <w:r w:rsidRPr="00017AE6">
              <w:rPr>
                <w:rFonts w:eastAsia="MS Mincho" w:cstheme="minorHAnsi"/>
              </w:rPr>
              <w:t>Secondary outcomes: 7-day PPA at 24 w</w:t>
            </w:r>
            <w:r w:rsidR="009D76C2">
              <w:rPr>
                <w:rFonts w:eastAsia="MS Mincho" w:cstheme="minorHAnsi"/>
              </w:rPr>
              <w:t>ee</w:t>
            </w:r>
            <w:r w:rsidRPr="00017AE6">
              <w:rPr>
                <w:rFonts w:eastAsia="MS Mincho" w:cstheme="minorHAnsi"/>
              </w:rPr>
              <w:t>ks; CA at 12</w:t>
            </w:r>
            <w:r w:rsidR="000425CB">
              <w:rPr>
                <w:rFonts w:eastAsia="MS Mincho" w:cstheme="minorHAnsi"/>
              </w:rPr>
              <w:t xml:space="preserve"> and</w:t>
            </w:r>
            <w:r w:rsidRPr="00017AE6">
              <w:rPr>
                <w:rFonts w:eastAsia="MS Mincho" w:cstheme="minorHAnsi"/>
              </w:rPr>
              <w:t xml:space="preserve"> 24 w</w:t>
            </w:r>
            <w:r w:rsidR="009D76C2">
              <w:rPr>
                <w:rFonts w:eastAsia="MS Mincho" w:cstheme="minorHAnsi"/>
              </w:rPr>
              <w:t>ee</w:t>
            </w:r>
            <w:r w:rsidRPr="00017AE6">
              <w:rPr>
                <w:rFonts w:eastAsia="MS Mincho" w:cstheme="minorHAnsi"/>
              </w:rPr>
              <w:t>ks</w:t>
            </w:r>
            <w:r w:rsidR="000425CB">
              <w:rPr>
                <w:rFonts w:eastAsia="MS Mincho" w:cstheme="minorHAnsi"/>
              </w:rPr>
              <w:t>.</w:t>
            </w:r>
          </w:p>
          <w:p w14:paraId="408228A9" w14:textId="4C30DA13" w:rsidR="00F149C3" w:rsidRPr="00F149C3" w:rsidRDefault="003845B9" w:rsidP="00A71365">
            <w:pPr>
              <w:pStyle w:val="Tablewriting"/>
              <w:rPr>
                <w:rFonts w:eastAsia="MS Mincho" w:cstheme="minorHAnsi"/>
              </w:rPr>
            </w:pPr>
            <w:r w:rsidRPr="00017AE6">
              <w:rPr>
                <w:rFonts w:eastAsia="MS Mincho" w:cstheme="minorHAnsi"/>
              </w:rPr>
              <w:t>Validation: CO &lt; 10 ppm</w:t>
            </w:r>
          </w:p>
          <w:p w14:paraId="4DB5BD46" w14:textId="77777777" w:rsidR="003845B9" w:rsidRDefault="003845B9" w:rsidP="00A71365">
            <w:pPr>
              <w:pStyle w:val="Tablewriting"/>
              <w:rPr>
                <w:rFonts w:eastAsia="MS Mincho" w:cstheme="minorHAnsi"/>
              </w:rPr>
            </w:pPr>
          </w:p>
          <w:p w14:paraId="33358979" w14:textId="0270ADAB" w:rsidR="00725B0D" w:rsidRPr="00017AE6" w:rsidRDefault="00ED3DBE" w:rsidP="00A71365">
            <w:pPr>
              <w:pStyle w:val="Tablewriting"/>
              <w:rPr>
                <w:rFonts w:eastAsia="MS Mincho" w:cstheme="minorHAnsi"/>
              </w:rPr>
            </w:pPr>
            <w:r w:rsidRPr="003845B9">
              <w:rPr>
                <w:rFonts w:eastAsia="MS Mincho" w:cstheme="minorHAnsi"/>
                <w:u w:val="single"/>
              </w:rPr>
              <w:t>Safety:</w:t>
            </w:r>
            <w:r w:rsidR="00BB109E">
              <w:rPr>
                <w:rFonts w:eastAsia="MS Mincho" w:cstheme="minorHAnsi"/>
              </w:rPr>
              <w:t xml:space="preserve"> </w:t>
            </w:r>
            <w:r w:rsidR="00BB109E" w:rsidRPr="00AA732F">
              <w:rPr>
                <w:rFonts w:eastAsia="MS Mincho" w:cstheme="minorHAnsi"/>
              </w:rPr>
              <w:t>N</w:t>
            </w:r>
            <w:r w:rsidR="00725B0D" w:rsidRPr="00AA732F">
              <w:rPr>
                <w:rFonts w:eastAsia="MS Mincho" w:cstheme="minorHAnsi"/>
              </w:rPr>
              <w:t>R</w:t>
            </w:r>
          </w:p>
          <w:p w14:paraId="09CDD16C" w14:textId="400CF572" w:rsidR="00C25F5E" w:rsidRPr="00017AE6" w:rsidRDefault="00C25F5E" w:rsidP="00A71365">
            <w:pPr>
              <w:pStyle w:val="Tablewriting"/>
              <w:rPr>
                <w:rFonts w:eastAsia="MS Mincho" w:cstheme="minorHAnsi"/>
              </w:rPr>
            </w:pPr>
          </w:p>
        </w:tc>
      </w:tr>
      <w:tr w:rsidR="003D3459" w:rsidRPr="00017AE6" w14:paraId="371278DE" w14:textId="77777777" w:rsidTr="005821B1">
        <w:trPr>
          <w:trHeight w:val="99"/>
        </w:trPr>
        <w:tc>
          <w:tcPr>
            <w:tcW w:w="761" w:type="pct"/>
          </w:tcPr>
          <w:p w14:paraId="51DD122C" w14:textId="45C3FC57" w:rsidR="00C25F5E" w:rsidRPr="00017AE6" w:rsidRDefault="00C25F5E" w:rsidP="00A71365">
            <w:pPr>
              <w:pStyle w:val="Tablewriting"/>
              <w:rPr>
                <w:rFonts w:eastAsia="MS Mincho" w:cstheme="minorHAnsi"/>
              </w:rPr>
            </w:pPr>
            <w:r w:rsidRPr="00017AE6">
              <w:rPr>
                <w:rFonts w:eastAsia="MS Mincho" w:cstheme="minorHAnsi"/>
              </w:rPr>
              <w:t xml:space="preserve">Cinciripini </w:t>
            </w:r>
            <w:r w:rsidR="00F143BB">
              <w:rPr>
                <w:rFonts w:eastAsia="MS Mincho" w:cstheme="minorHAnsi"/>
              </w:rPr>
              <w:t>(</w:t>
            </w:r>
            <w:r w:rsidRPr="00017AE6">
              <w:rPr>
                <w:rFonts w:eastAsia="MS Mincho" w:cstheme="minorHAnsi"/>
              </w:rPr>
              <w:t>2013</w:t>
            </w:r>
            <w:r w:rsidR="00F143BB">
              <w:rPr>
                <w:rFonts w:eastAsia="MS Mincho" w:cstheme="minorHAnsi"/>
              </w:rPr>
              <w:t>)</w:t>
            </w:r>
          </w:p>
        </w:tc>
        <w:tc>
          <w:tcPr>
            <w:tcW w:w="235" w:type="pct"/>
          </w:tcPr>
          <w:p w14:paraId="290EF7C7" w14:textId="457BB95A"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3E44664F" w14:textId="1BE42976" w:rsidR="00C25F5E" w:rsidRPr="00017AE6" w:rsidRDefault="00755A9D" w:rsidP="00A71365">
            <w:pPr>
              <w:pStyle w:val="Tablewriting"/>
              <w:rPr>
                <w:rFonts w:eastAsia="MS Mincho" w:cstheme="minorHAnsi"/>
              </w:rPr>
            </w:pPr>
            <w:r w:rsidRPr="00017AE6">
              <w:rPr>
                <w:rFonts w:eastAsia="MS Mincho" w:cstheme="minorHAnsi"/>
              </w:rPr>
              <w:t>USA</w:t>
            </w:r>
          </w:p>
        </w:tc>
        <w:tc>
          <w:tcPr>
            <w:tcW w:w="679" w:type="pct"/>
          </w:tcPr>
          <w:p w14:paraId="6115B672" w14:textId="79A3AB0C" w:rsidR="00C25F5E" w:rsidRPr="00017AE6" w:rsidRDefault="00C25F5E" w:rsidP="00A71365">
            <w:pPr>
              <w:pStyle w:val="Tablewriting"/>
              <w:rPr>
                <w:rFonts w:eastAsia="MS Mincho" w:cstheme="minorHAnsi"/>
              </w:rPr>
            </w:pPr>
            <w:r w:rsidRPr="00017AE6">
              <w:rPr>
                <w:rFonts w:eastAsia="MS Mincho" w:cstheme="minorHAnsi"/>
              </w:rPr>
              <w:t>N=</w:t>
            </w:r>
            <w:r w:rsidR="00504712" w:rsidRPr="00017AE6">
              <w:rPr>
                <w:rFonts w:eastAsia="MS Mincho" w:cstheme="minorHAnsi"/>
              </w:rPr>
              <w:t>294</w:t>
            </w:r>
            <w:r w:rsidR="00815FAD">
              <w:rPr>
                <w:rFonts w:eastAsia="MS Mincho" w:cstheme="minorHAnsi"/>
              </w:rPr>
              <w:t>; n=</w:t>
            </w:r>
            <w:r w:rsidR="008B3ED2">
              <w:rPr>
                <w:rFonts w:eastAsia="MS Mincho" w:cstheme="minorHAnsi"/>
              </w:rPr>
              <w:t>86 (varenicline)</w:t>
            </w:r>
            <w:r w:rsidR="00AB571A">
              <w:rPr>
                <w:rFonts w:eastAsia="MS Mincho" w:cstheme="minorHAnsi"/>
              </w:rPr>
              <w:t xml:space="preserve">, </w:t>
            </w:r>
            <w:r w:rsidR="00C34E8B">
              <w:rPr>
                <w:rFonts w:eastAsia="MS Mincho" w:cstheme="minorHAnsi"/>
              </w:rPr>
              <w:t>n=102</w:t>
            </w:r>
            <w:r w:rsidR="00D02A0D">
              <w:rPr>
                <w:rFonts w:eastAsia="MS Mincho" w:cstheme="minorHAnsi"/>
              </w:rPr>
              <w:t xml:space="preserve"> (bupropion)</w:t>
            </w:r>
            <w:r w:rsidR="00F64D12">
              <w:rPr>
                <w:rFonts w:eastAsia="MS Mincho" w:cstheme="minorHAnsi"/>
              </w:rPr>
              <w:t>, n=</w:t>
            </w:r>
            <w:r w:rsidR="002E4C49">
              <w:rPr>
                <w:rFonts w:eastAsia="MS Mincho" w:cstheme="minorHAnsi"/>
              </w:rPr>
              <w:t>106 (placebo)</w:t>
            </w:r>
          </w:p>
        </w:tc>
        <w:tc>
          <w:tcPr>
            <w:tcW w:w="851" w:type="pct"/>
          </w:tcPr>
          <w:p w14:paraId="5C015F1B" w14:textId="2A431035" w:rsidR="00815FAD" w:rsidRDefault="004664D2" w:rsidP="00A71365">
            <w:pPr>
              <w:pStyle w:val="Tablewriting"/>
              <w:rPr>
                <w:rFonts w:eastAsia="MS Mincho" w:cstheme="minorHAnsi"/>
              </w:rPr>
            </w:pPr>
            <w:r>
              <w:rPr>
                <w:rFonts w:eastAsia="MS Mincho" w:cstheme="minorHAnsi"/>
              </w:rPr>
              <w:t>V</w:t>
            </w:r>
            <w:r w:rsidRPr="00017AE6">
              <w:rPr>
                <w:rFonts w:eastAsia="MS Mincho" w:cstheme="minorHAnsi"/>
              </w:rPr>
              <w:t>olunteer smokers</w:t>
            </w:r>
            <w:r w:rsidR="00504712" w:rsidRPr="00017AE6">
              <w:rPr>
                <w:rFonts w:eastAsia="MS Mincho" w:cstheme="minorHAnsi"/>
              </w:rPr>
              <w:t xml:space="preserve"> aged 18 - 65, 5+ CPD, fluent in English, no uncontrolled chronic illness, baseline CO &gt; 6 ppm. Mean age </w:t>
            </w:r>
            <w:r w:rsidR="00504712" w:rsidRPr="00017AE6">
              <w:rPr>
                <w:rFonts w:eastAsia="MS Mincho" w:cstheme="minorHAnsi"/>
              </w:rPr>
              <w:lastRenderedPageBreak/>
              <w:t xml:space="preserve">44, 39% women, 66% white, mean CPD 20, mean FTND 4.5, mean baseline CO 24.5 ppm. </w:t>
            </w:r>
          </w:p>
          <w:p w14:paraId="71EE9444" w14:textId="77777777" w:rsidR="00504712" w:rsidRPr="00017AE6" w:rsidRDefault="00504712" w:rsidP="00A71365">
            <w:pPr>
              <w:pStyle w:val="Tablewriting"/>
              <w:rPr>
                <w:rFonts w:eastAsia="MS Mincho" w:cstheme="minorHAnsi"/>
              </w:rPr>
            </w:pPr>
          </w:p>
          <w:p w14:paraId="190513C6" w14:textId="617E0564" w:rsidR="00C25F5E" w:rsidRPr="00017AE6" w:rsidRDefault="00504712" w:rsidP="00A71365">
            <w:pPr>
              <w:pStyle w:val="Tablewriting"/>
              <w:rPr>
                <w:rFonts w:eastAsia="MS Mincho" w:cstheme="minorHAnsi"/>
              </w:rPr>
            </w:pPr>
            <w:r w:rsidRPr="002E4C49">
              <w:rPr>
                <w:rFonts w:eastAsia="MS Mincho" w:cstheme="minorHAnsi"/>
                <w:u w:val="single"/>
              </w:rPr>
              <w:t>Exclusions:</w:t>
            </w:r>
            <w:r w:rsidRPr="00017AE6">
              <w:rPr>
                <w:rFonts w:eastAsia="MS Mincho" w:cstheme="minorHAnsi"/>
              </w:rPr>
              <w:t xml:space="preserve"> Usual pharma exclusions, current or history of psychotic disorder, moderate or high risk of</w:t>
            </w:r>
            <w:r w:rsidR="00550CA3">
              <w:rPr>
                <w:rFonts w:eastAsia="MS Mincho" w:cstheme="minorHAnsi"/>
              </w:rPr>
              <w:t xml:space="preserve"> </w:t>
            </w:r>
            <w:r w:rsidRPr="00017AE6">
              <w:rPr>
                <w:rFonts w:eastAsia="MS Mincho" w:cstheme="minorHAnsi"/>
              </w:rPr>
              <w:t>suicidality, contra-indications to varenicline or bupropion</w:t>
            </w:r>
            <w:r w:rsidR="00550CA3">
              <w:rPr>
                <w:rFonts w:eastAsia="MS Mincho" w:cstheme="minorHAnsi"/>
              </w:rPr>
              <w:t>.</w:t>
            </w:r>
          </w:p>
        </w:tc>
        <w:tc>
          <w:tcPr>
            <w:tcW w:w="1054" w:type="pct"/>
          </w:tcPr>
          <w:p w14:paraId="52DF4AA9" w14:textId="670D6FDB" w:rsidR="00C62324" w:rsidRPr="00017AE6" w:rsidRDefault="00C62324" w:rsidP="00C324F3">
            <w:pPr>
              <w:pStyle w:val="Tablewriting"/>
              <w:numPr>
                <w:ilvl w:val="0"/>
                <w:numId w:val="64"/>
              </w:numPr>
              <w:rPr>
                <w:rFonts w:eastAsia="MS Mincho" w:cstheme="minorHAnsi"/>
              </w:rPr>
            </w:pPr>
            <w:r w:rsidRPr="00017AE6">
              <w:rPr>
                <w:rFonts w:eastAsia="MS Mincho" w:cstheme="minorHAnsi"/>
              </w:rPr>
              <w:lastRenderedPageBreak/>
              <w:t>Varenicline: 12-week course (1 mg x 2/day) + non-active bupropion course (placebo)</w:t>
            </w:r>
          </w:p>
          <w:p w14:paraId="5B4011A1" w14:textId="3B098766" w:rsidR="00C62324" w:rsidRPr="00017AE6" w:rsidRDefault="00C62324" w:rsidP="00C324F3">
            <w:pPr>
              <w:pStyle w:val="Tablewriting"/>
              <w:numPr>
                <w:ilvl w:val="0"/>
                <w:numId w:val="64"/>
              </w:numPr>
              <w:rPr>
                <w:rFonts w:eastAsia="MS Mincho" w:cstheme="minorHAnsi"/>
              </w:rPr>
            </w:pPr>
            <w:r w:rsidRPr="00017AE6">
              <w:rPr>
                <w:rFonts w:eastAsia="MS Mincho" w:cstheme="minorHAnsi"/>
              </w:rPr>
              <w:lastRenderedPageBreak/>
              <w:t>Bupropion: 12-week course (150 mg x 2/day) + non-active varenicline course (placebo)</w:t>
            </w:r>
          </w:p>
          <w:p w14:paraId="43F13E55" w14:textId="65629F12" w:rsidR="00C62324" w:rsidRPr="00017AE6" w:rsidRDefault="00C62324" w:rsidP="00C324F3">
            <w:pPr>
              <w:pStyle w:val="Tablewriting"/>
              <w:numPr>
                <w:ilvl w:val="0"/>
                <w:numId w:val="64"/>
              </w:numPr>
              <w:rPr>
                <w:rFonts w:eastAsia="MS Mincho" w:cstheme="minorHAnsi"/>
              </w:rPr>
            </w:pPr>
            <w:r w:rsidRPr="00017AE6">
              <w:rPr>
                <w:rFonts w:eastAsia="MS Mincho" w:cstheme="minorHAnsi"/>
              </w:rPr>
              <w:t>Placebo: 12-week course (placebo pill x 2/day)</w:t>
            </w:r>
          </w:p>
          <w:p w14:paraId="0E4C1B0F" w14:textId="77777777" w:rsidR="00DD6AF9" w:rsidRDefault="00DD6AF9" w:rsidP="00A71365">
            <w:pPr>
              <w:pStyle w:val="Tablewriting"/>
              <w:rPr>
                <w:rFonts w:eastAsia="MS Mincho" w:cstheme="minorHAnsi"/>
              </w:rPr>
            </w:pPr>
          </w:p>
          <w:p w14:paraId="572BF0F8" w14:textId="42BF1FBD" w:rsidR="00D66282" w:rsidRDefault="00DD6AF9"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C62324" w:rsidRPr="00017AE6">
              <w:rPr>
                <w:rFonts w:eastAsia="MS Mincho" w:cstheme="minorHAnsi"/>
              </w:rPr>
              <w:t xml:space="preserve">All participants got intensive counselling, </w:t>
            </w:r>
            <w:r w:rsidR="004664D2" w:rsidRPr="00017AE6">
              <w:rPr>
                <w:rFonts w:eastAsia="MS Mincho" w:cstheme="minorHAnsi"/>
              </w:rPr>
              <w:t>i.e.,</w:t>
            </w:r>
            <w:r w:rsidR="00C62324" w:rsidRPr="00017AE6">
              <w:rPr>
                <w:rFonts w:eastAsia="MS Mincho" w:cstheme="minorHAnsi"/>
              </w:rPr>
              <w:t xml:space="preserve"> 6 x in-person 30-minute individual counselling sessions</w:t>
            </w:r>
            <w:r>
              <w:rPr>
                <w:rFonts w:eastAsia="MS Mincho" w:cstheme="minorHAnsi"/>
              </w:rPr>
              <w:t xml:space="preserve"> </w:t>
            </w:r>
            <w:r w:rsidR="00C62324" w:rsidRPr="00017AE6">
              <w:rPr>
                <w:rFonts w:eastAsia="MS Mincho" w:cstheme="minorHAnsi"/>
              </w:rPr>
              <w:t xml:space="preserve">and 4 x 15-minute phone calls during treatment phase, based on MI techniques. </w:t>
            </w:r>
          </w:p>
          <w:p w14:paraId="5F5CCE7D" w14:textId="6FF2F849" w:rsidR="00C62324" w:rsidRPr="00017AE6" w:rsidRDefault="00C62324" w:rsidP="00A71365">
            <w:pPr>
              <w:pStyle w:val="Tablewriting"/>
              <w:rPr>
                <w:rFonts w:eastAsia="MS Mincho" w:cstheme="minorHAnsi"/>
              </w:rPr>
            </w:pPr>
            <w:r w:rsidRPr="00017AE6">
              <w:rPr>
                <w:rFonts w:eastAsia="MS Mincho" w:cstheme="minorHAnsi"/>
              </w:rPr>
              <w:t>During follow-up, each</w:t>
            </w:r>
          </w:p>
          <w:p w14:paraId="72D45D08" w14:textId="7AB3AE0C" w:rsidR="00C25F5E" w:rsidRPr="00017AE6" w:rsidRDefault="00C62324" w:rsidP="00A71365">
            <w:pPr>
              <w:pStyle w:val="Tablewriting"/>
              <w:rPr>
                <w:rFonts w:eastAsia="MS Mincho" w:cstheme="minorHAnsi"/>
              </w:rPr>
            </w:pPr>
            <w:r w:rsidRPr="00017AE6">
              <w:rPr>
                <w:rFonts w:eastAsia="MS Mincho" w:cstheme="minorHAnsi"/>
              </w:rPr>
              <w:t>participant got a 15-minute in-person visit at 3</w:t>
            </w:r>
            <w:r w:rsidR="00D66282">
              <w:rPr>
                <w:rFonts w:eastAsia="MS Mincho" w:cstheme="minorHAnsi"/>
              </w:rPr>
              <w:t xml:space="preserve"> months</w:t>
            </w:r>
            <w:r w:rsidRPr="00017AE6">
              <w:rPr>
                <w:rFonts w:eastAsia="MS Mincho" w:cstheme="minorHAnsi"/>
              </w:rPr>
              <w:t xml:space="preserve"> and 6</w:t>
            </w:r>
            <w:r w:rsidR="00D66282">
              <w:rPr>
                <w:rFonts w:eastAsia="MS Mincho" w:cstheme="minorHAnsi"/>
              </w:rPr>
              <w:t xml:space="preserve"> months</w:t>
            </w:r>
            <w:r w:rsidRPr="00017AE6">
              <w:rPr>
                <w:rFonts w:eastAsia="MS Mincho" w:cstheme="minorHAnsi"/>
              </w:rPr>
              <w:t>, and a 15-minute phone call at 4</w:t>
            </w:r>
            <w:r w:rsidR="00D66282">
              <w:rPr>
                <w:rFonts w:eastAsia="MS Mincho" w:cstheme="minorHAnsi"/>
              </w:rPr>
              <w:t xml:space="preserve"> months.</w:t>
            </w:r>
          </w:p>
        </w:tc>
        <w:tc>
          <w:tcPr>
            <w:tcW w:w="959" w:type="pct"/>
          </w:tcPr>
          <w:p w14:paraId="46F6C868" w14:textId="77777777" w:rsidR="007C0589" w:rsidRDefault="006A1B9A" w:rsidP="00A71365">
            <w:pPr>
              <w:pStyle w:val="Tablewriting"/>
              <w:rPr>
                <w:rFonts w:eastAsia="MS Mincho" w:cstheme="minorHAnsi"/>
              </w:rPr>
            </w:pPr>
            <w:r w:rsidRPr="006A1B9A">
              <w:rPr>
                <w:rFonts w:eastAsia="MS Mincho" w:cstheme="minorHAnsi"/>
                <w:u w:val="single"/>
              </w:rPr>
              <w:lastRenderedPageBreak/>
              <w:t>Efficacy:</w:t>
            </w:r>
            <w:r>
              <w:rPr>
                <w:rFonts w:eastAsia="MS Mincho" w:cstheme="minorHAnsi"/>
              </w:rPr>
              <w:t xml:space="preserve"> </w:t>
            </w:r>
          </w:p>
          <w:p w14:paraId="55DE4509" w14:textId="06AF2A00" w:rsidR="00636786" w:rsidRPr="00017AE6" w:rsidRDefault="00636786" w:rsidP="00A71365">
            <w:pPr>
              <w:pStyle w:val="Tablewriting"/>
              <w:rPr>
                <w:rFonts w:eastAsia="MS Mincho" w:cstheme="minorHAnsi"/>
              </w:rPr>
            </w:pPr>
            <w:r w:rsidRPr="00017AE6">
              <w:rPr>
                <w:rFonts w:eastAsia="MS Mincho" w:cstheme="minorHAnsi"/>
              </w:rPr>
              <w:t xml:space="preserve">Primary: PA at </w:t>
            </w:r>
            <w:r w:rsidRPr="00BB72B1">
              <w:rPr>
                <w:rFonts w:eastAsia="MS Mincho" w:cstheme="minorHAnsi"/>
              </w:rPr>
              <w:t>EoT</w:t>
            </w:r>
            <w:r w:rsidR="0015251C">
              <w:rPr>
                <w:rFonts w:eastAsia="MS Mincho" w:cstheme="minorHAnsi"/>
              </w:rPr>
              <w:t>;</w:t>
            </w:r>
          </w:p>
          <w:p w14:paraId="78D68653" w14:textId="0CDB6326" w:rsidR="0078094E" w:rsidRDefault="00636786" w:rsidP="00A71365">
            <w:pPr>
              <w:pStyle w:val="Tablewriting"/>
              <w:rPr>
                <w:rFonts w:eastAsia="MS Mincho" w:cstheme="minorHAnsi"/>
              </w:rPr>
            </w:pPr>
            <w:r w:rsidRPr="00017AE6">
              <w:rPr>
                <w:rFonts w:eastAsia="MS Mincho" w:cstheme="minorHAnsi"/>
              </w:rPr>
              <w:t>Secondary: PA at 3</w:t>
            </w:r>
            <w:r w:rsidR="00C763C7">
              <w:rPr>
                <w:rFonts w:eastAsia="MS Mincho" w:cstheme="minorHAnsi"/>
              </w:rPr>
              <w:t>-month</w:t>
            </w:r>
            <w:r w:rsidRPr="00017AE6">
              <w:rPr>
                <w:rFonts w:eastAsia="MS Mincho" w:cstheme="minorHAnsi"/>
              </w:rPr>
              <w:t xml:space="preserve"> post-quit, 6</w:t>
            </w:r>
            <w:r w:rsidR="00974EE6">
              <w:rPr>
                <w:rFonts w:eastAsia="MS Mincho" w:cstheme="minorHAnsi"/>
              </w:rPr>
              <w:t>-</w:t>
            </w:r>
            <w:r w:rsidRPr="00017AE6">
              <w:rPr>
                <w:rFonts w:eastAsia="MS Mincho" w:cstheme="minorHAnsi"/>
              </w:rPr>
              <w:t>m</w:t>
            </w:r>
            <w:r w:rsidR="00974EE6">
              <w:rPr>
                <w:rFonts w:eastAsia="MS Mincho" w:cstheme="minorHAnsi"/>
              </w:rPr>
              <w:t>onth</w:t>
            </w:r>
            <w:r w:rsidRPr="00017AE6">
              <w:rPr>
                <w:rFonts w:eastAsia="MS Mincho" w:cstheme="minorHAnsi"/>
              </w:rPr>
              <w:t xml:space="preserve"> post-quit; </w:t>
            </w:r>
          </w:p>
          <w:p w14:paraId="0AC21207" w14:textId="6088E917" w:rsidR="00636786" w:rsidRPr="00017AE6" w:rsidRDefault="00636786" w:rsidP="00A71365">
            <w:pPr>
              <w:pStyle w:val="Tablewriting"/>
              <w:rPr>
                <w:rFonts w:eastAsia="MS Mincho" w:cstheme="minorHAnsi"/>
              </w:rPr>
            </w:pPr>
            <w:r w:rsidRPr="00017AE6">
              <w:rPr>
                <w:rFonts w:eastAsia="MS Mincho" w:cstheme="minorHAnsi"/>
              </w:rPr>
              <w:lastRenderedPageBreak/>
              <w:t>CA at 3</w:t>
            </w:r>
            <w:r w:rsidR="0078094E">
              <w:rPr>
                <w:rFonts w:eastAsia="MS Mincho" w:cstheme="minorHAnsi"/>
              </w:rPr>
              <w:t>-</w:t>
            </w:r>
            <w:r w:rsidRPr="00017AE6">
              <w:rPr>
                <w:rFonts w:eastAsia="MS Mincho" w:cstheme="minorHAnsi"/>
              </w:rPr>
              <w:t>m</w:t>
            </w:r>
            <w:r w:rsidR="0078094E">
              <w:rPr>
                <w:rFonts w:eastAsia="MS Mincho" w:cstheme="minorHAnsi"/>
              </w:rPr>
              <w:t>onth</w:t>
            </w:r>
            <w:r w:rsidRPr="00017AE6">
              <w:rPr>
                <w:rFonts w:eastAsia="MS Mincho" w:cstheme="minorHAnsi"/>
              </w:rPr>
              <w:t xml:space="preserve"> post-quit, 6</w:t>
            </w:r>
            <w:r w:rsidR="0078094E">
              <w:rPr>
                <w:rFonts w:eastAsia="MS Mincho" w:cstheme="minorHAnsi"/>
              </w:rPr>
              <w:t>-</w:t>
            </w:r>
            <w:r w:rsidRPr="00017AE6">
              <w:rPr>
                <w:rFonts w:eastAsia="MS Mincho" w:cstheme="minorHAnsi"/>
              </w:rPr>
              <w:t>m</w:t>
            </w:r>
            <w:r w:rsidR="0078094E">
              <w:rPr>
                <w:rFonts w:eastAsia="MS Mincho" w:cstheme="minorHAnsi"/>
              </w:rPr>
              <w:t>onth</w:t>
            </w:r>
            <w:r w:rsidRPr="00017AE6">
              <w:rPr>
                <w:rFonts w:eastAsia="MS Mincho" w:cstheme="minorHAnsi"/>
              </w:rPr>
              <w:t xml:space="preserve"> post-quit; 7-day PPA at EoT, 3</w:t>
            </w:r>
            <w:r w:rsidR="00137354">
              <w:rPr>
                <w:rFonts w:eastAsia="MS Mincho" w:cstheme="minorHAnsi"/>
              </w:rPr>
              <w:t xml:space="preserve">, 6 </w:t>
            </w:r>
            <w:r w:rsidRPr="00017AE6">
              <w:rPr>
                <w:rFonts w:eastAsia="MS Mincho" w:cstheme="minorHAnsi"/>
              </w:rPr>
              <w:t>m</w:t>
            </w:r>
            <w:r w:rsidR="0078094E">
              <w:rPr>
                <w:rFonts w:eastAsia="MS Mincho" w:cstheme="minorHAnsi"/>
              </w:rPr>
              <w:t>onth</w:t>
            </w:r>
            <w:r w:rsidR="00137354">
              <w:rPr>
                <w:rFonts w:eastAsia="MS Mincho" w:cstheme="minorHAnsi"/>
              </w:rPr>
              <w:t>s</w:t>
            </w:r>
            <w:r w:rsidR="0078094E">
              <w:rPr>
                <w:rFonts w:eastAsia="MS Mincho" w:cstheme="minorHAnsi"/>
              </w:rPr>
              <w:t xml:space="preserve"> </w:t>
            </w:r>
            <w:r w:rsidRPr="00017AE6">
              <w:rPr>
                <w:rFonts w:eastAsia="MS Mincho" w:cstheme="minorHAnsi"/>
              </w:rPr>
              <w:t>post-quit</w:t>
            </w:r>
            <w:r w:rsidR="00137354">
              <w:rPr>
                <w:rFonts w:eastAsia="MS Mincho" w:cstheme="minorHAnsi"/>
              </w:rPr>
              <w:t>.</w:t>
            </w:r>
          </w:p>
          <w:p w14:paraId="06C02D91" w14:textId="77777777" w:rsidR="00137354" w:rsidRPr="00017AE6" w:rsidRDefault="00137354" w:rsidP="00A71365">
            <w:pPr>
              <w:pStyle w:val="Tablewriting"/>
              <w:rPr>
                <w:rFonts w:eastAsia="MS Mincho" w:cstheme="minorHAnsi"/>
              </w:rPr>
            </w:pPr>
          </w:p>
          <w:p w14:paraId="523A4FF0" w14:textId="77777777" w:rsidR="00636786" w:rsidRPr="00017AE6" w:rsidRDefault="00636786" w:rsidP="00A71365">
            <w:pPr>
              <w:pStyle w:val="Tablewriting"/>
              <w:rPr>
                <w:rFonts w:eastAsia="MS Mincho" w:cstheme="minorHAnsi"/>
              </w:rPr>
            </w:pPr>
            <w:r w:rsidRPr="00017AE6">
              <w:rPr>
                <w:rFonts w:eastAsia="MS Mincho" w:cstheme="minorHAnsi"/>
              </w:rPr>
              <w:t>Validation: CO &lt; 10 ppm. Self-reported abstainers were asked to send a salivary cotinine sample (&lt; 15</w:t>
            </w:r>
          </w:p>
          <w:p w14:paraId="69F73F15" w14:textId="77777777" w:rsidR="00C25F5E" w:rsidRDefault="00636786" w:rsidP="00A71365">
            <w:pPr>
              <w:pStyle w:val="Tablewriting"/>
              <w:rPr>
                <w:rFonts w:eastAsia="MS Mincho" w:cstheme="minorHAnsi"/>
              </w:rPr>
            </w:pPr>
            <w:r w:rsidRPr="00017AE6">
              <w:rPr>
                <w:rFonts w:eastAsia="MS Mincho" w:cstheme="minorHAnsi"/>
              </w:rPr>
              <w:t>ng/mL) by post</w:t>
            </w:r>
          </w:p>
          <w:p w14:paraId="0F8E0EB2" w14:textId="77777777" w:rsidR="00462B3A" w:rsidRDefault="00462B3A" w:rsidP="00A71365">
            <w:pPr>
              <w:pStyle w:val="Tablewriting"/>
              <w:rPr>
                <w:rFonts w:eastAsia="MS Mincho" w:cstheme="minorHAnsi"/>
              </w:rPr>
            </w:pPr>
          </w:p>
          <w:p w14:paraId="5801EE65" w14:textId="1C2FEFDA" w:rsidR="00462B3A" w:rsidRPr="00462B3A" w:rsidRDefault="00462B3A" w:rsidP="00A71365">
            <w:pPr>
              <w:pStyle w:val="Tablewriting"/>
              <w:rPr>
                <w:rFonts w:eastAsia="MS Mincho" w:cstheme="minorHAnsi"/>
                <w:u w:val="single"/>
              </w:rPr>
            </w:pPr>
            <w:r w:rsidRPr="00CE4ADD">
              <w:rPr>
                <w:rFonts w:eastAsia="MS Mincho" w:cstheme="minorHAnsi"/>
                <w:u w:val="single"/>
              </w:rPr>
              <w:t>Safety:</w:t>
            </w:r>
            <w:r w:rsidR="00CE4ADD" w:rsidRPr="00CE4ADD">
              <w:rPr>
                <w:rFonts w:eastAsia="MS Mincho" w:cstheme="minorHAnsi"/>
                <w:u w:val="single"/>
              </w:rPr>
              <w:t xml:space="preserve"> </w:t>
            </w:r>
            <w:r w:rsidR="00CE4ADD" w:rsidRPr="00CE4ADD">
              <w:rPr>
                <w:rFonts w:eastAsia="MS Mincho" w:cstheme="minorHAnsi"/>
              </w:rPr>
              <w:t>NR</w:t>
            </w:r>
          </w:p>
        </w:tc>
      </w:tr>
      <w:tr w:rsidR="003D3459" w:rsidRPr="00017AE6" w14:paraId="4351E496" w14:textId="77777777" w:rsidTr="005821B1">
        <w:trPr>
          <w:trHeight w:val="99"/>
        </w:trPr>
        <w:tc>
          <w:tcPr>
            <w:tcW w:w="761" w:type="pct"/>
            <w:shd w:val="clear" w:color="auto" w:fill="auto"/>
            <w:tcMar>
              <w:left w:w="28" w:type="dxa"/>
              <w:right w:w="28" w:type="dxa"/>
            </w:tcMar>
          </w:tcPr>
          <w:p w14:paraId="5AB3B30A" w14:textId="463E446F" w:rsidR="00C25F5E" w:rsidRPr="00017AE6" w:rsidRDefault="00636786" w:rsidP="00A71365">
            <w:pPr>
              <w:pStyle w:val="Tablewriting"/>
              <w:rPr>
                <w:rFonts w:eastAsia="MS Mincho" w:cstheme="minorHAnsi"/>
              </w:rPr>
            </w:pPr>
            <w:r w:rsidRPr="00017AE6">
              <w:rPr>
                <w:rFonts w:eastAsia="MS Mincho" w:cstheme="minorHAnsi"/>
              </w:rPr>
              <w:lastRenderedPageBreak/>
              <w:t xml:space="preserve"> </w:t>
            </w:r>
            <w:r w:rsidR="00C25F5E" w:rsidRPr="00017AE6">
              <w:rPr>
                <w:rFonts w:eastAsia="MS Mincho" w:cstheme="minorHAnsi"/>
              </w:rPr>
              <w:t xml:space="preserve">De Dios </w:t>
            </w:r>
            <w:r w:rsidR="00F143BB">
              <w:rPr>
                <w:rFonts w:eastAsia="MS Mincho" w:cstheme="minorHAnsi"/>
              </w:rPr>
              <w:t>(</w:t>
            </w:r>
            <w:r w:rsidR="00C25F5E" w:rsidRPr="00017AE6">
              <w:rPr>
                <w:rFonts w:eastAsia="MS Mincho" w:cstheme="minorHAnsi"/>
              </w:rPr>
              <w:t>2012</w:t>
            </w:r>
            <w:r w:rsidR="00F143BB">
              <w:rPr>
                <w:rFonts w:eastAsia="MS Mincho" w:cstheme="minorHAnsi"/>
              </w:rPr>
              <w:t>)</w:t>
            </w:r>
          </w:p>
        </w:tc>
        <w:tc>
          <w:tcPr>
            <w:tcW w:w="235" w:type="pct"/>
            <w:shd w:val="clear" w:color="auto" w:fill="auto"/>
          </w:tcPr>
          <w:p w14:paraId="3AE87108" w14:textId="3682858A"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0245170D" w14:textId="79FD4B63" w:rsidR="00C25F5E" w:rsidRPr="00017AE6" w:rsidRDefault="00D60F99" w:rsidP="00A71365">
            <w:pPr>
              <w:pStyle w:val="Tablewriting"/>
              <w:rPr>
                <w:rFonts w:eastAsia="MS Mincho" w:cstheme="minorHAnsi"/>
              </w:rPr>
            </w:pPr>
            <w:r w:rsidRPr="00017AE6">
              <w:rPr>
                <w:rFonts w:eastAsia="MS Mincho" w:cstheme="minorHAnsi"/>
              </w:rPr>
              <w:t>USA</w:t>
            </w:r>
          </w:p>
        </w:tc>
        <w:tc>
          <w:tcPr>
            <w:tcW w:w="679" w:type="pct"/>
            <w:shd w:val="clear" w:color="auto" w:fill="auto"/>
            <w:tcMar>
              <w:left w:w="28" w:type="dxa"/>
              <w:right w:w="28" w:type="dxa"/>
            </w:tcMar>
          </w:tcPr>
          <w:p w14:paraId="2F920AB7" w14:textId="4EB53843" w:rsidR="00C25F5E" w:rsidRPr="00017AE6" w:rsidRDefault="00C25F5E" w:rsidP="00A71365">
            <w:pPr>
              <w:pStyle w:val="Tablewriting"/>
              <w:rPr>
                <w:rFonts w:eastAsia="MS Mincho" w:cstheme="minorHAnsi"/>
              </w:rPr>
            </w:pPr>
            <w:r w:rsidRPr="00017AE6">
              <w:rPr>
                <w:rFonts w:eastAsia="MS Mincho" w:cstheme="minorHAnsi"/>
              </w:rPr>
              <w:t>N=</w:t>
            </w:r>
            <w:r w:rsidR="00D60F99" w:rsidRPr="00017AE6">
              <w:rPr>
                <w:rFonts w:eastAsia="MS Mincho" w:cstheme="minorHAnsi"/>
              </w:rPr>
              <w:t>32</w:t>
            </w:r>
            <w:r w:rsidR="00CB5D34">
              <w:rPr>
                <w:rFonts w:eastAsia="MS Mincho" w:cstheme="minorHAnsi"/>
              </w:rPr>
              <w:t>; n=</w:t>
            </w:r>
            <w:r w:rsidR="00530BEE">
              <w:rPr>
                <w:rFonts w:eastAsia="MS Mincho" w:cstheme="minorHAnsi"/>
              </w:rPr>
              <w:t>10 (varenicline), n=</w:t>
            </w:r>
            <w:r w:rsidR="00A92724">
              <w:rPr>
                <w:rFonts w:eastAsia="MS Mincho" w:cstheme="minorHAnsi"/>
              </w:rPr>
              <w:t>11 (NRT), n=11 (placebo)</w:t>
            </w:r>
          </w:p>
        </w:tc>
        <w:tc>
          <w:tcPr>
            <w:tcW w:w="851" w:type="pct"/>
            <w:shd w:val="clear" w:color="auto" w:fill="auto"/>
            <w:tcMar>
              <w:left w:w="28" w:type="dxa"/>
              <w:right w:w="28" w:type="dxa"/>
            </w:tcMar>
          </w:tcPr>
          <w:p w14:paraId="31C5AEC0" w14:textId="77777777" w:rsidR="00612B94" w:rsidRPr="00017AE6" w:rsidRDefault="00612B94" w:rsidP="00A71365">
            <w:pPr>
              <w:pStyle w:val="Tablewriting"/>
              <w:rPr>
                <w:rFonts w:eastAsia="MS Mincho" w:cstheme="minorHAnsi"/>
              </w:rPr>
            </w:pPr>
            <w:r w:rsidRPr="00017AE6">
              <w:rPr>
                <w:rFonts w:eastAsia="MS Mincho" w:cstheme="minorHAnsi"/>
              </w:rPr>
              <w:t>32 Latino volunteer light smokers (k 10 CPD), aged 18+, willing to set a quit date. Mean age 42, 53.1%</w:t>
            </w:r>
          </w:p>
          <w:p w14:paraId="2A62A3C0" w14:textId="77777777" w:rsidR="00CB5D34" w:rsidRDefault="00612B94" w:rsidP="00A71365">
            <w:pPr>
              <w:pStyle w:val="Tablewriting"/>
              <w:rPr>
                <w:rFonts w:eastAsia="MS Mincho" w:cstheme="minorHAnsi"/>
              </w:rPr>
            </w:pPr>
            <w:r w:rsidRPr="00017AE6">
              <w:rPr>
                <w:rFonts w:eastAsia="MS Mincho" w:cstheme="minorHAnsi"/>
              </w:rPr>
              <w:t xml:space="preserve">women, mean CPD 7.6, mean FTND 2.9. </w:t>
            </w:r>
          </w:p>
          <w:p w14:paraId="18BD2C19" w14:textId="77777777" w:rsidR="00CB5D34" w:rsidRDefault="00CB5D34" w:rsidP="00A71365">
            <w:pPr>
              <w:pStyle w:val="Tablewriting"/>
              <w:rPr>
                <w:rFonts w:eastAsia="MS Mincho" w:cstheme="minorHAnsi"/>
              </w:rPr>
            </w:pPr>
          </w:p>
          <w:p w14:paraId="4E1BF251" w14:textId="77777777" w:rsidR="00CB5D34" w:rsidRDefault="00CB5D34" w:rsidP="00A71365">
            <w:pPr>
              <w:pStyle w:val="Tablewriting"/>
              <w:rPr>
                <w:rFonts w:eastAsia="MS Mincho" w:cstheme="minorHAnsi"/>
              </w:rPr>
            </w:pPr>
          </w:p>
          <w:p w14:paraId="10B1E2C8" w14:textId="5BFB3C7A" w:rsidR="00C25F5E" w:rsidRPr="00017AE6" w:rsidRDefault="00612B94" w:rsidP="00A71365">
            <w:pPr>
              <w:pStyle w:val="Tablewriting"/>
              <w:rPr>
                <w:rFonts w:eastAsia="MS Mincho" w:cstheme="minorHAnsi"/>
              </w:rPr>
            </w:pPr>
            <w:r w:rsidRPr="00B26B7F">
              <w:rPr>
                <w:rFonts w:eastAsia="MS Mincho" w:cstheme="minorHAnsi"/>
                <w:u w:val="single"/>
              </w:rPr>
              <w:t>Exclusions:</w:t>
            </w:r>
            <w:r w:rsidRPr="00017AE6">
              <w:rPr>
                <w:rFonts w:eastAsia="MS Mincho" w:cstheme="minorHAnsi"/>
              </w:rPr>
              <w:t xml:space="preserve"> Usual pharmacological conditions, on NRT or smokeless tobacco, history of suicide attempts,</w:t>
            </w:r>
            <w:r w:rsidR="00B26B7F">
              <w:rPr>
                <w:rFonts w:eastAsia="MS Mincho" w:cstheme="minorHAnsi"/>
              </w:rPr>
              <w:t xml:space="preserve"> </w:t>
            </w:r>
            <w:r w:rsidRPr="00017AE6">
              <w:rPr>
                <w:rFonts w:eastAsia="MS Mincho" w:cstheme="minorHAnsi"/>
              </w:rPr>
              <w:t xml:space="preserve">chronic or acute </w:t>
            </w:r>
            <w:r w:rsidRPr="00017AE6">
              <w:rPr>
                <w:rFonts w:eastAsia="MS Mincho" w:cstheme="minorHAnsi"/>
              </w:rPr>
              <w:lastRenderedPageBreak/>
              <w:t xml:space="preserve">psychiatric disorder, employed as a pilot, </w:t>
            </w:r>
            <w:r w:rsidR="004664D2" w:rsidRPr="00017AE6">
              <w:rPr>
                <w:rFonts w:eastAsia="MS Mincho" w:cstheme="minorHAnsi"/>
              </w:rPr>
              <w:t>driver,</w:t>
            </w:r>
            <w:r w:rsidRPr="00017AE6">
              <w:rPr>
                <w:rFonts w:eastAsia="MS Mincho" w:cstheme="minorHAnsi"/>
              </w:rPr>
              <w:t xml:space="preserve"> or heavy machinery operator</w:t>
            </w:r>
            <w:r w:rsidR="00B26B7F">
              <w:rPr>
                <w:rFonts w:eastAsia="MS Mincho" w:cstheme="minorHAnsi"/>
              </w:rPr>
              <w:t>.</w:t>
            </w:r>
          </w:p>
        </w:tc>
        <w:tc>
          <w:tcPr>
            <w:tcW w:w="1054" w:type="pct"/>
            <w:shd w:val="clear" w:color="auto" w:fill="auto"/>
          </w:tcPr>
          <w:p w14:paraId="0263EC3E" w14:textId="71BA12F5" w:rsidR="00612B94" w:rsidRPr="00017AE6" w:rsidRDefault="00612B94" w:rsidP="00C324F3">
            <w:pPr>
              <w:pStyle w:val="Tablewriting"/>
              <w:numPr>
                <w:ilvl w:val="0"/>
                <w:numId w:val="65"/>
              </w:numPr>
              <w:rPr>
                <w:rFonts w:eastAsia="MS Mincho" w:cstheme="minorHAnsi"/>
              </w:rPr>
            </w:pPr>
            <w:r w:rsidRPr="00017AE6">
              <w:rPr>
                <w:rFonts w:eastAsia="MS Mincho" w:cstheme="minorHAnsi"/>
              </w:rPr>
              <w:lastRenderedPageBreak/>
              <w:t>Varenicline 12-wk treatment course, titrated 1st w</w:t>
            </w:r>
            <w:r w:rsidR="00B26B7F">
              <w:rPr>
                <w:rFonts w:eastAsia="MS Mincho" w:cstheme="minorHAnsi"/>
              </w:rPr>
              <w:t>ee</w:t>
            </w:r>
            <w:r w:rsidRPr="00017AE6">
              <w:rPr>
                <w:rFonts w:eastAsia="MS Mincho" w:cstheme="minorHAnsi"/>
              </w:rPr>
              <w:t>k</w:t>
            </w:r>
            <w:r w:rsidR="007A01AD">
              <w:rPr>
                <w:rFonts w:eastAsia="MS Mincho" w:cstheme="minorHAnsi"/>
              </w:rPr>
              <w:t>.</w:t>
            </w:r>
          </w:p>
          <w:p w14:paraId="4E6ACB15" w14:textId="6322DAE0" w:rsidR="00612B94" w:rsidRPr="00017AE6" w:rsidRDefault="00612B94" w:rsidP="00C324F3">
            <w:pPr>
              <w:pStyle w:val="Tablewriting"/>
              <w:numPr>
                <w:ilvl w:val="0"/>
                <w:numId w:val="65"/>
              </w:numPr>
              <w:rPr>
                <w:rFonts w:eastAsia="MS Mincho" w:cstheme="minorHAnsi"/>
              </w:rPr>
            </w:pPr>
            <w:r w:rsidRPr="00017AE6">
              <w:rPr>
                <w:rFonts w:eastAsia="MS Mincho" w:cstheme="minorHAnsi"/>
              </w:rPr>
              <w:t>NRT 24-hour patch</w:t>
            </w:r>
            <w:r w:rsidR="0061011E">
              <w:rPr>
                <w:rFonts w:eastAsia="MS Mincho" w:cstheme="minorHAnsi"/>
              </w:rPr>
              <w:t xml:space="preserve"> for</w:t>
            </w:r>
            <w:r w:rsidRPr="00017AE6">
              <w:rPr>
                <w:rFonts w:eastAsia="MS Mincho" w:cstheme="minorHAnsi"/>
              </w:rPr>
              <w:t xml:space="preserve"> 12 w</w:t>
            </w:r>
            <w:r w:rsidR="003D7259">
              <w:rPr>
                <w:rFonts w:eastAsia="MS Mincho" w:cstheme="minorHAnsi"/>
              </w:rPr>
              <w:t>ee</w:t>
            </w:r>
            <w:r w:rsidRPr="00017AE6">
              <w:rPr>
                <w:rFonts w:eastAsia="MS Mincho" w:cstheme="minorHAnsi"/>
              </w:rPr>
              <w:t>ks</w:t>
            </w:r>
            <w:r w:rsidR="0061011E">
              <w:rPr>
                <w:rFonts w:eastAsia="MS Mincho" w:cstheme="minorHAnsi"/>
              </w:rPr>
              <w:t>;</w:t>
            </w:r>
            <w:r w:rsidRPr="00017AE6">
              <w:rPr>
                <w:rFonts w:eastAsia="MS Mincho" w:cstheme="minorHAnsi"/>
              </w:rPr>
              <w:t xml:space="preserve"> 4 w</w:t>
            </w:r>
            <w:r w:rsidR="003D7259">
              <w:rPr>
                <w:rFonts w:eastAsia="MS Mincho" w:cstheme="minorHAnsi"/>
              </w:rPr>
              <w:t>ee</w:t>
            </w:r>
            <w:r w:rsidRPr="00017AE6">
              <w:rPr>
                <w:rFonts w:eastAsia="MS Mincho" w:cstheme="minorHAnsi"/>
              </w:rPr>
              <w:t>ks</w:t>
            </w:r>
            <w:r w:rsidR="003D7259">
              <w:rPr>
                <w:rFonts w:eastAsia="MS Mincho" w:cstheme="minorHAnsi"/>
              </w:rPr>
              <w:t xml:space="preserve"> at</w:t>
            </w:r>
            <w:r w:rsidRPr="00017AE6">
              <w:rPr>
                <w:rFonts w:eastAsia="MS Mincho" w:cstheme="minorHAnsi"/>
              </w:rPr>
              <w:t xml:space="preserve"> 14 mg, </w:t>
            </w:r>
            <w:r w:rsidR="0061011E">
              <w:rPr>
                <w:rFonts w:eastAsia="MS Mincho" w:cstheme="minorHAnsi"/>
              </w:rPr>
              <w:t xml:space="preserve">and </w:t>
            </w:r>
            <w:r w:rsidRPr="00017AE6">
              <w:rPr>
                <w:rFonts w:eastAsia="MS Mincho" w:cstheme="minorHAnsi"/>
              </w:rPr>
              <w:t>8 w</w:t>
            </w:r>
            <w:r w:rsidR="003D7259">
              <w:rPr>
                <w:rFonts w:eastAsia="MS Mincho" w:cstheme="minorHAnsi"/>
              </w:rPr>
              <w:t>ee</w:t>
            </w:r>
            <w:r w:rsidRPr="00017AE6">
              <w:rPr>
                <w:rFonts w:eastAsia="MS Mincho" w:cstheme="minorHAnsi"/>
              </w:rPr>
              <w:t>ks</w:t>
            </w:r>
            <w:r w:rsidR="00A26F78" w:rsidRPr="00017AE6">
              <w:rPr>
                <w:rFonts w:eastAsia="MS Mincho" w:cstheme="minorHAnsi"/>
              </w:rPr>
              <w:t xml:space="preserve"> </w:t>
            </w:r>
            <w:r w:rsidR="003D7259">
              <w:rPr>
                <w:rFonts w:eastAsia="MS Mincho" w:cstheme="minorHAnsi"/>
              </w:rPr>
              <w:t>at</w:t>
            </w:r>
            <w:r w:rsidRPr="00017AE6">
              <w:rPr>
                <w:rFonts w:eastAsia="MS Mincho" w:cstheme="minorHAnsi"/>
              </w:rPr>
              <w:t xml:space="preserve"> 7 mg</w:t>
            </w:r>
            <w:r w:rsidR="003D7259">
              <w:rPr>
                <w:rFonts w:eastAsia="MS Mincho" w:cstheme="minorHAnsi"/>
              </w:rPr>
              <w:t>.</w:t>
            </w:r>
          </w:p>
          <w:p w14:paraId="71FDC62F" w14:textId="6B7A7792" w:rsidR="00612B94" w:rsidRPr="00017AE6" w:rsidRDefault="00612B94" w:rsidP="00C324F3">
            <w:pPr>
              <w:pStyle w:val="Tablewriting"/>
              <w:numPr>
                <w:ilvl w:val="0"/>
                <w:numId w:val="65"/>
              </w:numPr>
              <w:rPr>
                <w:rFonts w:eastAsia="MS Mincho" w:cstheme="minorHAnsi"/>
              </w:rPr>
            </w:pPr>
            <w:r w:rsidRPr="00017AE6">
              <w:rPr>
                <w:rFonts w:eastAsia="MS Mincho" w:cstheme="minorHAnsi"/>
              </w:rPr>
              <w:t xml:space="preserve">Varenicline-placebo, </w:t>
            </w:r>
            <w:r w:rsidR="004664D2" w:rsidRPr="00017AE6">
              <w:rPr>
                <w:rFonts w:eastAsia="MS Mincho" w:cstheme="minorHAnsi"/>
              </w:rPr>
              <w:t>i.e.,</w:t>
            </w:r>
            <w:r w:rsidRPr="00017AE6">
              <w:rPr>
                <w:rFonts w:eastAsia="MS Mincho" w:cstheme="minorHAnsi"/>
              </w:rPr>
              <w:t xml:space="preserve"> identical tablet, same regimen</w:t>
            </w:r>
            <w:r w:rsidR="007A01AD">
              <w:rPr>
                <w:rFonts w:eastAsia="MS Mincho" w:cstheme="minorHAnsi"/>
              </w:rPr>
              <w:t>.</w:t>
            </w:r>
          </w:p>
          <w:p w14:paraId="177089A7" w14:textId="77777777" w:rsidR="0061011E" w:rsidRDefault="0061011E" w:rsidP="00A71365">
            <w:pPr>
              <w:pStyle w:val="Tablewriting"/>
              <w:rPr>
                <w:rFonts w:eastAsia="MS Mincho" w:cstheme="minorHAnsi"/>
              </w:rPr>
            </w:pPr>
          </w:p>
          <w:p w14:paraId="1355C409" w14:textId="3050F7BA" w:rsidR="00C25F5E" w:rsidRPr="00017AE6" w:rsidRDefault="0061011E"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612B94" w:rsidRPr="00017AE6">
              <w:rPr>
                <w:rFonts w:eastAsia="MS Mincho" w:cstheme="minorHAnsi"/>
              </w:rPr>
              <w:t xml:space="preserve">All participants received a 30-minute face-to-face "culturally informed" smoking cessation </w:t>
            </w:r>
            <w:r w:rsidR="00612B94" w:rsidRPr="00017AE6">
              <w:rPr>
                <w:rFonts w:eastAsia="MS Mincho" w:cstheme="minorHAnsi"/>
              </w:rPr>
              <w:lastRenderedPageBreak/>
              <w:t>behavioural</w:t>
            </w:r>
            <w:r w:rsidR="00A26F78" w:rsidRPr="00017AE6">
              <w:rPr>
                <w:rFonts w:eastAsia="MS Mincho" w:cstheme="minorHAnsi"/>
              </w:rPr>
              <w:t xml:space="preserve"> </w:t>
            </w:r>
            <w:r w:rsidR="00612B94" w:rsidRPr="00017AE6">
              <w:rPr>
                <w:rFonts w:eastAsia="MS Mincho" w:cstheme="minorHAnsi"/>
              </w:rPr>
              <w:t xml:space="preserve">intervention, + a non-tailored self-help brochure, all available in both English and Spanish. </w:t>
            </w:r>
          </w:p>
        </w:tc>
        <w:tc>
          <w:tcPr>
            <w:tcW w:w="959" w:type="pct"/>
            <w:shd w:val="clear" w:color="auto" w:fill="auto"/>
            <w:tcMar>
              <w:left w:w="28" w:type="dxa"/>
              <w:right w:w="28" w:type="dxa"/>
            </w:tcMar>
          </w:tcPr>
          <w:p w14:paraId="1C5388A9" w14:textId="77777777" w:rsidR="00E459E0" w:rsidRPr="00E459E0" w:rsidRDefault="00E459E0" w:rsidP="00A71365">
            <w:pPr>
              <w:pStyle w:val="Tablewriting"/>
              <w:rPr>
                <w:rFonts w:eastAsia="MS Mincho" w:cstheme="minorHAnsi"/>
                <w:u w:val="single"/>
              </w:rPr>
            </w:pPr>
            <w:r w:rsidRPr="00E459E0">
              <w:rPr>
                <w:rFonts w:eastAsia="MS Mincho" w:cstheme="minorHAnsi"/>
                <w:u w:val="single"/>
              </w:rPr>
              <w:lastRenderedPageBreak/>
              <w:t xml:space="preserve">Efficacy: </w:t>
            </w:r>
          </w:p>
          <w:p w14:paraId="291F67DA" w14:textId="60F08870" w:rsidR="00A26F78" w:rsidRPr="00017AE6" w:rsidRDefault="00A26F78" w:rsidP="00A71365">
            <w:pPr>
              <w:pStyle w:val="Tablewriting"/>
              <w:rPr>
                <w:rFonts w:eastAsia="MS Mincho" w:cstheme="minorHAnsi"/>
              </w:rPr>
            </w:pPr>
            <w:r w:rsidRPr="00017AE6">
              <w:rPr>
                <w:rFonts w:eastAsia="MS Mincho" w:cstheme="minorHAnsi"/>
              </w:rPr>
              <w:t>Primary: 7-day PPA at 6</w:t>
            </w:r>
            <w:r w:rsidR="006F2120">
              <w:rPr>
                <w:rFonts w:eastAsia="MS Mincho" w:cstheme="minorHAnsi"/>
              </w:rPr>
              <w:t>-</w:t>
            </w:r>
            <w:r w:rsidRPr="00017AE6">
              <w:rPr>
                <w:rFonts w:eastAsia="MS Mincho" w:cstheme="minorHAnsi"/>
              </w:rPr>
              <w:t>m</w:t>
            </w:r>
            <w:r w:rsidR="006F2120">
              <w:rPr>
                <w:rFonts w:eastAsia="MS Mincho" w:cstheme="minorHAnsi"/>
              </w:rPr>
              <w:t>onth</w:t>
            </w:r>
            <w:r w:rsidR="0015251C">
              <w:rPr>
                <w:rFonts w:eastAsia="MS Mincho" w:cstheme="minorHAnsi"/>
              </w:rPr>
              <w:t>;</w:t>
            </w:r>
          </w:p>
          <w:p w14:paraId="34DFD3DD" w14:textId="722561FE" w:rsidR="00A26F78" w:rsidRPr="00017AE6" w:rsidRDefault="00A26F78" w:rsidP="00A71365">
            <w:pPr>
              <w:pStyle w:val="Tablewriting"/>
              <w:rPr>
                <w:rFonts w:eastAsia="MS Mincho" w:cstheme="minorHAnsi"/>
              </w:rPr>
            </w:pPr>
            <w:r w:rsidRPr="00017AE6">
              <w:rPr>
                <w:rFonts w:eastAsia="MS Mincho" w:cstheme="minorHAnsi"/>
              </w:rPr>
              <w:t>Secondary: 7-day PPA at w</w:t>
            </w:r>
            <w:r w:rsidR="00E459E0">
              <w:rPr>
                <w:rFonts w:eastAsia="MS Mincho" w:cstheme="minorHAnsi"/>
              </w:rPr>
              <w:t>ee</w:t>
            </w:r>
            <w:r w:rsidRPr="00017AE6">
              <w:rPr>
                <w:rFonts w:eastAsia="MS Mincho" w:cstheme="minorHAnsi"/>
              </w:rPr>
              <w:t>ks 1, 2, 1m, 2m, 3m, 4m; adherence</w:t>
            </w:r>
            <w:r w:rsidR="00EB08B3">
              <w:rPr>
                <w:rFonts w:eastAsia="MS Mincho" w:cstheme="minorHAnsi"/>
              </w:rPr>
              <w:t>.</w:t>
            </w:r>
          </w:p>
          <w:p w14:paraId="28D109C2" w14:textId="77777777" w:rsidR="00EB08B3" w:rsidRDefault="00EB08B3" w:rsidP="00A71365">
            <w:pPr>
              <w:pStyle w:val="Tablewriting"/>
              <w:rPr>
                <w:rFonts w:eastAsia="MS Mincho" w:cstheme="minorHAnsi"/>
              </w:rPr>
            </w:pPr>
          </w:p>
          <w:p w14:paraId="3D70B8B6" w14:textId="54999493" w:rsidR="0044433A" w:rsidRPr="00017AE6" w:rsidRDefault="0044433A" w:rsidP="00A71365">
            <w:pPr>
              <w:pStyle w:val="Tablewriting"/>
              <w:rPr>
                <w:rFonts w:eastAsia="MS Mincho" w:cstheme="minorHAnsi"/>
              </w:rPr>
            </w:pPr>
            <w:r w:rsidRPr="00017AE6">
              <w:rPr>
                <w:rFonts w:eastAsia="MS Mincho" w:cstheme="minorHAnsi"/>
              </w:rPr>
              <w:t xml:space="preserve">Validation: CO &lt; 5 ppm; salivary cotinine (not for the NRT group) &gt; 10 </w:t>
            </w:r>
            <w:r w:rsidR="00FA64E9">
              <w:rPr>
                <w:rFonts w:eastAsia="MS Mincho" w:cstheme="minorHAnsi"/>
              </w:rPr>
              <w:t>n</w:t>
            </w:r>
            <w:r w:rsidR="000728F8" w:rsidRPr="00017AE6">
              <w:rPr>
                <w:rFonts w:eastAsia="MS Mincho" w:cstheme="minorHAnsi"/>
              </w:rPr>
              <w:t>g/</w:t>
            </w:r>
            <w:r w:rsidR="00FA64E9">
              <w:rPr>
                <w:rFonts w:eastAsia="MS Mincho" w:cstheme="minorHAnsi"/>
              </w:rPr>
              <w:t>m</w:t>
            </w:r>
            <w:r w:rsidR="000728F8" w:rsidRPr="00017AE6">
              <w:rPr>
                <w:rFonts w:eastAsia="MS Mincho" w:cstheme="minorHAnsi"/>
              </w:rPr>
              <w:t>L</w:t>
            </w:r>
          </w:p>
          <w:p w14:paraId="1BFFBFE0" w14:textId="77777777" w:rsidR="0044433A" w:rsidRDefault="0044433A" w:rsidP="00A71365">
            <w:pPr>
              <w:pStyle w:val="Tablewriting"/>
              <w:rPr>
                <w:rFonts w:eastAsia="MS Mincho" w:cstheme="minorHAnsi"/>
              </w:rPr>
            </w:pPr>
          </w:p>
          <w:p w14:paraId="45E20779" w14:textId="65B36606" w:rsidR="00EB08B3" w:rsidRPr="00017AE6" w:rsidRDefault="00EB08B3" w:rsidP="00A71365">
            <w:pPr>
              <w:pStyle w:val="Tablewriting"/>
              <w:rPr>
                <w:rFonts w:eastAsia="MS Mincho" w:cstheme="minorHAnsi"/>
              </w:rPr>
            </w:pPr>
            <w:r w:rsidRPr="00EB08B3">
              <w:rPr>
                <w:rFonts w:eastAsia="MS Mincho" w:cstheme="minorHAnsi"/>
                <w:u w:val="single"/>
              </w:rPr>
              <w:t>Safety:</w:t>
            </w:r>
            <w:r>
              <w:rPr>
                <w:rFonts w:eastAsia="MS Mincho" w:cstheme="minorHAnsi"/>
              </w:rPr>
              <w:t xml:space="preserve"> </w:t>
            </w:r>
            <w:r w:rsidRPr="00017AE6">
              <w:rPr>
                <w:rFonts w:eastAsia="MS Mincho" w:cstheme="minorHAnsi"/>
              </w:rPr>
              <w:t>Adverse events not reported in detail, although study reports that "There was no pattern that suggested</w:t>
            </w:r>
            <w:r>
              <w:rPr>
                <w:rFonts w:eastAsia="MS Mincho" w:cstheme="minorHAnsi"/>
              </w:rPr>
              <w:t xml:space="preserve"> </w:t>
            </w:r>
            <w:r w:rsidRPr="00017AE6">
              <w:rPr>
                <w:rFonts w:eastAsia="MS Mincho" w:cstheme="minorHAnsi"/>
              </w:rPr>
              <w:t xml:space="preserve">a higher </w:t>
            </w:r>
            <w:r w:rsidRPr="00017AE6">
              <w:rPr>
                <w:rFonts w:eastAsia="MS Mincho" w:cstheme="minorHAnsi"/>
              </w:rPr>
              <w:lastRenderedPageBreak/>
              <w:t>side-effect profile for those in the</w:t>
            </w:r>
            <w:r>
              <w:rPr>
                <w:rFonts w:eastAsia="MS Mincho" w:cstheme="minorHAnsi"/>
              </w:rPr>
              <w:t xml:space="preserve"> </w:t>
            </w:r>
            <w:r w:rsidRPr="00017AE6">
              <w:rPr>
                <w:rFonts w:eastAsia="MS Mincho" w:cstheme="minorHAnsi"/>
              </w:rPr>
              <w:t>varenicline group</w:t>
            </w:r>
            <w:r w:rsidR="007A01AD">
              <w:rPr>
                <w:rFonts w:eastAsia="MS Mincho" w:cstheme="minorHAnsi"/>
              </w:rPr>
              <w:t>.</w:t>
            </w:r>
          </w:p>
          <w:p w14:paraId="21F89F49" w14:textId="77777777" w:rsidR="001E5452" w:rsidRDefault="001E5452" w:rsidP="00A71365">
            <w:pPr>
              <w:pStyle w:val="Tablewriting"/>
              <w:rPr>
                <w:rFonts w:eastAsia="MS Mincho" w:cstheme="minorHAnsi"/>
              </w:rPr>
            </w:pPr>
          </w:p>
          <w:p w14:paraId="089DE157" w14:textId="77777777" w:rsidR="00F9600D" w:rsidRDefault="00F9600D" w:rsidP="00A71365">
            <w:pPr>
              <w:pStyle w:val="Tablewriting"/>
              <w:rPr>
                <w:rFonts w:eastAsia="MS Mincho" w:cstheme="minorHAnsi"/>
              </w:rPr>
            </w:pPr>
          </w:p>
          <w:p w14:paraId="5C4E5BA5" w14:textId="07D42F40" w:rsidR="00C25F5E" w:rsidRPr="00017AE6" w:rsidRDefault="00C25F5E" w:rsidP="00A71365">
            <w:pPr>
              <w:pStyle w:val="Tablewriting"/>
              <w:rPr>
                <w:rFonts w:eastAsia="MS Mincho" w:cstheme="minorHAnsi"/>
              </w:rPr>
            </w:pPr>
          </w:p>
        </w:tc>
      </w:tr>
      <w:tr w:rsidR="003D3459" w:rsidRPr="00017AE6" w14:paraId="1B1134DC" w14:textId="77777777" w:rsidTr="005821B1">
        <w:trPr>
          <w:trHeight w:val="99"/>
        </w:trPr>
        <w:tc>
          <w:tcPr>
            <w:tcW w:w="761" w:type="pct"/>
          </w:tcPr>
          <w:p w14:paraId="37BB3020" w14:textId="2DE1689B" w:rsidR="00C25F5E" w:rsidRPr="00017AE6" w:rsidRDefault="00C25F5E" w:rsidP="00A71365">
            <w:pPr>
              <w:pStyle w:val="Tablewriting"/>
              <w:rPr>
                <w:rFonts w:eastAsia="MS Mincho" w:cstheme="minorHAnsi"/>
              </w:rPr>
            </w:pPr>
            <w:r w:rsidRPr="00017AE6">
              <w:rPr>
                <w:rFonts w:eastAsia="MS Mincho" w:cstheme="minorHAnsi"/>
              </w:rPr>
              <w:lastRenderedPageBreak/>
              <w:t xml:space="preserve">EAGLES </w:t>
            </w:r>
            <w:r w:rsidR="00F143BB">
              <w:rPr>
                <w:rFonts w:eastAsia="MS Mincho" w:cstheme="minorHAnsi"/>
              </w:rPr>
              <w:t>(</w:t>
            </w:r>
            <w:r w:rsidRPr="00017AE6">
              <w:rPr>
                <w:rFonts w:eastAsia="MS Mincho" w:cstheme="minorHAnsi"/>
              </w:rPr>
              <w:t>2016</w:t>
            </w:r>
            <w:r w:rsidR="00F143BB">
              <w:rPr>
                <w:rFonts w:eastAsia="MS Mincho" w:cstheme="minorHAnsi"/>
              </w:rPr>
              <w:t>)</w:t>
            </w:r>
          </w:p>
        </w:tc>
        <w:tc>
          <w:tcPr>
            <w:tcW w:w="235" w:type="pct"/>
          </w:tcPr>
          <w:p w14:paraId="2332091A" w14:textId="4849E2CA"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034937AF" w14:textId="77777777" w:rsidR="00F654C8" w:rsidRPr="00017AE6" w:rsidRDefault="00F654C8" w:rsidP="00A71365">
            <w:pPr>
              <w:pStyle w:val="Tablewriting"/>
              <w:rPr>
                <w:rFonts w:eastAsia="MS Mincho" w:cstheme="minorHAnsi"/>
              </w:rPr>
            </w:pPr>
            <w:r w:rsidRPr="00017AE6">
              <w:rPr>
                <w:rFonts w:eastAsia="MS Mincho" w:cstheme="minorHAnsi"/>
              </w:rPr>
              <w:t>Argentina, Australia, Brazil, Bulgaria, Canada, Chile, Denmark, Finland, Germany, Mexico,</w:t>
            </w:r>
          </w:p>
          <w:p w14:paraId="5193FD3E" w14:textId="7D2731A8" w:rsidR="00C25F5E" w:rsidRPr="00017AE6" w:rsidRDefault="00F654C8" w:rsidP="00A71365">
            <w:pPr>
              <w:pStyle w:val="Tablewriting"/>
              <w:rPr>
                <w:rFonts w:eastAsia="MS Mincho" w:cstheme="minorHAnsi"/>
              </w:rPr>
            </w:pPr>
            <w:r w:rsidRPr="00017AE6">
              <w:rPr>
                <w:rFonts w:eastAsia="MS Mincho" w:cstheme="minorHAnsi"/>
              </w:rPr>
              <w:t xml:space="preserve">New Zealand, Russian Federation, </w:t>
            </w:r>
            <w:r w:rsidR="007A59F5" w:rsidRPr="00017AE6">
              <w:rPr>
                <w:rFonts w:eastAsia="MS Mincho" w:cstheme="minorHAnsi"/>
              </w:rPr>
              <w:t>Slovakia</w:t>
            </w:r>
            <w:r w:rsidRPr="00017AE6">
              <w:rPr>
                <w:rFonts w:eastAsia="MS Mincho" w:cstheme="minorHAnsi"/>
              </w:rPr>
              <w:t xml:space="preserve"> South Africa, Spain, USA</w:t>
            </w:r>
          </w:p>
        </w:tc>
        <w:tc>
          <w:tcPr>
            <w:tcW w:w="679" w:type="pct"/>
          </w:tcPr>
          <w:p w14:paraId="2DFC3DD8" w14:textId="7193490F" w:rsidR="00DE1B67" w:rsidRPr="00017AE6" w:rsidRDefault="00C25F5E" w:rsidP="00A71365">
            <w:pPr>
              <w:pStyle w:val="Tablewriting"/>
              <w:rPr>
                <w:rFonts w:eastAsia="MS Mincho" w:cstheme="minorHAnsi"/>
              </w:rPr>
            </w:pPr>
            <w:r w:rsidRPr="00017AE6">
              <w:rPr>
                <w:rFonts w:eastAsia="MS Mincho" w:cstheme="minorHAnsi"/>
              </w:rPr>
              <w:t>N=</w:t>
            </w:r>
            <w:r w:rsidR="006A60EC" w:rsidRPr="00017AE6">
              <w:rPr>
                <w:rFonts w:eastAsia="MS Mincho" w:cstheme="minorHAnsi"/>
              </w:rPr>
              <w:t>8144</w:t>
            </w:r>
            <w:r w:rsidR="00461760">
              <w:rPr>
                <w:rFonts w:eastAsia="MS Mincho" w:cstheme="minorHAnsi"/>
              </w:rPr>
              <w:t>;</w:t>
            </w:r>
            <w:r w:rsidR="00EB2848">
              <w:rPr>
                <w:rFonts w:eastAsia="MS Mincho" w:cstheme="minorHAnsi"/>
              </w:rPr>
              <w:t xml:space="preserve"> participants were grouped into:</w:t>
            </w:r>
          </w:p>
          <w:p w14:paraId="7A73D548" w14:textId="77777777" w:rsidR="007824C2" w:rsidRDefault="007824C2" w:rsidP="00A71365">
            <w:pPr>
              <w:pStyle w:val="Tablewriting"/>
              <w:rPr>
                <w:rFonts w:eastAsia="MS Mincho" w:cstheme="minorHAnsi"/>
              </w:rPr>
            </w:pPr>
          </w:p>
          <w:p w14:paraId="6FB1AE93" w14:textId="1B58D57E" w:rsidR="0028080F" w:rsidRPr="0028080F" w:rsidRDefault="00EB2848" w:rsidP="00C324F3">
            <w:pPr>
              <w:pStyle w:val="Tablewriting"/>
              <w:numPr>
                <w:ilvl w:val="0"/>
                <w:numId w:val="66"/>
              </w:numPr>
              <w:rPr>
                <w:rFonts w:eastAsia="MS Mincho" w:cstheme="minorHAnsi"/>
              </w:rPr>
            </w:pPr>
            <w:r>
              <w:rPr>
                <w:rFonts w:eastAsia="MS Mincho" w:cstheme="minorHAnsi"/>
              </w:rPr>
              <w:t xml:space="preserve"> </w:t>
            </w:r>
            <w:r w:rsidR="00C762DA">
              <w:rPr>
                <w:rFonts w:eastAsia="MS Mincho" w:cstheme="minorHAnsi"/>
              </w:rPr>
              <w:t>P</w:t>
            </w:r>
            <w:r w:rsidR="00DE1B67" w:rsidRPr="00017AE6">
              <w:rPr>
                <w:rFonts w:eastAsia="MS Mincho" w:cstheme="minorHAnsi"/>
              </w:rPr>
              <w:t>sychiatric disorders</w:t>
            </w:r>
            <w:r w:rsidR="00C762DA">
              <w:rPr>
                <w:rFonts w:eastAsia="MS Mincho" w:cstheme="minorHAnsi"/>
              </w:rPr>
              <w:t xml:space="preserve"> (n=</w:t>
            </w:r>
            <w:r w:rsidR="00C762DA" w:rsidRPr="00017AE6">
              <w:rPr>
                <w:rFonts w:eastAsia="MS Mincho" w:cstheme="minorHAnsi"/>
              </w:rPr>
              <w:t>4116</w:t>
            </w:r>
            <w:r w:rsidR="007824C2" w:rsidRPr="00017AE6">
              <w:rPr>
                <w:rFonts w:eastAsia="MS Mincho" w:cstheme="minorHAnsi"/>
              </w:rPr>
              <w:t>)</w:t>
            </w:r>
            <w:r>
              <w:rPr>
                <w:rFonts w:eastAsia="MS Mincho" w:cstheme="minorHAnsi"/>
              </w:rPr>
              <w:t xml:space="preserve"> in which:</w:t>
            </w:r>
            <w:r w:rsidR="007824C2" w:rsidRPr="00EB2848">
              <w:rPr>
                <w:rFonts w:eastAsia="MS Mincho" w:cstheme="minorHAnsi"/>
              </w:rPr>
              <w:t xml:space="preserve"> </w:t>
            </w:r>
          </w:p>
          <w:p w14:paraId="40DD5A6A" w14:textId="0977528C" w:rsidR="00DE1B67" w:rsidRPr="00017AE6" w:rsidRDefault="007824C2" w:rsidP="00A71365">
            <w:pPr>
              <w:pStyle w:val="Tablewriting"/>
              <w:ind w:left="720"/>
              <w:rPr>
                <w:rFonts w:eastAsia="MS Mincho" w:cstheme="minorHAnsi"/>
              </w:rPr>
            </w:pPr>
            <w:r>
              <w:rPr>
                <w:rFonts w:eastAsia="MS Mincho" w:cstheme="minorHAnsi"/>
              </w:rPr>
              <w:t>n=</w:t>
            </w:r>
            <w:r w:rsidR="00DE1B67" w:rsidRPr="00017AE6">
              <w:rPr>
                <w:rFonts w:eastAsia="MS Mincho" w:cstheme="minorHAnsi"/>
              </w:rPr>
              <w:t>1032</w:t>
            </w:r>
            <w:r>
              <w:rPr>
                <w:rFonts w:eastAsia="MS Mincho" w:cstheme="minorHAnsi"/>
              </w:rPr>
              <w:t xml:space="preserve"> (varenicline), n=</w:t>
            </w:r>
            <w:r w:rsidR="00DE1B67" w:rsidRPr="00017AE6">
              <w:rPr>
                <w:rFonts w:eastAsia="MS Mincho" w:cstheme="minorHAnsi"/>
              </w:rPr>
              <w:t>1033</w:t>
            </w:r>
            <w:r>
              <w:rPr>
                <w:rFonts w:eastAsia="MS Mincho" w:cstheme="minorHAnsi"/>
              </w:rPr>
              <w:t xml:space="preserve"> (</w:t>
            </w:r>
            <w:r w:rsidRPr="00017AE6">
              <w:rPr>
                <w:rFonts w:eastAsia="MS Mincho" w:cstheme="minorHAnsi"/>
              </w:rPr>
              <w:t>bupropion</w:t>
            </w:r>
            <w:r>
              <w:rPr>
                <w:rFonts w:eastAsia="MS Mincho" w:cstheme="minorHAnsi"/>
              </w:rPr>
              <w:t>)</w:t>
            </w:r>
            <w:r w:rsidR="00DE1B67" w:rsidRPr="00017AE6">
              <w:rPr>
                <w:rFonts w:eastAsia="MS Mincho" w:cstheme="minorHAnsi"/>
              </w:rPr>
              <w:t xml:space="preserve">, </w:t>
            </w:r>
            <w:r>
              <w:rPr>
                <w:rFonts w:eastAsia="MS Mincho" w:cstheme="minorHAnsi"/>
              </w:rPr>
              <w:t>n=</w:t>
            </w:r>
            <w:r w:rsidR="00DE1B67" w:rsidRPr="00017AE6">
              <w:rPr>
                <w:rFonts w:eastAsia="MS Mincho" w:cstheme="minorHAnsi"/>
              </w:rPr>
              <w:t>1025</w:t>
            </w:r>
            <w:r>
              <w:rPr>
                <w:rFonts w:eastAsia="MS Mincho" w:cstheme="minorHAnsi"/>
              </w:rPr>
              <w:t xml:space="preserve"> (</w:t>
            </w:r>
            <w:r w:rsidRPr="00017AE6">
              <w:rPr>
                <w:rFonts w:eastAsia="MS Mincho" w:cstheme="minorHAnsi"/>
              </w:rPr>
              <w:t>NRT patch</w:t>
            </w:r>
            <w:r>
              <w:rPr>
                <w:rFonts w:eastAsia="MS Mincho" w:cstheme="minorHAnsi"/>
              </w:rPr>
              <w:t>)</w:t>
            </w:r>
            <w:r w:rsidR="00DE1B67" w:rsidRPr="00017AE6">
              <w:rPr>
                <w:rFonts w:eastAsia="MS Mincho" w:cstheme="minorHAnsi"/>
              </w:rPr>
              <w:t xml:space="preserve">, </w:t>
            </w:r>
            <w:r>
              <w:rPr>
                <w:rFonts w:eastAsia="MS Mincho" w:cstheme="minorHAnsi"/>
              </w:rPr>
              <w:t>n=</w:t>
            </w:r>
            <w:r w:rsidR="00DE1B67" w:rsidRPr="00017AE6">
              <w:rPr>
                <w:rFonts w:eastAsia="MS Mincho" w:cstheme="minorHAnsi"/>
              </w:rPr>
              <w:t>1026</w:t>
            </w:r>
            <w:r w:rsidR="00614048">
              <w:rPr>
                <w:rFonts w:eastAsia="MS Mincho" w:cstheme="minorHAnsi"/>
              </w:rPr>
              <w:t xml:space="preserve"> (</w:t>
            </w:r>
            <w:r w:rsidR="00614048" w:rsidRPr="00017AE6">
              <w:rPr>
                <w:rFonts w:eastAsia="MS Mincho" w:cstheme="minorHAnsi"/>
              </w:rPr>
              <w:t>placebo</w:t>
            </w:r>
            <w:r w:rsidR="00614048">
              <w:rPr>
                <w:rFonts w:eastAsia="MS Mincho" w:cstheme="minorHAnsi"/>
              </w:rPr>
              <w:t>)</w:t>
            </w:r>
          </w:p>
          <w:p w14:paraId="06E27146" w14:textId="4EF48BE7" w:rsidR="00DE1B67" w:rsidRPr="00017AE6" w:rsidRDefault="00EB2848" w:rsidP="00C324F3">
            <w:pPr>
              <w:pStyle w:val="Tablewriting"/>
              <w:numPr>
                <w:ilvl w:val="0"/>
                <w:numId w:val="66"/>
              </w:numPr>
              <w:rPr>
                <w:rFonts w:eastAsia="MS Mincho" w:cstheme="minorHAnsi"/>
              </w:rPr>
            </w:pPr>
            <w:r>
              <w:rPr>
                <w:rFonts w:eastAsia="MS Mincho" w:cstheme="minorHAnsi"/>
              </w:rPr>
              <w:t xml:space="preserve"> </w:t>
            </w:r>
            <w:r w:rsidR="00C762DA">
              <w:rPr>
                <w:rFonts w:eastAsia="MS Mincho" w:cstheme="minorHAnsi"/>
              </w:rPr>
              <w:t>N</w:t>
            </w:r>
            <w:r w:rsidR="00DE1B67" w:rsidRPr="00017AE6">
              <w:rPr>
                <w:rFonts w:eastAsia="MS Mincho" w:cstheme="minorHAnsi"/>
              </w:rPr>
              <w:t>o psychiatric disorders</w:t>
            </w:r>
            <w:r w:rsidR="00C762DA">
              <w:rPr>
                <w:rFonts w:eastAsia="MS Mincho" w:cstheme="minorHAnsi"/>
              </w:rPr>
              <w:t xml:space="preserve"> (n=</w:t>
            </w:r>
            <w:r w:rsidR="00C762DA" w:rsidRPr="00017AE6">
              <w:rPr>
                <w:rFonts w:eastAsia="MS Mincho" w:cstheme="minorHAnsi"/>
              </w:rPr>
              <w:t>4028</w:t>
            </w:r>
            <w:r w:rsidR="00614048" w:rsidRPr="00017AE6">
              <w:rPr>
                <w:rFonts w:eastAsia="MS Mincho" w:cstheme="minorHAnsi"/>
              </w:rPr>
              <w:t>)</w:t>
            </w:r>
            <w:r w:rsidR="00C23B7A">
              <w:rPr>
                <w:rFonts w:eastAsia="MS Mincho" w:cstheme="minorHAnsi"/>
              </w:rPr>
              <w:t xml:space="preserve"> in which</w:t>
            </w:r>
            <w:r w:rsidR="00DE1B67" w:rsidRPr="00017AE6">
              <w:rPr>
                <w:rFonts w:eastAsia="MS Mincho" w:cstheme="minorHAnsi"/>
              </w:rPr>
              <w:t xml:space="preserve">: </w:t>
            </w:r>
            <w:r w:rsidR="00614048">
              <w:rPr>
                <w:rFonts w:eastAsia="MS Mincho" w:cstheme="minorHAnsi"/>
              </w:rPr>
              <w:t>n=</w:t>
            </w:r>
            <w:r w:rsidR="00DE1B67" w:rsidRPr="00017AE6">
              <w:rPr>
                <w:rFonts w:eastAsia="MS Mincho" w:cstheme="minorHAnsi"/>
              </w:rPr>
              <w:t>1005</w:t>
            </w:r>
            <w:r w:rsidR="00614048">
              <w:rPr>
                <w:rFonts w:eastAsia="MS Mincho" w:cstheme="minorHAnsi"/>
              </w:rPr>
              <w:t xml:space="preserve"> (</w:t>
            </w:r>
            <w:r w:rsidR="00614048" w:rsidRPr="00017AE6">
              <w:rPr>
                <w:rFonts w:eastAsia="MS Mincho" w:cstheme="minorHAnsi"/>
              </w:rPr>
              <w:t>varenicline</w:t>
            </w:r>
            <w:r w:rsidR="00614048">
              <w:rPr>
                <w:rFonts w:eastAsia="MS Mincho" w:cstheme="minorHAnsi"/>
              </w:rPr>
              <w:t>)</w:t>
            </w:r>
            <w:r w:rsidR="00891A7E">
              <w:rPr>
                <w:rFonts w:eastAsia="MS Mincho" w:cstheme="minorHAnsi"/>
              </w:rPr>
              <w:t>, n=</w:t>
            </w:r>
            <w:r w:rsidR="00DE1B67" w:rsidRPr="00017AE6">
              <w:rPr>
                <w:rFonts w:eastAsia="MS Mincho" w:cstheme="minorHAnsi"/>
              </w:rPr>
              <w:t>1001</w:t>
            </w:r>
            <w:r w:rsidR="00891A7E">
              <w:rPr>
                <w:rFonts w:eastAsia="MS Mincho" w:cstheme="minorHAnsi"/>
              </w:rPr>
              <w:t xml:space="preserve"> (bupropion)</w:t>
            </w:r>
            <w:r w:rsidR="00DE1B67" w:rsidRPr="00017AE6">
              <w:rPr>
                <w:rFonts w:eastAsia="MS Mincho" w:cstheme="minorHAnsi"/>
              </w:rPr>
              <w:t xml:space="preserve">, </w:t>
            </w:r>
            <w:r w:rsidR="00891A7E">
              <w:rPr>
                <w:rFonts w:eastAsia="MS Mincho" w:cstheme="minorHAnsi"/>
              </w:rPr>
              <w:t>n=</w:t>
            </w:r>
            <w:r w:rsidR="00DE1B67" w:rsidRPr="00017AE6">
              <w:rPr>
                <w:rFonts w:eastAsia="MS Mincho" w:cstheme="minorHAnsi"/>
              </w:rPr>
              <w:t>1013</w:t>
            </w:r>
            <w:r w:rsidR="00891A7E">
              <w:rPr>
                <w:rFonts w:eastAsia="MS Mincho" w:cstheme="minorHAnsi"/>
              </w:rPr>
              <w:t xml:space="preserve"> (NRT patch)</w:t>
            </w:r>
            <w:r w:rsidR="00DE1B67" w:rsidRPr="00017AE6">
              <w:rPr>
                <w:rFonts w:eastAsia="MS Mincho" w:cstheme="minorHAnsi"/>
              </w:rPr>
              <w:t xml:space="preserve">, </w:t>
            </w:r>
            <w:r w:rsidR="00891A7E">
              <w:rPr>
                <w:rFonts w:eastAsia="MS Mincho" w:cstheme="minorHAnsi"/>
              </w:rPr>
              <w:t>n=</w:t>
            </w:r>
            <w:r w:rsidR="00DE1B67" w:rsidRPr="00017AE6">
              <w:rPr>
                <w:rFonts w:eastAsia="MS Mincho" w:cstheme="minorHAnsi"/>
              </w:rPr>
              <w:t>1009</w:t>
            </w:r>
            <w:r w:rsidR="00891A7E">
              <w:rPr>
                <w:rFonts w:eastAsia="MS Mincho" w:cstheme="minorHAnsi"/>
              </w:rPr>
              <w:t xml:space="preserve"> (placebo)</w:t>
            </w:r>
            <w:r w:rsidR="00291F61">
              <w:rPr>
                <w:rFonts w:eastAsia="MS Mincho" w:cstheme="minorHAnsi"/>
              </w:rPr>
              <w:t>.</w:t>
            </w:r>
          </w:p>
          <w:p w14:paraId="38E35AA3" w14:textId="77777777" w:rsidR="006930B5" w:rsidRDefault="006930B5" w:rsidP="00A71365">
            <w:pPr>
              <w:pStyle w:val="Tablewriting"/>
              <w:rPr>
                <w:rFonts w:eastAsia="MS Mincho" w:cstheme="minorHAnsi"/>
              </w:rPr>
            </w:pPr>
          </w:p>
          <w:p w14:paraId="05218053" w14:textId="77777777" w:rsidR="006930B5" w:rsidRPr="00017AE6" w:rsidRDefault="006930B5" w:rsidP="00A71365">
            <w:pPr>
              <w:pStyle w:val="Tablewriting"/>
              <w:rPr>
                <w:rFonts w:eastAsia="MS Mincho" w:cstheme="minorHAnsi"/>
              </w:rPr>
            </w:pPr>
            <w:r w:rsidRPr="00017AE6">
              <w:rPr>
                <w:rFonts w:eastAsia="MS Mincho" w:cstheme="minorHAnsi"/>
              </w:rPr>
              <w:lastRenderedPageBreak/>
              <w:t>Allocation for the psychiatric cohort was balanced across</w:t>
            </w:r>
          </w:p>
          <w:p w14:paraId="2A25BF1D" w14:textId="18E61802" w:rsidR="006930B5" w:rsidRPr="00017AE6" w:rsidRDefault="006930B5" w:rsidP="00A71365">
            <w:pPr>
              <w:pStyle w:val="Tablewriting"/>
              <w:rPr>
                <w:rFonts w:eastAsia="MS Mincho" w:cstheme="minorHAnsi"/>
              </w:rPr>
            </w:pPr>
            <w:r w:rsidRPr="00017AE6">
              <w:rPr>
                <w:rFonts w:eastAsia="MS Mincho" w:cstheme="minorHAnsi"/>
              </w:rPr>
              <w:t>four diagnostic group</w:t>
            </w:r>
            <w:r>
              <w:rPr>
                <w:rFonts w:eastAsia="MS Mincho" w:cstheme="minorHAnsi"/>
              </w:rPr>
              <w:t xml:space="preserve"> </w:t>
            </w:r>
            <w:r w:rsidRPr="00017AE6">
              <w:rPr>
                <w:rFonts w:eastAsia="MS Mincho" w:cstheme="minorHAnsi"/>
              </w:rPr>
              <w:t xml:space="preserve">disorders, </w:t>
            </w:r>
            <w:r w:rsidR="004664D2" w:rsidRPr="00017AE6">
              <w:rPr>
                <w:rFonts w:eastAsia="MS Mincho" w:cstheme="minorHAnsi"/>
              </w:rPr>
              <w:t>i.e.,</w:t>
            </w:r>
            <w:r w:rsidRPr="00017AE6">
              <w:rPr>
                <w:rFonts w:eastAsia="MS Mincho" w:cstheme="minorHAnsi"/>
              </w:rPr>
              <w:t xml:space="preserve"> mood, anxiety, psychotic, personality</w:t>
            </w:r>
            <w:r>
              <w:rPr>
                <w:rFonts w:eastAsia="MS Mincho" w:cstheme="minorHAnsi"/>
              </w:rPr>
              <w:t>.</w:t>
            </w:r>
          </w:p>
          <w:p w14:paraId="04956727" w14:textId="77777777" w:rsidR="00891A7E" w:rsidRDefault="00891A7E" w:rsidP="00A71365">
            <w:pPr>
              <w:pStyle w:val="Tablewriting"/>
              <w:rPr>
                <w:rFonts w:eastAsia="MS Mincho" w:cstheme="minorHAnsi"/>
              </w:rPr>
            </w:pPr>
          </w:p>
          <w:p w14:paraId="35670259" w14:textId="15C56320" w:rsidR="00C25F5E" w:rsidRPr="00017AE6" w:rsidRDefault="00DE1B67" w:rsidP="00A71365">
            <w:pPr>
              <w:pStyle w:val="Tablewriting"/>
              <w:rPr>
                <w:rFonts w:eastAsia="MS Mincho" w:cstheme="minorHAnsi"/>
              </w:rPr>
            </w:pPr>
            <w:r w:rsidRPr="00891A7E">
              <w:rPr>
                <w:rFonts w:eastAsia="MS Mincho" w:cstheme="minorHAnsi"/>
                <w:u w:val="single"/>
              </w:rPr>
              <w:t>Safety analyses</w:t>
            </w:r>
            <w:r w:rsidR="00891A7E">
              <w:rPr>
                <w:rFonts w:eastAsia="MS Mincho" w:cstheme="minorHAnsi"/>
                <w:u w:val="single"/>
              </w:rPr>
              <w:t xml:space="preserve">: </w:t>
            </w:r>
            <w:r w:rsidRPr="00017AE6">
              <w:rPr>
                <w:rFonts w:eastAsia="MS Mincho" w:cstheme="minorHAnsi"/>
              </w:rPr>
              <w:t xml:space="preserve">conducted in cohorts of </w:t>
            </w:r>
            <w:r w:rsidR="00891A7E">
              <w:rPr>
                <w:rFonts w:eastAsia="MS Mincho" w:cstheme="minorHAnsi"/>
              </w:rPr>
              <w:t>n=</w:t>
            </w:r>
            <w:r w:rsidRPr="00017AE6">
              <w:rPr>
                <w:rFonts w:eastAsia="MS Mincho" w:cstheme="minorHAnsi"/>
              </w:rPr>
              <w:t xml:space="preserve">4074 (psychiatric) and </w:t>
            </w:r>
            <w:r w:rsidR="00891A7E">
              <w:rPr>
                <w:rFonts w:eastAsia="MS Mincho" w:cstheme="minorHAnsi"/>
              </w:rPr>
              <w:t>n=</w:t>
            </w:r>
            <w:r w:rsidRPr="00017AE6">
              <w:rPr>
                <w:rFonts w:eastAsia="MS Mincho" w:cstheme="minorHAnsi"/>
              </w:rPr>
              <w:t>3984 (non-psychiatric)</w:t>
            </w:r>
            <w:r w:rsidR="00891A7E">
              <w:rPr>
                <w:rFonts w:eastAsia="MS Mincho" w:cstheme="minorHAnsi"/>
              </w:rPr>
              <w:t>.</w:t>
            </w:r>
          </w:p>
        </w:tc>
        <w:tc>
          <w:tcPr>
            <w:tcW w:w="851" w:type="pct"/>
          </w:tcPr>
          <w:p w14:paraId="63A3A194" w14:textId="31E0AC8C" w:rsidR="00461760" w:rsidRDefault="004664D2" w:rsidP="00A71365">
            <w:pPr>
              <w:pStyle w:val="Tablewriting"/>
              <w:rPr>
                <w:rFonts w:eastAsia="MS Mincho" w:cstheme="minorHAnsi"/>
              </w:rPr>
            </w:pPr>
            <w:r w:rsidRPr="00017AE6">
              <w:rPr>
                <w:rFonts w:eastAsia="MS Mincho" w:cstheme="minorHAnsi"/>
              </w:rPr>
              <w:lastRenderedPageBreak/>
              <w:t>Treatment-seeking adult smokers</w:t>
            </w:r>
            <w:r w:rsidR="008C323A" w:rsidRPr="00017AE6">
              <w:rPr>
                <w:rFonts w:eastAsia="MS Mincho" w:cstheme="minorHAnsi"/>
              </w:rPr>
              <w:t xml:space="preserve"> aged 18 </w:t>
            </w:r>
            <w:r w:rsidR="00461760">
              <w:rPr>
                <w:rFonts w:eastAsia="MS Mincho" w:cstheme="minorHAnsi"/>
              </w:rPr>
              <w:t>–</w:t>
            </w:r>
            <w:r w:rsidR="008C323A" w:rsidRPr="00017AE6">
              <w:rPr>
                <w:rFonts w:eastAsia="MS Mincho" w:cstheme="minorHAnsi"/>
              </w:rPr>
              <w:t xml:space="preserve"> 75</w:t>
            </w:r>
            <w:r w:rsidR="00461760">
              <w:rPr>
                <w:rFonts w:eastAsia="MS Mincho" w:cstheme="minorHAnsi"/>
              </w:rPr>
              <w:t xml:space="preserve"> years</w:t>
            </w:r>
            <w:r w:rsidR="008C323A" w:rsidRPr="00017AE6">
              <w:rPr>
                <w:rFonts w:eastAsia="MS Mincho" w:cstheme="minorHAnsi"/>
              </w:rPr>
              <w:t>, smoking at least 10 CPD, with exhaled CO &gt; 10 ppm at</w:t>
            </w:r>
            <w:r w:rsidR="00461760">
              <w:rPr>
                <w:rFonts w:eastAsia="MS Mincho" w:cstheme="minorHAnsi"/>
              </w:rPr>
              <w:t xml:space="preserve"> </w:t>
            </w:r>
            <w:r w:rsidR="008C323A" w:rsidRPr="00017AE6">
              <w:rPr>
                <w:rFonts w:eastAsia="MS Mincho" w:cstheme="minorHAnsi"/>
              </w:rPr>
              <w:t xml:space="preserve">screening. </w:t>
            </w:r>
          </w:p>
          <w:p w14:paraId="1FF787EB" w14:textId="77777777" w:rsidR="00461760" w:rsidRDefault="00461760" w:rsidP="00A71365">
            <w:pPr>
              <w:pStyle w:val="Tablewriting"/>
              <w:rPr>
                <w:rFonts w:eastAsia="MS Mincho" w:cstheme="minorHAnsi"/>
              </w:rPr>
            </w:pPr>
          </w:p>
          <w:p w14:paraId="32455A2B" w14:textId="48A2933E" w:rsidR="008C323A" w:rsidRPr="00017AE6" w:rsidRDefault="008C323A" w:rsidP="00A71365">
            <w:pPr>
              <w:pStyle w:val="Tablewriting"/>
              <w:rPr>
                <w:rFonts w:eastAsia="MS Mincho" w:cstheme="minorHAnsi"/>
              </w:rPr>
            </w:pPr>
            <w:r w:rsidRPr="00017AE6">
              <w:rPr>
                <w:rFonts w:eastAsia="MS Mincho" w:cstheme="minorHAnsi"/>
              </w:rPr>
              <w:t>Participants in the psychiatric disorder cohort had to have a current or lifetime stable psychiatric</w:t>
            </w:r>
          </w:p>
          <w:p w14:paraId="6B1D6CF7" w14:textId="631EC607" w:rsidR="0025076C" w:rsidRDefault="008C323A" w:rsidP="00A71365">
            <w:pPr>
              <w:pStyle w:val="Tablewriting"/>
              <w:rPr>
                <w:rFonts w:eastAsia="MS Mincho" w:cstheme="minorHAnsi"/>
              </w:rPr>
            </w:pPr>
            <w:r w:rsidRPr="00017AE6">
              <w:rPr>
                <w:rFonts w:eastAsia="MS Mincho" w:cstheme="minorHAnsi"/>
              </w:rPr>
              <w:t xml:space="preserve">diagnosis, confirmed by Structured Clinical Interview for DSM IV disorders (SCID), </w:t>
            </w:r>
            <w:r w:rsidR="004664D2" w:rsidRPr="00017AE6">
              <w:rPr>
                <w:rFonts w:eastAsia="MS Mincho" w:cstheme="minorHAnsi"/>
              </w:rPr>
              <w:t>i.e.,</w:t>
            </w:r>
            <w:r w:rsidRPr="00017AE6">
              <w:rPr>
                <w:rFonts w:eastAsia="MS Mincho" w:cstheme="minorHAnsi"/>
              </w:rPr>
              <w:t xml:space="preserve"> no acute</w:t>
            </w:r>
            <w:r w:rsidR="00461760">
              <w:rPr>
                <w:rFonts w:eastAsia="MS Mincho" w:cstheme="minorHAnsi"/>
              </w:rPr>
              <w:t xml:space="preserve"> </w:t>
            </w:r>
            <w:r w:rsidRPr="00017AE6">
              <w:rPr>
                <w:rFonts w:eastAsia="MS Mincho" w:cstheme="minorHAnsi"/>
              </w:rPr>
              <w:t>exacerbation in the previous 6 months, no</w:t>
            </w:r>
            <w:r w:rsidR="00461760">
              <w:rPr>
                <w:rFonts w:eastAsia="MS Mincho" w:cstheme="minorHAnsi"/>
              </w:rPr>
              <w:t xml:space="preserve"> </w:t>
            </w:r>
            <w:r w:rsidRPr="00017AE6">
              <w:rPr>
                <w:rFonts w:eastAsia="MS Mincho" w:cstheme="minorHAnsi"/>
              </w:rPr>
              <w:t>changes to treatment for 3 months, not imminently likely to</w:t>
            </w:r>
            <w:r w:rsidR="00461760">
              <w:rPr>
                <w:rFonts w:eastAsia="MS Mincho" w:cstheme="minorHAnsi"/>
              </w:rPr>
              <w:t xml:space="preserve"> </w:t>
            </w:r>
            <w:r w:rsidRPr="00017AE6">
              <w:rPr>
                <w:rFonts w:eastAsia="MS Mincho" w:cstheme="minorHAnsi"/>
              </w:rPr>
              <w:t xml:space="preserve">change treatment, and not at risk of </w:t>
            </w:r>
            <w:r w:rsidR="00461760" w:rsidRPr="00017AE6">
              <w:rPr>
                <w:rFonts w:eastAsia="MS Mincho" w:cstheme="minorHAnsi"/>
              </w:rPr>
              <w:t>self-harm</w:t>
            </w:r>
            <w:r w:rsidRPr="00017AE6">
              <w:rPr>
                <w:rFonts w:eastAsia="MS Mincho" w:cstheme="minorHAnsi"/>
              </w:rPr>
              <w:t xml:space="preserve">. </w:t>
            </w:r>
          </w:p>
          <w:p w14:paraId="0116F6BB" w14:textId="77777777" w:rsidR="006930B5" w:rsidRDefault="006930B5" w:rsidP="00A71365">
            <w:pPr>
              <w:pStyle w:val="Tablewriting"/>
              <w:rPr>
                <w:rFonts w:eastAsia="MS Mincho" w:cstheme="minorHAnsi"/>
              </w:rPr>
            </w:pPr>
          </w:p>
          <w:p w14:paraId="692AA459" w14:textId="4714B956" w:rsidR="008C323A" w:rsidRPr="00017AE6" w:rsidRDefault="008C323A" w:rsidP="00A71365">
            <w:pPr>
              <w:pStyle w:val="Tablewriting"/>
              <w:rPr>
                <w:rFonts w:eastAsia="MS Mincho" w:cstheme="minorHAnsi"/>
              </w:rPr>
            </w:pPr>
            <w:r w:rsidRPr="00017AE6">
              <w:rPr>
                <w:rFonts w:eastAsia="MS Mincho" w:cstheme="minorHAnsi"/>
              </w:rPr>
              <w:t>44% men, mean age 46, mean CPD 20.7, mean FTND 5.8</w:t>
            </w:r>
          </w:p>
          <w:p w14:paraId="42DED51B" w14:textId="77777777" w:rsidR="003E4DFD" w:rsidRPr="00017AE6" w:rsidRDefault="003E4DFD" w:rsidP="00A71365">
            <w:pPr>
              <w:pStyle w:val="Tablewriting"/>
              <w:rPr>
                <w:rFonts w:eastAsia="MS Mincho" w:cstheme="minorHAnsi"/>
              </w:rPr>
            </w:pPr>
          </w:p>
          <w:p w14:paraId="4433B064" w14:textId="4D72FEB7" w:rsidR="008C323A" w:rsidRPr="00017AE6" w:rsidRDefault="008C323A" w:rsidP="00A71365">
            <w:pPr>
              <w:pStyle w:val="Tablewriting"/>
              <w:rPr>
                <w:rFonts w:eastAsia="MS Mincho" w:cstheme="minorHAnsi"/>
              </w:rPr>
            </w:pPr>
            <w:r w:rsidRPr="0025076C">
              <w:rPr>
                <w:rFonts w:eastAsia="MS Mincho" w:cstheme="minorHAnsi"/>
                <w:u w:val="single"/>
              </w:rPr>
              <w:t>Exclusions</w:t>
            </w:r>
            <w:r w:rsidRPr="00017AE6">
              <w:rPr>
                <w:rFonts w:eastAsia="MS Mincho" w:cstheme="minorHAnsi"/>
              </w:rPr>
              <w:t xml:space="preserve">: Past or current diagnosis of </w:t>
            </w:r>
            <w:r w:rsidRPr="00017AE6">
              <w:rPr>
                <w:rFonts w:eastAsia="MS Mincho" w:cstheme="minorHAnsi"/>
              </w:rPr>
              <w:lastRenderedPageBreak/>
              <w:t>schizophreniform or delusional disorders, all delirium, dementia,</w:t>
            </w:r>
            <w:r w:rsidR="003E4DFD" w:rsidRPr="00017AE6">
              <w:rPr>
                <w:rFonts w:eastAsia="MS Mincho" w:cstheme="minorHAnsi"/>
              </w:rPr>
              <w:t xml:space="preserve"> </w:t>
            </w:r>
            <w:r w:rsidRPr="00017AE6">
              <w:rPr>
                <w:rFonts w:eastAsia="MS Mincho" w:cstheme="minorHAnsi"/>
              </w:rPr>
              <w:t>and other cognitive disorders, and all substance-induced disorders (other than nicotine)</w:t>
            </w:r>
          </w:p>
          <w:p w14:paraId="29BBEFD1" w14:textId="77777777" w:rsidR="00E729D0" w:rsidRPr="00017AE6" w:rsidRDefault="00E729D0" w:rsidP="00A71365">
            <w:pPr>
              <w:pStyle w:val="Tablewriting"/>
              <w:rPr>
                <w:rFonts w:eastAsia="MS Mincho" w:cstheme="minorHAnsi"/>
              </w:rPr>
            </w:pPr>
          </w:p>
          <w:p w14:paraId="4BD1ED78" w14:textId="3AD68F5D" w:rsidR="00E729D0" w:rsidRPr="00017AE6" w:rsidRDefault="008C323A" w:rsidP="00A71365">
            <w:pPr>
              <w:pStyle w:val="Tablewriting"/>
              <w:rPr>
                <w:rFonts w:eastAsia="MS Mincho" w:cstheme="minorHAnsi"/>
              </w:rPr>
            </w:pPr>
            <w:r w:rsidRPr="00017AE6">
              <w:rPr>
                <w:rFonts w:eastAsia="MS Mincho" w:cstheme="minorHAnsi"/>
              </w:rPr>
              <w:t>In the psychiatric disorders group, 70% had primary affective disorders, 19% anxiety disorders, 9.5%</w:t>
            </w:r>
            <w:r w:rsidR="003E4DFD" w:rsidRPr="00017AE6">
              <w:rPr>
                <w:rFonts w:eastAsia="MS Mincho" w:cstheme="minorHAnsi"/>
              </w:rPr>
              <w:t xml:space="preserve"> </w:t>
            </w:r>
            <w:r w:rsidRPr="00017AE6">
              <w:rPr>
                <w:rFonts w:eastAsia="MS Mincho" w:cstheme="minorHAnsi"/>
              </w:rPr>
              <w:t xml:space="preserve">psychotic disorders, 0.6% personality disorders, and at least </w:t>
            </w:r>
            <w:r w:rsidR="00D91A75" w:rsidRPr="00D91A75">
              <w:rPr>
                <w:rFonts w:eastAsia="MS Mincho" w:cstheme="minorHAnsi"/>
              </w:rPr>
              <w:t>⅓</w:t>
            </w:r>
            <w:r w:rsidRPr="00017AE6">
              <w:rPr>
                <w:rFonts w:eastAsia="MS Mincho" w:cstheme="minorHAnsi"/>
              </w:rPr>
              <w:t xml:space="preserve"> were taking psychotropic medications</w:t>
            </w:r>
            <w:r w:rsidR="00DE1B67">
              <w:rPr>
                <w:rFonts w:eastAsia="MS Mincho" w:cstheme="minorHAnsi"/>
              </w:rPr>
              <w:t>.</w:t>
            </w:r>
          </w:p>
        </w:tc>
        <w:tc>
          <w:tcPr>
            <w:tcW w:w="1054" w:type="pct"/>
          </w:tcPr>
          <w:p w14:paraId="5BE92983" w14:textId="4A860B95" w:rsidR="00D9690B" w:rsidRPr="00017AE6" w:rsidRDefault="00D9690B" w:rsidP="00C324F3">
            <w:pPr>
              <w:pStyle w:val="Tablewriting"/>
              <w:numPr>
                <w:ilvl w:val="0"/>
                <w:numId w:val="66"/>
              </w:numPr>
              <w:rPr>
                <w:rFonts w:eastAsia="MS Mincho" w:cstheme="minorHAnsi"/>
              </w:rPr>
            </w:pPr>
            <w:r w:rsidRPr="00017AE6">
              <w:rPr>
                <w:rFonts w:eastAsia="MS Mincho" w:cstheme="minorHAnsi"/>
              </w:rPr>
              <w:lastRenderedPageBreak/>
              <w:t>Varenicline, 1 mg x 2/day (1 w</w:t>
            </w:r>
            <w:r w:rsidR="0028080F">
              <w:rPr>
                <w:rFonts w:eastAsia="MS Mincho" w:cstheme="minorHAnsi"/>
              </w:rPr>
              <w:t>ee</w:t>
            </w:r>
            <w:r w:rsidRPr="00017AE6">
              <w:rPr>
                <w:rFonts w:eastAsia="MS Mincho" w:cstheme="minorHAnsi"/>
              </w:rPr>
              <w:t>k titrated, then 11 weeks full dose)</w:t>
            </w:r>
          </w:p>
          <w:p w14:paraId="1AEA76AF" w14:textId="4C1BCAFD" w:rsidR="00D9690B" w:rsidRPr="00017AE6" w:rsidRDefault="00D9690B" w:rsidP="00C324F3">
            <w:pPr>
              <w:pStyle w:val="Tablewriting"/>
              <w:numPr>
                <w:ilvl w:val="0"/>
                <w:numId w:val="66"/>
              </w:numPr>
              <w:rPr>
                <w:rFonts w:eastAsia="MS Mincho" w:cstheme="minorHAnsi"/>
              </w:rPr>
            </w:pPr>
            <w:r w:rsidRPr="00017AE6">
              <w:rPr>
                <w:rFonts w:eastAsia="MS Mincho" w:cstheme="minorHAnsi"/>
              </w:rPr>
              <w:t>Bupropion SR, 150 mg x 2/day (titrated for 3 days, then full dose for 11 weeks)</w:t>
            </w:r>
          </w:p>
          <w:p w14:paraId="2FD7E739" w14:textId="6222DA97" w:rsidR="00D9690B" w:rsidRPr="00017AE6" w:rsidRDefault="00D9690B" w:rsidP="00C324F3">
            <w:pPr>
              <w:pStyle w:val="Tablewriting"/>
              <w:numPr>
                <w:ilvl w:val="0"/>
                <w:numId w:val="66"/>
              </w:numPr>
              <w:rPr>
                <w:rFonts w:eastAsia="MS Mincho" w:cstheme="minorHAnsi"/>
              </w:rPr>
            </w:pPr>
            <w:r w:rsidRPr="00017AE6">
              <w:rPr>
                <w:rFonts w:eastAsia="MS Mincho" w:cstheme="minorHAnsi"/>
              </w:rPr>
              <w:t>Nicotine patch, 21 mg x 7 weeks, 14 mg x 2 w</w:t>
            </w:r>
            <w:r w:rsidR="0034551E">
              <w:rPr>
                <w:rFonts w:eastAsia="MS Mincho" w:cstheme="minorHAnsi"/>
              </w:rPr>
              <w:t>ee</w:t>
            </w:r>
            <w:r w:rsidRPr="00017AE6">
              <w:rPr>
                <w:rFonts w:eastAsia="MS Mincho" w:cstheme="minorHAnsi"/>
              </w:rPr>
              <w:t>ks, 7 mg x 2 weeks (11 weeks)</w:t>
            </w:r>
          </w:p>
          <w:p w14:paraId="08CE52C6" w14:textId="13C37F7D" w:rsidR="00D9690B" w:rsidRPr="00017AE6" w:rsidRDefault="00D9690B" w:rsidP="00C324F3">
            <w:pPr>
              <w:pStyle w:val="Tablewriting"/>
              <w:numPr>
                <w:ilvl w:val="0"/>
                <w:numId w:val="66"/>
              </w:numPr>
              <w:rPr>
                <w:rFonts w:eastAsia="MS Mincho" w:cstheme="minorHAnsi"/>
              </w:rPr>
            </w:pPr>
            <w:r w:rsidRPr="00017AE6">
              <w:rPr>
                <w:rFonts w:eastAsia="MS Mincho" w:cstheme="minorHAnsi"/>
              </w:rPr>
              <w:t>Triple-dummy placebo for each arm of the trial (12 weeks)</w:t>
            </w:r>
          </w:p>
          <w:p w14:paraId="3D687E05" w14:textId="77777777" w:rsidR="0034551E" w:rsidRDefault="0034551E" w:rsidP="00A71365">
            <w:pPr>
              <w:pStyle w:val="Tablewriting"/>
              <w:rPr>
                <w:rFonts w:eastAsia="MS Mincho" w:cstheme="minorHAnsi"/>
              </w:rPr>
            </w:pPr>
          </w:p>
          <w:p w14:paraId="2BD32719" w14:textId="4694CEE6" w:rsidR="00D9690B" w:rsidRPr="00017AE6" w:rsidRDefault="0034551E"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D9690B" w:rsidRPr="00017AE6">
              <w:rPr>
                <w:rFonts w:eastAsia="MS Mincho" w:cstheme="minorHAnsi"/>
              </w:rPr>
              <w:t xml:space="preserve">All participants received counselling (up to 10 mins) at all </w:t>
            </w:r>
            <w:r w:rsidR="004664D2" w:rsidRPr="00017AE6">
              <w:rPr>
                <w:rFonts w:eastAsia="MS Mincho" w:cstheme="minorHAnsi"/>
              </w:rPr>
              <w:t>contacts and</w:t>
            </w:r>
            <w:r w:rsidR="00D9690B" w:rsidRPr="00017AE6">
              <w:rPr>
                <w:rFonts w:eastAsia="MS Mincho" w:cstheme="minorHAnsi"/>
              </w:rPr>
              <w:t xml:space="preserve"> were encouraged to complete</w:t>
            </w:r>
            <w:r w:rsidR="008D1D7C">
              <w:rPr>
                <w:rFonts w:eastAsia="MS Mincho" w:cstheme="minorHAnsi"/>
              </w:rPr>
              <w:t xml:space="preserve"> </w:t>
            </w:r>
            <w:r w:rsidR="00D9690B" w:rsidRPr="00017AE6">
              <w:rPr>
                <w:rFonts w:eastAsia="MS Mincho" w:cstheme="minorHAnsi"/>
              </w:rPr>
              <w:t>all visits even if treatment was discontinued</w:t>
            </w:r>
            <w:r w:rsidR="00F4151C">
              <w:rPr>
                <w:rFonts w:eastAsia="MS Mincho" w:cstheme="minorHAnsi"/>
              </w:rPr>
              <w:t>.</w:t>
            </w:r>
          </w:p>
          <w:p w14:paraId="4F8FE5F7" w14:textId="17CF551D" w:rsidR="00C25F5E" w:rsidRPr="00017AE6" w:rsidRDefault="00D9690B" w:rsidP="00A71365">
            <w:pPr>
              <w:pStyle w:val="Tablewriting"/>
              <w:rPr>
                <w:rFonts w:eastAsia="MS Mincho" w:cstheme="minorHAnsi"/>
              </w:rPr>
            </w:pPr>
            <w:r w:rsidRPr="00F4151C">
              <w:rPr>
                <w:rFonts w:eastAsia="MS Mincho" w:cstheme="minorHAnsi"/>
              </w:rPr>
              <w:t>Participants were monitored at weeks 1 - 6, 8, 12, 13, 16, 20, 24; contacts we</w:t>
            </w:r>
            <w:r w:rsidR="009E2A27">
              <w:rPr>
                <w:rFonts w:eastAsia="MS Mincho" w:cstheme="minorHAnsi"/>
              </w:rPr>
              <w:t xml:space="preserve">re up to 15 face-to-face visits </w:t>
            </w:r>
            <w:r w:rsidRPr="00F4151C">
              <w:rPr>
                <w:rFonts w:eastAsia="MS Mincho" w:cstheme="minorHAnsi"/>
              </w:rPr>
              <w:t>and 11 telephone visits</w:t>
            </w:r>
            <w:r w:rsidR="00F4151C">
              <w:rPr>
                <w:rFonts w:eastAsia="MS Mincho" w:cstheme="minorHAnsi"/>
              </w:rPr>
              <w:t>.</w:t>
            </w:r>
          </w:p>
        </w:tc>
        <w:tc>
          <w:tcPr>
            <w:tcW w:w="959" w:type="pct"/>
          </w:tcPr>
          <w:p w14:paraId="3EE8E1F7" w14:textId="675174F2" w:rsidR="006045D3" w:rsidRPr="008145C0" w:rsidRDefault="006045D3" w:rsidP="00A71365">
            <w:pPr>
              <w:pStyle w:val="Tablewriting"/>
              <w:rPr>
                <w:rFonts w:eastAsia="MS Mincho" w:cstheme="minorHAnsi"/>
              </w:rPr>
            </w:pPr>
            <w:r w:rsidRPr="006045D3">
              <w:rPr>
                <w:rFonts w:eastAsia="MS Mincho" w:cstheme="minorHAnsi"/>
                <w:u w:val="single"/>
              </w:rPr>
              <w:t xml:space="preserve">Efficacy: </w:t>
            </w:r>
            <w:r w:rsidR="008145C0" w:rsidRPr="00017AE6">
              <w:rPr>
                <w:rFonts w:eastAsia="MS Mincho" w:cstheme="minorHAnsi"/>
              </w:rPr>
              <w:t xml:space="preserve">4-week abstinence </w:t>
            </w:r>
            <w:r w:rsidR="00C77279">
              <w:rPr>
                <w:rFonts w:eastAsia="MS Mincho" w:cstheme="minorHAnsi"/>
              </w:rPr>
              <w:t xml:space="preserve">(CAR) </w:t>
            </w:r>
            <w:r w:rsidR="008145C0" w:rsidRPr="00017AE6">
              <w:rPr>
                <w:rFonts w:eastAsia="MS Mincho" w:cstheme="minorHAnsi"/>
              </w:rPr>
              <w:t>confirmed by CO &lt; 10 ppm at w</w:t>
            </w:r>
            <w:r w:rsidR="008145C0">
              <w:rPr>
                <w:rFonts w:eastAsia="MS Mincho" w:cstheme="minorHAnsi"/>
              </w:rPr>
              <w:t>ee</w:t>
            </w:r>
            <w:r w:rsidR="008145C0" w:rsidRPr="00017AE6">
              <w:rPr>
                <w:rFonts w:eastAsia="MS Mincho" w:cstheme="minorHAnsi"/>
              </w:rPr>
              <w:t>ks 9 - 12, and 15-</w:t>
            </w:r>
            <w:r w:rsidR="000728F8" w:rsidRPr="00017AE6">
              <w:rPr>
                <w:rFonts w:eastAsia="MS Mincho" w:cstheme="minorHAnsi"/>
              </w:rPr>
              <w:t>w</w:t>
            </w:r>
            <w:r w:rsidR="00C77279">
              <w:rPr>
                <w:rFonts w:eastAsia="MS Mincho" w:cstheme="minorHAnsi"/>
              </w:rPr>
              <w:t>ee</w:t>
            </w:r>
            <w:r w:rsidR="000728F8" w:rsidRPr="00017AE6">
              <w:rPr>
                <w:rFonts w:eastAsia="MS Mincho" w:cstheme="minorHAnsi"/>
              </w:rPr>
              <w:t>k</w:t>
            </w:r>
            <w:r w:rsidR="008145C0" w:rsidRPr="00017AE6">
              <w:rPr>
                <w:rFonts w:eastAsia="MS Mincho" w:cstheme="minorHAnsi"/>
              </w:rPr>
              <w:t xml:space="preserve"> abstinence at weeks 9 </w:t>
            </w:r>
            <w:r w:rsidR="008145C0">
              <w:rPr>
                <w:rFonts w:eastAsia="MS Mincho" w:cstheme="minorHAnsi"/>
              </w:rPr>
              <w:t>–</w:t>
            </w:r>
            <w:r w:rsidR="008145C0" w:rsidRPr="00017AE6">
              <w:rPr>
                <w:rFonts w:eastAsia="MS Mincho" w:cstheme="minorHAnsi"/>
              </w:rPr>
              <w:t xml:space="preserve"> 24</w:t>
            </w:r>
            <w:r w:rsidR="008145C0">
              <w:rPr>
                <w:rFonts w:eastAsia="MS Mincho" w:cstheme="minorHAnsi"/>
              </w:rPr>
              <w:t xml:space="preserve">. </w:t>
            </w:r>
          </w:p>
          <w:p w14:paraId="7FA93C2D" w14:textId="77777777" w:rsidR="006045D3" w:rsidRDefault="006045D3" w:rsidP="00A71365">
            <w:pPr>
              <w:pStyle w:val="Tablewriting"/>
              <w:rPr>
                <w:rFonts w:eastAsia="MS Mincho" w:cstheme="minorHAnsi"/>
                <w:u w:val="single"/>
              </w:rPr>
            </w:pPr>
          </w:p>
          <w:p w14:paraId="0515F5B7" w14:textId="5E52CB31" w:rsidR="00400275" w:rsidRDefault="006045D3" w:rsidP="00A71365">
            <w:pPr>
              <w:pStyle w:val="Tablewriting"/>
              <w:rPr>
                <w:rFonts w:eastAsia="MS Mincho" w:cstheme="minorHAnsi"/>
              </w:rPr>
            </w:pPr>
            <w:r>
              <w:rPr>
                <w:rFonts w:eastAsia="MS Mincho" w:cstheme="minorHAnsi"/>
                <w:u w:val="single"/>
              </w:rPr>
              <w:t>Safety: at</w:t>
            </w:r>
            <w:r w:rsidR="00400275" w:rsidRPr="00017AE6">
              <w:rPr>
                <w:rFonts w:eastAsia="MS Mincho" w:cstheme="minorHAnsi"/>
              </w:rPr>
              <w:t xml:space="preserve"> least 1 SAE of anxiety depression, feeling abnormal, or hostility, and/or moderate or severe AE of agitation,</w:t>
            </w:r>
            <w:r>
              <w:rPr>
                <w:rFonts w:eastAsia="MS Mincho" w:cstheme="minorHAnsi"/>
              </w:rPr>
              <w:t xml:space="preserve"> </w:t>
            </w:r>
            <w:r w:rsidR="00400275" w:rsidRPr="00017AE6">
              <w:rPr>
                <w:rFonts w:eastAsia="MS Mincho" w:cstheme="minorHAnsi"/>
              </w:rPr>
              <w:t>aggression, delusions, hallucinations, homicidal ideation, mania, panic paranoia, psychosis, suicidal</w:t>
            </w:r>
            <w:r>
              <w:rPr>
                <w:rFonts w:eastAsia="MS Mincho" w:cstheme="minorHAnsi"/>
              </w:rPr>
              <w:t xml:space="preserve"> </w:t>
            </w:r>
            <w:r w:rsidR="00400275" w:rsidRPr="00017AE6">
              <w:rPr>
                <w:rFonts w:eastAsia="MS Mincho" w:cstheme="minorHAnsi"/>
              </w:rPr>
              <w:t>ideation/behaviour/completed</w:t>
            </w:r>
            <w:r w:rsidR="00812C1E">
              <w:rPr>
                <w:rFonts w:eastAsia="MS Mincho" w:cstheme="minorHAnsi"/>
              </w:rPr>
              <w:t xml:space="preserve">. </w:t>
            </w:r>
          </w:p>
          <w:p w14:paraId="158A6AC7" w14:textId="77777777" w:rsidR="00812C1E" w:rsidRPr="006045D3" w:rsidRDefault="00812C1E" w:rsidP="00A71365">
            <w:pPr>
              <w:pStyle w:val="Tablewriting"/>
              <w:rPr>
                <w:rFonts w:eastAsia="MS Mincho" w:cstheme="minorHAnsi"/>
                <w:u w:val="single"/>
              </w:rPr>
            </w:pPr>
          </w:p>
          <w:p w14:paraId="6E37D4C2" w14:textId="77777777" w:rsidR="00400275" w:rsidRPr="00F4151C" w:rsidRDefault="00400275" w:rsidP="00A71365">
            <w:pPr>
              <w:pStyle w:val="Tablewriting"/>
              <w:rPr>
                <w:rFonts w:eastAsia="MS Mincho" w:cstheme="minorHAnsi"/>
              </w:rPr>
            </w:pPr>
            <w:r w:rsidRPr="00F4151C">
              <w:rPr>
                <w:rFonts w:eastAsia="MS Mincho" w:cstheme="minorHAnsi"/>
              </w:rPr>
              <w:t>In the non-psychiatric cohort, 78.9% completed treatment, and 78.4% completed the study</w:t>
            </w:r>
          </w:p>
          <w:p w14:paraId="5E76189C" w14:textId="6EEA0166" w:rsidR="00C25F5E" w:rsidRPr="00017AE6" w:rsidRDefault="00400275" w:rsidP="00A71365">
            <w:pPr>
              <w:pStyle w:val="Tablewriting"/>
              <w:rPr>
                <w:rFonts w:eastAsia="MS Mincho" w:cstheme="minorHAnsi"/>
              </w:rPr>
            </w:pPr>
            <w:r w:rsidRPr="00F4151C">
              <w:rPr>
                <w:rFonts w:eastAsia="MS Mincho" w:cstheme="minorHAnsi"/>
              </w:rPr>
              <w:t>In the psychiatric cohort, 74.2% completed treatment, and 77.8% completed the stud</w:t>
            </w:r>
            <w:r w:rsidRPr="00812C1E">
              <w:rPr>
                <w:rFonts w:eastAsia="MS Mincho" w:cstheme="minorHAnsi"/>
                <w:strike/>
              </w:rPr>
              <w:t>y</w:t>
            </w:r>
          </w:p>
        </w:tc>
      </w:tr>
      <w:tr w:rsidR="003D3459" w:rsidRPr="00017AE6" w14:paraId="739D615B" w14:textId="77777777" w:rsidTr="005821B1">
        <w:trPr>
          <w:trHeight w:val="99"/>
        </w:trPr>
        <w:tc>
          <w:tcPr>
            <w:tcW w:w="761" w:type="pct"/>
          </w:tcPr>
          <w:p w14:paraId="7E258FB2" w14:textId="59C5F107" w:rsidR="00C25F5E" w:rsidRPr="00017AE6" w:rsidRDefault="00C25F5E" w:rsidP="00A71365">
            <w:pPr>
              <w:pStyle w:val="Tablewriting"/>
              <w:rPr>
                <w:rFonts w:eastAsia="MS Mincho" w:cstheme="minorHAnsi"/>
              </w:rPr>
            </w:pPr>
            <w:r w:rsidRPr="00017AE6">
              <w:rPr>
                <w:rFonts w:eastAsia="MS Mincho" w:cstheme="minorHAnsi"/>
              </w:rPr>
              <w:t xml:space="preserve">Eisenberg </w:t>
            </w:r>
            <w:r w:rsidR="00F143BB">
              <w:rPr>
                <w:rFonts w:eastAsia="MS Mincho" w:cstheme="minorHAnsi"/>
              </w:rPr>
              <w:t>(</w:t>
            </w:r>
            <w:r w:rsidRPr="00017AE6">
              <w:rPr>
                <w:rFonts w:eastAsia="MS Mincho" w:cstheme="minorHAnsi"/>
              </w:rPr>
              <w:t>2016</w:t>
            </w:r>
            <w:r w:rsidR="00F143BB">
              <w:rPr>
                <w:rFonts w:eastAsia="MS Mincho" w:cstheme="minorHAnsi"/>
              </w:rPr>
              <w:t>)</w:t>
            </w:r>
          </w:p>
        </w:tc>
        <w:tc>
          <w:tcPr>
            <w:tcW w:w="235" w:type="pct"/>
          </w:tcPr>
          <w:p w14:paraId="02068D37" w14:textId="558E2930"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506419AC" w14:textId="0C28B07F" w:rsidR="00C25F5E" w:rsidRPr="00017AE6" w:rsidRDefault="00A4346C" w:rsidP="00A71365">
            <w:pPr>
              <w:pStyle w:val="Tablewriting"/>
              <w:rPr>
                <w:rFonts w:eastAsia="MS Mincho" w:cstheme="minorHAnsi"/>
              </w:rPr>
            </w:pPr>
            <w:r w:rsidRPr="00017AE6">
              <w:rPr>
                <w:rFonts w:eastAsia="MS Mincho" w:cstheme="minorHAnsi"/>
              </w:rPr>
              <w:t>USA and Canada</w:t>
            </w:r>
          </w:p>
        </w:tc>
        <w:tc>
          <w:tcPr>
            <w:tcW w:w="679" w:type="pct"/>
          </w:tcPr>
          <w:p w14:paraId="2B39B926" w14:textId="04C156D4" w:rsidR="00C25F5E" w:rsidRPr="00017AE6" w:rsidRDefault="00C25F5E" w:rsidP="00A71365">
            <w:pPr>
              <w:pStyle w:val="Tablewriting"/>
              <w:rPr>
                <w:rFonts w:eastAsia="MS Mincho" w:cstheme="minorHAnsi"/>
              </w:rPr>
            </w:pPr>
            <w:r w:rsidRPr="00017AE6">
              <w:rPr>
                <w:rFonts w:eastAsia="MS Mincho" w:cstheme="minorHAnsi"/>
              </w:rPr>
              <w:t>N=</w:t>
            </w:r>
            <w:r w:rsidR="00A4346C" w:rsidRPr="00017AE6">
              <w:rPr>
                <w:rFonts w:eastAsia="MS Mincho" w:cstheme="minorHAnsi"/>
              </w:rPr>
              <w:t>302</w:t>
            </w:r>
            <w:r w:rsidR="008B2778">
              <w:rPr>
                <w:rFonts w:eastAsia="MS Mincho" w:cstheme="minorHAnsi"/>
              </w:rPr>
              <w:t>; n=</w:t>
            </w:r>
            <w:r w:rsidR="00F2735F">
              <w:rPr>
                <w:rFonts w:eastAsia="MS Mincho" w:cstheme="minorHAnsi"/>
              </w:rPr>
              <w:t>151 (varenicline), n=</w:t>
            </w:r>
            <w:r w:rsidR="00614D6F">
              <w:rPr>
                <w:rFonts w:eastAsia="MS Mincho" w:cstheme="minorHAnsi"/>
              </w:rPr>
              <w:t>151 (placebo)</w:t>
            </w:r>
          </w:p>
        </w:tc>
        <w:tc>
          <w:tcPr>
            <w:tcW w:w="851" w:type="pct"/>
          </w:tcPr>
          <w:p w14:paraId="0BBDDB26" w14:textId="77777777" w:rsidR="0072633E" w:rsidRDefault="0072633E" w:rsidP="00A71365">
            <w:pPr>
              <w:pStyle w:val="Tablewriting"/>
              <w:rPr>
                <w:rFonts w:eastAsia="MS Mincho" w:cstheme="minorHAnsi"/>
              </w:rPr>
            </w:pPr>
            <w:r>
              <w:rPr>
                <w:rFonts w:eastAsia="MS Mincho" w:cstheme="minorHAnsi"/>
              </w:rPr>
              <w:t>A</w:t>
            </w:r>
            <w:r w:rsidR="00A4346C" w:rsidRPr="00017AE6">
              <w:rPr>
                <w:rFonts w:eastAsia="MS Mincho" w:cstheme="minorHAnsi"/>
              </w:rPr>
              <w:t xml:space="preserve">dult smokers, aged 18+, smoking 10+ CPD, interested in trying to quit, hospitalised in USA or Canada for acute coronary syndrome (MI or unstable angina). </w:t>
            </w:r>
          </w:p>
          <w:p w14:paraId="1D2A2D55" w14:textId="538E0E0D" w:rsidR="00A4346C" w:rsidRPr="00017AE6" w:rsidRDefault="00A4346C" w:rsidP="00A71365">
            <w:pPr>
              <w:pStyle w:val="Tablewriting"/>
              <w:rPr>
                <w:rFonts w:eastAsia="MS Mincho" w:cstheme="minorHAnsi"/>
              </w:rPr>
            </w:pPr>
            <w:r w:rsidRPr="00017AE6">
              <w:rPr>
                <w:rFonts w:eastAsia="MS Mincho" w:cstheme="minorHAnsi"/>
              </w:rPr>
              <w:t>Mean age 55, 25% women, mean CPD</w:t>
            </w:r>
          </w:p>
          <w:p w14:paraId="7619E633" w14:textId="0D8CECCA" w:rsidR="00A4346C" w:rsidRPr="00017AE6" w:rsidRDefault="00A4346C" w:rsidP="00A71365">
            <w:pPr>
              <w:pStyle w:val="Tablewriting"/>
              <w:rPr>
                <w:rFonts w:eastAsia="MS Mincho" w:cstheme="minorHAnsi"/>
              </w:rPr>
            </w:pPr>
            <w:r w:rsidRPr="00017AE6">
              <w:rPr>
                <w:rFonts w:eastAsia="MS Mincho" w:cstheme="minorHAnsi"/>
              </w:rPr>
              <w:t>21.5</w:t>
            </w:r>
            <w:r w:rsidR="0072633E">
              <w:rPr>
                <w:rFonts w:eastAsia="MS Mincho" w:cstheme="minorHAnsi"/>
              </w:rPr>
              <w:t>.</w:t>
            </w:r>
          </w:p>
          <w:p w14:paraId="3A01FACC" w14:textId="77777777" w:rsidR="00A4346C" w:rsidRPr="00017AE6" w:rsidRDefault="00A4346C" w:rsidP="00A71365">
            <w:pPr>
              <w:pStyle w:val="Tablewriting"/>
              <w:rPr>
                <w:rFonts w:eastAsia="MS Mincho" w:cstheme="minorHAnsi"/>
              </w:rPr>
            </w:pPr>
          </w:p>
          <w:p w14:paraId="6080B33B" w14:textId="091A2C89" w:rsidR="00C25F5E" w:rsidRPr="00017AE6" w:rsidRDefault="00A4346C" w:rsidP="00A71365">
            <w:pPr>
              <w:pStyle w:val="Tablewriting"/>
              <w:rPr>
                <w:rFonts w:eastAsia="MS Mincho" w:cstheme="minorHAnsi"/>
              </w:rPr>
            </w:pPr>
            <w:r w:rsidRPr="00A003A9">
              <w:rPr>
                <w:rFonts w:eastAsia="MS Mincho" w:cstheme="minorHAnsi"/>
                <w:u w:val="single"/>
              </w:rPr>
              <w:t>Exclusions:</w:t>
            </w:r>
            <w:r w:rsidRPr="00017AE6">
              <w:rPr>
                <w:rFonts w:eastAsia="MS Mincho" w:cstheme="minorHAnsi"/>
              </w:rPr>
              <w:t xml:space="preserve"> </w:t>
            </w:r>
            <w:r w:rsidR="00635334">
              <w:rPr>
                <w:rFonts w:eastAsia="MS Mincho" w:cstheme="minorHAnsi"/>
              </w:rPr>
              <w:t>e</w:t>
            </w:r>
            <w:r w:rsidRPr="00017AE6">
              <w:rPr>
                <w:rFonts w:eastAsia="MS Mincho" w:cstheme="minorHAnsi"/>
              </w:rPr>
              <w:t xml:space="preserve">xcessive alcohol, history of panic disorder, psychosis, bipolar disease, </w:t>
            </w:r>
            <w:r w:rsidRPr="00017AE6">
              <w:rPr>
                <w:rFonts w:eastAsia="MS Mincho" w:cstheme="minorHAnsi"/>
              </w:rPr>
              <w:lastRenderedPageBreak/>
              <w:t>dementia, renal or</w:t>
            </w:r>
            <w:r w:rsidR="00A003A9">
              <w:rPr>
                <w:rFonts w:eastAsia="MS Mincho" w:cstheme="minorHAnsi"/>
              </w:rPr>
              <w:t xml:space="preserve"> </w:t>
            </w:r>
            <w:r w:rsidRPr="00017AE6">
              <w:rPr>
                <w:rFonts w:eastAsia="MS Mincho" w:cstheme="minorHAnsi"/>
              </w:rPr>
              <w:t>hepatic impairment, current or recent drug use, history of suicidal ideation/attempt or family history of</w:t>
            </w:r>
            <w:r w:rsidR="00A003A9">
              <w:rPr>
                <w:rFonts w:eastAsia="MS Mincho" w:cstheme="minorHAnsi"/>
              </w:rPr>
              <w:t xml:space="preserve"> </w:t>
            </w:r>
            <w:r w:rsidRPr="00017AE6">
              <w:rPr>
                <w:rFonts w:eastAsia="MS Mincho" w:cstheme="minorHAnsi"/>
              </w:rPr>
              <w:t>suicide</w:t>
            </w:r>
            <w:r w:rsidR="00A003A9">
              <w:rPr>
                <w:rFonts w:eastAsia="MS Mincho" w:cstheme="minorHAnsi"/>
              </w:rPr>
              <w:t>.</w:t>
            </w:r>
          </w:p>
        </w:tc>
        <w:tc>
          <w:tcPr>
            <w:tcW w:w="1054" w:type="pct"/>
          </w:tcPr>
          <w:p w14:paraId="21E447D9" w14:textId="3E8234AF" w:rsidR="00187876" w:rsidRPr="00017AE6" w:rsidRDefault="00187876" w:rsidP="00C324F3">
            <w:pPr>
              <w:pStyle w:val="Tablewriting"/>
              <w:numPr>
                <w:ilvl w:val="0"/>
                <w:numId w:val="67"/>
              </w:numPr>
              <w:rPr>
                <w:rFonts w:eastAsia="MS Mincho" w:cstheme="minorHAnsi"/>
              </w:rPr>
            </w:pPr>
            <w:r w:rsidRPr="00017AE6">
              <w:rPr>
                <w:rFonts w:eastAsia="MS Mincho" w:cstheme="minorHAnsi"/>
              </w:rPr>
              <w:lastRenderedPageBreak/>
              <w:t xml:space="preserve">Varenicline </w:t>
            </w:r>
            <w:r w:rsidR="006746E1">
              <w:rPr>
                <w:rFonts w:eastAsia="MS Mincho" w:cstheme="minorHAnsi"/>
              </w:rPr>
              <w:t xml:space="preserve">for </w:t>
            </w:r>
            <w:r w:rsidRPr="00017AE6">
              <w:rPr>
                <w:rFonts w:eastAsia="MS Mincho" w:cstheme="minorHAnsi"/>
              </w:rPr>
              <w:t>12 w</w:t>
            </w:r>
            <w:r w:rsidR="000A341A">
              <w:rPr>
                <w:rFonts w:eastAsia="MS Mincho" w:cstheme="minorHAnsi"/>
              </w:rPr>
              <w:t>ee</w:t>
            </w:r>
            <w:r w:rsidRPr="00017AE6">
              <w:rPr>
                <w:rFonts w:eastAsia="MS Mincho" w:cstheme="minorHAnsi"/>
              </w:rPr>
              <w:t>ks, titrated 1st w</w:t>
            </w:r>
            <w:r w:rsidR="000A341A">
              <w:rPr>
                <w:rFonts w:eastAsia="MS Mincho" w:cstheme="minorHAnsi"/>
              </w:rPr>
              <w:t>ee</w:t>
            </w:r>
            <w:r w:rsidRPr="00017AE6">
              <w:rPr>
                <w:rFonts w:eastAsia="MS Mincho" w:cstheme="minorHAnsi"/>
              </w:rPr>
              <w:t>k</w:t>
            </w:r>
            <w:r w:rsidR="0081161D">
              <w:rPr>
                <w:rFonts w:eastAsia="MS Mincho" w:cstheme="minorHAnsi"/>
              </w:rPr>
              <w:t>.</w:t>
            </w:r>
          </w:p>
          <w:p w14:paraId="5C5DAA9E" w14:textId="16C42E63" w:rsidR="000A341A" w:rsidRDefault="0081161D" w:rsidP="00C324F3">
            <w:pPr>
              <w:pStyle w:val="Tablewriting"/>
              <w:numPr>
                <w:ilvl w:val="0"/>
                <w:numId w:val="67"/>
              </w:numPr>
              <w:rPr>
                <w:rFonts w:eastAsia="MS Mincho" w:cstheme="minorHAnsi"/>
              </w:rPr>
            </w:pPr>
            <w:r w:rsidRPr="0081161D">
              <w:rPr>
                <w:rFonts w:eastAsia="MS Mincho" w:cstheme="minorHAnsi"/>
              </w:rPr>
              <w:t xml:space="preserve">Placebo </w:t>
            </w:r>
            <w:r w:rsidR="006746E1">
              <w:rPr>
                <w:rFonts w:eastAsia="MS Mincho" w:cstheme="minorHAnsi"/>
              </w:rPr>
              <w:t xml:space="preserve">for </w:t>
            </w:r>
            <w:r w:rsidRPr="0081161D">
              <w:rPr>
                <w:rFonts w:eastAsia="MS Mincho" w:cstheme="minorHAnsi"/>
              </w:rPr>
              <w:t>12 weeks</w:t>
            </w:r>
            <w:r w:rsidR="00A10BC2">
              <w:rPr>
                <w:rFonts w:eastAsia="MS Mincho" w:cstheme="minorHAnsi"/>
              </w:rPr>
              <w:t xml:space="preserve">, </w:t>
            </w:r>
            <w:r w:rsidR="00187876" w:rsidRPr="0081161D">
              <w:rPr>
                <w:rFonts w:eastAsia="MS Mincho" w:cstheme="minorHAnsi"/>
              </w:rPr>
              <w:t>titrated 1st w</w:t>
            </w:r>
            <w:r w:rsidR="000A341A" w:rsidRPr="0081161D">
              <w:rPr>
                <w:rFonts w:eastAsia="MS Mincho" w:cstheme="minorHAnsi"/>
              </w:rPr>
              <w:t>ee</w:t>
            </w:r>
            <w:r w:rsidR="00187876" w:rsidRPr="0081161D">
              <w:rPr>
                <w:rFonts w:eastAsia="MS Mincho" w:cstheme="minorHAnsi"/>
              </w:rPr>
              <w:t>k</w:t>
            </w:r>
            <w:r>
              <w:rPr>
                <w:rFonts w:eastAsia="MS Mincho" w:cstheme="minorHAnsi"/>
              </w:rPr>
              <w:t>.</w:t>
            </w:r>
          </w:p>
          <w:p w14:paraId="214B97DE" w14:textId="77777777" w:rsidR="0081161D" w:rsidRPr="0081161D" w:rsidRDefault="0081161D" w:rsidP="00A71365">
            <w:pPr>
              <w:pStyle w:val="Tablewriting"/>
              <w:rPr>
                <w:rFonts w:eastAsia="MS Mincho" w:cstheme="minorHAnsi"/>
              </w:rPr>
            </w:pPr>
          </w:p>
          <w:p w14:paraId="4F2657BD" w14:textId="5ABA1072" w:rsidR="00187876" w:rsidRPr="00017AE6" w:rsidRDefault="00C94702"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187876" w:rsidRPr="00017AE6">
              <w:rPr>
                <w:rFonts w:eastAsia="MS Mincho" w:cstheme="minorHAnsi"/>
              </w:rPr>
              <w:t>Medication was begun in hospital. All participants received low-intensity counselling</w:t>
            </w:r>
            <w:r w:rsidR="00A10BC2">
              <w:rPr>
                <w:rFonts w:eastAsia="MS Mincho" w:cstheme="minorHAnsi"/>
              </w:rPr>
              <w:t>.</w:t>
            </w:r>
          </w:p>
          <w:p w14:paraId="4468C2C3" w14:textId="6F4470FC" w:rsidR="00C25F5E" w:rsidRPr="00017AE6" w:rsidRDefault="00187876" w:rsidP="00A71365">
            <w:pPr>
              <w:pStyle w:val="Tablewriting"/>
              <w:rPr>
                <w:rFonts w:eastAsia="MS Mincho" w:cstheme="minorHAnsi"/>
              </w:rPr>
            </w:pPr>
            <w:r w:rsidRPr="00017AE6">
              <w:rPr>
                <w:rFonts w:eastAsia="MS Mincho" w:cstheme="minorHAnsi"/>
              </w:rPr>
              <w:t>Follow-up at w</w:t>
            </w:r>
            <w:r w:rsidR="00C94702">
              <w:rPr>
                <w:rFonts w:eastAsia="MS Mincho" w:cstheme="minorHAnsi"/>
              </w:rPr>
              <w:t>ee</w:t>
            </w:r>
            <w:r w:rsidRPr="00017AE6">
              <w:rPr>
                <w:rFonts w:eastAsia="MS Mincho" w:cstheme="minorHAnsi"/>
              </w:rPr>
              <w:t>ks 1, 2 and 8 by phone, and clinic visits at w</w:t>
            </w:r>
            <w:r w:rsidR="00C94702">
              <w:rPr>
                <w:rFonts w:eastAsia="MS Mincho" w:cstheme="minorHAnsi"/>
              </w:rPr>
              <w:t>ee</w:t>
            </w:r>
            <w:r w:rsidRPr="00017AE6">
              <w:rPr>
                <w:rFonts w:eastAsia="MS Mincho" w:cstheme="minorHAnsi"/>
              </w:rPr>
              <w:t>ks 4, 12 and 24</w:t>
            </w:r>
            <w:r w:rsidR="00C94702">
              <w:rPr>
                <w:rFonts w:eastAsia="MS Mincho" w:cstheme="minorHAnsi"/>
              </w:rPr>
              <w:t>.</w:t>
            </w:r>
          </w:p>
        </w:tc>
        <w:tc>
          <w:tcPr>
            <w:tcW w:w="959" w:type="pct"/>
          </w:tcPr>
          <w:p w14:paraId="0191D803" w14:textId="77777777" w:rsidR="00427628" w:rsidRDefault="00427628" w:rsidP="00A71365">
            <w:pPr>
              <w:pStyle w:val="Tablewriting"/>
              <w:rPr>
                <w:rFonts w:eastAsia="MS Mincho" w:cstheme="minorHAnsi"/>
              </w:rPr>
            </w:pPr>
            <w:r w:rsidRPr="00427628">
              <w:rPr>
                <w:rFonts w:eastAsia="MS Mincho" w:cstheme="minorHAnsi"/>
                <w:u w:val="single"/>
              </w:rPr>
              <w:t>Efficacy:</w:t>
            </w:r>
            <w:r>
              <w:rPr>
                <w:rFonts w:eastAsia="MS Mincho" w:cstheme="minorHAnsi"/>
              </w:rPr>
              <w:t xml:space="preserve"> </w:t>
            </w:r>
          </w:p>
          <w:p w14:paraId="23AB8AC4" w14:textId="505D63A2" w:rsidR="00A76D1A" w:rsidRPr="00017AE6" w:rsidRDefault="00A76D1A" w:rsidP="00A71365">
            <w:pPr>
              <w:pStyle w:val="Tablewriting"/>
              <w:rPr>
                <w:rFonts w:eastAsia="MS Mincho" w:cstheme="minorHAnsi"/>
              </w:rPr>
            </w:pPr>
            <w:r w:rsidRPr="00017AE6">
              <w:rPr>
                <w:rFonts w:eastAsia="MS Mincho" w:cstheme="minorHAnsi"/>
              </w:rPr>
              <w:t>Primary: 7-day PPA at w</w:t>
            </w:r>
            <w:r w:rsidR="00427628">
              <w:rPr>
                <w:rFonts w:eastAsia="MS Mincho" w:cstheme="minorHAnsi"/>
              </w:rPr>
              <w:t>ee</w:t>
            </w:r>
            <w:r w:rsidRPr="00017AE6">
              <w:rPr>
                <w:rFonts w:eastAsia="MS Mincho" w:cstheme="minorHAnsi"/>
              </w:rPr>
              <w:t>k 24</w:t>
            </w:r>
            <w:r w:rsidR="0015251C">
              <w:rPr>
                <w:rFonts w:eastAsia="MS Mincho" w:cstheme="minorHAnsi"/>
              </w:rPr>
              <w:t>;</w:t>
            </w:r>
          </w:p>
          <w:p w14:paraId="06F757AD" w14:textId="174C9183" w:rsidR="00A76D1A" w:rsidRDefault="00A76D1A" w:rsidP="00A71365">
            <w:pPr>
              <w:pStyle w:val="Tablewriting"/>
              <w:rPr>
                <w:rFonts w:eastAsia="MS Mincho" w:cstheme="minorHAnsi"/>
              </w:rPr>
            </w:pPr>
            <w:r w:rsidRPr="00017AE6">
              <w:rPr>
                <w:rFonts w:eastAsia="MS Mincho" w:cstheme="minorHAnsi"/>
              </w:rPr>
              <w:t xml:space="preserve">Secondary: CAR at all follow-up visits, 7-day PPA at other follow-up visits, </w:t>
            </w:r>
            <w:r w:rsidR="00625D04" w:rsidRPr="00625D04">
              <w:rPr>
                <w:rFonts w:eastAsia="MS Mincho" w:cstheme="minorHAnsi"/>
              </w:rPr>
              <w:t>≥</w:t>
            </w:r>
            <w:r w:rsidRPr="00017AE6">
              <w:rPr>
                <w:rFonts w:eastAsia="MS Mincho" w:cstheme="minorHAnsi"/>
              </w:rPr>
              <w:t xml:space="preserve"> 50% reduction in CPD</w:t>
            </w:r>
            <w:r w:rsidR="0081161D">
              <w:rPr>
                <w:rFonts w:eastAsia="MS Mincho" w:cstheme="minorHAnsi"/>
              </w:rPr>
              <w:t>.</w:t>
            </w:r>
          </w:p>
          <w:p w14:paraId="11D3A069" w14:textId="77777777" w:rsidR="00284CA0" w:rsidRDefault="00284CA0" w:rsidP="00A71365">
            <w:pPr>
              <w:pStyle w:val="Tablewriting"/>
              <w:rPr>
                <w:rFonts w:eastAsia="MS Mincho" w:cstheme="minorHAnsi"/>
              </w:rPr>
            </w:pPr>
          </w:p>
          <w:p w14:paraId="119D87C7" w14:textId="2383C970" w:rsidR="00284CA0" w:rsidRPr="00017AE6" w:rsidRDefault="00284CA0" w:rsidP="00A71365">
            <w:pPr>
              <w:pStyle w:val="Tablewriting"/>
              <w:rPr>
                <w:rFonts w:eastAsia="MS Mincho" w:cstheme="minorHAnsi"/>
              </w:rPr>
            </w:pPr>
            <w:r w:rsidRPr="00017AE6">
              <w:rPr>
                <w:rFonts w:eastAsia="MS Mincho" w:cstheme="minorHAnsi"/>
              </w:rPr>
              <w:t xml:space="preserve">Validation: CO </w:t>
            </w:r>
            <w:r w:rsidRPr="00271874">
              <w:rPr>
                <w:rFonts w:eastAsia="MS Mincho" w:cstheme="minorHAnsi"/>
              </w:rPr>
              <w:t>≤</w:t>
            </w:r>
            <w:r w:rsidRPr="00017AE6">
              <w:rPr>
                <w:rFonts w:eastAsia="MS Mincho" w:cstheme="minorHAnsi"/>
              </w:rPr>
              <w:t xml:space="preserve"> 10 ppm</w:t>
            </w:r>
          </w:p>
          <w:p w14:paraId="7048F440" w14:textId="77777777" w:rsidR="00764EE4" w:rsidRDefault="00764EE4" w:rsidP="00A71365">
            <w:pPr>
              <w:pStyle w:val="Tablewriting"/>
              <w:rPr>
                <w:rFonts w:eastAsia="MS Mincho" w:cstheme="minorHAnsi"/>
              </w:rPr>
            </w:pPr>
          </w:p>
          <w:p w14:paraId="59EB2C7D" w14:textId="6F76FF84" w:rsidR="00A76D1A" w:rsidRPr="00017AE6" w:rsidRDefault="00764EE4" w:rsidP="00A71365">
            <w:pPr>
              <w:pStyle w:val="Tablewriting"/>
              <w:rPr>
                <w:rFonts w:eastAsia="MS Mincho" w:cstheme="minorHAnsi"/>
              </w:rPr>
            </w:pPr>
            <w:r w:rsidRPr="00764EE4">
              <w:rPr>
                <w:rFonts w:eastAsia="MS Mincho" w:cstheme="minorHAnsi"/>
                <w:u w:val="single"/>
              </w:rPr>
              <w:t>Safety:</w:t>
            </w:r>
            <w:r>
              <w:rPr>
                <w:rFonts w:eastAsia="MS Mincho" w:cstheme="minorHAnsi"/>
              </w:rPr>
              <w:t xml:space="preserve"> m</w:t>
            </w:r>
            <w:r w:rsidR="00A76D1A" w:rsidRPr="00017AE6">
              <w:rPr>
                <w:rFonts w:eastAsia="MS Mincho" w:cstheme="minorHAnsi"/>
              </w:rPr>
              <w:t>easures of side effects and SAEs</w:t>
            </w:r>
            <w:r w:rsidR="0081161D">
              <w:rPr>
                <w:rFonts w:eastAsia="MS Mincho" w:cstheme="minorHAnsi"/>
              </w:rPr>
              <w:t>.</w:t>
            </w:r>
          </w:p>
          <w:p w14:paraId="2801E67C" w14:textId="77777777" w:rsidR="00764EE4" w:rsidRDefault="00764EE4" w:rsidP="00A71365">
            <w:pPr>
              <w:pStyle w:val="Tablewriting"/>
              <w:rPr>
                <w:rFonts w:eastAsia="MS Mincho" w:cstheme="minorHAnsi"/>
              </w:rPr>
            </w:pPr>
          </w:p>
          <w:p w14:paraId="02049500" w14:textId="7450E072" w:rsidR="00C25F5E" w:rsidRPr="00017AE6" w:rsidRDefault="00C25F5E" w:rsidP="00A71365">
            <w:pPr>
              <w:pStyle w:val="Tablewriting"/>
              <w:rPr>
                <w:rFonts w:eastAsia="MS Mincho" w:cstheme="minorHAnsi"/>
              </w:rPr>
            </w:pPr>
          </w:p>
        </w:tc>
      </w:tr>
      <w:tr w:rsidR="003D3459" w:rsidRPr="00017AE6" w14:paraId="078313D2" w14:textId="77777777" w:rsidTr="005821B1">
        <w:trPr>
          <w:trHeight w:val="99"/>
        </w:trPr>
        <w:tc>
          <w:tcPr>
            <w:tcW w:w="761" w:type="pct"/>
          </w:tcPr>
          <w:p w14:paraId="77ACC87F" w14:textId="6F3B75E8" w:rsidR="00C25F5E" w:rsidRPr="00017AE6" w:rsidRDefault="00C25F5E" w:rsidP="00A71365">
            <w:pPr>
              <w:pStyle w:val="Tablewriting"/>
              <w:rPr>
                <w:rFonts w:eastAsia="MS Mincho" w:cstheme="minorHAnsi"/>
              </w:rPr>
            </w:pPr>
            <w:r w:rsidRPr="00017AE6">
              <w:rPr>
                <w:rFonts w:eastAsia="MS Mincho" w:cstheme="minorHAnsi"/>
              </w:rPr>
              <w:t xml:space="preserve">Evins </w:t>
            </w:r>
            <w:r w:rsidR="00F143BB">
              <w:rPr>
                <w:rFonts w:eastAsia="MS Mincho" w:cstheme="minorHAnsi"/>
              </w:rPr>
              <w:t>(</w:t>
            </w:r>
            <w:r w:rsidRPr="00017AE6">
              <w:rPr>
                <w:rFonts w:eastAsia="MS Mincho" w:cstheme="minorHAnsi"/>
              </w:rPr>
              <w:t>2014</w:t>
            </w:r>
            <w:r w:rsidR="00F143BB">
              <w:rPr>
                <w:rFonts w:eastAsia="MS Mincho" w:cstheme="minorHAnsi"/>
              </w:rPr>
              <w:t>)</w:t>
            </w:r>
          </w:p>
        </w:tc>
        <w:tc>
          <w:tcPr>
            <w:tcW w:w="235" w:type="pct"/>
          </w:tcPr>
          <w:p w14:paraId="3A94A926" w14:textId="49CEED0E"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7429D7C4" w14:textId="69B78F65" w:rsidR="00C25F5E" w:rsidRPr="00017AE6" w:rsidRDefault="00A76D1A" w:rsidP="00A71365">
            <w:pPr>
              <w:pStyle w:val="Tablewriting"/>
              <w:rPr>
                <w:rFonts w:eastAsia="MS Mincho" w:cstheme="minorHAnsi"/>
              </w:rPr>
            </w:pPr>
            <w:r w:rsidRPr="00017AE6">
              <w:rPr>
                <w:rFonts w:eastAsia="MS Mincho" w:cstheme="minorHAnsi"/>
              </w:rPr>
              <w:t>USA</w:t>
            </w:r>
          </w:p>
        </w:tc>
        <w:tc>
          <w:tcPr>
            <w:tcW w:w="679" w:type="pct"/>
          </w:tcPr>
          <w:p w14:paraId="40E141C0" w14:textId="211D9403" w:rsidR="00C25F5E" w:rsidRDefault="00C25F5E" w:rsidP="00A71365">
            <w:pPr>
              <w:pStyle w:val="Tablewriting"/>
              <w:rPr>
                <w:rFonts w:eastAsia="MS Mincho" w:cstheme="minorHAnsi"/>
              </w:rPr>
            </w:pPr>
            <w:r w:rsidRPr="00017AE6">
              <w:rPr>
                <w:rFonts w:eastAsia="MS Mincho" w:cstheme="minorHAnsi"/>
              </w:rPr>
              <w:t>N=</w:t>
            </w:r>
            <w:r w:rsidR="00DC63C5">
              <w:rPr>
                <w:rFonts w:eastAsia="MS Mincho" w:cstheme="minorHAnsi"/>
              </w:rPr>
              <w:t>87</w:t>
            </w:r>
            <w:r w:rsidR="005F1779">
              <w:rPr>
                <w:rFonts w:eastAsia="MS Mincho" w:cstheme="minorHAnsi"/>
              </w:rPr>
              <w:t xml:space="preserve">; n=40 </w:t>
            </w:r>
            <w:r w:rsidR="0072315F">
              <w:rPr>
                <w:rFonts w:eastAsia="MS Mincho" w:cstheme="minorHAnsi"/>
              </w:rPr>
              <w:t>(</w:t>
            </w:r>
            <w:r w:rsidR="0072315F" w:rsidRPr="00017AE6">
              <w:rPr>
                <w:rFonts w:eastAsia="MS Mincho" w:cstheme="minorHAnsi"/>
              </w:rPr>
              <w:t>varenicline</w:t>
            </w:r>
            <w:r w:rsidR="005F1779" w:rsidRPr="00017AE6">
              <w:rPr>
                <w:rFonts w:eastAsia="MS Mincho" w:cstheme="minorHAnsi"/>
              </w:rPr>
              <w:t>)</w:t>
            </w:r>
            <w:r w:rsidR="005F1779">
              <w:rPr>
                <w:rFonts w:eastAsia="MS Mincho" w:cstheme="minorHAnsi"/>
              </w:rPr>
              <w:t>, n=47 (</w:t>
            </w:r>
            <w:r w:rsidR="005F1779" w:rsidRPr="00017AE6">
              <w:rPr>
                <w:rFonts w:eastAsia="MS Mincho" w:cstheme="minorHAnsi"/>
              </w:rPr>
              <w:t>control</w:t>
            </w:r>
            <w:r w:rsidR="005F1779">
              <w:rPr>
                <w:rFonts w:eastAsia="MS Mincho" w:cstheme="minorHAnsi"/>
              </w:rPr>
              <w:t>)</w:t>
            </w:r>
            <w:r w:rsidR="005F1779" w:rsidRPr="00017AE6">
              <w:rPr>
                <w:rFonts w:eastAsia="MS Mincho" w:cstheme="minorHAnsi"/>
              </w:rPr>
              <w:t>.</w:t>
            </w:r>
          </w:p>
          <w:p w14:paraId="65AF27C4" w14:textId="77777777" w:rsidR="0072315F" w:rsidRDefault="0072315F" w:rsidP="00A71365">
            <w:pPr>
              <w:pStyle w:val="Tablewriting"/>
              <w:rPr>
                <w:rFonts w:eastAsia="MS Mincho" w:cstheme="minorHAnsi"/>
              </w:rPr>
            </w:pPr>
          </w:p>
          <w:p w14:paraId="0447668E" w14:textId="1F783CCC" w:rsidR="00C25F5E" w:rsidRPr="00017AE6" w:rsidRDefault="0072315F" w:rsidP="00A71365">
            <w:pPr>
              <w:pStyle w:val="Tablewriting"/>
              <w:rPr>
                <w:rFonts w:eastAsia="MS Mincho" w:cstheme="minorHAnsi"/>
              </w:rPr>
            </w:pPr>
            <w:r w:rsidRPr="5803FEE1">
              <w:rPr>
                <w:rFonts w:eastAsia="MS Mincho" w:cstheme="minorBidi"/>
              </w:rPr>
              <w:t xml:space="preserve">87 </w:t>
            </w:r>
            <w:r w:rsidR="00376372">
              <w:rPr>
                <w:rFonts w:eastAsia="MS Mincho" w:cstheme="minorBidi"/>
              </w:rPr>
              <w:t xml:space="preserve">out of 247 </w:t>
            </w:r>
            <w:r w:rsidRPr="5803FEE1">
              <w:rPr>
                <w:rFonts w:eastAsia="MS Mincho" w:cstheme="minorBidi"/>
              </w:rPr>
              <w:t>of whom met the abstinence criteria after 12 weeks of open-label</w:t>
            </w:r>
            <w:r w:rsidR="00FB086A">
              <w:rPr>
                <w:rFonts w:eastAsia="MS Mincho" w:cstheme="minorBidi"/>
              </w:rPr>
              <w:t xml:space="preserve"> </w:t>
            </w:r>
            <w:r w:rsidRPr="5803FEE1">
              <w:rPr>
                <w:rFonts w:eastAsia="MS Mincho" w:cstheme="minorBidi"/>
              </w:rPr>
              <w:t>varenicline to enter this relapse prevention trial.</w:t>
            </w:r>
          </w:p>
        </w:tc>
        <w:tc>
          <w:tcPr>
            <w:tcW w:w="851" w:type="pct"/>
          </w:tcPr>
          <w:p w14:paraId="79A212F8" w14:textId="49D6F068" w:rsidR="002F4C36" w:rsidRDefault="00B82935" w:rsidP="00A71365">
            <w:pPr>
              <w:pStyle w:val="Tablewriting"/>
              <w:rPr>
                <w:rFonts w:eastAsia="MS Mincho" w:cstheme="minorBidi"/>
              </w:rPr>
            </w:pPr>
            <w:r w:rsidRPr="5803FEE1">
              <w:rPr>
                <w:rFonts w:eastAsia="MS Mincho" w:cstheme="minorBidi"/>
              </w:rPr>
              <w:t>O</w:t>
            </w:r>
            <w:r w:rsidR="008D2D06" w:rsidRPr="5803FEE1">
              <w:rPr>
                <w:rFonts w:eastAsia="MS Mincho" w:cstheme="minorBidi"/>
              </w:rPr>
              <w:t>utpatient smokers with schizophrenia, schizoaffective or bipolar disorder,</w:t>
            </w:r>
            <w:r w:rsidR="002F4C36" w:rsidRPr="5803FEE1">
              <w:rPr>
                <w:rFonts w:eastAsia="MS Mincho" w:cstheme="minorBidi"/>
              </w:rPr>
              <w:t xml:space="preserve"> </w:t>
            </w:r>
            <w:r w:rsidR="008D2D06" w:rsidRPr="5803FEE1">
              <w:rPr>
                <w:rFonts w:eastAsia="MS Mincho" w:cstheme="minorBidi"/>
              </w:rPr>
              <w:t xml:space="preserve">aged 18 </w:t>
            </w:r>
            <w:r w:rsidR="002F4C36" w:rsidRPr="5803FEE1">
              <w:rPr>
                <w:rFonts w:eastAsia="MS Mincho" w:cstheme="minorBidi"/>
              </w:rPr>
              <w:t>–</w:t>
            </w:r>
            <w:r w:rsidR="008D2D06" w:rsidRPr="5803FEE1">
              <w:rPr>
                <w:rFonts w:eastAsia="MS Mincho" w:cstheme="minorBidi"/>
              </w:rPr>
              <w:t xml:space="preserve"> 70</w:t>
            </w:r>
            <w:r w:rsidR="002F4C36" w:rsidRPr="5803FEE1">
              <w:rPr>
                <w:rFonts w:eastAsia="MS Mincho" w:cstheme="minorBidi"/>
              </w:rPr>
              <w:t xml:space="preserve"> years</w:t>
            </w:r>
            <w:r w:rsidR="008D2D06" w:rsidRPr="5803FEE1">
              <w:rPr>
                <w:rFonts w:eastAsia="MS Mincho" w:cstheme="minorBidi"/>
              </w:rPr>
              <w:t>, CPD 10+</w:t>
            </w:r>
            <w:r w:rsidR="0072315F">
              <w:rPr>
                <w:rFonts w:eastAsia="MS Mincho" w:cstheme="minorBidi"/>
              </w:rPr>
              <w:t>.</w:t>
            </w:r>
          </w:p>
          <w:p w14:paraId="31BD6CC7" w14:textId="77777777" w:rsidR="005F1779" w:rsidRDefault="005F1779" w:rsidP="00A71365">
            <w:pPr>
              <w:pStyle w:val="Tablewriting"/>
              <w:rPr>
                <w:rFonts w:eastAsia="MS Mincho" w:cstheme="minorHAnsi"/>
              </w:rPr>
            </w:pPr>
          </w:p>
          <w:p w14:paraId="4235FBE0" w14:textId="69DC17CD" w:rsidR="00C25F5E" w:rsidRPr="009E2A27" w:rsidRDefault="008D2D06" w:rsidP="00A71365">
            <w:pPr>
              <w:pStyle w:val="Tablewriting"/>
              <w:rPr>
                <w:rFonts w:eastAsia="MS Mincho" w:cstheme="minorBidi"/>
              </w:rPr>
            </w:pPr>
            <w:r w:rsidRPr="5803FEE1">
              <w:rPr>
                <w:rFonts w:eastAsia="MS Mincho" w:cstheme="minorBidi"/>
              </w:rPr>
              <w:t>Mean age 48, 37% women, 74% white,</w:t>
            </w:r>
            <w:r w:rsidR="009E2A27">
              <w:rPr>
                <w:rFonts w:eastAsia="MS Mincho" w:cstheme="minorBidi"/>
              </w:rPr>
              <w:t xml:space="preserve"> </w:t>
            </w:r>
            <w:r w:rsidRPr="00017AE6">
              <w:rPr>
                <w:rFonts w:eastAsia="MS Mincho" w:cstheme="minorHAnsi"/>
              </w:rPr>
              <w:t>mean FTND 5.9, mean CPD 23.2</w:t>
            </w:r>
            <w:r w:rsidR="005F1779">
              <w:rPr>
                <w:rFonts w:eastAsia="MS Mincho" w:cstheme="minorHAnsi"/>
              </w:rPr>
              <w:t>.</w:t>
            </w:r>
          </w:p>
        </w:tc>
        <w:tc>
          <w:tcPr>
            <w:tcW w:w="1054" w:type="pct"/>
          </w:tcPr>
          <w:p w14:paraId="1ED14D39" w14:textId="5E8C4FD5" w:rsidR="0076402A" w:rsidRDefault="008D2D06" w:rsidP="00C324F3">
            <w:pPr>
              <w:pStyle w:val="Tablewriting"/>
              <w:numPr>
                <w:ilvl w:val="0"/>
                <w:numId w:val="69"/>
              </w:numPr>
              <w:rPr>
                <w:rFonts w:eastAsia="MS Mincho" w:cstheme="minorHAnsi"/>
              </w:rPr>
            </w:pPr>
            <w:r w:rsidRPr="00017AE6">
              <w:rPr>
                <w:rFonts w:eastAsia="MS Mincho" w:cstheme="minorHAnsi"/>
              </w:rPr>
              <w:t>Varenicline 1 mg x 2/day for a further 40 w</w:t>
            </w:r>
            <w:r w:rsidR="0076402A">
              <w:rPr>
                <w:rFonts w:eastAsia="MS Mincho" w:cstheme="minorHAnsi"/>
              </w:rPr>
              <w:t>ee</w:t>
            </w:r>
            <w:r w:rsidRPr="00017AE6">
              <w:rPr>
                <w:rFonts w:eastAsia="MS Mincho" w:cstheme="minorHAnsi"/>
              </w:rPr>
              <w:t>ks, +</w:t>
            </w:r>
            <w:r w:rsidR="0076402A">
              <w:rPr>
                <w:rFonts w:eastAsia="MS Mincho" w:cstheme="minorHAnsi"/>
              </w:rPr>
              <w:t xml:space="preserve"> </w:t>
            </w:r>
            <w:r w:rsidRPr="00017AE6">
              <w:rPr>
                <w:rFonts w:eastAsia="MS Mincho" w:cstheme="minorHAnsi"/>
              </w:rPr>
              <w:t>tapered CBT</w:t>
            </w:r>
            <w:r w:rsidR="0076402A">
              <w:rPr>
                <w:rFonts w:eastAsia="MS Mincho" w:cstheme="minorHAnsi"/>
              </w:rPr>
              <w:t xml:space="preserve"> </w:t>
            </w:r>
            <w:r w:rsidRPr="00017AE6">
              <w:rPr>
                <w:rFonts w:eastAsia="MS Mincho" w:cstheme="minorHAnsi"/>
              </w:rPr>
              <w:t>relapse prevention</w:t>
            </w:r>
            <w:r w:rsidR="0076402A">
              <w:rPr>
                <w:rFonts w:eastAsia="MS Mincho" w:cstheme="minorHAnsi"/>
              </w:rPr>
              <w:t xml:space="preserve"> </w:t>
            </w:r>
            <w:r w:rsidRPr="00017AE6">
              <w:rPr>
                <w:rFonts w:eastAsia="MS Mincho" w:cstheme="minorHAnsi"/>
              </w:rPr>
              <w:t>counselling</w:t>
            </w:r>
            <w:r w:rsidR="0076402A">
              <w:rPr>
                <w:rFonts w:eastAsia="MS Mincho" w:cstheme="minorHAnsi"/>
              </w:rPr>
              <w:t>.</w:t>
            </w:r>
          </w:p>
          <w:p w14:paraId="32DBA191" w14:textId="6735AB8A" w:rsidR="00C25F5E" w:rsidRPr="0076402A" w:rsidRDefault="008D2D06" w:rsidP="00C324F3">
            <w:pPr>
              <w:pStyle w:val="Tablewriting"/>
              <w:numPr>
                <w:ilvl w:val="0"/>
                <w:numId w:val="68"/>
              </w:numPr>
              <w:rPr>
                <w:rFonts w:eastAsia="MS Mincho" w:cstheme="minorHAnsi"/>
              </w:rPr>
            </w:pPr>
            <w:r w:rsidRPr="00017AE6">
              <w:rPr>
                <w:rFonts w:eastAsia="MS Mincho" w:cstheme="minorHAnsi"/>
              </w:rPr>
              <w:t xml:space="preserve">Placebo, same regimen, </w:t>
            </w:r>
            <w:r w:rsidR="004664D2" w:rsidRPr="00017AE6">
              <w:rPr>
                <w:rFonts w:eastAsia="MS Mincho" w:cstheme="minorHAnsi"/>
              </w:rPr>
              <w:t>i.e.,</w:t>
            </w:r>
            <w:r w:rsidRPr="00017AE6">
              <w:rPr>
                <w:rFonts w:eastAsia="MS Mincho" w:cstheme="minorHAnsi"/>
              </w:rPr>
              <w:t xml:space="preserve"> CBT alone</w:t>
            </w:r>
            <w:r w:rsidR="0076402A">
              <w:rPr>
                <w:rFonts w:eastAsia="MS Mincho" w:cstheme="minorHAnsi"/>
              </w:rPr>
              <w:t>.</w:t>
            </w:r>
          </w:p>
          <w:p w14:paraId="47761A7C" w14:textId="77777777" w:rsidR="009B0745" w:rsidRDefault="009B0745" w:rsidP="00A71365">
            <w:pPr>
              <w:pStyle w:val="Tablewriting"/>
              <w:rPr>
                <w:rFonts w:eastAsia="MS Mincho" w:cstheme="minorHAnsi"/>
              </w:rPr>
            </w:pPr>
          </w:p>
          <w:p w14:paraId="18E2E35C" w14:textId="31EE408A" w:rsidR="009B0745" w:rsidRPr="00017AE6" w:rsidRDefault="009B0745"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had received 12 w</w:t>
            </w:r>
            <w:r>
              <w:rPr>
                <w:rFonts w:eastAsia="MS Mincho" w:cstheme="minorHAnsi"/>
              </w:rPr>
              <w:t>ee</w:t>
            </w:r>
            <w:r w:rsidRPr="00017AE6">
              <w:rPr>
                <w:rFonts w:eastAsia="MS Mincho" w:cstheme="minorHAnsi"/>
              </w:rPr>
              <w:t xml:space="preserve">ks open-label </w:t>
            </w:r>
            <w:r w:rsidR="004664D2" w:rsidRPr="00017AE6">
              <w:rPr>
                <w:rFonts w:eastAsia="MS Mincho" w:cstheme="minorHAnsi"/>
              </w:rPr>
              <w:t>varenicline and</w:t>
            </w:r>
            <w:r w:rsidRPr="00017AE6">
              <w:rPr>
                <w:rFonts w:eastAsia="MS Mincho" w:cstheme="minorHAnsi"/>
              </w:rPr>
              <w:t xml:space="preserve"> were confirmed abstinent at w</w:t>
            </w:r>
            <w:r>
              <w:rPr>
                <w:rFonts w:eastAsia="MS Mincho" w:cstheme="minorHAnsi"/>
              </w:rPr>
              <w:t>ee</w:t>
            </w:r>
            <w:r w:rsidRPr="00017AE6">
              <w:rPr>
                <w:rFonts w:eastAsia="MS Mincho" w:cstheme="minorHAnsi"/>
              </w:rPr>
              <w:t>ks 11 and 12</w:t>
            </w:r>
            <w:r w:rsidR="008E094D">
              <w:rPr>
                <w:rFonts w:eastAsia="MS Mincho" w:cstheme="minorHAnsi"/>
              </w:rPr>
              <w:t>.</w:t>
            </w:r>
          </w:p>
          <w:p w14:paraId="2C0C933F" w14:textId="2ED1F378" w:rsidR="00C25F5E" w:rsidRPr="00017AE6" w:rsidRDefault="00C25F5E" w:rsidP="00A71365">
            <w:pPr>
              <w:pStyle w:val="Tablewriting"/>
              <w:rPr>
                <w:rFonts w:eastAsia="MS Mincho" w:cstheme="minorHAnsi"/>
              </w:rPr>
            </w:pPr>
          </w:p>
        </w:tc>
        <w:tc>
          <w:tcPr>
            <w:tcW w:w="959" w:type="pct"/>
          </w:tcPr>
          <w:p w14:paraId="41C13B48" w14:textId="77777777" w:rsidR="00753A8A" w:rsidRDefault="00753A8A" w:rsidP="00A71365">
            <w:pPr>
              <w:pStyle w:val="Tablewriting"/>
              <w:rPr>
                <w:rFonts w:eastAsia="MS Mincho" w:cstheme="minorHAnsi"/>
              </w:rPr>
            </w:pPr>
            <w:r w:rsidRPr="00753A8A">
              <w:rPr>
                <w:rFonts w:eastAsia="MS Mincho" w:cstheme="minorHAnsi"/>
                <w:u w:val="single"/>
              </w:rPr>
              <w:t>Efficacy:</w:t>
            </w:r>
            <w:r>
              <w:rPr>
                <w:rFonts w:eastAsia="MS Mincho" w:cstheme="minorHAnsi"/>
              </w:rPr>
              <w:t xml:space="preserve"> </w:t>
            </w:r>
          </w:p>
          <w:p w14:paraId="24E92285" w14:textId="2DD1450D" w:rsidR="00C25F5E" w:rsidRPr="00017AE6" w:rsidRDefault="008943AF" w:rsidP="00A71365">
            <w:pPr>
              <w:pStyle w:val="Tablewriting"/>
              <w:rPr>
                <w:rFonts w:eastAsia="MS Mincho" w:cstheme="minorHAnsi"/>
              </w:rPr>
            </w:pPr>
            <w:r w:rsidRPr="00017AE6">
              <w:rPr>
                <w:rFonts w:eastAsia="MS Mincho" w:cstheme="minorHAnsi"/>
              </w:rPr>
              <w:t>Primary: 7-day PPA at w</w:t>
            </w:r>
            <w:r w:rsidR="001F3AAE">
              <w:rPr>
                <w:rFonts w:eastAsia="MS Mincho" w:cstheme="minorHAnsi"/>
              </w:rPr>
              <w:t>ee</w:t>
            </w:r>
            <w:r w:rsidRPr="00017AE6">
              <w:rPr>
                <w:rFonts w:eastAsia="MS Mincho" w:cstheme="minorHAnsi"/>
              </w:rPr>
              <w:t>k 52 (12 w</w:t>
            </w:r>
            <w:r w:rsidR="001F3AAE">
              <w:rPr>
                <w:rFonts w:eastAsia="MS Mincho" w:cstheme="minorHAnsi"/>
              </w:rPr>
              <w:t>ee</w:t>
            </w:r>
            <w:r w:rsidRPr="00017AE6">
              <w:rPr>
                <w:rFonts w:eastAsia="MS Mincho" w:cstheme="minorHAnsi"/>
              </w:rPr>
              <w:t>ks cessation treatment + 40 weeks relapse prevention treatment);</w:t>
            </w:r>
          </w:p>
          <w:p w14:paraId="1DC7BCAD" w14:textId="77777777" w:rsidR="00FF6455" w:rsidRDefault="008943AF" w:rsidP="00A71365">
            <w:pPr>
              <w:pStyle w:val="Tablewriting"/>
              <w:rPr>
                <w:rFonts w:eastAsia="MS Mincho" w:cstheme="minorHAnsi"/>
              </w:rPr>
            </w:pPr>
            <w:r w:rsidRPr="00017AE6">
              <w:rPr>
                <w:rFonts w:eastAsia="MS Mincho" w:cstheme="minorHAnsi"/>
              </w:rPr>
              <w:t>Secondary: PPA and CAR at w</w:t>
            </w:r>
            <w:r w:rsidR="001F3AAE">
              <w:rPr>
                <w:rFonts w:eastAsia="MS Mincho" w:cstheme="minorHAnsi"/>
              </w:rPr>
              <w:t>ee</w:t>
            </w:r>
            <w:r w:rsidRPr="00017AE6">
              <w:rPr>
                <w:rFonts w:eastAsia="MS Mincho" w:cstheme="minorHAnsi"/>
              </w:rPr>
              <w:t>k 64 (52 w</w:t>
            </w:r>
            <w:r w:rsidR="001F3AAE">
              <w:rPr>
                <w:rFonts w:eastAsia="MS Mincho" w:cstheme="minorHAnsi"/>
              </w:rPr>
              <w:t>ee</w:t>
            </w:r>
            <w:r w:rsidRPr="00017AE6">
              <w:rPr>
                <w:rFonts w:eastAsia="MS Mincho" w:cstheme="minorHAnsi"/>
              </w:rPr>
              <w:t>ks after achieving abstinence)</w:t>
            </w:r>
          </w:p>
          <w:p w14:paraId="4F719E78" w14:textId="77777777" w:rsidR="00FF6455" w:rsidRDefault="00FF6455" w:rsidP="00A71365">
            <w:pPr>
              <w:pStyle w:val="Tablewriting"/>
              <w:rPr>
                <w:rFonts w:eastAsia="MS Mincho" w:cstheme="minorHAnsi"/>
              </w:rPr>
            </w:pPr>
          </w:p>
          <w:p w14:paraId="365C7FCB" w14:textId="159F5E9F" w:rsidR="00AE18F8" w:rsidRDefault="00AE18F8" w:rsidP="00A71365">
            <w:pPr>
              <w:pStyle w:val="Tablewriting"/>
              <w:rPr>
                <w:rFonts w:eastAsia="MS Mincho" w:cstheme="minorHAnsi"/>
              </w:rPr>
            </w:pPr>
            <w:r w:rsidRPr="00017AE6">
              <w:rPr>
                <w:rFonts w:eastAsia="MS Mincho" w:cstheme="minorHAnsi"/>
              </w:rPr>
              <w:t>Validation: CO &lt; 9 ppm</w:t>
            </w:r>
          </w:p>
          <w:p w14:paraId="2B896531" w14:textId="77777777" w:rsidR="00AE18F8" w:rsidRDefault="00AE18F8" w:rsidP="00A71365">
            <w:pPr>
              <w:pStyle w:val="Tablewriting"/>
              <w:rPr>
                <w:rFonts w:eastAsia="MS Mincho" w:cstheme="minorHAnsi"/>
              </w:rPr>
            </w:pPr>
          </w:p>
          <w:p w14:paraId="7979ADAD" w14:textId="659E9D3B" w:rsidR="008943AF" w:rsidRPr="00017AE6" w:rsidRDefault="00FF6455" w:rsidP="00A71365">
            <w:pPr>
              <w:pStyle w:val="Tablewriting"/>
              <w:rPr>
                <w:rFonts w:eastAsia="MS Mincho" w:cstheme="minorHAnsi"/>
              </w:rPr>
            </w:pPr>
            <w:r w:rsidRPr="00FF6455">
              <w:rPr>
                <w:rFonts w:eastAsia="MS Mincho" w:cstheme="minorHAnsi"/>
                <w:u w:val="single"/>
              </w:rPr>
              <w:t>Safety:</w:t>
            </w:r>
            <w:r>
              <w:rPr>
                <w:rFonts w:eastAsia="MS Mincho" w:cstheme="minorHAnsi"/>
                <w:u w:val="single"/>
              </w:rPr>
              <w:t xml:space="preserve"> </w:t>
            </w:r>
            <w:r w:rsidR="008943AF" w:rsidRPr="00017AE6">
              <w:rPr>
                <w:rFonts w:eastAsia="MS Mincho" w:cstheme="minorHAnsi"/>
              </w:rPr>
              <w:t>effect of varenicline on psychiatric</w:t>
            </w:r>
            <w:r>
              <w:rPr>
                <w:rFonts w:eastAsia="MS Mincho" w:cstheme="minorHAnsi"/>
              </w:rPr>
              <w:t xml:space="preserve"> </w:t>
            </w:r>
            <w:r w:rsidR="008943AF" w:rsidRPr="00017AE6">
              <w:rPr>
                <w:rFonts w:eastAsia="MS Mincho" w:cstheme="minorHAnsi"/>
              </w:rPr>
              <w:t>symptoms (Calgary Depression Scale for Schizophrenia, Brief Psychiatric Rating Scale, Schedule</w:t>
            </w:r>
            <w:r w:rsidR="00E47FF6">
              <w:rPr>
                <w:rFonts w:eastAsia="MS Mincho" w:cstheme="minorHAnsi"/>
              </w:rPr>
              <w:t xml:space="preserve"> </w:t>
            </w:r>
            <w:r w:rsidR="008943AF" w:rsidRPr="00017AE6">
              <w:rPr>
                <w:rFonts w:eastAsia="MS Mincho" w:cstheme="minorHAnsi"/>
              </w:rPr>
              <w:t>for Assessment of Negative Symptoms), nicotine withdrawal symptoms (Wisconsin Smoking</w:t>
            </w:r>
            <w:r w:rsidR="009D6BC2">
              <w:rPr>
                <w:rFonts w:eastAsia="MS Mincho" w:cstheme="minorHAnsi"/>
              </w:rPr>
              <w:t xml:space="preserve"> </w:t>
            </w:r>
            <w:r w:rsidR="008943AF" w:rsidRPr="00017AE6">
              <w:rPr>
                <w:rFonts w:eastAsia="MS Mincho" w:cstheme="minorHAnsi"/>
              </w:rPr>
              <w:t>Withdrawal</w:t>
            </w:r>
            <w:r w:rsidR="009D6BC2">
              <w:rPr>
                <w:rFonts w:eastAsia="MS Mincho" w:cstheme="minorHAnsi"/>
              </w:rPr>
              <w:t xml:space="preserve"> </w:t>
            </w:r>
            <w:r w:rsidR="008943AF" w:rsidRPr="00017AE6">
              <w:rPr>
                <w:rFonts w:eastAsia="MS Mincho" w:cstheme="minorHAnsi"/>
              </w:rPr>
              <w:t>Scale), health-related quality of life (SF-12), body mass index, and adverse events</w:t>
            </w:r>
          </w:p>
        </w:tc>
      </w:tr>
      <w:tr w:rsidR="003D3459" w:rsidRPr="00017AE6" w14:paraId="4F2E4C7A" w14:textId="77777777" w:rsidTr="005821B1">
        <w:trPr>
          <w:trHeight w:val="99"/>
        </w:trPr>
        <w:tc>
          <w:tcPr>
            <w:tcW w:w="761" w:type="pct"/>
          </w:tcPr>
          <w:p w14:paraId="4A9C1949" w14:textId="171A8963" w:rsidR="00C25F5E" w:rsidRPr="00017AE6" w:rsidRDefault="00C25F5E" w:rsidP="00A71365">
            <w:pPr>
              <w:pStyle w:val="Tablewriting"/>
              <w:rPr>
                <w:rFonts w:eastAsia="MS Mincho" w:cstheme="minorHAnsi"/>
              </w:rPr>
            </w:pPr>
            <w:r w:rsidRPr="00017AE6">
              <w:rPr>
                <w:rFonts w:eastAsia="MS Mincho" w:cstheme="minorHAnsi"/>
              </w:rPr>
              <w:t xml:space="preserve">Gonzales </w:t>
            </w:r>
            <w:r w:rsidR="00F143BB">
              <w:rPr>
                <w:rFonts w:eastAsia="MS Mincho" w:cstheme="minorHAnsi"/>
              </w:rPr>
              <w:t>(</w:t>
            </w:r>
            <w:r w:rsidRPr="00017AE6">
              <w:rPr>
                <w:rFonts w:eastAsia="MS Mincho" w:cstheme="minorHAnsi"/>
              </w:rPr>
              <w:t>2006</w:t>
            </w:r>
            <w:r w:rsidR="00F143BB">
              <w:rPr>
                <w:rFonts w:eastAsia="MS Mincho" w:cstheme="minorHAnsi"/>
              </w:rPr>
              <w:t>)</w:t>
            </w:r>
          </w:p>
        </w:tc>
        <w:tc>
          <w:tcPr>
            <w:tcW w:w="235" w:type="pct"/>
          </w:tcPr>
          <w:p w14:paraId="6182CF9F" w14:textId="22690B07"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7263F940" w14:textId="6B46AAC7" w:rsidR="00C25F5E" w:rsidRPr="00017AE6" w:rsidRDefault="00A413C3" w:rsidP="00A71365">
            <w:pPr>
              <w:pStyle w:val="Tablewriting"/>
              <w:rPr>
                <w:rFonts w:eastAsia="MS Mincho" w:cstheme="minorHAnsi"/>
              </w:rPr>
            </w:pPr>
            <w:r w:rsidRPr="00017AE6">
              <w:rPr>
                <w:rFonts w:eastAsia="MS Mincho" w:cstheme="minorHAnsi"/>
              </w:rPr>
              <w:t>USA</w:t>
            </w:r>
          </w:p>
        </w:tc>
        <w:tc>
          <w:tcPr>
            <w:tcW w:w="679" w:type="pct"/>
          </w:tcPr>
          <w:p w14:paraId="005DFB13" w14:textId="2646555E" w:rsidR="00C25F5E" w:rsidRPr="00017AE6" w:rsidRDefault="00C25F5E" w:rsidP="00A71365">
            <w:pPr>
              <w:pStyle w:val="Tablewriting"/>
              <w:rPr>
                <w:rFonts w:eastAsia="MS Mincho" w:cstheme="minorHAnsi"/>
              </w:rPr>
            </w:pPr>
            <w:r w:rsidRPr="00017AE6">
              <w:rPr>
                <w:rFonts w:eastAsia="MS Mincho" w:cstheme="minorHAnsi"/>
              </w:rPr>
              <w:t>N=</w:t>
            </w:r>
            <w:r w:rsidR="00A413C3" w:rsidRPr="00017AE6">
              <w:rPr>
                <w:rFonts w:eastAsia="MS Mincho" w:cstheme="minorHAnsi"/>
              </w:rPr>
              <w:t>1025</w:t>
            </w:r>
            <w:r w:rsidR="00A526BC">
              <w:rPr>
                <w:rFonts w:eastAsia="MS Mincho" w:cstheme="minorHAnsi"/>
              </w:rPr>
              <w:t xml:space="preserve">; </w:t>
            </w:r>
            <w:r w:rsidR="00230FBF">
              <w:rPr>
                <w:rFonts w:eastAsia="MS Mincho" w:cstheme="minorHAnsi"/>
              </w:rPr>
              <w:t>n=</w:t>
            </w:r>
            <w:r w:rsidR="00230FBF" w:rsidRPr="00017AE6">
              <w:rPr>
                <w:rFonts w:eastAsia="MS Mincho" w:cstheme="minorHAnsi"/>
              </w:rPr>
              <w:t>352</w:t>
            </w:r>
            <w:r w:rsidR="00230FBF">
              <w:rPr>
                <w:rFonts w:eastAsia="MS Mincho" w:cstheme="minorHAnsi"/>
              </w:rPr>
              <w:t xml:space="preserve"> (</w:t>
            </w:r>
            <w:r w:rsidR="00A526BC" w:rsidRPr="00017AE6">
              <w:rPr>
                <w:rFonts w:eastAsia="MS Mincho" w:cstheme="minorHAnsi"/>
              </w:rPr>
              <w:t>varenicline),</w:t>
            </w:r>
            <w:r w:rsidR="00614EDE">
              <w:rPr>
                <w:rFonts w:eastAsia="MS Mincho" w:cstheme="minorHAnsi"/>
              </w:rPr>
              <w:t xml:space="preserve"> n=</w:t>
            </w:r>
            <w:r w:rsidR="00230FBF" w:rsidRPr="00017AE6">
              <w:rPr>
                <w:rFonts w:eastAsia="MS Mincho" w:cstheme="minorHAnsi"/>
              </w:rPr>
              <w:t>329</w:t>
            </w:r>
            <w:r w:rsidR="00614EDE">
              <w:rPr>
                <w:rFonts w:eastAsia="MS Mincho" w:cstheme="minorHAnsi"/>
              </w:rPr>
              <w:t xml:space="preserve"> (</w:t>
            </w:r>
            <w:r w:rsidR="00A526BC" w:rsidRPr="00017AE6">
              <w:rPr>
                <w:rFonts w:eastAsia="MS Mincho" w:cstheme="minorHAnsi"/>
              </w:rPr>
              <w:t>bupropion</w:t>
            </w:r>
            <w:r w:rsidR="00614EDE">
              <w:rPr>
                <w:rFonts w:eastAsia="MS Mincho" w:cstheme="minorHAnsi"/>
              </w:rPr>
              <w:t>,</w:t>
            </w:r>
            <w:r w:rsidR="00A526BC" w:rsidRPr="00017AE6">
              <w:rPr>
                <w:rFonts w:eastAsia="MS Mincho" w:cstheme="minorHAnsi"/>
              </w:rPr>
              <w:t xml:space="preserve"> </w:t>
            </w:r>
            <w:r w:rsidR="00614EDE">
              <w:rPr>
                <w:rFonts w:eastAsia="MS Mincho" w:cstheme="minorHAnsi"/>
              </w:rPr>
              <w:t>n=</w:t>
            </w:r>
            <w:r w:rsidR="00BE3226" w:rsidRPr="00017AE6">
              <w:rPr>
                <w:rFonts w:eastAsia="MS Mincho" w:cstheme="minorHAnsi"/>
              </w:rPr>
              <w:t>344</w:t>
            </w:r>
            <w:r w:rsidR="00A526BC" w:rsidRPr="00017AE6">
              <w:rPr>
                <w:rFonts w:eastAsia="MS Mincho" w:cstheme="minorHAnsi"/>
              </w:rPr>
              <w:t xml:space="preserve"> </w:t>
            </w:r>
            <w:r w:rsidR="00BE3226">
              <w:rPr>
                <w:rFonts w:eastAsia="MS Mincho" w:cstheme="minorHAnsi"/>
              </w:rPr>
              <w:t>(</w:t>
            </w:r>
            <w:r w:rsidR="00A526BC" w:rsidRPr="00017AE6">
              <w:rPr>
                <w:rFonts w:eastAsia="MS Mincho" w:cstheme="minorHAnsi"/>
              </w:rPr>
              <w:t>placebo).</w:t>
            </w:r>
          </w:p>
        </w:tc>
        <w:tc>
          <w:tcPr>
            <w:tcW w:w="851" w:type="pct"/>
          </w:tcPr>
          <w:p w14:paraId="4FB62452" w14:textId="323B5CEE" w:rsidR="00A413C3" w:rsidRPr="00017AE6" w:rsidRDefault="008C25BC" w:rsidP="00A71365">
            <w:pPr>
              <w:pStyle w:val="Tablewriting"/>
              <w:rPr>
                <w:rFonts w:eastAsia="MS Mincho" w:cstheme="minorHAnsi"/>
              </w:rPr>
            </w:pPr>
            <w:r>
              <w:rPr>
                <w:rFonts w:eastAsia="MS Mincho" w:cstheme="minorHAnsi"/>
              </w:rPr>
              <w:t>H</w:t>
            </w:r>
            <w:r w:rsidRPr="00017AE6">
              <w:rPr>
                <w:rFonts w:eastAsia="MS Mincho" w:cstheme="minorHAnsi"/>
              </w:rPr>
              <w:t>ealthy adult volunteers</w:t>
            </w:r>
            <w:r w:rsidR="00A526BC">
              <w:rPr>
                <w:rFonts w:eastAsia="MS Mincho" w:cstheme="minorHAnsi"/>
              </w:rPr>
              <w:t>;</w:t>
            </w:r>
            <w:r w:rsidR="00A413C3" w:rsidRPr="00017AE6">
              <w:rPr>
                <w:rFonts w:eastAsia="MS Mincho" w:cstheme="minorHAnsi"/>
              </w:rPr>
              <w:t xml:space="preserve"> 54% men, 79% white, mean age </w:t>
            </w:r>
            <w:r w:rsidR="00A413C3" w:rsidRPr="00017AE6">
              <w:rPr>
                <w:rFonts w:eastAsia="MS Mincho" w:cstheme="minorHAnsi"/>
              </w:rPr>
              <w:lastRenderedPageBreak/>
              <w:t>42.4, mean CPD 21, mean FTND score</w:t>
            </w:r>
          </w:p>
          <w:p w14:paraId="1702A9B5" w14:textId="77777777" w:rsidR="00A526BC" w:rsidRDefault="00A413C3" w:rsidP="00A71365">
            <w:pPr>
              <w:pStyle w:val="Tablewriting"/>
              <w:rPr>
                <w:rFonts w:eastAsia="MS Mincho" w:cstheme="minorHAnsi"/>
              </w:rPr>
            </w:pPr>
            <w:r w:rsidRPr="00017AE6">
              <w:rPr>
                <w:rFonts w:eastAsia="MS Mincho" w:cstheme="minorHAnsi"/>
              </w:rPr>
              <w:t xml:space="preserve">5.3. </w:t>
            </w:r>
          </w:p>
          <w:p w14:paraId="609D3DA2" w14:textId="77777777" w:rsidR="00793548" w:rsidRDefault="00793548" w:rsidP="00A71365">
            <w:pPr>
              <w:pStyle w:val="Tablewriting"/>
              <w:rPr>
                <w:rFonts w:eastAsia="MS Mincho" w:cstheme="minorHAnsi"/>
              </w:rPr>
            </w:pPr>
          </w:p>
          <w:p w14:paraId="199C3515" w14:textId="3CAD54DC" w:rsidR="00A413C3" w:rsidRPr="00017AE6" w:rsidRDefault="00A413C3" w:rsidP="00A71365">
            <w:pPr>
              <w:pStyle w:val="Tablewriting"/>
              <w:rPr>
                <w:rFonts w:eastAsia="MS Mincho" w:cstheme="minorHAnsi"/>
              </w:rPr>
            </w:pPr>
            <w:r w:rsidRPr="00017AE6">
              <w:rPr>
                <w:rFonts w:eastAsia="MS Mincho" w:cstheme="minorHAnsi"/>
              </w:rPr>
              <w:t>No significant differences between groups at baseline</w:t>
            </w:r>
          </w:p>
          <w:p w14:paraId="7099A92F" w14:textId="77777777" w:rsidR="00793548" w:rsidRDefault="00793548" w:rsidP="00A71365">
            <w:pPr>
              <w:pStyle w:val="Tablewriting"/>
              <w:rPr>
                <w:rFonts w:eastAsia="MS Mincho" w:cstheme="minorHAnsi"/>
              </w:rPr>
            </w:pPr>
          </w:p>
          <w:p w14:paraId="18AD318F" w14:textId="6FA0FA55" w:rsidR="00A413C3" w:rsidRPr="00017AE6" w:rsidRDefault="00A413C3" w:rsidP="00A71365">
            <w:pPr>
              <w:pStyle w:val="Tablewriting"/>
              <w:rPr>
                <w:rFonts w:eastAsia="MS Mincho" w:cstheme="minorHAnsi"/>
              </w:rPr>
            </w:pPr>
            <w:r w:rsidRPr="00793548">
              <w:rPr>
                <w:rFonts w:eastAsia="MS Mincho" w:cstheme="minorHAnsi"/>
                <w:u w:val="single"/>
              </w:rPr>
              <w:t>Exclusion criteria:</w:t>
            </w:r>
            <w:r w:rsidRPr="00017AE6">
              <w:rPr>
                <w:rFonts w:eastAsia="MS Mincho" w:cstheme="minorHAnsi"/>
              </w:rPr>
              <w:t xml:space="preserve"> Standard pharmacotherapy trial criteria, + use of tobacco products other than cigarettes;</w:t>
            </w:r>
          </w:p>
          <w:p w14:paraId="47530700" w14:textId="77777777" w:rsidR="00A413C3" w:rsidRPr="00017AE6" w:rsidRDefault="00A413C3" w:rsidP="00A71365">
            <w:pPr>
              <w:pStyle w:val="Tablewriting"/>
              <w:rPr>
                <w:rFonts w:eastAsia="MS Mincho" w:cstheme="minorHAnsi"/>
              </w:rPr>
            </w:pPr>
            <w:r w:rsidRPr="00017AE6">
              <w:rPr>
                <w:rFonts w:eastAsia="MS Mincho" w:cstheme="minorHAnsi"/>
              </w:rPr>
              <w:t>use of NRT, clonidine, nortriptyline within last month; BMI &lt; 15 or &gt; 38 or weight &lt; 45.5 kg; any</w:t>
            </w:r>
          </w:p>
          <w:p w14:paraId="3075ADE4" w14:textId="7C70C948" w:rsidR="00C25F5E" w:rsidRPr="00017AE6" w:rsidRDefault="00A413C3" w:rsidP="00A71365">
            <w:pPr>
              <w:pStyle w:val="Tablewriting"/>
              <w:rPr>
                <w:rFonts w:eastAsia="MS Mincho" w:cstheme="minorHAnsi"/>
              </w:rPr>
            </w:pPr>
            <w:r w:rsidRPr="00017AE6">
              <w:rPr>
                <w:rFonts w:eastAsia="MS Mincho" w:cstheme="minorHAnsi"/>
              </w:rPr>
              <w:t>prior use of bupropion or varenicline</w:t>
            </w:r>
            <w:r w:rsidR="00BA2D33">
              <w:rPr>
                <w:rFonts w:eastAsia="MS Mincho" w:cstheme="minorHAnsi"/>
              </w:rPr>
              <w:t xml:space="preserve">. </w:t>
            </w:r>
          </w:p>
        </w:tc>
        <w:tc>
          <w:tcPr>
            <w:tcW w:w="1054" w:type="pct"/>
          </w:tcPr>
          <w:p w14:paraId="5712AF94" w14:textId="455BC3C6" w:rsidR="00A413C3" w:rsidRPr="00017AE6" w:rsidRDefault="00A413C3" w:rsidP="00C324F3">
            <w:pPr>
              <w:pStyle w:val="Tablewriting"/>
              <w:numPr>
                <w:ilvl w:val="0"/>
                <w:numId w:val="68"/>
              </w:numPr>
              <w:rPr>
                <w:rFonts w:eastAsia="MS Mincho" w:cstheme="minorHAnsi"/>
              </w:rPr>
            </w:pPr>
            <w:r w:rsidRPr="00017AE6">
              <w:rPr>
                <w:rFonts w:eastAsia="MS Mincho" w:cstheme="minorHAnsi"/>
              </w:rPr>
              <w:lastRenderedPageBreak/>
              <w:t>Varenicline 1 mg x 2/day</w:t>
            </w:r>
          </w:p>
          <w:p w14:paraId="02E6B715" w14:textId="5AF37607" w:rsidR="00A413C3" w:rsidRPr="00017AE6" w:rsidRDefault="00A413C3" w:rsidP="00C324F3">
            <w:pPr>
              <w:pStyle w:val="Tablewriting"/>
              <w:numPr>
                <w:ilvl w:val="0"/>
                <w:numId w:val="68"/>
              </w:numPr>
              <w:rPr>
                <w:rFonts w:eastAsia="MS Mincho" w:cstheme="minorHAnsi"/>
              </w:rPr>
            </w:pPr>
            <w:r w:rsidRPr="00017AE6">
              <w:rPr>
                <w:rFonts w:eastAsia="MS Mincho" w:cstheme="minorHAnsi"/>
              </w:rPr>
              <w:t>Bupropion 150 mg x 2/day</w:t>
            </w:r>
          </w:p>
          <w:p w14:paraId="680A4CD6" w14:textId="35780406" w:rsidR="00A413C3" w:rsidRPr="00017AE6" w:rsidRDefault="00A413C3" w:rsidP="00C324F3">
            <w:pPr>
              <w:pStyle w:val="Tablewriting"/>
              <w:numPr>
                <w:ilvl w:val="0"/>
                <w:numId w:val="68"/>
              </w:numPr>
              <w:rPr>
                <w:rFonts w:eastAsia="MS Mincho" w:cstheme="minorHAnsi"/>
              </w:rPr>
            </w:pPr>
            <w:r w:rsidRPr="00017AE6">
              <w:rPr>
                <w:rFonts w:eastAsia="MS Mincho" w:cstheme="minorHAnsi"/>
              </w:rPr>
              <w:lastRenderedPageBreak/>
              <w:t>Placebo inactive tablets, same regimen</w:t>
            </w:r>
          </w:p>
          <w:p w14:paraId="0CF7A744" w14:textId="77777777" w:rsidR="005C2651" w:rsidRDefault="005C2651" w:rsidP="00A71365">
            <w:pPr>
              <w:pStyle w:val="Tablewriting"/>
              <w:rPr>
                <w:rFonts w:eastAsia="MS Mincho" w:cstheme="minorHAnsi"/>
              </w:rPr>
            </w:pPr>
          </w:p>
          <w:p w14:paraId="76F69E00" w14:textId="77777777" w:rsidR="005C2651" w:rsidRDefault="00A413C3" w:rsidP="00A71365">
            <w:pPr>
              <w:pStyle w:val="Tablewriting"/>
              <w:rPr>
                <w:rFonts w:eastAsia="MS Mincho" w:cstheme="minorHAnsi"/>
              </w:rPr>
            </w:pPr>
            <w:r w:rsidRPr="00017AE6">
              <w:rPr>
                <w:rFonts w:eastAsia="MS Mincho" w:cstheme="minorHAnsi"/>
              </w:rPr>
              <w:t xml:space="preserve">Treatment period was 12 wks. </w:t>
            </w:r>
          </w:p>
          <w:p w14:paraId="3669896B" w14:textId="77777777" w:rsidR="005C2651" w:rsidRDefault="005C2651" w:rsidP="00A71365">
            <w:pPr>
              <w:pStyle w:val="Tablewriting"/>
              <w:rPr>
                <w:rFonts w:eastAsia="MS Mincho" w:cstheme="minorHAnsi"/>
              </w:rPr>
            </w:pPr>
          </w:p>
          <w:p w14:paraId="49DF0CD5" w14:textId="66CEA350" w:rsidR="00A413C3" w:rsidRPr="00017AE6" w:rsidRDefault="005C2651"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A413C3" w:rsidRPr="00017AE6">
              <w:rPr>
                <w:rFonts w:eastAsia="MS Mincho" w:cstheme="minorHAnsi"/>
              </w:rPr>
              <w:t>All participants received Clearing the Air self-help booklet at baseline,</w:t>
            </w:r>
            <w:r>
              <w:rPr>
                <w:rFonts w:eastAsia="MS Mincho" w:cstheme="minorHAnsi"/>
              </w:rPr>
              <w:t xml:space="preserve"> </w:t>
            </w:r>
            <w:r w:rsidR="00A413C3" w:rsidRPr="00017AE6">
              <w:rPr>
                <w:rFonts w:eastAsia="MS Mincho" w:cstheme="minorHAnsi"/>
              </w:rPr>
              <w:t>and brief counselling (</w:t>
            </w:r>
            <w:r w:rsidR="00611F33" w:rsidRPr="00611F33">
              <w:rPr>
                <w:rFonts w:eastAsia="MS Mincho" w:cstheme="minorHAnsi"/>
              </w:rPr>
              <w:t>≤</w:t>
            </w:r>
            <w:r w:rsidR="00A413C3" w:rsidRPr="00017AE6">
              <w:rPr>
                <w:rFonts w:eastAsia="MS Mincho" w:cstheme="minorHAnsi"/>
              </w:rPr>
              <w:t xml:space="preserve"> 10 mins) at each clinic visit. Weekly visits throughout treatment phase, plus a</w:t>
            </w:r>
            <w:r w:rsidR="002A56E8">
              <w:rPr>
                <w:rFonts w:eastAsia="MS Mincho" w:cstheme="minorHAnsi"/>
              </w:rPr>
              <w:t xml:space="preserve"> </w:t>
            </w:r>
            <w:r w:rsidR="00A413C3" w:rsidRPr="00017AE6">
              <w:rPr>
                <w:rFonts w:eastAsia="MS Mincho" w:cstheme="minorHAnsi"/>
              </w:rPr>
              <w:t>phone call 3 days post-TQD</w:t>
            </w:r>
          </w:p>
          <w:p w14:paraId="0AF7D5C5" w14:textId="77777777" w:rsidR="002A56E8" w:rsidRDefault="002A56E8" w:rsidP="00A71365">
            <w:pPr>
              <w:pStyle w:val="Tablewriting"/>
              <w:rPr>
                <w:rFonts w:eastAsia="MS Mincho" w:cstheme="minorHAnsi"/>
              </w:rPr>
            </w:pPr>
          </w:p>
          <w:p w14:paraId="0CFC1742" w14:textId="2BC92E18" w:rsidR="00A413C3" w:rsidRPr="00017AE6" w:rsidRDefault="00A413C3" w:rsidP="00A71365">
            <w:pPr>
              <w:pStyle w:val="Tablewriting"/>
              <w:rPr>
                <w:rFonts w:eastAsia="MS Mincho" w:cstheme="minorHAnsi"/>
              </w:rPr>
            </w:pPr>
            <w:r w:rsidRPr="00017AE6">
              <w:rPr>
                <w:rFonts w:eastAsia="MS Mincho" w:cstheme="minorHAnsi"/>
              </w:rPr>
              <w:t>In follow-up phase, clinic visits at w</w:t>
            </w:r>
            <w:r w:rsidR="002A56E8">
              <w:rPr>
                <w:rFonts w:eastAsia="MS Mincho" w:cstheme="minorHAnsi"/>
              </w:rPr>
              <w:t>ee</w:t>
            </w:r>
            <w:r w:rsidRPr="00017AE6">
              <w:rPr>
                <w:rFonts w:eastAsia="MS Mincho" w:cstheme="minorHAnsi"/>
              </w:rPr>
              <w:t>ks 13, 24, 36, 44 and 52, plus brief phone calls at w</w:t>
            </w:r>
            <w:r w:rsidR="002A56E8">
              <w:rPr>
                <w:rFonts w:eastAsia="MS Mincho" w:cstheme="minorHAnsi"/>
              </w:rPr>
              <w:t>ee</w:t>
            </w:r>
            <w:r w:rsidRPr="00017AE6">
              <w:rPr>
                <w:rFonts w:eastAsia="MS Mincho" w:cstheme="minorHAnsi"/>
              </w:rPr>
              <w:t>ks 16, 20, 28, 32,</w:t>
            </w:r>
          </w:p>
          <w:p w14:paraId="2D9CE131" w14:textId="5FFA1081" w:rsidR="00C25F5E" w:rsidRPr="00017AE6" w:rsidRDefault="00A413C3" w:rsidP="00A71365">
            <w:pPr>
              <w:pStyle w:val="Tablewriting"/>
              <w:rPr>
                <w:rFonts w:eastAsia="MS Mincho" w:cstheme="minorHAnsi"/>
              </w:rPr>
            </w:pPr>
            <w:r w:rsidRPr="00017AE6">
              <w:rPr>
                <w:rFonts w:eastAsia="MS Mincho" w:cstheme="minorHAnsi"/>
              </w:rPr>
              <w:t>40 and 48</w:t>
            </w:r>
            <w:r w:rsidR="002A56E8">
              <w:rPr>
                <w:rFonts w:eastAsia="MS Mincho" w:cstheme="minorHAnsi"/>
              </w:rPr>
              <w:t>.</w:t>
            </w:r>
          </w:p>
        </w:tc>
        <w:tc>
          <w:tcPr>
            <w:tcW w:w="959" w:type="pct"/>
          </w:tcPr>
          <w:p w14:paraId="16298494" w14:textId="77777777" w:rsidR="00487F2C" w:rsidRDefault="00487F2C" w:rsidP="00A71365">
            <w:pPr>
              <w:pStyle w:val="Tablewriting"/>
              <w:rPr>
                <w:rFonts w:eastAsia="MS Mincho" w:cstheme="minorHAnsi"/>
              </w:rPr>
            </w:pPr>
            <w:r w:rsidRPr="00487F2C">
              <w:rPr>
                <w:rFonts w:eastAsia="MS Mincho" w:cstheme="minorHAnsi"/>
                <w:u w:val="single"/>
              </w:rPr>
              <w:lastRenderedPageBreak/>
              <w:t>Efficacy:</w:t>
            </w:r>
            <w:r>
              <w:rPr>
                <w:rFonts w:eastAsia="MS Mincho" w:cstheme="minorHAnsi"/>
              </w:rPr>
              <w:t xml:space="preserve"> </w:t>
            </w:r>
          </w:p>
          <w:p w14:paraId="71FEC41C" w14:textId="46824955" w:rsidR="00926BEF" w:rsidRPr="00017AE6" w:rsidRDefault="00926BEF" w:rsidP="00A71365">
            <w:pPr>
              <w:pStyle w:val="Tablewriting"/>
              <w:rPr>
                <w:rFonts w:eastAsia="MS Mincho" w:cstheme="minorHAnsi"/>
              </w:rPr>
            </w:pPr>
            <w:r w:rsidRPr="00017AE6">
              <w:rPr>
                <w:rFonts w:eastAsia="MS Mincho" w:cstheme="minorHAnsi"/>
              </w:rPr>
              <w:t>Primary outcome: CO-validated CAR at 9 - 12 w</w:t>
            </w:r>
            <w:r w:rsidR="00487F2C">
              <w:rPr>
                <w:rFonts w:eastAsia="MS Mincho" w:cstheme="minorHAnsi"/>
              </w:rPr>
              <w:t>ee</w:t>
            </w:r>
            <w:r w:rsidRPr="00017AE6">
              <w:rPr>
                <w:rFonts w:eastAsia="MS Mincho" w:cstheme="minorHAnsi"/>
              </w:rPr>
              <w:t>ks</w:t>
            </w:r>
            <w:r w:rsidR="00487F2C">
              <w:rPr>
                <w:rFonts w:eastAsia="MS Mincho" w:cstheme="minorHAnsi"/>
              </w:rPr>
              <w:t>;</w:t>
            </w:r>
          </w:p>
          <w:p w14:paraId="55B658D0" w14:textId="264AE03B" w:rsidR="00926BEF" w:rsidRPr="00017AE6" w:rsidRDefault="00926BEF" w:rsidP="00A71365">
            <w:pPr>
              <w:pStyle w:val="Tablewriting"/>
              <w:rPr>
                <w:rFonts w:eastAsia="MS Mincho" w:cstheme="minorHAnsi"/>
              </w:rPr>
            </w:pPr>
            <w:r w:rsidRPr="00017AE6">
              <w:rPr>
                <w:rFonts w:eastAsia="MS Mincho" w:cstheme="minorHAnsi"/>
              </w:rPr>
              <w:lastRenderedPageBreak/>
              <w:t>Secondary outcomes: CO-validated CAR at 9 - 24 w</w:t>
            </w:r>
            <w:r w:rsidR="009E23D7">
              <w:rPr>
                <w:rFonts w:eastAsia="MS Mincho" w:cstheme="minorHAnsi"/>
              </w:rPr>
              <w:t>ee</w:t>
            </w:r>
            <w:r w:rsidRPr="00017AE6">
              <w:rPr>
                <w:rFonts w:eastAsia="MS Mincho" w:cstheme="minorHAnsi"/>
              </w:rPr>
              <w:t>ks and 9 - 52 weeks; 7-day PPA at w</w:t>
            </w:r>
            <w:r w:rsidR="009E23D7">
              <w:rPr>
                <w:rFonts w:eastAsia="MS Mincho" w:cstheme="minorHAnsi"/>
              </w:rPr>
              <w:t>ee</w:t>
            </w:r>
            <w:r w:rsidRPr="00017AE6">
              <w:rPr>
                <w:rFonts w:eastAsia="MS Mincho" w:cstheme="minorHAnsi"/>
              </w:rPr>
              <w:t>ks 12, 24 and 52</w:t>
            </w:r>
            <w:r w:rsidR="009E23D7">
              <w:rPr>
                <w:rFonts w:eastAsia="MS Mincho" w:cstheme="minorHAnsi"/>
              </w:rPr>
              <w:t>.</w:t>
            </w:r>
          </w:p>
          <w:p w14:paraId="1A771B29" w14:textId="3003C90F" w:rsidR="0008302C" w:rsidRPr="00017AE6" w:rsidRDefault="009E23D7" w:rsidP="00A71365">
            <w:pPr>
              <w:pStyle w:val="Tablewriting"/>
              <w:rPr>
                <w:rFonts w:eastAsia="MS Mincho" w:cstheme="minorHAnsi"/>
              </w:rPr>
            </w:pPr>
            <w:r w:rsidRPr="009E23D7">
              <w:rPr>
                <w:rFonts w:eastAsia="MS Mincho" w:cstheme="minorHAnsi"/>
                <w:u w:val="single"/>
              </w:rPr>
              <w:t xml:space="preserve">Safety: </w:t>
            </w:r>
            <w:r w:rsidR="0008302C" w:rsidRPr="00017AE6">
              <w:rPr>
                <w:rFonts w:eastAsia="MS Mincho" w:cstheme="minorHAnsi"/>
              </w:rPr>
              <w:t>adverse</w:t>
            </w:r>
            <w:r w:rsidR="0008302C">
              <w:rPr>
                <w:rFonts w:eastAsia="MS Mincho" w:cstheme="minorHAnsi"/>
              </w:rPr>
              <w:t xml:space="preserve"> </w:t>
            </w:r>
            <w:r w:rsidR="0008302C" w:rsidRPr="00017AE6">
              <w:rPr>
                <w:rFonts w:eastAsia="MS Mincho" w:cstheme="minorHAnsi"/>
              </w:rPr>
              <w:t>events</w:t>
            </w:r>
            <w:r w:rsidR="0008302C">
              <w:rPr>
                <w:rFonts w:eastAsia="MS Mincho" w:cstheme="minorHAnsi"/>
              </w:rPr>
              <w:t>.</w:t>
            </w:r>
          </w:p>
          <w:p w14:paraId="1FF0188E" w14:textId="6659AA97" w:rsidR="009E23D7" w:rsidRPr="009E23D7" w:rsidRDefault="009E23D7" w:rsidP="00A71365">
            <w:pPr>
              <w:pStyle w:val="Tablewriting"/>
              <w:rPr>
                <w:rFonts w:eastAsia="MS Mincho" w:cstheme="minorHAnsi"/>
                <w:u w:val="single"/>
              </w:rPr>
            </w:pPr>
          </w:p>
          <w:p w14:paraId="157CAFC8" w14:textId="5F5755A1" w:rsidR="00926BEF" w:rsidRPr="00017AE6" w:rsidRDefault="00926BEF" w:rsidP="00A71365">
            <w:pPr>
              <w:pStyle w:val="Tablewriting"/>
              <w:rPr>
                <w:rFonts w:eastAsia="MS Mincho" w:cstheme="minorHAnsi"/>
              </w:rPr>
            </w:pPr>
            <w:r w:rsidRPr="0008302C">
              <w:rPr>
                <w:rFonts w:eastAsia="MS Mincho" w:cstheme="minorHAnsi"/>
                <w:u w:val="single"/>
              </w:rPr>
              <w:t>Other</w:t>
            </w:r>
            <w:r w:rsidRPr="00017AE6">
              <w:rPr>
                <w:rFonts w:eastAsia="MS Mincho" w:cstheme="minorHAnsi"/>
              </w:rPr>
              <w:t xml:space="preserve">: Weight change, withdrawal symptoms (using MNWS, QSU-brief and mCEQ), </w:t>
            </w:r>
          </w:p>
          <w:p w14:paraId="212F3F80" w14:textId="77777777" w:rsidR="0008302C" w:rsidRDefault="0008302C" w:rsidP="00A71365">
            <w:pPr>
              <w:pStyle w:val="Tablewriting"/>
              <w:rPr>
                <w:rFonts w:eastAsia="MS Mincho" w:cstheme="minorHAnsi"/>
              </w:rPr>
            </w:pPr>
          </w:p>
          <w:p w14:paraId="7677E319" w14:textId="4CB2195F" w:rsidR="00C25F5E" w:rsidRPr="00017AE6" w:rsidRDefault="00926BEF" w:rsidP="00A71365">
            <w:pPr>
              <w:pStyle w:val="Tablewriting"/>
              <w:rPr>
                <w:rFonts w:eastAsia="MS Mincho" w:cstheme="minorHAnsi"/>
              </w:rPr>
            </w:pPr>
            <w:r w:rsidRPr="00017AE6">
              <w:rPr>
                <w:rFonts w:eastAsia="MS Mincho" w:cstheme="minorHAnsi"/>
              </w:rPr>
              <w:t xml:space="preserve">Validation was by expired CO </w:t>
            </w:r>
            <w:r w:rsidR="00296216" w:rsidRPr="00611F33">
              <w:rPr>
                <w:rFonts w:eastAsia="MS Mincho" w:cstheme="minorHAnsi"/>
              </w:rPr>
              <w:t>≤</w:t>
            </w:r>
            <w:r w:rsidRPr="00017AE6">
              <w:rPr>
                <w:rFonts w:eastAsia="MS Mincho" w:cstheme="minorHAnsi"/>
              </w:rPr>
              <w:t xml:space="preserve"> 10 ppm</w:t>
            </w:r>
            <w:r w:rsidR="00534EFB">
              <w:rPr>
                <w:rFonts w:eastAsia="MS Mincho" w:cstheme="minorHAnsi"/>
              </w:rPr>
              <w:t>.</w:t>
            </w:r>
          </w:p>
        </w:tc>
      </w:tr>
      <w:tr w:rsidR="003D3459" w:rsidRPr="00017AE6" w14:paraId="07B7B7FF" w14:textId="77777777" w:rsidTr="005821B1">
        <w:trPr>
          <w:trHeight w:val="99"/>
        </w:trPr>
        <w:tc>
          <w:tcPr>
            <w:tcW w:w="761" w:type="pct"/>
          </w:tcPr>
          <w:p w14:paraId="3E38C5A7" w14:textId="7B2A4555" w:rsidR="00C25F5E" w:rsidRPr="00017AE6" w:rsidRDefault="00C25F5E" w:rsidP="00A71365">
            <w:pPr>
              <w:pStyle w:val="Tablewriting"/>
              <w:rPr>
                <w:rFonts w:eastAsia="MS Mincho" w:cstheme="minorHAnsi"/>
              </w:rPr>
            </w:pPr>
            <w:r w:rsidRPr="00017AE6">
              <w:rPr>
                <w:rFonts w:eastAsia="MS Mincho" w:cstheme="minorHAnsi"/>
              </w:rPr>
              <w:lastRenderedPageBreak/>
              <w:t xml:space="preserve">Gonzales </w:t>
            </w:r>
            <w:r w:rsidR="00F143BB">
              <w:rPr>
                <w:rFonts w:eastAsia="MS Mincho" w:cstheme="minorHAnsi"/>
              </w:rPr>
              <w:t>(</w:t>
            </w:r>
            <w:r w:rsidRPr="00017AE6">
              <w:rPr>
                <w:rFonts w:eastAsia="MS Mincho" w:cstheme="minorHAnsi"/>
              </w:rPr>
              <w:t>2014</w:t>
            </w:r>
            <w:r w:rsidR="00F143BB">
              <w:rPr>
                <w:rFonts w:eastAsia="MS Mincho" w:cstheme="minorHAnsi"/>
              </w:rPr>
              <w:t>)</w:t>
            </w:r>
          </w:p>
        </w:tc>
        <w:tc>
          <w:tcPr>
            <w:tcW w:w="235" w:type="pct"/>
          </w:tcPr>
          <w:p w14:paraId="23036FA3" w14:textId="32D8D653"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5B9A7279" w14:textId="77777777" w:rsidR="00510E42" w:rsidRPr="00017AE6" w:rsidRDefault="00510E42" w:rsidP="00A71365">
            <w:pPr>
              <w:pStyle w:val="Tablewriting"/>
              <w:rPr>
                <w:rFonts w:eastAsia="MS Mincho" w:cstheme="minorHAnsi"/>
              </w:rPr>
            </w:pPr>
            <w:r w:rsidRPr="00017AE6">
              <w:rPr>
                <w:rFonts w:eastAsia="MS Mincho" w:cstheme="minorHAnsi"/>
              </w:rPr>
              <w:t>37 centres in 8 countries: USA (8), Australia (4), Belgium (4), Canada (4), Czech Republic (4),</w:t>
            </w:r>
          </w:p>
          <w:p w14:paraId="55DE7D21" w14:textId="4F267229" w:rsidR="00C25F5E" w:rsidRPr="00017AE6" w:rsidRDefault="00510E42" w:rsidP="00A71365">
            <w:pPr>
              <w:pStyle w:val="Tablewriting"/>
              <w:rPr>
                <w:rFonts w:eastAsia="MS Mincho" w:cstheme="minorHAnsi"/>
              </w:rPr>
            </w:pPr>
            <w:r w:rsidRPr="00017AE6">
              <w:rPr>
                <w:rFonts w:eastAsia="MS Mincho" w:cstheme="minorHAnsi"/>
              </w:rPr>
              <w:t>France (3), Germany (5), UK (5)</w:t>
            </w:r>
          </w:p>
        </w:tc>
        <w:tc>
          <w:tcPr>
            <w:tcW w:w="679" w:type="pct"/>
          </w:tcPr>
          <w:p w14:paraId="53734EAD" w14:textId="2F080354" w:rsidR="00C25F5E" w:rsidRPr="00017AE6" w:rsidRDefault="00C25F5E" w:rsidP="00A71365">
            <w:pPr>
              <w:pStyle w:val="Tablewriting"/>
              <w:rPr>
                <w:rFonts w:eastAsia="MS Mincho" w:cstheme="minorHAnsi"/>
              </w:rPr>
            </w:pPr>
            <w:r w:rsidRPr="00017AE6">
              <w:rPr>
                <w:rFonts w:eastAsia="MS Mincho" w:cstheme="minorHAnsi"/>
              </w:rPr>
              <w:t>N=</w:t>
            </w:r>
            <w:r w:rsidR="00510E42" w:rsidRPr="00017AE6">
              <w:rPr>
                <w:rFonts w:eastAsia="MS Mincho" w:cstheme="minorHAnsi"/>
              </w:rPr>
              <w:t>498</w:t>
            </w:r>
            <w:r w:rsidR="00246377">
              <w:rPr>
                <w:rFonts w:eastAsia="MS Mincho" w:cstheme="minorHAnsi"/>
              </w:rPr>
              <w:t xml:space="preserve">; </w:t>
            </w:r>
            <w:r w:rsidR="00E31A6E">
              <w:rPr>
                <w:rFonts w:eastAsia="MS Mincho" w:cstheme="minorHAnsi"/>
              </w:rPr>
              <w:t>n=</w:t>
            </w:r>
            <w:r w:rsidR="000564F4">
              <w:rPr>
                <w:rFonts w:eastAsia="MS Mincho" w:cstheme="minorHAnsi"/>
              </w:rPr>
              <w:t>251 (</w:t>
            </w:r>
            <w:r w:rsidR="00246377" w:rsidRPr="00017AE6">
              <w:rPr>
                <w:rFonts w:eastAsia="MS Mincho" w:cstheme="minorHAnsi"/>
              </w:rPr>
              <w:t>varenicline</w:t>
            </w:r>
            <w:r w:rsidR="000564F4">
              <w:rPr>
                <w:rFonts w:eastAsia="MS Mincho" w:cstheme="minorHAnsi"/>
              </w:rPr>
              <w:t>)</w:t>
            </w:r>
            <w:r w:rsidR="00246377" w:rsidRPr="00017AE6">
              <w:rPr>
                <w:rFonts w:eastAsia="MS Mincho" w:cstheme="minorHAnsi"/>
              </w:rPr>
              <w:t xml:space="preserve">, </w:t>
            </w:r>
            <w:r w:rsidR="000564F4">
              <w:rPr>
                <w:rFonts w:eastAsia="MS Mincho" w:cstheme="minorHAnsi"/>
              </w:rPr>
              <w:t>n=247 (</w:t>
            </w:r>
            <w:r w:rsidR="00246377" w:rsidRPr="00017AE6">
              <w:rPr>
                <w:rFonts w:eastAsia="MS Mincho" w:cstheme="minorHAnsi"/>
              </w:rPr>
              <w:t>placebo)</w:t>
            </w:r>
          </w:p>
        </w:tc>
        <w:tc>
          <w:tcPr>
            <w:tcW w:w="851" w:type="pct"/>
          </w:tcPr>
          <w:p w14:paraId="269CF598" w14:textId="77777777" w:rsidR="00E31A6E" w:rsidRDefault="00246377" w:rsidP="00A71365">
            <w:pPr>
              <w:pStyle w:val="Tablewriting"/>
              <w:rPr>
                <w:rFonts w:eastAsia="MS Mincho" w:cstheme="minorHAnsi"/>
              </w:rPr>
            </w:pPr>
            <w:r>
              <w:rPr>
                <w:rFonts w:eastAsia="MS Mincho" w:cstheme="minorHAnsi"/>
              </w:rPr>
              <w:t>A</w:t>
            </w:r>
            <w:r w:rsidR="00510E42" w:rsidRPr="00017AE6">
              <w:rPr>
                <w:rFonts w:eastAsia="MS Mincho" w:cstheme="minorHAnsi"/>
              </w:rPr>
              <w:t>dult smokers with previous use of 2+ w</w:t>
            </w:r>
            <w:r>
              <w:rPr>
                <w:rFonts w:eastAsia="MS Mincho" w:cstheme="minorHAnsi"/>
              </w:rPr>
              <w:t>ee</w:t>
            </w:r>
            <w:r w:rsidR="00510E42" w:rsidRPr="00017AE6">
              <w:rPr>
                <w:rFonts w:eastAsia="MS Mincho" w:cstheme="minorHAnsi"/>
              </w:rPr>
              <w:t>ks of varenicline at least 3</w:t>
            </w:r>
            <w:r w:rsidR="00E31A6E">
              <w:rPr>
                <w:rFonts w:eastAsia="MS Mincho" w:cstheme="minorHAnsi"/>
              </w:rPr>
              <w:t xml:space="preserve"> </w:t>
            </w:r>
            <w:r w:rsidR="00510E42" w:rsidRPr="00017AE6">
              <w:rPr>
                <w:rFonts w:eastAsia="MS Mincho" w:cstheme="minorHAnsi"/>
              </w:rPr>
              <w:t>m</w:t>
            </w:r>
            <w:r w:rsidR="00E31A6E">
              <w:rPr>
                <w:rFonts w:eastAsia="MS Mincho" w:cstheme="minorHAnsi"/>
              </w:rPr>
              <w:t xml:space="preserve">onths </w:t>
            </w:r>
            <w:r w:rsidR="00510E42" w:rsidRPr="00017AE6">
              <w:rPr>
                <w:rFonts w:eastAsia="MS Mincho" w:cstheme="minorHAnsi"/>
              </w:rPr>
              <w:t xml:space="preserve">prior to screening, aged 18+, CPD 10+, motivated to quit. </w:t>
            </w:r>
          </w:p>
          <w:p w14:paraId="6AD424B7" w14:textId="27489586" w:rsidR="00510E42" w:rsidRPr="00017AE6" w:rsidRDefault="00510E42" w:rsidP="00A71365">
            <w:pPr>
              <w:pStyle w:val="Tablewriting"/>
              <w:rPr>
                <w:rFonts w:eastAsia="MS Mincho" w:cstheme="minorHAnsi"/>
              </w:rPr>
            </w:pPr>
            <w:r w:rsidRPr="00017AE6">
              <w:rPr>
                <w:rFonts w:eastAsia="MS Mincho" w:cstheme="minorHAnsi"/>
              </w:rPr>
              <w:t>Mean age 47.5, 50.4% women, 93% white,</w:t>
            </w:r>
          </w:p>
          <w:p w14:paraId="099E2E13" w14:textId="6E869FBC" w:rsidR="00C25F5E" w:rsidRPr="00017AE6" w:rsidRDefault="00510E42" w:rsidP="00A71365">
            <w:pPr>
              <w:pStyle w:val="Tablewriting"/>
              <w:rPr>
                <w:rFonts w:eastAsia="MS Mincho" w:cstheme="minorHAnsi"/>
              </w:rPr>
            </w:pPr>
            <w:r w:rsidRPr="00017AE6">
              <w:rPr>
                <w:rFonts w:eastAsia="MS Mincho" w:cstheme="minorHAnsi"/>
              </w:rPr>
              <w:t>mean CPD 20.5, mean FTND 5.5</w:t>
            </w:r>
            <w:r w:rsidR="00E31A6E">
              <w:rPr>
                <w:rFonts w:eastAsia="MS Mincho" w:cstheme="minorHAnsi"/>
              </w:rPr>
              <w:t>.</w:t>
            </w:r>
          </w:p>
        </w:tc>
        <w:tc>
          <w:tcPr>
            <w:tcW w:w="1054" w:type="pct"/>
          </w:tcPr>
          <w:p w14:paraId="323AD01F" w14:textId="28530222" w:rsidR="00510E42" w:rsidRPr="00017AE6" w:rsidRDefault="00510E42" w:rsidP="00C324F3">
            <w:pPr>
              <w:pStyle w:val="Tablewriting"/>
              <w:numPr>
                <w:ilvl w:val="0"/>
                <w:numId w:val="70"/>
              </w:numPr>
              <w:rPr>
                <w:rFonts w:eastAsia="MS Mincho" w:cstheme="minorHAnsi"/>
              </w:rPr>
            </w:pPr>
            <w:r w:rsidRPr="00017AE6">
              <w:rPr>
                <w:rFonts w:eastAsia="MS Mincho" w:cstheme="minorHAnsi"/>
              </w:rPr>
              <w:t>Varenicline 12 w</w:t>
            </w:r>
            <w:r w:rsidR="007D1835">
              <w:rPr>
                <w:rFonts w:eastAsia="MS Mincho" w:cstheme="minorHAnsi"/>
              </w:rPr>
              <w:t>ee</w:t>
            </w:r>
            <w:r w:rsidRPr="00017AE6">
              <w:rPr>
                <w:rFonts w:eastAsia="MS Mincho" w:cstheme="minorHAnsi"/>
              </w:rPr>
              <w:t>ks,</w:t>
            </w:r>
            <w:r w:rsidR="003E681D" w:rsidRPr="00017AE6">
              <w:rPr>
                <w:rFonts w:eastAsia="MS Mincho" w:cstheme="minorHAnsi"/>
              </w:rPr>
              <w:t xml:space="preserve"> </w:t>
            </w:r>
            <w:r w:rsidRPr="00017AE6">
              <w:rPr>
                <w:rFonts w:eastAsia="MS Mincho" w:cstheme="minorHAnsi"/>
              </w:rPr>
              <w:t>titrated in 1st w</w:t>
            </w:r>
            <w:r w:rsidR="007D1835">
              <w:rPr>
                <w:rFonts w:eastAsia="MS Mincho" w:cstheme="minorHAnsi"/>
              </w:rPr>
              <w:t>ee</w:t>
            </w:r>
            <w:r w:rsidRPr="00017AE6">
              <w:rPr>
                <w:rFonts w:eastAsia="MS Mincho" w:cstheme="minorHAnsi"/>
              </w:rPr>
              <w:t>k, 1 mg x 2/day</w:t>
            </w:r>
          </w:p>
          <w:p w14:paraId="154F05D0" w14:textId="5CC1B56C" w:rsidR="00510E42" w:rsidRPr="00017AE6" w:rsidRDefault="00510E42" w:rsidP="00C324F3">
            <w:pPr>
              <w:pStyle w:val="Tablewriting"/>
              <w:numPr>
                <w:ilvl w:val="0"/>
                <w:numId w:val="70"/>
              </w:numPr>
              <w:rPr>
                <w:rFonts w:eastAsia="MS Mincho" w:cstheme="minorHAnsi"/>
              </w:rPr>
            </w:pPr>
            <w:r w:rsidRPr="00017AE6">
              <w:rPr>
                <w:rFonts w:eastAsia="MS Mincho" w:cstheme="minorHAnsi"/>
              </w:rPr>
              <w:t>Placebo, identical regimen</w:t>
            </w:r>
          </w:p>
          <w:p w14:paraId="18DED78C" w14:textId="77777777" w:rsidR="002D620B" w:rsidRDefault="002D620B" w:rsidP="00A71365">
            <w:pPr>
              <w:pStyle w:val="Tablewriting"/>
              <w:rPr>
                <w:rFonts w:eastAsia="MS Mincho" w:cstheme="minorHAnsi"/>
                <w:u w:val="single"/>
              </w:rPr>
            </w:pPr>
          </w:p>
          <w:p w14:paraId="145A3F9C" w14:textId="2D3CECFF" w:rsidR="00C25F5E" w:rsidRPr="00017AE6" w:rsidRDefault="002D620B"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510E42" w:rsidRPr="00017AE6">
              <w:rPr>
                <w:rFonts w:eastAsia="MS Mincho" w:cstheme="minorHAnsi"/>
              </w:rPr>
              <w:t>Brief (&lt; 10 mins) counselling at each contact. TQD set for w</w:t>
            </w:r>
            <w:r>
              <w:rPr>
                <w:rFonts w:eastAsia="MS Mincho" w:cstheme="minorHAnsi"/>
              </w:rPr>
              <w:t>ee</w:t>
            </w:r>
            <w:r w:rsidR="00510E42" w:rsidRPr="00017AE6">
              <w:rPr>
                <w:rFonts w:eastAsia="MS Mincho" w:cstheme="minorHAnsi"/>
              </w:rPr>
              <w:t>k 1 visit. Clinic visits at w</w:t>
            </w:r>
            <w:r>
              <w:rPr>
                <w:rFonts w:eastAsia="MS Mincho" w:cstheme="minorHAnsi"/>
              </w:rPr>
              <w:t>ee</w:t>
            </w:r>
            <w:r w:rsidR="00510E42" w:rsidRPr="00017AE6">
              <w:rPr>
                <w:rFonts w:eastAsia="MS Mincho" w:cstheme="minorHAnsi"/>
              </w:rPr>
              <w:t>ks 1, 2, 3, 4, 6, 8, 9, 10, 11, 12; 13, 16, 24, 32, 40, 48, 52. Brief phone calls at w</w:t>
            </w:r>
            <w:r>
              <w:rPr>
                <w:rFonts w:eastAsia="MS Mincho" w:cstheme="minorHAnsi"/>
              </w:rPr>
              <w:t>ee</w:t>
            </w:r>
            <w:r w:rsidR="00510E42" w:rsidRPr="00017AE6">
              <w:rPr>
                <w:rFonts w:eastAsia="MS Mincho" w:cstheme="minorHAnsi"/>
              </w:rPr>
              <w:t xml:space="preserve">ks 5, 7, 14, 20, 36, </w:t>
            </w:r>
            <w:r w:rsidR="009E2A27" w:rsidRPr="00017AE6">
              <w:rPr>
                <w:rFonts w:eastAsia="MS Mincho" w:cstheme="minorHAnsi"/>
              </w:rPr>
              <w:t>and 44</w:t>
            </w:r>
            <w:r w:rsidR="00510E42" w:rsidRPr="00017AE6">
              <w:rPr>
                <w:rFonts w:eastAsia="MS Mincho" w:cstheme="minorHAnsi"/>
              </w:rPr>
              <w:t>. Dosage could be halved if intolerable</w:t>
            </w:r>
          </w:p>
        </w:tc>
        <w:tc>
          <w:tcPr>
            <w:tcW w:w="959" w:type="pct"/>
          </w:tcPr>
          <w:p w14:paraId="0BF8D1BC" w14:textId="77777777" w:rsidR="00DD4A03" w:rsidRDefault="00DD4A03" w:rsidP="00A71365">
            <w:pPr>
              <w:pStyle w:val="Tablewriting"/>
              <w:rPr>
                <w:rFonts w:eastAsia="MS Mincho" w:cstheme="minorHAnsi"/>
              </w:rPr>
            </w:pPr>
            <w:r w:rsidRPr="00DD4A03">
              <w:rPr>
                <w:rFonts w:eastAsia="MS Mincho" w:cstheme="minorHAnsi"/>
                <w:u w:val="single"/>
              </w:rPr>
              <w:t>Efficacy:</w:t>
            </w:r>
            <w:r>
              <w:rPr>
                <w:rFonts w:eastAsia="MS Mincho" w:cstheme="minorHAnsi"/>
              </w:rPr>
              <w:t xml:space="preserve"> </w:t>
            </w:r>
          </w:p>
          <w:p w14:paraId="64A474A8" w14:textId="047B4DEA" w:rsidR="003E681D" w:rsidRPr="00017AE6" w:rsidRDefault="003E681D" w:rsidP="00A71365">
            <w:pPr>
              <w:pStyle w:val="Tablewriting"/>
              <w:rPr>
                <w:rFonts w:eastAsia="MS Mincho" w:cstheme="minorHAnsi"/>
              </w:rPr>
            </w:pPr>
            <w:r w:rsidRPr="00017AE6">
              <w:rPr>
                <w:rFonts w:eastAsia="MS Mincho" w:cstheme="minorHAnsi"/>
              </w:rPr>
              <w:t>Primary: CAR at w</w:t>
            </w:r>
            <w:r w:rsidR="00DD4A03">
              <w:rPr>
                <w:rFonts w:eastAsia="MS Mincho" w:cstheme="minorHAnsi"/>
              </w:rPr>
              <w:t>ee</w:t>
            </w:r>
            <w:r w:rsidRPr="00017AE6">
              <w:rPr>
                <w:rFonts w:eastAsia="MS Mincho" w:cstheme="minorHAnsi"/>
              </w:rPr>
              <w:t xml:space="preserve">ks </w:t>
            </w:r>
            <w:r w:rsidR="00DD4A03">
              <w:rPr>
                <w:rFonts w:eastAsia="MS Mincho" w:cstheme="minorHAnsi"/>
              </w:rPr>
              <w:t>(</w:t>
            </w:r>
            <w:r w:rsidRPr="00017AE6">
              <w:rPr>
                <w:rFonts w:eastAsia="MS Mincho" w:cstheme="minorHAnsi"/>
              </w:rPr>
              <w:t xml:space="preserve">9 </w:t>
            </w:r>
            <w:r w:rsidR="00DD4A03">
              <w:rPr>
                <w:rFonts w:eastAsia="MS Mincho" w:cstheme="minorHAnsi"/>
              </w:rPr>
              <w:t>–</w:t>
            </w:r>
            <w:r w:rsidRPr="00017AE6">
              <w:rPr>
                <w:rFonts w:eastAsia="MS Mincho" w:cstheme="minorHAnsi"/>
              </w:rPr>
              <w:t xml:space="preserve"> 12</w:t>
            </w:r>
            <w:r w:rsidR="00DD4A03">
              <w:rPr>
                <w:rFonts w:eastAsia="MS Mincho" w:cstheme="minorHAnsi"/>
              </w:rPr>
              <w:t>)</w:t>
            </w:r>
            <w:r w:rsidRPr="00017AE6">
              <w:rPr>
                <w:rFonts w:eastAsia="MS Mincho" w:cstheme="minorHAnsi"/>
              </w:rPr>
              <w:t xml:space="preserve">, </w:t>
            </w:r>
            <w:r w:rsidR="00DD4A03">
              <w:rPr>
                <w:rFonts w:eastAsia="MS Mincho" w:cstheme="minorHAnsi"/>
              </w:rPr>
              <w:t>(</w:t>
            </w:r>
            <w:r w:rsidRPr="00017AE6">
              <w:rPr>
                <w:rFonts w:eastAsia="MS Mincho" w:cstheme="minorHAnsi"/>
              </w:rPr>
              <w:t xml:space="preserve">9 </w:t>
            </w:r>
            <w:r w:rsidR="00DD4A03">
              <w:rPr>
                <w:rFonts w:eastAsia="MS Mincho" w:cstheme="minorHAnsi"/>
              </w:rPr>
              <w:t>–</w:t>
            </w:r>
            <w:r w:rsidRPr="00017AE6">
              <w:rPr>
                <w:rFonts w:eastAsia="MS Mincho" w:cstheme="minorHAnsi"/>
              </w:rPr>
              <w:t xml:space="preserve"> 52</w:t>
            </w:r>
            <w:r w:rsidR="00DD4A03">
              <w:rPr>
                <w:rFonts w:eastAsia="MS Mincho" w:cstheme="minorHAnsi"/>
              </w:rPr>
              <w:t>)</w:t>
            </w:r>
            <w:r w:rsidR="00BD7D2A">
              <w:rPr>
                <w:rFonts w:eastAsia="MS Mincho" w:cstheme="minorHAnsi"/>
              </w:rPr>
              <w:t>;</w:t>
            </w:r>
          </w:p>
          <w:p w14:paraId="141C3FDA" w14:textId="506F1E28" w:rsidR="003E681D" w:rsidRPr="00017AE6" w:rsidRDefault="003E681D" w:rsidP="00A71365">
            <w:pPr>
              <w:pStyle w:val="Tablewriting"/>
              <w:rPr>
                <w:rFonts w:eastAsia="MS Mincho" w:cstheme="minorHAnsi"/>
              </w:rPr>
            </w:pPr>
            <w:r w:rsidRPr="00017AE6">
              <w:rPr>
                <w:rFonts w:eastAsia="MS Mincho" w:cstheme="minorHAnsi"/>
              </w:rPr>
              <w:t>Secondary: CAR at w</w:t>
            </w:r>
            <w:r w:rsidR="00BD7D2A">
              <w:rPr>
                <w:rFonts w:eastAsia="MS Mincho" w:cstheme="minorHAnsi"/>
              </w:rPr>
              <w:t>ee</w:t>
            </w:r>
            <w:r w:rsidRPr="00017AE6">
              <w:rPr>
                <w:rFonts w:eastAsia="MS Mincho" w:cstheme="minorHAnsi"/>
              </w:rPr>
              <w:t xml:space="preserve">ks </w:t>
            </w:r>
            <w:r w:rsidR="00BD7D2A">
              <w:rPr>
                <w:rFonts w:eastAsia="MS Mincho" w:cstheme="minorHAnsi"/>
              </w:rPr>
              <w:t>(</w:t>
            </w:r>
            <w:r w:rsidRPr="00017AE6">
              <w:rPr>
                <w:rFonts w:eastAsia="MS Mincho" w:cstheme="minorHAnsi"/>
              </w:rPr>
              <w:t xml:space="preserve">9 </w:t>
            </w:r>
            <w:r w:rsidR="00BD7D2A">
              <w:rPr>
                <w:rFonts w:eastAsia="MS Mincho" w:cstheme="minorHAnsi"/>
              </w:rPr>
              <w:t>–</w:t>
            </w:r>
            <w:r w:rsidRPr="00017AE6">
              <w:rPr>
                <w:rFonts w:eastAsia="MS Mincho" w:cstheme="minorHAnsi"/>
              </w:rPr>
              <w:t xml:space="preserve"> 24</w:t>
            </w:r>
            <w:r w:rsidR="00BD7D2A">
              <w:rPr>
                <w:rFonts w:eastAsia="MS Mincho" w:cstheme="minorHAnsi"/>
              </w:rPr>
              <w:t>)</w:t>
            </w:r>
            <w:r w:rsidRPr="00017AE6">
              <w:rPr>
                <w:rFonts w:eastAsia="MS Mincho" w:cstheme="minorHAnsi"/>
              </w:rPr>
              <w:t>; 7-day PPA at w</w:t>
            </w:r>
            <w:r w:rsidR="00BD7D2A">
              <w:rPr>
                <w:rFonts w:eastAsia="MS Mincho" w:cstheme="minorHAnsi"/>
              </w:rPr>
              <w:t>ee</w:t>
            </w:r>
            <w:r w:rsidRPr="00017AE6">
              <w:rPr>
                <w:rFonts w:eastAsia="MS Mincho" w:cstheme="minorHAnsi"/>
              </w:rPr>
              <w:t>ks 12, 24, 52</w:t>
            </w:r>
            <w:r w:rsidR="00BD7D2A">
              <w:rPr>
                <w:rFonts w:eastAsia="MS Mincho" w:cstheme="minorHAnsi"/>
              </w:rPr>
              <w:t>.</w:t>
            </w:r>
          </w:p>
          <w:p w14:paraId="4E348D7C" w14:textId="65EA0431" w:rsidR="00BD7D2A" w:rsidRDefault="00A23B5C" w:rsidP="00A71365">
            <w:pPr>
              <w:pStyle w:val="Tablewriting"/>
              <w:rPr>
                <w:rFonts w:eastAsia="MS Mincho" w:cstheme="minorHAnsi"/>
              </w:rPr>
            </w:pPr>
            <w:r w:rsidRPr="00017AE6">
              <w:rPr>
                <w:rFonts w:eastAsia="MS Mincho" w:cstheme="minorHAnsi"/>
              </w:rPr>
              <w:t>Validation: CO &lt; 10 ppm</w:t>
            </w:r>
          </w:p>
          <w:p w14:paraId="43EB6B14" w14:textId="77777777" w:rsidR="001729DF" w:rsidRDefault="001729DF" w:rsidP="00A71365">
            <w:pPr>
              <w:pStyle w:val="Tablewriting"/>
              <w:rPr>
                <w:rFonts w:eastAsia="MS Mincho" w:cstheme="minorHAnsi"/>
              </w:rPr>
            </w:pPr>
          </w:p>
          <w:p w14:paraId="53F0E30E" w14:textId="62366000" w:rsidR="0001662B" w:rsidRPr="00017AE6" w:rsidRDefault="0001662B" w:rsidP="00A71365">
            <w:pPr>
              <w:pStyle w:val="Tablewriting"/>
              <w:rPr>
                <w:rFonts w:eastAsia="MS Mincho" w:cstheme="minorHAnsi"/>
              </w:rPr>
            </w:pPr>
            <w:r w:rsidRPr="0001662B">
              <w:rPr>
                <w:rFonts w:eastAsia="MS Mincho" w:cstheme="minorHAnsi"/>
                <w:u w:val="single"/>
              </w:rPr>
              <w:t>Safety:</w:t>
            </w:r>
            <w:r>
              <w:rPr>
                <w:rFonts w:eastAsia="MS Mincho" w:cstheme="minorHAnsi"/>
              </w:rPr>
              <w:t xml:space="preserve"> NR</w:t>
            </w:r>
          </w:p>
          <w:p w14:paraId="179050C1" w14:textId="77777777" w:rsidR="003E681D" w:rsidRPr="00017AE6" w:rsidRDefault="003E681D" w:rsidP="00A71365">
            <w:pPr>
              <w:pStyle w:val="Tablewriting"/>
              <w:rPr>
                <w:rFonts w:eastAsia="MS Mincho" w:cstheme="minorHAnsi"/>
              </w:rPr>
            </w:pPr>
          </w:p>
          <w:p w14:paraId="3D08EBF4" w14:textId="77777777" w:rsidR="0001662B" w:rsidRDefault="0001662B" w:rsidP="00A71365">
            <w:pPr>
              <w:pStyle w:val="Tablewriting"/>
              <w:rPr>
                <w:rFonts w:eastAsia="MS Mincho" w:cstheme="minorHAnsi"/>
                <w:u w:val="single"/>
              </w:rPr>
            </w:pPr>
          </w:p>
          <w:p w14:paraId="6546F9B1" w14:textId="14B7B010" w:rsidR="003E681D" w:rsidRPr="00017AE6" w:rsidRDefault="003E681D" w:rsidP="00A71365">
            <w:pPr>
              <w:pStyle w:val="Tablewriting"/>
              <w:rPr>
                <w:rFonts w:eastAsia="MS Mincho" w:cstheme="minorHAnsi"/>
              </w:rPr>
            </w:pPr>
          </w:p>
        </w:tc>
      </w:tr>
      <w:tr w:rsidR="003D3459" w:rsidRPr="00017AE6" w14:paraId="61D8306D" w14:textId="77777777" w:rsidTr="005821B1">
        <w:trPr>
          <w:trHeight w:val="99"/>
        </w:trPr>
        <w:tc>
          <w:tcPr>
            <w:tcW w:w="761" w:type="pct"/>
          </w:tcPr>
          <w:p w14:paraId="2E1A6650" w14:textId="2A5684D8" w:rsidR="00C25F5E" w:rsidRPr="00017AE6" w:rsidRDefault="00C25F5E" w:rsidP="00A71365">
            <w:pPr>
              <w:pStyle w:val="Tablewriting"/>
              <w:rPr>
                <w:rFonts w:eastAsia="MS Mincho" w:cstheme="minorHAnsi"/>
              </w:rPr>
            </w:pPr>
            <w:r w:rsidRPr="00017AE6">
              <w:rPr>
                <w:rFonts w:eastAsia="MS Mincho" w:cstheme="minorHAnsi"/>
              </w:rPr>
              <w:lastRenderedPageBreak/>
              <w:t xml:space="preserve">Heydari </w:t>
            </w:r>
            <w:r w:rsidR="00F143BB">
              <w:rPr>
                <w:rFonts w:eastAsia="MS Mincho" w:cstheme="minorHAnsi"/>
              </w:rPr>
              <w:t>(</w:t>
            </w:r>
            <w:r w:rsidRPr="00017AE6">
              <w:rPr>
                <w:rFonts w:eastAsia="MS Mincho" w:cstheme="minorHAnsi"/>
              </w:rPr>
              <w:t>2012</w:t>
            </w:r>
            <w:r w:rsidR="00F143BB">
              <w:rPr>
                <w:rFonts w:eastAsia="MS Mincho" w:cstheme="minorHAnsi"/>
              </w:rPr>
              <w:t>)</w:t>
            </w:r>
          </w:p>
        </w:tc>
        <w:tc>
          <w:tcPr>
            <w:tcW w:w="235" w:type="pct"/>
          </w:tcPr>
          <w:p w14:paraId="45D3D923" w14:textId="43A2EC45"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6B3DF7E4" w14:textId="440D53F3" w:rsidR="00C25F5E" w:rsidRPr="00017AE6" w:rsidRDefault="003F4843" w:rsidP="00A71365">
            <w:pPr>
              <w:pStyle w:val="Tablewriting"/>
              <w:rPr>
                <w:rFonts w:eastAsia="MS Mincho" w:cstheme="minorHAnsi"/>
              </w:rPr>
            </w:pPr>
            <w:r w:rsidRPr="00017AE6">
              <w:rPr>
                <w:rFonts w:eastAsia="MS Mincho" w:cstheme="minorHAnsi"/>
              </w:rPr>
              <w:t>Iran</w:t>
            </w:r>
          </w:p>
        </w:tc>
        <w:tc>
          <w:tcPr>
            <w:tcW w:w="679" w:type="pct"/>
          </w:tcPr>
          <w:p w14:paraId="08573126" w14:textId="77777777" w:rsidR="001F5476" w:rsidRDefault="00C25F5E" w:rsidP="00A71365">
            <w:pPr>
              <w:pStyle w:val="Tablewriting"/>
              <w:rPr>
                <w:rFonts w:eastAsia="MS Mincho" w:cstheme="minorHAnsi"/>
              </w:rPr>
            </w:pPr>
            <w:r w:rsidRPr="00017AE6">
              <w:rPr>
                <w:rFonts w:eastAsia="MS Mincho" w:cstheme="minorHAnsi"/>
              </w:rPr>
              <w:t>N=</w:t>
            </w:r>
            <w:r w:rsidR="003F4843" w:rsidRPr="00017AE6">
              <w:rPr>
                <w:rFonts w:eastAsia="MS Mincho" w:cstheme="minorHAnsi"/>
              </w:rPr>
              <w:t>272</w:t>
            </w:r>
            <w:r w:rsidR="009E5534">
              <w:rPr>
                <w:rFonts w:eastAsia="MS Mincho" w:cstheme="minorHAnsi"/>
              </w:rPr>
              <w:t xml:space="preserve">; </w:t>
            </w:r>
          </w:p>
          <w:p w14:paraId="435BE069" w14:textId="1123B614" w:rsidR="00C25F5E" w:rsidRPr="00017AE6" w:rsidRDefault="001F5476" w:rsidP="00A71365">
            <w:pPr>
              <w:pStyle w:val="Tablewriting"/>
              <w:rPr>
                <w:rFonts w:eastAsia="MS Mincho" w:cstheme="minorHAnsi"/>
              </w:rPr>
            </w:pPr>
            <w:r>
              <w:rPr>
                <w:rFonts w:eastAsia="MS Mincho" w:cstheme="minorHAnsi"/>
              </w:rPr>
              <w:t>n=91 (b</w:t>
            </w:r>
            <w:r w:rsidR="009E5534" w:rsidRPr="00017AE6">
              <w:rPr>
                <w:rFonts w:eastAsia="MS Mincho" w:cstheme="minorHAnsi"/>
              </w:rPr>
              <w:t>rief advice</w:t>
            </w:r>
            <w:r>
              <w:rPr>
                <w:rFonts w:eastAsia="MS Mincho" w:cstheme="minorHAnsi"/>
              </w:rPr>
              <w:t>)</w:t>
            </w:r>
            <w:r w:rsidR="009E5534" w:rsidRPr="00017AE6">
              <w:rPr>
                <w:rFonts w:eastAsia="MS Mincho" w:cstheme="minorHAnsi"/>
              </w:rPr>
              <w:t xml:space="preserve">, </w:t>
            </w:r>
            <w:r>
              <w:rPr>
                <w:rFonts w:eastAsia="MS Mincho" w:cstheme="minorHAnsi"/>
              </w:rPr>
              <w:t>n=92 (</w:t>
            </w:r>
            <w:r w:rsidR="009E5534" w:rsidRPr="00017AE6">
              <w:rPr>
                <w:rFonts w:eastAsia="MS Mincho" w:cstheme="minorHAnsi"/>
              </w:rPr>
              <w:t xml:space="preserve">NRT), </w:t>
            </w:r>
            <w:r>
              <w:rPr>
                <w:rFonts w:eastAsia="MS Mincho" w:cstheme="minorHAnsi"/>
              </w:rPr>
              <w:t>n=89 (</w:t>
            </w:r>
            <w:r w:rsidR="009E5534" w:rsidRPr="00017AE6">
              <w:rPr>
                <w:rFonts w:eastAsia="MS Mincho" w:cstheme="minorHAnsi"/>
              </w:rPr>
              <w:t>varenicline).</w:t>
            </w:r>
          </w:p>
        </w:tc>
        <w:tc>
          <w:tcPr>
            <w:tcW w:w="851" w:type="pct"/>
          </w:tcPr>
          <w:p w14:paraId="36BCFC47" w14:textId="2A8420BC" w:rsidR="00C25F5E" w:rsidRPr="00017AE6" w:rsidRDefault="009E5534" w:rsidP="00A71365">
            <w:pPr>
              <w:pStyle w:val="Tablewriting"/>
              <w:rPr>
                <w:rFonts w:eastAsia="MS Mincho" w:cstheme="minorHAnsi"/>
              </w:rPr>
            </w:pPr>
            <w:r>
              <w:rPr>
                <w:rFonts w:eastAsia="MS Mincho" w:cstheme="minorHAnsi"/>
              </w:rPr>
              <w:t>T</w:t>
            </w:r>
            <w:r w:rsidR="003F4843" w:rsidRPr="00017AE6">
              <w:rPr>
                <w:rFonts w:eastAsia="MS Mincho" w:cstheme="minorHAnsi"/>
              </w:rPr>
              <w:t>reatment-seeking participants</w:t>
            </w:r>
            <w:r>
              <w:rPr>
                <w:rFonts w:eastAsia="MS Mincho" w:cstheme="minorHAnsi"/>
              </w:rPr>
              <w:t>;</w:t>
            </w:r>
            <w:r w:rsidR="003F4843" w:rsidRPr="00017AE6">
              <w:rPr>
                <w:rFonts w:eastAsia="MS Mincho" w:cstheme="minorHAnsi"/>
              </w:rPr>
              <w:t xml:space="preserve"> 41.2% women, mean age 42.5 y</w:t>
            </w:r>
            <w:r>
              <w:rPr>
                <w:rFonts w:eastAsia="MS Mincho" w:cstheme="minorHAnsi"/>
              </w:rPr>
              <w:t>ea</w:t>
            </w:r>
            <w:r w:rsidR="003F4843" w:rsidRPr="00017AE6">
              <w:rPr>
                <w:rFonts w:eastAsia="MS Mincho" w:cstheme="minorHAnsi"/>
              </w:rPr>
              <w:t>rs, mean FTND 5.5</w:t>
            </w:r>
            <w:r>
              <w:rPr>
                <w:rFonts w:eastAsia="MS Mincho" w:cstheme="minorHAnsi"/>
              </w:rPr>
              <w:t>.</w:t>
            </w:r>
          </w:p>
        </w:tc>
        <w:tc>
          <w:tcPr>
            <w:tcW w:w="1054" w:type="pct"/>
          </w:tcPr>
          <w:p w14:paraId="75FB8528" w14:textId="1BBCF393" w:rsidR="006B02DA" w:rsidRDefault="003F4843" w:rsidP="00C324F3">
            <w:pPr>
              <w:pStyle w:val="Tablewriting"/>
              <w:numPr>
                <w:ilvl w:val="0"/>
                <w:numId w:val="71"/>
              </w:numPr>
              <w:rPr>
                <w:rFonts w:eastAsia="MS Mincho" w:cstheme="minorHAnsi"/>
              </w:rPr>
            </w:pPr>
            <w:r w:rsidRPr="00017AE6">
              <w:rPr>
                <w:rFonts w:eastAsia="MS Mincho" w:cstheme="minorHAnsi"/>
              </w:rPr>
              <w:t>Control group</w:t>
            </w:r>
            <w:r w:rsidR="008D3F54">
              <w:rPr>
                <w:rFonts w:eastAsia="MS Mincho" w:cstheme="minorHAnsi"/>
              </w:rPr>
              <w:t>;</w:t>
            </w:r>
            <w:r w:rsidRPr="00017AE6">
              <w:rPr>
                <w:rFonts w:eastAsia="MS Mincho" w:cstheme="minorHAnsi"/>
              </w:rPr>
              <w:t xml:space="preserve"> no pharmacotherapy</w:t>
            </w:r>
          </w:p>
          <w:p w14:paraId="0E83992E" w14:textId="4F774EB5" w:rsidR="008D3F54" w:rsidRDefault="003F4843" w:rsidP="00C324F3">
            <w:pPr>
              <w:pStyle w:val="Tablewriting"/>
              <w:numPr>
                <w:ilvl w:val="0"/>
                <w:numId w:val="71"/>
              </w:numPr>
              <w:rPr>
                <w:rFonts w:eastAsia="MS Mincho" w:cstheme="minorHAnsi"/>
              </w:rPr>
            </w:pPr>
            <w:r w:rsidRPr="006B02DA">
              <w:rPr>
                <w:rFonts w:eastAsia="MS Mincho" w:cstheme="minorHAnsi"/>
              </w:rPr>
              <w:t>NRT</w:t>
            </w:r>
            <w:r w:rsidR="008D3F54">
              <w:rPr>
                <w:rFonts w:eastAsia="MS Mincho" w:cstheme="minorHAnsi"/>
              </w:rPr>
              <w:t xml:space="preserve">; </w:t>
            </w:r>
            <w:r w:rsidRPr="006B02DA">
              <w:rPr>
                <w:rFonts w:eastAsia="MS Mincho" w:cstheme="minorHAnsi"/>
              </w:rPr>
              <w:t>8 w</w:t>
            </w:r>
            <w:r w:rsidR="006B02DA">
              <w:rPr>
                <w:rFonts w:eastAsia="MS Mincho" w:cstheme="minorHAnsi"/>
              </w:rPr>
              <w:t>ee</w:t>
            </w:r>
            <w:r w:rsidRPr="006B02DA">
              <w:rPr>
                <w:rFonts w:eastAsia="MS Mincho" w:cstheme="minorHAnsi"/>
              </w:rPr>
              <w:t>ks of 15 mg NRT patches</w:t>
            </w:r>
          </w:p>
          <w:p w14:paraId="30739C68" w14:textId="47500099" w:rsidR="00C25F5E" w:rsidRPr="008D3F54" w:rsidRDefault="008D3F54" w:rsidP="00C324F3">
            <w:pPr>
              <w:pStyle w:val="Tablewriting"/>
              <w:numPr>
                <w:ilvl w:val="0"/>
                <w:numId w:val="71"/>
              </w:numPr>
              <w:rPr>
                <w:rFonts w:eastAsia="MS Mincho" w:cstheme="minorHAnsi"/>
              </w:rPr>
            </w:pPr>
            <w:r>
              <w:rPr>
                <w:rFonts w:eastAsia="MS Mincho" w:cstheme="minorHAnsi"/>
              </w:rPr>
              <w:t>Varenicline;</w:t>
            </w:r>
            <w:r w:rsidR="00F46133">
              <w:rPr>
                <w:rFonts w:eastAsia="MS Mincho" w:cstheme="minorHAnsi"/>
              </w:rPr>
              <w:t xml:space="preserve"> </w:t>
            </w:r>
            <w:r w:rsidR="003F4843" w:rsidRPr="008D3F54">
              <w:rPr>
                <w:rFonts w:eastAsia="MS Mincho" w:cstheme="minorHAnsi"/>
              </w:rPr>
              <w:t>8 w</w:t>
            </w:r>
            <w:r>
              <w:rPr>
                <w:rFonts w:eastAsia="MS Mincho" w:cstheme="minorHAnsi"/>
              </w:rPr>
              <w:t>ee</w:t>
            </w:r>
            <w:r w:rsidR="003F4843" w:rsidRPr="008D3F54">
              <w:rPr>
                <w:rFonts w:eastAsia="MS Mincho" w:cstheme="minorHAnsi"/>
              </w:rPr>
              <w:t>ks of 1 mg x 2/day varenicline (titrated 1st w</w:t>
            </w:r>
            <w:r w:rsidR="0061466F">
              <w:rPr>
                <w:rFonts w:eastAsia="MS Mincho" w:cstheme="minorHAnsi"/>
              </w:rPr>
              <w:t>ee</w:t>
            </w:r>
            <w:r w:rsidR="003F4843" w:rsidRPr="008D3F54">
              <w:rPr>
                <w:rFonts w:eastAsia="MS Mincho" w:cstheme="minorHAnsi"/>
              </w:rPr>
              <w:t>k)</w:t>
            </w:r>
          </w:p>
          <w:p w14:paraId="74046A07" w14:textId="77777777" w:rsidR="006B02DA" w:rsidRDefault="006B02DA" w:rsidP="00A71365">
            <w:pPr>
              <w:pStyle w:val="Tablewriting"/>
              <w:rPr>
                <w:rFonts w:eastAsia="MS Mincho" w:cstheme="minorHAnsi"/>
              </w:rPr>
            </w:pPr>
          </w:p>
          <w:p w14:paraId="68648BF9" w14:textId="0C28D07D" w:rsidR="003F4843" w:rsidRPr="00017AE6" w:rsidRDefault="006B02DA"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3F4843" w:rsidRPr="00017AE6">
              <w:rPr>
                <w:rFonts w:eastAsia="MS Mincho" w:cstheme="minorHAnsi"/>
              </w:rPr>
              <w:t>All participants were managed by the same physician. All received brief (5 mins) education and counselling</w:t>
            </w:r>
          </w:p>
          <w:p w14:paraId="0B270B5C" w14:textId="14D2F573" w:rsidR="00C25F5E" w:rsidRPr="00017AE6" w:rsidRDefault="003F4843" w:rsidP="00A71365">
            <w:pPr>
              <w:pStyle w:val="Tablewriting"/>
              <w:rPr>
                <w:rFonts w:eastAsia="MS Mincho" w:cstheme="minorHAnsi"/>
              </w:rPr>
            </w:pPr>
            <w:r w:rsidRPr="00017AE6">
              <w:rPr>
                <w:rFonts w:eastAsia="MS Mincho" w:cstheme="minorHAnsi"/>
              </w:rPr>
              <w:t>at 4 x weekly sessions. TQD was day 14</w:t>
            </w:r>
            <w:r w:rsidR="006B02DA">
              <w:rPr>
                <w:rFonts w:eastAsia="MS Mincho" w:cstheme="minorHAnsi"/>
              </w:rPr>
              <w:t>.</w:t>
            </w:r>
          </w:p>
        </w:tc>
        <w:tc>
          <w:tcPr>
            <w:tcW w:w="959" w:type="pct"/>
          </w:tcPr>
          <w:p w14:paraId="0C19543A" w14:textId="1F8023ED" w:rsidR="00BA4E89" w:rsidRDefault="0022200A" w:rsidP="00A71365">
            <w:pPr>
              <w:pStyle w:val="Tablewriting"/>
              <w:rPr>
                <w:rFonts w:eastAsia="MS Mincho" w:cstheme="minorHAnsi"/>
              </w:rPr>
            </w:pPr>
            <w:r w:rsidRPr="0022200A">
              <w:rPr>
                <w:rFonts w:eastAsia="MS Mincho" w:cstheme="minorHAnsi"/>
                <w:u w:val="single"/>
              </w:rPr>
              <w:t>Efficacy:</w:t>
            </w:r>
            <w:r>
              <w:rPr>
                <w:rFonts w:eastAsia="MS Mincho" w:cstheme="minorHAnsi"/>
              </w:rPr>
              <w:t xml:space="preserve"> </w:t>
            </w:r>
            <w:r w:rsidR="0017631E" w:rsidRPr="00017AE6">
              <w:rPr>
                <w:rFonts w:eastAsia="MS Mincho" w:cstheme="minorHAnsi"/>
              </w:rPr>
              <w:t xml:space="preserve">Abstinence at 6 and </w:t>
            </w:r>
            <w:r>
              <w:rPr>
                <w:rFonts w:eastAsia="MS Mincho" w:cstheme="minorHAnsi"/>
              </w:rPr>
              <w:t xml:space="preserve">12 </w:t>
            </w:r>
            <w:r w:rsidR="0017631E" w:rsidRPr="00017AE6">
              <w:rPr>
                <w:rFonts w:eastAsia="MS Mincho" w:cstheme="minorHAnsi"/>
              </w:rPr>
              <w:t>m</w:t>
            </w:r>
            <w:r>
              <w:rPr>
                <w:rFonts w:eastAsia="MS Mincho" w:cstheme="minorHAnsi"/>
              </w:rPr>
              <w:t>onths</w:t>
            </w:r>
            <w:r w:rsidR="00BA4E89">
              <w:rPr>
                <w:rFonts w:eastAsia="MS Mincho" w:cstheme="minorHAnsi"/>
              </w:rPr>
              <w:t>.</w:t>
            </w:r>
          </w:p>
          <w:p w14:paraId="7F1EF0A3" w14:textId="77777777" w:rsidR="002C190D" w:rsidRDefault="002C190D" w:rsidP="00A71365">
            <w:pPr>
              <w:pStyle w:val="Tablewriting"/>
              <w:rPr>
                <w:rFonts w:eastAsia="MS Mincho" w:cstheme="minorHAnsi"/>
              </w:rPr>
            </w:pPr>
          </w:p>
          <w:p w14:paraId="249F95D4" w14:textId="76859E83" w:rsidR="00BA4E89" w:rsidRDefault="002C190D" w:rsidP="00A71365">
            <w:pPr>
              <w:pStyle w:val="Tablewriting"/>
              <w:rPr>
                <w:rFonts w:eastAsia="MS Mincho" w:cstheme="minorHAnsi"/>
                <w:u w:val="single"/>
              </w:rPr>
            </w:pPr>
            <w:r w:rsidRPr="0001662B">
              <w:rPr>
                <w:rFonts w:eastAsia="MS Mincho" w:cstheme="minorHAnsi"/>
              </w:rPr>
              <w:t>Validation:</w:t>
            </w:r>
            <w:r w:rsidRPr="00017AE6">
              <w:rPr>
                <w:rFonts w:eastAsia="MS Mincho" w:cstheme="minorHAnsi"/>
              </w:rPr>
              <w:t xml:space="preserve"> CO (cut-o</w:t>
            </w:r>
            <w:r>
              <w:rPr>
                <w:rFonts w:eastAsia="MS Mincho" w:cstheme="minorHAnsi"/>
              </w:rPr>
              <w:t>ff</w:t>
            </w:r>
            <w:r w:rsidRPr="00017AE6">
              <w:rPr>
                <w:rFonts w:eastAsia="MS Mincho" w:cstheme="minorHAnsi"/>
              </w:rPr>
              <w:t xml:space="preserve"> value not given)</w:t>
            </w:r>
            <w:r>
              <w:rPr>
                <w:rFonts w:eastAsia="MS Mincho" w:cstheme="minorHAnsi"/>
              </w:rPr>
              <w:t>.</w:t>
            </w:r>
          </w:p>
          <w:p w14:paraId="3A6F79DD" w14:textId="77777777" w:rsidR="002C190D" w:rsidRDefault="002C190D" w:rsidP="00A71365">
            <w:pPr>
              <w:pStyle w:val="Tablewriting"/>
              <w:rPr>
                <w:rFonts w:eastAsia="MS Mincho" w:cstheme="minorHAnsi"/>
                <w:u w:val="single"/>
              </w:rPr>
            </w:pPr>
          </w:p>
          <w:p w14:paraId="2E2B4F70" w14:textId="701D06ED" w:rsidR="00BA4E89" w:rsidRDefault="00BA4E89" w:rsidP="00A71365">
            <w:pPr>
              <w:pStyle w:val="Tablewriting"/>
              <w:rPr>
                <w:rFonts w:eastAsia="MS Mincho" w:cstheme="minorHAnsi"/>
                <w:u w:val="single"/>
              </w:rPr>
            </w:pPr>
            <w:r w:rsidRPr="00BA4E89">
              <w:rPr>
                <w:rFonts w:eastAsia="MS Mincho" w:cstheme="minorHAnsi"/>
                <w:u w:val="single"/>
              </w:rPr>
              <w:t>Safety:</w:t>
            </w:r>
            <w:r>
              <w:rPr>
                <w:rFonts w:eastAsia="MS Mincho" w:cstheme="minorHAnsi"/>
                <w:u w:val="single"/>
              </w:rPr>
              <w:t xml:space="preserve"> NR</w:t>
            </w:r>
          </w:p>
          <w:p w14:paraId="2E5FA219" w14:textId="77777777" w:rsidR="00BA4E89" w:rsidRDefault="00BA4E89" w:rsidP="00A71365">
            <w:pPr>
              <w:pStyle w:val="Tablewriting"/>
              <w:rPr>
                <w:rFonts w:eastAsia="MS Mincho" w:cstheme="minorHAnsi"/>
              </w:rPr>
            </w:pPr>
          </w:p>
          <w:p w14:paraId="481E7D6A" w14:textId="77777777" w:rsidR="00BA4E89" w:rsidRDefault="00BA4E89" w:rsidP="00A71365">
            <w:pPr>
              <w:pStyle w:val="Tablewriting"/>
              <w:rPr>
                <w:rFonts w:eastAsia="MS Mincho" w:cstheme="minorHAnsi"/>
              </w:rPr>
            </w:pPr>
          </w:p>
          <w:p w14:paraId="73EB7A8C" w14:textId="4AB96D63" w:rsidR="00C25F5E" w:rsidRPr="00017AE6" w:rsidRDefault="00C25F5E" w:rsidP="00A71365">
            <w:pPr>
              <w:pStyle w:val="Tablewriting"/>
              <w:rPr>
                <w:rFonts w:eastAsia="MS Mincho" w:cstheme="minorHAnsi"/>
              </w:rPr>
            </w:pPr>
          </w:p>
        </w:tc>
      </w:tr>
      <w:tr w:rsidR="003D3459" w:rsidRPr="00017AE6" w14:paraId="454F35E2" w14:textId="77777777" w:rsidTr="005821B1">
        <w:trPr>
          <w:trHeight w:val="99"/>
        </w:trPr>
        <w:tc>
          <w:tcPr>
            <w:tcW w:w="761" w:type="pct"/>
          </w:tcPr>
          <w:p w14:paraId="3DC6B371" w14:textId="44EDC149" w:rsidR="00C25F5E" w:rsidRPr="00017AE6" w:rsidRDefault="00C25F5E" w:rsidP="00A71365">
            <w:pPr>
              <w:pStyle w:val="Tablewriting"/>
              <w:rPr>
                <w:rFonts w:eastAsia="MS Mincho" w:cstheme="minorHAnsi"/>
              </w:rPr>
            </w:pPr>
            <w:r w:rsidRPr="00017AE6">
              <w:rPr>
                <w:rFonts w:eastAsia="MS Mincho" w:cstheme="minorHAnsi"/>
              </w:rPr>
              <w:t xml:space="preserve">Jorenby </w:t>
            </w:r>
            <w:r w:rsidR="00F143BB">
              <w:rPr>
                <w:rFonts w:eastAsia="MS Mincho" w:cstheme="minorHAnsi"/>
              </w:rPr>
              <w:t>(</w:t>
            </w:r>
            <w:r w:rsidRPr="00017AE6">
              <w:rPr>
                <w:rFonts w:eastAsia="MS Mincho" w:cstheme="minorHAnsi"/>
              </w:rPr>
              <w:t>2006</w:t>
            </w:r>
            <w:r w:rsidR="00F143BB">
              <w:rPr>
                <w:rFonts w:eastAsia="MS Mincho" w:cstheme="minorHAnsi"/>
              </w:rPr>
              <w:t>)</w:t>
            </w:r>
          </w:p>
        </w:tc>
        <w:tc>
          <w:tcPr>
            <w:tcW w:w="235" w:type="pct"/>
          </w:tcPr>
          <w:p w14:paraId="0ADEDAD5" w14:textId="5C4EDCCB"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227DDC9F" w14:textId="788B7D4A" w:rsidR="00C25F5E" w:rsidRPr="00017AE6" w:rsidRDefault="00E16B93" w:rsidP="00A71365">
            <w:pPr>
              <w:pStyle w:val="Tablewriting"/>
              <w:rPr>
                <w:rFonts w:eastAsia="MS Mincho" w:cstheme="minorHAnsi"/>
              </w:rPr>
            </w:pPr>
            <w:r w:rsidRPr="00017AE6">
              <w:rPr>
                <w:rFonts w:eastAsia="MS Mincho" w:cstheme="minorHAnsi"/>
              </w:rPr>
              <w:t>USA</w:t>
            </w:r>
          </w:p>
        </w:tc>
        <w:tc>
          <w:tcPr>
            <w:tcW w:w="679" w:type="pct"/>
          </w:tcPr>
          <w:p w14:paraId="51857EED" w14:textId="7689B77D" w:rsidR="00C25F5E" w:rsidRPr="00017AE6" w:rsidRDefault="00C25F5E" w:rsidP="00A71365">
            <w:pPr>
              <w:pStyle w:val="Tablewriting"/>
              <w:rPr>
                <w:rFonts w:eastAsia="MS Mincho" w:cstheme="minorHAnsi"/>
              </w:rPr>
            </w:pPr>
            <w:r w:rsidRPr="00017AE6">
              <w:rPr>
                <w:rFonts w:eastAsia="MS Mincho" w:cstheme="minorHAnsi"/>
              </w:rPr>
              <w:t>N=</w:t>
            </w:r>
            <w:r w:rsidR="00E16B93" w:rsidRPr="00017AE6">
              <w:rPr>
                <w:rFonts w:eastAsia="MS Mincho" w:cstheme="minorHAnsi"/>
              </w:rPr>
              <w:t>1027</w:t>
            </w:r>
            <w:r w:rsidR="008C6988">
              <w:rPr>
                <w:rFonts w:eastAsia="MS Mincho" w:cstheme="minorHAnsi"/>
              </w:rPr>
              <w:t xml:space="preserve">; </w:t>
            </w:r>
            <w:r w:rsidR="008C6988" w:rsidRPr="00017AE6">
              <w:rPr>
                <w:rFonts w:eastAsia="MS Mincho" w:cstheme="minorHAnsi"/>
              </w:rPr>
              <w:t>Allocated to varenicline (344), bupropion (342) or placebo (341)</w:t>
            </w:r>
          </w:p>
        </w:tc>
        <w:tc>
          <w:tcPr>
            <w:tcW w:w="851" w:type="pct"/>
          </w:tcPr>
          <w:p w14:paraId="6FE74431" w14:textId="77777777" w:rsidR="008C6988" w:rsidRDefault="00B97053" w:rsidP="00A71365">
            <w:pPr>
              <w:pStyle w:val="Tablewriting"/>
              <w:rPr>
                <w:rFonts w:eastAsia="MS Mincho" w:cstheme="minorHAnsi"/>
              </w:rPr>
            </w:pPr>
            <w:r>
              <w:rPr>
                <w:rFonts w:eastAsia="MS Mincho" w:cstheme="minorHAnsi"/>
              </w:rPr>
              <w:t>H</w:t>
            </w:r>
            <w:r w:rsidR="00E16B93" w:rsidRPr="00017AE6">
              <w:rPr>
                <w:rFonts w:eastAsia="MS Mincho" w:cstheme="minorHAnsi"/>
              </w:rPr>
              <w:t>ealthy adult volunteers</w:t>
            </w:r>
            <w:r w:rsidR="008C6988">
              <w:rPr>
                <w:rFonts w:eastAsia="MS Mincho" w:cstheme="minorHAnsi"/>
              </w:rPr>
              <w:t>,</w:t>
            </w:r>
            <w:r w:rsidR="00E16B93" w:rsidRPr="00017AE6">
              <w:rPr>
                <w:rFonts w:eastAsia="MS Mincho" w:cstheme="minorHAnsi"/>
              </w:rPr>
              <w:t xml:space="preserve"> 58%</w:t>
            </w:r>
            <w:r w:rsidR="00D77280" w:rsidRPr="00017AE6">
              <w:rPr>
                <w:rFonts w:eastAsia="MS Mincho" w:cstheme="minorHAnsi"/>
              </w:rPr>
              <w:t xml:space="preserve"> </w:t>
            </w:r>
            <w:r w:rsidR="00E16B93" w:rsidRPr="00017AE6">
              <w:rPr>
                <w:rFonts w:eastAsia="MS Mincho" w:cstheme="minorHAnsi"/>
              </w:rPr>
              <w:t xml:space="preserve">men, 84% white, mean age 43.3, mean CPD 22, mean FTND score 5.3. </w:t>
            </w:r>
          </w:p>
          <w:p w14:paraId="65041623" w14:textId="4D0CCB51" w:rsidR="00E16B93" w:rsidRPr="00017AE6" w:rsidRDefault="00E16B93" w:rsidP="00A71365">
            <w:pPr>
              <w:pStyle w:val="Tablewriting"/>
              <w:rPr>
                <w:rFonts w:eastAsia="MS Mincho" w:cstheme="minorHAnsi"/>
              </w:rPr>
            </w:pPr>
            <w:r w:rsidRPr="00017AE6">
              <w:rPr>
                <w:rFonts w:eastAsia="MS Mincho" w:cstheme="minorHAnsi"/>
              </w:rPr>
              <w:t>No significant differences between</w:t>
            </w:r>
            <w:r w:rsidR="00D77280" w:rsidRPr="00017AE6">
              <w:rPr>
                <w:rFonts w:eastAsia="MS Mincho" w:cstheme="minorHAnsi"/>
              </w:rPr>
              <w:t xml:space="preserve"> </w:t>
            </w:r>
            <w:r w:rsidRPr="00017AE6">
              <w:rPr>
                <w:rFonts w:eastAsia="MS Mincho" w:cstheme="minorHAnsi"/>
              </w:rPr>
              <w:t>groups at baseline</w:t>
            </w:r>
          </w:p>
          <w:p w14:paraId="1F3EF8B5" w14:textId="77777777" w:rsidR="00D77280" w:rsidRPr="00017AE6" w:rsidRDefault="00D77280" w:rsidP="00A71365">
            <w:pPr>
              <w:pStyle w:val="Tablewriting"/>
              <w:rPr>
                <w:rFonts w:eastAsia="MS Mincho" w:cstheme="minorHAnsi"/>
              </w:rPr>
            </w:pPr>
          </w:p>
          <w:p w14:paraId="096328A9" w14:textId="28DD6F7A" w:rsidR="00C25F5E" w:rsidRPr="00017AE6" w:rsidRDefault="00E16B93" w:rsidP="00A71365">
            <w:pPr>
              <w:pStyle w:val="Tablewriting"/>
              <w:rPr>
                <w:rFonts w:eastAsia="MS Mincho" w:cstheme="minorHAnsi"/>
              </w:rPr>
            </w:pPr>
            <w:r w:rsidRPr="008C6988">
              <w:rPr>
                <w:rFonts w:eastAsia="MS Mincho" w:cstheme="minorHAnsi"/>
                <w:u w:val="single"/>
              </w:rPr>
              <w:t>Exclusion criteria:</w:t>
            </w:r>
            <w:r w:rsidRPr="00017AE6">
              <w:rPr>
                <w:rFonts w:eastAsia="MS Mincho" w:cstheme="minorHAnsi"/>
              </w:rPr>
              <w:t xml:space="preserve"> Standard pharmacotherapy trial criteria, + use of tobacco products other than cigarettes;</w:t>
            </w:r>
            <w:r w:rsidR="008C6988">
              <w:rPr>
                <w:rFonts w:eastAsia="MS Mincho" w:cstheme="minorHAnsi"/>
              </w:rPr>
              <w:t xml:space="preserve"> </w:t>
            </w:r>
            <w:r w:rsidRPr="00017AE6">
              <w:rPr>
                <w:rFonts w:eastAsia="MS Mincho" w:cstheme="minorHAnsi"/>
              </w:rPr>
              <w:t>use of NRT, clonidine, nortriptyline within last month; BMI &lt; 15 or &gt; 38 or weight &lt; 45.5 kg; any</w:t>
            </w:r>
            <w:r w:rsidR="00D77280" w:rsidRPr="00017AE6">
              <w:rPr>
                <w:rFonts w:eastAsia="MS Mincho" w:cstheme="minorHAnsi"/>
              </w:rPr>
              <w:t xml:space="preserve"> </w:t>
            </w:r>
            <w:r w:rsidRPr="00017AE6">
              <w:rPr>
                <w:rFonts w:eastAsia="MS Mincho" w:cstheme="minorHAnsi"/>
              </w:rPr>
              <w:t xml:space="preserve">prior use of </w:t>
            </w:r>
            <w:r w:rsidRPr="00017AE6">
              <w:rPr>
                <w:rFonts w:eastAsia="MS Mincho" w:cstheme="minorHAnsi"/>
              </w:rPr>
              <w:lastRenderedPageBreak/>
              <w:t>bupropion or varenicline</w:t>
            </w:r>
            <w:r w:rsidR="008C6988">
              <w:rPr>
                <w:rFonts w:eastAsia="MS Mincho" w:cstheme="minorHAnsi"/>
              </w:rPr>
              <w:t>.</w:t>
            </w:r>
          </w:p>
        </w:tc>
        <w:tc>
          <w:tcPr>
            <w:tcW w:w="1054" w:type="pct"/>
          </w:tcPr>
          <w:p w14:paraId="7B70911D" w14:textId="287C122D" w:rsidR="006F02CB" w:rsidRDefault="00D77280" w:rsidP="00C324F3">
            <w:pPr>
              <w:pStyle w:val="Tablewriting"/>
              <w:numPr>
                <w:ilvl w:val="0"/>
                <w:numId w:val="72"/>
              </w:numPr>
              <w:rPr>
                <w:rFonts w:eastAsia="MS Mincho" w:cstheme="minorHAnsi"/>
              </w:rPr>
            </w:pPr>
            <w:r w:rsidRPr="00017AE6">
              <w:rPr>
                <w:rFonts w:eastAsia="MS Mincho" w:cstheme="minorHAnsi"/>
              </w:rPr>
              <w:lastRenderedPageBreak/>
              <w:t>Varenicline 1 mg x2/day</w:t>
            </w:r>
            <w:r w:rsidR="006F02CB">
              <w:rPr>
                <w:rFonts w:eastAsia="MS Mincho" w:cstheme="minorHAnsi"/>
              </w:rPr>
              <w:t>.</w:t>
            </w:r>
          </w:p>
          <w:p w14:paraId="700ADA8F" w14:textId="77777777" w:rsidR="006F02CB" w:rsidRDefault="00D77280" w:rsidP="00C324F3">
            <w:pPr>
              <w:pStyle w:val="Tablewriting"/>
              <w:numPr>
                <w:ilvl w:val="0"/>
                <w:numId w:val="72"/>
              </w:numPr>
              <w:rPr>
                <w:rFonts w:eastAsia="MS Mincho" w:cstheme="minorHAnsi"/>
              </w:rPr>
            </w:pPr>
            <w:r w:rsidRPr="006F02CB">
              <w:rPr>
                <w:rFonts w:eastAsia="MS Mincho" w:cstheme="minorHAnsi"/>
              </w:rPr>
              <w:t>Bupropion 150 mg x2/day</w:t>
            </w:r>
            <w:r w:rsidR="006F02CB">
              <w:rPr>
                <w:rFonts w:eastAsia="MS Mincho" w:cstheme="minorHAnsi"/>
              </w:rPr>
              <w:t>.</w:t>
            </w:r>
          </w:p>
          <w:p w14:paraId="29448827" w14:textId="2D63FDC3" w:rsidR="00D77280" w:rsidRPr="00017AE6" w:rsidRDefault="00D77280" w:rsidP="00C324F3">
            <w:pPr>
              <w:pStyle w:val="Tablewriting"/>
              <w:numPr>
                <w:ilvl w:val="0"/>
                <w:numId w:val="72"/>
              </w:numPr>
              <w:rPr>
                <w:rFonts w:eastAsia="MS Mincho" w:cstheme="minorHAnsi"/>
              </w:rPr>
            </w:pPr>
            <w:r w:rsidRPr="00017AE6">
              <w:rPr>
                <w:rFonts w:eastAsia="MS Mincho" w:cstheme="minorHAnsi"/>
              </w:rPr>
              <w:t>Placebo inactive tablets, same regimen</w:t>
            </w:r>
          </w:p>
          <w:p w14:paraId="3182CAD2" w14:textId="77777777" w:rsidR="006F02CB" w:rsidRDefault="006F02CB" w:rsidP="00A71365">
            <w:pPr>
              <w:pStyle w:val="Tablewriting"/>
              <w:rPr>
                <w:rFonts w:eastAsia="MS Mincho" w:cstheme="minorHAnsi"/>
              </w:rPr>
            </w:pPr>
          </w:p>
          <w:p w14:paraId="2F9DD087" w14:textId="77777777" w:rsidR="006F02CB" w:rsidRDefault="00D77280" w:rsidP="00A71365">
            <w:pPr>
              <w:pStyle w:val="Tablewriting"/>
              <w:rPr>
                <w:rFonts w:eastAsia="MS Mincho" w:cstheme="minorHAnsi"/>
              </w:rPr>
            </w:pPr>
            <w:r w:rsidRPr="00017AE6">
              <w:rPr>
                <w:rFonts w:eastAsia="MS Mincho" w:cstheme="minorHAnsi"/>
              </w:rPr>
              <w:t xml:space="preserve">Treatment period was 12 wks. </w:t>
            </w:r>
          </w:p>
          <w:p w14:paraId="74419F2C" w14:textId="77777777" w:rsidR="006F02CB" w:rsidRDefault="006F02CB" w:rsidP="00A71365">
            <w:pPr>
              <w:pStyle w:val="Tablewriting"/>
              <w:rPr>
                <w:rFonts w:eastAsia="MS Mincho" w:cstheme="minorHAnsi"/>
              </w:rPr>
            </w:pPr>
          </w:p>
          <w:p w14:paraId="45281523" w14:textId="082CF39C" w:rsidR="00D77280" w:rsidRPr="00017AE6" w:rsidRDefault="006F02CB"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D77280" w:rsidRPr="00017AE6">
              <w:rPr>
                <w:rFonts w:eastAsia="MS Mincho" w:cstheme="minorHAnsi"/>
              </w:rPr>
              <w:t>All participants received brief counselling (</w:t>
            </w:r>
            <w:r w:rsidR="00E9481C" w:rsidRPr="00611F33">
              <w:rPr>
                <w:rFonts w:eastAsia="MS Mincho" w:cstheme="minorHAnsi"/>
              </w:rPr>
              <w:t>≤</w:t>
            </w:r>
            <w:r w:rsidR="00D77280" w:rsidRPr="00017AE6">
              <w:rPr>
                <w:rFonts w:eastAsia="MS Mincho" w:cstheme="minorHAnsi"/>
              </w:rPr>
              <w:t xml:space="preserve"> 10 mins) at each clinic visit</w:t>
            </w:r>
          </w:p>
          <w:p w14:paraId="2DBFB8CE" w14:textId="39CC12FF" w:rsidR="00D77280" w:rsidRPr="00017AE6" w:rsidRDefault="00D77280" w:rsidP="00A71365">
            <w:pPr>
              <w:pStyle w:val="Tablewriting"/>
              <w:rPr>
                <w:rFonts w:eastAsia="MS Mincho" w:cstheme="minorHAnsi"/>
              </w:rPr>
            </w:pPr>
            <w:r w:rsidRPr="00017AE6">
              <w:rPr>
                <w:rFonts w:eastAsia="MS Mincho" w:cstheme="minorHAnsi"/>
              </w:rPr>
              <w:t>Weekly visits throughout treatment phase, plus a phone call 3 days post-TQD</w:t>
            </w:r>
          </w:p>
          <w:p w14:paraId="06377289" w14:textId="77777777" w:rsidR="00E9481C" w:rsidRDefault="00E9481C" w:rsidP="00A71365">
            <w:pPr>
              <w:pStyle w:val="Tablewriting"/>
              <w:rPr>
                <w:rFonts w:eastAsia="MS Mincho" w:cstheme="minorHAnsi"/>
              </w:rPr>
            </w:pPr>
          </w:p>
          <w:p w14:paraId="2F218F8D" w14:textId="3F2BADD5" w:rsidR="00D77280" w:rsidRPr="00017AE6" w:rsidRDefault="00D77280" w:rsidP="00A71365">
            <w:pPr>
              <w:pStyle w:val="Tablewriting"/>
              <w:rPr>
                <w:rFonts w:eastAsia="MS Mincho" w:cstheme="minorHAnsi"/>
              </w:rPr>
            </w:pPr>
            <w:r w:rsidRPr="00017AE6">
              <w:rPr>
                <w:rFonts w:eastAsia="MS Mincho" w:cstheme="minorHAnsi"/>
              </w:rPr>
              <w:t>In follow-up phase, clinic visits at w</w:t>
            </w:r>
            <w:r w:rsidR="00E9481C">
              <w:rPr>
                <w:rFonts w:eastAsia="MS Mincho" w:cstheme="minorHAnsi"/>
              </w:rPr>
              <w:t>ee</w:t>
            </w:r>
            <w:r w:rsidRPr="00017AE6">
              <w:rPr>
                <w:rFonts w:eastAsia="MS Mincho" w:cstheme="minorHAnsi"/>
              </w:rPr>
              <w:t>ks 13, 24, 36, 44 and 52, plus brief phone calls at w</w:t>
            </w:r>
            <w:r w:rsidR="00E9481C">
              <w:rPr>
                <w:rFonts w:eastAsia="MS Mincho" w:cstheme="minorHAnsi"/>
              </w:rPr>
              <w:t>ee</w:t>
            </w:r>
            <w:r w:rsidRPr="00017AE6">
              <w:rPr>
                <w:rFonts w:eastAsia="MS Mincho" w:cstheme="minorHAnsi"/>
              </w:rPr>
              <w:t>ks 16, 20, 28, 32,</w:t>
            </w:r>
          </w:p>
          <w:p w14:paraId="3C1B97B6" w14:textId="09B89023" w:rsidR="00C25F5E" w:rsidRPr="00017AE6" w:rsidRDefault="00D77280" w:rsidP="00A71365">
            <w:pPr>
              <w:pStyle w:val="Tablewriting"/>
              <w:rPr>
                <w:rFonts w:eastAsia="MS Mincho" w:cstheme="minorHAnsi"/>
              </w:rPr>
            </w:pPr>
            <w:r w:rsidRPr="00017AE6">
              <w:rPr>
                <w:rFonts w:eastAsia="MS Mincho" w:cstheme="minorHAnsi"/>
              </w:rPr>
              <w:lastRenderedPageBreak/>
              <w:t>40 and 48</w:t>
            </w:r>
            <w:r w:rsidR="00E9481C">
              <w:rPr>
                <w:rFonts w:eastAsia="MS Mincho" w:cstheme="minorHAnsi"/>
              </w:rPr>
              <w:t>.</w:t>
            </w:r>
          </w:p>
        </w:tc>
        <w:tc>
          <w:tcPr>
            <w:tcW w:w="959" w:type="pct"/>
          </w:tcPr>
          <w:p w14:paraId="256D217A" w14:textId="77777777" w:rsidR="00082B39" w:rsidRDefault="00082B39" w:rsidP="00A71365">
            <w:pPr>
              <w:pStyle w:val="Tablewriting"/>
              <w:rPr>
                <w:rFonts w:eastAsia="MS Mincho" w:cstheme="minorHAnsi"/>
              </w:rPr>
            </w:pPr>
            <w:r w:rsidRPr="00082B39">
              <w:rPr>
                <w:rFonts w:eastAsia="MS Mincho" w:cstheme="minorHAnsi"/>
                <w:u w:val="single"/>
              </w:rPr>
              <w:lastRenderedPageBreak/>
              <w:t>Efficacy:</w:t>
            </w:r>
            <w:r>
              <w:rPr>
                <w:rFonts w:eastAsia="MS Mincho" w:cstheme="minorHAnsi"/>
              </w:rPr>
              <w:t xml:space="preserve"> </w:t>
            </w:r>
          </w:p>
          <w:p w14:paraId="4D580CA7" w14:textId="3305957B" w:rsidR="00D77280" w:rsidRPr="00017AE6" w:rsidRDefault="00D77280" w:rsidP="00A71365">
            <w:pPr>
              <w:pStyle w:val="Tablewriting"/>
              <w:rPr>
                <w:rFonts w:eastAsia="MS Mincho" w:cstheme="minorHAnsi"/>
              </w:rPr>
            </w:pPr>
            <w:r w:rsidRPr="00017AE6">
              <w:rPr>
                <w:rFonts w:eastAsia="MS Mincho" w:cstheme="minorHAnsi"/>
              </w:rPr>
              <w:t xml:space="preserve">Primary outcome: CO-validated CAR at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12</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ks</w:t>
            </w:r>
            <w:r w:rsidR="00082B39">
              <w:rPr>
                <w:rFonts w:eastAsia="MS Mincho" w:cstheme="minorHAnsi"/>
              </w:rPr>
              <w:t>;</w:t>
            </w:r>
          </w:p>
          <w:p w14:paraId="45EA3863" w14:textId="731B828D" w:rsidR="00D77280" w:rsidRPr="00017AE6" w:rsidRDefault="00D77280" w:rsidP="00A71365">
            <w:pPr>
              <w:pStyle w:val="Tablewriting"/>
              <w:rPr>
                <w:rFonts w:eastAsia="MS Mincho" w:cstheme="minorHAnsi"/>
              </w:rPr>
            </w:pPr>
            <w:r w:rsidRPr="00017AE6">
              <w:rPr>
                <w:rFonts w:eastAsia="MS Mincho" w:cstheme="minorHAnsi"/>
              </w:rPr>
              <w:t xml:space="preserve">Secondary outcomes: CO-validated CAR at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24</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 xml:space="preserve">ks and </w:t>
            </w:r>
            <w:r w:rsidR="00082B39">
              <w:rPr>
                <w:rFonts w:eastAsia="MS Mincho" w:cstheme="minorHAnsi"/>
              </w:rPr>
              <w:t>(</w:t>
            </w:r>
            <w:r w:rsidRPr="00017AE6">
              <w:rPr>
                <w:rFonts w:eastAsia="MS Mincho" w:cstheme="minorHAnsi"/>
              </w:rPr>
              <w:t xml:space="preserve">9 </w:t>
            </w:r>
            <w:r w:rsidR="00082B39">
              <w:rPr>
                <w:rFonts w:eastAsia="MS Mincho" w:cstheme="minorHAnsi"/>
              </w:rPr>
              <w:t>–</w:t>
            </w:r>
            <w:r w:rsidRPr="00017AE6">
              <w:rPr>
                <w:rFonts w:eastAsia="MS Mincho" w:cstheme="minorHAnsi"/>
              </w:rPr>
              <w:t xml:space="preserve"> 52</w:t>
            </w:r>
            <w:r w:rsidR="00082B39">
              <w:rPr>
                <w:rFonts w:eastAsia="MS Mincho" w:cstheme="minorHAnsi"/>
              </w:rPr>
              <w:t>)</w:t>
            </w:r>
            <w:r w:rsidRPr="00017AE6">
              <w:rPr>
                <w:rFonts w:eastAsia="MS Mincho" w:cstheme="minorHAnsi"/>
              </w:rPr>
              <w:t xml:space="preserve"> w</w:t>
            </w:r>
            <w:r w:rsidR="00082B39">
              <w:rPr>
                <w:rFonts w:eastAsia="MS Mincho" w:cstheme="minorHAnsi"/>
              </w:rPr>
              <w:t>ee</w:t>
            </w:r>
            <w:r w:rsidRPr="00017AE6">
              <w:rPr>
                <w:rFonts w:eastAsia="MS Mincho" w:cstheme="minorHAnsi"/>
              </w:rPr>
              <w:t>ks; 7-day PPA at w</w:t>
            </w:r>
            <w:r w:rsidR="00082B39">
              <w:rPr>
                <w:rFonts w:eastAsia="MS Mincho" w:cstheme="minorHAnsi"/>
              </w:rPr>
              <w:t>ee</w:t>
            </w:r>
            <w:r w:rsidRPr="00017AE6">
              <w:rPr>
                <w:rFonts w:eastAsia="MS Mincho" w:cstheme="minorHAnsi"/>
              </w:rPr>
              <w:t>ks 12, 24 and 52</w:t>
            </w:r>
            <w:r w:rsidR="00082B39">
              <w:rPr>
                <w:rFonts w:eastAsia="MS Mincho" w:cstheme="minorHAnsi"/>
              </w:rPr>
              <w:t>.</w:t>
            </w:r>
          </w:p>
          <w:p w14:paraId="14A65F79" w14:textId="77777777" w:rsidR="000463B0" w:rsidRDefault="000463B0" w:rsidP="00A71365">
            <w:pPr>
              <w:pStyle w:val="Tablewriting"/>
              <w:rPr>
                <w:rFonts w:eastAsia="MS Mincho" w:cstheme="minorHAnsi"/>
              </w:rPr>
            </w:pPr>
          </w:p>
          <w:p w14:paraId="74789911" w14:textId="61F1CF30" w:rsidR="000463B0" w:rsidRPr="00017AE6" w:rsidRDefault="000463B0" w:rsidP="00A71365">
            <w:pPr>
              <w:pStyle w:val="Tablewriting"/>
              <w:rPr>
                <w:rFonts w:eastAsia="MS Mincho" w:cstheme="minorHAnsi"/>
              </w:rPr>
            </w:pPr>
            <w:r w:rsidRPr="00017AE6">
              <w:rPr>
                <w:rFonts w:eastAsia="MS Mincho" w:cstheme="minorHAnsi"/>
              </w:rPr>
              <w:t xml:space="preserve">Validation was by expired CO </w:t>
            </w:r>
            <w:r w:rsidRPr="00611F33">
              <w:rPr>
                <w:rFonts w:eastAsia="MS Mincho" w:cstheme="minorHAnsi"/>
              </w:rPr>
              <w:t>≤</w:t>
            </w:r>
            <w:r w:rsidRPr="00017AE6">
              <w:rPr>
                <w:rFonts w:eastAsia="MS Mincho" w:cstheme="minorHAnsi"/>
              </w:rPr>
              <w:t xml:space="preserve"> 10 ppm</w:t>
            </w:r>
          </w:p>
          <w:p w14:paraId="34D3F828" w14:textId="77777777" w:rsidR="00082B39" w:rsidRDefault="00082B39" w:rsidP="00A71365">
            <w:pPr>
              <w:pStyle w:val="Tablewriting"/>
              <w:rPr>
                <w:rFonts w:eastAsia="MS Mincho" w:cstheme="minorHAnsi"/>
              </w:rPr>
            </w:pPr>
          </w:p>
          <w:p w14:paraId="22781113" w14:textId="77777777" w:rsidR="00082B39" w:rsidRPr="00017AE6" w:rsidRDefault="00082B39" w:rsidP="00A71365">
            <w:pPr>
              <w:pStyle w:val="Tablewriting"/>
              <w:rPr>
                <w:rFonts w:eastAsia="MS Mincho" w:cstheme="minorHAnsi"/>
              </w:rPr>
            </w:pPr>
            <w:r w:rsidRPr="00082B39">
              <w:rPr>
                <w:rFonts w:eastAsia="MS Mincho" w:cstheme="minorHAnsi"/>
                <w:u w:val="single"/>
              </w:rPr>
              <w:t>Safety:</w:t>
            </w:r>
            <w:r>
              <w:rPr>
                <w:rFonts w:eastAsia="MS Mincho" w:cstheme="minorHAnsi"/>
                <w:u w:val="single"/>
              </w:rPr>
              <w:t xml:space="preserve"> </w:t>
            </w:r>
            <w:r w:rsidRPr="00017AE6">
              <w:rPr>
                <w:rFonts w:eastAsia="MS Mincho" w:cstheme="minorHAnsi"/>
              </w:rPr>
              <w:t>adverse</w:t>
            </w:r>
          </w:p>
          <w:p w14:paraId="7333C42A" w14:textId="77777777" w:rsidR="00082B39" w:rsidRPr="00017AE6" w:rsidRDefault="00082B39" w:rsidP="00A71365">
            <w:pPr>
              <w:pStyle w:val="Tablewriting"/>
              <w:rPr>
                <w:rFonts w:eastAsia="MS Mincho" w:cstheme="minorHAnsi"/>
              </w:rPr>
            </w:pPr>
            <w:r w:rsidRPr="00017AE6">
              <w:rPr>
                <w:rFonts w:eastAsia="MS Mincho" w:cstheme="minorHAnsi"/>
              </w:rPr>
              <w:t>events</w:t>
            </w:r>
          </w:p>
          <w:p w14:paraId="3BA93F48" w14:textId="23F97D4A" w:rsidR="00082B39" w:rsidRPr="00082B39" w:rsidRDefault="00082B39" w:rsidP="00A71365">
            <w:pPr>
              <w:pStyle w:val="Tablewriting"/>
              <w:rPr>
                <w:rFonts w:eastAsia="MS Mincho" w:cstheme="minorHAnsi"/>
                <w:u w:val="single"/>
              </w:rPr>
            </w:pPr>
          </w:p>
          <w:p w14:paraId="274748F6" w14:textId="758537E4" w:rsidR="00D77280" w:rsidRPr="00017AE6" w:rsidRDefault="00D77280" w:rsidP="00A71365">
            <w:pPr>
              <w:pStyle w:val="Tablewriting"/>
              <w:rPr>
                <w:rFonts w:eastAsia="MS Mincho" w:cstheme="minorHAnsi"/>
              </w:rPr>
            </w:pPr>
            <w:r w:rsidRPr="00082B39">
              <w:rPr>
                <w:rFonts w:eastAsia="MS Mincho" w:cstheme="minorHAnsi"/>
                <w:u w:val="single"/>
              </w:rPr>
              <w:t>Other</w:t>
            </w:r>
            <w:r w:rsidR="00082B39">
              <w:rPr>
                <w:rFonts w:eastAsia="MS Mincho" w:cstheme="minorHAnsi"/>
                <w:u w:val="single"/>
              </w:rPr>
              <w:t>s</w:t>
            </w:r>
            <w:r w:rsidRPr="00082B39">
              <w:rPr>
                <w:rFonts w:eastAsia="MS Mincho" w:cstheme="minorHAnsi"/>
                <w:u w:val="single"/>
              </w:rPr>
              <w:t>:</w:t>
            </w:r>
            <w:r w:rsidRPr="00017AE6">
              <w:rPr>
                <w:rFonts w:eastAsia="MS Mincho" w:cstheme="minorHAnsi"/>
              </w:rPr>
              <w:t xml:space="preserve"> Weight change, withdrawal symptoms (using MNWS, QSU-brief and mCEQ), </w:t>
            </w:r>
          </w:p>
          <w:p w14:paraId="192FBD77" w14:textId="77777777" w:rsidR="00273002" w:rsidRPr="00017AE6" w:rsidRDefault="00273002" w:rsidP="00A71365">
            <w:pPr>
              <w:pStyle w:val="Tablewriting"/>
              <w:rPr>
                <w:rFonts w:eastAsia="MS Mincho" w:cstheme="minorHAnsi"/>
              </w:rPr>
            </w:pPr>
          </w:p>
          <w:p w14:paraId="07E0A27F" w14:textId="77777777" w:rsidR="00273002" w:rsidRPr="00017AE6" w:rsidRDefault="00273002" w:rsidP="00A71365">
            <w:pPr>
              <w:pStyle w:val="Tablewriting"/>
              <w:rPr>
                <w:rFonts w:eastAsia="MS Mincho" w:cstheme="minorHAnsi"/>
              </w:rPr>
            </w:pPr>
          </w:p>
          <w:p w14:paraId="0998036D" w14:textId="603A0C7C" w:rsidR="00C25F5E" w:rsidRPr="00017AE6" w:rsidRDefault="00C25F5E" w:rsidP="00A71365">
            <w:pPr>
              <w:pStyle w:val="Tablewriting"/>
              <w:rPr>
                <w:rFonts w:eastAsia="MS Mincho" w:cstheme="minorHAnsi"/>
              </w:rPr>
            </w:pPr>
          </w:p>
        </w:tc>
      </w:tr>
      <w:tr w:rsidR="003D3459" w:rsidRPr="00017AE6" w14:paraId="448A1CC3" w14:textId="77777777" w:rsidTr="005821B1">
        <w:trPr>
          <w:trHeight w:val="99"/>
        </w:trPr>
        <w:tc>
          <w:tcPr>
            <w:tcW w:w="761" w:type="pct"/>
          </w:tcPr>
          <w:p w14:paraId="0AD2F14D" w14:textId="21D1DD29" w:rsidR="00C25F5E" w:rsidRPr="00017AE6" w:rsidRDefault="00C25F5E" w:rsidP="00A71365">
            <w:pPr>
              <w:pStyle w:val="Tablewriting"/>
              <w:rPr>
                <w:rFonts w:eastAsia="MS Mincho" w:cstheme="minorHAnsi"/>
              </w:rPr>
            </w:pPr>
            <w:r w:rsidRPr="00017AE6">
              <w:rPr>
                <w:rFonts w:eastAsia="MS Mincho" w:cstheme="minorHAnsi"/>
              </w:rPr>
              <w:lastRenderedPageBreak/>
              <w:t xml:space="preserve">Nahvi </w:t>
            </w:r>
            <w:r w:rsidR="00F143BB">
              <w:rPr>
                <w:rFonts w:eastAsia="MS Mincho" w:cstheme="minorHAnsi"/>
              </w:rPr>
              <w:t>(</w:t>
            </w:r>
            <w:r w:rsidRPr="00017AE6">
              <w:rPr>
                <w:rFonts w:eastAsia="MS Mincho" w:cstheme="minorHAnsi"/>
              </w:rPr>
              <w:t>2014</w:t>
            </w:r>
            <w:r w:rsidR="006B1C37">
              <w:rPr>
                <w:rFonts w:eastAsia="MS Mincho" w:cstheme="minorHAnsi"/>
              </w:rPr>
              <w:t>) (a)</w:t>
            </w:r>
          </w:p>
        </w:tc>
        <w:tc>
          <w:tcPr>
            <w:tcW w:w="235" w:type="pct"/>
          </w:tcPr>
          <w:p w14:paraId="597FD46A" w14:textId="58794DC2"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1804BE40" w14:textId="08AA144A" w:rsidR="00C25F5E" w:rsidRPr="00017AE6" w:rsidRDefault="00273002" w:rsidP="00A71365">
            <w:pPr>
              <w:pStyle w:val="Tablewriting"/>
              <w:rPr>
                <w:rFonts w:eastAsia="MS Mincho" w:cstheme="minorHAnsi"/>
              </w:rPr>
            </w:pPr>
            <w:r w:rsidRPr="00017AE6">
              <w:rPr>
                <w:rFonts w:eastAsia="MS Mincho" w:cstheme="minorHAnsi"/>
              </w:rPr>
              <w:t>USA</w:t>
            </w:r>
          </w:p>
        </w:tc>
        <w:tc>
          <w:tcPr>
            <w:tcW w:w="679" w:type="pct"/>
          </w:tcPr>
          <w:p w14:paraId="09036BA1" w14:textId="0B8B3101" w:rsidR="00C25F5E" w:rsidRPr="00017AE6" w:rsidRDefault="00C25F5E" w:rsidP="00A71365">
            <w:pPr>
              <w:pStyle w:val="Tablewriting"/>
              <w:rPr>
                <w:rFonts w:eastAsia="MS Mincho" w:cstheme="minorHAnsi"/>
              </w:rPr>
            </w:pPr>
            <w:r w:rsidRPr="00017AE6">
              <w:rPr>
                <w:rFonts w:eastAsia="MS Mincho" w:cstheme="minorHAnsi"/>
              </w:rPr>
              <w:t>N=</w:t>
            </w:r>
            <w:r w:rsidR="00273002" w:rsidRPr="00017AE6">
              <w:rPr>
                <w:rFonts w:eastAsia="MS Mincho" w:cstheme="minorHAnsi"/>
              </w:rPr>
              <w:t>112</w:t>
            </w:r>
            <w:r w:rsidR="006B1C37">
              <w:rPr>
                <w:rFonts w:eastAsia="MS Mincho" w:cstheme="minorHAnsi"/>
              </w:rPr>
              <w:t>; n=57 (</w:t>
            </w:r>
            <w:r w:rsidR="006B1C37" w:rsidRPr="00017AE6">
              <w:rPr>
                <w:rFonts w:eastAsia="MS Mincho" w:cstheme="minorHAnsi"/>
              </w:rPr>
              <w:t>varenicline</w:t>
            </w:r>
            <w:r w:rsidR="006B1C37">
              <w:rPr>
                <w:rFonts w:eastAsia="MS Mincho" w:cstheme="minorHAnsi"/>
              </w:rPr>
              <w:t>)</w:t>
            </w:r>
            <w:r w:rsidR="006B1C37" w:rsidRPr="00017AE6">
              <w:rPr>
                <w:rFonts w:eastAsia="MS Mincho" w:cstheme="minorHAnsi"/>
              </w:rPr>
              <w:t xml:space="preserve">, </w:t>
            </w:r>
            <w:r w:rsidR="006B1C37">
              <w:rPr>
                <w:rFonts w:eastAsia="MS Mincho" w:cstheme="minorHAnsi"/>
              </w:rPr>
              <w:t>n=</w:t>
            </w:r>
            <w:r w:rsidR="006B1C37" w:rsidRPr="00017AE6">
              <w:rPr>
                <w:rFonts w:eastAsia="MS Mincho" w:cstheme="minorHAnsi"/>
              </w:rPr>
              <w:t xml:space="preserve">55 </w:t>
            </w:r>
            <w:r w:rsidR="006B1C37">
              <w:rPr>
                <w:rFonts w:eastAsia="MS Mincho" w:cstheme="minorHAnsi"/>
              </w:rPr>
              <w:t>(</w:t>
            </w:r>
            <w:r w:rsidR="006B1C37" w:rsidRPr="00017AE6">
              <w:rPr>
                <w:rFonts w:eastAsia="MS Mincho" w:cstheme="minorHAnsi"/>
              </w:rPr>
              <w:t>placebo</w:t>
            </w:r>
            <w:r w:rsidR="006B1C37">
              <w:rPr>
                <w:rFonts w:eastAsia="MS Mincho" w:cstheme="minorHAnsi"/>
              </w:rPr>
              <w:t>)</w:t>
            </w:r>
            <w:r w:rsidR="006B1C37" w:rsidRPr="00017AE6">
              <w:rPr>
                <w:rFonts w:eastAsia="MS Mincho" w:cstheme="minorHAnsi"/>
              </w:rPr>
              <w:t>.</w:t>
            </w:r>
          </w:p>
        </w:tc>
        <w:tc>
          <w:tcPr>
            <w:tcW w:w="851" w:type="pct"/>
          </w:tcPr>
          <w:p w14:paraId="6A04CB12" w14:textId="443DB446" w:rsidR="006B1C37" w:rsidRDefault="00273002" w:rsidP="00A71365">
            <w:pPr>
              <w:pStyle w:val="Tablewriting"/>
              <w:rPr>
                <w:rFonts w:eastAsia="MS Mincho" w:cstheme="minorBidi"/>
              </w:rPr>
            </w:pPr>
            <w:r w:rsidRPr="384EF786">
              <w:rPr>
                <w:rFonts w:eastAsia="MS Mincho" w:cstheme="minorBidi"/>
              </w:rPr>
              <w:t>Smokers in</w:t>
            </w:r>
            <w:r w:rsidR="006B1C37" w:rsidRPr="384EF786">
              <w:rPr>
                <w:rFonts w:eastAsia="MS Mincho" w:cstheme="minorBidi"/>
              </w:rPr>
              <w:t xml:space="preserve"> </w:t>
            </w:r>
            <w:r w:rsidRPr="384EF786">
              <w:rPr>
                <w:rFonts w:eastAsia="MS Mincho" w:cstheme="minorBidi"/>
              </w:rPr>
              <w:t>methadone treatment for</w:t>
            </w:r>
            <w:r w:rsidR="006B1C37" w:rsidRPr="384EF786">
              <w:rPr>
                <w:rFonts w:eastAsia="MS Mincho" w:cstheme="minorBidi"/>
              </w:rPr>
              <w:t xml:space="preserve"> </w:t>
            </w:r>
            <w:r w:rsidRPr="384EF786">
              <w:rPr>
                <w:rFonts w:eastAsia="MS Mincho" w:cstheme="minorBidi"/>
              </w:rPr>
              <w:t>substance abuse, aged 18+, CPD 5+,</w:t>
            </w:r>
            <w:r w:rsidR="006B1C37" w:rsidRPr="384EF786">
              <w:rPr>
                <w:rFonts w:eastAsia="MS Mincho" w:cstheme="minorBidi"/>
              </w:rPr>
              <w:t xml:space="preserve"> </w:t>
            </w:r>
            <w:r w:rsidRPr="384EF786">
              <w:rPr>
                <w:rFonts w:eastAsia="MS Mincho" w:cstheme="minorBidi"/>
              </w:rPr>
              <w:t>motivated to quit within</w:t>
            </w:r>
            <w:r w:rsidR="006B1C37" w:rsidRPr="384EF786">
              <w:rPr>
                <w:rFonts w:eastAsia="MS Mincho" w:cstheme="minorBidi"/>
              </w:rPr>
              <w:t xml:space="preserve"> </w:t>
            </w:r>
            <w:r w:rsidRPr="384EF786">
              <w:rPr>
                <w:rFonts w:eastAsia="MS Mincho" w:cstheme="minorBidi"/>
              </w:rPr>
              <w:t>next 6</w:t>
            </w:r>
            <w:r w:rsidR="006B1C37" w:rsidRPr="384EF786">
              <w:rPr>
                <w:rFonts w:eastAsia="MS Mincho" w:cstheme="minorBidi"/>
              </w:rPr>
              <w:t xml:space="preserve"> months</w:t>
            </w:r>
            <w:r w:rsidRPr="384EF786">
              <w:rPr>
                <w:rFonts w:eastAsia="MS Mincho" w:cstheme="minorBidi"/>
              </w:rPr>
              <w:t xml:space="preserve">. </w:t>
            </w:r>
          </w:p>
          <w:p w14:paraId="6344B2D0" w14:textId="443DB446" w:rsidR="00C25F5E" w:rsidRPr="00017AE6" w:rsidRDefault="00273002" w:rsidP="00A71365">
            <w:pPr>
              <w:pStyle w:val="Tablewriting"/>
              <w:rPr>
                <w:rFonts w:eastAsia="MS Mincho" w:cstheme="minorBidi"/>
              </w:rPr>
            </w:pPr>
            <w:r w:rsidRPr="384EF786">
              <w:rPr>
                <w:rFonts w:eastAsia="MS Mincho" w:cstheme="minorBidi"/>
              </w:rPr>
              <w:t>52% women, 54% Hispanic, mean CPD 15, mean FTND 4</w:t>
            </w:r>
            <w:r w:rsidR="006B1C37" w:rsidRPr="384EF786">
              <w:rPr>
                <w:rFonts w:eastAsia="MS Mincho" w:cstheme="minorBidi"/>
              </w:rPr>
              <w:t>.</w:t>
            </w:r>
          </w:p>
        </w:tc>
        <w:tc>
          <w:tcPr>
            <w:tcW w:w="1054" w:type="pct"/>
          </w:tcPr>
          <w:p w14:paraId="59038EA6" w14:textId="723AAB6E" w:rsidR="005E5F40" w:rsidRDefault="00C65C45" w:rsidP="00C324F3">
            <w:pPr>
              <w:pStyle w:val="Tablewriting"/>
              <w:numPr>
                <w:ilvl w:val="0"/>
                <w:numId w:val="78"/>
              </w:numPr>
              <w:rPr>
                <w:rFonts w:eastAsia="MS Mincho" w:cstheme="minorBidi"/>
              </w:rPr>
            </w:pPr>
            <w:r w:rsidRPr="06BFFAED">
              <w:rPr>
                <w:rFonts w:eastAsia="MS Mincho" w:cstheme="minorBidi"/>
              </w:rPr>
              <w:t>Varenicline</w:t>
            </w:r>
            <w:r w:rsidR="005E5F40" w:rsidRPr="06BFFAED">
              <w:rPr>
                <w:rFonts w:eastAsia="MS Mincho" w:cstheme="minorBidi"/>
              </w:rPr>
              <w:t>;</w:t>
            </w:r>
            <w:r w:rsidRPr="06BFFAED">
              <w:rPr>
                <w:rFonts w:eastAsia="MS Mincho" w:cstheme="minorBidi"/>
              </w:rPr>
              <w:t xml:space="preserve"> 12-w</w:t>
            </w:r>
            <w:r w:rsidR="005E5F40" w:rsidRPr="06BFFAED">
              <w:rPr>
                <w:rFonts w:eastAsia="MS Mincho" w:cstheme="minorBidi"/>
              </w:rPr>
              <w:t>ee</w:t>
            </w:r>
            <w:r w:rsidRPr="06BFFAED">
              <w:rPr>
                <w:rFonts w:eastAsia="MS Mincho" w:cstheme="minorBidi"/>
              </w:rPr>
              <w:t>k standard regimen, titrated for 1st w</w:t>
            </w:r>
            <w:r w:rsidR="005E5F40" w:rsidRPr="06BFFAED">
              <w:rPr>
                <w:rFonts w:eastAsia="MS Mincho" w:cstheme="minorBidi"/>
              </w:rPr>
              <w:t>ee</w:t>
            </w:r>
            <w:r w:rsidRPr="06BFFAED">
              <w:rPr>
                <w:rFonts w:eastAsia="MS Mincho" w:cstheme="minorBidi"/>
              </w:rPr>
              <w:t>k</w:t>
            </w:r>
            <w:r w:rsidR="005E5F40" w:rsidRPr="06BFFAED">
              <w:rPr>
                <w:rFonts w:eastAsia="MS Mincho" w:cstheme="minorBidi"/>
              </w:rPr>
              <w:t>.</w:t>
            </w:r>
          </w:p>
          <w:p w14:paraId="22D6711D" w14:textId="50EB5469" w:rsidR="00C25F5E" w:rsidRPr="005E5F40" w:rsidRDefault="00C65C45" w:rsidP="00C324F3">
            <w:pPr>
              <w:pStyle w:val="Tablewriting"/>
              <w:numPr>
                <w:ilvl w:val="0"/>
                <w:numId w:val="78"/>
              </w:numPr>
              <w:rPr>
                <w:rFonts w:eastAsia="MS Mincho" w:cstheme="minorBidi"/>
              </w:rPr>
            </w:pPr>
            <w:r w:rsidRPr="06BFFAED">
              <w:rPr>
                <w:rFonts w:eastAsia="MS Mincho" w:cstheme="minorBidi"/>
              </w:rPr>
              <w:t>Control</w:t>
            </w:r>
            <w:r w:rsidR="005E5F40" w:rsidRPr="06BFFAED">
              <w:rPr>
                <w:rFonts w:eastAsia="MS Mincho" w:cstheme="minorBidi"/>
              </w:rPr>
              <w:t>;</w:t>
            </w:r>
            <w:r w:rsidRPr="06BFFAED">
              <w:rPr>
                <w:rFonts w:eastAsia="MS Mincho" w:cstheme="minorBidi"/>
              </w:rPr>
              <w:t xml:space="preserve"> Identical placebo tablets and regimen</w:t>
            </w:r>
            <w:r w:rsidR="003C4F95">
              <w:rPr>
                <w:rFonts w:eastAsia="MS Mincho" w:cstheme="minorHAnsi"/>
              </w:rPr>
              <w:t>.</w:t>
            </w:r>
          </w:p>
          <w:p w14:paraId="0C939280" w14:textId="723AAB6E" w:rsidR="00C65C45" w:rsidRDefault="00C65C45" w:rsidP="00A71365">
            <w:pPr>
              <w:pStyle w:val="Tablewriting"/>
              <w:rPr>
                <w:rFonts w:eastAsia="MS Mincho" w:cstheme="minorBidi"/>
              </w:rPr>
            </w:pPr>
          </w:p>
          <w:p w14:paraId="5D8CBFA9" w14:textId="6AC4C5B7" w:rsidR="00C65C45" w:rsidRPr="009E2A27" w:rsidRDefault="005E5F40" w:rsidP="00A71365">
            <w:pPr>
              <w:pStyle w:val="Tablewriting"/>
              <w:rPr>
                <w:rFonts w:eastAsia="MS Mincho" w:cstheme="minorBidi"/>
              </w:rPr>
            </w:pPr>
            <w:r w:rsidRPr="06BFFAED">
              <w:rPr>
                <w:rFonts w:eastAsia="MS Mincho" w:cstheme="minorBidi"/>
                <w:u w:val="single"/>
              </w:rPr>
              <w:t xml:space="preserve">Common components: </w:t>
            </w:r>
            <w:r w:rsidRPr="06BFFAED">
              <w:rPr>
                <w:rFonts w:eastAsia="MS Mincho" w:cstheme="minorBidi"/>
              </w:rPr>
              <w:t xml:space="preserve">All participants set a TQD 1 </w:t>
            </w:r>
            <w:r w:rsidRPr="00017AE6">
              <w:rPr>
                <w:rFonts w:eastAsia="MS Mincho" w:cstheme="minorHAnsi"/>
              </w:rPr>
              <w:t>w</w:t>
            </w:r>
            <w:r w:rsidR="003C4F95">
              <w:rPr>
                <w:rFonts w:eastAsia="MS Mincho" w:cstheme="minorHAnsi"/>
              </w:rPr>
              <w:t>ee</w:t>
            </w:r>
            <w:r w:rsidRPr="00017AE6">
              <w:rPr>
                <w:rFonts w:eastAsia="MS Mincho" w:cstheme="minorHAnsi"/>
              </w:rPr>
              <w:t>k</w:t>
            </w:r>
            <w:r w:rsidRPr="06BFFAED">
              <w:rPr>
                <w:rFonts w:eastAsia="MS Mincho" w:cstheme="minorBidi"/>
              </w:rPr>
              <w:t xml:space="preserve"> after treatment began. All were offered structured, brief </w:t>
            </w:r>
            <w:r w:rsidRPr="00017AE6">
              <w:rPr>
                <w:rFonts w:eastAsia="MS Mincho" w:cstheme="minorHAnsi"/>
              </w:rPr>
              <w:t>(</w:t>
            </w:r>
            <w:r w:rsidR="003C4F95" w:rsidRPr="003C4F95">
              <w:rPr>
                <w:rFonts w:eastAsia="MS Mincho" w:cstheme="minorHAnsi"/>
              </w:rPr>
              <w:t>≤</w:t>
            </w:r>
            <w:r w:rsidRPr="06BFFAED">
              <w:rPr>
                <w:rFonts w:eastAsia="MS Mincho" w:cstheme="minorBidi"/>
              </w:rPr>
              <w:t xml:space="preserve"> 10 mins) individual</w:t>
            </w:r>
            <w:r w:rsidR="009E2A27">
              <w:rPr>
                <w:rFonts w:eastAsia="MS Mincho" w:cstheme="minorBidi"/>
              </w:rPr>
              <w:t xml:space="preserve"> </w:t>
            </w:r>
            <w:r w:rsidRPr="06BFFAED">
              <w:rPr>
                <w:rFonts w:eastAsia="MS Mincho" w:cstheme="minorBidi"/>
              </w:rPr>
              <w:t>in-person counselling by a physician or tobacco specialist at baseline and at 2</w:t>
            </w:r>
            <w:r w:rsidR="003C4F95" w:rsidRPr="06BFFAED">
              <w:rPr>
                <w:rFonts w:eastAsia="MS Mincho" w:cstheme="minorBidi"/>
              </w:rPr>
              <w:t>-</w:t>
            </w:r>
            <w:r w:rsidRPr="06BFFAED">
              <w:rPr>
                <w:rFonts w:eastAsia="MS Mincho" w:cstheme="minorBidi"/>
              </w:rPr>
              <w:t>, 4</w:t>
            </w:r>
            <w:r w:rsidR="003C4F95" w:rsidRPr="06BFFAED">
              <w:rPr>
                <w:rFonts w:eastAsia="MS Mincho" w:cstheme="minorBidi"/>
              </w:rPr>
              <w:t>-</w:t>
            </w:r>
            <w:r w:rsidRPr="06BFFAED">
              <w:rPr>
                <w:rFonts w:eastAsia="MS Mincho" w:cstheme="minorBidi"/>
              </w:rPr>
              <w:t xml:space="preserve">, </w:t>
            </w:r>
            <w:r w:rsidR="003C4F95" w:rsidRPr="06BFFAED">
              <w:rPr>
                <w:rFonts w:eastAsia="MS Mincho" w:cstheme="minorBidi"/>
              </w:rPr>
              <w:t>8- and 12-</w:t>
            </w:r>
            <w:r w:rsidR="003C4F95" w:rsidRPr="00017AE6">
              <w:rPr>
                <w:rFonts w:eastAsia="MS Mincho" w:cstheme="minorHAnsi"/>
              </w:rPr>
              <w:t>week</w:t>
            </w:r>
            <w:r w:rsidR="003C4F95">
              <w:rPr>
                <w:rFonts w:eastAsia="MS Mincho" w:cstheme="minorHAnsi"/>
              </w:rPr>
              <w:t xml:space="preserve"> </w:t>
            </w:r>
            <w:r w:rsidRPr="06BFFAED">
              <w:rPr>
                <w:rFonts w:eastAsia="MS Mincho" w:cstheme="minorBidi"/>
              </w:rPr>
              <w:t>visits. All participants were also offered free quitline support</w:t>
            </w:r>
            <w:r w:rsidR="003C4F95">
              <w:rPr>
                <w:rFonts w:eastAsia="MS Mincho" w:cstheme="minorHAnsi"/>
              </w:rPr>
              <w:t>.</w:t>
            </w:r>
          </w:p>
        </w:tc>
        <w:tc>
          <w:tcPr>
            <w:tcW w:w="959" w:type="pct"/>
          </w:tcPr>
          <w:p w14:paraId="18B36681" w14:textId="77777777" w:rsidR="00C25F5E" w:rsidRDefault="003C4F95" w:rsidP="00A71365">
            <w:pPr>
              <w:pStyle w:val="Tablewriting"/>
              <w:rPr>
                <w:rFonts w:eastAsia="MS Mincho" w:cstheme="minorHAnsi"/>
              </w:rPr>
            </w:pPr>
            <w:r w:rsidRPr="003C4F95">
              <w:rPr>
                <w:rFonts w:eastAsia="MS Mincho" w:cstheme="minorHAnsi"/>
                <w:u w:val="single"/>
              </w:rPr>
              <w:t>Efficacy:</w:t>
            </w:r>
            <w:r>
              <w:rPr>
                <w:rFonts w:eastAsia="MS Mincho" w:cstheme="minorHAnsi"/>
              </w:rPr>
              <w:t xml:space="preserve"> </w:t>
            </w:r>
            <w:r w:rsidR="00C65C45" w:rsidRPr="00017AE6">
              <w:rPr>
                <w:rFonts w:eastAsia="MS Mincho" w:cstheme="minorHAnsi"/>
              </w:rPr>
              <w:t>7-day PPA at 12 and 24 w</w:t>
            </w:r>
            <w:r>
              <w:rPr>
                <w:rFonts w:eastAsia="MS Mincho" w:cstheme="minorHAnsi"/>
              </w:rPr>
              <w:t>ee</w:t>
            </w:r>
            <w:r w:rsidR="00C65C45" w:rsidRPr="00017AE6">
              <w:rPr>
                <w:rFonts w:eastAsia="MS Mincho" w:cstheme="minorHAnsi"/>
              </w:rPr>
              <w:t>ks</w:t>
            </w:r>
            <w:r>
              <w:rPr>
                <w:rFonts w:eastAsia="MS Mincho" w:cstheme="minorHAnsi"/>
              </w:rPr>
              <w:t xml:space="preserve">. </w:t>
            </w:r>
            <w:r w:rsidR="00C65C45" w:rsidRPr="00017AE6">
              <w:rPr>
                <w:rFonts w:eastAsia="MS Mincho" w:cstheme="minorHAnsi"/>
              </w:rPr>
              <w:t>Validat</w:t>
            </w:r>
            <w:r>
              <w:rPr>
                <w:rFonts w:eastAsia="MS Mincho" w:cstheme="minorHAnsi"/>
              </w:rPr>
              <w:t>ed by e</w:t>
            </w:r>
            <w:r w:rsidR="00C65C45" w:rsidRPr="00017AE6">
              <w:rPr>
                <w:rFonts w:eastAsia="MS Mincho" w:cstheme="minorHAnsi"/>
              </w:rPr>
              <w:t>xpired CO &lt; 8 ppm</w:t>
            </w:r>
            <w:r>
              <w:rPr>
                <w:rFonts w:eastAsia="MS Mincho" w:cstheme="minorHAnsi"/>
              </w:rPr>
              <w:t>.</w:t>
            </w:r>
          </w:p>
          <w:p w14:paraId="2C5D0801" w14:textId="77777777" w:rsidR="003C4F95" w:rsidRDefault="003C4F95" w:rsidP="00A71365">
            <w:pPr>
              <w:pStyle w:val="Tablewriting"/>
              <w:rPr>
                <w:rFonts w:eastAsia="MS Mincho" w:cstheme="minorHAnsi"/>
              </w:rPr>
            </w:pPr>
          </w:p>
          <w:p w14:paraId="7BA19806" w14:textId="01529094" w:rsidR="00C25F5E" w:rsidRPr="00017AE6" w:rsidRDefault="003C4F95" w:rsidP="00A71365">
            <w:pPr>
              <w:pStyle w:val="Tablewriting"/>
              <w:rPr>
                <w:rFonts w:eastAsia="MS Mincho" w:cstheme="minorHAnsi"/>
              </w:rPr>
            </w:pPr>
            <w:r w:rsidRPr="003C4F95">
              <w:rPr>
                <w:rFonts w:eastAsia="MS Mincho" w:cstheme="minorHAnsi"/>
                <w:u w:val="single"/>
              </w:rPr>
              <w:t>Safety:</w:t>
            </w:r>
            <w:r>
              <w:rPr>
                <w:rFonts w:eastAsia="MS Mincho" w:cstheme="minorHAnsi"/>
              </w:rPr>
              <w:t xml:space="preserve"> NR</w:t>
            </w:r>
          </w:p>
        </w:tc>
      </w:tr>
      <w:tr w:rsidR="003D3459" w:rsidRPr="00017AE6" w14:paraId="177457E4" w14:textId="77777777" w:rsidTr="005821B1">
        <w:trPr>
          <w:trHeight w:val="99"/>
        </w:trPr>
        <w:tc>
          <w:tcPr>
            <w:tcW w:w="761" w:type="pct"/>
          </w:tcPr>
          <w:p w14:paraId="017E419B" w14:textId="62053301" w:rsidR="00C25F5E" w:rsidRPr="00017AE6" w:rsidRDefault="00C25F5E" w:rsidP="00A71365">
            <w:pPr>
              <w:pStyle w:val="Tablewriting"/>
              <w:rPr>
                <w:rFonts w:eastAsia="MS Mincho" w:cstheme="minorHAnsi"/>
              </w:rPr>
            </w:pPr>
            <w:r w:rsidRPr="00017AE6">
              <w:rPr>
                <w:rFonts w:eastAsia="MS Mincho" w:cstheme="minorHAnsi"/>
              </w:rPr>
              <w:t xml:space="preserve">Nakamura </w:t>
            </w:r>
            <w:r w:rsidR="00DF0515">
              <w:rPr>
                <w:rFonts w:eastAsia="MS Mincho" w:cstheme="minorHAnsi"/>
              </w:rPr>
              <w:t>(</w:t>
            </w:r>
            <w:r w:rsidRPr="00017AE6">
              <w:rPr>
                <w:rFonts w:eastAsia="MS Mincho" w:cstheme="minorHAnsi"/>
              </w:rPr>
              <w:t>2007</w:t>
            </w:r>
            <w:r w:rsidR="00DF0515">
              <w:rPr>
                <w:rFonts w:eastAsia="MS Mincho" w:cstheme="minorHAnsi"/>
              </w:rPr>
              <w:t>)</w:t>
            </w:r>
          </w:p>
        </w:tc>
        <w:tc>
          <w:tcPr>
            <w:tcW w:w="235" w:type="pct"/>
          </w:tcPr>
          <w:p w14:paraId="63A7914D" w14:textId="40A8E88A"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2E7E2771" w14:textId="7ED33EC7" w:rsidR="00C25F5E" w:rsidRPr="00017AE6" w:rsidRDefault="00C65C45" w:rsidP="00A71365">
            <w:pPr>
              <w:pStyle w:val="Tablewriting"/>
              <w:rPr>
                <w:rFonts w:eastAsia="MS Mincho" w:cstheme="minorHAnsi"/>
              </w:rPr>
            </w:pPr>
            <w:r w:rsidRPr="00017AE6">
              <w:rPr>
                <w:rFonts w:eastAsia="MS Mincho" w:cstheme="minorHAnsi"/>
              </w:rPr>
              <w:t>Japan</w:t>
            </w:r>
          </w:p>
        </w:tc>
        <w:tc>
          <w:tcPr>
            <w:tcW w:w="679" w:type="pct"/>
          </w:tcPr>
          <w:p w14:paraId="38BBF1A5" w14:textId="7FDC853D" w:rsidR="00C25F5E" w:rsidRPr="00017AE6" w:rsidRDefault="00C25F5E" w:rsidP="00A71365">
            <w:pPr>
              <w:pStyle w:val="Tablewriting"/>
              <w:rPr>
                <w:rFonts w:eastAsia="MS Mincho" w:cstheme="minorHAnsi"/>
              </w:rPr>
            </w:pPr>
            <w:r w:rsidRPr="00017AE6">
              <w:rPr>
                <w:rFonts w:eastAsia="MS Mincho" w:cstheme="minorHAnsi"/>
              </w:rPr>
              <w:t>N=</w:t>
            </w:r>
            <w:r w:rsidR="00C65C45" w:rsidRPr="00017AE6">
              <w:rPr>
                <w:rFonts w:eastAsia="MS Mincho" w:cstheme="minorHAnsi"/>
              </w:rPr>
              <w:t>619</w:t>
            </w:r>
            <w:r w:rsidR="000236BC">
              <w:rPr>
                <w:rFonts w:eastAsia="MS Mincho" w:cstheme="minorHAnsi"/>
              </w:rPr>
              <w:t xml:space="preserve">; </w:t>
            </w:r>
            <w:r w:rsidR="003F3DFE">
              <w:rPr>
                <w:rFonts w:eastAsia="MS Mincho" w:cstheme="minorHAnsi"/>
              </w:rPr>
              <w:t>n=153 (</w:t>
            </w:r>
            <w:r w:rsidR="009E2A27">
              <w:rPr>
                <w:rFonts w:eastAsia="MS Mincho" w:cstheme="minorHAnsi"/>
              </w:rPr>
              <w:t xml:space="preserve">varenicline 0.25 </w:t>
            </w:r>
            <w:r w:rsidR="000236BC" w:rsidRPr="00017AE6">
              <w:rPr>
                <w:rFonts w:eastAsia="MS Mincho" w:cstheme="minorHAnsi"/>
              </w:rPr>
              <w:t xml:space="preserve">mg x 2/day), </w:t>
            </w:r>
            <w:r w:rsidR="005429E2">
              <w:rPr>
                <w:rFonts w:eastAsia="MS Mincho" w:cstheme="minorHAnsi"/>
              </w:rPr>
              <w:t>n=156 (</w:t>
            </w:r>
            <w:r w:rsidR="003F3DFE" w:rsidRPr="003F3DFE">
              <w:rPr>
                <w:rFonts w:eastAsia="MS Mincho" w:cstheme="minorHAnsi"/>
              </w:rPr>
              <w:t>varenicline</w:t>
            </w:r>
            <w:r w:rsidR="000236BC" w:rsidRPr="00017AE6">
              <w:rPr>
                <w:rFonts w:eastAsia="MS Mincho" w:cstheme="minorHAnsi"/>
              </w:rPr>
              <w:t xml:space="preserve"> 0.5 mg x 2/day), </w:t>
            </w:r>
            <w:r w:rsidR="005429E2">
              <w:rPr>
                <w:rFonts w:eastAsia="MS Mincho" w:cstheme="minorHAnsi"/>
              </w:rPr>
              <w:t>n=156 (varenicline</w:t>
            </w:r>
            <w:r w:rsidR="000236BC" w:rsidRPr="00017AE6">
              <w:rPr>
                <w:rFonts w:eastAsia="MS Mincho" w:cstheme="minorHAnsi"/>
              </w:rPr>
              <w:t xml:space="preserve"> 1.0 mg x 2/day)</w:t>
            </w:r>
            <w:r w:rsidR="005429E2">
              <w:rPr>
                <w:rFonts w:eastAsia="MS Mincho" w:cstheme="minorHAnsi"/>
              </w:rPr>
              <w:t>,</w:t>
            </w:r>
            <w:r w:rsidR="000236BC" w:rsidRPr="00017AE6">
              <w:rPr>
                <w:rFonts w:eastAsia="MS Mincho" w:cstheme="minorHAnsi"/>
              </w:rPr>
              <w:t xml:space="preserve"> </w:t>
            </w:r>
            <w:r w:rsidR="005429E2">
              <w:rPr>
                <w:rFonts w:eastAsia="MS Mincho" w:cstheme="minorHAnsi"/>
              </w:rPr>
              <w:t>n=154 (</w:t>
            </w:r>
            <w:r w:rsidR="000236BC" w:rsidRPr="00017AE6">
              <w:rPr>
                <w:rFonts w:eastAsia="MS Mincho" w:cstheme="minorHAnsi"/>
              </w:rPr>
              <w:t>placebo x 2/day).</w:t>
            </w:r>
          </w:p>
        </w:tc>
        <w:tc>
          <w:tcPr>
            <w:tcW w:w="851" w:type="pct"/>
          </w:tcPr>
          <w:p w14:paraId="5D190AC0" w14:textId="1A160C89" w:rsidR="00361C80" w:rsidRPr="00017AE6" w:rsidRDefault="000236BC" w:rsidP="00A71365">
            <w:pPr>
              <w:pStyle w:val="Tablewriting"/>
              <w:rPr>
                <w:rFonts w:eastAsia="MS Mincho" w:cstheme="minorHAnsi"/>
              </w:rPr>
            </w:pPr>
            <w:r>
              <w:rPr>
                <w:rFonts w:eastAsia="MS Mincho" w:cstheme="minorHAnsi"/>
              </w:rPr>
              <w:t>H</w:t>
            </w:r>
            <w:r w:rsidR="00361C80" w:rsidRPr="00017AE6">
              <w:rPr>
                <w:rFonts w:eastAsia="MS Mincho" w:cstheme="minorHAnsi"/>
              </w:rPr>
              <w:t xml:space="preserve">ealthy Japanese adult volunteers, aged 20 </w:t>
            </w:r>
            <w:r>
              <w:rPr>
                <w:rFonts w:eastAsia="MS Mincho" w:cstheme="minorHAnsi"/>
              </w:rPr>
              <w:t>–</w:t>
            </w:r>
            <w:r w:rsidR="00361C80" w:rsidRPr="00017AE6">
              <w:rPr>
                <w:rFonts w:eastAsia="MS Mincho" w:cstheme="minorHAnsi"/>
              </w:rPr>
              <w:t xml:space="preserve"> 75</w:t>
            </w:r>
            <w:r>
              <w:rPr>
                <w:rFonts w:eastAsia="MS Mincho" w:cstheme="minorHAnsi"/>
              </w:rPr>
              <w:t xml:space="preserve"> years</w:t>
            </w:r>
            <w:r w:rsidR="00361C80" w:rsidRPr="00017AE6">
              <w:rPr>
                <w:rFonts w:eastAsia="MS Mincho" w:cstheme="minorHAnsi"/>
              </w:rPr>
              <w:t xml:space="preserve">, smoking </w:t>
            </w:r>
            <w:r w:rsidR="007341DD" w:rsidRPr="007341DD">
              <w:rPr>
                <w:rFonts w:eastAsia="MS Mincho" w:cstheme="minorHAnsi"/>
              </w:rPr>
              <w:t>≥</w:t>
            </w:r>
            <w:r w:rsidR="00361C80" w:rsidRPr="00017AE6">
              <w:rPr>
                <w:rFonts w:eastAsia="MS Mincho" w:cstheme="minorHAnsi"/>
              </w:rPr>
              <w:t xml:space="preserve"> 10 CPD. </w:t>
            </w:r>
          </w:p>
          <w:p w14:paraId="13A66A63" w14:textId="77777777" w:rsidR="007341DD" w:rsidRDefault="007341DD" w:rsidP="00A71365">
            <w:pPr>
              <w:pStyle w:val="Tablewriting"/>
              <w:rPr>
                <w:rFonts w:eastAsia="MS Mincho" w:cstheme="minorHAnsi"/>
              </w:rPr>
            </w:pPr>
          </w:p>
          <w:p w14:paraId="47CEB1A6" w14:textId="6438643B" w:rsidR="00361C80" w:rsidRPr="00017AE6" w:rsidRDefault="00361C80" w:rsidP="00A71365">
            <w:pPr>
              <w:pStyle w:val="Tablewriting"/>
              <w:rPr>
                <w:rFonts w:eastAsia="MS Mincho" w:cstheme="minorHAnsi"/>
              </w:rPr>
            </w:pPr>
            <w:r w:rsidRPr="00017AE6">
              <w:rPr>
                <w:rFonts w:eastAsia="MS Mincho" w:cstheme="minorHAnsi"/>
              </w:rPr>
              <w:t>Participants stratified by level of nicotine dependence, measured</w:t>
            </w:r>
            <w:r w:rsidR="009E2A27">
              <w:rPr>
                <w:rFonts w:eastAsia="MS Mincho" w:cstheme="minorHAnsi"/>
              </w:rPr>
              <w:t xml:space="preserve"> by Tobacco Dependence Screener </w:t>
            </w:r>
            <w:r w:rsidRPr="00017AE6">
              <w:rPr>
                <w:rFonts w:eastAsia="MS Mincho" w:cstheme="minorHAnsi"/>
              </w:rPr>
              <w:t>scale (p 5) and by FTND. 515 (83.3%) classified as nicotine dependent</w:t>
            </w:r>
            <w:r w:rsidR="00332CAE">
              <w:rPr>
                <w:rFonts w:eastAsia="MS Mincho" w:cstheme="minorHAnsi"/>
              </w:rPr>
              <w:t>.</w:t>
            </w:r>
          </w:p>
          <w:p w14:paraId="6BDB2EA6" w14:textId="77777777" w:rsidR="00332CAE" w:rsidRDefault="00332CAE" w:rsidP="00A71365">
            <w:pPr>
              <w:pStyle w:val="Tablewriting"/>
              <w:rPr>
                <w:rFonts w:eastAsia="MS Mincho" w:cstheme="minorHAnsi"/>
              </w:rPr>
            </w:pPr>
          </w:p>
          <w:p w14:paraId="1930D570" w14:textId="6E2F8B9B" w:rsidR="00361C80" w:rsidRPr="00017AE6" w:rsidRDefault="00361C80" w:rsidP="00A71365">
            <w:pPr>
              <w:pStyle w:val="Tablewriting"/>
              <w:rPr>
                <w:rFonts w:eastAsia="MS Mincho" w:cstheme="minorHAnsi"/>
              </w:rPr>
            </w:pPr>
            <w:r w:rsidRPr="00017AE6">
              <w:rPr>
                <w:rFonts w:eastAsia="MS Mincho" w:cstheme="minorHAnsi"/>
              </w:rPr>
              <w:t xml:space="preserve">Demographic data only supplied for nicotine-dependent group </w:t>
            </w:r>
            <w:r w:rsidRPr="00017AE6">
              <w:rPr>
                <w:rFonts w:eastAsia="MS Mincho" w:cstheme="minorHAnsi"/>
              </w:rPr>
              <w:lastRenderedPageBreak/>
              <w:t>(515/618): 75% men, mean age 39.8,</w:t>
            </w:r>
            <w:r w:rsidR="00332CAE">
              <w:rPr>
                <w:rFonts w:eastAsia="MS Mincho" w:cstheme="minorHAnsi"/>
              </w:rPr>
              <w:t xml:space="preserve"> </w:t>
            </w:r>
            <w:r w:rsidRPr="00017AE6">
              <w:rPr>
                <w:rFonts w:eastAsia="MS Mincho" w:cstheme="minorHAnsi"/>
              </w:rPr>
              <w:t>mean CPD 24, mean FTND score 5.6</w:t>
            </w:r>
            <w:r w:rsidR="00332CAE">
              <w:rPr>
                <w:rFonts w:eastAsia="MS Mincho" w:cstheme="minorHAnsi"/>
              </w:rPr>
              <w:t>.</w:t>
            </w:r>
          </w:p>
          <w:p w14:paraId="71448F04" w14:textId="77777777" w:rsidR="00332CAE" w:rsidRDefault="00332CAE" w:rsidP="00A71365">
            <w:pPr>
              <w:pStyle w:val="Tablewriting"/>
              <w:rPr>
                <w:rFonts w:eastAsia="MS Mincho" w:cstheme="minorHAnsi"/>
              </w:rPr>
            </w:pPr>
          </w:p>
          <w:p w14:paraId="0178DF31" w14:textId="56ABFD77" w:rsidR="00361C80" w:rsidRPr="00017AE6" w:rsidRDefault="00361C80" w:rsidP="00A71365">
            <w:pPr>
              <w:pStyle w:val="Tablewriting"/>
              <w:rPr>
                <w:rFonts w:eastAsia="MS Mincho" w:cstheme="minorHAnsi"/>
              </w:rPr>
            </w:pPr>
            <w:r w:rsidRPr="00332CAE">
              <w:rPr>
                <w:rFonts w:eastAsia="MS Mincho" w:cstheme="minorHAnsi"/>
                <w:u w:val="single"/>
              </w:rPr>
              <w:t xml:space="preserve">Exclusion criteria: </w:t>
            </w:r>
            <w:r w:rsidRPr="00017AE6">
              <w:rPr>
                <w:rFonts w:eastAsia="MS Mincho" w:cstheme="minorHAnsi"/>
              </w:rPr>
              <w:t>Standard</w:t>
            </w:r>
            <w:r w:rsidR="001166D2">
              <w:rPr>
                <w:rFonts w:eastAsia="MS Mincho" w:cstheme="minorHAnsi"/>
              </w:rPr>
              <w:t xml:space="preserve"> </w:t>
            </w:r>
            <w:r w:rsidRPr="00017AE6">
              <w:rPr>
                <w:rFonts w:eastAsia="MS Mincho" w:cstheme="minorHAnsi"/>
              </w:rPr>
              <w:t>pharmacotherapy trial criteria, + use of NRT within last 30 days, use of pipe</w:t>
            </w:r>
          </w:p>
          <w:p w14:paraId="1D320762" w14:textId="5F793555" w:rsidR="00C25F5E" w:rsidRPr="00017AE6" w:rsidRDefault="00361C80" w:rsidP="00A71365">
            <w:pPr>
              <w:pStyle w:val="Tablewriting"/>
              <w:rPr>
                <w:rFonts w:eastAsia="MS Mincho" w:cstheme="minorHAnsi"/>
              </w:rPr>
            </w:pPr>
            <w:r w:rsidRPr="00017AE6">
              <w:rPr>
                <w:rFonts w:eastAsia="MS Mincho" w:cstheme="minorHAnsi"/>
              </w:rPr>
              <w:t xml:space="preserve">tobacco, </w:t>
            </w:r>
            <w:r w:rsidRPr="00987B2A">
              <w:rPr>
                <w:rFonts w:eastAsia="MS Mincho" w:cstheme="minorHAnsi"/>
              </w:rPr>
              <w:t>snu</w:t>
            </w:r>
            <w:r w:rsidR="00987B2A" w:rsidRPr="00987B2A">
              <w:rPr>
                <w:rFonts w:eastAsia="MS Mincho" w:cstheme="minorHAnsi"/>
              </w:rPr>
              <w:t>ff</w:t>
            </w:r>
            <w:r w:rsidRPr="00017AE6">
              <w:rPr>
                <w:rFonts w:eastAsia="MS Mincho" w:cstheme="minorHAnsi"/>
              </w:rPr>
              <w:t>, chewing tobacco, cigars within last 30 days and throughout trial</w:t>
            </w:r>
            <w:r w:rsidR="001166D2">
              <w:rPr>
                <w:rFonts w:eastAsia="MS Mincho" w:cstheme="minorHAnsi"/>
              </w:rPr>
              <w:t>.</w:t>
            </w:r>
          </w:p>
        </w:tc>
        <w:tc>
          <w:tcPr>
            <w:tcW w:w="1054" w:type="pct"/>
          </w:tcPr>
          <w:p w14:paraId="4B1FF14D" w14:textId="2378EE57" w:rsidR="003359FB" w:rsidRDefault="00361C80" w:rsidP="00C324F3">
            <w:pPr>
              <w:pStyle w:val="Tablewriting"/>
              <w:numPr>
                <w:ilvl w:val="0"/>
                <w:numId w:val="79"/>
              </w:numPr>
              <w:rPr>
                <w:rFonts w:eastAsia="MS Mincho" w:cstheme="minorHAnsi"/>
              </w:rPr>
            </w:pPr>
            <w:r w:rsidRPr="00017AE6">
              <w:rPr>
                <w:rFonts w:eastAsia="MS Mincho" w:cstheme="minorHAnsi"/>
              </w:rPr>
              <w:lastRenderedPageBreak/>
              <w:t>Varenicline 0.25 mg x 2/day</w:t>
            </w:r>
            <w:r w:rsidR="003359FB">
              <w:rPr>
                <w:rFonts w:eastAsia="MS Mincho" w:cstheme="minorHAnsi"/>
              </w:rPr>
              <w:t>.</w:t>
            </w:r>
          </w:p>
          <w:p w14:paraId="236672F4" w14:textId="77777777" w:rsidR="003359FB" w:rsidRDefault="00361C80" w:rsidP="00C324F3">
            <w:pPr>
              <w:pStyle w:val="Tablewriting"/>
              <w:numPr>
                <w:ilvl w:val="0"/>
                <w:numId w:val="79"/>
              </w:numPr>
              <w:rPr>
                <w:rFonts w:eastAsia="MS Mincho" w:cstheme="minorHAnsi"/>
              </w:rPr>
            </w:pPr>
            <w:r w:rsidRPr="003359FB">
              <w:rPr>
                <w:rFonts w:eastAsia="MS Mincho" w:cstheme="minorHAnsi"/>
              </w:rPr>
              <w:t>Varenicline 0.50 mg x 2/day</w:t>
            </w:r>
            <w:r w:rsidR="003359FB">
              <w:rPr>
                <w:rFonts w:eastAsia="MS Mincho" w:cstheme="minorHAnsi"/>
              </w:rPr>
              <w:t>.</w:t>
            </w:r>
          </w:p>
          <w:p w14:paraId="3D6AF800" w14:textId="77777777" w:rsidR="003359FB" w:rsidRDefault="00361C80" w:rsidP="00C324F3">
            <w:pPr>
              <w:pStyle w:val="Tablewriting"/>
              <w:numPr>
                <w:ilvl w:val="0"/>
                <w:numId w:val="79"/>
              </w:numPr>
              <w:rPr>
                <w:rFonts w:eastAsia="MS Mincho" w:cstheme="minorHAnsi"/>
              </w:rPr>
            </w:pPr>
            <w:r w:rsidRPr="003359FB">
              <w:rPr>
                <w:rFonts w:eastAsia="MS Mincho" w:cstheme="minorHAnsi"/>
              </w:rPr>
              <w:t>Varenicline 1.00 mg x 2/day</w:t>
            </w:r>
            <w:r w:rsidR="003359FB">
              <w:rPr>
                <w:rFonts w:eastAsia="MS Mincho" w:cstheme="minorHAnsi"/>
              </w:rPr>
              <w:t>.</w:t>
            </w:r>
          </w:p>
          <w:p w14:paraId="59E91757" w14:textId="0E6E6D7C" w:rsidR="00361C80" w:rsidRPr="00017AE6" w:rsidRDefault="00361C80" w:rsidP="00C324F3">
            <w:pPr>
              <w:pStyle w:val="Tablewriting"/>
              <w:numPr>
                <w:ilvl w:val="0"/>
                <w:numId w:val="79"/>
              </w:numPr>
              <w:rPr>
                <w:rFonts w:eastAsia="MS Mincho" w:cstheme="minorHAnsi"/>
              </w:rPr>
            </w:pPr>
            <w:r w:rsidRPr="00017AE6">
              <w:rPr>
                <w:rFonts w:eastAsia="MS Mincho" w:cstheme="minorHAnsi"/>
              </w:rPr>
              <w:t>Placebo tablet x 2/day</w:t>
            </w:r>
          </w:p>
          <w:p w14:paraId="316F1CAB" w14:textId="77777777" w:rsidR="003359FB" w:rsidRDefault="003359FB" w:rsidP="00A71365">
            <w:pPr>
              <w:pStyle w:val="Tablewriting"/>
              <w:rPr>
                <w:rFonts w:eastAsia="MS Mincho" w:cstheme="minorHAnsi"/>
              </w:rPr>
            </w:pPr>
          </w:p>
          <w:p w14:paraId="29AE626F" w14:textId="47A4D96B" w:rsidR="00361C80" w:rsidRPr="00017AE6" w:rsidRDefault="00F7091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361C80" w:rsidRPr="00017AE6">
              <w:rPr>
                <w:rFonts w:eastAsia="MS Mincho" w:cstheme="minorHAnsi"/>
              </w:rPr>
              <w:t>Treatment period 12 w</w:t>
            </w:r>
            <w:r w:rsidR="003359FB">
              <w:rPr>
                <w:rFonts w:eastAsia="MS Mincho" w:cstheme="minorHAnsi"/>
              </w:rPr>
              <w:t>ee</w:t>
            </w:r>
            <w:r w:rsidR="00361C80" w:rsidRPr="00017AE6">
              <w:rPr>
                <w:rFonts w:eastAsia="MS Mincho" w:cstheme="minorHAnsi"/>
              </w:rPr>
              <w:t>ks, 1st w</w:t>
            </w:r>
            <w:r w:rsidR="003359FB">
              <w:rPr>
                <w:rFonts w:eastAsia="MS Mincho" w:cstheme="minorHAnsi"/>
              </w:rPr>
              <w:t>ee</w:t>
            </w:r>
            <w:r w:rsidR="00361C80" w:rsidRPr="00017AE6">
              <w:rPr>
                <w:rFonts w:eastAsia="MS Mincho" w:cstheme="minorHAnsi"/>
              </w:rPr>
              <w:t>k titrated dosage. All participants received a smoking cessation booklet</w:t>
            </w:r>
            <w:r w:rsidR="003359FB">
              <w:rPr>
                <w:rFonts w:eastAsia="MS Mincho" w:cstheme="minorHAnsi"/>
              </w:rPr>
              <w:t xml:space="preserve"> </w:t>
            </w:r>
            <w:r w:rsidR="00361C80" w:rsidRPr="00017AE6">
              <w:rPr>
                <w:rFonts w:eastAsia="MS Mincho" w:cstheme="minorHAnsi"/>
              </w:rPr>
              <w:t>Clearing the Air at baseline, + brief counselling (</w:t>
            </w:r>
            <w:r w:rsidR="00135A98" w:rsidRPr="00135A98">
              <w:rPr>
                <w:rFonts w:eastAsia="MS Mincho" w:cstheme="minorHAnsi"/>
              </w:rPr>
              <w:t>≤</w:t>
            </w:r>
            <w:r w:rsidR="00361C80" w:rsidRPr="00017AE6">
              <w:rPr>
                <w:rFonts w:eastAsia="MS Mincho" w:cstheme="minorHAnsi"/>
              </w:rPr>
              <w:t xml:space="preserve"> 10 mins) at each clinic visit. Weekly visits </w:t>
            </w:r>
            <w:r w:rsidR="00361C80" w:rsidRPr="00017AE6">
              <w:rPr>
                <w:rFonts w:eastAsia="MS Mincho" w:cstheme="minorHAnsi"/>
              </w:rPr>
              <w:lastRenderedPageBreak/>
              <w:t>throughout</w:t>
            </w:r>
            <w:r>
              <w:rPr>
                <w:rFonts w:eastAsia="MS Mincho" w:cstheme="minorHAnsi"/>
              </w:rPr>
              <w:t xml:space="preserve"> </w:t>
            </w:r>
            <w:r w:rsidR="00361C80" w:rsidRPr="00017AE6">
              <w:rPr>
                <w:rFonts w:eastAsia="MS Mincho" w:cstheme="minorHAnsi"/>
              </w:rPr>
              <w:t>treatment phase, plus a 5-min phone call at TQD and +3 days post-TQD</w:t>
            </w:r>
          </w:p>
          <w:p w14:paraId="318410AD" w14:textId="77777777" w:rsidR="00F70919" w:rsidRDefault="00F70919" w:rsidP="00A71365">
            <w:pPr>
              <w:pStyle w:val="Tablewriting"/>
              <w:rPr>
                <w:rFonts w:eastAsia="MS Mincho" w:cstheme="minorHAnsi"/>
              </w:rPr>
            </w:pPr>
          </w:p>
          <w:p w14:paraId="22030648" w14:textId="54F6DD6A" w:rsidR="00361C80" w:rsidRPr="00017AE6" w:rsidRDefault="00361C80" w:rsidP="00A71365">
            <w:pPr>
              <w:pStyle w:val="Tablewriting"/>
              <w:rPr>
                <w:rFonts w:eastAsia="MS Mincho" w:cstheme="minorHAnsi"/>
              </w:rPr>
            </w:pPr>
            <w:r w:rsidRPr="00017AE6">
              <w:rPr>
                <w:rFonts w:eastAsia="MS Mincho" w:cstheme="minorHAnsi"/>
              </w:rPr>
              <w:t>In follow-up phase, clinic visits at w</w:t>
            </w:r>
            <w:r w:rsidR="002E32CD">
              <w:rPr>
                <w:rFonts w:eastAsia="MS Mincho" w:cstheme="minorHAnsi"/>
              </w:rPr>
              <w:t>ee</w:t>
            </w:r>
            <w:r w:rsidRPr="00017AE6">
              <w:rPr>
                <w:rFonts w:eastAsia="MS Mincho" w:cstheme="minorHAnsi"/>
              </w:rPr>
              <w:t>ks 13, 16, 24, 36, 44 and 52, plus brief phone calls at w</w:t>
            </w:r>
            <w:r w:rsidR="002E32CD">
              <w:rPr>
                <w:rFonts w:eastAsia="MS Mincho" w:cstheme="minorHAnsi"/>
              </w:rPr>
              <w:t>ee</w:t>
            </w:r>
            <w:r w:rsidRPr="00017AE6">
              <w:rPr>
                <w:rFonts w:eastAsia="MS Mincho" w:cstheme="minorHAnsi"/>
              </w:rPr>
              <w:t>ks 20, 28, 32,</w:t>
            </w:r>
          </w:p>
          <w:p w14:paraId="2351F62C" w14:textId="1D991921" w:rsidR="00C25F5E" w:rsidRPr="00017AE6" w:rsidRDefault="00361C80" w:rsidP="00A71365">
            <w:pPr>
              <w:pStyle w:val="Tablewriting"/>
              <w:rPr>
                <w:rFonts w:eastAsia="MS Mincho" w:cstheme="minorHAnsi"/>
              </w:rPr>
            </w:pPr>
            <w:r w:rsidRPr="00017AE6">
              <w:rPr>
                <w:rFonts w:eastAsia="MS Mincho" w:cstheme="minorHAnsi"/>
              </w:rPr>
              <w:t>40 and 48</w:t>
            </w:r>
            <w:r w:rsidR="002E32CD">
              <w:rPr>
                <w:rFonts w:eastAsia="MS Mincho" w:cstheme="minorHAnsi"/>
              </w:rPr>
              <w:t>.</w:t>
            </w:r>
          </w:p>
        </w:tc>
        <w:tc>
          <w:tcPr>
            <w:tcW w:w="959" w:type="pct"/>
          </w:tcPr>
          <w:p w14:paraId="515FD146" w14:textId="77777777" w:rsidR="003114F5" w:rsidRPr="003114F5" w:rsidRDefault="003114F5" w:rsidP="00A71365">
            <w:pPr>
              <w:pStyle w:val="Tablewriting"/>
              <w:rPr>
                <w:rFonts w:eastAsia="MS Mincho" w:cstheme="minorHAnsi"/>
                <w:u w:val="single"/>
              </w:rPr>
            </w:pPr>
            <w:r w:rsidRPr="003114F5">
              <w:rPr>
                <w:rFonts w:eastAsia="MS Mincho" w:cstheme="minorHAnsi"/>
                <w:u w:val="single"/>
              </w:rPr>
              <w:lastRenderedPageBreak/>
              <w:t>Efficacy:</w:t>
            </w:r>
          </w:p>
          <w:p w14:paraId="4134B7DF" w14:textId="6617EBFC" w:rsidR="00361C80" w:rsidRPr="00017AE6" w:rsidRDefault="00361C80" w:rsidP="00A71365">
            <w:pPr>
              <w:pStyle w:val="Tablewriting"/>
              <w:rPr>
                <w:rFonts w:eastAsia="MS Mincho" w:cstheme="minorHAnsi"/>
              </w:rPr>
            </w:pPr>
            <w:r w:rsidRPr="00017AE6">
              <w:rPr>
                <w:rFonts w:eastAsia="MS Mincho" w:cstheme="minorHAnsi"/>
              </w:rPr>
              <w:t>Primary outcome: CO-validated CAR at 9 - 12 w</w:t>
            </w:r>
            <w:r w:rsidR="003114F5">
              <w:rPr>
                <w:rFonts w:eastAsia="MS Mincho" w:cstheme="minorHAnsi"/>
              </w:rPr>
              <w:t>ee</w:t>
            </w:r>
            <w:r w:rsidRPr="00017AE6">
              <w:rPr>
                <w:rFonts w:eastAsia="MS Mincho" w:cstheme="minorHAnsi"/>
              </w:rPr>
              <w:t>ks</w:t>
            </w:r>
            <w:r w:rsidR="003114F5">
              <w:rPr>
                <w:rFonts w:eastAsia="MS Mincho" w:cstheme="minorHAnsi"/>
              </w:rPr>
              <w:t>,</w:t>
            </w:r>
          </w:p>
          <w:p w14:paraId="1E7EAA46" w14:textId="4FD79A66" w:rsidR="00361C80" w:rsidRPr="00017AE6" w:rsidRDefault="00361C80" w:rsidP="00A71365">
            <w:pPr>
              <w:pStyle w:val="Tablewriting"/>
              <w:rPr>
                <w:rFonts w:eastAsia="MS Mincho" w:cstheme="minorHAnsi"/>
              </w:rPr>
            </w:pPr>
            <w:r w:rsidRPr="00017AE6">
              <w:rPr>
                <w:rFonts w:eastAsia="MS Mincho" w:cstheme="minorHAnsi"/>
              </w:rPr>
              <w:t>Secondary outcomes: CO-validated CAR at 9 - 24 w</w:t>
            </w:r>
            <w:r w:rsidR="003208B9">
              <w:rPr>
                <w:rFonts w:eastAsia="MS Mincho" w:cstheme="minorHAnsi"/>
              </w:rPr>
              <w:t>ee</w:t>
            </w:r>
            <w:r w:rsidRPr="00017AE6">
              <w:rPr>
                <w:rFonts w:eastAsia="MS Mincho" w:cstheme="minorHAnsi"/>
              </w:rPr>
              <w:t>ks and 9 - 52 w</w:t>
            </w:r>
            <w:r w:rsidR="003208B9">
              <w:rPr>
                <w:rFonts w:eastAsia="MS Mincho" w:cstheme="minorHAnsi"/>
              </w:rPr>
              <w:t>ee</w:t>
            </w:r>
            <w:r w:rsidRPr="00017AE6">
              <w:rPr>
                <w:rFonts w:eastAsia="MS Mincho" w:cstheme="minorHAnsi"/>
              </w:rPr>
              <w:t>ks; 7-day PPA at w</w:t>
            </w:r>
            <w:r w:rsidR="003208B9">
              <w:rPr>
                <w:rFonts w:eastAsia="MS Mincho" w:cstheme="minorHAnsi"/>
              </w:rPr>
              <w:t>ee</w:t>
            </w:r>
            <w:r w:rsidRPr="00017AE6">
              <w:rPr>
                <w:rFonts w:eastAsia="MS Mincho" w:cstheme="minorHAnsi"/>
              </w:rPr>
              <w:t>ks 2, 12, 24 and 52</w:t>
            </w:r>
            <w:r w:rsidR="003208B9">
              <w:rPr>
                <w:rFonts w:eastAsia="MS Mincho" w:cstheme="minorHAnsi"/>
              </w:rPr>
              <w:t>.</w:t>
            </w:r>
          </w:p>
          <w:p w14:paraId="7C57051C" w14:textId="3F61D374" w:rsidR="00361C80" w:rsidRPr="00017AE6" w:rsidRDefault="00361C80" w:rsidP="00A71365">
            <w:pPr>
              <w:pStyle w:val="Tablewriting"/>
              <w:rPr>
                <w:rFonts w:eastAsia="MS Mincho" w:cstheme="minorHAnsi"/>
              </w:rPr>
            </w:pPr>
            <w:r w:rsidRPr="00017AE6">
              <w:rPr>
                <w:rFonts w:eastAsia="MS Mincho" w:cstheme="minorHAnsi"/>
              </w:rPr>
              <w:t xml:space="preserve">Validation was by expired CO </w:t>
            </w:r>
            <w:r w:rsidR="00B41ED0" w:rsidRPr="00B41ED0">
              <w:rPr>
                <w:rFonts w:eastAsia="MS Mincho" w:cstheme="minorHAnsi"/>
              </w:rPr>
              <w:t>≤</w:t>
            </w:r>
            <w:r w:rsidRPr="00017AE6">
              <w:rPr>
                <w:rFonts w:eastAsia="MS Mincho" w:cstheme="minorHAnsi"/>
              </w:rPr>
              <w:t xml:space="preserve"> 10 ppm</w:t>
            </w:r>
          </w:p>
          <w:p w14:paraId="5DC18F1E" w14:textId="77777777" w:rsidR="00526E5D" w:rsidRDefault="00526E5D" w:rsidP="00A71365">
            <w:pPr>
              <w:pStyle w:val="Tablewriting"/>
              <w:rPr>
                <w:rFonts w:eastAsia="MS Mincho" w:cstheme="minorHAnsi"/>
              </w:rPr>
            </w:pPr>
          </w:p>
          <w:p w14:paraId="17F5B3BF" w14:textId="16018BE6" w:rsidR="00526E5D" w:rsidRPr="00017AE6" w:rsidRDefault="00526E5D" w:rsidP="00A71365">
            <w:pPr>
              <w:pStyle w:val="Tablewriting"/>
              <w:rPr>
                <w:rFonts w:eastAsia="MS Mincho" w:cstheme="minorHAnsi"/>
              </w:rPr>
            </w:pPr>
            <w:r w:rsidRPr="00526E5D">
              <w:rPr>
                <w:rFonts w:eastAsia="MS Mincho" w:cstheme="minorHAnsi"/>
                <w:u w:val="single"/>
              </w:rPr>
              <w:t>Safety</w:t>
            </w:r>
            <w:r w:rsidRPr="00526E5D">
              <w:rPr>
                <w:rFonts w:eastAsia="MS Mincho" w:cstheme="minorHAnsi"/>
              </w:rPr>
              <w:t xml:space="preserve">: </w:t>
            </w:r>
            <w:r>
              <w:rPr>
                <w:rFonts w:eastAsia="MS Mincho" w:cstheme="minorHAnsi"/>
              </w:rPr>
              <w:t>A</w:t>
            </w:r>
            <w:r w:rsidRPr="00017AE6">
              <w:rPr>
                <w:rFonts w:eastAsia="MS Mincho" w:cstheme="minorHAnsi"/>
              </w:rPr>
              <w:t>dverse events</w:t>
            </w:r>
            <w:r>
              <w:rPr>
                <w:rFonts w:eastAsia="MS Mincho" w:cstheme="minorHAnsi"/>
              </w:rPr>
              <w:t>.</w:t>
            </w:r>
          </w:p>
          <w:p w14:paraId="3E7B6DC2" w14:textId="47FD6C4B" w:rsidR="00526E5D" w:rsidRPr="00526E5D" w:rsidRDefault="00526E5D" w:rsidP="00A71365">
            <w:pPr>
              <w:pStyle w:val="Tablewriting"/>
              <w:rPr>
                <w:rFonts w:eastAsia="MS Mincho" w:cstheme="minorHAnsi"/>
                <w:u w:val="single"/>
              </w:rPr>
            </w:pPr>
          </w:p>
          <w:p w14:paraId="3B961ADB" w14:textId="77777777" w:rsidR="00526E5D" w:rsidRDefault="00526E5D" w:rsidP="00A71365">
            <w:pPr>
              <w:pStyle w:val="Tablewriting"/>
              <w:rPr>
                <w:rFonts w:eastAsia="MS Mincho" w:cstheme="minorHAnsi"/>
              </w:rPr>
            </w:pPr>
          </w:p>
          <w:p w14:paraId="316C0087" w14:textId="71B592A9" w:rsidR="00361C80" w:rsidRPr="00017AE6" w:rsidRDefault="00361C80" w:rsidP="00A71365">
            <w:pPr>
              <w:pStyle w:val="Tablewriting"/>
              <w:rPr>
                <w:rFonts w:eastAsia="MS Mincho" w:cstheme="minorHAnsi"/>
              </w:rPr>
            </w:pPr>
            <w:r w:rsidRPr="00526E5D">
              <w:rPr>
                <w:rFonts w:eastAsia="MS Mincho" w:cstheme="minorHAnsi"/>
                <w:u w:val="single"/>
              </w:rPr>
              <w:t>Other</w:t>
            </w:r>
            <w:r w:rsidR="00526E5D">
              <w:rPr>
                <w:rFonts w:eastAsia="MS Mincho" w:cstheme="minorHAnsi"/>
                <w:u w:val="single"/>
              </w:rPr>
              <w:t>s</w:t>
            </w:r>
            <w:r w:rsidRPr="00526E5D">
              <w:rPr>
                <w:rFonts w:eastAsia="MS Mincho" w:cstheme="minorHAnsi"/>
                <w:u w:val="single"/>
              </w:rPr>
              <w:t>:</w:t>
            </w:r>
            <w:r w:rsidRPr="00017AE6">
              <w:rPr>
                <w:rFonts w:eastAsia="MS Mincho" w:cstheme="minorHAnsi"/>
              </w:rPr>
              <w:t xml:space="preserve"> Withdrawal symptoms (using MNWS, QSU-brief and mCEQ), </w:t>
            </w:r>
          </w:p>
          <w:p w14:paraId="6AE98642" w14:textId="77777777" w:rsidR="00526E5D" w:rsidRDefault="00526E5D" w:rsidP="00A71365">
            <w:pPr>
              <w:pStyle w:val="Tablewriting"/>
              <w:rPr>
                <w:rFonts w:eastAsia="MS Mincho" w:cstheme="minorHAnsi"/>
              </w:rPr>
            </w:pPr>
          </w:p>
          <w:p w14:paraId="1A5DB8F9" w14:textId="061D0E1A" w:rsidR="00C25F5E" w:rsidRPr="00017AE6" w:rsidRDefault="00C25F5E" w:rsidP="00A71365">
            <w:pPr>
              <w:pStyle w:val="Tablewriting"/>
              <w:rPr>
                <w:rFonts w:eastAsia="MS Mincho" w:cstheme="minorHAnsi"/>
              </w:rPr>
            </w:pPr>
          </w:p>
        </w:tc>
      </w:tr>
      <w:tr w:rsidR="003D3459" w:rsidRPr="00017AE6" w14:paraId="5A874406" w14:textId="77777777" w:rsidTr="005821B1">
        <w:trPr>
          <w:trHeight w:val="99"/>
        </w:trPr>
        <w:tc>
          <w:tcPr>
            <w:tcW w:w="761" w:type="pct"/>
          </w:tcPr>
          <w:p w14:paraId="655C94E0" w14:textId="44CC74ED" w:rsidR="00C25F5E" w:rsidRPr="00017AE6" w:rsidRDefault="00C25F5E" w:rsidP="00A71365">
            <w:pPr>
              <w:pStyle w:val="Tablewriting"/>
              <w:rPr>
                <w:rFonts w:eastAsia="MS Mincho" w:cstheme="minorHAnsi"/>
              </w:rPr>
            </w:pPr>
            <w:r w:rsidRPr="00017AE6">
              <w:rPr>
                <w:rFonts w:eastAsia="MS Mincho" w:cstheme="minorHAnsi"/>
              </w:rPr>
              <w:lastRenderedPageBreak/>
              <w:t>NCT00828113</w:t>
            </w:r>
          </w:p>
        </w:tc>
        <w:tc>
          <w:tcPr>
            <w:tcW w:w="235" w:type="pct"/>
          </w:tcPr>
          <w:p w14:paraId="2BC8476B" w14:textId="2AEDC08A"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3D6898E1" w14:textId="38B75FD5" w:rsidR="00C25F5E" w:rsidRPr="00017AE6" w:rsidRDefault="00577770" w:rsidP="00A71365">
            <w:pPr>
              <w:pStyle w:val="Tablewriting"/>
              <w:rPr>
                <w:rFonts w:eastAsia="MS Mincho" w:cstheme="minorHAnsi"/>
              </w:rPr>
            </w:pPr>
            <w:r w:rsidRPr="00017AE6">
              <w:rPr>
                <w:rFonts w:eastAsia="MS Mincho" w:cstheme="minorHAnsi"/>
              </w:rPr>
              <w:t>NR</w:t>
            </w:r>
          </w:p>
        </w:tc>
        <w:tc>
          <w:tcPr>
            <w:tcW w:w="679" w:type="pct"/>
          </w:tcPr>
          <w:p w14:paraId="70BDD4BD" w14:textId="49DEA811" w:rsidR="00C25F5E" w:rsidRPr="00017AE6" w:rsidRDefault="00C25F5E" w:rsidP="00A71365">
            <w:pPr>
              <w:pStyle w:val="Tablewriting"/>
              <w:rPr>
                <w:rFonts w:eastAsia="MS Mincho" w:cstheme="minorHAnsi"/>
              </w:rPr>
            </w:pPr>
            <w:r w:rsidRPr="00017AE6">
              <w:rPr>
                <w:rFonts w:eastAsia="MS Mincho" w:cstheme="minorHAnsi"/>
              </w:rPr>
              <w:t>N=</w:t>
            </w:r>
            <w:r w:rsidR="00577770" w:rsidRPr="00017AE6">
              <w:rPr>
                <w:rFonts w:eastAsia="MS Mincho" w:cstheme="minorHAnsi"/>
              </w:rPr>
              <w:t>101</w:t>
            </w:r>
          </w:p>
        </w:tc>
        <w:tc>
          <w:tcPr>
            <w:tcW w:w="851" w:type="pct"/>
          </w:tcPr>
          <w:p w14:paraId="3D97512B" w14:textId="3C0C11D1" w:rsidR="00C25F5E" w:rsidRPr="00017AE6" w:rsidRDefault="00577770" w:rsidP="00A71365">
            <w:pPr>
              <w:pStyle w:val="Tablewriting"/>
              <w:rPr>
                <w:rFonts w:eastAsia="MS Mincho" w:cstheme="minorHAnsi"/>
              </w:rPr>
            </w:pPr>
            <w:r w:rsidRPr="00017AE6">
              <w:rPr>
                <w:rFonts w:eastAsia="MS Mincho" w:cstheme="minorHAnsi"/>
              </w:rPr>
              <w:t>Adult smokers</w:t>
            </w:r>
          </w:p>
        </w:tc>
        <w:tc>
          <w:tcPr>
            <w:tcW w:w="1054" w:type="pct"/>
          </w:tcPr>
          <w:p w14:paraId="7111B7DC" w14:textId="7DE1C4BD" w:rsidR="00C25F5E" w:rsidRPr="00017AE6" w:rsidRDefault="00136EB5" w:rsidP="00A71365">
            <w:pPr>
              <w:pStyle w:val="Tablewriting"/>
              <w:rPr>
                <w:rFonts w:eastAsia="MS Mincho" w:cstheme="minorHAnsi"/>
              </w:rPr>
            </w:pPr>
            <w:r w:rsidRPr="00017AE6">
              <w:rPr>
                <w:rFonts w:eastAsia="MS Mincho" w:cstheme="minorHAnsi"/>
              </w:rPr>
              <w:t>All get 13 weeks varenicline, then half continue and half switch to placebo, until week 52</w:t>
            </w:r>
          </w:p>
        </w:tc>
        <w:tc>
          <w:tcPr>
            <w:tcW w:w="959" w:type="pct"/>
          </w:tcPr>
          <w:p w14:paraId="524D7540" w14:textId="77777777" w:rsidR="00C25F5E" w:rsidRDefault="00E7253F" w:rsidP="00A71365">
            <w:pPr>
              <w:pStyle w:val="Tablewriting"/>
              <w:rPr>
                <w:rFonts w:eastAsia="MS Mincho" w:cstheme="minorHAnsi"/>
              </w:rPr>
            </w:pPr>
            <w:r w:rsidRPr="00E7253F">
              <w:rPr>
                <w:rFonts w:eastAsia="MS Mincho" w:cstheme="minorHAnsi"/>
                <w:u w:val="single"/>
              </w:rPr>
              <w:t>Efficacy:</w:t>
            </w:r>
            <w:r>
              <w:rPr>
                <w:rFonts w:eastAsia="MS Mincho" w:cstheme="minorHAnsi"/>
              </w:rPr>
              <w:t xml:space="preserve"> </w:t>
            </w:r>
            <w:r w:rsidR="00136EB5" w:rsidRPr="00017AE6">
              <w:rPr>
                <w:rFonts w:eastAsia="MS Mincho" w:cstheme="minorHAnsi"/>
              </w:rPr>
              <w:t>Biochemically confirmed abstinence (at 52 weeks)</w:t>
            </w:r>
            <w:r>
              <w:rPr>
                <w:rFonts w:eastAsia="MS Mincho" w:cstheme="minorHAnsi"/>
              </w:rPr>
              <w:t>.</w:t>
            </w:r>
          </w:p>
          <w:p w14:paraId="6296525A" w14:textId="77777777" w:rsidR="00E7253F" w:rsidRDefault="00E7253F" w:rsidP="00A71365">
            <w:pPr>
              <w:pStyle w:val="Tablewriting"/>
              <w:rPr>
                <w:rFonts w:eastAsia="MS Mincho" w:cstheme="minorHAnsi"/>
              </w:rPr>
            </w:pPr>
          </w:p>
          <w:p w14:paraId="635E2EE1" w14:textId="77777777" w:rsidR="00E7253F" w:rsidRDefault="00E7253F" w:rsidP="00A71365">
            <w:pPr>
              <w:pStyle w:val="Tablewriting"/>
              <w:rPr>
                <w:rFonts w:eastAsia="MS Mincho" w:cstheme="minorHAnsi"/>
              </w:rPr>
            </w:pPr>
            <w:r w:rsidRPr="00E7253F">
              <w:rPr>
                <w:rFonts w:eastAsia="MS Mincho" w:cstheme="minorHAnsi"/>
                <w:u w:val="single"/>
              </w:rPr>
              <w:t>Safety:</w:t>
            </w:r>
            <w:r>
              <w:rPr>
                <w:rFonts w:eastAsia="MS Mincho" w:cstheme="minorHAnsi"/>
              </w:rPr>
              <w:t xml:space="preserve"> NR</w:t>
            </w:r>
          </w:p>
          <w:p w14:paraId="4FC75993" w14:textId="0DE9F4BA" w:rsidR="00C25F5E" w:rsidRPr="00017AE6" w:rsidRDefault="00C25F5E" w:rsidP="00A71365">
            <w:pPr>
              <w:pStyle w:val="Tablewriting"/>
              <w:rPr>
                <w:rFonts w:eastAsia="MS Mincho" w:cstheme="minorHAnsi"/>
              </w:rPr>
            </w:pPr>
          </w:p>
        </w:tc>
      </w:tr>
      <w:tr w:rsidR="003D3459" w:rsidRPr="00017AE6" w14:paraId="48784801" w14:textId="77777777" w:rsidTr="005821B1">
        <w:trPr>
          <w:trHeight w:val="99"/>
        </w:trPr>
        <w:tc>
          <w:tcPr>
            <w:tcW w:w="761" w:type="pct"/>
          </w:tcPr>
          <w:p w14:paraId="124979DE" w14:textId="24A8CCB0" w:rsidR="00C25F5E" w:rsidRPr="00017AE6" w:rsidRDefault="00C25F5E" w:rsidP="00A71365">
            <w:pPr>
              <w:pStyle w:val="Tablewriting"/>
              <w:rPr>
                <w:rFonts w:eastAsia="MS Mincho" w:cstheme="minorHAnsi"/>
              </w:rPr>
            </w:pPr>
            <w:r w:rsidRPr="00017AE6">
              <w:rPr>
                <w:rFonts w:eastAsia="MS Mincho" w:cstheme="minorHAnsi"/>
              </w:rPr>
              <w:t xml:space="preserve">Niaura </w:t>
            </w:r>
            <w:r w:rsidR="00DF0515">
              <w:rPr>
                <w:rFonts w:eastAsia="MS Mincho" w:cstheme="minorHAnsi"/>
              </w:rPr>
              <w:t>(</w:t>
            </w:r>
            <w:r w:rsidRPr="00017AE6">
              <w:rPr>
                <w:rFonts w:eastAsia="MS Mincho" w:cstheme="minorHAnsi"/>
              </w:rPr>
              <w:t>2008</w:t>
            </w:r>
            <w:r w:rsidR="00DF0515">
              <w:rPr>
                <w:rFonts w:eastAsia="MS Mincho" w:cstheme="minorHAnsi"/>
              </w:rPr>
              <w:t>)</w:t>
            </w:r>
          </w:p>
        </w:tc>
        <w:tc>
          <w:tcPr>
            <w:tcW w:w="235" w:type="pct"/>
          </w:tcPr>
          <w:p w14:paraId="27D4EB67" w14:textId="7E002FC4"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2E579946" w14:textId="68F5CAEA" w:rsidR="00C25F5E" w:rsidRPr="00017AE6" w:rsidRDefault="001A4FB1" w:rsidP="00A71365">
            <w:pPr>
              <w:pStyle w:val="Tablewriting"/>
              <w:rPr>
                <w:rFonts w:eastAsia="MS Mincho" w:cstheme="minorHAnsi"/>
              </w:rPr>
            </w:pPr>
            <w:r w:rsidRPr="00017AE6">
              <w:rPr>
                <w:rFonts w:eastAsia="MS Mincho" w:cstheme="minorHAnsi"/>
              </w:rPr>
              <w:t>USA</w:t>
            </w:r>
          </w:p>
        </w:tc>
        <w:tc>
          <w:tcPr>
            <w:tcW w:w="679" w:type="pct"/>
          </w:tcPr>
          <w:p w14:paraId="719FD783" w14:textId="4C99F411" w:rsidR="00C25F5E" w:rsidRPr="00017AE6" w:rsidRDefault="00C25F5E" w:rsidP="00A71365">
            <w:pPr>
              <w:pStyle w:val="Tablewriting"/>
              <w:rPr>
                <w:rFonts w:eastAsia="MS Mincho" w:cstheme="minorHAnsi"/>
              </w:rPr>
            </w:pPr>
            <w:r w:rsidRPr="00017AE6">
              <w:rPr>
                <w:rFonts w:eastAsia="MS Mincho" w:cstheme="minorHAnsi"/>
              </w:rPr>
              <w:t>N=</w:t>
            </w:r>
            <w:r w:rsidR="001A4FB1" w:rsidRPr="00017AE6">
              <w:rPr>
                <w:rFonts w:eastAsia="MS Mincho" w:cstheme="minorHAnsi"/>
              </w:rPr>
              <w:t>320</w:t>
            </w:r>
          </w:p>
        </w:tc>
        <w:tc>
          <w:tcPr>
            <w:tcW w:w="851" w:type="pct"/>
          </w:tcPr>
          <w:p w14:paraId="61D77ABE" w14:textId="466EA1C2" w:rsidR="001A4FB1" w:rsidRPr="00017AE6" w:rsidRDefault="001A4FB1" w:rsidP="00A71365">
            <w:pPr>
              <w:pStyle w:val="Tablewriting"/>
              <w:rPr>
                <w:rFonts w:eastAsia="MS Mincho" w:cstheme="minorHAnsi"/>
              </w:rPr>
            </w:pPr>
            <w:r w:rsidRPr="00017AE6">
              <w:rPr>
                <w:rFonts w:eastAsia="MS Mincho" w:cstheme="minorHAnsi"/>
              </w:rPr>
              <w:t xml:space="preserve">Healthy adult volunteers, aged 18 </w:t>
            </w:r>
            <w:r w:rsidR="009E4BCA">
              <w:rPr>
                <w:rFonts w:eastAsia="MS Mincho" w:cstheme="minorHAnsi"/>
              </w:rPr>
              <w:t>–</w:t>
            </w:r>
            <w:r w:rsidRPr="00017AE6">
              <w:rPr>
                <w:rFonts w:eastAsia="MS Mincho" w:cstheme="minorHAnsi"/>
              </w:rPr>
              <w:t xml:space="preserve"> 65</w:t>
            </w:r>
            <w:r w:rsidR="009E4BCA">
              <w:rPr>
                <w:rFonts w:eastAsia="MS Mincho" w:cstheme="minorHAnsi"/>
              </w:rPr>
              <w:t xml:space="preserve"> years</w:t>
            </w:r>
            <w:r w:rsidRPr="00017AE6">
              <w:rPr>
                <w:rFonts w:eastAsia="MS Mincho" w:cstheme="minorHAnsi"/>
              </w:rPr>
              <w:t>, smoking p 10 CPD. Allocated to varenicline (160), or placebo</w:t>
            </w:r>
          </w:p>
          <w:p w14:paraId="228CB75F" w14:textId="77777777" w:rsidR="001A4FB1" w:rsidRPr="00017AE6" w:rsidRDefault="001A4FB1" w:rsidP="00A71365">
            <w:pPr>
              <w:pStyle w:val="Tablewriting"/>
              <w:rPr>
                <w:rFonts w:eastAsia="MS Mincho" w:cstheme="minorHAnsi"/>
              </w:rPr>
            </w:pPr>
            <w:r w:rsidRPr="00017AE6">
              <w:rPr>
                <w:rFonts w:eastAsia="MS Mincho" w:cstheme="minorHAnsi"/>
              </w:rPr>
              <w:t>(160)</w:t>
            </w:r>
          </w:p>
          <w:p w14:paraId="0B638404" w14:textId="77777777" w:rsidR="001A4FB1" w:rsidRPr="00017AE6" w:rsidRDefault="001A4FB1" w:rsidP="00A71365">
            <w:pPr>
              <w:pStyle w:val="Tablewriting"/>
              <w:rPr>
                <w:rFonts w:eastAsia="MS Mincho" w:cstheme="minorHAnsi"/>
              </w:rPr>
            </w:pPr>
            <w:r w:rsidRPr="00017AE6">
              <w:rPr>
                <w:rFonts w:eastAsia="MS Mincho" w:cstheme="minorHAnsi"/>
              </w:rPr>
              <w:t>52% men, 91% white, mean age 42, mean CPD 22, mean FTND score 5.4</w:t>
            </w:r>
          </w:p>
          <w:p w14:paraId="1C1BA890" w14:textId="03CC5264" w:rsidR="00C25F5E" w:rsidRPr="00017AE6" w:rsidRDefault="001A4FB1" w:rsidP="00A71365">
            <w:pPr>
              <w:pStyle w:val="Tablewriting"/>
              <w:rPr>
                <w:rFonts w:eastAsia="MS Mincho" w:cstheme="minorHAnsi"/>
              </w:rPr>
            </w:pPr>
            <w:r w:rsidRPr="00017AE6">
              <w:rPr>
                <w:rFonts w:eastAsia="MS Mincho" w:cstheme="minorHAnsi"/>
              </w:rPr>
              <w:t xml:space="preserve">Exclusion criteria: Standard pharmacotherapy trial </w:t>
            </w:r>
            <w:r w:rsidRPr="00017AE6">
              <w:rPr>
                <w:rFonts w:eastAsia="MS Mincho" w:cstheme="minorHAnsi"/>
              </w:rPr>
              <w:lastRenderedPageBreak/>
              <w:t>criteria, + use of NRT within last 3m</w:t>
            </w:r>
          </w:p>
        </w:tc>
        <w:tc>
          <w:tcPr>
            <w:tcW w:w="1054" w:type="pct"/>
          </w:tcPr>
          <w:p w14:paraId="607E208E" w14:textId="77777777" w:rsidR="001A4FB1" w:rsidRPr="00017AE6" w:rsidRDefault="00A836A3" w:rsidP="00C324F3">
            <w:pPr>
              <w:pStyle w:val="Tablewriting"/>
              <w:numPr>
                <w:ilvl w:val="0"/>
                <w:numId w:val="80"/>
              </w:numPr>
              <w:rPr>
                <w:rFonts w:eastAsia="MS Mincho" w:cstheme="minorHAnsi"/>
              </w:rPr>
            </w:pPr>
            <w:r>
              <w:rPr>
                <w:rFonts w:eastAsia="MS Mincho" w:cstheme="minorHAnsi"/>
              </w:rPr>
              <w:lastRenderedPageBreak/>
              <w:t>Varenicline;</w:t>
            </w:r>
            <w:r w:rsidR="001A4FB1" w:rsidRPr="00017AE6">
              <w:rPr>
                <w:rFonts w:eastAsia="MS Mincho" w:cstheme="minorHAnsi"/>
              </w:rPr>
              <w:t xml:space="preserve"> 0.5 mg </w:t>
            </w:r>
            <w:r w:rsidR="001A4FB1" w:rsidRPr="002F3FE8">
              <w:rPr>
                <w:rFonts w:eastAsia="MS Mincho" w:cstheme="minorHAnsi"/>
              </w:rPr>
              <w:t>ad lib</w:t>
            </w:r>
            <w:r w:rsidR="001A4FB1" w:rsidRPr="00017AE6">
              <w:rPr>
                <w:rFonts w:eastAsia="MS Mincho" w:cstheme="minorHAnsi"/>
              </w:rPr>
              <w:t>, from 1 to 4 per day as wished</w:t>
            </w:r>
          </w:p>
          <w:p w14:paraId="47F010F6" w14:textId="2A06C346" w:rsidR="00F67202" w:rsidRPr="00F67202" w:rsidRDefault="001A4FB1" w:rsidP="00C324F3">
            <w:pPr>
              <w:pStyle w:val="Tablewriting"/>
              <w:numPr>
                <w:ilvl w:val="0"/>
                <w:numId w:val="80"/>
              </w:numPr>
              <w:rPr>
                <w:rFonts w:eastAsia="MS Mincho" w:cstheme="minorHAnsi"/>
              </w:rPr>
            </w:pPr>
            <w:r w:rsidRPr="00017AE6">
              <w:rPr>
                <w:rFonts w:eastAsia="MS Mincho" w:cstheme="minorHAnsi"/>
              </w:rPr>
              <w:t>Placebo tablets ad lib, from 1 to 4 per day as wished</w:t>
            </w:r>
          </w:p>
          <w:p w14:paraId="2E21D0AC" w14:textId="624F3258" w:rsidR="000F5461" w:rsidRPr="00902F36" w:rsidRDefault="000F5461" w:rsidP="00A71365">
            <w:pPr>
              <w:pStyle w:val="Tablewriting"/>
              <w:ind w:left="360"/>
              <w:rPr>
                <w:rFonts w:eastAsia="MS Mincho" w:cstheme="minorHAnsi"/>
              </w:rPr>
            </w:pPr>
            <w:r w:rsidRPr="00017AE6">
              <w:rPr>
                <w:rFonts w:eastAsia="MS Mincho" w:cstheme="minorHAnsi"/>
              </w:rPr>
              <w:t>Treatment period 12 w</w:t>
            </w:r>
            <w:r>
              <w:rPr>
                <w:rFonts w:eastAsia="MS Mincho" w:cstheme="minorHAnsi"/>
              </w:rPr>
              <w:t>ee</w:t>
            </w:r>
            <w:r w:rsidRPr="00017AE6">
              <w:rPr>
                <w:rFonts w:eastAsia="MS Mincho" w:cstheme="minorHAnsi"/>
              </w:rPr>
              <w:t>ks, 1st w</w:t>
            </w:r>
            <w:r>
              <w:rPr>
                <w:rFonts w:eastAsia="MS Mincho" w:cstheme="minorHAnsi"/>
              </w:rPr>
              <w:t>ee</w:t>
            </w:r>
            <w:r w:rsidRPr="00017AE6">
              <w:rPr>
                <w:rFonts w:eastAsia="MS Mincho" w:cstheme="minorHAnsi"/>
              </w:rPr>
              <w:t>k</w:t>
            </w:r>
            <w:r>
              <w:rPr>
                <w:rFonts w:eastAsia="MS Mincho" w:cstheme="minorHAnsi"/>
              </w:rPr>
              <w:t xml:space="preserve"> </w:t>
            </w:r>
            <w:r w:rsidRPr="00017AE6">
              <w:rPr>
                <w:rFonts w:eastAsia="MS Mincho" w:cstheme="minorHAnsi"/>
              </w:rPr>
              <w:t>titrated dosage up to 0.5 mg x 2/day.</w:t>
            </w:r>
          </w:p>
          <w:p w14:paraId="4B35200F" w14:textId="77777777" w:rsidR="00902F36" w:rsidRDefault="00902F36" w:rsidP="00A71365">
            <w:pPr>
              <w:pStyle w:val="Tablewriting"/>
              <w:rPr>
                <w:rFonts w:eastAsia="MS Mincho" w:cstheme="minorHAnsi"/>
              </w:rPr>
            </w:pPr>
          </w:p>
          <w:p w14:paraId="0358DC6A" w14:textId="5EFCDC0B" w:rsidR="001A4FB1" w:rsidRPr="00017AE6" w:rsidRDefault="000F5461" w:rsidP="00A71365">
            <w:pPr>
              <w:pStyle w:val="Tablewriting"/>
              <w:rPr>
                <w:rFonts w:eastAsia="MS Mincho" w:cstheme="minorHAnsi"/>
              </w:rPr>
            </w:pPr>
            <w:r w:rsidRPr="06BFFAED">
              <w:rPr>
                <w:rFonts w:eastAsia="MS Mincho" w:cstheme="minorBidi"/>
                <w:u w:val="single"/>
              </w:rPr>
              <w:t>Common components:</w:t>
            </w:r>
            <w:r w:rsidR="001A4FB1">
              <w:rPr>
                <w:rFonts w:eastAsia="MS Mincho" w:cstheme="minorBidi"/>
                <w:u w:val="single"/>
              </w:rPr>
              <w:t xml:space="preserve"> </w:t>
            </w:r>
            <w:r w:rsidR="001A4FB1" w:rsidRPr="00017AE6">
              <w:rPr>
                <w:rFonts w:eastAsia="MS Mincho" w:cstheme="minorHAnsi"/>
              </w:rPr>
              <w:t>All participants received a smoking</w:t>
            </w:r>
            <w:r w:rsidR="00DC022D">
              <w:rPr>
                <w:rFonts w:eastAsia="MS Mincho" w:cstheme="minorHAnsi"/>
              </w:rPr>
              <w:t xml:space="preserve"> </w:t>
            </w:r>
            <w:r w:rsidR="001A4FB1" w:rsidRPr="00017AE6">
              <w:rPr>
                <w:rFonts w:eastAsia="MS Mincho" w:cstheme="minorHAnsi"/>
              </w:rPr>
              <w:lastRenderedPageBreak/>
              <w:t>cessation booklet Clearing the Air at baseline, + brief counselling (</w:t>
            </w:r>
            <w:r w:rsidR="007563F9" w:rsidRPr="007563F9">
              <w:rPr>
                <w:rFonts w:eastAsia="MS Mincho" w:cstheme="minorHAnsi"/>
              </w:rPr>
              <w:t>≤</w:t>
            </w:r>
            <w:r w:rsidR="001A4FB1" w:rsidRPr="00017AE6">
              <w:rPr>
                <w:rFonts w:eastAsia="MS Mincho" w:cstheme="minorHAnsi"/>
              </w:rPr>
              <w:t xml:space="preserve"> 10 mins) at each clinic visit.</w:t>
            </w:r>
          </w:p>
          <w:p w14:paraId="030C82BD" w14:textId="76F1923F" w:rsidR="001A4FB1" w:rsidRPr="00017AE6" w:rsidRDefault="001A4FB1" w:rsidP="00A71365">
            <w:pPr>
              <w:pStyle w:val="Tablewriting"/>
              <w:rPr>
                <w:rFonts w:eastAsia="MS Mincho" w:cstheme="minorHAnsi"/>
              </w:rPr>
            </w:pPr>
            <w:r w:rsidRPr="00017AE6">
              <w:rPr>
                <w:rFonts w:eastAsia="MS Mincho" w:cstheme="minorHAnsi"/>
              </w:rPr>
              <w:t>Weekly visits throughout treatment phase</w:t>
            </w:r>
          </w:p>
          <w:p w14:paraId="6C1E6C69" w14:textId="2386557F" w:rsidR="00C25F5E" w:rsidRPr="00017AE6" w:rsidRDefault="001A4FB1" w:rsidP="00A71365">
            <w:pPr>
              <w:pStyle w:val="Tablewriting"/>
              <w:rPr>
                <w:rFonts w:eastAsia="MS Mincho" w:cstheme="minorHAnsi"/>
              </w:rPr>
            </w:pPr>
            <w:r w:rsidRPr="00017AE6">
              <w:rPr>
                <w:rFonts w:eastAsia="MS Mincho" w:cstheme="minorHAnsi"/>
              </w:rPr>
              <w:t>In follow-up phase, clinic visits at w</w:t>
            </w:r>
            <w:r w:rsidR="00DC06D6">
              <w:rPr>
                <w:rFonts w:eastAsia="MS Mincho" w:cstheme="minorHAnsi"/>
              </w:rPr>
              <w:t>ee</w:t>
            </w:r>
            <w:r w:rsidRPr="00017AE6">
              <w:rPr>
                <w:rFonts w:eastAsia="MS Mincho" w:cstheme="minorHAnsi"/>
              </w:rPr>
              <w:t>ks 13, 24, and 52 w</w:t>
            </w:r>
            <w:r w:rsidR="00DC06D6">
              <w:rPr>
                <w:rFonts w:eastAsia="MS Mincho" w:cstheme="minorHAnsi"/>
              </w:rPr>
              <w:t>ee</w:t>
            </w:r>
            <w:r w:rsidRPr="00017AE6">
              <w:rPr>
                <w:rFonts w:eastAsia="MS Mincho" w:cstheme="minorHAnsi"/>
              </w:rPr>
              <w:t>ks, plus monthly phone calls between visits</w:t>
            </w:r>
            <w:r w:rsidR="00DC06D6">
              <w:rPr>
                <w:rFonts w:eastAsia="MS Mincho" w:cstheme="minorHAnsi"/>
              </w:rPr>
              <w:t>.</w:t>
            </w:r>
          </w:p>
        </w:tc>
        <w:tc>
          <w:tcPr>
            <w:tcW w:w="959" w:type="pct"/>
          </w:tcPr>
          <w:p w14:paraId="44F1FB1F" w14:textId="77777777" w:rsidR="007033D4" w:rsidRPr="007033D4" w:rsidRDefault="00370A36" w:rsidP="00A71365">
            <w:pPr>
              <w:pStyle w:val="Tablewriting"/>
              <w:rPr>
                <w:rFonts w:eastAsia="MS Mincho" w:cstheme="minorHAnsi"/>
                <w:u w:val="single"/>
              </w:rPr>
            </w:pPr>
            <w:r w:rsidRPr="007033D4">
              <w:rPr>
                <w:rFonts w:eastAsia="MS Mincho" w:cstheme="minorHAnsi"/>
                <w:u w:val="single"/>
              </w:rPr>
              <w:lastRenderedPageBreak/>
              <w:t xml:space="preserve">Efficacy: </w:t>
            </w:r>
          </w:p>
          <w:p w14:paraId="05E7A67C" w14:textId="5DB05AF1" w:rsidR="001A4FB1" w:rsidRPr="00017AE6" w:rsidRDefault="001A4FB1" w:rsidP="00A71365">
            <w:pPr>
              <w:pStyle w:val="Tablewriting"/>
              <w:rPr>
                <w:rFonts w:eastAsia="MS Mincho" w:cstheme="minorHAnsi"/>
              </w:rPr>
            </w:pPr>
            <w:r w:rsidRPr="00017AE6">
              <w:rPr>
                <w:rFonts w:eastAsia="MS Mincho" w:cstheme="minorHAnsi"/>
              </w:rPr>
              <w:t>Primary outcome: CAR at 4 - 7, 9 - 12 and 9 - 52 w</w:t>
            </w:r>
            <w:r w:rsidR="007033D4">
              <w:rPr>
                <w:rFonts w:eastAsia="MS Mincho" w:cstheme="minorHAnsi"/>
              </w:rPr>
              <w:t>ee</w:t>
            </w:r>
            <w:r w:rsidRPr="00017AE6">
              <w:rPr>
                <w:rFonts w:eastAsia="MS Mincho" w:cstheme="minorHAnsi"/>
              </w:rPr>
              <w:t>ks</w:t>
            </w:r>
            <w:r w:rsidR="00095C33">
              <w:rPr>
                <w:rFonts w:eastAsia="MS Mincho" w:cstheme="minorHAnsi"/>
              </w:rPr>
              <w:t>, v</w:t>
            </w:r>
            <w:r w:rsidRPr="00017AE6">
              <w:rPr>
                <w:rFonts w:eastAsia="MS Mincho" w:cstheme="minorHAnsi"/>
              </w:rPr>
              <w:t xml:space="preserve">alidation was by expired CO </w:t>
            </w:r>
            <w:r w:rsidR="00095C33" w:rsidRPr="00095C33">
              <w:rPr>
                <w:rFonts w:eastAsia="MS Mincho" w:cstheme="minorHAnsi"/>
              </w:rPr>
              <w:t>≤</w:t>
            </w:r>
            <w:r w:rsidRPr="00017AE6">
              <w:rPr>
                <w:rFonts w:eastAsia="MS Mincho" w:cstheme="minorHAnsi"/>
              </w:rPr>
              <w:t xml:space="preserve"> 10 ppm</w:t>
            </w:r>
            <w:r w:rsidR="007033D4">
              <w:rPr>
                <w:rFonts w:eastAsia="MS Mincho" w:cstheme="minorHAnsi"/>
              </w:rPr>
              <w:t>,</w:t>
            </w:r>
          </w:p>
          <w:p w14:paraId="22EA873D" w14:textId="4261F5AF" w:rsidR="001A4FB1" w:rsidRPr="00017AE6" w:rsidRDefault="001A4FB1" w:rsidP="00A71365">
            <w:pPr>
              <w:pStyle w:val="Tablewriting"/>
              <w:rPr>
                <w:rFonts w:eastAsia="MS Mincho" w:cstheme="minorHAnsi"/>
              </w:rPr>
            </w:pPr>
            <w:r w:rsidRPr="00017AE6">
              <w:rPr>
                <w:rFonts w:eastAsia="MS Mincho" w:cstheme="minorHAnsi"/>
              </w:rPr>
              <w:t>Secondary outcomes: CO-confirmed CAR at 9 - 24 w</w:t>
            </w:r>
            <w:r w:rsidR="007033D4">
              <w:rPr>
                <w:rFonts w:eastAsia="MS Mincho" w:cstheme="minorHAnsi"/>
              </w:rPr>
              <w:t>ee</w:t>
            </w:r>
            <w:r w:rsidRPr="00017AE6">
              <w:rPr>
                <w:rFonts w:eastAsia="MS Mincho" w:cstheme="minorHAnsi"/>
              </w:rPr>
              <w:t>ks; CO-confirmed 7-day PPA</w:t>
            </w:r>
            <w:r w:rsidR="00DD6CFF">
              <w:rPr>
                <w:rFonts w:eastAsia="MS Mincho" w:cstheme="minorHAnsi"/>
              </w:rPr>
              <w:t xml:space="preserve">. </w:t>
            </w:r>
          </w:p>
          <w:p w14:paraId="2FDD1841" w14:textId="77777777" w:rsidR="007033D4" w:rsidRDefault="007033D4" w:rsidP="00A71365">
            <w:pPr>
              <w:pStyle w:val="Tablewriting"/>
              <w:rPr>
                <w:rFonts w:eastAsia="MS Mincho" w:cstheme="minorHAnsi"/>
              </w:rPr>
            </w:pPr>
          </w:p>
          <w:p w14:paraId="02E1F444" w14:textId="0BAB59FA" w:rsidR="007033D4" w:rsidRPr="00095C33" w:rsidRDefault="007033D4" w:rsidP="00A71365">
            <w:pPr>
              <w:pStyle w:val="Tablewriting"/>
              <w:rPr>
                <w:rFonts w:eastAsia="MS Mincho" w:cstheme="minorHAnsi"/>
              </w:rPr>
            </w:pPr>
            <w:r w:rsidRPr="007033D4">
              <w:rPr>
                <w:rFonts w:eastAsia="MS Mincho" w:cstheme="minorHAnsi"/>
                <w:u w:val="single"/>
              </w:rPr>
              <w:t>Safety:</w:t>
            </w:r>
            <w:r w:rsidR="00095C33">
              <w:rPr>
                <w:rFonts w:eastAsia="MS Mincho" w:cstheme="minorHAnsi"/>
                <w:u w:val="single"/>
              </w:rPr>
              <w:t xml:space="preserve"> A</w:t>
            </w:r>
            <w:r w:rsidR="00095C33" w:rsidRPr="00017AE6">
              <w:rPr>
                <w:rFonts w:eastAsia="MS Mincho" w:cstheme="minorHAnsi"/>
              </w:rPr>
              <w:t>dverse</w:t>
            </w:r>
            <w:r w:rsidR="00095C33">
              <w:rPr>
                <w:rFonts w:eastAsia="MS Mincho" w:cstheme="minorHAnsi"/>
              </w:rPr>
              <w:t xml:space="preserve"> </w:t>
            </w:r>
            <w:r w:rsidR="00095C33" w:rsidRPr="00017AE6">
              <w:rPr>
                <w:rFonts w:eastAsia="MS Mincho" w:cstheme="minorHAnsi"/>
              </w:rPr>
              <w:t>events</w:t>
            </w:r>
            <w:r w:rsidR="00095C33">
              <w:rPr>
                <w:rFonts w:eastAsia="MS Mincho" w:cstheme="minorHAnsi"/>
              </w:rPr>
              <w:t>.</w:t>
            </w:r>
          </w:p>
          <w:p w14:paraId="79B4D3C7" w14:textId="77777777" w:rsidR="007033D4" w:rsidRDefault="007033D4" w:rsidP="00A71365">
            <w:pPr>
              <w:pStyle w:val="Tablewriting"/>
              <w:rPr>
                <w:rFonts w:eastAsia="MS Mincho" w:cstheme="minorHAnsi"/>
              </w:rPr>
            </w:pPr>
          </w:p>
          <w:p w14:paraId="7D034863" w14:textId="25757D37" w:rsidR="001A4FB1" w:rsidRPr="00017AE6" w:rsidRDefault="001A4FB1" w:rsidP="00A71365">
            <w:pPr>
              <w:pStyle w:val="Tablewriting"/>
              <w:rPr>
                <w:rFonts w:eastAsia="MS Mincho" w:cstheme="minorHAnsi"/>
              </w:rPr>
            </w:pPr>
            <w:r w:rsidRPr="00095C33">
              <w:rPr>
                <w:rFonts w:eastAsia="MS Mincho" w:cstheme="minorHAnsi"/>
                <w:u w:val="single"/>
              </w:rPr>
              <w:lastRenderedPageBreak/>
              <w:t>Other:</w:t>
            </w:r>
            <w:r w:rsidRPr="00017AE6">
              <w:rPr>
                <w:rFonts w:eastAsia="MS Mincho" w:cstheme="minorHAnsi"/>
              </w:rPr>
              <w:t xml:space="preserve"> Mean modal dosage; withdrawal symptoms (using MNWS, QSU-brief and mCEQ), </w:t>
            </w:r>
          </w:p>
          <w:p w14:paraId="5D2E33B3" w14:textId="77777777" w:rsidR="00095C33" w:rsidRDefault="00095C33" w:rsidP="00A71365">
            <w:pPr>
              <w:pStyle w:val="Tablewriting"/>
              <w:rPr>
                <w:rFonts w:eastAsia="MS Mincho" w:cstheme="minorHAnsi"/>
              </w:rPr>
            </w:pPr>
          </w:p>
          <w:p w14:paraId="6631D8A6" w14:textId="46476028" w:rsidR="00C25F5E" w:rsidRPr="00017AE6" w:rsidRDefault="00C25F5E" w:rsidP="00A71365">
            <w:pPr>
              <w:pStyle w:val="Tablewriting"/>
              <w:rPr>
                <w:rFonts w:eastAsia="MS Mincho" w:cstheme="minorHAnsi"/>
              </w:rPr>
            </w:pPr>
          </w:p>
        </w:tc>
      </w:tr>
      <w:tr w:rsidR="003D3459" w:rsidRPr="00017AE6" w14:paraId="19A554C0" w14:textId="77777777" w:rsidTr="005821B1">
        <w:trPr>
          <w:trHeight w:val="99"/>
        </w:trPr>
        <w:tc>
          <w:tcPr>
            <w:tcW w:w="761" w:type="pct"/>
          </w:tcPr>
          <w:p w14:paraId="496F1791" w14:textId="4154BC8E" w:rsidR="00C25F5E" w:rsidRPr="00017AE6" w:rsidRDefault="00C25F5E" w:rsidP="00A71365">
            <w:pPr>
              <w:pStyle w:val="Tablewriting"/>
              <w:rPr>
                <w:rFonts w:eastAsia="MS Mincho" w:cstheme="minorHAnsi"/>
              </w:rPr>
            </w:pPr>
            <w:r w:rsidRPr="00017AE6">
              <w:rPr>
                <w:rFonts w:eastAsia="MS Mincho" w:cstheme="minorHAnsi"/>
              </w:rPr>
              <w:lastRenderedPageBreak/>
              <w:t xml:space="preserve">Nides </w:t>
            </w:r>
            <w:r w:rsidR="00DF0515">
              <w:rPr>
                <w:rFonts w:eastAsia="MS Mincho" w:cstheme="minorHAnsi"/>
              </w:rPr>
              <w:t>(</w:t>
            </w:r>
            <w:r w:rsidRPr="00017AE6">
              <w:rPr>
                <w:rFonts w:eastAsia="MS Mincho" w:cstheme="minorHAnsi"/>
              </w:rPr>
              <w:t>2006</w:t>
            </w:r>
            <w:r w:rsidR="00DF0515">
              <w:rPr>
                <w:rFonts w:eastAsia="MS Mincho" w:cstheme="minorHAnsi"/>
              </w:rPr>
              <w:t>)</w:t>
            </w:r>
          </w:p>
        </w:tc>
        <w:tc>
          <w:tcPr>
            <w:tcW w:w="235" w:type="pct"/>
          </w:tcPr>
          <w:p w14:paraId="45E80146" w14:textId="683576E6"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7085ADF9" w14:textId="0CDB74F2" w:rsidR="00C25F5E" w:rsidRPr="00017AE6" w:rsidRDefault="00A02958" w:rsidP="00A71365">
            <w:pPr>
              <w:pStyle w:val="Tablewriting"/>
              <w:rPr>
                <w:rFonts w:eastAsia="MS Mincho" w:cstheme="minorHAnsi"/>
              </w:rPr>
            </w:pPr>
            <w:r w:rsidRPr="00017AE6">
              <w:rPr>
                <w:rFonts w:eastAsia="MS Mincho" w:cstheme="minorHAnsi"/>
              </w:rPr>
              <w:t>USA</w:t>
            </w:r>
          </w:p>
        </w:tc>
        <w:tc>
          <w:tcPr>
            <w:tcW w:w="679" w:type="pct"/>
          </w:tcPr>
          <w:p w14:paraId="5370179A" w14:textId="372280C7" w:rsidR="00C25F5E" w:rsidRPr="00017AE6" w:rsidRDefault="00C25F5E" w:rsidP="00A71365">
            <w:pPr>
              <w:pStyle w:val="Tablewriting"/>
              <w:rPr>
                <w:rFonts w:eastAsia="MS Mincho" w:cstheme="minorHAnsi"/>
              </w:rPr>
            </w:pPr>
            <w:r w:rsidRPr="00017AE6">
              <w:rPr>
                <w:rFonts w:eastAsia="MS Mincho" w:cstheme="minorHAnsi"/>
              </w:rPr>
              <w:t>N=</w:t>
            </w:r>
            <w:r w:rsidR="00A02958" w:rsidRPr="00017AE6">
              <w:rPr>
                <w:rFonts w:eastAsia="MS Mincho" w:cstheme="minorHAnsi"/>
              </w:rPr>
              <w:t>638</w:t>
            </w:r>
            <w:r w:rsidR="00016922">
              <w:rPr>
                <w:rFonts w:eastAsia="MS Mincho" w:cstheme="minorHAnsi"/>
              </w:rPr>
              <w:t>; n=</w:t>
            </w:r>
            <w:r w:rsidR="00F41B67">
              <w:rPr>
                <w:rFonts w:eastAsia="MS Mincho" w:cstheme="minorHAnsi"/>
              </w:rPr>
              <w:t>128</w:t>
            </w:r>
            <w:r w:rsidR="00016922" w:rsidRPr="00017AE6">
              <w:rPr>
                <w:rFonts w:eastAsia="MS Mincho" w:cstheme="minorHAnsi"/>
              </w:rPr>
              <w:t xml:space="preserve"> </w:t>
            </w:r>
            <w:r w:rsidR="000B586A">
              <w:rPr>
                <w:rFonts w:eastAsia="MS Mincho" w:cstheme="minorHAnsi"/>
              </w:rPr>
              <w:t>(</w:t>
            </w:r>
            <w:r w:rsidR="00016922" w:rsidRPr="00017AE6">
              <w:rPr>
                <w:rFonts w:eastAsia="MS Mincho" w:cstheme="minorHAnsi"/>
              </w:rPr>
              <w:t>varenicline group 1</w:t>
            </w:r>
            <w:r w:rsidR="00F41B67">
              <w:rPr>
                <w:rFonts w:eastAsia="MS Mincho" w:cstheme="minorHAnsi"/>
              </w:rPr>
              <w:t>)</w:t>
            </w:r>
            <w:r w:rsidR="00016922" w:rsidRPr="00017AE6">
              <w:rPr>
                <w:rFonts w:eastAsia="MS Mincho" w:cstheme="minorHAnsi"/>
              </w:rPr>
              <w:t xml:space="preserve">, </w:t>
            </w:r>
            <w:r w:rsidR="00F41B67">
              <w:rPr>
                <w:rFonts w:eastAsia="MS Mincho" w:cstheme="minorHAnsi"/>
              </w:rPr>
              <w:t xml:space="preserve">n=128 </w:t>
            </w:r>
            <w:r w:rsidR="000B586A">
              <w:rPr>
                <w:rFonts w:eastAsia="MS Mincho" w:cstheme="minorHAnsi"/>
              </w:rPr>
              <w:t>(</w:t>
            </w:r>
            <w:r w:rsidR="00F41B67" w:rsidRPr="00017AE6">
              <w:rPr>
                <w:rFonts w:eastAsia="MS Mincho" w:cstheme="minorHAnsi"/>
              </w:rPr>
              <w:t>varenicline</w:t>
            </w:r>
            <w:r w:rsidR="00016922" w:rsidRPr="00017AE6">
              <w:rPr>
                <w:rFonts w:eastAsia="MS Mincho" w:cstheme="minorHAnsi"/>
              </w:rPr>
              <w:t xml:space="preserve"> group 2), </w:t>
            </w:r>
            <w:r w:rsidR="00F41B67">
              <w:rPr>
                <w:rFonts w:eastAsia="MS Mincho" w:cstheme="minorHAnsi"/>
              </w:rPr>
              <w:t xml:space="preserve">n=127 </w:t>
            </w:r>
            <w:r w:rsidR="000B586A">
              <w:rPr>
                <w:rFonts w:eastAsia="MS Mincho" w:cstheme="minorHAnsi"/>
              </w:rPr>
              <w:t>(</w:t>
            </w:r>
            <w:r w:rsidR="00F41B67" w:rsidRPr="00017AE6">
              <w:rPr>
                <w:rFonts w:eastAsia="MS Mincho" w:cstheme="minorHAnsi"/>
              </w:rPr>
              <w:t>varenicline</w:t>
            </w:r>
            <w:r w:rsidR="00016922" w:rsidRPr="00017AE6">
              <w:rPr>
                <w:rFonts w:eastAsia="MS Mincho" w:cstheme="minorHAnsi"/>
              </w:rPr>
              <w:t xml:space="preserve"> group 3), </w:t>
            </w:r>
            <w:r w:rsidR="00F41B67">
              <w:rPr>
                <w:rFonts w:eastAsia="MS Mincho" w:cstheme="minorHAnsi"/>
              </w:rPr>
              <w:t>n=128</w:t>
            </w:r>
            <w:r w:rsidR="00016922" w:rsidRPr="00017AE6">
              <w:rPr>
                <w:rFonts w:eastAsia="MS Mincho" w:cstheme="minorHAnsi"/>
              </w:rPr>
              <w:t xml:space="preserve"> </w:t>
            </w:r>
            <w:r w:rsidR="000B586A">
              <w:rPr>
                <w:rFonts w:eastAsia="MS Mincho" w:cstheme="minorHAnsi"/>
              </w:rPr>
              <w:t>(</w:t>
            </w:r>
            <w:r w:rsidR="00016922" w:rsidRPr="00017AE6">
              <w:rPr>
                <w:rFonts w:eastAsia="MS Mincho" w:cstheme="minorHAnsi"/>
              </w:rPr>
              <w:t>bupropion</w:t>
            </w:r>
            <w:r w:rsidR="000B586A">
              <w:rPr>
                <w:rFonts w:eastAsia="MS Mincho" w:cstheme="minorHAnsi"/>
              </w:rPr>
              <w:t>)</w:t>
            </w:r>
            <w:r w:rsidR="00016922" w:rsidRPr="00017AE6">
              <w:rPr>
                <w:rFonts w:eastAsia="MS Mincho" w:cstheme="minorHAnsi"/>
              </w:rPr>
              <w:t xml:space="preserve">, </w:t>
            </w:r>
            <w:r w:rsidR="000B586A">
              <w:rPr>
                <w:rFonts w:eastAsia="MS Mincho" w:cstheme="minorHAnsi"/>
              </w:rPr>
              <w:t>n=</w:t>
            </w:r>
            <w:r w:rsidR="003F2526">
              <w:t xml:space="preserve"> </w:t>
            </w:r>
            <w:r w:rsidR="003F2526" w:rsidRPr="003F2526">
              <w:rPr>
                <w:rFonts w:eastAsia="MS Mincho" w:cstheme="minorHAnsi"/>
              </w:rPr>
              <w:t>≤</w:t>
            </w:r>
            <w:r w:rsidR="003F2526">
              <w:rPr>
                <w:rFonts w:eastAsia="MS Mincho" w:cstheme="minorHAnsi"/>
              </w:rPr>
              <w:t xml:space="preserve"> </w:t>
            </w:r>
            <w:r w:rsidR="000B586A">
              <w:rPr>
                <w:rFonts w:eastAsia="MS Mincho" w:cstheme="minorHAnsi"/>
              </w:rPr>
              <w:t>127 (</w:t>
            </w:r>
            <w:r w:rsidR="00016922" w:rsidRPr="00017AE6">
              <w:rPr>
                <w:rFonts w:eastAsia="MS Mincho" w:cstheme="minorHAnsi"/>
              </w:rPr>
              <w:t>placebo</w:t>
            </w:r>
            <w:r w:rsidR="000B586A">
              <w:rPr>
                <w:rFonts w:eastAsia="MS Mincho" w:cstheme="minorHAnsi"/>
              </w:rPr>
              <w:t>)</w:t>
            </w:r>
            <w:r w:rsidR="003F2526">
              <w:rPr>
                <w:rFonts w:eastAsia="MS Mincho" w:cstheme="minorHAnsi"/>
              </w:rPr>
              <w:t>.</w:t>
            </w:r>
            <w:r w:rsidR="00016922" w:rsidRPr="00017AE6">
              <w:rPr>
                <w:rFonts w:eastAsia="MS Mincho" w:cstheme="minorHAnsi"/>
              </w:rPr>
              <w:t xml:space="preserve"> </w:t>
            </w:r>
          </w:p>
        </w:tc>
        <w:tc>
          <w:tcPr>
            <w:tcW w:w="851" w:type="pct"/>
          </w:tcPr>
          <w:p w14:paraId="1F8A069D" w14:textId="469B5115" w:rsidR="00CC39F1" w:rsidRPr="00017AE6" w:rsidRDefault="004664D2" w:rsidP="00A71365">
            <w:pPr>
              <w:pStyle w:val="Tablewriting"/>
              <w:rPr>
                <w:rFonts w:eastAsia="MS Mincho" w:cstheme="minorHAnsi"/>
              </w:rPr>
            </w:pPr>
            <w:r w:rsidRPr="00017AE6">
              <w:rPr>
                <w:rFonts w:eastAsia="MS Mincho" w:cstheme="minorHAnsi"/>
              </w:rPr>
              <w:t>Healthy volunteer smokers</w:t>
            </w:r>
            <w:r w:rsidR="00CC39F1" w:rsidRPr="00017AE6">
              <w:rPr>
                <w:rFonts w:eastAsia="MS Mincho" w:cstheme="minorHAnsi"/>
              </w:rPr>
              <w:t xml:space="preserve"> aged 18 </w:t>
            </w:r>
            <w:r w:rsidR="00016922">
              <w:rPr>
                <w:rFonts w:eastAsia="MS Mincho" w:cstheme="minorHAnsi"/>
              </w:rPr>
              <w:t>–</w:t>
            </w:r>
            <w:r w:rsidR="00CC39F1" w:rsidRPr="00017AE6">
              <w:rPr>
                <w:rFonts w:eastAsia="MS Mincho" w:cstheme="minorHAnsi"/>
              </w:rPr>
              <w:t xml:space="preserve"> 65</w:t>
            </w:r>
            <w:r w:rsidR="00016922">
              <w:rPr>
                <w:rFonts w:eastAsia="MS Mincho" w:cstheme="minorHAnsi"/>
              </w:rPr>
              <w:t xml:space="preserve"> years</w:t>
            </w:r>
            <w:r w:rsidR="00CC39F1" w:rsidRPr="00017AE6">
              <w:rPr>
                <w:rFonts w:eastAsia="MS Mincho" w:cstheme="minorHAnsi"/>
              </w:rPr>
              <w:t>, smoking at least 10 CPD on average. 48% men, 87% white,</w:t>
            </w:r>
            <w:r w:rsidR="001B56BB" w:rsidRPr="00017AE6">
              <w:rPr>
                <w:rFonts w:eastAsia="MS Mincho" w:cstheme="minorHAnsi"/>
              </w:rPr>
              <w:t xml:space="preserve"> </w:t>
            </w:r>
            <w:r w:rsidR="00CC39F1" w:rsidRPr="00017AE6">
              <w:rPr>
                <w:rFonts w:eastAsia="MS Mincho" w:cstheme="minorHAnsi"/>
              </w:rPr>
              <w:t>av</w:t>
            </w:r>
            <w:r w:rsidR="00016922">
              <w:rPr>
                <w:rFonts w:eastAsia="MS Mincho" w:cstheme="minorHAnsi"/>
              </w:rPr>
              <w:t>erage</w:t>
            </w:r>
            <w:r w:rsidR="00CC39F1" w:rsidRPr="00017AE6">
              <w:rPr>
                <w:rFonts w:eastAsia="MS Mincho" w:cstheme="minorHAnsi"/>
              </w:rPr>
              <w:t xml:space="preserve"> age 42, av</w:t>
            </w:r>
            <w:r w:rsidR="00016922">
              <w:rPr>
                <w:rFonts w:eastAsia="MS Mincho" w:cstheme="minorHAnsi"/>
              </w:rPr>
              <w:t>erage</w:t>
            </w:r>
            <w:r w:rsidR="00CC39F1" w:rsidRPr="00017AE6">
              <w:rPr>
                <w:rFonts w:eastAsia="MS Mincho" w:cstheme="minorHAnsi"/>
              </w:rPr>
              <w:t xml:space="preserve"> CPD 20, mean FTND 5.5. </w:t>
            </w:r>
          </w:p>
          <w:p w14:paraId="293C861E" w14:textId="77777777" w:rsidR="001B56BB" w:rsidRPr="00017AE6" w:rsidRDefault="001B56BB" w:rsidP="00A71365">
            <w:pPr>
              <w:pStyle w:val="Tablewriting"/>
              <w:rPr>
                <w:rFonts w:eastAsia="MS Mincho" w:cstheme="minorHAnsi"/>
              </w:rPr>
            </w:pPr>
          </w:p>
          <w:p w14:paraId="0E464963" w14:textId="7932A742" w:rsidR="00C25F5E" w:rsidRPr="00017AE6" w:rsidRDefault="00CC39F1" w:rsidP="00A71365">
            <w:pPr>
              <w:pStyle w:val="Tablewriting"/>
              <w:rPr>
                <w:rFonts w:eastAsia="MS Mincho" w:cstheme="minorHAnsi"/>
              </w:rPr>
            </w:pPr>
            <w:r w:rsidRPr="00016922">
              <w:rPr>
                <w:rFonts w:eastAsia="MS Mincho" w:cstheme="minorHAnsi"/>
                <w:u w:val="single"/>
              </w:rPr>
              <w:t>Exclusion criteria:</w:t>
            </w:r>
            <w:r>
              <w:rPr>
                <w:rFonts w:eastAsia="MS Mincho" w:cstheme="minorHAnsi"/>
                <w:u w:val="single"/>
              </w:rPr>
              <w:t xml:space="preserve"> </w:t>
            </w:r>
            <w:r w:rsidRPr="00017AE6">
              <w:rPr>
                <w:rFonts w:eastAsia="MS Mincho" w:cstheme="minorHAnsi"/>
              </w:rPr>
              <w:t>Standard pharmacotherapy trial criteria, + use of bupropion within previous 12</w:t>
            </w:r>
            <w:r w:rsidR="00016922">
              <w:rPr>
                <w:rFonts w:eastAsia="MS Mincho" w:cstheme="minorHAnsi"/>
              </w:rPr>
              <w:t xml:space="preserve"> </w:t>
            </w:r>
            <w:r w:rsidRPr="00017AE6">
              <w:rPr>
                <w:rFonts w:eastAsia="MS Mincho" w:cstheme="minorHAnsi"/>
              </w:rPr>
              <w:t>m</w:t>
            </w:r>
            <w:r w:rsidR="00016922">
              <w:rPr>
                <w:rFonts w:eastAsia="MS Mincho" w:cstheme="minorHAnsi"/>
              </w:rPr>
              <w:t>onths</w:t>
            </w:r>
            <w:r w:rsidRPr="00017AE6">
              <w:rPr>
                <w:rFonts w:eastAsia="MS Mincho" w:cstheme="minorHAnsi"/>
              </w:rPr>
              <w:t>, use of NRT within past 3</w:t>
            </w:r>
            <w:r w:rsidR="00016922">
              <w:rPr>
                <w:rFonts w:eastAsia="MS Mincho" w:cstheme="minorHAnsi"/>
              </w:rPr>
              <w:t xml:space="preserve"> months. </w:t>
            </w:r>
          </w:p>
        </w:tc>
        <w:tc>
          <w:tcPr>
            <w:tcW w:w="1054" w:type="pct"/>
          </w:tcPr>
          <w:p w14:paraId="7AE4A298" w14:textId="5B31E372" w:rsidR="003F2526" w:rsidRDefault="00E8544A" w:rsidP="00C324F3">
            <w:pPr>
              <w:pStyle w:val="Tablewriting"/>
              <w:numPr>
                <w:ilvl w:val="0"/>
                <w:numId w:val="81"/>
              </w:numPr>
              <w:rPr>
                <w:rFonts w:eastAsia="MS Mincho" w:cstheme="minorHAnsi"/>
              </w:rPr>
            </w:pPr>
            <w:r>
              <w:rPr>
                <w:rFonts w:eastAsia="MS Mincho" w:cstheme="minorHAnsi"/>
              </w:rPr>
              <w:t>Group 1</w:t>
            </w:r>
            <w:r w:rsidR="00A10CA2">
              <w:rPr>
                <w:rFonts w:eastAsia="MS Mincho" w:cstheme="minorHAnsi"/>
              </w:rPr>
              <w:t xml:space="preserve">; </w:t>
            </w:r>
            <w:r w:rsidR="00DC2ED3" w:rsidRPr="00017AE6">
              <w:rPr>
                <w:rFonts w:eastAsia="MS Mincho" w:cstheme="minorHAnsi"/>
              </w:rPr>
              <w:t xml:space="preserve">varenicline tartrate 0.3 mg x 1/day for 6wks, + </w:t>
            </w:r>
            <w:r w:rsidR="003F2526" w:rsidRPr="00017AE6">
              <w:rPr>
                <w:rFonts w:eastAsia="MS Mincho" w:cstheme="minorHAnsi"/>
              </w:rPr>
              <w:t>1-week</w:t>
            </w:r>
            <w:r w:rsidR="003F2526">
              <w:rPr>
                <w:rFonts w:eastAsia="MS Mincho" w:cstheme="minorHAnsi"/>
              </w:rPr>
              <w:t xml:space="preserve"> </w:t>
            </w:r>
            <w:r w:rsidR="00DC2ED3" w:rsidRPr="00017AE6">
              <w:rPr>
                <w:rFonts w:eastAsia="MS Mincho" w:cstheme="minorHAnsi"/>
              </w:rPr>
              <w:t>placebo</w:t>
            </w:r>
            <w:r w:rsidR="003F2526">
              <w:rPr>
                <w:rFonts w:eastAsia="MS Mincho" w:cstheme="minorHAnsi"/>
              </w:rPr>
              <w:t>.</w:t>
            </w:r>
          </w:p>
          <w:p w14:paraId="2956FC3F" w14:textId="39EFD04D" w:rsidR="003F2526" w:rsidRDefault="00EA07E5" w:rsidP="00C324F3">
            <w:pPr>
              <w:pStyle w:val="Tablewriting"/>
              <w:numPr>
                <w:ilvl w:val="0"/>
                <w:numId w:val="81"/>
              </w:numPr>
              <w:rPr>
                <w:rFonts w:eastAsia="MS Mincho" w:cstheme="minorHAnsi"/>
              </w:rPr>
            </w:pPr>
            <w:r>
              <w:rPr>
                <w:rFonts w:eastAsia="MS Mincho" w:cstheme="minorHAnsi"/>
              </w:rPr>
              <w:t xml:space="preserve">Group 2; </w:t>
            </w:r>
            <w:r w:rsidR="00DC2ED3" w:rsidRPr="003F2526">
              <w:rPr>
                <w:rFonts w:eastAsia="MS Mincho" w:cstheme="minorHAnsi"/>
              </w:rPr>
              <w:t>varenicline tartrate 1.0 mg x 1/day for 6 w</w:t>
            </w:r>
            <w:r w:rsidR="003F2526">
              <w:rPr>
                <w:rFonts w:eastAsia="MS Mincho" w:cstheme="minorHAnsi"/>
              </w:rPr>
              <w:t>ee</w:t>
            </w:r>
            <w:r w:rsidR="00DC2ED3" w:rsidRPr="003F2526">
              <w:rPr>
                <w:rFonts w:eastAsia="MS Mincho" w:cstheme="minorHAnsi"/>
              </w:rPr>
              <w:t xml:space="preserve">ks, + </w:t>
            </w:r>
            <w:r w:rsidR="003F2526" w:rsidRPr="003F2526">
              <w:rPr>
                <w:rFonts w:eastAsia="MS Mincho" w:cstheme="minorHAnsi"/>
              </w:rPr>
              <w:t>1-week</w:t>
            </w:r>
            <w:r w:rsidR="00DC2ED3" w:rsidRPr="003F2526">
              <w:rPr>
                <w:rFonts w:eastAsia="MS Mincho" w:cstheme="minorHAnsi"/>
              </w:rPr>
              <w:t xml:space="preserve"> placebo</w:t>
            </w:r>
            <w:r w:rsidR="003F2526">
              <w:rPr>
                <w:rFonts w:eastAsia="MS Mincho" w:cstheme="minorHAnsi"/>
              </w:rPr>
              <w:t>.</w:t>
            </w:r>
          </w:p>
          <w:p w14:paraId="4257B42E" w14:textId="78772A9B" w:rsidR="003F2526" w:rsidRDefault="00EA07E5" w:rsidP="00C324F3">
            <w:pPr>
              <w:pStyle w:val="Tablewriting"/>
              <w:numPr>
                <w:ilvl w:val="0"/>
                <w:numId w:val="81"/>
              </w:numPr>
              <w:rPr>
                <w:rFonts w:eastAsia="MS Mincho" w:cstheme="minorHAnsi"/>
              </w:rPr>
            </w:pPr>
            <w:r>
              <w:rPr>
                <w:rFonts w:eastAsia="MS Mincho" w:cstheme="minorHAnsi"/>
              </w:rPr>
              <w:t xml:space="preserve">Group 3; </w:t>
            </w:r>
            <w:r w:rsidR="00DC2ED3" w:rsidRPr="003F2526">
              <w:rPr>
                <w:rFonts w:eastAsia="MS Mincho" w:cstheme="minorHAnsi"/>
              </w:rPr>
              <w:t>varenicline tartrate 1.0 mg x 2/day for 6 w</w:t>
            </w:r>
            <w:r w:rsidR="003F2526">
              <w:rPr>
                <w:rFonts w:eastAsia="MS Mincho" w:cstheme="minorHAnsi"/>
              </w:rPr>
              <w:t>ee</w:t>
            </w:r>
            <w:r w:rsidR="00DC2ED3" w:rsidRPr="003F2526">
              <w:rPr>
                <w:rFonts w:eastAsia="MS Mincho" w:cstheme="minorHAnsi"/>
              </w:rPr>
              <w:t xml:space="preserve">ks, + </w:t>
            </w:r>
            <w:r w:rsidR="003F2526" w:rsidRPr="003F2526">
              <w:rPr>
                <w:rFonts w:eastAsia="MS Mincho" w:cstheme="minorHAnsi"/>
              </w:rPr>
              <w:t>1-week</w:t>
            </w:r>
            <w:r w:rsidR="00DC2ED3" w:rsidRPr="003F2526">
              <w:rPr>
                <w:rFonts w:eastAsia="MS Mincho" w:cstheme="minorHAnsi"/>
              </w:rPr>
              <w:t xml:space="preserve"> placebo</w:t>
            </w:r>
            <w:r w:rsidR="003F2526">
              <w:rPr>
                <w:rFonts w:eastAsia="MS Mincho" w:cstheme="minorHAnsi"/>
              </w:rPr>
              <w:t>.</w:t>
            </w:r>
          </w:p>
          <w:p w14:paraId="07C001B6" w14:textId="3ECE15C5" w:rsidR="003F2526" w:rsidRDefault="00DC2ED3" w:rsidP="00C324F3">
            <w:pPr>
              <w:pStyle w:val="Tablewriting"/>
              <w:numPr>
                <w:ilvl w:val="0"/>
                <w:numId w:val="81"/>
              </w:numPr>
              <w:rPr>
                <w:rFonts w:eastAsia="MS Mincho" w:cstheme="minorHAnsi"/>
              </w:rPr>
            </w:pPr>
            <w:r w:rsidRPr="003F2526">
              <w:rPr>
                <w:rFonts w:eastAsia="MS Mincho" w:cstheme="minorHAnsi"/>
              </w:rPr>
              <w:t>bupropion 150 mg x 2/day (titrated in w</w:t>
            </w:r>
            <w:r w:rsidR="003F2526">
              <w:rPr>
                <w:rFonts w:eastAsia="MS Mincho" w:cstheme="minorHAnsi"/>
              </w:rPr>
              <w:t>ee</w:t>
            </w:r>
            <w:r w:rsidRPr="003F2526">
              <w:rPr>
                <w:rFonts w:eastAsia="MS Mincho" w:cstheme="minorHAnsi"/>
              </w:rPr>
              <w:t>k 1) for 7 w</w:t>
            </w:r>
            <w:r w:rsidR="003F2526">
              <w:rPr>
                <w:rFonts w:eastAsia="MS Mincho" w:cstheme="minorHAnsi"/>
              </w:rPr>
              <w:t>ee</w:t>
            </w:r>
            <w:r w:rsidRPr="003F2526">
              <w:rPr>
                <w:rFonts w:eastAsia="MS Mincho" w:cstheme="minorHAnsi"/>
              </w:rPr>
              <w:t>ks</w:t>
            </w:r>
            <w:r w:rsidR="003F2526">
              <w:rPr>
                <w:rFonts w:eastAsia="MS Mincho" w:cstheme="minorHAnsi"/>
              </w:rPr>
              <w:t>.</w:t>
            </w:r>
          </w:p>
          <w:p w14:paraId="62CDD810" w14:textId="361F3473" w:rsidR="00DC2ED3" w:rsidRPr="00017AE6" w:rsidRDefault="00DC2ED3" w:rsidP="00C324F3">
            <w:pPr>
              <w:pStyle w:val="Tablewriting"/>
              <w:numPr>
                <w:ilvl w:val="0"/>
                <w:numId w:val="81"/>
              </w:numPr>
              <w:rPr>
                <w:rFonts w:eastAsia="MS Mincho" w:cstheme="minorHAnsi"/>
              </w:rPr>
            </w:pPr>
            <w:r w:rsidRPr="00017AE6">
              <w:rPr>
                <w:rFonts w:eastAsia="MS Mincho" w:cstheme="minorHAnsi"/>
              </w:rPr>
              <w:t xml:space="preserve">placebo tablets x 2/day for 7 </w:t>
            </w:r>
            <w:r w:rsidRPr="003F2526">
              <w:rPr>
                <w:rFonts w:eastAsia="MS Mincho" w:cstheme="minorHAnsi"/>
              </w:rPr>
              <w:t>w</w:t>
            </w:r>
            <w:r w:rsidR="003F2526">
              <w:rPr>
                <w:rFonts w:eastAsia="MS Mincho" w:cstheme="minorHAnsi"/>
              </w:rPr>
              <w:t>ee</w:t>
            </w:r>
            <w:r w:rsidRPr="003F2526">
              <w:rPr>
                <w:rFonts w:eastAsia="MS Mincho" w:cstheme="minorHAnsi"/>
              </w:rPr>
              <w:t>ks</w:t>
            </w:r>
            <w:r w:rsidR="003F2526">
              <w:rPr>
                <w:rFonts w:eastAsia="MS Mincho" w:cstheme="minorHAnsi"/>
              </w:rPr>
              <w:t>.</w:t>
            </w:r>
          </w:p>
          <w:p w14:paraId="3BE0E470" w14:textId="77777777" w:rsidR="003F2526" w:rsidRDefault="003F2526" w:rsidP="00A71365">
            <w:pPr>
              <w:pStyle w:val="Tablewriting"/>
              <w:rPr>
                <w:rFonts w:eastAsia="MS Mincho" w:cstheme="minorHAnsi"/>
              </w:rPr>
            </w:pPr>
          </w:p>
          <w:p w14:paraId="0DE6C0F2" w14:textId="5889DF6B" w:rsidR="00DC2ED3" w:rsidRPr="00017AE6" w:rsidRDefault="003F2526"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DC2ED3" w:rsidRPr="00017AE6">
              <w:rPr>
                <w:rFonts w:eastAsia="MS Mincho" w:cstheme="minorHAnsi"/>
              </w:rPr>
              <w:t>All groups received self-help booklet Clearing the Air at baseline, + brief (</w:t>
            </w:r>
            <w:r w:rsidRPr="003F2526">
              <w:rPr>
                <w:rFonts w:eastAsia="MS Mincho" w:cstheme="minorHAnsi"/>
              </w:rPr>
              <w:t>≤</w:t>
            </w:r>
            <w:r w:rsidR="00DC2ED3" w:rsidRPr="00017AE6">
              <w:rPr>
                <w:rFonts w:eastAsia="MS Mincho" w:cstheme="minorHAnsi"/>
              </w:rPr>
              <w:t xml:space="preserve"> 10 mins) counselling at weekly</w:t>
            </w:r>
          </w:p>
          <w:p w14:paraId="48455470" w14:textId="15F0DF68" w:rsidR="00DC2ED3" w:rsidRPr="00017AE6" w:rsidRDefault="00DC2ED3" w:rsidP="00A71365">
            <w:pPr>
              <w:pStyle w:val="Tablewriting"/>
              <w:rPr>
                <w:rFonts w:eastAsia="MS Mincho" w:cstheme="minorHAnsi"/>
              </w:rPr>
            </w:pPr>
            <w:r w:rsidRPr="00017AE6">
              <w:rPr>
                <w:rFonts w:eastAsia="MS Mincho" w:cstheme="minorHAnsi"/>
              </w:rPr>
              <w:t>clinic visits throughout treatment phase. At each visit smoking status reported and verified; lab samples</w:t>
            </w:r>
            <w:r w:rsidR="00017AE6">
              <w:rPr>
                <w:rFonts w:eastAsia="MS Mincho" w:cstheme="minorHAnsi"/>
              </w:rPr>
              <w:t xml:space="preserve"> </w:t>
            </w:r>
            <w:r w:rsidRPr="00017AE6">
              <w:rPr>
                <w:rFonts w:eastAsia="MS Mincho" w:cstheme="minorHAnsi"/>
              </w:rPr>
              <w:t xml:space="preserve">taken at </w:t>
            </w:r>
            <w:r w:rsidRPr="00017AE6">
              <w:rPr>
                <w:rFonts w:eastAsia="MS Mincho" w:cstheme="minorHAnsi"/>
              </w:rPr>
              <w:lastRenderedPageBreak/>
              <w:t xml:space="preserve">screening, </w:t>
            </w:r>
            <w:r w:rsidR="004664D2" w:rsidRPr="00017AE6">
              <w:rPr>
                <w:rFonts w:eastAsia="MS Mincho" w:cstheme="minorHAnsi"/>
              </w:rPr>
              <w:t>baseline,</w:t>
            </w:r>
            <w:r w:rsidRPr="00017AE6">
              <w:rPr>
                <w:rFonts w:eastAsia="MS Mincho" w:cstheme="minorHAnsi"/>
              </w:rPr>
              <w:t xml:space="preserve"> and w</w:t>
            </w:r>
            <w:r w:rsidR="003F2526">
              <w:rPr>
                <w:rFonts w:eastAsia="MS Mincho" w:cstheme="minorHAnsi"/>
              </w:rPr>
              <w:t>ee</w:t>
            </w:r>
            <w:r w:rsidRPr="00017AE6">
              <w:rPr>
                <w:rFonts w:eastAsia="MS Mincho" w:cstheme="minorHAnsi"/>
              </w:rPr>
              <w:t>ks 1, 2, 4, 6 and 7</w:t>
            </w:r>
            <w:r w:rsidR="003F2526">
              <w:rPr>
                <w:rFonts w:eastAsia="MS Mincho" w:cstheme="minorHAnsi"/>
              </w:rPr>
              <w:t>.</w:t>
            </w:r>
          </w:p>
          <w:p w14:paraId="7631C88A" w14:textId="77777777" w:rsidR="003F2526" w:rsidRDefault="003F2526" w:rsidP="00A71365">
            <w:pPr>
              <w:pStyle w:val="Tablewriting"/>
              <w:rPr>
                <w:rFonts w:eastAsia="MS Mincho" w:cstheme="minorHAnsi"/>
              </w:rPr>
            </w:pPr>
          </w:p>
          <w:p w14:paraId="397A17A8" w14:textId="73F6A335" w:rsidR="00C25F5E" w:rsidRPr="00017AE6" w:rsidRDefault="00DC2ED3" w:rsidP="00A71365">
            <w:pPr>
              <w:pStyle w:val="Tablewriting"/>
              <w:rPr>
                <w:rFonts w:eastAsia="MS Mincho" w:cstheme="minorHAnsi"/>
              </w:rPr>
            </w:pPr>
            <w:r w:rsidRPr="00017AE6">
              <w:rPr>
                <w:rFonts w:eastAsia="MS Mincho" w:cstheme="minorHAnsi"/>
              </w:rPr>
              <w:t>Follow-up phase (optional): Clinic visits at w</w:t>
            </w:r>
            <w:r w:rsidR="003F2526">
              <w:rPr>
                <w:rFonts w:eastAsia="MS Mincho" w:cstheme="minorHAnsi"/>
              </w:rPr>
              <w:t>ee</w:t>
            </w:r>
            <w:r w:rsidRPr="00017AE6">
              <w:rPr>
                <w:rFonts w:eastAsia="MS Mincho" w:cstheme="minorHAnsi"/>
              </w:rPr>
              <w:t xml:space="preserve">ks 12, 24, </w:t>
            </w:r>
            <w:r w:rsidR="009E2A27" w:rsidRPr="00017AE6">
              <w:rPr>
                <w:rFonts w:eastAsia="MS Mincho" w:cstheme="minorHAnsi"/>
              </w:rPr>
              <w:t>and 52</w:t>
            </w:r>
            <w:r w:rsidRPr="00017AE6">
              <w:rPr>
                <w:rFonts w:eastAsia="MS Mincho" w:cstheme="minorHAnsi"/>
              </w:rPr>
              <w:t xml:space="preserve"> for brief counse</w:t>
            </w:r>
            <w:r w:rsidR="009E2A27">
              <w:rPr>
                <w:rFonts w:eastAsia="MS Mincho" w:cstheme="minorHAnsi"/>
              </w:rPr>
              <w:t xml:space="preserve">lling, smoking </w:t>
            </w:r>
            <w:r w:rsidR="004664D2">
              <w:rPr>
                <w:rFonts w:eastAsia="MS Mincho" w:cstheme="minorHAnsi"/>
              </w:rPr>
              <w:t>status,</w:t>
            </w:r>
            <w:r w:rsidR="009E2A27">
              <w:rPr>
                <w:rFonts w:eastAsia="MS Mincho" w:cstheme="minorHAnsi"/>
              </w:rPr>
              <w:t xml:space="preserve"> and vital </w:t>
            </w:r>
            <w:r w:rsidRPr="00017AE6">
              <w:rPr>
                <w:rFonts w:eastAsia="MS Mincho" w:cstheme="minorHAnsi"/>
              </w:rPr>
              <w:t>signs. Phone calls every 4 w</w:t>
            </w:r>
            <w:r w:rsidR="003F2526">
              <w:rPr>
                <w:rFonts w:eastAsia="MS Mincho" w:cstheme="minorHAnsi"/>
              </w:rPr>
              <w:t>ee</w:t>
            </w:r>
            <w:r w:rsidRPr="00017AE6">
              <w:rPr>
                <w:rFonts w:eastAsia="MS Mincho" w:cstheme="minorHAnsi"/>
              </w:rPr>
              <w:t>ks from w</w:t>
            </w:r>
            <w:r w:rsidR="003F2526">
              <w:rPr>
                <w:rFonts w:eastAsia="MS Mincho" w:cstheme="minorHAnsi"/>
              </w:rPr>
              <w:t>ee</w:t>
            </w:r>
            <w:r w:rsidRPr="00017AE6">
              <w:rPr>
                <w:rFonts w:eastAsia="MS Mincho" w:cstheme="minorHAnsi"/>
              </w:rPr>
              <w:t>k 16</w:t>
            </w:r>
            <w:r w:rsidR="003F2526">
              <w:rPr>
                <w:rFonts w:eastAsia="MS Mincho" w:cstheme="minorHAnsi"/>
              </w:rPr>
              <w:t>.</w:t>
            </w:r>
          </w:p>
        </w:tc>
        <w:tc>
          <w:tcPr>
            <w:tcW w:w="959" w:type="pct"/>
          </w:tcPr>
          <w:p w14:paraId="47C42FD3" w14:textId="77777777" w:rsidR="004929FD" w:rsidRDefault="004929FD" w:rsidP="00A71365">
            <w:pPr>
              <w:pStyle w:val="Tablewriting"/>
              <w:rPr>
                <w:rFonts w:eastAsia="MS Mincho" w:cstheme="minorHAnsi"/>
              </w:rPr>
            </w:pPr>
            <w:r w:rsidRPr="004929FD">
              <w:rPr>
                <w:rFonts w:eastAsia="MS Mincho" w:cstheme="minorHAnsi"/>
                <w:u w:val="single"/>
              </w:rPr>
              <w:lastRenderedPageBreak/>
              <w:t>Efficacy:</w:t>
            </w:r>
            <w:r>
              <w:rPr>
                <w:rFonts w:eastAsia="MS Mincho" w:cstheme="minorHAnsi"/>
              </w:rPr>
              <w:t xml:space="preserve"> </w:t>
            </w:r>
          </w:p>
          <w:p w14:paraId="7BDD1B7E" w14:textId="53E49D2E" w:rsidR="00E74B49" w:rsidRPr="00017AE6" w:rsidRDefault="00E74B49" w:rsidP="00A71365">
            <w:pPr>
              <w:pStyle w:val="Tablewriting"/>
              <w:rPr>
                <w:rFonts w:eastAsia="MS Mincho" w:cstheme="minorHAnsi"/>
              </w:rPr>
            </w:pPr>
            <w:r w:rsidRPr="00017AE6">
              <w:rPr>
                <w:rFonts w:eastAsia="MS Mincho" w:cstheme="minorHAnsi"/>
              </w:rPr>
              <w:t>Primary outcome: Continuous verified 4-w</w:t>
            </w:r>
            <w:r w:rsidR="004929FD">
              <w:rPr>
                <w:rFonts w:eastAsia="MS Mincho" w:cstheme="minorHAnsi"/>
              </w:rPr>
              <w:t>ee</w:t>
            </w:r>
            <w:r w:rsidRPr="00017AE6">
              <w:rPr>
                <w:rFonts w:eastAsia="MS Mincho" w:cstheme="minorHAnsi"/>
              </w:rPr>
              <w:t>k abstinence for any part of treatment period</w:t>
            </w:r>
          </w:p>
          <w:p w14:paraId="6C74AFD9" w14:textId="32CF4E8D" w:rsidR="00E74B49" w:rsidRPr="00017AE6" w:rsidRDefault="00E74B49" w:rsidP="00A71365">
            <w:pPr>
              <w:pStyle w:val="Tablewriting"/>
              <w:rPr>
                <w:rFonts w:eastAsia="MS Mincho" w:cstheme="minorHAnsi"/>
              </w:rPr>
            </w:pPr>
            <w:r w:rsidRPr="00017AE6">
              <w:rPr>
                <w:rFonts w:eastAsia="MS Mincho" w:cstheme="minorHAnsi"/>
              </w:rPr>
              <w:t>Secondary outcomes: CQR w</w:t>
            </w:r>
            <w:r w:rsidR="004929FD">
              <w:rPr>
                <w:rFonts w:eastAsia="MS Mincho" w:cstheme="minorHAnsi"/>
              </w:rPr>
              <w:t>ee</w:t>
            </w:r>
            <w:r w:rsidRPr="00017AE6">
              <w:rPr>
                <w:rFonts w:eastAsia="MS Mincho" w:cstheme="minorHAnsi"/>
              </w:rPr>
              <w:t xml:space="preserve">ks </w:t>
            </w:r>
            <w:r w:rsidR="004929FD">
              <w:rPr>
                <w:rFonts w:eastAsia="MS Mincho" w:cstheme="minorHAnsi"/>
              </w:rPr>
              <w:t>(</w:t>
            </w:r>
            <w:r w:rsidRPr="00017AE6">
              <w:rPr>
                <w:rFonts w:eastAsia="MS Mincho" w:cstheme="minorHAnsi"/>
              </w:rPr>
              <w:t xml:space="preserve">4 </w:t>
            </w:r>
            <w:r w:rsidR="004929FD">
              <w:rPr>
                <w:rFonts w:eastAsia="MS Mincho" w:cstheme="minorHAnsi"/>
              </w:rPr>
              <w:t>–</w:t>
            </w:r>
            <w:r w:rsidRPr="00017AE6">
              <w:rPr>
                <w:rFonts w:eastAsia="MS Mincho" w:cstheme="minorHAnsi"/>
              </w:rPr>
              <w:t xml:space="preserve"> 7</w:t>
            </w:r>
            <w:r w:rsidR="004929FD">
              <w:rPr>
                <w:rFonts w:eastAsia="MS Mincho" w:cstheme="minorHAnsi"/>
              </w:rPr>
              <w:t>)</w:t>
            </w:r>
            <w:r w:rsidRPr="00017AE6">
              <w:rPr>
                <w:rFonts w:eastAsia="MS Mincho" w:cstheme="minorHAnsi"/>
              </w:rPr>
              <w:t>; CQR from w</w:t>
            </w:r>
            <w:r w:rsidR="004929FD">
              <w:rPr>
                <w:rFonts w:eastAsia="MS Mincho" w:cstheme="minorHAnsi"/>
              </w:rPr>
              <w:t>ee</w:t>
            </w:r>
            <w:r w:rsidRPr="00017AE6">
              <w:rPr>
                <w:rFonts w:eastAsia="MS Mincho" w:cstheme="minorHAnsi"/>
              </w:rPr>
              <w:t>k 4 to w</w:t>
            </w:r>
            <w:r w:rsidR="004929FD">
              <w:rPr>
                <w:rFonts w:eastAsia="MS Mincho" w:cstheme="minorHAnsi"/>
              </w:rPr>
              <w:t>ee</w:t>
            </w:r>
            <w:r w:rsidRPr="00017AE6">
              <w:rPr>
                <w:rFonts w:eastAsia="MS Mincho" w:cstheme="minorHAnsi"/>
              </w:rPr>
              <w:t>ks 12, 24, and 52</w:t>
            </w:r>
            <w:r w:rsidR="004929FD">
              <w:rPr>
                <w:rFonts w:eastAsia="MS Mincho" w:cstheme="minorHAnsi"/>
              </w:rPr>
              <w:t>.</w:t>
            </w:r>
          </w:p>
          <w:p w14:paraId="7B3C2AE3" w14:textId="77777777" w:rsidR="00993149" w:rsidRDefault="00993149" w:rsidP="00A71365">
            <w:pPr>
              <w:pStyle w:val="Tablewriting"/>
              <w:rPr>
                <w:rFonts w:eastAsia="MS Mincho" w:cstheme="minorHAnsi"/>
              </w:rPr>
            </w:pPr>
          </w:p>
          <w:p w14:paraId="418D6A08" w14:textId="1C48800D" w:rsidR="00993149" w:rsidRPr="00017AE6" w:rsidRDefault="00993149" w:rsidP="00A71365">
            <w:pPr>
              <w:pStyle w:val="Tablewriting"/>
              <w:rPr>
                <w:rFonts w:eastAsia="MS Mincho" w:cstheme="minorHAnsi"/>
              </w:rPr>
            </w:pPr>
            <w:r w:rsidRPr="00017AE6">
              <w:rPr>
                <w:rFonts w:eastAsia="MS Mincho" w:cstheme="minorHAnsi"/>
              </w:rPr>
              <w:t xml:space="preserve">Validation was by expired CO </w:t>
            </w:r>
            <w:r w:rsidR="00F66FD5" w:rsidRPr="007563F9">
              <w:rPr>
                <w:rFonts w:eastAsia="MS Mincho" w:cstheme="minorHAnsi"/>
              </w:rPr>
              <w:t>≤</w:t>
            </w:r>
            <w:r w:rsidRPr="00017AE6">
              <w:rPr>
                <w:rFonts w:eastAsia="MS Mincho" w:cstheme="minorHAnsi"/>
              </w:rPr>
              <w:t xml:space="preserve"> 10 ppm</w:t>
            </w:r>
            <w:r w:rsidR="00F66FD5">
              <w:rPr>
                <w:rFonts w:eastAsia="MS Mincho" w:cstheme="minorHAnsi"/>
              </w:rPr>
              <w:t>.</w:t>
            </w:r>
          </w:p>
          <w:p w14:paraId="69E99887" w14:textId="77777777" w:rsidR="00993149" w:rsidRDefault="00993149" w:rsidP="00A71365">
            <w:pPr>
              <w:pStyle w:val="Tablewriting"/>
              <w:rPr>
                <w:rFonts w:eastAsia="MS Mincho" w:cstheme="minorHAnsi"/>
              </w:rPr>
            </w:pPr>
          </w:p>
          <w:p w14:paraId="2320BA37" w14:textId="77777777" w:rsidR="004929FD" w:rsidRDefault="004929FD" w:rsidP="00A71365">
            <w:pPr>
              <w:pStyle w:val="Tablewriting"/>
              <w:rPr>
                <w:rFonts w:eastAsia="MS Mincho" w:cstheme="minorHAnsi"/>
              </w:rPr>
            </w:pPr>
          </w:p>
          <w:p w14:paraId="11B7AEDA" w14:textId="06BF41EE" w:rsidR="004929FD" w:rsidRDefault="004929FD" w:rsidP="00A71365">
            <w:pPr>
              <w:pStyle w:val="Tablewriting"/>
              <w:rPr>
                <w:rFonts w:eastAsia="MS Mincho" w:cstheme="minorHAnsi"/>
              </w:rPr>
            </w:pPr>
            <w:r w:rsidRPr="004929FD">
              <w:rPr>
                <w:rFonts w:eastAsia="MS Mincho" w:cstheme="minorHAnsi"/>
                <w:u w:val="single"/>
              </w:rPr>
              <w:t>Safety:</w:t>
            </w:r>
            <w:r>
              <w:rPr>
                <w:rFonts w:eastAsia="MS Mincho" w:cstheme="minorHAnsi"/>
                <w:u w:val="single"/>
              </w:rPr>
              <w:t xml:space="preserve"> A</w:t>
            </w:r>
            <w:r w:rsidRPr="00017AE6">
              <w:rPr>
                <w:rFonts w:eastAsia="MS Mincho" w:cstheme="minorHAnsi"/>
              </w:rPr>
              <w:t>dverse events</w:t>
            </w:r>
            <w:r>
              <w:rPr>
                <w:rFonts w:eastAsia="MS Mincho" w:cstheme="minorHAnsi"/>
              </w:rPr>
              <w:t>.</w:t>
            </w:r>
          </w:p>
          <w:p w14:paraId="26BAA63E" w14:textId="77777777" w:rsidR="004929FD" w:rsidRPr="004929FD" w:rsidRDefault="004929FD" w:rsidP="00A71365">
            <w:pPr>
              <w:pStyle w:val="Tablewriting"/>
              <w:rPr>
                <w:rFonts w:eastAsia="MS Mincho" w:cstheme="minorHAnsi"/>
                <w:u w:val="single"/>
              </w:rPr>
            </w:pPr>
          </w:p>
          <w:p w14:paraId="1A81DEE1" w14:textId="00AB1A54" w:rsidR="00E74B49" w:rsidRPr="00017AE6" w:rsidRDefault="00E74B49" w:rsidP="00A71365">
            <w:pPr>
              <w:pStyle w:val="Tablewriting"/>
              <w:rPr>
                <w:rFonts w:eastAsia="MS Mincho" w:cstheme="minorHAnsi"/>
              </w:rPr>
            </w:pPr>
            <w:r w:rsidRPr="004929FD">
              <w:rPr>
                <w:rFonts w:eastAsia="MS Mincho" w:cstheme="minorHAnsi"/>
                <w:u w:val="single"/>
              </w:rPr>
              <w:t>Other:</w:t>
            </w:r>
            <w:r w:rsidRPr="00017AE6">
              <w:rPr>
                <w:rFonts w:eastAsia="MS Mincho" w:cstheme="minorHAnsi"/>
              </w:rPr>
              <w:t xml:space="preserve"> Weight change</w:t>
            </w:r>
            <w:r w:rsidR="00993149">
              <w:rPr>
                <w:rFonts w:eastAsia="MS Mincho" w:cstheme="minorHAnsi"/>
              </w:rPr>
              <w:t>,</w:t>
            </w:r>
            <w:r w:rsidRPr="00017AE6">
              <w:rPr>
                <w:rFonts w:eastAsia="MS Mincho" w:cstheme="minorHAnsi"/>
              </w:rPr>
              <w:t xml:space="preserve"> reduction of craving and withdrawal using MNWS, QSU-brief and</w:t>
            </w:r>
            <w:r w:rsidR="00993149">
              <w:rPr>
                <w:rFonts w:eastAsia="MS Mincho" w:cstheme="minorHAnsi"/>
              </w:rPr>
              <w:t xml:space="preserve"> </w:t>
            </w:r>
            <w:r w:rsidRPr="00017AE6">
              <w:rPr>
                <w:rFonts w:eastAsia="MS Mincho" w:cstheme="minorHAnsi"/>
              </w:rPr>
              <w:t>mCEQ</w:t>
            </w:r>
            <w:r w:rsidR="00993149">
              <w:rPr>
                <w:rFonts w:eastAsia="MS Mincho" w:cstheme="minorHAnsi"/>
              </w:rPr>
              <w:t>.</w:t>
            </w:r>
            <w:r w:rsidRPr="00017AE6">
              <w:rPr>
                <w:rFonts w:eastAsia="MS Mincho" w:cstheme="minorHAnsi"/>
              </w:rPr>
              <w:t xml:space="preserve"> </w:t>
            </w:r>
          </w:p>
          <w:p w14:paraId="742EE085" w14:textId="77777777" w:rsidR="00993149" w:rsidRDefault="00993149" w:rsidP="00A71365">
            <w:pPr>
              <w:pStyle w:val="Tablewriting"/>
              <w:rPr>
                <w:rFonts w:eastAsia="MS Mincho" w:cstheme="minorHAnsi"/>
              </w:rPr>
            </w:pPr>
          </w:p>
          <w:p w14:paraId="1BEA66D1" w14:textId="10DB251B" w:rsidR="00C25F5E" w:rsidRPr="00017AE6" w:rsidRDefault="00C25F5E" w:rsidP="00A71365">
            <w:pPr>
              <w:pStyle w:val="Tablewriting"/>
              <w:rPr>
                <w:rFonts w:eastAsia="MS Mincho" w:cstheme="minorHAnsi"/>
              </w:rPr>
            </w:pPr>
          </w:p>
        </w:tc>
      </w:tr>
      <w:tr w:rsidR="003D3459" w:rsidRPr="00017AE6" w14:paraId="5D10BADF" w14:textId="77777777" w:rsidTr="005821B1">
        <w:trPr>
          <w:trHeight w:val="99"/>
        </w:trPr>
        <w:tc>
          <w:tcPr>
            <w:tcW w:w="761" w:type="pct"/>
          </w:tcPr>
          <w:p w14:paraId="76B10A56" w14:textId="1BC4FE08" w:rsidR="00C25F5E" w:rsidRPr="00017AE6" w:rsidRDefault="00C25F5E" w:rsidP="00A71365">
            <w:pPr>
              <w:pStyle w:val="Tablewriting"/>
              <w:rPr>
                <w:rFonts w:eastAsia="MS Mincho" w:cstheme="minorHAnsi"/>
              </w:rPr>
            </w:pPr>
            <w:r w:rsidRPr="00017AE6">
              <w:rPr>
                <w:rFonts w:eastAsia="MS Mincho" w:cstheme="minorHAnsi"/>
              </w:rPr>
              <w:t xml:space="preserve">Oncken </w:t>
            </w:r>
            <w:r w:rsidR="00DF0515">
              <w:rPr>
                <w:rFonts w:eastAsia="MS Mincho" w:cstheme="minorHAnsi"/>
              </w:rPr>
              <w:t>(</w:t>
            </w:r>
            <w:r w:rsidRPr="00017AE6">
              <w:rPr>
                <w:rFonts w:eastAsia="MS Mincho" w:cstheme="minorHAnsi"/>
              </w:rPr>
              <w:t>2006</w:t>
            </w:r>
            <w:r w:rsidR="00DF0515">
              <w:rPr>
                <w:rFonts w:eastAsia="MS Mincho" w:cstheme="minorHAnsi"/>
              </w:rPr>
              <w:t>)</w:t>
            </w:r>
          </w:p>
        </w:tc>
        <w:tc>
          <w:tcPr>
            <w:tcW w:w="235" w:type="pct"/>
          </w:tcPr>
          <w:p w14:paraId="00E6751D" w14:textId="661F49C4"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2427945B" w14:textId="138D2F16" w:rsidR="00C25F5E" w:rsidRPr="00017AE6" w:rsidRDefault="00AA0D74" w:rsidP="00A71365">
            <w:pPr>
              <w:pStyle w:val="Tablewriting"/>
              <w:rPr>
                <w:rFonts w:eastAsia="MS Mincho" w:cstheme="minorHAnsi"/>
              </w:rPr>
            </w:pPr>
            <w:r w:rsidRPr="00017AE6">
              <w:rPr>
                <w:rFonts w:eastAsia="MS Mincho" w:cstheme="minorHAnsi"/>
              </w:rPr>
              <w:t>USA</w:t>
            </w:r>
          </w:p>
        </w:tc>
        <w:tc>
          <w:tcPr>
            <w:tcW w:w="679" w:type="pct"/>
          </w:tcPr>
          <w:p w14:paraId="176936C8" w14:textId="6BBC45E4" w:rsidR="00911D8D" w:rsidRPr="00017AE6" w:rsidRDefault="00C25F5E" w:rsidP="00A71365">
            <w:pPr>
              <w:pStyle w:val="Tablewriting"/>
              <w:rPr>
                <w:rFonts w:eastAsia="MS Mincho" w:cstheme="minorHAnsi"/>
              </w:rPr>
            </w:pPr>
            <w:r w:rsidRPr="00017AE6">
              <w:rPr>
                <w:rFonts w:eastAsia="MS Mincho" w:cstheme="minorHAnsi"/>
              </w:rPr>
              <w:t>N=</w:t>
            </w:r>
            <w:r w:rsidR="00AA0D74" w:rsidRPr="00017AE6">
              <w:rPr>
                <w:rFonts w:eastAsia="MS Mincho" w:cstheme="minorHAnsi"/>
              </w:rPr>
              <w:t>647</w:t>
            </w:r>
            <w:r w:rsidR="00911D8D">
              <w:rPr>
                <w:rFonts w:eastAsia="MS Mincho" w:cstheme="minorHAnsi"/>
              </w:rPr>
              <w:t xml:space="preserve">; </w:t>
            </w:r>
            <w:r w:rsidR="002C3753">
              <w:rPr>
                <w:rFonts w:eastAsia="MS Mincho" w:cstheme="minorHAnsi"/>
              </w:rPr>
              <w:t>n=129 (</w:t>
            </w:r>
            <w:r w:rsidR="00911D8D" w:rsidRPr="00017AE6">
              <w:rPr>
                <w:rFonts w:eastAsia="MS Mincho" w:cstheme="minorHAnsi"/>
              </w:rPr>
              <w:t xml:space="preserve">group 1), </w:t>
            </w:r>
            <w:r w:rsidR="002C3753">
              <w:rPr>
                <w:rFonts w:eastAsia="MS Mincho" w:cstheme="minorHAnsi"/>
              </w:rPr>
              <w:t>n=130 (</w:t>
            </w:r>
            <w:r w:rsidR="00911D8D" w:rsidRPr="00017AE6">
              <w:rPr>
                <w:rFonts w:eastAsia="MS Mincho" w:cstheme="minorHAnsi"/>
              </w:rPr>
              <w:t xml:space="preserve">group 2), </w:t>
            </w:r>
            <w:r w:rsidR="002C3753">
              <w:rPr>
                <w:rFonts w:eastAsia="MS Mincho" w:cstheme="minorHAnsi"/>
              </w:rPr>
              <w:t>n=129 (</w:t>
            </w:r>
            <w:r w:rsidR="00911D8D" w:rsidRPr="00017AE6">
              <w:rPr>
                <w:rFonts w:eastAsia="MS Mincho" w:cstheme="minorHAnsi"/>
              </w:rPr>
              <w:t xml:space="preserve">group 3), </w:t>
            </w:r>
            <w:r w:rsidR="002C3753">
              <w:rPr>
                <w:rFonts w:eastAsia="MS Mincho" w:cstheme="minorHAnsi"/>
              </w:rPr>
              <w:t>n=130 (</w:t>
            </w:r>
            <w:r w:rsidR="00911D8D" w:rsidRPr="00017AE6">
              <w:rPr>
                <w:rFonts w:eastAsia="MS Mincho" w:cstheme="minorHAnsi"/>
              </w:rPr>
              <w:t>group 4</w:t>
            </w:r>
            <w:r w:rsidR="002C3753">
              <w:rPr>
                <w:rFonts w:eastAsia="MS Mincho" w:cstheme="minorHAnsi"/>
              </w:rPr>
              <w:t>, n=129</w:t>
            </w:r>
            <w:r w:rsidR="00911D8D" w:rsidRPr="00017AE6">
              <w:rPr>
                <w:rFonts w:eastAsia="MS Mincho" w:cstheme="minorHAnsi"/>
              </w:rPr>
              <w:t xml:space="preserve"> </w:t>
            </w:r>
            <w:r w:rsidR="00BA2C4A">
              <w:rPr>
                <w:rFonts w:eastAsia="MS Mincho" w:cstheme="minorHAnsi"/>
              </w:rPr>
              <w:t>(</w:t>
            </w:r>
            <w:r w:rsidR="00911D8D" w:rsidRPr="00017AE6">
              <w:rPr>
                <w:rFonts w:eastAsia="MS Mincho" w:cstheme="minorHAnsi"/>
              </w:rPr>
              <w:t>placebo)</w:t>
            </w:r>
          </w:p>
          <w:p w14:paraId="3A675752" w14:textId="77777777" w:rsidR="00911D8D" w:rsidRDefault="00911D8D" w:rsidP="00A71365">
            <w:pPr>
              <w:pStyle w:val="Tablewriting"/>
              <w:rPr>
                <w:rFonts w:eastAsia="MS Mincho" w:cstheme="minorHAnsi"/>
              </w:rPr>
            </w:pPr>
          </w:p>
          <w:p w14:paraId="1D733117" w14:textId="298DB544" w:rsidR="00C25F5E" w:rsidRPr="00017AE6" w:rsidRDefault="00C25F5E" w:rsidP="00A71365">
            <w:pPr>
              <w:pStyle w:val="Tablewriting"/>
              <w:rPr>
                <w:rFonts w:eastAsia="MS Mincho" w:cstheme="minorHAnsi"/>
              </w:rPr>
            </w:pPr>
          </w:p>
        </w:tc>
        <w:tc>
          <w:tcPr>
            <w:tcW w:w="851" w:type="pct"/>
          </w:tcPr>
          <w:p w14:paraId="137C2670" w14:textId="4A74C52B" w:rsidR="006431FB" w:rsidRDefault="004664D2" w:rsidP="00A71365">
            <w:pPr>
              <w:pStyle w:val="Tablewriting"/>
              <w:rPr>
                <w:rFonts w:eastAsia="MS Mincho" w:cstheme="minorHAnsi"/>
              </w:rPr>
            </w:pPr>
            <w:r w:rsidRPr="00017AE6">
              <w:rPr>
                <w:rFonts w:eastAsia="MS Mincho" w:cstheme="minorHAnsi"/>
              </w:rPr>
              <w:t>Healthy volunteer smokers</w:t>
            </w:r>
            <w:r w:rsidR="00AA0D74" w:rsidRPr="00017AE6">
              <w:rPr>
                <w:rFonts w:eastAsia="MS Mincho" w:cstheme="minorHAnsi"/>
              </w:rPr>
              <w:t xml:space="preserve"> aged 18 </w:t>
            </w:r>
            <w:r w:rsidR="006431FB">
              <w:rPr>
                <w:rFonts w:eastAsia="MS Mincho" w:cstheme="minorHAnsi"/>
              </w:rPr>
              <w:t>–</w:t>
            </w:r>
            <w:r w:rsidR="00AA0D74" w:rsidRPr="00017AE6">
              <w:rPr>
                <w:rFonts w:eastAsia="MS Mincho" w:cstheme="minorHAnsi"/>
              </w:rPr>
              <w:t xml:space="preserve"> 65</w:t>
            </w:r>
            <w:r w:rsidR="006431FB">
              <w:rPr>
                <w:rFonts w:eastAsia="MS Mincho" w:cstheme="minorHAnsi"/>
              </w:rPr>
              <w:t xml:space="preserve"> years</w:t>
            </w:r>
            <w:r w:rsidR="00AA0D74" w:rsidRPr="00017AE6">
              <w:rPr>
                <w:rFonts w:eastAsia="MS Mincho" w:cstheme="minorHAnsi"/>
              </w:rPr>
              <w:t>, smoking at least 10 CPD. 49.5% men, 80% white, av</w:t>
            </w:r>
            <w:r w:rsidR="006431FB">
              <w:rPr>
                <w:rFonts w:eastAsia="MS Mincho" w:cstheme="minorHAnsi"/>
              </w:rPr>
              <w:t>erage</w:t>
            </w:r>
            <w:r w:rsidR="00AA0D74" w:rsidRPr="00017AE6">
              <w:rPr>
                <w:rFonts w:eastAsia="MS Mincho" w:cstheme="minorHAnsi"/>
              </w:rPr>
              <w:t xml:space="preserve"> CPD</w:t>
            </w:r>
            <w:r w:rsidR="006431FB">
              <w:rPr>
                <w:rFonts w:eastAsia="MS Mincho" w:cstheme="minorHAnsi"/>
              </w:rPr>
              <w:t xml:space="preserve"> </w:t>
            </w:r>
            <w:r w:rsidR="00AA0D74" w:rsidRPr="00017AE6">
              <w:rPr>
                <w:rFonts w:eastAsia="MS Mincho" w:cstheme="minorHAnsi"/>
              </w:rPr>
              <w:t>21,</w:t>
            </w:r>
            <w:r w:rsidR="006431FB">
              <w:rPr>
                <w:rFonts w:eastAsia="MS Mincho" w:cstheme="minorHAnsi"/>
              </w:rPr>
              <w:t xml:space="preserve"> </w:t>
            </w:r>
            <w:r w:rsidR="00AA0D74" w:rsidRPr="00017AE6">
              <w:rPr>
                <w:rFonts w:eastAsia="MS Mincho" w:cstheme="minorHAnsi"/>
              </w:rPr>
              <w:t xml:space="preserve">mean FTND 5.5. </w:t>
            </w:r>
          </w:p>
          <w:p w14:paraId="75B18253" w14:textId="77777777" w:rsidR="006431FB" w:rsidRDefault="006431FB" w:rsidP="00A71365">
            <w:pPr>
              <w:pStyle w:val="Tablewriting"/>
              <w:rPr>
                <w:rFonts w:eastAsia="MS Mincho" w:cstheme="minorHAnsi"/>
                <w:u w:val="single"/>
              </w:rPr>
            </w:pPr>
          </w:p>
          <w:p w14:paraId="672F1004" w14:textId="712D6611" w:rsidR="00C25F5E" w:rsidRPr="00017AE6" w:rsidRDefault="00AA0D74" w:rsidP="00A71365">
            <w:pPr>
              <w:pStyle w:val="Tablewriting"/>
              <w:rPr>
                <w:rFonts w:eastAsia="MS Mincho" w:cstheme="minorHAnsi"/>
              </w:rPr>
            </w:pPr>
            <w:r w:rsidRPr="006431FB">
              <w:rPr>
                <w:rFonts w:eastAsia="MS Mincho" w:cstheme="minorHAnsi"/>
                <w:u w:val="single"/>
              </w:rPr>
              <w:t>Exclusion criteria:</w:t>
            </w:r>
            <w:r w:rsidRPr="00017AE6">
              <w:rPr>
                <w:rFonts w:eastAsia="MS Mincho" w:cstheme="minorHAnsi"/>
              </w:rPr>
              <w:t xml:space="preserve"> Standard pharmacotherapy trial criteria, + use of NRT or bupropion within last 3</w:t>
            </w:r>
            <w:r w:rsidR="00911D8D">
              <w:rPr>
                <w:rFonts w:eastAsia="MS Mincho" w:cstheme="minorHAnsi"/>
              </w:rPr>
              <w:t xml:space="preserve"> months</w:t>
            </w:r>
            <w:r w:rsidRPr="00017AE6">
              <w:rPr>
                <w:rFonts w:eastAsia="MS Mincho" w:cstheme="minorHAnsi"/>
              </w:rPr>
              <w:t>;</w:t>
            </w:r>
            <w:r w:rsidR="00911D8D">
              <w:rPr>
                <w:rFonts w:eastAsia="MS Mincho" w:cstheme="minorHAnsi"/>
              </w:rPr>
              <w:t xml:space="preserve"> </w:t>
            </w:r>
            <w:r w:rsidRPr="00017AE6">
              <w:rPr>
                <w:rFonts w:eastAsia="MS Mincho" w:cstheme="minorHAnsi"/>
              </w:rPr>
              <w:t>use of marijuana or tobacco other than cigarettes with last month.</w:t>
            </w:r>
          </w:p>
        </w:tc>
        <w:tc>
          <w:tcPr>
            <w:tcW w:w="1054" w:type="pct"/>
          </w:tcPr>
          <w:p w14:paraId="172DD89C" w14:textId="1EB73FAE" w:rsidR="0014342E" w:rsidRDefault="00723C5D" w:rsidP="00C324F3">
            <w:pPr>
              <w:pStyle w:val="Tablewriting"/>
              <w:numPr>
                <w:ilvl w:val="0"/>
                <w:numId w:val="82"/>
              </w:numPr>
              <w:rPr>
                <w:rFonts w:eastAsia="MS Mincho" w:cstheme="minorHAnsi"/>
              </w:rPr>
            </w:pPr>
            <w:r>
              <w:rPr>
                <w:rFonts w:eastAsia="MS Mincho" w:cstheme="minorHAnsi"/>
              </w:rPr>
              <w:t xml:space="preserve">Group 1; </w:t>
            </w:r>
            <w:r w:rsidR="00AA0D74" w:rsidRPr="00017AE6">
              <w:rPr>
                <w:rFonts w:eastAsia="MS Mincho" w:cstheme="minorHAnsi"/>
              </w:rPr>
              <w:t xml:space="preserve">0.5 mg </w:t>
            </w:r>
            <w:r w:rsidR="00E11D41">
              <w:rPr>
                <w:rFonts w:eastAsia="MS Mincho" w:cstheme="minorHAnsi"/>
              </w:rPr>
              <w:t xml:space="preserve">varenicline </w:t>
            </w:r>
            <w:r w:rsidR="00AA0D74" w:rsidRPr="00017AE6">
              <w:rPr>
                <w:rFonts w:eastAsia="MS Mincho" w:cstheme="minorHAnsi"/>
              </w:rPr>
              <w:t>non</w:t>
            </w:r>
            <w:r w:rsidR="0014342E">
              <w:rPr>
                <w:rFonts w:eastAsia="MS Mincho" w:cstheme="minorHAnsi"/>
              </w:rPr>
              <w:t>-</w:t>
            </w:r>
            <w:r w:rsidR="00AA0D74" w:rsidRPr="00017AE6">
              <w:rPr>
                <w:rFonts w:eastAsia="MS Mincho" w:cstheme="minorHAnsi"/>
              </w:rPr>
              <w:t>titrated (2/day for 12 w</w:t>
            </w:r>
            <w:r w:rsidR="0014342E">
              <w:rPr>
                <w:rFonts w:eastAsia="MS Mincho" w:cstheme="minorHAnsi"/>
              </w:rPr>
              <w:t>ee</w:t>
            </w:r>
            <w:r w:rsidR="00AA0D74" w:rsidRPr="00017AE6">
              <w:rPr>
                <w:rFonts w:eastAsia="MS Mincho" w:cstheme="minorHAnsi"/>
              </w:rPr>
              <w:t>ks)</w:t>
            </w:r>
            <w:r w:rsidR="0014342E">
              <w:rPr>
                <w:rFonts w:eastAsia="MS Mincho" w:cstheme="minorHAnsi"/>
              </w:rPr>
              <w:t>.</w:t>
            </w:r>
          </w:p>
          <w:p w14:paraId="77B89ACC" w14:textId="368A9175" w:rsidR="00CC6D92" w:rsidRDefault="0014342E" w:rsidP="00C324F3">
            <w:pPr>
              <w:pStyle w:val="Tablewriting"/>
              <w:numPr>
                <w:ilvl w:val="0"/>
                <w:numId w:val="82"/>
              </w:numPr>
              <w:rPr>
                <w:rFonts w:eastAsia="MS Mincho" w:cstheme="minorHAnsi"/>
              </w:rPr>
            </w:pPr>
            <w:r>
              <w:rPr>
                <w:rFonts w:eastAsia="MS Mincho" w:cstheme="minorHAnsi"/>
              </w:rPr>
              <w:t xml:space="preserve">Group 2; </w:t>
            </w:r>
            <w:r w:rsidR="00AA0D74" w:rsidRPr="0014342E">
              <w:rPr>
                <w:rFonts w:eastAsia="MS Mincho" w:cstheme="minorHAnsi"/>
              </w:rPr>
              <w:t xml:space="preserve">0.5 mg </w:t>
            </w:r>
            <w:r w:rsidR="00E11D41">
              <w:rPr>
                <w:rFonts w:eastAsia="MS Mincho" w:cstheme="minorHAnsi"/>
              </w:rPr>
              <w:t>varenicline</w:t>
            </w:r>
            <w:r w:rsidR="00E11D41" w:rsidRPr="0014342E">
              <w:rPr>
                <w:rFonts w:eastAsia="MS Mincho" w:cstheme="minorHAnsi"/>
              </w:rPr>
              <w:t xml:space="preserve"> </w:t>
            </w:r>
            <w:r w:rsidR="00AA0D74" w:rsidRPr="0014342E">
              <w:rPr>
                <w:rFonts w:eastAsia="MS Mincho" w:cstheme="minorHAnsi"/>
              </w:rPr>
              <w:t>titrated (w</w:t>
            </w:r>
            <w:r w:rsidR="00CC6D92">
              <w:rPr>
                <w:rFonts w:eastAsia="MS Mincho" w:cstheme="minorHAnsi"/>
              </w:rPr>
              <w:t>ee</w:t>
            </w:r>
            <w:r w:rsidR="00AA0D74" w:rsidRPr="0014342E">
              <w:rPr>
                <w:rFonts w:eastAsia="MS Mincho" w:cstheme="minorHAnsi"/>
              </w:rPr>
              <w:t>k1 1/day, w</w:t>
            </w:r>
            <w:r w:rsidR="005471E2" w:rsidRPr="0014342E">
              <w:rPr>
                <w:rFonts w:eastAsia="MS Mincho" w:cstheme="minorHAnsi"/>
              </w:rPr>
              <w:t>ee</w:t>
            </w:r>
            <w:r w:rsidR="00AA0D74" w:rsidRPr="0014342E">
              <w:rPr>
                <w:rFonts w:eastAsia="MS Mincho" w:cstheme="minorHAnsi"/>
              </w:rPr>
              <w:t>ks 2 - 12 2/day)</w:t>
            </w:r>
            <w:r w:rsidR="00CC6D92">
              <w:rPr>
                <w:rFonts w:eastAsia="MS Mincho" w:cstheme="minorHAnsi"/>
              </w:rPr>
              <w:t>.</w:t>
            </w:r>
          </w:p>
          <w:p w14:paraId="57706F2C" w14:textId="45A83EBA" w:rsidR="00DC49CC" w:rsidRDefault="00CC6D92" w:rsidP="00C324F3">
            <w:pPr>
              <w:pStyle w:val="Tablewriting"/>
              <w:numPr>
                <w:ilvl w:val="0"/>
                <w:numId w:val="82"/>
              </w:numPr>
              <w:rPr>
                <w:rFonts w:eastAsia="MS Mincho" w:cstheme="minorHAnsi"/>
              </w:rPr>
            </w:pPr>
            <w:r>
              <w:rPr>
                <w:rFonts w:eastAsia="MS Mincho" w:cstheme="minorHAnsi"/>
              </w:rPr>
              <w:t xml:space="preserve">Group 3; </w:t>
            </w:r>
            <w:r w:rsidR="00AA0D74" w:rsidRPr="00CC6D92">
              <w:rPr>
                <w:rFonts w:eastAsia="MS Mincho" w:cstheme="minorHAnsi"/>
              </w:rPr>
              <w:t xml:space="preserve">1.0 mg </w:t>
            </w:r>
            <w:r w:rsidR="00E11D41">
              <w:rPr>
                <w:rFonts w:eastAsia="MS Mincho" w:cstheme="minorHAnsi"/>
              </w:rPr>
              <w:t>varenicline</w:t>
            </w:r>
            <w:r w:rsidR="00E11D41" w:rsidRPr="00CC6D92">
              <w:rPr>
                <w:rFonts w:eastAsia="MS Mincho" w:cstheme="minorHAnsi"/>
              </w:rPr>
              <w:t xml:space="preserve"> </w:t>
            </w:r>
            <w:r w:rsidR="00AA0D74" w:rsidRPr="00CC6D92">
              <w:rPr>
                <w:rFonts w:eastAsia="MS Mincho" w:cstheme="minorHAnsi"/>
              </w:rPr>
              <w:t>non</w:t>
            </w:r>
            <w:r w:rsidR="005471E2" w:rsidRPr="00CC6D92">
              <w:rPr>
                <w:rFonts w:eastAsia="MS Mincho" w:cstheme="minorHAnsi"/>
              </w:rPr>
              <w:t>-</w:t>
            </w:r>
            <w:r w:rsidR="00AA0D74" w:rsidRPr="00CC6D92">
              <w:rPr>
                <w:rFonts w:eastAsia="MS Mincho" w:cstheme="minorHAnsi"/>
              </w:rPr>
              <w:t>titrated (2/day for 12 w</w:t>
            </w:r>
            <w:r w:rsidR="005471E2" w:rsidRPr="00CC6D92">
              <w:rPr>
                <w:rFonts w:eastAsia="MS Mincho" w:cstheme="minorHAnsi"/>
              </w:rPr>
              <w:t>ee</w:t>
            </w:r>
            <w:r w:rsidR="00AA0D74" w:rsidRPr="00CC6D92">
              <w:rPr>
                <w:rFonts w:eastAsia="MS Mincho" w:cstheme="minorHAnsi"/>
              </w:rPr>
              <w:t>ks)</w:t>
            </w:r>
            <w:r w:rsidR="00DC49CC">
              <w:rPr>
                <w:rFonts w:eastAsia="MS Mincho" w:cstheme="minorHAnsi"/>
              </w:rPr>
              <w:t>.</w:t>
            </w:r>
          </w:p>
          <w:p w14:paraId="6F2F3D68" w14:textId="2F58D881" w:rsidR="00E11D41" w:rsidRDefault="00DC49CC" w:rsidP="00C324F3">
            <w:pPr>
              <w:pStyle w:val="Tablewriting"/>
              <w:numPr>
                <w:ilvl w:val="0"/>
                <w:numId w:val="82"/>
              </w:numPr>
              <w:rPr>
                <w:rFonts w:eastAsia="MS Mincho" w:cstheme="minorHAnsi"/>
              </w:rPr>
            </w:pPr>
            <w:r>
              <w:rPr>
                <w:rFonts w:eastAsia="MS Mincho" w:cstheme="minorHAnsi"/>
              </w:rPr>
              <w:t xml:space="preserve">Group 4; </w:t>
            </w:r>
            <w:r w:rsidR="00AA0D74" w:rsidRPr="00DC49CC">
              <w:rPr>
                <w:rFonts w:eastAsia="MS Mincho" w:cstheme="minorHAnsi"/>
              </w:rPr>
              <w:t xml:space="preserve">1.0 mg </w:t>
            </w:r>
            <w:r w:rsidR="00E11D41">
              <w:rPr>
                <w:rFonts w:eastAsia="MS Mincho" w:cstheme="minorHAnsi"/>
              </w:rPr>
              <w:t>varenicline</w:t>
            </w:r>
            <w:r w:rsidR="00E11D41" w:rsidRPr="00DC49CC">
              <w:rPr>
                <w:rFonts w:eastAsia="MS Mincho" w:cstheme="minorHAnsi"/>
              </w:rPr>
              <w:t xml:space="preserve"> </w:t>
            </w:r>
            <w:r w:rsidR="00AA0D74" w:rsidRPr="00DC49CC">
              <w:rPr>
                <w:rFonts w:eastAsia="MS Mincho" w:cstheme="minorHAnsi"/>
              </w:rPr>
              <w:t>titrated (0.5 mg 1/day for 3 days, 0.5 mg 2/day for 4 days, 1.0 mg 2/day w</w:t>
            </w:r>
            <w:r w:rsidR="005471E2" w:rsidRPr="00DC49CC">
              <w:rPr>
                <w:rFonts w:eastAsia="MS Mincho" w:cstheme="minorHAnsi"/>
              </w:rPr>
              <w:t>ee</w:t>
            </w:r>
            <w:r w:rsidR="00AA0D74" w:rsidRPr="00DC49CC">
              <w:rPr>
                <w:rFonts w:eastAsia="MS Mincho" w:cstheme="minorHAnsi"/>
              </w:rPr>
              <w:t>ks 2 - 12)</w:t>
            </w:r>
          </w:p>
          <w:p w14:paraId="46E49CAA" w14:textId="49377278" w:rsidR="00AA0D74" w:rsidRPr="00017AE6" w:rsidRDefault="00AA0D74" w:rsidP="00C324F3">
            <w:pPr>
              <w:pStyle w:val="Tablewriting"/>
              <w:numPr>
                <w:ilvl w:val="0"/>
                <w:numId w:val="82"/>
              </w:numPr>
              <w:rPr>
                <w:rFonts w:eastAsia="MS Mincho" w:cstheme="minorHAnsi"/>
              </w:rPr>
            </w:pPr>
            <w:r w:rsidRPr="00017AE6">
              <w:rPr>
                <w:rFonts w:eastAsia="MS Mincho" w:cstheme="minorHAnsi"/>
              </w:rPr>
              <w:t>placebo tablets 2/d 12 w</w:t>
            </w:r>
            <w:r w:rsidR="005471E2">
              <w:rPr>
                <w:rFonts w:eastAsia="MS Mincho" w:cstheme="minorHAnsi"/>
              </w:rPr>
              <w:t>ee</w:t>
            </w:r>
            <w:r w:rsidRPr="00017AE6">
              <w:rPr>
                <w:rFonts w:eastAsia="MS Mincho" w:cstheme="minorHAnsi"/>
              </w:rPr>
              <w:t>ks</w:t>
            </w:r>
          </w:p>
          <w:p w14:paraId="545D7E5B" w14:textId="77777777" w:rsidR="005471E2" w:rsidRDefault="005471E2" w:rsidP="00A71365">
            <w:pPr>
              <w:pStyle w:val="Tablewriting"/>
              <w:rPr>
                <w:rFonts w:eastAsia="MS Mincho" w:cstheme="minorHAnsi"/>
              </w:rPr>
            </w:pPr>
          </w:p>
          <w:p w14:paraId="29B80B4E" w14:textId="69032F9A" w:rsidR="005471E2" w:rsidRDefault="005471E2" w:rsidP="00A71365">
            <w:pPr>
              <w:pStyle w:val="Tablewriting"/>
              <w:rPr>
                <w:rFonts w:eastAsia="MS Mincho" w:cstheme="minorHAnsi"/>
              </w:rPr>
            </w:pPr>
            <w:r w:rsidRPr="06BFFAED">
              <w:rPr>
                <w:rFonts w:eastAsia="MS Mincho" w:cstheme="minorBidi"/>
                <w:u w:val="single"/>
              </w:rPr>
              <w:t>Common components:</w:t>
            </w:r>
          </w:p>
          <w:p w14:paraId="267D5782" w14:textId="556593DE" w:rsidR="00AA0D74" w:rsidRPr="00017AE6" w:rsidRDefault="00AA0D74" w:rsidP="00A71365">
            <w:pPr>
              <w:pStyle w:val="Tablewriting"/>
              <w:rPr>
                <w:rFonts w:eastAsia="MS Mincho" w:cstheme="minorHAnsi"/>
              </w:rPr>
            </w:pPr>
            <w:r w:rsidRPr="00017AE6">
              <w:rPr>
                <w:rFonts w:eastAsia="MS Mincho" w:cstheme="minorHAnsi"/>
              </w:rPr>
              <w:t>All groups received self-help booklet at baseline, + brief (</w:t>
            </w:r>
            <w:r w:rsidR="001E60F7" w:rsidRPr="007563F9">
              <w:rPr>
                <w:rFonts w:eastAsia="MS Mincho" w:cstheme="minorHAnsi"/>
              </w:rPr>
              <w:t>≤</w:t>
            </w:r>
            <w:r w:rsidRPr="00017AE6">
              <w:rPr>
                <w:rFonts w:eastAsia="MS Mincho" w:cstheme="minorHAnsi"/>
              </w:rPr>
              <w:t xml:space="preserve"> 10 mins) coun</w:t>
            </w:r>
            <w:r w:rsidR="009E2A27">
              <w:rPr>
                <w:rFonts w:eastAsia="MS Mincho" w:cstheme="minorHAnsi"/>
              </w:rPr>
              <w:t xml:space="preserve">selling at weekly </w:t>
            </w:r>
            <w:r w:rsidR="009E2A27">
              <w:rPr>
                <w:rFonts w:eastAsia="MS Mincho" w:cstheme="minorHAnsi"/>
              </w:rPr>
              <w:lastRenderedPageBreak/>
              <w:t xml:space="preserve">clinic visits </w:t>
            </w:r>
            <w:r w:rsidRPr="00017AE6">
              <w:rPr>
                <w:rFonts w:eastAsia="MS Mincho" w:cstheme="minorHAnsi"/>
              </w:rPr>
              <w:t>throughout treatment phase, and phone call 3 days post-TQD. At each visit smoking status reported</w:t>
            </w:r>
            <w:r w:rsidR="005471E2">
              <w:rPr>
                <w:rFonts w:eastAsia="MS Mincho" w:cstheme="minorHAnsi"/>
              </w:rPr>
              <w:t xml:space="preserve"> </w:t>
            </w:r>
            <w:r w:rsidRPr="00017AE6">
              <w:rPr>
                <w:rFonts w:eastAsia="MS Mincho" w:cstheme="minorHAnsi"/>
              </w:rPr>
              <w:t xml:space="preserve">and CO verified; vital signs, </w:t>
            </w:r>
            <w:r w:rsidR="004664D2" w:rsidRPr="00017AE6">
              <w:rPr>
                <w:rFonts w:eastAsia="MS Mincho" w:cstheme="minorHAnsi"/>
              </w:rPr>
              <w:t>weight,</w:t>
            </w:r>
            <w:r w:rsidRPr="00017AE6">
              <w:rPr>
                <w:rFonts w:eastAsia="MS Mincho" w:cstheme="minorHAnsi"/>
              </w:rPr>
              <w:t xml:space="preserve"> and adverse events. Urine, blood tests a</w:t>
            </w:r>
            <w:r w:rsidR="009E2A27">
              <w:rPr>
                <w:rFonts w:eastAsia="MS Mincho" w:cstheme="minorHAnsi"/>
              </w:rPr>
              <w:t xml:space="preserve">nd ECGs at screening, baseline, </w:t>
            </w:r>
            <w:r w:rsidRPr="00017AE6">
              <w:rPr>
                <w:rFonts w:eastAsia="MS Mincho" w:cstheme="minorHAnsi"/>
              </w:rPr>
              <w:t>w</w:t>
            </w:r>
            <w:r w:rsidR="005471E2">
              <w:rPr>
                <w:rFonts w:eastAsia="MS Mincho" w:cstheme="minorHAnsi"/>
              </w:rPr>
              <w:t>ee</w:t>
            </w:r>
            <w:r w:rsidRPr="00017AE6">
              <w:rPr>
                <w:rFonts w:eastAsia="MS Mincho" w:cstheme="minorHAnsi"/>
              </w:rPr>
              <w:t>ks 1, 2, 4, 7 and 12.</w:t>
            </w:r>
          </w:p>
          <w:p w14:paraId="138644AE" w14:textId="5CC3F33B" w:rsidR="00C25F5E" w:rsidRPr="00017AE6" w:rsidRDefault="00AA0D74" w:rsidP="00A71365">
            <w:pPr>
              <w:pStyle w:val="Tablewriting"/>
              <w:rPr>
                <w:rFonts w:eastAsia="MS Mincho" w:cstheme="minorHAnsi"/>
              </w:rPr>
            </w:pPr>
            <w:r w:rsidRPr="00017AE6">
              <w:rPr>
                <w:rFonts w:eastAsia="MS Mincho" w:cstheme="minorHAnsi"/>
              </w:rPr>
              <w:t>Follow-up phase: smoking status + CO measured at w</w:t>
            </w:r>
            <w:r w:rsidR="005471E2">
              <w:rPr>
                <w:rFonts w:eastAsia="MS Mincho" w:cstheme="minorHAnsi"/>
              </w:rPr>
              <w:t>ee</w:t>
            </w:r>
            <w:r w:rsidRPr="00017AE6">
              <w:rPr>
                <w:rFonts w:eastAsia="MS Mincho" w:cstheme="minorHAnsi"/>
              </w:rPr>
              <w:t>ks 13, 24, 52; self-reported status by phone at w</w:t>
            </w:r>
            <w:r w:rsidR="005471E2">
              <w:rPr>
                <w:rFonts w:eastAsia="MS Mincho" w:cstheme="minorHAnsi"/>
              </w:rPr>
              <w:t>ee</w:t>
            </w:r>
            <w:r w:rsidRPr="00017AE6">
              <w:rPr>
                <w:rFonts w:eastAsia="MS Mincho" w:cstheme="minorHAnsi"/>
              </w:rPr>
              <w:t>ks</w:t>
            </w:r>
            <w:r w:rsidR="005471E2">
              <w:rPr>
                <w:rFonts w:eastAsia="MS Mincho" w:cstheme="minorHAnsi"/>
              </w:rPr>
              <w:t xml:space="preserve"> </w:t>
            </w:r>
            <w:r w:rsidRPr="00017AE6">
              <w:rPr>
                <w:rFonts w:eastAsia="MS Mincho" w:cstheme="minorHAnsi"/>
              </w:rPr>
              <w:t>16, 20, 28, 32, 36, 40, 44</w:t>
            </w:r>
            <w:r w:rsidR="005471E2">
              <w:rPr>
                <w:rFonts w:eastAsia="MS Mincho" w:cstheme="minorHAnsi"/>
              </w:rPr>
              <w:t>.</w:t>
            </w:r>
          </w:p>
        </w:tc>
        <w:tc>
          <w:tcPr>
            <w:tcW w:w="959" w:type="pct"/>
          </w:tcPr>
          <w:p w14:paraId="51AD97B6" w14:textId="77777777" w:rsidR="009F229E" w:rsidRPr="009F229E" w:rsidRDefault="009F229E" w:rsidP="00A71365">
            <w:pPr>
              <w:pStyle w:val="Tablewriting"/>
              <w:rPr>
                <w:rFonts w:eastAsia="MS Mincho" w:cstheme="minorHAnsi"/>
                <w:u w:val="single"/>
              </w:rPr>
            </w:pPr>
            <w:r w:rsidRPr="009F229E">
              <w:rPr>
                <w:rFonts w:eastAsia="MS Mincho" w:cstheme="minorHAnsi"/>
                <w:u w:val="single"/>
              </w:rPr>
              <w:lastRenderedPageBreak/>
              <w:t xml:space="preserve">Efficacy: </w:t>
            </w:r>
          </w:p>
          <w:p w14:paraId="6755AA3F" w14:textId="60230789" w:rsidR="009A664C" w:rsidRPr="00017AE6" w:rsidRDefault="009A664C" w:rsidP="00A71365">
            <w:pPr>
              <w:pStyle w:val="Tablewriting"/>
              <w:rPr>
                <w:rFonts w:eastAsia="MS Mincho" w:cstheme="minorHAnsi"/>
              </w:rPr>
            </w:pPr>
            <w:r w:rsidRPr="00017AE6">
              <w:rPr>
                <w:rFonts w:eastAsia="MS Mincho" w:cstheme="minorHAnsi"/>
              </w:rPr>
              <w:t>Primary outcome: Continuous verified 4-w</w:t>
            </w:r>
            <w:r w:rsidR="009F229E">
              <w:rPr>
                <w:rFonts w:eastAsia="MS Mincho" w:cstheme="minorHAnsi"/>
              </w:rPr>
              <w:t>ee</w:t>
            </w:r>
            <w:r w:rsidRPr="00017AE6">
              <w:rPr>
                <w:rFonts w:eastAsia="MS Mincho" w:cstheme="minorHAnsi"/>
              </w:rPr>
              <w:t>k abstinence at w</w:t>
            </w:r>
            <w:r w:rsidR="009F229E">
              <w:rPr>
                <w:rFonts w:eastAsia="MS Mincho" w:cstheme="minorHAnsi"/>
              </w:rPr>
              <w:t>ee</w:t>
            </w:r>
            <w:r w:rsidRPr="00017AE6">
              <w:rPr>
                <w:rFonts w:eastAsia="MS Mincho" w:cstheme="minorHAnsi"/>
              </w:rPr>
              <w:t xml:space="preserve">ks </w:t>
            </w:r>
            <w:r w:rsidR="009F229E">
              <w:rPr>
                <w:rFonts w:eastAsia="MS Mincho" w:cstheme="minorHAnsi"/>
              </w:rPr>
              <w:t>(</w:t>
            </w:r>
            <w:r w:rsidRPr="00017AE6">
              <w:rPr>
                <w:rFonts w:eastAsia="MS Mincho" w:cstheme="minorHAnsi"/>
              </w:rPr>
              <w:t xml:space="preserve">4 </w:t>
            </w:r>
            <w:r w:rsidR="009F229E">
              <w:rPr>
                <w:rFonts w:eastAsia="MS Mincho" w:cstheme="minorHAnsi"/>
              </w:rPr>
              <w:t>–</w:t>
            </w:r>
            <w:r w:rsidRPr="00017AE6">
              <w:rPr>
                <w:rFonts w:eastAsia="MS Mincho" w:cstheme="minorHAnsi"/>
              </w:rPr>
              <w:t xml:space="preserve"> 7</w:t>
            </w:r>
            <w:r w:rsidR="009F229E">
              <w:rPr>
                <w:rFonts w:eastAsia="MS Mincho" w:cstheme="minorHAnsi"/>
              </w:rPr>
              <w:t>)</w:t>
            </w:r>
            <w:r w:rsidRPr="00017AE6">
              <w:rPr>
                <w:rFonts w:eastAsia="MS Mincho" w:cstheme="minorHAnsi"/>
              </w:rPr>
              <w:t xml:space="preserve"> and </w:t>
            </w:r>
            <w:r w:rsidR="009F229E">
              <w:rPr>
                <w:rFonts w:eastAsia="MS Mincho" w:cstheme="minorHAnsi"/>
              </w:rPr>
              <w:t>(</w:t>
            </w:r>
            <w:r w:rsidRPr="00017AE6">
              <w:rPr>
                <w:rFonts w:eastAsia="MS Mincho" w:cstheme="minorHAnsi"/>
              </w:rPr>
              <w:t xml:space="preserve">9 </w:t>
            </w:r>
            <w:r w:rsidR="009F229E">
              <w:rPr>
                <w:rFonts w:eastAsia="MS Mincho" w:cstheme="minorHAnsi"/>
              </w:rPr>
              <w:t>–</w:t>
            </w:r>
            <w:r w:rsidRPr="00017AE6">
              <w:rPr>
                <w:rFonts w:eastAsia="MS Mincho" w:cstheme="minorHAnsi"/>
              </w:rPr>
              <w:t xml:space="preserve"> 12</w:t>
            </w:r>
            <w:r w:rsidR="009F229E">
              <w:rPr>
                <w:rFonts w:eastAsia="MS Mincho" w:cstheme="minorHAnsi"/>
              </w:rPr>
              <w:t>)</w:t>
            </w:r>
          </w:p>
          <w:p w14:paraId="5C711EA2" w14:textId="3956C2D6" w:rsidR="009A664C" w:rsidRPr="00017AE6" w:rsidRDefault="009A664C" w:rsidP="00A71365">
            <w:pPr>
              <w:pStyle w:val="Tablewriting"/>
              <w:rPr>
                <w:rFonts w:eastAsia="MS Mincho" w:cstheme="minorHAnsi"/>
              </w:rPr>
            </w:pPr>
            <w:r w:rsidRPr="00017AE6">
              <w:rPr>
                <w:rFonts w:eastAsia="MS Mincho" w:cstheme="minorHAnsi"/>
              </w:rPr>
              <w:t>Secondary outcomes: Continuous verified abstinence at w</w:t>
            </w:r>
            <w:r w:rsidR="002805FE">
              <w:rPr>
                <w:rFonts w:eastAsia="MS Mincho" w:cstheme="minorHAnsi"/>
              </w:rPr>
              <w:t>ee</w:t>
            </w:r>
            <w:r w:rsidRPr="00017AE6">
              <w:rPr>
                <w:rFonts w:eastAsia="MS Mincho" w:cstheme="minorHAnsi"/>
              </w:rPr>
              <w:t>ks 2 - 12 and 9 - 52; 7-day PPA throughout</w:t>
            </w:r>
          </w:p>
          <w:p w14:paraId="7AB10E54" w14:textId="1A27706E" w:rsidR="009A664C" w:rsidRPr="00017AE6" w:rsidRDefault="009A664C" w:rsidP="00A71365">
            <w:pPr>
              <w:pStyle w:val="Tablewriting"/>
              <w:rPr>
                <w:rFonts w:eastAsia="MS Mincho" w:cstheme="minorHAnsi"/>
              </w:rPr>
            </w:pPr>
            <w:r w:rsidRPr="00017AE6">
              <w:rPr>
                <w:rFonts w:eastAsia="MS Mincho" w:cstheme="minorHAnsi"/>
              </w:rPr>
              <w:t>treatment phase and at w</w:t>
            </w:r>
            <w:r w:rsidR="002805FE">
              <w:rPr>
                <w:rFonts w:eastAsia="MS Mincho" w:cstheme="minorHAnsi"/>
              </w:rPr>
              <w:t>ee</w:t>
            </w:r>
            <w:r w:rsidRPr="00017AE6">
              <w:rPr>
                <w:rFonts w:eastAsia="MS Mincho" w:cstheme="minorHAnsi"/>
              </w:rPr>
              <w:t>ks 12, 24 and 52</w:t>
            </w:r>
            <w:r w:rsidR="002805FE">
              <w:rPr>
                <w:rFonts w:eastAsia="MS Mincho" w:cstheme="minorHAnsi"/>
              </w:rPr>
              <w:t>.</w:t>
            </w:r>
          </w:p>
          <w:p w14:paraId="75DFBA1C" w14:textId="77777777" w:rsidR="00DC5EEF" w:rsidRDefault="00DC5EEF" w:rsidP="00A71365">
            <w:pPr>
              <w:pStyle w:val="Tablewriting"/>
              <w:rPr>
                <w:rFonts w:eastAsia="MS Mincho" w:cstheme="minorHAnsi"/>
              </w:rPr>
            </w:pPr>
          </w:p>
          <w:p w14:paraId="78D635D4" w14:textId="51962F6A" w:rsidR="00DC5EEF" w:rsidRDefault="00DC5EEF"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Pr>
                <w:rFonts w:eastAsia="MS Mincho" w:cstheme="minorHAnsi"/>
              </w:rPr>
              <w:t xml:space="preserve"> </w:t>
            </w:r>
            <w:r w:rsidRPr="00017AE6">
              <w:rPr>
                <w:rFonts w:eastAsia="MS Mincho" w:cstheme="minorHAnsi"/>
              </w:rPr>
              <w:t>10 ppm</w:t>
            </w:r>
            <w:r>
              <w:rPr>
                <w:rFonts w:eastAsia="MS Mincho" w:cstheme="minorHAnsi"/>
              </w:rPr>
              <w:t>.</w:t>
            </w:r>
          </w:p>
          <w:p w14:paraId="026F454F" w14:textId="77777777" w:rsidR="002805FE" w:rsidRDefault="002805FE" w:rsidP="00A71365">
            <w:pPr>
              <w:pStyle w:val="Tablewriting"/>
              <w:rPr>
                <w:rFonts w:eastAsia="MS Mincho" w:cstheme="minorHAnsi"/>
              </w:rPr>
            </w:pPr>
          </w:p>
          <w:p w14:paraId="4E26A678" w14:textId="7E3A9FD2" w:rsidR="002805FE" w:rsidRPr="00017AE6" w:rsidRDefault="002805FE" w:rsidP="00A71365">
            <w:pPr>
              <w:pStyle w:val="Tablewriting"/>
              <w:rPr>
                <w:rFonts w:eastAsia="MS Mincho" w:cstheme="minorHAnsi"/>
              </w:rPr>
            </w:pPr>
            <w:r w:rsidRPr="002805FE">
              <w:rPr>
                <w:rFonts w:eastAsia="MS Mincho" w:cstheme="minorHAnsi"/>
                <w:u w:val="single"/>
              </w:rPr>
              <w:t>Safety:</w:t>
            </w:r>
            <w:r>
              <w:rPr>
                <w:rFonts w:eastAsia="MS Mincho" w:cstheme="minorHAnsi"/>
                <w:u w:val="single"/>
              </w:rPr>
              <w:t xml:space="preserve"> A</w:t>
            </w:r>
            <w:r w:rsidRPr="00017AE6">
              <w:rPr>
                <w:rFonts w:eastAsia="MS Mincho" w:cstheme="minorHAnsi"/>
              </w:rPr>
              <w:t>dverse</w:t>
            </w:r>
            <w:r>
              <w:rPr>
                <w:rFonts w:eastAsia="MS Mincho" w:cstheme="minorHAnsi"/>
              </w:rPr>
              <w:t xml:space="preserve"> </w:t>
            </w:r>
            <w:r w:rsidRPr="00017AE6">
              <w:rPr>
                <w:rFonts w:eastAsia="MS Mincho" w:cstheme="minorHAnsi"/>
              </w:rPr>
              <w:t>events</w:t>
            </w:r>
            <w:r>
              <w:rPr>
                <w:rFonts w:eastAsia="MS Mincho" w:cstheme="minorHAnsi"/>
              </w:rPr>
              <w:t>.</w:t>
            </w:r>
          </w:p>
          <w:p w14:paraId="21D35E82" w14:textId="3BCD1E7D" w:rsidR="002805FE" w:rsidRPr="002805FE" w:rsidRDefault="002805FE" w:rsidP="00A71365">
            <w:pPr>
              <w:pStyle w:val="Tablewriting"/>
              <w:rPr>
                <w:rFonts w:eastAsia="MS Mincho" w:cstheme="minorHAnsi"/>
                <w:u w:val="single"/>
              </w:rPr>
            </w:pPr>
          </w:p>
          <w:p w14:paraId="1913C5C6" w14:textId="77777777" w:rsidR="00DC5EEF" w:rsidRDefault="009A664C" w:rsidP="00A71365">
            <w:pPr>
              <w:pStyle w:val="Tablewriting"/>
              <w:rPr>
                <w:rFonts w:eastAsia="MS Mincho" w:cstheme="minorHAnsi"/>
              </w:rPr>
            </w:pPr>
            <w:r w:rsidRPr="002805FE">
              <w:rPr>
                <w:rFonts w:eastAsia="MS Mincho" w:cstheme="minorHAnsi"/>
                <w:u w:val="single"/>
              </w:rPr>
              <w:t>Other:</w:t>
            </w:r>
            <w:r w:rsidRPr="00017AE6">
              <w:rPr>
                <w:rFonts w:eastAsia="MS Mincho" w:cstheme="minorHAnsi"/>
              </w:rPr>
              <w:t xml:space="preserve"> weight change</w:t>
            </w:r>
            <w:r w:rsidR="00DC5EEF">
              <w:rPr>
                <w:rFonts w:eastAsia="MS Mincho" w:cstheme="minorHAnsi"/>
              </w:rPr>
              <w:t>,</w:t>
            </w:r>
            <w:r w:rsidRPr="00017AE6">
              <w:rPr>
                <w:rFonts w:eastAsia="MS Mincho" w:cstheme="minorHAnsi"/>
              </w:rPr>
              <w:t xml:space="preserve"> craving and withdrawal changes using MNWS and mCEQ</w:t>
            </w:r>
            <w:r w:rsidR="00DC5EEF">
              <w:rPr>
                <w:rFonts w:eastAsia="MS Mincho" w:cstheme="minorHAnsi"/>
              </w:rPr>
              <w:t>.</w:t>
            </w:r>
          </w:p>
          <w:p w14:paraId="3FE0ABB2" w14:textId="2FBA4C74" w:rsidR="009A664C" w:rsidRPr="00017AE6" w:rsidRDefault="009A664C" w:rsidP="00A71365">
            <w:pPr>
              <w:pStyle w:val="Tablewriting"/>
              <w:rPr>
                <w:rFonts w:eastAsia="MS Mincho" w:cstheme="minorHAnsi"/>
              </w:rPr>
            </w:pPr>
            <w:r w:rsidRPr="00017AE6">
              <w:rPr>
                <w:rFonts w:eastAsia="MS Mincho" w:cstheme="minorHAnsi"/>
              </w:rPr>
              <w:t xml:space="preserve"> </w:t>
            </w:r>
          </w:p>
          <w:p w14:paraId="2105937D" w14:textId="2F81E741" w:rsidR="00C25F5E" w:rsidRPr="00017AE6" w:rsidRDefault="00C25F5E" w:rsidP="00A71365">
            <w:pPr>
              <w:pStyle w:val="Tablewriting"/>
              <w:rPr>
                <w:rFonts w:eastAsia="MS Mincho" w:cstheme="minorHAnsi"/>
              </w:rPr>
            </w:pPr>
          </w:p>
        </w:tc>
      </w:tr>
      <w:tr w:rsidR="003D3459" w:rsidRPr="00017AE6" w14:paraId="59DCD301" w14:textId="77777777" w:rsidTr="005821B1">
        <w:trPr>
          <w:trHeight w:val="99"/>
        </w:trPr>
        <w:tc>
          <w:tcPr>
            <w:tcW w:w="761" w:type="pct"/>
          </w:tcPr>
          <w:p w14:paraId="65DDD427" w14:textId="6494E3DF" w:rsidR="00C25F5E" w:rsidRPr="00017AE6" w:rsidRDefault="00C25F5E" w:rsidP="00A71365">
            <w:pPr>
              <w:pStyle w:val="Tablewriting"/>
              <w:rPr>
                <w:rFonts w:eastAsia="MS Mincho" w:cstheme="minorHAnsi"/>
              </w:rPr>
            </w:pPr>
            <w:r w:rsidRPr="00017AE6">
              <w:rPr>
                <w:rFonts w:eastAsia="MS Mincho" w:cstheme="minorHAnsi"/>
              </w:rPr>
              <w:t xml:space="preserve">Rennard </w:t>
            </w:r>
            <w:r w:rsidR="00DF0515">
              <w:rPr>
                <w:rFonts w:eastAsia="MS Mincho" w:cstheme="minorHAnsi"/>
              </w:rPr>
              <w:t>(</w:t>
            </w:r>
            <w:r w:rsidRPr="00017AE6">
              <w:rPr>
                <w:rFonts w:eastAsia="MS Mincho" w:cstheme="minorHAnsi"/>
              </w:rPr>
              <w:t>2012</w:t>
            </w:r>
            <w:r w:rsidR="00DF0515">
              <w:rPr>
                <w:rFonts w:eastAsia="MS Mincho" w:cstheme="minorHAnsi"/>
              </w:rPr>
              <w:t>)</w:t>
            </w:r>
          </w:p>
        </w:tc>
        <w:tc>
          <w:tcPr>
            <w:tcW w:w="235" w:type="pct"/>
          </w:tcPr>
          <w:p w14:paraId="0A20BF87" w14:textId="595DD9D7"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0BAC6DCF" w14:textId="77777777" w:rsidR="00761BA3" w:rsidRPr="00017AE6" w:rsidRDefault="00761BA3" w:rsidP="00A71365">
            <w:pPr>
              <w:pStyle w:val="Tablewriting"/>
              <w:rPr>
                <w:rFonts w:eastAsia="MS Mincho" w:cstheme="minorHAnsi"/>
              </w:rPr>
            </w:pPr>
            <w:r w:rsidRPr="00017AE6">
              <w:rPr>
                <w:rFonts w:eastAsia="MS Mincho" w:cstheme="minorHAnsi"/>
              </w:rPr>
              <w:t>Argentina, Brazil, Canada, China, Czech Republic, France, Germany, Hungary, Italy, Korea,</w:t>
            </w:r>
          </w:p>
          <w:p w14:paraId="25604BFA" w14:textId="70FD598A" w:rsidR="00C25F5E" w:rsidRPr="00017AE6" w:rsidRDefault="00761BA3" w:rsidP="00A71365">
            <w:pPr>
              <w:pStyle w:val="Tablewriting"/>
              <w:rPr>
                <w:rFonts w:eastAsia="MS Mincho" w:cstheme="minorHAnsi"/>
              </w:rPr>
            </w:pPr>
            <w:r w:rsidRPr="00017AE6">
              <w:rPr>
                <w:rFonts w:eastAsia="MS Mincho" w:cstheme="minorHAnsi"/>
              </w:rPr>
              <w:t>Mexico, Taiwan, UK, USA</w:t>
            </w:r>
          </w:p>
        </w:tc>
        <w:tc>
          <w:tcPr>
            <w:tcW w:w="679" w:type="pct"/>
          </w:tcPr>
          <w:p w14:paraId="6522CE79" w14:textId="0BB61C42" w:rsidR="00692C8F" w:rsidRPr="00017AE6" w:rsidRDefault="00C25F5E" w:rsidP="00A71365">
            <w:pPr>
              <w:pStyle w:val="Tablewriting"/>
              <w:rPr>
                <w:rFonts w:eastAsia="MS Mincho" w:cstheme="minorHAnsi"/>
              </w:rPr>
            </w:pPr>
            <w:r w:rsidRPr="00017AE6">
              <w:rPr>
                <w:rFonts w:eastAsia="MS Mincho" w:cstheme="minorHAnsi"/>
              </w:rPr>
              <w:t>N=</w:t>
            </w:r>
            <w:r w:rsidR="005659CC" w:rsidRPr="00017AE6">
              <w:rPr>
                <w:rFonts w:eastAsia="MS Mincho" w:cstheme="minorHAnsi"/>
              </w:rPr>
              <w:t>659</w:t>
            </w:r>
            <w:r w:rsidR="00692C8F">
              <w:rPr>
                <w:rFonts w:eastAsia="MS Mincho" w:cstheme="minorHAnsi"/>
              </w:rPr>
              <w:t xml:space="preserve">; </w:t>
            </w:r>
            <w:r w:rsidR="00F74212">
              <w:rPr>
                <w:rFonts w:eastAsia="MS Mincho" w:cstheme="minorHAnsi"/>
              </w:rPr>
              <w:t>n=493</w:t>
            </w:r>
            <w:r w:rsidR="00D115C2">
              <w:rPr>
                <w:rFonts w:eastAsia="MS Mincho" w:cstheme="minorHAnsi"/>
              </w:rPr>
              <w:t xml:space="preserve"> (</w:t>
            </w:r>
            <w:r w:rsidR="00692C8F" w:rsidRPr="00017AE6">
              <w:rPr>
                <w:rFonts w:eastAsia="MS Mincho" w:cstheme="minorHAnsi"/>
              </w:rPr>
              <w:t>varenicline)</w:t>
            </w:r>
            <w:r w:rsidR="00F74212">
              <w:rPr>
                <w:rFonts w:eastAsia="MS Mincho" w:cstheme="minorHAnsi"/>
              </w:rPr>
              <w:t>, n=166 (</w:t>
            </w:r>
            <w:r w:rsidR="00692C8F" w:rsidRPr="00017AE6">
              <w:rPr>
                <w:rFonts w:eastAsia="MS Mincho" w:cstheme="minorHAnsi"/>
              </w:rPr>
              <w:t>placebo)</w:t>
            </w:r>
            <w:r w:rsidR="00D115C2">
              <w:rPr>
                <w:rFonts w:eastAsia="MS Mincho" w:cstheme="minorHAnsi"/>
              </w:rPr>
              <w:t>.</w:t>
            </w:r>
          </w:p>
          <w:p w14:paraId="7A4F768E" w14:textId="0357D3D3" w:rsidR="00C25F5E" w:rsidRPr="00017AE6" w:rsidRDefault="00C25F5E" w:rsidP="00A71365">
            <w:pPr>
              <w:pStyle w:val="Tablewriting"/>
              <w:rPr>
                <w:rFonts w:eastAsia="MS Mincho" w:cstheme="minorHAnsi"/>
              </w:rPr>
            </w:pPr>
          </w:p>
        </w:tc>
        <w:tc>
          <w:tcPr>
            <w:tcW w:w="851" w:type="pct"/>
          </w:tcPr>
          <w:p w14:paraId="6942C314" w14:textId="6312EE86" w:rsidR="00692C8F" w:rsidRDefault="0039313B" w:rsidP="00A71365">
            <w:pPr>
              <w:pStyle w:val="Tablewriting"/>
              <w:rPr>
                <w:rFonts w:eastAsia="MS Mincho" w:cstheme="minorHAnsi"/>
              </w:rPr>
            </w:pPr>
            <w:r>
              <w:rPr>
                <w:rFonts w:eastAsia="MS Mincho" w:cstheme="minorHAnsi"/>
              </w:rPr>
              <w:t>H</w:t>
            </w:r>
            <w:r w:rsidR="00A0578C" w:rsidRPr="00017AE6">
              <w:rPr>
                <w:rFonts w:eastAsia="MS Mincho" w:cstheme="minorHAnsi"/>
              </w:rPr>
              <w:t xml:space="preserve">ealthy volunteer smokers, aged 18 </w:t>
            </w:r>
            <w:r w:rsidR="00F256A6">
              <w:rPr>
                <w:rFonts w:eastAsia="MS Mincho" w:cstheme="minorHAnsi"/>
              </w:rPr>
              <w:t>–</w:t>
            </w:r>
            <w:r w:rsidR="00A0578C" w:rsidRPr="00017AE6">
              <w:rPr>
                <w:rFonts w:eastAsia="MS Mincho" w:cstheme="minorHAnsi"/>
              </w:rPr>
              <w:t xml:space="preserve"> 75</w:t>
            </w:r>
            <w:r w:rsidR="00F256A6">
              <w:rPr>
                <w:rFonts w:eastAsia="MS Mincho" w:cstheme="minorHAnsi"/>
              </w:rPr>
              <w:t xml:space="preserve"> years</w:t>
            </w:r>
            <w:r w:rsidR="00A0578C" w:rsidRPr="00017AE6">
              <w:rPr>
                <w:rFonts w:eastAsia="MS Mincho" w:cstheme="minorHAnsi"/>
              </w:rPr>
              <w:t xml:space="preserve">, motivated to quit, smoking at least 10 CPD. </w:t>
            </w:r>
          </w:p>
          <w:p w14:paraId="38171A36" w14:textId="7B2EED35" w:rsidR="00692C8F" w:rsidRDefault="00692C8F" w:rsidP="00A71365">
            <w:pPr>
              <w:pStyle w:val="Tablewriting"/>
              <w:rPr>
                <w:rFonts w:eastAsia="MS Mincho" w:cstheme="minorHAnsi"/>
              </w:rPr>
            </w:pPr>
            <w:r w:rsidRPr="00017AE6">
              <w:rPr>
                <w:rFonts w:eastAsia="MS Mincho" w:cstheme="minorHAnsi"/>
              </w:rPr>
              <w:t>60% men</w:t>
            </w:r>
            <w:r w:rsidR="00A0578C" w:rsidRPr="00017AE6">
              <w:rPr>
                <w:rFonts w:eastAsia="MS Mincho" w:cstheme="minorHAnsi"/>
              </w:rPr>
              <w:t xml:space="preserve"> mean age 43, 68% white, mean CPD 21, mean FTND 5.5, 66% had tried to quit at least once before. </w:t>
            </w:r>
          </w:p>
          <w:p w14:paraId="0BBB7258" w14:textId="77777777" w:rsidR="00692C8F" w:rsidRDefault="00692C8F" w:rsidP="00A71365">
            <w:pPr>
              <w:pStyle w:val="Tablewriting"/>
              <w:rPr>
                <w:rFonts w:eastAsia="MS Mincho" w:cstheme="minorHAnsi"/>
              </w:rPr>
            </w:pPr>
          </w:p>
          <w:p w14:paraId="55842364" w14:textId="756EB303" w:rsidR="00F502DF" w:rsidRPr="00017AE6" w:rsidRDefault="00F502DF" w:rsidP="00A71365">
            <w:pPr>
              <w:pStyle w:val="Tablewriting"/>
              <w:rPr>
                <w:rFonts w:eastAsia="MS Mincho" w:cstheme="minorHAnsi"/>
              </w:rPr>
            </w:pPr>
            <w:r w:rsidRPr="00D115C2">
              <w:rPr>
                <w:rFonts w:eastAsia="MS Mincho" w:cstheme="minorHAnsi"/>
                <w:u w:val="single"/>
              </w:rPr>
              <w:t>Exclusion criteria:</w:t>
            </w:r>
            <w:r w:rsidRPr="00017AE6">
              <w:rPr>
                <w:rFonts w:eastAsia="MS Mincho" w:cstheme="minorHAnsi"/>
              </w:rPr>
              <w:t xml:space="preserve"> Standard pharmacotherapy trial criteria, + use of NRT, bupropion, </w:t>
            </w:r>
            <w:r w:rsidR="004664D2" w:rsidRPr="00017AE6">
              <w:rPr>
                <w:rFonts w:eastAsia="MS Mincho" w:cstheme="minorHAnsi"/>
              </w:rPr>
              <w:t>clonidine,</w:t>
            </w:r>
            <w:r w:rsidRPr="00017AE6">
              <w:rPr>
                <w:rFonts w:eastAsia="MS Mincho" w:cstheme="minorHAnsi"/>
              </w:rPr>
              <w:t xml:space="preserve"> or nortriptyline within last 3</w:t>
            </w:r>
            <w:r w:rsidR="00B17261">
              <w:rPr>
                <w:rFonts w:eastAsia="MS Mincho" w:cstheme="minorHAnsi"/>
              </w:rPr>
              <w:t xml:space="preserve"> months</w:t>
            </w:r>
            <w:r w:rsidRPr="00017AE6">
              <w:rPr>
                <w:rFonts w:eastAsia="MS Mincho" w:cstheme="minorHAnsi"/>
              </w:rPr>
              <w:t xml:space="preserve">, ever use of varenicline; use of marijuana or tobacco </w:t>
            </w:r>
            <w:r w:rsidRPr="00017AE6">
              <w:rPr>
                <w:rFonts w:eastAsia="MS Mincho" w:cstheme="minorHAnsi"/>
              </w:rPr>
              <w:lastRenderedPageBreak/>
              <w:t>other than cigarettes with last month</w:t>
            </w:r>
            <w:r w:rsidR="00B17261">
              <w:rPr>
                <w:rFonts w:eastAsia="MS Mincho" w:cstheme="minorHAnsi"/>
              </w:rPr>
              <w:t>.</w:t>
            </w:r>
          </w:p>
        </w:tc>
        <w:tc>
          <w:tcPr>
            <w:tcW w:w="1054" w:type="pct"/>
          </w:tcPr>
          <w:p w14:paraId="16A33F63" w14:textId="65F0E584" w:rsidR="00D115C2" w:rsidRDefault="004664D2" w:rsidP="00C324F3">
            <w:pPr>
              <w:pStyle w:val="Tablewriting"/>
              <w:numPr>
                <w:ilvl w:val="0"/>
                <w:numId w:val="83"/>
              </w:numPr>
              <w:rPr>
                <w:rFonts w:eastAsia="MS Mincho" w:cstheme="minorHAnsi"/>
              </w:rPr>
            </w:pPr>
            <w:r w:rsidRPr="00017AE6">
              <w:rPr>
                <w:rFonts w:eastAsia="MS Mincho" w:cstheme="minorHAnsi"/>
              </w:rPr>
              <w:lastRenderedPageBreak/>
              <w:t>Varenicline 1 mg x 2/day</w:t>
            </w:r>
            <w:r w:rsidR="00F502DF" w:rsidRPr="00017AE6">
              <w:rPr>
                <w:rFonts w:eastAsia="MS Mincho" w:cstheme="minorHAnsi"/>
              </w:rPr>
              <w:t xml:space="preserve"> titrated in</w:t>
            </w:r>
            <w:r w:rsidR="00D115C2">
              <w:rPr>
                <w:rFonts w:eastAsia="MS Mincho" w:cstheme="minorHAnsi"/>
              </w:rPr>
              <w:t xml:space="preserve"> </w:t>
            </w:r>
            <w:r w:rsidR="00F502DF" w:rsidRPr="00017AE6">
              <w:rPr>
                <w:rFonts w:eastAsia="MS Mincho" w:cstheme="minorHAnsi"/>
              </w:rPr>
              <w:t>1st w</w:t>
            </w:r>
            <w:r w:rsidR="00D115C2">
              <w:rPr>
                <w:rFonts w:eastAsia="MS Mincho" w:cstheme="minorHAnsi"/>
              </w:rPr>
              <w:t>ee</w:t>
            </w:r>
            <w:r w:rsidR="00F502DF" w:rsidRPr="00017AE6">
              <w:rPr>
                <w:rFonts w:eastAsia="MS Mincho" w:cstheme="minorHAnsi"/>
              </w:rPr>
              <w:t>k</w:t>
            </w:r>
            <w:r w:rsidR="00D115C2">
              <w:rPr>
                <w:rFonts w:eastAsia="MS Mincho" w:cstheme="minorHAnsi"/>
              </w:rPr>
              <w:t>.</w:t>
            </w:r>
          </w:p>
          <w:p w14:paraId="5254B4FD" w14:textId="74553CE5" w:rsidR="00F502DF" w:rsidRPr="00017AE6" w:rsidRDefault="00F502DF" w:rsidP="00C324F3">
            <w:pPr>
              <w:pStyle w:val="Tablewriting"/>
              <w:numPr>
                <w:ilvl w:val="0"/>
                <w:numId w:val="83"/>
              </w:numPr>
              <w:rPr>
                <w:rFonts w:eastAsia="MS Mincho" w:cstheme="minorHAnsi"/>
              </w:rPr>
            </w:pPr>
            <w:r w:rsidRPr="00017AE6">
              <w:rPr>
                <w:rFonts w:eastAsia="MS Mincho" w:cstheme="minorHAnsi"/>
              </w:rPr>
              <w:t>Placebo inactive tablets, same regimen</w:t>
            </w:r>
            <w:r w:rsidR="00E02534">
              <w:rPr>
                <w:rFonts w:eastAsia="MS Mincho" w:cstheme="minorHAnsi"/>
              </w:rPr>
              <w:t>.</w:t>
            </w:r>
          </w:p>
          <w:p w14:paraId="5020A773" w14:textId="77777777" w:rsidR="00E02534" w:rsidRDefault="00E02534" w:rsidP="00A71365">
            <w:pPr>
              <w:pStyle w:val="Tablewriting"/>
              <w:rPr>
                <w:rFonts w:eastAsia="MS Mincho" w:cstheme="minorHAnsi"/>
              </w:rPr>
            </w:pPr>
          </w:p>
          <w:p w14:paraId="0EA5898C" w14:textId="014506C0" w:rsidR="00E02534" w:rsidRDefault="00F502DF" w:rsidP="00A71365">
            <w:pPr>
              <w:pStyle w:val="Tablewriting"/>
              <w:rPr>
                <w:rFonts w:eastAsia="MS Mincho" w:cstheme="minorHAnsi"/>
              </w:rPr>
            </w:pPr>
            <w:r w:rsidRPr="00017AE6">
              <w:rPr>
                <w:rFonts w:eastAsia="MS Mincho" w:cstheme="minorHAnsi"/>
              </w:rPr>
              <w:t>Participants could choose their own quit date between days 8 and 35</w:t>
            </w:r>
            <w:r w:rsidR="00E02534">
              <w:rPr>
                <w:rFonts w:eastAsia="MS Mincho" w:cstheme="minorHAnsi"/>
              </w:rPr>
              <w:t xml:space="preserve">. </w:t>
            </w:r>
            <w:r w:rsidRPr="00017AE6">
              <w:rPr>
                <w:rFonts w:eastAsia="MS Mincho" w:cstheme="minorHAnsi"/>
              </w:rPr>
              <w:t>Treatment period was 12 wks.</w:t>
            </w:r>
          </w:p>
          <w:p w14:paraId="64C8AA95" w14:textId="77777777" w:rsidR="00E02534" w:rsidRDefault="00E02534" w:rsidP="00A71365">
            <w:pPr>
              <w:pStyle w:val="Tablewriting"/>
              <w:rPr>
                <w:rFonts w:eastAsia="MS Mincho" w:cstheme="minorHAnsi"/>
              </w:rPr>
            </w:pPr>
          </w:p>
          <w:p w14:paraId="494E8C45" w14:textId="22967758" w:rsidR="00C25F5E" w:rsidRPr="00017AE6" w:rsidRDefault="00F502DF" w:rsidP="00A71365">
            <w:pPr>
              <w:pStyle w:val="Tablewriting"/>
              <w:rPr>
                <w:rFonts w:eastAsia="MS Mincho" w:cstheme="minorHAnsi"/>
              </w:rPr>
            </w:pPr>
            <w:r w:rsidRPr="00017AE6">
              <w:rPr>
                <w:rFonts w:eastAsia="MS Mincho" w:cstheme="minorHAnsi"/>
              </w:rPr>
              <w:t xml:space="preserve"> </w:t>
            </w:r>
            <w:r w:rsidR="00E02534" w:rsidRPr="06BFFAED">
              <w:rPr>
                <w:rFonts w:eastAsia="MS Mincho" w:cstheme="minorBidi"/>
                <w:u w:val="single"/>
              </w:rPr>
              <w:t>Common components:</w:t>
            </w:r>
            <w:r>
              <w:rPr>
                <w:rFonts w:eastAsia="MS Mincho" w:cstheme="minorBidi"/>
                <w:u w:val="single"/>
              </w:rPr>
              <w:t xml:space="preserve"> </w:t>
            </w:r>
            <w:r w:rsidRPr="00017AE6">
              <w:rPr>
                <w:rFonts w:eastAsia="MS Mincho" w:cstheme="minorHAnsi"/>
              </w:rPr>
              <w:t>All participants received Clearing the Air: Quit smoking today booklet at</w:t>
            </w:r>
            <w:r w:rsidR="006F77FB">
              <w:rPr>
                <w:rFonts w:eastAsia="MS Mincho" w:cstheme="minorHAnsi"/>
              </w:rPr>
              <w:t xml:space="preserve"> </w:t>
            </w:r>
            <w:r w:rsidRPr="00017AE6">
              <w:rPr>
                <w:rFonts w:eastAsia="MS Mincho" w:cstheme="minorHAnsi"/>
              </w:rPr>
              <w:t>baseline, + brief counselling (</w:t>
            </w:r>
            <w:r w:rsidR="006F77FB" w:rsidRPr="007563F9">
              <w:rPr>
                <w:rFonts w:eastAsia="MS Mincho" w:cstheme="minorHAnsi"/>
              </w:rPr>
              <w:t>≤</w:t>
            </w:r>
            <w:r w:rsidRPr="00017AE6">
              <w:rPr>
                <w:rFonts w:eastAsia="MS Mincho" w:cstheme="minorHAnsi"/>
              </w:rPr>
              <w:t xml:space="preserve"> 10 mins) at each clinic visit. Weekly visits throughout treatment phase,</w:t>
            </w:r>
            <w:r w:rsidR="006F77FB">
              <w:rPr>
                <w:rFonts w:eastAsia="MS Mincho" w:cstheme="minorHAnsi"/>
              </w:rPr>
              <w:t xml:space="preserve"> </w:t>
            </w:r>
            <w:r w:rsidRPr="00017AE6">
              <w:rPr>
                <w:rFonts w:eastAsia="MS Mincho" w:cstheme="minorHAnsi"/>
              </w:rPr>
              <w:t>and in follow-up phase clinic visits at w</w:t>
            </w:r>
            <w:r w:rsidR="006F77FB">
              <w:rPr>
                <w:rFonts w:eastAsia="MS Mincho" w:cstheme="minorHAnsi"/>
              </w:rPr>
              <w:t>ee</w:t>
            </w:r>
            <w:r w:rsidRPr="00017AE6">
              <w:rPr>
                <w:rFonts w:eastAsia="MS Mincho" w:cstheme="minorHAnsi"/>
              </w:rPr>
              <w:t xml:space="preserve">ks 13, 16, 20 and </w:t>
            </w:r>
            <w:r w:rsidRPr="00017AE6">
              <w:rPr>
                <w:rFonts w:eastAsia="MS Mincho" w:cstheme="minorHAnsi"/>
              </w:rPr>
              <w:lastRenderedPageBreak/>
              <w:t>24. Phone calls at w</w:t>
            </w:r>
            <w:r w:rsidR="006F77FB">
              <w:rPr>
                <w:rFonts w:eastAsia="MS Mincho" w:cstheme="minorHAnsi"/>
              </w:rPr>
              <w:t>ee</w:t>
            </w:r>
            <w:r w:rsidRPr="00017AE6">
              <w:rPr>
                <w:rFonts w:eastAsia="MS Mincho" w:cstheme="minorHAnsi"/>
              </w:rPr>
              <w:t>ks 14, 18 and 22</w:t>
            </w:r>
            <w:r w:rsidR="006F77FB">
              <w:rPr>
                <w:rFonts w:eastAsia="MS Mincho" w:cstheme="minorHAnsi"/>
              </w:rPr>
              <w:t>.</w:t>
            </w:r>
          </w:p>
        </w:tc>
        <w:tc>
          <w:tcPr>
            <w:tcW w:w="959" w:type="pct"/>
          </w:tcPr>
          <w:p w14:paraId="30AFA98F" w14:textId="77777777" w:rsidR="005A01B7" w:rsidRDefault="005A01B7" w:rsidP="00A71365">
            <w:pPr>
              <w:pStyle w:val="Tablewriting"/>
              <w:rPr>
                <w:rFonts w:eastAsia="MS Mincho" w:cstheme="minorHAnsi"/>
              </w:rPr>
            </w:pPr>
            <w:r w:rsidRPr="005A01B7">
              <w:rPr>
                <w:rFonts w:eastAsia="MS Mincho" w:cstheme="minorHAnsi"/>
                <w:u w:val="single"/>
              </w:rPr>
              <w:lastRenderedPageBreak/>
              <w:t>Efficacy:</w:t>
            </w:r>
            <w:r>
              <w:rPr>
                <w:rFonts w:eastAsia="MS Mincho" w:cstheme="minorHAnsi"/>
              </w:rPr>
              <w:t xml:space="preserve"> </w:t>
            </w:r>
          </w:p>
          <w:p w14:paraId="6594F11F" w14:textId="305B3FF0" w:rsidR="00F502DF" w:rsidRPr="00017AE6" w:rsidRDefault="00F502DF" w:rsidP="00A71365">
            <w:pPr>
              <w:pStyle w:val="Tablewriting"/>
              <w:rPr>
                <w:rFonts w:eastAsia="MS Mincho" w:cstheme="minorHAnsi"/>
              </w:rPr>
            </w:pPr>
            <w:r w:rsidRPr="00017AE6">
              <w:rPr>
                <w:rFonts w:eastAsia="MS Mincho" w:cstheme="minorHAnsi"/>
              </w:rPr>
              <w:t>Primary outcome: CO-validated CAR at 9 - 12 w</w:t>
            </w:r>
            <w:r w:rsidR="005A01B7">
              <w:rPr>
                <w:rFonts w:eastAsia="MS Mincho" w:cstheme="minorHAnsi"/>
              </w:rPr>
              <w:t>ee</w:t>
            </w:r>
            <w:r w:rsidRPr="00017AE6">
              <w:rPr>
                <w:rFonts w:eastAsia="MS Mincho" w:cstheme="minorHAnsi"/>
              </w:rPr>
              <w:t>ks</w:t>
            </w:r>
            <w:r w:rsidR="005A01B7">
              <w:rPr>
                <w:rFonts w:eastAsia="MS Mincho" w:cstheme="minorHAnsi"/>
              </w:rPr>
              <w:t>,</w:t>
            </w:r>
          </w:p>
          <w:p w14:paraId="1DF331CB" w14:textId="4A646298" w:rsidR="00F502DF" w:rsidRPr="00017AE6" w:rsidRDefault="00F502DF" w:rsidP="00A71365">
            <w:pPr>
              <w:pStyle w:val="Tablewriting"/>
              <w:rPr>
                <w:rFonts w:eastAsia="MS Mincho" w:cstheme="minorHAnsi"/>
              </w:rPr>
            </w:pPr>
            <w:r w:rsidRPr="00017AE6">
              <w:rPr>
                <w:rFonts w:eastAsia="MS Mincho" w:cstheme="minorHAnsi"/>
              </w:rPr>
              <w:t>Secondary outcomes: CO-validated CAR at 9 - 24 w</w:t>
            </w:r>
            <w:r w:rsidR="005A01B7">
              <w:rPr>
                <w:rFonts w:eastAsia="MS Mincho" w:cstheme="minorHAnsi"/>
              </w:rPr>
              <w:t>ee</w:t>
            </w:r>
            <w:r w:rsidRPr="00017AE6">
              <w:rPr>
                <w:rFonts w:eastAsia="MS Mincho" w:cstheme="minorHAnsi"/>
              </w:rPr>
              <w:t>ks; 7-day PPA at w</w:t>
            </w:r>
            <w:r w:rsidR="005A01B7">
              <w:rPr>
                <w:rFonts w:eastAsia="MS Mincho" w:cstheme="minorHAnsi"/>
              </w:rPr>
              <w:t>ee</w:t>
            </w:r>
            <w:r w:rsidRPr="00017AE6">
              <w:rPr>
                <w:rFonts w:eastAsia="MS Mincho" w:cstheme="minorHAnsi"/>
              </w:rPr>
              <w:t>ks 12 and 24</w:t>
            </w:r>
          </w:p>
          <w:p w14:paraId="035FD34C" w14:textId="77777777" w:rsidR="005A01B7" w:rsidRDefault="005A01B7" w:rsidP="00A71365">
            <w:pPr>
              <w:pStyle w:val="Tablewriting"/>
              <w:rPr>
                <w:rFonts w:eastAsia="MS Mincho" w:cstheme="minorHAnsi"/>
              </w:rPr>
            </w:pPr>
          </w:p>
          <w:p w14:paraId="5A4F0BDE" w14:textId="3A4094D1" w:rsidR="005A01B7" w:rsidRPr="00017AE6" w:rsidRDefault="005A01B7" w:rsidP="00A71365">
            <w:pPr>
              <w:pStyle w:val="Tablewriting"/>
              <w:rPr>
                <w:rFonts w:eastAsia="MS Mincho" w:cstheme="minorHAnsi"/>
              </w:rPr>
            </w:pPr>
            <w:r w:rsidRPr="00017AE6">
              <w:rPr>
                <w:rFonts w:eastAsia="MS Mincho" w:cstheme="minorHAnsi"/>
              </w:rPr>
              <w:t>Validation was by expired CO k 10 ppm</w:t>
            </w:r>
          </w:p>
          <w:p w14:paraId="63B2A463" w14:textId="77777777" w:rsidR="005A01B7" w:rsidRDefault="005A01B7" w:rsidP="00A71365">
            <w:pPr>
              <w:pStyle w:val="Tablewriting"/>
              <w:rPr>
                <w:rFonts w:eastAsia="MS Mincho" w:cstheme="minorHAnsi"/>
              </w:rPr>
            </w:pPr>
          </w:p>
          <w:p w14:paraId="199BC434" w14:textId="7C8EF7A0" w:rsidR="005A01B7" w:rsidRDefault="005A01B7" w:rsidP="00A71365">
            <w:pPr>
              <w:pStyle w:val="Tablewriting"/>
              <w:rPr>
                <w:rFonts w:eastAsia="MS Mincho" w:cstheme="minorHAnsi"/>
              </w:rPr>
            </w:pPr>
            <w:r w:rsidRPr="005A01B7">
              <w:rPr>
                <w:rFonts w:eastAsia="MS Mincho" w:cstheme="minorHAnsi"/>
                <w:u w:val="single"/>
              </w:rPr>
              <w:t>Safety</w:t>
            </w:r>
            <w:r w:rsidR="00F502DF" w:rsidRPr="00017AE6">
              <w:rPr>
                <w:rFonts w:eastAsia="MS Mincho" w:cstheme="minorHAnsi"/>
              </w:rPr>
              <w:t>: Adverse events, SAEs</w:t>
            </w:r>
            <w:r>
              <w:rPr>
                <w:rFonts w:eastAsia="MS Mincho" w:cstheme="minorHAnsi"/>
              </w:rPr>
              <w:t>.</w:t>
            </w:r>
          </w:p>
          <w:p w14:paraId="1519F675" w14:textId="77777777" w:rsidR="005A01B7" w:rsidRDefault="005A01B7" w:rsidP="00A71365">
            <w:pPr>
              <w:pStyle w:val="Tablewriting"/>
              <w:rPr>
                <w:rFonts w:eastAsia="MS Mincho" w:cstheme="minorHAnsi"/>
              </w:rPr>
            </w:pPr>
          </w:p>
          <w:p w14:paraId="15C9F212" w14:textId="34F5CBAE" w:rsidR="00F502DF" w:rsidRPr="00017AE6" w:rsidRDefault="00F502DF" w:rsidP="00A71365">
            <w:pPr>
              <w:pStyle w:val="Tablewriting"/>
              <w:rPr>
                <w:rFonts w:eastAsia="MS Mincho" w:cstheme="minorHAnsi"/>
              </w:rPr>
            </w:pPr>
            <w:r w:rsidRPr="005A01B7">
              <w:rPr>
                <w:rFonts w:eastAsia="MS Mincho" w:cstheme="minorHAnsi"/>
                <w:u w:val="single"/>
              </w:rPr>
              <w:t>Other</w:t>
            </w:r>
            <w:r w:rsidRPr="00017AE6">
              <w:rPr>
                <w:rFonts w:eastAsia="MS Mincho" w:cstheme="minorHAnsi"/>
              </w:rPr>
              <w:t xml:space="preserve">: </w:t>
            </w:r>
            <w:r w:rsidR="005A01B7">
              <w:rPr>
                <w:rFonts w:eastAsia="MS Mincho" w:cstheme="minorHAnsi"/>
              </w:rPr>
              <w:t>T</w:t>
            </w:r>
            <w:r w:rsidRPr="00017AE6">
              <w:rPr>
                <w:rFonts w:eastAsia="MS Mincho" w:cstheme="minorHAnsi"/>
              </w:rPr>
              <w:t>iming and number of quit attempts</w:t>
            </w:r>
            <w:r w:rsidR="005A01B7">
              <w:rPr>
                <w:rFonts w:eastAsia="MS Mincho" w:cstheme="minorHAnsi"/>
              </w:rPr>
              <w:t>.</w:t>
            </w:r>
          </w:p>
          <w:p w14:paraId="3E173919" w14:textId="77777777" w:rsidR="005A01B7" w:rsidRDefault="005A01B7" w:rsidP="00A71365">
            <w:pPr>
              <w:pStyle w:val="Tablewriting"/>
              <w:rPr>
                <w:rFonts w:eastAsia="MS Mincho" w:cstheme="minorHAnsi"/>
              </w:rPr>
            </w:pPr>
          </w:p>
          <w:p w14:paraId="6567FDD8" w14:textId="3AB28039" w:rsidR="00C25F5E" w:rsidRPr="00017AE6" w:rsidRDefault="00C25F5E" w:rsidP="00A71365">
            <w:pPr>
              <w:pStyle w:val="Tablewriting"/>
              <w:rPr>
                <w:rFonts w:eastAsia="MS Mincho" w:cstheme="minorHAnsi"/>
              </w:rPr>
            </w:pPr>
          </w:p>
        </w:tc>
      </w:tr>
      <w:tr w:rsidR="003D3459" w:rsidRPr="00017AE6" w14:paraId="3B9403C3" w14:textId="77777777" w:rsidTr="005821B1">
        <w:trPr>
          <w:trHeight w:val="99"/>
        </w:trPr>
        <w:tc>
          <w:tcPr>
            <w:tcW w:w="761" w:type="pct"/>
          </w:tcPr>
          <w:p w14:paraId="0797C361" w14:textId="4DE4F989" w:rsidR="00C25F5E" w:rsidRPr="00017AE6" w:rsidRDefault="00C25F5E" w:rsidP="00A71365">
            <w:pPr>
              <w:pStyle w:val="Tablewriting"/>
              <w:rPr>
                <w:rFonts w:eastAsia="MS Mincho" w:cstheme="minorHAnsi"/>
              </w:rPr>
            </w:pPr>
            <w:r w:rsidRPr="00017AE6">
              <w:rPr>
                <w:rFonts w:eastAsia="MS Mincho" w:cstheme="minorHAnsi"/>
              </w:rPr>
              <w:t xml:space="preserve">Rigotti </w:t>
            </w:r>
            <w:r w:rsidR="00DF0515">
              <w:rPr>
                <w:rFonts w:eastAsia="MS Mincho" w:cstheme="minorHAnsi"/>
              </w:rPr>
              <w:t>(</w:t>
            </w:r>
            <w:r w:rsidRPr="00017AE6">
              <w:rPr>
                <w:rFonts w:eastAsia="MS Mincho" w:cstheme="minorHAnsi"/>
              </w:rPr>
              <w:t>2010</w:t>
            </w:r>
            <w:r w:rsidR="00DF0515">
              <w:rPr>
                <w:rFonts w:eastAsia="MS Mincho" w:cstheme="minorHAnsi"/>
              </w:rPr>
              <w:t>)</w:t>
            </w:r>
          </w:p>
        </w:tc>
        <w:tc>
          <w:tcPr>
            <w:tcW w:w="235" w:type="pct"/>
          </w:tcPr>
          <w:p w14:paraId="642F16EF" w14:textId="007AEDB1"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7D8FBF96" w14:textId="3FFD93A0" w:rsidR="00C25F5E" w:rsidRPr="00017AE6" w:rsidRDefault="00316B15" w:rsidP="00A71365">
            <w:pPr>
              <w:pStyle w:val="Tablewriting"/>
              <w:rPr>
                <w:rFonts w:eastAsia="MS Mincho" w:cstheme="minorHAnsi"/>
              </w:rPr>
            </w:pPr>
            <w:r w:rsidRPr="002F3FE8">
              <w:rPr>
                <w:rFonts w:eastAsia="MS Mincho" w:cstheme="minorHAnsi"/>
              </w:rPr>
              <w:t>15 countries in Europe, Asia, Americas</w:t>
            </w:r>
          </w:p>
        </w:tc>
        <w:tc>
          <w:tcPr>
            <w:tcW w:w="679" w:type="pct"/>
          </w:tcPr>
          <w:p w14:paraId="7165C127" w14:textId="168A8874" w:rsidR="00651B03" w:rsidRDefault="00C25F5E" w:rsidP="00A71365">
            <w:pPr>
              <w:pStyle w:val="Tablewriting"/>
              <w:rPr>
                <w:rFonts w:eastAsia="MS Mincho" w:cstheme="minorHAnsi"/>
              </w:rPr>
            </w:pPr>
            <w:r w:rsidRPr="00017AE6">
              <w:rPr>
                <w:rFonts w:eastAsia="MS Mincho" w:cstheme="minorHAnsi"/>
              </w:rPr>
              <w:t>N=</w:t>
            </w:r>
            <w:r w:rsidR="00316B15" w:rsidRPr="00017AE6">
              <w:rPr>
                <w:rFonts w:eastAsia="MS Mincho" w:cstheme="minorHAnsi"/>
              </w:rPr>
              <w:t>714</w:t>
            </w:r>
            <w:r w:rsidR="00C47AB2">
              <w:rPr>
                <w:rFonts w:eastAsia="MS Mincho" w:cstheme="minorHAnsi"/>
              </w:rPr>
              <w:t xml:space="preserve">; </w:t>
            </w:r>
            <w:r w:rsidR="00B8758C">
              <w:rPr>
                <w:rFonts w:eastAsia="MS Mincho" w:cstheme="minorHAnsi"/>
              </w:rPr>
              <w:t>n=355 (</w:t>
            </w:r>
            <w:r w:rsidR="00C47AB2" w:rsidRPr="00017AE6">
              <w:rPr>
                <w:rFonts w:eastAsia="MS Mincho" w:cstheme="minorHAnsi"/>
              </w:rPr>
              <w:t>varenicline)</w:t>
            </w:r>
            <w:r w:rsidR="00B8758C">
              <w:rPr>
                <w:rFonts w:eastAsia="MS Mincho" w:cstheme="minorHAnsi"/>
              </w:rPr>
              <w:t>, n=</w:t>
            </w:r>
            <w:r w:rsidR="00651B03">
              <w:rPr>
                <w:rFonts w:eastAsia="MS Mincho" w:cstheme="minorHAnsi"/>
              </w:rPr>
              <w:t>359 (</w:t>
            </w:r>
            <w:r w:rsidR="00C47AB2" w:rsidRPr="00017AE6">
              <w:rPr>
                <w:rFonts w:eastAsia="MS Mincho" w:cstheme="minorHAnsi"/>
              </w:rPr>
              <w:t>placebo)</w:t>
            </w:r>
          </w:p>
          <w:p w14:paraId="607CBC43" w14:textId="77777777" w:rsidR="00651B03" w:rsidRDefault="00651B03" w:rsidP="00A71365">
            <w:pPr>
              <w:pStyle w:val="Tablewriting"/>
              <w:rPr>
                <w:rFonts w:eastAsia="MS Mincho" w:cstheme="minorHAnsi"/>
              </w:rPr>
            </w:pPr>
          </w:p>
          <w:p w14:paraId="75031064" w14:textId="5BA17C6B" w:rsidR="00C47AB2" w:rsidRPr="00017AE6" w:rsidRDefault="00651B03" w:rsidP="00A71365">
            <w:pPr>
              <w:pStyle w:val="Tablewriting"/>
              <w:rPr>
                <w:rFonts w:eastAsia="MS Mincho" w:cstheme="minorHAnsi"/>
              </w:rPr>
            </w:pPr>
            <w:r w:rsidRPr="00017AE6">
              <w:rPr>
                <w:rFonts w:eastAsia="MS Mincho" w:cstheme="minorHAnsi"/>
              </w:rPr>
              <w:t>S</w:t>
            </w:r>
            <w:r w:rsidR="00C47AB2" w:rsidRPr="00017AE6">
              <w:rPr>
                <w:rFonts w:eastAsia="MS Mincho" w:cstheme="minorHAnsi"/>
              </w:rPr>
              <w:t>tratified</w:t>
            </w:r>
            <w:r>
              <w:rPr>
                <w:rFonts w:eastAsia="MS Mincho" w:cstheme="minorHAnsi"/>
              </w:rPr>
              <w:t xml:space="preserve"> </w:t>
            </w:r>
            <w:r w:rsidR="00C47AB2" w:rsidRPr="00017AE6">
              <w:rPr>
                <w:rFonts w:eastAsia="MS Mincho" w:cstheme="minorHAnsi"/>
              </w:rPr>
              <w:t>by site</w:t>
            </w:r>
            <w:r>
              <w:rPr>
                <w:rFonts w:eastAsia="MS Mincho" w:cstheme="minorHAnsi"/>
              </w:rPr>
              <w:t>.</w:t>
            </w:r>
          </w:p>
          <w:p w14:paraId="0EB5EBDC" w14:textId="1198C9C3" w:rsidR="00C25F5E" w:rsidRPr="00017AE6" w:rsidRDefault="00C25F5E" w:rsidP="00A71365">
            <w:pPr>
              <w:pStyle w:val="Tablewriting"/>
              <w:rPr>
                <w:rFonts w:eastAsia="MS Mincho" w:cstheme="minorHAnsi"/>
              </w:rPr>
            </w:pPr>
          </w:p>
        </w:tc>
        <w:tc>
          <w:tcPr>
            <w:tcW w:w="851" w:type="pct"/>
          </w:tcPr>
          <w:p w14:paraId="2FD7A8E4" w14:textId="0E5C8DAF" w:rsidR="00C47AB2" w:rsidRDefault="004664D2" w:rsidP="00A71365">
            <w:pPr>
              <w:pStyle w:val="Tablewriting"/>
              <w:rPr>
                <w:rFonts w:eastAsia="MS Mincho" w:cstheme="minorHAnsi"/>
              </w:rPr>
            </w:pPr>
            <w:r w:rsidRPr="00017AE6">
              <w:rPr>
                <w:rFonts w:eastAsia="MS Mincho" w:cstheme="minorHAnsi"/>
              </w:rPr>
              <w:t>Adult smokers</w:t>
            </w:r>
            <w:r w:rsidR="00316B15" w:rsidRPr="00017AE6">
              <w:rPr>
                <w:rFonts w:eastAsia="MS Mincho" w:cstheme="minorHAnsi"/>
              </w:rPr>
              <w:t xml:space="preserve"> aged 35 </w:t>
            </w:r>
            <w:r w:rsidR="00C47AB2">
              <w:rPr>
                <w:rFonts w:eastAsia="MS Mincho" w:cstheme="minorHAnsi"/>
              </w:rPr>
              <w:t>–</w:t>
            </w:r>
            <w:r w:rsidR="00316B15" w:rsidRPr="00017AE6">
              <w:rPr>
                <w:rFonts w:eastAsia="MS Mincho" w:cstheme="minorHAnsi"/>
              </w:rPr>
              <w:t xml:space="preserve"> 75</w:t>
            </w:r>
            <w:r w:rsidR="00C47AB2">
              <w:rPr>
                <w:rFonts w:eastAsia="MS Mincho" w:cstheme="minorHAnsi"/>
              </w:rPr>
              <w:t xml:space="preserve"> years</w:t>
            </w:r>
            <w:r w:rsidR="00316B15" w:rsidRPr="00017AE6">
              <w:rPr>
                <w:rFonts w:eastAsia="MS Mincho" w:cstheme="minorHAnsi"/>
              </w:rPr>
              <w:t xml:space="preserve">, smoking at least 10 CPD, with stable CVD and motivated to quit. </w:t>
            </w:r>
          </w:p>
          <w:p w14:paraId="12CF4915" w14:textId="77777777" w:rsidR="00316B15" w:rsidRPr="00017AE6" w:rsidRDefault="00316B15" w:rsidP="00A71365">
            <w:pPr>
              <w:pStyle w:val="Tablewriting"/>
              <w:rPr>
                <w:rFonts w:eastAsia="MS Mincho" w:cstheme="minorHAnsi"/>
              </w:rPr>
            </w:pPr>
            <w:r w:rsidRPr="00017AE6">
              <w:rPr>
                <w:rFonts w:eastAsia="MS Mincho" w:cstheme="minorHAnsi"/>
              </w:rPr>
              <w:t>79%</w:t>
            </w:r>
            <w:r w:rsidR="00C47AB2">
              <w:rPr>
                <w:rFonts w:eastAsia="MS Mincho" w:cstheme="minorHAnsi"/>
              </w:rPr>
              <w:t xml:space="preserve"> </w:t>
            </w:r>
            <w:r w:rsidRPr="00017AE6">
              <w:rPr>
                <w:rFonts w:eastAsia="MS Mincho" w:cstheme="minorHAnsi"/>
              </w:rPr>
              <w:t xml:space="preserve">men, 80% white, mean CPD 22, mean FTND 5.6. </w:t>
            </w:r>
          </w:p>
          <w:p w14:paraId="54A8660F" w14:textId="77777777" w:rsidR="00316B15" w:rsidRPr="00017AE6" w:rsidRDefault="00316B15" w:rsidP="00A71365">
            <w:pPr>
              <w:pStyle w:val="Tablewriting"/>
              <w:rPr>
                <w:rFonts w:eastAsia="MS Mincho" w:cstheme="minorHAnsi"/>
              </w:rPr>
            </w:pPr>
          </w:p>
          <w:p w14:paraId="273A7FDB" w14:textId="73490DEE" w:rsidR="00316B15" w:rsidRPr="00017AE6" w:rsidRDefault="00316B15" w:rsidP="00A71365">
            <w:pPr>
              <w:pStyle w:val="Tablewriting"/>
              <w:rPr>
                <w:rFonts w:eastAsia="MS Mincho" w:cstheme="minorHAnsi"/>
              </w:rPr>
            </w:pPr>
            <w:r w:rsidRPr="00C47AB2">
              <w:rPr>
                <w:rFonts w:eastAsia="MS Mincho" w:cstheme="minorHAnsi"/>
                <w:u w:val="single"/>
              </w:rPr>
              <w:t>Exclusion criteria:</w:t>
            </w:r>
            <w:r w:rsidRPr="00017AE6">
              <w:rPr>
                <w:rFonts w:eastAsia="MS Mincho" w:cstheme="minorHAnsi"/>
              </w:rPr>
              <w:t xml:space="preserve"> Standard pharmacotherapy trial criteria, + use of NRT or bupropion within previous</w:t>
            </w:r>
          </w:p>
          <w:p w14:paraId="74260EE4" w14:textId="23AB6148" w:rsidR="00316B15" w:rsidRPr="00017AE6" w:rsidRDefault="00316B15" w:rsidP="00A71365">
            <w:pPr>
              <w:pStyle w:val="Tablewriting"/>
              <w:rPr>
                <w:rFonts w:eastAsia="MS Mincho" w:cstheme="minorHAnsi"/>
              </w:rPr>
            </w:pPr>
            <w:r w:rsidRPr="00017AE6">
              <w:rPr>
                <w:rFonts w:eastAsia="MS Mincho" w:cstheme="minorHAnsi"/>
              </w:rPr>
              <w:t>month. All had been diagnosed for at least 2m with CVD, but not hypertension alone</w:t>
            </w:r>
            <w:r w:rsidR="00C47AB2">
              <w:rPr>
                <w:rFonts w:eastAsia="MS Mincho" w:cstheme="minorHAnsi"/>
              </w:rPr>
              <w:t>.</w:t>
            </w:r>
          </w:p>
        </w:tc>
        <w:tc>
          <w:tcPr>
            <w:tcW w:w="1054" w:type="pct"/>
          </w:tcPr>
          <w:p w14:paraId="11FB7CD9" w14:textId="77777777" w:rsidR="00C47AB2" w:rsidRDefault="00FB0E3F" w:rsidP="00C324F3">
            <w:pPr>
              <w:pStyle w:val="Tablewriting"/>
              <w:numPr>
                <w:ilvl w:val="0"/>
                <w:numId w:val="84"/>
              </w:numPr>
              <w:rPr>
                <w:rFonts w:eastAsia="MS Mincho" w:cstheme="minorHAnsi"/>
              </w:rPr>
            </w:pPr>
            <w:r w:rsidRPr="00017AE6">
              <w:rPr>
                <w:rFonts w:eastAsia="MS Mincho" w:cstheme="minorHAnsi"/>
              </w:rPr>
              <w:t>Varenicline 1.0 mg 2/day for 12 w</w:t>
            </w:r>
            <w:r w:rsidR="00C47AB2">
              <w:rPr>
                <w:rFonts w:eastAsia="MS Mincho" w:cstheme="minorHAnsi"/>
              </w:rPr>
              <w:t>ee</w:t>
            </w:r>
            <w:r w:rsidRPr="00017AE6">
              <w:rPr>
                <w:rFonts w:eastAsia="MS Mincho" w:cstheme="minorHAnsi"/>
              </w:rPr>
              <w:t>ks, including w</w:t>
            </w:r>
            <w:r w:rsidR="00C47AB2">
              <w:rPr>
                <w:rFonts w:eastAsia="MS Mincho" w:cstheme="minorHAnsi"/>
              </w:rPr>
              <w:t>ee</w:t>
            </w:r>
            <w:r w:rsidRPr="00017AE6">
              <w:rPr>
                <w:rFonts w:eastAsia="MS Mincho" w:cstheme="minorHAnsi"/>
              </w:rPr>
              <w:t>k 1 at titrated dose</w:t>
            </w:r>
            <w:r w:rsidR="00C47AB2">
              <w:rPr>
                <w:rFonts w:eastAsia="MS Mincho" w:cstheme="minorHAnsi"/>
              </w:rPr>
              <w:t>.</w:t>
            </w:r>
          </w:p>
          <w:p w14:paraId="3D7D1A4B" w14:textId="77F144C1" w:rsidR="00FB0E3F" w:rsidRPr="00017AE6" w:rsidRDefault="00FB0E3F" w:rsidP="00C324F3">
            <w:pPr>
              <w:pStyle w:val="Tablewriting"/>
              <w:numPr>
                <w:ilvl w:val="0"/>
                <w:numId w:val="84"/>
              </w:numPr>
              <w:rPr>
                <w:rFonts w:eastAsia="MS Mincho" w:cstheme="minorHAnsi"/>
              </w:rPr>
            </w:pPr>
            <w:r w:rsidRPr="00017AE6">
              <w:rPr>
                <w:rFonts w:eastAsia="MS Mincho" w:cstheme="minorHAnsi"/>
              </w:rPr>
              <w:t>Placebo tablets as above</w:t>
            </w:r>
            <w:r w:rsidR="00C47AB2">
              <w:rPr>
                <w:rFonts w:eastAsia="MS Mincho" w:cstheme="minorHAnsi"/>
              </w:rPr>
              <w:t>.</w:t>
            </w:r>
          </w:p>
          <w:p w14:paraId="3948FD3F" w14:textId="77777777" w:rsidR="00C47AB2" w:rsidRPr="00C47AB2" w:rsidRDefault="00C47AB2" w:rsidP="00A71365">
            <w:pPr>
              <w:pStyle w:val="Tablewriting"/>
              <w:ind w:left="360"/>
              <w:rPr>
                <w:rFonts w:eastAsia="MS Mincho" w:cstheme="minorHAnsi"/>
              </w:rPr>
            </w:pPr>
          </w:p>
          <w:p w14:paraId="036681F9" w14:textId="4E4C86E3" w:rsidR="00FB0E3F" w:rsidRPr="00017AE6" w:rsidRDefault="00C47AB2"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FB0E3F" w:rsidRPr="00017AE6">
              <w:rPr>
                <w:rFonts w:eastAsia="MS Mincho" w:cstheme="minorHAnsi"/>
              </w:rPr>
              <w:t>Both groups received brief (</w:t>
            </w:r>
            <w:r w:rsidR="00E61D8F" w:rsidRPr="007563F9">
              <w:rPr>
                <w:rFonts w:eastAsia="MS Mincho" w:cstheme="minorHAnsi"/>
              </w:rPr>
              <w:t>≤</w:t>
            </w:r>
            <w:r w:rsidR="00FB0E3F" w:rsidRPr="00017AE6">
              <w:rPr>
                <w:rFonts w:eastAsia="MS Mincho" w:cstheme="minorHAnsi"/>
              </w:rPr>
              <w:t xml:space="preserve"> 10mins) counselling at weekly clinic visits throughout treatment phase,</w:t>
            </w:r>
          </w:p>
          <w:p w14:paraId="66C0621F" w14:textId="77777777" w:rsidR="00DC6263" w:rsidRDefault="00FB0E3F" w:rsidP="00A71365">
            <w:pPr>
              <w:pStyle w:val="Tablewriting"/>
              <w:rPr>
                <w:rFonts w:eastAsia="MS Mincho" w:cstheme="minorHAnsi"/>
              </w:rPr>
            </w:pPr>
            <w:r w:rsidRPr="00017AE6">
              <w:rPr>
                <w:rFonts w:eastAsia="MS Mincho" w:cstheme="minorHAnsi"/>
              </w:rPr>
              <w:t xml:space="preserve">and phone call 3 days post-TQD. </w:t>
            </w:r>
          </w:p>
          <w:p w14:paraId="7DD42188" w14:textId="23287DDC" w:rsidR="00FB0E3F" w:rsidRPr="00017AE6" w:rsidRDefault="00FB0E3F" w:rsidP="00A71365">
            <w:pPr>
              <w:pStyle w:val="Tablewriting"/>
              <w:rPr>
                <w:rFonts w:eastAsia="MS Mincho" w:cstheme="minorHAnsi"/>
              </w:rPr>
            </w:pPr>
            <w:r w:rsidRPr="00017AE6">
              <w:rPr>
                <w:rFonts w:eastAsia="MS Mincho" w:cstheme="minorHAnsi"/>
              </w:rPr>
              <w:t>At each visit smoking status reporte</w:t>
            </w:r>
            <w:r w:rsidR="009E2A27">
              <w:rPr>
                <w:rFonts w:eastAsia="MS Mincho" w:cstheme="minorHAnsi"/>
              </w:rPr>
              <w:t xml:space="preserve">d and CO verified; vital signs, </w:t>
            </w:r>
            <w:r w:rsidR="004664D2" w:rsidRPr="00017AE6">
              <w:rPr>
                <w:rFonts w:eastAsia="MS Mincho" w:cstheme="minorHAnsi"/>
              </w:rPr>
              <w:t>weight,</w:t>
            </w:r>
            <w:r w:rsidRPr="00017AE6">
              <w:rPr>
                <w:rFonts w:eastAsia="MS Mincho" w:cstheme="minorHAnsi"/>
              </w:rPr>
              <w:t xml:space="preserve"> and adverse events. Urine, blood tests and ECGs at screening, baseline, w</w:t>
            </w:r>
            <w:r w:rsidR="00DC6263">
              <w:rPr>
                <w:rFonts w:eastAsia="MS Mincho" w:cstheme="minorHAnsi"/>
              </w:rPr>
              <w:t>ee</w:t>
            </w:r>
            <w:r w:rsidRPr="00017AE6">
              <w:rPr>
                <w:rFonts w:eastAsia="MS Mincho" w:cstheme="minorHAnsi"/>
              </w:rPr>
              <w:t>ks 12 and 52</w:t>
            </w:r>
          </w:p>
          <w:p w14:paraId="6B30C5AD" w14:textId="77777777" w:rsidR="00DC6263" w:rsidRDefault="00DC6263" w:rsidP="00A71365">
            <w:pPr>
              <w:pStyle w:val="Tablewriting"/>
              <w:rPr>
                <w:rFonts w:eastAsia="MS Mincho" w:cstheme="minorHAnsi"/>
              </w:rPr>
            </w:pPr>
          </w:p>
          <w:p w14:paraId="731634F7" w14:textId="216884A1" w:rsidR="00C25F5E" w:rsidRPr="00017AE6" w:rsidRDefault="00FB0E3F" w:rsidP="00A71365">
            <w:pPr>
              <w:pStyle w:val="Tablewriting"/>
              <w:rPr>
                <w:rFonts w:eastAsia="MS Mincho" w:cstheme="minorHAnsi"/>
              </w:rPr>
            </w:pPr>
            <w:r w:rsidRPr="00017AE6">
              <w:rPr>
                <w:rFonts w:eastAsia="MS Mincho" w:cstheme="minorHAnsi"/>
              </w:rPr>
              <w:t>Follow-up phase: smoking status + CO measured at w</w:t>
            </w:r>
            <w:r w:rsidR="00DC6263">
              <w:rPr>
                <w:rFonts w:eastAsia="MS Mincho" w:cstheme="minorHAnsi"/>
              </w:rPr>
              <w:t>ee</w:t>
            </w:r>
            <w:r w:rsidRPr="00017AE6">
              <w:rPr>
                <w:rFonts w:eastAsia="MS Mincho" w:cstheme="minorHAnsi"/>
              </w:rPr>
              <w:t xml:space="preserve">ks 13, 16, 24, 32, 40 and 52; counselling and </w:t>
            </w:r>
            <w:r w:rsidR="00DC6263" w:rsidRPr="00017AE6">
              <w:rPr>
                <w:rFonts w:eastAsia="MS Mincho" w:cstheme="minorHAnsi"/>
              </w:rPr>
              <w:t>self-reported</w:t>
            </w:r>
            <w:r w:rsidR="00DC6263">
              <w:rPr>
                <w:rFonts w:eastAsia="MS Mincho" w:cstheme="minorHAnsi"/>
              </w:rPr>
              <w:t xml:space="preserve"> </w:t>
            </w:r>
            <w:r w:rsidRPr="00017AE6">
              <w:rPr>
                <w:rFonts w:eastAsia="MS Mincho" w:cstheme="minorHAnsi"/>
              </w:rPr>
              <w:t>status by phone at w</w:t>
            </w:r>
            <w:r w:rsidR="00DC6263">
              <w:rPr>
                <w:rFonts w:eastAsia="MS Mincho" w:cstheme="minorHAnsi"/>
              </w:rPr>
              <w:t>ee</w:t>
            </w:r>
            <w:r w:rsidRPr="00017AE6">
              <w:rPr>
                <w:rFonts w:eastAsia="MS Mincho" w:cstheme="minorHAnsi"/>
              </w:rPr>
              <w:t>ks 14, 20, 28, 36 and 44</w:t>
            </w:r>
            <w:r w:rsidR="00DC6263">
              <w:rPr>
                <w:rFonts w:eastAsia="MS Mincho" w:cstheme="minorHAnsi"/>
              </w:rPr>
              <w:t>.</w:t>
            </w:r>
          </w:p>
        </w:tc>
        <w:tc>
          <w:tcPr>
            <w:tcW w:w="959" w:type="pct"/>
          </w:tcPr>
          <w:p w14:paraId="09277748" w14:textId="77777777" w:rsidR="00B56EC1" w:rsidRPr="00B56EC1" w:rsidRDefault="00B56EC1" w:rsidP="00A71365">
            <w:pPr>
              <w:pStyle w:val="Tablewriting"/>
              <w:rPr>
                <w:rFonts w:eastAsia="MS Mincho" w:cstheme="minorHAnsi"/>
                <w:u w:val="single"/>
              </w:rPr>
            </w:pPr>
            <w:r w:rsidRPr="00B56EC1">
              <w:rPr>
                <w:rFonts w:eastAsia="MS Mincho" w:cstheme="minorHAnsi"/>
                <w:u w:val="single"/>
              </w:rPr>
              <w:t>Efficacy:</w:t>
            </w:r>
          </w:p>
          <w:p w14:paraId="67E4B76B" w14:textId="4823EF90" w:rsidR="00FB0E3F" w:rsidRPr="00017AE6" w:rsidRDefault="00FB0E3F" w:rsidP="00A71365">
            <w:pPr>
              <w:pStyle w:val="Tablewriting"/>
              <w:rPr>
                <w:rFonts w:eastAsia="MS Mincho" w:cstheme="minorHAnsi"/>
              </w:rPr>
            </w:pPr>
            <w:r w:rsidRPr="00017AE6">
              <w:rPr>
                <w:rFonts w:eastAsia="MS Mincho" w:cstheme="minorHAnsi"/>
              </w:rPr>
              <w:t>Primary outcome: CO-validated CAR at w</w:t>
            </w:r>
            <w:r w:rsidR="00B56EC1">
              <w:rPr>
                <w:rFonts w:eastAsia="MS Mincho" w:cstheme="minorHAnsi"/>
              </w:rPr>
              <w:t>ee</w:t>
            </w:r>
            <w:r w:rsidRPr="00017AE6">
              <w:rPr>
                <w:rFonts w:eastAsia="MS Mincho" w:cstheme="minorHAnsi"/>
              </w:rPr>
              <w:t xml:space="preserve">ks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12</w:t>
            </w:r>
            <w:r w:rsidR="00B56EC1">
              <w:rPr>
                <w:rFonts w:eastAsia="MS Mincho" w:cstheme="minorHAnsi"/>
              </w:rPr>
              <w:t>),</w:t>
            </w:r>
          </w:p>
          <w:p w14:paraId="4C5D8220" w14:textId="7C8241CA" w:rsidR="00FB0E3F" w:rsidRPr="00017AE6" w:rsidRDefault="00FB0E3F" w:rsidP="00A71365">
            <w:pPr>
              <w:pStyle w:val="Tablewriting"/>
              <w:rPr>
                <w:rFonts w:eastAsia="MS Mincho" w:cstheme="minorHAnsi"/>
              </w:rPr>
            </w:pPr>
            <w:r w:rsidRPr="00017AE6">
              <w:rPr>
                <w:rFonts w:eastAsia="MS Mincho" w:cstheme="minorHAnsi"/>
              </w:rPr>
              <w:t>Secondary outcomes: CO-validated CAR at w</w:t>
            </w:r>
            <w:r w:rsidR="00B56EC1">
              <w:rPr>
                <w:rFonts w:eastAsia="MS Mincho" w:cstheme="minorHAnsi"/>
              </w:rPr>
              <w:t>ee</w:t>
            </w:r>
            <w:r w:rsidRPr="00017AE6">
              <w:rPr>
                <w:rFonts w:eastAsia="MS Mincho" w:cstheme="minorHAnsi"/>
              </w:rPr>
              <w:t xml:space="preserve">ks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52</w:t>
            </w:r>
            <w:r w:rsidR="00B56EC1">
              <w:rPr>
                <w:rFonts w:eastAsia="MS Mincho" w:cstheme="minorHAnsi"/>
              </w:rPr>
              <w:t>)</w:t>
            </w:r>
            <w:r w:rsidRPr="00017AE6">
              <w:rPr>
                <w:rFonts w:eastAsia="MS Mincho" w:cstheme="minorHAnsi"/>
              </w:rPr>
              <w:t xml:space="preserve"> and </w:t>
            </w:r>
            <w:r w:rsidR="00B56EC1">
              <w:rPr>
                <w:rFonts w:eastAsia="MS Mincho" w:cstheme="minorHAnsi"/>
              </w:rPr>
              <w:t>(</w:t>
            </w:r>
            <w:r w:rsidRPr="00017AE6">
              <w:rPr>
                <w:rFonts w:eastAsia="MS Mincho" w:cstheme="minorHAnsi"/>
              </w:rPr>
              <w:t xml:space="preserve">9 </w:t>
            </w:r>
            <w:r w:rsidR="00B56EC1">
              <w:rPr>
                <w:rFonts w:eastAsia="MS Mincho" w:cstheme="minorHAnsi"/>
              </w:rPr>
              <w:t>–</w:t>
            </w:r>
            <w:r w:rsidRPr="00017AE6">
              <w:rPr>
                <w:rFonts w:eastAsia="MS Mincho" w:cstheme="minorHAnsi"/>
              </w:rPr>
              <w:t xml:space="preserve"> 24</w:t>
            </w:r>
            <w:r w:rsidR="00B56EC1">
              <w:rPr>
                <w:rFonts w:eastAsia="MS Mincho" w:cstheme="minorHAnsi"/>
              </w:rPr>
              <w:t>)</w:t>
            </w:r>
            <w:r w:rsidRPr="00017AE6">
              <w:rPr>
                <w:rFonts w:eastAsia="MS Mincho" w:cstheme="minorHAnsi"/>
              </w:rPr>
              <w:t>; 7-day PPA at w</w:t>
            </w:r>
            <w:r w:rsidR="00B56EC1">
              <w:rPr>
                <w:rFonts w:eastAsia="MS Mincho" w:cstheme="minorHAnsi"/>
              </w:rPr>
              <w:t>ee</w:t>
            </w:r>
            <w:r w:rsidRPr="00017AE6">
              <w:rPr>
                <w:rFonts w:eastAsia="MS Mincho" w:cstheme="minorHAnsi"/>
              </w:rPr>
              <w:t>ks 12, 24 and 52</w:t>
            </w:r>
            <w:r w:rsidR="00B56EC1">
              <w:rPr>
                <w:rFonts w:eastAsia="MS Mincho" w:cstheme="minorHAnsi"/>
              </w:rPr>
              <w:t>.</w:t>
            </w:r>
          </w:p>
          <w:p w14:paraId="54BB5FB2" w14:textId="77777777" w:rsidR="00B56EC1" w:rsidRDefault="00B56EC1" w:rsidP="00A71365">
            <w:pPr>
              <w:pStyle w:val="Tablewriting"/>
              <w:rPr>
                <w:rFonts w:eastAsia="MS Mincho" w:cstheme="minorHAnsi"/>
              </w:rPr>
            </w:pPr>
          </w:p>
          <w:p w14:paraId="136F8DBD" w14:textId="3A930F9A" w:rsidR="00B56EC1" w:rsidRDefault="00B56EC1"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Pr>
                <w:rFonts w:eastAsia="MS Mincho" w:cstheme="minorHAnsi"/>
              </w:rPr>
              <w:t xml:space="preserve"> </w:t>
            </w:r>
            <w:r w:rsidRPr="00017AE6">
              <w:rPr>
                <w:rFonts w:eastAsia="MS Mincho" w:cstheme="minorHAnsi"/>
              </w:rPr>
              <w:t>10 ppm</w:t>
            </w:r>
            <w:r>
              <w:rPr>
                <w:rFonts w:eastAsia="MS Mincho" w:cstheme="minorHAnsi"/>
              </w:rPr>
              <w:t>.</w:t>
            </w:r>
          </w:p>
          <w:p w14:paraId="507B3053" w14:textId="77777777" w:rsidR="00B56EC1" w:rsidRDefault="00B56EC1" w:rsidP="00A71365">
            <w:pPr>
              <w:pStyle w:val="Tablewriting"/>
              <w:rPr>
                <w:rFonts w:eastAsia="MS Mincho" w:cstheme="minorHAnsi"/>
              </w:rPr>
            </w:pPr>
          </w:p>
          <w:p w14:paraId="24F5B628" w14:textId="0466C217" w:rsidR="00B56EC1" w:rsidRPr="00017AE6" w:rsidRDefault="00B56EC1" w:rsidP="00A71365">
            <w:pPr>
              <w:pStyle w:val="Tablewriting"/>
              <w:rPr>
                <w:rFonts w:eastAsia="MS Mincho" w:cstheme="minorHAnsi"/>
              </w:rPr>
            </w:pPr>
            <w:r w:rsidRPr="00FC2CBF">
              <w:rPr>
                <w:rFonts w:eastAsia="MS Mincho" w:cstheme="minorHAnsi"/>
                <w:u w:val="single"/>
              </w:rPr>
              <w:t>Safety:</w:t>
            </w:r>
            <w:r>
              <w:rPr>
                <w:rFonts w:eastAsia="MS Mincho" w:cstheme="minorHAnsi"/>
              </w:rPr>
              <w:t xml:space="preserve"> </w:t>
            </w:r>
            <w:r w:rsidRPr="00017AE6">
              <w:rPr>
                <w:rFonts w:eastAsia="MS Mincho" w:cstheme="minorHAnsi"/>
              </w:rPr>
              <w:t>Adverse events; serious adverse events; cardiovascular events; changes in blood pressure</w:t>
            </w:r>
            <w:r>
              <w:rPr>
                <w:rFonts w:eastAsia="MS Mincho" w:cstheme="minorHAnsi"/>
              </w:rPr>
              <w:t xml:space="preserve"> </w:t>
            </w:r>
            <w:r w:rsidRPr="00017AE6">
              <w:rPr>
                <w:rFonts w:eastAsia="MS Mincho" w:cstheme="minorHAnsi"/>
              </w:rPr>
              <w:t>and heart rate</w:t>
            </w:r>
            <w:r>
              <w:rPr>
                <w:rFonts w:eastAsia="MS Mincho" w:cstheme="minorHAnsi"/>
              </w:rPr>
              <w:t xml:space="preserve">. </w:t>
            </w:r>
          </w:p>
          <w:p w14:paraId="2A88D29B" w14:textId="0159F0FB" w:rsidR="00B56EC1" w:rsidRPr="00017AE6" w:rsidRDefault="00B56EC1" w:rsidP="00A71365">
            <w:pPr>
              <w:pStyle w:val="Tablewriting"/>
              <w:rPr>
                <w:rFonts w:eastAsia="MS Mincho" w:cstheme="minorHAnsi"/>
              </w:rPr>
            </w:pPr>
          </w:p>
          <w:p w14:paraId="35FAD68D" w14:textId="179F1BD8" w:rsidR="00C25F5E" w:rsidRPr="00017AE6" w:rsidRDefault="00C25F5E" w:rsidP="00A71365">
            <w:pPr>
              <w:pStyle w:val="Tablewriting"/>
              <w:rPr>
                <w:rFonts w:eastAsia="MS Mincho" w:cstheme="minorHAnsi"/>
              </w:rPr>
            </w:pPr>
          </w:p>
        </w:tc>
      </w:tr>
      <w:tr w:rsidR="003D3459" w:rsidRPr="00017AE6" w14:paraId="47554C8B" w14:textId="77777777" w:rsidTr="005821B1">
        <w:trPr>
          <w:trHeight w:val="99"/>
        </w:trPr>
        <w:tc>
          <w:tcPr>
            <w:tcW w:w="761" w:type="pct"/>
          </w:tcPr>
          <w:p w14:paraId="38613645" w14:textId="2DA75DBA" w:rsidR="00C25F5E" w:rsidRPr="00017AE6" w:rsidRDefault="00C25F5E" w:rsidP="00A71365">
            <w:pPr>
              <w:pStyle w:val="Tablewriting"/>
              <w:rPr>
                <w:rFonts w:eastAsia="MS Mincho" w:cstheme="minorHAnsi"/>
              </w:rPr>
            </w:pPr>
            <w:r w:rsidRPr="00017AE6">
              <w:rPr>
                <w:rFonts w:eastAsia="MS Mincho" w:cstheme="minorHAnsi"/>
              </w:rPr>
              <w:t xml:space="preserve">Steinberg </w:t>
            </w:r>
            <w:r w:rsidR="00DF0515">
              <w:rPr>
                <w:rFonts w:eastAsia="MS Mincho" w:cstheme="minorHAnsi"/>
              </w:rPr>
              <w:t>(</w:t>
            </w:r>
            <w:r w:rsidRPr="00017AE6">
              <w:rPr>
                <w:rFonts w:eastAsia="MS Mincho" w:cstheme="minorHAnsi"/>
              </w:rPr>
              <w:t>2011</w:t>
            </w:r>
            <w:r w:rsidR="00DF0515">
              <w:rPr>
                <w:rFonts w:eastAsia="MS Mincho" w:cstheme="minorHAnsi"/>
              </w:rPr>
              <w:t>)</w:t>
            </w:r>
          </w:p>
        </w:tc>
        <w:tc>
          <w:tcPr>
            <w:tcW w:w="235" w:type="pct"/>
          </w:tcPr>
          <w:p w14:paraId="046BB429" w14:textId="06FD57F3"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32EB3A20" w14:textId="4A778DAE" w:rsidR="00C25F5E" w:rsidRPr="00017AE6" w:rsidRDefault="00C57B9A" w:rsidP="00A71365">
            <w:pPr>
              <w:pStyle w:val="Tablewriting"/>
              <w:rPr>
                <w:rFonts w:eastAsia="MS Mincho" w:cstheme="minorHAnsi"/>
              </w:rPr>
            </w:pPr>
            <w:r w:rsidRPr="00017AE6">
              <w:rPr>
                <w:rFonts w:eastAsia="MS Mincho" w:cstheme="minorHAnsi"/>
              </w:rPr>
              <w:t>USA</w:t>
            </w:r>
          </w:p>
        </w:tc>
        <w:tc>
          <w:tcPr>
            <w:tcW w:w="679" w:type="pct"/>
          </w:tcPr>
          <w:p w14:paraId="05219E11" w14:textId="705ED61C" w:rsidR="00C25F5E" w:rsidRPr="00017AE6" w:rsidRDefault="00C25F5E" w:rsidP="00A71365">
            <w:pPr>
              <w:pStyle w:val="Tablewriting"/>
              <w:rPr>
                <w:rFonts w:eastAsia="MS Mincho" w:cstheme="minorHAnsi"/>
              </w:rPr>
            </w:pPr>
            <w:r w:rsidRPr="00017AE6">
              <w:rPr>
                <w:rFonts w:eastAsia="MS Mincho" w:cstheme="minorHAnsi"/>
              </w:rPr>
              <w:t>N=</w:t>
            </w:r>
            <w:r w:rsidR="00137BDD" w:rsidRPr="00017AE6">
              <w:rPr>
                <w:rFonts w:eastAsia="MS Mincho" w:cstheme="minorHAnsi"/>
              </w:rPr>
              <w:t>79</w:t>
            </w:r>
            <w:r w:rsidR="00FC2CBF">
              <w:rPr>
                <w:rFonts w:eastAsia="MS Mincho" w:cstheme="minorHAnsi"/>
              </w:rPr>
              <w:t xml:space="preserve">; </w:t>
            </w:r>
            <w:r w:rsidR="00895597">
              <w:rPr>
                <w:rFonts w:eastAsia="MS Mincho" w:cstheme="minorHAnsi"/>
              </w:rPr>
              <w:t>n=40 (</w:t>
            </w:r>
            <w:r w:rsidR="00FC2CBF" w:rsidRPr="00017AE6">
              <w:rPr>
                <w:rFonts w:eastAsia="MS Mincho" w:cstheme="minorHAnsi"/>
              </w:rPr>
              <w:t>varenicline)</w:t>
            </w:r>
            <w:r w:rsidR="00895597">
              <w:rPr>
                <w:rFonts w:eastAsia="MS Mincho" w:cstheme="minorHAnsi"/>
              </w:rPr>
              <w:t>, n=</w:t>
            </w:r>
            <w:r w:rsidR="00831185">
              <w:rPr>
                <w:rFonts w:eastAsia="MS Mincho" w:cstheme="minorHAnsi"/>
              </w:rPr>
              <w:t>39 (</w:t>
            </w:r>
            <w:r w:rsidR="00FC2CBF" w:rsidRPr="00017AE6">
              <w:rPr>
                <w:rFonts w:eastAsia="MS Mincho" w:cstheme="minorHAnsi"/>
              </w:rPr>
              <w:t>placebo)</w:t>
            </w:r>
            <w:r w:rsidR="00831185">
              <w:rPr>
                <w:rFonts w:eastAsia="MS Mincho" w:cstheme="minorHAnsi"/>
              </w:rPr>
              <w:t>.</w:t>
            </w:r>
          </w:p>
        </w:tc>
        <w:tc>
          <w:tcPr>
            <w:tcW w:w="851" w:type="pct"/>
          </w:tcPr>
          <w:p w14:paraId="519CB871" w14:textId="65E85703" w:rsidR="00137BDD" w:rsidRPr="00017AE6" w:rsidRDefault="00137BDD" w:rsidP="00A71365">
            <w:pPr>
              <w:pStyle w:val="Tablewriting"/>
              <w:rPr>
                <w:rFonts w:eastAsia="MS Mincho" w:cstheme="minorHAnsi"/>
              </w:rPr>
            </w:pPr>
            <w:r w:rsidRPr="00017AE6">
              <w:rPr>
                <w:rFonts w:eastAsia="MS Mincho" w:cstheme="minorHAnsi"/>
              </w:rPr>
              <w:t>Adult smokers, aged 18+, smoking 10+ CPD</w:t>
            </w:r>
            <w:r w:rsidR="003F4EBD">
              <w:rPr>
                <w:rFonts w:eastAsia="MS Mincho" w:cstheme="minorHAnsi"/>
              </w:rPr>
              <w:t>.</w:t>
            </w:r>
            <w:r w:rsidRPr="00017AE6">
              <w:rPr>
                <w:rFonts w:eastAsia="MS Mincho" w:cstheme="minorHAnsi"/>
              </w:rPr>
              <w:t xml:space="preserve"> </w:t>
            </w:r>
          </w:p>
          <w:p w14:paraId="045CA5B0" w14:textId="5447812F" w:rsidR="00137BDD" w:rsidRPr="00017AE6" w:rsidRDefault="00137BDD" w:rsidP="00A71365">
            <w:pPr>
              <w:pStyle w:val="Tablewriting"/>
              <w:rPr>
                <w:rFonts w:eastAsia="MS Mincho" w:cstheme="minorHAnsi"/>
              </w:rPr>
            </w:pPr>
            <w:r w:rsidRPr="00017AE6">
              <w:rPr>
                <w:rFonts w:eastAsia="MS Mincho" w:cstheme="minorHAnsi"/>
              </w:rPr>
              <w:t>59% men, mean age 51</w:t>
            </w:r>
            <w:r w:rsidR="003F4EBD">
              <w:rPr>
                <w:rFonts w:eastAsia="MS Mincho" w:cstheme="minorHAnsi"/>
              </w:rPr>
              <w:t xml:space="preserve"> years</w:t>
            </w:r>
            <w:r w:rsidRPr="00017AE6">
              <w:rPr>
                <w:rFonts w:eastAsia="MS Mincho" w:cstheme="minorHAnsi"/>
              </w:rPr>
              <w:t xml:space="preserve">, 72% white, 57% &gt; 20 </w:t>
            </w:r>
            <w:r w:rsidR="003F4EBD">
              <w:rPr>
                <w:rFonts w:eastAsia="MS Mincho" w:cstheme="minorHAnsi"/>
              </w:rPr>
              <w:t>CPD</w:t>
            </w:r>
            <w:r w:rsidRPr="00017AE6">
              <w:rPr>
                <w:rFonts w:eastAsia="MS Mincho" w:cstheme="minorHAnsi"/>
              </w:rPr>
              <w:t>, 40% FTND &gt; 6</w:t>
            </w:r>
            <w:r w:rsidR="003F4EBD">
              <w:rPr>
                <w:rFonts w:eastAsia="MS Mincho" w:cstheme="minorHAnsi"/>
              </w:rPr>
              <w:t>.</w:t>
            </w:r>
          </w:p>
          <w:p w14:paraId="557F9F08" w14:textId="77777777" w:rsidR="003F4EBD" w:rsidRDefault="003F4EBD" w:rsidP="00A71365">
            <w:pPr>
              <w:pStyle w:val="Tablewriting"/>
              <w:rPr>
                <w:rFonts w:eastAsia="MS Mincho" w:cstheme="minorHAnsi"/>
              </w:rPr>
            </w:pPr>
          </w:p>
          <w:p w14:paraId="714D1438" w14:textId="1C04CCFA" w:rsidR="00137BDD" w:rsidRPr="00017AE6" w:rsidRDefault="00137BDD" w:rsidP="00A71365">
            <w:pPr>
              <w:pStyle w:val="Tablewriting"/>
              <w:rPr>
                <w:rFonts w:eastAsia="MS Mincho" w:cstheme="minorHAnsi"/>
              </w:rPr>
            </w:pPr>
            <w:r w:rsidRPr="00017AE6">
              <w:rPr>
                <w:rFonts w:eastAsia="MS Mincho" w:cstheme="minorHAnsi"/>
              </w:rPr>
              <w:t>Admission diagnoses</w:t>
            </w:r>
            <w:r w:rsidR="003F4EBD">
              <w:rPr>
                <w:rFonts w:eastAsia="MS Mincho" w:cstheme="minorHAnsi"/>
              </w:rPr>
              <w:t>;</w:t>
            </w:r>
            <w:r w:rsidRPr="00017AE6">
              <w:rPr>
                <w:rFonts w:eastAsia="MS Mincho" w:cstheme="minorHAnsi"/>
              </w:rPr>
              <w:t xml:space="preserve"> 57% CVD, 14% </w:t>
            </w:r>
            <w:r w:rsidRPr="00017AE6">
              <w:rPr>
                <w:rFonts w:eastAsia="MS Mincho" w:cstheme="minorHAnsi"/>
              </w:rPr>
              <w:lastRenderedPageBreak/>
              <w:t>orthopaedic, 13% pulmonary, 16% other</w:t>
            </w:r>
          </w:p>
          <w:p w14:paraId="2D4F5EE3" w14:textId="77777777" w:rsidR="003F4EBD" w:rsidRDefault="003F4EBD" w:rsidP="00A71365">
            <w:pPr>
              <w:pStyle w:val="Tablewriting"/>
              <w:rPr>
                <w:rFonts w:eastAsia="MS Mincho" w:cstheme="minorHAnsi"/>
              </w:rPr>
            </w:pPr>
          </w:p>
          <w:p w14:paraId="75B9ADBE" w14:textId="3FAD2AEB" w:rsidR="00C25F5E" w:rsidRPr="00017AE6" w:rsidRDefault="00137BDD" w:rsidP="00A71365">
            <w:pPr>
              <w:pStyle w:val="Tablewriting"/>
              <w:rPr>
                <w:rFonts w:eastAsia="MS Mincho" w:cstheme="minorHAnsi"/>
              </w:rPr>
            </w:pPr>
            <w:r w:rsidRPr="003F4EBD">
              <w:rPr>
                <w:rFonts w:eastAsia="MS Mincho" w:cstheme="minorHAnsi"/>
                <w:u w:val="single"/>
              </w:rPr>
              <w:t xml:space="preserve">Exclusion criteria: </w:t>
            </w:r>
            <w:r w:rsidRPr="00017AE6">
              <w:rPr>
                <w:rFonts w:eastAsia="MS Mincho" w:cstheme="minorHAnsi"/>
              </w:rPr>
              <w:t>Standard pharmacotherapy criteria, + current use of any SC medications</w:t>
            </w:r>
            <w:r w:rsidR="003F4EBD">
              <w:rPr>
                <w:rFonts w:eastAsia="MS Mincho" w:cstheme="minorHAnsi"/>
              </w:rPr>
              <w:t>.</w:t>
            </w:r>
          </w:p>
        </w:tc>
        <w:tc>
          <w:tcPr>
            <w:tcW w:w="1054" w:type="pct"/>
          </w:tcPr>
          <w:p w14:paraId="77D76215" w14:textId="77777777" w:rsidR="00FC2FAE" w:rsidRDefault="003C3757" w:rsidP="00C324F3">
            <w:pPr>
              <w:pStyle w:val="Tablewriting"/>
              <w:numPr>
                <w:ilvl w:val="0"/>
                <w:numId w:val="85"/>
              </w:numPr>
              <w:rPr>
                <w:rFonts w:eastAsia="MS Mincho" w:cstheme="minorHAnsi"/>
              </w:rPr>
            </w:pPr>
            <w:r w:rsidRPr="00017AE6">
              <w:rPr>
                <w:rFonts w:eastAsia="MS Mincho" w:cstheme="minorHAnsi"/>
              </w:rPr>
              <w:lastRenderedPageBreak/>
              <w:t>Varenicline 1.0 mg x 2/day for 12 w</w:t>
            </w:r>
            <w:r w:rsidR="00FC2FAE">
              <w:rPr>
                <w:rFonts w:eastAsia="MS Mincho" w:cstheme="minorHAnsi"/>
              </w:rPr>
              <w:t>ee</w:t>
            </w:r>
            <w:r w:rsidRPr="00017AE6">
              <w:rPr>
                <w:rFonts w:eastAsia="MS Mincho" w:cstheme="minorHAnsi"/>
              </w:rPr>
              <w:t>ks, including w</w:t>
            </w:r>
            <w:r w:rsidR="00FC2FAE">
              <w:rPr>
                <w:rFonts w:eastAsia="MS Mincho" w:cstheme="minorHAnsi"/>
              </w:rPr>
              <w:t>ee</w:t>
            </w:r>
            <w:r w:rsidRPr="00017AE6">
              <w:rPr>
                <w:rFonts w:eastAsia="MS Mincho" w:cstheme="minorHAnsi"/>
              </w:rPr>
              <w:t>k 1 at titrated dose</w:t>
            </w:r>
            <w:r w:rsidR="00FC2FAE">
              <w:rPr>
                <w:rFonts w:eastAsia="MS Mincho" w:cstheme="minorHAnsi"/>
              </w:rPr>
              <w:t>.</w:t>
            </w:r>
          </w:p>
          <w:p w14:paraId="06D862B1" w14:textId="24CD6CE5" w:rsidR="003C3757" w:rsidRPr="00017AE6" w:rsidRDefault="003C3757" w:rsidP="00C324F3">
            <w:pPr>
              <w:pStyle w:val="Tablewriting"/>
              <w:numPr>
                <w:ilvl w:val="0"/>
                <w:numId w:val="85"/>
              </w:numPr>
              <w:rPr>
                <w:rFonts w:eastAsia="MS Mincho" w:cstheme="minorHAnsi"/>
              </w:rPr>
            </w:pPr>
            <w:r w:rsidRPr="00017AE6">
              <w:rPr>
                <w:rFonts w:eastAsia="MS Mincho" w:cstheme="minorHAnsi"/>
              </w:rPr>
              <w:t>Placebo tablets as above</w:t>
            </w:r>
          </w:p>
          <w:p w14:paraId="0DD60D60" w14:textId="77777777" w:rsidR="00FC2FAE" w:rsidRDefault="00FC2FAE" w:rsidP="00A71365">
            <w:pPr>
              <w:pStyle w:val="Tablewriting"/>
              <w:rPr>
                <w:rFonts w:eastAsia="MS Mincho" w:cstheme="minorHAnsi"/>
              </w:rPr>
            </w:pPr>
          </w:p>
          <w:p w14:paraId="6694FBC3" w14:textId="5FE88952" w:rsidR="00A145FE" w:rsidRDefault="00BF1D74" w:rsidP="00A71365">
            <w:pPr>
              <w:pStyle w:val="Tablewriting"/>
              <w:rPr>
                <w:rFonts w:eastAsia="MS Mincho" w:cstheme="minorHAnsi"/>
              </w:rPr>
            </w:pPr>
            <w:r w:rsidRPr="00CE5740">
              <w:rPr>
                <w:rFonts w:eastAsia="MS Mincho" w:cstheme="minorBidi"/>
                <w:u w:val="single"/>
              </w:rPr>
              <w:t>Common components:</w:t>
            </w:r>
            <w:r>
              <w:rPr>
                <w:rFonts w:eastAsia="MS Mincho" w:cstheme="minorBidi"/>
                <w:u w:val="single"/>
              </w:rPr>
              <w:t xml:space="preserve"> </w:t>
            </w:r>
            <w:r w:rsidR="003C3757" w:rsidRPr="00017AE6">
              <w:rPr>
                <w:rFonts w:eastAsia="MS Mincho" w:cstheme="minorHAnsi"/>
              </w:rPr>
              <w:t>Initial visit by Clinic Co-ordinator of local</w:t>
            </w:r>
            <w:r w:rsidR="00FC2FAE">
              <w:rPr>
                <w:rFonts w:eastAsia="MS Mincho" w:cstheme="minorHAnsi"/>
              </w:rPr>
              <w:t xml:space="preserve"> </w:t>
            </w:r>
            <w:r w:rsidR="003C3757" w:rsidRPr="00017AE6">
              <w:rPr>
                <w:rFonts w:eastAsia="MS Mincho" w:cstheme="minorHAnsi"/>
              </w:rPr>
              <w:t xml:space="preserve">Tobacco Dependence </w:t>
            </w:r>
            <w:r w:rsidR="003C3757" w:rsidRPr="00017AE6">
              <w:rPr>
                <w:rFonts w:eastAsia="MS Mincho" w:cstheme="minorHAnsi"/>
              </w:rPr>
              <w:lastRenderedPageBreak/>
              <w:t>Program for 5 - 10 min</w:t>
            </w:r>
            <w:r w:rsidR="00A145FE">
              <w:rPr>
                <w:rFonts w:eastAsia="MS Mincho" w:cstheme="minorHAnsi"/>
              </w:rPr>
              <w:t>s</w:t>
            </w:r>
            <w:r w:rsidR="003C3757" w:rsidRPr="00017AE6">
              <w:rPr>
                <w:rFonts w:eastAsia="MS Mincho" w:cstheme="minorHAnsi"/>
              </w:rPr>
              <w:t xml:space="preserve"> counselling</w:t>
            </w:r>
            <w:r w:rsidR="00A145FE">
              <w:rPr>
                <w:rFonts w:eastAsia="MS Mincho" w:cstheme="minorHAnsi"/>
              </w:rPr>
              <w:t>.</w:t>
            </w:r>
            <w:r w:rsidR="003C3757" w:rsidRPr="00017AE6">
              <w:rPr>
                <w:rFonts w:eastAsia="MS Mincho" w:cstheme="minorHAnsi"/>
              </w:rPr>
              <w:t xml:space="preserve"> </w:t>
            </w:r>
          </w:p>
          <w:p w14:paraId="06E90472" w14:textId="097B5011" w:rsidR="003C3757" w:rsidRPr="00017AE6" w:rsidRDefault="003C3757" w:rsidP="00A71365">
            <w:pPr>
              <w:pStyle w:val="Tablewriting"/>
              <w:rPr>
                <w:rFonts w:eastAsia="MS Mincho" w:cstheme="minorHAnsi"/>
              </w:rPr>
            </w:pPr>
            <w:r w:rsidRPr="00017AE6">
              <w:rPr>
                <w:rFonts w:eastAsia="MS Mincho" w:cstheme="minorHAnsi"/>
              </w:rPr>
              <w:t>Subsequent</w:t>
            </w:r>
            <w:r w:rsidR="00A145FE">
              <w:rPr>
                <w:rFonts w:eastAsia="MS Mincho" w:cstheme="minorHAnsi"/>
              </w:rPr>
              <w:t xml:space="preserve"> </w:t>
            </w:r>
            <w:r w:rsidRPr="00017AE6">
              <w:rPr>
                <w:rFonts w:eastAsia="MS Mincho" w:cstheme="minorHAnsi"/>
              </w:rPr>
              <w:t>sessions of 15 mins post-discharge</w:t>
            </w:r>
            <w:r w:rsidR="00A145FE">
              <w:rPr>
                <w:rFonts w:eastAsia="MS Mincho" w:cstheme="minorHAnsi"/>
              </w:rPr>
              <w:t>.</w:t>
            </w:r>
          </w:p>
          <w:p w14:paraId="5DD797C1" w14:textId="77777777" w:rsidR="00A145FE" w:rsidRDefault="00A145FE" w:rsidP="00A71365">
            <w:pPr>
              <w:pStyle w:val="Tablewriting"/>
              <w:rPr>
                <w:rFonts w:eastAsia="MS Mincho" w:cstheme="minorHAnsi"/>
              </w:rPr>
            </w:pPr>
          </w:p>
          <w:p w14:paraId="6F4B3B5F" w14:textId="7894BF38" w:rsidR="00C25F5E" w:rsidRPr="00017AE6" w:rsidRDefault="003C3757" w:rsidP="00A71365">
            <w:pPr>
              <w:pStyle w:val="Tablewriting"/>
              <w:rPr>
                <w:rFonts w:eastAsia="MS Mincho" w:cstheme="minorHAnsi"/>
              </w:rPr>
            </w:pPr>
            <w:r w:rsidRPr="00017AE6">
              <w:rPr>
                <w:rFonts w:eastAsia="MS Mincho" w:cstheme="minorHAnsi"/>
              </w:rPr>
              <w:t>After discharge, data collection sessions at 4, 12 and 26 w</w:t>
            </w:r>
            <w:r w:rsidR="00A145FE">
              <w:rPr>
                <w:rFonts w:eastAsia="MS Mincho" w:cstheme="minorHAnsi"/>
              </w:rPr>
              <w:t>ee</w:t>
            </w:r>
            <w:r w:rsidRPr="00017AE6">
              <w:rPr>
                <w:rFonts w:eastAsia="MS Mincho" w:cstheme="minorHAnsi"/>
              </w:rPr>
              <w:t>ks, + 1 phone call at 2 w</w:t>
            </w:r>
            <w:r w:rsidR="00A145FE">
              <w:rPr>
                <w:rFonts w:eastAsia="MS Mincho" w:cstheme="minorHAnsi"/>
              </w:rPr>
              <w:t>ee</w:t>
            </w:r>
            <w:r w:rsidRPr="00017AE6">
              <w:rPr>
                <w:rFonts w:eastAsia="MS Mincho" w:cstheme="minorHAnsi"/>
              </w:rPr>
              <w:t>ks with research nurse</w:t>
            </w:r>
            <w:r w:rsidR="006874A7">
              <w:rPr>
                <w:rFonts w:eastAsia="MS Mincho" w:cstheme="minorHAnsi"/>
              </w:rPr>
              <w:t>.</w:t>
            </w:r>
          </w:p>
        </w:tc>
        <w:tc>
          <w:tcPr>
            <w:tcW w:w="959" w:type="pct"/>
          </w:tcPr>
          <w:p w14:paraId="606DFA98" w14:textId="77777777" w:rsidR="005D04F3" w:rsidRPr="005D04F3" w:rsidRDefault="005D04F3" w:rsidP="00A71365">
            <w:pPr>
              <w:pStyle w:val="Tablewriting"/>
              <w:rPr>
                <w:rFonts w:eastAsia="MS Mincho" w:cstheme="minorHAnsi"/>
                <w:u w:val="single"/>
              </w:rPr>
            </w:pPr>
            <w:r w:rsidRPr="005D04F3">
              <w:rPr>
                <w:rFonts w:eastAsia="MS Mincho" w:cstheme="minorHAnsi"/>
                <w:u w:val="single"/>
              </w:rPr>
              <w:lastRenderedPageBreak/>
              <w:t>Efficacy:</w:t>
            </w:r>
          </w:p>
          <w:p w14:paraId="12757F5D" w14:textId="67260906" w:rsidR="00234C29" w:rsidRPr="00017AE6" w:rsidRDefault="00234C29" w:rsidP="00A71365">
            <w:pPr>
              <w:pStyle w:val="Tablewriting"/>
              <w:rPr>
                <w:rFonts w:eastAsia="MS Mincho" w:cstheme="minorHAnsi"/>
              </w:rPr>
            </w:pPr>
            <w:r w:rsidRPr="00017AE6">
              <w:rPr>
                <w:rFonts w:eastAsia="MS Mincho" w:cstheme="minorHAnsi"/>
              </w:rPr>
              <w:t>Primary outcome: 7-day PPA at 26 w</w:t>
            </w:r>
            <w:r w:rsidR="005D04F3">
              <w:rPr>
                <w:rFonts w:eastAsia="MS Mincho" w:cstheme="minorHAnsi"/>
              </w:rPr>
              <w:t>ee</w:t>
            </w:r>
            <w:r w:rsidRPr="00017AE6">
              <w:rPr>
                <w:rFonts w:eastAsia="MS Mincho" w:cstheme="minorHAnsi"/>
              </w:rPr>
              <w:t>ks</w:t>
            </w:r>
            <w:r w:rsidR="00C72CD1">
              <w:rPr>
                <w:rFonts w:eastAsia="MS Mincho" w:cstheme="minorHAnsi"/>
              </w:rPr>
              <w:t>,</w:t>
            </w:r>
          </w:p>
          <w:p w14:paraId="3A894404" w14:textId="77777777" w:rsidR="00C72CD1" w:rsidRDefault="00234C29" w:rsidP="00A71365">
            <w:pPr>
              <w:pStyle w:val="Tablewriting"/>
              <w:rPr>
                <w:rFonts w:eastAsia="MS Mincho" w:cstheme="minorHAnsi"/>
              </w:rPr>
            </w:pPr>
            <w:r w:rsidRPr="00017AE6">
              <w:rPr>
                <w:rFonts w:eastAsia="MS Mincho" w:cstheme="minorHAnsi"/>
              </w:rPr>
              <w:t xml:space="preserve">Secondary outcomes: 7-day PPA at 4, 12 wks. Repeated PPA at 4, 12 and 24 wks. </w:t>
            </w:r>
          </w:p>
          <w:p w14:paraId="2F572E55" w14:textId="77777777" w:rsidR="00FD677A" w:rsidRDefault="00FD677A" w:rsidP="00A71365">
            <w:pPr>
              <w:pStyle w:val="Tablewriting"/>
              <w:rPr>
                <w:rFonts w:eastAsia="MS Mincho" w:cstheme="minorHAnsi"/>
              </w:rPr>
            </w:pPr>
          </w:p>
          <w:p w14:paraId="68D98D7A" w14:textId="3CC3671A" w:rsidR="00FD677A" w:rsidRDefault="00FD677A" w:rsidP="00A71365">
            <w:pPr>
              <w:pStyle w:val="Tablewriting"/>
              <w:rPr>
                <w:rFonts w:eastAsia="MS Mincho" w:cstheme="minorHAnsi"/>
              </w:rPr>
            </w:pPr>
            <w:r w:rsidRPr="00017AE6">
              <w:rPr>
                <w:rFonts w:eastAsia="MS Mincho" w:cstheme="minorHAnsi"/>
              </w:rPr>
              <w:lastRenderedPageBreak/>
              <w:t xml:space="preserve">Validation: CO validation </w:t>
            </w:r>
            <w:r w:rsidRPr="007563F9">
              <w:rPr>
                <w:rFonts w:eastAsia="MS Mincho" w:cstheme="minorHAnsi"/>
              </w:rPr>
              <w:t>≤</w:t>
            </w:r>
            <w:r w:rsidRPr="00017AE6">
              <w:rPr>
                <w:rFonts w:eastAsia="MS Mincho" w:cstheme="minorHAnsi"/>
              </w:rPr>
              <w:t xml:space="preserve"> 8 ppm. Self-report accepted if unable to attend</w:t>
            </w:r>
            <w:r>
              <w:rPr>
                <w:rFonts w:eastAsia="MS Mincho" w:cstheme="minorHAnsi"/>
              </w:rPr>
              <w:t>.</w:t>
            </w:r>
          </w:p>
          <w:p w14:paraId="777754DF" w14:textId="77777777" w:rsidR="00C72CD1" w:rsidRDefault="00C72CD1" w:rsidP="00A71365">
            <w:pPr>
              <w:pStyle w:val="Tablewriting"/>
              <w:rPr>
                <w:rFonts w:eastAsia="MS Mincho" w:cstheme="minorHAnsi"/>
              </w:rPr>
            </w:pPr>
          </w:p>
          <w:p w14:paraId="41BB66F8" w14:textId="7AB1B51E" w:rsidR="00846072" w:rsidRDefault="00C72CD1" w:rsidP="00A71365">
            <w:pPr>
              <w:pStyle w:val="Tablewriting"/>
              <w:rPr>
                <w:rFonts w:eastAsia="MS Mincho" w:cstheme="minorHAnsi"/>
              </w:rPr>
            </w:pPr>
            <w:r w:rsidRPr="00C72CD1">
              <w:rPr>
                <w:rFonts w:eastAsia="MS Mincho" w:cstheme="minorHAnsi"/>
                <w:u w:val="single"/>
              </w:rPr>
              <w:t>Safety:</w:t>
            </w:r>
            <w:r>
              <w:rPr>
                <w:rFonts w:eastAsia="MS Mincho" w:cstheme="minorHAnsi"/>
              </w:rPr>
              <w:t xml:space="preserve"> </w:t>
            </w:r>
            <w:r w:rsidR="00234C29" w:rsidRPr="00017AE6">
              <w:rPr>
                <w:rFonts w:eastAsia="MS Mincho" w:cstheme="minorHAnsi"/>
              </w:rPr>
              <w:t>AEs and SAEs</w:t>
            </w:r>
            <w:r w:rsidR="00704B32">
              <w:rPr>
                <w:rFonts w:eastAsia="MS Mincho" w:cstheme="minorHAnsi"/>
              </w:rPr>
              <w:t>.</w:t>
            </w:r>
            <w:r w:rsidR="00846072">
              <w:rPr>
                <w:rFonts w:eastAsia="MS Mincho" w:cstheme="minorHAnsi"/>
              </w:rPr>
              <w:t xml:space="preserve"> </w:t>
            </w:r>
          </w:p>
          <w:p w14:paraId="7B77F5E3" w14:textId="77777777" w:rsidR="00846072" w:rsidRDefault="00846072" w:rsidP="00A71365">
            <w:pPr>
              <w:pStyle w:val="Tablewriting"/>
              <w:rPr>
                <w:rFonts w:eastAsia="MS Mincho" w:cstheme="minorHAnsi"/>
              </w:rPr>
            </w:pPr>
          </w:p>
          <w:p w14:paraId="64E2F68E" w14:textId="0CF2C789" w:rsidR="00234C29" w:rsidRPr="00017AE6" w:rsidRDefault="00846072" w:rsidP="00A71365">
            <w:pPr>
              <w:pStyle w:val="Tablewriting"/>
              <w:rPr>
                <w:rFonts w:eastAsia="MS Mincho" w:cstheme="minorHAnsi"/>
              </w:rPr>
            </w:pPr>
            <w:r w:rsidRPr="00846072">
              <w:rPr>
                <w:rFonts w:eastAsia="MS Mincho" w:cstheme="minorHAnsi"/>
                <w:u w:val="single"/>
              </w:rPr>
              <w:t>Other:</w:t>
            </w:r>
            <w:r>
              <w:rPr>
                <w:rFonts w:eastAsia="MS Mincho" w:cstheme="minorHAnsi"/>
              </w:rPr>
              <w:t xml:space="preserve"> W</w:t>
            </w:r>
            <w:r w:rsidR="00234C29" w:rsidRPr="00017AE6">
              <w:rPr>
                <w:rFonts w:eastAsia="MS Mincho" w:cstheme="minorHAnsi"/>
              </w:rPr>
              <w:t>ithdrawal</w:t>
            </w:r>
            <w:r>
              <w:rPr>
                <w:rFonts w:eastAsia="MS Mincho" w:cstheme="minorHAnsi"/>
              </w:rPr>
              <w:t xml:space="preserve"> </w:t>
            </w:r>
            <w:r w:rsidR="00234C29" w:rsidRPr="00017AE6">
              <w:rPr>
                <w:rFonts w:eastAsia="MS Mincho" w:cstheme="minorHAnsi"/>
              </w:rPr>
              <w:t>and craving on MNWS</w:t>
            </w:r>
            <w:r>
              <w:rPr>
                <w:rFonts w:eastAsia="MS Mincho" w:cstheme="minorHAnsi"/>
              </w:rPr>
              <w:t>,</w:t>
            </w:r>
            <w:r w:rsidR="00234C29" w:rsidRPr="00017AE6">
              <w:rPr>
                <w:rFonts w:eastAsia="MS Mincho" w:cstheme="minorHAnsi"/>
              </w:rPr>
              <w:t xml:space="preserve"> motivation</w:t>
            </w:r>
            <w:r>
              <w:rPr>
                <w:rFonts w:eastAsia="MS Mincho" w:cstheme="minorHAnsi"/>
              </w:rPr>
              <w:t>,</w:t>
            </w:r>
            <w:r w:rsidR="00234C29" w:rsidRPr="00017AE6">
              <w:rPr>
                <w:rFonts w:eastAsia="MS Mincho" w:cstheme="minorHAnsi"/>
              </w:rPr>
              <w:t xml:space="preserve"> CPD</w:t>
            </w:r>
            <w:r>
              <w:rPr>
                <w:rFonts w:eastAsia="MS Mincho" w:cstheme="minorHAnsi"/>
              </w:rPr>
              <w:t>,</w:t>
            </w:r>
            <w:r w:rsidR="00234C29" w:rsidRPr="00017AE6">
              <w:rPr>
                <w:rFonts w:eastAsia="MS Mincho" w:cstheme="minorHAnsi"/>
              </w:rPr>
              <w:t xml:space="preserve"> utilisation of OP services</w:t>
            </w:r>
            <w:r w:rsidR="006C7B47">
              <w:rPr>
                <w:rFonts w:eastAsia="MS Mincho" w:cstheme="minorHAnsi"/>
              </w:rPr>
              <w:t>,</w:t>
            </w:r>
            <w:r w:rsidR="00234C29" w:rsidRPr="00017AE6">
              <w:rPr>
                <w:rFonts w:eastAsia="MS Mincho" w:cstheme="minorHAnsi"/>
              </w:rPr>
              <w:t xml:space="preserve"> composite medical outcome</w:t>
            </w:r>
            <w:r w:rsidR="006C7B47">
              <w:rPr>
                <w:rFonts w:eastAsia="MS Mincho" w:cstheme="minorHAnsi"/>
              </w:rPr>
              <w:t>.</w:t>
            </w:r>
          </w:p>
          <w:p w14:paraId="5A195997" w14:textId="77777777" w:rsidR="00A10F22" w:rsidRPr="00017AE6" w:rsidRDefault="00A10F22" w:rsidP="00A71365">
            <w:pPr>
              <w:pStyle w:val="Tablewriting"/>
              <w:rPr>
                <w:rFonts w:eastAsia="MS Mincho" w:cstheme="minorHAnsi"/>
              </w:rPr>
            </w:pPr>
          </w:p>
          <w:p w14:paraId="34319456" w14:textId="27A9CD75" w:rsidR="00C25F5E" w:rsidRPr="00017AE6" w:rsidRDefault="00C25F5E" w:rsidP="00A71365">
            <w:pPr>
              <w:pStyle w:val="Tablewriting"/>
              <w:rPr>
                <w:rFonts w:eastAsia="MS Mincho" w:cstheme="minorHAnsi"/>
              </w:rPr>
            </w:pPr>
          </w:p>
        </w:tc>
      </w:tr>
      <w:tr w:rsidR="003D3459" w:rsidRPr="00017AE6" w14:paraId="1C1A23B2" w14:textId="77777777" w:rsidTr="005821B1">
        <w:trPr>
          <w:trHeight w:val="99"/>
        </w:trPr>
        <w:tc>
          <w:tcPr>
            <w:tcW w:w="761" w:type="pct"/>
          </w:tcPr>
          <w:p w14:paraId="2E6638F4" w14:textId="77FDBF7B" w:rsidR="00C25F5E" w:rsidRPr="00017AE6" w:rsidRDefault="00C25F5E" w:rsidP="00A71365">
            <w:pPr>
              <w:pStyle w:val="Tablewriting"/>
              <w:rPr>
                <w:rFonts w:eastAsia="MS Mincho" w:cstheme="minorHAnsi"/>
              </w:rPr>
            </w:pPr>
            <w:r w:rsidRPr="00017AE6">
              <w:rPr>
                <w:rFonts w:eastAsia="MS Mincho" w:cstheme="minorHAnsi"/>
              </w:rPr>
              <w:lastRenderedPageBreak/>
              <w:t xml:space="preserve">Tashkin </w:t>
            </w:r>
            <w:r w:rsidR="00DF0515">
              <w:rPr>
                <w:rFonts w:eastAsia="MS Mincho" w:cstheme="minorHAnsi"/>
              </w:rPr>
              <w:t>(</w:t>
            </w:r>
            <w:r w:rsidRPr="00017AE6">
              <w:rPr>
                <w:rFonts w:eastAsia="MS Mincho" w:cstheme="minorHAnsi"/>
              </w:rPr>
              <w:t>2011</w:t>
            </w:r>
            <w:r w:rsidR="00DF0515">
              <w:rPr>
                <w:rFonts w:eastAsia="MS Mincho" w:cstheme="minorHAnsi"/>
              </w:rPr>
              <w:t>)</w:t>
            </w:r>
          </w:p>
        </w:tc>
        <w:tc>
          <w:tcPr>
            <w:tcW w:w="235" w:type="pct"/>
          </w:tcPr>
          <w:p w14:paraId="22A3B4EB" w14:textId="4023C50B"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0926DEF5" w14:textId="77777777" w:rsidR="00751343" w:rsidRPr="00017AE6" w:rsidRDefault="00751343" w:rsidP="00A71365">
            <w:pPr>
              <w:pStyle w:val="Tablewriting"/>
              <w:rPr>
                <w:rFonts w:eastAsia="MS Mincho" w:cstheme="minorHAnsi"/>
              </w:rPr>
            </w:pPr>
            <w:r w:rsidRPr="00017AE6">
              <w:rPr>
                <w:rFonts w:eastAsia="MS Mincho" w:cstheme="minorHAnsi"/>
              </w:rPr>
              <w:t>USA (17 centres), Spain (3 centres), France (4 centres), Italy (3 centres)</w:t>
            </w:r>
          </w:p>
          <w:p w14:paraId="7D6071C3" w14:textId="33441786" w:rsidR="00C25F5E" w:rsidRPr="00017AE6" w:rsidRDefault="00751343" w:rsidP="00A71365">
            <w:pPr>
              <w:pStyle w:val="Tablewriting"/>
              <w:rPr>
                <w:rFonts w:eastAsia="MS Mincho" w:cstheme="minorHAnsi"/>
              </w:rPr>
            </w:pPr>
            <w:r w:rsidRPr="00017AE6">
              <w:rPr>
                <w:rFonts w:eastAsia="MS Mincho" w:cstheme="minorHAnsi"/>
              </w:rPr>
              <w:t>Setting: 27 research centres.</w:t>
            </w:r>
          </w:p>
        </w:tc>
        <w:tc>
          <w:tcPr>
            <w:tcW w:w="679" w:type="pct"/>
          </w:tcPr>
          <w:p w14:paraId="77F9303C" w14:textId="7FF3C837" w:rsidR="00C25F5E" w:rsidRPr="00017AE6" w:rsidRDefault="00C25F5E" w:rsidP="00A71365">
            <w:pPr>
              <w:pStyle w:val="Tablewriting"/>
              <w:rPr>
                <w:rFonts w:eastAsia="MS Mincho" w:cstheme="minorHAnsi"/>
              </w:rPr>
            </w:pPr>
            <w:r w:rsidRPr="00017AE6">
              <w:rPr>
                <w:rFonts w:eastAsia="MS Mincho" w:cstheme="minorHAnsi"/>
              </w:rPr>
              <w:t>N=</w:t>
            </w:r>
            <w:r w:rsidR="00E024C1" w:rsidRPr="00017AE6">
              <w:rPr>
                <w:rFonts w:eastAsia="MS Mincho" w:cstheme="minorHAnsi"/>
              </w:rPr>
              <w:t>504</w:t>
            </w:r>
            <w:r w:rsidR="00CE43C9">
              <w:rPr>
                <w:rFonts w:eastAsia="MS Mincho" w:cstheme="minorHAnsi"/>
              </w:rPr>
              <w:t xml:space="preserve">; </w:t>
            </w:r>
            <w:r w:rsidR="003D02E3">
              <w:rPr>
                <w:rFonts w:eastAsia="MS Mincho" w:cstheme="minorHAnsi"/>
              </w:rPr>
              <w:t>n=250 (</w:t>
            </w:r>
            <w:r w:rsidR="00CE43C9" w:rsidRPr="00017AE6">
              <w:rPr>
                <w:rFonts w:eastAsia="MS Mincho" w:cstheme="minorHAnsi"/>
              </w:rPr>
              <w:t xml:space="preserve">varenicline), </w:t>
            </w:r>
            <w:r w:rsidR="003D02E3">
              <w:rPr>
                <w:rFonts w:eastAsia="MS Mincho" w:cstheme="minorHAnsi"/>
              </w:rPr>
              <w:t>n=254</w:t>
            </w:r>
            <w:r w:rsidR="001906F7">
              <w:rPr>
                <w:rFonts w:eastAsia="MS Mincho" w:cstheme="minorHAnsi"/>
              </w:rPr>
              <w:t xml:space="preserve"> </w:t>
            </w:r>
            <w:r w:rsidR="003D02E3">
              <w:rPr>
                <w:rFonts w:eastAsia="MS Mincho" w:cstheme="minorHAnsi"/>
              </w:rPr>
              <w:t>(</w:t>
            </w:r>
            <w:r w:rsidR="00CE43C9" w:rsidRPr="00017AE6">
              <w:rPr>
                <w:rFonts w:eastAsia="MS Mincho" w:cstheme="minorHAnsi"/>
              </w:rPr>
              <w:t>placebo).</w:t>
            </w:r>
          </w:p>
        </w:tc>
        <w:tc>
          <w:tcPr>
            <w:tcW w:w="851" w:type="pct"/>
          </w:tcPr>
          <w:p w14:paraId="1FC10E36" w14:textId="77777777" w:rsidR="00CE43C9" w:rsidRDefault="00FB56FE" w:rsidP="00A71365">
            <w:pPr>
              <w:pStyle w:val="Tablewriting"/>
              <w:rPr>
                <w:rFonts w:eastAsia="MS Mincho" w:cstheme="minorHAnsi"/>
              </w:rPr>
            </w:pPr>
            <w:r w:rsidRPr="00017AE6">
              <w:rPr>
                <w:rFonts w:eastAsia="MS Mincho" w:cstheme="minorHAnsi"/>
              </w:rPr>
              <w:t>Adult smokers with mild-to-moderate COPD, aged 35+, smoking 10+ CPD, motivated to quit</w:t>
            </w:r>
            <w:r w:rsidR="00CE43C9">
              <w:rPr>
                <w:rFonts w:eastAsia="MS Mincho" w:cstheme="minorHAnsi"/>
              </w:rPr>
              <w:t>.</w:t>
            </w:r>
          </w:p>
          <w:p w14:paraId="4655E957" w14:textId="77777777" w:rsidR="00CE43C9" w:rsidRDefault="00CE43C9" w:rsidP="00A71365">
            <w:pPr>
              <w:pStyle w:val="Tablewriting"/>
              <w:rPr>
                <w:rFonts w:eastAsia="MS Mincho" w:cstheme="minorHAnsi"/>
              </w:rPr>
            </w:pPr>
          </w:p>
          <w:p w14:paraId="78D1249E" w14:textId="5374242C" w:rsidR="00FB56FE" w:rsidRPr="00017AE6" w:rsidRDefault="00FB56FE" w:rsidP="00A71365">
            <w:pPr>
              <w:pStyle w:val="Tablewriting"/>
              <w:rPr>
                <w:rFonts w:eastAsia="MS Mincho" w:cstheme="minorHAnsi"/>
              </w:rPr>
            </w:pPr>
            <w:r w:rsidRPr="00017AE6">
              <w:rPr>
                <w:rFonts w:eastAsia="MS Mincho" w:cstheme="minorHAnsi"/>
              </w:rPr>
              <w:t>62% men, mean age 57</w:t>
            </w:r>
            <w:r w:rsidR="00CE43C9">
              <w:rPr>
                <w:rFonts w:eastAsia="MS Mincho" w:cstheme="minorHAnsi"/>
              </w:rPr>
              <w:t xml:space="preserve"> years</w:t>
            </w:r>
            <w:r w:rsidRPr="00017AE6">
              <w:rPr>
                <w:rFonts w:eastAsia="MS Mincho" w:cstheme="minorHAnsi"/>
              </w:rPr>
              <w:t>, CPD 24 - 25, FTND score 5.9 - 6.2</w:t>
            </w:r>
            <w:r w:rsidR="00740830">
              <w:rPr>
                <w:rFonts w:eastAsia="MS Mincho" w:cstheme="minorHAnsi"/>
              </w:rPr>
              <w:t>.</w:t>
            </w:r>
          </w:p>
          <w:p w14:paraId="7505FE7A" w14:textId="77777777" w:rsidR="00740830" w:rsidRDefault="00740830" w:rsidP="00A71365">
            <w:pPr>
              <w:pStyle w:val="Tablewriting"/>
              <w:rPr>
                <w:rFonts w:eastAsia="MS Mincho" w:cstheme="minorHAnsi"/>
              </w:rPr>
            </w:pPr>
          </w:p>
          <w:p w14:paraId="0A76A714" w14:textId="02008024" w:rsidR="00FB56FE" w:rsidRPr="00017AE6" w:rsidRDefault="00FB56FE" w:rsidP="00A71365">
            <w:pPr>
              <w:pStyle w:val="Tablewriting"/>
              <w:rPr>
                <w:rFonts w:eastAsia="MS Mincho" w:cstheme="minorHAnsi"/>
              </w:rPr>
            </w:pPr>
            <w:r w:rsidRPr="00017AE6">
              <w:rPr>
                <w:rFonts w:eastAsia="MS Mincho" w:cstheme="minorHAnsi"/>
              </w:rPr>
              <w:t>Treatment groups were comparable at baseline</w:t>
            </w:r>
            <w:r w:rsidR="00740830">
              <w:rPr>
                <w:rFonts w:eastAsia="MS Mincho" w:cstheme="minorHAnsi"/>
              </w:rPr>
              <w:t>.</w:t>
            </w:r>
          </w:p>
          <w:p w14:paraId="6A351F1D" w14:textId="77777777" w:rsidR="00FB56FE" w:rsidRPr="00017AE6" w:rsidRDefault="00FB56FE" w:rsidP="00A71365">
            <w:pPr>
              <w:pStyle w:val="Tablewriting"/>
              <w:rPr>
                <w:rFonts w:eastAsia="MS Mincho" w:cstheme="minorHAnsi"/>
              </w:rPr>
            </w:pPr>
          </w:p>
          <w:p w14:paraId="2DBC6B4E" w14:textId="05050E2F" w:rsidR="00C25F5E" w:rsidRPr="00017AE6" w:rsidRDefault="00FB56FE" w:rsidP="00A71365">
            <w:pPr>
              <w:pStyle w:val="Tablewriting"/>
              <w:rPr>
                <w:rFonts w:eastAsia="MS Mincho" w:cstheme="minorHAnsi"/>
              </w:rPr>
            </w:pPr>
            <w:r w:rsidRPr="00740830">
              <w:rPr>
                <w:rFonts w:eastAsia="MS Mincho" w:cstheme="minorHAnsi"/>
                <w:u w:val="single"/>
              </w:rPr>
              <w:t>Exclusion criteria:</w:t>
            </w:r>
            <w:r w:rsidRPr="00017AE6">
              <w:rPr>
                <w:rFonts w:eastAsia="MS Mincho" w:cstheme="minorHAnsi"/>
              </w:rPr>
              <w:t xml:space="preserve"> Standard pharmacotherapy trial criteria, + treatment with systemic corticosteroids or hospitalised for COPD in previous 4 w</w:t>
            </w:r>
            <w:r w:rsidR="00740830">
              <w:rPr>
                <w:rFonts w:eastAsia="MS Mincho" w:cstheme="minorHAnsi"/>
              </w:rPr>
              <w:t>ee</w:t>
            </w:r>
            <w:r w:rsidRPr="00017AE6">
              <w:rPr>
                <w:rFonts w:eastAsia="MS Mincho" w:cstheme="minorHAnsi"/>
              </w:rPr>
              <w:t>ks</w:t>
            </w:r>
            <w:r w:rsidR="00740830">
              <w:rPr>
                <w:rFonts w:eastAsia="MS Mincho" w:cstheme="minorHAnsi"/>
              </w:rPr>
              <w:t>.</w:t>
            </w:r>
          </w:p>
        </w:tc>
        <w:tc>
          <w:tcPr>
            <w:tcW w:w="1054" w:type="pct"/>
          </w:tcPr>
          <w:p w14:paraId="7AD2E2A6" w14:textId="2FFF4A5B" w:rsidR="008C742A" w:rsidRDefault="00127BA3" w:rsidP="00C324F3">
            <w:pPr>
              <w:pStyle w:val="Tablewriting"/>
              <w:numPr>
                <w:ilvl w:val="0"/>
                <w:numId w:val="86"/>
              </w:numPr>
              <w:rPr>
                <w:rFonts w:eastAsia="MS Mincho" w:cstheme="minorHAnsi"/>
              </w:rPr>
            </w:pPr>
            <w:r w:rsidRPr="00017AE6">
              <w:rPr>
                <w:rFonts w:eastAsia="MS Mincho" w:cstheme="minorHAnsi"/>
              </w:rPr>
              <w:t>Varenicline 1.0 mg x 2/day for 12 w</w:t>
            </w:r>
            <w:r w:rsidR="008C742A">
              <w:rPr>
                <w:rFonts w:eastAsia="MS Mincho" w:cstheme="minorHAnsi"/>
              </w:rPr>
              <w:t>ee</w:t>
            </w:r>
            <w:r w:rsidRPr="00017AE6">
              <w:rPr>
                <w:rFonts w:eastAsia="MS Mincho" w:cstheme="minorHAnsi"/>
              </w:rPr>
              <w:t xml:space="preserve">ks, preceded by </w:t>
            </w:r>
            <w:r w:rsidR="008C742A" w:rsidRPr="00017AE6">
              <w:rPr>
                <w:rFonts w:eastAsia="MS Mincho" w:cstheme="minorHAnsi"/>
              </w:rPr>
              <w:t>1-week</w:t>
            </w:r>
            <w:r w:rsidRPr="00017AE6">
              <w:rPr>
                <w:rFonts w:eastAsia="MS Mincho" w:cstheme="minorHAnsi"/>
              </w:rPr>
              <w:t xml:space="preserve"> titrated dose</w:t>
            </w:r>
            <w:r w:rsidR="008C742A">
              <w:rPr>
                <w:rFonts w:eastAsia="MS Mincho" w:cstheme="minorHAnsi"/>
              </w:rPr>
              <w:t>.</w:t>
            </w:r>
          </w:p>
          <w:p w14:paraId="328EDD31" w14:textId="6FD44A97" w:rsidR="00127BA3" w:rsidRPr="00017AE6" w:rsidRDefault="00127BA3" w:rsidP="00C324F3">
            <w:pPr>
              <w:pStyle w:val="Tablewriting"/>
              <w:numPr>
                <w:ilvl w:val="0"/>
                <w:numId w:val="86"/>
              </w:numPr>
              <w:rPr>
                <w:rFonts w:eastAsia="MS Mincho" w:cstheme="minorHAnsi"/>
              </w:rPr>
            </w:pPr>
            <w:r w:rsidRPr="00017AE6">
              <w:rPr>
                <w:rFonts w:eastAsia="MS Mincho" w:cstheme="minorHAnsi"/>
              </w:rPr>
              <w:t>Placebo tablets as above</w:t>
            </w:r>
            <w:r w:rsidR="008C742A">
              <w:rPr>
                <w:rFonts w:eastAsia="MS Mincho" w:cstheme="minorHAnsi"/>
              </w:rPr>
              <w:t>.</w:t>
            </w:r>
          </w:p>
          <w:p w14:paraId="7CB2C529" w14:textId="77777777" w:rsidR="008C742A" w:rsidRDefault="008C742A" w:rsidP="00A71365">
            <w:pPr>
              <w:pStyle w:val="Tablewriting"/>
              <w:rPr>
                <w:rFonts w:eastAsia="MS Mincho" w:cstheme="minorHAnsi"/>
              </w:rPr>
            </w:pPr>
          </w:p>
          <w:p w14:paraId="28A6BF84" w14:textId="77777777" w:rsidR="008C742A" w:rsidRDefault="008C742A" w:rsidP="00A71365">
            <w:pPr>
              <w:pStyle w:val="Tablewriting"/>
              <w:rPr>
                <w:rFonts w:eastAsia="MS Mincho" w:cstheme="minorHAnsi"/>
              </w:rPr>
            </w:pPr>
          </w:p>
          <w:p w14:paraId="4ECD95BF" w14:textId="77777777" w:rsidR="00D339B2" w:rsidRDefault="00BF1D74"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127BA3" w:rsidRPr="00017AE6">
              <w:rPr>
                <w:rFonts w:eastAsia="MS Mincho" w:cstheme="minorHAnsi"/>
              </w:rPr>
              <w:t>Both groups received SC educational booklet, + brief (k 10mins) counselling at weekly clinic visits</w:t>
            </w:r>
            <w:r w:rsidR="00D339B2">
              <w:rPr>
                <w:rFonts w:eastAsia="MS Mincho" w:cstheme="minorHAnsi"/>
              </w:rPr>
              <w:t xml:space="preserve"> </w:t>
            </w:r>
            <w:r w:rsidR="00127BA3" w:rsidRPr="00017AE6">
              <w:rPr>
                <w:rFonts w:eastAsia="MS Mincho" w:cstheme="minorHAnsi"/>
              </w:rPr>
              <w:t xml:space="preserve">throughout treatment phase, and phone call 3 days post-TQD. </w:t>
            </w:r>
          </w:p>
          <w:p w14:paraId="00380A31" w14:textId="091D9443" w:rsidR="00127BA3" w:rsidRPr="00017AE6" w:rsidRDefault="00127BA3" w:rsidP="00A71365">
            <w:pPr>
              <w:pStyle w:val="Tablewriting"/>
              <w:rPr>
                <w:rFonts w:eastAsia="MS Mincho" w:cstheme="minorHAnsi"/>
              </w:rPr>
            </w:pPr>
            <w:r w:rsidRPr="00017AE6">
              <w:rPr>
                <w:rFonts w:eastAsia="MS Mincho" w:cstheme="minorHAnsi"/>
              </w:rPr>
              <w:t>At each visit smoking status reported</w:t>
            </w:r>
          </w:p>
          <w:p w14:paraId="00EBB29A" w14:textId="731FCDE3" w:rsidR="00127BA3" w:rsidRPr="00017AE6" w:rsidRDefault="00127BA3" w:rsidP="00A71365">
            <w:pPr>
              <w:pStyle w:val="Tablewriting"/>
              <w:rPr>
                <w:rFonts w:eastAsia="MS Mincho" w:cstheme="minorHAnsi"/>
              </w:rPr>
            </w:pPr>
            <w:r w:rsidRPr="00017AE6">
              <w:rPr>
                <w:rFonts w:eastAsia="MS Mincho" w:cstheme="minorHAnsi"/>
              </w:rPr>
              <w:t>and CO verified; throughout treatment and at w</w:t>
            </w:r>
            <w:r w:rsidR="00D339B2">
              <w:rPr>
                <w:rFonts w:eastAsia="MS Mincho" w:cstheme="minorHAnsi"/>
              </w:rPr>
              <w:t>ee</w:t>
            </w:r>
            <w:r w:rsidRPr="00017AE6">
              <w:rPr>
                <w:rFonts w:eastAsia="MS Mincho" w:cstheme="minorHAnsi"/>
              </w:rPr>
              <w:t>k 52 lung function, respiratory symptoms, weight, BP,</w:t>
            </w:r>
          </w:p>
          <w:p w14:paraId="6D2F6548" w14:textId="61F288C1" w:rsidR="00127BA3" w:rsidRPr="00017AE6" w:rsidRDefault="00127BA3" w:rsidP="00A71365">
            <w:pPr>
              <w:pStyle w:val="Tablewriting"/>
              <w:rPr>
                <w:rFonts w:eastAsia="MS Mincho" w:cstheme="minorHAnsi"/>
              </w:rPr>
            </w:pPr>
            <w:r w:rsidRPr="00017AE6">
              <w:rPr>
                <w:rFonts w:eastAsia="MS Mincho" w:cstheme="minorHAnsi"/>
              </w:rPr>
              <w:t xml:space="preserve">pulse, temperature, ECGs, </w:t>
            </w:r>
            <w:r w:rsidR="004664D2" w:rsidRPr="00017AE6">
              <w:rPr>
                <w:rFonts w:eastAsia="MS Mincho" w:cstheme="minorHAnsi"/>
              </w:rPr>
              <w:t>haematology,</w:t>
            </w:r>
            <w:r w:rsidRPr="00017AE6">
              <w:rPr>
                <w:rFonts w:eastAsia="MS Mincho" w:cstheme="minorHAnsi"/>
              </w:rPr>
              <w:t xml:space="preserve"> and serum </w:t>
            </w:r>
            <w:r w:rsidRPr="00017AE6">
              <w:rPr>
                <w:rFonts w:eastAsia="MS Mincho" w:cstheme="minorHAnsi"/>
              </w:rPr>
              <w:lastRenderedPageBreak/>
              <w:t>chemistry assessed, + adverse events</w:t>
            </w:r>
          </w:p>
          <w:p w14:paraId="431629A1" w14:textId="77777777" w:rsidR="00D339B2" w:rsidRDefault="00D339B2" w:rsidP="00A71365">
            <w:pPr>
              <w:pStyle w:val="Tablewriting"/>
              <w:rPr>
                <w:rFonts w:eastAsia="MS Mincho" w:cstheme="minorHAnsi"/>
              </w:rPr>
            </w:pPr>
          </w:p>
          <w:p w14:paraId="4E4D713B" w14:textId="15100287" w:rsidR="00127BA3" w:rsidRPr="00017AE6" w:rsidRDefault="00127BA3" w:rsidP="00A71365">
            <w:pPr>
              <w:pStyle w:val="Tablewriting"/>
              <w:rPr>
                <w:rFonts w:eastAsia="MS Mincho" w:cstheme="minorHAnsi"/>
              </w:rPr>
            </w:pPr>
            <w:r w:rsidRPr="00017AE6">
              <w:rPr>
                <w:rFonts w:eastAsia="MS Mincho" w:cstheme="minorHAnsi"/>
              </w:rPr>
              <w:t>Follow-up phase: smoking status + CO measured at w</w:t>
            </w:r>
            <w:r w:rsidR="00D339B2">
              <w:rPr>
                <w:rFonts w:eastAsia="MS Mincho" w:cstheme="minorHAnsi"/>
              </w:rPr>
              <w:t>ee</w:t>
            </w:r>
            <w:r w:rsidRPr="00017AE6">
              <w:rPr>
                <w:rFonts w:eastAsia="MS Mincho" w:cstheme="minorHAnsi"/>
              </w:rPr>
              <w:t>ks 13, 16, 24, 32, 40, 48 and 52; counselling and</w:t>
            </w:r>
          </w:p>
          <w:p w14:paraId="306D4C67" w14:textId="7A74CBFF" w:rsidR="00C25F5E" w:rsidRPr="00017AE6" w:rsidRDefault="00127BA3" w:rsidP="00A71365">
            <w:pPr>
              <w:pStyle w:val="Tablewriting"/>
              <w:rPr>
                <w:rFonts w:eastAsia="MS Mincho" w:cstheme="minorHAnsi"/>
              </w:rPr>
            </w:pPr>
            <w:r w:rsidRPr="00017AE6">
              <w:rPr>
                <w:rFonts w:eastAsia="MS Mincho" w:cstheme="minorHAnsi"/>
              </w:rPr>
              <w:t>self-reported status by phone at w</w:t>
            </w:r>
            <w:r w:rsidR="00D339B2">
              <w:rPr>
                <w:rFonts w:eastAsia="MS Mincho" w:cstheme="minorHAnsi"/>
              </w:rPr>
              <w:t>ee</w:t>
            </w:r>
            <w:r w:rsidRPr="00017AE6">
              <w:rPr>
                <w:rFonts w:eastAsia="MS Mincho" w:cstheme="minorHAnsi"/>
              </w:rPr>
              <w:t>ks 14, 20, 28, 36 and 44</w:t>
            </w:r>
            <w:r w:rsidR="00D339B2">
              <w:rPr>
                <w:rFonts w:eastAsia="MS Mincho" w:cstheme="minorHAnsi"/>
              </w:rPr>
              <w:t>.</w:t>
            </w:r>
          </w:p>
        </w:tc>
        <w:tc>
          <w:tcPr>
            <w:tcW w:w="959" w:type="pct"/>
          </w:tcPr>
          <w:p w14:paraId="73BCF5DB" w14:textId="77777777" w:rsidR="00555E7B" w:rsidRPr="00555E7B" w:rsidRDefault="00555E7B" w:rsidP="00A71365">
            <w:pPr>
              <w:pStyle w:val="Tablewriting"/>
              <w:rPr>
                <w:rFonts w:eastAsia="MS Mincho" w:cstheme="minorHAnsi"/>
                <w:u w:val="single"/>
              </w:rPr>
            </w:pPr>
            <w:r w:rsidRPr="00555E7B">
              <w:rPr>
                <w:rFonts w:eastAsia="MS Mincho" w:cstheme="minorHAnsi"/>
                <w:u w:val="single"/>
              </w:rPr>
              <w:lastRenderedPageBreak/>
              <w:t>Efficacy:</w:t>
            </w:r>
          </w:p>
          <w:p w14:paraId="7E9D69B2" w14:textId="139C4F09" w:rsidR="00127BA3" w:rsidRPr="00017AE6" w:rsidRDefault="00127BA3" w:rsidP="00A71365">
            <w:pPr>
              <w:pStyle w:val="Tablewriting"/>
              <w:rPr>
                <w:rFonts w:eastAsia="MS Mincho" w:cstheme="minorHAnsi"/>
              </w:rPr>
            </w:pPr>
            <w:r w:rsidRPr="00017AE6">
              <w:rPr>
                <w:rFonts w:eastAsia="MS Mincho" w:cstheme="minorHAnsi"/>
              </w:rPr>
              <w:t>Primary outcome: CO-validated CAR at w</w:t>
            </w:r>
            <w:r w:rsidR="00555E7B">
              <w:rPr>
                <w:rFonts w:eastAsia="MS Mincho" w:cstheme="minorHAnsi"/>
              </w:rPr>
              <w:t>ee</w:t>
            </w:r>
            <w:r w:rsidRPr="00017AE6">
              <w:rPr>
                <w:rFonts w:eastAsia="MS Mincho" w:cstheme="minorHAnsi"/>
              </w:rPr>
              <w:t xml:space="preserve">ks </w:t>
            </w:r>
            <w:r w:rsidR="00555E7B">
              <w:rPr>
                <w:rFonts w:eastAsia="MS Mincho" w:cstheme="minorHAnsi"/>
              </w:rPr>
              <w:t>(</w:t>
            </w:r>
            <w:r w:rsidRPr="00017AE6">
              <w:rPr>
                <w:rFonts w:eastAsia="MS Mincho" w:cstheme="minorHAnsi"/>
              </w:rPr>
              <w:t xml:space="preserve">9 </w:t>
            </w:r>
            <w:r w:rsidR="00555E7B">
              <w:rPr>
                <w:rFonts w:eastAsia="MS Mincho" w:cstheme="minorHAnsi"/>
              </w:rPr>
              <w:t>–</w:t>
            </w:r>
            <w:r w:rsidRPr="00017AE6">
              <w:rPr>
                <w:rFonts w:eastAsia="MS Mincho" w:cstheme="minorHAnsi"/>
              </w:rPr>
              <w:t xml:space="preserve"> 12</w:t>
            </w:r>
            <w:r w:rsidR="00555E7B">
              <w:rPr>
                <w:rFonts w:eastAsia="MS Mincho" w:cstheme="minorHAnsi"/>
              </w:rPr>
              <w:t>),</w:t>
            </w:r>
          </w:p>
          <w:p w14:paraId="77ECDEE7" w14:textId="7E602888" w:rsidR="00127BA3" w:rsidRPr="00017AE6" w:rsidRDefault="00127BA3" w:rsidP="00A71365">
            <w:pPr>
              <w:pStyle w:val="Tablewriting"/>
              <w:rPr>
                <w:rFonts w:eastAsia="MS Mincho" w:cstheme="minorHAnsi"/>
              </w:rPr>
            </w:pPr>
            <w:r w:rsidRPr="00017AE6">
              <w:rPr>
                <w:rFonts w:eastAsia="MS Mincho" w:cstheme="minorHAnsi"/>
              </w:rPr>
              <w:t>Secondary outcomes: CO-validated CAR at w</w:t>
            </w:r>
            <w:r w:rsidR="006D2FEB">
              <w:rPr>
                <w:rFonts w:eastAsia="MS Mincho" w:cstheme="minorHAnsi"/>
              </w:rPr>
              <w:t>ee</w:t>
            </w:r>
            <w:r w:rsidRPr="00017AE6">
              <w:rPr>
                <w:rFonts w:eastAsia="MS Mincho" w:cstheme="minorHAnsi"/>
              </w:rPr>
              <w:t xml:space="preserve">ks </w:t>
            </w:r>
            <w:r w:rsidR="006D2FEB">
              <w:rPr>
                <w:rFonts w:eastAsia="MS Mincho" w:cstheme="minorHAnsi"/>
              </w:rPr>
              <w:t>(</w:t>
            </w:r>
            <w:r w:rsidRPr="00017AE6">
              <w:rPr>
                <w:rFonts w:eastAsia="MS Mincho" w:cstheme="minorHAnsi"/>
              </w:rPr>
              <w:t xml:space="preserve">9 </w:t>
            </w:r>
            <w:r w:rsidR="006D2FEB">
              <w:rPr>
                <w:rFonts w:eastAsia="MS Mincho" w:cstheme="minorHAnsi"/>
              </w:rPr>
              <w:t>–</w:t>
            </w:r>
            <w:r w:rsidRPr="00017AE6">
              <w:rPr>
                <w:rFonts w:eastAsia="MS Mincho" w:cstheme="minorHAnsi"/>
              </w:rPr>
              <w:t xml:space="preserve"> 52</w:t>
            </w:r>
            <w:r w:rsidR="006D2FEB">
              <w:rPr>
                <w:rFonts w:eastAsia="MS Mincho" w:cstheme="minorHAnsi"/>
              </w:rPr>
              <w:t>)</w:t>
            </w:r>
            <w:r w:rsidRPr="00017AE6">
              <w:rPr>
                <w:rFonts w:eastAsia="MS Mincho" w:cstheme="minorHAnsi"/>
              </w:rPr>
              <w:t xml:space="preserve"> and </w:t>
            </w:r>
            <w:r w:rsidR="006D2FEB">
              <w:rPr>
                <w:rFonts w:eastAsia="MS Mincho" w:cstheme="minorHAnsi"/>
              </w:rPr>
              <w:t>(</w:t>
            </w:r>
            <w:r w:rsidRPr="00017AE6">
              <w:rPr>
                <w:rFonts w:eastAsia="MS Mincho" w:cstheme="minorHAnsi"/>
              </w:rPr>
              <w:t xml:space="preserve">9 </w:t>
            </w:r>
            <w:r w:rsidR="006D2FEB">
              <w:rPr>
                <w:rFonts w:eastAsia="MS Mincho" w:cstheme="minorHAnsi"/>
              </w:rPr>
              <w:t>–</w:t>
            </w:r>
            <w:r w:rsidRPr="00017AE6">
              <w:rPr>
                <w:rFonts w:eastAsia="MS Mincho" w:cstheme="minorHAnsi"/>
              </w:rPr>
              <w:t xml:space="preserve"> 24</w:t>
            </w:r>
            <w:r w:rsidR="006D2FEB">
              <w:rPr>
                <w:rFonts w:eastAsia="MS Mincho" w:cstheme="minorHAnsi"/>
              </w:rPr>
              <w:t>)</w:t>
            </w:r>
            <w:r w:rsidRPr="00017AE6">
              <w:rPr>
                <w:rFonts w:eastAsia="MS Mincho" w:cstheme="minorHAnsi"/>
              </w:rPr>
              <w:t>; 7-day PPA at w</w:t>
            </w:r>
            <w:r w:rsidR="006D2FEB">
              <w:rPr>
                <w:rFonts w:eastAsia="MS Mincho" w:cstheme="minorHAnsi"/>
              </w:rPr>
              <w:t>ee</w:t>
            </w:r>
            <w:r w:rsidRPr="00017AE6">
              <w:rPr>
                <w:rFonts w:eastAsia="MS Mincho" w:cstheme="minorHAnsi"/>
              </w:rPr>
              <w:t>ks 12, 24 and 52</w:t>
            </w:r>
            <w:r w:rsidR="006D2FEB">
              <w:rPr>
                <w:rFonts w:eastAsia="MS Mincho" w:cstheme="minorHAnsi"/>
              </w:rPr>
              <w:t>.</w:t>
            </w:r>
          </w:p>
          <w:p w14:paraId="78E000EE" w14:textId="48D40950" w:rsidR="006D2FEB" w:rsidRPr="00017AE6" w:rsidRDefault="006D2FEB" w:rsidP="00A71365">
            <w:pPr>
              <w:pStyle w:val="Tablewriting"/>
              <w:rPr>
                <w:rFonts w:eastAsia="MS Mincho" w:cstheme="minorHAnsi"/>
              </w:rPr>
            </w:pPr>
          </w:p>
          <w:p w14:paraId="2578F96B" w14:textId="77777777" w:rsidR="00FD677A" w:rsidRPr="00017AE6" w:rsidRDefault="00FD677A" w:rsidP="00A71365">
            <w:pPr>
              <w:pStyle w:val="Tablewriting"/>
              <w:rPr>
                <w:rFonts w:eastAsia="MS Mincho" w:cstheme="minorHAnsi"/>
              </w:rPr>
            </w:pPr>
            <w:r w:rsidRPr="00017AE6">
              <w:rPr>
                <w:rFonts w:eastAsia="MS Mincho" w:cstheme="minorHAnsi"/>
              </w:rPr>
              <w:t xml:space="preserve">Validation was by expired CO </w:t>
            </w:r>
            <w:r w:rsidRPr="007563F9">
              <w:rPr>
                <w:rFonts w:eastAsia="MS Mincho" w:cstheme="minorHAnsi"/>
              </w:rPr>
              <w:t>≤</w:t>
            </w:r>
            <w:r w:rsidRPr="00017AE6">
              <w:rPr>
                <w:rFonts w:eastAsia="MS Mincho" w:cstheme="minorHAnsi"/>
              </w:rPr>
              <w:t xml:space="preserve"> 10 ppm</w:t>
            </w:r>
            <w:r>
              <w:rPr>
                <w:rFonts w:eastAsia="MS Mincho" w:cstheme="minorHAnsi"/>
              </w:rPr>
              <w:t>.</w:t>
            </w:r>
          </w:p>
          <w:p w14:paraId="7481752B" w14:textId="77777777" w:rsidR="00FD677A" w:rsidRDefault="00FD677A" w:rsidP="00A71365">
            <w:pPr>
              <w:pStyle w:val="Tablewriting"/>
              <w:rPr>
                <w:rFonts w:eastAsia="MS Mincho" w:cstheme="minorHAnsi"/>
                <w:u w:val="single"/>
              </w:rPr>
            </w:pPr>
          </w:p>
          <w:p w14:paraId="55302CE4" w14:textId="3FA70029" w:rsidR="00127BA3" w:rsidRPr="00017AE6" w:rsidRDefault="00B62EBB" w:rsidP="00A71365">
            <w:pPr>
              <w:pStyle w:val="Tablewriting"/>
              <w:rPr>
                <w:rFonts w:eastAsia="MS Mincho" w:cstheme="minorHAnsi"/>
              </w:rPr>
            </w:pPr>
            <w:r w:rsidRPr="00B62EBB">
              <w:rPr>
                <w:rFonts w:eastAsia="MS Mincho" w:cstheme="minorHAnsi"/>
                <w:u w:val="single"/>
              </w:rPr>
              <w:t>Safety</w:t>
            </w:r>
            <w:r w:rsidR="00127BA3" w:rsidRPr="00B62EBB">
              <w:rPr>
                <w:rFonts w:eastAsia="MS Mincho" w:cstheme="minorHAnsi"/>
                <w:u w:val="single"/>
              </w:rPr>
              <w:t>:</w:t>
            </w:r>
            <w:r w:rsidR="00127BA3" w:rsidRPr="00017AE6">
              <w:rPr>
                <w:rFonts w:eastAsia="MS Mincho" w:cstheme="minorHAnsi"/>
              </w:rPr>
              <w:t xml:space="preserve"> Adverse events</w:t>
            </w:r>
            <w:r>
              <w:rPr>
                <w:rFonts w:eastAsia="MS Mincho" w:cstheme="minorHAnsi"/>
              </w:rPr>
              <w:t>,</w:t>
            </w:r>
            <w:r w:rsidR="00127BA3" w:rsidRPr="00017AE6">
              <w:rPr>
                <w:rFonts w:eastAsia="MS Mincho" w:cstheme="minorHAnsi"/>
              </w:rPr>
              <w:t xml:space="preserve"> serious adverse events</w:t>
            </w:r>
            <w:r>
              <w:rPr>
                <w:rFonts w:eastAsia="MS Mincho" w:cstheme="minorHAnsi"/>
              </w:rPr>
              <w:t>,</w:t>
            </w:r>
            <w:r w:rsidR="00127BA3" w:rsidRPr="00017AE6">
              <w:rPr>
                <w:rFonts w:eastAsia="MS Mincho" w:cstheme="minorHAnsi"/>
              </w:rPr>
              <w:t xml:space="preserve"> weight change</w:t>
            </w:r>
            <w:r>
              <w:rPr>
                <w:rFonts w:eastAsia="MS Mincho" w:cstheme="minorHAnsi"/>
              </w:rPr>
              <w:t>.</w:t>
            </w:r>
          </w:p>
          <w:p w14:paraId="06445698" w14:textId="77777777" w:rsidR="00B62EBB" w:rsidRPr="00017AE6" w:rsidRDefault="00B62EBB" w:rsidP="00A71365">
            <w:pPr>
              <w:pStyle w:val="Tablewriting"/>
              <w:rPr>
                <w:rFonts w:eastAsia="MS Mincho" w:cstheme="minorHAnsi"/>
              </w:rPr>
            </w:pPr>
          </w:p>
          <w:p w14:paraId="6BDD9BC6" w14:textId="77777777" w:rsidR="00B62EBB" w:rsidRPr="00017AE6" w:rsidRDefault="00B62EBB" w:rsidP="00A71365">
            <w:pPr>
              <w:pStyle w:val="Tablewriting"/>
              <w:rPr>
                <w:rFonts w:eastAsia="MS Mincho" w:cstheme="minorHAnsi"/>
              </w:rPr>
            </w:pPr>
          </w:p>
          <w:p w14:paraId="6C18E6AE" w14:textId="4B5348C4" w:rsidR="00C25F5E" w:rsidRPr="00017AE6" w:rsidRDefault="00C25F5E" w:rsidP="00A71365">
            <w:pPr>
              <w:pStyle w:val="Tablewriting"/>
              <w:rPr>
                <w:rFonts w:eastAsia="MS Mincho" w:cstheme="minorHAnsi"/>
              </w:rPr>
            </w:pPr>
          </w:p>
        </w:tc>
      </w:tr>
      <w:tr w:rsidR="003D3459" w:rsidRPr="00017AE6" w14:paraId="143BBB49" w14:textId="77777777" w:rsidTr="005821B1">
        <w:trPr>
          <w:trHeight w:val="99"/>
        </w:trPr>
        <w:tc>
          <w:tcPr>
            <w:tcW w:w="761" w:type="pct"/>
          </w:tcPr>
          <w:p w14:paraId="31D8199D" w14:textId="64F8252E" w:rsidR="00C25F5E" w:rsidRPr="00017AE6" w:rsidRDefault="00C25F5E" w:rsidP="00A71365">
            <w:pPr>
              <w:pStyle w:val="Tablewriting"/>
              <w:rPr>
                <w:rFonts w:eastAsia="MS Mincho" w:cstheme="minorHAnsi"/>
              </w:rPr>
            </w:pPr>
            <w:r w:rsidRPr="00017AE6">
              <w:rPr>
                <w:rFonts w:eastAsia="MS Mincho" w:cstheme="minorHAnsi"/>
              </w:rPr>
              <w:t xml:space="preserve">Tsai </w:t>
            </w:r>
            <w:r w:rsidR="00DF0515">
              <w:rPr>
                <w:rFonts w:eastAsia="MS Mincho" w:cstheme="minorHAnsi"/>
              </w:rPr>
              <w:t>(</w:t>
            </w:r>
            <w:r w:rsidRPr="00017AE6">
              <w:rPr>
                <w:rFonts w:eastAsia="MS Mincho" w:cstheme="minorHAnsi"/>
              </w:rPr>
              <w:t>2007</w:t>
            </w:r>
            <w:r w:rsidR="00DF0515">
              <w:rPr>
                <w:rFonts w:eastAsia="MS Mincho" w:cstheme="minorHAnsi"/>
              </w:rPr>
              <w:t>)</w:t>
            </w:r>
          </w:p>
        </w:tc>
        <w:tc>
          <w:tcPr>
            <w:tcW w:w="235" w:type="pct"/>
          </w:tcPr>
          <w:p w14:paraId="4A5B6D7B" w14:textId="374B0C14"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3083F288" w14:textId="44826067" w:rsidR="00C25F5E" w:rsidRPr="00017AE6" w:rsidRDefault="00C55463" w:rsidP="00A71365">
            <w:pPr>
              <w:pStyle w:val="Tablewriting"/>
              <w:rPr>
                <w:rFonts w:eastAsia="MS Mincho" w:cstheme="minorHAnsi"/>
              </w:rPr>
            </w:pPr>
            <w:r w:rsidRPr="00017AE6">
              <w:rPr>
                <w:rFonts w:eastAsia="MS Mincho" w:cstheme="minorHAnsi"/>
              </w:rPr>
              <w:t>Taiwan and Korea</w:t>
            </w:r>
          </w:p>
        </w:tc>
        <w:tc>
          <w:tcPr>
            <w:tcW w:w="679" w:type="pct"/>
          </w:tcPr>
          <w:p w14:paraId="5056781A" w14:textId="77777777" w:rsidR="00E846DE" w:rsidRPr="00017AE6" w:rsidRDefault="00C25F5E" w:rsidP="00A71365">
            <w:pPr>
              <w:pStyle w:val="Tablewriting"/>
              <w:rPr>
                <w:rFonts w:eastAsia="MS Mincho" w:cstheme="minorHAnsi"/>
              </w:rPr>
            </w:pPr>
            <w:r w:rsidRPr="00017AE6">
              <w:rPr>
                <w:rFonts w:eastAsia="MS Mincho" w:cstheme="minorHAnsi"/>
              </w:rPr>
              <w:t>N=</w:t>
            </w:r>
            <w:r w:rsidR="00C55463" w:rsidRPr="00017AE6">
              <w:rPr>
                <w:rFonts w:eastAsia="MS Mincho" w:cstheme="minorHAnsi"/>
              </w:rPr>
              <w:t>250</w:t>
            </w:r>
            <w:r w:rsidR="00E846DE">
              <w:rPr>
                <w:rFonts w:eastAsia="MS Mincho" w:cstheme="minorHAnsi"/>
              </w:rPr>
              <w:t xml:space="preserve">; </w:t>
            </w:r>
            <w:r w:rsidR="00E846DE" w:rsidRPr="00017AE6">
              <w:rPr>
                <w:rFonts w:eastAsia="MS Mincho" w:cstheme="minorHAnsi"/>
              </w:rPr>
              <w:t>allocated to varenicline (126), or placebo</w:t>
            </w:r>
          </w:p>
          <w:p w14:paraId="50FC25FE" w14:textId="204A5736" w:rsidR="00C25F5E" w:rsidRPr="00017AE6" w:rsidRDefault="00E846DE" w:rsidP="00A71365">
            <w:pPr>
              <w:pStyle w:val="Tablewriting"/>
              <w:rPr>
                <w:rFonts w:eastAsia="MS Mincho" w:cstheme="minorHAnsi"/>
              </w:rPr>
            </w:pPr>
            <w:r w:rsidRPr="00017AE6">
              <w:rPr>
                <w:rFonts w:eastAsia="MS Mincho" w:cstheme="minorHAnsi"/>
              </w:rPr>
              <w:t>(124).</w:t>
            </w:r>
          </w:p>
        </w:tc>
        <w:tc>
          <w:tcPr>
            <w:tcW w:w="851" w:type="pct"/>
          </w:tcPr>
          <w:p w14:paraId="4D159CF1" w14:textId="77777777" w:rsidR="00E846DE" w:rsidRDefault="00C55463" w:rsidP="00A71365">
            <w:pPr>
              <w:pStyle w:val="Tablewriting"/>
              <w:rPr>
                <w:rFonts w:eastAsia="MS Mincho" w:cstheme="minorHAnsi"/>
              </w:rPr>
            </w:pPr>
            <w:r w:rsidRPr="00017AE6">
              <w:rPr>
                <w:rFonts w:eastAsia="MS Mincho" w:cstheme="minorHAnsi"/>
              </w:rPr>
              <w:t>Healthy adult volunteers,</w:t>
            </w:r>
            <w:r w:rsidR="00E846DE">
              <w:rPr>
                <w:rFonts w:eastAsia="MS Mincho" w:cstheme="minorHAnsi"/>
              </w:rPr>
              <w:t xml:space="preserve"> </w:t>
            </w:r>
            <w:r w:rsidRPr="00017AE6">
              <w:rPr>
                <w:rFonts w:eastAsia="MS Mincho" w:cstheme="minorHAnsi"/>
              </w:rPr>
              <w:t xml:space="preserve">motivated to quit, aged 18 </w:t>
            </w:r>
            <w:r w:rsidR="00E846DE">
              <w:rPr>
                <w:rFonts w:eastAsia="MS Mincho" w:cstheme="minorHAnsi"/>
              </w:rPr>
              <w:t>–</w:t>
            </w:r>
            <w:r w:rsidRPr="00017AE6">
              <w:rPr>
                <w:rFonts w:eastAsia="MS Mincho" w:cstheme="minorHAnsi"/>
              </w:rPr>
              <w:t xml:space="preserve"> 75</w:t>
            </w:r>
            <w:r w:rsidR="00E846DE">
              <w:rPr>
                <w:rFonts w:eastAsia="MS Mincho" w:cstheme="minorHAnsi"/>
              </w:rPr>
              <w:t xml:space="preserve"> years.</w:t>
            </w:r>
          </w:p>
          <w:p w14:paraId="0725C984" w14:textId="77777777" w:rsidR="00E846DE" w:rsidRDefault="00E846DE" w:rsidP="00A71365">
            <w:pPr>
              <w:pStyle w:val="Tablewriting"/>
              <w:rPr>
                <w:rFonts w:eastAsia="MS Mincho" w:cstheme="minorHAnsi"/>
              </w:rPr>
            </w:pPr>
          </w:p>
          <w:p w14:paraId="7BC3230D" w14:textId="77777777" w:rsidR="00D907E5" w:rsidRDefault="00C55463" w:rsidP="00A71365">
            <w:pPr>
              <w:pStyle w:val="Tablewriting"/>
              <w:rPr>
                <w:rFonts w:eastAsia="MS Mincho" w:cstheme="minorHAnsi"/>
              </w:rPr>
            </w:pPr>
            <w:r w:rsidRPr="00017AE6">
              <w:rPr>
                <w:rFonts w:eastAsia="MS Mincho" w:cstheme="minorHAnsi"/>
              </w:rPr>
              <w:t>89% men, mean age 40.3</w:t>
            </w:r>
            <w:r w:rsidR="00D907E5">
              <w:rPr>
                <w:rFonts w:eastAsia="MS Mincho" w:cstheme="minorHAnsi"/>
              </w:rPr>
              <w:t xml:space="preserve"> years</w:t>
            </w:r>
            <w:r w:rsidRPr="00017AE6">
              <w:rPr>
                <w:rFonts w:eastAsia="MS Mincho" w:cstheme="minorHAnsi"/>
              </w:rPr>
              <w:t>, BMI &lt; 15 or &gt; 38 or weight &lt; 45.5 kg, mean CPD 24, mean FTND</w:t>
            </w:r>
            <w:r w:rsidR="00D907E5">
              <w:rPr>
                <w:rFonts w:eastAsia="MS Mincho" w:cstheme="minorHAnsi"/>
              </w:rPr>
              <w:t xml:space="preserve"> </w:t>
            </w:r>
            <w:r w:rsidRPr="00017AE6">
              <w:rPr>
                <w:rFonts w:eastAsia="MS Mincho" w:cstheme="minorHAnsi"/>
              </w:rPr>
              <w:t>score</w:t>
            </w:r>
            <w:r w:rsidR="00D907E5">
              <w:rPr>
                <w:rFonts w:eastAsia="MS Mincho" w:cstheme="minorHAnsi"/>
              </w:rPr>
              <w:t xml:space="preserve"> </w:t>
            </w:r>
            <w:r w:rsidRPr="00017AE6">
              <w:rPr>
                <w:rFonts w:eastAsia="MS Mincho" w:cstheme="minorHAnsi"/>
              </w:rPr>
              <w:t xml:space="preserve">5.1. </w:t>
            </w:r>
          </w:p>
          <w:p w14:paraId="034CA731" w14:textId="77777777" w:rsidR="00D907E5" w:rsidRDefault="00D907E5" w:rsidP="00A71365">
            <w:pPr>
              <w:pStyle w:val="Tablewriting"/>
              <w:rPr>
                <w:rFonts w:eastAsia="MS Mincho" w:cstheme="minorHAnsi"/>
              </w:rPr>
            </w:pPr>
          </w:p>
          <w:p w14:paraId="199838FF" w14:textId="2EB6B035" w:rsidR="00C55463" w:rsidRPr="00017AE6" w:rsidRDefault="00C55463" w:rsidP="00A71365">
            <w:pPr>
              <w:pStyle w:val="Tablewriting"/>
              <w:rPr>
                <w:rFonts w:eastAsia="MS Mincho" w:cstheme="minorHAnsi"/>
              </w:rPr>
            </w:pPr>
            <w:r w:rsidRPr="00017AE6">
              <w:rPr>
                <w:rFonts w:eastAsia="MS Mincho" w:cstheme="minorHAnsi"/>
              </w:rPr>
              <w:t>Treatment groups were comparable at baseline</w:t>
            </w:r>
            <w:r w:rsidR="00D907E5">
              <w:rPr>
                <w:rFonts w:eastAsia="MS Mincho" w:cstheme="minorHAnsi"/>
              </w:rPr>
              <w:t>.</w:t>
            </w:r>
          </w:p>
          <w:p w14:paraId="658DAB7A" w14:textId="77777777" w:rsidR="00D907E5" w:rsidRPr="00017AE6" w:rsidRDefault="00D907E5" w:rsidP="00A71365">
            <w:pPr>
              <w:pStyle w:val="Tablewriting"/>
              <w:rPr>
                <w:rFonts w:eastAsia="MS Mincho" w:cstheme="minorHAnsi"/>
              </w:rPr>
            </w:pPr>
          </w:p>
          <w:p w14:paraId="744A7243" w14:textId="41C9DB90" w:rsidR="00C25F5E" w:rsidRPr="00017AE6" w:rsidRDefault="00C55463" w:rsidP="00A71365">
            <w:pPr>
              <w:pStyle w:val="Tablewriting"/>
              <w:rPr>
                <w:rFonts w:eastAsia="MS Mincho" w:cstheme="minorHAnsi"/>
              </w:rPr>
            </w:pPr>
            <w:r w:rsidRPr="00D907E5">
              <w:rPr>
                <w:rFonts w:eastAsia="MS Mincho" w:cstheme="minorHAnsi"/>
                <w:u w:val="single"/>
              </w:rPr>
              <w:t>Exclusion criteria:</w:t>
            </w:r>
            <w:r w:rsidRPr="00017AE6">
              <w:rPr>
                <w:rFonts w:eastAsia="MS Mincho" w:cstheme="minorHAnsi"/>
              </w:rPr>
              <w:t xml:space="preserve"> </w:t>
            </w:r>
            <w:r w:rsidRPr="00CE5740">
              <w:rPr>
                <w:rFonts w:eastAsia="MS Mincho" w:cstheme="minorHAnsi"/>
              </w:rPr>
              <w:t>Standard pharmacotherapy trial criteria</w:t>
            </w:r>
            <w:r w:rsidR="00D907E5">
              <w:rPr>
                <w:rFonts w:eastAsia="MS Mincho" w:cstheme="minorHAnsi"/>
              </w:rPr>
              <w:t>.</w:t>
            </w:r>
          </w:p>
        </w:tc>
        <w:tc>
          <w:tcPr>
            <w:tcW w:w="1054" w:type="pct"/>
          </w:tcPr>
          <w:p w14:paraId="34023B63" w14:textId="77777777" w:rsidR="00A17966" w:rsidRDefault="000C4511" w:rsidP="00C324F3">
            <w:pPr>
              <w:pStyle w:val="Tablewriting"/>
              <w:numPr>
                <w:ilvl w:val="0"/>
                <w:numId w:val="87"/>
              </w:numPr>
              <w:rPr>
                <w:rFonts w:eastAsia="MS Mincho" w:cstheme="minorHAnsi"/>
              </w:rPr>
            </w:pPr>
            <w:r w:rsidRPr="00017AE6">
              <w:rPr>
                <w:rFonts w:eastAsia="MS Mincho" w:cstheme="minorHAnsi"/>
              </w:rPr>
              <w:t>Varenicline 1.0 mg x 2/day</w:t>
            </w:r>
            <w:r w:rsidR="00A17966">
              <w:rPr>
                <w:rFonts w:eastAsia="MS Mincho" w:cstheme="minorHAnsi"/>
              </w:rPr>
              <w:t>.</w:t>
            </w:r>
          </w:p>
          <w:p w14:paraId="32DDC758" w14:textId="54AD10DE" w:rsidR="000C4511" w:rsidRPr="00017AE6" w:rsidRDefault="000C4511" w:rsidP="00C324F3">
            <w:pPr>
              <w:pStyle w:val="Tablewriting"/>
              <w:numPr>
                <w:ilvl w:val="0"/>
                <w:numId w:val="87"/>
              </w:numPr>
              <w:rPr>
                <w:rFonts w:eastAsia="MS Mincho" w:cstheme="minorHAnsi"/>
              </w:rPr>
            </w:pPr>
            <w:r w:rsidRPr="00017AE6">
              <w:rPr>
                <w:rFonts w:eastAsia="MS Mincho" w:cstheme="minorHAnsi"/>
              </w:rPr>
              <w:t>Placebo tablet x 2/day</w:t>
            </w:r>
            <w:r w:rsidR="00A17966">
              <w:rPr>
                <w:rFonts w:eastAsia="MS Mincho" w:cstheme="minorHAnsi"/>
              </w:rPr>
              <w:t>.</w:t>
            </w:r>
          </w:p>
          <w:p w14:paraId="0408E2F5" w14:textId="77777777" w:rsidR="00A17966" w:rsidRPr="00A17966" w:rsidRDefault="00A17966" w:rsidP="00A71365">
            <w:pPr>
              <w:pStyle w:val="Tablewriting"/>
              <w:ind w:left="360"/>
              <w:rPr>
                <w:rFonts w:eastAsia="MS Mincho" w:cstheme="minorHAnsi"/>
              </w:rPr>
            </w:pPr>
          </w:p>
          <w:p w14:paraId="3507FD95" w14:textId="77777777" w:rsidR="00A17966" w:rsidRDefault="000C4511" w:rsidP="00A71365">
            <w:pPr>
              <w:pStyle w:val="Tablewriting"/>
              <w:rPr>
                <w:rFonts w:eastAsia="MS Mincho" w:cstheme="minorHAnsi"/>
              </w:rPr>
            </w:pPr>
            <w:r w:rsidRPr="00017AE6">
              <w:rPr>
                <w:rFonts w:eastAsia="MS Mincho" w:cstheme="minorHAnsi"/>
              </w:rPr>
              <w:t>Treatment period 12 w</w:t>
            </w:r>
            <w:r w:rsidR="00A17966">
              <w:rPr>
                <w:rFonts w:eastAsia="MS Mincho" w:cstheme="minorHAnsi"/>
              </w:rPr>
              <w:t>ee</w:t>
            </w:r>
            <w:r w:rsidRPr="00017AE6">
              <w:rPr>
                <w:rFonts w:eastAsia="MS Mincho" w:cstheme="minorHAnsi"/>
              </w:rPr>
              <w:t>ks, 1st w</w:t>
            </w:r>
            <w:r w:rsidR="00A17966">
              <w:rPr>
                <w:rFonts w:eastAsia="MS Mincho" w:cstheme="minorHAnsi"/>
              </w:rPr>
              <w:t>ee</w:t>
            </w:r>
            <w:r w:rsidRPr="00017AE6">
              <w:rPr>
                <w:rFonts w:eastAsia="MS Mincho" w:cstheme="minorHAnsi"/>
              </w:rPr>
              <w:t xml:space="preserve">k titrated dosage. </w:t>
            </w:r>
          </w:p>
          <w:p w14:paraId="7CE3CC2F" w14:textId="77777777" w:rsidR="00A17966" w:rsidRDefault="00A17966" w:rsidP="00A71365">
            <w:pPr>
              <w:pStyle w:val="Tablewriting"/>
              <w:rPr>
                <w:rFonts w:eastAsia="MS Mincho" w:cstheme="minorHAnsi"/>
              </w:rPr>
            </w:pPr>
          </w:p>
          <w:p w14:paraId="00123422" w14:textId="14757A97" w:rsidR="000C4511" w:rsidRPr="00017AE6" w:rsidRDefault="00A17966"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0C4511" w:rsidRPr="00017AE6">
              <w:rPr>
                <w:rFonts w:eastAsia="MS Mincho" w:cstheme="minorHAnsi"/>
              </w:rPr>
              <w:t>All participants received a smoking cessation booklet</w:t>
            </w:r>
            <w:r>
              <w:rPr>
                <w:rFonts w:eastAsia="MS Mincho" w:cstheme="minorHAnsi"/>
              </w:rPr>
              <w:t xml:space="preserve"> </w:t>
            </w:r>
            <w:r w:rsidR="000C4511" w:rsidRPr="00017AE6">
              <w:rPr>
                <w:rFonts w:eastAsia="MS Mincho" w:cstheme="minorHAnsi"/>
              </w:rPr>
              <w:t>Clearing the Air at baseline, + brief counselling (</w:t>
            </w:r>
            <w:r w:rsidRPr="007563F9">
              <w:rPr>
                <w:rFonts w:eastAsia="MS Mincho" w:cstheme="minorHAnsi"/>
              </w:rPr>
              <w:t>≤</w:t>
            </w:r>
            <w:r w:rsidR="000C4511" w:rsidRPr="00017AE6">
              <w:rPr>
                <w:rFonts w:eastAsia="MS Mincho" w:cstheme="minorHAnsi"/>
              </w:rPr>
              <w:t xml:space="preserve"> 10 mins) at each clinic v</w:t>
            </w:r>
            <w:r w:rsidR="009E2A27">
              <w:rPr>
                <w:rFonts w:eastAsia="MS Mincho" w:cstheme="minorHAnsi"/>
              </w:rPr>
              <w:t xml:space="preserve">isit. Clinic visits at baseline </w:t>
            </w:r>
            <w:r w:rsidR="000C4511" w:rsidRPr="00017AE6">
              <w:rPr>
                <w:rFonts w:eastAsia="MS Mincho" w:cstheme="minorHAnsi"/>
              </w:rPr>
              <w:t>and at w</w:t>
            </w:r>
            <w:r>
              <w:rPr>
                <w:rFonts w:eastAsia="MS Mincho" w:cstheme="minorHAnsi"/>
              </w:rPr>
              <w:t>ee</w:t>
            </w:r>
            <w:r w:rsidR="000C4511" w:rsidRPr="00017AE6">
              <w:rPr>
                <w:rFonts w:eastAsia="MS Mincho" w:cstheme="minorHAnsi"/>
              </w:rPr>
              <w:t>ks 1, 2, 3, 4, 6, 8, 10, 12, plus a 5-min phone call at +3 days post-TQD, and at w</w:t>
            </w:r>
            <w:r>
              <w:rPr>
                <w:rFonts w:eastAsia="MS Mincho" w:cstheme="minorHAnsi"/>
              </w:rPr>
              <w:t>ee</w:t>
            </w:r>
            <w:r w:rsidR="000C4511" w:rsidRPr="00017AE6">
              <w:rPr>
                <w:rFonts w:eastAsia="MS Mincho" w:cstheme="minorHAnsi"/>
              </w:rPr>
              <w:t>ks 5, 7, 9, 11</w:t>
            </w:r>
            <w:r>
              <w:rPr>
                <w:rFonts w:eastAsia="MS Mincho" w:cstheme="minorHAnsi"/>
              </w:rPr>
              <w:t>.</w:t>
            </w:r>
          </w:p>
          <w:p w14:paraId="5189E2EA" w14:textId="77777777" w:rsidR="00A17966" w:rsidRPr="00017AE6" w:rsidRDefault="00A17966" w:rsidP="00A71365">
            <w:pPr>
              <w:pStyle w:val="Tablewriting"/>
              <w:rPr>
                <w:rFonts w:eastAsia="MS Mincho" w:cstheme="minorHAnsi"/>
              </w:rPr>
            </w:pPr>
          </w:p>
          <w:p w14:paraId="670E713E" w14:textId="3B35FD4A" w:rsidR="00C25F5E" w:rsidRPr="00017AE6" w:rsidRDefault="000C4511" w:rsidP="00A71365">
            <w:pPr>
              <w:pStyle w:val="Tablewriting"/>
              <w:rPr>
                <w:rFonts w:eastAsia="MS Mincho" w:cstheme="minorHAnsi"/>
              </w:rPr>
            </w:pPr>
            <w:r w:rsidRPr="00017AE6">
              <w:rPr>
                <w:rFonts w:eastAsia="MS Mincho" w:cstheme="minorHAnsi"/>
              </w:rPr>
              <w:t>In follow-up phase, clinic visits at w</w:t>
            </w:r>
            <w:r w:rsidR="00A17966">
              <w:rPr>
                <w:rFonts w:eastAsia="MS Mincho" w:cstheme="minorHAnsi"/>
              </w:rPr>
              <w:t>ee</w:t>
            </w:r>
            <w:r w:rsidRPr="00017AE6">
              <w:rPr>
                <w:rFonts w:eastAsia="MS Mincho" w:cstheme="minorHAnsi"/>
              </w:rPr>
              <w:t>ks 13, 16, 20, 24 plus brief phone calls at w</w:t>
            </w:r>
            <w:r w:rsidR="00A17966">
              <w:rPr>
                <w:rFonts w:eastAsia="MS Mincho" w:cstheme="minorHAnsi"/>
              </w:rPr>
              <w:t>ee</w:t>
            </w:r>
            <w:r w:rsidRPr="00017AE6">
              <w:rPr>
                <w:rFonts w:eastAsia="MS Mincho" w:cstheme="minorHAnsi"/>
              </w:rPr>
              <w:t>ks 14, 18, 22</w:t>
            </w:r>
            <w:r w:rsidR="00A17966">
              <w:rPr>
                <w:rFonts w:eastAsia="MS Mincho" w:cstheme="minorHAnsi"/>
              </w:rPr>
              <w:t>.</w:t>
            </w:r>
          </w:p>
        </w:tc>
        <w:tc>
          <w:tcPr>
            <w:tcW w:w="959" w:type="pct"/>
          </w:tcPr>
          <w:p w14:paraId="7A45F01C" w14:textId="77777777" w:rsidR="00A17966" w:rsidRPr="00A17966" w:rsidRDefault="00A17966" w:rsidP="00A71365">
            <w:pPr>
              <w:pStyle w:val="Tablewriting"/>
              <w:rPr>
                <w:rFonts w:eastAsia="MS Mincho" w:cstheme="minorHAnsi"/>
                <w:u w:val="single"/>
              </w:rPr>
            </w:pPr>
            <w:r w:rsidRPr="00A17966">
              <w:rPr>
                <w:rFonts w:eastAsia="MS Mincho" w:cstheme="minorHAnsi"/>
                <w:u w:val="single"/>
              </w:rPr>
              <w:t xml:space="preserve">Efficacy: </w:t>
            </w:r>
          </w:p>
          <w:p w14:paraId="53FBC402" w14:textId="30AC10F3" w:rsidR="000C4511" w:rsidRPr="00017AE6" w:rsidRDefault="000C4511" w:rsidP="00A71365">
            <w:pPr>
              <w:pStyle w:val="Tablewriting"/>
              <w:rPr>
                <w:rFonts w:eastAsia="MS Mincho" w:cstheme="minorHAnsi"/>
              </w:rPr>
            </w:pPr>
            <w:r w:rsidRPr="00017AE6">
              <w:rPr>
                <w:rFonts w:eastAsia="MS Mincho" w:cstheme="minorHAnsi"/>
              </w:rPr>
              <w:t>Primary outcome: CO-validated CAR at 9 - 12 w</w:t>
            </w:r>
            <w:r w:rsidR="00A17966">
              <w:rPr>
                <w:rFonts w:eastAsia="MS Mincho" w:cstheme="minorHAnsi"/>
              </w:rPr>
              <w:t>ee</w:t>
            </w:r>
            <w:r w:rsidRPr="00017AE6">
              <w:rPr>
                <w:rFonts w:eastAsia="MS Mincho" w:cstheme="minorHAnsi"/>
              </w:rPr>
              <w:t>ks</w:t>
            </w:r>
          </w:p>
          <w:p w14:paraId="7C9B53D2" w14:textId="0C456126" w:rsidR="000C4511" w:rsidRPr="00017AE6" w:rsidRDefault="000C4511" w:rsidP="00A71365">
            <w:pPr>
              <w:pStyle w:val="Tablewriting"/>
              <w:rPr>
                <w:rFonts w:eastAsia="MS Mincho" w:cstheme="minorHAnsi"/>
              </w:rPr>
            </w:pPr>
            <w:r w:rsidRPr="00017AE6">
              <w:rPr>
                <w:rFonts w:eastAsia="MS Mincho" w:cstheme="minorHAnsi"/>
              </w:rPr>
              <w:t>Secondary outcomes: CO-validated CAR at 9 - 24 w</w:t>
            </w:r>
            <w:r w:rsidR="004420C8">
              <w:rPr>
                <w:rFonts w:eastAsia="MS Mincho" w:cstheme="minorHAnsi"/>
              </w:rPr>
              <w:t>ee</w:t>
            </w:r>
            <w:r w:rsidRPr="00017AE6">
              <w:rPr>
                <w:rFonts w:eastAsia="MS Mincho" w:cstheme="minorHAnsi"/>
              </w:rPr>
              <w:t>ks; 7-day PPA at w</w:t>
            </w:r>
            <w:r w:rsidR="004420C8">
              <w:rPr>
                <w:rFonts w:eastAsia="MS Mincho" w:cstheme="minorHAnsi"/>
              </w:rPr>
              <w:t>ee</w:t>
            </w:r>
            <w:r w:rsidRPr="00017AE6">
              <w:rPr>
                <w:rFonts w:eastAsia="MS Mincho" w:cstheme="minorHAnsi"/>
              </w:rPr>
              <w:t>ks 12 and 24</w:t>
            </w:r>
          </w:p>
          <w:p w14:paraId="67BA803B" w14:textId="77777777" w:rsidR="004420C8" w:rsidRDefault="004420C8" w:rsidP="00A71365">
            <w:pPr>
              <w:pStyle w:val="Tablewriting"/>
              <w:rPr>
                <w:rFonts w:eastAsia="MS Mincho" w:cstheme="minorHAnsi"/>
              </w:rPr>
            </w:pPr>
          </w:p>
          <w:p w14:paraId="6DEB89FC" w14:textId="400396E8" w:rsidR="000C4511" w:rsidRPr="00017AE6" w:rsidRDefault="000C4511" w:rsidP="00A71365">
            <w:pPr>
              <w:pStyle w:val="Tablewriting"/>
              <w:rPr>
                <w:rFonts w:eastAsia="MS Mincho" w:cstheme="minorHAnsi"/>
              </w:rPr>
            </w:pPr>
            <w:r w:rsidRPr="00017AE6">
              <w:rPr>
                <w:rFonts w:eastAsia="MS Mincho" w:cstheme="minorHAnsi"/>
              </w:rPr>
              <w:t xml:space="preserve">Validation was by expired CO </w:t>
            </w:r>
            <w:r w:rsidR="004420C8" w:rsidRPr="007563F9">
              <w:rPr>
                <w:rFonts w:eastAsia="MS Mincho" w:cstheme="minorHAnsi"/>
              </w:rPr>
              <w:t>≤</w:t>
            </w:r>
            <w:r w:rsidRPr="00017AE6">
              <w:rPr>
                <w:rFonts w:eastAsia="MS Mincho" w:cstheme="minorHAnsi"/>
              </w:rPr>
              <w:t xml:space="preserve"> 10 ppm</w:t>
            </w:r>
          </w:p>
          <w:p w14:paraId="60B3D3AC" w14:textId="77777777" w:rsidR="004420C8" w:rsidRDefault="004420C8" w:rsidP="00A71365">
            <w:pPr>
              <w:pStyle w:val="Tablewriting"/>
              <w:rPr>
                <w:rFonts w:eastAsia="MS Mincho" w:cstheme="minorHAnsi"/>
              </w:rPr>
            </w:pPr>
          </w:p>
          <w:p w14:paraId="32E48FF2" w14:textId="46FC003F" w:rsidR="004420C8" w:rsidRPr="00017AE6" w:rsidRDefault="004420C8" w:rsidP="00A71365">
            <w:pPr>
              <w:pStyle w:val="Tablewriting"/>
              <w:rPr>
                <w:rFonts w:eastAsia="MS Mincho" w:cstheme="minorHAnsi"/>
              </w:rPr>
            </w:pPr>
            <w:r w:rsidRPr="004420C8">
              <w:rPr>
                <w:rFonts w:eastAsia="MS Mincho" w:cstheme="minorHAnsi"/>
                <w:u w:val="single"/>
              </w:rPr>
              <w:t>Safety:</w:t>
            </w:r>
            <w:r>
              <w:rPr>
                <w:rFonts w:eastAsia="MS Mincho" w:cstheme="minorHAnsi"/>
              </w:rPr>
              <w:t xml:space="preserve"> A</w:t>
            </w:r>
            <w:r w:rsidRPr="00017AE6">
              <w:rPr>
                <w:rFonts w:eastAsia="MS Mincho" w:cstheme="minorHAnsi"/>
              </w:rPr>
              <w:t>dverse events</w:t>
            </w:r>
            <w:r>
              <w:rPr>
                <w:rFonts w:eastAsia="MS Mincho" w:cstheme="minorHAnsi"/>
              </w:rPr>
              <w:t>.</w:t>
            </w:r>
          </w:p>
          <w:p w14:paraId="14301BB5" w14:textId="0573079E" w:rsidR="004420C8" w:rsidRDefault="004420C8" w:rsidP="00A71365">
            <w:pPr>
              <w:pStyle w:val="Tablewriting"/>
              <w:rPr>
                <w:rFonts w:eastAsia="MS Mincho" w:cstheme="minorHAnsi"/>
              </w:rPr>
            </w:pPr>
          </w:p>
          <w:p w14:paraId="689E548C" w14:textId="77777777" w:rsidR="004420C8" w:rsidRDefault="004420C8" w:rsidP="00A71365">
            <w:pPr>
              <w:pStyle w:val="Tablewriting"/>
              <w:rPr>
                <w:rFonts w:eastAsia="MS Mincho" w:cstheme="minorHAnsi"/>
              </w:rPr>
            </w:pPr>
          </w:p>
          <w:p w14:paraId="00197B91" w14:textId="64015E67" w:rsidR="000C4511" w:rsidRPr="00017AE6" w:rsidRDefault="000C4511" w:rsidP="00A71365">
            <w:pPr>
              <w:pStyle w:val="Tablewriting"/>
              <w:rPr>
                <w:rFonts w:eastAsia="MS Mincho" w:cstheme="minorHAnsi"/>
              </w:rPr>
            </w:pPr>
            <w:r w:rsidRPr="004420C8">
              <w:rPr>
                <w:rFonts w:eastAsia="MS Mincho" w:cstheme="minorHAnsi"/>
                <w:u w:val="single"/>
              </w:rPr>
              <w:t>Other:</w:t>
            </w:r>
            <w:r w:rsidRPr="00017AE6">
              <w:rPr>
                <w:rFonts w:eastAsia="MS Mincho" w:cstheme="minorHAnsi"/>
              </w:rPr>
              <w:t xml:space="preserve"> Withdrawal symptoms (using MNWS, QSU-brief and mCEQ)</w:t>
            </w:r>
            <w:r w:rsidR="004420C8">
              <w:rPr>
                <w:rFonts w:eastAsia="MS Mincho" w:cstheme="minorHAnsi"/>
              </w:rPr>
              <w:t>.</w:t>
            </w:r>
          </w:p>
          <w:p w14:paraId="5335AB6B" w14:textId="77777777" w:rsidR="004420C8" w:rsidRPr="00017AE6" w:rsidRDefault="004420C8" w:rsidP="00A71365">
            <w:pPr>
              <w:pStyle w:val="Tablewriting"/>
              <w:rPr>
                <w:rFonts w:eastAsia="MS Mincho" w:cstheme="minorHAnsi"/>
              </w:rPr>
            </w:pPr>
          </w:p>
          <w:p w14:paraId="301B4FEF" w14:textId="63B9FBB6" w:rsidR="00C25F5E" w:rsidRPr="00017AE6" w:rsidRDefault="00C25F5E" w:rsidP="00A71365">
            <w:pPr>
              <w:pStyle w:val="Tablewriting"/>
              <w:rPr>
                <w:rFonts w:eastAsia="MS Mincho" w:cstheme="minorHAnsi"/>
              </w:rPr>
            </w:pPr>
          </w:p>
        </w:tc>
      </w:tr>
      <w:tr w:rsidR="003D3459" w:rsidRPr="00017AE6" w14:paraId="3E34036B" w14:textId="77777777" w:rsidTr="005821B1">
        <w:trPr>
          <w:trHeight w:val="99"/>
        </w:trPr>
        <w:tc>
          <w:tcPr>
            <w:tcW w:w="761" w:type="pct"/>
          </w:tcPr>
          <w:p w14:paraId="528CAD25" w14:textId="21ECA9A1" w:rsidR="00C25F5E" w:rsidRPr="00017AE6" w:rsidRDefault="00C25F5E" w:rsidP="00A71365">
            <w:pPr>
              <w:pStyle w:val="Tablewriting"/>
              <w:rPr>
                <w:rFonts w:eastAsia="MS Mincho" w:cstheme="minorHAnsi"/>
              </w:rPr>
            </w:pPr>
            <w:r w:rsidRPr="00017AE6">
              <w:rPr>
                <w:rFonts w:eastAsia="MS Mincho" w:cstheme="minorHAnsi"/>
              </w:rPr>
              <w:t xml:space="preserve">Wang </w:t>
            </w:r>
            <w:r w:rsidR="00DF0515">
              <w:rPr>
                <w:rFonts w:eastAsia="MS Mincho" w:cstheme="minorHAnsi"/>
              </w:rPr>
              <w:t>(</w:t>
            </w:r>
            <w:r w:rsidRPr="00017AE6">
              <w:rPr>
                <w:rFonts w:eastAsia="MS Mincho" w:cstheme="minorHAnsi"/>
              </w:rPr>
              <w:t>2009</w:t>
            </w:r>
            <w:r w:rsidR="00DF0515">
              <w:rPr>
                <w:rFonts w:eastAsia="MS Mincho" w:cstheme="minorHAnsi"/>
              </w:rPr>
              <w:t>)</w:t>
            </w:r>
          </w:p>
        </w:tc>
        <w:tc>
          <w:tcPr>
            <w:tcW w:w="235" w:type="pct"/>
          </w:tcPr>
          <w:p w14:paraId="79DB452C" w14:textId="551B2B96"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6BF995EE" w14:textId="4F1F6A61" w:rsidR="00C25F5E" w:rsidRPr="00017AE6" w:rsidRDefault="000C4511" w:rsidP="00A71365">
            <w:pPr>
              <w:pStyle w:val="Tablewriting"/>
              <w:rPr>
                <w:rFonts w:eastAsia="MS Mincho" w:cstheme="minorHAnsi"/>
              </w:rPr>
            </w:pPr>
            <w:r w:rsidRPr="00017AE6">
              <w:rPr>
                <w:rFonts w:eastAsia="MS Mincho" w:cstheme="minorHAnsi"/>
              </w:rPr>
              <w:t xml:space="preserve">China (10 sites), Singapore (3 sites), </w:t>
            </w:r>
            <w:r w:rsidRPr="00017AE6">
              <w:rPr>
                <w:rFonts w:eastAsia="MS Mincho" w:cstheme="minorHAnsi"/>
              </w:rPr>
              <w:lastRenderedPageBreak/>
              <w:t>Thailand (2 sites)</w:t>
            </w:r>
          </w:p>
        </w:tc>
        <w:tc>
          <w:tcPr>
            <w:tcW w:w="679" w:type="pct"/>
          </w:tcPr>
          <w:p w14:paraId="60F9A97F" w14:textId="700D7C45" w:rsidR="00C25F5E" w:rsidRPr="00017AE6" w:rsidRDefault="00C25F5E" w:rsidP="00A71365">
            <w:pPr>
              <w:pStyle w:val="Tablewriting"/>
              <w:rPr>
                <w:rFonts w:eastAsia="MS Mincho" w:cstheme="minorHAnsi"/>
              </w:rPr>
            </w:pPr>
            <w:r w:rsidRPr="00017AE6">
              <w:rPr>
                <w:rFonts w:eastAsia="MS Mincho" w:cstheme="minorHAnsi"/>
              </w:rPr>
              <w:lastRenderedPageBreak/>
              <w:t>N=</w:t>
            </w:r>
            <w:r w:rsidR="000C4511" w:rsidRPr="00017AE6">
              <w:rPr>
                <w:rFonts w:eastAsia="MS Mincho" w:cstheme="minorHAnsi"/>
              </w:rPr>
              <w:t>333</w:t>
            </w:r>
            <w:r w:rsidR="00BF36E8">
              <w:rPr>
                <w:rFonts w:eastAsia="MS Mincho" w:cstheme="minorHAnsi"/>
              </w:rPr>
              <w:t xml:space="preserve">; </w:t>
            </w:r>
            <w:r w:rsidR="00BF36E8" w:rsidRPr="00017AE6">
              <w:rPr>
                <w:rFonts w:eastAsia="MS Mincho" w:cstheme="minorHAnsi"/>
              </w:rPr>
              <w:t>allocated to varenicline (165), or placebo (168).</w:t>
            </w:r>
          </w:p>
        </w:tc>
        <w:tc>
          <w:tcPr>
            <w:tcW w:w="851" w:type="pct"/>
          </w:tcPr>
          <w:p w14:paraId="4A696FC7" w14:textId="658BA152" w:rsidR="00BF36E8" w:rsidRDefault="004664D2" w:rsidP="00A71365">
            <w:pPr>
              <w:pStyle w:val="Tablewriting"/>
              <w:rPr>
                <w:rFonts w:eastAsia="MS Mincho" w:cstheme="minorHAnsi"/>
              </w:rPr>
            </w:pPr>
            <w:r>
              <w:rPr>
                <w:rFonts w:eastAsia="MS Mincho" w:cstheme="minorHAnsi"/>
              </w:rPr>
              <w:t>H</w:t>
            </w:r>
            <w:r w:rsidRPr="00017AE6">
              <w:rPr>
                <w:rFonts w:eastAsia="MS Mincho" w:cstheme="minorHAnsi"/>
              </w:rPr>
              <w:t>ealthy adult volunteers</w:t>
            </w:r>
            <w:r w:rsidR="000C4511" w:rsidRPr="00017AE6">
              <w:rPr>
                <w:rFonts w:eastAsia="MS Mincho" w:cstheme="minorHAnsi"/>
              </w:rPr>
              <w:t xml:space="preserve"> aged 18 </w:t>
            </w:r>
            <w:r w:rsidR="00BF36E8">
              <w:rPr>
                <w:rFonts w:eastAsia="MS Mincho" w:cstheme="minorHAnsi"/>
              </w:rPr>
              <w:t>–</w:t>
            </w:r>
            <w:r w:rsidR="000C4511" w:rsidRPr="00017AE6">
              <w:rPr>
                <w:rFonts w:eastAsia="MS Mincho" w:cstheme="minorHAnsi"/>
              </w:rPr>
              <w:t xml:space="preserve"> 75</w:t>
            </w:r>
            <w:r w:rsidR="00BF36E8">
              <w:rPr>
                <w:rFonts w:eastAsia="MS Mincho" w:cstheme="minorHAnsi"/>
              </w:rPr>
              <w:t xml:space="preserve"> years.</w:t>
            </w:r>
          </w:p>
          <w:p w14:paraId="4760452B" w14:textId="77777777" w:rsidR="00BF36E8" w:rsidRDefault="00BF36E8" w:rsidP="00A71365">
            <w:pPr>
              <w:pStyle w:val="Tablewriting"/>
              <w:rPr>
                <w:rFonts w:eastAsia="MS Mincho" w:cstheme="minorHAnsi"/>
              </w:rPr>
            </w:pPr>
          </w:p>
          <w:p w14:paraId="570D0623" w14:textId="77777777" w:rsidR="00BF36E8" w:rsidRDefault="000C4511" w:rsidP="00A71365">
            <w:pPr>
              <w:pStyle w:val="Tablewriting"/>
              <w:rPr>
                <w:rFonts w:eastAsia="MS Mincho" w:cstheme="minorHAnsi"/>
              </w:rPr>
            </w:pPr>
            <w:r w:rsidRPr="00017AE6">
              <w:rPr>
                <w:rFonts w:eastAsia="MS Mincho" w:cstheme="minorHAnsi"/>
              </w:rPr>
              <w:lastRenderedPageBreak/>
              <w:t>97% men,</w:t>
            </w:r>
            <w:r w:rsidR="00BF36E8">
              <w:rPr>
                <w:rFonts w:eastAsia="MS Mincho" w:cstheme="minorHAnsi"/>
              </w:rPr>
              <w:t xml:space="preserve"> </w:t>
            </w:r>
            <w:r w:rsidRPr="00017AE6">
              <w:rPr>
                <w:rFonts w:eastAsia="MS Mincho" w:cstheme="minorHAnsi"/>
              </w:rPr>
              <w:t>mean age 39</w:t>
            </w:r>
            <w:r w:rsidR="00BF36E8">
              <w:rPr>
                <w:rFonts w:eastAsia="MS Mincho" w:cstheme="minorHAnsi"/>
              </w:rPr>
              <w:t xml:space="preserve"> years</w:t>
            </w:r>
            <w:r w:rsidRPr="00017AE6">
              <w:rPr>
                <w:rFonts w:eastAsia="MS Mincho" w:cstheme="minorHAnsi"/>
              </w:rPr>
              <w:t xml:space="preserve">, BMI &gt; 15 and &lt; 38 or weight &gt; 45.5 kg, mean CPD 20, mean FTND score 5.4. </w:t>
            </w:r>
          </w:p>
          <w:p w14:paraId="11FABB1B" w14:textId="77777777" w:rsidR="00BF36E8" w:rsidRDefault="00BF36E8" w:rsidP="00A71365">
            <w:pPr>
              <w:pStyle w:val="Tablewriting"/>
              <w:rPr>
                <w:rFonts w:eastAsia="MS Mincho" w:cstheme="minorHAnsi"/>
              </w:rPr>
            </w:pPr>
          </w:p>
          <w:p w14:paraId="7281F2FE" w14:textId="42790007" w:rsidR="000C4511" w:rsidRPr="00017AE6" w:rsidRDefault="000C4511" w:rsidP="00A71365">
            <w:pPr>
              <w:pStyle w:val="Tablewriting"/>
              <w:rPr>
                <w:rFonts w:eastAsia="MS Mincho" w:cstheme="minorHAnsi"/>
              </w:rPr>
            </w:pPr>
            <w:r w:rsidRPr="00017AE6">
              <w:rPr>
                <w:rFonts w:eastAsia="MS Mincho" w:cstheme="minorHAnsi"/>
              </w:rPr>
              <w:t>Treatment</w:t>
            </w:r>
            <w:r w:rsidR="009E2A27">
              <w:rPr>
                <w:rFonts w:eastAsia="MS Mincho" w:cstheme="minorHAnsi"/>
              </w:rPr>
              <w:t xml:space="preserve"> </w:t>
            </w:r>
            <w:r w:rsidRPr="00017AE6">
              <w:rPr>
                <w:rFonts w:eastAsia="MS Mincho" w:cstheme="minorHAnsi"/>
              </w:rPr>
              <w:t>groups were comparable at baseline. 58% had never tried to quit before</w:t>
            </w:r>
            <w:r w:rsidR="00BF36E8">
              <w:rPr>
                <w:rFonts w:eastAsia="MS Mincho" w:cstheme="minorHAnsi"/>
              </w:rPr>
              <w:t>.</w:t>
            </w:r>
          </w:p>
          <w:p w14:paraId="48DADAA2" w14:textId="77777777" w:rsidR="00BF36E8" w:rsidRPr="00017AE6" w:rsidRDefault="00BF36E8" w:rsidP="00A71365">
            <w:pPr>
              <w:pStyle w:val="Tablewriting"/>
              <w:rPr>
                <w:rFonts w:eastAsia="MS Mincho" w:cstheme="minorHAnsi"/>
              </w:rPr>
            </w:pPr>
          </w:p>
          <w:p w14:paraId="64E8457A" w14:textId="014EE771" w:rsidR="00C25F5E" w:rsidRPr="00017AE6" w:rsidRDefault="000C4511" w:rsidP="00A71365">
            <w:pPr>
              <w:pStyle w:val="Tablewriting"/>
              <w:rPr>
                <w:rFonts w:eastAsia="MS Mincho" w:cstheme="minorHAnsi"/>
              </w:rPr>
            </w:pPr>
            <w:r w:rsidRPr="00BF36E8">
              <w:rPr>
                <w:rFonts w:eastAsia="MS Mincho" w:cstheme="minorHAnsi"/>
                <w:u w:val="single"/>
              </w:rPr>
              <w:t>Exclusion criteria:</w:t>
            </w:r>
            <w:r w:rsidRPr="00017AE6">
              <w:rPr>
                <w:rFonts w:eastAsia="MS Mincho" w:cstheme="minorHAnsi"/>
              </w:rPr>
              <w:t xml:space="preserve"> Standard pharmacotherapy trial criteria, plus any use of NRT or bupropion in previous</w:t>
            </w:r>
            <w:r w:rsidR="00BF36E8">
              <w:rPr>
                <w:rFonts w:eastAsia="MS Mincho" w:cstheme="minorHAnsi"/>
              </w:rPr>
              <w:t xml:space="preserve"> </w:t>
            </w:r>
            <w:r w:rsidRPr="00017AE6">
              <w:rPr>
                <w:rFonts w:eastAsia="MS Mincho" w:cstheme="minorHAnsi"/>
              </w:rPr>
              <w:t>6</w:t>
            </w:r>
            <w:r w:rsidR="00BF36E8">
              <w:rPr>
                <w:rFonts w:eastAsia="MS Mincho" w:cstheme="minorHAnsi"/>
              </w:rPr>
              <w:t xml:space="preserve"> months.</w:t>
            </w:r>
          </w:p>
        </w:tc>
        <w:tc>
          <w:tcPr>
            <w:tcW w:w="1054" w:type="pct"/>
          </w:tcPr>
          <w:p w14:paraId="53B795A4" w14:textId="77777777" w:rsidR="00DE016E" w:rsidRDefault="000C4511" w:rsidP="00C324F3">
            <w:pPr>
              <w:pStyle w:val="Tablewriting"/>
              <w:numPr>
                <w:ilvl w:val="0"/>
                <w:numId w:val="88"/>
              </w:numPr>
              <w:rPr>
                <w:rFonts w:eastAsia="MS Mincho" w:cstheme="minorHAnsi"/>
              </w:rPr>
            </w:pPr>
            <w:r w:rsidRPr="00017AE6">
              <w:rPr>
                <w:rFonts w:eastAsia="MS Mincho" w:cstheme="minorHAnsi"/>
              </w:rPr>
              <w:lastRenderedPageBreak/>
              <w:t>Varenicline 1.0 mg x 2/day</w:t>
            </w:r>
            <w:r w:rsidR="00DE016E">
              <w:rPr>
                <w:rFonts w:eastAsia="MS Mincho" w:cstheme="minorHAnsi"/>
              </w:rPr>
              <w:t>.</w:t>
            </w:r>
          </w:p>
          <w:p w14:paraId="3AEEA85F" w14:textId="44F494A3" w:rsidR="000C4511" w:rsidRPr="00017AE6" w:rsidRDefault="000C4511" w:rsidP="00C324F3">
            <w:pPr>
              <w:pStyle w:val="Tablewriting"/>
              <w:numPr>
                <w:ilvl w:val="0"/>
                <w:numId w:val="88"/>
              </w:numPr>
              <w:rPr>
                <w:rFonts w:eastAsia="MS Mincho" w:cstheme="minorHAnsi"/>
              </w:rPr>
            </w:pPr>
            <w:r w:rsidRPr="00017AE6">
              <w:rPr>
                <w:rFonts w:eastAsia="MS Mincho" w:cstheme="minorHAnsi"/>
              </w:rPr>
              <w:t>Placebo tablet x 2/day</w:t>
            </w:r>
            <w:r w:rsidR="00DE016E">
              <w:rPr>
                <w:rFonts w:eastAsia="MS Mincho" w:cstheme="minorHAnsi"/>
              </w:rPr>
              <w:t>.</w:t>
            </w:r>
          </w:p>
          <w:p w14:paraId="20A6B2D0" w14:textId="77777777" w:rsidR="00DE016E" w:rsidRDefault="00DE016E" w:rsidP="00A71365">
            <w:pPr>
              <w:pStyle w:val="Tablewriting"/>
              <w:rPr>
                <w:rFonts w:eastAsia="MS Mincho" w:cstheme="minorHAnsi"/>
              </w:rPr>
            </w:pPr>
          </w:p>
          <w:p w14:paraId="05C6973D" w14:textId="77777777" w:rsidR="00DE016E" w:rsidRDefault="000C4511" w:rsidP="00A71365">
            <w:pPr>
              <w:pStyle w:val="Tablewriting"/>
              <w:rPr>
                <w:rFonts w:eastAsia="MS Mincho" w:cstheme="minorHAnsi"/>
              </w:rPr>
            </w:pPr>
            <w:r w:rsidRPr="00017AE6">
              <w:rPr>
                <w:rFonts w:eastAsia="MS Mincho" w:cstheme="minorHAnsi"/>
              </w:rPr>
              <w:lastRenderedPageBreak/>
              <w:t>Treatment period 12 w</w:t>
            </w:r>
            <w:r w:rsidR="00DE016E">
              <w:rPr>
                <w:rFonts w:eastAsia="MS Mincho" w:cstheme="minorHAnsi"/>
              </w:rPr>
              <w:t>ee</w:t>
            </w:r>
            <w:r w:rsidRPr="00017AE6">
              <w:rPr>
                <w:rFonts w:eastAsia="MS Mincho" w:cstheme="minorHAnsi"/>
              </w:rPr>
              <w:t>ks, 1st w</w:t>
            </w:r>
            <w:r w:rsidR="00DE016E">
              <w:rPr>
                <w:rFonts w:eastAsia="MS Mincho" w:cstheme="minorHAnsi"/>
              </w:rPr>
              <w:t>ee</w:t>
            </w:r>
            <w:r w:rsidRPr="00017AE6">
              <w:rPr>
                <w:rFonts w:eastAsia="MS Mincho" w:cstheme="minorHAnsi"/>
              </w:rPr>
              <w:t xml:space="preserve">k titrated dosage. </w:t>
            </w:r>
          </w:p>
          <w:p w14:paraId="7ED34F7B" w14:textId="77777777" w:rsidR="00DE016E" w:rsidRDefault="00DE016E" w:rsidP="00A71365">
            <w:pPr>
              <w:pStyle w:val="Tablewriting"/>
              <w:rPr>
                <w:rFonts w:eastAsia="MS Mincho" w:cstheme="minorHAnsi"/>
              </w:rPr>
            </w:pPr>
          </w:p>
          <w:p w14:paraId="467FECCF" w14:textId="4238F45C" w:rsidR="000C4511" w:rsidRPr="00017AE6" w:rsidRDefault="00DE016E"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0C4511" w:rsidRPr="00017AE6">
              <w:rPr>
                <w:rFonts w:eastAsia="MS Mincho" w:cstheme="minorHAnsi"/>
              </w:rPr>
              <w:t>All participants received a smoking cessation booklet</w:t>
            </w:r>
            <w:r>
              <w:rPr>
                <w:rFonts w:eastAsia="MS Mincho" w:cstheme="minorHAnsi"/>
              </w:rPr>
              <w:t xml:space="preserve"> </w:t>
            </w:r>
            <w:r w:rsidR="000C4511" w:rsidRPr="00017AE6">
              <w:rPr>
                <w:rFonts w:eastAsia="MS Mincho" w:cstheme="minorHAnsi"/>
              </w:rPr>
              <w:t>at baseline, + brief counselling (</w:t>
            </w:r>
            <w:r w:rsidR="002B0BA6" w:rsidRPr="007563F9">
              <w:rPr>
                <w:rFonts w:eastAsia="MS Mincho" w:cstheme="minorHAnsi"/>
              </w:rPr>
              <w:t>≤</w:t>
            </w:r>
            <w:r w:rsidR="000C4511" w:rsidRPr="00017AE6">
              <w:rPr>
                <w:rFonts w:eastAsia="MS Mincho" w:cstheme="minorHAnsi"/>
              </w:rPr>
              <w:t xml:space="preserve"> 10 mins) at each clinic visit, except for w</w:t>
            </w:r>
            <w:r w:rsidR="002B0BA6">
              <w:rPr>
                <w:rFonts w:eastAsia="MS Mincho" w:cstheme="minorHAnsi"/>
              </w:rPr>
              <w:t>ee</w:t>
            </w:r>
            <w:r w:rsidR="000C4511" w:rsidRPr="00017AE6">
              <w:rPr>
                <w:rFonts w:eastAsia="MS Mincho" w:cstheme="minorHAnsi"/>
              </w:rPr>
              <w:t>ks 5 and 7, when counselling</w:t>
            </w:r>
          </w:p>
          <w:p w14:paraId="34ACA647" w14:textId="6F550697" w:rsidR="000C4511" w:rsidRPr="00017AE6" w:rsidRDefault="000C4511" w:rsidP="00A71365">
            <w:pPr>
              <w:pStyle w:val="Tablewriting"/>
              <w:rPr>
                <w:rFonts w:eastAsia="MS Mincho" w:cstheme="minorHAnsi"/>
              </w:rPr>
            </w:pPr>
            <w:r w:rsidRPr="00017AE6">
              <w:rPr>
                <w:rFonts w:eastAsia="MS Mincho" w:cstheme="minorHAnsi"/>
              </w:rPr>
              <w:t>was conducted by phone</w:t>
            </w:r>
            <w:r w:rsidR="002B0BA6">
              <w:rPr>
                <w:rFonts w:eastAsia="MS Mincho" w:cstheme="minorHAnsi"/>
              </w:rPr>
              <w:t>.</w:t>
            </w:r>
          </w:p>
          <w:p w14:paraId="662271B7" w14:textId="77777777" w:rsidR="002B0BA6" w:rsidRDefault="002B0BA6" w:rsidP="00A71365">
            <w:pPr>
              <w:pStyle w:val="Tablewriting"/>
              <w:rPr>
                <w:rFonts w:eastAsia="MS Mincho" w:cstheme="minorHAnsi"/>
              </w:rPr>
            </w:pPr>
          </w:p>
          <w:p w14:paraId="5E73CCE7" w14:textId="7B038231" w:rsidR="000C4511" w:rsidRPr="00017AE6" w:rsidRDefault="000C4511" w:rsidP="00A71365">
            <w:pPr>
              <w:pStyle w:val="Tablewriting"/>
              <w:rPr>
                <w:rFonts w:eastAsia="MS Mincho" w:cstheme="minorHAnsi"/>
              </w:rPr>
            </w:pPr>
            <w:r w:rsidRPr="00017AE6">
              <w:rPr>
                <w:rFonts w:eastAsia="MS Mincho" w:cstheme="minorHAnsi"/>
              </w:rPr>
              <w:t>In follow-up phase, clinic visits at w</w:t>
            </w:r>
            <w:r w:rsidR="002B0BA6">
              <w:rPr>
                <w:rFonts w:eastAsia="MS Mincho" w:cstheme="minorHAnsi"/>
              </w:rPr>
              <w:t>ee</w:t>
            </w:r>
            <w:r w:rsidRPr="00017AE6">
              <w:rPr>
                <w:rFonts w:eastAsia="MS Mincho" w:cstheme="minorHAnsi"/>
              </w:rPr>
              <w:t>ks 13, 16, 20, 24 plus brief phone calls at w</w:t>
            </w:r>
            <w:r w:rsidR="002B0BA6">
              <w:rPr>
                <w:rFonts w:eastAsia="MS Mincho" w:cstheme="minorHAnsi"/>
              </w:rPr>
              <w:t>ee</w:t>
            </w:r>
            <w:r w:rsidRPr="00017AE6">
              <w:rPr>
                <w:rFonts w:eastAsia="MS Mincho" w:cstheme="minorHAnsi"/>
              </w:rPr>
              <w:t>ks 14, 18, 22. Dosing and</w:t>
            </w:r>
          </w:p>
          <w:p w14:paraId="3DBE3914" w14:textId="43FC18B0" w:rsidR="00C25F5E" w:rsidRPr="00017AE6" w:rsidRDefault="000C4511" w:rsidP="00A71365">
            <w:pPr>
              <w:pStyle w:val="Tablewriting"/>
              <w:rPr>
                <w:rFonts w:eastAsia="MS Mincho" w:cstheme="minorHAnsi"/>
              </w:rPr>
            </w:pPr>
            <w:r w:rsidRPr="00017AE6">
              <w:rPr>
                <w:rFonts w:eastAsia="MS Mincho" w:cstheme="minorHAnsi"/>
              </w:rPr>
              <w:t>CO checked at each visit, and lab samples taken at w</w:t>
            </w:r>
            <w:r w:rsidR="002B0BA6">
              <w:rPr>
                <w:rFonts w:eastAsia="MS Mincho" w:cstheme="minorHAnsi"/>
              </w:rPr>
              <w:t>ee</w:t>
            </w:r>
            <w:r w:rsidRPr="00017AE6">
              <w:rPr>
                <w:rFonts w:eastAsia="MS Mincho" w:cstheme="minorHAnsi"/>
              </w:rPr>
              <w:t>ks 12 and 24</w:t>
            </w:r>
            <w:r w:rsidR="002B0BA6">
              <w:rPr>
                <w:rFonts w:eastAsia="MS Mincho" w:cstheme="minorHAnsi"/>
              </w:rPr>
              <w:t>.</w:t>
            </w:r>
          </w:p>
        </w:tc>
        <w:tc>
          <w:tcPr>
            <w:tcW w:w="959" w:type="pct"/>
          </w:tcPr>
          <w:p w14:paraId="15F9FAAB" w14:textId="77777777" w:rsidR="002B0BA6" w:rsidRPr="002B0BA6" w:rsidRDefault="002B0BA6" w:rsidP="00A71365">
            <w:pPr>
              <w:pStyle w:val="Tablewriting"/>
              <w:rPr>
                <w:rFonts w:eastAsia="MS Mincho" w:cstheme="minorHAnsi"/>
                <w:u w:val="single"/>
              </w:rPr>
            </w:pPr>
            <w:r w:rsidRPr="002B0BA6">
              <w:rPr>
                <w:rFonts w:eastAsia="MS Mincho" w:cstheme="minorHAnsi"/>
                <w:u w:val="single"/>
              </w:rPr>
              <w:lastRenderedPageBreak/>
              <w:t>Efficacy:</w:t>
            </w:r>
          </w:p>
          <w:p w14:paraId="2D065E14" w14:textId="1695BB32" w:rsidR="006D2AA3" w:rsidRPr="00017AE6" w:rsidRDefault="006D2AA3" w:rsidP="00A71365">
            <w:pPr>
              <w:pStyle w:val="Tablewriting"/>
              <w:rPr>
                <w:rFonts w:eastAsia="MS Mincho" w:cstheme="minorHAnsi"/>
              </w:rPr>
            </w:pPr>
            <w:r w:rsidRPr="00017AE6">
              <w:rPr>
                <w:rFonts w:eastAsia="MS Mincho" w:cstheme="minorHAnsi"/>
              </w:rPr>
              <w:t>Primary outcome: CO-confirmed CAR for w</w:t>
            </w:r>
            <w:r w:rsidR="002B0BA6">
              <w:rPr>
                <w:rFonts w:eastAsia="MS Mincho" w:cstheme="minorHAnsi"/>
              </w:rPr>
              <w:t>ee</w:t>
            </w:r>
            <w:r w:rsidRPr="00017AE6">
              <w:rPr>
                <w:rFonts w:eastAsia="MS Mincho" w:cstheme="minorHAnsi"/>
              </w:rPr>
              <w:t xml:space="preserve">ks </w:t>
            </w:r>
            <w:r w:rsidR="002B0BA6">
              <w:rPr>
                <w:rFonts w:eastAsia="MS Mincho" w:cstheme="minorHAnsi"/>
              </w:rPr>
              <w:t>(</w:t>
            </w:r>
            <w:r w:rsidRPr="00017AE6">
              <w:rPr>
                <w:rFonts w:eastAsia="MS Mincho" w:cstheme="minorHAnsi"/>
              </w:rPr>
              <w:t xml:space="preserve">9 </w:t>
            </w:r>
            <w:r w:rsidR="002B0BA6">
              <w:rPr>
                <w:rFonts w:eastAsia="MS Mincho" w:cstheme="minorHAnsi"/>
              </w:rPr>
              <w:t>–</w:t>
            </w:r>
            <w:r w:rsidRPr="00017AE6">
              <w:rPr>
                <w:rFonts w:eastAsia="MS Mincho" w:cstheme="minorHAnsi"/>
              </w:rPr>
              <w:t xml:space="preserve"> 12</w:t>
            </w:r>
            <w:r w:rsidR="002B0BA6">
              <w:rPr>
                <w:rFonts w:eastAsia="MS Mincho" w:cstheme="minorHAnsi"/>
              </w:rPr>
              <w:t>),</w:t>
            </w:r>
          </w:p>
          <w:p w14:paraId="6853DE49" w14:textId="5529D1CF" w:rsidR="006D2AA3" w:rsidRPr="00017AE6" w:rsidRDefault="006D2AA3" w:rsidP="00A71365">
            <w:pPr>
              <w:pStyle w:val="Tablewriting"/>
              <w:rPr>
                <w:rFonts w:eastAsia="MS Mincho" w:cstheme="minorHAnsi"/>
              </w:rPr>
            </w:pPr>
            <w:r w:rsidRPr="00017AE6">
              <w:rPr>
                <w:rFonts w:eastAsia="MS Mincho" w:cstheme="minorHAnsi"/>
              </w:rPr>
              <w:lastRenderedPageBreak/>
              <w:t>Secondary outcomes: CO-confirmed CAR for w</w:t>
            </w:r>
            <w:r w:rsidR="002B0BA6">
              <w:rPr>
                <w:rFonts w:eastAsia="MS Mincho" w:cstheme="minorHAnsi"/>
              </w:rPr>
              <w:t>ee</w:t>
            </w:r>
            <w:r w:rsidRPr="00017AE6">
              <w:rPr>
                <w:rFonts w:eastAsia="MS Mincho" w:cstheme="minorHAnsi"/>
              </w:rPr>
              <w:t xml:space="preserve">ks </w:t>
            </w:r>
            <w:r w:rsidR="002B0BA6">
              <w:rPr>
                <w:rFonts w:eastAsia="MS Mincho" w:cstheme="minorHAnsi"/>
              </w:rPr>
              <w:t>(</w:t>
            </w:r>
            <w:r w:rsidRPr="00017AE6">
              <w:rPr>
                <w:rFonts w:eastAsia="MS Mincho" w:cstheme="minorHAnsi"/>
              </w:rPr>
              <w:t xml:space="preserve">9 </w:t>
            </w:r>
            <w:r w:rsidR="002B0BA6">
              <w:rPr>
                <w:rFonts w:eastAsia="MS Mincho" w:cstheme="minorHAnsi"/>
              </w:rPr>
              <w:t>–</w:t>
            </w:r>
            <w:r w:rsidRPr="00017AE6">
              <w:rPr>
                <w:rFonts w:eastAsia="MS Mincho" w:cstheme="minorHAnsi"/>
              </w:rPr>
              <w:t xml:space="preserve"> 24</w:t>
            </w:r>
            <w:r w:rsidR="002B0BA6">
              <w:rPr>
                <w:rFonts w:eastAsia="MS Mincho" w:cstheme="minorHAnsi"/>
              </w:rPr>
              <w:t>)</w:t>
            </w:r>
            <w:r w:rsidRPr="00017AE6">
              <w:rPr>
                <w:rFonts w:eastAsia="MS Mincho" w:cstheme="minorHAnsi"/>
              </w:rPr>
              <w:t>; 7-day PPA at 24 w</w:t>
            </w:r>
            <w:r w:rsidR="002B0BA6">
              <w:rPr>
                <w:rFonts w:eastAsia="MS Mincho" w:cstheme="minorHAnsi"/>
              </w:rPr>
              <w:t>ee</w:t>
            </w:r>
            <w:r w:rsidRPr="00017AE6">
              <w:rPr>
                <w:rFonts w:eastAsia="MS Mincho" w:cstheme="minorHAnsi"/>
              </w:rPr>
              <w:t>ks</w:t>
            </w:r>
            <w:r w:rsidR="002B0BA6">
              <w:rPr>
                <w:rFonts w:eastAsia="MS Mincho" w:cstheme="minorHAnsi"/>
              </w:rPr>
              <w:t>.</w:t>
            </w:r>
          </w:p>
          <w:p w14:paraId="2C090CFA" w14:textId="77777777" w:rsidR="002B0BA6" w:rsidRPr="00017AE6" w:rsidRDefault="002B0BA6" w:rsidP="00A71365">
            <w:pPr>
              <w:pStyle w:val="Tablewriting"/>
              <w:rPr>
                <w:rFonts w:eastAsia="MS Mincho" w:cstheme="minorHAnsi"/>
              </w:rPr>
            </w:pPr>
          </w:p>
          <w:p w14:paraId="7483791F" w14:textId="77777777" w:rsidR="006D2AA3" w:rsidRPr="00017AE6" w:rsidRDefault="006D2AA3" w:rsidP="00A71365">
            <w:pPr>
              <w:pStyle w:val="Tablewriting"/>
              <w:rPr>
                <w:rFonts w:eastAsia="MS Mincho" w:cstheme="minorHAnsi"/>
              </w:rPr>
            </w:pPr>
            <w:r w:rsidRPr="00017AE6">
              <w:rPr>
                <w:rFonts w:eastAsia="MS Mincho" w:cstheme="minorHAnsi"/>
              </w:rPr>
              <w:t>Validation by expired CO &lt; 10 ppm</w:t>
            </w:r>
          </w:p>
          <w:p w14:paraId="24475A7D" w14:textId="77777777" w:rsidR="002B0BA6" w:rsidRDefault="002B0BA6" w:rsidP="00A71365">
            <w:pPr>
              <w:pStyle w:val="Tablewriting"/>
              <w:rPr>
                <w:rFonts w:eastAsia="MS Mincho" w:cstheme="minorHAnsi"/>
              </w:rPr>
            </w:pPr>
          </w:p>
          <w:p w14:paraId="5B5A33BA" w14:textId="79A5433B" w:rsidR="0073734A" w:rsidRPr="0073734A" w:rsidRDefault="0073734A" w:rsidP="00A71365">
            <w:pPr>
              <w:pStyle w:val="Tablewriting"/>
              <w:rPr>
                <w:rFonts w:eastAsia="MS Mincho" w:cstheme="minorHAnsi"/>
                <w:u w:val="single"/>
              </w:rPr>
            </w:pPr>
            <w:r w:rsidRPr="0073734A">
              <w:rPr>
                <w:rFonts w:eastAsia="MS Mincho" w:cstheme="minorHAnsi"/>
                <w:u w:val="single"/>
              </w:rPr>
              <w:t>Safety:</w:t>
            </w:r>
            <w:r>
              <w:rPr>
                <w:rFonts w:eastAsia="MS Mincho" w:cstheme="minorHAnsi"/>
                <w:u w:val="single"/>
              </w:rPr>
              <w:t xml:space="preserve"> </w:t>
            </w:r>
            <w:r w:rsidRPr="0073734A">
              <w:rPr>
                <w:rFonts w:eastAsia="MS Mincho" w:cstheme="minorHAnsi"/>
              </w:rPr>
              <w:t>Adverse</w:t>
            </w:r>
            <w:r w:rsidR="006D2AA3" w:rsidRPr="00017AE6">
              <w:rPr>
                <w:rFonts w:eastAsia="MS Mincho" w:cstheme="minorHAnsi"/>
              </w:rPr>
              <w:t xml:space="preserve"> events</w:t>
            </w:r>
            <w:r>
              <w:rPr>
                <w:rFonts w:eastAsia="MS Mincho" w:cstheme="minorHAnsi"/>
              </w:rPr>
              <w:t>.</w:t>
            </w:r>
          </w:p>
          <w:p w14:paraId="31202195" w14:textId="77777777" w:rsidR="0073734A" w:rsidRDefault="0073734A" w:rsidP="00A71365">
            <w:pPr>
              <w:pStyle w:val="Tablewriting"/>
              <w:rPr>
                <w:rFonts w:eastAsia="MS Mincho" w:cstheme="minorHAnsi"/>
              </w:rPr>
            </w:pPr>
          </w:p>
          <w:p w14:paraId="72CA9BF6" w14:textId="6FF8FFFC" w:rsidR="006D2AA3" w:rsidRPr="00017AE6" w:rsidRDefault="006D2AA3" w:rsidP="00A71365">
            <w:pPr>
              <w:pStyle w:val="Tablewriting"/>
              <w:rPr>
                <w:rFonts w:eastAsia="MS Mincho" w:cstheme="minorHAnsi"/>
              </w:rPr>
            </w:pPr>
            <w:r w:rsidRPr="0073734A">
              <w:rPr>
                <w:rFonts w:eastAsia="MS Mincho" w:cstheme="minorHAnsi"/>
                <w:u w:val="single"/>
              </w:rPr>
              <w:t>Other</w:t>
            </w:r>
            <w:r w:rsidRPr="00017AE6">
              <w:rPr>
                <w:rFonts w:eastAsia="MS Mincho" w:cstheme="minorHAnsi"/>
              </w:rPr>
              <w:t xml:space="preserve">: </w:t>
            </w:r>
            <w:r w:rsidR="0073734A">
              <w:rPr>
                <w:rFonts w:eastAsia="MS Mincho" w:cstheme="minorHAnsi"/>
              </w:rPr>
              <w:t>L</w:t>
            </w:r>
            <w:r w:rsidRPr="00017AE6">
              <w:rPr>
                <w:rFonts w:eastAsia="MS Mincho" w:cstheme="minorHAnsi"/>
              </w:rPr>
              <w:t>ong-term quit rates</w:t>
            </w:r>
            <w:r w:rsidR="0073734A">
              <w:rPr>
                <w:rFonts w:eastAsia="MS Mincho" w:cstheme="minorHAnsi"/>
              </w:rPr>
              <w:t>.</w:t>
            </w:r>
          </w:p>
          <w:p w14:paraId="03EE1555" w14:textId="77777777" w:rsidR="0073734A" w:rsidRPr="00017AE6" w:rsidRDefault="0073734A" w:rsidP="00A71365">
            <w:pPr>
              <w:pStyle w:val="Tablewriting"/>
              <w:rPr>
                <w:rFonts w:eastAsia="MS Mincho" w:cstheme="minorHAnsi"/>
              </w:rPr>
            </w:pPr>
          </w:p>
          <w:p w14:paraId="45A09359" w14:textId="355921E4" w:rsidR="006D2AA3" w:rsidRPr="00017AE6" w:rsidRDefault="006D2AA3" w:rsidP="00A71365">
            <w:pPr>
              <w:pStyle w:val="Tablewriting"/>
              <w:rPr>
                <w:rFonts w:eastAsia="MS Mincho" w:cstheme="minorHAnsi"/>
              </w:rPr>
            </w:pPr>
          </w:p>
        </w:tc>
      </w:tr>
      <w:tr w:rsidR="003D3459" w:rsidRPr="00017AE6" w14:paraId="535CE4B5" w14:textId="77777777" w:rsidTr="005821B1">
        <w:trPr>
          <w:trHeight w:val="99"/>
        </w:trPr>
        <w:tc>
          <w:tcPr>
            <w:tcW w:w="761" w:type="pct"/>
          </w:tcPr>
          <w:p w14:paraId="6C740852" w14:textId="033B7330" w:rsidR="00C25F5E" w:rsidRPr="00017AE6" w:rsidRDefault="00C25F5E" w:rsidP="00A71365">
            <w:pPr>
              <w:pStyle w:val="Tablewriting"/>
              <w:rPr>
                <w:rFonts w:eastAsia="MS Mincho" w:cstheme="minorHAnsi"/>
              </w:rPr>
            </w:pPr>
            <w:r w:rsidRPr="00017AE6">
              <w:rPr>
                <w:rFonts w:eastAsia="MS Mincho" w:cstheme="minorHAnsi"/>
              </w:rPr>
              <w:lastRenderedPageBreak/>
              <w:t xml:space="preserve">Westergaard </w:t>
            </w:r>
            <w:r w:rsidR="00DF0515">
              <w:rPr>
                <w:rFonts w:eastAsia="MS Mincho" w:cstheme="minorHAnsi"/>
              </w:rPr>
              <w:t>(</w:t>
            </w:r>
            <w:r w:rsidRPr="00017AE6">
              <w:rPr>
                <w:rFonts w:eastAsia="MS Mincho" w:cstheme="minorHAnsi"/>
              </w:rPr>
              <w:t>2015</w:t>
            </w:r>
            <w:r w:rsidR="00DF0515">
              <w:rPr>
                <w:rFonts w:eastAsia="MS Mincho" w:cstheme="minorHAnsi"/>
              </w:rPr>
              <w:t>)</w:t>
            </w:r>
          </w:p>
        </w:tc>
        <w:tc>
          <w:tcPr>
            <w:tcW w:w="235" w:type="pct"/>
          </w:tcPr>
          <w:p w14:paraId="3A701392" w14:textId="0E640EE8"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78ABA386" w14:textId="7B4089B8" w:rsidR="00C25F5E" w:rsidRPr="00017AE6" w:rsidRDefault="00DC39DB" w:rsidP="00A71365">
            <w:pPr>
              <w:pStyle w:val="Tablewriting"/>
              <w:rPr>
                <w:rFonts w:eastAsia="MS Mincho" w:cstheme="minorHAnsi"/>
              </w:rPr>
            </w:pPr>
            <w:r w:rsidRPr="00017AE6">
              <w:rPr>
                <w:rFonts w:eastAsia="MS Mincho" w:cstheme="minorHAnsi"/>
              </w:rPr>
              <w:t>Denmark</w:t>
            </w:r>
          </w:p>
        </w:tc>
        <w:tc>
          <w:tcPr>
            <w:tcW w:w="679" w:type="pct"/>
          </w:tcPr>
          <w:p w14:paraId="6BAD4390" w14:textId="27F4CA02" w:rsidR="00C25F5E" w:rsidRPr="00017AE6" w:rsidRDefault="00C25F5E" w:rsidP="00A71365">
            <w:pPr>
              <w:pStyle w:val="Tablewriting"/>
              <w:rPr>
                <w:rFonts w:eastAsia="MS Mincho" w:cstheme="minorHAnsi"/>
              </w:rPr>
            </w:pPr>
            <w:r w:rsidRPr="00017AE6">
              <w:rPr>
                <w:rFonts w:eastAsia="MS Mincho" w:cstheme="minorHAnsi"/>
              </w:rPr>
              <w:t>N=</w:t>
            </w:r>
            <w:r w:rsidR="00DC39DB" w:rsidRPr="00017AE6">
              <w:rPr>
                <w:rFonts w:eastAsia="MS Mincho" w:cstheme="minorHAnsi"/>
              </w:rPr>
              <w:t>52</w:t>
            </w:r>
            <w:r w:rsidR="001A4A73">
              <w:rPr>
                <w:rFonts w:eastAsia="MS Mincho" w:cstheme="minorHAnsi"/>
              </w:rPr>
              <w:t xml:space="preserve">; </w:t>
            </w:r>
            <w:r w:rsidR="001A4A73" w:rsidRPr="00017AE6">
              <w:rPr>
                <w:rFonts w:eastAsia="MS Mincho" w:cstheme="minorHAnsi"/>
              </w:rPr>
              <w:t>randomised to varenicline (26) or placebo (26).</w:t>
            </w:r>
          </w:p>
        </w:tc>
        <w:tc>
          <w:tcPr>
            <w:tcW w:w="851" w:type="pct"/>
          </w:tcPr>
          <w:p w14:paraId="7105DD20" w14:textId="0B54AACB" w:rsidR="00C25F5E" w:rsidRPr="00017AE6" w:rsidRDefault="00DC39DB" w:rsidP="00A71365">
            <w:pPr>
              <w:pStyle w:val="Tablewriting"/>
              <w:rPr>
                <w:rFonts w:eastAsia="MS Mincho" w:cstheme="minorHAnsi"/>
              </w:rPr>
            </w:pPr>
            <w:r w:rsidRPr="00017AE6">
              <w:rPr>
                <w:rFonts w:eastAsia="MS Mincho" w:cstheme="minorHAnsi"/>
              </w:rPr>
              <w:t xml:space="preserve">Young (aged 19 </w:t>
            </w:r>
            <w:r w:rsidR="0073734A">
              <w:rPr>
                <w:rFonts w:eastAsia="MS Mincho" w:cstheme="minorHAnsi"/>
              </w:rPr>
              <w:t>–</w:t>
            </w:r>
            <w:r w:rsidRPr="00017AE6">
              <w:rPr>
                <w:rFonts w:eastAsia="MS Mincho" w:cstheme="minorHAnsi"/>
              </w:rPr>
              <w:t xml:space="preserve"> 40) smokers with asthma, CPD </w:t>
            </w:r>
            <w:r w:rsidR="002B5EEB" w:rsidRPr="002B5EEB">
              <w:rPr>
                <w:rFonts w:eastAsia="MS Mincho" w:cstheme="minorHAnsi"/>
              </w:rPr>
              <w:t>≥</w:t>
            </w:r>
            <w:r w:rsidRPr="00017AE6">
              <w:rPr>
                <w:rFonts w:eastAsia="MS Mincho" w:cstheme="minorHAnsi"/>
              </w:rPr>
              <w:t xml:space="preserve"> 10; FTND 5.6</w:t>
            </w:r>
            <w:r w:rsidR="002B5EEB">
              <w:rPr>
                <w:rFonts w:eastAsia="MS Mincho" w:cstheme="minorHAnsi"/>
              </w:rPr>
              <w:t>.</w:t>
            </w:r>
          </w:p>
        </w:tc>
        <w:tc>
          <w:tcPr>
            <w:tcW w:w="1054" w:type="pct"/>
          </w:tcPr>
          <w:p w14:paraId="3263CD9C" w14:textId="77777777" w:rsidR="006C063F" w:rsidRDefault="003E03B2" w:rsidP="00C324F3">
            <w:pPr>
              <w:pStyle w:val="Tablewriting"/>
              <w:numPr>
                <w:ilvl w:val="0"/>
                <w:numId w:val="89"/>
              </w:numPr>
              <w:rPr>
                <w:rFonts w:eastAsia="MS Mincho" w:cstheme="minorHAnsi"/>
              </w:rPr>
            </w:pPr>
            <w:r w:rsidRPr="00017AE6">
              <w:rPr>
                <w:rFonts w:eastAsia="MS Mincho" w:cstheme="minorHAnsi"/>
              </w:rPr>
              <w:t>Varenicline</w:t>
            </w:r>
            <w:r w:rsidR="006C063F">
              <w:rPr>
                <w:rFonts w:eastAsia="MS Mincho" w:cstheme="minorHAnsi"/>
              </w:rPr>
              <w:t xml:space="preserve">; </w:t>
            </w:r>
            <w:r w:rsidRPr="00017AE6">
              <w:rPr>
                <w:rFonts w:eastAsia="MS Mincho" w:cstheme="minorHAnsi"/>
              </w:rPr>
              <w:t>presumed standard regimen:</w:t>
            </w:r>
            <w:r w:rsidR="006C063F">
              <w:rPr>
                <w:rFonts w:eastAsia="MS Mincho" w:cstheme="minorHAnsi"/>
              </w:rPr>
              <w:t xml:space="preserve"> </w:t>
            </w:r>
            <w:r w:rsidRPr="00017AE6">
              <w:rPr>
                <w:rFonts w:eastAsia="MS Mincho" w:cstheme="minorHAnsi"/>
              </w:rPr>
              <w:t>Varenicline 1.0 mg x 2/day</w:t>
            </w:r>
            <w:r w:rsidR="006C063F">
              <w:rPr>
                <w:rFonts w:eastAsia="MS Mincho" w:cstheme="minorHAnsi"/>
              </w:rPr>
              <w:t>.</w:t>
            </w:r>
          </w:p>
          <w:p w14:paraId="37191586" w14:textId="39D3AA72" w:rsidR="003E03B2" w:rsidRPr="00017AE6" w:rsidRDefault="003E03B2" w:rsidP="00C324F3">
            <w:pPr>
              <w:pStyle w:val="Tablewriting"/>
              <w:numPr>
                <w:ilvl w:val="0"/>
                <w:numId w:val="89"/>
              </w:numPr>
              <w:rPr>
                <w:rFonts w:eastAsia="MS Mincho" w:cstheme="minorHAnsi"/>
              </w:rPr>
            </w:pPr>
            <w:r w:rsidRPr="00017AE6">
              <w:rPr>
                <w:rFonts w:eastAsia="MS Mincho" w:cstheme="minorHAnsi"/>
              </w:rPr>
              <w:t>Placebo tablet x 2/day</w:t>
            </w:r>
            <w:r w:rsidR="006C063F">
              <w:rPr>
                <w:rFonts w:eastAsia="MS Mincho" w:cstheme="minorHAnsi"/>
              </w:rPr>
              <w:t>.</w:t>
            </w:r>
          </w:p>
          <w:p w14:paraId="670928F5" w14:textId="77777777" w:rsidR="006C063F" w:rsidRDefault="006C063F" w:rsidP="00A71365">
            <w:pPr>
              <w:pStyle w:val="Tablewriting"/>
              <w:rPr>
                <w:rFonts w:eastAsia="MS Mincho" w:cstheme="minorHAnsi"/>
              </w:rPr>
            </w:pPr>
          </w:p>
          <w:p w14:paraId="09011189" w14:textId="083EA9EA" w:rsidR="00C25F5E" w:rsidRPr="00017AE6" w:rsidRDefault="003E03B2" w:rsidP="00A71365">
            <w:pPr>
              <w:pStyle w:val="Tablewriting"/>
              <w:rPr>
                <w:rFonts w:eastAsia="MS Mincho" w:cstheme="minorHAnsi"/>
              </w:rPr>
            </w:pPr>
            <w:r w:rsidRPr="00017AE6">
              <w:rPr>
                <w:rFonts w:eastAsia="MS Mincho" w:cstheme="minorHAnsi"/>
              </w:rPr>
              <w:t>No further details</w:t>
            </w:r>
          </w:p>
        </w:tc>
        <w:tc>
          <w:tcPr>
            <w:tcW w:w="959" w:type="pct"/>
          </w:tcPr>
          <w:p w14:paraId="35734D34" w14:textId="77777777" w:rsidR="006C063F" w:rsidRPr="006C063F" w:rsidRDefault="006C063F" w:rsidP="00A71365">
            <w:pPr>
              <w:pStyle w:val="Tablewriting"/>
              <w:rPr>
                <w:rFonts w:eastAsia="MS Mincho" w:cstheme="minorHAnsi"/>
                <w:u w:val="single"/>
              </w:rPr>
            </w:pPr>
            <w:r w:rsidRPr="006C063F">
              <w:rPr>
                <w:rFonts w:eastAsia="MS Mincho" w:cstheme="minorHAnsi"/>
                <w:u w:val="single"/>
              </w:rPr>
              <w:t>Efficacy:</w:t>
            </w:r>
          </w:p>
          <w:p w14:paraId="16520CEB" w14:textId="7419008C" w:rsidR="003E03B2" w:rsidRPr="00017AE6" w:rsidRDefault="003E03B2" w:rsidP="00A71365">
            <w:pPr>
              <w:pStyle w:val="Tablewriting"/>
              <w:rPr>
                <w:rFonts w:eastAsia="MS Mincho" w:cstheme="minorHAnsi"/>
              </w:rPr>
            </w:pPr>
            <w:r w:rsidRPr="00017AE6">
              <w:rPr>
                <w:rFonts w:eastAsia="MS Mincho" w:cstheme="minorHAnsi"/>
              </w:rPr>
              <w:t>Primary: presumed PPA at 12 w</w:t>
            </w:r>
            <w:r w:rsidR="006C063F">
              <w:rPr>
                <w:rFonts w:eastAsia="MS Mincho" w:cstheme="minorHAnsi"/>
              </w:rPr>
              <w:t>ee</w:t>
            </w:r>
            <w:r w:rsidRPr="00017AE6">
              <w:rPr>
                <w:rFonts w:eastAsia="MS Mincho" w:cstheme="minorHAnsi"/>
              </w:rPr>
              <w:t>ks</w:t>
            </w:r>
            <w:r w:rsidR="006C063F">
              <w:rPr>
                <w:rFonts w:eastAsia="MS Mincho" w:cstheme="minorHAnsi"/>
              </w:rPr>
              <w:t>,</w:t>
            </w:r>
          </w:p>
          <w:p w14:paraId="64C6603F" w14:textId="56E48FA0" w:rsidR="003E03B2" w:rsidRPr="00017AE6" w:rsidRDefault="003E03B2" w:rsidP="00A71365">
            <w:pPr>
              <w:pStyle w:val="Tablewriting"/>
              <w:rPr>
                <w:rFonts w:eastAsia="MS Mincho" w:cstheme="minorHAnsi"/>
              </w:rPr>
            </w:pPr>
            <w:r w:rsidRPr="00017AE6">
              <w:rPr>
                <w:rFonts w:eastAsia="MS Mincho" w:cstheme="minorHAnsi"/>
              </w:rPr>
              <w:t>Secondary: presumed PPA at 0, 6, 24 w</w:t>
            </w:r>
            <w:r w:rsidR="006C063F">
              <w:rPr>
                <w:rFonts w:eastAsia="MS Mincho" w:cstheme="minorHAnsi"/>
              </w:rPr>
              <w:t>ee</w:t>
            </w:r>
            <w:r w:rsidRPr="00017AE6">
              <w:rPr>
                <w:rFonts w:eastAsia="MS Mincho" w:cstheme="minorHAnsi"/>
              </w:rPr>
              <w:t>ks</w:t>
            </w:r>
            <w:r w:rsidR="006C063F">
              <w:rPr>
                <w:rFonts w:eastAsia="MS Mincho" w:cstheme="minorHAnsi"/>
              </w:rPr>
              <w:t>.</w:t>
            </w:r>
          </w:p>
          <w:p w14:paraId="17395FEA" w14:textId="77777777" w:rsidR="006C063F" w:rsidRPr="00017AE6" w:rsidRDefault="006C063F" w:rsidP="00A71365">
            <w:pPr>
              <w:pStyle w:val="Tablewriting"/>
              <w:rPr>
                <w:rFonts w:eastAsia="MS Mincho" w:cstheme="minorHAnsi"/>
              </w:rPr>
            </w:pPr>
          </w:p>
          <w:p w14:paraId="296738AA" w14:textId="0F214ADC" w:rsidR="003E03B2" w:rsidRPr="00017AE6" w:rsidRDefault="003E03B2" w:rsidP="00A71365">
            <w:pPr>
              <w:pStyle w:val="Tablewriting"/>
              <w:rPr>
                <w:rFonts w:eastAsia="MS Mincho" w:cstheme="minorHAnsi"/>
              </w:rPr>
            </w:pPr>
            <w:r w:rsidRPr="00017AE6">
              <w:rPr>
                <w:rFonts w:eastAsia="MS Mincho" w:cstheme="minorHAnsi"/>
              </w:rPr>
              <w:t>Validation by expired CO &lt; 10 ppm</w:t>
            </w:r>
            <w:r w:rsidR="006C063F">
              <w:rPr>
                <w:rFonts w:eastAsia="MS Mincho" w:cstheme="minorHAnsi"/>
              </w:rPr>
              <w:t>.</w:t>
            </w:r>
          </w:p>
          <w:p w14:paraId="6CA0D650" w14:textId="77777777" w:rsidR="006C063F" w:rsidRPr="00017AE6" w:rsidRDefault="006C063F" w:rsidP="00A71365">
            <w:pPr>
              <w:pStyle w:val="Tablewriting"/>
              <w:rPr>
                <w:rFonts w:eastAsia="MS Mincho" w:cstheme="minorHAnsi"/>
              </w:rPr>
            </w:pPr>
          </w:p>
          <w:p w14:paraId="090A6075" w14:textId="6C79C8BA" w:rsidR="00C25F5E" w:rsidRPr="00017AE6" w:rsidRDefault="00B47021" w:rsidP="00A71365">
            <w:pPr>
              <w:pStyle w:val="Tablewriting"/>
              <w:rPr>
                <w:rFonts w:eastAsia="MS Mincho" w:cstheme="minorHAnsi"/>
              </w:rPr>
            </w:pPr>
            <w:r w:rsidRPr="00AC5AD8">
              <w:rPr>
                <w:rFonts w:eastAsia="MS Mincho" w:cstheme="minorHAnsi"/>
                <w:u w:val="single"/>
              </w:rPr>
              <w:t>Safety:</w:t>
            </w:r>
            <w:r w:rsidRPr="00AC5AD8">
              <w:rPr>
                <w:rFonts w:eastAsia="MS Mincho" w:cstheme="minorHAnsi"/>
              </w:rPr>
              <w:t xml:space="preserve"> N</w:t>
            </w:r>
            <w:r w:rsidR="00AC5AD8" w:rsidRPr="00AC5AD8">
              <w:rPr>
                <w:rFonts w:eastAsia="MS Mincho" w:cstheme="minorHAnsi"/>
              </w:rPr>
              <w:t>R; however</w:t>
            </w:r>
            <w:r w:rsidR="00053653" w:rsidRPr="00AC5AD8">
              <w:rPr>
                <w:rFonts w:eastAsia="MS Mincho" w:cstheme="minorHAnsi"/>
              </w:rPr>
              <w:t xml:space="preserve"> a</w:t>
            </w:r>
            <w:r w:rsidR="003E03B2" w:rsidRPr="00AC5AD8">
              <w:rPr>
                <w:rFonts w:eastAsia="MS Mincho" w:cstheme="minorHAnsi"/>
              </w:rPr>
              <w:t>lso assessed asthma symptom score, general health quality score (15D) and methacholine challenge</w:t>
            </w:r>
            <w:r w:rsidRPr="00AC5AD8">
              <w:rPr>
                <w:rFonts w:eastAsia="MS Mincho" w:cstheme="minorHAnsi"/>
              </w:rPr>
              <w:t>.</w:t>
            </w:r>
          </w:p>
        </w:tc>
      </w:tr>
      <w:tr w:rsidR="003D3459" w:rsidRPr="00017AE6" w14:paraId="615C7E42" w14:textId="77777777" w:rsidTr="005821B1">
        <w:trPr>
          <w:trHeight w:val="99"/>
        </w:trPr>
        <w:tc>
          <w:tcPr>
            <w:tcW w:w="761" w:type="pct"/>
          </w:tcPr>
          <w:p w14:paraId="2DBEE7D2" w14:textId="1B951DD6" w:rsidR="00C25F5E" w:rsidRPr="00017AE6" w:rsidRDefault="00C25F5E" w:rsidP="00A71365">
            <w:pPr>
              <w:pStyle w:val="Tablewriting"/>
              <w:rPr>
                <w:rFonts w:eastAsia="MS Mincho" w:cstheme="minorHAnsi"/>
              </w:rPr>
            </w:pPr>
            <w:r w:rsidRPr="00017AE6">
              <w:rPr>
                <w:rFonts w:eastAsia="MS Mincho" w:cstheme="minorHAnsi"/>
              </w:rPr>
              <w:lastRenderedPageBreak/>
              <w:t xml:space="preserve">Wong </w:t>
            </w:r>
            <w:r w:rsidR="00DF0515">
              <w:rPr>
                <w:rFonts w:eastAsia="MS Mincho" w:cstheme="minorHAnsi"/>
              </w:rPr>
              <w:t>(</w:t>
            </w:r>
            <w:r w:rsidRPr="00017AE6">
              <w:rPr>
                <w:rFonts w:eastAsia="MS Mincho" w:cstheme="minorHAnsi"/>
              </w:rPr>
              <w:t>2012</w:t>
            </w:r>
            <w:r w:rsidR="00DF0515">
              <w:rPr>
                <w:rFonts w:eastAsia="MS Mincho" w:cstheme="minorHAnsi"/>
              </w:rPr>
              <w:t>)</w:t>
            </w:r>
          </w:p>
        </w:tc>
        <w:tc>
          <w:tcPr>
            <w:tcW w:w="235" w:type="pct"/>
          </w:tcPr>
          <w:p w14:paraId="0FD024A1" w14:textId="2F9CA5F6" w:rsidR="00C25F5E" w:rsidRPr="00017AE6" w:rsidRDefault="00C25F5E" w:rsidP="00A71365">
            <w:pPr>
              <w:pStyle w:val="Tablewriting"/>
              <w:rPr>
                <w:rFonts w:eastAsia="MS Mincho" w:cstheme="minorHAnsi"/>
              </w:rPr>
            </w:pPr>
            <w:r w:rsidRPr="00017AE6">
              <w:rPr>
                <w:rFonts w:eastAsia="MS Mincho" w:cstheme="minorHAnsi"/>
              </w:rPr>
              <w:t>RCT</w:t>
            </w:r>
          </w:p>
        </w:tc>
        <w:tc>
          <w:tcPr>
            <w:tcW w:w="462" w:type="pct"/>
          </w:tcPr>
          <w:p w14:paraId="3F19F6F3" w14:textId="1A9915CF" w:rsidR="00C25F5E" w:rsidRPr="00017AE6" w:rsidRDefault="003E03B2" w:rsidP="00A71365">
            <w:pPr>
              <w:pStyle w:val="Tablewriting"/>
              <w:rPr>
                <w:rFonts w:eastAsia="MS Mincho" w:cstheme="minorHAnsi"/>
              </w:rPr>
            </w:pPr>
            <w:r w:rsidRPr="00017AE6">
              <w:rPr>
                <w:rFonts w:eastAsia="MS Mincho" w:cstheme="minorHAnsi"/>
              </w:rPr>
              <w:t>Canada</w:t>
            </w:r>
          </w:p>
        </w:tc>
        <w:tc>
          <w:tcPr>
            <w:tcW w:w="679" w:type="pct"/>
          </w:tcPr>
          <w:p w14:paraId="6223A689" w14:textId="2A05ABF7" w:rsidR="00C25F5E" w:rsidRPr="00017AE6" w:rsidRDefault="00C25F5E" w:rsidP="00A71365">
            <w:pPr>
              <w:pStyle w:val="Tablewriting"/>
              <w:rPr>
                <w:rFonts w:eastAsia="MS Mincho" w:cstheme="minorHAnsi"/>
              </w:rPr>
            </w:pPr>
            <w:r w:rsidRPr="00017AE6">
              <w:rPr>
                <w:rFonts w:eastAsia="MS Mincho" w:cstheme="minorHAnsi"/>
              </w:rPr>
              <w:t>N=</w:t>
            </w:r>
            <w:r w:rsidR="003E03B2" w:rsidRPr="00017AE6">
              <w:rPr>
                <w:rFonts w:eastAsia="MS Mincho" w:cstheme="minorHAnsi"/>
              </w:rPr>
              <w:t>286</w:t>
            </w:r>
            <w:r w:rsidR="00937455">
              <w:rPr>
                <w:rFonts w:eastAsia="MS Mincho" w:cstheme="minorHAnsi"/>
              </w:rPr>
              <w:t>; n=151 (</w:t>
            </w:r>
            <w:r w:rsidR="00937455" w:rsidRPr="00017AE6">
              <w:rPr>
                <w:rFonts w:eastAsia="MS Mincho" w:cstheme="minorHAnsi"/>
              </w:rPr>
              <w:t>varenicline)</w:t>
            </w:r>
            <w:r w:rsidR="00937455">
              <w:rPr>
                <w:rFonts w:eastAsia="MS Mincho" w:cstheme="minorHAnsi"/>
              </w:rPr>
              <w:t>, n=135 (</w:t>
            </w:r>
            <w:r w:rsidR="00937455" w:rsidRPr="00017AE6">
              <w:rPr>
                <w:rFonts w:eastAsia="MS Mincho" w:cstheme="minorHAnsi"/>
              </w:rPr>
              <w:t>placebo).</w:t>
            </w:r>
          </w:p>
        </w:tc>
        <w:tc>
          <w:tcPr>
            <w:tcW w:w="851" w:type="pct"/>
          </w:tcPr>
          <w:p w14:paraId="4498F77F" w14:textId="34071E59" w:rsidR="003E03B2" w:rsidRPr="00017AE6" w:rsidRDefault="003E03B2" w:rsidP="00A71365">
            <w:pPr>
              <w:pStyle w:val="Tablewriting"/>
              <w:rPr>
                <w:rFonts w:eastAsia="MS Mincho" w:cstheme="minorHAnsi"/>
              </w:rPr>
            </w:pPr>
            <w:r w:rsidRPr="00017AE6">
              <w:rPr>
                <w:rFonts w:eastAsia="MS Mincho" w:cstheme="minorHAnsi"/>
              </w:rPr>
              <w:t>Non-cardiac elective surgery patients, smoking 10+ CPD, no abstinence &gt; 3m in last year, scheduled</w:t>
            </w:r>
          </w:p>
          <w:p w14:paraId="0446A82A" w14:textId="77777777" w:rsidR="00937455" w:rsidRDefault="003E03B2" w:rsidP="00A71365">
            <w:pPr>
              <w:pStyle w:val="Tablewriting"/>
              <w:rPr>
                <w:rFonts w:eastAsia="MS Mincho" w:cstheme="minorHAnsi"/>
              </w:rPr>
            </w:pPr>
            <w:r w:rsidRPr="00017AE6">
              <w:rPr>
                <w:rFonts w:eastAsia="MS Mincho" w:cstheme="minorHAnsi"/>
              </w:rPr>
              <w:t xml:space="preserve">for surgery in the next 8 - 30 days. </w:t>
            </w:r>
          </w:p>
          <w:p w14:paraId="1EEF1B5C" w14:textId="77777777" w:rsidR="00937455" w:rsidRDefault="00937455" w:rsidP="00A71365">
            <w:pPr>
              <w:pStyle w:val="Tablewriting"/>
              <w:rPr>
                <w:rFonts w:eastAsia="MS Mincho" w:cstheme="minorHAnsi"/>
              </w:rPr>
            </w:pPr>
          </w:p>
          <w:p w14:paraId="3B5B9928" w14:textId="68BE89B1" w:rsidR="003E03B2" w:rsidRPr="00017AE6" w:rsidRDefault="003E03B2" w:rsidP="00A71365">
            <w:pPr>
              <w:pStyle w:val="Tablewriting"/>
              <w:rPr>
                <w:rFonts w:eastAsia="MS Mincho" w:cstheme="minorHAnsi"/>
              </w:rPr>
            </w:pPr>
            <w:r w:rsidRPr="00017AE6">
              <w:rPr>
                <w:rFonts w:eastAsia="MS Mincho" w:cstheme="minorHAnsi"/>
              </w:rPr>
              <w:t>Mean age 52.6</w:t>
            </w:r>
            <w:r w:rsidR="00937455">
              <w:rPr>
                <w:rFonts w:eastAsia="MS Mincho" w:cstheme="minorHAnsi"/>
              </w:rPr>
              <w:t xml:space="preserve"> years</w:t>
            </w:r>
            <w:r w:rsidRPr="00017AE6">
              <w:rPr>
                <w:rFonts w:eastAsia="MS Mincho" w:cstheme="minorHAnsi"/>
              </w:rPr>
              <w:t>, 47%</w:t>
            </w:r>
          </w:p>
          <w:p w14:paraId="0CB8C2F2" w14:textId="70B54A60" w:rsidR="00C25F5E" w:rsidRPr="00017AE6" w:rsidRDefault="003E03B2" w:rsidP="00A71365">
            <w:pPr>
              <w:pStyle w:val="Tablewriting"/>
              <w:rPr>
                <w:rFonts w:eastAsia="MS Mincho" w:cstheme="minorHAnsi"/>
              </w:rPr>
            </w:pPr>
            <w:r w:rsidRPr="00017AE6">
              <w:rPr>
                <w:rFonts w:eastAsia="MS Mincho" w:cstheme="minorHAnsi"/>
              </w:rPr>
              <w:t>women, mean CPD 17.4, mean FTND 4.8</w:t>
            </w:r>
            <w:r w:rsidR="00937455">
              <w:rPr>
                <w:rFonts w:eastAsia="MS Mincho" w:cstheme="minorHAnsi"/>
              </w:rPr>
              <w:t>.</w:t>
            </w:r>
          </w:p>
        </w:tc>
        <w:tc>
          <w:tcPr>
            <w:tcW w:w="1054" w:type="pct"/>
          </w:tcPr>
          <w:p w14:paraId="08D066EE" w14:textId="087EFEE2" w:rsidR="00A005C3" w:rsidRDefault="003E03B2" w:rsidP="00C324F3">
            <w:pPr>
              <w:pStyle w:val="Tablewriting"/>
              <w:numPr>
                <w:ilvl w:val="0"/>
                <w:numId w:val="90"/>
              </w:numPr>
              <w:rPr>
                <w:rFonts w:eastAsia="MS Mincho" w:cstheme="minorHAnsi"/>
              </w:rPr>
            </w:pPr>
            <w:r w:rsidRPr="00017AE6">
              <w:rPr>
                <w:rFonts w:eastAsia="MS Mincho" w:cstheme="minorHAnsi"/>
              </w:rPr>
              <w:t>Varenicline</w:t>
            </w:r>
            <w:r w:rsidR="00A005C3">
              <w:rPr>
                <w:rFonts w:eastAsia="MS Mincho" w:cstheme="minorHAnsi"/>
              </w:rPr>
              <w:t>;</w:t>
            </w:r>
            <w:r w:rsidRPr="00017AE6">
              <w:rPr>
                <w:rFonts w:eastAsia="MS Mincho" w:cstheme="minorHAnsi"/>
              </w:rPr>
              <w:t xml:space="preserve"> 12 w</w:t>
            </w:r>
            <w:r w:rsidR="00A005C3">
              <w:rPr>
                <w:rFonts w:eastAsia="MS Mincho" w:cstheme="minorHAnsi"/>
              </w:rPr>
              <w:t>ee</w:t>
            </w:r>
            <w:r w:rsidRPr="00017AE6">
              <w:rPr>
                <w:rFonts w:eastAsia="MS Mincho" w:cstheme="minorHAnsi"/>
              </w:rPr>
              <w:t>ks standard regimen, 1st w</w:t>
            </w:r>
            <w:r w:rsidR="00A005C3">
              <w:rPr>
                <w:rFonts w:eastAsia="MS Mincho" w:cstheme="minorHAnsi"/>
              </w:rPr>
              <w:t>ee</w:t>
            </w:r>
            <w:r w:rsidRPr="00017AE6">
              <w:rPr>
                <w:rFonts w:eastAsia="MS Mincho" w:cstheme="minorHAnsi"/>
              </w:rPr>
              <w:t>k titrated</w:t>
            </w:r>
            <w:r w:rsidR="00A005C3">
              <w:rPr>
                <w:rFonts w:eastAsia="MS Mincho" w:cstheme="minorHAnsi"/>
              </w:rPr>
              <w:t>.</w:t>
            </w:r>
          </w:p>
          <w:p w14:paraId="1FE0464A" w14:textId="2D5E9CD9" w:rsidR="00C25F5E" w:rsidRPr="00017AE6" w:rsidRDefault="003E03B2" w:rsidP="00C324F3">
            <w:pPr>
              <w:pStyle w:val="Tablewriting"/>
              <w:numPr>
                <w:ilvl w:val="0"/>
                <w:numId w:val="90"/>
              </w:numPr>
              <w:rPr>
                <w:rFonts w:eastAsia="MS Mincho" w:cstheme="minorHAnsi"/>
              </w:rPr>
            </w:pPr>
            <w:r w:rsidRPr="00017AE6">
              <w:rPr>
                <w:rFonts w:eastAsia="MS Mincho" w:cstheme="minorHAnsi"/>
              </w:rPr>
              <w:t>Placebo</w:t>
            </w:r>
            <w:r w:rsidR="00A005C3">
              <w:rPr>
                <w:rFonts w:eastAsia="MS Mincho" w:cstheme="minorHAnsi"/>
              </w:rPr>
              <w:t>;</w:t>
            </w:r>
            <w:r w:rsidRPr="00A005C3">
              <w:rPr>
                <w:rFonts w:eastAsia="MS Mincho" w:cstheme="minorHAnsi"/>
              </w:rPr>
              <w:t xml:space="preserve"> </w:t>
            </w:r>
            <w:r w:rsidR="00A005C3">
              <w:rPr>
                <w:rFonts w:eastAsia="MS Mincho" w:cstheme="minorHAnsi"/>
              </w:rPr>
              <w:t>i</w:t>
            </w:r>
            <w:r w:rsidRPr="00A005C3">
              <w:rPr>
                <w:rFonts w:eastAsia="MS Mincho" w:cstheme="minorHAnsi"/>
              </w:rPr>
              <w:t>dentical</w:t>
            </w:r>
            <w:r w:rsidRPr="00017AE6">
              <w:rPr>
                <w:rFonts w:eastAsia="MS Mincho" w:cstheme="minorHAnsi"/>
              </w:rPr>
              <w:t>-looking tablets and regimen</w:t>
            </w:r>
          </w:p>
          <w:p w14:paraId="101EDBC9" w14:textId="77777777" w:rsidR="00A005C3" w:rsidRDefault="00A005C3" w:rsidP="00A71365">
            <w:pPr>
              <w:pStyle w:val="Tablewriting"/>
              <w:rPr>
                <w:rFonts w:eastAsia="MS Mincho" w:cstheme="minorHAnsi"/>
              </w:rPr>
            </w:pPr>
          </w:p>
          <w:p w14:paraId="14F6E794" w14:textId="03FCD484" w:rsidR="00150E4A" w:rsidRDefault="00150E4A" w:rsidP="00A71365">
            <w:pPr>
              <w:pStyle w:val="Tablewriting"/>
              <w:rPr>
                <w:rFonts w:eastAsia="MS Mincho" w:cstheme="minorHAnsi"/>
              </w:rPr>
            </w:pPr>
            <w:r w:rsidRPr="00017AE6">
              <w:rPr>
                <w:rFonts w:eastAsia="MS Mincho" w:cstheme="minorHAnsi"/>
              </w:rPr>
              <w:t>Participants were invited to visit the hospital at 3, 6, and 12</w:t>
            </w:r>
            <w:r w:rsidR="00A005C3">
              <w:rPr>
                <w:rFonts w:eastAsia="MS Mincho" w:cstheme="minorHAnsi"/>
              </w:rPr>
              <w:t xml:space="preserve"> </w:t>
            </w:r>
            <w:r w:rsidRPr="00017AE6">
              <w:rPr>
                <w:rFonts w:eastAsia="MS Mincho" w:cstheme="minorHAnsi"/>
              </w:rPr>
              <w:t>m</w:t>
            </w:r>
            <w:r w:rsidR="00A005C3">
              <w:rPr>
                <w:rFonts w:eastAsia="MS Mincho" w:cstheme="minorHAnsi"/>
              </w:rPr>
              <w:t>onths</w:t>
            </w:r>
            <w:r w:rsidRPr="00017AE6">
              <w:rPr>
                <w:rFonts w:eastAsia="MS Mincho" w:cstheme="minorHAnsi"/>
              </w:rPr>
              <w:t>, for asses</w:t>
            </w:r>
            <w:r w:rsidR="009E2A27">
              <w:rPr>
                <w:rFonts w:eastAsia="MS Mincho" w:cstheme="minorHAnsi"/>
              </w:rPr>
              <w:t xml:space="preserve">sment and testing. Participants </w:t>
            </w:r>
            <w:r w:rsidRPr="00017AE6">
              <w:rPr>
                <w:rFonts w:eastAsia="MS Mincho" w:cstheme="minorHAnsi"/>
              </w:rPr>
              <w:t>unable to visit the hospital were sent a self-test urinary kit</w:t>
            </w:r>
            <w:r w:rsidR="00F802AA">
              <w:rPr>
                <w:rFonts w:eastAsia="MS Mincho" w:cstheme="minorHAnsi"/>
              </w:rPr>
              <w:t>.</w:t>
            </w:r>
          </w:p>
          <w:p w14:paraId="3DDB7DAF" w14:textId="77777777" w:rsidR="00937455" w:rsidRDefault="00937455" w:rsidP="00A71365">
            <w:pPr>
              <w:pStyle w:val="Tablewriting"/>
              <w:rPr>
                <w:rFonts w:eastAsia="MS Mincho" w:cstheme="minorHAnsi"/>
              </w:rPr>
            </w:pPr>
          </w:p>
          <w:p w14:paraId="15D7F961" w14:textId="77777777" w:rsidR="00932412" w:rsidRDefault="00937455" w:rsidP="00A71365">
            <w:pPr>
              <w:pStyle w:val="Tablewriting"/>
              <w:rPr>
                <w:rFonts w:eastAsia="MS Mincho" w:cstheme="minorHAnsi"/>
              </w:rPr>
            </w:pPr>
            <w:r w:rsidRPr="06BFFAED">
              <w:rPr>
                <w:rFonts w:eastAsia="MS Mincho" w:cstheme="minorBidi"/>
                <w:u w:val="single"/>
              </w:rPr>
              <w:t>Common components:</w:t>
            </w:r>
            <w:r w:rsidR="00932412">
              <w:rPr>
                <w:rFonts w:eastAsia="MS Mincho" w:cstheme="minorBidi"/>
                <w:u w:val="single"/>
              </w:rPr>
              <w:t xml:space="preserve"> </w:t>
            </w:r>
            <w:r w:rsidRPr="00017AE6">
              <w:rPr>
                <w:rFonts w:eastAsia="MS Mincho" w:cstheme="minorHAnsi"/>
              </w:rPr>
              <w:t xml:space="preserve">All participants received 2 standardised 15-min counselling sessions by researchers, 1 in pre-op clinic and 1 </w:t>
            </w:r>
            <w:r w:rsidR="00932412">
              <w:rPr>
                <w:rFonts w:eastAsia="MS Mincho" w:cstheme="minorHAnsi"/>
              </w:rPr>
              <w:t xml:space="preserve">at </w:t>
            </w:r>
            <w:r w:rsidRPr="00017AE6">
              <w:rPr>
                <w:rFonts w:eastAsia="MS Mincho" w:cstheme="minorHAnsi"/>
              </w:rPr>
              <w:t xml:space="preserve">24 hours after surgery, supplemented by written materials. </w:t>
            </w:r>
          </w:p>
          <w:p w14:paraId="28717B24" w14:textId="1986AB59" w:rsidR="00937455" w:rsidRPr="00017AE6" w:rsidRDefault="00937455" w:rsidP="00A71365">
            <w:pPr>
              <w:pStyle w:val="Tablewriting"/>
              <w:rPr>
                <w:rFonts w:eastAsia="MS Mincho" w:cstheme="minorHAnsi"/>
              </w:rPr>
            </w:pPr>
            <w:r w:rsidRPr="00017AE6">
              <w:rPr>
                <w:rFonts w:eastAsia="MS Mincho" w:cstheme="minorHAnsi"/>
              </w:rPr>
              <w:t>All participants retained the same counsellor throughout the process</w:t>
            </w:r>
            <w:r w:rsidR="00932412">
              <w:rPr>
                <w:rFonts w:eastAsia="MS Mincho" w:cstheme="minorHAnsi"/>
              </w:rPr>
              <w:t>.</w:t>
            </w:r>
          </w:p>
          <w:p w14:paraId="5EF207D9" w14:textId="77777777" w:rsidR="00932412" w:rsidRDefault="00932412" w:rsidP="00A71365">
            <w:pPr>
              <w:pStyle w:val="Tablewriting"/>
              <w:rPr>
                <w:rFonts w:eastAsia="MS Mincho" w:cstheme="minorHAnsi"/>
              </w:rPr>
            </w:pPr>
          </w:p>
          <w:p w14:paraId="723275F5" w14:textId="6580CB9E" w:rsidR="00937455" w:rsidRPr="00017AE6" w:rsidRDefault="00937455" w:rsidP="00A71365">
            <w:pPr>
              <w:pStyle w:val="Tablewriting"/>
              <w:rPr>
                <w:rFonts w:eastAsia="MS Mincho" w:cstheme="minorHAnsi"/>
              </w:rPr>
            </w:pPr>
            <w:r w:rsidRPr="00017AE6">
              <w:rPr>
                <w:rFonts w:eastAsia="MS Mincho" w:cstheme="minorHAnsi"/>
              </w:rPr>
              <w:t xml:space="preserve">Weekly counselling phone calls for 4 weeks, and at the end of 8 weeks. </w:t>
            </w:r>
            <w:r w:rsidR="009E2A27">
              <w:rPr>
                <w:rFonts w:eastAsia="MS Mincho" w:cstheme="minorHAnsi"/>
              </w:rPr>
              <w:t xml:space="preserve">From 3 - 12 months, phone calls </w:t>
            </w:r>
            <w:r w:rsidRPr="00017AE6">
              <w:rPr>
                <w:rFonts w:eastAsia="MS Mincho" w:cstheme="minorHAnsi"/>
              </w:rPr>
              <w:t>every 4 weeks for smoking status, nicotine dependence, stage of change, CPD, brief (&lt; 5 mins) counselling.</w:t>
            </w:r>
          </w:p>
          <w:p w14:paraId="2FC483BD" w14:textId="77777777" w:rsidR="00932412" w:rsidRDefault="00932412" w:rsidP="00A71365">
            <w:pPr>
              <w:pStyle w:val="Tablewriting"/>
              <w:rPr>
                <w:rFonts w:eastAsia="MS Mincho" w:cstheme="minorHAnsi"/>
              </w:rPr>
            </w:pPr>
          </w:p>
          <w:p w14:paraId="14E4263A" w14:textId="37E41E65" w:rsidR="00937455" w:rsidRPr="00017AE6" w:rsidRDefault="00937455" w:rsidP="00A71365">
            <w:pPr>
              <w:pStyle w:val="Tablewriting"/>
              <w:rPr>
                <w:rFonts w:eastAsia="MS Mincho" w:cstheme="minorHAnsi"/>
              </w:rPr>
            </w:pPr>
            <w:r w:rsidRPr="00017AE6">
              <w:rPr>
                <w:rFonts w:eastAsia="MS Mincho" w:cstheme="minorHAnsi"/>
              </w:rPr>
              <w:lastRenderedPageBreak/>
              <w:t>TQD was set for 24 hours before surgery, and medication begun 7 days before TQD</w:t>
            </w:r>
            <w:r w:rsidR="00A005C3">
              <w:rPr>
                <w:rFonts w:eastAsia="MS Mincho" w:cstheme="minorHAnsi"/>
              </w:rPr>
              <w:t>.</w:t>
            </w:r>
          </w:p>
          <w:p w14:paraId="271B63FB" w14:textId="5F1EDB9A" w:rsidR="00150E4A" w:rsidRPr="00017AE6" w:rsidRDefault="00150E4A" w:rsidP="00A71365">
            <w:pPr>
              <w:pStyle w:val="Tablewriting"/>
              <w:rPr>
                <w:rFonts w:eastAsia="MS Mincho" w:cstheme="minorHAnsi"/>
              </w:rPr>
            </w:pPr>
          </w:p>
        </w:tc>
        <w:tc>
          <w:tcPr>
            <w:tcW w:w="959" w:type="pct"/>
          </w:tcPr>
          <w:p w14:paraId="2FC199DB" w14:textId="3654366C" w:rsidR="00150E4A" w:rsidRPr="004F1F6D" w:rsidRDefault="00F802AA" w:rsidP="00A71365">
            <w:pPr>
              <w:pStyle w:val="Tablewriting"/>
              <w:rPr>
                <w:rFonts w:eastAsia="MS Mincho" w:cstheme="minorHAnsi"/>
                <w:u w:val="single"/>
              </w:rPr>
            </w:pPr>
            <w:r w:rsidRPr="00F802AA">
              <w:rPr>
                <w:rFonts w:eastAsia="MS Mincho" w:cstheme="minorHAnsi"/>
                <w:u w:val="single"/>
              </w:rPr>
              <w:lastRenderedPageBreak/>
              <w:t>Efficacy:</w:t>
            </w:r>
            <w:r>
              <w:rPr>
                <w:rFonts w:eastAsia="MS Mincho" w:cstheme="minorHAnsi"/>
                <w:u w:val="single"/>
              </w:rPr>
              <w:t xml:space="preserve"> </w:t>
            </w:r>
            <w:r w:rsidR="00150E4A" w:rsidRPr="00017AE6">
              <w:rPr>
                <w:rFonts w:eastAsia="MS Mincho" w:cstheme="minorHAnsi"/>
              </w:rPr>
              <w:t>7-day PPA at 12</w:t>
            </w:r>
            <w:r>
              <w:rPr>
                <w:rFonts w:eastAsia="MS Mincho" w:cstheme="minorHAnsi"/>
              </w:rPr>
              <w:t xml:space="preserve"> </w:t>
            </w:r>
            <w:r w:rsidR="00150E4A" w:rsidRPr="00017AE6">
              <w:rPr>
                <w:rFonts w:eastAsia="MS Mincho" w:cstheme="minorHAnsi"/>
              </w:rPr>
              <w:t>m</w:t>
            </w:r>
            <w:r>
              <w:rPr>
                <w:rFonts w:eastAsia="MS Mincho" w:cstheme="minorHAnsi"/>
              </w:rPr>
              <w:t>onths,</w:t>
            </w:r>
            <w:r w:rsidR="00150E4A" w:rsidRPr="00017AE6">
              <w:rPr>
                <w:rFonts w:eastAsia="MS Mincho" w:cstheme="minorHAnsi"/>
              </w:rPr>
              <w:t xml:space="preserve"> abstinence on TQD</w:t>
            </w:r>
            <w:r>
              <w:rPr>
                <w:rFonts w:eastAsia="MS Mincho" w:cstheme="minorHAnsi"/>
              </w:rPr>
              <w:t>,</w:t>
            </w:r>
            <w:r w:rsidR="00150E4A" w:rsidRPr="00017AE6">
              <w:rPr>
                <w:rFonts w:eastAsia="MS Mincho" w:cstheme="minorHAnsi"/>
              </w:rPr>
              <w:t xml:space="preserve"> 7-day PPA at 3 and 6</w:t>
            </w:r>
            <w:r>
              <w:rPr>
                <w:rFonts w:eastAsia="MS Mincho" w:cstheme="minorHAnsi"/>
              </w:rPr>
              <w:t xml:space="preserve"> </w:t>
            </w:r>
            <w:r w:rsidR="00150E4A" w:rsidRPr="00017AE6">
              <w:rPr>
                <w:rFonts w:eastAsia="MS Mincho" w:cstheme="minorHAnsi"/>
              </w:rPr>
              <w:t>m</w:t>
            </w:r>
            <w:r>
              <w:rPr>
                <w:rFonts w:eastAsia="MS Mincho" w:cstheme="minorHAnsi"/>
              </w:rPr>
              <w:t>onths</w:t>
            </w:r>
            <w:r w:rsidR="00150E4A" w:rsidRPr="00017AE6">
              <w:rPr>
                <w:rFonts w:eastAsia="MS Mincho" w:cstheme="minorHAnsi"/>
              </w:rPr>
              <w:t>. Self-reported changes in CPD and stage</w:t>
            </w:r>
            <w:r w:rsidR="004F1F6D">
              <w:rPr>
                <w:rFonts w:eastAsia="MS Mincho" w:cstheme="minorHAnsi"/>
              </w:rPr>
              <w:t xml:space="preserve"> </w:t>
            </w:r>
            <w:r w:rsidR="00150E4A" w:rsidRPr="00017AE6">
              <w:rPr>
                <w:rFonts w:eastAsia="MS Mincho" w:cstheme="minorHAnsi"/>
              </w:rPr>
              <w:t>of change at 3, 6 and 12</w:t>
            </w:r>
            <w:r w:rsidR="004F1F6D">
              <w:rPr>
                <w:rFonts w:eastAsia="MS Mincho" w:cstheme="minorHAnsi"/>
              </w:rPr>
              <w:t xml:space="preserve"> </w:t>
            </w:r>
            <w:r w:rsidR="00150E4A" w:rsidRPr="00017AE6">
              <w:rPr>
                <w:rFonts w:eastAsia="MS Mincho" w:cstheme="minorHAnsi"/>
              </w:rPr>
              <w:t>m</w:t>
            </w:r>
            <w:r w:rsidR="004F1F6D">
              <w:rPr>
                <w:rFonts w:eastAsia="MS Mincho" w:cstheme="minorHAnsi"/>
              </w:rPr>
              <w:t>onths.</w:t>
            </w:r>
          </w:p>
          <w:p w14:paraId="2EFDB81E" w14:textId="77777777" w:rsidR="00D2607B" w:rsidRDefault="00D2607B" w:rsidP="00A71365">
            <w:pPr>
              <w:pStyle w:val="Tablewriting"/>
              <w:rPr>
                <w:rFonts w:eastAsia="MS Mincho" w:cstheme="minorHAnsi"/>
              </w:rPr>
            </w:pPr>
          </w:p>
          <w:p w14:paraId="62C30C01" w14:textId="2A26D673" w:rsidR="00C25F5E" w:rsidRDefault="00150E4A" w:rsidP="00A71365">
            <w:pPr>
              <w:pStyle w:val="Tablewriting"/>
              <w:rPr>
                <w:rFonts w:eastAsia="MS Mincho" w:cstheme="minorHAnsi"/>
              </w:rPr>
            </w:pPr>
            <w:r w:rsidRPr="00017AE6">
              <w:rPr>
                <w:rFonts w:eastAsia="MS Mincho" w:cstheme="minorHAnsi"/>
              </w:rPr>
              <w:t>Validation: Expired CO and urinary cotinine (cut-o</w:t>
            </w:r>
            <w:r w:rsidR="00511A4F">
              <w:rPr>
                <w:rFonts w:eastAsia="MS Mincho" w:cstheme="minorHAnsi"/>
              </w:rPr>
              <w:t>ff</w:t>
            </w:r>
            <w:r w:rsidRPr="00017AE6">
              <w:rPr>
                <w:rFonts w:eastAsia="MS Mincho" w:cstheme="minorHAnsi"/>
              </w:rPr>
              <w:t>s not given)</w:t>
            </w:r>
          </w:p>
          <w:p w14:paraId="5C0785F9" w14:textId="77777777" w:rsidR="004F1F6D" w:rsidRDefault="004F1F6D" w:rsidP="00A71365">
            <w:pPr>
              <w:pStyle w:val="Tablewriting"/>
              <w:rPr>
                <w:rFonts w:eastAsia="MS Mincho" w:cstheme="minorHAnsi"/>
              </w:rPr>
            </w:pPr>
          </w:p>
          <w:p w14:paraId="60D75226" w14:textId="0D507652" w:rsidR="00C25F5E" w:rsidRPr="00017AE6" w:rsidRDefault="004F1F6D" w:rsidP="00A71365">
            <w:pPr>
              <w:pStyle w:val="Tablewriting"/>
              <w:rPr>
                <w:rFonts w:eastAsia="MS Mincho" w:cstheme="minorHAnsi"/>
              </w:rPr>
            </w:pPr>
            <w:r w:rsidRPr="004F1F6D">
              <w:rPr>
                <w:rFonts w:eastAsia="MS Mincho" w:cstheme="minorHAnsi"/>
                <w:u w:val="single"/>
              </w:rPr>
              <w:t>Safety:</w:t>
            </w:r>
            <w:r>
              <w:rPr>
                <w:rFonts w:eastAsia="MS Mincho" w:cstheme="minorHAnsi"/>
              </w:rPr>
              <w:t xml:space="preserve"> NR</w:t>
            </w:r>
          </w:p>
        </w:tc>
      </w:tr>
      <w:tr w:rsidR="003D3459" w:rsidRPr="00017AE6" w14:paraId="12A87287" w14:textId="77777777" w:rsidTr="005821B1">
        <w:trPr>
          <w:trHeight w:val="99"/>
        </w:trPr>
        <w:tc>
          <w:tcPr>
            <w:tcW w:w="761" w:type="pct"/>
            <w:shd w:val="clear" w:color="auto" w:fill="F2F2F2" w:themeFill="background1" w:themeFillShade="F2"/>
          </w:tcPr>
          <w:p w14:paraId="57D1ABE5" w14:textId="2015919B" w:rsidR="001A7655" w:rsidRPr="00017AE6" w:rsidRDefault="006F538F" w:rsidP="00A71365">
            <w:pPr>
              <w:pStyle w:val="Tablewriting"/>
              <w:rPr>
                <w:rFonts w:eastAsia="MS Mincho" w:cstheme="minorHAnsi"/>
              </w:rPr>
            </w:pPr>
            <w:r w:rsidRPr="006F538F">
              <w:rPr>
                <w:rFonts w:eastAsia="MS Mincho" w:cstheme="minorHAnsi"/>
              </w:rPr>
              <w:t xml:space="preserve">Ebbert </w:t>
            </w:r>
            <w:r w:rsidR="00DF0515">
              <w:rPr>
                <w:rFonts w:eastAsia="MS Mincho" w:cstheme="minorHAnsi"/>
              </w:rPr>
              <w:t>(</w:t>
            </w:r>
            <w:r w:rsidRPr="006F538F">
              <w:rPr>
                <w:rFonts w:eastAsia="MS Mincho" w:cstheme="minorHAnsi"/>
              </w:rPr>
              <w:t>2015</w:t>
            </w:r>
            <w:r w:rsidR="00DF0515">
              <w:rPr>
                <w:rFonts w:eastAsia="MS Mincho" w:cstheme="minorHAnsi"/>
              </w:rPr>
              <w:t>)</w:t>
            </w:r>
          </w:p>
        </w:tc>
        <w:tc>
          <w:tcPr>
            <w:tcW w:w="235" w:type="pct"/>
            <w:shd w:val="clear" w:color="auto" w:fill="F2F2F2" w:themeFill="background1" w:themeFillShade="F2"/>
          </w:tcPr>
          <w:p w14:paraId="21BC4A8F" w14:textId="7EE3D344" w:rsidR="001A7655" w:rsidRPr="00017AE6" w:rsidRDefault="00DB181B" w:rsidP="00A71365">
            <w:pPr>
              <w:pStyle w:val="Tablewriting"/>
              <w:rPr>
                <w:rFonts w:eastAsia="MS Mincho" w:cstheme="minorHAnsi"/>
              </w:rPr>
            </w:pPr>
            <w:r>
              <w:rPr>
                <w:rFonts w:eastAsia="MS Mincho" w:cstheme="minorHAnsi"/>
              </w:rPr>
              <w:t>RCT</w:t>
            </w:r>
          </w:p>
        </w:tc>
        <w:tc>
          <w:tcPr>
            <w:tcW w:w="462" w:type="pct"/>
            <w:shd w:val="clear" w:color="auto" w:fill="F2F2F2" w:themeFill="background1" w:themeFillShade="F2"/>
          </w:tcPr>
          <w:p w14:paraId="58FC3E25" w14:textId="77777777" w:rsidR="00DB181B" w:rsidRPr="00DB181B" w:rsidRDefault="00DB181B" w:rsidP="00A71365">
            <w:pPr>
              <w:pStyle w:val="Tablewriting"/>
              <w:rPr>
                <w:rFonts w:eastAsia="MS Mincho" w:cstheme="minorHAnsi"/>
              </w:rPr>
            </w:pPr>
            <w:r w:rsidRPr="00DB181B">
              <w:rPr>
                <w:rFonts w:eastAsia="MS Mincho" w:cstheme="minorHAnsi"/>
              </w:rPr>
              <w:t>65 centres in 10 countries: USA (14), Australia (4), Canada (6), Czech Republic (7), Egypt (3),</w:t>
            </w:r>
          </w:p>
          <w:p w14:paraId="4F8505AC" w14:textId="5FE902A8" w:rsidR="001A7655" w:rsidRPr="00017AE6" w:rsidRDefault="00DB181B" w:rsidP="00A71365">
            <w:pPr>
              <w:pStyle w:val="Tablewriting"/>
              <w:rPr>
                <w:rFonts w:eastAsia="MS Mincho" w:cstheme="minorHAnsi"/>
              </w:rPr>
            </w:pPr>
            <w:r w:rsidRPr="00DB181B">
              <w:rPr>
                <w:rFonts w:eastAsia="MS Mincho" w:cstheme="minorHAnsi"/>
              </w:rPr>
              <w:t>Germany (7), Japan (6), Mexico (4), Taiwan (7), UK (7)</w:t>
            </w:r>
          </w:p>
        </w:tc>
        <w:tc>
          <w:tcPr>
            <w:tcW w:w="679" w:type="pct"/>
            <w:shd w:val="clear" w:color="auto" w:fill="F2F2F2" w:themeFill="background1" w:themeFillShade="F2"/>
          </w:tcPr>
          <w:p w14:paraId="5D54A482" w14:textId="36BDAA1D" w:rsidR="00DE4B4D" w:rsidRPr="001634C0" w:rsidRDefault="001634C0" w:rsidP="00A71365">
            <w:pPr>
              <w:pStyle w:val="Tablewriting"/>
              <w:rPr>
                <w:rFonts w:eastAsia="MS Mincho" w:cstheme="minorHAnsi"/>
              </w:rPr>
            </w:pPr>
            <w:r>
              <w:rPr>
                <w:rFonts w:eastAsia="MS Mincho" w:cstheme="minorHAnsi"/>
              </w:rPr>
              <w:t>N=1510</w:t>
            </w:r>
            <w:r w:rsidR="00DE4B4D">
              <w:rPr>
                <w:rFonts w:eastAsia="MS Mincho" w:cstheme="minorHAnsi"/>
              </w:rPr>
              <w:t>;</w:t>
            </w:r>
            <w:r w:rsidR="006E76C0">
              <w:rPr>
                <w:rFonts w:eastAsia="MS Mincho" w:cstheme="minorHAnsi"/>
              </w:rPr>
              <w:t xml:space="preserve"> n=760 (</w:t>
            </w:r>
            <w:r w:rsidR="00DE4B4D" w:rsidRPr="001634C0">
              <w:rPr>
                <w:rFonts w:eastAsia="MS Mincho" w:cstheme="minorHAnsi"/>
              </w:rPr>
              <w:t>varenicline)</w:t>
            </w:r>
            <w:r w:rsidR="006E76C0">
              <w:rPr>
                <w:rFonts w:eastAsia="MS Mincho" w:cstheme="minorHAnsi"/>
              </w:rPr>
              <w:t>, n=750 (</w:t>
            </w:r>
            <w:r w:rsidR="00DE4B4D" w:rsidRPr="001634C0">
              <w:rPr>
                <w:rFonts w:eastAsia="MS Mincho" w:cstheme="minorHAnsi"/>
              </w:rPr>
              <w:t>placebo)</w:t>
            </w:r>
          </w:p>
          <w:p w14:paraId="3D377A64" w14:textId="1337EE63" w:rsidR="001A7655" w:rsidRPr="00017AE6" w:rsidRDefault="001A7655" w:rsidP="00A71365">
            <w:pPr>
              <w:pStyle w:val="Tablewriting"/>
              <w:rPr>
                <w:rFonts w:eastAsia="MS Mincho" w:cstheme="minorHAnsi"/>
              </w:rPr>
            </w:pPr>
          </w:p>
        </w:tc>
        <w:tc>
          <w:tcPr>
            <w:tcW w:w="851" w:type="pct"/>
            <w:shd w:val="clear" w:color="auto" w:fill="F2F2F2" w:themeFill="background1" w:themeFillShade="F2"/>
          </w:tcPr>
          <w:p w14:paraId="1DAC5ADF" w14:textId="77777777" w:rsidR="00DE4B4D" w:rsidRDefault="00FE5A0A" w:rsidP="00A71365">
            <w:pPr>
              <w:pStyle w:val="Tablewriting"/>
              <w:rPr>
                <w:rFonts w:eastAsia="MS Mincho" w:cstheme="minorHAnsi"/>
              </w:rPr>
            </w:pPr>
            <w:r>
              <w:rPr>
                <w:rFonts w:eastAsia="MS Mincho" w:cstheme="minorHAnsi"/>
              </w:rPr>
              <w:t>A</w:t>
            </w:r>
            <w:r w:rsidR="001634C0" w:rsidRPr="001634C0">
              <w:rPr>
                <w:rFonts w:eastAsia="MS Mincho" w:cstheme="minorHAnsi"/>
              </w:rPr>
              <w:t>dult smokers,</w:t>
            </w:r>
            <w:r w:rsidR="00C85FFA">
              <w:rPr>
                <w:rFonts w:eastAsia="MS Mincho" w:cstheme="minorHAnsi"/>
              </w:rPr>
              <w:t xml:space="preserve"> </w:t>
            </w:r>
            <w:r w:rsidR="001634C0" w:rsidRPr="001634C0">
              <w:rPr>
                <w:rFonts w:eastAsia="MS Mincho" w:cstheme="minorHAnsi"/>
              </w:rPr>
              <w:t>unwilling to quit abruptly (within the next month), aged 18+, smoking mean 10+</w:t>
            </w:r>
            <w:r w:rsidR="00DE4B4D">
              <w:rPr>
                <w:rFonts w:eastAsia="MS Mincho" w:cstheme="minorHAnsi"/>
              </w:rPr>
              <w:t xml:space="preserve"> </w:t>
            </w:r>
            <w:r w:rsidR="001634C0" w:rsidRPr="001634C0">
              <w:rPr>
                <w:rFonts w:eastAsia="MS Mincho" w:cstheme="minorHAnsi"/>
              </w:rPr>
              <w:t xml:space="preserve">CPD, interested in trying to quit within 3 months. </w:t>
            </w:r>
          </w:p>
          <w:p w14:paraId="07383922" w14:textId="77777777" w:rsidR="00DE4B4D" w:rsidRDefault="00DE4B4D" w:rsidP="00A71365">
            <w:pPr>
              <w:pStyle w:val="Tablewriting"/>
              <w:rPr>
                <w:rFonts w:eastAsia="MS Mincho" w:cstheme="minorHAnsi"/>
              </w:rPr>
            </w:pPr>
          </w:p>
          <w:p w14:paraId="6FBB0FBA" w14:textId="51B3E6D5" w:rsidR="001634C0" w:rsidRPr="001634C0" w:rsidRDefault="001634C0" w:rsidP="00A71365">
            <w:pPr>
              <w:pStyle w:val="Tablewriting"/>
              <w:rPr>
                <w:rFonts w:eastAsia="MS Mincho" w:cstheme="minorHAnsi"/>
              </w:rPr>
            </w:pPr>
            <w:r w:rsidRPr="001634C0">
              <w:rPr>
                <w:rFonts w:eastAsia="MS Mincho" w:cstheme="minorHAnsi"/>
              </w:rPr>
              <w:t>Mean age 44.5, 43.7% women, mean CPD 20.7, mean</w:t>
            </w:r>
            <w:r w:rsidR="00DE4B4D">
              <w:rPr>
                <w:rFonts w:eastAsia="MS Mincho" w:cstheme="minorHAnsi"/>
              </w:rPr>
              <w:t xml:space="preserve"> </w:t>
            </w:r>
            <w:r w:rsidRPr="001634C0">
              <w:rPr>
                <w:rFonts w:eastAsia="MS Mincho" w:cstheme="minorHAnsi"/>
              </w:rPr>
              <w:t xml:space="preserve">FTND 5.5. </w:t>
            </w:r>
          </w:p>
          <w:p w14:paraId="751B605B" w14:textId="77777777" w:rsidR="004427B3" w:rsidRDefault="004427B3" w:rsidP="00A71365">
            <w:pPr>
              <w:pStyle w:val="Tablewriting"/>
              <w:rPr>
                <w:rFonts w:eastAsia="MS Mincho" w:cstheme="minorHAnsi"/>
              </w:rPr>
            </w:pPr>
          </w:p>
          <w:p w14:paraId="76574D86" w14:textId="2CE7BA9B" w:rsidR="001634C0" w:rsidRPr="001634C0" w:rsidRDefault="001634C0" w:rsidP="00A71365">
            <w:pPr>
              <w:pStyle w:val="Tablewriting"/>
              <w:rPr>
                <w:rFonts w:eastAsia="MS Mincho" w:cstheme="minorHAnsi"/>
              </w:rPr>
            </w:pPr>
            <w:r w:rsidRPr="004427B3">
              <w:rPr>
                <w:rFonts w:eastAsia="MS Mincho" w:cstheme="minorHAnsi"/>
                <w:u w:val="single"/>
              </w:rPr>
              <w:t>Exclusions:</w:t>
            </w:r>
            <w:r w:rsidRPr="001634C0">
              <w:rPr>
                <w:rFonts w:eastAsia="MS Mincho" w:cstheme="minorHAnsi"/>
              </w:rPr>
              <w:t xml:space="preserve"> suicidal behaviour in previous 2 years or history of suicide attempts; major depression, anxiety;</w:t>
            </w:r>
          </w:p>
          <w:p w14:paraId="145F1F2E" w14:textId="30737643" w:rsidR="001A7655" w:rsidRPr="00017AE6" w:rsidRDefault="001634C0" w:rsidP="00A71365">
            <w:pPr>
              <w:pStyle w:val="Tablewriting"/>
              <w:rPr>
                <w:rFonts w:eastAsia="MS Mincho" w:cstheme="minorHAnsi"/>
              </w:rPr>
            </w:pPr>
            <w:r w:rsidRPr="001634C0">
              <w:rPr>
                <w:rFonts w:eastAsia="MS Mincho" w:cstheme="minorHAnsi"/>
              </w:rPr>
              <w:t>diagnosis of psychosis, panic disorder, PTSD, schizophrenia</w:t>
            </w:r>
            <w:r w:rsidR="004427B3">
              <w:rPr>
                <w:rFonts w:eastAsia="MS Mincho" w:cstheme="minorHAnsi"/>
              </w:rPr>
              <w:t>.</w:t>
            </w:r>
          </w:p>
        </w:tc>
        <w:tc>
          <w:tcPr>
            <w:tcW w:w="1054" w:type="pct"/>
            <w:shd w:val="clear" w:color="auto" w:fill="F2F2F2" w:themeFill="background1" w:themeFillShade="F2"/>
          </w:tcPr>
          <w:p w14:paraId="29F99D45" w14:textId="77777777" w:rsidR="00051839" w:rsidRDefault="004469CB" w:rsidP="00C324F3">
            <w:pPr>
              <w:pStyle w:val="Tablewriting"/>
              <w:numPr>
                <w:ilvl w:val="0"/>
                <w:numId w:val="91"/>
              </w:numPr>
              <w:rPr>
                <w:rFonts w:eastAsia="MS Mincho" w:cstheme="minorHAnsi"/>
              </w:rPr>
            </w:pPr>
            <w:r w:rsidRPr="004469CB">
              <w:rPr>
                <w:rFonts w:eastAsia="MS Mincho" w:cstheme="minorHAnsi"/>
              </w:rPr>
              <w:t>Varenicline 24 w</w:t>
            </w:r>
            <w:r w:rsidR="00051839">
              <w:rPr>
                <w:rFonts w:eastAsia="MS Mincho" w:cstheme="minorHAnsi"/>
              </w:rPr>
              <w:t>ee</w:t>
            </w:r>
            <w:r w:rsidRPr="004469CB">
              <w:rPr>
                <w:rFonts w:eastAsia="MS Mincho" w:cstheme="minorHAnsi"/>
              </w:rPr>
              <w:t>ks, titrated 1st w</w:t>
            </w:r>
            <w:r w:rsidR="00051839">
              <w:rPr>
                <w:rFonts w:eastAsia="MS Mincho" w:cstheme="minorHAnsi"/>
              </w:rPr>
              <w:t>ee</w:t>
            </w:r>
            <w:r w:rsidRPr="004469CB">
              <w:rPr>
                <w:rFonts w:eastAsia="MS Mincho" w:cstheme="minorHAnsi"/>
              </w:rPr>
              <w:t>k (12 w</w:t>
            </w:r>
            <w:r w:rsidR="00051839">
              <w:rPr>
                <w:rFonts w:eastAsia="MS Mincho" w:cstheme="minorHAnsi"/>
              </w:rPr>
              <w:t>ee</w:t>
            </w:r>
            <w:r w:rsidRPr="004469CB">
              <w:rPr>
                <w:rFonts w:eastAsia="MS Mincho" w:cstheme="minorHAnsi"/>
              </w:rPr>
              <w:t>ks to quit + 12 w</w:t>
            </w:r>
            <w:r w:rsidR="00051839">
              <w:rPr>
                <w:rFonts w:eastAsia="MS Mincho" w:cstheme="minorHAnsi"/>
              </w:rPr>
              <w:t>ee</w:t>
            </w:r>
            <w:r w:rsidRPr="004469CB">
              <w:rPr>
                <w:rFonts w:eastAsia="MS Mincho" w:cstheme="minorHAnsi"/>
              </w:rPr>
              <w:t>ks post-quit)</w:t>
            </w:r>
            <w:r w:rsidR="00051839">
              <w:rPr>
                <w:rFonts w:eastAsia="MS Mincho" w:cstheme="minorHAnsi"/>
              </w:rPr>
              <w:t>.</w:t>
            </w:r>
          </w:p>
          <w:p w14:paraId="453E4898" w14:textId="0ED54C4E" w:rsidR="004469CB" w:rsidRPr="004469CB" w:rsidRDefault="004469CB" w:rsidP="00C324F3">
            <w:pPr>
              <w:pStyle w:val="Tablewriting"/>
              <w:numPr>
                <w:ilvl w:val="0"/>
                <w:numId w:val="91"/>
              </w:numPr>
              <w:rPr>
                <w:rFonts w:eastAsia="MS Mincho" w:cstheme="minorHAnsi"/>
              </w:rPr>
            </w:pPr>
            <w:r w:rsidRPr="004469CB">
              <w:rPr>
                <w:rFonts w:eastAsia="MS Mincho" w:cstheme="minorHAnsi"/>
              </w:rPr>
              <w:t xml:space="preserve">Placebo 24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titrated 1st </w:t>
            </w:r>
            <w:r w:rsidRPr="00051839">
              <w:rPr>
                <w:rFonts w:eastAsia="MS Mincho" w:cstheme="minorHAnsi"/>
              </w:rPr>
              <w:t>w</w:t>
            </w:r>
            <w:r w:rsidR="00051839">
              <w:rPr>
                <w:rFonts w:eastAsia="MS Mincho" w:cstheme="minorHAnsi"/>
              </w:rPr>
              <w:t>ee</w:t>
            </w:r>
            <w:r w:rsidRPr="00051839">
              <w:rPr>
                <w:rFonts w:eastAsia="MS Mincho" w:cstheme="minorHAnsi"/>
              </w:rPr>
              <w:t>k</w:t>
            </w:r>
            <w:r w:rsidRPr="004469CB">
              <w:rPr>
                <w:rFonts w:eastAsia="MS Mincho" w:cstheme="minorHAnsi"/>
              </w:rPr>
              <w:t xml:space="preserve"> (12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to quit + 12 </w:t>
            </w:r>
            <w:r w:rsidRPr="00051839">
              <w:rPr>
                <w:rFonts w:eastAsia="MS Mincho" w:cstheme="minorHAnsi"/>
              </w:rPr>
              <w:t>w</w:t>
            </w:r>
            <w:r w:rsidR="00051839">
              <w:rPr>
                <w:rFonts w:eastAsia="MS Mincho" w:cstheme="minorHAnsi"/>
              </w:rPr>
              <w:t>ee</w:t>
            </w:r>
            <w:r w:rsidRPr="00051839">
              <w:rPr>
                <w:rFonts w:eastAsia="MS Mincho" w:cstheme="minorHAnsi"/>
              </w:rPr>
              <w:t>ks</w:t>
            </w:r>
            <w:r w:rsidRPr="004469CB">
              <w:rPr>
                <w:rFonts w:eastAsia="MS Mincho" w:cstheme="minorHAnsi"/>
              </w:rPr>
              <w:t xml:space="preserve"> post-quit)</w:t>
            </w:r>
          </w:p>
          <w:p w14:paraId="660F0C0F" w14:textId="77777777" w:rsidR="00051839" w:rsidRDefault="00051839" w:rsidP="00A71365">
            <w:pPr>
              <w:pStyle w:val="Tablewriting"/>
              <w:rPr>
                <w:rFonts w:eastAsia="MS Mincho" w:cstheme="minorHAnsi"/>
              </w:rPr>
            </w:pPr>
          </w:p>
          <w:p w14:paraId="60499A4B" w14:textId="77777777" w:rsidR="00051839" w:rsidRDefault="00051839" w:rsidP="00A71365">
            <w:pPr>
              <w:pStyle w:val="Tablewriting"/>
              <w:rPr>
                <w:rFonts w:eastAsia="MS Mincho" w:cstheme="minorHAnsi"/>
              </w:rPr>
            </w:pPr>
          </w:p>
          <w:p w14:paraId="74A231F4" w14:textId="77777777" w:rsidR="00C57B08" w:rsidRDefault="0005183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4469CB" w:rsidRPr="004469CB">
              <w:rPr>
                <w:rFonts w:eastAsia="MS Mincho" w:cstheme="minorHAnsi"/>
              </w:rPr>
              <w:t>All participants asked to reduce their smoking rate by 50% by w</w:t>
            </w:r>
            <w:r w:rsidR="00C57B08">
              <w:rPr>
                <w:rFonts w:eastAsia="MS Mincho" w:cstheme="minorHAnsi"/>
              </w:rPr>
              <w:t>ee</w:t>
            </w:r>
            <w:r w:rsidR="004469CB" w:rsidRPr="004469CB">
              <w:rPr>
                <w:rFonts w:eastAsia="MS Mincho" w:cstheme="minorHAnsi"/>
              </w:rPr>
              <w:t>k 4, by 75%+ by w</w:t>
            </w:r>
            <w:r w:rsidR="00C57B08">
              <w:rPr>
                <w:rFonts w:eastAsia="MS Mincho" w:cstheme="minorHAnsi"/>
              </w:rPr>
              <w:t>ee</w:t>
            </w:r>
            <w:r w:rsidR="004469CB" w:rsidRPr="004469CB">
              <w:rPr>
                <w:rFonts w:eastAsia="MS Mincho" w:cstheme="minorHAnsi"/>
              </w:rPr>
              <w:t>k 8, and 100% by w</w:t>
            </w:r>
            <w:r w:rsidR="00C57B08">
              <w:rPr>
                <w:rFonts w:eastAsia="MS Mincho" w:cstheme="minorHAnsi"/>
              </w:rPr>
              <w:t>ee</w:t>
            </w:r>
            <w:r w:rsidR="004469CB" w:rsidRPr="004469CB">
              <w:rPr>
                <w:rFonts w:eastAsia="MS Mincho" w:cstheme="minorHAnsi"/>
              </w:rPr>
              <w:t>k</w:t>
            </w:r>
            <w:r w:rsidR="00C57B08">
              <w:rPr>
                <w:rFonts w:eastAsia="MS Mincho" w:cstheme="minorHAnsi"/>
              </w:rPr>
              <w:t xml:space="preserve"> </w:t>
            </w:r>
            <w:r w:rsidR="004469CB" w:rsidRPr="004469CB">
              <w:rPr>
                <w:rFonts w:eastAsia="MS Mincho" w:cstheme="minorHAnsi"/>
              </w:rPr>
              <w:t xml:space="preserve">12. </w:t>
            </w:r>
          </w:p>
          <w:p w14:paraId="203BDAD0" w14:textId="36246455" w:rsidR="001A7655" w:rsidRPr="00017AE6" w:rsidRDefault="004469CB" w:rsidP="00A71365">
            <w:pPr>
              <w:pStyle w:val="Tablewriting"/>
              <w:rPr>
                <w:rFonts w:eastAsia="MS Mincho" w:cstheme="minorHAnsi"/>
              </w:rPr>
            </w:pPr>
            <w:r w:rsidRPr="004469CB">
              <w:rPr>
                <w:rFonts w:eastAsia="MS Mincho" w:cstheme="minorHAnsi"/>
              </w:rPr>
              <w:t>Individual 10-minute counselling at each visit (18 face-to-face and 10 phone calls), + a copy of Clearing</w:t>
            </w:r>
            <w:r w:rsidR="00C57B08">
              <w:rPr>
                <w:rFonts w:eastAsia="MS Mincho" w:cstheme="minorHAnsi"/>
              </w:rPr>
              <w:t xml:space="preserve"> </w:t>
            </w:r>
            <w:r w:rsidRPr="004469CB">
              <w:rPr>
                <w:rFonts w:eastAsia="MS Mincho" w:cstheme="minorHAnsi"/>
              </w:rPr>
              <w:t>the air: quit smoking today.</w:t>
            </w:r>
          </w:p>
        </w:tc>
        <w:tc>
          <w:tcPr>
            <w:tcW w:w="959" w:type="pct"/>
            <w:shd w:val="clear" w:color="auto" w:fill="F2F2F2" w:themeFill="background1" w:themeFillShade="F2"/>
          </w:tcPr>
          <w:p w14:paraId="3680D46D" w14:textId="77777777" w:rsidR="00C57B08" w:rsidRPr="004D07F7" w:rsidRDefault="00C57B08" w:rsidP="00A71365">
            <w:pPr>
              <w:pStyle w:val="Tablewriting"/>
              <w:rPr>
                <w:rFonts w:eastAsia="MS Mincho" w:cstheme="minorHAnsi"/>
                <w:u w:val="single"/>
              </w:rPr>
            </w:pPr>
            <w:r w:rsidRPr="004D07F7">
              <w:rPr>
                <w:rFonts w:eastAsia="MS Mincho" w:cstheme="minorHAnsi"/>
                <w:u w:val="single"/>
              </w:rPr>
              <w:t>Efficacy:</w:t>
            </w:r>
          </w:p>
          <w:p w14:paraId="40A61D8D" w14:textId="011C26D9" w:rsidR="004469CB" w:rsidRPr="004469CB" w:rsidRDefault="004469CB" w:rsidP="00A71365">
            <w:pPr>
              <w:pStyle w:val="Tablewriting"/>
              <w:rPr>
                <w:rFonts w:eastAsia="MS Mincho" w:cstheme="minorHAnsi"/>
              </w:rPr>
            </w:pPr>
            <w:r w:rsidRPr="004469CB">
              <w:rPr>
                <w:rFonts w:eastAsia="MS Mincho" w:cstheme="minorHAnsi"/>
              </w:rPr>
              <w:t>Primary: CAR at w</w:t>
            </w:r>
            <w:r w:rsidR="004D07F7">
              <w:rPr>
                <w:rFonts w:eastAsia="MS Mincho" w:cstheme="minorHAnsi"/>
              </w:rPr>
              <w:t>ee</w:t>
            </w:r>
            <w:r w:rsidRPr="004469CB">
              <w:rPr>
                <w:rFonts w:eastAsia="MS Mincho" w:cstheme="minorHAnsi"/>
              </w:rPr>
              <w:t>ks 15 - 24</w:t>
            </w:r>
          </w:p>
          <w:p w14:paraId="3FC873E1" w14:textId="672BC4AC" w:rsidR="004469CB" w:rsidRPr="004469CB" w:rsidRDefault="004469CB" w:rsidP="00A71365">
            <w:pPr>
              <w:pStyle w:val="Tablewriting"/>
              <w:rPr>
                <w:rFonts w:eastAsia="MS Mincho" w:cstheme="minorHAnsi"/>
              </w:rPr>
            </w:pPr>
            <w:r w:rsidRPr="004469CB">
              <w:rPr>
                <w:rFonts w:eastAsia="MS Mincho" w:cstheme="minorHAnsi"/>
              </w:rPr>
              <w:t>Secondary: CAR at w</w:t>
            </w:r>
            <w:r w:rsidR="004D07F7">
              <w:rPr>
                <w:rFonts w:eastAsia="MS Mincho" w:cstheme="minorHAnsi"/>
              </w:rPr>
              <w:t>ee</w:t>
            </w:r>
            <w:r w:rsidRPr="004469CB">
              <w:rPr>
                <w:rFonts w:eastAsia="MS Mincho" w:cstheme="minorHAnsi"/>
              </w:rPr>
              <w:t>ks 21 - 24, 15 - 52, 21 - 52; 7-day PPA at w</w:t>
            </w:r>
            <w:r w:rsidR="004D07F7">
              <w:rPr>
                <w:rFonts w:eastAsia="MS Mincho" w:cstheme="minorHAnsi"/>
              </w:rPr>
              <w:t>ee</w:t>
            </w:r>
            <w:r w:rsidRPr="004469CB">
              <w:rPr>
                <w:rFonts w:eastAsia="MS Mincho" w:cstheme="minorHAnsi"/>
              </w:rPr>
              <w:t>ks 24, 52</w:t>
            </w:r>
            <w:r w:rsidR="004D07F7">
              <w:rPr>
                <w:rFonts w:eastAsia="MS Mincho" w:cstheme="minorHAnsi"/>
              </w:rPr>
              <w:t>.</w:t>
            </w:r>
          </w:p>
          <w:p w14:paraId="42ACF1E8" w14:textId="77777777" w:rsidR="004D07F7" w:rsidRDefault="004D07F7" w:rsidP="00A71365">
            <w:pPr>
              <w:pStyle w:val="Tablewriting"/>
              <w:rPr>
                <w:rFonts w:eastAsia="MS Mincho" w:cstheme="minorHAnsi"/>
              </w:rPr>
            </w:pPr>
          </w:p>
          <w:p w14:paraId="2D749A70" w14:textId="77777777" w:rsidR="001A7655" w:rsidRDefault="004469CB" w:rsidP="00A71365">
            <w:pPr>
              <w:pStyle w:val="Tablewriting"/>
              <w:rPr>
                <w:rFonts w:eastAsia="MS Mincho" w:cstheme="minorHAnsi"/>
              </w:rPr>
            </w:pPr>
            <w:r w:rsidRPr="004469CB">
              <w:rPr>
                <w:rFonts w:eastAsia="MS Mincho" w:cstheme="minorHAnsi"/>
              </w:rPr>
              <w:t>Validation: CO &lt; 10 ppm</w:t>
            </w:r>
            <w:r w:rsidR="004D07F7">
              <w:rPr>
                <w:rFonts w:eastAsia="MS Mincho" w:cstheme="minorHAnsi"/>
              </w:rPr>
              <w:t>.</w:t>
            </w:r>
          </w:p>
          <w:p w14:paraId="03169FEC" w14:textId="77777777" w:rsidR="004D07F7" w:rsidRDefault="004D07F7" w:rsidP="00A71365">
            <w:pPr>
              <w:pStyle w:val="Tablewriting"/>
              <w:rPr>
                <w:rFonts w:eastAsia="MS Mincho" w:cstheme="minorHAnsi"/>
              </w:rPr>
            </w:pPr>
          </w:p>
          <w:p w14:paraId="334632C2" w14:textId="22CE241D" w:rsidR="001A7655" w:rsidRPr="00017AE6" w:rsidRDefault="004D07F7" w:rsidP="00A71365">
            <w:pPr>
              <w:pStyle w:val="Tablewriting"/>
              <w:rPr>
                <w:rFonts w:eastAsia="MS Mincho" w:cstheme="minorHAnsi"/>
              </w:rPr>
            </w:pPr>
            <w:r w:rsidRPr="004D07F7">
              <w:rPr>
                <w:rFonts w:eastAsia="MS Mincho" w:cstheme="minorHAnsi"/>
                <w:u w:val="single"/>
              </w:rPr>
              <w:t>Safety:</w:t>
            </w:r>
            <w:r>
              <w:rPr>
                <w:rFonts w:eastAsia="MS Mincho" w:cstheme="minorHAnsi"/>
              </w:rPr>
              <w:t xml:space="preserve"> NR</w:t>
            </w:r>
          </w:p>
        </w:tc>
      </w:tr>
      <w:tr w:rsidR="003D3459" w:rsidRPr="00017AE6" w14:paraId="7393B742" w14:textId="77777777" w:rsidTr="005821B1">
        <w:trPr>
          <w:trHeight w:val="99"/>
        </w:trPr>
        <w:tc>
          <w:tcPr>
            <w:tcW w:w="761" w:type="pct"/>
            <w:shd w:val="clear" w:color="auto" w:fill="F2F2F2" w:themeFill="background1" w:themeFillShade="F2"/>
          </w:tcPr>
          <w:p w14:paraId="29AEDB7D" w14:textId="5BF64A53" w:rsidR="00DB181B" w:rsidRPr="00017AE6" w:rsidRDefault="00DB181B" w:rsidP="00A71365">
            <w:pPr>
              <w:pStyle w:val="Tablewriting"/>
              <w:rPr>
                <w:rFonts w:eastAsia="MS Mincho" w:cstheme="minorHAnsi"/>
              </w:rPr>
            </w:pPr>
            <w:r w:rsidRPr="006F538F">
              <w:rPr>
                <w:rFonts w:eastAsia="MS Mincho" w:cstheme="minorHAnsi"/>
              </w:rPr>
              <w:t xml:space="preserve">Hajek </w:t>
            </w:r>
            <w:r w:rsidR="001B56DB">
              <w:rPr>
                <w:rFonts w:eastAsia="MS Mincho" w:cstheme="minorHAnsi"/>
              </w:rPr>
              <w:t>(</w:t>
            </w:r>
            <w:r w:rsidRPr="006F538F">
              <w:rPr>
                <w:rFonts w:eastAsia="MS Mincho" w:cstheme="minorHAnsi"/>
              </w:rPr>
              <w:t>2015</w:t>
            </w:r>
            <w:r w:rsidR="001B56DB">
              <w:rPr>
                <w:rFonts w:eastAsia="MS Mincho" w:cstheme="minorHAnsi"/>
              </w:rPr>
              <w:t>)</w:t>
            </w:r>
          </w:p>
        </w:tc>
        <w:tc>
          <w:tcPr>
            <w:tcW w:w="235" w:type="pct"/>
            <w:shd w:val="clear" w:color="auto" w:fill="F2F2F2" w:themeFill="background1" w:themeFillShade="F2"/>
          </w:tcPr>
          <w:p w14:paraId="34270382" w14:textId="67DAFB95"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57BE5570" w14:textId="29536AFB" w:rsidR="00DB181B" w:rsidRPr="00017AE6" w:rsidRDefault="001F73F7" w:rsidP="00A71365">
            <w:pPr>
              <w:pStyle w:val="Tablewriting"/>
              <w:rPr>
                <w:rFonts w:eastAsia="MS Mincho" w:cstheme="minorHAnsi"/>
              </w:rPr>
            </w:pPr>
            <w:r>
              <w:rPr>
                <w:rFonts w:eastAsia="MS Mincho" w:cstheme="minorHAnsi"/>
              </w:rPr>
              <w:t>UK</w:t>
            </w:r>
          </w:p>
        </w:tc>
        <w:tc>
          <w:tcPr>
            <w:tcW w:w="679" w:type="pct"/>
            <w:shd w:val="clear" w:color="auto" w:fill="F2F2F2" w:themeFill="background1" w:themeFillShade="F2"/>
          </w:tcPr>
          <w:p w14:paraId="3BE080E8" w14:textId="26FEB240" w:rsidR="00DB181B" w:rsidRPr="00017AE6" w:rsidRDefault="001F73F7" w:rsidP="00A71365">
            <w:pPr>
              <w:pStyle w:val="Tablewriting"/>
              <w:rPr>
                <w:rFonts w:eastAsia="MS Mincho" w:cstheme="minorHAnsi"/>
              </w:rPr>
            </w:pPr>
            <w:r>
              <w:rPr>
                <w:rFonts w:eastAsia="MS Mincho" w:cstheme="minorHAnsi"/>
              </w:rPr>
              <w:t>N=200</w:t>
            </w:r>
            <w:r w:rsidR="00267A88">
              <w:rPr>
                <w:rFonts w:eastAsia="MS Mincho" w:cstheme="minorHAnsi"/>
              </w:rPr>
              <w:t xml:space="preserve">; </w:t>
            </w:r>
            <w:r w:rsidR="00BA7EC9">
              <w:rPr>
                <w:rFonts w:eastAsia="MS Mincho" w:cstheme="minorHAnsi"/>
              </w:rPr>
              <w:t>n=100 (</w:t>
            </w:r>
            <w:r w:rsidR="00267A88" w:rsidRPr="00EA0983">
              <w:rPr>
                <w:rFonts w:eastAsia="MS Mincho" w:cstheme="minorHAnsi"/>
              </w:rPr>
              <w:t>varenicline)</w:t>
            </w:r>
            <w:r w:rsidR="00BA7EC9">
              <w:rPr>
                <w:rFonts w:eastAsia="MS Mincho" w:cstheme="minorHAnsi"/>
              </w:rPr>
              <w:t>, n</w:t>
            </w:r>
            <w:r w:rsidR="00584268">
              <w:rPr>
                <w:rFonts w:eastAsia="MS Mincho" w:cstheme="minorHAnsi"/>
              </w:rPr>
              <w:t xml:space="preserve">=100 </w:t>
            </w:r>
            <w:r w:rsidR="00C15129">
              <w:rPr>
                <w:rFonts w:eastAsia="MS Mincho" w:cstheme="minorHAnsi"/>
              </w:rPr>
              <w:t>(</w:t>
            </w:r>
            <w:r w:rsidR="00267A88" w:rsidRPr="00EA0983">
              <w:rPr>
                <w:rFonts w:eastAsia="MS Mincho" w:cstheme="minorHAnsi"/>
              </w:rPr>
              <w:t>placebo)</w:t>
            </w:r>
          </w:p>
        </w:tc>
        <w:tc>
          <w:tcPr>
            <w:tcW w:w="851" w:type="pct"/>
            <w:shd w:val="clear" w:color="auto" w:fill="F2F2F2" w:themeFill="background1" w:themeFillShade="F2"/>
          </w:tcPr>
          <w:p w14:paraId="24D9EB30" w14:textId="1140F9A3" w:rsidR="00EA0983" w:rsidRPr="00EA0983" w:rsidRDefault="00543D7B" w:rsidP="00A71365">
            <w:pPr>
              <w:pStyle w:val="Tablewriting"/>
              <w:rPr>
                <w:rFonts w:eastAsia="MS Mincho" w:cstheme="minorHAnsi"/>
              </w:rPr>
            </w:pPr>
            <w:r>
              <w:rPr>
                <w:rFonts w:eastAsia="MS Mincho" w:cstheme="minorHAnsi"/>
              </w:rPr>
              <w:t>N</w:t>
            </w:r>
            <w:r w:rsidR="00EA0983" w:rsidRPr="00EA0983">
              <w:rPr>
                <w:rFonts w:eastAsia="MS Mincho" w:cstheme="minorHAnsi"/>
              </w:rPr>
              <w:t>on-responders to varenicline at day 12, from an initial cohort of 503 given</w:t>
            </w:r>
            <w:r w:rsidR="00EA0983">
              <w:rPr>
                <w:rFonts w:eastAsia="MS Mincho" w:cstheme="minorHAnsi"/>
              </w:rPr>
              <w:t xml:space="preserve"> </w:t>
            </w:r>
            <w:r w:rsidR="00EA0983" w:rsidRPr="00EA0983">
              <w:rPr>
                <w:rFonts w:eastAsia="MS Mincho" w:cstheme="minorHAnsi"/>
              </w:rPr>
              <w:t>varenicline while still</w:t>
            </w:r>
          </w:p>
          <w:p w14:paraId="5720669B" w14:textId="4CF28C48" w:rsidR="00EA0983" w:rsidRPr="00EA0983" w:rsidRDefault="00EA0983" w:rsidP="00A71365">
            <w:pPr>
              <w:pStyle w:val="Tablewriting"/>
              <w:rPr>
                <w:rFonts w:eastAsia="MS Mincho" w:cstheme="minorHAnsi"/>
              </w:rPr>
            </w:pPr>
            <w:r w:rsidRPr="00EA0983">
              <w:rPr>
                <w:rFonts w:eastAsia="MS Mincho" w:cstheme="minorHAnsi"/>
              </w:rPr>
              <w:t>smoking</w:t>
            </w:r>
            <w:r>
              <w:rPr>
                <w:rFonts w:eastAsia="MS Mincho" w:cstheme="minorHAnsi"/>
              </w:rPr>
              <w:t>,</w:t>
            </w:r>
            <w:r w:rsidRPr="00EA0983">
              <w:rPr>
                <w:rFonts w:eastAsia="MS Mincho" w:cstheme="minorHAnsi"/>
              </w:rPr>
              <w:t xml:space="preserve"> add-on treatment. Treatment-seeking</w:t>
            </w:r>
          </w:p>
          <w:p w14:paraId="2EBE083E" w14:textId="6DC35A41" w:rsidR="00DB181B" w:rsidRPr="00017AE6" w:rsidRDefault="00EA0983" w:rsidP="00A71365">
            <w:pPr>
              <w:pStyle w:val="Tablewriting"/>
              <w:rPr>
                <w:rFonts w:eastAsia="MS Mincho" w:cstheme="minorHAnsi"/>
              </w:rPr>
            </w:pPr>
            <w:r w:rsidRPr="00EA0983">
              <w:rPr>
                <w:rFonts w:eastAsia="MS Mincho" w:cstheme="minorHAnsi"/>
              </w:rPr>
              <w:t>smokers, aged 18+; 28% women, 65% white, mean age 45.8 y</w:t>
            </w:r>
            <w:r w:rsidR="00267A88">
              <w:rPr>
                <w:rFonts w:eastAsia="MS Mincho" w:cstheme="minorHAnsi"/>
              </w:rPr>
              <w:t>ear</w:t>
            </w:r>
            <w:r w:rsidRPr="00EA0983">
              <w:rPr>
                <w:rFonts w:eastAsia="MS Mincho" w:cstheme="minorHAnsi"/>
              </w:rPr>
              <w:t xml:space="preserve">s, </w:t>
            </w:r>
            <w:r w:rsidRPr="00EA0983">
              <w:rPr>
                <w:rFonts w:eastAsia="MS Mincho" w:cstheme="minorHAnsi"/>
              </w:rPr>
              <w:lastRenderedPageBreak/>
              <w:t>20.5 cigs in previous w</w:t>
            </w:r>
            <w:r w:rsidR="00267A88">
              <w:rPr>
                <w:rFonts w:eastAsia="MS Mincho" w:cstheme="minorHAnsi"/>
              </w:rPr>
              <w:t>ee</w:t>
            </w:r>
            <w:r w:rsidRPr="00EA0983">
              <w:rPr>
                <w:rFonts w:eastAsia="MS Mincho" w:cstheme="minorHAnsi"/>
              </w:rPr>
              <w:t>k, mean FTND</w:t>
            </w:r>
            <w:r w:rsidR="00267A88">
              <w:rPr>
                <w:rFonts w:eastAsia="MS Mincho" w:cstheme="minorHAnsi"/>
              </w:rPr>
              <w:t xml:space="preserve"> </w:t>
            </w:r>
            <w:r w:rsidRPr="00EA0983">
              <w:rPr>
                <w:rFonts w:eastAsia="MS Mincho" w:cstheme="minorHAnsi"/>
              </w:rPr>
              <w:t>5.5</w:t>
            </w:r>
            <w:r w:rsidR="00267A88">
              <w:rPr>
                <w:rFonts w:eastAsia="MS Mincho" w:cstheme="minorHAnsi"/>
              </w:rPr>
              <w:t>.</w:t>
            </w:r>
          </w:p>
        </w:tc>
        <w:tc>
          <w:tcPr>
            <w:tcW w:w="1054" w:type="pct"/>
            <w:shd w:val="clear" w:color="auto" w:fill="F2F2F2" w:themeFill="background1" w:themeFillShade="F2"/>
          </w:tcPr>
          <w:p w14:paraId="51822D02" w14:textId="016AD0F2" w:rsidR="004726E5" w:rsidRDefault="00946654" w:rsidP="00C324F3">
            <w:pPr>
              <w:pStyle w:val="Tablewriting"/>
              <w:numPr>
                <w:ilvl w:val="0"/>
                <w:numId w:val="92"/>
              </w:numPr>
              <w:rPr>
                <w:rFonts w:eastAsia="MS Mincho" w:cstheme="minorHAnsi"/>
              </w:rPr>
            </w:pPr>
            <w:r w:rsidRPr="00946654">
              <w:rPr>
                <w:rFonts w:eastAsia="MS Mincho" w:cstheme="minorHAnsi"/>
              </w:rPr>
              <w:lastRenderedPageBreak/>
              <w:t>Varenicline</w:t>
            </w:r>
            <w:r w:rsidR="004726E5">
              <w:rPr>
                <w:rFonts w:eastAsia="MS Mincho" w:cstheme="minorHAnsi"/>
              </w:rPr>
              <w:t>;</w:t>
            </w:r>
            <w:r w:rsidRPr="00946654">
              <w:rPr>
                <w:rFonts w:eastAsia="MS Mincho" w:cstheme="minorHAnsi"/>
              </w:rPr>
              <w:t xml:space="preserve"> standard dose + initial increase of 0.5 mg x 2/day which could be increased by 0.5 twice</w:t>
            </w:r>
            <w:r w:rsidR="004726E5">
              <w:rPr>
                <w:rFonts w:eastAsia="MS Mincho" w:cstheme="minorHAnsi"/>
              </w:rPr>
              <w:t xml:space="preserve"> </w:t>
            </w:r>
            <w:r w:rsidRPr="004726E5">
              <w:rPr>
                <w:rFonts w:eastAsia="MS Mincho" w:cstheme="minorHAnsi"/>
              </w:rPr>
              <w:t>daily up to a total of 5 mg/day. Dosage used at TQD was</w:t>
            </w:r>
            <w:r w:rsidR="000A6A3C">
              <w:rPr>
                <w:rFonts w:eastAsia="MS Mincho" w:cstheme="minorHAnsi"/>
              </w:rPr>
              <w:t xml:space="preserve"> </w:t>
            </w:r>
            <w:r w:rsidRPr="004726E5">
              <w:rPr>
                <w:rFonts w:eastAsia="MS Mincho" w:cstheme="minorHAnsi"/>
              </w:rPr>
              <w:t>maintained for 3 w</w:t>
            </w:r>
            <w:r w:rsidR="004726E5">
              <w:rPr>
                <w:rFonts w:eastAsia="MS Mincho" w:cstheme="minorHAnsi"/>
              </w:rPr>
              <w:t>ee</w:t>
            </w:r>
            <w:r w:rsidRPr="004726E5">
              <w:rPr>
                <w:rFonts w:eastAsia="MS Mincho" w:cstheme="minorHAnsi"/>
              </w:rPr>
              <w:t>ks, with an option to reduce</w:t>
            </w:r>
            <w:r w:rsidR="004726E5">
              <w:rPr>
                <w:rFonts w:eastAsia="MS Mincho" w:cstheme="minorHAnsi"/>
              </w:rPr>
              <w:t xml:space="preserve"> </w:t>
            </w:r>
            <w:r w:rsidRPr="004726E5">
              <w:rPr>
                <w:rFonts w:eastAsia="MS Mincho" w:cstheme="minorHAnsi"/>
              </w:rPr>
              <w:t>it if necessary.</w:t>
            </w:r>
            <w:r w:rsidR="000A6A3C">
              <w:rPr>
                <w:rFonts w:eastAsia="MS Mincho" w:cstheme="minorHAnsi"/>
              </w:rPr>
              <w:t xml:space="preserve"> </w:t>
            </w:r>
            <w:r w:rsidRPr="004726E5">
              <w:rPr>
                <w:rFonts w:eastAsia="MS Mincho" w:cstheme="minorHAnsi"/>
              </w:rPr>
              <w:t>From 4 w</w:t>
            </w:r>
            <w:r w:rsidR="004726E5">
              <w:rPr>
                <w:rFonts w:eastAsia="MS Mincho" w:cstheme="minorHAnsi"/>
              </w:rPr>
              <w:t>ee</w:t>
            </w:r>
            <w:r w:rsidRPr="004726E5">
              <w:rPr>
                <w:rFonts w:eastAsia="MS Mincho" w:cstheme="minorHAnsi"/>
              </w:rPr>
              <w:t>ks, only</w:t>
            </w:r>
            <w:r w:rsidR="000A6A3C">
              <w:rPr>
                <w:rFonts w:eastAsia="MS Mincho" w:cstheme="minorHAnsi"/>
              </w:rPr>
              <w:t xml:space="preserve"> </w:t>
            </w:r>
            <w:r w:rsidRPr="004726E5">
              <w:rPr>
                <w:rFonts w:eastAsia="MS Mincho" w:cstheme="minorHAnsi"/>
              </w:rPr>
              <w:t>standard dose was</w:t>
            </w:r>
            <w:r w:rsidR="000A6A3C">
              <w:rPr>
                <w:rFonts w:eastAsia="MS Mincho" w:cstheme="minorHAnsi"/>
              </w:rPr>
              <w:t xml:space="preserve"> </w:t>
            </w:r>
            <w:r w:rsidRPr="004726E5">
              <w:rPr>
                <w:rFonts w:eastAsia="MS Mincho" w:cstheme="minorHAnsi"/>
              </w:rPr>
              <w:t>used</w:t>
            </w:r>
            <w:r w:rsidR="000A6A3C">
              <w:rPr>
                <w:rFonts w:eastAsia="MS Mincho" w:cstheme="minorHAnsi"/>
              </w:rPr>
              <w:t>.</w:t>
            </w:r>
          </w:p>
          <w:p w14:paraId="4B4F02B2" w14:textId="6DDB4A44" w:rsidR="00DB181B" w:rsidRPr="00017AE6" w:rsidRDefault="00946654" w:rsidP="00C324F3">
            <w:pPr>
              <w:pStyle w:val="Tablewriting"/>
              <w:numPr>
                <w:ilvl w:val="0"/>
                <w:numId w:val="92"/>
              </w:numPr>
              <w:rPr>
                <w:rFonts w:eastAsia="MS Mincho" w:cstheme="minorHAnsi"/>
              </w:rPr>
            </w:pPr>
            <w:r w:rsidRPr="00946654">
              <w:rPr>
                <w:rFonts w:eastAsia="MS Mincho" w:cstheme="minorHAnsi"/>
              </w:rPr>
              <w:lastRenderedPageBreak/>
              <w:t>Placebo</w:t>
            </w:r>
            <w:r w:rsidR="004726E5">
              <w:rPr>
                <w:rFonts w:eastAsia="MS Mincho" w:cstheme="minorHAnsi"/>
              </w:rPr>
              <w:t>;</w:t>
            </w:r>
            <w:r w:rsidRPr="00946654">
              <w:rPr>
                <w:rFonts w:eastAsia="MS Mincho" w:cstheme="minorHAnsi"/>
              </w:rPr>
              <w:t xml:space="preserve"> same regimen, but with identical placebo pills</w:t>
            </w:r>
            <w:r w:rsidR="004726E5">
              <w:rPr>
                <w:rFonts w:eastAsia="MS Mincho" w:cstheme="minorHAnsi"/>
              </w:rPr>
              <w:t>.</w:t>
            </w:r>
          </w:p>
        </w:tc>
        <w:tc>
          <w:tcPr>
            <w:tcW w:w="959" w:type="pct"/>
            <w:shd w:val="clear" w:color="auto" w:fill="F2F2F2" w:themeFill="background1" w:themeFillShade="F2"/>
          </w:tcPr>
          <w:p w14:paraId="59E50757" w14:textId="1F14D397" w:rsidR="005602D2" w:rsidRPr="00946654" w:rsidRDefault="005602D2" w:rsidP="00A71365">
            <w:pPr>
              <w:tabs>
                <w:tab w:val="left" w:pos="526"/>
              </w:tabs>
              <w:rPr>
                <w:rFonts w:eastAsia="MS Mincho"/>
                <w:lang w:eastAsia="en-US"/>
              </w:rPr>
            </w:pPr>
            <w:r w:rsidRPr="00040CD2">
              <w:rPr>
                <w:rFonts w:eastAsia="MS Mincho"/>
                <w:u w:val="single"/>
                <w:lang w:eastAsia="en-US"/>
              </w:rPr>
              <w:lastRenderedPageBreak/>
              <w:t>Efficacy:</w:t>
            </w:r>
            <w:r>
              <w:rPr>
                <w:rFonts w:eastAsia="MS Mincho"/>
                <w:lang w:eastAsia="en-US"/>
              </w:rPr>
              <w:t xml:space="preserve"> </w:t>
            </w:r>
            <w:r w:rsidRPr="00946654">
              <w:rPr>
                <w:rFonts w:eastAsia="MS Mincho"/>
                <w:lang w:eastAsia="en-US"/>
              </w:rPr>
              <w:t>CAR at w</w:t>
            </w:r>
            <w:r>
              <w:rPr>
                <w:rFonts w:eastAsia="MS Mincho"/>
                <w:lang w:eastAsia="en-US"/>
              </w:rPr>
              <w:t>ee</w:t>
            </w:r>
            <w:r w:rsidRPr="00946654">
              <w:rPr>
                <w:rFonts w:eastAsia="MS Mincho"/>
                <w:lang w:eastAsia="en-US"/>
              </w:rPr>
              <w:t xml:space="preserve">ks 1, 4, 12 </w:t>
            </w:r>
            <w:r w:rsidR="00040CD2">
              <w:rPr>
                <w:rFonts w:eastAsia="MS Mincho"/>
                <w:lang w:eastAsia="en-US"/>
              </w:rPr>
              <w:t xml:space="preserve">weeks </w:t>
            </w:r>
            <w:r w:rsidRPr="00946654">
              <w:rPr>
                <w:rFonts w:eastAsia="MS Mincho"/>
                <w:lang w:eastAsia="en-US"/>
              </w:rPr>
              <w:t>after TQD</w:t>
            </w:r>
          </w:p>
          <w:p w14:paraId="13F85F9C" w14:textId="10345BA6" w:rsidR="005602D2" w:rsidRDefault="00AC5AD8" w:rsidP="00A71365">
            <w:pPr>
              <w:tabs>
                <w:tab w:val="left" w:pos="526"/>
              </w:tabs>
              <w:rPr>
                <w:rFonts w:eastAsia="MS Mincho"/>
                <w:lang w:eastAsia="en-US"/>
              </w:rPr>
            </w:pPr>
            <w:r w:rsidRPr="00946654">
              <w:rPr>
                <w:rFonts w:eastAsia="MS Mincho"/>
                <w:lang w:eastAsia="en-US"/>
              </w:rPr>
              <w:t>Validation: CO &lt; 9 ppm</w:t>
            </w:r>
            <w:r>
              <w:rPr>
                <w:rFonts w:eastAsia="MS Mincho"/>
                <w:lang w:eastAsia="en-US"/>
              </w:rPr>
              <w:t>.</w:t>
            </w:r>
          </w:p>
          <w:p w14:paraId="0FCB9589" w14:textId="77777777" w:rsidR="00AC5AD8" w:rsidRDefault="00AC5AD8" w:rsidP="00A71365">
            <w:pPr>
              <w:tabs>
                <w:tab w:val="left" w:pos="526"/>
              </w:tabs>
              <w:rPr>
                <w:rFonts w:eastAsia="MS Mincho"/>
                <w:lang w:eastAsia="en-US"/>
              </w:rPr>
            </w:pPr>
          </w:p>
          <w:p w14:paraId="5CF53A6D" w14:textId="35C6DC05" w:rsidR="00946654" w:rsidRPr="00946654" w:rsidRDefault="005602D2" w:rsidP="00A71365">
            <w:pPr>
              <w:tabs>
                <w:tab w:val="left" w:pos="526"/>
              </w:tabs>
              <w:rPr>
                <w:rFonts w:eastAsia="MS Mincho"/>
                <w:lang w:eastAsia="en-US"/>
              </w:rPr>
            </w:pPr>
            <w:r w:rsidRPr="005602D2">
              <w:rPr>
                <w:rFonts w:eastAsia="MS Mincho"/>
                <w:u w:val="single"/>
                <w:lang w:eastAsia="en-US"/>
              </w:rPr>
              <w:t>Safety:</w:t>
            </w:r>
            <w:r>
              <w:rPr>
                <w:rFonts w:eastAsia="MS Mincho"/>
                <w:lang w:eastAsia="en-US"/>
              </w:rPr>
              <w:t xml:space="preserve"> </w:t>
            </w:r>
            <w:r w:rsidR="00946654" w:rsidRPr="00946654">
              <w:rPr>
                <w:rFonts w:eastAsia="MS Mincho"/>
                <w:lang w:eastAsia="en-US"/>
              </w:rPr>
              <w:t>Smoking enjoyment and withdrawal symptoms weekly for 1st 4 w</w:t>
            </w:r>
            <w:r w:rsidR="00267A88">
              <w:rPr>
                <w:rFonts w:eastAsia="MS Mincho"/>
                <w:lang w:eastAsia="en-US"/>
              </w:rPr>
              <w:t>ee</w:t>
            </w:r>
            <w:r w:rsidR="00946654" w:rsidRPr="00946654">
              <w:rPr>
                <w:rFonts w:eastAsia="MS Mincho"/>
                <w:lang w:eastAsia="en-US"/>
              </w:rPr>
              <w:t>ks</w:t>
            </w:r>
            <w:r>
              <w:rPr>
                <w:rFonts w:eastAsia="MS Mincho"/>
                <w:lang w:eastAsia="en-US"/>
              </w:rPr>
              <w:t>.</w:t>
            </w:r>
            <w:r w:rsidR="00946654" w:rsidRPr="00946654">
              <w:rPr>
                <w:rFonts w:eastAsia="MS Mincho"/>
                <w:lang w:eastAsia="en-US"/>
              </w:rPr>
              <w:t xml:space="preserve"> </w:t>
            </w:r>
          </w:p>
          <w:p w14:paraId="57F17513" w14:textId="77777777" w:rsidR="00267A88" w:rsidRDefault="00267A88" w:rsidP="00A71365">
            <w:pPr>
              <w:tabs>
                <w:tab w:val="left" w:pos="526"/>
              </w:tabs>
              <w:rPr>
                <w:rFonts w:eastAsia="MS Mincho"/>
                <w:lang w:eastAsia="en-US"/>
              </w:rPr>
            </w:pPr>
          </w:p>
          <w:p w14:paraId="31274E24" w14:textId="4B9739E3" w:rsidR="00946654" w:rsidRPr="00946654" w:rsidRDefault="00946654" w:rsidP="00A71365">
            <w:pPr>
              <w:tabs>
                <w:tab w:val="left" w:pos="526"/>
              </w:tabs>
              <w:rPr>
                <w:rFonts w:eastAsia="MS Mincho"/>
                <w:lang w:eastAsia="en-US"/>
              </w:rPr>
            </w:pPr>
          </w:p>
        </w:tc>
      </w:tr>
      <w:tr w:rsidR="003D3459" w:rsidRPr="00017AE6" w14:paraId="7752EDB7" w14:textId="77777777" w:rsidTr="005821B1">
        <w:trPr>
          <w:trHeight w:val="99"/>
        </w:trPr>
        <w:tc>
          <w:tcPr>
            <w:tcW w:w="761" w:type="pct"/>
            <w:shd w:val="clear" w:color="auto" w:fill="F2F2F2" w:themeFill="background1" w:themeFillShade="F2"/>
          </w:tcPr>
          <w:p w14:paraId="2B4CFC53" w14:textId="2A7F06F1" w:rsidR="00DB181B" w:rsidRPr="00017AE6" w:rsidRDefault="00DB181B" w:rsidP="00A71365">
            <w:pPr>
              <w:pStyle w:val="Tablewriting"/>
              <w:rPr>
                <w:rFonts w:eastAsia="MS Mincho" w:cstheme="minorHAnsi"/>
              </w:rPr>
            </w:pPr>
            <w:r w:rsidRPr="001411E5">
              <w:rPr>
                <w:rFonts w:eastAsia="MS Mincho" w:cstheme="minorHAnsi"/>
              </w:rPr>
              <w:t xml:space="preserve">Stein </w:t>
            </w:r>
            <w:r w:rsidR="001B56DB">
              <w:rPr>
                <w:rFonts w:eastAsia="MS Mincho" w:cstheme="minorHAnsi"/>
              </w:rPr>
              <w:t>(</w:t>
            </w:r>
            <w:r w:rsidRPr="001411E5">
              <w:rPr>
                <w:rFonts w:eastAsia="MS Mincho" w:cstheme="minorHAnsi"/>
              </w:rPr>
              <w:t>2013</w:t>
            </w:r>
            <w:r w:rsidR="001B56DB">
              <w:rPr>
                <w:rFonts w:eastAsia="MS Mincho" w:cstheme="minorHAnsi"/>
              </w:rPr>
              <w:t>)</w:t>
            </w:r>
          </w:p>
        </w:tc>
        <w:tc>
          <w:tcPr>
            <w:tcW w:w="235" w:type="pct"/>
            <w:shd w:val="clear" w:color="auto" w:fill="F2F2F2" w:themeFill="background1" w:themeFillShade="F2"/>
          </w:tcPr>
          <w:p w14:paraId="4378B925" w14:textId="56F278B1"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096394BD" w14:textId="7E2A2B52" w:rsidR="00DB181B" w:rsidRPr="00017AE6" w:rsidRDefault="00886587" w:rsidP="00A71365">
            <w:pPr>
              <w:pStyle w:val="Tablewriting"/>
              <w:rPr>
                <w:rFonts w:eastAsia="MS Mincho" w:cstheme="minorHAnsi"/>
              </w:rPr>
            </w:pPr>
            <w:r>
              <w:rPr>
                <w:rFonts w:eastAsia="MS Mincho" w:cstheme="minorHAnsi"/>
              </w:rPr>
              <w:t>USA</w:t>
            </w:r>
          </w:p>
        </w:tc>
        <w:tc>
          <w:tcPr>
            <w:tcW w:w="679" w:type="pct"/>
            <w:shd w:val="clear" w:color="auto" w:fill="F2F2F2" w:themeFill="background1" w:themeFillShade="F2"/>
          </w:tcPr>
          <w:p w14:paraId="4C4DD766" w14:textId="0196C45F" w:rsidR="00DB181B" w:rsidRPr="00017AE6" w:rsidRDefault="00886587" w:rsidP="00A71365">
            <w:pPr>
              <w:pStyle w:val="Tablewriting"/>
              <w:rPr>
                <w:rFonts w:eastAsia="MS Mincho" w:cstheme="minorHAnsi"/>
              </w:rPr>
            </w:pPr>
            <w:r>
              <w:rPr>
                <w:rFonts w:eastAsia="MS Mincho" w:cstheme="minorHAnsi"/>
              </w:rPr>
              <w:t>N=315</w:t>
            </w:r>
            <w:r w:rsidR="00AB08F2">
              <w:rPr>
                <w:rFonts w:eastAsia="MS Mincho" w:cstheme="minorHAnsi"/>
              </w:rPr>
              <w:t xml:space="preserve">; </w:t>
            </w:r>
            <w:r w:rsidR="004F557A">
              <w:rPr>
                <w:rFonts w:eastAsia="MS Mincho" w:cstheme="minorHAnsi"/>
              </w:rPr>
              <w:t>n=137 (</w:t>
            </w:r>
            <w:r w:rsidR="00AB08F2" w:rsidRPr="00A37EAD">
              <w:rPr>
                <w:rFonts w:eastAsia="MS Mincho" w:cstheme="minorHAnsi"/>
              </w:rPr>
              <w:t>varenicline)</w:t>
            </w:r>
            <w:r w:rsidR="004F557A">
              <w:rPr>
                <w:rFonts w:eastAsia="MS Mincho" w:cstheme="minorHAnsi"/>
              </w:rPr>
              <w:t>, n=</w:t>
            </w:r>
            <w:r w:rsidR="00F030AB">
              <w:rPr>
                <w:rFonts w:eastAsia="MS Mincho" w:cstheme="minorHAnsi"/>
              </w:rPr>
              <w:t>45 (</w:t>
            </w:r>
            <w:r w:rsidR="00AB08F2" w:rsidRPr="00A37EAD">
              <w:rPr>
                <w:rFonts w:eastAsia="MS Mincho" w:cstheme="minorHAnsi"/>
              </w:rPr>
              <w:t>placebo)</w:t>
            </w:r>
            <w:r w:rsidR="00F030AB">
              <w:rPr>
                <w:rFonts w:eastAsia="MS Mincho" w:cstheme="minorHAnsi"/>
              </w:rPr>
              <w:t>, n= 133 (</w:t>
            </w:r>
            <w:r w:rsidR="00AB08F2" w:rsidRPr="00A37EAD">
              <w:rPr>
                <w:rFonts w:eastAsia="MS Mincho" w:cstheme="minorHAnsi"/>
              </w:rPr>
              <w:t>combination NRT)</w:t>
            </w:r>
            <w:r w:rsidR="00F030AB">
              <w:rPr>
                <w:rFonts w:eastAsia="MS Mincho" w:cstheme="minorHAnsi"/>
              </w:rPr>
              <w:t>.</w:t>
            </w:r>
          </w:p>
        </w:tc>
        <w:tc>
          <w:tcPr>
            <w:tcW w:w="851" w:type="pct"/>
            <w:shd w:val="clear" w:color="auto" w:fill="F2F2F2" w:themeFill="background1" w:themeFillShade="F2"/>
          </w:tcPr>
          <w:p w14:paraId="2CB71309" w14:textId="644ED410" w:rsidR="005D6B71" w:rsidRDefault="00A37EAD" w:rsidP="00A71365">
            <w:pPr>
              <w:pStyle w:val="Tablewriting"/>
              <w:rPr>
                <w:rFonts w:eastAsia="MS Mincho" w:cstheme="minorHAnsi"/>
              </w:rPr>
            </w:pPr>
            <w:r>
              <w:rPr>
                <w:rFonts w:eastAsia="MS Mincho" w:cstheme="minorHAnsi"/>
              </w:rPr>
              <w:t>A</w:t>
            </w:r>
            <w:r w:rsidRPr="00A37EAD">
              <w:rPr>
                <w:rFonts w:eastAsia="MS Mincho" w:cstheme="minorHAnsi"/>
              </w:rPr>
              <w:t>dult methadone-maintained smokers, smoking 10+ CPD, willing to</w:t>
            </w:r>
            <w:r w:rsidR="009E2A27">
              <w:rPr>
                <w:rFonts w:eastAsia="MS Mincho" w:cstheme="minorHAnsi"/>
              </w:rPr>
              <w:t xml:space="preserve"> set a quit date within the 1</w:t>
            </w:r>
            <w:r w:rsidR="009E2A27" w:rsidRPr="009E2A27">
              <w:rPr>
                <w:rFonts w:eastAsia="MS Mincho" w:cstheme="minorHAnsi"/>
                <w:vertAlign w:val="superscript"/>
              </w:rPr>
              <w:t>st</w:t>
            </w:r>
            <w:r w:rsidR="009E2A27">
              <w:rPr>
                <w:rFonts w:eastAsia="MS Mincho" w:cstheme="minorHAnsi"/>
              </w:rPr>
              <w:t xml:space="preserve"> </w:t>
            </w:r>
            <w:r w:rsidRPr="00A37EAD">
              <w:rPr>
                <w:rFonts w:eastAsia="MS Mincho" w:cstheme="minorHAnsi"/>
              </w:rPr>
              <w:t>w</w:t>
            </w:r>
            <w:r w:rsidR="005D6B71">
              <w:rPr>
                <w:rFonts w:eastAsia="MS Mincho" w:cstheme="minorHAnsi"/>
              </w:rPr>
              <w:t>ee</w:t>
            </w:r>
            <w:r w:rsidRPr="00A37EAD">
              <w:rPr>
                <w:rFonts w:eastAsia="MS Mincho" w:cstheme="minorHAnsi"/>
              </w:rPr>
              <w:t>k.</w:t>
            </w:r>
          </w:p>
          <w:p w14:paraId="7882DA46" w14:textId="77777777" w:rsidR="00A62EEF" w:rsidRDefault="00A62EEF" w:rsidP="00A71365">
            <w:pPr>
              <w:pStyle w:val="Tablewriting"/>
              <w:rPr>
                <w:rFonts w:eastAsia="MS Mincho" w:cstheme="minorHAnsi"/>
              </w:rPr>
            </w:pPr>
          </w:p>
          <w:p w14:paraId="614D3B7F" w14:textId="3842DF72" w:rsidR="00DB181B" w:rsidRPr="00017AE6" w:rsidRDefault="00A37EAD" w:rsidP="00A71365">
            <w:pPr>
              <w:pStyle w:val="Tablewriting"/>
              <w:rPr>
                <w:rFonts w:eastAsia="MS Mincho" w:cstheme="minorHAnsi"/>
              </w:rPr>
            </w:pPr>
            <w:r w:rsidRPr="00A37EAD">
              <w:rPr>
                <w:rFonts w:eastAsia="MS Mincho" w:cstheme="minorHAnsi"/>
              </w:rPr>
              <w:t>Mean age 39.9, 47.6%</w:t>
            </w:r>
            <w:r w:rsidR="00A62EEF">
              <w:rPr>
                <w:rFonts w:eastAsia="MS Mincho" w:cstheme="minorHAnsi"/>
              </w:rPr>
              <w:t xml:space="preserve"> </w:t>
            </w:r>
            <w:r w:rsidRPr="00A37EAD">
              <w:rPr>
                <w:rFonts w:eastAsia="MS Mincho" w:cstheme="minorHAnsi"/>
              </w:rPr>
              <w:t>women, 78.5% white, mean CPD 20, mean FTND 5.7</w:t>
            </w:r>
            <w:r w:rsidR="00A62EEF">
              <w:rPr>
                <w:rFonts w:eastAsia="MS Mincho" w:cstheme="minorHAnsi"/>
              </w:rPr>
              <w:t>.</w:t>
            </w:r>
          </w:p>
        </w:tc>
        <w:tc>
          <w:tcPr>
            <w:tcW w:w="1054" w:type="pct"/>
            <w:shd w:val="clear" w:color="auto" w:fill="F2F2F2" w:themeFill="background1" w:themeFillShade="F2"/>
          </w:tcPr>
          <w:p w14:paraId="19786954" w14:textId="77777777" w:rsidR="00DE3316" w:rsidRDefault="00A37EAD" w:rsidP="00C324F3">
            <w:pPr>
              <w:pStyle w:val="Tablewriting"/>
              <w:numPr>
                <w:ilvl w:val="0"/>
                <w:numId w:val="93"/>
              </w:numPr>
              <w:rPr>
                <w:rFonts w:eastAsia="MS Mincho" w:cstheme="minorHAnsi"/>
              </w:rPr>
            </w:pPr>
            <w:r w:rsidRPr="00A37EAD">
              <w:rPr>
                <w:rFonts w:eastAsia="MS Mincho" w:cstheme="minorHAnsi"/>
              </w:rPr>
              <w:t>Varenicline: 24-wk course of</w:t>
            </w:r>
            <w:r w:rsidR="00DE3316">
              <w:rPr>
                <w:rFonts w:eastAsia="MS Mincho" w:cstheme="minorHAnsi"/>
              </w:rPr>
              <w:t xml:space="preserve"> </w:t>
            </w:r>
            <w:r w:rsidRPr="00A37EAD">
              <w:rPr>
                <w:rFonts w:eastAsia="MS Mincho" w:cstheme="minorHAnsi"/>
              </w:rPr>
              <w:t>varenicline tablets, 1st w</w:t>
            </w:r>
            <w:r w:rsidR="00DE3316">
              <w:rPr>
                <w:rFonts w:eastAsia="MS Mincho" w:cstheme="minorHAnsi"/>
              </w:rPr>
              <w:t>ee</w:t>
            </w:r>
            <w:r w:rsidRPr="00A37EAD">
              <w:rPr>
                <w:rFonts w:eastAsia="MS Mincho" w:cstheme="minorHAnsi"/>
              </w:rPr>
              <w:t>k titrated</w:t>
            </w:r>
            <w:r w:rsidR="00DE3316">
              <w:rPr>
                <w:rFonts w:eastAsia="MS Mincho" w:cstheme="minorHAnsi"/>
              </w:rPr>
              <w:t>.</w:t>
            </w:r>
          </w:p>
          <w:p w14:paraId="1A961B13" w14:textId="77777777" w:rsidR="00084803" w:rsidRDefault="00225029" w:rsidP="00C324F3">
            <w:pPr>
              <w:pStyle w:val="Tablewriting"/>
              <w:numPr>
                <w:ilvl w:val="0"/>
                <w:numId w:val="93"/>
              </w:numPr>
              <w:rPr>
                <w:rFonts w:eastAsia="MS Mincho" w:cstheme="minorHAnsi"/>
              </w:rPr>
            </w:pPr>
            <w:r w:rsidRPr="00DE3316">
              <w:rPr>
                <w:rFonts w:eastAsia="MS Mincho" w:cstheme="minorHAnsi"/>
              </w:rPr>
              <w:t>Placebo: 24-wk course of identical tablets and</w:t>
            </w:r>
            <w:r w:rsidR="00084803">
              <w:rPr>
                <w:rFonts w:eastAsia="MS Mincho" w:cstheme="minorHAnsi"/>
              </w:rPr>
              <w:t xml:space="preserve"> </w:t>
            </w:r>
            <w:r w:rsidRPr="00DE3316">
              <w:rPr>
                <w:rFonts w:eastAsia="MS Mincho" w:cstheme="minorHAnsi"/>
              </w:rPr>
              <w:t>regimen</w:t>
            </w:r>
            <w:r w:rsidR="00084803">
              <w:rPr>
                <w:rFonts w:eastAsia="MS Mincho" w:cstheme="minorHAnsi"/>
              </w:rPr>
              <w:t>.</w:t>
            </w:r>
          </w:p>
          <w:p w14:paraId="2F81A0E5" w14:textId="31EDB92E" w:rsidR="00FE7D0B" w:rsidRPr="00084803" w:rsidRDefault="00225029" w:rsidP="00C324F3">
            <w:pPr>
              <w:pStyle w:val="Tablewriting"/>
              <w:numPr>
                <w:ilvl w:val="0"/>
                <w:numId w:val="93"/>
              </w:numPr>
              <w:rPr>
                <w:rFonts w:eastAsia="MS Mincho" w:cstheme="minorHAnsi"/>
              </w:rPr>
            </w:pPr>
            <w:r w:rsidRPr="00084803">
              <w:rPr>
                <w:rFonts w:eastAsia="MS Mincho" w:cstheme="minorHAnsi"/>
              </w:rPr>
              <w:t>Combination NRT: 24-wk course of NRT patch (42 mg for &gt; 30 CPD, 21 mg if &lt; 30 CPD), + ad lib nicotine</w:t>
            </w:r>
            <w:r w:rsidR="00084803">
              <w:rPr>
                <w:rFonts w:eastAsia="MS Mincho" w:cstheme="minorHAnsi"/>
              </w:rPr>
              <w:t xml:space="preserve"> </w:t>
            </w:r>
            <w:r w:rsidRPr="00084803">
              <w:rPr>
                <w:rFonts w:eastAsia="MS Mincho" w:cstheme="minorHAnsi"/>
              </w:rPr>
              <w:t>gum (4 mg) as needed</w:t>
            </w:r>
            <w:r w:rsidR="00084803">
              <w:rPr>
                <w:rFonts w:eastAsia="MS Mincho" w:cstheme="minorHAnsi"/>
              </w:rPr>
              <w:t>.</w:t>
            </w:r>
          </w:p>
          <w:p w14:paraId="5A4E5107" w14:textId="77777777" w:rsidR="00FE7D0B" w:rsidRDefault="00FE7D0B" w:rsidP="00A71365">
            <w:pPr>
              <w:autoSpaceDE w:val="0"/>
              <w:autoSpaceDN w:val="0"/>
              <w:adjustRightInd w:val="0"/>
              <w:rPr>
                <w:rFonts w:asciiTheme="minorHAnsi" w:eastAsia="MS Mincho" w:hAnsiTheme="minorHAnsi" w:cstheme="minorHAnsi"/>
              </w:rPr>
            </w:pPr>
          </w:p>
          <w:p w14:paraId="6AF05000" w14:textId="760C22E5" w:rsidR="00225029" w:rsidRPr="00225029" w:rsidRDefault="00104261" w:rsidP="00A71365">
            <w:pPr>
              <w:pStyle w:val="Tablewriting"/>
              <w:rPr>
                <w:rFonts w:eastAsia="MS Mincho" w:cstheme="minorHAnsi"/>
              </w:rPr>
            </w:pPr>
            <w:r w:rsidRPr="06BFFAED">
              <w:rPr>
                <w:rFonts w:eastAsia="MS Mincho" w:cstheme="minorBidi"/>
                <w:u w:val="single"/>
              </w:rPr>
              <w:t>Common components:</w:t>
            </w:r>
            <w:r w:rsidR="005B58DC">
              <w:rPr>
                <w:rFonts w:eastAsia="MS Mincho" w:cstheme="minorBidi"/>
                <w:u w:val="single"/>
              </w:rPr>
              <w:t xml:space="preserve"> </w:t>
            </w:r>
            <w:r w:rsidRPr="00A37EAD">
              <w:rPr>
                <w:rFonts w:eastAsia="MS Mincho" w:cstheme="minorHAnsi"/>
              </w:rPr>
              <w:t>All participants received a standardised 15-min session of advice to quit (5As model</w:t>
            </w:r>
            <w:r w:rsidR="004664D2" w:rsidRPr="00A37EAD">
              <w:rPr>
                <w:rFonts w:eastAsia="MS Mincho" w:cstheme="minorHAnsi"/>
              </w:rPr>
              <w:t>) and</w:t>
            </w:r>
            <w:r w:rsidRPr="00A37EAD">
              <w:rPr>
                <w:rFonts w:eastAsia="MS Mincho" w:cstheme="minorHAnsi"/>
              </w:rPr>
              <w:t xml:space="preserve"> were asked to</w:t>
            </w:r>
            <w:r w:rsidR="007E4E63">
              <w:rPr>
                <w:rFonts w:eastAsia="MS Mincho" w:cstheme="minorHAnsi"/>
              </w:rPr>
              <w:t xml:space="preserve"> </w:t>
            </w:r>
            <w:r w:rsidRPr="00A37EAD">
              <w:rPr>
                <w:rFonts w:eastAsia="MS Mincho" w:cstheme="minorHAnsi"/>
              </w:rPr>
              <w:t xml:space="preserve">set a TQD for 8 </w:t>
            </w:r>
            <w:r w:rsidR="004664D2" w:rsidRPr="00A37EAD">
              <w:rPr>
                <w:rFonts w:eastAsia="MS Mincho" w:cstheme="minorHAnsi"/>
              </w:rPr>
              <w:t>day’s time</w:t>
            </w:r>
            <w:r w:rsidRPr="00A37EAD">
              <w:rPr>
                <w:rFonts w:eastAsia="MS Mincho" w:cstheme="minorHAnsi"/>
              </w:rPr>
              <w:t>. All made monthly visits for support and top-up medication</w:t>
            </w:r>
            <w:r>
              <w:rPr>
                <w:rFonts w:eastAsia="MS Mincho" w:cstheme="minorHAnsi"/>
              </w:rPr>
              <w:t>.</w:t>
            </w:r>
          </w:p>
        </w:tc>
        <w:tc>
          <w:tcPr>
            <w:tcW w:w="959" w:type="pct"/>
            <w:shd w:val="clear" w:color="auto" w:fill="F2F2F2" w:themeFill="background1" w:themeFillShade="F2"/>
          </w:tcPr>
          <w:p w14:paraId="147DA65D" w14:textId="77777777" w:rsidR="00084803" w:rsidRPr="00084803" w:rsidRDefault="00084803" w:rsidP="00A71365">
            <w:pPr>
              <w:pStyle w:val="Tablewriting"/>
              <w:rPr>
                <w:rFonts w:eastAsia="MS Mincho" w:cstheme="minorHAnsi"/>
                <w:u w:val="single"/>
              </w:rPr>
            </w:pPr>
            <w:r w:rsidRPr="00084803">
              <w:rPr>
                <w:rFonts w:eastAsia="MS Mincho" w:cstheme="minorHAnsi"/>
                <w:u w:val="single"/>
              </w:rPr>
              <w:t>Efficacy:</w:t>
            </w:r>
          </w:p>
          <w:p w14:paraId="3FB4D680" w14:textId="66B52BE7" w:rsidR="00FE7D0B" w:rsidRPr="00FE7D0B" w:rsidRDefault="00FE7D0B" w:rsidP="00A71365">
            <w:pPr>
              <w:pStyle w:val="Tablewriting"/>
              <w:rPr>
                <w:rFonts w:eastAsia="MS Mincho" w:cstheme="minorHAnsi"/>
              </w:rPr>
            </w:pPr>
            <w:r w:rsidRPr="00FE7D0B">
              <w:rPr>
                <w:rFonts w:eastAsia="MS Mincho" w:cstheme="minorHAnsi"/>
              </w:rPr>
              <w:t>Primary: 7-day PPA at 6</w:t>
            </w:r>
            <w:r w:rsidR="006E791D">
              <w:rPr>
                <w:rFonts w:eastAsia="MS Mincho" w:cstheme="minorHAnsi"/>
              </w:rPr>
              <w:t xml:space="preserve"> </w:t>
            </w:r>
            <w:r w:rsidRPr="00FE7D0B">
              <w:rPr>
                <w:rFonts w:eastAsia="MS Mincho" w:cstheme="minorHAnsi"/>
              </w:rPr>
              <w:t>m</w:t>
            </w:r>
            <w:r w:rsidR="006E791D">
              <w:rPr>
                <w:rFonts w:eastAsia="MS Mincho" w:cstheme="minorHAnsi"/>
              </w:rPr>
              <w:t>onth</w:t>
            </w:r>
            <w:r w:rsidR="00F71016">
              <w:rPr>
                <w:rFonts w:eastAsia="MS Mincho" w:cstheme="minorHAnsi"/>
              </w:rPr>
              <w:t>s,</w:t>
            </w:r>
          </w:p>
          <w:p w14:paraId="1E50FA90" w14:textId="2B2696D9" w:rsidR="00F71016" w:rsidRDefault="00FE7D0B" w:rsidP="00A71365">
            <w:pPr>
              <w:pStyle w:val="Tablewriting"/>
              <w:rPr>
                <w:rFonts w:eastAsia="MS Mincho" w:cstheme="minorHAnsi"/>
              </w:rPr>
            </w:pPr>
            <w:r w:rsidRPr="00FE7D0B">
              <w:rPr>
                <w:rFonts w:eastAsia="MS Mincho" w:cstheme="minorHAnsi"/>
              </w:rPr>
              <w:t>Secondary: CA from w</w:t>
            </w:r>
            <w:r w:rsidR="008B4F79">
              <w:rPr>
                <w:rFonts w:eastAsia="MS Mincho" w:cstheme="minorHAnsi"/>
              </w:rPr>
              <w:t>ee</w:t>
            </w:r>
            <w:r w:rsidRPr="00FE7D0B">
              <w:rPr>
                <w:rFonts w:eastAsia="MS Mincho" w:cstheme="minorHAnsi"/>
              </w:rPr>
              <w:t>k 2 to 6</w:t>
            </w:r>
            <w:r w:rsidR="00F71016">
              <w:rPr>
                <w:rFonts w:eastAsia="MS Mincho" w:cstheme="minorHAnsi"/>
              </w:rPr>
              <w:t xml:space="preserve"> </w:t>
            </w:r>
            <w:r w:rsidRPr="00FE7D0B">
              <w:rPr>
                <w:rFonts w:eastAsia="MS Mincho" w:cstheme="minorHAnsi"/>
              </w:rPr>
              <w:t>m</w:t>
            </w:r>
            <w:r w:rsidR="00F71016">
              <w:rPr>
                <w:rFonts w:eastAsia="MS Mincho" w:cstheme="minorHAnsi"/>
              </w:rPr>
              <w:t>onths,</w:t>
            </w:r>
            <w:r w:rsidRPr="00FE7D0B">
              <w:rPr>
                <w:rFonts w:eastAsia="MS Mincho" w:cstheme="minorHAnsi"/>
              </w:rPr>
              <w:t xml:space="preserve"> </w:t>
            </w:r>
          </w:p>
          <w:p w14:paraId="4ED2A5F6" w14:textId="77777777" w:rsidR="00BE6C67" w:rsidRDefault="00BE6C67" w:rsidP="00A71365">
            <w:pPr>
              <w:pStyle w:val="Tablewriting"/>
              <w:rPr>
                <w:rFonts w:eastAsia="MS Mincho" w:cstheme="minorHAnsi"/>
              </w:rPr>
            </w:pPr>
          </w:p>
          <w:p w14:paraId="1795BD20" w14:textId="6B11D60E" w:rsidR="00FE7D0B" w:rsidRPr="00FE7D0B" w:rsidRDefault="00197519" w:rsidP="00A71365">
            <w:pPr>
              <w:pStyle w:val="Tablewriting"/>
              <w:rPr>
                <w:rFonts w:eastAsia="MS Mincho" w:cstheme="minorHAnsi"/>
              </w:rPr>
            </w:pPr>
            <w:r>
              <w:rPr>
                <w:rFonts w:eastAsia="MS Mincho" w:cstheme="minorHAnsi"/>
              </w:rPr>
              <w:t>F</w:t>
            </w:r>
            <w:r w:rsidR="00FE7D0B" w:rsidRPr="00FE7D0B">
              <w:rPr>
                <w:rFonts w:eastAsia="MS Mincho" w:cstheme="minorHAnsi"/>
              </w:rPr>
              <w:t>or non-quitters</w:t>
            </w:r>
            <w:r w:rsidR="00FE4583">
              <w:rPr>
                <w:rFonts w:eastAsia="MS Mincho" w:cstheme="minorHAnsi"/>
              </w:rPr>
              <w:t>;</w:t>
            </w:r>
            <w:r w:rsidR="00FE7D0B" w:rsidRPr="00FE7D0B">
              <w:rPr>
                <w:rFonts w:eastAsia="MS Mincho" w:cstheme="minorHAnsi"/>
              </w:rPr>
              <w:t xml:space="preserve"> CPD reduction in the 28 days prior to 6</w:t>
            </w:r>
            <w:r w:rsidR="008B4F79">
              <w:rPr>
                <w:rFonts w:eastAsia="MS Mincho" w:cstheme="minorHAnsi"/>
              </w:rPr>
              <w:t xml:space="preserve"> </w:t>
            </w:r>
            <w:r w:rsidR="00FE7D0B" w:rsidRPr="00FE7D0B">
              <w:rPr>
                <w:rFonts w:eastAsia="MS Mincho" w:cstheme="minorHAnsi"/>
              </w:rPr>
              <w:t>m</w:t>
            </w:r>
            <w:r w:rsidR="008B4F79">
              <w:rPr>
                <w:rFonts w:eastAsia="MS Mincho" w:cstheme="minorHAnsi"/>
              </w:rPr>
              <w:t>onths</w:t>
            </w:r>
            <w:r w:rsidR="00FE7D0B" w:rsidRPr="00FE7D0B">
              <w:rPr>
                <w:rFonts w:eastAsia="MS Mincho" w:cstheme="minorHAnsi"/>
              </w:rPr>
              <w:t xml:space="preserve"> assessment</w:t>
            </w:r>
            <w:r w:rsidR="00FE4583">
              <w:rPr>
                <w:rFonts w:eastAsia="MS Mincho" w:cstheme="minorHAnsi"/>
              </w:rPr>
              <w:t>.</w:t>
            </w:r>
          </w:p>
          <w:p w14:paraId="5E10129C" w14:textId="77777777" w:rsidR="00BE6C67" w:rsidRDefault="00BE6C67" w:rsidP="00A71365">
            <w:pPr>
              <w:pStyle w:val="Tablewriting"/>
              <w:rPr>
                <w:rFonts w:eastAsia="MS Mincho" w:cstheme="minorHAnsi"/>
              </w:rPr>
            </w:pPr>
          </w:p>
          <w:p w14:paraId="30E79771" w14:textId="77777777" w:rsidR="00F875B7" w:rsidRDefault="00F875B7" w:rsidP="00A71365">
            <w:pPr>
              <w:pStyle w:val="Tablewriting"/>
              <w:rPr>
                <w:rFonts w:eastAsia="MS Mincho" w:cstheme="minorHAnsi"/>
              </w:rPr>
            </w:pPr>
            <w:r w:rsidRPr="00FE7D0B">
              <w:rPr>
                <w:rFonts w:eastAsia="MS Mincho" w:cstheme="minorHAnsi"/>
              </w:rPr>
              <w:t>Validation: CO &lt; 8 ppm; urinary cotinine in varenicline and placebo participants claiming abstinence</w:t>
            </w:r>
          </w:p>
          <w:p w14:paraId="4F6125DB" w14:textId="77777777" w:rsidR="00BE6C67" w:rsidRDefault="00BE6C67" w:rsidP="00A71365">
            <w:pPr>
              <w:pStyle w:val="Tablewriting"/>
              <w:rPr>
                <w:rFonts w:eastAsia="MS Mincho" w:cstheme="minorHAnsi"/>
              </w:rPr>
            </w:pPr>
          </w:p>
          <w:p w14:paraId="2039FA2D" w14:textId="291AF8D8" w:rsidR="00DB181B" w:rsidRPr="00017AE6" w:rsidRDefault="00BE6C67" w:rsidP="00A71365">
            <w:pPr>
              <w:pStyle w:val="Tablewriting"/>
              <w:rPr>
                <w:rFonts w:eastAsia="MS Mincho" w:cstheme="minorHAnsi"/>
              </w:rPr>
            </w:pPr>
            <w:r w:rsidRPr="00BE6C67">
              <w:rPr>
                <w:rFonts w:eastAsia="MS Mincho" w:cstheme="minorHAnsi"/>
                <w:u w:val="single"/>
              </w:rPr>
              <w:t>Safety:</w:t>
            </w:r>
            <w:r>
              <w:rPr>
                <w:rFonts w:eastAsia="MS Mincho" w:cstheme="minorHAnsi"/>
              </w:rPr>
              <w:t xml:space="preserve"> NR</w:t>
            </w:r>
          </w:p>
        </w:tc>
      </w:tr>
      <w:tr w:rsidR="003D3459" w:rsidRPr="00017AE6" w14:paraId="24A9A0D6" w14:textId="77777777" w:rsidTr="005821B1">
        <w:trPr>
          <w:trHeight w:val="99"/>
        </w:trPr>
        <w:tc>
          <w:tcPr>
            <w:tcW w:w="761" w:type="pct"/>
            <w:shd w:val="clear" w:color="auto" w:fill="F2F2F2" w:themeFill="background1" w:themeFillShade="F2"/>
          </w:tcPr>
          <w:p w14:paraId="43767AE5" w14:textId="23D5E6E7" w:rsidR="00DB181B" w:rsidRPr="00017AE6" w:rsidRDefault="00DB181B" w:rsidP="00A71365">
            <w:pPr>
              <w:pStyle w:val="Tablewriting"/>
              <w:rPr>
                <w:rFonts w:eastAsia="MS Mincho" w:cstheme="minorHAnsi"/>
              </w:rPr>
            </w:pPr>
            <w:r w:rsidRPr="00E05371">
              <w:rPr>
                <w:rFonts w:eastAsia="MS Mincho" w:cstheme="minorHAnsi"/>
              </w:rPr>
              <w:t xml:space="preserve">Tonnesen </w:t>
            </w:r>
            <w:r w:rsidR="001B56DB" w:rsidRPr="00E05371">
              <w:rPr>
                <w:rFonts w:eastAsia="MS Mincho" w:cstheme="minorHAnsi"/>
              </w:rPr>
              <w:t>(</w:t>
            </w:r>
            <w:r w:rsidRPr="00E05371">
              <w:rPr>
                <w:rFonts w:eastAsia="MS Mincho" w:cstheme="minorHAnsi"/>
              </w:rPr>
              <w:t>2013</w:t>
            </w:r>
            <w:r w:rsidR="001B56DB">
              <w:rPr>
                <w:rFonts w:eastAsia="MS Mincho" w:cstheme="minorHAnsi"/>
              </w:rPr>
              <w:t>)</w:t>
            </w:r>
          </w:p>
        </w:tc>
        <w:tc>
          <w:tcPr>
            <w:tcW w:w="235" w:type="pct"/>
            <w:shd w:val="clear" w:color="auto" w:fill="F2F2F2" w:themeFill="background1" w:themeFillShade="F2"/>
          </w:tcPr>
          <w:p w14:paraId="33556EF2" w14:textId="2F0D0EEB"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6F8E05E4" w14:textId="25E13214" w:rsidR="00DB181B" w:rsidRPr="00017AE6" w:rsidRDefault="0097581A" w:rsidP="00A71365">
            <w:pPr>
              <w:pStyle w:val="Tablewriting"/>
              <w:rPr>
                <w:rFonts w:eastAsia="MS Mincho" w:cstheme="minorHAnsi"/>
              </w:rPr>
            </w:pPr>
            <w:r>
              <w:rPr>
                <w:rFonts w:eastAsia="MS Mincho" w:cstheme="minorHAnsi"/>
              </w:rPr>
              <w:t>Denmark</w:t>
            </w:r>
          </w:p>
        </w:tc>
        <w:tc>
          <w:tcPr>
            <w:tcW w:w="679" w:type="pct"/>
            <w:shd w:val="clear" w:color="auto" w:fill="F2F2F2" w:themeFill="background1" w:themeFillShade="F2"/>
          </w:tcPr>
          <w:p w14:paraId="3684DCB6" w14:textId="6EE49FE7" w:rsidR="00DB181B" w:rsidRPr="00017AE6" w:rsidRDefault="0097581A" w:rsidP="00A71365">
            <w:pPr>
              <w:pStyle w:val="Tablewriting"/>
              <w:rPr>
                <w:rFonts w:eastAsia="MS Mincho" w:cstheme="minorHAnsi"/>
              </w:rPr>
            </w:pPr>
            <w:r>
              <w:rPr>
                <w:rFonts w:eastAsia="MS Mincho" w:cstheme="minorHAnsi"/>
              </w:rPr>
              <w:t>N=</w:t>
            </w:r>
            <w:r w:rsidR="000C7755">
              <w:rPr>
                <w:rFonts w:eastAsia="MS Mincho" w:cstheme="minorHAnsi"/>
              </w:rPr>
              <w:t>139</w:t>
            </w:r>
            <w:r w:rsidR="003404CC">
              <w:rPr>
                <w:rFonts w:eastAsia="MS Mincho" w:cstheme="minorHAnsi"/>
              </w:rPr>
              <w:t>; n=</w:t>
            </w:r>
            <w:r w:rsidR="00D1195D">
              <w:rPr>
                <w:rFonts w:eastAsia="MS Mincho" w:cstheme="minorHAnsi"/>
              </w:rPr>
              <w:t>70</w:t>
            </w:r>
            <w:r w:rsidR="003404CC" w:rsidRPr="00ED776E">
              <w:rPr>
                <w:rFonts w:eastAsia="MS Mincho" w:cstheme="minorHAnsi"/>
              </w:rPr>
              <w:t xml:space="preserve"> varenicline)</w:t>
            </w:r>
            <w:r w:rsidR="00B85195">
              <w:rPr>
                <w:rFonts w:eastAsia="MS Mincho" w:cstheme="minorHAnsi"/>
              </w:rPr>
              <w:t>, n=69 (</w:t>
            </w:r>
            <w:r w:rsidR="003404CC" w:rsidRPr="00ED776E">
              <w:rPr>
                <w:rFonts w:eastAsia="MS Mincho" w:cstheme="minorHAnsi"/>
              </w:rPr>
              <w:t>placebo)</w:t>
            </w:r>
            <w:r w:rsidR="00D6711E">
              <w:rPr>
                <w:rFonts w:eastAsia="MS Mincho" w:cstheme="minorHAnsi"/>
              </w:rPr>
              <w:t>.</w:t>
            </w:r>
          </w:p>
        </w:tc>
        <w:tc>
          <w:tcPr>
            <w:tcW w:w="851" w:type="pct"/>
            <w:shd w:val="clear" w:color="auto" w:fill="F2F2F2" w:themeFill="background1" w:themeFillShade="F2"/>
          </w:tcPr>
          <w:p w14:paraId="3605EF24" w14:textId="76922C0F" w:rsidR="00ED776E" w:rsidRPr="00ED776E" w:rsidRDefault="003404CC" w:rsidP="00A71365">
            <w:pPr>
              <w:pStyle w:val="Tablewriting"/>
              <w:rPr>
                <w:rFonts w:eastAsia="MS Mincho" w:cstheme="minorHAnsi"/>
              </w:rPr>
            </w:pPr>
            <w:r>
              <w:rPr>
                <w:rFonts w:eastAsia="MS Mincho" w:cstheme="minorHAnsi"/>
              </w:rPr>
              <w:t>A</w:t>
            </w:r>
            <w:r w:rsidR="00ED776E" w:rsidRPr="00ED776E">
              <w:rPr>
                <w:rFonts w:eastAsia="MS Mincho" w:cstheme="minorHAnsi"/>
              </w:rPr>
              <w:t>dult ex-smokers, aged 18+, reporting long-term (&gt; 11m) abstinence, using flexible-dose NRT (</w:t>
            </w:r>
            <w:r w:rsidR="004664D2" w:rsidRPr="00ED776E">
              <w:rPr>
                <w:rFonts w:eastAsia="MS Mincho" w:cstheme="minorHAnsi"/>
              </w:rPr>
              <w:t>i.e.,</w:t>
            </w:r>
            <w:r w:rsidR="00ED776E" w:rsidRPr="00ED776E">
              <w:rPr>
                <w:rFonts w:eastAsia="MS Mincho" w:cstheme="minorHAnsi"/>
              </w:rPr>
              <w:t xml:space="preserve"> &gt;</w:t>
            </w:r>
            <w:r w:rsidR="004702E5">
              <w:rPr>
                <w:rFonts w:eastAsia="MS Mincho" w:cstheme="minorHAnsi"/>
              </w:rPr>
              <w:t xml:space="preserve"> </w:t>
            </w:r>
            <w:r w:rsidR="00ED776E" w:rsidRPr="00ED776E">
              <w:rPr>
                <w:rFonts w:eastAsia="MS Mincho" w:cstheme="minorHAnsi"/>
              </w:rPr>
              <w:t>4 pieces of nicotine gum/sublingual tablets or lozenges per day, or &gt; 3 inha</w:t>
            </w:r>
            <w:r w:rsidR="009E2A27">
              <w:rPr>
                <w:rFonts w:eastAsia="MS Mincho" w:cstheme="minorHAnsi"/>
              </w:rPr>
              <w:t xml:space="preserve">ler cartridges per day, or &gt; 10 </w:t>
            </w:r>
            <w:r w:rsidR="00ED776E" w:rsidRPr="00ED776E">
              <w:rPr>
                <w:rFonts w:eastAsia="MS Mincho" w:cstheme="minorHAnsi"/>
              </w:rPr>
              <w:t>pu</w:t>
            </w:r>
            <w:r w:rsidR="004702E5">
              <w:rPr>
                <w:rFonts w:eastAsia="MS Mincho" w:cstheme="minorHAnsi"/>
              </w:rPr>
              <w:t>ff</w:t>
            </w:r>
            <w:r w:rsidR="00ED776E" w:rsidRPr="00ED776E">
              <w:rPr>
                <w:rFonts w:eastAsia="MS Mincho" w:cstheme="minorHAnsi"/>
              </w:rPr>
              <w:t xml:space="preserve">s of nasal spray </w:t>
            </w:r>
            <w:r w:rsidR="00ED776E" w:rsidRPr="00ED776E">
              <w:rPr>
                <w:rFonts w:eastAsia="MS Mincho" w:cstheme="minorHAnsi"/>
              </w:rPr>
              <w:lastRenderedPageBreak/>
              <w:t>per day), wishing and willing to try to stop using NRT</w:t>
            </w:r>
            <w:r w:rsidR="004702E5">
              <w:rPr>
                <w:rFonts w:eastAsia="MS Mincho" w:cstheme="minorHAnsi"/>
              </w:rPr>
              <w:t>.</w:t>
            </w:r>
          </w:p>
          <w:p w14:paraId="221406B7" w14:textId="58733E49" w:rsidR="00DB181B" w:rsidRPr="00017AE6" w:rsidRDefault="00DB181B" w:rsidP="00A71365">
            <w:pPr>
              <w:pStyle w:val="Tablewriting"/>
              <w:rPr>
                <w:rFonts w:eastAsia="MS Mincho" w:cstheme="minorHAnsi"/>
              </w:rPr>
            </w:pPr>
          </w:p>
        </w:tc>
        <w:tc>
          <w:tcPr>
            <w:tcW w:w="1054" w:type="pct"/>
            <w:shd w:val="clear" w:color="auto" w:fill="F2F2F2" w:themeFill="background1" w:themeFillShade="F2"/>
          </w:tcPr>
          <w:p w14:paraId="319C527B" w14:textId="02814839" w:rsidR="005143AF" w:rsidRDefault="00265D9B" w:rsidP="00C324F3">
            <w:pPr>
              <w:pStyle w:val="ListParagraph"/>
              <w:numPr>
                <w:ilvl w:val="0"/>
                <w:numId w:val="94"/>
              </w:numPr>
              <w:rPr>
                <w:rFonts w:eastAsia="MS Mincho"/>
                <w:lang w:eastAsia="en-US"/>
              </w:rPr>
            </w:pPr>
            <w:r w:rsidRPr="00586E72">
              <w:rPr>
                <w:rFonts w:eastAsia="MS Mincho"/>
                <w:lang w:eastAsia="en-US"/>
              </w:rPr>
              <w:lastRenderedPageBreak/>
              <w:t>Varenicline</w:t>
            </w:r>
            <w:r w:rsidR="005143AF">
              <w:rPr>
                <w:rFonts w:eastAsia="MS Mincho"/>
                <w:lang w:eastAsia="en-US"/>
              </w:rPr>
              <w:t xml:space="preserve">; </w:t>
            </w:r>
            <w:r w:rsidRPr="00586E72">
              <w:rPr>
                <w:rFonts w:eastAsia="MS Mincho"/>
                <w:lang w:eastAsia="en-US"/>
              </w:rPr>
              <w:t>standard 12-wk regimen, titrated 1st w</w:t>
            </w:r>
            <w:r w:rsidR="005143AF">
              <w:rPr>
                <w:rFonts w:eastAsia="MS Mincho"/>
                <w:lang w:eastAsia="en-US"/>
              </w:rPr>
              <w:t>ee</w:t>
            </w:r>
            <w:r w:rsidRPr="00586E72">
              <w:rPr>
                <w:rFonts w:eastAsia="MS Mincho"/>
                <w:lang w:eastAsia="en-US"/>
              </w:rPr>
              <w:t>k</w:t>
            </w:r>
            <w:r w:rsidR="005143AF">
              <w:rPr>
                <w:rFonts w:eastAsia="MS Mincho"/>
                <w:lang w:eastAsia="en-US"/>
              </w:rPr>
              <w:t>.</w:t>
            </w:r>
          </w:p>
          <w:p w14:paraId="0A1E7C26" w14:textId="7C49ADC5" w:rsidR="00265D9B" w:rsidRPr="005143AF" w:rsidRDefault="00265D9B" w:rsidP="00C324F3">
            <w:pPr>
              <w:pStyle w:val="ListParagraph"/>
              <w:numPr>
                <w:ilvl w:val="0"/>
                <w:numId w:val="94"/>
              </w:numPr>
              <w:rPr>
                <w:rFonts w:eastAsia="MS Mincho"/>
                <w:lang w:eastAsia="en-US"/>
              </w:rPr>
            </w:pPr>
            <w:r w:rsidRPr="005143AF">
              <w:rPr>
                <w:rFonts w:eastAsia="MS Mincho"/>
                <w:lang w:eastAsia="en-US"/>
              </w:rPr>
              <w:t>Placebo: identical tablets, same regimen</w:t>
            </w:r>
            <w:r w:rsidR="004702E5" w:rsidRPr="005143AF">
              <w:rPr>
                <w:rFonts w:eastAsia="MS Mincho"/>
                <w:lang w:eastAsia="en-US"/>
              </w:rPr>
              <w:t>.</w:t>
            </w:r>
          </w:p>
          <w:p w14:paraId="21797D44" w14:textId="77777777" w:rsidR="004702E5" w:rsidRDefault="004702E5" w:rsidP="00A71365">
            <w:pPr>
              <w:rPr>
                <w:rFonts w:eastAsia="MS Mincho"/>
                <w:lang w:eastAsia="en-US"/>
              </w:rPr>
            </w:pPr>
          </w:p>
          <w:p w14:paraId="4D3E4260" w14:textId="77777777" w:rsidR="005B58DC" w:rsidRDefault="005B58DC" w:rsidP="00A71365">
            <w:pPr>
              <w:rPr>
                <w:rFonts w:eastAsia="MS Mincho"/>
                <w:lang w:eastAsia="en-US"/>
              </w:rPr>
            </w:pPr>
            <w:r w:rsidRPr="06BFFAED">
              <w:rPr>
                <w:rFonts w:eastAsia="MS Mincho"/>
                <w:u w:val="single"/>
              </w:rPr>
              <w:t>Common components:</w:t>
            </w:r>
            <w:r>
              <w:rPr>
                <w:rFonts w:eastAsia="MS Mincho"/>
                <w:u w:val="single"/>
              </w:rPr>
              <w:t xml:space="preserve"> </w:t>
            </w:r>
            <w:r w:rsidR="00265D9B" w:rsidRPr="00265D9B">
              <w:rPr>
                <w:rFonts w:eastAsia="MS Mincho"/>
                <w:lang w:eastAsia="en-US"/>
              </w:rPr>
              <w:t xml:space="preserve">All participants attended clinic visits at </w:t>
            </w:r>
            <w:r w:rsidR="004702E5" w:rsidRPr="00265D9B">
              <w:rPr>
                <w:rFonts w:eastAsia="MS Mincho"/>
                <w:lang w:eastAsia="en-US"/>
              </w:rPr>
              <w:t>w</w:t>
            </w:r>
            <w:r>
              <w:rPr>
                <w:rFonts w:eastAsia="MS Mincho"/>
                <w:lang w:eastAsia="en-US"/>
              </w:rPr>
              <w:t>ee</w:t>
            </w:r>
            <w:r w:rsidR="004702E5" w:rsidRPr="00265D9B">
              <w:rPr>
                <w:rFonts w:eastAsia="MS Mincho"/>
                <w:lang w:eastAsia="en-US"/>
              </w:rPr>
              <w:t>ks</w:t>
            </w:r>
            <w:r w:rsidR="00265D9B" w:rsidRPr="00265D9B">
              <w:rPr>
                <w:rFonts w:eastAsia="MS Mincho"/>
                <w:lang w:eastAsia="en-US"/>
              </w:rPr>
              <w:t xml:space="preserve"> 0, 2, 4, 6, 9, 12, </w:t>
            </w:r>
            <w:r w:rsidR="00265D9B" w:rsidRPr="00265D9B">
              <w:rPr>
                <w:rFonts w:eastAsia="MS Mincho"/>
                <w:lang w:eastAsia="en-US"/>
              </w:rPr>
              <w:lastRenderedPageBreak/>
              <w:t xml:space="preserve">52, + 2 phone calls at </w:t>
            </w:r>
            <w:r w:rsidR="004702E5" w:rsidRPr="00265D9B">
              <w:rPr>
                <w:rFonts w:eastAsia="MS Mincho"/>
                <w:lang w:eastAsia="en-US"/>
              </w:rPr>
              <w:t>w</w:t>
            </w:r>
            <w:r>
              <w:rPr>
                <w:rFonts w:eastAsia="MS Mincho"/>
                <w:lang w:eastAsia="en-US"/>
              </w:rPr>
              <w:t>ee</w:t>
            </w:r>
            <w:r w:rsidR="004702E5" w:rsidRPr="00265D9B">
              <w:rPr>
                <w:rFonts w:eastAsia="MS Mincho"/>
                <w:lang w:eastAsia="en-US"/>
              </w:rPr>
              <w:t>ks</w:t>
            </w:r>
            <w:r w:rsidR="00265D9B" w:rsidRPr="00265D9B">
              <w:rPr>
                <w:rFonts w:eastAsia="MS Mincho"/>
                <w:lang w:eastAsia="en-US"/>
              </w:rPr>
              <w:t xml:space="preserve"> 26 and 38. </w:t>
            </w:r>
          </w:p>
          <w:p w14:paraId="14AF31F9" w14:textId="6251893A" w:rsidR="00265D9B" w:rsidRPr="00265D9B" w:rsidRDefault="00265D9B" w:rsidP="00A71365">
            <w:pPr>
              <w:rPr>
                <w:rFonts w:eastAsia="MS Mincho"/>
                <w:lang w:eastAsia="en-US"/>
              </w:rPr>
            </w:pPr>
            <w:r w:rsidRPr="00265D9B">
              <w:rPr>
                <w:rFonts w:eastAsia="MS Mincho"/>
                <w:lang w:eastAsia="en-US"/>
              </w:rPr>
              <w:t>Each</w:t>
            </w:r>
            <w:r w:rsidR="005B58DC">
              <w:rPr>
                <w:rFonts w:eastAsia="MS Mincho"/>
                <w:lang w:eastAsia="en-US"/>
              </w:rPr>
              <w:t xml:space="preserve"> </w:t>
            </w:r>
            <w:r w:rsidRPr="00265D9B">
              <w:rPr>
                <w:rFonts w:eastAsia="MS Mincho"/>
                <w:lang w:eastAsia="en-US"/>
              </w:rPr>
              <w:t>visit included assessments, &lt; 5 mins counselling from SC nurses. All participants</w:t>
            </w:r>
            <w:r>
              <w:rPr>
                <w:rFonts w:eastAsia="MS Mincho"/>
                <w:lang w:eastAsia="en-US"/>
              </w:rPr>
              <w:t xml:space="preserve"> </w:t>
            </w:r>
            <w:r w:rsidRPr="00265D9B">
              <w:rPr>
                <w:rFonts w:eastAsia="MS Mincho"/>
                <w:lang w:eastAsia="en-US"/>
              </w:rPr>
              <w:t>advised to gradually</w:t>
            </w:r>
          </w:p>
          <w:p w14:paraId="201CD62E" w14:textId="125490B9" w:rsidR="00265D9B" w:rsidRPr="00265D9B" w:rsidRDefault="00265D9B" w:rsidP="00A71365">
            <w:pPr>
              <w:rPr>
                <w:rFonts w:eastAsia="MS Mincho"/>
                <w:lang w:eastAsia="en-US"/>
              </w:rPr>
            </w:pPr>
            <w:r w:rsidRPr="00265D9B">
              <w:rPr>
                <w:rFonts w:eastAsia="MS Mincho"/>
                <w:lang w:eastAsia="en-US"/>
              </w:rPr>
              <w:t xml:space="preserve">reduce NRT and to stop completely by TQD at 1 - 2 </w:t>
            </w:r>
            <w:r w:rsidR="004702E5" w:rsidRPr="00265D9B">
              <w:rPr>
                <w:rFonts w:eastAsia="MS Mincho"/>
                <w:lang w:eastAsia="en-US"/>
              </w:rPr>
              <w:t>w</w:t>
            </w:r>
            <w:r w:rsidR="000D0389">
              <w:rPr>
                <w:rFonts w:eastAsia="MS Mincho"/>
                <w:lang w:eastAsia="en-US"/>
              </w:rPr>
              <w:t>ee</w:t>
            </w:r>
            <w:r w:rsidR="004702E5" w:rsidRPr="00265D9B">
              <w:rPr>
                <w:rFonts w:eastAsia="MS Mincho"/>
                <w:lang w:eastAsia="en-US"/>
              </w:rPr>
              <w:t>ks</w:t>
            </w:r>
          </w:p>
          <w:p w14:paraId="755250BA" w14:textId="4E8D6571" w:rsidR="00265D9B" w:rsidRPr="00265D9B" w:rsidRDefault="00265D9B" w:rsidP="00A71365">
            <w:pPr>
              <w:rPr>
                <w:rFonts w:eastAsia="MS Mincho"/>
                <w:lang w:eastAsia="en-US"/>
              </w:rPr>
            </w:pPr>
          </w:p>
        </w:tc>
        <w:tc>
          <w:tcPr>
            <w:tcW w:w="959" w:type="pct"/>
            <w:shd w:val="clear" w:color="auto" w:fill="F2F2F2" w:themeFill="background1" w:themeFillShade="F2"/>
          </w:tcPr>
          <w:p w14:paraId="391625C0" w14:textId="77777777" w:rsidR="0058555D" w:rsidRPr="00CE4B41" w:rsidRDefault="0058555D" w:rsidP="00A71365">
            <w:pPr>
              <w:pStyle w:val="Tablewriting"/>
              <w:rPr>
                <w:rFonts w:eastAsia="MS Mincho" w:cstheme="minorHAnsi"/>
                <w:u w:val="single"/>
              </w:rPr>
            </w:pPr>
            <w:r w:rsidRPr="00CE4B41">
              <w:rPr>
                <w:rFonts w:eastAsia="MS Mincho" w:cstheme="minorHAnsi"/>
                <w:u w:val="single"/>
              </w:rPr>
              <w:lastRenderedPageBreak/>
              <w:t>Efficacy:</w:t>
            </w:r>
          </w:p>
          <w:p w14:paraId="6D31B5F7" w14:textId="50D5DCFD" w:rsidR="007E5485" w:rsidRPr="000C7755" w:rsidRDefault="007E5485" w:rsidP="00A71365">
            <w:pPr>
              <w:pStyle w:val="Tablewriting"/>
              <w:rPr>
                <w:rFonts w:eastAsia="MS Mincho" w:cstheme="minorHAnsi"/>
              </w:rPr>
            </w:pPr>
            <w:r w:rsidRPr="000C7755">
              <w:rPr>
                <w:rFonts w:eastAsia="MS Mincho" w:cstheme="minorHAnsi"/>
              </w:rPr>
              <w:t xml:space="preserve">7-day PPA at 12 weeks, not smoking or on NRT; </w:t>
            </w:r>
            <w:r w:rsidR="004664D2" w:rsidRPr="000C7755">
              <w:rPr>
                <w:rFonts w:eastAsia="MS Mincho" w:cstheme="minorHAnsi"/>
              </w:rPr>
              <w:t>also,</w:t>
            </w:r>
            <w:r w:rsidRPr="000C7755">
              <w:rPr>
                <w:rFonts w:eastAsia="MS Mincho" w:cstheme="minorHAnsi"/>
              </w:rPr>
              <w:t xml:space="preserve"> no NRT (7-day PPA) + abstinence at 52 wks. CAR</w:t>
            </w:r>
            <w:r w:rsidR="002607C3">
              <w:rPr>
                <w:rFonts w:eastAsia="MS Mincho" w:cstheme="minorHAnsi"/>
              </w:rPr>
              <w:t xml:space="preserve"> </w:t>
            </w:r>
            <w:r w:rsidRPr="000C7755">
              <w:rPr>
                <w:rFonts w:eastAsia="MS Mincho" w:cstheme="minorHAnsi"/>
              </w:rPr>
              <w:t>from w</w:t>
            </w:r>
            <w:r w:rsidR="002607C3">
              <w:rPr>
                <w:rFonts w:eastAsia="MS Mincho" w:cstheme="minorHAnsi"/>
              </w:rPr>
              <w:t>ee</w:t>
            </w:r>
            <w:r w:rsidRPr="000C7755">
              <w:rPr>
                <w:rFonts w:eastAsia="MS Mincho" w:cstheme="minorHAnsi"/>
              </w:rPr>
              <w:t>k 2 to w</w:t>
            </w:r>
            <w:r w:rsidR="002607C3">
              <w:rPr>
                <w:rFonts w:eastAsia="MS Mincho" w:cstheme="minorHAnsi"/>
              </w:rPr>
              <w:t>ee</w:t>
            </w:r>
            <w:r w:rsidRPr="000C7755">
              <w:rPr>
                <w:rFonts w:eastAsia="MS Mincho" w:cstheme="minorHAnsi"/>
              </w:rPr>
              <w:t>k 52, proven abstinent at all clinic visits</w:t>
            </w:r>
          </w:p>
          <w:p w14:paraId="331DED65" w14:textId="77777777" w:rsidR="002607C3" w:rsidRDefault="002607C3" w:rsidP="00A71365">
            <w:pPr>
              <w:pStyle w:val="Tablewriting"/>
              <w:rPr>
                <w:rFonts w:eastAsia="MS Mincho" w:cstheme="minorHAnsi"/>
              </w:rPr>
            </w:pPr>
          </w:p>
          <w:p w14:paraId="3BEA6E61" w14:textId="77777777" w:rsidR="00DB181B" w:rsidRDefault="007E5485" w:rsidP="00A71365">
            <w:pPr>
              <w:pStyle w:val="Tablewriting"/>
              <w:rPr>
                <w:rFonts w:eastAsia="MS Mincho" w:cstheme="minorHAnsi"/>
              </w:rPr>
            </w:pPr>
            <w:r w:rsidRPr="000C7755">
              <w:rPr>
                <w:rFonts w:eastAsia="MS Mincho" w:cstheme="minorHAnsi"/>
              </w:rPr>
              <w:t>Validation: expired CO &lt; 7 ppm and plasma cotinine &lt; 15 ng/ml</w:t>
            </w:r>
          </w:p>
          <w:p w14:paraId="34518D92" w14:textId="77777777" w:rsidR="00F875B7" w:rsidRDefault="00F875B7" w:rsidP="00A71365">
            <w:pPr>
              <w:pStyle w:val="Tablewriting"/>
              <w:rPr>
                <w:rFonts w:eastAsia="MS Mincho" w:cstheme="minorHAnsi"/>
              </w:rPr>
            </w:pPr>
          </w:p>
          <w:p w14:paraId="71EFDCE3" w14:textId="61EDB46D" w:rsidR="00F875B7" w:rsidRPr="00F875B7" w:rsidRDefault="00F875B7" w:rsidP="00A71365">
            <w:pPr>
              <w:pStyle w:val="Tablewriting"/>
              <w:rPr>
                <w:rFonts w:eastAsia="MS Mincho" w:cstheme="minorHAnsi"/>
                <w:u w:val="single"/>
              </w:rPr>
            </w:pPr>
            <w:r w:rsidRPr="00F875B7">
              <w:rPr>
                <w:rFonts w:eastAsia="MS Mincho" w:cstheme="minorHAnsi"/>
                <w:u w:val="single"/>
              </w:rPr>
              <w:t>Safety:</w:t>
            </w:r>
            <w:r w:rsidRPr="00F875B7">
              <w:rPr>
                <w:rFonts w:eastAsia="MS Mincho" w:cstheme="minorHAnsi"/>
              </w:rPr>
              <w:t xml:space="preserve"> NR</w:t>
            </w:r>
          </w:p>
        </w:tc>
      </w:tr>
      <w:tr w:rsidR="003D3459" w:rsidRPr="00017AE6" w14:paraId="4397E67F" w14:textId="77777777" w:rsidTr="005821B1">
        <w:trPr>
          <w:trHeight w:val="99"/>
        </w:trPr>
        <w:tc>
          <w:tcPr>
            <w:tcW w:w="761" w:type="pct"/>
            <w:shd w:val="clear" w:color="auto" w:fill="F2F2F2" w:themeFill="background1" w:themeFillShade="F2"/>
          </w:tcPr>
          <w:p w14:paraId="1A8BF122" w14:textId="49E6E914" w:rsidR="00DB181B" w:rsidRPr="00017AE6" w:rsidRDefault="00DB181B" w:rsidP="00A71365">
            <w:pPr>
              <w:pStyle w:val="Tablewriting"/>
              <w:rPr>
                <w:rFonts w:eastAsia="MS Mincho" w:cstheme="minorHAnsi"/>
              </w:rPr>
            </w:pPr>
            <w:r w:rsidRPr="001411E5">
              <w:rPr>
                <w:rFonts w:eastAsia="MS Mincho" w:cstheme="minorHAnsi"/>
              </w:rPr>
              <w:lastRenderedPageBreak/>
              <w:t xml:space="preserve">Tonstad </w:t>
            </w:r>
            <w:r w:rsidR="001B56DB">
              <w:rPr>
                <w:rFonts w:eastAsia="MS Mincho" w:cstheme="minorHAnsi"/>
              </w:rPr>
              <w:t>(</w:t>
            </w:r>
            <w:r w:rsidRPr="001411E5">
              <w:rPr>
                <w:rFonts w:eastAsia="MS Mincho" w:cstheme="minorHAnsi"/>
              </w:rPr>
              <w:t>2006</w:t>
            </w:r>
            <w:r w:rsidR="001B56DB">
              <w:rPr>
                <w:rFonts w:eastAsia="MS Mincho" w:cstheme="minorHAnsi"/>
              </w:rPr>
              <w:t>)</w:t>
            </w:r>
          </w:p>
        </w:tc>
        <w:tc>
          <w:tcPr>
            <w:tcW w:w="235" w:type="pct"/>
            <w:shd w:val="clear" w:color="auto" w:fill="F2F2F2" w:themeFill="background1" w:themeFillShade="F2"/>
          </w:tcPr>
          <w:p w14:paraId="05AE7275" w14:textId="23022770"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538E8F38" w14:textId="77777777" w:rsidR="00184026" w:rsidRPr="00184026" w:rsidRDefault="00184026" w:rsidP="00A71365">
            <w:pPr>
              <w:pStyle w:val="Tablewriting"/>
              <w:rPr>
                <w:rFonts w:eastAsia="MS Mincho" w:cstheme="minorHAnsi"/>
              </w:rPr>
            </w:pPr>
            <w:r w:rsidRPr="00184026">
              <w:rPr>
                <w:rFonts w:eastAsia="MS Mincho" w:cstheme="minorHAnsi"/>
              </w:rPr>
              <w:t>USA (6 centres) and 'international' (18 centres, across Canada, Czech Republic, Denmark, Norway,</w:t>
            </w:r>
          </w:p>
          <w:p w14:paraId="1069A276" w14:textId="7E00C521" w:rsidR="00DB181B" w:rsidRPr="00017AE6" w:rsidRDefault="00184026" w:rsidP="00A71365">
            <w:pPr>
              <w:pStyle w:val="Tablewriting"/>
              <w:rPr>
                <w:rFonts w:eastAsia="MS Mincho" w:cstheme="minorHAnsi"/>
              </w:rPr>
            </w:pPr>
            <w:r w:rsidRPr="00184026">
              <w:rPr>
                <w:rFonts w:eastAsia="MS Mincho" w:cstheme="minorHAnsi"/>
              </w:rPr>
              <w:t>Sweden, UK)</w:t>
            </w:r>
          </w:p>
        </w:tc>
        <w:tc>
          <w:tcPr>
            <w:tcW w:w="679" w:type="pct"/>
            <w:shd w:val="clear" w:color="auto" w:fill="F2F2F2" w:themeFill="background1" w:themeFillShade="F2"/>
          </w:tcPr>
          <w:p w14:paraId="3F8A45EF" w14:textId="0D8B36DA" w:rsidR="00DB181B" w:rsidRPr="00017AE6" w:rsidRDefault="00184026" w:rsidP="00A71365">
            <w:pPr>
              <w:pStyle w:val="Tablewriting"/>
              <w:rPr>
                <w:rFonts w:eastAsia="MS Mincho" w:cstheme="minorHAnsi"/>
              </w:rPr>
            </w:pPr>
            <w:r>
              <w:rPr>
                <w:rFonts w:eastAsia="MS Mincho" w:cstheme="minorHAnsi"/>
              </w:rPr>
              <w:t>N=1210</w:t>
            </w:r>
          </w:p>
        </w:tc>
        <w:tc>
          <w:tcPr>
            <w:tcW w:w="851" w:type="pct"/>
            <w:shd w:val="clear" w:color="auto" w:fill="F2F2F2" w:themeFill="background1" w:themeFillShade="F2"/>
          </w:tcPr>
          <w:p w14:paraId="7A5DC374" w14:textId="77777777" w:rsidR="004E2D82" w:rsidRDefault="00CD591D" w:rsidP="00A71365">
            <w:pPr>
              <w:pStyle w:val="Tablewriting"/>
              <w:rPr>
                <w:rFonts w:eastAsia="MS Mincho" w:cstheme="minorHAnsi"/>
              </w:rPr>
            </w:pPr>
            <w:r>
              <w:rPr>
                <w:rFonts w:eastAsia="MS Mincho" w:cstheme="minorHAnsi"/>
              </w:rPr>
              <w:t>S</w:t>
            </w:r>
            <w:r w:rsidRPr="00CD591D">
              <w:rPr>
                <w:rFonts w:eastAsia="MS Mincho" w:cstheme="minorHAnsi"/>
              </w:rPr>
              <w:t>uccessful quitters (62.8% of initial cohort) following a 12-wk open-label course of varenicline for</w:t>
            </w:r>
            <w:r w:rsidR="004E2D82">
              <w:rPr>
                <w:rFonts w:eastAsia="MS Mincho" w:cstheme="minorHAnsi"/>
              </w:rPr>
              <w:t xml:space="preserve"> </w:t>
            </w:r>
            <w:r w:rsidRPr="00CD591D">
              <w:rPr>
                <w:rFonts w:eastAsia="MS Mincho" w:cstheme="minorHAnsi"/>
              </w:rPr>
              <w:t xml:space="preserve">smoking cessation, randomised to varenicline (603) or placebo (607) for a further 12 wks. </w:t>
            </w:r>
          </w:p>
          <w:p w14:paraId="1B200A3E" w14:textId="410BF8D4" w:rsidR="00CD591D" w:rsidRPr="00CD591D" w:rsidRDefault="00CD591D" w:rsidP="00A71365">
            <w:pPr>
              <w:pStyle w:val="Tablewriting"/>
              <w:rPr>
                <w:rFonts w:eastAsia="MS Mincho" w:cstheme="minorHAnsi"/>
              </w:rPr>
            </w:pPr>
            <w:r w:rsidRPr="00CD591D">
              <w:rPr>
                <w:rFonts w:eastAsia="MS Mincho" w:cstheme="minorHAnsi"/>
              </w:rPr>
              <w:t>49% men,</w:t>
            </w:r>
            <w:r w:rsidR="004E2D82">
              <w:rPr>
                <w:rFonts w:eastAsia="MS Mincho" w:cstheme="minorHAnsi"/>
              </w:rPr>
              <w:t xml:space="preserve"> </w:t>
            </w:r>
            <w:r w:rsidRPr="00CD591D">
              <w:rPr>
                <w:rFonts w:eastAsia="MS Mincho" w:cstheme="minorHAnsi"/>
              </w:rPr>
              <w:t>97% white, mean age 45, BMI &lt; 15 or &gt; 38 or weight &lt; 45.5 kg, mean CPD 21, mean FTND score 5.4</w:t>
            </w:r>
          </w:p>
          <w:p w14:paraId="0142C158" w14:textId="77777777" w:rsidR="00CD591D" w:rsidRDefault="00CD591D" w:rsidP="00A71365">
            <w:pPr>
              <w:pStyle w:val="Tablewriting"/>
              <w:rPr>
                <w:rFonts w:eastAsia="MS Mincho" w:cstheme="minorHAnsi"/>
              </w:rPr>
            </w:pPr>
          </w:p>
          <w:p w14:paraId="373599EE" w14:textId="01C1C22C" w:rsidR="00CD591D" w:rsidRPr="00CD591D" w:rsidRDefault="00CD591D" w:rsidP="00A71365">
            <w:pPr>
              <w:pStyle w:val="Tablewriting"/>
              <w:rPr>
                <w:rFonts w:eastAsia="MS Mincho" w:cstheme="minorHAnsi"/>
              </w:rPr>
            </w:pPr>
            <w:r w:rsidRPr="004E2D82">
              <w:rPr>
                <w:rFonts w:eastAsia="MS Mincho" w:cstheme="minorHAnsi"/>
                <w:u w:val="single"/>
              </w:rPr>
              <w:t>Exclusion criteria:</w:t>
            </w:r>
            <w:r w:rsidRPr="00CD591D">
              <w:rPr>
                <w:rFonts w:eastAsia="MS Mincho" w:cstheme="minorHAnsi"/>
              </w:rPr>
              <w:t xml:space="preserve"> Standard pharmacotherapy trial criteria, + use of marijuana or tobacco products</w:t>
            </w:r>
          </w:p>
          <w:p w14:paraId="36A9BD16" w14:textId="7F301786" w:rsidR="00DB181B" w:rsidRPr="00017AE6" w:rsidRDefault="00CD591D" w:rsidP="00A71365">
            <w:pPr>
              <w:pStyle w:val="Tablewriting"/>
              <w:rPr>
                <w:rFonts w:eastAsia="MS Mincho" w:cstheme="minorHAnsi"/>
              </w:rPr>
            </w:pPr>
            <w:r w:rsidRPr="00CD591D">
              <w:rPr>
                <w:rFonts w:eastAsia="MS Mincho" w:cstheme="minorHAnsi"/>
              </w:rPr>
              <w:t xml:space="preserve">other than cigarettes within last month; use of NRT, bupropion, </w:t>
            </w:r>
            <w:r w:rsidRPr="00CD591D">
              <w:rPr>
                <w:rFonts w:eastAsia="MS Mincho" w:cstheme="minorHAnsi"/>
              </w:rPr>
              <w:lastRenderedPageBreak/>
              <w:t>clonidine, nortriptyline within last</w:t>
            </w:r>
            <w:r>
              <w:rPr>
                <w:rFonts w:eastAsia="MS Mincho" w:cstheme="minorHAnsi"/>
              </w:rPr>
              <w:t xml:space="preserve"> </w:t>
            </w:r>
            <w:r w:rsidRPr="00CD591D">
              <w:rPr>
                <w:rFonts w:eastAsia="MS Mincho" w:cstheme="minorHAnsi"/>
              </w:rPr>
              <w:t>month</w:t>
            </w:r>
            <w:r w:rsidR="004E2D82">
              <w:rPr>
                <w:rFonts w:eastAsia="MS Mincho" w:cstheme="minorHAnsi"/>
              </w:rPr>
              <w:t>.</w:t>
            </w:r>
          </w:p>
        </w:tc>
        <w:tc>
          <w:tcPr>
            <w:tcW w:w="1054" w:type="pct"/>
            <w:shd w:val="clear" w:color="auto" w:fill="F2F2F2" w:themeFill="background1" w:themeFillShade="F2"/>
          </w:tcPr>
          <w:p w14:paraId="105A784D" w14:textId="1F431668" w:rsidR="00FE69BD" w:rsidRDefault="002F7236" w:rsidP="00C324F3">
            <w:pPr>
              <w:pStyle w:val="ListParagraph"/>
              <w:numPr>
                <w:ilvl w:val="0"/>
                <w:numId w:val="154"/>
              </w:numPr>
              <w:rPr>
                <w:rFonts w:eastAsia="MS Mincho"/>
                <w:lang w:eastAsia="en-US"/>
              </w:rPr>
            </w:pPr>
            <w:r w:rsidRPr="00FE69BD">
              <w:rPr>
                <w:rFonts w:eastAsia="MS Mincho"/>
                <w:lang w:eastAsia="en-US"/>
              </w:rPr>
              <w:lastRenderedPageBreak/>
              <w:t>Varenicline 1 mg x 2/day for 11 w</w:t>
            </w:r>
            <w:r w:rsidR="00FE69BD">
              <w:rPr>
                <w:rFonts w:eastAsia="MS Mincho"/>
                <w:lang w:eastAsia="en-US"/>
              </w:rPr>
              <w:t>ee</w:t>
            </w:r>
            <w:r w:rsidRPr="00FE69BD">
              <w:rPr>
                <w:rFonts w:eastAsia="MS Mincho"/>
                <w:lang w:eastAsia="en-US"/>
              </w:rPr>
              <w:t xml:space="preserve">ks after </w:t>
            </w:r>
            <w:r w:rsidR="00FE69BD" w:rsidRPr="00FE69BD">
              <w:rPr>
                <w:rFonts w:eastAsia="MS Mincho"/>
                <w:lang w:eastAsia="en-US"/>
              </w:rPr>
              <w:t>1-week</w:t>
            </w:r>
            <w:r w:rsidR="00FE69BD">
              <w:rPr>
                <w:rFonts w:eastAsia="MS Mincho"/>
                <w:lang w:eastAsia="en-US"/>
              </w:rPr>
              <w:t xml:space="preserve"> </w:t>
            </w:r>
            <w:r w:rsidRPr="00FE69BD">
              <w:rPr>
                <w:rFonts w:eastAsia="MS Mincho"/>
                <w:lang w:eastAsia="en-US"/>
              </w:rPr>
              <w:t>titrated dosage</w:t>
            </w:r>
            <w:r w:rsidR="00FE69BD">
              <w:rPr>
                <w:rFonts w:eastAsia="MS Mincho"/>
                <w:lang w:eastAsia="en-US"/>
              </w:rPr>
              <w:t>.</w:t>
            </w:r>
          </w:p>
          <w:p w14:paraId="3900CFDA" w14:textId="717E2B92" w:rsidR="002F7236" w:rsidRPr="002F7236" w:rsidRDefault="002F7236" w:rsidP="00C324F3">
            <w:pPr>
              <w:pStyle w:val="ListParagraph"/>
              <w:numPr>
                <w:ilvl w:val="0"/>
                <w:numId w:val="154"/>
              </w:numPr>
              <w:rPr>
                <w:rFonts w:eastAsia="MS Mincho"/>
                <w:lang w:eastAsia="en-US"/>
              </w:rPr>
            </w:pPr>
            <w:r w:rsidRPr="002F7236">
              <w:rPr>
                <w:rFonts w:eastAsia="MS Mincho"/>
                <w:lang w:eastAsia="en-US"/>
              </w:rPr>
              <w:t>Placebo tablets, same regimen</w:t>
            </w:r>
          </w:p>
          <w:p w14:paraId="6182ED53" w14:textId="77777777" w:rsidR="002F7236" w:rsidRDefault="002F7236" w:rsidP="00A71365">
            <w:pPr>
              <w:rPr>
                <w:rFonts w:eastAsia="MS Mincho"/>
                <w:lang w:eastAsia="en-US"/>
              </w:rPr>
            </w:pPr>
          </w:p>
          <w:p w14:paraId="6F32AF0A" w14:textId="2F81185A" w:rsidR="002F7236" w:rsidRPr="002F7236" w:rsidRDefault="00FE69BD" w:rsidP="00A71365">
            <w:pPr>
              <w:rPr>
                <w:rFonts w:eastAsia="MS Mincho"/>
                <w:lang w:eastAsia="en-US"/>
              </w:rPr>
            </w:pPr>
            <w:r w:rsidRPr="06BFFAED">
              <w:rPr>
                <w:rFonts w:eastAsia="MS Mincho"/>
                <w:u w:val="single"/>
              </w:rPr>
              <w:t>Common components:</w:t>
            </w:r>
            <w:r>
              <w:rPr>
                <w:rFonts w:eastAsia="MS Mincho"/>
                <w:u w:val="single"/>
              </w:rPr>
              <w:t xml:space="preserve"> </w:t>
            </w:r>
            <w:r w:rsidR="002F7236" w:rsidRPr="002F7236">
              <w:rPr>
                <w:rFonts w:eastAsia="MS Mincho"/>
                <w:lang w:eastAsia="en-US"/>
              </w:rPr>
              <w:t>All participants also received brief counselling (</w:t>
            </w:r>
            <w:r w:rsidR="004E2D82" w:rsidRPr="004E2D82">
              <w:rPr>
                <w:rFonts w:eastAsia="MS Mincho"/>
                <w:lang w:eastAsia="en-US"/>
              </w:rPr>
              <w:t>≤</w:t>
            </w:r>
            <w:r w:rsidR="002F7236" w:rsidRPr="002F7236">
              <w:rPr>
                <w:rFonts w:eastAsia="MS Mincho"/>
                <w:lang w:eastAsia="en-US"/>
              </w:rPr>
              <w:t>10 mins) at each clinic visit throughout treatment</w:t>
            </w:r>
          </w:p>
          <w:p w14:paraId="06721277" w14:textId="05658C99" w:rsidR="002F7236" w:rsidRPr="002F7236" w:rsidRDefault="002F7236" w:rsidP="00A71365">
            <w:pPr>
              <w:rPr>
                <w:rFonts w:eastAsia="MS Mincho"/>
                <w:lang w:eastAsia="en-US"/>
              </w:rPr>
            </w:pPr>
            <w:r w:rsidRPr="002F7236">
              <w:rPr>
                <w:rFonts w:eastAsia="MS Mincho"/>
                <w:lang w:eastAsia="en-US"/>
              </w:rPr>
              <w:t>phase (w</w:t>
            </w:r>
            <w:r w:rsidR="00FE69BD">
              <w:rPr>
                <w:rFonts w:eastAsia="MS Mincho"/>
                <w:lang w:eastAsia="en-US"/>
              </w:rPr>
              <w:t>ee</w:t>
            </w:r>
            <w:r w:rsidRPr="002F7236">
              <w:rPr>
                <w:rFonts w:eastAsia="MS Mincho"/>
                <w:lang w:eastAsia="en-US"/>
              </w:rPr>
              <w:t>ks 13 - 24). Treatment phase clinic visits were at w</w:t>
            </w:r>
            <w:r w:rsidR="00FE69BD">
              <w:rPr>
                <w:rFonts w:eastAsia="MS Mincho"/>
                <w:lang w:eastAsia="en-US"/>
              </w:rPr>
              <w:t>ee</w:t>
            </w:r>
            <w:r w:rsidRPr="002F7236">
              <w:rPr>
                <w:rFonts w:eastAsia="MS Mincho"/>
                <w:lang w:eastAsia="en-US"/>
              </w:rPr>
              <w:t>ks 13, 14, 16, 20 and 24</w:t>
            </w:r>
            <w:r w:rsidR="00FE69BD">
              <w:rPr>
                <w:rFonts w:eastAsia="MS Mincho"/>
                <w:lang w:eastAsia="en-US"/>
              </w:rPr>
              <w:t>.</w:t>
            </w:r>
          </w:p>
          <w:p w14:paraId="6B5C2A57" w14:textId="77777777" w:rsidR="00FE69BD" w:rsidRPr="002F7236" w:rsidRDefault="00FE69BD" w:rsidP="00A71365">
            <w:pPr>
              <w:rPr>
                <w:rFonts w:eastAsia="MS Mincho"/>
                <w:lang w:eastAsia="en-US"/>
              </w:rPr>
            </w:pPr>
          </w:p>
          <w:p w14:paraId="28C7D7F9" w14:textId="58B3117F" w:rsidR="002F7236" w:rsidRPr="002F7236" w:rsidRDefault="002F7236" w:rsidP="00A71365">
            <w:pPr>
              <w:rPr>
                <w:rFonts w:eastAsia="MS Mincho"/>
                <w:lang w:eastAsia="en-US"/>
              </w:rPr>
            </w:pPr>
            <w:r w:rsidRPr="002F7236">
              <w:rPr>
                <w:rFonts w:eastAsia="MS Mincho"/>
                <w:lang w:eastAsia="en-US"/>
              </w:rPr>
              <w:t>Follow-up phase: 5 visits and 4 phone calls from w</w:t>
            </w:r>
            <w:r w:rsidR="00FE69BD">
              <w:rPr>
                <w:rFonts w:eastAsia="MS Mincho"/>
                <w:lang w:eastAsia="en-US"/>
              </w:rPr>
              <w:t>ee</w:t>
            </w:r>
            <w:r w:rsidRPr="002F7236">
              <w:rPr>
                <w:rFonts w:eastAsia="MS Mincho"/>
                <w:lang w:eastAsia="en-US"/>
              </w:rPr>
              <w:t xml:space="preserve">ks 25 </w:t>
            </w:r>
            <w:r w:rsidR="00FE69BD">
              <w:rPr>
                <w:rFonts w:eastAsia="MS Mincho"/>
                <w:lang w:eastAsia="en-US"/>
              </w:rPr>
              <w:t>–</w:t>
            </w:r>
            <w:r w:rsidRPr="002F7236">
              <w:rPr>
                <w:rFonts w:eastAsia="MS Mincho"/>
                <w:lang w:eastAsia="en-US"/>
              </w:rPr>
              <w:t xml:space="preserve"> 52</w:t>
            </w:r>
            <w:r w:rsidR="00FE69BD">
              <w:rPr>
                <w:rFonts w:eastAsia="MS Mincho"/>
                <w:lang w:eastAsia="en-US"/>
              </w:rPr>
              <w:t>.</w:t>
            </w:r>
          </w:p>
        </w:tc>
        <w:tc>
          <w:tcPr>
            <w:tcW w:w="959" w:type="pct"/>
            <w:shd w:val="clear" w:color="auto" w:fill="F2F2F2" w:themeFill="background1" w:themeFillShade="F2"/>
          </w:tcPr>
          <w:p w14:paraId="7E186D3A" w14:textId="77777777" w:rsidR="003F4DDB" w:rsidRPr="003F4DDB" w:rsidRDefault="003F4DDB" w:rsidP="00A71365">
            <w:pPr>
              <w:pStyle w:val="Tablewriting"/>
              <w:rPr>
                <w:rFonts w:eastAsia="MS Mincho" w:cstheme="minorHAnsi"/>
                <w:u w:val="single"/>
              </w:rPr>
            </w:pPr>
            <w:r w:rsidRPr="003F4DDB">
              <w:rPr>
                <w:rFonts w:eastAsia="MS Mincho" w:cstheme="minorHAnsi"/>
                <w:u w:val="single"/>
              </w:rPr>
              <w:t>Efficacy:</w:t>
            </w:r>
          </w:p>
          <w:p w14:paraId="30EE573A" w14:textId="2FE59102" w:rsidR="00E67438" w:rsidRPr="00E67438" w:rsidRDefault="00E67438" w:rsidP="00A71365">
            <w:pPr>
              <w:pStyle w:val="Tablewriting"/>
              <w:rPr>
                <w:rFonts w:eastAsia="MS Mincho" w:cstheme="minorHAnsi"/>
              </w:rPr>
            </w:pPr>
            <w:r w:rsidRPr="00E67438">
              <w:rPr>
                <w:rFonts w:eastAsia="MS Mincho" w:cstheme="minorHAnsi"/>
              </w:rPr>
              <w:t>Primary outcome: Relapse prevention: maintenance of CO-validated CAR at 24 w</w:t>
            </w:r>
            <w:r w:rsidR="003F4DDB">
              <w:rPr>
                <w:rFonts w:eastAsia="MS Mincho" w:cstheme="minorHAnsi"/>
              </w:rPr>
              <w:t>ee</w:t>
            </w:r>
            <w:r w:rsidRPr="00E67438">
              <w:rPr>
                <w:rFonts w:eastAsia="MS Mincho" w:cstheme="minorHAnsi"/>
              </w:rPr>
              <w:t>ks</w:t>
            </w:r>
            <w:r w:rsidR="003F4DDB">
              <w:rPr>
                <w:rFonts w:eastAsia="MS Mincho" w:cstheme="minorHAnsi"/>
              </w:rPr>
              <w:t>.</w:t>
            </w:r>
          </w:p>
          <w:p w14:paraId="42950F82" w14:textId="526C97E9" w:rsidR="00E67438" w:rsidRPr="00E67438" w:rsidRDefault="00E67438" w:rsidP="00A71365">
            <w:pPr>
              <w:pStyle w:val="Tablewriting"/>
              <w:rPr>
                <w:rFonts w:eastAsia="MS Mincho" w:cstheme="minorHAnsi"/>
              </w:rPr>
            </w:pPr>
            <w:r w:rsidRPr="00E67438">
              <w:rPr>
                <w:rFonts w:eastAsia="MS Mincho" w:cstheme="minorHAnsi"/>
              </w:rPr>
              <w:t>Secondary outcome: CO-validated CAR at w</w:t>
            </w:r>
            <w:r w:rsidR="003F4DDB">
              <w:rPr>
                <w:rFonts w:eastAsia="MS Mincho" w:cstheme="minorHAnsi"/>
              </w:rPr>
              <w:t>ee</w:t>
            </w:r>
            <w:r w:rsidRPr="00E67438">
              <w:rPr>
                <w:rFonts w:eastAsia="MS Mincho" w:cstheme="minorHAnsi"/>
              </w:rPr>
              <w:t>k 52; 7-day PPA at w</w:t>
            </w:r>
            <w:r w:rsidR="003F4DDB">
              <w:rPr>
                <w:rFonts w:eastAsia="MS Mincho" w:cstheme="minorHAnsi"/>
              </w:rPr>
              <w:t>ee</w:t>
            </w:r>
            <w:r w:rsidRPr="00E67438">
              <w:rPr>
                <w:rFonts w:eastAsia="MS Mincho" w:cstheme="minorHAnsi"/>
              </w:rPr>
              <w:t xml:space="preserve">ks 24 and 52. </w:t>
            </w:r>
            <w:r w:rsidR="003F4DDB">
              <w:rPr>
                <w:rFonts w:eastAsia="MS Mincho" w:cstheme="minorHAnsi"/>
              </w:rPr>
              <w:t>(</w:t>
            </w:r>
            <w:r w:rsidRPr="00E67438">
              <w:rPr>
                <w:rFonts w:eastAsia="MS Mincho" w:cstheme="minorHAnsi"/>
              </w:rPr>
              <w:t>2 deaths removed from</w:t>
            </w:r>
          </w:p>
          <w:p w14:paraId="6B80B3FC" w14:textId="2DECC136" w:rsidR="00E67438" w:rsidRPr="00E67438" w:rsidRDefault="00E67438" w:rsidP="00A71365">
            <w:pPr>
              <w:pStyle w:val="Tablewriting"/>
              <w:rPr>
                <w:rFonts w:eastAsia="MS Mincho" w:cstheme="minorHAnsi"/>
              </w:rPr>
            </w:pPr>
            <w:r w:rsidRPr="00E67438">
              <w:rPr>
                <w:rFonts w:eastAsia="MS Mincho" w:cstheme="minorHAnsi"/>
              </w:rPr>
              <w:t>varenicline denominator at 52 w</w:t>
            </w:r>
            <w:r w:rsidR="003F4DDB">
              <w:rPr>
                <w:rFonts w:eastAsia="MS Mincho" w:cstheme="minorHAnsi"/>
              </w:rPr>
              <w:t>ee</w:t>
            </w:r>
            <w:r w:rsidR="0004666B">
              <w:rPr>
                <w:rFonts w:eastAsia="MS Mincho" w:cstheme="minorHAnsi"/>
              </w:rPr>
              <w:t>k</w:t>
            </w:r>
            <w:r w:rsidRPr="00E67438">
              <w:rPr>
                <w:rFonts w:eastAsia="MS Mincho" w:cstheme="minorHAnsi"/>
              </w:rPr>
              <w:t>s</w:t>
            </w:r>
            <w:r w:rsidR="003F4DDB">
              <w:rPr>
                <w:rFonts w:eastAsia="MS Mincho" w:cstheme="minorHAnsi"/>
              </w:rPr>
              <w:t>)</w:t>
            </w:r>
          </w:p>
          <w:p w14:paraId="3FE80CD0" w14:textId="77777777" w:rsidR="00F875B7" w:rsidRDefault="00F875B7" w:rsidP="00A71365">
            <w:pPr>
              <w:pStyle w:val="Tablewriting"/>
              <w:rPr>
                <w:rFonts w:eastAsia="MS Mincho" w:cstheme="minorHAnsi"/>
              </w:rPr>
            </w:pPr>
          </w:p>
          <w:p w14:paraId="6284F6D8" w14:textId="69717024" w:rsidR="0004666B" w:rsidRDefault="00F875B7" w:rsidP="00A71365">
            <w:pPr>
              <w:pStyle w:val="Tablewriting"/>
              <w:rPr>
                <w:rFonts w:eastAsia="MS Mincho" w:cstheme="minorHAnsi"/>
              </w:rPr>
            </w:pPr>
            <w:r w:rsidRPr="00E67438">
              <w:rPr>
                <w:rFonts w:eastAsia="MS Mincho" w:cstheme="minorHAnsi"/>
              </w:rPr>
              <w:t xml:space="preserve">Validation was by expired CO </w:t>
            </w:r>
            <w:r w:rsidRPr="004E2D82">
              <w:rPr>
                <w:rFonts w:eastAsia="MS Mincho"/>
              </w:rPr>
              <w:t>≤</w:t>
            </w:r>
            <w:r>
              <w:rPr>
                <w:rFonts w:eastAsia="MS Mincho"/>
              </w:rPr>
              <w:t xml:space="preserve"> </w:t>
            </w:r>
            <w:r w:rsidRPr="00E67438">
              <w:rPr>
                <w:rFonts w:eastAsia="MS Mincho" w:cstheme="minorHAnsi"/>
              </w:rPr>
              <w:t>10 ppm</w:t>
            </w:r>
            <w:r>
              <w:rPr>
                <w:rFonts w:eastAsia="MS Mincho" w:cstheme="minorHAnsi"/>
              </w:rPr>
              <w:t>.</w:t>
            </w:r>
          </w:p>
          <w:p w14:paraId="7666ACC2" w14:textId="77777777" w:rsidR="00F875B7" w:rsidRDefault="00F875B7" w:rsidP="00A71365">
            <w:pPr>
              <w:pStyle w:val="Tablewriting"/>
              <w:rPr>
                <w:rFonts w:eastAsia="MS Mincho" w:cstheme="minorHAnsi"/>
                <w:u w:val="single"/>
              </w:rPr>
            </w:pPr>
          </w:p>
          <w:p w14:paraId="11B89822" w14:textId="7FDEA9F6" w:rsidR="00654F52" w:rsidRPr="00E67438" w:rsidRDefault="0004666B" w:rsidP="00A71365">
            <w:pPr>
              <w:pStyle w:val="Tablewriting"/>
              <w:rPr>
                <w:rFonts w:eastAsia="MS Mincho" w:cstheme="minorHAnsi"/>
              </w:rPr>
            </w:pPr>
            <w:r w:rsidRPr="0004666B">
              <w:rPr>
                <w:rFonts w:eastAsia="MS Mincho" w:cstheme="minorHAnsi"/>
                <w:u w:val="single"/>
              </w:rPr>
              <w:t>Safety:</w:t>
            </w:r>
            <w:r w:rsidR="00654F52">
              <w:rPr>
                <w:rFonts w:eastAsia="MS Mincho" w:cstheme="minorHAnsi"/>
                <w:u w:val="single"/>
              </w:rPr>
              <w:t xml:space="preserve"> A</w:t>
            </w:r>
            <w:r w:rsidR="00654F52" w:rsidRPr="00E67438">
              <w:rPr>
                <w:rFonts w:eastAsia="MS Mincho" w:cstheme="minorHAnsi"/>
              </w:rPr>
              <w:t>dverse</w:t>
            </w:r>
            <w:r w:rsidR="00654F52">
              <w:rPr>
                <w:rFonts w:eastAsia="MS Mincho" w:cstheme="minorHAnsi"/>
              </w:rPr>
              <w:t xml:space="preserve"> </w:t>
            </w:r>
            <w:r w:rsidR="00654F52" w:rsidRPr="00E67438">
              <w:rPr>
                <w:rFonts w:eastAsia="MS Mincho" w:cstheme="minorHAnsi"/>
              </w:rPr>
              <w:t>events</w:t>
            </w:r>
            <w:r w:rsidR="00654F52">
              <w:rPr>
                <w:rFonts w:eastAsia="MS Mincho" w:cstheme="minorHAnsi"/>
              </w:rPr>
              <w:t>.</w:t>
            </w:r>
          </w:p>
          <w:p w14:paraId="3F7A1F21" w14:textId="71B11D13" w:rsidR="0004666B" w:rsidRPr="0004666B" w:rsidRDefault="0004666B" w:rsidP="00A71365">
            <w:pPr>
              <w:pStyle w:val="Tablewriting"/>
              <w:rPr>
                <w:rFonts w:eastAsia="MS Mincho" w:cstheme="minorHAnsi"/>
                <w:u w:val="single"/>
              </w:rPr>
            </w:pPr>
          </w:p>
          <w:p w14:paraId="41E24674" w14:textId="77777777" w:rsidR="0004666B" w:rsidRDefault="0004666B" w:rsidP="00A71365">
            <w:pPr>
              <w:pStyle w:val="Tablewriting"/>
              <w:rPr>
                <w:rFonts w:eastAsia="MS Mincho" w:cstheme="minorHAnsi"/>
              </w:rPr>
            </w:pPr>
          </w:p>
          <w:p w14:paraId="48D0F975" w14:textId="77777777" w:rsidR="00090C2F" w:rsidRDefault="00E67438" w:rsidP="00A71365">
            <w:pPr>
              <w:pStyle w:val="Tablewriting"/>
              <w:rPr>
                <w:rFonts w:eastAsia="MS Mincho" w:cstheme="minorHAnsi"/>
              </w:rPr>
            </w:pPr>
            <w:r w:rsidRPr="00654F52">
              <w:rPr>
                <w:rFonts w:eastAsia="MS Mincho" w:cstheme="minorHAnsi"/>
                <w:u w:val="single"/>
              </w:rPr>
              <w:t>Other:</w:t>
            </w:r>
            <w:r w:rsidRPr="00E67438">
              <w:rPr>
                <w:rFonts w:eastAsia="MS Mincho" w:cstheme="minorHAnsi"/>
              </w:rPr>
              <w:t xml:space="preserve"> weight change, withdrawal symptoms (using MNWS), time to first lapse</w:t>
            </w:r>
            <w:r w:rsidR="00090C2F">
              <w:rPr>
                <w:rFonts w:eastAsia="MS Mincho" w:cstheme="minorHAnsi"/>
              </w:rPr>
              <w:t>.</w:t>
            </w:r>
          </w:p>
          <w:p w14:paraId="318708EE" w14:textId="77777777" w:rsidR="00090C2F" w:rsidRDefault="00090C2F" w:rsidP="00A71365">
            <w:pPr>
              <w:pStyle w:val="Tablewriting"/>
              <w:rPr>
                <w:rFonts w:eastAsia="MS Mincho" w:cstheme="minorHAnsi"/>
              </w:rPr>
            </w:pPr>
          </w:p>
          <w:p w14:paraId="15B54347" w14:textId="7BD84C13" w:rsidR="00DB181B" w:rsidRPr="00017AE6" w:rsidRDefault="00DB181B" w:rsidP="00A71365">
            <w:pPr>
              <w:pStyle w:val="Tablewriting"/>
              <w:rPr>
                <w:rFonts w:eastAsia="MS Mincho" w:cstheme="minorHAnsi"/>
              </w:rPr>
            </w:pPr>
          </w:p>
        </w:tc>
      </w:tr>
      <w:tr w:rsidR="003D3459" w:rsidRPr="00017AE6" w14:paraId="6DF767EB" w14:textId="77777777" w:rsidTr="005821B1">
        <w:trPr>
          <w:trHeight w:val="99"/>
        </w:trPr>
        <w:tc>
          <w:tcPr>
            <w:tcW w:w="761" w:type="pct"/>
            <w:shd w:val="clear" w:color="auto" w:fill="F2F2F2" w:themeFill="background1" w:themeFillShade="F2"/>
          </w:tcPr>
          <w:p w14:paraId="3572809C" w14:textId="652D4A3C" w:rsidR="00DB181B" w:rsidRPr="00017AE6" w:rsidRDefault="00DB181B" w:rsidP="00A71365">
            <w:pPr>
              <w:pStyle w:val="Tablewriting"/>
              <w:rPr>
                <w:rFonts w:eastAsia="MS Mincho" w:cstheme="minorHAnsi"/>
              </w:rPr>
            </w:pPr>
            <w:r w:rsidRPr="00896B73">
              <w:rPr>
                <w:rFonts w:eastAsia="MS Mincho" w:cstheme="minorHAnsi"/>
              </w:rPr>
              <w:t xml:space="preserve">Williams </w:t>
            </w:r>
            <w:r w:rsidR="001B56DB">
              <w:rPr>
                <w:rFonts w:eastAsia="MS Mincho" w:cstheme="minorHAnsi"/>
              </w:rPr>
              <w:t>(</w:t>
            </w:r>
            <w:r w:rsidRPr="00896B73">
              <w:rPr>
                <w:rFonts w:eastAsia="MS Mincho" w:cstheme="minorHAnsi"/>
              </w:rPr>
              <w:t>2007</w:t>
            </w:r>
            <w:r w:rsidR="001B56DB">
              <w:rPr>
                <w:rFonts w:eastAsia="MS Mincho" w:cstheme="minorHAnsi"/>
              </w:rPr>
              <w:t>)</w:t>
            </w:r>
          </w:p>
        </w:tc>
        <w:tc>
          <w:tcPr>
            <w:tcW w:w="235" w:type="pct"/>
            <w:shd w:val="clear" w:color="auto" w:fill="F2F2F2" w:themeFill="background1" w:themeFillShade="F2"/>
          </w:tcPr>
          <w:p w14:paraId="04BCBEC9" w14:textId="24AFB3E7"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57EFDDE4" w14:textId="5B0B8CF5" w:rsidR="00DB181B" w:rsidRPr="00017AE6" w:rsidRDefault="00360180" w:rsidP="00A71365">
            <w:pPr>
              <w:pStyle w:val="Tablewriting"/>
              <w:rPr>
                <w:rFonts w:eastAsia="MS Mincho" w:cstheme="minorHAnsi"/>
              </w:rPr>
            </w:pPr>
            <w:r w:rsidRPr="00360180">
              <w:rPr>
                <w:rFonts w:eastAsia="MS Mincho" w:cstheme="minorHAnsi"/>
              </w:rPr>
              <w:t>USA</w:t>
            </w:r>
            <w:r w:rsidR="00BD1B85">
              <w:rPr>
                <w:rFonts w:eastAsia="MS Mincho" w:cstheme="minorHAnsi"/>
              </w:rPr>
              <w:t>,</w:t>
            </w:r>
            <w:r w:rsidRPr="00360180">
              <w:rPr>
                <w:rFonts w:eastAsia="MS Mincho" w:cstheme="minorHAnsi"/>
              </w:rPr>
              <w:t xml:space="preserve"> Australia</w:t>
            </w:r>
          </w:p>
        </w:tc>
        <w:tc>
          <w:tcPr>
            <w:tcW w:w="679" w:type="pct"/>
            <w:shd w:val="clear" w:color="auto" w:fill="F2F2F2" w:themeFill="background1" w:themeFillShade="F2"/>
          </w:tcPr>
          <w:p w14:paraId="251456D3" w14:textId="2580B012" w:rsidR="008F53B0" w:rsidRPr="009148BD" w:rsidRDefault="00360180" w:rsidP="00A71365">
            <w:pPr>
              <w:pStyle w:val="Tablewriting"/>
              <w:rPr>
                <w:rFonts w:eastAsia="MS Mincho" w:cstheme="minorHAnsi"/>
              </w:rPr>
            </w:pPr>
            <w:r>
              <w:rPr>
                <w:rFonts w:eastAsia="MS Mincho" w:cstheme="minorHAnsi"/>
              </w:rPr>
              <w:t>N=377</w:t>
            </w:r>
            <w:r w:rsidR="008F53B0">
              <w:rPr>
                <w:rFonts w:eastAsia="MS Mincho" w:cstheme="minorHAnsi"/>
              </w:rPr>
              <w:t>; n=</w:t>
            </w:r>
            <w:r w:rsidR="00D96439">
              <w:rPr>
                <w:rFonts w:eastAsia="MS Mincho" w:cstheme="minorHAnsi"/>
              </w:rPr>
              <w:t>251 (</w:t>
            </w:r>
            <w:r w:rsidR="008F53B0" w:rsidRPr="009148BD">
              <w:rPr>
                <w:rFonts w:eastAsia="MS Mincho" w:cstheme="minorHAnsi"/>
              </w:rPr>
              <w:t>varenicline)</w:t>
            </w:r>
            <w:r w:rsidR="00D96439">
              <w:rPr>
                <w:rFonts w:eastAsia="MS Mincho" w:cstheme="minorHAnsi"/>
              </w:rPr>
              <w:t>, n=126 (</w:t>
            </w:r>
            <w:r w:rsidR="008F53B0" w:rsidRPr="009148BD">
              <w:rPr>
                <w:rFonts w:eastAsia="MS Mincho" w:cstheme="minorHAnsi"/>
              </w:rPr>
              <w:t>placebo</w:t>
            </w:r>
            <w:r w:rsidR="00D96439">
              <w:rPr>
                <w:rFonts w:eastAsia="MS Mincho" w:cstheme="minorHAnsi"/>
              </w:rPr>
              <w:t xml:space="preserve">). </w:t>
            </w:r>
          </w:p>
          <w:p w14:paraId="28204880" w14:textId="18539E5E" w:rsidR="00DB181B" w:rsidRPr="00017AE6" w:rsidRDefault="00DB181B" w:rsidP="00A71365">
            <w:pPr>
              <w:pStyle w:val="Tablewriting"/>
              <w:rPr>
                <w:rFonts w:eastAsia="MS Mincho" w:cstheme="minorHAnsi"/>
              </w:rPr>
            </w:pPr>
          </w:p>
        </w:tc>
        <w:tc>
          <w:tcPr>
            <w:tcW w:w="851" w:type="pct"/>
            <w:shd w:val="clear" w:color="auto" w:fill="F2F2F2" w:themeFill="background1" w:themeFillShade="F2"/>
          </w:tcPr>
          <w:p w14:paraId="20B9CA61" w14:textId="77777777" w:rsidR="0025010A" w:rsidRDefault="0025010A" w:rsidP="00A71365">
            <w:pPr>
              <w:pStyle w:val="Tablewriting"/>
              <w:rPr>
                <w:rFonts w:eastAsia="MS Mincho" w:cstheme="minorHAnsi"/>
              </w:rPr>
            </w:pPr>
            <w:r>
              <w:rPr>
                <w:rFonts w:eastAsia="MS Mincho" w:cstheme="minorHAnsi"/>
              </w:rPr>
              <w:t>A</w:t>
            </w:r>
            <w:r w:rsidR="009148BD" w:rsidRPr="009148BD">
              <w:rPr>
                <w:rFonts w:eastAsia="MS Mincho" w:cstheme="minorHAnsi"/>
              </w:rPr>
              <w:t xml:space="preserve">dult smokers, aged 18 - 75, smoking at least 10 CPD. </w:t>
            </w:r>
          </w:p>
          <w:p w14:paraId="004A46A2" w14:textId="77777777" w:rsidR="008F53B0" w:rsidRDefault="009148BD" w:rsidP="00A71365">
            <w:pPr>
              <w:pStyle w:val="Tablewriting"/>
              <w:rPr>
                <w:rFonts w:eastAsia="MS Mincho" w:cstheme="minorHAnsi"/>
              </w:rPr>
            </w:pPr>
            <w:r w:rsidRPr="009148BD">
              <w:rPr>
                <w:rFonts w:eastAsia="MS Mincho" w:cstheme="minorHAnsi"/>
              </w:rPr>
              <w:t>49.9% men, 88.6% white, av</w:t>
            </w:r>
            <w:r w:rsidR="0025010A">
              <w:rPr>
                <w:rFonts w:eastAsia="MS Mincho" w:cstheme="minorHAnsi"/>
              </w:rPr>
              <w:t>erage</w:t>
            </w:r>
            <w:r w:rsidRPr="009148BD">
              <w:rPr>
                <w:rFonts w:eastAsia="MS Mincho" w:cstheme="minorHAnsi"/>
              </w:rPr>
              <w:t xml:space="preserve"> CPD at</w:t>
            </w:r>
            <w:r w:rsidR="0025010A">
              <w:rPr>
                <w:rFonts w:eastAsia="MS Mincho" w:cstheme="minorHAnsi"/>
              </w:rPr>
              <w:t xml:space="preserve"> </w:t>
            </w:r>
            <w:r w:rsidRPr="009148BD">
              <w:rPr>
                <w:rFonts w:eastAsia="MS Mincho" w:cstheme="minorHAnsi"/>
              </w:rPr>
              <w:t>baseline</w:t>
            </w:r>
            <w:r w:rsidR="0025010A">
              <w:rPr>
                <w:rFonts w:eastAsia="MS Mincho" w:cstheme="minorHAnsi"/>
              </w:rPr>
              <w:t xml:space="preserve"> </w:t>
            </w:r>
            <w:r w:rsidRPr="009148BD">
              <w:rPr>
                <w:rFonts w:eastAsia="MS Mincho" w:cstheme="minorHAnsi"/>
              </w:rPr>
              <w:t>3, mean FTND 5.5 in</w:t>
            </w:r>
            <w:r w:rsidR="008F53B0">
              <w:rPr>
                <w:rFonts w:eastAsia="MS Mincho" w:cstheme="minorHAnsi"/>
              </w:rPr>
              <w:t xml:space="preserve"> </w:t>
            </w:r>
            <w:r w:rsidRPr="009148BD">
              <w:rPr>
                <w:rFonts w:eastAsia="MS Mincho" w:cstheme="minorHAnsi"/>
              </w:rPr>
              <w:t xml:space="preserve">treatment group, 6.05 in control group. </w:t>
            </w:r>
          </w:p>
          <w:p w14:paraId="3BDA5043" w14:textId="77777777" w:rsidR="008F53B0" w:rsidRDefault="008F53B0" w:rsidP="00A71365">
            <w:pPr>
              <w:pStyle w:val="Tablewriting"/>
              <w:rPr>
                <w:rFonts w:eastAsia="MS Mincho" w:cstheme="minorHAnsi"/>
              </w:rPr>
            </w:pPr>
          </w:p>
          <w:p w14:paraId="37C983D0" w14:textId="77777777" w:rsidR="009148BD" w:rsidRPr="009148BD" w:rsidRDefault="009148BD" w:rsidP="00A71365">
            <w:pPr>
              <w:pStyle w:val="Tablewriting"/>
              <w:rPr>
                <w:rFonts w:eastAsia="MS Mincho" w:cstheme="minorHAnsi"/>
              </w:rPr>
            </w:pPr>
            <w:r w:rsidRPr="008F53B0">
              <w:rPr>
                <w:rFonts w:eastAsia="MS Mincho" w:cstheme="minorHAnsi"/>
                <w:u w:val="single"/>
              </w:rPr>
              <w:t>Exclusion criteria:</w:t>
            </w:r>
            <w:r w:rsidRPr="009148BD">
              <w:rPr>
                <w:rFonts w:eastAsia="MS Mincho" w:cstheme="minorHAnsi"/>
              </w:rPr>
              <w:t xml:space="preserve"> Standard pharmacotherapy trial criteria, + no use of NRT, antidepressants, antipsychotics,</w:t>
            </w:r>
          </w:p>
          <w:p w14:paraId="798A13B7" w14:textId="48D28540" w:rsidR="00DB181B" w:rsidRPr="00017AE6" w:rsidRDefault="009148BD" w:rsidP="00A71365">
            <w:pPr>
              <w:pStyle w:val="Tablewriting"/>
              <w:rPr>
                <w:rFonts w:eastAsia="MS Mincho" w:cstheme="minorHAnsi"/>
              </w:rPr>
            </w:pPr>
            <w:r w:rsidRPr="009148BD">
              <w:rPr>
                <w:rFonts w:eastAsia="MS Mincho" w:cstheme="minorHAnsi"/>
              </w:rPr>
              <w:t>naltrexone during study period.</w:t>
            </w:r>
          </w:p>
        </w:tc>
        <w:tc>
          <w:tcPr>
            <w:tcW w:w="1054" w:type="pct"/>
            <w:shd w:val="clear" w:color="auto" w:fill="F2F2F2" w:themeFill="background1" w:themeFillShade="F2"/>
          </w:tcPr>
          <w:p w14:paraId="721B4D21" w14:textId="77777777" w:rsidR="000856B9" w:rsidRDefault="00CA075F" w:rsidP="00C324F3">
            <w:pPr>
              <w:pStyle w:val="Tablewriting"/>
              <w:numPr>
                <w:ilvl w:val="0"/>
                <w:numId w:val="155"/>
              </w:numPr>
              <w:rPr>
                <w:rFonts w:eastAsia="MS Mincho" w:cstheme="minorHAnsi"/>
              </w:rPr>
            </w:pPr>
            <w:r w:rsidRPr="00CA075F">
              <w:rPr>
                <w:rFonts w:eastAsia="MS Mincho" w:cstheme="minorHAnsi"/>
              </w:rPr>
              <w:t>Varenicline 1mg x 2/day, titrated for first w</w:t>
            </w:r>
            <w:r w:rsidR="000856B9">
              <w:rPr>
                <w:rFonts w:eastAsia="MS Mincho" w:cstheme="minorHAnsi"/>
              </w:rPr>
              <w:t>ee</w:t>
            </w:r>
            <w:r w:rsidRPr="00CA075F">
              <w:rPr>
                <w:rFonts w:eastAsia="MS Mincho" w:cstheme="minorHAnsi"/>
              </w:rPr>
              <w:t>k</w:t>
            </w:r>
            <w:r w:rsidR="000856B9">
              <w:rPr>
                <w:rFonts w:eastAsia="MS Mincho" w:cstheme="minorHAnsi"/>
              </w:rPr>
              <w:t>.</w:t>
            </w:r>
          </w:p>
          <w:p w14:paraId="4C70AEF3" w14:textId="1C6AD324" w:rsidR="00CA075F" w:rsidRPr="00CA075F" w:rsidRDefault="00CA075F" w:rsidP="00C324F3">
            <w:pPr>
              <w:pStyle w:val="Tablewriting"/>
              <w:numPr>
                <w:ilvl w:val="0"/>
                <w:numId w:val="155"/>
              </w:numPr>
              <w:rPr>
                <w:rFonts w:eastAsia="MS Mincho" w:cstheme="minorHAnsi"/>
              </w:rPr>
            </w:pPr>
            <w:r w:rsidRPr="00CA075F">
              <w:rPr>
                <w:rFonts w:eastAsia="MS Mincho" w:cstheme="minorHAnsi"/>
              </w:rPr>
              <w:t>Placebo inactive tablets, same regimen</w:t>
            </w:r>
            <w:r w:rsidR="000856B9">
              <w:rPr>
                <w:rFonts w:eastAsia="MS Mincho" w:cstheme="minorHAnsi"/>
              </w:rPr>
              <w:t>.</w:t>
            </w:r>
          </w:p>
          <w:p w14:paraId="3DB45C2F" w14:textId="77777777" w:rsidR="000856B9" w:rsidRPr="000856B9" w:rsidRDefault="000856B9" w:rsidP="00A71365">
            <w:pPr>
              <w:pStyle w:val="Tablewriting"/>
              <w:ind w:left="360"/>
              <w:rPr>
                <w:rFonts w:eastAsia="MS Mincho" w:cstheme="minorHAnsi"/>
              </w:rPr>
            </w:pPr>
          </w:p>
          <w:p w14:paraId="19F47E9D" w14:textId="4CDF7BE8" w:rsidR="00CA075F" w:rsidRPr="00CA075F" w:rsidRDefault="000856B9"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CA075F" w:rsidRPr="00CA075F">
              <w:rPr>
                <w:rFonts w:eastAsia="MS Mincho" w:cstheme="minorHAnsi"/>
              </w:rPr>
              <w:t>All participants received S-H booklet Clearing the Air. Brief counselling (</w:t>
            </w:r>
            <w:r w:rsidRPr="004E2D82">
              <w:rPr>
                <w:rFonts w:eastAsia="MS Mincho"/>
              </w:rPr>
              <w:t>≤</w:t>
            </w:r>
            <w:r w:rsidR="00CA075F" w:rsidRPr="00CA075F">
              <w:rPr>
                <w:rFonts w:eastAsia="MS Mincho" w:cstheme="minorHAnsi"/>
              </w:rPr>
              <w:t xml:space="preserve"> 10 mins) at each visit</w:t>
            </w:r>
            <w:r>
              <w:rPr>
                <w:rFonts w:eastAsia="MS Mincho" w:cstheme="minorHAnsi"/>
              </w:rPr>
              <w:t>.</w:t>
            </w:r>
          </w:p>
          <w:p w14:paraId="2B2C8F08" w14:textId="77777777" w:rsidR="000856B9" w:rsidRPr="00CA075F" w:rsidRDefault="000856B9" w:rsidP="00A71365">
            <w:pPr>
              <w:pStyle w:val="Tablewriting"/>
              <w:rPr>
                <w:rFonts w:eastAsia="MS Mincho" w:cstheme="minorHAnsi"/>
              </w:rPr>
            </w:pPr>
          </w:p>
          <w:p w14:paraId="53AA1ACF" w14:textId="0EB6CF1F" w:rsidR="00CA075F" w:rsidRPr="00CA075F" w:rsidRDefault="00CA075F" w:rsidP="00A71365">
            <w:pPr>
              <w:pStyle w:val="Tablewriting"/>
              <w:rPr>
                <w:rFonts w:eastAsia="MS Mincho" w:cstheme="minorHAnsi"/>
              </w:rPr>
            </w:pPr>
            <w:r w:rsidRPr="00CA075F">
              <w:rPr>
                <w:rFonts w:eastAsia="MS Mincho" w:cstheme="minorHAnsi"/>
              </w:rPr>
              <w:t>TQD was 1st day of w</w:t>
            </w:r>
            <w:r w:rsidR="000856B9">
              <w:rPr>
                <w:rFonts w:eastAsia="MS Mincho" w:cstheme="minorHAnsi"/>
              </w:rPr>
              <w:t>ee</w:t>
            </w:r>
            <w:r w:rsidRPr="00CA075F">
              <w:rPr>
                <w:rFonts w:eastAsia="MS Mincho" w:cstheme="minorHAnsi"/>
              </w:rPr>
              <w:t>k 1 visit (7 - 10 days post-randomisation)</w:t>
            </w:r>
            <w:r w:rsidR="00146384">
              <w:rPr>
                <w:rFonts w:eastAsia="MS Mincho" w:cstheme="minorHAnsi"/>
              </w:rPr>
              <w:t>.</w:t>
            </w:r>
          </w:p>
          <w:p w14:paraId="7B68663B" w14:textId="77777777" w:rsidR="00146384" w:rsidRPr="00CA075F" w:rsidRDefault="00146384" w:rsidP="00A71365">
            <w:pPr>
              <w:pStyle w:val="Tablewriting"/>
              <w:rPr>
                <w:rFonts w:eastAsia="MS Mincho" w:cstheme="minorHAnsi"/>
              </w:rPr>
            </w:pPr>
          </w:p>
          <w:p w14:paraId="3FD365DE" w14:textId="503E2FC9" w:rsidR="00CA075F" w:rsidRPr="00CA075F" w:rsidRDefault="00CA075F" w:rsidP="00A71365">
            <w:pPr>
              <w:pStyle w:val="Tablewriting"/>
              <w:rPr>
                <w:rFonts w:eastAsia="MS Mincho" w:cstheme="minorHAnsi"/>
              </w:rPr>
            </w:pPr>
            <w:r w:rsidRPr="00CA075F">
              <w:rPr>
                <w:rFonts w:eastAsia="MS Mincho" w:cstheme="minorHAnsi"/>
              </w:rPr>
              <w:t>Treatment period was 52 wks. Weekly visits throughout w</w:t>
            </w:r>
            <w:r w:rsidR="000856B9">
              <w:rPr>
                <w:rFonts w:eastAsia="MS Mincho" w:cstheme="minorHAnsi"/>
              </w:rPr>
              <w:t>ee</w:t>
            </w:r>
            <w:r w:rsidRPr="00CA075F">
              <w:rPr>
                <w:rFonts w:eastAsia="MS Mincho" w:cstheme="minorHAnsi"/>
              </w:rPr>
              <w:t>ks 1 - 8, then every 4 w</w:t>
            </w:r>
            <w:r w:rsidR="000856B9">
              <w:rPr>
                <w:rFonts w:eastAsia="MS Mincho" w:cstheme="minorHAnsi"/>
              </w:rPr>
              <w:t>ee</w:t>
            </w:r>
            <w:r w:rsidRPr="00CA075F">
              <w:rPr>
                <w:rFonts w:eastAsia="MS Mincho" w:cstheme="minorHAnsi"/>
              </w:rPr>
              <w:t>ks to w</w:t>
            </w:r>
            <w:r w:rsidR="000856B9">
              <w:rPr>
                <w:rFonts w:eastAsia="MS Mincho" w:cstheme="minorHAnsi"/>
              </w:rPr>
              <w:t>ee</w:t>
            </w:r>
            <w:r w:rsidRPr="00CA075F">
              <w:rPr>
                <w:rFonts w:eastAsia="MS Mincho" w:cstheme="minorHAnsi"/>
              </w:rPr>
              <w:t>k 52, + w</w:t>
            </w:r>
            <w:r w:rsidR="000856B9">
              <w:rPr>
                <w:rFonts w:eastAsia="MS Mincho" w:cstheme="minorHAnsi"/>
              </w:rPr>
              <w:t>ee</w:t>
            </w:r>
            <w:r w:rsidRPr="00CA075F">
              <w:rPr>
                <w:rFonts w:eastAsia="MS Mincho" w:cstheme="minorHAnsi"/>
              </w:rPr>
              <w:t>k 53 assessment</w:t>
            </w:r>
            <w:r w:rsidR="0046222D">
              <w:rPr>
                <w:rFonts w:eastAsia="MS Mincho" w:cstheme="minorHAnsi"/>
              </w:rPr>
              <w:t>.</w:t>
            </w:r>
          </w:p>
          <w:p w14:paraId="54EEEACB" w14:textId="77777777" w:rsidR="0046222D" w:rsidRPr="00CA075F" w:rsidRDefault="0046222D" w:rsidP="00A71365">
            <w:pPr>
              <w:pStyle w:val="Tablewriting"/>
              <w:rPr>
                <w:rFonts w:eastAsia="MS Mincho" w:cstheme="minorHAnsi"/>
              </w:rPr>
            </w:pPr>
          </w:p>
          <w:p w14:paraId="41233CAE" w14:textId="267DD77C" w:rsidR="00DB181B" w:rsidRPr="00017AE6" w:rsidRDefault="00CA075F" w:rsidP="00A71365">
            <w:pPr>
              <w:pStyle w:val="Tablewriting"/>
              <w:rPr>
                <w:rFonts w:eastAsia="MS Mincho" w:cstheme="minorHAnsi"/>
              </w:rPr>
            </w:pPr>
            <w:r w:rsidRPr="00CA075F">
              <w:rPr>
                <w:rFonts w:eastAsia="MS Mincho" w:cstheme="minorHAnsi"/>
              </w:rPr>
              <w:t>Blood and urine samples taken at screening, baseline, w</w:t>
            </w:r>
            <w:r w:rsidR="0046222D">
              <w:rPr>
                <w:rFonts w:eastAsia="MS Mincho" w:cstheme="minorHAnsi"/>
              </w:rPr>
              <w:t>ee</w:t>
            </w:r>
            <w:r w:rsidRPr="00CA075F">
              <w:rPr>
                <w:rFonts w:eastAsia="MS Mincho" w:cstheme="minorHAnsi"/>
              </w:rPr>
              <w:t>ks 2, 12, 24, 36, 52 (or early termination) Complete</w:t>
            </w:r>
            <w:r w:rsidR="0046222D">
              <w:rPr>
                <w:rFonts w:eastAsia="MS Mincho" w:cstheme="minorHAnsi"/>
              </w:rPr>
              <w:t xml:space="preserve"> </w:t>
            </w:r>
            <w:r w:rsidRPr="00CA075F">
              <w:rPr>
                <w:rFonts w:eastAsia="MS Mincho" w:cstheme="minorHAnsi"/>
              </w:rPr>
              <w:t>physical exam at baseline, w</w:t>
            </w:r>
            <w:r w:rsidR="0046222D">
              <w:rPr>
                <w:rFonts w:eastAsia="MS Mincho" w:cstheme="minorHAnsi"/>
              </w:rPr>
              <w:t>ee</w:t>
            </w:r>
            <w:r w:rsidRPr="00CA075F">
              <w:rPr>
                <w:rFonts w:eastAsia="MS Mincho" w:cstheme="minorHAnsi"/>
              </w:rPr>
              <w:t>ks 24 and 52; BP, pulse and weight measured at all visits, ECG at</w:t>
            </w:r>
            <w:r w:rsidR="0046222D">
              <w:rPr>
                <w:rFonts w:eastAsia="MS Mincho" w:cstheme="minorHAnsi"/>
              </w:rPr>
              <w:t xml:space="preserve"> </w:t>
            </w:r>
            <w:r w:rsidRPr="00CA075F">
              <w:rPr>
                <w:rFonts w:eastAsia="MS Mincho" w:cstheme="minorHAnsi"/>
              </w:rPr>
              <w:t>screening, baseline, w</w:t>
            </w:r>
            <w:r w:rsidR="0046222D">
              <w:rPr>
                <w:rFonts w:eastAsia="MS Mincho" w:cstheme="minorHAnsi"/>
              </w:rPr>
              <w:t>ee</w:t>
            </w:r>
            <w:r w:rsidRPr="00CA075F">
              <w:rPr>
                <w:rFonts w:eastAsia="MS Mincho" w:cstheme="minorHAnsi"/>
              </w:rPr>
              <w:t>ks 2, 24 and 52 (or early termination)</w:t>
            </w:r>
            <w:r w:rsidR="0046222D">
              <w:rPr>
                <w:rFonts w:eastAsia="MS Mincho" w:cstheme="minorHAnsi"/>
              </w:rPr>
              <w:t>.</w:t>
            </w:r>
          </w:p>
        </w:tc>
        <w:tc>
          <w:tcPr>
            <w:tcW w:w="959" w:type="pct"/>
            <w:shd w:val="clear" w:color="auto" w:fill="F2F2F2" w:themeFill="background1" w:themeFillShade="F2"/>
          </w:tcPr>
          <w:p w14:paraId="282C9FDA" w14:textId="77777777" w:rsidR="00146384" w:rsidRPr="00146384" w:rsidRDefault="00146384" w:rsidP="00A71365">
            <w:pPr>
              <w:pStyle w:val="Tablewriting"/>
              <w:rPr>
                <w:rFonts w:eastAsia="MS Mincho" w:cstheme="minorHAnsi"/>
                <w:u w:val="single"/>
              </w:rPr>
            </w:pPr>
            <w:r w:rsidRPr="00146384">
              <w:rPr>
                <w:rFonts w:eastAsia="MS Mincho" w:cstheme="minorHAnsi"/>
                <w:u w:val="single"/>
              </w:rPr>
              <w:t>Efficacy:</w:t>
            </w:r>
          </w:p>
          <w:p w14:paraId="47EAF0C1" w14:textId="77E5A0B7" w:rsidR="00CA075F" w:rsidRPr="00CA075F" w:rsidRDefault="00CA075F" w:rsidP="00A71365">
            <w:pPr>
              <w:pStyle w:val="Tablewriting"/>
              <w:rPr>
                <w:rFonts w:eastAsia="MS Mincho" w:cstheme="minorHAnsi"/>
              </w:rPr>
            </w:pPr>
            <w:r w:rsidRPr="00CA075F">
              <w:rPr>
                <w:rFonts w:eastAsia="MS Mincho" w:cstheme="minorHAnsi"/>
              </w:rPr>
              <w:t>Secondary outcome: 7-day CO-verified PPA at all clinic visits</w:t>
            </w:r>
            <w:r w:rsidR="00146384">
              <w:rPr>
                <w:rFonts w:eastAsia="MS Mincho" w:cstheme="minorHAnsi"/>
              </w:rPr>
              <w:t>.</w:t>
            </w:r>
            <w:r w:rsidRPr="00CA075F">
              <w:rPr>
                <w:rFonts w:eastAsia="MS Mincho" w:cstheme="minorHAnsi"/>
              </w:rPr>
              <w:t xml:space="preserve"> (expired CO </w:t>
            </w:r>
            <w:r w:rsidR="00146384" w:rsidRPr="004E2D82">
              <w:rPr>
                <w:rFonts w:eastAsia="MS Mincho"/>
              </w:rPr>
              <w:t>≤</w:t>
            </w:r>
            <w:r w:rsidRPr="00CA075F">
              <w:rPr>
                <w:rFonts w:eastAsia="MS Mincho" w:cstheme="minorHAnsi"/>
              </w:rPr>
              <w:t xml:space="preserve"> 10 ppm)</w:t>
            </w:r>
          </w:p>
          <w:p w14:paraId="1A00EADF" w14:textId="77777777" w:rsidR="00CA075F" w:rsidRDefault="00CA075F" w:rsidP="00A71365">
            <w:pPr>
              <w:pStyle w:val="Tablewriting"/>
              <w:rPr>
                <w:rFonts w:eastAsia="MS Mincho" w:cstheme="minorHAnsi"/>
              </w:rPr>
            </w:pPr>
          </w:p>
          <w:p w14:paraId="59A83B92" w14:textId="77777777" w:rsidR="00146384" w:rsidRPr="00146384" w:rsidRDefault="00146384" w:rsidP="00A71365">
            <w:pPr>
              <w:pStyle w:val="Tablewriting"/>
              <w:rPr>
                <w:rFonts w:eastAsia="MS Mincho" w:cstheme="minorHAnsi"/>
                <w:u w:val="single"/>
              </w:rPr>
            </w:pPr>
            <w:r w:rsidRPr="00146384">
              <w:rPr>
                <w:rFonts w:eastAsia="MS Mincho" w:cstheme="minorHAnsi"/>
                <w:u w:val="single"/>
              </w:rPr>
              <w:t xml:space="preserve">Safety: </w:t>
            </w:r>
          </w:p>
          <w:p w14:paraId="7A42C133" w14:textId="295F0D10" w:rsidR="00146384" w:rsidRPr="00CA075F" w:rsidRDefault="00146384" w:rsidP="00A71365">
            <w:pPr>
              <w:pStyle w:val="Tablewriting"/>
              <w:rPr>
                <w:rFonts w:eastAsia="MS Mincho" w:cstheme="minorHAnsi"/>
              </w:rPr>
            </w:pPr>
            <w:r w:rsidRPr="00CA075F">
              <w:rPr>
                <w:rFonts w:eastAsia="MS Mincho" w:cstheme="minorHAnsi"/>
              </w:rPr>
              <w:t>Primary outcome: Safety of smokers treated continuously with varenicline over 52 w</w:t>
            </w:r>
            <w:r>
              <w:rPr>
                <w:rFonts w:eastAsia="MS Mincho" w:cstheme="minorHAnsi"/>
              </w:rPr>
              <w:t>ee</w:t>
            </w:r>
            <w:r w:rsidRPr="00CA075F">
              <w:rPr>
                <w:rFonts w:eastAsia="MS Mincho" w:cstheme="minorHAnsi"/>
              </w:rPr>
              <w:t>ks, measured at</w:t>
            </w:r>
            <w:r>
              <w:rPr>
                <w:rFonts w:eastAsia="MS Mincho" w:cstheme="minorHAnsi"/>
              </w:rPr>
              <w:t xml:space="preserve"> </w:t>
            </w:r>
            <w:r w:rsidRPr="00CA075F">
              <w:rPr>
                <w:rFonts w:eastAsia="MS Mincho" w:cstheme="minorHAnsi"/>
              </w:rPr>
              <w:t>w</w:t>
            </w:r>
            <w:r>
              <w:rPr>
                <w:rFonts w:eastAsia="MS Mincho" w:cstheme="minorHAnsi"/>
              </w:rPr>
              <w:t>ee</w:t>
            </w:r>
            <w:r w:rsidRPr="00CA075F">
              <w:rPr>
                <w:rFonts w:eastAsia="MS Mincho" w:cstheme="minorHAnsi"/>
              </w:rPr>
              <w:t>k 53 by level and tolerability of adverse events and incidence of SAEs</w:t>
            </w:r>
            <w:r w:rsidR="00736D0F">
              <w:rPr>
                <w:rFonts w:eastAsia="MS Mincho" w:cstheme="minorHAnsi"/>
              </w:rPr>
              <w:t>.</w:t>
            </w:r>
          </w:p>
          <w:p w14:paraId="12A17BA0" w14:textId="6DFAA87A" w:rsidR="00146384" w:rsidRDefault="00146384" w:rsidP="00A71365">
            <w:pPr>
              <w:pStyle w:val="Tablewriting"/>
              <w:rPr>
                <w:rFonts w:eastAsia="MS Mincho" w:cstheme="minorHAnsi"/>
              </w:rPr>
            </w:pPr>
          </w:p>
          <w:p w14:paraId="7FDBB9F2" w14:textId="49783E3A" w:rsidR="00DB181B" w:rsidRPr="00017AE6" w:rsidRDefault="00CA075F" w:rsidP="00A71365">
            <w:pPr>
              <w:pStyle w:val="Tablewriting"/>
              <w:rPr>
                <w:rFonts w:eastAsia="MS Mincho" w:cstheme="minorHAnsi"/>
              </w:rPr>
            </w:pPr>
            <w:r w:rsidRPr="00736D0F">
              <w:rPr>
                <w:rFonts w:eastAsia="MS Mincho" w:cstheme="minorHAnsi"/>
                <w:u w:val="single"/>
              </w:rPr>
              <w:t>Othe</w:t>
            </w:r>
            <w:r>
              <w:rPr>
                <w:rFonts w:eastAsia="MS Mincho" w:cstheme="minorHAnsi"/>
                <w:u w:val="single"/>
              </w:rPr>
              <w:t>r</w:t>
            </w:r>
            <w:r w:rsidRPr="00736D0F">
              <w:rPr>
                <w:rFonts w:eastAsia="MS Mincho" w:cstheme="minorHAnsi"/>
                <w:u w:val="single"/>
              </w:rPr>
              <w:t>:</w:t>
            </w:r>
            <w:r w:rsidRPr="00CA075F">
              <w:rPr>
                <w:rFonts w:eastAsia="MS Mincho" w:cstheme="minorHAnsi"/>
              </w:rPr>
              <w:t xml:space="preserve"> Weight change</w:t>
            </w:r>
            <w:r w:rsidR="00736D0F">
              <w:rPr>
                <w:rFonts w:eastAsia="MS Mincho" w:cstheme="minorHAnsi"/>
              </w:rPr>
              <w:t>,</w:t>
            </w:r>
            <w:r w:rsidRPr="00CA075F">
              <w:rPr>
                <w:rFonts w:eastAsia="MS Mincho" w:cstheme="minorHAnsi"/>
              </w:rPr>
              <w:t xml:space="preserve"> changes in vital signs</w:t>
            </w:r>
            <w:r w:rsidR="00736D0F">
              <w:rPr>
                <w:rFonts w:eastAsia="MS Mincho" w:cstheme="minorHAnsi"/>
              </w:rPr>
              <w:t>.</w:t>
            </w:r>
          </w:p>
        </w:tc>
      </w:tr>
      <w:tr w:rsidR="003D3459" w:rsidRPr="00017AE6" w14:paraId="22345A61" w14:textId="77777777" w:rsidTr="005821B1">
        <w:trPr>
          <w:trHeight w:val="99"/>
        </w:trPr>
        <w:tc>
          <w:tcPr>
            <w:tcW w:w="761" w:type="pct"/>
            <w:shd w:val="clear" w:color="auto" w:fill="F2F2F2" w:themeFill="background1" w:themeFillShade="F2"/>
          </w:tcPr>
          <w:p w14:paraId="0FF33BA7" w14:textId="021A2213" w:rsidR="00DB181B" w:rsidRPr="00896B73" w:rsidRDefault="00DB181B" w:rsidP="00A71365">
            <w:pPr>
              <w:pStyle w:val="Tablewriting"/>
              <w:rPr>
                <w:rFonts w:eastAsia="MS Mincho" w:cstheme="minorHAnsi"/>
              </w:rPr>
            </w:pPr>
            <w:r w:rsidRPr="007C509A">
              <w:rPr>
                <w:rFonts w:eastAsia="MS Mincho" w:cstheme="minorHAnsi"/>
              </w:rPr>
              <w:lastRenderedPageBreak/>
              <w:t>NCT01347112</w:t>
            </w:r>
          </w:p>
        </w:tc>
        <w:tc>
          <w:tcPr>
            <w:tcW w:w="235" w:type="pct"/>
            <w:shd w:val="clear" w:color="auto" w:fill="F2F2F2" w:themeFill="background1" w:themeFillShade="F2"/>
          </w:tcPr>
          <w:p w14:paraId="01442F24" w14:textId="039571F3"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2FD137C5" w14:textId="6E628C6E" w:rsidR="00DB181B" w:rsidRPr="00017AE6" w:rsidRDefault="00AC0369" w:rsidP="00A71365">
            <w:pPr>
              <w:pStyle w:val="Tablewriting"/>
              <w:rPr>
                <w:rFonts w:eastAsia="MS Mincho" w:cstheme="minorHAnsi"/>
              </w:rPr>
            </w:pPr>
            <w:r>
              <w:rPr>
                <w:rFonts w:eastAsia="MS Mincho" w:cstheme="minorHAnsi"/>
              </w:rPr>
              <w:t>NR</w:t>
            </w:r>
          </w:p>
        </w:tc>
        <w:tc>
          <w:tcPr>
            <w:tcW w:w="679" w:type="pct"/>
            <w:shd w:val="clear" w:color="auto" w:fill="F2F2F2" w:themeFill="background1" w:themeFillShade="F2"/>
          </w:tcPr>
          <w:p w14:paraId="0855432F" w14:textId="7982AB89" w:rsidR="00DB181B" w:rsidRPr="00017AE6" w:rsidRDefault="00AC0369" w:rsidP="00A71365">
            <w:pPr>
              <w:pStyle w:val="Tablewriting"/>
              <w:rPr>
                <w:rFonts w:eastAsia="MS Mincho" w:cstheme="minorHAnsi"/>
              </w:rPr>
            </w:pPr>
            <w:r>
              <w:rPr>
                <w:rFonts w:eastAsia="MS Mincho" w:cstheme="minorHAnsi"/>
              </w:rPr>
              <w:t>N=</w:t>
            </w:r>
            <w:r w:rsidR="009C559B">
              <w:rPr>
                <w:rFonts w:eastAsia="MS Mincho" w:cstheme="minorHAnsi"/>
              </w:rPr>
              <w:t>33</w:t>
            </w:r>
          </w:p>
        </w:tc>
        <w:tc>
          <w:tcPr>
            <w:tcW w:w="851" w:type="pct"/>
            <w:shd w:val="clear" w:color="auto" w:fill="F2F2F2" w:themeFill="background1" w:themeFillShade="F2"/>
          </w:tcPr>
          <w:p w14:paraId="49FF0D0C" w14:textId="01E786FE" w:rsidR="00DB181B" w:rsidRPr="00017AE6" w:rsidRDefault="007823E7" w:rsidP="00A71365">
            <w:pPr>
              <w:pStyle w:val="Tablewriting"/>
              <w:rPr>
                <w:rFonts w:eastAsia="MS Mincho" w:cstheme="minorHAnsi"/>
              </w:rPr>
            </w:pPr>
            <w:r>
              <w:rPr>
                <w:rFonts w:eastAsia="MS Mincho" w:cstheme="minorHAnsi"/>
              </w:rPr>
              <w:t>A</w:t>
            </w:r>
            <w:r w:rsidR="009C559B" w:rsidRPr="009C559B">
              <w:rPr>
                <w:rFonts w:eastAsia="MS Mincho" w:cstheme="minorHAnsi"/>
              </w:rPr>
              <w:t>dult alcohol</w:t>
            </w:r>
            <w:r>
              <w:rPr>
                <w:rFonts w:eastAsia="MS Mincho" w:cstheme="minorHAnsi"/>
              </w:rPr>
              <w:t xml:space="preserve"> </w:t>
            </w:r>
            <w:r w:rsidR="009C559B" w:rsidRPr="009C559B">
              <w:rPr>
                <w:rFonts w:eastAsia="MS Mincho" w:cstheme="minorHAnsi"/>
              </w:rPr>
              <w:t>dependent smokers</w:t>
            </w:r>
            <w:r>
              <w:rPr>
                <w:rFonts w:eastAsia="MS Mincho" w:cstheme="minorHAnsi"/>
              </w:rPr>
              <w:t>.</w:t>
            </w:r>
          </w:p>
        </w:tc>
        <w:tc>
          <w:tcPr>
            <w:tcW w:w="1054" w:type="pct"/>
            <w:shd w:val="clear" w:color="auto" w:fill="F2F2F2" w:themeFill="background1" w:themeFillShade="F2"/>
          </w:tcPr>
          <w:p w14:paraId="44FEE823" w14:textId="77777777" w:rsidR="007823E7" w:rsidRDefault="009C559B" w:rsidP="00C324F3">
            <w:pPr>
              <w:pStyle w:val="Tablewriting"/>
              <w:numPr>
                <w:ilvl w:val="0"/>
                <w:numId w:val="156"/>
              </w:numPr>
              <w:rPr>
                <w:rFonts w:eastAsia="MS Mincho" w:cstheme="minorHAnsi"/>
              </w:rPr>
            </w:pPr>
            <w:r w:rsidRPr="009C559B">
              <w:rPr>
                <w:rFonts w:eastAsia="MS Mincho" w:cstheme="minorHAnsi"/>
              </w:rPr>
              <w:t>Varenicline 1 mg bid for 12 weeks</w:t>
            </w:r>
            <w:r w:rsidR="007823E7">
              <w:rPr>
                <w:rFonts w:eastAsia="MS Mincho" w:cstheme="minorHAnsi"/>
              </w:rPr>
              <w:t>.</w:t>
            </w:r>
          </w:p>
          <w:p w14:paraId="58A45292" w14:textId="361E5711" w:rsidR="00DB181B" w:rsidRPr="00017AE6" w:rsidRDefault="009C559B" w:rsidP="00C324F3">
            <w:pPr>
              <w:pStyle w:val="Tablewriting"/>
              <w:numPr>
                <w:ilvl w:val="0"/>
                <w:numId w:val="156"/>
              </w:numPr>
              <w:rPr>
                <w:rFonts w:eastAsia="MS Mincho" w:cstheme="minorHAnsi"/>
              </w:rPr>
            </w:pPr>
            <w:r w:rsidRPr="009C559B">
              <w:rPr>
                <w:rFonts w:eastAsia="MS Mincho" w:cstheme="minorHAnsi"/>
              </w:rPr>
              <w:t>placebo</w:t>
            </w:r>
          </w:p>
        </w:tc>
        <w:tc>
          <w:tcPr>
            <w:tcW w:w="959" w:type="pct"/>
            <w:shd w:val="clear" w:color="auto" w:fill="F2F2F2" w:themeFill="background1" w:themeFillShade="F2"/>
          </w:tcPr>
          <w:p w14:paraId="4993FB78" w14:textId="0747FADF" w:rsidR="009C559B" w:rsidRPr="009C559B" w:rsidRDefault="007823E7" w:rsidP="00A71365">
            <w:pPr>
              <w:pStyle w:val="Tablewriting"/>
              <w:rPr>
                <w:rFonts w:eastAsia="MS Mincho" w:cstheme="minorHAnsi"/>
              </w:rPr>
            </w:pPr>
            <w:r w:rsidRPr="007823E7">
              <w:rPr>
                <w:rFonts w:eastAsia="MS Mincho" w:cstheme="minorHAnsi"/>
                <w:u w:val="single"/>
              </w:rPr>
              <w:t>Efficacy:</w:t>
            </w:r>
            <w:r>
              <w:rPr>
                <w:rFonts w:eastAsia="MS Mincho" w:cstheme="minorHAnsi"/>
              </w:rPr>
              <w:t xml:space="preserve"> </w:t>
            </w:r>
            <w:r w:rsidR="009C559B" w:rsidRPr="009C559B">
              <w:rPr>
                <w:rFonts w:eastAsia="MS Mincho" w:cstheme="minorHAnsi"/>
              </w:rPr>
              <w:t>Prolonged abstinence at 12 weeks (end of treatment), and at 6</w:t>
            </w:r>
            <w:r>
              <w:rPr>
                <w:rFonts w:eastAsia="MS Mincho" w:cstheme="minorHAnsi"/>
              </w:rPr>
              <w:t xml:space="preserve"> months.</w:t>
            </w:r>
          </w:p>
          <w:p w14:paraId="5F3F4583" w14:textId="77777777" w:rsidR="00DB181B" w:rsidRDefault="007823E7" w:rsidP="00A71365">
            <w:pPr>
              <w:pStyle w:val="Tablewriting"/>
              <w:rPr>
                <w:rFonts w:eastAsia="MS Mincho" w:cstheme="minorHAnsi"/>
              </w:rPr>
            </w:pPr>
            <w:r>
              <w:rPr>
                <w:rFonts w:eastAsia="MS Mincho" w:cstheme="minorHAnsi"/>
              </w:rPr>
              <w:t>(</w:t>
            </w:r>
            <w:r w:rsidR="009C559B" w:rsidRPr="009C559B">
              <w:rPr>
                <w:rFonts w:eastAsia="MS Mincho" w:cstheme="minorHAnsi"/>
              </w:rPr>
              <w:t>Abstinence self-reported, not biochemically confirmed</w:t>
            </w:r>
            <w:r>
              <w:rPr>
                <w:rFonts w:eastAsia="MS Mincho" w:cstheme="minorHAnsi"/>
              </w:rPr>
              <w:t>)</w:t>
            </w:r>
          </w:p>
          <w:p w14:paraId="42CFBDDD" w14:textId="77777777" w:rsidR="001B56DB" w:rsidRDefault="001B56DB" w:rsidP="00A71365">
            <w:pPr>
              <w:pStyle w:val="Tablewriting"/>
              <w:rPr>
                <w:rFonts w:eastAsia="MS Mincho" w:cstheme="minorHAnsi"/>
              </w:rPr>
            </w:pPr>
          </w:p>
          <w:p w14:paraId="33009F07" w14:textId="78AEEE03" w:rsidR="00DB181B" w:rsidRPr="00017AE6" w:rsidRDefault="001B56DB" w:rsidP="00A71365">
            <w:pPr>
              <w:pStyle w:val="Tablewriting"/>
              <w:rPr>
                <w:rFonts w:eastAsia="MS Mincho" w:cstheme="minorHAnsi"/>
              </w:rPr>
            </w:pPr>
            <w:r w:rsidRPr="001B56DB">
              <w:rPr>
                <w:rFonts w:eastAsia="MS Mincho" w:cstheme="minorHAnsi"/>
                <w:u w:val="single"/>
              </w:rPr>
              <w:t>Safety:</w:t>
            </w:r>
            <w:r>
              <w:rPr>
                <w:rFonts w:eastAsia="MS Mincho" w:cstheme="minorHAnsi"/>
                <w:u w:val="single"/>
              </w:rPr>
              <w:t xml:space="preserve"> </w:t>
            </w:r>
            <w:r w:rsidRPr="001B56DB">
              <w:rPr>
                <w:rFonts w:eastAsia="MS Mincho" w:cstheme="minorHAnsi"/>
              </w:rPr>
              <w:t>NR</w:t>
            </w:r>
          </w:p>
        </w:tc>
      </w:tr>
      <w:tr w:rsidR="003D3459" w:rsidRPr="00017AE6" w14:paraId="02BAE701" w14:textId="77777777" w:rsidTr="005821B1">
        <w:trPr>
          <w:trHeight w:val="99"/>
        </w:trPr>
        <w:tc>
          <w:tcPr>
            <w:tcW w:w="761" w:type="pct"/>
            <w:shd w:val="clear" w:color="auto" w:fill="F2F2F2" w:themeFill="background1" w:themeFillShade="F2"/>
          </w:tcPr>
          <w:p w14:paraId="049DC69A" w14:textId="4D483A5D" w:rsidR="00DB181B" w:rsidRPr="00896B73" w:rsidRDefault="00DB181B" w:rsidP="00A71365">
            <w:pPr>
              <w:pStyle w:val="Tablewriting"/>
              <w:rPr>
                <w:rFonts w:eastAsia="MS Mincho" w:cstheme="minorHAnsi"/>
              </w:rPr>
            </w:pPr>
            <w:r w:rsidRPr="007C509A">
              <w:rPr>
                <w:rFonts w:eastAsia="MS Mincho" w:cstheme="minorHAnsi"/>
              </w:rPr>
              <w:t xml:space="preserve">Williams </w:t>
            </w:r>
            <w:r w:rsidR="001B56DB">
              <w:rPr>
                <w:rFonts w:eastAsia="MS Mincho" w:cstheme="minorHAnsi"/>
              </w:rPr>
              <w:t>(</w:t>
            </w:r>
            <w:r w:rsidRPr="007C509A">
              <w:rPr>
                <w:rFonts w:eastAsia="MS Mincho" w:cstheme="minorHAnsi"/>
              </w:rPr>
              <w:t>2012</w:t>
            </w:r>
            <w:r w:rsidR="001B56DB">
              <w:rPr>
                <w:rFonts w:eastAsia="MS Mincho" w:cstheme="minorHAnsi"/>
              </w:rPr>
              <w:t>)</w:t>
            </w:r>
          </w:p>
        </w:tc>
        <w:tc>
          <w:tcPr>
            <w:tcW w:w="235" w:type="pct"/>
            <w:shd w:val="clear" w:color="auto" w:fill="F2F2F2" w:themeFill="background1" w:themeFillShade="F2"/>
          </w:tcPr>
          <w:p w14:paraId="33D8ADC8" w14:textId="17412044" w:rsidR="00DB181B" w:rsidRPr="00017AE6" w:rsidRDefault="00DB181B" w:rsidP="00A71365">
            <w:pPr>
              <w:pStyle w:val="Tablewriting"/>
              <w:rPr>
                <w:rFonts w:eastAsia="MS Mincho" w:cstheme="minorHAnsi"/>
              </w:rPr>
            </w:pPr>
            <w:r w:rsidRPr="00962325">
              <w:rPr>
                <w:rFonts w:eastAsia="MS Mincho" w:cstheme="minorHAnsi"/>
              </w:rPr>
              <w:t>RCT</w:t>
            </w:r>
          </w:p>
        </w:tc>
        <w:tc>
          <w:tcPr>
            <w:tcW w:w="462" w:type="pct"/>
            <w:shd w:val="clear" w:color="auto" w:fill="F2F2F2" w:themeFill="background1" w:themeFillShade="F2"/>
          </w:tcPr>
          <w:p w14:paraId="1A8F8F1A" w14:textId="0F519E56" w:rsidR="00DB181B" w:rsidRPr="00017AE6" w:rsidRDefault="0011396C" w:rsidP="00A71365">
            <w:pPr>
              <w:pStyle w:val="Tablewriting"/>
              <w:rPr>
                <w:rFonts w:eastAsia="MS Mincho" w:cstheme="minorHAnsi"/>
              </w:rPr>
            </w:pPr>
            <w:r w:rsidRPr="0011396C">
              <w:rPr>
                <w:rFonts w:eastAsia="MS Mincho" w:cstheme="minorHAnsi"/>
              </w:rPr>
              <w:t>Canada, USA</w:t>
            </w:r>
          </w:p>
        </w:tc>
        <w:tc>
          <w:tcPr>
            <w:tcW w:w="679" w:type="pct"/>
            <w:shd w:val="clear" w:color="auto" w:fill="F2F2F2" w:themeFill="background1" w:themeFillShade="F2"/>
          </w:tcPr>
          <w:p w14:paraId="107189D4" w14:textId="482FB254" w:rsidR="00DB181B" w:rsidRPr="00017AE6" w:rsidRDefault="00841199" w:rsidP="00A71365">
            <w:pPr>
              <w:pStyle w:val="Tablewriting"/>
              <w:rPr>
                <w:rFonts w:eastAsia="MS Mincho" w:cstheme="minorHAnsi"/>
              </w:rPr>
            </w:pPr>
            <w:r>
              <w:rPr>
                <w:rFonts w:eastAsia="MS Mincho" w:cstheme="minorHAnsi"/>
              </w:rPr>
              <w:t>N=</w:t>
            </w:r>
            <w:r w:rsidRPr="0011396C">
              <w:rPr>
                <w:rFonts w:eastAsia="MS Mincho" w:cstheme="minorHAnsi"/>
              </w:rPr>
              <w:t>128</w:t>
            </w:r>
            <w:r w:rsidR="00AC6235">
              <w:rPr>
                <w:rFonts w:eastAsia="MS Mincho" w:cstheme="minorHAnsi"/>
              </w:rPr>
              <w:t>; n=85 (</w:t>
            </w:r>
            <w:r w:rsidR="00AC6235" w:rsidRPr="0011396C">
              <w:rPr>
                <w:rFonts w:eastAsia="MS Mincho" w:cstheme="minorHAnsi"/>
              </w:rPr>
              <w:t>varenicline</w:t>
            </w:r>
            <w:r w:rsidR="00AC6235">
              <w:rPr>
                <w:rFonts w:eastAsia="MS Mincho" w:cstheme="minorHAnsi"/>
              </w:rPr>
              <w:t>), n=43 (</w:t>
            </w:r>
            <w:r w:rsidR="00AC6235" w:rsidRPr="0011396C">
              <w:rPr>
                <w:rFonts w:eastAsia="MS Mincho" w:cstheme="minorHAnsi"/>
              </w:rPr>
              <w:t>placebo).</w:t>
            </w:r>
          </w:p>
        </w:tc>
        <w:tc>
          <w:tcPr>
            <w:tcW w:w="851" w:type="pct"/>
            <w:shd w:val="clear" w:color="auto" w:fill="F2F2F2" w:themeFill="background1" w:themeFillShade="F2"/>
          </w:tcPr>
          <w:p w14:paraId="38A497D7" w14:textId="796A5A4C" w:rsidR="0011396C" w:rsidRPr="0011396C" w:rsidRDefault="00841199" w:rsidP="00A71365">
            <w:pPr>
              <w:pStyle w:val="Tablewriting"/>
              <w:rPr>
                <w:rFonts w:eastAsia="MS Mincho" w:cstheme="minorHAnsi"/>
              </w:rPr>
            </w:pPr>
            <w:r>
              <w:rPr>
                <w:rFonts w:eastAsia="MS Mincho" w:cstheme="minorHAnsi"/>
              </w:rPr>
              <w:t>A</w:t>
            </w:r>
            <w:r w:rsidR="0011396C" w:rsidRPr="0011396C">
              <w:rPr>
                <w:rFonts w:eastAsia="MS Mincho" w:cstheme="minorHAnsi"/>
              </w:rPr>
              <w:t>dults, diagnosed with stable schizophrenia or</w:t>
            </w:r>
            <w:r>
              <w:rPr>
                <w:rFonts w:eastAsia="MS Mincho" w:cstheme="minorHAnsi"/>
              </w:rPr>
              <w:t xml:space="preserve"> </w:t>
            </w:r>
            <w:r w:rsidR="0011396C" w:rsidRPr="0011396C">
              <w:rPr>
                <w:rFonts w:eastAsia="MS Mincho" w:cstheme="minorHAnsi"/>
              </w:rPr>
              <w:t>schizoaffective disorders, smoking at least 15 CPD</w:t>
            </w:r>
          </w:p>
          <w:p w14:paraId="6EC13206" w14:textId="26911551" w:rsidR="00DB181B" w:rsidRPr="00017AE6" w:rsidRDefault="0011396C" w:rsidP="00A71365">
            <w:pPr>
              <w:pStyle w:val="Tablewriting"/>
              <w:rPr>
                <w:rFonts w:eastAsia="MS Mincho" w:cstheme="minorHAnsi"/>
              </w:rPr>
            </w:pPr>
            <w:r w:rsidRPr="0011396C">
              <w:rPr>
                <w:rFonts w:eastAsia="MS Mincho" w:cstheme="minorHAnsi"/>
              </w:rPr>
              <w:t xml:space="preserve">and motivated to quit. 77% men aged 18 </w:t>
            </w:r>
            <w:r w:rsidR="00AC6235">
              <w:rPr>
                <w:rFonts w:eastAsia="MS Mincho" w:cstheme="minorHAnsi"/>
              </w:rPr>
              <w:t>–</w:t>
            </w:r>
            <w:r w:rsidRPr="0011396C">
              <w:rPr>
                <w:rFonts w:eastAsia="MS Mincho" w:cstheme="minorHAnsi"/>
              </w:rPr>
              <w:t xml:space="preserve"> 75</w:t>
            </w:r>
            <w:r w:rsidR="00AC6235">
              <w:rPr>
                <w:rFonts w:eastAsia="MS Mincho" w:cstheme="minorHAnsi"/>
              </w:rPr>
              <w:t xml:space="preserve"> years.</w:t>
            </w:r>
          </w:p>
        </w:tc>
        <w:tc>
          <w:tcPr>
            <w:tcW w:w="1054" w:type="pct"/>
            <w:shd w:val="clear" w:color="auto" w:fill="F2F2F2" w:themeFill="background1" w:themeFillShade="F2"/>
          </w:tcPr>
          <w:p w14:paraId="396064BB" w14:textId="77777777" w:rsidR="007823E7" w:rsidRDefault="00C213DB" w:rsidP="00C324F3">
            <w:pPr>
              <w:pStyle w:val="Tablewriting"/>
              <w:numPr>
                <w:ilvl w:val="0"/>
                <w:numId w:val="157"/>
              </w:numPr>
              <w:rPr>
                <w:rFonts w:eastAsia="MS Mincho" w:cstheme="minorHAnsi"/>
              </w:rPr>
            </w:pPr>
            <w:r w:rsidRPr="00C213DB">
              <w:rPr>
                <w:rFonts w:eastAsia="MS Mincho" w:cstheme="minorHAnsi"/>
              </w:rPr>
              <w:t>Varenicline 1.0 mg x 2/d for 12 w</w:t>
            </w:r>
            <w:r w:rsidR="007823E7">
              <w:rPr>
                <w:rFonts w:eastAsia="MS Mincho" w:cstheme="minorHAnsi"/>
              </w:rPr>
              <w:t>ee</w:t>
            </w:r>
            <w:r w:rsidRPr="00C213DB">
              <w:rPr>
                <w:rFonts w:eastAsia="MS Mincho" w:cstheme="minorHAnsi"/>
              </w:rPr>
              <w:t>ks, including w</w:t>
            </w:r>
            <w:r w:rsidR="007823E7">
              <w:rPr>
                <w:rFonts w:eastAsia="MS Mincho" w:cstheme="minorHAnsi"/>
              </w:rPr>
              <w:t>ee</w:t>
            </w:r>
            <w:r w:rsidRPr="00C213DB">
              <w:rPr>
                <w:rFonts w:eastAsia="MS Mincho" w:cstheme="minorHAnsi"/>
              </w:rPr>
              <w:t>k 1 at titrated dose</w:t>
            </w:r>
            <w:r w:rsidR="007823E7">
              <w:rPr>
                <w:rFonts w:eastAsia="MS Mincho" w:cstheme="minorHAnsi"/>
              </w:rPr>
              <w:t>.</w:t>
            </w:r>
          </w:p>
          <w:p w14:paraId="006DEAC9" w14:textId="3865EDCB" w:rsidR="00DB181B" w:rsidRDefault="00C213DB" w:rsidP="00C324F3">
            <w:pPr>
              <w:pStyle w:val="Tablewriting"/>
              <w:numPr>
                <w:ilvl w:val="0"/>
                <w:numId w:val="157"/>
              </w:numPr>
              <w:rPr>
                <w:rFonts w:eastAsia="MS Mincho" w:cstheme="minorHAnsi"/>
              </w:rPr>
            </w:pPr>
            <w:r w:rsidRPr="00C213DB">
              <w:rPr>
                <w:rFonts w:eastAsia="MS Mincho" w:cstheme="minorHAnsi"/>
              </w:rPr>
              <w:t>Placebo tablets as above.</w:t>
            </w:r>
          </w:p>
          <w:p w14:paraId="63AD030E" w14:textId="77777777" w:rsidR="00C213DB" w:rsidRDefault="00C213DB" w:rsidP="00A71365">
            <w:pPr>
              <w:pStyle w:val="Tablewriting"/>
              <w:rPr>
                <w:rFonts w:eastAsia="MS Mincho" w:cstheme="minorHAnsi"/>
              </w:rPr>
            </w:pPr>
          </w:p>
          <w:p w14:paraId="71A12285" w14:textId="0627249D" w:rsidR="00AC6235" w:rsidRDefault="00F974BF" w:rsidP="00A71365">
            <w:pPr>
              <w:pStyle w:val="Tablewriting"/>
              <w:rPr>
                <w:rFonts w:eastAsia="MS Mincho" w:cstheme="minorHAnsi"/>
              </w:rPr>
            </w:pPr>
            <w:r w:rsidRPr="06BFFAED">
              <w:rPr>
                <w:rFonts w:eastAsia="MS Mincho" w:cstheme="minorBidi"/>
                <w:u w:val="single"/>
              </w:rPr>
              <w:t>Common components:</w:t>
            </w:r>
            <w:r>
              <w:rPr>
                <w:rFonts w:eastAsia="MS Mincho" w:cstheme="minorBidi"/>
                <w:u w:val="single"/>
              </w:rPr>
              <w:t xml:space="preserve"> </w:t>
            </w:r>
            <w:r w:rsidR="00C213DB" w:rsidRPr="00C213DB">
              <w:rPr>
                <w:rFonts w:eastAsia="MS Mincho" w:cstheme="minorHAnsi"/>
              </w:rPr>
              <w:t xml:space="preserve">Weekly clinic visits, for safety and efficacy, </w:t>
            </w:r>
            <w:r w:rsidR="007823E7" w:rsidRPr="004E2D82">
              <w:rPr>
                <w:rFonts w:eastAsia="MS Mincho"/>
              </w:rPr>
              <w:t>≤</w:t>
            </w:r>
            <w:r w:rsidR="00C213DB" w:rsidRPr="00C213DB">
              <w:rPr>
                <w:rFonts w:eastAsia="MS Mincho" w:cstheme="minorHAnsi"/>
              </w:rPr>
              <w:t xml:space="preserve"> 30-min counselling sessions after treatment phase, clinic</w:t>
            </w:r>
            <w:r w:rsidR="00C213DB">
              <w:rPr>
                <w:rFonts w:eastAsia="MS Mincho" w:cstheme="minorHAnsi"/>
              </w:rPr>
              <w:t xml:space="preserve"> </w:t>
            </w:r>
            <w:r w:rsidR="00C213DB" w:rsidRPr="00C213DB">
              <w:rPr>
                <w:rFonts w:eastAsia="MS Mincho" w:cstheme="minorHAnsi"/>
              </w:rPr>
              <w:t>visits at w</w:t>
            </w:r>
            <w:r w:rsidR="00AC6235">
              <w:rPr>
                <w:rFonts w:eastAsia="MS Mincho" w:cstheme="minorHAnsi"/>
              </w:rPr>
              <w:t>ee</w:t>
            </w:r>
            <w:r w:rsidR="00C213DB" w:rsidRPr="00C213DB">
              <w:rPr>
                <w:rFonts w:eastAsia="MS Mincho" w:cstheme="minorHAnsi"/>
              </w:rPr>
              <w:t>ks 13, 16, 20, 24, with brief phone calls at w</w:t>
            </w:r>
            <w:r w:rsidR="00AC6235">
              <w:rPr>
                <w:rFonts w:eastAsia="MS Mincho" w:cstheme="minorHAnsi"/>
              </w:rPr>
              <w:t>ee</w:t>
            </w:r>
            <w:r w:rsidR="00C213DB" w:rsidRPr="00C213DB">
              <w:rPr>
                <w:rFonts w:eastAsia="MS Mincho" w:cstheme="minorHAnsi"/>
              </w:rPr>
              <w:t xml:space="preserve">ks 14, 18 and 22. </w:t>
            </w:r>
          </w:p>
          <w:p w14:paraId="625FA6C9" w14:textId="77777777" w:rsidR="00AC6235" w:rsidRDefault="00AC6235" w:rsidP="00A71365">
            <w:pPr>
              <w:pStyle w:val="Tablewriting"/>
              <w:rPr>
                <w:rFonts w:eastAsia="MS Mincho" w:cstheme="minorHAnsi"/>
              </w:rPr>
            </w:pPr>
          </w:p>
          <w:p w14:paraId="04A9103C" w14:textId="748374C3" w:rsidR="00C213DB" w:rsidRPr="00017AE6" w:rsidRDefault="00C213DB" w:rsidP="00A71365">
            <w:pPr>
              <w:pStyle w:val="Tablewriting"/>
              <w:rPr>
                <w:rFonts w:eastAsia="MS Mincho" w:cstheme="minorHAnsi"/>
              </w:rPr>
            </w:pPr>
            <w:r w:rsidRPr="00C213DB">
              <w:rPr>
                <w:rFonts w:eastAsia="MS Mincho" w:cstheme="minorHAnsi"/>
              </w:rPr>
              <w:t>Follow-up sessions included brief</w:t>
            </w:r>
            <w:r>
              <w:rPr>
                <w:rFonts w:eastAsia="MS Mincho" w:cstheme="minorHAnsi"/>
              </w:rPr>
              <w:t xml:space="preserve"> </w:t>
            </w:r>
            <w:r w:rsidRPr="00C213DB">
              <w:rPr>
                <w:rFonts w:eastAsia="MS Mincho" w:cstheme="minorHAnsi"/>
              </w:rPr>
              <w:t>(</w:t>
            </w:r>
            <w:r w:rsidR="00AC6235" w:rsidRPr="00AC6235">
              <w:rPr>
                <w:rFonts w:eastAsia="MS Mincho" w:cstheme="minorHAnsi"/>
              </w:rPr>
              <w:t>≤</w:t>
            </w:r>
            <w:r w:rsidRPr="00C213DB">
              <w:rPr>
                <w:rFonts w:eastAsia="MS Mincho" w:cstheme="minorHAnsi"/>
              </w:rPr>
              <w:t xml:space="preserve"> 10 mins) counselling. AEs collected to 30 days after treatment, and neuropsychiatric AEs to w</w:t>
            </w:r>
            <w:r w:rsidR="00AC6235">
              <w:rPr>
                <w:rFonts w:eastAsia="MS Mincho" w:cstheme="minorHAnsi"/>
              </w:rPr>
              <w:t>ee</w:t>
            </w:r>
            <w:r w:rsidRPr="00C213DB">
              <w:rPr>
                <w:rFonts w:eastAsia="MS Mincho" w:cstheme="minorHAnsi"/>
              </w:rPr>
              <w:t>k 24</w:t>
            </w:r>
            <w:r w:rsidR="00AC6235">
              <w:rPr>
                <w:rFonts w:eastAsia="MS Mincho" w:cstheme="minorHAnsi"/>
              </w:rPr>
              <w:t>.</w:t>
            </w:r>
          </w:p>
        </w:tc>
        <w:tc>
          <w:tcPr>
            <w:tcW w:w="959" w:type="pct"/>
            <w:shd w:val="clear" w:color="auto" w:fill="F2F2F2" w:themeFill="background1" w:themeFillShade="F2"/>
          </w:tcPr>
          <w:p w14:paraId="4172A926" w14:textId="77777777" w:rsidR="00AC6235" w:rsidRPr="00AC6235" w:rsidRDefault="00AC6235" w:rsidP="00A71365">
            <w:pPr>
              <w:pStyle w:val="Tablewriting"/>
              <w:rPr>
                <w:rFonts w:eastAsia="MS Mincho" w:cstheme="minorHAnsi"/>
                <w:u w:val="single"/>
              </w:rPr>
            </w:pPr>
            <w:r w:rsidRPr="00AC6235">
              <w:rPr>
                <w:rFonts w:eastAsia="MS Mincho" w:cstheme="minorHAnsi"/>
                <w:u w:val="single"/>
              </w:rPr>
              <w:t>Efficacy:</w:t>
            </w:r>
          </w:p>
          <w:p w14:paraId="11B5DF9F" w14:textId="3A681061" w:rsidR="00825F80" w:rsidRPr="00825F80" w:rsidRDefault="00825F80" w:rsidP="00A71365">
            <w:pPr>
              <w:pStyle w:val="Tablewriting"/>
              <w:rPr>
                <w:rFonts w:eastAsia="MS Mincho" w:cstheme="minorHAnsi"/>
              </w:rPr>
            </w:pPr>
            <w:r w:rsidRPr="00825F80">
              <w:rPr>
                <w:rFonts w:eastAsia="MS Mincho" w:cstheme="minorHAnsi"/>
              </w:rPr>
              <w:t>Secondary outcomes: CO-confirmed PPA at w</w:t>
            </w:r>
            <w:r w:rsidR="00AC6235">
              <w:rPr>
                <w:rFonts w:eastAsia="MS Mincho" w:cstheme="minorHAnsi"/>
              </w:rPr>
              <w:t>ee</w:t>
            </w:r>
            <w:r w:rsidRPr="00825F80">
              <w:rPr>
                <w:rFonts w:eastAsia="MS Mincho" w:cstheme="minorHAnsi"/>
              </w:rPr>
              <w:t>ks 12 and 24</w:t>
            </w:r>
            <w:r w:rsidR="00DE4F84">
              <w:rPr>
                <w:rFonts w:eastAsia="MS Mincho" w:cstheme="minorHAnsi"/>
              </w:rPr>
              <w:t>,</w:t>
            </w:r>
            <w:r w:rsidRPr="00825F80">
              <w:rPr>
                <w:rFonts w:eastAsia="MS Mincho" w:cstheme="minorHAnsi"/>
              </w:rPr>
              <w:t xml:space="preserve"> 50%+ reduction in CPD</w:t>
            </w:r>
            <w:r w:rsidR="00DE4F84">
              <w:rPr>
                <w:rFonts w:eastAsia="MS Mincho" w:cstheme="minorHAnsi"/>
              </w:rPr>
              <w:t>,</w:t>
            </w:r>
            <w:r w:rsidR="00836B64">
              <w:rPr>
                <w:rFonts w:eastAsia="MS Mincho" w:cstheme="minorHAnsi"/>
              </w:rPr>
              <w:t xml:space="preserve"> change in CPD from </w:t>
            </w:r>
            <w:r w:rsidRPr="00825F80">
              <w:rPr>
                <w:rFonts w:eastAsia="MS Mincho" w:cstheme="minorHAnsi"/>
              </w:rPr>
              <w:t xml:space="preserve">baseline. </w:t>
            </w:r>
          </w:p>
          <w:p w14:paraId="4D5E95DB" w14:textId="295763B9" w:rsidR="00825F80" w:rsidRDefault="00825F80" w:rsidP="00A71365">
            <w:pPr>
              <w:pStyle w:val="Tablewriting"/>
              <w:rPr>
                <w:rFonts w:eastAsia="MS Mincho" w:cstheme="minorHAnsi"/>
              </w:rPr>
            </w:pPr>
            <w:r w:rsidRPr="00825F80">
              <w:rPr>
                <w:rFonts w:eastAsia="MS Mincho" w:cstheme="minorHAnsi"/>
              </w:rPr>
              <w:t xml:space="preserve">Validation was by exhaled CO </w:t>
            </w:r>
            <w:r w:rsidR="00F875B7" w:rsidRPr="004E2D82">
              <w:rPr>
                <w:rFonts w:eastAsia="MS Mincho"/>
              </w:rPr>
              <w:t>≤</w:t>
            </w:r>
            <w:r w:rsidR="00F875B7" w:rsidRPr="00825F80">
              <w:rPr>
                <w:rFonts w:eastAsia="MS Mincho" w:cstheme="minorHAnsi"/>
              </w:rPr>
              <w:t xml:space="preserve"> </w:t>
            </w:r>
            <w:r w:rsidRPr="00825F80">
              <w:rPr>
                <w:rFonts w:eastAsia="MS Mincho" w:cstheme="minorHAnsi"/>
              </w:rPr>
              <w:t>10 ppm</w:t>
            </w:r>
          </w:p>
          <w:p w14:paraId="034D34B8" w14:textId="77777777" w:rsidR="00F875B7" w:rsidRDefault="00F875B7" w:rsidP="00A71365">
            <w:pPr>
              <w:pStyle w:val="Tablewriting"/>
              <w:rPr>
                <w:rFonts w:eastAsia="MS Mincho" w:cstheme="minorHAnsi"/>
              </w:rPr>
            </w:pPr>
          </w:p>
          <w:p w14:paraId="2F1D2444" w14:textId="0A84FAB7" w:rsidR="00DE4F84" w:rsidRDefault="00F875B7" w:rsidP="00A71365">
            <w:pPr>
              <w:pStyle w:val="Tablewriting"/>
              <w:rPr>
                <w:rFonts w:eastAsia="MS Mincho" w:cstheme="minorHAnsi"/>
              </w:rPr>
            </w:pPr>
            <w:r w:rsidRPr="00DE4F84">
              <w:rPr>
                <w:rFonts w:eastAsia="MS Mincho" w:cstheme="minorHAnsi"/>
                <w:u w:val="single"/>
              </w:rPr>
              <w:t>Safety:</w:t>
            </w:r>
            <w:r w:rsidR="00DE4F84">
              <w:rPr>
                <w:rFonts w:eastAsia="MS Mincho" w:cstheme="minorHAnsi"/>
              </w:rPr>
              <w:t xml:space="preserve"> </w:t>
            </w:r>
            <w:r w:rsidR="00DE4F84" w:rsidRPr="00C213DB">
              <w:rPr>
                <w:rFonts w:eastAsia="MS Mincho" w:cstheme="minorHAnsi"/>
              </w:rPr>
              <w:t xml:space="preserve">Primary outcome: N of participants with adverse and serious adverse </w:t>
            </w:r>
            <w:r w:rsidR="00836B64">
              <w:rPr>
                <w:rFonts w:eastAsia="MS Mincho" w:cstheme="minorHAnsi"/>
              </w:rPr>
              <w:t xml:space="preserve">events from baseline to 30 days </w:t>
            </w:r>
            <w:r w:rsidR="00DE4F84" w:rsidRPr="00C213DB">
              <w:rPr>
                <w:rFonts w:eastAsia="MS Mincho" w:cstheme="minorHAnsi"/>
              </w:rPr>
              <w:t>after end of treatment (12 w</w:t>
            </w:r>
            <w:r w:rsidR="00DE4F84">
              <w:rPr>
                <w:rFonts w:eastAsia="MS Mincho" w:cstheme="minorHAnsi"/>
              </w:rPr>
              <w:t>ee</w:t>
            </w:r>
            <w:r w:rsidR="00DE4F84" w:rsidRPr="00C213DB">
              <w:rPr>
                <w:rFonts w:eastAsia="MS Mincho" w:cstheme="minorHAnsi"/>
              </w:rPr>
              <w:t>ks). N of participants with psychiatric adv</w:t>
            </w:r>
            <w:r w:rsidR="00836B64">
              <w:rPr>
                <w:rFonts w:eastAsia="MS Mincho" w:cstheme="minorHAnsi"/>
              </w:rPr>
              <w:t xml:space="preserve">erse events, including suicidal </w:t>
            </w:r>
            <w:r w:rsidR="00DE4F84" w:rsidRPr="00C213DB">
              <w:rPr>
                <w:rFonts w:eastAsia="MS Mincho" w:cstheme="minorHAnsi"/>
              </w:rPr>
              <w:t>ideation or behaviour</w:t>
            </w:r>
            <w:r w:rsidR="00DE4F84">
              <w:rPr>
                <w:rFonts w:eastAsia="MS Mincho" w:cstheme="minorHAnsi"/>
              </w:rPr>
              <w:t>.</w:t>
            </w:r>
          </w:p>
          <w:p w14:paraId="0C050645" w14:textId="77777777" w:rsidR="00DE4F84" w:rsidRDefault="00DE4F84" w:rsidP="00A71365">
            <w:pPr>
              <w:pStyle w:val="Tablewriting"/>
              <w:rPr>
                <w:rFonts w:eastAsia="MS Mincho" w:cstheme="minorHAnsi"/>
              </w:rPr>
            </w:pPr>
          </w:p>
          <w:p w14:paraId="64E0919B" w14:textId="37CE3612" w:rsidR="00F875B7" w:rsidRPr="00017AE6" w:rsidRDefault="00F875B7" w:rsidP="00A71365">
            <w:pPr>
              <w:pStyle w:val="Tablewriting"/>
              <w:rPr>
                <w:rFonts w:eastAsia="MS Mincho" w:cstheme="minorHAnsi"/>
              </w:rPr>
            </w:pPr>
          </w:p>
        </w:tc>
      </w:tr>
    </w:tbl>
    <w:p w14:paraId="23149408" w14:textId="77777777" w:rsidR="00F4151C" w:rsidRPr="00EA7016" w:rsidRDefault="00F4151C" w:rsidP="005821B1">
      <w:pPr>
        <w:pStyle w:val="TableFooter"/>
        <w:keepNext/>
        <w:jc w:val="both"/>
        <w:rPr>
          <w:sz w:val="19"/>
          <w:szCs w:val="19"/>
        </w:rPr>
      </w:pPr>
      <w:r w:rsidRPr="00EA7016">
        <w:rPr>
          <w:sz w:val="19"/>
          <w:szCs w:val="19"/>
        </w:rPr>
        <w:t>Source: Cahill et al. (2016)</w:t>
      </w:r>
    </w:p>
    <w:p w14:paraId="5495352A" w14:textId="030A3FB5" w:rsidR="00A26796" w:rsidRPr="00EA7016" w:rsidRDefault="00A26796" w:rsidP="005821B1">
      <w:pPr>
        <w:pStyle w:val="TableFooter"/>
        <w:keepNext/>
        <w:jc w:val="both"/>
        <w:rPr>
          <w:sz w:val="19"/>
          <w:szCs w:val="19"/>
        </w:rPr>
      </w:pPr>
      <w:r w:rsidRPr="00EA7016">
        <w:rPr>
          <w:sz w:val="19"/>
          <w:szCs w:val="19"/>
          <w:shd w:val="clear" w:color="auto" w:fill="F2F2F2" w:themeFill="background1" w:themeFillShade="F2"/>
        </w:rPr>
        <w:t>Shaded</w:t>
      </w:r>
      <w:r w:rsidRPr="00EA7016">
        <w:rPr>
          <w:sz w:val="19"/>
          <w:szCs w:val="19"/>
        </w:rPr>
        <w:t>= excluded studies</w:t>
      </w:r>
      <w:r w:rsidR="005E4995" w:rsidRPr="00EA7016">
        <w:rPr>
          <w:sz w:val="19"/>
          <w:szCs w:val="19"/>
        </w:rPr>
        <w:t>.</w:t>
      </w:r>
    </w:p>
    <w:p w14:paraId="653D6F53" w14:textId="08B93E32" w:rsidR="00B567C0" w:rsidRPr="00EA7016" w:rsidRDefault="00F4151C" w:rsidP="005821B1">
      <w:pPr>
        <w:pStyle w:val="TableFooter"/>
        <w:keepNext/>
        <w:spacing w:after="120"/>
        <w:contextualSpacing w:val="0"/>
        <w:jc w:val="both"/>
        <w:rPr>
          <w:rFonts w:eastAsia="MS Mincho" w:cstheme="minorHAnsi"/>
          <w:sz w:val="19"/>
          <w:szCs w:val="19"/>
        </w:rPr>
      </w:pPr>
      <w:r w:rsidRPr="00EA7016">
        <w:rPr>
          <w:sz w:val="19"/>
          <w:szCs w:val="19"/>
        </w:rPr>
        <w:t xml:space="preserve">Abbreviations: NR= not reported; PPA= point prevalence smoking abstinence; CA= continuous abstinence; RCT= randomised controlled trial; N= total participants; TQD= target quit date; ITT= intention to treat; LoS= </w:t>
      </w:r>
      <w:r w:rsidR="009C7676" w:rsidRPr="00EA7016">
        <w:rPr>
          <w:sz w:val="19"/>
          <w:szCs w:val="19"/>
        </w:rPr>
        <w:t>length of stay</w:t>
      </w:r>
      <w:r w:rsidRPr="00EA7016">
        <w:rPr>
          <w:sz w:val="19"/>
          <w:szCs w:val="19"/>
        </w:rPr>
        <w:t xml:space="preserve">; CO= carbon monoxide; ppm= part per million; EoT= end of treatment; </w:t>
      </w:r>
      <w:r w:rsidR="00A4711F" w:rsidRPr="00EA7016">
        <w:rPr>
          <w:sz w:val="19"/>
          <w:szCs w:val="19"/>
        </w:rPr>
        <w:t xml:space="preserve">QSU-brief= Questionnaire of Smoking Urges; </w:t>
      </w:r>
      <w:r w:rsidR="00470A5E" w:rsidRPr="00EA7016">
        <w:rPr>
          <w:sz w:val="19"/>
          <w:szCs w:val="19"/>
        </w:rPr>
        <w:t>mCEQ = modified Cigarette Evaluation Questionnaire; MNWS = Minnesota Tobacco Withdrawal Scale</w:t>
      </w:r>
      <w:r w:rsidR="00031247" w:rsidRPr="00EA7016">
        <w:rPr>
          <w:sz w:val="19"/>
          <w:szCs w:val="19"/>
        </w:rPr>
        <w:t xml:space="preserve">; </w:t>
      </w:r>
      <w:r w:rsidRPr="00EA7016">
        <w:rPr>
          <w:sz w:val="19"/>
          <w:szCs w:val="19"/>
        </w:rPr>
        <w:t xml:space="preserve">FTND= </w:t>
      </w:r>
      <w:r w:rsidR="004664D2" w:rsidRPr="00EA7016">
        <w:rPr>
          <w:sz w:val="19"/>
          <w:szCs w:val="19"/>
        </w:rPr>
        <w:t>Fagerstrӧm</w:t>
      </w:r>
      <w:r w:rsidRPr="00EA7016">
        <w:rPr>
          <w:sz w:val="19"/>
          <w:szCs w:val="19"/>
        </w:rPr>
        <w:t xml:space="preserve"> test for nicotine dependence; CBT= cognitive behavioural therapy; MDD= major depressive disorder; MI= myocardial infarction; COPD= chronic obstructive pulmonary disease; SR= sustained release; AEs= adverse events; SAEs= serious adverse events.</w:t>
      </w:r>
    </w:p>
    <w:p w14:paraId="76927B13" w14:textId="4D440F24" w:rsidR="00EA7016" w:rsidRDefault="00EA7016">
      <w:pPr>
        <w:spacing w:line="276" w:lineRule="auto"/>
        <w:rPr>
          <w:rFonts w:asciiTheme="minorHAnsi" w:eastAsia="Times New Roman" w:hAnsiTheme="minorHAnsi" w:cs="Times New Roman"/>
          <w:b/>
          <w:bCs/>
          <w:szCs w:val="18"/>
        </w:rPr>
      </w:pPr>
      <w:bookmarkStart w:id="331" w:name="_Ref54099834"/>
      <w:r>
        <w:br w:type="page"/>
      </w:r>
    </w:p>
    <w:p w14:paraId="5142F284" w14:textId="215B4626" w:rsidR="00B567C0" w:rsidRDefault="00B567C0" w:rsidP="005821B1">
      <w:pPr>
        <w:pStyle w:val="Caption"/>
        <w:keepNext/>
        <w:spacing w:before="0" w:after="120"/>
        <w:jc w:val="both"/>
      </w:pPr>
      <w:r>
        <w:lastRenderedPageBreak/>
        <w:t xml:space="preserve">Table </w:t>
      </w:r>
      <w:r>
        <w:fldChar w:fldCharType="begin"/>
      </w:r>
      <w:r>
        <w:instrText>SEQ Table \* ARABIC</w:instrText>
      </w:r>
      <w:r>
        <w:fldChar w:fldCharType="separate"/>
      </w:r>
      <w:r w:rsidR="00EC5CC7">
        <w:rPr>
          <w:noProof/>
        </w:rPr>
        <w:t>147</w:t>
      </w:r>
      <w:r>
        <w:fldChar w:fldCharType="end"/>
      </w:r>
      <w:bookmarkEnd w:id="331"/>
      <w:r>
        <w:t xml:space="preserve">: </w:t>
      </w:r>
      <w:r w:rsidRPr="00AD6D3A">
        <w:t xml:space="preserve">Characteristics of studies included in </w:t>
      </w:r>
      <w:r>
        <w:t>Howes</w:t>
      </w:r>
      <w:r w:rsidRPr="00AD6D3A">
        <w:t xml:space="preserve"> et al. (20</w:t>
      </w:r>
      <w:r>
        <w:t>20</w:t>
      </w:r>
      <w:r w:rsidRPr="00AD6D3A">
        <w:t xml:space="preserve">), varenicline versus </w:t>
      </w:r>
      <w:r>
        <w:t>bupropion</w:t>
      </w:r>
    </w:p>
    <w:tbl>
      <w:tblPr>
        <w:tblStyle w:val="TableGrid"/>
        <w:tblW w:w="5000" w:type="pct"/>
        <w:tblLook w:val="04A0" w:firstRow="1" w:lastRow="0" w:firstColumn="1" w:lastColumn="0" w:noHBand="0" w:noVBand="1"/>
        <w:tblCaption w:val="Efficacy results of adalimumab trials (PASI 75 and DLQI)"/>
      </w:tblPr>
      <w:tblGrid>
        <w:gridCol w:w="1232"/>
        <w:gridCol w:w="1146"/>
        <w:gridCol w:w="1151"/>
        <w:gridCol w:w="1275"/>
        <w:gridCol w:w="3622"/>
        <w:gridCol w:w="2895"/>
        <w:gridCol w:w="2627"/>
      </w:tblGrid>
      <w:tr w:rsidR="00B567C0" w:rsidRPr="00061F78" w14:paraId="73D69A98" w14:textId="77777777" w:rsidTr="005821B1">
        <w:trPr>
          <w:trHeight w:val="299"/>
          <w:tblHeader/>
        </w:trPr>
        <w:tc>
          <w:tcPr>
            <w:tcW w:w="458" w:type="pct"/>
            <w:shd w:val="clear" w:color="auto" w:fill="BFBFBF" w:themeFill="background1" w:themeFillShade="BF"/>
            <w:tcMar>
              <w:left w:w="28" w:type="dxa"/>
              <w:right w:w="28" w:type="dxa"/>
            </w:tcMar>
          </w:tcPr>
          <w:p w14:paraId="08248030" w14:textId="7077BD68" w:rsidR="00B567C0" w:rsidRPr="00061F78" w:rsidRDefault="00126B7B" w:rsidP="00A71365">
            <w:pPr>
              <w:pStyle w:val="Tableheading"/>
              <w:rPr>
                <w:rFonts w:eastAsia="MS Mincho"/>
              </w:rPr>
            </w:pPr>
            <w:r>
              <w:rPr>
                <w:rFonts w:eastAsia="MS Mincho"/>
              </w:rPr>
              <w:t>Study</w:t>
            </w:r>
          </w:p>
        </w:tc>
        <w:tc>
          <w:tcPr>
            <w:tcW w:w="390" w:type="pct"/>
            <w:shd w:val="clear" w:color="auto" w:fill="BFBFBF" w:themeFill="background1" w:themeFillShade="BF"/>
          </w:tcPr>
          <w:p w14:paraId="7B565360" w14:textId="77777777" w:rsidR="00B567C0" w:rsidRDefault="00B567C0" w:rsidP="00A71365">
            <w:pPr>
              <w:pStyle w:val="Tableheading"/>
              <w:jc w:val="center"/>
              <w:rPr>
                <w:rFonts w:eastAsia="MS Mincho"/>
              </w:rPr>
            </w:pPr>
            <w:r>
              <w:rPr>
                <w:rFonts w:eastAsia="MS Mincho"/>
              </w:rPr>
              <w:t>Study type</w:t>
            </w:r>
          </w:p>
        </w:tc>
        <w:tc>
          <w:tcPr>
            <w:tcW w:w="391" w:type="pct"/>
            <w:shd w:val="clear" w:color="auto" w:fill="BFBFBF" w:themeFill="background1" w:themeFillShade="BF"/>
          </w:tcPr>
          <w:p w14:paraId="39C994F1" w14:textId="77777777" w:rsidR="00B567C0" w:rsidRDefault="00B567C0" w:rsidP="00A71365">
            <w:pPr>
              <w:pStyle w:val="Tableheading"/>
              <w:jc w:val="center"/>
              <w:rPr>
                <w:rFonts w:eastAsia="MS Mincho"/>
              </w:rPr>
            </w:pPr>
            <w:r>
              <w:rPr>
                <w:rFonts w:eastAsia="MS Mincho"/>
              </w:rPr>
              <w:t>Countries</w:t>
            </w:r>
          </w:p>
        </w:tc>
        <w:tc>
          <w:tcPr>
            <w:tcW w:w="434" w:type="pct"/>
            <w:shd w:val="clear" w:color="auto" w:fill="BFBFBF" w:themeFill="background1" w:themeFillShade="BF"/>
            <w:tcMar>
              <w:left w:w="28" w:type="dxa"/>
              <w:right w:w="28" w:type="dxa"/>
            </w:tcMar>
          </w:tcPr>
          <w:p w14:paraId="0563C030" w14:textId="77777777" w:rsidR="00B567C0" w:rsidRPr="00061F78" w:rsidRDefault="00B567C0" w:rsidP="00A71365">
            <w:pPr>
              <w:pStyle w:val="Tableheading"/>
              <w:jc w:val="center"/>
              <w:rPr>
                <w:rFonts w:eastAsia="MS Mincho"/>
              </w:rPr>
            </w:pPr>
            <w:r>
              <w:rPr>
                <w:rFonts w:eastAsia="MS Mincho"/>
              </w:rPr>
              <w:t>N</w:t>
            </w:r>
          </w:p>
        </w:tc>
        <w:tc>
          <w:tcPr>
            <w:tcW w:w="1315" w:type="pct"/>
            <w:shd w:val="clear" w:color="auto" w:fill="BFBFBF" w:themeFill="background1" w:themeFillShade="BF"/>
            <w:tcMar>
              <w:left w:w="28" w:type="dxa"/>
              <w:right w:w="28" w:type="dxa"/>
            </w:tcMar>
          </w:tcPr>
          <w:p w14:paraId="5ED0B4B9" w14:textId="77777777" w:rsidR="00B567C0" w:rsidRPr="00061F78" w:rsidRDefault="00B567C0" w:rsidP="00A71365">
            <w:pPr>
              <w:pStyle w:val="Tableheading"/>
              <w:jc w:val="center"/>
              <w:rPr>
                <w:rFonts w:eastAsia="MS Mincho"/>
              </w:rPr>
            </w:pPr>
            <w:r w:rsidRPr="00061F78">
              <w:rPr>
                <w:rFonts w:eastAsia="MS Mincho"/>
              </w:rPr>
              <w:t>P</w:t>
            </w:r>
            <w:r>
              <w:rPr>
                <w:rFonts w:eastAsia="MS Mincho"/>
              </w:rPr>
              <w:t>opulation</w:t>
            </w:r>
          </w:p>
        </w:tc>
        <w:tc>
          <w:tcPr>
            <w:tcW w:w="1054" w:type="pct"/>
            <w:shd w:val="clear" w:color="auto" w:fill="BFBFBF" w:themeFill="background1" w:themeFillShade="BF"/>
          </w:tcPr>
          <w:p w14:paraId="07B1FB65" w14:textId="77777777" w:rsidR="00B567C0" w:rsidRDefault="00B567C0" w:rsidP="00A71365">
            <w:pPr>
              <w:pStyle w:val="Tableheading"/>
              <w:jc w:val="center"/>
              <w:rPr>
                <w:rFonts w:eastAsia="MS Mincho"/>
              </w:rPr>
            </w:pPr>
            <w:r>
              <w:rPr>
                <w:rFonts w:eastAsia="MS Mincho"/>
              </w:rPr>
              <w:t>Intervention and comparator</w:t>
            </w:r>
          </w:p>
        </w:tc>
        <w:tc>
          <w:tcPr>
            <w:tcW w:w="959" w:type="pct"/>
            <w:shd w:val="clear" w:color="auto" w:fill="BFBFBF" w:themeFill="background1" w:themeFillShade="BF"/>
            <w:tcMar>
              <w:left w:w="28" w:type="dxa"/>
              <w:right w:w="28" w:type="dxa"/>
            </w:tcMar>
          </w:tcPr>
          <w:p w14:paraId="52061188" w14:textId="77777777" w:rsidR="00B567C0" w:rsidRPr="00061F78" w:rsidRDefault="00B567C0" w:rsidP="00A71365">
            <w:pPr>
              <w:pStyle w:val="Tableheading"/>
              <w:jc w:val="center"/>
              <w:rPr>
                <w:rFonts w:eastAsia="MS Mincho"/>
              </w:rPr>
            </w:pPr>
            <w:r>
              <w:rPr>
                <w:rFonts w:eastAsia="MS Mincho"/>
              </w:rPr>
              <w:t>Outcomes</w:t>
            </w:r>
          </w:p>
        </w:tc>
      </w:tr>
      <w:tr w:rsidR="00B567C0" w:rsidRPr="00017AE6" w14:paraId="789535D3" w14:textId="77777777" w:rsidTr="005821B1">
        <w:trPr>
          <w:trHeight w:val="99"/>
        </w:trPr>
        <w:tc>
          <w:tcPr>
            <w:tcW w:w="458" w:type="pct"/>
          </w:tcPr>
          <w:p w14:paraId="0328D88C" w14:textId="75076F05" w:rsidR="00B567C0" w:rsidRPr="00017AE6" w:rsidRDefault="00CC0073" w:rsidP="00A71365">
            <w:pPr>
              <w:pStyle w:val="Tablewriting"/>
              <w:rPr>
                <w:rFonts w:eastAsia="MS Mincho" w:cstheme="minorHAnsi"/>
              </w:rPr>
            </w:pPr>
            <w:r w:rsidRPr="00541274">
              <w:rPr>
                <w:rFonts w:eastAsia="MS Mincho"/>
              </w:rPr>
              <w:t xml:space="preserve">Anthenelli </w:t>
            </w:r>
            <w:r w:rsidR="00201FB4">
              <w:rPr>
                <w:rFonts w:eastAsia="MS Mincho"/>
              </w:rPr>
              <w:t>(</w:t>
            </w:r>
            <w:r w:rsidRPr="00541274">
              <w:rPr>
                <w:rFonts w:eastAsia="MS Mincho"/>
              </w:rPr>
              <w:t>2016</w:t>
            </w:r>
            <w:r w:rsidR="00201FB4">
              <w:rPr>
                <w:rFonts w:eastAsia="MS Mincho"/>
              </w:rPr>
              <w:t>)</w:t>
            </w:r>
          </w:p>
        </w:tc>
        <w:tc>
          <w:tcPr>
            <w:tcW w:w="390" w:type="pct"/>
          </w:tcPr>
          <w:p w14:paraId="510828CF" w14:textId="393B03CF" w:rsidR="00B567C0" w:rsidRPr="00017AE6" w:rsidRDefault="00201FB4" w:rsidP="00A71365">
            <w:pPr>
              <w:pStyle w:val="Tablewriting"/>
              <w:rPr>
                <w:rFonts w:eastAsia="MS Mincho" w:cstheme="minorHAnsi"/>
              </w:rPr>
            </w:pPr>
            <w:r>
              <w:rPr>
                <w:rFonts w:eastAsia="MS Mincho"/>
              </w:rPr>
              <w:t>RCT</w:t>
            </w:r>
          </w:p>
        </w:tc>
        <w:tc>
          <w:tcPr>
            <w:tcW w:w="391" w:type="pct"/>
          </w:tcPr>
          <w:p w14:paraId="280DF2BE" w14:textId="77777777" w:rsidR="00201FB4" w:rsidRPr="005A5FF0" w:rsidRDefault="00201FB4" w:rsidP="00A71365">
            <w:pPr>
              <w:pStyle w:val="Tablewriting"/>
              <w:rPr>
                <w:rFonts w:eastAsia="MS Mincho"/>
              </w:rPr>
            </w:pPr>
            <w:r w:rsidRPr="005A5FF0">
              <w:rPr>
                <w:rFonts w:eastAsia="MS Mincho"/>
              </w:rPr>
              <w:t>USA, Australia, Canada, Denmark, Finland, Germany, New Zealand, South Africa, Spain, Bulgaria,</w:t>
            </w:r>
          </w:p>
          <w:p w14:paraId="78C5E1CA" w14:textId="3A2634FF" w:rsidR="00B567C0" w:rsidRPr="00017AE6" w:rsidRDefault="00201FB4" w:rsidP="00A71365">
            <w:pPr>
              <w:pStyle w:val="Tablewriting"/>
              <w:rPr>
                <w:rFonts w:eastAsia="MS Mincho" w:cstheme="minorHAnsi"/>
              </w:rPr>
            </w:pPr>
            <w:r w:rsidRPr="005A5FF0">
              <w:rPr>
                <w:rFonts w:eastAsia="MS Mincho"/>
              </w:rPr>
              <w:t>Russian Federation, Slovakia, Argentina, Brazil, Chile, and Mexico</w:t>
            </w:r>
          </w:p>
        </w:tc>
        <w:tc>
          <w:tcPr>
            <w:tcW w:w="434" w:type="pct"/>
          </w:tcPr>
          <w:p w14:paraId="66CBE989" w14:textId="77777777" w:rsidR="00201FB4" w:rsidRDefault="00201FB4" w:rsidP="00A71365">
            <w:pPr>
              <w:pStyle w:val="Tablewriting"/>
              <w:rPr>
                <w:rFonts w:eastAsia="MS Mincho"/>
              </w:rPr>
            </w:pPr>
            <w:r>
              <w:rPr>
                <w:rFonts w:eastAsia="MS Mincho"/>
              </w:rPr>
              <w:t>N= 8144</w:t>
            </w:r>
          </w:p>
          <w:p w14:paraId="37CB10E0" w14:textId="77777777" w:rsidR="00201FB4" w:rsidRDefault="00201FB4" w:rsidP="00A71365">
            <w:pPr>
              <w:pStyle w:val="Tablewriting"/>
              <w:rPr>
                <w:rFonts w:eastAsia="MS Mincho"/>
              </w:rPr>
            </w:pPr>
          </w:p>
          <w:p w14:paraId="5A73FA44" w14:textId="04532EA1" w:rsidR="00B567C0" w:rsidRPr="00017AE6" w:rsidRDefault="00201FB4" w:rsidP="00A71365">
            <w:pPr>
              <w:pStyle w:val="Tablewriting"/>
              <w:rPr>
                <w:rFonts w:eastAsia="MS Mincho" w:cstheme="minorHAnsi"/>
              </w:rPr>
            </w:pPr>
            <w:r w:rsidRPr="00290A75">
              <w:rPr>
                <w:rFonts w:eastAsia="MS Mincho"/>
                <w:u w:val="single"/>
              </w:rPr>
              <w:t>Special population:</w:t>
            </w:r>
            <w:r w:rsidRPr="007A4367">
              <w:rPr>
                <w:rFonts w:eastAsia="MS Mincho"/>
              </w:rPr>
              <w:t xml:space="preserve"> participants psychiatric cohort (</w:t>
            </w:r>
            <w:r>
              <w:rPr>
                <w:rFonts w:eastAsia="MS Mincho"/>
              </w:rPr>
              <w:t>n</w:t>
            </w:r>
            <w:r w:rsidRPr="007A4367">
              <w:rPr>
                <w:rFonts w:eastAsia="MS Mincho"/>
              </w:rPr>
              <w:t>= 4074)</w:t>
            </w:r>
            <w:r>
              <w:rPr>
                <w:rFonts w:eastAsia="MS Mincho"/>
              </w:rPr>
              <w:t xml:space="preserve">, </w:t>
            </w:r>
            <w:r w:rsidRPr="007A4367">
              <w:rPr>
                <w:rFonts w:eastAsia="MS Mincho"/>
              </w:rPr>
              <w:t>non-psychiatric cohort (</w:t>
            </w:r>
            <w:r>
              <w:rPr>
                <w:rFonts w:eastAsia="MS Mincho"/>
              </w:rPr>
              <w:t>n</w:t>
            </w:r>
            <w:r w:rsidRPr="007A4367">
              <w:rPr>
                <w:rFonts w:eastAsia="MS Mincho"/>
              </w:rPr>
              <w:t>= 3984)</w:t>
            </w:r>
          </w:p>
        </w:tc>
        <w:tc>
          <w:tcPr>
            <w:tcW w:w="1315" w:type="pct"/>
          </w:tcPr>
          <w:p w14:paraId="06309462" w14:textId="77777777" w:rsidR="00201FB4" w:rsidRPr="007A4367" w:rsidRDefault="00201FB4" w:rsidP="00A71365">
            <w:pPr>
              <w:pStyle w:val="Tablewriting"/>
              <w:rPr>
                <w:rFonts w:eastAsia="MS Mincho"/>
              </w:rPr>
            </w:pPr>
            <w:r w:rsidRPr="007A4367">
              <w:rPr>
                <w:rFonts w:eastAsia="MS Mincho"/>
              </w:rPr>
              <w:t>56% female; average age 46.5; average cigarettes per day 21, mean FTND 5.8</w:t>
            </w:r>
          </w:p>
          <w:p w14:paraId="10B9286E" w14:textId="77777777" w:rsidR="00201FB4" w:rsidRDefault="00201FB4" w:rsidP="00A71365">
            <w:pPr>
              <w:pStyle w:val="Tablewriting"/>
              <w:rPr>
                <w:rFonts w:eastAsia="MS Mincho"/>
              </w:rPr>
            </w:pPr>
          </w:p>
          <w:p w14:paraId="2A50B99C" w14:textId="77777777" w:rsidR="00201FB4" w:rsidRPr="007A4367" w:rsidRDefault="00201FB4" w:rsidP="00A71365">
            <w:pPr>
              <w:pStyle w:val="Tablewriting"/>
              <w:rPr>
                <w:rFonts w:eastAsia="MS Mincho"/>
              </w:rPr>
            </w:pPr>
            <w:r w:rsidRPr="007A4367">
              <w:rPr>
                <w:rFonts w:eastAsia="MS Mincho"/>
              </w:rPr>
              <w:t>Participants were included in the psychiatric cohort if they met</w:t>
            </w:r>
          </w:p>
          <w:p w14:paraId="75ED719B" w14:textId="77777777" w:rsidR="00201FB4" w:rsidRPr="007A4367" w:rsidRDefault="00201FB4" w:rsidP="00A71365">
            <w:pPr>
              <w:pStyle w:val="Tablewriting"/>
              <w:rPr>
                <w:rFonts w:eastAsia="MS Mincho"/>
              </w:rPr>
            </w:pPr>
            <w:r w:rsidRPr="007A4367">
              <w:rPr>
                <w:rFonts w:eastAsia="MS Mincho"/>
              </w:rPr>
              <w:t>Diagnostic and Statistical Manual of DSM-IV-TR diagnostic</w:t>
            </w:r>
          </w:p>
          <w:p w14:paraId="312C42A4" w14:textId="77777777" w:rsidR="00201FB4" w:rsidRPr="007A4367" w:rsidRDefault="00201FB4" w:rsidP="00A71365">
            <w:pPr>
              <w:pStyle w:val="Tablewriting"/>
              <w:rPr>
                <w:rFonts w:eastAsia="MS Mincho"/>
              </w:rPr>
            </w:pPr>
            <w:r w:rsidRPr="007A4367">
              <w:rPr>
                <w:rFonts w:eastAsia="MS Mincho"/>
              </w:rPr>
              <w:t>criteria for mood disorders including major depressive disorder or bipolar disorder; anxiety disorders</w:t>
            </w:r>
          </w:p>
          <w:p w14:paraId="0A0566D2" w14:textId="77777777" w:rsidR="00201FB4" w:rsidRPr="007A4367" w:rsidRDefault="00201FB4" w:rsidP="00A71365">
            <w:pPr>
              <w:pStyle w:val="Tablewriting"/>
              <w:rPr>
                <w:rFonts w:eastAsia="MS Mincho"/>
              </w:rPr>
            </w:pPr>
            <w:r w:rsidRPr="007A4367">
              <w:rPr>
                <w:rFonts w:eastAsia="MS Mincho"/>
              </w:rPr>
              <w:t>including panic disorder, with or without agoraphobia, post-traumatic stress disorder, obsessive-</w:t>
            </w:r>
          </w:p>
          <w:p w14:paraId="0C464695" w14:textId="77777777" w:rsidR="00201FB4" w:rsidRPr="007A4367" w:rsidRDefault="00201FB4" w:rsidP="00A71365">
            <w:pPr>
              <w:pStyle w:val="Tablewriting"/>
              <w:rPr>
                <w:rFonts w:eastAsia="MS Mincho"/>
              </w:rPr>
            </w:pPr>
            <w:r w:rsidRPr="007A4367">
              <w:rPr>
                <w:rFonts w:eastAsia="MS Mincho"/>
              </w:rPr>
              <w:t>compulsive disorder, social phobia, and generalized anxiety disorder; psychotic disorders including</w:t>
            </w:r>
          </w:p>
          <w:p w14:paraId="7F0E6FC2" w14:textId="77777777" w:rsidR="00201FB4" w:rsidRPr="007A4367" w:rsidRDefault="00201FB4" w:rsidP="00A71365">
            <w:pPr>
              <w:pStyle w:val="Tablewriting"/>
              <w:rPr>
                <w:rFonts w:eastAsia="MS Mincho"/>
              </w:rPr>
            </w:pPr>
            <w:r w:rsidRPr="007A4367">
              <w:rPr>
                <w:rFonts w:eastAsia="MS Mincho"/>
              </w:rPr>
              <w:t>schizophrenia and schizoaffective disorders; or borderline personality disorder. Participants in the</w:t>
            </w:r>
          </w:p>
          <w:p w14:paraId="7801B205" w14:textId="67E25711" w:rsidR="00B567C0" w:rsidRPr="00017AE6" w:rsidRDefault="00201FB4" w:rsidP="00A71365">
            <w:pPr>
              <w:pStyle w:val="Tablewriting"/>
              <w:rPr>
                <w:rFonts w:eastAsia="MS Mincho" w:cstheme="minorHAnsi"/>
              </w:rPr>
            </w:pPr>
            <w:r w:rsidRPr="007A4367">
              <w:rPr>
                <w:rFonts w:eastAsia="MS Mincho"/>
              </w:rPr>
              <w:t>non-psychiatric cohort had no confirmed history of DSM-IV-TR Axis I or II disorders.</w:t>
            </w:r>
          </w:p>
        </w:tc>
        <w:tc>
          <w:tcPr>
            <w:tcW w:w="1054" w:type="pct"/>
          </w:tcPr>
          <w:p w14:paraId="71330F19" w14:textId="77777777" w:rsidR="00201FB4" w:rsidRPr="00210580" w:rsidRDefault="00201FB4" w:rsidP="00C324F3">
            <w:pPr>
              <w:pStyle w:val="Tablewriting"/>
              <w:numPr>
                <w:ilvl w:val="0"/>
                <w:numId w:val="9"/>
              </w:numPr>
              <w:rPr>
                <w:rFonts w:eastAsia="MS Mincho"/>
              </w:rPr>
            </w:pPr>
            <w:r w:rsidRPr="00210580">
              <w:rPr>
                <w:rFonts w:eastAsia="MS Mincho"/>
              </w:rPr>
              <w:t>Bupropion sustained release and placebo varenicline and placebo nicotine patch</w:t>
            </w:r>
            <w:r>
              <w:rPr>
                <w:rFonts w:eastAsia="MS Mincho"/>
              </w:rPr>
              <w:t xml:space="preserve"> (</w:t>
            </w:r>
            <w:r w:rsidRPr="00210580">
              <w:rPr>
                <w:rFonts w:eastAsia="MS Mincho"/>
              </w:rPr>
              <w:t>150 mg twice a day</w:t>
            </w:r>
            <w:r>
              <w:rPr>
                <w:rFonts w:eastAsia="MS Mincho"/>
              </w:rPr>
              <w:t xml:space="preserve"> </w:t>
            </w:r>
            <w:r w:rsidRPr="00210580">
              <w:rPr>
                <w:rFonts w:eastAsia="MS Mincho"/>
              </w:rPr>
              <w:t>for 12 weeks</w:t>
            </w:r>
            <w:r>
              <w:rPr>
                <w:rFonts w:eastAsia="MS Mincho"/>
              </w:rPr>
              <w:t>)</w:t>
            </w:r>
          </w:p>
          <w:p w14:paraId="4ED72FD0" w14:textId="77777777" w:rsidR="00201FB4" w:rsidRPr="00072AD3" w:rsidRDefault="00201FB4" w:rsidP="00C324F3">
            <w:pPr>
              <w:pStyle w:val="Tablewriting"/>
              <w:numPr>
                <w:ilvl w:val="0"/>
                <w:numId w:val="9"/>
              </w:numPr>
              <w:rPr>
                <w:rFonts w:eastAsia="MS Mincho"/>
              </w:rPr>
            </w:pPr>
            <w:r w:rsidRPr="00210580">
              <w:rPr>
                <w:rFonts w:eastAsia="MS Mincho"/>
              </w:rPr>
              <w:t>Varenicline and placebo bupropion sustained release and placebo nicotine patch</w:t>
            </w:r>
            <w:r>
              <w:rPr>
                <w:rFonts w:eastAsia="MS Mincho"/>
              </w:rPr>
              <w:t xml:space="preserve"> (</w:t>
            </w:r>
            <w:r w:rsidRPr="00210580">
              <w:rPr>
                <w:rFonts w:eastAsia="MS Mincho"/>
              </w:rPr>
              <w:t>1 mg twice a day</w:t>
            </w:r>
            <w:r>
              <w:rPr>
                <w:rFonts w:eastAsia="MS Mincho"/>
              </w:rPr>
              <w:t xml:space="preserve"> </w:t>
            </w:r>
            <w:r w:rsidRPr="00072AD3">
              <w:rPr>
                <w:rFonts w:eastAsia="MS Mincho"/>
              </w:rPr>
              <w:t>for 12 weeks</w:t>
            </w:r>
            <w:r>
              <w:rPr>
                <w:rFonts w:eastAsia="MS Mincho"/>
              </w:rPr>
              <w:t>)</w:t>
            </w:r>
          </w:p>
          <w:p w14:paraId="3052109C" w14:textId="77777777" w:rsidR="00201FB4" w:rsidRPr="00072AD3" w:rsidRDefault="00201FB4" w:rsidP="00C324F3">
            <w:pPr>
              <w:pStyle w:val="Tablewriting"/>
              <w:numPr>
                <w:ilvl w:val="0"/>
                <w:numId w:val="9"/>
              </w:numPr>
              <w:rPr>
                <w:rFonts w:eastAsia="MS Mincho"/>
              </w:rPr>
            </w:pPr>
            <w:r w:rsidRPr="00210580">
              <w:rPr>
                <w:rFonts w:eastAsia="MS Mincho"/>
              </w:rPr>
              <w:t>Transdermal nicotine patch and placebo varenicline and placebo bupropion sustained release</w:t>
            </w:r>
            <w:r>
              <w:rPr>
                <w:rFonts w:eastAsia="MS Mincho"/>
              </w:rPr>
              <w:t xml:space="preserve"> (</w:t>
            </w:r>
            <w:r w:rsidRPr="00210580">
              <w:rPr>
                <w:rFonts w:eastAsia="MS Mincho"/>
              </w:rPr>
              <w:t>21 mg</w:t>
            </w:r>
            <w:r>
              <w:rPr>
                <w:rFonts w:eastAsia="MS Mincho"/>
              </w:rPr>
              <w:t xml:space="preserve"> </w:t>
            </w:r>
            <w:r w:rsidRPr="00072AD3">
              <w:rPr>
                <w:rFonts w:eastAsia="MS Mincho"/>
              </w:rPr>
              <w:t>per day with taper for 12 weeks</w:t>
            </w:r>
            <w:r>
              <w:rPr>
                <w:rFonts w:eastAsia="MS Mincho"/>
              </w:rPr>
              <w:t>)</w:t>
            </w:r>
          </w:p>
          <w:p w14:paraId="5754068A" w14:textId="77777777" w:rsidR="00201FB4" w:rsidRPr="00072AD3" w:rsidRDefault="00201FB4" w:rsidP="00C324F3">
            <w:pPr>
              <w:pStyle w:val="Tablewriting"/>
              <w:numPr>
                <w:ilvl w:val="0"/>
                <w:numId w:val="9"/>
              </w:numPr>
              <w:rPr>
                <w:rFonts w:eastAsia="MS Mincho"/>
              </w:rPr>
            </w:pPr>
            <w:r w:rsidRPr="00210580">
              <w:rPr>
                <w:rFonts w:eastAsia="MS Mincho"/>
              </w:rPr>
              <w:t>Placebo bupropion sustained release and placebo varenicline and placebo nicotine patch</w:t>
            </w:r>
            <w:r>
              <w:rPr>
                <w:rFonts w:eastAsia="MS Mincho"/>
              </w:rPr>
              <w:t xml:space="preserve"> f</w:t>
            </w:r>
            <w:r w:rsidRPr="00210580">
              <w:rPr>
                <w:rFonts w:eastAsia="MS Mincho"/>
              </w:rPr>
              <w:t>or 12</w:t>
            </w:r>
            <w:r>
              <w:rPr>
                <w:rFonts w:eastAsia="MS Mincho"/>
              </w:rPr>
              <w:t xml:space="preserve"> </w:t>
            </w:r>
            <w:r w:rsidRPr="00072AD3">
              <w:rPr>
                <w:rFonts w:eastAsia="MS Mincho"/>
              </w:rPr>
              <w:t>weeks.</w:t>
            </w:r>
          </w:p>
          <w:p w14:paraId="4D8BBC1E" w14:textId="77777777" w:rsidR="00201FB4" w:rsidRDefault="00201FB4" w:rsidP="00A71365">
            <w:pPr>
              <w:pStyle w:val="Tablewriting"/>
              <w:rPr>
                <w:rFonts w:eastAsia="MS Mincho"/>
              </w:rPr>
            </w:pPr>
          </w:p>
          <w:p w14:paraId="04BC9887" w14:textId="77777777" w:rsidR="00201FB4" w:rsidRPr="00210580" w:rsidRDefault="00201FB4" w:rsidP="00A71365">
            <w:pPr>
              <w:pStyle w:val="Tablewriting"/>
              <w:rPr>
                <w:rFonts w:eastAsia="MS Mincho"/>
              </w:rPr>
            </w:pPr>
            <w:r w:rsidRPr="0096450D">
              <w:rPr>
                <w:rFonts w:eastAsia="MS Mincho"/>
                <w:u w:val="single"/>
              </w:rPr>
              <w:t>Common components:</w:t>
            </w:r>
            <w:r w:rsidRPr="00210580">
              <w:rPr>
                <w:rFonts w:eastAsia="MS Mincho"/>
              </w:rPr>
              <w:t xml:space="preserve"> smoking cessation counselling consisting of 10-minute sessions at each of the</w:t>
            </w:r>
          </w:p>
          <w:p w14:paraId="7B04BA1E" w14:textId="52342D69" w:rsidR="00B567C0" w:rsidRPr="00017AE6" w:rsidRDefault="00201FB4" w:rsidP="00A71365">
            <w:pPr>
              <w:pStyle w:val="Tablewriting"/>
              <w:rPr>
                <w:rFonts w:eastAsia="MS Mincho" w:cstheme="minorHAnsi"/>
              </w:rPr>
            </w:pPr>
            <w:r w:rsidRPr="00210580">
              <w:rPr>
                <w:rFonts w:eastAsia="MS Mincho"/>
              </w:rPr>
              <w:t>15 clinic visits, totalling 2 hours and 30 minutes</w:t>
            </w:r>
          </w:p>
        </w:tc>
        <w:tc>
          <w:tcPr>
            <w:tcW w:w="959" w:type="pct"/>
          </w:tcPr>
          <w:p w14:paraId="36BF0217" w14:textId="77777777" w:rsidR="00201FB4" w:rsidRPr="00F270CA" w:rsidRDefault="00201FB4" w:rsidP="00A71365">
            <w:pPr>
              <w:pStyle w:val="Tablewriting"/>
              <w:rPr>
                <w:rFonts w:eastAsia="MS Mincho"/>
              </w:rPr>
            </w:pPr>
            <w:r w:rsidRPr="004969C1">
              <w:rPr>
                <w:rFonts w:eastAsia="MS Mincho"/>
                <w:u w:val="single"/>
              </w:rPr>
              <w:t>Efficacy:</w:t>
            </w:r>
            <w:r w:rsidRPr="00F270CA">
              <w:rPr>
                <w:rFonts w:eastAsia="MS Mincho"/>
              </w:rPr>
              <w:t xml:space="preserve"> continuous abstinence from week 9 to week 24 post-quit date (validated by CO</w:t>
            </w:r>
          </w:p>
          <w:p w14:paraId="58C00A3D" w14:textId="77777777" w:rsidR="00201FB4" w:rsidRPr="00F270CA" w:rsidRDefault="00201FB4" w:rsidP="00A71365">
            <w:pPr>
              <w:pStyle w:val="Tablewriting"/>
              <w:rPr>
                <w:rFonts w:eastAsia="MS Mincho"/>
              </w:rPr>
            </w:pPr>
            <w:r w:rsidRPr="00D96BA4">
              <w:rPr>
                <w:rFonts w:eastAsia="MS Mincho"/>
              </w:rPr>
              <w:t>≤</w:t>
            </w:r>
            <w:r w:rsidRPr="00F270CA">
              <w:rPr>
                <w:rFonts w:eastAsia="MS Mincho"/>
              </w:rPr>
              <w:t xml:space="preserve"> 10 ppm)</w:t>
            </w:r>
          </w:p>
          <w:p w14:paraId="5F6D7104" w14:textId="5A55B6DA" w:rsidR="00B567C0" w:rsidRPr="00017AE6" w:rsidRDefault="00201FB4" w:rsidP="00A71365">
            <w:pPr>
              <w:pStyle w:val="Tablewriting"/>
              <w:rPr>
                <w:rFonts w:eastAsia="MS Mincho" w:cstheme="minorHAnsi"/>
              </w:rPr>
            </w:pPr>
            <w:r w:rsidRPr="004969C1">
              <w:rPr>
                <w:rFonts w:eastAsia="MS Mincho"/>
                <w:u w:val="single"/>
              </w:rPr>
              <w:t>Safety:</w:t>
            </w:r>
            <w:r w:rsidRPr="00F270CA">
              <w:rPr>
                <w:rFonts w:eastAsia="MS Mincho"/>
              </w:rPr>
              <w:t xml:space="preserve"> measured within 12-week treatment period, or for 30 days thereafter</w:t>
            </w:r>
          </w:p>
        </w:tc>
      </w:tr>
      <w:tr w:rsidR="009232F3" w:rsidRPr="00017AE6" w14:paraId="77E1E569" w14:textId="77777777" w:rsidTr="005821B1">
        <w:trPr>
          <w:trHeight w:val="99"/>
        </w:trPr>
        <w:tc>
          <w:tcPr>
            <w:tcW w:w="458" w:type="pct"/>
          </w:tcPr>
          <w:p w14:paraId="16AC2705" w14:textId="4D447562" w:rsidR="009232F3" w:rsidRPr="00017AE6" w:rsidRDefault="00A45F6E" w:rsidP="00A71365">
            <w:pPr>
              <w:pStyle w:val="Tablewriting"/>
              <w:rPr>
                <w:rFonts w:eastAsia="MS Mincho" w:cstheme="minorHAnsi"/>
              </w:rPr>
            </w:pPr>
            <w:r w:rsidRPr="00CD7490">
              <w:rPr>
                <w:rFonts w:eastAsia="MS Mincho" w:cstheme="minorHAnsi"/>
              </w:rPr>
              <w:t>Benli 2017</w:t>
            </w:r>
          </w:p>
        </w:tc>
        <w:tc>
          <w:tcPr>
            <w:tcW w:w="390" w:type="pct"/>
          </w:tcPr>
          <w:p w14:paraId="6561A85E" w14:textId="34106E3C" w:rsidR="009232F3" w:rsidRPr="00017AE6" w:rsidRDefault="00FF2D5C" w:rsidP="00A71365">
            <w:pPr>
              <w:pStyle w:val="Tablewriting"/>
              <w:rPr>
                <w:rFonts w:eastAsia="MS Mincho" w:cstheme="minorHAnsi"/>
              </w:rPr>
            </w:pPr>
            <w:r>
              <w:rPr>
                <w:rFonts w:eastAsia="MS Mincho" w:cstheme="minorHAnsi"/>
              </w:rPr>
              <w:t>RCT</w:t>
            </w:r>
          </w:p>
        </w:tc>
        <w:tc>
          <w:tcPr>
            <w:tcW w:w="391" w:type="pct"/>
          </w:tcPr>
          <w:p w14:paraId="6E851385" w14:textId="4E338F43" w:rsidR="009232F3" w:rsidRPr="00017AE6" w:rsidRDefault="00FF2D5C" w:rsidP="00A71365">
            <w:pPr>
              <w:pStyle w:val="Tablewriting"/>
              <w:rPr>
                <w:rFonts w:eastAsia="MS Mincho" w:cstheme="minorHAnsi"/>
              </w:rPr>
            </w:pPr>
            <w:r>
              <w:rPr>
                <w:rFonts w:eastAsia="MS Mincho" w:cstheme="minorHAnsi"/>
              </w:rPr>
              <w:t>Turkey</w:t>
            </w:r>
          </w:p>
        </w:tc>
        <w:tc>
          <w:tcPr>
            <w:tcW w:w="434" w:type="pct"/>
          </w:tcPr>
          <w:p w14:paraId="024AD719" w14:textId="06B3D70A" w:rsidR="009232F3" w:rsidRPr="00017AE6" w:rsidRDefault="00FF2D5C" w:rsidP="00A71365">
            <w:pPr>
              <w:pStyle w:val="Tablewriting"/>
              <w:rPr>
                <w:rFonts w:eastAsia="MS Mincho" w:cstheme="minorHAnsi"/>
              </w:rPr>
            </w:pPr>
            <w:r w:rsidRPr="00CC5361">
              <w:rPr>
                <w:rFonts w:eastAsia="MS Mincho" w:cstheme="minorHAnsi"/>
              </w:rPr>
              <w:t>N=</w:t>
            </w:r>
            <w:r w:rsidR="0028733A">
              <w:rPr>
                <w:rFonts w:eastAsia="MS Mincho" w:cstheme="minorHAnsi"/>
              </w:rPr>
              <w:t>405</w:t>
            </w:r>
            <w:r w:rsidR="00B05300">
              <w:rPr>
                <w:rFonts w:eastAsia="MS Mincho" w:cstheme="minorHAnsi"/>
              </w:rPr>
              <w:t xml:space="preserve"> n=</w:t>
            </w:r>
            <w:r w:rsidR="00B65BE2">
              <w:rPr>
                <w:rFonts w:eastAsia="MS Mincho" w:cstheme="minorHAnsi"/>
              </w:rPr>
              <w:t>244 (varenicline, n=161 (bupropion)</w:t>
            </w:r>
          </w:p>
        </w:tc>
        <w:tc>
          <w:tcPr>
            <w:tcW w:w="1315" w:type="pct"/>
          </w:tcPr>
          <w:p w14:paraId="0C2A7E47" w14:textId="1C7A331D" w:rsidR="009232F3" w:rsidRPr="00017AE6" w:rsidRDefault="00FF2D5C" w:rsidP="00A71365">
            <w:pPr>
              <w:pStyle w:val="Tablewriting"/>
              <w:rPr>
                <w:rFonts w:eastAsia="MS Mincho" w:cstheme="minorHAnsi"/>
              </w:rPr>
            </w:pPr>
            <w:r w:rsidRPr="00FF2D5C">
              <w:rPr>
                <w:rFonts w:eastAsia="MS Mincho" w:cstheme="minorHAnsi"/>
              </w:rPr>
              <w:t>An unspecified number of participants were randomised. 405 participants were analysed. 17.5% female</w:t>
            </w:r>
            <w:r w:rsidR="00213489">
              <w:rPr>
                <w:rFonts w:eastAsia="MS Mincho" w:cstheme="minorHAnsi"/>
              </w:rPr>
              <w:t>,</w:t>
            </w:r>
            <w:r>
              <w:rPr>
                <w:rFonts w:eastAsia="MS Mincho" w:cstheme="minorHAnsi"/>
              </w:rPr>
              <w:t xml:space="preserve"> </w:t>
            </w:r>
            <w:r w:rsidRPr="00FF2D5C">
              <w:rPr>
                <w:rFonts w:eastAsia="MS Mincho" w:cstheme="minorHAnsi"/>
              </w:rPr>
              <w:t>average age 35.2</w:t>
            </w:r>
            <w:r w:rsidR="00213489">
              <w:rPr>
                <w:rFonts w:eastAsia="MS Mincho" w:cstheme="minorHAnsi"/>
              </w:rPr>
              <w:t>,</w:t>
            </w:r>
            <w:r w:rsidRPr="00FF2D5C">
              <w:rPr>
                <w:rFonts w:eastAsia="MS Mincho" w:cstheme="minorHAnsi"/>
              </w:rPr>
              <w:t xml:space="preserve"> average age 35.2</w:t>
            </w:r>
            <w:r w:rsidR="00213489">
              <w:rPr>
                <w:rFonts w:eastAsia="MS Mincho" w:cstheme="minorHAnsi"/>
              </w:rPr>
              <w:t>,</w:t>
            </w:r>
            <w:r w:rsidRPr="00FF2D5C">
              <w:rPr>
                <w:rFonts w:eastAsia="MS Mincho" w:cstheme="minorHAnsi"/>
              </w:rPr>
              <w:t xml:space="preserve"> average cigarettes per day 23</w:t>
            </w:r>
            <w:r w:rsidR="00213489">
              <w:rPr>
                <w:rFonts w:eastAsia="MS Mincho" w:cstheme="minorHAnsi"/>
              </w:rPr>
              <w:t>,</w:t>
            </w:r>
            <w:r w:rsidRPr="00FF2D5C">
              <w:rPr>
                <w:rFonts w:eastAsia="MS Mincho" w:cstheme="minorHAnsi"/>
              </w:rPr>
              <w:t xml:space="preserve"> mean FTND 6.3</w:t>
            </w:r>
            <w:r>
              <w:rPr>
                <w:rFonts w:eastAsia="MS Mincho" w:cstheme="minorHAnsi"/>
              </w:rPr>
              <w:t>.</w:t>
            </w:r>
          </w:p>
        </w:tc>
        <w:tc>
          <w:tcPr>
            <w:tcW w:w="1054" w:type="pct"/>
          </w:tcPr>
          <w:p w14:paraId="1A5FF993" w14:textId="189AEE45" w:rsidR="00C02E5C" w:rsidRDefault="00C02E5C" w:rsidP="00C324F3">
            <w:pPr>
              <w:pStyle w:val="Tablewriting"/>
              <w:numPr>
                <w:ilvl w:val="0"/>
                <w:numId w:val="73"/>
              </w:numPr>
              <w:rPr>
                <w:rFonts w:eastAsia="MS Mincho" w:cstheme="minorHAnsi"/>
              </w:rPr>
            </w:pPr>
            <w:r w:rsidRPr="00C02E5C">
              <w:rPr>
                <w:rFonts w:eastAsia="MS Mincho" w:cstheme="minorHAnsi"/>
              </w:rPr>
              <w:t>Bupropion</w:t>
            </w:r>
            <w:r>
              <w:rPr>
                <w:rFonts w:eastAsia="MS Mincho" w:cstheme="minorHAnsi"/>
              </w:rPr>
              <w:t>; p</w:t>
            </w:r>
            <w:r w:rsidRPr="00C02E5C">
              <w:rPr>
                <w:rFonts w:eastAsia="MS Mincho" w:cstheme="minorHAnsi"/>
              </w:rPr>
              <w:t>rovided for 3 months</w:t>
            </w:r>
            <w:r>
              <w:rPr>
                <w:rFonts w:eastAsia="MS Mincho" w:cstheme="minorHAnsi"/>
              </w:rPr>
              <w:t>.</w:t>
            </w:r>
          </w:p>
          <w:p w14:paraId="6CA261D7" w14:textId="0AB37FDF" w:rsidR="00C02E5C" w:rsidRPr="00C02E5C" w:rsidRDefault="00C02E5C" w:rsidP="00C324F3">
            <w:pPr>
              <w:pStyle w:val="Tablewriting"/>
              <w:numPr>
                <w:ilvl w:val="0"/>
                <w:numId w:val="73"/>
              </w:numPr>
              <w:rPr>
                <w:rFonts w:eastAsia="MS Mincho" w:cstheme="minorHAnsi"/>
              </w:rPr>
            </w:pPr>
            <w:r w:rsidRPr="00C02E5C">
              <w:rPr>
                <w:rFonts w:eastAsia="MS Mincho" w:cstheme="minorHAnsi"/>
              </w:rPr>
              <w:t>Varenicline</w:t>
            </w:r>
            <w:r>
              <w:rPr>
                <w:rFonts w:eastAsia="MS Mincho" w:cstheme="minorHAnsi"/>
              </w:rPr>
              <w:t>; p</w:t>
            </w:r>
            <w:r w:rsidRPr="00C02E5C">
              <w:rPr>
                <w:rFonts w:eastAsia="MS Mincho" w:cstheme="minorHAnsi"/>
              </w:rPr>
              <w:t>rovided for 3 months</w:t>
            </w:r>
            <w:r>
              <w:rPr>
                <w:rFonts w:eastAsia="MS Mincho" w:cstheme="minorHAnsi"/>
              </w:rPr>
              <w:t>.</w:t>
            </w:r>
          </w:p>
          <w:p w14:paraId="238177A8" w14:textId="77777777" w:rsidR="00C02E5C" w:rsidRDefault="00C02E5C" w:rsidP="00A71365">
            <w:pPr>
              <w:pStyle w:val="Tablewriting"/>
              <w:rPr>
                <w:rFonts w:eastAsia="MS Mincho" w:cstheme="minorHAnsi"/>
              </w:rPr>
            </w:pPr>
          </w:p>
          <w:p w14:paraId="553B1301" w14:textId="5EA25D9D" w:rsidR="009232F3" w:rsidRPr="00017AE6" w:rsidRDefault="00C02E5C" w:rsidP="00A71365">
            <w:pPr>
              <w:pStyle w:val="Tablewriting"/>
              <w:rPr>
                <w:rFonts w:eastAsia="MS Mincho" w:cstheme="minorHAnsi"/>
              </w:rPr>
            </w:pPr>
            <w:r w:rsidRPr="00C02E5C">
              <w:rPr>
                <w:rFonts w:eastAsia="MS Mincho" w:cstheme="minorHAnsi"/>
                <w:u w:val="single"/>
              </w:rPr>
              <w:lastRenderedPageBreak/>
              <w:t xml:space="preserve">Common components: </w:t>
            </w:r>
            <w:r w:rsidRPr="00C02E5C">
              <w:rPr>
                <w:rFonts w:eastAsia="MS Mincho" w:cstheme="minorHAnsi"/>
              </w:rPr>
              <w:t>behavioural therapy support with a biopsychosocial</w:t>
            </w:r>
            <w:r>
              <w:rPr>
                <w:rFonts w:eastAsia="MS Mincho" w:cstheme="minorHAnsi"/>
              </w:rPr>
              <w:t xml:space="preserve"> </w:t>
            </w:r>
            <w:r w:rsidRPr="00C02E5C">
              <w:rPr>
                <w:rFonts w:eastAsia="MS Mincho" w:cstheme="minorHAnsi"/>
              </w:rPr>
              <w:t>approach</w:t>
            </w:r>
            <w:r>
              <w:rPr>
                <w:rFonts w:eastAsia="MS Mincho" w:cstheme="minorHAnsi"/>
              </w:rPr>
              <w:t>.</w:t>
            </w:r>
          </w:p>
        </w:tc>
        <w:tc>
          <w:tcPr>
            <w:tcW w:w="959" w:type="pct"/>
          </w:tcPr>
          <w:p w14:paraId="5A384634" w14:textId="77777777" w:rsidR="00EE5EC0" w:rsidRDefault="00EE5EC0" w:rsidP="00A71365">
            <w:pPr>
              <w:pStyle w:val="Tablewriting"/>
              <w:rPr>
                <w:rFonts w:eastAsia="MS Mincho" w:cstheme="minorHAnsi"/>
              </w:rPr>
            </w:pPr>
            <w:r w:rsidRPr="00EE5EC0">
              <w:rPr>
                <w:rFonts w:eastAsia="MS Mincho" w:cstheme="minorHAnsi"/>
                <w:u w:val="single"/>
              </w:rPr>
              <w:lastRenderedPageBreak/>
              <w:t>Efficacy:</w:t>
            </w:r>
            <w:r>
              <w:rPr>
                <w:rFonts w:eastAsia="MS Mincho" w:cstheme="minorHAnsi"/>
              </w:rPr>
              <w:t xml:space="preserve"> </w:t>
            </w:r>
            <w:r w:rsidRPr="00EE5EC0">
              <w:rPr>
                <w:rFonts w:eastAsia="MS Mincho" w:cstheme="minorHAnsi"/>
              </w:rPr>
              <w:t xml:space="preserve">Smoking cessation: 7-day PPA at 12 months. </w:t>
            </w:r>
          </w:p>
          <w:p w14:paraId="574E8084" w14:textId="635A5181" w:rsidR="009232F3" w:rsidRDefault="00EE5EC0" w:rsidP="00A71365">
            <w:pPr>
              <w:pStyle w:val="Tablewriting"/>
              <w:rPr>
                <w:rFonts w:eastAsia="MS Mincho" w:cstheme="minorHAnsi"/>
              </w:rPr>
            </w:pPr>
            <w:r w:rsidRPr="00EE5EC0">
              <w:rPr>
                <w:rFonts w:eastAsia="MS Mincho" w:cstheme="minorHAnsi"/>
              </w:rPr>
              <w:t xml:space="preserve">Validated by a CO level </w:t>
            </w:r>
            <w:r w:rsidR="00AF0F9D" w:rsidRPr="00D96BA4">
              <w:rPr>
                <w:rFonts w:eastAsia="MS Mincho"/>
              </w:rPr>
              <w:t>≤</w:t>
            </w:r>
            <w:r w:rsidRPr="00EE5EC0">
              <w:rPr>
                <w:rFonts w:eastAsia="MS Mincho" w:cstheme="minorHAnsi"/>
              </w:rPr>
              <w:t xml:space="preserve"> 5 ppm</w:t>
            </w:r>
          </w:p>
          <w:p w14:paraId="534CC988" w14:textId="77777777" w:rsidR="00EE5EC0" w:rsidRDefault="00EE5EC0" w:rsidP="00A71365">
            <w:pPr>
              <w:pStyle w:val="Tablewriting"/>
              <w:rPr>
                <w:rFonts w:eastAsia="MS Mincho" w:cstheme="minorHAnsi"/>
              </w:rPr>
            </w:pPr>
          </w:p>
          <w:p w14:paraId="5654FA73" w14:textId="437B4E8C" w:rsidR="009232F3" w:rsidRPr="00EE5EC0" w:rsidRDefault="00EE5EC0" w:rsidP="00A71365">
            <w:pPr>
              <w:pStyle w:val="Tablewriting"/>
              <w:rPr>
                <w:rFonts w:eastAsia="MS Mincho" w:cstheme="minorHAnsi"/>
                <w:u w:val="single"/>
              </w:rPr>
            </w:pPr>
            <w:r w:rsidRPr="00EE5EC0">
              <w:rPr>
                <w:rFonts w:eastAsia="MS Mincho" w:cstheme="minorHAnsi"/>
                <w:u w:val="single"/>
              </w:rPr>
              <w:lastRenderedPageBreak/>
              <w:t xml:space="preserve">Safety: </w:t>
            </w:r>
            <w:r w:rsidRPr="00F61CD6">
              <w:rPr>
                <w:rFonts w:eastAsia="MS Mincho" w:cstheme="minorHAnsi"/>
              </w:rPr>
              <w:t>N</w:t>
            </w:r>
            <w:r w:rsidR="00F61CD6" w:rsidRPr="00F61CD6">
              <w:rPr>
                <w:rFonts w:eastAsia="MS Mincho" w:cstheme="minorHAnsi"/>
              </w:rPr>
              <w:t>R</w:t>
            </w:r>
          </w:p>
        </w:tc>
      </w:tr>
      <w:tr w:rsidR="009232F3" w:rsidRPr="00017AE6" w14:paraId="6DCD75C8" w14:textId="77777777" w:rsidTr="005821B1">
        <w:trPr>
          <w:trHeight w:val="99"/>
        </w:trPr>
        <w:tc>
          <w:tcPr>
            <w:tcW w:w="458" w:type="pct"/>
          </w:tcPr>
          <w:p w14:paraId="302AF1FE" w14:textId="10A3FC33" w:rsidR="009232F3" w:rsidRPr="00017AE6" w:rsidRDefault="00CD7490" w:rsidP="00A71365">
            <w:pPr>
              <w:pStyle w:val="Tablewriting"/>
              <w:rPr>
                <w:rFonts w:eastAsia="MS Mincho" w:cstheme="minorHAnsi"/>
              </w:rPr>
            </w:pPr>
            <w:r w:rsidRPr="00CD7490">
              <w:rPr>
                <w:rFonts w:eastAsia="MS Mincho" w:cstheme="minorHAnsi"/>
              </w:rPr>
              <w:lastRenderedPageBreak/>
              <w:t xml:space="preserve">Cinciripini </w:t>
            </w:r>
            <w:r w:rsidR="00BE59C3">
              <w:rPr>
                <w:rFonts w:eastAsia="MS Mincho" w:cstheme="minorHAnsi"/>
              </w:rPr>
              <w:t>(</w:t>
            </w:r>
            <w:r w:rsidRPr="00CD7490">
              <w:rPr>
                <w:rFonts w:eastAsia="MS Mincho" w:cstheme="minorHAnsi"/>
              </w:rPr>
              <w:t>2013</w:t>
            </w:r>
            <w:r w:rsidR="00BE59C3">
              <w:rPr>
                <w:rFonts w:eastAsia="MS Mincho" w:cstheme="minorHAnsi"/>
              </w:rPr>
              <w:t>)</w:t>
            </w:r>
          </w:p>
        </w:tc>
        <w:tc>
          <w:tcPr>
            <w:tcW w:w="390" w:type="pct"/>
          </w:tcPr>
          <w:p w14:paraId="7A92790F" w14:textId="7E0EDC6F" w:rsidR="009232F3" w:rsidRPr="00017AE6" w:rsidRDefault="00BE59C3" w:rsidP="00A71365">
            <w:pPr>
              <w:pStyle w:val="Tablewriting"/>
              <w:rPr>
                <w:rFonts w:eastAsia="MS Mincho" w:cstheme="minorHAnsi"/>
              </w:rPr>
            </w:pPr>
            <w:r w:rsidRPr="00017AE6">
              <w:rPr>
                <w:rFonts w:eastAsia="MS Mincho" w:cstheme="minorHAnsi"/>
              </w:rPr>
              <w:t>RCT</w:t>
            </w:r>
          </w:p>
        </w:tc>
        <w:tc>
          <w:tcPr>
            <w:tcW w:w="391" w:type="pct"/>
          </w:tcPr>
          <w:p w14:paraId="603B21D8" w14:textId="1B2B791A" w:rsidR="009232F3" w:rsidRPr="00017AE6" w:rsidRDefault="00BE59C3" w:rsidP="00A71365">
            <w:pPr>
              <w:pStyle w:val="Tablewriting"/>
              <w:rPr>
                <w:rFonts w:eastAsia="MS Mincho" w:cstheme="minorHAnsi"/>
              </w:rPr>
            </w:pPr>
            <w:r w:rsidRPr="00017AE6">
              <w:rPr>
                <w:rFonts w:eastAsia="MS Mincho" w:cstheme="minorHAnsi"/>
              </w:rPr>
              <w:t>USA</w:t>
            </w:r>
          </w:p>
        </w:tc>
        <w:tc>
          <w:tcPr>
            <w:tcW w:w="434" w:type="pct"/>
          </w:tcPr>
          <w:p w14:paraId="578E3CCD" w14:textId="6DD187C6" w:rsidR="009232F3" w:rsidRPr="00017AE6" w:rsidRDefault="00BE59C3" w:rsidP="00A71365">
            <w:pPr>
              <w:pStyle w:val="Tablewriting"/>
              <w:rPr>
                <w:rFonts w:eastAsia="MS Mincho" w:cstheme="minorHAnsi"/>
              </w:rPr>
            </w:pPr>
            <w:r w:rsidRPr="00017AE6">
              <w:rPr>
                <w:rFonts w:eastAsia="MS Mincho" w:cstheme="minorHAnsi"/>
              </w:rPr>
              <w:t>N=294</w:t>
            </w:r>
            <w:r>
              <w:rPr>
                <w:rFonts w:eastAsia="MS Mincho" w:cstheme="minorHAnsi"/>
              </w:rPr>
              <w:t>; n=86 (varenicline), n=102 (bupropion), n=106 (placebo)</w:t>
            </w:r>
          </w:p>
        </w:tc>
        <w:tc>
          <w:tcPr>
            <w:tcW w:w="1315" w:type="pct"/>
          </w:tcPr>
          <w:p w14:paraId="1A52B303" w14:textId="5FF4C2A5" w:rsidR="00BE59C3" w:rsidRDefault="004664D2" w:rsidP="00A71365">
            <w:pPr>
              <w:pStyle w:val="Tablewriting"/>
              <w:rPr>
                <w:rFonts w:eastAsia="MS Mincho" w:cstheme="minorHAnsi"/>
              </w:rPr>
            </w:pPr>
            <w:r>
              <w:rPr>
                <w:rFonts w:eastAsia="MS Mincho" w:cstheme="minorHAnsi"/>
              </w:rPr>
              <w:t>V</w:t>
            </w:r>
            <w:r w:rsidRPr="00017AE6">
              <w:rPr>
                <w:rFonts w:eastAsia="MS Mincho" w:cstheme="minorHAnsi"/>
              </w:rPr>
              <w:t>olunteer smokers</w:t>
            </w:r>
            <w:r w:rsidR="00BE59C3" w:rsidRPr="00017AE6">
              <w:rPr>
                <w:rFonts w:eastAsia="MS Mincho" w:cstheme="minorHAnsi"/>
              </w:rPr>
              <w:t xml:space="preserve"> aged 18 - 65, 5+ CPD, fluent in English, no uncontrolled chronic illness, baseline CO &gt; 6 ppm. Mean age 44, 39% women, 66% white, mean CPD 20, mean FTND 4.5, mean baseline CO 24.5 ppm. </w:t>
            </w:r>
          </w:p>
          <w:p w14:paraId="71AA4C22" w14:textId="77777777" w:rsidR="00BE59C3" w:rsidRDefault="00BE59C3" w:rsidP="00A71365">
            <w:pPr>
              <w:pStyle w:val="Tablewriting"/>
              <w:rPr>
                <w:rFonts w:eastAsia="MS Mincho" w:cstheme="minorHAnsi"/>
              </w:rPr>
            </w:pPr>
          </w:p>
          <w:p w14:paraId="06BF5C71" w14:textId="2D37B096" w:rsidR="009232F3" w:rsidRPr="00017AE6" w:rsidRDefault="00BE59C3" w:rsidP="00A71365">
            <w:pPr>
              <w:pStyle w:val="Tablewriting"/>
              <w:rPr>
                <w:rFonts w:eastAsia="MS Mincho" w:cstheme="minorHAnsi"/>
              </w:rPr>
            </w:pPr>
            <w:r w:rsidRPr="002E4C49">
              <w:rPr>
                <w:rFonts w:eastAsia="MS Mincho" w:cstheme="minorHAnsi"/>
                <w:u w:val="single"/>
              </w:rPr>
              <w:t>Exclusions:</w:t>
            </w:r>
            <w:r w:rsidRPr="00017AE6">
              <w:rPr>
                <w:rFonts w:eastAsia="MS Mincho" w:cstheme="minorHAnsi"/>
              </w:rPr>
              <w:t xml:space="preserve"> Usual pharma exclusions, current or history of psychotic</w:t>
            </w:r>
            <w:r>
              <w:rPr>
                <w:rFonts w:eastAsia="MS Mincho" w:cstheme="minorHAnsi"/>
              </w:rPr>
              <w:t xml:space="preserve"> </w:t>
            </w:r>
            <w:r w:rsidRPr="00017AE6">
              <w:rPr>
                <w:rFonts w:eastAsia="MS Mincho" w:cstheme="minorHAnsi"/>
              </w:rPr>
              <w:t>disorder, moderate or high risk of</w:t>
            </w:r>
            <w:r>
              <w:rPr>
                <w:rFonts w:eastAsia="MS Mincho" w:cstheme="minorHAnsi"/>
              </w:rPr>
              <w:t xml:space="preserve"> </w:t>
            </w:r>
            <w:r w:rsidRPr="00017AE6">
              <w:rPr>
                <w:rFonts w:eastAsia="MS Mincho" w:cstheme="minorHAnsi"/>
              </w:rPr>
              <w:t>suicidality, contra-indications to varenicline or bupropion</w:t>
            </w:r>
            <w:r>
              <w:rPr>
                <w:rFonts w:eastAsia="MS Mincho" w:cstheme="minorHAnsi"/>
              </w:rPr>
              <w:t>.</w:t>
            </w:r>
          </w:p>
        </w:tc>
        <w:tc>
          <w:tcPr>
            <w:tcW w:w="1054" w:type="pct"/>
          </w:tcPr>
          <w:p w14:paraId="4C7E2443" w14:textId="77777777" w:rsidR="00BE59C3" w:rsidRPr="00017AE6" w:rsidRDefault="00BE59C3" w:rsidP="00C324F3">
            <w:pPr>
              <w:pStyle w:val="Tablewriting"/>
              <w:numPr>
                <w:ilvl w:val="0"/>
                <w:numId w:val="64"/>
              </w:numPr>
              <w:rPr>
                <w:rFonts w:eastAsia="MS Mincho" w:cstheme="minorHAnsi"/>
              </w:rPr>
            </w:pPr>
            <w:r w:rsidRPr="00017AE6">
              <w:rPr>
                <w:rFonts w:eastAsia="MS Mincho" w:cstheme="minorHAnsi"/>
              </w:rPr>
              <w:t>Varenicline: 12-week course (1 mg x 2/day) + non-active bupropion course (placebo)</w:t>
            </w:r>
          </w:p>
          <w:p w14:paraId="1E41F9E8" w14:textId="77777777" w:rsidR="00BE59C3" w:rsidRPr="00017AE6" w:rsidRDefault="00BE59C3" w:rsidP="00C324F3">
            <w:pPr>
              <w:pStyle w:val="Tablewriting"/>
              <w:numPr>
                <w:ilvl w:val="0"/>
                <w:numId w:val="64"/>
              </w:numPr>
              <w:rPr>
                <w:rFonts w:eastAsia="MS Mincho" w:cstheme="minorHAnsi"/>
              </w:rPr>
            </w:pPr>
            <w:r w:rsidRPr="00017AE6">
              <w:rPr>
                <w:rFonts w:eastAsia="MS Mincho" w:cstheme="minorHAnsi"/>
              </w:rPr>
              <w:t>Bupropion: 12-week course (150 mg x 2/day) + non-active varenicline course (placebo)</w:t>
            </w:r>
          </w:p>
          <w:p w14:paraId="641CEB68" w14:textId="77777777" w:rsidR="00BE59C3" w:rsidRPr="00017AE6" w:rsidRDefault="00BE59C3" w:rsidP="00C324F3">
            <w:pPr>
              <w:pStyle w:val="Tablewriting"/>
              <w:numPr>
                <w:ilvl w:val="0"/>
                <w:numId w:val="64"/>
              </w:numPr>
              <w:rPr>
                <w:rFonts w:eastAsia="MS Mincho" w:cstheme="minorHAnsi"/>
              </w:rPr>
            </w:pPr>
            <w:r w:rsidRPr="00017AE6">
              <w:rPr>
                <w:rFonts w:eastAsia="MS Mincho" w:cstheme="minorHAnsi"/>
              </w:rPr>
              <w:t>Placebo: 12-week course (placebo pill x 2/day)</w:t>
            </w:r>
          </w:p>
          <w:p w14:paraId="447FE27A" w14:textId="77777777" w:rsidR="00BE59C3" w:rsidRDefault="00BE59C3" w:rsidP="00A71365">
            <w:pPr>
              <w:pStyle w:val="Tablewriting"/>
              <w:rPr>
                <w:rFonts w:eastAsia="MS Mincho" w:cstheme="minorHAnsi"/>
              </w:rPr>
            </w:pPr>
          </w:p>
          <w:p w14:paraId="79203929" w14:textId="6A92DBDB" w:rsidR="00BE59C3" w:rsidRDefault="00BE59C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 xml:space="preserve">All participants got intensive counselling, </w:t>
            </w:r>
            <w:r w:rsidR="004664D2" w:rsidRPr="00017AE6">
              <w:rPr>
                <w:rFonts w:eastAsia="MS Mincho" w:cstheme="minorHAnsi"/>
              </w:rPr>
              <w:t>i.e.,</w:t>
            </w:r>
            <w:r w:rsidRPr="00017AE6">
              <w:rPr>
                <w:rFonts w:eastAsia="MS Mincho" w:cstheme="minorHAnsi"/>
              </w:rPr>
              <w:t xml:space="preserve"> 6 x in-person 30-minute individual counselling sessions</w:t>
            </w:r>
            <w:r>
              <w:rPr>
                <w:rFonts w:eastAsia="MS Mincho" w:cstheme="minorHAnsi"/>
              </w:rPr>
              <w:t xml:space="preserve"> </w:t>
            </w:r>
            <w:r w:rsidRPr="00017AE6">
              <w:rPr>
                <w:rFonts w:eastAsia="MS Mincho" w:cstheme="minorHAnsi"/>
              </w:rPr>
              <w:t xml:space="preserve">and 4 x 15-minute phone calls during treatment phase, based on MI techniques. </w:t>
            </w:r>
          </w:p>
          <w:p w14:paraId="643DC7BD" w14:textId="77777777" w:rsidR="00BE59C3" w:rsidRPr="00017AE6" w:rsidRDefault="00BE59C3" w:rsidP="00A71365">
            <w:pPr>
              <w:pStyle w:val="Tablewriting"/>
              <w:rPr>
                <w:rFonts w:eastAsia="MS Mincho" w:cstheme="minorHAnsi"/>
              </w:rPr>
            </w:pPr>
            <w:r w:rsidRPr="00017AE6">
              <w:rPr>
                <w:rFonts w:eastAsia="MS Mincho" w:cstheme="minorHAnsi"/>
              </w:rPr>
              <w:t>During follow-up, each</w:t>
            </w:r>
          </w:p>
          <w:p w14:paraId="764A17F7" w14:textId="31248297" w:rsidR="009232F3" w:rsidRPr="00017AE6" w:rsidRDefault="00BE59C3" w:rsidP="00A71365">
            <w:pPr>
              <w:pStyle w:val="Tablewriting"/>
              <w:rPr>
                <w:rFonts w:eastAsia="MS Mincho" w:cstheme="minorHAnsi"/>
              </w:rPr>
            </w:pPr>
            <w:r w:rsidRPr="00017AE6">
              <w:rPr>
                <w:rFonts w:eastAsia="MS Mincho" w:cstheme="minorHAnsi"/>
              </w:rPr>
              <w:t>participant got a 15-minute in-person visit at 3</w:t>
            </w:r>
            <w:r>
              <w:rPr>
                <w:rFonts w:eastAsia="MS Mincho" w:cstheme="minorHAnsi"/>
              </w:rPr>
              <w:t xml:space="preserve"> months</w:t>
            </w:r>
            <w:r w:rsidRPr="00017AE6">
              <w:rPr>
                <w:rFonts w:eastAsia="MS Mincho" w:cstheme="minorHAnsi"/>
              </w:rPr>
              <w:t xml:space="preserve"> and 6</w:t>
            </w:r>
            <w:r>
              <w:rPr>
                <w:rFonts w:eastAsia="MS Mincho" w:cstheme="minorHAnsi"/>
              </w:rPr>
              <w:t xml:space="preserve"> months</w:t>
            </w:r>
            <w:r w:rsidRPr="00017AE6">
              <w:rPr>
                <w:rFonts w:eastAsia="MS Mincho" w:cstheme="minorHAnsi"/>
              </w:rPr>
              <w:t>, and a 15-minute phone call at 4</w:t>
            </w:r>
            <w:r>
              <w:rPr>
                <w:rFonts w:eastAsia="MS Mincho" w:cstheme="minorHAnsi"/>
              </w:rPr>
              <w:t xml:space="preserve"> months.</w:t>
            </w:r>
          </w:p>
        </w:tc>
        <w:tc>
          <w:tcPr>
            <w:tcW w:w="959" w:type="pct"/>
          </w:tcPr>
          <w:p w14:paraId="60B2A808" w14:textId="77777777" w:rsidR="00BE59C3" w:rsidRDefault="00BE59C3" w:rsidP="00A71365">
            <w:pPr>
              <w:pStyle w:val="Tablewriting"/>
              <w:rPr>
                <w:rFonts w:eastAsia="MS Mincho" w:cstheme="minorHAnsi"/>
              </w:rPr>
            </w:pPr>
            <w:r w:rsidRPr="006A1B9A">
              <w:rPr>
                <w:rFonts w:eastAsia="MS Mincho" w:cstheme="minorHAnsi"/>
                <w:u w:val="single"/>
              </w:rPr>
              <w:t>Efficacy:</w:t>
            </w:r>
            <w:r>
              <w:rPr>
                <w:rFonts w:eastAsia="MS Mincho" w:cstheme="minorHAnsi"/>
              </w:rPr>
              <w:t xml:space="preserve"> </w:t>
            </w:r>
          </w:p>
          <w:p w14:paraId="40E51831" w14:textId="77777777" w:rsidR="00BE59C3" w:rsidRPr="00017AE6" w:rsidRDefault="00BE59C3" w:rsidP="00A71365">
            <w:pPr>
              <w:pStyle w:val="Tablewriting"/>
              <w:rPr>
                <w:rFonts w:eastAsia="MS Mincho" w:cstheme="minorHAnsi"/>
              </w:rPr>
            </w:pPr>
            <w:r w:rsidRPr="00017AE6">
              <w:rPr>
                <w:rFonts w:eastAsia="MS Mincho" w:cstheme="minorHAnsi"/>
              </w:rPr>
              <w:t xml:space="preserve">Primary: PA at </w:t>
            </w:r>
            <w:r w:rsidRPr="00BB72B1">
              <w:rPr>
                <w:rFonts w:eastAsia="MS Mincho" w:cstheme="minorHAnsi"/>
              </w:rPr>
              <w:t>EoT</w:t>
            </w:r>
            <w:r>
              <w:rPr>
                <w:rFonts w:eastAsia="MS Mincho" w:cstheme="minorHAnsi"/>
              </w:rPr>
              <w:t>;</w:t>
            </w:r>
          </w:p>
          <w:p w14:paraId="2FDDEF1C" w14:textId="77777777" w:rsidR="00BE59C3" w:rsidRDefault="00BE59C3" w:rsidP="00A71365">
            <w:pPr>
              <w:pStyle w:val="Tablewriting"/>
              <w:rPr>
                <w:rFonts w:eastAsia="MS Mincho" w:cstheme="minorHAnsi"/>
              </w:rPr>
            </w:pPr>
            <w:r w:rsidRPr="00017AE6">
              <w:rPr>
                <w:rFonts w:eastAsia="MS Mincho" w:cstheme="minorHAnsi"/>
              </w:rPr>
              <w:t>Secondary: PA at 3</w:t>
            </w:r>
            <w:r>
              <w:rPr>
                <w:rFonts w:eastAsia="MS Mincho" w:cstheme="minorHAnsi"/>
              </w:rPr>
              <w:t>-month</w:t>
            </w:r>
            <w:r w:rsidRPr="00017AE6">
              <w:rPr>
                <w:rFonts w:eastAsia="MS Mincho" w:cstheme="minorHAnsi"/>
              </w:rPr>
              <w:t xml:space="preserve"> post-quit, 6</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w:t>
            </w:r>
          </w:p>
          <w:p w14:paraId="702AE0CE" w14:textId="77777777" w:rsidR="00BE59C3" w:rsidRDefault="00BE59C3" w:rsidP="00A71365">
            <w:pPr>
              <w:pStyle w:val="Tablewriting"/>
              <w:rPr>
                <w:rFonts w:eastAsia="MS Mincho" w:cstheme="minorHAnsi"/>
              </w:rPr>
            </w:pPr>
            <w:r w:rsidRPr="00017AE6">
              <w:rPr>
                <w:rFonts w:eastAsia="MS Mincho" w:cstheme="minorHAnsi"/>
              </w:rPr>
              <w:t>CA at 3</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6</w:t>
            </w:r>
            <w:r>
              <w:rPr>
                <w:rFonts w:eastAsia="MS Mincho" w:cstheme="minorHAnsi"/>
              </w:rPr>
              <w:t>-</w:t>
            </w:r>
            <w:r w:rsidRPr="00017AE6">
              <w:rPr>
                <w:rFonts w:eastAsia="MS Mincho" w:cstheme="minorHAnsi"/>
              </w:rPr>
              <w:t>m</w:t>
            </w:r>
            <w:r>
              <w:rPr>
                <w:rFonts w:eastAsia="MS Mincho" w:cstheme="minorHAnsi"/>
              </w:rPr>
              <w:t>onth</w:t>
            </w:r>
            <w:r w:rsidRPr="00017AE6">
              <w:rPr>
                <w:rFonts w:eastAsia="MS Mincho" w:cstheme="minorHAnsi"/>
              </w:rPr>
              <w:t xml:space="preserve"> post-quit; 7-day PPA at EoT, 3</w:t>
            </w:r>
            <w:r>
              <w:rPr>
                <w:rFonts w:eastAsia="MS Mincho" w:cstheme="minorHAnsi"/>
              </w:rPr>
              <w:t xml:space="preserve">, 6 </w:t>
            </w:r>
            <w:r w:rsidRPr="00017AE6">
              <w:rPr>
                <w:rFonts w:eastAsia="MS Mincho" w:cstheme="minorHAnsi"/>
              </w:rPr>
              <w:t>m</w:t>
            </w:r>
            <w:r>
              <w:rPr>
                <w:rFonts w:eastAsia="MS Mincho" w:cstheme="minorHAnsi"/>
              </w:rPr>
              <w:t xml:space="preserve">onths </w:t>
            </w:r>
            <w:r w:rsidRPr="00017AE6">
              <w:rPr>
                <w:rFonts w:eastAsia="MS Mincho" w:cstheme="minorHAnsi"/>
              </w:rPr>
              <w:t>post-quit</w:t>
            </w:r>
            <w:r>
              <w:rPr>
                <w:rFonts w:eastAsia="MS Mincho" w:cstheme="minorHAnsi"/>
              </w:rPr>
              <w:t>.</w:t>
            </w:r>
          </w:p>
          <w:p w14:paraId="37FF44A9" w14:textId="77777777" w:rsidR="00BE59C3" w:rsidRPr="00017AE6" w:rsidRDefault="00BE59C3" w:rsidP="00A71365">
            <w:pPr>
              <w:pStyle w:val="Tablewriting"/>
              <w:rPr>
                <w:rFonts w:eastAsia="MS Mincho" w:cstheme="minorHAnsi"/>
              </w:rPr>
            </w:pPr>
          </w:p>
          <w:p w14:paraId="56F9CAC1" w14:textId="77777777" w:rsidR="00BE59C3" w:rsidRPr="00017AE6" w:rsidRDefault="00BE59C3" w:rsidP="00A71365">
            <w:pPr>
              <w:pStyle w:val="Tablewriting"/>
              <w:rPr>
                <w:rFonts w:eastAsia="MS Mincho" w:cstheme="minorHAnsi"/>
              </w:rPr>
            </w:pPr>
            <w:r w:rsidRPr="00017AE6">
              <w:rPr>
                <w:rFonts w:eastAsia="MS Mincho" w:cstheme="minorHAnsi"/>
              </w:rPr>
              <w:t>Validation: CO &lt; 10 ppm. Self-reported abstainers were asked to send a salivary cotinine sample (&lt; 15</w:t>
            </w:r>
          </w:p>
          <w:p w14:paraId="1386526C" w14:textId="47E43344" w:rsidR="009232F3" w:rsidRPr="00017AE6" w:rsidRDefault="00BE59C3" w:rsidP="00A71365">
            <w:pPr>
              <w:pStyle w:val="Tablewriting"/>
              <w:rPr>
                <w:rFonts w:eastAsia="MS Mincho" w:cstheme="minorHAnsi"/>
              </w:rPr>
            </w:pPr>
            <w:r w:rsidRPr="00017AE6">
              <w:rPr>
                <w:rFonts w:eastAsia="MS Mincho" w:cstheme="minorHAnsi"/>
              </w:rPr>
              <w:t>ng/mL) by post</w:t>
            </w:r>
          </w:p>
        </w:tc>
      </w:tr>
      <w:tr w:rsidR="009232F3" w:rsidRPr="00017AE6" w14:paraId="52CBF9FD" w14:textId="77777777" w:rsidTr="005821B1">
        <w:trPr>
          <w:trHeight w:val="99"/>
        </w:trPr>
        <w:tc>
          <w:tcPr>
            <w:tcW w:w="458" w:type="pct"/>
          </w:tcPr>
          <w:p w14:paraId="7E2C7C67" w14:textId="22FD85F2" w:rsidR="009232F3" w:rsidRPr="00017AE6" w:rsidRDefault="00CD7490" w:rsidP="00A71365">
            <w:pPr>
              <w:pStyle w:val="Tablewriting"/>
              <w:rPr>
                <w:rFonts w:eastAsia="MS Mincho" w:cstheme="minorHAnsi"/>
              </w:rPr>
            </w:pPr>
            <w:r w:rsidRPr="00866DE0">
              <w:rPr>
                <w:rFonts w:eastAsia="MS Mincho"/>
              </w:rPr>
              <w:t xml:space="preserve">Gonzales </w:t>
            </w:r>
            <w:r w:rsidR="009523C1">
              <w:rPr>
                <w:rFonts w:eastAsia="MS Mincho"/>
              </w:rPr>
              <w:t>(</w:t>
            </w:r>
            <w:r w:rsidRPr="00866DE0">
              <w:rPr>
                <w:rFonts w:eastAsia="MS Mincho"/>
              </w:rPr>
              <w:t>2006</w:t>
            </w:r>
            <w:r w:rsidR="009523C1">
              <w:rPr>
                <w:rFonts w:eastAsia="MS Mincho"/>
              </w:rPr>
              <w:t>)</w:t>
            </w:r>
          </w:p>
        </w:tc>
        <w:tc>
          <w:tcPr>
            <w:tcW w:w="390" w:type="pct"/>
          </w:tcPr>
          <w:p w14:paraId="0BAD7A46" w14:textId="73085F9D" w:rsidR="009232F3" w:rsidRPr="00017AE6" w:rsidRDefault="009523C1" w:rsidP="00A71365">
            <w:pPr>
              <w:pStyle w:val="Tablewriting"/>
              <w:rPr>
                <w:rFonts w:eastAsia="MS Mincho" w:cstheme="minorHAnsi"/>
              </w:rPr>
            </w:pPr>
            <w:r>
              <w:rPr>
                <w:rFonts w:eastAsia="MS Mincho"/>
              </w:rPr>
              <w:t>RCT</w:t>
            </w:r>
          </w:p>
        </w:tc>
        <w:tc>
          <w:tcPr>
            <w:tcW w:w="391" w:type="pct"/>
          </w:tcPr>
          <w:p w14:paraId="193896D7" w14:textId="23490DE9" w:rsidR="009232F3" w:rsidRPr="00017AE6" w:rsidRDefault="009523C1" w:rsidP="00A71365">
            <w:pPr>
              <w:pStyle w:val="Tablewriting"/>
              <w:rPr>
                <w:rFonts w:eastAsia="MS Mincho" w:cstheme="minorHAnsi"/>
              </w:rPr>
            </w:pPr>
            <w:r>
              <w:rPr>
                <w:rFonts w:eastAsia="MS Mincho"/>
              </w:rPr>
              <w:t>USA</w:t>
            </w:r>
          </w:p>
        </w:tc>
        <w:tc>
          <w:tcPr>
            <w:tcW w:w="434" w:type="pct"/>
          </w:tcPr>
          <w:p w14:paraId="2AFF6D8E" w14:textId="44A7717F" w:rsidR="009232F3" w:rsidRPr="00017AE6" w:rsidRDefault="009523C1" w:rsidP="00A71365">
            <w:pPr>
              <w:pStyle w:val="Tablewriting"/>
              <w:rPr>
                <w:rFonts w:eastAsia="MS Mincho" w:cstheme="minorHAnsi"/>
              </w:rPr>
            </w:pPr>
            <w:r>
              <w:rPr>
                <w:rFonts w:eastAsia="MS Mincho"/>
              </w:rPr>
              <w:t>N=673</w:t>
            </w:r>
          </w:p>
        </w:tc>
        <w:tc>
          <w:tcPr>
            <w:tcW w:w="1315" w:type="pct"/>
          </w:tcPr>
          <w:p w14:paraId="66B9E469" w14:textId="77777777" w:rsidR="009523C1" w:rsidRPr="00504862" w:rsidRDefault="009523C1" w:rsidP="00A71365">
            <w:pPr>
              <w:pStyle w:val="Tablewriting"/>
              <w:rPr>
                <w:rFonts w:eastAsia="MS Mincho"/>
              </w:rPr>
            </w:pPr>
            <w:r w:rsidRPr="00504862">
              <w:rPr>
                <w:rFonts w:eastAsia="MS Mincho"/>
              </w:rPr>
              <w:t>Participants</w:t>
            </w:r>
            <w:r>
              <w:rPr>
                <w:rFonts w:eastAsia="MS Mincho"/>
              </w:rPr>
              <w:t xml:space="preserve"> </w:t>
            </w:r>
            <w:r w:rsidRPr="00504862">
              <w:rPr>
                <w:rFonts w:eastAsia="MS Mincho"/>
              </w:rPr>
              <w:t>with prior exposure to bupropion excluded; 46% female; average age 42; average cigarettes</w:t>
            </w:r>
          </w:p>
          <w:p w14:paraId="241AA3F3" w14:textId="047C70BB" w:rsidR="009232F3" w:rsidRPr="00017AE6" w:rsidRDefault="009523C1" w:rsidP="00A71365">
            <w:pPr>
              <w:pStyle w:val="Tablewriting"/>
              <w:rPr>
                <w:rFonts w:eastAsia="MS Mincho" w:cstheme="minorHAnsi"/>
              </w:rPr>
            </w:pPr>
            <w:r w:rsidRPr="00504862">
              <w:rPr>
                <w:rFonts w:eastAsia="MS Mincho"/>
              </w:rPr>
              <w:t>per day 21</w:t>
            </w:r>
          </w:p>
        </w:tc>
        <w:tc>
          <w:tcPr>
            <w:tcW w:w="1054" w:type="pct"/>
          </w:tcPr>
          <w:p w14:paraId="34FD6E95" w14:textId="77777777" w:rsidR="009523C1" w:rsidRPr="0017192A" w:rsidRDefault="009523C1" w:rsidP="00C324F3">
            <w:pPr>
              <w:pStyle w:val="Tablewriting"/>
              <w:numPr>
                <w:ilvl w:val="0"/>
                <w:numId w:val="25"/>
              </w:numPr>
              <w:rPr>
                <w:rFonts w:eastAsia="MS Mincho"/>
              </w:rPr>
            </w:pPr>
            <w:r w:rsidRPr="0017192A">
              <w:rPr>
                <w:rFonts w:eastAsia="MS Mincho"/>
              </w:rPr>
              <w:t>Bupropion, 300 mg/day for 12 weeks, begun 7 days pre-TQD</w:t>
            </w:r>
          </w:p>
          <w:p w14:paraId="798809E4" w14:textId="77777777" w:rsidR="009523C1" w:rsidRPr="0017192A" w:rsidRDefault="009523C1" w:rsidP="00C324F3">
            <w:pPr>
              <w:pStyle w:val="Tablewriting"/>
              <w:numPr>
                <w:ilvl w:val="0"/>
                <w:numId w:val="25"/>
              </w:numPr>
              <w:rPr>
                <w:rFonts w:eastAsia="MS Mincho"/>
              </w:rPr>
            </w:pPr>
            <w:r w:rsidRPr="0017192A">
              <w:rPr>
                <w:rFonts w:eastAsia="MS Mincho"/>
              </w:rPr>
              <w:t>Varenicline, 2 mg/day</w:t>
            </w:r>
          </w:p>
          <w:p w14:paraId="72F05FC5" w14:textId="77777777" w:rsidR="009523C1" w:rsidRPr="0017192A" w:rsidRDefault="009523C1" w:rsidP="00C324F3">
            <w:pPr>
              <w:pStyle w:val="Tablewriting"/>
              <w:numPr>
                <w:ilvl w:val="0"/>
                <w:numId w:val="25"/>
              </w:numPr>
              <w:rPr>
                <w:rFonts w:eastAsia="MS Mincho"/>
              </w:rPr>
            </w:pPr>
            <w:r w:rsidRPr="0017192A">
              <w:rPr>
                <w:rFonts w:eastAsia="MS Mincho"/>
              </w:rPr>
              <w:t>Placebo</w:t>
            </w:r>
          </w:p>
          <w:p w14:paraId="0A96F0CC" w14:textId="77777777" w:rsidR="009523C1" w:rsidRDefault="009523C1" w:rsidP="00A71365">
            <w:pPr>
              <w:pStyle w:val="Tablewriting"/>
              <w:rPr>
                <w:rFonts w:eastAsia="MS Mincho"/>
              </w:rPr>
            </w:pPr>
          </w:p>
          <w:p w14:paraId="2D106012" w14:textId="5BA068B2" w:rsidR="009232F3" w:rsidRPr="00017AE6" w:rsidRDefault="009523C1" w:rsidP="00A71365">
            <w:pPr>
              <w:pStyle w:val="Tablewriting"/>
              <w:rPr>
                <w:rFonts w:eastAsia="MS Mincho" w:cstheme="minorHAnsi"/>
              </w:rPr>
            </w:pPr>
            <w:r w:rsidRPr="0017192A">
              <w:rPr>
                <w:rFonts w:eastAsia="MS Mincho"/>
                <w:u w:val="single"/>
              </w:rPr>
              <w:t>Common components:</w:t>
            </w:r>
            <w:r w:rsidRPr="0017192A">
              <w:rPr>
                <w:rFonts w:eastAsia="MS Mincho"/>
              </w:rPr>
              <w:t xml:space="preserve"> brief (&lt;10-minute) standardized individual counselling at 12</w:t>
            </w:r>
            <w:r>
              <w:rPr>
                <w:rFonts w:eastAsia="MS Mincho"/>
              </w:rPr>
              <w:t xml:space="preserve"> </w:t>
            </w:r>
            <w:r w:rsidRPr="0017192A">
              <w:rPr>
                <w:rFonts w:eastAsia="MS Mincho"/>
              </w:rPr>
              <w:lastRenderedPageBreak/>
              <w:t>weekly visits during</w:t>
            </w:r>
            <w:r>
              <w:rPr>
                <w:rFonts w:eastAsia="MS Mincho"/>
              </w:rPr>
              <w:t xml:space="preserve"> </w:t>
            </w:r>
            <w:r w:rsidRPr="0017192A">
              <w:rPr>
                <w:rFonts w:eastAsia="MS Mincho"/>
              </w:rPr>
              <w:t>drug phase and 11 clinic/phone visits</w:t>
            </w:r>
            <w:r>
              <w:rPr>
                <w:rFonts w:eastAsia="MS Mincho"/>
              </w:rPr>
              <w:t xml:space="preserve"> </w:t>
            </w:r>
            <w:r w:rsidRPr="0017192A">
              <w:rPr>
                <w:rFonts w:eastAsia="MS Mincho"/>
              </w:rPr>
              <w:t>during follow-up, problem</w:t>
            </w:r>
            <w:r>
              <w:rPr>
                <w:rFonts w:eastAsia="MS Mincho"/>
              </w:rPr>
              <w:t xml:space="preserve"> </w:t>
            </w:r>
            <w:r w:rsidRPr="0017192A">
              <w:rPr>
                <w:rFonts w:eastAsia="MS Mincho"/>
              </w:rPr>
              <w:t>solving and relapse prevention</w:t>
            </w:r>
          </w:p>
        </w:tc>
        <w:tc>
          <w:tcPr>
            <w:tcW w:w="959" w:type="pct"/>
          </w:tcPr>
          <w:p w14:paraId="33DD6369" w14:textId="77777777" w:rsidR="009523C1" w:rsidRPr="00BD16BB" w:rsidRDefault="009523C1" w:rsidP="00A71365">
            <w:pPr>
              <w:pStyle w:val="Tablewriting"/>
              <w:rPr>
                <w:rFonts w:eastAsia="MS Mincho"/>
              </w:rPr>
            </w:pPr>
            <w:r w:rsidRPr="00BD16BB">
              <w:rPr>
                <w:rFonts w:eastAsia="MS Mincho"/>
                <w:u w:val="single"/>
              </w:rPr>
              <w:lastRenderedPageBreak/>
              <w:t>Efficacy:</w:t>
            </w:r>
            <w:r w:rsidRPr="00BD16BB">
              <w:rPr>
                <w:rFonts w:eastAsia="MS Mincho"/>
              </w:rPr>
              <w:t xml:space="preserve"> sustained abstinence at 1 year (starting from week 4). Validated by CO </w:t>
            </w:r>
            <w:r w:rsidRPr="00D96BA4">
              <w:rPr>
                <w:rFonts w:eastAsia="MS Mincho"/>
              </w:rPr>
              <w:t>≤</w:t>
            </w:r>
            <w:r w:rsidRPr="00BD16BB">
              <w:rPr>
                <w:rFonts w:eastAsia="MS Mincho"/>
              </w:rPr>
              <w:t xml:space="preserve"> 10 ppm</w:t>
            </w:r>
          </w:p>
          <w:p w14:paraId="4F3B7874" w14:textId="77777777" w:rsidR="009523C1" w:rsidRPr="00BD16BB" w:rsidRDefault="009523C1" w:rsidP="00A71365">
            <w:pPr>
              <w:pStyle w:val="Tablewriting"/>
              <w:rPr>
                <w:rFonts w:eastAsia="MS Mincho"/>
              </w:rPr>
            </w:pPr>
            <w:r w:rsidRPr="00BD16BB">
              <w:rPr>
                <w:rFonts w:eastAsia="MS Mincho"/>
              </w:rPr>
              <w:t>at each visit</w:t>
            </w:r>
          </w:p>
          <w:p w14:paraId="68424E41" w14:textId="3788D4A8" w:rsidR="009232F3" w:rsidRPr="00017AE6" w:rsidRDefault="009523C1" w:rsidP="00A71365">
            <w:pPr>
              <w:pStyle w:val="Tablewriting"/>
              <w:rPr>
                <w:rFonts w:eastAsia="MS Mincho" w:cstheme="minorHAnsi"/>
              </w:rPr>
            </w:pPr>
            <w:r w:rsidRPr="00BD16BB">
              <w:rPr>
                <w:rFonts w:eastAsia="MS Mincho"/>
                <w:u w:val="single"/>
              </w:rPr>
              <w:t>Safety:</w:t>
            </w:r>
            <w:r w:rsidRPr="00BD16BB">
              <w:rPr>
                <w:rFonts w:eastAsia="MS Mincho"/>
              </w:rPr>
              <w:t xml:space="preserve"> measured for 13 weeks</w:t>
            </w:r>
          </w:p>
        </w:tc>
      </w:tr>
      <w:tr w:rsidR="009232F3" w:rsidRPr="00017AE6" w14:paraId="00F22EFD" w14:textId="77777777" w:rsidTr="005821B1">
        <w:trPr>
          <w:trHeight w:val="99"/>
        </w:trPr>
        <w:tc>
          <w:tcPr>
            <w:tcW w:w="458" w:type="pct"/>
          </w:tcPr>
          <w:p w14:paraId="76422FFB" w14:textId="437B712D" w:rsidR="009232F3" w:rsidRPr="00017AE6" w:rsidRDefault="00CD7490" w:rsidP="00A71365">
            <w:pPr>
              <w:pStyle w:val="Tablewriting"/>
              <w:rPr>
                <w:rFonts w:eastAsia="MS Mincho" w:cstheme="minorHAnsi"/>
              </w:rPr>
            </w:pPr>
            <w:r w:rsidRPr="00866DE0">
              <w:rPr>
                <w:rFonts w:eastAsia="MS Mincho"/>
              </w:rPr>
              <w:t xml:space="preserve">Jorenby </w:t>
            </w:r>
            <w:r w:rsidR="00232CCC">
              <w:rPr>
                <w:rFonts w:eastAsia="MS Mincho"/>
              </w:rPr>
              <w:t>(</w:t>
            </w:r>
            <w:r w:rsidRPr="00866DE0">
              <w:rPr>
                <w:rFonts w:eastAsia="MS Mincho"/>
              </w:rPr>
              <w:t>2006</w:t>
            </w:r>
            <w:r w:rsidR="00232CCC">
              <w:rPr>
                <w:rFonts w:eastAsia="MS Mincho"/>
              </w:rPr>
              <w:t>)</w:t>
            </w:r>
          </w:p>
        </w:tc>
        <w:tc>
          <w:tcPr>
            <w:tcW w:w="390" w:type="pct"/>
          </w:tcPr>
          <w:p w14:paraId="64379E8D" w14:textId="71B1B718" w:rsidR="009232F3" w:rsidRPr="00017AE6" w:rsidRDefault="00232CCC" w:rsidP="00A71365">
            <w:pPr>
              <w:pStyle w:val="Tablewriting"/>
              <w:rPr>
                <w:rFonts w:eastAsia="MS Mincho" w:cstheme="minorHAnsi"/>
              </w:rPr>
            </w:pPr>
            <w:r>
              <w:rPr>
                <w:rFonts w:eastAsia="MS Mincho"/>
              </w:rPr>
              <w:t>RCT</w:t>
            </w:r>
          </w:p>
        </w:tc>
        <w:tc>
          <w:tcPr>
            <w:tcW w:w="391" w:type="pct"/>
          </w:tcPr>
          <w:p w14:paraId="44CA767E" w14:textId="49C9F533" w:rsidR="009232F3" w:rsidRPr="00017AE6" w:rsidRDefault="00232CCC" w:rsidP="00A71365">
            <w:pPr>
              <w:pStyle w:val="Tablewriting"/>
              <w:rPr>
                <w:rFonts w:eastAsia="MS Mincho" w:cstheme="minorHAnsi"/>
              </w:rPr>
            </w:pPr>
            <w:r>
              <w:rPr>
                <w:rFonts w:eastAsia="MS Mincho"/>
              </w:rPr>
              <w:t>USA</w:t>
            </w:r>
          </w:p>
        </w:tc>
        <w:tc>
          <w:tcPr>
            <w:tcW w:w="434" w:type="pct"/>
          </w:tcPr>
          <w:p w14:paraId="26308F80" w14:textId="63D08B81" w:rsidR="009232F3" w:rsidRPr="00017AE6" w:rsidRDefault="00232CCC" w:rsidP="00A71365">
            <w:pPr>
              <w:pStyle w:val="Tablewriting"/>
              <w:rPr>
                <w:rFonts w:eastAsia="MS Mincho" w:cstheme="minorHAnsi"/>
              </w:rPr>
            </w:pPr>
            <w:r>
              <w:rPr>
                <w:rFonts w:eastAsia="MS Mincho"/>
              </w:rPr>
              <w:t>N=683</w:t>
            </w:r>
          </w:p>
        </w:tc>
        <w:tc>
          <w:tcPr>
            <w:tcW w:w="1315" w:type="pct"/>
          </w:tcPr>
          <w:p w14:paraId="5284B5DE" w14:textId="77777777" w:rsidR="00232CCC" w:rsidRPr="00FC26BE" w:rsidRDefault="00232CCC" w:rsidP="00A71365">
            <w:pPr>
              <w:pStyle w:val="Tablewriting"/>
              <w:rPr>
                <w:rFonts w:eastAsia="MS Mincho"/>
              </w:rPr>
            </w:pPr>
            <w:r>
              <w:rPr>
                <w:rFonts w:eastAsia="MS Mincho"/>
              </w:rPr>
              <w:t>S</w:t>
            </w:r>
            <w:r w:rsidRPr="00FC26BE">
              <w:rPr>
                <w:rFonts w:eastAsia="MS Mincho"/>
              </w:rPr>
              <w:t>mokers (in relevant arms), with prior exposure to bupropion excluded; 41% female; average age</w:t>
            </w:r>
          </w:p>
          <w:p w14:paraId="2FFDDF2B" w14:textId="4841F5F7" w:rsidR="009232F3" w:rsidRPr="00017AE6" w:rsidRDefault="00232CCC" w:rsidP="00A71365">
            <w:pPr>
              <w:pStyle w:val="Tablewriting"/>
              <w:rPr>
                <w:rFonts w:eastAsia="MS Mincho" w:cstheme="minorHAnsi"/>
              </w:rPr>
            </w:pPr>
            <w:r w:rsidRPr="00FC26BE">
              <w:rPr>
                <w:rFonts w:eastAsia="MS Mincho"/>
              </w:rPr>
              <w:t>42; average cigarettes per day 22</w:t>
            </w:r>
          </w:p>
        </w:tc>
        <w:tc>
          <w:tcPr>
            <w:tcW w:w="1054" w:type="pct"/>
          </w:tcPr>
          <w:p w14:paraId="2585E949" w14:textId="77777777" w:rsidR="00232CCC" w:rsidRDefault="00232CCC" w:rsidP="00C324F3">
            <w:pPr>
              <w:pStyle w:val="Tablewriting"/>
              <w:numPr>
                <w:ilvl w:val="0"/>
                <w:numId w:val="32"/>
              </w:numPr>
              <w:rPr>
                <w:rFonts w:eastAsia="MS Mincho"/>
              </w:rPr>
            </w:pPr>
            <w:r w:rsidRPr="003078C0">
              <w:rPr>
                <w:rFonts w:eastAsia="MS Mincho"/>
              </w:rPr>
              <w:t>Bupropion 300 mg for 12 weeks + placebo varenicline</w:t>
            </w:r>
          </w:p>
          <w:p w14:paraId="1D536638" w14:textId="77777777" w:rsidR="00232CCC" w:rsidRDefault="00232CCC" w:rsidP="00C324F3">
            <w:pPr>
              <w:pStyle w:val="Tablewriting"/>
              <w:numPr>
                <w:ilvl w:val="0"/>
                <w:numId w:val="32"/>
              </w:numPr>
              <w:rPr>
                <w:rFonts w:eastAsia="MS Mincho"/>
              </w:rPr>
            </w:pPr>
            <w:r w:rsidRPr="003078C0">
              <w:rPr>
                <w:rFonts w:eastAsia="MS Mincho"/>
              </w:rPr>
              <w:t>Varenicline 2 mg for 12 weeks + placebo bupropion</w:t>
            </w:r>
          </w:p>
          <w:p w14:paraId="23853DE0" w14:textId="77777777" w:rsidR="00232CCC" w:rsidRPr="003078C0" w:rsidRDefault="00232CCC" w:rsidP="00C324F3">
            <w:pPr>
              <w:pStyle w:val="Tablewriting"/>
              <w:numPr>
                <w:ilvl w:val="0"/>
                <w:numId w:val="32"/>
              </w:numPr>
              <w:rPr>
                <w:rFonts w:eastAsia="MS Mincho"/>
              </w:rPr>
            </w:pPr>
            <w:r w:rsidRPr="003078C0">
              <w:rPr>
                <w:rFonts w:eastAsia="MS Mincho"/>
              </w:rPr>
              <w:t>Placebo bupropion and placebo varenicline</w:t>
            </w:r>
          </w:p>
          <w:p w14:paraId="49A37172" w14:textId="77777777" w:rsidR="00232CCC" w:rsidRDefault="00232CCC" w:rsidP="00A71365">
            <w:pPr>
              <w:pStyle w:val="Tablewriting"/>
              <w:rPr>
                <w:rFonts w:eastAsia="MS Mincho"/>
              </w:rPr>
            </w:pPr>
          </w:p>
          <w:p w14:paraId="39673AE8" w14:textId="1E440FA9" w:rsidR="009232F3" w:rsidRPr="00017AE6" w:rsidRDefault="00232CCC" w:rsidP="00A71365">
            <w:pPr>
              <w:pStyle w:val="Tablewriting"/>
              <w:rPr>
                <w:rFonts w:eastAsia="MS Mincho" w:cstheme="minorHAnsi"/>
              </w:rPr>
            </w:pPr>
            <w:r w:rsidRPr="003078C0">
              <w:rPr>
                <w:rFonts w:eastAsia="MS Mincho"/>
                <w:u w:val="single"/>
              </w:rPr>
              <w:t>Common components:</w:t>
            </w:r>
            <w:r w:rsidRPr="003078C0">
              <w:rPr>
                <w:rFonts w:eastAsia="MS Mincho"/>
              </w:rPr>
              <w:t xml:space="preserve"> brief (&lt; 10 min) individual counselling at each weekly assessment for 12 weeks</w:t>
            </w:r>
            <w:r>
              <w:rPr>
                <w:rFonts w:eastAsia="MS Mincho"/>
              </w:rPr>
              <w:t xml:space="preserve"> </w:t>
            </w:r>
            <w:r w:rsidRPr="003078C0">
              <w:rPr>
                <w:rFonts w:eastAsia="MS Mincho"/>
              </w:rPr>
              <w:t>and 5 follow-up visits. One telephone call 3 days after quit day</w:t>
            </w:r>
          </w:p>
        </w:tc>
        <w:tc>
          <w:tcPr>
            <w:tcW w:w="959" w:type="pct"/>
          </w:tcPr>
          <w:p w14:paraId="341999CA" w14:textId="77777777" w:rsidR="00232CCC" w:rsidRPr="00871B41" w:rsidRDefault="00232CCC" w:rsidP="00A71365">
            <w:pPr>
              <w:pStyle w:val="Tablewriting"/>
              <w:rPr>
                <w:rFonts w:eastAsia="MS Mincho"/>
              </w:rPr>
            </w:pPr>
            <w:r w:rsidRPr="00871B41">
              <w:rPr>
                <w:rFonts w:eastAsia="MS Mincho"/>
                <w:u w:val="single"/>
              </w:rPr>
              <w:t xml:space="preserve">Efficacy: </w:t>
            </w:r>
            <w:r w:rsidRPr="00871B41">
              <w:rPr>
                <w:rFonts w:eastAsia="MS Mincho"/>
              </w:rPr>
              <w:t>sustained abstinence at 12 months, from week 9. Validated by CO &lt; 10 ppm at each</w:t>
            </w:r>
          </w:p>
          <w:p w14:paraId="552DBA97" w14:textId="77777777" w:rsidR="00232CCC" w:rsidRDefault="00232CCC" w:rsidP="00A71365">
            <w:pPr>
              <w:pStyle w:val="Tablewriting"/>
              <w:rPr>
                <w:rFonts w:eastAsia="MS Mincho"/>
              </w:rPr>
            </w:pPr>
            <w:r w:rsidRPr="00871B41">
              <w:rPr>
                <w:rFonts w:eastAsia="MS Mincho"/>
              </w:rPr>
              <w:t>clinic visit</w:t>
            </w:r>
          </w:p>
          <w:p w14:paraId="484B984B" w14:textId="565C1563" w:rsidR="009232F3" w:rsidRPr="00017AE6" w:rsidRDefault="00232CCC" w:rsidP="00A71365">
            <w:pPr>
              <w:pStyle w:val="Tablewriting"/>
              <w:rPr>
                <w:rFonts w:eastAsia="MS Mincho" w:cstheme="minorHAnsi"/>
              </w:rPr>
            </w:pPr>
            <w:r w:rsidRPr="00871B41">
              <w:rPr>
                <w:rFonts w:eastAsia="MS Mincho"/>
                <w:u w:val="single"/>
              </w:rPr>
              <w:t>Safety:</w:t>
            </w:r>
            <w:r>
              <w:rPr>
                <w:rFonts w:eastAsia="MS Mincho"/>
              </w:rPr>
              <w:t xml:space="preserve"> N/A</w:t>
            </w:r>
          </w:p>
        </w:tc>
      </w:tr>
      <w:tr w:rsidR="009232F3" w:rsidRPr="00017AE6" w14:paraId="5938D971" w14:textId="77777777" w:rsidTr="005821B1">
        <w:trPr>
          <w:trHeight w:val="99"/>
        </w:trPr>
        <w:tc>
          <w:tcPr>
            <w:tcW w:w="458" w:type="pct"/>
          </w:tcPr>
          <w:p w14:paraId="660143B9" w14:textId="5FD26101" w:rsidR="009232F3" w:rsidRPr="00017AE6" w:rsidRDefault="00CD7490" w:rsidP="00A71365">
            <w:pPr>
              <w:pStyle w:val="Tablewriting"/>
              <w:rPr>
                <w:rFonts w:eastAsia="MS Mincho" w:cstheme="minorHAnsi"/>
              </w:rPr>
            </w:pPr>
            <w:r w:rsidRPr="00866DE0">
              <w:rPr>
                <w:rFonts w:eastAsia="MS Mincho"/>
              </w:rPr>
              <w:t xml:space="preserve">Nides </w:t>
            </w:r>
            <w:r w:rsidR="00EF1793">
              <w:rPr>
                <w:rFonts w:eastAsia="MS Mincho"/>
              </w:rPr>
              <w:t>(</w:t>
            </w:r>
            <w:r w:rsidRPr="00866DE0">
              <w:rPr>
                <w:rFonts w:eastAsia="MS Mincho"/>
              </w:rPr>
              <w:t>2006</w:t>
            </w:r>
            <w:r w:rsidR="00EF1793">
              <w:rPr>
                <w:rFonts w:eastAsia="MS Mincho"/>
              </w:rPr>
              <w:t>)</w:t>
            </w:r>
          </w:p>
        </w:tc>
        <w:tc>
          <w:tcPr>
            <w:tcW w:w="390" w:type="pct"/>
          </w:tcPr>
          <w:p w14:paraId="599009AA" w14:textId="24E04BAA" w:rsidR="009232F3" w:rsidRPr="00017AE6" w:rsidRDefault="00EF1793" w:rsidP="00A71365">
            <w:pPr>
              <w:pStyle w:val="Tablewriting"/>
              <w:rPr>
                <w:rFonts w:eastAsia="MS Mincho" w:cstheme="minorHAnsi"/>
              </w:rPr>
            </w:pPr>
            <w:r>
              <w:rPr>
                <w:rFonts w:eastAsia="MS Mincho"/>
              </w:rPr>
              <w:t>RCT</w:t>
            </w:r>
          </w:p>
        </w:tc>
        <w:tc>
          <w:tcPr>
            <w:tcW w:w="391" w:type="pct"/>
          </w:tcPr>
          <w:p w14:paraId="05CFB4EC" w14:textId="4BC38C9A" w:rsidR="009232F3" w:rsidRPr="00017AE6" w:rsidRDefault="00EF1793" w:rsidP="00A71365">
            <w:pPr>
              <w:pStyle w:val="Tablewriting"/>
              <w:rPr>
                <w:rFonts w:eastAsia="MS Mincho" w:cstheme="minorHAnsi"/>
              </w:rPr>
            </w:pPr>
            <w:r>
              <w:rPr>
                <w:rFonts w:eastAsia="MS Mincho"/>
              </w:rPr>
              <w:t>USA</w:t>
            </w:r>
          </w:p>
        </w:tc>
        <w:tc>
          <w:tcPr>
            <w:tcW w:w="434" w:type="pct"/>
          </w:tcPr>
          <w:p w14:paraId="0C5C865F" w14:textId="27F5D39A" w:rsidR="009232F3" w:rsidRPr="00017AE6" w:rsidRDefault="00EF1793" w:rsidP="00A71365">
            <w:pPr>
              <w:pStyle w:val="Tablewriting"/>
              <w:rPr>
                <w:rFonts w:eastAsia="MS Mincho" w:cstheme="minorHAnsi"/>
              </w:rPr>
            </w:pPr>
            <w:r>
              <w:rPr>
                <w:rFonts w:eastAsia="MS Mincho"/>
              </w:rPr>
              <w:t>N=</w:t>
            </w:r>
            <w:r w:rsidRPr="00AA76BD">
              <w:rPr>
                <w:rFonts w:eastAsia="MS Mincho"/>
              </w:rPr>
              <w:t>638</w:t>
            </w:r>
          </w:p>
        </w:tc>
        <w:tc>
          <w:tcPr>
            <w:tcW w:w="1315" w:type="pct"/>
          </w:tcPr>
          <w:p w14:paraId="549BACAC" w14:textId="1CC384C1" w:rsidR="009232F3" w:rsidRPr="00017AE6" w:rsidRDefault="00EF1793" w:rsidP="00A71365">
            <w:pPr>
              <w:pStyle w:val="Tablewriting"/>
              <w:rPr>
                <w:rFonts w:eastAsia="MS Mincho" w:cstheme="minorHAnsi"/>
              </w:rPr>
            </w:pPr>
            <w:r>
              <w:rPr>
                <w:rFonts w:eastAsia="MS Mincho"/>
              </w:rPr>
              <w:t>S</w:t>
            </w:r>
            <w:r w:rsidRPr="00AA76BD">
              <w:rPr>
                <w:rFonts w:eastAsia="MS Mincho"/>
              </w:rPr>
              <w:t>mokers (255 in relevant arms, including 2 bupropion and 4 placebo who did not start medication);</w:t>
            </w:r>
            <w:r>
              <w:rPr>
                <w:rFonts w:eastAsia="MS Mincho"/>
              </w:rPr>
              <w:t xml:space="preserve"> </w:t>
            </w:r>
            <w:r w:rsidRPr="00AA76BD">
              <w:rPr>
                <w:rFonts w:eastAsia="MS Mincho"/>
              </w:rPr>
              <w:t>51% female; average age 41;</w:t>
            </w:r>
            <w:r>
              <w:rPr>
                <w:rFonts w:eastAsia="MS Mincho"/>
              </w:rPr>
              <w:t xml:space="preserve"> </w:t>
            </w:r>
            <w:r w:rsidRPr="00AA76BD">
              <w:rPr>
                <w:rFonts w:eastAsia="MS Mincho"/>
              </w:rPr>
              <w:t>average cigarettes per day 20</w:t>
            </w:r>
          </w:p>
        </w:tc>
        <w:tc>
          <w:tcPr>
            <w:tcW w:w="1054" w:type="pct"/>
          </w:tcPr>
          <w:p w14:paraId="13C8905F" w14:textId="77777777" w:rsidR="00EF1793" w:rsidRPr="006B7916" w:rsidRDefault="00EF1793" w:rsidP="00C324F3">
            <w:pPr>
              <w:pStyle w:val="Tablewriting"/>
              <w:numPr>
                <w:ilvl w:val="0"/>
                <w:numId w:val="39"/>
              </w:numPr>
              <w:rPr>
                <w:rFonts w:eastAsia="MS Mincho"/>
              </w:rPr>
            </w:pPr>
            <w:r w:rsidRPr="006B7916">
              <w:rPr>
                <w:rFonts w:eastAsia="MS Mincho"/>
              </w:rPr>
              <w:t>Bupropion, 300 mg for 7 weeks</w:t>
            </w:r>
          </w:p>
          <w:p w14:paraId="10573F17" w14:textId="77777777" w:rsidR="00EF1793" w:rsidRDefault="00EF1793" w:rsidP="00C324F3">
            <w:pPr>
              <w:pStyle w:val="Tablewriting"/>
              <w:numPr>
                <w:ilvl w:val="0"/>
                <w:numId w:val="39"/>
              </w:numPr>
              <w:rPr>
                <w:rFonts w:eastAsia="MS Mincho"/>
              </w:rPr>
            </w:pPr>
            <w:r w:rsidRPr="006B7916">
              <w:rPr>
                <w:rFonts w:eastAsia="MS Mincho"/>
              </w:rPr>
              <w:t>Varenicline, 2 mg for 7 weeks (other dose regimens not used in review)</w:t>
            </w:r>
          </w:p>
          <w:p w14:paraId="7E1C2021" w14:textId="77777777" w:rsidR="00EF1793" w:rsidRPr="006B7916" w:rsidRDefault="00EF1793" w:rsidP="00C324F3">
            <w:pPr>
              <w:pStyle w:val="Tablewriting"/>
              <w:numPr>
                <w:ilvl w:val="0"/>
                <w:numId w:val="39"/>
              </w:numPr>
              <w:rPr>
                <w:rFonts w:eastAsia="MS Mincho"/>
              </w:rPr>
            </w:pPr>
            <w:r w:rsidRPr="006B7916">
              <w:rPr>
                <w:rFonts w:eastAsia="MS Mincho"/>
              </w:rPr>
              <w:t xml:space="preserve"> Placebo</w:t>
            </w:r>
          </w:p>
          <w:p w14:paraId="18099CD5" w14:textId="77777777" w:rsidR="00EF1793" w:rsidRDefault="00EF1793" w:rsidP="00A71365">
            <w:pPr>
              <w:pStyle w:val="Tablewriting"/>
              <w:rPr>
                <w:rFonts w:eastAsia="MS Mincho"/>
              </w:rPr>
            </w:pPr>
          </w:p>
          <w:p w14:paraId="733C2B3B" w14:textId="355A88B0" w:rsidR="009232F3" w:rsidRPr="00017AE6" w:rsidRDefault="00EF1793" w:rsidP="00A71365">
            <w:pPr>
              <w:pStyle w:val="Tablewriting"/>
              <w:rPr>
                <w:rFonts w:eastAsia="MS Mincho" w:cstheme="minorHAnsi"/>
              </w:rPr>
            </w:pPr>
            <w:r w:rsidRPr="006B7916">
              <w:rPr>
                <w:rFonts w:eastAsia="MS Mincho"/>
                <w:u w:val="single"/>
              </w:rPr>
              <w:t>Common components:</w:t>
            </w:r>
            <w:r w:rsidRPr="006B7916">
              <w:rPr>
                <w:rFonts w:eastAsia="MS Mincho"/>
              </w:rPr>
              <w:t xml:space="preserve"> up to 10 mins counselling at 7</w:t>
            </w:r>
            <w:r>
              <w:rPr>
                <w:rFonts w:eastAsia="MS Mincho"/>
              </w:rPr>
              <w:t xml:space="preserve"> </w:t>
            </w:r>
            <w:r w:rsidRPr="006B7916">
              <w:rPr>
                <w:rFonts w:eastAsia="MS Mincho"/>
              </w:rPr>
              <w:t xml:space="preserve">weekly clinic visits, 12 </w:t>
            </w:r>
            <w:r w:rsidR="004664D2" w:rsidRPr="006B7916">
              <w:rPr>
                <w:rFonts w:eastAsia="MS Mincho"/>
              </w:rPr>
              <w:t>weeks,</w:t>
            </w:r>
            <w:r w:rsidRPr="006B7916">
              <w:rPr>
                <w:rFonts w:eastAsia="MS Mincho"/>
              </w:rPr>
              <w:t xml:space="preserve"> and 24 weeks</w:t>
            </w:r>
          </w:p>
        </w:tc>
        <w:tc>
          <w:tcPr>
            <w:tcW w:w="959" w:type="pct"/>
          </w:tcPr>
          <w:p w14:paraId="78E71EB0" w14:textId="77777777" w:rsidR="00EF1793" w:rsidRPr="000B11D5" w:rsidRDefault="00EF1793" w:rsidP="00A71365">
            <w:pPr>
              <w:pStyle w:val="Tablewriting"/>
              <w:rPr>
                <w:rFonts w:eastAsia="MS Mincho"/>
              </w:rPr>
            </w:pPr>
            <w:r w:rsidRPr="000B11D5">
              <w:rPr>
                <w:rFonts w:eastAsia="MS Mincho"/>
                <w:u w:val="single"/>
              </w:rPr>
              <w:t>Efficacy</w:t>
            </w:r>
            <w:r w:rsidRPr="000B11D5">
              <w:rPr>
                <w:rFonts w:eastAsia="MS Mincho"/>
              </w:rPr>
              <w:t>: continuous abstinence at 12 months (starting from week 4). Validated by CO</w:t>
            </w:r>
          </w:p>
          <w:p w14:paraId="66537416" w14:textId="5591453D" w:rsidR="009232F3" w:rsidRPr="00017AE6" w:rsidRDefault="00EF1793" w:rsidP="00A71365">
            <w:pPr>
              <w:pStyle w:val="Tablewriting"/>
              <w:rPr>
                <w:rFonts w:eastAsia="MS Mincho" w:cstheme="minorHAnsi"/>
              </w:rPr>
            </w:pPr>
            <w:r w:rsidRPr="000B11D5">
              <w:rPr>
                <w:rFonts w:eastAsia="MS Mincho"/>
                <w:u w:val="single"/>
              </w:rPr>
              <w:t>Safety:</w:t>
            </w:r>
            <w:r w:rsidRPr="000B11D5">
              <w:rPr>
                <w:rFonts w:eastAsia="MS Mincho"/>
              </w:rPr>
              <w:t xml:space="preserve"> measured for 11 weeks</w:t>
            </w:r>
          </w:p>
        </w:tc>
      </w:tr>
      <w:tr w:rsidR="00E30F53" w:rsidRPr="00017AE6" w14:paraId="525970B2" w14:textId="77777777" w:rsidTr="005821B1">
        <w:trPr>
          <w:trHeight w:val="99"/>
        </w:trPr>
        <w:tc>
          <w:tcPr>
            <w:tcW w:w="458" w:type="pct"/>
            <w:shd w:val="clear" w:color="auto" w:fill="F2F2F2" w:themeFill="background1" w:themeFillShade="F2"/>
          </w:tcPr>
          <w:p w14:paraId="194FA13E" w14:textId="6AA20A30" w:rsidR="00E30F53" w:rsidRPr="00017AE6" w:rsidRDefault="00B82832" w:rsidP="00A71365">
            <w:pPr>
              <w:pStyle w:val="Tablewriting"/>
              <w:rPr>
                <w:rFonts w:eastAsia="MS Mincho" w:cstheme="minorHAnsi"/>
              </w:rPr>
            </w:pPr>
            <w:r w:rsidRPr="004A1946">
              <w:rPr>
                <w:rFonts w:eastAsia="MS Mincho"/>
              </w:rPr>
              <w:t xml:space="preserve">Gray </w:t>
            </w:r>
            <w:r w:rsidR="007F2D86">
              <w:rPr>
                <w:rFonts w:eastAsia="MS Mincho"/>
              </w:rPr>
              <w:t>(</w:t>
            </w:r>
            <w:r w:rsidRPr="004A1946">
              <w:rPr>
                <w:rFonts w:eastAsia="MS Mincho"/>
              </w:rPr>
              <w:t>2012</w:t>
            </w:r>
            <w:r w:rsidR="007F2D86">
              <w:rPr>
                <w:rFonts w:eastAsia="MS Mincho"/>
              </w:rPr>
              <w:t>)</w:t>
            </w:r>
          </w:p>
        </w:tc>
        <w:tc>
          <w:tcPr>
            <w:tcW w:w="390" w:type="pct"/>
            <w:shd w:val="clear" w:color="auto" w:fill="F2F2F2" w:themeFill="background1" w:themeFillShade="F2"/>
          </w:tcPr>
          <w:p w14:paraId="1EE97827" w14:textId="12CB5E8B" w:rsidR="00E30F53" w:rsidRPr="00017AE6" w:rsidRDefault="00BD5171" w:rsidP="00A71365">
            <w:pPr>
              <w:pStyle w:val="Tablewriting"/>
              <w:rPr>
                <w:rFonts w:eastAsia="MS Mincho" w:cstheme="minorHAnsi"/>
              </w:rPr>
            </w:pPr>
            <w:r>
              <w:rPr>
                <w:rFonts w:eastAsia="MS Mincho" w:cstheme="minorHAnsi"/>
              </w:rPr>
              <w:t>RCT</w:t>
            </w:r>
          </w:p>
        </w:tc>
        <w:tc>
          <w:tcPr>
            <w:tcW w:w="391" w:type="pct"/>
            <w:shd w:val="clear" w:color="auto" w:fill="F2F2F2" w:themeFill="background1" w:themeFillShade="F2"/>
          </w:tcPr>
          <w:p w14:paraId="7DB34595" w14:textId="2C894E22" w:rsidR="00E30F53" w:rsidRPr="00017AE6" w:rsidRDefault="00BD5171" w:rsidP="00A71365">
            <w:pPr>
              <w:pStyle w:val="Tablewriting"/>
              <w:rPr>
                <w:rFonts w:eastAsia="MS Mincho" w:cstheme="minorHAnsi"/>
              </w:rPr>
            </w:pPr>
            <w:r>
              <w:rPr>
                <w:rFonts w:eastAsia="MS Mincho" w:cstheme="minorHAnsi"/>
              </w:rPr>
              <w:t>USA</w:t>
            </w:r>
          </w:p>
        </w:tc>
        <w:tc>
          <w:tcPr>
            <w:tcW w:w="434" w:type="pct"/>
            <w:shd w:val="clear" w:color="auto" w:fill="F2F2F2" w:themeFill="background1" w:themeFillShade="F2"/>
          </w:tcPr>
          <w:p w14:paraId="61816807" w14:textId="727405AC" w:rsidR="00E30F53" w:rsidRPr="00017AE6" w:rsidRDefault="00BD5171" w:rsidP="00A71365">
            <w:pPr>
              <w:pStyle w:val="Tablewriting"/>
              <w:rPr>
                <w:rFonts w:eastAsia="MS Mincho" w:cstheme="minorHAnsi"/>
              </w:rPr>
            </w:pPr>
            <w:r>
              <w:rPr>
                <w:rFonts w:eastAsia="MS Mincho" w:cstheme="minorHAnsi"/>
              </w:rPr>
              <w:t>N=29</w:t>
            </w:r>
            <w:r w:rsidR="005A037E">
              <w:rPr>
                <w:rFonts w:eastAsia="MS Mincho" w:cstheme="minorHAnsi"/>
              </w:rPr>
              <w:t>; n=</w:t>
            </w:r>
            <w:r w:rsidR="00A25167">
              <w:rPr>
                <w:rFonts w:eastAsia="MS Mincho" w:cstheme="minorHAnsi"/>
              </w:rPr>
              <w:t>15 (varenicline), n=14 (bupropion)</w:t>
            </w:r>
          </w:p>
        </w:tc>
        <w:tc>
          <w:tcPr>
            <w:tcW w:w="1315" w:type="pct"/>
            <w:shd w:val="clear" w:color="auto" w:fill="F2F2F2" w:themeFill="background1" w:themeFillShade="F2"/>
          </w:tcPr>
          <w:p w14:paraId="70C2AB41" w14:textId="5197CD2D" w:rsidR="00BD5171" w:rsidRDefault="00BD5171" w:rsidP="00A71365">
            <w:pPr>
              <w:pStyle w:val="Tablewriting"/>
              <w:rPr>
                <w:rFonts w:eastAsia="MS Mincho" w:cstheme="minorBidi"/>
              </w:rPr>
            </w:pPr>
            <w:r w:rsidRPr="7146A6F5">
              <w:rPr>
                <w:rFonts w:eastAsia="MS Mincho" w:cstheme="minorBidi"/>
              </w:rPr>
              <w:t>Adolescent smokers, aged 15–20</w:t>
            </w:r>
            <w:r w:rsidR="004A1946" w:rsidRPr="004A1946">
              <w:rPr>
                <w:rFonts w:eastAsia="MS Mincho"/>
              </w:rPr>
              <w:t>,</w:t>
            </w:r>
          </w:p>
          <w:p w14:paraId="4CF74575" w14:textId="1B034B44" w:rsidR="00BD5171" w:rsidRPr="00BD5171" w:rsidRDefault="00BD5171" w:rsidP="00A71365">
            <w:pPr>
              <w:pStyle w:val="Tablewriting"/>
              <w:rPr>
                <w:rFonts w:eastAsia="MS Mincho" w:cstheme="minorHAnsi"/>
              </w:rPr>
            </w:pPr>
            <w:r w:rsidRPr="00BD5171">
              <w:rPr>
                <w:rFonts w:eastAsia="MS Mincho" w:cstheme="minorHAnsi"/>
              </w:rPr>
              <w:t>51.8% female</w:t>
            </w:r>
            <w:r w:rsidR="004A1946" w:rsidRPr="004A1946">
              <w:rPr>
                <w:rFonts w:eastAsia="MS Mincho"/>
              </w:rPr>
              <w:t>,</w:t>
            </w:r>
            <w:r w:rsidRPr="00BD5171">
              <w:rPr>
                <w:rFonts w:eastAsia="MS Mincho" w:cstheme="minorHAnsi"/>
              </w:rPr>
              <w:t xml:space="preserve"> average age 18.9</w:t>
            </w:r>
            <w:r w:rsidR="004A1946" w:rsidRPr="004A1946">
              <w:rPr>
                <w:rFonts w:eastAsia="MS Mincho"/>
              </w:rPr>
              <w:t>,</w:t>
            </w:r>
            <w:r w:rsidRPr="00BD5171">
              <w:rPr>
                <w:rFonts w:eastAsia="MS Mincho" w:cstheme="minorHAnsi"/>
              </w:rPr>
              <w:t xml:space="preserve"> average cigarettes per day 15.6</w:t>
            </w:r>
            <w:r w:rsidR="004A1946" w:rsidRPr="004A1946">
              <w:rPr>
                <w:rFonts w:eastAsia="MS Mincho"/>
              </w:rPr>
              <w:t>,</w:t>
            </w:r>
            <w:r w:rsidRPr="00BD5171">
              <w:rPr>
                <w:rFonts w:eastAsia="MS Mincho" w:cstheme="minorHAnsi"/>
              </w:rPr>
              <w:t xml:space="preserve"> mean FTND</w:t>
            </w:r>
            <w:r w:rsidR="004A1946" w:rsidRPr="004A1946">
              <w:rPr>
                <w:rFonts w:eastAsia="MS Mincho"/>
              </w:rPr>
              <w:t xml:space="preserve"> </w:t>
            </w:r>
            <w:r w:rsidRPr="00BD5171">
              <w:rPr>
                <w:rFonts w:eastAsia="MS Mincho" w:cstheme="minorHAnsi"/>
              </w:rPr>
              <w:t>6.7</w:t>
            </w:r>
            <w:r w:rsidR="004A1946" w:rsidRPr="004A1946">
              <w:rPr>
                <w:rFonts w:eastAsia="MS Mincho"/>
              </w:rPr>
              <w:t>.</w:t>
            </w:r>
          </w:p>
          <w:p w14:paraId="3C80BAF8" w14:textId="77777777" w:rsidR="00E30F53" w:rsidRPr="00017AE6" w:rsidRDefault="00E30F53" w:rsidP="00A71365">
            <w:pPr>
              <w:pStyle w:val="Tablewriting"/>
              <w:rPr>
                <w:rFonts w:eastAsia="MS Mincho" w:cstheme="minorHAnsi"/>
              </w:rPr>
            </w:pPr>
          </w:p>
        </w:tc>
        <w:tc>
          <w:tcPr>
            <w:tcW w:w="1054" w:type="pct"/>
            <w:shd w:val="clear" w:color="auto" w:fill="F2F2F2" w:themeFill="background1" w:themeFillShade="F2"/>
          </w:tcPr>
          <w:p w14:paraId="19D3717C" w14:textId="4E2EB3C7" w:rsidR="00C81062" w:rsidRDefault="009C268C" w:rsidP="00C324F3">
            <w:pPr>
              <w:pStyle w:val="Tablewriting"/>
              <w:numPr>
                <w:ilvl w:val="0"/>
                <w:numId w:val="74"/>
              </w:numPr>
              <w:rPr>
                <w:rFonts w:eastAsia="MS Mincho" w:cstheme="minorHAnsi"/>
              </w:rPr>
            </w:pPr>
            <w:r w:rsidRPr="009C268C">
              <w:rPr>
                <w:rFonts w:eastAsia="MS Mincho" w:cstheme="minorHAnsi"/>
              </w:rPr>
              <w:t>Bupropion XL + placebo</w:t>
            </w:r>
            <w:r>
              <w:rPr>
                <w:rFonts w:eastAsia="MS Mincho" w:cstheme="minorHAnsi"/>
              </w:rPr>
              <w:t xml:space="preserve">; </w:t>
            </w:r>
            <w:r w:rsidRPr="009C268C">
              <w:rPr>
                <w:rFonts w:eastAsia="MS Mincho" w:cstheme="minorHAnsi"/>
              </w:rPr>
              <w:t>150 mg once daily for 7 days, then 300 mg daily thereafter</w:t>
            </w:r>
            <w:r>
              <w:rPr>
                <w:rFonts w:eastAsia="MS Mincho" w:cstheme="minorHAnsi"/>
              </w:rPr>
              <w:t xml:space="preserve"> (</w:t>
            </w:r>
            <w:r w:rsidRPr="009C268C">
              <w:rPr>
                <w:rFonts w:eastAsia="MS Mincho" w:cstheme="minorHAnsi"/>
              </w:rPr>
              <w:t>Placebo capsules</w:t>
            </w:r>
            <w:r>
              <w:rPr>
                <w:rFonts w:eastAsia="MS Mincho" w:cstheme="minorHAnsi"/>
              </w:rPr>
              <w:t xml:space="preserve"> </w:t>
            </w:r>
            <w:r w:rsidRPr="009C268C">
              <w:rPr>
                <w:rFonts w:eastAsia="MS Mincho" w:cstheme="minorHAnsi"/>
              </w:rPr>
              <w:t xml:space="preserve">were used at times when no </w:t>
            </w:r>
            <w:r w:rsidRPr="009C268C">
              <w:rPr>
                <w:rFonts w:eastAsia="MS Mincho" w:cstheme="minorHAnsi"/>
              </w:rPr>
              <w:lastRenderedPageBreak/>
              <w:t>active medication was scheduled</w:t>
            </w:r>
            <w:r>
              <w:rPr>
                <w:rFonts w:eastAsia="MS Mincho" w:cstheme="minorHAnsi"/>
              </w:rPr>
              <w:t>).</w:t>
            </w:r>
          </w:p>
          <w:p w14:paraId="40F99B4B" w14:textId="77777777" w:rsidR="00B82832" w:rsidRDefault="009C268C" w:rsidP="00C324F3">
            <w:pPr>
              <w:pStyle w:val="Tablewriting"/>
              <w:numPr>
                <w:ilvl w:val="0"/>
                <w:numId w:val="74"/>
              </w:numPr>
              <w:rPr>
                <w:rFonts w:eastAsia="MS Mincho" w:cstheme="minorHAnsi"/>
              </w:rPr>
            </w:pPr>
            <w:r w:rsidRPr="00C81062">
              <w:rPr>
                <w:rFonts w:eastAsia="MS Mincho" w:cstheme="minorHAnsi"/>
              </w:rPr>
              <w:t>Varenicline + placebo. Participants S 55 kg received 0.5 mg daily for 3 days, 0.5 mg twice daily for 4</w:t>
            </w:r>
            <w:r w:rsidR="00C81062">
              <w:rPr>
                <w:rFonts w:eastAsia="MS Mincho" w:cstheme="minorHAnsi"/>
              </w:rPr>
              <w:t xml:space="preserve"> </w:t>
            </w:r>
            <w:r w:rsidRPr="00C81062">
              <w:rPr>
                <w:rFonts w:eastAsia="MS Mincho" w:cstheme="minorHAnsi"/>
              </w:rPr>
              <w:t>days, and then 1 mg twice daily thereafter. Those &lt; 55 kg received 0.5 mg daily for 7 days and then</w:t>
            </w:r>
            <w:r w:rsidR="00C81062">
              <w:rPr>
                <w:rFonts w:eastAsia="MS Mincho" w:cstheme="minorHAnsi"/>
              </w:rPr>
              <w:t xml:space="preserve"> </w:t>
            </w:r>
            <w:r w:rsidRPr="00C81062">
              <w:rPr>
                <w:rFonts w:eastAsia="MS Mincho" w:cstheme="minorHAnsi"/>
              </w:rPr>
              <w:t>0.5 mg twice daily</w:t>
            </w:r>
            <w:r w:rsidR="00C81062">
              <w:rPr>
                <w:rFonts w:eastAsia="MS Mincho" w:cstheme="minorHAnsi"/>
              </w:rPr>
              <w:t xml:space="preserve"> </w:t>
            </w:r>
            <w:r w:rsidRPr="00C81062">
              <w:rPr>
                <w:rFonts w:eastAsia="MS Mincho" w:cstheme="minorHAnsi"/>
              </w:rPr>
              <w:t>thereafter</w:t>
            </w:r>
            <w:r w:rsidR="00C81062">
              <w:rPr>
                <w:rFonts w:eastAsia="MS Mincho" w:cstheme="minorHAnsi"/>
              </w:rPr>
              <w:t>.</w:t>
            </w:r>
          </w:p>
          <w:p w14:paraId="054D7FED" w14:textId="77777777" w:rsidR="00C81062" w:rsidRDefault="00C81062" w:rsidP="00A71365">
            <w:pPr>
              <w:pStyle w:val="Tablewriting"/>
              <w:rPr>
                <w:rFonts w:eastAsia="MS Mincho"/>
                <w:u w:val="single"/>
              </w:rPr>
            </w:pPr>
          </w:p>
          <w:p w14:paraId="74B5C1E8" w14:textId="6175F539" w:rsidR="00C81062" w:rsidRDefault="00C81062" w:rsidP="00A71365">
            <w:pPr>
              <w:pStyle w:val="Tablewriting"/>
              <w:rPr>
                <w:rFonts w:eastAsia="MS Mincho" w:cstheme="minorHAnsi"/>
              </w:rPr>
            </w:pPr>
            <w:r w:rsidRPr="006B7916">
              <w:rPr>
                <w:rFonts w:eastAsia="MS Mincho"/>
                <w:u w:val="single"/>
              </w:rPr>
              <w:t>Common components:</w:t>
            </w:r>
          </w:p>
          <w:p w14:paraId="3191A18C" w14:textId="24F91783" w:rsidR="00E30F53" w:rsidRPr="00017AE6" w:rsidRDefault="00C81062" w:rsidP="00A71365">
            <w:pPr>
              <w:pStyle w:val="Tablewriting"/>
              <w:rPr>
                <w:rFonts w:eastAsia="MS Mincho" w:cstheme="minorHAnsi"/>
              </w:rPr>
            </w:pPr>
            <w:r w:rsidRPr="00C81062">
              <w:rPr>
                <w:rFonts w:eastAsia="MS Mincho" w:cstheme="minorHAnsi"/>
              </w:rPr>
              <w:t>All participants received quit smoking brochures and brief individual cessation</w:t>
            </w:r>
            <w:r>
              <w:rPr>
                <w:rFonts w:eastAsia="MS Mincho" w:cstheme="minorHAnsi"/>
              </w:rPr>
              <w:t xml:space="preserve"> </w:t>
            </w:r>
            <w:r w:rsidR="00836B64">
              <w:rPr>
                <w:rFonts w:eastAsia="MS Mincho" w:cstheme="minorHAnsi"/>
              </w:rPr>
              <w:t xml:space="preserve">counselling, totalling 90 </w:t>
            </w:r>
            <w:r w:rsidRPr="00C81062">
              <w:rPr>
                <w:rFonts w:eastAsia="MS Mincho" w:cstheme="minorHAnsi"/>
              </w:rPr>
              <w:t>minutes.</w:t>
            </w:r>
          </w:p>
        </w:tc>
        <w:tc>
          <w:tcPr>
            <w:tcW w:w="959" w:type="pct"/>
            <w:shd w:val="clear" w:color="auto" w:fill="F2F2F2" w:themeFill="background1" w:themeFillShade="F2"/>
          </w:tcPr>
          <w:p w14:paraId="3FC0FCDC" w14:textId="3AC0E554" w:rsidR="00A46E28" w:rsidRPr="00A46E28" w:rsidRDefault="00A46E28" w:rsidP="00A71365">
            <w:pPr>
              <w:pStyle w:val="Tablewriting"/>
              <w:rPr>
                <w:rFonts w:eastAsia="MS Mincho" w:cstheme="minorBidi"/>
              </w:rPr>
            </w:pPr>
            <w:r w:rsidRPr="1A452A87">
              <w:rPr>
                <w:rFonts w:eastAsia="MS Mincho" w:cstheme="minorBidi"/>
                <w:u w:val="single"/>
              </w:rPr>
              <w:lastRenderedPageBreak/>
              <w:t>Efficacy:</w:t>
            </w:r>
            <w:r w:rsidRPr="1A452A87">
              <w:rPr>
                <w:rFonts w:eastAsia="MS Mincho" w:cstheme="minorBidi"/>
              </w:rPr>
              <w:t xml:space="preserve"> </w:t>
            </w:r>
            <w:r w:rsidR="002F5A54">
              <w:rPr>
                <w:rFonts w:eastAsia="MS Mincho" w:cstheme="minorBidi"/>
              </w:rPr>
              <w:t xml:space="preserve">PPA at </w:t>
            </w:r>
            <w:r w:rsidRPr="1A452A87">
              <w:rPr>
                <w:rFonts w:eastAsia="MS Mincho" w:cstheme="minorBidi"/>
              </w:rPr>
              <w:t>12 weeks</w:t>
            </w:r>
          </w:p>
          <w:p w14:paraId="717DB52A" w14:textId="77777777" w:rsidR="007E4E33" w:rsidRDefault="007E4E33" w:rsidP="00A71365">
            <w:pPr>
              <w:pStyle w:val="Tablewriting"/>
              <w:rPr>
                <w:rFonts w:eastAsia="MS Mincho" w:cstheme="minorHAnsi"/>
              </w:rPr>
            </w:pPr>
          </w:p>
          <w:p w14:paraId="3AEF4F74" w14:textId="3668D7FA" w:rsidR="00E30F53" w:rsidRPr="00017AE6" w:rsidRDefault="007E4E33" w:rsidP="00A71365">
            <w:pPr>
              <w:pStyle w:val="Tablewriting"/>
              <w:rPr>
                <w:rFonts w:eastAsia="MS Mincho" w:cstheme="minorBidi"/>
              </w:rPr>
            </w:pPr>
            <w:r w:rsidRPr="007E4E33">
              <w:rPr>
                <w:rFonts w:eastAsia="MS Mincho" w:cstheme="minorHAnsi"/>
                <w:u w:val="single"/>
              </w:rPr>
              <w:t>Safety</w:t>
            </w:r>
            <w:r w:rsidR="00A46E28" w:rsidRPr="007E4E33">
              <w:rPr>
                <w:rFonts w:eastAsia="MS Mincho" w:cstheme="minorHAnsi"/>
                <w:u w:val="single"/>
              </w:rPr>
              <w:t>:</w:t>
            </w:r>
            <w:r w:rsidR="00A46E28" w:rsidRPr="1A452A87">
              <w:rPr>
                <w:rFonts w:eastAsia="MS Mincho" w:cstheme="minorBidi"/>
              </w:rPr>
              <w:t xml:space="preserve"> </w:t>
            </w:r>
            <w:r w:rsidR="002F5A54">
              <w:rPr>
                <w:rFonts w:eastAsia="MS Mincho" w:cstheme="minorBidi"/>
              </w:rPr>
              <w:t xml:space="preserve">AEs and SAEs </w:t>
            </w:r>
            <w:r w:rsidR="00A46E28" w:rsidRPr="1A452A87">
              <w:rPr>
                <w:rFonts w:eastAsia="MS Mincho" w:cstheme="minorBidi"/>
              </w:rPr>
              <w:t>measured for 12 weeks</w:t>
            </w:r>
          </w:p>
        </w:tc>
      </w:tr>
      <w:tr w:rsidR="00336771" w:rsidRPr="00017AE6" w14:paraId="4758D274" w14:textId="77777777" w:rsidTr="005821B1">
        <w:trPr>
          <w:trHeight w:val="99"/>
        </w:trPr>
        <w:tc>
          <w:tcPr>
            <w:tcW w:w="458" w:type="pct"/>
            <w:shd w:val="clear" w:color="auto" w:fill="F2F2F2" w:themeFill="background1" w:themeFillShade="F2"/>
          </w:tcPr>
          <w:p w14:paraId="15D06A54" w14:textId="41404D8B" w:rsidR="00336771" w:rsidRPr="00017AE6" w:rsidRDefault="00B82832" w:rsidP="00A71365">
            <w:pPr>
              <w:pStyle w:val="Tablewriting"/>
              <w:rPr>
                <w:rFonts w:eastAsia="MS Mincho" w:cstheme="minorHAnsi"/>
              </w:rPr>
            </w:pPr>
            <w:r w:rsidRPr="004A1946">
              <w:rPr>
                <w:rFonts w:eastAsia="MS Mincho"/>
              </w:rPr>
              <w:t xml:space="preserve">Zincir </w:t>
            </w:r>
            <w:r w:rsidR="007F2D86">
              <w:rPr>
                <w:rFonts w:eastAsia="MS Mincho"/>
              </w:rPr>
              <w:t>(</w:t>
            </w:r>
            <w:r w:rsidRPr="004A1946">
              <w:rPr>
                <w:rFonts w:eastAsia="MS Mincho"/>
              </w:rPr>
              <w:t>2013</w:t>
            </w:r>
            <w:r w:rsidR="007F2D86">
              <w:rPr>
                <w:rFonts w:eastAsia="MS Mincho"/>
              </w:rPr>
              <w:t>)</w:t>
            </w:r>
          </w:p>
        </w:tc>
        <w:tc>
          <w:tcPr>
            <w:tcW w:w="390" w:type="pct"/>
            <w:shd w:val="clear" w:color="auto" w:fill="F2F2F2" w:themeFill="background1" w:themeFillShade="F2"/>
          </w:tcPr>
          <w:p w14:paraId="778BC2EC" w14:textId="4C554A97" w:rsidR="00336771" w:rsidRPr="00017AE6" w:rsidRDefault="004B565C" w:rsidP="00A71365">
            <w:pPr>
              <w:pStyle w:val="Tablewriting"/>
              <w:rPr>
                <w:rFonts w:eastAsia="MS Mincho" w:cstheme="minorHAnsi"/>
              </w:rPr>
            </w:pPr>
            <w:r>
              <w:rPr>
                <w:rFonts w:eastAsia="MS Mincho" w:cstheme="minorHAnsi"/>
              </w:rPr>
              <w:t>N</w:t>
            </w:r>
            <w:r w:rsidRPr="004B565C">
              <w:rPr>
                <w:rFonts w:eastAsia="MS Mincho" w:cstheme="minorHAnsi"/>
              </w:rPr>
              <w:t>aturalistic clinical follow-up study</w:t>
            </w:r>
          </w:p>
        </w:tc>
        <w:tc>
          <w:tcPr>
            <w:tcW w:w="391" w:type="pct"/>
            <w:shd w:val="clear" w:color="auto" w:fill="F2F2F2" w:themeFill="background1" w:themeFillShade="F2"/>
          </w:tcPr>
          <w:p w14:paraId="47C1D098" w14:textId="11C1D873" w:rsidR="00336771" w:rsidRPr="00017AE6" w:rsidRDefault="004B565C" w:rsidP="00A71365">
            <w:pPr>
              <w:pStyle w:val="Tablewriting"/>
              <w:rPr>
                <w:rFonts w:eastAsia="MS Mincho" w:cstheme="minorHAnsi"/>
              </w:rPr>
            </w:pPr>
            <w:r>
              <w:rPr>
                <w:rFonts w:eastAsia="MS Mincho" w:cstheme="minorHAnsi"/>
              </w:rPr>
              <w:t>Turkey</w:t>
            </w:r>
          </w:p>
        </w:tc>
        <w:tc>
          <w:tcPr>
            <w:tcW w:w="434" w:type="pct"/>
            <w:shd w:val="clear" w:color="auto" w:fill="F2F2F2" w:themeFill="background1" w:themeFillShade="F2"/>
          </w:tcPr>
          <w:p w14:paraId="716C309B" w14:textId="200EB089" w:rsidR="00336771" w:rsidRPr="00017AE6" w:rsidRDefault="004B565C" w:rsidP="00A71365">
            <w:pPr>
              <w:pStyle w:val="Tablewriting"/>
              <w:rPr>
                <w:rFonts w:eastAsia="MS Mincho" w:cstheme="minorHAnsi"/>
              </w:rPr>
            </w:pPr>
            <w:r>
              <w:rPr>
                <w:rFonts w:eastAsia="MS Mincho" w:cstheme="minorHAnsi"/>
              </w:rPr>
              <w:t>N=</w:t>
            </w:r>
            <w:r w:rsidR="00195F6A">
              <w:rPr>
                <w:rFonts w:eastAsia="MS Mincho" w:cstheme="minorHAnsi"/>
              </w:rPr>
              <w:t>300</w:t>
            </w:r>
          </w:p>
        </w:tc>
        <w:tc>
          <w:tcPr>
            <w:tcW w:w="1315" w:type="pct"/>
            <w:shd w:val="clear" w:color="auto" w:fill="F2F2F2" w:themeFill="background1" w:themeFillShade="F2"/>
          </w:tcPr>
          <w:p w14:paraId="3272AAC4" w14:textId="0B98ACAC" w:rsidR="00B776D2" w:rsidRDefault="00B776D2" w:rsidP="00A71365">
            <w:pPr>
              <w:pStyle w:val="Tablewriting"/>
              <w:rPr>
                <w:rFonts w:eastAsia="MS Mincho" w:cstheme="minorHAnsi"/>
              </w:rPr>
            </w:pPr>
            <w:r>
              <w:rPr>
                <w:rFonts w:eastAsia="MS Mincho" w:cstheme="minorHAnsi"/>
              </w:rPr>
              <w:t xml:space="preserve">Smokers with </w:t>
            </w:r>
            <w:r w:rsidR="00195F6A" w:rsidRPr="00195F6A">
              <w:rPr>
                <w:rFonts w:eastAsia="MS Mincho" w:cstheme="minorHAnsi"/>
              </w:rPr>
              <w:t xml:space="preserve">average age 45.8 </w:t>
            </w:r>
            <w:r w:rsidR="00195F6A">
              <w:rPr>
                <w:rFonts w:eastAsia="MS Mincho" w:cstheme="minorHAnsi"/>
              </w:rPr>
              <w:t xml:space="preserve">years </w:t>
            </w:r>
            <w:r w:rsidR="00195F6A" w:rsidRPr="00195F6A">
              <w:rPr>
                <w:rFonts w:eastAsia="MS Mincho" w:cstheme="minorHAnsi"/>
              </w:rPr>
              <w:t>in those who stopped smoking and 40.8</w:t>
            </w:r>
            <w:r w:rsidR="00195F6A">
              <w:rPr>
                <w:rFonts w:eastAsia="MS Mincho" w:cstheme="minorHAnsi"/>
              </w:rPr>
              <w:t xml:space="preserve"> years</w:t>
            </w:r>
            <w:r w:rsidR="00195F6A" w:rsidRPr="00195F6A">
              <w:rPr>
                <w:rFonts w:eastAsia="MS Mincho" w:cstheme="minorHAnsi"/>
              </w:rPr>
              <w:t xml:space="preserve"> in those who</w:t>
            </w:r>
            <w:r>
              <w:rPr>
                <w:rFonts w:eastAsia="MS Mincho" w:cstheme="minorHAnsi"/>
              </w:rPr>
              <w:t xml:space="preserve"> </w:t>
            </w:r>
            <w:r w:rsidR="00195F6A" w:rsidRPr="00195F6A">
              <w:rPr>
                <w:rFonts w:eastAsia="MS Mincho" w:cstheme="minorHAnsi"/>
              </w:rPr>
              <w:t>continued smoking</w:t>
            </w:r>
            <w:r>
              <w:rPr>
                <w:rFonts w:eastAsia="MS Mincho" w:cstheme="minorHAnsi"/>
              </w:rPr>
              <w:t>.</w:t>
            </w:r>
            <w:r w:rsidR="00195F6A" w:rsidRPr="00195F6A">
              <w:rPr>
                <w:rFonts w:eastAsia="MS Mincho" w:cstheme="minorHAnsi"/>
              </w:rPr>
              <w:t xml:space="preserve"> </w:t>
            </w:r>
          </w:p>
          <w:p w14:paraId="5595DB7D" w14:textId="77777777" w:rsidR="00B776D2" w:rsidRDefault="00B776D2" w:rsidP="00A71365">
            <w:pPr>
              <w:pStyle w:val="Tablewriting"/>
              <w:rPr>
                <w:rFonts w:eastAsia="MS Mincho" w:cstheme="minorHAnsi"/>
              </w:rPr>
            </w:pPr>
          </w:p>
          <w:p w14:paraId="61A92A0A" w14:textId="56D3EF52" w:rsidR="00B776D2" w:rsidRDefault="00B776D2" w:rsidP="00A71365">
            <w:pPr>
              <w:pStyle w:val="Tablewriting"/>
              <w:rPr>
                <w:rFonts w:eastAsia="MS Mincho" w:cstheme="minorHAnsi"/>
              </w:rPr>
            </w:pPr>
            <w:r>
              <w:rPr>
                <w:rFonts w:eastAsia="MS Mincho" w:cstheme="minorHAnsi"/>
              </w:rPr>
              <w:t>A</w:t>
            </w:r>
            <w:r w:rsidR="00195F6A" w:rsidRPr="00195F6A">
              <w:rPr>
                <w:rFonts w:eastAsia="MS Mincho" w:cstheme="minorHAnsi"/>
              </w:rPr>
              <w:t>verage boxes of cigarettes per year 23.62 in those who stopped smoking and</w:t>
            </w:r>
            <w:r w:rsidR="00195F6A">
              <w:rPr>
                <w:rFonts w:eastAsia="MS Mincho" w:cstheme="minorHAnsi"/>
              </w:rPr>
              <w:t xml:space="preserve"> </w:t>
            </w:r>
            <w:r w:rsidR="00195F6A" w:rsidRPr="00195F6A">
              <w:rPr>
                <w:rFonts w:eastAsia="MS Mincho" w:cstheme="minorHAnsi"/>
              </w:rPr>
              <w:t>23.26 in those who continued smoking</w:t>
            </w:r>
            <w:r w:rsidR="00195F6A">
              <w:rPr>
                <w:rFonts w:eastAsia="MS Mincho" w:cstheme="minorHAnsi"/>
              </w:rPr>
              <w:t>,</w:t>
            </w:r>
            <w:r w:rsidR="00195F6A" w:rsidRPr="00195F6A">
              <w:rPr>
                <w:rFonts w:eastAsia="MS Mincho" w:cstheme="minorHAnsi"/>
              </w:rPr>
              <w:t xml:space="preserve"> </w:t>
            </w:r>
          </w:p>
          <w:p w14:paraId="7A1FAE73" w14:textId="77777777" w:rsidR="00B776D2" w:rsidRDefault="00B776D2" w:rsidP="00A71365">
            <w:pPr>
              <w:pStyle w:val="Tablewriting"/>
              <w:rPr>
                <w:rFonts w:eastAsia="MS Mincho" w:cstheme="minorHAnsi"/>
              </w:rPr>
            </w:pPr>
          </w:p>
          <w:p w14:paraId="5E919EE5" w14:textId="33C36D0A" w:rsidR="00336771" w:rsidRPr="00017AE6" w:rsidRDefault="00B776D2" w:rsidP="00A71365">
            <w:pPr>
              <w:pStyle w:val="Tablewriting"/>
              <w:rPr>
                <w:rFonts w:eastAsia="MS Mincho" w:cstheme="minorHAnsi"/>
              </w:rPr>
            </w:pPr>
            <w:r>
              <w:rPr>
                <w:rFonts w:eastAsia="MS Mincho" w:cstheme="minorHAnsi"/>
              </w:rPr>
              <w:t>M</w:t>
            </w:r>
            <w:r w:rsidR="00195F6A" w:rsidRPr="00195F6A">
              <w:rPr>
                <w:rFonts w:eastAsia="MS Mincho" w:cstheme="minorHAnsi"/>
              </w:rPr>
              <w:t>ean FTND 5.9 in those who stopped smoking and 6.7 in those</w:t>
            </w:r>
            <w:r>
              <w:rPr>
                <w:rFonts w:eastAsia="MS Mincho" w:cstheme="minorHAnsi"/>
              </w:rPr>
              <w:t xml:space="preserve"> </w:t>
            </w:r>
            <w:r w:rsidR="00195F6A" w:rsidRPr="00195F6A">
              <w:rPr>
                <w:rFonts w:eastAsia="MS Mincho" w:cstheme="minorHAnsi"/>
              </w:rPr>
              <w:t>who continued smoking</w:t>
            </w:r>
            <w:r w:rsidR="00195F6A">
              <w:rPr>
                <w:rFonts w:eastAsia="MS Mincho" w:cstheme="minorHAnsi"/>
              </w:rPr>
              <w:t>.</w:t>
            </w:r>
          </w:p>
        </w:tc>
        <w:tc>
          <w:tcPr>
            <w:tcW w:w="1054" w:type="pct"/>
            <w:shd w:val="clear" w:color="auto" w:fill="F2F2F2" w:themeFill="background1" w:themeFillShade="F2"/>
          </w:tcPr>
          <w:p w14:paraId="3A6F98A9" w14:textId="6E033054" w:rsidR="004C15ED" w:rsidRDefault="00B776D2" w:rsidP="00C324F3">
            <w:pPr>
              <w:pStyle w:val="Tablewriting"/>
              <w:numPr>
                <w:ilvl w:val="0"/>
                <w:numId w:val="75"/>
              </w:numPr>
              <w:rPr>
                <w:rFonts w:eastAsia="MS Mincho" w:cstheme="minorBidi"/>
              </w:rPr>
            </w:pPr>
            <w:r w:rsidRPr="5BBA6992">
              <w:rPr>
                <w:rFonts w:eastAsia="MS Mincho" w:cstheme="minorBidi"/>
              </w:rPr>
              <w:t>Bupropion 150 mg/day, started a week before the quit day and continued from day 1-3, raised to 300</w:t>
            </w:r>
            <w:r w:rsidR="004C15ED" w:rsidRPr="5BBA6992">
              <w:rPr>
                <w:rFonts w:eastAsia="MS Mincho" w:cstheme="minorBidi"/>
              </w:rPr>
              <w:t xml:space="preserve"> </w:t>
            </w:r>
            <w:r w:rsidRPr="5BBA6992">
              <w:rPr>
                <w:rFonts w:eastAsia="MS Mincho" w:cstheme="minorBidi"/>
              </w:rPr>
              <w:t>mg daily on day 4, with this dose maintained until the end of week 12</w:t>
            </w:r>
            <w:r w:rsidR="004C15ED" w:rsidRPr="5BBA6992">
              <w:rPr>
                <w:rFonts w:eastAsia="MS Mincho" w:cstheme="minorBidi"/>
              </w:rPr>
              <w:t>.</w:t>
            </w:r>
          </w:p>
          <w:p w14:paraId="3F6337A1" w14:textId="6E033054" w:rsidR="004C15ED" w:rsidRDefault="00B776D2" w:rsidP="00C324F3">
            <w:pPr>
              <w:pStyle w:val="Tablewriting"/>
              <w:numPr>
                <w:ilvl w:val="0"/>
                <w:numId w:val="75"/>
              </w:numPr>
              <w:rPr>
                <w:rFonts w:eastAsia="MS Mincho" w:cstheme="minorBidi"/>
              </w:rPr>
            </w:pPr>
            <w:r w:rsidRPr="5BBA6992">
              <w:rPr>
                <w:rFonts w:eastAsia="MS Mincho" w:cstheme="minorBidi"/>
              </w:rPr>
              <w:t>Varenicline 0.5 mg daily, raised to 1 mg daily at day 4, then to 2 mg daily at day 8, with this dose maintained</w:t>
            </w:r>
            <w:r w:rsidR="004C15ED" w:rsidRPr="5BBA6992">
              <w:rPr>
                <w:rFonts w:eastAsia="MS Mincho" w:cstheme="minorBidi"/>
              </w:rPr>
              <w:t xml:space="preserve"> </w:t>
            </w:r>
            <w:r w:rsidRPr="5BBA6992">
              <w:rPr>
                <w:rFonts w:eastAsia="MS Mincho" w:cstheme="minorBidi"/>
              </w:rPr>
              <w:t>until the end of week 12</w:t>
            </w:r>
            <w:r w:rsidR="004C15ED" w:rsidRPr="5BBA6992">
              <w:rPr>
                <w:rFonts w:eastAsia="MS Mincho" w:cstheme="minorBidi"/>
              </w:rPr>
              <w:t>.</w:t>
            </w:r>
          </w:p>
          <w:p w14:paraId="0B3258E4" w14:textId="6E033054" w:rsidR="004C15ED" w:rsidRDefault="00B776D2" w:rsidP="00C324F3">
            <w:pPr>
              <w:pStyle w:val="Tablewriting"/>
              <w:numPr>
                <w:ilvl w:val="0"/>
                <w:numId w:val="75"/>
              </w:numPr>
              <w:rPr>
                <w:rFonts w:eastAsia="MS Mincho" w:cstheme="minorBidi"/>
              </w:rPr>
            </w:pPr>
            <w:r w:rsidRPr="5BBA6992">
              <w:rPr>
                <w:rFonts w:eastAsia="MS Mincho" w:cstheme="minorBidi"/>
              </w:rPr>
              <w:t>Nicotine replacement therapy. Administered using either a nicotine patch or nicotine gum, or a combination</w:t>
            </w:r>
            <w:r w:rsidR="004C15ED" w:rsidRPr="5BBA6992">
              <w:rPr>
                <w:rFonts w:eastAsia="MS Mincho" w:cstheme="minorBidi"/>
              </w:rPr>
              <w:t xml:space="preserve"> </w:t>
            </w:r>
            <w:r w:rsidRPr="5BBA6992">
              <w:rPr>
                <w:rFonts w:eastAsia="MS Mincho" w:cstheme="minorBidi"/>
              </w:rPr>
              <w:t xml:space="preserve">of both. Nicotine patches were used </w:t>
            </w:r>
            <w:r w:rsidRPr="5BBA6992">
              <w:rPr>
                <w:rFonts w:eastAsia="MS Mincho" w:cstheme="minorBidi"/>
              </w:rPr>
              <w:lastRenderedPageBreak/>
              <w:t>in their three forms containing 21, 14 and 7 mg of nicotine,</w:t>
            </w:r>
            <w:r w:rsidR="004C15ED" w:rsidRPr="5BBA6992">
              <w:rPr>
                <w:rFonts w:eastAsia="MS Mincho" w:cstheme="minorBidi"/>
              </w:rPr>
              <w:t xml:space="preserve"> </w:t>
            </w:r>
            <w:r w:rsidRPr="5BBA6992">
              <w:rPr>
                <w:rFonts w:eastAsia="MS Mincho" w:cstheme="minorBidi"/>
              </w:rPr>
              <w:t xml:space="preserve">and in cases of excessive nicotine craving, 2 mg nicotine gum was used. </w:t>
            </w:r>
          </w:p>
          <w:p w14:paraId="1389A94F" w14:textId="39056D63" w:rsidR="00336771" w:rsidRPr="00017AE6" w:rsidRDefault="00B776D2" w:rsidP="00A71365">
            <w:pPr>
              <w:pStyle w:val="Tablewriting"/>
              <w:ind w:left="360"/>
              <w:rPr>
                <w:rFonts w:eastAsia="MS Mincho" w:cstheme="minorBidi"/>
              </w:rPr>
            </w:pPr>
            <w:r w:rsidRPr="5BBA6992">
              <w:rPr>
                <w:rFonts w:eastAsia="MS Mincho" w:cstheme="minorBidi"/>
              </w:rPr>
              <w:t>For each dose of nicotine</w:t>
            </w:r>
            <w:r w:rsidR="004C15ED" w:rsidRPr="5BBA6992">
              <w:rPr>
                <w:rFonts w:eastAsia="MS Mincho" w:cstheme="minorBidi"/>
              </w:rPr>
              <w:t xml:space="preserve"> patches, 4 weeks of administration in decreasing doses was recommended. The nicotine gum was started between 12 and 24 doses (2 mg) a day and gradually decreased.</w:t>
            </w:r>
          </w:p>
        </w:tc>
        <w:tc>
          <w:tcPr>
            <w:tcW w:w="959" w:type="pct"/>
            <w:shd w:val="clear" w:color="auto" w:fill="F2F2F2" w:themeFill="background1" w:themeFillShade="F2"/>
          </w:tcPr>
          <w:p w14:paraId="5CA76178" w14:textId="4031E77B" w:rsidR="005769DB" w:rsidRDefault="005769DB" w:rsidP="00A71365">
            <w:pPr>
              <w:pStyle w:val="Tablewriting"/>
              <w:rPr>
                <w:rFonts w:eastAsia="MS Mincho" w:cstheme="minorHAnsi"/>
              </w:rPr>
            </w:pPr>
            <w:r w:rsidRPr="005769DB">
              <w:rPr>
                <w:rFonts w:eastAsia="MS Mincho" w:cstheme="minorHAnsi"/>
                <w:u w:val="single"/>
              </w:rPr>
              <w:lastRenderedPageBreak/>
              <w:t>Efficacy:</w:t>
            </w:r>
            <w:r>
              <w:rPr>
                <w:rFonts w:eastAsia="MS Mincho" w:cstheme="minorHAnsi"/>
                <w:u w:val="single"/>
              </w:rPr>
              <w:t xml:space="preserve"> N</w:t>
            </w:r>
            <w:r w:rsidRPr="005769DB">
              <w:rPr>
                <w:rFonts w:eastAsia="MS Mincho" w:cstheme="minorHAnsi"/>
              </w:rPr>
              <w:t>ot specified</w:t>
            </w:r>
            <w:r>
              <w:rPr>
                <w:rFonts w:eastAsia="MS Mincho" w:cstheme="minorHAnsi"/>
              </w:rPr>
              <w:t>.</w:t>
            </w:r>
          </w:p>
          <w:p w14:paraId="31056621" w14:textId="77777777" w:rsidR="005769DB" w:rsidRPr="005769DB" w:rsidRDefault="005769DB" w:rsidP="00A71365">
            <w:pPr>
              <w:pStyle w:val="Tablewriting"/>
              <w:rPr>
                <w:rFonts w:eastAsia="MS Mincho" w:cstheme="minorHAnsi"/>
                <w:u w:val="single"/>
              </w:rPr>
            </w:pPr>
          </w:p>
          <w:p w14:paraId="233107AE" w14:textId="302FA124" w:rsidR="00336771" w:rsidRPr="005769DB" w:rsidRDefault="005769DB" w:rsidP="00A71365">
            <w:pPr>
              <w:pStyle w:val="Tablewriting"/>
              <w:rPr>
                <w:rFonts w:eastAsia="MS Mincho" w:cstheme="minorHAnsi"/>
                <w:u w:val="single"/>
              </w:rPr>
            </w:pPr>
            <w:r w:rsidRPr="005769DB">
              <w:rPr>
                <w:rFonts w:eastAsia="MS Mincho" w:cstheme="minorHAnsi"/>
                <w:u w:val="single"/>
              </w:rPr>
              <w:t>Safety:</w:t>
            </w:r>
            <w:r>
              <w:rPr>
                <w:rFonts w:eastAsia="MS Mincho" w:cstheme="minorHAnsi"/>
                <w:u w:val="single"/>
              </w:rPr>
              <w:t xml:space="preserve"> </w:t>
            </w:r>
            <w:r w:rsidRPr="005769DB">
              <w:rPr>
                <w:rFonts w:eastAsia="MS Mincho" w:cstheme="minorHAnsi"/>
              </w:rPr>
              <w:t>Adverse events measured for</w:t>
            </w:r>
            <w:r>
              <w:rPr>
                <w:rFonts w:eastAsia="MS Mincho" w:cstheme="minorHAnsi"/>
              </w:rPr>
              <w:t xml:space="preserve"> </w:t>
            </w:r>
            <w:r w:rsidRPr="005769DB">
              <w:rPr>
                <w:rFonts w:eastAsia="MS Mincho" w:cstheme="minorHAnsi"/>
              </w:rPr>
              <w:t>unspecified period</w:t>
            </w:r>
            <w:r>
              <w:rPr>
                <w:rFonts w:eastAsia="MS Mincho" w:cstheme="minorHAnsi"/>
              </w:rPr>
              <w:t>.</w:t>
            </w:r>
          </w:p>
        </w:tc>
      </w:tr>
      <w:tr w:rsidR="00B80988" w:rsidRPr="00017AE6" w14:paraId="1BDF79FD" w14:textId="77777777" w:rsidTr="005821B1">
        <w:trPr>
          <w:trHeight w:val="99"/>
        </w:trPr>
        <w:tc>
          <w:tcPr>
            <w:tcW w:w="458" w:type="pct"/>
            <w:shd w:val="clear" w:color="auto" w:fill="F2F2F2" w:themeFill="background1" w:themeFillShade="F2"/>
          </w:tcPr>
          <w:p w14:paraId="52829A5E" w14:textId="1DDB5BC7" w:rsidR="00B80988" w:rsidRPr="00017AE6" w:rsidRDefault="00B82832" w:rsidP="00A71365">
            <w:pPr>
              <w:pStyle w:val="Tablewriting"/>
              <w:rPr>
                <w:rFonts w:eastAsia="MS Mincho" w:cstheme="minorHAnsi"/>
              </w:rPr>
            </w:pPr>
            <w:r w:rsidRPr="004A1946">
              <w:rPr>
                <w:rFonts w:eastAsia="MS Mincho"/>
              </w:rPr>
              <w:t xml:space="preserve">Johns </w:t>
            </w:r>
            <w:r w:rsidR="007F2D86">
              <w:rPr>
                <w:rFonts w:eastAsia="MS Mincho"/>
              </w:rPr>
              <w:t>(</w:t>
            </w:r>
            <w:r w:rsidRPr="004A1946">
              <w:rPr>
                <w:rFonts w:eastAsia="MS Mincho"/>
              </w:rPr>
              <w:t>2017</w:t>
            </w:r>
            <w:r w:rsidR="007F2D86">
              <w:rPr>
                <w:rFonts w:eastAsia="MS Mincho"/>
              </w:rPr>
              <w:t>)</w:t>
            </w:r>
          </w:p>
        </w:tc>
        <w:tc>
          <w:tcPr>
            <w:tcW w:w="390" w:type="pct"/>
            <w:shd w:val="clear" w:color="auto" w:fill="F2F2F2" w:themeFill="background1" w:themeFillShade="F2"/>
          </w:tcPr>
          <w:p w14:paraId="7768DA44" w14:textId="3683D6B7" w:rsidR="00B80988" w:rsidRPr="00017AE6" w:rsidRDefault="00667171" w:rsidP="00A71365">
            <w:pPr>
              <w:pStyle w:val="Tablewriting"/>
              <w:rPr>
                <w:rFonts w:eastAsia="MS Mincho" w:cstheme="minorHAnsi"/>
              </w:rPr>
            </w:pPr>
            <w:r>
              <w:rPr>
                <w:rFonts w:eastAsia="MS Mincho" w:cstheme="minorHAnsi"/>
              </w:rPr>
              <w:t>RCT</w:t>
            </w:r>
          </w:p>
        </w:tc>
        <w:tc>
          <w:tcPr>
            <w:tcW w:w="391" w:type="pct"/>
            <w:shd w:val="clear" w:color="auto" w:fill="F2F2F2" w:themeFill="background1" w:themeFillShade="F2"/>
          </w:tcPr>
          <w:p w14:paraId="0C8A65E8" w14:textId="2B3F5A0E" w:rsidR="00B80988" w:rsidRPr="00017AE6" w:rsidRDefault="00667171" w:rsidP="00A71365">
            <w:pPr>
              <w:pStyle w:val="Tablewriting"/>
              <w:rPr>
                <w:rFonts w:eastAsia="MS Mincho" w:cstheme="minorHAnsi"/>
              </w:rPr>
            </w:pPr>
            <w:r>
              <w:rPr>
                <w:rFonts w:eastAsia="MS Mincho" w:cstheme="minorHAnsi"/>
              </w:rPr>
              <w:t>India</w:t>
            </w:r>
          </w:p>
        </w:tc>
        <w:tc>
          <w:tcPr>
            <w:tcW w:w="434" w:type="pct"/>
            <w:shd w:val="clear" w:color="auto" w:fill="F2F2F2" w:themeFill="background1" w:themeFillShade="F2"/>
          </w:tcPr>
          <w:p w14:paraId="34742ADB" w14:textId="393DE722" w:rsidR="00B80988" w:rsidRPr="00017AE6" w:rsidRDefault="00667171" w:rsidP="00A71365">
            <w:pPr>
              <w:pStyle w:val="Tablewriting"/>
              <w:rPr>
                <w:rFonts w:eastAsia="MS Mincho" w:cstheme="minorHAnsi"/>
              </w:rPr>
            </w:pPr>
            <w:r>
              <w:rPr>
                <w:rFonts w:eastAsia="MS Mincho" w:cstheme="minorHAnsi"/>
              </w:rPr>
              <w:t>N=300</w:t>
            </w:r>
          </w:p>
        </w:tc>
        <w:tc>
          <w:tcPr>
            <w:tcW w:w="1315" w:type="pct"/>
            <w:shd w:val="clear" w:color="auto" w:fill="F2F2F2" w:themeFill="background1" w:themeFillShade="F2"/>
          </w:tcPr>
          <w:p w14:paraId="679CE886" w14:textId="0FB87D50" w:rsidR="00B80988" w:rsidRPr="00017AE6" w:rsidRDefault="00667171" w:rsidP="00A71365">
            <w:pPr>
              <w:pStyle w:val="Tablewriting"/>
              <w:rPr>
                <w:rFonts w:eastAsia="MS Mincho" w:cstheme="minorHAnsi"/>
              </w:rPr>
            </w:pPr>
            <w:r>
              <w:rPr>
                <w:rFonts w:eastAsia="MS Mincho" w:cstheme="minorHAnsi"/>
              </w:rPr>
              <w:t>NR</w:t>
            </w:r>
          </w:p>
        </w:tc>
        <w:tc>
          <w:tcPr>
            <w:tcW w:w="1054" w:type="pct"/>
            <w:shd w:val="clear" w:color="auto" w:fill="F2F2F2" w:themeFill="background1" w:themeFillShade="F2"/>
          </w:tcPr>
          <w:p w14:paraId="2686053A" w14:textId="77777777" w:rsidR="004055A0" w:rsidRDefault="00667171" w:rsidP="00C324F3">
            <w:pPr>
              <w:pStyle w:val="Tablewriting"/>
              <w:numPr>
                <w:ilvl w:val="0"/>
                <w:numId w:val="76"/>
              </w:numPr>
              <w:rPr>
                <w:rFonts w:eastAsia="MS Mincho" w:cstheme="minorHAnsi"/>
              </w:rPr>
            </w:pPr>
            <w:r w:rsidRPr="00667171">
              <w:rPr>
                <w:rFonts w:eastAsia="MS Mincho" w:cstheme="minorHAnsi"/>
              </w:rPr>
              <w:t>Bupropion, 150 mg twice daily for 12 weeks</w:t>
            </w:r>
            <w:r w:rsidR="004055A0">
              <w:rPr>
                <w:rFonts w:eastAsia="MS Mincho" w:cstheme="minorHAnsi"/>
              </w:rPr>
              <w:t>.</w:t>
            </w:r>
          </w:p>
          <w:p w14:paraId="0714BF8A" w14:textId="77777777" w:rsidR="004055A0" w:rsidRDefault="00667171" w:rsidP="00C324F3">
            <w:pPr>
              <w:pStyle w:val="Tablewriting"/>
              <w:numPr>
                <w:ilvl w:val="0"/>
                <w:numId w:val="76"/>
              </w:numPr>
              <w:rPr>
                <w:rFonts w:eastAsia="MS Mincho" w:cstheme="minorHAnsi"/>
              </w:rPr>
            </w:pPr>
            <w:r w:rsidRPr="004055A0">
              <w:rPr>
                <w:rFonts w:eastAsia="MS Mincho" w:cstheme="minorHAnsi"/>
              </w:rPr>
              <w:t>Varenicline, 1 mg twice daily for 12 weeks</w:t>
            </w:r>
            <w:r w:rsidR="004055A0">
              <w:rPr>
                <w:rFonts w:eastAsia="MS Mincho" w:cstheme="minorHAnsi"/>
              </w:rPr>
              <w:t>.</w:t>
            </w:r>
          </w:p>
          <w:p w14:paraId="09915C23" w14:textId="6D145590" w:rsidR="00B80988" w:rsidRPr="00017AE6" w:rsidRDefault="00667171" w:rsidP="00C324F3">
            <w:pPr>
              <w:pStyle w:val="Tablewriting"/>
              <w:numPr>
                <w:ilvl w:val="0"/>
                <w:numId w:val="76"/>
              </w:numPr>
              <w:rPr>
                <w:rFonts w:eastAsia="MS Mincho" w:cstheme="minorHAnsi"/>
              </w:rPr>
            </w:pPr>
            <w:r w:rsidRPr="004055A0">
              <w:rPr>
                <w:rFonts w:eastAsia="MS Mincho" w:cstheme="minorHAnsi"/>
              </w:rPr>
              <w:t>Bupropion and</w:t>
            </w:r>
            <w:r w:rsidR="004055A0">
              <w:rPr>
                <w:rFonts w:eastAsia="MS Mincho" w:cstheme="minorHAnsi"/>
              </w:rPr>
              <w:t xml:space="preserve"> </w:t>
            </w:r>
            <w:r w:rsidRPr="004055A0">
              <w:rPr>
                <w:rFonts w:eastAsia="MS Mincho" w:cstheme="minorHAnsi"/>
              </w:rPr>
              <w:t>varenicline, taken according to schedules</w:t>
            </w:r>
            <w:r w:rsidR="004055A0">
              <w:rPr>
                <w:rFonts w:eastAsia="MS Mincho" w:cstheme="minorHAnsi"/>
              </w:rPr>
              <w:t xml:space="preserve"> </w:t>
            </w:r>
            <w:r w:rsidRPr="004055A0">
              <w:rPr>
                <w:rFonts w:eastAsia="MS Mincho" w:cstheme="minorHAnsi"/>
              </w:rPr>
              <w:t>above</w:t>
            </w:r>
            <w:r w:rsidR="004055A0">
              <w:rPr>
                <w:rFonts w:eastAsia="MS Mincho" w:cstheme="minorHAnsi"/>
              </w:rPr>
              <w:t>.</w:t>
            </w:r>
          </w:p>
        </w:tc>
        <w:tc>
          <w:tcPr>
            <w:tcW w:w="959" w:type="pct"/>
            <w:shd w:val="clear" w:color="auto" w:fill="F2F2F2" w:themeFill="background1" w:themeFillShade="F2"/>
          </w:tcPr>
          <w:p w14:paraId="609D2D57" w14:textId="41C5A325" w:rsidR="004055A0" w:rsidRPr="004055A0" w:rsidRDefault="004055A0" w:rsidP="00A71365">
            <w:pPr>
              <w:pStyle w:val="Tablewriting"/>
              <w:rPr>
                <w:rFonts w:eastAsia="MS Mincho" w:cstheme="minorHAnsi"/>
              </w:rPr>
            </w:pPr>
            <w:r w:rsidRPr="004055A0">
              <w:rPr>
                <w:rFonts w:eastAsia="MS Mincho" w:cstheme="minorHAnsi"/>
                <w:u w:val="single"/>
              </w:rPr>
              <w:t>Efficacy:</w:t>
            </w:r>
            <w:r w:rsidRPr="004055A0">
              <w:rPr>
                <w:rFonts w:eastAsia="MS Mincho" w:cstheme="minorHAnsi"/>
              </w:rPr>
              <w:t xml:space="preserve"> continuous abstinence at 6 months. Validated by CO</w:t>
            </w:r>
          </w:p>
          <w:p w14:paraId="449544B2" w14:textId="77777777" w:rsidR="004055A0" w:rsidRDefault="004055A0" w:rsidP="00A71365">
            <w:pPr>
              <w:pStyle w:val="Tablewriting"/>
              <w:rPr>
                <w:rFonts w:eastAsia="MS Mincho" w:cstheme="minorHAnsi"/>
              </w:rPr>
            </w:pPr>
          </w:p>
          <w:p w14:paraId="28885D12" w14:textId="0305081E" w:rsidR="00B80988" w:rsidRPr="00017AE6" w:rsidRDefault="004055A0" w:rsidP="00A71365">
            <w:pPr>
              <w:pStyle w:val="Tablewriting"/>
              <w:rPr>
                <w:rFonts w:eastAsia="MS Mincho" w:cstheme="minorHAnsi"/>
              </w:rPr>
            </w:pPr>
            <w:r w:rsidRPr="004055A0">
              <w:rPr>
                <w:rFonts w:eastAsia="MS Mincho" w:cstheme="minorHAnsi"/>
                <w:u w:val="single"/>
              </w:rPr>
              <w:t>Safety:</w:t>
            </w:r>
            <w:r>
              <w:rPr>
                <w:rFonts w:eastAsia="MS Mincho" w:cstheme="minorHAnsi"/>
                <w:u w:val="single"/>
              </w:rPr>
              <w:t xml:space="preserve"> </w:t>
            </w:r>
            <w:r w:rsidRPr="004055A0">
              <w:rPr>
                <w:rFonts w:eastAsia="MS Mincho" w:cstheme="minorHAnsi"/>
              </w:rPr>
              <w:t>Adverse events</w:t>
            </w:r>
            <w:r w:rsidR="00114E58">
              <w:rPr>
                <w:rFonts w:eastAsia="MS Mincho" w:cstheme="minorHAnsi"/>
              </w:rPr>
              <w:t xml:space="preserve">, </w:t>
            </w:r>
            <w:r w:rsidRPr="004055A0">
              <w:rPr>
                <w:rFonts w:eastAsia="MS Mincho" w:cstheme="minorHAnsi"/>
              </w:rPr>
              <w:t>period of measurement not detailed</w:t>
            </w:r>
            <w:r w:rsidR="00114E58">
              <w:rPr>
                <w:rFonts w:eastAsia="MS Mincho" w:cstheme="minorHAnsi"/>
              </w:rPr>
              <w:t>.</w:t>
            </w:r>
          </w:p>
        </w:tc>
      </w:tr>
      <w:tr w:rsidR="00B80988" w:rsidRPr="00017AE6" w14:paraId="07617FD4" w14:textId="77777777" w:rsidTr="005821B1">
        <w:trPr>
          <w:trHeight w:val="99"/>
        </w:trPr>
        <w:tc>
          <w:tcPr>
            <w:tcW w:w="458" w:type="pct"/>
            <w:shd w:val="clear" w:color="auto" w:fill="F2F2F2" w:themeFill="background1" w:themeFillShade="F2"/>
          </w:tcPr>
          <w:p w14:paraId="6757A783" w14:textId="14EEB6C5" w:rsidR="00B80988" w:rsidRPr="00017AE6" w:rsidRDefault="00B82832" w:rsidP="00A71365">
            <w:pPr>
              <w:pStyle w:val="Tablewriting"/>
              <w:rPr>
                <w:rFonts w:eastAsia="MS Mincho" w:cstheme="minorHAnsi"/>
              </w:rPr>
            </w:pPr>
            <w:r w:rsidRPr="00114E58">
              <w:rPr>
                <w:rFonts w:eastAsia="MS Mincho"/>
              </w:rPr>
              <w:t xml:space="preserve">Zawertailo </w:t>
            </w:r>
            <w:r w:rsidR="007F2D86">
              <w:rPr>
                <w:rFonts w:eastAsia="MS Mincho"/>
              </w:rPr>
              <w:t>(</w:t>
            </w:r>
            <w:r w:rsidRPr="00114E58">
              <w:rPr>
                <w:rFonts w:eastAsia="MS Mincho"/>
              </w:rPr>
              <w:t>2018</w:t>
            </w:r>
            <w:r w:rsidR="007F2D86">
              <w:rPr>
                <w:rFonts w:eastAsia="MS Mincho"/>
              </w:rPr>
              <w:t>)</w:t>
            </w:r>
          </w:p>
        </w:tc>
        <w:tc>
          <w:tcPr>
            <w:tcW w:w="390" w:type="pct"/>
            <w:shd w:val="clear" w:color="auto" w:fill="F2F2F2" w:themeFill="background1" w:themeFillShade="F2"/>
          </w:tcPr>
          <w:p w14:paraId="28C24D2B" w14:textId="2C4543DC" w:rsidR="00B80988" w:rsidRPr="00017AE6" w:rsidRDefault="00114E58" w:rsidP="00A71365">
            <w:pPr>
              <w:pStyle w:val="Tablewriting"/>
              <w:rPr>
                <w:rFonts w:eastAsia="MS Mincho" w:cstheme="minorHAnsi"/>
              </w:rPr>
            </w:pPr>
            <w:r>
              <w:rPr>
                <w:rFonts w:eastAsia="MS Mincho"/>
              </w:rPr>
              <w:t>RCT</w:t>
            </w:r>
          </w:p>
        </w:tc>
        <w:tc>
          <w:tcPr>
            <w:tcW w:w="391" w:type="pct"/>
            <w:shd w:val="clear" w:color="auto" w:fill="F2F2F2" w:themeFill="background1" w:themeFillShade="F2"/>
          </w:tcPr>
          <w:p w14:paraId="411738C6" w14:textId="276BCC82" w:rsidR="00B80988" w:rsidRPr="00017AE6" w:rsidRDefault="00114E58" w:rsidP="00A71365">
            <w:pPr>
              <w:pStyle w:val="Tablewriting"/>
              <w:rPr>
                <w:rFonts w:eastAsia="MS Mincho" w:cstheme="minorHAnsi"/>
              </w:rPr>
            </w:pPr>
            <w:r>
              <w:rPr>
                <w:rFonts w:eastAsia="MS Mincho"/>
              </w:rPr>
              <w:t>NR</w:t>
            </w:r>
          </w:p>
        </w:tc>
        <w:tc>
          <w:tcPr>
            <w:tcW w:w="434" w:type="pct"/>
            <w:shd w:val="clear" w:color="auto" w:fill="F2F2F2" w:themeFill="background1" w:themeFillShade="F2"/>
          </w:tcPr>
          <w:p w14:paraId="32E9C8B7" w14:textId="56C096F3" w:rsidR="00B80988" w:rsidRPr="00017AE6" w:rsidRDefault="00114E58" w:rsidP="00A71365">
            <w:pPr>
              <w:pStyle w:val="Tablewriting"/>
              <w:rPr>
                <w:rFonts w:eastAsia="MS Mincho" w:cstheme="minorHAnsi"/>
              </w:rPr>
            </w:pPr>
            <w:r>
              <w:rPr>
                <w:rFonts w:eastAsia="MS Mincho"/>
              </w:rPr>
              <w:t>N=9</w:t>
            </w:r>
            <w:r w:rsidR="0093728E">
              <w:rPr>
                <w:rFonts w:eastAsia="MS Mincho"/>
              </w:rPr>
              <w:t>68</w:t>
            </w:r>
          </w:p>
        </w:tc>
        <w:tc>
          <w:tcPr>
            <w:tcW w:w="1315" w:type="pct"/>
            <w:shd w:val="clear" w:color="auto" w:fill="F2F2F2" w:themeFill="background1" w:themeFillShade="F2"/>
          </w:tcPr>
          <w:p w14:paraId="4DC5E494" w14:textId="36722DD8" w:rsidR="00B80988" w:rsidRPr="00017AE6" w:rsidRDefault="0093728E" w:rsidP="00A71365">
            <w:pPr>
              <w:pStyle w:val="Tablewriting"/>
              <w:rPr>
                <w:rFonts w:eastAsia="MS Mincho" w:cstheme="minorHAnsi"/>
              </w:rPr>
            </w:pPr>
            <w:r>
              <w:rPr>
                <w:rFonts w:eastAsia="MS Mincho"/>
              </w:rPr>
              <w:t>S</w:t>
            </w:r>
            <w:r w:rsidR="00114E58" w:rsidRPr="00114E58">
              <w:rPr>
                <w:rFonts w:eastAsia="MS Mincho"/>
              </w:rPr>
              <w:t>mokers motivated to quit</w:t>
            </w:r>
          </w:p>
        </w:tc>
        <w:tc>
          <w:tcPr>
            <w:tcW w:w="1054" w:type="pct"/>
            <w:shd w:val="clear" w:color="auto" w:fill="F2F2F2" w:themeFill="background1" w:themeFillShade="F2"/>
          </w:tcPr>
          <w:p w14:paraId="343D96F8" w14:textId="77777777" w:rsidR="0093728E" w:rsidRDefault="0093728E" w:rsidP="00C324F3">
            <w:pPr>
              <w:pStyle w:val="Tablewriting"/>
              <w:numPr>
                <w:ilvl w:val="0"/>
                <w:numId w:val="77"/>
              </w:numPr>
              <w:rPr>
                <w:rFonts w:eastAsia="MS Mincho" w:cstheme="minorHAnsi"/>
              </w:rPr>
            </w:pPr>
            <w:r w:rsidRPr="0093728E">
              <w:rPr>
                <w:rFonts w:eastAsia="MS Mincho" w:cstheme="minorHAnsi"/>
              </w:rPr>
              <w:t>Bupropion 150 mg once daily for first three days, then twice daily for the remainder of 12 weeks.</w:t>
            </w:r>
            <w:r>
              <w:rPr>
                <w:rFonts w:eastAsia="MS Mincho" w:cstheme="minorHAnsi"/>
              </w:rPr>
              <w:t xml:space="preserve"> </w:t>
            </w:r>
            <w:r w:rsidRPr="0093728E">
              <w:rPr>
                <w:rFonts w:eastAsia="MS Mincho" w:cstheme="minorHAnsi"/>
              </w:rPr>
              <w:t>Starting 7 days prior to TQD</w:t>
            </w:r>
          </w:p>
          <w:p w14:paraId="51EB4773" w14:textId="57FD628A" w:rsidR="0093728E" w:rsidRPr="0093728E" w:rsidRDefault="0093728E" w:rsidP="00C324F3">
            <w:pPr>
              <w:pStyle w:val="Tablewriting"/>
              <w:numPr>
                <w:ilvl w:val="0"/>
                <w:numId w:val="77"/>
              </w:numPr>
              <w:rPr>
                <w:rFonts w:eastAsia="MS Mincho" w:cstheme="minorHAnsi"/>
              </w:rPr>
            </w:pPr>
            <w:r w:rsidRPr="0093728E">
              <w:rPr>
                <w:rFonts w:eastAsia="MS Mincho" w:cstheme="minorHAnsi"/>
              </w:rPr>
              <w:t>Varenicline 0.5 mg once daily for first three days, then 0.5 mg twice daily for next four days, then</w:t>
            </w:r>
            <w:r>
              <w:rPr>
                <w:rFonts w:eastAsia="MS Mincho" w:cstheme="minorHAnsi"/>
              </w:rPr>
              <w:t xml:space="preserve"> </w:t>
            </w:r>
            <w:r w:rsidRPr="0093728E">
              <w:rPr>
                <w:rFonts w:eastAsia="MS Mincho" w:cstheme="minorHAnsi"/>
              </w:rPr>
              <w:t>1 mg twice daily for the remainder of 12 weeks. Starting 7 days prior to TQD</w:t>
            </w:r>
          </w:p>
          <w:p w14:paraId="363D390D" w14:textId="77777777" w:rsidR="0093728E" w:rsidRDefault="0093728E" w:rsidP="00A71365">
            <w:pPr>
              <w:pStyle w:val="Tablewriting"/>
              <w:rPr>
                <w:rFonts w:eastAsia="MS Mincho" w:cstheme="minorHAnsi"/>
              </w:rPr>
            </w:pPr>
          </w:p>
          <w:p w14:paraId="3BDEE246" w14:textId="751CC453" w:rsidR="00B80988" w:rsidRPr="00017AE6" w:rsidRDefault="0093728E" w:rsidP="00A71365">
            <w:pPr>
              <w:pStyle w:val="Tablewriting"/>
              <w:rPr>
                <w:rFonts w:eastAsia="MS Mincho" w:cstheme="minorHAnsi"/>
              </w:rPr>
            </w:pPr>
            <w:r w:rsidRPr="0093728E">
              <w:rPr>
                <w:rFonts w:eastAsia="MS Mincho" w:cstheme="minorHAnsi"/>
                <w:u w:val="single"/>
              </w:rPr>
              <w:lastRenderedPageBreak/>
              <w:t>Common components:</w:t>
            </w:r>
            <w:r>
              <w:rPr>
                <w:rFonts w:eastAsia="MS Mincho" w:cstheme="minorHAnsi"/>
                <w:u w:val="single"/>
              </w:rPr>
              <w:t xml:space="preserve"> </w:t>
            </w:r>
            <w:r w:rsidRPr="0093728E">
              <w:rPr>
                <w:rFonts w:eastAsia="MS Mincho" w:cstheme="minorHAnsi"/>
              </w:rPr>
              <w:t>weekly motivational emails</w:t>
            </w:r>
            <w:r>
              <w:rPr>
                <w:rFonts w:eastAsia="MS Mincho" w:cstheme="minorHAnsi"/>
              </w:rPr>
              <w:t>.</w:t>
            </w:r>
          </w:p>
        </w:tc>
        <w:tc>
          <w:tcPr>
            <w:tcW w:w="959" w:type="pct"/>
            <w:shd w:val="clear" w:color="auto" w:fill="F2F2F2" w:themeFill="background1" w:themeFillShade="F2"/>
          </w:tcPr>
          <w:p w14:paraId="025A0D8A" w14:textId="548F77CB" w:rsidR="00B82832" w:rsidRPr="00623A07" w:rsidRDefault="00623A07" w:rsidP="00A71365">
            <w:pPr>
              <w:pStyle w:val="Tablewriting"/>
              <w:rPr>
                <w:rFonts w:eastAsia="MS Mincho" w:cstheme="minorHAnsi"/>
              </w:rPr>
            </w:pPr>
            <w:r w:rsidRPr="00623A07">
              <w:rPr>
                <w:rFonts w:eastAsia="MS Mincho" w:cstheme="minorHAnsi"/>
                <w:u w:val="single"/>
              </w:rPr>
              <w:lastRenderedPageBreak/>
              <w:t>Efficacy:</w:t>
            </w:r>
            <w:r>
              <w:rPr>
                <w:rFonts w:eastAsia="MS Mincho" w:cstheme="minorHAnsi"/>
                <w:u w:val="single"/>
              </w:rPr>
              <w:t xml:space="preserve"> </w:t>
            </w:r>
            <w:r w:rsidR="00F80279">
              <w:rPr>
                <w:rFonts w:eastAsia="MS Mincho" w:cstheme="minorHAnsi"/>
                <w:u w:val="single"/>
              </w:rPr>
              <w:t>C</w:t>
            </w:r>
            <w:r w:rsidRPr="00623A07">
              <w:rPr>
                <w:rFonts w:eastAsia="MS Mincho" w:cstheme="minorHAnsi"/>
              </w:rPr>
              <w:t>ontinuous abstinence at 52 weeks. Validated by saliva cotinine</w:t>
            </w:r>
            <w:r w:rsidR="00F80279">
              <w:rPr>
                <w:rFonts w:eastAsia="MS Mincho" w:cstheme="minorHAnsi"/>
              </w:rPr>
              <w:t>.</w:t>
            </w:r>
          </w:p>
          <w:p w14:paraId="483FC4BE" w14:textId="77777777" w:rsidR="00623A07" w:rsidRDefault="00623A07" w:rsidP="00A71365">
            <w:pPr>
              <w:pStyle w:val="Tablewriting"/>
              <w:rPr>
                <w:rFonts w:eastAsia="MS Mincho" w:cstheme="minorHAnsi"/>
              </w:rPr>
            </w:pPr>
          </w:p>
          <w:p w14:paraId="709B6F78" w14:textId="32903674" w:rsidR="00B80988" w:rsidRPr="00623A07" w:rsidRDefault="00623A07" w:rsidP="00A71365">
            <w:pPr>
              <w:pStyle w:val="Tablewriting"/>
              <w:rPr>
                <w:rFonts w:eastAsia="MS Mincho" w:cstheme="minorHAnsi"/>
                <w:u w:val="single"/>
              </w:rPr>
            </w:pPr>
            <w:r w:rsidRPr="00623A07">
              <w:rPr>
                <w:rFonts w:eastAsia="MS Mincho" w:cstheme="minorHAnsi"/>
                <w:u w:val="single"/>
              </w:rPr>
              <w:t>Safety:</w:t>
            </w:r>
            <w:r w:rsidR="00F80279">
              <w:rPr>
                <w:rFonts w:eastAsia="MS Mincho" w:cstheme="minorHAnsi"/>
                <w:u w:val="single"/>
              </w:rPr>
              <w:t xml:space="preserve"> NR</w:t>
            </w:r>
          </w:p>
        </w:tc>
      </w:tr>
    </w:tbl>
    <w:p w14:paraId="6A9CC7BA" w14:textId="77777777" w:rsidR="00526EC3" w:rsidRDefault="00526EC3" w:rsidP="005821B1">
      <w:pPr>
        <w:pStyle w:val="TableFooter"/>
        <w:keepNext/>
        <w:jc w:val="both"/>
        <w:rPr>
          <w:rFonts w:eastAsia="MS Mincho" w:cstheme="minorHAnsi"/>
          <w:szCs w:val="20"/>
        </w:rPr>
      </w:pPr>
      <w:r>
        <w:rPr>
          <w:rFonts w:eastAsia="MS Mincho" w:cstheme="minorHAnsi"/>
          <w:szCs w:val="20"/>
        </w:rPr>
        <w:t xml:space="preserve">Source: </w:t>
      </w:r>
      <w:r>
        <w:t>Howes</w:t>
      </w:r>
      <w:r w:rsidRPr="00AD6D3A">
        <w:t xml:space="preserve"> et al. (20</w:t>
      </w:r>
      <w:r>
        <w:t>20</w:t>
      </w:r>
      <w:r w:rsidRPr="00AD6D3A">
        <w:t>)</w:t>
      </w:r>
    </w:p>
    <w:p w14:paraId="440AE58D" w14:textId="7C96C9E3" w:rsidR="00972C67" w:rsidRPr="00FC4F81" w:rsidRDefault="00972C67" w:rsidP="005821B1">
      <w:pPr>
        <w:pStyle w:val="TableFooter"/>
        <w:keepNext/>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DSM-IV-TR= Mental Disorders, Fourth Edition, Text Revision; CO= carbon monoxide; </w:t>
      </w:r>
      <w:r w:rsidRPr="00D66694">
        <w:rPr>
          <w:szCs w:val="18"/>
        </w:rPr>
        <w:t>ppm=</w:t>
      </w:r>
      <w:r w:rsidRPr="009B042A">
        <w:t xml:space="preserve"> </w:t>
      </w:r>
      <w:r>
        <w:t>part per million</w:t>
      </w:r>
      <w:r w:rsidRPr="009B042A">
        <w:t xml:space="preserve">; EoT= end of treatment; </w:t>
      </w:r>
      <w:r>
        <w:t xml:space="preserve">FTND= </w:t>
      </w:r>
      <w:r w:rsidR="004664D2" w:rsidRPr="00BD70BE">
        <w:t>Fagerstrӧm</w:t>
      </w:r>
      <w:r w:rsidRPr="00BD70BE">
        <w:t xml:space="preserve"> test for nicotine dependence</w:t>
      </w:r>
      <w:r>
        <w:t xml:space="preserve">; CBT= cognitive behavioural therapy; MI= myocardial infarction; SR= sustained release; AEs= adverse events; SAEs= serious adverse events. </w:t>
      </w:r>
    </w:p>
    <w:p w14:paraId="312DDCA4" w14:textId="26E9E27F" w:rsidR="005E4995" w:rsidRPr="00A71365" w:rsidRDefault="00B82832" w:rsidP="005821B1">
      <w:pPr>
        <w:pStyle w:val="TableFooter"/>
        <w:keepNext/>
        <w:spacing w:after="120"/>
        <w:contextualSpacing w:val="0"/>
        <w:jc w:val="both"/>
        <w:rPr>
          <w:rFonts w:eastAsia="MS Mincho" w:cstheme="minorHAnsi"/>
          <w:szCs w:val="20"/>
        </w:rPr>
      </w:pPr>
      <w:r w:rsidRPr="00D65152">
        <w:rPr>
          <w:rFonts w:eastAsia="MS Mincho" w:cstheme="minorHAnsi"/>
          <w:szCs w:val="20"/>
          <w:shd w:val="clear" w:color="auto" w:fill="F2F2F2" w:themeFill="background1" w:themeFillShade="F2"/>
        </w:rPr>
        <w:t>Shaded</w:t>
      </w:r>
      <w:r w:rsidR="00D15E5A">
        <w:rPr>
          <w:rFonts w:eastAsia="MS Mincho" w:cstheme="minorHAnsi"/>
          <w:szCs w:val="20"/>
        </w:rPr>
        <w:t>= excluded studies</w:t>
      </w:r>
      <w:r w:rsidR="005E4995">
        <w:rPr>
          <w:rFonts w:eastAsia="MS Mincho" w:cstheme="minorHAnsi"/>
          <w:szCs w:val="20"/>
        </w:rPr>
        <w:t>.</w:t>
      </w:r>
      <w:bookmarkStart w:id="332" w:name="_Ref54261060"/>
    </w:p>
    <w:p w14:paraId="282C2BF8" w14:textId="77777777" w:rsidR="00EA7016" w:rsidRDefault="00EA7016">
      <w:pPr>
        <w:spacing w:line="276" w:lineRule="auto"/>
        <w:rPr>
          <w:rFonts w:asciiTheme="minorHAnsi" w:eastAsia="Times New Roman" w:hAnsiTheme="minorHAnsi" w:cs="Times New Roman"/>
          <w:b/>
          <w:bCs/>
          <w:szCs w:val="18"/>
        </w:rPr>
      </w:pPr>
      <w:bookmarkStart w:id="333" w:name="_Ref61508120"/>
      <w:r>
        <w:br w:type="page"/>
      </w:r>
    </w:p>
    <w:p w14:paraId="59258F04" w14:textId="25D148A3" w:rsidR="009E29BF" w:rsidRDefault="009E29BF"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148</w:t>
      </w:r>
      <w:r w:rsidR="00BF3F75">
        <w:rPr>
          <w:noProof/>
        </w:rPr>
        <w:fldChar w:fldCharType="end"/>
      </w:r>
      <w:bookmarkEnd w:id="332"/>
      <w:bookmarkEnd w:id="333"/>
      <w:r>
        <w:t xml:space="preserve">: </w:t>
      </w:r>
      <w:r w:rsidRPr="007032F7">
        <w:t>Characteristics of studies included in H</w:t>
      </w:r>
      <w:r>
        <w:t xml:space="preserve">artmann-Boyce </w:t>
      </w:r>
      <w:r w:rsidRPr="007032F7">
        <w:t>et al. (20</w:t>
      </w:r>
      <w:r>
        <w:t>18</w:t>
      </w:r>
      <w:r w:rsidRPr="007032F7">
        <w:t xml:space="preserve">), </w:t>
      </w:r>
      <w:r>
        <w:t>NRT patch</w:t>
      </w:r>
      <w:r w:rsidRPr="007032F7">
        <w:t xml:space="preserve"> versus </w:t>
      </w:r>
      <w:r>
        <w:t>placebo</w:t>
      </w:r>
    </w:p>
    <w:tbl>
      <w:tblPr>
        <w:tblStyle w:val="TableGrid"/>
        <w:tblW w:w="5000" w:type="pct"/>
        <w:tblLook w:val="04A0" w:firstRow="1" w:lastRow="0" w:firstColumn="1" w:lastColumn="0" w:noHBand="0" w:noVBand="1"/>
        <w:tblCaption w:val="Efficacy results of adalimumab trials (PASI 75 and DLQI)"/>
      </w:tblPr>
      <w:tblGrid>
        <w:gridCol w:w="2763"/>
        <w:gridCol w:w="690"/>
        <w:gridCol w:w="1216"/>
        <w:gridCol w:w="851"/>
        <w:gridCol w:w="2880"/>
        <w:gridCol w:w="2908"/>
        <w:gridCol w:w="2640"/>
      </w:tblGrid>
      <w:tr w:rsidR="009E29BF" w:rsidRPr="00061F78" w14:paraId="39AF1192" w14:textId="77777777" w:rsidTr="005821B1">
        <w:trPr>
          <w:trHeight w:val="299"/>
          <w:tblHeader/>
        </w:trPr>
        <w:tc>
          <w:tcPr>
            <w:tcW w:w="1003" w:type="pct"/>
            <w:shd w:val="clear" w:color="auto" w:fill="BFBFBF" w:themeFill="background1" w:themeFillShade="BF"/>
            <w:tcMar>
              <w:left w:w="28" w:type="dxa"/>
              <w:right w:w="28" w:type="dxa"/>
            </w:tcMar>
          </w:tcPr>
          <w:p w14:paraId="49174E49" w14:textId="22C8411B" w:rsidR="009E29BF"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1E23278E" w14:textId="77777777" w:rsidR="009E29BF" w:rsidRDefault="009E29BF" w:rsidP="00A71365">
            <w:pPr>
              <w:pStyle w:val="Tableheading"/>
              <w:jc w:val="center"/>
              <w:rPr>
                <w:rFonts w:eastAsia="MS Mincho"/>
              </w:rPr>
            </w:pPr>
            <w:r>
              <w:rPr>
                <w:rFonts w:eastAsia="MS Mincho"/>
              </w:rPr>
              <w:t>Study type</w:t>
            </w:r>
          </w:p>
        </w:tc>
        <w:tc>
          <w:tcPr>
            <w:tcW w:w="414" w:type="pct"/>
            <w:shd w:val="clear" w:color="auto" w:fill="BFBFBF" w:themeFill="background1" w:themeFillShade="BF"/>
          </w:tcPr>
          <w:p w14:paraId="45B12EAE" w14:textId="77777777" w:rsidR="009E29BF" w:rsidRDefault="009E29BF" w:rsidP="00A71365">
            <w:pPr>
              <w:pStyle w:val="Tableheading"/>
              <w:jc w:val="center"/>
              <w:rPr>
                <w:rFonts w:eastAsia="MS Mincho"/>
              </w:rPr>
            </w:pPr>
            <w:r>
              <w:rPr>
                <w:rFonts w:eastAsia="MS Mincho"/>
              </w:rPr>
              <w:t>Countries</w:t>
            </w:r>
          </w:p>
        </w:tc>
        <w:tc>
          <w:tcPr>
            <w:tcW w:w="289" w:type="pct"/>
            <w:shd w:val="clear" w:color="auto" w:fill="BFBFBF" w:themeFill="background1" w:themeFillShade="BF"/>
            <w:tcMar>
              <w:left w:w="28" w:type="dxa"/>
              <w:right w:w="28" w:type="dxa"/>
            </w:tcMar>
          </w:tcPr>
          <w:p w14:paraId="3958969D" w14:textId="77777777" w:rsidR="009E29BF" w:rsidRPr="00061F78" w:rsidRDefault="009E29BF" w:rsidP="00A71365">
            <w:pPr>
              <w:pStyle w:val="Tableheading"/>
              <w:jc w:val="center"/>
              <w:rPr>
                <w:rFonts w:eastAsia="MS Mincho"/>
              </w:rPr>
            </w:pPr>
            <w:r>
              <w:rPr>
                <w:rFonts w:eastAsia="MS Mincho"/>
              </w:rPr>
              <w:t>N</w:t>
            </w:r>
          </w:p>
        </w:tc>
        <w:tc>
          <w:tcPr>
            <w:tcW w:w="1045" w:type="pct"/>
            <w:shd w:val="clear" w:color="auto" w:fill="BFBFBF" w:themeFill="background1" w:themeFillShade="BF"/>
            <w:tcMar>
              <w:left w:w="28" w:type="dxa"/>
              <w:right w:w="28" w:type="dxa"/>
            </w:tcMar>
          </w:tcPr>
          <w:p w14:paraId="1696D0DE" w14:textId="77777777" w:rsidR="009E29BF" w:rsidRPr="00061F78" w:rsidRDefault="009E29BF" w:rsidP="00A71365">
            <w:pPr>
              <w:pStyle w:val="Tableheading"/>
              <w:jc w:val="center"/>
              <w:rPr>
                <w:rFonts w:eastAsia="MS Mincho"/>
              </w:rPr>
            </w:pPr>
            <w:r w:rsidRPr="00061F78">
              <w:rPr>
                <w:rFonts w:eastAsia="MS Mincho"/>
              </w:rPr>
              <w:t>P</w:t>
            </w:r>
            <w:r>
              <w:rPr>
                <w:rFonts w:eastAsia="MS Mincho"/>
              </w:rPr>
              <w:t>opulation</w:t>
            </w:r>
          </w:p>
        </w:tc>
        <w:tc>
          <w:tcPr>
            <w:tcW w:w="1055" w:type="pct"/>
            <w:shd w:val="clear" w:color="auto" w:fill="BFBFBF" w:themeFill="background1" w:themeFillShade="BF"/>
          </w:tcPr>
          <w:p w14:paraId="32D7813B" w14:textId="77777777" w:rsidR="009E29BF" w:rsidRDefault="009E29BF" w:rsidP="00A71365">
            <w:pPr>
              <w:pStyle w:val="Tableheading"/>
              <w:jc w:val="center"/>
              <w:rPr>
                <w:rFonts w:eastAsia="MS Mincho"/>
              </w:rPr>
            </w:pPr>
            <w:r>
              <w:rPr>
                <w:rFonts w:eastAsia="MS Mincho"/>
              </w:rPr>
              <w:t>Intervention and comparator</w:t>
            </w:r>
          </w:p>
        </w:tc>
        <w:tc>
          <w:tcPr>
            <w:tcW w:w="958" w:type="pct"/>
            <w:shd w:val="clear" w:color="auto" w:fill="BFBFBF" w:themeFill="background1" w:themeFillShade="BF"/>
            <w:tcMar>
              <w:left w:w="28" w:type="dxa"/>
              <w:right w:w="28" w:type="dxa"/>
            </w:tcMar>
          </w:tcPr>
          <w:p w14:paraId="10859133" w14:textId="77777777" w:rsidR="009E29BF" w:rsidRPr="00061F78" w:rsidRDefault="009E29BF" w:rsidP="00A71365">
            <w:pPr>
              <w:pStyle w:val="Tableheading"/>
              <w:jc w:val="center"/>
              <w:rPr>
                <w:rFonts w:eastAsia="MS Mincho"/>
              </w:rPr>
            </w:pPr>
            <w:r>
              <w:rPr>
                <w:rFonts w:eastAsia="MS Mincho"/>
              </w:rPr>
              <w:t>Outcomes</w:t>
            </w:r>
          </w:p>
        </w:tc>
      </w:tr>
      <w:tr w:rsidR="0013285A" w:rsidRPr="00017AE6" w14:paraId="66D191A9" w14:textId="77777777" w:rsidTr="005821B1">
        <w:trPr>
          <w:trHeight w:val="99"/>
        </w:trPr>
        <w:tc>
          <w:tcPr>
            <w:tcW w:w="5000" w:type="pct"/>
            <w:gridSpan w:val="7"/>
            <w:shd w:val="clear" w:color="auto" w:fill="D9D9D9" w:themeFill="background1" w:themeFillShade="D9"/>
          </w:tcPr>
          <w:p w14:paraId="45B60F48" w14:textId="2836A5B3" w:rsidR="006C4A81" w:rsidRPr="00624EA0" w:rsidRDefault="006C4A81" w:rsidP="00A71365">
            <w:pPr>
              <w:pStyle w:val="Tablewriting"/>
              <w:rPr>
                <w:rFonts w:eastAsia="MS Mincho"/>
                <w:b/>
              </w:rPr>
            </w:pPr>
            <w:r w:rsidRPr="00624EA0">
              <w:rPr>
                <w:rFonts w:eastAsia="MS Mincho"/>
                <w:b/>
              </w:rPr>
              <w:t>Sustained 12 months</w:t>
            </w:r>
          </w:p>
        </w:tc>
      </w:tr>
      <w:tr w:rsidR="009E29BF" w:rsidRPr="00017AE6" w14:paraId="7A7F059B" w14:textId="77777777" w:rsidTr="005821B1">
        <w:trPr>
          <w:trHeight w:val="99"/>
        </w:trPr>
        <w:tc>
          <w:tcPr>
            <w:tcW w:w="1003" w:type="pct"/>
          </w:tcPr>
          <w:p w14:paraId="7B6DD84B" w14:textId="40BDD0A7" w:rsidR="009E29BF" w:rsidRPr="00FD17DC" w:rsidRDefault="009778B8" w:rsidP="00A71365">
            <w:pPr>
              <w:pStyle w:val="Tablewriting"/>
              <w:rPr>
                <w:rFonts w:eastAsia="MS Mincho"/>
              </w:rPr>
            </w:pPr>
            <w:r w:rsidRPr="00FD17DC">
              <w:rPr>
                <w:rFonts w:eastAsia="MS Mincho"/>
              </w:rPr>
              <w:t xml:space="preserve">Abelin </w:t>
            </w:r>
            <w:r w:rsidR="00156D0F">
              <w:rPr>
                <w:rFonts w:eastAsia="MS Mincho"/>
              </w:rPr>
              <w:t>(</w:t>
            </w:r>
            <w:r w:rsidRPr="00FD17DC">
              <w:rPr>
                <w:rFonts w:eastAsia="MS Mincho"/>
              </w:rPr>
              <w:t>1989</w:t>
            </w:r>
            <w:r w:rsidR="00156D0F">
              <w:rPr>
                <w:rFonts w:eastAsia="MS Mincho"/>
              </w:rPr>
              <w:t>)</w:t>
            </w:r>
          </w:p>
        </w:tc>
        <w:tc>
          <w:tcPr>
            <w:tcW w:w="235" w:type="pct"/>
          </w:tcPr>
          <w:p w14:paraId="400FB8BF" w14:textId="04435D91" w:rsidR="009E29BF" w:rsidRPr="00017AE6" w:rsidRDefault="008C3CEA" w:rsidP="00A71365">
            <w:pPr>
              <w:pStyle w:val="Tablewriting"/>
              <w:rPr>
                <w:rFonts w:eastAsia="MS Mincho" w:cstheme="minorHAnsi"/>
              </w:rPr>
            </w:pPr>
            <w:r>
              <w:rPr>
                <w:rFonts w:eastAsia="MS Mincho" w:cstheme="minorHAnsi"/>
              </w:rPr>
              <w:t>RCT</w:t>
            </w:r>
          </w:p>
        </w:tc>
        <w:tc>
          <w:tcPr>
            <w:tcW w:w="414" w:type="pct"/>
          </w:tcPr>
          <w:p w14:paraId="362F48D6" w14:textId="60F528ED" w:rsidR="009E29BF" w:rsidRPr="00017AE6" w:rsidRDefault="008C3CEA" w:rsidP="00A71365">
            <w:pPr>
              <w:pStyle w:val="Tablewriting"/>
              <w:rPr>
                <w:rFonts w:eastAsia="MS Mincho" w:cstheme="minorHAnsi"/>
              </w:rPr>
            </w:pPr>
            <w:r>
              <w:rPr>
                <w:rFonts w:eastAsia="MS Mincho" w:cstheme="minorHAnsi"/>
              </w:rPr>
              <w:t>Switzerland</w:t>
            </w:r>
          </w:p>
        </w:tc>
        <w:tc>
          <w:tcPr>
            <w:tcW w:w="289" w:type="pct"/>
          </w:tcPr>
          <w:p w14:paraId="4F09FE3A" w14:textId="295D4F8E" w:rsidR="009E29BF" w:rsidRPr="00017AE6" w:rsidRDefault="008C3CEA" w:rsidP="00A71365">
            <w:pPr>
              <w:pStyle w:val="Tablewriting"/>
              <w:rPr>
                <w:rFonts w:eastAsia="MS Mincho" w:cstheme="minorHAnsi"/>
              </w:rPr>
            </w:pPr>
            <w:r>
              <w:rPr>
                <w:rFonts w:eastAsia="MS Mincho" w:cstheme="minorHAnsi"/>
              </w:rPr>
              <w:t>N=199</w:t>
            </w:r>
          </w:p>
        </w:tc>
        <w:tc>
          <w:tcPr>
            <w:tcW w:w="1045" w:type="pct"/>
          </w:tcPr>
          <w:p w14:paraId="60335DE4" w14:textId="6A073F9F" w:rsidR="00DF612C" w:rsidRPr="00DF612C" w:rsidRDefault="008C3CEA" w:rsidP="00A71365">
            <w:pPr>
              <w:pStyle w:val="Tablewriting"/>
              <w:rPr>
                <w:rFonts w:eastAsia="MS Mincho" w:cstheme="minorHAnsi"/>
              </w:rPr>
            </w:pPr>
            <w:r>
              <w:rPr>
                <w:rFonts w:eastAsia="MS Mincho" w:cstheme="minorHAnsi"/>
              </w:rPr>
              <w:t>P</w:t>
            </w:r>
            <w:r w:rsidR="00825136" w:rsidRPr="00825136">
              <w:rPr>
                <w:rFonts w:eastAsia="MS Mincho" w:cstheme="minorHAnsi"/>
              </w:rPr>
              <w:t>rimary care patients</w:t>
            </w:r>
            <w:r>
              <w:rPr>
                <w:rFonts w:eastAsia="MS Mincho" w:cstheme="minorHAnsi"/>
              </w:rPr>
              <w:t xml:space="preserve">; </w:t>
            </w:r>
            <w:r w:rsidR="00825136" w:rsidRPr="00825136">
              <w:rPr>
                <w:rFonts w:eastAsia="MS Mincho" w:cstheme="minorHAnsi"/>
              </w:rPr>
              <w:t xml:space="preserve">40% female, average age 41, average </w:t>
            </w:r>
            <w:r>
              <w:rPr>
                <w:rFonts w:eastAsia="MS Mincho" w:cstheme="minorHAnsi"/>
              </w:rPr>
              <w:t>CPD</w:t>
            </w:r>
            <w:r w:rsidR="00825136" w:rsidRPr="00825136">
              <w:rPr>
                <w:rFonts w:eastAsia="MS Mincho" w:cstheme="minorHAnsi"/>
              </w:rPr>
              <w:t xml:space="preserve"> 27</w:t>
            </w:r>
            <w:r>
              <w:rPr>
                <w:rFonts w:eastAsia="MS Mincho" w:cstheme="minorHAnsi"/>
              </w:rPr>
              <w:t>.</w:t>
            </w:r>
          </w:p>
          <w:p w14:paraId="0848FCB8" w14:textId="77777777" w:rsidR="008C3CEA" w:rsidRPr="00825136" w:rsidRDefault="008C3CEA" w:rsidP="00A71365">
            <w:pPr>
              <w:pStyle w:val="Tablewriting"/>
              <w:rPr>
                <w:rFonts w:eastAsia="MS Mincho" w:cstheme="minorHAnsi"/>
              </w:rPr>
            </w:pPr>
          </w:p>
          <w:p w14:paraId="4D6AD1A8" w14:textId="2DA5DB01" w:rsidR="009E29BF" w:rsidRPr="00017AE6" w:rsidRDefault="00825136" w:rsidP="00A71365">
            <w:pPr>
              <w:pStyle w:val="Tablewriting"/>
              <w:rPr>
                <w:rFonts w:eastAsia="MS Mincho" w:cstheme="minorHAnsi"/>
              </w:rPr>
            </w:pPr>
            <w:r w:rsidRPr="00825136">
              <w:rPr>
                <w:rFonts w:eastAsia="MS Mincho" w:cstheme="minorHAnsi"/>
              </w:rPr>
              <w:t>Participants were motivated to quit.</w:t>
            </w:r>
          </w:p>
        </w:tc>
        <w:tc>
          <w:tcPr>
            <w:tcW w:w="1055" w:type="pct"/>
          </w:tcPr>
          <w:p w14:paraId="4FEB8836" w14:textId="77777777" w:rsidR="00CE136E" w:rsidRDefault="00CE136E" w:rsidP="00C324F3">
            <w:pPr>
              <w:pStyle w:val="Tablewriting"/>
              <w:numPr>
                <w:ilvl w:val="0"/>
                <w:numId w:val="95"/>
              </w:numPr>
              <w:rPr>
                <w:rFonts w:eastAsia="MS Mincho" w:cstheme="minorHAnsi"/>
              </w:rPr>
            </w:pPr>
            <w:r w:rsidRPr="00CE136E">
              <w:rPr>
                <w:rFonts w:eastAsia="MS Mincho" w:cstheme="minorHAnsi"/>
              </w:rPr>
              <w:t xml:space="preserve">Nicotine patch, 24 h, 12 weeks with weaning; 21 mg smokers of &gt; 20 </w:t>
            </w:r>
            <w:r>
              <w:rPr>
                <w:rFonts w:eastAsia="MS Mincho" w:cstheme="minorHAnsi"/>
              </w:rPr>
              <w:t>CPD</w:t>
            </w:r>
            <w:r w:rsidRPr="00CE136E">
              <w:rPr>
                <w:rFonts w:eastAsia="MS Mincho" w:cstheme="minorHAnsi"/>
              </w:rPr>
              <w:t xml:space="preserve">, 14 mg for &lt; 20 </w:t>
            </w:r>
            <w:r>
              <w:rPr>
                <w:rFonts w:eastAsia="MS Mincho" w:cstheme="minorHAnsi"/>
              </w:rPr>
              <w:t>CPD.</w:t>
            </w:r>
          </w:p>
          <w:p w14:paraId="7501BAA9" w14:textId="2AA67BE3" w:rsidR="00CE136E" w:rsidRPr="00CE136E" w:rsidRDefault="00CE136E" w:rsidP="00C324F3">
            <w:pPr>
              <w:pStyle w:val="Tablewriting"/>
              <w:numPr>
                <w:ilvl w:val="0"/>
                <w:numId w:val="95"/>
              </w:numPr>
              <w:rPr>
                <w:rFonts w:eastAsia="MS Mincho" w:cstheme="minorHAnsi"/>
              </w:rPr>
            </w:pPr>
            <w:r w:rsidRPr="00CE136E">
              <w:rPr>
                <w:rFonts w:eastAsia="MS Mincho" w:cstheme="minorHAnsi"/>
              </w:rPr>
              <w:t>Placebo patch</w:t>
            </w:r>
          </w:p>
          <w:p w14:paraId="275030AA" w14:textId="77777777" w:rsidR="00CE136E" w:rsidRDefault="00CE136E" w:rsidP="00A71365">
            <w:pPr>
              <w:pStyle w:val="Tablewriting"/>
              <w:rPr>
                <w:rFonts w:eastAsia="MS Mincho" w:cstheme="minorHAnsi"/>
              </w:rPr>
            </w:pPr>
          </w:p>
          <w:p w14:paraId="15FA0B07" w14:textId="06A2BA78" w:rsidR="009E29BF" w:rsidRPr="00017AE6" w:rsidRDefault="00CE136E" w:rsidP="00A71365">
            <w:pPr>
              <w:pStyle w:val="Tablewriting"/>
              <w:rPr>
                <w:rFonts w:eastAsia="MS Mincho" w:cstheme="minorHAnsi"/>
              </w:rPr>
            </w:pPr>
            <w:r w:rsidRPr="00CE136E">
              <w:rPr>
                <w:rFonts w:eastAsia="MS Mincho" w:cstheme="minorHAnsi"/>
              </w:rPr>
              <w:t>Level of support: low</w:t>
            </w:r>
            <w:r>
              <w:rPr>
                <w:rFonts w:eastAsia="MS Mincho" w:cstheme="minorHAnsi"/>
              </w:rPr>
              <w:t xml:space="preserve"> </w:t>
            </w:r>
            <w:r w:rsidRPr="00CE136E">
              <w:rPr>
                <w:rFonts w:eastAsia="MS Mincho" w:cstheme="minorHAnsi"/>
              </w:rPr>
              <w:t>(number of visits unclear)</w:t>
            </w:r>
          </w:p>
        </w:tc>
        <w:tc>
          <w:tcPr>
            <w:tcW w:w="958" w:type="pct"/>
          </w:tcPr>
          <w:p w14:paraId="4259EA28" w14:textId="4AD38356" w:rsidR="00CE136E" w:rsidRPr="00CE136E" w:rsidRDefault="00CE136E" w:rsidP="00A71365">
            <w:pPr>
              <w:pStyle w:val="Tablewriting"/>
              <w:rPr>
                <w:rFonts w:eastAsia="MS Mincho" w:cstheme="minorHAnsi"/>
                <w:u w:val="single"/>
              </w:rPr>
            </w:pPr>
            <w:r w:rsidRPr="00CE136E">
              <w:rPr>
                <w:rFonts w:eastAsia="MS Mincho" w:cstheme="minorHAnsi"/>
                <w:u w:val="single"/>
              </w:rPr>
              <w:t>Efficacy:</w:t>
            </w:r>
            <w:r>
              <w:rPr>
                <w:rFonts w:eastAsia="MS Mincho" w:cstheme="minorHAnsi"/>
                <w:u w:val="single"/>
              </w:rPr>
              <w:t xml:space="preserve"> </w:t>
            </w:r>
            <w:r w:rsidRPr="00CE136E">
              <w:rPr>
                <w:rFonts w:eastAsia="MS Mincho" w:cstheme="minorHAnsi"/>
              </w:rPr>
              <w:t>Sustained abstinence at 12 months (0 to 3 cigarettes/week)</w:t>
            </w:r>
          </w:p>
          <w:p w14:paraId="6ADD6972" w14:textId="77777777" w:rsidR="00CE136E" w:rsidRDefault="00CE136E" w:rsidP="00A71365">
            <w:pPr>
              <w:pStyle w:val="Tablewriting"/>
              <w:rPr>
                <w:rFonts w:eastAsia="MS Mincho" w:cstheme="minorHAnsi"/>
              </w:rPr>
            </w:pPr>
          </w:p>
          <w:p w14:paraId="11424F17" w14:textId="77777777" w:rsidR="009E29BF" w:rsidRDefault="00CE136E" w:rsidP="00A71365">
            <w:pPr>
              <w:pStyle w:val="Tablewriting"/>
              <w:rPr>
                <w:rFonts w:eastAsia="MS Mincho" w:cstheme="minorHAnsi"/>
              </w:rPr>
            </w:pPr>
            <w:r w:rsidRPr="00CE136E">
              <w:rPr>
                <w:rFonts w:eastAsia="MS Mincho" w:cstheme="minorHAnsi"/>
              </w:rPr>
              <w:t>Validation: expired CO</w:t>
            </w:r>
          </w:p>
          <w:p w14:paraId="0C18F3BD" w14:textId="77777777" w:rsidR="00CE136E" w:rsidRDefault="00CE136E" w:rsidP="00A71365">
            <w:pPr>
              <w:pStyle w:val="Tablewriting"/>
              <w:rPr>
                <w:rFonts w:eastAsia="MS Mincho" w:cstheme="minorHAnsi"/>
              </w:rPr>
            </w:pPr>
          </w:p>
          <w:p w14:paraId="3485BBB9" w14:textId="752A0CA0" w:rsidR="009E29BF" w:rsidRPr="00017AE6" w:rsidRDefault="00CE136E" w:rsidP="00A71365">
            <w:pPr>
              <w:pStyle w:val="Tablewriting"/>
              <w:rPr>
                <w:rFonts w:eastAsia="MS Mincho" w:cstheme="minorHAnsi"/>
              </w:rPr>
            </w:pPr>
            <w:r w:rsidRPr="00CE136E">
              <w:rPr>
                <w:rFonts w:eastAsia="MS Mincho" w:cstheme="minorHAnsi"/>
                <w:u w:val="single"/>
              </w:rPr>
              <w:t>Safety:</w:t>
            </w:r>
            <w:r>
              <w:rPr>
                <w:rFonts w:eastAsia="MS Mincho" w:cstheme="minorHAnsi"/>
              </w:rPr>
              <w:t xml:space="preserve"> NR</w:t>
            </w:r>
          </w:p>
        </w:tc>
      </w:tr>
      <w:tr w:rsidR="009E29BF" w:rsidRPr="00017AE6" w14:paraId="7C864444" w14:textId="77777777" w:rsidTr="005821B1">
        <w:trPr>
          <w:trHeight w:val="99"/>
        </w:trPr>
        <w:tc>
          <w:tcPr>
            <w:tcW w:w="1003" w:type="pct"/>
          </w:tcPr>
          <w:p w14:paraId="760715C6" w14:textId="69BD8911" w:rsidR="009E29BF" w:rsidRPr="00FD17DC" w:rsidRDefault="008332C7" w:rsidP="00A71365">
            <w:pPr>
              <w:pStyle w:val="Tablewriting"/>
              <w:rPr>
                <w:rFonts w:eastAsia="MS Mincho"/>
              </w:rPr>
            </w:pPr>
            <w:r w:rsidRPr="00FD17DC">
              <w:rPr>
                <w:rFonts w:eastAsia="MS Mincho"/>
              </w:rPr>
              <w:t xml:space="preserve">Campbell </w:t>
            </w:r>
            <w:r w:rsidR="00902014">
              <w:rPr>
                <w:rFonts w:eastAsia="MS Mincho"/>
              </w:rPr>
              <w:t>(</w:t>
            </w:r>
            <w:r w:rsidRPr="00FD17DC">
              <w:rPr>
                <w:rFonts w:eastAsia="MS Mincho"/>
              </w:rPr>
              <w:t>1996</w:t>
            </w:r>
            <w:r w:rsidR="00902014">
              <w:rPr>
                <w:rFonts w:eastAsia="MS Mincho"/>
              </w:rPr>
              <w:t>)</w:t>
            </w:r>
          </w:p>
        </w:tc>
        <w:tc>
          <w:tcPr>
            <w:tcW w:w="235" w:type="pct"/>
          </w:tcPr>
          <w:p w14:paraId="08DB408C" w14:textId="0CB3D3C2"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5E47F8D3" w14:textId="7F3535A3" w:rsidR="009E29BF" w:rsidRPr="00017AE6" w:rsidRDefault="00346E73" w:rsidP="00A71365">
            <w:pPr>
              <w:pStyle w:val="Tablewriting"/>
              <w:rPr>
                <w:rFonts w:eastAsia="MS Mincho" w:cstheme="minorHAnsi"/>
              </w:rPr>
            </w:pPr>
            <w:r>
              <w:rPr>
                <w:rFonts w:eastAsia="MS Mincho" w:cstheme="minorHAnsi"/>
              </w:rPr>
              <w:t>UK</w:t>
            </w:r>
          </w:p>
        </w:tc>
        <w:tc>
          <w:tcPr>
            <w:tcW w:w="289" w:type="pct"/>
          </w:tcPr>
          <w:p w14:paraId="0A2198D0" w14:textId="43321785" w:rsidR="009E29BF" w:rsidRPr="00017AE6" w:rsidRDefault="001173B2" w:rsidP="00A71365">
            <w:pPr>
              <w:pStyle w:val="Tablewriting"/>
              <w:rPr>
                <w:rFonts w:eastAsia="MS Mincho" w:cstheme="minorHAnsi"/>
              </w:rPr>
            </w:pPr>
            <w:r>
              <w:rPr>
                <w:rFonts w:eastAsia="MS Mincho" w:cstheme="minorHAnsi"/>
              </w:rPr>
              <w:t>N=</w:t>
            </w:r>
            <w:r w:rsidR="00346E73" w:rsidRPr="00346E73">
              <w:rPr>
                <w:rFonts w:eastAsia="MS Mincho" w:cstheme="minorHAnsi"/>
              </w:rPr>
              <w:t>234</w:t>
            </w:r>
          </w:p>
        </w:tc>
        <w:tc>
          <w:tcPr>
            <w:tcW w:w="1045" w:type="pct"/>
          </w:tcPr>
          <w:p w14:paraId="6E59CD55" w14:textId="2CE3615E" w:rsidR="00346E73" w:rsidRDefault="00346E73" w:rsidP="00A71365">
            <w:pPr>
              <w:pStyle w:val="Tablewriting"/>
              <w:rPr>
                <w:rFonts w:eastAsia="MS Mincho" w:cstheme="minorHAnsi"/>
              </w:rPr>
            </w:pPr>
            <w:r>
              <w:rPr>
                <w:rFonts w:eastAsia="MS Mincho" w:cstheme="minorHAnsi"/>
              </w:rPr>
              <w:t>A</w:t>
            </w:r>
            <w:r w:rsidRPr="00346E73">
              <w:rPr>
                <w:rFonts w:eastAsia="MS Mincho" w:cstheme="minorHAnsi"/>
              </w:rPr>
              <w:t xml:space="preserve">dult smokers (&gt; 1 </w:t>
            </w:r>
            <w:r>
              <w:rPr>
                <w:rFonts w:eastAsia="MS Mincho" w:cstheme="minorHAnsi"/>
              </w:rPr>
              <w:t>CPD</w:t>
            </w:r>
            <w:r w:rsidRPr="00346E73">
              <w:rPr>
                <w:rFonts w:eastAsia="MS Mincho" w:cstheme="minorHAnsi"/>
              </w:rPr>
              <w:t xml:space="preserve"> in previous week) (172 outpatients, 62 inpatients) Stratified on FTND</w:t>
            </w:r>
            <w:r w:rsidR="000671DC">
              <w:rPr>
                <w:rFonts w:eastAsia="MS Mincho" w:cstheme="minorHAnsi"/>
              </w:rPr>
              <w:t xml:space="preserve">, </w:t>
            </w:r>
            <w:r w:rsidRPr="00346E73">
              <w:rPr>
                <w:rFonts w:eastAsia="MS Mincho" w:cstheme="minorHAnsi"/>
              </w:rPr>
              <w:t>54% female, average age 49</w:t>
            </w:r>
            <w:r>
              <w:rPr>
                <w:rFonts w:eastAsia="MS Mincho" w:cstheme="minorHAnsi"/>
              </w:rPr>
              <w:t>.</w:t>
            </w:r>
          </w:p>
          <w:p w14:paraId="4A6B3F4B" w14:textId="77777777" w:rsidR="000671DC" w:rsidRDefault="000671DC" w:rsidP="00A71365">
            <w:pPr>
              <w:pStyle w:val="Tablewriting"/>
              <w:rPr>
                <w:rFonts w:eastAsia="MS Mincho" w:cstheme="minorHAnsi"/>
              </w:rPr>
            </w:pPr>
          </w:p>
          <w:p w14:paraId="45F01517" w14:textId="0F6801BB" w:rsidR="009E29BF" w:rsidRPr="00017AE6" w:rsidRDefault="00346E73" w:rsidP="00A71365">
            <w:pPr>
              <w:pStyle w:val="Tablewriting"/>
              <w:rPr>
                <w:rFonts w:eastAsia="MS Mincho" w:cstheme="minorHAnsi"/>
              </w:rPr>
            </w:pPr>
            <w:r w:rsidRPr="00346E73">
              <w:rPr>
                <w:rFonts w:eastAsia="MS Mincho" w:cstheme="minorHAnsi"/>
              </w:rPr>
              <w:t>Participants</w:t>
            </w:r>
            <w:r>
              <w:rPr>
                <w:rFonts w:eastAsia="MS Mincho" w:cstheme="minorHAnsi"/>
              </w:rPr>
              <w:t xml:space="preserve"> </w:t>
            </w:r>
            <w:r w:rsidRPr="00346E73">
              <w:rPr>
                <w:rFonts w:eastAsia="MS Mincho" w:cstheme="minorHAnsi"/>
              </w:rPr>
              <w:t>were motivated to quit</w:t>
            </w:r>
            <w:r w:rsidR="000671DC">
              <w:rPr>
                <w:rFonts w:eastAsia="MS Mincho" w:cstheme="minorHAnsi"/>
              </w:rPr>
              <w:t>.</w:t>
            </w:r>
          </w:p>
        </w:tc>
        <w:tc>
          <w:tcPr>
            <w:tcW w:w="1055" w:type="pct"/>
          </w:tcPr>
          <w:p w14:paraId="51EC54FE" w14:textId="77777777" w:rsidR="000671DC" w:rsidRDefault="000671DC" w:rsidP="00C324F3">
            <w:pPr>
              <w:pStyle w:val="Tablewriting"/>
              <w:numPr>
                <w:ilvl w:val="0"/>
                <w:numId w:val="98"/>
              </w:numPr>
              <w:rPr>
                <w:rFonts w:eastAsia="MS Mincho" w:cstheme="minorHAnsi"/>
              </w:rPr>
            </w:pPr>
            <w:r w:rsidRPr="000671DC">
              <w:rPr>
                <w:rFonts w:eastAsia="MS Mincho" w:cstheme="minorHAnsi"/>
              </w:rPr>
              <w:t>Nicotine patch (21 mg, 24 h, 12 weeks with dose tapering)</w:t>
            </w:r>
            <w:r>
              <w:rPr>
                <w:rFonts w:eastAsia="MS Mincho" w:cstheme="minorHAnsi"/>
              </w:rPr>
              <w:t>.</w:t>
            </w:r>
          </w:p>
          <w:p w14:paraId="3F0D55C4" w14:textId="77777777" w:rsidR="000671DC" w:rsidRDefault="000671DC" w:rsidP="00C324F3">
            <w:pPr>
              <w:pStyle w:val="Tablewriting"/>
              <w:numPr>
                <w:ilvl w:val="0"/>
                <w:numId w:val="98"/>
              </w:numPr>
              <w:rPr>
                <w:rFonts w:eastAsia="MS Mincho" w:cstheme="minorHAnsi"/>
              </w:rPr>
            </w:pPr>
            <w:r w:rsidRPr="000671DC">
              <w:rPr>
                <w:rFonts w:eastAsia="MS Mincho" w:cstheme="minorHAnsi"/>
              </w:rPr>
              <w:t>Placebo patch</w:t>
            </w:r>
            <w:r>
              <w:rPr>
                <w:rFonts w:eastAsia="MS Mincho" w:cstheme="minorHAnsi"/>
              </w:rPr>
              <w:t xml:space="preserve"> </w:t>
            </w:r>
          </w:p>
          <w:p w14:paraId="02F9DF53" w14:textId="77777777" w:rsidR="000671DC" w:rsidRDefault="000671DC" w:rsidP="00A71365">
            <w:pPr>
              <w:pStyle w:val="Tablewriting"/>
              <w:rPr>
                <w:rFonts w:eastAsia="MS Mincho" w:cstheme="minorHAnsi"/>
              </w:rPr>
            </w:pPr>
          </w:p>
          <w:p w14:paraId="2665EFAB" w14:textId="7DA02008" w:rsidR="009E29BF" w:rsidRPr="00017AE6" w:rsidRDefault="000671DC" w:rsidP="00A71365">
            <w:pPr>
              <w:pStyle w:val="Tablewriting"/>
              <w:rPr>
                <w:rFonts w:eastAsia="MS Mincho" w:cstheme="minorHAnsi"/>
              </w:rPr>
            </w:pPr>
            <w:r w:rsidRPr="000671DC">
              <w:rPr>
                <w:rFonts w:eastAsia="MS Mincho" w:cstheme="minorHAnsi"/>
              </w:rPr>
              <w:t>Level of support: high (counselling at 2, 4, 8,12 weeks)</w:t>
            </w:r>
          </w:p>
        </w:tc>
        <w:tc>
          <w:tcPr>
            <w:tcW w:w="958" w:type="pct"/>
          </w:tcPr>
          <w:p w14:paraId="602FF7BF" w14:textId="0FB4FF29" w:rsidR="001651C1" w:rsidRPr="00EA34D2" w:rsidRDefault="001173B2" w:rsidP="00A71365">
            <w:pPr>
              <w:pStyle w:val="Tablewriting"/>
              <w:rPr>
                <w:rFonts w:eastAsia="MS Mincho" w:cstheme="minorHAnsi"/>
              </w:rPr>
            </w:pPr>
            <w:r w:rsidRPr="009B13E2">
              <w:rPr>
                <w:rFonts w:eastAsia="MS Mincho" w:cstheme="minorHAnsi"/>
                <w:u w:val="single"/>
              </w:rPr>
              <w:t>Efficacy:</w:t>
            </w:r>
            <w:r w:rsidR="001651C1">
              <w:rPr>
                <w:rFonts w:eastAsia="MS Mincho" w:cstheme="minorHAnsi"/>
                <w:u w:val="single"/>
              </w:rPr>
              <w:t xml:space="preserve"> </w:t>
            </w:r>
            <w:r w:rsidR="001651C1" w:rsidRPr="00EA34D2">
              <w:rPr>
                <w:rFonts w:eastAsia="MS Mincho" w:cstheme="minorHAnsi"/>
              </w:rPr>
              <w:t>Continuous abstinence at 12 months</w:t>
            </w:r>
            <w:r w:rsidR="00EA34D2">
              <w:rPr>
                <w:rFonts w:eastAsia="MS Mincho" w:cstheme="minorHAnsi"/>
              </w:rPr>
              <w:t>.</w:t>
            </w:r>
          </w:p>
          <w:p w14:paraId="737F7BE3" w14:textId="77777777" w:rsidR="00EA34D2" w:rsidRDefault="00EA34D2" w:rsidP="00A71365">
            <w:pPr>
              <w:pStyle w:val="Tablewriting"/>
              <w:rPr>
                <w:rFonts w:eastAsia="MS Mincho" w:cstheme="minorHAnsi"/>
              </w:rPr>
            </w:pPr>
          </w:p>
          <w:p w14:paraId="085CD8DD" w14:textId="2DAD7C1F" w:rsidR="001173B2" w:rsidRPr="009B13E2" w:rsidRDefault="001651C1" w:rsidP="00A71365">
            <w:pPr>
              <w:pStyle w:val="Tablewriting"/>
              <w:rPr>
                <w:rFonts w:eastAsia="MS Mincho" w:cstheme="minorHAnsi"/>
                <w:u w:val="single"/>
              </w:rPr>
            </w:pPr>
            <w:r w:rsidRPr="00EA34D2">
              <w:rPr>
                <w:rFonts w:eastAsia="MS Mincho" w:cstheme="minorHAnsi"/>
              </w:rPr>
              <w:t>Validation: CO</w:t>
            </w:r>
          </w:p>
          <w:p w14:paraId="6CF84616" w14:textId="77777777" w:rsidR="001173B2" w:rsidRDefault="001173B2" w:rsidP="00A71365">
            <w:pPr>
              <w:pStyle w:val="Tablewriting"/>
              <w:rPr>
                <w:rFonts w:eastAsia="MS Mincho" w:cstheme="minorHAnsi"/>
              </w:rPr>
            </w:pPr>
          </w:p>
          <w:p w14:paraId="2FA84492" w14:textId="0C796B35" w:rsidR="009E29BF" w:rsidRPr="00017AE6" w:rsidRDefault="001173B2" w:rsidP="00A71365">
            <w:pPr>
              <w:pStyle w:val="Tablewriting"/>
              <w:rPr>
                <w:rFonts w:eastAsia="MS Mincho" w:cstheme="minorHAnsi"/>
              </w:rPr>
            </w:pPr>
            <w:r w:rsidRPr="009B13E2">
              <w:rPr>
                <w:rFonts w:eastAsia="MS Mincho" w:cstheme="minorHAnsi"/>
                <w:u w:val="single"/>
              </w:rPr>
              <w:t>Safety:</w:t>
            </w:r>
            <w:r w:rsidR="00EA34D2">
              <w:rPr>
                <w:rFonts w:eastAsia="MS Mincho" w:cstheme="minorHAnsi"/>
                <w:u w:val="single"/>
              </w:rPr>
              <w:t xml:space="preserve"> </w:t>
            </w:r>
            <w:r w:rsidR="00EA34D2" w:rsidRPr="00EA34D2">
              <w:rPr>
                <w:rFonts w:eastAsia="MS Mincho" w:cstheme="minorHAnsi"/>
              </w:rPr>
              <w:t>NR</w:t>
            </w:r>
          </w:p>
        </w:tc>
      </w:tr>
      <w:tr w:rsidR="009E29BF" w:rsidRPr="00017AE6" w14:paraId="34B387A7" w14:textId="77777777" w:rsidTr="005821B1">
        <w:trPr>
          <w:trHeight w:val="99"/>
        </w:trPr>
        <w:tc>
          <w:tcPr>
            <w:tcW w:w="1003" w:type="pct"/>
          </w:tcPr>
          <w:p w14:paraId="45F5D5B2" w14:textId="6728E2CF" w:rsidR="009E29BF" w:rsidRPr="00FD17DC" w:rsidRDefault="008332C7" w:rsidP="00A71365">
            <w:pPr>
              <w:pStyle w:val="Tablewriting"/>
              <w:rPr>
                <w:rFonts w:eastAsia="MS Mincho"/>
              </w:rPr>
            </w:pPr>
            <w:r w:rsidRPr="00FD17DC">
              <w:rPr>
                <w:rFonts w:eastAsia="MS Mincho"/>
              </w:rPr>
              <w:t xml:space="preserve">Cinciripini </w:t>
            </w:r>
            <w:r w:rsidR="00902014">
              <w:rPr>
                <w:rFonts w:eastAsia="MS Mincho"/>
              </w:rPr>
              <w:t>(</w:t>
            </w:r>
            <w:r w:rsidRPr="00FD17DC">
              <w:rPr>
                <w:rFonts w:eastAsia="MS Mincho"/>
              </w:rPr>
              <w:t>1996</w:t>
            </w:r>
            <w:r w:rsidR="00902014">
              <w:rPr>
                <w:rFonts w:eastAsia="MS Mincho"/>
              </w:rPr>
              <w:t>)</w:t>
            </w:r>
          </w:p>
        </w:tc>
        <w:tc>
          <w:tcPr>
            <w:tcW w:w="235" w:type="pct"/>
          </w:tcPr>
          <w:p w14:paraId="0313E436" w14:textId="69CF6036"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2D26973A" w14:textId="5AA7C6EF" w:rsidR="009E29BF" w:rsidRPr="00017AE6" w:rsidRDefault="00EA34D2" w:rsidP="00A71365">
            <w:pPr>
              <w:pStyle w:val="Tablewriting"/>
              <w:rPr>
                <w:rFonts w:eastAsia="MS Mincho" w:cstheme="minorHAnsi"/>
              </w:rPr>
            </w:pPr>
            <w:r>
              <w:rPr>
                <w:rFonts w:eastAsia="MS Mincho" w:cstheme="minorHAnsi"/>
              </w:rPr>
              <w:t>USA</w:t>
            </w:r>
          </w:p>
        </w:tc>
        <w:tc>
          <w:tcPr>
            <w:tcW w:w="289" w:type="pct"/>
          </w:tcPr>
          <w:p w14:paraId="3C845AF9" w14:textId="36B27970" w:rsidR="009E29BF" w:rsidRPr="00017AE6" w:rsidRDefault="001173B2" w:rsidP="00A71365">
            <w:pPr>
              <w:pStyle w:val="Tablewriting"/>
              <w:rPr>
                <w:rFonts w:eastAsia="MS Mincho" w:cstheme="minorHAnsi"/>
              </w:rPr>
            </w:pPr>
            <w:r>
              <w:rPr>
                <w:rFonts w:eastAsia="MS Mincho" w:cstheme="minorHAnsi"/>
              </w:rPr>
              <w:t>N=</w:t>
            </w:r>
            <w:r w:rsidR="00E030DB">
              <w:rPr>
                <w:rFonts w:eastAsia="MS Mincho" w:cstheme="minorHAnsi"/>
              </w:rPr>
              <w:t xml:space="preserve"> 64</w:t>
            </w:r>
          </w:p>
        </w:tc>
        <w:tc>
          <w:tcPr>
            <w:tcW w:w="1045" w:type="pct"/>
          </w:tcPr>
          <w:p w14:paraId="3CA2D734" w14:textId="40A11197" w:rsidR="009E29BF" w:rsidRPr="00017AE6" w:rsidRDefault="00E030DB" w:rsidP="00A71365">
            <w:pPr>
              <w:pStyle w:val="Tablewriting"/>
              <w:rPr>
                <w:rFonts w:eastAsia="MS Mincho" w:cstheme="minorHAnsi"/>
              </w:rPr>
            </w:pPr>
            <w:r>
              <w:rPr>
                <w:rFonts w:eastAsia="MS Mincho" w:cstheme="minorHAnsi"/>
              </w:rPr>
              <w:t>S</w:t>
            </w:r>
            <w:r w:rsidR="00EA34D2" w:rsidRPr="00EA34D2">
              <w:rPr>
                <w:rFonts w:eastAsia="MS Mincho" w:cstheme="minorHAnsi"/>
              </w:rPr>
              <w:t xml:space="preserve">mokers (&gt; 15 </w:t>
            </w:r>
            <w:r w:rsidR="00EA34D2">
              <w:rPr>
                <w:rFonts w:eastAsia="MS Mincho" w:cstheme="minorHAnsi"/>
              </w:rPr>
              <w:t>CPD</w:t>
            </w:r>
            <w:r w:rsidR="00EA34D2" w:rsidRPr="00EA34D2">
              <w:rPr>
                <w:rFonts w:eastAsia="MS Mincho" w:cstheme="minorHAnsi"/>
              </w:rPr>
              <w:t>)</w:t>
            </w:r>
            <w:r w:rsidR="00672CC4">
              <w:rPr>
                <w:rFonts w:eastAsia="MS Mincho" w:cstheme="minorHAnsi"/>
              </w:rPr>
              <w:t xml:space="preserve">, </w:t>
            </w:r>
            <w:r w:rsidR="00EA34D2" w:rsidRPr="00EA34D2">
              <w:rPr>
                <w:rFonts w:eastAsia="MS Mincho" w:cstheme="minorHAnsi"/>
              </w:rPr>
              <w:t xml:space="preserve">70% female, average </w:t>
            </w:r>
            <w:r w:rsidR="00672CC4">
              <w:rPr>
                <w:rFonts w:eastAsia="MS Mincho" w:cstheme="minorHAnsi"/>
              </w:rPr>
              <w:t>CPD</w:t>
            </w:r>
            <w:r w:rsidR="00EA34D2" w:rsidRPr="00EA34D2">
              <w:rPr>
                <w:rFonts w:eastAsia="MS Mincho" w:cstheme="minorHAnsi"/>
              </w:rPr>
              <w:t xml:space="preserve"> 29/22</w:t>
            </w:r>
            <w:r w:rsidR="00672CC4">
              <w:rPr>
                <w:rFonts w:eastAsia="MS Mincho" w:cstheme="minorHAnsi"/>
              </w:rPr>
              <w:t>.</w:t>
            </w:r>
          </w:p>
        </w:tc>
        <w:tc>
          <w:tcPr>
            <w:tcW w:w="1055" w:type="pct"/>
          </w:tcPr>
          <w:p w14:paraId="1EC4FC4F" w14:textId="77777777" w:rsidR="0096198D" w:rsidRDefault="0096198D" w:rsidP="00C324F3">
            <w:pPr>
              <w:pStyle w:val="Tablewriting"/>
              <w:numPr>
                <w:ilvl w:val="0"/>
                <w:numId w:val="99"/>
              </w:numPr>
              <w:rPr>
                <w:rFonts w:eastAsia="MS Mincho" w:cstheme="minorHAnsi"/>
              </w:rPr>
            </w:pPr>
            <w:r w:rsidRPr="0096198D">
              <w:rPr>
                <w:rFonts w:eastAsia="MS Mincho" w:cstheme="minorHAnsi"/>
              </w:rPr>
              <w:t>Nicotine patch (21 mg, 12 weeks incl</w:t>
            </w:r>
            <w:r>
              <w:rPr>
                <w:rFonts w:eastAsia="MS Mincho" w:cstheme="minorHAnsi"/>
              </w:rPr>
              <w:t>uding</w:t>
            </w:r>
            <w:r w:rsidRPr="0096198D">
              <w:rPr>
                <w:rFonts w:eastAsia="MS Mincho" w:cstheme="minorHAnsi"/>
              </w:rPr>
              <w:t xml:space="preserve"> weaning)</w:t>
            </w:r>
            <w:r>
              <w:rPr>
                <w:rFonts w:eastAsia="MS Mincho" w:cstheme="minorHAnsi"/>
              </w:rPr>
              <w:t>.</w:t>
            </w:r>
          </w:p>
          <w:p w14:paraId="0798730B" w14:textId="06101C66" w:rsidR="0096198D" w:rsidRDefault="0096198D" w:rsidP="00C324F3">
            <w:pPr>
              <w:pStyle w:val="Tablewriting"/>
              <w:numPr>
                <w:ilvl w:val="0"/>
                <w:numId w:val="99"/>
              </w:numPr>
              <w:rPr>
                <w:rFonts w:eastAsia="MS Mincho" w:cstheme="minorHAnsi"/>
              </w:rPr>
            </w:pPr>
            <w:r w:rsidRPr="0096198D">
              <w:rPr>
                <w:rFonts w:eastAsia="MS Mincho" w:cstheme="minorHAnsi"/>
              </w:rPr>
              <w:t>Behaviour therapy only (no placebo)</w:t>
            </w:r>
            <w:r>
              <w:rPr>
                <w:rFonts w:eastAsia="MS Mincho" w:cstheme="minorHAnsi"/>
              </w:rPr>
              <w:t>.</w:t>
            </w:r>
          </w:p>
          <w:p w14:paraId="263C8422" w14:textId="77777777" w:rsidR="0096198D" w:rsidRPr="0096198D" w:rsidRDefault="0096198D" w:rsidP="00A71365">
            <w:pPr>
              <w:pStyle w:val="Tablewriting"/>
              <w:rPr>
                <w:rFonts w:eastAsia="MS Mincho" w:cstheme="minorHAnsi"/>
              </w:rPr>
            </w:pPr>
          </w:p>
          <w:p w14:paraId="4E26AA13" w14:textId="7AA5D34E" w:rsidR="009E29BF" w:rsidRPr="00017AE6" w:rsidRDefault="0096198D" w:rsidP="00A71365">
            <w:pPr>
              <w:pStyle w:val="Tablewriting"/>
              <w:rPr>
                <w:rFonts w:eastAsia="MS Mincho" w:cstheme="minorHAnsi"/>
              </w:rPr>
            </w:pPr>
            <w:r w:rsidRPr="0096198D">
              <w:rPr>
                <w:rFonts w:eastAsia="MS Mincho" w:cstheme="minorHAnsi"/>
              </w:rPr>
              <w:t>Level of support: High (group therapy weekly for 9 weeks)</w:t>
            </w:r>
            <w:r>
              <w:rPr>
                <w:rFonts w:eastAsia="MS Mincho" w:cstheme="minorHAnsi"/>
              </w:rPr>
              <w:t>.</w:t>
            </w:r>
          </w:p>
        </w:tc>
        <w:tc>
          <w:tcPr>
            <w:tcW w:w="958" w:type="pct"/>
          </w:tcPr>
          <w:p w14:paraId="3EC78A58" w14:textId="2483CE53" w:rsidR="007E20B5" w:rsidRDefault="001173B2" w:rsidP="00A71365">
            <w:pPr>
              <w:pStyle w:val="Tablewriting"/>
              <w:rPr>
                <w:rFonts w:eastAsia="MS Mincho" w:cstheme="minorHAnsi"/>
              </w:rPr>
            </w:pPr>
            <w:r w:rsidRPr="009B13E2">
              <w:rPr>
                <w:rFonts w:eastAsia="MS Mincho" w:cstheme="minorHAnsi"/>
                <w:u w:val="single"/>
              </w:rPr>
              <w:t>Efficacy:</w:t>
            </w:r>
            <w:r w:rsidR="002A43AE">
              <w:rPr>
                <w:rFonts w:eastAsia="MS Mincho" w:cstheme="minorHAnsi"/>
                <w:u w:val="single"/>
              </w:rPr>
              <w:t xml:space="preserve"> </w:t>
            </w:r>
            <w:r w:rsidR="002A43AE" w:rsidRPr="002A43AE">
              <w:rPr>
                <w:rFonts w:eastAsia="MS Mincho" w:cstheme="minorHAnsi"/>
              </w:rPr>
              <w:t>Sustained abstinence, 12 months post-treatment and all previous points (EOT, 1, 3, 6 months)</w:t>
            </w:r>
            <w:r w:rsidR="002A43AE">
              <w:rPr>
                <w:rFonts w:eastAsia="MS Mincho" w:cstheme="minorHAnsi"/>
              </w:rPr>
              <w:t>.</w:t>
            </w:r>
          </w:p>
          <w:p w14:paraId="331C0225" w14:textId="77777777" w:rsidR="002A43AE" w:rsidRDefault="002A43AE" w:rsidP="00A71365">
            <w:pPr>
              <w:pStyle w:val="Tablewriting"/>
              <w:rPr>
                <w:rFonts w:eastAsia="MS Mincho" w:cstheme="minorHAnsi"/>
                <w:u w:val="single"/>
              </w:rPr>
            </w:pPr>
          </w:p>
          <w:p w14:paraId="5C7E367A" w14:textId="1A726F14" w:rsidR="002A43AE" w:rsidRPr="002A43AE" w:rsidRDefault="002A43AE" w:rsidP="00A71365">
            <w:pPr>
              <w:pStyle w:val="Tablewriting"/>
              <w:rPr>
                <w:rFonts w:eastAsia="MS Mincho" w:cstheme="minorHAnsi"/>
              </w:rPr>
            </w:pPr>
            <w:r w:rsidRPr="002A43AE">
              <w:rPr>
                <w:rFonts w:eastAsia="MS Mincho" w:cstheme="minorHAnsi"/>
              </w:rPr>
              <w:t>Validation: CO &lt; 6 ppm at each point</w:t>
            </w:r>
          </w:p>
          <w:p w14:paraId="08132CB6" w14:textId="77777777" w:rsidR="001173B2" w:rsidRDefault="001173B2" w:rsidP="00A71365">
            <w:pPr>
              <w:pStyle w:val="Tablewriting"/>
              <w:rPr>
                <w:rFonts w:eastAsia="MS Mincho" w:cstheme="minorHAnsi"/>
              </w:rPr>
            </w:pPr>
          </w:p>
          <w:p w14:paraId="3C577FFB" w14:textId="6B11DBAE" w:rsidR="009E29BF" w:rsidRPr="00017AE6" w:rsidRDefault="001173B2" w:rsidP="00A71365">
            <w:pPr>
              <w:pStyle w:val="Tablewriting"/>
              <w:rPr>
                <w:rFonts w:eastAsia="MS Mincho" w:cstheme="minorHAnsi"/>
              </w:rPr>
            </w:pPr>
            <w:r w:rsidRPr="009B13E2">
              <w:rPr>
                <w:rFonts w:eastAsia="MS Mincho" w:cstheme="minorHAnsi"/>
                <w:u w:val="single"/>
              </w:rPr>
              <w:t>Safety:</w:t>
            </w:r>
            <w:r w:rsidR="002A43AE">
              <w:rPr>
                <w:rFonts w:eastAsia="MS Mincho" w:cstheme="minorHAnsi"/>
                <w:u w:val="single"/>
              </w:rPr>
              <w:t xml:space="preserve"> </w:t>
            </w:r>
            <w:r w:rsidR="002A43AE" w:rsidRPr="002A43AE">
              <w:rPr>
                <w:rFonts w:eastAsia="MS Mincho" w:cstheme="minorHAnsi"/>
              </w:rPr>
              <w:t>NR</w:t>
            </w:r>
          </w:p>
        </w:tc>
      </w:tr>
      <w:tr w:rsidR="009E29BF" w:rsidRPr="00017AE6" w14:paraId="0F0CE9C6" w14:textId="77777777" w:rsidTr="005821B1">
        <w:trPr>
          <w:trHeight w:val="99"/>
        </w:trPr>
        <w:tc>
          <w:tcPr>
            <w:tcW w:w="1003" w:type="pct"/>
          </w:tcPr>
          <w:p w14:paraId="6667F1B9" w14:textId="4AF47052" w:rsidR="009E29BF" w:rsidRPr="00FD17DC" w:rsidRDefault="008332C7" w:rsidP="00A71365">
            <w:pPr>
              <w:pStyle w:val="Tablewriting"/>
              <w:rPr>
                <w:rFonts w:eastAsia="MS Mincho"/>
              </w:rPr>
            </w:pPr>
            <w:r w:rsidRPr="00FD17DC">
              <w:rPr>
                <w:rFonts w:eastAsia="MS Mincho"/>
              </w:rPr>
              <w:t xml:space="preserve">Daughton </w:t>
            </w:r>
            <w:r w:rsidR="00902014">
              <w:rPr>
                <w:rFonts w:eastAsia="MS Mincho"/>
              </w:rPr>
              <w:t>(</w:t>
            </w:r>
            <w:r w:rsidRPr="00FD17DC">
              <w:rPr>
                <w:rFonts w:eastAsia="MS Mincho"/>
              </w:rPr>
              <w:t>1998</w:t>
            </w:r>
            <w:r w:rsidR="00902014">
              <w:rPr>
                <w:rFonts w:eastAsia="MS Mincho"/>
              </w:rPr>
              <w:t>)</w:t>
            </w:r>
          </w:p>
        </w:tc>
        <w:tc>
          <w:tcPr>
            <w:tcW w:w="235" w:type="pct"/>
          </w:tcPr>
          <w:p w14:paraId="3CB1412A" w14:textId="53AAF44C"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771DC4DE" w14:textId="48C9EC15" w:rsidR="009E29BF" w:rsidRPr="00017AE6" w:rsidRDefault="00766ED2" w:rsidP="00A71365">
            <w:pPr>
              <w:pStyle w:val="Tablewriting"/>
              <w:rPr>
                <w:rFonts w:eastAsia="MS Mincho" w:cstheme="minorHAnsi"/>
              </w:rPr>
            </w:pPr>
            <w:r>
              <w:rPr>
                <w:rFonts w:eastAsia="MS Mincho" w:cstheme="minorHAnsi"/>
              </w:rPr>
              <w:t>USA</w:t>
            </w:r>
          </w:p>
        </w:tc>
        <w:tc>
          <w:tcPr>
            <w:tcW w:w="289" w:type="pct"/>
          </w:tcPr>
          <w:p w14:paraId="4C1665F8" w14:textId="52E9B980" w:rsidR="009E29BF" w:rsidRPr="00017AE6" w:rsidRDefault="001173B2" w:rsidP="00A71365">
            <w:pPr>
              <w:pStyle w:val="Tablewriting"/>
              <w:rPr>
                <w:rFonts w:eastAsia="MS Mincho" w:cstheme="minorHAnsi"/>
              </w:rPr>
            </w:pPr>
            <w:r>
              <w:rPr>
                <w:rFonts w:eastAsia="MS Mincho" w:cstheme="minorHAnsi"/>
              </w:rPr>
              <w:t>N=</w:t>
            </w:r>
            <w:r w:rsidR="00766ED2" w:rsidRPr="00766ED2">
              <w:rPr>
                <w:rFonts w:eastAsia="MS Mincho" w:cstheme="minorHAnsi"/>
              </w:rPr>
              <w:t>369</w:t>
            </w:r>
          </w:p>
        </w:tc>
        <w:tc>
          <w:tcPr>
            <w:tcW w:w="1045" w:type="pct"/>
          </w:tcPr>
          <w:p w14:paraId="7D6D32DD" w14:textId="77777777" w:rsidR="00766ED2" w:rsidRDefault="00766ED2" w:rsidP="00A71365">
            <w:pPr>
              <w:pStyle w:val="Tablewriting"/>
              <w:rPr>
                <w:rFonts w:eastAsia="MS Mincho" w:cstheme="minorHAnsi"/>
              </w:rPr>
            </w:pPr>
            <w:r>
              <w:rPr>
                <w:rFonts w:eastAsia="MS Mincho" w:cstheme="minorHAnsi"/>
              </w:rPr>
              <w:t>S</w:t>
            </w:r>
            <w:r w:rsidRPr="00766ED2">
              <w:rPr>
                <w:rFonts w:eastAsia="MS Mincho" w:cstheme="minorHAnsi"/>
              </w:rPr>
              <w:t xml:space="preserve">mokers (&gt; 20 </w:t>
            </w:r>
            <w:r>
              <w:rPr>
                <w:rFonts w:eastAsia="MS Mincho" w:cstheme="minorHAnsi"/>
              </w:rPr>
              <w:t>CPD</w:t>
            </w:r>
            <w:r w:rsidRPr="00766ED2">
              <w:rPr>
                <w:rFonts w:eastAsia="MS Mincho" w:cstheme="minorHAnsi"/>
              </w:rPr>
              <w:t>)</w:t>
            </w:r>
            <w:r>
              <w:rPr>
                <w:rFonts w:eastAsia="MS Mincho" w:cstheme="minorHAnsi"/>
              </w:rPr>
              <w:t>, a</w:t>
            </w:r>
            <w:r w:rsidRPr="00766ED2">
              <w:rPr>
                <w:rFonts w:eastAsia="MS Mincho" w:cstheme="minorHAnsi"/>
              </w:rPr>
              <w:t xml:space="preserve">verage age 37, average </w:t>
            </w:r>
            <w:r>
              <w:rPr>
                <w:rFonts w:eastAsia="MS Mincho" w:cstheme="minorHAnsi"/>
              </w:rPr>
              <w:t>CPD</w:t>
            </w:r>
            <w:r w:rsidRPr="00766ED2">
              <w:rPr>
                <w:rFonts w:eastAsia="MS Mincho" w:cstheme="minorHAnsi"/>
              </w:rPr>
              <w:t xml:space="preserve"> 27 to 30</w:t>
            </w:r>
            <w:r>
              <w:rPr>
                <w:rFonts w:eastAsia="MS Mincho" w:cstheme="minorHAnsi"/>
              </w:rPr>
              <w:t>.</w:t>
            </w:r>
            <w:r w:rsidRPr="00766ED2">
              <w:rPr>
                <w:rFonts w:eastAsia="MS Mincho" w:cstheme="minorHAnsi"/>
              </w:rPr>
              <w:t xml:space="preserve"> </w:t>
            </w:r>
          </w:p>
          <w:p w14:paraId="39CCB73A" w14:textId="77777777" w:rsidR="00766ED2" w:rsidRDefault="00766ED2" w:rsidP="00A71365">
            <w:pPr>
              <w:pStyle w:val="Tablewriting"/>
              <w:rPr>
                <w:rFonts w:eastAsia="MS Mincho" w:cstheme="minorHAnsi"/>
              </w:rPr>
            </w:pPr>
          </w:p>
          <w:p w14:paraId="1252B589" w14:textId="31B1B4B0" w:rsidR="009E29BF" w:rsidRPr="00017AE6" w:rsidRDefault="00766ED2" w:rsidP="00A71365">
            <w:pPr>
              <w:pStyle w:val="Tablewriting"/>
              <w:rPr>
                <w:rFonts w:eastAsia="MS Mincho" w:cstheme="minorHAnsi"/>
              </w:rPr>
            </w:pPr>
            <w:r>
              <w:rPr>
                <w:rFonts w:eastAsia="MS Mincho" w:cstheme="minorHAnsi"/>
              </w:rPr>
              <w:t>P</w:t>
            </w:r>
            <w:r w:rsidRPr="00766ED2">
              <w:rPr>
                <w:rFonts w:eastAsia="MS Mincho" w:cstheme="minorHAnsi"/>
              </w:rPr>
              <w:t>articipants were variously motivated to quit</w:t>
            </w:r>
          </w:p>
        </w:tc>
        <w:tc>
          <w:tcPr>
            <w:tcW w:w="1055" w:type="pct"/>
          </w:tcPr>
          <w:p w14:paraId="14971BA3" w14:textId="77777777" w:rsidR="00103544" w:rsidRDefault="00766ED2" w:rsidP="00C324F3">
            <w:pPr>
              <w:pStyle w:val="Tablewriting"/>
              <w:numPr>
                <w:ilvl w:val="0"/>
                <w:numId w:val="100"/>
              </w:numPr>
              <w:rPr>
                <w:rFonts w:eastAsia="MS Mincho" w:cstheme="minorHAnsi"/>
              </w:rPr>
            </w:pPr>
            <w:r w:rsidRPr="00766ED2">
              <w:rPr>
                <w:rFonts w:eastAsia="MS Mincho" w:cstheme="minorHAnsi"/>
              </w:rPr>
              <w:t>Nicotine patch (21 mg, 16 h, 10 weeks with weaning)</w:t>
            </w:r>
            <w:r w:rsidR="00103544">
              <w:rPr>
                <w:rFonts w:eastAsia="MS Mincho" w:cstheme="minorHAnsi"/>
              </w:rPr>
              <w:t>.</w:t>
            </w:r>
          </w:p>
          <w:p w14:paraId="40E75F39" w14:textId="040BEEF2" w:rsidR="00766ED2" w:rsidRPr="00766ED2" w:rsidRDefault="00766ED2" w:rsidP="00C324F3">
            <w:pPr>
              <w:pStyle w:val="Tablewriting"/>
              <w:numPr>
                <w:ilvl w:val="0"/>
                <w:numId w:val="100"/>
              </w:numPr>
              <w:rPr>
                <w:rFonts w:eastAsia="MS Mincho" w:cstheme="minorHAnsi"/>
              </w:rPr>
            </w:pPr>
            <w:r w:rsidRPr="00766ED2">
              <w:rPr>
                <w:rFonts w:eastAsia="MS Mincho" w:cstheme="minorHAnsi"/>
              </w:rPr>
              <w:t>Placebo patch</w:t>
            </w:r>
            <w:r w:rsidR="00103544">
              <w:rPr>
                <w:rFonts w:eastAsia="MS Mincho" w:cstheme="minorHAnsi"/>
              </w:rPr>
              <w:t>.</w:t>
            </w:r>
          </w:p>
          <w:p w14:paraId="4E7848F0" w14:textId="77777777" w:rsidR="00103544" w:rsidRPr="00103544" w:rsidRDefault="00103544" w:rsidP="00A71365">
            <w:pPr>
              <w:pStyle w:val="Tablewriting"/>
              <w:ind w:left="360"/>
              <w:rPr>
                <w:rFonts w:eastAsia="MS Mincho" w:cstheme="minorHAnsi"/>
              </w:rPr>
            </w:pPr>
          </w:p>
          <w:p w14:paraId="073CD917" w14:textId="23474BBD" w:rsidR="00766ED2" w:rsidRPr="00766ED2" w:rsidRDefault="00766ED2" w:rsidP="00A71365">
            <w:pPr>
              <w:pStyle w:val="Tablewriting"/>
              <w:rPr>
                <w:rFonts w:eastAsia="MS Mincho" w:cstheme="minorHAnsi"/>
              </w:rPr>
            </w:pPr>
            <w:r w:rsidRPr="00766ED2">
              <w:rPr>
                <w:rFonts w:eastAsia="MS Mincho" w:cstheme="minorHAnsi"/>
              </w:rPr>
              <w:lastRenderedPageBreak/>
              <w:t>Level of support: low (Nicoderm Committed Quitters Program support booklet + follow-up visit 1</w:t>
            </w:r>
          </w:p>
          <w:p w14:paraId="0A0B0577" w14:textId="4460F07E" w:rsidR="009E29BF" w:rsidRPr="00017AE6" w:rsidRDefault="00766ED2" w:rsidP="00A71365">
            <w:pPr>
              <w:pStyle w:val="Tablewriting"/>
              <w:rPr>
                <w:rFonts w:eastAsia="MS Mincho" w:cstheme="minorHAnsi"/>
              </w:rPr>
            </w:pPr>
            <w:r w:rsidRPr="00766ED2">
              <w:rPr>
                <w:rFonts w:eastAsia="MS Mincho" w:cstheme="minorHAnsi"/>
              </w:rPr>
              <w:t>week after quit day)</w:t>
            </w:r>
          </w:p>
        </w:tc>
        <w:tc>
          <w:tcPr>
            <w:tcW w:w="958" w:type="pct"/>
          </w:tcPr>
          <w:p w14:paraId="4B378169" w14:textId="380AF946" w:rsidR="00103544" w:rsidRPr="00103544" w:rsidRDefault="001173B2" w:rsidP="00A71365">
            <w:pPr>
              <w:pStyle w:val="Tablewriting"/>
              <w:rPr>
                <w:rFonts w:eastAsia="MS Mincho" w:cstheme="minorHAnsi"/>
              </w:rPr>
            </w:pPr>
            <w:r w:rsidRPr="009B13E2">
              <w:rPr>
                <w:rFonts w:eastAsia="MS Mincho" w:cstheme="minorHAnsi"/>
                <w:u w:val="single"/>
              </w:rPr>
              <w:lastRenderedPageBreak/>
              <w:t>Efficacy:</w:t>
            </w:r>
            <w:r w:rsidR="00103544">
              <w:rPr>
                <w:rFonts w:eastAsia="MS Mincho" w:cstheme="minorHAnsi"/>
                <w:u w:val="single"/>
              </w:rPr>
              <w:t xml:space="preserve"> </w:t>
            </w:r>
            <w:r w:rsidR="00103544" w:rsidRPr="00103544">
              <w:rPr>
                <w:rFonts w:eastAsia="MS Mincho" w:cstheme="minorHAnsi"/>
              </w:rPr>
              <w:t>Sustained abstinence (continuous self-reported from quit day) at 12 months</w:t>
            </w:r>
            <w:r w:rsidR="00103544">
              <w:rPr>
                <w:rFonts w:eastAsia="MS Mincho" w:cstheme="minorHAnsi"/>
              </w:rPr>
              <w:t>.</w:t>
            </w:r>
          </w:p>
          <w:p w14:paraId="4BBD3B6D" w14:textId="77777777" w:rsidR="00103544" w:rsidRDefault="00103544" w:rsidP="00A71365">
            <w:pPr>
              <w:pStyle w:val="Tablewriting"/>
              <w:rPr>
                <w:rFonts w:eastAsia="MS Mincho" w:cstheme="minorHAnsi"/>
              </w:rPr>
            </w:pPr>
          </w:p>
          <w:p w14:paraId="6FF79113" w14:textId="13FEABED" w:rsidR="001173B2" w:rsidRPr="00103544" w:rsidRDefault="00103544" w:rsidP="00A71365">
            <w:pPr>
              <w:pStyle w:val="Tablewriting"/>
              <w:rPr>
                <w:rFonts w:eastAsia="MS Mincho" w:cstheme="minorHAnsi"/>
              </w:rPr>
            </w:pPr>
            <w:r w:rsidRPr="00103544">
              <w:rPr>
                <w:rFonts w:eastAsia="MS Mincho" w:cstheme="minorHAnsi"/>
              </w:rPr>
              <w:lastRenderedPageBreak/>
              <w:t xml:space="preserve">Validation: CO </w:t>
            </w:r>
            <w:r w:rsidR="00F80B8C" w:rsidRPr="00F80B8C">
              <w:rPr>
                <w:rFonts w:eastAsia="MS Mincho" w:cstheme="minorHAnsi"/>
              </w:rPr>
              <w:t>≤</w:t>
            </w:r>
            <w:r w:rsidRPr="00103544">
              <w:rPr>
                <w:rFonts w:eastAsia="MS Mincho" w:cstheme="minorHAnsi"/>
              </w:rPr>
              <w:t xml:space="preserve"> 8 ppm and saliva cotinine &lt; 20 mg/m</w:t>
            </w:r>
            <w:r w:rsidR="00234C0C">
              <w:rPr>
                <w:rFonts w:eastAsia="MS Mincho" w:cstheme="minorHAnsi"/>
              </w:rPr>
              <w:t>l</w:t>
            </w:r>
            <w:r>
              <w:rPr>
                <w:rFonts w:eastAsia="MS Mincho" w:cstheme="minorHAnsi"/>
              </w:rPr>
              <w:t>.</w:t>
            </w:r>
          </w:p>
          <w:p w14:paraId="07857420" w14:textId="77777777" w:rsidR="001173B2" w:rsidRDefault="001173B2" w:rsidP="00A71365">
            <w:pPr>
              <w:pStyle w:val="Tablewriting"/>
              <w:rPr>
                <w:rFonts w:eastAsia="MS Mincho" w:cstheme="minorHAnsi"/>
              </w:rPr>
            </w:pPr>
          </w:p>
          <w:p w14:paraId="63DD5EA6" w14:textId="66EA262F"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14:paraId="3F9B3AE1" w14:textId="77777777" w:rsidTr="005821B1">
        <w:trPr>
          <w:trHeight w:val="99"/>
        </w:trPr>
        <w:tc>
          <w:tcPr>
            <w:tcW w:w="1003" w:type="pct"/>
          </w:tcPr>
          <w:p w14:paraId="7D711184" w14:textId="0D822B45" w:rsidR="009E29BF" w:rsidRPr="00FD17DC" w:rsidRDefault="008332C7" w:rsidP="00A71365">
            <w:pPr>
              <w:pStyle w:val="Tablewriting"/>
              <w:rPr>
                <w:rFonts w:eastAsia="MS Mincho"/>
              </w:rPr>
            </w:pPr>
            <w:r w:rsidRPr="00FD17DC">
              <w:rPr>
                <w:rFonts w:eastAsia="MS Mincho"/>
              </w:rPr>
              <w:lastRenderedPageBreak/>
              <w:t xml:space="preserve">Ehrsam </w:t>
            </w:r>
            <w:r w:rsidR="00902014">
              <w:rPr>
                <w:rFonts w:eastAsia="MS Mincho"/>
              </w:rPr>
              <w:t>(</w:t>
            </w:r>
            <w:r w:rsidRPr="00FD17DC">
              <w:rPr>
                <w:rFonts w:eastAsia="MS Mincho"/>
              </w:rPr>
              <w:t>1991</w:t>
            </w:r>
            <w:r w:rsidR="00902014">
              <w:rPr>
                <w:rFonts w:eastAsia="MS Mincho"/>
              </w:rPr>
              <w:t>)</w:t>
            </w:r>
          </w:p>
        </w:tc>
        <w:tc>
          <w:tcPr>
            <w:tcW w:w="235" w:type="pct"/>
          </w:tcPr>
          <w:p w14:paraId="75B9E4D1" w14:textId="606AEB0A"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778C2D78" w14:textId="20A0E3D9" w:rsidR="009E29BF" w:rsidRPr="00017AE6" w:rsidRDefault="00F80B8C" w:rsidP="00A71365">
            <w:pPr>
              <w:pStyle w:val="Tablewriting"/>
              <w:rPr>
                <w:rFonts w:eastAsia="MS Mincho" w:cstheme="minorHAnsi"/>
              </w:rPr>
            </w:pPr>
            <w:r>
              <w:rPr>
                <w:rFonts w:eastAsia="MS Mincho" w:cstheme="minorHAnsi"/>
              </w:rPr>
              <w:t>Switzerland</w:t>
            </w:r>
          </w:p>
        </w:tc>
        <w:tc>
          <w:tcPr>
            <w:tcW w:w="289" w:type="pct"/>
          </w:tcPr>
          <w:p w14:paraId="57B9450F" w14:textId="335E4035" w:rsidR="009E29BF" w:rsidRPr="00017AE6" w:rsidRDefault="001173B2" w:rsidP="00A71365">
            <w:pPr>
              <w:pStyle w:val="Tablewriting"/>
              <w:rPr>
                <w:rFonts w:eastAsia="MS Mincho" w:cstheme="minorHAnsi"/>
              </w:rPr>
            </w:pPr>
            <w:r>
              <w:rPr>
                <w:rFonts w:eastAsia="MS Mincho" w:cstheme="minorHAnsi"/>
              </w:rPr>
              <w:t>N=</w:t>
            </w:r>
            <w:r w:rsidR="00F80B8C">
              <w:rPr>
                <w:rFonts w:eastAsia="MS Mincho" w:cstheme="minorHAnsi"/>
              </w:rPr>
              <w:t>112</w:t>
            </w:r>
          </w:p>
        </w:tc>
        <w:tc>
          <w:tcPr>
            <w:tcW w:w="1045" w:type="pct"/>
          </w:tcPr>
          <w:p w14:paraId="799B4303" w14:textId="58E4342E" w:rsidR="009E29BF" w:rsidRPr="00017AE6" w:rsidRDefault="00F80B8C" w:rsidP="00A71365">
            <w:pPr>
              <w:pStyle w:val="Tablewriting"/>
              <w:rPr>
                <w:rFonts w:eastAsia="MS Mincho" w:cstheme="minorHAnsi"/>
              </w:rPr>
            </w:pPr>
            <w:r>
              <w:rPr>
                <w:rFonts w:eastAsia="MS Mincho" w:cstheme="minorHAnsi"/>
              </w:rPr>
              <w:t>S</w:t>
            </w:r>
            <w:r w:rsidRPr="00F80B8C">
              <w:rPr>
                <w:rFonts w:eastAsia="MS Mincho" w:cstheme="minorHAnsi"/>
              </w:rPr>
              <w:t>mokers at 2 universities</w:t>
            </w:r>
            <w:r>
              <w:rPr>
                <w:rFonts w:eastAsia="MS Mincho" w:cstheme="minorHAnsi"/>
              </w:rPr>
              <w:t>, a</w:t>
            </w:r>
            <w:r w:rsidRPr="00F80B8C">
              <w:rPr>
                <w:rFonts w:eastAsia="MS Mincho" w:cstheme="minorHAnsi"/>
              </w:rPr>
              <w:t xml:space="preserve">verage age 26, average </w:t>
            </w:r>
            <w:r w:rsidR="00D54253">
              <w:rPr>
                <w:rFonts w:eastAsia="MS Mincho" w:cstheme="minorHAnsi"/>
              </w:rPr>
              <w:t>CPD</w:t>
            </w:r>
            <w:r w:rsidRPr="00F80B8C">
              <w:rPr>
                <w:rFonts w:eastAsia="MS Mincho" w:cstheme="minorHAnsi"/>
              </w:rPr>
              <w:t xml:space="preserve"> 23</w:t>
            </w:r>
            <w:r w:rsidR="00D54253">
              <w:rPr>
                <w:rFonts w:eastAsia="MS Mincho" w:cstheme="minorHAnsi"/>
              </w:rPr>
              <w:t xml:space="preserve">. </w:t>
            </w:r>
          </w:p>
        </w:tc>
        <w:tc>
          <w:tcPr>
            <w:tcW w:w="1055" w:type="pct"/>
          </w:tcPr>
          <w:p w14:paraId="55B18BFC" w14:textId="77777777" w:rsidR="00D54253" w:rsidRDefault="00D54253" w:rsidP="00C324F3">
            <w:pPr>
              <w:pStyle w:val="Tablewriting"/>
              <w:numPr>
                <w:ilvl w:val="0"/>
                <w:numId w:val="101"/>
              </w:numPr>
              <w:rPr>
                <w:rFonts w:eastAsia="MS Mincho" w:cstheme="minorHAnsi"/>
              </w:rPr>
            </w:pPr>
            <w:r w:rsidRPr="00D54253">
              <w:rPr>
                <w:rFonts w:eastAsia="MS Mincho" w:cstheme="minorHAnsi"/>
              </w:rPr>
              <w:t>Nicotine patch (21 or 14 mg/24 h, 9 weeks, tapered)</w:t>
            </w:r>
            <w:r>
              <w:rPr>
                <w:rFonts w:eastAsia="MS Mincho" w:cstheme="minorHAnsi"/>
              </w:rPr>
              <w:t>.</w:t>
            </w:r>
          </w:p>
          <w:p w14:paraId="3A2613AD" w14:textId="4ADB2F47" w:rsidR="00D54253" w:rsidRPr="00D54253" w:rsidRDefault="00D54253" w:rsidP="00C324F3">
            <w:pPr>
              <w:pStyle w:val="Tablewriting"/>
              <w:numPr>
                <w:ilvl w:val="0"/>
                <w:numId w:val="101"/>
              </w:numPr>
              <w:rPr>
                <w:rFonts w:eastAsia="MS Mincho" w:cstheme="minorHAnsi"/>
              </w:rPr>
            </w:pPr>
            <w:r w:rsidRPr="00D54253">
              <w:rPr>
                <w:rFonts w:eastAsia="MS Mincho" w:cstheme="minorHAnsi"/>
              </w:rPr>
              <w:t>Placebo patch</w:t>
            </w:r>
          </w:p>
          <w:p w14:paraId="13D710DA" w14:textId="77777777" w:rsidR="00D54253" w:rsidRDefault="00D54253" w:rsidP="00A71365">
            <w:pPr>
              <w:pStyle w:val="Tablewriting"/>
              <w:rPr>
                <w:rFonts w:eastAsia="MS Mincho" w:cstheme="minorHAnsi"/>
              </w:rPr>
            </w:pPr>
          </w:p>
          <w:p w14:paraId="5466BFE0" w14:textId="3CAE3231" w:rsidR="009E29BF" w:rsidRPr="00017AE6" w:rsidRDefault="00D54253" w:rsidP="00A71365">
            <w:pPr>
              <w:pStyle w:val="Tablewriting"/>
              <w:rPr>
                <w:rFonts w:eastAsia="MS Mincho" w:cstheme="minorHAnsi"/>
              </w:rPr>
            </w:pPr>
            <w:r w:rsidRPr="00D54253">
              <w:rPr>
                <w:rFonts w:eastAsia="MS Mincho" w:cstheme="minorHAnsi"/>
              </w:rPr>
              <w:t>Level of support: high (no counselling)</w:t>
            </w:r>
            <w:r>
              <w:rPr>
                <w:rFonts w:eastAsia="MS Mincho" w:cstheme="minorHAnsi"/>
              </w:rPr>
              <w:t>.</w:t>
            </w:r>
          </w:p>
        </w:tc>
        <w:tc>
          <w:tcPr>
            <w:tcW w:w="958" w:type="pct"/>
          </w:tcPr>
          <w:p w14:paraId="5A789411" w14:textId="3950F61B" w:rsidR="00D54253" w:rsidRPr="00D54253" w:rsidRDefault="001173B2" w:rsidP="00A71365">
            <w:pPr>
              <w:pStyle w:val="Tablewriting"/>
              <w:rPr>
                <w:rFonts w:eastAsia="MS Mincho" w:cstheme="minorHAnsi"/>
              </w:rPr>
            </w:pPr>
            <w:r w:rsidRPr="009B13E2">
              <w:rPr>
                <w:rFonts w:eastAsia="MS Mincho" w:cstheme="minorHAnsi"/>
                <w:u w:val="single"/>
              </w:rPr>
              <w:t>Efficacy:</w:t>
            </w:r>
            <w:r w:rsidR="00D54253">
              <w:rPr>
                <w:rFonts w:eastAsia="MS Mincho" w:cstheme="minorHAnsi"/>
                <w:u w:val="single"/>
              </w:rPr>
              <w:t xml:space="preserve"> </w:t>
            </w:r>
            <w:r w:rsidR="00D54253" w:rsidRPr="00D54253">
              <w:rPr>
                <w:rFonts w:eastAsia="MS Mincho" w:cstheme="minorHAnsi"/>
              </w:rPr>
              <w:t>Sustained abstinence at 12 months (0 to 3 cigarettes per week)</w:t>
            </w:r>
            <w:r w:rsidR="00234C0C">
              <w:rPr>
                <w:rFonts w:eastAsia="MS Mincho" w:cstheme="minorHAnsi"/>
              </w:rPr>
              <w:t>.</w:t>
            </w:r>
          </w:p>
          <w:p w14:paraId="51865C6A" w14:textId="77777777" w:rsidR="00234C0C" w:rsidRDefault="00234C0C" w:rsidP="00A71365">
            <w:pPr>
              <w:pStyle w:val="Tablewriting"/>
              <w:rPr>
                <w:rFonts w:eastAsia="MS Mincho" w:cstheme="minorHAnsi"/>
              </w:rPr>
            </w:pPr>
          </w:p>
          <w:p w14:paraId="6F8A2B5A" w14:textId="3FC707E3" w:rsidR="001173B2" w:rsidRPr="00D54253" w:rsidRDefault="00D54253" w:rsidP="00A71365">
            <w:pPr>
              <w:pStyle w:val="Tablewriting"/>
              <w:rPr>
                <w:rFonts w:eastAsia="MS Mincho" w:cstheme="minorHAnsi"/>
              </w:rPr>
            </w:pPr>
            <w:r w:rsidRPr="00D54253">
              <w:rPr>
                <w:rFonts w:eastAsia="MS Mincho" w:cstheme="minorHAnsi"/>
              </w:rPr>
              <w:t>Validation: urinary cotinine</w:t>
            </w:r>
            <w:r w:rsidR="00234C0C">
              <w:rPr>
                <w:rFonts w:eastAsia="MS Mincho" w:cstheme="minorHAnsi"/>
              </w:rPr>
              <w:t>.</w:t>
            </w:r>
          </w:p>
          <w:p w14:paraId="22AE0F63" w14:textId="77777777" w:rsidR="001173B2" w:rsidRDefault="001173B2" w:rsidP="00A71365">
            <w:pPr>
              <w:pStyle w:val="Tablewriting"/>
              <w:rPr>
                <w:rFonts w:eastAsia="MS Mincho" w:cstheme="minorHAnsi"/>
              </w:rPr>
            </w:pPr>
          </w:p>
          <w:p w14:paraId="04DBE2E6" w14:textId="6E97251A"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14:paraId="35955142" w14:textId="77777777" w:rsidTr="005821B1">
        <w:trPr>
          <w:trHeight w:val="99"/>
        </w:trPr>
        <w:tc>
          <w:tcPr>
            <w:tcW w:w="1003" w:type="pct"/>
          </w:tcPr>
          <w:p w14:paraId="412EB2A4" w14:textId="2817495C" w:rsidR="009E29BF" w:rsidRPr="00FD17DC" w:rsidRDefault="00375881" w:rsidP="00A71365">
            <w:pPr>
              <w:pStyle w:val="Tablewriting"/>
              <w:rPr>
                <w:rFonts w:eastAsia="MS Mincho"/>
              </w:rPr>
            </w:pPr>
            <w:r w:rsidRPr="00FD17DC">
              <w:rPr>
                <w:rFonts w:eastAsia="MS Mincho"/>
              </w:rPr>
              <w:t xml:space="preserve">Hurt </w:t>
            </w:r>
            <w:r w:rsidR="00902014">
              <w:rPr>
                <w:rFonts w:eastAsia="MS Mincho"/>
              </w:rPr>
              <w:t>(</w:t>
            </w:r>
            <w:r w:rsidRPr="00FD17DC">
              <w:rPr>
                <w:rFonts w:eastAsia="MS Mincho"/>
              </w:rPr>
              <w:t>1990</w:t>
            </w:r>
            <w:r w:rsidR="00902014">
              <w:rPr>
                <w:rFonts w:eastAsia="MS Mincho"/>
              </w:rPr>
              <w:t>)</w:t>
            </w:r>
          </w:p>
        </w:tc>
        <w:tc>
          <w:tcPr>
            <w:tcW w:w="235" w:type="pct"/>
          </w:tcPr>
          <w:p w14:paraId="37881372" w14:textId="00C7B9E6"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7A5EDC65" w14:textId="0BAA411E" w:rsidR="009E29BF" w:rsidRPr="00017AE6" w:rsidRDefault="00006BB3" w:rsidP="00A71365">
            <w:pPr>
              <w:pStyle w:val="Tablewriting"/>
              <w:rPr>
                <w:rFonts w:eastAsia="MS Mincho" w:cstheme="minorHAnsi"/>
              </w:rPr>
            </w:pPr>
            <w:r>
              <w:rPr>
                <w:rFonts w:eastAsia="MS Mincho" w:cstheme="minorHAnsi"/>
              </w:rPr>
              <w:t>USA</w:t>
            </w:r>
          </w:p>
        </w:tc>
        <w:tc>
          <w:tcPr>
            <w:tcW w:w="289" w:type="pct"/>
          </w:tcPr>
          <w:p w14:paraId="243A02AF" w14:textId="15EE7270" w:rsidR="009E29BF" w:rsidRPr="00017AE6" w:rsidRDefault="001173B2" w:rsidP="00A71365">
            <w:pPr>
              <w:pStyle w:val="Tablewriting"/>
              <w:rPr>
                <w:rFonts w:eastAsia="MS Mincho" w:cstheme="minorHAnsi"/>
              </w:rPr>
            </w:pPr>
            <w:r>
              <w:rPr>
                <w:rFonts w:eastAsia="MS Mincho" w:cstheme="minorHAnsi"/>
              </w:rPr>
              <w:t>N=</w:t>
            </w:r>
            <w:r w:rsidR="00006BB3">
              <w:rPr>
                <w:rFonts w:eastAsia="MS Mincho" w:cstheme="minorHAnsi"/>
              </w:rPr>
              <w:t>62</w:t>
            </w:r>
          </w:p>
        </w:tc>
        <w:tc>
          <w:tcPr>
            <w:tcW w:w="1045" w:type="pct"/>
          </w:tcPr>
          <w:p w14:paraId="63A1A72C" w14:textId="77B6E197" w:rsidR="00006BB3" w:rsidRPr="00006BB3" w:rsidRDefault="004664D2" w:rsidP="00A71365">
            <w:pPr>
              <w:pStyle w:val="Tablewriting"/>
              <w:rPr>
                <w:rFonts w:eastAsia="MS Mincho" w:cstheme="minorHAnsi"/>
              </w:rPr>
            </w:pPr>
            <w:r>
              <w:rPr>
                <w:rFonts w:eastAsia="MS Mincho" w:cstheme="minorHAnsi"/>
              </w:rPr>
              <w:t>A</w:t>
            </w:r>
            <w:r w:rsidRPr="00006BB3">
              <w:rPr>
                <w:rFonts w:eastAsia="MS Mincho" w:cstheme="minorHAnsi"/>
              </w:rPr>
              <w:t xml:space="preserve">dult smokers (&gt; 20 </w:t>
            </w:r>
            <w:r>
              <w:rPr>
                <w:rFonts w:eastAsia="MS Mincho" w:cstheme="minorHAnsi"/>
              </w:rPr>
              <w:t>CPD</w:t>
            </w:r>
            <w:r w:rsidRPr="00006BB3">
              <w:rPr>
                <w:rFonts w:eastAsia="MS Mincho" w:cstheme="minorHAnsi"/>
              </w:rPr>
              <w:t>)</w:t>
            </w:r>
            <w:r w:rsidR="00006BB3" w:rsidRPr="00006BB3">
              <w:rPr>
                <w:rFonts w:eastAsia="MS Mincho" w:cstheme="minorHAnsi"/>
              </w:rPr>
              <w:t xml:space="preserve"> only accepted if willing to make a quit attempt</w:t>
            </w:r>
            <w:r w:rsidR="00006BB3">
              <w:rPr>
                <w:rFonts w:eastAsia="MS Mincho" w:cstheme="minorHAnsi"/>
              </w:rPr>
              <w:t>.</w:t>
            </w:r>
          </w:p>
          <w:p w14:paraId="56A170DB" w14:textId="37166AC2" w:rsidR="001173B2" w:rsidRDefault="00006BB3" w:rsidP="00A71365">
            <w:pPr>
              <w:pStyle w:val="Tablewriting"/>
              <w:rPr>
                <w:rFonts w:eastAsia="MS Mincho" w:cstheme="minorHAnsi"/>
              </w:rPr>
            </w:pPr>
            <w:r w:rsidRPr="00006BB3">
              <w:rPr>
                <w:rFonts w:eastAsia="MS Mincho" w:cstheme="minorHAnsi"/>
              </w:rPr>
              <w:t xml:space="preserve">53% female, average age 39, average </w:t>
            </w:r>
            <w:r>
              <w:rPr>
                <w:rFonts w:eastAsia="MS Mincho" w:cstheme="minorHAnsi"/>
              </w:rPr>
              <w:t xml:space="preserve">CPD </w:t>
            </w:r>
            <w:r w:rsidRPr="00006BB3">
              <w:rPr>
                <w:rFonts w:eastAsia="MS Mincho" w:cstheme="minorHAnsi"/>
              </w:rPr>
              <w:t>30</w:t>
            </w:r>
            <w:r>
              <w:rPr>
                <w:rFonts w:eastAsia="MS Mincho" w:cstheme="minorHAnsi"/>
              </w:rPr>
              <w:t>.</w:t>
            </w:r>
          </w:p>
          <w:p w14:paraId="6085ADF1" w14:textId="77777777" w:rsidR="009E29BF" w:rsidRPr="00017AE6" w:rsidRDefault="009E29BF" w:rsidP="00A71365">
            <w:pPr>
              <w:rPr>
                <w:rFonts w:eastAsia="MS Mincho" w:cstheme="minorHAnsi"/>
              </w:rPr>
            </w:pPr>
          </w:p>
        </w:tc>
        <w:tc>
          <w:tcPr>
            <w:tcW w:w="1055" w:type="pct"/>
          </w:tcPr>
          <w:p w14:paraId="5D99F6EF" w14:textId="77777777" w:rsidR="00006BB3" w:rsidRDefault="00006BB3" w:rsidP="00C324F3">
            <w:pPr>
              <w:pStyle w:val="ListParagraph"/>
              <w:numPr>
                <w:ilvl w:val="0"/>
                <w:numId w:val="102"/>
              </w:numPr>
              <w:rPr>
                <w:rFonts w:eastAsia="MS Mincho"/>
                <w:lang w:eastAsia="en-US"/>
              </w:rPr>
            </w:pPr>
            <w:r w:rsidRPr="00006BB3">
              <w:rPr>
                <w:rFonts w:eastAsia="MS Mincho"/>
                <w:lang w:eastAsia="en-US"/>
              </w:rPr>
              <w:t>Nicotine patch (30 mg 24 h, 6 weeks + option of further 12 weeks ± tapering)</w:t>
            </w:r>
            <w:r>
              <w:rPr>
                <w:rFonts w:eastAsia="MS Mincho"/>
                <w:lang w:eastAsia="en-US"/>
              </w:rPr>
              <w:t>.</w:t>
            </w:r>
          </w:p>
          <w:p w14:paraId="66F83128" w14:textId="5E402360" w:rsidR="00006BB3" w:rsidRPr="00006BB3" w:rsidRDefault="00006BB3" w:rsidP="00C324F3">
            <w:pPr>
              <w:pStyle w:val="ListParagraph"/>
              <w:numPr>
                <w:ilvl w:val="0"/>
                <w:numId w:val="102"/>
              </w:numPr>
              <w:rPr>
                <w:rFonts w:eastAsia="MS Mincho"/>
                <w:lang w:eastAsia="en-US"/>
              </w:rPr>
            </w:pPr>
            <w:r w:rsidRPr="00006BB3">
              <w:rPr>
                <w:rFonts w:eastAsia="MS Mincho"/>
                <w:lang w:eastAsia="en-US"/>
              </w:rPr>
              <w:t>Placebo patch (continuing smokers at 6 weeks were offered active patch)</w:t>
            </w:r>
          </w:p>
          <w:p w14:paraId="6AFFCBDB" w14:textId="77777777" w:rsidR="00006BB3" w:rsidRDefault="00006BB3" w:rsidP="00A71365">
            <w:pPr>
              <w:jc w:val="center"/>
              <w:rPr>
                <w:rFonts w:eastAsia="MS Mincho"/>
                <w:lang w:eastAsia="en-US"/>
              </w:rPr>
            </w:pPr>
          </w:p>
          <w:p w14:paraId="036EE380" w14:textId="1A89BEEE" w:rsidR="009E29BF" w:rsidRPr="00017AE6" w:rsidRDefault="00006BB3" w:rsidP="00A71365">
            <w:pPr>
              <w:rPr>
                <w:rFonts w:eastAsia="MS Mincho" w:cstheme="minorHAnsi"/>
              </w:rPr>
            </w:pPr>
            <w:r w:rsidRPr="00006BB3">
              <w:rPr>
                <w:rFonts w:eastAsia="MS Mincho"/>
                <w:lang w:eastAsia="en-US"/>
              </w:rPr>
              <w:t>Level of support: high (brief advice from nurse co</w:t>
            </w:r>
            <w:r w:rsidR="00FA7653">
              <w:rPr>
                <w:rFonts w:eastAsia="MS Mincho"/>
                <w:lang w:eastAsia="en-US"/>
              </w:rPr>
              <w:t>-</w:t>
            </w:r>
            <w:r w:rsidRPr="00006BB3">
              <w:rPr>
                <w:rFonts w:eastAsia="MS Mincho"/>
                <w:lang w:eastAsia="en-US"/>
              </w:rPr>
              <w:t>ordinator at 6 weekly visits)</w:t>
            </w:r>
            <w:r w:rsidR="00FA7653">
              <w:rPr>
                <w:rFonts w:eastAsia="MS Mincho"/>
                <w:lang w:eastAsia="en-US"/>
              </w:rPr>
              <w:t>.</w:t>
            </w:r>
          </w:p>
        </w:tc>
        <w:tc>
          <w:tcPr>
            <w:tcW w:w="958" w:type="pct"/>
          </w:tcPr>
          <w:p w14:paraId="016FFD41" w14:textId="017AD65E" w:rsidR="005D46A1" w:rsidRDefault="001173B2" w:rsidP="00A71365">
            <w:pPr>
              <w:pStyle w:val="Tablewriting"/>
              <w:rPr>
                <w:rFonts w:eastAsia="MS Mincho" w:cstheme="minorHAnsi"/>
              </w:rPr>
            </w:pPr>
            <w:r w:rsidRPr="009B13E2">
              <w:rPr>
                <w:rFonts w:eastAsia="MS Mincho" w:cstheme="minorHAnsi"/>
                <w:u w:val="single"/>
              </w:rPr>
              <w:t>Efficacy:</w:t>
            </w:r>
            <w:r w:rsidR="005D46A1">
              <w:rPr>
                <w:rFonts w:eastAsia="MS Mincho" w:cstheme="minorHAnsi"/>
                <w:u w:val="single"/>
              </w:rPr>
              <w:t xml:space="preserve"> </w:t>
            </w:r>
            <w:r w:rsidR="005D46A1" w:rsidRPr="005D46A1">
              <w:rPr>
                <w:rFonts w:eastAsia="MS Mincho" w:cstheme="minorHAnsi"/>
              </w:rPr>
              <w:t>Sustained abstinence at 12 months (quit by week 6, and all subsequent visits)</w:t>
            </w:r>
            <w:r w:rsidR="005D46A1">
              <w:rPr>
                <w:rFonts w:eastAsia="MS Mincho" w:cstheme="minorHAnsi"/>
              </w:rPr>
              <w:t>.</w:t>
            </w:r>
          </w:p>
          <w:p w14:paraId="70F21920" w14:textId="77777777" w:rsidR="005D46A1" w:rsidRPr="005D46A1" w:rsidRDefault="005D46A1" w:rsidP="00A71365">
            <w:pPr>
              <w:pStyle w:val="Tablewriting"/>
              <w:rPr>
                <w:rFonts w:eastAsia="MS Mincho" w:cstheme="minorHAnsi"/>
              </w:rPr>
            </w:pPr>
          </w:p>
          <w:p w14:paraId="2929253B" w14:textId="40535BAA" w:rsidR="001173B2" w:rsidRPr="005D46A1" w:rsidRDefault="005D46A1" w:rsidP="00A71365">
            <w:pPr>
              <w:pStyle w:val="Tablewriting"/>
              <w:rPr>
                <w:rFonts w:eastAsia="MS Mincho" w:cstheme="minorHAnsi"/>
              </w:rPr>
            </w:pPr>
            <w:r w:rsidRPr="005D46A1">
              <w:rPr>
                <w:rFonts w:eastAsia="MS Mincho" w:cstheme="minorHAnsi"/>
              </w:rPr>
              <w:t>Validation: CO e 8 ppm</w:t>
            </w:r>
          </w:p>
          <w:p w14:paraId="2A8620ED" w14:textId="77777777" w:rsidR="001173B2" w:rsidRDefault="001173B2" w:rsidP="00A71365">
            <w:pPr>
              <w:pStyle w:val="Tablewriting"/>
              <w:rPr>
                <w:rFonts w:eastAsia="MS Mincho" w:cstheme="minorHAnsi"/>
              </w:rPr>
            </w:pPr>
          </w:p>
          <w:p w14:paraId="501A5D05" w14:textId="78F0684A" w:rsidR="009E29BF" w:rsidRPr="00017AE6" w:rsidRDefault="001173B2" w:rsidP="00A71365">
            <w:pPr>
              <w:pStyle w:val="Tablewriting"/>
              <w:rPr>
                <w:rFonts w:eastAsia="MS Mincho" w:cstheme="minorHAnsi"/>
              </w:rPr>
            </w:pPr>
            <w:r w:rsidRPr="009B13E2">
              <w:rPr>
                <w:rFonts w:eastAsia="MS Mincho" w:cstheme="minorHAnsi"/>
                <w:u w:val="single"/>
              </w:rPr>
              <w:t>Safety:</w:t>
            </w:r>
            <w:r w:rsidR="0054283A">
              <w:rPr>
                <w:rFonts w:eastAsia="MS Mincho" w:cstheme="minorHAnsi"/>
                <w:u w:val="single"/>
              </w:rPr>
              <w:t xml:space="preserve"> </w:t>
            </w:r>
            <w:r w:rsidR="0054283A" w:rsidRPr="002A43AE">
              <w:rPr>
                <w:rFonts w:eastAsia="MS Mincho" w:cstheme="minorHAnsi"/>
              </w:rPr>
              <w:t>NR</w:t>
            </w:r>
          </w:p>
        </w:tc>
      </w:tr>
      <w:tr w:rsidR="009E29BF" w:rsidRPr="00017AE6" w14:paraId="72E5449D" w14:textId="77777777" w:rsidTr="005821B1">
        <w:trPr>
          <w:trHeight w:val="99"/>
        </w:trPr>
        <w:tc>
          <w:tcPr>
            <w:tcW w:w="1003" w:type="pct"/>
          </w:tcPr>
          <w:p w14:paraId="3C5B336F" w14:textId="072C8628" w:rsidR="009E29BF" w:rsidRPr="00FD17DC" w:rsidRDefault="00375881" w:rsidP="00A71365">
            <w:pPr>
              <w:pStyle w:val="Tablewriting"/>
              <w:rPr>
                <w:rFonts w:eastAsia="MS Mincho"/>
              </w:rPr>
            </w:pPr>
            <w:r w:rsidRPr="00FD17DC">
              <w:rPr>
                <w:rFonts w:eastAsia="MS Mincho"/>
              </w:rPr>
              <w:t xml:space="preserve">Hurt </w:t>
            </w:r>
            <w:r w:rsidR="00902014">
              <w:rPr>
                <w:rFonts w:eastAsia="MS Mincho"/>
              </w:rPr>
              <w:t>(</w:t>
            </w:r>
            <w:r w:rsidRPr="00FD17DC">
              <w:rPr>
                <w:rFonts w:eastAsia="MS Mincho"/>
              </w:rPr>
              <w:t>1994</w:t>
            </w:r>
            <w:r w:rsidR="00902014">
              <w:rPr>
                <w:rFonts w:eastAsia="MS Mincho"/>
              </w:rPr>
              <w:t>)</w:t>
            </w:r>
          </w:p>
        </w:tc>
        <w:tc>
          <w:tcPr>
            <w:tcW w:w="235" w:type="pct"/>
          </w:tcPr>
          <w:p w14:paraId="11D0F6BA" w14:textId="0933692D" w:rsidR="009E29BF" w:rsidRPr="00017AE6" w:rsidRDefault="001C2E71" w:rsidP="00A71365">
            <w:pPr>
              <w:pStyle w:val="Tablewriting"/>
              <w:rPr>
                <w:rFonts w:eastAsia="MS Mincho" w:cstheme="minorHAnsi"/>
              </w:rPr>
            </w:pPr>
            <w:r>
              <w:rPr>
                <w:rFonts w:eastAsia="MS Mincho" w:cstheme="minorHAnsi"/>
              </w:rPr>
              <w:t>RCT</w:t>
            </w:r>
          </w:p>
        </w:tc>
        <w:tc>
          <w:tcPr>
            <w:tcW w:w="414" w:type="pct"/>
          </w:tcPr>
          <w:p w14:paraId="18960967" w14:textId="48826D63" w:rsidR="009E29BF" w:rsidRPr="00017AE6" w:rsidRDefault="005D46A1" w:rsidP="00A71365">
            <w:pPr>
              <w:pStyle w:val="Tablewriting"/>
              <w:rPr>
                <w:rFonts w:eastAsia="MS Mincho" w:cstheme="minorHAnsi"/>
              </w:rPr>
            </w:pPr>
            <w:r>
              <w:rPr>
                <w:rFonts w:eastAsia="MS Mincho" w:cstheme="minorHAnsi"/>
              </w:rPr>
              <w:t>USA</w:t>
            </w:r>
          </w:p>
        </w:tc>
        <w:tc>
          <w:tcPr>
            <w:tcW w:w="289" w:type="pct"/>
          </w:tcPr>
          <w:p w14:paraId="4EF36100" w14:textId="1E4BF3E5" w:rsidR="009E29BF" w:rsidRPr="00017AE6" w:rsidRDefault="001173B2" w:rsidP="00A71365">
            <w:pPr>
              <w:pStyle w:val="Tablewriting"/>
              <w:rPr>
                <w:rFonts w:eastAsia="MS Mincho" w:cstheme="minorHAnsi"/>
              </w:rPr>
            </w:pPr>
            <w:r>
              <w:rPr>
                <w:rFonts w:eastAsia="MS Mincho" w:cstheme="minorHAnsi"/>
              </w:rPr>
              <w:t>N=</w:t>
            </w:r>
            <w:r w:rsidR="005D46A1">
              <w:rPr>
                <w:rFonts w:eastAsia="MS Mincho" w:cstheme="minorHAnsi"/>
              </w:rPr>
              <w:t>240</w:t>
            </w:r>
          </w:p>
        </w:tc>
        <w:tc>
          <w:tcPr>
            <w:tcW w:w="1045" w:type="pct"/>
          </w:tcPr>
          <w:p w14:paraId="4022C377" w14:textId="00034B96" w:rsidR="005D46A1" w:rsidRPr="005D46A1" w:rsidRDefault="005D46A1" w:rsidP="00A71365">
            <w:pPr>
              <w:pStyle w:val="Tablewriting"/>
              <w:rPr>
                <w:rFonts w:eastAsia="MS Mincho" w:cstheme="minorHAnsi"/>
              </w:rPr>
            </w:pPr>
            <w:r>
              <w:rPr>
                <w:rFonts w:eastAsia="MS Mincho" w:cstheme="minorHAnsi"/>
              </w:rPr>
              <w:t>A</w:t>
            </w:r>
            <w:r w:rsidRPr="005D46A1">
              <w:rPr>
                <w:rFonts w:eastAsia="MS Mincho" w:cstheme="minorHAnsi"/>
              </w:rPr>
              <w:t xml:space="preserve">dult smokers (&gt; 20 </w:t>
            </w:r>
            <w:r>
              <w:rPr>
                <w:rFonts w:eastAsia="MS Mincho" w:cstheme="minorHAnsi"/>
              </w:rPr>
              <w:t>CPD</w:t>
            </w:r>
            <w:r w:rsidRPr="005D46A1">
              <w:rPr>
                <w:rFonts w:eastAsia="MS Mincho" w:cstheme="minorHAnsi"/>
              </w:rPr>
              <w:t>), motivated to quit</w:t>
            </w:r>
            <w:r>
              <w:rPr>
                <w:rFonts w:eastAsia="MS Mincho" w:cstheme="minorHAnsi"/>
              </w:rPr>
              <w:t>.</w:t>
            </w:r>
          </w:p>
          <w:p w14:paraId="69DD19C2" w14:textId="337F0E5B" w:rsidR="009E29BF" w:rsidRPr="00017AE6" w:rsidRDefault="005D46A1" w:rsidP="00A71365">
            <w:pPr>
              <w:pStyle w:val="Tablewriting"/>
              <w:rPr>
                <w:rFonts w:eastAsia="MS Mincho" w:cstheme="minorHAnsi"/>
              </w:rPr>
            </w:pPr>
            <w:r w:rsidRPr="005D46A1">
              <w:rPr>
                <w:rFonts w:eastAsia="MS Mincho" w:cstheme="minorHAnsi"/>
              </w:rPr>
              <w:t xml:space="preserve">53% female, average age 43, average </w:t>
            </w:r>
            <w:r>
              <w:rPr>
                <w:rFonts w:eastAsia="MS Mincho" w:cstheme="minorHAnsi"/>
              </w:rPr>
              <w:t>CPD</w:t>
            </w:r>
            <w:r w:rsidRPr="005D46A1">
              <w:rPr>
                <w:rFonts w:eastAsia="MS Mincho" w:cstheme="minorHAnsi"/>
              </w:rPr>
              <w:t xml:space="preserve"> 30</w:t>
            </w:r>
            <w:r>
              <w:rPr>
                <w:rFonts w:eastAsia="MS Mincho" w:cstheme="minorHAnsi"/>
              </w:rPr>
              <w:t>.</w:t>
            </w:r>
          </w:p>
        </w:tc>
        <w:tc>
          <w:tcPr>
            <w:tcW w:w="1055" w:type="pct"/>
          </w:tcPr>
          <w:p w14:paraId="487E265B" w14:textId="77777777" w:rsidR="00682030" w:rsidRDefault="005D46A1" w:rsidP="00C324F3">
            <w:pPr>
              <w:pStyle w:val="Tablewriting"/>
              <w:numPr>
                <w:ilvl w:val="0"/>
                <w:numId w:val="103"/>
              </w:numPr>
              <w:rPr>
                <w:rFonts w:eastAsia="MS Mincho" w:cstheme="minorHAnsi"/>
              </w:rPr>
            </w:pPr>
            <w:r w:rsidRPr="005D46A1">
              <w:rPr>
                <w:rFonts w:eastAsia="MS Mincho" w:cstheme="minorHAnsi"/>
              </w:rPr>
              <w:t>Nicotine patch (22 mg/24 h, 8 weeks, no tapering)</w:t>
            </w:r>
            <w:r w:rsidR="00682030">
              <w:rPr>
                <w:rFonts w:eastAsia="MS Mincho" w:cstheme="minorHAnsi"/>
              </w:rPr>
              <w:t>.</w:t>
            </w:r>
          </w:p>
          <w:p w14:paraId="2B38106D" w14:textId="12277D58" w:rsidR="005D46A1" w:rsidRPr="005D46A1" w:rsidRDefault="005D46A1" w:rsidP="00C324F3">
            <w:pPr>
              <w:pStyle w:val="Tablewriting"/>
              <w:numPr>
                <w:ilvl w:val="0"/>
                <w:numId w:val="103"/>
              </w:numPr>
              <w:rPr>
                <w:rFonts w:eastAsia="MS Mincho" w:cstheme="minorHAnsi"/>
              </w:rPr>
            </w:pPr>
            <w:r w:rsidRPr="005D46A1">
              <w:rPr>
                <w:rFonts w:eastAsia="MS Mincho" w:cstheme="minorHAnsi"/>
              </w:rPr>
              <w:t>Placebo patch</w:t>
            </w:r>
            <w:r w:rsidR="00682030">
              <w:rPr>
                <w:rFonts w:eastAsia="MS Mincho" w:cstheme="minorHAnsi"/>
              </w:rPr>
              <w:t>.</w:t>
            </w:r>
          </w:p>
          <w:p w14:paraId="4BE54D7B" w14:textId="77777777" w:rsidR="00682030" w:rsidRDefault="00682030" w:rsidP="00A71365">
            <w:pPr>
              <w:pStyle w:val="Tablewriting"/>
              <w:rPr>
                <w:rFonts w:eastAsia="MS Mincho" w:cstheme="minorHAnsi"/>
              </w:rPr>
            </w:pPr>
          </w:p>
          <w:p w14:paraId="623222BB" w14:textId="1000507E" w:rsidR="009E29BF" w:rsidRPr="00017AE6" w:rsidRDefault="005D46A1" w:rsidP="00A71365">
            <w:pPr>
              <w:pStyle w:val="Tablewriting"/>
              <w:rPr>
                <w:rFonts w:eastAsia="MS Mincho" w:cstheme="minorHAnsi"/>
              </w:rPr>
            </w:pPr>
            <w:r w:rsidRPr="005D46A1">
              <w:rPr>
                <w:rFonts w:eastAsia="MS Mincho" w:cstheme="minorHAnsi"/>
              </w:rPr>
              <w:t>Level of support: high (nurse counselling at 8 weekly visits, weekly phone calls to week 12)</w:t>
            </w:r>
            <w:r w:rsidR="00682030">
              <w:rPr>
                <w:rFonts w:eastAsia="MS Mincho" w:cstheme="minorHAnsi"/>
              </w:rPr>
              <w:t>.</w:t>
            </w:r>
          </w:p>
        </w:tc>
        <w:tc>
          <w:tcPr>
            <w:tcW w:w="958" w:type="pct"/>
          </w:tcPr>
          <w:p w14:paraId="430D27AD" w14:textId="6548B72A" w:rsidR="00682030" w:rsidRDefault="001173B2" w:rsidP="00A71365">
            <w:pPr>
              <w:pStyle w:val="Tablewriting"/>
              <w:rPr>
                <w:rFonts w:eastAsia="MS Mincho" w:cstheme="minorHAnsi"/>
              </w:rPr>
            </w:pPr>
            <w:r w:rsidRPr="009B13E2">
              <w:rPr>
                <w:rFonts w:eastAsia="MS Mincho" w:cstheme="minorHAnsi"/>
                <w:u w:val="single"/>
              </w:rPr>
              <w:t>Efficacy:</w:t>
            </w:r>
            <w:r w:rsidR="00682030">
              <w:rPr>
                <w:rFonts w:eastAsia="MS Mincho" w:cstheme="minorHAnsi"/>
                <w:u w:val="single"/>
              </w:rPr>
              <w:t xml:space="preserve"> </w:t>
            </w:r>
            <w:r w:rsidR="00682030" w:rsidRPr="00682030">
              <w:rPr>
                <w:rFonts w:eastAsia="MS Mincho" w:cstheme="minorHAnsi"/>
              </w:rPr>
              <w:t>Abstinence at 12 months (no pu</w:t>
            </w:r>
            <w:r w:rsidR="00682030">
              <w:rPr>
                <w:rFonts w:eastAsia="MS Mincho" w:cstheme="minorHAnsi"/>
              </w:rPr>
              <w:t>ff</w:t>
            </w:r>
            <w:r w:rsidR="00682030" w:rsidRPr="00682030">
              <w:rPr>
                <w:rFonts w:eastAsia="MS Mincho" w:cstheme="minorHAnsi"/>
              </w:rPr>
              <w:t xml:space="preserve"> since 9-month visit)</w:t>
            </w:r>
            <w:r w:rsidR="00682030">
              <w:rPr>
                <w:rFonts w:eastAsia="MS Mincho" w:cstheme="minorHAnsi"/>
              </w:rPr>
              <w:t>.</w:t>
            </w:r>
          </w:p>
          <w:p w14:paraId="09B24E5B" w14:textId="77777777" w:rsidR="00682030" w:rsidRPr="00682030" w:rsidRDefault="00682030" w:rsidP="00A71365">
            <w:pPr>
              <w:pStyle w:val="Tablewriting"/>
              <w:rPr>
                <w:rFonts w:eastAsia="MS Mincho" w:cstheme="minorHAnsi"/>
              </w:rPr>
            </w:pPr>
          </w:p>
          <w:p w14:paraId="41E6F365" w14:textId="32E1B401" w:rsidR="001173B2" w:rsidRPr="00682030" w:rsidRDefault="00682030" w:rsidP="00A71365">
            <w:pPr>
              <w:pStyle w:val="Tablewriting"/>
              <w:rPr>
                <w:rFonts w:eastAsia="MS Mincho" w:cstheme="minorHAnsi"/>
              </w:rPr>
            </w:pPr>
            <w:r w:rsidRPr="00682030">
              <w:rPr>
                <w:rFonts w:eastAsia="MS Mincho" w:cstheme="minorHAnsi"/>
              </w:rPr>
              <w:t xml:space="preserve">Validation: </w:t>
            </w:r>
            <w:r w:rsidRPr="00103544">
              <w:rPr>
                <w:rFonts w:eastAsia="MS Mincho" w:cstheme="minorHAnsi"/>
              </w:rPr>
              <w:t xml:space="preserve">CO </w:t>
            </w:r>
            <w:r w:rsidRPr="00F80B8C">
              <w:rPr>
                <w:rFonts w:eastAsia="MS Mincho" w:cstheme="minorHAnsi"/>
              </w:rPr>
              <w:t>≤</w:t>
            </w:r>
            <w:r>
              <w:rPr>
                <w:rFonts w:eastAsia="MS Mincho" w:cstheme="minorHAnsi"/>
              </w:rPr>
              <w:t xml:space="preserve"> </w:t>
            </w:r>
            <w:r w:rsidRPr="00682030">
              <w:rPr>
                <w:rFonts w:eastAsia="MS Mincho" w:cstheme="minorHAnsi"/>
              </w:rPr>
              <w:t>ppm</w:t>
            </w:r>
            <w:r>
              <w:rPr>
                <w:rFonts w:eastAsia="MS Mincho" w:cstheme="minorHAnsi"/>
              </w:rPr>
              <w:t>.</w:t>
            </w:r>
          </w:p>
          <w:p w14:paraId="54142F26" w14:textId="77777777" w:rsidR="001173B2" w:rsidRDefault="001173B2" w:rsidP="00A71365">
            <w:pPr>
              <w:pStyle w:val="Tablewriting"/>
              <w:rPr>
                <w:rFonts w:eastAsia="MS Mincho" w:cstheme="minorHAnsi"/>
              </w:rPr>
            </w:pPr>
          </w:p>
          <w:p w14:paraId="386B586B" w14:textId="7E4AE8BB" w:rsidR="009E29BF"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C3700A" w:rsidRPr="00017AE6" w14:paraId="279DE53B" w14:textId="77777777" w:rsidTr="005821B1">
        <w:trPr>
          <w:trHeight w:val="99"/>
        </w:trPr>
        <w:tc>
          <w:tcPr>
            <w:tcW w:w="1003" w:type="pct"/>
          </w:tcPr>
          <w:p w14:paraId="2667A85B" w14:textId="3426A761" w:rsidR="00C3700A" w:rsidRPr="00FD17DC" w:rsidRDefault="00375881" w:rsidP="00A71365">
            <w:pPr>
              <w:pStyle w:val="Tablewriting"/>
              <w:rPr>
                <w:rFonts w:eastAsia="MS Mincho"/>
              </w:rPr>
            </w:pPr>
            <w:r w:rsidRPr="00FD17DC">
              <w:rPr>
                <w:rFonts w:eastAsia="MS Mincho"/>
              </w:rPr>
              <w:t xml:space="preserve">ICRF </w:t>
            </w:r>
            <w:r w:rsidR="00902014">
              <w:rPr>
                <w:rFonts w:eastAsia="MS Mincho"/>
              </w:rPr>
              <w:t>(</w:t>
            </w:r>
            <w:r w:rsidRPr="00FD17DC">
              <w:rPr>
                <w:rFonts w:eastAsia="MS Mincho"/>
              </w:rPr>
              <w:t>1994</w:t>
            </w:r>
            <w:r w:rsidR="00902014">
              <w:rPr>
                <w:rFonts w:eastAsia="MS Mincho"/>
              </w:rPr>
              <w:t>)</w:t>
            </w:r>
          </w:p>
        </w:tc>
        <w:tc>
          <w:tcPr>
            <w:tcW w:w="235" w:type="pct"/>
          </w:tcPr>
          <w:p w14:paraId="71B279CE" w14:textId="145694CE" w:rsidR="00C3700A" w:rsidRPr="00017AE6" w:rsidRDefault="001C2E71" w:rsidP="00A71365">
            <w:pPr>
              <w:pStyle w:val="Tablewriting"/>
              <w:rPr>
                <w:rFonts w:eastAsia="MS Mincho" w:cstheme="minorHAnsi"/>
              </w:rPr>
            </w:pPr>
            <w:r>
              <w:rPr>
                <w:rFonts w:eastAsia="MS Mincho" w:cstheme="minorHAnsi"/>
              </w:rPr>
              <w:t>RCT</w:t>
            </w:r>
          </w:p>
        </w:tc>
        <w:tc>
          <w:tcPr>
            <w:tcW w:w="414" w:type="pct"/>
          </w:tcPr>
          <w:p w14:paraId="66F7D05D" w14:textId="4D13ED01" w:rsidR="00C3700A" w:rsidRPr="00017AE6" w:rsidRDefault="00244DCF" w:rsidP="00A71365">
            <w:pPr>
              <w:pStyle w:val="Tablewriting"/>
              <w:rPr>
                <w:rFonts w:eastAsia="MS Mincho" w:cstheme="minorHAnsi"/>
              </w:rPr>
            </w:pPr>
            <w:r>
              <w:rPr>
                <w:rFonts w:eastAsia="MS Mincho" w:cstheme="minorHAnsi"/>
              </w:rPr>
              <w:t>UK</w:t>
            </w:r>
          </w:p>
        </w:tc>
        <w:tc>
          <w:tcPr>
            <w:tcW w:w="289" w:type="pct"/>
          </w:tcPr>
          <w:p w14:paraId="4C017BCB" w14:textId="27AB131E" w:rsidR="00C3700A" w:rsidRPr="00017AE6" w:rsidRDefault="001173B2" w:rsidP="00A71365">
            <w:pPr>
              <w:pStyle w:val="Tablewriting"/>
              <w:rPr>
                <w:rFonts w:eastAsia="MS Mincho" w:cstheme="minorHAnsi"/>
              </w:rPr>
            </w:pPr>
            <w:r>
              <w:rPr>
                <w:rFonts w:eastAsia="MS Mincho" w:cstheme="minorHAnsi"/>
              </w:rPr>
              <w:t>N=</w:t>
            </w:r>
            <w:r w:rsidR="00315B6D" w:rsidRPr="00315B6D">
              <w:rPr>
                <w:rFonts w:eastAsia="MS Mincho" w:cstheme="minorHAnsi"/>
              </w:rPr>
              <w:t>1686</w:t>
            </w:r>
          </w:p>
        </w:tc>
        <w:tc>
          <w:tcPr>
            <w:tcW w:w="1045" w:type="pct"/>
          </w:tcPr>
          <w:p w14:paraId="20687A13" w14:textId="502D6644" w:rsidR="00315B6D" w:rsidRPr="00315B6D" w:rsidRDefault="00315B6D" w:rsidP="00A71365">
            <w:pPr>
              <w:pStyle w:val="Tablewriting"/>
              <w:rPr>
                <w:rFonts w:eastAsia="MS Mincho" w:cstheme="minorHAnsi"/>
              </w:rPr>
            </w:pPr>
            <w:r>
              <w:rPr>
                <w:rFonts w:eastAsia="MS Mincho" w:cstheme="minorHAnsi"/>
              </w:rPr>
              <w:t>S</w:t>
            </w:r>
            <w:r w:rsidRPr="00315B6D">
              <w:rPr>
                <w:rFonts w:eastAsia="MS Mincho" w:cstheme="minorHAnsi"/>
              </w:rPr>
              <w:t xml:space="preserve">mokers (&gt; 15 </w:t>
            </w:r>
            <w:r>
              <w:rPr>
                <w:rFonts w:eastAsia="MS Mincho" w:cstheme="minorHAnsi"/>
              </w:rPr>
              <w:t>CPD</w:t>
            </w:r>
            <w:r w:rsidRPr="00315B6D">
              <w:rPr>
                <w:rFonts w:eastAsia="MS Mincho" w:cstheme="minorHAnsi"/>
              </w:rPr>
              <w:t>), not</w:t>
            </w:r>
            <w:r>
              <w:rPr>
                <w:rFonts w:eastAsia="MS Mincho" w:cstheme="minorHAnsi"/>
              </w:rPr>
              <w:t xml:space="preserve"> </w:t>
            </w:r>
            <w:r w:rsidRPr="00315B6D">
              <w:rPr>
                <w:rFonts w:eastAsia="MS Mincho" w:cstheme="minorHAnsi"/>
              </w:rPr>
              <w:t>necessarily motivated to quit.</w:t>
            </w:r>
          </w:p>
          <w:p w14:paraId="6FF6E5D2" w14:textId="27B6BB5B" w:rsidR="00C3700A" w:rsidRPr="00017AE6" w:rsidRDefault="00315B6D" w:rsidP="00A71365">
            <w:pPr>
              <w:pStyle w:val="Tablewriting"/>
              <w:rPr>
                <w:rFonts w:eastAsia="MS Mincho" w:cstheme="minorHAnsi"/>
              </w:rPr>
            </w:pPr>
            <w:r w:rsidRPr="00315B6D">
              <w:rPr>
                <w:rFonts w:eastAsia="MS Mincho" w:cstheme="minorHAnsi"/>
              </w:rPr>
              <w:t xml:space="preserve">55% female, average age 43, average </w:t>
            </w:r>
            <w:r>
              <w:rPr>
                <w:rFonts w:eastAsia="MS Mincho" w:cstheme="minorHAnsi"/>
              </w:rPr>
              <w:t>CPD</w:t>
            </w:r>
            <w:r w:rsidRPr="00315B6D">
              <w:rPr>
                <w:rFonts w:eastAsia="MS Mincho" w:cstheme="minorHAnsi"/>
              </w:rPr>
              <w:t xml:space="preserve"> 24</w:t>
            </w:r>
            <w:r>
              <w:rPr>
                <w:rFonts w:eastAsia="MS Mincho" w:cstheme="minorHAnsi"/>
              </w:rPr>
              <w:t>.</w:t>
            </w:r>
          </w:p>
        </w:tc>
        <w:tc>
          <w:tcPr>
            <w:tcW w:w="1055" w:type="pct"/>
          </w:tcPr>
          <w:p w14:paraId="72BAF8CE" w14:textId="77777777" w:rsidR="00315B6D" w:rsidRDefault="00315B6D" w:rsidP="00C324F3">
            <w:pPr>
              <w:pStyle w:val="Tablewriting"/>
              <w:numPr>
                <w:ilvl w:val="0"/>
                <w:numId w:val="104"/>
              </w:numPr>
              <w:rPr>
                <w:rFonts w:eastAsia="MS Mincho" w:cstheme="minorHAnsi"/>
              </w:rPr>
            </w:pPr>
            <w:r w:rsidRPr="00315B6D">
              <w:rPr>
                <w:rFonts w:eastAsia="MS Mincho" w:cstheme="minorHAnsi"/>
              </w:rPr>
              <w:t>Nicotine patch (21 mg/24 h, 12 weeks incl tapering)</w:t>
            </w:r>
            <w:r>
              <w:rPr>
                <w:rFonts w:eastAsia="MS Mincho" w:cstheme="minorHAnsi"/>
              </w:rPr>
              <w:t>.</w:t>
            </w:r>
          </w:p>
          <w:p w14:paraId="6211FB78" w14:textId="12A9545B" w:rsidR="00315B6D" w:rsidRPr="00315B6D" w:rsidRDefault="00315B6D" w:rsidP="00C324F3">
            <w:pPr>
              <w:pStyle w:val="Tablewriting"/>
              <w:numPr>
                <w:ilvl w:val="0"/>
                <w:numId w:val="104"/>
              </w:numPr>
              <w:rPr>
                <w:rFonts w:eastAsia="MS Mincho" w:cstheme="minorHAnsi"/>
              </w:rPr>
            </w:pPr>
            <w:r w:rsidRPr="00315B6D">
              <w:rPr>
                <w:rFonts w:eastAsia="MS Mincho" w:cstheme="minorHAnsi"/>
              </w:rPr>
              <w:t>Placebo patch</w:t>
            </w:r>
            <w:r>
              <w:rPr>
                <w:rFonts w:eastAsia="MS Mincho" w:cstheme="minorHAnsi"/>
              </w:rPr>
              <w:t>.</w:t>
            </w:r>
          </w:p>
          <w:p w14:paraId="1F3A17A2" w14:textId="77777777" w:rsidR="00315B6D" w:rsidRDefault="00315B6D" w:rsidP="00A71365">
            <w:pPr>
              <w:pStyle w:val="Tablewriting"/>
              <w:rPr>
                <w:rFonts w:eastAsia="MS Mincho" w:cstheme="minorHAnsi"/>
              </w:rPr>
            </w:pPr>
          </w:p>
          <w:p w14:paraId="6DDBA9A4" w14:textId="0515EADF" w:rsidR="00C3700A" w:rsidRPr="00017AE6" w:rsidRDefault="00315B6D" w:rsidP="00A71365">
            <w:pPr>
              <w:pStyle w:val="Tablewriting"/>
              <w:rPr>
                <w:rFonts w:eastAsia="MS Mincho" w:cstheme="minorHAnsi"/>
              </w:rPr>
            </w:pPr>
            <w:r w:rsidRPr="00315B6D">
              <w:rPr>
                <w:rFonts w:eastAsia="MS Mincho" w:cstheme="minorHAnsi"/>
              </w:rPr>
              <w:lastRenderedPageBreak/>
              <w:t>Level of support: high (brief advice from nurse at 4 study visits)</w:t>
            </w:r>
            <w:r>
              <w:rPr>
                <w:rFonts w:eastAsia="MS Mincho" w:cstheme="minorHAnsi"/>
              </w:rPr>
              <w:t>.</w:t>
            </w:r>
          </w:p>
        </w:tc>
        <w:tc>
          <w:tcPr>
            <w:tcW w:w="958" w:type="pct"/>
          </w:tcPr>
          <w:p w14:paraId="5C636B6F" w14:textId="22CFB75E" w:rsidR="00315B6D" w:rsidRPr="00315B6D" w:rsidRDefault="001173B2" w:rsidP="00A71365">
            <w:pPr>
              <w:pStyle w:val="Tablewriting"/>
              <w:rPr>
                <w:rFonts w:eastAsia="MS Mincho" w:cstheme="minorHAnsi"/>
              </w:rPr>
            </w:pPr>
            <w:r w:rsidRPr="009B13E2">
              <w:rPr>
                <w:rFonts w:eastAsia="MS Mincho" w:cstheme="minorHAnsi"/>
                <w:u w:val="single"/>
              </w:rPr>
              <w:lastRenderedPageBreak/>
              <w:t>Efficacy:</w:t>
            </w:r>
            <w:r w:rsidR="00315B6D">
              <w:rPr>
                <w:rFonts w:eastAsia="MS Mincho" w:cstheme="minorHAnsi"/>
                <w:u w:val="single"/>
              </w:rPr>
              <w:t xml:space="preserve"> </w:t>
            </w:r>
            <w:r w:rsidR="00315B6D" w:rsidRPr="00315B6D">
              <w:rPr>
                <w:rFonts w:eastAsia="MS Mincho" w:cstheme="minorHAnsi"/>
              </w:rPr>
              <w:t>Sustained abstinence at 12 months (from week 1)</w:t>
            </w:r>
            <w:r w:rsidR="00315B6D">
              <w:rPr>
                <w:rFonts w:eastAsia="MS Mincho" w:cstheme="minorHAnsi"/>
              </w:rPr>
              <w:t>.</w:t>
            </w:r>
          </w:p>
          <w:p w14:paraId="29FDD0B9" w14:textId="77777777" w:rsidR="00315B6D" w:rsidRDefault="00315B6D" w:rsidP="00A71365">
            <w:pPr>
              <w:pStyle w:val="Tablewriting"/>
              <w:rPr>
                <w:rFonts w:eastAsia="MS Mincho" w:cstheme="minorHAnsi"/>
              </w:rPr>
            </w:pPr>
          </w:p>
          <w:p w14:paraId="5757961A" w14:textId="15BA5FE7" w:rsidR="001173B2" w:rsidRPr="00315B6D" w:rsidRDefault="00315B6D" w:rsidP="00A71365">
            <w:pPr>
              <w:pStyle w:val="Tablewriting"/>
              <w:rPr>
                <w:rFonts w:eastAsia="MS Mincho" w:cstheme="minorHAnsi"/>
              </w:rPr>
            </w:pPr>
            <w:r w:rsidRPr="00315B6D">
              <w:rPr>
                <w:rFonts w:eastAsia="MS Mincho" w:cstheme="minorHAnsi"/>
              </w:rPr>
              <w:lastRenderedPageBreak/>
              <w:t>Validation: Salivary cotinine or CO</w:t>
            </w:r>
          </w:p>
          <w:p w14:paraId="5626545C" w14:textId="77777777" w:rsidR="001173B2" w:rsidRDefault="001173B2" w:rsidP="00A71365">
            <w:pPr>
              <w:pStyle w:val="Tablewriting"/>
              <w:rPr>
                <w:rFonts w:eastAsia="MS Mincho" w:cstheme="minorHAnsi"/>
              </w:rPr>
            </w:pPr>
          </w:p>
          <w:p w14:paraId="1F07D844" w14:textId="69BF8CA7" w:rsidR="00C3700A"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9042AA" w:rsidRPr="00017AE6" w14:paraId="0CAA454F" w14:textId="77777777" w:rsidTr="005821B1">
        <w:trPr>
          <w:trHeight w:val="99"/>
        </w:trPr>
        <w:tc>
          <w:tcPr>
            <w:tcW w:w="1003" w:type="pct"/>
          </w:tcPr>
          <w:p w14:paraId="46C89722" w14:textId="18956FBC" w:rsidR="009042AA" w:rsidRPr="00FD17DC" w:rsidRDefault="00375881" w:rsidP="00A71365">
            <w:pPr>
              <w:pStyle w:val="Tablewriting"/>
              <w:rPr>
                <w:rFonts w:eastAsia="MS Mincho"/>
              </w:rPr>
            </w:pPr>
            <w:r w:rsidRPr="00FD17DC">
              <w:rPr>
                <w:rFonts w:eastAsia="MS Mincho"/>
              </w:rPr>
              <w:lastRenderedPageBreak/>
              <w:t xml:space="preserve">Jorenby </w:t>
            </w:r>
            <w:r w:rsidR="00902014">
              <w:rPr>
                <w:rFonts w:eastAsia="MS Mincho"/>
              </w:rPr>
              <w:t>(</w:t>
            </w:r>
            <w:r w:rsidRPr="00FD17DC">
              <w:rPr>
                <w:rFonts w:eastAsia="MS Mincho"/>
              </w:rPr>
              <w:t>1999</w:t>
            </w:r>
            <w:r w:rsidR="00902014">
              <w:rPr>
                <w:rFonts w:eastAsia="MS Mincho"/>
              </w:rPr>
              <w:t>)</w:t>
            </w:r>
          </w:p>
        </w:tc>
        <w:tc>
          <w:tcPr>
            <w:tcW w:w="235" w:type="pct"/>
          </w:tcPr>
          <w:p w14:paraId="185AD2BD" w14:textId="58975D51"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6F5358E6" w14:textId="5D153778" w:rsidR="009042AA" w:rsidRPr="00017AE6" w:rsidRDefault="00B25B5B" w:rsidP="00A71365">
            <w:pPr>
              <w:pStyle w:val="Tablewriting"/>
              <w:rPr>
                <w:rFonts w:eastAsia="MS Mincho" w:cstheme="minorHAnsi"/>
              </w:rPr>
            </w:pPr>
            <w:r>
              <w:rPr>
                <w:rFonts w:eastAsia="MS Mincho" w:cstheme="minorHAnsi"/>
              </w:rPr>
              <w:t>USA</w:t>
            </w:r>
          </w:p>
        </w:tc>
        <w:tc>
          <w:tcPr>
            <w:tcW w:w="289" w:type="pct"/>
          </w:tcPr>
          <w:p w14:paraId="6B867141" w14:textId="71AEC7E7" w:rsidR="009042AA" w:rsidRPr="00017AE6" w:rsidRDefault="001173B2" w:rsidP="00A71365">
            <w:pPr>
              <w:pStyle w:val="Tablewriting"/>
              <w:rPr>
                <w:rFonts w:eastAsia="MS Mincho" w:cstheme="minorHAnsi"/>
              </w:rPr>
            </w:pPr>
            <w:r>
              <w:rPr>
                <w:rFonts w:eastAsia="MS Mincho" w:cstheme="minorHAnsi"/>
              </w:rPr>
              <w:t>N=</w:t>
            </w:r>
            <w:r w:rsidR="00B25B5B">
              <w:rPr>
                <w:rFonts w:eastAsia="MS Mincho" w:cstheme="minorHAnsi"/>
              </w:rPr>
              <w:t>893</w:t>
            </w:r>
          </w:p>
        </w:tc>
        <w:tc>
          <w:tcPr>
            <w:tcW w:w="1045" w:type="pct"/>
          </w:tcPr>
          <w:p w14:paraId="191D147B" w14:textId="3773D3A9" w:rsidR="00A742C5" w:rsidRPr="00A742C5" w:rsidRDefault="00B25B5B" w:rsidP="00A71365">
            <w:pPr>
              <w:pStyle w:val="Tablewriting"/>
              <w:rPr>
                <w:rFonts w:eastAsia="MS Mincho" w:cstheme="minorHAnsi"/>
              </w:rPr>
            </w:pPr>
            <w:r>
              <w:rPr>
                <w:rFonts w:eastAsia="MS Mincho" w:cstheme="minorHAnsi"/>
              </w:rPr>
              <w:t>S</w:t>
            </w:r>
            <w:r w:rsidR="00A742C5" w:rsidRPr="00A742C5">
              <w:rPr>
                <w:rFonts w:eastAsia="MS Mincho" w:cstheme="minorHAnsi"/>
              </w:rPr>
              <w:t xml:space="preserve">mokers, motivated to quit, (&gt; 15 </w:t>
            </w:r>
            <w:r w:rsidR="00A742C5">
              <w:rPr>
                <w:rFonts w:eastAsia="MS Mincho" w:cstheme="minorHAnsi"/>
              </w:rPr>
              <w:t>CPD</w:t>
            </w:r>
            <w:r w:rsidR="00A742C5" w:rsidRPr="00A742C5">
              <w:rPr>
                <w:rFonts w:eastAsia="MS Mincho" w:cstheme="minorHAnsi"/>
              </w:rPr>
              <w:t>)</w:t>
            </w:r>
            <w:r w:rsidR="00A742C5">
              <w:rPr>
                <w:rFonts w:eastAsia="MS Mincho" w:cstheme="minorHAnsi"/>
              </w:rPr>
              <w:t>.</w:t>
            </w:r>
          </w:p>
          <w:p w14:paraId="1FB3B4A4" w14:textId="6A9D9ACD" w:rsidR="009042AA" w:rsidRPr="00017AE6" w:rsidRDefault="00A742C5" w:rsidP="00A71365">
            <w:pPr>
              <w:pStyle w:val="Tablewriting"/>
              <w:rPr>
                <w:rFonts w:eastAsia="MS Mincho" w:cstheme="minorHAnsi"/>
              </w:rPr>
            </w:pPr>
            <w:r w:rsidRPr="00A742C5">
              <w:rPr>
                <w:rFonts w:eastAsia="MS Mincho" w:cstheme="minorHAnsi"/>
              </w:rPr>
              <w:t xml:space="preserve">52% female, average age 42 to 44, average </w:t>
            </w:r>
            <w:r>
              <w:rPr>
                <w:rFonts w:eastAsia="MS Mincho" w:cstheme="minorHAnsi"/>
              </w:rPr>
              <w:t>CPD</w:t>
            </w:r>
            <w:r w:rsidRPr="00A742C5">
              <w:rPr>
                <w:rFonts w:eastAsia="MS Mincho" w:cstheme="minorHAnsi"/>
              </w:rPr>
              <w:t xml:space="preserve"> 25 to 28</w:t>
            </w:r>
            <w:r>
              <w:rPr>
                <w:rFonts w:eastAsia="MS Mincho" w:cstheme="minorHAnsi"/>
              </w:rPr>
              <w:t>.</w:t>
            </w:r>
          </w:p>
        </w:tc>
        <w:tc>
          <w:tcPr>
            <w:tcW w:w="1055" w:type="pct"/>
          </w:tcPr>
          <w:p w14:paraId="7BB838B5" w14:textId="77777777" w:rsidR="00A742C5" w:rsidRDefault="00A742C5" w:rsidP="00C324F3">
            <w:pPr>
              <w:pStyle w:val="ListParagraph"/>
              <w:numPr>
                <w:ilvl w:val="0"/>
                <w:numId w:val="105"/>
              </w:numPr>
              <w:rPr>
                <w:rFonts w:eastAsia="MS Mincho"/>
                <w:lang w:eastAsia="en-US"/>
              </w:rPr>
            </w:pPr>
            <w:r w:rsidRPr="00A742C5">
              <w:rPr>
                <w:rFonts w:eastAsia="MS Mincho"/>
                <w:lang w:eastAsia="en-US"/>
              </w:rPr>
              <w:t>Nicotine patch (21 mg/24 h for 6 weeks, tapered for 2 weeks) and sustained release</w:t>
            </w:r>
            <w:r>
              <w:rPr>
                <w:rFonts w:eastAsia="MS Mincho"/>
                <w:lang w:eastAsia="en-US"/>
              </w:rPr>
              <w:t xml:space="preserve"> </w:t>
            </w:r>
            <w:r w:rsidRPr="00A742C5">
              <w:rPr>
                <w:rFonts w:eastAsia="MS Mincho"/>
                <w:lang w:eastAsia="en-US"/>
              </w:rPr>
              <w:t>bupropion 300</w:t>
            </w:r>
            <w:r>
              <w:rPr>
                <w:rFonts w:eastAsia="MS Mincho"/>
                <w:lang w:eastAsia="en-US"/>
              </w:rPr>
              <w:t xml:space="preserve"> </w:t>
            </w:r>
            <w:r w:rsidRPr="00A742C5">
              <w:rPr>
                <w:rFonts w:eastAsia="MS Mincho"/>
                <w:lang w:eastAsia="en-US"/>
              </w:rPr>
              <w:t>mg for 9 weeks from 1 week before quit day</w:t>
            </w:r>
            <w:r>
              <w:rPr>
                <w:rFonts w:eastAsia="MS Mincho"/>
                <w:lang w:eastAsia="en-US"/>
              </w:rPr>
              <w:t>.</w:t>
            </w:r>
          </w:p>
          <w:p w14:paraId="5FAA8B44" w14:textId="77777777" w:rsidR="00A742C5" w:rsidRPr="008126A5" w:rsidRDefault="00A742C5" w:rsidP="00C324F3">
            <w:pPr>
              <w:pStyle w:val="ListParagraph"/>
              <w:numPr>
                <w:ilvl w:val="0"/>
                <w:numId w:val="105"/>
              </w:numPr>
              <w:rPr>
                <w:rFonts w:eastAsia="MS Mincho" w:cstheme="minorHAnsi"/>
              </w:rPr>
            </w:pPr>
            <w:r w:rsidRPr="00A742C5">
              <w:rPr>
                <w:rFonts w:eastAsia="MS Mincho"/>
                <w:lang w:eastAsia="en-US"/>
              </w:rPr>
              <w:t>Bupropion 300 mg and placebo patch</w:t>
            </w:r>
            <w:r>
              <w:rPr>
                <w:rFonts w:eastAsia="MS Mincho"/>
                <w:lang w:eastAsia="en-US"/>
              </w:rPr>
              <w:t>.</w:t>
            </w:r>
          </w:p>
          <w:p w14:paraId="0F441B44" w14:textId="1BB70A28" w:rsidR="008126A5" w:rsidRPr="008126A5" w:rsidRDefault="008126A5" w:rsidP="00C324F3">
            <w:pPr>
              <w:pStyle w:val="ListParagraph"/>
              <w:numPr>
                <w:ilvl w:val="0"/>
                <w:numId w:val="105"/>
              </w:numPr>
              <w:rPr>
                <w:rFonts w:eastAsia="MS Mincho" w:cstheme="minorHAnsi"/>
              </w:rPr>
            </w:pPr>
            <w:r w:rsidRPr="008126A5">
              <w:rPr>
                <w:rFonts w:eastAsia="MS Mincho" w:cstheme="minorHAnsi"/>
              </w:rPr>
              <w:t>Nicotine patch and placebo tablets</w:t>
            </w:r>
          </w:p>
          <w:p w14:paraId="42D6C5FC" w14:textId="15C7E2BF" w:rsidR="008126A5" w:rsidRPr="008126A5" w:rsidRDefault="008126A5" w:rsidP="00C324F3">
            <w:pPr>
              <w:pStyle w:val="ListParagraph"/>
              <w:numPr>
                <w:ilvl w:val="0"/>
                <w:numId w:val="105"/>
              </w:numPr>
              <w:rPr>
                <w:rFonts w:eastAsia="MS Mincho" w:cstheme="minorHAnsi"/>
              </w:rPr>
            </w:pPr>
            <w:r w:rsidRPr="008126A5">
              <w:rPr>
                <w:rFonts w:eastAsia="MS Mincho" w:cstheme="minorHAnsi"/>
              </w:rPr>
              <w:t>Placebo patch and placebo tablets</w:t>
            </w:r>
          </w:p>
          <w:p w14:paraId="2141D244" w14:textId="77777777" w:rsidR="008126A5" w:rsidRDefault="008126A5" w:rsidP="00A71365">
            <w:pPr>
              <w:rPr>
                <w:rFonts w:eastAsia="MS Mincho" w:cstheme="minorHAnsi"/>
              </w:rPr>
            </w:pPr>
          </w:p>
          <w:p w14:paraId="4C25ABF4" w14:textId="049F470E" w:rsidR="009042AA" w:rsidRPr="00017AE6" w:rsidRDefault="008126A5" w:rsidP="00A71365">
            <w:pPr>
              <w:rPr>
                <w:rFonts w:eastAsia="MS Mincho" w:cstheme="minorHAnsi"/>
              </w:rPr>
            </w:pPr>
            <w:r w:rsidRPr="008126A5">
              <w:rPr>
                <w:rFonts w:eastAsia="MS Mincho" w:cstheme="minorHAnsi"/>
              </w:rPr>
              <w:t>Level of support: high, &lt; 15 min individual counselling session at each weekly assessment. 1 phone call</w:t>
            </w:r>
            <w:r>
              <w:rPr>
                <w:rFonts w:eastAsia="MS Mincho" w:cstheme="minorHAnsi"/>
              </w:rPr>
              <w:t xml:space="preserve"> </w:t>
            </w:r>
            <w:r w:rsidRPr="008126A5">
              <w:rPr>
                <w:rFonts w:eastAsia="MS Mincho" w:cstheme="minorHAnsi"/>
              </w:rPr>
              <w:t>3 days after quit day</w:t>
            </w:r>
            <w:r>
              <w:rPr>
                <w:rFonts w:eastAsia="MS Mincho" w:cstheme="minorHAnsi"/>
              </w:rPr>
              <w:t>.</w:t>
            </w:r>
          </w:p>
        </w:tc>
        <w:tc>
          <w:tcPr>
            <w:tcW w:w="958" w:type="pct"/>
          </w:tcPr>
          <w:p w14:paraId="0328944A" w14:textId="60C95E83" w:rsidR="008126A5" w:rsidRPr="008126A5" w:rsidRDefault="001173B2" w:rsidP="00A71365">
            <w:pPr>
              <w:pStyle w:val="Tablewriting"/>
              <w:rPr>
                <w:rFonts w:eastAsia="MS Mincho" w:cstheme="minorHAnsi"/>
                <w:u w:val="single"/>
              </w:rPr>
            </w:pPr>
            <w:r w:rsidRPr="009B13E2">
              <w:rPr>
                <w:rFonts w:eastAsia="MS Mincho" w:cstheme="minorHAnsi"/>
                <w:u w:val="single"/>
              </w:rPr>
              <w:t>Efficacy:</w:t>
            </w:r>
            <w:r w:rsidR="008126A5">
              <w:rPr>
                <w:rFonts w:eastAsia="MS Mincho" w:cstheme="minorHAnsi"/>
                <w:u w:val="single"/>
              </w:rPr>
              <w:t xml:space="preserve"> </w:t>
            </w:r>
            <w:r w:rsidR="008126A5" w:rsidRPr="008126A5">
              <w:rPr>
                <w:rFonts w:eastAsia="MS Mincho" w:cstheme="minorHAnsi"/>
              </w:rPr>
              <w:t>Abstinence at 12 months (primary outcome for study was PP abstinence; this analysis uses continuous</w:t>
            </w:r>
          </w:p>
          <w:p w14:paraId="46CD9BD8" w14:textId="283BB450" w:rsidR="008126A5" w:rsidRDefault="008126A5" w:rsidP="00A71365">
            <w:pPr>
              <w:pStyle w:val="Tablewriting"/>
              <w:rPr>
                <w:rFonts w:eastAsia="MS Mincho" w:cstheme="minorHAnsi"/>
              </w:rPr>
            </w:pPr>
            <w:r w:rsidRPr="008126A5">
              <w:rPr>
                <w:rFonts w:eastAsia="MS Mincho" w:cstheme="minorHAnsi"/>
              </w:rPr>
              <w:t>abstinence since quit day)</w:t>
            </w:r>
            <w:r>
              <w:rPr>
                <w:rFonts w:eastAsia="MS Mincho" w:cstheme="minorHAnsi"/>
              </w:rPr>
              <w:t>.</w:t>
            </w:r>
          </w:p>
          <w:p w14:paraId="1736BEB1" w14:textId="77777777" w:rsidR="008126A5" w:rsidRPr="008126A5" w:rsidRDefault="008126A5" w:rsidP="00A71365">
            <w:pPr>
              <w:pStyle w:val="Tablewriting"/>
              <w:rPr>
                <w:rFonts w:eastAsia="MS Mincho" w:cstheme="minorHAnsi"/>
              </w:rPr>
            </w:pPr>
          </w:p>
          <w:p w14:paraId="5377FEA8" w14:textId="2A3E45D9" w:rsidR="008126A5" w:rsidRPr="008126A5" w:rsidRDefault="008126A5" w:rsidP="00A71365">
            <w:pPr>
              <w:pStyle w:val="Tablewriting"/>
              <w:rPr>
                <w:rFonts w:eastAsia="MS Mincho" w:cstheme="minorHAnsi"/>
              </w:rPr>
            </w:pPr>
            <w:r w:rsidRPr="008126A5">
              <w:rPr>
                <w:rFonts w:eastAsia="MS Mincho" w:cstheme="minorHAnsi"/>
              </w:rPr>
              <w:t>Validation: Expired CO &lt; 10 ppm at each clinic visit</w:t>
            </w:r>
            <w:r>
              <w:rPr>
                <w:rFonts w:eastAsia="MS Mincho" w:cstheme="minorHAnsi"/>
              </w:rPr>
              <w:t>.</w:t>
            </w:r>
          </w:p>
          <w:p w14:paraId="7757D3F1" w14:textId="77777777" w:rsidR="001173B2" w:rsidRDefault="001173B2" w:rsidP="00A71365">
            <w:pPr>
              <w:pStyle w:val="Tablewriting"/>
              <w:rPr>
                <w:rFonts w:eastAsia="MS Mincho" w:cstheme="minorHAnsi"/>
              </w:rPr>
            </w:pPr>
          </w:p>
          <w:p w14:paraId="5C428834" w14:textId="1B71836F"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Pr>
                <w:rFonts w:eastAsia="MS Mincho" w:cstheme="minorHAnsi"/>
                <w:u w:val="single"/>
              </w:rPr>
              <w:t xml:space="preserve"> </w:t>
            </w:r>
            <w:r w:rsidR="001665F6" w:rsidRPr="002A43AE">
              <w:rPr>
                <w:rFonts w:eastAsia="MS Mincho" w:cstheme="minorHAnsi"/>
              </w:rPr>
              <w:t>NR</w:t>
            </w:r>
          </w:p>
        </w:tc>
      </w:tr>
      <w:tr w:rsidR="009042AA" w:rsidRPr="00017AE6" w14:paraId="7950326C" w14:textId="77777777" w:rsidTr="005821B1">
        <w:trPr>
          <w:trHeight w:val="99"/>
        </w:trPr>
        <w:tc>
          <w:tcPr>
            <w:tcW w:w="1003" w:type="pct"/>
          </w:tcPr>
          <w:p w14:paraId="7B31AF8D" w14:textId="7D13D433" w:rsidR="009042AA" w:rsidRPr="00FD17DC" w:rsidRDefault="00312FC3" w:rsidP="00A71365">
            <w:pPr>
              <w:pStyle w:val="Tablewriting"/>
              <w:rPr>
                <w:rFonts w:eastAsia="MS Mincho"/>
              </w:rPr>
            </w:pPr>
            <w:r w:rsidRPr="00FD17DC">
              <w:rPr>
                <w:rFonts w:eastAsia="MS Mincho"/>
              </w:rPr>
              <w:t xml:space="preserve">Joseph </w:t>
            </w:r>
            <w:r w:rsidR="00902014">
              <w:rPr>
                <w:rFonts w:eastAsia="MS Mincho"/>
              </w:rPr>
              <w:t>(</w:t>
            </w:r>
            <w:r w:rsidRPr="00FD17DC">
              <w:rPr>
                <w:rFonts w:eastAsia="MS Mincho"/>
              </w:rPr>
              <w:t>1996</w:t>
            </w:r>
            <w:r w:rsidR="00902014">
              <w:rPr>
                <w:rFonts w:eastAsia="MS Mincho"/>
              </w:rPr>
              <w:t>)</w:t>
            </w:r>
          </w:p>
        </w:tc>
        <w:tc>
          <w:tcPr>
            <w:tcW w:w="235" w:type="pct"/>
          </w:tcPr>
          <w:p w14:paraId="3C28BBD8" w14:textId="41E3D0A4"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1BB1E9F" w14:textId="71BC42D1" w:rsidR="009042AA" w:rsidRPr="00017AE6" w:rsidRDefault="00F62965" w:rsidP="00A71365">
            <w:pPr>
              <w:pStyle w:val="Tablewriting"/>
              <w:rPr>
                <w:rFonts w:eastAsia="MS Mincho" w:cstheme="minorHAnsi"/>
              </w:rPr>
            </w:pPr>
            <w:r>
              <w:rPr>
                <w:rFonts w:eastAsia="MS Mincho" w:cstheme="minorHAnsi"/>
              </w:rPr>
              <w:t>USA</w:t>
            </w:r>
          </w:p>
        </w:tc>
        <w:tc>
          <w:tcPr>
            <w:tcW w:w="289" w:type="pct"/>
          </w:tcPr>
          <w:p w14:paraId="02926260" w14:textId="75483202" w:rsidR="009042AA" w:rsidRPr="00017AE6" w:rsidRDefault="001173B2" w:rsidP="00A71365">
            <w:pPr>
              <w:pStyle w:val="Tablewriting"/>
              <w:rPr>
                <w:rFonts w:eastAsia="MS Mincho" w:cstheme="minorHAnsi"/>
              </w:rPr>
            </w:pPr>
            <w:r>
              <w:rPr>
                <w:rFonts w:eastAsia="MS Mincho" w:cstheme="minorHAnsi"/>
              </w:rPr>
              <w:t>N=</w:t>
            </w:r>
            <w:r w:rsidR="00F62965">
              <w:rPr>
                <w:rFonts w:eastAsia="MS Mincho" w:cstheme="minorHAnsi"/>
              </w:rPr>
              <w:t>584</w:t>
            </w:r>
          </w:p>
        </w:tc>
        <w:tc>
          <w:tcPr>
            <w:tcW w:w="1045" w:type="pct"/>
          </w:tcPr>
          <w:p w14:paraId="11CFDA01" w14:textId="77777777" w:rsidR="00F62965" w:rsidRDefault="00F62965" w:rsidP="00A71365">
            <w:pPr>
              <w:pStyle w:val="Tablewriting"/>
              <w:rPr>
                <w:rFonts w:eastAsia="MS Mincho" w:cstheme="minorHAnsi"/>
              </w:rPr>
            </w:pPr>
            <w:r>
              <w:rPr>
                <w:rFonts w:eastAsia="MS Mincho" w:cstheme="minorHAnsi"/>
              </w:rPr>
              <w:t>S</w:t>
            </w:r>
            <w:r w:rsidRPr="00F62965">
              <w:rPr>
                <w:rFonts w:eastAsia="MS Mincho" w:cstheme="minorHAnsi"/>
              </w:rPr>
              <w:t xml:space="preserve">mokers (&gt; 15 </w:t>
            </w:r>
            <w:r>
              <w:rPr>
                <w:rFonts w:eastAsia="MS Mincho" w:cstheme="minorHAnsi"/>
              </w:rPr>
              <w:t>CPD</w:t>
            </w:r>
            <w:r w:rsidRPr="00F62965">
              <w:rPr>
                <w:rFonts w:eastAsia="MS Mincho" w:cstheme="minorHAnsi"/>
              </w:rPr>
              <w:t xml:space="preserve">) with a history of cardiac disease. </w:t>
            </w:r>
          </w:p>
          <w:p w14:paraId="44D4C196" w14:textId="1FB1FC21" w:rsidR="009042AA" w:rsidRPr="00017AE6" w:rsidRDefault="00F62965" w:rsidP="00A71365">
            <w:pPr>
              <w:pStyle w:val="Tablewriting"/>
              <w:rPr>
                <w:rFonts w:eastAsia="MS Mincho" w:cstheme="minorHAnsi"/>
              </w:rPr>
            </w:pPr>
            <w:r w:rsidRPr="00F62965">
              <w:rPr>
                <w:rFonts w:eastAsia="MS Mincho" w:cstheme="minorHAnsi"/>
              </w:rPr>
              <w:t>Patients with cardiac events within the last 2</w:t>
            </w:r>
            <w:r>
              <w:rPr>
                <w:rFonts w:eastAsia="MS Mincho" w:cstheme="minorHAnsi"/>
              </w:rPr>
              <w:t xml:space="preserve"> </w:t>
            </w:r>
            <w:r w:rsidRPr="00F62965">
              <w:rPr>
                <w:rFonts w:eastAsia="MS Mincho" w:cstheme="minorHAnsi"/>
              </w:rPr>
              <w:t>weeks were excluded</w:t>
            </w:r>
            <w:r>
              <w:rPr>
                <w:rFonts w:eastAsia="MS Mincho" w:cstheme="minorHAnsi"/>
              </w:rPr>
              <w:t>.</w:t>
            </w:r>
          </w:p>
        </w:tc>
        <w:tc>
          <w:tcPr>
            <w:tcW w:w="1055" w:type="pct"/>
          </w:tcPr>
          <w:p w14:paraId="6B1367D1" w14:textId="77777777" w:rsidR="007053B9" w:rsidRDefault="00F62965" w:rsidP="00C324F3">
            <w:pPr>
              <w:pStyle w:val="Tablewriting"/>
              <w:numPr>
                <w:ilvl w:val="0"/>
                <w:numId w:val="106"/>
              </w:numPr>
              <w:rPr>
                <w:rFonts w:eastAsia="MS Mincho" w:cstheme="minorHAnsi"/>
              </w:rPr>
            </w:pPr>
            <w:r w:rsidRPr="00F62965">
              <w:rPr>
                <w:rFonts w:eastAsia="MS Mincho" w:cstheme="minorHAnsi"/>
              </w:rPr>
              <w:t>Nicotine patch, (21 mg/24 h for 6 weeks, 14 mg for 2 weeks, 7 mg for 2 weeks)</w:t>
            </w:r>
            <w:r w:rsidR="007053B9">
              <w:rPr>
                <w:rFonts w:eastAsia="MS Mincho" w:cstheme="minorHAnsi"/>
              </w:rPr>
              <w:t>.</w:t>
            </w:r>
          </w:p>
          <w:p w14:paraId="1E1A31D6" w14:textId="69A14650" w:rsidR="00F62965" w:rsidRPr="00F62965" w:rsidRDefault="00F62965" w:rsidP="00C324F3">
            <w:pPr>
              <w:pStyle w:val="Tablewriting"/>
              <w:numPr>
                <w:ilvl w:val="0"/>
                <w:numId w:val="106"/>
              </w:numPr>
              <w:rPr>
                <w:rFonts w:eastAsia="MS Mincho" w:cstheme="minorHAnsi"/>
              </w:rPr>
            </w:pPr>
            <w:r w:rsidRPr="00F62965">
              <w:rPr>
                <w:rFonts w:eastAsia="MS Mincho" w:cstheme="minorHAnsi"/>
              </w:rPr>
              <w:t>Placebo patch</w:t>
            </w:r>
          </w:p>
          <w:p w14:paraId="4959F24B" w14:textId="77777777" w:rsidR="007053B9" w:rsidRDefault="007053B9" w:rsidP="00A71365">
            <w:pPr>
              <w:pStyle w:val="Tablewriting"/>
              <w:rPr>
                <w:rFonts w:eastAsia="MS Mincho" w:cstheme="minorHAnsi"/>
              </w:rPr>
            </w:pPr>
          </w:p>
          <w:p w14:paraId="3113779F" w14:textId="1AB10A9B" w:rsidR="009042AA" w:rsidRPr="00017AE6" w:rsidRDefault="00F62965" w:rsidP="00A71365">
            <w:pPr>
              <w:pStyle w:val="Tablewriting"/>
              <w:rPr>
                <w:rFonts w:eastAsia="MS Mincho" w:cstheme="minorHAnsi"/>
              </w:rPr>
            </w:pPr>
            <w:r w:rsidRPr="00F62965">
              <w:rPr>
                <w:rFonts w:eastAsia="MS Mincho" w:cstheme="minorHAnsi"/>
              </w:rPr>
              <w:t>Level of support: High (self-help pamphlets and brief behavioural counselling on 3 occasions)</w:t>
            </w:r>
            <w:r w:rsidR="007053B9">
              <w:rPr>
                <w:rFonts w:eastAsia="MS Mincho" w:cstheme="minorHAnsi"/>
              </w:rPr>
              <w:t>.</w:t>
            </w:r>
          </w:p>
        </w:tc>
        <w:tc>
          <w:tcPr>
            <w:tcW w:w="958" w:type="pct"/>
          </w:tcPr>
          <w:p w14:paraId="5E1A8E47" w14:textId="22EDF580" w:rsidR="007053B9" w:rsidRPr="007053B9" w:rsidRDefault="001173B2" w:rsidP="00A71365">
            <w:pPr>
              <w:pStyle w:val="Tablewriting"/>
              <w:rPr>
                <w:rFonts w:eastAsia="MS Mincho" w:cstheme="minorHAnsi"/>
              </w:rPr>
            </w:pPr>
            <w:r w:rsidRPr="009B13E2">
              <w:rPr>
                <w:rFonts w:eastAsia="MS Mincho" w:cstheme="minorHAnsi"/>
                <w:u w:val="single"/>
              </w:rPr>
              <w:t>Efficacy:</w:t>
            </w:r>
            <w:r w:rsidR="007053B9">
              <w:rPr>
                <w:rFonts w:eastAsia="MS Mincho" w:cstheme="minorHAnsi"/>
                <w:u w:val="single"/>
              </w:rPr>
              <w:t xml:space="preserve">  </w:t>
            </w:r>
            <w:r w:rsidR="007053B9" w:rsidRPr="007053B9">
              <w:rPr>
                <w:rFonts w:eastAsia="MS Mincho" w:cstheme="minorHAnsi"/>
              </w:rPr>
              <w:t>PP abstinence at 6 months</w:t>
            </w:r>
            <w:r w:rsidR="007053B9">
              <w:rPr>
                <w:rFonts w:eastAsia="MS Mincho" w:cstheme="minorHAnsi"/>
              </w:rPr>
              <w:t>.</w:t>
            </w:r>
          </w:p>
          <w:p w14:paraId="1986E41A" w14:textId="77777777" w:rsidR="007053B9" w:rsidRDefault="007053B9" w:rsidP="00A71365">
            <w:pPr>
              <w:pStyle w:val="Tablewriting"/>
              <w:rPr>
                <w:rFonts w:eastAsia="MS Mincho" w:cstheme="minorHAnsi"/>
              </w:rPr>
            </w:pPr>
          </w:p>
          <w:p w14:paraId="5C5E8786" w14:textId="3A41A3DD" w:rsidR="001173B2" w:rsidRPr="007053B9" w:rsidRDefault="007053B9" w:rsidP="00A71365">
            <w:pPr>
              <w:pStyle w:val="Tablewriting"/>
              <w:rPr>
                <w:rFonts w:eastAsia="MS Mincho" w:cstheme="minorHAnsi"/>
              </w:rPr>
            </w:pPr>
            <w:r w:rsidRPr="007053B9">
              <w:rPr>
                <w:rFonts w:eastAsia="MS Mincho" w:cstheme="minorHAnsi"/>
              </w:rPr>
              <w:t xml:space="preserve">Validation: CO </w:t>
            </w:r>
            <w:r w:rsidR="001665F6" w:rsidRPr="00F80B8C">
              <w:rPr>
                <w:rFonts w:eastAsia="MS Mincho" w:cstheme="minorHAnsi"/>
              </w:rPr>
              <w:t>≤</w:t>
            </w:r>
            <w:r w:rsidRPr="007053B9">
              <w:rPr>
                <w:rFonts w:eastAsia="MS Mincho" w:cstheme="minorHAnsi"/>
              </w:rPr>
              <w:t xml:space="preserve"> 10 ppm</w:t>
            </w:r>
            <w:r>
              <w:rPr>
                <w:rFonts w:eastAsia="MS Mincho" w:cstheme="minorHAnsi"/>
              </w:rPr>
              <w:t>.</w:t>
            </w:r>
          </w:p>
          <w:p w14:paraId="318214B8" w14:textId="77777777" w:rsidR="001173B2" w:rsidRDefault="001173B2" w:rsidP="00A71365">
            <w:pPr>
              <w:pStyle w:val="Tablewriting"/>
              <w:rPr>
                <w:rFonts w:eastAsia="MS Mincho" w:cstheme="minorHAnsi"/>
              </w:rPr>
            </w:pPr>
          </w:p>
          <w:p w14:paraId="52E0E2AE" w14:textId="1CED81FC"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567A1477" w14:textId="77777777" w:rsidTr="005821B1">
        <w:trPr>
          <w:trHeight w:val="99"/>
        </w:trPr>
        <w:tc>
          <w:tcPr>
            <w:tcW w:w="1003" w:type="pct"/>
          </w:tcPr>
          <w:p w14:paraId="14AB5698" w14:textId="01B8730A" w:rsidR="009042AA" w:rsidRPr="00FD17DC" w:rsidRDefault="00312FC3" w:rsidP="00A71365">
            <w:pPr>
              <w:pStyle w:val="Tablewriting"/>
              <w:rPr>
                <w:rFonts w:eastAsia="MS Mincho"/>
              </w:rPr>
            </w:pPr>
            <w:r w:rsidRPr="00FD17DC">
              <w:rPr>
                <w:rFonts w:eastAsia="MS Mincho"/>
              </w:rPr>
              <w:t xml:space="preserve">Killen </w:t>
            </w:r>
            <w:r w:rsidR="006C6C9B">
              <w:rPr>
                <w:rFonts w:eastAsia="MS Mincho"/>
              </w:rPr>
              <w:t>(</w:t>
            </w:r>
            <w:r w:rsidRPr="00FD17DC">
              <w:rPr>
                <w:rFonts w:eastAsia="MS Mincho"/>
              </w:rPr>
              <w:t>1997</w:t>
            </w:r>
            <w:r w:rsidR="006C6C9B">
              <w:rPr>
                <w:rFonts w:eastAsia="MS Mincho"/>
              </w:rPr>
              <w:t>)</w:t>
            </w:r>
          </w:p>
        </w:tc>
        <w:tc>
          <w:tcPr>
            <w:tcW w:w="235" w:type="pct"/>
          </w:tcPr>
          <w:p w14:paraId="0C25B45A" w14:textId="5BC80E6D"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D849DD7" w14:textId="596057C1" w:rsidR="009042AA" w:rsidRPr="00017AE6" w:rsidRDefault="007E1CBF" w:rsidP="00A71365">
            <w:pPr>
              <w:pStyle w:val="Tablewriting"/>
              <w:rPr>
                <w:rFonts w:eastAsia="MS Mincho" w:cstheme="minorHAnsi"/>
              </w:rPr>
            </w:pPr>
            <w:r>
              <w:rPr>
                <w:rFonts w:eastAsia="MS Mincho" w:cstheme="minorHAnsi"/>
              </w:rPr>
              <w:t>USA</w:t>
            </w:r>
          </w:p>
        </w:tc>
        <w:tc>
          <w:tcPr>
            <w:tcW w:w="289" w:type="pct"/>
          </w:tcPr>
          <w:p w14:paraId="03A7FCFA" w14:textId="284751F7" w:rsidR="009042AA" w:rsidRPr="00017AE6" w:rsidRDefault="001173B2" w:rsidP="00A71365">
            <w:pPr>
              <w:pStyle w:val="Tablewriting"/>
              <w:rPr>
                <w:rFonts w:eastAsia="MS Mincho" w:cstheme="minorHAnsi"/>
              </w:rPr>
            </w:pPr>
            <w:r>
              <w:rPr>
                <w:rFonts w:eastAsia="MS Mincho" w:cstheme="minorHAnsi"/>
              </w:rPr>
              <w:t>N=</w:t>
            </w:r>
            <w:r w:rsidR="00581897" w:rsidRPr="00581897">
              <w:rPr>
                <w:rFonts w:eastAsia="MS Mincho" w:cstheme="minorHAnsi"/>
              </w:rPr>
              <w:t>424</w:t>
            </w:r>
          </w:p>
        </w:tc>
        <w:tc>
          <w:tcPr>
            <w:tcW w:w="1045" w:type="pct"/>
          </w:tcPr>
          <w:p w14:paraId="5EA0BB51" w14:textId="52DD7549" w:rsidR="009042AA" w:rsidRPr="00017AE6" w:rsidRDefault="00581897" w:rsidP="00A71365">
            <w:pPr>
              <w:pStyle w:val="Tablewriting"/>
              <w:rPr>
                <w:rFonts w:eastAsia="MS Mincho" w:cstheme="minorHAnsi"/>
              </w:rPr>
            </w:pPr>
            <w:r>
              <w:rPr>
                <w:rFonts w:eastAsia="MS Mincho" w:cstheme="minorHAnsi"/>
              </w:rPr>
              <w:t>S</w:t>
            </w:r>
            <w:r w:rsidRPr="00581897">
              <w:rPr>
                <w:rFonts w:eastAsia="MS Mincho" w:cstheme="minorHAnsi"/>
              </w:rPr>
              <w:t>mokers</w:t>
            </w:r>
            <w:r>
              <w:rPr>
                <w:rFonts w:eastAsia="MS Mincho" w:cstheme="minorHAnsi"/>
              </w:rPr>
              <w:t xml:space="preserve"> with average</w:t>
            </w:r>
            <w:r w:rsidR="005A5C15">
              <w:rPr>
                <w:rFonts w:eastAsia="MS Mincho" w:cstheme="minorHAnsi"/>
              </w:rPr>
              <w:t xml:space="preserve"> age </w:t>
            </w:r>
            <w:r w:rsidR="005A5C15" w:rsidRPr="00581897">
              <w:rPr>
                <w:rFonts w:eastAsia="MS Mincho" w:cstheme="minorHAnsi"/>
              </w:rPr>
              <w:t xml:space="preserve">˜45, average </w:t>
            </w:r>
            <w:r w:rsidR="005A5C15">
              <w:rPr>
                <w:rFonts w:eastAsia="MS Mincho" w:cstheme="minorHAnsi"/>
              </w:rPr>
              <w:t>CPD</w:t>
            </w:r>
            <w:r w:rsidR="005A5C15" w:rsidRPr="00581897">
              <w:rPr>
                <w:rFonts w:eastAsia="MS Mincho" w:cstheme="minorHAnsi"/>
              </w:rPr>
              <w:t xml:space="preserve"> ˜23</w:t>
            </w:r>
            <w:r w:rsidR="00880751">
              <w:rPr>
                <w:rFonts w:eastAsia="MS Mincho" w:cstheme="minorHAnsi"/>
              </w:rPr>
              <w:t xml:space="preserve">, </w:t>
            </w:r>
            <w:r w:rsidRPr="00581897">
              <w:rPr>
                <w:rFonts w:eastAsia="MS Mincho" w:cstheme="minorHAnsi"/>
              </w:rPr>
              <w:t>˜50% female</w:t>
            </w:r>
            <w:r w:rsidR="005A5C15">
              <w:rPr>
                <w:rFonts w:eastAsia="MS Mincho" w:cstheme="minorHAnsi"/>
              </w:rPr>
              <w:t>.</w:t>
            </w:r>
          </w:p>
        </w:tc>
        <w:tc>
          <w:tcPr>
            <w:tcW w:w="1055" w:type="pct"/>
          </w:tcPr>
          <w:p w14:paraId="73C63D3E" w14:textId="77777777" w:rsidR="003A236A" w:rsidRDefault="00880751" w:rsidP="00C324F3">
            <w:pPr>
              <w:pStyle w:val="Tablewriting"/>
              <w:numPr>
                <w:ilvl w:val="0"/>
                <w:numId w:val="107"/>
              </w:numPr>
              <w:rPr>
                <w:rFonts w:eastAsia="MS Mincho" w:cstheme="minorHAnsi"/>
              </w:rPr>
            </w:pPr>
            <w:r w:rsidRPr="00880751">
              <w:rPr>
                <w:rFonts w:eastAsia="MS Mincho" w:cstheme="minorHAnsi"/>
              </w:rPr>
              <w:t>Nicotine patch (21 mg/24 h) for 8 weeks, 14 mg for 4 weeks, 7 mg for 4 weeks</w:t>
            </w:r>
            <w:r w:rsidR="003A236A">
              <w:rPr>
                <w:rFonts w:eastAsia="MS Mincho" w:cstheme="minorHAnsi"/>
              </w:rPr>
              <w:t>.</w:t>
            </w:r>
          </w:p>
          <w:p w14:paraId="64789799" w14:textId="015CB5E8" w:rsidR="003A236A" w:rsidRDefault="00880751" w:rsidP="00C324F3">
            <w:pPr>
              <w:pStyle w:val="Tablewriting"/>
              <w:numPr>
                <w:ilvl w:val="0"/>
                <w:numId w:val="107"/>
              </w:numPr>
              <w:rPr>
                <w:rFonts w:eastAsia="MS Mincho" w:cstheme="minorHAnsi"/>
              </w:rPr>
            </w:pPr>
            <w:r w:rsidRPr="003A236A">
              <w:rPr>
                <w:rFonts w:eastAsia="MS Mincho" w:cstheme="minorHAnsi"/>
              </w:rPr>
              <w:t>Placebo patch</w:t>
            </w:r>
            <w:r w:rsidR="003A236A">
              <w:rPr>
                <w:rFonts w:eastAsia="MS Mincho" w:cstheme="minorHAnsi"/>
              </w:rPr>
              <w:t>.</w:t>
            </w:r>
          </w:p>
          <w:p w14:paraId="041BA7CB" w14:textId="3400B6F7" w:rsidR="003A236A" w:rsidRDefault="00880751" w:rsidP="00C324F3">
            <w:pPr>
              <w:pStyle w:val="Tablewriting"/>
              <w:numPr>
                <w:ilvl w:val="0"/>
                <w:numId w:val="107"/>
              </w:numPr>
              <w:rPr>
                <w:rFonts w:eastAsia="MS Mincho" w:cstheme="minorHAnsi"/>
              </w:rPr>
            </w:pPr>
            <w:r w:rsidRPr="003A236A">
              <w:rPr>
                <w:rFonts w:eastAsia="MS Mincho" w:cstheme="minorHAnsi"/>
              </w:rPr>
              <w:lastRenderedPageBreak/>
              <w:t>Nicotine patch and video (The video was shown at initial visit and a copy supplied for home use)</w:t>
            </w:r>
            <w:r w:rsidR="003A236A">
              <w:rPr>
                <w:rFonts w:eastAsia="MS Mincho" w:cstheme="minorHAnsi"/>
              </w:rPr>
              <w:t>.</w:t>
            </w:r>
          </w:p>
          <w:p w14:paraId="637E3F30" w14:textId="5BDE8EDD" w:rsidR="00880751" w:rsidRPr="003A236A" w:rsidRDefault="00880751" w:rsidP="00C324F3">
            <w:pPr>
              <w:pStyle w:val="Tablewriting"/>
              <w:numPr>
                <w:ilvl w:val="0"/>
                <w:numId w:val="107"/>
              </w:numPr>
              <w:rPr>
                <w:rFonts w:eastAsia="MS Mincho" w:cstheme="minorHAnsi"/>
              </w:rPr>
            </w:pPr>
            <w:r w:rsidRPr="003A236A">
              <w:rPr>
                <w:rFonts w:eastAsia="MS Mincho" w:cstheme="minorHAnsi"/>
              </w:rPr>
              <w:t>Placebo patch and video</w:t>
            </w:r>
          </w:p>
          <w:p w14:paraId="08961ABB" w14:textId="77777777" w:rsidR="003A236A" w:rsidRDefault="003A236A" w:rsidP="00A71365">
            <w:pPr>
              <w:pStyle w:val="Tablewriting"/>
              <w:rPr>
                <w:rFonts w:eastAsia="MS Mincho" w:cstheme="minorHAnsi"/>
              </w:rPr>
            </w:pPr>
          </w:p>
          <w:p w14:paraId="573EEA9E" w14:textId="40E94DCC" w:rsidR="009042AA" w:rsidRPr="00017AE6" w:rsidRDefault="00880751" w:rsidP="00A71365">
            <w:pPr>
              <w:pStyle w:val="Tablewriting"/>
              <w:rPr>
                <w:rFonts w:eastAsia="MS Mincho" w:cstheme="minorHAnsi"/>
              </w:rPr>
            </w:pPr>
            <w:r w:rsidRPr="00880751">
              <w:rPr>
                <w:rFonts w:eastAsia="MS Mincho" w:cstheme="minorHAnsi"/>
              </w:rPr>
              <w:t>Level of support: low (All treatment groups received a self-help treatment manual designed to develop</w:t>
            </w:r>
            <w:r w:rsidR="003A236A">
              <w:rPr>
                <w:rFonts w:eastAsia="MS Mincho" w:cstheme="minorHAnsi"/>
              </w:rPr>
              <w:t xml:space="preserve"> </w:t>
            </w:r>
            <w:r w:rsidRPr="00880751">
              <w:rPr>
                <w:rFonts w:eastAsia="MS Mincho" w:cstheme="minorHAnsi"/>
              </w:rPr>
              <w:t>self-regulatory skills</w:t>
            </w:r>
            <w:r w:rsidR="003A236A">
              <w:rPr>
                <w:rFonts w:eastAsia="MS Mincho" w:cstheme="minorHAnsi"/>
              </w:rPr>
              <w:t>.</w:t>
            </w:r>
          </w:p>
        </w:tc>
        <w:tc>
          <w:tcPr>
            <w:tcW w:w="958" w:type="pct"/>
          </w:tcPr>
          <w:p w14:paraId="631186D5" w14:textId="1E68F2DD" w:rsidR="00D430B9" w:rsidRPr="00D430B9" w:rsidRDefault="001173B2" w:rsidP="00A71365">
            <w:pPr>
              <w:pStyle w:val="Tablewriting"/>
              <w:rPr>
                <w:rFonts w:eastAsia="MS Mincho" w:cstheme="minorHAnsi"/>
              </w:rPr>
            </w:pPr>
            <w:r w:rsidRPr="009B13E2">
              <w:rPr>
                <w:rFonts w:eastAsia="MS Mincho" w:cstheme="minorHAnsi"/>
                <w:u w:val="single"/>
              </w:rPr>
              <w:lastRenderedPageBreak/>
              <w:t>Efficacy:</w:t>
            </w:r>
            <w:r w:rsidR="00D430B9">
              <w:rPr>
                <w:rFonts w:eastAsia="MS Mincho" w:cstheme="minorHAnsi"/>
                <w:u w:val="single"/>
              </w:rPr>
              <w:t xml:space="preserve"> </w:t>
            </w:r>
            <w:r w:rsidR="00D430B9" w:rsidRPr="00D430B9">
              <w:rPr>
                <w:rFonts w:eastAsia="MS Mincho" w:cstheme="minorHAnsi"/>
              </w:rPr>
              <w:t>Sustained abstinence at 12 months (7-day PP at 6 and 12 months)</w:t>
            </w:r>
            <w:r w:rsidR="00D430B9">
              <w:rPr>
                <w:rFonts w:eastAsia="MS Mincho" w:cstheme="minorHAnsi"/>
              </w:rPr>
              <w:t>.</w:t>
            </w:r>
          </w:p>
          <w:p w14:paraId="347FB000" w14:textId="77777777" w:rsidR="00D430B9" w:rsidRDefault="00D430B9" w:rsidP="00A71365">
            <w:pPr>
              <w:pStyle w:val="Tablewriting"/>
              <w:rPr>
                <w:rFonts w:eastAsia="MS Mincho" w:cstheme="minorHAnsi"/>
              </w:rPr>
            </w:pPr>
          </w:p>
          <w:p w14:paraId="6A7BBCCD" w14:textId="4299B3C7" w:rsidR="001173B2" w:rsidRPr="00D430B9" w:rsidRDefault="00D430B9" w:rsidP="00A71365">
            <w:pPr>
              <w:pStyle w:val="Tablewriting"/>
              <w:rPr>
                <w:rFonts w:eastAsia="MS Mincho" w:cstheme="minorHAnsi"/>
              </w:rPr>
            </w:pPr>
            <w:r w:rsidRPr="00D430B9">
              <w:rPr>
                <w:rFonts w:eastAsia="MS Mincho" w:cstheme="minorHAnsi"/>
              </w:rPr>
              <w:lastRenderedPageBreak/>
              <w:t>Validation: saliva</w:t>
            </w:r>
            <w:r>
              <w:rPr>
                <w:rFonts w:eastAsia="MS Mincho" w:cstheme="minorHAnsi"/>
              </w:rPr>
              <w:t xml:space="preserve"> </w:t>
            </w:r>
            <w:r w:rsidRPr="00D430B9">
              <w:rPr>
                <w:rFonts w:eastAsia="MS Mincho" w:cstheme="minorHAnsi"/>
              </w:rPr>
              <w:t>cotinine &lt; 20 ng/ml with the exception of</w:t>
            </w:r>
            <w:r w:rsidR="00430883">
              <w:rPr>
                <w:rFonts w:eastAsia="MS Mincho" w:cstheme="minorHAnsi"/>
              </w:rPr>
              <w:t xml:space="preserve"> </w:t>
            </w:r>
            <w:r w:rsidRPr="00D430B9">
              <w:rPr>
                <w:rFonts w:eastAsia="MS Mincho" w:cstheme="minorHAnsi"/>
              </w:rPr>
              <w:t>participants living</w:t>
            </w:r>
            <w:r w:rsidR="00430883">
              <w:rPr>
                <w:rFonts w:eastAsia="MS Mincho" w:cstheme="minorHAnsi"/>
              </w:rPr>
              <w:t xml:space="preserve"> </w:t>
            </w:r>
            <w:r w:rsidRPr="00D430B9">
              <w:rPr>
                <w:rFonts w:eastAsia="MS Mincho" w:cstheme="minorHAnsi"/>
              </w:rPr>
              <w:t>outside the area</w:t>
            </w:r>
            <w:r w:rsidR="00430883">
              <w:rPr>
                <w:rFonts w:eastAsia="MS Mincho" w:cstheme="minorHAnsi"/>
              </w:rPr>
              <w:t>.</w:t>
            </w:r>
          </w:p>
          <w:p w14:paraId="2806EA3A" w14:textId="77777777" w:rsidR="001173B2" w:rsidRDefault="001173B2" w:rsidP="00A71365">
            <w:pPr>
              <w:pStyle w:val="Tablewriting"/>
              <w:rPr>
                <w:rFonts w:eastAsia="MS Mincho" w:cstheme="minorHAnsi"/>
              </w:rPr>
            </w:pPr>
          </w:p>
          <w:p w14:paraId="23BB8139" w14:textId="34A2FB76"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3F1FB1B9" w14:textId="77777777" w:rsidTr="005821B1">
        <w:trPr>
          <w:trHeight w:val="99"/>
        </w:trPr>
        <w:tc>
          <w:tcPr>
            <w:tcW w:w="1003" w:type="pct"/>
          </w:tcPr>
          <w:p w14:paraId="24700C3F" w14:textId="5C994BF6" w:rsidR="009042AA" w:rsidRPr="00FD17DC" w:rsidRDefault="00312FC3" w:rsidP="00A71365">
            <w:pPr>
              <w:pStyle w:val="Tablewriting"/>
              <w:rPr>
                <w:rFonts w:eastAsia="MS Mincho"/>
              </w:rPr>
            </w:pPr>
            <w:r w:rsidRPr="00FD17DC">
              <w:rPr>
                <w:rFonts w:eastAsia="MS Mincho"/>
              </w:rPr>
              <w:lastRenderedPageBreak/>
              <w:t xml:space="preserve">Kornitzer </w:t>
            </w:r>
            <w:r w:rsidR="006C6C9B">
              <w:rPr>
                <w:rFonts w:eastAsia="MS Mincho"/>
              </w:rPr>
              <w:t>(</w:t>
            </w:r>
            <w:r w:rsidRPr="00FD17DC">
              <w:rPr>
                <w:rFonts w:eastAsia="MS Mincho"/>
              </w:rPr>
              <w:t>1995</w:t>
            </w:r>
            <w:r w:rsidR="006C6C9B">
              <w:rPr>
                <w:rFonts w:eastAsia="MS Mincho"/>
              </w:rPr>
              <w:t>)</w:t>
            </w:r>
          </w:p>
        </w:tc>
        <w:tc>
          <w:tcPr>
            <w:tcW w:w="235" w:type="pct"/>
          </w:tcPr>
          <w:p w14:paraId="79929FC1" w14:textId="24DE4630"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907AB46" w14:textId="6FACDCD6" w:rsidR="009042AA" w:rsidRPr="00017AE6" w:rsidRDefault="00915D89" w:rsidP="00A71365">
            <w:pPr>
              <w:pStyle w:val="Tablewriting"/>
              <w:rPr>
                <w:rFonts w:eastAsia="MS Mincho" w:cstheme="minorHAnsi"/>
              </w:rPr>
            </w:pPr>
            <w:r w:rsidRPr="00915D89">
              <w:rPr>
                <w:rFonts w:eastAsia="MS Mincho" w:cstheme="minorHAnsi"/>
              </w:rPr>
              <w:t>Belgium</w:t>
            </w:r>
          </w:p>
        </w:tc>
        <w:tc>
          <w:tcPr>
            <w:tcW w:w="289" w:type="pct"/>
          </w:tcPr>
          <w:p w14:paraId="06424F29" w14:textId="51AD751F" w:rsidR="009042AA" w:rsidRPr="00017AE6" w:rsidRDefault="001173B2" w:rsidP="00A71365">
            <w:pPr>
              <w:pStyle w:val="Tablewriting"/>
              <w:rPr>
                <w:rFonts w:eastAsia="MS Mincho" w:cstheme="minorHAnsi"/>
              </w:rPr>
            </w:pPr>
            <w:r>
              <w:rPr>
                <w:rFonts w:eastAsia="MS Mincho" w:cstheme="minorHAnsi"/>
              </w:rPr>
              <w:t>N=</w:t>
            </w:r>
            <w:r w:rsidR="00915D89">
              <w:rPr>
                <w:rFonts w:eastAsia="MS Mincho" w:cstheme="minorHAnsi"/>
              </w:rPr>
              <w:t>374</w:t>
            </w:r>
          </w:p>
        </w:tc>
        <w:tc>
          <w:tcPr>
            <w:tcW w:w="1045" w:type="pct"/>
          </w:tcPr>
          <w:p w14:paraId="1667FA62" w14:textId="28BA8172" w:rsidR="00915D89" w:rsidRPr="00915D89" w:rsidRDefault="00915D89" w:rsidP="00A71365">
            <w:pPr>
              <w:pStyle w:val="Tablewriting"/>
              <w:rPr>
                <w:rFonts w:eastAsia="MS Mincho" w:cstheme="minorHAnsi"/>
              </w:rPr>
            </w:pPr>
            <w:r>
              <w:rPr>
                <w:rFonts w:eastAsia="MS Mincho" w:cstheme="minorHAnsi"/>
              </w:rPr>
              <w:t>H</w:t>
            </w:r>
            <w:r w:rsidRPr="00915D89">
              <w:rPr>
                <w:rFonts w:eastAsia="MS Mincho" w:cstheme="minorHAnsi"/>
              </w:rPr>
              <w:t xml:space="preserve">ealthy smokers (&gt; 10 </w:t>
            </w:r>
            <w:r>
              <w:rPr>
                <w:rFonts w:eastAsia="MS Mincho" w:cstheme="minorHAnsi"/>
              </w:rPr>
              <w:t>CPD</w:t>
            </w:r>
            <w:r w:rsidRPr="00915D89">
              <w:rPr>
                <w:rFonts w:eastAsia="MS Mincho" w:cstheme="minorHAnsi"/>
              </w:rPr>
              <w:t xml:space="preserve"> for &gt; 3 years), motivated to quit</w:t>
            </w:r>
            <w:r>
              <w:rPr>
                <w:rFonts w:eastAsia="MS Mincho" w:cstheme="minorHAnsi"/>
              </w:rPr>
              <w:t>.</w:t>
            </w:r>
          </w:p>
          <w:p w14:paraId="38E38A3F" w14:textId="4DDCBFE5" w:rsidR="009042AA" w:rsidRPr="00017AE6" w:rsidRDefault="00915D89" w:rsidP="00A71365">
            <w:pPr>
              <w:pStyle w:val="Tablewriting"/>
              <w:rPr>
                <w:rFonts w:eastAsia="MS Mincho" w:cstheme="minorHAnsi"/>
              </w:rPr>
            </w:pPr>
            <w:r w:rsidRPr="00915D89">
              <w:rPr>
                <w:rFonts w:eastAsia="MS Mincho" w:cstheme="minorHAnsi"/>
              </w:rPr>
              <w:t xml:space="preserve">61% male, average age 40, average </w:t>
            </w:r>
            <w:r>
              <w:rPr>
                <w:rFonts w:eastAsia="MS Mincho" w:cstheme="minorHAnsi"/>
              </w:rPr>
              <w:t xml:space="preserve">CPD </w:t>
            </w:r>
            <w:r w:rsidRPr="00915D89">
              <w:rPr>
                <w:rFonts w:eastAsia="MS Mincho" w:cstheme="minorHAnsi"/>
              </w:rPr>
              <w:t>25</w:t>
            </w:r>
            <w:r>
              <w:rPr>
                <w:rFonts w:eastAsia="MS Mincho" w:cstheme="minorHAnsi"/>
              </w:rPr>
              <w:t>.</w:t>
            </w:r>
          </w:p>
        </w:tc>
        <w:tc>
          <w:tcPr>
            <w:tcW w:w="1055" w:type="pct"/>
          </w:tcPr>
          <w:p w14:paraId="400CB34E" w14:textId="77777777" w:rsidR="00796666" w:rsidRDefault="00796666" w:rsidP="00C324F3">
            <w:pPr>
              <w:pStyle w:val="Tablewriting"/>
              <w:numPr>
                <w:ilvl w:val="0"/>
                <w:numId w:val="108"/>
              </w:numPr>
              <w:rPr>
                <w:rFonts w:eastAsia="MS Mincho" w:cstheme="minorHAnsi"/>
              </w:rPr>
            </w:pPr>
            <w:r w:rsidRPr="00796666">
              <w:rPr>
                <w:rFonts w:eastAsia="MS Mincho" w:cstheme="minorHAnsi"/>
              </w:rPr>
              <w:t>Nicotine patch (12 weeks 15 mg/16 h, 6 weeks 10 mg, 6 weeks 5 mg) and nicotine gum (2 mg, as required)</w:t>
            </w:r>
            <w:r>
              <w:rPr>
                <w:rFonts w:eastAsia="MS Mincho" w:cstheme="minorHAnsi"/>
              </w:rPr>
              <w:t>.</w:t>
            </w:r>
          </w:p>
          <w:p w14:paraId="03809AFF" w14:textId="77777777" w:rsidR="00796666" w:rsidRDefault="00796666" w:rsidP="00C324F3">
            <w:pPr>
              <w:pStyle w:val="Tablewriting"/>
              <w:numPr>
                <w:ilvl w:val="0"/>
                <w:numId w:val="108"/>
              </w:numPr>
              <w:rPr>
                <w:rFonts w:eastAsia="MS Mincho" w:cstheme="minorHAnsi"/>
              </w:rPr>
            </w:pPr>
            <w:r w:rsidRPr="00796666">
              <w:rPr>
                <w:rFonts w:eastAsia="MS Mincho" w:cstheme="minorHAnsi"/>
              </w:rPr>
              <w:t>Nicotine patch and placebo gum</w:t>
            </w:r>
            <w:r>
              <w:rPr>
                <w:rFonts w:eastAsia="MS Mincho" w:cstheme="minorHAnsi"/>
              </w:rPr>
              <w:t>.</w:t>
            </w:r>
          </w:p>
          <w:p w14:paraId="23759085" w14:textId="77777777" w:rsidR="00796666" w:rsidRDefault="00796666" w:rsidP="00C324F3">
            <w:pPr>
              <w:pStyle w:val="Tablewriting"/>
              <w:numPr>
                <w:ilvl w:val="0"/>
                <w:numId w:val="108"/>
              </w:numPr>
              <w:rPr>
                <w:rFonts w:eastAsia="MS Mincho" w:cstheme="minorHAnsi"/>
              </w:rPr>
            </w:pPr>
            <w:r w:rsidRPr="00796666">
              <w:rPr>
                <w:rFonts w:eastAsia="MS Mincho" w:cstheme="minorHAnsi"/>
              </w:rPr>
              <w:t xml:space="preserve">Placebo patch and placebo gum. </w:t>
            </w:r>
          </w:p>
          <w:p w14:paraId="6210B8D4" w14:textId="77777777" w:rsidR="00796666" w:rsidRDefault="00796666" w:rsidP="00A71365">
            <w:pPr>
              <w:pStyle w:val="Tablewriting"/>
              <w:rPr>
                <w:rFonts w:eastAsia="MS Mincho" w:cstheme="minorHAnsi"/>
              </w:rPr>
            </w:pPr>
          </w:p>
          <w:p w14:paraId="0C3B6F20" w14:textId="368F858B" w:rsidR="009042AA" w:rsidRPr="00017AE6" w:rsidRDefault="00796666" w:rsidP="00A71365">
            <w:pPr>
              <w:pStyle w:val="Tablewriting"/>
              <w:rPr>
                <w:rFonts w:eastAsia="MS Mincho" w:cstheme="minorHAnsi"/>
              </w:rPr>
            </w:pPr>
            <w:r w:rsidRPr="00796666">
              <w:rPr>
                <w:rFonts w:eastAsia="MS Mincho" w:cstheme="minorHAnsi"/>
              </w:rPr>
              <w:t>Level of support: high (nurse counselling)</w:t>
            </w:r>
            <w:r>
              <w:rPr>
                <w:rFonts w:eastAsia="MS Mincho" w:cstheme="minorHAnsi"/>
              </w:rPr>
              <w:t>.</w:t>
            </w:r>
          </w:p>
        </w:tc>
        <w:tc>
          <w:tcPr>
            <w:tcW w:w="958" w:type="pct"/>
          </w:tcPr>
          <w:p w14:paraId="73F8AC1D" w14:textId="5D60DBD2" w:rsidR="00796666" w:rsidRDefault="001173B2" w:rsidP="00A71365">
            <w:pPr>
              <w:pStyle w:val="Tablewriting"/>
              <w:rPr>
                <w:rFonts w:eastAsia="MS Mincho" w:cstheme="minorHAnsi"/>
              </w:rPr>
            </w:pPr>
            <w:r w:rsidRPr="009B13E2">
              <w:rPr>
                <w:rFonts w:eastAsia="MS Mincho" w:cstheme="minorHAnsi"/>
                <w:u w:val="single"/>
              </w:rPr>
              <w:t>Efficacy:</w:t>
            </w:r>
            <w:r w:rsidR="00796666">
              <w:rPr>
                <w:rFonts w:eastAsia="MS Mincho" w:cstheme="minorHAnsi"/>
                <w:u w:val="single"/>
              </w:rPr>
              <w:t xml:space="preserve"> </w:t>
            </w:r>
            <w:r w:rsidR="00796666" w:rsidRPr="00796666">
              <w:rPr>
                <w:rFonts w:eastAsia="MS Mincho" w:cstheme="minorHAnsi"/>
              </w:rPr>
              <w:t>Sustained abstinence at 12 months</w:t>
            </w:r>
            <w:r w:rsidR="00796666">
              <w:rPr>
                <w:rFonts w:eastAsia="MS Mincho" w:cstheme="minorHAnsi"/>
              </w:rPr>
              <w:t>.</w:t>
            </w:r>
          </w:p>
          <w:p w14:paraId="470C9569" w14:textId="77777777" w:rsidR="00796666" w:rsidRPr="00796666" w:rsidRDefault="00796666" w:rsidP="00A71365">
            <w:pPr>
              <w:pStyle w:val="Tablewriting"/>
              <w:rPr>
                <w:rFonts w:eastAsia="MS Mincho" w:cstheme="minorHAnsi"/>
              </w:rPr>
            </w:pPr>
          </w:p>
          <w:p w14:paraId="0453E368" w14:textId="25EFD963" w:rsidR="001173B2" w:rsidRPr="00796666" w:rsidRDefault="00796666" w:rsidP="00A71365">
            <w:pPr>
              <w:pStyle w:val="Tablewriting"/>
              <w:rPr>
                <w:rFonts w:eastAsia="MS Mincho" w:cstheme="minorHAnsi"/>
              </w:rPr>
            </w:pPr>
            <w:r w:rsidRPr="00796666">
              <w:rPr>
                <w:rFonts w:eastAsia="MS Mincho" w:cstheme="minorHAnsi"/>
              </w:rPr>
              <w:t>Validation: CO &lt; 10 ppm</w:t>
            </w:r>
          </w:p>
          <w:p w14:paraId="2147C1AF" w14:textId="77777777" w:rsidR="001173B2" w:rsidRDefault="001173B2" w:rsidP="00A71365">
            <w:pPr>
              <w:pStyle w:val="Tablewriting"/>
              <w:rPr>
                <w:rFonts w:eastAsia="MS Mincho" w:cstheme="minorHAnsi"/>
              </w:rPr>
            </w:pPr>
          </w:p>
          <w:p w14:paraId="5F22E91A" w14:textId="672EA986"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6DE37AF7" w14:textId="77777777" w:rsidTr="005821B1">
        <w:trPr>
          <w:trHeight w:val="99"/>
        </w:trPr>
        <w:tc>
          <w:tcPr>
            <w:tcW w:w="1003" w:type="pct"/>
          </w:tcPr>
          <w:p w14:paraId="3DF1D45C" w14:textId="32C9E3C6" w:rsidR="009042AA" w:rsidRPr="00FD17DC" w:rsidRDefault="00312FC3" w:rsidP="00A71365">
            <w:pPr>
              <w:pStyle w:val="Tablewriting"/>
              <w:rPr>
                <w:rFonts w:eastAsia="MS Mincho"/>
              </w:rPr>
            </w:pPr>
            <w:r w:rsidRPr="00FD17DC">
              <w:rPr>
                <w:rFonts w:eastAsia="MS Mincho"/>
              </w:rPr>
              <w:t xml:space="preserve">Oncken </w:t>
            </w:r>
            <w:r w:rsidR="006C6C9B">
              <w:rPr>
                <w:rFonts w:eastAsia="MS Mincho"/>
              </w:rPr>
              <w:t>(</w:t>
            </w:r>
            <w:r w:rsidRPr="00FD17DC">
              <w:rPr>
                <w:rFonts w:eastAsia="MS Mincho"/>
              </w:rPr>
              <w:t>2007</w:t>
            </w:r>
            <w:r w:rsidR="006C6C9B">
              <w:rPr>
                <w:rFonts w:eastAsia="MS Mincho"/>
              </w:rPr>
              <w:t>)</w:t>
            </w:r>
          </w:p>
        </w:tc>
        <w:tc>
          <w:tcPr>
            <w:tcW w:w="235" w:type="pct"/>
          </w:tcPr>
          <w:p w14:paraId="016C9236" w14:textId="7E376A10"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D31CB5A" w14:textId="31F55709" w:rsidR="009042AA" w:rsidRPr="00017AE6" w:rsidRDefault="00DF6A7F" w:rsidP="00A71365">
            <w:pPr>
              <w:pStyle w:val="Tablewriting"/>
              <w:rPr>
                <w:rFonts w:eastAsia="MS Mincho" w:cstheme="minorHAnsi"/>
              </w:rPr>
            </w:pPr>
            <w:r>
              <w:rPr>
                <w:rFonts w:eastAsia="MS Mincho" w:cstheme="minorHAnsi"/>
              </w:rPr>
              <w:t>USA</w:t>
            </w:r>
          </w:p>
        </w:tc>
        <w:tc>
          <w:tcPr>
            <w:tcW w:w="289" w:type="pct"/>
          </w:tcPr>
          <w:p w14:paraId="3A531C34" w14:textId="0E8116C4" w:rsidR="009042AA" w:rsidRPr="00017AE6" w:rsidRDefault="001173B2" w:rsidP="00A71365">
            <w:pPr>
              <w:pStyle w:val="Tablewriting"/>
              <w:rPr>
                <w:rFonts w:eastAsia="MS Mincho" w:cstheme="minorHAnsi"/>
              </w:rPr>
            </w:pPr>
            <w:r>
              <w:rPr>
                <w:rFonts w:eastAsia="MS Mincho" w:cstheme="minorHAnsi"/>
              </w:rPr>
              <w:t>N=</w:t>
            </w:r>
            <w:r w:rsidR="00DF6A7F">
              <w:rPr>
                <w:rFonts w:eastAsia="MS Mincho" w:cstheme="minorHAnsi"/>
              </w:rPr>
              <w:t>152</w:t>
            </w:r>
          </w:p>
        </w:tc>
        <w:tc>
          <w:tcPr>
            <w:tcW w:w="1045" w:type="pct"/>
          </w:tcPr>
          <w:p w14:paraId="216DDA66" w14:textId="4EDAA5D9" w:rsidR="009042AA" w:rsidRPr="00017AE6" w:rsidRDefault="00DF6A7F" w:rsidP="00A71365">
            <w:pPr>
              <w:pStyle w:val="Tablewriting"/>
              <w:rPr>
                <w:rFonts w:eastAsia="MS Mincho" w:cstheme="minorHAnsi"/>
              </w:rPr>
            </w:pPr>
            <w:r>
              <w:rPr>
                <w:rFonts w:eastAsia="MS Mincho" w:cstheme="minorHAnsi"/>
              </w:rPr>
              <w:t>P</w:t>
            </w:r>
            <w:r w:rsidRPr="00DF6A7F">
              <w:rPr>
                <w:rFonts w:eastAsia="MS Mincho" w:cstheme="minorHAnsi"/>
              </w:rPr>
              <w:t xml:space="preserve">ost-menopausal women </w:t>
            </w:r>
            <w:r>
              <w:rPr>
                <w:rFonts w:eastAsia="MS Mincho" w:cstheme="minorHAnsi"/>
              </w:rPr>
              <w:t>(</w:t>
            </w:r>
            <w:r w:rsidRPr="00DF6A7F">
              <w:rPr>
                <w:rFonts w:eastAsia="MS Mincho" w:cstheme="minorHAnsi"/>
              </w:rPr>
              <w:t xml:space="preserve">≥10 </w:t>
            </w:r>
            <w:r>
              <w:rPr>
                <w:rFonts w:eastAsia="MS Mincho" w:cstheme="minorHAnsi"/>
              </w:rPr>
              <w:t>CPD</w:t>
            </w:r>
            <w:r w:rsidRPr="00DF6A7F">
              <w:rPr>
                <w:rFonts w:eastAsia="MS Mincho" w:cstheme="minorHAnsi"/>
              </w:rPr>
              <w:t>)</w:t>
            </w:r>
            <w:r>
              <w:rPr>
                <w:rFonts w:eastAsia="MS Mincho" w:cstheme="minorHAnsi"/>
              </w:rPr>
              <w:t>, a</w:t>
            </w:r>
            <w:r w:rsidRPr="00DF6A7F">
              <w:rPr>
                <w:rFonts w:eastAsia="MS Mincho" w:cstheme="minorHAnsi"/>
              </w:rPr>
              <w:t xml:space="preserve">verage </w:t>
            </w:r>
            <w:r>
              <w:rPr>
                <w:rFonts w:eastAsia="MS Mincho" w:cstheme="minorHAnsi"/>
              </w:rPr>
              <w:t>CPD</w:t>
            </w:r>
            <w:r w:rsidRPr="00DF6A7F">
              <w:rPr>
                <w:rFonts w:eastAsia="MS Mincho" w:cstheme="minorHAnsi"/>
              </w:rPr>
              <w:t xml:space="preserve"> 22, average age 54/56.6</w:t>
            </w:r>
            <w:r w:rsidR="00F75170">
              <w:rPr>
                <w:rFonts w:eastAsia="MS Mincho" w:cstheme="minorHAnsi"/>
              </w:rPr>
              <w:t xml:space="preserve"> years. </w:t>
            </w:r>
          </w:p>
        </w:tc>
        <w:tc>
          <w:tcPr>
            <w:tcW w:w="1055" w:type="pct"/>
          </w:tcPr>
          <w:p w14:paraId="40E00CB6" w14:textId="77777777" w:rsidR="00F75170" w:rsidRDefault="00F75170" w:rsidP="00C324F3">
            <w:pPr>
              <w:pStyle w:val="Tablewriting"/>
              <w:numPr>
                <w:ilvl w:val="0"/>
                <w:numId w:val="109"/>
              </w:numPr>
              <w:rPr>
                <w:rFonts w:eastAsia="MS Mincho" w:cstheme="minorHAnsi"/>
              </w:rPr>
            </w:pPr>
            <w:r w:rsidRPr="00F75170">
              <w:rPr>
                <w:rFonts w:eastAsia="MS Mincho" w:cstheme="minorHAnsi"/>
              </w:rPr>
              <w:t>Nicotine patch (21 mg for 13 weeks including 4 weeks tapering)</w:t>
            </w:r>
            <w:r>
              <w:rPr>
                <w:rFonts w:eastAsia="MS Mincho" w:cstheme="minorHAnsi"/>
              </w:rPr>
              <w:t>.</w:t>
            </w:r>
          </w:p>
          <w:p w14:paraId="50F17B69" w14:textId="6E54718A" w:rsidR="00F75170" w:rsidRPr="00F75170" w:rsidRDefault="00F75170" w:rsidP="00C324F3">
            <w:pPr>
              <w:pStyle w:val="Tablewriting"/>
              <w:numPr>
                <w:ilvl w:val="0"/>
                <w:numId w:val="109"/>
              </w:numPr>
              <w:rPr>
                <w:rFonts w:eastAsia="MS Mincho" w:cstheme="minorHAnsi"/>
              </w:rPr>
            </w:pPr>
            <w:r w:rsidRPr="00F75170">
              <w:rPr>
                <w:rFonts w:eastAsia="MS Mincho" w:cstheme="minorHAnsi"/>
              </w:rPr>
              <w:t>Placebo patch</w:t>
            </w:r>
            <w:r>
              <w:rPr>
                <w:rFonts w:eastAsia="MS Mincho" w:cstheme="minorHAnsi"/>
              </w:rPr>
              <w:t>.</w:t>
            </w:r>
          </w:p>
          <w:p w14:paraId="3A3D4283" w14:textId="77777777" w:rsidR="00F75170" w:rsidRDefault="00F75170" w:rsidP="00A71365">
            <w:pPr>
              <w:pStyle w:val="Tablewriting"/>
              <w:rPr>
                <w:rFonts w:eastAsia="MS Mincho" w:cstheme="minorHAnsi"/>
              </w:rPr>
            </w:pPr>
          </w:p>
          <w:p w14:paraId="0E6036ED" w14:textId="321868AD" w:rsidR="009042AA" w:rsidRPr="00017AE6" w:rsidRDefault="00F75170" w:rsidP="00A71365">
            <w:pPr>
              <w:pStyle w:val="Tablewriting"/>
              <w:rPr>
                <w:rFonts w:eastAsia="MS Mincho" w:cstheme="minorHAnsi"/>
              </w:rPr>
            </w:pPr>
            <w:r w:rsidRPr="00F75170">
              <w:rPr>
                <w:rFonts w:eastAsia="MS Mincho" w:cstheme="minorHAnsi"/>
              </w:rPr>
              <w:t>Level of support: high (7 visits including 4 x 2-h group counselling, 1 pre-TQD)</w:t>
            </w:r>
            <w:r w:rsidR="00147473">
              <w:rPr>
                <w:rFonts w:eastAsia="MS Mincho" w:cstheme="minorHAnsi"/>
              </w:rPr>
              <w:t>.</w:t>
            </w:r>
          </w:p>
        </w:tc>
        <w:tc>
          <w:tcPr>
            <w:tcW w:w="958" w:type="pct"/>
          </w:tcPr>
          <w:p w14:paraId="33DEDF68" w14:textId="599984D6" w:rsidR="00147473" w:rsidRDefault="001173B2" w:rsidP="00A71365">
            <w:pPr>
              <w:pStyle w:val="Tablewriting"/>
              <w:rPr>
                <w:rFonts w:eastAsia="MS Mincho" w:cstheme="minorHAnsi"/>
              </w:rPr>
            </w:pPr>
            <w:r w:rsidRPr="009B13E2">
              <w:rPr>
                <w:rFonts w:eastAsia="MS Mincho" w:cstheme="minorHAnsi"/>
                <w:u w:val="single"/>
              </w:rPr>
              <w:t>Efficacy:</w:t>
            </w:r>
            <w:r w:rsidR="00147473">
              <w:rPr>
                <w:rFonts w:eastAsia="MS Mincho" w:cstheme="minorHAnsi"/>
                <w:u w:val="single"/>
              </w:rPr>
              <w:t xml:space="preserve"> </w:t>
            </w:r>
            <w:r w:rsidR="00147473" w:rsidRPr="00147473">
              <w:rPr>
                <w:rFonts w:eastAsia="MS Mincho" w:cstheme="minorHAnsi"/>
              </w:rPr>
              <w:t>PP abstinence at 16 months (12 months post-EOT)</w:t>
            </w:r>
            <w:r w:rsidR="00147473">
              <w:rPr>
                <w:rFonts w:eastAsia="MS Mincho" w:cstheme="minorHAnsi"/>
              </w:rPr>
              <w:t>.</w:t>
            </w:r>
          </w:p>
          <w:p w14:paraId="5172C761" w14:textId="77777777" w:rsidR="00147473" w:rsidRPr="00147473" w:rsidRDefault="00147473" w:rsidP="00A71365">
            <w:pPr>
              <w:pStyle w:val="Tablewriting"/>
              <w:rPr>
                <w:rFonts w:eastAsia="MS Mincho" w:cstheme="minorHAnsi"/>
              </w:rPr>
            </w:pPr>
          </w:p>
          <w:p w14:paraId="57D780BE" w14:textId="3B57A6BC" w:rsidR="001173B2" w:rsidRPr="00147473" w:rsidRDefault="00147473" w:rsidP="00A71365">
            <w:pPr>
              <w:pStyle w:val="Tablewriting"/>
              <w:rPr>
                <w:rFonts w:eastAsia="MS Mincho" w:cstheme="minorHAnsi"/>
              </w:rPr>
            </w:pPr>
            <w:r w:rsidRPr="00147473">
              <w:rPr>
                <w:rFonts w:eastAsia="MS Mincho" w:cstheme="minorHAnsi"/>
              </w:rPr>
              <w:t>Validation: CO &lt; 8 ppm</w:t>
            </w:r>
            <w:r>
              <w:rPr>
                <w:rFonts w:eastAsia="MS Mincho" w:cstheme="minorHAnsi"/>
              </w:rPr>
              <w:t>.</w:t>
            </w:r>
          </w:p>
          <w:p w14:paraId="0172CE98" w14:textId="77777777" w:rsidR="001173B2" w:rsidRDefault="001173B2" w:rsidP="00A71365">
            <w:pPr>
              <w:pStyle w:val="Tablewriting"/>
              <w:rPr>
                <w:rFonts w:eastAsia="MS Mincho" w:cstheme="minorHAnsi"/>
              </w:rPr>
            </w:pPr>
          </w:p>
          <w:p w14:paraId="1C27DA99" w14:textId="67BE9C62"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224689AB" w14:textId="77777777" w:rsidTr="005821B1">
        <w:trPr>
          <w:trHeight w:val="99"/>
        </w:trPr>
        <w:tc>
          <w:tcPr>
            <w:tcW w:w="1003" w:type="pct"/>
          </w:tcPr>
          <w:p w14:paraId="4AF13D0E" w14:textId="0FBA9C01" w:rsidR="009042AA" w:rsidRPr="00FD17DC" w:rsidRDefault="00312FC3" w:rsidP="00A71365">
            <w:pPr>
              <w:pStyle w:val="Tablewriting"/>
              <w:rPr>
                <w:rFonts w:eastAsia="MS Mincho"/>
              </w:rPr>
            </w:pPr>
            <w:r w:rsidRPr="00FD17DC">
              <w:rPr>
                <w:rFonts w:eastAsia="MS Mincho"/>
              </w:rPr>
              <w:t xml:space="preserve">Prapavessis </w:t>
            </w:r>
            <w:r w:rsidR="006C6C9B">
              <w:rPr>
                <w:rFonts w:eastAsia="MS Mincho"/>
              </w:rPr>
              <w:t>(</w:t>
            </w:r>
            <w:r w:rsidRPr="00FD17DC">
              <w:rPr>
                <w:rFonts w:eastAsia="MS Mincho"/>
              </w:rPr>
              <w:t>2007</w:t>
            </w:r>
            <w:r w:rsidR="006C6C9B">
              <w:rPr>
                <w:rFonts w:eastAsia="MS Mincho"/>
              </w:rPr>
              <w:t>)</w:t>
            </w:r>
          </w:p>
        </w:tc>
        <w:tc>
          <w:tcPr>
            <w:tcW w:w="235" w:type="pct"/>
          </w:tcPr>
          <w:p w14:paraId="23C02E82" w14:textId="2EECE4B8"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EC504B3" w14:textId="297981F2" w:rsidR="009042AA" w:rsidRPr="00017AE6" w:rsidRDefault="00FF71C1" w:rsidP="00A71365">
            <w:pPr>
              <w:pStyle w:val="Tablewriting"/>
              <w:rPr>
                <w:rFonts w:eastAsia="MS Mincho" w:cstheme="minorHAnsi"/>
              </w:rPr>
            </w:pPr>
            <w:r w:rsidRPr="00FF71C1">
              <w:rPr>
                <w:rFonts w:eastAsia="MS Mincho" w:cstheme="minorHAnsi"/>
              </w:rPr>
              <w:t>New Zealand</w:t>
            </w:r>
          </w:p>
        </w:tc>
        <w:tc>
          <w:tcPr>
            <w:tcW w:w="289" w:type="pct"/>
          </w:tcPr>
          <w:p w14:paraId="075207D8" w14:textId="4B111002" w:rsidR="009042AA" w:rsidRPr="00017AE6" w:rsidRDefault="001173B2" w:rsidP="00A71365">
            <w:pPr>
              <w:pStyle w:val="Tablewriting"/>
              <w:rPr>
                <w:rFonts w:eastAsia="MS Mincho" w:cstheme="minorHAnsi"/>
              </w:rPr>
            </w:pPr>
            <w:r>
              <w:rPr>
                <w:rFonts w:eastAsia="MS Mincho" w:cstheme="minorHAnsi"/>
              </w:rPr>
              <w:t>N=</w:t>
            </w:r>
            <w:r w:rsidR="003C6A61">
              <w:rPr>
                <w:rFonts w:eastAsia="MS Mincho" w:cstheme="minorHAnsi"/>
              </w:rPr>
              <w:t>121</w:t>
            </w:r>
          </w:p>
        </w:tc>
        <w:tc>
          <w:tcPr>
            <w:tcW w:w="1045" w:type="pct"/>
          </w:tcPr>
          <w:p w14:paraId="7103A183" w14:textId="5EB9AD65" w:rsidR="009042AA" w:rsidRPr="00017AE6" w:rsidRDefault="003C6A61" w:rsidP="00A71365">
            <w:pPr>
              <w:pStyle w:val="Tablewriting"/>
              <w:rPr>
                <w:rFonts w:eastAsia="MS Mincho" w:cstheme="minorHAnsi"/>
              </w:rPr>
            </w:pPr>
            <w:r>
              <w:rPr>
                <w:rFonts w:eastAsia="MS Mincho" w:cstheme="minorHAnsi"/>
              </w:rPr>
              <w:t>W</w:t>
            </w:r>
            <w:r w:rsidRPr="003C6A61">
              <w:rPr>
                <w:rFonts w:eastAsia="MS Mincho" w:cstheme="minorHAnsi"/>
              </w:rPr>
              <w:t xml:space="preserve">omen smokers (&gt; 10 </w:t>
            </w:r>
            <w:r>
              <w:rPr>
                <w:rFonts w:eastAsia="MS Mincho" w:cstheme="minorHAnsi"/>
              </w:rPr>
              <w:t>CPD</w:t>
            </w:r>
            <w:r w:rsidRPr="003C6A61">
              <w:rPr>
                <w:rFonts w:eastAsia="MS Mincho" w:cstheme="minorHAnsi"/>
              </w:rPr>
              <w:t>) (excludes dropouts not starting program)</w:t>
            </w:r>
            <w:r>
              <w:rPr>
                <w:rFonts w:eastAsia="MS Mincho" w:cstheme="minorHAnsi"/>
              </w:rPr>
              <w:t>.</w:t>
            </w:r>
          </w:p>
        </w:tc>
        <w:tc>
          <w:tcPr>
            <w:tcW w:w="1055" w:type="pct"/>
          </w:tcPr>
          <w:p w14:paraId="348E1F41" w14:textId="4B51DD13" w:rsidR="00762B9C" w:rsidRDefault="00465228" w:rsidP="00C324F3">
            <w:pPr>
              <w:pStyle w:val="Tablewriting"/>
              <w:numPr>
                <w:ilvl w:val="0"/>
                <w:numId w:val="110"/>
              </w:numPr>
              <w:rPr>
                <w:rFonts w:eastAsia="MS Mincho" w:cstheme="minorHAnsi"/>
              </w:rPr>
            </w:pPr>
            <w:r w:rsidRPr="00465228">
              <w:rPr>
                <w:rFonts w:eastAsia="MS Mincho" w:cstheme="minorHAnsi"/>
              </w:rPr>
              <w:t>Nicotine patch (21 mg/24 h for 10 weeks, no weaning)</w:t>
            </w:r>
            <w:r w:rsidR="00762B9C">
              <w:rPr>
                <w:rFonts w:eastAsia="MS Mincho" w:cstheme="minorHAnsi"/>
              </w:rPr>
              <w:t>.</w:t>
            </w:r>
          </w:p>
          <w:p w14:paraId="718CE7E4" w14:textId="1E9B014A" w:rsidR="00465228" w:rsidRPr="00762B9C" w:rsidRDefault="00465228" w:rsidP="00C324F3">
            <w:pPr>
              <w:pStyle w:val="Tablewriting"/>
              <w:numPr>
                <w:ilvl w:val="0"/>
                <w:numId w:val="110"/>
              </w:numPr>
              <w:rPr>
                <w:rFonts w:eastAsia="MS Mincho" w:cstheme="minorHAnsi"/>
              </w:rPr>
            </w:pPr>
            <w:r w:rsidRPr="00762B9C">
              <w:rPr>
                <w:rFonts w:eastAsia="MS Mincho" w:cstheme="minorHAnsi"/>
              </w:rPr>
              <w:t>No patch</w:t>
            </w:r>
            <w:r w:rsidR="00762B9C">
              <w:rPr>
                <w:rFonts w:eastAsia="MS Mincho" w:cstheme="minorHAnsi"/>
              </w:rPr>
              <w:t>.</w:t>
            </w:r>
          </w:p>
          <w:p w14:paraId="327C16F7" w14:textId="77777777" w:rsidR="00762B9C" w:rsidRDefault="00762B9C" w:rsidP="00A71365">
            <w:pPr>
              <w:pStyle w:val="Tablewriting"/>
              <w:rPr>
                <w:rFonts w:eastAsia="MS Mincho" w:cstheme="minorHAnsi"/>
              </w:rPr>
            </w:pPr>
          </w:p>
          <w:p w14:paraId="25DEA515" w14:textId="60F6B46E" w:rsidR="009042AA" w:rsidRDefault="00465228" w:rsidP="00A71365">
            <w:pPr>
              <w:pStyle w:val="Tablewriting"/>
              <w:rPr>
                <w:rFonts w:eastAsia="MS Mincho" w:cstheme="minorHAnsi"/>
              </w:rPr>
            </w:pPr>
            <w:r w:rsidRPr="00465228">
              <w:rPr>
                <w:rFonts w:eastAsia="MS Mincho" w:cstheme="minorHAnsi"/>
              </w:rPr>
              <w:t>Level of support: high (36 x 45-min session over 12</w:t>
            </w:r>
            <w:r w:rsidR="004E6220">
              <w:rPr>
                <w:rFonts w:eastAsia="MS Mincho" w:cstheme="minorHAnsi"/>
              </w:rPr>
              <w:t xml:space="preserve"> </w:t>
            </w:r>
            <w:r w:rsidRPr="00465228">
              <w:rPr>
                <w:rFonts w:eastAsia="MS Mincho" w:cstheme="minorHAnsi"/>
              </w:rPr>
              <w:t>weeks of group CBT o</w:t>
            </w:r>
            <w:r w:rsidR="00836B64">
              <w:rPr>
                <w:rFonts w:eastAsia="MS Mincho" w:cstheme="minorHAnsi"/>
              </w:rPr>
              <w:t xml:space="preserve">r supervised vigorous exercise, </w:t>
            </w:r>
            <w:r w:rsidRPr="00465228">
              <w:rPr>
                <w:rFonts w:eastAsia="MS Mincho" w:cstheme="minorHAnsi"/>
              </w:rPr>
              <w:t>starting 6 weeks before TQD)</w:t>
            </w:r>
            <w:r w:rsidR="00162C20">
              <w:rPr>
                <w:rFonts w:eastAsia="MS Mincho" w:cstheme="minorHAnsi"/>
              </w:rPr>
              <w:t>.</w:t>
            </w:r>
          </w:p>
          <w:p w14:paraId="056C08A6" w14:textId="77777777" w:rsidR="00762B9C" w:rsidRDefault="00762B9C" w:rsidP="00A71365">
            <w:pPr>
              <w:pStyle w:val="Tablewriting"/>
              <w:rPr>
                <w:rFonts w:eastAsia="MS Mincho" w:cstheme="minorHAnsi"/>
              </w:rPr>
            </w:pPr>
          </w:p>
          <w:p w14:paraId="335819B3" w14:textId="27D5EA43" w:rsidR="009042AA" w:rsidRPr="00017AE6" w:rsidRDefault="00762B9C" w:rsidP="00A71365">
            <w:pPr>
              <w:pStyle w:val="Tablewriting"/>
              <w:rPr>
                <w:rFonts w:eastAsia="MS Mincho" w:cstheme="minorHAnsi"/>
              </w:rPr>
            </w:pPr>
            <w:r w:rsidRPr="00465228">
              <w:rPr>
                <w:rFonts w:eastAsia="MS Mincho" w:cstheme="minorHAnsi"/>
              </w:rPr>
              <w:t>NRT as adjunct to either CBT or exercise programs, collapsed for this review</w:t>
            </w:r>
          </w:p>
        </w:tc>
        <w:tc>
          <w:tcPr>
            <w:tcW w:w="958" w:type="pct"/>
          </w:tcPr>
          <w:p w14:paraId="152C6228" w14:textId="20330412" w:rsidR="00464DE5" w:rsidRDefault="001173B2" w:rsidP="00A71365">
            <w:pPr>
              <w:pStyle w:val="Tablewriting"/>
              <w:rPr>
                <w:rFonts w:eastAsia="MS Mincho" w:cstheme="minorHAnsi"/>
              </w:rPr>
            </w:pPr>
            <w:r w:rsidRPr="009B13E2">
              <w:rPr>
                <w:rFonts w:eastAsia="MS Mincho" w:cstheme="minorHAnsi"/>
                <w:u w:val="single"/>
              </w:rPr>
              <w:lastRenderedPageBreak/>
              <w:t>Efficacy:</w:t>
            </w:r>
            <w:r w:rsidR="00464DE5">
              <w:rPr>
                <w:rFonts w:eastAsia="MS Mincho" w:cstheme="minorHAnsi"/>
                <w:u w:val="single"/>
              </w:rPr>
              <w:t xml:space="preserve"> </w:t>
            </w:r>
            <w:r w:rsidR="00464DE5" w:rsidRPr="00464DE5">
              <w:rPr>
                <w:rFonts w:eastAsia="MS Mincho" w:cstheme="minorHAnsi"/>
              </w:rPr>
              <w:t>Continuous abstinence since TQD at 12 months from end of program</w:t>
            </w:r>
            <w:r w:rsidR="00567813">
              <w:rPr>
                <w:rFonts w:eastAsia="MS Mincho" w:cstheme="minorHAnsi"/>
              </w:rPr>
              <w:t>.</w:t>
            </w:r>
          </w:p>
          <w:p w14:paraId="0347EE1E" w14:textId="77777777" w:rsidR="00567813" w:rsidRPr="00464DE5" w:rsidRDefault="00567813" w:rsidP="00A71365">
            <w:pPr>
              <w:pStyle w:val="Tablewriting"/>
              <w:rPr>
                <w:rFonts w:eastAsia="MS Mincho" w:cstheme="minorHAnsi"/>
              </w:rPr>
            </w:pPr>
          </w:p>
          <w:p w14:paraId="7E5131DB" w14:textId="3C584F2C" w:rsidR="001173B2" w:rsidRPr="009B13E2" w:rsidRDefault="00464DE5" w:rsidP="00A71365">
            <w:pPr>
              <w:pStyle w:val="Tablewriting"/>
              <w:rPr>
                <w:rFonts w:eastAsia="MS Mincho" w:cstheme="minorHAnsi"/>
                <w:u w:val="single"/>
              </w:rPr>
            </w:pPr>
            <w:r w:rsidRPr="00464DE5">
              <w:rPr>
                <w:rFonts w:eastAsia="MS Mincho" w:cstheme="minorHAnsi"/>
              </w:rPr>
              <w:t>Validation: CO &lt; 10 ppm, cotinine &lt; 10 ng/</w:t>
            </w:r>
            <w:r w:rsidRPr="00567813">
              <w:rPr>
                <w:rFonts w:eastAsia="MS Mincho" w:cstheme="minorHAnsi"/>
              </w:rPr>
              <w:t>mL</w:t>
            </w:r>
            <w:r w:rsidR="00567813">
              <w:rPr>
                <w:rFonts w:eastAsia="MS Mincho" w:cstheme="minorHAnsi"/>
              </w:rPr>
              <w:t xml:space="preserve">. </w:t>
            </w:r>
          </w:p>
          <w:p w14:paraId="0BF2A848" w14:textId="77777777" w:rsidR="001173B2" w:rsidRDefault="001173B2" w:rsidP="00A71365">
            <w:pPr>
              <w:pStyle w:val="Tablewriting"/>
              <w:rPr>
                <w:rFonts w:eastAsia="MS Mincho" w:cstheme="minorHAnsi"/>
              </w:rPr>
            </w:pPr>
          </w:p>
          <w:p w14:paraId="55DEAC49" w14:textId="1D5175D4"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4C0AF710" w14:textId="77777777" w:rsidTr="005821B1">
        <w:trPr>
          <w:trHeight w:val="99"/>
        </w:trPr>
        <w:tc>
          <w:tcPr>
            <w:tcW w:w="1003" w:type="pct"/>
          </w:tcPr>
          <w:p w14:paraId="071C3A8B" w14:textId="57D160F5" w:rsidR="009042AA" w:rsidRPr="00FD17DC" w:rsidRDefault="00214400" w:rsidP="00A71365">
            <w:pPr>
              <w:pStyle w:val="Tablewriting"/>
              <w:rPr>
                <w:rFonts w:eastAsia="MS Mincho"/>
              </w:rPr>
            </w:pPr>
            <w:r w:rsidRPr="00FD17DC">
              <w:rPr>
                <w:rFonts w:eastAsia="MS Mincho"/>
              </w:rPr>
              <w:lastRenderedPageBreak/>
              <w:t xml:space="preserve">Richmond </w:t>
            </w:r>
            <w:r w:rsidR="006C6C9B">
              <w:rPr>
                <w:rFonts w:eastAsia="MS Mincho"/>
              </w:rPr>
              <w:t>(</w:t>
            </w:r>
            <w:r w:rsidRPr="00FD17DC">
              <w:rPr>
                <w:rFonts w:eastAsia="MS Mincho"/>
              </w:rPr>
              <w:t>1994</w:t>
            </w:r>
            <w:r w:rsidR="006C6C9B">
              <w:rPr>
                <w:rFonts w:eastAsia="MS Mincho"/>
              </w:rPr>
              <w:t>)</w:t>
            </w:r>
          </w:p>
        </w:tc>
        <w:tc>
          <w:tcPr>
            <w:tcW w:w="235" w:type="pct"/>
          </w:tcPr>
          <w:p w14:paraId="60FE9CAB" w14:textId="510F38E4"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22CD327A" w14:textId="06A0EFCE" w:rsidR="009042AA" w:rsidRPr="00017AE6" w:rsidRDefault="009C0975" w:rsidP="00A71365">
            <w:pPr>
              <w:pStyle w:val="Tablewriting"/>
              <w:rPr>
                <w:rFonts w:eastAsia="MS Mincho" w:cstheme="minorHAnsi"/>
              </w:rPr>
            </w:pPr>
            <w:r w:rsidRPr="009C0975">
              <w:rPr>
                <w:rFonts w:eastAsia="MS Mincho" w:cstheme="minorHAnsi"/>
              </w:rPr>
              <w:t>Australia</w:t>
            </w:r>
          </w:p>
        </w:tc>
        <w:tc>
          <w:tcPr>
            <w:tcW w:w="289" w:type="pct"/>
          </w:tcPr>
          <w:p w14:paraId="35162A71" w14:textId="2A737511" w:rsidR="009042AA" w:rsidRPr="00017AE6" w:rsidRDefault="001173B2" w:rsidP="00A71365">
            <w:pPr>
              <w:pStyle w:val="Tablewriting"/>
              <w:rPr>
                <w:rFonts w:eastAsia="MS Mincho" w:cstheme="minorHAnsi"/>
              </w:rPr>
            </w:pPr>
            <w:r>
              <w:rPr>
                <w:rFonts w:eastAsia="MS Mincho" w:cstheme="minorHAnsi"/>
              </w:rPr>
              <w:t>N=</w:t>
            </w:r>
            <w:r w:rsidR="008359DD">
              <w:rPr>
                <w:rFonts w:eastAsia="MS Mincho" w:cstheme="minorHAnsi"/>
              </w:rPr>
              <w:t>315</w:t>
            </w:r>
          </w:p>
        </w:tc>
        <w:tc>
          <w:tcPr>
            <w:tcW w:w="1045" w:type="pct"/>
          </w:tcPr>
          <w:p w14:paraId="2E670CC4" w14:textId="688F7785" w:rsidR="009042AA" w:rsidRPr="00017AE6" w:rsidRDefault="008359DD" w:rsidP="00A71365">
            <w:pPr>
              <w:pStyle w:val="Tablewriting"/>
              <w:rPr>
                <w:rFonts w:eastAsia="MS Mincho" w:cstheme="minorHAnsi"/>
              </w:rPr>
            </w:pPr>
            <w:r>
              <w:rPr>
                <w:rFonts w:eastAsia="MS Mincho" w:cstheme="minorHAnsi"/>
              </w:rPr>
              <w:t xml:space="preserve">Smokers with average CPD 29. </w:t>
            </w:r>
          </w:p>
        </w:tc>
        <w:tc>
          <w:tcPr>
            <w:tcW w:w="1055" w:type="pct"/>
          </w:tcPr>
          <w:p w14:paraId="2FC5F099" w14:textId="77777777" w:rsidR="002A5B73" w:rsidRDefault="008359DD" w:rsidP="00C324F3">
            <w:pPr>
              <w:pStyle w:val="Tablewriting"/>
              <w:numPr>
                <w:ilvl w:val="0"/>
                <w:numId w:val="111"/>
              </w:numPr>
              <w:rPr>
                <w:rFonts w:eastAsia="MS Mincho" w:cstheme="minorHAnsi"/>
              </w:rPr>
            </w:pPr>
            <w:r w:rsidRPr="008359DD">
              <w:rPr>
                <w:rFonts w:eastAsia="MS Mincho" w:cstheme="minorHAnsi"/>
              </w:rPr>
              <w:t>Nicotine patch (24 h, 22 mg/24 h, 10 weeks incl tapering)</w:t>
            </w:r>
            <w:r w:rsidR="002A5B73">
              <w:rPr>
                <w:rFonts w:eastAsia="MS Mincho" w:cstheme="minorHAnsi"/>
              </w:rPr>
              <w:t>.</w:t>
            </w:r>
          </w:p>
          <w:p w14:paraId="052ACEC8" w14:textId="0A13AC4E" w:rsidR="008359DD" w:rsidRPr="002A5B73" w:rsidRDefault="008359DD" w:rsidP="00C324F3">
            <w:pPr>
              <w:pStyle w:val="Tablewriting"/>
              <w:numPr>
                <w:ilvl w:val="0"/>
                <w:numId w:val="111"/>
              </w:numPr>
              <w:rPr>
                <w:rFonts w:eastAsia="MS Mincho" w:cstheme="minorHAnsi"/>
              </w:rPr>
            </w:pPr>
            <w:r w:rsidRPr="002A5B73">
              <w:rPr>
                <w:rFonts w:eastAsia="MS Mincho" w:cstheme="minorHAnsi"/>
              </w:rPr>
              <w:t>Placebo patch</w:t>
            </w:r>
          </w:p>
          <w:p w14:paraId="783A7EB1" w14:textId="77777777" w:rsidR="002A5B73" w:rsidRDefault="002A5B73" w:rsidP="00A71365">
            <w:pPr>
              <w:pStyle w:val="Tablewriting"/>
              <w:rPr>
                <w:rFonts w:eastAsia="MS Mincho" w:cstheme="minorHAnsi"/>
              </w:rPr>
            </w:pPr>
          </w:p>
          <w:p w14:paraId="42617B44" w14:textId="771B4814" w:rsidR="009042AA" w:rsidRPr="00017AE6" w:rsidRDefault="008359DD" w:rsidP="00A71365">
            <w:pPr>
              <w:pStyle w:val="Tablewriting"/>
              <w:rPr>
                <w:rFonts w:eastAsia="MS Mincho" w:cstheme="minorHAnsi"/>
              </w:rPr>
            </w:pPr>
            <w:r w:rsidRPr="008359DD">
              <w:rPr>
                <w:rFonts w:eastAsia="MS Mincho" w:cstheme="minorHAnsi"/>
              </w:rPr>
              <w:t>Level of support: high (group therapy)</w:t>
            </w:r>
            <w:r w:rsidR="002A5B73">
              <w:rPr>
                <w:rFonts w:eastAsia="MS Mincho" w:cstheme="minorHAnsi"/>
              </w:rPr>
              <w:t>.</w:t>
            </w:r>
          </w:p>
        </w:tc>
        <w:tc>
          <w:tcPr>
            <w:tcW w:w="958" w:type="pct"/>
          </w:tcPr>
          <w:p w14:paraId="1C144B18" w14:textId="2A2E238A"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5A1D26">
              <w:rPr>
                <w:rFonts w:eastAsia="MS Mincho" w:cstheme="minorHAnsi"/>
                <w:u w:val="single"/>
              </w:rPr>
              <w:t xml:space="preserve"> </w:t>
            </w:r>
            <w:r w:rsidR="005A1D26" w:rsidRPr="00B952BC">
              <w:rPr>
                <w:rFonts w:eastAsia="MS Mincho" w:cstheme="minorHAnsi"/>
              </w:rPr>
              <w:t>Sustained abstinence at 12 months</w:t>
            </w:r>
            <w:r w:rsidR="00B952BC">
              <w:rPr>
                <w:rFonts w:eastAsia="MS Mincho" w:cstheme="minorHAnsi"/>
              </w:rPr>
              <w:t>.</w:t>
            </w:r>
          </w:p>
          <w:p w14:paraId="519198E8" w14:textId="77777777" w:rsidR="005E6DBB" w:rsidRPr="005E6DBB" w:rsidRDefault="005E6DBB" w:rsidP="00A71365">
            <w:pPr>
              <w:pStyle w:val="Tablewriting"/>
              <w:rPr>
                <w:rFonts w:eastAsia="MS Mincho" w:cstheme="minorHAnsi"/>
              </w:rPr>
            </w:pPr>
          </w:p>
          <w:p w14:paraId="3A86531F" w14:textId="17613703" w:rsidR="00B952BC" w:rsidRDefault="00B952BC" w:rsidP="00A71365">
            <w:pPr>
              <w:pStyle w:val="Tablewriting"/>
              <w:rPr>
                <w:rFonts w:eastAsia="MS Mincho" w:cstheme="minorHAnsi"/>
              </w:rPr>
            </w:pPr>
            <w:r w:rsidRPr="00B952BC">
              <w:rPr>
                <w:rFonts w:eastAsia="MS Mincho" w:cstheme="minorHAnsi"/>
              </w:rPr>
              <w:t>Validation: CO</w:t>
            </w:r>
          </w:p>
          <w:p w14:paraId="4FA3B512" w14:textId="77777777" w:rsidR="00B952BC" w:rsidRDefault="00B952BC" w:rsidP="00A71365">
            <w:pPr>
              <w:pStyle w:val="Tablewriting"/>
              <w:rPr>
                <w:rFonts w:eastAsia="MS Mincho" w:cstheme="minorHAnsi"/>
                <w:u w:val="single"/>
              </w:rPr>
            </w:pPr>
          </w:p>
          <w:p w14:paraId="30C2C528" w14:textId="08086177"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4F28F545" w14:textId="77777777" w:rsidTr="005821B1">
        <w:trPr>
          <w:trHeight w:val="99"/>
        </w:trPr>
        <w:tc>
          <w:tcPr>
            <w:tcW w:w="1003" w:type="pct"/>
          </w:tcPr>
          <w:p w14:paraId="5BB502BE" w14:textId="7E5015FC" w:rsidR="009042AA" w:rsidRPr="00FD17DC" w:rsidRDefault="00214400" w:rsidP="00A71365">
            <w:pPr>
              <w:pStyle w:val="Tablewriting"/>
              <w:rPr>
                <w:rFonts w:eastAsia="MS Mincho"/>
              </w:rPr>
            </w:pPr>
            <w:r w:rsidRPr="00FD17DC">
              <w:rPr>
                <w:rFonts w:eastAsia="MS Mincho"/>
              </w:rPr>
              <w:t xml:space="preserve">Sachs </w:t>
            </w:r>
            <w:r w:rsidR="006C6C9B">
              <w:rPr>
                <w:rFonts w:eastAsia="MS Mincho"/>
              </w:rPr>
              <w:t>(</w:t>
            </w:r>
            <w:r w:rsidRPr="00FD17DC">
              <w:rPr>
                <w:rFonts w:eastAsia="MS Mincho"/>
              </w:rPr>
              <w:t>1993</w:t>
            </w:r>
            <w:r w:rsidR="006C6C9B">
              <w:rPr>
                <w:rFonts w:eastAsia="MS Mincho"/>
              </w:rPr>
              <w:t>)</w:t>
            </w:r>
          </w:p>
        </w:tc>
        <w:tc>
          <w:tcPr>
            <w:tcW w:w="235" w:type="pct"/>
          </w:tcPr>
          <w:p w14:paraId="4A371C5F" w14:textId="500658B2"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F485130" w14:textId="70E8F4F2" w:rsidR="009042AA" w:rsidRPr="00017AE6" w:rsidRDefault="00407CDA" w:rsidP="00A71365">
            <w:pPr>
              <w:pStyle w:val="Tablewriting"/>
              <w:rPr>
                <w:rFonts w:eastAsia="MS Mincho" w:cstheme="minorHAnsi"/>
              </w:rPr>
            </w:pPr>
            <w:r>
              <w:rPr>
                <w:rFonts w:eastAsia="MS Mincho" w:cstheme="minorHAnsi"/>
              </w:rPr>
              <w:t>USA</w:t>
            </w:r>
          </w:p>
        </w:tc>
        <w:tc>
          <w:tcPr>
            <w:tcW w:w="289" w:type="pct"/>
          </w:tcPr>
          <w:p w14:paraId="545F6EC2" w14:textId="11CDA182" w:rsidR="009042AA" w:rsidRPr="00017AE6" w:rsidRDefault="001173B2" w:rsidP="00A71365">
            <w:pPr>
              <w:pStyle w:val="Tablewriting"/>
              <w:rPr>
                <w:rFonts w:eastAsia="MS Mincho" w:cstheme="minorHAnsi"/>
              </w:rPr>
            </w:pPr>
            <w:r>
              <w:rPr>
                <w:rFonts w:eastAsia="MS Mincho" w:cstheme="minorHAnsi"/>
              </w:rPr>
              <w:t>N=</w:t>
            </w:r>
            <w:r w:rsidR="00407CDA">
              <w:rPr>
                <w:rFonts w:eastAsia="MS Mincho" w:cstheme="minorHAnsi"/>
              </w:rPr>
              <w:t>220</w:t>
            </w:r>
          </w:p>
        </w:tc>
        <w:tc>
          <w:tcPr>
            <w:tcW w:w="1045" w:type="pct"/>
          </w:tcPr>
          <w:p w14:paraId="6C28FDE3" w14:textId="412165E3" w:rsidR="009042AA" w:rsidRPr="00017AE6" w:rsidRDefault="00407CDA" w:rsidP="00A71365">
            <w:pPr>
              <w:pStyle w:val="Tablewriting"/>
              <w:rPr>
                <w:rFonts w:eastAsia="MS Mincho" w:cstheme="minorHAnsi"/>
              </w:rPr>
            </w:pPr>
            <w:r>
              <w:rPr>
                <w:rFonts w:eastAsia="MS Mincho" w:cstheme="minorHAnsi"/>
              </w:rPr>
              <w:t xml:space="preserve">Adult smokers with average </w:t>
            </w:r>
            <w:r w:rsidR="00406EE5">
              <w:rPr>
                <w:rFonts w:eastAsia="MS Mincho" w:cstheme="minorHAnsi"/>
              </w:rPr>
              <w:t xml:space="preserve">CPD 28 to 29. </w:t>
            </w:r>
          </w:p>
        </w:tc>
        <w:tc>
          <w:tcPr>
            <w:tcW w:w="1055" w:type="pct"/>
          </w:tcPr>
          <w:p w14:paraId="585977CC" w14:textId="77777777" w:rsidR="00595BD7" w:rsidRDefault="003E4390" w:rsidP="00C324F3">
            <w:pPr>
              <w:pStyle w:val="Tablewriting"/>
              <w:numPr>
                <w:ilvl w:val="0"/>
                <w:numId w:val="112"/>
              </w:numPr>
              <w:rPr>
                <w:rFonts w:eastAsia="MS Mincho" w:cstheme="minorHAnsi"/>
              </w:rPr>
            </w:pPr>
            <w:r w:rsidRPr="003E4390">
              <w:rPr>
                <w:rFonts w:eastAsia="MS Mincho" w:cstheme="minorHAnsi"/>
              </w:rPr>
              <w:t>Nicotine patch (15 mg/16 h, 12 weeks + 6 weeks tapering)</w:t>
            </w:r>
            <w:r w:rsidR="00595BD7">
              <w:rPr>
                <w:rFonts w:eastAsia="MS Mincho" w:cstheme="minorHAnsi"/>
              </w:rPr>
              <w:t>.</w:t>
            </w:r>
          </w:p>
          <w:p w14:paraId="7F97624E" w14:textId="5D95D6AC" w:rsidR="003E4390" w:rsidRPr="00595BD7" w:rsidRDefault="003E4390" w:rsidP="00C324F3">
            <w:pPr>
              <w:pStyle w:val="Tablewriting"/>
              <w:numPr>
                <w:ilvl w:val="0"/>
                <w:numId w:val="112"/>
              </w:numPr>
              <w:rPr>
                <w:rFonts w:eastAsia="MS Mincho" w:cstheme="minorHAnsi"/>
              </w:rPr>
            </w:pPr>
            <w:r w:rsidRPr="00595BD7">
              <w:rPr>
                <w:rFonts w:eastAsia="MS Mincho" w:cstheme="minorHAnsi"/>
              </w:rPr>
              <w:t>Placebo patch</w:t>
            </w:r>
          </w:p>
          <w:p w14:paraId="231485DF" w14:textId="77777777" w:rsidR="00595BD7" w:rsidRDefault="00595BD7" w:rsidP="00A71365">
            <w:pPr>
              <w:pStyle w:val="Tablewriting"/>
              <w:rPr>
                <w:rFonts w:eastAsia="MS Mincho" w:cstheme="minorHAnsi"/>
              </w:rPr>
            </w:pPr>
          </w:p>
          <w:p w14:paraId="7BA0DF81" w14:textId="6560703C" w:rsidR="009042AA" w:rsidRPr="00017AE6" w:rsidRDefault="003E4390" w:rsidP="00A71365">
            <w:pPr>
              <w:pStyle w:val="Tablewriting"/>
              <w:rPr>
                <w:rFonts w:eastAsia="MS Mincho" w:cstheme="minorHAnsi"/>
              </w:rPr>
            </w:pPr>
            <w:r w:rsidRPr="003E4390">
              <w:rPr>
                <w:rFonts w:eastAsia="MS Mincho" w:cstheme="minorHAnsi"/>
              </w:rPr>
              <w:t>Level of support: high (physician advice, 8 visits during treatment period)</w:t>
            </w:r>
            <w:r w:rsidR="00595BD7">
              <w:rPr>
                <w:rFonts w:eastAsia="MS Mincho" w:cstheme="minorHAnsi"/>
              </w:rPr>
              <w:t>.</w:t>
            </w:r>
          </w:p>
        </w:tc>
        <w:tc>
          <w:tcPr>
            <w:tcW w:w="958" w:type="pct"/>
          </w:tcPr>
          <w:p w14:paraId="6B29CEA8" w14:textId="6B02823F" w:rsidR="00AD69EA" w:rsidRPr="00AD69EA" w:rsidRDefault="001173B2" w:rsidP="00A71365">
            <w:pPr>
              <w:pStyle w:val="Tablewriting"/>
              <w:rPr>
                <w:rFonts w:eastAsia="MS Mincho" w:cstheme="minorHAnsi"/>
              </w:rPr>
            </w:pPr>
            <w:r w:rsidRPr="009B13E2">
              <w:rPr>
                <w:rFonts w:eastAsia="MS Mincho" w:cstheme="minorHAnsi"/>
                <w:u w:val="single"/>
              </w:rPr>
              <w:t>Efficacy:</w:t>
            </w:r>
            <w:r w:rsidR="00AD69EA">
              <w:rPr>
                <w:rFonts w:eastAsia="MS Mincho" w:cstheme="minorHAnsi"/>
                <w:u w:val="single"/>
              </w:rPr>
              <w:t xml:space="preserve"> </w:t>
            </w:r>
            <w:r w:rsidR="00AD69EA" w:rsidRPr="00AD69EA">
              <w:rPr>
                <w:rFonts w:eastAsia="MS Mincho" w:cstheme="minorHAnsi"/>
              </w:rPr>
              <w:t>Sustained abstinence at 12 months</w:t>
            </w:r>
            <w:r w:rsidR="00AD69EA">
              <w:rPr>
                <w:rFonts w:eastAsia="MS Mincho" w:cstheme="minorHAnsi"/>
              </w:rPr>
              <w:t>.</w:t>
            </w:r>
          </w:p>
          <w:p w14:paraId="108758B0" w14:textId="3DE9FF6A" w:rsidR="001173B2" w:rsidRPr="00AD69EA" w:rsidRDefault="00AD69EA" w:rsidP="00A71365">
            <w:pPr>
              <w:pStyle w:val="Tablewriting"/>
              <w:rPr>
                <w:rFonts w:eastAsia="MS Mincho" w:cstheme="minorHAnsi"/>
              </w:rPr>
            </w:pPr>
            <w:r w:rsidRPr="00AD69EA">
              <w:rPr>
                <w:rFonts w:eastAsia="MS Mincho" w:cstheme="minorHAnsi"/>
              </w:rPr>
              <w:t>Validation: CO</w:t>
            </w:r>
          </w:p>
          <w:p w14:paraId="3362051F" w14:textId="77777777" w:rsidR="001173B2" w:rsidRDefault="001173B2" w:rsidP="00A71365">
            <w:pPr>
              <w:pStyle w:val="Tablewriting"/>
              <w:rPr>
                <w:rFonts w:eastAsia="MS Mincho" w:cstheme="minorHAnsi"/>
              </w:rPr>
            </w:pPr>
          </w:p>
          <w:p w14:paraId="65AB4362" w14:textId="5BB47602"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644EBA27" w14:textId="77777777" w:rsidTr="005821B1">
        <w:trPr>
          <w:trHeight w:val="99"/>
        </w:trPr>
        <w:tc>
          <w:tcPr>
            <w:tcW w:w="1003" w:type="pct"/>
          </w:tcPr>
          <w:p w14:paraId="71562E02" w14:textId="7BB1B9B8" w:rsidR="009042AA" w:rsidRPr="00FD17DC" w:rsidRDefault="00214400" w:rsidP="00A71365">
            <w:pPr>
              <w:pStyle w:val="Tablewriting"/>
              <w:rPr>
                <w:rFonts w:eastAsia="MS Mincho"/>
              </w:rPr>
            </w:pPr>
            <w:r w:rsidRPr="00FD17DC">
              <w:rPr>
                <w:rFonts w:eastAsia="MS Mincho"/>
              </w:rPr>
              <w:t xml:space="preserve">Stapleton </w:t>
            </w:r>
            <w:r w:rsidR="006C6C9B">
              <w:rPr>
                <w:rFonts w:eastAsia="MS Mincho"/>
              </w:rPr>
              <w:t>(</w:t>
            </w:r>
            <w:r w:rsidRPr="00FD17DC">
              <w:rPr>
                <w:rFonts w:eastAsia="MS Mincho"/>
              </w:rPr>
              <w:t>1995</w:t>
            </w:r>
            <w:r w:rsidR="006C6C9B">
              <w:rPr>
                <w:rFonts w:eastAsia="MS Mincho"/>
              </w:rPr>
              <w:t>)</w:t>
            </w:r>
          </w:p>
        </w:tc>
        <w:tc>
          <w:tcPr>
            <w:tcW w:w="235" w:type="pct"/>
          </w:tcPr>
          <w:p w14:paraId="122FE9AE" w14:textId="1E8584A6"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32481DD" w14:textId="7638BE9B" w:rsidR="009042AA" w:rsidRPr="00017AE6" w:rsidRDefault="006F7C94" w:rsidP="00A71365">
            <w:pPr>
              <w:pStyle w:val="Tablewriting"/>
              <w:rPr>
                <w:rFonts w:eastAsia="MS Mincho" w:cstheme="minorHAnsi"/>
              </w:rPr>
            </w:pPr>
            <w:r>
              <w:rPr>
                <w:rFonts w:eastAsia="MS Mincho" w:cstheme="minorHAnsi"/>
              </w:rPr>
              <w:t>UK</w:t>
            </w:r>
          </w:p>
        </w:tc>
        <w:tc>
          <w:tcPr>
            <w:tcW w:w="289" w:type="pct"/>
          </w:tcPr>
          <w:p w14:paraId="3A96EA54" w14:textId="2C6FBA2F" w:rsidR="009042AA" w:rsidRPr="00017AE6" w:rsidRDefault="001173B2" w:rsidP="00A71365">
            <w:pPr>
              <w:pStyle w:val="Tablewriting"/>
              <w:rPr>
                <w:rFonts w:eastAsia="MS Mincho" w:cstheme="minorHAnsi"/>
              </w:rPr>
            </w:pPr>
            <w:r>
              <w:rPr>
                <w:rFonts w:eastAsia="MS Mincho" w:cstheme="minorHAnsi"/>
              </w:rPr>
              <w:t>N=</w:t>
            </w:r>
            <w:r w:rsidR="00B00821">
              <w:rPr>
                <w:rFonts w:eastAsia="MS Mincho" w:cstheme="minorHAnsi"/>
              </w:rPr>
              <w:t>1200</w:t>
            </w:r>
          </w:p>
        </w:tc>
        <w:tc>
          <w:tcPr>
            <w:tcW w:w="1045" w:type="pct"/>
          </w:tcPr>
          <w:p w14:paraId="4AA879B3" w14:textId="5EAD9A19" w:rsidR="009042AA" w:rsidRPr="00017AE6" w:rsidRDefault="006F7C94" w:rsidP="00A71365">
            <w:pPr>
              <w:pStyle w:val="Tablewriting"/>
              <w:rPr>
                <w:rFonts w:eastAsia="MS Mincho" w:cstheme="minorHAnsi"/>
              </w:rPr>
            </w:pPr>
            <w:r>
              <w:rPr>
                <w:rFonts w:eastAsia="MS Mincho" w:cstheme="minorHAnsi"/>
              </w:rPr>
              <w:t>S</w:t>
            </w:r>
            <w:r w:rsidRPr="006F7C94">
              <w:rPr>
                <w:rFonts w:eastAsia="MS Mincho" w:cstheme="minorHAnsi"/>
              </w:rPr>
              <w:t>mokers considered by GP to be highly dependent and motivated to give up</w:t>
            </w:r>
            <w:r>
              <w:rPr>
                <w:rFonts w:eastAsia="MS Mincho" w:cstheme="minorHAnsi"/>
              </w:rPr>
              <w:t xml:space="preserve">, </w:t>
            </w:r>
            <w:r w:rsidRPr="006F7C94">
              <w:rPr>
                <w:rFonts w:eastAsia="MS Mincho" w:cstheme="minorHAnsi"/>
              </w:rPr>
              <w:t xml:space="preserve">average </w:t>
            </w:r>
            <w:r>
              <w:rPr>
                <w:rFonts w:eastAsia="MS Mincho" w:cstheme="minorHAnsi"/>
              </w:rPr>
              <w:t>CPD</w:t>
            </w:r>
            <w:r w:rsidRPr="006F7C94">
              <w:rPr>
                <w:rFonts w:eastAsia="MS Mincho" w:cstheme="minorHAnsi"/>
              </w:rPr>
              <w:t xml:space="preserve"> 23 to 24</w:t>
            </w:r>
            <w:r>
              <w:rPr>
                <w:rFonts w:eastAsia="MS Mincho" w:cstheme="minorHAnsi"/>
              </w:rPr>
              <w:t>.</w:t>
            </w:r>
          </w:p>
        </w:tc>
        <w:tc>
          <w:tcPr>
            <w:tcW w:w="1055" w:type="pct"/>
          </w:tcPr>
          <w:p w14:paraId="16873404" w14:textId="77777777" w:rsidR="0099394B" w:rsidRDefault="0099394B" w:rsidP="00C324F3">
            <w:pPr>
              <w:pStyle w:val="Tablewriting"/>
              <w:numPr>
                <w:ilvl w:val="0"/>
                <w:numId w:val="113"/>
              </w:numPr>
              <w:rPr>
                <w:rFonts w:eastAsia="MS Mincho" w:cstheme="minorHAnsi"/>
              </w:rPr>
            </w:pPr>
            <w:r w:rsidRPr="0099394B">
              <w:rPr>
                <w:rFonts w:eastAsia="MS Mincho" w:cstheme="minorHAnsi"/>
              </w:rPr>
              <w:t>Nicotine patch standard dose (15 mg/16 h for 18 weeks)</w:t>
            </w:r>
            <w:r>
              <w:rPr>
                <w:rFonts w:eastAsia="MS Mincho" w:cstheme="minorHAnsi"/>
              </w:rPr>
              <w:t>.</w:t>
            </w:r>
          </w:p>
          <w:p w14:paraId="3F4EBF56" w14:textId="77777777" w:rsidR="0099394B" w:rsidRDefault="0099394B" w:rsidP="00C324F3">
            <w:pPr>
              <w:pStyle w:val="Tablewriting"/>
              <w:numPr>
                <w:ilvl w:val="0"/>
                <w:numId w:val="113"/>
              </w:numPr>
              <w:rPr>
                <w:rFonts w:eastAsia="MS Mincho" w:cstheme="minorHAnsi"/>
              </w:rPr>
            </w:pPr>
            <w:r w:rsidRPr="0099394B">
              <w:rPr>
                <w:rFonts w:eastAsia="MS Mincho" w:cstheme="minorHAnsi"/>
              </w:rPr>
              <w:t>Nicotine patch with dose increase to 25 mg at 1 week if required</w:t>
            </w:r>
            <w:r>
              <w:rPr>
                <w:rFonts w:eastAsia="MS Mincho" w:cstheme="minorHAnsi"/>
              </w:rPr>
              <w:t>.</w:t>
            </w:r>
          </w:p>
          <w:p w14:paraId="61A3BC31" w14:textId="54A4549C" w:rsidR="0099394B" w:rsidRPr="0099394B" w:rsidRDefault="0099394B" w:rsidP="00C324F3">
            <w:pPr>
              <w:pStyle w:val="Tablewriting"/>
              <w:numPr>
                <w:ilvl w:val="0"/>
                <w:numId w:val="113"/>
              </w:numPr>
              <w:rPr>
                <w:rFonts w:eastAsia="MS Mincho" w:cstheme="minorHAnsi"/>
              </w:rPr>
            </w:pPr>
            <w:r w:rsidRPr="0099394B">
              <w:rPr>
                <w:rFonts w:eastAsia="MS Mincho" w:cstheme="minorHAnsi"/>
              </w:rPr>
              <w:t>Placebo patch group</w:t>
            </w:r>
          </w:p>
          <w:p w14:paraId="1D126587" w14:textId="77777777" w:rsidR="0099394B" w:rsidRDefault="0099394B" w:rsidP="00A71365">
            <w:pPr>
              <w:pStyle w:val="Tablewriting"/>
              <w:rPr>
                <w:rFonts w:eastAsia="MS Mincho" w:cstheme="minorHAnsi"/>
              </w:rPr>
            </w:pPr>
          </w:p>
          <w:p w14:paraId="406F2A80" w14:textId="7AAD5A31" w:rsidR="0099394B" w:rsidRDefault="0099394B" w:rsidP="00A71365">
            <w:pPr>
              <w:pStyle w:val="Tablewriting"/>
              <w:rPr>
                <w:rFonts w:eastAsia="MS Mincho" w:cstheme="minorHAnsi"/>
              </w:rPr>
            </w:pPr>
            <w:r w:rsidRPr="0099394B">
              <w:rPr>
                <w:rFonts w:eastAsia="MS Mincho" w:cstheme="minorHAnsi"/>
              </w:rPr>
              <w:lastRenderedPageBreak/>
              <w:t>The nicotine patch groups were further randomized to gradual tapering or abrupt withdrawal at week</w:t>
            </w:r>
            <w:r w:rsidR="003907B5">
              <w:rPr>
                <w:rFonts w:eastAsia="MS Mincho" w:cstheme="minorHAnsi"/>
              </w:rPr>
              <w:t xml:space="preserve"> </w:t>
            </w:r>
            <w:r w:rsidRPr="0099394B">
              <w:rPr>
                <w:rFonts w:eastAsia="MS Mincho" w:cstheme="minorHAnsi"/>
              </w:rPr>
              <w:t>12</w:t>
            </w:r>
            <w:r w:rsidR="003907B5">
              <w:rPr>
                <w:rFonts w:eastAsia="MS Mincho" w:cstheme="minorHAnsi"/>
              </w:rPr>
              <w:t>.</w:t>
            </w:r>
          </w:p>
          <w:p w14:paraId="68766C79" w14:textId="77777777" w:rsidR="003907B5" w:rsidRPr="0099394B" w:rsidRDefault="003907B5" w:rsidP="00A71365">
            <w:pPr>
              <w:pStyle w:val="Tablewriting"/>
              <w:rPr>
                <w:rFonts w:eastAsia="MS Mincho" w:cstheme="minorHAnsi"/>
              </w:rPr>
            </w:pPr>
          </w:p>
          <w:p w14:paraId="3C51920F" w14:textId="222C480F" w:rsidR="009042AA" w:rsidRPr="00017AE6" w:rsidRDefault="0099394B" w:rsidP="00A71365">
            <w:pPr>
              <w:pStyle w:val="Tablewriting"/>
              <w:rPr>
                <w:rFonts w:eastAsia="MS Mincho" w:cstheme="minorHAnsi"/>
              </w:rPr>
            </w:pPr>
            <w:r w:rsidRPr="0099394B">
              <w:rPr>
                <w:rFonts w:eastAsia="MS Mincho" w:cstheme="minorHAnsi"/>
              </w:rPr>
              <w:t>Level of support: high (physician advice and brief support at 1, 3, 6, 12 weeks)</w:t>
            </w:r>
            <w:r w:rsidR="003907B5">
              <w:rPr>
                <w:rFonts w:eastAsia="MS Mincho" w:cstheme="minorHAnsi"/>
              </w:rPr>
              <w:t>.</w:t>
            </w:r>
          </w:p>
        </w:tc>
        <w:tc>
          <w:tcPr>
            <w:tcW w:w="958" w:type="pct"/>
          </w:tcPr>
          <w:p w14:paraId="185E2AC3" w14:textId="51B583C9" w:rsidR="003907B5" w:rsidRDefault="001173B2" w:rsidP="00A71365">
            <w:pPr>
              <w:pStyle w:val="Tablewriting"/>
              <w:rPr>
                <w:rFonts w:eastAsia="MS Mincho" w:cstheme="minorHAnsi"/>
              </w:rPr>
            </w:pPr>
            <w:r w:rsidRPr="009B13E2">
              <w:rPr>
                <w:rFonts w:eastAsia="MS Mincho" w:cstheme="minorHAnsi"/>
                <w:u w:val="single"/>
              </w:rPr>
              <w:lastRenderedPageBreak/>
              <w:t>Efficacy:</w:t>
            </w:r>
            <w:r w:rsidR="003907B5">
              <w:rPr>
                <w:rFonts w:eastAsia="MS Mincho" w:cstheme="minorHAnsi"/>
                <w:u w:val="single"/>
              </w:rPr>
              <w:t xml:space="preserve"> </w:t>
            </w:r>
            <w:r w:rsidR="003907B5" w:rsidRPr="003907B5">
              <w:rPr>
                <w:rFonts w:eastAsia="MS Mincho" w:cstheme="minorHAnsi"/>
              </w:rPr>
              <w:t>Sustained abstinence at 12 months</w:t>
            </w:r>
            <w:r w:rsidR="003907B5">
              <w:rPr>
                <w:rFonts w:eastAsia="MS Mincho" w:cstheme="minorHAnsi"/>
              </w:rPr>
              <w:t>.</w:t>
            </w:r>
          </w:p>
          <w:p w14:paraId="44165717" w14:textId="77777777" w:rsidR="003907B5" w:rsidRPr="003907B5" w:rsidRDefault="003907B5" w:rsidP="00A71365">
            <w:pPr>
              <w:pStyle w:val="Tablewriting"/>
              <w:rPr>
                <w:rFonts w:eastAsia="MS Mincho" w:cstheme="minorHAnsi"/>
              </w:rPr>
            </w:pPr>
          </w:p>
          <w:p w14:paraId="0C254868" w14:textId="2817E0E7" w:rsidR="001173B2" w:rsidRPr="009B13E2" w:rsidRDefault="003907B5" w:rsidP="00A71365">
            <w:pPr>
              <w:pStyle w:val="Tablewriting"/>
              <w:rPr>
                <w:rFonts w:eastAsia="MS Mincho" w:cstheme="minorHAnsi"/>
                <w:u w:val="single"/>
              </w:rPr>
            </w:pPr>
            <w:r w:rsidRPr="003907B5">
              <w:rPr>
                <w:rFonts w:eastAsia="MS Mincho" w:cstheme="minorHAnsi"/>
              </w:rPr>
              <w:t>Validation: CO</w:t>
            </w:r>
            <w:r>
              <w:rPr>
                <w:rFonts w:eastAsia="MS Mincho" w:cstheme="minorHAnsi"/>
              </w:rPr>
              <w:t>.</w:t>
            </w:r>
          </w:p>
          <w:p w14:paraId="0D577EF9" w14:textId="77777777" w:rsidR="001173B2" w:rsidRDefault="001173B2" w:rsidP="00A71365">
            <w:pPr>
              <w:pStyle w:val="Tablewriting"/>
              <w:rPr>
                <w:rFonts w:eastAsia="MS Mincho" w:cstheme="minorHAnsi"/>
              </w:rPr>
            </w:pPr>
          </w:p>
          <w:p w14:paraId="205D0E9C" w14:textId="2C3E939A"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318EF6DA" w14:textId="77777777" w:rsidTr="005821B1">
        <w:trPr>
          <w:trHeight w:val="99"/>
        </w:trPr>
        <w:tc>
          <w:tcPr>
            <w:tcW w:w="1003" w:type="pct"/>
          </w:tcPr>
          <w:p w14:paraId="3B484415" w14:textId="59A926EF" w:rsidR="009042AA" w:rsidRPr="00FD17DC" w:rsidRDefault="00214400" w:rsidP="00A71365">
            <w:pPr>
              <w:pStyle w:val="Tablewriting"/>
              <w:rPr>
                <w:rFonts w:eastAsia="MS Mincho"/>
              </w:rPr>
            </w:pPr>
            <w:r w:rsidRPr="00FD17DC">
              <w:rPr>
                <w:rFonts w:eastAsia="MS Mincho"/>
              </w:rPr>
              <w:t xml:space="preserve">Tønnesen </w:t>
            </w:r>
            <w:r w:rsidR="006C6C9B">
              <w:rPr>
                <w:rFonts w:eastAsia="MS Mincho"/>
              </w:rPr>
              <w:t>(</w:t>
            </w:r>
            <w:r w:rsidRPr="00FD17DC">
              <w:rPr>
                <w:rFonts w:eastAsia="MS Mincho"/>
              </w:rPr>
              <w:t>1991</w:t>
            </w:r>
            <w:r w:rsidR="006C6C9B">
              <w:rPr>
                <w:rFonts w:eastAsia="MS Mincho"/>
              </w:rPr>
              <w:t>)</w:t>
            </w:r>
          </w:p>
        </w:tc>
        <w:tc>
          <w:tcPr>
            <w:tcW w:w="235" w:type="pct"/>
          </w:tcPr>
          <w:p w14:paraId="5E68B244" w14:textId="033EA1EF"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718BD655" w14:textId="556ABF3E" w:rsidR="009042AA" w:rsidRPr="00017AE6" w:rsidRDefault="00C905BA" w:rsidP="00A71365">
            <w:pPr>
              <w:pStyle w:val="Tablewriting"/>
              <w:rPr>
                <w:rFonts w:eastAsia="MS Mincho" w:cstheme="minorHAnsi"/>
              </w:rPr>
            </w:pPr>
            <w:r w:rsidRPr="00C905BA">
              <w:rPr>
                <w:rFonts w:eastAsia="MS Mincho" w:cstheme="minorHAnsi"/>
              </w:rPr>
              <w:t>Denmark</w:t>
            </w:r>
          </w:p>
        </w:tc>
        <w:tc>
          <w:tcPr>
            <w:tcW w:w="289" w:type="pct"/>
          </w:tcPr>
          <w:p w14:paraId="1CAA6FD8" w14:textId="6B0B43CB" w:rsidR="009042AA" w:rsidRPr="00017AE6" w:rsidRDefault="001173B2" w:rsidP="00A71365">
            <w:pPr>
              <w:pStyle w:val="Tablewriting"/>
              <w:rPr>
                <w:rFonts w:eastAsia="MS Mincho" w:cstheme="minorHAnsi"/>
              </w:rPr>
            </w:pPr>
            <w:r>
              <w:rPr>
                <w:rFonts w:eastAsia="MS Mincho" w:cstheme="minorHAnsi"/>
              </w:rPr>
              <w:t>N=</w:t>
            </w:r>
            <w:r w:rsidR="00B45B81">
              <w:rPr>
                <w:rFonts w:eastAsia="MS Mincho" w:cstheme="minorHAnsi"/>
              </w:rPr>
              <w:t>289</w:t>
            </w:r>
          </w:p>
        </w:tc>
        <w:tc>
          <w:tcPr>
            <w:tcW w:w="1045" w:type="pct"/>
          </w:tcPr>
          <w:p w14:paraId="519179C6" w14:textId="40B750D0" w:rsidR="009042AA" w:rsidRPr="00017AE6" w:rsidRDefault="00B45B81" w:rsidP="00A71365">
            <w:pPr>
              <w:pStyle w:val="Tablewriting"/>
              <w:rPr>
                <w:rFonts w:eastAsia="MS Mincho" w:cstheme="minorHAnsi"/>
              </w:rPr>
            </w:pPr>
            <w:r>
              <w:rPr>
                <w:rFonts w:eastAsia="MS Mincho" w:cstheme="minorHAnsi"/>
              </w:rPr>
              <w:t>S</w:t>
            </w:r>
            <w:r w:rsidRPr="00B45B81">
              <w:rPr>
                <w:rFonts w:eastAsia="MS Mincho" w:cstheme="minorHAnsi"/>
              </w:rPr>
              <w:t>mokers (</w:t>
            </w:r>
            <w:r w:rsidR="00E60AF8" w:rsidRPr="00E60AF8">
              <w:rPr>
                <w:rFonts w:eastAsia="MS Mincho" w:cstheme="minorHAnsi"/>
              </w:rPr>
              <w:t>≥</w:t>
            </w:r>
            <w:r w:rsidR="00E60AF8">
              <w:rPr>
                <w:rFonts w:eastAsia="MS Mincho" w:cstheme="minorHAnsi"/>
              </w:rPr>
              <w:t xml:space="preserve"> </w:t>
            </w:r>
            <w:r w:rsidRPr="00B45B81">
              <w:rPr>
                <w:rFonts w:eastAsia="MS Mincho" w:cstheme="minorHAnsi"/>
              </w:rPr>
              <w:t xml:space="preserve">10 </w:t>
            </w:r>
            <w:r w:rsidR="00E60AF8">
              <w:rPr>
                <w:rFonts w:eastAsia="MS Mincho" w:cstheme="minorHAnsi"/>
              </w:rPr>
              <w:t>CPD</w:t>
            </w:r>
            <w:r w:rsidRPr="00B45B81">
              <w:rPr>
                <w:rFonts w:eastAsia="MS Mincho" w:cstheme="minorHAnsi"/>
              </w:rPr>
              <w:t>)</w:t>
            </w:r>
            <w:r w:rsidR="00F43E05">
              <w:rPr>
                <w:rFonts w:eastAsia="MS Mincho" w:cstheme="minorHAnsi"/>
              </w:rPr>
              <w:t xml:space="preserve">, </w:t>
            </w:r>
            <w:r w:rsidRPr="00B45B81">
              <w:rPr>
                <w:rFonts w:eastAsia="MS Mincho" w:cstheme="minorHAnsi"/>
              </w:rPr>
              <w:t xml:space="preserve">70% female, average age 45, average </w:t>
            </w:r>
            <w:r w:rsidR="00F43E05">
              <w:rPr>
                <w:rFonts w:eastAsia="MS Mincho" w:cstheme="minorHAnsi"/>
              </w:rPr>
              <w:t>CPD</w:t>
            </w:r>
            <w:r w:rsidRPr="00B45B81">
              <w:rPr>
                <w:rFonts w:eastAsia="MS Mincho" w:cstheme="minorHAnsi"/>
              </w:rPr>
              <w:t xml:space="preserve"> 22</w:t>
            </w:r>
            <w:r w:rsidR="00F43E05">
              <w:rPr>
                <w:rFonts w:eastAsia="MS Mincho" w:cstheme="minorHAnsi"/>
              </w:rPr>
              <w:t>.</w:t>
            </w:r>
          </w:p>
        </w:tc>
        <w:tc>
          <w:tcPr>
            <w:tcW w:w="1055" w:type="pct"/>
          </w:tcPr>
          <w:p w14:paraId="799949A5" w14:textId="77777777" w:rsidR="00910697" w:rsidRDefault="00F43E05" w:rsidP="00C324F3">
            <w:pPr>
              <w:pStyle w:val="Tablewriting"/>
              <w:numPr>
                <w:ilvl w:val="0"/>
                <w:numId w:val="114"/>
              </w:numPr>
              <w:rPr>
                <w:rFonts w:eastAsia="MS Mincho" w:cstheme="minorHAnsi"/>
              </w:rPr>
            </w:pPr>
            <w:r w:rsidRPr="00F43E05">
              <w:rPr>
                <w:rFonts w:eastAsia="MS Mincho" w:cstheme="minorHAnsi"/>
              </w:rPr>
              <w:t>Nicotine patch (15 mg/16 h for 12 weeks with tapering)</w:t>
            </w:r>
            <w:r w:rsidR="00910697">
              <w:rPr>
                <w:rFonts w:eastAsia="MS Mincho" w:cstheme="minorHAnsi"/>
              </w:rPr>
              <w:t>.</w:t>
            </w:r>
          </w:p>
          <w:p w14:paraId="531BCF96" w14:textId="3F60A4A6" w:rsidR="00F43E05" w:rsidRPr="00910697" w:rsidRDefault="00F43E05" w:rsidP="00C324F3">
            <w:pPr>
              <w:pStyle w:val="Tablewriting"/>
              <w:numPr>
                <w:ilvl w:val="0"/>
                <w:numId w:val="114"/>
              </w:numPr>
              <w:rPr>
                <w:rFonts w:eastAsia="MS Mincho" w:cstheme="minorHAnsi"/>
              </w:rPr>
            </w:pPr>
            <w:r w:rsidRPr="00910697">
              <w:rPr>
                <w:rFonts w:eastAsia="MS Mincho" w:cstheme="minorHAnsi"/>
              </w:rPr>
              <w:t>Placebo patch</w:t>
            </w:r>
          </w:p>
          <w:p w14:paraId="2BFE67A3" w14:textId="77777777" w:rsidR="00910697" w:rsidRDefault="00910697" w:rsidP="00A71365">
            <w:pPr>
              <w:pStyle w:val="Tablewriting"/>
              <w:rPr>
                <w:rFonts w:eastAsia="MS Mincho" w:cstheme="minorHAnsi"/>
              </w:rPr>
            </w:pPr>
          </w:p>
          <w:p w14:paraId="54F985A2" w14:textId="59DA9DE6" w:rsidR="009042AA" w:rsidRPr="00017AE6" w:rsidRDefault="00F43E05" w:rsidP="00A71365">
            <w:pPr>
              <w:pStyle w:val="Tablewriting"/>
              <w:rPr>
                <w:rFonts w:eastAsia="MS Mincho" w:cstheme="minorHAnsi"/>
              </w:rPr>
            </w:pPr>
            <w:r w:rsidRPr="00F43E05">
              <w:rPr>
                <w:rFonts w:eastAsia="MS Mincho" w:cstheme="minorHAnsi"/>
              </w:rPr>
              <w:t>Level of support: high (7 clinic visits including a few minutes of advice)</w:t>
            </w:r>
            <w:r w:rsidR="00910697">
              <w:rPr>
                <w:rFonts w:eastAsia="MS Mincho" w:cstheme="minorHAnsi"/>
              </w:rPr>
              <w:t>.</w:t>
            </w:r>
          </w:p>
        </w:tc>
        <w:tc>
          <w:tcPr>
            <w:tcW w:w="958" w:type="pct"/>
          </w:tcPr>
          <w:p w14:paraId="365156FF" w14:textId="0F69FA67"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9D67FC">
              <w:rPr>
                <w:rFonts w:eastAsia="MS Mincho" w:cstheme="minorHAnsi"/>
                <w:u w:val="single"/>
              </w:rPr>
              <w:t xml:space="preserve"> </w:t>
            </w:r>
            <w:r w:rsidR="009D67FC" w:rsidRPr="009D67FC">
              <w:rPr>
                <w:rFonts w:eastAsia="MS Mincho" w:cstheme="minorHAnsi"/>
              </w:rPr>
              <w:t>Sustained abstinence at 12</w:t>
            </w:r>
            <w:r w:rsidR="009D67FC">
              <w:rPr>
                <w:rFonts w:eastAsia="MS Mincho" w:cstheme="minorHAnsi"/>
              </w:rPr>
              <w:t xml:space="preserve"> </w:t>
            </w:r>
            <w:r w:rsidR="009D67FC" w:rsidRPr="009D67FC">
              <w:rPr>
                <w:rFonts w:eastAsia="MS Mincho" w:cstheme="minorHAnsi"/>
              </w:rPr>
              <w:t>months</w:t>
            </w:r>
            <w:r w:rsidR="009D67FC">
              <w:rPr>
                <w:rFonts w:eastAsia="MS Mincho" w:cstheme="minorHAnsi"/>
              </w:rPr>
              <w:t>.</w:t>
            </w:r>
          </w:p>
          <w:p w14:paraId="6983482E" w14:textId="77777777" w:rsidR="001173B2" w:rsidRDefault="001173B2" w:rsidP="00A71365">
            <w:pPr>
              <w:pStyle w:val="Tablewriting"/>
              <w:rPr>
                <w:rFonts w:eastAsia="MS Mincho" w:cstheme="minorHAnsi"/>
              </w:rPr>
            </w:pPr>
          </w:p>
          <w:p w14:paraId="0388767D" w14:textId="68060096" w:rsidR="009042AA" w:rsidRPr="00017AE6" w:rsidRDefault="001173B2" w:rsidP="00A71365">
            <w:pPr>
              <w:pStyle w:val="Tablewriting"/>
              <w:rPr>
                <w:rFonts w:eastAsia="MS Mincho" w:cstheme="minorHAnsi"/>
              </w:rPr>
            </w:pPr>
            <w:r w:rsidRPr="009B13E2">
              <w:rPr>
                <w:rFonts w:eastAsia="MS Mincho" w:cstheme="minorHAnsi"/>
                <w:u w:val="single"/>
              </w:rPr>
              <w:t>Safety:</w:t>
            </w:r>
            <w:r w:rsidR="001665F6" w:rsidRPr="001665F6">
              <w:rPr>
                <w:rFonts w:eastAsia="MS Mincho" w:cstheme="minorHAnsi"/>
              </w:rPr>
              <w:t xml:space="preserve"> NR</w:t>
            </w:r>
          </w:p>
        </w:tc>
      </w:tr>
      <w:tr w:rsidR="009042AA" w:rsidRPr="00017AE6" w14:paraId="65FEA950" w14:textId="77777777" w:rsidTr="005821B1">
        <w:trPr>
          <w:trHeight w:val="99"/>
        </w:trPr>
        <w:tc>
          <w:tcPr>
            <w:tcW w:w="1003" w:type="pct"/>
          </w:tcPr>
          <w:p w14:paraId="54A0C909" w14:textId="5A313249" w:rsidR="009042AA" w:rsidRPr="00FD17DC" w:rsidRDefault="00214400" w:rsidP="00A71365">
            <w:pPr>
              <w:pStyle w:val="Tablewriting"/>
              <w:rPr>
                <w:rFonts w:eastAsia="MS Mincho"/>
              </w:rPr>
            </w:pPr>
            <w:r w:rsidRPr="00FD17DC">
              <w:rPr>
                <w:rFonts w:eastAsia="MS Mincho"/>
              </w:rPr>
              <w:t xml:space="preserve">Tønnesen </w:t>
            </w:r>
            <w:r w:rsidR="006C6C9B">
              <w:rPr>
                <w:rFonts w:eastAsia="MS Mincho"/>
              </w:rPr>
              <w:t>(</w:t>
            </w:r>
            <w:r w:rsidRPr="00FD17DC">
              <w:rPr>
                <w:rFonts w:eastAsia="MS Mincho"/>
              </w:rPr>
              <w:t>2000</w:t>
            </w:r>
            <w:r w:rsidR="006C6C9B">
              <w:rPr>
                <w:rFonts w:eastAsia="MS Mincho"/>
              </w:rPr>
              <w:t>)</w:t>
            </w:r>
          </w:p>
        </w:tc>
        <w:tc>
          <w:tcPr>
            <w:tcW w:w="235" w:type="pct"/>
          </w:tcPr>
          <w:p w14:paraId="374D2ED1" w14:textId="14D70832"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2709EBE2" w14:textId="4C28BC11" w:rsidR="009042AA" w:rsidRPr="00017AE6" w:rsidRDefault="00E065D6" w:rsidP="00A71365">
            <w:pPr>
              <w:pStyle w:val="Tablewriting"/>
              <w:rPr>
                <w:rFonts w:eastAsia="MS Mincho" w:cstheme="minorHAnsi"/>
              </w:rPr>
            </w:pPr>
            <w:r w:rsidRPr="00E065D6">
              <w:rPr>
                <w:rFonts w:eastAsia="MS Mincho" w:cstheme="minorHAnsi"/>
              </w:rPr>
              <w:t>Denmark</w:t>
            </w:r>
          </w:p>
        </w:tc>
        <w:tc>
          <w:tcPr>
            <w:tcW w:w="289" w:type="pct"/>
          </w:tcPr>
          <w:p w14:paraId="42AAFC6B" w14:textId="7797DAF3" w:rsidR="009042AA" w:rsidRPr="00017AE6" w:rsidRDefault="001173B2" w:rsidP="00A71365">
            <w:pPr>
              <w:pStyle w:val="Tablewriting"/>
              <w:rPr>
                <w:rFonts w:eastAsia="MS Mincho" w:cstheme="minorHAnsi"/>
              </w:rPr>
            </w:pPr>
            <w:r>
              <w:rPr>
                <w:rFonts w:eastAsia="MS Mincho" w:cstheme="minorHAnsi"/>
              </w:rPr>
              <w:t>N=</w:t>
            </w:r>
            <w:r w:rsidR="00E065D6">
              <w:rPr>
                <w:rFonts w:eastAsia="MS Mincho" w:cstheme="minorHAnsi"/>
              </w:rPr>
              <w:t>446</w:t>
            </w:r>
          </w:p>
        </w:tc>
        <w:tc>
          <w:tcPr>
            <w:tcW w:w="1045" w:type="pct"/>
          </w:tcPr>
          <w:p w14:paraId="34A25B01" w14:textId="076B2E24" w:rsidR="009042AA" w:rsidRPr="00017AE6" w:rsidRDefault="00E065D6" w:rsidP="00A71365">
            <w:pPr>
              <w:pStyle w:val="Tablewriting"/>
              <w:rPr>
                <w:rFonts w:eastAsia="MS Mincho" w:cstheme="minorHAnsi"/>
              </w:rPr>
            </w:pPr>
            <w:r>
              <w:rPr>
                <w:rFonts w:eastAsia="MS Mincho" w:cstheme="minorHAnsi"/>
              </w:rPr>
              <w:t>S</w:t>
            </w:r>
            <w:r w:rsidRPr="00E065D6">
              <w:rPr>
                <w:rFonts w:eastAsia="MS Mincho" w:cstheme="minorHAnsi"/>
              </w:rPr>
              <w:t>mokers</w:t>
            </w:r>
            <w:r w:rsidR="00D0632A">
              <w:t xml:space="preserve"> </w:t>
            </w:r>
            <w:r w:rsidR="00D0632A" w:rsidRPr="00D0632A">
              <w:rPr>
                <w:rFonts w:eastAsia="MS Mincho" w:cstheme="minorHAnsi"/>
              </w:rPr>
              <w:t>≥</w:t>
            </w:r>
            <w:r w:rsidR="00D0632A">
              <w:rPr>
                <w:rFonts w:eastAsia="MS Mincho" w:cstheme="minorHAnsi"/>
              </w:rPr>
              <w:t xml:space="preserve"> </w:t>
            </w:r>
            <w:r w:rsidRPr="00E065D6">
              <w:rPr>
                <w:rFonts w:eastAsia="MS Mincho" w:cstheme="minorHAnsi"/>
              </w:rPr>
              <w:t xml:space="preserve">10 </w:t>
            </w:r>
            <w:r w:rsidR="00D0632A">
              <w:rPr>
                <w:rFonts w:eastAsia="MS Mincho" w:cstheme="minorHAnsi"/>
              </w:rPr>
              <w:t xml:space="preserve">CPD, </w:t>
            </w:r>
            <w:r w:rsidRPr="00E065D6">
              <w:rPr>
                <w:rFonts w:eastAsia="MS Mincho" w:cstheme="minorHAnsi"/>
              </w:rPr>
              <w:t xml:space="preserve">52% female, average age 49, average </w:t>
            </w:r>
            <w:r w:rsidR="00D0632A">
              <w:rPr>
                <w:rFonts w:eastAsia="MS Mincho" w:cstheme="minorHAnsi"/>
              </w:rPr>
              <w:t xml:space="preserve">CPD </w:t>
            </w:r>
            <w:r w:rsidRPr="00E065D6">
              <w:rPr>
                <w:rFonts w:eastAsia="MS Mincho" w:cstheme="minorHAnsi"/>
              </w:rPr>
              <w:t>18</w:t>
            </w:r>
            <w:r w:rsidR="008B7613">
              <w:rPr>
                <w:rFonts w:eastAsia="MS Mincho" w:cstheme="minorHAnsi"/>
              </w:rPr>
              <w:t>.</w:t>
            </w:r>
          </w:p>
        </w:tc>
        <w:tc>
          <w:tcPr>
            <w:tcW w:w="1055" w:type="pct"/>
          </w:tcPr>
          <w:p w14:paraId="03379FF1" w14:textId="77777777" w:rsidR="00C80B7A" w:rsidRDefault="008B7613" w:rsidP="00C324F3">
            <w:pPr>
              <w:pStyle w:val="Tablewriting"/>
              <w:numPr>
                <w:ilvl w:val="0"/>
                <w:numId w:val="115"/>
              </w:numPr>
              <w:rPr>
                <w:rFonts w:eastAsia="MS Mincho" w:cstheme="minorHAnsi"/>
              </w:rPr>
            </w:pPr>
            <w:r w:rsidRPr="008B7613">
              <w:rPr>
                <w:rFonts w:eastAsia="MS Mincho" w:cstheme="minorHAnsi"/>
              </w:rPr>
              <w:t>5 mg nicotine patch (placebo)</w:t>
            </w:r>
            <w:r w:rsidR="00C80B7A">
              <w:rPr>
                <w:rFonts w:eastAsia="MS Mincho" w:cstheme="minorHAnsi"/>
              </w:rPr>
              <w:t>.</w:t>
            </w:r>
          </w:p>
          <w:p w14:paraId="75463507" w14:textId="77777777" w:rsidR="00C80B7A" w:rsidRDefault="008B7613" w:rsidP="00C324F3">
            <w:pPr>
              <w:pStyle w:val="Tablewriting"/>
              <w:numPr>
                <w:ilvl w:val="0"/>
                <w:numId w:val="115"/>
              </w:numPr>
              <w:rPr>
                <w:rFonts w:eastAsia="MS Mincho" w:cstheme="minorHAnsi"/>
              </w:rPr>
            </w:pPr>
            <w:r w:rsidRPr="00C80B7A">
              <w:rPr>
                <w:rFonts w:eastAsia="MS Mincho" w:cstheme="minorHAnsi"/>
              </w:rPr>
              <w:t>15 mg (16 h) nicotine patch for 12 weeks (up to 9 months on request)</w:t>
            </w:r>
            <w:r w:rsidR="00C80B7A">
              <w:rPr>
                <w:rFonts w:eastAsia="MS Mincho" w:cstheme="minorHAnsi"/>
              </w:rPr>
              <w:t>.</w:t>
            </w:r>
          </w:p>
          <w:p w14:paraId="00FFF257" w14:textId="77777777" w:rsidR="00C80B7A" w:rsidRDefault="008B7613" w:rsidP="00C324F3">
            <w:pPr>
              <w:pStyle w:val="Tablewriting"/>
              <w:numPr>
                <w:ilvl w:val="0"/>
                <w:numId w:val="115"/>
              </w:numPr>
              <w:rPr>
                <w:rFonts w:eastAsia="MS Mincho" w:cstheme="minorHAnsi"/>
              </w:rPr>
            </w:pPr>
            <w:r w:rsidRPr="00C80B7A">
              <w:rPr>
                <w:rFonts w:eastAsia="MS Mincho" w:cstheme="minorHAnsi"/>
              </w:rPr>
              <w:t>Nicotine inhaler (4 to 12/day ad lib)</w:t>
            </w:r>
            <w:r w:rsidR="00C80B7A">
              <w:rPr>
                <w:rFonts w:eastAsia="MS Mincho" w:cstheme="minorHAnsi"/>
              </w:rPr>
              <w:t>.</w:t>
            </w:r>
          </w:p>
          <w:p w14:paraId="5EB9834D" w14:textId="1B17F432" w:rsidR="008B7613" w:rsidRPr="00C80B7A" w:rsidRDefault="008B7613" w:rsidP="00C324F3">
            <w:pPr>
              <w:pStyle w:val="Tablewriting"/>
              <w:numPr>
                <w:ilvl w:val="0"/>
                <w:numId w:val="115"/>
              </w:numPr>
              <w:rPr>
                <w:rFonts w:eastAsia="MS Mincho" w:cstheme="minorHAnsi"/>
              </w:rPr>
            </w:pPr>
            <w:r w:rsidRPr="00C80B7A">
              <w:rPr>
                <w:rFonts w:eastAsia="MS Mincho" w:cstheme="minorHAnsi"/>
              </w:rPr>
              <w:t>Combination, 15 mg patch and inhaler</w:t>
            </w:r>
          </w:p>
          <w:p w14:paraId="1421CAC5" w14:textId="77777777" w:rsidR="00C80B7A" w:rsidRDefault="00C80B7A" w:rsidP="00A71365">
            <w:pPr>
              <w:pStyle w:val="Tablewriting"/>
              <w:rPr>
                <w:rFonts w:eastAsia="MS Mincho" w:cstheme="minorHAnsi"/>
              </w:rPr>
            </w:pPr>
          </w:p>
          <w:p w14:paraId="0DEF1B55" w14:textId="7600B4B7" w:rsidR="008B7613" w:rsidRPr="008B7613" w:rsidRDefault="008B7613" w:rsidP="00A71365">
            <w:pPr>
              <w:pStyle w:val="Tablewriting"/>
              <w:rPr>
                <w:rFonts w:eastAsia="MS Mincho" w:cstheme="minorHAnsi"/>
              </w:rPr>
            </w:pPr>
            <w:r w:rsidRPr="008B7613">
              <w:rPr>
                <w:rFonts w:eastAsia="MS Mincho" w:cstheme="minorHAnsi"/>
              </w:rPr>
              <w:t>Level of support: high (Physician advice at baseline, brief (15 minute) nurse counselling at 2, 6 weeks,</w:t>
            </w:r>
          </w:p>
          <w:p w14:paraId="538A0FCD" w14:textId="6F6C9100" w:rsidR="009042AA" w:rsidRPr="00017AE6" w:rsidRDefault="008B7613" w:rsidP="00A71365">
            <w:pPr>
              <w:pStyle w:val="Tablewriting"/>
              <w:rPr>
                <w:rFonts w:eastAsia="MS Mincho" w:cstheme="minorHAnsi"/>
              </w:rPr>
            </w:pPr>
            <w:r w:rsidRPr="008B7613">
              <w:rPr>
                <w:rFonts w:eastAsia="MS Mincho" w:cstheme="minorHAnsi"/>
              </w:rPr>
              <w:t>3, 6, 9, 12 months)</w:t>
            </w:r>
            <w:r w:rsidR="00C80B7A">
              <w:rPr>
                <w:rFonts w:eastAsia="MS Mincho" w:cstheme="minorHAnsi"/>
              </w:rPr>
              <w:t>.</w:t>
            </w:r>
          </w:p>
        </w:tc>
        <w:tc>
          <w:tcPr>
            <w:tcW w:w="958" w:type="pct"/>
          </w:tcPr>
          <w:p w14:paraId="0DBFE575" w14:textId="1D5ACBD2" w:rsidR="00C80B7A" w:rsidRDefault="001173B2" w:rsidP="00A71365">
            <w:pPr>
              <w:pStyle w:val="Tablewriting"/>
              <w:rPr>
                <w:rFonts w:eastAsia="MS Mincho" w:cstheme="minorHAnsi"/>
              </w:rPr>
            </w:pPr>
            <w:r w:rsidRPr="009B13E2">
              <w:rPr>
                <w:rFonts w:eastAsia="MS Mincho" w:cstheme="minorHAnsi"/>
                <w:u w:val="single"/>
              </w:rPr>
              <w:t>Efficacy:</w:t>
            </w:r>
            <w:r w:rsidR="00626E48">
              <w:rPr>
                <w:rFonts w:eastAsia="MS Mincho" w:cstheme="minorHAnsi"/>
                <w:u w:val="single"/>
              </w:rPr>
              <w:t xml:space="preserve"> </w:t>
            </w:r>
            <w:r w:rsidR="00C80B7A" w:rsidRPr="00C80B7A">
              <w:rPr>
                <w:rFonts w:eastAsia="MS Mincho" w:cstheme="minorHAnsi"/>
              </w:rPr>
              <w:t>Sustained abstinence at 12 months, (from week 2, paper also reports PP and with-slips rates)</w:t>
            </w:r>
            <w:r w:rsidR="00B920FC">
              <w:rPr>
                <w:rFonts w:eastAsia="MS Mincho" w:cstheme="minorHAnsi"/>
              </w:rPr>
              <w:t>.</w:t>
            </w:r>
          </w:p>
          <w:p w14:paraId="1413381C" w14:textId="77777777" w:rsidR="00B920FC" w:rsidRPr="00626E48" w:rsidRDefault="00B920FC" w:rsidP="00A71365">
            <w:pPr>
              <w:pStyle w:val="Tablewriting"/>
              <w:rPr>
                <w:rFonts w:eastAsia="MS Mincho" w:cstheme="minorHAnsi"/>
                <w:u w:val="single"/>
              </w:rPr>
            </w:pPr>
          </w:p>
          <w:p w14:paraId="6896AB2C" w14:textId="15D26A2C" w:rsidR="001173B2" w:rsidRDefault="00C80B7A" w:rsidP="00A71365">
            <w:pPr>
              <w:pStyle w:val="Tablewriting"/>
              <w:rPr>
                <w:rFonts w:eastAsia="MS Mincho" w:cstheme="minorHAnsi"/>
              </w:rPr>
            </w:pPr>
            <w:r w:rsidRPr="00C80B7A">
              <w:rPr>
                <w:rFonts w:eastAsia="MS Mincho" w:cstheme="minorHAnsi"/>
              </w:rPr>
              <w:t>Validation: CO &lt; 10 ppm at all visits</w:t>
            </w:r>
          </w:p>
          <w:p w14:paraId="3A52ACA8" w14:textId="77777777" w:rsidR="00C26B02" w:rsidRDefault="00C26B02" w:rsidP="00A71365">
            <w:pPr>
              <w:pStyle w:val="Tablewriting"/>
              <w:rPr>
                <w:rFonts w:eastAsia="MS Mincho" w:cstheme="minorHAnsi"/>
                <w:u w:val="single"/>
              </w:rPr>
            </w:pPr>
          </w:p>
          <w:p w14:paraId="728D0E86" w14:textId="42DD2EA1" w:rsidR="009042AA" w:rsidRPr="00017AE6" w:rsidRDefault="001173B2" w:rsidP="00A71365">
            <w:pPr>
              <w:pStyle w:val="Tablewriting"/>
              <w:rPr>
                <w:rFonts w:eastAsia="MS Mincho" w:cstheme="minorHAnsi"/>
              </w:rPr>
            </w:pPr>
            <w:r w:rsidRPr="009B13E2">
              <w:rPr>
                <w:rFonts w:eastAsia="MS Mincho" w:cstheme="minorHAnsi"/>
                <w:u w:val="single"/>
              </w:rPr>
              <w:t>Safety:</w:t>
            </w:r>
            <w:r w:rsidR="00C26B02" w:rsidRPr="001665F6">
              <w:rPr>
                <w:rFonts w:eastAsia="MS Mincho" w:cstheme="minorHAnsi"/>
              </w:rPr>
              <w:t xml:space="preserve"> NR</w:t>
            </w:r>
          </w:p>
        </w:tc>
      </w:tr>
      <w:tr w:rsidR="009042AA" w:rsidRPr="00017AE6" w14:paraId="03F1E6B9" w14:textId="77777777" w:rsidTr="005821B1">
        <w:trPr>
          <w:trHeight w:val="99"/>
        </w:trPr>
        <w:tc>
          <w:tcPr>
            <w:tcW w:w="1003" w:type="pct"/>
          </w:tcPr>
          <w:p w14:paraId="75B23EF8" w14:textId="6C3C73F8" w:rsidR="009042AA" w:rsidRPr="00FD17DC" w:rsidRDefault="00FD17DC" w:rsidP="00A71365">
            <w:pPr>
              <w:pStyle w:val="Tablewriting"/>
              <w:rPr>
                <w:rFonts w:eastAsia="MS Mincho"/>
              </w:rPr>
            </w:pPr>
            <w:r w:rsidRPr="00FD17DC">
              <w:rPr>
                <w:rFonts w:eastAsia="MS Mincho"/>
              </w:rPr>
              <w:t xml:space="preserve">Ward </w:t>
            </w:r>
            <w:r w:rsidR="006C6C9B">
              <w:rPr>
                <w:rFonts w:eastAsia="MS Mincho"/>
              </w:rPr>
              <w:t>(</w:t>
            </w:r>
            <w:r w:rsidRPr="00FD17DC">
              <w:rPr>
                <w:rFonts w:eastAsia="MS Mincho"/>
              </w:rPr>
              <w:t>2013</w:t>
            </w:r>
            <w:r w:rsidR="006C6C9B">
              <w:rPr>
                <w:rFonts w:eastAsia="MS Mincho"/>
              </w:rPr>
              <w:t>)</w:t>
            </w:r>
          </w:p>
        </w:tc>
        <w:tc>
          <w:tcPr>
            <w:tcW w:w="235" w:type="pct"/>
          </w:tcPr>
          <w:p w14:paraId="5226B949" w14:textId="18622CC0"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29F15D7" w14:textId="4151436E" w:rsidR="009042AA" w:rsidRPr="00017AE6" w:rsidRDefault="00D70991" w:rsidP="00A71365">
            <w:pPr>
              <w:pStyle w:val="Tablewriting"/>
              <w:rPr>
                <w:rFonts w:eastAsia="MS Mincho" w:cstheme="minorHAnsi"/>
              </w:rPr>
            </w:pPr>
            <w:r w:rsidRPr="00D70991">
              <w:rPr>
                <w:rFonts w:eastAsia="MS Mincho" w:cstheme="minorHAnsi"/>
              </w:rPr>
              <w:t>Syria</w:t>
            </w:r>
          </w:p>
        </w:tc>
        <w:tc>
          <w:tcPr>
            <w:tcW w:w="289" w:type="pct"/>
          </w:tcPr>
          <w:p w14:paraId="1C15974C" w14:textId="70B70CE9" w:rsidR="009042AA" w:rsidRPr="00017AE6" w:rsidRDefault="001173B2" w:rsidP="00A71365">
            <w:pPr>
              <w:pStyle w:val="Tablewriting"/>
              <w:rPr>
                <w:rFonts w:eastAsia="MS Mincho" w:cstheme="minorHAnsi"/>
              </w:rPr>
            </w:pPr>
            <w:r>
              <w:rPr>
                <w:rFonts w:eastAsia="MS Mincho" w:cstheme="minorHAnsi"/>
              </w:rPr>
              <w:t>N=</w:t>
            </w:r>
            <w:r w:rsidR="00342D32">
              <w:rPr>
                <w:rFonts w:eastAsia="MS Mincho" w:cstheme="minorHAnsi"/>
              </w:rPr>
              <w:t>269</w:t>
            </w:r>
          </w:p>
        </w:tc>
        <w:tc>
          <w:tcPr>
            <w:tcW w:w="1045" w:type="pct"/>
          </w:tcPr>
          <w:p w14:paraId="516ABEA2" w14:textId="4E3F4ABF" w:rsidR="007B5CBB" w:rsidRPr="007B5CBB" w:rsidRDefault="007B5CBB" w:rsidP="00A71365">
            <w:pPr>
              <w:pStyle w:val="Tablewriting"/>
              <w:rPr>
                <w:rFonts w:eastAsia="MS Mincho" w:cstheme="minorHAnsi"/>
              </w:rPr>
            </w:pPr>
            <w:r>
              <w:rPr>
                <w:rFonts w:eastAsia="MS Mincho" w:cstheme="minorHAnsi"/>
              </w:rPr>
              <w:t>S</w:t>
            </w:r>
            <w:r w:rsidRPr="007B5CBB">
              <w:rPr>
                <w:rFonts w:eastAsia="MS Mincho" w:cstheme="minorHAnsi"/>
              </w:rPr>
              <w:t xml:space="preserve">mokers (f 5 </w:t>
            </w:r>
            <w:r>
              <w:rPr>
                <w:rFonts w:eastAsia="MS Mincho" w:cstheme="minorHAnsi"/>
              </w:rPr>
              <w:t>CPD</w:t>
            </w:r>
            <w:r w:rsidRPr="007B5CBB">
              <w:rPr>
                <w:rFonts w:eastAsia="MS Mincho" w:cstheme="minorHAnsi"/>
              </w:rPr>
              <w:t xml:space="preserve"> &gt; 1 year)</w:t>
            </w:r>
          </w:p>
          <w:p w14:paraId="035A0F50" w14:textId="4A64677A" w:rsidR="009042AA" w:rsidRPr="00017AE6" w:rsidRDefault="007B5CBB" w:rsidP="00A71365">
            <w:pPr>
              <w:pStyle w:val="Tablewriting"/>
              <w:rPr>
                <w:rFonts w:eastAsia="MS Mincho" w:cstheme="minorHAnsi"/>
              </w:rPr>
            </w:pPr>
            <w:r w:rsidRPr="007B5CBB">
              <w:rPr>
                <w:rFonts w:eastAsia="MS Mincho" w:cstheme="minorHAnsi"/>
              </w:rPr>
              <w:t xml:space="preserve">22% female, average age 40, average </w:t>
            </w:r>
            <w:r>
              <w:rPr>
                <w:rFonts w:eastAsia="MS Mincho" w:cstheme="minorHAnsi"/>
              </w:rPr>
              <w:t>CPD</w:t>
            </w:r>
            <w:r w:rsidRPr="007B5CBB">
              <w:rPr>
                <w:rFonts w:eastAsia="MS Mincho" w:cstheme="minorHAnsi"/>
              </w:rPr>
              <w:t xml:space="preserve"> 28, mean FTND 5.8</w:t>
            </w:r>
            <w:r>
              <w:rPr>
                <w:rFonts w:eastAsia="MS Mincho" w:cstheme="minorHAnsi"/>
              </w:rPr>
              <w:t>.</w:t>
            </w:r>
          </w:p>
        </w:tc>
        <w:tc>
          <w:tcPr>
            <w:tcW w:w="1055" w:type="pct"/>
          </w:tcPr>
          <w:p w14:paraId="1B184449" w14:textId="77777777" w:rsidR="00A2375D" w:rsidRDefault="00BA54B8" w:rsidP="00C324F3">
            <w:pPr>
              <w:pStyle w:val="Tablewriting"/>
              <w:numPr>
                <w:ilvl w:val="0"/>
                <w:numId w:val="116"/>
              </w:numPr>
              <w:rPr>
                <w:rFonts w:eastAsia="MS Mincho" w:cstheme="minorHAnsi"/>
              </w:rPr>
            </w:pPr>
            <w:r w:rsidRPr="00BA54B8">
              <w:rPr>
                <w:rFonts w:eastAsia="MS Mincho" w:cstheme="minorHAnsi"/>
              </w:rPr>
              <w:t xml:space="preserve">Nicotine patch, 24 h for 6 weeks. Participants who smoked f 10 </w:t>
            </w:r>
            <w:r w:rsidR="00121FD5">
              <w:rPr>
                <w:rFonts w:eastAsia="MS Mincho" w:cstheme="minorHAnsi"/>
              </w:rPr>
              <w:t>CPD</w:t>
            </w:r>
            <w:r w:rsidRPr="00BA54B8">
              <w:rPr>
                <w:rFonts w:eastAsia="MS Mincho" w:cstheme="minorHAnsi"/>
              </w:rPr>
              <w:t xml:space="preserve"> given 2 </w:t>
            </w:r>
            <w:r w:rsidRPr="00BA54B8">
              <w:rPr>
                <w:rFonts w:eastAsia="MS Mincho" w:cstheme="minorHAnsi"/>
              </w:rPr>
              <w:lastRenderedPageBreak/>
              <w:t>weeks at 21 mg, 2 weeks</w:t>
            </w:r>
            <w:r w:rsidR="00121FD5">
              <w:rPr>
                <w:rFonts w:eastAsia="MS Mincho" w:cstheme="minorHAnsi"/>
              </w:rPr>
              <w:t xml:space="preserve"> </w:t>
            </w:r>
            <w:r w:rsidRPr="00121FD5">
              <w:rPr>
                <w:rFonts w:eastAsia="MS Mincho" w:cstheme="minorHAnsi"/>
              </w:rPr>
              <w:t xml:space="preserve">14 mg, 2 weeks 7 mg. Participants who smoked 5 to 9 </w:t>
            </w:r>
            <w:r w:rsidR="00121FD5">
              <w:rPr>
                <w:rFonts w:eastAsia="MS Mincho" w:cstheme="minorHAnsi"/>
              </w:rPr>
              <w:t>CPD</w:t>
            </w:r>
            <w:r w:rsidRPr="00121FD5">
              <w:rPr>
                <w:rFonts w:eastAsia="MS Mincho" w:cstheme="minorHAnsi"/>
              </w:rPr>
              <w:t xml:space="preserve"> given 4 weeks 14 mg, 2 weeks 7 mg</w:t>
            </w:r>
            <w:r w:rsidR="00121FD5" w:rsidRPr="00121FD5">
              <w:rPr>
                <w:rFonts w:eastAsia="MS Mincho" w:cstheme="minorHAnsi"/>
              </w:rPr>
              <w:t>.</w:t>
            </w:r>
          </w:p>
          <w:p w14:paraId="626ABED7" w14:textId="64A39C1F" w:rsidR="00BA54B8" w:rsidRDefault="00BA54B8" w:rsidP="00C324F3">
            <w:pPr>
              <w:pStyle w:val="Tablewriting"/>
              <w:numPr>
                <w:ilvl w:val="0"/>
                <w:numId w:val="116"/>
              </w:numPr>
              <w:rPr>
                <w:rFonts w:eastAsia="MS Mincho" w:cstheme="minorHAnsi"/>
              </w:rPr>
            </w:pPr>
            <w:r w:rsidRPr="00A2375D">
              <w:rPr>
                <w:rFonts w:eastAsia="MS Mincho" w:cstheme="minorHAnsi"/>
              </w:rPr>
              <w:t>Placebo on same schedule</w:t>
            </w:r>
            <w:r w:rsidR="00A2375D">
              <w:rPr>
                <w:rFonts w:eastAsia="MS Mincho" w:cstheme="minorHAnsi"/>
              </w:rPr>
              <w:t>.</w:t>
            </w:r>
          </w:p>
          <w:p w14:paraId="3E6E1905" w14:textId="77777777" w:rsidR="00A2375D" w:rsidRPr="00A2375D" w:rsidRDefault="00A2375D" w:rsidP="00A71365">
            <w:pPr>
              <w:pStyle w:val="Tablewriting"/>
              <w:ind w:left="360"/>
              <w:rPr>
                <w:rFonts w:eastAsia="MS Mincho" w:cstheme="minorHAnsi"/>
              </w:rPr>
            </w:pPr>
          </w:p>
          <w:p w14:paraId="34282EE0" w14:textId="77777777" w:rsidR="00BA54B8" w:rsidRPr="00BA54B8" w:rsidRDefault="00BA54B8" w:rsidP="00A71365">
            <w:pPr>
              <w:pStyle w:val="Tablewriting"/>
              <w:rPr>
                <w:rFonts w:eastAsia="MS Mincho" w:cstheme="minorHAnsi"/>
              </w:rPr>
            </w:pPr>
            <w:r w:rsidRPr="00BA54B8">
              <w:rPr>
                <w:rFonts w:eastAsia="MS Mincho" w:cstheme="minorHAnsi"/>
              </w:rPr>
              <w:t>Level of support: high (3 x 30 mins individual face-to-face counselling plus 5 x 10-min phone calls, from</w:t>
            </w:r>
          </w:p>
          <w:p w14:paraId="310A153A" w14:textId="20C2A7C4" w:rsidR="009042AA" w:rsidRPr="00017AE6" w:rsidRDefault="00BA54B8" w:rsidP="00A71365">
            <w:pPr>
              <w:pStyle w:val="Tablewriting"/>
              <w:rPr>
                <w:rFonts w:eastAsia="MS Mincho" w:cstheme="minorHAnsi"/>
              </w:rPr>
            </w:pPr>
            <w:r w:rsidRPr="00BA54B8">
              <w:rPr>
                <w:rFonts w:eastAsia="MS Mincho" w:cstheme="minorHAnsi"/>
              </w:rPr>
              <w:t>4 days prior to TQD to 45 days post-TQD)</w:t>
            </w:r>
            <w:r w:rsidR="00A2375D">
              <w:rPr>
                <w:rFonts w:eastAsia="MS Mincho" w:cstheme="minorHAnsi"/>
              </w:rPr>
              <w:t>.</w:t>
            </w:r>
          </w:p>
        </w:tc>
        <w:tc>
          <w:tcPr>
            <w:tcW w:w="958" w:type="pct"/>
          </w:tcPr>
          <w:p w14:paraId="6B1A43F5" w14:textId="3C0D17BF" w:rsidR="00A2375D" w:rsidRDefault="001173B2" w:rsidP="00A71365">
            <w:pPr>
              <w:pStyle w:val="Tablewriting"/>
              <w:rPr>
                <w:rFonts w:eastAsia="MS Mincho" w:cstheme="minorHAnsi"/>
              </w:rPr>
            </w:pPr>
            <w:r w:rsidRPr="009B13E2">
              <w:rPr>
                <w:rFonts w:eastAsia="MS Mincho" w:cstheme="minorHAnsi"/>
                <w:u w:val="single"/>
              </w:rPr>
              <w:lastRenderedPageBreak/>
              <w:t>Efficacy:</w:t>
            </w:r>
            <w:r w:rsidR="00A2375D">
              <w:t xml:space="preserve"> </w:t>
            </w:r>
            <w:r w:rsidR="00A2375D" w:rsidRPr="00961D8E">
              <w:rPr>
                <w:rFonts w:eastAsia="MS Mincho" w:cstheme="minorHAnsi"/>
              </w:rPr>
              <w:t>Prolonged abstinence at 12 months</w:t>
            </w:r>
            <w:r w:rsidR="00961D8E">
              <w:rPr>
                <w:rFonts w:eastAsia="MS Mincho" w:cstheme="minorHAnsi"/>
              </w:rPr>
              <w:t>.</w:t>
            </w:r>
          </w:p>
          <w:p w14:paraId="1BE57528" w14:textId="77777777" w:rsidR="00961D8E" w:rsidRPr="00961D8E" w:rsidRDefault="00961D8E" w:rsidP="00A71365">
            <w:pPr>
              <w:pStyle w:val="Tablewriting"/>
              <w:rPr>
                <w:rFonts w:eastAsia="MS Mincho" w:cstheme="minorHAnsi"/>
              </w:rPr>
            </w:pPr>
          </w:p>
          <w:p w14:paraId="33695D65" w14:textId="12B81BBF" w:rsidR="001173B2" w:rsidRPr="00961D8E" w:rsidRDefault="00A2375D" w:rsidP="00A71365">
            <w:pPr>
              <w:pStyle w:val="Tablewriting"/>
              <w:rPr>
                <w:rFonts w:eastAsia="MS Mincho" w:cstheme="minorHAnsi"/>
              </w:rPr>
            </w:pPr>
            <w:r w:rsidRPr="00961D8E">
              <w:rPr>
                <w:rFonts w:eastAsia="MS Mincho" w:cstheme="minorHAnsi"/>
              </w:rPr>
              <w:lastRenderedPageBreak/>
              <w:t>Validation: CO &lt; 10 ppm</w:t>
            </w:r>
            <w:r w:rsidR="00961D8E">
              <w:rPr>
                <w:rFonts w:eastAsia="MS Mincho" w:cstheme="minorHAnsi"/>
              </w:rPr>
              <w:t>.</w:t>
            </w:r>
          </w:p>
          <w:p w14:paraId="6C30AAC7" w14:textId="77777777" w:rsidR="001173B2" w:rsidRDefault="001173B2" w:rsidP="00A71365">
            <w:pPr>
              <w:pStyle w:val="Tablewriting"/>
              <w:rPr>
                <w:rFonts w:eastAsia="MS Mincho" w:cstheme="minorHAnsi"/>
              </w:rPr>
            </w:pPr>
          </w:p>
          <w:p w14:paraId="6ADD2F81" w14:textId="4420BE2F" w:rsidR="009042AA" w:rsidRPr="00017AE6" w:rsidRDefault="001173B2" w:rsidP="00A71365">
            <w:pPr>
              <w:pStyle w:val="Tablewriting"/>
              <w:rPr>
                <w:rFonts w:eastAsia="MS Mincho" w:cstheme="minorHAnsi"/>
              </w:rPr>
            </w:pPr>
            <w:r w:rsidRPr="009B13E2">
              <w:rPr>
                <w:rFonts w:eastAsia="MS Mincho" w:cstheme="minorHAnsi"/>
                <w:u w:val="single"/>
              </w:rPr>
              <w:t>Safety:</w:t>
            </w:r>
            <w:r w:rsidR="001F7032" w:rsidRPr="001665F6">
              <w:rPr>
                <w:rFonts w:eastAsia="MS Mincho" w:cstheme="minorHAnsi"/>
              </w:rPr>
              <w:t xml:space="preserve"> NR</w:t>
            </w:r>
          </w:p>
        </w:tc>
      </w:tr>
      <w:tr w:rsidR="009042AA" w:rsidRPr="00017AE6" w14:paraId="169BCF91" w14:textId="77777777" w:rsidTr="005821B1">
        <w:trPr>
          <w:trHeight w:val="99"/>
        </w:trPr>
        <w:tc>
          <w:tcPr>
            <w:tcW w:w="1003" w:type="pct"/>
          </w:tcPr>
          <w:p w14:paraId="722CE89F" w14:textId="567AD2E9" w:rsidR="009042AA" w:rsidRPr="00FD17DC" w:rsidRDefault="00FD17DC" w:rsidP="00A71365">
            <w:pPr>
              <w:pStyle w:val="Tablewriting"/>
              <w:rPr>
                <w:rFonts w:eastAsia="MS Mincho"/>
              </w:rPr>
            </w:pPr>
            <w:r w:rsidRPr="00FD17DC">
              <w:rPr>
                <w:rFonts w:eastAsia="MS Mincho"/>
              </w:rPr>
              <w:lastRenderedPageBreak/>
              <w:t xml:space="preserve">Wisborg </w:t>
            </w:r>
            <w:r w:rsidR="006C6C9B">
              <w:rPr>
                <w:rFonts w:eastAsia="MS Mincho"/>
              </w:rPr>
              <w:t>(</w:t>
            </w:r>
            <w:r w:rsidRPr="00FD17DC">
              <w:rPr>
                <w:rFonts w:eastAsia="MS Mincho"/>
              </w:rPr>
              <w:t>2000</w:t>
            </w:r>
            <w:r w:rsidR="006C6C9B">
              <w:rPr>
                <w:rFonts w:eastAsia="MS Mincho"/>
              </w:rPr>
              <w:t>)</w:t>
            </w:r>
          </w:p>
        </w:tc>
        <w:tc>
          <w:tcPr>
            <w:tcW w:w="235" w:type="pct"/>
          </w:tcPr>
          <w:p w14:paraId="3FE51C6A" w14:textId="095B9047"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37FE3B3" w14:textId="7BBFAF76" w:rsidR="009042AA" w:rsidRPr="00017AE6" w:rsidRDefault="00DF7BED" w:rsidP="00A71365">
            <w:pPr>
              <w:pStyle w:val="Tablewriting"/>
              <w:rPr>
                <w:rFonts w:eastAsia="MS Mincho" w:cstheme="minorHAnsi"/>
              </w:rPr>
            </w:pPr>
            <w:r w:rsidRPr="00DF7BED">
              <w:rPr>
                <w:rFonts w:eastAsia="MS Mincho" w:cstheme="minorHAnsi"/>
              </w:rPr>
              <w:t>Denmark</w:t>
            </w:r>
          </w:p>
        </w:tc>
        <w:tc>
          <w:tcPr>
            <w:tcW w:w="289" w:type="pct"/>
          </w:tcPr>
          <w:p w14:paraId="6C4F3805" w14:textId="3C72F6F7" w:rsidR="009042AA" w:rsidRPr="00017AE6" w:rsidRDefault="001173B2" w:rsidP="00A71365">
            <w:pPr>
              <w:pStyle w:val="Tablewriting"/>
              <w:rPr>
                <w:rFonts w:eastAsia="MS Mincho" w:cstheme="minorHAnsi"/>
              </w:rPr>
            </w:pPr>
            <w:r>
              <w:rPr>
                <w:rFonts w:eastAsia="MS Mincho" w:cstheme="minorHAnsi"/>
              </w:rPr>
              <w:t>N=</w:t>
            </w:r>
            <w:r w:rsidR="00DF7BED">
              <w:rPr>
                <w:rFonts w:eastAsia="MS Mincho" w:cstheme="minorHAnsi"/>
              </w:rPr>
              <w:t>250</w:t>
            </w:r>
          </w:p>
        </w:tc>
        <w:tc>
          <w:tcPr>
            <w:tcW w:w="1045" w:type="pct"/>
          </w:tcPr>
          <w:p w14:paraId="11C2F8B0" w14:textId="3A4B89AB" w:rsidR="00DF7BED" w:rsidRPr="00DF7BED" w:rsidRDefault="0069386D" w:rsidP="00A71365">
            <w:pPr>
              <w:pStyle w:val="Tablewriting"/>
              <w:rPr>
                <w:rFonts w:eastAsia="MS Mincho" w:cstheme="minorHAnsi"/>
              </w:rPr>
            </w:pPr>
            <w:r>
              <w:rPr>
                <w:rFonts w:eastAsia="MS Mincho" w:cstheme="minorHAnsi"/>
              </w:rPr>
              <w:t>P</w:t>
            </w:r>
            <w:r w:rsidR="00DF7BED" w:rsidRPr="00DF7BED">
              <w:rPr>
                <w:rFonts w:eastAsia="MS Mincho" w:cstheme="minorHAnsi"/>
              </w:rPr>
              <w:t>regnant women who continued to smoke after 1st trimester</w:t>
            </w:r>
            <w:r w:rsidR="002C1E5B">
              <w:rPr>
                <w:rFonts w:eastAsia="MS Mincho" w:cstheme="minorHAnsi"/>
              </w:rPr>
              <w:t>.</w:t>
            </w:r>
          </w:p>
          <w:p w14:paraId="36250A88" w14:textId="77D2A9E6" w:rsidR="009042AA" w:rsidRPr="00017AE6" w:rsidRDefault="00DF7BED" w:rsidP="00A71365">
            <w:pPr>
              <w:pStyle w:val="Tablewriting"/>
              <w:rPr>
                <w:rFonts w:eastAsia="MS Mincho" w:cstheme="minorHAnsi"/>
              </w:rPr>
            </w:pPr>
            <w:r w:rsidRPr="00DF7BED">
              <w:rPr>
                <w:rFonts w:eastAsia="MS Mincho" w:cstheme="minorHAnsi"/>
              </w:rPr>
              <w:t xml:space="preserve">Average age 28, average </w:t>
            </w:r>
            <w:r w:rsidR="0069386D">
              <w:rPr>
                <w:rFonts w:eastAsia="MS Mincho" w:cstheme="minorHAnsi"/>
              </w:rPr>
              <w:t>CPD</w:t>
            </w:r>
            <w:r w:rsidRPr="00DF7BED">
              <w:rPr>
                <w:rFonts w:eastAsia="MS Mincho" w:cstheme="minorHAnsi"/>
              </w:rPr>
              <w:t xml:space="preserve"> 14</w:t>
            </w:r>
            <w:r w:rsidR="0069386D">
              <w:rPr>
                <w:rFonts w:eastAsia="MS Mincho" w:cstheme="minorHAnsi"/>
              </w:rPr>
              <w:t xml:space="preserve">, </w:t>
            </w:r>
            <w:r w:rsidRPr="00DF7BED">
              <w:rPr>
                <w:rFonts w:eastAsia="MS Mincho" w:cstheme="minorHAnsi"/>
              </w:rPr>
              <w:t>43% primiparous</w:t>
            </w:r>
            <w:r w:rsidR="0069386D">
              <w:rPr>
                <w:rFonts w:eastAsia="MS Mincho" w:cstheme="minorHAnsi"/>
              </w:rPr>
              <w:t>.</w:t>
            </w:r>
          </w:p>
        </w:tc>
        <w:tc>
          <w:tcPr>
            <w:tcW w:w="1055" w:type="pct"/>
          </w:tcPr>
          <w:p w14:paraId="296B3946" w14:textId="77777777" w:rsidR="00F838CC" w:rsidRDefault="002C1E5B" w:rsidP="00C324F3">
            <w:pPr>
              <w:pStyle w:val="Tablewriting"/>
              <w:numPr>
                <w:ilvl w:val="0"/>
                <w:numId w:val="117"/>
              </w:numPr>
              <w:rPr>
                <w:rFonts w:eastAsia="MS Mincho" w:cstheme="minorHAnsi"/>
              </w:rPr>
            </w:pPr>
            <w:r w:rsidRPr="002C1E5B">
              <w:rPr>
                <w:rFonts w:eastAsia="MS Mincho" w:cstheme="minorHAnsi"/>
              </w:rPr>
              <w:t>Nicotine patch (15 mg/16 h, tapering to 10 mg, 11 weeks total)</w:t>
            </w:r>
            <w:r w:rsidR="00F838CC">
              <w:rPr>
                <w:rFonts w:eastAsia="MS Mincho" w:cstheme="minorHAnsi"/>
              </w:rPr>
              <w:t>.</w:t>
            </w:r>
          </w:p>
          <w:p w14:paraId="62BDBC91" w14:textId="5A57AB03" w:rsidR="002C1E5B" w:rsidRPr="00F838CC" w:rsidRDefault="002C1E5B" w:rsidP="00C324F3">
            <w:pPr>
              <w:pStyle w:val="Tablewriting"/>
              <w:numPr>
                <w:ilvl w:val="0"/>
                <w:numId w:val="117"/>
              </w:numPr>
              <w:rPr>
                <w:rFonts w:eastAsia="MS Mincho" w:cstheme="minorHAnsi"/>
              </w:rPr>
            </w:pPr>
            <w:r w:rsidRPr="00F838CC">
              <w:rPr>
                <w:rFonts w:eastAsia="MS Mincho" w:cstheme="minorHAnsi"/>
              </w:rPr>
              <w:t>Placebo patch</w:t>
            </w:r>
            <w:r w:rsidR="00317F6A">
              <w:rPr>
                <w:rFonts w:eastAsia="MS Mincho" w:cstheme="minorHAnsi"/>
              </w:rPr>
              <w:t>.</w:t>
            </w:r>
          </w:p>
          <w:p w14:paraId="29D3A7EC" w14:textId="77777777" w:rsidR="00317F6A" w:rsidRDefault="00317F6A" w:rsidP="00A71365">
            <w:pPr>
              <w:pStyle w:val="Tablewriting"/>
              <w:rPr>
                <w:rFonts w:eastAsia="MS Mincho" w:cstheme="minorHAnsi"/>
              </w:rPr>
            </w:pPr>
          </w:p>
          <w:p w14:paraId="4611E0D7" w14:textId="24C23613" w:rsidR="009042AA" w:rsidRPr="00017AE6" w:rsidRDefault="002C1E5B" w:rsidP="00A71365">
            <w:pPr>
              <w:pStyle w:val="Tablewriting"/>
              <w:rPr>
                <w:rFonts w:eastAsia="MS Mincho" w:cstheme="minorHAnsi"/>
              </w:rPr>
            </w:pPr>
            <w:r w:rsidRPr="002C1E5B">
              <w:rPr>
                <w:rFonts w:eastAsia="MS Mincho" w:cstheme="minorHAnsi"/>
              </w:rPr>
              <w:t>Level of support: high. 4 x 15- to 20-min sessions of midwife counselling a</w:t>
            </w:r>
            <w:r w:rsidR="00836B64">
              <w:rPr>
                <w:rFonts w:eastAsia="MS Mincho" w:cstheme="minorHAnsi"/>
              </w:rPr>
              <w:t xml:space="preserve">t 0, 4, 11 weeks from enrolment, </w:t>
            </w:r>
            <w:r w:rsidRPr="002C1E5B">
              <w:rPr>
                <w:rFonts w:eastAsia="MS Mincho" w:cstheme="minorHAnsi"/>
              </w:rPr>
              <w:t>and 4 weeks before expected delivery</w:t>
            </w:r>
            <w:r w:rsidR="00317F6A">
              <w:rPr>
                <w:rFonts w:eastAsia="MS Mincho" w:cstheme="minorHAnsi"/>
              </w:rPr>
              <w:t>.</w:t>
            </w:r>
          </w:p>
        </w:tc>
        <w:tc>
          <w:tcPr>
            <w:tcW w:w="958" w:type="pct"/>
          </w:tcPr>
          <w:p w14:paraId="66A39BBC" w14:textId="421B149F" w:rsidR="004948CA" w:rsidRPr="004948CA" w:rsidRDefault="001173B2" w:rsidP="00A71365">
            <w:pPr>
              <w:pStyle w:val="Tablewriting"/>
              <w:rPr>
                <w:rFonts w:eastAsia="MS Mincho" w:cstheme="minorHAnsi"/>
              </w:rPr>
            </w:pPr>
            <w:r w:rsidRPr="009B13E2">
              <w:rPr>
                <w:rFonts w:eastAsia="MS Mincho" w:cstheme="minorHAnsi"/>
                <w:u w:val="single"/>
              </w:rPr>
              <w:t>Efficacy:</w:t>
            </w:r>
            <w:r w:rsidR="004948CA">
              <w:rPr>
                <w:rFonts w:eastAsia="MS Mincho" w:cstheme="minorHAnsi"/>
                <w:u w:val="single"/>
              </w:rPr>
              <w:t xml:space="preserve"> </w:t>
            </w:r>
            <w:r w:rsidR="004948CA" w:rsidRPr="004948CA">
              <w:rPr>
                <w:rFonts w:eastAsia="MS Mincho" w:cstheme="minorHAnsi"/>
              </w:rPr>
              <w:t>Abstinence at 4 weeks prior to delivery and at 1</w:t>
            </w:r>
            <w:r w:rsidR="004948CA">
              <w:rPr>
                <w:rFonts w:eastAsia="MS Mincho" w:cstheme="minorHAnsi"/>
              </w:rPr>
              <w:t>-</w:t>
            </w:r>
            <w:r w:rsidR="004948CA" w:rsidRPr="004948CA">
              <w:rPr>
                <w:rFonts w:eastAsia="MS Mincho" w:cstheme="minorHAnsi"/>
              </w:rPr>
              <w:t>year post-partum (telephone interview). (Rates at 3</w:t>
            </w:r>
          </w:p>
          <w:p w14:paraId="2D9A6F36" w14:textId="23F3004A" w:rsidR="004948CA" w:rsidRDefault="004948CA" w:rsidP="00A71365">
            <w:pPr>
              <w:pStyle w:val="Tablewriting"/>
              <w:rPr>
                <w:rFonts w:eastAsia="MS Mincho" w:cstheme="minorHAnsi"/>
              </w:rPr>
            </w:pPr>
            <w:r w:rsidRPr="004948CA">
              <w:rPr>
                <w:rFonts w:eastAsia="MS Mincho" w:cstheme="minorHAnsi"/>
              </w:rPr>
              <w:t>months post-partum also reported)</w:t>
            </w:r>
            <w:r>
              <w:rPr>
                <w:rFonts w:eastAsia="MS Mincho" w:cstheme="minorHAnsi"/>
              </w:rPr>
              <w:t>.</w:t>
            </w:r>
          </w:p>
          <w:p w14:paraId="1DC2035C" w14:textId="77777777" w:rsidR="004948CA" w:rsidRPr="004948CA" w:rsidRDefault="004948CA" w:rsidP="00A71365">
            <w:pPr>
              <w:pStyle w:val="Tablewriting"/>
              <w:rPr>
                <w:rFonts w:eastAsia="MS Mincho" w:cstheme="minorHAnsi"/>
              </w:rPr>
            </w:pPr>
          </w:p>
          <w:p w14:paraId="23225EBE" w14:textId="3707AB5A" w:rsidR="001173B2" w:rsidRPr="004948CA" w:rsidRDefault="004948CA" w:rsidP="00A71365">
            <w:pPr>
              <w:pStyle w:val="Tablewriting"/>
              <w:rPr>
                <w:rFonts w:eastAsia="MS Mincho" w:cstheme="minorHAnsi"/>
              </w:rPr>
            </w:pPr>
            <w:r w:rsidRPr="004948CA">
              <w:rPr>
                <w:rFonts w:eastAsia="MS Mincho" w:cstheme="minorHAnsi"/>
              </w:rPr>
              <w:t>Validation: Cotinine &lt; 26 ng/ml at 4 weeks pre-delivery visit only</w:t>
            </w:r>
            <w:r>
              <w:rPr>
                <w:rFonts w:eastAsia="MS Mincho" w:cstheme="minorHAnsi"/>
              </w:rPr>
              <w:t>.</w:t>
            </w:r>
          </w:p>
          <w:p w14:paraId="78995DE3" w14:textId="77777777" w:rsidR="001173B2" w:rsidRDefault="001173B2" w:rsidP="00A71365">
            <w:pPr>
              <w:pStyle w:val="Tablewriting"/>
              <w:rPr>
                <w:rFonts w:eastAsia="MS Mincho" w:cstheme="minorHAnsi"/>
              </w:rPr>
            </w:pPr>
          </w:p>
          <w:p w14:paraId="36EB855A" w14:textId="527ED632" w:rsidR="009042AA" w:rsidRPr="00017AE6" w:rsidRDefault="001173B2" w:rsidP="00A71365">
            <w:pPr>
              <w:pStyle w:val="Tablewriting"/>
              <w:rPr>
                <w:rFonts w:eastAsia="MS Mincho" w:cstheme="minorHAnsi"/>
              </w:rPr>
            </w:pPr>
            <w:r w:rsidRPr="009B13E2">
              <w:rPr>
                <w:rFonts w:eastAsia="MS Mincho" w:cstheme="minorHAnsi"/>
                <w:u w:val="single"/>
              </w:rPr>
              <w:t>Safety:</w:t>
            </w:r>
            <w:r w:rsidR="001F7032" w:rsidRPr="001665F6">
              <w:rPr>
                <w:rFonts w:eastAsia="MS Mincho" w:cstheme="minorHAnsi"/>
              </w:rPr>
              <w:t xml:space="preserve"> NR</w:t>
            </w:r>
          </w:p>
        </w:tc>
      </w:tr>
      <w:tr w:rsidR="009042AA" w:rsidRPr="00017AE6" w14:paraId="426FA6CF" w14:textId="77777777" w:rsidTr="005821B1">
        <w:trPr>
          <w:trHeight w:val="99"/>
        </w:trPr>
        <w:tc>
          <w:tcPr>
            <w:tcW w:w="5000" w:type="pct"/>
            <w:gridSpan w:val="7"/>
            <w:shd w:val="clear" w:color="auto" w:fill="D9D9D9" w:themeFill="background1" w:themeFillShade="D9"/>
          </w:tcPr>
          <w:p w14:paraId="1E2E3150" w14:textId="086D2958" w:rsidR="006C4A81" w:rsidRPr="00C23F0B" w:rsidRDefault="006C4A81" w:rsidP="00A71365">
            <w:pPr>
              <w:pStyle w:val="Tablewriting"/>
              <w:rPr>
                <w:rFonts w:eastAsia="MS Mincho"/>
                <w:b/>
              </w:rPr>
            </w:pPr>
            <w:r w:rsidRPr="00C23F0B">
              <w:rPr>
                <w:rFonts w:eastAsia="MS Mincho"/>
                <w:b/>
              </w:rPr>
              <w:t>Sustained 6 months</w:t>
            </w:r>
          </w:p>
        </w:tc>
      </w:tr>
      <w:tr w:rsidR="009042AA" w:rsidRPr="00017AE6" w14:paraId="1909C21D" w14:textId="77777777" w:rsidTr="005821B1">
        <w:trPr>
          <w:trHeight w:val="99"/>
        </w:trPr>
        <w:tc>
          <w:tcPr>
            <w:tcW w:w="1003" w:type="pct"/>
          </w:tcPr>
          <w:p w14:paraId="505F2DB6" w14:textId="5394A205" w:rsidR="009042AA" w:rsidRPr="00FD17DC" w:rsidRDefault="00596123" w:rsidP="00A71365">
            <w:pPr>
              <w:pStyle w:val="Tablewriting"/>
              <w:rPr>
                <w:rFonts w:eastAsia="MS Mincho"/>
              </w:rPr>
            </w:pPr>
            <w:r w:rsidRPr="00156D0F">
              <w:rPr>
                <w:rFonts w:eastAsia="MS Mincho"/>
              </w:rPr>
              <w:t xml:space="preserve">Ahluwalia </w:t>
            </w:r>
            <w:r w:rsidR="006C6C9B">
              <w:rPr>
                <w:rFonts w:eastAsia="MS Mincho"/>
              </w:rPr>
              <w:t>(</w:t>
            </w:r>
            <w:r w:rsidRPr="00156D0F">
              <w:rPr>
                <w:rFonts w:eastAsia="MS Mincho"/>
              </w:rPr>
              <w:t>1998</w:t>
            </w:r>
            <w:r w:rsidR="006C6C9B">
              <w:rPr>
                <w:rFonts w:eastAsia="MS Mincho"/>
              </w:rPr>
              <w:t>)</w:t>
            </w:r>
          </w:p>
        </w:tc>
        <w:tc>
          <w:tcPr>
            <w:tcW w:w="235" w:type="pct"/>
          </w:tcPr>
          <w:p w14:paraId="6E698923" w14:textId="18BAB50F"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61BF04BD" w14:textId="3511D02B" w:rsidR="009042AA" w:rsidRPr="00017AE6" w:rsidRDefault="00156D0F" w:rsidP="00A71365">
            <w:pPr>
              <w:pStyle w:val="Tablewriting"/>
              <w:rPr>
                <w:rFonts w:eastAsia="MS Mincho" w:cstheme="minorHAnsi"/>
              </w:rPr>
            </w:pPr>
            <w:r>
              <w:rPr>
                <w:rFonts w:eastAsia="MS Mincho" w:cstheme="minorHAnsi"/>
              </w:rPr>
              <w:t>USA</w:t>
            </w:r>
          </w:p>
        </w:tc>
        <w:tc>
          <w:tcPr>
            <w:tcW w:w="289" w:type="pct"/>
          </w:tcPr>
          <w:p w14:paraId="7825BEC4" w14:textId="01025E1E" w:rsidR="009042AA" w:rsidRPr="00017AE6" w:rsidRDefault="00156D0F" w:rsidP="00A71365">
            <w:pPr>
              <w:pStyle w:val="Tablewriting"/>
              <w:rPr>
                <w:rFonts w:eastAsia="MS Mincho" w:cstheme="minorHAnsi"/>
              </w:rPr>
            </w:pPr>
            <w:r>
              <w:rPr>
                <w:rFonts w:eastAsia="MS Mincho" w:cstheme="minorHAnsi"/>
              </w:rPr>
              <w:t>N=410</w:t>
            </w:r>
          </w:p>
        </w:tc>
        <w:tc>
          <w:tcPr>
            <w:tcW w:w="1045" w:type="pct"/>
          </w:tcPr>
          <w:p w14:paraId="2A8B8981" w14:textId="0ED304A6" w:rsidR="00156D0F" w:rsidRPr="00156D0F" w:rsidRDefault="00156D0F" w:rsidP="00A71365">
            <w:pPr>
              <w:pStyle w:val="Tablewriting"/>
              <w:rPr>
                <w:rFonts w:eastAsia="MS Mincho" w:cstheme="minorHAnsi"/>
              </w:rPr>
            </w:pPr>
            <w:r w:rsidRPr="00156D0F">
              <w:rPr>
                <w:rFonts w:eastAsia="MS Mincho" w:cstheme="minorHAnsi"/>
              </w:rPr>
              <w:t>African-American smokers</w:t>
            </w:r>
            <w:r>
              <w:rPr>
                <w:rFonts w:eastAsia="MS Mincho" w:cstheme="minorHAnsi"/>
              </w:rPr>
              <w:t>, a</w:t>
            </w:r>
            <w:r w:rsidRPr="00156D0F">
              <w:rPr>
                <w:rFonts w:eastAsia="MS Mincho" w:cstheme="minorHAnsi"/>
              </w:rPr>
              <w:t>verage age 47, FTND 6</w:t>
            </w:r>
            <w:r>
              <w:rPr>
                <w:rFonts w:eastAsia="MS Mincho" w:cstheme="minorHAnsi"/>
              </w:rPr>
              <w:t>.</w:t>
            </w:r>
          </w:p>
          <w:p w14:paraId="77FFD5E6" w14:textId="77777777" w:rsidR="00156D0F" w:rsidRDefault="00156D0F" w:rsidP="00A71365">
            <w:pPr>
              <w:pStyle w:val="Tablewriting"/>
              <w:rPr>
                <w:rFonts w:eastAsia="MS Mincho" w:cstheme="minorHAnsi"/>
              </w:rPr>
            </w:pPr>
          </w:p>
          <w:p w14:paraId="5B146BEC" w14:textId="2CBDD456" w:rsidR="009042AA" w:rsidRPr="00017AE6" w:rsidRDefault="00156D0F" w:rsidP="00A71365">
            <w:pPr>
              <w:pStyle w:val="Tablewriting"/>
              <w:rPr>
                <w:rFonts w:eastAsia="MS Mincho" w:cstheme="minorHAnsi"/>
              </w:rPr>
            </w:pPr>
            <w:r w:rsidRPr="00156D0F">
              <w:rPr>
                <w:rFonts w:eastAsia="MS Mincho" w:cstheme="minorHAnsi"/>
              </w:rPr>
              <w:t>Participants were motivated to quit</w:t>
            </w:r>
            <w:r>
              <w:rPr>
                <w:rFonts w:eastAsia="MS Mincho" w:cstheme="minorHAnsi"/>
              </w:rPr>
              <w:t>.</w:t>
            </w:r>
          </w:p>
        </w:tc>
        <w:tc>
          <w:tcPr>
            <w:tcW w:w="1055" w:type="pct"/>
          </w:tcPr>
          <w:p w14:paraId="26A7A81E" w14:textId="77777777" w:rsidR="009B13E2" w:rsidRDefault="00156D0F" w:rsidP="00C324F3">
            <w:pPr>
              <w:pStyle w:val="Tablewriting"/>
              <w:numPr>
                <w:ilvl w:val="0"/>
                <w:numId w:val="96"/>
              </w:numPr>
              <w:rPr>
                <w:rFonts w:eastAsia="MS Mincho" w:cstheme="minorHAnsi"/>
              </w:rPr>
            </w:pPr>
            <w:r w:rsidRPr="00156D0F">
              <w:rPr>
                <w:rFonts w:eastAsia="MS Mincho" w:cstheme="minorHAnsi"/>
              </w:rPr>
              <w:t>Nicotine patch (21 m</w:t>
            </w:r>
            <w:r w:rsidR="009B13E2">
              <w:rPr>
                <w:rFonts w:eastAsia="MS Mincho" w:cstheme="minorHAnsi"/>
              </w:rPr>
              <w:t xml:space="preserve">g </w:t>
            </w:r>
            <w:r w:rsidRPr="00156D0F">
              <w:rPr>
                <w:rFonts w:eastAsia="MS Mincho" w:cstheme="minorHAnsi"/>
              </w:rPr>
              <w:t>with weaning, 10 weeks)</w:t>
            </w:r>
            <w:r w:rsidR="009B13E2">
              <w:rPr>
                <w:rFonts w:eastAsia="MS Mincho" w:cstheme="minorHAnsi"/>
              </w:rPr>
              <w:t>.</w:t>
            </w:r>
          </w:p>
          <w:p w14:paraId="1B95E073" w14:textId="77777777" w:rsidR="009042AA" w:rsidRDefault="00156D0F" w:rsidP="00C324F3">
            <w:pPr>
              <w:pStyle w:val="Tablewriting"/>
              <w:numPr>
                <w:ilvl w:val="0"/>
                <w:numId w:val="96"/>
              </w:numPr>
              <w:rPr>
                <w:rFonts w:eastAsia="MS Mincho" w:cstheme="minorHAnsi"/>
              </w:rPr>
            </w:pPr>
            <w:r w:rsidRPr="00156D0F">
              <w:rPr>
                <w:rFonts w:eastAsia="MS Mincho" w:cstheme="minorHAnsi"/>
              </w:rPr>
              <w:t>Placebo patch</w:t>
            </w:r>
            <w:r w:rsidR="009B13E2">
              <w:rPr>
                <w:rFonts w:eastAsia="MS Mincho" w:cstheme="minorHAnsi"/>
              </w:rPr>
              <w:t>.</w:t>
            </w:r>
          </w:p>
          <w:p w14:paraId="55830207" w14:textId="77777777" w:rsidR="009B13E2" w:rsidRDefault="009B13E2" w:rsidP="00A71365">
            <w:pPr>
              <w:pStyle w:val="Tablewriting"/>
              <w:ind w:left="360"/>
              <w:rPr>
                <w:rFonts w:eastAsia="MS Mincho" w:cstheme="minorHAnsi"/>
              </w:rPr>
            </w:pPr>
          </w:p>
          <w:p w14:paraId="397D2D5A" w14:textId="03DB05E0" w:rsidR="009042AA" w:rsidRPr="00017AE6" w:rsidRDefault="009B13E2" w:rsidP="00A71365">
            <w:pPr>
              <w:pStyle w:val="Tablewriting"/>
              <w:rPr>
                <w:rFonts w:eastAsia="MS Mincho" w:cstheme="minorHAnsi"/>
              </w:rPr>
            </w:pPr>
            <w:r w:rsidRPr="009B13E2">
              <w:rPr>
                <w:rFonts w:eastAsia="MS Mincho" w:cstheme="minorHAnsi"/>
              </w:rPr>
              <w:t>Level of support: high (1 h initial visit and brief follow-up visits)</w:t>
            </w:r>
          </w:p>
        </w:tc>
        <w:tc>
          <w:tcPr>
            <w:tcW w:w="958" w:type="pct"/>
          </w:tcPr>
          <w:p w14:paraId="09A5573F" w14:textId="6236561C" w:rsidR="000A3759" w:rsidRPr="000A3759" w:rsidRDefault="009B13E2" w:rsidP="00A71365">
            <w:pPr>
              <w:pStyle w:val="Tablewriting"/>
              <w:rPr>
                <w:rFonts w:eastAsia="MS Mincho" w:cstheme="minorHAnsi"/>
              </w:rPr>
            </w:pPr>
            <w:r w:rsidRPr="009B13E2">
              <w:rPr>
                <w:rFonts w:eastAsia="MS Mincho" w:cstheme="minorHAnsi"/>
                <w:u w:val="single"/>
              </w:rPr>
              <w:t>Efficacy:</w:t>
            </w:r>
            <w:r w:rsidR="000A3759">
              <w:rPr>
                <w:rFonts w:eastAsia="MS Mincho" w:cstheme="minorHAnsi"/>
                <w:u w:val="single"/>
              </w:rPr>
              <w:t xml:space="preserve"> </w:t>
            </w:r>
            <w:r w:rsidR="000A3759" w:rsidRPr="000A3759">
              <w:rPr>
                <w:rFonts w:eastAsia="MS Mincho" w:cstheme="minorHAnsi"/>
              </w:rPr>
              <w:t>Prolonged abstinence at 6 months (self-report of no smoking since end of treatment)</w:t>
            </w:r>
            <w:r w:rsidR="000A3759">
              <w:rPr>
                <w:rFonts w:eastAsia="MS Mincho" w:cstheme="minorHAnsi"/>
              </w:rPr>
              <w:t>.</w:t>
            </w:r>
          </w:p>
          <w:p w14:paraId="3F81AD0D" w14:textId="5992595F" w:rsidR="009042AA" w:rsidRPr="000A3759" w:rsidRDefault="000A3759" w:rsidP="00A71365">
            <w:pPr>
              <w:pStyle w:val="Tablewriting"/>
              <w:rPr>
                <w:rFonts w:eastAsia="MS Mincho" w:cstheme="minorHAnsi"/>
              </w:rPr>
            </w:pPr>
            <w:r w:rsidRPr="000A3759">
              <w:rPr>
                <w:rFonts w:eastAsia="MS Mincho" w:cstheme="minorHAnsi"/>
              </w:rPr>
              <w:t>Validation: none</w:t>
            </w:r>
            <w:r>
              <w:rPr>
                <w:rFonts w:eastAsia="MS Mincho" w:cstheme="minorHAnsi"/>
              </w:rPr>
              <w:t>.</w:t>
            </w:r>
          </w:p>
          <w:p w14:paraId="4CDBC7ED" w14:textId="77777777" w:rsidR="009B13E2" w:rsidRDefault="009B13E2" w:rsidP="00A71365">
            <w:pPr>
              <w:pStyle w:val="Tablewriting"/>
              <w:rPr>
                <w:rFonts w:eastAsia="MS Mincho" w:cstheme="minorHAnsi"/>
              </w:rPr>
            </w:pPr>
          </w:p>
          <w:p w14:paraId="1241AFC3" w14:textId="28703F3A" w:rsidR="009042AA" w:rsidRPr="009B13E2" w:rsidRDefault="009B13E2" w:rsidP="00A71365">
            <w:pPr>
              <w:pStyle w:val="Tablewriting"/>
              <w:rPr>
                <w:rFonts w:eastAsia="MS Mincho" w:cstheme="minorHAnsi"/>
                <w:u w:val="single"/>
              </w:rPr>
            </w:pPr>
            <w:r w:rsidRPr="009B13E2">
              <w:rPr>
                <w:rFonts w:eastAsia="MS Mincho" w:cstheme="minorHAnsi"/>
                <w:u w:val="single"/>
              </w:rPr>
              <w:lastRenderedPageBreak/>
              <w:t>Safety:</w:t>
            </w:r>
            <w:r w:rsidR="000A3759">
              <w:rPr>
                <w:rFonts w:eastAsia="MS Mincho" w:cstheme="minorHAnsi"/>
                <w:u w:val="single"/>
              </w:rPr>
              <w:t xml:space="preserve"> </w:t>
            </w:r>
            <w:r w:rsidR="000A3759" w:rsidRPr="000A3759">
              <w:rPr>
                <w:rFonts w:eastAsia="MS Mincho" w:cstheme="minorHAnsi"/>
              </w:rPr>
              <w:t>NR</w:t>
            </w:r>
          </w:p>
        </w:tc>
      </w:tr>
      <w:tr w:rsidR="009042AA" w:rsidRPr="00017AE6" w14:paraId="21E2811B" w14:textId="77777777" w:rsidTr="005821B1">
        <w:trPr>
          <w:trHeight w:val="99"/>
        </w:trPr>
        <w:tc>
          <w:tcPr>
            <w:tcW w:w="1003" w:type="pct"/>
          </w:tcPr>
          <w:p w14:paraId="2668A1E3" w14:textId="2F5B8BB6" w:rsidR="009042AA" w:rsidRPr="00017AE6" w:rsidRDefault="001A4206" w:rsidP="00A71365">
            <w:pPr>
              <w:pStyle w:val="Tablewriting"/>
              <w:rPr>
                <w:rFonts w:eastAsia="MS Mincho" w:cstheme="minorHAnsi"/>
              </w:rPr>
            </w:pPr>
            <w:r w:rsidRPr="00156D0F">
              <w:rPr>
                <w:rFonts w:eastAsia="MS Mincho"/>
              </w:rPr>
              <w:lastRenderedPageBreak/>
              <w:t xml:space="preserve">Anthenelli </w:t>
            </w:r>
            <w:r w:rsidR="006C6C9B">
              <w:rPr>
                <w:rFonts w:eastAsia="MS Mincho"/>
              </w:rPr>
              <w:t>(</w:t>
            </w:r>
            <w:r w:rsidRPr="00156D0F">
              <w:rPr>
                <w:rFonts w:eastAsia="MS Mincho"/>
              </w:rPr>
              <w:t>2016</w:t>
            </w:r>
            <w:r w:rsidR="006C6C9B">
              <w:rPr>
                <w:rFonts w:eastAsia="MS Mincho"/>
              </w:rPr>
              <w:t>)</w:t>
            </w:r>
          </w:p>
        </w:tc>
        <w:tc>
          <w:tcPr>
            <w:tcW w:w="235" w:type="pct"/>
          </w:tcPr>
          <w:p w14:paraId="171742A8" w14:textId="4DC0BBF1"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E6EE87A" w14:textId="77777777" w:rsidR="00690A8E" w:rsidRPr="00690A8E" w:rsidRDefault="00690A8E" w:rsidP="00A71365">
            <w:pPr>
              <w:pStyle w:val="Tablewriting"/>
              <w:rPr>
                <w:rFonts w:eastAsia="MS Mincho" w:cstheme="minorHAnsi"/>
              </w:rPr>
            </w:pPr>
            <w:r w:rsidRPr="00690A8E">
              <w:rPr>
                <w:rFonts w:eastAsia="MS Mincho" w:cstheme="minorHAnsi"/>
              </w:rPr>
              <w:t>Argentina, Australia, Brazil, Bulgaria, Canada, Chile, Denmark, Finland, Germany, Mexico,</w:t>
            </w:r>
          </w:p>
          <w:p w14:paraId="7264DB8E" w14:textId="09EBC2CC" w:rsidR="009042AA" w:rsidRPr="00017AE6" w:rsidRDefault="00690A8E" w:rsidP="00A71365">
            <w:pPr>
              <w:pStyle w:val="Tablewriting"/>
              <w:rPr>
                <w:rFonts w:eastAsia="MS Mincho" w:cstheme="minorHAnsi"/>
              </w:rPr>
            </w:pPr>
            <w:r w:rsidRPr="00690A8E">
              <w:rPr>
                <w:rFonts w:eastAsia="MS Mincho" w:cstheme="minorHAnsi"/>
              </w:rPr>
              <w:t>New Zealand, Russian Federation, Slovakiam</w:t>
            </w:r>
            <w:r w:rsidR="0059521C">
              <w:rPr>
                <w:rFonts w:eastAsia="MS Mincho" w:cstheme="minorHAnsi"/>
              </w:rPr>
              <w:t>,</w:t>
            </w:r>
            <w:r w:rsidRPr="00690A8E">
              <w:rPr>
                <w:rFonts w:eastAsia="MS Mincho" w:cstheme="minorHAnsi"/>
              </w:rPr>
              <w:t xml:space="preserve"> South Africa, Spain, USA</w:t>
            </w:r>
          </w:p>
        </w:tc>
        <w:tc>
          <w:tcPr>
            <w:tcW w:w="289" w:type="pct"/>
          </w:tcPr>
          <w:p w14:paraId="2247BD17" w14:textId="3EDBB43F" w:rsidR="009042AA" w:rsidRPr="00017AE6" w:rsidRDefault="001173B2" w:rsidP="00A71365">
            <w:pPr>
              <w:pStyle w:val="Tablewriting"/>
              <w:rPr>
                <w:rFonts w:eastAsia="MS Mincho" w:cstheme="minorHAnsi"/>
              </w:rPr>
            </w:pPr>
            <w:r>
              <w:rPr>
                <w:rFonts w:eastAsia="MS Mincho" w:cstheme="minorHAnsi"/>
              </w:rPr>
              <w:t>N=</w:t>
            </w:r>
            <w:r w:rsidR="00690A8E">
              <w:rPr>
                <w:rFonts w:eastAsia="MS Mincho" w:cstheme="minorHAnsi"/>
              </w:rPr>
              <w:t>8144</w:t>
            </w:r>
          </w:p>
        </w:tc>
        <w:tc>
          <w:tcPr>
            <w:tcW w:w="1045" w:type="pct"/>
          </w:tcPr>
          <w:p w14:paraId="69F8F374" w14:textId="02DBE98E" w:rsidR="006D4111" w:rsidRPr="006D4111" w:rsidRDefault="00690A8E" w:rsidP="00A71365">
            <w:pPr>
              <w:pStyle w:val="Tablewriting"/>
              <w:rPr>
                <w:rFonts w:eastAsia="MS Mincho" w:cstheme="minorHAnsi"/>
              </w:rPr>
            </w:pPr>
            <w:r>
              <w:rPr>
                <w:rFonts w:eastAsia="MS Mincho" w:cstheme="minorHAnsi"/>
              </w:rPr>
              <w:t>S</w:t>
            </w:r>
            <w:r w:rsidRPr="00690A8E">
              <w:rPr>
                <w:rFonts w:eastAsia="MS Mincho" w:cstheme="minorHAnsi"/>
              </w:rPr>
              <w:t>mokers (</w:t>
            </w:r>
            <w:r w:rsidR="000743E3" w:rsidRPr="000743E3">
              <w:rPr>
                <w:rFonts w:eastAsia="MS Mincho" w:cstheme="minorHAnsi"/>
              </w:rPr>
              <w:t>≥</w:t>
            </w:r>
            <w:r w:rsidRPr="00690A8E">
              <w:rPr>
                <w:rFonts w:eastAsia="MS Mincho" w:cstheme="minorHAnsi"/>
              </w:rPr>
              <w:t xml:space="preserve"> 10 </w:t>
            </w:r>
            <w:r w:rsidR="000743E3">
              <w:rPr>
                <w:rFonts w:eastAsia="MS Mincho" w:cstheme="minorHAnsi"/>
              </w:rPr>
              <w:t>CPD</w:t>
            </w:r>
            <w:r w:rsidRPr="00690A8E">
              <w:rPr>
                <w:rFonts w:eastAsia="MS Mincho" w:cstheme="minorHAnsi"/>
              </w:rPr>
              <w:t>), treatment-seeking, exhaled CO &gt; 10 ppm at screening. Participants in the psychiatric</w:t>
            </w:r>
            <w:r w:rsidR="000743E3">
              <w:rPr>
                <w:rFonts w:eastAsia="MS Mincho" w:cstheme="minorHAnsi"/>
              </w:rPr>
              <w:t xml:space="preserve"> </w:t>
            </w:r>
            <w:r w:rsidRPr="00690A8E">
              <w:rPr>
                <w:rFonts w:eastAsia="MS Mincho" w:cstheme="minorHAnsi"/>
              </w:rPr>
              <w:t>disorder cohort had to have a current or lifetime stable psychiatric diagnosis</w:t>
            </w:r>
            <w:r w:rsidR="000743E3">
              <w:rPr>
                <w:rFonts w:eastAsia="MS Mincho" w:cstheme="minorHAnsi"/>
              </w:rPr>
              <w:t>.</w:t>
            </w:r>
          </w:p>
          <w:p w14:paraId="5635E5E4" w14:textId="77777777" w:rsidR="000743E3" w:rsidRPr="00690A8E" w:rsidRDefault="000743E3" w:rsidP="00A71365">
            <w:pPr>
              <w:pStyle w:val="Tablewriting"/>
              <w:rPr>
                <w:rFonts w:eastAsia="MS Mincho" w:cstheme="minorHAnsi"/>
              </w:rPr>
            </w:pPr>
          </w:p>
          <w:p w14:paraId="352DE16A" w14:textId="6CC1427A" w:rsidR="009042AA" w:rsidRPr="00017AE6" w:rsidRDefault="00690A8E" w:rsidP="00A71365">
            <w:pPr>
              <w:pStyle w:val="Tablewriting"/>
              <w:rPr>
                <w:rFonts w:eastAsia="MS Mincho" w:cstheme="minorHAnsi"/>
              </w:rPr>
            </w:pPr>
            <w:r w:rsidRPr="00690A8E">
              <w:rPr>
                <w:rFonts w:eastAsia="MS Mincho" w:cstheme="minorHAnsi"/>
              </w:rPr>
              <w:t>44% men, mean age 46, mean CPD 20.7, mean FTND 5.8</w:t>
            </w:r>
            <w:r w:rsidR="000743E3">
              <w:rPr>
                <w:rFonts w:eastAsia="MS Mincho" w:cstheme="minorHAnsi"/>
              </w:rPr>
              <w:t>.</w:t>
            </w:r>
          </w:p>
        </w:tc>
        <w:tc>
          <w:tcPr>
            <w:tcW w:w="1055" w:type="pct"/>
          </w:tcPr>
          <w:p w14:paraId="20DA5C73" w14:textId="77777777" w:rsidR="000743E3" w:rsidRDefault="000743E3" w:rsidP="00C324F3">
            <w:pPr>
              <w:pStyle w:val="Tablewriting"/>
              <w:numPr>
                <w:ilvl w:val="0"/>
                <w:numId w:val="97"/>
              </w:numPr>
              <w:rPr>
                <w:rFonts w:eastAsia="MS Mincho" w:cstheme="minorHAnsi"/>
              </w:rPr>
            </w:pPr>
            <w:r w:rsidRPr="000743E3">
              <w:rPr>
                <w:rFonts w:eastAsia="MS Mincho" w:cstheme="minorHAnsi"/>
              </w:rPr>
              <w:t>Varenicline, 1 mg x 2/day (1 week titrated, then 11 weeks full dose)</w:t>
            </w:r>
            <w:r>
              <w:rPr>
                <w:rFonts w:eastAsia="MS Mincho" w:cstheme="minorHAnsi"/>
              </w:rPr>
              <w:t>.</w:t>
            </w:r>
          </w:p>
          <w:p w14:paraId="745A5F8D" w14:textId="77777777" w:rsidR="000743E3" w:rsidRDefault="000743E3" w:rsidP="00C324F3">
            <w:pPr>
              <w:pStyle w:val="Tablewriting"/>
              <w:numPr>
                <w:ilvl w:val="0"/>
                <w:numId w:val="97"/>
              </w:numPr>
              <w:rPr>
                <w:rFonts w:eastAsia="MS Mincho" w:cstheme="minorHAnsi"/>
              </w:rPr>
            </w:pPr>
            <w:r w:rsidRPr="000743E3">
              <w:rPr>
                <w:rFonts w:eastAsia="MS Mincho" w:cstheme="minorHAnsi"/>
              </w:rPr>
              <w:t>Bupropion SR, 150 mg x 2/day (titrated for 3 days, then full dose for 11 weeks)</w:t>
            </w:r>
            <w:r>
              <w:rPr>
                <w:rFonts w:eastAsia="MS Mincho" w:cstheme="minorHAnsi"/>
              </w:rPr>
              <w:t>.</w:t>
            </w:r>
          </w:p>
          <w:p w14:paraId="44FE0466" w14:textId="77777777" w:rsidR="000743E3" w:rsidRDefault="000743E3" w:rsidP="00C324F3">
            <w:pPr>
              <w:pStyle w:val="Tablewriting"/>
              <w:numPr>
                <w:ilvl w:val="0"/>
                <w:numId w:val="97"/>
              </w:numPr>
              <w:rPr>
                <w:rFonts w:eastAsia="MS Mincho" w:cstheme="minorHAnsi"/>
              </w:rPr>
            </w:pPr>
            <w:r w:rsidRPr="000743E3">
              <w:rPr>
                <w:rFonts w:eastAsia="MS Mincho" w:cstheme="minorHAnsi"/>
              </w:rPr>
              <w:t>Nicotine patch, 21 mg x 7 weeks, 14 mg x 2 weeks, 7 mg x 2 weeks (11 weeks, 24 v 16 h not specified)</w:t>
            </w:r>
            <w:r>
              <w:rPr>
                <w:rFonts w:eastAsia="MS Mincho" w:cstheme="minorHAnsi"/>
              </w:rPr>
              <w:t>.</w:t>
            </w:r>
          </w:p>
          <w:p w14:paraId="3ABFFD34" w14:textId="5FFB9C36" w:rsidR="000743E3" w:rsidRPr="000743E3" w:rsidRDefault="000743E3" w:rsidP="00C324F3">
            <w:pPr>
              <w:pStyle w:val="Tablewriting"/>
              <w:numPr>
                <w:ilvl w:val="0"/>
                <w:numId w:val="97"/>
              </w:numPr>
              <w:rPr>
                <w:rFonts w:eastAsia="MS Mincho" w:cstheme="minorHAnsi"/>
              </w:rPr>
            </w:pPr>
            <w:r w:rsidRPr="000743E3">
              <w:rPr>
                <w:rFonts w:eastAsia="MS Mincho" w:cstheme="minorHAnsi"/>
              </w:rPr>
              <w:t>Triple-dummy placebo for each arm of the trial (12 weeks)</w:t>
            </w:r>
            <w:r>
              <w:rPr>
                <w:rFonts w:eastAsia="MS Mincho" w:cstheme="minorHAnsi"/>
              </w:rPr>
              <w:t>.</w:t>
            </w:r>
          </w:p>
          <w:p w14:paraId="142775EA" w14:textId="77777777" w:rsidR="000743E3" w:rsidRDefault="000743E3" w:rsidP="00A71365">
            <w:pPr>
              <w:pStyle w:val="Tablewriting"/>
              <w:rPr>
                <w:rFonts w:eastAsia="MS Mincho" w:cstheme="minorHAnsi"/>
              </w:rPr>
            </w:pPr>
          </w:p>
          <w:p w14:paraId="3C2D72FA" w14:textId="5A650F86" w:rsidR="009042AA" w:rsidRPr="00017AE6" w:rsidRDefault="000743E3" w:rsidP="00A71365">
            <w:pPr>
              <w:pStyle w:val="Tablewriting"/>
              <w:rPr>
                <w:rFonts w:eastAsia="MS Mincho" w:cstheme="minorHAnsi"/>
              </w:rPr>
            </w:pPr>
            <w:r w:rsidRPr="000743E3">
              <w:rPr>
                <w:rFonts w:eastAsia="MS Mincho" w:cstheme="minorHAnsi"/>
              </w:rPr>
              <w:t>Level of support: high</w:t>
            </w:r>
            <w:r>
              <w:rPr>
                <w:rFonts w:eastAsia="MS Mincho" w:cstheme="minorHAnsi"/>
              </w:rPr>
              <w:t xml:space="preserve"> </w:t>
            </w:r>
            <w:r w:rsidRPr="000743E3">
              <w:rPr>
                <w:rFonts w:eastAsia="MS Mincho" w:cstheme="minorHAnsi"/>
              </w:rPr>
              <w:t>(counselling (up to 10 mins) at all contacts: up to 15 face-to-face visits and 11</w:t>
            </w:r>
            <w:r>
              <w:rPr>
                <w:rFonts w:eastAsia="MS Mincho" w:cstheme="minorHAnsi"/>
              </w:rPr>
              <w:t xml:space="preserve"> </w:t>
            </w:r>
            <w:r w:rsidRPr="000743E3">
              <w:rPr>
                <w:rFonts w:eastAsia="MS Mincho" w:cstheme="minorHAnsi"/>
              </w:rPr>
              <w:t>telephone visits</w:t>
            </w:r>
            <w:r w:rsidR="0036765B">
              <w:rPr>
                <w:rFonts w:eastAsia="MS Mincho" w:cstheme="minorHAnsi"/>
              </w:rPr>
              <w:t>)</w:t>
            </w:r>
            <w:r>
              <w:rPr>
                <w:rFonts w:eastAsia="MS Mincho" w:cstheme="minorHAnsi"/>
              </w:rPr>
              <w:t>.</w:t>
            </w:r>
          </w:p>
        </w:tc>
        <w:tc>
          <w:tcPr>
            <w:tcW w:w="958" w:type="pct"/>
          </w:tcPr>
          <w:p w14:paraId="3D13A1D7" w14:textId="35FF1536" w:rsidR="0036765B" w:rsidRDefault="009B13E2" w:rsidP="00A71365">
            <w:pPr>
              <w:pStyle w:val="Tablewriting"/>
              <w:rPr>
                <w:rFonts w:eastAsia="MS Mincho" w:cstheme="minorHAnsi"/>
              </w:rPr>
            </w:pPr>
            <w:r w:rsidRPr="009B13E2">
              <w:rPr>
                <w:rFonts w:eastAsia="MS Mincho" w:cstheme="minorHAnsi"/>
                <w:u w:val="single"/>
              </w:rPr>
              <w:t>Efficacy:</w:t>
            </w:r>
            <w:r w:rsidR="0036765B">
              <w:rPr>
                <w:rFonts w:eastAsia="MS Mincho" w:cstheme="minorHAnsi"/>
                <w:u w:val="single"/>
              </w:rPr>
              <w:t xml:space="preserve"> </w:t>
            </w:r>
            <w:r w:rsidR="0036765B" w:rsidRPr="0036765B">
              <w:rPr>
                <w:rFonts w:eastAsia="MS Mincho" w:cstheme="minorHAnsi"/>
              </w:rPr>
              <w:t>6 months</w:t>
            </w:r>
            <w:r w:rsidR="0036765B">
              <w:rPr>
                <w:rFonts w:eastAsia="MS Mincho" w:cstheme="minorHAnsi"/>
              </w:rPr>
              <w:t xml:space="preserve"> </w:t>
            </w:r>
            <w:r w:rsidR="0036765B" w:rsidRPr="0036765B">
              <w:rPr>
                <w:rFonts w:eastAsia="MS Mincho" w:cstheme="minorHAnsi"/>
              </w:rPr>
              <w:t>continuous abstinence weeks 9 to 24</w:t>
            </w:r>
            <w:r w:rsidR="0036765B">
              <w:rPr>
                <w:rFonts w:eastAsia="MS Mincho" w:cstheme="minorHAnsi"/>
              </w:rPr>
              <w:t>.</w:t>
            </w:r>
          </w:p>
          <w:p w14:paraId="6D79C481" w14:textId="77777777" w:rsidR="0036765B" w:rsidRPr="0036765B" w:rsidRDefault="0036765B" w:rsidP="00A71365">
            <w:pPr>
              <w:pStyle w:val="Tablewriting"/>
              <w:rPr>
                <w:rFonts w:eastAsia="MS Mincho" w:cstheme="minorHAnsi"/>
              </w:rPr>
            </w:pPr>
          </w:p>
          <w:p w14:paraId="7A1AF7EE" w14:textId="3534976A" w:rsidR="009B13E2" w:rsidRPr="0036765B" w:rsidRDefault="0036765B" w:rsidP="00A71365">
            <w:pPr>
              <w:pStyle w:val="Tablewriting"/>
              <w:rPr>
                <w:rFonts w:eastAsia="MS Mincho" w:cstheme="minorHAnsi"/>
              </w:rPr>
            </w:pPr>
            <w:r w:rsidRPr="0036765B">
              <w:rPr>
                <w:rFonts w:eastAsia="MS Mincho" w:cstheme="minorHAnsi"/>
              </w:rPr>
              <w:t>Validation: CO &lt; 10 pp</w:t>
            </w:r>
          </w:p>
          <w:p w14:paraId="77A65720" w14:textId="77777777" w:rsidR="009B13E2" w:rsidRDefault="009B13E2" w:rsidP="00A71365">
            <w:pPr>
              <w:pStyle w:val="Tablewriting"/>
              <w:rPr>
                <w:rFonts w:eastAsia="MS Mincho" w:cstheme="minorHAnsi"/>
              </w:rPr>
            </w:pPr>
          </w:p>
          <w:p w14:paraId="36A0C7FF" w14:textId="3BF248D3" w:rsidR="009042AA" w:rsidRPr="00017AE6" w:rsidRDefault="009B13E2" w:rsidP="00A71365">
            <w:pPr>
              <w:pStyle w:val="Tablewriting"/>
              <w:rPr>
                <w:rFonts w:eastAsia="MS Mincho" w:cstheme="minorHAnsi"/>
              </w:rPr>
            </w:pPr>
            <w:r w:rsidRPr="009B13E2">
              <w:rPr>
                <w:rFonts w:eastAsia="MS Mincho" w:cstheme="minorHAnsi"/>
                <w:u w:val="single"/>
              </w:rPr>
              <w:t>Safety:</w:t>
            </w:r>
            <w:r w:rsidR="0036765B">
              <w:rPr>
                <w:rFonts w:eastAsia="MS Mincho" w:cstheme="minorHAnsi"/>
                <w:u w:val="single"/>
              </w:rPr>
              <w:t xml:space="preserve"> </w:t>
            </w:r>
            <w:r w:rsidR="0036765B" w:rsidRPr="0036765B">
              <w:rPr>
                <w:rFonts w:eastAsia="MS Mincho" w:cstheme="minorHAnsi"/>
              </w:rPr>
              <w:t>NR</w:t>
            </w:r>
          </w:p>
        </w:tc>
      </w:tr>
      <w:tr w:rsidR="009042AA" w:rsidRPr="00017AE6" w14:paraId="6B591988" w14:textId="77777777" w:rsidTr="005821B1">
        <w:trPr>
          <w:trHeight w:val="99"/>
        </w:trPr>
        <w:tc>
          <w:tcPr>
            <w:tcW w:w="1003" w:type="pct"/>
          </w:tcPr>
          <w:p w14:paraId="097FACFF" w14:textId="6365B6A3" w:rsidR="009042AA" w:rsidRPr="00017AE6" w:rsidRDefault="001A4206" w:rsidP="00A71365">
            <w:pPr>
              <w:pStyle w:val="Tablewriting"/>
              <w:rPr>
                <w:rFonts w:eastAsia="MS Mincho" w:cstheme="minorHAnsi"/>
              </w:rPr>
            </w:pPr>
            <w:r w:rsidRPr="00156D0F">
              <w:rPr>
                <w:rFonts w:eastAsia="MS Mincho"/>
              </w:rPr>
              <w:t xml:space="preserve">Coleman </w:t>
            </w:r>
            <w:r w:rsidR="006C6C9B">
              <w:rPr>
                <w:rFonts w:eastAsia="MS Mincho"/>
              </w:rPr>
              <w:t>(</w:t>
            </w:r>
            <w:r w:rsidRPr="00156D0F">
              <w:rPr>
                <w:rFonts w:eastAsia="MS Mincho"/>
              </w:rPr>
              <w:t>2012</w:t>
            </w:r>
            <w:r w:rsidR="006C6C9B">
              <w:rPr>
                <w:rFonts w:eastAsia="MS Mincho"/>
              </w:rPr>
              <w:t>)</w:t>
            </w:r>
          </w:p>
        </w:tc>
        <w:tc>
          <w:tcPr>
            <w:tcW w:w="235" w:type="pct"/>
          </w:tcPr>
          <w:p w14:paraId="021C715B" w14:textId="75F6EEEE"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83564D0" w14:textId="7DAF20AB" w:rsidR="009042AA" w:rsidRPr="00017AE6" w:rsidRDefault="00C32CD4" w:rsidP="00A71365">
            <w:pPr>
              <w:pStyle w:val="Tablewriting"/>
              <w:rPr>
                <w:rFonts w:eastAsia="MS Mincho" w:cstheme="minorHAnsi"/>
              </w:rPr>
            </w:pPr>
            <w:r>
              <w:rPr>
                <w:rFonts w:eastAsia="MS Mincho" w:cstheme="minorHAnsi"/>
              </w:rPr>
              <w:t>UK</w:t>
            </w:r>
          </w:p>
        </w:tc>
        <w:tc>
          <w:tcPr>
            <w:tcW w:w="289" w:type="pct"/>
          </w:tcPr>
          <w:p w14:paraId="53692E3F" w14:textId="452AB2D5" w:rsidR="009042AA" w:rsidRPr="00017AE6" w:rsidRDefault="001173B2" w:rsidP="00A71365">
            <w:pPr>
              <w:pStyle w:val="Tablewriting"/>
              <w:rPr>
                <w:rFonts w:eastAsia="MS Mincho" w:cstheme="minorHAnsi"/>
              </w:rPr>
            </w:pPr>
            <w:r>
              <w:rPr>
                <w:rFonts w:eastAsia="MS Mincho" w:cstheme="minorHAnsi"/>
              </w:rPr>
              <w:t>N=</w:t>
            </w:r>
            <w:r w:rsidR="00605E45">
              <w:rPr>
                <w:rFonts w:eastAsia="MS Mincho" w:cstheme="minorHAnsi"/>
              </w:rPr>
              <w:t>1050</w:t>
            </w:r>
          </w:p>
        </w:tc>
        <w:tc>
          <w:tcPr>
            <w:tcW w:w="1045" w:type="pct"/>
          </w:tcPr>
          <w:p w14:paraId="5511C821" w14:textId="055297C3" w:rsidR="00605E45" w:rsidRPr="00605E45" w:rsidRDefault="00605E45" w:rsidP="00A71365">
            <w:pPr>
              <w:pStyle w:val="Tablewriting"/>
              <w:rPr>
                <w:rFonts w:eastAsia="MS Mincho" w:cstheme="minorHAnsi"/>
              </w:rPr>
            </w:pPr>
            <w:r>
              <w:rPr>
                <w:rFonts w:eastAsia="MS Mincho" w:cstheme="minorHAnsi"/>
              </w:rPr>
              <w:t>P</w:t>
            </w:r>
            <w:r w:rsidRPr="00605E45">
              <w:rPr>
                <w:rFonts w:eastAsia="MS Mincho" w:cstheme="minorHAnsi"/>
              </w:rPr>
              <w:t xml:space="preserve">regnant women at 12 to 24 weeks gestation smoking f 5 </w:t>
            </w:r>
            <w:r>
              <w:rPr>
                <w:rFonts w:eastAsia="MS Mincho" w:cstheme="minorHAnsi"/>
              </w:rPr>
              <w:t>CPD</w:t>
            </w:r>
          </w:p>
          <w:p w14:paraId="051FF797" w14:textId="3563AB6B" w:rsidR="009042AA" w:rsidRPr="00017AE6" w:rsidRDefault="00605E45" w:rsidP="00A71365">
            <w:pPr>
              <w:pStyle w:val="Tablewriting"/>
              <w:rPr>
                <w:rFonts w:eastAsia="MS Mincho" w:cstheme="minorHAnsi"/>
              </w:rPr>
            </w:pPr>
            <w:r w:rsidRPr="00605E45">
              <w:rPr>
                <w:rFonts w:eastAsia="MS Mincho" w:cstheme="minorHAnsi"/>
              </w:rPr>
              <w:t xml:space="preserve">Average age 26, average </w:t>
            </w:r>
            <w:r>
              <w:rPr>
                <w:rFonts w:eastAsia="MS Mincho" w:cstheme="minorHAnsi"/>
              </w:rPr>
              <w:t>CPD</w:t>
            </w:r>
            <w:r w:rsidRPr="00605E45">
              <w:rPr>
                <w:rFonts w:eastAsia="MS Mincho" w:cstheme="minorHAnsi"/>
              </w:rPr>
              <w:t xml:space="preserve"> at time of recruitment 14, average </w:t>
            </w:r>
            <w:r>
              <w:rPr>
                <w:rFonts w:eastAsia="MS Mincho" w:cstheme="minorHAnsi"/>
              </w:rPr>
              <w:t>CPD</w:t>
            </w:r>
            <w:r w:rsidRPr="00605E45">
              <w:rPr>
                <w:rFonts w:eastAsia="MS Mincho" w:cstheme="minorHAnsi"/>
              </w:rPr>
              <w:t xml:space="preserve"> before pregnancy 20</w:t>
            </w:r>
            <w:r>
              <w:rPr>
                <w:rFonts w:eastAsia="MS Mincho" w:cstheme="minorHAnsi"/>
              </w:rPr>
              <w:t>.</w:t>
            </w:r>
          </w:p>
        </w:tc>
        <w:tc>
          <w:tcPr>
            <w:tcW w:w="1055" w:type="pct"/>
          </w:tcPr>
          <w:p w14:paraId="0F8A2028" w14:textId="5F78252A" w:rsidR="005015E5" w:rsidRPr="005015E5" w:rsidRDefault="005015E5" w:rsidP="00C324F3">
            <w:pPr>
              <w:pStyle w:val="Tablewriting"/>
              <w:numPr>
                <w:ilvl w:val="0"/>
                <w:numId w:val="118"/>
              </w:numPr>
              <w:rPr>
                <w:rFonts w:eastAsia="MS Mincho" w:cstheme="minorHAnsi"/>
              </w:rPr>
            </w:pPr>
            <w:r w:rsidRPr="005015E5">
              <w:rPr>
                <w:rFonts w:eastAsia="MS Mincho" w:cstheme="minorHAnsi"/>
              </w:rPr>
              <w:t>Nicotine gum (2 mg) for up to 6 months, max 30/day</w:t>
            </w:r>
          </w:p>
          <w:p w14:paraId="410056CD" w14:textId="631466B3" w:rsidR="005015E5" w:rsidRDefault="005015E5" w:rsidP="00C324F3">
            <w:pPr>
              <w:pStyle w:val="Tablewriting"/>
              <w:numPr>
                <w:ilvl w:val="0"/>
                <w:numId w:val="118"/>
              </w:numPr>
              <w:rPr>
                <w:rFonts w:eastAsia="MS Mincho" w:cstheme="minorHAnsi"/>
              </w:rPr>
            </w:pPr>
            <w:r w:rsidRPr="005015E5">
              <w:rPr>
                <w:rFonts w:eastAsia="MS Mincho" w:cstheme="minorHAnsi"/>
              </w:rPr>
              <w:t>Placebo gum (contained 1 mg unbuffered nicotine)</w:t>
            </w:r>
            <w:r w:rsidR="003F13A5">
              <w:rPr>
                <w:rFonts w:eastAsia="MS Mincho" w:cstheme="minorHAnsi"/>
              </w:rPr>
              <w:t>.</w:t>
            </w:r>
          </w:p>
          <w:p w14:paraId="50B0E579" w14:textId="77777777" w:rsidR="003F13A5" w:rsidRPr="005015E5" w:rsidRDefault="003F13A5" w:rsidP="00A71365">
            <w:pPr>
              <w:pStyle w:val="Tablewriting"/>
              <w:ind w:left="360"/>
              <w:rPr>
                <w:rFonts w:eastAsia="MS Mincho" w:cstheme="minorHAnsi"/>
              </w:rPr>
            </w:pPr>
          </w:p>
          <w:p w14:paraId="0764AC22" w14:textId="77777777" w:rsidR="009042AA" w:rsidRDefault="005015E5" w:rsidP="00A71365">
            <w:pPr>
              <w:pStyle w:val="Tablewriting"/>
              <w:rPr>
                <w:rFonts w:eastAsia="MS Mincho" w:cstheme="minorHAnsi"/>
              </w:rPr>
            </w:pPr>
            <w:r w:rsidRPr="005015E5">
              <w:rPr>
                <w:rFonts w:eastAsia="MS Mincho" w:cstheme="minorHAnsi"/>
              </w:rPr>
              <w:t>Level of support: high (3 acupuncture session at 0, 7, 28 days)</w:t>
            </w:r>
            <w:r w:rsidR="00440B17">
              <w:rPr>
                <w:rFonts w:eastAsia="MS Mincho" w:cstheme="minorHAnsi"/>
              </w:rPr>
              <w:t>.</w:t>
            </w:r>
          </w:p>
          <w:p w14:paraId="07795C76" w14:textId="77777777" w:rsidR="00440B17" w:rsidRDefault="00440B17" w:rsidP="00A71365">
            <w:pPr>
              <w:pStyle w:val="Tablewriting"/>
              <w:rPr>
                <w:rFonts w:eastAsia="MS Mincho" w:cstheme="minorHAnsi"/>
              </w:rPr>
            </w:pPr>
          </w:p>
          <w:p w14:paraId="55DCD6F5" w14:textId="41DEEC0D" w:rsidR="00440B17" w:rsidRPr="005015E5" w:rsidRDefault="00440B17" w:rsidP="00A71365">
            <w:pPr>
              <w:pStyle w:val="Tablewriting"/>
              <w:rPr>
                <w:rFonts w:eastAsia="MS Mincho" w:cstheme="minorHAnsi"/>
              </w:rPr>
            </w:pPr>
            <w:r w:rsidRPr="005015E5">
              <w:rPr>
                <w:rFonts w:eastAsia="MS Mincho" w:cstheme="minorHAnsi"/>
              </w:rPr>
              <w:t>Factorial trial with active/placebo acupuncture arms, collapsed for this</w:t>
            </w:r>
            <w:r>
              <w:rPr>
                <w:rFonts w:eastAsia="MS Mincho" w:cstheme="minorHAnsi"/>
              </w:rPr>
              <w:t xml:space="preserve"> </w:t>
            </w:r>
            <w:r w:rsidRPr="005015E5">
              <w:rPr>
                <w:rFonts w:eastAsia="MS Mincho" w:cstheme="minorHAnsi"/>
              </w:rPr>
              <w:t>review</w:t>
            </w:r>
            <w:r>
              <w:rPr>
                <w:rFonts w:eastAsia="MS Mincho" w:cstheme="minorHAnsi"/>
              </w:rPr>
              <w:t>.</w:t>
            </w:r>
          </w:p>
          <w:p w14:paraId="366A0105" w14:textId="3C2C3851" w:rsidR="009042AA" w:rsidRPr="00017AE6" w:rsidRDefault="009042AA" w:rsidP="00A71365">
            <w:pPr>
              <w:pStyle w:val="Tablewriting"/>
              <w:rPr>
                <w:rFonts w:eastAsia="MS Mincho" w:cstheme="minorHAnsi"/>
              </w:rPr>
            </w:pPr>
          </w:p>
        </w:tc>
        <w:tc>
          <w:tcPr>
            <w:tcW w:w="958" w:type="pct"/>
          </w:tcPr>
          <w:p w14:paraId="57B5B520" w14:textId="7C9C682D" w:rsidR="00426274" w:rsidRPr="00426274" w:rsidRDefault="001173B2" w:rsidP="00A71365">
            <w:pPr>
              <w:pStyle w:val="Tablewriting"/>
              <w:rPr>
                <w:rFonts w:eastAsia="MS Mincho" w:cstheme="minorHAnsi"/>
              </w:rPr>
            </w:pPr>
            <w:r w:rsidRPr="00426274">
              <w:rPr>
                <w:rFonts w:eastAsia="MS Mincho" w:cstheme="minorHAnsi"/>
              </w:rPr>
              <w:t>Efficacy:</w:t>
            </w:r>
            <w:r w:rsidR="00426274" w:rsidRPr="00426274">
              <w:t xml:space="preserve"> </w:t>
            </w:r>
            <w:r w:rsidR="00426274" w:rsidRPr="00426274">
              <w:rPr>
                <w:rFonts w:eastAsia="MS Mincho" w:cstheme="minorHAnsi"/>
              </w:rPr>
              <w:t>Abstinence at 13 months (1-month quitters followed up). 4-year follow-up reported in 1997 with different</w:t>
            </w:r>
          </w:p>
          <w:p w14:paraId="70F26749" w14:textId="39E8485F" w:rsidR="00426274" w:rsidRDefault="00426274" w:rsidP="00A71365">
            <w:pPr>
              <w:pStyle w:val="Tablewriting"/>
              <w:rPr>
                <w:rFonts w:eastAsia="MS Mincho" w:cstheme="minorHAnsi"/>
              </w:rPr>
            </w:pPr>
            <w:r w:rsidRPr="00426274">
              <w:rPr>
                <w:rFonts w:eastAsia="MS Mincho" w:cstheme="minorHAnsi"/>
              </w:rPr>
              <w:t>1-year results</w:t>
            </w:r>
            <w:r w:rsidR="00925E59">
              <w:rPr>
                <w:rFonts w:eastAsia="MS Mincho" w:cstheme="minorHAnsi"/>
              </w:rPr>
              <w:t>.</w:t>
            </w:r>
          </w:p>
          <w:p w14:paraId="22487C34" w14:textId="77777777" w:rsidR="00925E59" w:rsidRPr="00426274" w:rsidRDefault="00925E59" w:rsidP="00A71365">
            <w:pPr>
              <w:pStyle w:val="Tablewriting"/>
              <w:rPr>
                <w:rFonts w:eastAsia="MS Mincho" w:cstheme="minorHAnsi"/>
              </w:rPr>
            </w:pPr>
          </w:p>
          <w:p w14:paraId="1018C600" w14:textId="7CECC17F" w:rsidR="001173B2" w:rsidRPr="00426274" w:rsidRDefault="00426274" w:rsidP="00A71365">
            <w:pPr>
              <w:pStyle w:val="Tablewriting"/>
              <w:rPr>
                <w:rFonts w:eastAsia="MS Mincho" w:cstheme="minorHAnsi"/>
              </w:rPr>
            </w:pPr>
            <w:r w:rsidRPr="00426274">
              <w:rPr>
                <w:rFonts w:eastAsia="MS Mincho" w:cstheme="minorHAnsi"/>
              </w:rPr>
              <w:t>Validation: none at 1 year</w:t>
            </w:r>
            <w:r w:rsidR="00925E59">
              <w:rPr>
                <w:rFonts w:eastAsia="MS Mincho" w:cstheme="minorHAnsi"/>
              </w:rPr>
              <w:t>.</w:t>
            </w:r>
          </w:p>
          <w:p w14:paraId="2170A659" w14:textId="77777777" w:rsidR="001173B2" w:rsidRDefault="001173B2" w:rsidP="00A71365">
            <w:pPr>
              <w:pStyle w:val="Tablewriting"/>
              <w:rPr>
                <w:rFonts w:eastAsia="MS Mincho" w:cstheme="minorHAnsi"/>
              </w:rPr>
            </w:pPr>
          </w:p>
          <w:p w14:paraId="1BB5FA41" w14:textId="7F6578AD" w:rsidR="009042AA" w:rsidRPr="00017AE6" w:rsidRDefault="001173B2" w:rsidP="00A71365">
            <w:pPr>
              <w:pStyle w:val="Tablewriting"/>
              <w:rPr>
                <w:rFonts w:eastAsia="MS Mincho" w:cstheme="minorHAnsi"/>
              </w:rPr>
            </w:pPr>
            <w:r w:rsidRPr="009B13E2">
              <w:rPr>
                <w:rFonts w:eastAsia="MS Mincho" w:cstheme="minorHAnsi"/>
                <w:u w:val="single"/>
              </w:rPr>
              <w:t>Safety:</w:t>
            </w:r>
            <w:r w:rsidR="00B35E43">
              <w:rPr>
                <w:rFonts w:eastAsia="MS Mincho" w:cstheme="minorHAnsi"/>
                <w:u w:val="single"/>
              </w:rPr>
              <w:t xml:space="preserve"> </w:t>
            </w:r>
            <w:r w:rsidR="00B35E43" w:rsidRPr="0036765B">
              <w:rPr>
                <w:rFonts w:eastAsia="MS Mincho" w:cstheme="minorHAnsi"/>
              </w:rPr>
              <w:t>NR</w:t>
            </w:r>
          </w:p>
        </w:tc>
      </w:tr>
      <w:tr w:rsidR="009042AA" w:rsidRPr="00017AE6" w14:paraId="7D06B0EF" w14:textId="77777777" w:rsidTr="005821B1">
        <w:trPr>
          <w:trHeight w:val="99"/>
        </w:trPr>
        <w:tc>
          <w:tcPr>
            <w:tcW w:w="1003" w:type="pct"/>
          </w:tcPr>
          <w:p w14:paraId="5435569D" w14:textId="6D68EFBA" w:rsidR="009042AA" w:rsidRPr="00017AE6" w:rsidRDefault="001A4206" w:rsidP="00A71365">
            <w:pPr>
              <w:pStyle w:val="Tablewriting"/>
              <w:rPr>
                <w:rFonts w:eastAsia="MS Mincho" w:cstheme="minorHAnsi"/>
              </w:rPr>
            </w:pPr>
            <w:r w:rsidRPr="00156D0F">
              <w:rPr>
                <w:rFonts w:eastAsia="MS Mincho"/>
              </w:rPr>
              <w:lastRenderedPageBreak/>
              <w:t xml:space="preserve">Daughton </w:t>
            </w:r>
            <w:r w:rsidR="006C6C9B">
              <w:rPr>
                <w:rFonts w:eastAsia="MS Mincho"/>
              </w:rPr>
              <w:t>(</w:t>
            </w:r>
            <w:r w:rsidRPr="00156D0F">
              <w:rPr>
                <w:rFonts w:eastAsia="MS Mincho"/>
              </w:rPr>
              <w:t>1991</w:t>
            </w:r>
            <w:r w:rsidR="006C6C9B">
              <w:rPr>
                <w:rFonts w:eastAsia="MS Mincho"/>
              </w:rPr>
              <w:t>)</w:t>
            </w:r>
          </w:p>
        </w:tc>
        <w:tc>
          <w:tcPr>
            <w:tcW w:w="235" w:type="pct"/>
          </w:tcPr>
          <w:p w14:paraId="1D48A791" w14:textId="1D390D42"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7513A0C" w14:textId="59F5A1D2" w:rsidR="009042AA" w:rsidRPr="00017AE6" w:rsidRDefault="00DF7757" w:rsidP="00A71365">
            <w:pPr>
              <w:pStyle w:val="Tablewriting"/>
              <w:rPr>
                <w:rFonts w:eastAsia="MS Mincho" w:cstheme="minorHAnsi"/>
              </w:rPr>
            </w:pPr>
            <w:r w:rsidRPr="00DF7757">
              <w:rPr>
                <w:rFonts w:eastAsia="MS Mincho" w:cstheme="minorHAnsi"/>
              </w:rPr>
              <w:t>USA</w:t>
            </w:r>
          </w:p>
        </w:tc>
        <w:tc>
          <w:tcPr>
            <w:tcW w:w="289" w:type="pct"/>
          </w:tcPr>
          <w:p w14:paraId="522CA611" w14:textId="6D6FFDFC" w:rsidR="009042AA" w:rsidRPr="00017AE6" w:rsidRDefault="001173B2" w:rsidP="00A71365">
            <w:pPr>
              <w:pStyle w:val="Tablewriting"/>
              <w:rPr>
                <w:rFonts w:eastAsia="MS Mincho" w:cstheme="minorHAnsi"/>
              </w:rPr>
            </w:pPr>
            <w:r>
              <w:rPr>
                <w:rFonts w:eastAsia="MS Mincho" w:cstheme="minorHAnsi"/>
              </w:rPr>
              <w:t>N=</w:t>
            </w:r>
            <w:r w:rsidR="00DF7757">
              <w:rPr>
                <w:rFonts w:eastAsia="MS Mincho" w:cstheme="minorHAnsi"/>
              </w:rPr>
              <w:t>158</w:t>
            </w:r>
          </w:p>
        </w:tc>
        <w:tc>
          <w:tcPr>
            <w:tcW w:w="1045" w:type="pct"/>
          </w:tcPr>
          <w:p w14:paraId="2479AF0B" w14:textId="4BC6D3DE" w:rsidR="00B41BED" w:rsidRPr="00B41BED" w:rsidRDefault="009909E1" w:rsidP="00A71365">
            <w:pPr>
              <w:pStyle w:val="Tablewriting"/>
              <w:rPr>
                <w:rFonts w:eastAsia="MS Mincho" w:cstheme="minorHAnsi"/>
              </w:rPr>
            </w:pPr>
            <w:r>
              <w:rPr>
                <w:rFonts w:eastAsia="MS Mincho" w:cstheme="minorHAnsi"/>
              </w:rPr>
              <w:t>S</w:t>
            </w:r>
            <w:r w:rsidR="00B41BED" w:rsidRPr="00B41BED">
              <w:rPr>
                <w:rFonts w:eastAsia="MS Mincho" w:cstheme="minorHAnsi"/>
              </w:rPr>
              <w:t xml:space="preserve">mokers (at least 1 pack </w:t>
            </w:r>
            <w:r w:rsidR="00B41BED">
              <w:rPr>
                <w:rFonts w:eastAsia="MS Mincho" w:cstheme="minorHAnsi"/>
              </w:rPr>
              <w:t>CPD</w:t>
            </w:r>
            <w:r w:rsidR="00B41BED" w:rsidRPr="00B41BED">
              <w:rPr>
                <w:rFonts w:eastAsia="MS Mincho" w:cstheme="minorHAnsi"/>
              </w:rPr>
              <w:t>)</w:t>
            </w:r>
          </w:p>
          <w:p w14:paraId="15EBAD80" w14:textId="6B962ED4" w:rsidR="009042AA" w:rsidRPr="00017AE6" w:rsidRDefault="00B41BED" w:rsidP="00A71365">
            <w:pPr>
              <w:pStyle w:val="Tablewriting"/>
              <w:rPr>
                <w:rFonts w:eastAsia="MS Mincho" w:cstheme="minorHAnsi"/>
              </w:rPr>
            </w:pPr>
            <w:r w:rsidRPr="00B41BED">
              <w:rPr>
                <w:rFonts w:eastAsia="MS Mincho" w:cstheme="minorHAnsi"/>
              </w:rPr>
              <w:t xml:space="preserve">53% female, average age 42, average </w:t>
            </w:r>
            <w:r>
              <w:rPr>
                <w:rFonts w:eastAsia="MS Mincho" w:cstheme="minorHAnsi"/>
              </w:rPr>
              <w:t>CPD</w:t>
            </w:r>
            <w:r w:rsidRPr="00B41BED">
              <w:rPr>
                <w:rFonts w:eastAsia="MS Mincho" w:cstheme="minorHAnsi"/>
              </w:rPr>
              <w:t xml:space="preserve"> 33</w:t>
            </w:r>
            <w:r>
              <w:rPr>
                <w:rFonts w:eastAsia="MS Mincho" w:cstheme="minorHAnsi"/>
              </w:rPr>
              <w:t>.</w:t>
            </w:r>
          </w:p>
        </w:tc>
        <w:tc>
          <w:tcPr>
            <w:tcW w:w="1055" w:type="pct"/>
          </w:tcPr>
          <w:p w14:paraId="0068C8BA" w14:textId="23C90711" w:rsidR="00B41BED" w:rsidRPr="00B41BED" w:rsidRDefault="00B41BED" w:rsidP="00C324F3">
            <w:pPr>
              <w:pStyle w:val="Tablewriting"/>
              <w:numPr>
                <w:ilvl w:val="0"/>
                <w:numId w:val="119"/>
              </w:numPr>
              <w:jc w:val="both"/>
              <w:rPr>
                <w:rFonts w:eastAsia="MS Mincho" w:cstheme="minorHAnsi"/>
              </w:rPr>
            </w:pPr>
            <w:r w:rsidRPr="00B41BED">
              <w:rPr>
                <w:rFonts w:eastAsia="MS Mincho" w:cstheme="minorHAnsi"/>
              </w:rPr>
              <w:t xml:space="preserve">Nicotine patch (15 </w:t>
            </w:r>
            <w:r w:rsidRPr="0085252D">
              <w:rPr>
                <w:rFonts w:eastAsia="MS Mincho" w:cstheme="minorHAnsi"/>
              </w:rPr>
              <w:t>cm</w:t>
            </w:r>
            <w:r w:rsidR="0085252D" w:rsidRPr="0085252D">
              <w:rPr>
                <w:rFonts w:eastAsia="MS Mincho" w:cstheme="minorHAnsi"/>
                <w:vertAlign w:val="superscript"/>
              </w:rPr>
              <w:t>2</w:t>
            </w:r>
            <w:r w:rsidRPr="00B41BED">
              <w:rPr>
                <w:rFonts w:eastAsia="MS Mincho" w:cstheme="minorHAnsi"/>
              </w:rPr>
              <w:t>, 4</w:t>
            </w:r>
            <w:r w:rsidR="00297442">
              <w:rPr>
                <w:rFonts w:eastAsia="MS Mincho" w:cstheme="minorHAnsi"/>
              </w:rPr>
              <w:t xml:space="preserve"> </w:t>
            </w:r>
            <w:r w:rsidRPr="00B41BED">
              <w:rPr>
                <w:rFonts w:eastAsia="MS Mincho" w:cstheme="minorHAnsi"/>
              </w:rPr>
              <w:t>weeks) worn for 16 h/day</w:t>
            </w:r>
            <w:r w:rsidR="00FC64A3">
              <w:rPr>
                <w:rFonts w:eastAsia="MS Mincho" w:cstheme="minorHAnsi"/>
              </w:rPr>
              <w:t>.</w:t>
            </w:r>
          </w:p>
          <w:p w14:paraId="4EE9466F" w14:textId="5BD3B565" w:rsidR="00B41BED" w:rsidRPr="00B41BED" w:rsidRDefault="00B41BED" w:rsidP="00C324F3">
            <w:pPr>
              <w:pStyle w:val="Tablewriting"/>
              <w:numPr>
                <w:ilvl w:val="0"/>
                <w:numId w:val="119"/>
              </w:numPr>
              <w:jc w:val="both"/>
              <w:rPr>
                <w:rFonts w:eastAsia="MS Mincho" w:cstheme="minorHAnsi"/>
              </w:rPr>
            </w:pPr>
            <w:r w:rsidRPr="00B41BED">
              <w:rPr>
                <w:rFonts w:eastAsia="MS Mincho" w:cstheme="minorHAnsi"/>
              </w:rPr>
              <w:t xml:space="preserve">Nicotine patch (15 </w:t>
            </w:r>
            <w:r w:rsidR="0085252D" w:rsidRPr="0085252D">
              <w:rPr>
                <w:rFonts w:eastAsia="MS Mincho" w:cstheme="minorHAnsi"/>
              </w:rPr>
              <w:t>cm</w:t>
            </w:r>
            <w:r w:rsidR="0085252D" w:rsidRPr="0085252D">
              <w:rPr>
                <w:rFonts w:eastAsia="MS Mincho" w:cstheme="minorHAnsi"/>
                <w:vertAlign w:val="superscript"/>
              </w:rPr>
              <w:t>2</w:t>
            </w:r>
            <w:r w:rsidRPr="0085252D">
              <w:rPr>
                <w:rFonts w:eastAsia="MS Mincho" w:cstheme="minorHAnsi"/>
              </w:rPr>
              <w:t>,</w:t>
            </w:r>
            <w:r w:rsidRPr="00B41BED">
              <w:rPr>
                <w:rFonts w:eastAsia="MS Mincho" w:cstheme="minorHAnsi"/>
              </w:rPr>
              <w:t xml:space="preserve"> 4 weeks) worn for 24 h/day</w:t>
            </w:r>
            <w:r w:rsidR="00423418">
              <w:rPr>
                <w:rFonts w:eastAsia="MS Mincho" w:cstheme="minorHAnsi"/>
              </w:rPr>
              <w:t>.</w:t>
            </w:r>
          </w:p>
          <w:p w14:paraId="663FF960" w14:textId="0521CA23" w:rsidR="00B41BED" w:rsidRDefault="00B41BED" w:rsidP="00C324F3">
            <w:pPr>
              <w:pStyle w:val="Tablewriting"/>
              <w:numPr>
                <w:ilvl w:val="0"/>
                <w:numId w:val="119"/>
              </w:numPr>
              <w:jc w:val="both"/>
              <w:rPr>
                <w:rFonts w:eastAsia="MS Mincho" w:cstheme="minorHAnsi"/>
              </w:rPr>
            </w:pPr>
            <w:r w:rsidRPr="00B41BED">
              <w:rPr>
                <w:rFonts w:eastAsia="MS Mincho" w:cstheme="minorHAnsi"/>
              </w:rPr>
              <w:t>Placebo patch, 4 weeks</w:t>
            </w:r>
            <w:r w:rsidR="00CD3705">
              <w:rPr>
                <w:rFonts w:eastAsia="MS Mincho" w:cstheme="minorHAnsi"/>
              </w:rPr>
              <w:t>.</w:t>
            </w:r>
          </w:p>
          <w:p w14:paraId="63F5D207" w14:textId="77777777" w:rsidR="00CD3705" w:rsidRPr="00B41BED" w:rsidRDefault="00CD3705" w:rsidP="00A71365">
            <w:pPr>
              <w:pStyle w:val="Tablewriting"/>
              <w:ind w:left="360"/>
              <w:jc w:val="both"/>
              <w:rPr>
                <w:rFonts w:eastAsia="MS Mincho" w:cstheme="minorHAnsi"/>
              </w:rPr>
            </w:pPr>
          </w:p>
          <w:p w14:paraId="0D6BBA61" w14:textId="7C545982" w:rsidR="009042AA" w:rsidRPr="00017AE6" w:rsidRDefault="00B41BED" w:rsidP="00A71365">
            <w:pPr>
              <w:pStyle w:val="Tablewriting"/>
              <w:ind w:left="360"/>
              <w:rPr>
                <w:rFonts w:eastAsia="MS Mincho" w:cstheme="minorHAnsi"/>
              </w:rPr>
            </w:pPr>
            <w:r w:rsidRPr="00B41BED">
              <w:rPr>
                <w:rFonts w:eastAsia="MS Mincho" w:cstheme="minorHAnsi"/>
              </w:rPr>
              <w:t>Level of support: unclear and differed between sites</w:t>
            </w:r>
            <w:r w:rsidR="00CD3705">
              <w:rPr>
                <w:rFonts w:eastAsia="MS Mincho" w:cstheme="minorHAnsi"/>
              </w:rPr>
              <w:t>.</w:t>
            </w:r>
          </w:p>
        </w:tc>
        <w:tc>
          <w:tcPr>
            <w:tcW w:w="958" w:type="pct"/>
          </w:tcPr>
          <w:p w14:paraId="47C9BA73" w14:textId="1B5308DB" w:rsidR="00B1672B" w:rsidRDefault="001173B2" w:rsidP="00A71365">
            <w:pPr>
              <w:pStyle w:val="Tablewriting"/>
              <w:rPr>
                <w:rFonts w:eastAsia="MS Mincho" w:cstheme="minorHAnsi"/>
              </w:rPr>
            </w:pPr>
            <w:r w:rsidRPr="006D55AE">
              <w:rPr>
                <w:rFonts w:eastAsia="MS Mincho" w:cstheme="minorHAnsi"/>
                <w:u w:val="single"/>
              </w:rPr>
              <w:t>Efficacy</w:t>
            </w:r>
            <w:r w:rsidRPr="00B1672B">
              <w:rPr>
                <w:rFonts w:eastAsia="MS Mincho" w:cstheme="minorHAnsi"/>
              </w:rPr>
              <w:t>:</w:t>
            </w:r>
            <w:r w:rsidR="00B1672B" w:rsidRPr="00B1672B">
              <w:t xml:space="preserve"> </w:t>
            </w:r>
            <w:r w:rsidR="00B1672B" w:rsidRPr="00B1672B">
              <w:rPr>
                <w:rFonts w:eastAsia="MS Mincho" w:cstheme="minorHAnsi"/>
              </w:rPr>
              <w:t>Sustained abstinence at 6 months</w:t>
            </w:r>
            <w:r w:rsidR="00B1672B">
              <w:rPr>
                <w:rFonts w:eastAsia="MS Mincho" w:cstheme="minorHAnsi"/>
              </w:rPr>
              <w:t>.</w:t>
            </w:r>
          </w:p>
          <w:p w14:paraId="77B089F2" w14:textId="77777777" w:rsidR="00B1672B" w:rsidRPr="00B1672B" w:rsidRDefault="00B1672B" w:rsidP="00A71365">
            <w:pPr>
              <w:pStyle w:val="Tablewriting"/>
              <w:rPr>
                <w:rFonts w:eastAsia="MS Mincho" w:cstheme="minorHAnsi"/>
              </w:rPr>
            </w:pPr>
          </w:p>
          <w:p w14:paraId="21761051" w14:textId="2102A047" w:rsidR="001173B2" w:rsidRPr="00B1672B" w:rsidRDefault="00B1672B" w:rsidP="00A71365">
            <w:pPr>
              <w:pStyle w:val="Tablewriting"/>
              <w:rPr>
                <w:rFonts w:eastAsia="MS Mincho" w:cstheme="minorHAnsi"/>
              </w:rPr>
            </w:pPr>
            <w:r w:rsidRPr="00B1672B">
              <w:rPr>
                <w:rFonts w:eastAsia="MS Mincho" w:cstheme="minorHAnsi"/>
              </w:rPr>
              <w:t>Validation: None after 4 weeks (CO at 2 to 4 weeks</w:t>
            </w:r>
            <w:r w:rsidRPr="00B1672B">
              <w:rPr>
                <w:rFonts w:eastAsia="MS Mincho" w:cstheme="minorHAnsi"/>
                <w:u w:val="single"/>
              </w:rPr>
              <w:t>)</w:t>
            </w:r>
          </w:p>
          <w:p w14:paraId="495CA806" w14:textId="77777777" w:rsidR="001173B2" w:rsidRDefault="001173B2" w:rsidP="00A71365">
            <w:pPr>
              <w:pStyle w:val="Tablewriting"/>
              <w:rPr>
                <w:rFonts w:eastAsia="MS Mincho" w:cstheme="minorHAnsi"/>
              </w:rPr>
            </w:pPr>
          </w:p>
          <w:p w14:paraId="78D9DB86" w14:textId="0EE4AE67" w:rsidR="009042AA" w:rsidRPr="00017AE6" w:rsidRDefault="001173B2" w:rsidP="00A71365">
            <w:pPr>
              <w:pStyle w:val="Tablewriting"/>
              <w:rPr>
                <w:rFonts w:eastAsia="MS Mincho" w:cstheme="minorHAnsi"/>
              </w:rPr>
            </w:pPr>
            <w:r w:rsidRPr="009B13E2">
              <w:rPr>
                <w:rFonts w:eastAsia="MS Mincho" w:cstheme="minorHAnsi"/>
                <w:u w:val="single"/>
              </w:rPr>
              <w:t>Safety:</w:t>
            </w:r>
            <w:r w:rsidR="006D55AE">
              <w:rPr>
                <w:rFonts w:eastAsia="MS Mincho" w:cstheme="minorHAnsi"/>
                <w:u w:val="single"/>
              </w:rPr>
              <w:t xml:space="preserve"> </w:t>
            </w:r>
            <w:r w:rsidR="006D55AE" w:rsidRPr="006D55AE">
              <w:rPr>
                <w:rFonts w:eastAsia="MS Mincho" w:cstheme="minorHAnsi"/>
              </w:rPr>
              <w:t>NR</w:t>
            </w:r>
          </w:p>
        </w:tc>
      </w:tr>
      <w:tr w:rsidR="009042AA" w:rsidRPr="00017AE6" w14:paraId="55817658" w14:textId="77777777" w:rsidTr="005821B1">
        <w:trPr>
          <w:trHeight w:val="99"/>
        </w:trPr>
        <w:tc>
          <w:tcPr>
            <w:tcW w:w="1003" w:type="pct"/>
          </w:tcPr>
          <w:p w14:paraId="04BEAFB9" w14:textId="3AF147E2" w:rsidR="009042AA" w:rsidRPr="00017AE6" w:rsidRDefault="001A4206" w:rsidP="00A71365">
            <w:pPr>
              <w:pStyle w:val="Tablewriting"/>
              <w:rPr>
                <w:rFonts w:eastAsia="MS Mincho" w:cstheme="minorHAnsi"/>
              </w:rPr>
            </w:pPr>
            <w:r w:rsidRPr="00156D0F">
              <w:rPr>
                <w:rFonts w:eastAsia="MS Mincho"/>
              </w:rPr>
              <w:t xml:space="preserve">Davidson </w:t>
            </w:r>
            <w:r w:rsidR="006C6C9B">
              <w:rPr>
                <w:rFonts w:eastAsia="MS Mincho"/>
              </w:rPr>
              <w:t>(</w:t>
            </w:r>
            <w:r w:rsidRPr="00156D0F">
              <w:rPr>
                <w:rFonts w:eastAsia="MS Mincho"/>
              </w:rPr>
              <w:t>1998</w:t>
            </w:r>
            <w:r w:rsidR="006C6C9B">
              <w:rPr>
                <w:rFonts w:eastAsia="MS Mincho"/>
              </w:rPr>
              <w:t>)</w:t>
            </w:r>
          </w:p>
        </w:tc>
        <w:tc>
          <w:tcPr>
            <w:tcW w:w="235" w:type="pct"/>
          </w:tcPr>
          <w:p w14:paraId="2267F917" w14:textId="30BE6CED"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9CBB9A1" w14:textId="6D10E045" w:rsidR="009042AA" w:rsidRPr="00017AE6" w:rsidRDefault="0052006D" w:rsidP="00A71365">
            <w:pPr>
              <w:pStyle w:val="Tablewriting"/>
              <w:rPr>
                <w:rFonts w:eastAsia="MS Mincho" w:cstheme="minorHAnsi"/>
              </w:rPr>
            </w:pPr>
            <w:r w:rsidRPr="0052006D">
              <w:rPr>
                <w:rFonts w:eastAsia="MS Mincho" w:cstheme="minorHAnsi"/>
              </w:rPr>
              <w:t>USA</w:t>
            </w:r>
          </w:p>
        </w:tc>
        <w:tc>
          <w:tcPr>
            <w:tcW w:w="289" w:type="pct"/>
          </w:tcPr>
          <w:p w14:paraId="679D19E5" w14:textId="2F5640B0" w:rsidR="009042AA" w:rsidRPr="00017AE6" w:rsidRDefault="001173B2" w:rsidP="00A71365">
            <w:pPr>
              <w:pStyle w:val="Tablewriting"/>
              <w:rPr>
                <w:rFonts w:eastAsia="MS Mincho" w:cstheme="minorHAnsi"/>
              </w:rPr>
            </w:pPr>
            <w:r>
              <w:rPr>
                <w:rFonts w:eastAsia="MS Mincho" w:cstheme="minorHAnsi"/>
              </w:rPr>
              <w:t>N=</w:t>
            </w:r>
            <w:r w:rsidR="0052006D">
              <w:rPr>
                <w:rFonts w:eastAsia="MS Mincho" w:cstheme="minorHAnsi"/>
              </w:rPr>
              <w:t>802</w:t>
            </w:r>
          </w:p>
        </w:tc>
        <w:tc>
          <w:tcPr>
            <w:tcW w:w="1045" w:type="pct"/>
          </w:tcPr>
          <w:p w14:paraId="390473B1" w14:textId="298F00FC" w:rsidR="0002381C" w:rsidRPr="0002381C" w:rsidRDefault="009909E1" w:rsidP="00A71365">
            <w:pPr>
              <w:pStyle w:val="Tablewriting"/>
              <w:rPr>
                <w:rFonts w:eastAsia="MS Mincho" w:cstheme="minorHAnsi"/>
              </w:rPr>
            </w:pPr>
            <w:r>
              <w:rPr>
                <w:rFonts w:eastAsia="MS Mincho" w:cstheme="minorHAnsi"/>
              </w:rPr>
              <w:t>S</w:t>
            </w:r>
            <w:r w:rsidR="0002381C" w:rsidRPr="0002381C">
              <w:rPr>
                <w:rFonts w:eastAsia="MS Mincho" w:cstheme="minorHAnsi"/>
              </w:rPr>
              <w:t xml:space="preserve">mokers (&gt; 20 </w:t>
            </w:r>
            <w:r w:rsidR="0002381C">
              <w:rPr>
                <w:rFonts w:eastAsia="MS Mincho" w:cstheme="minorHAnsi"/>
              </w:rPr>
              <w:t>CPD</w:t>
            </w:r>
            <w:r w:rsidR="0002381C" w:rsidRPr="0002381C">
              <w:rPr>
                <w:rFonts w:eastAsia="MS Mincho" w:cstheme="minorHAnsi"/>
              </w:rPr>
              <w:t>) who scored 5+ on a questionnaire assessing motivation</w:t>
            </w:r>
          </w:p>
          <w:p w14:paraId="10F7602E" w14:textId="1308EF36" w:rsidR="009042AA" w:rsidRPr="00017AE6" w:rsidRDefault="0002381C" w:rsidP="00A71365">
            <w:pPr>
              <w:pStyle w:val="Tablewriting"/>
              <w:rPr>
                <w:rFonts w:eastAsia="MS Mincho" w:cstheme="minorHAnsi"/>
              </w:rPr>
            </w:pPr>
            <w:r w:rsidRPr="0002381C">
              <w:rPr>
                <w:rFonts w:eastAsia="MS Mincho" w:cstheme="minorHAnsi"/>
              </w:rPr>
              <w:t xml:space="preserve">54% female, average age 39, average </w:t>
            </w:r>
            <w:r>
              <w:rPr>
                <w:rFonts w:eastAsia="MS Mincho" w:cstheme="minorHAnsi"/>
              </w:rPr>
              <w:t>CPD</w:t>
            </w:r>
            <w:r w:rsidRPr="0002381C">
              <w:rPr>
                <w:rFonts w:eastAsia="MS Mincho" w:cstheme="minorHAnsi"/>
              </w:rPr>
              <w:t xml:space="preserve"> 29</w:t>
            </w:r>
            <w:r w:rsidR="00FE35E0">
              <w:rPr>
                <w:rFonts w:eastAsia="MS Mincho" w:cstheme="minorHAnsi"/>
              </w:rPr>
              <w:t>.</w:t>
            </w:r>
          </w:p>
        </w:tc>
        <w:tc>
          <w:tcPr>
            <w:tcW w:w="1055" w:type="pct"/>
          </w:tcPr>
          <w:p w14:paraId="19EB150B" w14:textId="11C6560C" w:rsidR="00EB09D8" w:rsidRPr="00EB09D8" w:rsidRDefault="00EB09D8" w:rsidP="00C324F3">
            <w:pPr>
              <w:pStyle w:val="Tablewriting"/>
              <w:numPr>
                <w:ilvl w:val="0"/>
                <w:numId w:val="120"/>
              </w:numPr>
              <w:rPr>
                <w:rFonts w:eastAsia="MS Mincho" w:cstheme="minorHAnsi"/>
              </w:rPr>
            </w:pPr>
            <w:r w:rsidRPr="00EB09D8">
              <w:rPr>
                <w:rFonts w:eastAsia="MS Mincho" w:cstheme="minorHAnsi"/>
              </w:rPr>
              <w:t>Nicotine patch (22 mg, 24 h, for up to 6 weeks)</w:t>
            </w:r>
          </w:p>
          <w:p w14:paraId="6A93069C" w14:textId="773711E0" w:rsidR="00EB09D8" w:rsidRDefault="00EB09D8" w:rsidP="00C324F3">
            <w:pPr>
              <w:pStyle w:val="Tablewriting"/>
              <w:numPr>
                <w:ilvl w:val="0"/>
                <w:numId w:val="120"/>
              </w:numPr>
              <w:rPr>
                <w:rFonts w:eastAsia="MS Mincho" w:cstheme="minorHAnsi"/>
              </w:rPr>
            </w:pPr>
            <w:r w:rsidRPr="00EB09D8">
              <w:rPr>
                <w:rFonts w:eastAsia="MS Mincho" w:cstheme="minorHAnsi"/>
              </w:rPr>
              <w:t>Placebo patch</w:t>
            </w:r>
            <w:r>
              <w:rPr>
                <w:rFonts w:eastAsia="MS Mincho" w:cstheme="minorHAnsi"/>
              </w:rPr>
              <w:t>.</w:t>
            </w:r>
          </w:p>
          <w:p w14:paraId="52970561" w14:textId="77777777" w:rsidR="00EB09D8" w:rsidRPr="00EB09D8" w:rsidRDefault="00EB09D8" w:rsidP="00A71365">
            <w:pPr>
              <w:pStyle w:val="Tablewriting"/>
              <w:rPr>
                <w:rFonts w:eastAsia="MS Mincho" w:cstheme="minorHAnsi"/>
              </w:rPr>
            </w:pPr>
          </w:p>
          <w:p w14:paraId="7D316D18" w14:textId="73804A92" w:rsidR="009042AA" w:rsidRPr="00017AE6" w:rsidRDefault="00EB09D8" w:rsidP="00A71365">
            <w:pPr>
              <w:pStyle w:val="Tablewriting"/>
              <w:ind w:left="360"/>
              <w:rPr>
                <w:rFonts w:eastAsia="MS Mincho" w:cstheme="minorHAnsi"/>
              </w:rPr>
            </w:pPr>
            <w:r w:rsidRPr="00EB09D8">
              <w:rPr>
                <w:rFonts w:eastAsia="MS Mincho" w:cstheme="minorHAnsi"/>
              </w:rPr>
              <w:t>Level of support: low (self-help book provided. Participants visited mall weekly to obtain patches. CO</w:t>
            </w:r>
            <w:r w:rsidR="008566BA">
              <w:rPr>
                <w:rFonts w:eastAsia="MS Mincho" w:cstheme="minorHAnsi"/>
              </w:rPr>
              <w:t xml:space="preserve"> </w:t>
            </w:r>
            <w:r w:rsidRPr="00EB09D8">
              <w:rPr>
                <w:rFonts w:eastAsia="MS Mincho" w:cstheme="minorHAnsi"/>
              </w:rPr>
              <w:t>levels were monitored)</w:t>
            </w:r>
            <w:r w:rsidR="008566BA">
              <w:rPr>
                <w:rFonts w:eastAsia="MS Mincho" w:cstheme="minorHAnsi"/>
              </w:rPr>
              <w:t>.</w:t>
            </w:r>
          </w:p>
        </w:tc>
        <w:tc>
          <w:tcPr>
            <w:tcW w:w="958" w:type="pct"/>
          </w:tcPr>
          <w:p w14:paraId="0DFDA05B" w14:textId="2B2EA963" w:rsidR="00464C31" w:rsidRDefault="001173B2" w:rsidP="00A71365">
            <w:pPr>
              <w:pStyle w:val="Tablewriting"/>
              <w:rPr>
                <w:rFonts w:eastAsia="MS Mincho" w:cstheme="minorHAnsi"/>
              </w:rPr>
            </w:pPr>
            <w:r w:rsidRPr="006D55AE">
              <w:rPr>
                <w:rFonts w:eastAsia="MS Mincho" w:cstheme="minorHAnsi"/>
                <w:u w:val="single"/>
              </w:rPr>
              <w:t>Efficacy:</w:t>
            </w:r>
            <w:r w:rsidR="00464C31">
              <w:rPr>
                <w:rFonts w:eastAsia="MS Mincho" w:cstheme="minorHAnsi"/>
              </w:rPr>
              <w:t xml:space="preserve"> </w:t>
            </w:r>
            <w:r w:rsidR="00464C31" w:rsidRPr="00E9620F">
              <w:rPr>
                <w:rFonts w:eastAsia="MS Mincho" w:cstheme="minorHAnsi"/>
              </w:rPr>
              <w:t>Sustained abstinence at 24 weeks (from week 2)</w:t>
            </w:r>
            <w:r w:rsidR="00E9620F">
              <w:rPr>
                <w:rFonts w:eastAsia="MS Mincho" w:cstheme="minorHAnsi"/>
              </w:rPr>
              <w:t>.</w:t>
            </w:r>
          </w:p>
          <w:p w14:paraId="20AC6C3C" w14:textId="77777777" w:rsidR="00E9620F" w:rsidRPr="00E9620F" w:rsidRDefault="00E9620F" w:rsidP="00A71365">
            <w:pPr>
              <w:pStyle w:val="Tablewriting"/>
              <w:rPr>
                <w:rFonts w:eastAsia="MS Mincho" w:cstheme="minorHAnsi"/>
              </w:rPr>
            </w:pPr>
          </w:p>
          <w:p w14:paraId="27EC37D4" w14:textId="55FD890A" w:rsidR="001173B2" w:rsidRDefault="00464C31" w:rsidP="00A71365">
            <w:pPr>
              <w:pStyle w:val="Tablewriting"/>
              <w:rPr>
                <w:rFonts w:eastAsia="MS Mincho" w:cstheme="minorHAnsi"/>
              </w:rPr>
            </w:pPr>
            <w:r w:rsidRPr="00E9620F">
              <w:rPr>
                <w:rFonts w:eastAsia="MS Mincho" w:cstheme="minorHAnsi"/>
              </w:rPr>
              <w:t>Validation: Expired CO e 8 ppm at each weekly visit, but 24 week quit based on self-report</w:t>
            </w:r>
          </w:p>
          <w:p w14:paraId="38EEA6AC" w14:textId="77777777" w:rsidR="00B35E43" w:rsidRDefault="00B35E43" w:rsidP="00A71365">
            <w:pPr>
              <w:pStyle w:val="Tablewriting"/>
              <w:rPr>
                <w:rFonts w:eastAsia="MS Mincho" w:cstheme="minorHAnsi"/>
              </w:rPr>
            </w:pPr>
          </w:p>
          <w:p w14:paraId="079494D5" w14:textId="1765D9BD" w:rsidR="00464C31" w:rsidRPr="00E9620F" w:rsidRDefault="001173B2" w:rsidP="00A71365">
            <w:pPr>
              <w:pStyle w:val="Tablewriting"/>
              <w:rPr>
                <w:rFonts w:eastAsia="MS Mincho" w:cstheme="minorHAnsi"/>
              </w:rPr>
            </w:pPr>
            <w:r w:rsidRPr="003D507B">
              <w:rPr>
                <w:rFonts w:eastAsia="MS Mincho" w:cstheme="minorHAnsi"/>
                <w:u w:val="single"/>
              </w:rPr>
              <w:t>Safety</w:t>
            </w:r>
            <w:r w:rsidR="00B35E43">
              <w:rPr>
                <w:rFonts w:eastAsia="MS Mincho" w:cstheme="minorHAnsi"/>
              </w:rPr>
              <w:t xml:space="preserve">: </w:t>
            </w:r>
            <w:r w:rsidR="003D507B">
              <w:rPr>
                <w:rFonts w:eastAsia="MS Mincho" w:cstheme="minorHAnsi"/>
              </w:rPr>
              <w:t>NR</w:t>
            </w:r>
          </w:p>
          <w:p w14:paraId="6C332E3F" w14:textId="450E4478" w:rsidR="009042AA" w:rsidRPr="00017AE6" w:rsidRDefault="009042AA" w:rsidP="00A71365">
            <w:pPr>
              <w:pStyle w:val="Tablewriting"/>
              <w:rPr>
                <w:rFonts w:eastAsia="MS Mincho" w:cstheme="minorHAnsi"/>
              </w:rPr>
            </w:pPr>
          </w:p>
        </w:tc>
      </w:tr>
      <w:tr w:rsidR="009042AA" w:rsidRPr="00017AE6" w14:paraId="2A37BBBE" w14:textId="77777777" w:rsidTr="005821B1">
        <w:trPr>
          <w:trHeight w:val="99"/>
        </w:trPr>
        <w:tc>
          <w:tcPr>
            <w:tcW w:w="1003" w:type="pct"/>
          </w:tcPr>
          <w:p w14:paraId="62A5EEED" w14:textId="4915CCEB" w:rsidR="009042AA" w:rsidRPr="00017AE6" w:rsidRDefault="004C1280" w:rsidP="00A71365">
            <w:pPr>
              <w:pStyle w:val="Tablewriting"/>
              <w:rPr>
                <w:rFonts w:eastAsia="MS Mincho" w:cstheme="minorHAnsi"/>
              </w:rPr>
            </w:pPr>
            <w:r w:rsidRPr="00156D0F">
              <w:rPr>
                <w:rFonts w:eastAsia="MS Mincho"/>
              </w:rPr>
              <w:t xml:space="preserve">Hughes </w:t>
            </w:r>
            <w:r w:rsidR="006C6C9B">
              <w:rPr>
                <w:rFonts w:eastAsia="MS Mincho"/>
              </w:rPr>
              <w:t>(</w:t>
            </w:r>
            <w:r w:rsidRPr="00156D0F">
              <w:rPr>
                <w:rFonts w:eastAsia="MS Mincho"/>
              </w:rPr>
              <w:t>1999</w:t>
            </w:r>
            <w:r w:rsidR="006C6C9B">
              <w:rPr>
                <w:rFonts w:eastAsia="MS Mincho"/>
              </w:rPr>
              <w:t>)</w:t>
            </w:r>
          </w:p>
        </w:tc>
        <w:tc>
          <w:tcPr>
            <w:tcW w:w="235" w:type="pct"/>
          </w:tcPr>
          <w:p w14:paraId="12CBEC97" w14:textId="146592AC"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4402550" w14:textId="6635AB85" w:rsidR="009042AA" w:rsidRPr="00017AE6" w:rsidRDefault="00405605" w:rsidP="00A71365">
            <w:pPr>
              <w:pStyle w:val="Tablewriting"/>
              <w:rPr>
                <w:rFonts w:eastAsia="MS Mincho" w:cstheme="minorHAnsi"/>
              </w:rPr>
            </w:pPr>
            <w:r w:rsidRPr="00405605">
              <w:rPr>
                <w:rFonts w:eastAsia="MS Mincho" w:cstheme="minorHAnsi"/>
              </w:rPr>
              <w:t>USA, Australia</w:t>
            </w:r>
          </w:p>
        </w:tc>
        <w:tc>
          <w:tcPr>
            <w:tcW w:w="289" w:type="pct"/>
          </w:tcPr>
          <w:p w14:paraId="1BE43A58" w14:textId="7AA9BD22" w:rsidR="009042AA" w:rsidRPr="00017AE6" w:rsidRDefault="001173B2" w:rsidP="00A71365">
            <w:pPr>
              <w:pStyle w:val="Tablewriting"/>
              <w:rPr>
                <w:rFonts w:eastAsia="MS Mincho" w:cstheme="minorHAnsi"/>
              </w:rPr>
            </w:pPr>
            <w:r>
              <w:rPr>
                <w:rFonts w:eastAsia="MS Mincho" w:cstheme="minorHAnsi"/>
              </w:rPr>
              <w:t>N=</w:t>
            </w:r>
            <w:r w:rsidR="00334D5A">
              <w:rPr>
                <w:rFonts w:eastAsia="MS Mincho" w:cstheme="minorHAnsi"/>
              </w:rPr>
              <w:t>1039</w:t>
            </w:r>
          </w:p>
        </w:tc>
        <w:tc>
          <w:tcPr>
            <w:tcW w:w="1045" w:type="pct"/>
          </w:tcPr>
          <w:p w14:paraId="642579BE" w14:textId="6E3D88F6" w:rsidR="009909E1" w:rsidRPr="009909E1" w:rsidRDefault="009909E1" w:rsidP="00A71365">
            <w:pPr>
              <w:pStyle w:val="Tablewriting"/>
              <w:rPr>
                <w:rFonts w:eastAsia="MS Mincho" w:cstheme="minorHAnsi"/>
              </w:rPr>
            </w:pPr>
            <w:r>
              <w:rPr>
                <w:rFonts w:eastAsia="MS Mincho" w:cstheme="minorHAnsi"/>
              </w:rPr>
              <w:t>S</w:t>
            </w:r>
            <w:r w:rsidRPr="009909E1">
              <w:rPr>
                <w:rFonts w:eastAsia="MS Mincho" w:cstheme="minorHAnsi"/>
              </w:rPr>
              <w:t xml:space="preserve">mokers </w:t>
            </w:r>
            <w:r w:rsidR="00A01276">
              <w:rPr>
                <w:rFonts w:eastAsia="MS Mincho" w:cstheme="minorHAnsi"/>
              </w:rPr>
              <w:t>(</w:t>
            </w:r>
            <w:r w:rsidR="002242B4" w:rsidRPr="002242B4">
              <w:rPr>
                <w:rFonts w:eastAsia="MS Mincho" w:cstheme="minorHAnsi"/>
              </w:rPr>
              <w:t>≥</w:t>
            </w:r>
            <w:r w:rsidRPr="009909E1">
              <w:rPr>
                <w:rFonts w:eastAsia="MS Mincho" w:cstheme="minorHAnsi"/>
              </w:rPr>
              <w:t xml:space="preserve"> 30 </w:t>
            </w:r>
            <w:r w:rsidR="00B0488B">
              <w:rPr>
                <w:rFonts w:eastAsia="MS Mincho" w:cstheme="minorHAnsi"/>
              </w:rPr>
              <w:t>CPD</w:t>
            </w:r>
            <w:r w:rsidRPr="009909E1">
              <w:rPr>
                <w:rFonts w:eastAsia="MS Mincho" w:cstheme="minorHAnsi"/>
              </w:rPr>
              <w:t>) who had made a prior quit attempt, motivated to try again</w:t>
            </w:r>
            <w:r w:rsidR="00F82070">
              <w:rPr>
                <w:rFonts w:eastAsia="MS Mincho" w:cstheme="minorHAnsi"/>
              </w:rPr>
              <w:t>.</w:t>
            </w:r>
          </w:p>
          <w:p w14:paraId="1D9EF200" w14:textId="3C28A2F2" w:rsidR="009042AA" w:rsidRPr="00017AE6" w:rsidRDefault="009909E1" w:rsidP="00A71365">
            <w:pPr>
              <w:pStyle w:val="Tablewriting"/>
              <w:rPr>
                <w:rFonts w:eastAsia="MS Mincho" w:cstheme="minorHAnsi"/>
              </w:rPr>
            </w:pPr>
            <w:r w:rsidRPr="009909E1">
              <w:rPr>
                <w:rFonts w:eastAsia="MS Mincho" w:cstheme="minorHAnsi"/>
              </w:rPr>
              <w:t xml:space="preserve">50% male, average age 43, average </w:t>
            </w:r>
            <w:r w:rsidR="00B0488B">
              <w:rPr>
                <w:rFonts w:eastAsia="MS Mincho" w:cstheme="minorHAnsi"/>
              </w:rPr>
              <w:t>CPD</w:t>
            </w:r>
            <w:r w:rsidRPr="009909E1">
              <w:rPr>
                <w:rFonts w:eastAsia="MS Mincho" w:cstheme="minorHAnsi"/>
              </w:rPr>
              <w:t xml:space="preserve"> 38</w:t>
            </w:r>
            <w:r w:rsidR="00B0488B">
              <w:rPr>
                <w:rFonts w:eastAsia="MS Mincho" w:cstheme="minorHAnsi"/>
              </w:rPr>
              <w:t>.</w:t>
            </w:r>
          </w:p>
        </w:tc>
        <w:tc>
          <w:tcPr>
            <w:tcW w:w="1055" w:type="pct"/>
          </w:tcPr>
          <w:p w14:paraId="35165FDA" w14:textId="02103FDF"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42 mg nicotine patch (24 h, 6 weeks + 10 weeks tapering)</w:t>
            </w:r>
            <w:r w:rsidR="00954171">
              <w:rPr>
                <w:rFonts w:eastAsia="MS Mincho" w:cstheme="minorHAnsi"/>
              </w:rPr>
              <w:t>.</w:t>
            </w:r>
          </w:p>
          <w:p w14:paraId="3667EC63" w14:textId="446EFBDE"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35 mg nicotine patch</w:t>
            </w:r>
            <w:r w:rsidR="00954171">
              <w:rPr>
                <w:rFonts w:eastAsia="MS Mincho" w:cstheme="minorHAnsi"/>
              </w:rPr>
              <w:t>.</w:t>
            </w:r>
          </w:p>
          <w:p w14:paraId="4BE462AA" w14:textId="70C153C8" w:rsidR="00334F79" w:rsidRPr="00334F79" w:rsidRDefault="00334F79" w:rsidP="00C324F3">
            <w:pPr>
              <w:pStyle w:val="Tablewriting"/>
              <w:numPr>
                <w:ilvl w:val="0"/>
                <w:numId w:val="121"/>
              </w:numPr>
              <w:rPr>
                <w:rFonts w:eastAsia="MS Mincho" w:cstheme="minorHAnsi"/>
              </w:rPr>
            </w:pPr>
            <w:r w:rsidRPr="00334F79">
              <w:rPr>
                <w:rFonts w:eastAsia="MS Mincho" w:cstheme="minorHAnsi"/>
              </w:rPr>
              <w:t>21 mg nicotine patch</w:t>
            </w:r>
            <w:r w:rsidR="00954171">
              <w:rPr>
                <w:rFonts w:eastAsia="MS Mincho" w:cstheme="minorHAnsi"/>
              </w:rPr>
              <w:t>.</w:t>
            </w:r>
          </w:p>
          <w:p w14:paraId="13A9DF4A" w14:textId="43B81239" w:rsidR="00334F79" w:rsidRDefault="00334F79" w:rsidP="00C324F3">
            <w:pPr>
              <w:pStyle w:val="Tablewriting"/>
              <w:numPr>
                <w:ilvl w:val="0"/>
                <w:numId w:val="121"/>
              </w:numPr>
              <w:rPr>
                <w:rFonts w:eastAsia="MS Mincho" w:cstheme="minorHAnsi"/>
              </w:rPr>
            </w:pPr>
            <w:r w:rsidRPr="00334F79">
              <w:rPr>
                <w:rFonts w:eastAsia="MS Mincho" w:cstheme="minorHAnsi"/>
              </w:rPr>
              <w:t>Placebo patch</w:t>
            </w:r>
            <w:r w:rsidR="00954171">
              <w:rPr>
                <w:rFonts w:eastAsia="MS Mincho" w:cstheme="minorHAnsi"/>
              </w:rPr>
              <w:t>.</w:t>
            </w:r>
          </w:p>
          <w:p w14:paraId="1C029461" w14:textId="77777777" w:rsidR="00954171" w:rsidRPr="00334F79" w:rsidRDefault="00954171" w:rsidP="00A71365">
            <w:pPr>
              <w:pStyle w:val="Tablewriting"/>
              <w:ind w:left="360"/>
              <w:rPr>
                <w:rFonts w:eastAsia="MS Mincho" w:cstheme="minorHAnsi"/>
              </w:rPr>
            </w:pPr>
          </w:p>
          <w:p w14:paraId="75B6AE08" w14:textId="752B3160" w:rsidR="009042AA" w:rsidRPr="00017AE6" w:rsidRDefault="00334F79" w:rsidP="00A71365">
            <w:pPr>
              <w:pStyle w:val="Tablewriting"/>
              <w:rPr>
                <w:rFonts w:eastAsia="MS Mincho" w:cstheme="minorHAnsi"/>
              </w:rPr>
            </w:pPr>
            <w:r w:rsidRPr="00334F79">
              <w:rPr>
                <w:rFonts w:eastAsia="MS Mincho" w:cstheme="minorHAnsi"/>
              </w:rPr>
              <w:t>Level of support: high (group behaviour therapy for 7 weeks, brief individual</w:t>
            </w:r>
            <w:r w:rsidR="00836B64">
              <w:rPr>
                <w:rFonts w:eastAsia="MS Mincho" w:cstheme="minorHAnsi"/>
              </w:rPr>
              <w:t xml:space="preserve"> counselling at 5 dose-tapering </w:t>
            </w:r>
            <w:r w:rsidRPr="00334F79">
              <w:rPr>
                <w:rFonts w:eastAsia="MS Mincho" w:cstheme="minorHAnsi"/>
              </w:rPr>
              <w:t>meetings. Self-help booklet)</w:t>
            </w:r>
            <w:r>
              <w:rPr>
                <w:rFonts w:eastAsia="MS Mincho" w:cstheme="minorHAnsi"/>
              </w:rPr>
              <w:t>.</w:t>
            </w:r>
          </w:p>
        </w:tc>
        <w:tc>
          <w:tcPr>
            <w:tcW w:w="958" w:type="pct"/>
          </w:tcPr>
          <w:p w14:paraId="678F801D" w14:textId="14C2E542" w:rsidR="00954171" w:rsidRPr="00954171" w:rsidRDefault="001173B2" w:rsidP="00A71365">
            <w:pPr>
              <w:pStyle w:val="Tablewriting"/>
              <w:rPr>
                <w:rFonts w:eastAsia="MS Mincho" w:cstheme="minorHAnsi"/>
              </w:rPr>
            </w:pPr>
            <w:r w:rsidRPr="009B13E2">
              <w:rPr>
                <w:rFonts w:eastAsia="MS Mincho" w:cstheme="minorHAnsi"/>
                <w:u w:val="single"/>
              </w:rPr>
              <w:t>Efficacy:</w:t>
            </w:r>
            <w:r w:rsidR="00954171">
              <w:t xml:space="preserve"> </w:t>
            </w:r>
            <w:r w:rsidR="00954171" w:rsidRPr="00954171">
              <w:rPr>
                <w:rFonts w:eastAsia="MS Mincho" w:cstheme="minorHAnsi"/>
              </w:rPr>
              <w:t>Prolonged abstinence at 6 months (from 2 weeks post-quit) verified at each follow-up visit</w:t>
            </w:r>
          </w:p>
          <w:p w14:paraId="0732C0C4" w14:textId="2E3CCCF5" w:rsidR="00954171" w:rsidRDefault="00954171" w:rsidP="00A71365">
            <w:pPr>
              <w:pStyle w:val="Tablewriting"/>
              <w:rPr>
                <w:rFonts w:eastAsia="MS Mincho" w:cstheme="minorHAnsi"/>
              </w:rPr>
            </w:pPr>
            <w:r w:rsidRPr="00954171">
              <w:rPr>
                <w:rFonts w:eastAsia="MS Mincho" w:cstheme="minorHAnsi"/>
              </w:rPr>
              <w:t>(12-month follow-up only completed for 11/13 sites)</w:t>
            </w:r>
            <w:r>
              <w:rPr>
                <w:rFonts w:eastAsia="MS Mincho" w:cstheme="minorHAnsi"/>
              </w:rPr>
              <w:t>.</w:t>
            </w:r>
          </w:p>
          <w:p w14:paraId="38F86DE5" w14:textId="77777777" w:rsidR="00954171" w:rsidRPr="00954171" w:rsidRDefault="00954171" w:rsidP="00A71365">
            <w:pPr>
              <w:pStyle w:val="Tablewriting"/>
              <w:rPr>
                <w:rFonts w:eastAsia="MS Mincho" w:cstheme="minorHAnsi"/>
              </w:rPr>
            </w:pPr>
          </w:p>
          <w:p w14:paraId="42FA7773" w14:textId="2E62687C" w:rsidR="001173B2" w:rsidRPr="00954171" w:rsidRDefault="00954171" w:rsidP="00A71365">
            <w:pPr>
              <w:pStyle w:val="Tablewriting"/>
              <w:rPr>
                <w:rFonts w:eastAsia="MS Mincho" w:cstheme="minorHAnsi"/>
              </w:rPr>
            </w:pPr>
            <w:r w:rsidRPr="00954171">
              <w:rPr>
                <w:rFonts w:eastAsia="MS Mincho" w:cstheme="minorHAnsi"/>
              </w:rPr>
              <w:t xml:space="preserve">Validation: CO </w:t>
            </w:r>
            <w:r w:rsidR="00EE0CEE" w:rsidRPr="001A2671">
              <w:rPr>
                <w:rFonts w:eastAsia="MS Mincho" w:cstheme="minorHAnsi"/>
              </w:rPr>
              <w:t>≤</w:t>
            </w:r>
            <w:r w:rsidRPr="00954171">
              <w:rPr>
                <w:rFonts w:eastAsia="MS Mincho" w:cstheme="minorHAnsi"/>
              </w:rPr>
              <w:t xml:space="preserve"> 10 ppm</w:t>
            </w:r>
            <w:r>
              <w:rPr>
                <w:rFonts w:eastAsia="MS Mincho" w:cstheme="minorHAnsi"/>
              </w:rPr>
              <w:t>.</w:t>
            </w:r>
          </w:p>
          <w:p w14:paraId="1DC560F4" w14:textId="77777777" w:rsidR="001173B2" w:rsidRDefault="001173B2" w:rsidP="00A71365">
            <w:pPr>
              <w:pStyle w:val="Tablewriting"/>
              <w:rPr>
                <w:rFonts w:eastAsia="MS Mincho" w:cstheme="minorHAnsi"/>
              </w:rPr>
            </w:pPr>
          </w:p>
          <w:p w14:paraId="11FE3845" w14:textId="3D5B0CE1" w:rsidR="009042AA"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7C3F6668" w14:textId="5427B2AB" w:rsidR="009042AA" w:rsidRPr="00017AE6" w:rsidRDefault="009042AA" w:rsidP="00A71365">
            <w:pPr>
              <w:pStyle w:val="Tablewriting"/>
              <w:rPr>
                <w:rFonts w:eastAsia="MS Mincho" w:cstheme="minorHAnsi"/>
              </w:rPr>
            </w:pPr>
          </w:p>
        </w:tc>
      </w:tr>
      <w:tr w:rsidR="009042AA" w:rsidRPr="00017AE6" w14:paraId="2C3F0E89" w14:textId="77777777" w:rsidTr="005821B1">
        <w:trPr>
          <w:trHeight w:val="99"/>
        </w:trPr>
        <w:tc>
          <w:tcPr>
            <w:tcW w:w="1003" w:type="pct"/>
          </w:tcPr>
          <w:p w14:paraId="372A2B9C" w14:textId="49B39A58" w:rsidR="009042AA" w:rsidRPr="00017AE6" w:rsidRDefault="00D13C4B" w:rsidP="00A71365">
            <w:pPr>
              <w:pStyle w:val="Tablewriting"/>
              <w:rPr>
                <w:rFonts w:eastAsia="MS Mincho" w:cstheme="minorHAnsi"/>
              </w:rPr>
            </w:pPr>
            <w:r w:rsidRPr="00156D0F">
              <w:rPr>
                <w:rFonts w:eastAsia="MS Mincho"/>
              </w:rPr>
              <w:lastRenderedPageBreak/>
              <w:t xml:space="preserve">Hughes </w:t>
            </w:r>
            <w:r w:rsidR="006C6C9B">
              <w:rPr>
                <w:rFonts w:eastAsia="MS Mincho"/>
              </w:rPr>
              <w:t>(</w:t>
            </w:r>
            <w:r w:rsidRPr="00156D0F">
              <w:rPr>
                <w:rFonts w:eastAsia="MS Mincho"/>
              </w:rPr>
              <w:t>2003</w:t>
            </w:r>
            <w:r w:rsidR="006C6C9B">
              <w:rPr>
                <w:rFonts w:eastAsia="MS Mincho"/>
              </w:rPr>
              <w:t>)</w:t>
            </w:r>
          </w:p>
        </w:tc>
        <w:tc>
          <w:tcPr>
            <w:tcW w:w="235" w:type="pct"/>
          </w:tcPr>
          <w:p w14:paraId="67D7D35D" w14:textId="17B88A68"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DD492DD" w14:textId="68438897" w:rsidR="009042AA" w:rsidRPr="00017AE6" w:rsidRDefault="00225840" w:rsidP="00A71365">
            <w:pPr>
              <w:pStyle w:val="Tablewriting"/>
              <w:rPr>
                <w:rFonts w:eastAsia="MS Mincho" w:cstheme="minorHAnsi"/>
              </w:rPr>
            </w:pPr>
            <w:r w:rsidRPr="00225840">
              <w:rPr>
                <w:rFonts w:eastAsia="MS Mincho" w:cstheme="minorHAnsi"/>
              </w:rPr>
              <w:t>USA</w:t>
            </w:r>
          </w:p>
        </w:tc>
        <w:tc>
          <w:tcPr>
            <w:tcW w:w="289" w:type="pct"/>
          </w:tcPr>
          <w:p w14:paraId="3F1320B2" w14:textId="28A121F9" w:rsidR="009042AA" w:rsidRPr="00017AE6" w:rsidRDefault="001173B2" w:rsidP="00A71365">
            <w:pPr>
              <w:pStyle w:val="Tablewriting"/>
              <w:rPr>
                <w:rFonts w:eastAsia="MS Mincho" w:cstheme="minorHAnsi"/>
              </w:rPr>
            </w:pPr>
            <w:r>
              <w:rPr>
                <w:rFonts w:eastAsia="MS Mincho" w:cstheme="minorHAnsi"/>
              </w:rPr>
              <w:t>N=</w:t>
            </w:r>
            <w:r w:rsidR="00225840">
              <w:rPr>
                <w:rFonts w:eastAsia="MS Mincho" w:cstheme="minorHAnsi"/>
              </w:rPr>
              <w:t>115</w:t>
            </w:r>
          </w:p>
        </w:tc>
        <w:tc>
          <w:tcPr>
            <w:tcW w:w="1045" w:type="pct"/>
          </w:tcPr>
          <w:p w14:paraId="0CE7E5AE" w14:textId="12AE489E" w:rsidR="00640172" w:rsidRPr="00640172" w:rsidRDefault="00707549" w:rsidP="00A71365">
            <w:pPr>
              <w:pStyle w:val="Tablewriting"/>
              <w:rPr>
                <w:rFonts w:eastAsia="MS Mincho" w:cstheme="minorHAnsi"/>
              </w:rPr>
            </w:pPr>
            <w:r>
              <w:rPr>
                <w:rFonts w:eastAsia="MS Mincho" w:cstheme="minorHAnsi"/>
              </w:rPr>
              <w:t>S</w:t>
            </w:r>
            <w:r w:rsidR="00640172" w:rsidRPr="00640172">
              <w:rPr>
                <w:rFonts w:eastAsia="MS Mincho" w:cstheme="minorHAnsi"/>
              </w:rPr>
              <w:t xml:space="preserve">mokers with a history of alcohol dependence, motivated to quit, </w:t>
            </w:r>
            <w:r w:rsidR="00A01276" w:rsidRPr="002242B4">
              <w:rPr>
                <w:rFonts w:eastAsia="MS Mincho" w:cstheme="minorHAnsi"/>
              </w:rPr>
              <w:t>≥</w:t>
            </w:r>
            <w:r w:rsidR="00640172" w:rsidRPr="00640172">
              <w:rPr>
                <w:rFonts w:eastAsia="MS Mincho" w:cstheme="minorHAnsi"/>
              </w:rPr>
              <w:t xml:space="preserve"> 30 </w:t>
            </w:r>
            <w:r w:rsidR="00640172">
              <w:rPr>
                <w:rFonts w:eastAsia="MS Mincho" w:cstheme="minorHAnsi"/>
              </w:rPr>
              <w:t>CPD</w:t>
            </w:r>
            <w:r w:rsidR="00317DC2">
              <w:rPr>
                <w:rFonts w:eastAsia="MS Mincho" w:cstheme="minorHAnsi"/>
              </w:rPr>
              <w:t>.</w:t>
            </w:r>
          </w:p>
          <w:p w14:paraId="5BDA2288" w14:textId="4C87C70C" w:rsidR="009042AA" w:rsidRPr="00017AE6" w:rsidRDefault="00640172" w:rsidP="00A71365">
            <w:pPr>
              <w:pStyle w:val="Tablewriting"/>
              <w:rPr>
                <w:rFonts w:eastAsia="MS Mincho" w:cstheme="minorHAnsi"/>
              </w:rPr>
            </w:pPr>
            <w:r w:rsidRPr="00640172">
              <w:rPr>
                <w:rFonts w:eastAsia="MS Mincho" w:cstheme="minorHAnsi"/>
              </w:rPr>
              <w:t xml:space="preserve">68% male, average </w:t>
            </w:r>
            <w:r>
              <w:rPr>
                <w:rFonts w:eastAsia="MS Mincho" w:cstheme="minorHAnsi"/>
              </w:rPr>
              <w:t xml:space="preserve">CPD </w:t>
            </w:r>
            <w:r w:rsidRPr="00640172">
              <w:rPr>
                <w:rFonts w:eastAsia="MS Mincho" w:cstheme="minorHAnsi"/>
              </w:rPr>
              <w:t>30</w:t>
            </w:r>
            <w:r w:rsidR="00317DC2">
              <w:rPr>
                <w:rFonts w:eastAsia="MS Mincho" w:cstheme="minorHAnsi"/>
              </w:rPr>
              <w:t>.</w:t>
            </w:r>
          </w:p>
        </w:tc>
        <w:tc>
          <w:tcPr>
            <w:tcW w:w="1055" w:type="pct"/>
          </w:tcPr>
          <w:p w14:paraId="7FC60120" w14:textId="77777777" w:rsidR="009F1730" w:rsidRDefault="00AC39B0" w:rsidP="00C324F3">
            <w:pPr>
              <w:pStyle w:val="ListParagraph"/>
              <w:numPr>
                <w:ilvl w:val="0"/>
                <w:numId w:val="122"/>
              </w:numPr>
              <w:autoSpaceDE w:val="0"/>
              <w:autoSpaceDN w:val="0"/>
              <w:adjustRightInd w:val="0"/>
              <w:rPr>
                <w:rFonts w:asciiTheme="minorHAnsi" w:eastAsia="MS Mincho" w:hAnsiTheme="minorHAnsi" w:cstheme="minorHAnsi"/>
                <w:lang w:eastAsia="en-US"/>
              </w:rPr>
            </w:pPr>
            <w:r w:rsidRPr="00AC39B0">
              <w:rPr>
                <w:rFonts w:asciiTheme="minorHAnsi" w:eastAsia="MS Mincho" w:hAnsiTheme="minorHAnsi" w:cstheme="minorHAnsi"/>
                <w:lang w:eastAsia="en-US"/>
              </w:rPr>
              <w:t>Nicotine patch (21 mg, 24 h, 6 weeks + 4 weeks tapering + 2 weeks placebo)</w:t>
            </w:r>
            <w:r w:rsidR="009F1730">
              <w:rPr>
                <w:rFonts w:asciiTheme="minorHAnsi" w:eastAsia="MS Mincho" w:hAnsiTheme="minorHAnsi" w:cstheme="minorHAnsi"/>
                <w:lang w:eastAsia="en-US"/>
              </w:rPr>
              <w:t>.</w:t>
            </w:r>
          </w:p>
          <w:p w14:paraId="6E3ECBD7" w14:textId="4ECF3F8E" w:rsidR="00AC39B0" w:rsidRPr="009F1730" w:rsidRDefault="00AC39B0" w:rsidP="00C324F3">
            <w:pPr>
              <w:pStyle w:val="ListParagraph"/>
              <w:numPr>
                <w:ilvl w:val="0"/>
                <w:numId w:val="122"/>
              </w:numPr>
              <w:autoSpaceDE w:val="0"/>
              <w:autoSpaceDN w:val="0"/>
              <w:adjustRightInd w:val="0"/>
              <w:rPr>
                <w:rFonts w:asciiTheme="minorHAnsi" w:eastAsia="MS Mincho" w:hAnsiTheme="minorHAnsi" w:cstheme="minorHAnsi"/>
                <w:lang w:eastAsia="en-US"/>
              </w:rPr>
            </w:pPr>
            <w:r w:rsidRPr="009F1730">
              <w:rPr>
                <w:rFonts w:asciiTheme="minorHAnsi" w:eastAsia="MS Mincho" w:hAnsiTheme="minorHAnsi" w:cstheme="minorHAnsi"/>
                <w:lang w:eastAsia="en-US"/>
              </w:rPr>
              <w:t>Placebo patch 12 weeks</w:t>
            </w:r>
          </w:p>
          <w:p w14:paraId="53CB4C6A" w14:textId="77777777" w:rsidR="009F1730" w:rsidRDefault="009F1730" w:rsidP="00A71365">
            <w:pPr>
              <w:pStyle w:val="Tablewriting"/>
              <w:rPr>
                <w:rFonts w:eastAsia="MS Mincho" w:cstheme="minorHAnsi"/>
              </w:rPr>
            </w:pPr>
          </w:p>
          <w:p w14:paraId="5A6B9B63" w14:textId="393F708D" w:rsidR="009042AA" w:rsidRPr="00017AE6" w:rsidRDefault="00AC39B0" w:rsidP="00A71365">
            <w:pPr>
              <w:pStyle w:val="Tablewriting"/>
              <w:rPr>
                <w:rFonts w:eastAsia="MS Mincho" w:cstheme="minorHAnsi"/>
              </w:rPr>
            </w:pPr>
            <w:r w:rsidRPr="00AC39B0">
              <w:rPr>
                <w:rFonts w:eastAsia="MS Mincho" w:cstheme="minorHAnsi"/>
              </w:rPr>
              <w:t>Level of support: high (Group behaviour therapy x 6, brief individual counselling x 3)</w:t>
            </w:r>
            <w:r w:rsidR="009F1730">
              <w:rPr>
                <w:rFonts w:eastAsia="MS Mincho" w:cstheme="minorHAnsi"/>
              </w:rPr>
              <w:t>.</w:t>
            </w:r>
          </w:p>
        </w:tc>
        <w:tc>
          <w:tcPr>
            <w:tcW w:w="958" w:type="pct"/>
          </w:tcPr>
          <w:p w14:paraId="0AF9776C" w14:textId="2E20E1ED" w:rsidR="00CD6B27" w:rsidRPr="00CD6B27" w:rsidRDefault="001173B2" w:rsidP="00A71365">
            <w:pPr>
              <w:pStyle w:val="Tablewriting"/>
              <w:rPr>
                <w:rFonts w:eastAsia="MS Mincho" w:cstheme="minorHAnsi"/>
              </w:rPr>
            </w:pPr>
            <w:r w:rsidRPr="009B13E2">
              <w:rPr>
                <w:rFonts w:eastAsia="MS Mincho" w:cstheme="minorHAnsi"/>
                <w:u w:val="single"/>
              </w:rPr>
              <w:t>Efficacy:</w:t>
            </w:r>
            <w:r w:rsidR="00CD6B27">
              <w:rPr>
                <w:rFonts w:eastAsia="MS Mincho" w:cstheme="minorHAnsi"/>
                <w:u w:val="single"/>
              </w:rPr>
              <w:t xml:space="preserve"> </w:t>
            </w:r>
            <w:r w:rsidR="00CD6B27" w:rsidRPr="00CD6B27">
              <w:rPr>
                <w:rFonts w:eastAsia="MS Mincho" w:cstheme="minorHAnsi"/>
              </w:rPr>
              <w:t>Sustained abstinence at 6 months (from 2 weeks post-quit)</w:t>
            </w:r>
            <w:r w:rsidR="00CD6B27">
              <w:rPr>
                <w:rFonts w:eastAsia="MS Mincho" w:cstheme="minorHAnsi"/>
              </w:rPr>
              <w:t>.</w:t>
            </w:r>
          </w:p>
          <w:p w14:paraId="13CCAD4B" w14:textId="77777777" w:rsidR="00CD6B27" w:rsidRDefault="00CD6B27" w:rsidP="00A71365">
            <w:pPr>
              <w:pStyle w:val="Tablewriting"/>
              <w:rPr>
                <w:rFonts w:eastAsia="MS Mincho" w:cstheme="minorHAnsi"/>
              </w:rPr>
            </w:pPr>
          </w:p>
          <w:p w14:paraId="3B398AE4" w14:textId="20F93756" w:rsidR="001173B2" w:rsidRPr="00CD6B27" w:rsidRDefault="00CD6B27" w:rsidP="00A71365">
            <w:pPr>
              <w:pStyle w:val="Tablewriting"/>
              <w:rPr>
                <w:rFonts w:eastAsia="MS Mincho" w:cstheme="minorHAnsi"/>
              </w:rPr>
            </w:pPr>
            <w:r w:rsidRPr="00CD6B27">
              <w:rPr>
                <w:rFonts w:eastAsia="MS Mincho" w:cstheme="minorHAnsi"/>
              </w:rPr>
              <w:t>Validation: CO e 10 ppm at each follow-up visit</w:t>
            </w:r>
          </w:p>
          <w:p w14:paraId="29921822" w14:textId="77777777" w:rsidR="001173B2" w:rsidRDefault="001173B2" w:rsidP="00A71365">
            <w:pPr>
              <w:pStyle w:val="Tablewriting"/>
              <w:rPr>
                <w:rFonts w:eastAsia="MS Mincho" w:cstheme="minorHAnsi"/>
              </w:rPr>
            </w:pPr>
          </w:p>
          <w:p w14:paraId="099DB9D1"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6D3518F4" w14:textId="02EE4233" w:rsidR="009042AA" w:rsidRPr="00017AE6" w:rsidRDefault="009042AA" w:rsidP="00A71365">
            <w:pPr>
              <w:pStyle w:val="Tablewriting"/>
              <w:rPr>
                <w:rFonts w:eastAsia="MS Mincho" w:cstheme="minorHAnsi"/>
              </w:rPr>
            </w:pPr>
          </w:p>
        </w:tc>
      </w:tr>
      <w:tr w:rsidR="009042AA" w:rsidRPr="00017AE6" w14:paraId="6446F953" w14:textId="77777777" w:rsidTr="005821B1">
        <w:trPr>
          <w:trHeight w:val="99"/>
        </w:trPr>
        <w:tc>
          <w:tcPr>
            <w:tcW w:w="1003" w:type="pct"/>
          </w:tcPr>
          <w:p w14:paraId="0A1D5C43" w14:textId="2D7F07F1" w:rsidR="009042AA" w:rsidRPr="00017AE6" w:rsidRDefault="008D5A77" w:rsidP="00A71365">
            <w:pPr>
              <w:pStyle w:val="Tablewriting"/>
              <w:rPr>
                <w:rFonts w:eastAsia="MS Mincho" w:cstheme="minorHAnsi"/>
              </w:rPr>
            </w:pPr>
            <w:r w:rsidRPr="00156D0F">
              <w:rPr>
                <w:rFonts w:eastAsia="MS Mincho"/>
              </w:rPr>
              <w:t xml:space="preserve">TNSG </w:t>
            </w:r>
            <w:r w:rsidR="006C6C9B">
              <w:rPr>
                <w:rFonts w:eastAsia="MS Mincho"/>
              </w:rPr>
              <w:t>(</w:t>
            </w:r>
            <w:r w:rsidRPr="00156D0F">
              <w:rPr>
                <w:rFonts w:eastAsia="MS Mincho"/>
              </w:rPr>
              <w:t>1991</w:t>
            </w:r>
            <w:r w:rsidR="006C6C9B">
              <w:rPr>
                <w:rFonts w:eastAsia="MS Mincho"/>
              </w:rPr>
              <w:t>)</w:t>
            </w:r>
          </w:p>
        </w:tc>
        <w:tc>
          <w:tcPr>
            <w:tcW w:w="235" w:type="pct"/>
          </w:tcPr>
          <w:p w14:paraId="23693C8D" w14:textId="1DA27AEB"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744A845" w14:textId="239DBB2E" w:rsidR="009042AA" w:rsidRPr="00017AE6" w:rsidRDefault="00C560AA" w:rsidP="00A71365">
            <w:pPr>
              <w:pStyle w:val="Tablewriting"/>
              <w:rPr>
                <w:rFonts w:eastAsia="MS Mincho" w:cstheme="minorHAnsi"/>
              </w:rPr>
            </w:pPr>
            <w:r>
              <w:rPr>
                <w:rFonts w:eastAsia="MS Mincho" w:cstheme="minorHAnsi"/>
              </w:rPr>
              <w:t>USA</w:t>
            </w:r>
          </w:p>
        </w:tc>
        <w:tc>
          <w:tcPr>
            <w:tcW w:w="289" w:type="pct"/>
          </w:tcPr>
          <w:p w14:paraId="3FF817A3" w14:textId="7A734A49" w:rsidR="009042AA" w:rsidRPr="00017AE6" w:rsidRDefault="001173B2" w:rsidP="00A71365">
            <w:pPr>
              <w:pStyle w:val="Tablewriting"/>
              <w:rPr>
                <w:rFonts w:eastAsia="MS Mincho" w:cstheme="minorHAnsi"/>
              </w:rPr>
            </w:pPr>
            <w:r>
              <w:rPr>
                <w:rFonts w:eastAsia="MS Mincho" w:cstheme="minorHAnsi"/>
              </w:rPr>
              <w:t>N=</w:t>
            </w:r>
            <w:r w:rsidR="00C560AA">
              <w:rPr>
                <w:rFonts w:eastAsia="MS Mincho" w:cstheme="minorHAnsi"/>
              </w:rPr>
              <w:t>808</w:t>
            </w:r>
          </w:p>
        </w:tc>
        <w:tc>
          <w:tcPr>
            <w:tcW w:w="1045" w:type="pct"/>
          </w:tcPr>
          <w:p w14:paraId="7788AA8B" w14:textId="3439074C" w:rsidR="00707549" w:rsidRPr="00707549" w:rsidRDefault="00707549" w:rsidP="00A71365">
            <w:pPr>
              <w:pStyle w:val="Tablewriting"/>
              <w:rPr>
                <w:rFonts w:eastAsia="MS Mincho" w:cstheme="minorHAnsi"/>
              </w:rPr>
            </w:pPr>
            <w:r>
              <w:rPr>
                <w:rFonts w:eastAsia="MS Mincho" w:cstheme="minorHAnsi"/>
              </w:rPr>
              <w:t>U</w:t>
            </w:r>
            <w:r w:rsidRPr="00707549">
              <w:rPr>
                <w:rFonts w:eastAsia="MS Mincho" w:cstheme="minorHAnsi"/>
              </w:rPr>
              <w:t>nselected smokers</w:t>
            </w:r>
          </w:p>
          <w:p w14:paraId="2BAFA760" w14:textId="4A861603" w:rsidR="009042AA" w:rsidRPr="00017AE6" w:rsidRDefault="00707549" w:rsidP="00A71365">
            <w:pPr>
              <w:pStyle w:val="Tablewriting"/>
              <w:rPr>
                <w:rFonts w:eastAsia="MS Mincho" w:cstheme="minorHAnsi"/>
              </w:rPr>
            </w:pPr>
            <w:r w:rsidRPr="00707549">
              <w:rPr>
                <w:rFonts w:eastAsia="MS Mincho" w:cstheme="minorHAnsi"/>
              </w:rPr>
              <w:t xml:space="preserve">60% female, average age 43, average </w:t>
            </w:r>
            <w:r>
              <w:rPr>
                <w:rFonts w:eastAsia="MS Mincho" w:cstheme="minorHAnsi"/>
              </w:rPr>
              <w:t>CPD</w:t>
            </w:r>
            <w:r w:rsidRPr="00707549">
              <w:rPr>
                <w:rFonts w:eastAsia="MS Mincho" w:cstheme="minorHAnsi"/>
              </w:rPr>
              <w:t xml:space="preserve"> 31</w:t>
            </w:r>
            <w:r>
              <w:rPr>
                <w:rFonts w:eastAsia="MS Mincho" w:cstheme="minorHAnsi"/>
              </w:rPr>
              <w:t>.</w:t>
            </w:r>
          </w:p>
        </w:tc>
        <w:tc>
          <w:tcPr>
            <w:tcW w:w="1055" w:type="pct"/>
          </w:tcPr>
          <w:p w14:paraId="2AAD8A78" w14:textId="77777777" w:rsidR="0054604D" w:rsidRDefault="00707549" w:rsidP="00C324F3">
            <w:pPr>
              <w:pStyle w:val="Tablewriting"/>
              <w:numPr>
                <w:ilvl w:val="0"/>
                <w:numId w:val="123"/>
              </w:numPr>
              <w:rPr>
                <w:rFonts w:eastAsia="MS Mincho" w:cstheme="minorHAnsi"/>
              </w:rPr>
            </w:pPr>
            <w:r w:rsidRPr="00707549">
              <w:rPr>
                <w:rFonts w:eastAsia="MS Mincho" w:cstheme="minorHAnsi"/>
              </w:rPr>
              <w:t>Nicotine patch (21 mg/24 h, 6 weeks+)</w:t>
            </w:r>
            <w:r w:rsidR="0054604D">
              <w:rPr>
                <w:rFonts w:eastAsia="MS Mincho" w:cstheme="minorHAnsi"/>
              </w:rPr>
              <w:t>.</w:t>
            </w:r>
          </w:p>
          <w:p w14:paraId="405C6709" w14:textId="33E9A753" w:rsidR="0054604D" w:rsidRDefault="00707549" w:rsidP="00C324F3">
            <w:pPr>
              <w:pStyle w:val="Tablewriting"/>
              <w:numPr>
                <w:ilvl w:val="0"/>
                <w:numId w:val="123"/>
              </w:numPr>
              <w:rPr>
                <w:rFonts w:eastAsia="MS Mincho" w:cstheme="minorHAnsi"/>
              </w:rPr>
            </w:pPr>
            <w:r w:rsidRPr="00D65439">
              <w:rPr>
                <w:rFonts w:eastAsia="MS Mincho" w:cstheme="minorHAnsi"/>
              </w:rPr>
              <w:t>Nicotine patch 14 mg</w:t>
            </w:r>
            <w:r w:rsidR="0054604D">
              <w:rPr>
                <w:rFonts w:eastAsia="MS Mincho" w:cstheme="minorHAnsi"/>
              </w:rPr>
              <w:t>.</w:t>
            </w:r>
          </w:p>
          <w:p w14:paraId="7973A5DF" w14:textId="25C4F9F0" w:rsidR="00707549" w:rsidRPr="0054604D" w:rsidRDefault="00707549" w:rsidP="00C324F3">
            <w:pPr>
              <w:pStyle w:val="Tablewriting"/>
              <w:numPr>
                <w:ilvl w:val="0"/>
                <w:numId w:val="123"/>
              </w:numPr>
              <w:rPr>
                <w:rFonts w:eastAsia="MS Mincho" w:cstheme="minorHAnsi"/>
              </w:rPr>
            </w:pPr>
            <w:r w:rsidRPr="0054604D">
              <w:rPr>
                <w:rFonts w:eastAsia="MS Mincho" w:cstheme="minorHAnsi"/>
              </w:rPr>
              <w:t>Placebo patch</w:t>
            </w:r>
            <w:r w:rsidR="0054604D">
              <w:rPr>
                <w:rFonts w:eastAsia="MS Mincho" w:cstheme="minorHAnsi"/>
              </w:rPr>
              <w:t>.</w:t>
            </w:r>
          </w:p>
          <w:p w14:paraId="1401BB17" w14:textId="77777777" w:rsidR="0054604D" w:rsidRDefault="0054604D" w:rsidP="00A71365">
            <w:pPr>
              <w:pStyle w:val="Tablewriting"/>
              <w:rPr>
                <w:rFonts w:eastAsia="MS Mincho" w:cstheme="minorHAnsi"/>
              </w:rPr>
            </w:pPr>
          </w:p>
          <w:p w14:paraId="64AF5073" w14:textId="10B53D6A" w:rsidR="00707549" w:rsidRPr="00707549" w:rsidRDefault="00707549" w:rsidP="00A71365">
            <w:pPr>
              <w:pStyle w:val="Tablewriting"/>
              <w:rPr>
                <w:rFonts w:eastAsia="MS Mincho" w:cstheme="minorHAnsi"/>
              </w:rPr>
            </w:pPr>
            <w:r w:rsidRPr="00707549">
              <w:rPr>
                <w:rFonts w:eastAsia="MS Mincho" w:cstheme="minorHAnsi"/>
              </w:rPr>
              <w:t>Abstainers at end of week 6 entered a randomized blinded trial of weaning</w:t>
            </w:r>
          </w:p>
          <w:p w14:paraId="0CB4DB94" w14:textId="34AE301B" w:rsidR="009042AA" w:rsidRPr="00017AE6" w:rsidRDefault="00707549" w:rsidP="00A71365">
            <w:pPr>
              <w:pStyle w:val="Tablewriting"/>
              <w:rPr>
                <w:rFonts w:eastAsia="MS Mincho" w:cstheme="minorHAnsi"/>
              </w:rPr>
            </w:pPr>
            <w:r w:rsidRPr="00707549">
              <w:rPr>
                <w:rFonts w:eastAsia="MS Mincho" w:cstheme="minorHAnsi"/>
              </w:rPr>
              <w:t>Level of support: high (group therapy, 6+ sessions)</w:t>
            </w:r>
          </w:p>
        </w:tc>
        <w:tc>
          <w:tcPr>
            <w:tcW w:w="958" w:type="pct"/>
          </w:tcPr>
          <w:p w14:paraId="0ABD2DA6" w14:textId="77777777" w:rsidR="0054604D" w:rsidRPr="0054604D" w:rsidRDefault="001173B2" w:rsidP="00A71365">
            <w:pPr>
              <w:pStyle w:val="Tablewriting"/>
              <w:rPr>
                <w:rFonts w:eastAsia="MS Mincho" w:cstheme="minorHAnsi"/>
              </w:rPr>
            </w:pPr>
            <w:r w:rsidRPr="009B13E2">
              <w:rPr>
                <w:rFonts w:eastAsia="MS Mincho" w:cstheme="minorHAnsi"/>
                <w:u w:val="single"/>
              </w:rPr>
              <w:t>Efficacy:</w:t>
            </w:r>
            <w:r w:rsidR="0054604D">
              <w:rPr>
                <w:rFonts w:eastAsia="MS Mincho" w:cstheme="minorHAnsi"/>
                <w:u w:val="single"/>
              </w:rPr>
              <w:t xml:space="preserve"> </w:t>
            </w:r>
            <w:r w:rsidR="0054604D" w:rsidRPr="0054604D">
              <w:rPr>
                <w:rFonts w:eastAsia="MS Mincho" w:cstheme="minorHAnsi"/>
              </w:rPr>
              <w:t>Sustained abstinence at 6 months</w:t>
            </w:r>
          </w:p>
          <w:p w14:paraId="3759CD9B" w14:textId="168CE0F2" w:rsidR="001173B2" w:rsidRPr="0054604D" w:rsidRDefault="0054604D" w:rsidP="00A71365">
            <w:pPr>
              <w:pStyle w:val="Tablewriting"/>
              <w:rPr>
                <w:rFonts w:eastAsia="MS Mincho" w:cstheme="minorHAnsi"/>
              </w:rPr>
            </w:pPr>
            <w:r w:rsidRPr="0054604D">
              <w:rPr>
                <w:rFonts w:eastAsia="MS Mincho" w:cstheme="minorHAnsi"/>
              </w:rPr>
              <w:t>Validation: CO</w:t>
            </w:r>
          </w:p>
          <w:p w14:paraId="0B3177DF" w14:textId="77777777" w:rsidR="001173B2" w:rsidRDefault="001173B2" w:rsidP="00A71365">
            <w:pPr>
              <w:pStyle w:val="Tablewriting"/>
              <w:rPr>
                <w:rFonts w:eastAsia="MS Mincho" w:cstheme="minorHAnsi"/>
              </w:rPr>
            </w:pPr>
          </w:p>
          <w:p w14:paraId="505A83B1"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11587E1B" w14:textId="3B7B0873" w:rsidR="009042AA" w:rsidRPr="00017AE6" w:rsidRDefault="009042AA" w:rsidP="00A71365">
            <w:pPr>
              <w:pStyle w:val="Tablewriting"/>
              <w:rPr>
                <w:rFonts w:eastAsia="MS Mincho" w:cstheme="minorHAnsi"/>
              </w:rPr>
            </w:pPr>
          </w:p>
        </w:tc>
      </w:tr>
      <w:tr w:rsidR="009042AA" w:rsidRPr="00017AE6" w14:paraId="65CDCA01" w14:textId="77777777" w:rsidTr="005821B1">
        <w:trPr>
          <w:trHeight w:val="99"/>
        </w:trPr>
        <w:tc>
          <w:tcPr>
            <w:tcW w:w="1003" w:type="pct"/>
          </w:tcPr>
          <w:p w14:paraId="11D7D253" w14:textId="78C7DB65" w:rsidR="009042AA" w:rsidRPr="00017AE6" w:rsidRDefault="008D5A77" w:rsidP="00A71365">
            <w:pPr>
              <w:pStyle w:val="Tablewriting"/>
              <w:rPr>
                <w:rFonts w:eastAsia="MS Mincho" w:cstheme="minorHAnsi"/>
              </w:rPr>
            </w:pPr>
            <w:r w:rsidRPr="00156D0F">
              <w:rPr>
                <w:rFonts w:eastAsia="MS Mincho"/>
              </w:rPr>
              <w:t xml:space="preserve">Westman </w:t>
            </w:r>
            <w:r w:rsidR="006C6C9B">
              <w:rPr>
                <w:rFonts w:eastAsia="MS Mincho"/>
              </w:rPr>
              <w:t>(</w:t>
            </w:r>
            <w:r w:rsidRPr="00156D0F">
              <w:rPr>
                <w:rFonts w:eastAsia="MS Mincho"/>
              </w:rPr>
              <w:t>1993</w:t>
            </w:r>
            <w:r w:rsidR="006C6C9B">
              <w:rPr>
                <w:rFonts w:eastAsia="MS Mincho"/>
              </w:rPr>
              <w:t>)</w:t>
            </w:r>
          </w:p>
        </w:tc>
        <w:tc>
          <w:tcPr>
            <w:tcW w:w="235" w:type="pct"/>
          </w:tcPr>
          <w:p w14:paraId="1FAC8695" w14:textId="7D52599E"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8B3C018" w14:textId="4232A1AE" w:rsidR="009042AA" w:rsidRPr="00017AE6" w:rsidRDefault="00461C6F" w:rsidP="00A71365">
            <w:pPr>
              <w:pStyle w:val="Tablewriting"/>
              <w:rPr>
                <w:rFonts w:eastAsia="MS Mincho" w:cstheme="minorHAnsi"/>
              </w:rPr>
            </w:pPr>
            <w:r>
              <w:rPr>
                <w:rFonts w:eastAsia="MS Mincho" w:cstheme="minorHAnsi"/>
              </w:rPr>
              <w:t>USA</w:t>
            </w:r>
          </w:p>
        </w:tc>
        <w:tc>
          <w:tcPr>
            <w:tcW w:w="289" w:type="pct"/>
          </w:tcPr>
          <w:p w14:paraId="62DD3ADF" w14:textId="769044E2" w:rsidR="009042AA" w:rsidRPr="00017AE6" w:rsidRDefault="001173B2" w:rsidP="00A71365">
            <w:pPr>
              <w:pStyle w:val="Tablewriting"/>
              <w:rPr>
                <w:rFonts w:eastAsia="MS Mincho" w:cstheme="minorHAnsi"/>
              </w:rPr>
            </w:pPr>
            <w:r>
              <w:rPr>
                <w:rFonts w:eastAsia="MS Mincho" w:cstheme="minorHAnsi"/>
              </w:rPr>
              <w:t>N=</w:t>
            </w:r>
            <w:r w:rsidR="00461C6F">
              <w:rPr>
                <w:rFonts w:eastAsia="MS Mincho" w:cstheme="minorHAnsi"/>
              </w:rPr>
              <w:t>158</w:t>
            </w:r>
          </w:p>
        </w:tc>
        <w:tc>
          <w:tcPr>
            <w:tcW w:w="1045" w:type="pct"/>
          </w:tcPr>
          <w:p w14:paraId="76839341" w14:textId="070043F0" w:rsidR="00435B28" w:rsidRPr="00435B28" w:rsidRDefault="00435B28" w:rsidP="00A71365">
            <w:pPr>
              <w:pStyle w:val="Tablewriting"/>
              <w:rPr>
                <w:rFonts w:eastAsia="MS Mincho" w:cstheme="minorHAnsi"/>
              </w:rPr>
            </w:pPr>
            <w:r>
              <w:rPr>
                <w:rFonts w:eastAsia="MS Mincho" w:cstheme="minorHAnsi"/>
              </w:rPr>
              <w:t>S</w:t>
            </w:r>
            <w:r w:rsidRPr="00435B28">
              <w:rPr>
                <w:rFonts w:eastAsia="MS Mincho" w:cstheme="minorHAnsi"/>
              </w:rPr>
              <w:t>mokers motivated to quit (excludes 1 participant who used nicotine gum throughout)</w:t>
            </w:r>
          </w:p>
          <w:p w14:paraId="5C287B44" w14:textId="303B0B8E" w:rsidR="009042AA" w:rsidRPr="00017AE6" w:rsidRDefault="00435B28" w:rsidP="00A71365">
            <w:pPr>
              <w:pStyle w:val="Tablewriting"/>
              <w:rPr>
                <w:rFonts w:eastAsia="MS Mincho" w:cstheme="minorHAnsi"/>
              </w:rPr>
            </w:pPr>
            <w:r w:rsidRPr="00435B28">
              <w:rPr>
                <w:rFonts w:eastAsia="MS Mincho" w:cstheme="minorHAnsi"/>
              </w:rPr>
              <w:t>57% female, average age 41, average cpd 30</w:t>
            </w:r>
            <w:r>
              <w:rPr>
                <w:rFonts w:eastAsia="MS Mincho" w:cstheme="minorHAnsi"/>
              </w:rPr>
              <w:t>.</w:t>
            </w:r>
          </w:p>
        </w:tc>
        <w:tc>
          <w:tcPr>
            <w:tcW w:w="1055" w:type="pct"/>
          </w:tcPr>
          <w:p w14:paraId="5DB63B64" w14:textId="28BED1E2" w:rsidR="001E6F95" w:rsidRPr="001E6F95" w:rsidRDefault="001E6F95" w:rsidP="00C324F3">
            <w:pPr>
              <w:pStyle w:val="Tablewriting"/>
              <w:numPr>
                <w:ilvl w:val="0"/>
                <w:numId w:val="124"/>
              </w:numPr>
              <w:rPr>
                <w:rFonts w:eastAsia="MS Mincho" w:cstheme="minorHAnsi"/>
              </w:rPr>
            </w:pPr>
            <w:r w:rsidRPr="001E6F95">
              <w:rPr>
                <w:rFonts w:eastAsia="MS Mincho" w:cstheme="minorHAnsi"/>
              </w:rPr>
              <w:t>Nicotine patch (25 mg/24 h, 6 weeks incl weaning)</w:t>
            </w:r>
            <w:r w:rsidR="00610F0A">
              <w:rPr>
                <w:rFonts w:eastAsia="MS Mincho" w:cstheme="minorHAnsi"/>
              </w:rPr>
              <w:t>.</w:t>
            </w:r>
          </w:p>
          <w:p w14:paraId="33115CFF" w14:textId="2BF794F6" w:rsidR="001E6F95" w:rsidRDefault="001E6F95" w:rsidP="00C324F3">
            <w:pPr>
              <w:pStyle w:val="Tablewriting"/>
              <w:numPr>
                <w:ilvl w:val="0"/>
                <w:numId w:val="124"/>
              </w:numPr>
              <w:rPr>
                <w:rFonts w:eastAsia="MS Mincho" w:cstheme="minorHAnsi"/>
              </w:rPr>
            </w:pPr>
            <w:r w:rsidRPr="001E6F95">
              <w:rPr>
                <w:rFonts w:eastAsia="MS Mincho" w:cstheme="minorHAnsi"/>
              </w:rPr>
              <w:t>Placebo patches</w:t>
            </w:r>
            <w:r w:rsidR="00B00049">
              <w:rPr>
                <w:rFonts w:eastAsia="MS Mincho" w:cstheme="minorHAnsi"/>
              </w:rPr>
              <w:t>.</w:t>
            </w:r>
          </w:p>
          <w:p w14:paraId="14F8B735" w14:textId="77777777" w:rsidR="00B00049" w:rsidRPr="001E6F95" w:rsidRDefault="00B00049" w:rsidP="00A71365">
            <w:pPr>
              <w:pStyle w:val="Tablewriting"/>
              <w:ind w:left="360"/>
              <w:rPr>
                <w:rFonts w:eastAsia="MS Mincho" w:cstheme="minorHAnsi"/>
              </w:rPr>
            </w:pPr>
          </w:p>
          <w:p w14:paraId="180DBC04" w14:textId="76394246" w:rsidR="009042AA" w:rsidRPr="00017AE6" w:rsidRDefault="001E6F95" w:rsidP="00A71365">
            <w:pPr>
              <w:pStyle w:val="Tablewriting"/>
              <w:rPr>
                <w:rFonts w:eastAsia="MS Mincho" w:cstheme="minorHAnsi"/>
              </w:rPr>
            </w:pPr>
            <w:r w:rsidRPr="001E6F95">
              <w:rPr>
                <w:rFonts w:eastAsia="MS Mincho" w:cstheme="minorHAnsi"/>
              </w:rPr>
              <w:t xml:space="preserve">Level of support: high (brief counsellor support at 3 clinic visits, 4 telephone counselling sessions, </w:t>
            </w:r>
            <w:r w:rsidR="00836B64" w:rsidRPr="001E6F95">
              <w:rPr>
                <w:rFonts w:eastAsia="MS Mincho" w:cstheme="minorHAnsi"/>
              </w:rPr>
              <w:t>self</w:t>
            </w:r>
            <w:r w:rsidR="00836B64">
              <w:rPr>
                <w:rFonts w:eastAsia="MS Mincho" w:cstheme="minorHAnsi"/>
              </w:rPr>
              <w:t xml:space="preserve">-help </w:t>
            </w:r>
            <w:r w:rsidRPr="001E6F95">
              <w:rPr>
                <w:rFonts w:eastAsia="MS Mincho" w:cstheme="minorHAnsi"/>
              </w:rPr>
              <w:t>materials)</w:t>
            </w:r>
            <w:r w:rsidR="00282871">
              <w:rPr>
                <w:rFonts w:eastAsia="MS Mincho" w:cstheme="minorHAnsi"/>
              </w:rPr>
              <w:t>.</w:t>
            </w:r>
          </w:p>
        </w:tc>
        <w:tc>
          <w:tcPr>
            <w:tcW w:w="958" w:type="pct"/>
          </w:tcPr>
          <w:p w14:paraId="1ACA50BF" w14:textId="50504595" w:rsidR="00282871" w:rsidRDefault="001173B2" w:rsidP="00A71365">
            <w:pPr>
              <w:pStyle w:val="Tablewriting"/>
              <w:rPr>
                <w:rFonts w:eastAsia="MS Mincho" w:cstheme="minorHAnsi"/>
              </w:rPr>
            </w:pPr>
            <w:r w:rsidRPr="00282871">
              <w:rPr>
                <w:rFonts w:eastAsia="MS Mincho" w:cstheme="minorHAnsi"/>
              </w:rPr>
              <w:t>Efficacy:</w:t>
            </w:r>
            <w:r w:rsidR="00282871" w:rsidRPr="00282871">
              <w:t xml:space="preserve"> </w:t>
            </w:r>
            <w:r w:rsidR="00282871" w:rsidRPr="00282871">
              <w:rPr>
                <w:rFonts w:eastAsia="MS Mincho" w:cstheme="minorHAnsi"/>
              </w:rPr>
              <w:t>Sustained abstinence at 6 months (from 2 weeks post-TQD)</w:t>
            </w:r>
            <w:r w:rsidR="003A0F2B">
              <w:rPr>
                <w:rFonts w:eastAsia="MS Mincho" w:cstheme="minorHAnsi"/>
              </w:rPr>
              <w:t>.</w:t>
            </w:r>
          </w:p>
          <w:p w14:paraId="26456C16" w14:textId="77777777" w:rsidR="003A0F2B" w:rsidRPr="00282871" w:rsidRDefault="003A0F2B" w:rsidP="00A71365">
            <w:pPr>
              <w:pStyle w:val="Tablewriting"/>
              <w:rPr>
                <w:rFonts w:eastAsia="MS Mincho" w:cstheme="minorHAnsi"/>
              </w:rPr>
            </w:pPr>
          </w:p>
          <w:p w14:paraId="3A13B3C2" w14:textId="12469BFE" w:rsidR="001173B2" w:rsidRPr="00282871" w:rsidRDefault="00282871" w:rsidP="00A71365">
            <w:pPr>
              <w:pStyle w:val="Tablewriting"/>
              <w:rPr>
                <w:rFonts w:eastAsia="MS Mincho" w:cstheme="minorHAnsi"/>
              </w:rPr>
            </w:pPr>
            <w:r w:rsidRPr="00282871">
              <w:rPr>
                <w:rFonts w:eastAsia="MS Mincho" w:cstheme="minorHAnsi"/>
              </w:rPr>
              <w:t>Validation: CO &lt; 8 ppm</w:t>
            </w:r>
            <w:r w:rsidR="003A0F2B">
              <w:rPr>
                <w:rFonts w:eastAsia="MS Mincho" w:cstheme="minorHAnsi"/>
              </w:rPr>
              <w:t>.</w:t>
            </w:r>
          </w:p>
          <w:p w14:paraId="20E3E7EE" w14:textId="77777777" w:rsidR="001173B2" w:rsidRDefault="001173B2" w:rsidP="00A71365">
            <w:pPr>
              <w:pStyle w:val="Tablewriting"/>
              <w:rPr>
                <w:rFonts w:eastAsia="MS Mincho" w:cstheme="minorHAnsi"/>
              </w:rPr>
            </w:pPr>
          </w:p>
          <w:p w14:paraId="6D308E24"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61F2B6E6" w14:textId="7AC9E566" w:rsidR="009042AA" w:rsidRPr="00017AE6" w:rsidRDefault="009042AA" w:rsidP="00A71365">
            <w:pPr>
              <w:pStyle w:val="Tablewriting"/>
              <w:rPr>
                <w:rFonts w:eastAsia="MS Mincho" w:cstheme="minorHAnsi"/>
              </w:rPr>
            </w:pPr>
          </w:p>
        </w:tc>
      </w:tr>
      <w:tr w:rsidR="009042AA" w:rsidRPr="00017AE6" w14:paraId="53D14C78" w14:textId="77777777" w:rsidTr="005821B1">
        <w:trPr>
          <w:trHeight w:val="99"/>
        </w:trPr>
        <w:tc>
          <w:tcPr>
            <w:tcW w:w="5000" w:type="pct"/>
            <w:gridSpan w:val="7"/>
            <w:shd w:val="clear" w:color="auto" w:fill="D9D9D9" w:themeFill="background1" w:themeFillShade="D9"/>
          </w:tcPr>
          <w:p w14:paraId="31701AD0" w14:textId="56A19E3B" w:rsidR="006C4A81" w:rsidRPr="005012C6" w:rsidRDefault="005012C6" w:rsidP="00A71365">
            <w:pPr>
              <w:pStyle w:val="Tablewriting"/>
              <w:rPr>
                <w:rFonts w:eastAsia="MS Mincho" w:cstheme="minorHAnsi"/>
                <w:b/>
              </w:rPr>
            </w:pPr>
            <w:r w:rsidRPr="005012C6">
              <w:rPr>
                <w:rFonts w:eastAsia="MS Mincho" w:cstheme="minorHAnsi"/>
                <w:b/>
                <w:bCs/>
              </w:rPr>
              <w:t>PP/uncertain 12 months</w:t>
            </w:r>
          </w:p>
        </w:tc>
      </w:tr>
      <w:tr w:rsidR="009042AA" w:rsidRPr="00017AE6" w14:paraId="07BBC778" w14:textId="77777777" w:rsidTr="005821B1">
        <w:trPr>
          <w:trHeight w:val="99"/>
        </w:trPr>
        <w:tc>
          <w:tcPr>
            <w:tcW w:w="1003" w:type="pct"/>
          </w:tcPr>
          <w:p w14:paraId="1F6F7748" w14:textId="68A2E936" w:rsidR="009042AA" w:rsidRPr="00017AE6" w:rsidRDefault="00846979" w:rsidP="00A71365">
            <w:pPr>
              <w:pStyle w:val="Tablewriting"/>
              <w:rPr>
                <w:rFonts w:eastAsia="MS Mincho" w:cstheme="minorHAnsi"/>
              </w:rPr>
            </w:pPr>
            <w:r w:rsidRPr="00B07BE1">
              <w:rPr>
                <w:rFonts w:eastAsia="MS Mincho"/>
              </w:rPr>
              <w:t xml:space="preserve">Buchkremer </w:t>
            </w:r>
            <w:r w:rsidR="006C6C9B">
              <w:rPr>
                <w:rFonts w:eastAsia="MS Mincho"/>
              </w:rPr>
              <w:t>(</w:t>
            </w:r>
            <w:r w:rsidRPr="00B07BE1">
              <w:rPr>
                <w:rFonts w:eastAsia="MS Mincho"/>
              </w:rPr>
              <w:t>1988</w:t>
            </w:r>
            <w:r w:rsidR="006C6C9B">
              <w:rPr>
                <w:rFonts w:eastAsia="MS Mincho"/>
              </w:rPr>
              <w:t>)</w:t>
            </w:r>
          </w:p>
        </w:tc>
        <w:tc>
          <w:tcPr>
            <w:tcW w:w="235" w:type="pct"/>
          </w:tcPr>
          <w:p w14:paraId="123FB6E9" w14:textId="5B44F0D7"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158D380" w14:textId="01721867" w:rsidR="009042AA" w:rsidRPr="00017AE6" w:rsidRDefault="007C3131" w:rsidP="00A71365">
            <w:pPr>
              <w:pStyle w:val="Tablewriting"/>
              <w:rPr>
                <w:rFonts w:eastAsia="MS Mincho" w:cstheme="minorHAnsi"/>
              </w:rPr>
            </w:pPr>
            <w:r w:rsidRPr="00E32456">
              <w:rPr>
                <w:rFonts w:eastAsia="MS Mincho" w:cstheme="minorHAnsi"/>
              </w:rPr>
              <w:t>Germany</w:t>
            </w:r>
          </w:p>
        </w:tc>
        <w:tc>
          <w:tcPr>
            <w:tcW w:w="289" w:type="pct"/>
          </w:tcPr>
          <w:p w14:paraId="37B69A96" w14:textId="4C4DAF81" w:rsidR="009042AA" w:rsidRPr="00017AE6" w:rsidRDefault="001173B2" w:rsidP="00A71365">
            <w:pPr>
              <w:pStyle w:val="Tablewriting"/>
              <w:rPr>
                <w:rFonts w:eastAsia="MS Mincho" w:cstheme="minorHAnsi"/>
              </w:rPr>
            </w:pPr>
            <w:r>
              <w:rPr>
                <w:rFonts w:eastAsia="MS Mincho" w:cstheme="minorHAnsi"/>
              </w:rPr>
              <w:t>N=</w:t>
            </w:r>
            <w:r w:rsidR="007C3131">
              <w:rPr>
                <w:rFonts w:eastAsia="MS Mincho" w:cstheme="minorHAnsi"/>
              </w:rPr>
              <w:t>131</w:t>
            </w:r>
          </w:p>
        </w:tc>
        <w:tc>
          <w:tcPr>
            <w:tcW w:w="1045" w:type="pct"/>
          </w:tcPr>
          <w:p w14:paraId="0E506A5B" w14:textId="291C3D9D" w:rsidR="00CB2DEA" w:rsidRPr="00CB2DEA" w:rsidRDefault="00CB2DEA" w:rsidP="00A71365">
            <w:pPr>
              <w:pStyle w:val="Tablewriting"/>
              <w:rPr>
                <w:rFonts w:eastAsia="MS Mincho" w:cstheme="minorHAnsi"/>
              </w:rPr>
            </w:pPr>
            <w:r>
              <w:rPr>
                <w:rFonts w:eastAsia="MS Mincho" w:cstheme="minorHAnsi"/>
              </w:rPr>
              <w:t>S</w:t>
            </w:r>
            <w:r w:rsidRPr="00CB2DEA">
              <w:rPr>
                <w:rFonts w:eastAsia="MS Mincho" w:cstheme="minorHAnsi"/>
              </w:rPr>
              <w:t>mokers</w:t>
            </w:r>
          </w:p>
          <w:p w14:paraId="3E0CE0DA" w14:textId="2107186B" w:rsidR="00CB2DEA" w:rsidRPr="00CB2DEA" w:rsidRDefault="00CB2DEA" w:rsidP="00A71365">
            <w:pPr>
              <w:pStyle w:val="Tablewriting"/>
              <w:rPr>
                <w:rFonts w:eastAsia="MS Mincho" w:cstheme="minorHAnsi"/>
              </w:rPr>
            </w:pPr>
            <w:r w:rsidRPr="00CB2DEA">
              <w:rPr>
                <w:rFonts w:eastAsia="MS Mincho" w:cstheme="minorHAnsi"/>
              </w:rPr>
              <w:t xml:space="preserve">50% female, average age 35, average </w:t>
            </w:r>
            <w:r>
              <w:rPr>
                <w:rFonts w:eastAsia="MS Mincho" w:cstheme="minorHAnsi"/>
              </w:rPr>
              <w:t>CPD</w:t>
            </w:r>
            <w:r w:rsidRPr="00CB2DEA">
              <w:rPr>
                <w:rFonts w:eastAsia="MS Mincho" w:cstheme="minorHAnsi"/>
              </w:rPr>
              <w:t xml:space="preserve"> 29</w:t>
            </w:r>
          </w:p>
          <w:p w14:paraId="73553219" w14:textId="28409534" w:rsidR="009042AA" w:rsidRPr="00017AE6" w:rsidRDefault="00CB2DEA" w:rsidP="00A71365">
            <w:pPr>
              <w:pStyle w:val="Tablewriting"/>
              <w:rPr>
                <w:rFonts w:eastAsia="MS Mincho" w:cstheme="minorHAnsi"/>
              </w:rPr>
            </w:pPr>
            <w:r w:rsidRPr="00CB2DEA">
              <w:rPr>
                <w:rFonts w:eastAsia="MS Mincho" w:cstheme="minorHAnsi"/>
              </w:rPr>
              <w:t>Participants were motivated to give up</w:t>
            </w:r>
            <w:r>
              <w:rPr>
                <w:rFonts w:eastAsia="MS Mincho" w:cstheme="minorHAnsi"/>
              </w:rPr>
              <w:t>.</w:t>
            </w:r>
          </w:p>
        </w:tc>
        <w:tc>
          <w:tcPr>
            <w:tcW w:w="1055" w:type="pct"/>
          </w:tcPr>
          <w:p w14:paraId="2C84C11B" w14:textId="60767A53" w:rsidR="009D0DBA" w:rsidRPr="009D0DBA" w:rsidRDefault="009D0DBA" w:rsidP="00C324F3">
            <w:pPr>
              <w:pStyle w:val="Tablewriting"/>
              <w:numPr>
                <w:ilvl w:val="0"/>
                <w:numId w:val="125"/>
              </w:numPr>
              <w:rPr>
                <w:rFonts w:eastAsia="MS Mincho" w:cstheme="minorHAnsi"/>
              </w:rPr>
            </w:pPr>
            <w:r w:rsidRPr="009D0DBA">
              <w:rPr>
                <w:rFonts w:eastAsia="MS Mincho" w:cstheme="minorHAnsi"/>
              </w:rPr>
              <w:t>Nicotine patch (24 h/day, 8 weeks, 15 cm with weaning) + behavioural therapy</w:t>
            </w:r>
            <w:r w:rsidR="002A6C70">
              <w:rPr>
                <w:rFonts w:eastAsia="MS Mincho" w:cstheme="minorHAnsi"/>
              </w:rPr>
              <w:t>.</w:t>
            </w:r>
          </w:p>
          <w:p w14:paraId="7BF1003F" w14:textId="3C3FA595" w:rsidR="009D0DBA" w:rsidRPr="009D0DBA" w:rsidRDefault="009D0DBA" w:rsidP="00C324F3">
            <w:pPr>
              <w:pStyle w:val="Tablewriting"/>
              <w:numPr>
                <w:ilvl w:val="0"/>
                <w:numId w:val="125"/>
              </w:numPr>
              <w:rPr>
                <w:rFonts w:eastAsia="MS Mincho" w:cstheme="minorHAnsi"/>
              </w:rPr>
            </w:pPr>
            <w:r w:rsidRPr="009D0DBA">
              <w:rPr>
                <w:rFonts w:eastAsia="MS Mincho" w:cstheme="minorHAnsi"/>
              </w:rPr>
              <w:lastRenderedPageBreak/>
              <w:t>Placebo patch + behavioural therapy</w:t>
            </w:r>
            <w:r w:rsidR="002A6C70">
              <w:rPr>
                <w:rFonts w:eastAsia="MS Mincho" w:cstheme="minorHAnsi"/>
              </w:rPr>
              <w:t>.</w:t>
            </w:r>
          </w:p>
          <w:p w14:paraId="67A3701D" w14:textId="70C02064" w:rsidR="009D0DBA" w:rsidRDefault="009D0DBA" w:rsidP="00C324F3">
            <w:pPr>
              <w:pStyle w:val="Tablewriting"/>
              <w:numPr>
                <w:ilvl w:val="0"/>
                <w:numId w:val="125"/>
              </w:numPr>
              <w:rPr>
                <w:rFonts w:eastAsia="MS Mincho" w:cstheme="minorHAnsi"/>
              </w:rPr>
            </w:pPr>
            <w:r w:rsidRPr="009D0DBA">
              <w:rPr>
                <w:rFonts w:eastAsia="MS Mincho" w:cstheme="minorHAnsi"/>
              </w:rPr>
              <w:t>Behavioural therapy alone</w:t>
            </w:r>
            <w:r w:rsidR="002A6C70">
              <w:rPr>
                <w:rFonts w:eastAsia="MS Mincho" w:cstheme="minorHAnsi"/>
              </w:rPr>
              <w:t>.</w:t>
            </w:r>
          </w:p>
          <w:p w14:paraId="55CBD197" w14:textId="77777777" w:rsidR="002A6C70" w:rsidRPr="009D0DBA" w:rsidRDefault="002A6C70" w:rsidP="00A71365">
            <w:pPr>
              <w:pStyle w:val="Tablewriting"/>
              <w:ind w:left="360"/>
              <w:rPr>
                <w:rFonts w:eastAsia="MS Mincho" w:cstheme="minorHAnsi"/>
              </w:rPr>
            </w:pPr>
          </w:p>
          <w:p w14:paraId="266FDF78" w14:textId="77105F0A" w:rsidR="009042AA" w:rsidRPr="00017AE6" w:rsidRDefault="009D0DBA" w:rsidP="00A71365">
            <w:pPr>
              <w:pStyle w:val="Tablewriting"/>
              <w:rPr>
                <w:rFonts w:eastAsia="MS Mincho" w:cstheme="minorHAnsi"/>
              </w:rPr>
            </w:pPr>
            <w:r w:rsidRPr="009D0DBA">
              <w:rPr>
                <w:rFonts w:eastAsia="MS Mincho" w:cstheme="minorHAnsi"/>
              </w:rPr>
              <w:t>Level of support: high (9 weekly group sessions)</w:t>
            </w:r>
            <w:r w:rsidR="0076751B">
              <w:rPr>
                <w:rFonts w:eastAsia="MS Mincho" w:cstheme="minorHAnsi"/>
              </w:rPr>
              <w:t>.</w:t>
            </w:r>
          </w:p>
        </w:tc>
        <w:tc>
          <w:tcPr>
            <w:tcW w:w="958" w:type="pct"/>
          </w:tcPr>
          <w:p w14:paraId="0DB640A7" w14:textId="0C32A03B" w:rsidR="002A7C17" w:rsidRDefault="001173B2" w:rsidP="00A71365">
            <w:pPr>
              <w:pStyle w:val="Tablewriting"/>
              <w:rPr>
                <w:rFonts w:eastAsia="MS Mincho" w:cstheme="minorHAnsi"/>
              </w:rPr>
            </w:pPr>
            <w:r w:rsidRPr="002A7C17">
              <w:rPr>
                <w:rFonts w:eastAsia="MS Mincho" w:cstheme="minorHAnsi"/>
              </w:rPr>
              <w:lastRenderedPageBreak/>
              <w:t>Efficacy:</w:t>
            </w:r>
            <w:r w:rsidR="002A7C17" w:rsidRPr="002A7C17">
              <w:t xml:space="preserve"> </w:t>
            </w:r>
            <w:r w:rsidR="002A7C17" w:rsidRPr="002A7C17">
              <w:rPr>
                <w:rFonts w:eastAsia="MS Mincho" w:cstheme="minorHAnsi"/>
              </w:rPr>
              <w:t>Abstinence (not stated how assessed) at 12 months</w:t>
            </w:r>
            <w:r w:rsidR="00D30AE1">
              <w:rPr>
                <w:rFonts w:eastAsia="MS Mincho" w:cstheme="minorHAnsi"/>
              </w:rPr>
              <w:t>.</w:t>
            </w:r>
          </w:p>
          <w:p w14:paraId="0916DFCC" w14:textId="77777777" w:rsidR="002A7C17" w:rsidRPr="002A7C17" w:rsidRDefault="002A7C17" w:rsidP="00A71365">
            <w:pPr>
              <w:pStyle w:val="Tablewriting"/>
              <w:rPr>
                <w:rFonts w:eastAsia="MS Mincho" w:cstheme="minorHAnsi"/>
              </w:rPr>
            </w:pPr>
          </w:p>
          <w:p w14:paraId="3C95CCBA" w14:textId="23DB017D" w:rsidR="001173B2" w:rsidRPr="002A7C17" w:rsidRDefault="002A7C17" w:rsidP="00A71365">
            <w:pPr>
              <w:pStyle w:val="Tablewriting"/>
              <w:rPr>
                <w:rFonts w:eastAsia="MS Mincho" w:cstheme="minorHAnsi"/>
              </w:rPr>
            </w:pPr>
            <w:r w:rsidRPr="002A7C17">
              <w:rPr>
                <w:rFonts w:eastAsia="MS Mincho" w:cstheme="minorHAnsi"/>
              </w:rPr>
              <w:t>Validation: none</w:t>
            </w:r>
          </w:p>
          <w:p w14:paraId="59DBC898" w14:textId="77777777" w:rsidR="001173B2" w:rsidRDefault="001173B2" w:rsidP="00A71365">
            <w:pPr>
              <w:pStyle w:val="Tablewriting"/>
              <w:rPr>
                <w:rFonts w:eastAsia="MS Mincho" w:cstheme="minorHAnsi"/>
              </w:rPr>
            </w:pPr>
          </w:p>
          <w:p w14:paraId="30053290"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2CDCD822" w14:textId="52717EFA" w:rsidR="009042AA" w:rsidRPr="00017AE6" w:rsidRDefault="009042AA" w:rsidP="00A71365">
            <w:pPr>
              <w:pStyle w:val="Tablewriting"/>
              <w:rPr>
                <w:rFonts w:eastAsia="MS Mincho" w:cstheme="minorHAnsi"/>
              </w:rPr>
            </w:pPr>
          </w:p>
        </w:tc>
      </w:tr>
      <w:tr w:rsidR="009042AA" w:rsidRPr="00017AE6" w14:paraId="575EEF7D" w14:textId="77777777" w:rsidTr="005821B1">
        <w:trPr>
          <w:trHeight w:val="99"/>
        </w:trPr>
        <w:tc>
          <w:tcPr>
            <w:tcW w:w="1003" w:type="pct"/>
          </w:tcPr>
          <w:p w14:paraId="49DFECF5" w14:textId="354EF589" w:rsidR="009042AA" w:rsidRPr="00017AE6" w:rsidRDefault="00225152" w:rsidP="00A71365">
            <w:pPr>
              <w:pStyle w:val="Tablewriting"/>
              <w:rPr>
                <w:rFonts w:eastAsia="MS Mincho" w:cstheme="minorHAnsi"/>
              </w:rPr>
            </w:pPr>
            <w:r w:rsidRPr="00B07BE1">
              <w:rPr>
                <w:rFonts w:eastAsia="MS Mincho"/>
              </w:rPr>
              <w:lastRenderedPageBreak/>
              <w:t xml:space="preserve">Glavas </w:t>
            </w:r>
            <w:r w:rsidR="006C6C9B">
              <w:rPr>
                <w:rFonts w:eastAsia="MS Mincho"/>
              </w:rPr>
              <w:t>(</w:t>
            </w:r>
            <w:r w:rsidRPr="00B07BE1">
              <w:rPr>
                <w:rFonts w:eastAsia="MS Mincho"/>
              </w:rPr>
              <w:t>2003</w:t>
            </w:r>
            <w:r w:rsidR="001C2E71">
              <w:rPr>
                <w:rFonts w:eastAsia="MS Mincho"/>
              </w:rPr>
              <w:t>a</w:t>
            </w:r>
            <w:r w:rsidR="006C6C9B">
              <w:rPr>
                <w:rFonts w:eastAsia="MS Mincho"/>
              </w:rPr>
              <w:t>)</w:t>
            </w:r>
          </w:p>
        </w:tc>
        <w:tc>
          <w:tcPr>
            <w:tcW w:w="235" w:type="pct"/>
          </w:tcPr>
          <w:p w14:paraId="2E924CD8" w14:textId="7ED85E6A"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D9ACC24" w14:textId="47337787" w:rsidR="009042AA" w:rsidRPr="00017AE6" w:rsidRDefault="00E55278" w:rsidP="00A71365">
            <w:pPr>
              <w:pStyle w:val="Tablewriting"/>
              <w:rPr>
                <w:rFonts w:eastAsia="MS Mincho" w:cstheme="minorHAnsi"/>
              </w:rPr>
            </w:pPr>
            <w:r w:rsidRPr="00E55278">
              <w:rPr>
                <w:rFonts w:eastAsia="MS Mincho" w:cstheme="minorHAnsi"/>
                <w:lang w:val="en-GB"/>
              </w:rPr>
              <w:t>Croatia</w:t>
            </w:r>
          </w:p>
        </w:tc>
        <w:tc>
          <w:tcPr>
            <w:tcW w:w="289" w:type="pct"/>
          </w:tcPr>
          <w:p w14:paraId="76965A77" w14:textId="7227D2DC" w:rsidR="009042AA" w:rsidRPr="00017AE6" w:rsidRDefault="001173B2" w:rsidP="00A71365">
            <w:pPr>
              <w:pStyle w:val="Tablewriting"/>
              <w:rPr>
                <w:rFonts w:eastAsia="MS Mincho" w:cstheme="minorHAnsi"/>
              </w:rPr>
            </w:pPr>
            <w:r>
              <w:rPr>
                <w:rFonts w:eastAsia="MS Mincho" w:cstheme="minorHAnsi"/>
              </w:rPr>
              <w:t>N=</w:t>
            </w:r>
            <w:r w:rsidR="00E32456">
              <w:rPr>
                <w:rFonts w:eastAsia="MS Mincho" w:cstheme="minorHAnsi"/>
              </w:rPr>
              <w:t>112</w:t>
            </w:r>
          </w:p>
        </w:tc>
        <w:tc>
          <w:tcPr>
            <w:tcW w:w="1045" w:type="pct"/>
          </w:tcPr>
          <w:p w14:paraId="2304100E" w14:textId="25569ADA" w:rsidR="00BD09F0" w:rsidRPr="00BD09F0" w:rsidRDefault="00BD09F0" w:rsidP="00A71365">
            <w:pPr>
              <w:pStyle w:val="Tablewriting"/>
              <w:rPr>
                <w:rFonts w:eastAsia="MS Mincho" w:cstheme="minorHAnsi"/>
              </w:rPr>
            </w:pPr>
            <w:r>
              <w:rPr>
                <w:rFonts w:eastAsia="MS Mincho" w:cstheme="minorHAnsi"/>
              </w:rPr>
              <w:t>H</w:t>
            </w:r>
            <w:r w:rsidRPr="00BD09F0">
              <w:rPr>
                <w:rFonts w:eastAsia="MS Mincho" w:cstheme="minorHAnsi"/>
              </w:rPr>
              <w:t>ealthcare professionals smoking at least 1 cpd. 26% had FTND score 6+</w:t>
            </w:r>
          </w:p>
          <w:p w14:paraId="01197BD3" w14:textId="52E02E2E" w:rsidR="009042AA" w:rsidRPr="00017AE6" w:rsidRDefault="00BD09F0" w:rsidP="00A71365">
            <w:pPr>
              <w:pStyle w:val="Tablewriting"/>
              <w:rPr>
                <w:rFonts w:eastAsia="MS Mincho" w:cstheme="minorHAnsi"/>
              </w:rPr>
            </w:pPr>
            <w:r w:rsidRPr="00BD09F0">
              <w:rPr>
                <w:rFonts w:eastAsia="MS Mincho" w:cstheme="minorHAnsi"/>
              </w:rPr>
              <w:t xml:space="preserve">66% female, average age 34, average </w:t>
            </w:r>
            <w:r>
              <w:rPr>
                <w:rFonts w:eastAsia="MS Mincho" w:cstheme="minorHAnsi"/>
              </w:rPr>
              <w:t>CPD</w:t>
            </w:r>
            <w:r w:rsidRPr="00BD09F0">
              <w:rPr>
                <w:rFonts w:eastAsia="MS Mincho" w:cstheme="minorHAnsi"/>
              </w:rPr>
              <w:t xml:space="preserve"> 24</w:t>
            </w:r>
            <w:r w:rsidR="00610FA2">
              <w:rPr>
                <w:rFonts w:eastAsia="MS Mincho" w:cstheme="minorHAnsi"/>
              </w:rPr>
              <w:t>.</w:t>
            </w:r>
          </w:p>
        </w:tc>
        <w:tc>
          <w:tcPr>
            <w:tcW w:w="1055" w:type="pct"/>
          </w:tcPr>
          <w:p w14:paraId="62985D08" w14:textId="2C198928" w:rsidR="00D73B82" w:rsidRPr="00D73B82" w:rsidRDefault="00D73B82" w:rsidP="00C324F3">
            <w:pPr>
              <w:pStyle w:val="Tablewriting"/>
              <w:numPr>
                <w:ilvl w:val="0"/>
                <w:numId w:val="126"/>
              </w:numPr>
              <w:rPr>
                <w:rFonts w:eastAsia="MS Mincho" w:cstheme="minorHAnsi"/>
              </w:rPr>
            </w:pPr>
            <w:r w:rsidRPr="00D73B82">
              <w:rPr>
                <w:rFonts w:eastAsia="MS Mincho" w:cstheme="minorHAnsi"/>
              </w:rPr>
              <w:t>Nicotine patch, 24 h, 25 mg/15 mg/8 mg starting dose depending on baseline cpd. 3 weeks</w:t>
            </w:r>
          </w:p>
          <w:p w14:paraId="0A35E244" w14:textId="63F610EA" w:rsidR="00D73B82" w:rsidRDefault="00D73B82" w:rsidP="00C324F3">
            <w:pPr>
              <w:pStyle w:val="Tablewriting"/>
              <w:numPr>
                <w:ilvl w:val="0"/>
                <w:numId w:val="126"/>
              </w:numPr>
              <w:rPr>
                <w:rFonts w:eastAsia="MS Mincho" w:cstheme="minorHAnsi"/>
              </w:rPr>
            </w:pPr>
            <w:r w:rsidRPr="00D73B82">
              <w:rPr>
                <w:rFonts w:eastAsia="MS Mincho" w:cstheme="minorHAnsi"/>
              </w:rPr>
              <w:t>Placebo patch</w:t>
            </w:r>
            <w:r w:rsidR="0076751B">
              <w:rPr>
                <w:rFonts w:eastAsia="MS Mincho" w:cstheme="minorHAnsi"/>
              </w:rPr>
              <w:t>.</w:t>
            </w:r>
          </w:p>
          <w:p w14:paraId="325EB9F3" w14:textId="77777777" w:rsidR="0076751B" w:rsidRPr="00D73B82" w:rsidRDefault="0076751B" w:rsidP="00A71365">
            <w:pPr>
              <w:pStyle w:val="Tablewriting"/>
              <w:ind w:left="360"/>
              <w:rPr>
                <w:rFonts w:eastAsia="MS Mincho" w:cstheme="minorHAnsi"/>
              </w:rPr>
            </w:pPr>
          </w:p>
          <w:p w14:paraId="49AFF30B" w14:textId="4A1AF293" w:rsidR="009042AA" w:rsidRPr="00017AE6" w:rsidRDefault="00D73B82" w:rsidP="00A71365">
            <w:pPr>
              <w:pStyle w:val="Tablewriting"/>
              <w:rPr>
                <w:rFonts w:eastAsia="MS Mincho" w:cstheme="minorHAnsi"/>
              </w:rPr>
            </w:pPr>
            <w:r w:rsidRPr="00D73B82">
              <w:rPr>
                <w:rFonts w:eastAsia="MS Mincho" w:cstheme="minorHAnsi"/>
              </w:rPr>
              <w:t>Level of support: low (visits to pick up patch at 7, 14, 21 days, no details about advice given)</w:t>
            </w:r>
            <w:r w:rsidR="0076751B">
              <w:rPr>
                <w:rFonts w:eastAsia="MS Mincho" w:cstheme="minorHAnsi"/>
              </w:rPr>
              <w:t>.</w:t>
            </w:r>
          </w:p>
        </w:tc>
        <w:tc>
          <w:tcPr>
            <w:tcW w:w="958" w:type="pct"/>
          </w:tcPr>
          <w:p w14:paraId="5140FF3E" w14:textId="67DC2A0D" w:rsidR="00302F8D" w:rsidRDefault="001173B2" w:rsidP="00A71365">
            <w:pPr>
              <w:pStyle w:val="Tablewriting"/>
              <w:rPr>
                <w:rFonts w:eastAsia="MS Mincho" w:cstheme="minorHAnsi"/>
              </w:rPr>
            </w:pPr>
            <w:r w:rsidRPr="00302F8D">
              <w:rPr>
                <w:rFonts w:eastAsia="MS Mincho" w:cstheme="minorHAnsi"/>
              </w:rPr>
              <w:t>Efficacy:</w:t>
            </w:r>
            <w:r w:rsidR="00302F8D" w:rsidRPr="00302F8D">
              <w:t xml:space="preserve"> </w:t>
            </w:r>
            <w:r w:rsidR="00302F8D" w:rsidRPr="00302F8D">
              <w:rPr>
                <w:rFonts w:eastAsia="MS Mincho" w:cstheme="minorHAnsi"/>
              </w:rPr>
              <w:t>Sustained abstinence (3 or fewer cigarettes/week) at 1 year (5-year abs</w:t>
            </w:r>
            <w:r w:rsidR="00836B64">
              <w:rPr>
                <w:rFonts w:eastAsia="MS Mincho" w:cstheme="minorHAnsi"/>
              </w:rPr>
              <w:t xml:space="preserve">tinence also reported, not </w:t>
            </w:r>
            <w:r w:rsidR="004664D2">
              <w:rPr>
                <w:rFonts w:eastAsia="MS Mincho" w:cstheme="minorHAnsi"/>
              </w:rPr>
              <w:t>used</w:t>
            </w:r>
            <w:r w:rsidR="004664D2" w:rsidRPr="00302F8D">
              <w:rPr>
                <w:rFonts w:eastAsia="MS Mincho" w:cstheme="minorHAnsi"/>
              </w:rPr>
              <w:t xml:space="preserve"> in</w:t>
            </w:r>
            <w:r w:rsidR="00302F8D" w:rsidRPr="00302F8D">
              <w:rPr>
                <w:rFonts w:eastAsia="MS Mincho" w:cstheme="minorHAnsi"/>
              </w:rPr>
              <w:t xml:space="preserve"> MA)</w:t>
            </w:r>
            <w:r w:rsidR="00302F8D">
              <w:rPr>
                <w:rFonts w:eastAsia="MS Mincho" w:cstheme="minorHAnsi"/>
              </w:rPr>
              <w:t>.</w:t>
            </w:r>
          </w:p>
          <w:p w14:paraId="5F90CEE9" w14:textId="77777777" w:rsidR="00302F8D" w:rsidRPr="00302F8D" w:rsidRDefault="00302F8D" w:rsidP="00A71365">
            <w:pPr>
              <w:pStyle w:val="Tablewriting"/>
              <w:rPr>
                <w:rFonts w:eastAsia="MS Mincho" w:cstheme="minorHAnsi"/>
              </w:rPr>
            </w:pPr>
          </w:p>
          <w:p w14:paraId="73C3DBFA" w14:textId="515EBCCD" w:rsidR="001173B2" w:rsidRPr="00302F8D" w:rsidRDefault="00302F8D" w:rsidP="00A71365">
            <w:pPr>
              <w:pStyle w:val="Tablewriting"/>
              <w:rPr>
                <w:rFonts w:eastAsia="MS Mincho" w:cstheme="minorHAnsi"/>
              </w:rPr>
            </w:pPr>
            <w:r w:rsidRPr="00302F8D">
              <w:rPr>
                <w:rFonts w:eastAsia="MS Mincho" w:cstheme="minorHAnsi"/>
              </w:rPr>
              <w:t>Validation: CO &lt; 11 ppm</w:t>
            </w:r>
            <w:r>
              <w:rPr>
                <w:rFonts w:eastAsia="MS Mincho" w:cstheme="minorHAnsi"/>
              </w:rPr>
              <w:t>.</w:t>
            </w:r>
          </w:p>
          <w:p w14:paraId="3BDAEC53" w14:textId="77777777" w:rsidR="001173B2" w:rsidRDefault="001173B2" w:rsidP="00A71365">
            <w:pPr>
              <w:pStyle w:val="Tablewriting"/>
              <w:rPr>
                <w:rFonts w:eastAsia="MS Mincho" w:cstheme="minorHAnsi"/>
              </w:rPr>
            </w:pPr>
          </w:p>
          <w:p w14:paraId="193F683C"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7E0BB8F9" w14:textId="308E8B8E" w:rsidR="009042AA" w:rsidRPr="00017AE6" w:rsidRDefault="009042AA" w:rsidP="00A71365">
            <w:pPr>
              <w:pStyle w:val="Tablewriting"/>
              <w:rPr>
                <w:rFonts w:eastAsia="MS Mincho" w:cstheme="minorHAnsi"/>
              </w:rPr>
            </w:pPr>
          </w:p>
        </w:tc>
      </w:tr>
      <w:tr w:rsidR="009042AA" w:rsidRPr="00017AE6" w14:paraId="73AD99A1" w14:textId="77777777" w:rsidTr="005821B1">
        <w:trPr>
          <w:trHeight w:val="99"/>
        </w:trPr>
        <w:tc>
          <w:tcPr>
            <w:tcW w:w="1003" w:type="pct"/>
          </w:tcPr>
          <w:p w14:paraId="70166147" w14:textId="55405059" w:rsidR="009042AA" w:rsidRPr="00017AE6" w:rsidRDefault="00225152" w:rsidP="00A71365">
            <w:pPr>
              <w:pStyle w:val="Tablewriting"/>
              <w:rPr>
                <w:rFonts w:eastAsia="MS Mincho" w:cstheme="minorHAnsi"/>
              </w:rPr>
            </w:pPr>
            <w:r w:rsidRPr="00B07BE1">
              <w:rPr>
                <w:rFonts w:eastAsia="MS Mincho"/>
              </w:rPr>
              <w:t xml:space="preserve">Hays </w:t>
            </w:r>
            <w:r w:rsidR="006C6C9B">
              <w:rPr>
                <w:rFonts w:eastAsia="MS Mincho"/>
              </w:rPr>
              <w:t>(</w:t>
            </w:r>
            <w:r w:rsidRPr="00B07BE1">
              <w:rPr>
                <w:rFonts w:eastAsia="MS Mincho"/>
              </w:rPr>
              <w:t>1999</w:t>
            </w:r>
            <w:r w:rsidR="006C6C9B">
              <w:rPr>
                <w:rFonts w:eastAsia="MS Mincho"/>
              </w:rPr>
              <w:t>)</w:t>
            </w:r>
          </w:p>
        </w:tc>
        <w:tc>
          <w:tcPr>
            <w:tcW w:w="235" w:type="pct"/>
          </w:tcPr>
          <w:p w14:paraId="259EDCF3" w14:textId="4DAB0171"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A8F2F5E" w14:textId="298AA528" w:rsidR="009042AA" w:rsidRPr="00017AE6" w:rsidRDefault="003A71A9" w:rsidP="00A71365">
            <w:pPr>
              <w:pStyle w:val="Tablewriting"/>
              <w:rPr>
                <w:rFonts w:eastAsia="MS Mincho" w:cstheme="minorHAnsi"/>
              </w:rPr>
            </w:pPr>
            <w:r w:rsidRPr="003A71A9">
              <w:rPr>
                <w:rFonts w:eastAsia="MS Mincho" w:cstheme="minorHAnsi"/>
              </w:rPr>
              <w:t xml:space="preserve">USA </w:t>
            </w:r>
          </w:p>
        </w:tc>
        <w:tc>
          <w:tcPr>
            <w:tcW w:w="289" w:type="pct"/>
          </w:tcPr>
          <w:p w14:paraId="421901DD" w14:textId="0B636D8C" w:rsidR="009042AA" w:rsidRPr="00017AE6" w:rsidRDefault="001173B2" w:rsidP="00A71365">
            <w:pPr>
              <w:pStyle w:val="Tablewriting"/>
              <w:rPr>
                <w:rFonts w:eastAsia="MS Mincho" w:cstheme="minorHAnsi"/>
              </w:rPr>
            </w:pPr>
            <w:r>
              <w:rPr>
                <w:rFonts w:eastAsia="MS Mincho" w:cstheme="minorHAnsi"/>
              </w:rPr>
              <w:t>N=</w:t>
            </w:r>
            <w:r w:rsidR="00610FA2">
              <w:rPr>
                <w:rFonts w:eastAsia="MS Mincho" w:cstheme="minorHAnsi"/>
              </w:rPr>
              <w:t>958</w:t>
            </w:r>
          </w:p>
        </w:tc>
        <w:tc>
          <w:tcPr>
            <w:tcW w:w="1045" w:type="pct"/>
          </w:tcPr>
          <w:p w14:paraId="1B7CA21D" w14:textId="59EF781F" w:rsidR="00610FA2" w:rsidRPr="00610FA2" w:rsidRDefault="00610FA2" w:rsidP="00A71365">
            <w:pPr>
              <w:pStyle w:val="Tablewriting"/>
              <w:rPr>
                <w:rFonts w:eastAsia="MS Mincho" w:cstheme="minorHAnsi"/>
              </w:rPr>
            </w:pPr>
            <w:r>
              <w:rPr>
                <w:rFonts w:eastAsia="MS Mincho" w:cstheme="minorHAnsi"/>
              </w:rPr>
              <w:t>S</w:t>
            </w:r>
            <w:r w:rsidRPr="00610FA2">
              <w:rPr>
                <w:rFonts w:eastAsia="MS Mincho" w:cstheme="minorHAnsi"/>
              </w:rPr>
              <w:t>mokers, &gt; 15</w:t>
            </w:r>
            <w:r>
              <w:rPr>
                <w:rFonts w:eastAsia="MS Mincho" w:cstheme="minorHAnsi"/>
              </w:rPr>
              <w:t xml:space="preserve"> CPD</w:t>
            </w:r>
            <w:r w:rsidRPr="00610FA2">
              <w:rPr>
                <w:rFonts w:eastAsia="MS Mincho" w:cstheme="minorHAnsi"/>
              </w:rPr>
              <w:t>, motivated to quit</w:t>
            </w:r>
            <w:r>
              <w:rPr>
                <w:rFonts w:eastAsia="MS Mincho" w:cstheme="minorHAnsi"/>
              </w:rPr>
              <w:t>.</w:t>
            </w:r>
          </w:p>
          <w:p w14:paraId="54695785" w14:textId="7EC35925" w:rsidR="009042AA" w:rsidRPr="00017AE6" w:rsidRDefault="00610FA2" w:rsidP="00A71365">
            <w:pPr>
              <w:pStyle w:val="Tablewriting"/>
              <w:rPr>
                <w:rFonts w:eastAsia="MS Mincho" w:cstheme="minorHAnsi"/>
              </w:rPr>
            </w:pPr>
            <w:r w:rsidRPr="00610FA2">
              <w:rPr>
                <w:rFonts w:eastAsia="MS Mincho" w:cstheme="minorHAnsi"/>
              </w:rPr>
              <w:t xml:space="preserve">50% female, average age 44, typically smoked 21 to 40 </w:t>
            </w:r>
            <w:r>
              <w:rPr>
                <w:rFonts w:eastAsia="MS Mincho" w:cstheme="minorHAnsi"/>
              </w:rPr>
              <w:t>CPD.</w:t>
            </w:r>
          </w:p>
        </w:tc>
        <w:tc>
          <w:tcPr>
            <w:tcW w:w="1055" w:type="pct"/>
          </w:tcPr>
          <w:p w14:paraId="741C27B9" w14:textId="2DE9D4C9" w:rsidR="00610FA2" w:rsidRPr="00610FA2" w:rsidRDefault="00610FA2" w:rsidP="00C324F3">
            <w:pPr>
              <w:pStyle w:val="Tablewriting"/>
              <w:numPr>
                <w:ilvl w:val="0"/>
                <w:numId w:val="127"/>
              </w:numPr>
              <w:rPr>
                <w:rFonts w:eastAsia="MS Mincho" w:cstheme="minorHAnsi"/>
              </w:rPr>
            </w:pPr>
            <w:r w:rsidRPr="00610FA2">
              <w:rPr>
                <w:rFonts w:eastAsia="MS Mincho" w:cstheme="minorHAnsi"/>
              </w:rPr>
              <w:t>Nicotine patches (22 mg, 24 h for 6 weeks) purchased by participants, open-label</w:t>
            </w:r>
            <w:r w:rsidR="001F41D8">
              <w:rPr>
                <w:rFonts w:eastAsia="MS Mincho" w:cstheme="minorHAnsi"/>
              </w:rPr>
              <w:t>.</w:t>
            </w:r>
          </w:p>
          <w:p w14:paraId="772CE707" w14:textId="7E94EB19" w:rsidR="00610FA2" w:rsidRPr="00610FA2" w:rsidRDefault="00610FA2" w:rsidP="00C324F3">
            <w:pPr>
              <w:pStyle w:val="Tablewriting"/>
              <w:numPr>
                <w:ilvl w:val="0"/>
                <w:numId w:val="127"/>
              </w:numPr>
              <w:rPr>
                <w:rFonts w:eastAsia="MS Mincho" w:cstheme="minorHAnsi"/>
              </w:rPr>
            </w:pPr>
            <w:r w:rsidRPr="00610FA2">
              <w:rPr>
                <w:rFonts w:eastAsia="MS Mincho" w:cstheme="minorHAnsi"/>
              </w:rPr>
              <w:t>Nicotine patches (22 mg, 24 h for 6 weeks) provided, double-blind</w:t>
            </w:r>
            <w:r w:rsidR="001F41D8">
              <w:rPr>
                <w:rFonts w:eastAsia="MS Mincho" w:cstheme="minorHAnsi"/>
              </w:rPr>
              <w:t>.</w:t>
            </w:r>
          </w:p>
          <w:p w14:paraId="10A7FD71" w14:textId="320C143F" w:rsidR="00610FA2" w:rsidRDefault="00610FA2" w:rsidP="00C324F3">
            <w:pPr>
              <w:pStyle w:val="Tablewriting"/>
              <w:numPr>
                <w:ilvl w:val="0"/>
                <w:numId w:val="127"/>
              </w:numPr>
              <w:rPr>
                <w:rFonts w:eastAsia="MS Mincho" w:cstheme="minorHAnsi"/>
              </w:rPr>
            </w:pPr>
            <w:r w:rsidRPr="00610FA2">
              <w:rPr>
                <w:rFonts w:eastAsia="MS Mincho" w:cstheme="minorHAnsi"/>
              </w:rPr>
              <w:t>Placebo patches provided</w:t>
            </w:r>
            <w:r w:rsidR="001F41D8">
              <w:rPr>
                <w:rFonts w:eastAsia="MS Mincho" w:cstheme="minorHAnsi"/>
              </w:rPr>
              <w:t>.</w:t>
            </w:r>
          </w:p>
          <w:p w14:paraId="6052ABB6" w14:textId="77777777" w:rsidR="001F41D8" w:rsidRPr="00610FA2" w:rsidRDefault="001F41D8" w:rsidP="00A71365">
            <w:pPr>
              <w:pStyle w:val="Tablewriting"/>
              <w:ind w:left="360"/>
              <w:rPr>
                <w:rFonts w:eastAsia="MS Mincho" w:cstheme="minorHAnsi"/>
              </w:rPr>
            </w:pPr>
          </w:p>
          <w:p w14:paraId="17B2A24F" w14:textId="77777777" w:rsidR="00610FA2" w:rsidRPr="00610FA2" w:rsidRDefault="00610FA2" w:rsidP="00A71365">
            <w:pPr>
              <w:pStyle w:val="Tablewriting"/>
              <w:rPr>
                <w:rFonts w:eastAsia="MS Mincho" w:cstheme="minorHAnsi"/>
              </w:rPr>
            </w:pPr>
            <w:r w:rsidRPr="00610FA2">
              <w:rPr>
                <w:rFonts w:eastAsia="MS Mincho" w:cstheme="minorHAnsi"/>
              </w:rPr>
              <w:t>The intervention replicated an OTC environment, with no counselling intervention and minimal study</w:t>
            </w:r>
          </w:p>
          <w:p w14:paraId="725D83A1" w14:textId="5BE6A334" w:rsidR="00610FA2" w:rsidRPr="00610FA2" w:rsidRDefault="00610FA2" w:rsidP="00A71365">
            <w:pPr>
              <w:pStyle w:val="Tablewriting"/>
              <w:rPr>
                <w:rFonts w:eastAsia="MS Mincho" w:cstheme="minorHAnsi"/>
              </w:rPr>
            </w:pPr>
            <w:r w:rsidRPr="00610FA2">
              <w:rPr>
                <w:rFonts w:eastAsia="MS Mincho" w:cstheme="minorHAnsi"/>
              </w:rPr>
              <w:t>recording. Weekly visits required for CO</w:t>
            </w:r>
            <w:r w:rsidR="001F41D8">
              <w:rPr>
                <w:rFonts w:eastAsia="MS Mincho" w:cstheme="minorHAnsi"/>
              </w:rPr>
              <w:t xml:space="preserve"> </w:t>
            </w:r>
            <w:r w:rsidRPr="00610FA2">
              <w:rPr>
                <w:rFonts w:eastAsia="MS Mincho" w:cstheme="minorHAnsi"/>
              </w:rPr>
              <w:t xml:space="preserve">measurement and adverse experience recording, but </w:t>
            </w:r>
            <w:r w:rsidR="001F41D8">
              <w:rPr>
                <w:rFonts w:eastAsia="MS Mincho" w:cstheme="minorHAnsi"/>
              </w:rPr>
              <w:t xml:space="preserve">study </w:t>
            </w:r>
            <w:r w:rsidRPr="00610FA2">
              <w:rPr>
                <w:rFonts w:eastAsia="MS Mincho" w:cstheme="minorHAnsi"/>
              </w:rPr>
              <w:t xml:space="preserve">sites were not in medical centres and there was </w:t>
            </w:r>
            <w:r w:rsidRPr="00610FA2">
              <w:rPr>
                <w:rFonts w:eastAsia="MS Mincho" w:cstheme="minorHAnsi"/>
              </w:rPr>
              <w:lastRenderedPageBreak/>
              <w:t xml:space="preserve">no advice, </w:t>
            </w:r>
            <w:r w:rsidR="004664D2" w:rsidRPr="00610FA2">
              <w:rPr>
                <w:rFonts w:eastAsia="MS Mincho" w:cstheme="minorHAnsi"/>
              </w:rPr>
              <w:t>counselling,</w:t>
            </w:r>
            <w:r w:rsidRPr="00610FA2">
              <w:rPr>
                <w:rFonts w:eastAsia="MS Mincho" w:cstheme="minorHAnsi"/>
              </w:rPr>
              <w:t xml:space="preserve"> or interaction with medical personnel</w:t>
            </w:r>
            <w:r w:rsidR="001F41D8">
              <w:rPr>
                <w:rFonts w:eastAsia="MS Mincho" w:cstheme="minorHAnsi"/>
              </w:rPr>
              <w:t>.</w:t>
            </w:r>
          </w:p>
          <w:p w14:paraId="684F7A28" w14:textId="088FAAE2" w:rsidR="009042AA" w:rsidRPr="00017AE6" w:rsidRDefault="00610FA2" w:rsidP="00A71365">
            <w:pPr>
              <w:pStyle w:val="Tablewriting"/>
              <w:rPr>
                <w:rFonts w:eastAsia="MS Mincho" w:cstheme="minorHAnsi"/>
              </w:rPr>
            </w:pPr>
            <w:r w:rsidRPr="00610FA2">
              <w:rPr>
                <w:rFonts w:eastAsia="MS Mincho" w:cstheme="minorHAnsi"/>
              </w:rPr>
              <w:t>Level of support: low</w:t>
            </w:r>
          </w:p>
        </w:tc>
        <w:tc>
          <w:tcPr>
            <w:tcW w:w="958" w:type="pct"/>
          </w:tcPr>
          <w:p w14:paraId="30C7DCE0" w14:textId="713B4763" w:rsidR="00910A42" w:rsidRDefault="001173B2" w:rsidP="00A71365">
            <w:pPr>
              <w:pStyle w:val="Tablewriting"/>
              <w:rPr>
                <w:rFonts w:eastAsia="MS Mincho" w:cstheme="minorHAnsi"/>
              </w:rPr>
            </w:pPr>
            <w:r w:rsidRPr="00910A42">
              <w:rPr>
                <w:rFonts w:eastAsia="MS Mincho" w:cstheme="minorHAnsi"/>
              </w:rPr>
              <w:lastRenderedPageBreak/>
              <w:t>Efficacy:</w:t>
            </w:r>
            <w:r w:rsidR="00910A42" w:rsidRPr="00910A42">
              <w:t xml:space="preserve"> </w:t>
            </w:r>
            <w:r w:rsidR="00910A42" w:rsidRPr="00910A42">
              <w:rPr>
                <w:rFonts w:eastAsia="MS Mincho" w:cstheme="minorHAnsi"/>
              </w:rPr>
              <w:t>Abstinence at 6 months (7-day PP)</w:t>
            </w:r>
            <w:r w:rsidR="00910A42">
              <w:rPr>
                <w:rFonts w:eastAsia="MS Mincho" w:cstheme="minorHAnsi"/>
              </w:rPr>
              <w:t>.</w:t>
            </w:r>
          </w:p>
          <w:p w14:paraId="369406DA" w14:textId="77777777" w:rsidR="00910A42" w:rsidRPr="00910A42" w:rsidRDefault="00910A42" w:rsidP="00A71365">
            <w:pPr>
              <w:pStyle w:val="Tablewriting"/>
              <w:rPr>
                <w:rFonts w:eastAsia="MS Mincho" w:cstheme="minorHAnsi"/>
              </w:rPr>
            </w:pPr>
          </w:p>
          <w:p w14:paraId="71DB942A" w14:textId="6FBDA142" w:rsidR="001173B2" w:rsidRPr="009B13E2" w:rsidRDefault="00910A42" w:rsidP="00A71365">
            <w:pPr>
              <w:pStyle w:val="Tablewriting"/>
              <w:rPr>
                <w:rFonts w:eastAsia="MS Mincho" w:cstheme="minorHAnsi"/>
                <w:u w:val="single"/>
              </w:rPr>
            </w:pPr>
            <w:r w:rsidRPr="00910A42">
              <w:rPr>
                <w:rFonts w:eastAsia="MS Mincho" w:cstheme="minorHAnsi"/>
              </w:rPr>
              <w:t xml:space="preserve">Validation: CO </w:t>
            </w:r>
            <w:r w:rsidR="00EE0CEE" w:rsidRPr="001A2671">
              <w:rPr>
                <w:rFonts w:eastAsia="MS Mincho" w:cstheme="minorHAnsi"/>
              </w:rPr>
              <w:t>≤</w:t>
            </w:r>
            <w:r w:rsidRPr="00910A42">
              <w:rPr>
                <w:rFonts w:eastAsia="MS Mincho" w:cstheme="minorHAnsi"/>
              </w:rPr>
              <w:t xml:space="preserve"> 8 ppm</w:t>
            </w:r>
            <w:r>
              <w:rPr>
                <w:rFonts w:eastAsia="MS Mincho" w:cstheme="minorHAnsi"/>
              </w:rPr>
              <w:t>.</w:t>
            </w:r>
          </w:p>
          <w:p w14:paraId="0FD01409" w14:textId="77777777" w:rsidR="001173B2" w:rsidRDefault="001173B2" w:rsidP="00A71365">
            <w:pPr>
              <w:pStyle w:val="Tablewriting"/>
              <w:rPr>
                <w:rFonts w:eastAsia="MS Mincho" w:cstheme="minorHAnsi"/>
              </w:rPr>
            </w:pPr>
          </w:p>
          <w:p w14:paraId="7922BB70"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4C0E3F80" w14:textId="447DC0E2" w:rsidR="009042AA" w:rsidRPr="00017AE6" w:rsidRDefault="009042AA" w:rsidP="00A71365">
            <w:pPr>
              <w:pStyle w:val="Tablewriting"/>
              <w:rPr>
                <w:rFonts w:eastAsia="MS Mincho" w:cstheme="minorHAnsi"/>
              </w:rPr>
            </w:pPr>
          </w:p>
        </w:tc>
      </w:tr>
      <w:tr w:rsidR="009042AA" w:rsidRPr="00017AE6" w14:paraId="5A457D65" w14:textId="77777777" w:rsidTr="005821B1">
        <w:trPr>
          <w:trHeight w:val="2778"/>
        </w:trPr>
        <w:tc>
          <w:tcPr>
            <w:tcW w:w="1003" w:type="pct"/>
          </w:tcPr>
          <w:p w14:paraId="65EBA0A2" w14:textId="70069802" w:rsidR="009042AA" w:rsidRPr="00017AE6" w:rsidRDefault="00225152" w:rsidP="00A71365">
            <w:pPr>
              <w:pStyle w:val="Tablewriting"/>
              <w:rPr>
                <w:rFonts w:eastAsia="MS Mincho" w:cstheme="minorHAnsi"/>
              </w:rPr>
            </w:pPr>
            <w:r w:rsidRPr="00B07BE1">
              <w:rPr>
                <w:rFonts w:eastAsia="MS Mincho"/>
              </w:rPr>
              <w:t xml:space="preserve">Heydari </w:t>
            </w:r>
            <w:r w:rsidR="006C6C9B">
              <w:rPr>
                <w:rFonts w:eastAsia="MS Mincho"/>
              </w:rPr>
              <w:t>(</w:t>
            </w:r>
            <w:r w:rsidRPr="00B07BE1">
              <w:rPr>
                <w:rFonts w:eastAsia="MS Mincho"/>
              </w:rPr>
              <w:t>2012</w:t>
            </w:r>
            <w:r w:rsidR="006C6C9B">
              <w:rPr>
                <w:rFonts w:eastAsia="MS Mincho"/>
              </w:rPr>
              <w:t>)</w:t>
            </w:r>
          </w:p>
        </w:tc>
        <w:tc>
          <w:tcPr>
            <w:tcW w:w="235" w:type="pct"/>
          </w:tcPr>
          <w:p w14:paraId="1B7E5D77" w14:textId="34632C7C"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9D4664F" w14:textId="2443D894" w:rsidR="009042AA" w:rsidRPr="00017AE6" w:rsidRDefault="00BB5090" w:rsidP="00A71365">
            <w:pPr>
              <w:pStyle w:val="Tablewriting"/>
              <w:rPr>
                <w:rFonts w:eastAsia="MS Mincho" w:cstheme="minorHAnsi"/>
              </w:rPr>
            </w:pPr>
            <w:r w:rsidRPr="00BB5090">
              <w:rPr>
                <w:rFonts w:eastAsia="MS Mincho" w:cstheme="minorHAnsi"/>
              </w:rPr>
              <w:t>Iran</w:t>
            </w:r>
          </w:p>
        </w:tc>
        <w:tc>
          <w:tcPr>
            <w:tcW w:w="289" w:type="pct"/>
          </w:tcPr>
          <w:p w14:paraId="4465DADC" w14:textId="26FB1643" w:rsidR="009042AA" w:rsidRPr="00017AE6" w:rsidRDefault="001173B2" w:rsidP="00A71365">
            <w:pPr>
              <w:pStyle w:val="Tablewriting"/>
              <w:rPr>
                <w:rFonts w:eastAsia="MS Mincho" w:cstheme="minorHAnsi"/>
              </w:rPr>
            </w:pPr>
            <w:r>
              <w:rPr>
                <w:rFonts w:eastAsia="MS Mincho" w:cstheme="minorHAnsi"/>
              </w:rPr>
              <w:t>N=</w:t>
            </w:r>
            <w:r w:rsidR="00763925">
              <w:rPr>
                <w:rFonts w:eastAsia="MS Mincho" w:cstheme="minorHAnsi"/>
              </w:rPr>
              <w:t>272</w:t>
            </w:r>
          </w:p>
        </w:tc>
        <w:tc>
          <w:tcPr>
            <w:tcW w:w="1045" w:type="pct"/>
          </w:tcPr>
          <w:p w14:paraId="00271B26" w14:textId="6D024E31" w:rsidR="00763925" w:rsidRPr="00763925" w:rsidRDefault="00A1347D" w:rsidP="00A71365">
            <w:pPr>
              <w:pStyle w:val="Tablewriting"/>
              <w:rPr>
                <w:rFonts w:eastAsia="MS Mincho" w:cstheme="minorHAnsi"/>
              </w:rPr>
            </w:pPr>
            <w:r>
              <w:rPr>
                <w:rFonts w:eastAsia="MS Mincho" w:cstheme="minorHAnsi"/>
              </w:rPr>
              <w:t>T</w:t>
            </w:r>
            <w:r w:rsidR="00763925" w:rsidRPr="00763925">
              <w:rPr>
                <w:rFonts w:eastAsia="MS Mincho" w:cstheme="minorHAnsi"/>
              </w:rPr>
              <w:t>reatment-seeking participants: Brief advice (91), NRT (92), varenicline (89).</w:t>
            </w:r>
          </w:p>
          <w:p w14:paraId="128A14EC" w14:textId="77492F55" w:rsidR="009042AA" w:rsidRPr="00017AE6" w:rsidRDefault="00763925" w:rsidP="00A71365">
            <w:pPr>
              <w:pStyle w:val="Tablewriting"/>
              <w:rPr>
                <w:rFonts w:eastAsia="MS Mincho" w:cstheme="minorHAnsi"/>
              </w:rPr>
            </w:pPr>
            <w:r w:rsidRPr="00763925">
              <w:rPr>
                <w:rFonts w:eastAsia="MS Mincho" w:cstheme="minorHAnsi"/>
              </w:rPr>
              <w:t>41.2% women, mean age 42.5 years, mean FTND 5.5</w:t>
            </w:r>
          </w:p>
        </w:tc>
        <w:tc>
          <w:tcPr>
            <w:tcW w:w="1055" w:type="pct"/>
          </w:tcPr>
          <w:p w14:paraId="669F3972" w14:textId="77777777" w:rsidR="009042AA" w:rsidRDefault="00A1347D" w:rsidP="00C324F3">
            <w:pPr>
              <w:pStyle w:val="Tablewriting"/>
              <w:numPr>
                <w:ilvl w:val="0"/>
                <w:numId w:val="128"/>
              </w:numPr>
              <w:rPr>
                <w:rFonts w:eastAsia="MS Mincho" w:cstheme="minorHAnsi"/>
              </w:rPr>
            </w:pPr>
            <w:r w:rsidRPr="00BE3B13">
              <w:rPr>
                <w:rFonts w:eastAsia="MS Mincho" w:cstheme="minorHAnsi"/>
              </w:rPr>
              <w:t>NRT: 8 weeks of 15 mg/24 h NRT patches</w:t>
            </w:r>
            <w:r w:rsidR="00860088">
              <w:rPr>
                <w:rFonts w:eastAsia="MS Mincho" w:cstheme="minorHAnsi"/>
              </w:rPr>
              <w:t>.</w:t>
            </w:r>
          </w:p>
          <w:p w14:paraId="08F9682D" w14:textId="0BFFE08F" w:rsidR="00860088" w:rsidRPr="00860088" w:rsidRDefault="00860088" w:rsidP="00C324F3">
            <w:pPr>
              <w:pStyle w:val="Tablewriting"/>
              <w:numPr>
                <w:ilvl w:val="0"/>
                <w:numId w:val="128"/>
              </w:numPr>
              <w:rPr>
                <w:rFonts w:eastAsia="MS Mincho" w:cstheme="minorHAnsi"/>
              </w:rPr>
            </w:pPr>
            <w:r w:rsidRPr="00860088">
              <w:rPr>
                <w:rFonts w:eastAsia="MS Mincho" w:cstheme="minorHAnsi"/>
              </w:rPr>
              <w:t>8 weeks of 1 mg x 2/day varenicline (titrated 1st week)</w:t>
            </w:r>
            <w:r w:rsidR="0002065F">
              <w:rPr>
                <w:rFonts w:eastAsia="MS Mincho" w:cstheme="minorHAnsi"/>
              </w:rPr>
              <w:t>.</w:t>
            </w:r>
          </w:p>
          <w:p w14:paraId="631E28D0" w14:textId="72568279" w:rsidR="00860088" w:rsidRDefault="00860088" w:rsidP="00C324F3">
            <w:pPr>
              <w:pStyle w:val="Tablewriting"/>
              <w:numPr>
                <w:ilvl w:val="0"/>
                <w:numId w:val="128"/>
              </w:numPr>
              <w:rPr>
                <w:rFonts w:eastAsia="MS Mincho" w:cstheme="minorHAnsi"/>
              </w:rPr>
            </w:pPr>
            <w:r w:rsidRPr="00860088">
              <w:rPr>
                <w:rFonts w:eastAsia="MS Mincho" w:cstheme="minorHAnsi"/>
              </w:rPr>
              <w:t>Control group: no pharmacotherapy</w:t>
            </w:r>
            <w:r w:rsidR="0002065F">
              <w:rPr>
                <w:rFonts w:eastAsia="MS Mincho" w:cstheme="minorHAnsi"/>
              </w:rPr>
              <w:t>.</w:t>
            </w:r>
          </w:p>
          <w:p w14:paraId="327A6EED" w14:textId="77777777" w:rsidR="0002065F" w:rsidRPr="00860088" w:rsidRDefault="0002065F" w:rsidP="00A71365">
            <w:pPr>
              <w:pStyle w:val="Tablewriting"/>
              <w:ind w:left="360"/>
              <w:rPr>
                <w:rFonts w:eastAsia="MS Mincho" w:cstheme="minorHAnsi"/>
              </w:rPr>
            </w:pPr>
          </w:p>
          <w:p w14:paraId="565163E5" w14:textId="1DFE4DA5" w:rsidR="009042AA" w:rsidRPr="00017AE6" w:rsidRDefault="00860088" w:rsidP="00A71365">
            <w:pPr>
              <w:pStyle w:val="Tablewriting"/>
              <w:ind w:left="360"/>
              <w:rPr>
                <w:rFonts w:eastAsia="MS Mincho" w:cstheme="minorHAnsi"/>
              </w:rPr>
            </w:pPr>
            <w:r w:rsidRPr="00860088">
              <w:rPr>
                <w:rFonts w:eastAsia="MS Mincho" w:cstheme="minorHAnsi"/>
              </w:rPr>
              <w:t>Level of support: high (all received brief (5 mins) education and counselling at 4 x weekly sessions.)</w:t>
            </w:r>
            <w:r w:rsidR="0002065F">
              <w:rPr>
                <w:rFonts w:eastAsia="MS Mincho" w:cstheme="minorHAnsi"/>
              </w:rPr>
              <w:t>.</w:t>
            </w:r>
          </w:p>
        </w:tc>
        <w:tc>
          <w:tcPr>
            <w:tcW w:w="958" w:type="pct"/>
          </w:tcPr>
          <w:p w14:paraId="40C2D546" w14:textId="3A6D02E9" w:rsidR="001173B2" w:rsidRPr="0081456E" w:rsidRDefault="001173B2" w:rsidP="00A71365">
            <w:pPr>
              <w:pStyle w:val="Tablewriting"/>
              <w:rPr>
                <w:rFonts w:eastAsia="MS Mincho" w:cstheme="minorHAnsi"/>
              </w:rPr>
            </w:pPr>
            <w:r w:rsidRPr="0081456E">
              <w:rPr>
                <w:rFonts w:eastAsia="MS Mincho" w:cstheme="minorHAnsi"/>
              </w:rPr>
              <w:t>Efficacy:</w:t>
            </w:r>
            <w:r w:rsidR="0081456E" w:rsidRPr="0081456E">
              <w:t xml:space="preserve"> </w:t>
            </w:r>
            <w:r w:rsidR="0081456E" w:rsidRPr="0081456E">
              <w:rPr>
                <w:rFonts w:eastAsia="MS Mincho" w:cstheme="minorHAnsi"/>
              </w:rPr>
              <w:t>12 months PPA, in person or by phone, verified by expired CO (cut-o</w:t>
            </w:r>
            <w:r w:rsidR="00125A58">
              <w:rPr>
                <w:rFonts w:eastAsia="MS Mincho" w:cstheme="minorHAnsi"/>
              </w:rPr>
              <w:t>ff</w:t>
            </w:r>
            <w:r w:rsidR="0081456E" w:rsidRPr="0081456E">
              <w:rPr>
                <w:rFonts w:eastAsia="MS Mincho" w:cstheme="minorHAnsi"/>
              </w:rPr>
              <w:t xml:space="preserve"> value not given</w:t>
            </w:r>
            <w:r w:rsidR="00125A58">
              <w:rPr>
                <w:rFonts w:eastAsia="MS Mincho" w:cstheme="minorHAnsi"/>
              </w:rPr>
              <w:t>)</w:t>
            </w:r>
          </w:p>
          <w:p w14:paraId="0D7CB99F" w14:textId="77777777" w:rsidR="001173B2" w:rsidRDefault="001173B2" w:rsidP="00A71365">
            <w:pPr>
              <w:pStyle w:val="Tablewriting"/>
              <w:rPr>
                <w:rFonts w:eastAsia="MS Mincho" w:cstheme="minorHAnsi"/>
              </w:rPr>
            </w:pPr>
          </w:p>
          <w:p w14:paraId="1F43F547"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0B7230F2" w14:textId="0D257053" w:rsidR="009042AA" w:rsidRPr="00017AE6" w:rsidRDefault="009042AA" w:rsidP="00A71365">
            <w:pPr>
              <w:pStyle w:val="Tablewriting"/>
              <w:rPr>
                <w:rFonts w:eastAsia="MS Mincho" w:cstheme="minorHAnsi"/>
              </w:rPr>
            </w:pPr>
          </w:p>
        </w:tc>
      </w:tr>
      <w:tr w:rsidR="009042AA" w:rsidRPr="00017AE6" w14:paraId="072BCCA6" w14:textId="77777777" w:rsidTr="005821B1">
        <w:trPr>
          <w:trHeight w:val="99"/>
        </w:trPr>
        <w:tc>
          <w:tcPr>
            <w:tcW w:w="1003" w:type="pct"/>
          </w:tcPr>
          <w:p w14:paraId="36E87E1C" w14:textId="2331161B" w:rsidR="009042AA" w:rsidRPr="00017AE6" w:rsidRDefault="00553B86" w:rsidP="00A71365">
            <w:pPr>
              <w:pStyle w:val="Tablewriting"/>
              <w:rPr>
                <w:rFonts w:eastAsia="MS Mincho" w:cstheme="minorHAnsi"/>
              </w:rPr>
            </w:pPr>
            <w:r w:rsidRPr="00B07BE1">
              <w:rPr>
                <w:rFonts w:eastAsia="MS Mincho"/>
              </w:rPr>
              <w:t xml:space="preserve">Lerman </w:t>
            </w:r>
            <w:r w:rsidR="006C6C9B">
              <w:rPr>
                <w:rFonts w:eastAsia="MS Mincho"/>
              </w:rPr>
              <w:t>(</w:t>
            </w:r>
            <w:r w:rsidRPr="00B07BE1">
              <w:rPr>
                <w:rFonts w:eastAsia="MS Mincho"/>
              </w:rPr>
              <w:t>2015</w:t>
            </w:r>
            <w:r w:rsidR="006C6C9B">
              <w:rPr>
                <w:rFonts w:eastAsia="MS Mincho"/>
              </w:rPr>
              <w:t>)</w:t>
            </w:r>
          </w:p>
        </w:tc>
        <w:tc>
          <w:tcPr>
            <w:tcW w:w="235" w:type="pct"/>
          </w:tcPr>
          <w:p w14:paraId="103AB9AA" w14:textId="5BAE621E"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7F158CB" w14:textId="58C6EB1C" w:rsidR="009042AA" w:rsidRPr="00017AE6" w:rsidRDefault="00E94EDD" w:rsidP="00A71365">
            <w:pPr>
              <w:pStyle w:val="Tablewriting"/>
              <w:rPr>
                <w:rFonts w:eastAsia="MS Mincho" w:cstheme="minorHAnsi"/>
              </w:rPr>
            </w:pPr>
            <w:r w:rsidRPr="00E94EDD">
              <w:rPr>
                <w:rFonts w:eastAsia="MS Mincho" w:cstheme="minorHAnsi"/>
              </w:rPr>
              <w:t>USA and Canada</w:t>
            </w:r>
          </w:p>
        </w:tc>
        <w:tc>
          <w:tcPr>
            <w:tcW w:w="289" w:type="pct"/>
          </w:tcPr>
          <w:p w14:paraId="40E839C4" w14:textId="028E60F3" w:rsidR="009042AA" w:rsidRPr="00017AE6" w:rsidRDefault="001173B2" w:rsidP="00A71365">
            <w:pPr>
              <w:pStyle w:val="Tablewriting"/>
              <w:rPr>
                <w:rFonts w:eastAsia="MS Mincho" w:cstheme="minorHAnsi"/>
              </w:rPr>
            </w:pPr>
            <w:r>
              <w:rPr>
                <w:rFonts w:eastAsia="MS Mincho" w:cstheme="minorHAnsi"/>
              </w:rPr>
              <w:t>N=</w:t>
            </w:r>
            <w:r w:rsidR="00E94EDD">
              <w:rPr>
                <w:rFonts w:eastAsia="MS Mincho" w:cstheme="minorHAnsi"/>
              </w:rPr>
              <w:t>1246</w:t>
            </w:r>
          </w:p>
        </w:tc>
        <w:tc>
          <w:tcPr>
            <w:tcW w:w="1045" w:type="pct"/>
          </w:tcPr>
          <w:p w14:paraId="32669D12" w14:textId="3A7181AB" w:rsidR="00AB6AA5" w:rsidRPr="00AB6AA5" w:rsidRDefault="00AB6AA5" w:rsidP="00A71365">
            <w:pPr>
              <w:pStyle w:val="Tablewriting"/>
              <w:rPr>
                <w:rFonts w:eastAsia="MS Mincho" w:cstheme="minorHAnsi"/>
              </w:rPr>
            </w:pPr>
            <w:r w:rsidRPr="00AB6AA5">
              <w:rPr>
                <w:rFonts w:eastAsia="MS Mincho" w:cstheme="minorHAnsi"/>
              </w:rPr>
              <w:t>(826 to relevant arms) smokers of at least 10</w:t>
            </w:r>
            <w:r>
              <w:rPr>
                <w:rFonts w:eastAsia="MS Mincho" w:cstheme="minorHAnsi"/>
              </w:rPr>
              <w:t xml:space="preserve"> CPD</w:t>
            </w:r>
            <w:r w:rsidRPr="00AB6AA5">
              <w:rPr>
                <w:rFonts w:eastAsia="MS Mincho" w:cstheme="minorHAnsi"/>
              </w:rPr>
              <w:t xml:space="preserve"> for at least 6 months</w:t>
            </w:r>
          </w:p>
          <w:p w14:paraId="27FCDBC3" w14:textId="2CFCCC87" w:rsidR="009042AA" w:rsidRPr="00017AE6" w:rsidRDefault="00AB6AA5" w:rsidP="00A71365">
            <w:pPr>
              <w:pStyle w:val="Tablewriting"/>
              <w:rPr>
                <w:rFonts w:eastAsia="MS Mincho" w:cstheme="minorHAnsi"/>
              </w:rPr>
            </w:pPr>
            <w:r w:rsidRPr="00AB6AA5">
              <w:rPr>
                <w:rFonts w:eastAsia="MS Mincho" w:cstheme="minorHAnsi"/>
              </w:rPr>
              <w:t xml:space="preserve">44% female, average age 46, average </w:t>
            </w:r>
            <w:r>
              <w:rPr>
                <w:rFonts w:eastAsia="MS Mincho" w:cstheme="minorHAnsi"/>
              </w:rPr>
              <w:t xml:space="preserve">CPD </w:t>
            </w:r>
            <w:r w:rsidRPr="00AB6AA5">
              <w:rPr>
                <w:rFonts w:eastAsia="MS Mincho" w:cstheme="minorHAnsi"/>
              </w:rPr>
              <w:t>18, mean FTND 5.3</w:t>
            </w:r>
            <w:r>
              <w:rPr>
                <w:rFonts w:eastAsia="MS Mincho" w:cstheme="minorHAnsi"/>
              </w:rPr>
              <w:t>.</w:t>
            </w:r>
          </w:p>
        </w:tc>
        <w:tc>
          <w:tcPr>
            <w:tcW w:w="1055" w:type="pct"/>
          </w:tcPr>
          <w:p w14:paraId="1421C05F" w14:textId="6DC034EF" w:rsidR="00BF0DE5" w:rsidRPr="00BF0DE5" w:rsidRDefault="00BF0DE5" w:rsidP="00C324F3">
            <w:pPr>
              <w:pStyle w:val="Tablewriting"/>
              <w:numPr>
                <w:ilvl w:val="0"/>
                <w:numId w:val="129"/>
              </w:numPr>
              <w:rPr>
                <w:rFonts w:eastAsia="MS Mincho" w:cstheme="minorHAnsi"/>
              </w:rPr>
            </w:pPr>
            <w:r w:rsidRPr="00BF0DE5">
              <w:rPr>
                <w:rFonts w:eastAsia="MS Mincho" w:cstheme="minorHAnsi"/>
              </w:rPr>
              <w:t>NRT patch, 11 weeks. 21 mg for 6 weeks, 14 mg for 2 weeks, 7 mg for 3 weeks</w:t>
            </w:r>
            <w:r w:rsidR="00895917">
              <w:rPr>
                <w:rFonts w:eastAsia="MS Mincho" w:cstheme="minorHAnsi"/>
              </w:rPr>
              <w:t>.</w:t>
            </w:r>
          </w:p>
          <w:p w14:paraId="6DDDC09E" w14:textId="0CE26D70" w:rsidR="00BF0DE5" w:rsidRDefault="00BF0DE5" w:rsidP="00C324F3">
            <w:pPr>
              <w:pStyle w:val="Tablewriting"/>
              <w:numPr>
                <w:ilvl w:val="0"/>
                <w:numId w:val="129"/>
              </w:numPr>
              <w:rPr>
                <w:rFonts w:eastAsia="MS Mincho" w:cstheme="minorHAnsi"/>
              </w:rPr>
            </w:pPr>
            <w:r w:rsidRPr="00BF0DE5">
              <w:rPr>
                <w:rFonts w:eastAsia="MS Mincho" w:cstheme="minorHAnsi"/>
              </w:rPr>
              <w:t>Placebo</w:t>
            </w:r>
            <w:r w:rsidR="00895917">
              <w:rPr>
                <w:rFonts w:eastAsia="MS Mincho" w:cstheme="minorHAnsi"/>
              </w:rPr>
              <w:t>.</w:t>
            </w:r>
          </w:p>
          <w:p w14:paraId="731AFF47" w14:textId="77777777" w:rsidR="00895917" w:rsidRPr="00BF0DE5" w:rsidRDefault="00895917" w:rsidP="00A71365">
            <w:pPr>
              <w:pStyle w:val="Tablewriting"/>
              <w:ind w:left="360"/>
              <w:rPr>
                <w:rFonts w:eastAsia="MS Mincho" w:cstheme="minorHAnsi"/>
              </w:rPr>
            </w:pPr>
          </w:p>
          <w:p w14:paraId="6F3371DE" w14:textId="77777777" w:rsidR="00BF0DE5" w:rsidRPr="00BF0DE5" w:rsidRDefault="00BF0DE5" w:rsidP="00A71365">
            <w:pPr>
              <w:pStyle w:val="Tablewriting"/>
              <w:rPr>
                <w:rFonts w:eastAsia="MS Mincho" w:cstheme="minorHAnsi"/>
              </w:rPr>
            </w:pPr>
            <w:r w:rsidRPr="00BF0DE5">
              <w:rPr>
                <w:rFonts w:eastAsia="MS Mincho" w:cstheme="minorHAnsi"/>
              </w:rPr>
              <w:t>Level of support: high (1 h in-person pre-quit group behavioural counselling, brief (˜15 minute) telephone</w:t>
            </w:r>
          </w:p>
          <w:p w14:paraId="2A878D3A" w14:textId="23A4573F" w:rsidR="009042AA" w:rsidRPr="00017AE6" w:rsidRDefault="00BF0DE5" w:rsidP="00A71365">
            <w:pPr>
              <w:pStyle w:val="Tablewriting"/>
              <w:rPr>
                <w:rFonts w:eastAsia="MS Mincho" w:cstheme="minorHAnsi"/>
              </w:rPr>
            </w:pPr>
            <w:r w:rsidRPr="00BF0DE5">
              <w:rPr>
                <w:rFonts w:eastAsia="MS Mincho" w:cstheme="minorHAnsi"/>
              </w:rPr>
              <w:t>counselling at weeks 0, 1, 4, 8</w:t>
            </w:r>
            <w:r>
              <w:rPr>
                <w:rFonts w:ascii="Times New Roman" w:hAnsi="Times New Roman"/>
                <w:sz w:val="18"/>
                <w:szCs w:val="18"/>
                <w:lang w:val="en-GB"/>
              </w:rPr>
              <w:t>)</w:t>
            </w:r>
          </w:p>
        </w:tc>
        <w:tc>
          <w:tcPr>
            <w:tcW w:w="958" w:type="pct"/>
          </w:tcPr>
          <w:p w14:paraId="064E2DC1" w14:textId="6A7E5782" w:rsidR="00895917" w:rsidRDefault="001173B2" w:rsidP="00A71365">
            <w:pPr>
              <w:pStyle w:val="Tablewriting"/>
              <w:rPr>
                <w:rFonts w:eastAsia="MS Mincho" w:cstheme="minorHAnsi"/>
              </w:rPr>
            </w:pPr>
            <w:r w:rsidRPr="00895917">
              <w:rPr>
                <w:rFonts w:eastAsia="MS Mincho" w:cstheme="minorHAnsi"/>
                <w:u w:val="single"/>
              </w:rPr>
              <w:t>Efficacy:</w:t>
            </w:r>
            <w:r w:rsidR="00895917" w:rsidRPr="00895917">
              <w:rPr>
                <w:rFonts w:eastAsia="MS Mincho" w:cstheme="minorHAnsi"/>
                <w:u w:val="single"/>
              </w:rPr>
              <w:t xml:space="preserve"> </w:t>
            </w:r>
            <w:r w:rsidR="00895917" w:rsidRPr="00895917">
              <w:rPr>
                <w:rFonts w:eastAsia="MS Mincho" w:cstheme="minorHAnsi"/>
              </w:rPr>
              <w:t>7-day PP at 12 months</w:t>
            </w:r>
            <w:r w:rsidR="00895917">
              <w:rPr>
                <w:rFonts w:eastAsia="MS Mincho" w:cstheme="minorHAnsi"/>
              </w:rPr>
              <w:t>.</w:t>
            </w:r>
          </w:p>
          <w:p w14:paraId="13295C31" w14:textId="77777777" w:rsidR="00895917" w:rsidRPr="00895917" w:rsidRDefault="00895917" w:rsidP="00A71365">
            <w:pPr>
              <w:pStyle w:val="Tablewriting"/>
              <w:rPr>
                <w:rFonts w:eastAsia="MS Mincho" w:cstheme="minorHAnsi"/>
              </w:rPr>
            </w:pPr>
          </w:p>
          <w:p w14:paraId="61CF6099" w14:textId="003E0542" w:rsidR="001173B2" w:rsidRPr="00895917" w:rsidRDefault="00895917" w:rsidP="00A71365">
            <w:pPr>
              <w:pStyle w:val="Tablewriting"/>
              <w:rPr>
                <w:rFonts w:eastAsia="MS Mincho" w:cstheme="minorHAnsi"/>
              </w:rPr>
            </w:pPr>
            <w:r w:rsidRPr="00895917">
              <w:rPr>
                <w:rFonts w:eastAsia="MS Mincho" w:cstheme="minorHAnsi"/>
              </w:rPr>
              <w:t>Validation: CO &lt; 8 ppm</w:t>
            </w:r>
          </w:p>
          <w:p w14:paraId="6BB9A6AB" w14:textId="77777777" w:rsidR="001173B2" w:rsidRPr="00895917" w:rsidRDefault="001173B2" w:rsidP="00A71365">
            <w:pPr>
              <w:pStyle w:val="Tablewriting"/>
              <w:rPr>
                <w:rFonts w:eastAsia="MS Mincho" w:cstheme="minorHAnsi"/>
                <w:u w:val="single"/>
              </w:rPr>
            </w:pPr>
          </w:p>
          <w:p w14:paraId="646D6E2F"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2D41A531" w14:textId="5528EF38" w:rsidR="009042AA" w:rsidRPr="00895917" w:rsidRDefault="009042AA" w:rsidP="00A71365">
            <w:pPr>
              <w:pStyle w:val="Tablewriting"/>
              <w:rPr>
                <w:rFonts w:eastAsia="MS Mincho" w:cstheme="minorHAnsi"/>
                <w:u w:val="single"/>
              </w:rPr>
            </w:pPr>
          </w:p>
        </w:tc>
      </w:tr>
      <w:tr w:rsidR="009042AA" w:rsidRPr="00017AE6" w14:paraId="290FFA51" w14:textId="77777777" w:rsidTr="005821B1">
        <w:trPr>
          <w:trHeight w:val="99"/>
        </w:trPr>
        <w:tc>
          <w:tcPr>
            <w:tcW w:w="1003" w:type="pct"/>
          </w:tcPr>
          <w:p w14:paraId="3656A405" w14:textId="68823141" w:rsidR="009042AA" w:rsidRPr="00017AE6" w:rsidRDefault="00553B86" w:rsidP="00A71365">
            <w:pPr>
              <w:pStyle w:val="Tablewriting"/>
              <w:rPr>
                <w:rFonts w:eastAsia="MS Mincho" w:cstheme="minorHAnsi"/>
              </w:rPr>
            </w:pPr>
            <w:r w:rsidRPr="00B07BE1">
              <w:rPr>
                <w:rFonts w:eastAsia="MS Mincho"/>
              </w:rPr>
              <w:t xml:space="preserve">Otero </w:t>
            </w:r>
            <w:r w:rsidR="00FA40D7">
              <w:rPr>
                <w:rFonts w:eastAsia="MS Mincho"/>
              </w:rPr>
              <w:t>(</w:t>
            </w:r>
            <w:r w:rsidRPr="00B07BE1">
              <w:rPr>
                <w:rFonts w:eastAsia="MS Mincho"/>
              </w:rPr>
              <w:t>2006</w:t>
            </w:r>
            <w:r w:rsidR="00FA40D7">
              <w:rPr>
                <w:rFonts w:eastAsia="MS Mincho"/>
              </w:rPr>
              <w:t>)</w:t>
            </w:r>
          </w:p>
        </w:tc>
        <w:tc>
          <w:tcPr>
            <w:tcW w:w="235" w:type="pct"/>
          </w:tcPr>
          <w:p w14:paraId="34DF11A2" w14:textId="4BF70744"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6CB44812" w14:textId="1F784DD0" w:rsidR="009042AA" w:rsidRPr="00017AE6" w:rsidRDefault="004408C0" w:rsidP="00A71365">
            <w:pPr>
              <w:pStyle w:val="Tablewriting"/>
              <w:rPr>
                <w:rFonts w:eastAsia="MS Mincho" w:cstheme="minorHAnsi"/>
              </w:rPr>
            </w:pPr>
            <w:r w:rsidRPr="0038356A">
              <w:rPr>
                <w:rFonts w:eastAsia="MS Mincho" w:cstheme="minorHAnsi"/>
              </w:rPr>
              <w:t>Brazil</w:t>
            </w:r>
          </w:p>
        </w:tc>
        <w:tc>
          <w:tcPr>
            <w:tcW w:w="289" w:type="pct"/>
          </w:tcPr>
          <w:p w14:paraId="5B3DBAAC" w14:textId="6171B9E4" w:rsidR="009042AA" w:rsidRPr="00017AE6" w:rsidRDefault="001173B2" w:rsidP="00A71365">
            <w:pPr>
              <w:pStyle w:val="Tablewriting"/>
              <w:rPr>
                <w:rFonts w:eastAsia="MS Mincho" w:cstheme="minorHAnsi"/>
              </w:rPr>
            </w:pPr>
            <w:r>
              <w:rPr>
                <w:rFonts w:eastAsia="MS Mincho" w:cstheme="minorHAnsi"/>
              </w:rPr>
              <w:t>N=</w:t>
            </w:r>
            <w:r w:rsidR="004408C0">
              <w:rPr>
                <w:rFonts w:eastAsia="MS Mincho" w:cstheme="minorHAnsi"/>
              </w:rPr>
              <w:t>1199</w:t>
            </w:r>
          </w:p>
        </w:tc>
        <w:tc>
          <w:tcPr>
            <w:tcW w:w="1045" w:type="pct"/>
          </w:tcPr>
          <w:p w14:paraId="7BCA0D7F" w14:textId="4A9FAC75" w:rsidR="0038356A" w:rsidRPr="0038356A" w:rsidRDefault="0038356A" w:rsidP="00A71365">
            <w:pPr>
              <w:pStyle w:val="Tablewriting"/>
              <w:rPr>
                <w:rFonts w:eastAsia="MS Mincho" w:cstheme="minorHAnsi"/>
              </w:rPr>
            </w:pPr>
            <w:r>
              <w:rPr>
                <w:rFonts w:eastAsia="MS Mincho" w:cstheme="minorHAnsi"/>
              </w:rPr>
              <w:t>S</w:t>
            </w:r>
            <w:r w:rsidRPr="0038356A">
              <w:rPr>
                <w:rFonts w:eastAsia="MS Mincho" w:cstheme="minorHAnsi"/>
              </w:rPr>
              <w:t>mokers (includes 254 non-attenders), motivated to quit</w:t>
            </w:r>
          </w:p>
          <w:p w14:paraId="6A2F341F" w14:textId="6D85FBAB" w:rsidR="009042AA" w:rsidRPr="00017AE6" w:rsidRDefault="0038356A" w:rsidP="00A71365">
            <w:pPr>
              <w:pStyle w:val="Tablewriting"/>
              <w:rPr>
                <w:rFonts w:eastAsia="MS Mincho" w:cstheme="minorHAnsi"/>
              </w:rPr>
            </w:pPr>
            <w:r w:rsidRPr="0038356A">
              <w:rPr>
                <w:rFonts w:eastAsia="MS Mincho" w:cstheme="minorHAnsi"/>
              </w:rPr>
              <w:t xml:space="preserve">63% female, average age 42, 46% smoked &gt; 20 </w:t>
            </w:r>
            <w:r w:rsidR="003D507B">
              <w:rPr>
                <w:rFonts w:eastAsia="MS Mincho" w:cstheme="minorHAnsi"/>
              </w:rPr>
              <w:t>CPD</w:t>
            </w:r>
          </w:p>
        </w:tc>
        <w:tc>
          <w:tcPr>
            <w:tcW w:w="1055" w:type="pct"/>
          </w:tcPr>
          <w:p w14:paraId="4E2EF636" w14:textId="047527CC" w:rsidR="009042AA" w:rsidRPr="00AE4EAF" w:rsidRDefault="0047781A" w:rsidP="00A71365">
            <w:pPr>
              <w:pStyle w:val="Tablewriting"/>
              <w:rPr>
                <w:rFonts w:eastAsia="MS Mincho" w:cstheme="minorHAnsi"/>
              </w:rPr>
            </w:pPr>
            <w:r w:rsidRPr="00AE4EAF">
              <w:rPr>
                <w:rFonts w:eastAsia="MS Mincho" w:cstheme="minorHAnsi"/>
              </w:rPr>
              <w:t>Nicotine patch (21 mg, 14 mg for FTND &lt; 5) 8 weeks including tapering + behavioural support</w:t>
            </w:r>
          </w:p>
          <w:p w14:paraId="37B965E1" w14:textId="2200B6D6" w:rsidR="00C771BC" w:rsidRPr="00AE4EAF" w:rsidRDefault="00C771BC" w:rsidP="00C324F3">
            <w:pPr>
              <w:pStyle w:val="Tablewriting"/>
              <w:numPr>
                <w:ilvl w:val="0"/>
                <w:numId w:val="130"/>
              </w:numPr>
              <w:rPr>
                <w:rFonts w:eastAsia="MS Mincho" w:cstheme="minorHAnsi"/>
              </w:rPr>
            </w:pPr>
            <w:r w:rsidRPr="00AE4EAF">
              <w:rPr>
                <w:rFonts w:eastAsia="MS Mincho" w:cstheme="minorHAnsi"/>
              </w:rPr>
              <w:t>Cognitive behavioural support only</w:t>
            </w:r>
          </w:p>
          <w:p w14:paraId="6728FD7B" w14:textId="3A4B8AC4" w:rsidR="00C771BC" w:rsidRDefault="00C771BC" w:rsidP="00A71365">
            <w:pPr>
              <w:pStyle w:val="Tablewriting"/>
              <w:rPr>
                <w:rFonts w:eastAsia="MS Mincho" w:cstheme="minorHAnsi"/>
              </w:rPr>
            </w:pPr>
            <w:r w:rsidRPr="00AE4EAF">
              <w:rPr>
                <w:rFonts w:eastAsia="MS Mincho" w:cstheme="minorHAnsi"/>
              </w:rPr>
              <w:t xml:space="preserve">Level of support: Mixed - low = single 20-min session. High = 1, </w:t>
            </w:r>
            <w:r w:rsidRPr="00AE4EAF">
              <w:rPr>
                <w:rFonts w:eastAsia="MS Mincho" w:cstheme="minorHAnsi"/>
              </w:rPr>
              <w:lastRenderedPageBreak/>
              <w:t>2, 3 or 4 w</w:t>
            </w:r>
            <w:r w:rsidR="00836B64">
              <w:rPr>
                <w:rFonts w:eastAsia="MS Mincho" w:cstheme="minorHAnsi"/>
              </w:rPr>
              <w:t xml:space="preserve">eekly 1-h sessions. Maintenance </w:t>
            </w:r>
            <w:r w:rsidRPr="00AE4EAF">
              <w:rPr>
                <w:rFonts w:eastAsia="MS Mincho" w:cstheme="minorHAnsi"/>
              </w:rPr>
              <w:t>or recycling sessions provided at 3, 6, 12 months</w:t>
            </w:r>
            <w:r w:rsidR="00965E5E">
              <w:rPr>
                <w:rFonts w:eastAsia="MS Mincho" w:cstheme="minorHAnsi"/>
              </w:rPr>
              <w:t>.</w:t>
            </w:r>
          </w:p>
          <w:p w14:paraId="13D5FBEE" w14:textId="77777777" w:rsidR="00965E5E" w:rsidRDefault="00965E5E" w:rsidP="00A71365">
            <w:pPr>
              <w:pStyle w:val="Tablewriting"/>
              <w:rPr>
                <w:rFonts w:eastAsia="MS Mincho" w:cstheme="minorHAnsi"/>
              </w:rPr>
            </w:pPr>
          </w:p>
          <w:p w14:paraId="2FEF68B9" w14:textId="5BFAB0E4" w:rsidR="009042AA" w:rsidRPr="00017AE6" w:rsidRDefault="00965E5E" w:rsidP="00A71365">
            <w:pPr>
              <w:pStyle w:val="Tablewriting"/>
              <w:rPr>
                <w:rFonts w:eastAsia="MS Mincho" w:cstheme="minorHAnsi"/>
              </w:rPr>
            </w:pPr>
            <w:r w:rsidRPr="00965E5E">
              <w:rPr>
                <w:rFonts w:eastAsia="MS Mincho" w:cstheme="minorHAnsi"/>
              </w:rPr>
              <w:t>Factorial design with multiple levels of behavioural support</w:t>
            </w:r>
          </w:p>
        </w:tc>
        <w:tc>
          <w:tcPr>
            <w:tcW w:w="958" w:type="pct"/>
          </w:tcPr>
          <w:p w14:paraId="3B797EE5" w14:textId="509B24B5" w:rsidR="00906F98" w:rsidRDefault="001173B2" w:rsidP="00A71365">
            <w:pPr>
              <w:pStyle w:val="Tablewriting"/>
              <w:rPr>
                <w:rFonts w:eastAsia="MS Mincho" w:cstheme="minorHAnsi"/>
              </w:rPr>
            </w:pPr>
            <w:r w:rsidRPr="009B13E2">
              <w:rPr>
                <w:rFonts w:eastAsia="MS Mincho" w:cstheme="minorHAnsi"/>
                <w:u w:val="single"/>
              </w:rPr>
              <w:lastRenderedPageBreak/>
              <w:t>Efficacy:</w:t>
            </w:r>
            <w:r w:rsidR="00906F98">
              <w:t xml:space="preserve"> </w:t>
            </w:r>
            <w:r w:rsidR="00906F98" w:rsidRPr="00906F98">
              <w:rPr>
                <w:rFonts w:eastAsia="MS Mincho" w:cstheme="minorHAnsi"/>
              </w:rPr>
              <w:t>PP abstinence at 12 months</w:t>
            </w:r>
            <w:r w:rsidR="00906F98">
              <w:rPr>
                <w:rFonts w:eastAsia="MS Mincho" w:cstheme="minorHAnsi"/>
              </w:rPr>
              <w:t>.</w:t>
            </w:r>
          </w:p>
          <w:p w14:paraId="1841638A" w14:textId="77777777" w:rsidR="00906F98" w:rsidRPr="00906F98" w:rsidRDefault="00906F98" w:rsidP="00A71365">
            <w:pPr>
              <w:pStyle w:val="Tablewriting"/>
              <w:rPr>
                <w:rFonts w:eastAsia="MS Mincho" w:cstheme="minorHAnsi"/>
              </w:rPr>
            </w:pPr>
          </w:p>
          <w:p w14:paraId="68A2BEAE" w14:textId="3F05F620" w:rsidR="001173B2" w:rsidRPr="009B13E2" w:rsidRDefault="00906F98" w:rsidP="00A71365">
            <w:pPr>
              <w:pStyle w:val="Tablewriting"/>
              <w:rPr>
                <w:rFonts w:eastAsia="MS Mincho" w:cstheme="minorHAnsi"/>
                <w:u w:val="single"/>
              </w:rPr>
            </w:pPr>
            <w:r w:rsidRPr="00906F98">
              <w:rPr>
                <w:rFonts w:eastAsia="MS Mincho" w:cstheme="minorHAnsi"/>
              </w:rPr>
              <w:t>Validation: none</w:t>
            </w:r>
          </w:p>
          <w:p w14:paraId="467A082E" w14:textId="77777777" w:rsidR="001173B2" w:rsidRDefault="001173B2" w:rsidP="00A71365">
            <w:pPr>
              <w:pStyle w:val="Tablewriting"/>
              <w:rPr>
                <w:rFonts w:eastAsia="MS Mincho" w:cstheme="minorHAnsi"/>
              </w:rPr>
            </w:pPr>
          </w:p>
          <w:p w14:paraId="4FA7391F"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0E91446C" w14:textId="5D472ACF" w:rsidR="009042AA" w:rsidRPr="00017AE6" w:rsidRDefault="009042AA" w:rsidP="00A71365">
            <w:pPr>
              <w:pStyle w:val="Tablewriting"/>
              <w:rPr>
                <w:rFonts w:eastAsia="MS Mincho" w:cstheme="minorHAnsi"/>
              </w:rPr>
            </w:pPr>
          </w:p>
        </w:tc>
      </w:tr>
      <w:tr w:rsidR="009042AA" w:rsidRPr="00017AE6" w14:paraId="6FE19811" w14:textId="77777777" w:rsidTr="005821B1">
        <w:trPr>
          <w:trHeight w:val="99"/>
        </w:trPr>
        <w:tc>
          <w:tcPr>
            <w:tcW w:w="1003" w:type="pct"/>
          </w:tcPr>
          <w:p w14:paraId="6502C5AC" w14:textId="0B41A3DD" w:rsidR="009042AA" w:rsidRPr="00017AE6" w:rsidRDefault="00553B86" w:rsidP="00A71365">
            <w:pPr>
              <w:pStyle w:val="Tablewriting"/>
              <w:rPr>
                <w:rFonts w:eastAsia="MS Mincho" w:cstheme="minorHAnsi"/>
              </w:rPr>
            </w:pPr>
            <w:r w:rsidRPr="00B07BE1">
              <w:rPr>
                <w:rFonts w:eastAsia="MS Mincho"/>
              </w:rPr>
              <w:t xml:space="preserve">Paoletti </w:t>
            </w:r>
            <w:r w:rsidR="00FA40D7">
              <w:rPr>
                <w:rFonts w:eastAsia="MS Mincho"/>
              </w:rPr>
              <w:t>(</w:t>
            </w:r>
            <w:r w:rsidRPr="00B07BE1">
              <w:rPr>
                <w:rFonts w:eastAsia="MS Mincho"/>
              </w:rPr>
              <w:t>1996</w:t>
            </w:r>
            <w:r w:rsidR="00FA40D7">
              <w:rPr>
                <w:rFonts w:eastAsia="MS Mincho"/>
              </w:rPr>
              <w:t>)</w:t>
            </w:r>
          </w:p>
        </w:tc>
        <w:tc>
          <w:tcPr>
            <w:tcW w:w="235" w:type="pct"/>
          </w:tcPr>
          <w:p w14:paraId="366645EE" w14:textId="5EDEAAE5"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C958B43" w14:textId="32C065F9" w:rsidR="009042AA" w:rsidRPr="00017AE6" w:rsidRDefault="002E666B" w:rsidP="00A71365">
            <w:pPr>
              <w:pStyle w:val="Tablewriting"/>
              <w:rPr>
                <w:rFonts w:eastAsia="MS Mincho" w:cstheme="minorHAnsi"/>
              </w:rPr>
            </w:pPr>
            <w:r w:rsidRPr="002E666B">
              <w:rPr>
                <w:rFonts w:eastAsia="MS Mincho" w:cstheme="minorHAnsi"/>
              </w:rPr>
              <w:t>Italy</w:t>
            </w:r>
          </w:p>
        </w:tc>
        <w:tc>
          <w:tcPr>
            <w:tcW w:w="289" w:type="pct"/>
          </w:tcPr>
          <w:p w14:paraId="600C4DF9" w14:textId="119C34BE" w:rsidR="009042AA" w:rsidRPr="00017AE6" w:rsidRDefault="001173B2" w:rsidP="00A71365">
            <w:pPr>
              <w:pStyle w:val="Tablewriting"/>
              <w:rPr>
                <w:rFonts w:eastAsia="MS Mincho" w:cstheme="minorHAnsi"/>
              </w:rPr>
            </w:pPr>
            <w:r>
              <w:rPr>
                <w:rFonts w:eastAsia="MS Mincho" w:cstheme="minorHAnsi"/>
              </w:rPr>
              <w:t>N=</w:t>
            </w:r>
            <w:r w:rsidR="006A3282" w:rsidRPr="006A3282">
              <w:rPr>
                <w:rFonts w:eastAsia="MS Mincho" w:cstheme="minorHAnsi"/>
              </w:rPr>
              <w:t>297</w:t>
            </w:r>
          </w:p>
        </w:tc>
        <w:tc>
          <w:tcPr>
            <w:tcW w:w="1045" w:type="pct"/>
          </w:tcPr>
          <w:p w14:paraId="4B7FA407" w14:textId="658273A5" w:rsidR="00B65A08" w:rsidRPr="00B65A08" w:rsidRDefault="00B65A08" w:rsidP="00A71365">
            <w:pPr>
              <w:pStyle w:val="Tablewriting"/>
              <w:rPr>
                <w:rFonts w:eastAsia="MS Mincho" w:cstheme="minorHAnsi"/>
              </w:rPr>
            </w:pPr>
            <w:r>
              <w:rPr>
                <w:rFonts w:eastAsia="MS Mincho" w:cstheme="minorHAnsi"/>
              </w:rPr>
              <w:t>S</w:t>
            </w:r>
            <w:r w:rsidRPr="00B65A08">
              <w:rPr>
                <w:rFonts w:eastAsia="MS Mincho" w:cstheme="minorHAnsi"/>
              </w:rPr>
              <w:t xml:space="preserve">mokers (f 10 </w:t>
            </w:r>
            <w:r>
              <w:rPr>
                <w:rFonts w:eastAsia="MS Mincho" w:cstheme="minorHAnsi"/>
              </w:rPr>
              <w:t>CPD</w:t>
            </w:r>
            <w:r w:rsidRPr="00B65A08">
              <w:rPr>
                <w:rFonts w:eastAsia="MS Mincho" w:cstheme="minorHAnsi"/>
              </w:rPr>
              <w:t>), motivated to quit</w:t>
            </w:r>
          </w:p>
          <w:p w14:paraId="7AC48B8A" w14:textId="77777777" w:rsidR="00B65A08" w:rsidRPr="00B65A08" w:rsidRDefault="00B65A08" w:rsidP="00A71365">
            <w:pPr>
              <w:pStyle w:val="Tablewriting"/>
              <w:rPr>
                <w:rFonts w:eastAsia="MS Mincho" w:cstheme="minorHAnsi"/>
              </w:rPr>
            </w:pPr>
            <w:r w:rsidRPr="00B65A08">
              <w:rPr>
                <w:rFonts w:eastAsia="MS Mincho" w:cstheme="minorHAnsi"/>
              </w:rPr>
              <w:t>Stratified according to baseline cotinine levels</w:t>
            </w:r>
          </w:p>
          <w:p w14:paraId="531831FB" w14:textId="7C008D9C" w:rsidR="009042AA" w:rsidRPr="00017AE6" w:rsidRDefault="00B65A08" w:rsidP="00A71365">
            <w:pPr>
              <w:pStyle w:val="Tablewriting"/>
              <w:rPr>
                <w:rFonts w:eastAsia="MS Mincho" w:cstheme="minorHAnsi"/>
              </w:rPr>
            </w:pPr>
            <w:r w:rsidRPr="00B65A08">
              <w:rPr>
                <w:rFonts w:eastAsia="MS Mincho" w:cstheme="minorHAnsi"/>
              </w:rPr>
              <w:t xml:space="preserve">40% female, average age 43, average </w:t>
            </w:r>
            <w:r w:rsidR="00AB4D1E">
              <w:rPr>
                <w:rFonts w:eastAsia="MS Mincho" w:cstheme="minorHAnsi"/>
              </w:rPr>
              <w:t>CPD</w:t>
            </w:r>
            <w:r w:rsidRPr="00B65A08">
              <w:rPr>
                <w:rFonts w:eastAsia="MS Mincho" w:cstheme="minorHAnsi"/>
              </w:rPr>
              <w:t xml:space="preserve"> 24 in low-cotinine group (n = 120), 30 in high group (n = 177)</w:t>
            </w:r>
          </w:p>
        </w:tc>
        <w:tc>
          <w:tcPr>
            <w:tcW w:w="1055" w:type="pct"/>
          </w:tcPr>
          <w:p w14:paraId="1E87D5D6" w14:textId="77777777" w:rsidR="000068BB" w:rsidRPr="000068BB" w:rsidRDefault="000068BB" w:rsidP="00A71365">
            <w:pPr>
              <w:pStyle w:val="Tablewriting"/>
              <w:rPr>
                <w:rFonts w:eastAsia="MS Mincho" w:cstheme="minorHAnsi"/>
              </w:rPr>
            </w:pPr>
            <w:r w:rsidRPr="000068BB">
              <w:rPr>
                <w:rFonts w:eastAsia="MS Mincho" w:cstheme="minorHAnsi"/>
              </w:rPr>
              <w:t>Stratum A (Baseline cotinine &lt; 250 ng/ml)</w:t>
            </w:r>
          </w:p>
          <w:p w14:paraId="5C23428A" w14:textId="26BD8367"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Nicotine patch (15 mg/16 h, 18 weeks incl taper)</w:t>
            </w:r>
            <w:r w:rsidR="00087299">
              <w:rPr>
                <w:rFonts w:eastAsia="MS Mincho" w:cstheme="minorHAnsi"/>
              </w:rPr>
              <w:t>.</w:t>
            </w:r>
          </w:p>
          <w:p w14:paraId="4FBC9321" w14:textId="61B822FA"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Placebo patch</w:t>
            </w:r>
          </w:p>
          <w:p w14:paraId="10654184" w14:textId="4F66CD13" w:rsidR="000068BB" w:rsidRPr="000068BB" w:rsidRDefault="000068BB" w:rsidP="00A71365">
            <w:pPr>
              <w:pStyle w:val="Tablewriting"/>
              <w:rPr>
                <w:rFonts w:eastAsia="MS Mincho" w:cstheme="minorHAnsi"/>
              </w:rPr>
            </w:pPr>
            <w:r w:rsidRPr="000068BB">
              <w:rPr>
                <w:rFonts w:eastAsia="MS Mincho" w:cstheme="minorHAnsi"/>
              </w:rPr>
              <w:t>Stratum B (Baseline cotinine &gt; 250 ng/ml)</w:t>
            </w:r>
            <w:r w:rsidR="00087299">
              <w:rPr>
                <w:rFonts w:eastAsia="MS Mincho" w:cstheme="minorHAnsi"/>
              </w:rPr>
              <w:t>.</w:t>
            </w:r>
          </w:p>
          <w:p w14:paraId="178F2758" w14:textId="35D636C2" w:rsidR="000068BB" w:rsidRPr="000068BB" w:rsidRDefault="000068BB" w:rsidP="00C324F3">
            <w:pPr>
              <w:pStyle w:val="Tablewriting"/>
              <w:numPr>
                <w:ilvl w:val="0"/>
                <w:numId w:val="130"/>
              </w:numPr>
              <w:rPr>
                <w:rFonts w:eastAsia="MS Mincho" w:cstheme="minorHAnsi"/>
              </w:rPr>
            </w:pPr>
            <w:r w:rsidRPr="000068BB">
              <w:rPr>
                <w:rFonts w:eastAsia="MS Mincho" w:cstheme="minorHAnsi"/>
              </w:rPr>
              <w:t>Nicotine patch 15 mg</w:t>
            </w:r>
            <w:r w:rsidR="00087299">
              <w:rPr>
                <w:rFonts w:eastAsia="MS Mincho" w:cstheme="minorHAnsi"/>
              </w:rPr>
              <w:t>.</w:t>
            </w:r>
          </w:p>
          <w:p w14:paraId="69E50BE5" w14:textId="75FF76AE" w:rsidR="000068BB" w:rsidRDefault="000068BB" w:rsidP="00C324F3">
            <w:pPr>
              <w:pStyle w:val="Tablewriting"/>
              <w:numPr>
                <w:ilvl w:val="0"/>
                <w:numId w:val="130"/>
              </w:numPr>
              <w:rPr>
                <w:rFonts w:eastAsia="MS Mincho" w:cstheme="minorHAnsi"/>
              </w:rPr>
            </w:pPr>
            <w:r w:rsidRPr="000068BB">
              <w:rPr>
                <w:rFonts w:eastAsia="MS Mincho" w:cstheme="minorHAnsi"/>
              </w:rPr>
              <w:t>Nicotine patch 25 mg</w:t>
            </w:r>
            <w:r w:rsidR="00087299">
              <w:rPr>
                <w:rFonts w:eastAsia="MS Mincho" w:cstheme="minorHAnsi"/>
              </w:rPr>
              <w:t>.</w:t>
            </w:r>
          </w:p>
          <w:p w14:paraId="0FF4941F" w14:textId="77777777" w:rsidR="00087299" w:rsidRPr="000068BB" w:rsidRDefault="00087299" w:rsidP="00A71365">
            <w:pPr>
              <w:pStyle w:val="Tablewriting"/>
              <w:ind w:left="360"/>
              <w:rPr>
                <w:rFonts w:eastAsia="MS Mincho" w:cstheme="minorHAnsi"/>
              </w:rPr>
            </w:pPr>
          </w:p>
          <w:p w14:paraId="624252EE" w14:textId="1306417C" w:rsidR="009042AA" w:rsidRPr="00017AE6" w:rsidRDefault="000068BB" w:rsidP="00A71365">
            <w:pPr>
              <w:pStyle w:val="Tablewriting"/>
              <w:rPr>
                <w:rFonts w:eastAsia="MS Mincho" w:cstheme="minorHAnsi"/>
              </w:rPr>
            </w:pPr>
            <w:r w:rsidRPr="000068BB">
              <w:rPr>
                <w:rFonts w:eastAsia="MS Mincho" w:cstheme="minorHAnsi"/>
              </w:rPr>
              <w:t>Level of support: low</w:t>
            </w:r>
          </w:p>
        </w:tc>
        <w:tc>
          <w:tcPr>
            <w:tcW w:w="958" w:type="pct"/>
          </w:tcPr>
          <w:p w14:paraId="1B2252FF" w14:textId="34622110" w:rsidR="0090264F" w:rsidRDefault="001173B2" w:rsidP="00A71365">
            <w:pPr>
              <w:pStyle w:val="Tablewriting"/>
              <w:rPr>
                <w:rFonts w:eastAsia="MS Mincho" w:cstheme="minorHAnsi"/>
              </w:rPr>
            </w:pPr>
            <w:r w:rsidRPr="009B13E2">
              <w:rPr>
                <w:rFonts w:eastAsia="MS Mincho" w:cstheme="minorHAnsi"/>
                <w:u w:val="single"/>
              </w:rPr>
              <w:t>Efficacy:</w:t>
            </w:r>
            <w:r w:rsidR="0090264F">
              <w:rPr>
                <w:rFonts w:eastAsia="MS Mincho" w:cstheme="minorHAnsi"/>
                <w:u w:val="single"/>
              </w:rPr>
              <w:t xml:space="preserve"> </w:t>
            </w:r>
            <w:r w:rsidR="0090264F" w:rsidRPr="0090264F">
              <w:rPr>
                <w:rFonts w:eastAsia="MS Mincho" w:cstheme="minorHAnsi"/>
              </w:rPr>
              <w:t>PP abstinence at 12 months</w:t>
            </w:r>
            <w:r w:rsidR="00BC15B2">
              <w:rPr>
                <w:rFonts w:eastAsia="MS Mincho" w:cstheme="minorHAnsi"/>
              </w:rPr>
              <w:t>.</w:t>
            </w:r>
          </w:p>
          <w:p w14:paraId="68D70621" w14:textId="77777777" w:rsidR="00BC15B2" w:rsidRPr="0090264F" w:rsidRDefault="00BC15B2" w:rsidP="00A71365">
            <w:pPr>
              <w:pStyle w:val="Tablewriting"/>
              <w:rPr>
                <w:rFonts w:eastAsia="MS Mincho" w:cstheme="minorHAnsi"/>
                <w:u w:val="single"/>
              </w:rPr>
            </w:pPr>
          </w:p>
          <w:p w14:paraId="27FB355F" w14:textId="5362EA3D" w:rsidR="001173B2" w:rsidRDefault="0090264F" w:rsidP="00A71365">
            <w:pPr>
              <w:pStyle w:val="Tablewriting"/>
              <w:rPr>
                <w:rFonts w:eastAsia="MS Mincho" w:cstheme="minorHAnsi"/>
              </w:rPr>
            </w:pPr>
            <w:r w:rsidRPr="0090264F">
              <w:rPr>
                <w:rFonts w:eastAsia="MS Mincho" w:cstheme="minorHAnsi"/>
              </w:rPr>
              <w:t>Validation: CO and plasma cotinine</w:t>
            </w:r>
            <w:r w:rsidR="00CC68C3">
              <w:rPr>
                <w:rFonts w:eastAsia="MS Mincho" w:cstheme="minorHAnsi"/>
              </w:rPr>
              <w:t>.</w:t>
            </w:r>
          </w:p>
          <w:p w14:paraId="4CDBDE25" w14:textId="77777777" w:rsidR="00CC68C3" w:rsidRDefault="00CC68C3" w:rsidP="00A71365">
            <w:pPr>
              <w:pStyle w:val="Tablewriting"/>
              <w:rPr>
                <w:rFonts w:eastAsia="MS Mincho" w:cstheme="minorHAnsi"/>
              </w:rPr>
            </w:pPr>
          </w:p>
          <w:p w14:paraId="59BCB6F7"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089E6727" w14:textId="37C3FC2B" w:rsidR="009042AA" w:rsidRDefault="009042AA" w:rsidP="00A71365">
            <w:pPr>
              <w:pStyle w:val="Tablewriting"/>
              <w:rPr>
                <w:rFonts w:eastAsia="MS Mincho" w:cstheme="minorHAnsi"/>
                <w:u w:val="single"/>
              </w:rPr>
            </w:pPr>
          </w:p>
          <w:p w14:paraId="2574721E" w14:textId="34E3220F" w:rsidR="009042AA" w:rsidRPr="00017AE6" w:rsidRDefault="009042AA" w:rsidP="00A71365">
            <w:pPr>
              <w:pStyle w:val="Tablewriting"/>
              <w:rPr>
                <w:rFonts w:eastAsia="MS Mincho" w:cstheme="minorHAnsi"/>
              </w:rPr>
            </w:pPr>
          </w:p>
        </w:tc>
      </w:tr>
      <w:tr w:rsidR="009042AA" w:rsidRPr="00017AE6" w14:paraId="1D2A3DB2" w14:textId="77777777" w:rsidTr="005821B1">
        <w:trPr>
          <w:trHeight w:val="99"/>
        </w:trPr>
        <w:tc>
          <w:tcPr>
            <w:tcW w:w="1003" w:type="pct"/>
          </w:tcPr>
          <w:p w14:paraId="3C93AC1A" w14:textId="316CEA3C" w:rsidR="009042AA" w:rsidRPr="00017AE6" w:rsidRDefault="00BD10AA" w:rsidP="00A71365">
            <w:pPr>
              <w:pStyle w:val="Tablewriting"/>
              <w:rPr>
                <w:rFonts w:eastAsia="MS Mincho" w:cstheme="minorHAnsi"/>
              </w:rPr>
            </w:pPr>
            <w:r w:rsidRPr="00B07BE1">
              <w:rPr>
                <w:rFonts w:eastAsia="MS Mincho"/>
              </w:rPr>
              <w:t xml:space="preserve">Perng </w:t>
            </w:r>
            <w:r w:rsidR="00FA40D7">
              <w:rPr>
                <w:rFonts w:eastAsia="MS Mincho"/>
              </w:rPr>
              <w:t>(</w:t>
            </w:r>
            <w:r w:rsidRPr="00B07BE1">
              <w:rPr>
                <w:rFonts w:eastAsia="MS Mincho"/>
              </w:rPr>
              <w:t>1998</w:t>
            </w:r>
            <w:r w:rsidR="00FA40D7">
              <w:rPr>
                <w:rFonts w:eastAsia="MS Mincho"/>
              </w:rPr>
              <w:t>)</w:t>
            </w:r>
          </w:p>
        </w:tc>
        <w:tc>
          <w:tcPr>
            <w:tcW w:w="235" w:type="pct"/>
          </w:tcPr>
          <w:p w14:paraId="083E38E4" w14:textId="1F4F0250"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6193554" w14:textId="1556B229" w:rsidR="009042AA" w:rsidRPr="00017AE6" w:rsidRDefault="00CC68C3" w:rsidP="00A71365">
            <w:pPr>
              <w:pStyle w:val="Tablewriting"/>
              <w:rPr>
                <w:rFonts w:eastAsia="MS Mincho" w:cstheme="minorHAnsi"/>
              </w:rPr>
            </w:pPr>
            <w:r w:rsidRPr="00CC68C3">
              <w:rPr>
                <w:rFonts w:eastAsia="MS Mincho" w:cstheme="minorHAnsi"/>
              </w:rPr>
              <w:t>Taiwan</w:t>
            </w:r>
          </w:p>
        </w:tc>
        <w:tc>
          <w:tcPr>
            <w:tcW w:w="289" w:type="pct"/>
          </w:tcPr>
          <w:p w14:paraId="201FC1B1" w14:textId="4CECAEC7" w:rsidR="009042AA" w:rsidRPr="00017AE6" w:rsidRDefault="001173B2" w:rsidP="00A71365">
            <w:pPr>
              <w:pStyle w:val="Tablewriting"/>
              <w:rPr>
                <w:rFonts w:eastAsia="MS Mincho" w:cstheme="minorHAnsi"/>
              </w:rPr>
            </w:pPr>
            <w:r>
              <w:rPr>
                <w:rFonts w:eastAsia="MS Mincho" w:cstheme="minorHAnsi"/>
              </w:rPr>
              <w:t>N=</w:t>
            </w:r>
            <w:r w:rsidR="00CC68C3">
              <w:rPr>
                <w:rFonts w:eastAsia="MS Mincho" w:cstheme="minorHAnsi"/>
              </w:rPr>
              <w:t>62</w:t>
            </w:r>
          </w:p>
        </w:tc>
        <w:tc>
          <w:tcPr>
            <w:tcW w:w="1045" w:type="pct"/>
          </w:tcPr>
          <w:p w14:paraId="04562568" w14:textId="648CD40B" w:rsidR="00BA2D61" w:rsidRPr="00BA2D61" w:rsidRDefault="00BA2D61" w:rsidP="00A71365">
            <w:pPr>
              <w:pStyle w:val="Tablewriting"/>
              <w:rPr>
                <w:rFonts w:eastAsia="MS Mincho" w:cstheme="minorHAnsi"/>
              </w:rPr>
            </w:pPr>
            <w:r>
              <w:rPr>
                <w:rFonts w:eastAsia="MS Mincho" w:cstheme="minorHAnsi"/>
              </w:rPr>
              <w:t>S</w:t>
            </w:r>
            <w:r w:rsidRPr="00BA2D61">
              <w:rPr>
                <w:rFonts w:eastAsia="MS Mincho" w:cstheme="minorHAnsi"/>
              </w:rPr>
              <w:t xml:space="preserve">mokers (&gt; 20 </w:t>
            </w:r>
            <w:r>
              <w:rPr>
                <w:rFonts w:eastAsia="MS Mincho" w:cstheme="minorHAnsi"/>
              </w:rPr>
              <w:t>CPD)</w:t>
            </w:r>
          </w:p>
          <w:p w14:paraId="7D566589" w14:textId="7FFA9DF6" w:rsidR="009042AA" w:rsidRPr="00017AE6" w:rsidRDefault="00BA2D61" w:rsidP="00A71365">
            <w:pPr>
              <w:pStyle w:val="Tablewriting"/>
              <w:rPr>
                <w:rFonts w:eastAsia="MS Mincho" w:cstheme="minorHAnsi"/>
              </w:rPr>
            </w:pPr>
            <w:r w:rsidRPr="00BA2D61">
              <w:rPr>
                <w:rFonts w:eastAsia="MS Mincho" w:cstheme="minorHAnsi"/>
              </w:rPr>
              <w:t xml:space="preserve">94% male, average age 62, average </w:t>
            </w:r>
            <w:r>
              <w:rPr>
                <w:rFonts w:eastAsia="MS Mincho" w:cstheme="minorHAnsi"/>
              </w:rPr>
              <w:t xml:space="preserve">CPD </w:t>
            </w:r>
            <w:r w:rsidRPr="00BA2D61">
              <w:rPr>
                <w:rFonts w:eastAsia="MS Mincho" w:cstheme="minorHAnsi"/>
              </w:rPr>
              <w:t>26</w:t>
            </w:r>
          </w:p>
        </w:tc>
        <w:tc>
          <w:tcPr>
            <w:tcW w:w="1055" w:type="pct"/>
          </w:tcPr>
          <w:p w14:paraId="4DFD770C" w14:textId="5A2BE125" w:rsidR="00D3612F" w:rsidRPr="00D3612F" w:rsidRDefault="00D3612F" w:rsidP="00C324F3">
            <w:pPr>
              <w:pStyle w:val="Tablewriting"/>
              <w:numPr>
                <w:ilvl w:val="0"/>
                <w:numId w:val="131"/>
              </w:numPr>
              <w:rPr>
                <w:rFonts w:eastAsia="MS Mincho" w:cstheme="minorHAnsi"/>
              </w:rPr>
            </w:pPr>
            <w:r w:rsidRPr="00D3612F">
              <w:rPr>
                <w:rFonts w:eastAsia="MS Mincho" w:cstheme="minorHAnsi"/>
              </w:rPr>
              <w:t>Nicotine patch (24 mg/24 h for 6 weeks, no weaning)</w:t>
            </w:r>
            <w:r>
              <w:rPr>
                <w:rFonts w:eastAsia="MS Mincho" w:cstheme="minorHAnsi"/>
              </w:rPr>
              <w:t>.</w:t>
            </w:r>
          </w:p>
          <w:p w14:paraId="0FCCF429" w14:textId="60692E6B" w:rsidR="00D3612F" w:rsidRDefault="00D3612F" w:rsidP="00C324F3">
            <w:pPr>
              <w:pStyle w:val="Tablewriting"/>
              <w:numPr>
                <w:ilvl w:val="0"/>
                <w:numId w:val="131"/>
              </w:numPr>
              <w:rPr>
                <w:rFonts w:eastAsia="MS Mincho" w:cstheme="minorHAnsi"/>
              </w:rPr>
            </w:pPr>
            <w:r w:rsidRPr="00D3612F">
              <w:rPr>
                <w:rFonts w:eastAsia="MS Mincho" w:cstheme="minorHAnsi"/>
              </w:rPr>
              <w:t>Placebo patch</w:t>
            </w:r>
            <w:r>
              <w:rPr>
                <w:rFonts w:eastAsia="MS Mincho" w:cstheme="minorHAnsi"/>
              </w:rPr>
              <w:t>.</w:t>
            </w:r>
          </w:p>
          <w:p w14:paraId="6AF6A1B1" w14:textId="77777777" w:rsidR="00D3612F" w:rsidRPr="00D3612F" w:rsidRDefault="00D3612F" w:rsidP="00A71365">
            <w:pPr>
              <w:pStyle w:val="Tablewriting"/>
              <w:ind w:left="360"/>
              <w:rPr>
                <w:rFonts w:eastAsia="MS Mincho" w:cstheme="minorHAnsi"/>
              </w:rPr>
            </w:pPr>
          </w:p>
          <w:p w14:paraId="44BF727B" w14:textId="77777777" w:rsidR="00D3612F" w:rsidRPr="00D3612F" w:rsidRDefault="00D3612F" w:rsidP="00A71365">
            <w:pPr>
              <w:pStyle w:val="Tablewriting"/>
              <w:rPr>
                <w:rFonts w:eastAsia="MS Mincho" w:cstheme="minorHAnsi"/>
              </w:rPr>
            </w:pPr>
            <w:r w:rsidRPr="00D3612F">
              <w:rPr>
                <w:rFonts w:eastAsia="MS Mincho" w:cstheme="minorHAnsi"/>
              </w:rPr>
              <w:t>Level of support: high (weekly visit to outpatient department for assessment, unclear if counselling</w:t>
            </w:r>
          </w:p>
          <w:p w14:paraId="7682287C" w14:textId="7F97AB40" w:rsidR="009042AA" w:rsidRPr="00017AE6" w:rsidRDefault="00D3612F" w:rsidP="00A71365">
            <w:pPr>
              <w:pStyle w:val="Tablewriting"/>
              <w:rPr>
                <w:rFonts w:eastAsia="MS Mincho" w:cstheme="minorHAnsi"/>
              </w:rPr>
            </w:pPr>
            <w:r w:rsidRPr="00D3612F">
              <w:rPr>
                <w:rFonts w:eastAsia="MS Mincho" w:cstheme="minorHAnsi"/>
              </w:rPr>
              <w:t>was provided)</w:t>
            </w:r>
          </w:p>
        </w:tc>
        <w:tc>
          <w:tcPr>
            <w:tcW w:w="958" w:type="pct"/>
          </w:tcPr>
          <w:p w14:paraId="0EB69CDE" w14:textId="1EAAF47D" w:rsidR="001173B2" w:rsidRPr="009B13E2" w:rsidRDefault="001173B2" w:rsidP="00A71365">
            <w:pPr>
              <w:pStyle w:val="Tablewriting"/>
              <w:rPr>
                <w:rFonts w:eastAsia="MS Mincho" w:cstheme="minorHAnsi"/>
                <w:u w:val="single"/>
              </w:rPr>
            </w:pPr>
            <w:r w:rsidRPr="009B13E2">
              <w:rPr>
                <w:rFonts w:eastAsia="MS Mincho" w:cstheme="minorHAnsi"/>
                <w:u w:val="single"/>
              </w:rPr>
              <w:t>Efficacy:</w:t>
            </w:r>
            <w:r w:rsidR="009670DA">
              <w:rPr>
                <w:rFonts w:eastAsia="MS Mincho" w:cstheme="minorHAnsi"/>
                <w:u w:val="single"/>
              </w:rPr>
              <w:t xml:space="preserve"> </w:t>
            </w:r>
          </w:p>
          <w:p w14:paraId="380A576D" w14:textId="24464533" w:rsidR="009670DA" w:rsidRDefault="009670DA" w:rsidP="00A71365">
            <w:pPr>
              <w:pStyle w:val="Tablewriting"/>
              <w:rPr>
                <w:rFonts w:eastAsia="MS Mincho" w:cstheme="minorHAnsi"/>
              </w:rPr>
            </w:pPr>
            <w:r w:rsidRPr="009670DA">
              <w:rPr>
                <w:rFonts w:eastAsia="MS Mincho" w:cstheme="minorHAnsi"/>
              </w:rPr>
              <w:t>Abstinence at 12 months</w:t>
            </w:r>
            <w:r>
              <w:rPr>
                <w:rFonts w:eastAsia="MS Mincho" w:cstheme="minorHAnsi"/>
              </w:rPr>
              <w:t>.</w:t>
            </w:r>
          </w:p>
          <w:p w14:paraId="507B1C0E" w14:textId="77777777" w:rsidR="009670DA" w:rsidRPr="009670DA" w:rsidRDefault="009670DA" w:rsidP="00A71365">
            <w:pPr>
              <w:pStyle w:val="Tablewriting"/>
              <w:rPr>
                <w:rFonts w:eastAsia="MS Mincho" w:cstheme="minorHAnsi"/>
              </w:rPr>
            </w:pPr>
          </w:p>
          <w:p w14:paraId="0EAC9A76" w14:textId="1DF035C8" w:rsidR="001173B2" w:rsidRDefault="009670DA" w:rsidP="00A71365">
            <w:pPr>
              <w:pStyle w:val="Tablewriting"/>
              <w:rPr>
                <w:rFonts w:eastAsia="MS Mincho" w:cstheme="minorHAnsi"/>
              </w:rPr>
            </w:pPr>
            <w:r w:rsidRPr="009670DA">
              <w:rPr>
                <w:rFonts w:eastAsia="MS Mincho" w:cstheme="minorHAnsi"/>
              </w:rPr>
              <w:t>Validation: CO &lt; 10 ppm during patch use, but no validation at 12 months</w:t>
            </w:r>
            <w:r>
              <w:rPr>
                <w:rFonts w:eastAsia="MS Mincho" w:cstheme="minorHAnsi"/>
              </w:rPr>
              <w:t>.</w:t>
            </w:r>
          </w:p>
          <w:p w14:paraId="33E8F69C" w14:textId="77777777" w:rsidR="009670DA" w:rsidRDefault="009670DA" w:rsidP="00A71365">
            <w:pPr>
              <w:pStyle w:val="Tablewriting"/>
              <w:rPr>
                <w:rFonts w:eastAsia="MS Mincho" w:cstheme="minorHAnsi"/>
              </w:rPr>
            </w:pPr>
          </w:p>
          <w:p w14:paraId="5543B726"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7A5816A7" w14:textId="21D609B8" w:rsidR="009042AA" w:rsidRPr="00017AE6" w:rsidRDefault="009042AA" w:rsidP="00A71365">
            <w:pPr>
              <w:pStyle w:val="Tablewriting"/>
              <w:rPr>
                <w:rFonts w:eastAsia="MS Mincho" w:cstheme="minorHAnsi"/>
              </w:rPr>
            </w:pPr>
          </w:p>
        </w:tc>
      </w:tr>
      <w:tr w:rsidR="009042AA" w:rsidRPr="00017AE6" w14:paraId="6708BF51" w14:textId="77777777" w:rsidTr="005821B1">
        <w:trPr>
          <w:trHeight w:val="99"/>
        </w:trPr>
        <w:tc>
          <w:tcPr>
            <w:tcW w:w="1003" w:type="pct"/>
          </w:tcPr>
          <w:p w14:paraId="788D85C4" w14:textId="7DF08C20" w:rsidR="009042AA" w:rsidRPr="00017AE6" w:rsidRDefault="00BD10AA" w:rsidP="00A71365">
            <w:pPr>
              <w:pStyle w:val="Tablewriting"/>
              <w:rPr>
                <w:rFonts w:eastAsia="MS Mincho" w:cstheme="minorHAnsi"/>
              </w:rPr>
            </w:pPr>
            <w:r w:rsidRPr="00B07BE1">
              <w:rPr>
                <w:rFonts w:eastAsia="MS Mincho"/>
              </w:rPr>
              <w:t xml:space="preserve">Scherphof </w:t>
            </w:r>
            <w:r w:rsidR="00FA40D7">
              <w:rPr>
                <w:rFonts w:eastAsia="MS Mincho"/>
              </w:rPr>
              <w:t>(</w:t>
            </w:r>
            <w:r w:rsidRPr="00B07BE1">
              <w:rPr>
                <w:rFonts w:eastAsia="MS Mincho"/>
              </w:rPr>
              <w:t>2014</w:t>
            </w:r>
            <w:r w:rsidR="00FA40D7">
              <w:rPr>
                <w:rFonts w:eastAsia="MS Mincho"/>
              </w:rPr>
              <w:t>)</w:t>
            </w:r>
          </w:p>
        </w:tc>
        <w:tc>
          <w:tcPr>
            <w:tcW w:w="235" w:type="pct"/>
          </w:tcPr>
          <w:p w14:paraId="6851A191" w14:textId="351878DA"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EB03123" w14:textId="6B2E65B2" w:rsidR="009042AA" w:rsidRPr="00017AE6" w:rsidRDefault="00B46FD0" w:rsidP="00A71365">
            <w:pPr>
              <w:pStyle w:val="Tablewriting"/>
              <w:rPr>
                <w:rFonts w:eastAsia="MS Mincho" w:cstheme="minorHAnsi"/>
              </w:rPr>
            </w:pPr>
            <w:r w:rsidRPr="00B46FD0">
              <w:rPr>
                <w:rFonts w:eastAsia="MS Mincho" w:cstheme="minorHAnsi"/>
              </w:rPr>
              <w:t>Netherlands</w:t>
            </w:r>
          </w:p>
        </w:tc>
        <w:tc>
          <w:tcPr>
            <w:tcW w:w="289" w:type="pct"/>
          </w:tcPr>
          <w:p w14:paraId="6859D00C" w14:textId="36C1F82F" w:rsidR="009042AA" w:rsidRPr="00017AE6" w:rsidRDefault="001173B2" w:rsidP="00A71365">
            <w:pPr>
              <w:pStyle w:val="Tablewriting"/>
              <w:rPr>
                <w:rFonts w:eastAsia="MS Mincho" w:cstheme="minorHAnsi"/>
              </w:rPr>
            </w:pPr>
            <w:r>
              <w:rPr>
                <w:rFonts w:eastAsia="MS Mincho" w:cstheme="minorHAnsi"/>
              </w:rPr>
              <w:t>N=</w:t>
            </w:r>
            <w:r w:rsidR="00B46FD0">
              <w:rPr>
                <w:rFonts w:eastAsia="MS Mincho" w:cstheme="minorHAnsi"/>
              </w:rPr>
              <w:t>265</w:t>
            </w:r>
          </w:p>
        </w:tc>
        <w:tc>
          <w:tcPr>
            <w:tcW w:w="1045" w:type="pct"/>
          </w:tcPr>
          <w:p w14:paraId="1848B877" w14:textId="47F5847A" w:rsidR="00874379" w:rsidRPr="00874379" w:rsidRDefault="00874379" w:rsidP="00A71365">
            <w:pPr>
              <w:pStyle w:val="Tablewriting"/>
              <w:rPr>
                <w:rFonts w:eastAsia="MS Mincho" w:cstheme="minorHAnsi"/>
              </w:rPr>
            </w:pPr>
            <w:r>
              <w:rPr>
                <w:rFonts w:eastAsia="MS Mincho" w:cstheme="minorHAnsi"/>
              </w:rPr>
              <w:t>A</w:t>
            </w:r>
            <w:r w:rsidRPr="00874379">
              <w:rPr>
                <w:rFonts w:eastAsia="MS Mincho" w:cstheme="minorHAnsi"/>
              </w:rPr>
              <w:t xml:space="preserve">dolescents (12 to 18 years old), smoking f 7 </w:t>
            </w:r>
            <w:r>
              <w:rPr>
                <w:rFonts w:eastAsia="MS Mincho" w:cstheme="minorHAnsi"/>
              </w:rPr>
              <w:t>CPD</w:t>
            </w:r>
            <w:r w:rsidRPr="00874379">
              <w:rPr>
                <w:rFonts w:eastAsia="MS Mincho" w:cstheme="minorHAnsi"/>
              </w:rPr>
              <w:t>, motivated to quit</w:t>
            </w:r>
          </w:p>
          <w:p w14:paraId="588F4F60" w14:textId="46C0EA33" w:rsidR="009042AA" w:rsidRPr="00017AE6" w:rsidRDefault="00874379" w:rsidP="00A71365">
            <w:pPr>
              <w:pStyle w:val="Tablewriting"/>
              <w:rPr>
                <w:rFonts w:eastAsia="MS Mincho" w:cstheme="minorHAnsi"/>
              </w:rPr>
            </w:pPr>
            <w:r w:rsidRPr="00874379">
              <w:rPr>
                <w:rFonts w:eastAsia="MS Mincho" w:cstheme="minorHAnsi"/>
              </w:rPr>
              <w:t xml:space="preserve">52.9% female, mean age 16.5, mean </w:t>
            </w:r>
            <w:r>
              <w:rPr>
                <w:rFonts w:eastAsia="MS Mincho" w:cstheme="minorHAnsi"/>
              </w:rPr>
              <w:t>CPD</w:t>
            </w:r>
            <w:r w:rsidRPr="00874379">
              <w:rPr>
                <w:rFonts w:eastAsia="MS Mincho" w:cstheme="minorHAnsi"/>
              </w:rPr>
              <w:t xml:space="preserve"> 16.7</w:t>
            </w:r>
          </w:p>
        </w:tc>
        <w:tc>
          <w:tcPr>
            <w:tcW w:w="1055" w:type="pct"/>
          </w:tcPr>
          <w:p w14:paraId="5D8FCD9E" w14:textId="4F77A4EB" w:rsidR="009A5255" w:rsidRPr="00D77C81" w:rsidRDefault="009A5255" w:rsidP="00C324F3">
            <w:pPr>
              <w:pStyle w:val="Tablewriting"/>
              <w:numPr>
                <w:ilvl w:val="0"/>
                <w:numId w:val="132"/>
              </w:numPr>
              <w:rPr>
                <w:rFonts w:eastAsia="MS Mincho" w:cstheme="minorHAnsi"/>
              </w:rPr>
            </w:pPr>
            <w:r w:rsidRPr="009A5255">
              <w:rPr>
                <w:rFonts w:eastAsia="MS Mincho" w:cstheme="minorHAnsi"/>
              </w:rPr>
              <w:t xml:space="preserve">24-h patch, dose and length depending on baseline cpd. If &gt; 20 </w:t>
            </w:r>
            <w:r w:rsidR="00D77C81">
              <w:rPr>
                <w:rFonts w:eastAsia="MS Mincho" w:cstheme="minorHAnsi"/>
              </w:rPr>
              <w:t>CPD</w:t>
            </w:r>
            <w:r w:rsidRPr="009A5255">
              <w:rPr>
                <w:rFonts w:eastAsia="MS Mincho" w:cstheme="minorHAnsi"/>
              </w:rPr>
              <w:t>, 3 weeks 21 mg/day, 3 weeks 14</w:t>
            </w:r>
            <w:r w:rsidR="00D77C81">
              <w:rPr>
                <w:rFonts w:eastAsia="MS Mincho" w:cstheme="minorHAnsi"/>
              </w:rPr>
              <w:t xml:space="preserve"> </w:t>
            </w:r>
            <w:r w:rsidRPr="00D77C81">
              <w:rPr>
                <w:rFonts w:eastAsia="MS Mincho" w:cstheme="minorHAnsi"/>
              </w:rPr>
              <w:t xml:space="preserve">mg/day; 3 weeks 7 mg/day; </w:t>
            </w:r>
            <w:r w:rsidRPr="00D77C81">
              <w:rPr>
                <w:rFonts w:eastAsia="MS Mincho" w:cstheme="minorHAnsi"/>
              </w:rPr>
              <w:lastRenderedPageBreak/>
              <w:t xml:space="preserve">if &lt; 20 </w:t>
            </w:r>
            <w:r w:rsidR="00D77C81">
              <w:rPr>
                <w:rFonts w:eastAsia="MS Mincho" w:cstheme="minorHAnsi"/>
              </w:rPr>
              <w:t>CPD</w:t>
            </w:r>
            <w:r w:rsidRPr="00D77C81">
              <w:rPr>
                <w:rFonts w:eastAsia="MS Mincho" w:cstheme="minorHAnsi"/>
              </w:rPr>
              <w:t>, 3 weeks 14 mg/day, 3 weeks 7 mg/day</w:t>
            </w:r>
            <w:r w:rsidR="007606BC" w:rsidRPr="00D77C81">
              <w:rPr>
                <w:rFonts w:eastAsia="MS Mincho" w:cstheme="minorHAnsi"/>
              </w:rPr>
              <w:t>.</w:t>
            </w:r>
          </w:p>
          <w:p w14:paraId="70D01344" w14:textId="31B909F0" w:rsidR="009A5255" w:rsidRDefault="009A5255" w:rsidP="00C324F3">
            <w:pPr>
              <w:pStyle w:val="Tablewriting"/>
              <w:numPr>
                <w:ilvl w:val="0"/>
                <w:numId w:val="132"/>
              </w:numPr>
              <w:rPr>
                <w:rFonts w:eastAsia="MS Mincho" w:cstheme="minorHAnsi"/>
              </w:rPr>
            </w:pPr>
            <w:r w:rsidRPr="009A5255">
              <w:rPr>
                <w:rFonts w:eastAsia="MS Mincho" w:cstheme="minorHAnsi"/>
              </w:rPr>
              <w:t>Control: placebo patch control, otherwise</w:t>
            </w:r>
            <w:r w:rsidR="00D77C81">
              <w:rPr>
                <w:rFonts w:eastAsia="MS Mincho" w:cstheme="minorHAnsi"/>
              </w:rPr>
              <w:t xml:space="preserve"> </w:t>
            </w:r>
            <w:r w:rsidRPr="009A5255">
              <w:rPr>
                <w:rFonts w:eastAsia="MS Mincho" w:cstheme="minorHAnsi"/>
              </w:rPr>
              <w:t>identical to intervention</w:t>
            </w:r>
            <w:r w:rsidR="007606BC">
              <w:rPr>
                <w:rFonts w:eastAsia="MS Mincho" w:cstheme="minorHAnsi"/>
              </w:rPr>
              <w:t>.</w:t>
            </w:r>
          </w:p>
          <w:p w14:paraId="3115F7E5" w14:textId="77777777" w:rsidR="007606BC" w:rsidRPr="009A5255" w:rsidRDefault="007606BC" w:rsidP="00A71365">
            <w:pPr>
              <w:pStyle w:val="Tablewriting"/>
              <w:ind w:left="360"/>
              <w:rPr>
                <w:rFonts w:eastAsia="MS Mincho" w:cstheme="minorHAnsi"/>
              </w:rPr>
            </w:pPr>
          </w:p>
          <w:p w14:paraId="0CE4E8C0" w14:textId="4CC5B8FA" w:rsidR="009042AA" w:rsidRPr="00017AE6" w:rsidRDefault="009A5255" w:rsidP="00A71365">
            <w:pPr>
              <w:pStyle w:val="Tablewriting"/>
              <w:rPr>
                <w:rFonts w:eastAsia="MS Mincho" w:cstheme="minorHAnsi"/>
              </w:rPr>
            </w:pPr>
            <w:r w:rsidRPr="009A5255">
              <w:rPr>
                <w:rFonts w:eastAsia="MS Mincho" w:cstheme="minorHAnsi"/>
              </w:rPr>
              <w:t>Level of support: low (one-o</w:t>
            </w:r>
            <w:r w:rsidR="00F3264D">
              <w:rPr>
                <w:rFonts w:eastAsia="MS Mincho" w:cstheme="minorHAnsi"/>
              </w:rPr>
              <w:t>ff</w:t>
            </w:r>
            <w:r w:rsidRPr="009A5255">
              <w:rPr>
                <w:rFonts w:eastAsia="MS Mincho" w:cstheme="minorHAnsi"/>
              </w:rPr>
              <w:t xml:space="preserve"> "short </w:t>
            </w:r>
            <w:r w:rsidR="00F3264D" w:rsidRPr="009A5255">
              <w:rPr>
                <w:rFonts w:eastAsia="MS Mincho" w:cstheme="minorHAnsi"/>
              </w:rPr>
              <w:t>behavioural</w:t>
            </w:r>
            <w:r w:rsidR="00F3264D">
              <w:rPr>
                <w:rFonts w:eastAsia="MS Mincho" w:cstheme="minorHAnsi"/>
              </w:rPr>
              <w:t xml:space="preserve"> </w:t>
            </w:r>
            <w:r w:rsidRPr="009A5255">
              <w:rPr>
                <w:rFonts w:eastAsia="MS Mincho" w:cstheme="minorHAnsi"/>
              </w:rPr>
              <w:t>intervention aimed at quitting smoking (</w:t>
            </w:r>
            <w:r w:rsidR="004664D2" w:rsidRPr="009A5255">
              <w:rPr>
                <w:rFonts w:eastAsia="MS Mincho" w:cstheme="minorHAnsi"/>
              </w:rPr>
              <w:t>e.g.,</w:t>
            </w:r>
            <w:r w:rsidRPr="009A5255">
              <w:rPr>
                <w:rFonts w:eastAsia="MS Mincho" w:cstheme="minorHAnsi"/>
              </w:rPr>
              <w:t xml:space="preserve"> preparations</w:t>
            </w:r>
            <w:r w:rsidR="00F3264D">
              <w:rPr>
                <w:rFonts w:eastAsia="MS Mincho" w:cstheme="minorHAnsi"/>
              </w:rPr>
              <w:t xml:space="preserve"> </w:t>
            </w:r>
            <w:r w:rsidRPr="009A5255">
              <w:rPr>
                <w:rFonts w:eastAsia="MS Mincho" w:cstheme="minorHAnsi"/>
              </w:rPr>
              <w:t>and expectations)" at study start)</w:t>
            </w:r>
            <w:r w:rsidR="007606BC">
              <w:rPr>
                <w:rFonts w:eastAsia="MS Mincho" w:cstheme="minorHAnsi"/>
              </w:rPr>
              <w:t>.</w:t>
            </w:r>
          </w:p>
        </w:tc>
        <w:tc>
          <w:tcPr>
            <w:tcW w:w="958" w:type="pct"/>
          </w:tcPr>
          <w:p w14:paraId="753D7564" w14:textId="73A231CF" w:rsidR="008C0C62" w:rsidRDefault="001173B2" w:rsidP="00A71365">
            <w:pPr>
              <w:pStyle w:val="Tablewriting"/>
              <w:rPr>
                <w:rFonts w:eastAsia="MS Mincho" w:cstheme="minorHAnsi"/>
              </w:rPr>
            </w:pPr>
            <w:r w:rsidRPr="009B13E2">
              <w:rPr>
                <w:rFonts w:eastAsia="MS Mincho" w:cstheme="minorHAnsi"/>
                <w:u w:val="single"/>
              </w:rPr>
              <w:lastRenderedPageBreak/>
              <w:t>Efficacy:</w:t>
            </w:r>
            <w:r w:rsidR="008C0C62">
              <w:t xml:space="preserve"> </w:t>
            </w:r>
            <w:r w:rsidR="008C0C62" w:rsidRPr="008C0C62">
              <w:rPr>
                <w:rFonts w:eastAsia="MS Mincho" w:cstheme="minorHAnsi"/>
              </w:rPr>
              <w:t>30-day PP abstinence at 12 months</w:t>
            </w:r>
            <w:r w:rsidR="008C0C62">
              <w:rPr>
                <w:rFonts w:eastAsia="MS Mincho" w:cstheme="minorHAnsi"/>
              </w:rPr>
              <w:t>.</w:t>
            </w:r>
          </w:p>
          <w:p w14:paraId="19F05B9F" w14:textId="77777777" w:rsidR="008C0C62" w:rsidRPr="008C0C62" w:rsidRDefault="008C0C62" w:rsidP="00A71365">
            <w:pPr>
              <w:pStyle w:val="Tablewriting"/>
              <w:rPr>
                <w:rFonts w:eastAsia="MS Mincho" w:cstheme="minorHAnsi"/>
              </w:rPr>
            </w:pPr>
          </w:p>
          <w:p w14:paraId="1CB10612" w14:textId="65AE0C62" w:rsidR="001173B2" w:rsidRPr="009B13E2" w:rsidRDefault="008C0C62" w:rsidP="00A71365">
            <w:pPr>
              <w:pStyle w:val="Tablewriting"/>
              <w:rPr>
                <w:rFonts w:eastAsia="MS Mincho" w:cstheme="minorHAnsi"/>
                <w:u w:val="single"/>
              </w:rPr>
            </w:pPr>
            <w:r w:rsidRPr="008C0C62">
              <w:rPr>
                <w:rFonts w:eastAsia="MS Mincho" w:cstheme="minorHAnsi"/>
              </w:rPr>
              <w:t>Verification: salivary cotinine measured using a NicAlert saliva strip</w:t>
            </w:r>
            <w:r w:rsidR="004D08EF">
              <w:rPr>
                <w:rFonts w:eastAsia="MS Mincho" w:cstheme="minorHAnsi"/>
              </w:rPr>
              <w:t xml:space="preserve"> </w:t>
            </w:r>
            <w:r w:rsidRPr="008C0C62">
              <w:rPr>
                <w:rFonts w:eastAsia="MS Mincho" w:cstheme="minorHAnsi"/>
              </w:rPr>
              <w:t>(Nymox</w:t>
            </w:r>
            <w:r w:rsidRPr="008C0C62">
              <w:rPr>
                <w:rFonts w:eastAsia="MS Mincho" w:cstheme="minorHAnsi"/>
                <w:u w:val="single"/>
              </w:rPr>
              <w:t>)</w:t>
            </w:r>
          </w:p>
          <w:p w14:paraId="4E42A639" w14:textId="77777777" w:rsidR="001173B2" w:rsidRDefault="001173B2" w:rsidP="00A71365">
            <w:pPr>
              <w:pStyle w:val="Tablewriting"/>
              <w:rPr>
                <w:rFonts w:eastAsia="MS Mincho" w:cstheme="minorHAnsi"/>
              </w:rPr>
            </w:pPr>
          </w:p>
          <w:p w14:paraId="71C41D22"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44C1BD2E" w14:textId="0B9E9C8A" w:rsidR="009042AA" w:rsidRPr="00017AE6" w:rsidRDefault="009042AA" w:rsidP="00A71365">
            <w:pPr>
              <w:pStyle w:val="Tablewriting"/>
              <w:rPr>
                <w:rFonts w:eastAsia="MS Mincho" w:cstheme="minorHAnsi"/>
              </w:rPr>
            </w:pPr>
          </w:p>
        </w:tc>
      </w:tr>
      <w:tr w:rsidR="009042AA" w:rsidRPr="00017AE6" w14:paraId="1AEF6802" w14:textId="77777777" w:rsidTr="005821B1">
        <w:trPr>
          <w:trHeight w:val="99"/>
        </w:trPr>
        <w:tc>
          <w:tcPr>
            <w:tcW w:w="5000" w:type="pct"/>
            <w:gridSpan w:val="7"/>
            <w:shd w:val="clear" w:color="auto" w:fill="D9D9D9" w:themeFill="background1" w:themeFillShade="D9"/>
          </w:tcPr>
          <w:p w14:paraId="3B655EE5" w14:textId="07F22F3D" w:rsidR="006C4A81" w:rsidRPr="005012C6" w:rsidRDefault="005012C6" w:rsidP="00A71365">
            <w:pPr>
              <w:pStyle w:val="Tablewriting"/>
              <w:rPr>
                <w:rFonts w:eastAsia="MS Mincho" w:cstheme="minorHAnsi"/>
                <w:b/>
              </w:rPr>
            </w:pPr>
            <w:r w:rsidRPr="005012C6">
              <w:rPr>
                <w:rFonts w:eastAsia="MS Mincho" w:cstheme="minorHAnsi"/>
                <w:b/>
                <w:bCs/>
              </w:rPr>
              <w:lastRenderedPageBreak/>
              <w:t>PP/uncertain 6 months</w:t>
            </w:r>
          </w:p>
        </w:tc>
      </w:tr>
      <w:tr w:rsidR="009042AA" w:rsidRPr="00017AE6" w14:paraId="3F1BD80A" w14:textId="77777777" w:rsidTr="005821B1">
        <w:trPr>
          <w:trHeight w:val="99"/>
        </w:trPr>
        <w:tc>
          <w:tcPr>
            <w:tcW w:w="1003" w:type="pct"/>
          </w:tcPr>
          <w:p w14:paraId="6D75E1FA" w14:textId="7F5EA005" w:rsidR="009042AA" w:rsidRPr="00017AE6" w:rsidRDefault="00990A42" w:rsidP="00A71365">
            <w:pPr>
              <w:pStyle w:val="Tablewriting"/>
              <w:rPr>
                <w:rFonts w:eastAsia="MS Mincho" w:cstheme="minorHAnsi"/>
              </w:rPr>
            </w:pPr>
            <w:r w:rsidRPr="00B07BE1">
              <w:rPr>
                <w:rFonts w:eastAsia="MS Mincho"/>
              </w:rPr>
              <w:t xml:space="preserve">Cummins </w:t>
            </w:r>
            <w:r w:rsidR="00FA40D7">
              <w:rPr>
                <w:rFonts w:eastAsia="MS Mincho"/>
              </w:rPr>
              <w:t>(</w:t>
            </w:r>
            <w:r w:rsidRPr="00B07BE1">
              <w:rPr>
                <w:rFonts w:eastAsia="MS Mincho"/>
              </w:rPr>
              <w:t>2016</w:t>
            </w:r>
            <w:r w:rsidR="00FA40D7">
              <w:rPr>
                <w:rFonts w:eastAsia="MS Mincho"/>
              </w:rPr>
              <w:t>)</w:t>
            </w:r>
          </w:p>
        </w:tc>
        <w:tc>
          <w:tcPr>
            <w:tcW w:w="235" w:type="pct"/>
          </w:tcPr>
          <w:p w14:paraId="5E6B1813" w14:textId="06E1091B"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4D876C3D" w14:textId="3FA0E5ED" w:rsidR="009042AA" w:rsidRPr="00017AE6" w:rsidRDefault="007941E9" w:rsidP="00A71365">
            <w:pPr>
              <w:pStyle w:val="Tablewriting"/>
              <w:rPr>
                <w:rFonts w:eastAsia="MS Mincho" w:cstheme="minorHAnsi"/>
              </w:rPr>
            </w:pPr>
            <w:r>
              <w:rPr>
                <w:rFonts w:eastAsia="MS Mincho" w:cstheme="minorHAnsi"/>
              </w:rPr>
              <w:t>USA</w:t>
            </w:r>
          </w:p>
        </w:tc>
        <w:tc>
          <w:tcPr>
            <w:tcW w:w="289" w:type="pct"/>
          </w:tcPr>
          <w:p w14:paraId="5F504A1B" w14:textId="22FBBEF4" w:rsidR="009042AA" w:rsidRPr="00017AE6" w:rsidRDefault="001173B2" w:rsidP="00A71365">
            <w:pPr>
              <w:pStyle w:val="Tablewriting"/>
              <w:rPr>
                <w:rFonts w:eastAsia="MS Mincho" w:cstheme="minorHAnsi"/>
              </w:rPr>
            </w:pPr>
            <w:r>
              <w:rPr>
                <w:rFonts w:eastAsia="MS Mincho" w:cstheme="minorHAnsi"/>
              </w:rPr>
              <w:t>N=</w:t>
            </w:r>
            <w:r w:rsidR="007941E9">
              <w:rPr>
                <w:rFonts w:eastAsia="MS Mincho" w:cstheme="minorHAnsi"/>
              </w:rPr>
              <w:t>1270</w:t>
            </w:r>
          </w:p>
        </w:tc>
        <w:tc>
          <w:tcPr>
            <w:tcW w:w="1045" w:type="pct"/>
          </w:tcPr>
          <w:p w14:paraId="22F23330" w14:textId="1B85DDEF" w:rsidR="007941E9" w:rsidRPr="007941E9" w:rsidRDefault="007941E9" w:rsidP="00A71365">
            <w:pPr>
              <w:pStyle w:val="Tablewriting"/>
              <w:rPr>
                <w:rFonts w:eastAsia="MS Mincho" w:cstheme="minorHAnsi"/>
              </w:rPr>
            </w:pPr>
            <w:r>
              <w:rPr>
                <w:rFonts w:eastAsia="MS Mincho" w:cstheme="minorHAnsi"/>
              </w:rPr>
              <w:t>H</w:t>
            </w:r>
            <w:r w:rsidRPr="007941E9">
              <w:rPr>
                <w:rFonts w:eastAsia="MS Mincho" w:cstheme="minorHAnsi"/>
              </w:rPr>
              <w:t xml:space="preserve">ospitalised smokers (excl. obstetrics, </w:t>
            </w:r>
            <w:r w:rsidR="004664D2" w:rsidRPr="007941E9">
              <w:rPr>
                <w:rFonts w:eastAsia="MS Mincho" w:cstheme="minorHAnsi"/>
              </w:rPr>
              <w:t>surgery,</w:t>
            </w:r>
            <w:r w:rsidRPr="007941E9">
              <w:rPr>
                <w:rFonts w:eastAsia="MS Mincho" w:cstheme="minorHAnsi"/>
              </w:rPr>
              <w:t xml:space="preserve"> and behavioural health patients), smoked in last 30</w:t>
            </w:r>
            <w:r>
              <w:rPr>
                <w:rFonts w:eastAsia="MS Mincho" w:cstheme="minorHAnsi"/>
              </w:rPr>
              <w:t xml:space="preserve"> </w:t>
            </w:r>
            <w:r w:rsidRPr="007941E9">
              <w:rPr>
                <w:rFonts w:eastAsia="MS Mincho" w:cstheme="minorHAnsi"/>
              </w:rPr>
              <w:t xml:space="preserve">days and at least 6 </w:t>
            </w:r>
            <w:r>
              <w:rPr>
                <w:rFonts w:eastAsia="MS Mincho" w:cstheme="minorHAnsi"/>
              </w:rPr>
              <w:t>CPD</w:t>
            </w:r>
            <w:r w:rsidRPr="007941E9">
              <w:rPr>
                <w:rFonts w:eastAsia="MS Mincho" w:cstheme="minorHAnsi"/>
              </w:rPr>
              <w:t xml:space="preserve"> on days smoked</w:t>
            </w:r>
          </w:p>
          <w:p w14:paraId="2637E7DE" w14:textId="69E59A7E" w:rsidR="009042AA" w:rsidRPr="00017AE6" w:rsidRDefault="007941E9" w:rsidP="00A71365">
            <w:pPr>
              <w:pStyle w:val="Tablewriting"/>
              <w:rPr>
                <w:rFonts w:eastAsia="MS Mincho" w:cstheme="minorHAnsi"/>
              </w:rPr>
            </w:pPr>
            <w:r w:rsidRPr="007941E9">
              <w:rPr>
                <w:rFonts w:eastAsia="MS Mincho" w:cstheme="minorHAnsi"/>
              </w:rPr>
              <w:t xml:space="preserve">57% male, average age 50, average </w:t>
            </w:r>
            <w:r>
              <w:rPr>
                <w:rFonts w:eastAsia="MS Mincho" w:cstheme="minorHAnsi"/>
              </w:rPr>
              <w:t xml:space="preserve">CPD </w:t>
            </w:r>
            <w:r w:rsidRPr="007941E9">
              <w:rPr>
                <w:rFonts w:eastAsia="MS Mincho" w:cstheme="minorHAnsi"/>
              </w:rPr>
              <w:t>15</w:t>
            </w:r>
            <w:r>
              <w:rPr>
                <w:rFonts w:eastAsia="MS Mincho" w:cstheme="minorHAnsi"/>
              </w:rPr>
              <w:t>.</w:t>
            </w:r>
          </w:p>
        </w:tc>
        <w:tc>
          <w:tcPr>
            <w:tcW w:w="1055" w:type="pct"/>
          </w:tcPr>
          <w:p w14:paraId="001A6588" w14:textId="590F08ED" w:rsidR="006358BD" w:rsidRDefault="006358BD" w:rsidP="00C324F3">
            <w:pPr>
              <w:pStyle w:val="BodyText"/>
              <w:numPr>
                <w:ilvl w:val="0"/>
                <w:numId w:val="133"/>
              </w:numPr>
              <w:kinsoku w:val="0"/>
              <w:overflowPunct w:val="0"/>
              <w:spacing w:before="5" w:line="249" w:lineRule="auto"/>
            </w:pPr>
            <w:r>
              <w:t xml:space="preserve">NRT patches for 8 weeks, doses based on cpd. If 6 </w:t>
            </w:r>
            <w:r w:rsidR="001C1168">
              <w:t>CPD</w:t>
            </w:r>
            <w:r>
              <w:t xml:space="preserve"> to 10 </w:t>
            </w:r>
            <w:r w:rsidR="001C1168">
              <w:t>CPD</w:t>
            </w:r>
            <w:r>
              <w:t xml:space="preserve">: 14 mg for 6 weeks, 7 mg for 2 weeks. If &gt; 10 </w:t>
            </w:r>
            <w:r w:rsidR="001C1168">
              <w:t>CPD</w:t>
            </w:r>
            <w:r>
              <w:t>: 21 mg for 4 weeks, 14 mg for 2 weeks, 7 mg for 2 weeks. (NS if 16-h or 24-h patches).</w:t>
            </w:r>
          </w:p>
          <w:p w14:paraId="398BCCB0" w14:textId="021F26A6" w:rsidR="006358BD" w:rsidRPr="006358BD" w:rsidRDefault="006358BD" w:rsidP="00C324F3">
            <w:pPr>
              <w:pStyle w:val="BodyText"/>
              <w:numPr>
                <w:ilvl w:val="0"/>
                <w:numId w:val="133"/>
              </w:numPr>
              <w:kinsoku w:val="0"/>
              <w:overflowPunct w:val="0"/>
              <w:spacing w:before="5" w:line="249" w:lineRule="auto"/>
            </w:pPr>
            <w:r w:rsidRPr="006358BD">
              <w:t>No NRT</w:t>
            </w:r>
          </w:p>
          <w:p w14:paraId="4AB4C06F" w14:textId="77777777" w:rsidR="006358BD" w:rsidRDefault="006358BD" w:rsidP="00A71365">
            <w:pPr>
              <w:pStyle w:val="BodyText"/>
              <w:kinsoku w:val="0"/>
              <w:overflowPunct w:val="0"/>
              <w:spacing w:line="249" w:lineRule="auto"/>
              <w:ind w:right="156"/>
            </w:pPr>
          </w:p>
          <w:p w14:paraId="49C7055E" w14:textId="207857A6" w:rsidR="009042AA" w:rsidRPr="00A54BED" w:rsidRDefault="006358BD" w:rsidP="00A71365">
            <w:pPr>
              <w:pStyle w:val="BodyText"/>
              <w:kinsoku w:val="0"/>
              <w:overflowPunct w:val="0"/>
              <w:spacing w:line="249" w:lineRule="auto"/>
              <w:ind w:right="156"/>
              <w:rPr>
                <w:rFonts w:eastAsia="MS Mincho"/>
              </w:rPr>
            </w:pPr>
            <w:r>
              <w:t xml:space="preserve">Level of support: varied. All were provided quitline number. Hospital systems, individual hospitals, and even individual units had their own approach to usual care for smokers, with differences in providing counselling or </w:t>
            </w:r>
            <w:r>
              <w:lastRenderedPageBreak/>
              <w:t>prescribing quitting aids during hospitalisation. There was no attempt to constrain these activities. Some participants in the NRT and the no-NRT groups also received counselling due to factorial design (2 x 2 factorial design: NRT/counselling/NRT and counselling/usual care). Counselling was by the Quitline service. Authors tested for an interaction</w:t>
            </w:r>
            <w:r w:rsidR="001C1168">
              <w:t xml:space="preserve"> b</w:t>
            </w:r>
            <w:r>
              <w:t>etween NRT and</w:t>
            </w:r>
            <w:r w:rsidR="001C1168">
              <w:t xml:space="preserve"> </w:t>
            </w:r>
            <w:r>
              <w:t>counselling and this was not</w:t>
            </w:r>
            <w:r w:rsidR="001C1168">
              <w:t xml:space="preserve"> </w:t>
            </w:r>
            <w:r>
              <w:t>significant, therefore results collapsed for this review</w:t>
            </w:r>
            <w:r w:rsidR="001C1168">
              <w:t>.</w:t>
            </w:r>
          </w:p>
        </w:tc>
        <w:tc>
          <w:tcPr>
            <w:tcW w:w="958" w:type="pct"/>
          </w:tcPr>
          <w:p w14:paraId="168E0B6D" w14:textId="3A046AA5" w:rsidR="001C1168" w:rsidRDefault="001173B2" w:rsidP="00A71365">
            <w:pPr>
              <w:pStyle w:val="Tablewriting"/>
              <w:rPr>
                <w:rFonts w:eastAsia="MS Mincho" w:cstheme="minorHAnsi"/>
              </w:rPr>
            </w:pPr>
            <w:r w:rsidRPr="009B13E2">
              <w:rPr>
                <w:rFonts w:eastAsia="MS Mincho" w:cstheme="minorHAnsi"/>
                <w:u w:val="single"/>
              </w:rPr>
              <w:lastRenderedPageBreak/>
              <w:t>Efficacy:</w:t>
            </w:r>
            <w:r w:rsidR="001C1168">
              <w:rPr>
                <w:rFonts w:eastAsia="MS Mincho" w:cstheme="minorHAnsi"/>
                <w:u w:val="single"/>
              </w:rPr>
              <w:t xml:space="preserve"> </w:t>
            </w:r>
            <w:r w:rsidR="001C1168" w:rsidRPr="001C1168">
              <w:rPr>
                <w:rFonts w:eastAsia="MS Mincho" w:cstheme="minorHAnsi"/>
              </w:rPr>
              <w:t>7-day PP at 6 months</w:t>
            </w:r>
            <w:r w:rsidR="001C1168">
              <w:rPr>
                <w:rFonts w:eastAsia="MS Mincho" w:cstheme="minorHAnsi"/>
              </w:rPr>
              <w:t>.</w:t>
            </w:r>
          </w:p>
          <w:p w14:paraId="6E79AC90" w14:textId="77777777" w:rsidR="001C1168" w:rsidRPr="001C1168" w:rsidRDefault="001C1168" w:rsidP="00A71365">
            <w:pPr>
              <w:pStyle w:val="Tablewriting"/>
              <w:rPr>
                <w:rFonts w:eastAsia="MS Mincho" w:cstheme="minorHAnsi"/>
                <w:u w:val="single"/>
              </w:rPr>
            </w:pPr>
          </w:p>
          <w:p w14:paraId="310BD29F" w14:textId="7581D45A" w:rsidR="001173B2" w:rsidRDefault="001C1168" w:rsidP="00A71365">
            <w:pPr>
              <w:pStyle w:val="Tablewriting"/>
              <w:rPr>
                <w:rFonts w:eastAsia="MS Mincho" w:cstheme="minorHAnsi"/>
              </w:rPr>
            </w:pPr>
            <w:r>
              <w:rPr>
                <w:rFonts w:eastAsia="MS Mincho" w:cstheme="minorHAnsi"/>
              </w:rPr>
              <w:t>V</w:t>
            </w:r>
            <w:r w:rsidRPr="001C1168">
              <w:rPr>
                <w:rFonts w:eastAsia="MS Mincho" w:cstheme="minorHAnsi"/>
              </w:rPr>
              <w:t>alidation: saliva cotinine &lt; 10 ng/ml</w:t>
            </w:r>
            <w:r>
              <w:rPr>
                <w:rFonts w:eastAsia="MS Mincho" w:cstheme="minorHAnsi"/>
              </w:rPr>
              <w:t xml:space="preserve">. </w:t>
            </w:r>
          </w:p>
          <w:p w14:paraId="2AA6E982" w14:textId="77777777" w:rsidR="001C1168" w:rsidRDefault="001C1168" w:rsidP="00A71365">
            <w:pPr>
              <w:pStyle w:val="Tablewriting"/>
              <w:rPr>
                <w:rFonts w:eastAsia="MS Mincho" w:cstheme="minorHAnsi"/>
              </w:rPr>
            </w:pPr>
          </w:p>
          <w:p w14:paraId="718E55C9"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7325B931" w14:textId="7C7DF7E7" w:rsidR="009042AA" w:rsidRPr="00017AE6" w:rsidRDefault="009042AA" w:rsidP="00A71365">
            <w:pPr>
              <w:pStyle w:val="Tablewriting"/>
              <w:rPr>
                <w:rFonts w:eastAsia="MS Mincho" w:cstheme="minorHAnsi"/>
              </w:rPr>
            </w:pPr>
          </w:p>
        </w:tc>
      </w:tr>
      <w:tr w:rsidR="009042AA" w:rsidRPr="00017AE6" w14:paraId="20D13EE0" w14:textId="77777777" w:rsidTr="005821B1">
        <w:trPr>
          <w:trHeight w:val="99"/>
        </w:trPr>
        <w:tc>
          <w:tcPr>
            <w:tcW w:w="1003" w:type="pct"/>
          </w:tcPr>
          <w:p w14:paraId="2A3BD332" w14:textId="38BB3D2F" w:rsidR="009042AA" w:rsidRPr="00017AE6" w:rsidRDefault="00990A42" w:rsidP="00A71365">
            <w:pPr>
              <w:pStyle w:val="Tablewriting"/>
              <w:rPr>
                <w:rFonts w:eastAsia="MS Mincho" w:cstheme="minorHAnsi"/>
              </w:rPr>
            </w:pPr>
            <w:r w:rsidRPr="00B07BE1">
              <w:rPr>
                <w:rFonts w:eastAsia="MS Mincho"/>
              </w:rPr>
              <w:t xml:space="preserve">Cunningham </w:t>
            </w:r>
            <w:r w:rsidR="00FA40D7">
              <w:rPr>
                <w:rFonts w:eastAsia="MS Mincho"/>
              </w:rPr>
              <w:t>(</w:t>
            </w:r>
            <w:r w:rsidRPr="00B07BE1">
              <w:rPr>
                <w:rFonts w:eastAsia="MS Mincho"/>
              </w:rPr>
              <w:t>2016</w:t>
            </w:r>
            <w:r w:rsidR="00FA40D7">
              <w:rPr>
                <w:rFonts w:eastAsia="MS Mincho"/>
              </w:rPr>
              <w:t>)</w:t>
            </w:r>
          </w:p>
        </w:tc>
        <w:tc>
          <w:tcPr>
            <w:tcW w:w="235" w:type="pct"/>
          </w:tcPr>
          <w:p w14:paraId="5421FDA7" w14:textId="02271659"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370CDD5D" w14:textId="03773D81" w:rsidR="009042AA" w:rsidRPr="00017AE6" w:rsidRDefault="00DB733D" w:rsidP="00A71365">
            <w:pPr>
              <w:pStyle w:val="Tablewriting"/>
              <w:rPr>
                <w:rFonts w:eastAsia="MS Mincho" w:cstheme="minorHAnsi"/>
              </w:rPr>
            </w:pPr>
            <w:r w:rsidRPr="00DB733D">
              <w:rPr>
                <w:rFonts w:eastAsia="MS Mincho" w:cstheme="minorHAnsi"/>
              </w:rPr>
              <w:t>Canada</w:t>
            </w:r>
          </w:p>
        </w:tc>
        <w:tc>
          <w:tcPr>
            <w:tcW w:w="289" w:type="pct"/>
          </w:tcPr>
          <w:p w14:paraId="03950FA2" w14:textId="182F9237" w:rsidR="009042AA" w:rsidRPr="00017AE6" w:rsidRDefault="001173B2" w:rsidP="00A71365">
            <w:pPr>
              <w:pStyle w:val="Tablewriting"/>
              <w:rPr>
                <w:rFonts w:eastAsia="MS Mincho" w:cstheme="minorHAnsi"/>
              </w:rPr>
            </w:pPr>
            <w:r>
              <w:rPr>
                <w:rFonts w:eastAsia="MS Mincho" w:cstheme="minorHAnsi"/>
              </w:rPr>
              <w:t>N=</w:t>
            </w:r>
            <w:r w:rsidR="006B2DE7">
              <w:rPr>
                <w:rFonts w:eastAsia="MS Mincho" w:cstheme="minorHAnsi"/>
              </w:rPr>
              <w:t>1000</w:t>
            </w:r>
          </w:p>
        </w:tc>
        <w:tc>
          <w:tcPr>
            <w:tcW w:w="1045" w:type="pct"/>
          </w:tcPr>
          <w:p w14:paraId="08855AF9" w14:textId="1AA34E54" w:rsidR="009042AA" w:rsidRPr="006B2DE7" w:rsidRDefault="00E26E69" w:rsidP="00A71365">
            <w:pPr>
              <w:pStyle w:val="Tablewriting"/>
              <w:rPr>
                <w:rFonts w:ascii="Times New Roman" w:eastAsia="MS Mincho" w:hAnsi="Times New Roman"/>
                <w:sz w:val="18"/>
                <w:szCs w:val="18"/>
                <w:lang w:val="en-GB"/>
              </w:rPr>
            </w:pPr>
            <w:r w:rsidRPr="00E26E69">
              <w:rPr>
                <w:rFonts w:eastAsia="MS Mincho" w:cstheme="minorHAnsi"/>
              </w:rPr>
              <w:t>S</w:t>
            </w:r>
            <w:r w:rsidR="006B2DE7" w:rsidRPr="00E26E69">
              <w:rPr>
                <w:rFonts w:eastAsia="MS Mincho" w:cstheme="minorHAnsi"/>
              </w:rPr>
              <w:t>mokers (f 10 CPD), 51% female, average age 49, average CPD 18, mean FTND 5.</w:t>
            </w:r>
          </w:p>
        </w:tc>
        <w:tc>
          <w:tcPr>
            <w:tcW w:w="1055" w:type="pct"/>
          </w:tcPr>
          <w:p w14:paraId="0C3C52AE" w14:textId="1D7A384B" w:rsidR="00CC33AB" w:rsidRDefault="00CC33AB" w:rsidP="00C324F3">
            <w:pPr>
              <w:pStyle w:val="Tablewriting"/>
              <w:numPr>
                <w:ilvl w:val="0"/>
                <w:numId w:val="134"/>
              </w:numPr>
              <w:rPr>
                <w:rFonts w:eastAsia="MS Mincho" w:cstheme="minorHAnsi"/>
              </w:rPr>
            </w:pPr>
            <w:r w:rsidRPr="00CC33AB">
              <w:rPr>
                <w:rFonts w:eastAsia="MS Mincho" w:cstheme="minorHAnsi"/>
              </w:rPr>
              <w:t xml:space="preserve">Nicotine patches. </w:t>
            </w:r>
            <w:r w:rsidR="009309D9" w:rsidRPr="00CC33AB">
              <w:rPr>
                <w:rFonts w:eastAsia="MS Mincho" w:cstheme="minorHAnsi"/>
              </w:rPr>
              <w:t>5 weeks total</w:t>
            </w:r>
            <w:r w:rsidRPr="00CC33AB">
              <w:rPr>
                <w:rFonts w:eastAsia="MS Mincho" w:cstheme="minorHAnsi"/>
              </w:rPr>
              <w:t xml:space="preserve"> tapered: 3 weeks 21 mg, 1 week 14 mg, 1 week 7 mg (unclear if 16 or</w:t>
            </w:r>
            <w:r>
              <w:rPr>
                <w:rFonts w:eastAsia="MS Mincho" w:cstheme="minorHAnsi"/>
              </w:rPr>
              <w:t xml:space="preserve"> </w:t>
            </w:r>
            <w:r w:rsidRPr="00CC33AB">
              <w:rPr>
                <w:rFonts w:eastAsia="MS Mincho" w:cstheme="minorHAnsi"/>
              </w:rPr>
              <w:t>24 h)</w:t>
            </w:r>
            <w:r>
              <w:rPr>
                <w:rFonts w:eastAsia="MS Mincho" w:cstheme="minorHAnsi"/>
              </w:rPr>
              <w:t>.</w:t>
            </w:r>
          </w:p>
          <w:p w14:paraId="1149B8BF" w14:textId="7476CA50" w:rsidR="00CC33AB" w:rsidRPr="00CC33AB" w:rsidRDefault="00CC33AB" w:rsidP="00C324F3">
            <w:pPr>
              <w:pStyle w:val="Tablewriting"/>
              <w:numPr>
                <w:ilvl w:val="0"/>
                <w:numId w:val="134"/>
              </w:numPr>
              <w:rPr>
                <w:rFonts w:eastAsia="MS Mincho" w:cstheme="minorHAnsi"/>
              </w:rPr>
            </w:pPr>
            <w:r w:rsidRPr="00CC33AB">
              <w:rPr>
                <w:rFonts w:eastAsia="MS Mincho" w:cstheme="minorHAnsi"/>
              </w:rPr>
              <w:t>No intervention</w:t>
            </w:r>
          </w:p>
          <w:p w14:paraId="62A55CF9" w14:textId="77777777" w:rsidR="009309D9" w:rsidRDefault="009309D9" w:rsidP="00A71365">
            <w:pPr>
              <w:pStyle w:val="Tablewriting"/>
              <w:rPr>
                <w:rFonts w:eastAsia="MS Mincho" w:cstheme="minorHAnsi"/>
              </w:rPr>
            </w:pPr>
          </w:p>
          <w:p w14:paraId="7EFFC0DE" w14:textId="7CEC9F10" w:rsidR="009042AA" w:rsidRPr="00017AE6" w:rsidRDefault="00CC33AB" w:rsidP="00A71365">
            <w:pPr>
              <w:pStyle w:val="Tablewriting"/>
              <w:rPr>
                <w:rFonts w:eastAsia="MS Mincho" w:cstheme="minorHAnsi"/>
              </w:rPr>
            </w:pPr>
            <w:r w:rsidRPr="00CC33AB">
              <w:rPr>
                <w:rFonts w:eastAsia="MS Mincho" w:cstheme="minorHAnsi"/>
              </w:rPr>
              <w:t>Level of support: low; no support provided (patches mailed to intervention participants)</w:t>
            </w:r>
            <w:r w:rsidR="009309D9">
              <w:rPr>
                <w:rFonts w:eastAsia="MS Mincho" w:cstheme="minorHAnsi"/>
              </w:rPr>
              <w:t>.</w:t>
            </w:r>
          </w:p>
        </w:tc>
        <w:tc>
          <w:tcPr>
            <w:tcW w:w="958" w:type="pct"/>
          </w:tcPr>
          <w:p w14:paraId="36A3D884" w14:textId="1EE687A9" w:rsidR="009309D9" w:rsidRDefault="001173B2" w:rsidP="00A71365">
            <w:pPr>
              <w:pStyle w:val="Tablewriting"/>
              <w:rPr>
                <w:rFonts w:eastAsia="MS Mincho" w:cstheme="minorHAnsi"/>
              </w:rPr>
            </w:pPr>
            <w:r w:rsidRPr="009B13E2">
              <w:rPr>
                <w:rFonts w:eastAsia="MS Mincho" w:cstheme="minorHAnsi"/>
                <w:u w:val="single"/>
              </w:rPr>
              <w:t>Efficacy:</w:t>
            </w:r>
            <w:r w:rsidR="009309D9">
              <w:rPr>
                <w:rFonts w:eastAsia="MS Mincho" w:cstheme="minorHAnsi"/>
                <w:u w:val="single"/>
              </w:rPr>
              <w:t xml:space="preserve"> </w:t>
            </w:r>
            <w:r w:rsidR="009309D9" w:rsidRPr="009309D9">
              <w:rPr>
                <w:rFonts w:eastAsia="MS Mincho" w:cstheme="minorHAnsi"/>
              </w:rPr>
              <w:t>30-day PP at 6 months</w:t>
            </w:r>
            <w:r w:rsidR="009309D9">
              <w:rPr>
                <w:rFonts w:eastAsia="MS Mincho" w:cstheme="minorHAnsi"/>
              </w:rPr>
              <w:t>.</w:t>
            </w:r>
          </w:p>
          <w:p w14:paraId="4A3FCD2D" w14:textId="77777777" w:rsidR="009309D9" w:rsidRPr="009309D9" w:rsidRDefault="009309D9" w:rsidP="00A71365">
            <w:pPr>
              <w:pStyle w:val="Tablewriting"/>
              <w:rPr>
                <w:rFonts w:eastAsia="MS Mincho" w:cstheme="minorHAnsi"/>
                <w:u w:val="single"/>
              </w:rPr>
            </w:pPr>
          </w:p>
          <w:p w14:paraId="4D646189" w14:textId="6D33ED20" w:rsidR="001173B2" w:rsidRDefault="009309D9" w:rsidP="00A71365">
            <w:pPr>
              <w:pStyle w:val="Tablewriting"/>
              <w:rPr>
                <w:rFonts w:eastAsia="MS Mincho" w:cstheme="minorHAnsi"/>
              </w:rPr>
            </w:pPr>
            <w:r w:rsidRPr="009309D9">
              <w:rPr>
                <w:rFonts w:eastAsia="MS Mincho" w:cstheme="minorHAnsi"/>
              </w:rPr>
              <w:t>Validation: Saliva</w:t>
            </w:r>
            <w:r>
              <w:rPr>
                <w:rFonts w:eastAsia="MS Mincho" w:cstheme="minorHAnsi"/>
              </w:rPr>
              <w:t xml:space="preserve"> c</w:t>
            </w:r>
            <w:r w:rsidRPr="009309D9">
              <w:rPr>
                <w:rFonts w:eastAsia="MS Mincho" w:cstheme="minorHAnsi"/>
              </w:rPr>
              <w:t>otinine &lt; 15 mg/L</w:t>
            </w:r>
            <w:r>
              <w:rPr>
                <w:rFonts w:eastAsia="MS Mincho" w:cstheme="minorHAnsi"/>
              </w:rPr>
              <w:t>.</w:t>
            </w:r>
          </w:p>
          <w:p w14:paraId="7BA5E935" w14:textId="77777777" w:rsidR="009309D9" w:rsidRDefault="009309D9" w:rsidP="00A71365">
            <w:pPr>
              <w:pStyle w:val="Tablewriting"/>
              <w:rPr>
                <w:rFonts w:eastAsia="MS Mincho" w:cstheme="minorHAnsi"/>
                <w:u w:val="single"/>
              </w:rPr>
            </w:pPr>
          </w:p>
          <w:p w14:paraId="21B6DE14"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3497109E" w14:textId="7F727429" w:rsidR="009042AA" w:rsidRPr="00017AE6" w:rsidRDefault="009042AA" w:rsidP="00A71365">
            <w:pPr>
              <w:pStyle w:val="Tablewriting"/>
              <w:rPr>
                <w:rFonts w:eastAsia="MS Mincho" w:cstheme="minorHAnsi"/>
              </w:rPr>
            </w:pPr>
          </w:p>
        </w:tc>
      </w:tr>
      <w:tr w:rsidR="009042AA" w:rsidRPr="00017AE6" w14:paraId="066F22B2" w14:textId="77777777" w:rsidTr="005821B1">
        <w:trPr>
          <w:trHeight w:val="99"/>
        </w:trPr>
        <w:tc>
          <w:tcPr>
            <w:tcW w:w="1003" w:type="pct"/>
          </w:tcPr>
          <w:p w14:paraId="1665D3B2" w14:textId="3A2D9D9F" w:rsidR="009042AA" w:rsidRPr="00017AE6" w:rsidRDefault="00990A42" w:rsidP="00A71365">
            <w:pPr>
              <w:pStyle w:val="Tablewriting"/>
              <w:rPr>
                <w:rFonts w:eastAsia="MS Mincho" w:cstheme="minorHAnsi"/>
              </w:rPr>
            </w:pPr>
            <w:r w:rsidRPr="00B07BE1">
              <w:rPr>
                <w:rFonts w:eastAsia="MS Mincho"/>
              </w:rPr>
              <w:t xml:space="preserve">Fiore </w:t>
            </w:r>
            <w:r w:rsidR="00FA40D7">
              <w:rPr>
                <w:rFonts w:eastAsia="MS Mincho"/>
              </w:rPr>
              <w:t>(</w:t>
            </w:r>
            <w:r w:rsidRPr="00B07BE1">
              <w:rPr>
                <w:rFonts w:eastAsia="MS Mincho"/>
              </w:rPr>
              <w:t>1994</w:t>
            </w:r>
            <w:r w:rsidR="004810EB">
              <w:rPr>
                <w:rFonts w:eastAsia="MS Mincho"/>
              </w:rPr>
              <w:t>a)</w:t>
            </w:r>
          </w:p>
        </w:tc>
        <w:tc>
          <w:tcPr>
            <w:tcW w:w="235" w:type="pct"/>
          </w:tcPr>
          <w:p w14:paraId="5B770F9B" w14:textId="3090F706"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19E9324" w14:textId="0749B35C" w:rsidR="009042AA" w:rsidRPr="00017AE6" w:rsidRDefault="0063680D" w:rsidP="00A71365">
            <w:pPr>
              <w:pStyle w:val="Tablewriting"/>
              <w:rPr>
                <w:rFonts w:eastAsia="MS Mincho" w:cstheme="minorHAnsi"/>
              </w:rPr>
            </w:pPr>
            <w:r>
              <w:rPr>
                <w:rFonts w:eastAsia="MS Mincho" w:cstheme="minorHAnsi"/>
              </w:rPr>
              <w:t>USA</w:t>
            </w:r>
          </w:p>
        </w:tc>
        <w:tc>
          <w:tcPr>
            <w:tcW w:w="289" w:type="pct"/>
          </w:tcPr>
          <w:p w14:paraId="3B7F79C9" w14:textId="7456AB1E" w:rsidR="009042AA" w:rsidRPr="00017AE6" w:rsidRDefault="001173B2" w:rsidP="00A71365">
            <w:pPr>
              <w:pStyle w:val="Tablewriting"/>
              <w:rPr>
                <w:rFonts w:eastAsia="MS Mincho" w:cstheme="minorHAnsi"/>
              </w:rPr>
            </w:pPr>
            <w:r>
              <w:rPr>
                <w:rFonts w:eastAsia="MS Mincho" w:cstheme="minorHAnsi"/>
              </w:rPr>
              <w:t>N=</w:t>
            </w:r>
            <w:r w:rsidR="008642E0">
              <w:rPr>
                <w:rFonts w:eastAsia="MS Mincho" w:cstheme="minorHAnsi"/>
              </w:rPr>
              <w:t>88</w:t>
            </w:r>
          </w:p>
        </w:tc>
        <w:tc>
          <w:tcPr>
            <w:tcW w:w="1045" w:type="pct"/>
          </w:tcPr>
          <w:p w14:paraId="246FE638" w14:textId="0F414928" w:rsidR="009042AA" w:rsidRPr="008642E0" w:rsidRDefault="008642E0" w:rsidP="00A71365">
            <w:pPr>
              <w:rPr>
                <w:rFonts w:eastAsia="MS Mincho"/>
                <w:lang w:eastAsia="en-US"/>
              </w:rPr>
            </w:pPr>
            <w:r>
              <w:rPr>
                <w:rFonts w:eastAsia="MS Mincho"/>
                <w:lang w:eastAsia="en-US"/>
              </w:rPr>
              <w:t>S</w:t>
            </w:r>
            <w:r w:rsidRPr="008642E0">
              <w:rPr>
                <w:rFonts w:eastAsia="MS Mincho"/>
                <w:lang w:eastAsia="en-US"/>
              </w:rPr>
              <w:t xml:space="preserve">mokers (&gt; 15 </w:t>
            </w:r>
            <w:r>
              <w:rPr>
                <w:rFonts w:eastAsia="MS Mincho"/>
                <w:lang w:eastAsia="en-US"/>
              </w:rPr>
              <w:t>CPD</w:t>
            </w:r>
            <w:r w:rsidRPr="008642E0">
              <w:rPr>
                <w:rFonts w:eastAsia="MS Mincho"/>
                <w:lang w:eastAsia="en-US"/>
              </w:rPr>
              <w:t>), motivated to quit.</w:t>
            </w:r>
          </w:p>
        </w:tc>
        <w:tc>
          <w:tcPr>
            <w:tcW w:w="1055" w:type="pct"/>
          </w:tcPr>
          <w:p w14:paraId="1479906F" w14:textId="77777777" w:rsidR="00DC4B58" w:rsidRDefault="00E669E6" w:rsidP="00C324F3">
            <w:pPr>
              <w:pStyle w:val="Tablewriting"/>
              <w:numPr>
                <w:ilvl w:val="0"/>
                <w:numId w:val="135"/>
              </w:numPr>
              <w:rPr>
                <w:rFonts w:eastAsia="MS Mincho" w:cstheme="minorHAnsi"/>
              </w:rPr>
            </w:pPr>
            <w:r w:rsidRPr="00E669E6">
              <w:rPr>
                <w:rFonts w:eastAsia="MS Mincho" w:cstheme="minorHAnsi"/>
              </w:rPr>
              <w:t>Nicotine patch (22 mg/24 h, 8 weeks, no weaning)</w:t>
            </w:r>
            <w:r w:rsidR="00DC4B58">
              <w:rPr>
                <w:rFonts w:eastAsia="MS Mincho" w:cstheme="minorHAnsi"/>
              </w:rPr>
              <w:t>.</w:t>
            </w:r>
          </w:p>
          <w:p w14:paraId="0683727F" w14:textId="0C64DCDC" w:rsidR="00E669E6" w:rsidRPr="00DC4B58" w:rsidRDefault="00E669E6" w:rsidP="00C324F3">
            <w:pPr>
              <w:pStyle w:val="Tablewriting"/>
              <w:numPr>
                <w:ilvl w:val="0"/>
                <w:numId w:val="135"/>
              </w:numPr>
              <w:rPr>
                <w:rFonts w:eastAsia="MS Mincho" w:cstheme="minorHAnsi"/>
              </w:rPr>
            </w:pPr>
            <w:r w:rsidRPr="00DC4B58">
              <w:rPr>
                <w:rFonts w:eastAsia="MS Mincho" w:cstheme="minorHAnsi"/>
              </w:rPr>
              <w:t>Placebo patch</w:t>
            </w:r>
          </w:p>
          <w:p w14:paraId="11984222" w14:textId="77777777" w:rsidR="00DC4B58" w:rsidRDefault="00DC4B58" w:rsidP="00A71365">
            <w:pPr>
              <w:pStyle w:val="Tablewriting"/>
              <w:rPr>
                <w:rFonts w:eastAsia="MS Mincho" w:cstheme="minorHAnsi"/>
              </w:rPr>
            </w:pPr>
          </w:p>
          <w:p w14:paraId="73DFBB3F" w14:textId="0AD4B5A9" w:rsidR="009042AA" w:rsidRPr="00017AE6" w:rsidRDefault="00E669E6" w:rsidP="00A71365">
            <w:pPr>
              <w:pStyle w:val="Tablewriting"/>
              <w:rPr>
                <w:rFonts w:eastAsia="MS Mincho" w:cstheme="minorHAnsi"/>
              </w:rPr>
            </w:pPr>
            <w:r w:rsidRPr="00E669E6">
              <w:rPr>
                <w:rFonts w:eastAsia="MS Mincho" w:cstheme="minorHAnsi"/>
              </w:rPr>
              <w:lastRenderedPageBreak/>
              <w:t>Level of support: high</w:t>
            </w:r>
            <w:r w:rsidR="00DC4B58">
              <w:rPr>
                <w:rFonts w:eastAsia="MS Mincho" w:cstheme="minorHAnsi"/>
              </w:rPr>
              <w:t xml:space="preserve"> </w:t>
            </w:r>
            <w:r w:rsidRPr="00E669E6">
              <w:rPr>
                <w:rFonts w:eastAsia="MS Mincho" w:cstheme="minorHAnsi"/>
              </w:rPr>
              <w:t>(intensive group counselling)</w:t>
            </w:r>
          </w:p>
        </w:tc>
        <w:tc>
          <w:tcPr>
            <w:tcW w:w="958" w:type="pct"/>
          </w:tcPr>
          <w:p w14:paraId="547919A0" w14:textId="53FAE71C" w:rsidR="005D5266" w:rsidRDefault="001173B2" w:rsidP="00A71365">
            <w:pPr>
              <w:pStyle w:val="Tablewriting"/>
              <w:rPr>
                <w:rFonts w:eastAsia="MS Mincho" w:cstheme="minorHAnsi"/>
              </w:rPr>
            </w:pPr>
            <w:r w:rsidRPr="009B13E2">
              <w:rPr>
                <w:rFonts w:eastAsia="MS Mincho" w:cstheme="minorHAnsi"/>
                <w:u w:val="single"/>
              </w:rPr>
              <w:lastRenderedPageBreak/>
              <w:t>Efficacy:</w:t>
            </w:r>
            <w:r w:rsidR="005D5266">
              <w:rPr>
                <w:rFonts w:eastAsia="MS Mincho" w:cstheme="minorHAnsi"/>
                <w:u w:val="single"/>
              </w:rPr>
              <w:t xml:space="preserve"> </w:t>
            </w:r>
            <w:r w:rsidR="005D5266" w:rsidRPr="005D5266">
              <w:rPr>
                <w:rFonts w:eastAsia="MS Mincho" w:cstheme="minorHAnsi"/>
              </w:rPr>
              <w:t>PP abstinence at 6 months (7-day PP)</w:t>
            </w:r>
            <w:r w:rsidR="005D5266">
              <w:rPr>
                <w:rFonts w:eastAsia="MS Mincho" w:cstheme="minorHAnsi"/>
              </w:rPr>
              <w:t>.</w:t>
            </w:r>
          </w:p>
          <w:p w14:paraId="7D578258" w14:textId="77777777" w:rsidR="005D5266" w:rsidRPr="005D5266" w:rsidRDefault="005D5266" w:rsidP="00A71365">
            <w:pPr>
              <w:pStyle w:val="Tablewriting"/>
              <w:rPr>
                <w:rFonts w:eastAsia="MS Mincho" w:cstheme="minorHAnsi"/>
                <w:u w:val="single"/>
              </w:rPr>
            </w:pPr>
          </w:p>
          <w:p w14:paraId="08CA8F57" w14:textId="44D8E8F7" w:rsidR="001173B2" w:rsidRDefault="005D5266" w:rsidP="00A71365">
            <w:pPr>
              <w:pStyle w:val="Tablewriting"/>
              <w:rPr>
                <w:rFonts w:eastAsia="MS Mincho" w:cstheme="minorHAnsi"/>
              </w:rPr>
            </w:pPr>
            <w:r w:rsidRPr="005D5266">
              <w:rPr>
                <w:rFonts w:eastAsia="MS Mincho" w:cstheme="minorHAnsi"/>
              </w:rPr>
              <w:t>Validation: CO</w:t>
            </w:r>
          </w:p>
          <w:p w14:paraId="6C721185"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691F55F9" w14:textId="6F171CDD" w:rsidR="009042AA" w:rsidRPr="00017AE6" w:rsidRDefault="009042AA" w:rsidP="00A71365">
            <w:pPr>
              <w:pStyle w:val="Tablewriting"/>
              <w:rPr>
                <w:rFonts w:eastAsia="MS Mincho" w:cstheme="minorHAnsi"/>
              </w:rPr>
            </w:pPr>
          </w:p>
        </w:tc>
      </w:tr>
      <w:tr w:rsidR="009042AA" w:rsidRPr="00017AE6" w14:paraId="3730859F" w14:textId="77777777" w:rsidTr="005821B1">
        <w:trPr>
          <w:trHeight w:val="99"/>
        </w:trPr>
        <w:tc>
          <w:tcPr>
            <w:tcW w:w="1003" w:type="pct"/>
          </w:tcPr>
          <w:p w14:paraId="7092C8D3" w14:textId="20D7F0B6" w:rsidR="009042AA" w:rsidRPr="00017AE6" w:rsidRDefault="007523E4" w:rsidP="00A71365">
            <w:pPr>
              <w:pStyle w:val="Tablewriting"/>
              <w:rPr>
                <w:rFonts w:eastAsia="MS Mincho" w:cstheme="minorHAnsi"/>
              </w:rPr>
            </w:pPr>
            <w:r w:rsidRPr="00B07BE1">
              <w:rPr>
                <w:rFonts w:eastAsia="MS Mincho"/>
              </w:rPr>
              <w:lastRenderedPageBreak/>
              <w:t xml:space="preserve">Fiore </w:t>
            </w:r>
            <w:r w:rsidR="00FA40D7">
              <w:rPr>
                <w:rFonts w:eastAsia="MS Mincho"/>
              </w:rPr>
              <w:t>(</w:t>
            </w:r>
            <w:r w:rsidRPr="00B07BE1">
              <w:rPr>
                <w:rFonts w:eastAsia="MS Mincho"/>
              </w:rPr>
              <w:t>1994</w:t>
            </w:r>
            <w:r w:rsidR="004810EB">
              <w:rPr>
                <w:rFonts w:eastAsia="MS Mincho"/>
              </w:rPr>
              <w:t>b</w:t>
            </w:r>
            <w:r w:rsidR="00FA40D7">
              <w:rPr>
                <w:rFonts w:eastAsia="MS Mincho"/>
              </w:rPr>
              <w:t>)</w:t>
            </w:r>
          </w:p>
        </w:tc>
        <w:tc>
          <w:tcPr>
            <w:tcW w:w="235" w:type="pct"/>
          </w:tcPr>
          <w:p w14:paraId="4A2F2F67" w14:textId="44617ED8"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F3A59DD" w14:textId="313E202C" w:rsidR="009042AA" w:rsidRPr="00017AE6" w:rsidRDefault="00A40B8B" w:rsidP="00A71365">
            <w:pPr>
              <w:pStyle w:val="Tablewriting"/>
              <w:rPr>
                <w:rFonts w:eastAsia="MS Mincho" w:cstheme="minorHAnsi"/>
              </w:rPr>
            </w:pPr>
            <w:r>
              <w:rPr>
                <w:rFonts w:eastAsia="MS Mincho" w:cstheme="minorHAnsi"/>
              </w:rPr>
              <w:t>USA</w:t>
            </w:r>
          </w:p>
        </w:tc>
        <w:tc>
          <w:tcPr>
            <w:tcW w:w="289" w:type="pct"/>
          </w:tcPr>
          <w:p w14:paraId="4C9625C9" w14:textId="63D7560D" w:rsidR="009042AA" w:rsidRPr="00017AE6" w:rsidRDefault="001173B2" w:rsidP="00A71365">
            <w:pPr>
              <w:pStyle w:val="Tablewriting"/>
              <w:rPr>
                <w:rFonts w:eastAsia="MS Mincho" w:cstheme="minorHAnsi"/>
              </w:rPr>
            </w:pPr>
            <w:r>
              <w:rPr>
                <w:rFonts w:eastAsia="MS Mincho" w:cstheme="minorHAnsi"/>
              </w:rPr>
              <w:t>N=</w:t>
            </w:r>
            <w:r w:rsidR="00A40B8B">
              <w:rPr>
                <w:rFonts w:eastAsia="MS Mincho" w:cstheme="minorHAnsi"/>
              </w:rPr>
              <w:t>112</w:t>
            </w:r>
          </w:p>
        </w:tc>
        <w:tc>
          <w:tcPr>
            <w:tcW w:w="1045" w:type="pct"/>
          </w:tcPr>
          <w:p w14:paraId="37347A32" w14:textId="26449C26" w:rsidR="009042AA" w:rsidRPr="00017AE6" w:rsidRDefault="00BB6281" w:rsidP="00A71365">
            <w:pPr>
              <w:pStyle w:val="Tablewriting"/>
              <w:rPr>
                <w:rFonts w:eastAsia="MS Mincho" w:cstheme="minorHAnsi"/>
              </w:rPr>
            </w:pPr>
            <w:r>
              <w:rPr>
                <w:rFonts w:eastAsia="MS Mincho" w:cstheme="minorHAnsi"/>
              </w:rPr>
              <w:t>S</w:t>
            </w:r>
            <w:r w:rsidRPr="00BB6281">
              <w:rPr>
                <w:rFonts w:eastAsia="MS Mincho" w:cstheme="minorHAnsi"/>
              </w:rPr>
              <w:t xml:space="preserve">mokers (&gt; 15 </w:t>
            </w:r>
            <w:r>
              <w:rPr>
                <w:rFonts w:eastAsia="MS Mincho" w:cstheme="minorHAnsi"/>
              </w:rPr>
              <w:t>CPD</w:t>
            </w:r>
            <w:r w:rsidRPr="00BB6281">
              <w:rPr>
                <w:rFonts w:eastAsia="MS Mincho" w:cstheme="minorHAnsi"/>
              </w:rPr>
              <w:t>)</w:t>
            </w:r>
            <w:r>
              <w:rPr>
                <w:rFonts w:eastAsia="MS Mincho" w:cstheme="minorHAnsi"/>
              </w:rPr>
              <w:t>.</w:t>
            </w:r>
          </w:p>
        </w:tc>
        <w:tc>
          <w:tcPr>
            <w:tcW w:w="1055" w:type="pct"/>
          </w:tcPr>
          <w:p w14:paraId="5902CEC4" w14:textId="77777777" w:rsidR="000C5810" w:rsidRDefault="000C5810" w:rsidP="00C324F3">
            <w:pPr>
              <w:pStyle w:val="Tablewriting"/>
              <w:numPr>
                <w:ilvl w:val="0"/>
                <w:numId w:val="136"/>
              </w:numPr>
              <w:rPr>
                <w:rFonts w:eastAsia="MS Mincho" w:cstheme="minorHAnsi"/>
              </w:rPr>
            </w:pPr>
            <w:r w:rsidRPr="000C5810">
              <w:rPr>
                <w:rFonts w:eastAsia="MS Mincho" w:cstheme="minorHAnsi"/>
              </w:rPr>
              <w:t>Nicotine patch (22 mg/24 h, 6 weeks including weaning)</w:t>
            </w:r>
            <w:r>
              <w:rPr>
                <w:rFonts w:eastAsia="MS Mincho" w:cstheme="minorHAnsi"/>
              </w:rPr>
              <w:t>.</w:t>
            </w:r>
          </w:p>
          <w:p w14:paraId="21F96586" w14:textId="0D4605F8" w:rsidR="000C5810" w:rsidRDefault="000C5810" w:rsidP="00C324F3">
            <w:pPr>
              <w:pStyle w:val="Tablewriting"/>
              <w:numPr>
                <w:ilvl w:val="0"/>
                <w:numId w:val="136"/>
              </w:numPr>
              <w:rPr>
                <w:rFonts w:eastAsia="MS Mincho" w:cstheme="minorHAnsi"/>
              </w:rPr>
            </w:pPr>
            <w:r w:rsidRPr="000C5810">
              <w:rPr>
                <w:rFonts w:eastAsia="MS Mincho" w:cstheme="minorHAnsi"/>
              </w:rPr>
              <w:t>Placebo patch</w:t>
            </w:r>
            <w:r>
              <w:rPr>
                <w:rFonts w:eastAsia="MS Mincho" w:cstheme="minorHAnsi"/>
              </w:rPr>
              <w:t>.</w:t>
            </w:r>
          </w:p>
          <w:p w14:paraId="3DDB1024" w14:textId="77777777" w:rsidR="000C5810" w:rsidRPr="000C5810" w:rsidRDefault="000C5810" w:rsidP="00A71365">
            <w:pPr>
              <w:pStyle w:val="Tablewriting"/>
              <w:ind w:left="360"/>
              <w:rPr>
                <w:rFonts w:eastAsia="MS Mincho" w:cstheme="minorHAnsi"/>
              </w:rPr>
            </w:pPr>
          </w:p>
          <w:p w14:paraId="73409266" w14:textId="77B89207" w:rsidR="009042AA" w:rsidRPr="00017AE6" w:rsidRDefault="000C5810" w:rsidP="00A71365">
            <w:pPr>
              <w:pStyle w:val="Tablewriting"/>
              <w:rPr>
                <w:rFonts w:eastAsia="MS Mincho" w:cstheme="minorHAnsi"/>
              </w:rPr>
            </w:pPr>
            <w:r w:rsidRPr="000C5810">
              <w:rPr>
                <w:rFonts w:eastAsia="MS Mincho" w:cstheme="minorHAnsi"/>
              </w:rPr>
              <w:t>Level of support: high (8 weekly 10 min to 20 min individual counselling)</w:t>
            </w:r>
          </w:p>
        </w:tc>
        <w:tc>
          <w:tcPr>
            <w:tcW w:w="958" w:type="pct"/>
          </w:tcPr>
          <w:p w14:paraId="4EA0663A" w14:textId="7FC47883" w:rsidR="009612AC" w:rsidRDefault="001173B2" w:rsidP="00A71365">
            <w:pPr>
              <w:pStyle w:val="Tablewriting"/>
              <w:rPr>
                <w:rFonts w:eastAsia="MS Mincho" w:cstheme="minorHAnsi"/>
              </w:rPr>
            </w:pPr>
            <w:r w:rsidRPr="009B13E2">
              <w:rPr>
                <w:rFonts w:eastAsia="MS Mincho" w:cstheme="minorHAnsi"/>
                <w:u w:val="single"/>
              </w:rPr>
              <w:t>Efficacy:</w:t>
            </w:r>
            <w:r w:rsidR="009612AC">
              <w:rPr>
                <w:rFonts w:eastAsia="MS Mincho" w:cstheme="minorHAnsi"/>
                <w:u w:val="single"/>
              </w:rPr>
              <w:t xml:space="preserve"> </w:t>
            </w:r>
            <w:r w:rsidR="009612AC" w:rsidRPr="009612AC">
              <w:rPr>
                <w:rFonts w:eastAsia="MS Mincho" w:cstheme="minorHAnsi"/>
              </w:rPr>
              <w:t>PP abstinence at 6 months (7 days PP)</w:t>
            </w:r>
            <w:r w:rsidR="009612AC">
              <w:rPr>
                <w:rFonts w:eastAsia="MS Mincho" w:cstheme="minorHAnsi"/>
              </w:rPr>
              <w:t>.</w:t>
            </w:r>
          </w:p>
          <w:p w14:paraId="358EFE02" w14:textId="77777777" w:rsidR="009612AC" w:rsidRPr="009612AC" w:rsidRDefault="009612AC" w:rsidP="00A71365">
            <w:pPr>
              <w:pStyle w:val="Tablewriting"/>
              <w:rPr>
                <w:rFonts w:eastAsia="MS Mincho" w:cstheme="minorHAnsi"/>
                <w:u w:val="single"/>
              </w:rPr>
            </w:pPr>
          </w:p>
          <w:p w14:paraId="4E810A6D" w14:textId="7A7EAD96" w:rsidR="001173B2" w:rsidRDefault="009612AC" w:rsidP="00A71365">
            <w:pPr>
              <w:pStyle w:val="Tablewriting"/>
              <w:rPr>
                <w:rFonts w:eastAsia="MS Mincho" w:cstheme="minorHAnsi"/>
              </w:rPr>
            </w:pPr>
            <w:r w:rsidRPr="009612AC">
              <w:rPr>
                <w:rFonts w:eastAsia="MS Mincho" w:cstheme="minorHAnsi"/>
              </w:rPr>
              <w:t>Validation: CO</w:t>
            </w:r>
          </w:p>
          <w:p w14:paraId="23669A9C"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0F3D42C7" w14:textId="32462804" w:rsidR="009042AA" w:rsidRPr="00017AE6" w:rsidRDefault="009042AA" w:rsidP="00A71365">
            <w:pPr>
              <w:pStyle w:val="Tablewriting"/>
              <w:rPr>
                <w:rFonts w:eastAsia="MS Mincho" w:cstheme="minorHAnsi"/>
              </w:rPr>
            </w:pPr>
          </w:p>
        </w:tc>
      </w:tr>
      <w:tr w:rsidR="009042AA" w:rsidRPr="00017AE6" w14:paraId="74001918" w14:textId="77777777" w:rsidTr="005821B1">
        <w:trPr>
          <w:trHeight w:val="99"/>
        </w:trPr>
        <w:tc>
          <w:tcPr>
            <w:tcW w:w="1003" w:type="pct"/>
          </w:tcPr>
          <w:p w14:paraId="5B82E92B" w14:textId="4CBAA49D" w:rsidR="009042AA" w:rsidRPr="00017AE6" w:rsidRDefault="007523E4" w:rsidP="00A71365">
            <w:pPr>
              <w:pStyle w:val="Tablewriting"/>
              <w:rPr>
                <w:rFonts w:eastAsia="MS Mincho" w:cstheme="minorHAnsi"/>
              </w:rPr>
            </w:pPr>
            <w:r w:rsidRPr="00B07BE1">
              <w:rPr>
                <w:rFonts w:eastAsia="MS Mincho"/>
              </w:rPr>
              <w:t xml:space="preserve">Glavas </w:t>
            </w:r>
            <w:r w:rsidR="00FA40D7">
              <w:rPr>
                <w:rFonts w:eastAsia="MS Mincho"/>
              </w:rPr>
              <w:t>(</w:t>
            </w:r>
            <w:r w:rsidRPr="00B07BE1">
              <w:rPr>
                <w:rFonts w:eastAsia="MS Mincho"/>
              </w:rPr>
              <w:t>2003</w:t>
            </w:r>
            <w:r w:rsidR="004810EB">
              <w:rPr>
                <w:rFonts w:eastAsia="MS Mincho"/>
              </w:rPr>
              <w:t>b)</w:t>
            </w:r>
          </w:p>
        </w:tc>
        <w:tc>
          <w:tcPr>
            <w:tcW w:w="235" w:type="pct"/>
          </w:tcPr>
          <w:p w14:paraId="4838109B" w14:textId="6B4BF0E5"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29E1D90F" w14:textId="7C203F4D" w:rsidR="009042AA" w:rsidRPr="00017AE6" w:rsidRDefault="002F64BF" w:rsidP="00A71365">
            <w:pPr>
              <w:pStyle w:val="Tablewriting"/>
              <w:rPr>
                <w:rFonts w:eastAsia="MS Mincho" w:cstheme="minorHAnsi"/>
              </w:rPr>
            </w:pPr>
            <w:r w:rsidRPr="002F64BF">
              <w:rPr>
                <w:rFonts w:eastAsia="MS Mincho" w:cstheme="minorHAnsi"/>
              </w:rPr>
              <w:t>Croatia</w:t>
            </w:r>
          </w:p>
        </w:tc>
        <w:tc>
          <w:tcPr>
            <w:tcW w:w="289" w:type="pct"/>
          </w:tcPr>
          <w:p w14:paraId="5850EA9E" w14:textId="0A80DA3C" w:rsidR="009042AA" w:rsidRPr="00017AE6" w:rsidRDefault="001173B2" w:rsidP="00A71365">
            <w:pPr>
              <w:pStyle w:val="Tablewriting"/>
              <w:rPr>
                <w:rFonts w:eastAsia="MS Mincho" w:cstheme="minorHAnsi"/>
              </w:rPr>
            </w:pPr>
            <w:r>
              <w:rPr>
                <w:rFonts w:eastAsia="MS Mincho" w:cstheme="minorHAnsi"/>
              </w:rPr>
              <w:t>N=</w:t>
            </w:r>
            <w:r w:rsidR="002F64BF">
              <w:rPr>
                <w:rFonts w:eastAsia="MS Mincho" w:cstheme="minorHAnsi"/>
              </w:rPr>
              <w:t>160</w:t>
            </w:r>
          </w:p>
        </w:tc>
        <w:tc>
          <w:tcPr>
            <w:tcW w:w="1045" w:type="pct"/>
          </w:tcPr>
          <w:p w14:paraId="334584E5" w14:textId="3AA2264B" w:rsidR="009042AA" w:rsidRPr="00017AE6" w:rsidRDefault="00FF7DBF" w:rsidP="00A71365">
            <w:pPr>
              <w:pStyle w:val="Tablewriting"/>
              <w:rPr>
                <w:rFonts w:eastAsia="MS Mincho" w:cstheme="minorHAnsi"/>
              </w:rPr>
            </w:pPr>
            <w:r>
              <w:rPr>
                <w:rFonts w:eastAsia="MS Mincho" w:cstheme="minorHAnsi"/>
              </w:rPr>
              <w:t>NR</w:t>
            </w:r>
          </w:p>
        </w:tc>
        <w:tc>
          <w:tcPr>
            <w:tcW w:w="1055" w:type="pct"/>
          </w:tcPr>
          <w:p w14:paraId="700ED6E8" w14:textId="7CE8FA0A" w:rsidR="001B3197" w:rsidRDefault="00333CCF" w:rsidP="00C324F3">
            <w:pPr>
              <w:pStyle w:val="Tablewriting"/>
              <w:numPr>
                <w:ilvl w:val="0"/>
                <w:numId w:val="137"/>
              </w:numPr>
              <w:rPr>
                <w:rFonts w:eastAsia="MS Mincho" w:cstheme="minorHAnsi"/>
              </w:rPr>
            </w:pPr>
            <w:r w:rsidRPr="00333CCF">
              <w:rPr>
                <w:rFonts w:eastAsia="MS Mincho" w:cstheme="minorHAnsi"/>
              </w:rPr>
              <w:t xml:space="preserve">Nicotine patch, 24 h, 25 mg/15 mg/8 mg starting dose depending on baseline </w:t>
            </w:r>
            <w:r w:rsidR="00CB4411">
              <w:rPr>
                <w:rFonts w:eastAsia="MS Mincho" w:cstheme="minorHAnsi"/>
              </w:rPr>
              <w:t>CPD (</w:t>
            </w:r>
            <w:r w:rsidRPr="00333CCF">
              <w:rPr>
                <w:rFonts w:eastAsia="MS Mincho" w:cstheme="minorHAnsi"/>
              </w:rPr>
              <w:t>6 weeks</w:t>
            </w:r>
            <w:r w:rsidR="00CB4411">
              <w:rPr>
                <w:rFonts w:eastAsia="MS Mincho" w:cstheme="minorHAnsi"/>
              </w:rPr>
              <w:t>)</w:t>
            </w:r>
            <w:r w:rsidR="001B3197">
              <w:rPr>
                <w:rFonts w:eastAsia="MS Mincho" w:cstheme="minorHAnsi"/>
              </w:rPr>
              <w:t>.</w:t>
            </w:r>
          </w:p>
          <w:p w14:paraId="7889C155" w14:textId="044146D2" w:rsidR="0000141B" w:rsidRDefault="00333CCF" w:rsidP="00C324F3">
            <w:pPr>
              <w:pStyle w:val="Tablewriting"/>
              <w:numPr>
                <w:ilvl w:val="0"/>
                <w:numId w:val="137"/>
              </w:numPr>
              <w:rPr>
                <w:rFonts w:eastAsia="MS Mincho" w:cstheme="minorHAnsi"/>
              </w:rPr>
            </w:pPr>
            <w:r w:rsidRPr="001B3197">
              <w:rPr>
                <w:rFonts w:eastAsia="MS Mincho" w:cstheme="minorHAnsi"/>
              </w:rPr>
              <w:t xml:space="preserve">Nicotine patch, 24 h, 25 mg/15 mg starting dose depending on baseline </w:t>
            </w:r>
            <w:r w:rsidR="0000141B">
              <w:rPr>
                <w:rFonts w:eastAsia="MS Mincho" w:cstheme="minorHAnsi"/>
              </w:rPr>
              <w:t>CPD</w:t>
            </w:r>
            <w:r w:rsidR="00CB4411">
              <w:rPr>
                <w:rFonts w:eastAsia="MS Mincho" w:cstheme="minorHAnsi"/>
              </w:rPr>
              <w:t xml:space="preserve"> (</w:t>
            </w:r>
            <w:r w:rsidRPr="001B3197">
              <w:rPr>
                <w:rFonts w:eastAsia="MS Mincho" w:cstheme="minorHAnsi"/>
              </w:rPr>
              <w:t>3 weeks</w:t>
            </w:r>
            <w:r w:rsidR="00CB4411">
              <w:rPr>
                <w:rFonts w:eastAsia="MS Mincho" w:cstheme="minorHAnsi"/>
              </w:rPr>
              <w:t>).</w:t>
            </w:r>
          </w:p>
          <w:p w14:paraId="4F4D91F1" w14:textId="49C9E2F4" w:rsidR="0000141B" w:rsidRDefault="00333CCF" w:rsidP="00C324F3">
            <w:pPr>
              <w:pStyle w:val="Tablewriting"/>
              <w:numPr>
                <w:ilvl w:val="0"/>
                <w:numId w:val="137"/>
              </w:numPr>
              <w:rPr>
                <w:rFonts w:eastAsia="MS Mincho" w:cstheme="minorHAnsi"/>
              </w:rPr>
            </w:pPr>
            <w:r w:rsidRPr="0000141B">
              <w:rPr>
                <w:rFonts w:eastAsia="MS Mincho" w:cstheme="minorHAnsi"/>
              </w:rPr>
              <w:t>Placebo patch</w:t>
            </w:r>
            <w:r w:rsidR="00CB4411">
              <w:rPr>
                <w:rFonts w:eastAsia="MS Mincho" w:cstheme="minorHAnsi"/>
              </w:rPr>
              <w:t xml:space="preserve"> (</w:t>
            </w:r>
            <w:r w:rsidRPr="0000141B">
              <w:rPr>
                <w:rFonts w:eastAsia="MS Mincho" w:cstheme="minorHAnsi"/>
              </w:rPr>
              <w:t>6 weeks</w:t>
            </w:r>
            <w:r w:rsidR="00CB4411">
              <w:rPr>
                <w:rFonts w:eastAsia="MS Mincho" w:cstheme="minorHAnsi"/>
              </w:rPr>
              <w:t>)</w:t>
            </w:r>
            <w:r w:rsidR="0000141B">
              <w:rPr>
                <w:rFonts w:eastAsia="MS Mincho" w:cstheme="minorHAnsi"/>
              </w:rPr>
              <w:t>.</w:t>
            </w:r>
          </w:p>
          <w:p w14:paraId="0B4071CE" w14:textId="7ACAE5AB" w:rsidR="00333CCF" w:rsidRPr="0000141B" w:rsidRDefault="00333CCF" w:rsidP="00C324F3">
            <w:pPr>
              <w:pStyle w:val="Tablewriting"/>
              <w:numPr>
                <w:ilvl w:val="0"/>
                <w:numId w:val="137"/>
              </w:numPr>
              <w:rPr>
                <w:rFonts w:eastAsia="MS Mincho" w:cstheme="minorHAnsi"/>
              </w:rPr>
            </w:pPr>
            <w:r w:rsidRPr="0000141B">
              <w:rPr>
                <w:rFonts w:eastAsia="MS Mincho" w:cstheme="minorHAnsi"/>
              </w:rPr>
              <w:t xml:space="preserve">Placebo patch </w:t>
            </w:r>
            <w:r w:rsidR="00CB4411">
              <w:rPr>
                <w:rFonts w:eastAsia="MS Mincho" w:cstheme="minorHAnsi"/>
              </w:rPr>
              <w:t>(</w:t>
            </w:r>
            <w:r w:rsidRPr="0000141B">
              <w:rPr>
                <w:rFonts w:eastAsia="MS Mincho" w:cstheme="minorHAnsi"/>
              </w:rPr>
              <w:t>3 weeks</w:t>
            </w:r>
            <w:r w:rsidR="00CB4411">
              <w:rPr>
                <w:rFonts w:eastAsia="MS Mincho" w:cstheme="minorHAnsi"/>
              </w:rPr>
              <w:t>)</w:t>
            </w:r>
            <w:r w:rsidR="0000141B">
              <w:rPr>
                <w:rFonts w:eastAsia="MS Mincho" w:cstheme="minorHAnsi"/>
              </w:rPr>
              <w:t>.</w:t>
            </w:r>
          </w:p>
          <w:p w14:paraId="769A8C79" w14:textId="77777777" w:rsidR="0000141B" w:rsidRDefault="0000141B" w:rsidP="00A71365">
            <w:pPr>
              <w:pStyle w:val="Tablewriting"/>
              <w:rPr>
                <w:rFonts w:eastAsia="MS Mincho" w:cstheme="minorHAnsi"/>
              </w:rPr>
            </w:pPr>
          </w:p>
          <w:p w14:paraId="0D080256" w14:textId="6DE49E51" w:rsidR="009042AA" w:rsidRPr="00017AE6" w:rsidRDefault="00333CCF" w:rsidP="00A71365">
            <w:pPr>
              <w:pStyle w:val="Tablewriting"/>
              <w:rPr>
                <w:rFonts w:eastAsia="MS Mincho" w:cstheme="minorHAnsi"/>
              </w:rPr>
            </w:pPr>
            <w:r w:rsidRPr="00333CCF">
              <w:rPr>
                <w:rFonts w:eastAsia="MS Mincho" w:cstheme="minorHAnsi"/>
              </w:rPr>
              <w:t>Level of support: low</w:t>
            </w:r>
          </w:p>
        </w:tc>
        <w:tc>
          <w:tcPr>
            <w:tcW w:w="958" w:type="pct"/>
          </w:tcPr>
          <w:p w14:paraId="33061427" w14:textId="63340FFB" w:rsidR="00190C0E" w:rsidRDefault="001173B2" w:rsidP="00A71365">
            <w:pPr>
              <w:pStyle w:val="Tablewriting"/>
              <w:rPr>
                <w:rFonts w:eastAsia="MS Mincho" w:cstheme="minorHAnsi"/>
              </w:rPr>
            </w:pPr>
            <w:r w:rsidRPr="009B13E2">
              <w:rPr>
                <w:rFonts w:eastAsia="MS Mincho" w:cstheme="minorHAnsi"/>
                <w:u w:val="single"/>
              </w:rPr>
              <w:t>Efficacy:</w:t>
            </w:r>
            <w:r w:rsidR="00190C0E">
              <w:rPr>
                <w:rFonts w:eastAsia="MS Mincho" w:cstheme="minorHAnsi"/>
                <w:u w:val="single"/>
              </w:rPr>
              <w:t xml:space="preserve"> </w:t>
            </w:r>
            <w:r w:rsidR="00190C0E" w:rsidRPr="00190C0E">
              <w:rPr>
                <w:rFonts w:eastAsia="MS Mincho" w:cstheme="minorHAnsi"/>
              </w:rPr>
              <w:t>Abstinence at 6 months after EOT</w:t>
            </w:r>
            <w:r w:rsidR="00190C0E">
              <w:rPr>
                <w:rFonts w:eastAsia="MS Mincho" w:cstheme="minorHAnsi"/>
              </w:rPr>
              <w:t>.</w:t>
            </w:r>
          </w:p>
          <w:p w14:paraId="7F054E14" w14:textId="77777777" w:rsidR="00190C0E" w:rsidRPr="00190C0E" w:rsidRDefault="00190C0E" w:rsidP="00A71365">
            <w:pPr>
              <w:pStyle w:val="Tablewriting"/>
              <w:rPr>
                <w:rFonts w:eastAsia="MS Mincho" w:cstheme="minorHAnsi"/>
                <w:u w:val="single"/>
              </w:rPr>
            </w:pPr>
          </w:p>
          <w:p w14:paraId="2DFBF8E4" w14:textId="0B3FEED1" w:rsidR="001173B2" w:rsidRDefault="00190C0E" w:rsidP="00A71365">
            <w:pPr>
              <w:pStyle w:val="Tablewriting"/>
              <w:rPr>
                <w:rFonts w:eastAsia="MS Mincho" w:cstheme="minorHAnsi"/>
              </w:rPr>
            </w:pPr>
            <w:r w:rsidRPr="00190C0E">
              <w:rPr>
                <w:rFonts w:eastAsia="MS Mincho" w:cstheme="minorHAnsi"/>
              </w:rPr>
              <w:t>Validation: CO &lt; 11 ppm</w:t>
            </w:r>
          </w:p>
          <w:p w14:paraId="28C2002C" w14:textId="77777777" w:rsidR="00190C0E" w:rsidRDefault="00190C0E" w:rsidP="00A71365">
            <w:pPr>
              <w:pStyle w:val="Tablewriting"/>
              <w:rPr>
                <w:rFonts w:eastAsia="MS Mincho" w:cstheme="minorHAnsi"/>
              </w:rPr>
            </w:pPr>
          </w:p>
          <w:p w14:paraId="51A1243F"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074E591D" w14:textId="2DF86792" w:rsidR="009042AA" w:rsidRPr="00017AE6" w:rsidRDefault="009042AA" w:rsidP="00A71365">
            <w:pPr>
              <w:pStyle w:val="Tablewriting"/>
              <w:rPr>
                <w:rFonts w:eastAsia="MS Mincho" w:cstheme="minorHAnsi"/>
              </w:rPr>
            </w:pPr>
          </w:p>
        </w:tc>
      </w:tr>
      <w:tr w:rsidR="009042AA" w:rsidRPr="00017AE6" w14:paraId="099E397B" w14:textId="77777777" w:rsidTr="005821B1">
        <w:trPr>
          <w:trHeight w:val="99"/>
        </w:trPr>
        <w:tc>
          <w:tcPr>
            <w:tcW w:w="1003" w:type="pct"/>
          </w:tcPr>
          <w:p w14:paraId="42CFA5E7" w14:textId="4793BC2D" w:rsidR="009042AA" w:rsidRPr="00017AE6" w:rsidRDefault="00326F38" w:rsidP="00A71365">
            <w:pPr>
              <w:pStyle w:val="Tablewriting"/>
              <w:rPr>
                <w:rFonts w:eastAsia="MS Mincho" w:cstheme="minorHAnsi"/>
              </w:rPr>
            </w:pPr>
            <w:r w:rsidRPr="00B07BE1">
              <w:rPr>
                <w:rFonts w:eastAsia="MS Mincho"/>
              </w:rPr>
              <w:t xml:space="preserve">Lewis </w:t>
            </w:r>
            <w:r w:rsidR="00FA40D7">
              <w:rPr>
                <w:rFonts w:eastAsia="MS Mincho"/>
              </w:rPr>
              <w:t>(</w:t>
            </w:r>
            <w:r w:rsidRPr="00B07BE1">
              <w:rPr>
                <w:rFonts w:eastAsia="MS Mincho"/>
              </w:rPr>
              <w:t>1998</w:t>
            </w:r>
            <w:r w:rsidR="00FA40D7">
              <w:rPr>
                <w:rFonts w:eastAsia="MS Mincho"/>
              </w:rPr>
              <w:t>)</w:t>
            </w:r>
          </w:p>
        </w:tc>
        <w:tc>
          <w:tcPr>
            <w:tcW w:w="235" w:type="pct"/>
          </w:tcPr>
          <w:p w14:paraId="331C763F" w14:textId="5B656585"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65F114DE" w14:textId="2AFA7910" w:rsidR="009042AA" w:rsidRPr="00017AE6" w:rsidRDefault="00871F95" w:rsidP="00A71365">
            <w:pPr>
              <w:pStyle w:val="Tablewriting"/>
              <w:rPr>
                <w:rFonts w:eastAsia="MS Mincho" w:cstheme="minorHAnsi"/>
              </w:rPr>
            </w:pPr>
            <w:r>
              <w:rPr>
                <w:rFonts w:eastAsia="MS Mincho" w:cstheme="minorHAnsi"/>
              </w:rPr>
              <w:t>USA</w:t>
            </w:r>
          </w:p>
        </w:tc>
        <w:tc>
          <w:tcPr>
            <w:tcW w:w="289" w:type="pct"/>
          </w:tcPr>
          <w:p w14:paraId="6CBA7B83" w14:textId="0062D841" w:rsidR="009042AA" w:rsidRPr="00017AE6" w:rsidRDefault="001173B2" w:rsidP="00A71365">
            <w:pPr>
              <w:pStyle w:val="Tablewriting"/>
              <w:rPr>
                <w:rFonts w:eastAsia="MS Mincho" w:cstheme="minorHAnsi"/>
              </w:rPr>
            </w:pPr>
            <w:r>
              <w:rPr>
                <w:rFonts w:eastAsia="MS Mincho" w:cstheme="minorHAnsi"/>
              </w:rPr>
              <w:t>N=</w:t>
            </w:r>
            <w:r w:rsidR="00871F95">
              <w:rPr>
                <w:rFonts w:eastAsia="MS Mincho" w:cstheme="minorHAnsi"/>
              </w:rPr>
              <w:t>185</w:t>
            </w:r>
          </w:p>
        </w:tc>
        <w:tc>
          <w:tcPr>
            <w:tcW w:w="1045" w:type="pct"/>
          </w:tcPr>
          <w:p w14:paraId="49213BE3" w14:textId="011A67F8" w:rsidR="009042AA" w:rsidRPr="00017AE6" w:rsidRDefault="00871F95" w:rsidP="00A71365">
            <w:pPr>
              <w:pStyle w:val="Tablewriting"/>
              <w:rPr>
                <w:rFonts w:eastAsia="MS Mincho" w:cstheme="minorHAnsi"/>
              </w:rPr>
            </w:pPr>
            <w:r w:rsidRPr="00871F95">
              <w:rPr>
                <w:rFonts w:eastAsia="MS Mincho" w:cstheme="minorHAnsi"/>
              </w:rPr>
              <w:t xml:space="preserve">185 smokers (f 10 </w:t>
            </w:r>
            <w:r>
              <w:rPr>
                <w:rFonts w:eastAsia="MS Mincho" w:cstheme="minorHAnsi"/>
              </w:rPr>
              <w:t>CPD</w:t>
            </w:r>
            <w:r w:rsidRPr="00871F95">
              <w:rPr>
                <w:rFonts w:eastAsia="MS Mincho" w:cstheme="minorHAnsi"/>
              </w:rPr>
              <w:t>), motivated to quit</w:t>
            </w:r>
            <w:r>
              <w:rPr>
                <w:rFonts w:eastAsia="MS Mincho" w:cstheme="minorHAnsi"/>
              </w:rPr>
              <w:t xml:space="preserve">, </w:t>
            </w:r>
            <w:r w:rsidRPr="00871F95">
              <w:rPr>
                <w:rFonts w:eastAsia="MS Mincho" w:cstheme="minorHAnsi"/>
              </w:rPr>
              <w:t xml:space="preserve">46% female, average age 43 to 44, </w:t>
            </w:r>
            <w:r>
              <w:rPr>
                <w:rFonts w:eastAsia="MS Mincho" w:cstheme="minorHAnsi"/>
              </w:rPr>
              <w:t>CPD</w:t>
            </w:r>
            <w:r w:rsidRPr="00871F95">
              <w:rPr>
                <w:rFonts w:eastAsia="MS Mincho" w:cstheme="minorHAnsi"/>
              </w:rPr>
              <w:t xml:space="preserve"> 23 to 24</w:t>
            </w:r>
            <w:r>
              <w:rPr>
                <w:rFonts w:eastAsia="MS Mincho" w:cstheme="minorHAnsi"/>
              </w:rPr>
              <w:t>.</w:t>
            </w:r>
          </w:p>
        </w:tc>
        <w:tc>
          <w:tcPr>
            <w:tcW w:w="1055" w:type="pct"/>
          </w:tcPr>
          <w:p w14:paraId="3DCBFE7F" w14:textId="77777777" w:rsidR="00101755" w:rsidRDefault="00871F95" w:rsidP="00C324F3">
            <w:pPr>
              <w:pStyle w:val="Tablewriting"/>
              <w:numPr>
                <w:ilvl w:val="0"/>
                <w:numId w:val="138"/>
              </w:numPr>
              <w:rPr>
                <w:rFonts w:eastAsia="MS Mincho" w:cstheme="minorHAnsi"/>
              </w:rPr>
            </w:pPr>
            <w:r w:rsidRPr="00871F95">
              <w:rPr>
                <w:rFonts w:eastAsia="MS Mincho" w:cstheme="minorHAnsi"/>
              </w:rPr>
              <w:t>Minimal intervention, 2 to 3 mins motivational message and self-help pamphlet</w:t>
            </w:r>
            <w:r w:rsidR="00101755">
              <w:rPr>
                <w:rFonts w:eastAsia="MS Mincho" w:cstheme="minorHAnsi"/>
              </w:rPr>
              <w:t>.</w:t>
            </w:r>
          </w:p>
          <w:p w14:paraId="471BF6AA" w14:textId="77777777" w:rsidR="00FD752E" w:rsidRDefault="00871F95" w:rsidP="00C324F3">
            <w:pPr>
              <w:pStyle w:val="Tablewriting"/>
              <w:numPr>
                <w:ilvl w:val="0"/>
                <w:numId w:val="138"/>
              </w:numPr>
              <w:rPr>
                <w:rFonts w:eastAsia="MS Mincho" w:cstheme="minorHAnsi"/>
              </w:rPr>
            </w:pPr>
            <w:r w:rsidRPr="00101755">
              <w:rPr>
                <w:rFonts w:eastAsia="MS Mincho" w:cstheme="minorHAnsi"/>
              </w:rPr>
              <w:t>As</w:t>
            </w:r>
            <w:r w:rsidR="00101755" w:rsidRPr="00101755">
              <w:rPr>
                <w:rFonts w:eastAsia="MS Mincho" w:cstheme="minorHAnsi"/>
              </w:rPr>
              <w:t xml:space="preserve"> the above </w:t>
            </w:r>
            <w:r w:rsidRPr="00101755">
              <w:rPr>
                <w:rFonts w:eastAsia="MS Mincho" w:cstheme="minorHAnsi"/>
              </w:rPr>
              <w:t>plus placebo patch. Nurse provided brief telephone</w:t>
            </w:r>
            <w:r w:rsidR="00101755">
              <w:rPr>
                <w:rFonts w:eastAsia="MS Mincho" w:cstheme="minorHAnsi"/>
              </w:rPr>
              <w:t xml:space="preserve"> </w:t>
            </w:r>
            <w:r w:rsidRPr="00101755">
              <w:rPr>
                <w:rFonts w:eastAsia="MS Mincho" w:cstheme="minorHAnsi"/>
              </w:rPr>
              <w:t>counselling at 1, 3, 6 and 24 weeks</w:t>
            </w:r>
            <w:r w:rsidR="00101755">
              <w:rPr>
                <w:rFonts w:eastAsia="MS Mincho" w:cstheme="minorHAnsi"/>
              </w:rPr>
              <w:t>.</w:t>
            </w:r>
          </w:p>
          <w:p w14:paraId="0DF36F6B" w14:textId="3F179973" w:rsidR="00871F95" w:rsidRPr="00101755" w:rsidRDefault="00871F95" w:rsidP="00C324F3">
            <w:pPr>
              <w:pStyle w:val="Tablewriting"/>
              <w:numPr>
                <w:ilvl w:val="0"/>
                <w:numId w:val="138"/>
              </w:numPr>
              <w:rPr>
                <w:rFonts w:eastAsia="MS Mincho" w:cstheme="minorHAnsi"/>
              </w:rPr>
            </w:pPr>
            <w:r w:rsidRPr="00101755">
              <w:rPr>
                <w:rFonts w:eastAsia="MS Mincho" w:cstheme="minorHAnsi"/>
              </w:rPr>
              <w:t xml:space="preserve"> As </w:t>
            </w:r>
            <w:r w:rsidR="00FD752E">
              <w:rPr>
                <w:rFonts w:eastAsia="MS Mincho" w:cstheme="minorHAnsi"/>
              </w:rPr>
              <w:t>2</w:t>
            </w:r>
            <w:r w:rsidRPr="00101755">
              <w:rPr>
                <w:rFonts w:eastAsia="MS Mincho" w:cstheme="minorHAnsi"/>
              </w:rPr>
              <w:t xml:space="preserve"> plus nicotine patch (22 mg/ 24 h for 3 </w:t>
            </w:r>
            <w:r w:rsidRPr="00101755">
              <w:rPr>
                <w:rFonts w:eastAsia="MS Mincho" w:cstheme="minorHAnsi"/>
              </w:rPr>
              <w:lastRenderedPageBreak/>
              <w:t>weeks, tapered to 11 mg for 3 weeks)</w:t>
            </w:r>
            <w:r w:rsidR="00FD752E">
              <w:rPr>
                <w:rFonts w:eastAsia="MS Mincho" w:cstheme="minorHAnsi"/>
              </w:rPr>
              <w:t>.</w:t>
            </w:r>
          </w:p>
          <w:p w14:paraId="07EE899C" w14:textId="77777777" w:rsidR="00FD752E" w:rsidRDefault="00FD752E" w:rsidP="00A71365">
            <w:pPr>
              <w:pStyle w:val="Tablewriting"/>
              <w:rPr>
                <w:rFonts w:eastAsia="MS Mincho" w:cstheme="minorHAnsi"/>
              </w:rPr>
            </w:pPr>
          </w:p>
          <w:p w14:paraId="1B035181" w14:textId="6521DC25" w:rsidR="009042AA" w:rsidRPr="00017AE6" w:rsidRDefault="00871F95" w:rsidP="00A71365">
            <w:pPr>
              <w:pStyle w:val="Tablewriting"/>
              <w:rPr>
                <w:rFonts w:eastAsia="MS Mincho" w:cstheme="minorHAnsi"/>
              </w:rPr>
            </w:pPr>
            <w:r w:rsidRPr="00871F95">
              <w:rPr>
                <w:rFonts w:eastAsia="MS Mincho" w:cstheme="minorHAnsi"/>
              </w:rPr>
              <w:t>Level of support: low (since initial support was brief and further contacts in 2 were by phone</w:t>
            </w:r>
            <w:r w:rsidR="00FD752E">
              <w:rPr>
                <w:rFonts w:eastAsia="MS Mincho" w:cstheme="minorHAnsi"/>
              </w:rPr>
              <w:t>.</w:t>
            </w:r>
          </w:p>
        </w:tc>
        <w:tc>
          <w:tcPr>
            <w:tcW w:w="958" w:type="pct"/>
          </w:tcPr>
          <w:p w14:paraId="42E3750C" w14:textId="77777777" w:rsidR="001A2671" w:rsidRDefault="001173B2" w:rsidP="00A71365">
            <w:pPr>
              <w:pStyle w:val="Tablewriting"/>
              <w:rPr>
                <w:rFonts w:eastAsia="MS Mincho" w:cstheme="minorHAnsi"/>
              </w:rPr>
            </w:pPr>
            <w:r w:rsidRPr="009B13E2">
              <w:rPr>
                <w:rFonts w:eastAsia="MS Mincho" w:cstheme="minorHAnsi"/>
                <w:u w:val="single"/>
              </w:rPr>
              <w:lastRenderedPageBreak/>
              <w:t>Efficacy:</w:t>
            </w:r>
            <w:r w:rsidR="00FD752E">
              <w:rPr>
                <w:rFonts w:eastAsia="MS Mincho" w:cstheme="minorHAnsi"/>
                <w:u w:val="single"/>
              </w:rPr>
              <w:t xml:space="preserve"> </w:t>
            </w:r>
            <w:r w:rsidR="00FD752E" w:rsidRPr="00FD752E">
              <w:rPr>
                <w:rFonts w:eastAsia="MS Mincho" w:cstheme="minorHAnsi"/>
              </w:rPr>
              <w:t>PP abstinence at 6 months</w:t>
            </w:r>
            <w:r w:rsidR="001A2671">
              <w:rPr>
                <w:rFonts w:eastAsia="MS Mincho" w:cstheme="minorHAnsi"/>
              </w:rPr>
              <w:t>.</w:t>
            </w:r>
          </w:p>
          <w:p w14:paraId="59479E18" w14:textId="77777777" w:rsidR="001A2671" w:rsidRDefault="001A2671" w:rsidP="00A71365">
            <w:pPr>
              <w:pStyle w:val="Tablewriting"/>
              <w:rPr>
                <w:rFonts w:eastAsia="MS Mincho" w:cstheme="minorHAnsi"/>
              </w:rPr>
            </w:pPr>
          </w:p>
          <w:p w14:paraId="6C3C8C36" w14:textId="2B0E2900" w:rsidR="001173B2" w:rsidRPr="00FD752E" w:rsidRDefault="00FD752E" w:rsidP="00A71365">
            <w:pPr>
              <w:pStyle w:val="Tablewriting"/>
              <w:rPr>
                <w:rFonts w:eastAsia="MS Mincho" w:cstheme="minorHAnsi"/>
                <w:u w:val="single"/>
              </w:rPr>
            </w:pPr>
            <w:r w:rsidRPr="00FD752E">
              <w:rPr>
                <w:rFonts w:eastAsia="MS Mincho" w:cstheme="minorHAnsi"/>
              </w:rPr>
              <w:t>Validation: CO</w:t>
            </w:r>
            <w:r w:rsidR="001A2671">
              <w:t xml:space="preserve"> </w:t>
            </w:r>
            <w:r w:rsidR="001A2671" w:rsidRPr="001A2671">
              <w:rPr>
                <w:rFonts w:eastAsia="MS Mincho" w:cstheme="minorHAnsi"/>
              </w:rPr>
              <w:t>≤</w:t>
            </w:r>
            <w:r w:rsidR="001A2671">
              <w:rPr>
                <w:rFonts w:eastAsia="MS Mincho" w:cstheme="minorHAnsi"/>
              </w:rPr>
              <w:t xml:space="preserve"> </w:t>
            </w:r>
            <w:r w:rsidRPr="00FD752E">
              <w:rPr>
                <w:rFonts w:eastAsia="MS Mincho" w:cstheme="minorHAnsi"/>
              </w:rPr>
              <w:t>10 ppm</w:t>
            </w:r>
          </w:p>
          <w:p w14:paraId="3E445C77" w14:textId="77777777" w:rsidR="001A2671" w:rsidRDefault="001A2671" w:rsidP="00A71365">
            <w:pPr>
              <w:pStyle w:val="Tablewriting"/>
              <w:rPr>
                <w:rFonts w:eastAsia="MS Mincho" w:cstheme="minorHAnsi"/>
                <w:u w:val="single"/>
              </w:rPr>
            </w:pPr>
          </w:p>
          <w:p w14:paraId="16835D2A"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695A73C3" w14:textId="4899C03E" w:rsidR="009042AA" w:rsidRPr="00017AE6" w:rsidRDefault="009042AA" w:rsidP="00A71365">
            <w:pPr>
              <w:pStyle w:val="Tablewriting"/>
              <w:rPr>
                <w:rFonts w:eastAsia="MS Mincho" w:cstheme="minorHAnsi"/>
              </w:rPr>
            </w:pPr>
          </w:p>
        </w:tc>
      </w:tr>
      <w:tr w:rsidR="009042AA" w:rsidRPr="00017AE6" w14:paraId="33A5252B" w14:textId="77777777" w:rsidTr="005821B1">
        <w:trPr>
          <w:trHeight w:val="99"/>
        </w:trPr>
        <w:tc>
          <w:tcPr>
            <w:tcW w:w="1003" w:type="pct"/>
          </w:tcPr>
          <w:p w14:paraId="160FEA0B" w14:textId="640B25E8" w:rsidR="009042AA" w:rsidRPr="00017AE6" w:rsidRDefault="00326F38" w:rsidP="00A71365">
            <w:pPr>
              <w:pStyle w:val="Tablewriting"/>
              <w:rPr>
                <w:rFonts w:eastAsia="MS Mincho" w:cstheme="minorHAnsi"/>
              </w:rPr>
            </w:pPr>
            <w:r w:rsidRPr="00B07BE1">
              <w:rPr>
                <w:rFonts w:eastAsia="MS Mincho"/>
              </w:rPr>
              <w:t xml:space="preserve">Moolchan </w:t>
            </w:r>
            <w:r w:rsidR="00FA40D7">
              <w:rPr>
                <w:rFonts w:eastAsia="MS Mincho"/>
              </w:rPr>
              <w:t>(</w:t>
            </w:r>
            <w:r w:rsidRPr="00B07BE1">
              <w:rPr>
                <w:rFonts w:eastAsia="MS Mincho"/>
              </w:rPr>
              <w:t>2005</w:t>
            </w:r>
            <w:r w:rsidR="00FA40D7">
              <w:rPr>
                <w:rFonts w:eastAsia="MS Mincho"/>
              </w:rPr>
              <w:t>)</w:t>
            </w:r>
          </w:p>
        </w:tc>
        <w:tc>
          <w:tcPr>
            <w:tcW w:w="235" w:type="pct"/>
          </w:tcPr>
          <w:p w14:paraId="7B9270F9" w14:textId="77777777" w:rsidR="009042AA" w:rsidRPr="00017AE6" w:rsidRDefault="009042AA" w:rsidP="00A71365">
            <w:pPr>
              <w:pStyle w:val="Tablewriting"/>
              <w:rPr>
                <w:rFonts w:eastAsia="MS Mincho" w:cstheme="minorHAnsi"/>
              </w:rPr>
            </w:pPr>
          </w:p>
        </w:tc>
        <w:tc>
          <w:tcPr>
            <w:tcW w:w="414" w:type="pct"/>
          </w:tcPr>
          <w:p w14:paraId="3C04FD83" w14:textId="3FCBB0B6" w:rsidR="009042AA" w:rsidRPr="00017AE6" w:rsidRDefault="00C42FEB" w:rsidP="00A71365">
            <w:pPr>
              <w:pStyle w:val="Tablewriting"/>
              <w:rPr>
                <w:rFonts w:eastAsia="MS Mincho" w:cstheme="minorHAnsi"/>
              </w:rPr>
            </w:pPr>
            <w:r>
              <w:rPr>
                <w:rFonts w:eastAsia="MS Mincho" w:cstheme="minorHAnsi"/>
              </w:rPr>
              <w:t>USA</w:t>
            </w:r>
          </w:p>
        </w:tc>
        <w:tc>
          <w:tcPr>
            <w:tcW w:w="289" w:type="pct"/>
          </w:tcPr>
          <w:p w14:paraId="267E6A93" w14:textId="16B5F677" w:rsidR="009042AA" w:rsidRPr="00017AE6" w:rsidRDefault="001173B2" w:rsidP="00A71365">
            <w:pPr>
              <w:pStyle w:val="Tablewriting"/>
              <w:rPr>
                <w:rFonts w:eastAsia="MS Mincho" w:cstheme="minorHAnsi"/>
              </w:rPr>
            </w:pPr>
            <w:r>
              <w:rPr>
                <w:rFonts w:eastAsia="MS Mincho" w:cstheme="minorHAnsi"/>
              </w:rPr>
              <w:t>N=</w:t>
            </w:r>
            <w:r w:rsidR="00C42FEB">
              <w:rPr>
                <w:rFonts w:eastAsia="MS Mincho" w:cstheme="minorHAnsi"/>
              </w:rPr>
              <w:t>120</w:t>
            </w:r>
          </w:p>
        </w:tc>
        <w:tc>
          <w:tcPr>
            <w:tcW w:w="1045" w:type="pct"/>
          </w:tcPr>
          <w:p w14:paraId="5ACB5707" w14:textId="3AEC3F3A" w:rsidR="009042AA" w:rsidRPr="00902915" w:rsidRDefault="00C42FEB" w:rsidP="00A71365">
            <w:pPr>
              <w:pStyle w:val="Tablewriting"/>
              <w:rPr>
                <w:rFonts w:ascii="Times New Roman" w:eastAsia="MS Mincho" w:hAnsi="Times New Roman"/>
                <w:sz w:val="18"/>
                <w:szCs w:val="18"/>
                <w:lang w:val="en-GB"/>
              </w:rPr>
            </w:pPr>
            <w:r w:rsidRPr="00902915">
              <w:rPr>
                <w:rFonts w:eastAsia="MS Mincho" w:cstheme="minorHAnsi"/>
              </w:rPr>
              <w:t>Adolescent (age 13 to 17) smokers (</w:t>
            </w:r>
            <w:r w:rsidR="00902915" w:rsidRPr="00902915">
              <w:rPr>
                <w:rFonts w:eastAsia="MS Mincho" w:cstheme="minorHAnsi"/>
              </w:rPr>
              <w:t xml:space="preserve">≥ </w:t>
            </w:r>
            <w:r w:rsidRPr="00902915">
              <w:rPr>
                <w:rFonts w:eastAsia="MS Mincho" w:cstheme="minorHAnsi"/>
              </w:rPr>
              <w:t xml:space="preserve">10 </w:t>
            </w:r>
            <w:r w:rsidR="00902915" w:rsidRPr="00902915">
              <w:rPr>
                <w:rFonts w:eastAsia="MS Mincho" w:cstheme="minorHAnsi"/>
              </w:rPr>
              <w:t>CPD</w:t>
            </w:r>
            <w:r w:rsidRPr="00902915">
              <w:rPr>
                <w:rFonts w:eastAsia="MS Mincho" w:cstheme="minorHAnsi"/>
              </w:rPr>
              <w:t>), motivated to quit</w:t>
            </w:r>
            <w:r w:rsidR="00902915" w:rsidRPr="00902915">
              <w:rPr>
                <w:rFonts w:eastAsia="MS Mincho" w:cstheme="minorHAnsi"/>
              </w:rPr>
              <w:t xml:space="preserve">, </w:t>
            </w:r>
            <w:r w:rsidRPr="00902915">
              <w:rPr>
                <w:rFonts w:eastAsia="MS Mincho" w:cstheme="minorHAnsi"/>
              </w:rPr>
              <w:t xml:space="preserve">70% female, average age 15, average </w:t>
            </w:r>
            <w:r w:rsidR="00902915" w:rsidRPr="00902915">
              <w:rPr>
                <w:rFonts w:eastAsia="MS Mincho" w:cstheme="minorHAnsi"/>
              </w:rPr>
              <w:t xml:space="preserve">CPD </w:t>
            </w:r>
            <w:r w:rsidRPr="00902915">
              <w:rPr>
                <w:rFonts w:eastAsia="MS Mincho" w:cstheme="minorHAnsi"/>
              </w:rPr>
              <w:t>19</w:t>
            </w:r>
            <w:r w:rsidR="00902915" w:rsidRPr="00902915">
              <w:rPr>
                <w:rFonts w:eastAsia="MS Mincho" w:cstheme="minorHAnsi"/>
              </w:rPr>
              <w:t>.</w:t>
            </w:r>
          </w:p>
        </w:tc>
        <w:tc>
          <w:tcPr>
            <w:tcW w:w="1055" w:type="pct"/>
          </w:tcPr>
          <w:p w14:paraId="5918CF6C" w14:textId="77777777" w:rsidR="00F33114" w:rsidRDefault="00902915" w:rsidP="00C324F3">
            <w:pPr>
              <w:pStyle w:val="Tablewriting"/>
              <w:numPr>
                <w:ilvl w:val="0"/>
                <w:numId w:val="139"/>
              </w:numPr>
              <w:rPr>
                <w:rFonts w:eastAsia="MS Mincho" w:cstheme="minorHAnsi"/>
              </w:rPr>
            </w:pPr>
            <w:r w:rsidRPr="00902915">
              <w:rPr>
                <w:rFonts w:eastAsia="MS Mincho" w:cstheme="minorHAnsi"/>
              </w:rPr>
              <w:t xml:space="preserve">Nicotine patch (21 mg, or 14 mg for &lt; 20 </w:t>
            </w:r>
            <w:r w:rsidR="00F33114">
              <w:rPr>
                <w:rFonts w:eastAsia="MS Mincho" w:cstheme="minorHAnsi"/>
              </w:rPr>
              <w:t>CPD</w:t>
            </w:r>
            <w:r w:rsidRPr="00902915">
              <w:rPr>
                <w:rFonts w:eastAsia="MS Mincho" w:cstheme="minorHAnsi"/>
              </w:rPr>
              <w:t>) for 6 weeks + placebo gum</w:t>
            </w:r>
            <w:r w:rsidR="00F33114">
              <w:rPr>
                <w:rFonts w:eastAsia="MS Mincho" w:cstheme="minorHAnsi"/>
              </w:rPr>
              <w:t>.</w:t>
            </w:r>
          </w:p>
          <w:p w14:paraId="0FF6FCF8" w14:textId="77777777" w:rsidR="00F33114" w:rsidRDefault="00902915" w:rsidP="00C324F3">
            <w:pPr>
              <w:pStyle w:val="Tablewriting"/>
              <w:numPr>
                <w:ilvl w:val="0"/>
                <w:numId w:val="139"/>
              </w:numPr>
              <w:rPr>
                <w:rFonts w:eastAsia="MS Mincho" w:cstheme="minorHAnsi"/>
              </w:rPr>
            </w:pPr>
            <w:r w:rsidRPr="00F33114">
              <w:rPr>
                <w:rFonts w:eastAsia="MS Mincho" w:cstheme="minorHAnsi"/>
              </w:rPr>
              <w:t xml:space="preserve">Nicotine gum (4 mg, or 2 mg for &lt; 24 </w:t>
            </w:r>
            <w:r w:rsidR="00F33114">
              <w:rPr>
                <w:rFonts w:eastAsia="MS Mincho" w:cstheme="minorHAnsi"/>
              </w:rPr>
              <w:t>CPD</w:t>
            </w:r>
            <w:r w:rsidRPr="00F33114">
              <w:rPr>
                <w:rFonts w:eastAsia="MS Mincho" w:cstheme="minorHAnsi"/>
              </w:rPr>
              <w:t>) for 6 weeks + placebo patch</w:t>
            </w:r>
            <w:r w:rsidR="00F33114">
              <w:rPr>
                <w:rFonts w:eastAsia="MS Mincho" w:cstheme="minorHAnsi"/>
              </w:rPr>
              <w:t>.</w:t>
            </w:r>
          </w:p>
          <w:p w14:paraId="39CC4769" w14:textId="1153782F" w:rsidR="00902915" w:rsidRPr="00F33114" w:rsidRDefault="00902915" w:rsidP="00C324F3">
            <w:pPr>
              <w:pStyle w:val="Tablewriting"/>
              <w:numPr>
                <w:ilvl w:val="0"/>
                <w:numId w:val="139"/>
              </w:numPr>
              <w:rPr>
                <w:rFonts w:eastAsia="MS Mincho" w:cstheme="minorHAnsi"/>
              </w:rPr>
            </w:pPr>
            <w:r w:rsidRPr="00F33114">
              <w:rPr>
                <w:rFonts w:eastAsia="MS Mincho" w:cstheme="minorHAnsi"/>
              </w:rPr>
              <w:t>Double placebo</w:t>
            </w:r>
            <w:r w:rsidR="00F33114">
              <w:rPr>
                <w:rFonts w:eastAsia="MS Mincho" w:cstheme="minorHAnsi"/>
              </w:rPr>
              <w:t>.</w:t>
            </w:r>
          </w:p>
          <w:p w14:paraId="22D3E330" w14:textId="77777777" w:rsidR="00F33114" w:rsidRDefault="00F33114" w:rsidP="00A71365">
            <w:pPr>
              <w:pStyle w:val="Tablewriting"/>
              <w:rPr>
                <w:rFonts w:eastAsia="MS Mincho" w:cstheme="minorHAnsi"/>
              </w:rPr>
            </w:pPr>
          </w:p>
          <w:p w14:paraId="45D68846" w14:textId="35BF72FE" w:rsidR="009042AA" w:rsidRPr="00017AE6" w:rsidRDefault="00902915" w:rsidP="00A71365">
            <w:pPr>
              <w:pStyle w:val="Tablewriting"/>
              <w:rPr>
                <w:rFonts w:eastAsia="MS Mincho" w:cstheme="minorHAnsi"/>
              </w:rPr>
            </w:pPr>
            <w:r w:rsidRPr="00902915">
              <w:rPr>
                <w:rFonts w:eastAsia="MS Mincho" w:cstheme="minorHAnsi"/>
              </w:rPr>
              <w:t>Level of support: high (11 x 45-min individual counselling over 12 weeks)</w:t>
            </w:r>
            <w:r w:rsidR="00F33114">
              <w:rPr>
                <w:rFonts w:eastAsia="MS Mincho" w:cstheme="minorHAnsi"/>
              </w:rPr>
              <w:t>.</w:t>
            </w:r>
          </w:p>
        </w:tc>
        <w:tc>
          <w:tcPr>
            <w:tcW w:w="958" w:type="pct"/>
          </w:tcPr>
          <w:p w14:paraId="21C0FFF3" w14:textId="76181684" w:rsidR="00F33114" w:rsidRPr="00F33114" w:rsidRDefault="001173B2" w:rsidP="00A71365">
            <w:pPr>
              <w:pStyle w:val="Tablewriting"/>
              <w:rPr>
                <w:rFonts w:eastAsia="MS Mincho" w:cstheme="minorHAnsi"/>
                <w:u w:val="single"/>
              </w:rPr>
            </w:pPr>
            <w:r w:rsidRPr="009B13E2">
              <w:rPr>
                <w:rFonts w:eastAsia="MS Mincho" w:cstheme="minorHAnsi"/>
                <w:u w:val="single"/>
              </w:rPr>
              <w:t>Efficacy:</w:t>
            </w:r>
            <w:r w:rsidR="00F33114">
              <w:rPr>
                <w:rFonts w:eastAsia="MS Mincho" w:cstheme="minorHAnsi"/>
                <w:u w:val="single"/>
              </w:rPr>
              <w:t xml:space="preserve"> </w:t>
            </w:r>
            <w:r w:rsidR="00F33114" w:rsidRPr="00F33114">
              <w:rPr>
                <w:rFonts w:eastAsia="MS Mincho" w:cstheme="minorHAnsi"/>
              </w:rPr>
              <w:t>PP abstinence at 6</w:t>
            </w:r>
            <w:r w:rsidR="00F33114">
              <w:rPr>
                <w:rFonts w:eastAsia="MS Mincho" w:cstheme="minorHAnsi"/>
              </w:rPr>
              <w:t xml:space="preserve"> </w:t>
            </w:r>
            <w:r w:rsidR="00F33114" w:rsidRPr="00F33114">
              <w:rPr>
                <w:rFonts w:eastAsia="MS Mincho" w:cstheme="minorHAnsi"/>
              </w:rPr>
              <w:t>months</w:t>
            </w:r>
            <w:r w:rsidR="00F33114">
              <w:rPr>
                <w:rFonts w:eastAsia="MS Mincho" w:cstheme="minorHAnsi"/>
              </w:rPr>
              <w:t>.</w:t>
            </w:r>
          </w:p>
          <w:p w14:paraId="39FC1F3E" w14:textId="77777777" w:rsidR="00F33114" w:rsidRPr="00F33114" w:rsidRDefault="00F33114" w:rsidP="00A71365">
            <w:pPr>
              <w:pStyle w:val="Tablewriting"/>
              <w:rPr>
                <w:rFonts w:eastAsia="MS Mincho" w:cstheme="minorHAnsi"/>
              </w:rPr>
            </w:pPr>
          </w:p>
          <w:p w14:paraId="0BC14820" w14:textId="4D6AB93F" w:rsidR="001173B2" w:rsidRDefault="00F33114" w:rsidP="00A71365">
            <w:pPr>
              <w:pStyle w:val="Tablewriting"/>
              <w:rPr>
                <w:rFonts w:eastAsia="MS Mincho" w:cstheme="minorHAnsi"/>
              </w:rPr>
            </w:pPr>
            <w:r w:rsidRPr="00F33114">
              <w:rPr>
                <w:rFonts w:eastAsia="MS Mincho" w:cstheme="minorHAnsi"/>
              </w:rPr>
              <w:t>Validation: CO and</w:t>
            </w:r>
            <w:r>
              <w:rPr>
                <w:rFonts w:eastAsia="MS Mincho" w:cstheme="minorHAnsi"/>
              </w:rPr>
              <w:t xml:space="preserve"> </w:t>
            </w:r>
            <w:r w:rsidRPr="00F33114">
              <w:rPr>
                <w:rFonts w:eastAsia="MS Mincho" w:cstheme="minorHAnsi"/>
              </w:rPr>
              <w:t>cotinine</w:t>
            </w:r>
            <w:r>
              <w:rPr>
                <w:rFonts w:eastAsia="MS Mincho" w:cstheme="minorHAnsi"/>
              </w:rPr>
              <w:t>.</w:t>
            </w:r>
          </w:p>
          <w:p w14:paraId="5AAC5F1B" w14:textId="77777777" w:rsidR="00F33114" w:rsidRDefault="00F33114" w:rsidP="00A71365">
            <w:pPr>
              <w:pStyle w:val="Tablewriting"/>
              <w:rPr>
                <w:rFonts w:eastAsia="MS Mincho" w:cstheme="minorHAnsi"/>
              </w:rPr>
            </w:pPr>
          </w:p>
          <w:p w14:paraId="0B5DAE00"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5236D260" w14:textId="23E8E249" w:rsidR="009042AA" w:rsidRPr="00017AE6" w:rsidRDefault="009042AA" w:rsidP="00A71365">
            <w:pPr>
              <w:pStyle w:val="Tablewriting"/>
              <w:rPr>
                <w:rFonts w:eastAsia="MS Mincho" w:cstheme="minorHAnsi"/>
              </w:rPr>
            </w:pPr>
          </w:p>
        </w:tc>
      </w:tr>
      <w:tr w:rsidR="009042AA" w:rsidRPr="00017AE6" w14:paraId="5EDFBAE1" w14:textId="77777777" w:rsidTr="005821B1">
        <w:trPr>
          <w:trHeight w:val="99"/>
        </w:trPr>
        <w:tc>
          <w:tcPr>
            <w:tcW w:w="1003" w:type="pct"/>
          </w:tcPr>
          <w:p w14:paraId="618FC3A7" w14:textId="72EADB81" w:rsidR="009042AA" w:rsidRPr="00017AE6" w:rsidRDefault="00326F38" w:rsidP="00A71365">
            <w:pPr>
              <w:pStyle w:val="Tablewriting"/>
              <w:rPr>
                <w:rFonts w:eastAsia="MS Mincho" w:cstheme="minorHAnsi"/>
              </w:rPr>
            </w:pPr>
            <w:r w:rsidRPr="00B07BE1">
              <w:rPr>
                <w:rFonts w:eastAsia="MS Mincho"/>
              </w:rPr>
              <w:t xml:space="preserve">Piper </w:t>
            </w:r>
            <w:r w:rsidR="00FA40D7">
              <w:rPr>
                <w:rFonts w:eastAsia="MS Mincho"/>
              </w:rPr>
              <w:t>(</w:t>
            </w:r>
            <w:r w:rsidRPr="00B07BE1">
              <w:rPr>
                <w:rFonts w:eastAsia="MS Mincho"/>
              </w:rPr>
              <w:t>2009</w:t>
            </w:r>
            <w:r w:rsidR="00FA40D7">
              <w:rPr>
                <w:rFonts w:eastAsia="MS Mincho"/>
              </w:rPr>
              <w:t>)</w:t>
            </w:r>
          </w:p>
        </w:tc>
        <w:tc>
          <w:tcPr>
            <w:tcW w:w="235" w:type="pct"/>
          </w:tcPr>
          <w:p w14:paraId="6351C01F" w14:textId="5BF4818C"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52445906" w14:textId="2406348E" w:rsidR="009042AA" w:rsidRPr="00017AE6" w:rsidRDefault="00FB4DCC" w:rsidP="00A71365">
            <w:pPr>
              <w:pStyle w:val="Tablewriting"/>
              <w:rPr>
                <w:rFonts w:eastAsia="MS Mincho" w:cstheme="minorHAnsi"/>
              </w:rPr>
            </w:pPr>
            <w:r>
              <w:rPr>
                <w:rFonts w:eastAsia="MS Mincho" w:cstheme="minorHAnsi"/>
              </w:rPr>
              <w:t>USA</w:t>
            </w:r>
          </w:p>
        </w:tc>
        <w:tc>
          <w:tcPr>
            <w:tcW w:w="289" w:type="pct"/>
          </w:tcPr>
          <w:p w14:paraId="23182D5F" w14:textId="61ADD484" w:rsidR="009042AA" w:rsidRPr="00017AE6" w:rsidRDefault="001173B2" w:rsidP="00A71365">
            <w:pPr>
              <w:pStyle w:val="Tablewriting"/>
              <w:rPr>
                <w:rFonts w:eastAsia="MS Mincho" w:cstheme="minorHAnsi"/>
              </w:rPr>
            </w:pPr>
            <w:r>
              <w:rPr>
                <w:rFonts w:eastAsia="MS Mincho" w:cstheme="minorHAnsi"/>
              </w:rPr>
              <w:t>N=</w:t>
            </w:r>
            <w:r w:rsidR="00FB4DCC">
              <w:rPr>
                <w:rFonts w:eastAsia="MS Mincho" w:cstheme="minorHAnsi"/>
              </w:rPr>
              <w:t>1504</w:t>
            </w:r>
          </w:p>
        </w:tc>
        <w:tc>
          <w:tcPr>
            <w:tcW w:w="1045" w:type="pct"/>
          </w:tcPr>
          <w:p w14:paraId="71916874" w14:textId="5799BB5F" w:rsidR="009042AA" w:rsidRPr="00017AE6" w:rsidRDefault="00FB4DCC" w:rsidP="00A71365">
            <w:pPr>
              <w:pStyle w:val="Tablewriting"/>
              <w:rPr>
                <w:rFonts w:eastAsia="MS Mincho" w:cstheme="minorHAnsi"/>
              </w:rPr>
            </w:pPr>
            <w:r>
              <w:rPr>
                <w:rFonts w:eastAsia="MS Mincho" w:cstheme="minorHAnsi"/>
              </w:rPr>
              <w:t>S</w:t>
            </w:r>
            <w:r w:rsidRPr="00FB4DCC">
              <w:rPr>
                <w:rFonts w:eastAsia="MS Mincho" w:cstheme="minorHAnsi"/>
              </w:rPr>
              <w:t>mokers motivated to quit</w:t>
            </w:r>
            <w:r>
              <w:rPr>
                <w:rFonts w:eastAsia="MS Mincho" w:cstheme="minorHAnsi"/>
              </w:rPr>
              <w:t xml:space="preserve">, </w:t>
            </w:r>
            <w:r w:rsidRPr="00FB4DCC">
              <w:rPr>
                <w:rFonts w:eastAsia="MS Mincho" w:cstheme="minorHAnsi"/>
              </w:rPr>
              <w:t xml:space="preserve">58% female, average age 45, average </w:t>
            </w:r>
            <w:r>
              <w:rPr>
                <w:rFonts w:eastAsia="MS Mincho" w:cstheme="minorHAnsi"/>
              </w:rPr>
              <w:t>CPD</w:t>
            </w:r>
            <w:r w:rsidRPr="00FB4DCC">
              <w:rPr>
                <w:rFonts w:eastAsia="MS Mincho" w:cstheme="minorHAnsi"/>
              </w:rPr>
              <w:t xml:space="preserve"> 21.4</w:t>
            </w:r>
            <w:r>
              <w:rPr>
                <w:rFonts w:eastAsia="MS Mincho" w:cstheme="minorHAnsi"/>
              </w:rPr>
              <w:t>.</w:t>
            </w:r>
          </w:p>
        </w:tc>
        <w:tc>
          <w:tcPr>
            <w:tcW w:w="1055" w:type="pct"/>
          </w:tcPr>
          <w:p w14:paraId="43B624F9" w14:textId="77777777" w:rsidR="0043759B" w:rsidRDefault="0043759B" w:rsidP="00C324F3">
            <w:pPr>
              <w:pStyle w:val="Tablewriting"/>
              <w:numPr>
                <w:ilvl w:val="0"/>
                <w:numId w:val="140"/>
              </w:numPr>
              <w:rPr>
                <w:rFonts w:eastAsia="MS Mincho" w:cstheme="minorHAnsi"/>
              </w:rPr>
            </w:pPr>
            <w:r w:rsidRPr="0043759B">
              <w:rPr>
                <w:rFonts w:eastAsia="MS Mincho" w:cstheme="minorHAnsi"/>
              </w:rPr>
              <w:t>Nicotine lozenge 2 or 4 mg for 12 weeks (based on dose-for-dependence level as in instructions)</w:t>
            </w:r>
            <w:r>
              <w:rPr>
                <w:rFonts w:eastAsia="MS Mincho" w:cstheme="minorHAnsi"/>
              </w:rPr>
              <w:t>.</w:t>
            </w:r>
          </w:p>
          <w:p w14:paraId="5B88BC13" w14:textId="6F3D6F90" w:rsidR="0043759B" w:rsidRDefault="0043759B" w:rsidP="00C324F3">
            <w:pPr>
              <w:pStyle w:val="Tablewriting"/>
              <w:numPr>
                <w:ilvl w:val="0"/>
                <w:numId w:val="140"/>
              </w:numPr>
              <w:rPr>
                <w:rFonts w:eastAsia="MS Mincho" w:cstheme="minorHAnsi"/>
              </w:rPr>
            </w:pPr>
            <w:r w:rsidRPr="0043759B">
              <w:rPr>
                <w:rFonts w:eastAsia="MS Mincho" w:cstheme="minorHAnsi"/>
              </w:rPr>
              <w:t>Nicotine patch (24 h, 21, 14, and 7 mg titrated down over 8-week period post-quit)</w:t>
            </w:r>
            <w:r>
              <w:rPr>
                <w:rFonts w:eastAsia="MS Mincho" w:cstheme="minorHAnsi"/>
              </w:rPr>
              <w:t>.</w:t>
            </w:r>
          </w:p>
          <w:p w14:paraId="4B878894" w14:textId="77777777" w:rsidR="009042AA" w:rsidRDefault="0043759B" w:rsidP="00C324F3">
            <w:pPr>
              <w:pStyle w:val="Tablewriting"/>
              <w:numPr>
                <w:ilvl w:val="0"/>
                <w:numId w:val="140"/>
              </w:numPr>
              <w:rPr>
                <w:rFonts w:eastAsia="MS Mincho" w:cstheme="minorHAnsi"/>
              </w:rPr>
            </w:pPr>
            <w:r w:rsidRPr="0043759B">
              <w:rPr>
                <w:rFonts w:eastAsia="MS Mincho" w:cstheme="minorHAnsi"/>
              </w:rPr>
              <w:t>Bupropion SR (150 mg bid, 1 week pre-quit, 8 weeks post-quit)</w:t>
            </w:r>
            <w:r>
              <w:rPr>
                <w:rFonts w:eastAsia="MS Mincho" w:cstheme="minorHAnsi"/>
              </w:rPr>
              <w:t>.</w:t>
            </w:r>
          </w:p>
          <w:p w14:paraId="5460AD4A" w14:textId="4C9943C3" w:rsidR="00887906" w:rsidRPr="00887906" w:rsidRDefault="00887906" w:rsidP="00C324F3">
            <w:pPr>
              <w:pStyle w:val="Tablewriting"/>
              <w:numPr>
                <w:ilvl w:val="0"/>
                <w:numId w:val="140"/>
              </w:numPr>
              <w:rPr>
                <w:rFonts w:eastAsia="MS Mincho" w:cstheme="minorHAnsi"/>
              </w:rPr>
            </w:pPr>
            <w:r w:rsidRPr="00887906">
              <w:rPr>
                <w:rFonts w:eastAsia="MS Mincho" w:cstheme="minorHAnsi"/>
              </w:rPr>
              <w:t>Lozenge + patch (duration and dosage as above)</w:t>
            </w:r>
            <w:r>
              <w:rPr>
                <w:rFonts w:eastAsia="MS Mincho" w:cstheme="minorHAnsi"/>
              </w:rPr>
              <w:t>.</w:t>
            </w:r>
          </w:p>
          <w:p w14:paraId="1BE4D14B" w14:textId="7A99D529" w:rsidR="00887906" w:rsidRPr="00887906" w:rsidRDefault="00887906" w:rsidP="00C324F3">
            <w:pPr>
              <w:pStyle w:val="Tablewriting"/>
              <w:numPr>
                <w:ilvl w:val="0"/>
                <w:numId w:val="140"/>
              </w:numPr>
              <w:rPr>
                <w:rFonts w:eastAsia="MS Mincho" w:cstheme="minorHAnsi"/>
              </w:rPr>
            </w:pPr>
            <w:r w:rsidRPr="00887906">
              <w:rPr>
                <w:rFonts w:eastAsia="MS Mincho" w:cstheme="minorHAnsi"/>
              </w:rPr>
              <w:t>Bupropion + lozenge (duration and dosage as above)</w:t>
            </w:r>
            <w:r>
              <w:rPr>
                <w:rFonts w:eastAsia="MS Mincho" w:cstheme="minorHAnsi"/>
              </w:rPr>
              <w:t>.</w:t>
            </w:r>
          </w:p>
          <w:p w14:paraId="343DE2D1" w14:textId="754E2214" w:rsidR="00887906" w:rsidRPr="00887906" w:rsidRDefault="00887906" w:rsidP="00C324F3">
            <w:pPr>
              <w:pStyle w:val="Tablewriting"/>
              <w:numPr>
                <w:ilvl w:val="0"/>
                <w:numId w:val="140"/>
              </w:numPr>
              <w:rPr>
                <w:rFonts w:eastAsia="MS Mincho" w:cstheme="minorHAnsi"/>
              </w:rPr>
            </w:pPr>
            <w:r w:rsidRPr="00887906">
              <w:rPr>
                <w:rFonts w:eastAsia="MS Mincho" w:cstheme="minorHAnsi"/>
              </w:rPr>
              <w:lastRenderedPageBreak/>
              <w:t>Placebo (5 groups matched to above 5 interventions)</w:t>
            </w:r>
            <w:r>
              <w:rPr>
                <w:rFonts w:eastAsia="MS Mincho" w:cstheme="minorHAnsi"/>
              </w:rPr>
              <w:t>.</w:t>
            </w:r>
          </w:p>
          <w:p w14:paraId="740AC711" w14:textId="77777777" w:rsidR="00887906" w:rsidRDefault="00887906" w:rsidP="00A71365">
            <w:pPr>
              <w:pStyle w:val="Tablewriting"/>
              <w:rPr>
                <w:rFonts w:eastAsia="MS Mincho" w:cstheme="minorHAnsi"/>
              </w:rPr>
            </w:pPr>
          </w:p>
          <w:p w14:paraId="72612D43" w14:textId="517E4430" w:rsidR="009042AA" w:rsidRPr="00017AE6" w:rsidRDefault="00887906" w:rsidP="00A71365">
            <w:pPr>
              <w:pStyle w:val="Tablewriting"/>
              <w:rPr>
                <w:rFonts w:eastAsia="MS Mincho" w:cstheme="minorHAnsi"/>
              </w:rPr>
            </w:pPr>
            <w:r w:rsidRPr="00887906">
              <w:rPr>
                <w:rFonts w:eastAsia="MS Mincho" w:cstheme="minorHAnsi"/>
              </w:rPr>
              <w:t>Level of support: high. All participants received 7 one-to-one 10- to 20-min counselling sessions</w:t>
            </w:r>
          </w:p>
        </w:tc>
        <w:tc>
          <w:tcPr>
            <w:tcW w:w="958" w:type="pct"/>
          </w:tcPr>
          <w:p w14:paraId="200F32FC" w14:textId="3612B5A6" w:rsidR="00A61959" w:rsidRDefault="001173B2" w:rsidP="00A71365">
            <w:pPr>
              <w:pStyle w:val="Tablewriting"/>
              <w:rPr>
                <w:rFonts w:eastAsia="MS Mincho" w:cstheme="minorHAnsi"/>
              </w:rPr>
            </w:pPr>
            <w:r w:rsidRPr="009B13E2">
              <w:rPr>
                <w:rFonts w:eastAsia="MS Mincho" w:cstheme="minorHAnsi"/>
                <w:u w:val="single"/>
              </w:rPr>
              <w:lastRenderedPageBreak/>
              <w:t>Efficacy:</w:t>
            </w:r>
            <w:r w:rsidR="00A61959">
              <w:rPr>
                <w:rFonts w:eastAsia="MS Mincho" w:cstheme="minorHAnsi"/>
                <w:u w:val="single"/>
              </w:rPr>
              <w:t xml:space="preserve"> </w:t>
            </w:r>
            <w:r w:rsidR="00A61959" w:rsidRPr="00A61959">
              <w:rPr>
                <w:rFonts w:eastAsia="MS Mincho" w:cstheme="minorHAnsi"/>
              </w:rPr>
              <w:t>7-day PP abstinence at 6 months</w:t>
            </w:r>
            <w:r w:rsidR="00A61959">
              <w:rPr>
                <w:rFonts w:eastAsia="MS Mincho" w:cstheme="minorHAnsi"/>
              </w:rPr>
              <w:t>,</w:t>
            </w:r>
            <w:r w:rsidR="00A61959" w:rsidRPr="00A61959">
              <w:rPr>
                <w:rFonts w:eastAsia="MS Mincho" w:cstheme="minorHAnsi"/>
              </w:rPr>
              <w:t xml:space="preserve"> initial cessation</w:t>
            </w:r>
            <w:r w:rsidR="00A61959">
              <w:rPr>
                <w:rFonts w:eastAsia="MS Mincho" w:cstheme="minorHAnsi"/>
              </w:rPr>
              <w:t>.</w:t>
            </w:r>
          </w:p>
          <w:p w14:paraId="5CA93AAB" w14:textId="77777777" w:rsidR="00A61959" w:rsidRPr="00A61959" w:rsidRDefault="00A61959" w:rsidP="00A71365">
            <w:pPr>
              <w:pStyle w:val="Tablewriting"/>
              <w:rPr>
                <w:rFonts w:eastAsia="MS Mincho" w:cstheme="minorHAnsi"/>
                <w:u w:val="single"/>
              </w:rPr>
            </w:pPr>
          </w:p>
          <w:p w14:paraId="445FDDAC" w14:textId="4734DE11" w:rsidR="001173B2" w:rsidRDefault="00A61959" w:rsidP="00A71365">
            <w:pPr>
              <w:pStyle w:val="Tablewriting"/>
              <w:rPr>
                <w:rFonts w:eastAsia="MS Mincho" w:cstheme="minorHAnsi"/>
              </w:rPr>
            </w:pPr>
            <w:r w:rsidRPr="00A61959">
              <w:rPr>
                <w:rFonts w:eastAsia="MS Mincho" w:cstheme="minorHAnsi"/>
              </w:rPr>
              <w:t>Validation: CO &lt; 10 ppm</w:t>
            </w:r>
            <w:r>
              <w:rPr>
                <w:rFonts w:eastAsia="MS Mincho" w:cstheme="minorHAnsi"/>
              </w:rPr>
              <w:t>.</w:t>
            </w:r>
          </w:p>
          <w:p w14:paraId="4B2EE741" w14:textId="77777777" w:rsidR="00A61959" w:rsidRDefault="00A61959" w:rsidP="00A71365">
            <w:pPr>
              <w:pStyle w:val="Tablewriting"/>
              <w:rPr>
                <w:rFonts w:eastAsia="MS Mincho" w:cstheme="minorHAnsi"/>
              </w:rPr>
            </w:pPr>
          </w:p>
          <w:p w14:paraId="6B110784"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15125EC0" w14:textId="075A3DE1" w:rsidR="009042AA" w:rsidRPr="00017AE6" w:rsidRDefault="009042AA" w:rsidP="00A71365">
            <w:pPr>
              <w:pStyle w:val="Tablewriting"/>
              <w:rPr>
                <w:rFonts w:eastAsia="MS Mincho" w:cstheme="minorHAnsi"/>
              </w:rPr>
            </w:pPr>
          </w:p>
        </w:tc>
      </w:tr>
      <w:tr w:rsidR="009042AA" w:rsidRPr="00017AE6" w14:paraId="7B7CA7BC" w14:textId="77777777" w:rsidTr="005821B1">
        <w:trPr>
          <w:trHeight w:val="99"/>
        </w:trPr>
        <w:tc>
          <w:tcPr>
            <w:tcW w:w="1003" w:type="pct"/>
          </w:tcPr>
          <w:p w14:paraId="48112261" w14:textId="42313800" w:rsidR="009042AA" w:rsidRPr="00017AE6" w:rsidRDefault="00B51B12" w:rsidP="00A71365">
            <w:pPr>
              <w:pStyle w:val="Tablewriting"/>
              <w:rPr>
                <w:rFonts w:eastAsia="MS Mincho" w:cstheme="minorHAnsi"/>
              </w:rPr>
            </w:pPr>
            <w:r w:rsidRPr="00B07BE1">
              <w:rPr>
                <w:rFonts w:eastAsia="MS Mincho"/>
              </w:rPr>
              <w:t xml:space="preserve">Sønderskov </w:t>
            </w:r>
            <w:r w:rsidR="00FA40D7">
              <w:rPr>
                <w:rFonts w:eastAsia="MS Mincho"/>
              </w:rPr>
              <w:t>(</w:t>
            </w:r>
            <w:r w:rsidRPr="00B07BE1">
              <w:rPr>
                <w:rFonts w:eastAsia="MS Mincho"/>
              </w:rPr>
              <w:t>1997</w:t>
            </w:r>
            <w:r w:rsidR="00FA40D7">
              <w:rPr>
                <w:rFonts w:eastAsia="MS Mincho"/>
              </w:rPr>
              <w:t>)</w:t>
            </w:r>
          </w:p>
        </w:tc>
        <w:tc>
          <w:tcPr>
            <w:tcW w:w="235" w:type="pct"/>
          </w:tcPr>
          <w:p w14:paraId="5460B881" w14:textId="4E1AB6B8"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1D9321D4" w14:textId="676E0EB8" w:rsidR="009042AA" w:rsidRPr="00017AE6" w:rsidRDefault="00E83B27" w:rsidP="00A71365">
            <w:pPr>
              <w:pStyle w:val="Tablewriting"/>
              <w:rPr>
                <w:rFonts w:eastAsia="MS Mincho" w:cstheme="minorHAnsi"/>
              </w:rPr>
            </w:pPr>
            <w:r w:rsidRPr="00E83B27">
              <w:rPr>
                <w:rFonts w:eastAsia="MS Mincho" w:cstheme="minorHAnsi"/>
              </w:rPr>
              <w:t>Denmark</w:t>
            </w:r>
          </w:p>
        </w:tc>
        <w:tc>
          <w:tcPr>
            <w:tcW w:w="289" w:type="pct"/>
          </w:tcPr>
          <w:p w14:paraId="30858A3F" w14:textId="27FEBE8A" w:rsidR="009042AA" w:rsidRPr="00017AE6" w:rsidRDefault="001173B2" w:rsidP="00A71365">
            <w:pPr>
              <w:pStyle w:val="Tablewriting"/>
              <w:rPr>
                <w:rFonts w:eastAsia="MS Mincho" w:cstheme="minorHAnsi"/>
              </w:rPr>
            </w:pPr>
            <w:r>
              <w:rPr>
                <w:rFonts w:eastAsia="MS Mincho" w:cstheme="minorHAnsi"/>
              </w:rPr>
              <w:t>N=</w:t>
            </w:r>
            <w:r w:rsidR="00E83B27">
              <w:rPr>
                <w:rFonts w:eastAsia="MS Mincho" w:cstheme="minorHAnsi"/>
              </w:rPr>
              <w:t>522</w:t>
            </w:r>
          </w:p>
        </w:tc>
        <w:tc>
          <w:tcPr>
            <w:tcW w:w="1045" w:type="pct"/>
          </w:tcPr>
          <w:p w14:paraId="791D12B6" w14:textId="1BF966FC" w:rsidR="00E83B27" w:rsidRPr="00E83B27" w:rsidRDefault="00E83B27" w:rsidP="00A71365">
            <w:pPr>
              <w:pStyle w:val="Tablewriting"/>
              <w:rPr>
                <w:rFonts w:eastAsia="MS Mincho" w:cstheme="minorHAnsi"/>
              </w:rPr>
            </w:pPr>
            <w:r>
              <w:rPr>
                <w:rFonts w:eastAsia="MS Mincho" w:cstheme="minorHAnsi"/>
              </w:rPr>
              <w:t>S</w:t>
            </w:r>
            <w:r w:rsidRPr="00E83B27">
              <w:rPr>
                <w:rFonts w:eastAsia="MS Mincho" w:cstheme="minorHAnsi"/>
              </w:rPr>
              <w:t xml:space="preserve">mokers of &gt; 10 </w:t>
            </w:r>
            <w:r w:rsidR="00237441">
              <w:rPr>
                <w:rFonts w:eastAsia="MS Mincho" w:cstheme="minorHAnsi"/>
              </w:rPr>
              <w:t>CPD</w:t>
            </w:r>
            <w:r w:rsidRPr="00E83B27">
              <w:rPr>
                <w:rFonts w:eastAsia="MS Mincho" w:cstheme="minorHAnsi"/>
              </w:rPr>
              <w:t xml:space="preserve">. Smokers of &gt; 20 </w:t>
            </w:r>
            <w:r w:rsidR="00237441">
              <w:rPr>
                <w:rFonts w:eastAsia="MS Mincho" w:cstheme="minorHAnsi"/>
              </w:rPr>
              <w:t>CPD</w:t>
            </w:r>
            <w:r w:rsidRPr="00E83B27">
              <w:rPr>
                <w:rFonts w:eastAsia="MS Mincho" w:cstheme="minorHAnsi"/>
              </w:rPr>
              <w:t xml:space="preserve"> used a higher-dose patch than lower-rate smokers</w:t>
            </w:r>
          </w:p>
          <w:p w14:paraId="0E1570A0" w14:textId="6B63B771" w:rsidR="009042AA" w:rsidRPr="00017AE6" w:rsidRDefault="00E83B27" w:rsidP="00A71365">
            <w:pPr>
              <w:pStyle w:val="Tablewriting"/>
              <w:rPr>
                <w:rFonts w:eastAsia="MS Mincho" w:cstheme="minorHAnsi"/>
              </w:rPr>
            </w:pPr>
            <w:r w:rsidRPr="00E83B27">
              <w:rPr>
                <w:rFonts w:eastAsia="MS Mincho" w:cstheme="minorHAnsi"/>
              </w:rPr>
              <w:t>50% female, average age 39</w:t>
            </w:r>
          </w:p>
        </w:tc>
        <w:tc>
          <w:tcPr>
            <w:tcW w:w="1055" w:type="pct"/>
          </w:tcPr>
          <w:p w14:paraId="47108DA1" w14:textId="77777777" w:rsidR="00237441" w:rsidRDefault="00E819AC" w:rsidP="00C324F3">
            <w:pPr>
              <w:pStyle w:val="Tablewriting"/>
              <w:numPr>
                <w:ilvl w:val="0"/>
                <w:numId w:val="141"/>
              </w:numPr>
              <w:rPr>
                <w:rFonts w:eastAsia="MS Mincho" w:cstheme="minorHAnsi"/>
              </w:rPr>
            </w:pPr>
            <w:r w:rsidRPr="00E819AC">
              <w:rPr>
                <w:rFonts w:eastAsia="MS Mincho" w:cstheme="minorHAnsi"/>
              </w:rPr>
              <w:t>Nicotine patch (24 h). &gt; 20/day smokers used 21 mg for 4 weeks, 14 mg for 4 weeks, 7 mg for 4 weeks.</w:t>
            </w:r>
          </w:p>
          <w:p w14:paraId="7A41EC1E" w14:textId="35603651" w:rsidR="00E819AC" w:rsidRPr="00BF11E0" w:rsidRDefault="00BF11E0" w:rsidP="00A71365">
            <w:pPr>
              <w:pStyle w:val="Tablewriting"/>
              <w:ind w:left="360"/>
              <w:rPr>
                <w:rFonts w:eastAsia="MS Mincho" w:cstheme="minorHAnsi"/>
              </w:rPr>
            </w:pPr>
            <w:r>
              <w:rPr>
                <w:rFonts w:eastAsia="MS Mincho" w:cstheme="minorHAnsi"/>
              </w:rPr>
              <w:t xml:space="preserve"> </w:t>
            </w:r>
            <w:r w:rsidR="00E819AC" w:rsidRPr="00BF11E0">
              <w:rPr>
                <w:rFonts w:eastAsia="MS Mincho" w:cstheme="minorHAnsi"/>
              </w:rPr>
              <w:t>Smokers of &lt; 20/day used 14 mg for first 8 weeks, 7 mg for 4 weeks</w:t>
            </w:r>
          </w:p>
          <w:p w14:paraId="4E0C3721" w14:textId="7F3FF68D" w:rsidR="00E819AC" w:rsidRDefault="00E819AC" w:rsidP="00C324F3">
            <w:pPr>
              <w:pStyle w:val="Tablewriting"/>
              <w:numPr>
                <w:ilvl w:val="0"/>
                <w:numId w:val="141"/>
              </w:numPr>
              <w:rPr>
                <w:rFonts w:eastAsia="MS Mincho" w:cstheme="minorHAnsi"/>
              </w:rPr>
            </w:pPr>
            <w:r w:rsidRPr="00E819AC">
              <w:rPr>
                <w:rFonts w:eastAsia="MS Mincho" w:cstheme="minorHAnsi"/>
              </w:rPr>
              <w:t>Placebo patches</w:t>
            </w:r>
            <w:r w:rsidR="00BF11E0">
              <w:rPr>
                <w:rFonts w:eastAsia="MS Mincho" w:cstheme="minorHAnsi"/>
              </w:rPr>
              <w:t>.</w:t>
            </w:r>
          </w:p>
          <w:p w14:paraId="3302ED23" w14:textId="77777777" w:rsidR="00BF11E0" w:rsidRPr="00E819AC" w:rsidRDefault="00BF11E0" w:rsidP="00A71365">
            <w:pPr>
              <w:pStyle w:val="Tablewriting"/>
              <w:rPr>
                <w:rFonts w:eastAsia="MS Mincho" w:cstheme="minorHAnsi"/>
              </w:rPr>
            </w:pPr>
          </w:p>
          <w:p w14:paraId="45ABCD1F" w14:textId="77777777" w:rsidR="00E819AC" w:rsidRPr="00E819AC" w:rsidRDefault="00E819AC" w:rsidP="00A71365">
            <w:pPr>
              <w:pStyle w:val="Tablewriting"/>
              <w:rPr>
                <w:rFonts w:eastAsia="MS Mincho" w:cstheme="minorHAnsi"/>
              </w:rPr>
            </w:pPr>
            <w:r w:rsidRPr="00E819AC">
              <w:rPr>
                <w:rFonts w:eastAsia="MS Mincho" w:cstheme="minorHAnsi"/>
              </w:rPr>
              <w:t>Level of support: Low (brief instructions on patch use at baseline, visit to collect further patches at 4</w:t>
            </w:r>
          </w:p>
          <w:p w14:paraId="678E6684" w14:textId="6AE8F9D2" w:rsidR="009042AA" w:rsidRPr="00017AE6" w:rsidRDefault="00E819AC" w:rsidP="00A71365">
            <w:pPr>
              <w:pStyle w:val="Tablewriting"/>
              <w:rPr>
                <w:rFonts w:eastAsia="MS Mincho" w:cstheme="minorHAnsi"/>
              </w:rPr>
            </w:pPr>
            <w:r w:rsidRPr="00E819AC">
              <w:rPr>
                <w:rFonts w:eastAsia="MS Mincho" w:cstheme="minorHAnsi"/>
              </w:rPr>
              <w:t>and 8 weeks, no behavioural support)</w:t>
            </w:r>
          </w:p>
        </w:tc>
        <w:tc>
          <w:tcPr>
            <w:tcW w:w="958" w:type="pct"/>
          </w:tcPr>
          <w:p w14:paraId="7CD3778C" w14:textId="1AA5BBF9" w:rsidR="00237441" w:rsidRDefault="001173B2" w:rsidP="00A71365">
            <w:pPr>
              <w:pStyle w:val="Tablewriting"/>
              <w:rPr>
                <w:rFonts w:eastAsia="MS Mincho" w:cstheme="minorHAnsi"/>
              </w:rPr>
            </w:pPr>
            <w:r w:rsidRPr="009B13E2">
              <w:rPr>
                <w:rFonts w:eastAsia="MS Mincho" w:cstheme="minorHAnsi"/>
                <w:u w:val="single"/>
              </w:rPr>
              <w:t>Efficacy</w:t>
            </w:r>
            <w:r w:rsidRPr="00237441">
              <w:rPr>
                <w:rFonts w:eastAsia="MS Mincho" w:cstheme="minorHAnsi"/>
              </w:rPr>
              <w:t>:</w:t>
            </w:r>
            <w:r w:rsidR="00237441" w:rsidRPr="00237441">
              <w:t xml:space="preserve"> </w:t>
            </w:r>
            <w:r w:rsidR="00237441" w:rsidRPr="00237441">
              <w:rPr>
                <w:rFonts w:eastAsia="MS Mincho" w:cstheme="minorHAnsi"/>
              </w:rPr>
              <w:t>Abstinence at 6 months - no reported smoking in the last 4 weeks, by t</w:t>
            </w:r>
            <w:r w:rsidR="00836B64">
              <w:rPr>
                <w:rFonts w:eastAsia="MS Mincho" w:cstheme="minorHAnsi"/>
              </w:rPr>
              <w:t xml:space="preserve">elephone interview with neutral </w:t>
            </w:r>
            <w:r w:rsidR="00237441" w:rsidRPr="00237441">
              <w:rPr>
                <w:rFonts w:eastAsia="MS Mincho" w:cstheme="minorHAnsi"/>
              </w:rPr>
              <w:t>independent assessor</w:t>
            </w:r>
            <w:r w:rsidR="00237441">
              <w:rPr>
                <w:rFonts w:eastAsia="MS Mincho" w:cstheme="minorHAnsi"/>
              </w:rPr>
              <w:t>.</w:t>
            </w:r>
          </w:p>
          <w:p w14:paraId="090DE96E" w14:textId="77777777" w:rsidR="00237441" w:rsidRPr="00237441" w:rsidRDefault="00237441" w:rsidP="00A71365">
            <w:pPr>
              <w:pStyle w:val="Tablewriting"/>
              <w:rPr>
                <w:rFonts w:eastAsia="MS Mincho" w:cstheme="minorHAnsi"/>
              </w:rPr>
            </w:pPr>
          </w:p>
          <w:p w14:paraId="79A2D126" w14:textId="579E3610" w:rsidR="001173B2" w:rsidRDefault="00237441" w:rsidP="00A71365">
            <w:pPr>
              <w:pStyle w:val="Tablewriting"/>
              <w:rPr>
                <w:rFonts w:eastAsia="MS Mincho" w:cstheme="minorHAnsi"/>
              </w:rPr>
            </w:pPr>
            <w:r w:rsidRPr="00237441">
              <w:rPr>
                <w:rFonts w:eastAsia="MS Mincho" w:cstheme="minorHAnsi"/>
              </w:rPr>
              <w:t>Validation: none</w:t>
            </w:r>
          </w:p>
          <w:p w14:paraId="3B7D8BB0"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5CFFBF3A" w14:textId="5A64ADC3" w:rsidR="009042AA" w:rsidRPr="00017AE6" w:rsidRDefault="009042AA" w:rsidP="00A71365">
            <w:pPr>
              <w:pStyle w:val="Tablewriting"/>
              <w:rPr>
                <w:rFonts w:eastAsia="MS Mincho" w:cstheme="minorHAnsi"/>
              </w:rPr>
            </w:pPr>
          </w:p>
        </w:tc>
      </w:tr>
      <w:tr w:rsidR="009042AA" w:rsidRPr="00017AE6" w14:paraId="5B6FF653" w14:textId="77777777" w:rsidTr="005821B1">
        <w:trPr>
          <w:trHeight w:val="99"/>
        </w:trPr>
        <w:tc>
          <w:tcPr>
            <w:tcW w:w="1003" w:type="pct"/>
          </w:tcPr>
          <w:p w14:paraId="783BCC55" w14:textId="6C308C1D" w:rsidR="009042AA" w:rsidRPr="00017AE6" w:rsidRDefault="00B51B12" w:rsidP="00A71365">
            <w:pPr>
              <w:pStyle w:val="Tablewriting"/>
              <w:rPr>
                <w:rFonts w:eastAsia="MS Mincho" w:cstheme="minorHAnsi"/>
              </w:rPr>
            </w:pPr>
            <w:r w:rsidRPr="00B07BE1">
              <w:rPr>
                <w:rFonts w:eastAsia="MS Mincho"/>
              </w:rPr>
              <w:t xml:space="preserve">Tuisku </w:t>
            </w:r>
            <w:r w:rsidR="00FA40D7">
              <w:rPr>
                <w:rFonts w:eastAsia="MS Mincho"/>
              </w:rPr>
              <w:t>(</w:t>
            </w:r>
            <w:r w:rsidRPr="00B07BE1">
              <w:rPr>
                <w:rFonts w:eastAsia="MS Mincho"/>
              </w:rPr>
              <w:t>2016</w:t>
            </w:r>
            <w:r w:rsidR="00FA40D7">
              <w:rPr>
                <w:rFonts w:eastAsia="MS Mincho"/>
              </w:rPr>
              <w:t>)</w:t>
            </w:r>
          </w:p>
        </w:tc>
        <w:tc>
          <w:tcPr>
            <w:tcW w:w="235" w:type="pct"/>
          </w:tcPr>
          <w:p w14:paraId="291ACE98" w14:textId="71E08908" w:rsidR="009042AA" w:rsidRPr="00017AE6" w:rsidRDefault="001C2E71" w:rsidP="00A71365">
            <w:pPr>
              <w:pStyle w:val="Tablewriting"/>
              <w:rPr>
                <w:rFonts w:eastAsia="MS Mincho" w:cstheme="minorHAnsi"/>
              </w:rPr>
            </w:pPr>
            <w:r>
              <w:rPr>
                <w:rFonts w:eastAsia="MS Mincho" w:cstheme="minorHAnsi"/>
              </w:rPr>
              <w:t>RCT</w:t>
            </w:r>
          </w:p>
        </w:tc>
        <w:tc>
          <w:tcPr>
            <w:tcW w:w="414" w:type="pct"/>
          </w:tcPr>
          <w:p w14:paraId="04745E7C" w14:textId="5E77AA7B" w:rsidR="009042AA" w:rsidRPr="00017AE6" w:rsidRDefault="00681615" w:rsidP="00A71365">
            <w:pPr>
              <w:pStyle w:val="Tablewriting"/>
              <w:rPr>
                <w:rFonts w:eastAsia="MS Mincho" w:cstheme="minorHAnsi"/>
              </w:rPr>
            </w:pPr>
            <w:r w:rsidRPr="00681615">
              <w:rPr>
                <w:rFonts w:eastAsia="MS Mincho" w:cstheme="minorHAnsi"/>
              </w:rPr>
              <w:t>Finland</w:t>
            </w:r>
          </w:p>
        </w:tc>
        <w:tc>
          <w:tcPr>
            <w:tcW w:w="289" w:type="pct"/>
          </w:tcPr>
          <w:p w14:paraId="7F597689" w14:textId="68B867EF" w:rsidR="009042AA" w:rsidRPr="00017AE6" w:rsidRDefault="001173B2" w:rsidP="00A71365">
            <w:pPr>
              <w:pStyle w:val="Tablewriting"/>
              <w:rPr>
                <w:rFonts w:eastAsia="MS Mincho" w:cstheme="minorHAnsi"/>
              </w:rPr>
            </w:pPr>
            <w:r>
              <w:rPr>
                <w:rFonts w:eastAsia="MS Mincho" w:cstheme="minorHAnsi"/>
              </w:rPr>
              <w:t>N=</w:t>
            </w:r>
            <w:r w:rsidR="00681615">
              <w:rPr>
                <w:rFonts w:ascii="Times New Roman" w:hAnsi="Times New Roman"/>
                <w:sz w:val="18"/>
                <w:szCs w:val="18"/>
                <w:lang w:val="en-GB"/>
              </w:rPr>
              <w:t xml:space="preserve"> 180</w:t>
            </w:r>
          </w:p>
        </w:tc>
        <w:tc>
          <w:tcPr>
            <w:tcW w:w="1045" w:type="pct"/>
          </w:tcPr>
          <w:p w14:paraId="6EE6C414" w14:textId="77777777" w:rsidR="000F0BA1" w:rsidRPr="000F0BA1" w:rsidRDefault="000F0BA1" w:rsidP="00A71365">
            <w:pPr>
              <w:pStyle w:val="Tablewriting"/>
              <w:rPr>
                <w:rFonts w:eastAsia="MS Mincho" w:cstheme="minorHAnsi"/>
              </w:rPr>
            </w:pPr>
            <w:r w:rsidRPr="000F0BA1">
              <w:rPr>
                <w:rFonts w:eastAsia="MS Mincho" w:cstheme="minorHAnsi"/>
              </w:rPr>
              <w:t>18 to 26 years old, smoked daily for at least past month, smoked &gt; 100 cigarettes in life, light smokers</w:t>
            </w:r>
          </w:p>
          <w:p w14:paraId="25FD1AF8" w14:textId="64BFAF6A" w:rsidR="000F0BA1" w:rsidRPr="000F0BA1" w:rsidRDefault="000F0BA1" w:rsidP="00A71365">
            <w:pPr>
              <w:pStyle w:val="Tablewriting"/>
              <w:rPr>
                <w:rFonts w:eastAsia="MS Mincho" w:cstheme="minorHAnsi"/>
              </w:rPr>
            </w:pPr>
            <w:r w:rsidRPr="000F0BA1">
              <w:rPr>
                <w:rFonts w:eastAsia="MS Mincho" w:cstheme="minorHAnsi"/>
              </w:rPr>
              <w:t xml:space="preserve">(as per Heaviness of Smoking Index based on </w:t>
            </w:r>
            <w:r>
              <w:rPr>
                <w:rFonts w:eastAsia="MS Mincho" w:cstheme="minorHAnsi"/>
              </w:rPr>
              <w:t xml:space="preserve">CPD </w:t>
            </w:r>
            <w:r w:rsidRPr="000F0BA1">
              <w:rPr>
                <w:rFonts w:eastAsia="MS Mincho" w:cstheme="minorHAnsi"/>
              </w:rPr>
              <w:t>and time to first cigarette) only included in this review</w:t>
            </w:r>
            <w:r>
              <w:rPr>
                <w:rFonts w:eastAsia="MS Mincho" w:cstheme="minorHAnsi"/>
              </w:rPr>
              <w:t>.</w:t>
            </w:r>
          </w:p>
          <w:p w14:paraId="26256E84" w14:textId="28B96980" w:rsidR="009042AA" w:rsidRPr="00017AE6" w:rsidRDefault="000F0BA1" w:rsidP="00A71365">
            <w:pPr>
              <w:pStyle w:val="Tablewriting"/>
              <w:rPr>
                <w:rFonts w:eastAsia="MS Mincho" w:cstheme="minorHAnsi"/>
              </w:rPr>
            </w:pPr>
            <w:r w:rsidRPr="000F0BA1">
              <w:rPr>
                <w:rFonts w:eastAsia="MS Mincho" w:cstheme="minorHAnsi"/>
              </w:rPr>
              <w:t xml:space="preserve">52% female, median age 21, median </w:t>
            </w:r>
            <w:r>
              <w:rPr>
                <w:rFonts w:eastAsia="MS Mincho" w:cstheme="minorHAnsi"/>
              </w:rPr>
              <w:t>CPD</w:t>
            </w:r>
            <w:r w:rsidRPr="000F0BA1">
              <w:rPr>
                <w:rFonts w:eastAsia="MS Mincho" w:cstheme="minorHAnsi"/>
              </w:rPr>
              <w:t xml:space="preserve"> 10</w:t>
            </w:r>
            <w:r>
              <w:rPr>
                <w:rFonts w:eastAsia="MS Mincho" w:cstheme="minorHAnsi"/>
              </w:rPr>
              <w:t>.</w:t>
            </w:r>
          </w:p>
        </w:tc>
        <w:tc>
          <w:tcPr>
            <w:tcW w:w="1055" w:type="pct"/>
          </w:tcPr>
          <w:p w14:paraId="7005AE4B" w14:textId="2914A2A1" w:rsidR="00756CEF" w:rsidRPr="00756CEF" w:rsidRDefault="00756CEF" w:rsidP="00C324F3">
            <w:pPr>
              <w:pStyle w:val="Tablewriting"/>
              <w:numPr>
                <w:ilvl w:val="0"/>
                <w:numId w:val="142"/>
              </w:numPr>
              <w:rPr>
                <w:rFonts w:eastAsia="MS Mincho" w:cstheme="minorHAnsi"/>
              </w:rPr>
            </w:pPr>
            <w:r w:rsidRPr="00756CEF">
              <w:rPr>
                <w:rFonts w:eastAsia="MS Mincho" w:cstheme="minorHAnsi"/>
              </w:rPr>
              <w:t>NRT patch (10 mg/16 h) for 8 weeks</w:t>
            </w:r>
            <w:r>
              <w:rPr>
                <w:rFonts w:eastAsia="MS Mincho" w:cstheme="minorHAnsi"/>
              </w:rPr>
              <w:t>.</w:t>
            </w:r>
          </w:p>
          <w:p w14:paraId="24FC6C8F" w14:textId="61202412" w:rsidR="00756CEF" w:rsidRDefault="00756CEF" w:rsidP="00C324F3">
            <w:pPr>
              <w:pStyle w:val="Tablewriting"/>
              <w:numPr>
                <w:ilvl w:val="0"/>
                <w:numId w:val="142"/>
              </w:numPr>
              <w:rPr>
                <w:rFonts w:eastAsia="MS Mincho" w:cstheme="minorHAnsi"/>
              </w:rPr>
            </w:pPr>
            <w:r w:rsidRPr="00756CEF">
              <w:rPr>
                <w:rFonts w:eastAsia="MS Mincho" w:cstheme="minorHAnsi"/>
              </w:rPr>
              <w:t>Placebo</w:t>
            </w:r>
            <w:r>
              <w:rPr>
                <w:rFonts w:eastAsia="MS Mincho" w:cstheme="minorHAnsi"/>
              </w:rPr>
              <w:t>.</w:t>
            </w:r>
          </w:p>
          <w:p w14:paraId="2E2BCB39" w14:textId="77777777" w:rsidR="00756CEF" w:rsidRPr="00756CEF" w:rsidRDefault="00756CEF" w:rsidP="00A71365">
            <w:pPr>
              <w:pStyle w:val="Tablewriting"/>
              <w:ind w:left="360"/>
              <w:rPr>
                <w:rFonts w:eastAsia="MS Mincho" w:cstheme="minorHAnsi"/>
              </w:rPr>
            </w:pPr>
          </w:p>
          <w:p w14:paraId="050D8477" w14:textId="02DD606D" w:rsidR="009042AA" w:rsidRPr="00017AE6" w:rsidRDefault="00756CEF" w:rsidP="00A71365">
            <w:pPr>
              <w:pStyle w:val="Tablewriting"/>
              <w:rPr>
                <w:rFonts w:eastAsia="MS Mincho" w:cstheme="minorHAnsi"/>
              </w:rPr>
            </w:pPr>
            <w:r w:rsidRPr="00756CEF">
              <w:rPr>
                <w:rFonts w:eastAsia="MS Mincho" w:cstheme="minorHAnsi"/>
              </w:rPr>
              <w:t>Level of support: high (individual smoking cessation counselling of 30 mins (and planned for week 52))</w:t>
            </w:r>
          </w:p>
        </w:tc>
        <w:tc>
          <w:tcPr>
            <w:tcW w:w="958" w:type="pct"/>
          </w:tcPr>
          <w:p w14:paraId="3F031563" w14:textId="76E5DC0E" w:rsidR="00A50E2F" w:rsidRDefault="001173B2" w:rsidP="00A71365">
            <w:pPr>
              <w:pStyle w:val="Tablewriting"/>
              <w:rPr>
                <w:rFonts w:eastAsia="MS Mincho" w:cstheme="minorHAnsi"/>
                <w:u w:val="single"/>
              </w:rPr>
            </w:pPr>
            <w:r w:rsidRPr="009B13E2">
              <w:rPr>
                <w:rFonts w:eastAsia="MS Mincho" w:cstheme="minorHAnsi"/>
                <w:u w:val="single"/>
              </w:rPr>
              <w:t>Efficacy:</w:t>
            </w:r>
            <w:r w:rsidR="00A50E2F">
              <w:t xml:space="preserve"> </w:t>
            </w:r>
            <w:r w:rsidR="00A50E2F" w:rsidRPr="00A50E2F">
              <w:rPr>
                <w:rFonts w:eastAsia="MS Mincho" w:cstheme="minorHAnsi"/>
                <w:u w:val="single"/>
              </w:rPr>
              <w:t>7</w:t>
            </w:r>
            <w:r w:rsidR="00A50E2F" w:rsidRPr="00A50E2F">
              <w:rPr>
                <w:rFonts w:eastAsia="MS Mincho" w:cstheme="minorHAnsi"/>
              </w:rPr>
              <w:t>-day PP at 6 months (Methods section also states 12 months follow-up but results not reported</w:t>
            </w:r>
            <w:r w:rsidR="00A50E2F" w:rsidRPr="00A50E2F">
              <w:rPr>
                <w:rFonts w:eastAsia="MS Mincho" w:cstheme="minorHAnsi"/>
                <w:u w:val="single"/>
              </w:rPr>
              <w:t>)</w:t>
            </w:r>
            <w:r w:rsidR="00A50E2F">
              <w:rPr>
                <w:rFonts w:eastAsia="MS Mincho" w:cstheme="minorHAnsi"/>
                <w:u w:val="single"/>
              </w:rPr>
              <w:t>.</w:t>
            </w:r>
          </w:p>
          <w:p w14:paraId="6012CF7C" w14:textId="77777777" w:rsidR="00A50E2F" w:rsidRPr="00A50E2F" w:rsidRDefault="00A50E2F" w:rsidP="00A71365">
            <w:pPr>
              <w:pStyle w:val="Tablewriting"/>
              <w:rPr>
                <w:rFonts w:eastAsia="MS Mincho" w:cstheme="minorHAnsi"/>
                <w:u w:val="single"/>
              </w:rPr>
            </w:pPr>
          </w:p>
          <w:p w14:paraId="7B707BEA" w14:textId="4B5BF500" w:rsidR="001173B2" w:rsidRPr="00A50E2F" w:rsidRDefault="00A50E2F" w:rsidP="00A71365">
            <w:pPr>
              <w:pStyle w:val="Tablewriting"/>
              <w:rPr>
                <w:rFonts w:eastAsia="MS Mincho" w:cstheme="minorHAnsi"/>
              </w:rPr>
            </w:pPr>
            <w:r w:rsidRPr="00A50E2F">
              <w:rPr>
                <w:rFonts w:eastAsia="MS Mincho" w:cstheme="minorHAnsi"/>
              </w:rPr>
              <w:t>Validation: none</w:t>
            </w:r>
            <w:r w:rsidR="00CB3E83">
              <w:rPr>
                <w:rFonts w:eastAsia="MS Mincho" w:cstheme="minorHAnsi"/>
              </w:rPr>
              <w:t xml:space="preserve">. </w:t>
            </w:r>
          </w:p>
          <w:p w14:paraId="254EC096" w14:textId="77777777" w:rsidR="001173B2" w:rsidRDefault="001173B2" w:rsidP="00A71365">
            <w:pPr>
              <w:pStyle w:val="Tablewriting"/>
              <w:rPr>
                <w:rFonts w:eastAsia="MS Mincho" w:cstheme="minorHAnsi"/>
              </w:rPr>
            </w:pPr>
          </w:p>
          <w:p w14:paraId="05B341AF" w14:textId="77777777" w:rsidR="006C6C9B" w:rsidRPr="006C6C9B" w:rsidRDefault="001173B2" w:rsidP="00A71365">
            <w:pPr>
              <w:pStyle w:val="Tablewriting"/>
              <w:rPr>
                <w:rFonts w:eastAsia="MS Mincho" w:cstheme="minorHAnsi"/>
              </w:rPr>
            </w:pPr>
            <w:r w:rsidRPr="009B13E2">
              <w:rPr>
                <w:rFonts w:eastAsia="MS Mincho" w:cstheme="minorHAnsi"/>
                <w:u w:val="single"/>
              </w:rPr>
              <w:t>Safety:</w:t>
            </w:r>
            <w:r w:rsidR="006C6C9B">
              <w:rPr>
                <w:rFonts w:eastAsia="MS Mincho" w:cstheme="minorHAnsi"/>
                <w:u w:val="single"/>
              </w:rPr>
              <w:t xml:space="preserve"> </w:t>
            </w:r>
            <w:r w:rsidR="006C6C9B" w:rsidRPr="006C6C9B">
              <w:rPr>
                <w:rFonts w:eastAsia="MS Mincho" w:cstheme="minorHAnsi"/>
              </w:rPr>
              <w:t>NR</w:t>
            </w:r>
          </w:p>
          <w:p w14:paraId="729F79C8" w14:textId="48EB8EEC" w:rsidR="009042AA" w:rsidRPr="00017AE6" w:rsidRDefault="009042AA" w:rsidP="00A71365">
            <w:pPr>
              <w:pStyle w:val="Tablewriting"/>
              <w:rPr>
                <w:rFonts w:eastAsia="MS Mincho" w:cstheme="minorHAnsi"/>
              </w:rPr>
            </w:pPr>
          </w:p>
        </w:tc>
      </w:tr>
      <w:tr w:rsidR="00201A49" w:rsidRPr="00017AE6" w14:paraId="112F60FB" w14:textId="77777777" w:rsidTr="005821B1">
        <w:trPr>
          <w:trHeight w:val="99"/>
        </w:trPr>
        <w:tc>
          <w:tcPr>
            <w:tcW w:w="1003" w:type="pct"/>
            <w:shd w:val="clear" w:color="auto" w:fill="FFFFFF" w:themeFill="background1"/>
          </w:tcPr>
          <w:p w14:paraId="036815C3" w14:textId="358FFAB2" w:rsidR="00201A49" w:rsidRPr="009F416E" w:rsidRDefault="00201A49" w:rsidP="00A71365">
            <w:pPr>
              <w:pStyle w:val="Tablewriting"/>
              <w:rPr>
                <w:rFonts w:eastAsia="MS Mincho"/>
              </w:rPr>
            </w:pPr>
            <w:r w:rsidRPr="009F416E">
              <w:rPr>
                <w:rFonts w:eastAsia="MS Mincho"/>
              </w:rPr>
              <w:lastRenderedPageBreak/>
              <w:t>CEA</w:t>
            </w:r>
            <w:r w:rsidR="007C5C6A" w:rsidRPr="009F416E">
              <w:rPr>
                <w:rFonts w:eastAsia="MS Mincho"/>
              </w:rPr>
              <w:t>SE 1999</w:t>
            </w:r>
            <w:r w:rsidR="00D83DA0" w:rsidRPr="009F416E">
              <w:rPr>
                <w:rFonts w:eastAsia="MS Mincho"/>
              </w:rPr>
              <w:t>*</w:t>
            </w:r>
          </w:p>
        </w:tc>
        <w:tc>
          <w:tcPr>
            <w:tcW w:w="235" w:type="pct"/>
            <w:shd w:val="clear" w:color="auto" w:fill="FFFFFF" w:themeFill="background1"/>
          </w:tcPr>
          <w:p w14:paraId="4B179B07" w14:textId="185866E7" w:rsidR="00201A49" w:rsidRPr="009F416E" w:rsidRDefault="007C1031" w:rsidP="00A71365">
            <w:pPr>
              <w:pStyle w:val="Tablewriting"/>
              <w:rPr>
                <w:rFonts w:eastAsia="MS Mincho" w:cstheme="minorHAnsi"/>
              </w:rPr>
            </w:pPr>
            <w:r w:rsidRPr="009F416E">
              <w:rPr>
                <w:rFonts w:eastAsia="MS Mincho" w:cstheme="minorHAnsi"/>
              </w:rPr>
              <w:t>RCT</w:t>
            </w:r>
          </w:p>
        </w:tc>
        <w:tc>
          <w:tcPr>
            <w:tcW w:w="414" w:type="pct"/>
            <w:shd w:val="clear" w:color="auto" w:fill="FFFFFF" w:themeFill="background1"/>
          </w:tcPr>
          <w:p w14:paraId="63A3366E" w14:textId="6010F741" w:rsidR="00201A49" w:rsidRPr="009F416E" w:rsidRDefault="009252AD" w:rsidP="00A71365">
            <w:pPr>
              <w:pStyle w:val="Tablewriting"/>
              <w:rPr>
                <w:rFonts w:eastAsia="MS Mincho" w:cstheme="minorHAnsi"/>
              </w:rPr>
            </w:pPr>
            <w:r w:rsidRPr="009F416E">
              <w:rPr>
                <w:rFonts w:eastAsia="MS Mincho" w:cstheme="minorHAnsi"/>
              </w:rPr>
              <w:t>17 European countries</w:t>
            </w:r>
          </w:p>
        </w:tc>
        <w:tc>
          <w:tcPr>
            <w:tcW w:w="289" w:type="pct"/>
            <w:shd w:val="clear" w:color="auto" w:fill="FFFFFF" w:themeFill="background1"/>
          </w:tcPr>
          <w:p w14:paraId="076C0077" w14:textId="3F8E11A1" w:rsidR="00201A49" w:rsidRPr="009F416E" w:rsidRDefault="007C1031" w:rsidP="00A71365">
            <w:pPr>
              <w:pStyle w:val="Tablewriting"/>
              <w:rPr>
                <w:rFonts w:eastAsia="MS Mincho" w:cstheme="minorHAnsi"/>
              </w:rPr>
            </w:pPr>
            <w:r w:rsidRPr="009F416E">
              <w:rPr>
                <w:rFonts w:eastAsia="MS Mincho" w:cstheme="minorHAnsi"/>
              </w:rPr>
              <w:t>N=</w:t>
            </w:r>
            <w:r w:rsidR="005156C9" w:rsidRPr="009F416E">
              <w:rPr>
                <w:rFonts w:eastAsia="MS Mincho" w:cstheme="minorHAnsi"/>
              </w:rPr>
              <w:t>3575</w:t>
            </w:r>
          </w:p>
        </w:tc>
        <w:tc>
          <w:tcPr>
            <w:tcW w:w="1045" w:type="pct"/>
            <w:shd w:val="clear" w:color="auto" w:fill="FFFFFF" w:themeFill="background1"/>
          </w:tcPr>
          <w:p w14:paraId="69BFBE06" w14:textId="1EE07077" w:rsidR="005A69B2" w:rsidRPr="009F416E" w:rsidRDefault="004664D2" w:rsidP="00A71365">
            <w:pPr>
              <w:pStyle w:val="Tablewriting"/>
              <w:rPr>
                <w:rFonts w:eastAsia="MS Mincho" w:cstheme="minorHAnsi"/>
              </w:rPr>
            </w:pPr>
            <w:r w:rsidRPr="009F416E">
              <w:rPr>
                <w:rFonts w:eastAsia="MS Mincho" w:cstheme="minorHAnsi"/>
              </w:rPr>
              <w:t>Adult’s</w:t>
            </w:r>
            <w:r w:rsidR="005A69B2" w:rsidRPr="009F416E">
              <w:rPr>
                <w:rFonts w:eastAsia="MS Mincho" w:cstheme="minorHAnsi"/>
              </w:rPr>
              <w:t xml:space="preserve"> smoking &gt; 14cigs/day for &gt; 3 years</w:t>
            </w:r>
          </w:p>
          <w:p w14:paraId="7BE9ECD4" w14:textId="5ED79C48" w:rsidR="005A69B2" w:rsidRPr="009F416E" w:rsidRDefault="005A69B2" w:rsidP="00A71365">
            <w:pPr>
              <w:pStyle w:val="Tablewriting"/>
              <w:rPr>
                <w:rFonts w:eastAsia="MS Mincho" w:cstheme="minorHAnsi"/>
              </w:rPr>
            </w:pPr>
            <w:r w:rsidRPr="009F416E">
              <w:rPr>
                <w:rFonts w:eastAsia="MS Mincho" w:cstheme="minorHAnsi"/>
              </w:rPr>
              <w:t>Mean age 41</w:t>
            </w:r>
            <w:r w:rsidR="001D69D4" w:rsidRPr="009F416E">
              <w:rPr>
                <w:rFonts w:eastAsia="MS Mincho" w:cstheme="minorHAnsi"/>
              </w:rPr>
              <w:t xml:space="preserve"> years</w:t>
            </w:r>
            <w:r w:rsidRPr="009F416E">
              <w:rPr>
                <w:rFonts w:eastAsia="MS Mincho" w:cstheme="minorHAnsi"/>
              </w:rPr>
              <w:t>, av</w:t>
            </w:r>
            <w:r w:rsidR="001D69D4" w:rsidRPr="009F416E">
              <w:rPr>
                <w:rFonts w:eastAsia="MS Mincho" w:cstheme="minorHAnsi"/>
              </w:rPr>
              <w:t>erage</w:t>
            </w:r>
            <w:r w:rsidRPr="009F416E">
              <w:rPr>
                <w:rFonts w:eastAsia="MS Mincho" w:cstheme="minorHAnsi"/>
              </w:rPr>
              <w:t xml:space="preserve"> cigs/day 27</w:t>
            </w:r>
            <w:r w:rsidR="001D69D4" w:rsidRPr="009F416E">
              <w:rPr>
                <w:rFonts w:eastAsia="MS Mincho" w:cstheme="minorHAnsi"/>
              </w:rPr>
              <w:t>.</w:t>
            </w:r>
          </w:p>
          <w:p w14:paraId="555A9B4A" w14:textId="582F7C7F" w:rsidR="00201A49" w:rsidRPr="009F416E" w:rsidRDefault="005A69B2" w:rsidP="00A71365">
            <w:pPr>
              <w:pStyle w:val="Tablewriting"/>
              <w:rPr>
                <w:rFonts w:eastAsia="MS Mincho" w:cstheme="minorHAnsi"/>
              </w:rPr>
            </w:pPr>
            <w:r w:rsidRPr="009F416E">
              <w:rPr>
                <w:rFonts w:eastAsia="MS Mincho" w:cstheme="minorHAnsi"/>
              </w:rPr>
              <w:t>(34% had previously used NRT)</w:t>
            </w:r>
          </w:p>
        </w:tc>
        <w:tc>
          <w:tcPr>
            <w:tcW w:w="1055" w:type="pct"/>
            <w:shd w:val="clear" w:color="auto" w:fill="FFFFFF" w:themeFill="background1"/>
          </w:tcPr>
          <w:p w14:paraId="4F78C9F1" w14:textId="77777777"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25 mg nicotine patch for 22w + 4w tapering (L-25)</w:t>
            </w:r>
            <w:r w:rsidR="00AB0DF2" w:rsidRPr="009F416E">
              <w:rPr>
                <w:rFonts w:eastAsia="MS Mincho" w:cstheme="minorHAnsi"/>
              </w:rPr>
              <w:t>.</w:t>
            </w:r>
          </w:p>
          <w:p w14:paraId="6551D6DC" w14:textId="77777777"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25 mg nicotine patch for 8w + 4w tapering (S-25)</w:t>
            </w:r>
            <w:r w:rsidR="00AB0DF2" w:rsidRPr="009F416E">
              <w:rPr>
                <w:rFonts w:eastAsia="MS Mincho" w:cstheme="minorHAnsi"/>
              </w:rPr>
              <w:t>.</w:t>
            </w:r>
          </w:p>
          <w:p w14:paraId="57BBA9F9" w14:textId="77777777"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15 mg nicotine patch for 22w + 4w tapering (L-15)</w:t>
            </w:r>
            <w:r w:rsidR="00AB0DF2" w:rsidRPr="009F416E">
              <w:rPr>
                <w:rFonts w:eastAsia="MS Mincho" w:cstheme="minorHAnsi"/>
              </w:rPr>
              <w:t>.</w:t>
            </w:r>
          </w:p>
          <w:p w14:paraId="742816AF" w14:textId="77777777" w:rsidR="00AB0DF2" w:rsidRPr="009F416E" w:rsidRDefault="00741659" w:rsidP="00C324F3">
            <w:pPr>
              <w:pStyle w:val="Tablewriting"/>
              <w:numPr>
                <w:ilvl w:val="0"/>
                <w:numId w:val="166"/>
              </w:numPr>
              <w:rPr>
                <w:rFonts w:eastAsia="MS Mincho" w:cstheme="minorHAnsi"/>
              </w:rPr>
            </w:pPr>
            <w:r w:rsidRPr="009F416E">
              <w:rPr>
                <w:rFonts w:eastAsia="MS Mincho" w:cstheme="minorHAnsi"/>
              </w:rPr>
              <w:t>15 mg nicotine patch for 8w + 4w tapering (S-15)</w:t>
            </w:r>
            <w:r w:rsidR="00AB0DF2" w:rsidRPr="009F416E">
              <w:rPr>
                <w:rFonts w:eastAsia="MS Mincho" w:cstheme="minorHAnsi"/>
              </w:rPr>
              <w:t>.</w:t>
            </w:r>
          </w:p>
          <w:p w14:paraId="011836EB" w14:textId="45FC67A3" w:rsidR="00741659" w:rsidRPr="009F416E" w:rsidRDefault="00741659" w:rsidP="00C324F3">
            <w:pPr>
              <w:pStyle w:val="Tablewriting"/>
              <w:numPr>
                <w:ilvl w:val="0"/>
                <w:numId w:val="166"/>
              </w:numPr>
              <w:rPr>
                <w:rFonts w:eastAsia="MS Mincho" w:cstheme="minorHAnsi"/>
              </w:rPr>
            </w:pPr>
            <w:r w:rsidRPr="009F416E">
              <w:rPr>
                <w:rFonts w:eastAsia="MS Mincho" w:cstheme="minorHAnsi"/>
              </w:rPr>
              <w:t>Placebo</w:t>
            </w:r>
            <w:r w:rsidR="00EB4A80" w:rsidRPr="009F416E">
              <w:rPr>
                <w:rFonts w:eastAsia="MS Mincho" w:cstheme="minorHAnsi"/>
              </w:rPr>
              <w:t>.</w:t>
            </w:r>
          </w:p>
          <w:p w14:paraId="7C650F3F" w14:textId="77777777" w:rsidR="00741659" w:rsidRPr="009F416E" w:rsidRDefault="00741659" w:rsidP="00A71365">
            <w:pPr>
              <w:pStyle w:val="Tablewriting"/>
              <w:rPr>
                <w:rFonts w:eastAsia="MS Mincho" w:cstheme="minorHAnsi"/>
              </w:rPr>
            </w:pPr>
          </w:p>
          <w:p w14:paraId="504ACC3A" w14:textId="749139FD" w:rsidR="00741659" w:rsidRPr="009F416E" w:rsidRDefault="00741659" w:rsidP="00A71365">
            <w:pPr>
              <w:pStyle w:val="Tablewriting"/>
              <w:rPr>
                <w:rFonts w:eastAsia="MS Mincho" w:cstheme="minorHAnsi"/>
              </w:rPr>
            </w:pPr>
            <w:r w:rsidRPr="009F416E">
              <w:rPr>
                <w:rFonts w:eastAsia="MS Mincho" w:cstheme="minorHAnsi"/>
              </w:rPr>
              <w:t>Factorial design compared two patch doses and two treatment duratio</w:t>
            </w:r>
            <w:r w:rsidR="00836B64" w:rsidRPr="009F416E">
              <w:rPr>
                <w:rFonts w:eastAsia="MS Mincho" w:cstheme="minorHAnsi"/>
              </w:rPr>
              <w:t xml:space="preserve">ns. Dose was either 15 mg or 25 </w:t>
            </w:r>
            <w:r w:rsidRPr="009F416E">
              <w:rPr>
                <w:rFonts w:eastAsia="MS Mincho" w:cstheme="minorHAnsi"/>
              </w:rPr>
              <w:t>mg (16hr), duration of active treatment was 28w (incl 4w fading) or 12w (incl 4w fading).</w:t>
            </w:r>
          </w:p>
          <w:p w14:paraId="3D527028" w14:textId="77777777" w:rsidR="00741659" w:rsidRPr="009F416E" w:rsidRDefault="00741659" w:rsidP="00A71365">
            <w:pPr>
              <w:pStyle w:val="Tablewriting"/>
              <w:rPr>
                <w:rFonts w:eastAsia="MS Mincho" w:cstheme="minorHAnsi"/>
              </w:rPr>
            </w:pPr>
          </w:p>
          <w:p w14:paraId="18FF8388" w14:textId="7C8EA100" w:rsidR="00741659" w:rsidRPr="009F416E" w:rsidRDefault="00741659" w:rsidP="00A71365">
            <w:pPr>
              <w:pStyle w:val="Tablewriting"/>
              <w:rPr>
                <w:rFonts w:eastAsia="MS Mincho" w:cstheme="minorHAnsi"/>
              </w:rPr>
            </w:pPr>
            <w:r w:rsidRPr="009F416E">
              <w:rPr>
                <w:rFonts w:eastAsia="MS Mincho" w:cstheme="minorHAnsi"/>
              </w:rPr>
              <w:t xml:space="preserve">Brief advice and </w:t>
            </w:r>
            <w:r w:rsidR="00600504" w:rsidRPr="009F416E">
              <w:rPr>
                <w:rFonts w:eastAsia="MS Mincho" w:cstheme="minorHAnsi"/>
              </w:rPr>
              <w:t>self-help</w:t>
            </w:r>
            <w:r w:rsidRPr="009F416E">
              <w:rPr>
                <w:rFonts w:eastAsia="MS Mincho" w:cstheme="minorHAnsi"/>
              </w:rPr>
              <w:t xml:space="preserve"> brochure</w:t>
            </w:r>
            <w:r w:rsidR="00600504" w:rsidRPr="009F416E">
              <w:rPr>
                <w:rFonts w:eastAsia="MS Mincho" w:cstheme="minorHAnsi"/>
              </w:rPr>
              <w:t>.</w:t>
            </w:r>
          </w:p>
          <w:p w14:paraId="113D2CF5" w14:textId="77777777" w:rsidR="00600504" w:rsidRPr="009F416E" w:rsidRDefault="00600504" w:rsidP="00A71365">
            <w:pPr>
              <w:pStyle w:val="Tablewriting"/>
              <w:rPr>
                <w:rFonts w:eastAsia="MS Mincho" w:cstheme="minorHAnsi"/>
              </w:rPr>
            </w:pPr>
          </w:p>
          <w:p w14:paraId="1004395B" w14:textId="1D65A7B1" w:rsidR="00201A49" w:rsidRPr="009F416E" w:rsidRDefault="00741659" w:rsidP="00A71365">
            <w:pPr>
              <w:pStyle w:val="Tablewriting"/>
              <w:rPr>
                <w:rFonts w:eastAsia="MS Mincho" w:cstheme="minorHAnsi"/>
              </w:rPr>
            </w:pPr>
            <w:r w:rsidRPr="009F416E">
              <w:rPr>
                <w:rFonts w:eastAsia="MS Mincho" w:cstheme="minorHAnsi"/>
              </w:rPr>
              <w:t>Level of support: low</w:t>
            </w:r>
          </w:p>
        </w:tc>
        <w:tc>
          <w:tcPr>
            <w:tcW w:w="958" w:type="pct"/>
            <w:shd w:val="clear" w:color="auto" w:fill="FFFFFF" w:themeFill="background1"/>
          </w:tcPr>
          <w:p w14:paraId="5ECAFD53" w14:textId="7EB4468F" w:rsidR="007C1031" w:rsidRPr="009F416E" w:rsidRDefault="007C1031" w:rsidP="00A71365">
            <w:pPr>
              <w:pStyle w:val="Tablewriting"/>
              <w:rPr>
                <w:rFonts w:eastAsia="MS Mincho" w:cstheme="minorHAnsi"/>
              </w:rPr>
            </w:pPr>
            <w:r w:rsidRPr="009F416E">
              <w:rPr>
                <w:rFonts w:eastAsia="MS Mincho" w:cstheme="minorHAnsi"/>
                <w:u w:val="single"/>
              </w:rPr>
              <w:t>Efficacy:</w:t>
            </w:r>
            <w:r w:rsidRPr="009F416E">
              <w:t xml:space="preserve"> </w:t>
            </w:r>
          </w:p>
          <w:p w14:paraId="0574FEC5" w14:textId="2D21CA81" w:rsidR="00476E03" w:rsidRPr="009F416E" w:rsidRDefault="00476E03" w:rsidP="00A71365">
            <w:pPr>
              <w:pStyle w:val="Tablewriting"/>
              <w:rPr>
                <w:rFonts w:eastAsia="MS Mincho" w:cstheme="minorHAnsi"/>
              </w:rPr>
            </w:pPr>
            <w:r w:rsidRPr="009F416E">
              <w:rPr>
                <w:rFonts w:eastAsia="MS Mincho" w:cstheme="minorHAnsi"/>
              </w:rPr>
              <w:t>Prolonged abstinence at 12</w:t>
            </w:r>
            <w:r w:rsidR="00FC4A9B" w:rsidRPr="009F416E">
              <w:rPr>
                <w:rFonts w:eastAsia="MS Mincho" w:cstheme="minorHAnsi"/>
              </w:rPr>
              <w:t xml:space="preserve"> </w:t>
            </w:r>
            <w:r w:rsidRPr="009F416E">
              <w:rPr>
                <w:rFonts w:eastAsia="MS Mincho" w:cstheme="minorHAnsi"/>
              </w:rPr>
              <w:t>m</w:t>
            </w:r>
            <w:r w:rsidR="00FC4A9B" w:rsidRPr="009F416E">
              <w:rPr>
                <w:rFonts w:eastAsia="MS Mincho" w:cstheme="minorHAnsi"/>
              </w:rPr>
              <w:t>onths</w:t>
            </w:r>
            <w:r w:rsidRPr="009F416E">
              <w:rPr>
                <w:rFonts w:eastAsia="MS Mincho" w:cstheme="minorHAnsi"/>
              </w:rPr>
              <w:t>,</w:t>
            </w:r>
            <w:r w:rsidR="00FC4A9B" w:rsidRPr="009F416E">
              <w:rPr>
                <w:rFonts w:eastAsia="MS Mincho" w:cstheme="minorHAnsi"/>
              </w:rPr>
              <w:t xml:space="preserve"> </w:t>
            </w:r>
            <w:r w:rsidRPr="009F416E">
              <w:rPr>
                <w:rFonts w:eastAsia="MS Mincho" w:cstheme="minorHAnsi"/>
              </w:rPr>
              <w:t>sustained from w</w:t>
            </w:r>
            <w:r w:rsidR="00FC4A9B" w:rsidRPr="009F416E">
              <w:rPr>
                <w:rFonts w:eastAsia="MS Mincho" w:cstheme="minorHAnsi"/>
              </w:rPr>
              <w:t xml:space="preserve">eek </w:t>
            </w:r>
            <w:r w:rsidRPr="009F416E">
              <w:rPr>
                <w:rFonts w:eastAsia="MS Mincho" w:cstheme="minorHAnsi"/>
              </w:rPr>
              <w:t>2</w:t>
            </w:r>
            <w:r w:rsidR="00FC4A9B" w:rsidRPr="009F416E">
              <w:rPr>
                <w:rFonts w:eastAsia="MS Mincho" w:cstheme="minorHAnsi"/>
              </w:rPr>
              <w:t>.</w:t>
            </w:r>
          </w:p>
          <w:p w14:paraId="2C65347E" w14:textId="046274FC" w:rsidR="007C1031" w:rsidRPr="009F416E" w:rsidRDefault="00476E03" w:rsidP="00A71365">
            <w:pPr>
              <w:pStyle w:val="Tablewriting"/>
              <w:rPr>
                <w:rFonts w:eastAsia="MS Mincho" w:cstheme="minorHAnsi"/>
              </w:rPr>
            </w:pPr>
            <w:r w:rsidRPr="009F416E">
              <w:rPr>
                <w:rFonts w:eastAsia="MS Mincho" w:cstheme="minorHAnsi"/>
              </w:rPr>
              <w:t>Authors also report PP abstinence</w:t>
            </w:r>
            <w:r w:rsidR="00FC4A9B" w:rsidRPr="009F416E">
              <w:rPr>
                <w:rFonts w:eastAsia="MS Mincho" w:cstheme="minorHAnsi"/>
              </w:rPr>
              <w:t>.</w:t>
            </w:r>
          </w:p>
          <w:p w14:paraId="11E6222A" w14:textId="77777777" w:rsidR="00FC4A9B" w:rsidRPr="009F416E" w:rsidRDefault="00FC4A9B" w:rsidP="00A71365">
            <w:pPr>
              <w:pStyle w:val="Tablewriting"/>
              <w:rPr>
                <w:rFonts w:eastAsia="MS Mincho" w:cstheme="minorHAnsi"/>
              </w:rPr>
            </w:pPr>
          </w:p>
          <w:p w14:paraId="249402A9" w14:textId="44B962ED" w:rsidR="00FC4A9B" w:rsidRPr="009F416E" w:rsidRDefault="00FC4A9B" w:rsidP="00A71365">
            <w:pPr>
              <w:pStyle w:val="Tablewriting"/>
              <w:rPr>
                <w:rFonts w:eastAsia="MS Mincho" w:cstheme="minorHAnsi"/>
              </w:rPr>
            </w:pPr>
            <w:r w:rsidRPr="009F416E">
              <w:rPr>
                <w:rFonts w:eastAsia="MS Mincho" w:cstheme="minorHAnsi"/>
              </w:rPr>
              <w:t>Validation: expired CO &lt; 10ppm at each clinic visit.</w:t>
            </w:r>
          </w:p>
          <w:p w14:paraId="178A459E" w14:textId="77777777" w:rsidR="00FC4A9B" w:rsidRPr="009F416E" w:rsidRDefault="00FC4A9B" w:rsidP="00A71365">
            <w:pPr>
              <w:pStyle w:val="Tablewriting"/>
              <w:rPr>
                <w:rFonts w:eastAsia="MS Mincho" w:cstheme="minorHAnsi"/>
              </w:rPr>
            </w:pPr>
          </w:p>
          <w:p w14:paraId="0D1918E0" w14:textId="0F26E922" w:rsidR="00201A49" w:rsidRPr="009F416E" w:rsidRDefault="007C1031" w:rsidP="00A71365">
            <w:pPr>
              <w:pStyle w:val="Tablewriting"/>
              <w:rPr>
                <w:rFonts w:eastAsia="MS Mincho" w:cstheme="minorHAnsi"/>
              </w:rPr>
            </w:pPr>
            <w:r w:rsidRPr="009F416E">
              <w:rPr>
                <w:rFonts w:eastAsia="MS Mincho" w:cstheme="minorHAnsi"/>
                <w:u w:val="single"/>
              </w:rPr>
              <w:t>Safety:</w:t>
            </w:r>
            <w:r w:rsidR="00FC4A9B" w:rsidRPr="009F416E">
              <w:rPr>
                <w:rFonts w:eastAsia="MS Mincho" w:cstheme="minorHAnsi"/>
                <w:u w:val="single"/>
              </w:rPr>
              <w:t xml:space="preserve"> </w:t>
            </w:r>
            <w:r w:rsidR="00FC4A9B" w:rsidRPr="009F416E">
              <w:rPr>
                <w:rFonts w:eastAsia="MS Mincho" w:cstheme="minorHAnsi"/>
              </w:rPr>
              <w:t>NR.</w:t>
            </w:r>
          </w:p>
        </w:tc>
      </w:tr>
      <w:tr w:rsidR="00201A49" w:rsidRPr="00017AE6" w14:paraId="3D00105C" w14:textId="77777777" w:rsidTr="005821B1">
        <w:trPr>
          <w:trHeight w:val="99"/>
        </w:trPr>
        <w:tc>
          <w:tcPr>
            <w:tcW w:w="1003" w:type="pct"/>
            <w:shd w:val="clear" w:color="auto" w:fill="FFFFFF" w:themeFill="background1"/>
          </w:tcPr>
          <w:p w14:paraId="5C8D23A0" w14:textId="6F91544E" w:rsidR="00201A49" w:rsidRPr="009F416E" w:rsidRDefault="007C5C6A" w:rsidP="00A71365">
            <w:pPr>
              <w:pStyle w:val="Tablewriting"/>
              <w:rPr>
                <w:rFonts w:eastAsia="MS Mincho"/>
              </w:rPr>
            </w:pPr>
            <w:r w:rsidRPr="009F416E">
              <w:rPr>
                <w:rFonts w:eastAsia="MS Mincho"/>
              </w:rPr>
              <w:t>Wong 1999</w:t>
            </w:r>
            <w:r w:rsidR="00D83DA0" w:rsidRPr="009F416E">
              <w:rPr>
                <w:rFonts w:eastAsia="MS Mincho"/>
              </w:rPr>
              <w:t>*</w:t>
            </w:r>
          </w:p>
        </w:tc>
        <w:tc>
          <w:tcPr>
            <w:tcW w:w="235" w:type="pct"/>
            <w:shd w:val="clear" w:color="auto" w:fill="FFFFFF" w:themeFill="background1"/>
          </w:tcPr>
          <w:p w14:paraId="2D9C8D37" w14:textId="601C0568" w:rsidR="00201A49" w:rsidRPr="009F416E" w:rsidRDefault="002F2B67" w:rsidP="00A71365">
            <w:pPr>
              <w:pStyle w:val="Tablewriting"/>
              <w:rPr>
                <w:rFonts w:eastAsia="MS Mincho" w:cstheme="minorHAnsi"/>
              </w:rPr>
            </w:pPr>
            <w:r w:rsidRPr="009F416E">
              <w:rPr>
                <w:rFonts w:eastAsia="MS Mincho" w:cstheme="minorHAnsi"/>
              </w:rPr>
              <w:t>RCT</w:t>
            </w:r>
          </w:p>
        </w:tc>
        <w:tc>
          <w:tcPr>
            <w:tcW w:w="414" w:type="pct"/>
            <w:shd w:val="clear" w:color="auto" w:fill="FFFFFF" w:themeFill="background1"/>
          </w:tcPr>
          <w:p w14:paraId="69E23385" w14:textId="23FD8D37" w:rsidR="00201A49" w:rsidRPr="009F416E" w:rsidRDefault="002F2B67" w:rsidP="00A71365">
            <w:pPr>
              <w:pStyle w:val="Tablewriting"/>
              <w:rPr>
                <w:rFonts w:eastAsia="MS Mincho" w:cstheme="minorHAnsi"/>
              </w:rPr>
            </w:pPr>
            <w:r w:rsidRPr="009F416E">
              <w:rPr>
                <w:rFonts w:eastAsia="MS Mincho" w:cstheme="minorHAnsi"/>
              </w:rPr>
              <w:t>USA</w:t>
            </w:r>
          </w:p>
        </w:tc>
        <w:tc>
          <w:tcPr>
            <w:tcW w:w="289" w:type="pct"/>
            <w:shd w:val="clear" w:color="auto" w:fill="FFFFFF" w:themeFill="background1"/>
          </w:tcPr>
          <w:p w14:paraId="25DF6C87" w14:textId="568A311D" w:rsidR="00201A49" w:rsidRPr="009F416E" w:rsidRDefault="007C1031" w:rsidP="00A71365">
            <w:pPr>
              <w:pStyle w:val="Tablewriting"/>
              <w:rPr>
                <w:rFonts w:eastAsia="MS Mincho" w:cstheme="minorHAnsi"/>
              </w:rPr>
            </w:pPr>
            <w:r w:rsidRPr="009F416E">
              <w:rPr>
                <w:rFonts w:eastAsia="MS Mincho" w:cstheme="minorHAnsi"/>
              </w:rPr>
              <w:t>N=</w:t>
            </w:r>
            <w:r w:rsidR="002F2B67" w:rsidRPr="009F416E">
              <w:rPr>
                <w:rFonts w:eastAsia="MS Mincho" w:cstheme="minorHAnsi"/>
              </w:rPr>
              <w:t>100</w:t>
            </w:r>
          </w:p>
        </w:tc>
        <w:tc>
          <w:tcPr>
            <w:tcW w:w="1045" w:type="pct"/>
            <w:shd w:val="clear" w:color="auto" w:fill="FFFFFF" w:themeFill="background1"/>
          </w:tcPr>
          <w:p w14:paraId="2FA19C39" w14:textId="77777777" w:rsidR="003823A2" w:rsidRPr="009F416E" w:rsidRDefault="002F2B67" w:rsidP="00A71365">
            <w:pPr>
              <w:pStyle w:val="Tablewriting"/>
              <w:rPr>
                <w:rFonts w:eastAsia="MS Mincho" w:cstheme="minorHAnsi"/>
              </w:rPr>
            </w:pPr>
            <w:r w:rsidRPr="009F416E">
              <w:rPr>
                <w:rFonts w:eastAsia="MS Mincho" w:cstheme="minorHAnsi"/>
              </w:rPr>
              <w:t>Smokers (&gt; 10 cigs/day for &gt; 1 year)</w:t>
            </w:r>
            <w:r w:rsidR="003823A2" w:rsidRPr="009F416E">
              <w:rPr>
                <w:rFonts w:eastAsia="MS Mincho" w:cstheme="minorHAnsi"/>
              </w:rPr>
              <w:t>.</w:t>
            </w:r>
          </w:p>
          <w:p w14:paraId="07535083" w14:textId="656FEDDC" w:rsidR="00201A49" w:rsidRPr="009F416E" w:rsidRDefault="002F2B67" w:rsidP="00A71365">
            <w:pPr>
              <w:pStyle w:val="Tablewriting"/>
              <w:rPr>
                <w:rFonts w:eastAsia="MS Mincho" w:cstheme="minorHAnsi"/>
              </w:rPr>
            </w:pPr>
            <w:r w:rsidRPr="009F416E">
              <w:rPr>
                <w:rFonts w:eastAsia="MS Mincho" w:cstheme="minorHAnsi"/>
              </w:rPr>
              <w:t>Av</w:t>
            </w:r>
            <w:r w:rsidR="003823A2" w:rsidRPr="009F416E">
              <w:rPr>
                <w:rFonts w:eastAsia="MS Mincho" w:cstheme="minorHAnsi"/>
              </w:rPr>
              <w:t>erage</w:t>
            </w:r>
            <w:r w:rsidRPr="009F416E">
              <w:rPr>
                <w:rFonts w:eastAsia="MS Mincho" w:cstheme="minorHAnsi"/>
              </w:rPr>
              <w:t xml:space="preserve"> age 42</w:t>
            </w:r>
            <w:r w:rsidR="00103518" w:rsidRPr="009F416E">
              <w:rPr>
                <w:rFonts w:eastAsia="MS Mincho" w:cstheme="minorHAnsi"/>
              </w:rPr>
              <w:t xml:space="preserve"> years</w:t>
            </w:r>
            <w:r w:rsidRPr="009F416E">
              <w:rPr>
                <w:rFonts w:eastAsia="MS Mincho" w:cstheme="minorHAnsi"/>
              </w:rPr>
              <w:t>, 53%</w:t>
            </w:r>
            <w:r w:rsidR="003823A2" w:rsidRPr="009F416E">
              <w:rPr>
                <w:rFonts w:eastAsia="MS Mincho" w:cstheme="minorHAnsi"/>
              </w:rPr>
              <w:t xml:space="preserve"> female</w:t>
            </w:r>
            <w:r w:rsidRPr="009F416E">
              <w:rPr>
                <w:rFonts w:eastAsia="MS Mincho" w:cstheme="minorHAnsi"/>
              </w:rPr>
              <w:t>, cigs/day 28</w:t>
            </w:r>
            <w:r w:rsidR="003823A2" w:rsidRPr="009F416E">
              <w:rPr>
                <w:rFonts w:eastAsia="MS Mincho" w:cstheme="minorHAnsi"/>
              </w:rPr>
              <w:t>.</w:t>
            </w:r>
          </w:p>
        </w:tc>
        <w:tc>
          <w:tcPr>
            <w:tcW w:w="1055" w:type="pct"/>
            <w:shd w:val="clear" w:color="auto" w:fill="FFFFFF" w:themeFill="background1"/>
          </w:tcPr>
          <w:p w14:paraId="569EDDDD" w14:textId="287FA1ED" w:rsidR="008E077C" w:rsidRPr="009F416E" w:rsidRDefault="008E077C" w:rsidP="00C324F3">
            <w:pPr>
              <w:pStyle w:val="Tablewriting"/>
              <w:numPr>
                <w:ilvl w:val="0"/>
                <w:numId w:val="142"/>
              </w:numPr>
              <w:rPr>
                <w:rFonts w:eastAsia="MS Mincho" w:cstheme="minorHAnsi"/>
              </w:rPr>
            </w:pPr>
            <w:r w:rsidRPr="009F416E">
              <w:rPr>
                <w:rFonts w:eastAsia="MS Mincho" w:cstheme="minorHAnsi"/>
              </w:rPr>
              <w:t>Nicotine patch: 21 mg (24hr) for 8 weeks, tapering to 14 mg for 4 weeks.</w:t>
            </w:r>
          </w:p>
          <w:p w14:paraId="46062EAA" w14:textId="77777777" w:rsidR="008E077C" w:rsidRPr="009F416E" w:rsidRDefault="008E077C" w:rsidP="00C324F3">
            <w:pPr>
              <w:pStyle w:val="Tablewriting"/>
              <w:numPr>
                <w:ilvl w:val="0"/>
                <w:numId w:val="142"/>
              </w:numPr>
              <w:rPr>
                <w:rFonts w:eastAsia="MS Mincho" w:cstheme="minorHAnsi"/>
              </w:rPr>
            </w:pPr>
            <w:r w:rsidRPr="009F416E">
              <w:rPr>
                <w:rFonts w:eastAsia="MS Mincho" w:cstheme="minorHAnsi"/>
              </w:rPr>
              <w:t>Naltrexone: 50 mg/day for 12 weeks.</w:t>
            </w:r>
          </w:p>
          <w:p w14:paraId="79D78677" w14:textId="77777777" w:rsidR="008E077C" w:rsidRPr="009F416E" w:rsidRDefault="008E077C" w:rsidP="00A71365">
            <w:pPr>
              <w:pStyle w:val="Tablewriting"/>
              <w:rPr>
                <w:rFonts w:eastAsia="MS Mincho" w:cstheme="minorHAnsi"/>
              </w:rPr>
            </w:pPr>
          </w:p>
          <w:p w14:paraId="3B61F4F1" w14:textId="5C4E70B3" w:rsidR="008E077C" w:rsidRPr="009F416E" w:rsidRDefault="008E077C" w:rsidP="00A71365">
            <w:pPr>
              <w:pStyle w:val="Tablewriting"/>
              <w:rPr>
                <w:rFonts w:eastAsia="MS Mincho" w:cstheme="minorHAnsi"/>
              </w:rPr>
            </w:pPr>
            <w:r w:rsidRPr="009F416E">
              <w:rPr>
                <w:rFonts w:eastAsia="MS Mincho" w:cstheme="minorHAnsi"/>
              </w:rPr>
              <w:t>Factorial study of nicotine patch and naltrexone, No placebo patch.</w:t>
            </w:r>
          </w:p>
          <w:p w14:paraId="067115E7" w14:textId="77777777" w:rsidR="008E077C" w:rsidRPr="009F416E" w:rsidRDefault="008E077C" w:rsidP="00A71365">
            <w:pPr>
              <w:pStyle w:val="Tablewriting"/>
              <w:rPr>
                <w:rFonts w:eastAsia="MS Mincho" w:cstheme="minorHAnsi"/>
              </w:rPr>
            </w:pPr>
          </w:p>
          <w:p w14:paraId="2244606C" w14:textId="48466B67" w:rsidR="00201A49" w:rsidRPr="009F416E" w:rsidRDefault="008E077C" w:rsidP="00A71365">
            <w:pPr>
              <w:pStyle w:val="Tablewriting"/>
              <w:rPr>
                <w:rFonts w:eastAsia="MS Mincho" w:cstheme="minorHAnsi"/>
              </w:rPr>
            </w:pPr>
            <w:r w:rsidRPr="009F416E">
              <w:rPr>
                <w:rFonts w:eastAsia="MS Mincho" w:cstheme="minorHAnsi"/>
              </w:rPr>
              <w:lastRenderedPageBreak/>
              <w:t>Level of support: High (individual counselling, 15-20 mins at 8 study visits).</w:t>
            </w:r>
          </w:p>
        </w:tc>
        <w:tc>
          <w:tcPr>
            <w:tcW w:w="958" w:type="pct"/>
            <w:shd w:val="clear" w:color="auto" w:fill="FFFFFF" w:themeFill="background1"/>
          </w:tcPr>
          <w:p w14:paraId="652E6171" w14:textId="77777777" w:rsidR="007C1031" w:rsidRPr="009F416E" w:rsidRDefault="007C1031" w:rsidP="00A71365">
            <w:pPr>
              <w:pStyle w:val="Tablewriting"/>
              <w:rPr>
                <w:rFonts w:eastAsia="MS Mincho" w:cstheme="minorHAnsi"/>
              </w:rPr>
            </w:pPr>
            <w:r w:rsidRPr="009F416E">
              <w:rPr>
                <w:rFonts w:eastAsia="MS Mincho" w:cstheme="minorHAnsi"/>
                <w:u w:val="single"/>
              </w:rPr>
              <w:lastRenderedPageBreak/>
              <w:t>Efficacy:</w:t>
            </w:r>
            <w:r w:rsidRPr="009F416E">
              <w:t xml:space="preserve"> </w:t>
            </w:r>
          </w:p>
          <w:p w14:paraId="58DFEA1E" w14:textId="15FF7A6D" w:rsidR="0037565E" w:rsidRPr="009F416E" w:rsidRDefault="0037565E" w:rsidP="00A71365">
            <w:pPr>
              <w:pStyle w:val="Tablewriting"/>
              <w:rPr>
                <w:rFonts w:eastAsia="MS Mincho" w:cstheme="minorHAnsi"/>
              </w:rPr>
            </w:pPr>
            <w:r w:rsidRPr="009F416E">
              <w:rPr>
                <w:rFonts w:eastAsia="MS Mincho" w:cstheme="minorHAnsi"/>
              </w:rPr>
              <w:t>Continuous abstinence at 6 months.</w:t>
            </w:r>
          </w:p>
          <w:p w14:paraId="3F5D1ACC" w14:textId="335843F2" w:rsidR="007C1031" w:rsidRPr="009F416E" w:rsidRDefault="0037565E" w:rsidP="00A71365">
            <w:pPr>
              <w:pStyle w:val="Tablewriting"/>
              <w:rPr>
                <w:rFonts w:eastAsia="MS Mincho" w:cstheme="minorHAnsi"/>
              </w:rPr>
            </w:pPr>
            <w:r w:rsidRPr="009F416E">
              <w:rPr>
                <w:rFonts w:eastAsia="MS Mincho" w:cstheme="minorHAnsi"/>
              </w:rPr>
              <w:t>Validation: CO &lt;= 8 ppm.</w:t>
            </w:r>
          </w:p>
          <w:p w14:paraId="71D9C96A" w14:textId="1EF534FC" w:rsidR="007C1031" w:rsidRPr="009F416E" w:rsidRDefault="007C1031" w:rsidP="00A71365">
            <w:pPr>
              <w:pStyle w:val="Tablewriting"/>
              <w:rPr>
                <w:rFonts w:eastAsia="MS Mincho" w:cstheme="minorHAnsi"/>
              </w:rPr>
            </w:pPr>
            <w:r w:rsidRPr="009F416E">
              <w:rPr>
                <w:rFonts w:eastAsia="MS Mincho" w:cstheme="minorHAnsi"/>
                <w:u w:val="single"/>
              </w:rPr>
              <w:t>Safety:</w:t>
            </w:r>
            <w:r w:rsidR="0037565E" w:rsidRPr="009F416E">
              <w:rPr>
                <w:rFonts w:eastAsia="MS Mincho" w:cstheme="minorHAnsi"/>
                <w:u w:val="single"/>
              </w:rPr>
              <w:t xml:space="preserve"> </w:t>
            </w:r>
            <w:r w:rsidR="0037565E" w:rsidRPr="009F416E">
              <w:rPr>
                <w:rFonts w:eastAsia="MS Mincho" w:cstheme="minorHAnsi"/>
              </w:rPr>
              <w:t>NR.</w:t>
            </w:r>
          </w:p>
          <w:p w14:paraId="3433D6DE" w14:textId="77777777" w:rsidR="00201A49" w:rsidRPr="009F416E" w:rsidRDefault="00201A49" w:rsidP="00A71365">
            <w:pPr>
              <w:pStyle w:val="Tablewriting"/>
              <w:rPr>
                <w:rFonts w:eastAsia="MS Mincho" w:cstheme="minorHAnsi"/>
                <w:u w:val="single"/>
              </w:rPr>
            </w:pPr>
          </w:p>
        </w:tc>
      </w:tr>
      <w:tr w:rsidR="007C5C6A" w:rsidRPr="00017AE6" w14:paraId="098226D3" w14:textId="77777777" w:rsidTr="005821B1">
        <w:trPr>
          <w:trHeight w:val="99"/>
        </w:trPr>
        <w:tc>
          <w:tcPr>
            <w:tcW w:w="1003" w:type="pct"/>
            <w:shd w:val="clear" w:color="auto" w:fill="FFFFFF" w:themeFill="background1"/>
          </w:tcPr>
          <w:p w14:paraId="0B0E5272" w14:textId="355C25C7" w:rsidR="007C5C6A" w:rsidRPr="009F416E" w:rsidRDefault="007C5C6A" w:rsidP="00A71365">
            <w:pPr>
              <w:pStyle w:val="Tablewriting"/>
              <w:rPr>
                <w:rFonts w:eastAsia="MS Mincho"/>
              </w:rPr>
            </w:pPr>
            <w:r w:rsidRPr="009F416E">
              <w:rPr>
                <w:rFonts w:eastAsia="MS Mincho"/>
              </w:rPr>
              <w:t>Killen 1997</w:t>
            </w:r>
            <w:r w:rsidR="00D83DA0" w:rsidRPr="009F416E">
              <w:rPr>
                <w:rFonts w:eastAsia="MS Mincho"/>
              </w:rPr>
              <w:t>*</w:t>
            </w:r>
          </w:p>
        </w:tc>
        <w:tc>
          <w:tcPr>
            <w:tcW w:w="235" w:type="pct"/>
            <w:shd w:val="clear" w:color="auto" w:fill="FFFFFF" w:themeFill="background1"/>
          </w:tcPr>
          <w:p w14:paraId="3F7DA480" w14:textId="4DF5F017" w:rsidR="007C5C6A" w:rsidRPr="009F416E" w:rsidRDefault="001C2E71" w:rsidP="00A71365">
            <w:pPr>
              <w:pStyle w:val="Tablewriting"/>
              <w:rPr>
                <w:rFonts w:eastAsia="MS Mincho" w:cstheme="minorHAnsi"/>
              </w:rPr>
            </w:pPr>
            <w:r w:rsidRPr="009F416E">
              <w:rPr>
                <w:rFonts w:eastAsia="MS Mincho" w:cstheme="minorHAnsi"/>
              </w:rPr>
              <w:t>RCT</w:t>
            </w:r>
          </w:p>
        </w:tc>
        <w:tc>
          <w:tcPr>
            <w:tcW w:w="414" w:type="pct"/>
            <w:shd w:val="clear" w:color="auto" w:fill="FFFFFF" w:themeFill="background1"/>
          </w:tcPr>
          <w:p w14:paraId="521C881C" w14:textId="53A8DE62" w:rsidR="007C5C6A" w:rsidRPr="009F416E" w:rsidRDefault="00EB1328" w:rsidP="00A71365">
            <w:pPr>
              <w:pStyle w:val="Tablewriting"/>
              <w:rPr>
                <w:rFonts w:eastAsia="MS Mincho" w:cstheme="minorHAnsi"/>
              </w:rPr>
            </w:pPr>
            <w:r w:rsidRPr="009F416E">
              <w:rPr>
                <w:rFonts w:eastAsia="MS Mincho" w:cstheme="minorHAnsi"/>
              </w:rPr>
              <w:t>USA</w:t>
            </w:r>
          </w:p>
        </w:tc>
        <w:tc>
          <w:tcPr>
            <w:tcW w:w="289" w:type="pct"/>
            <w:shd w:val="clear" w:color="auto" w:fill="FFFFFF" w:themeFill="background1"/>
          </w:tcPr>
          <w:p w14:paraId="2B9E6A32" w14:textId="409C9D2D" w:rsidR="007C5C6A" w:rsidRPr="009F416E" w:rsidRDefault="007C1031" w:rsidP="00A71365">
            <w:pPr>
              <w:pStyle w:val="Tablewriting"/>
              <w:rPr>
                <w:rFonts w:eastAsia="MS Mincho" w:cstheme="minorHAnsi"/>
              </w:rPr>
            </w:pPr>
            <w:r w:rsidRPr="009F416E">
              <w:rPr>
                <w:rFonts w:eastAsia="MS Mincho" w:cstheme="minorHAnsi"/>
              </w:rPr>
              <w:t>N=</w:t>
            </w:r>
            <w:r w:rsidR="00EB1328" w:rsidRPr="009F416E">
              <w:rPr>
                <w:rFonts w:eastAsia="MS Mincho" w:cstheme="minorHAnsi"/>
              </w:rPr>
              <w:t>424</w:t>
            </w:r>
          </w:p>
        </w:tc>
        <w:tc>
          <w:tcPr>
            <w:tcW w:w="1045" w:type="pct"/>
            <w:shd w:val="clear" w:color="auto" w:fill="FFFFFF" w:themeFill="background1"/>
          </w:tcPr>
          <w:p w14:paraId="775CD9B3" w14:textId="0B8DF2B6" w:rsidR="007C5C6A" w:rsidRPr="009F416E" w:rsidRDefault="00EB1328" w:rsidP="00A71365">
            <w:pPr>
              <w:pStyle w:val="Tablewriting"/>
              <w:rPr>
                <w:rFonts w:eastAsia="MS Mincho" w:cstheme="minorHAnsi"/>
              </w:rPr>
            </w:pPr>
            <w:r w:rsidRPr="009F416E">
              <w:rPr>
                <w:rFonts w:eastAsia="MS Mincho" w:cstheme="minorHAnsi"/>
              </w:rPr>
              <w:t>Not specified.</w:t>
            </w:r>
          </w:p>
        </w:tc>
        <w:tc>
          <w:tcPr>
            <w:tcW w:w="1055" w:type="pct"/>
            <w:shd w:val="clear" w:color="auto" w:fill="FFFFFF" w:themeFill="background1"/>
          </w:tcPr>
          <w:p w14:paraId="5A78379C" w14:textId="77777777"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Nicotine patch (21 mg/24hr) for 8</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r w:rsidRPr="009F416E">
              <w:rPr>
                <w:rFonts w:eastAsia="MS Mincho" w:cstheme="minorHAnsi"/>
              </w:rPr>
              <w:t>, 14 mg for 4</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r w:rsidRPr="009F416E">
              <w:rPr>
                <w:rFonts w:eastAsia="MS Mincho" w:cstheme="minorHAnsi"/>
              </w:rPr>
              <w:t>, 7 mg for 4</w:t>
            </w:r>
            <w:r w:rsidR="00217F42" w:rsidRPr="009F416E">
              <w:rPr>
                <w:rFonts w:eastAsia="MS Mincho" w:cstheme="minorHAnsi"/>
              </w:rPr>
              <w:t xml:space="preserve"> </w:t>
            </w:r>
            <w:r w:rsidRPr="009F416E">
              <w:rPr>
                <w:rFonts w:eastAsia="MS Mincho" w:cstheme="minorHAnsi"/>
              </w:rPr>
              <w:t>w</w:t>
            </w:r>
            <w:r w:rsidR="00217F42" w:rsidRPr="009F416E">
              <w:rPr>
                <w:rFonts w:eastAsia="MS Mincho" w:cstheme="minorHAnsi"/>
              </w:rPr>
              <w:t>eeks.</w:t>
            </w:r>
          </w:p>
          <w:p w14:paraId="5B972594" w14:textId="77777777"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Placebo patch</w:t>
            </w:r>
            <w:r w:rsidR="00217F42" w:rsidRPr="009F416E">
              <w:rPr>
                <w:rFonts w:eastAsia="MS Mincho" w:cstheme="minorHAnsi"/>
              </w:rPr>
              <w:t>.</w:t>
            </w:r>
          </w:p>
          <w:p w14:paraId="7E85AE3D" w14:textId="77777777" w:rsidR="00217F42" w:rsidRPr="009F416E" w:rsidRDefault="00EB1328" w:rsidP="00C324F3">
            <w:pPr>
              <w:pStyle w:val="Tablewriting"/>
              <w:numPr>
                <w:ilvl w:val="0"/>
                <w:numId w:val="167"/>
              </w:numPr>
              <w:rPr>
                <w:rFonts w:eastAsia="MS Mincho" w:cstheme="minorHAnsi"/>
              </w:rPr>
            </w:pPr>
            <w:r w:rsidRPr="009F416E">
              <w:rPr>
                <w:rFonts w:eastAsia="MS Mincho" w:cstheme="minorHAnsi"/>
              </w:rPr>
              <w:t>Nicotine patch and video (The video was shown at initial visit and a copy supplied for home use)</w:t>
            </w:r>
            <w:r w:rsidR="00217F42" w:rsidRPr="009F416E">
              <w:rPr>
                <w:rFonts w:eastAsia="MS Mincho" w:cstheme="minorHAnsi"/>
              </w:rPr>
              <w:t>.</w:t>
            </w:r>
          </w:p>
          <w:p w14:paraId="77D84266" w14:textId="5D1EB800" w:rsidR="00EB1328" w:rsidRPr="009F416E" w:rsidRDefault="00EB1328" w:rsidP="00C324F3">
            <w:pPr>
              <w:pStyle w:val="Tablewriting"/>
              <w:numPr>
                <w:ilvl w:val="0"/>
                <w:numId w:val="167"/>
              </w:numPr>
              <w:rPr>
                <w:rFonts w:eastAsia="MS Mincho" w:cstheme="minorHAnsi"/>
              </w:rPr>
            </w:pPr>
            <w:r w:rsidRPr="009F416E">
              <w:rPr>
                <w:rFonts w:eastAsia="MS Mincho" w:cstheme="minorHAnsi"/>
              </w:rPr>
              <w:t>Placebo patch and video</w:t>
            </w:r>
          </w:p>
          <w:p w14:paraId="234346B8" w14:textId="45CB136D" w:rsidR="00CE3B7C" w:rsidRPr="009F416E" w:rsidRDefault="00CE3B7C" w:rsidP="00A71365">
            <w:pPr>
              <w:pStyle w:val="Tablewriting"/>
              <w:rPr>
                <w:rFonts w:eastAsia="MS Mincho" w:cstheme="minorHAnsi"/>
              </w:rPr>
            </w:pPr>
          </w:p>
          <w:p w14:paraId="4018AA8E" w14:textId="02A67612" w:rsidR="007C5C6A" w:rsidRPr="009F416E" w:rsidRDefault="00EB1328" w:rsidP="00A71365">
            <w:pPr>
              <w:pStyle w:val="Tablewriting"/>
              <w:rPr>
                <w:rFonts w:eastAsia="MS Mincho" w:cstheme="minorHAnsi"/>
              </w:rPr>
            </w:pPr>
            <w:r w:rsidRPr="009F416E">
              <w:rPr>
                <w:rFonts w:eastAsia="MS Mincho" w:cstheme="minorHAnsi"/>
              </w:rPr>
              <w:t xml:space="preserve">Level of support: low (All treatment groups received a </w:t>
            </w:r>
            <w:r w:rsidR="00217F42" w:rsidRPr="009F416E">
              <w:rPr>
                <w:rFonts w:eastAsia="MS Mincho" w:cstheme="minorHAnsi"/>
              </w:rPr>
              <w:t>self-help</w:t>
            </w:r>
            <w:r w:rsidRPr="009F416E">
              <w:rPr>
                <w:rFonts w:eastAsia="MS Mincho" w:cstheme="minorHAnsi"/>
              </w:rPr>
              <w:t xml:space="preserve"> treatment</w:t>
            </w:r>
            <w:r w:rsidR="00217F42" w:rsidRPr="009F416E">
              <w:rPr>
                <w:rFonts w:eastAsia="MS Mincho" w:cstheme="minorHAnsi"/>
              </w:rPr>
              <w:t xml:space="preserve"> </w:t>
            </w:r>
            <w:r w:rsidRPr="009F416E">
              <w:rPr>
                <w:rFonts w:eastAsia="MS Mincho" w:cstheme="minorHAnsi"/>
              </w:rPr>
              <w:t>manual designed to</w:t>
            </w:r>
            <w:r w:rsidR="00217F42" w:rsidRPr="009F416E">
              <w:rPr>
                <w:rFonts w:eastAsia="MS Mincho" w:cstheme="minorHAnsi"/>
              </w:rPr>
              <w:t xml:space="preserve"> </w:t>
            </w:r>
            <w:r w:rsidRPr="009F416E">
              <w:rPr>
                <w:rFonts w:eastAsia="MS Mincho" w:cstheme="minorHAnsi"/>
              </w:rPr>
              <w:t>develop</w:t>
            </w:r>
            <w:r w:rsidR="00217F42" w:rsidRPr="009F416E">
              <w:rPr>
                <w:rFonts w:eastAsia="MS Mincho" w:cstheme="minorHAnsi"/>
              </w:rPr>
              <w:t xml:space="preserve"> self-regulatory </w:t>
            </w:r>
            <w:r w:rsidRPr="009F416E">
              <w:rPr>
                <w:rFonts w:eastAsia="MS Mincho" w:cstheme="minorHAnsi"/>
              </w:rPr>
              <w:t>skills.</w:t>
            </w:r>
          </w:p>
        </w:tc>
        <w:tc>
          <w:tcPr>
            <w:tcW w:w="958" w:type="pct"/>
            <w:shd w:val="clear" w:color="auto" w:fill="FFFFFF" w:themeFill="background1"/>
          </w:tcPr>
          <w:p w14:paraId="2338C3FB" w14:textId="77777777" w:rsidR="007C1031" w:rsidRPr="009F416E" w:rsidRDefault="007C1031" w:rsidP="00A71365">
            <w:pPr>
              <w:pStyle w:val="Tablewriting"/>
              <w:rPr>
                <w:rFonts w:eastAsia="MS Mincho" w:cstheme="minorHAnsi"/>
              </w:rPr>
            </w:pPr>
            <w:r w:rsidRPr="009F416E">
              <w:rPr>
                <w:rFonts w:eastAsia="MS Mincho" w:cstheme="minorHAnsi"/>
                <w:u w:val="single"/>
              </w:rPr>
              <w:t>Efficacy:</w:t>
            </w:r>
            <w:r w:rsidRPr="009F416E">
              <w:t xml:space="preserve"> </w:t>
            </w:r>
          </w:p>
          <w:p w14:paraId="0234285E" w14:textId="77777777" w:rsidR="00E41DF2" w:rsidRPr="009F416E" w:rsidRDefault="00E41DF2" w:rsidP="00A71365">
            <w:pPr>
              <w:pStyle w:val="Tablewriting"/>
              <w:rPr>
                <w:rFonts w:eastAsia="MS Mincho" w:cstheme="minorHAnsi"/>
              </w:rPr>
            </w:pPr>
          </w:p>
          <w:p w14:paraId="4D07E263" w14:textId="6AF2932B" w:rsidR="00E41DF2" w:rsidRPr="009F416E" w:rsidRDefault="00E41DF2" w:rsidP="00A71365">
            <w:pPr>
              <w:pStyle w:val="Tablewriting"/>
              <w:rPr>
                <w:rFonts w:eastAsia="MS Mincho" w:cstheme="minorHAnsi"/>
              </w:rPr>
            </w:pPr>
            <w:r w:rsidRPr="009F416E">
              <w:rPr>
                <w:rFonts w:eastAsia="MS Mincho" w:cstheme="minorHAnsi"/>
              </w:rPr>
              <w:t>Sustained abstinence at 12-month (7</w:t>
            </w:r>
            <w:r w:rsidR="00C87376" w:rsidRPr="009F416E">
              <w:rPr>
                <w:rFonts w:eastAsia="MS Mincho" w:cstheme="minorHAnsi"/>
              </w:rPr>
              <w:t>-</w:t>
            </w:r>
            <w:r w:rsidRPr="009F416E">
              <w:rPr>
                <w:rFonts w:eastAsia="MS Mincho" w:cstheme="minorHAnsi"/>
              </w:rPr>
              <w:t>day PP at 6 and 12 months).</w:t>
            </w:r>
          </w:p>
          <w:p w14:paraId="0B3573EB" w14:textId="77777777" w:rsidR="00E41DF2" w:rsidRPr="009F416E" w:rsidRDefault="00E41DF2" w:rsidP="00A71365">
            <w:pPr>
              <w:pStyle w:val="Tablewriting"/>
              <w:rPr>
                <w:rFonts w:eastAsia="MS Mincho" w:cstheme="minorHAnsi"/>
              </w:rPr>
            </w:pPr>
          </w:p>
          <w:p w14:paraId="31F5746B" w14:textId="771CF750" w:rsidR="003F58CB" w:rsidRPr="009F416E" w:rsidRDefault="00E41DF2" w:rsidP="00A71365">
            <w:pPr>
              <w:pStyle w:val="Tablewriting"/>
              <w:rPr>
                <w:rFonts w:eastAsia="MS Mincho" w:cstheme="minorHAnsi"/>
              </w:rPr>
            </w:pPr>
            <w:r w:rsidRPr="009F416E">
              <w:rPr>
                <w:rFonts w:eastAsia="MS Mincho" w:cstheme="minorHAnsi"/>
              </w:rPr>
              <w:t>Validation: saliva cotinine &lt; 20ng/ml with the exception of participants living outside the area</w:t>
            </w:r>
            <w:r w:rsidR="003F58CB" w:rsidRPr="009F416E">
              <w:rPr>
                <w:rFonts w:eastAsia="MS Mincho" w:cstheme="minorHAnsi"/>
              </w:rPr>
              <w:t>.</w:t>
            </w:r>
          </w:p>
          <w:p w14:paraId="59F458E6" w14:textId="77777777" w:rsidR="003F58CB" w:rsidRPr="009F416E" w:rsidRDefault="003F58CB" w:rsidP="00A71365">
            <w:pPr>
              <w:pStyle w:val="Tablewriting"/>
              <w:rPr>
                <w:rFonts w:eastAsia="MS Mincho" w:cstheme="minorHAnsi"/>
              </w:rPr>
            </w:pPr>
          </w:p>
          <w:p w14:paraId="05787AA9" w14:textId="1EA47635" w:rsidR="007C1031" w:rsidRPr="009F416E" w:rsidRDefault="007C1031" w:rsidP="00A71365">
            <w:pPr>
              <w:pStyle w:val="Tablewriting"/>
              <w:rPr>
                <w:rFonts w:eastAsia="MS Mincho" w:cstheme="minorHAnsi"/>
              </w:rPr>
            </w:pPr>
            <w:r w:rsidRPr="009F416E">
              <w:rPr>
                <w:rFonts w:eastAsia="MS Mincho" w:cstheme="minorHAnsi"/>
                <w:u w:val="single"/>
              </w:rPr>
              <w:t>Safety:</w:t>
            </w:r>
            <w:r w:rsidR="003F58CB" w:rsidRPr="009F416E">
              <w:rPr>
                <w:rFonts w:eastAsia="MS Mincho" w:cstheme="minorHAnsi"/>
                <w:u w:val="single"/>
              </w:rPr>
              <w:t xml:space="preserve"> </w:t>
            </w:r>
            <w:r w:rsidR="003F58CB" w:rsidRPr="009F416E">
              <w:rPr>
                <w:rFonts w:eastAsia="MS Mincho" w:cstheme="minorHAnsi"/>
              </w:rPr>
              <w:t>NR.</w:t>
            </w:r>
          </w:p>
          <w:p w14:paraId="0D53CD40" w14:textId="77777777" w:rsidR="007C5C6A" w:rsidRPr="009F416E" w:rsidRDefault="007C5C6A" w:rsidP="00A71365">
            <w:pPr>
              <w:pStyle w:val="Tablewriting"/>
              <w:rPr>
                <w:rFonts w:eastAsia="MS Mincho" w:cstheme="minorHAnsi"/>
                <w:u w:val="single"/>
              </w:rPr>
            </w:pPr>
          </w:p>
        </w:tc>
      </w:tr>
    </w:tbl>
    <w:p w14:paraId="70F776CE" w14:textId="77777777" w:rsidR="00526EC3" w:rsidRPr="00B21D80" w:rsidRDefault="00526EC3" w:rsidP="005821B1">
      <w:pPr>
        <w:pStyle w:val="TableFooter"/>
        <w:keepNext/>
        <w:jc w:val="both"/>
      </w:pPr>
      <w:r>
        <w:t xml:space="preserve">Source: </w:t>
      </w:r>
      <w:r w:rsidRPr="007032F7">
        <w:t>H</w:t>
      </w:r>
      <w:r>
        <w:t xml:space="preserve">artmann-Boyce </w:t>
      </w:r>
      <w:r w:rsidRPr="007032F7">
        <w:t>et al. (20</w:t>
      </w:r>
      <w:r>
        <w:t>18).</w:t>
      </w:r>
    </w:p>
    <w:p w14:paraId="70965214" w14:textId="650CC87D" w:rsidR="00C87376" w:rsidRPr="00FC4F81" w:rsidRDefault="00C87376" w:rsidP="005821B1">
      <w:pPr>
        <w:pStyle w:val="TableFooter"/>
        <w:keepNext/>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4664D2" w:rsidRPr="00BD70BE">
        <w:t>Fagerstrӧm</w:t>
      </w:r>
      <w:r w:rsidRPr="00BD70BE">
        <w:t xml:space="preserve"> test for nicotine dependence</w:t>
      </w:r>
      <w:r>
        <w:t xml:space="preserve">; CBT= cognitive behavioural therapy; AEs= adverse events; SAEs= serious adverse events. </w:t>
      </w:r>
    </w:p>
    <w:p w14:paraId="65A9B359" w14:textId="40AB3558" w:rsidR="00C3700A" w:rsidRPr="008C11B5" w:rsidRDefault="00B21D80" w:rsidP="005821B1">
      <w:pPr>
        <w:pStyle w:val="TableFooter"/>
        <w:keepNext/>
        <w:spacing w:after="120"/>
        <w:contextualSpacing w:val="0"/>
        <w:jc w:val="both"/>
      </w:pPr>
      <w:r>
        <w:t>Notes:</w:t>
      </w:r>
      <w:r w:rsidR="00743527">
        <w:t xml:space="preserve"> </w:t>
      </w:r>
      <w:r w:rsidR="00F72BED" w:rsidRPr="00F72BED">
        <w:rPr>
          <w:color w:val="000000"/>
          <w:w w:val="65"/>
          <w:shd w:val="solid" w:color="000000" w:fill="000000"/>
          <w:fitText w:val="8100" w:id="-1402735360"/>
          <w14:textFill>
            <w14:solidFill>
              <w14:srgbClr w14:val="000000">
                <w14:alpha w14:val="100000"/>
              </w14:srgbClr>
            </w14:solidFill>
          </w14:textFill>
        </w:rPr>
        <w:t>|||||||||||||||||||||||||||||||||||||||||||||||||||||||||||||||||||  ||||||||||||||||||||||||||||||||||||||||||||||||||||||||||||||||||</w:t>
      </w:r>
      <w:r w:rsidR="00F72BED" w:rsidRPr="00F72BED">
        <w:rPr>
          <w:color w:val="000000"/>
          <w:spacing w:val="32"/>
          <w:w w:val="65"/>
          <w:shd w:val="solid" w:color="000000" w:fill="000000"/>
          <w:fitText w:val="8100" w:id="-1402735360"/>
          <w14:textFill>
            <w14:solidFill>
              <w14:srgbClr w14:val="000000">
                <w14:alpha w14:val="100000"/>
              </w14:srgbClr>
            </w14:solidFill>
          </w14:textFill>
        </w:rPr>
        <w:t>|</w:t>
      </w:r>
    </w:p>
    <w:p w14:paraId="227450EF" w14:textId="77777777" w:rsidR="00EA7016" w:rsidRDefault="00EA7016">
      <w:pPr>
        <w:spacing w:line="276" w:lineRule="auto"/>
        <w:rPr>
          <w:rFonts w:asciiTheme="minorHAnsi" w:eastAsia="Times New Roman" w:hAnsiTheme="minorHAnsi" w:cs="Times New Roman"/>
          <w:b/>
          <w:bCs/>
          <w:szCs w:val="18"/>
        </w:rPr>
      </w:pPr>
      <w:bookmarkStart w:id="334" w:name="_Ref54359449"/>
      <w:r>
        <w:br w:type="page"/>
      </w:r>
    </w:p>
    <w:p w14:paraId="490F8DDD" w14:textId="6A79B251" w:rsidR="00C3700A" w:rsidRDefault="00C3700A"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149</w:t>
      </w:r>
      <w:r w:rsidR="00BF3F75">
        <w:rPr>
          <w:noProof/>
        </w:rPr>
        <w:fldChar w:fldCharType="end"/>
      </w:r>
      <w:bookmarkEnd w:id="334"/>
      <w:r>
        <w:t xml:space="preserve">: </w:t>
      </w:r>
      <w:r w:rsidRPr="00342BE8">
        <w:t xml:space="preserve">Characteristics of studies included in </w:t>
      </w:r>
      <w:r>
        <w:t>Cahill</w:t>
      </w:r>
      <w:r w:rsidRPr="00342BE8">
        <w:t xml:space="preserve"> et al. (201</w:t>
      </w:r>
      <w:r>
        <w:t>6</w:t>
      </w:r>
      <w:r w:rsidRPr="00342BE8">
        <w:t xml:space="preserve">), NRT patch versus </w:t>
      </w:r>
      <w:r>
        <w:t>varenicline</w:t>
      </w:r>
    </w:p>
    <w:tbl>
      <w:tblPr>
        <w:tblStyle w:val="TableGrid"/>
        <w:tblW w:w="5000" w:type="pct"/>
        <w:tblLook w:val="04A0" w:firstRow="1" w:lastRow="0" w:firstColumn="1" w:lastColumn="0" w:noHBand="0" w:noVBand="1"/>
        <w:tblCaption w:val="Efficacy results of adalimumab trials (PASI 75 and DLQI)"/>
      </w:tblPr>
      <w:tblGrid>
        <w:gridCol w:w="1050"/>
        <w:gridCol w:w="690"/>
        <w:gridCol w:w="1266"/>
        <w:gridCol w:w="1995"/>
        <w:gridCol w:w="3326"/>
        <w:gridCol w:w="2836"/>
        <w:gridCol w:w="2785"/>
      </w:tblGrid>
      <w:tr w:rsidR="00C3700A" w:rsidRPr="00061F78" w14:paraId="4FD4ACA7" w14:textId="77777777" w:rsidTr="005821B1">
        <w:trPr>
          <w:trHeight w:val="299"/>
          <w:tblHeader/>
        </w:trPr>
        <w:tc>
          <w:tcPr>
            <w:tcW w:w="411" w:type="pct"/>
            <w:shd w:val="clear" w:color="auto" w:fill="BFBFBF" w:themeFill="background1" w:themeFillShade="BF"/>
            <w:tcMar>
              <w:left w:w="28" w:type="dxa"/>
              <w:right w:w="28" w:type="dxa"/>
            </w:tcMar>
          </w:tcPr>
          <w:p w14:paraId="4619A233" w14:textId="5146EDBF" w:rsidR="00C3700A"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60704F13" w14:textId="77777777" w:rsidR="00C3700A" w:rsidRDefault="00C3700A" w:rsidP="00A71365">
            <w:pPr>
              <w:pStyle w:val="Tableheading"/>
              <w:jc w:val="center"/>
              <w:rPr>
                <w:rFonts w:eastAsia="MS Mincho"/>
              </w:rPr>
            </w:pPr>
            <w:r>
              <w:rPr>
                <w:rFonts w:eastAsia="MS Mincho"/>
              </w:rPr>
              <w:t>Study type</w:t>
            </w:r>
          </w:p>
        </w:tc>
        <w:tc>
          <w:tcPr>
            <w:tcW w:w="431" w:type="pct"/>
            <w:shd w:val="clear" w:color="auto" w:fill="BFBFBF" w:themeFill="background1" w:themeFillShade="BF"/>
          </w:tcPr>
          <w:p w14:paraId="4F966FDB" w14:textId="77777777" w:rsidR="00C3700A" w:rsidRDefault="00C3700A" w:rsidP="00A71365">
            <w:pPr>
              <w:pStyle w:val="Tableheading"/>
              <w:jc w:val="center"/>
              <w:rPr>
                <w:rFonts w:eastAsia="MS Mincho"/>
              </w:rPr>
            </w:pPr>
            <w:r>
              <w:rPr>
                <w:rFonts w:eastAsia="MS Mincho"/>
              </w:rPr>
              <w:t>Countries</w:t>
            </w:r>
          </w:p>
        </w:tc>
        <w:tc>
          <w:tcPr>
            <w:tcW w:w="679" w:type="pct"/>
            <w:shd w:val="clear" w:color="auto" w:fill="BFBFBF" w:themeFill="background1" w:themeFillShade="BF"/>
            <w:tcMar>
              <w:left w:w="28" w:type="dxa"/>
              <w:right w:w="28" w:type="dxa"/>
            </w:tcMar>
          </w:tcPr>
          <w:p w14:paraId="594E0A3C" w14:textId="77777777" w:rsidR="00C3700A" w:rsidRPr="00061F78" w:rsidRDefault="00C3700A" w:rsidP="00A71365">
            <w:pPr>
              <w:pStyle w:val="Tableheading"/>
              <w:jc w:val="center"/>
              <w:rPr>
                <w:rFonts w:eastAsia="MS Mincho"/>
              </w:rPr>
            </w:pPr>
            <w:r>
              <w:rPr>
                <w:rFonts w:eastAsia="MS Mincho"/>
              </w:rPr>
              <w:t>N</w:t>
            </w:r>
          </w:p>
        </w:tc>
        <w:tc>
          <w:tcPr>
            <w:tcW w:w="1232" w:type="pct"/>
            <w:shd w:val="clear" w:color="auto" w:fill="BFBFBF" w:themeFill="background1" w:themeFillShade="BF"/>
            <w:tcMar>
              <w:left w:w="28" w:type="dxa"/>
              <w:right w:w="28" w:type="dxa"/>
            </w:tcMar>
          </w:tcPr>
          <w:p w14:paraId="21EB8C4C" w14:textId="77777777" w:rsidR="00C3700A" w:rsidRPr="00061F78" w:rsidRDefault="00C3700A" w:rsidP="00A71365">
            <w:pPr>
              <w:pStyle w:val="Tableheading"/>
              <w:jc w:val="center"/>
              <w:rPr>
                <w:rFonts w:eastAsia="MS Mincho"/>
              </w:rPr>
            </w:pPr>
            <w:r w:rsidRPr="00061F78">
              <w:rPr>
                <w:rFonts w:eastAsia="MS Mincho"/>
              </w:rPr>
              <w:t>P</w:t>
            </w:r>
            <w:r>
              <w:rPr>
                <w:rFonts w:eastAsia="MS Mincho"/>
              </w:rPr>
              <w:t>opulation</w:t>
            </w:r>
          </w:p>
        </w:tc>
        <w:tc>
          <w:tcPr>
            <w:tcW w:w="1054" w:type="pct"/>
            <w:shd w:val="clear" w:color="auto" w:fill="BFBFBF" w:themeFill="background1" w:themeFillShade="BF"/>
          </w:tcPr>
          <w:p w14:paraId="6471F3AF" w14:textId="77777777" w:rsidR="00C3700A" w:rsidRDefault="00C3700A" w:rsidP="00A71365">
            <w:pPr>
              <w:pStyle w:val="Tableheading"/>
              <w:jc w:val="center"/>
              <w:rPr>
                <w:rFonts w:eastAsia="MS Mincho"/>
              </w:rPr>
            </w:pPr>
            <w:r>
              <w:rPr>
                <w:rFonts w:eastAsia="MS Mincho"/>
              </w:rPr>
              <w:t>Intervention and comparator</w:t>
            </w:r>
          </w:p>
        </w:tc>
        <w:tc>
          <w:tcPr>
            <w:tcW w:w="959" w:type="pct"/>
            <w:shd w:val="clear" w:color="auto" w:fill="BFBFBF" w:themeFill="background1" w:themeFillShade="BF"/>
            <w:tcMar>
              <w:left w:w="28" w:type="dxa"/>
              <w:right w:w="28" w:type="dxa"/>
            </w:tcMar>
          </w:tcPr>
          <w:p w14:paraId="029E63A2" w14:textId="77777777" w:rsidR="00C3700A" w:rsidRPr="00061F78" w:rsidRDefault="00C3700A" w:rsidP="00A71365">
            <w:pPr>
              <w:pStyle w:val="Tableheading"/>
              <w:jc w:val="center"/>
              <w:rPr>
                <w:rFonts w:eastAsia="MS Mincho"/>
              </w:rPr>
            </w:pPr>
            <w:r>
              <w:rPr>
                <w:rFonts w:eastAsia="MS Mincho"/>
              </w:rPr>
              <w:t>Outcomes</w:t>
            </w:r>
          </w:p>
        </w:tc>
      </w:tr>
      <w:tr w:rsidR="00C3700A" w:rsidRPr="00017AE6" w14:paraId="31A13FDF" w14:textId="77777777" w:rsidTr="005821B1">
        <w:trPr>
          <w:trHeight w:val="99"/>
        </w:trPr>
        <w:tc>
          <w:tcPr>
            <w:tcW w:w="411" w:type="pct"/>
          </w:tcPr>
          <w:p w14:paraId="2CF06F9D" w14:textId="3F5C5B4A" w:rsidR="00C3700A" w:rsidRPr="00017AE6" w:rsidRDefault="00A17D53" w:rsidP="00A71365">
            <w:pPr>
              <w:pStyle w:val="Tablewriting"/>
              <w:rPr>
                <w:rFonts w:eastAsia="MS Mincho" w:cstheme="minorHAnsi"/>
              </w:rPr>
            </w:pPr>
            <w:r w:rsidRPr="0011061B">
              <w:rPr>
                <w:rFonts w:eastAsia="MS Mincho" w:cstheme="minorHAnsi"/>
                <w:lang w:val="en-GB"/>
              </w:rPr>
              <w:t xml:space="preserve">Aubin </w:t>
            </w:r>
            <w:r w:rsidR="00FA40D7">
              <w:rPr>
                <w:rFonts w:eastAsia="MS Mincho" w:cstheme="minorHAnsi"/>
                <w:lang w:val="en-GB"/>
              </w:rPr>
              <w:t>(</w:t>
            </w:r>
            <w:r w:rsidRPr="0011061B">
              <w:rPr>
                <w:rFonts w:eastAsia="MS Mincho" w:cstheme="minorHAnsi"/>
                <w:lang w:val="en-GB"/>
              </w:rPr>
              <w:t>2008</w:t>
            </w:r>
            <w:r w:rsidR="00FA40D7">
              <w:rPr>
                <w:rFonts w:eastAsia="MS Mincho" w:cstheme="minorHAnsi"/>
                <w:lang w:val="en-GB"/>
              </w:rPr>
              <w:t>)</w:t>
            </w:r>
          </w:p>
        </w:tc>
        <w:tc>
          <w:tcPr>
            <w:tcW w:w="235" w:type="pct"/>
          </w:tcPr>
          <w:p w14:paraId="1EF6B7EC" w14:textId="0CF29922" w:rsidR="00C3700A" w:rsidRPr="00017AE6" w:rsidRDefault="00C7782E" w:rsidP="00A71365">
            <w:pPr>
              <w:pStyle w:val="Tablewriting"/>
              <w:rPr>
                <w:rFonts w:eastAsia="MS Mincho" w:cstheme="minorHAnsi"/>
              </w:rPr>
            </w:pPr>
            <w:r>
              <w:rPr>
                <w:rFonts w:eastAsia="MS Mincho" w:cstheme="minorHAnsi"/>
              </w:rPr>
              <w:t>RCT</w:t>
            </w:r>
          </w:p>
        </w:tc>
        <w:tc>
          <w:tcPr>
            <w:tcW w:w="431" w:type="pct"/>
          </w:tcPr>
          <w:p w14:paraId="79FAA30F" w14:textId="740B4B9F" w:rsidR="00C3700A" w:rsidRPr="00017AE6" w:rsidRDefault="00C7782E" w:rsidP="00A71365">
            <w:pPr>
              <w:pStyle w:val="Tablewriting"/>
              <w:rPr>
                <w:rFonts w:eastAsia="MS Mincho" w:cstheme="minorHAnsi"/>
              </w:rPr>
            </w:pPr>
            <w:r w:rsidRPr="00C7782E">
              <w:rPr>
                <w:rFonts w:eastAsia="MS Mincho" w:cstheme="minorHAnsi"/>
              </w:rPr>
              <w:t>Belgium, France, Netherlands, UK, USA</w:t>
            </w:r>
          </w:p>
        </w:tc>
        <w:tc>
          <w:tcPr>
            <w:tcW w:w="679" w:type="pct"/>
          </w:tcPr>
          <w:p w14:paraId="1F4E7DD9" w14:textId="37D4269D" w:rsidR="00C3700A" w:rsidRPr="00017AE6" w:rsidRDefault="00217E87" w:rsidP="00A71365">
            <w:pPr>
              <w:pStyle w:val="Tablewriting"/>
              <w:rPr>
                <w:rFonts w:eastAsia="MS Mincho" w:cstheme="minorHAnsi"/>
              </w:rPr>
            </w:pPr>
            <w:r>
              <w:rPr>
                <w:rFonts w:eastAsia="MS Mincho" w:cstheme="minorHAnsi"/>
              </w:rPr>
              <w:t>N=</w:t>
            </w:r>
            <w:r w:rsidR="00576F0B">
              <w:rPr>
                <w:rFonts w:eastAsia="MS Mincho" w:cstheme="minorHAnsi"/>
              </w:rPr>
              <w:t>757</w:t>
            </w:r>
          </w:p>
        </w:tc>
        <w:tc>
          <w:tcPr>
            <w:tcW w:w="1232" w:type="pct"/>
          </w:tcPr>
          <w:p w14:paraId="2A8F1C87" w14:textId="77777777" w:rsidR="007949B4" w:rsidRDefault="000737B9" w:rsidP="00A71365">
            <w:pPr>
              <w:pStyle w:val="Tablewriting"/>
              <w:rPr>
                <w:rFonts w:eastAsia="MS Mincho" w:cstheme="minorHAnsi"/>
              </w:rPr>
            </w:pPr>
            <w:r w:rsidRPr="000737B9">
              <w:rPr>
                <w:rFonts w:eastAsia="MS Mincho" w:cstheme="minorHAnsi"/>
              </w:rPr>
              <w:t>Healthy adults, recruited from smoking cessation clinics or by local advertising, aged 18 - 75, weight &gt;</w:t>
            </w:r>
            <w:r>
              <w:rPr>
                <w:rFonts w:eastAsia="MS Mincho" w:cstheme="minorHAnsi"/>
              </w:rPr>
              <w:t xml:space="preserve"> </w:t>
            </w:r>
            <w:r w:rsidRPr="000737B9">
              <w:rPr>
                <w:rFonts w:eastAsia="MS Mincho" w:cstheme="minorHAnsi"/>
              </w:rPr>
              <w:t>45.5 kg, BMI 15 - 38, smoking p 15 CPD. Varenicline arm 378, NRT arm 379. Mean age 42.9, 49.2% men,</w:t>
            </w:r>
            <w:r w:rsidR="007949B4">
              <w:rPr>
                <w:rFonts w:eastAsia="MS Mincho" w:cstheme="minorHAnsi"/>
              </w:rPr>
              <w:t xml:space="preserve"> </w:t>
            </w:r>
            <w:r w:rsidRPr="000737B9">
              <w:rPr>
                <w:rFonts w:eastAsia="MS Mincho" w:cstheme="minorHAnsi"/>
              </w:rPr>
              <w:t xml:space="preserve">93% white. </w:t>
            </w:r>
          </w:p>
          <w:p w14:paraId="550BB195" w14:textId="77777777" w:rsidR="007949B4" w:rsidRDefault="007949B4" w:rsidP="00A71365">
            <w:pPr>
              <w:pStyle w:val="Tablewriting"/>
              <w:rPr>
                <w:rFonts w:eastAsia="MS Mincho" w:cstheme="minorHAnsi"/>
              </w:rPr>
            </w:pPr>
          </w:p>
          <w:p w14:paraId="7AEDD84E" w14:textId="4F463FD5" w:rsidR="000737B9" w:rsidRPr="000737B9" w:rsidRDefault="000737B9" w:rsidP="00A71365">
            <w:pPr>
              <w:pStyle w:val="Tablewriting"/>
              <w:rPr>
                <w:rFonts w:eastAsia="MS Mincho" w:cstheme="minorHAnsi"/>
              </w:rPr>
            </w:pPr>
            <w:r w:rsidRPr="000737B9">
              <w:rPr>
                <w:rFonts w:eastAsia="MS Mincho" w:cstheme="minorHAnsi"/>
              </w:rPr>
              <w:t>Mean CPD 22.7. Previous use of nicotine patch 47.4%, previous use of bupropion 20%. Mean</w:t>
            </w:r>
          </w:p>
          <w:p w14:paraId="11901FB3" w14:textId="77777777" w:rsidR="000737B9" w:rsidRPr="000737B9" w:rsidRDefault="000737B9" w:rsidP="00A71365">
            <w:pPr>
              <w:pStyle w:val="Tablewriting"/>
              <w:rPr>
                <w:rFonts w:eastAsia="MS Mincho" w:cstheme="minorHAnsi"/>
              </w:rPr>
            </w:pPr>
            <w:r w:rsidRPr="000737B9">
              <w:rPr>
                <w:rFonts w:eastAsia="MS Mincho" w:cstheme="minorHAnsi"/>
              </w:rPr>
              <w:t>FTND 5.5.</w:t>
            </w:r>
          </w:p>
          <w:p w14:paraId="2956AD2D" w14:textId="77777777" w:rsidR="007949B4" w:rsidRDefault="007949B4" w:rsidP="00A71365">
            <w:pPr>
              <w:pStyle w:val="Tablewriting"/>
              <w:rPr>
                <w:rFonts w:eastAsia="MS Mincho" w:cstheme="minorHAnsi"/>
              </w:rPr>
            </w:pPr>
          </w:p>
          <w:p w14:paraId="213EAA00" w14:textId="3319BACD" w:rsidR="00C3700A" w:rsidRPr="00017AE6" w:rsidRDefault="000737B9" w:rsidP="00A71365">
            <w:pPr>
              <w:pStyle w:val="Tablewriting"/>
              <w:rPr>
                <w:rFonts w:eastAsia="MS Mincho" w:cstheme="minorHAnsi"/>
              </w:rPr>
            </w:pPr>
            <w:r w:rsidRPr="007949B4">
              <w:rPr>
                <w:rFonts w:eastAsia="MS Mincho" w:cstheme="minorHAnsi"/>
                <w:u w:val="single"/>
              </w:rPr>
              <w:t>Exclusion criteria:</w:t>
            </w:r>
            <w:r w:rsidRPr="000737B9">
              <w:rPr>
                <w:rFonts w:eastAsia="MS Mincho" w:cstheme="minorHAnsi"/>
              </w:rPr>
              <w:t xml:space="preserve"> Standard pharmacotherapy trial criteria, + participants must not have been in a</w:t>
            </w:r>
            <w:r w:rsidR="007949B4">
              <w:rPr>
                <w:rFonts w:eastAsia="MS Mincho" w:cstheme="minorHAnsi"/>
              </w:rPr>
              <w:t xml:space="preserve"> </w:t>
            </w:r>
            <w:r w:rsidRPr="000737B9">
              <w:rPr>
                <w:rFonts w:eastAsia="MS Mincho" w:cstheme="minorHAnsi"/>
              </w:rPr>
              <w:t xml:space="preserve">varenicline trial in previous </w:t>
            </w:r>
            <w:r w:rsidR="006514B8" w:rsidRPr="000737B9">
              <w:rPr>
                <w:rFonts w:eastAsia="MS Mincho" w:cstheme="minorHAnsi"/>
              </w:rPr>
              <w:t>year or</w:t>
            </w:r>
            <w:r w:rsidRPr="000737B9">
              <w:rPr>
                <w:rFonts w:eastAsia="MS Mincho" w:cstheme="minorHAnsi"/>
              </w:rPr>
              <w:t xml:space="preserve"> used NRT in previous 6</w:t>
            </w:r>
            <w:r w:rsidR="007949B4">
              <w:rPr>
                <w:rFonts w:eastAsia="MS Mincho" w:cstheme="minorHAnsi"/>
              </w:rPr>
              <w:t xml:space="preserve"> months. </w:t>
            </w:r>
          </w:p>
        </w:tc>
        <w:tc>
          <w:tcPr>
            <w:tcW w:w="1054" w:type="pct"/>
          </w:tcPr>
          <w:p w14:paraId="2EEEBF98" w14:textId="77777777" w:rsidR="004926AC" w:rsidRDefault="004926AC" w:rsidP="00C324F3">
            <w:pPr>
              <w:pStyle w:val="Tablewriting"/>
              <w:numPr>
                <w:ilvl w:val="0"/>
                <w:numId w:val="143"/>
              </w:numPr>
              <w:rPr>
                <w:rFonts w:eastAsia="MS Mincho" w:cstheme="minorHAnsi"/>
              </w:rPr>
            </w:pPr>
            <w:r w:rsidRPr="004926AC">
              <w:rPr>
                <w:rFonts w:eastAsia="MS Mincho" w:cstheme="minorHAnsi"/>
              </w:rPr>
              <w:t>Varenicline 1mg x 2/day for 12 w</w:t>
            </w:r>
            <w:r>
              <w:rPr>
                <w:rFonts w:eastAsia="MS Mincho" w:cstheme="minorHAnsi"/>
              </w:rPr>
              <w:t>ee</w:t>
            </w:r>
            <w:r w:rsidRPr="004926AC">
              <w:rPr>
                <w:rFonts w:eastAsia="MS Mincho" w:cstheme="minorHAnsi"/>
              </w:rPr>
              <w:t>ks, titrated 1st w</w:t>
            </w:r>
            <w:r>
              <w:rPr>
                <w:rFonts w:eastAsia="MS Mincho" w:cstheme="minorHAnsi"/>
              </w:rPr>
              <w:t>ee</w:t>
            </w:r>
            <w:r w:rsidRPr="004926AC">
              <w:rPr>
                <w:rFonts w:eastAsia="MS Mincho" w:cstheme="minorHAnsi"/>
              </w:rPr>
              <w:t>k</w:t>
            </w:r>
            <w:r>
              <w:rPr>
                <w:rFonts w:eastAsia="MS Mincho" w:cstheme="minorHAnsi"/>
              </w:rPr>
              <w:t>.</w:t>
            </w:r>
          </w:p>
          <w:p w14:paraId="4B65937B" w14:textId="77777777" w:rsidR="004926AC" w:rsidRDefault="004926AC" w:rsidP="00C324F3">
            <w:pPr>
              <w:pStyle w:val="Tablewriting"/>
              <w:numPr>
                <w:ilvl w:val="0"/>
                <w:numId w:val="143"/>
              </w:numPr>
              <w:rPr>
                <w:rFonts w:eastAsia="MS Mincho" w:cstheme="minorHAnsi"/>
              </w:rPr>
            </w:pPr>
            <w:r w:rsidRPr="004926AC">
              <w:rPr>
                <w:rFonts w:eastAsia="MS Mincho" w:cstheme="minorHAnsi"/>
              </w:rPr>
              <w:t>Nicotine patch (21 mg w</w:t>
            </w:r>
            <w:r>
              <w:rPr>
                <w:rFonts w:eastAsia="MS Mincho" w:cstheme="minorHAnsi"/>
              </w:rPr>
              <w:t>ee</w:t>
            </w:r>
            <w:r w:rsidRPr="004926AC">
              <w:rPr>
                <w:rFonts w:eastAsia="MS Mincho" w:cstheme="minorHAnsi"/>
              </w:rPr>
              <w:t>ks 2 - 6, 14 mg w</w:t>
            </w:r>
            <w:r>
              <w:rPr>
                <w:rFonts w:eastAsia="MS Mincho" w:cstheme="minorHAnsi"/>
              </w:rPr>
              <w:t>ee</w:t>
            </w:r>
            <w:r w:rsidRPr="004926AC">
              <w:rPr>
                <w:rFonts w:eastAsia="MS Mincho" w:cstheme="minorHAnsi"/>
              </w:rPr>
              <w:t>ks 7 - 9, 7 mg w</w:t>
            </w:r>
            <w:r>
              <w:rPr>
                <w:rFonts w:eastAsia="MS Mincho" w:cstheme="minorHAnsi"/>
              </w:rPr>
              <w:t>ee</w:t>
            </w:r>
            <w:r w:rsidRPr="004926AC">
              <w:rPr>
                <w:rFonts w:eastAsia="MS Mincho" w:cstheme="minorHAnsi"/>
              </w:rPr>
              <w:t>ks 10 - 11)</w:t>
            </w:r>
            <w:r>
              <w:rPr>
                <w:rFonts w:eastAsia="MS Mincho" w:cstheme="minorHAnsi"/>
              </w:rPr>
              <w:t>.</w:t>
            </w:r>
          </w:p>
          <w:p w14:paraId="1864E5D3" w14:textId="6A2C9539" w:rsidR="004926AC" w:rsidRPr="004926AC" w:rsidRDefault="004926AC" w:rsidP="00C324F3">
            <w:pPr>
              <w:pStyle w:val="Tablewriting"/>
              <w:numPr>
                <w:ilvl w:val="0"/>
                <w:numId w:val="143"/>
              </w:numPr>
              <w:rPr>
                <w:rFonts w:eastAsia="MS Mincho" w:cstheme="minorHAnsi"/>
              </w:rPr>
            </w:pPr>
            <w:r w:rsidRPr="004926AC">
              <w:rPr>
                <w:rFonts w:eastAsia="MS Mincho" w:cstheme="minorHAnsi"/>
              </w:rPr>
              <w:t>No placebo control group</w:t>
            </w:r>
          </w:p>
          <w:p w14:paraId="71D18D3E" w14:textId="21210EC4" w:rsidR="004926AC" w:rsidRPr="004926AC" w:rsidRDefault="004926AC" w:rsidP="00A71365">
            <w:pPr>
              <w:pStyle w:val="Tablewriting"/>
              <w:rPr>
                <w:rFonts w:eastAsia="MS Mincho" w:cstheme="minorHAnsi"/>
                <w:u w:val="single"/>
              </w:rPr>
            </w:pPr>
            <w:r w:rsidRPr="004926AC">
              <w:rPr>
                <w:rFonts w:eastAsia="MS Mincho" w:cstheme="minorHAnsi"/>
                <w:u w:val="single"/>
              </w:rPr>
              <w:t xml:space="preserve">Common components: </w:t>
            </w:r>
            <w:r>
              <w:rPr>
                <w:rFonts w:eastAsia="MS Mincho" w:cstheme="minorHAnsi"/>
                <w:u w:val="single"/>
              </w:rPr>
              <w:t xml:space="preserve"> </w:t>
            </w:r>
            <w:r w:rsidRPr="004926AC">
              <w:rPr>
                <w:rFonts w:eastAsia="MS Mincho" w:cstheme="minorHAnsi"/>
              </w:rPr>
              <w:t>All participants received Clearing the Air S-H booklet at baseline, and brief counselling (k 10 mins) at</w:t>
            </w:r>
          </w:p>
          <w:p w14:paraId="49F2E470" w14:textId="77777777" w:rsidR="004926AC" w:rsidRDefault="004926AC" w:rsidP="00A71365">
            <w:pPr>
              <w:pStyle w:val="Tablewriting"/>
              <w:rPr>
                <w:rFonts w:eastAsia="MS Mincho" w:cstheme="minorHAnsi"/>
              </w:rPr>
            </w:pPr>
            <w:r w:rsidRPr="004926AC">
              <w:rPr>
                <w:rFonts w:eastAsia="MS Mincho" w:cstheme="minorHAnsi"/>
              </w:rPr>
              <w:t>each clinic visit or by phone. TQD was at w</w:t>
            </w:r>
            <w:r>
              <w:rPr>
                <w:rFonts w:eastAsia="MS Mincho" w:cstheme="minorHAnsi"/>
              </w:rPr>
              <w:t>ee</w:t>
            </w:r>
            <w:r w:rsidRPr="004926AC">
              <w:rPr>
                <w:rFonts w:eastAsia="MS Mincho" w:cstheme="minorHAnsi"/>
              </w:rPr>
              <w:t xml:space="preserve">k 1 visit. </w:t>
            </w:r>
          </w:p>
          <w:p w14:paraId="57EE96BE" w14:textId="77777777" w:rsidR="004926AC" w:rsidRDefault="004926AC" w:rsidP="00A71365">
            <w:pPr>
              <w:pStyle w:val="Tablewriting"/>
              <w:rPr>
                <w:rFonts w:eastAsia="MS Mincho" w:cstheme="minorHAnsi"/>
              </w:rPr>
            </w:pPr>
          </w:p>
          <w:p w14:paraId="0F246934" w14:textId="06326F90" w:rsidR="004926AC" w:rsidRPr="004926AC" w:rsidRDefault="004926AC" w:rsidP="00A71365">
            <w:pPr>
              <w:pStyle w:val="Tablewriting"/>
              <w:rPr>
                <w:rFonts w:eastAsia="MS Mincho" w:cstheme="minorHAnsi"/>
              </w:rPr>
            </w:pPr>
            <w:r w:rsidRPr="004926AC">
              <w:rPr>
                <w:rFonts w:eastAsia="MS Mincho" w:cstheme="minorHAnsi"/>
              </w:rPr>
              <w:t>Weekly visits throughout treatment phase, plus a</w:t>
            </w:r>
          </w:p>
          <w:p w14:paraId="02E4B61A" w14:textId="77777777" w:rsidR="004926AC" w:rsidRPr="004926AC" w:rsidRDefault="004926AC" w:rsidP="00A71365">
            <w:pPr>
              <w:pStyle w:val="Tablewriting"/>
              <w:rPr>
                <w:rFonts w:eastAsia="MS Mincho" w:cstheme="minorHAnsi"/>
              </w:rPr>
            </w:pPr>
            <w:r w:rsidRPr="004926AC">
              <w:rPr>
                <w:rFonts w:eastAsia="MS Mincho" w:cstheme="minorHAnsi"/>
              </w:rPr>
              <w:t>phone call 3 days post-TQD</w:t>
            </w:r>
          </w:p>
          <w:p w14:paraId="1B2ABE7E" w14:textId="32BD658F" w:rsidR="004926AC" w:rsidRPr="004926AC" w:rsidRDefault="004926AC" w:rsidP="00A71365">
            <w:pPr>
              <w:pStyle w:val="Tablewriting"/>
              <w:rPr>
                <w:rFonts w:eastAsia="MS Mincho" w:cstheme="minorHAnsi"/>
              </w:rPr>
            </w:pPr>
            <w:r w:rsidRPr="004926AC">
              <w:rPr>
                <w:rFonts w:eastAsia="MS Mincho" w:cstheme="minorHAnsi"/>
              </w:rPr>
              <w:t>In follow-up phase, clinic visits at w</w:t>
            </w:r>
            <w:r>
              <w:rPr>
                <w:rFonts w:eastAsia="MS Mincho" w:cstheme="minorHAnsi"/>
              </w:rPr>
              <w:t>ee</w:t>
            </w:r>
            <w:r w:rsidRPr="004926AC">
              <w:rPr>
                <w:rFonts w:eastAsia="MS Mincho" w:cstheme="minorHAnsi"/>
              </w:rPr>
              <w:t>ks 13, 16, 24, 32, 40, 48 and 52, plus brief phone calls at w</w:t>
            </w:r>
            <w:r>
              <w:rPr>
                <w:rFonts w:eastAsia="MS Mincho" w:cstheme="minorHAnsi"/>
              </w:rPr>
              <w:t>ee</w:t>
            </w:r>
            <w:r w:rsidRPr="004926AC">
              <w:rPr>
                <w:rFonts w:eastAsia="MS Mincho" w:cstheme="minorHAnsi"/>
              </w:rPr>
              <w:t>ks 14, 20,</w:t>
            </w:r>
          </w:p>
          <w:p w14:paraId="7C0C965E" w14:textId="26EDE6F5" w:rsidR="00C3700A" w:rsidRPr="00017AE6" w:rsidRDefault="004926AC" w:rsidP="00A71365">
            <w:pPr>
              <w:pStyle w:val="Tablewriting"/>
              <w:rPr>
                <w:rFonts w:eastAsia="MS Mincho" w:cstheme="minorHAnsi"/>
              </w:rPr>
            </w:pPr>
            <w:r w:rsidRPr="004926AC">
              <w:rPr>
                <w:rFonts w:eastAsia="MS Mincho" w:cstheme="minorHAnsi"/>
              </w:rPr>
              <w:t>28, 36 and 44</w:t>
            </w:r>
            <w:r>
              <w:rPr>
                <w:rFonts w:eastAsia="MS Mincho" w:cstheme="minorHAnsi"/>
              </w:rPr>
              <w:t>.</w:t>
            </w:r>
          </w:p>
        </w:tc>
        <w:tc>
          <w:tcPr>
            <w:tcW w:w="959" w:type="pct"/>
          </w:tcPr>
          <w:p w14:paraId="56658072" w14:textId="39AEAD72" w:rsidR="00EE6696" w:rsidRPr="00EE6696" w:rsidRDefault="00EE6696" w:rsidP="00A71365">
            <w:pPr>
              <w:pStyle w:val="Tablewriting"/>
              <w:rPr>
                <w:rFonts w:eastAsia="MS Mincho" w:cstheme="minorHAnsi"/>
              </w:rPr>
            </w:pPr>
            <w:r w:rsidRPr="00EE6696">
              <w:rPr>
                <w:rFonts w:eastAsia="MS Mincho" w:cstheme="minorHAnsi"/>
                <w:u w:val="single"/>
              </w:rPr>
              <w:t>Efficacy:</w:t>
            </w:r>
            <w:r>
              <w:rPr>
                <w:rFonts w:eastAsia="MS Mincho" w:cstheme="minorHAnsi"/>
              </w:rPr>
              <w:t xml:space="preserve"> </w:t>
            </w:r>
            <w:r w:rsidRPr="00EE6696">
              <w:rPr>
                <w:rFonts w:eastAsia="MS Mincho" w:cstheme="minorHAnsi"/>
              </w:rPr>
              <w:t>CO-confirmed CAR for last 4 w</w:t>
            </w:r>
            <w:r>
              <w:rPr>
                <w:rFonts w:eastAsia="MS Mincho" w:cstheme="minorHAnsi"/>
              </w:rPr>
              <w:t>ee</w:t>
            </w:r>
            <w:r w:rsidRPr="00EE6696">
              <w:rPr>
                <w:rFonts w:eastAsia="MS Mincho" w:cstheme="minorHAnsi"/>
              </w:rPr>
              <w:t>ks treatment (varenicline w</w:t>
            </w:r>
            <w:r>
              <w:rPr>
                <w:rFonts w:eastAsia="MS Mincho" w:cstheme="minorHAnsi"/>
              </w:rPr>
              <w:t>ee</w:t>
            </w:r>
            <w:r w:rsidRPr="00EE6696">
              <w:rPr>
                <w:rFonts w:eastAsia="MS Mincho" w:cstheme="minorHAnsi"/>
              </w:rPr>
              <w:t>ks 9 - 12, NRT w</w:t>
            </w:r>
            <w:r>
              <w:rPr>
                <w:rFonts w:eastAsia="MS Mincho" w:cstheme="minorHAnsi"/>
              </w:rPr>
              <w:t>ee</w:t>
            </w:r>
            <w:r w:rsidRPr="00EE6696">
              <w:rPr>
                <w:rFonts w:eastAsia="MS Mincho" w:cstheme="minorHAnsi"/>
              </w:rPr>
              <w:t>ks 8 - 11)</w:t>
            </w:r>
            <w:r>
              <w:rPr>
                <w:rFonts w:eastAsia="MS Mincho" w:cstheme="minorHAnsi"/>
              </w:rPr>
              <w:t>.</w:t>
            </w:r>
          </w:p>
          <w:p w14:paraId="5E019434" w14:textId="07DFC096" w:rsidR="006C0D38" w:rsidRPr="00EE6696" w:rsidRDefault="00EE6696" w:rsidP="00A71365">
            <w:pPr>
              <w:pStyle w:val="Tablewriting"/>
              <w:rPr>
                <w:rFonts w:eastAsia="MS Mincho" w:cstheme="minorHAnsi"/>
              </w:rPr>
            </w:pPr>
            <w:r w:rsidRPr="00EE6696">
              <w:rPr>
                <w:rFonts w:eastAsia="MS Mincho" w:cstheme="minorHAnsi"/>
              </w:rPr>
              <w:t>CO-confirmed CAR at w</w:t>
            </w:r>
            <w:r w:rsidR="00912649">
              <w:rPr>
                <w:rFonts w:eastAsia="MS Mincho" w:cstheme="minorHAnsi"/>
              </w:rPr>
              <w:t>ee</w:t>
            </w:r>
            <w:r w:rsidRPr="00EE6696">
              <w:rPr>
                <w:rFonts w:eastAsia="MS Mincho" w:cstheme="minorHAnsi"/>
              </w:rPr>
              <w:t>ks 9 - 24 and 9 - 52 (varenicline) and 8 - 24 and 8 - 52 (NRT)</w:t>
            </w:r>
            <w:r w:rsidR="006C0D38">
              <w:rPr>
                <w:rFonts w:eastAsia="MS Mincho" w:cstheme="minorHAnsi"/>
              </w:rPr>
              <w:t>.</w:t>
            </w:r>
          </w:p>
          <w:p w14:paraId="2C375B90" w14:textId="4AFEBE38" w:rsidR="00EE6696" w:rsidRDefault="00EE6696" w:rsidP="00A71365">
            <w:pPr>
              <w:pStyle w:val="Tablewriting"/>
              <w:rPr>
                <w:rFonts w:eastAsia="MS Mincho" w:cstheme="minorHAnsi"/>
              </w:rPr>
            </w:pPr>
            <w:r w:rsidRPr="00EE6696">
              <w:rPr>
                <w:rFonts w:eastAsia="MS Mincho" w:cstheme="minorHAnsi"/>
              </w:rPr>
              <w:t>7-day PPA at EoT and at w</w:t>
            </w:r>
            <w:r w:rsidR="006C0D38">
              <w:rPr>
                <w:rFonts w:eastAsia="MS Mincho" w:cstheme="minorHAnsi"/>
              </w:rPr>
              <w:t>ee</w:t>
            </w:r>
            <w:r w:rsidRPr="00EE6696">
              <w:rPr>
                <w:rFonts w:eastAsia="MS Mincho" w:cstheme="minorHAnsi"/>
              </w:rPr>
              <w:t>ks 24 and 52</w:t>
            </w:r>
            <w:r w:rsidR="006C0D38">
              <w:rPr>
                <w:rFonts w:eastAsia="MS Mincho" w:cstheme="minorHAnsi"/>
              </w:rPr>
              <w:t>.</w:t>
            </w:r>
          </w:p>
          <w:p w14:paraId="4CF86B63" w14:textId="77777777" w:rsidR="006C01A1" w:rsidRPr="006C01A1" w:rsidRDefault="006C01A1" w:rsidP="00A71365">
            <w:pPr>
              <w:pStyle w:val="Tablewriting"/>
              <w:rPr>
                <w:rFonts w:eastAsia="MS Mincho" w:cstheme="minorHAnsi"/>
              </w:rPr>
            </w:pPr>
          </w:p>
          <w:p w14:paraId="09D1B2D8" w14:textId="4CC6B128" w:rsidR="008C11B5" w:rsidRDefault="008C11B5" w:rsidP="00A71365">
            <w:pPr>
              <w:pStyle w:val="Tablewriting"/>
              <w:rPr>
                <w:rFonts w:eastAsia="MS Mincho" w:cstheme="minorHAnsi"/>
              </w:rPr>
            </w:pPr>
            <w:r w:rsidRPr="00EE6696">
              <w:rPr>
                <w:rFonts w:eastAsia="MS Mincho" w:cstheme="minorHAnsi"/>
              </w:rPr>
              <w:t xml:space="preserve">Validation was by expired CO </w:t>
            </w:r>
            <w:r w:rsidRPr="00D32EF0">
              <w:rPr>
                <w:rFonts w:eastAsia="MS Mincho" w:cstheme="minorHAnsi"/>
              </w:rPr>
              <w:t>≤</w:t>
            </w:r>
            <w:r w:rsidRPr="00EE6696">
              <w:rPr>
                <w:rFonts w:eastAsia="MS Mincho" w:cstheme="minorHAnsi"/>
              </w:rPr>
              <w:t xml:space="preserve"> 10 ppm</w:t>
            </w:r>
            <w:r>
              <w:rPr>
                <w:rFonts w:eastAsia="MS Mincho" w:cstheme="minorHAnsi"/>
              </w:rPr>
              <w:t>.</w:t>
            </w:r>
          </w:p>
          <w:p w14:paraId="429237A0" w14:textId="77777777" w:rsidR="008C11B5" w:rsidRDefault="008C11B5" w:rsidP="00A71365">
            <w:pPr>
              <w:pStyle w:val="Tablewriting"/>
              <w:rPr>
                <w:rFonts w:eastAsia="MS Mincho" w:cstheme="minorHAnsi"/>
              </w:rPr>
            </w:pPr>
          </w:p>
          <w:p w14:paraId="62C06639" w14:textId="1E70C6B2" w:rsidR="00EE6696" w:rsidRPr="00F643B1" w:rsidRDefault="006C0D38" w:rsidP="00A71365">
            <w:pPr>
              <w:pStyle w:val="Tablewriting"/>
              <w:rPr>
                <w:rFonts w:eastAsia="MS Mincho" w:cstheme="minorHAnsi"/>
                <w:u w:val="single"/>
              </w:rPr>
            </w:pPr>
            <w:r w:rsidRPr="006C0D38">
              <w:rPr>
                <w:rFonts w:eastAsia="MS Mincho" w:cstheme="minorHAnsi"/>
                <w:u w:val="single"/>
              </w:rPr>
              <w:t xml:space="preserve">Safety: </w:t>
            </w:r>
            <w:r w:rsidR="00EE6696" w:rsidRPr="00EE6696">
              <w:rPr>
                <w:rFonts w:eastAsia="MS Mincho" w:cstheme="minorHAnsi"/>
              </w:rPr>
              <w:t>Weight change, withdrawal symptoms (using MNWS and mCEQ), adverse events</w:t>
            </w:r>
          </w:p>
          <w:p w14:paraId="09F18239" w14:textId="5A03B9D3" w:rsidR="00C3700A" w:rsidRPr="00017AE6" w:rsidRDefault="00C3700A" w:rsidP="00A71365">
            <w:pPr>
              <w:pStyle w:val="Tablewriting"/>
              <w:rPr>
                <w:rFonts w:eastAsia="MS Mincho" w:cstheme="minorHAnsi"/>
              </w:rPr>
            </w:pPr>
          </w:p>
        </w:tc>
      </w:tr>
      <w:tr w:rsidR="00C3700A" w:rsidRPr="00017AE6" w14:paraId="24764C96" w14:textId="77777777" w:rsidTr="005821B1">
        <w:trPr>
          <w:trHeight w:val="99"/>
        </w:trPr>
        <w:tc>
          <w:tcPr>
            <w:tcW w:w="411" w:type="pct"/>
          </w:tcPr>
          <w:p w14:paraId="121C0A2F" w14:textId="53559794" w:rsidR="00C3700A" w:rsidRPr="00017AE6" w:rsidRDefault="0011061B" w:rsidP="00A71365">
            <w:pPr>
              <w:pStyle w:val="Tablewriting"/>
              <w:rPr>
                <w:rFonts w:eastAsia="MS Mincho" w:cstheme="minorHAnsi"/>
              </w:rPr>
            </w:pPr>
            <w:r w:rsidRPr="0011061B">
              <w:rPr>
                <w:rFonts w:eastAsia="MS Mincho" w:cstheme="minorHAnsi"/>
              </w:rPr>
              <w:t xml:space="preserve">Baker </w:t>
            </w:r>
            <w:r w:rsidR="00FA40D7">
              <w:rPr>
                <w:rFonts w:eastAsia="MS Mincho" w:cstheme="minorHAnsi"/>
              </w:rPr>
              <w:t>(</w:t>
            </w:r>
            <w:r w:rsidRPr="0011061B">
              <w:rPr>
                <w:rFonts w:eastAsia="MS Mincho" w:cstheme="minorHAnsi"/>
              </w:rPr>
              <w:t>2016</w:t>
            </w:r>
            <w:r w:rsidR="00FA40D7">
              <w:rPr>
                <w:rFonts w:eastAsia="MS Mincho" w:cstheme="minorHAnsi"/>
              </w:rPr>
              <w:t>)</w:t>
            </w:r>
          </w:p>
        </w:tc>
        <w:tc>
          <w:tcPr>
            <w:tcW w:w="235" w:type="pct"/>
          </w:tcPr>
          <w:p w14:paraId="58BF5B14" w14:textId="39222615" w:rsidR="00C3700A" w:rsidRPr="00017AE6" w:rsidRDefault="009D3FCC" w:rsidP="00A71365">
            <w:pPr>
              <w:pStyle w:val="Tablewriting"/>
              <w:rPr>
                <w:rFonts w:eastAsia="MS Mincho" w:cstheme="minorHAnsi"/>
              </w:rPr>
            </w:pPr>
            <w:r>
              <w:rPr>
                <w:rFonts w:eastAsia="MS Mincho" w:cstheme="minorHAnsi"/>
              </w:rPr>
              <w:t>RCT</w:t>
            </w:r>
          </w:p>
        </w:tc>
        <w:tc>
          <w:tcPr>
            <w:tcW w:w="431" w:type="pct"/>
          </w:tcPr>
          <w:p w14:paraId="4015FC56" w14:textId="04960D2F" w:rsidR="00C3700A" w:rsidRPr="00017AE6" w:rsidRDefault="009D3FCC" w:rsidP="00A71365">
            <w:pPr>
              <w:pStyle w:val="Tablewriting"/>
              <w:rPr>
                <w:rFonts w:eastAsia="MS Mincho" w:cstheme="minorHAnsi"/>
              </w:rPr>
            </w:pPr>
            <w:r>
              <w:rPr>
                <w:rFonts w:eastAsia="MS Mincho" w:cstheme="minorHAnsi"/>
              </w:rPr>
              <w:t>USA</w:t>
            </w:r>
          </w:p>
        </w:tc>
        <w:tc>
          <w:tcPr>
            <w:tcW w:w="679" w:type="pct"/>
          </w:tcPr>
          <w:p w14:paraId="267E4290" w14:textId="33B2672E" w:rsidR="00C3700A" w:rsidRPr="00017AE6" w:rsidRDefault="004E5635" w:rsidP="00A71365">
            <w:pPr>
              <w:pStyle w:val="Tablewriting"/>
              <w:rPr>
                <w:rFonts w:eastAsia="MS Mincho" w:cstheme="minorHAnsi"/>
              </w:rPr>
            </w:pPr>
            <w:r>
              <w:rPr>
                <w:rFonts w:eastAsia="MS Mincho" w:cstheme="minorHAnsi"/>
              </w:rPr>
              <w:t>N=</w:t>
            </w:r>
            <w:r w:rsidR="00464B0A">
              <w:rPr>
                <w:rFonts w:eastAsia="MS Mincho" w:cstheme="minorHAnsi"/>
              </w:rPr>
              <w:t>1086</w:t>
            </w:r>
          </w:p>
        </w:tc>
        <w:tc>
          <w:tcPr>
            <w:tcW w:w="1232" w:type="pct"/>
          </w:tcPr>
          <w:p w14:paraId="0F075A08" w14:textId="6A2DBD9D" w:rsidR="00AD23A1" w:rsidRPr="00AD23A1" w:rsidRDefault="00AD23A1" w:rsidP="00A71365">
            <w:pPr>
              <w:pStyle w:val="Tablewriting"/>
              <w:rPr>
                <w:rFonts w:eastAsia="MS Mincho" w:cstheme="minorHAnsi"/>
              </w:rPr>
            </w:pPr>
            <w:r w:rsidRPr="00AD23A1">
              <w:rPr>
                <w:rFonts w:eastAsia="MS Mincho" w:cstheme="minorHAnsi"/>
              </w:rPr>
              <w:t>Healthy adults, recruited from participants in the ongoing Wisconsin Smokers Health Study or by media</w:t>
            </w:r>
            <w:r>
              <w:rPr>
                <w:rFonts w:eastAsia="MS Mincho" w:cstheme="minorHAnsi"/>
              </w:rPr>
              <w:t xml:space="preserve"> </w:t>
            </w:r>
            <w:r w:rsidRPr="00AD23A1">
              <w:rPr>
                <w:rFonts w:eastAsia="MS Mincho" w:cstheme="minorHAnsi"/>
              </w:rPr>
              <w:t xml:space="preserve">and community outreach, aged 17+, smoking </w:t>
            </w:r>
            <w:r w:rsidR="00532A46">
              <w:rPr>
                <w:rFonts w:eastAsia="MS Mincho" w:cstheme="minorHAnsi"/>
              </w:rPr>
              <w:t>&gt;</w:t>
            </w:r>
            <w:r w:rsidR="00532A46" w:rsidRPr="00AD23A1">
              <w:rPr>
                <w:rFonts w:eastAsia="MS Mincho" w:cstheme="minorHAnsi"/>
              </w:rPr>
              <w:t xml:space="preserve"> </w:t>
            </w:r>
            <w:r w:rsidRPr="00AD23A1">
              <w:rPr>
                <w:rFonts w:eastAsia="MS Mincho" w:cstheme="minorHAnsi"/>
              </w:rPr>
              <w:t>5 CPD, motivated to quit.</w:t>
            </w:r>
          </w:p>
          <w:p w14:paraId="2815AABE" w14:textId="3290A235" w:rsidR="00AD23A1" w:rsidRPr="00AD23A1" w:rsidRDefault="00AD23A1" w:rsidP="00A71365">
            <w:pPr>
              <w:pStyle w:val="Tablewriting"/>
              <w:rPr>
                <w:rFonts w:eastAsia="MS Mincho" w:cstheme="minorHAnsi"/>
              </w:rPr>
            </w:pPr>
            <w:r w:rsidRPr="00AD23A1">
              <w:rPr>
                <w:rFonts w:eastAsia="MS Mincho" w:cstheme="minorHAnsi"/>
              </w:rPr>
              <w:t>Varenicline arm 424, nicotine patch arm 241, combination NRT arm 421</w:t>
            </w:r>
            <w:r>
              <w:rPr>
                <w:rFonts w:eastAsia="MS Mincho" w:cstheme="minorHAnsi"/>
              </w:rPr>
              <w:t>.</w:t>
            </w:r>
          </w:p>
          <w:p w14:paraId="6243F996" w14:textId="71ABA9BC" w:rsidR="00AD23A1" w:rsidRDefault="00AD23A1" w:rsidP="00A71365">
            <w:pPr>
              <w:pStyle w:val="Tablewriting"/>
              <w:rPr>
                <w:rFonts w:eastAsia="MS Mincho" w:cstheme="minorHAnsi"/>
              </w:rPr>
            </w:pPr>
            <w:r w:rsidRPr="00AD23A1">
              <w:rPr>
                <w:rFonts w:eastAsia="MS Mincho" w:cstheme="minorHAnsi"/>
              </w:rPr>
              <w:t>Mean age 48.1, 47.9% men, 67% white. Mean CPD 17. Mean FTND 4.8</w:t>
            </w:r>
            <w:r>
              <w:rPr>
                <w:rFonts w:eastAsia="MS Mincho" w:cstheme="minorHAnsi"/>
              </w:rPr>
              <w:t>.</w:t>
            </w:r>
          </w:p>
          <w:p w14:paraId="287189F1" w14:textId="77777777" w:rsidR="00AD23A1" w:rsidRPr="00AD23A1" w:rsidRDefault="00AD23A1" w:rsidP="00A71365">
            <w:pPr>
              <w:pStyle w:val="Tablewriting"/>
              <w:rPr>
                <w:rFonts w:eastAsia="MS Mincho" w:cstheme="minorHAnsi"/>
              </w:rPr>
            </w:pPr>
          </w:p>
          <w:p w14:paraId="54CC678D" w14:textId="6D933D20" w:rsidR="00C3700A" w:rsidRPr="00017AE6" w:rsidRDefault="00AD23A1" w:rsidP="00A71365">
            <w:pPr>
              <w:pStyle w:val="Tablewriting"/>
              <w:rPr>
                <w:rFonts w:eastAsia="MS Mincho" w:cstheme="minorHAnsi"/>
              </w:rPr>
            </w:pPr>
            <w:r w:rsidRPr="00AD23A1">
              <w:rPr>
                <w:rFonts w:eastAsia="MS Mincho" w:cstheme="minorHAnsi"/>
                <w:u w:val="single"/>
              </w:rPr>
              <w:t xml:space="preserve">Exclusion criteria: </w:t>
            </w:r>
            <w:r w:rsidRPr="00AD23A1">
              <w:rPr>
                <w:rFonts w:eastAsia="MS Mincho" w:cstheme="minorHAnsi"/>
              </w:rPr>
              <w:t>Standard pharmacotherapy trial criteria, CO &lt; 4 ppm, no suicide attempts in previous</w:t>
            </w:r>
            <w:r>
              <w:rPr>
                <w:rFonts w:eastAsia="MS Mincho" w:cstheme="minorHAnsi"/>
              </w:rPr>
              <w:t xml:space="preserve"> </w:t>
            </w:r>
            <w:r w:rsidRPr="00AD23A1">
              <w:rPr>
                <w:rFonts w:eastAsia="MS Mincho" w:cstheme="minorHAnsi"/>
              </w:rPr>
              <w:t xml:space="preserve">5 years, or current suicidal ideation, </w:t>
            </w:r>
            <w:r w:rsidR="00115AEE" w:rsidRPr="00AD23A1">
              <w:rPr>
                <w:rFonts w:eastAsia="MS Mincho" w:cstheme="minorHAnsi"/>
              </w:rPr>
              <w:t>diagnosis,</w:t>
            </w:r>
            <w:r w:rsidRPr="00AD23A1">
              <w:rPr>
                <w:rFonts w:eastAsia="MS Mincho" w:cstheme="minorHAnsi"/>
              </w:rPr>
              <w:t xml:space="preserve"> or treatment of psychoses in previous 10 years</w:t>
            </w:r>
            <w:r w:rsidR="00F57C32">
              <w:rPr>
                <w:rFonts w:eastAsia="MS Mincho" w:cstheme="minorHAnsi"/>
              </w:rPr>
              <w:t>.</w:t>
            </w:r>
          </w:p>
        </w:tc>
        <w:tc>
          <w:tcPr>
            <w:tcW w:w="1054" w:type="pct"/>
          </w:tcPr>
          <w:p w14:paraId="68C6AA41" w14:textId="77777777" w:rsidR="003E6F2F" w:rsidRDefault="00F57C32" w:rsidP="00C324F3">
            <w:pPr>
              <w:pStyle w:val="Tablewriting"/>
              <w:numPr>
                <w:ilvl w:val="0"/>
                <w:numId w:val="144"/>
              </w:numPr>
              <w:rPr>
                <w:rFonts w:eastAsia="MS Mincho" w:cstheme="minorHAnsi"/>
              </w:rPr>
            </w:pPr>
            <w:r w:rsidRPr="00F57C32">
              <w:rPr>
                <w:rFonts w:eastAsia="MS Mincho" w:cstheme="minorHAnsi"/>
              </w:rPr>
              <w:lastRenderedPageBreak/>
              <w:t>Varenicline 1mg x 2/day for 12 w</w:t>
            </w:r>
            <w:r w:rsidR="003E6F2F">
              <w:rPr>
                <w:rFonts w:eastAsia="MS Mincho" w:cstheme="minorHAnsi"/>
              </w:rPr>
              <w:t>ee</w:t>
            </w:r>
            <w:r w:rsidRPr="00F57C32">
              <w:rPr>
                <w:rFonts w:eastAsia="MS Mincho" w:cstheme="minorHAnsi"/>
              </w:rPr>
              <w:t>ks, titrated 1st w</w:t>
            </w:r>
            <w:r w:rsidR="003E6F2F">
              <w:rPr>
                <w:rFonts w:eastAsia="MS Mincho" w:cstheme="minorHAnsi"/>
              </w:rPr>
              <w:t>ee</w:t>
            </w:r>
            <w:r w:rsidRPr="00F57C32">
              <w:rPr>
                <w:rFonts w:eastAsia="MS Mincho" w:cstheme="minorHAnsi"/>
              </w:rPr>
              <w:t>k</w:t>
            </w:r>
            <w:r w:rsidR="003E6F2F">
              <w:rPr>
                <w:rFonts w:eastAsia="MS Mincho" w:cstheme="minorHAnsi"/>
              </w:rPr>
              <w:t>.</w:t>
            </w:r>
          </w:p>
          <w:p w14:paraId="07CD9003" w14:textId="77777777" w:rsidR="003E6F2F" w:rsidRDefault="00F57C32" w:rsidP="00C324F3">
            <w:pPr>
              <w:pStyle w:val="Tablewriting"/>
              <w:numPr>
                <w:ilvl w:val="0"/>
                <w:numId w:val="144"/>
              </w:numPr>
              <w:rPr>
                <w:rFonts w:eastAsia="MS Mincho" w:cstheme="minorHAnsi"/>
              </w:rPr>
            </w:pPr>
            <w:r w:rsidRPr="003E6F2F">
              <w:rPr>
                <w:rFonts w:eastAsia="MS Mincho" w:cstheme="minorHAnsi"/>
              </w:rPr>
              <w:t>Nicotine patch: 11+ CPD on 21 mg w</w:t>
            </w:r>
            <w:r w:rsidR="003E6F2F">
              <w:rPr>
                <w:rFonts w:eastAsia="MS Mincho" w:cstheme="minorHAnsi"/>
              </w:rPr>
              <w:t>ee</w:t>
            </w:r>
            <w:r w:rsidRPr="003E6F2F">
              <w:rPr>
                <w:rFonts w:eastAsia="MS Mincho" w:cstheme="minorHAnsi"/>
              </w:rPr>
              <w:t>ks 1 - 8, 14 mg w</w:t>
            </w:r>
            <w:r w:rsidR="003E6F2F">
              <w:rPr>
                <w:rFonts w:eastAsia="MS Mincho" w:cstheme="minorHAnsi"/>
              </w:rPr>
              <w:t>ee</w:t>
            </w:r>
            <w:r w:rsidRPr="003E6F2F">
              <w:rPr>
                <w:rFonts w:eastAsia="MS Mincho" w:cstheme="minorHAnsi"/>
              </w:rPr>
              <w:t>ks 9 - 10, 7 mg w</w:t>
            </w:r>
            <w:r w:rsidR="003E6F2F">
              <w:rPr>
                <w:rFonts w:eastAsia="MS Mincho" w:cstheme="minorHAnsi"/>
              </w:rPr>
              <w:t>ee</w:t>
            </w:r>
            <w:r w:rsidRPr="003E6F2F">
              <w:rPr>
                <w:rFonts w:eastAsia="MS Mincho" w:cstheme="minorHAnsi"/>
              </w:rPr>
              <w:t>ks 11 - 12; 5 - 10 CPD on 14 mg</w:t>
            </w:r>
            <w:r w:rsidR="003E6F2F">
              <w:rPr>
                <w:rFonts w:eastAsia="MS Mincho" w:cstheme="minorHAnsi"/>
              </w:rPr>
              <w:t xml:space="preserve"> </w:t>
            </w:r>
            <w:r w:rsidRPr="003E6F2F">
              <w:rPr>
                <w:rFonts w:eastAsia="MS Mincho" w:cstheme="minorHAnsi"/>
              </w:rPr>
              <w:t>w</w:t>
            </w:r>
            <w:r w:rsidR="003E6F2F">
              <w:rPr>
                <w:rFonts w:eastAsia="MS Mincho" w:cstheme="minorHAnsi"/>
              </w:rPr>
              <w:t>ee</w:t>
            </w:r>
            <w:r w:rsidRPr="003E6F2F">
              <w:rPr>
                <w:rFonts w:eastAsia="MS Mincho" w:cstheme="minorHAnsi"/>
              </w:rPr>
              <w:t>ks 1 - 10, 7 mg w</w:t>
            </w:r>
            <w:r w:rsidR="003E6F2F">
              <w:rPr>
                <w:rFonts w:eastAsia="MS Mincho" w:cstheme="minorHAnsi"/>
              </w:rPr>
              <w:t>ee</w:t>
            </w:r>
            <w:r w:rsidRPr="003E6F2F">
              <w:rPr>
                <w:rFonts w:eastAsia="MS Mincho" w:cstheme="minorHAnsi"/>
              </w:rPr>
              <w:t xml:space="preserve">ks 11 </w:t>
            </w:r>
            <w:r w:rsidR="003E6F2F">
              <w:rPr>
                <w:rFonts w:eastAsia="MS Mincho" w:cstheme="minorHAnsi"/>
              </w:rPr>
              <w:t>–</w:t>
            </w:r>
            <w:r w:rsidRPr="003E6F2F">
              <w:rPr>
                <w:rFonts w:eastAsia="MS Mincho" w:cstheme="minorHAnsi"/>
              </w:rPr>
              <w:t xml:space="preserve"> 12</w:t>
            </w:r>
            <w:r w:rsidR="003E6F2F">
              <w:rPr>
                <w:rFonts w:eastAsia="MS Mincho" w:cstheme="minorHAnsi"/>
              </w:rPr>
              <w:t>.</w:t>
            </w:r>
          </w:p>
          <w:p w14:paraId="34FC05BC" w14:textId="77777777" w:rsidR="00FF46D5" w:rsidRDefault="00F57C32" w:rsidP="00C324F3">
            <w:pPr>
              <w:pStyle w:val="Tablewriting"/>
              <w:numPr>
                <w:ilvl w:val="0"/>
                <w:numId w:val="144"/>
              </w:numPr>
              <w:rPr>
                <w:rFonts w:eastAsia="MS Mincho" w:cstheme="minorHAnsi"/>
              </w:rPr>
            </w:pPr>
            <w:r w:rsidRPr="003E6F2F">
              <w:rPr>
                <w:rFonts w:eastAsia="MS Mincho" w:cstheme="minorHAnsi"/>
              </w:rPr>
              <w:lastRenderedPageBreak/>
              <w:t>Nicotine patch as for (2), plus nicotine lozenge (2 mg or 4 mg), at least 5 times a day for 12 w</w:t>
            </w:r>
            <w:r w:rsidR="003E6F2F">
              <w:rPr>
                <w:rFonts w:eastAsia="MS Mincho" w:cstheme="minorHAnsi"/>
              </w:rPr>
              <w:t>ee</w:t>
            </w:r>
            <w:r w:rsidRPr="003E6F2F">
              <w:rPr>
                <w:rFonts w:eastAsia="MS Mincho" w:cstheme="minorHAnsi"/>
              </w:rPr>
              <w:t>ks</w:t>
            </w:r>
            <w:r w:rsidR="003E6F2F">
              <w:rPr>
                <w:rFonts w:eastAsia="MS Mincho" w:cstheme="minorHAnsi"/>
              </w:rPr>
              <w:t>.</w:t>
            </w:r>
          </w:p>
          <w:p w14:paraId="7D056D01" w14:textId="5A70D083" w:rsidR="00F57C32" w:rsidRPr="00FF46D5" w:rsidRDefault="00F57C32" w:rsidP="00C324F3">
            <w:pPr>
              <w:pStyle w:val="Tablewriting"/>
              <w:numPr>
                <w:ilvl w:val="0"/>
                <w:numId w:val="144"/>
              </w:numPr>
              <w:rPr>
                <w:rFonts w:eastAsia="MS Mincho" w:cstheme="minorHAnsi"/>
              </w:rPr>
            </w:pPr>
            <w:r w:rsidRPr="00FF46D5">
              <w:rPr>
                <w:rFonts w:eastAsia="MS Mincho" w:cstheme="minorHAnsi"/>
              </w:rPr>
              <w:t>No placebo control group.</w:t>
            </w:r>
          </w:p>
          <w:p w14:paraId="74544C8C" w14:textId="77777777" w:rsidR="00FF46D5" w:rsidRDefault="00FF46D5" w:rsidP="00A71365">
            <w:pPr>
              <w:pStyle w:val="Tablewriting"/>
              <w:rPr>
                <w:rFonts w:eastAsia="MS Mincho" w:cstheme="minorHAnsi"/>
              </w:rPr>
            </w:pPr>
          </w:p>
          <w:p w14:paraId="5433BF57" w14:textId="2FB67A40" w:rsidR="00F57C32" w:rsidRPr="00F57C32" w:rsidRDefault="00FF46D5" w:rsidP="00A71365">
            <w:pPr>
              <w:pStyle w:val="Tablewriting"/>
              <w:rPr>
                <w:rFonts w:eastAsia="MS Mincho" w:cstheme="minorHAnsi"/>
              </w:rPr>
            </w:pPr>
            <w:r w:rsidRPr="004926AC">
              <w:rPr>
                <w:rFonts w:eastAsia="MS Mincho" w:cstheme="minorHAnsi"/>
                <w:u w:val="single"/>
              </w:rPr>
              <w:t xml:space="preserve">Common components: </w:t>
            </w:r>
            <w:r w:rsidR="00F57C32" w:rsidRPr="00F57C32">
              <w:rPr>
                <w:rFonts w:eastAsia="MS Mincho" w:cstheme="minorHAnsi"/>
              </w:rPr>
              <w:t>All participants received counselling (20 mins at visits 1, 2 and 3, and 10 mins by phone and at visits 4,</w:t>
            </w:r>
          </w:p>
          <w:p w14:paraId="60404FBC" w14:textId="7C5ECC2F" w:rsidR="00F57C32" w:rsidRPr="00F57C32" w:rsidRDefault="00F57C32" w:rsidP="00A71365">
            <w:pPr>
              <w:pStyle w:val="Tablewriting"/>
              <w:rPr>
                <w:rFonts w:eastAsia="MS Mincho" w:cstheme="minorHAnsi"/>
              </w:rPr>
            </w:pPr>
            <w:r w:rsidRPr="00F57C32">
              <w:rPr>
                <w:rFonts w:eastAsia="MS Mincho" w:cstheme="minorHAnsi"/>
              </w:rPr>
              <w:t xml:space="preserve">5) at </w:t>
            </w:r>
            <w:r w:rsidR="00FF46D5" w:rsidRPr="00F57C32">
              <w:rPr>
                <w:rFonts w:eastAsia="MS Mincho" w:cstheme="minorHAnsi"/>
              </w:rPr>
              <w:t>1-week</w:t>
            </w:r>
            <w:r w:rsidRPr="00F57C32">
              <w:rPr>
                <w:rFonts w:eastAsia="MS Mincho" w:cstheme="minorHAnsi"/>
              </w:rPr>
              <w:t xml:space="preserve"> pre-TQD and at TQD, w</w:t>
            </w:r>
            <w:r w:rsidR="00FF46D5">
              <w:rPr>
                <w:rFonts w:eastAsia="MS Mincho" w:cstheme="minorHAnsi"/>
              </w:rPr>
              <w:t>ee</w:t>
            </w:r>
            <w:r w:rsidRPr="00F57C32">
              <w:rPr>
                <w:rFonts w:eastAsia="MS Mincho" w:cstheme="minorHAnsi"/>
              </w:rPr>
              <w:t>ks 1, 4, 12 post-TQD, plus phone call at w</w:t>
            </w:r>
            <w:r w:rsidR="00FF46D5">
              <w:rPr>
                <w:rFonts w:eastAsia="MS Mincho" w:cstheme="minorHAnsi"/>
              </w:rPr>
              <w:t>ee</w:t>
            </w:r>
            <w:r w:rsidRPr="00F57C32">
              <w:rPr>
                <w:rFonts w:eastAsia="MS Mincho" w:cstheme="minorHAnsi"/>
              </w:rPr>
              <w:t>k 8</w:t>
            </w:r>
            <w:r w:rsidR="00FF46D5">
              <w:rPr>
                <w:rFonts w:eastAsia="MS Mincho" w:cstheme="minorHAnsi"/>
              </w:rPr>
              <w:t>.</w:t>
            </w:r>
          </w:p>
          <w:p w14:paraId="40AD72E0" w14:textId="5AC627F1" w:rsidR="00C3700A" w:rsidRPr="00017AE6" w:rsidRDefault="00F57C32" w:rsidP="00A71365">
            <w:pPr>
              <w:pStyle w:val="Tablewriting"/>
              <w:rPr>
                <w:rFonts w:eastAsia="MS Mincho" w:cstheme="minorHAnsi"/>
              </w:rPr>
            </w:pPr>
            <w:r w:rsidRPr="00F57C32">
              <w:rPr>
                <w:rFonts w:eastAsia="MS Mincho" w:cstheme="minorHAnsi"/>
              </w:rPr>
              <w:t xml:space="preserve">In follow-up phase, participants were contacted at </w:t>
            </w:r>
            <w:r w:rsidR="00FF46D5" w:rsidRPr="00F57C32">
              <w:rPr>
                <w:rFonts w:eastAsia="MS Mincho" w:cstheme="minorHAnsi"/>
              </w:rPr>
              <w:t>we</w:t>
            </w:r>
            <w:r w:rsidR="00FF46D5">
              <w:rPr>
                <w:rFonts w:eastAsia="MS Mincho" w:cstheme="minorHAnsi"/>
              </w:rPr>
              <w:t>ek</w:t>
            </w:r>
            <w:r w:rsidR="00FF46D5" w:rsidRPr="00F57C32">
              <w:rPr>
                <w:rFonts w:eastAsia="MS Mincho" w:cstheme="minorHAnsi"/>
              </w:rPr>
              <w:t>s</w:t>
            </w:r>
            <w:r w:rsidRPr="00F57C32">
              <w:rPr>
                <w:rFonts w:eastAsia="MS Mincho" w:cstheme="minorHAnsi"/>
              </w:rPr>
              <w:t xml:space="preserve"> 26 and 52 by phone</w:t>
            </w:r>
            <w:r w:rsidR="00FF46D5">
              <w:rPr>
                <w:rFonts w:eastAsia="MS Mincho" w:cstheme="minorHAnsi"/>
              </w:rPr>
              <w:t>.</w:t>
            </w:r>
          </w:p>
        </w:tc>
        <w:tc>
          <w:tcPr>
            <w:tcW w:w="959" w:type="pct"/>
          </w:tcPr>
          <w:p w14:paraId="738169EE" w14:textId="77777777" w:rsidR="00C3700A" w:rsidRPr="00AD1DBB" w:rsidRDefault="00AD1DBB" w:rsidP="00A71365">
            <w:pPr>
              <w:pStyle w:val="Tablewriting"/>
              <w:rPr>
                <w:rFonts w:eastAsia="MS Mincho" w:cstheme="minorHAnsi"/>
                <w:u w:val="single"/>
              </w:rPr>
            </w:pPr>
            <w:r w:rsidRPr="00AD1DBB">
              <w:rPr>
                <w:rFonts w:eastAsia="MS Mincho" w:cstheme="minorHAnsi"/>
                <w:u w:val="single"/>
              </w:rPr>
              <w:lastRenderedPageBreak/>
              <w:t>Efficacy:</w:t>
            </w:r>
          </w:p>
          <w:p w14:paraId="48D2CA06" w14:textId="671ED63F" w:rsidR="00F7630F" w:rsidRPr="00F7630F" w:rsidRDefault="00F7630F" w:rsidP="00A71365">
            <w:pPr>
              <w:pStyle w:val="Tablewriting"/>
              <w:rPr>
                <w:rFonts w:eastAsia="MS Mincho" w:cstheme="minorHAnsi"/>
              </w:rPr>
            </w:pPr>
            <w:r w:rsidRPr="00F7630F">
              <w:rPr>
                <w:rFonts w:eastAsia="MS Mincho" w:cstheme="minorHAnsi"/>
              </w:rPr>
              <w:t>CO-confirmed PPA at w</w:t>
            </w:r>
            <w:r>
              <w:rPr>
                <w:rFonts w:eastAsia="MS Mincho" w:cstheme="minorHAnsi"/>
              </w:rPr>
              <w:t>ee</w:t>
            </w:r>
            <w:r w:rsidRPr="00F7630F">
              <w:rPr>
                <w:rFonts w:eastAsia="MS Mincho" w:cstheme="minorHAnsi"/>
              </w:rPr>
              <w:t>k 26</w:t>
            </w:r>
            <w:r>
              <w:rPr>
                <w:rFonts w:eastAsia="MS Mincho" w:cstheme="minorHAnsi"/>
              </w:rPr>
              <w:t>.</w:t>
            </w:r>
          </w:p>
          <w:p w14:paraId="599D113C" w14:textId="250E0B33" w:rsidR="00F7630F" w:rsidRPr="00F7630F" w:rsidRDefault="00F7630F" w:rsidP="00A71365">
            <w:pPr>
              <w:pStyle w:val="Tablewriting"/>
              <w:rPr>
                <w:rFonts w:eastAsia="MS Mincho" w:cstheme="minorHAnsi"/>
              </w:rPr>
            </w:pPr>
            <w:r w:rsidRPr="00F7630F">
              <w:rPr>
                <w:rFonts w:eastAsia="MS Mincho" w:cstheme="minorHAnsi"/>
              </w:rPr>
              <w:t>CO-confirmed PA from day 7 post-TQD to day 181</w:t>
            </w:r>
            <w:r>
              <w:rPr>
                <w:rFonts w:eastAsia="MS Mincho" w:cstheme="minorHAnsi"/>
              </w:rPr>
              <w:t>.</w:t>
            </w:r>
          </w:p>
          <w:p w14:paraId="79AB0874" w14:textId="5C690DEC" w:rsidR="006C01A1" w:rsidRPr="006C01A1" w:rsidRDefault="00F7630F" w:rsidP="00A71365">
            <w:pPr>
              <w:pStyle w:val="Tablewriting"/>
              <w:rPr>
                <w:rFonts w:eastAsia="MS Mincho" w:cstheme="minorHAnsi"/>
              </w:rPr>
            </w:pPr>
            <w:r w:rsidRPr="00F7630F">
              <w:rPr>
                <w:rFonts w:eastAsia="MS Mincho" w:cstheme="minorHAnsi"/>
              </w:rPr>
              <w:t>CO-confirmed PPA at w</w:t>
            </w:r>
            <w:r>
              <w:rPr>
                <w:rFonts w:eastAsia="MS Mincho" w:cstheme="minorHAnsi"/>
              </w:rPr>
              <w:t>ee</w:t>
            </w:r>
            <w:r w:rsidRPr="00F7630F">
              <w:rPr>
                <w:rFonts w:eastAsia="MS Mincho" w:cstheme="minorHAnsi"/>
              </w:rPr>
              <w:t>ks 4, 12, 52</w:t>
            </w:r>
            <w:r>
              <w:rPr>
                <w:rFonts w:eastAsia="MS Mincho" w:cstheme="minorHAnsi"/>
              </w:rPr>
              <w:t>.</w:t>
            </w:r>
          </w:p>
          <w:p w14:paraId="28069534" w14:textId="0DCB742D" w:rsidR="008C11B5" w:rsidRDefault="008C11B5" w:rsidP="00A71365">
            <w:pPr>
              <w:pStyle w:val="Tablewriting"/>
              <w:rPr>
                <w:rFonts w:eastAsia="MS Mincho" w:cstheme="minorHAnsi"/>
              </w:rPr>
            </w:pPr>
            <w:r w:rsidRPr="00F7630F">
              <w:rPr>
                <w:rFonts w:eastAsia="MS Mincho" w:cstheme="minorHAnsi"/>
              </w:rPr>
              <w:t xml:space="preserve">Validation was by expired CO </w:t>
            </w:r>
            <w:r w:rsidRPr="00D32EF0">
              <w:rPr>
                <w:rFonts w:eastAsia="MS Mincho" w:cstheme="minorHAnsi"/>
              </w:rPr>
              <w:t>≤</w:t>
            </w:r>
            <w:r w:rsidRPr="00F7630F">
              <w:rPr>
                <w:rFonts w:eastAsia="MS Mincho" w:cstheme="minorHAnsi"/>
              </w:rPr>
              <w:t xml:space="preserve"> 9 ppm and </w:t>
            </w:r>
            <w:r w:rsidRPr="00D32EF0">
              <w:rPr>
                <w:rFonts w:eastAsia="MS Mincho" w:cstheme="minorHAnsi"/>
              </w:rPr>
              <w:t>≤</w:t>
            </w:r>
            <w:r w:rsidRPr="00F7630F">
              <w:rPr>
                <w:rFonts w:eastAsia="MS Mincho" w:cstheme="minorHAnsi"/>
              </w:rPr>
              <w:t xml:space="preserve"> 5 ppm</w:t>
            </w:r>
            <w:r>
              <w:rPr>
                <w:rFonts w:eastAsia="MS Mincho" w:cstheme="minorHAnsi"/>
              </w:rPr>
              <w:t>.</w:t>
            </w:r>
          </w:p>
          <w:p w14:paraId="6CFC67F0" w14:textId="77777777" w:rsidR="008C11B5" w:rsidRDefault="008C11B5" w:rsidP="00A71365">
            <w:pPr>
              <w:pStyle w:val="Tablewriting"/>
              <w:rPr>
                <w:rFonts w:eastAsia="MS Mincho" w:cstheme="minorHAnsi"/>
              </w:rPr>
            </w:pPr>
          </w:p>
          <w:p w14:paraId="70200412" w14:textId="77777777" w:rsidR="00F7630F" w:rsidRPr="00F7630F" w:rsidRDefault="00F7630F" w:rsidP="00A71365">
            <w:pPr>
              <w:pStyle w:val="Tablewriting"/>
              <w:rPr>
                <w:rFonts w:eastAsia="MS Mincho" w:cstheme="minorHAnsi"/>
              </w:rPr>
            </w:pPr>
            <w:r w:rsidRPr="00F7630F">
              <w:rPr>
                <w:rFonts w:eastAsia="MS Mincho" w:cstheme="minorHAnsi"/>
                <w:u w:val="single"/>
              </w:rPr>
              <w:lastRenderedPageBreak/>
              <w:t>Safety:</w:t>
            </w:r>
            <w:r>
              <w:rPr>
                <w:rFonts w:eastAsia="MS Mincho" w:cstheme="minorHAnsi"/>
                <w:u w:val="single"/>
              </w:rPr>
              <w:t xml:space="preserve"> </w:t>
            </w:r>
            <w:r w:rsidRPr="00F7630F">
              <w:rPr>
                <w:rFonts w:eastAsia="MS Mincho" w:cstheme="minorHAnsi"/>
              </w:rPr>
              <w:t>withdrawals, adverse events</w:t>
            </w:r>
          </w:p>
          <w:p w14:paraId="775D411C" w14:textId="17492ADE" w:rsidR="00F7630F" w:rsidRPr="00F7630F" w:rsidRDefault="00F7630F" w:rsidP="00A71365">
            <w:pPr>
              <w:pStyle w:val="Tablewriting"/>
              <w:rPr>
                <w:rFonts w:eastAsia="MS Mincho" w:cstheme="minorHAnsi"/>
                <w:u w:val="single"/>
              </w:rPr>
            </w:pPr>
          </w:p>
          <w:p w14:paraId="31704C4B" w14:textId="61490967" w:rsidR="00F7630F" w:rsidRPr="00F7630F" w:rsidRDefault="00F7630F" w:rsidP="00A71365">
            <w:pPr>
              <w:pStyle w:val="Tablewriting"/>
              <w:rPr>
                <w:rFonts w:eastAsia="MS Mincho" w:cstheme="minorHAnsi"/>
              </w:rPr>
            </w:pPr>
            <w:r w:rsidRPr="00F7630F">
              <w:rPr>
                <w:rFonts w:eastAsia="MS Mincho" w:cstheme="minorHAnsi"/>
                <w:u w:val="single"/>
              </w:rPr>
              <w:t>Other outcomes</w:t>
            </w:r>
            <w:r w:rsidRPr="00F7630F">
              <w:rPr>
                <w:rFonts w:eastAsia="MS Mincho" w:cstheme="minorHAnsi"/>
              </w:rPr>
              <w:t>:</w:t>
            </w:r>
            <w:r>
              <w:rPr>
                <w:rFonts w:eastAsia="MS Mincho" w:cstheme="minorHAnsi"/>
              </w:rPr>
              <w:t xml:space="preserve"> </w:t>
            </w:r>
            <w:r w:rsidRPr="00F7630F">
              <w:rPr>
                <w:rFonts w:eastAsia="MS Mincho" w:cstheme="minorHAnsi"/>
              </w:rPr>
              <w:t>Adherence</w:t>
            </w:r>
            <w:r>
              <w:rPr>
                <w:rFonts w:eastAsia="MS Mincho" w:cstheme="minorHAnsi"/>
              </w:rPr>
              <w:t>.</w:t>
            </w:r>
          </w:p>
          <w:p w14:paraId="2F4C87D4" w14:textId="77777777" w:rsidR="00F7630F" w:rsidRDefault="00F7630F" w:rsidP="00A71365">
            <w:pPr>
              <w:pStyle w:val="Tablewriting"/>
              <w:rPr>
                <w:rFonts w:eastAsia="MS Mincho" w:cstheme="minorHAnsi"/>
              </w:rPr>
            </w:pPr>
          </w:p>
          <w:p w14:paraId="591CCF5E" w14:textId="65178589" w:rsidR="00C3700A" w:rsidRPr="00F7630F" w:rsidRDefault="00C3700A" w:rsidP="00A71365">
            <w:pPr>
              <w:pStyle w:val="Tablewriting"/>
              <w:rPr>
                <w:rFonts w:eastAsia="MS Mincho" w:cstheme="minorHAnsi"/>
              </w:rPr>
            </w:pPr>
          </w:p>
        </w:tc>
      </w:tr>
      <w:tr w:rsidR="00C3700A" w:rsidRPr="00017AE6" w14:paraId="15E1028E" w14:textId="77777777" w:rsidTr="005821B1">
        <w:trPr>
          <w:trHeight w:val="99"/>
        </w:trPr>
        <w:tc>
          <w:tcPr>
            <w:tcW w:w="411" w:type="pct"/>
          </w:tcPr>
          <w:p w14:paraId="6964EDDB" w14:textId="71D84301" w:rsidR="00C3700A" w:rsidRPr="00017AE6" w:rsidRDefault="001B799D" w:rsidP="00A71365">
            <w:pPr>
              <w:pStyle w:val="Tablewriting"/>
              <w:rPr>
                <w:rFonts w:eastAsia="MS Mincho" w:cstheme="minorHAnsi"/>
              </w:rPr>
            </w:pPr>
            <w:r w:rsidRPr="001B799D">
              <w:rPr>
                <w:rFonts w:eastAsia="MS Mincho" w:cstheme="minorHAnsi"/>
              </w:rPr>
              <w:lastRenderedPageBreak/>
              <w:t xml:space="preserve">De Dios </w:t>
            </w:r>
            <w:r w:rsidR="00FA40D7">
              <w:rPr>
                <w:rFonts w:eastAsia="MS Mincho" w:cstheme="minorHAnsi"/>
              </w:rPr>
              <w:t>(</w:t>
            </w:r>
            <w:r w:rsidRPr="001B799D">
              <w:rPr>
                <w:rFonts w:eastAsia="MS Mincho" w:cstheme="minorHAnsi"/>
              </w:rPr>
              <w:t>2012</w:t>
            </w:r>
            <w:r w:rsidR="00FA40D7">
              <w:rPr>
                <w:rFonts w:eastAsia="MS Mincho" w:cstheme="minorHAnsi"/>
              </w:rPr>
              <w:t>)</w:t>
            </w:r>
          </w:p>
        </w:tc>
        <w:tc>
          <w:tcPr>
            <w:tcW w:w="235" w:type="pct"/>
          </w:tcPr>
          <w:p w14:paraId="6005E2D1" w14:textId="42D95CE1" w:rsidR="00C3700A" w:rsidRPr="00017AE6" w:rsidRDefault="00BB1270" w:rsidP="00A71365">
            <w:pPr>
              <w:pStyle w:val="Tablewriting"/>
              <w:rPr>
                <w:rFonts w:eastAsia="MS Mincho" w:cstheme="minorHAnsi"/>
              </w:rPr>
            </w:pPr>
            <w:r>
              <w:rPr>
                <w:rFonts w:eastAsia="MS Mincho" w:cstheme="minorHAnsi"/>
              </w:rPr>
              <w:t>RCT</w:t>
            </w:r>
          </w:p>
        </w:tc>
        <w:tc>
          <w:tcPr>
            <w:tcW w:w="431" w:type="pct"/>
          </w:tcPr>
          <w:p w14:paraId="5CDB5A38" w14:textId="334C6FDA" w:rsidR="00C3700A" w:rsidRPr="00017AE6" w:rsidRDefault="00BB1270" w:rsidP="00A71365">
            <w:pPr>
              <w:pStyle w:val="Tablewriting"/>
              <w:rPr>
                <w:rFonts w:eastAsia="MS Mincho" w:cstheme="minorHAnsi"/>
              </w:rPr>
            </w:pPr>
            <w:r>
              <w:rPr>
                <w:rFonts w:eastAsia="MS Mincho" w:cstheme="minorHAnsi"/>
              </w:rPr>
              <w:t>USA</w:t>
            </w:r>
          </w:p>
        </w:tc>
        <w:tc>
          <w:tcPr>
            <w:tcW w:w="679" w:type="pct"/>
          </w:tcPr>
          <w:p w14:paraId="6620FE91" w14:textId="1CB02AA5" w:rsidR="00C3700A" w:rsidRPr="00017AE6" w:rsidRDefault="004E5635" w:rsidP="00A71365">
            <w:pPr>
              <w:pStyle w:val="Tablewriting"/>
              <w:rPr>
                <w:rFonts w:eastAsia="MS Mincho" w:cstheme="minorHAnsi"/>
              </w:rPr>
            </w:pPr>
            <w:r w:rsidRPr="00C45B56">
              <w:rPr>
                <w:rFonts w:eastAsia="MS Mincho" w:cstheme="minorHAnsi"/>
              </w:rPr>
              <w:t>N=</w:t>
            </w:r>
            <w:r w:rsidR="0057327A">
              <w:rPr>
                <w:rFonts w:eastAsia="MS Mincho" w:cstheme="minorHAnsi"/>
              </w:rPr>
              <w:t>32</w:t>
            </w:r>
          </w:p>
        </w:tc>
        <w:tc>
          <w:tcPr>
            <w:tcW w:w="1232" w:type="pct"/>
          </w:tcPr>
          <w:p w14:paraId="319FBDA0" w14:textId="18778ACB" w:rsidR="0057327A" w:rsidRPr="0057327A" w:rsidRDefault="0057327A" w:rsidP="00A71365">
            <w:pPr>
              <w:pStyle w:val="Tablewriting"/>
              <w:rPr>
                <w:rFonts w:eastAsia="MS Mincho" w:cstheme="minorHAnsi"/>
              </w:rPr>
            </w:pPr>
            <w:r w:rsidRPr="0057327A">
              <w:rPr>
                <w:rFonts w:eastAsia="MS Mincho" w:cstheme="minorHAnsi"/>
              </w:rPr>
              <w:t>Latino volunteer light smokers (</w:t>
            </w:r>
            <w:r w:rsidR="00DD321D" w:rsidRPr="00DD321D">
              <w:rPr>
                <w:rFonts w:eastAsia="MS Mincho" w:cstheme="minorHAnsi"/>
              </w:rPr>
              <w:t>≤</w:t>
            </w:r>
            <w:r w:rsidRPr="0057327A">
              <w:rPr>
                <w:rFonts w:eastAsia="MS Mincho" w:cstheme="minorHAnsi"/>
              </w:rPr>
              <w:t xml:space="preserve"> 10 CPD), aged 18+, willing to set </w:t>
            </w:r>
            <w:r w:rsidR="00836B64">
              <w:rPr>
                <w:rFonts w:eastAsia="MS Mincho" w:cstheme="minorHAnsi"/>
              </w:rPr>
              <w:t xml:space="preserve">a quit date. Mean age 42, 53.1% </w:t>
            </w:r>
            <w:r w:rsidRPr="0057327A">
              <w:rPr>
                <w:rFonts w:eastAsia="MS Mincho" w:cstheme="minorHAnsi"/>
              </w:rPr>
              <w:t>women, mean CPD 7.6, mean FTND 2.9. Allocated to varenicline (10), NRT (11), placebo (11)</w:t>
            </w:r>
          </w:p>
          <w:p w14:paraId="19B5D9B6" w14:textId="77777777" w:rsidR="00E869FF" w:rsidRDefault="00E869FF" w:rsidP="00A71365">
            <w:pPr>
              <w:pStyle w:val="Tablewriting"/>
              <w:rPr>
                <w:rFonts w:eastAsia="MS Mincho" w:cstheme="minorHAnsi"/>
              </w:rPr>
            </w:pPr>
          </w:p>
          <w:p w14:paraId="1AD2F3EB" w14:textId="6A8BC344" w:rsidR="00C3700A" w:rsidRPr="00017AE6" w:rsidRDefault="0057327A" w:rsidP="00A71365">
            <w:pPr>
              <w:pStyle w:val="Tablewriting"/>
              <w:rPr>
                <w:rFonts w:eastAsia="MS Mincho" w:cstheme="minorHAnsi"/>
              </w:rPr>
            </w:pPr>
            <w:r w:rsidRPr="00E869FF">
              <w:rPr>
                <w:rFonts w:eastAsia="MS Mincho" w:cstheme="minorHAnsi"/>
                <w:u w:val="single"/>
              </w:rPr>
              <w:t>Exclusions</w:t>
            </w:r>
            <w:r w:rsidRPr="0057327A">
              <w:rPr>
                <w:rFonts w:eastAsia="MS Mincho" w:cstheme="minorHAnsi"/>
              </w:rPr>
              <w:t>: Usual pharmacological conditions, on NRT or smokeless tobacco, history of suicide attempts,</w:t>
            </w:r>
            <w:r w:rsidR="00E869FF">
              <w:rPr>
                <w:rFonts w:eastAsia="MS Mincho" w:cstheme="minorHAnsi"/>
              </w:rPr>
              <w:t xml:space="preserve"> </w:t>
            </w:r>
            <w:r w:rsidRPr="0057327A">
              <w:rPr>
                <w:rFonts w:eastAsia="MS Mincho" w:cstheme="minorHAnsi"/>
              </w:rPr>
              <w:t xml:space="preserve">chronic or acute psychiatric disorder, employed as a pilot, </w:t>
            </w:r>
            <w:r w:rsidR="00115AEE" w:rsidRPr="0057327A">
              <w:rPr>
                <w:rFonts w:eastAsia="MS Mincho" w:cstheme="minorHAnsi"/>
              </w:rPr>
              <w:t>driver,</w:t>
            </w:r>
            <w:r w:rsidRPr="0057327A">
              <w:rPr>
                <w:rFonts w:eastAsia="MS Mincho" w:cstheme="minorHAnsi"/>
              </w:rPr>
              <w:t xml:space="preserve"> or heavy machinery operator</w:t>
            </w:r>
            <w:r w:rsidR="00E869FF">
              <w:rPr>
                <w:rFonts w:eastAsia="MS Mincho" w:cstheme="minorHAnsi"/>
              </w:rPr>
              <w:t>.</w:t>
            </w:r>
          </w:p>
        </w:tc>
        <w:tc>
          <w:tcPr>
            <w:tcW w:w="1054" w:type="pct"/>
          </w:tcPr>
          <w:p w14:paraId="1039C3C4" w14:textId="77777777" w:rsidR="00936FDC" w:rsidRDefault="005B13DF" w:rsidP="00C324F3">
            <w:pPr>
              <w:pStyle w:val="Tablewriting"/>
              <w:numPr>
                <w:ilvl w:val="0"/>
                <w:numId w:val="145"/>
              </w:numPr>
              <w:rPr>
                <w:rFonts w:eastAsia="MS Mincho" w:cstheme="minorHAnsi"/>
              </w:rPr>
            </w:pPr>
            <w:r w:rsidRPr="005B13DF">
              <w:rPr>
                <w:rFonts w:eastAsia="MS Mincho" w:cstheme="minorHAnsi"/>
              </w:rPr>
              <w:t>Varenicline 12-w</w:t>
            </w:r>
            <w:r w:rsidR="00936FDC">
              <w:rPr>
                <w:rFonts w:eastAsia="MS Mincho" w:cstheme="minorHAnsi"/>
              </w:rPr>
              <w:t>ee</w:t>
            </w:r>
            <w:r w:rsidRPr="005B13DF">
              <w:rPr>
                <w:rFonts w:eastAsia="MS Mincho" w:cstheme="minorHAnsi"/>
              </w:rPr>
              <w:t>k treatment course, titrated 1st w</w:t>
            </w:r>
            <w:r w:rsidR="00936FDC">
              <w:rPr>
                <w:rFonts w:eastAsia="MS Mincho" w:cstheme="minorHAnsi"/>
              </w:rPr>
              <w:t>ee</w:t>
            </w:r>
            <w:r w:rsidRPr="005B13DF">
              <w:rPr>
                <w:rFonts w:eastAsia="MS Mincho" w:cstheme="minorHAnsi"/>
              </w:rPr>
              <w:t>k</w:t>
            </w:r>
            <w:r w:rsidR="00936FDC">
              <w:rPr>
                <w:rFonts w:eastAsia="MS Mincho" w:cstheme="minorHAnsi"/>
              </w:rPr>
              <w:t>.</w:t>
            </w:r>
          </w:p>
          <w:p w14:paraId="27BDDAA2" w14:textId="77777777" w:rsidR="00A13511" w:rsidRDefault="005B13DF" w:rsidP="00C324F3">
            <w:pPr>
              <w:pStyle w:val="Tablewriting"/>
              <w:numPr>
                <w:ilvl w:val="0"/>
                <w:numId w:val="145"/>
              </w:numPr>
              <w:rPr>
                <w:rFonts w:eastAsia="MS Mincho" w:cstheme="minorHAnsi"/>
              </w:rPr>
            </w:pPr>
            <w:r w:rsidRPr="00936FDC">
              <w:rPr>
                <w:rFonts w:eastAsia="MS Mincho" w:cstheme="minorHAnsi"/>
              </w:rPr>
              <w:t>NRT 24-hour patch: 12 w</w:t>
            </w:r>
            <w:r w:rsidR="00936FDC">
              <w:rPr>
                <w:rFonts w:eastAsia="MS Mincho" w:cstheme="minorHAnsi"/>
              </w:rPr>
              <w:t>ee</w:t>
            </w:r>
            <w:r w:rsidRPr="00936FDC">
              <w:rPr>
                <w:rFonts w:eastAsia="MS Mincho" w:cstheme="minorHAnsi"/>
              </w:rPr>
              <w:t>ks: 4 w</w:t>
            </w:r>
            <w:r w:rsidR="00936FDC">
              <w:rPr>
                <w:rFonts w:eastAsia="MS Mincho" w:cstheme="minorHAnsi"/>
              </w:rPr>
              <w:t>ee</w:t>
            </w:r>
            <w:r w:rsidRPr="00936FDC">
              <w:rPr>
                <w:rFonts w:eastAsia="MS Mincho" w:cstheme="minorHAnsi"/>
              </w:rPr>
              <w:t xml:space="preserve">ks </w:t>
            </w:r>
            <w:r w:rsidR="00A13511">
              <w:rPr>
                <w:rFonts w:eastAsia="MS Mincho" w:cstheme="minorHAnsi"/>
              </w:rPr>
              <w:t xml:space="preserve">at </w:t>
            </w:r>
            <w:r w:rsidRPr="00936FDC">
              <w:rPr>
                <w:rFonts w:eastAsia="MS Mincho" w:cstheme="minorHAnsi"/>
              </w:rPr>
              <w:t>14 mg, 8 w</w:t>
            </w:r>
            <w:r w:rsidR="00A13511">
              <w:rPr>
                <w:rFonts w:eastAsia="MS Mincho" w:cstheme="minorHAnsi"/>
              </w:rPr>
              <w:t>ee</w:t>
            </w:r>
            <w:r w:rsidRPr="00936FDC">
              <w:rPr>
                <w:rFonts w:eastAsia="MS Mincho" w:cstheme="minorHAnsi"/>
              </w:rPr>
              <w:t xml:space="preserve">ks </w:t>
            </w:r>
            <w:r w:rsidR="00A13511">
              <w:rPr>
                <w:rFonts w:eastAsia="MS Mincho" w:cstheme="minorHAnsi"/>
              </w:rPr>
              <w:t xml:space="preserve">at </w:t>
            </w:r>
            <w:r w:rsidRPr="00936FDC">
              <w:rPr>
                <w:rFonts w:eastAsia="MS Mincho" w:cstheme="minorHAnsi"/>
              </w:rPr>
              <w:t>7 mg</w:t>
            </w:r>
            <w:r w:rsidR="00A13511">
              <w:rPr>
                <w:rFonts w:eastAsia="MS Mincho" w:cstheme="minorHAnsi"/>
              </w:rPr>
              <w:t>.</w:t>
            </w:r>
          </w:p>
          <w:p w14:paraId="23064E93" w14:textId="3FF19CBC" w:rsidR="005B13DF" w:rsidRDefault="005B13DF" w:rsidP="00C324F3">
            <w:pPr>
              <w:pStyle w:val="Tablewriting"/>
              <w:numPr>
                <w:ilvl w:val="0"/>
                <w:numId w:val="145"/>
              </w:numPr>
              <w:rPr>
                <w:rFonts w:eastAsia="MS Mincho" w:cstheme="minorHAnsi"/>
              </w:rPr>
            </w:pPr>
            <w:r w:rsidRPr="00A13511">
              <w:rPr>
                <w:rFonts w:eastAsia="MS Mincho" w:cstheme="minorHAnsi"/>
              </w:rPr>
              <w:t xml:space="preserve">Varenicline-placebo, </w:t>
            </w:r>
            <w:r w:rsidR="00115AEE" w:rsidRPr="00A13511">
              <w:rPr>
                <w:rFonts w:eastAsia="MS Mincho" w:cstheme="minorHAnsi"/>
              </w:rPr>
              <w:t>i.e.,</w:t>
            </w:r>
            <w:r w:rsidRPr="00A13511">
              <w:rPr>
                <w:rFonts w:eastAsia="MS Mincho" w:cstheme="minorHAnsi"/>
              </w:rPr>
              <w:t xml:space="preserve"> identical tablet, same regimen</w:t>
            </w:r>
            <w:r w:rsidR="00A13511">
              <w:rPr>
                <w:rFonts w:eastAsia="MS Mincho" w:cstheme="minorHAnsi"/>
              </w:rPr>
              <w:t>.</w:t>
            </w:r>
          </w:p>
          <w:p w14:paraId="5C851EB4" w14:textId="77777777" w:rsidR="00A13511" w:rsidRPr="00A13511" w:rsidRDefault="00A13511" w:rsidP="00A71365">
            <w:pPr>
              <w:pStyle w:val="Tablewriting"/>
              <w:ind w:left="360"/>
              <w:rPr>
                <w:rFonts w:eastAsia="MS Mincho" w:cstheme="minorHAnsi"/>
              </w:rPr>
            </w:pPr>
          </w:p>
          <w:p w14:paraId="29E43FC9" w14:textId="362861A5" w:rsidR="00C3700A" w:rsidRPr="00017AE6" w:rsidRDefault="00A13511" w:rsidP="00A71365">
            <w:pPr>
              <w:pStyle w:val="Tablewriting"/>
              <w:rPr>
                <w:rFonts w:eastAsia="MS Mincho" w:cstheme="minorHAnsi"/>
              </w:rPr>
            </w:pPr>
            <w:r w:rsidRPr="004926AC">
              <w:rPr>
                <w:rFonts w:eastAsia="MS Mincho" w:cstheme="minorHAnsi"/>
                <w:u w:val="single"/>
              </w:rPr>
              <w:t xml:space="preserve">Common components: </w:t>
            </w:r>
            <w:r w:rsidR="005B13DF" w:rsidRPr="005B13DF">
              <w:rPr>
                <w:rFonts w:eastAsia="MS Mincho" w:cstheme="minorHAnsi"/>
              </w:rPr>
              <w:t>All participants received a 30-minute face-to-face "culturally informed" smoking cessation behavioural</w:t>
            </w:r>
            <w:r>
              <w:rPr>
                <w:rFonts w:eastAsia="MS Mincho" w:cstheme="minorHAnsi"/>
              </w:rPr>
              <w:t xml:space="preserve"> </w:t>
            </w:r>
            <w:r w:rsidR="005B13DF" w:rsidRPr="005B13DF">
              <w:rPr>
                <w:rFonts w:eastAsia="MS Mincho" w:cstheme="minorHAnsi"/>
              </w:rPr>
              <w:t xml:space="preserve">intervention, + a non-tailored self-help brochure, </w:t>
            </w:r>
            <w:r w:rsidR="005B13DF" w:rsidRPr="005B13DF">
              <w:rPr>
                <w:rFonts w:eastAsia="MS Mincho" w:cstheme="minorHAnsi"/>
              </w:rPr>
              <w:lastRenderedPageBreak/>
              <w:t xml:space="preserve">all available in both English and Spanish. </w:t>
            </w:r>
          </w:p>
        </w:tc>
        <w:tc>
          <w:tcPr>
            <w:tcW w:w="959" w:type="pct"/>
          </w:tcPr>
          <w:p w14:paraId="52262DCA" w14:textId="77777777" w:rsidR="00217E87" w:rsidRPr="00AD1DBB" w:rsidRDefault="000C12CB" w:rsidP="00A71365">
            <w:pPr>
              <w:pStyle w:val="Tablewriting"/>
              <w:rPr>
                <w:rFonts w:eastAsia="MS Mincho" w:cstheme="minorHAnsi"/>
                <w:u w:val="single"/>
              </w:rPr>
            </w:pPr>
            <w:r w:rsidRPr="00636300">
              <w:rPr>
                <w:rFonts w:eastAsia="MS Mincho" w:cstheme="minorHAnsi"/>
                <w:u w:val="single"/>
              </w:rPr>
              <w:lastRenderedPageBreak/>
              <w:t>Efficacy:</w:t>
            </w:r>
          </w:p>
          <w:p w14:paraId="3F636FE9" w14:textId="1A9795F9" w:rsidR="00365297" w:rsidRPr="00365297" w:rsidRDefault="00365297" w:rsidP="00A71365">
            <w:pPr>
              <w:pStyle w:val="Tablewriting"/>
              <w:rPr>
                <w:rFonts w:eastAsia="MS Mincho" w:cstheme="minorHAnsi"/>
              </w:rPr>
            </w:pPr>
            <w:r w:rsidRPr="00365297">
              <w:rPr>
                <w:rFonts w:eastAsia="MS Mincho" w:cstheme="minorHAnsi"/>
              </w:rPr>
              <w:t>Primary: 7-day PPA at 6</w:t>
            </w:r>
            <w:r>
              <w:rPr>
                <w:rFonts w:eastAsia="MS Mincho" w:cstheme="minorHAnsi"/>
              </w:rPr>
              <w:t xml:space="preserve"> months.</w:t>
            </w:r>
          </w:p>
          <w:p w14:paraId="64C91023" w14:textId="704277E4" w:rsidR="00365297" w:rsidRPr="00365297" w:rsidRDefault="00365297" w:rsidP="00A71365">
            <w:pPr>
              <w:pStyle w:val="Tablewriting"/>
              <w:rPr>
                <w:rFonts w:eastAsia="MS Mincho" w:cstheme="minorHAnsi"/>
              </w:rPr>
            </w:pPr>
            <w:r w:rsidRPr="00365297">
              <w:rPr>
                <w:rFonts w:eastAsia="MS Mincho" w:cstheme="minorHAnsi"/>
              </w:rPr>
              <w:t>Secondary: 7-day PPA at w</w:t>
            </w:r>
            <w:r>
              <w:rPr>
                <w:rFonts w:eastAsia="MS Mincho" w:cstheme="minorHAnsi"/>
              </w:rPr>
              <w:t>ee</w:t>
            </w:r>
            <w:r w:rsidRPr="00365297">
              <w:rPr>
                <w:rFonts w:eastAsia="MS Mincho" w:cstheme="minorHAnsi"/>
              </w:rPr>
              <w:t>ks 1, 2, 1m, 2m, 3m, 4m</w:t>
            </w:r>
            <w:r w:rsidR="00026598">
              <w:rPr>
                <w:rFonts w:eastAsia="MS Mincho" w:cstheme="minorHAnsi"/>
              </w:rPr>
              <w:t>.</w:t>
            </w:r>
          </w:p>
          <w:p w14:paraId="2A81DC99" w14:textId="77777777" w:rsidR="0088448B" w:rsidRDefault="0088448B" w:rsidP="00A71365">
            <w:pPr>
              <w:pStyle w:val="Tablewriting"/>
              <w:rPr>
                <w:rFonts w:eastAsia="MS Mincho" w:cstheme="minorHAnsi"/>
              </w:rPr>
            </w:pPr>
          </w:p>
          <w:p w14:paraId="107D0E65" w14:textId="17177DBE" w:rsidR="006C01A1" w:rsidRPr="006C01A1" w:rsidRDefault="00365297" w:rsidP="00A71365">
            <w:pPr>
              <w:pStyle w:val="Tablewriting"/>
              <w:rPr>
                <w:rFonts w:eastAsia="MS Mincho" w:cstheme="minorHAnsi"/>
              </w:rPr>
            </w:pPr>
            <w:r w:rsidRPr="00365297">
              <w:rPr>
                <w:rFonts w:eastAsia="MS Mincho" w:cstheme="minorHAnsi"/>
              </w:rPr>
              <w:t>Validation: CO &lt; 5 ppm; salivary cotinine (not for the NRT group) &gt; 10</w:t>
            </w:r>
            <w:r w:rsidR="0088448B">
              <w:rPr>
                <w:rFonts w:eastAsia="MS Mincho" w:cstheme="minorHAnsi"/>
              </w:rPr>
              <w:t xml:space="preserve"> </w:t>
            </w:r>
            <w:r w:rsidR="00F77019">
              <w:rPr>
                <w:rFonts w:eastAsia="MS Mincho" w:cstheme="minorHAnsi"/>
              </w:rPr>
              <w:t>n</w:t>
            </w:r>
            <w:r w:rsidRPr="00365297">
              <w:rPr>
                <w:rFonts w:eastAsia="MS Mincho" w:cstheme="minorHAnsi"/>
              </w:rPr>
              <w:t>g/</w:t>
            </w:r>
            <w:r w:rsidR="00DD64CA">
              <w:rPr>
                <w:rFonts w:eastAsia="MS Mincho" w:cstheme="minorHAnsi"/>
              </w:rPr>
              <w:t>m</w:t>
            </w:r>
            <w:r w:rsidRPr="00365297">
              <w:rPr>
                <w:rFonts w:eastAsia="MS Mincho" w:cstheme="minorHAnsi"/>
              </w:rPr>
              <w:t>L</w:t>
            </w:r>
            <w:r w:rsidR="0088448B">
              <w:rPr>
                <w:rFonts w:eastAsia="MS Mincho" w:cstheme="minorHAnsi"/>
              </w:rPr>
              <w:t>.</w:t>
            </w:r>
          </w:p>
          <w:p w14:paraId="032014FC" w14:textId="77777777" w:rsidR="008C11B5" w:rsidRPr="00365297" w:rsidRDefault="008C11B5" w:rsidP="00A71365">
            <w:pPr>
              <w:pStyle w:val="Tablewriting"/>
              <w:rPr>
                <w:rFonts w:eastAsia="MS Mincho" w:cstheme="minorHAnsi"/>
              </w:rPr>
            </w:pPr>
          </w:p>
          <w:p w14:paraId="289DFFF3" w14:textId="1F6C231D" w:rsidR="00365297" w:rsidRPr="00365297" w:rsidRDefault="0088448B" w:rsidP="00A71365">
            <w:pPr>
              <w:pStyle w:val="Tablewriting"/>
              <w:rPr>
                <w:rFonts w:eastAsia="MS Mincho" w:cstheme="minorHAnsi"/>
              </w:rPr>
            </w:pPr>
            <w:r w:rsidRPr="00AD1DBB">
              <w:rPr>
                <w:rFonts w:eastAsia="MS Mincho" w:cstheme="minorHAnsi"/>
                <w:u w:val="single"/>
              </w:rPr>
              <w:t>Safety:</w:t>
            </w:r>
            <w:r>
              <w:rPr>
                <w:rFonts w:eastAsia="MS Mincho" w:cstheme="minorHAnsi"/>
                <w:u w:val="single"/>
              </w:rPr>
              <w:t xml:space="preserve"> </w:t>
            </w:r>
            <w:r w:rsidR="00365297" w:rsidRPr="00365297">
              <w:rPr>
                <w:rFonts w:eastAsia="MS Mincho" w:cstheme="minorHAnsi"/>
              </w:rPr>
              <w:t>Adverse events not reported in detail, although study reports that "There was no pattern that suggested</w:t>
            </w:r>
          </w:p>
          <w:p w14:paraId="346FCB73" w14:textId="58DAEAD8" w:rsidR="00C3700A" w:rsidRPr="00017AE6" w:rsidRDefault="00365297" w:rsidP="00A71365">
            <w:pPr>
              <w:pStyle w:val="Tablewriting"/>
              <w:rPr>
                <w:rFonts w:eastAsia="MS Mincho" w:cstheme="minorHAnsi"/>
              </w:rPr>
            </w:pPr>
            <w:r w:rsidRPr="00365297">
              <w:rPr>
                <w:rFonts w:eastAsia="MS Mincho" w:cstheme="minorHAnsi"/>
              </w:rPr>
              <w:t>a higher side-effect profile for those in the varenicline group"</w:t>
            </w:r>
            <w:r w:rsidR="0088448B">
              <w:rPr>
                <w:rFonts w:eastAsia="MS Mincho" w:cstheme="minorHAnsi"/>
              </w:rPr>
              <w:t>.</w:t>
            </w:r>
          </w:p>
        </w:tc>
      </w:tr>
      <w:tr w:rsidR="00C3700A" w:rsidRPr="00017AE6" w14:paraId="7BF22DDD" w14:textId="77777777" w:rsidTr="005821B1">
        <w:trPr>
          <w:trHeight w:val="99"/>
        </w:trPr>
        <w:tc>
          <w:tcPr>
            <w:tcW w:w="411" w:type="pct"/>
          </w:tcPr>
          <w:p w14:paraId="742BCA7D" w14:textId="27B0AEF2" w:rsidR="00C3700A" w:rsidRPr="00017AE6" w:rsidRDefault="001B799D" w:rsidP="00A71365">
            <w:pPr>
              <w:pStyle w:val="Tablewriting"/>
              <w:rPr>
                <w:rFonts w:eastAsia="MS Mincho" w:cstheme="minorHAnsi"/>
              </w:rPr>
            </w:pPr>
            <w:r w:rsidRPr="001B799D">
              <w:rPr>
                <w:rFonts w:eastAsia="MS Mincho" w:cstheme="minorHAnsi"/>
              </w:rPr>
              <w:t xml:space="preserve">EAGLES </w:t>
            </w:r>
            <w:r w:rsidR="0006565D">
              <w:rPr>
                <w:rFonts w:eastAsia="MS Mincho" w:cstheme="minorHAnsi"/>
              </w:rPr>
              <w:t>(</w:t>
            </w:r>
            <w:r w:rsidRPr="001B799D">
              <w:rPr>
                <w:rFonts w:eastAsia="MS Mincho" w:cstheme="minorHAnsi"/>
              </w:rPr>
              <w:t>2016</w:t>
            </w:r>
            <w:r w:rsidR="0006565D">
              <w:rPr>
                <w:rFonts w:eastAsia="MS Mincho" w:cstheme="minorHAnsi"/>
              </w:rPr>
              <w:t>)</w:t>
            </w:r>
          </w:p>
        </w:tc>
        <w:tc>
          <w:tcPr>
            <w:tcW w:w="235" w:type="pct"/>
          </w:tcPr>
          <w:p w14:paraId="4F04137F" w14:textId="40344717" w:rsidR="00C3700A" w:rsidRPr="00017AE6" w:rsidRDefault="0006565D" w:rsidP="00A71365">
            <w:pPr>
              <w:pStyle w:val="Tablewriting"/>
              <w:rPr>
                <w:rFonts w:eastAsia="MS Mincho" w:cstheme="minorHAnsi"/>
              </w:rPr>
            </w:pPr>
            <w:r w:rsidRPr="00017AE6">
              <w:rPr>
                <w:rFonts w:eastAsia="MS Mincho" w:cstheme="minorHAnsi"/>
              </w:rPr>
              <w:t>RCT</w:t>
            </w:r>
          </w:p>
        </w:tc>
        <w:tc>
          <w:tcPr>
            <w:tcW w:w="431" w:type="pct"/>
          </w:tcPr>
          <w:p w14:paraId="30981AA4" w14:textId="77777777" w:rsidR="0006565D" w:rsidRPr="00017AE6" w:rsidRDefault="0006565D" w:rsidP="00A71365">
            <w:pPr>
              <w:pStyle w:val="Tablewriting"/>
              <w:rPr>
                <w:rFonts w:eastAsia="MS Mincho" w:cstheme="minorHAnsi"/>
              </w:rPr>
            </w:pPr>
            <w:r w:rsidRPr="00017AE6">
              <w:rPr>
                <w:rFonts w:eastAsia="MS Mincho" w:cstheme="minorHAnsi"/>
              </w:rPr>
              <w:t>Argentina, Australia, Brazil, Bulgaria, Canada, Chile, Denmark, Finland, Germany, Mexico,</w:t>
            </w:r>
          </w:p>
          <w:p w14:paraId="6A6CD32A" w14:textId="5642E4E3" w:rsidR="00C3700A" w:rsidRPr="00017AE6" w:rsidRDefault="0006565D" w:rsidP="00A71365">
            <w:pPr>
              <w:pStyle w:val="Tablewriting"/>
              <w:rPr>
                <w:rFonts w:eastAsia="MS Mincho" w:cstheme="minorHAnsi"/>
              </w:rPr>
            </w:pPr>
            <w:r w:rsidRPr="00017AE6">
              <w:rPr>
                <w:rFonts w:eastAsia="MS Mincho" w:cstheme="minorHAnsi"/>
              </w:rPr>
              <w:t>New Zealand, Russian Federation, Slovakia South Africa, Spain, USA</w:t>
            </w:r>
          </w:p>
        </w:tc>
        <w:tc>
          <w:tcPr>
            <w:tcW w:w="679" w:type="pct"/>
          </w:tcPr>
          <w:p w14:paraId="293128E8" w14:textId="77777777" w:rsidR="0006565D" w:rsidRPr="00017AE6" w:rsidRDefault="0006565D" w:rsidP="00A71365">
            <w:pPr>
              <w:pStyle w:val="Tablewriting"/>
              <w:rPr>
                <w:rFonts w:eastAsia="MS Mincho" w:cstheme="minorHAnsi"/>
              </w:rPr>
            </w:pPr>
            <w:r w:rsidRPr="00017AE6">
              <w:rPr>
                <w:rFonts w:eastAsia="MS Mincho" w:cstheme="minorHAnsi"/>
              </w:rPr>
              <w:t>N=8144</w:t>
            </w:r>
            <w:r>
              <w:rPr>
                <w:rFonts w:eastAsia="MS Mincho" w:cstheme="minorHAnsi"/>
              </w:rPr>
              <w:t>; participants were grouped into:</w:t>
            </w:r>
          </w:p>
          <w:p w14:paraId="5DFB0F7E" w14:textId="77777777" w:rsidR="0006565D" w:rsidRDefault="0006565D" w:rsidP="00A71365">
            <w:pPr>
              <w:pStyle w:val="Tablewriting"/>
              <w:rPr>
                <w:rFonts w:eastAsia="MS Mincho" w:cstheme="minorHAnsi"/>
              </w:rPr>
            </w:pPr>
          </w:p>
          <w:p w14:paraId="038E2BFE" w14:textId="77777777" w:rsidR="0006565D" w:rsidRPr="0028080F" w:rsidRDefault="0006565D" w:rsidP="00C324F3">
            <w:pPr>
              <w:pStyle w:val="Tablewriting"/>
              <w:numPr>
                <w:ilvl w:val="0"/>
                <w:numId w:val="66"/>
              </w:numPr>
              <w:rPr>
                <w:rFonts w:eastAsia="MS Mincho" w:cstheme="minorHAnsi"/>
              </w:rPr>
            </w:pPr>
            <w:r>
              <w:rPr>
                <w:rFonts w:eastAsia="MS Mincho" w:cstheme="minorHAnsi"/>
              </w:rPr>
              <w:t xml:space="preserve"> P</w:t>
            </w:r>
            <w:r w:rsidRPr="00017AE6">
              <w:rPr>
                <w:rFonts w:eastAsia="MS Mincho" w:cstheme="minorHAnsi"/>
              </w:rPr>
              <w:t>sychiatric disorders</w:t>
            </w:r>
            <w:r>
              <w:rPr>
                <w:rFonts w:eastAsia="MS Mincho" w:cstheme="minorHAnsi"/>
              </w:rPr>
              <w:t xml:space="preserve"> (n=</w:t>
            </w:r>
            <w:r w:rsidRPr="00017AE6">
              <w:rPr>
                <w:rFonts w:eastAsia="MS Mincho" w:cstheme="minorHAnsi"/>
              </w:rPr>
              <w:t>4116)</w:t>
            </w:r>
            <w:r>
              <w:rPr>
                <w:rFonts w:eastAsia="MS Mincho" w:cstheme="minorHAnsi"/>
              </w:rPr>
              <w:t xml:space="preserve"> in which:</w:t>
            </w:r>
            <w:r w:rsidRPr="00EB2848">
              <w:rPr>
                <w:rFonts w:eastAsia="MS Mincho" w:cstheme="minorHAnsi"/>
              </w:rPr>
              <w:t xml:space="preserve"> </w:t>
            </w:r>
          </w:p>
          <w:p w14:paraId="003A733D" w14:textId="77777777" w:rsidR="0006565D" w:rsidRPr="00017AE6" w:rsidRDefault="0006565D" w:rsidP="00A71365">
            <w:pPr>
              <w:pStyle w:val="Tablewriting"/>
              <w:ind w:left="720"/>
              <w:rPr>
                <w:rFonts w:eastAsia="MS Mincho" w:cstheme="minorHAnsi"/>
              </w:rPr>
            </w:pPr>
            <w:r>
              <w:rPr>
                <w:rFonts w:eastAsia="MS Mincho" w:cstheme="minorHAnsi"/>
              </w:rPr>
              <w:t>n=</w:t>
            </w:r>
            <w:r w:rsidRPr="00017AE6">
              <w:rPr>
                <w:rFonts w:eastAsia="MS Mincho" w:cstheme="minorHAnsi"/>
              </w:rPr>
              <w:t>1032</w:t>
            </w:r>
            <w:r>
              <w:rPr>
                <w:rFonts w:eastAsia="MS Mincho" w:cstheme="minorHAnsi"/>
              </w:rPr>
              <w:t xml:space="preserve"> (varenicline), n=</w:t>
            </w:r>
            <w:r w:rsidRPr="00017AE6">
              <w:rPr>
                <w:rFonts w:eastAsia="MS Mincho" w:cstheme="minorHAnsi"/>
              </w:rPr>
              <w:t>1033</w:t>
            </w:r>
            <w:r>
              <w:rPr>
                <w:rFonts w:eastAsia="MS Mincho" w:cstheme="minorHAnsi"/>
              </w:rPr>
              <w:t xml:space="preserve"> (</w:t>
            </w:r>
            <w:r w:rsidRPr="00017AE6">
              <w:rPr>
                <w:rFonts w:eastAsia="MS Mincho" w:cstheme="minorHAnsi"/>
              </w:rPr>
              <w:t>bupropion</w:t>
            </w:r>
            <w:r>
              <w:rPr>
                <w:rFonts w:eastAsia="MS Mincho" w:cstheme="minorHAnsi"/>
              </w:rPr>
              <w:t>)</w:t>
            </w:r>
            <w:r w:rsidRPr="00017AE6">
              <w:rPr>
                <w:rFonts w:eastAsia="MS Mincho" w:cstheme="minorHAnsi"/>
              </w:rPr>
              <w:t xml:space="preserve">, </w:t>
            </w:r>
            <w:r>
              <w:rPr>
                <w:rFonts w:eastAsia="MS Mincho" w:cstheme="minorHAnsi"/>
              </w:rPr>
              <w:t>n=</w:t>
            </w:r>
            <w:r w:rsidRPr="00017AE6">
              <w:rPr>
                <w:rFonts w:eastAsia="MS Mincho" w:cstheme="minorHAnsi"/>
              </w:rPr>
              <w:t>1025</w:t>
            </w:r>
            <w:r>
              <w:rPr>
                <w:rFonts w:eastAsia="MS Mincho" w:cstheme="minorHAnsi"/>
              </w:rPr>
              <w:t xml:space="preserve"> (</w:t>
            </w:r>
            <w:r w:rsidRPr="00017AE6">
              <w:rPr>
                <w:rFonts w:eastAsia="MS Mincho" w:cstheme="minorHAnsi"/>
              </w:rPr>
              <w:t>NRT patch</w:t>
            </w:r>
            <w:r>
              <w:rPr>
                <w:rFonts w:eastAsia="MS Mincho" w:cstheme="minorHAnsi"/>
              </w:rPr>
              <w:t>)</w:t>
            </w:r>
            <w:r w:rsidRPr="00017AE6">
              <w:rPr>
                <w:rFonts w:eastAsia="MS Mincho" w:cstheme="minorHAnsi"/>
              </w:rPr>
              <w:t xml:space="preserve">, </w:t>
            </w:r>
            <w:r>
              <w:rPr>
                <w:rFonts w:eastAsia="MS Mincho" w:cstheme="minorHAnsi"/>
              </w:rPr>
              <w:t>n=</w:t>
            </w:r>
            <w:r w:rsidRPr="00017AE6">
              <w:rPr>
                <w:rFonts w:eastAsia="MS Mincho" w:cstheme="minorHAnsi"/>
              </w:rPr>
              <w:t>1026</w:t>
            </w:r>
            <w:r>
              <w:rPr>
                <w:rFonts w:eastAsia="MS Mincho" w:cstheme="minorHAnsi"/>
              </w:rPr>
              <w:t xml:space="preserve"> (</w:t>
            </w:r>
            <w:r w:rsidRPr="00017AE6">
              <w:rPr>
                <w:rFonts w:eastAsia="MS Mincho" w:cstheme="minorHAnsi"/>
              </w:rPr>
              <w:t>placebo</w:t>
            </w:r>
            <w:r>
              <w:rPr>
                <w:rFonts w:eastAsia="MS Mincho" w:cstheme="minorHAnsi"/>
              </w:rPr>
              <w:t>)</w:t>
            </w:r>
          </w:p>
          <w:p w14:paraId="5D6394F8" w14:textId="77777777" w:rsidR="0006565D" w:rsidRPr="00017AE6" w:rsidRDefault="0006565D" w:rsidP="00C324F3">
            <w:pPr>
              <w:pStyle w:val="Tablewriting"/>
              <w:numPr>
                <w:ilvl w:val="0"/>
                <w:numId w:val="66"/>
              </w:numPr>
              <w:rPr>
                <w:rFonts w:eastAsia="MS Mincho" w:cstheme="minorHAnsi"/>
              </w:rPr>
            </w:pPr>
            <w:r>
              <w:rPr>
                <w:rFonts w:eastAsia="MS Mincho" w:cstheme="minorHAnsi"/>
              </w:rPr>
              <w:t xml:space="preserve"> N</w:t>
            </w:r>
            <w:r w:rsidRPr="00017AE6">
              <w:rPr>
                <w:rFonts w:eastAsia="MS Mincho" w:cstheme="minorHAnsi"/>
              </w:rPr>
              <w:t>o psychiatric disorders</w:t>
            </w:r>
            <w:r>
              <w:rPr>
                <w:rFonts w:eastAsia="MS Mincho" w:cstheme="minorHAnsi"/>
              </w:rPr>
              <w:t xml:space="preserve"> (n=</w:t>
            </w:r>
            <w:r w:rsidRPr="00017AE6">
              <w:rPr>
                <w:rFonts w:eastAsia="MS Mincho" w:cstheme="minorHAnsi"/>
              </w:rPr>
              <w:t>4028)</w:t>
            </w:r>
            <w:r>
              <w:rPr>
                <w:rFonts w:eastAsia="MS Mincho" w:cstheme="minorHAnsi"/>
              </w:rPr>
              <w:t xml:space="preserve"> in which</w:t>
            </w:r>
            <w:r w:rsidRPr="00017AE6">
              <w:rPr>
                <w:rFonts w:eastAsia="MS Mincho" w:cstheme="minorHAnsi"/>
              </w:rPr>
              <w:t xml:space="preserve">: </w:t>
            </w:r>
            <w:r>
              <w:rPr>
                <w:rFonts w:eastAsia="MS Mincho" w:cstheme="minorHAnsi"/>
              </w:rPr>
              <w:t>n=</w:t>
            </w:r>
            <w:r w:rsidRPr="00017AE6">
              <w:rPr>
                <w:rFonts w:eastAsia="MS Mincho" w:cstheme="minorHAnsi"/>
              </w:rPr>
              <w:t>1005</w:t>
            </w:r>
            <w:r>
              <w:rPr>
                <w:rFonts w:eastAsia="MS Mincho" w:cstheme="minorHAnsi"/>
              </w:rPr>
              <w:t xml:space="preserve"> (</w:t>
            </w:r>
            <w:r w:rsidRPr="00017AE6">
              <w:rPr>
                <w:rFonts w:eastAsia="MS Mincho" w:cstheme="minorHAnsi"/>
              </w:rPr>
              <w:t>varenicline</w:t>
            </w:r>
            <w:r>
              <w:rPr>
                <w:rFonts w:eastAsia="MS Mincho" w:cstheme="minorHAnsi"/>
              </w:rPr>
              <w:t>), n=</w:t>
            </w:r>
            <w:r w:rsidRPr="00017AE6">
              <w:rPr>
                <w:rFonts w:eastAsia="MS Mincho" w:cstheme="minorHAnsi"/>
              </w:rPr>
              <w:t>1001</w:t>
            </w:r>
            <w:r>
              <w:rPr>
                <w:rFonts w:eastAsia="MS Mincho" w:cstheme="minorHAnsi"/>
              </w:rPr>
              <w:t xml:space="preserve"> (bupropion)</w:t>
            </w:r>
            <w:r w:rsidRPr="00017AE6">
              <w:rPr>
                <w:rFonts w:eastAsia="MS Mincho" w:cstheme="minorHAnsi"/>
              </w:rPr>
              <w:t xml:space="preserve">, </w:t>
            </w:r>
            <w:r>
              <w:rPr>
                <w:rFonts w:eastAsia="MS Mincho" w:cstheme="minorHAnsi"/>
              </w:rPr>
              <w:t>n=</w:t>
            </w:r>
            <w:r w:rsidRPr="00017AE6">
              <w:rPr>
                <w:rFonts w:eastAsia="MS Mincho" w:cstheme="minorHAnsi"/>
              </w:rPr>
              <w:t>1013</w:t>
            </w:r>
            <w:r>
              <w:rPr>
                <w:rFonts w:eastAsia="MS Mincho" w:cstheme="minorHAnsi"/>
              </w:rPr>
              <w:t xml:space="preserve"> (NRT patch)</w:t>
            </w:r>
            <w:r w:rsidRPr="00017AE6">
              <w:rPr>
                <w:rFonts w:eastAsia="MS Mincho" w:cstheme="minorHAnsi"/>
              </w:rPr>
              <w:t xml:space="preserve">, </w:t>
            </w:r>
            <w:r>
              <w:rPr>
                <w:rFonts w:eastAsia="MS Mincho" w:cstheme="minorHAnsi"/>
              </w:rPr>
              <w:t>n=</w:t>
            </w:r>
            <w:r w:rsidRPr="00017AE6">
              <w:rPr>
                <w:rFonts w:eastAsia="MS Mincho" w:cstheme="minorHAnsi"/>
              </w:rPr>
              <w:t>1009</w:t>
            </w:r>
            <w:r>
              <w:rPr>
                <w:rFonts w:eastAsia="MS Mincho" w:cstheme="minorHAnsi"/>
              </w:rPr>
              <w:t xml:space="preserve"> (placebo).</w:t>
            </w:r>
          </w:p>
          <w:p w14:paraId="5056D592" w14:textId="77777777" w:rsidR="0006565D" w:rsidRDefault="0006565D" w:rsidP="00A71365">
            <w:pPr>
              <w:pStyle w:val="Tablewriting"/>
              <w:rPr>
                <w:rFonts w:eastAsia="MS Mincho" w:cstheme="minorHAnsi"/>
              </w:rPr>
            </w:pPr>
          </w:p>
          <w:p w14:paraId="2E4C2459" w14:textId="77777777" w:rsidR="0006565D" w:rsidRPr="00017AE6" w:rsidRDefault="0006565D" w:rsidP="00A71365">
            <w:pPr>
              <w:pStyle w:val="Tablewriting"/>
              <w:rPr>
                <w:rFonts w:eastAsia="MS Mincho" w:cstheme="minorHAnsi"/>
              </w:rPr>
            </w:pPr>
            <w:r w:rsidRPr="00017AE6">
              <w:rPr>
                <w:rFonts w:eastAsia="MS Mincho" w:cstheme="minorHAnsi"/>
              </w:rPr>
              <w:t>Allocation for the psychiatric cohort was balanced across</w:t>
            </w:r>
          </w:p>
          <w:p w14:paraId="3A1B29CC" w14:textId="471C21E8" w:rsidR="0006565D" w:rsidRPr="00017AE6" w:rsidRDefault="0006565D" w:rsidP="00A71365">
            <w:pPr>
              <w:pStyle w:val="Tablewriting"/>
              <w:rPr>
                <w:rFonts w:eastAsia="MS Mincho" w:cstheme="minorHAnsi"/>
              </w:rPr>
            </w:pPr>
            <w:r w:rsidRPr="00017AE6">
              <w:rPr>
                <w:rFonts w:eastAsia="MS Mincho" w:cstheme="minorHAnsi"/>
              </w:rPr>
              <w:t>four diagnostic group</w:t>
            </w:r>
            <w:r>
              <w:rPr>
                <w:rFonts w:eastAsia="MS Mincho" w:cstheme="minorHAnsi"/>
              </w:rPr>
              <w:t xml:space="preserve"> </w:t>
            </w:r>
            <w:r w:rsidRPr="00017AE6">
              <w:rPr>
                <w:rFonts w:eastAsia="MS Mincho" w:cstheme="minorHAnsi"/>
              </w:rPr>
              <w:t xml:space="preserve">disorders, </w:t>
            </w:r>
            <w:r w:rsidR="00115AEE" w:rsidRPr="00017AE6">
              <w:rPr>
                <w:rFonts w:eastAsia="MS Mincho" w:cstheme="minorHAnsi"/>
              </w:rPr>
              <w:t>i.e.,</w:t>
            </w:r>
            <w:r w:rsidRPr="00017AE6">
              <w:rPr>
                <w:rFonts w:eastAsia="MS Mincho" w:cstheme="minorHAnsi"/>
              </w:rPr>
              <w:t xml:space="preserve"> mood, </w:t>
            </w:r>
            <w:r w:rsidRPr="00017AE6">
              <w:rPr>
                <w:rFonts w:eastAsia="MS Mincho" w:cstheme="minorHAnsi"/>
              </w:rPr>
              <w:lastRenderedPageBreak/>
              <w:t>anxiety, psychotic, personality</w:t>
            </w:r>
            <w:r>
              <w:rPr>
                <w:rFonts w:eastAsia="MS Mincho" w:cstheme="minorHAnsi"/>
              </w:rPr>
              <w:t>.</w:t>
            </w:r>
          </w:p>
          <w:p w14:paraId="3F1F4B2E" w14:textId="77777777" w:rsidR="0006565D" w:rsidRDefault="0006565D" w:rsidP="00A71365">
            <w:pPr>
              <w:pStyle w:val="Tablewriting"/>
              <w:rPr>
                <w:rFonts w:eastAsia="MS Mincho" w:cstheme="minorHAnsi"/>
              </w:rPr>
            </w:pPr>
          </w:p>
          <w:p w14:paraId="6BEDDEE7" w14:textId="2E93F5E9" w:rsidR="00C3700A" w:rsidRPr="00017AE6" w:rsidRDefault="0006565D" w:rsidP="00A71365">
            <w:pPr>
              <w:pStyle w:val="Tablewriting"/>
              <w:rPr>
                <w:rFonts w:eastAsia="MS Mincho" w:cstheme="minorHAnsi"/>
              </w:rPr>
            </w:pPr>
            <w:r w:rsidRPr="00891A7E">
              <w:rPr>
                <w:rFonts w:eastAsia="MS Mincho" w:cstheme="minorHAnsi"/>
                <w:u w:val="single"/>
              </w:rPr>
              <w:t>Safety analyses</w:t>
            </w:r>
            <w:r>
              <w:rPr>
                <w:rFonts w:eastAsia="MS Mincho" w:cstheme="minorHAnsi"/>
                <w:u w:val="single"/>
              </w:rPr>
              <w:t xml:space="preserve">: </w:t>
            </w:r>
            <w:r w:rsidRPr="00017AE6">
              <w:rPr>
                <w:rFonts w:eastAsia="MS Mincho" w:cstheme="minorHAnsi"/>
              </w:rPr>
              <w:t xml:space="preserve">conducted in cohorts of </w:t>
            </w:r>
            <w:r>
              <w:rPr>
                <w:rFonts w:eastAsia="MS Mincho" w:cstheme="minorHAnsi"/>
              </w:rPr>
              <w:t>n=</w:t>
            </w:r>
            <w:r w:rsidRPr="00017AE6">
              <w:rPr>
                <w:rFonts w:eastAsia="MS Mincho" w:cstheme="minorHAnsi"/>
              </w:rPr>
              <w:t xml:space="preserve">4074 (psychiatric) and </w:t>
            </w:r>
            <w:r>
              <w:rPr>
                <w:rFonts w:eastAsia="MS Mincho" w:cstheme="minorHAnsi"/>
              </w:rPr>
              <w:t>n=</w:t>
            </w:r>
            <w:r w:rsidRPr="00017AE6">
              <w:rPr>
                <w:rFonts w:eastAsia="MS Mincho" w:cstheme="minorHAnsi"/>
              </w:rPr>
              <w:t>3984 (non-psychiatric)</w:t>
            </w:r>
            <w:r>
              <w:rPr>
                <w:rFonts w:eastAsia="MS Mincho" w:cstheme="minorHAnsi"/>
              </w:rPr>
              <w:t>.</w:t>
            </w:r>
          </w:p>
        </w:tc>
        <w:tc>
          <w:tcPr>
            <w:tcW w:w="1232" w:type="pct"/>
          </w:tcPr>
          <w:p w14:paraId="7D4DA915" w14:textId="44AF4CA9" w:rsidR="0006565D" w:rsidRDefault="00115AEE" w:rsidP="00A71365">
            <w:pPr>
              <w:pStyle w:val="Tablewriting"/>
              <w:rPr>
                <w:rFonts w:eastAsia="MS Mincho" w:cstheme="minorHAnsi"/>
              </w:rPr>
            </w:pPr>
            <w:r w:rsidRPr="00017AE6">
              <w:rPr>
                <w:rFonts w:eastAsia="MS Mincho" w:cstheme="minorHAnsi"/>
              </w:rPr>
              <w:lastRenderedPageBreak/>
              <w:t>Treatment-seeking adult smokers</w:t>
            </w:r>
            <w:r w:rsidR="0006565D" w:rsidRPr="00017AE6">
              <w:rPr>
                <w:rFonts w:eastAsia="MS Mincho" w:cstheme="minorHAnsi"/>
              </w:rPr>
              <w:t xml:space="preserve"> aged 18 </w:t>
            </w:r>
            <w:r w:rsidR="0006565D">
              <w:rPr>
                <w:rFonts w:eastAsia="MS Mincho" w:cstheme="minorHAnsi"/>
              </w:rPr>
              <w:t>–</w:t>
            </w:r>
            <w:r w:rsidR="0006565D" w:rsidRPr="00017AE6">
              <w:rPr>
                <w:rFonts w:eastAsia="MS Mincho" w:cstheme="minorHAnsi"/>
              </w:rPr>
              <w:t xml:space="preserve"> 75</w:t>
            </w:r>
            <w:r w:rsidR="0006565D">
              <w:rPr>
                <w:rFonts w:eastAsia="MS Mincho" w:cstheme="minorHAnsi"/>
              </w:rPr>
              <w:t xml:space="preserve"> years</w:t>
            </w:r>
            <w:r w:rsidR="0006565D" w:rsidRPr="00017AE6">
              <w:rPr>
                <w:rFonts w:eastAsia="MS Mincho" w:cstheme="minorHAnsi"/>
              </w:rPr>
              <w:t>, smoking at least 10 CPD, with exhaled CO &gt; 10 ppm at</w:t>
            </w:r>
            <w:r w:rsidR="0006565D">
              <w:rPr>
                <w:rFonts w:eastAsia="MS Mincho" w:cstheme="minorHAnsi"/>
              </w:rPr>
              <w:t xml:space="preserve"> </w:t>
            </w:r>
            <w:r w:rsidR="0006565D" w:rsidRPr="00017AE6">
              <w:rPr>
                <w:rFonts w:eastAsia="MS Mincho" w:cstheme="minorHAnsi"/>
              </w:rPr>
              <w:t xml:space="preserve">screening. </w:t>
            </w:r>
          </w:p>
          <w:p w14:paraId="275C88BC" w14:textId="77777777" w:rsidR="0006565D" w:rsidRDefault="0006565D" w:rsidP="00A71365">
            <w:pPr>
              <w:pStyle w:val="Tablewriting"/>
              <w:rPr>
                <w:rFonts w:eastAsia="MS Mincho" w:cstheme="minorHAnsi"/>
              </w:rPr>
            </w:pPr>
          </w:p>
          <w:p w14:paraId="23F662C0" w14:textId="77777777" w:rsidR="0006565D" w:rsidRPr="00017AE6" w:rsidRDefault="0006565D" w:rsidP="00A71365">
            <w:pPr>
              <w:pStyle w:val="Tablewriting"/>
              <w:rPr>
                <w:rFonts w:eastAsia="MS Mincho" w:cstheme="minorHAnsi"/>
              </w:rPr>
            </w:pPr>
            <w:r w:rsidRPr="00017AE6">
              <w:rPr>
                <w:rFonts w:eastAsia="MS Mincho" w:cstheme="minorHAnsi"/>
              </w:rPr>
              <w:t>Participants in the psychiatric disorder cohort had to have a current or lifetime stable psychiatric</w:t>
            </w:r>
          </w:p>
          <w:p w14:paraId="3E371A0B" w14:textId="48CDACD2" w:rsidR="0006565D" w:rsidRDefault="0006565D" w:rsidP="00A71365">
            <w:pPr>
              <w:pStyle w:val="Tablewriting"/>
              <w:rPr>
                <w:rFonts w:eastAsia="MS Mincho" w:cstheme="minorHAnsi"/>
              </w:rPr>
            </w:pPr>
            <w:r w:rsidRPr="00017AE6">
              <w:rPr>
                <w:rFonts w:eastAsia="MS Mincho" w:cstheme="minorHAnsi"/>
              </w:rPr>
              <w:t xml:space="preserve">diagnosis, confirmed by Structured Clinical Interview for DSM IV disorders (SCID), </w:t>
            </w:r>
            <w:r w:rsidR="00115AEE" w:rsidRPr="00017AE6">
              <w:rPr>
                <w:rFonts w:eastAsia="MS Mincho" w:cstheme="minorHAnsi"/>
              </w:rPr>
              <w:t>i.e.,</w:t>
            </w:r>
            <w:r w:rsidRPr="00017AE6">
              <w:rPr>
                <w:rFonts w:eastAsia="MS Mincho" w:cstheme="minorHAnsi"/>
              </w:rPr>
              <w:t xml:space="preserve"> no acute</w:t>
            </w:r>
            <w:r>
              <w:rPr>
                <w:rFonts w:eastAsia="MS Mincho" w:cstheme="minorHAnsi"/>
              </w:rPr>
              <w:t xml:space="preserve"> </w:t>
            </w:r>
            <w:r w:rsidRPr="00017AE6">
              <w:rPr>
                <w:rFonts w:eastAsia="MS Mincho" w:cstheme="minorHAnsi"/>
              </w:rPr>
              <w:t>exacerbation in the previous 6 months, no</w:t>
            </w:r>
            <w:r>
              <w:rPr>
                <w:rFonts w:eastAsia="MS Mincho" w:cstheme="minorHAnsi"/>
              </w:rPr>
              <w:t xml:space="preserve"> </w:t>
            </w:r>
            <w:r w:rsidRPr="00017AE6">
              <w:rPr>
                <w:rFonts w:eastAsia="MS Mincho" w:cstheme="minorHAnsi"/>
              </w:rPr>
              <w:t>changes to treatment for 3 months, not imminently likely to</w:t>
            </w:r>
            <w:r>
              <w:rPr>
                <w:rFonts w:eastAsia="MS Mincho" w:cstheme="minorHAnsi"/>
              </w:rPr>
              <w:t xml:space="preserve"> </w:t>
            </w:r>
            <w:r w:rsidRPr="00017AE6">
              <w:rPr>
                <w:rFonts w:eastAsia="MS Mincho" w:cstheme="minorHAnsi"/>
              </w:rPr>
              <w:t xml:space="preserve">change treatment, and not at risk of self-harm. </w:t>
            </w:r>
          </w:p>
          <w:p w14:paraId="62EEFDF9" w14:textId="77777777" w:rsidR="0006565D" w:rsidRDefault="0006565D" w:rsidP="00A71365">
            <w:pPr>
              <w:pStyle w:val="Tablewriting"/>
              <w:rPr>
                <w:rFonts w:eastAsia="MS Mincho" w:cstheme="minorHAnsi"/>
              </w:rPr>
            </w:pPr>
          </w:p>
          <w:p w14:paraId="05921B78" w14:textId="77777777" w:rsidR="0006565D" w:rsidRPr="00017AE6" w:rsidRDefault="0006565D" w:rsidP="00A71365">
            <w:pPr>
              <w:pStyle w:val="Tablewriting"/>
              <w:rPr>
                <w:rFonts w:eastAsia="MS Mincho" w:cstheme="minorHAnsi"/>
              </w:rPr>
            </w:pPr>
            <w:r w:rsidRPr="00017AE6">
              <w:rPr>
                <w:rFonts w:eastAsia="MS Mincho" w:cstheme="minorHAnsi"/>
              </w:rPr>
              <w:t>44% men, mean age 46, mean CPD 20.7, mean FTND 5.8</w:t>
            </w:r>
          </w:p>
          <w:p w14:paraId="51346E2F" w14:textId="77777777" w:rsidR="0006565D" w:rsidRPr="00017AE6" w:rsidRDefault="0006565D" w:rsidP="00A71365">
            <w:pPr>
              <w:pStyle w:val="Tablewriting"/>
              <w:rPr>
                <w:rFonts w:eastAsia="MS Mincho" w:cstheme="minorHAnsi"/>
              </w:rPr>
            </w:pPr>
          </w:p>
          <w:p w14:paraId="6373E5A0" w14:textId="77777777" w:rsidR="0006565D" w:rsidRPr="00017AE6" w:rsidRDefault="0006565D" w:rsidP="00A71365">
            <w:pPr>
              <w:pStyle w:val="Tablewriting"/>
              <w:rPr>
                <w:rFonts w:eastAsia="MS Mincho" w:cstheme="minorHAnsi"/>
              </w:rPr>
            </w:pPr>
            <w:r w:rsidRPr="0025076C">
              <w:rPr>
                <w:rFonts w:eastAsia="MS Mincho" w:cstheme="minorHAnsi"/>
                <w:u w:val="single"/>
              </w:rPr>
              <w:t>Exclusions</w:t>
            </w:r>
            <w:r w:rsidRPr="00017AE6">
              <w:rPr>
                <w:rFonts w:eastAsia="MS Mincho" w:cstheme="minorHAnsi"/>
              </w:rPr>
              <w:t>: Past or current diagnosis of schizophreniform or delusional disorders, all delirium, dementia, and other cognitive disorders, and all substance-induced disorders (other than nicotine)</w:t>
            </w:r>
          </w:p>
          <w:p w14:paraId="703D222F" w14:textId="77777777" w:rsidR="0006565D" w:rsidRPr="00017AE6" w:rsidRDefault="0006565D" w:rsidP="00A71365">
            <w:pPr>
              <w:pStyle w:val="Tablewriting"/>
              <w:rPr>
                <w:rFonts w:eastAsia="MS Mincho" w:cstheme="minorHAnsi"/>
              </w:rPr>
            </w:pPr>
          </w:p>
          <w:p w14:paraId="1F8D2C4C" w14:textId="745556F6" w:rsidR="00C3700A" w:rsidRPr="00017AE6" w:rsidRDefault="0006565D" w:rsidP="00A71365">
            <w:pPr>
              <w:pStyle w:val="Tablewriting"/>
              <w:rPr>
                <w:rFonts w:eastAsia="MS Mincho" w:cstheme="minorHAnsi"/>
              </w:rPr>
            </w:pPr>
            <w:r w:rsidRPr="00017AE6">
              <w:rPr>
                <w:rFonts w:eastAsia="MS Mincho" w:cstheme="minorHAnsi"/>
              </w:rPr>
              <w:t xml:space="preserve">In the psychiatric disorders group, 70% had primary affective disorders, 19% anxiety disorders, 9.5% psychotic disorders, 0.6% personality disorders, </w:t>
            </w:r>
            <w:r w:rsidRPr="00017AE6">
              <w:rPr>
                <w:rFonts w:eastAsia="MS Mincho" w:cstheme="minorHAnsi"/>
              </w:rPr>
              <w:lastRenderedPageBreak/>
              <w:t xml:space="preserve">and at least </w:t>
            </w:r>
            <w:r w:rsidRPr="00D91A75">
              <w:rPr>
                <w:rFonts w:eastAsia="MS Mincho" w:cstheme="minorHAnsi"/>
              </w:rPr>
              <w:t>⅓</w:t>
            </w:r>
            <w:r w:rsidRPr="00017AE6">
              <w:rPr>
                <w:rFonts w:eastAsia="MS Mincho" w:cstheme="minorHAnsi"/>
              </w:rPr>
              <w:t xml:space="preserve"> were taking psychotropic medications</w:t>
            </w:r>
            <w:r>
              <w:rPr>
                <w:rFonts w:eastAsia="MS Mincho" w:cstheme="minorHAnsi"/>
              </w:rPr>
              <w:t>.</w:t>
            </w:r>
          </w:p>
        </w:tc>
        <w:tc>
          <w:tcPr>
            <w:tcW w:w="1054" w:type="pct"/>
          </w:tcPr>
          <w:p w14:paraId="08F61F2B" w14:textId="77777777" w:rsidR="0006565D" w:rsidRPr="00017AE6" w:rsidRDefault="0006565D" w:rsidP="00C324F3">
            <w:pPr>
              <w:pStyle w:val="Tablewriting"/>
              <w:numPr>
                <w:ilvl w:val="0"/>
                <w:numId w:val="66"/>
              </w:numPr>
              <w:rPr>
                <w:rFonts w:eastAsia="MS Mincho" w:cstheme="minorHAnsi"/>
              </w:rPr>
            </w:pPr>
            <w:r w:rsidRPr="00017AE6">
              <w:rPr>
                <w:rFonts w:eastAsia="MS Mincho" w:cstheme="minorHAnsi"/>
              </w:rPr>
              <w:lastRenderedPageBreak/>
              <w:t>Varenicline, 1 mg x 2/day (1 w</w:t>
            </w:r>
            <w:r>
              <w:rPr>
                <w:rFonts w:eastAsia="MS Mincho" w:cstheme="minorHAnsi"/>
              </w:rPr>
              <w:t>ee</w:t>
            </w:r>
            <w:r w:rsidRPr="00017AE6">
              <w:rPr>
                <w:rFonts w:eastAsia="MS Mincho" w:cstheme="minorHAnsi"/>
              </w:rPr>
              <w:t>k titrated, then 11 weeks full dose)</w:t>
            </w:r>
          </w:p>
          <w:p w14:paraId="65167B94" w14:textId="77777777" w:rsidR="0006565D" w:rsidRPr="00017AE6" w:rsidRDefault="0006565D" w:rsidP="00C324F3">
            <w:pPr>
              <w:pStyle w:val="Tablewriting"/>
              <w:numPr>
                <w:ilvl w:val="0"/>
                <w:numId w:val="66"/>
              </w:numPr>
              <w:rPr>
                <w:rFonts w:eastAsia="MS Mincho" w:cstheme="minorHAnsi"/>
              </w:rPr>
            </w:pPr>
            <w:r w:rsidRPr="00017AE6">
              <w:rPr>
                <w:rFonts w:eastAsia="MS Mincho" w:cstheme="minorHAnsi"/>
              </w:rPr>
              <w:t>Bupropion SR, 150 mg x 2/day (titrated for 3 days, then full dose for 11 weeks)</w:t>
            </w:r>
          </w:p>
          <w:p w14:paraId="2A8FB721" w14:textId="77777777" w:rsidR="0006565D" w:rsidRPr="00017AE6" w:rsidRDefault="0006565D" w:rsidP="00C324F3">
            <w:pPr>
              <w:pStyle w:val="Tablewriting"/>
              <w:numPr>
                <w:ilvl w:val="0"/>
                <w:numId w:val="66"/>
              </w:numPr>
              <w:rPr>
                <w:rFonts w:eastAsia="MS Mincho" w:cstheme="minorHAnsi"/>
              </w:rPr>
            </w:pPr>
            <w:r w:rsidRPr="00017AE6">
              <w:rPr>
                <w:rFonts w:eastAsia="MS Mincho" w:cstheme="minorHAnsi"/>
              </w:rPr>
              <w:t>Nicotine patch, 21 mg x 7 weeks, 14 mg x 2 w</w:t>
            </w:r>
            <w:r>
              <w:rPr>
                <w:rFonts w:eastAsia="MS Mincho" w:cstheme="minorHAnsi"/>
              </w:rPr>
              <w:t>ee</w:t>
            </w:r>
            <w:r w:rsidRPr="00017AE6">
              <w:rPr>
                <w:rFonts w:eastAsia="MS Mincho" w:cstheme="minorHAnsi"/>
              </w:rPr>
              <w:t>ks, 7 mg x 2 weeks (11 weeks)</w:t>
            </w:r>
          </w:p>
          <w:p w14:paraId="66714913" w14:textId="77777777" w:rsidR="0006565D" w:rsidRPr="00017AE6" w:rsidRDefault="0006565D" w:rsidP="00C324F3">
            <w:pPr>
              <w:pStyle w:val="Tablewriting"/>
              <w:numPr>
                <w:ilvl w:val="0"/>
                <w:numId w:val="66"/>
              </w:numPr>
              <w:rPr>
                <w:rFonts w:eastAsia="MS Mincho" w:cstheme="minorHAnsi"/>
              </w:rPr>
            </w:pPr>
            <w:r w:rsidRPr="00017AE6">
              <w:rPr>
                <w:rFonts w:eastAsia="MS Mincho" w:cstheme="minorHAnsi"/>
              </w:rPr>
              <w:t>Triple-dummy placebo for each arm of the trial (12 weeks)</w:t>
            </w:r>
          </w:p>
          <w:p w14:paraId="230D40CF" w14:textId="77777777" w:rsidR="0006565D" w:rsidRDefault="0006565D" w:rsidP="00A71365">
            <w:pPr>
              <w:pStyle w:val="Tablewriting"/>
              <w:rPr>
                <w:rFonts w:eastAsia="MS Mincho" w:cstheme="minorHAnsi"/>
              </w:rPr>
            </w:pPr>
          </w:p>
          <w:p w14:paraId="4E7C160C" w14:textId="6154563D" w:rsidR="0006565D" w:rsidRPr="00017AE6" w:rsidRDefault="0006565D"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 xml:space="preserve">All participants received counselling (up to 10 mins) at all </w:t>
            </w:r>
            <w:r w:rsidR="00115AEE" w:rsidRPr="00017AE6">
              <w:rPr>
                <w:rFonts w:eastAsia="MS Mincho" w:cstheme="minorHAnsi"/>
              </w:rPr>
              <w:t>contacts and</w:t>
            </w:r>
            <w:r w:rsidRPr="00017AE6">
              <w:rPr>
                <w:rFonts w:eastAsia="MS Mincho" w:cstheme="minorHAnsi"/>
              </w:rPr>
              <w:t xml:space="preserve"> were encouraged to complete</w:t>
            </w:r>
            <w:r>
              <w:rPr>
                <w:rFonts w:eastAsia="MS Mincho" w:cstheme="minorHAnsi"/>
              </w:rPr>
              <w:t xml:space="preserve"> </w:t>
            </w:r>
            <w:r w:rsidRPr="00017AE6">
              <w:rPr>
                <w:rFonts w:eastAsia="MS Mincho" w:cstheme="minorHAnsi"/>
              </w:rPr>
              <w:t>all visits even if treatment was</w:t>
            </w:r>
            <w:r w:rsidR="006627D5">
              <w:rPr>
                <w:rFonts w:eastAsia="MS Mincho" w:cstheme="minorHAnsi"/>
              </w:rPr>
              <w:t xml:space="preserve"> </w:t>
            </w:r>
            <w:r w:rsidRPr="00017AE6">
              <w:rPr>
                <w:rFonts w:eastAsia="MS Mincho" w:cstheme="minorHAnsi"/>
              </w:rPr>
              <w:t>discontinued</w:t>
            </w:r>
            <w:r w:rsidR="006627D5">
              <w:rPr>
                <w:rFonts w:eastAsia="MS Mincho" w:cstheme="minorHAnsi"/>
              </w:rPr>
              <w:t>.</w:t>
            </w:r>
          </w:p>
          <w:p w14:paraId="05E91423" w14:textId="42E96B9E" w:rsidR="00C3700A" w:rsidRPr="00017AE6" w:rsidRDefault="0006565D" w:rsidP="00A71365">
            <w:pPr>
              <w:pStyle w:val="Tablewriting"/>
              <w:rPr>
                <w:rFonts w:eastAsia="MS Mincho" w:cstheme="minorHAnsi"/>
              </w:rPr>
            </w:pPr>
            <w:r w:rsidRPr="006627D5">
              <w:rPr>
                <w:rFonts w:eastAsia="MS Mincho" w:cstheme="minorHAnsi"/>
              </w:rPr>
              <w:t>Participants were monitored at weeks 1 - 6, 8, 12, 13, 16, 20, 24; contacts were up to 15 face-to-face visits and 11 telephone visits</w:t>
            </w:r>
            <w:r w:rsidR="00A938B9" w:rsidRPr="006627D5">
              <w:rPr>
                <w:rFonts w:eastAsia="MS Mincho" w:cstheme="minorHAnsi"/>
              </w:rPr>
              <w:t>.</w:t>
            </w:r>
          </w:p>
        </w:tc>
        <w:tc>
          <w:tcPr>
            <w:tcW w:w="959" w:type="pct"/>
          </w:tcPr>
          <w:p w14:paraId="3FA0E2D7" w14:textId="085BCB66" w:rsidR="00AA606C" w:rsidRPr="008145C0" w:rsidRDefault="00AA606C" w:rsidP="00A71365">
            <w:pPr>
              <w:pStyle w:val="Tablewriting"/>
              <w:rPr>
                <w:rFonts w:eastAsia="MS Mincho" w:cstheme="minorHAnsi"/>
              </w:rPr>
            </w:pPr>
            <w:r w:rsidRPr="006045D3">
              <w:rPr>
                <w:rFonts w:eastAsia="MS Mincho" w:cstheme="minorHAnsi"/>
                <w:u w:val="single"/>
              </w:rPr>
              <w:t xml:space="preserve">Efficacy: </w:t>
            </w:r>
            <w:r w:rsidR="005A4CA6">
              <w:rPr>
                <w:rFonts w:eastAsia="MS Mincho" w:cstheme="minorHAnsi"/>
              </w:rPr>
              <w:t>continuous</w:t>
            </w:r>
            <w:r w:rsidRPr="00017AE6">
              <w:rPr>
                <w:rFonts w:eastAsia="MS Mincho" w:cstheme="minorHAnsi"/>
              </w:rPr>
              <w:t xml:space="preserve"> abstinence confirmed by CO &lt; 10 ppm at w</w:t>
            </w:r>
            <w:r>
              <w:rPr>
                <w:rFonts w:eastAsia="MS Mincho" w:cstheme="minorHAnsi"/>
              </w:rPr>
              <w:t>ee</w:t>
            </w:r>
            <w:r w:rsidRPr="00017AE6">
              <w:rPr>
                <w:rFonts w:eastAsia="MS Mincho" w:cstheme="minorHAnsi"/>
              </w:rPr>
              <w:t>ks 9 - 12, and 15-w</w:t>
            </w:r>
            <w:r w:rsidR="00F41740">
              <w:rPr>
                <w:rFonts w:eastAsia="MS Mincho" w:cstheme="minorHAnsi"/>
              </w:rPr>
              <w:t>ee</w:t>
            </w:r>
            <w:r w:rsidRPr="00017AE6">
              <w:rPr>
                <w:rFonts w:eastAsia="MS Mincho" w:cstheme="minorHAnsi"/>
              </w:rPr>
              <w:t xml:space="preserve">k abstinence at weeks 9 </w:t>
            </w:r>
            <w:r>
              <w:rPr>
                <w:rFonts w:eastAsia="MS Mincho" w:cstheme="minorHAnsi"/>
              </w:rPr>
              <w:t>–</w:t>
            </w:r>
            <w:r w:rsidRPr="00017AE6">
              <w:rPr>
                <w:rFonts w:eastAsia="MS Mincho" w:cstheme="minorHAnsi"/>
              </w:rPr>
              <w:t xml:space="preserve"> 24</w:t>
            </w:r>
            <w:r>
              <w:rPr>
                <w:rFonts w:eastAsia="MS Mincho" w:cstheme="minorHAnsi"/>
              </w:rPr>
              <w:t xml:space="preserve">. </w:t>
            </w:r>
          </w:p>
          <w:p w14:paraId="1A2B34B7" w14:textId="77777777" w:rsidR="00AA606C" w:rsidRDefault="00AA606C" w:rsidP="00A71365">
            <w:pPr>
              <w:pStyle w:val="Tablewriting"/>
              <w:rPr>
                <w:rFonts w:eastAsia="MS Mincho" w:cstheme="minorHAnsi"/>
                <w:u w:val="single"/>
              </w:rPr>
            </w:pPr>
          </w:p>
          <w:p w14:paraId="59B642DA" w14:textId="76DC30DA" w:rsidR="00C3700A" w:rsidRPr="00017AE6" w:rsidRDefault="00AA606C" w:rsidP="00A71365">
            <w:pPr>
              <w:pStyle w:val="Tablewriting"/>
              <w:rPr>
                <w:rFonts w:eastAsia="MS Mincho" w:cstheme="minorHAnsi"/>
              </w:rPr>
            </w:pPr>
            <w:r>
              <w:rPr>
                <w:rFonts w:eastAsia="MS Mincho" w:cstheme="minorHAnsi"/>
                <w:u w:val="single"/>
              </w:rPr>
              <w:t>Safety: at</w:t>
            </w:r>
            <w:r w:rsidRPr="00017AE6">
              <w:rPr>
                <w:rFonts w:eastAsia="MS Mincho" w:cstheme="minorHAnsi"/>
              </w:rPr>
              <w:t xml:space="preserve"> least 1 SAE of anxiety depression, feeling abnormal, or hostility, and/or moderate or severe AE of agitation,</w:t>
            </w:r>
            <w:r>
              <w:rPr>
                <w:rFonts w:eastAsia="MS Mincho" w:cstheme="minorHAnsi"/>
              </w:rPr>
              <w:t xml:space="preserve"> </w:t>
            </w:r>
            <w:r w:rsidRPr="00017AE6">
              <w:rPr>
                <w:rFonts w:eastAsia="MS Mincho" w:cstheme="minorHAnsi"/>
              </w:rPr>
              <w:t>aggression, delusions, hallucinations, homicidal ideation, mania, panic paranoia, psychosis, suicidal</w:t>
            </w:r>
            <w:r>
              <w:rPr>
                <w:rFonts w:eastAsia="MS Mincho" w:cstheme="minorHAnsi"/>
              </w:rPr>
              <w:t xml:space="preserve"> </w:t>
            </w:r>
            <w:r w:rsidRPr="00017AE6">
              <w:rPr>
                <w:rFonts w:eastAsia="MS Mincho" w:cstheme="minorHAnsi"/>
              </w:rPr>
              <w:t>ideation/behaviour/completed</w:t>
            </w:r>
            <w:r>
              <w:rPr>
                <w:rFonts w:eastAsia="MS Mincho" w:cstheme="minorHAnsi"/>
              </w:rPr>
              <w:t xml:space="preserve">. </w:t>
            </w:r>
          </w:p>
        </w:tc>
      </w:tr>
      <w:tr w:rsidR="00C3700A" w:rsidRPr="00017AE6" w14:paraId="552320BD" w14:textId="77777777" w:rsidTr="005821B1">
        <w:trPr>
          <w:trHeight w:val="99"/>
        </w:trPr>
        <w:tc>
          <w:tcPr>
            <w:tcW w:w="411" w:type="pct"/>
          </w:tcPr>
          <w:p w14:paraId="14D684D4" w14:textId="761CD732" w:rsidR="00C3700A" w:rsidRPr="00017AE6" w:rsidRDefault="001B799D" w:rsidP="00A71365">
            <w:pPr>
              <w:pStyle w:val="Tablewriting"/>
              <w:rPr>
                <w:rFonts w:eastAsia="MS Mincho" w:cstheme="minorHAnsi"/>
              </w:rPr>
            </w:pPr>
            <w:r w:rsidRPr="001B799D">
              <w:rPr>
                <w:rFonts w:eastAsia="MS Mincho" w:cstheme="minorHAnsi"/>
              </w:rPr>
              <w:t xml:space="preserve">Heydari </w:t>
            </w:r>
            <w:r w:rsidR="002F52B3">
              <w:rPr>
                <w:rFonts w:eastAsia="MS Mincho" w:cstheme="minorHAnsi"/>
              </w:rPr>
              <w:t>(</w:t>
            </w:r>
            <w:r w:rsidRPr="001B799D">
              <w:rPr>
                <w:rFonts w:eastAsia="MS Mincho" w:cstheme="minorHAnsi"/>
              </w:rPr>
              <w:t>2012</w:t>
            </w:r>
            <w:r w:rsidR="002F52B3">
              <w:rPr>
                <w:rFonts w:eastAsia="MS Mincho" w:cstheme="minorHAnsi"/>
              </w:rPr>
              <w:t>)</w:t>
            </w:r>
          </w:p>
        </w:tc>
        <w:tc>
          <w:tcPr>
            <w:tcW w:w="235" w:type="pct"/>
          </w:tcPr>
          <w:p w14:paraId="04B27124" w14:textId="4B789E9C" w:rsidR="00C3700A" w:rsidRPr="00017AE6" w:rsidRDefault="002F52B3" w:rsidP="00A71365">
            <w:pPr>
              <w:pStyle w:val="Tablewriting"/>
              <w:rPr>
                <w:rFonts w:eastAsia="MS Mincho" w:cstheme="minorHAnsi"/>
              </w:rPr>
            </w:pPr>
            <w:r w:rsidRPr="00017AE6">
              <w:rPr>
                <w:rFonts w:eastAsia="MS Mincho" w:cstheme="minorHAnsi"/>
              </w:rPr>
              <w:t>RCT</w:t>
            </w:r>
          </w:p>
        </w:tc>
        <w:tc>
          <w:tcPr>
            <w:tcW w:w="431" w:type="pct"/>
          </w:tcPr>
          <w:p w14:paraId="4CAB276D" w14:textId="6D69B3D7" w:rsidR="00C3700A" w:rsidRPr="00017AE6" w:rsidRDefault="002F52B3" w:rsidP="00A71365">
            <w:pPr>
              <w:pStyle w:val="Tablewriting"/>
              <w:rPr>
                <w:rFonts w:eastAsia="MS Mincho" w:cstheme="minorHAnsi"/>
              </w:rPr>
            </w:pPr>
            <w:r w:rsidRPr="00017AE6">
              <w:rPr>
                <w:rFonts w:eastAsia="MS Mincho" w:cstheme="minorHAnsi"/>
              </w:rPr>
              <w:t>Iran</w:t>
            </w:r>
          </w:p>
        </w:tc>
        <w:tc>
          <w:tcPr>
            <w:tcW w:w="679" w:type="pct"/>
          </w:tcPr>
          <w:p w14:paraId="2CF80286" w14:textId="77777777" w:rsidR="002F52B3" w:rsidRDefault="002F52B3" w:rsidP="00A71365">
            <w:pPr>
              <w:pStyle w:val="Tablewriting"/>
              <w:rPr>
                <w:rFonts w:eastAsia="MS Mincho" w:cstheme="minorHAnsi"/>
              </w:rPr>
            </w:pPr>
            <w:r w:rsidRPr="00017AE6">
              <w:rPr>
                <w:rFonts w:eastAsia="MS Mincho" w:cstheme="minorHAnsi"/>
              </w:rPr>
              <w:t>N=272</w:t>
            </w:r>
            <w:r>
              <w:rPr>
                <w:rFonts w:eastAsia="MS Mincho" w:cstheme="minorHAnsi"/>
              </w:rPr>
              <w:t xml:space="preserve">; </w:t>
            </w:r>
          </w:p>
          <w:p w14:paraId="5D146706" w14:textId="41858A79" w:rsidR="00C3700A" w:rsidRPr="00017AE6" w:rsidRDefault="002F52B3" w:rsidP="00A71365">
            <w:pPr>
              <w:pStyle w:val="Tablewriting"/>
              <w:rPr>
                <w:rFonts w:eastAsia="MS Mincho" w:cstheme="minorHAnsi"/>
              </w:rPr>
            </w:pPr>
            <w:r>
              <w:rPr>
                <w:rFonts w:eastAsia="MS Mincho" w:cstheme="minorHAnsi"/>
              </w:rPr>
              <w:t>n=91 (b</w:t>
            </w:r>
            <w:r w:rsidRPr="00017AE6">
              <w:rPr>
                <w:rFonts w:eastAsia="MS Mincho" w:cstheme="minorHAnsi"/>
              </w:rPr>
              <w:t>rief advice</w:t>
            </w:r>
            <w:r>
              <w:rPr>
                <w:rFonts w:eastAsia="MS Mincho" w:cstheme="minorHAnsi"/>
              </w:rPr>
              <w:t>)</w:t>
            </w:r>
            <w:r w:rsidRPr="00017AE6">
              <w:rPr>
                <w:rFonts w:eastAsia="MS Mincho" w:cstheme="minorHAnsi"/>
              </w:rPr>
              <w:t xml:space="preserve">, </w:t>
            </w:r>
            <w:r>
              <w:rPr>
                <w:rFonts w:eastAsia="MS Mincho" w:cstheme="minorHAnsi"/>
              </w:rPr>
              <w:t>n=92 (</w:t>
            </w:r>
            <w:r w:rsidRPr="00017AE6">
              <w:rPr>
                <w:rFonts w:eastAsia="MS Mincho" w:cstheme="minorHAnsi"/>
              </w:rPr>
              <w:t xml:space="preserve">NRT), </w:t>
            </w:r>
            <w:r>
              <w:rPr>
                <w:rFonts w:eastAsia="MS Mincho" w:cstheme="minorHAnsi"/>
              </w:rPr>
              <w:t>n=89 (</w:t>
            </w:r>
            <w:r w:rsidRPr="00017AE6">
              <w:rPr>
                <w:rFonts w:eastAsia="MS Mincho" w:cstheme="minorHAnsi"/>
              </w:rPr>
              <w:t>varenicline).</w:t>
            </w:r>
          </w:p>
        </w:tc>
        <w:tc>
          <w:tcPr>
            <w:tcW w:w="1232" w:type="pct"/>
          </w:tcPr>
          <w:p w14:paraId="72C136A1" w14:textId="3B1E1BD9" w:rsidR="00C3700A" w:rsidRPr="00017AE6" w:rsidRDefault="002F52B3" w:rsidP="00A71365">
            <w:pPr>
              <w:pStyle w:val="Tablewriting"/>
              <w:rPr>
                <w:rFonts w:eastAsia="MS Mincho" w:cstheme="minorHAnsi"/>
              </w:rPr>
            </w:pPr>
            <w:r>
              <w:rPr>
                <w:rFonts w:eastAsia="MS Mincho" w:cstheme="minorHAnsi"/>
              </w:rPr>
              <w:t>T</w:t>
            </w:r>
            <w:r w:rsidRPr="00017AE6">
              <w:rPr>
                <w:rFonts w:eastAsia="MS Mincho" w:cstheme="minorHAnsi"/>
              </w:rPr>
              <w:t>reatment-seeking participants</w:t>
            </w:r>
            <w:r>
              <w:rPr>
                <w:rFonts w:eastAsia="MS Mincho" w:cstheme="minorHAnsi"/>
              </w:rPr>
              <w:t>;</w:t>
            </w:r>
            <w:r w:rsidRPr="00017AE6">
              <w:rPr>
                <w:rFonts w:eastAsia="MS Mincho" w:cstheme="minorHAnsi"/>
              </w:rPr>
              <w:t xml:space="preserve"> 41.2% women, mean age 42.5 y</w:t>
            </w:r>
            <w:r>
              <w:rPr>
                <w:rFonts w:eastAsia="MS Mincho" w:cstheme="minorHAnsi"/>
              </w:rPr>
              <w:t>ea</w:t>
            </w:r>
            <w:r w:rsidRPr="00017AE6">
              <w:rPr>
                <w:rFonts w:eastAsia="MS Mincho" w:cstheme="minorHAnsi"/>
              </w:rPr>
              <w:t>rs, mean FTND 5.5</w:t>
            </w:r>
            <w:r>
              <w:rPr>
                <w:rFonts w:eastAsia="MS Mincho" w:cstheme="minorHAnsi"/>
              </w:rPr>
              <w:t>.</w:t>
            </w:r>
          </w:p>
        </w:tc>
        <w:tc>
          <w:tcPr>
            <w:tcW w:w="1054" w:type="pct"/>
          </w:tcPr>
          <w:p w14:paraId="0D1F3026" w14:textId="77777777" w:rsidR="002F52B3" w:rsidRDefault="002F52B3" w:rsidP="00C324F3">
            <w:pPr>
              <w:pStyle w:val="Tablewriting"/>
              <w:numPr>
                <w:ilvl w:val="0"/>
                <w:numId w:val="71"/>
              </w:numPr>
              <w:rPr>
                <w:rFonts w:eastAsia="MS Mincho" w:cstheme="minorHAnsi"/>
              </w:rPr>
            </w:pPr>
            <w:r w:rsidRPr="00017AE6">
              <w:rPr>
                <w:rFonts w:eastAsia="MS Mincho" w:cstheme="minorHAnsi"/>
              </w:rPr>
              <w:t>Control group</w:t>
            </w:r>
            <w:r>
              <w:rPr>
                <w:rFonts w:eastAsia="MS Mincho" w:cstheme="minorHAnsi"/>
              </w:rPr>
              <w:t>;</w:t>
            </w:r>
            <w:r w:rsidRPr="00017AE6">
              <w:rPr>
                <w:rFonts w:eastAsia="MS Mincho" w:cstheme="minorHAnsi"/>
              </w:rPr>
              <w:t xml:space="preserve"> no pharmacotherapy</w:t>
            </w:r>
          </w:p>
          <w:p w14:paraId="0086CCE5" w14:textId="77777777" w:rsidR="002F52B3" w:rsidRDefault="002F52B3" w:rsidP="00C324F3">
            <w:pPr>
              <w:pStyle w:val="Tablewriting"/>
              <w:numPr>
                <w:ilvl w:val="0"/>
                <w:numId w:val="71"/>
              </w:numPr>
              <w:rPr>
                <w:rFonts w:eastAsia="MS Mincho" w:cstheme="minorHAnsi"/>
              </w:rPr>
            </w:pPr>
            <w:r w:rsidRPr="006B02DA">
              <w:rPr>
                <w:rFonts w:eastAsia="MS Mincho" w:cstheme="minorHAnsi"/>
              </w:rPr>
              <w:t>NRT</w:t>
            </w:r>
            <w:r>
              <w:rPr>
                <w:rFonts w:eastAsia="MS Mincho" w:cstheme="minorHAnsi"/>
              </w:rPr>
              <w:t xml:space="preserve">; </w:t>
            </w:r>
            <w:r w:rsidRPr="006B02DA">
              <w:rPr>
                <w:rFonts w:eastAsia="MS Mincho" w:cstheme="minorHAnsi"/>
              </w:rPr>
              <w:t>8 w</w:t>
            </w:r>
            <w:r>
              <w:rPr>
                <w:rFonts w:eastAsia="MS Mincho" w:cstheme="minorHAnsi"/>
              </w:rPr>
              <w:t>ee</w:t>
            </w:r>
            <w:r w:rsidRPr="006B02DA">
              <w:rPr>
                <w:rFonts w:eastAsia="MS Mincho" w:cstheme="minorHAnsi"/>
              </w:rPr>
              <w:t>ks of 15 mg NRT patches</w:t>
            </w:r>
          </w:p>
          <w:p w14:paraId="4E6F0B50" w14:textId="77777777" w:rsidR="002F52B3" w:rsidRPr="008D3F54" w:rsidRDefault="002F52B3" w:rsidP="00C324F3">
            <w:pPr>
              <w:pStyle w:val="Tablewriting"/>
              <w:numPr>
                <w:ilvl w:val="0"/>
                <w:numId w:val="71"/>
              </w:numPr>
              <w:rPr>
                <w:rFonts w:eastAsia="MS Mincho" w:cstheme="minorHAnsi"/>
              </w:rPr>
            </w:pPr>
            <w:r>
              <w:rPr>
                <w:rFonts w:eastAsia="MS Mincho" w:cstheme="minorHAnsi"/>
              </w:rPr>
              <w:t xml:space="preserve">Varenicline; </w:t>
            </w:r>
            <w:r w:rsidRPr="008D3F54">
              <w:rPr>
                <w:rFonts w:eastAsia="MS Mincho" w:cstheme="minorHAnsi"/>
              </w:rPr>
              <w:t>8 w</w:t>
            </w:r>
            <w:r>
              <w:rPr>
                <w:rFonts w:eastAsia="MS Mincho" w:cstheme="minorHAnsi"/>
              </w:rPr>
              <w:t>ee</w:t>
            </w:r>
            <w:r w:rsidRPr="008D3F54">
              <w:rPr>
                <w:rFonts w:eastAsia="MS Mincho" w:cstheme="minorHAnsi"/>
              </w:rPr>
              <w:t>ks of 1 mg x 2/day varenicline (titrated 1st w</w:t>
            </w:r>
            <w:r>
              <w:rPr>
                <w:rFonts w:eastAsia="MS Mincho" w:cstheme="minorHAnsi"/>
              </w:rPr>
              <w:t>ee</w:t>
            </w:r>
            <w:r w:rsidRPr="008D3F54">
              <w:rPr>
                <w:rFonts w:eastAsia="MS Mincho" w:cstheme="minorHAnsi"/>
              </w:rPr>
              <w:t>k)</w:t>
            </w:r>
          </w:p>
          <w:p w14:paraId="1511D6A8" w14:textId="77777777" w:rsidR="002F52B3" w:rsidRDefault="002F52B3" w:rsidP="00A71365">
            <w:pPr>
              <w:pStyle w:val="Tablewriting"/>
              <w:rPr>
                <w:rFonts w:eastAsia="MS Mincho" w:cstheme="minorHAnsi"/>
              </w:rPr>
            </w:pPr>
          </w:p>
          <w:p w14:paraId="68649AC2" w14:textId="77777777" w:rsidR="002F52B3" w:rsidRPr="00017AE6" w:rsidRDefault="002F52B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All participants were managed by the same physician. All received brief (5 mins) education and counselling</w:t>
            </w:r>
          </w:p>
          <w:p w14:paraId="7959BC71" w14:textId="7691F95D" w:rsidR="00C3700A" w:rsidRPr="00017AE6" w:rsidRDefault="002F52B3" w:rsidP="00A71365">
            <w:pPr>
              <w:pStyle w:val="Tablewriting"/>
              <w:rPr>
                <w:rFonts w:eastAsia="MS Mincho" w:cstheme="minorHAnsi"/>
              </w:rPr>
            </w:pPr>
            <w:r w:rsidRPr="00017AE6">
              <w:rPr>
                <w:rFonts w:eastAsia="MS Mincho" w:cstheme="minorHAnsi"/>
              </w:rPr>
              <w:t>at 4 x weekly sessions. TQD was day 14</w:t>
            </w:r>
            <w:r>
              <w:rPr>
                <w:rFonts w:eastAsia="MS Mincho" w:cstheme="minorHAnsi"/>
              </w:rPr>
              <w:t>.</w:t>
            </w:r>
          </w:p>
        </w:tc>
        <w:tc>
          <w:tcPr>
            <w:tcW w:w="959" w:type="pct"/>
          </w:tcPr>
          <w:p w14:paraId="4C18D440" w14:textId="1C64431D" w:rsidR="006C01A1" w:rsidRPr="006C01A1" w:rsidRDefault="002F52B3" w:rsidP="00A71365">
            <w:pPr>
              <w:pStyle w:val="Tablewriting"/>
              <w:rPr>
                <w:rFonts w:eastAsia="MS Mincho" w:cstheme="minorHAnsi"/>
              </w:rPr>
            </w:pPr>
            <w:r w:rsidRPr="0022200A">
              <w:rPr>
                <w:rFonts w:eastAsia="MS Mincho" w:cstheme="minorHAnsi"/>
                <w:u w:val="single"/>
              </w:rPr>
              <w:t>Efficacy:</w:t>
            </w:r>
            <w:r>
              <w:rPr>
                <w:rFonts w:eastAsia="MS Mincho" w:cstheme="minorHAnsi"/>
              </w:rPr>
              <w:t xml:space="preserve"> </w:t>
            </w:r>
            <w:r w:rsidRPr="00017AE6">
              <w:rPr>
                <w:rFonts w:eastAsia="MS Mincho" w:cstheme="minorHAnsi"/>
              </w:rPr>
              <w:t xml:space="preserve">Abstinence at 6 and </w:t>
            </w:r>
            <w:r>
              <w:rPr>
                <w:rFonts w:eastAsia="MS Mincho" w:cstheme="minorHAnsi"/>
              </w:rPr>
              <w:t xml:space="preserve">12 </w:t>
            </w:r>
            <w:r w:rsidRPr="00017AE6">
              <w:rPr>
                <w:rFonts w:eastAsia="MS Mincho" w:cstheme="minorHAnsi"/>
              </w:rPr>
              <w:t>m</w:t>
            </w:r>
            <w:r>
              <w:rPr>
                <w:rFonts w:eastAsia="MS Mincho" w:cstheme="minorHAnsi"/>
              </w:rPr>
              <w:t>onths.</w:t>
            </w:r>
          </w:p>
          <w:p w14:paraId="769A25CD" w14:textId="77777777" w:rsidR="008C11B5" w:rsidRDefault="008C11B5" w:rsidP="00A71365">
            <w:pPr>
              <w:pStyle w:val="Tablewriting"/>
              <w:rPr>
                <w:rFonts w:eastAsia="MS Mincho" w:cstheme="minorHAnsi"/>
              </w:rPr>
            </w:pPr>
          </w:p>
          <w:p w14:paraId="7D981A50" w14:textId="36F52BB2" w:rsidR="008C11B5" w:rsidRDefault="008C11B5" w:rsidP="00A71365">
            <w:pPr>
              <w:pStyle w:val="Tablewriting"/>
              <w:rPr>
                <w:rFonts w:eastAsia="MS Mincho" w:cstheme="minorHAnsi"/>
              </w:rPr>
            </w:pPr>
            <w:r w:rsidRPr="0001662B">
              <w:rPr>
                <w:rFonts w:eastAsia="MS Mincho" w:cstheme="minorHAnsi"/>
              </w:rPr>
              <w:t>Validation:</w:t>
            </w:r>
            <w:r w:rsidRPr="00017AE6">
              <w:rPr>
                <w:rFonts w:eastAsia="MS Mincho" w:cstheme="minorHAnsi"/>
              </w:rPr>
              <w:t xml:space="preserve"> CO (cut-o</w:t>
            </w:r>
            <w:r>
              <w:rPr>
                <w:rFonts w:eastAsia="MS Mincho" w:cstheme="minorHAnsi"/>
              </w:rPr>
              <w:t>ff</w:t>
            </w:r>
            <w:r w:rsidRPr="00017AE6">
              <w:rPr>
                <w:rFonts w:eastAsia="MS Mincho" w:cstheme="minorHAnsi"/>
              </w:rPr>
              <w:t xml:space="preserve"> value not given)</w:t>
            </w:r>
            <w:r>
              <w:rPr>
                <w:rFonts w:eastAsia="MS Mincho" w:cstheme="minorHAnsi"/>
              </w:rPr>
              <w:t>.</w:t>
            </w:r>
          </w:p>
          <w:p w14:paraId="6F9383EC" w14:textId="77777777" w:rsidR="00217E87" w:rsidRDefault="00217E87" w:rsidP="00A71365">
            <w:pPr>
              <w:pStyle w:val="Tablewriting"/>
              <w:rPr>
                <w:rFonts w:eastAsia="MS Mincho" w:cstheme="minorHAnsi"/>
                <w:u w:val="single"/>
              </w:rPr>
            </w:pPr>
          </w:p>
          <w:p w14:paraId="0938EB6D" w14:textId="77777777" w:rsidR="002F52B3" w:rsidRDefault="000C12CB" w:rsidP="00A71365">
            <w:pPr>
              <w:pStyle w:val="Tablewriting"/>
              <w:rPr>
                <w:rFonts w:eastAsia="MS Mincho" w:cstheme="minorHAnsi"/>
                <w:u w:val="single"/>
              </w:rPr>
            </w:pPr>
            <w:r w:rsidRPr="00636300">
              <w:rPr>
                <w:rFonts w:eastAsia="MS Mincho" w:cstheme="minorHAnsi"/>
                <w:u w:val="single"/>
              </w:rPr>
              <w:t>Safety:</w:t>
            </w:r>
            <w:r w:rsidR="002F52B3">
              <w:rPr>
                <w:rFonts w:eastAsia="MS Mincho" w:cstheme="minorHAnsi"/>
                <w:u w:val="single"/>
              </w:rPr>
              <w:t xml:space="preserve"> NR</w:t>
            </w:r>
          </w:p>
          <w:p w14:paraId="67AC5D48" w14:textId="77777777" w:rsidR="002F52B3" w:rsidRDefault="002F52B3" w:rsidP="00A71365">
            <w:pPr>
              <w:pStyle w:val="Tablewriting"/>
              <w:rPr>
                <w:rFonts w:eastAsia="MS Mincho" w:cstheme="minorHAnsi"/>
              </w:rPr>
            </w:pPr>
          </w:p>
          <w:p w14:paraId="5A838532" w14:textId="77777777" w:rsidR="002F52B3" w:rsidRDefault="002F52B3" w:rsidP="00A71365">
            <w:pPr>
              <w:pStyle w:val="Tablewriting"/>
              <w:rPr>
                <w:rFonts w:eastAsia="MS Mincho" w:cstheme="minorHAnsi"/>
              </w:rPr>
            </w:pPr>
          </w:p>
          <w:p w14:paraId="029F21EE" w14:textId="533D8549" w:rsidR="00C3700A" w:rsidRPr="00017AE6" w:rsidRDefault="00C3700A" w:rsidP="00A71365">
            <w:pPr>
              <w:pStyle w:val="Tablewriting"/>
              <w:rPr>
                <w:rFonts w:eastAsia="MS Mincho" w:cstheme="minorHAnsi"/>
              </w:rPr>
            </w:pPr>
          </w:p>
        </w:tc>
      </w:tr>
      <w:tr w:rsidR="00C3700A" w:rsidRPr="00017AE6" w14:paraId="19733673" w14:textId="77777777" w:rsidTr="005821B1">
        <w:trPr>
          <w:trHeight w:val="99"/>
        </w:trPr>
        <w:tc>
          <w:tcPr>
            <w:tcW w:w="411" w:type="pct"/>
          </w:tcPr>
          <w:p w14:paraId="3FABC83B" w14:textId="690AF54A" w:rsidR="00C3700A" w:rsidRPr="00017AE6" w:rsidRDefault="001B799D" w:rsidP="00A71365">
            <w:pPr>
              <w:pStyle w:val="Tablewriting"/>
              <w:rPr>
                <w:rFonts w:eastAsia="MS Mincho" w:cstheme="minorHAnsi"/>
              </w:rPr>
            </w:pPr>
            <w:r w:rsidRPr="001B799D">
              <w:rPr>
                <w:rFonts w:eastAsia="MS Mincho" w:cstheme="minorHAnsi"/>
              </w:rPr>
              <w:t xml:space="preserve">Rose </w:t>
            </w:r>
            <w:r w:rsidR="00FA40D7">
              <w:rPr>
                <w:rFonts w:eastAsia="MS Mincho" w:cstheme="minorHAnsi"/>
              </w:rPr>
              <w:t>(</w:t>
            </w:r>
            <w:r w:rsidRPr="001B799D">
              <w:rPr>
                <w:rFonts w:eastAsia="MS Mincho" w:cstheme="minorHAnsi"/>
              </w:rPr>
              <w:t>2013</w:t>
            </w:r>
            <w:r w:rsidR="00FA40D7">
              <w:rPr>
                <w:rFonts w:eastAsia="MS Mincho" w:cstheme="minorHAnsi"/>
              </w:rPr>
              <w:t>)</w:t>
            </w:r>
          </w:p>
        </w:tc>
        <w:tc>
          <w:tcPr>
            <w:tcW w:w="235" w:type="pct"/>
          </w:tcPr>
          <w:p w14:paraId="3C2D438B" w14:textId="7CAA3D4F" w:rsidR="00C3700A" w:rsidRPr="00017AE6" w:rsidRDefault="00C62D0C" w:rsidP="00A71365">
            <w:pPr>
              <w:pStyle w:val="Tablewriting"/>
              <w:rPr>
                <w:rFonts w:eastAsia="MS Mincho" w:cstheme="minorHAnsi"/>
              </w:rPr>
            </w:pPr>
            <w:r>
              <w:rPr>
                <w:rFonts w:eastAsia="MS Mincho" w:cstheme="minorHAnsi"/>
              </w:rPr>
              <w:t>RCT</w:t>
            </w:r>
          </w:p>
        </w:tc>
        <w:tc>
          <w:tcPr>
            <w:tcW w:w="431" w:type="pct"/>
          </w:tcPr>
          <w:p w14:paraId="2F85099B" w14:textId="07E79355" w:rsidR="00C3700A" w:rsidRPr="00017AE6" w:rsidRDefault="00C62D0C" w:rsidP="00A71365">
            <w:pPr>
              <w:pStyle w:val="Tablewriting"/>
              <w:rPr>
                <w:rFonts w:eastAsia="MS Mincho" w:cstheme="minorHAnsi"/>
              </w:rPr>
            </w:pPr>
            <w:r>
              <w:rPr>
                <w:rFonts w:eastAsia="MS Mincho" w:cstheme="minorHAnsi"/>
              </w:rPr>
              <w:t>USA</w:t>
            </w:r>
          </w:p>
        </w:tc>
        <w:tc>
          <w:tcPr>
            <w:tcW w:w="679" w:type="pct"/>
          </w:tcPr>
          <w:p w14:paraId="1DCE5E8B" w14:textId="5B08888A" w:rsidR="00C3700A" w:rsidRPr="00017AE6" w:rsidRDefault="004E5635" w:rsidP="00A71365">
            <w:pPr>
              <w:pStyle w:val="Tablewriting"/>
              <w:rPr>
                <w:rFonts w:eastAsia="MS Mincho" w:cstheme="minorHAnsi"/>
              </w:rPr>
            </w:pPr>
            <w:r w:rsidRPr="00C45B56">
              <w:rPr>
                <w:rFonts w:eastAsia="MS Mincho" w:cstheme="minorHAnsi"/>
              </w:rPr>
              <w:t>N=</w:t>
            </w:r>
            <w:r w:rsidR="00C62D0C">
              <w:rPr>
                <w:rFonts w:eastAsia="MS Mincho" w:cstheme="minorHAnsi"/>
              </w:rPr>
              <w:t>606</w:t>
            </w:r>
          </w:p>
        </w:tc>
        <w:tc>
          <w:tcPr>
            <w:tcW w:w="1232" w:type="pct"/>
          </w:tcPr>
          <w:p w14:paraId="58BFEA72" w14:textId="32FDABA5" w:rsidR="00526360" w:rsidRPr="00526360" w:rsidRDefault="00C62D0C" w:rsidP="00A71365">
            <w:pPr>
              <w:pStyle w:val="Tablewriting"/>
              <w:rPr>
                <w:rFonts w:eastAsia="MS Mincho" w:cstheme="minorHAnsi"/>
              </w:rPr>
            </w:pPr>
            <w:r>
              <w:rPr>
                <w:rFonts w:eastAsia="MS Mincho" w:cstheme="minorHAnsi"/>
              </w:rPr>
              <w:t>A</w:t>
            </w:r>
            <w:r w:rsidR="00526360" w:rsidRPr="00526360">
              <w:rPr>
                <w:rFonts w:eastAsia="MS Mincho" w:cstheme="minorHAnsi"/>
              </w:rPr>
              <w:t>dult smokers, motivated to quit, aged 18 - 65, mean CPD 10+ for 3 y</w:t>
            </w:r>
            <w:r>
              <w:rPr>
                <w:rFonts w:eastAsia="MS Mincho" w:cstheme="minorHAnsi"/>
              </w:rPr>
              <w:t>ea</w:t>
            </w:r>
            <w:r w:rsidR="00526360" w:rsidRPr="00526360">
              <w:rPr>
                <w:rFonts w:eastAsia="MS Mincho" w:cstheme="minorHAnsi"/>
              </w:rPr>
              <w:t>rs, expired CO level 10+ ppm.</w:t>
            </w:r>
          </w:p>
          <w:p w14:paraId="110DCF2B" w14:textId="2596DBD3" w:rsidR="00C3700A" w:rsidRPr="00017AE6" w:rsidRDefault="00526360" w:rsidP="00A71365">
            <w:pPr>
              <w:pStyle w:val="Tablewriting"/>
              <w:rPr>
                <w:rFonts w:eastAsia="MS Mincho" w:cstheme="minorHAnsi"/>
              </w:rPr>
            </w:pPr>
            <w:r w:rsidRPr="00526360">
              <w:rPr>
                <w:rFonts w:eastAsia="MS Mincho" w:cstheme="minorHAnsi"/>
              </w:rPr>
              <w:t>46% women, 63% white, mean CPD 21.7, mean FTND 5.8. Participants could receive up to USD 320 for</w:t>
            </w:r>
            <w:r w:rsidR="00C62D0C">
              <w:rPr>
                <w:rFonts w:eastAsia="MS Mincho" w:cstheme="minorHAnsi"/>
              </w:rPr>
              <w:t xml:space="preserve"> </w:t>
            </w:r>
            <w:r w:rsidRPr="00526360">
              <w:rPr>
                <w:rFonts w:eastAsia="MS Mincho" w:cstheme="minorHAnsi"/>
              </w:rPr>
              <w:t>study</w:t>
            </w:r>
            <w:r w:rsidR="00C62D0C">
              <w:rPr>
                <w:rFonts w:eastAsia="MS Mincho" w:cstheme="minorHAnsi"/>
              </w:rPr>
              <w:t xml:space="preserve"> </w:t>
            </w:r>
            <w:r w:rsidRPr="00526360">
              <w:rPr>
                <w:rFonts w:eastAsia="MS Mincho" w:cstheme="minorHAnsi"/>
              </w:rPr>
              <w:t>participation</w:t>
            </w:r>
            <w:r w:rsidR="00C62D0C">
              <w:rPr>
                <w:rFonts w:eastAsia="MS Mincho" w:cstheme="minorHAnsi"/>
              </w:rPr>
              <w:t>.</w:t>
            </w:r>
          </w:p>
        </w:tc>
        <w:tc>
          <w:tcPr>
            <w:tcW w:w="1054" w:type="pct"/>
          </w:tcPr>
          <w:p w14:paraId="18A34E6E" w14:textId="77777777" w:rsidR="004E5635" w:rsidRDefault="004B177C" w:rsidP="00A71365">
            <w:pPr>
              <w:pStyle w:val="Tablewriting"/>
              <w:rPr>
                <w:rFonts w:eastAsia="MS Mincho" w:cstheme="minorHAnsi"/>
              </w:rPr>
            </w:pPr>
            <w:r w:rsidRPr="004B177C">
              <w:rPr>
                <w:rFonts w:eastAsia="MS Mincho" w:cstheme="minorHAnsi"/>
              </w:rPr>
              <w:t>Two phase study:</w:t>
            </w:r>
          </w:p>
          <w:p w14:paraId="162A26C1" w14:textId="77777777" w:rsidR="00960F17" w:rsidRDefault="00226E6A" w:rsidP="00C324F3">
            <w:pPr>
              <w:pStyle w:val="Tablewriting"/>
              <w:numPr>
                <w:ilvl w:val="0"/>
                <w:numId w:val="146"/>
              </w:numPr>
              <w:rPr>
                <w:rFonts w:eastAsia="MS Mincho" w:cstheme="minorHAnsi"/>
              </w:rPr>
            </w:pPr>
            <w:r w:rsidRPr="00226E6A">
              <w:rPr>
                <w:rFonts w:eastAsia="MS Mincho" w:cstheme="minorHAnsi"/>
              </w:rPr>
              <w:t>Phase 1 (12 weeks):</w:t>
            </w:r>
            <w:r w:rsidR="00960F17">
              <w:rPr>
                <w:rFonts w:eastAsia="MS Mincho" w:cstheme="minorHAnsi"/>
              </w:rPr>
              <w:t xml:space="preserve"> </w:t>
            </w:r>
          </w:p>
          <w:p w14:paraId="42484671" w14:textId="77777777" w:rsidR="0008420E" w:rsidRDefault="00226E6A" w:rsidP="00A71365">
            <w:pPr>
              <w:pStyle w:val="Tablewriting"/>
              <w:ind w:left="360"/>
              <w:rPr>
                <w:rFonts w:eastAsia="MS Mincho" w:cstheme="minorHAnsi"/>
              </w:rPr>
            </w:pPr>
            <w:r w:rsidRPr="00960F17">
              <w:rPr>
                <w:rFonts w:eastAsia="MS Mincho" w:cstheme="minorHAnsi"/>
              </w:rPr>
              <w:t>Non-responders only (N = 371 - 36 who withdrew, = 335) allocated to:</w:t>
            </w:r>
          </w:p>
          <w:p w14:paraId="12781F34" w14:textId="77777777" w:rsidR="0008420E" w:rsidRDefault="00226E6A" w:rsidP="00A71365">
            <w:pPr>
              <w:pStyle w:val="Tablewriting"/>
              <w:ind w:left="360"/>
              <w:rPr>
                <w:rFonts w:eastAsia="MS Mincho" w:cstheme="minorHAnsi"/>
              </w:rPr>
            </w:pPr>
            <w:r w:rsidRPr="00226E6A">
              <w:rPr>
                <w:rFonts w:eastAsia="MS Mincho" w:cstheme="minorHAnsi"/>
              </w:rPr>
              <w:t>1. Double-blind varenicline, stopping NRT (N = 112)</w:t>
            </w:r>
          </w:p>
          <w:p w14:paraId="048FBAA1" w14:textId="77777777" w:rsidR="0008420E" w:rsidRDefault="00226E6A" w:rsidP="00A71365">
            <w:pPr>
              <w:pStyle w:val="Tablewriting"/>
              <w:ind w:left="360"/>
              <w:rPr>
                <w:rFonts w:eastAsia="MS Mincho" w:cstheme="minorHAnsi"/>
              </w:rPr>
            </w:pPr>
            <w:r w:rsidRPr="00226E6A">
              <w:rPr>
                <w:rFonts w:eastAsia="MS Mincho" w:cstheme="minorHAnsi"/>
              </w:rPr>
              <w:t>2. Double-blind augmentation of NRT with bupropion (N = 109)</w:t>
            </w:r>
          </w:p>
          <w:p w14:paraId="68C0C8F8" w14:textId="619AA3EE" w:rsidR="00226E6A" w:rsidRPr="00226E6A" w:rsidRDefault="00226E6A" w:rsidP="00A71365">
            <w:pPr>
              <w:pStyle w:val="Tablewriting"/>
              <w:ind w:left="360"/>
              <w:rPr>
                <w:rFonts w:eastAsia="MS Mincho" w:cstheme="minorHAnsi"/>
              </w:rPr>
            </w:pPr>
            <w:r w:rsidRPr="00226E6A">
              <w:rPr>
                <w:rFonts w:eastAsia="MS Mincho" w:cstheme="minorHAnsi"/>
              </w:rPr>
              <w:lastRenderedPageBreak/>
              <w:t>3. Continuation on open-label NRT alone (N = 114)</w:t>
            </w:r>
          </w:p>
          <w:p w14:paraId="66EFBC50" w14:textId="77777777" w:rsidR="0008420E" w:rsidRDefault="0008420E" w:rsidP="00A71365">
            <w:pPr>
              <w:pStyle w:val="Tablewriting"/>
              <w:rPr>
                <w:rFonts w:eastAsia="MS Mincho" w:cstheme="minorHAnsi"/>
              </w:rPr>
            </w:pPr>
          </w:p>
          <w:p w14:paraId="051F31C2" w14:textId="39251EA3" w:rsidR="00226E6A" w:rsidRDefault="00226E6A" w:rsidP="00A71365">
            <w:pPr>
              <w:pStyle w:val="Tablewriting"/>
              <w:rPr>
                <w:rFonts w:eastAsia="MS Mincho" w:cstheme="minorHAnsi"/>
              </w:rPr>
            </w:pPr>
            <w:r w:rsidRPr="00226E6A">
              <w:rPr>
                <w:rFonts w:eastAsia="MS Mincho" w:cstheme="minorHAnsi"/>
              </w:rPr>
              <w:t>All participants received dummy (placebo) versions of the other 2 treatme</w:t>
            </w:r>
            <w:r w:rsidR="00836B64">
              <w:rPr>
                <w:rFonts w:eastAsia="MS Mincho" w:cstheme="minorHAnsi"/>
              </w:rPr>
              <w:t xml:space="preserve">nts as well as their own active </w:t>
            </w:r>
            <w:r w:rsidRPr="00226E6A">
              <w:rPr>
                <w:rFonts w:eastAsia="MS Mincho" w:cstheme="minorHAnsi"/>
              </w:rPr>
              <w:t>treatment.</w:t>
            </w:r>
          </w:p>
          <w:p w14:paraId="4C56E454" w14:textId="77777777" w:rsidR="002F4459" w:rsidRDefault="002F4459" w:rsidP="00C324F3">
            <w:pPr>
              <w:pStyle w:val="Tablewriting"/>
              <w:numPr>
                <w:ilvl w:val="0"/>
                <w:numId w:val="146"/>
              </w:numPr>
              <w:rPr>
                <w:rFonts w:eastAsia="MS Mincho" w:cstheme="minorHAnsi"/>
              </w:rPr>
            </w:pPr>
            <w:r w:rsidRPr="002F4459">
              <w:rPr>
                <w:rFonts w:eastAsia="MS Mincho" w:cstheme="minorHAnsi"/>
              </w:rPr>
              <w:t>Phase 2:</w:t>
            </w:r>
          </w:p>
          <w:p w14:paraId="03DE0E76" w14:textId="18DFCFC8" w:rsidR="00385A9D" w:rsidRPr="00385A9D" w:rsidRDefault="00385A9D" w:rsidP="00A71365">
            <w:pPr>
              <w:pStyle w:val="Tablewriting"/>
              <w:ind w:left="720"/>
              <w:rPr>
                <w:rFonts w:eastAsia="MS Mincho" w:cstheme="minorHAnsi"/>
              </w:rPr>
            </w:pPr>
            <w:r w:rsidRPr="00385A9D">
              <w:rPr>
                <w:rFonts w:eastAsia="MS Mincho" w:cstheme="minorHAnsi"/>
              </w:rPr>
              <w:t>1. Double-blind varenicline,</w:t>
            </w:r>
            <w:r>
              <w:rPr>
                <w:rFonts w:eastAsia="MS Mincho" w:cstheme="minorHAnsi"/>
              </w:rPr>
              <w:t xml:space="preserve"> </w:t>
            </w:r>
            <w:r w:rsidRPr="00385A9D">
              <w:rPr>
                <w:rFonts w:eastAsia="MS Mincho" w:cstheme="minorHAnsi"/>
              </w:rPr>
              <w:t>stopping NRT (N = 36)</w:t>
            </w:r>
          </w:p>
          <w:p w14:paraId="78DD76D7" w14:textId="77777777" w:rsidR="00385A9D" w:rsidRPr="00385A9D" w:rsidRDefault="00385A9D" w:rsidP="00A71365">
            <w:pPr>
              <w:pStyle w:val="Tablewriting"/>
              <w:ind w:left="720"/>
              <w:rPr>
                <w:rFonts w:eastAsia="MS Mincho" w:cstheme="minorHAnsi"/>
              </w:rPr>
            </w:pPr>
            <w:r w:rsidRPr="00385A9D">
              <w:rPr>
                <w:rFonts w:eastAsia="MS Mincho" w:cstheme="minorHAnsi"/>
              </w:rPr>
              <w:t>2. Double-blind augmentation of NRT with bupropion (N = 34)</w:t>
            </w:r>
          </w:p>
          <w:p w14:paraId="63251C3A" w14:textId="77777777" w:rsidR="00385A9D" w:rsidRPr="00385A9D" w:rsidRDefault="00385A9D" w:rsidP="00A71365">
            <w:pPr>
              <w:pStyle w:val="Tablewriting"/>
              <w:ind w:left="720"/>
              <w:rPr>
                <w:rFonts w:eastAsia="MS Mincho" w:cstheme="minorHAnsi"/>
              </w:rPr>
            </w:pPr>
            <w:r w:rsidRPr="00385A9D">
              <w:rPr>
                <w:rFonts w:eastAsia="MS Mincho" w:cstheme="minorHAnsi"/>
              </w:rPr>
              <w:t>3. Continuation on open-label NRT alone (N = 35)</w:t>
            </w:r>
          </w:p>
          <w:p w14:paraId="21B8BC4E" w14:textId="77777777" w:rsidR="00385A9D" w:rsidRPr="00385A9D" w:rsidRDefault="00385A9D" w:rsidP="00A71365">
            <w:pPr>
              <w:pStyle w:val="Tablewriting"/>
              <w:ind w:left="720"/>
              <w:rPr>
                <w:rFonts w:eastAsia="MS Mincho" w:cstheme="minorHAnsi"/>
              </w:rPr>
            </w:pPr>
            <w:r w:rsidRPr="00385A9D">
              <w:rPr>
                <w:rFonts w:eastAsia="MS Mincho" w:cstheme="minorHAnsi"/>
              </w:rPr>
              <w:t>Non-lapsers (N = 130) remained on open-label NRT throughout study duration</w:t>
            </w:r>
          </w:p>
          <w:p w14:paraId="471CD101" w14:textId="77777777" w:rsidR="00385A9D" w:rsidRPr="00385A9D" w:rsidRDefault="00385A9D" w:rsidP="00A71365">
            <w:pPr>
              <w:pStyle w:val="Tablewriting"/>
              <w:ind w:left="720"/>
              <w:rPr>
                <w:rFonts w:eastAsia="MS Mincho" w:cstheme="minorHAnsi"/>
              </w:rPr>
            </w:pPr>
            <w:r w:rsidRPr="00385A9D">
              <w:rPr>
                <w:rFonts w:eastAsia="MS Mincho" w:cstheme="minorHAnsi"/>
              </w:rPr>
              <w:t>All participants received dummy (placebo) versions of the other 2 treatments as well as their own active</w:t>
            </w:r>
          </w:p>
          <w:p w14:paraId="59D161D6" w14:textId="378AF6F2" w:rsidR="00C3700A" w:rsidRPr="00017AE6" w:rsidRDefault="00385A9D" w:rsidP="00A71365">
            <w:pPr>
              <w:pStyle w:val="Tablewriting"/>
              <w:ind w:left="720"/>
              <w:rPr>
                <w:rFonts w:eastAsia="MS Mincho" w:cstheme="minorHAnsi"/>
              </w:rPr>
            </w:pPr>
            <w:r w:rsidRPr="00385A9D">
              <w:rPr>
                <w:rFonts w:eastAsia="MS Mincho" w:cstheme="minorHAnsi"/>
              </w:rPr>
              <w:t>treatment.</w:t>
            </w:r>
          </w:p>
        </w:tc>
        <w:tc>
          <w:tcPr>
            <w:tcW w:w="959" w:type="pct"/>
          </w:tcPr>
          <w:p w14:paraId="138D92EA" w14:textId="77777777" w:rsidR="00217E87" w:rsidRPr="00AD1DBB" w:rsidRDefault="000C12CB" w:rsidP="00A71365">
            <w:pPr>
              <w:pStyle w:val="Tablewriting"/>
              <w:rPr>
                <w:rFonts w:eastAsia="MS Mincho" w:cstheme="minorHAnsi"/>
                <w:u w:val="single"/>
              </w:rPr>
            </w:pPr>
            <w:r w:rsidRPr="00636300">
              <w:rPr>
                <w:rFonts w:eastAsia="MS Mincho" w:cstheme="minorHAnsi"/>
                <w:u w:val="single"/>
              </w:rPr>
              <w:lastRenderedPageBreak/>
              <w:t>Efficacy:</w:t>
            </w:r>
          </w:p>
          <w:p w14:paraId="699818F1" w14:textId="277454E4" w:rsidR="004D2721" w:rsidRPr="004D2721" w:rsidRDefault="004D2721" w:rsidP="00A71365">
            <w:pPr>
              <w:pStyle w:val="Tablewriting"/>
              <w:rPr>
                <w:rFonts w:eastAsia="MS Mincho" w:cstheme="minorHAnsi"/>
              </w:rPr>
            </w:pPr>
            <w:r w:rsidRPr="004D2721">
              <w:rPr>
                <w:rFonts w:eastAsia="MS Mincho" w:cstheme="minorHAnsi"/>
              </w:rPr>
              <w:t>Primary: CAR at w</w:t>
            </w:r>
            <w:r>
              <w:rPr>
                <w:rFonts w:eastAsia="MS Mincho" w:cstheme="minorHAnsi"/>
              </w:rPr>
              <w:t>ee</w:t>
            </w:r>
            <w:r w:rsidRPr="004D2721">
              <w:rPr>
                <w:rFonts w:eastAsia="MS Mincho" w:cstheme="minorHAnsi"/>
              </w:rPr>
              <w:t xml:space="preserve">ks 8 </w:t>
            </w:r>
            <w:r>
              <w:rPr>
                <w:rFonts w:eastAsia="MS Mincho" w:cstheme="minorHAnsi"/>
              </w:rPr>
              <w:t>–</w:t>
            </w:r>
            <w:r w:rsidRPr="004D2721">
              <w:rPr>
                <w:rFonts w:eastAsia="MS Mincho" w:cstheme="minorHAnsi"/>
              </w:rPr>
              <w:t xml:space="preserve"> 11</w:t>
            </w:r>
            <w:r>
              <w:rPr>
                <w:rFonts w:eastAsia="MS Mincho" w:cstheme="minorHAnsi"/>
              </w:rPr>
              <w:t>.</w:t>
            </w:r>
          </w:p>
          <w:p w14:paraId="3949E76F" w14:textId="1576141E" w:rsidR="00217E87" w:rsidRDefault="004D2721" w:rsidP="00A71365">
            <w:pPr>
              <w:pStyle w:val="Tablewriting"/>
              <w:rPr>
                <w:rFonts w:eastAsia="MS Mincho" w:cstheme="minorHAnsi"/>
              </w:rPr>
            </w:pPr>
            <w:r w:rsidRPr="004D2721">
              <w:rPr>
                <w:rFonts w:eastAsia="MS Mincho" w:cstheme="minorHAnsi"/>
              </w:rPr>
              <w:t>Secondary: CA from TQD for 11 w</w:t>
            </w:r>
            <w:r>
              <w:rPr>
                <w:rFonts w:eastAsia="MS Mincho" w:cstheme="minorHAnsi"/>
              </w:rPr>
              <w:t>ee</w:t>
            </w:r>
            <w:r w:rsidRPr="004D2721">
              <w:rPr>
                <w:rFonts w:eastAsia="MS Mincho" w:cstheme="minorHAnsi"/>
              </w:rPr>
              <w:t>ks (EoT)</w:t>
            </w:r>
            <w:r>
              <w:rPr>
                <w:rFonts w:eastAsia="MS Mincho" w:cstheme="minorHAnsi"/>
              </w:rPr>
              <w:t>,</w:t>
            </w:r>
            <w:r w:rsidRPr="004D2721">
              <w:rPr>
                <w:rFonts w:eastAsia="MS Mincho" w:cstheme="minorHAnsi"/>
              </w:rPr>
              <w:t xml:space="preserve"> 7-day PPA at 6</w:t>
            </w:r>
            <w:r>
              <w:rPr>
                <w:rFonts w:eastAsia="MS Mincho" w:cstheme="minorHAnsi"/>
              </w:rPr>
              <w:t xml:space="preserve"> </w:t>
            </w:r>
            <w:r w:rsidR="0016189F">
              <w:rPr>
                <w:rFonts w:eastAsia="MS Mincho" w:cstheme="minorHAnsi"/>
              </w:rPr>
              <w:t>months</w:t>
            </w:r>
            <w:r w:rsidR="00AB73AD">
              <w:rPr>
                <w:rFonts w:eastAsia="MS Mincho" w:cstheme="minorHAnsi"/>
              </w:rPr>
              <w:t xml:space="preserve"> (</w:t>
            </w:r>
            <w:r w:rsidRPr="004D2721">
              <w:rPr>
                <w:rFonts w:eastAsia="MS Mincho" w:cstheme="minorHAnsi"/>
              </w:rPr>
              <w:t>CA from TQD to 6</w:t>
            </w:r>
            <w:r w:rsidR="00AB73AD">
              <w:rPr>
                <w:rFonts w:eastAsia="MS Mincho" w:cstheme="minorHAnsi"/>
              </w:rPr>
              <w:t xml:space="preserve"> months)</w:t>
            </w:r>
            <w:r w:rsidR="0016189F">
              <w:rPr>
                <w:rFonts w:eastAsia="MS Mincho" w:cstheme="minorHAnsi"/>
              </w:rPr>
              <w:t>.</w:t>
            </w:r>
          </w:p>
          <w:p w14:paraId="77389D11" w14:textId="77777777" w:rsidR="0016189F" w:rsidRDefault="0016189F" w:rsidP="00A71365">
            <w:pPr>
              <w:pStyle w:val="Tablewriting"/>
              <w:rPr>
                <w:rFonts w:eastAsia="MS Mincho" w:cstheme="minorHAnsi"/>
              </w:rPr>
            </w:pPr>
          </w:p>
          <w:p w14:paraId="02BE3FC3" w14:textId="41C8776E" w:rsidR="004D2721" w:rsidRPr="004D2721" w:rsidRDefault="004D2721" w:rsidP="00A71365">
            <w:pPr>
              <w:pStyle w:val="Tablewriting"/>
              <w:rPr>
                <w:rFonts w:eastAsia="MS Mincho" w:cstheme="minorHAnsi"/>
              </w:rPr>
            </w:pPr>
            <w:r w:rsidRPr="004D2721">
              <w:rPr>
                <w:rFonts w:eastAsia="MS Mincho" w:cstheme="minorHAnsi"/>
              </w:rPr>
              <w:t xml:space="preserve">Validation: CO </w:t>
            </w:r>
            <w:r w:rsidR="009D467E" w:rsidRPr="009D467E">
              <w:rPr>
                <w:rFonts w:eastAsia="MS Mincho" w:cstheme="minorHAnsi"/>
                <w:b/>
                <w:bCs/>
              </w:rPr>
              <w:t>≤</w:t>
            </w:r>
            <w:r w:rsidRPr="004D2721">
              <w:rPr>
                <w:rFonts w:eastAsia="MS Mincho" w:cstheme="minorHAnsi"/>
              </w:rPr>
              <w:t xml:space="preserve"> 10 ppm</w:t>
            </w:r>
          </w:p>
          <w:p w14:paraId="2E80120A" w14:textId="77777777" w:rsidR="004D2721" w:rsidRDefault="004D2721" w:rsidP="00A71365">
            <w:pPr>
              <w:pStyle w:val="Tablewriting"/>
              <w:rPr>
                <w:rFonts w:eastAsia="MS Mincho" w:cstheme="minorHAnsi"/>
                <w:u w:val="single"/>
              </w:rPr>
            </w:pPr>
          </w:p>
          <w:p w14:paraId="10138081" w14:textId="47AC0D1E" w:rsidR="004D2721" w:rsidRDefault="004E5635" w:rsidP="00A71365">
            <w:pPr>
              <w:pStyle w:val="Tablewriting"/>
              <w:rPr>
                <w:rFonts w:eastAsia="MS Mincho" w:cstheme="minorHAnsi"/>
              </w:rPr>
            </w:pPr>
            <w:r w:rsidRPr="00AD1DBB">
              <w:rPr>
                <w:rFonts w:eastAsia="MS Mincho" w:cstheme="minorHAnsi"/>
                <w:u w:val="single"/>
              </w:rPr>
              <w:lastRenderedPageBreak/>
              <w:t>Safety:</w:t>
            </w:r>
            <w:r w:rsidR="004D2721">
              <w:rPr>
                <w:rFonts w:eastAsia="MS Mincho" w:cstheme="minorHAnsi"/>
                <w:u w:val="single"/>
              </w:rPr>
              <w:t xml:space="preserve"> </w:t>
            </w:r>
            <w:r w:rsidR="004D2721" w:rsidRPr="004D2721">
              <w:rPr>
                <w:rFonts w:eastAsia="MS Mincho" w:cstheme="minorHAnsi"/>
              </w:rPr>
              <w:t>AEs and SAEs (reported, but not by treatment group)</w:t>
            </w:r>
          </w:p>
          <w:p w14:paraId="50A337F1" w14:textId="5735A1BD" w:rsidR="00C3700A" w:rsidRPr="00017AE6" w:rsidRDefault="00C3700A" w:rsidP="00A71365">
            <w:pPr>
              <w:pStyle w:val="Tablewriting"/>
              <w:rPr>
                <w:rFonts w:eastAsia="MS Mincho" w:cstheme="minorHAnsi"/>
              </w:rPr>
            </w:pPr>
          </w:p>
        </w:tc>
      </w:tr>
      <w:tr w:rsidR="00C3700A" w:rsidRPr="00017AE6" w14:paraId="06DD1E22" w14:textId="77777777" w:rsidTr="005821B1">
        <w:trPr>
          <w:trHeight w:val="99"/>
        </w:trPr>
        <w:tc>
          <w:tcPr>
            <w:tcW w:w="411" w:type="pct"/>
          </w:tcPr>
          <w:p w14:paraId="73FCA813" w14:textId="5EF59559" w:rsidR="00C3700A" w:rsidRPr="00017AE6" w:rsidRDefault="001B799D" w:rsidP="00A71365">
            <w:pPr>
              <w:pStyle w:val="Tablewriting"/>
              <w:rPr>
                <w:rFonts w:eastAsia="MS Mincho" w:cstheme="minorHAnsi"/>
              </w:rPr>
            </w:pPr>
            <w:r w:rsidRPr="001B799D">
              <w:rPr>
                <w:rFonts w:eastAsia="MS Mincho" w:cstheme="minorHAnsi"/>
              </w:rPr>
              <w:lastRenderedPageBreak/>
              <w:t xml:space="preserve">Stein </w:t>
            </w:r>
            <w:r w:rsidR="00FA40D7">
              <w:rPr>
                <w:rFonts w:eastAsia="MS Mincho" w:cstheme="minorHAnsi"/>
              </w:rPr>
              <w:t>(</w:t>
            </w:r>
            <w:r w:rsidRPr="001B799D">
              <w:rPr>
                <w:rFonts w:eastAsia="MS Mincho" w:cstheme="minorHAnsi"/>
              </w:rPr>
              <w:t>2013</w:t>
            </w:r>
            <w:r w:rsidR="00FA40D7">
              <w:rPr>
                <w:rFonts w:eastAsia="MS Mincho" w:cstheme="minorHAnsi"/>
              </w:rPr>
              <w:t>)</w:t>
            </w:r>
          </w:p>
        </w:tc>
        <w:tc>
          <w:tcPr>
            <w:tcW w:w="235" w:type="pct"/>
          </w:tcPr>
          <w:p w14:paraId="3EC8D9FD" w14:textId="4EB272D1" w:rsidR="00C3700A" w:rsidRPr="00017AE6" w:rsidRDefault="006F2939" w:rsidP="00A71365">
            <w:pPr>
              <w:pStyle w:val="Tablewriting"/>
              <w:rPr>
                <w:rFonts w:eastAsia="MS Mincho" w:cstheme="minorHAnsi"/>
              </w:rPr>
            </w:pPr>
            <w:r>
              <w:rPr>
                <w:rFonts w:eastAsia="MS Mincho" w:cstheme="minorHAnsi"/>
              </w:rPr>
              <w:t>RCT</w:t>
            </w:r>
          </w:p>
        </w:tc>
        <w:tc>
          <w:tcPr>
            <w:tcW w:w="431" w:type="pct"/>
          </w:tcPr>
          <w:p w14:paraId="3A5F86C4" w14:textId="2F4982C9" w:rsidR="00C3700A" w:rsidRPr="00017AE6" w:rsidRDefault="006F2939" w:rsidP="00A71365">
            <w:pPr>
              <w:pStyle w:val="Tablewriting"/>
              <w:rPr>
                <w:rFonts w:eastAsia="MS Mincho" w:cstheme="minorHAnsi"/>
              </w:rPr>
            </w:pPr>
            <w:r>
              <w:rPr>
                <w:rFonts w:eastAsia="MS Mincho" w:cstheme="minorHAnsi"/>
              </w:rPr>
              <w:t>USA</w:t>
            </w:r>
          </w:p>
        </w:tc>
        <w:tc>
          <w:tcPr>
            <w:tcW w:w="679" w:type="pct"/>
          </w:tcPr>
          <w:p w14:paraId="7DC1EE75" w14:textId="64A74B2C" w:rsidR="00C3700A" w:rsidRPr="00017AE6" w:rsidRDefault="004E5635" w:rsidP="00A71365">
            <w:pPr>
              <w:pStyle w:val="Tablewriting"/>
              <w:rPr>
                <w:rFonts w:eastAsia="MS Mincho" w:cstheme="minorHAnsi"/>
              </w:rPr>
            </w:pPr>
            <w:r w:rsidRPr="00C45B56">
              <w:rPr>
                <w:rFonts w:eastAsia="MS Mincho" w:cstheme="minorHAnsi"/>
              </w:rPr>
              <w:t>N=</w:t>
            </w:r>
            <w:r w:rsidR="006F2939">
              <w:rPr>
                <w:rFonts w:eastAsia="MS Mincho" w:cstheme="minorHAnsi"/>
              </w:rPr>
              <w:t>315</w:t>
            </w:r>
            <w:r w:rsidR="00BC7EA1">
              <w:rPr>
                <w:rFonts w:eastAsia="MS Mincho" w:cstheme="minorHAnsi"/>
              </w:rPr>
              <w:t xml:space="preserve">; </w:t>
            </w:r>
            <w:r w:rsidR="00BC7EA1" w:rsidRPr="003B1F8B">
              <w:rPr>
                <w:rFonts w:eastAsia="MS Mincho"/>
              </w:rPr>
              <w:t>Allocated 3:1:3 to varenicline (137): placebo (45): combination NRT (133).</w:t>
            </w:r>
          </w:p>
        </w:tc>
        <w:tc>
          <w:tcPr>
            <w:tcW w:w="1232" w:type="pct"/>
          </w:tcPr>
          <w:p w14:paraId="13E5F5DE" w14:textId="7C4DEAFF" w:rsidR="00C3700A" w:rsidRPr="003B1F8B" w:rsidRDefault="003B1F8B" w:rsidP="00A71365">
            <w:pPr>
              <w:rPr>
                <w:rFonts w:eastAsia="MS Mincho"/>
                <w:lang w:eastAsia="en-US"/>
              </w:rPr>
            </w:pPr>
            <w:r>
              <w:rPr>
                <w:rFonts w:eastAsia="MS Mincho"/>
                <w:lang w:eastAsia="en-US"/>
              </w:rPr>
              <w:t>A</w:t>
            </w:r>
            <w:r w:rsidRPr="003B1F8B">
              <w:rPr>
                <w:rFonts w:eastAsia="MS Mincho"/>
                <w:lang w:eastAsia="en-US"/>
              </w:rPr>
              <w:t xml:space="preserve">dult </w:t>
            </w:r>
            <w:r w:rsidR="009A0C05" w:rsidRPr="003B1F8B">
              <w:rPr>
                <w:rFonts w:eastAsia="MS Mincho"/>
                <w:lang w:eastAsia="en-US"/>
              </w:rPr>
              <w:t>methadone</w:t>
            </w:r>
            <w:r w:rsidR="009A0C05">
              <w:rPr>
                <w:rFonts w:eastAsia="MS Mincho"/>
                <w:lang w:eastAsia="en-US"/>
              </w:rPr>
              <w:t>-maintained</w:t>
            </w:r>
            <w:r w:rsidRPr="003B1F8B">
              <w:rPr>
                <w:rFonts w:eastAsia="MS Mincho"/>
                <w:lang w:eastAsia="en-US"/>
              </w:rPr>
              <w:t xml:space="preserve"> smokers, smoking 10+ CPD, willing to set a quit date within the 1</w:t>
            </w:r>
            <w:r w:rsidRPr="009A0C05">
              <w:rPr>
                <w:rFonts w:eastAsia="MS Mincho"/>
                <w:vertAlign w:val="superscript"/>
                <w:lang w:eastAsia="en-US"/>
              </w:rPr>
              <w:t>st</w:t>
            </w:r>
            <w:r w:rsidR="009A0C05">
              <w:rPr>
                <w:rFonts w:eastAsia="MS Mincho"/>
                <w:lang w:eastAsia="en-US"/>
              </w:rPr>
              <w:t xml:space="preserve"> </w:t>
            </w:r>
            <w:r w:rsidRPr="003B1F8B">
              <w:rPr>
                <w:rFonts w:eastAsia="MS Mincho"/>
                <w:lang w:eastAsia="en-US"/>
              </w:rPr>
              <w:t>w</w:t>
            </w:r>
            <w:r w:rsidR="009A0C05">
              <w:rPr>
                <w:rFonts w:eastAsia="MS Mincho"/>
                <w:lang w:eastAsia="en-US"/>
              </w:rPr>
              <w:t>ee</w:t>
            </w:r>
            <w:r w:rsidRPr="003B1F8B">
              <w:rPr>
                <w:rFonts w:eastAsia="MS Mincho"/>
                <w:lang w:eastAsia="en-US"/>
              </w:rPr>
              <w:t>k</w:t>
            </w:r>
            <w:r w:rsidR="00BC7EA1">
              <w:rPr>
                <w:rFonts w:eastAsia="MS Mincho"/>
                <w:lang w:eastAsia="en-US"/>
              </w:rPr>
              <w:t>.</w:t>
            </w:r>
            <w:r w:rsidRPr="003B1F8B">
              <w:rPr>
                <w:rFonts w:eastAsia="MS Mincho"/>
                <w:lang w:eastAsia="en-US"/>
              </w:rPr>
              <w:t xml:space="preserve"> Mean age 39.9, 47.6%</w:t>
            </w:r>
            <w:r w:rsidR="00BC7EA1">
              <w:rPr>
                <w:rFonts w:eastAsia="MS Mincho"/>
                <w:lang w:eastAsia="en-US"/>
              </w:rPr>
              <w:t xml:space="preserve"> </w:t>
            </w:r>
            <w:r w:rsidRPr="003B1F8B">
              <w:rPr>
                <w:rFonts w:eastAsia="MS Mincho"/>
                <w:lang w:eastAsia="en-US"/>
              </w:rPr>
              <w:t>women, 78.5% white, mean CPD 20, mean FTND 5.7</w:t>
            </w:r>
            <w:r w:rsidR="00BC7EA1">
              <w:rPr>
                <w:rFonts w:eastAsia="MS Mincho"/>
                <w:lang w:eastAsia="en-US"/>
              </w:rPr>
              <w:t>.</w:t>
            </w:r>
          </w:p>
        </w:tc>
        <w:tc>
          <w:tcPr>
            <w:tcW w:w="1054" w:type="pct"/>
          </w:tcPr>
          <w:p w14:paraId="201BFD49" w14:textId="77777777" w:rsidR="002A6C3C" w:rsidRDefault="00E4568D" w:rsidP="00C324F3">
            <w:pPr>
              <w:pStyle w:val="Tablewriting"/>
              <w:numPr>
                <w:ilvl w:val="0"/>
                <w:numId w:val="146"/>
              </w:numPr>
              <w:rPr>
                <w:rFonts w:eastAsia="MS Mincho" w:cstheme="minorHAnsi"/>
              </w:rPr>
            </w:pPr>
            <w:r w:rsidRPr="00E4568D">
              <w:rPr>
                <w:rFonts w:eastAsia="MS Mincho" w:cstheme="minorHAnsi"/>
              </w:rPr>
              <w:t>Varenicline: 24-wk course of varenicline tablets, 1st w</w:t>
            </w:r>
            <w:r>
              <w:rPr>
                <w:rFonts w:eastAsia="MS Mincho" w:cstheme="minorHAnsi"/>
              </w:rPr>
              <w:t>ee</w:t>
            </w:r>
            <w:r w:rsidRPr="00E4568D">
              <w:rPr>
                <w:rFonts w:eastAsia="MS Mincho" w:cstheme="minorHAnsi"/>
              </w:rPr>
              <w:t>k titrated</w:t>
            </w:r>
            <w:r w:rsidR="002A6C3C">
              <w:rPr>
                <w:rFonts w:eastAsia="MS Mincho" w:cstheme="minorHAnsi"/>
              </w:rPr>
              <w:t>.</w:t>
            </w:r>
          </w:p>
          <w:p w14:paraId="01C35B1E" w14:textId="77777777" w:rsidR="002A6C3C" w:rsidRDefault="00E4568D" w:rsidP="00C324F3">
            <w:pPr>
              <w:pStyle w:val="Tablewriting"/>
              <w:numPr>
                <w:ilvl w:val="0"/>
                <w:numId w:val="146"/>
              </w:numPr>
              <w:rPr>
                <w:rFonts w:eastAsia="MS Mincho" w:cstheme="minorHAnsi"/>
              </w:rPr>
            </w:pPr>
            <w:r w:rsidRPr="002A6C3C">
              <w:rPr>
                <w:rFonts w:eastAsia="MS Mincho" w:cstheme="minorHAnsi"/>
              </w:rPr>
              <w:lastRenderedPageBreak/>
              <w:t>Placebo: 24-wk course of identical tablets and regimen</w:t>
            </w:r>
            <w:r w:rsidR="002A6C3C">
              <w:rPr>
                <w:rFonts w:eastAsia="MS Mincho" w:cstheme="minorHAnsi"/>
              </w:rPr>
              <w:t>.</w:t>
            </w:r>
          </w:p>
          <w:p w14:paraId="37D4FC54" w14:textId="77777777" w:rsidR="00E4568D" w:rsidRDefault="00E4568D" w:rsidP="00C324F3">
            <w:pPr>
              <w:pStyle w:val="Tablewriting"/>
              <w:numPr>
                <w:ilvl w:val="0"/>
                <w:numId w:val="146"/>
              </w:numPr>
              <w:rPr>
                <w:rFonts w:eastAsia="MS Mincho" w:cstheme="minorHAnsi"/>
              </w:rPr>
            </w:pPr>
            <w:r w:rsidRPr="002A6C3C">
              <w:rPr>
                <w:rFonts w:eastAsia="MS Mincho" w:cstheme="minorHAnsi"/>
              </w:rPr>
              <w:t>Combination NRT: 24-wk course of NRT patch (42 mg for &gt; 30 CPD, 21 mg if &lt; 30 CPD), + ad lib nicotine gum (4 mg) as needed</w:t>
            </w:r>
            <w:r w:rsidR="002A6C3C">
              <w:rPr>
                <w:rFonts w:eastAsia="MS Mincho" w:cstheme="minorHAnsi"/>
              </w:rPr>
              <w:t>.</w:t>
            </w:r>
          </w:p>
          <w:p w14:paraId="53D62E5E" w14:textId="77777777" w:rsidR="002A6C3C" w:rsidRDefault="002A6C3C" w:rsidP="00A71365">
            <w:pPr>
              <w:pStyle w:val="Tablewriting"/>
              <w:rPr>
                <w:rFonts w:eastAsia="MS Mincho" w:cstheme="minorHAnsi"/>
              </w:rPr>
            </w:pPr>
          </w:p>
          <w:p w14:paraId="781606C2" w14:textId="6B568139" w:rsidR="00C3700A" w:rsidRPr="00017AE6" w:rsidRDefault="002A6C3C"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E4568D">
              <w:rPr>
                <w:rFonts w:eastAsia="MS Mincho" w:cstheme="minorHAnsi"/>
              </w:rPr>
              <w:t>All participants received a standardised 15-min session of advice to quit (5As model</w:t>
            </w:r>
            <w:r w:rsidR="00115AEE" w:rsidRPr="00E4568D">
              <w:rPr>
                <w:rFonts w:eastAsia="MS Mincho" w:cstheme="minorHAnsi"/>
              </w:rPr>
              <w:t>) and</w:t>
            </w:r>
            <w:r w:rsidRPr="00E4568D">
              <w:rPr>
                <w:rFonts w:eastAsia="MS Mincho" w:cstheme="minorHAnsi"/>
              </w:rPr>
              <w:t xml:space="preserve"> were asked to</w:t>
            </w:r>
            <w:r>
              <w:rPr>
                <w:rFonts w:eastAsia="MS Mincho" w:cstheme="minorHAnsi"/>
              </w:rPr>
              <w:t xml:space="preserve"> </w:t>
            </w:r>
            <w:r w:rsidRPr="00E4568D">
              <w:rPr>
                <w:rFonts w:eastAsia="MS Mincho" w:cstheme="minorHAnsi"/>
              </w:rPr>
              <w:t xml:space="preserve">set a TQD for 8 </w:t>
            </w:r>
            <w:r w:rsidR="00115AEE" w:rsidRPr="00E4568D">
              <w:rPr>
                <w:rFonts w:eastAsia="MS Mincho" w:cstheme="minorHAnsi"/>
              </w:rPr>
              <w:t>day’s time</w:t>
            </w:r>
            <w:r w:rsidRPr="00E4568D">
              <w:rPr>
                <w:rFonts w:eastAsia="MS Mincho" w:cstheme="minorHAnsi"/>
              </w:rPr>
              <w:t>. All made monthly visits for support and top-up medication</w:t>
            </w:r>
            <w:r>
              <w:rPr>
                <w:rFonts w:eastAsia="MS Mincho" w:cstheme="minorHAnsi"/>
              </w:rPr>
              <w:t>.</w:t>
            </w:r>
          </w:p>
        </w:tc>
        <w:tc>
          <w:tcPr>
            <w:tcW w:w="959" w:type="pct"/>
          </w:tcPr>
          <w:p w14:paraId="6461EBCE" w14:textId="77777777" w:rsidR="00217E87" w:rsidRPr="00AD1DBB" w:rsidRDefault="00217E87" w:rsidP="00A71365">
            <w:pPr>
              <w:pStyle w:val="Tablewriting"/>
              <w:rPr>
                <w:rFonts w:eastAsia="MS Mincho" w:cstheme="minorHAnsi"/>
                <w:u w:val="single"/>
              </w:rPr>
            </w:pPr>
            <w:r w:rsidRPr="00AD1DBB">
              <w:rPr>
                <w:rFonts w:eastAsia="MS Mincho" w:cstheme="minorHAnsi"/>
                <w:u w:val="single"/>
              </w:rPr>
              <w:lastRenderedPageBreak/>
              <w:t>Efficacy:</w:t>
            </w:r>
          </w:p>
          <w:p w14:paraId="293A5FED" w14:textId="3EECAE21" w:rsidR="00837C4F" w:rsidRPr="00837C4F" w:rsidRDefault="00837C4F" w:rsidP="00A71365">
            <w:pPr>
              <w:pStyle w:val="Tablewriting"/>
              <w:rPr>
                <w:rFonts w:eastAsia="MS Mincho" w:cstheme="minorHAnsi"/>
              </w:rPr>
            </w:pPr>
            <w:r w:rsidRPr="00837C4F">
              <w:rPr>
                <w:rFonts w:eastAsia="MS Mincho" w:cstheme="minorHAnsi"/>
              </w:rPr>
              <w:t>Primary: 7-day PPA at 6</w:t>
            </w:r>
            <w:r w:rsidR="00355DB9">
              <w:rPr>
                <w:rFonts w:eastAsia="MS Mincho" w:cstheme="minorHAnsi"/>
              </w:rPr>
              <w:t xml:space="preserve"> months.</w:t>
            </w:r>
          </w:p>
          <w:p w14:paraId="3F7EC331" w14:textId="58BA7338" w:rsidR="00837C4F" w:rsidRPr="00837C4F" w:rsidRDefault="00837C4F" w:rsidP="00A71365">
            <w:pPr>
              <w:pStyle w:val="Tablewriting"/>
              <w:rPr>
                <w:rFonts w:eastAsia="MS Mincho" w:cstheme="minorHAnsi"/>
              </w:rPr>
            </w:pPr>
            <w:r w:rsidRPr="00837C4F">
              <w:rPr>
                <w:rFonts w:eastAsia="MS Mincho" w:cstheme="minorHAnsi"/>
              </w:rPr>
              <w:t>Secondary: CA from w</w:t>
            </w:r>
            <w:r w:rsidR="00355DB9">
              <w:rPr>
                <w:rFonts w:eastAsia="MS Mincho" w:cstheme="minorHAnsi"/>
              </w:rPr>
              <w:t>ee</w:t>
            </w:r>
            <w:r w:rsidRPr="00837C4F">
              <w:rPr>
                <w:rFonts w:eastAsia="MS Mincho" w:cstheme="minorHAnsi"/>
              </w:rPr>
              <w:t>k 2 to 6</w:t>
            </w:r>
            <w:r w:rsidR="00355DB9">
              <w:rPr>
                <w:rFonts w:eastAsia="MS Mincho" w:cstheme="minorHAnsi"/>
              </w:rPr>
              <w:t xml:space="preserve"> </w:t>
            </w:r>
            <w:r w:rsidRPr="00837C4F">
              <w:rPr>
                <w:rFonts w:eastAsia="MS Mincho" w:cstheme="minorHAnsi"/>
              </w:rPr>
              <w:t>m</w:t>
            </w:r>
            <w:r w:rsidR="00355DB9">
              <w:rPr>
                <w:rFonts w:eastAsia="MS Mincho" w:cstheme="minorHAnsi"/>
              </w:rPr>
              <w:t>onths</w:t>
            </w:r>
            <w:r w:rsidRPr="00837C4F">
              <w:rPr>
                <w:rFonts w:eastAsia="MS Mincho" w:cstheme="minorHAnsi"/>
              </w:rPr>
              <w:t xml:space="preserve">; for non-quitters: </w:t>
            </w:r>
            <w:r w:rsidRPr="00837C4F">
              <w:rPr>
                <w:rFonts w:eastAsia="MS Mincho" w:cstheme="minorHAnsi"/>
              </w:rPr>
              <w:lastRenderedPageBreak/>
              <w:t>CPD reduction in the 28 days prior to 6</w:t>
            </w:r>
            <w:r w:rsidR="00355DB9">
              <w:rPr>
                <w:rFonts w:eastAsia="MS Mincho" w:cstheme="minorHAnsi"/>
              </w:rPr>
              <w:t xml:space="preserve"> </w:t>
            </w:r>
            <w:r w:rsidRPr="00837C4F">
              <w:rPr>
                <w:rFonts w:eastAsia="MS Mincho" w:cstheme="minorHAnsi"/>
              </w:rPr>
              <w:t>m</w:t>
            </w:r>
            <w:r w:rsidR="00355DB9">
              <w:rPr>
                <w:rFonts w:eastAsia="MS Mincho" w:cstheme="minorHAnsi"/>
              </w:rPr>
              <w:t>onths</w:t>
            </w:r>
            <w:r w:rsidRPr="00837C4F">
              <w:rPr>
                <w:rFonts w:eastAsia="MS Mincho" w:cstheme="minorHAnsi"/>
              </w:rPr>
              <w:t xml:space="preserve"> assessment</w:t>
            </w:r>
            <w:r w:rsidR="00355DB9">
              <w:rPr>
                <w:rFonts w:eastAsia="MS Mincho" w:cstheme="minorHAnsi"/>
              </w:rPr>
              <w:t>.</w:t>
            </w:r>
          </w:p>
          <w:p w14:paraId="3B10824B" w14:textId="77777777" w:rsidR="00355DB9" w:rsidRDefault="00355DB9" w:rsidP="00A71365">
            <w:pPr>
              <w:pStyle w:val="Tablewriting"/>
              <w:rPr>
                <w:rFonts w:eastAsia="MS Mincho" w:cstheme="minorHAnsi"/>
              </w:rPr>
            </w:pPr>
          </w:p>
          <w:p w14:paraId="1BA035A6" w14:textId="03E31E5D" w:rsidR="00217E87" w:rsidRDefault="00837C4F" w:rsidP="00A71365">
            <w:pPr>
              <w:pStyle w:val="Tablewriting"/>
              <w:rPr>
                <w:rFonts w:eastAsia="MS Mincho" w:cstheme="minorHAnsi"/>
              </w:rPr>
            </w:pPr>
            <w:r w:rsidRPr="00837C4F">
              <w:rPr>
                <w:rFonts w:eastAsia="MS Mincho" w:cstheme="minorHAnsi"/>
              </w:rPr>
              <w:t>Validation: CO &lt; 8 ppm; urinary cotinine in varenicline and placebo participants claiming abstinence</w:t>
            </w:r>
          </w:p>
          <w:p w14:paraId="138F51A7" w14:textId="77777777" w:rsidR="00355DB9" w:rsidRDefault="00355DB9" w:rsidP="00A71365">
            <w:pPr>
              <w:pStyle w:val="Tablewriting"/>
              <w:rPr>
                <w:rFonts w:eastAsia="MS Mincho" w:cstheme="minorHAnsi"/>
                <w:u w:val="single"/>
              </w:rPr>
            </w:pPr>
          </w:p>
          <w:p w14:paraId="000E3AC4" w14:textId="31DBEDE2" w:rsidR="00C3700A" w:rsidRPr="00017AE6" w:rsidRDefault="00217E87" w:rsidP="00A71365">
            <w:pPr>
              <w:pStyle w:val="Tablewriting"/>
              <w:rPr>
                <w:rFonts w:eastAsia="MS Mincho" w:cstheme="minorHAnsi"/>
              </w:rPr>
            </w:pPr>
            <w:r w:rsidRPr="00AD1DBB">
              <w:rPr>
                <w:rFonts w:eastAsia="MS Mincho" w:cstheme="minorHAnsi"/>
                <w:u w:val="single"/>
              </w:rPr>
              <w:t>Safety:</w:t>
            </w:r>
            <w:r w:rsidR="00355DB9">
              <w:rPr>
                <w:rFonts w:eastAsia="MS Mincho" w:cstheme="minorHAnsi"/>
                <w:u w:val="single"/>
              </w:rPr>
              <w:t xml:space="preserve"> </w:t>
            </w:r>
            <w:r w:rsidR="00355DB9" w:rsidRPr="00355DB9">
              <w:rPr>
                <w:rFonts w:eastAsia="MS Mincho" w:cstheme="minorHAnsi"/>
              </w:rPr>
              <w:t>NR</w:t>
            </w:r>
          </w:p>
        </w:tc>
      </w:tr>
      <w:tr w:rsidR="001B799D" w:rsidRPr="00017AE6" w14:paraId="5B0D08CD" w14:textId="77777777" w:rsidTr="005821B1">
        <w:trPr>
          <w:trHeight w:val="99"/>
        </w:trPr>
        <w:tc>
          <w:tcPr>
            <w:tcW w:w="411" w:type="pct"/>
          </w:tcPr>
          <w:p w14:paraId="07816F50" w14:textId="614D225A" w:rsidR="001B799D" w:rsidRPr="001B799D" w:rsidRDefault="001B799D" w:rsidP="005821B1">
            <w:pPr>
              <w:pStyle w:val="Tablewriting"/>
              <w:jc w:val="both"/>
              <w:rPr>
                <w:rFonts w:eastAsia="MS Mincho" w:cstheme="minorHAnsi"/>
              </w:rPr>
            </w:pPr>
            <w:r w:rsidRPr="001B799D">
              <w:rPr>
                <w:rFonts w:eastAsia="MS Mincho" w:cstheme="minorHAnsi"/>
              </w:rPr>
              <w:lastRenderedPageBreak/>
              <w:t xml:space="preserve">Tsukahara </w:t>
            </w:r>
            <w:r w:rsidR="00FA40D7">
              <w:rPr>
                <w:rFonts w:eastAsia="MS Mincho" w:cstheme="minorHAnsi"/>
              </w:rPr>
              <w:t>(</w:t>
            </w:r>
            <w:r w:rsidRPr="001B799D">
              <w:rPr>
                <w:rFonts w:eastAsia="MS Mincho" w:cstheme="minorHAnsi"/>
              </w:rPr>
              <w:t>2010</w:t>
            </w:r>
            <w:r w:rsidR="00FA40D7">
              <w:rPr>
                <w:rFonts w:eastAsia="MS Mincho" w:cstheme="minorHAnsi"/>
              </w:rPr>
              <w:t>)</w:t>
            </w:r>
          </w:p>
        </w:tc>
        <w:tc>
          <w:tcPr>
            <w:tcW w:w="235" w:type="pct"/>
          </w:tcPr>
          <w:p w14:paraId="0B98008B" w14:textId="259C5F0D" w:rsidR="001B799D" w:rsidRPr="00017AE6" w:rsidRDefault="009B13E5" w:rsidP="005821B1">
            <w:pPr>
              <w:pStyle w:val="Tablewriting"/>
              <w:jc w:val="both"/>
              <w:rPr>
                <w:rFonts w:eastAsia="MS Mincho" w:cstheme="minorHAnsi"/>
              </w:rPr>
            </w:pPr>
            <w:r>
              <w:rPr>
                <w:rFonts w:eastAsia="MS Mincho" w:cstheme="minorHAnsi"/>
              </w:rPr>
              <w:t>RCT</w:t>
            </w:r>
          </w:p>
        </w:tc>
        <w:tc>
          <w:tcPr>
            <w:tcW w:w="431" w:type="pct"/>
          </w:tcPr>
          <w:p w14:paraId="61599BFA" w14:textId="2DAAED0F" w:rsidR="001B799D" w:rsidRPr="00017AE6" w:rsidRDefault="009B13E5" w:rsidP="005821B1">
            <w:pPr>
              <w:pStyle w:val="Tablewriting"/>
              <w:jc w:val="both"/>
              <w:rPr>
                <w:rFonts w:eastAsia="MS Mincho" w:cstheme="minorHAnsi"/>
              </w:rPr>
            </w:pPr>
            <w:r>
              <w:rPr>
                <w:rFonts w:eastAsia="MS Mincho" w:cstheme="minorHAnsi"/>
              </w:rPr>
              <w:t>Japan</w:t>
            </w:r>
          </w:p>
        </w:tc>
        <w:tc>
          <w:tcPr>
            <w:tcW w:w="679" w:type="pct"/>
          </w:tcPr>
          <w:p w14:paraId="45C1AA99" w14:textId="3FC5EE25" w:rsidR="001B799D" w:rsidRPr="00017AE6" w:rsidRDefault="004E5635" w:rsidP="005821B1">
            <w:pPr>
              <w:pStyle w:val="Tablewriting"/>
              <w:jc w:val="both"/>
              <w:rPr>
                <w:rFonts w:eastAsia="MS Mincho" w:cstheme="minorHAnsi"/>
              </w:rPr>
            </w:pPr>
            <w:r w:rsidRPr="00C45B56">
              <w:rPr>
                <w:rFonts w:eastAsia="MS Mincho" w:cstheme="minorHAnsi"/>
              </w:rPr>
              <w:t>N=</w:t>
            </w:r>
            <w:r w:rsidR="00E860B5">
              <w:rPr>
                <w:rFonts w:eastAsia="MS Mincho" w:cstheme="minorHAnsi"/>
              </w:rPr>
              <w:t>32</w:t>
            </w:r>
          </w:p>
        </w:tc>
        <w:tc>
          <w:tcPr>
            <w:tcW w:w="1232" w:type="pct"/>
          </w:tcPr>
          <w:p w14:paraId="07E49ECE" w14:textId="77777777" w:rsidR="00A8254D" w:rsidRDefault="007F6057" w:rsidP="005821B1">
            <w:pPr>
              <w:pStyle w:val="Tablewriting"/>
              <w:jc w:val="both"/>
              <w:rPr>
                <w:rFonts w:eastAsia="MS Mincho" w:cstheme="minorHAnsi"/>
              </w:rPr>
            </w:pPr>
            <w:r>
              <w:rPr>
                <w:rFonts w:eastAsia="MS Mincho" w:cstheme="minorHAnsi"/>
              </w:rPr>
              <w:t>A</w:t>
            </w:r>
            <w:r w:rsidRPr="007F6057">
              <w:rPr>
                <w:rFonts w:eastAsia="MS Mincho" w:cstheme="minorHAnsi"/>
              </w:rPr>
              <w:t>dult smokers, motivated to quit, allocated to varenicline (16) or nicotine patch (16). 75% men,</w:t>
            </w:r>
            <w:r w:rsidR="00E94B0D">
              <w:rPr>
                <w:rFonts w:eastAsia="MS Mincho" w:cstheme="minorHAnsi"/>
              </w:rPr>
              <w:t xml:space="preserve"> </w:t>
            </w:r>
            <w:r w:rsidRPr="007F6057">
              <w:rPr>
                <w:rFonts w:eastAsia="MS Mincho" w:cstheme="minorHAnsi"/>
              </w:rPr>
              <w:t>mean age 46, mean CPD 28 (varenicline), 25 (patch), mean TDS (addiction) score 7.6, mean Brinkman</w:t>
            </w:r>
            <w:r w:rsidR="00E94B0D">
              <w:rPr>
                <w:rFonts w:eastAsia="MS Mincho" w:cstheme="minorHAnsi"/>
              </w:rPr>
              <w:t xml:space="preserve"> </w:t>
            </w:r>
            <w:r w:rsidRPr="007F6057">
              <w:rPr>
                <w:rFonts w:eastAsia="MS Mincho" w:cstheme="minorHAnsi"/>
              </w:rPr>
              <w:t>index score (CPD x y</w:t>
            </w:r>
            <w:r w:rsidR="00E94B0D">
              <w:rPr>
                <w:rFonts w:eastAsia="MS Mincho" w:cstheme="minorHAnsi"/>
              </w:rPr>
              <w:t>ea</w:t>
            </w:r>
            <w:r w:rsidRPr="007F6057">
              <w:rPr>
                <w:rFonts w:eastAsia="MS Mincho" w:cstheme="minorHAnsi"/>
              </w:rPr>
              <w:t xml:space="preserve">rs smoking) 702. </w:t>
            </w:r>
          </w:p>
          <w:p w14:paraId="1F3701D3" w14:textId="2AAB478C" w:rsidR="007F6057" w:rsidRPr="007F6057" w:rsidRDefault="007F6057" w:rsidP="005821B1">
            <w:pPr>
              <w:pStyle w:val="Tablewriting"/>
              <w:jc w:val="both"/>
              <w:rPr>
                <w:rFonts w:eastAsia="MS Mincho" w:cstheme="minorHAnsi"/>
              </w:rPr>
            </w:pPr>
            <w:r w:rsidRPr="007F6057">
              <w:rPr>
                <w:rFonts w:eastAsia="MS Mincho" w:cstheme="minorHAnsi"/>
              </w:rPr>
              <w:t>71% had tried to quit previously, and 7% had used nicotine patches</w:t>
            </w:r>
          </w:p>
          <w:p w14:paraId="31BA9530" w14:textId="7049A67D" w:rsidR="001B799D" w:rsidRPr="00017AE6" w:rsidRDefault="00A8254D" w:rsidP="005821B1">
            <w:pPr>
              <w:pStyle w:val="Tablewriting"/>
              <w:jc w:val="both"/>
              <w:rPr>
                <w:rFonts w:eastAsia="MS Mincho" w:cstheme="minorHAnsi"/>
              </w:rPr>
            </w:pPr>
            <w:r w:rsidRPr="007F6057">
              <w:rPr>
                <w:rFonts w:eastAsia="MS Mincho" w:cstheme="minorHAnsi"/>
              </w:rPr>
              <w:t>B</w:t>
            </w:r>
            <w:r w:rsidR="007F6057" w:rsidRPr="007F6057">
              <w:rPr>
                <w:rFonts w:eastAsia="MS Mincho" w:cstheme="minorHAnsi"/>
              </w:rPr>
              <w:t>efore</w:t>
            </w:r>
            <w:r>
              <w:rPr>
                <w:rFonts w:eastAsia="MS Mincho" w:cstheme="minorHAnsi"/>
              </w:rPr>
              <w:t xml:space="preserve"> </w:t>
            </w:r>
            <w:r w:rsidR="007F6057" w:rsidRPr="007F6057">
              <w:rPr>
                <w:rFonts w:eastAsia="MS Mincho" w:cstheme="minorHAnsi"/>
              </w:rPr>
              <w:t>Standard</w:t>
            </w:r>
            <w:r>
              <w:rPr>
                <w:rFonts w:eastAsia="MS Mincho" w:cstheme="minorHAnsi"/>
              </w:rPr>
              <w:t xml:space="preserve"> </w:t>
            </w:r>
            <w:r w:rsidR="007F6057" w:rsidRPr="007F6057">
              <w:rPr>
                <w:rFonts w:eastAsia="MS Mincho" w:cstheme="minorHAnsi"/>
              </w:rPr>
              <w:t xml:space="preserve">pharmacotherapy trial exclusion criteria, plus attendance </w:t>
            </w:r>
            <w:r w:rsidR="00836B64">
              <w:rPr>
                <w:rFonts w:eastAsia="MS Mincho" w:cstheme="minorHAnsi"/>
              </w:rPr>
              <w:t xml:space="preserve">at any smoking cessation clinic </w:t>
            </w:r>
            <w:r w:rsidR="007F6057" w:rsidRPr="007F6057">
              <w:rPr>
                <w:rFonts w:eastAsia="MS Mincho" w:cstheme="minorHAnsi"/>
              </w:rPr>
              <w:t>during previous 12</w:t>
            </w:r>
            <w:r>
              <w:rPr>
                <w:rFonts w:eastAsia="MS Mincho" w:cstheme="minorHAnsi"/>
              </w:rPr>
              <w:t xml:space="preserve"> months.</w:t>
            </w:r>
          </w:p>
        </w:tc>
        <w:tc>
          <w:tcPr>
            <w:tcW w:w="1054" w:type="pct"/>
          </w:tcPr>
          <w:p w14:paraId="10E5C58D" w14:textId="1BA2CF39" w:rsidR="008633D9" w:rsidRDefault="008633D9" w:rsidP="005821B1">
            <w:pPr>
              <w:pStyle w:val="Tablewriting"/>
              <w:numPr>
                <w:ilvl w:val="0"/>
                <w:numId w:val="147"/>
              </w:numPr>
              <w:jc w:val="both"/>
              <w:rPr>
                <w:rFonts w:eastAsia="MS Mincho" w:cstheme="minorHAnsi"/>
              </w:rPr>
            </w:pPr>
            <w:r w:rsidRPr="008633D9">
              <w:rPr>
                <w:rFonts w:eastAsia="MS Mincho" w:cstheme="minorHAnsi"/>
              </w:rPr>
              <w:t>Open-label</w:t>
            </w:r>
            <w:r w:rsidR="00AE1358">
              <w:rPr>
                <w:rFonts w:eastAsia="MS Mincho" w:cstheme="minorHAnsi"/>
              </w:rPr>
              <w:t xml:space="preserve"> </w:t>
            </w:r>
            <w:r w:rsidRPr="008633D9">
              <w:rPr>
                <w:rFonts w:eastAsia="MS Mincho" w:cstheme="minorHAnsi"/>
              </w:rPr>
              <w:t>varenicline 1.0 mg x 2/day for 12 w</w:t>
            </w:r>
            <w:r>
              <w:rPr>
                <w:rFonts w:eastAsia="MS Mincho" w:cstheme="minorHAnsi"/>
              </w:rPr>
              <w:t>ee</w:t>
            </w:r>
            <w:r w:rsidRPr="008633D9">
              <w:rPr>
                <w:rFonts w:eastAsia="MS Mincho" w:cstheme="minorHAnsi"/>
              </w:rPr>
              <w:t>ks, following 1 w</w:t>
            </w:r>
            <w:r>
              <w:rPr>
                <w:rFonts w:eastAsia="MS Mincho" w:cstheme="minorHAnsi"/>
              </w:rPr>
              <w:t>ee</w:t>
            </w:r>
            <w:r w:rsidRPr="008633D9">
              <w:rPr>
                <w:rFonts w:eastAsia="MS Mincho" w:cstheme="minorHAnsi"/>
              </w:rPr>
              <w:t>k</w:t>
            </w:r>
            <w:r>
              <w:rPr>
                <w:rFonts w:eastAsia="MS Mincho" w:cstheme="minorHAnsi"/>
              </w:rPr>
              <w:t xml:space="preserve"> </w:t>
            </w:r>
            <w:r w:rsidRPr="008633D9">
              <w:rPr>
                <w:rFonts w:eastAsia="MS Mincho" w:cstheme="minorHAnsi"/>
              </w:rPr>
              <w:t>titration</w:t>
            </w:r>
            <w:r>
              <w:rPr>
                <w:rFonts w:eastAsia="MS Mincho" w:cstheme="minorHAnsi"/>
              </w:rPr>
              <w:t>.</w:t>
            </w:r>
          </w:p>
          <w:p w14:paraId="6140E09B" w14:textId="77777777" w:rsidR="008633D9" w:rsidRDefault="008633D9" w:rsidP="005821B1">
            <w:pPr>
              <w:pStyle w:val="Tablewriting"/>
              <w:numPr>
                <w:ilvl w:val="0"/>
                <w:numId w:val="147"/>
              </w:numPr>
              <w:jc w:val="both"/>
              <w:rPr>
                <w:rFonts w:eastAsia="MS Mincho" w:cstheme="minorHAnsi"/>
              </w:rPr>
            </w:pPr>
            <w:r w:rsidRPr="008633D9">
              <w:rPr>
                <w:rFonts w:eastAsia="MS Mincho" w:cstheme="minorHAnsi"/>
              </w:rPr>
              <w:t>Open-label nicotine patch for 8 w</w:t>
            </w:r>
            <w:r>
              <w:rPr>
                <w:rFonts w:eastAsia="MS Mincho" w:cstheme="minorHAnsi"/>
              </w:rPr>
              <w:t>ee</w:t>
            </w:r>
            <w:r w:rsidRPr="008633D9">
              <w:rPr>
                <w:rFonts w:eastAsia="MS Mincho" w:cstheme="minorHAnsi"/>
              </w:rPr>
              <w:t>ks (52.5 mg/day for 4 w</w:t>
            </w:r>
            <w:r>
              <w:rPr>
                <w:rFonts w:eastAsia="MS Mincho" w:cstheme="minorHAnsi"/>
              </w:rPr>
              <w:t>ee</w:t>
            </w:r>
            <w:r w:rsidRPr="008633D9">
              <w:rPr>
                <w:rFonts w:eastAsia="MS Mincho" w:cstheme="minorHAnsi"/>
              </w:rPr>
              <w:t>ks, 35 mg/day for 2 w</w:t>
            </w:r>
            <w:r>
              <w:rPr>
                <w:rFonts w:eastAsia="MS Mincho" w:cstheme="minorHAnsi"/>
              </w:rPr>
              <w:t>ee</w:t>
            </w:r>
            <w:r w:rsidRPr="008633D9">
              <w:rPr>
                <w:rFonts w:eastAsia="MS Mincho" w:cstheme="minorHAnsi"/>
              </w:rPr>
              <w:t>ks, 17.5 mg/day for 2</w:t>
            </w:r>
            <w:r>
              <w:rPr>
                <w:rFonts w:eastAsia="MS Mincho" w:cstheme="minorHAnsi"/>
              </w:rPr>
              <w:t xml:space="preserve"> </w:t>
            </w:r>
            <w:r w:rsidRPr="008633D9">
              <w:rPr>
                <w:rFonts w:eastAsia="MS Mincho" w:cstheme="minorHAnsi"/>
              </w:rPr>
              <w:t>w</w:t>
            </w:r>
            <w:r>
              <w:rPr>
                <w:rFonts w:eastAsia="MS Mincho" w:cstheme="minorHAnsi"/>
              </w:rPr>
              <w:t>ee</w:t>
            </w:r>
            <w:r w:rsidRPr="008633D9">
              <w:rPr>
                <w:rFonts w:eastAsia="MS Mincho" w:cstheme="minorHAnsi"/>
              </w:rPr>
              <w:t>ks)</w:t>
            </w:r>
            <w:r>
              <w:rPr>
                <w:rFonts w:eastAsia="MS Mincho" w:cstheme="minorHAnsi"/>
              </w:rPr>
              <w:t>.</w:t>
            </w:r>
          </w:p>
          <w:p w14:paraId="1E3A007F" w14:textId="6672E826" w:rsidR="008633D9" w:rsidRPr="008633D9" w:rsidRDefault="008633D9" w:rsidP="005821B1">
            <w:pPr>
              <w:pStyle w:val="Tablewriting"/>
              <w:numPr>
                <w:ilvl w:val="0"/>
                <w:numId w:val="147"/>
              </w:numPr>
              <w:jc w:val="both"/>
              <w:rPr>
                <w:rFonts w:eastAsia="MS Mincho" w:cstheme="minorHAnsi"/>
              </w:rPr>
            </w:pPr>
            <w:r w:rsidRPr="008633D9">
              <w:rPr>
                <w:rFonts w:eastAsia="MS Mincho" w:cstheme="minorHAnsi"/>
              </w:rPr>
              <w:t>No non-treatment or placebo control group</w:t>
            </w:r>
          </w:p>
          <w:p w14:paraId="34AC1983" w14:textId="77777777" w:rsidR="008633D9" w:rsidRDefault="008633D9" w:rsidP="005821B1">
            <w:pPr>
              <w:pStyle w:val="Tablewriting"/>
              <w:jc w:val="both"/>
              <w:rPr>
                <w:rFonts w:eastAsia="MS Mincho" w:cstheme="minorHAnsi"/>
              </w:rPr>
            </w:pPr>
          </w:p>
          <w:p w14:paraId="5DFA119A" w14:textId="33B19ED0" w:rsidR="001B799D" w:rsidRPr="00017AE6" w:rsidRDefault="008633D9" w:rsidP="005821B1">
            <w:pPr>
              <w:pStyle w:val="Tablewriting"/>
              <w:jc w:val="both"/>
              <w:rPr>
                <w:rFonts w:eastAsia="MS Mincho" w:cstheme="minorHAnsi"/>
              </w:rPr>
            </w:pPr>
            <w:r w:rsidRPr="008633D9">
              <w:rPr>
                <w:rFonts w:eastAsia="MS Mincho" w:cstheme="minorHAnsi"/>
              </w:rPr>
              <w:t>Varenicline group</w:t>
            </w:r>
            <w:r>
              <w:rPr>
                <w:rFonts w:eastAsia="MS Mincho" w:cstheme="minorHAnsi"/>
              </w:rPr>
              <w:t xml:space="preserve"> </w:t>
            </w:r>
            <w:r w:rsidRPr="008633D9">
              <w:rPr>
                <w:rFonts w:eastAsia="MS Mincho" w:cstheme="minorHAnsi"/>
              </w:rPr>
              <w:t>received 8 clinic visits and nicotine group 5 visits over 12 w</w:t>
            </w:r>
            <w:r>
              <w:rPr>
                <w:rFonts w:eastAsia="MS Mincho" w:cstheme="minorHAnsi"/>
              </w:rPr>
              <w:t>ee</w:t>
            </w:r>
            <w:r w:rsidRPr="008633D9">
              <w:rPr>
                <w:rFonts w:eastAsia="MS Mincho" w:cstheme="minorHAnsi"/>
              </w:rPr>
              <w:t>ks, with 5 brief counselling</w:t>
            </w:r>
            <w:r w:rsidR="00AE1358">
              <w:rPr>
                <w:rFonts w:eastAsia="MS Mincho" w:cstheme="minorHAnsi"/>
              </w:rPr>
              <w:t xml:space="preserve"> </w:t>
            </w:r>
            <w:r w:rsidRPr="008633D9">
              <w:rPr>
                <w:rFonts w:eastAsia="MS Mincho" w:cstheme="minorHAnsi"/>
              </w:rPr>
              <w:t>sessions (</w:t>
            </w:r>
            <w:r w:rsidR="00AE1358" w:rsidRPr="00AE1358">
              <w:rPr>
                <w:rFonts w:eastAsia="MS Mincho" w:cstheme="minorHAnsi"/>
              </w:rPr>
              <w:t>≤</w:t>
            </w:r>
            <w:r w:rsidRPr="008633D9">
              <w:rPr>
                <w:rFonts w:eastAsia="MS Mincho" w:cstheme="minorHAnsi"/>
              </w:rPr>
              <w:t xml:space="preserve"> 10 mins)</w:t>
            </w:r>
            <w:r w:rsidR="00AE1358">
              <w:rPr>
                <w:rFonts w:eastAsia="MS Mincho" w:cstheme="minorHAnsi"/>
              </w:rPr>
              <w:t>.</w:t>
            </w:r>
          </w:p>
        </w:tc>
        <w:tc>
          <w:tcPr>
            <w:tcW w:w="959" w:type="pct"/>
          </w:tcPr>
          <w:p w14:paraId="7701A167" w14:textId="77777777" w:rsidR="00217E87" w:rsidRPr="00AD1DBB" w:rsidRDefault="00217E87" w:rsidP="005821B1">
            <w:pPr>
              <w:pStyle w:val="Tablewriting"/>
              <w:jc w:val="both"/>
              <w:rPr>
                <w:rFonts w:eastAsia="MS Mincho" w:cstheme="minorHAnsi"/>
                <w:u w:val="single"/>
              </w:rPr>
            </w:pPr>
            <w:r w:rsidRPr="00AD1DBB">
              <w:rPr>
                <w:rFonts w:eastAsia="MS Mincho" w:cstheme="minorHAnsi"/>
                <w:u w:val="single"/>
              </w:rPr>
              <w:t>Efficacy:</w:t>
            </w:r>
          </w:p>
          <w:p w14:paraId="3D620652" w14:textId="63E857BF" w:rsidR="008678CA" w:rsidRDefault="008678CA" w:rsidP="005821B1">
            <w:pPr>
              <w:pStyle w:val="Tablewriting"/>
              <w:jc w:val="both"/>
              <w:rPr>
                <w:rFonts w:eastAsia="MS Mincho" w:cstheme="minorHAnsi"/>
              </w:rPr>
            </w:pPr>
            <w:r w:rsidRPr="008678CA">
              <w:rPr>
                <w:rFonts w:eastAsia="MS Mincho" w:cstheme="minorHAnsi"/>
              </w:rPr>
              <w:t>CO-confirmed CAR at 9 - 12 w</w:t>
            </w:r>
            <w:r w:rsidR="0084289F">
              <w:rPr>
                <w:rFonts w:eastAsia="MS Mincho" w:cstheme="minorHAnsi"/>
              </w:rPr>
              <w:t>ee</w:t>
            </w:r>
            <w:r w:rsidRPr="008678CA">
              <w:rPr>
                <w:rFonts w:eastAsia="MS Mincho" w:cstheme="minorHAnsi"/>
              </w:rPr>
              <w:t>ks, and self-reported at 9 - 24 w</w:t>
            </w:r>
            <w:r w:rsidR="0084289F">
              <w:rPr>
                <w:rFonts w:eastAsia="MS Mincho" w:cstheme="minorHAnsi"/>
              </w:rPr>
              <w:t>ee</w:t>
            </w:r>
            <w:r w:rsidRPr="008678CA">
              <w:rPr>
                <w:rFonts w:eastAsia="MS Mincho" w:cstheme="minorHAnsi"/>
              </w:rPr>
              <w:t>ks by phone interview</w:t>
            </w:r>
            <w:r w:rsidR="0084289F">
              <w:rPr>
                <w:rFonts w:eastAsia="MS Mincho" w:cstheme="minorHAnsi"/>
              </w:rPr>
              <w:t>.</w:t>
            </w:r>
          </w:p>
          <w:p w14:paraId="08CB8CCF" w14:textId="77777777" w:rsidR="0084289F" w:rsidRPr="008678CA" w:rsidRDefault="0084289F" w:rsidP="005821B1">
            <w:pPr>
              <w:pStyle w:val="Tablewriting"/>
              <w:jc w:val="both"/>
              <w:rPr>
                <w:rFonts w:eastAsia="MS Mincho" w:cstheme="minorHAnsi"/>
              </w:rPr>
            </w:pPr>
          </w:p>
          <w:p w14:paraId="74994BC8" w14:textId="40B559B7" w:rsidR="008678CA" w:rsidRPr="008678CA" w:rsidRDefault="008678CA" w:rsidP="005821B1">
            <w:pPr>
              <w:pStyle w:val="Tablewriting"/>
              <w:jc w:val="both"/>
              <w:rPr>
                <w:rFonts w:eastAsia="MS Mincho" w:cstheme="minorHAnsi"/>
              </w:rPr>
            </w:pPr>
            <w:r w:rsidRPr="008678CA">
              <w:rPr>
                <w:rFonts w:eastAsia="MS Mincho" w:cstheme="minorHAnsi"/>
              </w:rPr>
              <w:t>Validation by expired CO &lt; 8 ppm at 12 w</w:t>
            </w:r>
            <w:r w:rsidR="0084289F">
              <w:rPr>
                <w:rFonts w:eastAsia="MS Mincho" w:cstheme="minorHAnsi"/>
              </w:rPr>
              <w:t>ee</w:t>
            </w:r>
            <w:r w:rsidRPr="008678CA">
              <w:rPr>
                <w:rFonts w:eastAsia="MS Mincho" w:cstheme="minorHAnsi"/>
              </w:rPr>
              <w:t>ks, but not at 24 w</w:t>
            </w:r>
            <w:r w:rsidR="0084289F">
              <w:rPr>
                <w:rFonts w:eastAsia="MS Mincho" w:cstheme="minorHAnsi"/>
              </w:rPr>
              <w:t>ee</w:t>
            </w:r>
            <w:r w:rsidRPr="008678CA">
              <w:rPr>
                <w:rFonts w:eastAsia="MS Mincho" w:cstheme="minorHAnsi"/>
              </w:rPr>
              <w:t>ks</w:t>
            </w:r>
            <w:r w:rsidR="0084289F">
              <w:rPr>
                <w:rFonts w:eastAsia="MS Mincho" w:cstheme="minorHAnsi"/>
              </w:rPr>
              <w:t xml:space="preserve">. </w:t>
            </w:r>
          </w:p>
          <w:p w14:paraId="40581494" w14:textId="65C1AC4C" w:rsidR="0084289F" w:rsidRDefault="0084289F" w:rsidP="005821B1">
            <w:pPr>
              <w:pStyle w:val="Tablewriting"/>
              <w:jc w:val="both"/>
              <w:rPr>
                <w:rFonts w:eastAsia="MS Mincho" w:cstheme="minorHAnsi"/>
              </w:rPr>
            </w:pPr>
          </w:p>
          <w:p w14:paraId="1E9D2FF8" w14:textId="1AB93887" w:rsidR="0084289F" w:rsidRPr="008678CA" w:rsidRDefault="004E5635" w:rsidP="005821B1">
            <w:pPr>
              <w:pStyle w:val="Tablewriting"/>
              <w:jc w:val="both"/>
              <w:rPr>
                <w:rFonts w:eastAsia="MS Mincho" w:cstheme="minorHAnsi"/>
              </w:rPr>
            </w:pPr>
            <w:r w:rsidRPr="00AD1DBB">
              <w:rPr>
                <w:rFonts w:eastAsia="MS Mincho" w:cstheme="minorHAnsi"/>
                <w:u w:val="single"/>
              </w:rPr>
              <w:t>Safety:</w:t>
            </w:r>
            <w:r w:rsidR="0084289F" w:rsidRPr="008678CA">
              <w:rPr>
                <w:rFonts w:eastAsia="MS Mincho" w:cstheme="minorHAnsi"/>
              </w:rPr>
              <w:t xml:space="preserve"> Safety and tolerability by w</w:t>
            </w:r>
            <w:r w:rsidR="0084289F">
              <w:rPr>
                <w:rFonts w:eastAsia="MS Mincho" w:cstheme="minorHAnsi"/>
              </w:rPr>
              <w:t>ee</w:t>
            </w:r>
            <w:r w:rsidR="0084289F" w:rsidRPr="008678CA">
              <w:rPr>
                <w:rFonts w:eastAsia="MS Mincho" w:cstheme="minorHAnsi"/>
              </w:rPr>
              <w:t>k 12, using MNWS at w</w:t>
            </w:r>
            <w:r w:rsidR="0084289F">
              <w:rPr>
                <w:rFonts w:eastAsia="MS Mincho" w:cstheme="minorHAnsi"/>
              </w:rPr>
              <w:t>ee</w:t>
            </w:r>
            <w:r w:rsidR="0084289F" w:rsidRPr="008678CA">
              <w:rPr>
                <w:rFonts w:eastAsia="MS Mincho" w:cstheme="minorHAnsi"/>
              </w:rPr>
              <w:t>ks 2, 4, 8 and 12. Also used Stress</w:t>
            </w:r>
            <w:r w:rsidR="0084289F">
              <w:rPr>
                <w:rFonts w:eastAsia="MS Mincho" w:cstheme="minorHAnsi"/>
              </w:rPr>
              <w:t xml:space="preserve"> </w:t>
            </w:r>
            <w:r w:rsidR="0084289F" w:rsidRPr="008678CA">
              <w:rPr>
                <w:rFonts w:eastAsia="MS Mincho" w:cstheme="minorHAnsi"/>
              </w:rPr>
              <w:t>Check List and Strait-trait Anxiety Inventory</w:t>
            </w:r>
            <w:r w:rsidR="0084289F">
              <w:rPr>
                <w:rFonts w:eastAsia="MS Mincho" w:cstheme="minorHAnsi"/>
              </w:rPr>
              <w:t>.</w:t>
            </w:r>
          </w:p>
          <w:p w14:paraId="5D821F81" w14:textId="0F460BD9" w:rsidR="001B799D" w:rsidRPr="00017AE6" w:rsidRDefault="001B799D" w:rsidP="005821B1">
            <w:pPr>
              <w:pStyle w:val="Tablewriting"/>
              <w:jc w:val="both"/>
              <w:rPr>
                <w:rFonts w:eastAsia="MS Mincho" w:cstheme="minorHAnsi"/>
              </w:rPr>
            </w:pPr>
          </w:p>
        </w:tc>
      </w:tr>
    </w:tbl>
    <w:p w14:paraId="1EC2E14F" w14:textId="77777777" w:rsidR="00E337CE" w:rsidRPr="009B042A" w:rsidRDefault="00E337CE" w:rsidP="005821B1">
      <w:pPr>
        <w:pStyle w:val="TableFooter"/>
        <w:keepNext/>
        <w:jc w:val="both"/>
      </w:pPr>
      <w:r>
        <w:lastRenderedPageBreak/>
        <w:t>Source: Cahill</w:t>
      </w:r>
      <w:r w:rsidRPr="00342BE8">
        <w:t xml:space="preserve"> et al. (201</w:t>
      </w:r>
      <w:r>
        <w:t>6</w:t>
      </w:r>
      <w:r w:rsidRPr="00342BE8">
        <w:t>)</w:t>
      </w:r>
      <w:r>
        <w:t>.</w:t>
      </w:r>
    </w:p>
    <w:p w14:paraId="18EC33BC" w14:textId="03AAB53B" w:rsidR="008C11B5" w:rsidRPr="00FC4F81" w:rsidRDefault="008C11B5" w:rsidP="005821B1">
      <w:pPr>
        <w:pStyle w:val="TableFooter"/>
        <w:keepNext/>
        <w:spacing w:after="120"/>
        <w:contextualSpacing w:val="0"/>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CBT= cognitive behavioural therapy; AEs= adverse events; SAEs= serious adverse events.</w:t>
      </w:r>
    </w:p>
    <w:p w14:paraId="4B79A23B" w14:textId="77777777" w:rsidR="00EA7016" w:rsidRDefault="00EA7016">
      <w:pPr>
        <w:spacing w:line="276" w:lineRule="auto"/>
        <w:rPr>
          <w:rFonts w:asciiTheme="minorHAnsi" w:eastAsia="Times New Roman" w:hAnsiTheme="minorHAnsi" w:cs="Times New Roman"/>
          <w:b/>
          <w:bCs/>
          <w:szCs w:val="18"/>
        </w:rPr>
      </w:pPr>
      <w:bookmarkStart w:id="335" w:name="_Ref54611303"/>
      <w:r>
        <w:br w:type="page"/>
      </w:r>
    </w:p>
    <w:p w14:paraId="52A17F04" w14:textId="7AC1EE9E" w:rsidR="003B08A4" w:rsidRDefault="003B08A4"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150</w:t>
      </w:r>
      <w:r w:rsidR="00BF3F75">
        <w:rPr>
          <w:noProof/>
        </w:rPr>
        <w:fldChar w:fldCharType="end"/>
      </w:r>
      <w:bookmarkEnd w:id="335"/>
      <w:r>
        <w:t xml:space="preserve">: </w:t>
      </w:r>
      <w:r w:rsidRPr="00B75A5E">
        <w:t xml:space="preserve">Characteristics of studies included in </w:t>
      </w:r>
      <w:r>
        <w:t>Lindson</w:t>
      </w:r>
      <w:r w:rsidRPr="00B75A5E">
        <w:t xml:space="preserve"> et al. (201</w:t>
      </w:r>
      <w:r>
        <w:t>9</w:t>
      </w:r>
      <w:r w:rsidRPr="00B75A5E">
        <w:t xml:space="preserve">), </w:t>
      </w:r>
      <w:r>
        <w:t xml:space="preserve">NRT lozenge or gum versus </w:t>
      </w:r>
      <w:r w:rsidRPr="00B75A5E">
        <w:t>NRT patch</w:t>
      </w:r>
    </w:p>
    <w:tbl>
      <w:tblPr>
        <w:tblStyle w:val="TableGrid"/>
        <w:tblW w:w="5000" w:type="pct"/>
        <w:tblLook w:val="04A0" w:firstRow="1" w:lastRow="0" w:firstColumn="1" w:lastColumn="0" w:noHBand="0" w:noVBand="1"/>
        <w:tblCaption w:val="Efficacy results of adalimumab trials (PASI 75 and DLQI)"/>
      </w:tblPr>
      <w:tblGrid>
        <w:gridCol w:w="1390"/>
        <w:gridCol w:w="690"/>
        <w:gridCol w:w="1214"/>
        <w:gridCol w:w="1005"/>
        <w:gridCol w:w="3847"/>
        <w:gridCol w:w="3240"/>
        <w:gridCol w:w="2562"/>
      </w:tblGrid>
      <w:tr w:rsidR="003B08A4" w:rsidRPr="00061F78" w14:paraId="514D17EE" w14:textId="77777777" w:rsidTr="005821B1">
        <w:trPr>
          <w:trHeight w:val="299"/>
          <w:tblHeader/>
        </w:trPr>
        <w:tc>
          <w:tcPr>
            <w:tcW w:w="500" w:type="pct"/>
            <w:shd w:val="clear" w:color="auto" w:fill="BFBFBF" w:themeFill="background1" w:themeFillShade="BF"/>
            <w:tcMar>
              <w:left w:w="28" w:type="dxa"/>
              <w:right w:w="28" w:type="dxa"/>
            </w:tcMar>
          </w:tcPr>
          <w:p w14:paraId="23236D7F" w14:textId="38E63219" w:rsidR="003B08A4" w:rsidRPr="00061F78" w:rsidRDefault="00126B7B" w:rsidP="00A71365">
            <w:pPr>
              <w:pStyle w:val="Tableheading"/>
              <w:rPr>
                <w:rFonts w:eastAsia="MS Mincho"/>
              </w:rPr>
            </w:pPr>
            <w:r>
              <w:rPr>
                <w:rFonts w:eastAsia="MS Mincho"/>
              </w:rPr>
              <w:t>Study</w:t>
            </w:r>
          </w:p>
        </w:tc>
        <w:tc>
          <w:tcPr>
            <w:tcW w:w="237" w:type="pct"/>
            <w:shd w:val="clear" w:color="auto" w:fill="BFBFBF" w:themeFill="background1" w:themeFillShade="BF"/>
          </w:tcPr>
          <w:p w14:paraId="212C6852" w14:textId="77777777" w:rsidR="003B08A4" w:rsidRDefault="003B08A4" w:rsidP="00A71365">
            <w:pPr>
              <w:pStyle w:val="Tableheading"/>
              <w:jc w:val="center"/>
              <w:rPr>
                <w:rFonts w:eastAsia="MS Mincho"/>
              </w:rPr>
            </w:pPr>
            <w:r>
              <w:rPr>
                <w:rFonts w:eastAsia="MS Mincho"/>
              </w:rPr>
              <w:t>Study type</w:t>
            </w:r>
          </w:p>
        </w:tc>
        <w:tc>
          <w:tcPr>
            <w:tcW w:w="437" w:type="pct"/>
            <w:shd w:val="clear" w:color="auto" w:fill="BFBFBF" w:themeFill="background1" w:themeFillShade="BF"/>
          </w:tcPr>
          <w:p w14:paraId="3FAADAB2" w14:textId="77777777" w:rsidR="003B08A4" w:rsidRDefault="003B08A4" w:rsidP="00A71365">
            <w:pPr>
              <w:pStyle w:val="Tableheading"/>
              <w:jc w:val="center"/>
              <w:rPr>
                <w:rFonts w:eastAsia="MS Mincho"/>
              </w:rPr>
            </w:pPr>
            <w:r>
              <w:rPr>
                <w:rFonts w:eastAsia="MS Mincho"/>
              </w:rPr>
              <w:t>Countries</w:t>
            </w:r>
          </w:p>
        </w:tc>
        <w:tc>
          <w:tcPr>
            <w:tcW w:w="362" w:type="pct"/>
            <w:shd w:val="clear" w:color="auto" w:fill="BFBFBF" w:themeFill="background1" w:themeFillShade="BF"/>
            <w:tcMar>
              <w:left w:w="28" w:type="dxa"/>
              <w:right w:w="28" w:type="dxa"/>
            </w:tcMar>
          </w:tcPr>
          <w:p w14:paraId="1894AE64" w14:textId="77777777" w:rsidR="003B08A4" w:rsidRPr="00061F78" w:rsidRDefault="003B08A4" w:rsidP="00A71365">
            <w:pPr>
              <w:pStyle w:val="Tableheading"/>
              <w:jc w:val="center"/>
              <w:rPr>
                <w:rFonts w:eastAsia="MS Mincho"/>
              </w:rPr>
            </w:pPr>
            <w:r>
              <w:rPr>
                <w:rFonts w:eastAsia="MS Mincho"/>
              </w:rPr>
              <w:t>N</w:t>
            </w:r>
          </w:p>
        </w:tc>
        <w:tc>
          <w:tcPr>
            <w:tcW w:w="1381" w:type="pct"/>
            <w:shd w:val="clear" w:color="auto" w:fill="BFBFBF" w:themeFill="background1" w:themeFillShade="BF"/>
            <w:tcMar>
              <w:left w:w="28" w:type="dxa"/>
              <w:right w:w="28" w:type="dxa"/>
            </w:tcMar>
          </w:tcPr>
          <w:p w14:paraId="1AF2EFFF" w14:textId="77777777" w:rsidR="003B08A4" w:rsidRPr="00061F78" w:rsidRDefault="003B08A4" w:rsidP="00A71365">
            <w:pPr>
              <w:pStyle w:val="Tableheading"/>
              <w:jc w:val="center"/>
              <w:rPr>
                <w:rFonts w:eastAsia="MS Mincho"/>
              </w:rPr>
            </w:pPr>
            <w:r w:rsidRPr="00061F78">
              <w:rPr>
                <w:rFonts w:eastAsia="MS Mincho"/>
              </w:rPr>
              <w:t>P</w:t>
            </w:r>
            <w:r>
              <w:rPr>
                <w:rFonts w:eastAsia="MS Mincho"/>
              </w:rPr>
              <w:t>opulation</w:t>
            </w:r>
          </w:p>
        </w:tc>
        <w:tc>
          <w:tcPr>
            <w:tcW w:w="1163" w:type="pct"/>
            <w:shd w:val="clear" w:color="auto" w:fill="BFBFBF" w:themeFill="background1" w:themeFillShade="BF"/>
          </w:tcPr>
          <w:p w14:paraId="74EDCFEB" w14:textId="77777777" w:rsidR="003B08A4" w:rsidRDefault="003B08A4" w:rsidP="00A71365">
            <w:pPr>
              <w:pStyle w:val="Tableheading"/>
              <w:jc w:val="center"/>
              <w:rPr>
                <w:rFonts w:eastAsia="MS Mincho"/>
              </w:rPr>
            </w:pPr>
            <w:r>
              <w:rPr>
                <w:rFonts w:eastAsia="MS Mincho"/>
              </w:rPr>
              <w:t>Intervention and comparator</w:t>
            </w:r>
          </w:p>
        </w:tc>
        <w:tc>
          <w:tcPr>
            <w:tcW w:w="920" w:type="pct"/>
            <w:shd w:val="clear" w:color="auto" w:fill="BFBFBF" w:themeFill="background1" w:themeFillShade="BF"/>
            <w:tcMar>
              <w:left w:w="28" w:type="dxa"/>
              <w:right w:w="28" w:type="dxa"/>
            </w:tcMar>
          </w:tcPr>
          <w:p w14:paraId="624E52BF" w14:textId="77777777" w:rsidR="003B08A4" w:rsidRPr="00061F78" w:rsidRDefault="003B08A4" w:rsidP="00A71365">
            <w:pPr>
              <w:pStyle w:val="Tableheading"/>
              <w:jc w:val="center"/>
              <w:rPr>
                <w:rFonts w:eastAsia="MS Mincho"/>
              </w:rPr>
            </w:pPr>
            <w:r>
              <w:rPr>
                <w:rFonts w:eastAsia="MS Mincho"/>
              </w:rPr>
              <w:t>Outcomes</w:t>
            </w:r>
          </w:p>
        </w:tc>
      </w:tr>
      <w:tr w:rsidR="00D850F5" w:rsidRPr="00017AE6" w14:paraId="5C49697B" w14:textId="77777777" w:rsidTr="005821B1">
        <w:trPr>
          <w:trHeight w:val="99"/>
        </w:trPr>
        <w:tc>
          <w:tcPr>
            <w:tcW w:w="500" w:type="pct"/>
          </w:tcPr>
          <w:p w14:paraId="4E08FBF4" w14:textId="0C026C48" w:rsidR="00D850F5" w:rsidRPr="00017AE6" w:rsidRDefault="00D850F5" w:rsidP="00A71365">
            <w:pPr>
              <w:pStyle w:val="Tablewriting"/>
              <w:rPr>
                <w:rFonts w:eastAsia="MS Mincho" w:cstheme="minorHAnsi"/>
              </w:rPr>
            </w:pPr>
            <w:r w:rsidRPr="00D850F5">
              <w:rPr>
                <w:rFonts w:eastAsia="MS Mincho" w:cstheme="minorHAnsi"/>
              </w:rPr>
              <w:t xml:space="preserve">Kupecz </w:t>
            </w:r>
            <w:r w:rsidR="009D6057">
              <w:rPr>
                <w:rFonts w:eastAsia="MS Mincho" w:cstheme="minorHAnsi"/>
              </w:rPr>
              <w:t>(</w:t>
            </w:r>
            <w:r w:rsidRPr="00D850F5">
              <w:rPr>
                <w:rFonts w:eastAsia="MS Mincho" w:cstheme="minorHAnsi"/>
              </w:rPr>
              <w:t>1996</w:t>
            </w:r>
            <w:r w:rsidR="009D6057">
              <w:rPr>
                <w:rFonts w:eastAsia="MS Mincho" w:cstheme="minorHAnsi"/>
              </w:rPr>
              <w:t>)</w:t>
            </w:r>
          </w:p>
        </w:tc>
        <w:tc>
          <w:tcPr>
            <w:tcW w:w="237" w:type="pct"/>
          </w:tcPr>
          <w:p w14:paraId="7F5E45A5" w14:textId="060809A2" w:rsidR="00D122C8" w:rsidRPr="00D122C8" w:rsidRDefault="00D122C8" w:rsidP="00D122C8">
            <w:pPr>
              <w:pStyle w:val="Tablewriting"/>
              <w:rPr>
                <w:rFonts w:eastAsia="MS Mincho" w:cstheme="minorHAnsi"/>
              </w:rPr>
            </w:pPr>
            <w:r w:rsidRPr="00D122C8">
              <w:rPr>
                <w:rFonts w:eastAsia="MS Mincho" w:cstheme="minorHAnsi"/>
              </w:rPr>
              <w:t>RCT</w:t>
            </w:r>
          </w:p>
          <w:p w14:paraId="49B6A0AC" w14:textId="77777777" w:rsidR="00D850F5" w:rsidRPr="00017AE6" w:rsidRDefault="00D850F5" w:rsidP="00A71365">
            <w:pPr>
              <w:pStyle w:val="Tablewriting"/>
              <w:rPr>
                <w:rFonts w:eastAsia="MS Mincho" w:cstheme="minorHAnsi"/>
              </w:rPr>
            </w:pPr>
          </w:p>
        </w:tc>
        <w:tc>
          <w:tcPr>
            <w:tcW w:w="437" w:type="pct"/>
          </w:tcPr>
          <w:p w14:paraId="7E3EC8F0" w14:textId="16FE4F74" w:rsidR="00D850F5" w:rsidRPr="00017AE6" w:rsidRDefault="004272CD" w:rsidP="00A71365">
            <w:pPr>
              <w:pStyle w:val="Tablewriting"/>
              <w:rPr>
                <w:rFonts w:eastAsia="MS Mincho" w:cstheme="minorHAnsi"/>
              </w:rPr>
            </w:pPr>
            <w:r>
              <w:rPr>
                <w:rFonts w:eastAsia="MS Mincho" w:cstheme="minorHAnsi"/>
              </w:rPr>
              <w:t>USA</w:t>
            </w:r>
          </w:p>
        </w:tc>
        <w:tc>
          <w:tcPr>
            <w:tcW w:w="362" w:type="pct"/>
          </w:tcPr>
          <w:p w14:paraId="49AF92F4" w14:textId="014993BB" w:rsidR="00D850F5" w:rsidRPr="00017AE6" w:rsidRDefault="004272CD" w:rsidP="00A71365">
            <w:pPr>
              <w:pStyle w:val="Tablewriting"/>
              <w:rPr>
                <w:rFonts w:eastAsia="MS Mincho" w:cstheme="minorHAnsi"/>
              </w:rPr>
            </w:pPr>
            <w:r>
              <w:rPr>
                <w:rFonts w:eastAsia="MS Mincho" w:cstheme="minorHAnsi"/>
              </w:rPr>
              <w:t>N=</w:t>
            </w:r>
            <w:r w:rsidR="00E15205">
              <w:rPr>
                <w:rFonts w:eastAsia="MS Mincho" w:cstheme="minorHAnsi"/>
              </w:rPr>
              <w:t>45</w:t>
            </w:r>
          </w:p>
        </w:tc>
        <w:tc>
          <w:tcPr>
            <w:tcW w:w="1381" w:type="pct"/>
          </w:tcPr>
          <w:p w14:paraId="15A9F29F" w14:textId="77777777" w:rsidR="00D850F5" w:rsidRDefault="00E15205" w:rsidP="00A71365">
            <w:pPr>
              <w:pStyle w:val="Tablewriting"/>
              <w:rPr>
                <w:rFonts w:eastAsia="MS Mincho" w:cstheme="minorHAnsi"/>
              </w:rPr>
            </w:pPr>
            <w:r>
              <w:rPr>
                <w:rFonts w:eastAsia="MS Mincho" w:cstheme="minorHAnsi"/>
              </w:rPr>
              <w:t>S</w:t>
            </w:r>
            <w:r w:rsidRPr="00E15205">
              <w:rPr>
                <w:rFonts w:eastAsia="MS Mincho" w:cstheme="minorHAnsi"/>
              </w:rPr>
              <w:t>mokers</w:t>
            </w:r>
            <w:r>
              <w:rPr>
                <w:rFonts w:eastAsia="MS Mincho" w:cstheme="minorHAnsi"/>
              </w:rPr>
              <w:t xml:space="preserve"> </w:t>
            </w:r>
            <w:r w:rsidRPr="00E15205">
              <w:rPr>
                <w:rFonts w:eastAsia="MS Mincho" w:cstheme="minorHAnsi"/>
              </w:rPr>
              <w:t>motivated to qui</w:t>
            </w:r>
            <w:r>
              <w:rPr>
                <w:rFonts w:eastAsia="MS Mincho" w:cstheme="minorHAnsi"/>
              </w:rPr>
              <w:t>t.</w:t>
            </w:r>
          </w:p>
          <w:p w14:paraId="2827C51A" w14:textId="77777777" w:rsidR="00E75EA9" w:rsidRDefault="00E15205" w:rsidP="00A71365">
            <w:pPr>
              <w:pStyle w:val="Tablewriting"/>
              <w:rPr>
                <w:rFonts w:eastAsia="MS Mincho" w:cstheme="minorHAnsi"/>
              </w:rPr>
            </w:pPr>
            <w:r w:rsidRPr="00E15205">
              <w:rPr>
                <w:rFonts w:eastAsia="MS Mincho" w:cstheme="minorHAnsi"/>
              </w:rPr>
              <w:t>94.7% men</w:t>
            </w:r>
            <w:r>
              <w:rPr>
                <w:rFonts w:eastAsia="MS Mincho" w:cstheme="minorHAnsi"/>
              </w:rPr>
              <w:t>,</w:t>
            </w:r>
            <w:r w:rsidRPr="00E15205">
              <w:rPr>
                <w:rFonts w:eastAsia="MS Mincho" w:cstheme="minorHAnsi"/>
              </w:rPr>
              <w:t xml:space="preserve"> av</w:t>
            </w:r>
            <w:r>
              <w:rPr>
                <w:rFonts w:eastAsia="MS Mincho" w:cstheme="minorHAnsi"/>
              </w:rPr>
              <w:t xml:space="preserve">erage </w:t>
            </w:r>
            <w:r w:rsidRPr="00E15205">
              <w:rPr>
                <w:rFonts w:eastAsia="MS Mincho" w:cstheme="minorHAnsi"/>
              </w:rPr>
              <w:t>age</w:t>
            </w:r>
            <w:r>
              <w:rPr>
                <w:rFonts w:eastAsia="MS Mincho" w:cstheme="minorHAnsi"/>
              </w:rPr>
              <w:t xml:space="preserve"> </w:t>
            </w:r>
            <w:r w:rsidRPr="00E15205">
              <w:rPr>
                <w:rFonts w:eastAsia="MS Mincho" w:cstheme="minorHAnsi"/>
              </w:rPr>
              <w:t>50.2 y</w:t>
            </w:r>
            <w:r>
              <w:rPr>
                <w:rFonts w:eastAsia="MS Mincho" w:cstheme="minorHAnsi"/>
              </w:rPr>
              <w:t>ea</w:t>
            </w:r>
            <w:r w:rsidRPr="00E15205">
              <w:rPr>
                <w:rFonts w:eastAsia="MS Mincho" w:cstheme="minorHAnsi"/>
              </w:rPr>
              <w:t>rs; av</w:t>
            </w:r>
            <w:r>
              <w:rPr>
                <w:rFonts w:eastAsia="MS Mincho" w:cstheme="minorHAnsi"/>
              </w:rPr>
              <w:t xml:space="preserve">erage </w:t>
            </w:r>
            <w:r w:rsidRPr="00E15205">
              <w:rPr>
                <w:rFonts w:eastAsia="MS Mincho" w:cstheme="minorHAnsi"/>
              </w:rPr>
              <w:t>FTND</w:t>
            </w:r>
            <w:r>
              <w:rPr>
                <w:rFonts w:eastAsia="MS Mincho" w:cstheme="minorHAnsi"/>
              </w:rPr>
              <w:t xml:space="preserve"> </w:t>
            </w:r>
            <w:r w:rsidR="00E75EA9" w:rsidRPr="00E15205">
              <w:rPr>
                <w:rFonts w:eastAsia="MS Mincho" w:cstheme="minorHAnsi"/>
              </w:rPr>
              <w:t>7</w:t>
            </w:r>
            <w:r w:rsidR="00E75EA9">
              <w:rPr>
                <w:rFonts w:eastAsia="MS Mincho" w:cstheme="minorHAnsi"/>
              </w:rPr>
              <w:t>.</w:t>
            </w:r>
          </w:p>
          <w:p w14:paraId="601EB067" w14:textId="73DAB391" w:rsidR="00E15205" w:rsidRPr="00E15205" w:rsidRDefault="00E75EA9" w:rsidP="00A71365">
            <w:pPr>
              <w:pStyle w:val="Tablewriting"/>
              <w:rPr>
                <w:rFonts w:eastAsia="MS Mincho" w:cstheme="minorHAnsi"/>
              </w:rPr>
            </w:pPr>
            <w:r w:rsidRPr="00E15205">
              <w:rPr>
                <w:rFonts w:eastAsia="MS Mincho" w:cstheme="minorHAnsi"/>
              </w:rPr>
              <w:t>69</w:t>
            </w:r>
            <w:r w:rsidR="00E15205" w:rsidRPr="00E15205">
              <w:rPr>
                <w:rFonts w:eastAsia="MS Mincho" w:cstheme="minorHAnsi"/>
              </w:rPr>
              <w:t>% living in a smoking household</w:t>
            </w:r>
            <w:r w:rsidR="00E15205">
              <w:rPr>
                <w:rFonts w:eastAsia="MS Mincho" w:cstheme="minorHAnsi"/>
              </w:rPr>
              <w:t xml:space="preserve"> </w:t>
            </w:r>
            <w:r w:rsidR="00E15205" w:rsidRPr="00E15205">
              <w:rPr>
                <w:rFonts w:eastAsia="MS Mincho" w:cstheme="minorHAnsi"/>
              </w:rPr>
              <w:t>environment, av</w:t>
            </w:r>
            <w:r w:rsidR="00E15205">
              <w:rPr>
                <w:rFonts w:eastAsia="MS Mincho" w:cstheme="minorHAnsi"/>
              </w:rPr>
              <w:t>erage</w:t>
            </w:r>
            <w:r w:rsidR="00E15205" w:rsidRPr="00E15205">
              <w:rPr>
                <w:rFonts w:eastAsia="MS Mincho" w:cstheme="minorHAnsi"/>
              </w:rPr>
              <w:t xml:space="preserve"> pack/</w:t>
            </w:r>
          </w:p>
          <w:p w14:paraId="6FA5668A" w14:textId="72FB353B" w:rsidR="00E15205" w:rsidRPr="00017AE6" w:rsidRDefault="00E15205" w:rsidP="00A71365">
            <w:pPr>
              <w:pStyle w:val="Tablewriting"/>
              <w:rPr>
                <w:rFonts w:eastAsia="MS Mincho" w:cstheme="minorHAnsi"/>
              </w:rPr>
            </w:pPr>
            <w:r w:rsidRPr="00E15205">
              <w:rPr>
                <w:rFonts w:eastAsia="MS Mincho" w:cstheme="minorHAnsi"/>
              </w:rPr>
              <w:t>year history: 47.2 y</w:t>
            </w:r>
            <w:r>
              <w:rPr>
                <w:rFonts w:eastAsia="MS Mincho" w:cstheme="minorHAnsi"/>
              </w:rPr>
              <w:t>ea</w:t>
            </w:r>
            <w:r w:rsidRPr="00E15205">
              <w:rPr>
                <w:rFonts w:eastAsia="MS Mincho" w:cstheme="minorHAnsi"/>
              </w:rPr>
              <w:t>rs</w:t>
            </w:r>
            <w:r w:rsidR="00FC492C">
              <w:rPr>
                <w:rFonts w:eastAsia="MS Mincho" w:cstheme="minorHAnsi"/>
              </w:rPr>
              <w:t>.</w:t>
            </w:r>
          </w:p>
        </w:tc>
        <w:tc>
          <w:tcPr>
            <w:tcW w:w="1163" w:type="pct"/>
          </w:tcPr>
          <w:p w14:paraId="0EB9E363" w14:textId="77777777" w:rsidR="005D42C0" w:rsidRDefault="00E75EA9" w:rsidP="00C324F3">
            <w:pPr>
              <w:pStyle w:val="Tablewriting"/>
              <w:numPr>
                <w:ilvl w:val="0"/>
                <w:numId w:val="148"/>
              </w:numPr>
              <w:rPr>
                <w:rFonts w:eastAsia="MS Mincho" w:cstheme="minorHAnsi"/>
              </w:rPr>
            </w:pPr>
            <w:r w:rsidRPr="00E75EA9">
              <w:rPr>
                <w:rFonts w:eastAsia="MS Mincho" w:cstheme="minorHAnsi"/>
              </w:rPr>
              <w:t>Nicotine patch treatment for 10 weeks (21 mg/day for 6 weeks, then 14 mg/day for 2 weeks, then 7</w:t>
            </w:r>
            <w:r w:rsidR="005D42C0">
              <w:rPr>
                <w:rFonts w:eastAsia="MS Mincho" w:cstheme="minorHAnsi"/>
              </w:rPr>
              <w:t xml:space="preserve"> </w:t>
            </w:r>
            <w:r w:rsidRPr="005D42C0">
              <w:rPr>
                <w:rFonts w:eastAsia="MS Mincho" w:cstheme="minorHAnsi"/>
              </w:rPr>
              <w:t>mg/day for 2 weeks)</w:t>
            </w:r>
            <w:r w:rsidR="005D42C0">
              <w:rPr>
                <w:rFonts w:eastAsia="MS Mincho" w:cstheme="minorHAnsi"/>
              </w:rPr>
              <w:t>.</w:t>
            </w:r>
          </w:p>
          <w:p w14:paraId="6A68DF76" w14:textId="548D09B0" w:rsidR="00E75EA9" w:rsidRDefault="00E75EA9" w:rsidP="00C324F3">
            <w:pPr>
              <w:pStyle w:val="Tablewriting"/>
              <w:numPr>
                <w:ilvl w:val="0"/>
                <w:numId w:val="148"/>
              </w:numPr>
              <w:rPr>
                <w:rFonts w:eastAsia="MS Mincho" w:cstheme="minorHAnsi"/>
              </w:rPr>
            </w:pPr>
            <w:r w:rsidRPr="005D42C0">
              <w:rPr>
                <w:rFonts w:eastAsia="MS Mincho" w:cstheme="minorHAnsi"/>
              </w:rPr>
              <w:t>Nicotine gum: 2 mg pieces (chewed for 20 mins) ad libitum for 12 weeks, then an individualized tapering</w:t>
            </w:r>
            <w:r w:rsidR="005D42C0">
              <w:rPr>
                <w:rFonts w:eastAsia="MS Mincho" w:cstheme="minorHAnsi"/>
              </w:rPr>
              <w:t xml:space="preserve"> </w:t>
            </w:r>
            <w:r w:rsidRPr="005D42C0">
              <w:rPr>
                <w:rFonts w:eastAsia="MS Mincho" w:cstheme="minorHAnsi"/>
              </w:rPr>
              <w:t>schedule with the goal of discontinuing therapy within the next 12 weeks</w:t>
            </w:r>
            <w:r w:rsidR="005D42C0">
              <w:rPr>
                <w:rFonts w:eastAsia="MS Mincho" w:cstheme="minorHAnsi"/>
              </w:rPr>
              <w:t>.</w:t>
            </w:r>
          </w:p>
          <w:p w14:paraId="0452A931" w14:textId="77777777" w:rsidR="005D42C0" w:rsidRPr="005D42C0" w:rsidRDefault="005D42C0" w:rsidP="00A71365">
            <w:pPr>
              <w:pStyle w:val="Tablewriting"/>
              <w:ind w:left="360"/>
              <w:rPr>
                <w:rFonts w:eastAsia="MS Mincho" w:cstheme="minorHAnsi"/>
              </w:rPr>
            </w:pPr>
          </w:p>
          <w:p w14:paraId="375BBC69" w14:textId="288EE8D3" w:rsidR="00D850F5" w:rsidRPr="00017AE6" w:rsidRDefault="005D42C0"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00E75EA9" w:rsidRPr="00E75EA9">
              <w:rPr>
                <w:rFonts w:eastAsia="MS Mincho" w:cstheme="minorHAnsi"/>
              </w:rPr>
              <w:t>All participants began the above treatment on their quit date and attended 4 weekly sessions, which</w:t>
            </w:r>
            <w:r>
              <w:rPr>
                <w:rFonts w:eastAsia="MS Mincho" w:cstheme="minorHAnsi"/>
              </w:rPr>
              <w:t xml:space="preserve"> </w:t>
            </w:r>
            <w:r w:rsidR="00E75EA9" w:rsidRPr="00E75EA9">
              <w:rPr>
                <w:rFonts w:eastAsia="MS Mincho" w:cstheme="minorHAnsi"/>
              </w:rPr>
              <w:t>included contract negotiation, positive reinforcement, relaxation exercises, visual imagery, and group</w:t>
            </w:r>
            <w:r>
              <w:rPr>
                <w:rFonts w:eastAsia="MS Mincho" w:cstheme="minorHAnsi"/>
              </w:rPr>
              <w:t xml:space="preserve"> </w:t>
            </w:r>
            <w:r w:rsidR="00E75EA9" w:rsidRPr="00E75EA9">
              <w:rPr>
                <w:rFonts w:eastAsia="MS Mincho" w:cstheme="minorHAnsi"/>
              </w:rPr>
              <w:t>support. Following the cessation program</w:t>
            </w:r>
            <w:r>
              <w:rPr>
                <w:rFonts w:eastAsia="MS Mincho" w:cstheme="minorHAnsi"/>
              </w:rPr>
              <w:t xml:space="preserve"> </w:t>
            </w:r>
            <w:r w:rsidR="00E75EA9" w:rsidRPr="00E75EA9">
              <w:rPr>
                <w:rFonts w:eastAsia="MS Mincho" w:cstheme="minorHAnsi"/>
              </w:rPr>
              <w:t>participants attended 7 follow-up sessions</w:t>
            </w:r>
            <w:r>
              <w:rPr>
                <w:rFonts w:eastAsia="MS Mincho" w:cstheme="minorHAnsi"/>
              </w:rPr>
              <w:t>.</w:t>
            </w:r>
          </w:p>
        </w:tc>
        <w:tc>
          <w:tcPr>
            <w:tcW w:w="920" w:type="pct"/>
          </w:tcPr>
          <w:p w14:paraId="1094368F" w14:textId="77777777" w:rsidR="00D850F5" w:rsidRPr="004272CD" w:rsidRDefault="004272CD" w:rsidP="00A71365">
            <w:pPr>
              <w:pStyle w:val="Tablewriting"/>
              <w:rPr>
                <w:rFonts w:eastAsia="MS Mincho" w:cstheme="minorHAnsi"/>
                <w:u w:val="single"/>
              </w:rPr>
            </w:pPr>
            <w:r w:rsidRPr="004272CD">
              <w:rPr>
                <w:rFonts w:eastAsia="MS Mincho" w:cstheme="minorHAnsi"/>
                <w:u w:val="single"/>
              </w:rPr>
              <w:t>Efficacy:</w:t>
            </w:r>
          </w:p>
          <w:p w14:paraId="79492BEB" w14:textId="0B5E3072" w:rsidR="00DF26A1" w:rsidRDefault="00DF26A1" w:rsidP="00A71365">
            <w:pPr>
              <w:pStyle w:val="Tablewriting"/>
              <w:rPr>
                <w:rFonts w:eastAsia="MS Mincho" w:cstheme="minorHAnsi"/>
              </w:rPr>
            </w:pPr>
            <w:r w:rsidRPr="00DF26A1">
              <w:rPr>
                <w:rFonts w:eastAsia="MS Mincho" w:cstheme="minorHAnsi"/>
              </w:rPr>
              <w:t>PPA (defined as not smoking at time of asking) 52-w</w:t>
            </w:r>
            <w:r>
              <w:rPr>
                <w:rFonts w:eastAsia="MS Mincho" w:cstheme="minorHAnsi"/>
              </w:rPr>
              <w:t>ee</w:t>
            </w:r>
            <w:r w:rsidRPr="00DF26A1">
              <w:rPr>
                <w:rFonts w:eastAsia="MS Mincho" w:cstheme="minorHAnsi"/>
              </w:rPr>
              <w:t>k follow-up, validated by exhaled CO &lt; 8 ppm</w:t>
            </w:r>
            <w:r>
              <w:rPr>
                <w:rFonts w:eastAsia="MS Mincho" w:cstheme="minorHAnsi"/>
              </w:rPr>
              <w:t>.</w:t>
            </w:r>
          </w:p>
          <w:p w14:paraId="0726D7DA" w14:textId="0D7E7DB3" w:rsidR="00DF26A1" w:rsidRPr="00DF26A1" w:rsidRDefault="00DF26A1" w:rsidP="00A71365">
            <w:pPr>
              <w:pStyle w:val="Tablewriting"/>
              <w:rPr>
                <w:rFonts w:eastAsia="MS Mincho" w:cstheme="minorHAnsi"/>
              </w:rPr>
            </w:pPr>
            <w:r w:rsidRPr="00DF26A1">
              <w:rPr>
                <w:rFonts w:eastAsia="MS Mincho" w:cstheme="minorHAnsi"/>
              </w:rPr>
              <w:t>Other abstinence measures: PPA at 6, 12 and 26 w</w:t>
            </w:r>
            <w:r>
              <w:rPr>
                <w:rFonts w:eastAsia="MS Mincho" w:cstheme="minorHAnsi"/>
              </w:rPr>
              <w:t>ee</w:t>
            </w:r>
            <w:r w:rsidRPr="00DF26A1">
              <w:rPr>
                <w:rFonts w:eastAsia="MS Mincho" w:cstheme="minorHAnsi"/>
              </w:rPr>
              <w:t>ks (CO-validated)</w:t>
            </w:r>
          </w:p>
          <w:p w14:paraId="2A3F0C62" w14:textId="77777777" w:rsidR="00DF26A1" w:rsidRDefault="00DF26A1" w:rsidP="00A71365">
            <w:pPr>
              <w:pStyle w:val="Tablewriting"/>
              <w:rPr>
                <w:rFonts w:eastAsia="MS Mincho" w:cstheme="minorHAnsi"/>
                <w:u w:val="single"/>
              </w:rPr>
            </w:pPr>
          </w:p>
          <w:p w14:paraId="30E8CA3D" w14:textId="77777777" w:rsidR="00DF26A1" w:rsidRPr="00DF26A1" w:rsidRDefault="004272CD" w:rsidP="00A71365">
            <w:pPr>
              <w:pStyle w:val="Tablewriting"/>
              <w:rPr>
                <w:rFonts w:eastAsia="MS Mincho" w:cstheme="minorHAnsi"/>
              </w:rPr>
            </w:pPr>
            <w:r w:rsidRPr="004272CD">
              <w:rPr>
                <w:rFonts w:eastAsia="MS Mincho" w:cstheme="minorHAnsi"/>
                <w:u w:val="single"/>
              </w:rPr>
              <w:t>Safety:</w:t>
            </w:r>
            <w:r w:rsidR="00DF26A1">
              <w:rPr>
                <w:rFonts w:eastAsia="MS Mincho" w:cstheme="minorHAnsi"/>
                <w:u w:val="single"/>
              </w:rPr>
              <w:t xml:space="preserve"> </w:t>
            </w:r>
            <w:r w:rsidR="00DF26A1" w:rsidRPr="00DF26A1">
              <w:rPr>
                <w:rFonts w:eastAsia="MS Mincho" w:cstheme="minorHAnsi"/>
              </w:rPr>
              <w:t>Adverse events: recorded at each session or follow-up. Note follow-up was to 1 year, and treatment was</w:t>
            </w:r>
          </w:p>
          <w:p w14:paraId="6DA35D60" w14:textId="356CFF7C" w:rsidR="00DF26A1" w:rsidRDefault="00DF26A1" w:rsidP="00A71365">
            <w:pPr>
              <w:pStyle w:val="Tablewriting"/>
              <w:rPr>
                <w:rFonts w:eastAsia="MS Mincho" w:cstheme="minorHAnsi"/>
              </w:rPr>
            </w:pPr>
            <w:r w:rsidRPr="00DF26A1">
              <w:rPr>
                <w:rFonts w:eastAsia="MS Mincho" w:cstheme="minorHAnsi"/>
              </w:rPr>
              <w:t>to 24 weeks</w:t>
            </w:r>
            <w:r>
              <w:rPr>
                <w:rFonts w:eastAsia="MS Mincho" w:cstheme="minorHAnsi"/>
              </w:rPr>
              <w:t>.</w:t>
            </w:r>
          </w:p>
          <w:p w14:paraId="5557E0C9" w14:textId="2F421633" w:rsidR="004272CD" w:rsidRPr="004272CD" w:rsidRDefault="004272CD" w:rsidP="00A71365">
            <w:pPr>
              <w:pStyle w:val="Tablewriting"/>
              <w:rPr>
                <w:rFonts w:eastAsia="MS Mincho" w:cstheme="minorHAnsi"/>
                <w:u w:val="single"/>
              </w:rPr>
            </w:pPr>
          </w:p>
        </w:tc>
      </w:tr>
      <w:tr w:rsidR="004272CD" w:rsidRPr="00017AE6" w14:paraId="22208345" w14:textId="77777777" w:rsidTr="005821B1">
        <w:trPr>
          <w:trHeight w:val="99"/>
        </w:trPr>
        <w:tc>
          <w:tcPr>
            <w:tcW w:w="500" w:type="pct"/>
          </w:tcPr>
          <w:p w14:paraId="07608248" w14:textId="11B2DECF" w:rsidR="004272CD" w:rsidRPr="00017AE6" w:rsidRDefault="004272CD" w:rsidP="00A71365">
            <w:pPr>
              <w:pStyle w:val="Tablewriting"/>
              <w:rPr>
                <w:rFonts w:eastAsia="MS Mincho" w:cstheme="minorHAnsi"/>
              </w:rPr>
            </w:pPr>
            <w:r w:rsidRPr="00D850F5">
              <w:rPr>
                <w:rFonts w:eastAsia="MS Mincho" w:cstheme="minorHAnsi"/>
              </w:rPr>
              <w:t xml:space="preserve">Moolchan </w:t>
            </w:r>
            <w:r w:rsidR="009D6057">
              <w:rPr>
                <w:rFonts w:eastAsia="MS Mincho" w:cstheme="minorHAnsi"/>
              </w:rPr>
              <w:t>(</w:t>
            </w:r>
            <w:r w:rsidRPr="00D850F5">
              <w:rPr>
                <w:rFonts w:eastAsia="MS Mincho" w:cstheme="minorHAnsi"/>
              </w:rPr>
              <w:t>2005</w:t>
            </w:r>
            <w:r w:rsidR="009D6057">
              <w:rPr>
                <w:rFonts w:eastAsia="MS Mincho" w:cstheme="minorHAnsi"/>
              </w:rPr>
              <w:t>)</w:t>
            </w:r>
          </w:p>
        </w:tc>
        <w:tc>
          <w:tcPr>
            <w:tcW w:w="237" w:type="pct"/>
          </w:tcPr>
          <w:p w14:paraId="6FFBA743" w14:textId="77777777" w:rsidR="00D122C8" w:rsidRPr="00FC5880" w:rsidRDefault="00D122C8" w:rsidP="00D122C8">
            <w:pPr>
              <w:pStyle w:val="Tablewriting"/>
              <w:rPr>
                <w:rFonts w:eastAsia="MS Mincho" w:cstheme="minorHAnsi"/>
              </w:rPr>
            </w:pPr>
            <w:r w:rsidRPr="00FC5880">
              <w:rPr>
                <w:rFonts w:eastAsia="MS Mincho" w:cstheme="minorHAnsi"/>
              </w:rPr>
              <w:t>RCT</w:t>
            </w:r>
          </w:p>
          <w:p w14:paraId="1C72BB88" w14:textId="77777777" w:rsidR="004272CD" w:rsidRPr="00017AE6" w:rsidRDefault="004272CD" w:rsidP="00A71365">
            <w:pPr>
              <w:pStyle w:val="Tablewriting"/>
              <w:rPr>
                <w:rFonts w:eastAsia="MS Mincho" w:cstheme="minorHAnsi"/>
              </w:rPr>
            </w:pPr>
          </w:p>
        </w:tc>
        <w:tc>
          <w:tcPr>
            <w:tcW w:w="437" w:type="pct"/>
          </w:tcPr>
          <w:p w14:paraId="78910CCC" w14:textId="0BBC4A72" w:rsidR="004272CD" w:rsidRPr="00017AE6" w:rsidRDefault="00932D3C" w:rsidP="00A71365">
            <w:pPr>
              <w:pStyle w:val="Tablewriting"/>
              <w:rPr>
                <w:rFonts w:eastAsia="MS Mincho" w:cstheme="minorHAnsi"/>
              </w:rPr>
            </w:pPr>
            <w:r>
              <w:rPr>
                <w:rFonts w:eastAsia="MS Mincho" w:cstheme="minorHAnsi"/>
              </w:rPr>
              <w:t>USA</w:t>
            </w:r>
          </w:p>
        </w:tc>
        <w:tc>
          <w:tcPr>
            <w:tcW w:w="362" w:type="pct"/>
          </w:tcPr>
          <w:p w14:paraId="6FA4D762" w14:textId="2E173A0E" w:rsidR="004272CD" w:rsidRPr="00017AE6" w:rsidRDefault="004272CD" w:rsidP="00A71365">
            <w:pPr>
              <w:pStyle w:val="Tablewriting"/>
              <w:rPr>
                <w:rFonts w:eastAsia="MS Mincho" w:cstheme="minorHAnsi"/>
              </w:rPr>
            </w:pPr>
            <w:r>
              <w:rPr>
                <w:rFonts w:eastAsia="MS Mincho" w:cstheme="minorHAnsi"/>
              </w:rPr>
              <w:t>N=</w:t>
            </w:r>
            <w:r w:rsidR="00932D3C">
              <w:rPr>
                <w:rFonts w:eastAsia="MS Mincho" w:cstheme="minorHAnsi"/>
              </w:rPr>
              <w:t>120</w:t>
            </w:r>
          </w:p>
        </w:tc>
        <w:tc>
          <w:tcPr>
            <w:tcW w:w="1381" w:type="pct"/>
          </w:tcPr>
          <w:p w14:paraId="669318BA" w14:textId="64884CC2" w:rsidR="00932D3C" w:rsidRPr="00932D3C" w:rsidRDefault="00932D3C" w:rsidP="00A71365">
            <w:pPr>
              <w:pStyle w:val="Tablewriting"/>
              <w:rPr>
                <w:rFonts w:eastAsia="MS Mincho" w:cstheme="minorHAnsi"/>
              </w:rPr>
            </w:pPr>
            <w:r>
              <w:rPr>
                <w:rFonts w:eastAsia="MS Mincho" w:cstheme="minorHAnsi"/>
              </w:rPr>
              <w:t>A</w:t>
            </w:r>
            <w:r w:rsidRPr="00932D3C">
              <w:rPr>
                <w:rFonts w:eastAsia="MS Mincho" w:cstheme="minorHAnsi"/>
              </w:rPr>
              <w:t>dolescent smokers (age 13 - 17) (</w:t>
            </w:r>
            <w:r w:rsidR="00FA552C" w:rsidRPr="00F26E93">
              <w:rPr>
                <w:rFonts w:eastAsia="MS Mincho" w:cstheme="minorHAnsi"/>
              </w:rPr>
              <w:t>≥</w:t>
            </w:r>
            <w:r w:rsidR="00FA552C">
              <w:rPr>
                <w:rFonts w:eastAsia="MS Mincho" w:cstheme="minorHAnsi"/>
              </w:rPr>
              <w:t xml:space="preserve"> </w:t>
            </w:r>
            <w:r w:rsidRPr="00932D3C">
              <w:rPr>
                <w:rFonts w:eastAsia="MS Mincho" w:cstheme="minorHAnsi"/>
              </w:rPr>
              <w:t xml:space="preserve">10 </w:t>
            </w:r>
            <w:r>
              <w:rPr>
                <w:rFonts w:eastAsia="MS Mincho" w:cstheme="minorHAnsi"/>
              </w:rPr>
              <w:t>CPS</w:t>
            </w:r>
            <w:r w:rsidRPr="00932D3C">
              <w:rPr>
                <w:rFonts w:eastAsia="MS Mincho" w:cstheme="minorHAnsi"/>
              </w:rPr>
              <w:t>), motivated to quit</w:t>
            </w:r>
          </w:p>
          <w:p w14:paraId="21E7AC63" w14:textId="23387F3C" w:rsidR="004272CD" w:rsidRPr="00017AE6" w:rsidRDefault="00932D3C" w:rsidP="00A71365">
            <w:pPr>
              <w:pStyle w:val="Tablewriting"/>
              <w:rPr>
                <w:rFonts w:eastAsia="MS Mincho" w:cstheme="minorHAnsi"/>
              </w:rPr>
            </w:pPr>
            <w:r w:rsidRPr="00932D3C">
              <w:rPr>
                <w:rFonts w:eastAsia="MS Mincho" w:cstheme="minorHAnsi"/>
              </w:rPr>
              <w:t>30% male, av</w:t>
            </w:r>
            <w:r w:rsidR="00BB5CC7">
              <w:rPr>
                <w:rFonts w:eastAsia="MS Mincho" w:cstheme="minorHAnsi"/>
              </w:rPr>
              <w:t xml:space="preserve">erage </w:t>
            </w:r>
            <w:r w:rsidRPr="00932D3C">
              <w:rPr>
                <w:rFonts w:eastAsia="MS Mincho" w:cstheme="minorHAnsi"/>
              </w:rPr>
              <w:t>age 15, av</w:t>
            </w:r>
            <w:r w:rsidR="00BB5CC7">
              <w:rPr>
                <w:rFonts w:eastAsia="MS Mincho" w:cstheme="minorHAnsi"/>
              </w:rPr>
              <w:t>erage CPD</w:t>
            </w:r>
            <w:r w:rsidRPr="00932D3C">
              <w:rPr>
                <w:rFonts w:eastAsia="MS Mincho" w:cstheme="minorHAnsi"/>
              </w:rPr>
              <w:t xml:space="preserve"> 19</w:t>
            </w:r>
            <w:r w:rsidR="00BB5CC7">
              <w:rPr>
                <w:rFonts w:eastAsia="MS Mincho" w:cstheme="minorHAnsi"/>
              </w:rPr>
              <w:t>.</w:t>
            </w:r>
          </w:p>
        </w:tc>
        <w:tc>
          <w:tcPr>
            <w:tcW w:w="1163" w:type="pct"/>
          </w:tcPr>
          <w:p w14:paraId="6BE8E912" w14:textId="77777777" w:rsidR="0018621A" w:rsidRDefault="00BB5CC7" w:rsidP="00C324F3">
            <w:pPr>
              <w:pStyle w:val="Tablewriting"/>
              <w:numPr>
                <w:ilvl w:val="0"/>
                <w:numId w:val="149"/>
              </w:numPr>
              <w:rPr>
                <w:rFonts w:eastAsia="MS Mincho" w:cstheme="minorHAnsi"/>
              </w:rPr>
            </w:pPr>
            <w:r w:rsidRPr="00BB5CC7">
              <w:rPr>
                <w:rFonts w:eastAsia="MS Mincho" w:cstheme="minorHAnsi"/>
              </w:rPr>
              <w:t xml:space="preserve">Nicotine patch (21 mg, or 14 mg for &lt; 20 </w:t>
            </w:r>
            <w:r w:rsidR="0018621A">
              <w:rPr>
                <w:rFonts w:eastAsia="MS Mincho" w:cstheme="minorHAnsi"/>
              </w:rPr>
              <w:t>CPD</w:t>
            </w:r>
            <w:r w:rsidRPr="00BB5CC7">
              <w:rPr>
                <w:rFonts w:eastAsia="MS Mincho" w:cstheme="minorHAnsi"/>
              </w:rPr>
              <w:t>) for 6 w</w:t>
            </w:r>
            <w:r w:rsidR="0018621A">
              <w:rPr>
                <w:rFonts w:eastAsia="MS Mincho" w:cstheme="minorHAnsi"/>
              </w:rPr>
              <w:t>ee</w:t>
            </w:r>
            <w:r w:rsidRPr="00BB5CC7">
              <w:rPr>
                <w:rFonts w:eastAsia="MS Mincho" w:cstheme="minorHAnsi"/>
              </w:rPr>
              <w:t>ks +placebo gum</w:t>
            </w:r>
            <w:r w:rsidR="0018621A">
              <w:rPr>
                <w:rFonts w:eastAsia="MS Mincho" w:cstheme="minorHAnsi"/>
              </w:rPr>
              <w:t>.</w:t>
            </w:r>
          </w:p>
          <w:p w14:paraId="2118F34B" w14:textId="77777777" w:rsidR="0018621A" w:rsidRDefault="00BB5CC7" w:rsidP="00C324F3">
            <w:pPr>
              <w:pStyle w:val="Tablewriting"/>
              <w:numPr>
                <w:ilvl w:val="0"/>
                <w:numId w:val="149"/>
              </w:numPr>
              <w:rPr>
                <w:rFonts w:eastAsia="MS Mincho" w:cstheme="minorHAnsi"/>
              </w:rPr>
            </w:pPr>
            <w:r w:rsidRPr="0018621A">
              <w:rPr>
                <w:rFonts w:eastAsia="MS Mincho" w:cstheme="minorHAnsi"/>
              </w:rPr>
              <w:t xml:space="preserve">Nicotine gum (4 mg, or 2 mg for &lt; 24 </w:t>
            </w:r>
            <w:r w:rsidR="0018621A">
              <w:rPr>
                <w:rFonts w:eastAsia="MS Mincho" w:cstheme="minorHAnsi"/>
              </w:rPr>
              <w:t>CPD</w:t>
            </w:r>
            <w:r w:rsidRPr="0018621A">
              <w:rPr>
                <w:rFonts w:eastAsia="MS Mincho" w:cstheme="minorHAnsi"/>
              </w:rPr>
              <w:t>) for 6 w</w:t>
            </w:r>
            <w:r w:rsidR="0018621A">
              <w:rPr>
                <w:rFonts w:eastAsia="MS Mincho" w:cstheme="minorHAnsi"/>
              </w:rPr>
              <w:t>ee</w:t>
            </w:r>
            <w:r w:rsidRPr="0018621A">
              <w:rPr>
                <w:rFonts w:eastAsia="MS Mincho" w:cstheme="minorHAnsi"/>
              </w:rPr>
              <w:t>ks + placebo patch</w:t>
            </w:r>
            <w:r w:rsidR="0018621A">
              <w:rPr>
                <w:rFonts w:eastAsia="MS Mincho" w:cstheme="minorHAnsi"/>
              </w:rPr>
              <w:t>.</w:t>
            </w:r>
          </w:p>
          <w:p w14:paraId="4FCD0717" w14:textId="553A5ADD" w:rsidR="004272CD" w:rsidRPr="0018621A" w:rsidRDefault="00BB5CC7" w:rsidP="00C324F3">
            <w:pPr>
              <w:pStyle w:val="Tablewriting"/>
              <w:numPr>
                <w:ilvl w:val="0"/>
                <w:numId w:val="149"/>
              </w:numPr>
              <w:rPr>
                <w:rFonts w:eastAsia="MS Mincho" w:cstheme="minorHAnsi"/>
              </w:rPr>
            </w:pPr>
            <w:r w:rsidRPr="0018621A">
              <w:rPr>
                <w:rFonts w:eastAsia="MS Mincho" w:cstheme="minorHAnsi"/>
              </w:rPr>
              <w:t>Double placebo</w:t>
            </w:r>
            <w:r w:rsidR="0018621A">
              <w:rPr>
                <w:rFonts w:eastAsia="MS Mincho" w:cstheme="minorHAnsi"/>
              </w:rPr>
              <w:t>.</w:t>
            </w:r>
          </w:p>
        </w:tc>
        <w:tc>
          <w:tcPr>
            <w:tcW w:w="920" w:type="pct"/>
          </w:tcPr>
          <w:p w14:paraId="47DDDD31" w14:textId="77777777"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14:paraId="6CCC35C9" w14:textId="3216AE22" w:rsidR="00D511FC" w:rsidRPr="00D511FC" w:rsidRDefault="00D511FC" w:rsidP="00A71365">
            <w:pPr>
              <w:pStyle w:val="Tablewriting"/>
              <w:rPr>
                <w:rFonts w:eastAsia="MS Mincho" w:cstheme="minorHAnsi"/>
              </w:rPr>
            </w:pPr>
            <w:r w:rsidRPr="00D511FC">
              <w:rPr>
                <w:rFonts w:eastAsia="MS Mincho" w:cstheme="minorHAnsi"/>
              </w:rPr>
              <w:t>PPA at 6 m</w:t>
            </w:r>
            <w:r>
              <w:rPr>
                <w:rFonts w:eastAsia="MS Mincho" w:cstheme="minorHAnsi"/>
              </w:rPr>
              <w:t>onths</w:t>
            </w:r>
          </w:p>
          <w:p w14:paraId="71384D7D" w14:textId="2B230D11" w:rsidR="00D511FC" w:rsidRDefault="00D511FC" w:rsidP="00A71365">
            <w:pPr>
              <w:pStyle w:val="Tablewriting"/>
              <w:rPr>
                <w:rFonts w:eastAsia="MS Mincho" w:cstheme="minorHAnsi"/>
              </w:rPr>
            </w:pPr>
            <w:r w:rsidRPr="00D511FC">
              <w:rPr>
                <w:rFonts w:eastAsia="MS Mincho" w:cstheme="minorHAnsi"/>
              </w:rPr>
              <w:t>Validation: CO and cotinine</w:t>
            </w:r>
            <w:r>
              <w:rPr>
                <w:rFonts w:eastAsia="MS Mincho" w:cstheme="minorHAnsi"/>
              </w:rPr>
              <w:t>.</w:t>
            </w:r>
          </w:p>
          <w:p w14:paraId="646C446D" w14:textId="77777777" w:rsidR="00D511FC" w:rsidRPr="00D511FC" w:rsidRDefault="00D511FC" w:rsidP="00A71365">
            <w:pPr>
              <w:pStyle w:val="Tablewriting"/>
              <w:rPr>
                <w:rFonts w:eastAsia="MS Mincho" w:cstheme="minorHAnsi"/>
              </w:rPr>
            </w:pPr>
          </w:p>
          <w:p w14:paraId="58535D52" w14:textId="7292180E" w:rsidR="00D511FC" w:rsidRDefault="004272CD" w:rsidP="00A71365">
            <w:pPr>
              <w:pStyle w:val="Tablewriting"/>
              <w:rPr>
                <w:rFonts w:eastAsia="MS Mincho" w:cstheme="minorHAnsi"/>
              </w:rPr>
            </w:pPr>
            <w:r w:rsidRPr="004272CD">
              <w:rPr>
                <w:rFonts w:eastAsia="MS Mincho" w:cstheme="minorHAnsi"/>
                <w:u w:val="single"/>
              </w:rPr>
              <w:t>Safety:</w:t>
            </w:r>
            <w:r w:rsidR="00D511FC">
              <w:rPr>
                <w:rFonts w:eastAsia="MS Mincho" w:cstheme="minorHAnsi"/>
                <w:u w:val="single"/>
              </w:rPr>
              <w:t xml:space="preserve"> </w:t>
            </w:r>
            <w:r w:rsidR="00D511FC" w:rsidRPr="00D511FC">
              <w:rPr>
                <w:rFonts w:eastAsia="MS Mincho" w:cstheme="minorHAnsi"/>
              </w:rPr>
              <w:t>Adverse events</w:t>
            </w:r>
            <w:r w:rsidR="00D511FC">
              <w:rPr>
                <w:rFonts w:eastAsia="MS Mincho" w:cstheme="minorHAnsi"/>
              </w:rPr>
              <w:t xml:space="preserve"> </w:t>
            </w:r>
            <w:r w:rsidR="00D511FC" w:rsidRPr="00D511FC">
              <w:rPr>
                <w:rFonts w:eastAsia="MS Mincho" w:cstheme="minorHAnsi"/>
              </w:rPr>
              <w:t>measured during treatment visits</w:t>
            </w:r>
            <w:r w:rsidR="00D511FC">
              <w:rPr>
                <w:rFonts w:eastAsia="MS Mincho" w:cstheme="minorHAnsi"/>
              </w:rPr>
              <w:t xml:space="preserve"> </w:t>
            </w:r>
            <w:r w:rsidR="00D511FC" w:rsidRPr="00D511FC">
              <w:rPr>
                <w:rFonts w:eastAsia="MS Mincho" w:cstheme="minorHAnsi"/>
              </w:rPr>
              <w:t>(treatment length 12 weeks)</w:t>
            </w:r>
            <w:r w:rsidR="00D511FC">
              <w:rPr>
                <w:rFonts w:eastAsia="MS Mincho" w:cstheme="minorHAnsi"/>
              </w:rPr>
              <w:t>.</w:t>
            </w:r>
          </w:p>
          <w:p w14:paraId="0795CEE2" w14:textId="112FE9A2" w:rsidR="004272CD" w:rsidRPr="00017AE6" w:rsidRDefault="004272CD" w:rsidP="00A71365">
            <w:pPr>
              <w:pStyle w:val="Tablewriting"/>
              <w:rPr>
                <w:rFonts w:eastAsia="MS Mincho" w:cstheme="minorHAnsi"/>
              </w:rPr>
            </w:pPr>
          </w:p>
        </w:tc>
      </w:tr>
      <w:tr w:rsidR="004272CD" w:rsidRPr="00017AE6" w14:paraId="32EE401E" w14:textId="77777777" w:rsidTr="005821B1">
        <w:trPr>
          <w:trHeight w:val="99"/>
        </w:trPr>
        <w:tc>
          <w:tcPr>
            <w:tcW w:w="500" w:type="pct"/>
          </w:tcPr>
          <w:p w14:paraId="75E8BF78" w14:textId="0AF4045F" w:rsidR="004272CD" w:rsidRDefault="004272CD" w:rsidP="00A71365">
            <w:pPr>
              <w:pStyle w:val="Tablewriting"/>
              <w:rPr>
                <w:rFonts w:eastAsia="MS Mincho" w:cstheme="minorHAnsi"/>
              </w:rPr>
            </w:pPr>
            <w:r w:rsidRPr="00D850F5">
              <w:rPr>
                <w:rFonts w:eastAsia="MS Mincho" w:cstheme="minorHAnsi"/>
              </w:rPr>
              <w:lastRenderedPageBreak/>
              <w:t xml:space="preserve">Piper </w:t>
            </w:r>
            <w:r w:rsidR="002570AF">
              <w:rPr>
                <w:rFonts w:eastAsia="MS Mincho" w:cstheme="minorHAnsi"/>
              </w:rPr>
              <w:t>(</w:t>
            </w:r>
            <w:r w:rsidRPr="00D850F5">
              <w:rPr>
                <w:rFonts w:eastAsia="MS Mincho" w:cstheme="minorHAnsi"/>
              </w:rPr>
              <w:t>200</w:t>
            </w:r>
            <w:r w:rsidR="008D46AE">
              <w:rPr>
                <w:rFonts w:eastAsia="MS Mincho" w:cstheme="minorHAnsi"/>
              </w:rPr>
              <w:t>9</w:t>
            </w:r>
            <w:r w:rsidR="002570AF">
              <w:rPr>
                <w:rFonts w:eastAsia="MS Mincho" w:cstheme="minorHAnsi"/>
              </w:rPr>
              <w:t>)</w:t>
            </w:r>
          </w:p>
          <w:p w14:paraId="78640A5F" w14:textId="77777777" w:rsidR="00E2377A" w:rsidRDefault="00E2377A" w:rsidP="00A71365">
            <w:pPr>
              <w:pStyle w:val="Tablewriting"/>
              <w:rPr>
                <w:rFonts w:eastAsia="MS Mincho" w:cstheme="minorHAnsi"/>
              </w:rPr>
            </w:pPr>
          </w:p>
          <w:p w14:paraId="5458B912" w14:textId="7D065E7E" w:rsidR="004272CD" w:rsidRPr="00017AE6" w:rsidRDefault="004272CD" w:rsidP="00A71365">
            <w:pPr>
              <w:pStyle w:val="Tablewriting"/>
              <w:rPr>
                <w:rFonts w:eastAsia="MS Mincho" w:cstheme="minorHAnsi"/>
              </w:rPr>
            </w:pPr>
          </w:p>
        </w:tc>
        <w:tc>
          <w:tcPr>
            <w:tcW w:w="237" w:type="pct"/>
          </w:tcPr>
          <w:p w14:paraId="244C95C6" w14:textId="77777777" w:rsidR="00D122C8" w:rsidRPr="00FC5880" w:rsidRDefault="00D122C8" w:rsidP="00D122C8">
            <w:pPr>
              <w:pStyle w:val="Tablewriting"/>
              <w:rPr>
                <w:rFonts w:eastAsia="MS Mincho" w:cstheme="minorHAnsi"/>
              </w:rPr>
            </w:pPr>
            <w:r w:rsidRPr="00FC5880">
              <w:rPr>
                <w:rFonts w:eastAsia="MS Mincho" w:cstheme="minorHAnsi"/>
              </w:rPr>
              <w:t>RCT</w:t>
            </w:r>
          </w:p>
          <w:p w14:paraId="6AC0BA8F" w14:textId="77777777" w:rsidR="004272CD" w:rsidRPr="00017AE6" w:rsidRDefault="004272CD" w:rsidP="00A71365">
            <w:pPr>
              <w:pStyle w:val="Tablewriting"/>
              <w:rPr>
                <w:rFonts w:eastAsia="MS Mincho" w:cstheme="minorHAnsi"/>
              </w:rPr>
            </w:pPr>
          </w:p>
        </w:tc>
        <w:tc>
          <w:tcPr>
            <w:tcW w:w="437" w:type="pct"/>
          </w:tcPr>
          <w:p w14:paraId="7EC1E3AD" w14:textId="278CCC35" w:rsidR="004272CD" w:rsidRPr="00017AE6" w:rsidRDefault="008D46AE" w:rsidP="00A71365">
            <w:pPr>
              <w:pStyle w:val="Tablewriting"/>
              <w:rPr>
                <w:rFonts w:eastAsia="MS Mincho" w:cstheme="minorHAnsi"/>
              </w:rPr>
            </w:pPr>
            <w:r>
              <w:rPr>
                <w:rFonts w:eastAsia="MS Mincho" w:cstheme="minorHAnsi"/>
              </w:rPr>
              <w:t>USA</w:t>
            </w:r>
          </w:p>
        </w:tc>
        <w:tc>
          <w:tcPr>
            <w:tcW w:w="362" w:type="pct"/>
          </w:tcPr>
          <w:p w14:paraId="6F485AFB" w14:textId="0DC22EDF" w:rsidR="004272CD" w:rsidRPr="00017AE6" w:rsidRDefault="004272CD" w:rsidP="00A71365">
            <w:pPr>
              <w:pStyle w:val="Tablewriting"/>
              <w:rPr>
                <w:rFonts w:eastAsia="MS Mincho" w:cstheme="minorHAnsi"/>
              </w:rPr>
            </w:pPr>
            <w:r>
              <w:rPr>
                <w:rFonts w:eastAsia="MS Mincho" w:cstheme="minorHAnsi"/>
              </w:rPr>
              <w:t>N=</w:t>
            </w:r>
            <w:r w:rsidR="008D46AE">
              <w:rPr>
                <w:rFonts w:eastAsia="MS Mincho" w:cstheme="minorHAnsi"/>
              </w:rPr>
              <w:t>1504</w:t>
            </w:r>
          </w:p>
        </w:tc>
        <w:tc>
          <w:tcPr>
            <w:tcW w:w="1381" w:type="pct"/>
          </w:tcPr>
          <w:p w14:paraId="45D74831" w14:textId="5E6F3535" w:rsidR="004272CD" w:rsidRPr="00017AE6" w:rsidRDefault="008B63D9" w:rsidP="00A71365">
            <w:pPr>
              <w:pStyle w:val="Tablewriting"/>
              <w:rPr>
                <w:rFonts w:eastAsia="MS Mincho" w:cstheme="minorHAnsi"/>
              </w:rPr>
            </w:pPr>
            <w:r>
              <w:rPr>
                <w:rFonts w:eastAsia="MS Mincho" w:cstheme="minorHAnsi"/>
              </w:rPr>
              <w:t>S</w:t>
            </w:r>
            <w:r w:rsidRPr="008B63D9">
              <w:rPr>
                <w:rFonts w:eastAsia="MS Mincho" w:cstheme="minorHAnsi"/>
              </w:rPr>
              <w:t>mokers motivated to quit</w:t>
            </w:r>
            <w:r>
              <w:rPr>
                <w:rFonts w:eastAsia="MS Mincho" w:cstheme="minorHAnsi"/>
              </w:rPr>
              <w:t xml:space="preserve">, </w:t>
            </w:r>
            <w:r w:rsidRPr="008B63D9">
              <w:rPr>
                <w:rFonts w:eastAsia="MS Mincho" w:cstheme="minorHAnsi"/>
              </w:rPr>
              <w:t xml:space="preserve">42% men, </w:t>
            </w:r>
            <w:r>
              <w:rPr>
                <w:rFonts w:eastAsia="MS Mincho" w:cstheme="minorHAnsi"/>
              </w:rPr>
              <w:t>aver</w:t>
            </w:r>
            <w:r w:rsidR="000639E5">
              <w:rPr>
                <w:rFonts w:eastAsia="MS Mincho" w:cstheme="minorHAnsi"/>
              </w:rPr>
              <w:t>age</w:t>
            </w:r>
            <w:r w:rsidRPr="008B63D9">
              <w:rPr>
                <w:rFonts w:eastAsia="MS Mincho" w:cstheme="minorHAnsi"/>
              </w:rPr>
              <w:t xml:space="preserve"> age 45, </w:t>
            </w:r>
            <w:r w:rsidR="000639E5">
              <w:rPr>
                <w:rFonts w:eastAsia="MS Mincho" w:cstheme="minorHAnsi"/>
              </w:rPr>
              <w:t>average</w:t>
            </w:r>
            <w:r w:rsidRPr="008B63D9">
              <w:rPr>
                <w:rFonts w:eastAsia="MS Mincho" w:cstheme="minorHAnsi"/>
              </w:rPr>
              <w:t xml:space="preserve"> </w:t>
            </w:r>
            <w:r w:rsidR="000639E5">
              <w:rPr>
                <w:rFonts w:eastAsia="MS Mincho" w:cstheme="minorHAnsi"/>
              </w:rPr>
              <w:t>CPD</w:t>
            </w:r>
            <w:r w:rsidRPr="008B63D9">
              <w:rPr>
                <w:rFonts w:eastAsia="MS Mincho" w:cstheme="minorHAnsi"/>
              </w:rPr>
              <w:t xml:space="preserve"> 21.4</w:t>
            </w:r>
            <w:r w:rsidR="000639E5">
              <w:rPr>
                <w:rFonts w:eastAsia="MS Mincho" w:cstheme="minorHAnsi"/>
              </w:rPr>
              <w:t>.</w:t>
            </w:r>
          </w:p>
        </w:tc>
        <w:tc>
          <w:tcPr>
            <w:tcW w:w="1163" w:type="pct"/>
          </w:tcPr>
          <w:p w14:paraId="1166CE2C" w14:textId="77777777" w:rsidR="006C7A15" w:rsidRDefault="006C7A15" w:rsidP="00C324F3">
            <w:pPr>
              <w:pStyle w:val="Tablewriting"/>
              <w:numPr>
                <w:ilvl w:val="0"/>
                <w:numId w:val="153"/>
              </w:numPr>
              <w:rPr>
                <w:rFonts w:eastAsia="MS Mincho" w:cstheme="minorHAnsi"/>
              </w:rPr>
            </w:pPr>
            <w:r w:rsidRPr="006C7A15">
              <w:rPr>
                <w:rFonts w:eastAsia="MS Mincho" w:cstheme="minorHAnsi"/>
              </w:rPr>
              <w:t>Nicotine lozenge 2 or 4 mg for 12 w</w:t>
            </w:r>
            <w:r>
              <w:rPr>
                <w:rFonts w:eastAsia="MS Mincho" w:cstheme="minorHAnsi"/>
              </w:rPr>
              <w:t>ee</w:t>
            </w:r>
            <w:r w:rsidRPr="006C7A15">
              <w:rPr>
                <w:rFonts w:eastAsia="MS Mincho" w:cstheme="minorHAnsi"/>
              </w:rPr>
              <w:t>ks (based on dose-for-dependence level as per instructions)</w:t>
            </w:r>
            <w:r>
              <w:rPr>
                <w:rFonts w:eastAsia="MS Mincho" w:cstheme="minorHAnsi"/>
              </w:rPr>
              <w:t>.</w:t>
            </w:r>
          </w:p>
          <w:p w14:paraId="0EFDC04A" w14:textId="77777777" w:rsidR="006C7A15" w:rsidRDefault="006C7A15" w:rsidP="00C324F3">
            <w:pPr>
              <w:pStyle w:val="Tablewriting"/>
              <w:numPr>
                <w:ilvl w:val="0"/>
                <w:numId w:val="153"/>
              </w:numPr>
              <w:rPr>
                <w:rFonts w:eastAsia="MS Mincho" w:cstheme="minorHAnsi"/>
              </w:rPr>
            </w:pPr>
            <w:r w:rsidRPr="006C7A15">
              <w:rPr>
                <w:rFonts w:eastAsia="MS Mincho" w:cstheme="minorHAnsi"/>
              </w:rPr>
              <w:t>Nicotine patch (24-hour, 21, 14, and 7 mg titrated down over 8-wk period post-quit)</w:t>
            </w:r>
            <w:r>
              <w:rPr>
                <w:rFonts w:eastAsia="MS Mincho" w:cstheme="minorHAnsi"/>
              </w:rPr>
              <w:t>.</w:t>
            </w:r>
          </w:p>
          <w:p w14:paraId="585AE162" w14:textId="77777777" w:rsidR="006C7A15" w:rsidRDefault="006C7A15" w:rsidP="00C324F3">
            <w:pPr>
              <w:pStyle w:val="Tablewriting"/>
              <w:numPr>
                <w:ilvl w:val="0"/>
                <w:numId w:val="153"/>
              </w:numPr>
              <w:rPr>
                <w:rFonts w:eastAsia="MS Mincho" w:cstheme="minorHAnsi"/>
              </w:rPr>
            </w:pPr>
            <w:r w:rsidRPr="006C7A15">
              <w:rPr>
                <w:rFonts w:eastAsia="MS Mincho" w:cstheme="minorHAnsi"/>
              </w:rPr>
              <w:t>Bupropion SR (150 mg bid, 1 w</w:t>
            </w:r>
            <w:r>
              <w:rPr>
                <w:rFonts w:eastAsia="MS Mincho" w:cstheme="minorHAnsi"/>
              </w:rPr>
              <w:t>ee</w:t>
            </w:r>
            <w:r w:rsidRPr="006C7A15">
              <w:rPr>
                <w:rFonts w:eastAsia="MS Mincho" w:cstheme="minorHAnsi"/>
              </w:rPr>
              <w:t>k pre-quit, 8 w</w:t>
            </w:r>
            <w:r>
              <w:rPr>
                <w:rFonts w:eastAsia="MS Mincho" w:cstheme="minorHAnsi"/>
              </w:rPr>
              <w:t>ee</w:t>
            </w:r>
            <w:r w:rsidRPr="006C7A15">
              <w:rPr>
                <w:rFonts w:eastAsia="MS Mincho" w:cstheme="minorHAnsi"/>
              </w:rPr>
              <w:t>ks post-quit)</w:t>
            </w:r>
            <w:r>
              <w:rPr>
                <w:rFonts w:eastAsia="MS Mincho" w:cstheme="minorHAnsi"/>
              </w:rPr>
              <w:t>.</w:t>
            </w:r>
          </w:p>
          <w:p w14:paraId="3484DAFE" w14:textId="77777777" w:rsidR="006C7A15" w:rsidRDefault="006C7A15" w:rsidP="00C324F3">
            <w:pPr>
              <w:pStyle w:val="Tablewriting"/>
              <w:numPr>
                <w:ilvl w:val="0"/>
                <w:numId w:val="153"/>
              </w:numPr>
              <w:rPr>
                <w:rFonts w:eastAsia="MS Mincho" w:cstheme="minorHAnsi"/>
              </w:rPr>
            </w:pPr>
            <w:r w:rsidRPr="006C7A15">
              <w:rPr>
                <w:rFonts w:eastAsia="MS Mincho" w:cstheme="minorHAnsi"/>
              </w:rPr>
              <w:t>Lozenge + patch (duration and dosage as above)</w:t>
            </w:r>
            <w:r>
              <w:rPr>
                <w:rFonts w:eastAsia="MS Mincho" w:cstheme="minorHAnsi"/>
              </w:rPr>
              <w:t>.</w:t>
            </w:r>
          </w:p>
          <w:p w14:paraId="04E564D2" w14:textId="77777777" w:rsidR="006C7A15" w:rsidRDefault="006C7A15" w:rsidP="00C324F3">
            <w:pPr>
              <w:pStyle w:val="Tablewriting"/>
              <w:numPr>
                <w:ilvl w:val="0"/>
                <w:numId w:val="153"/>
              </w:numPr>
              <w:rPr>
                <w:rFonts w:eastAsia="MS Mincho" w:cstheme="minorHAnsi"/>
              </w:rPr>
            </w:pPr>
            <w:r w:rsidRPr="006C7A15">
              <w:rPr>
                <w:rFonts w:eastAsia="MS Mincho" w:cstheme="minorHAnsi"/>
              </w:rPr>
              <w:t>Bupropion + lozenge (duration and dosage as above)</w:t>
            </w:r>
            <w:r>
              <w:rPr>
                <w:rFonts w:eastAsia="MS Mincho" w:cstheme="minorHAnsi"/>
              </w:rPr>
              <w:t>.</w:t>
            </w:r>
          </w:p>
          <w:p w14:paraId="6EF96720" w14:textId="6F598070" w:rsidR="004272CD" w:rsidRPr="00017AE6" w:rsidRDefault="006C7A15" w:rsidP="00C324F3">
            <w:pPr>
              <w:pStyle w:val="Tablewriting"/>
              <w:numPr>
                <w:ilvl w:val="0"/>
                <w:numId w:val="153"/>
              </w:numPr>
              <w:rPr>
                <w:rFonts w:eastAsia="MS Mincho" w:cstheme="minorHAnsi"/>
              </w:rPr>
            </w:pPr>
            <w:r w:rsidRPr="006C7A15">
              <w:rPr>
                <w:rFonts w:eastAsia="MS Mincho" w:cstheme="minorHAnsi"/>
              </w:rPr>
              <w:t>Placebo (5 groups matched to above 5 interventions)</w:t>
            </w:r>
            <w:r>
              <w:rPr>
                <w:rFonts w:eastAsia="MS Mincho" w:cstheme="minorHAnsi"/>
              </w:rPr>
              <w:t>.</w:t>
            </w:r>
          </w:p>
        </w:tc>
        <w:tc>
          <w:tcPr>
            <w:tcW w:w="920" w:type="pct"/>
          </w:tcPr>
          <w:p w14:paraId="06ED0EE7" w14:textId="77777777"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14:paraId="4A32CD91" w14:textId="782CB02D" w:rsidR="00F56F50" w:rsidRPr="00F56F50" w:rsidRDefault="00F56F50" w:rsidP="00A71365">
            <w:pPr>
              <w:pStyle w:val="Tablewriting"/>
              <w:rPr>
                <w:rFonts w:eastAsia="MS Mincho" w:cstheme="minorHAnsi"/>
              </w:rPr>
            </w:pPr>
            <w:r w:rsidRPr="00F56F50">
              <w:rPr>
                <w:rFonts w:eastAsia="MS Mincho" w:cstheme="minorHAnsi"/>
              </w:rPr>
              <w:t>7-day PPA at 6 m</w:t>
            </w:r>
            <w:r>
              <w:rPr>
                <w:rFonts w:eastAsia="MS Mincho" w:cstheme="minorHAnsi"/>
              </w:rPr>
              <w:t xml:space="preserve">onths, </w:t>
            </w:r>
            <w:r w:rsidRPr="00F56F50">
              <w:rPr>
                <w:rFonts w:eastAsia="MS Mincho" w:cstheme="minorHAnsi"/>
              </w:rPr>
              <w:t>initial cessation</w:t>
            </w:r>
            <w:r>
              <w:rPr>
                <w:rFonts w:eastAsia="MS Mincho" w:cstheme="minorHAnsi"/>
              </w:rPr>
              <w:t>.</w:t>
            </w:r>
          </w:p>
          <w:p w14:paraId="72EED158" w14:textId="77777777" w:rsidR="00F56F50" w:rsidRDefault="00F56F50" w:rsidP="00A71365">
            <w:pPr>
              <w:pStyle w:val="Tablewriting"/>
              <w:rPr>
                <w:rFonts w:eastAsia="MS Mincho" w:cstheme="minorHAnsi"/>
              </w:rPr>
            </w:pPr>
          </w:p>
          <w:p w14:paraId="1A051C0E" w14:textId="05C508CA" w:rsidR="00F56F50" w:rsidRPr="00F56F50" w:rsidRDefault="00F56F50" w:rsidP="00A71365">
            <w:pPr>
              <w:pStyle w:val="Tablewriting"/>
              <w:rPr>
                <w:rFonts w:eastAsia="MS Mincho" w:cstheme="minorHAnsi"/>
              </w:rPr>
            </w:pPr>
            <w:r w:rsidRPr="00F56F50">
              <w:rPr>
                <w:rFonts w:eastAsia="MS Mincho" w:cstheme="minorHAnsi"/>
              </w:rPr>
              <w:t>Validation: CO &lt; 10 ppm</w:t>
            </w:r>
            <w:r>
              <w:rPr>
                <w:rFonts w:eastAsia="MS Mincho" w:cstheme="minorHAnsi"/>
              </w:rPr>
              <w:t>.</w:t>
            </w:r>
          </w:p>
          <w:p w14:paraId="5B9371D8" w14:textId="77777777" w:rsidR="00F56F50" w:rsidRDefault="00F56F50" w:rsidP="00A71365">
            <w:pPr>
              <w:pStyle w:val="Tablewriting"/>
              <w:rPr>
                <w:rFonts w:eastAsia="MS Mincho" w:cstheme="minorHAnsi"/>
                <w:u w:val="single"/>
              </w:rPr>
            </w:pPr>
          </w:p>
          <w:p w14:paraId="4317A193" w14:textId="3B5D7917" w:rsidR="00F56F50" w:rsidRDefault="004272CD" w:rsidP="00A71365">
            <w:pPr>
              <w:pStyle w:val="Tablewriting"/>
              <w:rPr>
                <w:rFonts w:eastAsia="MS Mincho" w:cstheme="minorHAnsi"/>
              </w:rPr>
            </w:pPr>
            <w:r w:rsidRPr="004272CD">
              <w:rPr>
                <w:rFonts w:eastAsia="MS Mincho" w:cstheme="minorHAnsi"/>
                <w:u w:val="single"/>
              </w:rPr>
              <w:t>Safety:</w:t>
            </w:r>
            <w:r w:rsidR="00F56F50">
              <w:rPr>
                <w:rFonts w:eastAsia="MS Mincho" w:cstheme="minorHAnsi"/>
                <w:u w:val="single"/>
              </w:rPr>
              <w:t xml:space="preserve"> </w:t>
            </w:r>
            <w:r w:rsidR="00F56F50" w:rsidRPr="00F56F50">
              <w:rPr>
                <w:rFonts w:eastAsia="MS Mincho" w:cstheme="minorHAnsi"/>
              </w:rPr>
              <w:t>Adverse events: measured at study visits during treatment (8 weeks)</w:t>
            </w:r>
            <w:r w:rsidR="00F56F50">
              <w:rPr>
                <w:rFonts w:eastAsia="MS Mincho" w:cstheme="minorHAnsi"/>
              </w:rPr>
              <w:t>.</w:t>
            </w:r>
          </w:p>
          <w:p w14:paraId="70F622F8" w14:textId="7C9E66C8" w:rsidR="004272CD" w:rsidRPr="00017AE6" w:rsidRDefault="004272CD" w:rsidP="00A71365">
            <w:pPr>
              <w:pStyle w:val="Tablewriting"/>
              <w:rPr>
                <w:rFonts w:eastAsia="MS Mincho" w:cstheme="minorHAnsi"/>
              </w:rPr>
            </w:pPr>
          </w:p>
        </w:tc>
      </w:tr>
      <w:tr w:rsidR="004272CD" w:rsidRPr="00017AE6" w14:paraId="75A5E156" w14:textId="77777777" w:rsidTr="005821B1">
        <w:trPr>
          <w:trHeight w:val="99"/>
        </w:trPr>
        <w:tc>
          <w:tcPr>
            <w:tcW w:w="500" w:type="pct"/>
          </w:tcPr>
          <w:p w14:paraId="791E9BA8" w14:textId="41FDBE34" w:rsidR="004272CD" w:rsidRPr="00017AE6" w:rsidRDefault="004272CD" w:rsidP="00A71365">
            <w:pPr>
              <w:pStyle w:val="Tablewriting"/>
              <w:rPr>
                <w:rFonts w:eastAsia="MS Mincho" w:cstheme="minorHAnsi"/>
              </w:rPr>
            </w:pPr>
            <w:r w:rsidRPr="00D850F5">
              <w:rPr>
                <w:rFonts w:eastAsia="MS Mincho" w:cstheme="minorHAnsi"/>
              </w:rPr>
              <w:t xml:space="preserve">Schnoll </w:t>
            </w:r>
            <w:r w:rsidR="008D46AE">
              <w:rPr>
                <w:rFonts w:eastAsia="MS Mincho" w:cstheme="minorHAnsi"/>
              </w:rPr>
              <w:t>(</w:t>
            </w:r>
            <w:r w:rsidR="009D6057" w:rsidRPr="00D850F5">
              <w:rPr>
                <w:rFonts w:eastAsia="MS Mincho" w:cstheme="minorHAnsi"/>
              </w:rPr>
              <w:t>2010</w:t>
            </w:r>
            <w:r w:rsidR="00D122C8">
              <w:rPr>
                <w:rFonts w:eastAsia="MS Mincho" w:cstheme="minorHAnsi"/>
              </w:rPr>
              <w:t>b</w:t>
            </w:r>
            <w:r w:rsidR="009D6057">
              <w:rPr>
                <w:rFonts w:eastAsia="MS Mincho" w:cstheme="minorHAnsi"/>
              </w:rPr>
              <w:t xml:space="preserve">) </w:t>
            </w:r>
          </w:p>
        </w:tc>
        <w:tc>
          <w:tcPr>
            <w:tcW w:w="237" w:type="pct"/>
          </w:tcPr>
          <w:p w14:paraId="291A9E14" w14:textId="77777777" w:rsidR="00D122C8" w:rsidRPr="00FC5880" w:rsidRDefault="00D122C8" w:rsidP="00D122C8">
            <w:pPr>
              <w:pStyle w:val="Tablewriting"/>
              <w:rPr>
                <w:rFonts w:eastAsia="MS Mincho" w:cstheme="minorHAnsi"/>
              </w:rPr>
            </w:pPr>
            <w:r w:rsidRPr="00FC5880">
              <w:rPr>
                <w:rFonts w:eastAsia="MS Mincho" w:cstheme="minorHAnsi"/>
              </w:rPr>
              <w:t>RCT</w:t>
            </w:r>
          </w:p>
          <w:p w14:paraId="2646774A" w14:textId="77777777" w:rsidR="004272CD" w:rsidRPr="00017AE6" w:rsidRDefault="004272CD" w:rsidP="00A71365">
            <w:pPr>
              <w:pStyle w:val="Tablewriting"/>
              <w:rPr>
                <w:rFonts w:eastAsia="MS Mincho" w:cstheme="minorHAnsi"/>
              </w:rPr>
            </w:pPr>
          </w:p>
        </w:tc>
        <w:tc>
          <w:tcPr>
            <w:tcW w:w="437" w:type="pct"/>
          </w:tcPr>
          <w:p w14:paraId="785B2413" w14:textId="68F2A4F7" w:rsidR="004272CD" w:rsidRPr="00017AE6" w:rsidRDefault="00C1431F" w:rsidP="00A71365">
            <w:pPr>
              <w:pStyle w:val="Tablewriting"/>
              <w:rPr>
                <w:rFonts w:eastAsia="MS Mincho" w:cstheme="minorHAnsi"/>
              </w:rPr>
            </w:pPr>
            <w:r>
              <w:rPr>
                <w:rFonts w:eastAsia="MS Mincho" w:cstheme="minorHAnsi"/>
              </w:rPr>
              <w:t>USA</w:t>
            </w:r>
          </w:p>
        </w:tc>
        <w:tc>
          <w:tcPr>
            <w:tcW w:w="362" w:type="pct"/>
          </w:tcPr>
          <w:p w14:paraId="5B83F712" w14:textId="1FB59183" w:rsidR="004272CD" w:rsidRPr="00017AE6" w:rsidRDefault="004272CD" w:rsidP="00A71365">
            <w:pPr>
              <w:pStyle w:val="Tablewriting"/>
              <w:rPr>
                <w:rFonts w:eastAsia="MS Mincho" w:cstheme="minorHAnsi"/>
              </w:rPr>
            </w:pPr>
            <w:r>
              <w:rPr>
                <w:rFonts w:eastAsia="MS Mincho" w:cstheme="minorHAnsi"/>
              </w:rPr>
              <w:t>N=</w:t>
            </w:r>
            <w:r w:rsidR="00C1431F">
              <w:rPr>
                <w:rFonts w:eastAsia="MS Mincho" w:cstheme="minorHAnsi"/>
              </w:rPr>
              <w:t>642</w:t>
            </w:r>
          </w:p>
        </w:tc>
        <w:tc>
          <w:tcPr>
            <w:tcW w:w="1381" w:type="pct"/>
          </w:tcPr>
          <w:p w14:paraId="68A17C2C" w14:textId="6ABDAB20" w:rsidR="000932EE" w:rsidRPr="000932EE" w:rsidRDefault="000932EE" w:rsidP="00A71365">
            <w:pPr>
              <w:pStyle w:val="Tablewriting"/>
              <w:rPr>
                <w:rFonts w:eastAsia="MS Mincho" w:cstheme="minorHAnsi"/>
              </w:rPr>
            </w:pPr>
            <w:r>
              <w:rPr>
                <w:rFonts w:eastAsia="MS Mincho" w:cstheme="minorHAnsi"/>
              </w:rPr>
              <w:t>T</w:t>
            </w:r>
            <w:r w:rsidRPr="000932EE">
              <w:rPr>
                <w:rFonts w:eastAsia="MS Mincho" w:cstheme="minorHAnsi"/>
              </w:rPr>
              <w:t xml:space="preserve">reatment-seeking smokers smoking </w:t>
            </w:r>
            <w:r w:rsidR="00F26E93" w:rsidRPr="00F26E93">
              <w:rPr>
                <w:rFonts w:eastAsia="MS Mincho" w:cstheme="minorHAnsi"/>
              </w:rPr>
              <w:t>≥</w:t>
            </w:r>
            <w:r w:rsidR="00F26E93">
              <w:rPr>
                <w:rFonts w:eastAsia="MS Mincho" w:cstheme="minorHAnsi"/>
              </w:rPr>
              <w:t xml:space="preserve"> </w:t>
            </w:r>
            <w:r w:rsidRPr="000932EE">
              <w:rPr>
                <w:rFonts w:eastAsia="MS Mincho" w:cstheme="minorHAnsi"/>
              </w:rPr>
              <w:t xml:space="preserve">10 </w:t>
            </w:r>
            <w:r>
              <w:rPr>
                <w:rFonts w:eastAsia="MS Mincho" w:cstheme="minorHAnsi"/>
              </w:rPr>
              <w:t>CPD.</w:t>
            </w:r>
          </w:p>
          <w:p w14:paraId="70AA4547" w14:textId="49288909" w:rsidR="004272CD" w:rsidRPr="00017AE6" w:rsidRDefault="000932EE" w:rsidP="00A71365">
            <w:pPr>
              <w:pStyle w:val="Tablewriting"/>
              <w:rPr>
                <w:rFonts w:eastAsia="MS Mincho" w:cstheme="minorHAnsi"/>
              </w:rPr>
            </w:pPr>
            <w:r w:rsidRPr="000932EE">
              <w:rPr>
                <w:rFonts w:eastAsia="MS Mincho" w:cstheme="minorHAnsi"/>
              </w:rPr>
              <w:t>43% men, a</w:t>
            </w:r>
            <w:r>
              <w:rPr>
                <w:rFonts w:eastAsia="MS Mincho" w:cstheme="minorHAnsi"/>
              </w:rPr>
              <w:t xml:space="preserve">verage </w:t>
            </w:r>
            <w:r w:rsidRPr="000932EE">
              <w:rPr>
                <w:rFonts w:eastAsia="MS Mincho" w:cstheme="minorHAnsi"/>
              </w:rPr>
              <w:t xml:space="preserve">age 45, </w:t>
            </w:r>
            <w:r w:rsidR="002C58BC" w:rsidRPr="000932EE">
              <w:rPr>
                <w:rFonts w:eastAsia="MS Mincho" w:cstheme="minorHAnsi"/>
              </w:rPr>
              <w:t>a</w:t>
            </w:r>
            <w:r w:rsidR="002C58BC">
              <w:rPr>
                <w:rFonts w:eastAsia="MS Mincho" w:cstheme="minorHAnsi"/>
              </w:rPr>
              <w:t>verage</w:t>
            </w:r>
            <w:r w:rsidRPr="000932EE">
              <w:rPr>
                <w:rFonts w:eastAsia="MS Mincho" w:cstheme="minorHAnsi"/>
              </w:rPr>
              <w:t xml:space="preserve"> </w:t>
            </w:r>
            <w:r w:rsidR="002C58BC">
              <w:rPr>
                <w:rFonts w:eastAsia="MS Mincho" w:cstheme="minorHAnsi"/>
              </w:rPr>
              <w:t>CPD</w:t>
            </w:r>
            <w:r w:rsidRPr="000932EE">
              <w:rPr>
                <w:rFonts w:eastAsia="MS Mincho" w:cstheme="minorHAnsi"/>
              </w:rPr>
              <w:t xml:space="preserve"> 20.3, </w:t>
            </w:r>
            <w:r w:rsidR="00485FA4" w:rsidRPr="000932EE">
              <w:rPr>
                <w:rFonts w:eastAsia="MS Mincho" w:cstheme="minorHAnsi"/>
              </w:rPr>
              <w:t>a</w:t>
            </w:r>
            <w:r w:rsidR="00485FA4">
              <w:rPr>
                <w:rFonts w:eastAsia="MS Mincho" w:cstheme="minorHAnsi"/>
              </w:rPr>
              <w:t>verage</w:t>
            </w:r>
            <w:r w:rsidRPr="000932EE">
              <w:rPr>
                <w:rFonts w:eastAsia="MS Mincho" w:cstheme="minorHAnsi"/>
              </w:rPr>
              <w:t xml:space="preserve"> FTND 5.1</w:t>
            </w:r>
            <w:r w:rsidR="00485FA4">
              <w:rPr>
                <w:rFonts w:eastAsia="MS Mincho" w:cstheme="minorHAnsi"/>
              </w:rPr>
              <w:t>,</w:t>
            </w:r>
            <w:r w:rsidRPr="000932EE">
              <w:rPr>
                <w:rFonts w:eastAsia="MS Mincho" w:cstheme="minorHAnsi"/>
              </w:rPr>
              <w:t xml:space="preserve"> </w:t>
            </w:r>
            <w:r w:rsidR="00485FA4" w:rsidRPr="000932EE">
              <w:rPr>
                <w:rFonts w:eastAsia="MS Mincho" w:cstheme="minorHAnsi"/>
              </w:rPr>
              <w:t>a</w:t>
            </w:r>
            <w:r w:rsidR="00485FA4">
              <w:rPr>
                <w:rFonts w:eastAsia="MS Mincho" w:cstheme="minorHAnsi"/>
              </w:rPr>
              <w:t>verage</w:t>
            </w:r>
            <w:r w:rsidRPr="000932EE">
              <w:rPr>
                <w:rFonts w:eastAsia="MS Mincho" w:cstheme="minorHAnsi"/>
              </w:rPr>
              <w:t xml:space="preserve"> y</w:t>
            </w:r>
            <w:r w:rsidR="00485FA4">
              <w:rPr>
                <w:rFonts w:eastAsia="MS Mincho" w:cstheme="minorHAnsi"/>
              </w:rPr>
              <w:t>ea</w:t>
            </w:r>
            <w:r w:rsidRPr="000932EE">
              <w:rPr>
                <w:rFonts w:eastAsia="MS Mincho" w:cstheme="minorHAnsi"/>
              </w:rPr>
              <w:t>rs smoking 26.7</w:t>
            </w:r>
            <w:r w:rsidR="00485FA4">
              <w:rPr>
                <w:rFonts w:eastAsia="MS Mincho" w:cstheme="minorHAnsi"/>
              </w:rPr>
              <w:t xml:space="preserve">. </w:t>
            </w:r>
          </w:p>
        </w:tc>
        <w:tc>
          <w:tcPr>
            <w:tcW w:w="1163" w:type="pct"/>
          </w:tcPr>
          <w:p w14:paraId="3BAD15B2" w14:textId="77777777" w:rsidR="00485FA4" w:rsidRPr="00485FA4" w:rsidRDefault="00485FA4" w:rsidP="00A71365">
            <w:pPr>
              <w:pStyle w:val="Tablewriting"/>
              <w:rPr>
                <w:rFonts w:eastAsia="MS Mincho" w:cstheme="minorHAnsi"/>
              </w:rPr>
            </w:pPr>
            <w:r w:rsidRPr="00485FA4">
              <w:rPr>
                <w:rFonts w:eastAsia="MS Mincho" w:cstheme="minorHAnsi"/>
              </w:rPr>
              <w:t>Direct comparison of patch vs lozenge</w:t>
            </w:r>
          </w:p>
          <w:p w14:paraId="01FE59E2" w14:textId="77777777" w:rsidR="00485FA4" w:rsidRDefault="00485FA4" w:rsidP="00C324F3">
            <w:pPr>
              <w:pStyle w:val="Tablewriting"/>
              <w:numPr>
                <w:ilvl w:val="0"/>
                <w:numId w:val="150"/>
              </w:numPr>
              <w:rPr>
                <w:rFonts w:eastAsia="MS Mincho" w:cstheme="minorHAnsi"/>
              </w:rPr>
            </w:pPr>
            <w:r w:rsidRPr="00485FA4">
              <w:rPr>
                <w:rFonts w:eastAsia="MS Mincho" w:cstheme="minorHAnsi"/>
              </w:rPr>
              <w:t>Patch: 21 mg/day for first 6 w</w:t>
            </w:r>
            <w:r>
              <w:rPr>
                <w:rFonts w:eastAsia="MS Mincho" w:cstheme="minorHAnsi"/>
              </w:rPr>
              <w:t>ee</w:t>
            </w:r>
            <w:r w:rsidRPr="00485FA4">
              <w:rPr>
                <w:rFonts w:eastAsia="MS Mincho" w:cstheme="minorHAnsi"/>
              </w:rPr>
              <w:t>ks, 14 mg/day for w</w:t>
            </w:r>
            <w:r>
              <w:rPr>
                <w:rFonts w:eastAsia="MS Mincho" w:cstheme="minorHAnsi"/>
              </w:rPr>
              <w:t>ee</w:t>
            </w:r>
            <w:r w:rsidRPr="00485FA4">
              <w:rPr>
                <w:rFonts w:eastAsia="MS Mincho" w:cstheme="minorHAnsi"/>
              </w:rPr>
              <w:t>ks 7 + 8, 7 mg/day for w</w:t>
            </w:r>
            <w:r>
              <w:rPr>
                <w:rFonts w:eastAsia="MS Mincho" w:cstheme="minorHAnsi"/>
              </w:rPr>
              <w:t>ee</w:t>
            </w:r>
            <w:r w:rsidRPr="00485FA4">
              <w:rPr>
                <w:rFonts w:eastAsia="MS Mincho" w:cstheme="minorHAnsi"/>
              </w:rPr>
              <w:t xml:space="preserve">ks 9 </w:t>
            </w:r>
            <w:r>
              <w:rPr>
                <w:rFonts w:eastAsia="MS Mincho" w:cstheme="minorHAnsi"/>
              </w:rPr>
              <w:t>–</w:t>
            </w:r>
            <w:r w:rsidRPr="00485FA4">
              <w:rPr>
                <w:rFonts w:eastAsia="MS Mincho" w:cstheme="minorHAnsi"/>
              </w:rPr>
              <w:t xml:space="preserve"> 12</w:t>
            </w:r>
            <w:r>
              <w:rPr>
                <w:rFonts w:eastAsia="MS Mincho" w:cstheme="minorHAnsi"/>
              </w:rPr>
              <w:t>.</w:t>
            </w:r>
          </w:p>
          <w:p w14:paraId="4F30A988" w14:textId="32B54E3B" w:rsidR="004272CD" w:rsidRPr="00485FA4" w:rsidRDefault="00485FA4" w:rsidP="00C324F3">
            <w:pPr>
              <w:pStyle w:val="Tablewriting"/>
              <w:numPr>
                <w:ilvl w:val="0"/>
                <w:numId w:val="150"/>
              </w:numPr>
              <w:rPr>
                <w:rFonts w:eastAsia="MS Mincho" w:cstheme="minorHAnsi"/>
              </w:rPr>
            </w:pPr>
            <w:r w:rsidRPr="00485FA4">
              <w:rPr>
                <w:rFonts w:eastAsia="MS Mincho" w:cstheme="minorHAnsi"/>
              </w:rPr>
              <w:t>Lozenge: 4 mg for</w:t>
            </w:r>
            <w:r>
              <w:rPr>
                <w:rFonts w:eastAsia="MS Mincho" w:cstheme="minorHAnsi"/>
              </w:rPr>
              <w:t xml:space="preserve"> </w:t>
            </w:r>
            <w:r w:rsidRPr="00485FA4">
              <w:rPr>
                <w:rFonts w:eastAsia="MS Mincho" w:cstheme="minorHAnsi"/>
              </w:rPr>
              <w:t>participants who smoked first cig of day within 30 mins of waking; 2 mg for all other</w:t>
            </w:r>
            <w:r>
              <w:rPr>
                <w:rFonts w:eastAsia="MS Mincho" w:cstheme="minorHAnsi"/>
              </w:rPr>
              <w:t xml:space="preserve"> </w:t>
            </w:r>
            <w:r w:rsidRPr="00485FA4">
              <w:rPr>
                <w:rFonts w:eastAsia="MS Mincho" w:cstheme="minorHAnsi"/>
              </w:rPr>
              <w:t>participants. Asked to use 9/day for first 6 w</w:t>
            </w:r>
            <w:r>
              <w:rPr>
                <w:rFonts w:eastAsia="MS Mincho" w:cstheme="minorHAnsi"/>
              </w:rPr>
              <w:t>ee</w:t>
            </w:r>
            <w:r w:rsidRPr="00485FA4">
              <w:rPr>
                <w:rFonts w:eastAsia="MS Mincho" w:cstheme="minorHAnsi"/>
              </w:rPr>
              <w:t>ks, 5/day for w</w:t>
            </w:r>
            <w:r>
              <w:rPr>
                <w:rFonts w:eastAsia="MS Mincho" w:cstheme="minorHAnsi"/>
              </w:rPr>
              <w:t>ee</w:t>
            </w:r>
            <w:r w:rsidRPr="00485FA4">
              <w:rPr>
                <w:rFonts w:eastAsia="MS Mincho" w:cstheme="minorHAnsi"/>
              </w:rPr>
              <w:t>ks 7 - 9, 3/day for w</w:t>
            </w:r>
            <w:r>
              <w:rPr>
                <w:rFonts w:eastAsia="MS Mincho" w:cstheme="minorHAnsi"/>
              </w:rPr>
              <w:t>ee</w:t>
            </w:r>
            <w:r w:rsidRPr="00485FA4">
              <w:rPr>
                <w:rFonts w:eastAsia="MS Mincho" w:cstheme="minorHAnsi"/>
              </w:rPr>
              <w:t xml:space="preserve">ks 10 </w:t>
            </w:r>
            <w:r>
              <w:rPr>
                <w:rFonts w:eastAsia="MS Mincho" w:cstheme="minorHAnsi"/>
              </w:rPr>
              <w:t>–</w:t>
            </w:r>
            <w:r w:rsidRPr="00485FA4">
              <w:rPr>
                <w:rFonts w:eastAsia="MS Mincho" w:cstheme="minorHAnsi"/>
              </w:rPr>
              <w:t xml:space="preserve"> 12</w:t>
            </w:r>
            <w:r>
              <w:rPr>
                <w:rFonts w:eastAsia="MS Mincho" w:cstheme="minorHAnsi"/>
              </w:rPr>
              <w:t xml:space="preserve">. </w:t>
            </w:r>
          </w:p>
        </w:tc>
        <w:tc>
          <w:tcPr>
            <w:tcW w:w="920" w:type="pct"/>
          </w:tcPr>
          <w:p w14:paraId="21FA53B8" w14:textId="77777777" w:rsidR="004272CD" w:rsidRPr="004272CD" w:rsidRDefault="004272CD" w:rsidP="00A71365">
            <w:pPr>
              <w:pStyle w:val="Tablewriting"/>
              <w:rPr>
                <w:rFonts w:eastAsia="MS Mincho" w:cstheme="minorHAnsi"/>
                <w:u w:val="single"/>
              </w:rPr>
            </w:pPr>
            <w:r w:rsidRPr="004272CD">
              <w:rPr>
                <w:rFonts w:eastAsia="MS Mincho" w:cstheme="minorHAnsi"/>
                <w:u w:val="single"/>
              </w:rPr>
              <w:t>Efficacy:</w:t>
            </w:r>
          </w:p>
          <w:p w14:paraId="65EFE053" w14:textId="3811005E" w:rsidR="00485FA4" w:rsidRPr="00485FA4" w:rsidRDefault="00485FA4" w:rsidP="00A71365">
            <w:pPr>
              <w:pStyle w:val="Tablewriting"/>
              <w:rPr>
                <w:rFonts w:eastAsia="MS Mincho" w:cstheme="minorHAnsi"/>
              </w:rPr>
            </w:pPr>
            <w:r w:rsidRPr="00485FA4">
              <w:rPr>
                <w:rFonts w:eastAsia="MS Mincho" w:cstheme="minorHAnsi"/>
              </w:rPr>
              <w:t>24-hour PPA at 6 m</w:t>
            </w:r>
            <w:r w:rsidR="00176412">
              <w:rPr>
                <w:rFonts w:eastAsia="MS Mincho" w:cstheme="minorHAnsi"/>
              </w:rPr>
              <w:t>onths.</w:t>
            </w:r>
          </w:p>
          <w:p w14:paraId="3E7DCC75" w14:textId="3D9F4411" w:rsidR="00485FA4" w:rsidRPr="00485FA4" w:rsidRDefault="00485FA4" w:rsidP="00A71365">
            <w:pPr>
              <w:pStyle w:val="Tablewriting"/>
              <w:rPr>
                <w:rFonts w:eastAsia="MS Mincho" w:cstheme="minorHAnsi"/>
              </w:rPr>
            </w:pPr>
            <w:r w:rsidRPr="00485FA4">
              <w:rPr>
                <w:rFonts w:eastAsia="MS Mincho" w:cstheme="minorHAnsi"/>
              </w:rPr>
              <w:t xml:space="preserve">Validation: CO </w:t>
            </w:r>
            <w:r w:rsidR="00F26E93" w:rsidRPr="00F26E93">
              <w:rPr>
                <w:rFonts w:eastAsia="MS Mincho" w:cstheme="minorHAnsi"/>
              </w:rPr>
              <w:t>≤</w:t>
            </w:r>
            <w:r w:rsidRPr="00485FA4">
              <w:rPr>
                <w:rFonts w:eastAsia="MS Mincho" w:cstheme="minorHAnsi"/>
              </w:rPr>
              <w:t xml:space="preserve"> 10 ppm</w:t>
            </w:r>
            <w:r>
              <w:rPr>
                <w:rFonts w:eastAsia="MS Mincho" w:cstheme="minorHAnsi"/>
              </w:rPr>
              <w:t>.</w:t>
            </w:r>
          </w:p>
          <w:p w14:paraId="0927C20A" w14:textId="77777777" w:rsidR="00485FA4" w:rsidRDefault="00485FA4" w:rsidP="00A71365">
            <w:pPr>
              <w:pStyle w:val="Tablewriting"/>
              <w:rPr>
                <w:rFonts w:eastAsia="MS Mincho" w:cstheme="minorHAnsi"/>
                <w:u w:val="single"/>
              </w:rPr>
            </w:pPr>
          </w:p>
          <w:p w14:paraId="22835DC4" w14:textId="3DFF608C" w:rsidR="00485FA4" w:rsidRDefault="004272CD" w:rsidP="00A71365">
            <w:pPr>
              <w:pStyle w:val="Tablewriting"/>
              <w:rPr>
                <w:rFonts w:eastAsia="MS Mincho" w:cstheme="minorHAnsi"/>
              </w:rPr>
            </w:pPr>
            <w:r w:rsidRPr="004272CD">
              <w:rPr>
                <w:rFonts w:eastAsia="MS Mincho" w:cstheme="minorHAnsi"/>
                <w:u w:val="single"/>
              </w:rPr>
              <w:t>Safety:</w:t>
            </w:r>
            <w:r w:rsidR="00485FA4">
              <w:rPr>
                <w:rFonts w:eastAsia="MS Mincho" w:cstheme="minorHAnsi"/>
                <w:u w:val="single"/>
              </w:rPr>
              <w:t xml:space="preserve"> </w:t>
            </w:r>
            <w:r w:rsidR="00485FA4" w:rsidRPr="00485FA4">
              <w:rPr>
                <w:rFonts w:eastAsia="MS Mincho" w:cstheme="minorHAnsi"/>
              </w:rPr>
              <w:t>Adverse events: measured at end of treatment (12 weeks) and at</w:t>
            </w:r>
            <w:r w:rsidR="00485FA4">
              <w:rPr>
                <w:rFonts w:eastAsia="MS Mincho" w:cstheme="minorHAnsi"/>
              </w:rPr>
              <w:t xml:space="preserve"> </w:t>
            </w:r>
            <w:r w:rsidR="00485FA4" w:rsidRPr="00485FA4">
              <w:rPr>
                <w:rFonts w:eastAsia="MS Mincho" w:cstheme="minorHAnsi"/>
              </w:rPr>
              <w:t>6</w:t>
            </w:r>
            <w:r w:rsidR="00485FA4">
              <w:rPr>
                <w:rFonts w:eastAsia="MS Mincho" w:cstheme="minorHAnsi"/>
              </w:rPr>
              <w:t>-month</w:t>
            </w:r>
            <w:r w:rsidR="00485FA4" w:rsidRPr="00485FA4">
              <w:rPr>
                <w:rFonts w:eastAsia="MS Mincho" w:cstheme="minorHAnsi"/>
              </w:rPr>
              <w:t xml:space="preserve"> follow-up</w:t>
            </w:r>
            <w:r w:rsidR="00485FA4">
              <w:rPr>
                <w:rFonts w:eastAsia="MS Mincho" w:cstheme="minorHAnsi"/>
              </w:rPr>
              <w:t>.</w:t>
            </w:r>
          </w:p>
          <w:p w14:paraId="18E4A03F" w14:textId="24B0E379" w:rsidR="004272CD" w:rsidRPr="00017AE6" w:rsidRDefault="004272CD" w:rsidP="00A71365">
            <w:pPr>
              <w:pStyle w:val="Tablewriting"/>
              <w:rPr>
                <w:rFonts w:eastAsia="MS Mincho" w:cstheme="minorHAnsi"/>
              </w:rPr>
            </w:pPr>
          </w:p>
        </w:tc>
      </w:tr>
      <w:tr w:rsidR="004272CD" w:rsidRPr="00017AE6" w14:paraId="0FAFBC85" w14:textId="77777777" w:rsidTr="005821B1">
        <w:trPr>
          <w:trHeight w:val="99"/>
        </w:trPr>
        <w:tc>
          <w:tcPr>
            <w:tcW w:w="500" w:type="pct"/>
          </w:tcPr>
          <w:p w14:paraId="77C294D4" w14:textId="20B9A05F" w:rsidR="004272CD" w:rsidRPr="00017AE6" w:rsidRDefault="004272CD" w:rsidP="00A71365">
            <w:pPr>
              <w:pStyle w:val="Tablewriting"/>
              <w:rPr>
                <w:rFonts w:eastAsia="MS Mincho" w:cstheme="minorHAnsi"/>
              </w:rPr>
            </w:pPr>
            <w:r w:rsidRPr="00D850F5">
              <w:rPr>
                <w:rFonts w:eastAsia="MS Mincho" w:cstheme="minorHAnsi"/>
              </w:rPr>
              <w:t xml:space="preserve">Smith </w:t>
            </w:r>
            <w:r w:rsidR="009D6057">
              <w:rPr>
                <w:rFonts w:eastAsia="MS Mincho" w:cstheme="minorHAnsi"/>
              </w:rPr>
              <w:t>(</w:t>
            </w:r>
            <w:r w:rsidRPr="00D850F5">
              <w:rPr>
                <w:rFonts w:eastAsia="MS Mincho" w:cstheme="minorHAnsi"/>
              </w:rPr>
              <w:t>2009</w:t>
            </w:r>
            <w:r w:rsidR="009D6057">
              <w:rPr>
                <w:rFonts w:eastAsia="MS Mincho" w:cstheme="minorHAnsi"/>
              </w:rPr>
              <w:t>)</w:t>
            </w:r>
          </w:p>
        </w:tc>
        <w:tc>
          <w:tcPr>
            <w:tcW w:w="237" w:type="pct"/>
          </w:tcPr>
          <w:p w14:paraId="16F3F33C" w14:textId="77777777" w:rsidR="00D122C8" w:rsidRPr="00FC5880" w:rsidRDefault="00D122C8" w:rsidP="00D122C8">
            <w:pPr>
              <w:pStyle w:val="Tablewriting"/>
              <w:rPr>
                <w:rFonts w:eastAsia="MS Mincho" w:cstheme="minorHAnsi"/>
              </w:rPr>
            </w:pPr>
            <w:r w:rsidRPr="00FC5880">
              <w:rPr>
                <w:rFonts w:eastAsia="MS Mincho" w:cstheme="minorHAnsi"/>
              </w:rPr>
              <w:t>RCT</w:t>
            </w:r>
          </w:p>
          <w:p w14:paraId="7ED47B21" w14:textId="77777777" w:rsidR="004272CD" w:rsidRPr="00017AE6" w:rsidRDefault="004272CD" w:rsidP="00A71365">
            <w:pPr>
              <w:pStyle w:val="Tablewriting"/>
              <w:rPr>
                <w:rFonts w:eastAsia="MS Mincho" w:cstheme="minorHAnsi"/>
              </w:rPr>
            </w:pPr>
          </w:p>
        </w:tc>
        <w:tc>
          <w:tcPr>
            <w:tcW w:w="437" w:type="pct"/>
          </w:tcPr>
          <w:p w14:paraId="38849368" w14:textId="1B9EA68B" w:rsidR="004272CD" w:rsidRPr="00017AE6" w:rsidRDefault="00176412" w:rsidP="00A71365">
            <w:pPr>
              <w:pStyle w:val="Tablewriting"/>
              <w:rPr>
                <w:rFonts w:eastAsia="MS Mincho" w:cstheme="minorHAnsi"/>
              </w:rPr>
            </w:pPr>
            <w:r>
              <w:rPr>
                <w:rFonts w:eastAsia="MS Mincho" w:cstheme="minorHAnsi"/>
              </w:rPr>
              <w:t>USA</w:t>
            </w:r>
          </w:p>
        </w:tc>
        <w:tc>
          <w:tcPr>
            <w:tcW w:w="362" w:type="pct"/>
          </w:tcPr>
          <w:p w14:paraId="5117BE58" w14:textId="58588761" w:rsidR="004272CD" w:rsidRPr="00017AE6" w:rsidRDefault="004272CD" w:rsidP="00A71365">
            <w:pPr>
              <w:pStyle w:val="Tablewriting"/>
              <w:rPr>
                <w:rFonts w:eastAsia="MS Mincho" w:cstheme="minorHAnsi"/>
              </w:rPr>
            </w:pPr>
            <w:r>
              <w:rPr>
                <w:rFonts w:eastAsia="MS Mincho" w:cstheme="minorHAnsi"/>
              </w:rPr>
              <w:t>N=</w:t>
            </w:r>
            <w:r w:rsidR="00176412">
              <w:rPr>
                <w:rFonts w:eastAsia="MS Mincho" w:cstheme="minorHAnsi"/>
              </w:rPr>
              <w:t>1346</w:t>
            </w:r>
          </w:p>
        </w:tc>
        <w:tc>
          <w:tcPr>
            <w:tcW w:w="1381" w:type="pct"/>
          </w:tcPr>
          <w:p w14:paraId="2D7EC000" w14:textId="48745D08" w:rsidR="00176412" w:rsidRPr="00176412" w:rsidRDefault="00176412" w:rsidP="00A71365">
            <w:pPr>
              <w:pStyle w:val="Tablewriting"/>
              <w:rPr>
                <w:rFonts w:eastAsia="MS Mincho" w:cstheme="minorHAnsi"/>
              </w:rPr>
            </w:pPr>
            <w:r>
              <w:rPr>
                <w:rFonts w:eastAsia="MS Mincho" w:cstheme="minorHAnsi"/>
              </w:rPr>
              <w:t>S</w:t>
            </w:r>
            <w:r w:rsidRPr="00176412">
              <w:rPr>
                <w:rFonts w:eastAsia="MS Mincho" w:cstheme="minorHAnsi"/>
              </w:rPr>
              <w:t xml:space="preserve">mokers </w:t>
            </w:r>
            <w:r w:rsidR="00902CBB" w:rsidRPr="00176412">
              <w:rPr>
                <w:rFonts w:eastAsia="MS Mincho" w:cstheme="minorHAnsi"/>
              </w:rPr>
              <w:t xml:space="preserve">motivated to quit </w:t>
            </w:r>
            <w:r w:rsidRPr="00176412">
              <w:rPr>
                <w:rFonts w:eastAsia="MS Mincho" w:cstheme="minorHAnsi"/>
              </w:rPr>
              <w:t xml:space="preserve">of &gt; 10 </w:t>
            </w:r>
            <w:r>
              <w:rPr>
                <w:rFonts w:eastAsia="MS Mincho" w:cstheme="minorHAnsi"/>
              </w:rPr>
              <w:t>CPD</w:t>
            </w:r>
            <w:r w:rsidRPr="00176412">
              <w:rPr>
                <w:rFonts w:eastAsia="MS Mincho" w:cstheme="minorHAnsi"/>
              </w:rPr>
              <w:t xml:space="preserve"> for past 6 m</w:t>
            </w:r>
            <w:r w:rsidR="00902CBB">
              <w:rPr>
                <w:rFonts w:eastAsia="MS Mincho" w:cstheme="minorHAnsi"/>
              </w:rPr>
              <w:t>onths.</w:t>
            </w:r>
          </w:p>
          <w:p w14:paraId="16EE0D57" w14:textId="52D27442" w:rsidR="004272CD" w:rsidRPr="00017AE6" w:rsidRDefault="00176412" w:rsidP="00A71365">
            <w:pPr>
              <w:pStyle w:val="Tablewriting"/>
              <w:rPr>
                <w:rFonts w:eastAsia="MS Mincho" w:cstheme="minorHAnsi"/>
              </w:rPr>
            </w:pPr>
            <w:r w:rsidRPr="00176412">
              <w:rPr>
                <w:rFonts w:eastAsia="MS Mincho" w:cstheme="minorHAnsi"/>
              </w:rPr>
              <w:t xml:space="preserve">44% men, </w:t>
            </w:r>
            <w:r w:rsidR="00902CBB">
              <w:rPr>
                <w:rFonts w:eastAsia="MS Mincho" w:cstheme="minorHAnsi"/>
              </w:rPr>
              <w:t>average age</w:t>
            </w:r>
            <w:r w:rsidRPr="00176412">
              <w:rPr>
                <w:rFonts w:eastAsia="MS Mincho" w:cstheme="minorHAnsi"/>
              </w:rPr>
              <w:t xml:space="preserve"> 44, </w:t>
            </w:r>
            <w:r w:rsidR="00902CBB">
              <w:rPr>
                <w:rFonts w:eastAsia="MS Mincho" w:cstheme="minorHAnsi"/>
              </w:rPr>
              <w:t>average</w:t>
            </w:r>
            <w:r w:rsidR="009E37A9">
              <w:rPr>
                <w:rFonts w:eastAsia="MS Mincho" w:cstheme="minorHAnsi"/>
              </w:rPr>
              <w:t xml:space="preserve"> </w:t>
            </w:r>
            <w:r w:rsidR="00902CBB">
              <w:rPr>
                <w:rFonts w:eastAsia="MS Mincho" w:cstheme="minorHAnsi"/>
              </w:rPr>
              <w:t>CPD</w:t>
            </w:r>
            <w:r w:rsidRPr="00176412">
              <w:rPr>
                <w:rFonts w:eastAsia="MS Mincho" w:cstheme="minorHAnsi"/>
              </w:rPr>
              <w:t xml:space="preserve"> 20.3</w:t>
            </w:r>
            <w:r w:rsidR="00902CBB">
              <w:rPr>
                <w:rFonts w:eastAsia="MS Mincho" w:cstheme="minorHAnsi"/>
              </w:rPr>
              <w:t xml:space="preserve">. </w:t>
            </w:r>
          </w:p>
        </w:tc>
        <w:tc>
          <w:tcPr>
            <w:tcW w:w="1163" w:type="pct"/>
          </w:tcPr>
          <w:p w14:paraId="19033B26" w14:textId="0FA6EECC" w:rsidR="003773F4" w:rsidRDefault="003773F4" w:rsidP="00C324F3">
            <w:pPr>
              <w:pStyle w:val="Tablewriting"/>
              <w:numPr>
                <w:ilvl w:val="0"/>
                <w:numId w:val="151"/>
              </w:numPr>
              <w:rPr>
                <w:rFonts w:eastAsia="MS Mincho" w:cstheme="minorHAnsi"/>
              </w:rPr>
            </w:pPr>
            <w:r w:rsidRPr="003773F4">
              <w:rPr>
                <w:rFonts w:eastAsia="MS Mincho" w:cstheme="minorHAnsi"/>
              </w:rPr>
              <w:t>Bupropion only (up</w:t>
            </w:r>
            <w:r w:rsidR="008C4E6F">
              <w:rPr>
                <w:rFonts w:eastAsia="MS Mincho" w:cstheme="minorHAnsi"/>
              </w:rPr>
              <w:t>-</w:t>
            </w:r>
            <w:r w:rsidRPr="003773F4">
              <w:rPr>
                <w:rFonts w:eastAsia="MS Mincho" w:cstheme="minorHAnsi"/>
              </w:rPr>
              <w:t>titrated during w</w:t>
            </w:r>
            <w:r>
              <w:rPr>
                <w:rFonts w:eastAsia="MS Mincho" w:cstheme="minorHAnsi"/>
              </w:rPr>
              <w:t>ee</w:t>
            </w:r>
            <w:r w:rsidRPr="003773F4">
              <w:rPr>
                <w:rFonts w:eastAsia="MS Mincho" w:cstheme="minorHAnsi"/>
              </w:rPr>
              <w:t>k pre-quitting, 150 mg twice a day for 8 w</w:t>
            </w:r>
            <w:r>
              <w:rPr>
                <w:rFonts w:eastAsia="MS Mincho" w:cstheme="minorHAnsi"/>
              </w:rPr>
              <w:t>ee</w:t>
            </w:r>
            <w:r w:rsidRPr="003773F4">
              <w:rPr>
                <w:rFonts w:eastAsia="MS Mincho" w:cstheme="minorHAnsi"/>
              </w:rPr>
              <w:t>ks post-quit)</w:t>
            </w:r>
            <w:r>
              <w:rPr>
                <w:rFonts w:eastAsia="MS Mincho" w:cstheme="minorHAnsi"/>
              </w:rPr>
              <w:t>.</w:t>
            </w:r>
          </w:p>
          <w:p w14:paraId="6C880A94" w14:textId="34F17D91" w:rsidR="0059357E" w:rsidRPr="00B732AD" w:rsidRDefault="003773F4" w:rsidP="00C324F3">
            <w:pPr>
              <w:pStyle w:val="Tablewriting"/>
              <w:numPr>
                <w:ilvl w:val="0"/>
                <w:numId w:val="151"/>
              </w:numPr>
              <w:rPr>
                <w:rFonts w:eastAsia="MS Mincho" w:cstheme="minorHAnsi"/>
              </w:rPr>
            </w:pPr>
            <w:r w:rsidRPr="003773F4">
              <w:rPr>
                <w:rFonts w:eastAsia="MS Mincho" w:cstheme="minorHAnsi"/>
              </w:rPr>
              <w:lastRenderedPageBreak/>
              <w:t>Nicotine lozenge only (4 mg lozenge if first cig of day smoked &gt; 30 mins after waking, 2 mg otherwise.</w:t>
            </w:r>
            <w:r w:rsidR="0059357E">
              <w:rPr>
                <w:rFonts w:eastAsia="MS Mincho" w:cstheme="minorHAnsi"/>
              </w:rPr>
              <w:t xml:space="preserve"> </w:t>
            </w:r>
            <w:r w:rsidRPr="0059357E">
              <w:rPr>
                <w:rFonts w:eastAsia="MS Mincho" w:cstheme="minorHAnsi"/>
              </w:rPr>
              <w:t>1 lozenge every 1 - 2 hrs post-quit w</w:t>
            </w:r>
            <w:r w:rsidR="0059357E">
              <w:rPr>
                <w:rFonts w:eastAsia="MS Mincho" w:cstheme="minorHAnsi"/>
              </w:rPr>
              <w:t>ee</w:t>
            </w:r>
            <w:r w:rsidRPr="0059357E">
              <w:rPr>
                <w:rFonts w:eastAsia="MS Mincho" w:cstheme="minorHAnsi"/>
              </w:rPr>
              <w:t>k 1 - 6; 1 lozenge every 2 - 4 hrs w</w:t>
            </w:r>
            <w:r w:rsidR="0059357E">
              <w:rPr>
                <w:rFonts w:eastAsia="MS Mincho" w:cstheme="minorHAnsi"/>
              </w:rPr>
              <w:t>ee</w:t>
            </w:r>
            <w:r w:rsidRPr="0059357E">
              <w:rPr>
                <w:rFonts w:eastAsia="MS Mincho" w:cstheme="minorHAnsi"/>
              </w:rPr>
              <w:t>k 7 - 9; 1 lozenge every 4 - 8 hrs w</w:t>
            </w:r>
            <w:r w:rsidR="0059357E">
              <w:rPr>
                <w:rFonts w:eastAsia="MS Mincho" w:cstheme="minorHAnsi"/>
              </w:rPr>
              <w:t>ee</w:t>
            </w:r>
            <w:r w:rsidRPr="0059357E">
              <w:rPr>
                <w:rFonts w:eastAsia="MS Mincho" w:cstheme="minorHAnsi"/>
              </w:rPr>
              <w:t>k</w:t>
            </w:r>
            <w:r w:rsidR="00B732AD">
              <w:rPr>
                <w:rFonts w:eastAsia="MS Mincho" w:cstheme="minorHAnsi"/>
              </w:rPr>
              <w:t xml:space="preserve"> (</w:t>
            </w:r>
            <w:r w:rsidRPr="00B732AD">
              <w:rPr>
                <w:rFonts w:eastAsia="MS Mincho" w:cstheme="minorHAnsi"/>
              </w:rPr>
              <w:t>10 - 12)</w:t>
            </w:r>
            <w:r w:rsidR="0059357E" w:rsidRPr="00B732AD">
              <w:rPr>
                <w:rFonts w:eastAsia="MS Mincho" w:cstheme="minorHAnsi"/>
              </w:rPr>
              <w:t>.</w:t>
            </w:r>
          </w:p>
          <w:p w14:paraId="5A498E81" w14:textId="77777777" w:rsidR="00B732AD" w:rsidRDefault="003773F4" w:rsidP="00C324F3">
            <w:pPr>
              <w:pStyle w:val="Tablewriting"/>
              <w:numPr>
                <w:ilvl w:val="0"/>
                <w:numId w:val="152"/>
              </w:numPr>
              <w:rPr>
                <w:rFonts w:eastAsia="MS Mincho" w:cstheme="minorHAnsi"/>
              </w:rPr>
            </w:pPr>
            <w:r w:rsidRPr="003773F4">
              <w:rPr>
                <w:rFonts w:eastAsia="MS Mincho" w:cstheme="minorHAnsi"/>
              </w:rPr>
              <w:t>Nicotine patch only (21 mg post-quit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 xml:space="preserve">1 </w:t>
            </w:r>
            <w:r w:rsidR="00B732AD">
              <w:rPr>
                <w:rFonts w:eastAsia="MS Mincho" w:cstheme="minorHAnsi"/>
              </w:rPr>
              <w:t>–</w:t>
            </w:r>
            <w:r w:rsidRPr="003773F4">
              <w:rPr>
                <w:rFonts w:eastAsia="MS Mincho" w:cstheme="minorHAnsi"/>
              </w:rPr>
              <w:t xml:space="preserve"> 4</w:t>
            </w:r>
            <w:r w:rsidR="00B732AD">
              <w:rPr>
                <w:rFonts w:eastAsia="MS Mincho" w:cstheme="minorHAnsi"/>
              </w:rPr>
              <w:t>)</w:t>
            </w:r>
            <w:r w:rsidRPr="003773F4">
              <w:rPr>
                <w:rFonts w:eastAsia="MS Mincho" w:cstheme="minorHAnsi"/>
              </w:rPr>
              <w:t>; 14 mg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 xml:space="preserve">5 </w:t>
            </w:r>
            <w:r w:rsidR="00B732AD">
              <w:rPr>
                <w:rFonts w:eastAsia="MS Mincho" w:cstheme="minorHAnsi"/>
              </w:rPr>
              <w:t>–</w:t>
            </w:r>
            <w:r w:rsidRPr="003773F4">
              <w:rPr>
                <w:rFonts w:eastAsia="MS Mincho" w:cstheme="minorHAnsi"/>
              </w:rPr>
              <w:t xml:space="preserve"> 6</w:t>
            </w:r>
            <w:r w:rsidR="00B732AD">
              <w:rPr>
                <w:rFonts w:eastAsia="MS Mincho" w:cstheme="minorHAnsi"/>
              </w:rPr>
              <w:t>)</w:t>
            </w:r>
            <w:r w:rsidRPr="003773F4">
              <w:rPr>
                <w:rFonts w:eastAsia="MS Mincho" w:cstheme="minorHAnsi"/>
              </w:rPr>
              <w:t>; 7 mg w</w:t>
            </w:r>
            <w:r w:rsidR="00B732AD">
              <w:rPr>
                <w:rFonts w:eastAsia="MS Mincho" w:cstheme="minorHAnsi"/>
              </w:rPr>
              <w:t>ee</w:t>
            </w:r>
            <w:r w:rsidRPr="003773F4">
              <w:rPr>
                <w:rFonts w:eastAsia="MS Mincho" w:cstheme="minorHAnsi"/>
              </w:rPr>
              <w:t xml:space="preserve">k </w:t>
            </w:r>
            <w:r w:rsidR="00B732AD">
              <w:rPr>
                <w:rFonts w:eastAsia="MS Mincho" w:cstheme="minorHAnsi"/>
              </w:rPr>
              <w:t>(</w:t>
            </w:r>
            <w:r w:rsidRPr="003773F4">
              <w:rPr>
                <w:rFonts w:eastAsia="MS Mincho" w:cstheme="minorHAnsi"/>
              </w:rPr>
              <w:t>7 - 8)</w:t>
            </w:r>
            <w:r w:rsidR="00B732AD">
              <w:rPr>
                <w:rFonts w:eastAsia="MS Mincho" w:cstheme="minorHAnsi"/>
              </w:rPr>
              <w:t>).</w:t>
            </w:r>
          </w:p>
          <w:p w14:paraId="0B9FC556" w14:textId="77777777" w:rsidR="00B732AD" w:rsidRDefault="003773F4" w:rsidP="00C324F3">
            <w:pPr>
              <w:pStyle w:val="Tablewriting"/>
              <w:numPr>
                <w:ilvl w:val="0"/>
                <w:numId w:val="152"/>
              </w:numPr>
              <w:rPr>
                <w:rFonts w:eastAsia="MS Mincho" w:cstheme="minorHAnsi"/>
              </w:rPr>
            </w:pPr>
            <w:r w:rsidRPr="00B732AD">
              <w:rPr>
                <w:rFonts w:eastAsia="MS Mincho" w:cstheme="minorHAnsi"/>
              </w:rPr>
              <w:t>Bupropion and lozenge (dosage as above)</w:t>
            </w:r>
            <w:r w:rsidR="00B732AD">
              <w:rPr>
                <w:rFonts w:eastAsia="MS Mincho" w:cstheme="minorHAnsi"/>
              </w:rPr>
              <w:t>.</w:t>
            </w:r>
          </w:p>
          <w:p w14:paraId="45826E24" w14:textId="0B6223E6" w:rsidR="004272CD" w:rsidRPr="00B732AD" w:rsidRDefault="003773F4" w:rsidP="00C324F3">
            <w:pPr>
              <w:pStyle w:val="Tablewriting"/>
              <w:numPr>
                <w:ilvl w:val="0"/>
                <w:numId w:val="152"/>
              </w:numPr>
              <w:rPr>
                <w:rFonts w:eastAsia="MS Mincho" w:cstheme="minorHAnsi"/>
              </w:rPr>
            </w:pPr>
            <w:r w:rsidRPr="00B732AD">
              <w:rPr>
                <w:rFonts w:eastAsia="MS Mincho" w:cstheme="minorHAnsi"/>
              </w:rPr>
              <w:t>Patch and lozenge (dosage as above)</w:t>
            </w:r>
            <w:r w:rsidR="00B732AD">
              <w:rPr>
                <w:rFonts w:eastAsia="MS Mincho" w:cstheme="minorHAnsi"/>
              </w:rPr>
              <w:t>.</w:t>
            </w:r>
          </w:p>
        </w:tc>
        <w:tc>
          <w:tcPr>
            <w:tcW w:w="920" w:type="pct"/>
          </w:tcPr>
          <w:p w14:paraId="73FE06AC" w14:textId="77777777" w:rsidR="004272CD" w:rsidRPr="004272CD" w:rsidRDefault="004272CD" w:rsidP="00A71365">
            <w:pPr>
              <w:pStyle w:val="Tablewriting"/>
              <w:rPr>
                <w:rFonts w:eastAsia="MS Mincho" w:cstheme="minorHAnsi"/>
                <w:u w:val="single"/>
              </w:rPr>
            </w:pPr>
            <w:r w:rsidRPr="004272CD">
              <w:rPr>
                <w:rFonts w:eastAsia="MS Mincho" w:cstheme="minorHAnsi"/>
                <w:u w:val="single"/>
              </w:rPr>
              <w:lastRenderedPageBreak/>
              <w:t>Efficacy:</w:t>
            </w:r>
          </w:p>
          <w:p w14:paraId="7352F1D6" w14:textId="1CE9CFDA" w:rsidR="004272CD" w:rsidRDefault="00960EBF" w:rsidP="00A71365">
            <w:pPr>
              <w:pStyle w:val="Tablewriting"/>
              <w:rPr>
                <w:rFonts w:eastAsia="MS Mincho" w:cstheme="minorHAnsi"/>
              </w:rPr>
            </w:pPr>
            <w:r w:rsidRPr="00960EBF">
              <w:rPr>
                <w:rFonts w:eastAsia="MS Mincho" w:cstheme="minorHAnsi"/>
              </w:rPr>
              <w:t>7-day PPA at 6 m</w:t>
            </w:r>
            <w:r>
              <w:rPr>
                <w:rFonts w:eastAsia="MS Mincho" w:cstheme="minorHAnsi"/>
              </w:rPr>
              <w:t>onths</w:t>
            </w:r>
            <w:r w:rsidRPr="00960EBF">
              <w:rPr>
                <w:rFonts w:eastAsia="MS Mincho" w:cstheme="minorHAnsi"/>
              </w:rPr>
              <w:t xml:space="preserve"> and number of days to relapse</w:t>
            </w:r>
            <w:r>
              <w:rPr>
                <w:rFonts w:eastAsia="MS Mincho" w:cstheme="minorHAnsi"/>
              </w:rPr>
              <w:t>.</w:t>
            </w:r>
          </w:p>
          <w:p w14:paraId="27E3C92D" w14:textId="77777777" w:rsidR="00960EBF" w:rsidRDefault="00960EBF" w:rsidP="00A71365">
            <w:pPr>
              <w:pStyle w:val="Tablewriting"/>
              <w:rPr>
                <w:rFonts w:eastAsia="MS Mincho" w:cstheme="minorHAnsi"/>
              </w:rPr>
            </w:pPr>
          </w:p>
          <w:p w14:paraId="7FACACA8" w14:textId="7D7D878B" w:rsidR="00960EBF" w:rsidRPr="00960EBF" w:rsidRDefault="00960EBF" w:rsidP="00A71365">
            <w:pPr>
              <w:pStyle w:val="Tablewriting"/>
              <w:rPr>
                <w:rFonts w:eastAsia="MS Mincho" w:cstheme="minorHAnsi"/>
              </w:rPr>
            </w:pPr>
            <w:r w:rsidRPr="00960EBF">
              <w:rPr>
                <w:rFonts w:eastAsia="MS Mincho" w:cstheme="minorHAnsi"/>
              </w:rPr>
              <w:t>Validation: none</w:t>
            </w:r>
            <w:r w:rsidR="00FA190B">
              <w:rPr>
                <w:rFonts w:eastAsia="MS Mincho" w:cstheme="minorHAnsi"/>
              </w:rPr>
              <w:t>.</w:t>
            </w:r>
          </w:p>
          <w:p w14:paraId="4DC1A0CF" w14:textId="77777777" w:rsidR="00960EBF" w:rsidRDefault="00960EBF" w:rsidP="00A71365">
            <w:pPr>
              <w:pStyle w:val="Tablewriting"/>
              <w:rPr>
                <w:rFonts w:eastAsia="MS Mincho" w:cstheme="minorHAnsi"/>
                <w:u w:val="single"/>
              </w:rPr>
            </w:pPr>
          </w:p>
          <w:p w14:paraId="5DAF0F42" w14:textId="1286873B" w:rsidR="00960EBF" w:rsidRDefault="004272CD" w:rsidP="00A71365">
            <w:pPr>
              <w:pStyle w:val="Tablewriting"/>
              <w:rPr>
                <w:rFonts w:eastAsia="MS Mincho" w:cstheme="minorHAnsi"/>
              </w:rPr>
            </w:pPr>
            <w:r w:rsidRPr="004272CD">
              <w:rPr>
                <w:rFonts w:eastAsia="MS Mincho" w:cstheme="minorHAnsi"/>
                <w:u w:val="single"/>
              </w:rPr>
              <w:t>Safety:</w:t>
            </w:r>
            <w:r w:rsidR="00960EBF">
              <w:rPr>
                <w:rFonts w:eastAsia="MS Mincho" w:cstheme="minorHAnsi"/>
                <w:u w:val="single"/>
              </w:rPr>
              <w:t xml:space="preserve"> </w:t>
            </w:r>
            <w:r w:rsidR="00960EBF" w:rsidRPr="00960EBF">
              <w:rPr>
                <w:rFonts w:eastAsia="MS Mincho" w:cstheme="minorHAnsi"/>
              </w:rPr>
              <w:t>Adverse events</w:t>
            </w:r>
            <w:r w:rsidR="00960EBF">
              <w:rPr>
                <w:rFonts w:eastAsia="MS Mincho" w:cstheme="minorHAnsi"/>
              </w:rPr>
              <w:t xml:space="preserve"> </w:t>
            </w:r>
            <w:r w:rsidR="00960EBF" w:rsidRPr="00960EBF">
              <w:rPr>
                <w:rFonts w:eastAsia="MS Mincho" w:cstheme="minorHAnsi"/>
              </w:rPr>
              <w:t>not measured</w:t>
            </w:r>
            <w:r w:rsidR="00960EBF">
              <w:rPr>
                <w:rFonts w:eastAsia="MS Mincho" w:cstheme="minorHAnsi"/>
              </w:rPr>
              <w:t>.</w:t>
            </w:r>
          </w:p>
          <w:p w14:paraId="37C82303" w14:textId="1FE94F77" w:rsidR="004272CD" w:rsidRPr="00017AE6" w:rsidRDefault="004272CD" w:rsidP="00A71365">
            <w:pPr>
              <w:pStyle w:val="Tablewriting"/>
              <w:rPr>
                <w:rFonts w:eastAsia="MS Mincho" w:cstheme="minorHAnsi"/>
              </w:rPr>
            </w:pPr>
          </w:p>
        </w:tc>
      </w:tr>
    </w:tbl>
    <w:p w14:paraId="1A9B70AA" w14:textId="77777777" w:rsidR="00E337CE" w:rsidRDefault="00E337CE" w:rsidP="005821B1">
      <w:pPr>
        <w:pStyle w:val="TableFooter"/>
        <w:keepNext/>
        <w:jc w:val="both"/>
      </w:pPr>
      <w:r>
        <w:lastRenderedPageBreak/>
        <w:t>Source: Lindson</w:t>
      </w:r>
      <w:r w:rsidRPr="00B75A5E">
        <w:t xml:space="preserve"> et al. (201</w:t>
      </w:r>
      <w:r>
        <w:t>9</w:t>
      </w:r>
      <w:r w:rsidRPr="00B75A5E">
        <w:t>)</w:t>
      </w:r>
      <w:r>
        <w:t>.</w:t>
      </w:r>
    </w:p>
    <w:p w14:paraId="122DD56C" w14:textId="18DFF30B" w:rsidR="00E67EC2" w:rsidRDefault="00595A66" w:rsidP="005821B1">
      <w:pPr>
        <w:pStyle w:val="TableFooter"/>
        <w:keepNext/>
        <w:spacing w:after="120"/>
        <w:contextualSpacing w:val="0"/>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w:t>
      </w:r>
      <w:r w:rsidR="009A50AC">
        <w:t xml:space="preserve">CPD = cigarette per day; </w:t>
      </w:r>
      <w:r>
        <w:t xml:space="preserve">CBT= cognitive behavioural therapy; AEs= adverse events; SAEs= serious adverse events. </w:t>
      </w:r>
    </w:p>
    <w:p w14:paraId="1822050D" w14:textId="77777777" w:rsidR="00EA7016" w:rsidRDefault="00EA7016">
      <w:pPr>
        <w:spacing w:line="276" w:lineRule="auto"/>
        <w:rPr>
          <w:rFonts w:asciiTheme="minorHAnsi" w:eastAsia="Times New Roman" w:hAnsiTheme="minorHAnsi" w:cs="Times New Roman"/>
          <w:b/>
          <w:bCs/>
          <w:szCs w:val="18"/>
        </w:rPr>
      </w:pPr>
      <w:bookmarkStart w:id="336" w:name="_Ref54779991"/>
      <w:r>
        <w:br w:type="page"/>
      </w:r>
    </w:p>
    <w:p w14:paraId="58D03EA8" w14:textId="200608BA" w:rsidR="00BA1AF5" w:rsidRDefault="00BA1AF5"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151</w:t>
      </w:r>
      <w:r w:rsidR="00BF3F75">
        <w:rPr>
          <w:noProof/>
        </w:rPr>
        <w:fldChar w:fldCharType="end"/>
      </w:r>
      <w:bookmarkEnd w:id="336"/>
      <w:r>
        <w:t xml:space="preserve">: </w:t>
      </w:r>
      <w:r w:rsidRPr="001443AE">
        <w:t>Characteristics of studies included in Li</w:t>
      </w:r>
      <w:r>
        <w:t xml:space="preserve">vingstone-Banks </w:t>
      </w:r>
      <w:r w:rsidRPr="001443AE">
        <w:t xml:space="preserve">et al. (2019), </w:t>
      </w:r>
      <w:r>
        <w:t>varenicline</w:t>
      </w:r>
      <w:r w:rsidRPr="001443AE">
        <w:t xml:space="preserve"> versus </w:t>
      </w:r>
      <w:r>
        <w:t>placebo in abstainers (relapse prevention)</w:t>
      </w:r>
    </w:p>
    <w:tbl>
      <w:tblPr>
        <w:tblStyle w:val="TableGrid"/>
        <w:tblW w:w="5270" w:type="pct"/>
        <w:tblLook w:val="04A0" w:firstRow="1" w:lastRow="0" w:firstColumn="1" w:lastColumn="0" w:noHBand="0" w:noVBand="1"/>
        <w:tblCaption w:val="Efficacy results of adalimumab trials (PASI 75 and DLQI)"/>
      </w:tblPr>
      <w:tblGrid>
        <w:gridCol w:w="1442"/>
        <w:gridCol w:w="690"/>
        <w:gridCol w:w="1245"/>
        <w:gridCol w:w="1164"/>
        <w:gridCol w:w="3956"/>
        <w:gridCol w:w="3385"/>
        <w:gridCol w:w="2819"/>
      </w:tblGrid>
      <w:tr w:rsidR="00BA1AF5" w:rsidRPr="00061F78" w14:paraId="063B82CD" w14:textId="77777777" w:rsidTr="005012C6">
        <w:trPr>
          <w:trHeight w:val="299"/>
          <w:tblHeader/>
        </w:trPr>
        <w:tc>
          <w:tcPr>
            <w:tcW w:w="491" w:type="pct"/>
            <w:shd w:val="clear" w:color="auto" w:fill="BFBFBF" w:themeFill="background1" w:themeFillShade="BF"/>
            <w:tcMar>
              <w:left w:w="28" w:type="dxa"/>
              <w:right w:w="28" w:type="dxa"/>
            </w:tcMar>
          </w:tcPr>
          <w:p w14:paraId="6CA05E98" w14:textId="2D7203BF" w:rsidR="00BA1AF5" w:rsidRPr="00061F78" w:rsidRDefault="00126B7B" w:rsidP="00A71365">
            <w:pPr>
              <w:pStyle w:val="Tableheading"/>
              <w:rPr>
                <w:rFonts w:eastAsia="MS Mincho"/>
              </w:rPr>
            </w:pPr>
            <w:r>
              <w:rPr>
                <w:rFonts w:eastAsia="MS Mincho"/>
              </w:rPr>
              <w:t>Study</w:t>
            </w:r>
          </w:p>
        </w:tc>
        <w:tc>
          <w:tcPr>
            <w:tcW w:w="234" w:type="pct"/>
            <w:shd w:val="clear" w:color="auto" w:fill="BFBFBF" w:themeFill="background1" w:themeFillShade="BF"/>
          </w:tcPr>
          <w:p w14:paraId="5F59DA8A" w14:textId="77777777" w:rsidR="00BA1AF5" w:rsidRDefault="00BA1AF5" w:rsidP="00A71365">
            <w:pPr>
              <w:pStyle w:val="Tableheading"/>
              <w:jc w:val="center"/>
              <w:rPr>
                <w:rFonts w:eastAsia="MS Mincho"/>
              </w:rPr>
            </w:pPr>
            <w:r>
              <w:rPr>
                <w:rFonts w:eastAsia="MS Mincho"/>
              </w:rPr>
              <w:t>Study type</w:t>
            </w:r>
          </w:p>
        </w:tc>
        <w:tc>
          <w:tcPr>
            <w:tcW w:w="424" w:type="pct"/>
            <w:shd w:val="clear" w:color="auto" w:fill="BFBFBF" w:themeFill="background1" w:themeFillShade="BF"/>
          </w:tcPr>
          <w:p w14:paraId="1521BA93" w14:textId="77777777" w:rsidR="00BA1AF5" w:rsidRDefault="00BA1AF5" w:rsidP="00A71365">
            <w:pPr>
              <w:pStyle w:val="Tableheading"/>
              <w:jc w:val="center"/>
              <w:rPr>
                <w:rFonts w:eastAsia="MS Mincho"/>
              </w:rPr>
            </w:pPr>
            <w:r>
              <w:rPr>
                <w:rFonts w:eastAsia="MS Mincho"/>
              </w:rPr>
              <w:t>Countries</w:t>
            </w:r>
          </w:p>
        </w:tc>
        <w:tc>
          <w:tcPr>
            <w:tcW w:w="394" w:type="pct"/>
            <w:shd w:val="clear" w:color="auto" w:fill="BFBFBF" w:themeFill="background1" w:themeFillShade="BF"/>
            <w:tcMar>
              <w:left w:w="28" w:type="dxa"/>
              <w:right w:w="28" w:type="dxa"/>
            </w:tcMar>
          </w:tcPr>
          <w:p w14:paraId="49FF5618" w14:textId="77777777" w:rsidR="00BA1AF5" w:rsidRPr="00061F78" w:rsidRDefault="00BA1AF5" w:rsidP="00A71365">
            <w:pPr>
              <w:pStyle w:val="Tableheading"/>
              <w:jc w:val="center"/>
              <w:rPr>
                <w:rFonts w:eastAsia="MS Mincho"/>
              </w:rPr>
            </w:pPr>
            <w:r>
              <w:rPr>
                <w:rFonts w:eastAsia="MS Mincho"/>
              </w:rPr>
              <w:t>N</w:t>
            </w:r>
          </w:p>
        </w:tc>
        <w:tc>
          <w:tcPr>
            <w:tcW w:w="1346" w:type="pct"/>
            <w:shd w:val="clear" w:color="auto" w:fill="BFBFBF" w:themeFill="background1" w:themeFillShade="BF"/>
            <w:tcMar>
              <w:left w:w="28" w:type="dxa"/>
              <w:right w:w="28" w:type="dxa"/>
            </w:tcMar>
          </w:tcPr>
          <w:p w14:paraId="6396B580" w14:textId="77777777" w:rsidR="00BA1AF5" w:rsidRPr="00061F78" w:rsidRDefault="00BA1AF5" w:rsidP="00A71365">
            <w:pPr>
              <w:pStyle w:val="Tableheading"/>
              <w:jc w:val="center"/>
              <w:rPr>
                <w:rFonts w:eastAsia="MS Mincho"/>
              </w:rPr>
            </w:pPr>
            <w:r w:rsidRPr="00061F78">
              <w:rPr>
                <w:rFonts w:eastAsia="MS Mincho"/>
              </w:rPr>
              <w:t>P</w:t>
            </w:r>
            <w:r>
              <w:rPr>
                <w:rFonts w:eastAsia="MS Mincho"/>
              </w:rPr>
              <w:t>opulation</w:t>
            </w:r>
          </w:p>
        </w:tc>
        <w:tc>
          <w:tcPr>
            <w:tcW w:w="1152" w:type="pct"/>
            <w:shd w:val="clear" w:color="auto" w:fill="BFBFBF" w:themeFill="background1" w:themeFillShade="BF"/>
          </w:tcPr>
          <w:p w14:paraId="27BDE716" w14:textId="77777777" w:rsidR="00BA1AF5" w:rsidRDefault="00BA1AF5" w:rsidP="00A71365">
            <w:pPr>
              <w:pStyle w:val="Tableheading"/>
              <w:jc w:val="center"/>
              <w:rPr>
                <w:rFonts w:eastAsia="MS Mincho"/>
              </w:rPr>
            </w:pPr>
            <w:r>
              <w:rPr>
                <w:rFonts w:eastAsia="MS Mincho"/>
              </w:rPr>
              <w:t>Intervention and comparator</w:t>
            </w:r>
          </w:p>
        </w:tc>
        <w:tc>
          <w:tcPr>
            <w:tcW w:w="960" w:type="pct"/>
            <w:shd w:val="clear" w:color="auto" w:fill="BFBFBF" w:themeFill="background1" w:themeFillShade="BF"/>
            <w:tcMar>
              <w:left w:w="28" w:type="dxa"/>
              <w:right w:w="28" w:type="dxa"/>
            </w:tcMar>
          </w:tcPr>
          <w:p w14:paraId="3B570CF0" w14:textId="77777777" w:rsidR="00BA1AF5" w:rsidRPr="00061F78" w:rsidRDefault="00BA1AF5" w:rsidP="00A71365">
            <w:pPr>
              <w:pStyle w:val="Tableheading"/>
              <w:jc w:val="center"/>
              <w:rPr>
                <w:rFonts w:eastAsia="MS Mincho"/>
              </w:rPr>
            </w:pPr>
            <w:r>
              <w:rPr>
                <w:rFonts w:eastAsia="MS Mincho"/>
              </w:rPr>
              <w:t>Outcomes</w:t>
            </w:r>
          </w:p>
        </w:tc>
      </w:tr>
      <w:tr w:rsidR="00BA1AF5" w:rsidRPr="00017AE6" w14:paraId="78436CB2" w14:textId="77777777" w:rsidTr="005012C6">
        <w:trPr>
          <w:trHeight w:val="99"/>
        </w:trPr>
        <w:tc>
          <w:tcPr>
            <w:tcW w:w="491" w:type="pct"/>
          </w:tcPr>
          <w:p w14:paraId="3415AD38" w14:textId="1D32027A" w:rsidR="00BA1AF5" w:rsidRPr="00017AE6" w:rsidRDefault="00DC0DA3" w:rsidP="00A71365">
            <w:pPr>
              <w:pStyle w:val="Tablewriting"/>
              <w:rPr>
                <w:rFonts w:eastAsia="MS Mincho" w:cstheme="minorHAnsi"/>
              </w:rPr>
            </w:pPr>
            <w:r w:rsidRPr="00DC0DA3">
              <w:rPr>
                <w:rFonts w:eastAsia="MS Mincho" w:cstheme="minorHAnsi"/>
              </w:rPr>
              <w:t xml:space="preserve">Evins </w:t>
            </w:r>
            <w:r w:rsidR="00EE615C">
              <w:rPr>
                <w:rFonts w:eastAsia="MS Mincho" w:cstheme="minorHAnsi"/>
              </w:rPr>
              <w:t>(</w:t>
            </w:r>
            <w:r w:rsidRPr="00DC0DA3">
              <w:rPr>
                <w:rFonts w:eastAsia="MS Mincho" w:cstheme="minorHAnsi"/>
              </w:rPr>
              <w:t>2014</w:t>
            </w:r>
            <w:r w:rsidR="00EE615C">
              <w:rPr>
                <w:rFonts w:eastAsia="MS Mincho" w:cstheme="minorHAnsi"/>
              </w:rPr>
              <w:t>)</w:t>
            </w:r>
          </w:p>
        </w:tc>
        <w:tc>
          <w:tcPr>
            <w:tcW w:w="234" w:type="pct"/>
          </w:tcPr>
          <w:p w14:paraId="3EA30068" w14:textId="4B19A20A" w:rsidR="00BA1AF5" w:rsidRPr="00017AE6" w:rsidRDefault="00CD23F9" w:rsidP="00A71365">
            <w:pPr>
              <w:pStyle w:val="Tablewriting"/>
              <w:rPr>
                <w:rFonts w:eastAsia="MS Mincho" w:cstheme="minorHAnsi"/>
              </w:rPr>
            </w:pPr>
            <w:r>
              <w:rPr>
                <w:rFonts w:eastAsia="MS Mincho" w:cstheme="minorHAnsi"/>
              </w:rPr>
              <w:t>RCT</w:t>
            </w:r>
          </w:p>
        </w:tc>
        <w:tc>
          <w:tcPr>
            <w:tcW w:w="424" w:type="pct"/>
          </w:tcPr>
          <w:p w14:paraId="0E535F11" w14:textId="1A7C0115" w:rsidR="00BA1AF5" w:rsidRPr="00017AE6" w:rsidRDefault="00CD23F9" w:rsidP="00A71365">
            <w:pPr>
              <w:pStyle w:val="Tablewriting"/>
              <w:rPr>
                <w:rFonts w:eastAsia="MS Mincho" w:cstheme="minorHAnsi"/>
              </w:rPr>
            </w:pPr>
            <w:r>
              <w:rPr>
                <w:rFonts w:eastAsia="MS Mincho" w:cstheme="minorHAnsi"/>
              </w:rPr>
              <w:t>USA</w:t>
            </w:r>
          </w:p>
        </w:tc>
        <w:tc>
          <w:tcPr>
            <w:tcW w:w="394" w:type="pct"/>
          </w:tcPr>
          <w:p w14:paraId="0902E79A" w14:textId="60271527" w:rsidR="00CD23F9" w:rsidRPr="00CD23F9" w:rsidRDefault="00CD23F9" w:rsidP="00A71365">
            <w:pPr>
              <w:pStyle w:val="Tablewriting"/>
              <w:rPr>
                <w:rFonts w:eastAsia="MS Mincho" w:cstheme="minorHAnsi"/>
              </w:rPr>
            </w:pPr>
            <w:r>
              <w:rPr>
                <w:rFonts w:eastAsia="MS Mincho" w:cstheme="minorHAnsi"/>
              </w:rPr>
              <w:t>N=87; n=</w:t>
            </w:r>
            <w:r w:rsidRPr="00CD23F9">
              <w:rPr>
                <w:rFonts w:eastAsia="MS Mincho" w:cstheme="minorHAnsi"/>
              </w:rPr>
              <w:t>40</w:t>
            </w:r>
            <w:r>
              <w:rPr>
                <w:rFonts w:eastAsia="MS Mincho" w:cstheme="minorHAnsi"/>
              </w:rPr>
              <w:t xml:space="preserve"> (</w:t>
            </w:r>
            <w:r w:rsidRPr="00CD23F9">
              <w:rPr>
                <w:rFonts w:eastAsia="MS Mincho" w:cstheme="minorHAnsi"/>
              </w:rPr>
              <w:t>varenicline plus CBT</w:t>
            </w:r>
            <w:r>
              <w:rPr>
                <w:rFonts w:eastAsia="MS Mincho" w:cstheme="minorHAnsi"/>
              </w:rPr>
              <w:t>)</w:t>
            </w:r>
            <w:r w:rsidRPr="00CD23F9">
              <w:rPr>
                <w:rFonts w:eastAsia="MS Mincho" w:cstheme="minorHAnsi"/>
              </w:rPr>
              <w:t xml:space="preserve">, </w:t>
            </w:r>
            <w:r>
              <w:rPr>
                <w:rFonts w:eastAsia="MS Mincho" w:cstheme="minorHAnsi"/>
              </w:rPr>
              <w:t>n=</w:t>
            </w:r>
            <w:r w:rsidRPr="00CD23F9">
              <w:rPr>
                <w:rFonts w:eastAsia="MS Mincho" w:cstheme="minorHAnsi"/>
              </w:rPr>
              <w:t>47</w:t>
            </w:r>
            <w:r>
              <w:rPr>
                <w:rFonts w:eastAsia="MS Mincho" w:cstheme="minorHAnsi"/>
              </w:rPr>
              <w:t xml:space="preserve"> (</w:t>
            </w:r>
            <w:r w:rsidRPr="00CD23F9">
              <w:rPr>
                <w:rFonts w:eastAsia="MS Mincho" w:cstheme="minorHAnsi"/>
              </w:rPr>
              <w:t>placebo plus CBT</w:t>
            </w:r>
            <w:r>
              <w:rPr>
                <w:rFonts w:eastAsia="MS Mincho" w:cstheme="minorHAnsi"/>
              </w:rPr>
              <w:t>).</w:t>
            </w:r>
          </w:p>
          <w:p w14:paraId="2F72B504" w14:textId="4F7BBB0A" w:rsidR="00BA1AF5" w:rsidRPr="00017AE6" w:rsidRDefault="00BA1AF5" w:rsidP="00A71365">
            <w:pPr>
              <w:pStyle w:val="Tablewriting"/>
              <w:rPr>
                <w:rFonts w:eastAsia="MS Mincho" w:cstheme="minorHAnsi"/>
              </w:rPr>
            </w:pPr>
          </w:p>
        </w:tc>
        <w:tc>
          <w:tcPr>
            <w:tcW w:w="1346" w:type="pct"/>
          </w:tcPr>
          <w:p w14:paraId="235D4CE2" w14:textId="3A1C2B85" w:rsidR="00BA1AF5" w:rsidRPr="00017AE6" w:rsidRDefault="00CD23F9" w:rsidP="00A71365">
            <w:pPr>
              <w:pStyle w:val="Tablewriting"/>
              <w:rPr>
                <w:rFonts w:eastAsia="MS Mincho" w:cstheme="minorHAnsi"/>
              </w:rPr>
            </w:pPr>
            <w:r>
              <w:rPr>
                <w:rFonts w:eastAsia="MS Mincho" w:cstheme="minorHAnsi"/>
              </w:rPr>
              <w:t>E</w:t>
            </w:r>
            <w:r w:rsidRPr="00CD23F9">
              <w:rPr>
                <w:rFonts w:eastAsia="MS Mincho" w:cstheme="minorHAnsi"/>
              </w:rPr>
              <w:t>x-smokers (2 weeks abstinence), 62% male, average age 47,</w:t>
            </w:r>
            <w:r>
              <w:rPr>
                <w:rFonts w:eastAsia="MS Mincho" w:cstheme="minorHAnsi"/>
              </w:rPr>
              <w:t xml:space="preserve"> </w:t>
            </w:r>
            <w:r w:rsidRPr="00CD23F9">
              <w:rPr>
                <w:rFonts w:eastAsia="MS Mincho" w:cstheme="minorHAnsi"/>
              </w:rPr>
              <w:t xml:space="preserve">average </w:t>
            </w:r>
            <w:r w:rsidR="00531BD4">
              <w:rPr>
                <w:rFonts w:eastAsia="MS Mincho" w:cstheme="minorHAnsi"/>
              </w:rPr>
              <w:t>CPD</w:t>
            </w:r>
            <w:r w:rsidRPr="00CD23F9">
              <w:rPr>
                <w:rFonts w:eastAsia="MS Mincho" w:cstheme="minorHAnsi"/>
              </w:rPr>
              <w:t xml:space="preserve"> 23</w:t>
            </w:r>
            <w:r>
              <w:rPr>
                <w:rFonts w:eastAsia="MS Mincho" w:cstheme="minorHAnsi"/>
              </w:rPr>
              <w:t>.</w:t>
            </w:r>
          </w:p>
        </w:tc>
        <w:tc>
          <w:tcPr>
            <w:tcW w:w="1152" w:type="pct"/>
          </w:tcPr>
          <w:p w14:paraId="24B054D1" w14:textId="77777777" w:rsidR="00DF640E" w:rsidRDefault="00DF640E" w:rsidP="00C324F3">
            <w:pPr>
              <w:pStyle w:val="Tablewriting"/>
              <w:numPr>
                <w:ilvl w:val="0"/>
                <w:numId w:val="158"/>
              </w:numPr>
              <w:rPr>
                <w:rFonts w:eastAsia="MS Mincho" w:cstheme="minorHAnsi"/>
              </w:rPr>
            </w:pPr>
            <w:r w:rsidRPr="00DF640E">
              <w:rPr>
                <w:rFonts w:eastAsia="MS Mincho" w:cstheme="minorHAnsi"/>
              </w:rPr>
              <w:t>Relapse prevention: varenicline pus CBT over a 40-week period</w:t>
            </w:r>
          </w:p>
          <w:p w14:paraId="2C77B840" w14:textId="1BB295C4" w:rsidR="00BA1AF5" w:rsidRPr="00DF640E" w:rsidRDefault="00DF640E" w:rsidP="00C324F3">
            <w:pPr>
              <w:pStyle w:val="Tablewriting"/>
              <w:numPr>
                <w:ilvl w:val="0"/>
                <w:numId w:val="158"/>
              </w:numPr>
              <w:rPr>
                <w:rFonts w:eastAsia="MS Mincho" w:cstheme="minorHAnsi"/>
              </w:rPr>
            </w:pPr>
            <w:r w:rsidRPr="00DF640E">
              <w:rPr>
                <w:rFonts w:eastAsia="MS Mincho" w:cstheme="minorHAnsi"/>
              </w:rPr>
              <w:t>Control: placebo plus CBT over a 40-week period</w:t>
            </w:r>
            <w:r>
              <w:rPr>
                <w:rFonts w:eastAsia="MS Mincho" w:cstheme="minorHAnsi"/>
              </w:rPr>
              <w:t>.</w:t>
            </w:r>
          </w:p>
        </w:tc>
        <w:tc>
          <w:tcPr>
            <w:tcW w:w="960" w:type="pct"/>
          </w:tcPr>
          <w:p w14:paraId="72800C56" w14:textId="43E37785" w:rsidR="00DF640E" w:rsidRDefault="00DF640E" w:rsidP="00A71365">
            <w:pPr>
              <w:pStyle w:val="Tablewriting"/>
              <w:rPr>
                <w:rFonts w:eastAsia="MS Mincho" w:cstheme="minorHAnsi"/>
              </w:rPr>
            </w:pPr>
            <w:r w:rsidRPr="00DF640E">
              <w:rPr>
                <w:rFonts w:eastAsia="MS Mincho" w:cstheme="minorHAnsi"/>
                <w:u w:val="single"/>
              </w:rPr>
              <w:t>Efficacy:</w:t>
            </w:r>
            <w:r>
              <w:rPr>
                <w:rFonts w:eastAsia="MS Mincho" w:cstheme="minorHAnsi"/>
              </w:rPr>
              <w:t xml:space="preserve"> </w:t>
            </w:r>
            <w:r w:rsidRPr="00DF640E">
              <w:rPr>
                <w:rFonts w:eastAsia="MS Mincho" w:cstheme="minorHAnsi"/>
              </w:rPr>
              <w:t>Continuous abstinence at week 52</w:t>
            </w:r>
            <w:r w:rsidR="006C3ED7">
              <w:rPr>
                <w:rFonts w:eastAsia="MS Mincho" w:cstheme="minorHAnsi"/>
              </w:rPr>
              <w:t>.</w:t>
            </w:r>
          </w:p>
          <w:p w14:paraId="57AEF7C1" w14:textId="77777777" w:rsidR="006C3ED7" w:rsidRPr="00DF640E" w:rsidRDefault="006C3ED7" w:rsidP="00A71365">
            <w:pPr>
              <w:pStyle w:val="Tablewriting"/>
              <w:rPr>
                <w:rFonts w:eastAsia="MS Mincho" w:cstheme="minorHAnsi"/>
              </w:rPr>
            </w:pPr>
          </w:p>
          <w:p w14:paraId="7E95716C" w14:textId="77777777" w:rsidR="00BA1AF5" w:rsidRDefault="00DF640E" w:rsidP="00A71365">
            <w:pPr>
              <w:pStyle w:val="Tablewriting"/>
              <w:rPr>
                <w:rFonts w:eastAsia="MS Mincho" w:cstheme="minorHAnsi"/>
              </w:rPr>
            </w:pPr>
            <w:r w:rsidRPr="00DF640E">
              <w:rPr>
                <w:rFonts w:eastAsia="MS Mincho" w:cstheme="minorHAnsi"/>
              </w:rPr>
              <w:t>Validation: CO &lt; 9 ppm at week 52</w:t>
            </w:r>
            <w:r w:rsidR="006C3ED7">
              <w:rPr>
                <w:rFonts w:eastAsia="MS Mincho" w:cstheme="minorHAnsi"/>
              </w:rPr>
              <w:t>.</w:t>
            </w:r>
          </w:p>
          <w:p w14:paraId="52A7CD16" w14:textId="77777777" w:rsidR="006C3ED7" w:rsidRDefault="006C3ED7" w:rsidP="00A71365">
            <w:pPr>
              <w:pStyle w:val="Tablewriting"/>
              <w:rPr>
                <w:rFonts w:eastAsia="MS Mincho" w:cstheme="minorHAnsi"/>
                <w:u w:val="single"/>
              </w:rPr>
            </w:pPr>
          </w:p>
          <w:p w14:paraId="467D5AC6" w14:textId="33E21096" w:rsidR="006C3ED7" w:rsidRPr="004272CD" w:rsidRDefault="006C3ED7" w:rsidP="00A71365">
            <w:pPr>
              <w:pStyle w:val="Tablewriting"/>
              <w:rPr>
                <w:rFonts w:eastAsia="MS Mincho" w:cstheme="minorHAnsi"/>
                <w:u w:val="single"/>
              </w:rPr>
            </w:pPr>
            <w:r>
              <w:rPr>
                <w:rFonts w:eastAsia="MS Mincho" w:cstheme="minorHAnsi"/>
                <w:u w:val="single"/>
              </w:rPr>
              <w:t xml:space="preserve">Safety: </w:t>
            </w:r>
          </w:p>
        </w:tc>
      </w:tr>
      <w:tr w:rsidR="00BA1AF5" w:rsidRPr="00017AE6" w14:paraId="5E557915" w14:textId="77777777" w:rsidTr="005012C6">
        <w:trPr>
          <w:trHeight w:val="99"/>
        </w:trPr>
        <w:tc>
          <w:tcPr>
            <w:tcW w:w="491" w:type="pct"/>
          </w:tcPr>
          <w:p w14:paraId="4DADD0E4" w14:textId="66DEC896" w:rsidR="00BA1AF5" w:rsidRPr="00017AE6" w:rsidRDefault="00DC0DA3" w:rsidP="00A71365">
            <w:pPr>
              <w:pStyle w:val="Tablewriting"/>
              <w:rPr>
                <w:rFonts w:eastAsia="MS Mincho" w:cstheme="minorHAnsi"/>
              </w:rPr>
            </w:pPr>
            <w:r w:rsidRPr="00DC0DA3">
              <w:rPr>
                <w:rFonts w:eastAsia="MS Mincho" w:cstheme="minorHAnsi"/>
              </w:rPr>
              <w:t xml:space="preserve">Tonstad </w:t>
            </w:r>
            <w:r w:rsidR="00EE615C">
              <w:rPr>
                <w:rFonts w:eastAsia="MS Mincho" w:cstheme="minorHAnsi"/>
              </w:rPr>
              <w:t>(</w:t>
            </w:r>
            <w:r w:rsidRPr="00DC0DA3">
              <w:rPr>
                <w:rFonts w:eastAsia="MS Mincho" w:cstheme="minorHAnsi"/>
              </w:rPr>
              <w:t>2006</w:t>
            </w:r>
            <w:r w:rsidR="00EE615C">
              <w:rPr>
                <w:rFonts w:eastAsia="MS Mincho" w:cstheme="minorHAnsi"/>
              </w:rPr>
              <w:t>)</w:t>
            </w:r>
          </w:p>
        </w:tc>
        <w:tc>
          <w:tcPr>
            <w:tcW w:w="234" w:type="pct"/>
          </w:tcPr>
          <w:p w14:paraId="203387C8" w14:textId="191C8272" w:rsidR="00BA1AF5" w:rsidRPr="00017AE6" w:rsidRDefault="00F8762A" w:rsidP="00A71365">
            <w:pPr>
              <w:pStyle w:val="Tablewriting"/>
              <w:rPr>
                <w:rFonts w:eastAsia="MS Mincho" w:cstheme="minorHAnsi"/>
              </w:rPr>
            </w:pPr>
            <w:r>
              <w:rPr>
                <w:rFonts w:eastAsia="MS Mincho" w:cstheme="minorHAnsi"/>
              </w:rPr>
              <w:t>RCT</w:t>
            </w:r>
          </w:p>
        </w:tc>
        <w:tc>
          <w:tcPr>
            <w:tcW w:w="424" w:type="pct"/>
          </w:tcPr>
          <w:p w14:paraId="73ECCC09" w14:textId="112C2484" w:rsidR="00BA1AF5" w:rsidRPr="00017AE6" w:rsidRDefault="00F8762A" w:rsidP="00A71365">
            <w:pPr>
              <w:pStyle w:val="Tablewriting"/>
              <w:rPr>
                <w:rFonts w:eastAsia="MS Mincho" w:cstheme="minorHAnsi"/>
              </w:rPr>
            </w:pPr>
            <w:r>
              <w:rPr>
                <w:rFonts w:eastAsia="MS Mincho" w:cstheme="minorHAnsi"/>
              </w:rPr>
              <w:t>USA</w:t>
            </w:r>
          </w:p>
        </w:tc>
        <w:tc>
          <w:tcPr>
            <w:tcW w:w="394" w:type="pct"/>
          </w:tcPr>
          <w:p w14:paraId="5E5C60F1" w14:textId="4D1A90FC" w:rsidR="00BA1AF5" w:rsidRPr="00017AE6" w:rsidRDefault="00CD23F9" w:rsidP="00A71365">
            <w:pPr>
              <w:pStyle w:val="Tablewriting"/>
              <w:rPr>
                <w:rFonts w:eastAsia="MS Mincho" w:cstheme="minorHAnsi"/>
              </w:rPr>
            </w:pPr>
            <w:r>
              <w:rPr>
                <w:rFonts w:eastAsia="MS Mincho" w:cstheme="minorHAnsi"/>
              </w:rPr>
              <w:t>N=</w:t>
            </w:r>
            <w:r w:rsidR="00F8762A">
              <w:rPr>
                <w:rFonts w:eastAsia="MS Mincho" w:cstheme="minorHAnsi"/>
              </w:rPr>
              <w:t>1210</w:t>
            </w:r>
          </w:p>
        </w:tc>
        <w:tc>
          <w:tcPr>
            <w:tcW w:w="1346" w:type="pct"/>
          </w:tcPr>
          <w:p w14:paraId="2A13A7B5" w14:textId="39A6DBD3" w:rsidR="00BA1AF5" w:rsidRPr="00017AE6" w:rsidRDefault="00F8762A" w:rsidP="00A71365">
            <w:pPr>
              <w:pStyle w:val="Tablewriting"/>
              <w:rPr>
                <w:rFonts w:eastAsia="MS Mincho" w:cstheme="minorHAnsi"/>
              </w:rPr>
            </w:pPr>
            <w:r>
              <w:rPr>
                <w:rFonts w:eastAsia="MS Mincho" w:cstheme="minorHAnsi"/>
              </w:rPr>
              <w:t>A</w:t>
            </w:r>
            <w:r w:rsidRPr="00F8762A">
              <w:rPr>
                <w:rFonts w:eastAsia="MS Mincho" w:cstheme="minorHAnsi"/>
              </w:rPr>
              <w:t xml:space="preserve">dults previously smoking </w:t>
            </w:r>
            <w:r w:rsidR="00FE7B8E" w:rsidRPr="00FE7B8E">
              <w:rPr>
                <w:rFonts w:eastAsia="MS Mincho" w:cstheme="minorHAnsi"/>
              </w:rPr>
              <w:t>≥</w:t>
            </w:r>
            <w:r w:rsidRPr="00F8762A">
              <w:rPr>
                <w:rFonts w:eastAsia="MS Mincho" w:cstheme="minorHAnsi"/>
              </w:rPr>
              <w:t xml:space="preserve"> 10/day, quit for at least 1 week after 12 weeks open-label varenicline</w:t>
            </w:r>
            <w:r>
              <w:rPr>
                <w:rFonts w:eastAsia="MS Mincho" w:cstheme="minorHAnsi"/>
              </w:rPr>
              <w:t>.</w:t>
            </w:r>
          </w:p>
        </w:tc>
        <w:tc>
          <w:tcPr>
            <w:tcW w:w="1152" w:type="pct"/>
          </w:tcPr>
          <w:p w14:paraId="3F9F0C0D" w14:textId="77777777" w:rsidR="00B971E9" w:rsidRDefault="00B971E9" w:rsidP="00C324F3">
            <w:pPr>
              <w:pStyle w:val="Tablewriting"/>
              <w:numPr>
                <w:ilvl w:val="0"/>
                <w:numId w:val="159"/>
              </w:numPr>
              <w:rPr>
                <w:rFonts w:eastAsia="MS Mincho" w:cstheme="minorHAnsi"/>
              </w:rPr>
            </w:pPr>
            <w:r w:rsidRPr="00B971E9">
              <w:rPr>
                <w:rFonts w:eastAsia="MS Mincho" w:cstheme="minorHAnsi"/>
              </w:rPr>
              <w:t>Varenicline 1 mg × 2 daily for 12 weeks with 5 clinic visits</w:t>
            </w:r>
            <w:r>
              <w:rPr>
                <w:rFonts w:eastAsia="MS Mincho" w:cstheme="minorHAnsi"/>
              </w:rPr>
              <w:t>.</w:t>
            </w:r>
          </w:p>
          <w:p w14:paraId="39A4CD07" w14:textId="4D2CBE97" w:rsidR="00BA1AF5" w:rsidRPr="00B971E9" w:rsidRDefault="00B971E9" w:rsidP="00C324F3">
            <w:pPr>
              <w:pStyle w:val="Tablewriting"/>
              <w:numPr>
                <w:ilvl w:val="0"/>
                <w:numId w:val="159"/>
              </w:numPr>
              <w:rPr>
                <w:rFonts w:eastAsia="MS Mincho" w:cstheme="minorHAnsi"/>
              </w:rPr>
            </w:pPr>
            <w:r w:rsidRPr="00B971E9">
              <w:rPr>
                <w:rFonts w:eastAsia="MS Mincho" w:cstheme="minorHAnsi"/>
              </w:rPr>
              <w:t>Placebo</w:t>
            </w:r>
            <w:r w:rsidR="00EE615C">
              <w:rPr>
                <w:rFonts w:eastAsia="MS Mincho" w:cstheme="minorHAnsi"/>
              </w:rPr>
              <w:t>.</w:t>
            </w:r>
          </w:p>
        </w:tc>
        <w:tc>
          <w:tcPr>
            <w:tcW w:w="960" w:type="pct"/>
          </w:tcPr>
          <w:p w14:paraId="1842D02B" w14:textId="20CFEC88" w:rsidR="006C3ED7" w:rsidRDefault="006C3ED7" w:rsidP="00A71365">
            <w:pPr>
              <w:pStyle w:val="Tablewriting"/>
              <w:rPr>
                <w:rFonts w:eastAsia="MS Mincho" w:cstheme="minorHAnsi"/>
              </w:rPr>
            </w:pPr>
            <w:r w:rsidRPr="00DF640E">
              <w:rPr>
                <w:rFonts w:eastAsia="MS Mincho" w:cstheme="minorHAnsi"/>
                <w:u w:val="single"/>
              </w:rPr>
              <w:t>Efficacy:</w:t>
            </w:r>
            <w:r>
              <w:rPr>
                <w:rFonts w:eastAsia="MS Mincho" w:cstheme="minorHAnsi"/>
              </w:rPr>
              <w:t xml:space="preserve"> </w:t>
            </w:r>
          </w:p>
          <w:p w14:paraId="6F6D4FFD" w14:textId="69D6CF14" w:rsidR="00DF0836" w:rsidRDefault="00DF0836" w:rsidP="00A71365">
            <w:pPr>
              <w:pStyle w:val="Tablewriting"/>
              <w:rPr>
                <w:rFonts w:eastAsia="MS Mincho" w:cstheme="minorHAnsi"/>
              </w:rPr>
            </w:pPr>
            <w:r w:rsidRPr="00DF0836">
              <w:rPr>
                <w:rFonts w:eastAsia="MS Mincho" w:cstheme="minorHAnsi"/>
              </w:rPr>
              <w:t>Sustained abstinence for 9 months at 1 year</w:t>
            </w:r>
            <w:r>
              <w:rPr>
                <w:rFonts w:eastAsia="MS Mincho" w:cstheme="minorHAnsi"/>
              </w:rPr>
              <w:t>.</w:t>
            </w:r>
          </w:p>
          <w:p w14:paraId="6E8C568F" w14:textId="77777777" w:rsidR="00DF0836" w:rsidRPr="00DF0836" w:rsidRDefault="00DF0836" w:rsidP="00A71365">
            <w:pPr>
              <w:pStyle w:val="Tablewriting"/>
              <w:rPr>
                <w:rFonts w:eastAsia="MS Mincho" w:cstheme="minorHAnsi"/>
              </w:rPr>
            </w:pPr>
          </w:p>
          <w:p w14:paraId="5638D038" w14:textId="5BD350D5" w:rsidR="006C3ED7" w:rsidRDefault="00DF0836" w:rsidP="00A71365">
            <w:pPr>
              <w:pStyle w:val="Tablewriting"/>
              <w:rPr>
                <w:rFonts w:eastAsia="MS Mincho" w:cstheme="minorHAnsi"/>
              </w:rPr>
            </w:pPr>
            <w:r w:rsidRPr="00DF0836">
              <w:rPr>
                <w:rFonts w:eastAsia="MS Mincho" w:cstheme="minorHAnsi"/>
              </w:rPr>
              <w:t xml:space="preserve">Validation: CO </w:t>
            </w:r>
            <w:r w:rsidR="00FE7B8E" w:rsidRPr="00FE7B8E">
              <w:rPr>
                <w:rFonts w:eastAsia="MS Mincho" w:cstheme="minorHAnsi"/>
              </w:rPr>
              <w:t>≥</w:t>
            </w:r>
            <w:r w:rsidRPr="00DF0836">
              <w:rPr>
                <w:rFonts w:eastAsia="MS Mincho" w:cstheme="minorHAnsi"/>
              </w:rPr>
              <w:t xml:space="preserve"> 10 ppm</w:t>
            </w:r>
            <w:r>
              <w:rPr>
                <w:rFonts w:eastAsia="MS Mincho" w:cstheme="minorHAnsi"/>
              </w:rPr>
              <w:t>.</w:t>
            </w:r>
          </w:p>
          <w:p w14:paraId="3D06133E" w14:textId="77777777" w:rsidR="00DF0836" w:rsidRPr="00DF0836" w:rsidRDefault="00DF0836" w:rsidP="00A71365">
            <w:pPr>
              <w:pStyle w:val="Tablewriting"/>
              <w:rPr>
                <w:rFonts w:eastAsia="MS Mincho" w:cstheme="minorHAnsi"/>
              </w:rPr>
            </w:pPr>
          </w:p>
          <w:p w14:paraId="1CD9056D" w14:textId="5C98E2F0" w:rsidR="00BA1AF5" w:rsidRPr="00017AE6" w:rsidRDefault="006C3ED7" w:rsidP="00A71365">
            <w:pPr>
              <w:pStyle w:val="Tablewriting"/>
              <w:rPr>
                <w:rFonts w:eastAsia="MS Mincho" w:cstheme="minorHAnsi"/>
              </w:rPr>
            </w:pPr>
            <w:r>
              <w:rPr>
                <w:rFonts w:eastAsia="MS Mincho" w:cstheme="minorHAnsi"/>
                <w:u w:val="single"/>
              </w:rPr>
              <w:t>Safety:</w:t>
            </w:r>
          </w:p>
        </w:tc>
      </w:tr>
    </w:tbl>
    <w:p w14:paraId="6ADCF956" w14:textId="77777777" w:rsidR="007C71A8" w:rsidRDefault="007C71A8" w:rsidP="005821B1">
      <w:pPr>
        <w:pStyle w:val="TableFooter"/>
        <w:keepNext/>
        <w:jc w:val="both"/>
      </w:pPr>
      <w:r w:rsidRPr="00743527">
        <w:t>Source: Livingstone-Banks et al. (2019)</w:t>
      </w:r>
      <w:r>
        <w:t>.</w:t>
      </w:r>
    </w:p>
    <w:p w14:paraId="51C8AFFB" w14:textId="3C6ECC21" w:rsidR="00595A66" w:rsidRPr="00FC4F81" w:rsidRDefault="00595A66" w:rsidP="005821B1">
      <w:pPr>
        <w:pStyle w:val="TableFooter"/>
        <w:keepNext/>
        <w:spacing w:after="120"/>
        <w:contextualSpacing w:val="0"/>
        <w:jc w:val="both"/>
      </w:pPr>
      <w:r>
        <w:t xml:space="preserve">Abbreviations: NR= not reported; </w:t>
      </w:r>
      <w:r w:rsidRPr="009B042A">
        <w:t xml:space="preserve">PPA= point prevalence smoking abstinence; </w:t>
      </w:r>
      <w:r>
        <w:t xml:space="preserve">CA= continuous abstinence;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w:t>
      </w:r>
      <w:r w:rsidR="00531BD4">
        <w:t xml:space="preserve">CPD = cigarette per day; </w:t>
      </w:r>
      <w:r>
        <w:t xml:space="preserve">CBT= cognitive behavioural therapy; AEs= adverse events; SAEs= serious adverse events. </w:t>
      </w:r>
    </w:p>
    <w:p w14:paraId="6A239229" w14:textId="77777777" w:rsidR="00EA7016" w:rsidRDefault="00EA7016">
      <w:pPr>
        <w:spacing w:line="276" w:lineRule="auto"/>
        <w:rPr>
          <w:rFonts w:asciiTheme="minorHAnsi" w:eastAsia="Times New Roman" w:hAnsiTheme="minorHAnsi" w:cs="Times New Roman"/>
          <w:b/>
          <w:bCs/>
          <w:szCs w:val="18"/>
        </w:rPr>
      </w:pPr>
      <w:bookmarkStart w:id="337" w:name="_Ref54791042"/>
      <w:r>
        <w:br w:type="page"/>
      </w:r>
    </w:p>
    <w:p w14:paraId="19EAD301" w14:textId="3372A68F" w:rsidR="00B63099" w:rsidRDefault="00B63099"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152</w:t>
      </w:r>
      <w:r w:rsidR="00BF3F75">
        <w:rPr>
          <w:noProof/>
        </w:rPr>
        <w:fldChar w:fldCharType="end"/>
      </w:r>
      <w:bookmarkEnd w:id="337"/>
      <w:r>
        <w:t xml:space="preserve">: </w:t>
      </w:r>
      <w:r w:rsidRPr="00D2745F">
        <w:t xml:space="preserve">Characteristics of studies included in </w:t>
      </w:r>
      <w:r>
        <w:t xml:space="preserve">Cahill </w:t>
      </w:r>
      <w:r w:rsidRPr="00D2745F">
        <w:t>et al. (201</w:t>
      </w:r>
      <w:r>
        <w:t>6</w:t>
      </w:r>
      <w:r w:rsidRPr="00D2745F">
        <w:t xml:space="preserve">), varenicline versus placebo in </w:t>
      </w:r>
      <w:r>
        <w:t>non-</w:t>
      </w:r>
      <w:r w:rsidRPr="00D2745F">
        <w:t>abstainers (</w:t>
      </w:r>
      <w:r>
        <w:t>retreatment</w:t>
      </w:r>
      <w:r w:rsidRPr="00D2745F">
        <w:t>)</w:t>
      </w:r>
    </w:p>
    <w:tbl>
      <w:tblPr>
        <w:tblStyle w:val="TableGrid"/>
        <w:tblW w:w="5000" w:type="pct"/>
        <w:tblLook w:val="04A0" w:firstRow="1" w:lastRow="0" w:firstColumn="1" w:lastColumn="0" w:noHBand="0" w:noVBand="1"/>
        <w:tblCaption w:val="Efficacy results of adalimumab trials (PASI 75 and DLQI)"/>
      </w:tblPr>
      <w:tblGrid>
        <w:gridCol w:w="1333"/>
        <w:gridCol w:w="690"/>
        <w:gridCol w:w="1132"/>
        <w:gridCol w:w="1275"/>
        <w:gridCol w:w="3537"/>
        <w:gridCol w:w="3194"/>
        <w:gridCol w:w="2787"/>
      </w:tblGrid>
      <w:tr w:rsidR="00B63099" w:rsidRPr="00061F78" w14:paraId="67288ACC" w14:textId="77777777" w:rsidTr="005821B1">
        <w:trPr>
          <w:trHeight w:val="299"/>
          <w:tblHeader/>
        </w:trPr>
        <w:tc>
          <w:tcPr>
            <w:tcW w:w="485" w:type="pct"/>
            <w:shd w:val="clear" w:color="auto" w:fill="BFBFBF" w:themeFill="background1" w:themeFillShade="BF"/>
            <w:tcMar>
              <w:left w:w="28" w:type="dxa"/>
              <w:right w:w="28" w:type="dxa"/>
            </w:tcMar>
          </w:tcPr>
          <w:p w14:paraId="3941E39F" w14:textId="3CE12D4D" w:rsidR="00B63099"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2FC60F66" w14:textId="77777777" w:rsidR="00B63099" w:rsidRDefault="00B63099" w:rsidP="00A71365">
            <w:pPr>
              <w:pStyle w:val="Tableheading"/>
              <w:jc w:val="center"/>
              <w:rPr>
                <w:rFonts w:eastAsia="MS Mincho"/>
              </w:rPr>
            </w:pPr>
            <w:r>
              <w:rPr>
                <w:rFonts w:eastAsia="MS Mincho"/>
              </w:rPr>
              <w:t>Study type</w:t>
            </w:r>
          </w:p>
        </w:tc>
        <w:tc>
          <w:tcPr>
            <w:tcW w:w="413" w:type="pct"/>
            <w:shd w:val="clear" w:color="auto" w:fill="BFBFBF" w:themeFill="background1" w:themeFillShade="BF"/>
          </w:tcPr>
          <w:p w14:paraId="5C497E37" w14:textId="77777777" w:rsidR="00B63099" w:rsidRDefault="00B63099" w:rsidP="00A71365">
            <w:pPr>
              <w:pStyle w:val="Tableheading"/>
              <w:jc w:val="center"/>
              <w:rPr>
                <w:rFonts w:eastAsia="MS Mincho"/>
              </w:rPr>
            </w:pPr>
            <w:r>
              <w:rPr>
                <w:rFonts w:eastAsia="MS Mincho"/>
              </w:rPr>
              <w:t>Countries</w:t>
            </w:r>
          </w:p>
        </w:tc>
        <w:tc>
          <w:tcPr>
            <w:tcW w:w="434" w:type="pct"/>
            <w:shd w:val="clear" w:color="auto" w:fill="BFBFBF" w:themeFill="background1" w:themeFillShade="BF"/>
            <w:tcMar>
              <w:left w:w="28" w:type="dxa"/>
              <w:right w:w="28" w:type="dxa"/>
            </w:tcMar>
          </w:tcPr>
          <w:p w14:paraId="0A7BECBC" w14:textId="77777777" w:rsidR="00B63099" w:rsidRPr="00061F78" w:rsidRDefault="00B63099" w:rsidP="00A71365">
            <w:pPr>
              <w:pStyle w:val="Tableheading"/>
              <w:jc w:val="center"/>
              <w:rPr>
                <w:rFonts w:eastAsia="MS Mincho"/>
              </w:rPr>
            </w:pPr>
            <w:r>
              <w:rPr>
                <w:rFonts w:eastAsia="MS Mincho"/>
              </w:rPr>
              <w:t>N</w:t>
            </w:r>
          </w:p>
        </w:tc>
        <w:tc>
          <w:tcPr>
            <w:tcW w:w="1275" w:type="pct"/>
            <w:shd w:val="clear" w:color="auto" w:fill="BFBFBF" w:themeFill="background1" w:themeFillShade="BF"/>
            <w:tcMar>
              <w:left w:w="28" w:type="dxa"/>
              <w:right w:w="28" w:type="dxa"/>
            </w:tcMar>
          </w:tcPr>
          <w:p w14:paraId="4F359939" w14:textId="77777777" w:rsidR="00B63099" w:rsidRPr="00061F78" w:rsidRDefault="00B63099" w:rsidP="00A71365">
            <w:pPr>
              <w:pStyle w:val="Tableheading"/>
              <w:jc w:val="center"/>
              <w:rPr>
                <w:rFonts w:eastAsia="MS Mincho"/>
              </w:rPr>
            </w:pPr>
            <w:r w:rsidRPr="00061F78">
              <w:rPr>
                <w:rFonts w:eastAsia="MS Mincho"/>
              </w:rPr>
              <w:t>P</w:t>
            </w:r>
            <w:r>
              <w:rPr>
                <w:rFonts w:eastAsia="MS Mincho"/>
              </w:rPr>
              <w:t>opulation</w:t>
            </w:r>
          </w:p>
        </w:tc>
        <w:tc>
          <w:tcPr>
            <w:tcW w:w="1152" w:type="pct"/>
            <w:shd w:val="clear" w:color="auto" w:fill="BFBFBF" w:themeFill="background1" w:themeFillShade="BF"/>
          </w:tcPr>
          <w:p w14:paraId="564410FF" w14:textId="77777777" w:rsidR="00B63099" w:rsidRDefault="00B63099" w:rsidP="00A71365">
            <w:pPr>
              <w:pStyle w:val="Tableheading"/>
              <w:jc w:val="center"/>
              <w:rPr>
                <w:rFonts w:eastAsia="MS Mincho"/>
              </w:rPr>
            </w:pPr>
            <w:r>
              <w:rPr>
                <w:rFonts w:eastAsia="MS Mincho"/>
              </w:rPr>
              <w:t>Intervention and comparator</w:t>
            </w:r>
          </w:p>
        </w:tc>
        <w:tc>
          <w:tcPr>
            <w:tcW w:w="1007" w:type="pct"/>
            <w:shd w:val="clear" w:color="auto" w:fill="BFBFBF" w:themeFill="background1" w:themeFillShade="BF"/>
            <w:tcMar>
              <w:left w:w="28" w:type="dxa"/>
              <w:right w:w="28" w:type="dxa"/>
            </w:tcMar>
          </w:tcPr>
          <w:p w14:paraId="0C4CF90E" w14:textId="77777777" w:rsidR="00B63099" w:rsidRPr="00061F78" w:rsidRDefault="00B63099" w:rsidP="00A71365">
            <w:pPr>
              <w:pStyle w:val="Tableheading"/>
              <w:jc w:val="center"/>
              <w:rPr>
                <w:rFonts w:eastAsia="MS Mincho"/>
              </w:rPr>
            </w:pPr>
            <w:r>
              <w:rPr>
                <w:rFonts w:eastAsia="MS Mincho"/>
              </w:rPr>
              <w:t>Outcomes</w:t>
            </w:r>
          </w:p>
        </w:tc>
      </w:tr>
      <w:tr w:rsidR="00454063" w:rsidRPr="00017AE6" w14:paraId="7F8D7794" w14:textId="77777777" w:rsidTr="005821B1">
        <w:trPr>
          <w:trHeight w:val="99"/>
        </w:trPr>
        <w:tc>
          <w:tcPr>
            <w:tcW w:w="485" w:type="pct"/>
          </w:tcPr>
          <w:p w14:paraId="1961B091" w14:textId="30CC1815" w:rsidR="00454063" w:rsidRPr="00017AE6" w:rsidRDefault="00454063" w:rsidP="00A71365">
            <w:pPr>
              <w:pStyle w:val="Tablewriting"/>
              <w:rPr>
                <w:rFonts w:eastAsia="MS Mincho" w:cstheme="minorHAnsi"/>
              </w:rPr>
            </w:pPr>
            <w:r w:rsidRPr="00017AE6">
              <w:rPr>
                <w:rFonts w:eastAsia="MS Mincho" w:cstheme="minorHAnsi"/>
              </w:rPr>
              <w:t xml:space="preserve">Gonzales </w:t>
            </w:r>
            <w:r>
              <w:rPr>
                <w:rFonts w:eastAsia="MS Mincho" w:cstheme="minorHAnsi"/>
              </w:rPr>
              <w:t>(</w:t>
            </w:r>
            <w:r w:rsidRPr="00017AE6">
              <w:rPr>
                <w:rFonts w:eastAsia="MS Mincho" w:cstheme="minorHAnsi"/>
              </w:rPr>
              <w:t>2014</w:t>
            </w:r>
            <w:r>
              <w:rPr>
                <w:rFonts w:eastAsia="MS Mincho" w:cstheme="minorHAnsi"/>
              </w:rPr>
              <w:t>)</w:t>
            </w:r>
          </w:p>
        </w:tc>
        <w:tc>
          <w:tcPr>
            <w:tcW w:w="235" w:type="pct"/>
          </w:tcPr>
          <w:p w14:paraId="53BF7933" w14:textId="20C4A6E9" w:rsidR="00454063" w:rsidRPr="00017AE6" w:rsidRDefault="00454063" w:rsidP="00A71365">
            <w:pPr>
              <w:pStyle w:val="Tablewriting"/>
              <w:rPr>
                <w:rFonts w:eastAsia="MS Mincho" w:cstheme="minorHAnsi"/>
              </w:rPr>
            </w:pPr>
            <w:r w:rsidRPr="00017AE6">
              <w:rPr>
                <w:rFonts w:eastAsia="MS Mincho" w:cstheme="minorHAnsi"/>
              </w:rPr>
              <w:t>RCT</w:t>
            </w:r>
          </w:p>
        </w:tc>
        <w:tc>
          <w:tcPr>
            <w:tcW w:w="413" w:type="pct"/>
          </w:tcPr>
          <w:p w14:paraId="334404D9" w14:textId="77777777" w:rsidR="00454063" w:rsidRPr="00017AE6" w:rsidRDefault="00454063" w:rsidP="00A71365">
            <w:pPr>
              <w:pStyle w:val="Tablewriting"/>
              <w:rPr>
                <w:rFonts w:eastAsia="MS Mincho" w:cstheme="minorHAnsi"/>
              </w:rPr>
            </w:pPr>
            <w:r w:rsidRPr="00017AE6">
              <w:rPr>
                <w:rFonts w:eastAsia="MS Mincho" w:cstheme="minorHAnsi"/>
              </w:rPr>
              <w:t>37 centres in 8 countries: USA (8), Australia (4), Belgium (4), Canada (4), Czech Republic (4),</w:t>
            </w:r>
          </w:p>
          <w:p w14:paraId="73998126" w14:textId="537AC841" w:rsidR="00454063" w:rsidRPr="00017AE6" w:rsidRDefault="00454063" w:rsidP="00A71365">
            <w:pPr>
              <w:pStyle w:val="Tablewriting"/>
              <w:rPr>
                <w:rFonts w:eastAsia="MS Mincho" w:cstheme="minorHAnsi"/>
              </w:rPr>
            </w:pPr>
            <w:r w:rsidRPr="00017AE6">
              <w:rPr>
                <w:rFonts w:eastAsia="MS Mincho" w:cstheme="minorHAnsi"/>
              </w:rPr>
              <w:t>France (3), Germany (5), UK (5)</w:t>
            </w:r>
          </w:p>
        </w:tc>
        <w:tc>
          <w:tcPr>
            <w:tcW w:w="434" w:type="pct"/>
          </w:tcPr>
          <w:p w14:paraId="62FC9706" w14:textId="28615422" w:rsidR="00454063" w:rsidRPr="00017AE6" w:rsidRDefault="00454063" w:rsidP="00A71365">
            <w:pPr>
              <w:pStyle w:val="Tablewriting"/>
              <w:rPr>
                <w:rFonts w:eastAsia="MS Mincho" w:cstheme="minorHAnsi"/>
              </w:rPr>
            </w:pPr>
            <w:r w:rsidRPr="00017AE6">
              <w:rPr>
                <w:rFonts w:eastAsia="MS Mincho" w:cstheme="minorHAnsi"/>
              </w:rPr>
              <w:t>N=498</w:t>
            </w:r>
            <w:r>
              <w:rPr>
                <w:rFonts w:eastAsia="MS Mincho" w:cstheme="minorHAnsi"/>
              </w:rPr>
              <w:t>; n=251 (</w:t>
            </w:r>
            <w:r w:rsidRPr="00017AE6">
              <w:rPr>
                <w:rFonts w:eastAsia="MS Mincho" w:cstheme="minorHAnsi"/>
              </w:rPr>
              <w:t>varenicline</w:t>
            </w:r>
            <w:r>
              <w:rPr>
                <w:rFonts w:eastAsia="MS Mincho" w:cstheme="minorHAnsi"/>
              </w:rPr>
              <w:t>)</w:t>
            </w:r>
            <w:r w:rsidRPr="00017AE6">
              <w:rPr>
                <w:rFonts w:eastAsia="MS Mincho" w:cstheme="minorHAnsi"/>
              </w:rPr>
              <w:t xml:space="preserve">, </w:t>
            </w:r>
            <w:r>
              <w:rPr>
                <w:rFonts w:eastAsia="MS Mincho" w:cstheme="minorHAnsi"/>
              </w:rPr>
              <w:t>n=247 (</w:t>
            </w:r>
            <w:r w:rsidRPr="00017AE6">
              <w:rPr>
                <w:rFonts w:eastAsia="MS Mincho" w:cstheme="minorHAnsi"/>
              </w:rPr>
              <w:t>placebo)</w:t>
            </w:r>
          </w:p>
        </w:tc>
        <w:tc>
          <w:tcPr>
            <w:tcW w:w="1275" w:type="pct"/>
          </w:tcPr>
          <w:p w14:paraId="38E5731F" w14:textId="77777777" w:rsidR="00454063" w:rsidRDefault="00454063" w:rsidP="00A71365">
            <w:pPr>
              <w:pStyle w:val="Tablewriting"/>
              <w:rPr>
                <w:rFonts w:eastAsia="MS Mincho" w:cstheme="minorHAnsi"/>
              </w:rPr>
            </w:pPr>
            <w:r>
              <w:rPr>
                <w:rFonts w:eastAsia="MS Mincho" w:cstheme="minorHAnsi"/>
              </w:rPr>
              <w:t>A</w:t>
            </w:r>
            <w:r w:rsidRPr="00017AE6">
              <w:rPr>
                <w:rFonts w:eastAsia="MS Mincho" w:cstheme="minorHAnsi"/>
              </w:rPr>
              <w:t>dult smokers with previous use of 2+ w</w:t>
            </w:r>
            <w:r>
              <w:rPr>
                <w:rFonts w:eastAsia="MS Mincho" w:cstheme="minorHAnsi"/>
              </w:rPr>
              <w:t>ee</w:t>
            </w:r>
            <w:r w:rsidRPr="00017AE6">
              <w:rPr>
                <w:rFonts w:eastAsia="MS Mincho" w:cstheme="minorHAnsi"/>
              </w:rPr>
              <w:t>ks of varenicline at least 3</w:t>
            </w:r>
            <w:r>
              <w:rPr>
                <w:rFonts w:eastAsia="MS Mincho" w:cstheme="minorHAnsi"/>
              </w:rPr>
              <w:t xml:space="preserve"> </w:t>
            </w:r>
            <w:r w:rsidRPr="00017AE6">
              <w:rPr>
                <w:rFonts w:eastAsia="MS Mincho" w:cstheme="minorHAnsi"/>
              </w:rPr>
              <w:t>m</w:t>
            </w:r>
            <w:r>
              <w:rPr>
                <w:rFonts w:eastAsia="MS Mincho" w:cstheme="minorHAnsi"/>
              </w:rPr>
              <w:t xml:space="preserve">onths </w:t>
            </w:r>
            <w:r w:rsidRPr="00017AE6">
              <w:rPr>
                <w:rFonts w:eastAsia="MS Mincho" w:cstheme="minorHAnsi"/>
              </w:rPr>
              <w:t xml:space="preserve">prior to screening, aged 18+, CPD 10+, motivated to quit. </w:t>
            </w:r>
          </w:p>
          <w:p w14:paraId="0F3AA3B7" w14:textId="0A3483CD" w:rsidR="00454063" w:rsidRPr="00017AE6" w:rsidRDefault="00454063" w:rsidP="00A71365">
            <w:pPr>
              <w:pStyle w:val="Tablewriting"/>
              <w:rPr>
                <w:rFonts w:eastAsia="MS Mincho" w:cstheme="minorHAnsi"/>
              </w:rPr>
            </w:pPr>
            <w:r w:rsidRPr="00017AE6">
              <w:rPr>
                <w:rFonts w:eastAsia="MS Mincho" w:cstheme="minorHAnsi"/>
              </w:rPr>
              <w:t>Mean age 47.5, 50.4% women, 93% white,</w:t>
            </w:r>
            <w:r w:rsidR="001A5E27">
              <w:rPr>
                <w:rFonts w:eastAsia="MS Mincho" w:cstheme="minorHAnsi"/>
              </w:rPr>
              <w:t xml:space="preserve"> </w:t>
            </w:r>
            <w:r w:rsidRPr="00017AE6">
              <w:rPr>
                <w:rFonts w:eastAsia="MS Mincho" w:cstheme="minorHAnsi"/>
              </w:rPr>
              <w:t>mean CPD 20.5, mean FTND 5.5</w:t>
            </w:r>
            <w:r>
              <w:rPr>
                <w:rFonts w:eastAsia="MS Mincho" w:cstheme="minorHAnsi"/>
              </w:rPr>
              <w:t>.</w:t>
            </w:r>
          </w:p>
        </w:tc>
        <w:tc>
          <w:tcPr>
            <w:tcW w:w="1152" w:type="pct"/>
          </w:tcPr>
          <w:p w14:paraId="6628FA3E" w14:textId="1BB10DBE" w:rsidR="00454063" w:rsidRPr="00017AE6" w:rsidRDefault="00454063" w:rsidP="00C324F3">
            <w:pPr>
              <w:pStyle w:val="Tablewriting"/>
              <w:numPr>
                <w:ilvl w:val="0"/>
                <w:numId w:val="70"/>
              </w:numPr>
              <w:rPr>
                <w:rFonts w:eastAsia="MS Mincho" w:cstheme="minorHAnsi"/>
              </w:rPr>
            </w:pPr>
            <w:r w:rsidRPr="00017AE6">
              <w:rPr>
                <w:rFonts w:eastAsia="MS Mincho" w:cstheme="minorHAnsi"/>
              </w:rPr>
              <w:t>Varenicline 12 w</w:t>
            </w:r>
            <w:r>
              <w:rPr>
                <w:rFonts w:eastAsia="MS Mincho" w:cstheme="minorHAnsi"/>
              </w:rPr>
              <w:t>ee</w:t>
            </w:r>
            <w:r w:rsidRPr="00017AE6">
              <w:rPr>
                <w:rFonts w:eastAsia="MS Mincho" w:cstheme="minorHAnsi"/>
              </w:rPr>
              <w:t>ks, titrated in 1st w</w:t>
            </w:r>
            <w:r>
              <w:rPr>
                <w:rFonts w:eastAsia="MS Mincho" w:cstheme="minorHAnsi"/>
              </w:rPr>
              <w:t>ee</w:t>
            </w:r>
            <w:r w:rsidRPr="00017AE6">
              <w:rPr>
                <w:rFonts w:eastAsia="MS Mincho" w:cstheme="minorHAnsi"/>
              </w:rPr>
              <w:t>k, 1 mg x 2/day</w:t>
            </w:r>
            <w:r w:rsidR="001A5E27">
              <w:rPr>
                <w:rFonts w:eastAsia="MS Mincho" w:cstheme="minorHAnsi"/>
              </w:rPr>
              <w:t>.</w:t>
            </w:r>
          </w:p>
          <w:p w14:paraId="4D150593" w14:textId="7268E353" w:rsidR="00454063" w:rsidRPr="00017AE6" w:rsidRDefault="00454063" w:rsidP="00C324F3">
            <w:pPr>
              <w:pStyle w:val="Tablewriting"/>
              <w:numPr>
                <w:ilvl w:val="0"/>
                <w:numId w:val="70"/>
              </w:numPr>
              <w:rPr>
                <w:rFonts w:eastAsia="MS Mincho" w:cstheme="minorHAnsi"/>
              </w:rPr>
            </w:pPr>
            <w:r w:rsidRPr="00017AE6">
              <w:rPr>
                <w:rFonts w:eastAsia="MS Mincho" w:cstheme="minorHAnsi"/>
              </w:rPr>
              <w:t>Placebo, identical regimen</w:t>
            </w:r>
            <w:r w:rsidR="001A5E27">
              <w:rPr>
                <w:rFonts w:eastAsia="MS Mincho" w:cstheme="minorHAnsi"/>
              </w:rPr>
              <w:t>.</w:t>
            </w:r>
          </w:p>
          <w:p w14:paraId="3A83A534" w14:textId="77777777" w:rsidR="00454063" w:rsidRDefault="00454063" w:rsidP="00A71365">
            <w:pPr>
              <w:pStyle w:val="Tablewriting"/>
              <w:rPr>
                <w:rFonts w:eastAsia="MS Mincho" w:cstheme="minorHAnsi"/>
                <w:u w:val="single"/>
              </w:rPr>
            </w:pPr>
          </w:p>
          <w:p w14:paraId="57A7517C" w14:textId="3CE5D4EC" w:rsidR="00454063" w:rsidRPr="00017AE6" w:rsidRDefault="00454063" w:rsidP="00A71365">
            <w:pPr>
              <w:pStyle w:val="Tablewriting"/>
              <w:rPr>
                <w:rFonts w:eastAsia="MS Mincho" w:cstheme="minorHAnsi"/>
              </w:rPr>
            </w:pPr>
            <w:r w:rsidRPr="00F63511">
              <w:rPr>
                <w:rFonts w:eastAsia="MS Mincho" w:cstheme="minorHAnsi"/>
                <w:u w:val="single"/>
              </w:rPr>
              <w:t>Common components</w:t>
            </w:r>
            <w:r>
              <w:rPr>
                <w:rFonts w:eastAsia="MS Mincho" w:cstheme="minorHAnsi"/>
                <w:u w:val="single"/>
              </w:rPr>
              <w:t xml:space="preserve">: </w:t>
            </w:r>
            <w:r w:rsidRPr="00017AE6">
              <w:rPr>
                <w:rFonts w:eastAsia="MS Mincho" w:cstheme="minorHAnsi"/>
              </w:rPr>
              <w:t>Brief (&lt; 10 mins) counselling at each contact. TQD set for w</w:t>
            </w:r>
            <w:r>
              <w:rPr>
                <w:rFonts w:eastAsia="MS Mincho" w:cstheme="minorHAnsi"/>
              </w:rPr>
              <w:t>ee</w:t>
            </w:r>
            <w:r w:rsidRPr="00017AE6">
              <w:rPr>
                <w:rFonts w:eastAsia="MS Mincho" w:cstheme="minorHAnsi"/>
              </w:rPr>
              <w:t>k 1 visit. Clinic visits at w</w:t>
            </w:r>
            <w:r>
              <w:rPr>
                <w:rFonts w:eastAsia="MS Mincho" w:cstheme="minorHAnsi"/>
              </w:rPr>
              <w:t>ee</w:t>
            </w:r>
            <w:r w:rsidRPr="00017AE6">
              <w:rPr>
                <w:rFonts w:eastAsia="MS Mincho" w:cstheme="minorHAnsi"/>
              </w:rPr>
              <w:t>ks 1, 2, 3, 4, 6, 8, 9, 10, 11, 12; 13, 16, 24, 32, 40, 48, 52. Brief phone calls at w</w:t>
            </w:r>
            <w:r>
              <w:rPr>
                <w:rFonts w:eastAsia="MS Mincho" w:cstheme="minorHAnsi"/>
              </w:rPr>
              <w:t>ee</w:t>
            </w:r>
            <w:r w:rsidRPr="00017AE6">
              <w:rPr>
                <w:rFonts w:eastAsia="MS Mincho" w:cstheme="minorHAnsi"/>
              </w:rPr>
              <w:t>ks 5, 7, 14, 20, 36, 44. Dosage could be halved if intolerable</w:t>
            </w:r>
            <w:r w:rsidR="001A5E27">
              <w:rPr>
                <w:rFonts w:eastAsia="MS Mincho" w:cstheme="minorHAnsi"/>
              </w:rPr>
              <w:t>.</w:t>
            </w:r>
          </w:p>
        </w:tc>
        <w:tc>
          <w:tcPr>
            <w:tcW w:w="1007" w:type="pct"/>
          </w:tcPr>
          <w:p w14:paraId="40394C94" w14:textId="77777777" w:rsidR="00454063" w:rsidRDefault="00454063" w:rsidP="00A71365">
            <w:pPr>
              <w:pStyle w:val="Tablewriting"/>
              <w:rPr>
                <w:rFonts w:eastAsia="MS Mincho" w:cstheme="minorHAnsi"/>
              </w:rPr>
            </w:pPr>
            <w:r w:rsidRPr="00DD4A03">
              <w:rPr>
                <w:rFonts w:eastAsia="MS Mincho" w:cstheme="minorHAnsi"/>
                <w:u w:val="single"/>
              </w:rPr>
              <w:t>Efficacy:</w:t>
            </w:r>
            <w:r>
              <w:rPr>
                <w:rFonts w:eastAsia="MS Mincho" w:cstheme="minorHAnsi"/>
              </w:rPr>
              <w:t xml:space="preserve"> </w:t>
            </w:r>
          </w:p>
          <w:p w14:paraId="713BA387" w14:textId="77777777" w:rsidR="00454063" w:rsidRPr="00017AE6" w:rsidRDefault="00454063" w:rsidP="00A71365">
            <w:pPr>
              <w:pStyle w:val="Tablewriting"/>
              <w:rPr>
                <w:rFonts w:eastAsia="MS Mincho" w:cstheme="minorHAnsi"/>
              </w:rPr>
            </w:pPr>
            <w:r w:rsidRPr="00017AE6">
              <w:rPr>
                <w:rFonts w:eastAsia="MS Mincho" w:cstheme="minorHAnsi"/>
              </w:rPr>
              <w:t>Primary: CAR at w</w:t>
            </w:r>
            <w:r>
              <w:rPr>
                <w:rFonts w:eastAsia="MS Mincho" w:cstheme="minorHAnsi"/>
              </w:rPr>
              <w:t>ee</w:t>
            </w:r>
            <w:r w:rsidRPr="00017AE6">
              <w:rPr>
                <w:rFonts w:eastAsia="MS Mincho" w:cstheme="minorHAnsi"/>
              </w:rPr>
              <w:t xml:space="preserve">ks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12</w:t>
            </w:r>
            <w:r>
              <w:rPr>
                <w:rFonts w:eastAsia="MS Mincho" w:cstheme="minorHAnsi"/>
              </w:rPr>
              <w:t>)</w:t>
            </w:r>
            <w:r w:rsidRPr="00017AE6">
              <w:rPr>
                <w:rFonts w:eastAsia="MS Mincho" w:cstheme="minorHAnsi"/>
              </w:rPr>
              <w:t xml:space="preserve">,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52</w:t>
            </w:r>
            <w:r>
              <w:rPr>
                <w:rFonts w:eastAsia="MS Mincho" w:cstheme="minorHAnsi"/>
              </w:rPr>
              <w:t>);</w:t>
            </w:r>
          </w:p>
          <w:p w14:paraId="17FD631D" w14:textId="77777777" w:rsidR="00454063" w:rsidRDefault="00454063" w:rsidP="00A71365">
            <w:pPr>
              <w:pStyle w:val="Tablewriting"/>
              <w:rPr>
                <w:rFonts w:eastAsia="MS Mincho" w:cstheme="minorHAnsi"/>
              </w:rPr>
            </w:pPr>
            <w:r w:rsidRPr="00017AE6">
              <w:rPr>
                <w:rFonts w:eastAsia="MS Mincho" w:cstheme="minorHAnsi"/>
              </w:rPr>
              <w:t>Secondary: CAR at w</w:t>
            </w:r>
            <w:r>
              <w:rPr>
                <w:rFonts w:eastAsia="MS Mincho" w:cstheme="minorHAnsi"/>
              </w:rPr>
              <w:t>ee</w:t>
            </w:r>
            <w:r w:rsidRPr="00017AE6">
              <w:rPr>
                <w:rFonts w:eastAsia="MS Mincho" w:cstheme="minorHAnsi"/>
              </w:rPr>
              <w:t xml:space="preserve">ks </w:t>
            </w:r>
            <w:r>
              <w:rPr>
                <w:rFonts w:eastAsia="MS Mincho" w:cstheme="minorHAnsi"/>
              </w:rPr>
              <w:t>(</w:t>
            </w:r>
            <w:r w:rsidRPr="00017AE6">
              <w:rPr>
                <w:rFonts w:eastAsia="MS Mincho" w:cstheme="minorHAnsi"/>
              </w:rPr>
              <w:t xml:space="preserve">9 </w:t>
            </w:r>
            <w:r>
              <w:rPr>
                <w:rFonts w:eastAsia="MS Mincho" w:cstheme="minorHAnsi"/>
              </w:rPr>
              <w:t>–</w:t>
            </w:r>
            <w:r w:rsidRPr="00017AE6">
              <w:rPr>
                <w:rFonts w:eastAsia="MS Mincho" w:cstheme="minorHAnsi"/>
              </w:rPr>
              <w:t xml:space="preserve"> 24</w:t>
            </w:r>
            <w:r>
              <w:rPr>
                <w:rFonts w:eastAsia="MS Mincho" w:cstheme="minorHAnsi"/>
              </w:rPr>
              <w:t>)</w:t>
            </w:r>
            <w:r w:rsidRPr="00017AE6">
              <w:rPr>
                <w:rFonts w:eastAsia="MS Mincho" w:cstheme="minorHAnsi"/>
              </w:rPr>
              <w:t>; 7-day PPA at w</w:t>
            </w:r>
            <w:r>
              <w:rPr>
                <w:rFonts w:eastAsia="MS Mincho" w:cstheme="minorHAnsi"/>
              </w:rPr>
              <w:t>ee</w:t>
            </w:r>
            <w:r w:rsidRPr="00017AE6">
              <w:rPr>
                <w:rFonts w:eastAsia="MS Mincho" w:cstheme="minorHAnsi"/>
              </w:rPr>
              <w:t>ks 12, 24, 52</w:t>
            </w:r>
            <w:r>
              <w:rPr>
                <w:rFonts w:eastAsia="MS Mincho" w:cstheme="minorHAnsi"/>
              </w:rPr>
              <w:t>.</w:t>
            </w:r>
          </w:p>
          <w:p w14:paraId="65B5D1F1" w14:textId="77777777" w:rsidR="001A5E27" w:rsidRDefault="001A5E27" w:rsidP="00A71365">
            <w:pPr>
              <w:pStyle w:val="Tablewriting"/>
              <w:rPr>
                <w:rFonts w:eastAsia="MS Mincho" w:cstheme="minorHAnsi"/>
              </w:rPr>
            </w:pPr>
          </w:p>
          <w:p w14:paraId="1DB9286C" w14:textId="0B43E751" w:rsidR="001A5E27" w:rsidRPr="00017AE6" w:rsidRDefault="001A5E27" w:rsidP="00A71365">
            <w:pPr>
              <w:pStyle w:val="Tablewriting"/>
              <w:rPr>
                <w:rFonts w:eastAsia="MS Mincho" w:cstheme="minorHAnsi"/>
              </w:rPr>
            </w:pPr>
            <w:r w:rsidRPr="00017AE6">
              <w:rPr>
                <w:rFonts w:eastAsia="MS Mincho" w:cstheme="minorHAnsi"/>
              </w:rPr>
              <w:t>Validation: CO &lt; 10 ppm</w:t>
            </w:r>
            <w:r>
              <w:rPr>
                <w:rFonts w:eastAsia="MS Mincho" w:cstheme="minorHAnsi"/>
              </w:rPr>
              <w:t>.</w:t>
            </w:r>
          </w:p>
          <w:p w14:paraId="6ED006C1" w14:textId="77777777" w:rsidR="00454063" w:rsidRDefault="00454063" w:rsidP="00A71365">
            <w:pPr>
              <w:pStyle w:val="Tablewriting"/>
              <w:rPr>
                <w:rFonts w:eastAsia="MS Mincho" w:cstheme="minorHAnsi"/>
              </w:rPr>
            </w:pPr>
          </w:p>
          <w:p w14:paraId="3DA0154C" w14:textId="77777777" w:rsidR="00454063" w:rsidRPr="00017AE6" w:rsidRDefault="00454063" w:rsidP="00A71365">
            <w:pPr>
              <w:pStyle w:val="Tablewriting"/>
              <w:rPr>
                <w:rFonts w:eastAsia="MS Mincho" w:cstheme="minorHAnsi"/>
              </w:rPr>
            </w:pPr>
            <w:r w:rsidRPr="0001662B">
              <w:rPr>
                <w:rFonts w:eastAsia="MS Mincho" w:cstheme="minorHAnsi"/>
                <w:u w:val="single"/>
              </w:rPr>
              <w:t>Safety:</w:t>
            </w:r>
            <w:r>
              <w:rPr>
                <w:rFonts w:eastAsia="MS Mincho" w:cstheme="minorHAnsi"/>
              </w:rPr>
              <w:t xml:space="preserve"> NR</w:t>
            </w:r>
          </w:p>
          <w:p w14:paraId="415DCFC3" w14:textId="77777777" w:rsidR="00454063" w:rsidRPr="00017AE6" w:rsidRDefault="00454063" w:rsidP="00A71365">
            <w:pPr>
              <w:pStyle w:val="Tablewriting"/>
              <w:rPr>
                <w:rFonts w:eastAsia="MS Mincho" w:cstheme="minorHAnsi"/>
              </w:rPr>
            </w:pPr>
          </w:p>
          <w:p w14:paraId="46F84CCC" w14:textId="77777777" w:rsidR="00454063" w:rsidRDefault="00454063" w:rsidP="00A71365">
            <w:pPr>
              <w:pStyle w:val="Tablewriting"/>
              <w:rPr>
                <w:rFonts w:eastAsia="MS Mincho" w:cstheme="minorHAnsi"/>
                <w:u w:val="single"/>
              </w:rPr>
            </w:pPr>
          </w:p>
          <w:p w14:paraId="48EDF01E" w14:textId="4E638117" w:rsidR="00454063" w:rsidRPr="004272CD" w:rsidRDefault="00454063" w:rsidP="00A71365">
            <w:pPr>
              <w:pStyle w:val="Tablewriting"/>
              <w:rPr>
                <w:rFonts w:eastAsia="MS Mincho" w:cstheme="minorHAnsi"/>
                <w:u w:val="single"/>
              </w:rPr>
            </w:pPr>
          </w:p>
        </w:tc>
      </w:tr>
    </w:tbl>
    <w:p w14:paraId="7526058A" w14:textId="77777777" w:rsidR="007C71A8" w:rsidRPr="009B042A" w:rsidRDefault="007C71A8" w:rsidP="005821B1">
      <w:pPr>
        <w:pStyle w:val="TableFooter"/>
        <w:jc w:val="both"/>
      </w:pPr>
      <w:r>
        <w:t xml:space="preserve">Source: Cahill </w:t>
      </w:r>
      <w:r w:rsidRPr="00D2745F">
        <w:t>et al. (201</w:t>
      </w:r>
      <w:r>
        <w:t>6</w:t>
      </w:r>
      <w:r w:rsidRPr="00D2745F">
        <w:t>)</w:t>
      </w:r>
      <w:r>
        <w:t>.</w:t>
      </w:r>
    </w:p>
    <w:p w14:paraId="3E8FF853" w14:textId="06FB11BA" w:rsidR="00595A66" w:rsidRPr="00FC4F81" w:rsidRDefault="00595A66" w:rsidP="005821B1">
      <w:pPr>
        <w:pStyle w:val="TableFooter"/>
        <w:spacing w:after="120"/>
        <w:contextualSpacing w:val="0"/>
        <w:jc w:val="both"/>
      </w:pPr>
      <w:r>
        <w:t xml:space="preserve">Abbreviations: NR= not reported; </w:t>
      </w:r>
      <w:r w:rsidRPr="009B042A">
        <w:t xml:space="preserve">PPA= point prevalence smoking abstinence; </w:t>
      </w:r>
      <w:r>
        <w:t>CA</w:t>
      </w:r>
      <w:r w:rsidR="0064599F">
        <w:t>R</w:t>
      </w:r>
      <w:r>
        <w:t>= continuous abstinence</w:t>
      </w:r>
      <w:r w:rsidR="0064599F">
        <w:t xml:space="preserve"> rate</w:t>
      </w:r>
      <w:r>
        <w:t xml:space="preserv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w:t>
      </w:r>
      <w:r w:rsidR="0064599F">
        <w:t>PD</w:t>
      </w:r>
      <w:r>
        <w:t>= c</w:t>
      </w:r>
      <w:r w:rsidR="0064599F">
        <w:t>igarette per day</w:t>
      </w:r>
      <w:r>
        <w:t xml:space="preserve">; AEs= adverse events; SAEs= serious adverse events. </w:t>
      </w:r>
    </w:p>
    <w:p w14:paraId="4AB15800" w14:textId="77777777" w:rsidR="00EA7016" w:rsidRDefault="00EA7016">
      <w:pPr>
        <w:spacing w:line="276" w:lineRule="auto"/>
        <w:rPr>
          <w:rFonts w:asciiTheme="minorHAnsi" w:eastAsia="Times New Roman" w:hAnsiTheme="minorHAnsi" w:cs="Times New Roman"/>
          <w:b/>
          <w:bCs/>
          <w:szCs w:val="18"/>
        </w:rPr>
      </w:pPr>
      <w:bookmarkStart w:id="338" w:name="_Ref54868364"/>
      <w:r>
        <w:br w:type="page"/>
      </w:r>
    </w:p>
    <w:p w14:paraId="1DEA4578" w14:textId="7CA395C7" w:rsidR="00ED2827" w:rsidRDefault="00ED2827"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153</w:t>
      </w:r>
      <w:r w:rsidR="00BF3F75">
        <w:rPr>
          <w:noProof/>
        </w:rPr>
        <w:fldChar w:fldCharType="end"/>
      </w:r>
      <w:bookmarkEnd w:id="338"/>
      <w:r>
        <w:t xml:space="preserve">: </w:t>
      </w:r>
      <w:r w:rsidRPr="00A62951">
        <w:t xml:space="preserve">Characteristics of studies included in Livingstone-Banks et al. (2019), </w:t>
      </w:r>
      <w:r>
        <w:t>bupropion</w:t>
      </w:r>
      <w:r w:rsidRPr="00A62951">
        <w:t xml:space="preserve"> versus placebo in abstainers (relapse prevention)</w:t>
      </w:r>
    </w:p>
    <w:tbl>
      <w:tblPr>
        <w:tblStyle w:val="TableGrid"/>
        <w:tblW w:w="5000" w:type="pct"/>
        <w:tblLook w:val="04A0" w:firstRow="1" w:lastRow="0" w:firstColumn="1" w:lastColumn="0" w:noHBand="0" w:noVBand="1"/>
        <w:tblCaption w:val="Efficacy results of adalimumab trials (PASI 75 and DLQI)"/>
      </w:tblPr>
      <w:tblGrid>
        <w:gridCol w:w="1463"/>
        <w:gridCol w:w="693"/>
        <w:gridCol w:w="1278"/>
        <w:gridCol w:w="1057"/>
        <w:gridCol w:w="3758"/>
        <w:gridCol w:w="3540"/>
        <w:gridCol w:w="2159"/>
      </w:tblGrid>
      <w:tr w:rsidR="00ED2827" w:rsidRPr="00061F78" w14:paraId="79D24CCC" w14:textId="77777777" w:rsidTr="005821B1">
        <w:trPr>
          <w:trHeight w:val="299"/>
          <w:tblHeader/>
        </w:trPr>
        <w:tc>
          <w:tcPr>
            <w:tcW w:w="524" w:type="pct"/>
            <w:shd w:val="clear" w:color="auto" w:fill="BFBFBF" w:themeFill="background1" w:themeFillShade="BF"/>
            <w:tcMar>
              <w:left w:w="28" w:type="dxa"/>
              <w:right w:w="28" w:type="dxa"/>
            </w:tcMar>
          </w:tcPr>
          <w:p w14:paraId="52907B7C" w14:textId="1B7CAE6E" w:rsidR="00ED2827" w:rsidRPr="00061F78" w:rsidRDefault="00126B7B" w:rsidP="00A71365">
            <w:pPr>
              <w:pStyle w:val="Tableheading"/>
              <w:rPr>
                <w:rFonts w:eastAsia="MS Mincho"/>
              </w:rPr>
            </w:pPr>
            <w:r>
              <w:rPr>
                <w:rFonts w:eastAsia="MS Mincho"/>
              </w:rPr>
              <w:t>Study</w:t>
            </w:r>
          </w:p>
        </w:tc>
        <w:tc>
          <w:tcPr>
            <w:tcW w:w="248" w:type="pct"/>
            <w:shd w:val="clear" w:color="auto" w:fill="BFBFBF" w:themeFill="background1" w:themeFillShade="BF"/>
          </w:tcPr>
          <w:p w14:paraId="0BDE28D4" w14:textId="77777777" w:rsidR="00ED2827" w:rsidRDefault="00ED2827" w:rsidP="00A71365">
            <w:pPr>
              <w:pStyle w:val="Tableheading"/>
              <w:jc w:val="center"/>
              <w:rPr>
                <w:rFonts w:eastAsia="MS Mincho"/>
              </w:rPr>
            </w:pPr>
            <w:r>
              <w:rPr>
                <w:rFonts w:eastAsia="MS Mincho"/>
              </w:rPr>
              <w:t>Study type</w:t>
            </w:r>
          </w:p>
        </w:tc>
        <w:tc>
          <w:tcPr>
            <w:tcW w:w="458" w:type="pct"/>
            <w:shd w:val="clear" w:color="auto" w:fill="BFBFBF" w:themeFill="background1" w:themeFillShade="BF"/>
          </w:tcPr>
          <w:p w14:paraId="64D10C41" w14:textId="77777777" w:rsidR="00ED2827" w:rsidRDefault="00ED2827" w:rsidP="00A71365">
            <w:pPr>
              <w:pStyle w:val="Tableheading"/>
              <w:jc w:val="center"/>
              <w:rPr>
                <w:rFonts w:eastAsia="MS Mincho"/>
              </w:rPr>
            </w:pPr>
            <w:r>
              <w:rPr>
                <w:rFonts w:eastAsia="MS Mincho"/>
              </w:rPr>
              <w:t>Countries</w:t>
            </w:r>
          </w:p>
        </w:tc>
        <w:tc>
          <w:tcPr>
            <w:tcW w:w="379" w:type="pct"/>
            <w:shd w:val="clear" w:color="auto" w:fill="BFBFBF" w:themeFill="background1" w:themeFillShade="BF"/>
            <w:tcMar>
              <w:left w:w="28" w:type="dxa"/>
              <w:right w:w="28" w:type="dxa"/>
            </w:tcMar>
          </w:tcPr>
          <w:p w14:paraId="42CFFF24" w14:textId="77777777" w:rsidR="00ED2827" w:rsidRPr="00061F78" w:rsidRDefault="00ED2827" w:rsidP="00A71365">
            <w:pPr>
              <w:pStyle w:val="Tableheading"/>
              <w:jc w:val="center"/>
              <w:rPr>
                <w:rFonts w:eastAsia="MS Mincho"/>
              </w:rPr>
            </w:pPr>
            <w:r>
              <w:rPr>
                <w:rFonts w:eastAsia="MS Mincho"/>
              </w:rPr>
              <w:t>N</w:t>
            </w:r>
          </w:p>
        </w:tc>
        <w:tc>
          <w:tcPr>
            <w:tcW w:w="1347" w:type="pct"/>
            <w:shd w:val="clear" w:color="auto" w:fill="BFBFBF" w:themeFill="background1" w:themeFillShade="BF"/>
            <w:tcMar>
              <w:left w:w="28" w:type="dxa"/>
              <w:right w:w="28" w:type="dxa"/>
            </w:tcMar>
          </w:tcPr>
          <w:p w14:paraId="407BE6A3" w14:textId="77777777" w:rsidR="00ED2827" w:rsidRPr="00061F78" w:rsidRDefault="00ED2827" w:rsidP="00A71365">
            <w:pPr>
              <w:pStyle w:val="Tableheading"/>
              <w:jc w:val="center"/>
              <w:rPr>
                <w:rFonts w:eastAsia="MS Mincho"/>
              </w:rPr>
            </w:pPr>
            <w:r w:rsidRPr="00061F78">
              <w:rPr>
                <w:rFonts w:eastAsia="MS Mincho"/>
              </w:rPr>
              <w:t>P</w:t>
            </w:r>
            <w:r>
              <w:rPr>
                <w:rFonts w:eastAsia="MS Mincho"/>
              </w:rPr>
              <w:t>opulation</w:t>
            </w:r>
          </w:p>
        </w:tc>
        <w:tc>
          <w:tcPr>
            <w:tcW w:w="1269" w:type="pct"/>
            <w:shd w:val="clear" w:color="auto" w:fill="BFBFBF" w:themeFill="background1" w:themeFillShade="BF"/>
          </w:tcPr>
          <w:p w14:paraId="6C4BDDE5" w14:textId="77777777" w:rsidR="00ED2827" w:rsidRDefault="00ED2827" w:rsidP="00A71365">
            <w:pPr>
              <w:pStyle w:val="Tableheading"/>
              <w:jc w:val="center"/>
              <w:rPr>
                <w:rFonts w:eastAsia="MS Mincho"/>
              </w:rPr>
            </w:pPr>
            <w:r>
              <w:rPr>
                <w:rFonts w:eastAsia="MS Mincho"/>
              </w:rPr>
              <w:t>Intervention and comparator</w:t>
            </w:r>
          </w:p>
        </w:tc>
        <w:tc>
          <w:tcPr>
            <w:tcW w:w="774" w:type="pct"/>
            <w:shd w:val="clear" w:color="auto" w:fill="BFBFBF" w:themeFill="background1" w:themeFillShade="BF"/>
            <w:tcMar>
              <w:left w:w="28" w:type="dxa"/>
              <w:right w:w="28" w:type="dxa"/>
            </w:tcMar>
          </w:tcPr>
          <w:p w14:paraId="358C7C80" w14:textId="77777777" w:rsidR="00ED2827" w:rsidRPr="00061F78" w:rsidRDefault="00ED2827" w:rsidP="00A71365">
            <w:pPr>
              <w:pStyle w:val="Tableheading"/>
              <w:jc w:val="center"/>
              <w:rPr>
                <w:rFonts w:eastAsia="MS Mincho"/>
              </w:rPr>
            </w:pPr>
            <w:r>
              <w:rPr>
                <w:rFonts w:eastAsia="MS Mincho"/>
              </w:rPr>
              <w:t>Outcomes</w:t>
            </w:r>
          </w:p>
        </w:tc>
      </w:tr>
      <w:tr w:rsidR="008E56F8" w:rsidRPr="00017AE6" w14:paraId="20FB37A5" w14:textId="77777777" w:rsidTr="005821B1">
        <w:trPr>
          <w:trHeight w:val="99"/>
        </w:trPr>
        <w:tc>
          <w:tcPr>
            <w:tcW w:w="524" w:type="pct"/>
          </w:tcPr>
          <w:p w14:paraId="096C4159" w14:textId="217DF1FB" w:rsidR="008E56F8" w:rsidRPr="00017AE6" w:rsidRDefault="008E56F8" w:rsidP="00A71365">
            <w:pPr>
              <w:pStyle w:val="Tablewriting"/>
              <w:rPr>
                <w:rFonts w:eastAsia="MS Mincho" w:cstheme="minorHAnsi"/>
              </w:rPr>
            </w:pPr>
            <w:r w:rsidRPr="00473B35">
              <w:rPr>
                <w:rFonts w:eastAsia="MS Mincho" w:cstheme="minorHAnsi"/>
              </w:rPr>
              <w:t xml:space="preserve">Covey </w:t>
            </w:r>
            <w:r w:rsidR="002570AF">
              <w:rPr>
                <w:rFonts w:eastAsia="MS Mincho" w:cstheme="minorHAnsi"/>
              </w:rPr>
              <w:t>(</w:t>
            </w:r>
            <w:r w:rsidRPr="00473B35">
              <w:rPr>
                <w:rFonts w:eastAsia="MS Mincho" w:cstheme="minorHAnsi"/>
              </w:rPr>
              <w:t>2007</w:t>
            </w:r>
            <w:r w:rsidR="002570AF">
              <w:rPr>
                <w:rFonts w:eastAsia="MS Mincho" w:cstheme="minorHAnsi"/>
              </w:rPr>
              <w:t>)</w:t>
            </w:r>
          </w:p>
        </w:tc>
        <w:tc>
          <w:tcPr>
            <w:tcW w:w="248" w:type="pct"/>
          </w:tcPr>
          <w:p w14:paraId="1913B68C" w14:textId="77777777" w:rsidR="008E56F8" w:rsidRPr="00017AE6" w:rsidRDefault="008E56F8" w:rsidP="00A71365">
            <w:pPr>
              <w:pStyle w:val="Tablewriting"/>
              <w:rPr>
                <w:rFonts w:eastAsia="MS Mincho" w:cstheme="minorHAnsi"/>
              </w:rPr>
            </w:pPr>
          </w:p>
        </w:tc>
        <w:tc>
          <w:tcPr>
            <w:tcW w:w="458" w:type="pct"/>
          </w:tcPr>
          <w:p w14:paraId="244EC9B7" w14:textId="0D61FA9E" w:rsidR="008E56F8" w:rsidRPr="00017AE6" w:rsidRDefault="00B546E7" w:rsidP="00A71365">
            <w:pPr>
              <w:pStyle w:val="Tablewriting"/>
              <w:rPr>
                <w:rFonts w:eastAsia="MS Mincho" w:cstheme="minorHAnsi"/>
              </w:rPr>
            </w:pPr>
            <w:r>
              <w:rPr>
                <w:rFonts w:eastAsia="MS Mincho" w:cstheme="minorHAnsi"/>
              </w:rPr>
              <w:t>USA</w:t>
            </w:r>
          </w:p>
        </w:tc>
        <w:tc>
          <w:tcPr>
            <w:tcW w:w="379" w:type="pct"/>
          </w:tcPr>
          <w:p w14:paraId="7D9D3570" w14:textId="0227BA7D" w:rsidR="008E56F8" w:rsidRPr="00017AE6" w:rsidRDefault="005E68FB" w:rsidP="00A71365">
            <w:pPr>
              <w:pStyle w:val="Tablewriting"/>
              <w:rPr>
                <w:rFonts w:eastAsia="MS Mincho" w:cstheme="minorHAnsi"/>
              </w:rPr>
            </w:pPr>
            <w:r>
              <w:rPr>
                <w:rFonts w:eastAsia="MS Mincho" w:cstheme="minorHAnsi"/>
              </w:rPr>
              <w:t>N=</w:t>
            </w:r>
            <w:r w:rsidR="00BC1949">
              <w:rPr>
                <w:rFonts w:eastAsia="MS Mincho" w:cstheme="minorHAnsi"/>
              </w:rPr>
              <w:t>289</w:t>
            </w:r>
          </w:p>
        </w:tc>
        <w:tc>
          <w:tcPr>
            <w:tcW w:w="1347" w:type="pct"/>
          </w:tcPr>
          <w:p w14:paraId="61966DEE" w14:textId="28D28857" w:rsidR="00B546E7" w:rsidRPr="00B546E7" w:rsidRDefault="00BC1949" w:rsidP="00A71365">
            <w:pPr>
              <w:pStyle w:val="Tablewriting"/>
              <w:rPr>
                <w:rFonts w:eastAsia="MS Mincho" w:cstheme="minorHAnsi"/>
              </w:rPr>
            </w:pPr>
            <w:r>
              <w:rPr>
                <w:rFonts w:eastAsia="MS Mincho" w:cstheme="minorHAnsi"/>
              </w:rPr>
              <w:t>A</w:t>
            </w:r>
            <w:r w:rsidR="00B546E7" w:rsidRPr="00B546E7">
              <w:rPr>
                <w:rFonts w:eastAsia="MS Mincho" w:cstheme="minorHAnsi"/>
              </w:rPr>
              <w:t>bstainers (excludes 5 withdrawing consent before starting medication)</w:t>
            </w:r>
            <w:r w:rsidR="00A0535B">
              <w:rPr>
                <w:rFonts w:eastAsia="MS Mincho" w:cstheme="minorHAnsi"/>
              </w:rPr>
              <w:t xml:space="preserve">, </w:t>
            </w:r>
            <w:r w:rsidR="00B546E7" w:rsidRPr="00B546E7">
              <w:rPr>
                <w:rFonts w:eastAsia="MS Mincho" w:cstheme="minorHAnsi"/>
              </w:rPr>
              <w:t>45% female, average age 43</w:t>
            </w:r>
            <w:r w:rsidR="00A0535B">
              <w:rPr>
                <w:rFonts w:eastAsia="MS Mincho" w:cstheme="minorHAnsi"/>
              </w:rPr>
              <w:t xml:space="preserve"> years</w:t>
            </w:r>
            <w:r w:rsidR="00B546E7" w:rsidRPr="00B546E7">
              <w:rPr>
                <w:rFonts w:eastAsia="MS Mincho" w:cstheme="minorHAnsi"/>
              </w:rPr>
              <w:t xml:space="preserve">, average </w:t>
            </w:r>
            <w:r w:rsidR="000F7F3D">
              <w:rPr>
                <w:rFonts w:eastAsia="MS Mincho" w:cstheme="minorHAnsi"/>
              </w:rPr>
              <w:t>C</w:t>
            </w:r>
            <w:r w:rsidR="000028E7">
              <w:rPr>
                <w:rFonts w:eastAsia="MS Mincho" w:cstheme="minorHAnsi"/>
              </w:rPr>
              <w:t>PD</w:t>
            </w:r>
            <w:r w:rsidR="00B546E7" w:rsidRPr="00B546E7">
              <w:rPr>
                <w:rFonts w:eastAsia="MS Mincho" w:cstheme="minorHAnsi"/>
              </w:rPr>
              <w:t xml:space="preserve"> 21</w:t>
            </w:r>
            <w:r w:rsidR="00A0535B">
              <w:rPr>
                <w:rFonts w:eastAsia="MS Mincho" w:cstheme="minorHAnsi"/>
              </w:rPr>
              <w:t>.</w:t>
            </w:r>
          </w:p>
          <w:p w14:paraId="7FE740E7" w14:textId="77777777" w:rsidR="00A0535B" w:rsidRDefault="00A0535B" w:rsidP="00A71365">
            <w:pPr>
              <w:pStyle w:val="Tablewriting"/>
              <w:rPr>
                <w:rFonts w:eastAsia="MS Mincho" w:cstheme="minorHAnsi"/>
              </w:rPr>
            </w:pPr>
          </w:p>
          <w:p w14:paraId="1318003A" w14:textId="7AC16D31" w:rsidR="008E56F8" w:rsidRPr="00017AE6" w:rsidRDefault="00B546E7" w:rsidP="00A71365">
            <w:pPr>
              <w:pStyle w:val="Tablewriting"/>
              <w:rPr>
                <w:rFonts w:eastAsia="MS Mincho" w:cstheme="minorHAnsi"/>
              </w:rPr>
            </w:pPr>
            <w:r w:rsidRPr="00B546E7">
              <w:rPr>
                <w:rFonts w:eastAsia="MS Mincho" w:cstheme="minorHAnsi"/>
              </w:rPr>
              <w:t>Therapists: counsellors, 1-month</w:t>
            </w:r>
            <w:r w:rsidR="00A0535B">
              <w:rPr>
                <w:rFonts w:eastAsia="MS Mincho" w:cstheme="minorHAnsi"/>
              </w:rPr>
              <w:t xml:space="preserve"> </w:t>
            </w:r>
            <w:r w:rsidRPr="00B546E7">
              <w:rPr>
                <w:rFonts w:eastAsia="MS Mincho" w:cstheme="minorHAnsi"/>
              </w:rPr>
              <w:t>training</w:t>
            </w:r>
            <w:r w:rsidR="00A0535B">
              <w:rPr>
                <w:rFonts w:eastAsia="MS Mincho" w:cstheme="minorHAnsi"/>
              </w:rPr>
              <w:t>.</w:t>
            </w:r>
          </w:p>
        </w:tc>
        <w:tc>
          <w:tcPr>
            <w:tcW w:w="1269" w:type="pct"/>
          </w:tcPr>
          <w:p w14:paraId="0A92C070" w14:textId="77777777" w:rsidR="00A80535" w:rsidRDefault="00C30F1B" w:rsidP="00C324F3">
            <w:pPr>
              <w:pStyle w:val="Tablewriting"/>
              <w:numPr>
                <w:ilvl w:val="0"/>
                <w:numId w:val="160"/>
              </w:numPr>
              <w:rPr>
                <w:rFonts w:eastAsia="MS Mincho" w:cstheme="minorHAnsi"/>
              </w:rPr>
            </w:pPr>
            <w:r w:rsidRPr="00C30F1B">
              <w:rPr>
                <w:rFonts w:eastAsia="MS Mincho" w:cstheme="minorHAnsi"/>
              </w:rPr>
              <w:t>Bupropion (300 mg) and nicotine gum (2 mg, use as needed to manage craving) for 16 weeks</w:t>
            </w:r>
            <w:r w:rsidR="00A80535">
              <w:rPr>
                <w:rFonts w:eastAsia="MS Mincho" w:cstheme="minorHAnsi"/>
              </w:rPr>
              <w:t>.</w:t>
            </w:r>
          </w:p>
          <w:p w14:paraId="7390ADD3" w14:textId="77777777" w:rsidR="00A80535" w:rsidRDefault="00C30F1B" w:rsidP="00C324F3">
            <w:pPr>
              <w:pStyle w:val="Tablewriting"/>
              <w:numPr>
                <w:ilvl w:val="0"/>
                <w:numId w:val="160"/>
              </w:numPr>
              <w:rPr>
                <w:rFonts w:eastAsia="MS Mincho" w:cstheme="minorHAnsi"/>
              </w:rPr>
            </w:pPr>
            <w:r w:rsidRPr="00A80535">
              <w:rPr>
                <w:rFonts w:eastAsia="MS Mincho" w:cstheme="minorHAnsi"/>
              </w:rPr>
              <w:t>Bupropion and placebo gum</w:t>
            </w:r>
            <w:r w:rsidR="00A80535">
              <w:rPr>
                <w:rFonts w:eastAsia="MS Mincho" w:cstheme="minorHAnsi"/>
              </w:rPr>
              <w:t>.</w:t>
            </w:r>
          </w:p>
          <w:p w14:paraId="3DDF4913" w14:textId="77777777" w:rsidR="00A80535" w:rsidRDefault="00C30F1B" w:rsidP="00C324F3">
            <w:pPr>
              <w:pStyle w:val="Tablewriting"/>
              <w:numPr>
                <w:ilvl w:val="0"/>
                <w:numId w:val="160"/>
              </w:numPr>
              <w:rPr>
                <w:rFonts w:eastAsia="MS Mincho" w:cstheme="minorHAnsi"/>
              </w:rPr>
            </w:pPr>
            <w:r w:rsidRPr="00A80535">
              <w:rPr>
                <w:rFonts w:eastAsia="MS Mincho" w:cstheme="minorHAnsi"/>
              </w:rPr>
              <w:t>Nicotine gum and placebo pill (150 mg bupropion for first week)</w:t>
            </w:r>
            <w:r w:rsidR="00A80535">
              <w:rPr>
                <w:rFonts w:eastAsia="MS Mincho" w:cstheme="minorHAnsi"/>
              </w:rPr>
              <w:t>.</w:t>
            </w:r>
          </w:p>
          <w:p w14:paraId="0B69BF3E" w14:textId="3A032E73" w:rsidR="008E56F8" w:rsidRPr="00A80535" w:rsidRDefault="00C30F1B" w:rsidP="00C324F3">
            <w:pPr>
              <w:pStyle w:val="Tablewriting"/>
              <w:numPr>
                <w:ilvl w:val="0"/>
                <w:numId w:val="160"/>
              </w:numPr>
              <w:rPr>
                <w:rFonts w:eastAsia="MS Mincho" w:cstheme="minorHAnsi"/>
              </w:rPr>
            </w:pPr>
            <w:r w:rsidRPr="00A80535">
              <w:rPr>
                <w:rFonts w:eastAsia="MS Mincho" w:cstheme="minorHAnsi"/>
              </w:rPr>
              <w:t>Double placebo (150 mg bupropion for first week)</w:t>
            </w:r>
            <w:r w:rsidR="00A80535">
              <w:rPr>
                <w:rFonts w:eastAsia="MS Mincho" w:cstheme="minorHAnsi"/>
              </w:rPr>
              <w:t>.</w:t>
            </w:r>
          </w:p>
          <w:p w14:paraId="3E43D49F" w14:textId="77777777" w:rsidR="00C30F1B" w:rsidRDefault="00C30F1B" w:rsidP="00A71365">
            <w:pPr>
              <w:pStyle w:val="Tablewriting"/>
              <w:rPr>
                <w:rFonts w:eastAsia="MS Mincho" w:cstheme="minorHAnsi"/>
              </w:rPr>
            </w:pPr>
          </w:p>
          <w:p w14:paraId="7C63BC4E" w14:textId="2FC5393D" w:rsidR="00C30F1B" w:rsidRPr="00C30F1B" w:rsidRDefault="00C30F1B" w:rsidP="00A71365">
            <w:pPr>
              <w:pStyle w:val="Tablewriting"/>
              <w:rPr>
                <w:rFonts w:eastAsia="MS Mincho" w:cstheme="minorHAnsi"/>
              </w:rPr>
            </w:pPr>
            <w:r w:rsidRPr="00C30F1B">
              <w:rPr>
                <w:rFonts w:eastAsia="MS Mincho" w:cstheme="minorHAnsi"/>
                <w:u w:val="single"/>
              </w:rPr>
              <w:t>Common components:</w:t>
            </w:r>
            <w:r>
              <w:rPr>
                <w:rFonts w:eastAsia="MS Mincho" w:cstheme="minorHAnsi"/>
              </w:rPr>
              <w:t xml:space="preserve"> </w:t>
            </w:r>
            <w:r w:rsidRPr="00C30F1B">
              <w:rPr>
                <w:rFonts w:eastAsia="MS Mincho" w:cstheme="minorHAnsi"/>
              </w:rPr>
              <w:t>All participants received 8 weeks open-label bupropion and nicotine patch (21 mg with weaning) for</w:t>
            </w:r>
            <w:r w:rsidR="00275181">
              <w:rPr>
                <w:rFonts w:eastAsia="MS Mincho" w:cstheme="minorHAnsi"/>
              </w:rPr>
              <w:t xml:space="preserve"> </w:t>
            </w:r>
            <w:r w:rsidRPr="00C30F1B">
              <w:rPr>
                <w:rFonts w:eastAsia="MS Mincho" w:cstheme="minorHAnsi"/>
              </w:rPr>
              <w:t>7 weeks from TQD. Transition procedures preserved blinding for the relapse prevention phase but allowed</w:t>
            </w:r>
            <w:r>
              <w:rPr>
                <w:rFonts w:eastAsia="MS Mincho" w:cstheme="minorHAnsi"/>
              </w:rPr>
              <w:t xml:space="preserve"> </w:t>
            </w:r>
            <w:r w:rsidRPr="00C30F1B">
              <w:rPr>
                <w:rFonts w:eastAsia="MS Mincho" w:cstheme="minorHAnsi"/>
              </w:rPr>
              <w:t>weaning from bupropion. Individual counselling, including CBT techniques, 15 minutes × 6 during</w:t>
            </w:r>
            <w:r>
              <w:rPr>
                <w:rFonts w:eastAsia="MS Mincho" w:cstheme="minorHAnsi"/>
              </w:rPr>
              <w:t xml:space="preserve"> </w:t>
            </w:r>
            <w:r w:rsidRPr="00C30F1B">
              <w:rPr>
                <w:rFonts w:eastAsia="MS Mincho" w:cstheme="minorHAnsi"/>
              </w:rPr>
              <w:t>open-label, × 4 during relapse prevention, × 2 during follow-up</w:t>
            </w:r>
            <w:r>
              <w:rPr>
                <w:rFonts w:eastAsia="MS Mincho" w:cstheme="minorHAnsi"/>
              </w:rPr>
              <w:t>.</w:t>
            </w:r>
          </w:p>
          <w:p w14:paraId="1ACD7256" w14:textId="72DA5D8D" w:rsidR="00C30F1B" w:rsidRPr="00485FA4" w:rsidRDefault="00C30F1B" w:rsidP="00A71365">
            <w:pPr>
              <w:pStyle w:val="Tablewriting"/>
              <w:rPr>
                <w:rFonts w:eastAsia="MS Mincho" w:cstheme="minorHAnsi"/>
              </w:rPr>
            </w:pPr>
          </w:p>
        </w:tc>
        <w:tc>
          <w:tcPr>
            <w:tcW w:w="774" w:type="pct"/>
          </w:tcPr>
          <w:p w14:paraId="14529A46" w14:textId="77777777" w:rsidR="008E56F8"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14:paraId="249B3055" w14:textId="2249EBB9" w:rsidR="00CE33A2" w:rsidRDefault="00CE33A2" w:rsidP="00A71365">
            <w:pPr>
              <w:pStyle w:val="Tablewriting"/>
              <w:rPr>
                <w:rFonts w:eastAsia="MS Mincho" w:cstheme="minorHAnsi"/>
              </w:rPr>
            </w:pPr>
            <w:r w:rsidRPr="00CE33A2">
              <w:rPr>
                <w:rFonts w:eastAsia="MS Mincho" w:cstheme="minorHAnsi"/>
              </w:rPr>
              <w:t>Abstinence (no relapse to 7 days of smoking) for 12 months (10 months after randomisation, 6 months</w:t>
            </w:r>
            <w:r>
              <w:rPr>
                <w:rFonts w:eastAsia="MS Mincho" w:cstheme="minorHAnsi"/>
              </w:rPr>
              <w:t xml:space="preserve"> </w:t>
            </w:r>
            <w:r w:rsidRPr="00CE33A2">
              <w:rPr>
                <w:rFonts w:eastAsia="MS Mincho" w:cstheme="minorHAnsi"/>
              </w:rPr>
              <w:t>after EOT) (primary outcome for study was time to relapse)</w:t>
            </w:r>
            <w:r w:rsidR="00665ED0">
              <w:rPr>
                <w:rFonts w:eastAsia="MS Mincho" w:cstheme="minorHAnsi"/>
              </w:rPr>
              <w:t>.</w:t>
            </w:r>
          </w:p>
          <w:p w14:paraId="4E695319" w14:textId="77777777" w:rsidR="00665ED0" w:rsidRPr="00CE33A2" w:rsidRDefault="00665ED0" w:rsidP="00A71365">
            <w:pPr>
              <w:pStyle w:val="Tablewriting"/>
              <w:rPr>
                <w:rFonts w:eastAsia="MS Mincho" w:cstheme="minorHAnsi"/>
              </w:rPr>
            </w:pPr>
          </w:p>
          <w:p w14:paraId="49998A8E" w14:textId="6540DFF5" w:rsidR="005E68FB" w:rsidRDefault="00CE33A2" w:rsidP="00A71365">
            <w:pPr>
              <w:pStyle w:val="Tablewriting"/>
              <w:rPr>
                <w:rFonts w:eastAsia="MS Mincho" w:cstheme="minorHAnsi"/>
              </w:rPr>
            </w:pPr>
            <w:r w:rsidRPr="00CE33A2">
              <w:rPr>
                <w:rFonts w:eastAsia="MS Mincho" w:cstheme="minorHAnsi"/>
              </w:rPr>
              <w:t xml:space="preserve">Validation: CO </w:t>
            </w:r>
            <w:r w:rsidR="006A6CB7" w:rsidRPr="006A6CB7">
              <w:rPr>
                <w:rFonts w:eastAsia="MS Mincho" w:cstheme="minorHAnsi"/>
              </w:rPr>
              <w:t>≤</w:t>
            </w:r>
            <w:r w:rsidRPr="00CE33A2">
              <w:rPr>
                <w:rFonts w:eastAsia="MS Mincho" w:cstheme="minorHAnsi"/>
              </w:rPr>
              <w:t xml:space="preserve"> 8 ppm at each visit</w:t>
            </w:r>
            <w:r w:rsidR="00665ED0">
              <w:rPr>
                <w:rFonts w:eastAsia="MS Mincho" w:cstheme="minorHAnsi"/>
              </w:rPr>
              <w:t>.</w:t>
            </w:r>
          </w:p>
          <w:p w14:paraId="48E8989E" w14:textId="77777777" w:rsidR="00665ED0" w:rsidRDefault="00665ED0" w:rsidP="00A71365">
            <w:pPr>
              <w:pStyle w:val="Tablewriting"/>
              <w:rPr>
                <w:rFonts w:eastAsia="MS Mincho" w:cstheme="minorHAnsi"/>
              </w:rPr>
            </w:pPr>
          </w:p>
          <w:p w14:paraId="435815BE" w14:textId="0A05CD00" w:rsidR="005E68FB" w:rsidRPr="005E68FB" w:rsidRDefault="005E68FB" w:rsidP="00A71365">
            <w:pPr>
              <w:pStyle w:val="Tablewriting"/>
              <w:rPr>
                <w:rFonts w:eastAsia="MS Mincho" w:cstheme="minorHAnsi"/>
                <w:u w:val="single"/>
              </w:rPr>
            </w:pPr>
            <w:r w:rsidRPr="005E68FB">
              <w:rPr>
                <w:rFonts w:eastAsia="MS Mincho" w:cstheme="minorHAnsi"/>
                <w:u w:val="single"/>
              </w:rPr>
              <w:t>Safety:</w:t>
            </w:r>
            <w:r w:rsidR="00665ED0">
              <w:rPr>
                <w:rFonts w:eastAsia="MS Mincho" w:cstheme="minorHAnsi"/>
                <w:u w:val="single"/>
              </w:rPr>
              <w:t xml:space="preserve"> NR</w:t>
            </w:r>
          </w:p>
          <w:p w14:paraId="56A808BC" w14:textId="066A9EBB" w:rsidR="005E68FB" w:rsidRPr="00017AE6" w:rsidRDefault="005E68FB" w:rsidP="00A71365">
            <w:pPr>
              <w:pStyle w:val="Tablewriting"/>
              <w:rPr>
                <w:rFonts w:eastAsia="MS Mincho" w:cstheme="minorHAnsi"/>
              </w:rPr>
            </w:pPr>
          </w:p>
        </w:tc>
      </w:tr>
      <w:tr w:rsidR="005E68FB" w:rsidRPr="00017AE6" w14:paraId="6F0FB961" w14:textId="77777777" w:rsidTr="005821B1">
        <w:trPr>
          <w:trHeight w:val="99"/>
        </w:trPr>
        <w:tc>
          <w:tcPr>
            <w:tcW w:w="524" w:type="pct"/>
          </w:tcPr>
          <w:p w14:paraId="609284E3" w14:textId="5059D984" w:rsidR="005E68FB" w:rsidRPr="00017AE6" w:rsidRDefault="005E68FB" w:rsidP="00A71365">
            <w:pPr>
              <w:pStyle w:val="Tablewriting"/>
              <w:rPr>
                <w:rFonts w:eastAsia="MS Mincho" w:cstheme="minorHAnsi"/>
              </w:rPr>
            </w:pPr>
            <w:r w:rsidRPr="00F476C9">
              <w:rPr>
                <w:rFonts w:eastAsia="MS Mincho" w:cstheme="minorHAnsi"/>
              </w:rPr>
              <w:t xml:space="preserve">Croghan </w:t>
            </w:r>
            <w:r w:rsidR="002570AF">
              <w:rPr>
                <w:rFonts w:eastAsia="MS Mincho" w:cstheme="minorHAnsi"/>
              </w:rPr>
              <w:t>(</w:t>
            </w:r>
            <w:r w:rsidRPr="00F476C9">
              <w:rPr>
                <w:rFonts w:eastAsia="MS Mincho" w:cstheme="minorHAnsi"/>
              </w:rPr>
              <w:t>2007</w:t>
            </w:r>
            <w:r w:rsidR="002570AF">
              <w:rPr>
                <w:rFonts w:eastAsia="MS Mincho" w:cstheme="minorHAnsi"/>
              </w:rPr>
              <w:t>)</w:t>
            </w:r>
          </w:p>
        </w:tc>
        <w:tc>
          <w:tcPr>
            <w:tcW w:w="248" w:type="pct"/>
          </w:tcPr>
          <w:p w14:paraId="7000F166" w14:textId="43D08B93" w:rsidR="005E68FB" w:rsidRPr="00017AE6" w:rsidRDefault="00186BA0" w:rsidP="00A71365">
            <w:pPr>
              <w:pStyle w:val="Tablewriting"/>
              <w:rPr>
                <w:rFonts w:eastAsia="MS Mincho" w:cstheme="minorHAnsi"/>
              </w:rPr>
            </w:pPr>
            <w:r>
              <w:rPr>
                <w:rFonts w:eastAsia="MS Mincho" w:cstheme="minorHAnsi"/>
              </w:rPr>
              <w:t>RCT</w:t>
            </w:r>
          </w:p>
        </w:tc>
        <w:tc>
          <w:tcPr>
            <w:tcW w:w="458" w:type="pct"/>
          </w:tcPr>
          <w:p w14:paraId="6F39B656" w14:textId="48D7B04F" w:rsidR="005E68FB" w:rsidRPr="00017AE6" w:rsidRDefault="00186BA0" w:rsidP="00A71365">
            <w:pPr>
              <w:pStyle w:val="Tablewriting"/>
              <w:rPr>
                <w:rFonts w:eastAsia="MS Mincho" w:cstheme="minorHAnsi"/>
              </w:rPr>
            </w:pPr>
            <w:r>
              <w:rPr>
                <w:rFonts w:eastAsia="MS Mincho" w:cstheme="minorHAnsi"/>
              </w:rPr>
              <w:t>USA</w:t>
            </w:r>
          </w:p>
        </w:tc>
        <w:tc>
          <w:tcPr>
            <w:tcW w:w="379" w:type="pct"/>
          </w:tcPr>
          <w:p w14:paraId="1414EAD2" w14:textId="62AD520D" w:rsidR="005E68FB" w:rsidRPr="00017AE6" w:rsidRDefault="005E68FB" w:rsidP="00A71365">
            <w:pPr>
              <w:pStyle w:val="Tablewriting"/>
              <w:rPr>
                <w:rFonts w:eastAsia="MS Mincho" w:cstheme="minorHAnsi"/>
              </w:rPr>
            </w:pPr>
            <w:r w:rsidRPr="00911D2C">
              <w:rPr>
                <w:rFonts w:eastAsia="MS Mincho" w:cstheme="minorHAnsi"/>
              </w:rPr>
              <w:t>N=</w:t>
            </w:r>
            <w:r w:rsidR="00186BA0">
              <w:rPr>
                <w:rFonts w:eastAsia="MS Mincho" w:cstheme="minorHAnsi"/>
              </w:rPr>
              <w:t>405</w:t>
            </w:r>
          </w:p>
        </w:tc>
        <w:tc>
          <w:tcPr>
            <w:tcW w:w="1347" w:type="pct"/>
          </w:tcPr>
          <w:p w14:paraId="65B56430" w14:textId="1B935D10" w:rsidR="00186BA0" w:rsidRPr="00186BA0" w:rsidRDefault="00186BA0" w:rsidP="00A71365">
            <w:pPr>
              <w:pStyle w:val="Tablewriting"/>
              <w:rPr>
                <w:rFonts w:eastAsia="MS Mincho" w:cstheme="minorHAnsi"/>
              </w:rPr>
            </w:pPr>
            <w:r>
              <w:rPr>
                <w:rFonts w:eastAsia="MS Mincho" w:cstheme="minorHAnsi"/>
              </w:rPr>
              <w:t>A</w:t>
            </w:r>
            <w:r w:rsidRPr="00186BA0">
              <w:rPr>
                <w:rFonts w:eastAsia="MS Mincho" w:cstheme="minorHAnsi"/>
              </w:rPr>
              <w:t>bstainers after 3 months pharmacotherapy, 74 from inhaler, 141 bupropion, 190 combination</w:t>
            </w:r>
            <w:r w:rsidR="00AA55AC">
              <w:rPr>
                <w:rFonts w:eastAsia="MS Mincho" w:cstheme="minorHAnsi"/>
              </w:rPr>
              <w:t>.</w:t>
            </w:r>
          </w:p>
          <w:p w14:paraId="01812B39" w14:textId="7AD1814A" w:rsidR="005E68FB" w:rsidRPr="00017AE6" w:rsidRDefault="00186BA0" w:rsidP="00A71365">
            <w:pPr>
              <w:pStyle w:val="Tablewriting"/>
              <w:rPr>
                <w:rFonts w:eastAsia="MS Mincho" w:cstheme="minorHAnsi"/>
              </w:rPr>
            </w:pPr>
            <w:r w:rsidRPr="00186BA0">
              <w:rPr>
                <w:rFonts w:eastAsia="MS Mincho" w:cstheme="minorHAnsi"/>
              </w:rPr>
              <w:t>Participant characteristics not presented at start of relapse prevention phase</w:t>
            </w:r>
          </w:p>
        </w:tc>
        <w:tc>
          <w:tcPr>
            <w:tcW w:w="1269" w:type="pct"/>
          </w:tcPr>
          <w:p w14:paraId="50AE88CB" w14:textId="4C7585C8" w:rsidR="005F6EC5" w:rsidRDefault="00180FEC" w:rsidP="00A71365">
            <w:pPr>
              <w:pStyle w:val="Tablewriting"/>
              <w:rPr>
                <w:rFonts w:eastAsia="MS Mincho" w:cstheme="minorHAnsi"/>
              </w:rPr>
            </w:pPr>
            <w:r w:rsidRPr="00180FEC">
              <w:rPr>
                <w:rFonts w:eastAsia="MS Mincho" w:cstheme="minorHAnsi"/>
              </w:rPr>
              <w:t>In cessation phase,</w:t>
            </w:r>
            <w:r w:rsidR="00AA55AC">
              <w:rPr>
                <w:rFonts w:eastAsia="MS Mincho" w:cstheme="minorHAnsi"/>
              </w:rPr>
              <w:t xml:space="preserve"> </w:t>
            </w:r>
            <w:r w:rsidRPr="00180FEC">
              <w:rPr>
                <w:rFonts w:eastAsia="MS Mincho" w:cstheme="minorHAnsi"/>
              </w:rPr>
              <w:t>participants had been randomly assigned to</w:t>
            </w:r>
            <w:r w:rsidR="005F6EC5">
              <w:rPr>
                <w:rFonts w:eastAsia="MS Mincho" w:cstheme="minorHAnsi"/>
              </w:rPr>
              <w:t>:</w:t>
            </w:r>
          </w:p>
          <w:p w14:paraId="5C50654C" w14:textId="3F200721" w:rsidR="005F6EC5" w:rsidRDefault="00180FEC" w:rsidP="00C324F3">
            <w:pPr>
              <w:pStyle w:val="Tablewriting"/>
              <w:numPr>
                <w:ilvl w:val="0"/>
                <w:numId w:val="161"/>
              </w:numPr>
              <w:rPr>
                <w:rFonts w:eastAsia="MS Mincho" w:cstheme="minorHAnsi"/>
              </w:rPr>
            </w:pPr>
            <w:r w:rsidRPr="00180FEC">
              <w:rPr>
                <w:rFonts w:eastAsia="MS Mincho" w:cstheme="minorHAnsi"/>
              </w:rPr>
              <w:t>bupropion (300 mg)</w:t>
            </w:r>
          </w:p>
          <w:p w14:paraId="35423367" w14:textId="77777777" w:rsidR="005F6EC5" w:rsidRDefault="00180FEC" w:rsidP="00C324F3">
            <w:pPr>
              <w:pStyle w:val="Tablewriting"/>
              <w:numPr>
                <w:ilvl w:val="0"/>
                <w:numId w:val="161"/>
              </w:numPr>
              <w:rPr>
                <w:rFonts w:eastAsia="MS Mincho" w:cstheme="minorHAnsi"/>
              </w:rPr>
            </w:pPr>
            <w:r w:rsidRPr="00180FEC">
              <w:rPr>
                <w:rFonts w:eastAsia="MS Mincho" w:cstheme="minorHAnsi"/>
              </w:rPr>
              <w:t>nicotine inhaler</w:t>
            </w:r>
            <w:r w:rsidR="005F6EC5">
              <w:rPr>
                <w:rFonts w:eastAsia="MS Mincho" w:cstheme="minorHAnsi"/>
              </w:rPr>
              <w:t xml:space="preserve"> </w:t>
            </w:r>
            <w:r w:rsidRPr="005F6EC5">
              <w:rPr>
                <w:rFonts w:eastAsia="MS Mincho" w:cstheme="minorHAnsi"/>
              </w:rPr>
              <w:t>(up to 16 cartridges/day)</w:t>
            </w:r>
          </w:p>
          <w:p w14:paraId="64AEE754" w14:textId="77777777" w:rsidR="005F6EC5" w:rsidRDefault="00180FEC" w:rsidP="00C324F3">
            <w:pPr>
              <w:pStyle w:val="Tablewriting"/>
              <w:numPr>
                <w:ilvl w:val="0"/>
                <w:numId w:val="161"/>
              </w:numPr>
              <w:rPr>
                <w:rFonts w:eastAsia="MS Mincho" w:cstheme="minorHAnsi"/>
              </w:rPr>
            </w:pPr>
            <w:r w:rsidRPr="005F6EC5">
              <w:rPr>
                <w:rFonts w:eastAsia="MS Mincho" w:cstheme="minorHAnsi"/>
              </w:rPr>
              <w:t xml:space="preserve">combination. </w:t>
            </w:r>
          </w:p>
          <w:p w14:paraId="430CCA41" w14:textId="77777777" w:rsidR="005F6EC5" w:rsidRDefault="005F6EC5" w:rsidP="00A71365">
            <w:pPr>
              <w:pStyle w:val="Tablewriting"/>
              <w:rPr>
                <w:rFonts w:eastAsia="MS Mincho" w:cstheme="minorHAnsi"/>
              </w:rPr>
            </w:pPr>
          </w:p>
          <w:p w14:paraId="1CA3308D" w14:textId="3EF56F91" w:rsidR="00180FEC" w:rsidRPr="00180FEC" w:rsidRDefault="00180FEC" w:rsidP="00A71365">
            <w:pPr>
              <w:pStyle w:val="Tablewriting"/>
              <w:rPr>
                <w:rFonts w:eastAsia="MS Mincho" w:cstheme="minorHAnsi"/>
              </w:rPr>
            </w:pPr>
            <w:r w:rsidRPr="005F6EC5">
              <w:rPr>
                <w:rFonts w:eastAsia="MS Mincho" w:cstheme="minorHAnsi"/>
              </w:rPr>
              <w:t>Physician advice at entry, brief (&lt; 10 min) counselling at</w:t>
            </w:r>
            <w:r w:rsidR="005F6EC5">
              <w:rPr>
                <w:rFonts w:eastAsia="MS Mincho" w:cstheme="minorHAnsi"/>
              </w:rPr>
              <w:t xml:space="preserve"> </w:t>
            </w:r>
            <w:r w:rsidRPr="00180FEC">
              <w:rPr>
                <w:rFonts w:eastAsia="MS Mincho" w:cstheme="minorHAnsi"/>
              </w:rPr>
              <w:t xml:space="preserve">monthly study visits (total 12 to 18, including relapse prevention phase) and self-help. </w:t>
            </w:r>
            <w:r w:rsidRPr="00180FEC">
              <w:rPr>
                <w:rFonts w:eastAsia="MS Mincho" w:cstheme="minorHAnsi"/>
              </w:rPr>
              <w:lastRenderedPageBreak/>
              <w:t>Abstainers (7-day point prevalence after 3 months therapy) eligible for relapse prevention phase</w:t>
            </w:r>
            <w:r w:rsidR="005F6EC5">
              <w:rPr>
                <w:rFonts w:eastAsia="MS Mincho" w:cstheme="minorHAnsi"/>
              </w:rPr>
              <w:t xml:space="preserve"> </w:t>
            </w:r>
            <w:r w:rsidRPr="00180FEC">
              <w:rPr>
                <w:rFonts w:eastAsia="MS Mincho" w:cstheme="minorHAnsi"/>
              </w:rPr>
              <w:t>relapse prevention intervention randomly assigned single-therapy abstainers to</w:t>
            </w:r>
            <w:r w:rsidR="005F6EC5">
              <w:rPr>
                <w:rFonts w:eastAsia="MS Mincho" w:cstheme="minorHAnsi"/>
              </w:rPr>
              <w:t xml:space="preserve"> </w:t>
            </w:r>
            <w:r w:rsidRPr="00180FEC">
              <w:rPr>
                <w:rFonts w:eastAsia="MS Mincho" w:cstheme="minorHAnsi"/>
              </w:rPr>
              <w:t>continue cessation</w:t>
            </w:r>
            <w:r w:rsidR="005F6EC5">
              <w:rPr>
                <w:rFonts w:eastAsia="MS Mincho" w:cstheme="minorHAnsi"/>
              </w:rPr>
              <w:t xml:space="preserve"> </w:t>
            </w:r>
            <w:r w:rsidRPr="00180FEC">
              <w:rPr>
                <w:rFonts w:eastAsia="MS Mincho" w:cstheme="minorHAnsi"/>
              </w:rPr>
              <w:t>therapy or placebo for 9 months</w:t>
            </w:r>
            <w:r w:rsidR="005F6EC5">
              <w:rPr>
                <w:rFonts w:eastAsia="MS Mincho" w:cstheme="minorHAnsi"/>
              </w:rPr>
              <w:t>.</w:t>
            </w:r>
          </w:p>
          <w:p w14:paraId="5363CE45" w14:textId="163CACD9" w:rsidR="005E68FB" w:rsidRPr="00B732AD" w:rsidRDefault="00180FEC" w:rsidP="00A71365">
            <w:pPr>
              <w:pStyle w:val="Tablewriting"/>
              <w:rPr>
                <w:rFonts w:eastAsia="MS Mincho" w:cstheme="minorHAnsi"/>
              </w:rPr>
            </w:pPr>
            <w:r w:rsidRPr="00180FEC">
              <w:rPr>
                <w:rFonts w:eastAsia="MS Mincho" w:cstheme="minorHAnsi"/>
              </w:rPr>
              <w:t>Combined therapy abstainers randomly assigned to 4 groups: combination, p</w:t>
            </w:r>
            <w:r w:rsidR="00836B64">
              <w:rPr>
                <w:rFonts w:eastAsia="MS Mincho" w:cstheme="minorHAnsi"/>
              </w:rPr>
              <w:t xml:space="preserve">lacebo and single therapy, </w:t>
            </w:r>
            <w:r w:rsidRPr="00180FEC">
              <w:rPr>
                <w:rFonts w:eastAsia="MS Mincho" w:cstheme="minorHAnsi"/>
              </w:rPr>
              <w:t>or double placebo</w:t>
            </w:r>
            <w:r w:rsidR="005F6EC5">
              <w:rPr>
                <w:rFonts w:eastAsia="MS Mincho" w:cstheme="minorHAnsi"/>
              </w:rPr>
              <w:t>.</w:t>
            </w:r>
          </w:p>
        </w:tc>
        <w:tc>
          <w:tcPr>
            <w:tcW w:w="774" w:type="pct"/>
          </w:tcPr>
          <w:p w14:paraId="73D86E47" w14:textId="77777777" w:rsidR="005E68FB" w:rsidRPr="005E68FB" w:rsidRDefault="005E68FB" w:rsidP="00A71365">
            <w:pPr>
              <w:pStyle w:val="Tablewriting"/>
              <w:rPr>
                <w:rFonts w:eastAsia="MS Mincho" w:cstheme="minorHAnsi"/>
                <w:u w:val="single"/>
              </w:rPr>
            </w:pPr>
            <w:r w:rsidRPr="005E68FB">
              <w:rPr>
                <w:rFonts w:eastAsia="MS Mincho" w:cstheme="minorHAnsi"/>
                <w:u w:val="single"/>
              </w:rPr>
              <w:lastRenderedPageBreak/>
              <w:t xml:space="preserve">Efficacy: </w:t>
            </w:r>
          </w:p>
          <w:p w14:paraId="48B44024" w14:textId="2EE3F147" w:rsidR="005F6EC5" w:rsidRDefault="005F6EC5" w:rsidP="00A71365">
            <w:pPr>
              <w:pStyle w:val="Tablewriting"/>
              <w:rPr>
                <w:rFonts w:eastAsia="MS Mincho" w:cstheme="minorHAnsi"/>
              </w:rPr>
            </w:pPr>
            <w:r w:rsidRPr="005F6EC5">
              <w:rPr>
                <w:rFonts w:eastAsia="MS Mincho" w:cstheme="minorHAnsi"/>
              </w:rPr>
              <w:t>Abstinence at 15 months (from TQD, 12 months from relapse prevention start, 3 months from EOT) (PP)</w:t>
            </w:r>
            <w:r>
              <w:rPr>
                <w:rFonts w:eastAsia="MS Mincho" w:cstheme="minorHAnsi"/>
              </w:rPr>
              <w:t>.</w:t>
            </w:r>
          </w:p>
          <w:p w14:paraId="537D8FEF" w14:textId="77777777" w:rsidR="005F6EC5" w:rsidRPr="005F6EC5" w:rsidRDefault="005F6EC5" w:rsidP="00A71365">
            <w:pPr>
              <w:pStyle w:val="Tablewriting"/>
              <w:rPr>
                <w:rFonts w:eastAsia="MS Mincho" w:cstheme="minorHAnsi"/>
              </w:rPr>
            </w:pPr>
          </w:p>
          <w:p w14:paraId="510B9593" w14:textId="1D295413" w:rsidR="005E68FB" w:rsidRDefault="005F6EC5" w:rsidP="00A71365">
            <w:pPr>
              <w:pStyle w:val="Tablewriting"/>
              <w:rPr>
                <w:rFonts w:eastAsia="MS Mincho" w:cstheme="minorHAnsi"/>
              </w:rPr>
            </w:pPr>
            <w:r w:rsidRPr="005F6EC5">
              <w:rPr>
                <w:rFonts w:eastAsia="MS Mincho" w:cstheme="minorHAnsi"/>
              </w:rPr>
              <w:t xml:space="preserve">Validation: CO </w:t>
            </w:r>
            <w:r w:rsidR="00296BDC" w:rsidRPr="00296BDC">
              <w:rPr>
                <w:rFonts w:eastAsia="MS Mincho" w:cstheme="minorHAnsi"/>
              </w:rPr>
              <w:t>≤</w:t>
            </w:r>
            <w:r w:rsidRPr="005F6EC5">
              <w:rPr>
                <w:rFonts w:eastAsia="MS Mincho" w:cstheme="minorHAnsi"/>
              </w:rPr>
              <w:t xml:space="preserve"> 8 ppm</w:t>
            </w:r>
            <w:r w:rsidR="00296BDC">
              <w:rPr>
                <w:rFonts w:eastAsia="MS Mincho" w:cstheme="minorHAnsi"/>
              </w:rPr>
              <w:t>.</w:t>
            </w:r>
          </w:p>
          <w:p w14:paraId="52FA6B2B" w14:textId="77777777" w:rsidR="00296BDC" w:rsidRDefault="00296BDC" w:rsidP="00A71365">
            <w:pPr>
              <w:pStyle w:val="Tablewriting"/>
              <w:rPr>
                <w:rFonts w:eastAsia="MS Mincho" w:cstheme="minorHAnsi"/>
              </w:rPr>
            </w:pPr>
          </w:p>
          <w:p w14:paraId="447604F0" w14:textId="244BA550" w:rsidR="005E68FB" w:rsidRPr="000C449B" w:rsidRDefault="005E68FB" w:rsidP="00A71365">
            <w:pPr>
              <w:pStyle w:val="Tablewriting"/>
              <w:rPr>
                <w:rFonts w:eastAsia="MS Mincho" w:cstheme="minorHAnsi"/>
              </w:rPr>
            </w:pPr>
            <w:r w:rsidRPr="005E68FB">
              <w:rPr>
                <w:rFonts w:eastAsia="MS Mincho" w:cstheme="minorHAnsi"/>
                <w:u w:val="single"/>
              </w:rPr>
              <w:t>Safety:</w:t>
            </w:r>
            <w:r w:rsidR="000C449B">
              <w:rPr>
                <w:rFonts w:eastAsia="MS Mincho" w:cstheme="minorHAnsi"/>
                <w:u w:val="single"/>
              </w:rPr>
              <w:t xml:space="preserve"> </w:t>
            </w:r>
            <w:r w:rsidR="000C449B" w:rsidRPr="000C449B">
              <w:rPr>
                <w:rFonts w:eastAsia="MS Mincho" w:cstheme="minorHAnsi"/>
              </w:rPr>
              <w:t>NR</w:t>
            </w:r>
          </w:p>
          <w:p w14:paraId="36ED1F7C" w14:textId="77777777" w:rsidR="005E68FB" w:rsidRPr="00017AE6" w:rsidRDefault="005E68FB" w:rsidP="00A71365">
            <w:pPr>
              <w:pStyle w:val="Tablewriting"/>
              <w:rPr>
                <w:rFonts w:eastAsia="MS Mincho" w:cstheme="minorHAnsi"/>
              </w:rPr>
            </w:pPr>
          </w:p>
        </w:tc>
      </w:tr>
      <w:tr w:rsidR="005E68FB" w:rsidRPr="00017AE6" w14:paraId="2F5C3A37" w14:textId="77777777" w:rsidTr="005821B1">
        <w:trPr>
          <w:trHeight w:val="99"/>
        </w:trPr>
        <w:tc>
          <w:tcPr>
            <w:tcW w:w="524" w:type="pct"/>
          </w:tcPr>
          <w:p w14:paraId="4947A9E9" w14:textId="48FA66D2" w:rsidR="005E68FB" w:rsidRPr="00017AE6" w:rsidRDefault="005E68FB" w:rsidP="00A71365">
            <w:pPr>
              <w:pStyle w:val="Tablewriting"/>
              <w:rPr>
                <w:rFonts w:eastAsia="MS Mincho" w:cstheme="minorHAnsi"/>
              </w:rPr>
            </w:pPr>
            <w:r w:rsidRPr="003B351F">
              <w:rPr>
                <w:rFonts w:eastAsia="MS Mincho" w:cstheme="minorHAnsi"/>
              </w:rPr>
              <w:t xml:space="preserve">Hays </w:t>
            </w:r>
            <w:r w:rsidR="002570AF">
              <w:rPr>
                <w:rFonts w:eastAsia="MS Mincho" w:cstheme="minorHAnsi"/>
              </w:rPr>
              <w:t>(</w:t>
            </w:r>
            <w:r w:rsidRPr="003B351F">
              <w:rPr>
                <w:rFonts w:eastAsia="MS Mincho" w:cstheme="minorHAnsi"/>
              </w:rPr>
              <w:t>2001</w:t>
            </w:r>
            <w:r w:rsidR="002570AF">
              <w:rPr>
                <w:rFonts w:eastAsia="MS Mincho" w:cstheme="minorHAnsi"/>
              </w:rPr>
              <w:t>)</w:t>
            </w:r>
          </w:p>
        </w:tc>
        <w:tc>
          <w:tcPr>
            <w:tcW w:w="248" w:type="pct"/>
          </w:tcPr>
          <w:p w14:paraId="5D4E2A3B" w14:textId="73F370AF" w:rsidR="005E68FB" w:rsidRPr="00017AE6" w:rsidRDefault="009651E1" w:rsidP="00A71365">
            <w:pPr>
              <w:pStyle w:val="Tablewriting"/>
              <w:rPr>
                <w:rFonts w:eastAsia="MS Mincho" w:cstheme="minorHAnsi"/>
              </w:rPr>
            </w:pPr>
            <w:r>
              <w:rPr>
                <w:rFonts w:eastAsia="MS Mincho" w:cstheme="minorHAnsi"/>
              </w:rPr>
              <w:t>RCT</w:t>
            </w:r>
          </w:p>
        </w:tc>
        <w:tc>
          <w:tcPr>
            <w:tcW w:w="458" w:type="pct"/>
          </w:tcPr>
          <w:p w14:paraId="1AB70A6E" w14:textId="6AA3EF10" w:rsidR="005E68FB" w:rsidRPr="00017AE6" w:rsidRDefault="00493C33" w:rsidP="00A71365">
            <w:pPr>
              <w:pStyle w:val="Tablewriting"/>
              <w:rPr>
                <w:rFonts w:eastAsia="MS Mincho" w:cstheme="minorHAnsi"/>
              </w:rPr>
            </w:pPr>
            <w:r>
              <w:rPr>
                <w:rFonts w:eastAsia="MS Mincho" w:cstheme="minorHAnsi"/>
              </w:rPr>
              <w:t>USA</w:t>
            </w:r>
          </w:p>
        </w:tc>
        <w:tc>
          <w:tcPr>
            <w:tcW w:w="379" w:type="pct"/>
          </w:tcPr>
          <w:p w14:paraId="7B17CE23" w14:textId="02D65214" w:rsidR="005E68FB" w:rsidRPr="00017AE6" w:rsidRDefault="005E68FB" w:rsidP="00A71365">
            <w:pPr>
              <w:pStyle w:val="Tablewriting"/>
              <w:rPr>
                <w:rFonts w:eastAsia="MS Mincho" w:cstheme="minorHAnsi"/>
              </w:rPr>
            </w:pPr>
            <w:r w:rsidRPr="00911D2C">
              <w:rPr>
                <w:rFonts w:eastAsia="MS Mincho" w:cstheme="minorHAnsi"/>
              </w:rPr>
              <w:t>N=</w:t>
            </w:r>
            <w:r w:rsidR="00493C33">
              <w:rPr>
                <w:rFonts w:eastAsia="MS Mincho" w:cstheme="minorHAnsi"/>
              </w:rPr>
              <w:t>429</w:t>
            </w:r>
          </w:p>
        </w:tc>
        <w:tc>
          <w:tcPr>
            <w:tcW w:w="1347" w:type="pct"/>
          </w:tcPr>
          <w:p w14:paraId="5B4C0D0C" w14:textId="57A76FF3" w:rsidR="005E68FB" w:rsidRPr="00017AE6" w:rsidRDefault="00493C33" w:rsidP="00A71365">
            <w:pPr>
              <w:pStyle w:val="Tablewriting"/>
              <w:rPr>
                <w:rFonts w:eastAsia="MS Mincho" w:cstheme="minorHAnsi"/>
              </w:rPr>
            </w:pPr>
            <w:r>
              <w:rPr>
                <w:rFonts w:eastAsia="MS Mincho" w:cstheme="minorHAnsi"/>
              </w:rPr>
              <w:t>A</w:t>
            </w:r>
            <w:r w:rsidRPr="00493C33">
              <w:rPr>
                <w:rFonts w:eastAsia="MS Mincho" w:cstheme="minorHAnsi"/>
              </w:rPr>
              <w:t xml:space="preserve">bstainers (previously </w:t>
            </w:r>
            <w:r w:rsidR="00625930" w:rsidRPr="00625930">
              <w:rPr>
                <w:rFonts w:eastAsia="MS Mincho" w:cstheme="minorHAnsi"/>
              </w:rPr>
              <w:t>≥</w:t>
            </w:r>
            <w:r w:rsidRPr="00493C33">
              <w:rPr>
                <w:rFonts w:eastAsia="MS Mincho" w:cstheme="minorHAnsi"/>
              </w:rPr>
              <w:t xml:space="preserve"> 15 </w:t>
            </w:r>
            <w:r w:rsidR="00176D0B">
              <w:rPr>
                <w:rFonts w:eastAsia="MS Mincho" w:cstheme="minorHAnsi"/>
              </w:rPr>
              <w:t>CPD</w:t>
            </w:r>
            <w:r w:rsidRPr="00493C33">
              <w:rPr>
                <w:rFonts w:eastAsia="MS Mincho" w:cstheme="minorHAnsi"/>
              </w:rPr>
              <w:t>) quit after 7 weeks open-label bupropion; 51% female, average</w:t>
            </w:r>
            <w:r w:rsidR="00625930">
              <w:rPr>
                <w:rFonts w:eastAsia="MS Mincho" w:cstheme="minorHAnsi"/>
              </w:rPr>
              <w:t xml:space="preserve"> </w:t>
            </w:r>
            <w:r w:rsidRPr="00493C33">
              <w:rPr>
                <w:rFonts w:eastAsia="MS Mincho" w:cstheme="minorHAnsi"/>
              </w:rPr>
              <w:t xml:space="preserve">age 46, average </w:t>
            </w:r>
            <w:r w:rsidR="00176D0B">
              <w:rPr>
                <w:rFonts w:eastAsia="MS Mincho" w:cstheme="minorHAnsi"/>
              </w:rPr>
              <w:t>CPD</w:t>
            </w:r>
            <w:r w:rsidRPr="00493C33">
              <w:rPr>
                <w:rFonts w:eastAsia="MS Mincho" w:cstheme="minorHAnsi"/>
              </w:rPr>
              <w:t xml:space="preserve"> 26</w:t>
            </w:r>
            <w:r w:rsidR="00625930">
              <w:rPr>
                <w:rFonts w:eastAsia="MS Mincho" w:cstheme="minorHAnsi"/>
              </w:rPr>
              <w:t>.</w:t>
            </w:r>
          </w:p>
        </w:tc>
        <w:tc>
          <w:tcPr>
            <w:tcW w:w="1269" w:type="pct"/>
          </w:tcPr>
          <w:p w14:paraId="2266EBBA" w14:textId="77777777" w:rsidR="00625930" w:rsidRDefault="00625930" w:rsidP="00C324F3">
            <w:pPr>
              <w:pStyle w:val="Tablewriting"/>
              <w:numPr>
                <w:ilvl w:val="0"/>
                <w:numId w:val="162"/>
              </w:numPr>
              <w:rPr>
                <w:rFonts w:eastAsia="MS Mincho" w:cstheme="minorHAnsi"/>
              </w:rPr>
            </w:pPr>
            <w:r w:rsidRPr="00625930">
              <w:rPr>
                <w:rFonts w:eastAsia="MS Mincho" w:cstheme="minorHAnsi"/>
              </w:rPr>
              <w:t>Bupropion 300 mg/day, 45 weeks</w:t>
            </w:r>
            <w:r>
              <w:rPr>
                <w:rFonts w:eastAsia="MS Mincho" w:cstheme="minorHAnsi"/>
              </w:rPr>
              <w:t>.</w:t>
            </w:r>
          </w:p>
          <w:p w14:paraId="2C2BC843" w14:textId="616DFA36" w:rsidR="005E68FB" w:rsidRPr="00625930" w:rsidRDefault="00625930" w:rsidP="00C324F3">
            <w:pPr>
              <w:pStyle w:val="Tablewriting"/>
              <w:numPr>
                <w:ilvl w:val="0"/>
                <w:numId w:val="162"/>
              </w:numPr>
              <w:rPr>
                <w:rFonts w:eastAsia="MS Mincho" w:cstheme="minorHAnsi"/>
              </w:rPr>
            </w:pPr>
            <w:r w:rsidRPr="00625930">
              <w:rPr>
                <w:rFonts w:eastAsia="MS Mincho" w:cstheme="minorHAnsi"/>
              </w:rPr>
              <w:t>Placebo</w:t>
            </w:r>
            <w:r>
              <w:rPr>
                <w:rFonts w:eastAsia="MS Mincho" w:cstheme="minorHAnsi"/>
              </w:rPr>
              <w:t>.</w:t>
            </w:r>
          </w:p>
          <w:p w14:paraId="0D3CA0D0" w14:textId="77777777" w:rsidR="00625930" w:rsidRDefault="00625930" w:rsidP="00A71365">
            <w:pPr>
              <w:pStyle w:val="Tablewriting"/>
              <w:rPr>
                <w:rFonts w:eastAsia="MS Mincho" w:cstheme="minorHAnsi"/>
              </w:rPr>
            </w:pPr>
          </w:p>
          <w:p w14:paraId="06FF6FB6" w14:textId="434F2F74" w:rsidR="00625930" w:rsidRPr="00625930" w:rsidRDefault="00625930" w:rsidP="00A71365">
            <w:pPr>
              <w:pStyle w:val="Tablewriting"/>
              <w:rPr>
                <w:rFonts w:eastAsia="MS Mincho" w:cstheme="minorHAnsi"/>
              </w:rPr>
            </w:pPr>
            <w:r w:rsidRPr="00625930">
              <w:rPr>
                <w:rFonts w:eastAsia="MS Mincho" w:cstheme="minorHAnsi"/>
                <w:u w:val="single"/>
              </w:rPr>
              <w:t>Common components:</w:t>
            </w:r>
            <w:r>
              <w:rPr>
                <w:rFonts w:eastAsia="MS Mincho" w:cstheme="minorHAnsi"/>
              </w:rPr>
              <w:t xml:space="preserve"> </w:t>
            </w:r>
            <w:r w:rsidRPr="00625930">
              <w:rPr>
                <w:rFonts w:eastAsia="MS Mincho" w:cstheme="minorHAnsi"/>
              </w:rPr>
              <w:t>All participants first received 7 weeks bupropion, physician advice, self-help materials, and brief individual</w:t>
            </w:r>
            <w:r>
              <w:rPr>
                <w:rFonts w:eastAsia="MS Mincho" w:cstheme="minorHAnsi"/>
              </w:rPr>
              <w:t xml:space="preserve"> </w:t>
            </w:r>
            <w:r w:rsidRPr="00625930">
              <w:rPr>
                <w:rFonts w:eastAsia="MS Mincho" w:cstheme="minorHAnsi"/>
              </w:rPr>
              <w:t>counselling at follow-up visits to assist cessation</w:t>
            </w:r>
            <w:r>
              <w:rPr>
                <w:rFonts w:eastAsia="MS Mincho" w:cstheme="minorHAnsi"/>
              </w:rPr>
              <w:t>.</w:t>
            </w:r>
          </w:p>
          <w:p w14:paraId="0F9D7AC6" w14:textId="26AE7148" w:rsidR="00625930" w:rsidRPr="0018621A" w:rsidRDefault="00625930" w:rsidP="00A71365">
            <w:pPr>
              <w:pStyle w:val="Tablewriting"/>
              <w:rPr>
                <w:rFonts w:eastAsia="MS Mincho" w:cstheme="minorHAnsi"/>
              </w:rPr>
            </w:pPr>
          </w:p>
        </w:tc>
        <w:tc>
          <w:tcPr>
            <w:tcW w:w="774" w:type="pct"/>
          </w:tcPr>
          <w:p w14:paraId="24F43E79" w14:textId="77777777"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14:paraId="44A9E54C" w14:textId="52EDD785" w:rsidR="00625930" w:rsidRDefault="00625930" w:rsidP="00A71365">
            <w:pPr>
              <w:pStyle w:val="Tablewriting"/>
              <w:rPr>
                <w:rFonts w:eastAsia="MS Mincho" w:cstheme="minorHAnsi"/>
              </w:rPr>
            </w:pPr>
            <w:r w:rsidRPr="00625930">
              <w:rPr>
                <w:rFonts w:eastAsia="MS Mincho" w:cstheme="minorHAnsi"/>
              </w:rPr>
              <w:t>Continuous abstinence at 2 years (1 year after EOT)</w:t>
            </w:r>
            <w:r w:rsidR="003D0288">
              <w:rPr>
                <w:rFonts w:eastAsia="MS Mincho" w:cstheme="minorHAnsi"/>
              </w:rPr>
              <w:t>.</w:t>
            </w:r>
          </w:p>
          <w:p w14:paraId="74BC34D2" w14:textId="77777777" w:rsidR="003D0288" w:rsidRPr="00625930" w:rsidRDefault="003D0288" w:rsidP="00A71365">
            <w:pPr>
              <w:pStyle w:val="Tablewriting"/>
              <w:rPr>
                <w:rFonts w:eastAsia="MS Mincho" w:cstheme="minorHAnsi"/>
              </w:rPr>
            </w:pPr>
          </w:p>
          <w:p w14:paraId="490D62ED" w14:textId="3DF248D6" w:rsidR="005E68FB" w:rsidRDefault="00625930" w:rsidP="00A71365">
            <w:pPr>
              <w:pStyle w:val="Tablewriting"/>
              <w:rPr>
                <w:rFonts w:eastAsia="MS Mincho" w:cstheme="minorHAnsi"/>
              </w:rPr>
            </w:pPr>
            <w:r w:rsidRPr="00625930">
              <w:rPr>
                <w:rFonts w:eastAsia="MS Mincho" w:cstheme="minorHAnsi"/>
              </w:rPr>
              <w:t xml:space="preserve">Validation: CO </w:t>
            </w:r>
            <w:r w:rsidR="003D0288" w:rsidRPr="003D0288">
              <w:rPr>
                <w:rFonts w:eastAsia="MS Mincho" w:cstheme="minorHAnsi"/>
              </w:rPr>
              <w:t>≤</w:t>
            </w:r>
            <w:r w:rsidRPr="00625930">
              <w:rPr>
                <w:rFonts w:eastAsia="MS Mincho" w:cstheme="minorHAnsi"/>
              </w:rPr>
              <w:t xml:space="preserve"> 10 ppm</w:t>
            </w:r>
            <w:r w:rsidR="003D0288">
              <w:rPr>
                <w:rFonts w:eastAsia="MS Mincho" w:cstheme="minorHAnsi"/>
              </w:rPr>
              <w:t>.</w:t>
            </w:r>
          </w:p>
          <w:p w14:paraId="609662D7" w14:textId="77777777" w:rsidR="003D0288" w:rsidRDefault="003D0288" w:rsidP="00A71365">
            <w:pPr>
              <w:pStyle w:val="Tablewriting"/>
              <w:rPr>
                <w:rFonts w:eastAsia="MS Mincho" w:cstheme="minorHAnsi"/>
              </w:rPr>
            </w:pPr>
          </w:p>
          <w:p w14:paraId="2198F611" w14:textId="4C7705C1" w:rsidR="005E68FB" w:rsidRPr="003D0288" w:rsidRDefault="005E68FB" w:rsidP="00A71365">
            <w:pPr>
              <w:pStyle w:val="Tablewriting"/>
              <w:rPr>
                <w:rFonts w:eastAsia="MS Mincho" w:cstheme="minorHAnsi"/>
              </w:rPr>
            </w:pPr>
            <w:r w:rsidRPr="005E68FB">
              <w:rPr>
                <w:rFonts w:eastAsia="MS Mincho" w:cstheme="minorHAnsi"/>
                <w:u w:val="single"/>
              </w:rPr>
              <w:t>Safety:</w:t>
            </w:r>
            <w:r w:rsidR="003D0288">
              <w:rPr>
                <w:rFonts w:eastAsia="MS Mincho" w:cstheme="minorHAnsi"/>
                <w:u w:val="single"/>
              </w:rPr>
              <w:t xml:space="preserve"> </w:t>
            </w:r>
            <w:r w:rsidR="003D0288" w:rsidRPr="003D0288">
              <w:rPr>
                <w:rFonts w:eastAsia="MS Mincho" w:cstheme="minorHAnsi"/>
              </w:rPr>
              <w:t>NR</w:t>
            </w:r>
          </w:p>
          <w:p w14:paraId="277BC99C" w14:textId="77777777" w:rsidR="005E68FB" w:rsidRPr="00017AE6" w:rsidRDefault="005E68FB" w:rsidP="00A71365">
            <w:pPr>
              <w:pStyle w:val="Tablewriting"/>
              <w:rPr>
                <w:rFonts w:eastAsia="MS Mincho" w:cstheme="minorHAnsi"/>
              </w:rPr>
            </w:pPr>
          </w:p>
        </w:tc>
      </w:tr>
      <w:tr w:rsidR="005E68FB" w:rsidRPr="00017AE6" w14:paraId="6A0036E5" w14:textId="77777777" w:rsidTr="005821B1">
        <w:trPr>
          <w:trHeight w:val="99"/>
        </w:trPr>
        <w:tc>
          <w:tcPr>
            <w:tcW w:w="524" w:type="pct"/>
          </w:tcPr>
          <w:p w14:paraId="00322421" w14:textId="769D7D0C" w:rsidR="005E68FB" w:rsidRPr="00017AE6" w:rsidRDefault="005E68FB" w:rsidP="00A71365">
            <w:pPr>
              <w:pStyle w:val="Tablewriting"/>
              <w:rPr>
                <w:rFonts w:eastAsia="MS Mincho" w:cstheme="minorHAnsi"/>
              </w:rPr>
            </w:pPr>
            <w:r w:rsidRPr="004A69A5">
              <w:rPr>
                <w:rFonts w:eastAsia="MS Mincho" w:cstheme="minorHAnsi"/>
              </w:rPr>
              <w:t xml:space="preserve">Hays </w:t>
            </w:r>
            <w:r w:rsidR="002570AF">
              <w:rPr>
                <w:rFonts w:eastAsia="MS Mincho" w:cstheme="minorHAnsi"/>
              </w:rPr>
              <w:t>(</w:t>
            </w:r>
            <w:r w:rsidRPr="004A69A5">
              <w:rPr>
                <w:rFonts w:eastAsia="MS Mincho" w:cstheme="minorHAnsi"/>
              </w:rPr>
              <w:t>2009</w:t>
            </w:r>
            <w:r w:rsidR="002570AF">
              <w:rPr>
                <w:rFonts w:eastAsia="MS Mincho" w:cstheme="minorHAnsi"/>
              </w:rPr>
              <w:t>)</w:t>
            </w:r>
          </w:p>
        </w:tc>
        <w:tc>
          <w:tcPr>
            <w:tcW w:w="248" w:type="pct"/>
          </w:tcPr>
          <w:p w14:paraId="1EA0B8CB" w14:textId="6F564F4B" w:rsidR="005E68FB" w:rsidRPr="00017AE6" w:rsidRDefault="008005BB" w:rsidP="00A71365">
            <w:pPr>
              <w:pStyle w:val="Tablewriting"/>
              <w:rPr>
                <w:rFonts w:eastAsia="MS Mincho" w:cstheme="minorHAnsi"/>
              </w:rPr>
            </w:pPr>
            <w:r>
              <w:rPr>
                <w:rFonts w:eastAsia="MS Mincho" w:cstheme="minorHAnsi"/>
              </w:rPr>
              <w:t>RCT</w:t>
            </w:r>
          </w:p>
        </w:tc>
        <w:tc>
          <w:tcPr>
            <w:tcW w:w="458" w:type="pct"/>
          </w:tcPr>
          <w:p w14:paraId="16DDFD12" w14:textId="4B39E646" w:rsidR="005E68FB" w:rsidRPr="00017AE6" w:rsidRDefault="008005BB" w:rsidP="00A71365">
            <w:pPr>
              <w:pStyle w:val="Tablewriting"/>
              <w:rPr>
                <w:rFonts w:eastAsia="MS Mincho" w:cstheme="minorHAnsi"/>
              </w:rPr>
            </w:pPr>
            <w:r>
              <w:rPr>
                <w:rFonts w:eastAsia="MS Mincho" w:cstheme="minorHAnsi"/>
              </w:rPr>
              <w:t>USA</w:t>
            </w:r>
          </w:p>
        </w:tc>
        <w:tc>
          <w:tcPr>
            <w:tcW w:w="379" w:type="pct"/>
          </w:tcPr>
          <w:p w14:paraId="5D425BAD" w14:textId="3555AD45" w:rsidR="005E68FB" w:rsidRPr="00017AE6" w:rsidRDefault="005E68FB" w:rsidP="00A71365">
            <w:pPr>
              <w:pStyle w:val="Tablewriting"/>
              <w:rPr>
                <w:rFonts w:eastAsia="MS Mincho" w:cstheme="minorHAnsi"/>
              </w:rPr>
            </w:pPr>
            <w:r w:rsidRPr="00911D2C">
              <w:rPr>
                <w:rFonts w:eastAsia="MS Mincho" w:cstheme="minorHAnsi"/>
              </w:rPr>
              <w:t>N=</w:t>
            </w:r>
            <w:r w:rsidR="008005BB">
              <w:rPr>
                <w:rFonts w:eastAsia="MS Mincho" w:cstheme="minorHAnsi"/>
              </w:rPr>
              <w:t>110</w:t>
            </w:r>
          </w:p>
        </w:tc>
        <w:tc>
          <w:tcPr>
            <w:tcW w:w="1347" w:type="pct"/>
          </w:tcPr>
          <w:p w14:paraId="63C24C39" w14:textId="4CD87C41" w:rsidR="006C0FE7" w:rsidRDefault="006C0FE7" w:rsidP="00A71365">
            <w:pPr>
              <w:pStyle w:val="Tablewriting"/>
              <w:rPr>
                <w:rFonts w:eastAsia="MS Mincho" w:cstheme="minorHAnsi"/>
              </w:rPr>
            </w:pPr>
            <w:r>
              <w:rPr>
                <w:rFonts w:eastAsia="MS Mincho" w:cstheme="minorHAnsi"/>
              </w:rPr>
              <w:t>R</w:t>
            </w:r>
            <w:r w:rsidRPr="006C0FE7">
              <w:rPr>
                <w:rFonts w:eastAsia="MS Mincho" w:cstheme="minorHAnsi"/>
              </w:rPr>
              <w:t>ecovering alcoholic abstainers</w:t>
            </w:r>
            <w:r>
              <w:rPr>
                <w:rFonts w:eastAsia="MS Mincho" w:cstheme="minorHAnsi"/>
              </w:rPr>
              <w:t xml:space="preserve"> </w:t>
            </w:r>
            <w:r w:rsidRPr="006C0FE7">
              <w:rPr>
                <w:rFonts w:eastAsia="MS Mincho" w:cstheme="minorHAnsi"/>
              </w:rPr>
              <w:t>with at least 1</w:t>
            </w:r>
            <w:r w:rsidR="000C449B" w:rsidRPr="006C0FE7">
              <w:rPr>
                <w:rFonts w:eastAsia="MS Mincho" w:cstheme="minorHAnsi"/>
              </w:rPr>
              <w:t>-</w:t>
            </w:r>
            <w:r w:rsidRPr="006C0FE7">
              <w:rPr>
                <w:rFonts w:eastAsia="MS Mincho" w:cstheme="minorHAnsi"/>
              </w:rPr>
              <w:t>year continuous abstinence from alcohol and drugs,</w:t>
            </w:r>
            <w:r>
              <w:rPr>
                <w:rFonts w:eastAsia="MS Mincho" w:cstheme="minorHAnsi"/>
              </w:rPr>
              <w:t xml:space="preserve"> </w:t>
            </w:r>
            <w:r w:rsidRPr="006C0FE7">
              <w:rPr>
                <w:rFonts w:eastAsia="MS Mincho" w:cstheme="minorHAnsi"/>
              </w:rPr>
              <w:t xml:space="preserve">18+ years old, smoking at least 20 </w:t>
            </w:r>
            <w:r>
              <w:rPr>
                <w:rFonts w:eastAsia="MS Mincho" w:cstheme="minorHAnsi"/>
              </w:rPr>
              <w:t>CPD</w:t>
            </w:r>
            <w:r w:rsidRPr="006C0FE7">
              <w:rPr>
                <w:rFonts w:eastAsia="MS Mincho" w:cstheme="minorHAnsi"/>
              </w:rPr>
              <w:t xml:space="preserve"> for previous year. </w:t>
            </w:r>
          </w:p>
          <w:p w14:paraId="1B1D8D5E" w14:textId="77777777" w:rsidR="006C0FE7" w:rsidRDefault="006C0FE7" w:rsidP="00A71365">
            <w:pPr>
              <w:pStyle w:val="Tablewriting"/>
              <w:rPr>
                <w:rFonts w:eastAsia="MS Mincho" w:cstheme="minorHAnsi"/>
              </w:rPr>
            </w:pPr>
          </w:p>
          <w:p w14:paraId="55C3E845" w14:textId="4BA207E3" w:rsidR="005E68FB" w:rsidRPr="00017AE6" w:rsidRDefault="006C0FE7" w:rsidP="00A71365">
            <w:pPr>
              <w:pStyle w:val="Tablewriting"/>
              <w:rPr>
                <w:rFonts w:eastAsia="MS Mincho" w:cstheme="minorHAnsi"/>
              </w:rPr>
            </w:pPr>
            <w:r w:rsidRPr="006C0FE7">
              <w:rPr>
                <w:rFonts w:eastAsia="MS Mincho" w:cstheme="minorHAnsi"/>
              </w:rPr>
              <w:t>Quit for at least last week of 8 weeks patch</w:t>
            </w:r>
            <w:r>
              <w:rPr>
                <w:rFonts w:eastAsia="MS Mincho" w:cstheme="minorHAnsi"/>
              </w:rPr>
              <w:t xml:space="preserve"> </w:t>
            </w:r>
            <w:r w:rsidRPr="006C0FE7">
              <w:rPr>
                <w:rFonts w:eastAsia="MS Mincho" w:cstheme="minorHAnsi"/>
              </w:rPr>
              <w:t>therapy</w:t>
            </w:r>
            <w:r>
              <w:rPr>
                <w:rFonts w:eastAsia="MS Mincho" w:cstheme="minorHAnsi"/>
              </w:rPr>
              <w:t xml:space="preserve">, </w:t>
            </w:r>
            <w:r w:rsidRPr="006C0FE7">
              <w:rPr>
                <w:rFonts w:eastAsia="MS Mincho" w:cstheme="minorHAnsi"/>
              </w:rPr>
              <w:t>78% male</w:t>
            </w:r>
            <w:r>
              <w:rPr>
                <w:rFonts w:eastAsia="MS Mincho" w:cstheme="minorHAnsi"/>
              </w:rPr>
              <w:t>,</w:t>
            </w:r>
            <w:r w:rsidRPr="006C0FE7">
              <w:rPr>
                <w:rFonts w:eastAsia="MS Mincho" w:cstheme="minorHAnsi"/>
              </w:rPr>
              <w:t xml:space="preserve"> average age 44</w:t>
            </w:r>
            <w:r>
              <w:rPr>
                <w:rFonts w:eastAsia="MS Mincho" w:cstheme="minorHAnsi"/>
              </w:rPr>
              <w:t xml:space="preserve"> years, </w:t>
            </w:r>
            <w:r w:rsidRPr="006C0FE7">
              <w:rPr>
                <w:rFonts w:eastAsia="MS Mincho" w:cstheme="minorHAnsi"/>
              </w:rPr>
              <w:t xml:space="preserve">average </w:t>
            </w:r>
            <w:r>
              <w:rPr>
                <w:rFonts w:eastAsia="MS Mincho" w:cstheme="minorHAnsi"/>
              </w:rPr>
              <w:t>CPD</w:t>
            </w:r>
            <w:r w:rsidRPr="006C0FE7">
              <w:rPr>
                <w:rFonts w:eastAsia="MS Mincho" w:cstheme="minorHAnsi"/>
              </w:rPr>
              <w:t xml:space="preserve"> 29.9 (in initial population of 195 volunteers)</w:t>
            </w:r>
            <w:r>
              <w:rPr>
                <w:rFonts w:eastAsia="MS Mincho" w:cstheme="minorHAnsi"/>
              </w:rPr>
              <w:t>.</w:t>
            </w:r>
          </w:p>
        </w:tc>
        <w:tc>
          <w:tcPr>
            <w:tcW w:w="1269" w:type="pct"/>
          </w:tcPr>
          <w:p w14:paraId="3D620C3D" w14:textId="6898E7C0" w:rsidR="00A073CD" w:rsidRDefault="008D2242" w:rsidP="00C324F3">
            <w:pPr>
              <w:pStyle w:val="Tablewriting"/>
              <w:numPr>
                <w:ilvl w:val="0"/>
                <w:numId w:val="163"/>
              </w:numPr>
              <w:rPr>
                <w:rFonts w:eastAsia="MS Mincho" w:cstheme="minorHAnsi"/>
              </w:rPr>
            </w:pPr>
            <w:r w:rsidRPr="008D2242">
              <w:rPr>
                <w:rFonts w:eastAsia="MS Mincho" w:cstheme="minorHAnsi"/>
              </w:rPr>
              <w:t>Bupropion: 150 mg/day first 3 d</w:t>
            </w:r>
            <w:r w:rsidR="003F6F2C">
              <w:rPr>
                <w:rFonts w:eastAsia="MS Mincho" w:cstheme="minorHAnsi"/>
              </w:rPr>
              <w:t>ay</w:t>
            </w:r>
            <w:r w:rsidRPr="008D2242">
              <w:rPr>
                <w:rFonts w:eastAsia="MS Mincho" w:cstheme="minorHAnsi"/>
              </w:rPr>
              <w:t>, then 300 mg/d</w:t>
            </w:r>
            <w:r w:rsidR="00B30929">
              <w:rPr>
                <w:rFonts w:eastAsia="MS Mincho" w:cstheme="minorHAnsi"/>
              </w:rPr>
              <w:t>ay</w:t>
            </w:r>
            <w:r w:rsidRPr="008D2242">
              <w:rPr>
                <w:rFonts w:eastAsia="MS Mincho" w:cstheme="minorHAnsi"/>
              </w:rPr>
              <w:t xml:space="preserve"> until week 52</w:t>
            </w:r>
            <w:r w:rsidR="00A073CD">
              <w:rPr>
                <w:rFonts w:eastAsia="MS Mincho" w:cstheme="minorHAnsi"/>
              </w:rPr>
              <w:t>.</w:t>
            </w:r>
          </w:p>
          <w:p w14:paraId="7F7989EB" w14:textId="757C42C5" w:rsidR="008D2242" w:rsidRPr="00A073CD" w:rsidRDefault="008D2242" w:rsidP="00C324F3">
            <w:pPr>
              <w:pStyle w:val="Tablewriting"/>
              <w:numPr>
                <w:ilvl w:val="0"/>
                <w:numId w:val="163"/>
              </w:numPr>
              <w:rPr>
                <w:rFonts w:eastAsia="MS Mincho" w:cstheme="minorHAnsi"/>
              </w:rPr>
            </w:pPr>
            <w:r w:rsidRPr="00A073CD">
              <w:rPr>
                <w:rFonts w:eastAsia="MS Mincho" w:cstheme="minorHAnsi"/>
              </w:rPr>
              <w:t>Placebo on same schedule</w:t>
            </w:r>
            <w:r w:rsidR="00A073CD">
              <w:rPr>
                <w:rFonts w:eastAsia="MS Mincho" w:cstheme="minorHAnsi"/>
              </w:rPr>
              <w:t>.</w:t>
            </w:r>
          </w:p>
          <w:p w14:paraId="6FD7100E" w14:textId="77777777" w:rsidR="00D14E80" w:rsidRDefault="00D14E80" w:rsidP="00A71365">
            <w:pPr>
              <w:pStyle w:val="Tablewriting"/>
              <w:rPr>
                <w:rFonts w:eastAsia="MS Mincho" w:cstheme="minorHAnsi"/>
              </w:rPr>
            </w:pPr>
          </w:p>
          <w:p w14:paraId="474C8496" w14:textId="77777777" w:rsidR="008D2242" w:rsidRDefault="008D2242" w:rsidP="00A71365">
            <w:pPr>
              <w:pStyle w:val="Tablewriting"/>
              <w:rPr>
                <w:rFonts w:eastAsia="MS Mincho" w:cstheme="minorHAnsi"/>
              </w:rPr>
            </w:pPr>
          </w:p>
          <w:p w14:paraId="289B85D0" w14:textId="65DC61E2" w:rsidR="008D2242" w:rsidRDefault="008D2242" w:rsidP="00A71365">
            <w:pPr>
              <w:pStyle w:val="Tablewriting"/>
              <w:rPr>
                <w:rFonts w:eastAsia="MS Mincho" w:cstheme="minorHAnsi"/>
              </w:rPr>
            </w:pPr>
            <w:r w:rsidRPr="00625930">
              <w:rPr>
                <w:rFonts w:eastAsia="MS Mincho" w:cstheme="minorHAnsi"/>
                <w:u w:val="single"/>
              </w:rPr>
              <w:t>Common components:</w:t>
            </w:r>
            <w:r>
              <w:rPr>
                <w:rFonts w:eastAsia="MS Mincho" w:cstheme="minorHAnsi"/>
                <w:u w:val="single"/>
              </w:rPr>
              <w:t xml:space="preserve"> </w:t>
            </w:r>
            <w:r w:rsidRPr="008D2242">
              <w:rPr>
                <w:rFonts w:eastAsia="MS Mincho" w:cstheme="minorHAnsi"/>
              </w:rPr>
              <w:t>All participants first received brief weekly counselling sessions and nicotine patch for 8 weeks. Patch</w:t>
            </w:r>
            <w:r>
              <w:rPr>
                <w:rFonts w:eastAsia="MS Mincho" w:cstheme="minorHAnsi"/>
              </w:rPr>
              <w:t xml:space="preserve"> </w:t>
            </w:r>
            <w:r w:rsidRPr="008D2242">
              <w:rPr>
                <w:rFonts w:eastAsia="MS Mincho" w:cstheme="minorHAnsi"/>
              </w:rPr>
              <w:t>tailored on the basis of baseline</w:t>
            </w:r>
            <w:r>
              <w:rPr>
                <w:rFonts w:eastAsia="MS Mincho" w:cstheme="minorHAnsi"/>
              </w:rPr>
              <w:t xml:space="preserve"> </w:t>
            </w:r>
            <w:r w:rsidRPr="008D2242">
              <w:rPr>
                <w:rFonts w:eastAsia="MS Mincho" w:cstheme="minorHAnsi"/>
              </w:rPr>
              <w:t>serum cotinine</w:t>
            </w:r>
            <w:r w:rsidR="009B136E">
              <w:rPr>
                <w:rFonts w:eastAsia="MS Mincho" w:cstheme="minorHAnsi"/>
              </w:rPr>
              <w:t xml:space="preserve"> </w:t>
            </w:r>
            <w:r w:rsidRPr="008D2242">
              <w:rPr>
                <w:rFonts w:eastAsia="MS Mincho" w:cstheme="minorHAnsi"/>
              </w:rPr>
              <w:t>concentration</w:t>
            </w:r>
            <w:r>
              <w:rPr>
                <w:rFonts w:eastAsia="MS Mincho" w:cstheme="minorHAnsi"/>
              </w:rPr>
              <w:t>.</w:t>
            </w:r>
          </w:p>
          <w:p w14:paraId="4211885B" w14:textId="77777777" w:rsidR="00B20E89" w:rsidRDefault="00B20E89" w:rsidP="00A71365">
            <w:pPr>
              <w:pStyle w:val="Tablewriting"/>
              <w:rPr>
                <w:rFonts w:eastAsia="MS Mincho" w:cstheme="minorHAnsi"/>
              </w:rPr>
            </w:pPr>
          </w:p>
          <w:p w14:paraId="131B1AB4" w14:textId="29C60C57" w:rsidR="00D14E80" w:rsidRDefault="00D14E80" w:rsidP="00A71365">
            <w:pPr>
              <w:pStyle w:val="Tablewriting"/>
              <w:rPr>
                <w:rFonts w:eastAsia="MS Mincho" w:cstheme="minorHAnsi"/>
              </w:rPr>
            </w:pPr>
            <w:r w:rsidRPr="008D2242">
              <w:rPr>
                <w:rFonts w:eastAsia="MS Mincho" w:cstheme="minorHAnsi"/>
              </w:rPr>
              <w:t>Brief individual counselling (</w:t>
            </w:r>
            <w:r w:rsidR="00B20E89" w:rsidRPr="00B20E89">
              <w:rPr>
                <w:rFonts w:eastAsia="MS Mincho" w:cstheme="minorHAnsi"/>
              </w:rPr>
              <w:t>≤</w:t>
            </w:r>
            <w:r w:rsidRPr="008D2242">
              <w:rPr>
                <w:rFonts w:eastAsia="MS Mincho" w:cstheme="minorHAnsi"/>
              </w:rPr>
              <w:t xml:space="preserve"> 10 min) at each clinic visit (weekly for week 9 to </w:t>
            </w:r>
            <w:r w:rsidRPr="008D2242">
              <w:rPr>
                <w:rFonts w:eastAsia="MS Mincho" w:cstheme="minorHAnsi"/>
              </w:rPr>
              <w:lastRenderedPageBreak/>
              <w:t>week 12, monthly for</w:t>
            </w:r>
            <w:r>
              <w:rPr>
                <w:rFonts w:eastAsia="MS Mincho" w:cstheme="minorHAnsi"/>
              </w:rPr>
              <w:t xml:space="preserve"> </w:t>
            </w:r>
            <w:r w:rsidRPr="008D2242">
              <w:rPr>
                <w:rFonts w:eastAsia="MS Mincho" w:cstheme="minorHAnsi"/>
              </w:rPr>
              <w:t>week 13 to week 24, then at 52, 53, 64, and 76 weeks)</w:t>
            </w:r>
            <w:r w:rsidR="00B20E89">
              <w:rPr>
                <w:rFonts w:eastAsia="MS Mincho" w:cstheme="minorHAnsi"/>
              </w:rPr>
              <w:t>.</w:t>
            </w:r>
          </w:p>
          <w:p w14:paraId="5618DE75" w14:textId="77777777" w:rsidR="00D14E80" w:rsidRPr="008D2242" w:rsidRDefault="00D14E80" w:rsidP="00A71365">
            <w:pPr>
              <w:pStyle w:val="Tablewriting"/>
              <w:rPr>
                <w:rFonts w:eastAsia="MS Mincho" w:cstheme="minorHAnsi"/>
              </w:rPr>
            </w:pPr>
          </w:p>
          <w:p w14:paraId="57B27289" w14:textId="11BAD365" w:rsidR="008D2242" w:rsidRPr="00017AE6" w:rsidRDefault="008D2242" w:rsidP="00A71365">
            <w:pPr>
              <w:pStyle w:val="Tablewriting"/>
              <w:rPr>
                <w:rFonts w:eastAsia="MS Mincho" w:cstheme="minorHAnsi"/>
              </w:rPr>
            </w:pPr>
          </w:p>
        </w:tc>
        <w:tc>
          <w:tcPr>
            <w:tcW w:w="774" w:type="pct"/>
          </w:tcPr>
          <w:p w14:paraId="6A434168" w14:textId="77777777" w:rsidR="005E68FB" w:rsidRPr="005E68FB" w:rsidRDefault="005E68FB" w:rsidP="00A71365">
            <w:pPr>
              <w:pStyle w:val="Tablewriting"/>
              <w:rPr>
                <w:rFonts w:eastAsia="MS Mincho" w:cstheme="minorHAnsi"/>
                <w:u w:val="single"/>
              </w:rPr>
            </w:pPr>
            <w:r w:rsidRPr="005E68FB">
              <w:rPr>
                <w:rFonts w:eastAsia="MS Mincho" w:cstheme="minorHAnsi"/>
                <w:u w:val="single"/>
              </w:rPr>
              <w:lastRenderedPageBreak/>
              <w:t xml:space="preserve">Efficacy: </w:t>
            </w:r>
          </w:p>
          <w:p w14:paraId="0394AC59" w14:textId="5CD0F341" w:rsidR="009B136E" w:rsidRDefault="009B136E" w:rsidP="00A71365">
            <w:pPr>
              <w:pStyle w:val="Tablewriting"/>
              <w:rPr>
                <w:rFonts w:eastAsia="MS Mincho" w:cstheme="minorHAnsi"/>
              </w:rPr>
            </w:pPr>
            <w:r w:rsidRPr="009B136E">
              <w:rPr>
                <w:rFonts w:eastAsia="MS Mincho" w:cstheme="minorHAnsi"/>
              </w:rPr>
              <w:t>Abstinence at 76 weeks (continuous and 7-d PP)</w:t>
            </w:r>
            <w:r>
              <w:rPr>
                <w:rFonts w:eastAsia="MS Mincho" w:cstheme="minorHAnsi"/>
              </w:rPr>
              <w:t>.</w:t>
            </w:r>
          </w:p>
          <w:p w14:paraId="3FED5A63" w14:textId="77777777" w:rsidR="009B136E" w:rsidRPr="009B136E" w:rsidRDefault="009B136E" w:rsidP="00A71365">
            <w:pPr>
              <w:pStyle w:val="Tablewriting"/>
              <w:rPr>
                <w:rFonts w:eastAsia="MS Mincho" w:cstheme="minorHAnsi"/>
              </w:rPr>
            </w:pPr>
          </w:p>
          <w:p w14:paraId="31313588" w14:textId="0FB15D63" w:rsidR="005E68FB" w:rsidRDefault="009B136E" w:rsidP="00A71365">
            <w:pPr>
              <w:pStyle w:val="Tablewriting"/>
              <w:rPr>
                <w:rFonts w:eastAsia="MS Mincho" w:cstheme="minorHAnsi"/>
              </w:rPr>
            </w:pPr>
            <w:r w:rsidRPr="009B136E">
              <w:rPr>
                <w:rFonts w:eastAsia="MS Mincho" w:cstheme="minorHAnsi"/>
              </w:rPr>
              <w:t>Validation: CO &lt; 8 ppm</w:t>
            </w:r>
            <w:r>
              <w:rPr>
                <w:rFonts w:eastAsia="MS Mincho" w:cstheme="minorHAnsi"/>
              </w:rPr>
              <w:t>.</w:t>
            </w:r>
          </w:p>
          <w:p w14:paraId="31C70611" w14:textId="77777777" w:rsidR="009B136E" w:rsidRDefault="009B136E" w:rsidP="00A71365">
            <w:pPr>
              <w:pStyle w:val="Tablewriting"/>
              <w:rPr>
                <w:rFonts w:eastAsia="MS Mincho" w:cstheme="minorHAnsi"/>
              </w:rPr>
            </w:pPr>
          </w:p>
          <w:p w14:paraId="47DF7AD2" w14:textId="26497AB0" w:rsidR="005E68FB" w:rsidRPr="009B136E" w:rsidRDefault="005E68FB" w:rsidP="00A71365">
            <w:pPr>
              <w:pStyle w:val="Tablewriting"/>
              <w:rPr>
                <w:rFonts w:eastAsia="MS Mincho" w:cstheme="minorHAnsi"/>
              </w:rPr>
            </w:pPr>
            <w:r w:rsidRPr="005E68FB">
              <w:rPr>
                <w:rFonts w:eastAsia="MS Mincho" w:cstheme="minorHAnsi"/>
                <w:u w:val="single"/>
              </w:rPr>
              <w:t>Safety:</w:t>
            </w:r>
            <w:r w:rsidR="009B136E">
              <w:rPr>
                <w:rFonts w:eastAsia="MS Mincho" w:cstheme="minorHAnsi"/>
                <w:u w:val="single"/>
              </w:rPr>
              <w:t xml:space="preserve"> </w:t>
            </w:r>
            <w:r w:rsidR="009B136E" w:rsidRPr="009B136E">
              <w:rPr>
                <w:rFonts w:eastAsia="MS Mincho" w:cstheme="minorHAnsi"/>
              </w:rPr>
              <w:t>NR</w:t>
            </w:r>
            <w:r w:rsidR="009B136E">
              <w:rPr>
                <w:rFonts w:eastAsia="MS Mincho" w:cstheme="minorHAnsi"/>
              </w:rPr>
              <w:t>.</w:t>
            </w:r>
          </w:p>
          <w:p w14:paraId="73E0D8F1" w14:textId="77777777" w:rsidR="005E68FB" w:rsidRPr="004272CD" w:rsidRDefault="005E68FB" w:rsidP="00A71365">
            <w:pPr>
              <w:pStyle w:val="Tablewriting"/>
              <w:rPr>
                <w:rFonts w:eastAsia="MS Mincho" w:cstheme="minorHAnsi"/>
                <w:u w:val="single"/>
              </w:rPr>
            </w:pPr>
          </w:p>
        </w:tc>
      </w:tr>
      <w:tr w:rsidR="005E68FB" w:rsidRPr="00017AE6" w14:paraId="2DE21F5F" w14:textId="77777777" w:rsidTr="005821B1">
        <w:trPr>
          <w:trHeight w:val="99"/>
        </w:trPr>
        <w:tc>
          <w:tcPr>
            <w:tcW w:w="524" w:type="pct"/>
          </w:tcPr>
          <w:p w14:paraId="2546D9BE" w14:textId="08F545B4" w:rsidR="005E68FB" w:rsidRPr="00017AE6" w:rsidRDefault="005E68FB" w:rsidP="00A71365">
            <w:pPr>
              <w:pStyle w:val="Tablewriting"/>
              <w:rPr>
                <w:rFonts w:eastAsia="MS Mincho" w:cstheme="minorHAnsi"/>
              </w:rPr>
            </w:pPr>
            <w:r w:rsidRPr="003B351F">
              <w:rPr>
                <w:rFonts w:eastAsia="MS Mincho" w:cstheme="minorHAnsi"/>
              </w:rPr>
              <w:t xml:space="preserve">Hurt </w:t>
            </w:r>
            <w:r w:rsidR="002570AF">
              <w:rPr>
                <w:rFonts w:eastAsia="MS Mincho" w:cstheme="minorHAnsi"/>
              </w:rPr>
              <w:t>(</w:t>
            </w:r>
            <w:r w:rsidRPr="003B351F">
              <w:rPr>
                <w:rFonts w:eastAsia="MS Mincho" w:cstheme="minorHAnsi"/>
              </w:rPr>
              <w:t>2003</w:t>
            </w:r>
            <w:r w:rsidR="002570AF">
              <w:rPr>
                <w:rFonts w:eastAsia="MS Mincho" w:cstheme="minorHAnsi"/>
              </w:rPr>
              <w:t>)</w:t>
            </w:r>
          </w:p>
        </w:tc>
        <w:tc>
          <w:tcPr>
            <w:tcW w:w="248" w:type="pct"/>
          </w:tcPr>
          <w:p w14:paraId="2A1C0CBD" w14:textId="564C1273" w:rsidR="005E68FB" w:rsidRPr="00017AE6" w:rsidRDefault="00E96DA8" w:rsidP="00A71365">
            <w:pPr>
              <w:pStyle w:val="Tablewriting"/>
              <w:rPr>
                <w:rFonts w:eastAsia="MS Mincho" w:cstheme="minorHAnsi"/>
              </w:rPr>
            </w:pPr>
            <w:r>
              <w:rPr>
                <w:rFonts w:eastAsia="MS Mincho" w:cstheme="minorHAnsi"/>
              </w:rPr>
              <w:t>RCT</w:t>
            </w:r>
          </w:p>
        </w:tc>
        <w:tc>
          <w:tcPr>
            <w:tcW w:w="458" w:type="pct"/>
          </w:tcPr>
          <w:p w14:paraId="112189C7" w14:textId="21E759A8" w:rsidR="005E68FB" w:rsidRPr="00017AE6" w:rsidRDefault="00E96DA8" w:rsidP="00A71365">
            <w:pPr>
              <w:pStyle w:val="Tablewriting"/>
              <w:rPr>
                <w:rFonts w:eastAsia="MS Mincho" w:cstheme="minorHAnsi"/>
              </w:rPr>
            </w:pPr>
            <w:r>
              <w:rPr>
                <w:rFonts w:eastAsia="MS Mincho" w:cstheme="minorHAnsi"/>
              </w:rPr>
              <w:t>USA</w:t>
            </w:r>
          </w:p>
        </w:tc>
        <w:tc>
          <w:tcPr>
            <w:tcW w:w="379" w:type="pct"/>
          </w:tcPr>
          <w:p w14:paraId="4EAF45F9" w14:textId="3E35C782" w:rsidR="005E68FB" w:rsidRPr="00017AE6" w:rsidRDefault="005E68FB" w:rsidP="00A71365">
            <w:pPr>
              <w:pStyle w:val="Tablewriting"/>
              <w:rPr>
                <w:rFonts w:eastAsia="MS Mincho" w:cstheme="minorHAnsi"/>
              </w:rPr>
            </w:pPr>
            <w:r w:rsidRPr="00911D2C">
              <w:rPr>
                <w:rFonts w:eastAsia="MS Mincho" w:cstheme="minorHAnsi"/>
              </w:rPr>
              <w:t>N=</w:t>
            </w:r>
            <w:r w:rsidR="00E96DA8">
              <w:rPr>
                <w:rFonts w:eastAsia="MS Mincho" w:cstheme="minorHAnsi"/>
              </w:rPr>
              <w:t>176</w:t>
            </w:r>
          </w:p>
        </w:tc>
        <w:tc>
          <w:tcPr>
            <w:tcW w:w="1347" w:type="pct"/>
          </w:tcPr>
          <w:p w14:paraId="46741178" w14:textId="4D7EA38E" w:rsidR="00DF0ADC" w:rsidRDefault="00E96DA8" w:rsidP="00A71365">
            <w:pPr>
              <w:pStyle w:val="Tablewriting"/>
              <w:rPr>
                <w:rFonts w:eastAsia="MS Mincho" w:cstheme="minorHAnsi"/>
              </w:rPr>
            </w:pPr>
            <w:r>
              <w:rPr>
                <w:rFonts w:eastAsia="MS Mincho" w:cstheme="minorHAnsi"/>
              </w:rPr>
              <w:t>A</w:t>
            </w:r>
            <w:r w:rsidRPr="00E96DA8">
              <w:rPr>
                <w:rFonts w:eastAsia="MS Mincho" w:cstheme="minorHAnsi"/>
              </w:rPr>
              <w:t xml:space="preserve">bstainers (previously </w:t>
            </w:r>
            <w:r w:rsidR="00DF0ADC" w:rsidRPr="00DF0ADC">
              <w:rPr>
                <w:rFonts w:eastAsia="MS Mincho" w:cstheme="minorHAnsi"/>
              </w:rPr>
              <w:t>≥</w:t>
            </w:r>
            <w:r w:rsidRPr="00E96DA8">
              <w:rPr>
                <w:rFonts w:eastAsia="MS Mincho" w:cstheme="minorHAnsi"/>
              </w:rPr>
              <w:t xml:space="preserve"> 15 </w:t>
            </w:r>
            <w:r w:rsidR="00176D0B">
              <w:rPr>
                <w:rFonts w:eastAsia="MS Mincho" w:cstheme="minorHAnsi"/>
              </w:rPr>
              <w:t>CPD</w:t>
            </w:r>
            <w:r w:rsidRPr="00E96DA8">
              <w:rPr>
                <w:rFonts w:eastAsia="MS Mincho" w:cstheme="minorHAnsi"/>
              </w:rPr>
              <w:t>) quit after 8 weeks of nicotine patch</w:t>
            </w:r>
            <w:r w:rsidR="00DF0ADC">
              <w:rPr>
                <w:rFonts w:eastAsia="MS Mincho" w:cstheme="minorHAnsi"/>
              </w:rPr>
              <w:t>.</w:t>
            </w:r>
          </w:p>
          <w:p w14:paraId="5C501312" w14:textId="1F046634" w:rsidR="00E96DA8" w:rsidRPr="00E96DA8" w:rsidRDefault="00011C9C" w:rsidP="00A71365">
            <w:pPr>
              <w:pStyle w:val="Tablewriting"/>
              <w:rPr>
                <w:rFonts w:eastAsia="MS Mincho" w:cstheme="minorHAnsi"/>
              </w:rPr>
            </w:pPr>
            <w:r>
              <w:rPr>
                <w:rFonts w:eastAsia="MS Mincho" w:cstheme="minorHAnsi"/>
              </w:rPr>
              <w:t>B</w:t>
            </w:r>
            <w:r w:rsidR="00E96DA8" w:rsidRPr="00E96DA8">
              <w:rPr>
                <w:rFonts w:eastAsia="MS Mincho" w:cstheme="minorHAnsi"/>
              </w:rPr>
              <w:t>aseline group: 57% female,</w:t>
            </w:r>
          </w:p>
          <w:p w14:paraId="351C4184" w14:textId="0E55561B" w:rsidR="005E68FB" w:rsidRPr="00017AE6" w:rsidRDefault="00E96DA8" w:rsidP="00A71365">
            <w:pPr>
              <w:pStyle w:val="Tablewriting"/>
              <w:rPr>
                <w:rFonts w:eastAsia="MS Mincho" w:cstheme="minorHAnsi"/>
              </w:rPr>
            </w:pPr>
            <w:r w:rsidRPr="00E96DA8">
              <w:rPr>
                <w:rFonts w:eastAsia="MS Mincho" w:cstheme="minorHAnsi"/>
              </w:rPr>
              <w:t xml:space="preserve">average age 42, average </w:t>
            </w:r>
            <w:r w:rsidR="00176D0B">
              <w:rPr>
                <w:rFonts w:eastAsia="MS Mincho" w:cstheme="minorHAnsi"/>
              </w:rPr>
              <w:t>CPD</w:t>
            </w:r>
            <w:r w:rsidRPr="00E96DA8">
              <w:rPr>
                <w:rFonts w:eastAsia="MS Mincho" w:cstheme="minorHAnsi"/>
              </w:rPr>
              <w:t xml:space="preserve"> 26</w:t>
            </w:r>
            <w:r w:rsidR="00011C9C">
              <w:rPr>
                <w:rFonts w:eastAsia="MS Mincho" w:cstheme="minorHAnsi"/>
              </w:rPr>
              <w:t>.</w:t>
            </w:r>
          </w:p>
        </w:tc>
        <w:tc>
          <w:tcPr>
            <w:tcW w:w="1269" w:type="pct"/>
          </w:tcPr>
          <w:p w14:paraId="2C644A34" w14:textId="77777777" w:rsidR="002021C1" w:rsidRDefault="00011C9C" w:rsidP="00C324F3">
            <w:pPr>
              <w:pStyle w:val="Tablewriting"/>
              <w:numPr>
                <w:ilvl w:val="0"/>
                <w:numId w:val="164"/>
              </w:numPr>
              <w:rPr>
                <w:rFonts w:eastAsia="MS Mincho" w:cstheme="minorHAnsi"/>
              </w:rPr>
            </w:pPr>
            <w:r w:rsidRPr="00011C9C">
              <w:rPr>
                <w:rFonts w:eastAsia="MS Mincho" w:cstheme="minorHAnsi"/>
              </w:rPr>
              <w:t>Bupropion 300 mg/day for 6 months</w:t>
            </w:r>
            <w:r w:rsidR="002021C1">
              <w:rPr>
                <w:rFonts w:eastAsia="MS Mincho" w:cstheme="minorHAnsi"/>
              </w:rPr>
              <w:t>.</w:t>
            </w:r>
          </w:p>
          <w:p w14:paraId="5CA7DB04" w14:textId="1E7F6E3B" w:rsidR="00011C9C" w:rsidRPr="002021C1" w:rsidRDefault="00011C9C" w:rsidP="00C324F3">
            <w:pPr>
              <w:pStyle w:val="Tablewriting"/>
              <w:numPr>
                <w:ilvl w:val="0"/>
                <w:numId w:val="164"/>
              </w:numPr>
              <w:rPr>
                <w:rFonts w:eastAsia="MS Mincho" w:cstheme="minorHAnsi"/>
              </w:rPr>
            </w:pPr>
            <w:r w:rsidRPr="002021C1">
              <w:rPr>
                <w:rFonts w:eastAsia="MS Mincho" w:cstheme="minorHAnsi"/>
              </w:rPr>
              <w:t>Placebo</w:t>
            </w:r>
            <w:r w:rsidR="002021C1">
              <w:rPr>
                <w:rFonts w:eastAsia="MS Mincho" w:cstheme="minorHAnsi"/>
              </w:rPr>
              <w:t>.</w:t>
            </w:r>
          </w:p>
          <w:p w14:paraId="62F027F5" w14:textId="77777777" w:rsidR="00011C9C" w:rsidRDefault="00011C9C" w:rsidP="00A71365">
            <w:pPr>
              <w:pStyle w:val="Tablewriting"/>
              <w:rPr>
                <w:rFonts w:eastAsia="MS Mincho" w:cstheme="minorHAnsi"/>
              </w:rPr>
            </w:pPr>
          </w:p>
          <w:p w14:paraId="6E2CC504" w14:textId="03334B2E" w:rsidR="00011C9C" w:rsidRDefault="00011C9C" w:rsidP="00A71365">
            <w:pPr>
              <w:pStyle w:val="Tablewriting"/>
              <w:rPr>
                <w:rFonts w:eastAsia="MS Mincho" w:cstheme="minorHAnsi"/>
              </w:rPr>
            </w:pPr>
            <w:r w:rsidRPr="00625930">
              <w:rPr>
                <w:rFonts w:eastAsia="MS Mincho" w:cstheme="minorHAnsi"/>
                <w:u w:val="single"/>
              </w:rPr>
              <w:t>Common components</w:t>
            </w:r>
            <w:r w:rsidR="002021C1">
              <w:rPr>
                <w:rFonts w:eastAsia="MS Mincho" w:cstheme="minorHAnsi"/>
                <w:u w:val="single"/>
              </w:rPr>
              <w:t xml:space="preserve">: </w:t>
            </w:r>
            <w:r w:rsidRPr="00011C9C">
              <w:rPr>
                <w:rFonts w:eastAsia="MS Mincho" w:cstheme="minorHAnsi"/>
              </w:rPr>
              <w:t>All participants first received nicotine patch for 8 weeks at a dose of 22, 33 or 44</w:t>
            </w:r>
            <w:r w:rsidR="002021C1">
              <w:rPr>
                <w:rFonts w:eastAsia="MS Mincho" w:cstheme="minorHAnsi"/>
              </w:rPr>
              <w:t xml:space="preserve"> </w:t>
            </w:r>
            <w:r w:rsidRPr="00011C9C">
              <w:rPr>
                <w:rFonts w:eastAsia="MS Mincho" w:cstheme="minorHAnsi"/>
              </w:rPr>
              <w:t>mg/day, matched to</w:t>
            </w:r>
            <w:r w:rsidR="002021C1">
              <w:rPr>
                <w:rFonts w:eastAsia="MS Mincho" w:cstheme="minorHAnsi"/>
              </w:rPr>
              <w:t xml:space="preserve"> </w:t>
            </w:r>
            <w:r w:rsidRPr="00011C9C">
              <w:rPr>
                <w:rFonts w:eastAsia="MS Mincho" w:cstheme="minorHAnsi"/>
              </w:rPr>
              <w:t>baseline cigs/day. Brief advice to quit and self-help materials but no formal counselling</w:t>
            </w:r>
            <w:r w:rsidR="002021C1">
              <w:rPr>
                <w:rFonts w:eastAsia="MS Mincho" w:cstheme="minorHAnsi"/>
              </w:rPr>
              <w:t>.</w:t>
            </w:r>
          </w:p>
          <w:p w14:paraId="587399AB" w14:textId="77777777" w:rsidR="002021C1" w:rsidRDefault="002021C1" w:rsidP="00A71365">
            <w:pPr>
              <w:pStyle w:val="Tablewriting"/>
              <w:rPr>
                <w:rFonts w:eastAsia="MS Mincho" w:cstheme="minorHAnsi"/>
              </w:rPr>
            </w:pPr>
          </w:p>
          <w:p w14:paraId="180A398D" w14:textId="0A184814" w:rsidR="00011C9C" w:rsidRPr="00017AE6" w:rsidRDefault="002021C1" w:rsidP="00A71365">
            <w:pPr>
              <w:pStyle w:val="Tablewriting"/>
              <w:rPr>
                <w:rFonts w:eastAsia="MS Mincho" w:cstheme="minorHAnsi"/>
              </w:rPr>
            </w:pPr>
            <w:r w:rsidRPr="00011C9C">
              <w:rPr>
                <w:rFonts w:eastAsia="MS Mincho" w:cstheme="minorHAnsi"/>
              </w:rPr>
              <w:t>No additional counselling during maintenance phase</w:t>
            </w:r>
            <w:r>
              <w:rPr>
                <w:rFonts w:eastAsia="MS Mincho" w:cstheme="minorHAnsi"/>
              </w:rPr>
              <w:t>.</w:t>
            </w:r>
          </w:p>
        </w:tc>
        <w:tc>
          <w:tcPr>
            <w:tcW w:w="774" w:type="pct"/>
          </w:tcPr>
          <w:p w14:paraId="4A361B1F" w14:textId="77777777"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14:paraId="4CC84DB2" w14:textId="252D83CD" w:rsidR="002021C1" w:rsidRPr="002021C1" w:rsidRDefault="002021C1" w:rsidP="00A71365">
            <w:pPr>
              <w:pStyle w:val="Tablewriting"/>
              <w:rPr>
                <w:rFonts w:eastAsia="MS Mincho" w:cstheme="minorHAnsi"/>
              </w:rPr>
            </w:pPr>
            <w:r w:rsidRPr="002021C1">
              <w:rPr>
                <w:rFonts w:eastAsia="MS Mincho" w:cstheme="minorHAnsi"/>
              </w:rPr>
              <w:t>Abstinence at 12 months (PP) (6 months after</w:t>
            </w:r>
            <w:r>
              <w:rPr>
                <w:rFonts w:eastAsia="MS Mincho" w:cstheme="minorHAnsi"/>
              </w:rPr>
              <w:t xml:space="preserve"> </w:t>
            </w:r>
            <w:r w:rsidRPr="002021C1">
              <w:rPr>
                <w:rFonts w:eastAsia="MS Mincho" w:cstheme="minorHAnsi"/>
              </w:rPr>
              <w:t>EOT).</w:t>
            </w:r>
          </w:p>
          <w:p w14:paraId="2462C379" w14:textId="77777777" w:rsidR="002021C1" w:rsidRDefault="002021C1" w:rsidP="00A71365">
            <w:pPr>
              <w:pStyle w:val="Tablewriting"/>
              <w:rPr>
                <w:rFonts w:eastAsia="MS Mincho" w:cstheme="minorHAnsi"/>
              </w:rPr>
            </w:pPr>
          </w:p>
          <w:p w14:paraId="18BB5F30" w14:textId="74DB83F8" w:rsidR="005E68FB" w:rsidRDefault="002021C1" w:rsidP="00A71365">
            <w:pPr>
              <w:pStyle w:val="Tablewriting"/>
              <w:rPr>
                <w:rFonts w:eastAsia="MS Mincho" w:cstheme="minorHAnsi"/>
              </w:rPr>
            </w:pPr>
            <w:r w:rsidRPr="002021C1">
              <w:rPr>
                <w:rFonts w:eastAsia="MS Mincho" w:cstheme="minorHAnsi"/>
              </w:rPr>
              <w:t>Validation: CO &lt; 8 ppm</w:t>
            </w:r>
            <w:r>
              <w:rPr>
                <w:rFonts w:eastAsia="MS Mincho" w:cstheme="minorHAnsi"/>
              </w:rPr>
              <w:t>.</w:t>
            </w:r>
          </w:p>
          <w:p w14:paraId="5B4E8C78" w14:textId="3D6BF301" w:rsidR="005E68FB" w:rsidRPr="002021C1" w:rsidRDefault="005E68FB" w:rsidP="00A71365">
            <w:pPr>
              <w:pStyle w:val="Tablewriting"/>
              <w:rPr>
                <w:rFonts w:eastAsia="MS Mincho" w:cstheme="minorHAnsi"/>
                <w:u w:val="single"/>
              </w:rPr>
            </w:pPr>
            <w:r w:rsidRPr="005E68FB">
              <w:rPr>
                <w:rFonts w:eastAsia="MS Mincho" w:cstheme="minorHAnsi"/>
                <w:u w:val="single"/>
              </w:rPr>
              <w:t>Safety:</w:t>
            </w:r>
            <w:r w:rsidR="002021C1">
              <w:rPr>
                <w:rFonts w:eastAsia="MS Mincho" w:cstheme="minorHAnsi"/>
                <w:u w:val="single"/>
              </w:rPr>
              <w:t xml:space="preserve"> </w:t>
            </w:r>
            <w:r w:rsidR="002021C1">
              <w:rPr>
                <w:rFonts w:eastAsia="MS Mincho" w:cstheme="minorHAnsi"/>
              </w:rPr>
              <w:t>NR.</w:t>
            </w:r>
          </w:p>
        </w:tc>
      </w:tr>
      <w:tr w:rsidR="005E68FB" w:rsidRPr="00017AE6" w14:paraId="27347357" w14:textId="77777777" w:rsidTr="005821B1">
        <w:trPr>
          <w:trHeight w:val="99"/>
        </w:trPr>
        <w:tc>
          <w:tcPr>
            <w:tcW w:w="524" w:type="pct"/>
          </w:tcPr>
          <w:p w14:paraId="56DA5BBF" w14:textId="229BF5B7" w:rsidR="005E68FB" w:rsidRPr="00017AE6" w:rsidRDefault="005E68FB" w:rsidP="00A71365">
            <w:pPr>
              <w:pStyle w:val="Tablewriting"/>
              <w:rPr>
                <w:rFonts w:eastAsia="MS Mincho" w:cstheme="minorHAnsi"/>
              </w:rPr>
            </w:pPr>
            <w:r w:rsidRPr="00F476C9">
              <w:rPr>
                <w:rFonts w:eastAsia="MS Mincho" w:cstheme="minorHAnsi"/>
              </w:rPr>
              <w:t xml:space="preserve">Killen </w:t>
            </w:r>
            <w:r w:rsidR="002570AF">
              <w:rPr>
                <w:rFonts w:eastAsia="MS Mincho" w:cstheme="minorHAnsi"/>
              </w:rPr>
              <w:t>(</w:t>
            </w:r>
            <w:r w:rsidRPr="00F476C9">
              <w:rPr>
                <w:rFonts w:eastAsia="MS Mincho" w:cstheme="minorHAnsi"/>
              </w:rPr>
              <w:t>2006</w:t>
            </w:r>
            <w:r w:rsidR="002570AF">
              <w:rPr>
                <w:rFonts w:eastAsia="MS Mincho" w:cstheme="minorHAnsi"/>
              </w:rPr>
              <w:t>)</w:t>
            </w:r>
          </w:p>
        </w:tc>
        <w:tc>
          <w:tcPr>
            <w:tcW w:w="248" w:type="pct"/>
          </w:tcPr>
          <w:p w14:paraId="11FE9F3B" w14:textId="3E19E216" w:rsidR="005E68FB" w:rsidRPr="00017AE6" w:rsidRDefault="00DA3AB9" w:rsidP="00A71365">
            <w:pPr>
              <w:pStyle w:val="Tablewriting"/>
              <w:rPr>
                <w:rFonts w:eastAsia="MS Mincho" w:cstheme="minorHAnsi"/>
              </w:rPr>
            </w:pPr>
            <w:r>
              <w:rPr>
                <w:rFonts w:eastAsia="MS Mincho" w:cstheme="minorHAnsi"/>
              </w:rPr>
              <w:t>RCT</w:t>
            </w:r>
          </w:p>
        </w:tc>
        <w:tc>
          <w:tcPr>
            <w:tcW w:w="458" w:type="pct"/>
          </w:tcPr>
          <w:p w14:paraId="702F6309" w14:textId="6941D3B9" w:rsidR="005E68FB" w:rsidRPr="00017AE6" w:rsidRDefault="00E12CBE" w:rsidP="00A71365">
            <w:pPr>
              <w:pStyle w:val="Tablewriting"/>
              <w:rPr>
                <w:rFonts w:eastAsia="MS Mincho" w:cstheme="minorHAnsi"/>
              </w:rPr>
            </w:pPr>
            <w:r>
              <w:rPr>
                <w:rFonts w:eastAsia="MS Mincho" w:cstheme="minorHAnsi"/>
              </w:rPr>
              <w:t>USA</w:t>
            </w:r>
          </w:p>
        </w:tc>
        <w:tc>
          <w:tcPr>
            <w:tcW w:w="379" w:type="pct"/>
          </w:tcPr>
          <w:p w14:paraId="64F750D8" w14:textId="1A57B66E" w:rsidR="005E68FB" w:rsidRPr="00017AE6" w:rsidRDefault="005E68FB" w:rsidP="00A71365">
            <w:pPr>
              <w:pStyle w:val="Tablewriting"/>
              <w:rPr>
                <w:rFonts w:eastAsia="MS Mincho" w:cstheme="minorHAnsi"/>
              </w:rPr>
            </w:pPr>
            <w:r w:rsidRPr="00911D2C">
              <w:rPr>
                <w:rFonts w:eastAsia="MS Mincho" w:cstheme="minorHAnsi"/>
              </w:rPr>
              <w:t>N=</w:t>
            </w:r>
            <w:r w:rsidR="00E12CBE">
              <w:rPr>
                <w:rFonts w:eastAsia="MS Mincho" w:cstheme="minorHAnsi"/>
              </w:rPr>
              <w:t>362</w:t>
            </w:r>
          </w:p>
        </w:tc>
        <w:tc>
          <w:tcPr>
            <w:tcW w:w="1347" w:type="pct"/>
          </w:tcPr>
          <w:p w14:paraId="50B27B57" w14:textId="7AD50346" w:rsidR="00E12CBE" w:rsidRPr="00E12CBE" w:rsidRDefault="00E12CBE" w:rsidP="00A71365">
            <w:pPr>
              <w:pStyle w:val="Tablewriting"/>
              <w:rPr>
                <w:rFonts w:eastAsia="MS Mincho" w:cstheme="minorHAnsi"/>
              </w:rPr>
            </w:pPr>
            <w:r>
              <w:rPr>
                <w:rFonts w:eastAsia="MS Mincho" w:cstheme="minorHAnsi"/>
              </w:rPr>
              <w:t>S</w:t>
            </w:r>
            <w:r w:rsidRPr="00E12CBE">
              <w:rPr>
                <w:rFonts w:eastAsia="MS Mincho" w:cstheme="minorHAnsi"/>
              </w:rPr>
              <w:t xml:space="preserve">mokers </w:t>
            </w:r>
            <w:r w:rsidR="00D7535F" w:rsidRPr="00D7535F">
              <w:rPr>
                <w:rFonts w:eastAsia="MS Mincho" w:cstheme="minorHAnsi"/>
              </w:rPr>
              <w:t>≥</w:t>
            </w:r>
            <w:r w:rsidRPr="00E12CBE">
              <w:rPr>
                <w:rFonts w:eastAsia="MS Mincho" w:cstheme="minorHAnsi"/>
              </w:rPr>
              <w:t xml:space="preserve"> 10 cig</w:t>
            </w:r>
            <w:r w:rsidR="00CC264E">
              <w:rPr>
                <w:rFonts w:eastAsia="MS Mincho" w:cstheme="minorHAnsi"/>
              </w:rPr>
              <w:t>arettes</w:t>
            </w:r>
            <w:r w:rsidRPr="00E12CBE">
              <w:rPr>
                <w:rFonts w:eastAsia="MS Mincho" w:cstheme="minorHAnsi"/>
              </w:rPr>
              <w:t>/day, no current major depression</w:t>
            </w:r>
            <w:r w:rsidR="00D7535F">
              <w:rPr>
                <w:rFonts w:eastAsia="MS Mincho" w:cstheme="minorHAnsi"/>
              </w:rPr>
              <w:t>.</w:t>
            </w:r>
          </w:p>
          <w:p w14:paraId="7EE562FB" w14:textId="58EBA0D8" w:rsidR="005E68FB" w:rsidRPr="00017AE6" w:rsidRDefault="00E12CBE" w:rsidP="00A71365">
            <w:pPr>
              <w:pStyle w:val="Tablewriting"/>
              <w:rPr>
                <w:rFonts w:eastAsia="MS Mincho" w:cstheme="minorHAnsi"/>
              </w:rPr>
            </w:pPr>
            <w:r w:rsidRPr="00E12CBE">
              <w:rPr>
                <w:rFonts w:eastAsia="MS Mincho" w:cstheme="minorHAnsi"/>
              </w:rPr>
              <w:t xml:space="preserve">46% female, average age 45, average </w:t>
            </w:r>
            <w:r w:rsidR="00176D0B">
              <w:rPr>
                <w:rFonts w:eastAsia="MS Mincho" w:cstheme="minorHAnsi"/>
              </w:rPr>
              <w:t>CPD</w:t>
            </w:r>
            <w:r w:rsidRPr="00E12CBE">
              <w:rPr>
                <w:rFonts w:eastAsia="MS Mincho" w:cstheme="minorHAnsi"/>
              </w:rPr>
              <w:t xml:space="preserve"> 20, 25% previous bupropion use</w:t>
            </w:r>
            <w:r w:rsidR="00D7535F">
              <w:rPr>
                <w:rFonts w:eastAsia="MS Mincho" w:cstheme="minorHAnsi"/>
              </w:rPr>
              <w:t>.</w:t>
            </w:r>
          </w:p>
        </w:tc>
        <w:tc>
          <w:tcPr>
            <w:tcW w:w="1269" w:type="pct"/>
          </w:tcPr>
          <w:p w14:paraId="421D057C" w14:textId="77777777" w:rsidR="00693A3F" w:rsidRDefault="00D7535F" w:rsidP="00C324F3">
            <w:pPr>
              <w:pStyle w:val="Tablewriting"/>
              <w:numPr>
                <w:ilvl w:val="0"/>
                <w:numId w:val="165"/>
              </w:numPr>
              <w:rPr>
                <w:rFonts w:eastAsia="MS Mincho" w:cstheme="minorHAnsi"/>
              </w:rPr>
            </w:pPr>
            <w:r w:rsidRPr="00D7535F">
              <w:rPr>
                <w:rFonts w:eastAsia="MS Mincho" w:cstheme="minorHAnsi"/>
              </w:rPr>
              <w:t>Bupropion 150 mg for 14 weeks</w:t>
            </w:r>
            <w:r w:rsidR="00693A3F">
              <w:rPr>
                <w:rFonts w:eastAsia="MS Mincho" w:cstheme="minorHAnsi"/>
              </w:rPr>
              <w:t>.</w:t>
            </w:r>
          </w:p>
          <w:p w14:paraId="7C24F265" w14:textId="6E68414F" w:rsidR="00D7535F" w:rsidRPr="00693A3F" w:rsidRDefault="00D7535F" w:rsidP="00C324F3">
            <w:pPr>
              <w:pStyle w:val="Tablewriting"/>
              <w:numPr>
                <w:ilvl w:val="0"/>
                <w:numId w:val="165"/>
              </w:numPr>
              <w:rPr>
                <w:rFonts w:eastAsia="MS Mincho" w:cstheme="minorHAnsi"/>
              </w:rPr>
            </w:pPr>
            <w:r w:rsidRPr="00693A3F">
              <w:rPr>
                <w:rFonts w:eastAsia="MS Mincho" w:cstheme="minorHAnsi"/>
              </w:rPr>
              <w:t>2 weeks tapering bupropion, then placebo</w:t>
            </w:r>
            <w:r w:rsidR="00693A3F">
              <w:rPr>
                <w:rFonts w:eastAsia="MS Mincho" w:cstheme="minorHAnsi"/>
              </w:rPr>
              <w:t>.</w:t>
            </w:r>
          </w:p>
          <w:p w14:paraId="7459BCE4" w14:textId="77777777" w:rsidR="00D7535F" w:rsidRDefault="00D7535F" w:rsidP="00A71365">
            <w:pPr>
              <w:pStyle w:val="Tablewriting"/>
              <w:rPr>
                <w:rFonts w:eastAsia="MS Mincho" w:cstheme="minorHAnsi"/>
              </w:rPr>
            </w:pPr>
          </w:p>
          <w:p w14:paraId="16D35A64" w14:textId="0AFB5DFD" w:rsidR="00D7535F" w:rsidRDefault="00693A3F" w:rsidP="00A71365">
            <w:pPr>
              <w:pStyle w:val="Tablewriting"/>
              <w:rPr>
                <w:rFonts w:eastAsia="MS Mincho" w:cstheme="minorHAnsi"/>
              </w:rPr>
            </w:pPr>
            <w:r w:rsidRPr="00625930">
              <w:rPr>
                <w:rFonts w:eastAsia="MS Mincho" w:cstheme="minorHAnsi"/>
                <w:u w:val="single"/>
              </w:rPr>
              <w:t>Common components</w:t>
            </w:r>
            <w:r>
              <w:rPr>
                <w:rFonts w:eastAsia="MS Mincho" w:cstheme="minorHAnsi"/>
                <w:u w:val="single"/>
              </w:rPr>
              <w:t xml:space="preserve">: </w:t>
            </w:r>
            <w:r w:rsidR="00D7535F" w:rsidRPr="00D7535F">
              <w:rPr>
                <w:rFonts w:eastAsia="MS Mincho" w:cstheme="minorHAnsi"/>
              </w:rPr>
              <w:t>All participants received open-label combination</w:t>
            </w:r>
            <w:r>
              <w:rPr>
                <w:rFonts w:eastAsia="MS Mincho" w:cstheme="minorHAnsi"/>
              </w:rPr>
              <w:t xml:space="preserve"> </w:t>
            </w:r>
            <w:r w:rsidR="00D7535F" w:rsidRPr="00D7535F">
              <w:rPr>
                <w:rFonts w:eastAsia="MS Mincho" w:cstheme="minorHAnsi"/>
              </w:rPr>
              <w:t>pharmacotherapy of bupropion 300 mg for 11 weeks,</w:t>
            </w:r>
            <w:r>
              <w:rPr>
                <w:rFonts w:eastAsia="MS Mincho" w:cstheme="minorHAnsi"/>
              </w:rPr>
              <w:t xml:space="preserve"> </w:t>
            </w:r>
            <w:r w:rsidR="00D7535F" w:rsidRPr="00D7535F">
              <w:rPr>
                <w:rFonts w:eastAsia="MS Mincho" w:cstheme="minorHAnsi"/>
              </w:rPr>
              <w:t xml:space="preserve">nicotine patch for 10 weeks. TQD day 7, 30-min individual relapse prevention skills training at 6 </w:t>
            </w:r>
            <w:r w:rsidRPr="00D7535F">
              <w:rPr>
                <w:rFonts w:eastAsia="MS Mincho" w:cstheme="minorHAnsi"/>
              </w:rPr>
              <w:t>clinic</w:t>
            </w:r>
            <w:r w:rsidR="00836B64">
              <w:rPr>
                <w:rFonts w:eastAsia="MS Mincho" w:cstheme="minorHAnsi"/>
              </w:rPr>
              <w:t xml:space="preserve"> </w:t>
            </w:r>
            <w:r w:rsidR="00D7535F" w:rsidRPr="00D7535F">
              <w:rPr>
                <w:rFonts w:eastAsia="MS Mincho" w:cstheme="minorHAnsi"/>
              </w:rPr>
              <w:t>visits</w:t>
            </w:r>
            <w:r w:rsidR="003D6AD9">
              <w:rPr>
                <w:rFonts w:eastAsia="MS Mincho" w:cstheme="minorHAnsi"/>
              </w:rPr>
              <w:t>.</w:t>
            </w:r>
          </w:p>
          <w:p w14:paraId="543686BB" w14:textId="77777777" w:rsidR="003D6AD9" w:rsidRDefault="003D6AD9" w:rsidP="00A71365">
            <w:pPr>
              <w:pStyle w:val="Tablewriting"/>
              <w:rPr>
                <w:rFonts w:eastAsia="MS Mincho" w:cstheme="minorHAnsi"/>
              </w:rPr>
            </w:pPr>
          </w:p>
          <w:p w14:paraId="41132255" w14:textId="582CD5BB" w:rsidR="00D7535F" w:rsidRPr="00B732AD" w:rsidRDefault="003D6AD9" w:rsidP="00A71365">
            <w:pPr>
              <w:pStyle w:val="Tablewriting"/>
              <w:rPr>
                <w:rFonts w:eastAsia="MS Mincho" w:cstheme="minorHAnsi"/>
              </w:rPr>
            </w:pPr>
            <w:r w:rsidRPr="00D7535F">
              <w:rPr>
                <w:rFonts w:eastAsia="MS Mincho" w:cstheme="minorHAnsi"/>
              </w:rPr>
              <w:t>Both arms had 4 further clinic visits during extended therapy</w:t>
            </w:r>
            <w:r>
              <w:rPr>
                <w:rFonts w:eastAsia="MS Mincho" w:cstheme="minorHAnsi"/>
              </w:rPr>
              <w:t>.</w:t>
            </w:r>
          </w:p>
        </w:tc>
        <w:tc>
          <w:tcPr>
            <w:tcW w:w="774" w:type="pct"/>
          </w:tcPr>
          <w:p w14:paraId="7ADDF1BD" w14:textId="77777777" w:rsidR="005E68FB" w:rsidRPr="005E68FB" w:rsidRDefault="005E68FB" w:rsidP="00A71365">
            <w:pPr>
              <w:pStyle w:val="Tablewriting"/>
              <w:rPr>
                <w:rFonts w:eastAsia="MS Mincho" w:cstheme="minorHAnsi"/>
                <w:u w:val="single"/>
              </w:rPr>
            </w:pPr>
            <w:r w:rsidRPr="005E68FB">
              <w:rPr>
                <w:rFonts w:eastAsia="MS Mincho" w:cstheme="minorHAnsi"/>
                <w:u w:val="single"/>
              </w:rPr>
              <w:t xml:space="preserve">Efficacy: </w:t>
            </w:r>
          </w:p>
          <w:p w14:paraId="122BA16A" w14:textId="77777777" w:rsidR="005360A2" w:rsidRDefault="005360A2" w:rsidP="00A71365">
            <w:pPr>
              <w:pStyle w:val="Tablewriting"/>
              <w:rPr>
                <w:rFonts w:eastAsia="MS Mincho" w:cstheme="minorHAnsi"/>
              </w:rPr>
            </w:pPr>
            <w:r w:rsidRPr="005360A2">
              <w:rPr>
                <w:rFonts w:eastAsia="MS Mincho" w:cstheme="minorHAnsi"/>
              </w:rPr>
              <w:t xml:space="preserve">Abstinence at 12 months (6 months post-EOT) (continuous). </w:t>
            </w:r>
          </w:p>
          <w:p w14:paraId="2592C80C" w14:textId="7D667FF3" w:rsidR="005360A2" w:rsidRDefault="005360A2" w:rsidP="00A71365">
            <w:pPr>
              <w:pStyle w:val="Tablewriting"/>
              <w:rPr>
                <w:rFonts w:eastAsia="MS Mincho" w:cstheme="minorHAnsi"/>
              </w:rPr>
            </w:pPr>
            <w:r w:rsidRPr="005360A2">
              <w:rPr>
                <w:rFonts w:eastAsia="MS Mincho" w:cstheme="minorHAnsi"/>
              </w:rPr>
              <w:t>PP and 7-day relapse-free outcomes also</w:t>
            </w:r>
            <w:r>
              <w:rPr>
                <w:rFonts w:eastAsia="MS Mincho" w:cstheme="minorHAnsi"/>
              </w:rPr>
              <w:t xml:space="preserve"> </w:t>
            </w:r>
            <w:r w:rsidRPr="005360A2">
              <w:rPr>
                <w:rFonts w:eastAsia="MS Mincho" w:cstheme="minorHAnsi"/>
              </w:rPr>
              <w:t>reported</w:t>
            </w:r>
            <w:r>
              <w:rPr>
                <w:rFonts w:eastAsia="MS Mincho" w:cstheme="minorHAnsi"/>
              </w:rPr>
              <w:t>.</w:t>
            </w:r>
          </w:p>
          <w:p w14:paraId="3225AF5D" w14:textId="77777777" w:rsidR="005360A2" w:rsidRPr="005360A2" w:rsidRDefault="005360A2" w:rsidP="00A71365">
            <w:pPr>
              <w:pStyle w:val="Tablewriting"/>
              <w:rPr>
                <w:rFonts w:eastAsia="MS Mincho" w:cstheme="minorHAnsi"/>
              </w:rPr>
            </w:pPr>
          </w:p>
          <w:p w14:paraId="2F8FEC01" w14:textId="5C167CC2" w:rsidR="005E68FB" w:rsidRDefault="005360A2" w:rsidP="00A71365">
            <w:pPr>
              <w:pStyle w:val="Tablewriting"/>
              <w:rPr>
                <w:rFonts w:eastAsia="MS Mincho" w:cstheme="minorHAnsi"/>
              </w:rPr>
            </w:pPr>
            <w:r w:rsidRPr="005360A2">
              <w:rPr>
                <w:rFonts w:eastAsia="MS Mincho" w:cstheme="minorHAnsi"/>
              </w:rPr>
              <w:t>Validation: CO (10 people not required to provide samples)</w:t>
            </w:r>
            <w:r w:rsidR="00723747">
              <w:rPr>
                <w:rFonts w:eastAsia="MS Mincho" w:cstheme="minorHAnsi"/>
              </w:rPr>
              <w:t>.</w:t>
            </w:r>
          </w:p>
          <w:p w14:paraId="21776018" w14:textId="77777777" w:rsidR="00723747" w:rsidRDefault="00723747" w:rsidP="00A71365">
            <w:pPr>
              <w:pStyle w:val="Tablewriting"/>
              <w:rPr>
                <w:rFonts w:eastAsia="MS Mincho" w:cstheme="minorHAnsi"/>
              </w:rPr>
            </w:pPr>
          </w:p>
          <w:p w14:paraId="1618E721" w14:textId="1CD8A904" w:rsidR="005E68FB" w:rsidRPr="00723747" w:rsidRDefault="005E68FB" w:rsidP="00A71365">
            <w:pPr>
              <w:pStyle w:val="Tablewriting"/>
              <w:rPr>
                <w:rFonts w:eastAsia="MS Mincho" w:cstheme="minorHAnsi"/>
                <w:u w:val="single"/>
              </w:rPr>
            </w:pPr>
            <w:r w:rsidRPr="005E68FB">
              <w:rPr>
                <w:rFonts w:eastAsia="MS Mincho" w:cstheme="minorHAnsi"/>
                <w:u w:val="single"/>
              </w:rPr>
              <w:t>Safety:</w:t>
            </w:r>
            <w:r w:rsidR="00723747">
              <w:rPr>
                <w:rFonts w:eastAsia="MS Mincho" w:cstheme="minorHAnsi"/>
                <w:u w:val="single"/>
              </w:rPr>
              <w:t xml:space="preserve"> </w:t>
            </w:r>
            <w:r w:rsidR="00723747">
              <w:rPr>
                <w:rFonts w:eastAsia="MS Mincho" w:cstheme="minorHAnsi"/>
              </w:rPr>
              <w:t>NR.</w:t>
            </w:r>
          </w:p>
        </w:tc>
      </w:tr>
    </w:tbl>
    <w:p w14:paraId="370E3054" w14:textId="77777777" w:rsidR="007C71A8" w:rsidRPr="009B042A" w:rsidRDefault="007C71A8" w:rsidP="005821B1">
      <w:pPr>
        <w:pStyle w:val="TableFooter"/>
        <w:jc w:val="both"/>
      </w:pPr>
      <w:r>
        <w:t>Source:</w:t>
      </w:r>
      <w:r w:rsidRPr="00E67EC2">
        <w:t xml:space="preserve"> </w:t>
      </w:r>
      <w:r w:rsidRPr="00A62951">
        <w:t>Livingstone-Banks et al. (2019)</w:t>
      </w:r>
      <w:r>
        <w:t>.</w:t>
      </w:r>
    </w:p>
    <w:p w14:paraId="4B3A406E" w14:textId="0611951A" w:rsidR="00ED2827" w:rsidRDefault="00743527" w:rsidP="005821B1">
      <w:pPr>
        <w:pStyle w:val="TableFooter"/>
        <w:spacing w:after="120"/>
        <w:contextualSpacing w:val="0"/>
        <w:jc w:val="both"/>
      </w:pPr>
      <w:r>
        <w:lastRenderedPageBreak/>
        <w:t xml:space="preserve">Abbreviations: </w:t>
      </w:r>
      <w:r w:rsidR="00BF6244">
        <w:t xml:space="preserve">NR= not reported; </w:t>
      </w:r>
      <w:r w:rsidRPr="009B042A">
        <w:t xml:space="preserve">PPA= point prevalence smoking abstinence; </w:t>
      </w:r>
      <w:r w:rsidR="00BF6244">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rsidR="00BF6244">
        <w:t>part per million</w:t>
      </w:r>
      <w:r w:rsidRPr="009B042A">
        <w:t xml:space="preserve">; EoT= end of treatment; </w:t>
      </w:r>
      <w:r w:rsidR="00BF6244">
        <w:t xml:space="preserve">FTND= </w:t>
      </w:r>
      <w:r w:rsidR="00115AEE" w:rsidRPr="00BD70BE">
        <w:t>Fagerstrӧm</w:t>
      </w:r>
      <w:r w:rsidR="00BF6244" w:rsidRPr="00BD70BE">
        <w:t xml:space="preserve"> test for nicotine dependence</w:t>
      </w:r>
      <w:r w:rsidR="00BF6244">
        <w:t xml:space="preserve">; CPD= cigarette per day; AEs= adverse events; SAEs= serious adverse events. </w:t>
      </w:r>
    </w:p>
    <w:p w14:paraId="1482DCEA" w14:textId="77777777" w:rsidR="00EA7016" w:rsidRDefault="00EA7016">
      <w:pPr>
        <w:spacing w:line="276" w:lineRule="auto"/>
        <w:rPr>
          <w:rFonts w:asciiTheme="minorHAnsi" w:eastAsia="Times New Roman" w:hAnsiTheme="minorHAnsi" w:cs="Times New Roman"/>
          <w:b/>
          <w:bCs/>
          <w:szCs w:val="18"/>
        </w:rPr>
      </w:pPr>
      <w:bookmarkStart w:id="339" w:name="_Ref54888877"/>
      <w:r>
        <w:br w:type="page"/>
      </w:r>
    </w:p>
    <w:p w14:paraId="27D9DB34" w14:textId="7C640333" w:rsidR="002C2327" w:rsidRDefault="002C2327"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154</w:t>
      </w:r>
      <w:r w:rsidR="00BF3F75">
        <w:rPr>
          <w:noProof/>
        </w:rPr>
        <w:fldChar w:fldCharType="end"/>
      </w:r>
      <w:bookmarkEnd w:id="339"/>
      <w:r>
        <w:t xml:space="preserve">: </w:t>
      </w:r>
      <w:r w:rsidRPr="00044526">
        <w:t xml:space="preserve">Characteristics of studies included in Livingstone-Banks et al. (2019), </w:t>
      </w:r>
      <w:r>
        <w:t>NRT</w:t>
      </w:r>
      <w:r w:rsidRPr="00044526">
        <w:t xml:space="preserve"> versus placebo in abstainers (relapse prevention)</w:t>
      </w:r>
    </w:p>
    <w:tbl>
      <w:tblPr>
        <w:tblStyle w:val="TableGrid"/>
        <w:tblW w:w="5000" w:type="pct"/>
        <w:tblLook w:val="04A0" w:firstRow="1" w:lastRow="0" w:firstColumn="1" w:lastColumn="0" w:noHBand="0" w:noVBand="1"/>
        <w:tblCaption w:val="Efficacy results of adalimumab trials (PASI 75 and DLQI)"/>
      </w:tblPr>
      <w:tblGrid>
        <w:gridCol w:w="1375"/>
        <w:gridCol w:w="690"/>
        <w:gridCol w:w="1202"/>
        <w:gridCol w:w="993"/>
        <w:gridCol w:w="3408"/>
        <w:gridCol w:w="3473"/>
        <w:gridCol w:w="2807"/>
      </w:tblGrid>
      <w:tr w:rsidR="002C2327" w:rsidRPr="00061F78" w14:paraId="7BB8933D" w14:textId="77777777" w:rsidTr="005821B1">
        <w:trPr>
          <w:trHeight w:val="299"/>
          <w:tblHeader/>
        </w:trPr>
        <w:tc>
          <w:tcPr>
            <w:tcW w:w="495" w:type="pct"/>
            <w:shd w:val="clear" w:color="auto" w:fill="BFBFBF" w:themeFill="background1" w:themeFillShade="BF"/>
            <w:tcMar>
              <w:left w:w="28" w:type="dxa"/>
              <w:right w:w="28" w:type="dxa"/>
            </w:tcMar>
          </w:tcPr>
          <w:p w14:paraId="1454D9FB" w14:textId="1173C4B3" w:rsidR="002C2327"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163B3506" w14:textId="77777777" w:rsidR="002C2327" w:rsidRDefault="002C2327"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14:paraId="786DDB8D" w14:textId="77777777" w:rsidR="002C2327" w:rsidRDefault="002C2327" w:rsidP="00A71365">
            <w:pPr>
              <w:pStyle w:val="Tableheading"/>
              <w:jc w:val="center"/>
              <w:rPr>
                <w:rFonts w:eastAsia="MS Mincho"/>
              </w:rPr>
            </w:pPr>
            <w:r>
              <w:rPr>
                <w:rFonts w:eastAsia="MS Mincho"/>
              </w:rPr>
              <w:t>Countries</w:t>
            </w:r>
          </w:p>
        </w:tc>
        <w:tc>
          <w:tcPr>
            <w:tcW w:w="358" w:type="pct"/>
            <w:shd w:val="clear" w:color="auto" w:fill="BFBFBF" w:themeFill="background1" w:themeFillShade="BF"/>
            <w:tcMar>
              <w:left w:w="28" w:type="dxa"/>
              <w:right w:w="28" w:type="dxa"/>
            </w:tcMar>
          </w:tcPr>
          <w:p w14:paraId="298CAF27" w14:textId="77777777" w:rsidR="002C2327" w:rsidRPr="00061F78" w:rsidRDefault="002C2327" w:rsidP="00A71365">
            <w:pPr>
              <w:pStyle w:val="Tableheading"/>
              <w:jc w:val="center"/>
              <w:rPr>
                <w:rFonts w:eastAsia="MS Mincho"/>
              </w:rPr>
            </w:pPr>
            <w:r>
              <w:rPr>
                <w:rFonts w:eastAsia="MS Mincho"/>
              </w:rPr>
              <w:t>N</w:t>
            </w:r>
          </w:p>
        </w:tc>
        <w:tc>
          <w:tcPr>
            <w:tcW w:w="1224" w:type="pct"/>
            <w:shd w:val="clear" w:color="auto" w:fill="BFBFBF" w:themeFill="background1" w:themeFillShade="BF"/>
            <w:tcMar>
              <w:left w:w="28" w:type="dxa"/>
              <w:right w:w="28" w:type="dxa"/>
            </w:tcMar>
          </w:tcPr>
          <w:p w14:paraId="1528399F" w14:textId="77777777" w:rsidR="002C2327" w:rsidRPr="00061F78" w:rsidRDefault="002C2327" w:rsidP="00A71365">
            <w:pPr>
              <w:pStyle w:val="Tableheading"/>
              <w:jc w:val="center"/>
              <w:rPr>
                <w:rFonts w:eastAsia="MS Mincho"/>
              </w:rPr>
            </w:pPr>
            <w:r w:rsidRPr="00061F78">
              <w:rPr>
                <w:rFonts w:eastAsia="MS Mincho"/>
              </w:rPr>
              <w:t>P</w:t>
            </w:r>
            <w:r>
              <w:rPr>
                <w:rFonts w:eastAsia="MS Mincho"/>
              </w:rPr>
              <w:t>opulation</w:t>
            </w:r>
          </w:p>
        </w:tc>
        <w:tc>
          <w:tcPr>
            <w:tcW w:w="1247" w:type="pct"/>
            <w:shd w:val="clear" w:color="auto" w:fill="BFBFBF" w:themeFill="background1" w:themeFillShade="BF"/>
          </w:tcPr>
          <w:p w14:paraId="4337430E" w14:textId="77777777" w:rsidR="002C2327" w:rsidRDefault="002C2327"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14:paraId="3A145610" w14:textId="77777777" w:rsidR="002C2327" w:rsidRPr="00061F78" w:rsidRDefault="002C2327" w:rsidP="00A71365">
            <w:pPr>
              <w:pStyle w:val="Tableheading"/>
              <w:jc w:val="center"/>
              <w:rPr>
                <w:rFonts w:eastAsia="MS Mincho"/>
              </w:rPr>
            </w:pPr>
            <w:r>
              <w:rPr>
                <w:rFonts w:eastAsia="MS Mincho"/>
              </w:rPr>
              <w:t>Outcomes</w:t>
            </w:r>
          </w:p>
        </w:tc>
      </w:tr>
      <w:tr w:rsidR="006A6CB7" w:rsidRPr="00017AE6" w14:paraId="2E3E9C90" w14:textId="77777777" w:rsidTr="005821B1">
        <w:trPr>
          <w:trHeight w:val="99"/>
        </w:trPr>
        <w:tc>
          <w:tcPr>
            <w:tcW w:w="495" w:type="pct"/>
          </w:tcPr>
          <w:p w14:paraId="2E9B8B1D" w14:textId="5A18CF3A" w:rsidR="006A6CB7" w:rsidRPr="00017AE6" w:rsidRDefault="006A6CB7" w:rsidP="00A71365">
            <w:pPr>
              <w:pStyle w:val="Tablewriting"/>
              <w:rPr>
                <w:rFonts w:eastAsia="MS Mincho" w:cstheme="minorHAnsi"/>
              </w:rPr>
            </w:pPr>
            <w:r w:rsidRPr="00473B35">
              <w:rPr>
                <w:rFonts w:eastAsia="MS Mincho" w:cstheme="minorHAnsi"/>
              </w:rPr>
              <w:t xml:space="preserve">Covey </w:t>
            </w:r>
            <w:r w:rsidR="00736D03">
              <w:rPr>
                <w:rFonts w:eastAsia="MS Mincho" w:cstheme="minorHAnsi"/>
              </w:rPr>
              <w:t>(</w:t>
            </w:r>
            <w:r w:rsidRPr="00473B35">
              <w:rPr>
                <w:rFonts w:eastAsia="MS Mincho" w:cstheme="minorHAnsi"/>
              </w:rPr>
              <w:t>2007</w:t>
            </w:r>
            <w:r w:rsidR="00736D03">
              <w:rPr>
                <w:rFonts w:eastAsia="MS Mincho" w:cstheme="minorHAnsi"/>
              </w:rPr>
              <w:t>)</w:t>
            </w:r>
          </w:p>
        </w:tc>
        <w:tc>
          <w:tcPr>
            <w:tcW w:w="235" w:type="pct"/>
          </w:tcPr>
          <w:p w14:paraId="2034B2E0" w14:textId="117B0B15" w:rsidR="006A6CB7" w:rsidRPr="00017AE6" w:rsidRDefault="00041FA9" w:rsidP="00A71365">
            <w:pPr>
              <w:pStyle w:val="Tablewriting"/>
              <w:rPr>
                <w:rFonts w:eastAsia="MS Mincho" w:cstheme="minorHAnsi"/>
              </w:rPr>
            </w:pPr>
            <w:r>
              <w:rPr>
                <w:rFonts w:eastAsia="MS Mincho" w:cstheme="minorHAnsi"/>
              </w:rPr>
              <w:t>RCT</w:t>
            </w:r>
          </w:p>
        </w:tc>
        <w:tc>
          <w:tcPr>
            <w:tcW w:w="433" w:type="pct"/>
          </w:tcPr>
          <w:p w14:paraId="20BEFEF6" w14:textId="703A1DA4" w:rsidR="006A6CB7" w:rsidRPr="00017AE6" w:rsidRDefault="006A6CB7" w:rsidP="00A71365">
            <w:pPr>
              <w:pStyle w:val="Tablewriting"/>
              <w:rPr>
                <w:rFonts w:eastAsia="MS Mincho" w:cstheme="minorHAnsi"/>
              </w:rPr>
            </w:pPr>
            <w:r>
              <w:rPr>
                <w:rFonts w:eastAsia="MS Mincho" w:cstheme="minorHAnsi"/>
              </w:rPr>
              <w:t>USA</w:t>
            </w:r>
          </w:p>
        </w:tc>
        <w:tc>
          <w:tcPr>
            <w:tcW w:w="358" w:type="pct"/>
          </w:tcPr>
          <w:p w14:paraId="5A47F710" w14:textId="008FFE10" w:rsidR="006A6CB7" w:rsidRPr="00017AE6" w:rsidRDefault="006A6CB7" w:rsidP="00A71365">
            <w:pPr>
              <w:pStyle w:val="Tablewriting"/>
              <w:rPr>
                <w:rFonts w:eastAsia="MS Mincho" w:cstheme="minorHAnsi"/>
              </w:rPr>
            </w:pPr>
            <w:r>
              <w:rPr>
                <w:rFonts w:eastAsia="MS Mincho" w:cstheme="minorHAnsi"/>
              </w:rPr>
              <w:t>N=289</w:t>
            </w:r>
          </w:p>
        </w:tc>
        <w:tc>
          <w:tcPr>
            <w:tcW w:w="1224" w:type="pct"/>
          </w:tcPr>
          <w:p w14:paraId="2F126B6E" w14:textId="2BFD2352" w:rsidR="006A6CB7" w:rsidRPr="00B546E7" w:rsidRDefault="006A6CB7" w:rsidP="00A71365">
            <w:pPr>
              <w:pStyle w:val="Tablewriting"/>
              <w:rPr>
                <w:rFonts w:eastAsia="MS Mincho" w:cstheme="minorHAnsi"/>
              </w:rPr>
            </w:pPr>
            <w:r>
              <w:rPr>
                <w:rFonts w:eastAsia="MS Mincho" w:cstheme="minorHAnsi"/>
              </w:rPr>
              <w:t>A</w:t>
            </w:r>
            <w:r w:rsidRPr="00B546E7">
              <w:rPr>
                <w:rFonts w:eastAsia="MS Mincho" w:cstheme="minorHAnsi"/>
              </w:rPr>
              <w:t>bstainers (excludes 5 withdrawing consent before starting medication)</w:t>
            </w:r>
            <w:r>
              <w:rPr>
                <w:rFonts w:eastAsia="MS Mincho" w:cstheme="minorHAnsi"/>
              </w:rPr>
              <w:t xml:space="preserve">, </w:t>
            </w:r>
            <w:r w:rsidRPr="00B546E7">
              <w:rPr>
                <w:rFonts w:eastAsia="MS Mincho" w:cstheme="minorHAnsi"/>
              </w:rPr>
              <w:t>45% female, average age 43</w:t>
            </w:r>
            <w:r>
              <w:rPr>
                <w:rFonts w:eastAsia="MS Mincho" w:cstheme="minorHAnsi"/>
              </w:rPr>
              <w:t xml:space="preserve"> years</w:t>
            </w:r>
            <w:r w:rsidRPr="00B546E7">
              <w:rPr>
                <w:rFonts w:eastAsia="MS Mincho" w:cstheme="minorHAnsi"/>
              </w:rPr>
              <w:t xml:space="preserve">, average </w:t>
            </w:r>
            <w:r w:rsidR="00041FA9">
              <w:rPr>
                <w:rFonts w:eastAsia="MS Mincho" w:cstheme="minorHAnsi"/>
              </w:rPr>
              <w:t>CPD</w:t>
            </w:r>
            <w:r w:rsidRPr="00B546E7">
              <w:rPr>
                <w:rFonts w:eastAsia="MS Mincho" w:cstheme="minorHAnsi"/>
              </w:rPr>
              <w:t xml:space="preserve"> 21</w:t>
            </w:r>
            <w:r>
              <w:rPr>
                <w:rFonts w:eastAsia="MS Mincho" w:cstheme="minorHAnsi"/>
              </w:rPr>
              <w:t>.</w:t>
            </w:r>
          </w:p>
          <w:p w14:paraId="70B0169A" w14:textId="77777777" w:rsidR="006A6CB7" w:rsidRDefault="006A6CB7" w:rsidP="00A71365">
            <w:pPr>
              <w:pStyle w:val="Tablewriting"/>
              <w:rPr>
                <w:rFonts w:eastAsia="MS Mincho" w:cstheme="minorHAnsi"/>
              </w:rPr>
            </w:pPr>
          </w:p>
          <w:p w14:paraId="15DDF689" w14:textId="2E600DC4" w:rsidR="006A6CB7" w:rsidRPr="00017AE6" w:rsidRDefault="006A6CB7" w:rsidP="00A71365">
            <w:pPr>
              <w:pStyle w:val="Tablewriting"/>
              <w:rPr>
                <w:rFonts w:eastAsia="MS Mincho" w:cstheme="minorHAnsi"/>
              </w:rPr>
            </w:pPr>
            <w:r w:rsidRPr="00B546E7">
              <w:rPr>
                <w:rFonts w:eastAsia="MS Mincho" w:cstheme="minorHAnsi"/>
              </w:rPr>
              <w:t>Therapists: counsellors, 1-month</w:t>
            </w:r>
            <w:r>
              <w:rPr>
                <w:rFonts w:eastAsia="MS Mincho" w:cstheme="minorHAnsi"/>
              </w:rPr>
              <w:t xml:space="preserve"> </w:t>
            </w:r>
            <w:r w:rsidRPr="00B546E7">
              <w:rPr>
                <w:rFonts w:eastAsia="MS Mincho" w:cstheme="minorHAnsi"/>
              </w:rPr>
              <w:t>training</w:t>
            </w:r>
            <w:r>
              <w:rPr>
                <w:rFonts w:eastAsia="MS Mincho" w:cstheme="minorHAnsi"/>
              </w:rPr>
              <w:t>.</w:t>
            </w:r>
          </w:p>
        </w:tc>
        <w:tc>
          <w:tcPr>
            <w:tcW w:w="1247" w:type="pct"/>
          </w:tcPr>
          <w:p w14:paraId="35FCE528" w14:textId="77777777" w:rsidR="006A6CB7" w:rsidRDefault="006A6CB7" w:rsidP="00C324F3">
            <w:pPr>
              <w:pStyle w:val="Tablewriting"/>
              <w:numPr>
                <w:ilvl w:val="0"/>
                <w:numId w:val="160"/>
              </w:numPr>
              <w:rPr>
                <w:rFonts w:eastAsia="MS Mincho" w:cstheme="minorHAnsi"/>
              </w:rPr>
            </w:pPr>
            <w:r w:rsidRPr="00C30F1B">
              <w:rPr>
                <w:rFonts w:eastAsia="MS Mincho" w:cstheme="minorHAnsi"/>
              </w:rPr>
              <w:t>Bupropion (300 mg) and nicotine gum (2 mg, use as needed to manage craving) for 16 weeks</w:t>
            </w:r>
            <w:r>
              <w:rPr>
                <w:rFonts w:eastAsia="MS Mincho" w:cstheme="minorHAnsi"/>
              </w:rPr>
              <w:t>.</w:t>
            </w:r>
          </w:p>
          <w:p w14:paraId="41EFF7EA" w14:textId="77777777" w:rsidR="006A6CB7" w:rsidRDefault="006A6CB7" w:rsidP="00C324F3">
            <w:pPr>
              <w:pStyle w:val="Tablewriting"/>
              <w:numPr>
                <w:ilvl w:val="0"/>
                <w:numId w:val="160"/>
              </w:numPr>
              <w:rPr>
                <w:rFonts w:eastAsia="MS Mincho" w:cstheme="minorHAnsi"/>
              </w:rPr>
            </w:pPr>
            <w:r w:rsidRPr="00A80535">
              <w:rPr>
                <w:rFonts w:eastAsia="MS Mincho" w:cstheme="minorHAnsi"/>
              </w:rPr>
              <w:t>Bupropion and placebo gum</w:t>
            </w:r>
            <w:r>
              <w:rPr>
                <w:rFonts w:eastAsia="MS Mincho" w:cstheme="minorHAnsi"/>
              </w:rPr>
              <w:t>.</w:t>
            </w:r>
          </w:p>
          <w:p w14:paraId="2E069151" w14:textId="77777777" w:rsidR="006A6CB7" w:rsidRDefault="006A6CB7" w:rsidP="00C324F3">
            <w:pPr>
              <w:pStyle w:val="Tablewriting"/>
              <w:numPr>
                <w:ilvl w:val="0"/>
                <w:numId w:val="160"/>
              </w:numPr>
              <w:rPr>
                <w:rFonts w:eastAsia="MS Mincho" w:cstheme="minorHAnsi"/>
              </w:rPr>
            </w:pPr>
            <w:r w:rsidRPr="00A80535">
              <w:rPr>
                <w:rFonts w:eastAsia="MS Mincho" w:cstheme="minorHAnsi"/>
              </w:rPr>
              <w:t>Nicotine gum and placebo pill (150 mg bupropion for first week)</w:t>
            </w:r>
            <w:r>
              <w:rPr>
                <w:rFonts w:eastAsia="MS Mincho" w:cstheme="minorHAnsi"/>
              </w:rPr>
              <w:t>.</w:t>
            </w:r>
          </w:p>
          <w:p w14:paraId="4D01AAF0" w14:textId="77777777" w:rsidR="006A6CB7" w:rsidRPr="00A80535" w:rsidRDefault="006A6CB7" w:rsidP="00C324F3">
            <w:pPr>
              <w:pStyle w:val="Tablewriting"/>
              <w:numPr>
                <w:ilvl w:val="0"/>
                <w:numId w:val="160"/>
              </w:numPr>
              <w:rPr>
                <w:rFonts w:eastAsia="MS Mincho" w:cstheme="minorHAnsi"/>
              </w:rPr>
            </w:pPr>
            <w:r w:rsidRPr="00A80535">
              <w:rPr>
                <w:rFonts w:eastAsia="MS Mincho" w:cstheme="minorHAnsi"/>
              </w:rPr>
              <w:t>Double placebo (150 mg bupropion for first week)</w:t>
            </w:r>
            <w:r>
              <w:rPr>
                <w:rFonts w:eastAsia="MS Mincho" w:cstheme="minorHAnsi"/>
              </w:rPr>
              <w:t>.</w:t>
            </w:r>
          </w:p>
          <w:p w14:paraId="5407A336" w14:textId="77777777" w:rsidR="006A6CB7" w:rsidRDefault="006A6CB7" w:rsidP="00A71365">
            <w:pPr>
              <w:pStyle w:val="Tablewriting"/>
              <w:rPr>
                <w:rFonts w:eastAsia="MS Mincho" w:cstheme="minorHAnsi"/>
              </w:rPr>
            </w:pPr>
          </w:p>
          <w:p w14:paraId="440D2948" w14:textId="77777777" w:rsidR="006A6CB7" w:rsidRPr="00C30F1B" w:rsidRDefault="006A6CB7" w:rsidP="00A71365">
            <w:pPr>
              <w:pStyle w:val="Tablewriting"/>
              <w:rPr>
                <w:rFonts w:eastAsia="MS Mincho" w:cstheme="minorHAnsi"/>
              </w:rPr>
            </w:pPr>
            <w:r w:rsidRPr="00C30F1B">
              <w:rPr>
                <w:rFonts w:eastAsia="MS Mincho" w:cstheme="minorHAnsi"/>
                <w:u w:val="single"/>
              </w:rPr>
              <w:t>Common components:</w:t>
            </w:r>
            <w:r>
              <w:rPr>
                <w:rFonts w:eastAsia="MS Mincho" w:cstheme="minorHAnsi"/>
              </w:rPr>
              <w:t xml:space="preserve"> </w:t>
            </w:r>
            <w:r w:rsidRPr="00C30F1B">
              <w:rPr>
                <w:rFonts w:eastAsia="MS Mincho" w:cstheme="minorHAnsi"/>
              </w:rPr>
              <w:t>All participants received 8 weeks open-label bupropion and nicotine patch (21 mg with weaning) for</w:t>
            </w:r>
          </w:p>
          <w:p w14:paraId="7F479173" w14:textId="2CF6E7B9" w:rsidR="006A6CB7" w:rsidRPr="00017AE6" w:rsidRDefault="006A6CB7" w:rsidP="00A71365">
            <w:pPr>
              <w:pStyle w:val="Tablewriting"/>
              <w:rPr>
                <w:rFonts w:eastAsia="MS Mincho" w:cstheme="minorHAnsi"/>
              </w:rPr>
            </w:pPr>
            <w:r w:rsidRPr="00C30F1B">
              <w:rPr>
                <w:rFonts w:eastAsia="MS Mincho" w:cstheme="minorHAnsi"/>
              </w:rPr>
              <w:t>7 weeks from TQD. Transition procedures preserved blinding for the relapse prevention phase but allowed</w:t>
            </w:r>
            <w:r>
              <w:rPr>
                <w:rFonts w:eastAsia="MS Mincho" w:cstheme="minorHAnsi"/>
              </w:rPr>
              <w:t xml:space="preserve"> </w:t>
            </w:r>
            <w:r w:rsidRPr="00C30F1B">
              <w:rPr>
                <w:rFonts w:eastAsia="MS Mincho" w:cstheme="minorHAnsi"/>
              </w:rPr>
              <w:t>weaning from bupropion. Individual counselling, including CBT techniques, 15 minutes × 6 during</w:t>
            </w:r>
            <w:r>
              <w:rPr>
                <w:rFonts w:eastAsia="MS Mincho" w:cstheme="minorHAnsi"/>
              </w:rPr>
              <w:t xml:space="preserve"> </w:t>
            </w:r>
            <w:r w:rsidRPr="00C30F1B">
              <w:rPr>
                <w:rFonts w:eastAsia="MS Mincho" w:cstheme="minorHAnsi"/>
              </w:rPr>
              <w:t>open-label, × 4 during relapse prevention, × 2 during follow-up</w:t>
            </w:r>
            <w:r>
              <w:rPr>
                <w:rFonts w:eastAsia="MS Mincho" w:cstheme="minorHAnsi"/>
              </w:rPr>
              <w:t>.</w:t>
            </w:r>
          </w:p>
        </w:tc>
        <w:tc>
          <w:tcPr>
            <w:tcW w:w="1008" w:type="pct"/>
          </w:tcPr>
          <w:p w14:paraId="30593E89" w14:textId="77777777" w:rsidR="006A6CB7" w:rsidRPr="005E68FB" w:rsidRDefault="006A6CB7" w:rsidP="00A71365">
            <w:pPr>
              <w:pStyle w:val="Tablewriting"/>
              <w:rPr>
                <w:rFonts w:eastAsia="MS Mincho" w:cstheme="minorHAnsi"/>
                <w:u w:val="single"/>
              </w:rPr>
            </w:pPr>
            <w:r w:rsidRPr="005E68FB">
              <w:rPr>
                <w:rFonts w:eastAsia="MS Mincho" w:cstheme="minorHAnsi"/>
                <w:u w:val="single"/>
              </w:rPr>
              <w:t xml:space="preserve">Efficacy: </w:t>
            </w:r>
          </w:p>
          <w:p w14:paraId="6AC0E01D" w14:textId="77777777" w:rsidR="006A6CB7" w:rsidRDefault="006A6CB7" w:rsidP="00A71365">
            <w:pPr>
              <w:pStyle w:val="Tablewriting"/>
              <w:rPr>
                <w:rFonts w:eastAsia="MS Mincho" w:cstheme="minorHAnsi"/>
              </w:rPr>
            </w:pPr>
            <w:r w:rsidRPr="00CE33A2">
              <w:rPr>
                <w:rFonts w:eastAsia="MS Mincho" w:cstheme="minorHAnsi"/>
              </w:rPr>
              <w:t>Abstinence (no relapse to 7 days of smoking) for 12 months (10 months after randomisation, 6 months</w:t>
            </w:r>
            <w:r>
              <w:rPr>
                <w:rFonts w:eastAsia="MS Mincho" w:cstheme="minorHAnsi"/>
              </w:rPr>
              <w:t xml:space="preserve"> </w:t>
            </w:r>
            <w:r w:rsidRPr="00CE33A2">
              <w:rPr>
                <w:rFonts w:eastAsia="MS Mincho" w:cstheme="minorHAnsi"/>
              </w:rPr>
              <w:t>after EOT) (primary outcome for study was time to relapse)</w:t>
            </w:r>
            <w:r>
              <w:rPr>
                <w:rFonts w:eastAsia="MS Mincho" w:cstheme="minorHAnsi"/>
              </w:rPr>
              <w:t>.</w:t>
            </w:r>
          </w:p>
          <w:p w14:paraId="0462AA48" w14:textId="77777777" w:rsidR="006A6CB7" w:rsidRPr="00CE33A2" w:rsidRDefault="006A6CB7" w:rsidP="00A71365">
            <w:pPr>
              <w:pStyle w:val="Tablewriting"/>
              <w:rPr>
                <w:rFonts w:eastAsia="MS Mincho" w:cstheme="minorHAnsi"/>
              </w:rPr>
            </w:pPr>
          </w:p>
          <w:p w14:paraId="582B354A" w14:textId="77777777" w:rsidR="006A6CB7" w:rsidRDefault="006A6CB7" w:rsidP="00A71365">
            <w:pPr>
              <w:pStyle w:val="Tablewriting"/>
              <w:rPr>
                <w:rFonts w:eastAsia="MS Mincho" w:cstheme="minorHAnsi"/>
              </w:rPr>
            </w:pPr>
            <w:r w:rsidRPr="00CE33A2">
              <w:rPr>
                <w:rFonts w:eastAsia="MS Mincho" w:cstheme="minorHAnsi"/>
              </w:rPr>
              <w:t xml:space="preserve">Validation: CO </w:t>
            </w:r>
            <w:r w:rsidRPr="006A6CB7">
              <w:rPr>
                <w:rFonts w:eastAsia="MS Mincho" w:cstheme="minorHAnsi"/>
              </w:rPr>
              <w:t>≤</w:t>
            </w:r>
            <w:r w:rsidRPr="00CE33A2">
              <w:rPr>
                <w:rFonts w:eastAsia="MS Mincho" w:cstheme="minorHAnsi"/>
              </w:rPr>
              <w:t xml:space="preserve"> 8 ppm at each visit</w:t>
            </w:r>
            <w:r>
              <w:rPr>
                <w:rFonts w:eastAsia="MS Mincho" w:cstheme="minorHAnsi"/>
              </w:rPr>
              <w:t>.</w:t>
            </w:r>
          </w:p>
          <w:p w14:paraId="0CA84D60" w14:textId="77777777" w:rsidR="006A6CB7" w:rsidRDefault="006A6CB7" w:rsidP="00A71365">
            <w:pPr>
              <w:pStyle w:val="Tablewriting"/>
              <w:rPr>
                <w:rFonts w:eastAsia="MS Mincho" w:cstheme="minorHAnsi"/>
              </w:rPr>
            </w:pPr>
          </w:p>
          <w:p w14:paraId="2FAD0829" w14:textId="77777777" w:rsidR="006A6CB7" w:rsidRPr="005E68FB" w:rsidRDefault="006A6CB7" w:rsidP="00A71365">
            <w:pPr>
              <w:pStyle w:val="Tablewriting"/>
              <w:rPr>
                <w:rFonts w:eastAsia="MS Mincho" w:cstheme="minorHAnsi"/>
                <w:u w:val="single"/>
              </w:rPr>
            </w:pPr>
            <w:r w:rsidRPr="005E68FB">
              <w:rPr>
                <w:rFonts w:eastAsia="MS Mincho" w:cstheme="minorHAnsi"/>
                <w:u w:val="single"/>
              </w:rPr>
              <w:t>Safety:</w:t>
            </w:r>
            <w:r>
              <w:rPr>
                <w:rFonts w:eastAsia="MS Mincho" w:cstheme="minorHAnsi"/>
                <w:u w:val="single"/>
              </w:rPr>
              <w:t xml:space="preserve"> NR</w:t>
            </w:r>
          </w:p>
          <w:p w14:paraId="77A3E501" w14:textId="77777777" w:rsidR="006A6CB7" w:rsidRPr="004272CD" w:rsidRDefault="006A6CB7" w:rsidP="00A71365">
            <w:pPr>
              <w:pStyle w:val="Tablewriting"/>
              <w:rPr>
                <w:rFonts w:eastAsia="MS Mincho" w:cstheme="minorHAnsi"/>
                <w:u w:val="single"/>
              </w:rPr>
            </w:pPr>
          </w:p>
        </w:tc>
      </w:tr>
      <w:tr w:rsidR="006A6CB7" w:rsidRPr="00017AE6" w14:paraId="6ECFD94C" w14:textId="77777777" w:rsidTr="005821B1">
        <w:trPr>
          <w:trHeight w:val="99"/>
        </w:trPr>
        <w:tc>
          <w:tcPr>
            <w:tcW w:w="495" w:type="pct"/>
          </w:tcPr>
          <w:p w14:paraId="3308F969" w14:textId="25B7EF34" w:rsidR="006A6CB7" w:rsidRPr="004470C9" w:rsidRDefault="006A6CB7" w:rsidP="00A71365">
            <w:pPr>
              <w:pStyle w:val="Tablewriting"/>
              <w:rPr>
                <w:rFonts w:eastAsia="MS Mincho" w:cstheme="minorHAnsi"/>
              </w:rPr>
            </w:pPr>
            <w:r w:rsidRPr="00F476C9">
              <w:rPr>
                <w:rFonts w:eastAsia="MS Mincho" w:cstheme="minorHAnsi"/>
              </w:rPr>
              <w:t xml:space="preserve">Croghan </w:t>
            </w:r>
            <w:r w:rsidR="00736D03">
              <w:rPr>
                <w:rFonts w:eastAsia="MS Mincho" w:cstheme="minorHAnsi"/>
              </w:rPr>
              <w:t>(</w:t>
            </w:r>
            <w:r w:rsidRPr="00F476C9">
              <w:rPr>
                <w:rFonts w:eastAsia="MS Mincho" w:cstheme="minorHAnsi"/>
              </w:rPr>
              <w:t>2007</w:t>
            </w:r>
            <w:r w:rsidR="00736D03">
              <w:rPr>
                <w:rFonts w:eastAsia="MS Mincho" w:cstheme="minorHAnsi"/>
              </w:rPr>
              <w:t>)</w:t>
            </w:r>
          </w:p>
        </w:tc>
        <w:tc>
          <w:tcPr>
            <w:tcW w:w="235" w:type="pct"/>
          </w:tcPr>
          <w:p w14:paraId="7A54F45A" w14:textId="1B1CC4E5" w:rsidR="006A6CB7" w:rsidRPr="00017AE6" w:rsidRDefault="006A6CB7" w:rsidP="00A71365">
            <w:pPr>
              <w:pStyle w:val="Tablewriting"/>
              <w:rPr>
                <w:rFonts w:eastAsia="MS Mincho" w:cstheme="minorHAnsi"/>
              </w:rPr>
            </w:pPr>
            <w:r>
              <w:rPr>
                <w:rFonts w:eastAsia="MS Mincho" w:cstheme="minorHAnsi"/>
              </w:rPr>
              <w:t>RCT</w:t>
            </w:r>
          </w:p>
        </w:tc>
        <w:tc>
          <w:tcPr>
            <w:tcW w:w="433" w:type="pct"/>
          </w:tcPr>
          <w:p w14:paraId="282F1E47" w14:textId="39BA49C0" w:rsidR="006A6CB7" w:rsidRPr="00017AE6" w:rsidRDefault="006A6CB7" w:rsidP="00A71365">
            <w:pPr>
              <w:pStyle w:val="Tablewriting"/>
              <w:rPr>
                <w:rFonts w:eastAsia="MS Mincho" w:cstheme="minorHAnsi"/>
              </w:rPr>
            </w:pPr>
            <w:r>
              <w:rPr>
                <w:rFonts w:eastAsia="MS Mincho" w:cstheme="minorHAnsi"/>
              </w:rPr>
              <w:t>USA</w:t>
            </w:r>
          </w:p>
        </w:tc>
        <w:tc>
          <w:tcPr>
            <w:tcW w:w="358" w:type="pct"/>
          </w:tcPr>
          <w:p w14:paraId="32A94DC1" w14:textId="3AAC2C4F" w:rsidR="006A6CB7" w:rsidRPr="00017AE6" w:rsidRDefault="006A6CB7" w:rsidP="00A71365">
            <w:pPr>
              <w:pStyle w:val="Tablewriting"/>
              <w:rPr>
                <w:rFonts w:eastAsia="MS Mincho" w:cstheme="minorHAnsi"/>
              </w:rPr>
            </w:pPr>
            <w:r w:rsidRPr="00911D2C">
              <w:rPr>
                <w:rFonts w:eastAsia="MS Mincho" w:cstheme="minorHAnsi"/>
              </w:rPr>
              <w:t>N=</w:t>
            </w:r>
            <w:r>
              <w:rPr>
                <w:rFonts w:eastAsia="MS Mincho" w:cstheme="minorHAnsi"/>
              </w:rPr>
              <w:t>405</w:t>
            </w:r>
          </w:p>
        </w:tc>
        <w:tc>
          <w:tcPr>
            <w:tcW w:w="1224" w:type="pct"/>
          </w:tcPr>
          <w:p w14:paraId="7A2C9934" w14:textId="77777777" w:rsidR="006A6CB7" w:rsidRPr="00186BA0" w:rsidRDefault="006A6CB7" w:rsidP="00A71365">
            <w:pPr>
              <w:pStyle w:val="Tablewriting"/>
              <w:rPr>
                <w:rFonts w:eastAsia="MS Mincho" w:cstheme="minorHAnsi"/>
              </w:rPr>
            </w:pPr>
            <w:r>
              <w:rPr>
                <w:rFonts w:eastAsia="MS Mincho" w:cstheme="minorHAnsi"/>
              </w:rPr>
              <w:t>A</w:t>
            </w:r>
            <w:r w:rsidRPr="00186BA0">
              <w:rPr>
                <w:rFonts w:eastAsia="MS Mincho" w:cstheme="minorHAnsi"/>
              </w:rPr>
              <w:t>bstainers after 3 months pharmacotherapy, 74 from inhaler, 141 bupropion, 190 combination</w:t>
            </w:r>
            <w:r>
              <w:rPr>
                <w:rFonts w:eastAsia="MS Mincho" w:cstheme="minorHAnsi"/>
              </w:rPr>
              <w:t>.</w:t>
            </w:r>
          </w:p>
          <w:p w14:paraId="2418B54A" w14:textId="1BFE5D2C" w:rsidR="006A6CB7" w:rsidRPr="00017AE6" w:rsidRDefault="006A6CB7" w:rsidP="00A71365">
            <w:pPr>
              <w:pStyle w:val="Tablewriting"/>
              <w:rPr>
                <w:rFonts w:eastAsia="MS Mincho" w:cstheme="minorHAnsi"/>
              </w:rPr>
            </w:pPr>
            <w:r w:rsidRPr="00186BA0">
              <w:rPr>
                <w:rFonts w:eastAsia="MS Mincho" w:cstheme="minorHAnsi"/>
              </w:rPr>
              <w:t>Participant characteristics not presented at start of relapse prevention phase</w:t>
            </w:r>
          </w:p>
        </w:tc>
        <w:tc>
          <w:tcPr>
            <w:tcW w:w="1247" w:type="pct"/>
          </w:tcPr>
          <w:p w14:paraId="08492F70" w14:textId="77777777" w:rsidR="006A6CB7" w:rsidRDefault="006A6CB7" w:rsidP="00A71365">
            <w:pPr>
              <w:pStyle w:val="Tablewriting"/>
              <w:rPr>
                <w:rFonts w:eastAsia="MS Mincho" w:cstheme="minorHAnsi"/>
              </w:rPr>
            </w:pPr>
            <w:r w:rsidRPr="00180FEC">
              <w:rPr>
                <w:rFonts w:eastAsia="MS Mincho" w:cstheme="minorHAnsi"/>
              </w:rPr>
              <w:t>In cessation phase,</w:t>
            </w:r>
            <w:r>
              <w:rPr>
                <w:rFonts w:eastAsia="MS Mincho" w:cstheme="minorHAnsi"/>
              </w:rPr>
              <w:t xml:space="preserve"> </w:t>
            </w:r>
            <w:r w:rsidRPr="00180FEC">
              <w:rPr>
                <w:rFonts w:eastAsia="MS Mincho" w:cstheme="minorHAnsi"/>
              </w:rPr>
              <w:t>participants had been randomly assigned to</w:t>
            </w:r>
            <w:r>
              <w:rPr>
                <w:rFonts w:eastAsia="MS Mincho" w:cstheme="minorHAnsi"/>
              </w:rPr>
              <w:t>:</w:t>
            </w:r>
          </w:p>
          <w:p w14:paraId="7AAD95FA" w14:textId="77777777" w:rsidR="006A6CB7" w:rsidRDefault="006A6CB7" w:rsidP="00C324F3">
            <w:pPr>
              <w:pStyle w:val="Tablewriting"/>
              <w:numPr>
                <w:ilvl w:val="0"/>
                <w:numId w:val="161"/>
              </w:numPr>
              <w:rPr>
                <w:rFonts w:eastAsia="MS Mincho" w:cstheme="minorHAnsi"/>
              </w:rPr>
            </w:pPr>
            <w:r w:rsidRPr="00180FEC">
              <w:rPr>
                <w:rFonts w:eastAsia="MS Mincho" w:cstheme="minorHAnsi"/>
              </w:rPr>
              <w:t>bupropion (300 mg)</w:t>
            </w:r>
          </w:p>
          <w:p w14:paraId="705FA429" w14:textId="77777777" w:rsidR="006A6CB7" w:rsidRDefault="006A6CB7" w:rsidP="00C324F3">
            <w:pPr>
              <w:pStyle w:val="Tablewriting"/>
              <w:numPr>
                <w:ilvl w:val="0"/>
                <w:numId w:val="161"/>
              </w:numPr>
              <w:rPr>
                <w:rFonts w:eastAsia="MS Mincho" w:cstheme="minorHAnsi"/>
              </w:rPr>
            </w:pPr>
            <w:r w:rsidRPr="00180FEC">
              <w:rPr>
                <w:rFonts w:eastAsia="MS Mincho" w:cstheme="minorHAnsi"/>
              </w:rPr>
              <w:t>nicotine inhaler</w:t>
            </w:r>
            <w:r>
              <w:rPr>
                <w:rFonts w:eastAsia="MS Mincho" w:cstheme="minorHAnsi"/>
              </w:rPr>
              <w:t xml:space="preserve"> </w:t>
            </w:r>
            <w:r w:rsidRPr="005F6EC5">
              <w:rPr>
                <w:rFonts w:eastAsia="MS Mincho" w:cstheme="minorHAnsi"/>
              </w:rPr>
              <w:t>(up to 16 cartridges/day)</w:t>
            </w:r>
          </w:p>
          <w:p w14:paraId="20299AFA" w14:textId="77777777" w:rsidR="006A6CB7" w:rsidRDefault="006A6CB7" w:rsidP="00C324F3">
            <w:pPr>
              <w:pStyle w:val="Tablewriting"/>
              <w:numPr>
                <w:ilvl w:val="0"/>
                <w:numId w:val="161"/>
              </w:numPr>
              <w:rPr>
                <w:rFonts w:eastAsia="MS Mincho" w:cstheme="minorHAnsi"/>
              </w:rPr>
            </w:pPr>
            <w:r w:rsidRPr="005F6EC5">
              <w:rPr>
                <w:rFonts w:eastAsia="MS Mincho" w:cstheme="minorHAnsi"/>
              </w:rPr>
              <w:t xml:space="preserve">combination. </w:t>
            </w:r>
          </w:p>
          <w:p w14:paraId="772B39D1" w14:textId="77777777" w:rsidR="006A6CB7" w:rsidRDefault="006A6CB7" w:rsidP="00A71365">
            <w:pPr>
              <w:pStyle w:val="Tablewriting"/>
              <w:rPr>
                <w:rFonts w:eastAsia="MS Mincho" w:cstheme="minorHAnsi"/>
              </w:rPr>
            </w:pPr>
          </w:p>
          <w:p w14:paraId="5055EE53" w14:textId="77777777" w:rsidR="006A6CB7" w:rsidRPr="00180FEC" w:rsidRDefault="006A6CB7" w:rsidP="00A71365">
            <w:pPr>
              <w:pStyle w:val="Tablewriting"/>
              <w:rPr>
                <w:rFonts w:eastAsia="MS Mincho" w:cstheme="minorHAnsi"/>
              </w:rPr>
            </w:pPr>
            <w:r w:rsidRPr="005F6EC5">
              <w:rPr>
                <w:rFonts w:eastAsia="MS Mincho" w:cstheme="minorHAnsi"/>
              </w:rPr>
              <w:t>Physician advice at entry, brief (&lt; 10 min) counselling at</w:t>
            </w:r>
            <w:r>
              <w:rPr>
                <w:rFonts w:eastAsia="MS Mincho" w:cstheme="minorHAnsi"/>
              </w:rPr>
              <w:t xml:space="preserve"> </w:t>
            </w:r>
            <w:r w:rsidRPr="00180FEC">
              <w:rPr>
                <w:rFonts w:eastAsia="MS Mincho" w:cstheme="minorHAnsi"/>
              </w:rPr>
              <w:t xml:space="preserve">monthly study visits (total 12 to 18, including relapse prevention phase) and self-help. </w:t>
            </w:r>
            <w:r w:rsidRPr="00180FEC">
              <w:rPr>
                <w:rFonts w:eastAsia="MS Mincho" w:cstheme="minorHAnsi"/>
              </w:rPr>
              <w:lastRenderedPageBreak/>
              <w:t>Abstainers (7-day point prevalence after 3 months therapy) eligible for relapse prevention phase</w:t>
            </w:r>
            <w:r>
              <w:rPr>
                <w:rFonts w:eastAsia="MS Mincho" w:cstheme="minorHAnsi"/>
              </w:rPr>
              <w:t xml:space="preserve"> </w:t>
            </w:r>
            <w:r w:rsidRPr="00180FEC">
              <w:rPr>
                <w:rFonts w:eastAsia="MS Mincho" w:cstheme="minorHAnsi"/>
              </w:rPr>
              <w:t>relapse prevention intervention randomly assigned single-therapy abstainers to</w:t>
            </w:r>
            <w:r>
              <w:rPr>
                <w:rFonts w:eastAsia="MS Mincho" w:cstheme="minorHAnsi"/>
              </w:rPr>
              <w:t xml:space="preserve"> </w:t>
            </w:r>
            <w:r w:rsidRPr="00180FEC">
              <w:rPr>
                <w:rFonts w:eastAsia="MS Mincho" w:cstheme="minorHAnsi"/>
              </w:rPr>
              <w:t>continue cessation</w:t>
            </w:r>
            <w:r>
              <w:rPr>
                <w:rFonts w:eastAsia="MS Mincho" w:cstheme="minorHAnsi"/>
              </w:rPr>
              <w:t xml:space="preserve"> </w:t>
            </w:r>
            <w:r w:rsidRPr="00180FEC">
              <w:rPr>
                <w:rFonts w:eastAsia="MS Mincho" w:cstheme="minorHAnsi"/>
              </w:rPr>
              <w:t>therapy or placebo for 9 months</w:t>
            </w:r>
            <w:r>
              <w:rPr>
                <w:rFonts w:eastAsia="MS Mincho" w:cstheme="minorHAnsi"/>
              </w:rPr>
              <w:t>.</w:t>
            </w:r>
          </w:p>
          <w:p w14:paraId="0BA4D978" w14:textId="266CBB0D" w:rsidR="006A6CB7" w:rsidRPr="00180FEC" w:rsidRDefault="006A6CB7" w:rsidP="00A71365">
            <w:pPr>
              <w:pStyle w:val="Tablewriting"/>
              <w:rPr>
                <w:rFonts w:eastAsia="MS Mincho" w:cstheme="minorHAnsi"/>
              </w:rPr>
            </w:pPr>
            <w:r w:rsidRPr="00180FEC">
              <w:rPr>
                <w:rFonts w:eastAsia="MS Mincho" w:cstheme="minorHAnsi"/>
              </w:rPr>
              <w:t xml:space="preserve">Combined therapy abstainers randomly assigned to 4 groups: combination, </w:t>
            </w:r>
            <w:r w:rsidR="00115AEE" w:rsidRPr="00180FEC">
              <w:rPr>
                <w:rFonts w:eastAsia="MS Mincho" w:cstheme="minorHAnsi"/>
              </w:rPr>
              <w:t>placebo,</w:t>
            </w:r>
            <w:r w:rsidRPr="00180FEC">
              <w:rPr>
                <w:rFonts w:eastAsia="MS Mincho" w:cstheme="minorHAnsi"/>
              </w:rPr>
              <w:t xml:space="preserve"> and single therapy,</w:t>
            </w:r>
          </w:p>
          <w:p w14:paraId="62EF98FE" w14:textId="4E3798F9" w:rsidR="006A6CB7" w:rsidRPr="00017AE6" w:rsidRDefault="006A6CB7" w:rsidP="00A71365">
            <w:pPr>
              <w:pStyle w:val="Tablewriting"/>
              <w:rPr>
                <w:rFonts w:eastAsia="MS Mincho" w:cstheme="minorHAnsi"/>
              </w:rPr>
            </w:pPr>
            <w:r w:rsidRPr="00180FEC">
              <w:rPr>
                <w:rFonts w:eastAsia="MS Mincho" w:cstheme="minorHAnsi"/>
              </w:rPr>
              <w:t>or double placebo</w:t>
            </w:r>
            <w:r>
              <w:rPr>
                <w:rFonts w:eastAsia="MS Mincho" w:cstheme="minorHAnsi"/>
              </w:rPr>
              <w:t>.</w:t>
            </w:r>
          </w:p>
        </w:tc>
        <w:tc>
          <w:tcPr>
            <w:tcW w:w="1008" w:type="pct"/>
          </w:tcPr>
          <w:p w14:paraId="45F47421" w14:textId="77777777" w:rsidR="006A6CB7" w:rsidRPr="005E68FB" w:rsidRDefault="006A6CB7" w:rsidP="00A71365">
            <w:pPr>
              <w:pStyle w:val="Tablewriting"/>
              <w:rPr>
                <w:rFonts w:eastAsia="MS Mincho" w:cstheme="minorHAnsi"/>
                <w:u w:val="single"/>
              </w:rPr>
            </w:pPr>
            <w:r w:rsidRPr="005E68FB">
              <w:rPr>
                <w:rFonts w:eastAsia="MS Mincho" w:cstheme="minorHAnsi"/>
                <w:u w:val="single"/>
              </w:rPr>
              <w:lastRenderedPageBreak/>
              <w:t xml:space="preserve">Efficacy: </w:t>
            </w:r>
          </w:p>
          <w:p w14:paraId="4E17F080" w14:textId="77777777" w:rsidR="006A6CB7" w:rsidRDefault="006A6CB7" w:rsidP="00A71365">
            <w:pPr>
              <w:pStyle w:val="Tablewriting"/>
              <w:rPr>
                <w:rFonts w:eastAsia="MS Mincho" w:cstheme="minorHAnsi"/>
              </w:rPr>
            </w:pPr>
            <w:r w:rsidRPr="005F6EC5">
              <w:rPr>
                <w:rFonts w:eastAsia="MS Mincho" w:cstheme="minorHAnsi"/>
              </w:rPr>
              <w:t>Abstinence at 15 months (from TQD, 12 months from relapse prevention start, 3 months from EOT) (PP)</w:t>
            </w:r>
            <w:r>
              <w:rPr>
                <w:rFonts w:eastAsia="MS Mincho" w:cstheme="minorHAnsi"/>
              </w:rPr>
              <w:t>.</w:t>
            </w:r>
          </w:p>
          <w:p w14:paraId="07724887" w14:textId="77777777" w:rsidR="006A6CB7" w:rsidRPr="005F6EC5" w:rsidRDefault="006A6CB7" w:rsidP="00A71365">
            <w:pPr>
              <w:pStyle w:val="Tablewriting"/>
              <w:rPr>
                <w:rFonts w:eastAsia="MS Mincho" w:cstheme="minorHAnsi"/>
              </w:rPr>
            </w:pPr>
          </w:p>
          <w:p w14:paraId="46551758" w14:textId="77777777" w:rsidR="006A6CB7" w:rsidRDefault="006A6CB7" w:rsidP="00A71365">
            <w:pPr>
              <w:pStyle w:val="Tablewriting"/>
              <w:rPr>
                <w:rFonts w:eastAsia="MS Mincho" w:cstheme="minorHAnsi"/>
              </w:rPr>
            </w:pPr>
            <w:r w:rsidRPr="005F6EC5">
              <w:rPr>
                <w:rFonts w:eastAsia="MS Mincho" w:cstheme="minorHAnsi"/>
              </w:rPr>
              <w:t xml:space="preserve">Validation: CO </w:t>
            </w:r>
            <w:r w:rsidRPr="00296BDC">
              <w:rPr>
                <w:rFonts w:eastAsia="MS Mincho" w:cstheme="minorHAnsi"/>
              </w:rPr>
              <w:t>≤</w:t>
            </w:r>
            <w:r w:rsidRPr="005F6EC5">
              <w:rPr>
                <w:rFonts w:eastAsia="MS Mincho" w:cstheme="minorHAnsi"/>
              </w:rPr>
              <w:t xml:space="preserve"> 8 ppm</w:t>
            </w:r>
            <w:r>
              <w:rPr>
                <w:rFonts w:eastAsia="MS Mincho" w:cstheme="minorHAnsi"/>
              </w:rPr>
              <w:t>.</w:t>
            </w:r>
          </w:p>
          <w:p w14:paraId="496D5C91" w14:textId="77777777" w:rsidR="006A6CB7" w:rsidRDefault="006A6CB7" w:rsidP="00A71365">
            <w:pPr>
              <w:pStyle w:val="Tablewriting"/>
              <w:rPr>
                <w:rFonts w:eastAsia="MS Mincho" w:cstheme="minorHAnsi"/>
              </w:rPr>
            </w:pPr>
          </w:p>
          <w:p w14:paraId="0384F91A" w14:textId="77777777" w:rsidR="006A6CB7" w:rsidRPr="005E68FB" w:rsidRDefault="006A6CB7" w:rsidP="00A71365">
            <w:pPr>
              <w:pStyle w:val="Tablewriting"/>
              <w:rPr>
                <w:rFonts w:eastAsia="MS Mincho" w:cstheme="minorHAnsi"/>
                <w:u w:val="single"/>
              </w:rPr>
            </w:pPr>
            <w:r w:rsidRPr="005E68FB">
              <w:rPr>
                <w:rFonts w:eastAsia="MS Mincho" w:cstheme="minorHAnsi"/>
                <w:u w:val="single"/>
              </w:rPr>
              <w:t>Safety:</w:t>
            </w:r>
          </w:p>
          <w:p w14:paraId="1CCD428F" w14:textId="77777777" w:rsidR="006A6CB7" w:rsidRPr="004272CD" w:rsidRDefault="006A6CB7" w:rsidP="00A71365">
            <w:pPr>
              <w:pStyle w:val="Tablewriting"/>
              <w:rPr>
                <w:rFonts w:eastAsia="MS Mincho" w:cstheme="minorHAnsi"/>
                <w:u w:val="single"/>
              </w:rPr>
            </w:pPr>
          </w:p>
        </w:tc>
      </w:tr>
    </w:tbl>
    <w:p w14:paraId="53F4E391" w14:textId="77777777" w:rsidR="007C71A8" w:rsidRPr="009B042A" w:rsidRDefault="007C71A8" w:rsidP="005821B1">
      <w:pPr>
        <w:pStyle w:val="TableFooter"/>
        <w:jc w:val="both"/>
      </w:pPr>
      <w:r>
        <w:t>Source:</w:t>
      </w:r>
      <w:r w:rsidRPr="00E67EC2">
        <w:t xml:space="preserve"> </w:t>
      </w:r>
      <w:r w:rsidRPr="00A62951">
        <w:t>Livingstone-Banks et al. (2019)</w:t>
      </w:r>
      <w:r>
        <w:t>.</w:t>
      </w:r>
    </w:p>
    <w:p w14:paraId="54954E81" w14:textId="176C3E2B" w:rsidR="009E75D8" w:rsidRDefault="00BF6244" w:rsidP="005821B1">
      <w:pPr>
        <w:pStyle w:val="TableFooter"/>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CPD= cigarette per day; AEs= adverse events; SAEs= serious adverse events. </w:t>
      </w:r>
    </w:p>
    <w:p w14:paraId="70A1F55A" w14:textId="77777777" w:rsidR="00EA7016" w:rsidRDefault="00EA7016">
      <w:pPr>
        <w:spacing w:line="276" w:lineRule="auto"/>
        <w:rPr>
          <w:rFonts w:asciiTheme="minorHAnsi" w:eastAsia="Times New Roman" w:hAnsiTheme="minorHAnsi" w:cs="Times New Roman"/>
          <w:b/>
          <w:bCs/>
          <w:szCs w:val="18"/>
        </w:rPr>
      </w:pPr>
      <w:bookmarkStart w:id="340" w:name="_Ref55292409"/>
      <w:r>
        <w:br w:type="page"/>
      </w:r>
    </w:p>
    <w:p w14:paraId="5048B395" w14:textId="01CA4B37" w:rsidR="00CA7B4D" w:rsidRDefault="00CA7B4D"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155</w:t>
      </w:r>
      <w:r w:rsidR="00BF3F75">
        <w:rPr>
          <w:noProof/>
        </w:rPr>
        <w:fldChar w:fldCharType="end"/>
      </w:r>
      <w:bookmarkEnd w:id="340"/>
      <w:r>
        <w:t xml:space="preserve">: </w:t>
      </w:r>
      <w:r w:rsidRPr="00B1187A">
        <w:t xml:space="preserve">Characteristics of studies included in Hartmann-Boyce et al. (2018), combination </w:t>
      </w:r>
      <w:r w:rsidR="00C96DF9">
        <w:t xml:space="preserve">NRT </w:t>
      </w:r>
      <w:r w:rsidRPr="00B1187A">
        <w:t>versus placebo</w:t>
      </w:r>
    </w:p>
    <w:tbl>
      <w:tblPr>
        <w:tblStyle w:val="TableGrid"/>
        <w:tblW w:w="5000" w:type="pct"/>
        <w:tblLook w:val="04A0" w:firstRow="1" w:lastRow="0" w:firstColumn="1" w:lastColumn="0" w:noHBand="0" w:noVBand="1"/>
        <w:tblCaption w:val="Efficacy results of adalimumab trials (PASI 75 and DLQI)"/>
      </w:tblPr>
      <w:tblGrid>
        <w:gridCol w:w="1375"/>
        <w:gridCol w:w="690"/>
        <w:gridCol w:w="1202"/>
        <w:gridCol w:w="995"/>
        <w:gridCol w:w="3408"/>
        <w:gridCol w:w="3474"/>
        <w:gridCol w:w="2804"/>
      </w:tblGrid>
      <w:tr w:rsidR="00696ADB" w:rsidRPr="00061F78" w14:paraId="4CB0C3B2" w14:textId="77777777" w:rsidTr="005821B1">
        <w:trPr>
          <w:trHeight w:val="299"/>
          <w:tblHeader/>
        </w:trPr>
        <w:tc>
          <w:tcPr>
            <w:tcW w:w="495" w:type="pct"/>
            <w:shd w:val="clear" w:color="auto" w:fill="BFBFBF" w:themeFill="background1" w:themeFillShade="BF"/>
            <w:tcMar>
              <w:left w:w="28" w:type="dxa"/>
              <w:right w:w="28" w:type="dxa"/>
            </w:tcMar>
          </w:tcPr>
          <w:p w14:paraId="64693385" w14:textId="3F88468F" w:rsidR="00696ADB"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32EA6689" w14:textId="77777777" w:rsidR="00696ADB" w:rsidRDefault="00696ADB"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14:paraId="656C5ADA" w14:textId="77777777" w:rsidR="00696ADB" w:rsidRDefault="00696ADB" w:rsidP="00A71365">
            <w:pPr>
              <w:pStyle w:val="Tableheading"/>
              <w:jc w:val="center"/>
              <w:rPr>
                <w:rFonts w:eastAsia="MS Mincho"/>
              </w:rPr>
            </w:pPr>
            <w:r>
              <w:rPr>
                <w:rFonts w:eastAsia="MS Mincho"/>
              </w:rPr>
              <w:t>Countries</w:t>
            </w:r>
          </w:p>
        </w:tc>
        <w:tc>
          <w:tcPr>
            <w:tcW w:w="359" w:type="pct"/>
            <w:shd w:val="clear" w:color="auto" w:fill="BFBFBF" w:themeFill="background1" w:themeFillShade="BF"/>
            <w:tcMar>
              <w:left w:w="28" w:type="dxa"/>
              <w:right w:w="28" w:type="dxa"/>
            </w:tcMar>
          </w:tcPr>
          <w:p w14:paraId="08E6492C" w14:textId="77777777" w:rsidR="00696ADB" w:rsidRPr="00061F78" w:rsidRDefault="00696ADB" w:rsidP="00A71365">
            <w:pPr>
              <w:pStyle w:val="Tableheading"/>
              <w:jc w:val="center"/>
              <w:rPr>
                <w:rFonts w:eastAsia="MS Mincho"/>
              </w:rPr>
            </w:pPr>
            <w:r>
              <w:rPr>
                <w:rFonts w:eastAsia="MS Mincho"/>
              </w:rPr>
              <w:t>N</w:t>
            </w:r>
          </w:p>
        </w:tc>
        <w:tc>
          <w:tcPr>
            <w:tcW w:w="1224" w:type="pct"/>
            <w:shd w:val="clear" w:color="auto" w:fill="BFBFBF" w:themeFill="background1" w:themeFillShade="BF"/>
            <w:tcMar>
              <w:left w:w="28" w:type="dxa"/>
              <w:right w:w="28" w:type="dxa"/>
            </w:tcMar>
          </w:tcPr>
          <w:p w14:paraId="0591C6A6" w14:textId="77777777" w:rsidR="00696ADB" w:rsidRPr="00061F78" w:rsidRDefault="00696ADB" w:rsidP="00A71365">
            <w:pPr>
              <w:pStyle w:val="Tableheading"/>
              <w:jc w:val="center"/>
              <w:rPr>
                <w:rFonts w:eastAsia="MS Mincho"/>
              </w:rPr>
            </w:pPr>
            <w:r w:rsidRPr="00061F78">
              <w:rPr>
                <w:rFonts w:eastAsia="MS Mincho"/>
              </w:rPr>
              <w:t>P</w:t>
            </w:r>
            <w:r>
              <w:rPr>
                <w:rFonts w:eastAsia="MS Mincho"/>
              </w:rPr>
              <w:t>opulation</w:t>
            </w:r>
          </w:p>
        </w:tc>
        <w:tc>
          <w:tcPr>
            <w:tcW w:w="1247" w:type="pct"/>
            <w:shd w:val="clear" w:color="auto" w:fill="BFBFBF" w:themeFill="background1" w:themeFillShade="BF"/>
          </w:tcPr>
          <w:p w14:paraId="447E817B" w14:textId="77777777" w:rsidR="00696ADB" w:rsidRDefault="00696ADB"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14:paraId="443A27D8" w14:textId="77777777" w:rsidR="00696ADB" w:rsidRPr="00061F78" w:rsidRDefault="00696ADB" w:rsidP="00A71365">
            <w:pPr>
              <w:pStyle w:val="Tableheading"/>
              <w:jc w:val="center"/>
              <w:rPr>
                <w:rFonts w:eastAsia="MS Mincho"/>
              </w:rPr>
            </w:pPr>
            <w:r>
              <w:rPr>
                <w:rFonts w:eastAsia="MS Mincho"/>
              </w:rPr>
              <w:t>Outcomes</w:t>
            </w:r>
          </w:p>
        </w:tc>
      </w:tr>
      <w:tr w:rsidR="009E75D8" w:rsidRPr="00017AE6" w14:paraId="42283481" w14:textId="77777777" w:rsidTr="005821B1">
        <w:trPr>
          <w:trHeight w:val="99"/>
        </w:trPr>
        <w:tc>
          <w:tcPr>
            <w:tcW w:w="495" w:type="pct"/>
          </w:tcPr>
          <w:p w14:paraId="5B8C88F3" w14:textId="5447FA3B" w:rsidR="009E75D8" w:rsidRPr="0096136A" w:rsidRDefault="009E75D8" w:rsidP="00A71365">
            <w:pPr>
              <w:pStyle w:val="Tablewriting"/>
              <w:rPr>
                <w:rFonts w:eastAsia="MS Mincho" w:cstheme="minorHAnsi"/>
                <w:highlight w:val="yellow"/>
              </w:rPr>
            </w:pPr>
            <w:r w:rsidRPr="008E2287">
              <w:rPr>
                <w:rFonts w:eastAsia="MS Mincho" w:cstheme="minorHAnsi"/>
              </w:rPr>
              <w:t xml:space="preserve">Hand </w:t>
            </w:r>
            <w:r w:rsidR="00991AC5" w:rsidRPr="008E2287">
              <w:rPr>
                <w:rFonts w:eastAsia="MS Mincho" w:cstheme="minorHAnsi"/>
              </w:rPr>
              <w:t>(</w:t>
            </w:r>
            <w:r w:rsidRPr="008E2287">
              <w:rPr>
                <w:rFonts w:eastAsia="MS Mincho" w:cstheme="minorHAnsi"/>
              </w:rPr>
              <w:t>2002</w:t>
            </w:r>
            <w:r w:rsidR="00991AC5" w:rsidRPr="008E2287">
              <w:rPr>
                <w:rFonts w:eastAsia="MS Mincho" w:cstheme="minorHAnsi"/>
              </w:rPr>
              <w:t>)</w:t>
            </w:r>
          </w:p>
        </w:tc>
        <w:tc>
          <w:tcPr>
            <w:tcW w:w="235" w:type="pct"/>
          </w:tcPr>
          <w:p w14:paraId="396EB7A8" w14:textId="1ED9B3A2" w:rsidR="009E75D8" w:rsidRPr="00017AE6" w:rsidRDefault="004810EB" w:rsidP="00A71365">
            <w:pPr>
              <w:pStyle w:val="Tablewriting"/>
              <w:rPr>
                <w:rFonts w:eastAsia="MS Mincho" w:cstheme="minorHAnsi"/>
              </w:rPr>
            </w:pPr>
            <w:r>
              <w:rPr>
                <w:rFonts w:eastAsia="MS Mincho" w:cstheme="minorHAnsi"/>
              </w:rPr>
              <w:t>RCT</w:t>
            </w:r>
          </w:p>
        </w:tc>
        <w:tc>
          <w:tcPr>
            <w:tcW w:w="433" w:type="pct"/>
          </w:tcPr>
          <w:p w14:paraId="678878A7" w14:textId="6D991DD9" w:rsidR="009E75D8" w:rsidRPr="00017AE6" w:rsidRDefault="002F7679" w:rsidP="00A71365">
            <w:pPr>
              <w:pStyle w:val="Tablewriting"/>
              <w:rPr>
                <w:rFonts w:eastAsia="MS Mincho" w:cstheme="minorHAnsi"/>
              </w:rPr>
            </w:pPr>
            <w:r>
              <w:rPr>
                <w:rFonts w:eastAsia="MS Mincho" w:cstheme="minorHAnsi"/>
              </w:rPr>
              <w:t>UK</w:t>
            </w:r>
          </w:p>
        </w:tc>
        <w:tc>
          <w:tcPr>
            <w:tcW w:w="359" w:type="pct"/>
          </w:tcPr>
          <w:p w14:paraId="79898996" w14:textId="0EA8729A" w:rsidR="009E75D8" w:rsidRPr="00017AE6" w:rsidRDefault="002F7679" w:rsidP="00A71365">
            <w:pPr>
              <w:pStyle w:val="Tablewriting"/>
              <w:rPr>
                <w:rFonts w:eastAsia="MS Mincho" w:cstheme="minorHAnsi"/>
              </w:rPr>
            </w:pPr>
            <w:r>
              <w:rPr>
                <w:rFonts w:eastAsia="MS Mincho" w:cstheme="minorHAnsi"/>
              </w:rPr>
              <w:t>N=245</w:t>
            </w:r>
          </w:p>
        </w:tc>
        <w:tc>
          <w:tcPr>
            <w:tcW w:w="1224" w:type="pct"/>
          </w:tcPr>
          <w:p w14:paraId="2C70476A" w14:textId="19E383BA" w:rsidR="009E75D8" w:rsidRPr="00017AE6" w:rsidRDefault="002F7679" w:rsidP="00A71365">
            <w:pPr>
              <w:pStyle w:val="Tablewriting"/>
              <w:rPr>
                <w:rFonts w:eastAsia="MS Mincho" w:cstheme="minorHAnsi"/>
              </w:rPr>
            </w:pPr>
            <w:r>
              <w:rPr>
                <w:rFonts w:eastAsia="MS Mincho" w:cstheme="minorHAnsi"/>
              </w:rPr>
              <w:t>P</w:t>
            </w:r>
            <w:r w:rsidRPr="002F7679">
              <w:rPr>
                <w:rFonts w:eastAsia="MS Mincho" w:cstheme="minorHAnsi"/>
              </w:rPr>
              <w:t>atients with smoking-related disease</w:t>
            </w:r>
            <w:r>
              <w:rPr>
                <w:rFonts w:eastAsia="MS Mincho" w:cstheme="minorHAnsi"/>
              </w:rPr>
              <w:t xml:space="preserve">, </w:t>
            </w:r>
            <w:r w:rsidRPr="002F7679">
              <w:rPr>
                <w:rFonts w:eastAsia="MS Mincho" w:cstheme="minorHAnsi"/>
              </w:rPr>
              <w:t xml:space="preserve">46% male, typically aged 50+, smoking 15+ </w:t>
            </w:r>
            <w:r>
              <w:rPr>
                <w:rFonts w:eastAsia="MS Mincho" w:cstheme="minorHAnsi"/>
              </w:rPr>
              <w:t>CPD</w:t>
            </w:r>
            <w:r w:rsidR="00F97331">
              <w:rPr>
                <w:rFonts w:eastAsia="MS Mincho" w:cstheme="minorHAnsi"/>
              </w:rPr>
              <w:t xml:space="preserve">, </w:t>
            </w:r>
            <w:r w:rsidRPr="002F7679">
              <w:rPr>
                <w:rFonts w:eastAsia="MS Mincho" w:cstheme="minorHAnsi"/>
              </w:rPr>
              <w:t>participants were motivated to try and quit</w:t>
            </w:r>
            <w:r w:rsidR="00F97331">
              <w:rPr>
                <w:rFonts w:eastAsia="MS Mincho" w:cstheme="minorHAnsi"/>
              </w:rPr>
              <w:t>.</w:t>
            </w:r>
          </w:p>
        </w:tc>
        <w:tc>
          <w:tcPr>
            <w:tcW w:w="1247" w:type="pct"/>
          </w:tcPr>
          <w:p w14:paraId="5A5C27AB" w14:textId="77777777" w:rsidR="00F049EA" w:rsidRDefault="00E61583" w:rsidP="00C324F3">
            <w:pPr>
              <w:pStyle w:val="Tablewriting"/>
              <w:numPr>
                <w:ilvl w:val="0"/>
                <w:numId w:val="168"/>
              </w:numPr>
              <w:rPr>
                <w:rFonts w:eastAsia="MS Mincho" w:cstheme="minorHAnsi"/>
              </w:rPr>
            </w:pPr>
            <w:r w:rsidRPr="00E61583">
              <w:rPr>
                <w:rFonts w:eastAsia="MS Mincho" w:cstheme="minorHAnsi"/>
              </w:rPr>
              <w:t>Nicotine patch (initially 30 or 20 mg based on smoking rate) and inhaler for 3 weeks including patch</w:t>
            </w:r>
            <w:r w:rsidR="00F049EA">
              <w:rPr>
                <w:rFonts w:eastAsia="MS Mincho" w:cstheme="minorHAnsi"/>
              </w:rPr>
              <w:t xml:space="preserve"> </w:t>
            </w:r>
            <w:r w:rsidRPr="00F049EA">
              <w:rPr>
                <w:rFonts w:eastAsia="MS Mincho" w:cstheme="minorHAnsi"/>
              </w:rPr>
              <w:t>tapering. Same counselling as control</w:t>
            </w:r>
          </w:p>
          <w:p w14:paraId="720FD9AF" w14:textId="08359582" w:rsidR="00E61583" w:rsidRPr="00F049EA" w:rsidRDefault="00E61583" w:rsidP="00C324F3">
            <w:pPr>
              <w:pStyle w:val="Tablewriting"/>
              <w:numPr>
                <w:ilvl w:val="0"/>
                <w:numId w:val="168"/>
              </w:numPr>
              <w:rPr>
                <w:rFonts w:eastAsia="MS Mincho" w:cstheme="minorHAnsi"/>
              </w:rPr>
            </w:pPr>
            <w:r w:rsidRPr="00F049EA">
              <w:rPr>
                <w:rFonts w:eastAsia="MS Mincho" w:cstheme="minorHAnsi"/>
              </w:rPr>
              <w:t xml:space="preserve">Individual counselling, 4 sessions in 4 weeks. </w:t>
            </w:r>
            <w:r w:rsidR="00A4076B">
              <w:rPr>
                <w:rFonts w:eastAsia="MS Mincho" w:cstheme="minorHAnsi"/>
              </w:rPr>
              <w:t>(</w:t>
            </w:r>
            <w:r w:rsidRPr="00F049EA">
              <w:rPr>
                <w:rFonts w:eastAsia="MS Mincho" w:cstheme="minorHAnsi"/>
              </w:rPr>
              <w:t>No placebo</w:t>
            </w:r>
            <w:r w:rsidR="00A4076B">
              <w:rPr>
                <w:rFonts w:eastAsia="MS Mincho" w:cstheme="minorHAnsi"/>
              </w:rPr>
              <w:t>)</w:t>
            </w:r>
          </w:p>
          <w:p w14:paraId="0CACAC73" w14:textId="77777777" w:rsidR="00F049EA" w:rsidRDefault="00F049EA" w:rsidP="00A71365">
            <w:pPr>
              <w:pStyle w:val="Tablewriting"/>
              <w:rPr>
                <w:rFonts w:eastAsia="MS Mincho" w:cstheme="minorHAnsi"/>
              </w:rPr>
            </w:pPr>
          </w:p>
          <w:p w14:paraId="6A70742A" w14:textId="4FEB3067" w:rsidR="009E75D8" w:rsidRPr="00017AE6" w:rsidRDefault="00E61583" w:rsidP="00A71365">
            <w:pPr>
              <w:pStyle w:val="Tablewriting"/>
              <w:rPr>
                <w:rFonts w:eastAsia="MS Mincho" w:cstheme="minorHAnsi"/>
              </w:rPr>
            </w:pPr>
            <w:r w:rsidRPr="00E61583">
              <w:rPr>
                <w:rFonts w:eastAsia="MS Mincho" w:cstheme="minorHAnsi"/>
              </w:rPr>
              <w:t>Level of support: high</w:t>
            </w:r>
          </w:p>
        </w:tc>
        <w:tc>
          <w:tcPr>
            <w:tcW w:w="1008" w:type="pct"/>
          </w:tcPr>
          <w:p w14:paraId="2BA78C83" w14:textId="116E1BDD" w:rsidR="004C6A75" w:rsidRPr="006F0109" w:rsidRDefault="002F7679" w:rsidP="00A71365">
            <w:pPr>
              <w:pStyle w:val="Tablewriting"/>
              <w:rPr>
                <w:rFonts w:eastAsia="MS Mincho" w:cstheme="minorHAnsi"/>
                <w:u w:val="single"/>
              </w:rPr>
            </w:pPr>
            <w:r>
              <w:rPr>
                <w:rFonts w:eastAsia="MS Mincho" w:cstheme="minorHAnsi"/>
                <w:u w:val="single"/>
              </w:rPr>
              <w:t>Efficacy:</w:t>
            </w:r>
            <w:r w:rsidR="006F0109">
              <w:rPr>
                <w:rFonts w:eastAsia="MS Mincho" w:cstheme="minorHAnsi"/>
                <w:u w:val="single"/>
              </w:rPr>
              <w:t xml:space="preserve"> </w:t>
            </w:r>
            <w:r w:rsidR="004C6A75" w:rsidRPr="004C6A75">
              <w:rPr>
                <w:rFonts w:eastAsia="MS Mincho" w:cstheme="minorHAnsi"/>
              </w:rPr>
              <w:t>Sustained abstinence at 12 months (abstinent at all assessments)</w:t>
            </w:r>
            <w:r w:rsidR="004C6A75">
              <w:rPr>
                <w:rFonts w:eastAsia="MS Mincho" w:cstheme="minorHAnsi"/>
              </w:rPr>
              <w:t>.</w:t>
            </w:r>
          </w:p>
          <w:p w14:paraId="1FD4E50B" w14:textId="77777777" w:rsidR="004C6A75" w:rsidRDefault="004C6A75" w:rsidP="00A71365">
            <w:pPr>
              <w:pStyle w:val="Tablewriting"/>
              <w:rPr>
                <w:rFonts w:eastAsia="MS Mincho" w:cstheme="minorHAnsi"/>
              </w:rPr>
            </w:pPr>
          </w:p>
          <w:p w14:paraId="77A4A16D" w14:textId="4B7342C2" w:rsidR="002F7679" w:rsidRDefault="004C6A75" w:rsidP="00A71365">
            <w:pPr>
              <w:pStyle w:val="Tablewriting"/>
              <w:rPr>
                <w:rFonts w:eastAsia="MS Mincho" w:cstheme="minorHAnsi"/>
                <w:u w:val="single"/>
              </w:rPr>
            </w:pPr>
            <w:r w:rsidRPr="004C6A75">
              <w:rPr>
                <w:rFonts w:eastAsia="MS Mincho" w:cstheme="minorHAnsi"/>
              </w:rPr>
              <w:t>Validation: CO &lt; 10 ppm</w:t>
            </w:r>
            <w:r>
              <w:rPr>
                <w:rFonts w:eastAsia="MS Mincho" w:cstheme="minorHAnsi"/>
              </w:rPr>
              <w:t>.</w:t>
            </w:r>
          </w:p>
          <w:p w14:paraId="1AC92755" w14:textId="77777777" w:rsidR="004C6A75" w:rsidRDefault="004C6A75" w:rsidP="00A71365">
            <w:pPr>
              <w:pStyle w:val="Tablewriting"/>
              <w:rPr>
                <w:rFonts w:eastAsia="MS Mincho" w:cstheme="minorHAnsi"/>
                <w:u w:val="single"/>
              </w:rPr>
            </w:pPr>
          </w:p>
          <w:p w14:paraId="7725541C" w14:textId="4A739388" w:rsidR="002F7679" w:rsidRPr="004272CD" w:rsidRDefault="002F7679" w:rsidP="00A71365">
            <w:pPr>
              <w:pStyle w:val="Tablewriting"/>
              <w:rPr>
                <w:rFonts w:eastAsia="MS Mincho" w:cstheme="minorHAnsi"/>
                <w:u w:val="single"/>
              </w:rPr>
            </w:pPr>
            <w:r>
              <w:rPr>
                <w:rFonts w:eastAsia="MS Mincho" w:cstheme="minorHAnsi"/>
                <w:u w:val="single"/>
              </w:rPr>
              <w:t xml:space="preserve">Safety: </w:t>
            </w:r>
            <w:r w:rsidR="004C6A75" w:rsidRPr="004C6A75">
              <w:rPr>
                <w:rFonts w:eastAsia="MS Mincho" w:cstheme="minorHAnsi"/>
              </w:rPr>
              <w:t>NR</w:t>
            </w:r>
          </w:p>
        </w:tc>
      </w:tr>
      <w:tr w:rsidR="002F7679" w:rsidRPr="00017AE6" w14:paraId="008ED2E1" w14:textId="77777777" w:rsidTr="005821B1">
        <w:trPr>
          <w:trHeight w:val="99"/>
        </w:trPr>
        <w:tc>
          <w:tcPr>
            <w:tcW w:w="495" w:type="pct"/>
          </w:tcPr>
          <w:p w14:paraId="1B731ED8" w14:textId="02A9CB35" w:rsidR="002F7679" w:rsidRPr="0096136A" w:rsidRDefault="002F7679" w:rsidP="00A71365">
            <w:pPr>
              <w:pStyle w:val="Tablewriting"/>
              <w:rPr>
                <w:rFonts w:eastAsia="MS Mincho" w:cstheme="minorHAnsi"/>
                <w:highlight w:val="yellow"/>
              </w:rPr>
            </w:pPr>
            <w:r w:rsidRPr="00A4076B">
              <w:rPr>
                <w:rFonts w:eastAsia="MS Mincho" w:cstheme="minorHAnsi"/>
              </w:rPr>
              <w:t xml:space="preserve">Hasan </w:t>
            </w:r>
            <w:r w:rsidR="00991AC5" w:rsidRPr="00A4076B">
              <w:rPr>
                <w:rFonts w:eastAsia="MS Mincho" w:cstheme="minorHAnsi"/>
              </w:rPr>
              <w:t>(</w:t>
            </w:r>
            <w:r w:rsidRPr="00A4076B">
              <w:rPr>
                <w:rFonts w:eastAsia="MS Mincho" w:cstheme="minorHAnsi"/>
              </w:rPr>
              <w:t>2014</w:t>
            </w:r>
            <w:r w:rsidR="00991AC5" w:rsidRPr="00A4076B">
              <w:rPr>
                <w:rFonts w:eastAsia="MS Mincho" w:cstheme="minorHAnsi"/>
              </w:rPr>
              <w:t>)</w:t>
            </w:r>
          </w:p>
        </w:tc>
        <w:tc>
          <w:tcPr>
            <w:tcW w:w="235" w:type="pct"/>
          </w:tcPr>
          <w:p w14:paraId="2A73001D" w14:textId="75CC8D42" w:rsidR="002F7679" w:rsidRPr="00017AE6" w:rsidRDefault="004810EB" w:rsidP="00A71365">
            <w:pPr>
              <w:pStyle w:val="Tablewriting"/>
              <w:rPr>
                <w:rFonts w:eastAsia="MS Mincho" w:cstheme="minorHAnsi"/>
              </w:rPr>
            </w:pPr>
            <w:r>
              <w:rPr>
                <w:rFonts w:eastAsia="MS Mincho" w:cstheme="minorHAnsi"/>
              </w:rPr>
              <w:t>RCT</w:t>
            </w:r>
          </w:p>
        </w:tc>
        <w:tc>
          <w:tcPr>
            <w:tcW w:w="433" w:type="pct"/>
          </w:tcPr>
          <w:p w14:paraId="18D8227E" w14:textId="385B1755" w:rsidR="002F7679" w:rsidRPr="00017AE6" w:rsidRDefault="001225EE" w:rsidP="00A71365">
            <w:pPr>
              <w:pStyle w:val="Tablewriting"/>
              <w:rPr>
                <w:rFonts w:eastAsia="MS Mincho" w:cstheme="minorHAnsi"/>
              </w:rPr>
            </w:pPr>
            <w:r>
              <w:rPr>
                <w:rFonts w:eastAsia="MS Mincho" w:cstheme="minorHAnsi"/>
              </w:rPr>
              <w:t>USA</w:t>
            </w:r>
          </w:p>
        </w:tc>
        <w:tc>
          <w:tcPr>
            <w:tcW w:w="359" w:type="pct"/>
          </w:tcPr>
          <w:p w14:paraId="36AFF9F7" w14:textId="2F0F1D34" w:rsidR="002F7679" w:rsidRPr="00017AE6" w:rsidRDefault="002F7679" w:rsidP="00A71365">
            <w:pPr>
              <w:pStyle w:val="Tablewriting"/>
              <w:rPr>
                <w:rFonts w:eastAsia="MS Mincho" w:cstheme="minorHAnsi"/>
              </w:rPr>
            </w:pPr>
            <w:r w:rsidRPr="005A5BEC">
              <w:rPr>
                <w:rFonts w:eastAsia="MS Mincho" w:cstheme="minorHAnsi"/>
              </w:rPr>
              <w:t>N=</w:t>
            </w:r>
            <w:r w:rsidR="00A21395">
              <w:rPr>
                <w:rFonts w:eastAsia="MS Mincho" w:cstheme="minorHAnsi"/>
              </w:rPr>
              <w:t xml:space="preserve">122; </w:t>
            </w:r>
            <w:r w:rsidR="00A21395" w:rsidRPr="001225EE">
              <w:rPr>
                <w:rFonts w:eastAsia="MS Mincho" w:cstheme="minorHAnsi"/>
              </w:rPr>
              <w:t>(81 to relevant arms)</w:t>
            </w:r>
          </w:p>
        </w:tc>
        <w:tc>
          <w:tcPr>
            <w:tcW w:w="1224" w:type="pct"/>
          </w:tcPr>
          <w:p w14:paraId="1815496E" w14:textId="72138739" w:rsidR="002F7679" w:rsidRPr="00017AE6" w:rsidRDefault="00A21395" w:rsidP="00A71365">
            <w:pPr>
              <w:pStyle w:val="Tablewriting"/>
              <w:rPr>
                <w:rFonts w:eastAsia="MS Mincho" w:cstheme="minorHAnsi"/>
              </w:rPr>
            </w:pPr>
            <w:r>
              <w:rPr>
                <w:rFonts w:eastAsia="MS Mincho" w:cstheme="minorHAnsi"/>
              </w:rPr>
              <w:t>S</w:t>
            </w:r>
            <w:r w:rsidR="001225EE" w:rsidRPr="001225EE">
              <w:rPr>
                <w:rFonts w:eastAsia="MS Mincho" w:cstheme="minorHAnsi"/>
              </w:rPr>
              <w:t>mokers admitted with a cardiac or pulmonary illness</w:t>
            </w:r>
            <w:r>
              <w:rPr>
                <w:rFonts w:eastAsia="MS Mincho" w:cstheme="minorHAnsi"/>
              </w:rPr>
              <w:t xml:space="preserve">, </w:t>
            </w:r>
            <w:r w:rsidR="001225EE" w:rsidRPr="001225EE">
              <w:rPr>
                <w:rFonts w:eastAsia="MS Mincho" w:cstheme="minorHAnsi"/>
              </w:rPr>
              <w:t>48% female, average age 55</w:t>
            </w:r>
            <w:r>
              <w:rPr>
                <w:rFonts w:eastAsia="MS Mincho" w:cstheme="minorHAnsi"/>
              </w:rPr>
              <w:t xml:space="preserve"> years</w:t>
            </w:r>
            <w:r w:rsidR="001225EE" w:rsidRPr="001225EE">
              <w:rPr>
                <w:rFonts w:eastAsia="MS Mincho" w:cstheme="minorHAnsi"/>
              </w:rPr>
              <w:t xml:space="preserve">, average </w:t>
            </w:r>
            <w:r>
              <w:rPr>
                <w:rFonts w:eastAsia="MS Mincho" w:cstheme="minorHAnsi"/>
              </w:rPr>
              <w:t>CPD</w:t>
            </w:r>
            <w:r w:rsidR="001225EE" w:rsidRPr="001225EE">
              <w:rPr>
                <w:rFonts w:eastAsia="MS Mincho" w:cstheme="minorHAnsi"/>
              </w:rPr>
              <w:t xml:space="preserve"> 20</w:t>
            </w:r>
            <w:r>
              <w:rPr>
                <w:rFonts w:eastAsia="MS Mincho" w:cstheme="minorHAnsi"/>
              </w:rPr>
              <w:t>.</w:t>
            </w:r>
          </w:p>
        </w:tc>
        <w:tc>
          <w:tcPr>
            <w:tcW w:w="1247" w:type="pct"/>
          </w:tcPr>
          <w:p w14:paraId="2EC33F62" w14:textId="77777777" w:rsidR="00477E17" w:rsidRDefault="00477E17" w:rsidP="00C324F3">
            <w:pPr>
              <w:pStyle w:val="Tablewriting"/>
              <w:numPr>
                <w:ilvl w:val="0"/>
                <w:numId w:val="169"/>
              </w:numPr>
              <w:rPr>
                <w:rFonts w:eastAsia="MS Mincho" w:cstheme="minorHAnsi"/>
              </w:rPr>
            </w:pPr>
            <w:r w:rsidRPr="00477E17">
              <w:rPr>
                <w:rFonts w:eastAsia="MS Mincho" w:cstheme="minorHAnsi"/>
              </w:rPr>
              <w:t xml:space="preserve">Patch and gum/lozenges as per participant preference. Patch dose dependent on </w:t>
            </w:r>
            <w:r>
              <w:rPr>
                <w:rFonts w:eastAsia="MS Mincho" w:cstheme="minorHAnsi"/>
              </w:rPr>
              <w:t>CPD</w:t>
            </w:r>
            <w:r w:rsidRPr="00477E17">
              <w:rPr>
                <w:rFonts w:eastAsia="MS Mincho" w:cstheme="minorHAnsi"/>
              </w:rPr>
              <w:t xml:space="preserve"> prior to hospitalization;</w:t>
            </w:r>
            <w:r>
              <w:rPr>
                <w:rFonts w:eastAsia="MS Mincho" w:cstheme="minorHAnsi"/>
              </w:rPr>
              <w:t xml:space="preserve"> </w:t>
            </w:r>
            <w:r w:rsidRPr="00477E17">
              <w:rPr>
                <w:rFonts w:eastAsia="MS Mincho" w:cstheme="minorHAnsi"/>
              </w:rPr>
              <w:t xml:space="preserve">exact dose not specified but participants smoking 10 to 20 </w:t>
            </w:r>
            <w:r>
              <w:rPr>
                <w:rFonts w:eastAsia="MS Mincho" w:cstheme="minorHAnsi"/>
              </w:rPr>
              <w:t>CPD</w:t>
            </w:r>
            <w:r w:rsidRPr="00477E17">
              <w:rPr>
                <w:rFonts w:eastAsia="MS Mincho" w:cstheme="minorHAnsi"/>
              </w:rPr>
              <w:t xml:space="preserve"> on 21 mg/day initially</w:t>
            </w:r>
            <w:r>
              <w:rPr>
                <w:rFonts w:eastAsia="MS Mincho" w:cstheme="minorHAnsi"/>
              </w:rPr>
              <w:t>.</w:t>
            </w:r>
          </w:p>
          <w:p w14:paraId="11D307BD" w14:textId="657759F7" w:rsidR="00477E17" w:rsidRPr="00477E17" w:rsidRDefault="00477E17" w:rsidP="00C324F3">
            <w:pPr>
              <w:pStyle w:val="Tablewriting"/>
              <w:numPr>
                <w:ilvl w:val="0"/>
                <w:numId w:val="169"/>
              </w:numPr>
              <w:rPr>
                <w:rFonts w:eastAsia="MS Mincho" w:cstheme="minorHAnsi"/>
              </w:rPr>
            </w:pPr>
            <w:r w:rsidRPr="00477E17">
              <w:rPr>
                <w:rFonts w:eastAsia="MS Mincho" w:cstheme="minorHAnsi"/>
              </w:rPr>
              <w:t>No NRT</w:t>
            </w:r>
          </w:p>
          <w:p w14:paraId="6763C6CF" w14:textId="77777777" w:rsidR="00477E17" w:rsidRDefault="00477E17" w:rsidP="00A71365">
            <w:pPr>
              <w:pStyle w:val="Tablewriting"/>
              <w:rPr>
                <w:rFonts w:eastAsia="MS Mincho" w:cstheme="minorHAnsi"/>
              </w:rPr>
            </w:pPr>
          </w:p>
          <w:p w14:paraId="175653BF" w14:textId="3518A410" w:rsidR="00477E17" w:rsidRPr="00477E17" w:rsidRDefault="00477E17" w:rsidP="00A71365">
            <w:pPr>
              <w:pStyle w:val="Tablewriting"/>
              <w:rPr>
                <w:rFonts w:eastAsia="MS Mincho" w:cstheme="minorHAnsi"/>
              </w:rPr>
            </w:pPr>
            <w:r w:rsidRPr="00477E17">
              <w:rPr>
                <w:rFonts w:eastAsia="MS Mincho" w:cstheme="minorHAnsi"/>
              </w:rPr>
              <w:t>Level of support: high. 90-min individualized</w:t>
            </w:r>
            <w:r w:rsidR="0096136A">
              <w:rPr>
                <w:rFonts w:eastAsia="MS Mincho" w:cstheme="minorHAnsi"/>
              </w:rPr>
              <w:t xml:space="preserve"> </w:t>
            </w:r>
            <w:r w:rsidRPr="00477E17">
              <w:rPr>
                <w:rFonts w:eastAsia="MS Mincho" w:cstheme="minorHAnsi"/>
              </w:rPr>
              <w:t>hypnotherapy session with a certified hypnotist and a tobacco</w:t>
            </w:r>
            <w:r w:rsidR="0096136A">
              <w:rPr>
                <w:rFonts w:eastAsia="MS Mincho" w:cstheme="minorHAnsi"/>
              </w:rPr>
              <w:t xml:space="preserve"> </w:t>
            </w:r>
            <w:r w:rsidRPr="00477E17">
              <w:rPr>
                <w:rFonts w:eastAsia="MS Mincho" w:cstheme="minorHAnsi"/>
              </w:rPr>
              <w:t xml:space="preserve">treatment specialist, plus self-help </w:t>
            </w:r>
            <w:r w:rsidR="00115AEE" w:rsidRPr="00477E17">
              <w:rPr>
                <w:rFonts w:eastAsia="MS Mincho" w:cstheme="minorHAnsi"/>
              </w:rPr>
              <w:t>materials,</w:t>
            </w:r>
            <w:r w:rsidRPr="00477E17">
              <w:rPr>
                <w:rFonts w:eastAsia="MS Mincho" w:cstheme="minorHAnsi"/>
              </w:rPr>
              <w:t xml:space="preserve"> and counselling (intensive counselling for 30 mins</w:t>
            </w:r>
          </w:p>
          <w:p w14:paraId="03AECC7E" w14:textId="45779ACB" w:rsidR="002F7679" w:rsidRPr="00017AE6" w:rsidRDefault="00477E17" w:rsidP="00A71365">
            <w:pPr>
              <w:pStyle w:val="Tablewriting"/>
              <w:rPr>
                <w:rFonts w:eastAsia="MS Mincho" w:cstheme="minorHAnsi"/>
              </w:rPr>
            </w:pPr>
            <w:r w:rsidRPr="00477E17">
              <w:rPr>
                <w:rFonts w:eastAsia="MS Mincho" w:cstheme="minorHAnsi"/>
              </w:rPr>
              <w:t>in hospital, with 5 follow-up 15-min phone calls with additional counselling at 1, 2, 4, 8, and 12 weeks</w:t>
            </w:r>
            <w:r w:rsidR="0096136A">
              <w:rPr>
                <w:rFonts w:eastAsia="MS Mincho" w:cstheme="minorHAnsi"/>
              </w:rPr>
              <w:t xml:space="preserve"> </w:t>
            </w:r>
            <w:r w:rsidRPr="00477E17">
              <w:rPr>
                <w:rFonts w:eastAsia="MS Mincho" w:cstheme="minorHAnsi"/>
              </w:rPr>
              <w:t>after hospital discharge)</w:t>
            </w:r>
            <w:r w:rsidR="0096136A">
              <w:rPr>
                <w:rFonts w:eastAsia="MS Mincho" w:cstheme="minorHAnsi"/>
              </w:rPr>
              <w:t>.</w:t>
            </w:r>
          </w:p>
        </w:tc>
        <w:tc>
          <w:tcPr>
            <w:tcW w:w="1008" w:type="pct"/>
          </w:tcPr>
          <w:p w14:paraId="5E192592" w14:textId="6D835428" w:rsidR="006F0109" w:rsidRPr="006F0109" w:rsidRDefault="002F7679" w:rsidP="00A71365">
            <w:pPr>
              <w:pStyle w:val="Tablewriting"/>
              <w:rPr>
                <w:rFonts w:eastAsia="MS Mincho" w:cstheme="minorHAnsi"/>
                <w:u w:val="single"/>
              </w:rPr>
            </w:pPr>
            <w:r>
              <w:rPr>
                <w:rFonts w:eastAsia="MS Mincho" w:cstheme="minorHAnsi"/>
                <w:u w:val="single"/>
              </w:rPr>
              <w:t>Efficacy:</w:t>
            </w:r>
            <w:r w:rsidR="006F0109">
              <w:rPr>
                <w:rFonts w:eastAsia="MS Mincho" w:cstheme="minorHAnsi"/>
                <w:u w:val="single"/>
              </w:rPr>
              <w:t xml:space="preserve"> </w:t>
            </w:r>
            <w:r w:rsidR="006F0109" w:rsidRPr="006F0109">
              <w:rPr>
                <w:rFonts w:eastAsia="MS Mincho" w:cstheme="minorHAnsi"/>
              </w:rPr>
              <w:t>7-day PP at 6 months</w:t>
            </w:r>
            <w:r w:rsidR="006F0109">
              <w:rPr>
                <w:rFonts w:eastAsia="MS Mincho" w:cstheme="minorHAnsi"/>
              </w:rPr>
              <w:t>.</w:t>
            </w:r>
          </w:p>
          <w:p w14:paraId="66F338C5" w14:textId="05C34AD4" w:rsidR="002F7679" w:rsidRPr="006F0109" w:rsidRDefault="006F0109" w:rsidP="00A71365">
            <w:pPr>
              <w:pStyle w:val="Tablewriting"/>
              <w:rPr>
                <w:rFonts w:eastAsia="MS Mincho" w:cstheme="minorHAnsi"/>
              </w:rPr>
            </w:pPr>
            <w:r w:rsidRPr="006F0109">
              <w:rPr>
                <w:rFonts w:eastAsia="MS Mincho" w:cstheme="minorHAnsi"/>
              </w:rPr>
              <w:t>Validation: Urinary cotinine &lt; 15 ng/ml</w:t>
            </w:r>
          </w:p>
          <w:p w14:paraId="63E7B4D8" w14:textId="7ED5308D" w:rsidR="002F7679" w:rsidRPr="004272CD" w:rsidRDefault="002F7679" w:rsidP="00A71365">
            <w:pPr>
              <w:pStyle w:val="Tablewriting"/>
              <w:rPr>
                <w:rFonts w:eastAsia="MS Mincho" w:cstheme="minorHAnsi"/>
                <w:u w:val="single"/>
              </w:rPr>
            </w:pPr>
            <w:r>
              <w:rPr>
                <w:rFonts w:eastAsia="MS Mincho" w:cstheme="minorHAnsi"/>
                <w:u w:val="single"/>
              </w:rPr>
              <w:t>Safety:</w:t>
            </w:r>
            <w:r w:rsidR="006F0109">
              <w:rPr>
                <w:rFonts w:eastAsia="MS Mincho" w:cstheme="minorHAnsi"/>
                <w:u w:val="single"/>
              </w:rPr>
              <w:t xml:space="preserve"> </w:t>
            </w:r>
            <w:r w:rsidR="006F0109" w:rsidRPr="006F0109">
              <w:rPr>
                <w:rFonts w:eastAsia="MS Mincho" w:cstheme="minorHAnsi"/>
              </w:rPr>
              <w:t>NR</w:t>
            </w:r>
          </w:p>
        </w:tc>
      </w:tr>
      <w:tr w:rsidR="007175AE" w:rsidRPr="00017AE6" w14:paraId="35FED09F" w14:textId="77777777" w:rsidTr="005821B1">
        <w:trPr>
          <w:trHeight w:val="99"/>
        </w:trPr>
        <w:tc>
          <w:tcPr>
            <w:tcW w:w="495" w:type="pct"/>
          </w:tcPr>
          <w:p w14:paraId="023CBB96" w14:textId="2F3BC1F1" w:rsidR="007175AE" w:rsidRPr="00017AE6" w:rsidRDefault="007175AE" w:rsidP="00A71365">
            <w:pPr>
              <w:pStyle w:val="Tablewriting"/>
              <w:rPr>
                <w:rFonts w:eastAsia="MS Mincho" w:cstheme="minorHAnsi"/>
              </w:rPr>
            </w:pPr>
            <w:r w:rsidRPr="00B07BE1">
              <w:rPr>
                <w:rFonts w:eastAsia="MS Mincho"/>
              </w:rPr>
              <w:t xml:space="preserve">Piper </w:t>
            </w:r>
            <w:r>
              <w:rPr>
                <w:rFonts w:eastAsia="MS Mincho"/>
              </w:rPr>
              <w:t>(</w:t>
            </w:r>
            <w:r w:rsidRPr="00B07BE1">
              <w:rPr>
                <w:rFonts w:eastAsia="MS Mincho"/>
              </w:rPr>
              <w:t>2009</w:t>
            </w:r>
            <w:r>
              <w:rPr>
                <w:rFonts w:eastAsia="MS Mincho"/>
              </w:rPr>
              <w:t>)</w:t>
            </w:r>
          </w:p>
        </w:tc>
        <w:tc>
          <w:tcPr>
            <w:tcW w:w="235" w:type="pct"/>
          </w:tcPr>
          <w:p w14:paraId="6EF525A9" w14:textId="4354219A" w:rsidR="007175AE" w:rsidRPr="00017AE6" w:rsidRDefault="004810EB" w:rsidP="00A71365">
            <w:pPr>
              <w:pStyle w:val="Tablewriting"/>
              <w:rPr>
                <w:rFonts w:eastAsia="MS Mincho" w:cstheme="minorHAnsi"/>
              </w:rPr>
            </w:pPr>
            <w:r>
              <w:rPr>
                <w:rFonts w:eastAsia="MS Mincho" w:cstheme="minorHAnsi"/>
              </w:rPr>
              <w:t>RCT</w:t>
            </w:r>
          </w:p>
        </w:tc>
        <w:tc>
          <w:tcPr>
            <w:tcW w:w="433" w:type="pct"/>
          </w:tcPr>
          <w:p w14:paraId="4DB2A443" w14:textId="228BFD3D" w:rsidR="007175AE" w:rsidRPr="00017AE6" w:rsidRDefault="007175AE" w:rsidP="00A71365">
            <w:pPr>
              <w:pStyle w:val="Tablewriting"/>
              <w:rPr>
                <w:rFonts w:eastAsia="MS Mincho" w:cstheme="minorHAnsi"/>
              </w:rPr>
            </w:pPr>
            <w:r>
              <w:rPr>
                <w:rFonts w:eastAsia="MS Mincho" w:cstheme="minorHAnsi"/>
              </w:rPr>
              <w:t>USA</w:t>
            </w:r>
          </w:p>
        </w:tc>
        <w:tc>
          <w:tcPr>
            <w:tcW w:w="359" w:type="pct"/>
          </w:tcPr>
          <w:p w14:paraId="5954842B" w14:textId="707C932C" w:rsidR="007175AE" w:rsidRPr="00017AE6" w:rsidRDefault="007175AE" w:rsidP="00A71365">
            <w:pPr>
              <w:pStyle w:val="Tablewriting"/>
              <w:rPr>
                <w:rFonts w:eastAsia="MS Mincho" w:cstheme="minorHAnsi"/>
              </w:rPr>
            </w:pPr>
            <w:r>
              <w:rPr>
                <w:rFonts w:eastAsia="MS Mincho" w:cstheme="minorHAnsi"/>
              </w:rPr>
              <w:t>N=1504</w:t>
            </w:r>
          </w:p>
        </w:tc>
        <w:tc>
          <w:tcPr>
            <w:tcW w:w="1224" w:type="pct"/>
          </w:tcPr>
          <w:p w14:paraId="1A5F39B1" w14:textId="7626F2E5" w:rsidR="007175AE" w:rsidRPr="00017AE6" w:rsidRDefault="007175AE" w:rsidP="00A71365">
            <w:pPr>
              <w:pStyle w:val="Tablewriting"/>
              <w:rPr>
                <w:rFonts w:eastAsia="MS Mincho" w:cstheme="minorHAnsi"/>
              </w:rPr>
            </w:pPr>
            <w:r>
              <w:rPr>
                <w:rFonts w:eastAsia="MS Mincho" w:cstheme="minorHAnsi"/>
              </w:rPr>
              <w:t>S</w:t>
            </w:r>
            <w:r w:rsidRPr="00FB4DCC">
              <w:rPr>
                <w:rFonts w:eastAsia="MS Mincho" w:cstheme="minorHAnsi"/>
              </w:rPr>
              <w:t>mokers motivated to quit</w:t>
            </w:r>
            <w:r>
              <w:rPr>
                <w:rFonts w:eastAsia="MS Mincho" w:cstheme="minorHAnsi"/>
              </w:rPr>
              <w:t xml:space="preserve">, </w:t>
            </w:r>
            <w:r w:rsidRPr="00FB4DCC">
              <w:rPr>
                <w:rFonts w:eastAsia="MS Mincho" w:cstheme="minorHAnsi"/>
              </w:rPr>
              <w:t xml:space="preserve">58% female, average age 45, average </w:t>
            </w:r>
            <w:r>
              <w:rPr>
                <w:rFonts w:eastAsia="MS Mincho" w:cstheme="minorHAnsi"/>
              </w:rPr>
              <w:t>CPD</w:t>
            </w:r>
            <w:r w:rsidRPr="00FB4DCC">
              <w:rPr>
                <w:rFonts w:eastAsia="MS Mincho" w:cstheme="minorHAnsi"/>
              </w:rPr>
              <w:t xml:space="preserve"> 21.4</w:t>
            </w:r>
            <w:r>
              <w:rPr>
                <w:rFonts w:eastAsia="MS Mincho" w:cstheme="minorHAnsi"/>
              </w:rPr>
              <w:t>.</w:t>
            </w:r>
          </w:p>
        </w:tc>
        <w:tc>
          <w:tcPr>
            <w:tcW w:w="1247" w:type="pct"/>
          </w:tcPr>
          <w:p w14:paraId="4F413B65" w14:textId="77777777" w:rsidR="007175AE" w:rsidRDefault="007175AE" w:rsidP="00C324F3">
            <w:pPr>
              <w:pStyle w:val="Tablewriting"/>
              <w:numPr>
                <w:ilvl w:val="0"/>
                <w:numId w:val="140"/>
              </w:numPr>
              <w:rPr>
                <w:rFonts w:eastAsia="MS Mincho" w:cstheme="minorHAnsi"/>
              </w:rPr>
            </w:pPr>
            <w:r w:rsidRPr="0043759B">
              <w:rPr>
                <w:rFonts w:eastAsia="MS Mincho" w:cstheme="minorHAnsi"/>
              </w:rPr>
              <w:t>Nicotine lozenge 2 or 4 mg for 12 weeks (based on dose-for-dependence level as in instructions)</w:t>
            </w:r>
            <w:r>
              <w:rPr>
                <w:rFonts w:eastAsia="MS Mincho" w:cstheme="minorHAnsi"/>
              </w:rPr>
              <w:t>.</w:t>
            </w:r>
          </w:p>
          <w:p w14:paraId="14906371" w14:textId="77777777" w:rsidR="007175AE" w:rsidRDefault="007175AE" w:rsidP="00C324F3">
            <w:pPr>
              <w:pStyle w:val="Tablewriting"/>
              <w:numPr>
                <w:ilvl w:val="0"/>
                <w:numId w:val="140"/>
              </w:numPr>
              <w:rPr>
                <w:rFonts w:eastAsia="MS Mincho" w:cstheme="minorHAnsi"/>
              </w:rPr>
            </w:pPr>
            <w:r w:rsidRPr="0043759B">
              <w:rPr>
                <w:rFonts w:eastAsia="MS Mincho" w:cstheme="minorHAnsi"/>
              </w:rPr>
              <w:lastRenderedPageBreak/>
              <w:t>Nicotine patch (24 h, 21, 14, and 7 mg titrated down over 8-week period post-quit)</w:t>
            </w:r>
            <w:r>
              <w:rPr>
                <w:rFonts w:eastAsia="MS Mincho" w:cstheme="minorHAnsi"/>
              </w:rPr>
              <w:t>.</w:t>
            </w:r>
          </w:p>
          <w:p w14:paraId="0243A00D" w14:textId="77777777" w:rsidR="007175AE" w:rsidRDefault="007175AE" w:rsidP="00C324F3">
            <w:pPr>
              <w:pStyle w:val="Tablewriting"/>
              <w:numPr>
                <w:ilvl w:val="0"/>
                <w:numId w:val="140"/>
              </w:numPr>
              <w:rPr>
                <w:rFonts w:eastAsia="MS Mincho" w:cstheme="minorHAnsi"/>
              </w:rPr>
            </w:pPr>
            <w:r w:rsidRPr="0043759B">
              <w:rPr>
                <w:rFonts w:eastAsia="MS Mincho" w:cstheme="minorHAnsi"/>
              </w:rPr>
              <w:t>Bupropion SR (150 mg bid, 1 week pre-quit, 8 weeks post-quit)</w:t>
            </w:r>
            <w:r>
              <w:rPr>
                <w:rFonts w:eastAsia="MS Mincho" w:cstheme="minorHAnsi"/>
              </w:rPr>
              <w:t>.</w:t>
            </w:r>
          </w:p>
          <w:p w14:paraId="775FB676" w14:textId="77777777"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Lozenge + patch (duration and dosage as above)</w:t>
            </w:r>
            <w:r>
              <w:rPr>
                <w:rFonts w:eastAsia="MS Mincho" w:cstheme="minorHAnsi"/>
              </w:rPr>
              <w:t>.</w:t>
            </w:r>
          </w:p>
          <w:p w14:paraId="2DE7BF5D" w14:textId="77777777"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Bupropion + lozenge (duration and dosage as above)</w:t>
            </w:r>
            <w:r>
              <w:rPr>
                <w:rFonts w:eastAsia="MS Mincho" w:cstheme="minorHAnsi"/>
              </w:rPr>
              <w:t>.</w:t>
            </w:r>
          </w:p>
          <w:p w14:paraId="2EA50BF5" w14:textId="77777777" w:rsidR="007175AE" w:rsidRPr="00887906" w:rsidRDefault="007175AE" w:rsidP="00C324F3">
            <w:pPr>
              <w:pStyle w:val="Tablewriting"/>
              <w:numPr>
                <w:ilvl w:val="0"/>
                <w:numId w:val="140"/>
              </w:numPr>
              <w:rPr>
                <w:rFonts w:eastAsia="MS Mincho" w:cstheme="minorHAnsi"/>
              </w:rPr>
            </w:pPr>
            <w:r w:rsidRPr="00887906">
              <w:rPr>
                <w:rFonts w:eastAsia="MS Mincho" w:cstheme="minorHAnsi"/>
              </w:rPr>
              <w:t>Placebo (5 groups matched to above 5 interventions)</w:t>
            </w:r>
            <w:r>
              <w:rPr>
                <w:rFonts w:eastAsia="MS Mincho" w:cstheme="minorHAnsi"/>
              </w:rPr>
              <w:t>.</w:t>
            </w:r>
          </w:p>
          <w:p w14:paraId="0CC88030" w14:textId="77777777" w:rsidR="007175AE" w:rsidRDefault="007175AE" w:rsidP="00A71365">
            <w:pPr>
              <w:pStyle w:val="Tablewriting"/>
              <w:rPr>
                <w:rFonts w:eastAsia="MS Mincho" w:cstheme="minorHAnsi"/>
              </w:rPr>
            </w:pPr>
          </w:p>
          <w:p w14:paraId="52350D7F" w14:textId="02EA5E2C" w:rsidR="007175AE" w:rsidRPr="00017AE6" w:rsidRDefault="007175AE" w:rsidP="00A71365">
            <w:pPr>
              <w:pStyle w:val="Tablewriting"/>
              <w:rPr>
                <w:rFonts w:eastAsia="MS Mincho" w:cstheme="minorHAnsi"/>
              </w:rPr>
            </w:pPr>
            <w:r w:rsidRPr="00887906">
              <w:rPr>
                <w:rFonts w:eastAsia="MS Mincho" w:cstheme="minorHAnsi"/>
              </w:rPr>
              <w:t>Level of support: high. All participants received 7 one-to-one 10- to 20-min counselling sessions</w:t>
            </w:r>
          </w:p>
        </w:tc>
        <w:tc>
          <w:tcPr>
            <w:tcW w:w="1008" w:type="pct"/>
          </w:tcPr>
          <w:p w14:paraId="44335071" w14:textId="77777777" w:rsidR="007175AE" w:rsidRDefault="007175AE" w:rsidP="00A71365">
            <w:pPr>
              <w:pStyle w:val="Tablewriting"/>
              <w:rPr>
                <w:rFonts w:eastAsia="MS Mincho" w:cstheme="minorHAnsi"/>
              </w:rPr>
            </w:pPr>
            <w:r w:rsidRPr="009B13E2">
              <w:rPr>
                <w:rFonts w:eastAsia="MS Mincho" w:cstheme="minorHAnsi"/>
                <w:u w:val="single"/>
              </w:rPr>
              <w:lastRenderedPageBreak/>
              <w:t>Efficacy:</w:t>
            </w:r>
            <w:r>
              <w:rPr>
                <w:rFonts w:eastAsia="MS Mincho" w:cstheme="minorHAnsi"/>
                <w:u w:val="single"/>
              </w:rPr>
              <w:t xml:space="preserve"> </w:t>
            </w:r>
            <w:r w:rsidRPr="00A61959">
              <w:rPr>
                <w:rFonts w:eastAsia="MS Mincho" w:cstheme="minorHAnsi"/>
              </w:rPr>
              <w:t>7-day PP abstinence at 6 months</w:t>
            </w:r>
            <w:r>
              <w:rPr>
                <w:rFonts w:eastAsia="MS Mincho" w:cstheme="minorHAnsi"/>
              </w:rPr>
              <w:t>,</w:t>
            </w:r>
            <w:r w:rsidRPr="00A61959">
              <w:rPr>
                <w:rFonts w:eastAsia="MS Mincho" w:cstheme="minorHAnsi"/>
              </w:rPr>
              <w:t xml:space="preserve"> initial cessation</w:t>
            </w:r>
            <w:r>
              <w:rPr>
                <w:rFonts w:eastAsia="MS Mincho" w:cstheme="minorHAnsi"/>
              </w:rPr>
              <w:t>.</w:t>
            </w:r>
          </w:p>
          <w:p w14:paraId="7FA1E8EC" w14:textId="77777777" w:rsidR="007175AE" w:rsidRPr="00A61959" w:rsidRDefault="007175AE" w:rsidP="00A71365">
            <w:pPr>
              <w:pStyle w:val="Tablewriting"/>
              <w:rPr>
                <w:rFonts w:eastAsia="MS Mincho" w:cstheme="minorHAnsi"/>
                <w:u w:val="single"/>
              </w:rPr>
            </w:pPr>
          </w:p>
          <w:p w14:paraId="017198D4" w14:textId="77777777" w:rsidR="007175AE" w:rsidRDefault="007175AE" w:rsidP="00A71365">
            <w:pPr>
              <w:pStyle w:val="Tablewriting"/>
              <w:rPr>
                <w:rFonts w:eastAsia="MS Mincho" w:cstheme="minorHAnsi"/>
              </w:rPr>
            </w:pPr>
            <w:r w:rsidRPr="00A61959">
              <w:rPr>
                <w:rFonts w:eastAsia="MS Mincho" w:cstheme="minorHAnsi"/>
              </w:rPr>
              <w:t>Validation: CO &lt; 10 ppm</w:t>
            </w:r>
            <w:r>
              <w:rPr>
                <w:rFonts w:eastAsia="MS Mincho" w:cstheme="minorHAnsi"/>
              </w:rPr>
              <w:t>.</w:t>
            </w:r>
          </w:p>
          <w:p w14:paraId="7E00B07D" w14:textId="77777777" w:rsidR="007175AE" w:rsidRDefault="007175AE" w:rsidP="00A71365">
            <w:pPr>
              <w:pStyle w:val="Tablewriting"/>
              <w:rPr>
                <w:rFonts w:eastAsia="MS Mincho" w:cstheme="minorHAnsi"/>
              </w:rPr>
            </w:pPr>
          </w:p>
          <w:p w14:paraId="7B7FA371" w14:textId="77777777" w:rsidR="007175AE" w:rsidRPr="006C6C9B" w:rsidRDefault="007175AE" w:rsidP="00A71365">
            <w:pPr>
              <w:pStyle w:val="Tablewriting"/>
              <w:rPr>
                <w:rFonts w:eastAsia="MS Mincho" w:cstheme="minorHAnsi"/>
              </w:rPr>
            </w:pPr>
            <w:r w:rsidRPr="009B13E2">
              <w:rPr>
                <w:rFonts w:eastAsia="MS Mincho" w:cstheme="minorHAnsi"/>
                <w:u w:val="single"/>
              </w:rPr>
              <w:t>Safety:</w:t>
            </w:r>
            <w:r>
              <w:rPr>
                <w:rFonts w:eastAsia="MS Mincho" w:cstheme="minorHAnsi"/>
                <w:u w:val="single"/>
              </w:rPr>
              <w:t xml:space="preserve"> </w:t>
            </w:r>
            <w:r w:rsidRPr="006C6C9B">
              <w:rPr>
                <w:rFonts w:eastAsia="MS Mincho" w:cstheme="minorHAnsi"/>
              </w:rPr>
              <w:t>NR</w:t>
            </w:r>
          </w:p>
          <w:p w14:paraId="5853A4F1" w14:textId="742B8251" w:rsidR="007175AE" w:rsidRPr="004272CD" w:rsidRDefault="007175AE" w:rsidP="00A71365">
            <w:pPr>
              <w:pStyle w:val="Tablewriting"/>
              <w:rPr>
                <w:rFonts w:eastAsia="MS Mincho" w:cstheme="minorHAnsi"/>
                <w:u w:val="single"/>
              </w:rPr>
            </w:pPr>
          </w:p>
        </w:tc>
      </w:tr>
    </w:tbl>
    <w:p w14:paraId="2B52D92D" w14:textId="77777777" w:rsidR="007C71A8" w:rsidRPr="009B042A" w:rsidRDefault="007C71A8" w:rsidP="005821B1">
      <w:pPr>
        <w:pStyle w:val="TableFooter"/>
        <w:jc w:val="both"/>
      </w:pPr>
      <w:r>
        <w:lastRenderedPageBreak/>
        <w:t xml:space="preserve">Source: </w:t>
      </w:r>
      <w:r w:rsidRPr="00B1187A">
        <w:t>Hartmann-Boyce et al. (2018)</w:t>
      </w:r>
      <w:r>
        <w:t>.</w:t>
      </w:r>
    </w:p>
    <w:p w14:paraId="53FFD4E8" w14:textId="6F290E57" w:rsidR="00513BB5" w:rsidRDefault="00513BB5" w:rsidP="005821B1">
      <w:pPr>
        <w:pStyle w:val="TableFooter"/>
        <w:spacing w:after="120"/>
        <w:contextualSpacing w:val="0"/>
        <w:jc w:val="both"/>
      </w:pPr>
      <w:bookmarkStart w:id="341" w:name="_Ref55299904"/>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CPD= cigarette per day; AEs= adverse events; SAEs= serious adverse events. </w:t>
      </w:r>
    </w:p>
    <w:p w14:paraId="2A13626A" w14:textId="77777777" w:rsidR="00EA7016" w:rsidRDefault="00EA7016">
      <w:pPr>
        <w:spacing w:line="276" w:lineRule="auto"/>
        <w:rPr>
          <w:rFonts w:asciiTheme="minorHAnsi" w:eastAsia="Times New Roman" w:hAnsiTheme="minorHAnsi" w:cs="Times New Roman"/>
          <w:b/>
          <w:bCs/>
          <w:szCs w:val="18"/>
        </w:rPr>
      </w:pPr>
      <w:bookmarkStart w:id="342" w:name="_Ref61266466"/>
      <w:r>
        <w:br w:type="page"/>
      </w:r>
    </w:p>
    <w:p w14:paraId="3DBC0927" w14:textId="0B38EF67" w:rsidR="00CA7B4D" w:rsidRDefault="00CA7B4D" w:rsidP="005821B1">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156</w:t>
      </w:r>
      <w:r w:rsidR="00BF3F75">
        <w:rPr>
          <w:noProof/>
        </w:rPr>
        <w:fldChar w:fldCharType="end"/>
      </w:r>
      <w:bookmarkEnd w:id="341"/>
      <w:bookmarkEnd w:id="342"/>
      <w:r>
        <w:t xml:space="preserve">: </w:t>
      </w:r>
      <w:r w:rsidRPr="008B0097">
        <w:t>Characteristics of studies included in Lindson et al. (2019), combination</w:t>
      </w:r>
      <w:r w:rsidR="00C96DF9">
        <w:t xml:space="preserve"> NRT</w:t>
      </w:r>
      <w:r w:rsidRPr="008B0097">
        <w:t xml:space="preserve"> versus NRT monotherapy</w:t>
      </w:r>
    </w:p>
    <w:tbl>
      <w:tblPr>
        <w:tblStyle w:val="TableGrid"/>
        <w:tblW w:w="5000" w:type="pct"/>
        <w:tblLook w:val="04A0" w:firstRow="1" w:lastRow="0" w:firstColumn="1" w:lastColumn="0" w:noHBand="0" w:noVBand="1"/>
        <w:tblCaption w:val="Efficacy results of adalimumab trials (PASI 75 and DLQI)"/>
      </w:tblPr>
      <w:tblGrid>
        <w:gridCol w:w="1375"/>
        <w:gridCol w:w="690"/>
        <w:gridCol w:w="1202"/>
        <w:gridCol w:w="993"/>
        <w:gridCol w:w="3275"/>
        <w:gridCol w:w="3607"/>
        <w:gridCol w:w="2806"/>
      </w:tblGrid>
      <w:tr w:rsidR="00696ADB" w:rsidRPr="00061F78" w14:paraId="5D012A19" w14:textId="77777777" w:rsidTr="005821B1">
        <w:trPr>
          <w:trHeight w:val="299"/>
          <w:tblHeader/>
        </w:trPr>
        <w:tc>
          <w:tcPr>
            <w:tcW w:w="495" w:type="pct"/>
            <w:shd w:val="clear" w:color="auto" w:fill="BFBFBF" w:themeFill="background1" w:themeFillShade="BF"/>
            <w:tcMar>
              <w:left w:w="28" w:type="dxa"/>
              <w:right w:w="28" w:type="dxa"/>
            </w:tcMar>
          </w:tcPr>
          <w:p w14:paraId="140FD9FF" w14:textId="4529344E" w:rsidR="00696ADB" w:rsidRPr="00061F78" w:rsidRDefault="00126B7B" w:rsidP="00A71365">
            <w:pPr>
              <w:pStyle w:val="Tableheading"/>
              <w:rPr>
                <w:rFonts w:eastAsia="MS Mincho"/>
              </w:rPr>
            </w:pPr>
            <w:r>
              <w:rPr>
                <w:rFonts w:eastAsia="MS Mincho"/>
              </w:rPr>
              <w:t>Study</w:t>
            </w:r>
          </w:p>
        </w:tc>
        <w:tc>
          <w:tcPr>
            <w:tcW w:w="235" w:type="pct"/>
            <w:shd w:val="clear" w:color="auto" w:fill="BFBFBF" w:themeFill="background1" w:themeFillShade="BF"/>
          </w:tcPr>
          <w:p w14:paraId="3F2AD059" w14:textId="77777777" w:rsidR="00696ADB" w:rsidRDefault="00696ADB" w:rsidP="00A71365">
            <w:pPr>
              <w:pStyle w:val="Tableheading"/>
              <w:jc w:val="center"/>
              <w:rPr>
                <w:rFonts w:eastAsia="MS Mincho"/>
              </w:rPr>
            </w:pPr>
            <w:r>
              <w:rPr>
                <w:rFonts w:eastAsia="MS Mincho"/>
              </w:rPr>
              <w:t>Study type</w:t>
            </w:r>
          </w:p>
        </w:tc>
        <w:tc>
          <w:tcPr>
            <w:tcW w:w="433" w:type="pct"/>
            <w:shd w:val="clear" w:color="auto" w:fill="BFBFBF" w:themeFill="background1" w:themeFillShade="BF"/>
          </w:tcPr>
          <w:p w14:paraId="6887AF76" w14:textId="77777777" w:rsidR="00696ADB" w:rsidRDefault="00696ADB" w:rsidP="00A71365">
            <w:pPr>
              <w:pStyle w:val="Tableheading"/>
              <w:jc w:val="center"/>
              <w:rPr>
                <w:rFonts w:eastAsia="MS Mincho"/>
              </w:rPr>
            </w:pPr>
            <w:r>
              <w:rPr>
                <w:rFonts w:eastAsia="MS Mincho"/>
              </w:rPr>
              <w:t>Countries</w:t>
            </w:r>
          </w:p>
        </w:tc>
        <w:tc>
          <w:tcPr>
            <w:tcW w:w="358" w:type="pct"/>
            <w:shd w:val="clear" w:color="auto" w:fill="BFBFBF" w:themeFill="background1" w:themeFillShade="BF"/>
            <w:tcMar>
              <w:left w:w="28" w:type="dxa"/>
              <w:right w:w="28" w:type="dxa"/>
            </w:tcMar>
          </w:tcPr>
          <w:p w14:paraId="3863267F" w14:textId="77777777" w:rsidR="00696ADB" w:rsidRPr="00061F78" w:rsidRDefault="00696ADB" w:rsidP="00A71365">
            <w:pPr>
              <w:pStyle w:val="Tableheading"/>
              <w:jc w:val="center"/>
              <w:rPr>
                <w:rFonts w:eastAsia="MS Mincho"/>
              </w:rPr>
            </w:pPr>
            <w:r>
              <w:rPr>
                <w:rFonts w:eastAsia="MS Mincho"/>
              </w:rPr>
              <w:t>N</w:t>
            </w:r>
          </w:p>
        </w:tc>
        <w:tc>
          <w:tcPr>
            <w:tcW w:w="1176" w:type="pct"/>
            <w:shd w:val="clear" w:color="auto" w:fill="BFBFBF" w:themeFill="background1" w:themeFillShade="BF"/>
            <w:tcMar>
              <w:left w:w="28" w:type="dxa"/>
              <w:right w:w="28" w:type="dxa"/>
            </w:tcMar>
          </w:tcPr>
          <w:p w14:paraId="4EC8ADCD" w14:textId="77777777" w:rsidR="00696ADB" w:rsidRPr="00061F78" w:rsidRDefault="00696ADB" w:rsidP="00A71365">
            <w:pPr>
              <w:pStyle w:val="Tableheading"/>
              <w:jc w:val="center"/>
              <w:rPr>
                <w:rFonts w:eastAsia="MS Mincho"/>
              </w:rPr>
            </w:pPr>
            <w:r w:rsidRPr="00061F78">
              <w:rPr>
                <w:rFonts w:eastAsia="MS Mincho"/>
              </w:rPr>
              <w:t>P</w:t>
            </w:r>
            <w:r>
              <w:rPr>
                <w:rFonts w:eastAsia="MS Mincho"/>
              </w:rPr>
              <w:t>opulation</w:t>
            </w:r>
          </w:p>
        </w:tc>
        <w:tc>
          <w:tcPr>
            <w:tcW w:w="1295" w:type="pct"/>
            <w:shd w:val="clear" w:color="auto" w:fill="BFBFBF" w:themeFill="background1" w:themeFillShade="BF"/>
          </w:tcPr>
          <w:p w14:paraId="03C07F3F" w14:textId="77777777" w:rsidR="00696ADB" w:rsidRDefault="00696ADB" w:rsidP="00A71365">
            <w:pPr>
              <w:pStyle w:val="Tableheading"/>
              <w:jc w:val="center"/>
              <w:rPr>
                <w:rFonts w:eastAsia="MS Mincho"/>
              </w:rPr>
            </w:pPr>
            <w:r>
              <w:rPr>
                <w:rFonts w:eastAsia="MS Mincho"/>
              </w:rPr>
              <w:t>Intervention and comparator</w:t>
            </w:r>
          </w:p>
        </w:tc>
        <w:tc>
          <w:tcPr>
            <w:tcW w:w="1008" w:type="pct"/>
            <w:shd w:val="clear" w:color="auto" w:fill="BFBFBF" w:themeFill="background1" w:themeFillShade="BF"/>
            <w:tcMar>
              <w:left w:w="28" w:type="dxa"/>
              <w:right w:w="28" w:type="dxa"/>
            </w:tcMar>
          </w:tcPr>
          <w:p w14:paraId="0ADE4B56" w14:textId="77777777" w:rsidR="00696ADB" w:rsidRPr="00061F78" w:rsidRDefault="00696ADB" w:rsidP="00A71365">
            <w:pPr>
              <w:pStyle w:val="Tableheading"/>
              <w:jc w:val="center"/>
              <w:rPr>
                <w:rFonts w:eastAsia="MS Mincho"/>
              </w:rPr>
            </w:pPr>
            <w:r>
              <w:rPr>
                <w:rFonts w:eastAsia="MS Mincho"/>
              </w:rPr>
              <w:t>Outcomes</w:t>
            </w:r>
          </w:p>
        </w:tc>
      </w:tr>
      <w:tr w:rsidR="006352C7" w:rsidRPr="00017AE6" w14:paraId="296C0096" w14:textId="77777777" w:rsidTr="005821B1">
        <w:trPr>
          <w:trHeight w:val="99"/>
        </w:trPr>
        <w:tc>
          <w:tcPr>
            <w:tcW w:w="495" w:type="pct"/>
          </w:tcPr>
          <w:p w14:paraId="43C2DD78" w14:textId="6724A625" w:rsidR="006352C7" w:rsidRPr="00017AE6" w:rsidRDefault="006352C7" w:rsidP="00A71365">
            <w:pPr>
              <w:pStyle w:val="Tablewriting"/>
              <w:rPr>
                <w:rFonts w:eastAsia="MS Mincho" w:cstheme="minorHAnsi"/>
              </w:rPr>
            </w:pPr>
            <w:r w:rsidRPr="00CF3975">
              <w:rPr>
                <w:rFonts w:eastAsia="MS Mincho" w:cstheme="minorHAnsi"/>
              </w:rPr>
              <w:t xml:space="preserve">Baker </w:t>
            </w:r>
            <w:r w:rsidR="00991AC5">
              <w:rPr>
                <w:rFonts w:eastAsia="MS Mincho" w:cstheme="minorHAnsi"/>
              </w:rPr>
              <w:t>(</w:t>
            </w:r>
            <w:r w:rsidRPr="00CF3975">
              <w:rPr>
                <w:rFonts w:eastAsia="MS Mincho" w:cstheme="minorHAnsi"/>
              </w:rPr>
              <w:t>2016</w:t>
            </w:r>
            <w:r w:rsidR="00991AC5">
              <w:rPr>
                <w:rFonts w:eastAsia="MS Mincho" w:cstheme="minorHAnsi"/>
              </w:rPr>
              <w:t>)</w:t>
            </w:r>
          </w:p>
        </w:tc>
        <w:tc>
          <w:tcPr>
            <w:tcW w:w="235" w:type="pct"/>
          </w:tcPr>
          <w:p w14:paraId="25B71691" w14:textId="0D99D7E8" w:rsidR="006352C7" w:rsidRPr="00017AE6" w:rsidRDefault="004810EB" w:rsidP="00A71365">
            <w:pPr>
              <w:pStyle w:val="Tablewriting"/>
              <w:rPr>
                <w:rFonts w:eastAsia="MS Mincho" w:cstheme="minorHAnsi"/>
              </w:rPr>
            </w:pPr>
            <w:r>
              <w:rPr>
                <w:rFonts w:eastAsia="MS Mincho" w:cstheme="minorHAnsi"/>
              </w:rPr>
              <w:t>RCT</w:t>
            </w:r>
          </w:p>
        </w:tc>
        <w:tc>
          <w:tcPr>
            <w:tcW w:w="433" w:type="pct"/>
          </w:tcPr>
          <w:p w14:paraId="7BE98792" w14:textId="7D9BFBB2" w:rsidR="006352C7" w:rsidRPr="00017AE6" w:rsidRDefault="005B1711" w:rsidP="00A71365">
            <w:pPr>
              <w:pStyle w:val="Tablewriting"/>
              <w:rPr>
                <w:rFonts w:eastAsia="MS Mincho" w:cstheme="minorHAnsi"/>
              </w:rPr>
            </w:pPr>
            <w:r>
              <w:rPr>
                <w:rFonts w:eastAsia="MS Mincho" w:cstheme="minorHAnsi"/>
              </w:rPr>
              <w:t>USA</w:t>
            </w:r>
          </w:p>
        </w:tc>
        <w:tc>
          <w:tcPr>
            <w:tcW w:w="358" w:type="pct"/>
          </w:tcPr>
          <w:p w14:paraId="4902F682" w14:textId="7CFE6999" w:rsidR="006352C7" w:rsidRPr="00017AE6" w:rsidRDefault="00F536ED" w:rsidP="00A71365">
            <w:pPr>
              <w:pStyle w:val="Tablewriting"/>
              <w:rPr>
                <w:rFonts w:eastAsia="MS Mincho" w:cstheme="minorHAnsi"/>
              </w:rPr>
            </w:pPr>
            <w:r>
              <w:rPr>
                <w:rFonts w:eastAsia="MS Mincho" w:cstheme="minorHAnsi"/>
              </w:rPr>
              <w:t>N=1086</w:t>
            </w:r>
          </w:p>
        </w:tc>
        <w:tc>
          <w:tcPr>
            <w:tcW w:w="1176" w:type="pct"/>
          </w:tcPr>
          <w:p w14:paraId="669D70DE" w14:textId="1AB9EB44" w:rsidR="00F536ED" w:rsidRPr="00F536ED" w:rsidRDefault="00B43756" w:rsidP="00A71365">
            <w:pPr>
              <w:pStyle w:val="Tablewriting"/>
              <w:rPr>
                <w:rFonts w:eastAsia="MS Mincho" w:cstheme="minorHAnsi"/>
              </w:rPr>
            </w:pPr>
            <w:r>
              <w:rPr>
                <w:rFonts w:eastAsia="MS Mincho" w:cstheme="minorHAnsi"/>
              </w:rPr>
              <w:t>S</w:t>
            </w:r>
            <w:r w:rsidR="00F536ED" w:rsidRPr="00F536ED">
              <w:rPr>
                <w:rFonts w:eastAsia="MS Mincho" w:cstheme="minorHAnsi"/>
              </w:rPr>
              <w:t>mokers (662 in relevant trial arms): aged &gt; 17 y</w:t>
            </w:r>
            <w:r w:rsidR="008C2A98">
              <w:rPr>
                <w:rFonts w:eastAsia="MS Mincho" w:cstheme="minorHAnsi"/>
              </w:rPr>
              <w:t>ea</w:t>
            </w:r>
            <w:r w:rsidR="00F536ED" w:rsidRPr="00F536ED">
              <w:rPr>
                <w:rFonts w:eastAsia="MS Mincho" w:cstheme="minorHAnsi"/>
              </w:rPr>
              <w:t xml:space="preserve">rs, </w:t>
            </w:r>
            <w:r w:rsidR="002F7627" w:rsidRPr="002F7627">
              <w:rPr>
                <w:rFonts w:eastAsia="MS Mincho" w:cstheme="minorHAnsi"/>
              </w:rPr>
              <w:t>≥</w:t>
            </w:r>
            <w:r w:rsidR="00F536ED" w:rsidRPr="00F536ED">
              <w:rPr>
                <w:rFonts w:eastAsia="MS Mincho" w:cstheme="minorHAnsi"/>
              </w:rPr>
              <w:t xml:space="preserve"> 5 </w:t>
            </w:r>
            <w:r>
              <w:rPr>
                <w:rFonts w:eastAsia="MS Mincho" w:cstheme="minorHAnsi"/>
              </w:rPr>
              <w:t>CPD</w:t>
            </w:r>
            <w:r w:rsidR="00F536ED" w:rsidRPr="00F536ED">
              <w:rPr>
                <w:rFonts w:eastAsia="MS Mincho" w:cstheme="minorHAnsi"/>
              </w:rPr>
              <w:t>, desire to quit smoking but not engaged</w:t>
            </w:r>
            <w:r>
              <w:rPr>
                <w:rFonts w:eastAsia="MS Mincho" w:cstheme="minorHAnsi"/>
              </w:rPr>
              <w:t xml:space="preserve"> </w:t>
            </w:r>
            <w:r w:rsidR="00F536ED" w:rsidRPr="00F536ED">
              <w:rPr>
                <w:rFonts w:eastAsia="MS Mincho" w:cstheme="minorHAnsi"/>
              </w:rPr>
              <w:t>in smoking treatment, willingness to use the tested cessation treatments and not using e-cigarettes</w:t>
            </w:r>
            <w:r w:rsidR="002F7627">
              <w:rPr>
                <w:rFonts w:eastAsia="MS Mincho" w:cstheme="minorHAnsi"/>
              </w:rPr>
              <w:t>.</w:t>
            </w:r>
          </w:p>
          <w:p w14:paraId="11B7A67B" w14:textId="1F280E1E" w:rsidR="006352C7" w:rsidRPr="00017AE6" w:rsidRDefault="00F536ED" w:rsidP="00A71365">
            <w:pPr>
              <w:pStyle w:val="Tablewriting"/>
              <w:rPr>
                <w:rFonts w:eastAsia="MS Mincho" w:cstheme="minorHAnsi"/>
              </w:rPr>
            </w:pPr>
            <w:r w:rsidRPr="00F536ED">
              <w:rPr>
                <w:rFonts w:eastAsia="MS Mincho" w:cstheme="minorHAnsi"/>
              </w:rPr>
              <w:t>47.9% men; a</w:t>
            </w:r>
            <w:r w:rsidR="00B43756">
              <w:rPr>
                <w:rFonts w:eastAsia="MS Mincho" w:cstheme="minorHAnsi"/>
              </w:rPr>
              <w:t xml:space="preserve">verage </w:t>
            </w:r>
            <w:r w:rsidRPr="00F536ED">
              <w:rPr>
                <w:rFonts w:eastAsia="MS Mincho" w:cstheme="minorHAnsi"/>
              </w:rPr>
              <w:t>age</w:t>
            </w:r>
            <w:r w:rsidR="00B43756">
              <w:rPr>
                <w:rFonts w:eastAsia="MS Mincho" w:cstheme="minorHAnsi"/>
              </w:rPr>
              <w:t xml:space="preserve"> </w:t>
            </w:r>
            <w:r w:rsidRPr="00F536ED">
              <w:rPr>
                <w:rFonts w:eastAsia="MS Mincho" w:cstheme="minorHAnsi"/>
              </w:rPr>
              <w:t>48.1 y</w:t>
            </w:r>
            <w:r w:rsidR="00B43756">
              <w:rPr>
                <w:rFonts w:eastAsia="MS Mincho" w:cstheme="minorHAnsi"/>
              </w:rPr>
              <w:t>ea</w:t>
            </w:r>
            <w:r w:rsidRPr="00F536ED">
              <w:rPr>
                <w:rFonts w:eastAsia="MS Mincho" w:cstheme="minorHAnsi"/>
              </w:rPr>
              <w:t>rs</w:t>
            </w:r>
            <w:r w:rsidR="00B43756">
              <w:rPr>
                <w:rFonts w:eastAsia="MS Mincho" w:cstheme="minorHAnsi"/>
              </w:rPr>
              <w:t xml:space="preserve">, </w:t>
            </w:r>
            <w:r w:rsidRPr="00F536ED">
              <w:rPr>
                <w:rFonts w:eastAsia="MS Mincho" w:cstheme="minorHAnsi"/>
              </w:rPr>
              <w:t>av</w:t>
            </w:r>
            <w:r w:rsidR="00B43756">
              <w:rPr>
                <w:rFonts w:eastAsia="MS Mincho" w:cstheme="minorHAnsi"/>
              </w:rPr>
              <w:t>erage</w:t>
            </w:r>
            <w:r w:rsidRPr="00F536ED">
              <w:rPr>
                <w:rFonts w:eastAsia="MS Mincho" w:cstheme="minorHAnsi"/>
              </w:rPr>
              <w:t xml:space="preserve"> </w:t>
            </w:r>
            <w:r w:rsidR="00B43756">
              <w:rPr>
                <w:rFonts w:eastAsia="MS Mincho" w:cstheme="minorHAnsi"/>
              </w:rPr>
              <w:t xml:space="preserve">CPD </w:t>
            </w:r>
            <w:r w:rsidRPr="00F536ED">
              <w:rPr>
                <w:rFonts w:eastAsia="MS Mincho" w:cstheme="minorHAnsi"/>
              </w:rPr>
              <w:t>17</w:t>
            </w:r>
            <w:r w:rsidR="00B43756">
              <w:rPr>
                <w:rFonts w:eastAsia="MS Mincho" w:cstheme="minorHAnsi"/>
              </w:rPr>
              <w:t>,</w:t>
            </w:r>
            <w:r w:rsidRPr="00F536ED">
              <w:rPr>
                <w:rFonts w:eastAsia="MS Mincho" w:cstheme="minorHAnsi"/>
              </w:rPr>
              <w:t xml:space="preserve"> av</w:t>
            </w:r>
            <w:r w:rsidR="00B43756">
              <w:rPr>
                <w:rFonts w:eastAsia="MS Mincho" w:cstheme="minorHAnsi"/>
              </w:rPr>
              <w:t>erage</w:t>
            </w:r>
            <w:r w:rsidRPr="00F536ED">
              <w:rPr>
                <w:rFonts w:eastAsia="MS Mincho" w:cstheme="minorHAnsi"/>
              </w:rPr>
              <w:t xml:space="preserve"> FTND 4.8</w:t>
            </w:r>
            <w:r w:rsidR="00B43756">
              <w:rPr>
                <w:rFonts w:eastAsia="MS Mincho" w:cstheme="minorHAnsi"/>
              </w:rPr>
              <w:t>,</w:t>
            </w:r>
            <w:r w:rsidRPr="00F536ED">
              <w:rPr>
                <w:rFonts w:eastAsia="MS Mincho" w:cstheme="minorHAnsi"/>
              </w:rPr>
              <w:t xml:space="preserve"> </w:t>
            </w:r>
            <w:r w:rsidR="00B43756" w:rsidRPr="00F536ED">
              <w:rPr>
                <w:rFonts w:eastAsia="MS Mincho" w:cstheme="minorHAnsi"/>
              </w:rPr>
              <w:t>av</w:t>
            </w:r>
            <w:r w:rsidR="00B43756">
              <w:rPr>
                <w:rFonts w:eastAsia="MS Mincho" w:cstheme="minorHAnsi"/>
              </w:rPr>
              <w:t>erage</w:t>
            </w:r>
            <w:r w:rsidRPr="00F536ED">
              <w:rPr>
                <w:rFonts w:eastAsia="MS Mincho" w:cstheme="minorHAnsi"/>
              </w:rPr>
              <w:t xml:space="preserve"> exhaled CO</w:t>
            </w:r>
            <w:r w:rsidR="00B43756">
              <w:rPr>
                <w:rFonts w:eastAsia="MS Mincho" w:cstheme="minorHAnsi"/>
              </w:rPr>
              <w:t xml:space="preserve"> </w:t>
            </w:r>
            <w:r w:rsidRPr="00F536ED">
              <w:rPr>
                <w:rFonts w:eastAsia="MS Mincho" w:cstheme="minorHAnsi"/>
              </w:rPr>
              <w:t>15.1 ppm</w:t>
            </w:r>
            <w:r w:rsidR="00B43756">
              <w:rPr>
                <w:rFonts w:eastAsia="MS Mincho" w:cstheme="minorHAnsi"/>
              </w:rPr>
              <w:t>.</w:t>
            </w:r>
          </w:p>
        </w:tc>
        <w:tc>
          <w:tcPr>
            <w:tcW w:w="1295" w:type="pct"/>
          </w:tcPr>
          <w:p w14:paraId="689217C7" w14:textId="77777777" w:rsidR="00247C98" w:rsidRDefault="002F7627" w:rsidP="00C324F3">
            <w:pPr>
              <w:pStyle w:val="ListParagraph"/>
              <w:numPr>
                <w:ilvl w:val="0"/>
                <w:numId w:val="170"/>
              </w:numPr>
              <w:rPr>
                <w:rFonts w:eastAsia="MS Mincho"/>
                <w:lang w:eastAsia="en-US"/>
              </w:rPr>
            </w:pPr>
            <w:r w:rsidRPr="002F7627">
              <w:rPr>
                <w:rFonts w:eastAsia="MS Mincho"/>
                <w:lang w:eastAsia="en-US"/>
              </w:rPr>
              <w:t>Combination NRT: nicotine patch (12 weeks - 21 mg for 8 weeks, 14 mg for 2 weeks, 7 mg for 2 weeks)</w:t>
            </w:r>
            <w:r w:rsidR="00247C98">
              <w:rPr>
                <w:rFonts w:eastAsia="MS Mincho"/>
                <w:lang w:eastAsia="en-US"/>
              </w:rPr>
              <w:t xml:space="preserve"> </w:t>
            </w:r>
            <w:r w:rsidRPr="00247C98">
              <w:rPr>
                <w:rFonts w:eastAsia="MS Mincho"/>
                <w:lang w:eastAsia="en-US"/>
              </w:rPr>
              <w:t>and lozenge (12 weeks - 2 or 4 mg based on addiction level, asked to use at least 5 lozenges a day)</w:t>
            </w:r>
            <w:r w:rsidR="00247C98">
              <w:rPr>
                <w:rFonts w:eastAsia="MS Mincho"/>
                <w:lang w:eastAsia="en-US"/>
              </w:rPr>
              <w:t>.</w:t>
            </w:r>
          </w:p>
          <w:p w14:paraId="2447E259" w14:textId="4AFD0ABF" w:rsidR="002F7627" w:rsidRPr="00247C98" w:rsidRDefault="002F7627" w:rsidP="00C324F3">
            <w:pPr>
              <w:pStyle w:val="ListParagraph"/>
              <w:numPr>
                <w:ilvl w:val="0"/>
                <w:numId w:val="170"/>
              </w:numPr>
              <w:rPr>
                <w:rFonts w:eastAsia="MS Mincho"/>
                <w:lang w:eastAsia="en-US"/>
              </w:rPr>
            </w:pPr>
            <w:r w:rsidRPr="00247C98">
              <w:rPr>
                <w:rFonts w:eastAsia="MS Mincho"/>
                <w:lang w:eastAsia="en-US"/>
              </w:rPr>
              <w:t>Nicotine patch only (12 weeks - 21 mg for 8 weeks, 14 mg for 2 weeks, 7 mg for 2 weeks)</w:t>
            </w:r>
          </w:p>
          <w:p w14:paraId="7044B871" w14:textId="77777777" w:rsidR="00247C98" w:rsidRDefault="00247C98" w:rsidP="00A71365">
            <w:pPr>
              <w:jc w:val="center"/>
              <w:rPr>
                <w:rFonts w:eastAsia="MS Mincho"/>
                <w:lang w:eastAsia="en-US"/>
              </w:rPr>
            </w:pPr>
          </w:p>
          <w:p w14:paraId="4D7A7A93" w14:textId="0782F5C2" w:rsidR="002F7627" w:rsidRPr="002F7627" w:rsidRDefault="002F7627" w:rsidP="00A71365">
            <w:pPr>
              <w:rPr>
                <w:rFonts w:eastAsia="MS Mincho"/>
                <w:lang w:eastAsia="en-US"/>
              </w:rPr>
            </w:pPr>
            <w:r w:rsidRPr="002F7627">
              <w:rPr>
                <w:rFonts w:eastAsia="MS Mincho"/>
                <w:lang w:eastAsia="en-US"/>
              </w:rPr>
              <w:t xml:space="preserve">In both </w:t>
            </w:r>
            <w:r w:rsidR="00247C98" w:rsidRPr="002F7627">
              <w:rPr>
                <w:rFonts w:eastAsia="MS Mincho"/>
                <w:lang w:eastAsia="en-US"/>
              </w:rPr>
              <w:t>groups</w:t>
            </w:r>
            <w:r w:rsidR="008E2AC2">
              <w:rPr>
                <w:rFonts w:eastAsia="MS Mincho"/>
                <w:lang w:eastAsia="en-US"/>
              </w:rPr>
              <w:t>,</w:t>
            </w:r>
            <w:r w:rsidRPr="002F7627">
              <w:rPr>
                <w:rFonts w:eastAsia="MS Mincho"/>
                <w:lang w:eastAsia="en-US"/>
              </w:rPr>
              <w:t xml:space="preserve"> treatment</w:t>
            </w:r>
            <w:r w:rsidR="00247C98">
              <w:rPr>
                <w:rFonts w:eastAsia="MS Mincho"/>
                <w:lang w:eastAsia="en-US"/>
              </w:rPr>
              <w:t xml:space="preserve"> </w:t>
            </w:r>
            <w:r w:rsidRPr="002F7627">
              <w:rPr>
                <w:rFonts w:eastAsia="MS Mincho"/>
                <w:lang w:eastAsia="en-US"/>
              </w:rPr>
              <w:t>began on quit day</w:t>
            </w:r>
            <w:r w:rsidR="00247C98">
              <w:rPr>
                <w:rFonts w:eastAsia="MS Mincho"/>
                <w:lang w:eastAsia="en-US"/>
              </w:rPr>
              <w:t>.</w:t>
            </w:r>
          </w:p>
        </w:tc>
        <w:tc>
          <w:tcPr>
            <w:tcW w:w="1008" w:type="pct"/>
          </w:tcPr>
          <w:p w14:paraId="5D75F6A2" w14:textId="77777777" w:rsidR="0046334E" w:rsidRDefault="00F536ED" w:rsidP="00A71365">
            <w:pPr>
              <w:pStyle w:val="Tablewriting"/>
              <w:rPr>
                <w:rFonts w:eastAsia="MS Mincho" w:cstheme="minorHAnsi"/>
              </w:rPr>
            </w:pPr>
            <w:r>
              <w:rPr>
                <w:rFonts w:eastAsia="MS Mincho" w:cstheme="minorHAnsi"/>
                <w:u w:val="single"/>
              </w:rPr>
              <w:t>Efficacy:</w:t>
            </w:r>
            <w:r w:rsidR="007954D8">
              <w:rPr>
                <w:rFonts w:eastAsia="MS Mincho" w:cstheme="minorHAnsi"/>
                <w:u w:val="single"/>
              </w:rPr>
              <w:t xml:space="preserve"> </w:t>
            </w:r>
            <w:r w:rsidR="007954D8" w:rsidRPr="007954D8">
              <w:rPr>
                <w:rFonts w:eastAsia="MS Mincho" w:cstheme="minorHAnsi"/>
              </w:rPr>
              <w:t>7-day PPA at 52 weeks follow-up; CO validated (</w:t>
            </w:r>
            <w:r w:rsidR="00830BCE" w:rsidRPr="00830BCE">
              <w:rPr>
                <w:rFonts w:eastAsia="MS Mincho" w:cstheme="minorHAnsi"/>
              </w:rPr>
              <w:t>≤</w:t>
            </w:r>
            <w:r w:rsidR="00830BCE">
              <w:rPr>
                <w:rFonts w:eastAsia="MS Mincho" w:cstheme="minorHAnsi"/>
              </w:rPr>
              <w:t xml:space="preserve"> </w:t>
            </w:r>
            <w:r w:rsidR="007954D8" w:rsidRPr="007954D8">
              <w:rPr>
                <w:rFonts w:eastAsia="MS Mincho" w:cstheme="minorHAnsi"/>
              </w:rPr>
              <w:t>5 ppm)</w:t>
            </w:r>
            <w:r w:rsidR="0046334E">
              <w:rPr>
                <w:rFonts w:eastAsia="MS Mincho" w:cstheme="minorHAnsi"/>
              </w:rPr>
              <w:t>,</w:t>
            </w:r>
          </w:p>
          <w:p w14:paraId="7D77B445" w14:textId="0C670CF4" w:rsidR="0046334E" w:rsidRDefault="007954D8" w:rsidP="00A71365">
            <w:pPr>
              <w:pStyle w:val="Tablewriting"/>
              <w:rPr>
                <w:rFonts w:eastAsia="MS Mincho" w:cstheme="minorHAnsi"/>
              </w:rPr>
            </w:pPr>
            <w:r w:rsidRPr="007954D8">
              <w:rPr>
                <w:rFonts w:eastAsia="MS Mincho" w:cstheme="minorHAnsi"/>
              </w:rPr>
              <w:t xml:space="preserve"> 7-day PPA at 26 weeks with CO validation</w:t>
            </w:r>
            <w:r w:rsidR="0046334E">
              <w:rPr>
                <w:rFonts w:eastAsia="MS Mincho" w:cstheme="minorHAnsi"/>
              </w:rPr>
              <w:t>,</w:t>
            </w:r>
          </w:p>
          <w:p w14:paraId="63E83460" w14:textId="0903F3F3" w:rsidR="007954D8" w:rsidRPr="0046334E" w:rsidRDefault="007954D8" w:rsidP="00A71365">
            <w:pPr>
              <w:pStyle w:val="Tablewriting"/>
              <w:rPr>
                <w:rFonts w:eastAsia="MS Mincho" w:cstheme="minorHAnsi"/>
                <w:u w:val="single"/>
              </w:rPr>
            </w:pPr>
            <w:r w:rsidRPr="007954D8">
              <w:rPr>
                <w:rFonts w:eastAsia="MS Mincho" w:cstheme="minorHAnsi"/>
              </w:rPr>
              <w:t>self-reported prolonged abstinence</w:t>
            </w:r>
            <w:r w:rsidR="0046334E">
              <w:rPr>
                <w:rFonts w:eastAsia="MS Mincho" w:cstheme="minorHAnsi"/>
              </w:rPr>
              <w:t xml:space="preserve"> </w:t>
            </w:r>
            <w:r w:rsidRPr="007954D8">
              <w:rPr>
                <w:rFonts w:eastAsia="MS Mincho" w:cstheme="minorHAnsi"/>
              </w:rPr>
              <w:t>at 26 weeks (no smoking from day 7 to day 181 post-quit day)</w:t>
            </w:r>
          </w:p>
          <w:p w14:paraId="660DF759" w14:textId="77777777" w:rsidR="00F536ED" w:rsidRDefault="00F536ED" w:rsidP="00A71365">
            <w:pPr>
              <w:pStyle w:val="Tablewriting"/>
              <w:rPr>
                <w:rFonts w:eastAsia="MS Mincho" w:cstheme="minorHAnsi"/>
                <w:u w:val="single"/>
              </w:rPr>
            </w:pPr>
          </w:p>
          <w:p w14:paraId="45700B96" w14:textId="4B243EF4" w:rsidR="0046334E" w:rsidRPr="007954D8" w:rsidRDefault="00F536ED" w:rsidP="00A71365">
            <w:pPr>
              <w:pStyle w:val="Tablewriting"/>
              <w:rPr>
                <w:rFonts w:eastAsia="MS Mincho" w:cstheme="minorHAnsi"/>
              </w:rPr>
            </w:pPr>
            <w:r>
              <w:rPr>
                <w:rFonts w:eastAsia="MS Mincho" w:cstheme="minorHAnsi"/>
                <w:u w:val="single"/>
              </w:rPr>
              <w:t>Safety:</w:t>
            </w:r>
            <w:r w:rsidR="0046334E">
              <w:rPr>
                <w:rFonts w:eastAsia="MS Mincho" w:cstheme="minorHAnsi"/>
                <w:u w:val="single"/>
              </w:rPr>
              <w:t xml:space="preserve"> </w:t>
            </w:r>
            <w:r w:rsidR="0046334E" w:rsidRPr="007954D8">
              <w:rPr>
                <w:rFonts w:eastAsia="MS Mincho" w:cstheme="minorHAnsi"/>
              </w:rPr>
              <w:t>Adverse events measured for duration of treatment (12 weeks)</w:t>
            </w:r>
            <w:r w:rsidR="0046334E">
              <w:rPr>
                <w:rFonts w:eastAsia="MS Mincho" w:cstheme="minorHAnsi"/>
              </w:rPr>
              <w:t>.</w:t>
            </w:r>
          </w:p>
          <w:p w14:paraId="6EBD3496" w14:textId="76794A43" w:rsidR="00F536ED" w:rsidRPr="004272CD" w:rsidRDefault="00F536ED" w:rsidP="00A71365">
            <w:pPr>
              <w:pStyle w:val="Tablewriting"/>
              <w:rPr>
                <w:rFonts w:eastAsia="MS Mincho" w:cstheme="minorHAnsi"/>
                <w:u w:val="single"/>
              </w:rPr>
            </w:pPr>
          </w:p>
        </w:tc>
      </w:tr>
      <w:tr w:rsidR="006352C7" w:rsidRPr="00017AE6" w14:paraId="7C840D0A" w14:textId="77777777" w:rsidTr="005821B1">
        <w:trPr>
          <w:trHeight w:val="99"/>
        </w:trPr>
        <w:tc>
          <w:tcPr>
            <w:tcW w:w="495" w:type="pct"/>
          </w:tcPr>
          <w:p w14:paraId="2F5F4F8A" w14:textId="10E4B9A6" w:rsidR="006352C7" w:rsidRPr="00017AE6" w:rsidRDefault="006352C7" w:rsidP="00A71365">
            <w:pPr>
              <w:pStyle w:val="Tablewriting"/>
              <w:rPr>
                <w:rFonts w:eastAsia="MS Mincho" w:cstheme="minorHAnsi"/>
              </w:rPr>
            </w:pPr>
            <w:r w:rsidRPr="00B35BEA">
              <w:rPr>
                <w:rFonts w:eastAsia="MS Mincho" w:cstheme="minorHAnsi"/>
              </w:rPr>
              <w:t xml:space="preserve">Blondal </w:t>
            </w:r>
            <w:r w:rsidR="00991AC5">
              <w:rPr>
                <w:rFonts w:eastAsia="MS Mincho" w:cstheme="minorHAnsi"/>
              </w:rPr>
              <w:t>(</w:t>
            </w:r>
            <w:r w:rsidRPr="00B35BEA">
              <w:rPr>
                <w:rFonts w:eastAsia="MS Mincho" w:cstheme="minorHAnsi"/>
              </w:rPr>
              <w:t>1999</w:t>
            </w:r>
            <w:r w:rsidR="00991AC5">
              <w:rPr>
                <w:rFonts w:eastAsia="MS Mincho" w:cstheme="minorHAnsi"/>
              </w:rPr>
              <w:t>)</w:t>
            </w:r>
          </w:p>
        </w:tc>
        <w:tc>
          <w:tcPr>
            <w:tcW w:w="235" w:type="pct"/>
          </w:tcPr>
          <w:p w14:paraId="767B1AD3" w14:textId="61FC9348" w:rsidR="006352C7" w:rsidRPr="00017AE6" w:rsidRDefault="004810EB" w:rsidP="00A71365">
            <w:pPr>
              <w:pStyle w:val="Tablewriting"/>
              <w:rPr>
                <w:rFonts w:eastAsia="MS Mincho" w:cstheme="minorHAnsi"/>
              </w:rPr>
            </w:pPr>
            <w:r>
              <w:rPr>
                <w:rFonts w:eastAsia="MS Mincho" w:cstheme="minorHAnsi"/>
              </w:rPr>
              <w:t>RCT</w:t>
            </w:r>
          </w:p>
        </w:tc>
        <w:tc>
          <w:tcPr>
            <w:tcW w:w="433" w:type="pct"/>
          </w:tcPr>
          <w:p w14:paraId="6BC10B9B" w14:textId="39636D7E" w:rsidR="006352C7" w:rsidRPr="00017AE6" w:rsidRDefault="00C400EF" w:rsidP="00A71365">
            <w:pPr>
              <w:pStyle w:val="Tablewriting"/>
              <w:rPr>
                <w:rFonts w:eastAsia="MS Mincho" w:cstheme="minorHAnsi"/>
              </w:rPr>
            </w:pPr>
            <w:r w:rsidRPr="00C400EF">
              <w:rPr>
                <w:rFonts w:eastAsia="MS Mincho" w:cstheme="minorHAnsi"/>
              </w:rPr>
              <w:t>Iceland</w:t>
            </w:r>
          </w:p>
        </w:tc>
        <w:tc>
          <w:tcPr>
            <w:tcW w:w="358" w:type="pct"/>
          </w:tcPr>
          <w:p w14:paraId="67E73C5B" w14:textId="3FE13DA3" w:rsidR="006352C7" w:rsidRPr="00017AE6" w:rsidRDefault="00F536ED" w:rsidP="00A71365">
            <w:pPr>
              <w:pStyle w:val="Tablewriting"/>
              <w:rPr>
                <w:rFonts w:eastAsia="MS Mincho" w:cstheme="minorHAnsi"/>
              </w:rPr>
            </w:pPr>
            <w:r>
              <w:rPr>
                <w:rFonts w:eastAsia="MS Mincho" w:cstheme="minorHAnsi"/>
              </w:rPr>
              <w:t>N=</w:t>
            </w:r>
            <w:r w:rsidR="00C400EF">
              <w:rPr>
                <w:rFonts w:eastAsia="MS Mincho" w:cstheme="minorHAnsi"/>
              </w:rPr>
              <w:t>237</w:t>
            </w:r>
          </w:p>
        </w:tc>
        <w:tc>
          <w:tcPr>
            <w:tcW w:w="1176" w:type="pct"/>
          </w:tcPr>
          <w:p w14:paraId="2D03636C" w14:textId="65297F35" w:rsidR="006352C7" w:rsidRPr="00017AE6" w:rsidRDefault="00A240C5" w:rsidP="00A71365">
            <w:pPr>
              <w:pStyle w:val="Tablewriting"/>
              <w:rPr>
                <w:rFonts w:eastAsia="MS Mincho" w:cstheme="minorHAnsi"/>
              </w:rPr>
            </w:pPr>
            <w:r>
              <w:rPr>
                <w:rFonts w:eastAsia="MS Mincho" w:cstheme="minorHAnsi"/>
              </w:rPr>
              <w:t>S</w:t>
            </w:r>
            <w:r w:rsidR="008B0E3C" w:rsidRPr="008B0E3C">
              <w:rPr>
                <w:rFonts w:eastAsia="MS Mincho" w:cstheme="minorHAnsi"/>
              </w:rPr>
              <w:t>mokers (</w:t>
            </w:r>
            <w:r w:rsidR="008B0E3C" w:rsidRPr="002F7627">
              <w:rPr>
                <w:rFonts w:eastAsia="MS Mincho" w:cstheme="minorHAnsi"/>
              </w:rPr>
              <w:t>≥</w:t>
            </w:r>
            <w:r w:rsidR="008B0E3C" w:rsidRPr="008B0E3C">
              <w:rPr>
                <w:rFonts w:eastAsia="MS Mincho" w:cstheme="minorHAnsi"/>
              </w:rPr>
              <w:t xml:space="preserve"> 1 </w:t>
            </w:r>
            <w:r w:rsidR="008B0E3C">
              <w:rPr>
                <w:rFonts w:eastAsia="MS Mincho" w:cstheme="minorHAnsi"/>
              </w:rPr>
              <w:t>CPD</w:t>
            </w:r>
            <w:r w:rsidR="008B0E3C" w:rsidRPr="008B0E3C">
              <w:rPr>
                <w:rFonts w:eastAsia="MS Mincho" w:cstheme="minorHAnsi"/>
              </w:rPr>
              <w:t>)</w:t>
            </w:r>
            <w:r w:rsidR="008B0E3C">
              <w:rPr>
                <w:rFonts w:eastAsia="MS Mincho" w:cstheme="minorHAnsi"/>
              </w:rPr>
              <w:t xml:space="preserve">, </w:t>
            </w:r>
            <w:r w:rsidR="008B0E3C" w:rsidRPr="008B0E3C">
              <w:rPr>
                <w:rFonts w:eastAsia="MS Mincho" w:cstheme="minorHAnsi"/>
              </w:rPr>
              <w:t>33% men, av</w:t>
            </w:r>
            <w:r w:rsidR="008B0E3C">
              <w:rPr>
                <w:rFonts w:eastAsia="MS Mincho" w:cstheme="minorHAnsi"/>
              </w:rPr>
              <w:t xml:space="preserve">erage </w:t>
            </w:r>
            <w:r w:rsidR="008B0E3C" w:rsidRPr="008B0E3C">
              <w:rPr>
                <w:rFonts w:eastAsia="MS Mincho" w:cstheme="minorHAnsi"/>
              </w:rPr>
              <w:t xml:space="preserve">age 41 </w:t>
            </w:r>
            <w:r w:rsidR="008B0E3C">
              <w:rPr>
                <w:rFonts w:eastAsia="MS Mincho" w:cstheme="minorHAnsi"/>
              </w:rPr>
              <w:t>–</w:t>
            </w:r>
            <w:r w:rsidR="008B0E3C" w:rsidRPr="008B0E3C">
              <w:rPr>
                <w:rFonts w:eastAsia="MS Mincho" w:cstheme="minorHAnsi"/>
              </w:rPr>
              <w:t xml:space="preserve"> 43</w:t>
            </w:r>
            <w:r w:rsidR="008B0E3C">
              <w:rPr>
                <w:rFonts w:eastAsia="MS Mincho" w:cstheme="minorHAnsi"/>
              </w:rPr>
              <w:t xml:space="preserve"> years</w:t>
            </w:r>
            <w:r w:rsidR="008B0E3C" w:rsidRPr="008B0E3C">
              <w:rPr>
                <w:rFonts w:eastAsia="MS Mincho" w:cstheme="minorHAnsi"/>
              </w:rPr>
              <w:t>, av</w:t>
            </w:r>
            <w:r w:rsidR="008B0E3C">
              <w:rPr>
                <w:rFonts w:eastAsia="MS Mincho" w:cstheme="minorHAnsi"/>
              </w:rPr>
              <w:t>erage</w:t>
            </w:r>
            <w:r w:rsidR="008B0E3C" w:rsidRPr="008B0E3C">
              <w:rPr>
                <w:rFonts w:eastAsia="MS Mincho" w:cstheme="minorHAnsi"/>
              </w:rPr>
              <w:t xml:space="preserve"> tobacco use 25 g/day</w:t>
            </w:r>
            <w:r w:rsidR="008B0E3C">
              <w:rPr>
                <w:rFonts w:eastAsia="MS Mincho" w:cstheme="minorHAnsi"/>
              </w:rPr>
              <w:t>.</w:t>
            </w:r>
          </w:p>
        </w:tc>
        <w:tc>
          <w:tcPr>
            <w:tcW w:w="1295" w:type="pct"/>
          </w:tcPr>
          <w:p w14:paraId="63A0AF68" w14:textId="26760EC3" w:rsidR="005305F1" w:rsidRDefault="008B0E3C" w:rsidP="00C324F3">
            <w:pPr>
              <w:pStyle w:val="Tablewriting"/>
              <w:numPr>
                <w:ilvl w:val="0"/>
                <w:numId w:val="171"/>
              </w:numPr>
              <w:rPr>
                <w:rFonts w:eastAsia="MS Mincho" w:cstheme="minorHAnsi"/>
              </w:rPr>
            </w:pPr>
            <w:r w:rsidRPr="008B0E3C">
              <w:rPr>
                <w:rFonts w:eastAsia="MS Mincho" w:cstheme="minorHAnsi"/>
              </w:rPr>
              <w:t>Nicotine nasal spray (NNS) (0.5 mg/dose) + 15 mg nicotine patches for 3 m</w:t>
            </w:r>
            <w:r w:rsidR="005305F1">
              <w:rPr>
                <w:rFonts w:eastAsia="MS Mincho" w:cstheme="minorHAnsi"/>
              </w:rPr>
              <w:t>onths</w:t>
            </w:r>
            <w:r w:rsidRPr="008B0E3C">
              <w:rPr>
                <w:rFonts w:eastAsia="MS Mincho" w:cstheme="minorHAnsi"/>
              </w:rPr>
              <w:t>, weaning over further 2 m</w:t>
            </w:r>
            <w:r w:rsidR="005305F1">
              <w:rPr>
                <w:rFonts w:eastAsia="MS Mincho" w:cstheme="minorHAnsi"/>
              </w:rPr>
              <w:t>onths</w:t>
            </w:r>
            <w:r w:rsidRPr="008B0E3C">
              <w:rPr>
                <w:rFonts w:eastAsia="MS Mincho" w:cstheme="minorHAnsi"/>
              </w:rPr>
              <w:t>.</w:t>
            </w:r>
            <w:r w:rsidR="005305F1">
              <w:rPr>
                <w:rFonts w:eastAsia="MS Mincho" w:cstheme="minorHAnsi"/>
              </w:rPr>
              <w:t xml:space="preserve"> </w:t>
            </w:r>
            <w:r w:rsidRPr="005305F1">
              <w:rPr>
                <w:rFonts w:eastAsia="MS Mincho" w:cstheme="minorHAnsi"/>
              </w:rPr>
              <w:t>NNS could be continued for 1 y</w:t>
            </w:r>
            <w:r w:rsidR="005305F1">
              <w:rPr>
                <w:rFonts w:eastAsia="MS Mincho" w:cstheme="minorHAnsi"/>
              </w:rPr>
              <w:t>ea</w:t>
            </w:r>
            <w:r w:rsidRPr="005305F1">
              <w:rPr>
                <w:rFonts w:eastAsia="MS Mincho" w:cstheme="minorHAnsi"/>
              </w:rPr>
              <w:t>r</w:t>
            </w:r>
            <w:r w:rsidR="005305F1">
              <w:rPr>
                <w:rFonts w:eastAsia="MS Mincho" w:cstheme="minorHAnsi"/>
              </w:rPr>
              <w:t>.</w:t>
            </w:r>
          </w:p>
          <w:p w14:paraId="760A0371" w14:textId="1A210A7C" w:rsidR="006352C7" w:rsidRPr="005305F1" w:rsidRDefault="008B0E3C" w:rsidP="00C324F3">
            <w:pPr>
              <w:pStyle w:val="Tablewriting"/>
              <w:numPr>
                <w:ilvl w:val="0"/>
                <w:numId w:val="171"/>
              </w:numPr>
              <w:rPr>
                <w:rFonts w:eastAsia="MS Mincho" w:cstheme="minorHAnsi"/>
              </w:rPr>
            </w:pPr>
            <w:r w:rsidRPr="005305F1">
              <w:rPr>
                <w:rFonts w:eastAsia="MS Mincho" w:cstheme="minorHAnsi"/>
              </w:rPr>
              <w:t>Placebo nasal spray + 15 mg nicotine patches on same schedule</w:t>
            </w:r>
            <w:r w:rsidR="005305F1">
              <w:rPr>
                <w:rFonts w:eastAsia="MS Mincho" w:cstheme="minorHAnsi"/>
              </w:rPr>
              <w:t>.</w:t>
            </w:r>
          </w:p>
        </w:tc>
        <w:tc>
          <w:tcPr>
            <w:tcW w:w="1008" w:type="pct"/>
          </w:tcPr>
          <w:p w14:paraId="575D57D4" w14:textId="77777777" w:rsidR="00F536ED" w:rsidRDefault="00F536ED" w:rsidP="00A71365">
            <w:pPr>
              <w:pStyle w:val="Tablewriting"/>
              <w:rPr>
                <w:rFonts w:eastAsia="MS Mincho" w:cstheme="minorHAnsi"/>
                <w:u w:val="single"/>
              </w:rPr>
            </w:pPr>
            <w:r>
              <w:rPr>
                <w:rFonts w:eastAsia="MS Mincho" w:cstheme="minorHAnsi"/>
                <w:u w:val="single"/>
              </w:rPr>
              <w:t>Efficacy:</w:t>
            </w:r>
          </w:p>
          <w:p w14:paraId="04907C14" w14:textId="354B622B" w:rsidR="005305F1" w:rsidRPr="005305F1" w:rsidRDefault="005305F1" w:rsidP="00A71365">
            <w:pPr>
              <w:pStyle w:val="Tablewriting"/>
              <w:rPr>
                <w:rFonts w:eastAsia="MS Mincho" w:cstheme="minorHAnsi"/>
              </w:rPr>
            </w:pPr>
            <w:r w:rsidRPr="005305F1">
              <w:rPr>
                <w:rFonts w:eastAsia="MS Mincho" w:cstheme="minorHAnsi"/>
              </w:rPr>
              <w:t>Sustained abstinence at 12 m</w:t>
            </w:r>
            <w:r w:rsidR="002314BA">
              <w:rPr>
                <w:rFonts w:eastAsia="MS Mincho" w:cstheme="minorHAnsi"/>
              </w:rPr>
              <w:t>onths</w:t>
            </w:r>
            <w:r w:rsidRPr="005305F1">
              <w:rPr>
                <w:rFonts w:eastAsia="MS Mincho" w:cstheme="minorHAnsi"/>
              </w:rPr>
              <w:t xml:space="preserve"> (6-y</w:t>
            </w:r>
            <w:r>
              <w:rPr>
                <w:rFonts w:eastAsia="MS Mincho" w:cstheme="minorHAnsi"/>
              </w:rPr>
              <w:t>ea</w:t>
            </w:r>
            <w:r w:rsidRPr="005305F1">
              <w:rPr>
                <w:rFonts w:eastAsia="MS Mincho" w:cstheme="minorHAnsi"/>
              </w:rPr>
              <w:t>r data also reported)</w:t>
            </w:r>
            <w:r>
              <w:rPr>
                <w:rFonts w:eastAsia="MS Mincho" w:cstheme="minorHAnsi"/>
              </w:rPr>
              <w:t>.</w:t>
            </w:r>
          </w:p>
          <w:p w14:paraId="35F4C423" w14:textId="77777777" w:rsidR="005305F1" w:rsidRPr="005305F1" w:rsidRDefault="005305F1" w:rsidP="00A71365">
            <w:pPr>
              <w:pStyle w:val="Tablewriting"/>
              <w:rPr>
                <w:rFonts w:eastAsia="MS Mincho" w:cstheme="minorHAnsi"/>
              </w:rPr>
            </w:pPr>
            <w:r w:rsidRPr="005305F1">
              <w:rPr>
                <w:rFonts w:eastAsia="MS Mincho" w:cstheme="minorHAnsi"/>
              </w:rPr>
              <w:t>Validation: CO &lt; 10 ppm</w:t>
            </w:r>
          </w:p>
          <w:p w14:paraId="042D5A4E" w14:textId="77777777" w:rsidR="00F536ED" w:rsidRDefault="00F536ED" w:rsidP="00A71365">
            <w:pPr>
              <w:pStyle w:val="Tablewriting"/>
              <w:rPr>
                <w:rFonts w:eastAsia="MS Mincho" w:cstheme="minorHAnsi"/>
                <w:u w:val="single"/>
              </w:rPr>
            </w:pPr>
          </w:p>
          <w:p w14:paraId="793304C0" w14:textId="78A6563C" w:rsidR="006352C7" w:rsidRPr="005305F1" w:rsidRDefault="00F536ED" w:rsidP="00A71365">
            <w:pPr>
              <w:pStyle w:val="Tablewriting"/>
              <w:rPr>
                <w:rFonts w:eastAsia="MS Mincho" w:cstheme="minorHAnsi"/>
              </w:rPr>
            </w:pPr>
            <w:r>
              <w:rPr>
                <w:rFonts w:eastAsia="MS Mincho" w:cstheme="minorHAnsi"/>
                <w:u w:val="single"/>
              </w:rPr>
              <w:t>Safety:</w:t>
            </w:r>
            <w:r w:rsidR="005305F1">
              <w:rPr>
                <w:rFonts w:eastAsia="MS Mincho" w:cstheme="minorHAnsi"/>
                <w:u w:val="single"/>
              </w:rPr>
              <w:t xml:space="preserve"> </w:t>
            </w:r>
            <w:r w:rsidR="005305F1" w:rsidRPr="005305F1">
              <w:rPr>
                <w:rFonts w:eastAsia="MS Mincho" w:cstheme="minorHAnsi"/>
              </w:rPr>
              <w:t>Adverse events: measured within 3 months of follow-up (still using NRT)</w:t>
            </w:r>
            <w:r w:rsidR="005305F1">
              <w:rPr>
                <w:rFonts w:eastAsia="MS Mincho" w:cstheme="minorHAnsi"/>
              </w:rPr>
              <w:t>.</w:t>
            </w:r>
          </w:p>
        </w:tc>
      </w:tr>
      <w:tr w:rsidR="00F536ED" w:rsidRPr="00017AE6" w14:paraId="771362E1" w14:textId="77777777" w:rsidTr="005821B1">
        <w:trPr>
          <w:trHeight w:val="99"/>
        </w:trPr>
        <w:tc>
          <w:tcPr>
            <w:tcW w:w="495" w:type="pct"/>
          </w:tcPr>
          <w:p w14:paraId="70F52893" w14:textId="34E13A67" w:rsidR="00F536ED" w:rsidRPr="00017AE6" w:rsidRDefault="00F536ED" w:rsidP="00A71365">
            <w:pPr>
              <w:pStyle w:val="Tablewriting"/>
              <w:rPr>
                <w:rFonts w:eastAsia="MS Mincho" w:cstheme="minorHAnsi"/>
              </w:rPr>
            </w:pPr>
            <w:r w:rsidRPr="00B35BEA">
              <w:rPr>
                <w:rFonts w:eastAsia="MS Mincho" w:cstheme="minorHAnsi"/>
              </w:rPr>
              <w:t xml:space="preserve">Caldwell </w:t>
            </w:r>
            <w:r w:rsidR="00991AC5">
              <w:rPr>
                <w:rFonts w:eastAsia="MS Mincho" w:cstheme="minorHAnsi"/>
              </w:rPr>
              <w:t>(</w:t>
            </w:r>
            <w:r w:rsidRPr="00B35BEA">
              <w:rPr>
                <w:rFonts w:eastAsia="MS Mincho" w:cstheme="minorHAnsi"/>
              </w:rPr>
              <w:t>2014</w:t>
            </w:r>
            <w:r w:rsidR="00991AC5">
              <w:rPr>
                <w:rFonts w:eastAsia="MS Mincho" w:cstheme="minorHAnsi"/>
              </w:rPr>
              <w:t>)</w:t>
            </w:r>
          </w:p>
        </w:tc>
        <w:tc>
          <w:tcPr>
            <w:tcW w:w="235" w:type="pct"/>
          </w:tcPr>
          <w:p w14:paraId="082277A2" w14:textId="31AB0D3F"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2D542871" w14:textId="463F1033" w:rsidR="00F536ED" w:rsidRPr="00017AE6" w:rsidRDefault="00E04DC7" w:rsidP="00A71365">
            <w:pPr>
              <w:pStyle w:val="Tablewriting"/>
              <w:rPr>
                <w:rFonts w:eastAsia="MS Mincho" w:cstheme="minorHAnsi"/>
              </w:rPr>
            </w:pPr>
            <w:r>
              <w:rPr>
                <w:rFonts w:eastAsia="MS Mincho" w:cstheme="minorHAnsi"/>
              </w:rPr>
              <w:t>New Zealand</w:t>
            </w:r>
          </w:p>
        </w:tc>
        <w:tc>
          <w:tcPr>
            <w:tcW w:w="358" w:type="pct"/>
          </w:tcPr>
          <w:p w14:paraId="10A03F6F" w14:textId="49AE5577" w:rsidR="00F536ED" w:rsidRPr="00017AE6" w:rsidRDefault="00F536ED" w:rsidP="00A71365">
            <w:pPr>
              <w:pStyle w:val="Tablewriting"/>
              <w:rPr>
                <w:rFonts w:eastAsia="MS Mincho" w:cstheme="minorHAnsi"/>
              </w:rPr>
            </w:pPr>
            <w:r w:rsidRPr="003A1845">
              <w:rPr>
                <w:rFonts w:eastAsia="MS Mincho" w:cstheme="minorHAnsi"/>
              </w:rPr>
              <w:t>N=</w:t>
            </w:r>
            <w:r w:rsidR="00E04DC7">
              <w:rPr>
                <w:rFonts w:eastAsia="MS Mincho" w:cstheme="minorHAnsi"/>
              </w:rPr>
              <w:t>1423</w:t>
            </w:r>
          </w:p>
        </w:tc>
        <w:tc>
          <w:tcPr>
            <w:tcW w:w="1176" w:type="pct"/>
          </w:tcPr>
          <w:p w14:paraId="64AE5C0B" w14:textId="6BAF666E" w:rsidR="00195214" w:rsidRPr="00195214" w:rsidRDefault="00195214" w:rsidP="00A71365">
            <w:pPr>
              <w:pStyle w:val="Tablewriting"/>
              <w:rPr>
                <w:rFonts w:eastAsia="MS Mincho" w:cstheme="minorHAnsi"/>
              </w:rPr>
            </w:pPr>
            <w:r>
              <w:rPr>
                <w:rFonts w:eastAsia="MS Mincho" w:cstheme="minorHAnsi"/>
              </w:rPr>
              <w:t>S</w:t>
            </w:r>
            <w:r w:rsidRPr="00195214">
              <w:rPr>
                <w:rFonts w:eastAsia="MS Mincho" w:cstheme="minorHAnsi"/>
              </w:rPr>
              <w:t>moker</w:t>
            </w:r>
            <w:r>
              <w:rPr>
                <w:rFonts w:eastAsia="MS Mincho" w:cstheme="minorHAnsi"/>
              </w:rPr>
              <w:t>s</w:t>
            </w:r>
            <w:r w:rsidRPr="00195214">
              <w:rPr>
                <w:rFonts w:eastAsia="MS Mincho" w:cstheme="minorHAnsi"/>
              </w:rPr>
              <w:t xml:space="preserve"> aged 18 - 70 years,</w:t>
            </w:r>
            <w:r w:rsidRPr="002F7627">
              <w:rPr>
                <w:rFonts w:eastAsia="MS Mincho" w:cstheme="minorHAnsi"/>
              </w:rPr>
              <w:t xml:space="preserve"> ≥</w:t>
            </w:r>
            <w:r>
              <w:rPr>
                <w:rFonts w:eastAsia="MS Mincho" w:cstheme="minorHAnsi"/>
              </w:rPr>
              <w:t xml:space="preserve"> </w:t>
            </w:r>
            <w:r w:rsidRPr="00195214">
              <w:rPr>
                <w:rFonts w:eastAsia="MS Mincho" w:cstheme="minorHAnsi"/>
              </w:rPr>
              <w:t xml:space="preserve">9 </w:t>
            </w:r>
            <w:r>
              <w:rPr>
                <w:rFonts w:eastAsia="MS Mincho" w:cstheme="minorHAnsi"/>
              </w:rPr>
              <w:t>CPD</w:t>
            </w:r>
            <w:r w:rsidRPr="00195214">
              <w:rPr>
                <w:rFonts w:eastAsia="MS Mincho" w:cstheme="minorHAnsi"/>
              </w:rPr>
              <w:t xml:space="preserve">, FTND </w:t>
            </w:r>
            <w:r w:rsidRPr="002F7627">
              <w:rPr>
                <w:rFonts w:eastAsia="MS Mincho" w:cstheme="minorHAnsi"/>
              </w:rPr>
              <w:t>≥</w:t>
            </w:r>
            <w:r w:rsidRPr="00195214">
              <w:rPr>
                <w:rFonts w:eastAsia="MS Mincho" w:cstheme="minorHAnsi"/>
              </w:rPr>
              <w:t xml:space="preserve"> 3. Ineligible if currently taking psychoactive medication/illicit drugs, drank &gt; 28 units of alcohol a week, had</w:t>
            </w:r>
            <w:r w:rsidR="009B4CE8">
              <w:rPr>
                <w:rFonts w:eastAsia="MS Mincho" w:cstheme="minorHAnsi"/>
              </w:rPr>
              <w:t xml:space="preserve"> </w:t>
            </w:r>
            <w:r w:rsidRPr="00195214">
              <w:rPr>
                <w:rFonts w:eastAsia="MS Mincho" w:cstheme="minorHAnsi"/>
              </w:rPr>
              <w:t>hyperthyroidism/diabetes/severe renal or hepatic</w:t>
            </w:r>
            <w:r w:rsidR="009B4CE8">
              <w:rPr>
                <w:rFonts w:eastAsia="MS Mincho" w:cstheme="minorHAnsi"/>
              </w:rPr>
              <w:t xml:space="preserve"> </w:t>
            </w:r>
            <w:r w:rsidRPr="00195214">
              <w:rPr>
                <w:rFonts w:eastAsia="MS Mincho" w:cstheme="minorHAnsi"/>
              </w:rPr>
              <w:t xml:space="preserve">disease, were female </w:t>
            </w:r>
            <w:r w:rsidRPr="00195214">
              <w:rPr>
                <w:rFonts w:eastAsia="MS Mincho" w:cstheme="minorHAnsi"/>
              </w:rPr>
              <w:lastRenderedPageBreak/>
              <w:t>and using inadequate contraception or were</w:t>
            </w:r>
            <w:r w:rsidR="009B4CE8">
              <w:rPr>
                <w:rFonts w:eastAsia="MS Mincho" w:cstheme="minorHAnsi"/>
              </w:rPr>
              <w:t xml:space="preserve"> </w:t>
            </w:r>
            <w:r w:rsidRPr="00195214">
              <w:rPr>
                <w:rFonts w:eastAsia="MS Mincho" w:cstheme="minorHAnsi"/>
              </w:rPr>
              <w:t>breastfeeding</w:t>
            </w:r>
            <w:r w:rsidR="009B4CE8">
              <w:rPr>
                <w:rFonts w:eastAsia="MS Mincho" w:cstheme="minorHAnsi"/>
              </w:rPr>
              <w:t>.</w:t>
            </w:r>
          </w:p>
          <w:p w14:paraId="6EAE4AA1" w14:textId="3675240C" w:rsidR="00F536ED" w:rsidRPr="00017AE6" w:rsidRDefault="00195214" w:rsidP="00A71365">
            <w:pPr>
              <w:pStyle w:val="Tablewriting"/>
              <w:rPr>
                <w:rFonts w:eastAsia="MS Mincho" w:cstheme="minorHAnsi"/>
              </w:rPr>
            </w:pPr>
            <w:r w:rsidRPr="00195214">
              <w:rPr>
                <w:rFonts w:eastAsia="MS Mincho" w:cstheme="minorHAnsi"/>
              </w:rPr>
              <w:t>46% men</w:t>
            </w:r>
            <w:r w:rsidR="009B4CE8">
              <w:rPr>
                <w:rFonts w:eastAsia="MS Mincho" w:cstheme="minorHAnsi"/>
              </w:rPr>
              <w:t>,</w:t>
            </w:r>
            <w:r w:rsidRPr="00195214">
              <w:rPr>
                <w:rFonts w:eastAsia="MS Mincho" w:cstheme="minorHAnsi"/>
              </w:rPr>
              <w:t xml:space="preserve"> mean age 45</w:t>
            </w:r>
            <w:r w:rsidR="009B4CE8">
              <w:rPr>
                <w:rFonts w:eastAsia="MS Mincho" w:cstheme="minorHAnsi"/>
              </w:rPr>
              <w:t xml:space="preserve"> years,</w:t>
            </w:r>
            <w:r w:rsidRPr="00195214">
              <w:rPr>
                <w:rFonts w:eastAsia="MS Mincho" w:cstheme="minorHAnsi"/>
              </w:rPr>
              <w:t xml:space="preserve"> av</w:t>
            </w:r>
            <w:r w:rsidR="009B4CE8">
              <w:rPr>
                <w:rFonts w:eastAsia="MS Mincho" w:cstheme="minorHAnsi"/>
              </w:rPr>
              <w:t>erage</w:t>
            </w:r>
            <w:r w:rsidRPr="00195214">
              <w:rPr>
                <w:rFonts w:eastAsia="MS Mincho" w:cstheme="minorHAnsi"/>
              </w:rPr>
              <w:t xml:space="preserve"> </w:t>
            </w:r>
            <w:r w:rsidR="009B4CE8">
              <w:rPr>
                <w:rFonts w:eastAsia="MS Mincho" w:cstheme="minorHAnsi"/>
              </w:rPr>
              <w:t>CPD</w:t>
            </w:r>
            <w:r w:rsidRPr="00195214">
              <w:rPr>
                <w:rFonts w:eastAsia="MS Mincho" w:cstheme="minorHAnsi"/>
              </w:rPr>
              <w:t xml:space="preserve"> 20</w:t>
            </w:r>
            <w:r w:rsidR="009B4CE8">
              <w:rPr>
                <w:rFonts w:eastAsia="MS Mincho" w:cstheme="minorHAnsi"/>
              </w:rPr>
              <w:t>,</w:t>
            </w:r>
            <w:r w:rsidRPr="00195214">
              <w:rPr>
                <w:rFonts w:eastAsia="MS Mincho" w:cstheme="minorHAnsi"/>
              </w:rPr>
              <w:t xml:space="preserve"> mean FTND 6.1</w:t>
            </w:r>
            <w:r w:rsidR="009B4CE8">
              <w:rPr>
                <w:rFonts w:eastAsia="MS Mincho" w:cstheme="minorHAnsi"/>
              </w:rPr>
              <w:t>.</w:t>
            </w:r>
          </w:p>
        </w:tc>
        <w:tc>
          <w:tcPr>
            <w:tcW w:w="1295" w:type="pct"/>
          </w:tcPr>
          <w:p w14:paraId="4CFE7205" w14:textId="77777777" w:rsidR="004B2F48" w:rsidRDefault="000B5C31" w:rsidP="00C324F3">
            <w:pPr>
              <w:pStyle w:val="ListParagraph"/>
              <w:numPr>
                <w:ilvl w:val="0"/>
                <w:numId w:val="172"/>
              </w:numPr>
              <w:rPr>
                <w:rFonts w:eastAsia="MS Mincho"/>
                <w:lang w:eastAsia="en-US"/>
              </w:rPr>
            </w:pPr>
            <w:r w:rsidRPr="000B5C31">
              <w:rPr>
                <w:rFonts w:eastAsia="MS Mincho"/>
                <w:lang w:eastAsia="en-US"/>
              </w:rPr>
              <w:lastRenderedPageBreak/>
              <w:t>6 m nicotine oral spray parallel to 5 m free 24-hour nicotine patch. Each spray actuation</w:t>
            </w:r>
            <w:r w:rsidR="004B2F48">
              <w:rPr>
                <w:rFonts w:eastAsia="MS Mincho"/>
                <w:lang w:eastAsia="en-US"/>
              </w:rPr>
              <w:t xml:space="preserve"> </w:t>
            </w:r>
            <w:r w:rsidRPr="000B5C31">
              <w:rPr>
                <w:rFonts w:eastAsia="MS Mincho"/>
                <w:lang w:eastAsia="en-US"/>
              </w:rPr>
              <w:t>contained 1</w:t>
            </w:r>
            <w:r w:rsidRPr="004B2F48">
              <w:rPr>
                <w:rFonts w:eastAsia="MS Mincho"/>
                <w:lang w:eastAsia="en-US"/>
              </w:rPr>
              <w:t>mg nicotine</w:t>
            </w:r>
            <w:r w:rsidR="004B2F48" w:rsidRPr="004B2F48">
              <w:rPr>
                <w:rFonts w:eastAsia="MS Mincho"/>
                <w:lang w:eastAsia="en-US"/>
              </w:rPr>
              <w:t>.</w:t>
            </w:r>
          </w:p>
          <w:p w14:paraId="58680742" w14:textId="77777777" w:rsidR="000B5C31" w:rsidRDefault="000B5C31" w:rsidP="00C324F3">
            <w:pPr>
              <w:pStyle w:val="ListParagraph"/>
              <w:numPr>
                <w:ilvl w:val="0"/>
                <w:numId w:val="172"/>
              </w:numPr>
              <w:rPr>
                <w:rFonts w:eastAsia="MS Mincho"/>
                <w:lang w:eastAsia="en-US"/>
              </w:rPr>
            </w:pPr>
            <w:r w:rsidRPr="004B2F48">
              <w:rPr>
                <w:rFonts w:eastAsia="MS Mincho"/>
                <w:lang w:eastAsia="en-US"/>
              </w:rPr>
              <w:t>6 m placebo oral spray parallel to 5 m free 24-hour nicotine patch. The placebo spray was</w:t>
            </w:r>
            <w:r w:rsidR="00EC39C7">
              <w:rPr>
                <w:rFonts w:eastAsia="MS Mincho"/>
                <w:lang w:eastAsia="en-US"/>
              </w:rPr>
              <w:t xml:space="preserve"> </w:t>
            </w:r>
            <w:r w:rsidRPr="004B2F48">
              <w:rPr>
                <w:rFonts w:eastAsia="MS Mincho"/>
                <w:lang w:eastAsia="en-US"/>
              </w:rPr>
              <w:t>dispensed</w:t>
            </w:r>
            <w:r w:rsidR="00EC39C7">
              <w:rPr>
                <w:rFonts w:eastAsia="MS Mincho"/>
                <w:lang w:eastAsia="en-US"/>
              </w:rPr>
              <w:t xml:space="preserve"> </w:t>
            </w:r>
            <w:r w:rsidRPr="00EC39C7">
              <w:rPr>
                <w:rFonts w:eastAsia="MS Mincho"/>
                <w:lang w:eastAsia="en-US"/>
              </w:rPr>
              <w:t xml:space="preserve">in </w:t>
            </w:r>
            <w:r w:rsidRPr="00EC39C7">
              <w:rPr>
                <w:rFonts w:eastAsia="MS Mincho"/>
                <w:lang w:eastAsia="en-US"/>
              </w:rPr>
              <w:lastRenderedPageBreak/>
              <w:t>opaque bottles identical to the nicotine spray</w:t>
            </w:r>
            <w:r w:rsidR="00EC39C7">
              <w:rPr>
                <w:rFonts w:eastAsia="MS Mincho"/>
                <w:lang w:eastAsia="en-US"/>
              </w:rPr>
              <w:t>.</w:t>
            </w:r>
          </w:p>
          <w:p w14:paraId="508398CC" w14:textId="77777777" w:rsidR="00EC39C7" w:rsidRDefault="00EC39C7" w:rsidP="00A71365">
            <w:pPr>
              <w:rPr>
                <w:rFonts w:eastAsia="MS Mincho"/>
                <w:lang w:eastAsia="en-US"/>
              </w:rPr>
            </w:pPr>
          </w:p>
          <w:p w14:paraId="0DA840EC" w14:textId="7B38AAA5" w:rsidR="00EC39C7" w:rsidRDefault="00EC39C7" w:rsidP="00A71365">
            <w:pPr>
              <w:rPr>
                <w:rFonts w:eastAsia="MS Mincho"/>
                <w:lang w:eastAsia="en-US"/>
              </w:rPr>
            </w:pPr>
            <w:r w:rsidRPr="00EC39C7">
              <w:rPr>
                <w:rFonts w:eastAsia="MS Mincho"/>
                <w:u w:val="single"/>
                <w:lang w:eastAsia="en-US"/>
              </w:rPr>
              <w:t>Common components:</w:t>
            </w:r>
            <w:r>
              <w:rPr>
                <w:rFonts w:eastAsia="MS Mincho"/>
                <w:u w:val="single"/>
                <w:lang w:eastAsia="en-US"/>
              </w:rPr>
              <w:t xml:space="preserve"> </w:t>
            </w:r>
            <w:r w:rsidRPr="00EC39C7">
              <w:rPr>
                <w:rFonts w:eastAsia="MS Mincho"/>
                <w:lang w:eastAsia="en-US"/>
              </w:rPr>
              <w:t>Both groups were instructed to use the spray ad libitum whenever they felt the urge to smoke, up to a</w:t>
            </w:r>
            <w:r>
              <w:rPr>
                <w:rFonts w:eastAsia="MS Mincho"/>
                <w:lang w:eastAsia="en-US"/>
              </w:rPr>
              <w:t xml:space="preserve"> </w:t>
            </w:r>
            <w:r w:rsidRPr="00EC39C7">
              <w:rPr>
                <w:rFonts w:eastAsia="MS Mincho"/>
                <w:lang w:eastAsia="en-US"/>
              </w:rPr>
              <w:t>maximum of 30 sprays/day</w:t>
            </w:r>
            <w:r>
              <w:rPr>
                <w:rFonts w:eastAsia="MS Mincho"/>
                <w:lang w:eastAsia="en-US"/>
              </w:rPr>
              <w:t>.</w:t>
            </w:r>
          </w:p>
          <w:p w14:paraId="47F76BCF" w14:textId="77777777" w:rsidR="00EC39C7" w:rsidRPr="00EC39C7" w:rsidRDefault="00EC39C7" w:rsidP="00A71365">
            <w:pPr>
              <w:rPr>
                <w:rFonts w:eastAsia="MS Mincho"/>
                <w:u w:val="single"/>
                <w:lang w:eastAsia="en-US"/>
              </w:rPr>
            </w:pPr>
          </w:p>
          <w:p w14:paraId="2F72035E" w14:textId="6259CCE4" w:rsidR="00EC39C7" w:rsidRPr="00EC39C7" w:rsidRDefault="00EC39C7" w:rsidP="00A71365">
            <w:pPr>
              <w:rPr>
                <w:rFonts w:eastAsia="MS Mincho"/>
                <w:lang w:eastAsia="en-US"/>
              </w:rPr>
            </w:pPr>
            <w:r w:rsidRPr="00EC39C7">
              <w:rPr>
                <w:rFonts w:eastAsia="MS Mincho"/>
                <w:lang w:eastAsia="en-US"/>
              </w:rPr>
              <w:t>Both groups received 21 mg/24-hour nicotine patches for 18 weeks, then 14 mg/24-hour nicotine</w:t>
            </w:r>
            <w:r>
              <w:rPr>
                <w:rFonts w:eastAsia="MS Mincho"/>
                <w:lang w:eastAsia="en-US"/>
              </w:rPr>
              <w:t xml:space="preserve"> </w:t>
            </w:r>
            <w:r w:rsidRPr="00EC39C7">
              <w:rPr>
                <w:rFonts w:eastAsia="MS Mincho"/>
                <w:lang w:eastAsia="en-US"/>
              </w:rPr>
              <w:t>patches for 2 weeks, and then 7 mg/24-hour nicotine patches for 2 weeks</w:t>
            </w:r>
            <w:r>
              <w:rPr>
                <w:rFonts w:eastAsia="MS Mincho"/>
                <w:lang w:eastAsia="en-US"/>
              </w:rPr>
              <w:t>.</w:t>
            </w:r>
          </w:p>
        </w:tc>
        <w:tc>
          <w:tcPr>
            <w:tcW w:w="1008" w:type="pct"/>
          </w:tcPr>
          <w:p w14:paraId="73D32B86" w14:textId="4C1F4752" w:rsidR="002B0026" w:rsidRDefault="00F536ED" w:rsidP="00A71365">
            <w:pPr>
              <w:pStyle w:val="Tablewriting"/>
              <w:rPr>
                <w:rFonts w:eastAsia="MS Mincho" w:cstheme="minorHAnsi"/>
              </w:rPr>
            </w:pPr>
            <w:r>
              <w:rPr>
                <w:rFonts w:eastAsia="MS Mincho" w:cstheme="minorHAnsi"/>
                <w:u w:val="single"/>
              </w:rPr>
              <w:lastRenderedPageBreak/>
              <w:t>Efficacy:</w:t>
            </w:r>
            <w:r w:rsidR="002B0026">
              <w:rPr>
                <w:rFonts w:eastAsia="MS Mincho" w:cstheme="minorHAnsi"/>
                <w:u w:val="single"/>
              </w:rPr>
              <w:t xml:space="preserve"> </w:t>
            </w:r>
            <w:r w:rsidR="002B0026" w:rsidRPr="002B0026">
              <w:rPr>
                <w:rFonts w:eastAsia="MS Mincho" w:cstheme="minorHAnsi"/>
              </w:rPr>
              <w:t>Prolonged abstinence at 12 m</w:t>
            </w:r>
            <w:r w:rsidR="002314BA">
              <w:rPr>
                <w:rFonts w:eastAsia="MS Mincho" w:cstheme="minorHAnsi"/>
              </w:rPr>
              <w:t>onths</w:t>
            </w:r>
            <w:r w:rsidR="002B0026" w:rsidRPr="002B0026">
              <w:rPr>
                <w:rFonts w:eastAsia="MS Mincho" w:cstheme="minorHAnsi"/>
              </w:rPr>
              <w:t xml:space="preserve"> post-quit day; CO-validated (&lt; 10 ppm). </w:t>
            </w:r>
          </w:p>
          <w:p w14:paraId="5D5D0043" w14:textId="12A51A65" w:rsidR="002B0026" w:rsidRPr="002B0026" w:rsidRDefault="002B0026" w:rsidP="00A71365">
            <w:pPr>
              <w:pStyle w:val="Tablewriting"/>
              <w:rPr>
                <w:rFonts w:eastAsia="MS Mincho" w:cstheme="minorHAnsi"/>
                <w:u w:val="single"/>
              </w:rPr>
            </w:pPr>
            <w:r w:rsidRPr="002B0026">
              <w:rPr>
                <w:rFonts w:eastAsia="MS Mincho" w:cstheme="minorHAnsi"/>
              </w:rPr>
              <w:t>Prolonged abstinence defined as</w:t>
            </w:r>
            <w:r>
              <w:rPr>
                <w:rFonts w:eastAsia="MS Mincho" w:cstheme="minorHAnsi"/>
              </w:rPr>
              <w:t xml:space="preserve"> </w:t>
            </w:r>
            <w:r w:rsidRPr="002B0026">
              <w:rPr>
                <w:rFonts w:eastAsia="MS Mincho" w:cstheme="minorHAnsi"/>
              </w:rPr>
              <w:t>no smoking since end of grace period</w:t>
            </w:r>
            <w:r w:rsidR="00C46C05">
              <w:rPr>
                <w:rFonts w:eastAsia="MS Mincho" w:cstheme="minorHAnsi"/>
              </w:rPr>
              <w:t xml:space="preserve"> (</w:t>
            </w:r>
            <w:r w:rsidRPr="002B0026">
              <w:rPr>
                <w:rFonts w:eastAsia="MS Mincho" w:cstheme="minorHAnsi"/>
              </w:rPr>
              <w:t>4 weeks after quit day</w:t>
            </w:r>
            <w:r w:rsidR="00C46C05">
              <w:rPr>
                <w:rFonts w:eastAsia="MS Mincho" w:cstheme="minorHAnsi"/>
              </w:rPr>
              <w:t xml:space="preserve"> </w:t>
            </w:r>
            <w:r w:rsidRPr="002B0026">
              <w:rPr>
                <w:rFonts w:eastAsia="MS Mincho" w:cstheme="minorHAnsi"/>
              </w:rPr>
              <w:t>to 12</w:t>
            </w:r>
            <w:r w:rsidR="00C46C05">
              <w:rPr>
                <w:rFonts w:eastAsia="MS Mincho" w:cstheme="minorHAnsi"/>
              </w:rPr>
              <w:t>-</w:t>
            </w:r>
            <w:r w:rsidRPr="002B0026">
              <w:rPr>
                <w:rFonts w:eastAsia="MS Mincho" w:cstheme="minorHAnsi"/>
              </w:rPr>
              <w:t>m</w:t>
            </w:r>
            <w:r w:rsidR="00C46C05">
              <w:rPr>
                <w:rFonts w:eastAsia="MS Mincho" w:cstheme="minorHAnsi"/>
              </w:rPr>
              <w:t>onth</w:t>
            </w:r>
            <w:r w:rsidRPr="002B0026">
              <w:rPr>
                <w:rFonts w:eastAsia="MS Mincho" w:cstheme="minorHAnsi"/>
              </w:rPr>
              <w:t xml:space="preserve"> post-quit</w:t>
            </w:r>
            <w:r w:rsidR="00C46C05">
              <w:rPr>
                <w:rFonts w:eastAsia="MS Mincho" w:cstheme="minorHAnsi"/>
              </w:rPr>
              <w:t>).</w:t>
            </w:r>
          </w:p>
          <w:p w14:paraId="70379829" w14:textId="77777777" w:rsidR="00C46C05" w:rsidRDefault="00C46C05" w:rsidP="00A71365">
            <w:pPr>
              <w:pStyle w:val="Tablewriting"/>
              <w:rPr>
                <w:rFonts w:eastAsia="MS Mincho" w:cstheme="minorHAnsi"/>
              </w:rPr>
            </w:pPr>
          </w:p>
          <w:p w14:paraId="53DFF9AF" w14:textId="3B2E2A8D" w:rsidR="002B0026" w:rsidRPr="002B0026" w:rsidRDefault="002B0026" w:rsidP="00A71365">
            <w:pPr>
              <w:pStyle w:val="Tablewriting"/>
              <w:rPr>
                <w:rFonts w:eastAsia="MS Mincho" w:cstheme="minorHAnsi"/>
              </w:rPr>
            </w:pPr>
            <w:r w:rsidRPr="002B0026">
              <w:rPr>
                <w:rFonts w:eastAsia="MS Mincho" w:cstheme="minorHAnsi"/>
              </w:rPr>
              <w:lastRenderedPageBreak/>
              <w:t>7-day PPA at 12 m</w:t>
            </w:r>
            <w:r w:rsidR="00C46C05">
              <w:rPr>
                <w:rFonts w:eastAsia="MS Mincho" w:cstheme="minorHAnsi"/>
              </w:rPr>
              <w:t>onths</w:t>
            </w:r>
            <w:r w:rsidRPr="002B0026">
              <w:rPr>
                <w:rFonts w:eastAsia="MS Mincho" w:cstheme="minorHAnsi"/>
              </w:rPr>
              <w:t xml:space="preserve"> follow-up (CO-validated)</w:t>
            </w:r>
          </w:p>
          <w:p w14:paraId="26009EDB" w14:textId="77777777" w:rsidR="00C46C05" w:rsidRDefault="00C46C05" w:rsidP="00A71365">
            <w:pPr>
              <w:pStyle w:val="Tablewriting"/>
              <w:rPr>
                <w:rFonts w:eastAsia="MS Mincho" w:cstheme="minorHAnsi"/>
                <w:u w:val="single"/>
              </w:rPr>
            </w:pPr>
          </w:p>
          <w:p w14:paraId="04273BCF" w14:textId="62F2459E" w:rsidR="00C46C05" w:rsidRPr="002B0026" w:rsidRDefault="00F536ED" w:rsidP="00A71365">
            <w:pPr>
              <w:pStyle w:val="Tablewriting"/>
              <w:rPr>
                <w:rFonts w:eastAsia="MS Mincho" w:cstheme="minorHAnsi"/>
              </w:rPr>
            </w:pPr>
            <w:r>
              <w:rPr>
                <w:rFonts w:eastAsia="MS Mincho" w:cstheme="minorHAnsi"/>
                <w:u w:val="single"/>
              </w:rPr>
              <w:t>Safety:</w:t>
            </w:r>
            <w:r w:rsidR="00C46C05">
              <w:rPr>
                <w:rFonts w:eastAsia="MS Mincho" w:cstheme="minorHAnsi"/>
                <w:u w:val="single"/>
              </w:rPr>
              <w:t xml:space="preserve"> </w:t>
            </w:r>
            <w:r w:rsidR="00C46C05" w:rsidRPr="002B0026">
              <w:rPr>
                <w:rFonts w:eastAsia="MS Mincho" w:cstheme="minorHAnsi"/>
              </w:rPr>
              <w:t>Adverse events: measured for 12 months (treatment was for 6 months)</w:t>
            </w:r>
            <w:r w:rsidR="00C46C05">
              <w:rPr>
                <w:rFonts w:eastAsia="MS Mincho" w:cstheme="minorHAnsi"/>
              </w:rPr>
              <w:t>.</w:t>
            </w:r>
          </w:p>
          <w:p w14:paraId="43F7F0CF" w14:textId="702E1CA8" w:rsidR="00F536ED" w:rsidRPr="004272CD" w:rsidRDefault="00F536ED" w:rsidP="00A71365">
            <w:pPr>
              <w:pStyle w:val="Tablewriting"/>
              <w:rPr>
                <w:rFonts w:eastAsia="MS Mincho" w:cstheme="minorHAnsi"/>
                <w:u w:val="single"/>
              </w:rPr>
            </w:pPr>
          </w:p>
        </w:tc>
      </w:tr>
      <w:tr w:rsidR="00F536ED" w:rsidRPr="00017AE6" w14:paraId="0422C702" w14:textId="77777777" w:rsidTr="005821B1">
        <w:trPr>
          <w:trHeight w:val="99"/>
        </w:trPr>
        <w:tc>
          <w:tcPr>
            <w:tcW w:w="495" w:type="pct"/>
          </w:tcPr>
          <w:p w14:paraId="3DC54A86" w14:textId="3A855D05" w:rsidR="00F536ED" w:rsidRPr="00017AE6" w:rsidRDefault="00F536ED" w:rsidP="00A71365">
            <w:pPr>
              <w:pStyle w:val="Tablewriting"/>
              <w:rPr>
                <w:rFonts w:eastAsia="MS Mincho" w:cstheme="minorHAnsi"/>
              </w:rPr>
            </w:pPr>
            <w:r w:rsidRPr="00B35BEA">
              <w:rPr>
                <w:rFonts w:eastAsia="MS Mincho" w:cstheme="minorHAnsi"/>
              </w:rPr>
              <w:lastRenderedPageBreak/>
              <w:t xml:space="preserve">Caldwell </w:t>
            </w:r>
            <w:r w:rsidR="00991AC5">
              <w:rPr>
                <w:rFonts w:eastAsia="MS Mincho" w:cstheme="minorHAnsi"/>
              </w:rPr>
              <w:t>(</w:t>
            </w:r>
            <w:r w:rsidRPr="00B35BEA">
              <w:rPr>
                <w:rFonts w:eastAsia="MS Mincho" w:cstheme="minorHAnsi"/>
              </w:rPr>
              <w:t>2016</w:t>
            </w:r>
            <w:r w:rsidR="00991AC5">
              <w:rPr>
                <w:rFonts w:eastAsia="MS Mincho" w:cstheme="minorHAnsi"/>
              </w:rPr>
              <w:t>)</w:t>
            </w:r>
          </w:p>
        </w:tc>
        <w:tc>
          <w:tcPr>
            <w:tcW w:w="235" w:type="pct"/>
          </w:tcPr>
          <w:p w14:paraId="54C8C906" w14:textId="0A27E66F"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35D4DCEC" w14:textId="14EE0E73" w:rsidR="00F536ED" w:rsidRPr="00017AE6" w:rsidRDefault="00F84462" w:rsidP="00A71365">
            <w:pPr>
              <w:pStyle w:val="Tablewriting"/>
              <w:rPr>
                <w:rFonts w:eastAsia="MS Mincho" w:cstheme="minorHAnsi"/>
              </w:rPr>
            </w:pPr>
            <w:r>
              <w:rPr>
                <w:rFonts w:eastAsia="MS Mincho" w:cstheme="minorHAnsi"/>
              </w:rPr>
              <w:t>New Zealand</w:t>
            </w:r>
          </w:p>
        </w:tc>
        <w:tc>
          <w:tcPr>
            <w:tcW w:w="358" w:type="pct"/>
          </w:tcPr>
          <w:p w14:paraId="422C193C" w14:textId="70D21B4A" w:rsidR="00F536ED" w:rsidRPr="00017AE6" w:rsidRDefault="00F536ED" w:rsidP="00A71365">
            <w:pPr>
              <w:pStyle w:val="Tablewriting"/>
              <w:rPr>
                <w:rFonts w:eastAsia="MS Mincho" w:cstheme="minorHAnsi"/>
              </w:rPr>
            </w:pPr>
            <w:r w:rsidRPr="003A1845">
              <w:rPr>
                <w:rFonts w:eastAsia="MS Mincho" w:cstheme="minorHAnsi"/>
              </w:rPr>
              <w:t>N=</w:t>
            </w:r>
            <w:r w:rsidR="00BD6FAE">
              <w:rPr>
                <w:rFonts w:eastAsia="MS Mincho" w:cstheme="minorHAnsi"/>
              </w:rPr>
              <w:t>502</w:t>
            </w:r>
          </w:p>
        </w:tc>
        <w:tc>
          <w:tcPr>
            <w:tcW w:w="1176" w:type="pct"/>
          </w:tcPr>
          <w:p w14:paraId="2C1D17A7" w14:textId="72D48904" w:rsidR="00BD6FAE" w:rsidRPr="00BD6FAE" w:rsidRDefault="00BD6FAE" w:rsidP="00A71365">
            <w:pPr>
              <w:pStyle w:val="Tablewriting"/>
              <w:rPr>
                <w:rFonts w:eastAsia="MS Mincho" w:cstheme="minorHAnsi"/>
              </w:rPr>
            </w:pPr>
            <w:r>
              <w:rPr>
                <w:rFonts w:eastAsia="MS Mincho" w:cstheme="minorHAnsi"/>
              </w:rPr>
              <w:t>S</w:t>
            </w:r>
            <w:r w:rsidRPr="00BD6FAE">
              <w:rPr>
                <w:rFonts w:eastAsia="MS Mincho" w:cstheme="minorHAnsi"/>
              </w:rPr>
              <w:t>mokers aged 18 - 70 years,</w:t>
            </w:r>
            <w:r w:rsidR="00E25324" w:rsidRPr="002F7627">
              <w:rPr>
                <w:rFonts w:eastAsia="MS Mincho" w:cstheme="minorHAnsi"/>
              </w:rPr>
              <w:t xml:space="preserve"> ≥</w:t>
            </w:r>
            <w:r w:rsidRPr="00BD6FAE">
              <w:rPr>
                <w:rFonts w:eastAsia="MS Mincho" w:cstheme="minorHAnsi"/>
              </w:rPr>
              <w:t xml:space="preserve"> 9 </w:t>
            </w:r>
            <w:r w:rsidR="00E25324">
              <w:rPr>
                <w:rFonts w:eastAsia="MS Mincho" w:cstheme="minorHAnsi"/>
              </w:rPr>
              <w:t>CPD</w:t>
            </w:r>
            <w:r w:rsidRPr="00BD6FAE">
              <w:rPr>
                <w:rFonts w:eastAsia="MS Mincho" w:cstheme="minorHAnsi"/>
              </w:rPr>
              <w:t>, FTND</w:t>
            </w:r>
            <w:r w:rsidR="00E25324">
              <w:rPr>
                <w:rFonts w:eastAsia="MS Mincho" w:cstheme="minorHAnsi"/>
              </w:rPr>
              <w:t xml:space="preserve"> </w:t>
            </w:r>
            <w:r w:rsidR="00E25324" w:rsidRPr="002F7627">
              <w:rPr>
                <w:rFonts w:eastAsia="MS Mincho" w:cstheme="minorHAnsi"/>
              </w:rPr>
              <w:t>≥</w:t>
            </w:r>
            <w:r w:rsidR="00E25324">
              <w:rPr>
                <w:rFonts w:eastAsia="MS Mincho" w:cstheme="minorHAnsi"/>
              </w:rPr>
              <w:t xml:space="preserve"> </w:t>
            </w:r>
            <w:r w:rsidRPr="00BD6FAE">
              <w:rPr>
                <w:rFonts w:eastAsia="MS Mincho" w:cstheme="minorHAnsi"/>
              </w:rPr>
              <w:t>3</w:t>
            </w:r>
            <w:r w:rsidR="00E25324">
              <w:rPr>
                <w:rFonts w:eastAsia="MS Mincho" w:cstheme="minorHAnsi"/>
              </w:rPr>
              <w:t>.</w:t>
            </w:r>
          </w:p>
          <w:p w14:paraId="30D0E1EC" w14:textId="37ADC24E" w:rsidR="00F536ED" w:rsidRPr="00017AE6" w:rsidRDefault="00BD6FAE" w:rsidP="00A71365">
            <w:pPr>
              <w:pStyle w:val="Tablewriting"/>
              <w:rPr>
                <w:rFonts w:eastAsia="MS Mincho" w:cstheme="minorHAnsi"/>
              </w:rPr>
            </w:pPr>
            <w:r w:rsidRPr="00BD6FAE">
              <w:rPr>
                <w:rFonts w:eastAsia="MS Mincho" w:cstheme="minorHAnsi"/>
              </w:rPr>
              <w:t>49% men; mean age</w:t>
            </w:r>
            <w:r w:rsidR="00E25324">
              <w:rPr>
                <w:rFonts w:eastAsia="MS Mincho" w:cstheme="minorHAnsi"/>
              </w:rPr>
              <w:t xml:space="preserve"> </w:t>
            </w:r>
            <w:r w:rsidRPr="00BD6FAE">
              <w:rPr>
                <w:rFonts w:eastAsia="MS Mincho" w:cstheme="minorHAnsi"/>
              </w:rPr>
              <w:t>45</w:t>
            </w:r>
            <w:r w:rsidR="00E25324">
              <w:rPr>
                <w:rFonts w:eastAsia="MS Mincho" w:cstheme="minorHAnsi"/>
              </w:rPr>
              <w:t xml:space="preserve"> years, </w:t>
            </w:r>
            <w:r w:rsidRPr="00BD6FAE">
              <w:rPr>
                <w:rFonts w:eastAsia="MS Mincho" w:cstheme="minorHAnsi"/>
              </w:rPr>
              <w:t>av</w:t>
            </w:r>
            <w:r w:rsidR="00E25324">
              <w:rPr>
                <w:rFonts w:eastAsia="MS Mincho" w:cstheme="minorHAnsi"/>
              </w:rPr>
              <w:t>erage</w:t>
            </w:r>
            <w:r w:rsidRPr="00BD6FAE">
              <w:rPr>
                <w:rFonts w:eastAsia="MS Mincho" w:cstheme="minorHAnsi"/>
              </w:rPr>
              <w:t xml:space="preserve"> </w:t>
            </w:r>
            <w:r w:rsidR="00E25324">
              <w:rPr>
                <w:rFonts w:eastAsia="MS Mincho" w:cstheme="minorHAnsi"/>
              </w:rPr>
              <w:t xml:space="preserve">CPD </w:t>
            </w:r>
            <w:r w:rsidRPr="00BD6FAE">
              <w:rPr>
                <w:rFonts w:eastAsia="MS Mincho" w:cstheme="minorHAnsi"/>
              </w:rPr>
              <w:t>19</w:t>
            </w:r>
            <w:r w:rsidR="00E25324">
              <w:rPr>
                <w:rFonts w:eastAsia="MS Mincho" w:cstheme="minorHAnsi"/>
              </w:rPr>
              <w:t>,</w:t>
            </w:r>
            <w:r w:rsidRPr="00BD6FAE">
              <w:rPr>
                <w:rFonts w:eastAsia="MS Mincho" w:cstheme="minorHAnsi"/>
              </w:rPr>
              <w:t xml:space="preserve"> mean FTND 6.2</w:t>
            </w:r>
            <w:r w:rsidR="00E25324">
              <w:rPr>
                <w:rFonts w:eastAsia="MS Mincho" w:cstheme="minorHAnsi"/>
              </w:rPr>
              <w:t>.</w:t>
            </w:r>
          </w:p>
        </w:tc>
        <w:tc>
          <w:tcPr>
            <w:tcW w:w="1295" w:type="pct"/>
          </w:tcPr>
          <w:p w14:paraId="6103023C" w14:textId="4B7990BD" w:rsidR="00FC0AB5" w:rsidRDefault="00262538" w:rsidP="00C324F3">
            <w:pPr>
              <w:pStyle w:val="Tablewriting"/>
              <w:numPr>
                <w:ilvl w:val="0"/>
                <w:numId w:val="173"/>
              </w:numPr>
              <w:rPr>
                <w:rFonts w:eastAsia="MS Mincho" w:cstheme="minorHAnsi"/>
              </w:rPr>
            </w:pPr>
            <w:r w:rsidRPr="00262538">
              <w:rPr>
                <w:rFonts w:eastAsia="MS Mincho" w:cstheme="minorHAnsi"/>
              </w:rPr>
              <w:t>6 m nicotine inhaler used parallel to 5 m 24-hour nicotine patch. The nicotine inhaler contained 2</w:t>
            </w:r>
            <w:r w:rsidR="00FC0AB5">
              <w:rPr>
                <w:rFonts w:eastAsia="MS Mincho" w:cstheme="minorHAnsi"/>
              </w:rPr>
              <w:t xml:space="preserve"> </w:t>
            </w:r>
            <w:r w:rsidRPr="00FC0AB5">
              <w:rPr>
                <w:rFonts w:eastAsia="MS Mincho" w:cstheme="minorHAnsi"/>
              </w:rPr>
              <w:t>doses of nicotine lactate: 100 micrograms/pu</w:t>
            </w:r>
            <w:r w:rsidR="00A435E3" w:rsidRPr="00FC0AB5">
              <w:rPr>
                <w:rFonts w:eastAsia="MS Mincho" w:cstheme="minorHAnsi"/>
              </w:rPr>
              <w:t xml:space="preserve">ff </w:t>
            </w:r>
            <w:r w:rsidRPr="00FC0AB5">
              <w:rPr>
                <w:rFonts w:eastAsia="MS Mincho" w:cstheme="minorHAnsi"/>
              </w:rPr>
              <w:t>and 200 micrograms/pu</w:t>
            </w:r>
            <w:r w:rsidR="00A435E3" w:rsidRPr="00FC0AB5">
              <w:rPr>
                <w:rFonts w:eastAsia="MS Mincho" w:cstheme="minorHAnsi"/>
              </w:rPr>
              <w:t>ff</w:t>
            </w:r>
            <w:r w:rsidRPr="00FC0AB5">
              <w:rPr>
                <w:rFonts w:eastAsia="MS Mincho" w:cstheme="minorHAnsi"/>
              </w:rPr>
              <w:t>. Participants were instructed</w:t>
            </w:r>
            <w:r w:rsidR="00FC0AB5">
              <w:rPr>
                <w:rFonts w:eastAsia="MS Mincho" w:cstheme="minorHAnsi"/>
              </w:rPr>
              <w:t xml:space="preserve"> </w:t>
            </w:r>
            <w:r w:rsidRPr="00FC0AB5">
              <w:rPr>
                <w:rFonts w:eastAsia="MS Mincho" w:cstheme="minorHAnsi"/>
              </w:rPr>
              <w:t>to start with the lower dose and move onto the higher dose once they had developed tolerance to the</w:t>
            </w:r>
            <w:r w:rsidR="00FC0AB5">
              <w:rPr>
                <w:rFonts w:eastAsia="MS Mincho" w:cstheme="minorHAnsi"/>
              </w:rPr>
              <w:t xml:space="preserve"> </w:t>
            </w:r>
            <w:r w:rsidRPr="00FC0AB5">
              <w:rPr>
                <w:rFonts w:eastAsia="MS Mincho" w:cstheme="minorHAnsi"/>
              </w:rPr>
              <w:t>upper airway effects of the lower dose</w:t>
            </w:r>
            <w:r w:rsidR="00FC0AB5">
              <w:rPr>
                <w:rFonts w:eastAsia="MS Mincho" w:cstheme="minorHAnsi"/>
              </w:rPr>
              <w:t>.</w:t>
            </w:r>
          </w:p>
          <w:p w14:paraId="66F7FF97" w14:textId="4EE222B0" w:rsidR="00262538" w:rsidRPr="00FC0AB5" w:rsidRDefault="00262538" w:rsidP="00C324F3">
            <w:pPr>
              <w:pStyle w:val="Tablewriting"/>
              <w:numPr>
                <w:ilvl w:val="0"/>
                <w:numId w:val="173"/>
              </w:numPr>
              <w:rPr>
                <w:rFonts w:eastAsia="MS Mincho" w:cstheme="minorHAnsi"/>
              </w:rPr>
            </w:pPr>
            <w:r w:rsidRPr="00FC0AB5">
              <w:rPr>
                <w:rFonts w:eastAsia="MS Mincho" w:cstheme="minorHAnsi"/>
              </w:rPr>
              <w:t>6 m placebo inhaler used parallel to 5 m 24-hour nicotine patch. The placebo inhaler contained menthol</w:t>
            </w:r>
            <w:r w:rsidR="00FC0AB5">
              <w:rPr>
                <w:rFonts w:eastAsia="MS Mincho" w:cstheme="minorHAnsi"/>
              </w:rPr>
              <w:t xml:space="preserve"> </w:t>
            </w:r>
            <w:r w:rsidRPr="00FC0AB5">
              <w:rPr>
                <w:rFonts w:eastAsia="MS Mincho" w:cstheme="minorHAnsi"/>
              </w:rPr>
              <w:t>in 2 doses to mimic the 2 doses of active inhaler and participants were also instructed to move onto</w:t>
            </w:r>
            <w:r w:rsidR="00FC0AB5">
              <w:rPr>
                <w:rFonts w:eastAsia="MS Mincho" w:cstheme="minorHAnsi"/>
              </w:rPr>
              <w:t xml:space="preserve"> </w:t>
            </w:r>
            <w:r w:rsidRPr="00FC0AB5">
              <w:rPr>
                <w:rFonts w:eastAsia="MS Mincho" w:cstheme="minorHAnsi"/>
              </w:rPr>
              <w:t>the higher dose once they had</w:t>
            </w:r>
            <w:r w:rsidR="00FC0AB5">
              <w:rPr>
                <w:rFonts w:eastAsia="MS Mincho" w:cstheme="minorHAnsi"/>
              </w:rPr>
              <w:t xml:space="preserve"> </w:t>
            </w:r>
            <w:r w:rsidRPr="00FC0AB5">
              <w:rPr>
                <w:rFonts w:eastAsia="MS Mincho" w:cstheme="minorHAnsi"/>
              </w:rPr>
              <w:t>developed tolerance to the upper airway effects of the lower dose</w:t>
            </w:r>
            <w:r w:rsidR="00FC0AB5">
              <w:rPr>
                <w:rFonts w:eastAsia="MS Mincho" w:cstheme="minorHAnsi"/>
              </w:rPr>
              <w:t>.</w:t>
            </w:r>
          </w:p>
          <w:p w14:paraId="1D3EF934" w14:textId="77777777" w:rsidR="00FC0AB5" w:rsidRDefault="00FC0AB5" w:rsidP="00A71365">
            <w:pPr>
              <w:pStyle w:val="Tablewriting"/>
              <w:rPr>
                <w:rFonts w:eastAsia="MS Mincho" w:cstheme="minorHAnsi"/>
              </w:rPr>
            </w:pPr>
          </w:p>
          <w:p w14:paraId="3A55CE7D" w14:textId="77777777" w:rsidR="00FC0AB5" w:rsidRDefault="00FC0AB5" w:rsidP="00A71365">
            <w:pPr>
              <w:pStyle w:val="Tablewriting"/>
              <w:rPr>
                <w:rFonts w:eastAsia="MS Mincho" w:cstheme="minorHAnsi"/>
              </w:rPr>
            </w:pPr>
          </w:p>
          <w:p w14:paraId="6E574DDB" w14:textId="589FA4C5" w:rsidR="00262538" w:rsidRDefault="00FC0AB5" w:rsidP="00A71365">
            <w:pPr>
              <w:pStyle w:val="Tablewriting"/>
              <w:rPr>
                <w:rFonts w:eastAsia="MS Mincho" w:cstheme="minorHAnsi"/>
              </w:rPr>
            </w:pPr>
            <w:r w:rsidRPr="00EC39C7">
              <w:rPr>
                <w:rFonts w:eastAsia="MS Mincho"/>
                <w:u w:val="single"/>
              </w:rPr>
              <w:t>Common components</w:t>
            </w:r>
            <w:r>
              <w:rPr>
                <w:rFonts w:eastAsia="MS Mincho"/>
                <w:u w:val="single"/>
              </w:rPr>
              <w:t xml:space="preserve">: </w:t>
            </w:r>
            <w:r w:rsidR="00262538" w:rsidRPr="00262538">
              <w:rPr>
                <w:rFonts w:eastAsia="MS Mincho" w:cstheme="minorHAnsi"/>
              </w:rPr>
              <w:t>Both groups were instructed to use the inhaler when they had an urge to smoke, and to have as many</w:t>
            </w:r>
            <w:r>
              <w:rPr>
                <w:rFonts w:eastAsia="MS Mincho" w:cstheme="minorHAnsi"/>
              </w:rPr>
              <w:t xml:space="preserve"> </w:t>
            </w:r>
            <w:r w:rsidR="00262538" w:rsidRPr="00262538">
              <w:rPr>
                <w:rFonts w:eastAsia="MS Mincho" w:cstheme="minorHAnsi"/>
              </w:rPr>
              <w:t>pu</w:t>
            </w:r>
            <w:r w:rsidR="00EE6468">
              <w:rPr>
                <w:rFonts w:eastAsia="MS Mincho" w:cstheme="minorHAnsi"/>
              </w:rPr>
              <w:t>ff</w:t>
            </w:r>
            <w:r w:rsidR="00262538" w:rsidRPr="00262538">
              <w:rPr>
                <w:rFonts w:eastAsia="MS Mincho" w:cstheme="minorHAnsi"/>
              </w:rPr>
              <w:t>s as required to satisfy their urge (maximum 10 pu</w:t>
            </w:r>
            <w:r w:rsidR="00EE6468">
              <w:rPr>
                <w:rFonts w:eastAsia="MS Mincho" w:cstheme="minorHAnsi"/>
              </w:rPr>
              <w:t>ff</w:t>
            </w:r>
            <w:r w:rsidR="00262538" w:rsidRPr="00262538">
              <w:rPr>
                <w:rFonts w:eastAsia="MS Mincho" w:cstheme="minorHAnsi"/>
              </w:rPr>
              <w:t>s)</w:t>
            </w:r>
            <w:r>
              <w:rPr>
                <w:rFonts w:eastAsia="MS Mincho" w:cstheme="minorHAnsi"/>
              </w:rPr>
              <w:t>.</w:t>
            </w:r>
          </w:p>
          <w:p w14:paraId="7F811006" w14:textId="77777777" w:rsidR="00FC0AB5" w:rsidRPr="00262538" w:rsidRDefault="00FC0AB5" w:rsidP="00A71365">
            <w:pPr>
              <w:pStyle w:val="Tablewriting"/>
              <w:rPr>
                <w:rFonts w:eastAsia="MS Mincho" w:cstheme="minorHAnsi"/>
              </w:rPr>
            </w:pPr>
          </w:p>
          <w:p w14:paraId="5877ED61" w14:textId="7BC5829E" w:rsidR="00F536ED" w:rsidRPr="00017AE6" w:rsidRDefault="00262538" w:rsidP="00A71365">
            <w:pPr>
              <w:pStyle w:val="Tablewriting"/>
              <w:rPr>
                <w:rFonts w:eastAsia="MS Mincho" w:cstheme="minorHAnsi"/>
              </w:rPr>
            </w:pPr>
            <w:r w:rsidRPr="00262538">
              <w:rPr>
                <w:rFonts w:eastAsia="MS Mincho" w:cstheme="minorHAnsi"/>
              </w:rPr>
              <w:t>Both groups were instructed to use 21 mg/24-hour nicotine patch for 18 weeks, 14 mg/24-hour for 2</w:t>
            </w:r>
            <w:r w:rsidR="00FC0AB5">
              <w:rPr>
                <w:rFonts w:eastAsia="MS Mincho" w:cstheme="minorHAnsi"/>
              </w:rPr>
              <w:t xml:space="preserve"> </w:t>
            </w:r>
            <w:r w:rsidRPr="00262538">
              <w:rPr>
                <w:rFonts w:eastAsia="MS Mincho" w:cstheme="minorHAnsi"/>
              </w:rPr>
              <w:t>weeks, and 7 mg/24-hour for 2 weeks</w:t>
            </w:r>
            <w:r w:rsidR="00FC0AB5">
              <w:rPr>
                <w:rFonts w:eastAsia="MS Mincho" w:cstheme="minorHAnsi"/>
              </w:rPr>
              <w:t>.</w:t>
            </w:r>
          </w:p>
        </w:tc>
        <w:tc>
          <w:tcPr>
            <w:tcW w:w="1008" w:type="pct"/>
          </w:tcPr>
          <w:p w14:paraId="67DEE5B1" w14:textId="55649842" w:rsidR="004E5BAD" w:rsidRPr="001A364C" w:rsidRDefault="00F536ED" w:rsidP="00A71365">
            <w:pPr>
              <w:pStyle w:val="Tablewriting"/>
              <w:rPr>
                <w:rFonts w:eastAsia="MS Mincho" w:cstheme="minorHAnsi"/>
              </w:rPr>
            </w:pPr>
            <w:r>
              <w:rPr>
                <w:rFonts w:eastAsia="MS Mincho" w:cstheme="minorHAnsi"/>
                <w:u w:val="single"/>
              </w:rPr>
              <w:lastRenderedPageBreak/>
              <w:t>Efficacy:</w:t>
            </w:r>
            <w:r w:rsidR="00F40FDF">
              <w:t xml:space="preserve"> </w:t>
            </w:r>
            <w:r w:rsidR="00F40FDF" w:rsidRPr="001A364C">
              <w:rPr>
                <w:rFonts w:eastAsia="MS Mincho" w:cstheme="minorHAnsi"/>
              </w:rPr>
              <w:t>Prolonged abstinence (defined as not even a p</w:t>
            </w:r>
            <w:r w:rsidR="00A435E3">
              <w:rPr>
                <w:rFonts w:eastAsia="MS Mincho" w:cstheme="minorHAnsi"/>
              </w:rPr>
              <w:t>uff)</w:t>
            </w:r>
            <w:r w:rsidR="004E5BAD">
              <w:rPr>
                <w:rFonts w:eastAsia="MS Mincho" w:cstheme="minorHAnsi"/>
              </w:rPr>
              <w:t xml:space="preserve"> </w:t>
            </w:r>
            <w:r w:rsidR="00F40FDF" w:rsidRPr="001A364C">
              <w:rPr>
                <w:rFonts w:eastAsia="MS Mincho" w:cstheme="minorHAnsi"/>
              </w:rPr>
              <w:t>at 6 m</w:t>
            </w:r>
            <w:r w:rsidR="002314BA">
              <w:rPr>
                <w:rFonts w:eastAsia="MS Mincho" w:cstheme="minorHAnsi"/>
              </w:rPr>
              <w:t>onths</w:t>
            </w:r>
            <w:r w:rsidR="00F40FDF" w:rsidRPr="001A364C">
              <w:rPr>
                <w:rFonts w:eastAsia="MS Mincho" w:cstheme="minorHAnsi"/>
              </w:rPr>
              <w:t xml:space="preserve"> post-quit date; CO-validated at 1 m visit (</w:t>
            </w:r>
            <w:r w:rsidR="00943F68" w:rsidRPr="00830BCE">
              <w:rPr>
                <w:rFonts w:eastAsia="MS Mincho" w:cstheme="minorHAnsi"/>
              </w:rPr>
              <w:t>≤</w:t>
            </w:r>
            <w:r w:rsidR="00F40FDF" w:rsidRPr="001A364C">
              <w:rPr>
                <w:rFonts w:eastAsia="MS Mincho" w:cstheme="minorHAnsi"/>
              </w:rPr>
              <w:t xml:space="preserve"> 10</w:t>
            </w:r>
            <w:r w:rsidR="004E5BAD">
              <w:rPr>
                <w:rFonts w:eastAsia="MS Mincho" w:cstheme="minorHAnsi"/>
              </w:rPr>
              <w:t xml:space="preserve"> </w:t>
            </w:r>
            <w:r w:rsidR="00F40FDF" w:rsidRPr="001A364C">
              <w:rPr>
                <w:rFonts w:eastAsia="MS Mincho" w:cstheme="minorHAnsi"/>
              </w:rPr>
              <w:t>ppm)</w:t>
            </w:r>
            <w:r w:rsidR="004E5BAD">
              <w:rPr>
                <w:rFonts w:eastAsia="MS Mincho" w:cstheme="minorHAnsi"/>
              </w:rPr>
              <w:t>.</w:t>
            </w:r>
          </w:p>
          <w:p w14:paraId="3EF9AE10" w14:textId="4163DE5C" w:rsidR="00F40FDF" w:rsidRDefault="00F40FDF" w:rsidP="00A71365">
            <w:pPr>
              <w:pStyle w:val="Tablewriting"/>
              <w:rPr>
                <w:rFonts w:eastAsia="MS Mincho" w:cstheme="minorHAnsi"/>
              </w:rPr>
            </w:pPr>
            <w:r w:rsidRPr="001A364C">
              <w:rPr>
                <w:rFonts w:eastAsia="MS Mincho" w:cstheme="minorHAnsi"/>
              </w:rPr>
              <w:t>Other abstinence measures: self-reported 7-day PPA at 6 m</w:t>
            </w:r>
            <w:r w:rsidR="002314BA">
              <w:rPr>
                <w:rFonts w:eastAsia="MS Mincho" w:cstheme="minorHAnsi"/>
              </w:rPr>
              <w:t>onths</w:t>
            </w:r>
            <w:r w:rsidRPr="001A364C">
              <w:rPr>
                <w:rFonts w:eastAsia="MS Mincho" w:cstheme="minorHAnsi"/>
              </w:rPr>
              <w:t>, self-reported prolonged abstinence at 6 m</w:t>
            </w:r>
            <w:r w:rsidR="002314BA">
              <w:rPr>
                <w:rFonts w:eastAsia="MS Mincho" w:cstheme="minorHAnsi"/>
              </w:rPr>
              <w:t>onths</w:t>
            </w:r>
            <w:r w:rsidR="004E5BAD">
              <w:rPr>
                <w:rFonts w:eastAsia="MS Mincho" w:cstheme="minorHAnsi"/>
              </w:rPr>
              <w:t>.</w:t>
            </w:r>
          </w:p>
          <w:p w14:paraId="795EDB09" w14:textId="77777777" w:rsidR="004E5BAD" w:rsidRPr="001A364C" w:rsidRDefault="004E5BAD" w:rsidP="00A71365">
            <w:pPr>
              <w:pStyle w:val="Tablewriting"/>
              <w:rPr>
                <w:rFonts w:eastAsia="MS Mincho" w:cstheme="minorHAnsi"/>
              </w:rPr>
            </w:pPr>
          </w:p>
          <w:p w14:paraId="05904BF5" w14:textId="4705E613" w:rsidR="00F536ED" w:rsidRPr="001A364C" w:rsidRDefault="00F40FDF" w:rsidP="00A71365">
            <w:pPr>
              <w:pStyle w:val="Tablewriting"/>
              <w:rPr>
                <w:rFonts w:eastAsia="MS Mincho" w:cstheme="minorHAnsi"/>
              </w:rPr>
            </w:pPr>
            <w:r w:rsidRPr="001A364C">
              <w:rPr>
                <w:rFonts w:eastAsia="MS Mincho" w:cstheme="minorHAnsi"/>
              </w:rPr>
              <w:t>Adverse events: measured for 6 months (duration of treatment)</w:t>
            </w:r>
            <w:r w:rsidR="004E5BAD">
              <w:rPr>
                <w:rFonts w:eastAsia="MS Mincho" w:cstheme="minorHAnsi"/>
              </w:rPr>
              <w:t>.</w:t>
            </w:r>
          </w:p>
          <w:p w14:paraId="0BBE9D0C" w14:textId="77777777" w:rsidR="00F536ED" w:rsidRDefault="00F536ED" w:rsidP="00A71365">
            <w:pPr>
              <w:pStyle w:val="Tablewriting"/>
              <w:rPr>
                <w:rFonts w:eastAsia="MS Mincho" w:cstheme="minorHAnsi"/>
                <w:u w:val="single"/>
              </w:rPr>
            </w:pPr>
          </w:p>
          <w:p w14:paraId="2A9B7AD3" w14:textId="77777777" w:rsidR="00F536ED" w:rsidRDefault="00F536ED" w:rsidP="00A71365">
            <w:pPr>
              <w:pStyle w:val="Tablewriting"/>
              <w:rPr>
                <w:rFonts w:eastAsia="MS Mincho" w:cstheme="minorHAnsi"/>
                <w:u w:val="single"/>
              </w:rPr>
            </w:pPr>
          </w:p>
          <w:p w14:paraId="0BDA897E" w14:textId="2F660E4B" w:rsidR="00F536ED" w:rsidRPr="004272CD" w:rsidRDefault="00F536ED" w:rsidP="00A71365">
            <w:pPr>
              <w:pStyle w:val="Tablewriting"/>
              <w:rPr>
                <w:rFonts w:eastAsia="MS Mincho" w:cstheme="minorHAnsi"/>
                <w:u w:val="single"/>
              </w:rPr>
            </w:pPr>
            <w:r>
              <w:rPr>
                <w:rFonts w:eastAsia="MS Mincho" w:cstheme="minorHAnsi"/>
                <w:u w:val="single"/>
              </w:rPr>
              <w:t>Safety:</w:t>
            </w:r>
            <w:r w:rsidR="00513BB5">
              <w:rPr>
                <w:rFonts w:eastAsia="MS Mincho" w:cstheme="minorHAnsi"/>
                <w:u w:val="single"/>
              </w:rPr>
              <w:t xml:space="preserve"> </w:t>
            </w:r>
            <w:r w:rsidR="006361FC" w:rsidRPr="006361FC">
              <w:rPr>
                <w:rFonts w:eastAsia="MS Mincho" w:cstheme="minorHAnsi"/>
              </w:rPr>
              <w:t>Adverse events</w:t>
            </w:r>
            <w:r w:rsidR="006361FC">
              <w:rPr>
                <w:rFonts w:eastAsia="MS Mincho" w:cstheme="minorHAnsi"/>
              </w:rPr>
              <w:t xml:space="preserve"> </w:t>
            </w:r>
            <w:r w:rsidR="006361FC" w:rsidRPr="006361FC">
              <w:rPr>
                <w:rFonts w:eastAsia="MS Mincho" w:cstheme="minorHAnsi"/>
              </w:rPr>
              <w:t>measured for 6 months (duration of treatment)</w:t>
            </w:r>
          </w:p>
        </w:tc>
      </w:tr>
      <w:tr w:rsidR="00F536ED" w:rsidRPr="00017AE6" w14:paraId="4EE46DD0" w14:textId="77777777" w:rsidTr="005821B1">
        <w:trPr>
          <w:trHeight w:val="99"/>
        </w:trPr>
        <w:tc>
          <w:tcPr>
            <w:tcW w:w="495" w:type="pct"/>
          </w:tcPr>
          <w:p w14:paraId="45395C49" w14:textId="3D290FDA" w:rsidR="00F536ED" w:rsidRPr="00017AE6" w:rsidRDefault="00F536ED" w:rsidP="00A71365">
            <w:pPr>
              <w:pStyle w:val="Tablewriting"/>
              <w:rPr>
                <w:rFonts w:eastAsia="MS Mincho" w:cstheme="minorHAnsi"/>
              </w:rPr>
            </w:pPr>
            <w:r w:rsidRPr="00B35BEA">
              <w:rPr>
                <w:rFonts w:eastAsia="MS Mincho" w:cstheme="minorHAnsi"/>
              </w:rPr>
              <w:t xml:space="preserve">Cooney </w:t>
            </w:r>
            <w:r w:rsidR="00991AC5">
              <w:rPr>
                <w:rFonts w:eastAsia="MS Mincho" w:cstheme="minorHAnsi"/>
              </w:rPr>
              <w:t>(</w:t>
            </w:r>
            <w:r w:rsidRPr="00B35BEA">
              <w:rPr>
                <w:rFonts w:eastAsia="MS Mincho" w:cstheme="minorHAnsi"/>
              </w:rPr>
              <w:t>2009</w:t>
            </w:r>
            <w:r w:rsidR="00991AC5">
              <w:rPr>
                <w:rFonts w:eastAsia="MS Mincho" w:cstheme="minorHAnsi"/>
              </w:rPr>
              <w:t>)</w:t>
            </w:r>
          </w:p>
        </w:tc>
        <w:tc>
          <w:tcPr>
            <w:tcW w:w="235" w:type="pct"/>
          </w:tcPr>
          <w:p w14:paraId="44963E14" w14:textId="37BFDACF"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52D84BC6" w14:textId="7EDF082C" w:rsidR="00F536ED" w:rsidRPr="00017AE6" w:rsidRDefault="0094402C" w:rsidP="00A71365">
            <w:pPr>
              <w:pStyle w:val="Tablewriting"/>
              <w:rPr>
                <w:rFonts w:eastAsia="MS Mincho" w:cstheme="minorHAnsi"/>
              </w:rPr>
            </w:pPr>
            <w:r w:rsidRPr="0094402C">
              <w:rPr>
                <w:rFonts w:eastAsia="MS Mincho" w:cstheme="minorHAnsi"/>
              </w:rPr>
              <w:t>USA</w:t>
            </w:r>
          </w:p>
        </w:tc>
        <w:tc>
          <w:tcPr>
            <w:tcW w:w="358" w:type="pct"/>
          </w:tcPr>
          <w:p w14:paraId="4EDFC1D9" w14:textId="149727EA" w:rsidR="00F536ED" w:rsidRPr="00017AE6" w:rsidRDefault="00F536ED" w:rsidP="00A71365">
            <w:pPr>
              <w:pStyle w:val="Tablewriting"/>
              <w:rPr>
                <w:rFonts w:eastAsia="MS Mincho" w:cstheme="minorHAnsi"/>
              </w:rPr>
            </w:pPr>
            <w:r w:rsidRPr="003A1845">
              <w:rPr>
                <w:rFonts w:eastAsia="MS Mincho" w:cstheme="minorHAnsi"/>
              </w:rPr>
              <w:t>N=</w:t>
            </w:r>
            <w:r w:rsidR="0094402C">
              <w:rPr>
                <w:rFonts w:eastAsia="MS Mincho" w:cstheme="minorHAnsi"/>
              </w:rPr>
              <w:t>96</w:t>
            </w:r>
          </w:p>
        </w:tc>
        <w:tc>
          <w:tcPr>
            <w:tcW w:w="1176" w:type="pct"/>
          </w:tcPr>
          <w:p w14:paraId="3A8159F5" w14:textId="3A1FE9E0" w:rsidR="001F3CEC" w:rsidRPr="00EE6468" w:rsidRDefault="00A240C5" w:rsidP="00A71365">
            <w:pPr>
              <w:rPr>
                <w:rFonts w:ascii="Times New Roman" w:hAnsi="Times New Roman"/>
              </w:rPr>
            </w:pPr>
            <w:r>
              <w:rPr>
                <w:rFonts w:eastAsia="MS Mincho" w:cstheme="minorHAnsi"/>
              </w:rPr>
              <w:t>A</w:t>
            </w:r>
            <w:r w:rsidR="001F3CEC" w:rsidRPr="001F3CEC">
              <w:rPr>
                <w:rFonts w:eastAsia="MS Mincho" w:cstheme="minorHAnsi"/>
              </w:rPr>
              <w:t>lcohol-dependent tobacco smokers (</w:t>
            </w:r>
            <w:r w:rsidR="00995C08">
              <w:rPr>
                <w:rFonts w:ascii="Arial" w:hAnsi="Arial" w:cs="Arial"/>
                <w:color w:val="202124"/>
                <w:sz w:val="21"/>
                <w:szCs w:val="21"/>
                <w:shd w:val="clear" w:color="auto" w:fill="FFFFFF"/>
              </w:rPr>
              <w:t>≥</w:t>
            </w:r>
            <w:r w:rsidR="00EE6468">
              <w:rPr>
                <w:rFonts w:ascii="Arial" w:hAnsi="Arial" w:cs="Arial"/>
                <w:color w:val="202124"/>
                <w:sz w:val="21"/>
                <w:szCs w:val="21"/>
                <w:shd w:val="clear" w:color="auto" w:fill="FFFFFF"/>
              </w:rPr>
              <w:t xml:space="preserve"> </w:t>
            </w:r>
            <w:r w:rsidR="001F3CEC" w:rsidRPr="001F3CEC">
              <w:rPr>
                <w:rFonts w:eastAsia="MS Mincho" w:cstheme="minorHAnsi"/>
              </w:rPr>
              <w:t xml:space="preserve">15 </w:t>
            </w:r>
            <w:r w:rsidR="00EE6468">
              <w:rPr>
                <w:rFonts w:eastAsia="MS Mincho" w:cstheme="minorHAnsi"/>
              </w:rPr>
              <w:t>CPD</w:t>
            </w:r>
            <w:r w:rsidR="001F3CEC" w:rsidRPr="001F3CEC">
              <w:rPr>
                <w:rFonts w:eastAsia="MS Mincho" w:cstheme="minorHAnsi"/>
              </w:rPr>
              <w:t>)</w:t>
            </w:r>
            <w:r w:rsidR="00EE6468">
              <w:rPr>
                <w:rFonts w:eastAsia="MS Mincho" w:cstheme="minorHAnsi"/>
              </w:rPr>
              <w:t>.</w:t>
            </w:r>
          </w:p>
          <w:p w14:paraId="791C7047" w14:textId="26424951" w:rsidR="00F536ED" w:rsidRPr="00017AE6" w:rsidRDefault="001F3CEC" w:rsidP="00A71365">
            <w:pPr>
              <w:pStyle w:val="Tablewriting"/>
              <w:rPr>
                <w:rFonts w:eastAsia="MS Mincho" w:cstheme="minorHAnsi"/>
              </w:rPr>
            </w:pPr>
            <w:r w:rsidRPr="001F3CEC">
              <w:rPr>
                <w:rFonts w:eastAsia="MS Mincho" w:cstheme="minorHAnsi"/>
              </w:rPr>
              <w:t>75% men, av</w:t>
            </w:r>
            <w:r w:rsidR="004553CF">
              <w:rPr>
                <w:rFonts w:eastAsia="MS Mincho" w:cstheme="minorHAnsi"/>
              </w:rPr>
              <w:t xml:space="preserve">erage </w:t>
            </w:r>
            <w:r w:rsidRPr="001F3CEC">
              <w:rPr>
                <w:rFonts w:eastAsia="MS Mincho" w:cstheme="minorHAnsi"/>
              </w:rPr>
              <w:t>age 45</w:t>
            </w:r>
            <w:r w:rsidR="004553CF">
              <w:rPr>
                <w:rFonts w:eastAsia="MS Mincho" w:cstheme="minorHAnsi"/>
              </w:rPr>
              <w:t xml:space="preserve"> years</w:t>
            </w:r>
            <w:r w:rsidRPr="001F3CEC">
              <w:rPr>
                <w:rFonts w:eastAsia="MS Mincho" w:cstheme="minorHAnsi"/>
              </w:rPr>
              <w:t>, av</w:t>
            </w:r>
            <w:r w:rsidR="004553CF">
              <w:rPr>
                <w:rFonts w:eastAsia="MS Mincho" w:cstheme="minorHAnsi"/>
              </w:rPr>
              <w:t>erage</w:t>
            </w:r>
            <w:r w:rsidR="00EE6468">
              <w:rPr>
                <w:rFonts w:eastAsia="MS Mincho" w:cstheme="minorHAnsi"/>
              </w:rPr>
              <w:t xml:space="preserve"> CPD</w:t>
            </w:r>
            <w:r w:rsidRPr="001F3CEC">
              <w:rPr>
                <w:rFonts w:eastAsia="MS Mincho" w:cstheme="minorHAnsi"/>
              </w:rPr>
              <w:t xml:space="preserve"> 25, motivated to quit, av</w:t>
            </w:r>
            <w:r w:rsidR="004553CF">
              <w:rPr>
                <w:rFonts w:eastAsia="MS Mincho" w:cstheme="minorHAnsi"/>
              </w:rPr>
              <w:t>erage</w:t>
            </w:r>
            <w:r w:rsidRPr="001F3CEC">
              <w:rPr>
                <w:rFonts w:eastAsia="MS Mincho" w:cstheme="minorHAnsi"/>
              </w:rPr>
              <w:t xml:space="preserve"> FTND 6, 31% veterans</w:t>
            </w:r>
            <w:r w:rsidR="00EE6468">
              <w:rPr>
                <w:rFonts w:eastAsia="MS Mincho" w:cstheme="minorHAnsi"/>
              </w:rPr>
              <w:t>.</w:t>
            </w:r>
          </w:p>
        </w:tc>
        <w:tc>
          <w:tcPr>
            <w:tcW w:w="1295" w:type="pct"/>
          </w:tcPr>
          <w:p w14:paraId="1AB16D3D" w14:textId="7050D505" w:rsidR="002B7BFD" w:rsidRPr="002B7BFD" w:rsidRDefault="002B7BFD" w:rsidP="00C324F3">
            <w:pPr>
              <w:pStyle w:val="Tablewriting"/>
              <w:numPr>
                <w:ilvl w:val="0"/>
                <w:numId w:val="173"/>
              </w:numPr>
              <w:rPr>
                <w:rFonts w:eastAsia="MS Mincho" w:cstheme="minorHAnsi"/>
              </w:rPr>
            </w:pPr>
            <w:r w:rsidRPr="002B7BFD">
              <w:rPr>
                <w:rFonts w:eastAsia="MS Mincho" w:cstheme="minorHAnsi"/>
              </w:rPr>
              <w:t>Nicotine patch (titrated,</w:t>
            </w:r>
            <w:r w:rsidR="001038B5">
              <w:rPr>
                <w:rFonts w:eastAsia="MS Mincho" w:cstheme="minorHAnsi"/>
              </w:rPr>
              <w:t xml:space="preserve"> </w:t>
            </w:r>
            <w:r w:rsidRPr="002B7BFD">
              <w:rPr>
                <w:rFonts w:eastAsia="MS Mincho" w:cstheme="minorHAnsi"/>
              </w:rPr>
              <w:t xml:space="preserve">21 mg/d for 8 </w:t>
            </w:r>
            <w:r w:rsidR="001038B5">
              <w:rPr>
                <w:rFonts w:eastAsia="MS Mincho" w:cstheme="minorHAnsi"/>
              </w:rPr>
              <w:t>w</w:t>
            </w:r>
            <w:r w:rsidR="004553CF">
              <w:rPr>
                <w:rFonts w:eastAsia="MS Mincho" w:cstheme="minorHAnsi"/>
              </w:rPr>
              <w:t>ee</w:t>
            </w:r>
            <w:r w:rsidR="001038B5">
              <w:rPr>
                <w:rFonts w:eastAsia="MS Mincho" w:cstheme="minorHAnsi"/>
              </w:rPr>
              <w:t>ks</w:t>
            </w:r>
            <w:r w:rsidRPr="002B7BFD">
              <w:rPr>
                <w:rFonts w:eastAsia="MS Mincho" w:cstheme="minorHAnsi"/>
              </w:rPr>
              <w:t>, 14 mg/d for 2 w</w:t>
            </w:r>
            <w:r w:rsidR="004553CF">
              <w:rPr>
                <w:rFonts w:eastAsia="MS Mincho" w:cstheme="minorHAnsi"/>
              </w:rPr>
              <w:t>ee</w:t>
            </w:r>
            <w:r w:rsidRPr="002B7BFD">
              <w:rPr>
                <w:rFonts w:eastAsia="MS Mincho" w:cstheme="minorHAnsi"/>
              </w:rPr>
              <w:t>ks, 7 mg/d</w:t>
            </w:r>
            <w:r w:rsidR="001038B5">
              <w:rPr>
                <w:rFonts w:eastAsia="MS Mincho" w:cstheme="minorHAnsi"/>
              </w:rPr>
              <w:t xml:space="preserve"> </w:t>
            </w:r>
            <w:r w:rsidRPr="002B7BFD">
              <w:rPr>
                <w:rFonts w:eastAsia="MS Mincho" w:cstheme="minorHAnsi"/>
              </w:rPr>
              <w:t>for 2 w</w:t>
            </w:r>
            <w:r w:rsidR="004553CF">
              <w:rPr>
                <w:rFonts w:eastAsia="MS Mincho" w:cstheme="minorHAnsi"/>
              </w:rPr>
              <w:t>ee</w:t>
            </w:r>
            <w:r w:rsidRPr="002B7BFD">
              <w:rPr>
                <w:rFonts w:eastAsia="MS Mincho" w:cstheme="minorHAnsi"/>
              </w:rPr>
              <w:t>ks) + nicotine gum (2 mg</w:t>
            </w:r>
          </w:p>
          <w:p w14:paraId="23B889E4" w14:textId="654278DC" w:rsidR="002B7BFD" w:rsidRPr="002B7BFD" w:rsidRDefault="002B7BFD" w:rsidP="00A71365">
            <w:pPr>
              <w:pStyle w:val="Tablewriting"/>
              <w:ind w:left="360"/>
              <w:rPr>
                <w:rFonts w:eastAsia="MS Mincho" w:cstheme="minorHAnsi"/>
              </w:rPr>
            </w:pPr>
            <w:r w:rsidRPr="002B7BFD">
              <w:rPr>
                <w:rFonts w:eastAsia="MS Mincho" w:cstheme="minorHAnsi"/>
              </w:rPr>
              <w:t>for 24 w</w:t>
            </w:r>
            <w:r w:rsidR="004553CF">
              <w:rPr>
                <w:rFonts w:eastAsia="MS Mincho" w:cstheme="minorHAnsi"/>
              </w:rPr>
              <w:t>ee</w:t>
            </w:r>
            <w:r w:rsidRPr="002B7BFD">
              <w:rPr>
                <w:rFonts w:eastAsia="MS Mincho" w:cstheme="minorHAnsi"/>
              </w:rPr>
              <w:t>ks, ad lib but</w:t>
            </w:r>
            <w:r w:rsidR="001038B5">
              <w:rPr>
                <w:rFonts w:eastAsia="MS Mincho" w:cstheme="minorHAnsi"/>
              </w:rPr>
              <w:t xml:space="preserve"> </w:t>
            </w:r>
            <w:r w:rsidRPr="002B7BFD">
              <w:rPr>
                <w:rFonts w:eastAsia="MS Mincho" w:cstheme="minorHAnsi"/>
              </w:rPr>
              <w:t>advised 6 - 20/day)</w:t>
            </w:r>
            <w:r w:rsidR="004553CF">
              <w:rPr>
                <w:rFonts w:eastAsia="MS Mincho" w:cstheme="minorHAnsi"/>
              </w:rPr>
              <w:t>.</w:t>
            </w:r>
          </w:p>
          <w:p w14:paraId="530C5AD0" w14:textId="422386FC" w:rsidR="00F536ED" w:rsidRPr="00017AE6" w:rsidRDefault="002B7BFD" w:rsidP="00C324F3">
            <w:pPr>
              <w:pStyle w:val="Tablewriting"/>
              <w:numPr>
                <w:ilvl w:val="0"/>
                <w:numId w:val="173"/>
              </w:numPr>
              <w:rPr>
                <w:rFonts w:eastAsia="MS Mincho" w:cstheme="minorHAnsi"/>
              </w:rPr>
            </w:pPr>
            <w:r w:rsidRPr="002B7BFD">
              <w:rPr>
                <w:rFonts w:eastAsia="MS Mincho" w:cstheme="minorHAnsi"/>
              </w:rPr>
              <w:t>Nicotine patch + placebo gum (doses as above)</w:t>
            </w:r>
            <w:r w:rsidR="004553CF">
              <w:rPr>
                <w:rFonts w:eastAsia="MS Mincho" w:cstheme="minorHAnsi"/>
              </w:rPr>
              <w:t>.</w:t>
            </w:r>
          </w:p>
        </w:tc>
        <w:tc>
          <w:tcPr>
            <w:tcW w:w="1008" w:type="pct"/>
          </w:tcPr>
          <w:p w14:paraId="1352126E" w14:textId="4B24000B" w:rsidR="006A52F2" w:rsidRDefault="00F536ED" w:rsidP="00A71365">
            <w:pPr>
              <w:pStyle w:val="Tablewriting"/>
              <w:rPr>
                <w:rFonts w:eastAsia="MS Mincho" w:cstheme="minorHAnsi"/>
              </w:rPr>
            </w:pPr>
            <w:r>
              <w:rPr>
                <w:rFonts w:eastAsia="MS Mincho" w:cstheme="minorHAnsi"/>
                <w:u w:val="single"/>
              </w:rPr>
              <w:t>Efficacy:</w:t>
            </w:r>
            <w:r w:rsidR="006A52F2">
              <w:t xml:space="preserve"> </w:t>
            </w:r>
            <w:r w:rsidR="006A52F2" w:rsidRPr="006A52F2">
              <w:rPr>
                <w:rFonts w:eastAsia="MS Mincho" w:cstheme="minorHAnsi"/>
              </w:rPr>
              <w:t>Continuous abstinence at 12 m</w:t>
            </w:r>
            <w:r w:rsidR="004553CF">
              <w:rPr>
                <w:rFonts w:eastAsia="MS Mincho" w:cstheme="minorHAnsi"/>
              </w:rPr>
              <w:t>onths</w:t>
            </w:r>
            <w:r w:rsidR="006A52F2" w:rsidRPr="006A52F2">
              <w:rPr>
                <w:rFonts w:eastAsia="MS Mincho" w:cstheme="minorHAnsi"/>
              </w:rPr>
              <w:t xml:space="preserve"> (with 30-day grace period immediately following quit date)</w:t>
            </w:r>
            <w:r w:rsidR="006A52F2">
              <w:rPr>
                <w:rFonts w:eastAsia="MS Mincho" w:cstheme="minorHAnsi"/>
              </w:rPr>
              <w:t>.</w:t>
            </w:r>
          </w:p>
          <w:p w14:paraId="030C89EF" w14:textId="77777777" w:rsidR="006A52F2" w:rsidRPr="006A52F2" w:rsidRDefault="006A52F2" w:rsidP="00A71365">
            <w:pPr>
              <w:pStyle w:val="Tablewriting"/>
              <w:rPr>
                <w:rFonts w:eastAsia="MS Mincho" w:cstheme="minorHAnsi"/>
              </w:rPr>
            </w:pPr>
          </w:p>
          <w:p w14:paraId="4E99CD85" w14:textId="0C723EF8" w:rsidR="006A52F2" w:rsidRDefault="006A52F2" w:rsidP="00A71365">
            <w:pPr>
              <w:pStyle w:val="Tablewriting"/>
              <w:rPr>
                <w:rFonts w:eastAsia="MS Mincho" w:cstheme="minorHAnsi"/>
              </w:rPr>
            </w:pPr>
            <w:r w:rsidRPr="006A52F2">
              <w:rPr>
                <w:rFonts w:eastAsia="MS Mincho" w:cstheme="minorHAnsi"/>
              </w:rPr>
              <w:t>Validation: CO &lt; 10 ppm</w:t>
            </w:r>
            <w:r>
              <w:rPr>
                <w:rFonts w:eastAsia="MS Mincho" w:cstheme="minorHAnsi"/>
              </w:rPr>
              <w:t>.</w:t>
            </w:r>
          </w:p>
          <w:p w14:paraId="15E66AEA" w14:textId="77777777" w:rsidR="006A52F2" w:rsidRPr="006A52F2" w:rsidRDefault="006A52F2" w:rsidP="00A71365">
            <w:pPr>
              <w:pStyle w:val="Tablewriting"/>
              <w:rPr>
                <w:rFonts w:eastAsia="MS Mincho" w:cstheme="minorHAnsi"/>
              </w:rPr>
            </w:pPr>
          </w:p>
          <w:p w14:paraId="3B9FCD68" w14:textId="77777777" w:rsidR="00F536ED" w:rsidRDefault="00F536ED" w:rsidP="00A71365">
            <w:pPr>
              <w:pStyle w:val="Tablewriting"/>
              <w:rPr>
                <w:rFonts w:eastAsia="MS Mincho" w:cstheme="minorHAnsi"/>
                <w:u w:val="single"/>
              </w:rPr>
            </w:pPr>
          </w:p>
          <w:p w14:paraId="2E14748B" w14:textId="0224941C" w:rsidR="00293AA5" w:rsidRPr="006A52F2" w:rsidRDefault="00F536ED" w:rsidP="00A71365">
            <w:pPr>
              <w:pStyle w:val="Tablewriting"/>
              <w:rPr>
                <w:rFonts w:eastAsia="MS Mincho" w:cstheme="minorHAnsi"/>
              </w:rPr>
            </w:pPr>
            <w:r>
              <w:rPr>
                <w:rFonts w:eastAsia="MS Mincho" w:cstheme="minorHAnsi"/>
                <w:u w:val="single"/>
              </w:rPr>
              <w:t>Safety:</w:t>
            </w:r>
            <w:r w:rsidR="00293AA5">
              <w:rPr>
                <w:rFonts w:eastAsia="MS Mincho" w:cstheme="minorHAnsi"/>
                <w:u w:val="single"/>
              </w:rPr>
              <w:t xml:space="preserve"> </w:t>
            </w:r>
            <w:r w:rsidR="00293AA5" w:rsidRPr="006A52F2">
              <w:rPr>
                <w:rFonts w:eastAsia="MS Mincho" w:cstheme="minorHAnsi"/>
              </w:rPr>
              <w:t>Adverse events</w:t>
            </w:r>
            <w:r w:rsidR="00EE753D">
              <w:rPr>
                <w:rFonts w:eastAsia="MS Mincho" w:cstheme="minorHAnsi"/>
              </w:rPr>
              <w:t xml:space="preserve"> </w:t>
            </w:r>
            <w:r w:rsidR="00293AA5" w:rsidRPr="006A52F2">
              <w:rPr>
                <w:rFonts w:eastAsia="MS Mincho" w:cstheme="minorHAnsi"/>
              </w:rPr>
              <w:t xml:space="preserve">measured at 2 weeks, 3 </w:t>
            </w:r>
            <w:r w:rsidR="00115AEE" w:rsidRPr="006A52F2">
              <w:rPr>
                <w:rFonts w:eastAsia="MS Mincho" w:cstheme="minorHAnsi"/>
              </w:rPr>
              <w:t>months,</w:t>
            </w:r>
            <w:r w:rsidR="00293AA5" w:rsidRPr="006A52F2">
              <w:rPr>
                <w:rFonts w:eastAsia="MS Mincho" w:cstheme="minorHAnsi"/>
              </w:rPr>
              <w:t xml:space="preserve"> and 6 months (gum or placebo gum use continued until</w:t>
            </w:r>
          </w:p>
          <w:p w14:paraId="1C04C3B1" w14:textId="51438FF7" w:rsidR="00F536ED" w:rsidRPr="004272CD" w:rsidRDefault="00293AA5" w:rsidP="00A71365">
            <w:pPr>
              <w:pStyle w:val="Tablewriting"/>
              <w:rPr>
                <w:rFonts w:eastAsia="MS Mincho" w:cstheme="minorHAnsi"/>
                <w:u w:val="single"/>
              </w:rPr>
            </w:pPr>
            <w:r w:rsidRPr="006A52F2">
              <w:rPr>
                <w:rFonts w:eastAsia="MS Mincho" w:cstheme="minorHAnsi"/>
              </w:rPr>
              <w:t>6 months)</w:t>
            </w:r>
            <w:r>
              <w:rPr>
                <w:rFonts w:eastAsia="MS Mincho" w:cstheme="minorHAnsi"/>
              </w:rPr>
              <w:t>.</w:t>
            </w:r>
          </w:p>
        </w:tc>
      </w:tr>
      <w:tr w:rsidR="00F536ED" w:rsidRPr="00017AE6" w14:paraId="0F3A6B75" w14:textId="77777777" w:rsidTr="005821B1">
        <w:trPr>
          <w:trHeight w:val="99"/>
        </w:trPr>
        <w:tc>
          <w:tcPr>
            <w:tcW w:w="495" w:type="pct"/>
          </w:tcPr>
          <w:p w14:paraId="2C55A9F1" w14:textId="43E45496" w:rsidR="00F536ED" w:rsidRPr="00017AE6" w:rsidRDefault="00F536ED" w:rsidP="00A71365">
            <w:pPr>
              <w:pStyle w:val="Tablewriting"/>
              <w:rPr>
                <w:rFonts w:eastAsia="MS Mincho" w:cstheme="minorHAnsi"/>
              </w:rPr>
            </w:pPr>
            <w:r w:rsidRPr="00AF5460">
              <w:rPr>
                <w:rFonts w:eastAsia="MS Mincho" w:cstheme="minorHAnsi"/>
              </w:rPr>
              <w:t xml:space="preserve">Croghan </w:t>
            </w:r>
            <w:r w:rsidR="00991AC5">
              <w:rPr>
                <w:rFonts w:eastAsia="MS Mincho" w:cstheme="minorHAnsi"/>
              </w:rPr>
              <w:t>(</w:t>
            </w:r>
            <w:r w:rsidRPr="00AF5460">
              <w:rPr>
                <w:rFonts w:eastAsia="MS Mincho" w:cstheme="minorHAnsi"/>
              </w:rPr>
              <w:t>2003</w:t>
            </w:r>
            <w:r w:rsidR="00991AC5">
              <w:rPr>
                <w:rFonts w:eastAsia="MS Mincho" w:cstheme="minorHAnsi"/>
              </w:rPr>
              <w:t>)</w:t>
            </w:r>
          </w:p>
        </w:tc>
        <w:tc>
          <w:tcPr>
            <w:tcW w:w="235" w:type="pct"/>
          </w:tcPr>
          <w:p w14:paraId="6D65532C" w14:textId="563A10AA"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6334A9E8" w14:textId="78575AA5" w:rsidR="00F536ED" w:rsidRPr="00017AE6" w:rsidRDefault="006B29DB" w:rsidP="00A71365">
            <w:pPr>
              <w:pStyle w:val="Tablewriting"/>
              <w:rPr>
                <w:rFonts w:eastAsia="MS Mincho" w:cstheme="minorHAnsi"/>
              </w:rPr>
            </w:pPr>
            <w:r>
              <w:rPr>
                <w:rFonts w:eastAsia="MS Mincho" w:cstheme="minorHAnsi"/>
              </w:rPr>
              <w:t>USA</w:t>
            </w:r>
          </w:p>
        </w:tc>
        <w:tc>
          <w:tcPr>
            <w:tcW w:w="358" w:type="pct"/>
          </w:tcPr>
          <w:p w14:paraId="76670AE9" w14:textId="72C87073" w:rsidR="00F536ED" w:rsidRPr="00017AE6" w:rsidRDefault="00F536ED" w:rsidP="00A71365">
            <w:pPr>
              <w:pStyle w:val="Tablewriting"/>
              <w:rPr>
                <w:rFonts w:eastAsia="MS Mincho" w:cstheme="minorHAnsi"/>
              </w:rPr>
            </w:pPr>
            <w:r w:rsidRPr="003A1845">
              <w:rPr>
                <w:rFonts w:eastAsia="MS Mincho" w:cstheme="minorHAnsi"/>
              </w:rPr>
              <w:t>N=</w:t>
            </w:r>
            <w:r w:rsidR="006B29DB">
              <w:rPr>
                <w:rFonts w:eastAsia="MS Mincho" w:cstheme="minorHAnsi"/>
              </w:rPr>
              <w:t>1384</w:t>
            </w:r>
          </w:p>
        </w:tc>
        <w:tc>
          <w:tcPr>
            <w:tcW w:w="1176" w:type="pct"/>
          </w:tcPr>
          <w:p w14:paraId="6A1A807B" w14:textId="57FE6739" w:rsidR="00F536ED" w:rsidRPr="00293AA5" w:rsidRDefault="00A240C5" w:rsidP="00A71365">
            <w:pPr>
              <w:rPr>
                <w:rFonts w:ascii="Times New Roman" w:hAnsi="Times New Roman"/>
              </w:rPr>
            </w:pPr>
            <w:r>
              <w:rPr>
                <w:rFonts w:eastAsia="MS Mincho" w:cstheme="minorHAnsi"/>
              </w:rPr>
              <w:t>S</w:t>
            </w:r>
            <w:r w:rsidR="00AD63BF" w:rsidRPr="00AD63BF">
              <w:rPr>
                <w:rFonts w:eastAsia="MS Mincho" w:cstheme="minorHAnsi"/>
              </w:rPr>
              <w:t>mokers (</w:t>
            </w:r>
            <w:r w:rsidR="00AD63BF">
              <w:rPr>
                <w:rFonts w:ascii="Arial" w:hAnsi="Arial" w:cs="Arial"/>
                <w:color w:val="202124"/>
                <w:sz w:val="21"/>
                <w:szCs w:val="21"/>
                <w:shd w:val="clear" w:color="auto" w:fill="FFFFFF"/>
              </w:rPr>
              <w:t xml:space="preserve">≥ </w:t>
            </w:r>
            <w:r w:rsidR="00AD63BF" w:rsidRPr="00AD63BF">
              <w:rPr>
                <w:rFonts w:eastAsia="MS Mincho" w:cstheme="minorHAnsi"/>
              </w:rPr>
              <w:t xml:space="preserve">15 </w:t>
            </w:r>
            <w:r w:rsidR="00AD63BF">
              <w:rPr>
                <w:rFonts w:eastAsia="MS Mincho" w:cstheme="minorHAnsi"/>
              </w:rPr>
              <w:t>CPD</w:t>
            </w:r>
            <w:r w:rsidR="00AD63BF" w:rsidRPr="00AD63BF">
              <w:rPr>
                <w:rFonts w:eastAsia="MS Mincho" w:cstheme="minorHAnsi"/>
              </w:rPr>
              <w:t>)</w:t>
            </w:r>
            <w:r w:rsidR="00293AA5">
              <w:rPr>
                <w:rFonts w:eastAsia="MS Mincho" w:cstheme="minorHAnsi"/>
              </w:rPr>
              <w:t xml:space="preserve">, </w:t>
            </w:r>
            <w:r w:rsidR="00AD63BF" w:rsidRPr="00AD63BF">
              <w:rPr>
                <w:rFonts w:eastAsia="MS Mincho" w:cstheme="minorHAnsi"/>
              </w:rPr>
              <w:t>42% men, av</w:t>
            </w:r>
            <w:r w:rsidR="00293AA5">
              <w:rPr>
                <w:rFonts w:eastAsia="MS Mincho" w:cstheme="minorHAnsi"/>
              </w:rPr>
              <w:t xml:space="preserve">erage </w:t>
            </w:r>
            <w:r w:rsidR="00AD63BF" w:rsidRPr="00AD63BF">
              <w:rPr>
                <w:rFonts w:eastAsia="MS Mincho" w:cstheme="minorHAnsi"/>
              </w:rPr>
              <w:t>age 42</w:t>
            </w:r>
            <w:r w:rsidR="00293AA5">
              <w:rPr>
                <w:rFonts w:eastAsia="MS Mincho" w:cstheme="minorHAnsi"/>
              </w:rPr>
              <w:t xml:space="preserve"> years</w:t>
            </w:r>
            <w:r w:rsidR="00AD63BF" w:rsidRPr="00AD63BF">
              <w:rPr>
                <w:rFonts w:eastAsia="MS Mincho" w:cstheme="minorHAnsi"/>
              </w:rPr>
              <w:t>, av</w:t>
            </w:r>
            <w:r w:rsidR="00293AA5">
              <w:rPr>
                <w:rFonts w:eastAsia="MS Mincho" w:cstheme="minorHAnsi"/>
              </w:rPr>
              <w:t>erage</w:t>
            </w:r>
            <w:r w:rsidR="00AD63BF" w:rsidRPr="00AD63BF">
              <w:rPr>
                <w:rFonts w:eastAsia="MS Mincho" w:cstheme="minorHAnsi"/>
              </w:rPr>
              <w:t xml:space="preserve"> </w:t>
            </w:r>
            <w:r w:rsidR="00AD63BF">
              <w:rPr>
                <w:rFonts w:eastAsia="MS Mincho" w:cstheme="minorHAnsi"/>
              </w:rPr>
              <w:t xml:space="preserve">CPD </w:t>
            </w:r>
            <w:r w:rsidR="00AD63BF" w:rsidRPr="00AD63BF">
              <w:rPr>
                <w:rFonts w:eastAsia="MS Mincho" w:cstheme="minorHAnsi"/>
              </w:rPr>
              <w:t>26</w:t>
            </w:r>
            <w:r w:rsidR="00293AA5">
              <w:rPr>
                <w:rFonts w:eastAsia="MS Mincho" w:cstheme="minorHAnsi"/>
              </w:rPr>
              <w:t>.</w:t>
            </w:r>
          </w:p>
        </w:tc>
        <w:tc>
          <w:tcPr>
            <w:tcW w:w="1295" w:type="pct"/>
          </w:tcPr>
          <w:p w14:paraId="4380B817" w14:textId="77E3E6A0" w:rsidR="008F0658" w:rsidRPr="008F0658" w:rsidRDefault="008F0658" w:rsidP="00C324F3">
            <w:pPr>
              <w:pStyle w:val="Tablewriting"/>
              <w:numPr>
                <w:ilvl w:val="0"/>
                <w:numId w:val="173"/>
              </w:numPr>
              <w:rPr>
                <w:rFonts w:eastAsia="MS Mincho" w:cstheme="minorHAnsi"/>
              </w:rPr>
            </w:pPr>
            <w:r w:rsidRPr="008F0658">
              <w:rPr>
                <w:rFonts w:eastAsia="MS Mincho" w:cstheme="minorHAnsi"/>
              </w:rPr>
              <w:t>15 mg/16-hour nicotine patch plus 0.5 mg/dose nasal spray, max 5/hr, 40/day, for 6 w</w:t>
            </w:r>
            <w:r>
              <w:rPr>
                <w:rFonts w:eastAsia="MS Mincho" w:cstheme="minorHAnsi"/>
              </w:rPr>
              <w:t>eeks</w:t>
            </w:r>
            <w:r w:rsidR="00EE753D">
              <w:rPr>
                <w:rFonts w:eastAsia="MS Mincho" w:cstheme="minorHAnsi"/>
              </w:rPr>
              <w:t>.</w:t>
            </w:r>
          </w:p>
          <w:p w14:paraId="3C231E80" w14:textId="7D137272" w:rsidR="008F0658" w:rsidRPr="008F0658" w:rsidRDefault="008F0658" w:rsidP="00C324F3">
            <w:pPr>
              <w:pStyle w:val="Tablewriting"/>
              <w:numPr>
                <w:ilvl w:val="0"/>
                <w:numId w:val="173"/>
              </w:numPr>
              <w:rPr>
                <w:rFonts w:eastAsia="MS Mincho" w:cstheme="minorHAnsi"/>
              </w:rPr>
            </w:pPr>
            <w:r w:rsidRPr="008F0658">
              <w:rPr>
                <w:rFonts w:eastAsia="MS Mincho" w:cstheme="minorHAnsi"/>
              </w:rPr>
              <w:t>Nicotine nasal spray only</w:t>
            </w:r>
            <w:r w:rsidR="00EE753D">
              <w:rPr>
                <w:rFonts w:eastAsia="MS Mincho" w:cstheme="minorHAnsi"/>
              </w:rPr>
              <w:t>.</w:t>
            </w:r>
          </w:p>
          <w:p w14:paraId="15BFE7FF" w14:textId="6E1A7606" w:rsidR="00F536ED" w:rsidRPr="00017AE6" w:rsidRDefault="008F0658" w:rsidP="00C324F3">
            <w:pPr>
              <w:pStyle w:val="Tablewriting"/>
              <w:numPr>
                <w:ilvl w:val="0"/>
                <w:numId w:val="173"/>
              </w:numPr>
              <w:rPr>
                <w:rFonts w:eastAsia="MS Mincho" w:cstheme="minorHAnsi"/>
              </w:rPr>
            </w:pPr>
            <w:r w:rsidRPr="008F0658">
              <w:rPr>
                <w:rFonts w:eastAsia="MS Mincho" w:cstheme="minorHAnsi"/>
              </w:rPr>
              <w:t xml:space="preserve"> Nicotine patch only</w:t>
            </w:r>
            <w:r w:rsidR="00EE753D">
              <w:rPr>
                <w:rFonts w:eastAsia="MS Mincho" w:cstheme="minorHAnsi"/>
              </w:rPr>
              <w:t>.</w:t>
            </w:r>
          </w:p>
        </w:tc>
        <w:tc>
          <w:tcPr>
            <w:tcW w:w="1008" w:type="pct"/>
          </w:tcPr>
          <w:p w14:paraId="050FD9EF" w14:textId="73CBECD3" w:rsidR="008C2ADC" w:rsidRDefault="00F536ED" w:rsidP="00A71365">
            <w:pPr>
              <w:pStyle w:val="Tablewriting"/>
              <w:rPr>
                <w:rFonts w:eastAsia="MS Mincho" w:cstheme="minorHAnsi"/>
              </w:rPr>
            </w:pPr>
            <w:r>
              <w:rPr>
                <w:rFonts w:eastAsia="MS Mincho" w:cstheme="minorHAnsi"/>
                <w:u w:val="single"/>
              </w:rPr>
              <w:t>Efficacy:</w:t>
            </w:r>
            <w:r w:rsidR="008C2ADC">
              <w:t xml:space="preserve"> </w:t>
            </w:r>
            <w:r w:rsidR="008C2ADC" w:rsidRPr="008C2ADC">
              <w:rPr>
                <w:rFonts w:eastAsia="MS Mincho" w:cstheme="minorHAnsi"/>
              </w:rPr>
              <w:t>PPA at 6 m</w:t>
            </w:r>
            <w:r w:rsidR="00EE753D">
              <w:rPr>
                <w:rFonts w:eastAsia="MS Mincho" w:cstheme="minorHAnsi"/>
              </w:rPr>
              <w:t>onths</w:t>
            </w:r>
            <w:r w:rsidR="008C2ADC">
              <w:rPr>
                <w:rFonts w:eastAsia="MS Mincho" w:cstheme="minorHAnsi"/>
              </w:rPr>
              <w:t>.</w:t>
            </w:r>
          </w:p>
          <w:p w14:paraId="4C284764" w14:textId="148BCBD1" w:rsidR="008C2ADC" w:rsidRDefault="008C2ADC" w:rsidP="00A71365">
            <w:pPr>
              <w:pStyle w:val="Tablewriting"/>
              <w:rPr>
                <w:rFonts w:eastAsia="MS Mincho" w:cstheme="minorHAnsi"/>
              </w:rPr>
            </w:pPr>
            <w:r w:rsidRPr="008C2ADC">
              <w:rPr>
                <w:rFonts w:eastAsia="MS Mincho" w:cstheme="minorHAnsi"/>
              </w:rPr>
              <w:t>Validation: CO</w:t>
            </w:r>
            <w:r w:rsidR="00EE753D">
              <w:rPr>
                <w:rFonts w:eastAsia="MS Mincho" w:cstheme="minorHAnsi"/>
              </w:rPr>
              <w:t>.</w:t>
            </w:r>
          </w:p>
          <w:p w14:paraId="21065F9F" w14:textId="77777777" w:rsidR="008C2ADC" w:rsidRPr="008C2ADC" w:rsidRDefault="008C2ADC" w:rsidP="00A71365">
            <w:pPr>
              <w:pStyle w:val="Tablewriting"/>
              <w:rPr>
                <w:rFonts w:eastAsia="MS Mincho" w:cstheme="minorHAnsi"/>
              </w:rPr>
            </w:pPr>
          </w:p>
          <w:p w14:paraId="3479207E" w14:textId="77777777" w:rsidR="00F536ED" w:rsidRDefault="00F536ED" w:rsidP="00A71365">
            <w:pPr>
              <w:pStyle w:val="Tablewriting"/>
              <w:rPr>
                <w:rFonts w:eastAsia="MS Mincho" w:cstheme="minorHAnsi"/>
                <w:u w:val="single"/>
              </w:rPr>
            </w:pPr>
          </w:p>
          <w:p w14:paraId="25E046A2" w14:textId="77777777" w:rsidR="00F536ED" w:rsidRDefault="00F536ED" w:rsidP="00A71365">
            <w:pPr>
              <w:pStyle w:val="Tablewriting"/>
              <w:rPr>
                <w:rFonts w:eastAsia="MS Mincho" w:cstheme="minorHAnsi"/>
                <w:u w:val="single"/>
              </w:rPr>
            </w:pPr>
          </w:p>
          <w:p w14:paraId="4A329DF8" w14:textId="57E60A2A" w:rsidR="00EE753D" w:rsidRPr="008C2ADC" w:rsidRDefault="00F536ED" w:rsidP="00A71365">
            <w:pPr>
              <w:pStyle w:val="Tablewriting"/>
              <w:rPr>
                <w:rFonts w:eastAsia="MS Mincho" w:cstheme="minorHAnsi"/>
              </w:rPr>
            </w:pPr>
            <w:r>
              <w:rPr>
                <w:rFonts w:eastAsia="MS Mincho" w:cstheme="minorHAnsi"/>
                <w:u w:val="single"/>
              </w:rPr>
              <w:t>Safety:</w:t>
            </w:r>
            <w:r w:rsidR="00EE753D">
              <w:rPr>
                <w:rFonts w:eastAsia="MS Mincho" w:cstheme="minorHAnsi"/>
                <w:u w:val="single"/>
              </w:rPr>
              <w:t xml:space="preserve"> </w:t>
            </w:r>
            <w:r w:rsidR="00EE753D" w:rsidRPr="008C2ADC">
              <w:rPr>
                <w:rFonts w:eastAsia="MS Mincho" w:cstheme="minorHAnsi"/>
              </w:rPr>
              <w:t>Adverse events</w:t>
            </w:r>
            <w:r w:rsidR="00EE753D">
              <w:rPr>
                <w:rFonts w:eastAsia="MS Mincho" w:cstheme="minorHAnsi"/>
              </w:rPr>
              <w:t xml:space="preserve"> </w:t>
            </w:r>
            <w:r w:rsidR="00EE753D" w:rsidRPr="008C2ADC">
              <w:rPr>
                <w:rFonts w:eastAsia="MS Mincho" w:cstheme="minorHAnsi"/>
              </w:rPr>
              <w:t>measured to 6 months (treatment duration was 6 weeks)</w:t>
            </w:r>
            <w:r w:rsidR="00EE753D">
              <w:rPr>
                <w:rFonts w:eastAsia="MS Mincho" w:cstheme="minorHAnsi"/>
              </w:rPr>
              <w:t>.</w:t>
            </w:r>
          </w:p>
          <w:p w14:paraId="7E33D808" w14:textId="12E31507" w:rsidR="00F536ED" w:rsidRPr="004272CD" w:rsidRDefault="00F536ED" w:rsidP="00A71365">
            <w:pPr>
              <w:pStyle w:val="Tablewriting"/>
              <w:rPr>
                <w:rFonts w:eastAsia="MS Mincho" w:cstheme="minorHAnsi"/>
                <w:u w:val="single"/>
              </w:rPr>
            </w:pPr>
          </w:p>
        </w:tc>
      </w:tr>
      <w:tr w:rsidR="00F536ED" w:rsidRPr="00017AE6" w14:paraId="5E3EE764" w14:textId="77777777" w:rsidTr="005821B1">
        <w:trPr>
          <w:trHeight w:val="99"/>
        </w:trPr>
        <w:tc>
          <w:tcPr>
            <w:tcW w:w="495" w:type="pct"/>
          </w:tcPr>
          <w:p w14:paraId="4F3924F2" w14:textId="4212C227" w:rsidR="00F536ED" w:rsidRPr="00017AE6" w:rsidRDefault="00F536ED" w:rsidP="00A71365">
            <w:pPr>
              <w:pStyle w:val="Tablewriting"/>
              <w:rPr>
                <w:rFonts w:eastAsia="MS Mincho" w:cstheme="minorHAnsi"/>
              </w:rPr>
            </w:pPr>
            <w:r w:rsidRPr="00AF5460">
              <w:rPr>
                <w:rFonts w:eastAsia="MS Mincho" w:cstheme="minorHAnsi"/>
              </w:rPr>
              <w:lastRenderedPageBreak/>
              <w:t xml:space="preserve">Kornitzer </w:t>
            </w:r>
            <w:r w:rsidR="00991AC5">
              <w:rPr>
                <w:rFonts w:eastAsia="MS Mincho" w:cstheme="minorHAnsi"/>
              </w:rPr>
              <w:t>(</w:t>
            </w:r>
            <w:r w:rsidRPr="00AF5460">
              <w:rPr>
                <w:rFonts w:eastAsia="MS Mincho" w:cstheme="minorHAnsi"/>
              </w:rPr>
              <w:t>1995</w:t>
            </w:r>
            <w:r w:rsidR="00991AC5">
              <w:rPr>
                <w:rFonts w:eastAsia="MS Mincho" w:cstheme="minorHAnsi"/>
              </w:rPr>
              <w:t>)</w:t>
            </w:r>
          </w:p>
        </w:tc>
        <w:tc>
          <w:tcPr>
            <w:tcW w:w="235" w:type="pct"/>
          </w:tcPr>
          <w:p w14:paraId="5E4B2FA7" w14:textId="0C9E1EF4"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05700E69" w14:textId="5FE8E024" w:rsidR="00F536ED" w:rsidRPr="00017AE6" w:rsidRDefault="00AC1128" w:rsidP="00A71365">
            <w:pPr>
              <w:pStyle w:val="Tablewriting"/>
              <w:rPr>
                <w:rFonts w:eastAsia="MS Mincho" w:cstheme="minorHAnsi"/>
              </w:rPr>
            </w:pPr>
            <w:r w:rsidRPr="00AC1128">
              <w:rPr>
                <w:rFonts w:eastAsia="MS Mincho" w:cstheme="minorHAnsi"/>
              </w:rPr>
              <w:t>Belgium</w:t>
            </w:r>
          </w:p>
        </w:tc>
        <w:tc>
          <w:tcPr>
            <w:tcW w:w="358" w:type="pct"/>
          </w:tcPr>
          <w:p w14:paraId="36E58579" w14:textId="3B4C3D65" w:rsidR="00F536ED" w:rsidRPr="00017AE6" w:rsidRDefault="00F536ED" w:rsidP="00A71365">
            <w:pPr>
              <w:pStyle w:val="Tablewriting"/>
              <w:rPr>
                <w:rFonts w:eastAsia="MS Mincho" w:cstheme="minorHAnsi"/>
              </w:rPr>
            </w:pPr>
            <w:r w:rsidRPr="003A1845">
              <w:rPr>
                <w:rFonts w:eastAsia="MS Mincho" w:cstheme="minorHAnsi"/>
              </w:rPr>
              <w:t>N=</w:t>
            </w:r>
            <w:r w:rsidR="00AC1128">
              <w:rPr>
                <w:rFonts w:eastAsia="MS Mincho" w:cstheme="minorHAnsi"/>
              </w:rPr>
              <w:t>374</w:t>
            </w:r>
          </w:p>
        </w:tc>
        <w:tc>
          <w:tcPr>
            <w:tcW w:w="1176" w:type="pct"/>
          </w:tcPr>
          <w:p w14:paraId="723FCCD2" w14:textId="58FB0EC1" w:rsidR="00EF0481" w:rsidRPr="00EF0481" w:rsidRDefault="00A240C5" w:rsidP="00A71365">
            <w:pPr>
              <w:pStyle w:val="Tablewriting"/>
              <w:rPr>
                <w:rFonts w:eastAsia="MS Mincho" w:cstheme="minorHAnsi"/>
              </w:rPr>
            </w:pPr>
            <w:r>
              <w:rPr>
                <w:rFonts w:eastAsia="MS Mincho" w:cstheme="minorHAnsi"/>
              </w:rPr>
              <w:t>H</w:t>
            </w:r>
            <w:r w:rsidR="00EF0481" w:rsidRPr="00EF0481">
              <w:rPr>
                <w:rFonts w:eastAsia="MS Mincho" w:cstheme="minorHAnsi"/>
              </w:rPr>
              <w:t xml:space="preserve">ealthy smokers (&gt; 10 </w:t>
            </w:r>
            <w:r w:rsidR="00EF0481">
              <w:rPr>
                <w:rFonts w:eastAsia="MS Mincho" w:cstheme="minorHAnsi"/>
              </w:rPr>
              <w:t>CPD</w:t>
            </w:r>
            <w:r w:rsidR="00EF0481" w:rsidRPr="00EF0481">
              <w:rPr>
                <w:rFonts w:eastAsia="MS Mincho" w:cstheme="minorHAnsi"/>
              </w:rPr>
              <w:t xml:space="preserve"> for &gt; 3 </w:t>
            </w:r>
            <w:r w:rsidR="00EF0481">
              <w:rPr>
                <w:rFonts w:eastAsia="MS Mincho" w:cstheme="minorHAnsi"/>
              </w:rPr>
              <w:t>year</w:t>
            </w:r>
            <w:r w:rsidR="00EF0481" w:rsidRPr="00EF0481">
              <w:rPr>
                <w:rFonts w:eastAsia="MS Mincho" w:cstheme="minorHAnsi"/>
              </w:rPr>
              <w:t>s), motivated to quit</w:t>
            </w:r>
          </w:p>
          <w:p w14:paraId="1E3E36B2" w14:textId="79875DB3" w:rsidR="00F536ED" w:rsidRPr="00017AE6" w:rsidRDefault="00EF0481" w:rsidP="00A71365">
            <w:pPr>
              <w:pStyle w:val="Tablewriting"/>
              <w:rPr>
                <w:rFonts w:eastAsia="MS Mincho" w:cstheme="minorHAnsi"/>
              </w:rPr>
            </w:pPr>
            <w:r w:rsidRPr="00EF0481">
              <w:rPr>
                <w:rFonts w:eastAsia="MS Mincho" w:cstheme="minorHAnsi"/>
              </w:rPr>
              <w:t>61% men, av</w:t>
            </w:r>
            <w:r w:rsidR="001E1C99">
              <w:rPr>
                <w:rFonts w:eastAsia="MS Mincho" w:cstheme="minorHAnsi"/>
              </w:rPr>
              <w:t>erage</w:t>
            </w:r>
            <w:r w:rsidRPr="00EF0481">
              <w:rPr>
                <w:rFonts w:eastAsia="MS Mincho" w:cstheme="minorHAnsi"/>
              </w:rPr>
              <w:t xml:space="preserve"> age 40</w:t>
            </w:r>
            <w:r w:rsidR="001E1C99">
              <w:rPr>
                <w:rFonts w:eastAsia="MS Mincho" w:cstheme="minorHAnsi"/>
              </w:rPr>
              <w:t xml:space="preserve"> years</w:t>
            </w:r>
            <w:r w:rsidRPr="00EF0481">
              <w:rPr>
                <w:rFonts w:eastAsia="MS Mincho" w:cstheme="minorHAnsi"/>
              </w:rPr>
              <w:t>, av</w:t>
            </w:r>
            <w:r w:rsidR="001E1C99">
              <w:rPr>
                <w:rFonts w:eastAsia="MS Mincho" w:cstheme="minorHAnsi"/>
              </w:rPr>
              <w:t xml:space="preserve">erage </w:t>
            </w:r>
            <w:r>
              <w:rPr>
                <w:rFonts w:eastAsia="MS Mincho" w:cstheme="minorHAnsi"/>
              </w:rPr>
              <w:t>CPD</w:t>
            </w:r>
            <w:r w:rsidRPr="00EF0481">
              <w:rPr>
                <w:rFonts w:eastAsia="MS Mincho" w:cstheme="minorHAnsi"/>
              </w:rPr>
              <w:t xml:space="preserve"> 25</w:t>
            </w:r>
            <w:r>
              <w:rPr>
                <w:rFonts w:eastAsia="MS Mincho" w:cstheme="minorHAnsi"/>
              </w:rPr>
              <w:t>.</w:t>
            </w:r>
          </w:p>
        </w:tc>
        <w:tc>
          <w:tcPr>
            <w:tcW w:w="1295" w:type="pct"/>
          </w:tcPr>
          <w:p w14:paraId="0C441A6B" w14:textId="0AB08472" w:rsidR="00EB011F" w:rsidRPr="00EB011F" w:rsidRDefault="00EB011F" w:rsidP="00C324F3">
            <w:pPr>
              <w:pStyle w:val="Tablewriting"/>
              <w:numPr>
                <w:ilvl w:val="0"/>
                <w:numId w:val="174"/>
              </w:numPr>
              <w:rPr>
                <w:rFonts w:eastAsia="MS Mincho" w:cstheme="minorHAnsi"/>
              </w:rPr>
            </w:pPr>
            <w:r w:rsidRPr="00EB011F">
              <w:rPr>
                <w:rFonts w:eastAsia="MS Mincho" w:cstheme="minorHAnsi"/>
              </w:rPr>
              <w:t>Nicotine patch (12 w</w:t>
            </w:r>
            <w:r>
              <w:rPr>
                <w:rFonts w:eastAsia="MS Mincho" w:cstheme="minorHAnsi"/>
              </w:rPr>
              <w:t>ee</w:t>
            </w:r>
            <w:r w:rsidRPr="00EB011F">
              <w:rPr>
                <w:rFonts w:eastAsia="MS Mincho" w:cstheme="minorHAnsi"/>
              </w:rPr>
              <w:t>ks 15 mg/16hr, 6 w</w:t>
            </w:r>
            <w:r>
              <w:rPr>
                <w:rFonts w:eastAsia="MS Mincho" w:cstheme="minorHAnsi"/>
              </w:rPr>
              <w:t>ee</w:t>
            </w:r>
            <w:r w:rsidRPr="00EB011F">
              <w:rPr>
                <w:rFonts w:eastAsia="MS Mincho" w:cstheme="minorHAnsi"/>
              </w:rPr>
              <w:t>ks 10 mg, 6</w:t>
            </w:r>
            <w:r>
              <w:rPr>
                <w:rFonts w:eastAsia="MS Mincho" w:cstheme="minorHAnsi"/>
              </w:rPr>
              <w:t xml:space="preserve"> </w:t>
            </w:r>
            <w:r w:rsidRPr="00EB011F">
              <w:rPr>
                <w:rFonts w:eastAsia="MS Mincho" w:cstheme="minorHAnsi"/>
              </w:rPr>
              <w:t>w</w:t>
            </w:r>
            <w:r>
              <w:rPr>
                <w:rFonts w:eastAsia="MS Mincho" w:cstheme="minorHAnsi"/>
              </w:rPr>
              <w:t>ee</w:t>
            </w:r>
            <w:r w:rsidRPr="00EB011F">
              <w:rPr>
                <w:rFonts w:eastAsia="MS Mincho" w:cstheme="minorHAnsi"/>
              </w:rPr>
              <w:t>ks</w:t>
            </w:r>
            <w:r>
              <w:rPr>
                <w:rFonts w:eastAsia="MS Mincho" w:cstheme="minorHAnsi"/>
              </w:rPr>
              <w:t xml:space="preserve"> </w:t>
            </w:r>
            <w:r w:rsidRPr="00EB011F">
              <w:rPr>
                <w:rFonts w:eastAsia="MS Mincho" w:cstheme="minorHAnsi"/>
              </w:rPr>
              <w:t>5 mg) and nicotine</w:t>
            </w:r>
            <w:r>
              <w:rPr>
                <w:rFonts w:eastAsia="MS Mincho" w:cstheme="minorHAnsi"/>
              </w:rPr>
              <w:t xml:space="preserve"> </w:t>
            </w:r>
            <w:r w:rsidRPr="00EB011F">
              <w:rPr>
                <w:rFonts w:eastAsia="MS Mincho" w:cstheme="minorHAnsi"/>
              </w:rPr>
              <w:t>gum (2 mg, as</w:t>
            </w:r>
            <w:r>
              <w:rPr>
                <w:rFonts w:eastAsia="MS Mincho" w:cstheme="minorHAnsi"/>
              </w:rPr>
              <w:t xml:space="preserve"> r</w:t>
            </w:r>
            <w:r w:rsidRPr="00EB011F">
              <w:rPr>
                <w:rFonts w:eastAsia="MS Mincho" w:cstheme="minorHAnsi"/>
              </w:rPr>
              <w:t>equired)</w:t>
            </w:r>
            <w:r>
              <w:rPr>
                <w:rFonts w:eastAsia="MS Mincho" w:cstheme="minorHAnsi"/>
              </w:rPr>
              <w:t>.</w:t>
            </w:r>
          </w:p>
          <w:p w14:paraId="2BB63398" w14:textId="0D7D169D" w:rsidR="00EB011F" w:rsidRPr="00EB011F" w:rsidRDefault="00EB011F" w:rsidP="00C324F3">
            <w:pPr>
              <w:pStyle w:val="Tablewriting"/>
              <w:numPr>
                <w:ilvl w:val="0"/>
                <w:numId w:val="174"/>
              </w:numPr>
              <w:rPr>
                <w:rFonts w:eastAsia="MS Mincho" w:cstheme="minorHAnsi"/>
              </w:rPr>
            </w:pPr>
            <w:r w:rsidRPr="00EB011F">
              <w:rPr>
                <w:rFonts w:eastAsia="MS Mincho" w:cstheme="minorHAnsi"/>
              </w:rPr>
              <w:t>Nicotine patch and</w:t>
            </w:r>
            <w:r>
              <w:rPr>
                <w:rFonts w:eastAsia="MS Mincho" w:cstheme="minorHAnsi"/>
              </w:rPr>
              <w:t xml:space="preserve"> </w:t>
            </w:r>
            <w:r w:rsidRPr="00EB011F">
              <w:rPr>
                <w:rFonts w:eastAsia="MS Mincho" w:cstheme="minorHAnsi"/>
              </w:rPr>
              <w:t>placebo gum</w:t>
            </w:r>
            <w:r>
              <w:rPr>
                <w:rFonts w:eastAsia="MS Mincho" w:cstheme="minorHAnsi"/>
              </w:rPr>
              <w:t>.</w:t>
            </w:r>
          </w:p>
          <w:p w14:paraId="53C505EE" w14:textId="07E614F4" w:rsidR="00F536ED" w:rsidRPr="00017AE6" w:rsidRDefault="00EB011F" w:rsidP="00C324F3">
            <w:pPr>
              <w:pStyle w:val="Tablewriting"/>
              <w:numPr>
                <w:ilvl w:val="0"/>
                <w:numId w:val="174"/>
              </w:numPr>
              <w:rPr>
                <w:rFonts w:eastAsia="MS Mincho" w:cstheme="minorHAnsi"/>
              </w:rPr>
            </w:pPr>
            <w:r w:rsidRPr="00EB011F">
              <w:rPr>
                <w:rFonts w:eastAsia="MS Mincho" w:cstheme="minorHAnsi"/>
              </w:rPr>
              <w:t>3. Placebo patch and placebo gum.</w:t>
            </w:r>
          </w:p>
        </w:tc>
        <w:tc>
          <w:tcPr>
            <w:tcW w:w="1008" w:type="pct"/>
          </w:tcPr>
          <w:p w14:paraId="1C84ABF3" w14:textId="136BF2FB" w:rsidR="006B52BC" w:rsidRDefault="00F536ED" w:rsidP="00A71365">
            <w:pPr>
              <w:pStyle w:val="Tablewriting"/>
              <w:rPr>
                <w:rFonts w:eastAsia="MS Mincho" w:cstheme="minorHAnsi"/>
              </w:rPr>
            </w:pPr>
            <w:r>
              <w:rPr>
                <w:rFonts w:eastAsia="MS Mincho" w:cstheme="minorHAnsi"/>
                <w:u w:val="single"/>
              </w:rPr>
              <w:t>Efficacy:</w:t>
            </w:r>
            <w:r w:rsidR="006B52BC">
              <w:rPr>
                <w:rFonts w:eastAsia="MS Mincho" w:cstheme="minorHAnsi"/>
                <w:u w:val="single"/>
              </w:rPr>
              <w:t xml:space="preserve"> </w:t>
            </w:r>
            <w:r w:rsidR="006B52BC" w:rsidRPr="006B52BC">
              <w:rPr>
                <w:rFonts w:eastAsia="MS Mincho" w:cstheme="minorHAnsi"/>
              </w:rPr>
              <w:t>Sustained abstinence at 12 m</w:t>
            </w:r>
            <w:r w:rsidR="001E2341">
              <w:rPr>
                <w:rFonts w:eastAsia="MS Mincho" w:cstheme="minorHAnsi"/>
              </w:rPr>
              <w:t>onths</w:t>
            </w:r>
            <w:r w:rsidR="006B52BC">
              <w:rPr>
                <w:rFonts w:eastAsia="MS Mincho" w:cstheme="minorHAnsi"/>
              </w:rPr>
              <w:t>.</w:t>
            </w:r>
          </w:p>
          <w:p w14:paraId="1E08FA18" w14:textId="77777777" w:rsidR="006B52BC" w:rsidRPr="006B52BC" w:rsidRDefault="006B52BC" w:rsidP="00A71365">
            <w:pPr>
              <w:pStyle w:val="Tablewriting"/>
              <w:rPr>
                <w:rFonts w:eastAsia="MS Mincho" w:cstheme="minorHAnsi"/>
              </w:rPr>
            </w:pPr>
          </w:p>
          <w:p w14:paraId="28C55063" w14:textId="18814358" w:rsidR="006B52BC" w:rsidRDefault="006B52BC" w:rsidP="00A71365">
            <w:pPr>
              <w:pStyle w:val="Tablewriting"/>
              <w:rPr>
                <w:rFonts w:eastAsia="MS Mincho" w:cstheme="minorHAnsi"/>
              </w:rPr>
            </w:pPr>
            <w:r w:rsidRPr="006B52BC">
              <w:rPr>
                <w:rFonts w:eastAsia="MS Mincho" w:cstheme="minorHAnsi"/>
              </w:rPr>
              <w:t>Validation: CO &lt; 10 ppm</w:t>
            </w:r>
            <w:r>
              <w:rPr>
                <w:rFonts w:eastAsia="MS Mincho" w:cstheme="minorHAnsi"/>
              </w:rPr>
              <w:t>.</w:t>
            </w:r>
          </w:p>
          <w:p w14:paraId="3201527F" w14:textId="77777777" w:rsidR="006B52BC" w:rsidRPr="006B52BC" w:rsidRDefault="006B52BC" w:rsidP="00A71365">
            <w:pPr>
              <w:pStyle w:val="Tablewriting"/>
              <w:rPr>
                <w:rFonts w:eastAsia="MS Mincho" w:cstheme="minorHAnsi"/>
              </w:rPr>
            </w:pPr>
          </w:p>
          <w:p w14:paraId="0B8FB58F" w14:textId="77777777" w:rsidR="00F536ED" w:rsidRDefault="00F536ED" w:rsidP="00A71365">
            <w:pPr>
              <w:pStyle w:val="Tablewriting"/>
              <w:rPr>
                <w:rFonts w:eastAsia="MS Mincho" w:cstheme="minorHAnsi"/>
                <w:u w:val="single"/>
              </w:rPr>
            </w:pPr>
          </w:p>
          <w:p w14:paraId="6C4AA09E" w14:textId="7E077AC7" w:rsidR="00C05BDE" w:rsidRPr="006B52BC" w:rsidRDefault="00F536ED" w:rsidP="00A71365">
            <w:pPr>
              <w:pStyle w:val="Tablewriting"/>
              <w:rPr>
                <w:rFonts w:eastAsia="MS Mincho" w:cstheme="minorHAnsi"/>
              </w:rPr>
            </w:pPr>
            <w:r>
              <w:rPr>
                <w:rFonts w:eastAsia="MS Mincho" w:cstheme="minorHAnsi"/>
                <w:u w:val="single"/>
              </w:rPr>
              <w:t>Safety:</w:t>
            </w:r>
            <w:r w:rsidR="00C05BDE">
              <w:rPr>
                <w:rFonts w:eastAsia="MS Mincho" w:cstheme="minorHAnsi"/>
                <w:u w:val="single"/>
              </w:rPr>
              <w:t xml:space="preserve"> </w:t>
            </w:r>
            <w:r w:rsidR="00C05BDE" w:rsidRPr="006B52BC">
              <w:rPr>
                <w:rFonts w:eastAsia="MS Mincho" w:cstheme="minorHAnsi"/>
              </w:rPr>
              <w:t>Adverse events</w:t>
            </w:r>
            <w:r w:rsidR="00C05BDE">
              <w:rPr>
                <w:rFonts w:eastAsia="MS Mincho" w:cstheme="minorHAnsi"/>
              </w:rPr>
              <w:t xml:space="preserve"> </w:t>
            </w:r>
            <w:r w:rsidR="00C05BDE" w:rsidRPr="006B52BC">
              <w:rPr>
                <w:rFonts w:eastAsia="MS Mincho" w:cstheme="minorHAnsi"/>
              </w:rPr>
              <w:t>measured at each visit during treatment (6 months)</w:t>
            </w:r>
            <w:r w:rsidR="00C05BDE">
              <w:rPr>
                <w:rFonts w:eastAsia="MS Mincho" w:cstheme="minorHAnsi"/>
              </w:rPr>
              <w:t>.</w:t>
            </w:r>
          </w:p>
          <w:p w14:paraId="48816F4D" w14:textId="0600ACDC" w:rsidR="00F536ED" w:rsidRPr="004272CD" w:rsidRDefault="00F536ED" w:rsidP="00A71365">
            <w:pPr>
              <w:pStyle w:val="Tablewriting"/>
              <w:rPr>
                <w:rFonts w:eastAsia="MS Mincho" w:cstheme="minorHAnsi"/>
                <w:u w:val="single"/>
              </w:rPr>
            </w:pPr>
          </w:p>
        </w:tc>
      </w:tr>
      <w:tr w:rsidR="00F536ED" w:rsidRPr="00017AE6" w14:paraId="3896DB5B" w14:textId="77777777" w:rsidTr="005821B1">
        <w:trPr>
          <w:trHeight w:val="99"/>
        </w:trPr>
        <w:tc>
          <w:tcPr>
            <w:tcW w:w="495" w:type="pct"/>
          </w:tcPr>
          <w:p w14:paraId="2E3FC477" w14:textId="31268428" w:rsidR="00F536ED" w:rsidRPr="00017AE6" w:rsidRDefault="00F536ED" w:rsidP="00A71365">
            <w:pPr>
              <w:pStyle w:val="Tablewriting"/>
              <w:rPr>
                <w:rFonts w:eastAsia="MS Mincho" w:cstheme="minorHAnsi"/>
              </w:rPr>
            </w:pPr>
            <w:r w:rsidRPr="00AF5460">
              <w:rPr>
                <w:rFonts w:eastAsia="MS Mincho" w:cstheme="minorHAnsi"/>
              </w:rPr>
              <w:t xml:space="preserve">Krupski </w:t>
            </w:r>
            <w:r w:rsidR="00991AC5">
              <w:rPr>
                <w:rFonts w:eastAsia="MS Mincho" w:cstheme="minorHAnsi"/>
              </w:rPr>
              <w:t>(</w:t>
            </w:r>
            <w:r w:rsidRPr="00AF5460">
              <w:rPr>
                <w:rFonts w:eastAsia="MS Mincho" w:cstheme="minorHAnsi"/>
              </w:rPr>
              <w:t>2016</w:t>
            </w:r>
            <w:r w:rsidR="00991AC5">
              <w:rPr>
                <w:rFonts w:eastAsia="MS Mincho" w:cstheme="minorHAnsi"/>
              </w:rPr>
              <w:t>)</w:t>
            </w:r>
          </w:p>
        </w:tc>
        <w:tc>
          <w:tcPr>
            <w:tcW w:w="235" w:type="pct"/>
          </w:tcPr>
          <w:p w14:paraId="5F60DA9A" w14:textId="29163E46"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21AF29D4" w14:textId="2CEC21FA" w:rsidR="00F536ED" w:rsidRPr="00017AE6" w:rsidRDefault="00BF3E07" w:rsidP="00A71365">
            <w:pPr>
              <w:pStyle w:val="Tablewriting"/>
              <w:rPr>
                <w:rFonts w:eastAsia="MS Mincho" w:cstheme="minorHAnsi"/>
              </w:rPr>
            </w:pPr>
            <w:r>
              <w:rPr>
                <w:rFonts w:eastAsia="MS Mincho" w:cstheme="minorHAnsi"/>
              </w:rPr>
              <w:t>USA</w:t>
            </w:r>
          </w:p>
        </w:tc>
        <w:tc>
          <w:tcPr>
            <w:tcW w:w="358" w:type="pct"/>
          </w:tcPr>
          <w:p w14:paraId="57E4625C" w14:textId="0B131371" w:rsidR="00F536ED" w:rsidRPr="00017AE6" w:rsidRDefault="00F536ED" w:rsidP="00A71365">
            <w:pPr>
              <w:pStyle w:val="Tablewriting"/>
              <w:rPr>
                <w:rFonts w:eastAsia="MS Mincho" w:cstheme="minorHAnsi"/>
              </w:rPr>
            </w:pPr>
            <w:r w:rsidRPr="003A1845">
              <w:rPr>
                <w:rFonts w:eastAsia="MS Mincho" w:cstheme="minorHAnsi"/>
              </w:rPr>
              <w:t>N=</w:t>
            </w:r>
            <w:r w:rsidR="00BF3E07">
              <w:rPr>
                <w:rFonts w:eastAsia="MS Mincho" w:cstheme="minorHAnsi"/>
              </w:rPr>
              <w:t>3118</w:t>
            </w:r>
          </w:p>
        </w:tc>
        <w:tc>
          <w:tcPr>
            <w:tcW w:w="1176" w:type="pct"/>
          </w:tcPr>
          <w:p w14:paraId="0621F183" w14:textId="77777777" w:rsidR="00396018" w:rsidRDefault="00A240C5" w:rsidP="00A71365">
            <w:pPr>
              <w:rPr>
                <w:rFonts w:eastAsia="MS Mincho" w:cstheme="minorHAnsi"/>
              </w:rPr>
            </w:pPr>
            <w:r>
              <w:rPr>
                <w:rFonts w:asciiTheme="minorHAnsi" w:eastAsia="MS Mincho" w:hAnsiTheme="minorHAnsi" w:cstheme="minorHAnsi"/>
                <w:lang w:eastAsia="en-US"/>
              </w:rPr>
              <w:t>S</w:t>
            </w:r>
            <w:r w:rsidRPr="00A240C5">
              <w:rPr>
                <w:rFonts w:asciiTheme="minorHAnsi" w:eastAsia="MS Mincho" w:hAnsiTheme="minorHAnsi" w:cstheme="minorHAnsi"/>
                <w:lang w:eastAsia="en-US"/>
              </w:rPr>
              <w:t>mokers; aged≥</w:t>
            </w:r>
            <w:r>
              <w:rPr>
                <w:rFonts w:asciiTheme="minorHAnsi" w:eastAsia="MS Mincho" w:hAnsiTheme="minorHAnsi" w:cstheme="minorHAnsi"/>
                <w:lang w:eastAsia="en-US"/>
              </w:rPr>
              <w:t xml:space="preserve"> </w:t>
            </w:r>
            <w:r w:rsidRPr="00A240C5">
              <w:rPr>
                <w:rFonts w:asciiTheme="minorHAnsi" w:eastAsia="MS Mincho" w:hAnsiTheme="minorHAnsi" w:cstheme="minorHAnsi"/>
                <w:lang w:eastAsia="en-US"/>
              </w:rPr>
              <w:t>18 years, ≥</w:t>
            </w:r>
            <w:r w:rsidR="00396018">
              <w:rPr>
                <w:rFonts w:asciiTheme="minorHAnsi" w:eastAsia="MS Mincho" w:hAnsiTheme="minorHAnsi" w:cstheme="minorHAnsi"/>
                <w:lang w:eastAsia="en-US"/>
              </w:rPr>
              <w:t xml:space="preserve"> </w:t>
            </w:r>
            <w:r w:rsidRPr="00A240C5">
              <w:rPr>
                <w:rFonts w:eastAsia="MS Mincho" w:cstheme="minorHAnsi"/>
              </w:rPr>
              <w:t xml:space="preserve">20 </w:t>
            </w:r>
            <w:r>
              <w:rPr>
                <w:rFonts w:eastAsia="MS Mincho" w:cstheme="minorHAnsi"/>
              </w:rPr>
              <w:t>CPD</w:t>
            </w:r>
            <w:r w:rsidRPr="00A240C5">
              <w:rPr>
                <w:rFonts w:eastAsia="MS Mincho" w:cstheme="minorHAnsi"/>
              </w:rPr>
              <w:t xml:space="preserve"> 5 or 6 on Heaviness of Smoking Index, interested in using NRT</w:t>
            </w:r>
            <w:r w:rsidR="00396018">
              <w:rPr>
                <w:rFonts w:eastAsia="MS Mincho" w:cstheme="minorHAnsi"/>
              </w:rPr>
              <w:t xml:space="preserve"> </w:t>
            </w:r>
            <w:r w:rsidRPr="00A240C5">
              <w:rPr>
                <w:rFonts w:eastAsia="MS Mincho" w:cstheme="minorHAnsi"/>
              </w:rPr>
              <w:t>to quit smoking</w:t>
            </w:r>
            <w:r w:rsidR="00396018">
              <w:rPr>
                <w:rFonts w:eastAsia="MS Mincho" w:cstheme="minorHAnsi"/>
              </w:rPr>
              <w:t>.</w:t>
            </w:r>
          </w:p>
          <w:p w14:paraId="6F9E5409" w14:textId="62F2F400" w:rsidR="00F536ED" w:rsidRPr="00396018" w:rsidRDefault="00B01DC1" w:rsidP="00A71365">
            <w:pPr>
              <w:rPr>
                <w:rFonts w:asciiTheme="minorHAnsi" w:eastAsia="MS Mincho" w:hAnsiTheme="minorHAnsi" w:cstheme="minorHAnsi"/>
                <w:lang w:eastAsia="en-US"/>
              </w:rPr>
            </w:pPr>
            <w:r w:rsidRPr="00B01DC1">
              <w:rPr>
                <w:rFonts w:eastAsia="MS Mincho" w:cstheme="minorHAnsi"/>
              </w:rPr>
              <w:t>53% men, mode age range 45 - 54 y</w:t>
            </w:r>
            <w:r>
              <w:rPr>
                <w:rFonts w:eastAsia="MS Mincho" w:cstheme="minorHAnsi"/>
              </w:rPr>
              <w:t>ea</w:t>
            </w:r>
            <w:r w:rsidRPr="00B01DC1">
              <w:rPr>
                <w:rFonts w:eastAsia="MS Mincho" w:cstheme="minorHAnsi"/>
              </w:rPr>
              <w:t>rs, av</w:t>
            </w:r>
            <w:r w:rsidR="00396018">
              <w:rPr>
                <w:rFonts w:eastAsia="MS Mincho" w:cstheme="minorHAnsi"/>
              </w:rPr>
              <w:t>erage</w:t>
            </w:r>
            <w:r w:rsidRPr="00B01DC1">
              <w:rPr>
                <w:rFonts w:eastAsia="MS Mincho" w:cstheme="minorHAnsi"/>
              </w:rPr>
              <w:t xml:space="preserve"> </w:t>
            </w:r>
            <w:r>
              <w:rPr>
                <w:rFonts w:eastAsia="MS Mincho" w:cstheme="minorHAnsi"/>
              </w:rPr>
              <w:t>CPD</w:t>
            </w:r>
            <w:r w:rsidRPr="00B01DC1">
              <w:rPr>
                <w:rFonts w:eastAsia="MS Mincho" w:cstheme="minorHAnsi"/>
              </w:rPr>
              <w:t xml:space="preserve"> not available but a large majority smoked &gt; 30 </w:t>
            </w:r>
            <w:r>
              <w:rPr>
                <w:rFonts w:eastAsia="MS Mincho" w:cstheme="minorHAnsi"/>
              </w:rPr>
              <w:t>CPD,</w:t>
            </w:r>
            <w:r w:rsidRPr="00B01DC1">
              <w:rPr>
                <w:rFonts w:eastAsia="MS Mincho" w:cstheme="minorHAnsi"/>
              </w:rPr>
              <w:t xml:space="preserve"> 88%</w:t>
            </w:r>
            <w:r w:rsidR="00396018">
              <w:rPr>
                <w:rFonts w:eastAsia="MS Mincho" w:cstheme="minorHAnsi"/>
              </w:rPr>
              <w:t xml:space="preserve"> </w:t>
            </w:r>
            <w:r w:rsidRPr="00B01DC1">
              <w:rPr>
                <w:rFonts w:eastAsia="MS Mincho" w:cstheme="minorHAnsi"/>
              </w:rPr>
              <w:t>time to first cigarette &lt; 5 mins</w:t>
            </w:r>
            <w:r w:rsidR="00396018">
              <w:rPr>
                <w:rFonts w:eastAsia="MS Mincho" w:cstheme="minorHAnsi"/>
              </w:rPr>
              <w:t>.</w:t>
            </w:r>
          </w:p>
        </w:tc>
        <w:tc>
          <w:tcPr>
            <w:tcW w:w="1295" w:type="pct"/>
          </w:tcPr>
          <w:p w14:paraId="348C06EB" w14:textId="093AC5A9" w:rsidR="00933063" w:rsidRPr="00933063" w:rsidRDefault="00933063" w:rsidP="00C324F3">
            <w:pPr>
              <w:pStyle w:val="Tablewriting"/>
              <w:numPr>
                <w:ilvl w:val="0"/>
                <w:numId w:val="175"/>
              </w:numPr>
              <w:rPr>
                <w:rFonts w:eastAsia="MS Mincho" w:cstheme="minorHAnsi"/>
              </w:rPr>
            </w:pPr>
            <w:r w:rsidRPr="00933063">
              <w:rPr>
                <w:rFonts w:eastAsia="MS Mincho" w:cstheme="minorHAnsi"/>
              </w:rPr>
              <w:t>2-wk supply of nicotine patches plus 2-w</w:t>
            </w:r>
            <w:r w:rsidR="00BC7AD9">
              <w:rPr>
                <w:rFonts w:eastAsia="MS Mincho" w:cstheme="minorHAnsi"/>
              </w:rPr>
              <w:t>ee</w:t>
            </w:r>
            <w:r w:rsidRPr="00933063">
              <w:rPr>
                <w:rFonts w:eastAsia="MS Mincho" w:cstheme="minorHAnsi"/>
              </w:rPr>
              <w:t>k supply of nicotine</w:t>
            </w:r>
            <w:r w:rsidR="00BC7AD9">
              <w:rPr>
                <w:rFonts w:eastAsia="MS Mincho" w:cstheme="minorHAnsi"/>
              </w:rPr>
              <w:t xml:space="preserve"> </w:t>
            </w:r>
            <w:r w:rsidRPr="00933063">
              <w:rPr>
                <w:rFonts w:eastAsia="MS Mincho" w:cstheme="minorHAnsi"/>
              </w:rPr>
              <w:t>lozenges</w:t>
            </w:r>
          </w:p>
          <w:p w14:paraId="7AF2425B" w14:textId="3AA335BF" w:rsidR="00933063" w:rsidRDefault="00933063" w:rsidP="00C324F3">
            <w:pPr>
              <w:pStyle w:val="Tablewriting"/>
              <w:numPr>
                <w:ilvl w:val="0"/>
                <w:numId w:val="175"/>
              </w:numPr>
              <w:rPr>
                <w:rFonts w:eastAsia="MS Mincho" w:cstheme="minorHAnsi"/>
              </w:rPr>
            </w:pPr>
            <w:r w:rsidRPr="00933063">
              <w:rPr>
                <w:rFonts w:eastAsia="MS Mincho" w:cstheme="minorHAnsi"/>
              </w:rPr>
              <w:t>2-w</w:t>
            </w:r>
            <w:r w:rsidR="00BC7AD9">
              <w:rPr>
                <w:rFonts w:eastAsia="MS Mincho" w:cstheme="minorHAnsi"/>
              </w:rPr>
              <w:t>ee</w:t>
            </w:r>
            <w:r w:rsidRPr="00933063">
              <w:rPr>
                <w:rFonts w:eastAsia="MS Mincho" w:cstheme="minorHAnsi"/>
              </w:rPr>
              <w:t>k supply of nicotine patches</w:t>
            </w:r>
            <w:r w:rsidR="0026610E">
              <w:rPr>
                <w:rFonts w:eastAsia="MS Mincho" w:cstheme="minorHAnsi"/>
              </w:rPr>
              <w:t>.</w:t>
            </w:r>
          </w:p>
          <w:p w14:paraId="27D7ACC6" w14:textId="77777777" w:rsidR="0026610E" w:rsidRPr="00933063" w:rsidRDefault="0026610E" w:rsidP="00A71365">
            <w:pPr>
              <w:pStyle w:val="Tablewriting"/>
              <w:ind w:left="502"/>
              <w:rPr>
                <w:rFonts w:eastAsia="MS Mincho" w:cstheme="minorHAnsi"/>
              </w:rPr>
            </w:pPr>
          </w:p>
          <w:p w14:paraId="280ADDB3" w14:textId="30CD1E00" w:rsidR="00F536ED" w:rsidRPr="00017AE6" w:rsidRDefault="00933063" w:rsidP="00A71365">
            <w:pPr>
              <w:pStyle w:val="Tablewriting"/>
              <w:ind w:left="502"/>
              <w:rPr>
                <w:rFonts w:eastAsia="MS Mincho" w:cstheme="minorHAnsi"/>
              </w:rPr>
            </w:pPr>
            <w:r w:rsidRPr="00933063">
              <w:rPr>
                <w:rFonts w:eastAsia="MS Mincho" w:cstheme="minorHAnsi"/>
              </w:rPr>
              <w:t>Advice to wear each patch for 24 hours, and to use lozenges</w:t>
            </w:r>
            <w:r w:rsidR="00BC7AD9">
              <w:rPr>
                <w:rFonts w:eastAsia="MS Mincho" w:cstheme="minorHAnsi"/>
              </w:rPr>
              <w:t xml:space="preserve"> </w:t>
            </w:r>
            <w:r w:rsidRPr="00933063">
              <w:rPr>
                <w:rFonts w:eastAsia="MS Mincho" w:cstheme="minorHAnsi"/>
              </w:rPr>
              <w:t>consistently (every 1 - 2 hours while awake)</w:t>
            </w:r>
          </w:p>
        </w:tc>
        <w:tc>
          <w:tcPr>
            <w:tcW w:w="1008" w:type="pct"/>
          </w:tcPr>
          <w:p w14:paraId="098D1ECA" w14:textId="11B8E011" w:rsidR="00B66CD4" w:rsidRDefault="00F536ED" w:rsidP="00A71365">
            <w:pPr>
              <w:pStyle w:val="Tablewriting"/>
              <w:rPr>
                <w:rFonts w:eastAsia="MS Mincho" w:cstheme="minorHAnsi"/>
              </w:rPr>
            </w:pPr>
            <w:r>
              <w:rPr>
                <w:rFonts w:eastAsia="MS Mincho" w:cstheme="minorHAnsi"/>
                <w:u w:val="single"/>
              </w:rPr>
              <w:t>Efficacy:</w:t>
            </w:r>
            <w:r w:rsidR="00B66CD4">
              <w:t xml:space="preserve"> </w:t>
            </w:r>
            <w:r w:rsidR="00B66CD4" w:rsidRPr="00B66CD4">
              <w:rPr>
                <w:rFonts w:eastAsia="MS Mincho" w:cstheme="minorHAnsi"/>
              </w:rPr>
              <w:t>Self-reported 30-day PPA at 7 m</w:t>
            </w:r>
            <w:r w:rsidR="008C3F1E">
              <w:rPr>
                <w:rFonts w:eastAsia="MS Mincho" w:cstheme="minorHAnsi"/>
              </w:rPr>
              <w:t xml:space="preserve">onths, </w:t>
            </w:r>
            <w:r w:rsidR="00B66CD4" w:rsidRPr="00B66CD4">
              <w:rPr>
                <w:rFonts w:eastAsia="MS Mincho" w:cstheme="minorHAnsi"/>
              </w:rPr>
              <w:t>self-reported 7-day PPA at 7 months.</w:t>
            </w:r>
          </w:p>
          <w:p w14:paraId="143B230D" w14:textId="77777777" w:rsidR="00B66CD4" w:rsidRPr="00B66CD4" w:rsidRDefault="00B66CD4" w:rsidP="00A71365">
            <w:pPr>
              <w:pStyle w:val="Tablewriting"/>
              <w:rPr>
                <w:rFonts w:eastAsia="MS Mincho" w:cstheme="minorHAnsi"/>
              </w:rPr>
            </w:pPr>
          </w:p>
          <w:p w14:paraId="05E2F019" w14:textId="3BBC5D0D" w:rsidR="00B66CD4" w:rsidRDefault="00B66CD4" w:rsidP="00A71365">
            <w:pPr>
              <w:pStyle w:val="Tablewriting"/>
              <w:rPr>
                <w:rFonts w:eastAsia="MS Mincho" w:cstheme="minorHAnsi"/>
              </w:rPr>
            </w:pPr>
            <w:r w:rsidRPr="00B66CD4">
              <w:rPr>
                <w:rFonts w:eastAsia="MS Mincho" w:cstheme="minorHAnsi"/>
              </w:rPr>
              <w:t>Validation: none</w:t>
            </w:r>
          </w:p>
          <w:p w14:paraId="0BF801D2" w14:textId="77777777" w:rsidR="00F536ED" w:rsidRDefault="00F536ED" w:rsidP="00A71365">
            <w:pPr>
              <w:pStyle w:val="Tablewriting"/>
              <w:rPr>
                <w:rFonts w:eastAsia="MS Mincho" w:cstheme="minorHAnsi"/>
                <w:u w:val="single"/>
              </w:rPr>
            </w:pPr>
          </w:p>
          <w:p w14:paraId="446A82C5" w14:textId="77777777" w:rsidR="00F536ED" w:rsidRDefault="00F536ED" w:rsidP="00A71365">
            <w:pPr>
              <w:pStyle w:val="Tablewriting"/>
              <w:rPr>
                <w:rFonts w:eastAsia="MS Mincho" w:cstheme="minorHAnsi"/>
                <w:u w:val="single"/>
              </w:rPr>
            </w:pPr>
          </w:p>
          <w:p w14:paraId="60F97964" w14:textId="4E26CC8C" w:rsidR="00BC7AD9" w:rsidRPr="00B66CD4" w:rsidRDefault="00F536ED" w:rsidP="00A71365">
            <w:pPr>
              <w:pStyle w:val="Tablewriting"/>
              <w:rPr>
                <w:rFonts w:eastAsia="MS Mincho" w:cstheme="minorHAnsi"/>
              </w:rPr>
            </w:pPr>
            <w:r>
              <w:rPr>
                <w:rFonts w:eastAsia="MS Mincho" w:cstheme="minorHAnsi"/>
                <w:u w:val="single"/>
              </w:rPr>
              <w:t>Safety:</w:t>
            </w:r>
            <w:r w:rsidR="00BC7AD9">
              <w:rPr>
                <w:rFonts w:eastAsia="MS Mincho" w:cstheme="minorHAnsi"/>
                <w:u w:val="single"/>
              </w:rPr>
              <w:t xml:space="preserve"> </w:t>
            </w:r>
            <w:r w:rsidR="00BC7AD9" w:rsidRPr="00B66CD4">
              <w:rPr>
                <w:rFonts w:eastAsia="MS Mincho" w:cstheme="minorHAnsi"/>
              </w:rPr>
              <w:t>Adverse events</w:t>
            </w:r>
            <w:r w:rsidR="00BC7AD9">
              <w:rPr>
                <w:rFonts w:eastAsia="MS Mincho" w:cstheme="minorHAnsi"/>
              </w:rPr>
              <w:t xml:space="preserve"> </w:t>
            </w:r>
            <w:r w:rsidR="00BC7AD9" w:rsidRPr="00B66CD4">
              <w:rPr>
                <w:rFonts w:eastAsia="MS Mincho" w:cstheme="minorHAnsi"/>
              </w:rPr>
              <w:t>not measured</w:t>
            </w:r>
            <w:r w:rsidR="00BC7AD9">
              <w:rPr>
                <w:rFonts w:eastAsia="MS Mincho" w:cstheme="minorHAnsi"/>
              </w:rPr>
              <w:t>.</w:t>
            </w:r>
          </w:p>
          <w:p w14:paraId="43E7DC64" w14:textId="5DB2E757" w:rsidR="00F536ED" w:rsidRPr="004272CD" w:rsidRDefault="00F536ED" w:rsidP="00A71365">
            <w:pPr>
              <w:pStyle w:val="Tablewriting"/>
              <w:rPr>
                <w:rFonts w:eastAsia="MS Mincho" w:cstheme="minorHAnsi"/>
                <w:u w:val="single"/>
              </w:rPr>
            </w:pPr>
          </w:p>
        </w:tc>
      </w:tr>
      <w:tr w:rsidR="00F536ED" w:rsidRPr="00017AE6" w14:paraId="19F9F691" w14:textId="77777777" w:rsidTr="005821B1">
        <w:trPr>
          <w:trHeight w:val="99"/>
        </w:trPr>
        <w:tc>
          <w:tcPr>
            <w:tcW w:w="495" w:type="pct"/>
          </w:tcPr>
          <w:p w14:paraId="0E69F400" w14:textId="3CE68A84" w:rsidR="00F536ED" w:rsidRPr="00017AE6" w:rsidRDefault="00F536ED" w:rsidP="00A71365">
            <w:pPr>
              <w:pStyle w:val="Tablewriting"/>
              <w:rPr>
                <w:rFonts w:eastAsia="MS Mincho" w:cstheme="minorHAnsi"/>
              </w:rPr>
            </w:pPr>
            <w:r w:rsidRPr="00FC50B4">
              <w:rPr>
                <w:rFonts w:eastAsia="MS Mincho" w:cstheme="minorHAnsi"/>
              </w:rPr>
              <w:t xml:space="preserve">Piper </w:t>
            </w:r>
            <w:r w:rsidR="00991AC5">
              <w:rPr>
                <w:rFonts w:eastAsia="MS Mincho" w:cstheme="minorHAnsi"/>
              </w:rPr>
              <w:t>(</w:t>
            </w:r>
            <w:r w:rsidRPr="00FC50B4">
              <w:rPr>
                <w:rFonts w:eastAsia="MS Mincho" w:cstheme="minorHAnsi"/>
              </w:rPr>
              <w:t>2009</w:t>
            </w:r>
            <w:r w:rsidR="00991AC5">
              <w:rPr>
                <w:rFonts w:eastAsia="MS Mincho" w:cstheme="minorHAnsi"/>
              </w:rPr>
              <w:t>)</w:t>
            </w:r>
          </w:p>
        </w:tc>
        <w:tc>
          <w:tcPr>
            <w:tcW w:w="235" w:type="pct"/>
          </w:tcPr>
          <w:p w14:paraId="11C2517C" w14:textId="555FCFC8"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66BCBF56" w14:textId="48593E89" w:rsidR="00F536ED" w:rsidRPr="00017AE6" w:rsidRDefault="009E0A63" w:rsidP="00A71365">
            <w:pPr>
              <w:pStyle w:val="Tablewriting"/>
              <w:rPr>
                <w:rFonts w:eastAsia="MS Mincho" w:cstheme="minorHAnsi"/>
              </w:rPr>
            </w:pPr>
            <w:r>
              <w:rPr>
                <w:rFonts w:eastAsia="MS Mincho" w:cstheme="minorHAnsi"/>
              </w:rPr>
              <w:t>USA</w:t>
            </w:r>
          </w:p>
        </w:tc>
        <w:tc>
          <w:tcPr>
            <w:tcW w:w="358" w:type="pct"/>
          </w:tcPr>
          <w:p w14:paraId="72053668" w14:textId="23116C3B" w:rsidR="00F536ED" w:rsidRPr="00017AE6" w:rsidRDefault="00F536ED" w:rsidP="00A71365">
            <w:pPr>
              <w:pStyle w:val="Tablewriting"/>
              <w:rPr>
                <w:rFonts w:eastAsia="MS Mincho" w:cstheme="minorHAnsi"/>
              </w:rPr>
            </w:pPr>
            <w:r w:rsidRPr="003A1845">
              <w:rPr>
                <w:rFonts w:eastAsia="MS Mincho" w:cstheme="minorHAnsi"/>
              </w:rPr>
              <w:t>N=</w:t>
            </w:r>
            <w:r w:rsidR="009E0A63">
              <w:rPr>
                <w:rFonts w:eastAsia="MS Mincho" w:cstheme="minorHAnsi"/>
              </w:rPr>
              <w:t>1504</w:t>
            </w:r>
          </w:p>
        </w:tc>
        <w:tc>
          <w:tcPr>
            <w:tcW w:w="1176" w:type="pct"/>
          </w:tcPr>
          <w:p w14:paraId="4D0530C3" w14:textId="14798B54" w:rsidR="00F536ED" w:rsidRPr="00017AE6" w:rsidRDefault="00DF38C9" w:rsidP="00A71365">
            <w:pPr>
              <w:pStyle w:val="Tablewriting"/>
              <w:rPr>
                <w:rFonts w:eastAsia="MS Mincho" w:cstheme="minorHAnsi"/>
              </w:rPr>
            </w:pPr>
            <w:r>
              <w:rPr>
                <w:rFonts w:eastAsia="MS Mincho" w:cstheme="minorHAnsi"/>
              </w:rPr>
              <w:t>S</w:t>
            </w:r>
            <w:r w:rsidR="002D6B55" w:rsidRPr="002D6B55">
              <w:rPr>
                <w:rFonts w:eastAsia="MS Mincho" w:cstheme="minorHAnsi"/>
              </w:rPr>
              <w:t>mokers motivated to quit</w:t>
            </w:r>
            <w:r>
              <w:rPr>
                <w:rFonts w:eastAsia="MS Mincho" w:cstheme="minorHAnsi"/>
              </w:rPr>
              <w:t xml:space="preserve">, </w:t>
            </w:r>
            <w:r w:rsidR="002D6B55" w:rsidRPr="002D6B55">
              <w:rPr>
                <w:rFonts w:eastAsia="MS Mincho" w:cstheme="minorHAnsi"/>
              </w:rPr>
              <w:t>42% men, av</w:t>
            </w:r>
            <w:r>
              <w:rPr>
                <w:rFonts w:eastAsia="MS Mincho" w:cstheme="minorHAnsi"/>
              </w:rPr>
              <w:t xml:space="preserve">erage </w:t>
            </w:r>
            <w:r w:rsidR="002D6B55" w:rsidRPr="002D6B55">
              <w:rPr>
                <w:rFonts w:eastAsia="MS Mincho" w:cstheme="minorHAnsi"/>
              </w:rPr>
              <w:t>age 45</w:t>
            </w:r>
            <w:r>
              <w:rPr>
                <w:rFonts w:eastAsia="MS Mincho" w:cstheme="minorHAnsi"/>
              </w:rPr>
              <w:t xml:space="preserve"> years</w:t>
            </w:r>
            <w:r w:rsidR="002D6B55" w:rsidRPr="002D6B55">
              <w:rPr>
                <w:rFonts w:eastAsia="MS Mincho" w:cstheme="minorHAnsi"/>
              </w:rPr>
              <w:t>, av</w:t>
            </w:r>
            <w:r>
              <w:rPr>
                <w:rFonts w:eastAsia="MS Mincho" w:cstheme="minorHAnsi"/>
              </w:rPr>
              <w:t>erage CPD</w:t>
            </w:r>
            <w:r w:rsidR="002D6B55" w:rsidRPr="002D6B55">
              <w:rPr>
                <w:rFonts w:eastAsia="MS Mincho" w:cstheme="minorHAnsi"/>
              </w:rPr>
              <w:t xml:space="preserve"> 21.4</w:t>
            </w:r>
            <w:r>
              <w:rPr>
                <w:rFonts w:eastAsia="MS Mincho" w:cstheme="minorHAnsi"/>
              </w:rPr>
              <w:t>.</w:t>
            </w:r>
          </w:p>
        </w:tc>
        <w:tc>
          <w:tcPr>
            <w:tcW w:w="1295" w:type="pct"/>
          </w:tcPr>
          <w:p w14:paraId="45615ECC" w14:textId="29CFF51D"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Nicotine lozenge 2 or 4 mg for 12 w</w:t>
            </w:r>
            <w:r w:rsidR="00F33AB8">
              <w:rPr>
                <w:rFonts w:eastAsia="MS Mincho" w:cstheme="minorHAnsi"/>
              </w:rPr>
              <w:t>ee</w:t>
            </w:r>
            <w:r w:rsidRPr="002D6B55">
              <w:rPr>
                <w:rFonts w:eastAsia="MS Mincho" w:cstheme="minorHAnsi"/>
              </w:rPr>
              <w:t>ks</w:t>
            </w:r>
            <w:r w:rsidR="00F33AB8">
              <w:rPr>
                <w:rFonts w:eastAsia="MS Mincho" w:cstheme="minorHAnsi"/>
              </w:rPr>
              <w:t xml:space="preserve"> </w:t>
            </w:r>
            <w:r w:rsidRPr="002D6B55">
              <w:rPr>
                <w:rFonts w:eastAsia="MS Mincho" w:cstheme="minorHAnsi"/>
              </w:rPr>
              <w:t>(based on dose-for-dependence level as per instructions)</w:t>
            </w:r>
          </w:p>
          <w:p w14:paraId="437E9924" w14:textId="524B4A2A"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Nicotine patch (24-hour, 21, 14, and 7 mg titrated down over 8-wk period post-quit)</w:t>
            </w:r>
          </w:p>
          <w:p w14:paraId="6AC5DC88" w14:textId="2541F1A8"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Bupropion SR (150 mg bid, 1 w</w:t>
            </w:r>
            <w:r w:rsidR="00F33AB8">
              <w:rPr>
                <w:rFonts w:eastAsia="MS Mincho" w:cstheme="minorHAnsi"/>
              </w:rPr>
              <w:t>eek</w:t>
            </w:r>
            <w:r w:rsidRPr="002D6B55">
              <w:rPr>
                <w:rFonts w:eastAsia="MS Mincho" w:cstheme="minorHAnsi"/>
              </w:rPr>
              <w:t xml:space="preserve"> pre-quit, 8 w</w:t>
            </w:r>
            <w:r w:rsidR="00F33AB8">
              <w:rPr>
                <w:rFonts w:eastAsia="MS Mincho" w:cstheme="minorHAnsi"/>
              </w:rPr>
              <w:t>eek</w:t>
            </w:r>
            <w:r w:rsidRPr="002D6B55">
              <w:rPr>
                <w:rFonts w:eastAsia="MS Mincho" w:cstheme="minorHAnsi"/>
              </w:rPr>
              <w:t>s post-quit)</w:t>
            </w:r>
            <w:r w:rsidR="00F33AB8">
              <w:rPr>
                <w:rFonts w:eastAsia="MS Mincho" w:cstheme="minorHAnsi"/>
              </w:rPr>
              <w:t>.</w:t>
            </w:r>
          </w:p>
          <w:p w14:paraId="43AA412C" w14:textId="6DE081CF" w:rsidR="002D6B55" w:rsidRPr="002D6B55" w:rsidRDefault="002D6B55" w:rsidP="00C324F3">
            <w:pPr>
              <w:pStyle w:val="Tablewriting"/>
              <w:numPr>
                <w:ilvl w:val="0"/>
                <w:numId w:val="176"/>
              </w:numPr>
              <w:rPr>
                <w:rFonts w:eastAsia="MS Mincho" w:cstheme="minorHAnsi"/>
              </w:rPr>
            </w:pPr>
            <w:r w:rsidRPr="002D6B55">
              <w:rPr>
                <w:rFonts w:eastAsia="MS Mincho" w:cstheme="minorHAnsi"/>
              </w:rPr>
              <w:t>Lozenge + patch (duration and dosage as above)</w:t>
            </w:r>
            <w:r w:rsidR="00F33AB8">
              <w:rPr>
                <w:rFonts w:eastAsia="MS Mincho" w:cstheme="minorHAnsi"/>
              </w:rPr>
              <w:t>.</w:t>
            </w:r>
          </w:p>
          <w:p w14:paraId="1EE157F4" w14:textId="03D709E7" w:rsidR="00F33AB8" w:rsidRPr="00F33AB8" w:rsidRDefault="002D6B55" w:rsidP="00C324F3">
            <w:pPr>
              <w:pStyle w:val="Tablewriting"/>
              <w:numPr>
                <w:ilvl w:val="0"/>
                <w:numId w:val="176"/>
              </w:numPr>
              <w:rPr>
                <w:rFonts w:eastAsia="MS Mincho" w:cstheme="minorHAnsi"/>
              </w:rPr>
            </w:pPr>
            <w:r w:rsidRPr="002D6B55">
              <w:rPr>
                <w:rFonts w:eastAsia="MS Mincho" w:cstheme="minorHAnsi"/>
              </w:rPr>
              <w:lastRenderedPageBreak/>
              <w:t>Bupropion + lozenge (duration and dosage as above)</w:t>
            </w:r>
            <w:r w:rsidR="00F33AB8">
              <w:rPr>
                <w:rFonts w:eastAsia="MS Mincho" w:cstheme="minorHAnsi"/>
              </w:rPr>
              <w:t>.</w:t>
            </w:r>
          </w:p>
          <w:p w14:paraId="5B2C81C7" w14:textId="466B9A64" w:rsidR="00F536ED" w:rsidRPr="00017AE6" w:rsidRDefault="002D6B55" w:rsidP="00C324F3">
            <w:pPr>
              <w:pStyle w:val="Tablewriting"/>
              <w:numPr>
                <w:ilvl w:val="0"/>
                <w:numId w:val="176"/>
              </w:numPr>
              <w:rPr>
                <w:rFonts w:eastAsia="MS Mincho" w:cstheme="minorHAnsi"/>
              </w:rPr>
            </w:pPr>
            <w:r w:rsidRPr="002D6B55">
              <w:rPr>
                <w:rFonts w:eastAsia="MS Mincho" w:cstheme="minorHAnsi"/>
              </w:rPr>
              <w:t>Placebo (5 groups matched to above 5 interventions)</w:t>
            </w:r>
            <w:r w:rsidR="00F33AB8">
              <w:rPr>
                <w:rFonts w:eastAsia="MS Mincho" w:cstheme="minorHAnsi"/>
              </w:rPr>
              <w:t>.</w:t>
            </w:r>
          </w:p>
        </w:tc>
        <w:tc>
          <w:tcPr>
            <w:tcW w:w="1008" w:type="pct"/>
          </w:tcPr>
          <w:p w14:paraId="24C97FCE" w14:textId="28B1A2CA" w:rsidR="00F33AB8" w:rsidRDefault="00F536ED" w:rsidP="00A71365">
            <w:pPr>
              <w:pStyle w:val="Tablewriting"/>
              <w:rPr>
                <w:rFonts w:eastAsia="MS Mincho" w:cstheme="minorHAnsi"/>
              </w:rPr>
            </w:pPr>
            <w:r>
              <w:rPr>
                <w:rFonts w:eastAsia="MS Mincho" w:cstheme="minorHAnsi"/>
                <w:u w:val="single"/>
              </w:rPr>
              <w:lastRenderedPageBreak/>
              <w:t>Efficacy:</w:t>
            </w:r>
            <w:r w:rsidR="00F33AB8">
              <w:t xml:space="preserve"> </w:t>
            </w:r>
            <w:r w:rsidR="00F33AB8" w:rsidRPr="00F33AB8">
              <w:rPr>
                <w:rFonts w:eastAsia="MS Mincho" w:cstheme="minorHAnsi"/>
              </w:rPr>
              <w:t>7-day PPA at 6</w:t>
            </w:r>
            <w:r w:rsidR="00935F9B">
              <w:rPr>
                <w:rFonts w:eastAsia="MS Mincho" w:cstheme="minorHAnsi"/>
              </w:rPr>
              <w:t xml:space="preserve"> </w:t>
            </w:r>
            <w:r w:rsidR="00F33AB8" w:rsidRPr="00F33AB8">
              <w:rPr>
                <w:rFonts w:eastAsia="MS Mincho" w:cstheme="minorHAnsi"/>
              </w:rPr>
              <w:t>m</w:t>
            </w:r>
            <w:r w:rsidR="00935F9B">
              <w:rPr>
                <w:rFonts w:eastAsia="MS Mincho" w:cstheme="minorHAnsi"/>
              </w:rPr>
              <w:t xml:space="preserve">onths, </w:t>
            </w:r>
            <w:r w:rsidR="00F33AB8" w:rsidRPr="00F33AB8">
              <w:rPr>
                <w:rFonts w:eastAsia="MS Mincho" w:cstheme="minorHAnsi"/>
              </w:rPr>
              <w:t>initial cessation</w:t>
            </w:r>
            <w:r w:rsidR="00F33AB8">
              <w:rPr>
                <w:rFonts w:eastAsia="MS Mincho" w:cstheme="minorHAnsi"/>
              </w:rPr>
              <w:t>.</w:t>
            </w:r>
          </w:p>
          <w:p w14:paraId="07B9C042" w14:textId="77777777" w:rsidR="00F33AB8" w:rsidRPr="00F33AB8" w:rsidRDefault="00F33AB8" w:rsidP="00A71365">
            <w:pPr>
              <w:pStyle w:val="Tablewriting"/>
              <w:rPr>
                <w:rFonts w:eastAsia="MS Mincho" w:cstheme="minorHAnsi"/>
              </w:rPr>
            </w:pPr>
          </w:p>
          <w:p w14:paraId="6138D933" w14:textId="3DDF4B23" w:rsidR="00F33AB8" w:rsidRDefault="00F33AB8" w:rsidP="00A71365">
            <w:pPr>
              <w:pStyle w:val="Tablewriting"/>
              <w:rPr>
                <w:rFonts w:eastAsia="MS Mincho" w:cstheme="minorHAnsi"/>
              </w:rPr>
            </w:pPr>
            <w:r w:rsidRPr="00F33AB8">
              <w:rPr>
                <w:rFonts w:eastAsia="MS Mincho" w:cstheme="minorHAnsi"/>
              </w:rPr>
              <w:t>Validation: CO &lt; 10 ppm</w:t>
            </w:r>
            <w:r>
              <w:rPr>
                <w:rFonts w:eastAsia="MS Mincho" w:cstheme="minorHAnsi"/>
              </w:rPr>
              <w:t>.</w:t>
            </w:r>
          </w:p>
          <w:p w14:paraId="20918532" w14:textId="77777777" w:rsidR="00F536ED" w:rsidRDefault="00F536ED" w:rsidP="00A71365">
            <w:pPr>
              <w:pStyle w:val="Tablewriting"/>
              <w:rPr>
                <w:rFonts w:eastAsia="MS Mincho" w:cstheme="minorHAnsi"/>
                <w:u w:val="single"/>
              </w:rPr>
            </w:pPr>
          </w:p>
          <w:p w14:paraId="59969E31" w14:textId="7B2E5BE6" w:rsidR="00EB6615" w:rsidRPr="00F33AB8" w:rsidRDefault="00F536ED" w:rsidP="00A71365">
            <w:pPr>
              <w:pStyle w:val="Tablewriting"/>
              <w:rPr>
                <w:rFonts w:eastAsia="MS Mincho" w:cstheme="minorHAnsi"/>
              </w:rPr>
            </w:pPr>
            <w:r>
              <w:rPr>
                <w:rFonts w:eastAsia="MS Mincho" w:cstheme="minorHAnsi"/>
                <w:u w:val="single"/>
              </w:rPr>
              <w:t>Safety:</w:t>
            </w:r>
            <w:r w:rsidR="00EB6615">
              <w:rPr>
                <w:rFonts w:eastAsia="MS Mincho" w:cstheme="minorHAnsi"/>
                <w:u w:val="single"/>
              </w:rPr>
              <w:t xml:space="preserve"> </w:t>
            </w:r>
            <w:r w:rsidR="00EB6615" w:rsidRPr="00F33AB8">
              <w:rPr>
                <w:rFonts w:eastAsia="MS Mincho" w:cstheme="minorHAnsi"/>
              </w:rPr>
              <w:t>Adverse events</w:t>
            </w:r>
            <w:r w:rsidR="00EB6615">
              <w:rPr>
                <w:rFonts w:eastAsia="MS Mincho" w:cstheme="minorHAnsi"/>
              </w:rPr>
              <w:t xml:space="preserve"> </w:t>
            </w:r>
            <w:r w:rsidR="00EB6615" w:rsidRPr="00F33AB8">
              <w:rPr>
                <w:rFonts w:eastAsia="MS Mincho" w:cstheme="minorHAnsi"/>
              </w:rPr>
              <w:t>measured at study visits during treatment (8 weeks)</w:t>
            </w:r>
          </w:p>
          <w:p w14:paraId="557BA06F" w14:textId="023FAA87" w:rsidR="00F536ED" w:rsidRPr="004272CD" w:rsidRDefault="00F536ED" w:rsidP="00A71365">
            <w:pPr>
              <w:pStyle w:val="Tablewriting"/>
              <w:rPr>
                <w:rFonts w:eastAsia="MS Mincho" w:cstheme="minorHAnsi"/>
                <w:u w:val="single"/>
              </w:rPr>
            </w:pPr>
          </w:p>
        </w:tc>
      </w:tr>
      <w:tr w:rsidR="00F536ED" w:rsidRPr="00017AE6" w14:paraId="0E2594D0" w14:textId="77777777" w:rsidTr="005821B1">
        <w:trPr>
          <w:trHeight w:val="99"/>
        </w:trPr>
        <w:tc>
          <w:tcPr>
            <w:tcW w:w="495" w:type="pct"/>
          </w:tcPr>
          <w:p w14:paraId="2574E854" w14:textId="47EA1EC4" w:rsidR="00F536ED" w:rsidRPr="00017AE6" w:rsidRDefault="00F536ED" w:rsidP="00A71365">
            <w:pPr>
              <w:pStyle w:val="Tablewriting"/>
              <w:rPr>
                <w:rFonts w:eastAsia="MS Mincho" w:cstheme="minorHAnsi"/>
              </w:rPr>
            </w:pPr>
            <w:r>
              <w:rPr>
                <w:rFonts w:eastAsia="MS Mincho" w:cstheme="minorHAnsi"/>
              </w:rPr>
              <w:t xml:space="preserve"> </w:t>
            </w:r>
            <w:r w:rsidRPr="00FC50B4">
              <w:rPr>
                <w:rFonts w:eastAsia="MS Mincho" w:cstheme="minorHAnsi"/>
              </w:rPr>
              <w:t xml:space="preserve">Smith </w:t>
            </w:r>
            <w:r w:rsidR="00991AC5">
              <w:rPr>
                <w:rFonts w:eastAsia="MS Mincho" w:cstheme="minorHAnsi"/>
              </w:rPr>
              <w:t>(</w:t>
            </w:r>
            <w:r w:rsidRPr="00FC50B4">
              <w:rPr>
                <w:rFonts w:eastAsia="MS Mincho" w:cstheme="minorHAnsi"/>
              </w:rPr>
              <w:t>2009</w:t>
            </w:r>
            <w:r w:rsidR="00991AC5">
              <w:rPr>
                <w:rFonts w:eastAsia="MS Mincho" w:cstheme="minorHAnsi"/>
              </w:rPr>
              <w:t>)</w:t>
            </w:r>
          </w:p>
        </w:tc>
        <w:tc>
          <w:tcPr>
            <w:tcW w:w="235" w:type="pct"/>
          </w:tcPr>
          <w:p w14:paraId="1101AC38" w14:textId="57B30904"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0838A1AF" w14:textId="59F8BB44" w:rsidR="00F536ED" w:rsidRPr="00017AE6" w:rsidRDefault="00DB4A11" w:rsidP="00A71365">
            <w:pPr>
              <w:pStyle w:val="Tablewriting"/>
              <w:rPr>
                <w:rFonts w:eastAsia="MS Mincho" w:cstheme="minorHAnsi"/>
              </w:rPr>
            </w:pPr>
            <w:r>
              <w:rPr>
                <w:rFonts w:eastAsia="MS Mincho" w:cstheme="minorHAnsi"/>
              </w:rPr>
              <w:t>USA</w:t>
            </w:r>
          </w:p>
        </w:tc>
        <w:tc>
          <w:tcPr>
            <w:tcW w:w="358" w:type="pct"/>
          </w:tcPr>
          <w:p w14:paraId="7F9F7908" w14:textId="4781C79E" w:rsidR="00F536ED" w:rsidRPr="00017AE6" w:rsidRDefault="00F536ED" w:rsidP="00A71365">
            <w:pPr>
              <w:pStyle w:val="Tablewriting"/>
              <w:rPr>
                <w:rFonts w:eastAsia="MS Mincho" w:cstheme="minorHAnsi"/>
              </w:rPr>
            </w:pPr>
            <w:r w:rsidRPr="003A1845">
              <w:rPr>
                <w:rFonts w:eastAsia="MS Mincho" w:cstheme="minorHAnsi"/>
              </w:rPr>
              <w:t>N=</w:t>
            </w:r>
            <w:r w:rsidR="00EE72B2">
              <w:rPr>
                <w:rFonts w:eastAsia="MS Mincho" w:cstheme="minorHAnsi"/>
              </w:rPr>
              <w:t>1346</w:t>
            </w:r>
          </w:p>
        </w:tc>
        <w:tc>
          <w:tcPr>
            <w:tcW w:w="1176" w:type="pct"/>
          </w:tcPr>
          <w:p w14:paraId="5CD00F48" w14:textId="3A7EA0DE" w:rsidR="00EE72B2" w:rsidRPr="00EE72B2" w:rsidRDefault="00852606" w:rsidP="00A71365">
            <w:pPr>
              <w:pStyle w:val="Tablewriting"/>
              <w:rPr>
                <w:rFonts w:eastAsia="MS Mincho" w:cstheme="minorHAnsi"/>
              </w:rPr>
            </w:pPr>
            <w:r>
              <w:rPr>
                <w:rFonts w:eastAsia="MS Mincho" w:cstheme="minorHAnsi"/>
              </w:rPr>
              <w:t>S</w:t>
            </w:r>
            <w:r w:rsidR="00EE72B2" w:rsidRPr="00EE72B2">
              <w:rPr>
                <w:rFonts w:eastAsia="MS Mincho" w:cstheme="minorHAnsi"/>
              </w:rPr>
              <w:t xml:space="preserve">mokers of &gt; 10 </w:t>
            </w:r>
            <w:r w:rsidR="00EE72B2">
              <w:rPr>
                <w:rFonts w:eastAsia="MS Mincho" w:cstheme="minorHAnsi"/>
              </w:rPr>
              <w:t>CPD</w:t>
            </w:r>
            <w:r w:rsidR="00EE72B2" w:rsidRPr="00EE72B2">
              <w:rPr>
                <w:rFonts w:eastAsia="MS Mincho" w:cstheme="minorHAnsi"/>
              </w:rPr>
              <w:t xml:space="preserve"> for past 6 m</w:t>
            </w:r>
            <w:r w:rsidR="00EB6615">
              <w:rPr>
                <w:rFonts w:eastAsia="MS Mincho" w:cstheme="minorHAnsi"/>
              </w:rPr>
              <w:t>onths</w:t>
            </w:r>
            <w:r w:rsidR="00630DF7">
              <w:rPr>
                <w:rFonts w:eastAsia="MS Mincho" w:cstheme="minorHAnsi"/>
              </w:rPr>
              <w:t xml:space="preserve">, </w:t>
            </w:r>
            <w:r w:rsidR="00630DF7" w:rsidRPr="00EE72B2">
              <w:rPr>
                <w:rFonts w:eastAsia="MS Mincho" w:cstheme="minorHAnsi"/>
              </w:rPr>
              <w:t>motivated to quit</w:t>
            </w:r>
            <w:r w:rsidR="00630DF7">
              <w:rPr>
                <w:rFonts w:eastAsia="MS Mincho" w:cstheme="minorHAnsi"/>
              </w:rPr>
              <w:t>.</w:t>
            </w:r>
          </w:p>
          <w:p w14:paraId="23F32C88" w14:textId="611CAF51" w:rsidR="00F536ED" w:rsidRPr="00017AE6" w:rsidRDefault="00EE72B2" w:rsidP="00A71365">
            <w:pPr>
              <w:pStyle w:val="Tablewriting"/>
              <w:rPr>
                <w:rFonts w:eastAsia="MS Mincho" w:cstheme="minorHAnsi"/>
              </w:rPr>
            </w:pPr>
            <w:r w:rsidRPr="00EE72B2">
              <w:rPr>
                <w:rFonts w:eastAsia="MS Mincho" w:cstheme="minorHAnsi"/>
              </w:rPr>
              <w:t>44% men, av</w:t>
            </w:r>
            <w:r w:rsidR="00630DF7">
              <w:rPr>
                <w:rFonts w:eastAsia="MS Mincho" w:cstheme="minorHAnsi"/>
              </w:rPr>
              <w:t xml:space="preserve">erage </w:t>
            </w:r>
            <w:r w:rsidRPr="00EE72B2">
              <w:rPr>
                <w:rFonts w:eastAsia="MS Mincho" w:cstheme="minorHAnsi"/>
              </w:rPr>
              <w:t>age 44</w:t>
            </w:r>
            <w:r w:rsidR="00630DF7">
              <w:rPr>
                <w:rFonts w:eastAsia="MS Mincho" w:cstheme="minorHAnsi"/>
              </w:rPr>
              <w:t xml:space="preserve"> years</w:t>
            </w:r>
            <w:r w:rsidRPr="00EE72B2">
              <w:rPr>
                <w:rFonts w:eastAsia="MS Mincho" w:cstheme="minorHAnsi"/>
              </w:rPr>
              <w:t>, av</w:t>
            </w:r>
            <w:r w:rsidR="00630DF7">
              <w:rPr>
                <w:rFonts w:eastAsia="MS Mincho" w:cstheme="minorHAnsi"/>
              </w:rPr>
              <w:t>erage</w:t>
            </w:r>
            <w:r w:rsidRPr="00EE72B2">
              <w:rPr>
                <w:rFonts w:eastAsia="MS Mincho" w:cstheme="minorHAnsi"/>
              </w:rPr>
              <w:t xml:space="preserve"> </w:t>
            </w:r>
            <w:r w:rsidR="008B4D4E">
              <w:rPr>
                <w:rFonts w:eastAsia="MS Mincho" w:cstheme="minorHAnsi"/>
              </w:rPr>
              <w:t>CPD</w:t>
            </w:r>
            <w:r w:rsidRPr="00EE72B2">
              <w:rPr>
                <w:rFonts w:eastAsia="MS Mincho" w:cstheme="minorHAnsi"/>
              </w:rPr>
              <w:t xml:space="preserve"> 20.3</w:t>
            </w:r>
            <w:r w:rsidR="00630DF7">
              <w:rPr>
                <w:rFonts w:eastAsia="MS Mincho" w:cstheme="minorHAnsi"/>
              </w:rPr>
              <w:t>.</w:t>
            </w:r>
          </w:p>
        </w:tc>
        <w:tc>
          <w:tcPr>
            <w:tcW w:w="1295" w:type="pct"/>
          </w:tcPr>
          <w:p w14:paraId="3A01B712" w14:textId="02CA12B2"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Bupropion only (up-titrated during w</w:t>
            </w:r>
            <w:r w:rsidR="00922006">
              <w:rPr>
                <w:rFonts w:eastAsia="MS Mincho" w:cstheme="minorHAnsi"/>
              </w:rPr>
              <w:t>ee</w:t>
            </w:r>
            <w:r w:rsidRPr="008B4D4E">
              <w:rPr>
                <w:rFonts w:eastAsia="MS Mincho" w:cstheme="minorHAnsi"/>
              </w:rPr>
              <w:t>k pre-quitting, 150 mg twice a day for 8 w</w:t>
            </w:r>
            <w:r w:rsidR="00922006">
              <w:rPr>
                <w:rFonts w:eastAsia="MS Mincho" w:cstheme="minorHAnsi"/>
              </w:rPr>
              <w:t>ee</w:t>
            </w:r>
            <w:r w:rsidRPr="008B4D4E">
              <w:rPr>
                <w:rFonts w:eastAsia="MS Mincho" w:cstheme="minorHAnsi"/>
              </w:rPr>
              <w:t>ks post-quit)</w:t>
            </w:r>
          </w:p>
          <w:p w14:paraId="7B008551" w14:textId="77777777" w:rsidR="000F0AEC" w:rsidRDefault="008B4D4E" w:rsidP="00C324F3">
            <w:pPr>
              <w:pStyle w:val="Tablewriting"/>
              <w:numPr>
                <w:ilvl w:val="0"/>
                <w:numId w:val="177"/>
              </w:numPr>
              <w:rPr>
                <w:rFonts w:eastAsia="MS Mincho" w:cstheme="minorHAnsi"/>
              </w:rPr>
            </w:pPr>
            <w:r w:rsidRPr="008B4D4E">
              <w:rPr>
                <w:rFonts w:eastAsia="MS Mincho" w:cstheme="minorHAnsi"/>
              </w:rPr>
              <w:t>Nicotine lozenge only (4 mg lozenge if first cig of day smoked &gt; 30 mins after waking, 2 mg otherwise.</w:t>
            </w:r>
          </w:p>
          <w:p w14:paraId="541D55BE" w14:textId="33D12EE3" w:rsidR="008B4D4E" w:rsidRPr="000F0AEC" w:rsidRDefault="008B4D4E" w:rsidP="00A71365">
            <w:pPr>
              <w:pStyle w:val="Tablewriting"/>
              <w:ind w:left="502"/>
              <w:rPr>
                <w:rFonts w:eastAsia="MS Mincho" w:cstheme="minorHAnsi"/>
              </w:rPr>
            </w:pPr>
            <w:r w:rsidRPr="000F0AEC">
              <w:rPr>
                <w:rFonts w:eastAsia="MS Mincho" w:cstheme="minorHAnsi"/>
              </w:rPr>
              <w:t>1 lozenge every 1 - 2 hrs post-quit w</w:t>
            </w:r>
            <w:r w:rsidR="00922006" w:rsidRPr="000F0AEC">
              <w:rPr>
                <w:rFonts w:eastAsia="MS Mincho" w:cstheme="minorHAnsi"/>
              </w:rPr>
              <w:t>ee</w:t>
            </w:r>
            <w:r w:rsidRPr="000F0AEC">
              <w:rPr>
                <w:rFonts w:eastAsia="MS Mincho" w:cstheme="minorHAnsi"/>
              </w:rPr>
              <w:t>k 1 - 6; 1 lozenge every 2 - 4 hrs w</w:t>
            </w:r>
            <w:r w:rsidR="00922006" w:rsidRPr="000F0AEC">
              <w:rPr>
                <w:rFonts w:eastAsia="MS Mincho" w:cstheme="minorHAnsi"/>
              </w:rPr>
              <w:t>ee</w:t>
            </w:r>
            <w:r w:rsidRPr="000F0AEC">
              <w:rPr>
                <w:rFonts w:eastAsia="MS Mincho" w:cstheme="minorHAnsi"/>
              </w:rPr>
              <w:t>k 7 - 9; 1 lozenge every 4 - 8 hrs w</w:t>
            </w:r>
            <w:r w:rsidR="009A2F30" w:rsidRPr="000F0AEC">
              <w:rPr>
                <w:rFonts w:eastAsia="MS Mincho" w:cstheme="minorHAnsi"/>
              </w:rPr>
              <w:t>ee</w:t>
            </w:r>
            <w:r w:rsidRPr="000F0AEC">
              <w:rPr>
                <w:rFonts w:eastAsia="MS Mincho" w:cstheme="minorHAnsi"/>
              </w:rPr>
              <w:t>k 10 - 12)</w:t>
            </w:r>
          </w:p>
          <w:p w14:paraId="046F2E66" w14:textId="710335A7"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Nicotine patch only (21 mg post-quit w</w:t>
            </w:r>
            <w:r w:rsidR="009A2F30">
              <w:rPr>
                <w:rFonts w:eastAsia="MS Mincho" w:cstheme="minorHAnsi"/>
              </w:rPr>
              <w:t>ee</w:t>
            </w:r>
            <w:r w:rsidRPr="008B4D4E">
              <w:rPr>
                <w:rFonts w:eastAsia="MS Mincho" w:cstheme="minorHAnsi"/>
              </w:rPr>
              <w:t>k 1 - 4; 14 mg w</w:t>
            </w:r>
            <w:r w:rsidR="009A2F30">
              <w:rPr>
                <w:rFonts w:eastAsia="MS Mincho" w:cstheme="minorHAnsi"/>
              </w:rPr>
              <w:t>ee</w:t>
            </w:r>
            <w:r w:rsidRPr="008B4D4E">
              <w:rPr>
                <w:rFonts w:eastAsia="MS Mincho" w:cstheme="minorHAnsi"/>
              </w:rPr>
              <w:t>k 5 - 6; 7 mg w</w:t>
            </w:r>
            <w:r w:rsidR="009A2F30">
              <w:rPr>
                <w:rFonts w:eastAsia="MS Mincho" w:cstheme="minorHAnsi"/>
              </w:rPr>
              <w:t>ee</w:t>
            </w:r>
            <w:r w:rsidRPr="008B4D4E">
              <w:rPr>
                <w:rFonts w:eastAsia="MS Mincho" w:cstheme="minorHAnsi"/>
              </w:rPr>
              <w:t>k 7 - 8)</w:t>
            </w:r>
            <w:r>
              <w:rPr>
                <w:rFonts w:eastAsia="MS Mincho" w:cstheme="minorHAnsi"/>
              </w:rPr>
              <w:t>.</w:t>
            </w:r>
          </w:p>
          <w:p w14:paraId="3853A066" w14:textId="7FC1693E" w:rsidR="008B4D4E" w:rsidRPr="008B4D4E" w:rsidRDefault="008B4D4E" w:rsidP="00C324F3">
            <w:pPr>
              <w:pStyle w:val="Tablewriting"/>
              <w:numPr>
                <w:ilvl w:val="0"/>
                <w:numId w:val="177"/>
              </w:numPr>
              <w:rPr>
                <w:rFonts w:eastAsia="MS Mincho" w:cstheme="minorHAnsi"/>
              </w:rPr>
            </w:pPr>
            <w:r w:rsidRPr="008B4D4E">
              <w:rPr>
                <w:rFonts w:eastAsia="MS Mincho" w:cstheme="minorHAnsi"/>
              </w:rPr>
              <w:t>Bupropion and lozenge (dosage as above)</w:t>
            </w:r>
            <w:r>
              <w:rPr>
                <w:rFonts w:eastAsia="MS Mincho" w:cstheme="minorHAnsi"/>
              </w:rPr>
              <w:t>.</w:t>
            </w:r>
          </w:p>
          <w:p w14:paraId="4300245D" w14:textId="20028A4C" w:rsidR="00F536ED" w:rsidRPr="00017AE6" w:rsidRDefault="008B4D4E" w:rsidP="00C324F3">
            <w:pPr>
              <w:pStyle w:val="Tablewriting"/>
              <w:numPr>
                <w:ilvl w:val="0"/>
                <w:numId w:val="177"/>
              </w:numPr>
              <w:rPr>
                <w:rFonts w:eastAsia="MS Mincho" w:cstheme="minorHAnsi"/>
              </w:rPr>
            </w:pPr>
            <w:r w:rsidRPr="008B4D4E">
              <w:rPr>
                <w:rFonts w:eastAsia="MS Mincho" w:cstheme="minorHAnsi"/>
              </w:rPr>
              <w:t>Patch and lozenge (dosage as above)</w:t>
            </w:r>
            <w:r>
              <w:rPr>
                <w:rFonts w:eastAsia="MS Mincho" w:cstheme="minorHAnsi"/>
              </w:rPr>
              <w:t>.</w:t>
            </w:r>
          </w:p>
        </w:tc>
        <w:tc>
          <w:tcPr>
            <w:tcW w:w="1008" w:type="pct"/>
          </w:tcPr>
          <w:p w14:paraId="4CAEC973" w14:textId="40F28ACA" w:rsidR="0095547F" w:rsidRDefault="0095547F" w:rsidP="00A71365">
            <w:pPr>
              <w:pStyle w:val="Tablewriting"/>
              <w:rPr>
                <w:rFonts w:eastAsia="MS Mincho" w:cstheme="minorHAnsi"/>
                <w:u w:val="single"/>
              </w:rPr>
            </w:pPr>
            <w:r>
              <w:rPr>
                <w:rFonts w:eastAsia="MS Mincho" w:cstheme="minorHAnsi"/>
                <w:u w:val="single"/>
              </w:rPr>
              <w:t>Efficacy:</w:t>
            </w:r>
            <w:r w:rsidR="00514E5A">
              <w:t xml:space="preserve"> </w:t>
            </w:r>
            <w:r w:rsidR="00514E5A" w:rsidRPr="00514E5A">
              <w:rPr>
                <w:rFonts w:eastAsia="MS Mincho" w:cstheme="minorHAnsi"/>
              </w:rPr>
              <w:t>7-day PPA at 6 m</w:t>
            </w:r>
            <w:r w:rsidR="000F0AEC">
              <w:rPr>
                <w:rFonts w:eastAsia="MS Mincho" w:cstheme="minorHAnsi"/>
              </w:rPr>
              <w:t>onths</w:t>
            </w:r>
            <w:r w:rsidR="00514E5A" w:rsidRPr="00514E5A">
              <w:rPr>
                <w:rFonts w:eastAsia="MS Mincho" w:cstheme="minorHAnsi"/>
              </w:rPr>
              <w:t xml:space="preserve"> and number of days to relapse</w:t>
            </w:r>
            <w:r w:rsidR="000F0AEC">
              <w:rPr>
                <w:rFonts w:eastAsia="MS Mincho" w:cstheme="minorHAnsi"/>
              </w:rPr>
              <w:t>.</w:t>
            </w:r>
          </w:p>
          <w:p w14:paraId="687326D4" w14:textId="77777777" w:rsidR="0095547F" w:rsidRDefault="0095547F" w:rsidP="00A71365">
            <w:pPr>
              <w:pStyle w:val="Tablewriting"/>
              <w:rPr>
                <w:rFonts w:eastAsia="MS Mincho" w:cstheme="minorHAnsi"/>
                <w:u w:val="single"/>
              </w:rPr>
            </w:pPr>
          </w:p>
          <w:p w14:paraId="63B61984" w14:textId="33C32F2A" w:rsidR="00514E5A" w:rsidRDefault="00514E5A" w:rsidP="00A71365">
            <w:pPr>
              <w:pStyle w:val="Tablewriting"/>
              <w:rPr>
                <w:rFonts w:eastAsia="MS Mincho" w:cstheme="minorHAnsi"/>
              </w:rPr>
            </w:pPr>
            <w:r w:rsidRPr="00514E5A">
              <w:rPr>
                <w:rFonts w:eastAsia="MS Mincho" w:cstheme="minorHAnsi"/>
              </w:rPr>
              <w:t>Validation: none</w:t>
            </w:r>
            <w:r w:rsidR="000F0AEC">
              <w:rPr>
                <w:rFonts w:eastAsia="MS Mincho" w:cstheme="minorHAnsi"/>
              </w:rPr>
              <w:t>.</w:t>
            </w:r>
          </w:p>
          <w:p w14:paraId="5DCC018B" w14:textId="77777777" w:rsidR="00514E5A" w:rsidRPr="00514E5A" w:rsidRDefault="00514E5A" w:rsidP="00A71365">
            <w:pPr>
              <w:pStyle w:val="Tablewriting"/>
              <w:rPr>
                <w:rFonts w:eastAsia="MS Mincho" w:cstheme="minorHAnsi"/>
              </w:rPr>
            </w:pPr>
          </w:p>
          <w:p w14:paraId="4EF6D196" w14:textId="65B6D14E" w:rsidR="000F0AEC" w:rsidRPr="00514E5A" w:rsidRDefault="0095547F" w:rsidP="00A71365">
            <w:pPr>
              <w:pStyle w:val="Tablewriting"/>
              <w:rPr>
                <w:rFonts w:eastAsia="MS Mincho" w:cstheme="minorHAnsi"/>
              </w:rPr>
            </w:pPr>
            <w:r>
              <w:rPr>
                <w:rFonts w:eastAsia="MS Mincho" w:cstheme="minorHAnsi"/>
                <w:u w:val="single"/>
              </w:rPr>
              <w:t>Safety:</w:t>
            </w:r>
            <w:r w:rsidR="000F0AEC">
              <w:rPr>
                <w:rFonts w:eastAsia="MS Mincho" w:cstheme="minorHAnsi"/>
                <w:u w:val="single"/>
              </w:rPr>
              <w:t xml:space="preserve"> </w:t>
            </w:r>
            <w:r w:rsidR="000F0AEC" w:rsidRPr="00514E5A">
              <w:rPr>
                <w:rFonts w:eastAsia="MS Mincho" w:cstheme="minorHAnsi"/>
              </w:rPr>
              <w:t>Adverse events</w:t>
            </w:r>
            <w:r w:rsidR="000F0AEC">
              <w:rPr>
                <w:rFonts w:eastAsia="MS Mincho" w:cstheme="minorHAnsi"/>
              </w:rPr>
              <w:t xml:space="preserve"> </w:t>
            </w:r>
            <w:r w:rsidR="000F0AEC" w:rsidRPr="00514E5A">
              <w:rPr>
                <w:rFonts w:eastAsia="MS Mincho" w:cstheme="minorHAnsi"/>
              </w:rPr>
              <w:t>not measured</w:t>
            </w:r>
            <w:r w:rsidR="001F397E">
              <w:rPr>
                <w:rFonts w:eastAsia="MS Mincho" w:cstheme="minorHAnsi"/>
              </w:rPr>
              <w:t>.</w:t>
            </w:r>
            <w:r w:rsidR="00786820">
              <w:rPr>
                <w:rFonts w:eastAsia="MS Mincho" w:cstheme="minorHAnsi"/>
              </w:rPr>
              <w:t xml:space="preserve"> </w:t>
            </w:r>
          </w:p>
          <w:p w14:paraId="777FDE25" w14:textId="6DD3539C" w:rsidR="00F536ED" w:rsidRPr="004272CD" w:rsidRDefault="00F536ED" w:rsidP="00A71365">
            <w:pPr>
              <w:pStyle w:val="Tablewriting"/>
              <w:rPr>
                <w:rFonts w:eastAsia="MS Mincho" w:cstheme="minorHAnsi"/>
                <w:u w:val="single"/>
              </w:rPr>
            </w:pPr>
          </w:p>
        </w:tc>
      </w:tr>
      <w:tr w:rsidR="00F536ED" w:rsidRPr="00017AE6" w14:paraId="641666F8" w14:textId="77777777" w:rsidTr="005821B1">
        <w:trPr>
          <w:trHeight w:val="99"/>
        </w:trPr>
        <w:tc>
          <w:tcPr>
            <w:tcW w:w="495" w:type="pct"/>
          </w:tcPr>
          <w:p w14:paraId="52CAA117" w14:textId="6C715615" w:rsidR="00F536ED" w:rsidRPr="00017AE6" w:rsidRDefault="00F536ED" w:rsidP="00A71365">
            <w:pPr>
              <w:pStyle w:val="Tablewriting"/>
              <w:rPr>
                <w:rFonts w:eastAsia="MS Mincho" w:cstheme="minorHAnsi"/>
              </w:rPr>
            </w:pPr>
            <w:r w:rsidRPr="00FC50B4">
              <w:rPr>
                <w:rFonts w:eastAsia="MS Mincho" w:cstheme="minorHAnsi"/>
              </w:rPr>
              <w:t xml:space="preserve">Smith </w:t>
            </w:r>
            <w:r w:rsidR="00991AC5">
              <w:rPr>
                <w:rFonts w:eastAsia="MS Mincho" w:cstheme="minorHAnsi"/>
              </w:rPr>
              <w:t>(</w:t>
            </w:r>
            <w:r w:rsidRPr="00FC50B4">
              <w:rPr>
                <w:rFonts w:eastAsia="MS Mincho" w:cstheme="minorHAnsi"/>
              </w:rPr>
              <w:t>2013</w:t>
            </w:r>
            <w:r w:rsidR="00991AC5">
              <w:rPr>
                <w:rFonts w:eastAsia="MS Mincho" w:cstheme="minorHAnsi"/>
              </w:rPr>
              <w:t>)</w:t>
            </w:r>
          </w:p>
        </w:tc>
        <w:tc>
          <w:tcPr>
            <w:tcW w:w="235" w:type="pct"/>
          </w:tcPr>
          <w:p w14:paraId="4292CBAB" w14:textId="0A6DC4BC"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149C3092" w14:textId="3CE54636" w:rsidR="00F536ED" w:rsidRPr="00017AE6" w:rsidRDefault="00276BE2" w:rsidP="00A71365">
            <w:pPr>
              <w:pStyle w:val="Tablewriting"/>
              <w:rPr>
                <w:rFonts w:eastAsia="MS Mincho" w:cstheme="minorHAnsi"/>
              </w:rPr>
            </w:pPr>
            <w:r>
              <w:rPr>
                <w:rFonts w:eastAsia="MS Mincho" w:cstheme="minorHAnsi"/>
              </w:rPr>
              <w:t>USA</w:t>
            </w:r>
          </w:p>
        </w:tc>
        <w:tc>
          <w:tcPr>
            <w:tcW w:w="358" w:type="pct"/>
          </w:tcPr>
          <w:p w14:paraId="47001586" w14:textId="79DF6F6B" w:rsidR="00F536ED" w:rsidRPr="00017AE6" w:rsidRDefault="00F536ED" w:rsidP="00A71365">
            <w:pPr>
              <w:pStyle w:val="Tablewriting"/>
              <w:rPr>
                <w:rFonts w:eastAsia="MS Mincho" w:cstheme="minorHAnsi"/>
              </w:rPr>
            </w:pPr>
            <w:r w:rsidRPr="003A1845">
              <w:rPr>
                <w:rFonts w:eastAsia="MS Mincho" w:cstheme="minorHAnsi"/>
              </w:rPr>
              <w:t>N=</w:t>
            </w:r>
            <w:r w:rsidR="00852606">
              <w:rPr>
                <w:rFonts w:eastAsia="MS Mincho" w:cstheme="minorHAnsi"/>
              </w:rPr>
              <w:t>987</w:t>
            </w:r>
          </w:p>
        </w:tc>
        <w:tc>
          <w:tcPr>
            <w:tcW w:w="1176" w:type="pct"/>
          </w:tcPr>
          <w:p w14:paraId="759E77F5" w14:textId="5DE26D81" w:rsidR="00852606" w:rsidRPr="00852606" w:rsidRDefault="00852606" w:rsidP="00A71365">
            <w:pPr>
              <w:pStyle w:val="Tablewriting"/>
              <w:rPr>
                <w:rFonts w:eastAsia="MS Mincho" w:cstheme="minorHAnsi"/>
              </w:rPr>
            </w:pPr>
            <w:r>
              <w:rPr>
                <w:rFonts w:eastAsia="MS Mincho" w:cstheme="minorHAnsi"/>
              </w:rPr>
              <w:t>S</w:t>
            </w:r>
            <w:r w:rsidRPr="00852606">
              <w:rPr>
                <w:rFonts w:eastAsia="MS Mincho" w:cstheme="minorHAnsi"/>
              </w:rPr>
              <w:t>mokers</w:t>
            </w:r>
            <w:r w:rsidR="004F2F07">
              <w:rPr>
                <w:rFonts w:eastAsia="MS Mincho" w:cstheme="minorHAnsi"/>
              </w:rPr>
              <w:t>,</w:t>
            </w:r>
            <w:r w:rsidRPr="00852606">
              <w:rPr>
                <w:rFonts w:eastAsia="MS Mincho" w:cstheme="minorHAnsi"/>
              </w:rPr>
              <w:t xml:space="preserve"> aged </w:t>
            </w:r>
            <w:r w:rsidR="00E632A9" w:rsidRPr="00E632A9">
              <w:rPr>
                <w:rFonts w:eastAsia="MS Mincho" w:cstheme="minorHAnsi"/>
              </w:rPr>
              <w:t>≥</w:t>
            </w:r>
            <w:r w:rsidRPr="00852606">
              <w:rPr>
                <w:rFonts w:eastAsia="MS Mincho" w:cstheme="minorHAnsi"/>
              </w:rPr>
              <w:t xml:space="preserve"> 18 years, </w:t>
            </w:r>
            <w:r w:rsidR="0051319E" w:rsidRPr="00E632A9">
              <w:rPr>
                <w:rFonts w:eastAsia="MS Mincho" w:cstheme="minorHAnsi"/>
              </w:rPr>
              <w:t>≥</w:t>
            </w:r>
            <w:r w:rsidRPr="00852606">
              <w:rPr>
                <w:rFonts w:eastAsia="MS Mincho" w:cstheme="minorHAnsi"/>
              </w:rPr>
              <w:t xml:space="preserve"> 10 </w:t>
            </w:r>
            <w:r>
              <w:rPr>
                <w:rFonts w:eastAsia="MS Mincho" w:cstheme="minorHAnsi"/>
              </w:rPr>
              <w:t>CPD</w:t>
            </w:r>
            <w:r w:rsidRPr="00852606">
              <w:rPr>
                <w:rFonts w:eastAsia="MS Mincho" w:cstheme="minorHAnsi"/>
              </w:rPr>
              <w:t>, willing to quit in next 30 days</w:t>
            </w:r>
          </w:p>
          <w:p w14:paraId="69469044" w14:textId="2DC302D7" w:rsidR="00F536ED" w:rsidRPr="00017AE6" w:rsidRDefault="00852606" w:rsidP="00A71365">
            <w:pPr>
              <w:pStyle w:val="Tablewriting"/>
              <w:rPr>
                <w:rFonts w:eastAsia="MS Mincho" w:cstheme="minorHAnsi"/>
              </w:rPr>
            </w:pPr>
            <w:r w:rsidRPr="00852606">
              <w:rPr>
                <w:rFonts w:eastAsia="MS Mincho" w:cstheme="minorHAnsi"/>
              </w:rPr>
              <w:t>42.4% men, av</w:t>
            </w:r>
            <w:r w:rsidR="00D77D1D">
              <w:rPr>
                <w:rFonts w:eastAsia="MS Mincho" w:cstheme="minorHAnsi"/>
              </w:rPr>
              <w:t>erage</w:t>
            </w:r>
            <w:r w:rsidRPr="00852606">
              <w:rPr>
                <w:rFonts w:eastAsia="MS Mincho" w:cstheme="minorHAnsi"/>
              </w:rPr>
              <w:t xml:space="preserve"> age 41.9</w:t>
            </w:r>
            <w:r w:rsidR="00D77D1D">
              <w:rPr>
                <w:rFonts w:eastAsia="MS Mincho" w:cstheme="minorHAnsi"/>
              </w:rPr>
              <w:t xml:space="preserve"> years</w:t>
            </w:r>
            <w:r w:rsidRPr="00852606">
              <w:rPr>
                <w:rFonts w:eastAsia="MS Mincho" w:cstheme="minorHAnsi"/>
              </w:rPr>
              <w:t>, av</w:t>
            </w:r>
            <w:r w:rsidR="004F2F07">
              <w:rPr>
                <w:rFonts w:eastAsia="MS Mincho" w:cstheme="minorHAnsi"/>
              </w:rPr>
              <w:t>erag</w:t>
            </w:r>
            <w:r w:rsidR="00E632A9">
              <w:rPr>
                <w:rFonts w:eastAsia="MS Mincho" w:cstheme="minorHAnsi"/>
              </w:rPr>
              <w:t xml:space="preserve">e </w:t>
            </w:r>
            <w:r>
              <w:rPr>
                <w:rFonts w:eastAsia="MS Mincho" w:cstheme="minorHAnsi"/>
              </w:rPr>
              <w:t>CPD</w:t>
            </w:r>
            <w:r w:rsidRPr="00852606">
              <w:rPr>
                <w:rFonts w:eastAsia="MS Mincho" w:cstheme="minorHAnsi"/>
              </w:rPr>
              <w:t xml:space="preserve"> 20.7, 85% of participants' time to first cigarette was within 5 mins,</w:t>
            </w:r>
            <w:r w:rsidR="00E632A9">
              <w:rPr>
                <w:rFonts w:eastAsia="MS Mincho" w:cstheme="minorHAnsi"/>
              </w:rPr>
              <w:t xml:space="preserve"> </w:t>
            </w:r>
            <w:r w:rsidRPr="00852606">
              <w:rPr>
                <w:rFonts w:eastAsia="MS Mincho" w:cstheme="minorHAnsi"/>
              </w:rPr>
              <w:t xml:space="preserve">mode category for number of previous quit attempts was 2 </w:t>
            </w:r>
            <w:r w:rsidR="00E632A9">
              <w:rPr>
                <w:rFonts w:eastAsia="MS Mincho" w:cstheme="minorHAnsi"/>
              </w:rPr>
              <w:t>–</w:t>
            </w:r>
            <w:r w:rsidRPr="00852606">
              <w:rPr>
                <w:rFonts w:eastAsia="MS Mincho" w:cstheme="minorHAnsi"/>
              </w:rPr>
              <w:t xml:space="preserve"> 5</w:t>
            </w:r>
            <w:r w:rsidR="00E632A9">
              <w:rPr>
                <w:rFonts w:eastAsia="MS Mincho" w:cstheme="minorHAnsi"/>
              </w:rPr>
              <w:t>.</w:t>
            </w:r>
          </w:p>
        </w:tc>
        <w:tc>
          <w:tcPr>
            <w:tcW w:w="1295" w:type="pct"/>
          </w:tcPr>
          <w:p w14:paraId="0A63046C" w14:textId="55B6B64F" w:rsidR="00CF4EF2" w:rsidRPr="002E10A1" w:rsidRDefault="00CF4EF2" w:rsidP="00C324F3">
            <w:pPr>
              <w:pStyle w:val="ListParagraph"/>
              <w:numPr>
                <w:ilvl w:val="0"/>
                <w:numId w:val="179"/>
              </w:numPr>
              <w:autoSpaceDE w:val="0"/>
              <w:autoSpaceDN w:val="0"/>
              <w:adjustRightInd w:val="0"/>
              <w:rPr>
                <w:rFonts w:asciiTheme="minorHAnsi" w:eastAsia="MS Mincho" w:hAnsiTheme="minorHAnsi" w:cstheme="minorHAnsi"/>
                <w:lang w:eastAsia="en-US"/>
              </w:rPr>
            </w:pPr>
            <w:r w:rsidRPr="002E10A1">
              <w:rPr>
                <w:rFonts w:asciiTheme="minorHAnsi" w:eastAsia="MS Mincho" w:hAnsiTheme="minorHAnsi" w:cstheme="minorHAnsi"/>
                <w:lang w:eastAsia="en-US"/>
              </w:rPr>
              <w:t>Nicotine patch vs nicotine patch and nicotine gum</w:t>
            </w:r>
            <w:r w:rsidR="004F2F07">
              <w:rPr>
                <w:rFonts w:asciiTheme="minorHAnsi" w:eastAsia="MS Mincho" w:hAnsiTheme="minorHAnsi" w:cstheme="minorHAnsi"/>
                <w:lang w:eastAsia="en-US"/>
              </w:rPr>
              <w:t>.</w:t>
            </w:r>
          </w:p>
          <w:p w14:paraId="13AD58BC" w14:textId="5D7CC638" w:rsidR="00CF4EF2" w:rsidRPr="00942AAE" w:rsidRDefault="00CF4EF2" w:rsidP="00C324F3">
            <w:pPr>
              <w:pStyle w:val="ListParagraph"/>
              <w:numPr>
                <w:ilvl w:val="0"/>
                <w:numId w:val="178"/>
              </w:numPr>
              <w:autoSpaceDE w:val="0"/>
              <w:autoSpaceDN w:val="0"/>
              <w:adjustRightInd w:val="0"/>
              <w:rPr>
                <w:rFonts w:asciiTheme="minorHAnsi" w:eastAsia="MS Mincho" w:hAnsiTheme="minorHAnsi" w:cstheme="minorHAnsi"/>
                <w:lang w:eastAsia="en-US"/>
              </w:rPr>
            </w:pPr>
            <w:r w:rsidRPr="00942AAE">
              <w:rPr>
                <w:rFonts w:asciiTheme="minorHAnsi" w:eastAsia="MS Mincho" w:hAnsiTheme="minorHAnsi" w:cstheme="minorHAnsi"/>
                <w:lang w:eastAsia="en-US"/>
              </w:rPr>
              <w:t>Two weeks NRT vs 6 weeks NRT</w:t>
            </w:r>
            <w:r w:rsidR="004F2F07">
              <w:rPr>
                <w:rFonts w:asciiTheme="minorHAnsi" w:eastAsia="MS Mincho" w:hAnsiTheme="minorHAnsi" w:cstheme="minorHAnsi"/>
                <w:lang w:eastAsia="en-US"/>
              </w:rPr>
              <w:t>.</w:t>
            </w:r>
          </w:p>
          <w:p w14:paraId="531971B2" w14:textId="4CD528F3" w:rsidR="00F536ED" w:rsidRPr="004F2F07" w:rsidRDefault="00CF4EF2" w:rsidP="00C324F3">
            <w:pPr>
              <w:pStyle w:val="Tablewriting"/>
              <w:numPr>
                <w:ilvl w:val="0"/>
                <w:numId w:val="178"/>
              </w:numPr>
              <w:rPr>
                <w:rFonts w:eastAsia="MS Mincho" w:cstheme="minorHAnsi"/>
              </w:rPr>
            </w:pPr>
            <w:r w:rsidRPr="00942AAE">
              <w:rPr>
                <w:rFonts w:eastAsia="MS Mincho" w:cstheme="minorHAnsi"/>
              </w:rPr>
              <w:t>Standard counselling vs medication adherence counselling</w:t>
            </w:r>
            <w:r w:rsidR="004F2F07">
              <w:rPr>
                <w:rFonts w:eastAsia="MS Mincho" w:cstheme="minorHAnsi"/>
              </w:rPr>
              <w:t>.</w:t>
            </w:r>
          </w:p>
        </w:tc>
        <w:tc>
          <w:tcPr>
            <w:tcW w:w="1008" w:type="pct"/>
          </w:tcPr>
          <w:p w14:paraId="2B715023" w14:textId="22123FEB" w:rsidR="000A6077" w:rsidRPr="000A6077" w:rsidRDefault="0095547F" w:rsidP="00A71365">
            <w:pPr>
              <w:pStyle w:val="Tablewriting"/>
              <w:rPr>
                <w:rFonts w:eastAsia="MS Mincho" w:cstheme="minorHAnsi"/>
                <w:u w:val="single"/>
              </w:rPr>
            </w:pPr>
            <w:r>
              <w:rPr>
                <w:rFonts w:eastAsia="MS Mincho" w:cstheme="minorHAnsi"/>
                <w:u w:val="single"/>
              </w:rPr>
              <w:t>Efficacy:</w:t>
            </w:r>
            <w:r w:rsidR="000A6077">
              <w:rPr>
                <w:rFonts w:eastAsia="MS Mincho" w:cstheme="minorHAnsi"/>
                <w:u w:val="single"/>
              </w:rPr>
              <w:t xml:space="preserve"> </w:t>
            </w:r>
            <w:r w:rsidR="000A6077" w:rsidRPr="000A6077">
              <w:rPr>
                <w:rFonts w:eastAsia="MS Mincho" w:cstheme="minorHAnsi"/>
              </w:rPr>
              <w:t>30-day PPA at 6 m</w:t>
            </w:r>
            <w:r w:rsidR="000A6077">
              <w:rPr>
                <w:rFonts w:eastAsia="MS Mincho" w:cstheme="minorHAnsi"/>
              </w:rPr>
              <w:t>onths</w:t>
            </w:r>
            <w:r w:rsidR="000A6077" w:rsidRPr="000A6077">
              <w:rPr>
                <w:rFonts w:eastAsia="MS Mincho" w:cstheme="minorHAnsi"/>
              </w:rPr>
              <w:t xml:space="preserve"> follow-up</w:t>
            </w:r>
          </w:p>
          <w:p w14:paraId="351C10E1" w14:textId="07C9F610" w:rsidR="000A6077" w:rsidRDefault="000A6077" w:rsidP="00A71365">
            <w:pPr>
              <w:pStyle w:val="Tablewriting"/>
              <w:rPr>
                <w:rFonts w:eastAsia="MS Mincho" w:cstheme="minorHAnsi"/>
              </w:rPr>
            </w:pPr>
            <w:r w:rsidRPr="000A6077">
              <w:rPr>
                <w:rFonts w:eastAsia="MS Mincho" w:cstheme="minorHAnsi"/>
              </w:rPr>
              <w:t>Other: 7-day PPA at 6 m</w:t>
            </w:r>
            <w:r w:rsidR="0008584A">
              <w:rPr>
                <w:rFonts w:eastAsia="MS Mincho" w:cstheme="minorHAnsi"/>
              </w:rPr>
              <w:t>onths</w:t>
            </w:r>
            <w:r w:rsidRPr="000A6077">
              <w:rPr>
                <w:rFonts w:eastAsia="MS Mincho" w:cstheme="minorHAnsi"/>
              </w:rPr>
              <w:t xml:space="preserve"> follow-up</w:t>
            </w:r>
            <w:r w:rsidR="0008584A">
              <w:rPr>
                <w:rFonts w:eastAsia="MS Mincho" w:cstheme="minorHAnsi"/>
              </w:rPr>
              <w:t>.</w:t>
            </w:r>
          </w:p>
          <w:p w14:paraId="69F17257" w14:textId="77777777" w:rsidR="0008584A" w:rsidRPr="000A6077" w:rsidRDefault="0008584A" w:rsidP="00A71365">
            <w:pPr>
              <w:pStyle w:val="Tablewriting"/>
              <w:rPr>
                <w:rFonts w:eastAsia="MS Mincho" w:cstheme="minorHAnsi"/>
              </w:rPr>
            </w:pPr>
          </w:p>
          <w:p w14:paraId="10C04A21" w14:textId="6EBC6C16" w:rsidR="000A6077" w:rsidRPr="000A6077" w:rsidRDefault="000A6077" w:rsidP="00A71365">
            <w:pPr>
              <w:pStyle w:val="Tablewriting"/>
              <w:rPr>
                <w:rFonts w:eastAsia="MS Mincho" w:cstheme="minorHAnsi"/>
              </w:rPr>
            </w:pPr>
            <w:r w:rsidRPr="000A6077">
              <w:rPr>
                <w:rFonts w:eastAsia="MS Mincho" w:cstheme="minorHAnsi"/>
              </w:rPr>
              <w:t>Validation: none</w:t>
            </w:r>
            <w:r w:rsidR="0008584A">
              <w:rPr>
                <w:rFonts w:eastAsia="MS Mincho" w:cstheme="minorHAnsi"/>
              </w:rPr>
              <w:t>.</w:t>
            </w:r>
          </w:p>
          <w:p w14:paraId="188593B5" w14:textId="77777777" w:rsidR="0008584A" w:rsidRDefault="0008584A" w:rsidP="00A71365">
            <w:pPr>
              <w:pStyle w:val="Tablewriting"/>
              <w:rPr>
                <w:rFonts w:eastAsia="MS Mincho" w:cstheme="minorHAnsi"/>
                <w:u w:val="single"/>
              </w:rPr>
            </w:pPr>
          </w:p>
          <w:p w14:paraId="703AB917" w14:textId="1DA110A2" w:rsidR="0008584A" w:rsidRPr="000A6077" w:rsidRDefault="0095547F" w:rsidP="00A71365">
            <w:pPr>
              <w:pStyle w:val="Tablewriting"/>
              <w:rPr>
                <w:rFonts w:eastAsia="MS Mincho" w:cstheme="minorHAnsi"/>
              </w:rPr>
            </w:pPr>
            <w:r>
              <w:rPr>
                <w:rFonts w:eastAsia="MS Mincho" w:cstheme="minorHAnsi"/>
                <w:u w:val="single"/>
              </w:rPr>
              <w:t>Safety:</w:t>
            </w:r>
            <w:r w:rsidR="0008584A">
              <w:rPr>
                <w:rFonts w:eastAsia="MS Mincho" w:cstheme="minorHAnsi"/>
                <w:u w:val="single"/>
              </w:rPr>
              <w:t xml:space="preserve"> </w:t>
            </w:r>
            <w:r w:rsidR="0008584A" w:rsidRPr="000A6077">
              <w:rPr>
                <w:rFonts w:eastAsia="MS Mincho" w:cstheme="minorHAnsi"/>
              </w:rPr>
              <w:t>Adverse events</w:t>
            </w:r>
            <w:r w:rsidR="0008584A">
              <w:rPr>
                <w:rFonts w:eastAsia="MS Mincho" w:cstheme="minorHAnsi"/>
              </w:rPr>
              <w:t xml:space="preserve"> </w:t>
            </w:r>
            <w:r w:rsidR="0008584A" w:rsidRPr="000A6077">
              <w:rPr>
                <w:rFonts w:eastAsia="MS Mincho" w:cstheme="minorHAnsi"/>
              </w:rPr>
              <w:t>not measured</w:t>
            </w:r>
            <w:r w:rsidR="0008584A">
              <w:rPr>
                <w:rFonts w:eastAsia="MS Mincho" w:cstheme="minorHAnsi"/>
              </w:rPr>
              <w:t>.</w:t>
            </w:r>
          </w:p>
          <w:p w14:paraId="122B9036" w14:textId="17DB9D72" w:rsidR="00F536ED" w:rsidRPr="004272CD" w:rsidRDefault="00F536ED" w:rsidP="00A71365">
            <w:pPr>
              <w:pStyle w:val="Tablewriting"/>
              <w:rPr>
                <w:rFonts w:eastAsia="MS Mincho" w:cstheme="minorHAnsi"/>
                <w:u w:val="single"/>
              </w:rPr>
            </w:pPr>
          </w:p>
        </w:tc>
      </w:tr>
      <w:tr w:rsidR="00F536ED" w:rsidRPr="00017AE6" w14:paraId="221EAE1D" w14:textId="77777777" w:rsidTr="005821B1">
        <w:trPr>
          <w:trHeight w:val="99"/>
        </w:trPr>
        <w:tc>
          <w:tcPr>
            <w:tcW w:w="495" w:type="pct"/>
          </w:tcPr>
          <w:p w14:paraId="4A791C33" w14:textId="4FA9C3A5" w:rsidR="00F536ED" w:rsidRPr="00017AE6" w:rsidRDefault="00F536ED" w:rsidP="00A71365">
            <w:pPr>
              <w:pStyle w:val="Tablewriting"/>
              <w:rPr>
                <w:rFonts w:eastAsia="MS Mincho" w:cstheme="minorHAnsi"/>
              </w:rPr>
            </w:pPr>
            <w:r w:rsidRPr="00FC50B4">
              <w:rPr>
                <w:rFonts w:eastAsia="MS Mincho" w:cstheme="minorHAnsi"/>
              </w:rPr>
              <w:lastRenderedPageBreak/>
              <w:t xml:space="preserve">Tønnesen </w:t>
            </w:r>
            <w:r w:rsidR="00991AC5">
              <w:rPr>
                <w:rFonts w:eastAsia="MS Mincho" w:cstheme="minorHAnsi"/>
              </w:rPr>
              <w:t>(</w:t>
            </w:r>
            <w:r w:rsidRPr="00FC50B4">
              <w:rPr>
                <w:rFonts w:eastAsia="MS Mincho" w:cstheme="minorHAnsi"/>
              </w:rPr>
              <w:t>2000</w:t>
            </w:r>
            <w:r w:rsidR="00991AC5">
              <w:rPr>
                <w:rFonts w:eastAsia="MS Mincho" w:cstheme="minorHAnsi"/>
              </w:rPr>
              <w:t>)</w:t>
            </w:r>
          </w:p>
        </w:tc>
        <w:tc>
          <w:tcPr>
            <w:tcW w:w="235" w:type="pct"/>
          </w:tcPr>
          <w:p w14:paraId="233B9DC8" w14:textId="30211173" w:rsidR="00F536ED" w:rsidRPr="00017AE6" w:rsidRDefault="004810EB" w:rsidP="00A71365">
            <w:pPr>
              <w:pStyle w:val="Tablewriting"/>
              <w:rPr>
                <w:rFonts w:eastAsia="MS Mincho" w:cstheme="minorHAnsi"/>
              </w:rPr>
            </w:pPr>
            <w:r>
              <w:rPr>
                <w:rFonts w:eastAsia="MS Mincho" w:cstheme="minorHAnsi"/>
              </w:rPr>
              <w:t>RCT</w:t>
            </w:r>
          </w:p>
        </w:tc>
        <w:tc>
          <w:tcPr>
            <w:tcW w:w="433" w:type="pct"/>
          </w:tcPr>
          <w:p w14:paraId="4120BF8C" w14:textId="1EBD582E" w:rsidR="00F536ED" w:rsidRPr="00017AE6" w:rsidRDefault="00A23934" w:rsidP="00A71365">
            <w:pPr>
              <w:pStyle w:val="Tablewriting"/>
              <w:rPr>
                <w:rFonts w:eastAsia="MS Mincho" w:cstheme="minorHAnsi"/>
              </w:rPr>
            </w:pPr>
            <w:r w:rsidRPr="00A23934">
              <w:rPr>
                <w:rFonts w:eastAsia="MS Mincho" w:cstheme="minorHAnsi"/>
              </w:rPr>
              <w:t>Denmark</w:t>
            </w:r>
          </w:p>
        </w:tc>
        <w:tc>
          <w:tcPr>
            <w:tcW w:w="358" w:type="pct"/>
          </w:tcPr>
          <w:p w14:paraId="2061390D" w14:textId="20F44E64" w:rsidR="00F536ED" w:rsidRPr="00017AE6" w:rsidRDefault="00F536ED" w:rsidP="00A71365">
            <w:pPr>
              <w:pStyle w:val="Tablewriting"/>
              <w:rPr>
                <w:rFonts w:eastAsia="MS Mincho" w:cstheme="minorHAnsi"/>
              </w:rPr>
            </w:pPr>
            <w:r w:rsidRPr="003A1845">
              <w:rPr>
                <w:rFonts w:eastAsia="MS Mincho" w:cstheme="minorHAnsi"/>
              </w:rPr>
              <w:t>N=</w:t>
            </w:r>
            <w:r w:rsidR="00A23934">
              <w:rPr>
                <w:rFonts w:eastAsia="MS Mincho" w:cstheme="minorHAnsi"/>
              </w:rPr>
              <w:t>446</w:t>
            </w:r>
          </w:p>
        </w:tc>
        <w:tc>
          <w:tcPr>
            <w:tcW w:w="1176" w:type="pct"/>
          </w:tcPr>
          <w:p w14:paraId="4CD65D5F" w14:textId="4DE5D682" w:rsidR="00F536ED" w:rsidRPr="00017AE6" w:rsidRDefault="00861C61" w:rsidP="00A71365">
            <w:pPr>
              <w:pStyle w:val="Tablewriting"/>
              <w:rPr>
                <w:rFonts w:eastAsia="MS Mincho" w:cstheme="minorHAnsi"/>
              </w:rPr>
            </w:pPr>
            <w:r w:rsidRPr="00A23934">
              <w:rPr>
                <w:rFonts w:eastAsia="MS Mincho" w:cstheme="minorHAnsi"/>
              </w:rPr>
              <w:t>Smokers</w:t>
            </w:r>
            <w:r w:rsidR="00A23934" w:rsidRPr="00A23934">
              <w:rPr>
                <w:rFonts w:eastAsia="MS Mincho" w:cstheme="minorHAnsi"/>
              </w:rPr>
              <w:t xml:space="preserve"> </w:t>
            </w:r>
            <w:r w:rsidR="00A23934" w:rsidRPr="00E632A9">
              <w:rPr>
                <w:rFonts w:eastAsia="MS Mincho" w:cstheme="minorHAnsi"/>
              </w:rPr>
              <w:t>≥</w:t>
            </w:r>
            <w:r w:rsidR="00A23934" w:rsidRPr="00A23934">
              <w:rPr>
                <w:rFonts w:eastAsia="MS Mincho" w:cstheme="minorHAnsi"/>
              </w:rPr>
              <w:t xml:space="preserve"> 10 </w:t>
            </w:r>
            <w:r w:rsidR="00A23934">
              <w:rPr>
                <w:rFonts w:eastAsia="MS Mincho" w:cstheme="minorHAnsi"/>
              </w:rPr>
              <w:t xml:space="preserve">CPD, </w:t>
            </w:r>
            <w:r w:rsidR="00A23934" w:rsidRPr="00A23934">
              <w:rPr>
                <w:rFonts w:eastAsia="MS Mincho" w:cstheme="minorHAnsi"/>
              </w:rPr>
              <w:t>48% men, av</w:t>
            </w:r>
            <w:r w:rsidR="00A23934">
              <w:rPr>
                <w:rFonts w:eastAsia="MS Mincho" w:cstheme="minorHAnsi"/>
              </w:rPr>
              <w:t xml:space="preserve">erage </w:t>
            </w:r>
            <w:r w:rsidR="00A23934" w:rsidRPr="00A23934">
              <w:rPr>
                <w:rFonts w:eastAsia="MS Mincho" w:cstheme="minorHAnsi"/>
              </w:rPr>
              <w:t>age 49</w:t>
            </w:r>
            <w:r w:rsidR="00A23934">
              <w:rPr>
                <w:rFonts w:eastAsia="MS Mincho" w:cstheme="minorHAnsi"/>
              </w:rPr>
              <w:t xml:space="preserve"> years</w:t>
            </w:r>
            <w:r w:rsidR="00A23934" w:rsidRPr="00A23934">
              <w:rPr>
                <w:rFonts w:eastAsia="MS Mincho" w:cstheme="minorHAnsi"/>
              </w:rPr>
              <w:t>, av</w:t>
            </w:r>
            <w:r w:rsidR="00A23934">
              <w:rPr>
                <w:rFonts w:eastAsia="MS Mincho" w:cstheme="minorHAnsi"/>
              </w:rPr>
              <w:t>erage</w:t>
            </w:r>
            <w:r w:rsidR="00A23934" w:rsidRPr="00A23934">
              <w:rPr>
                <w:rFonts w:eastAsia="MS Mincho" w:cstheme="minorHAnsi"/>
              </w:rPr>
              <w:t xml:space="preserve"> </w:t>
            </w:r>
            <w:r w:rsidR="00A23934">
              <w:rPr>
                <w:rFonts w:eastAsia="MS Mincho" w:cstheme="minorHAnsi"/>
              </w:rPr>
              <w:t>CPD</w:t>
            </w:r>
            <w:r w:rsidR="00A23934" w:rsidRPr="00A23934">
              <w:rPr>
                <w:rFonts w:eastAsia="MS Mincho" w:cstheme="minorHAnsi"/>
              </w:rPr>
              <w:t xml:space="preserve"> 18</w:t>
            </w:r>
            <w:r w:rsidR="00A23934">
              <w:rPr>
                <w:rFonts w:eastAsia="MS Mincho" w:cstheme="minorHAnsi"/>
              </w:rPr>
              <w:t>.</w:t>
            </w:r>
          </w:p>
        </w:tc>
        <w:tc>
          <w:tcPr>
            <w:tcW w:w="1295" w:type="pct"/>
          </w:tcPr>
          <w:p w14:paraId="6761EA04" w14:textId="77777777" w:rsidR="004B7D95" w:rsidRDefault="00A23934" w:rsidP="00C324F3">
            <w:pPr>
              <w:pStyle w:val="Tablewriting"/>
              <w:numPr>
                <w:ilvl w:val="0"/>
                <w:numId w:val="180"/>
              </w:numPr>
              <w:rPr>
                <w:rFonts w:eastAsia="MS Mincho" w:cstheme="minorHAnsi"/>
              </w:rPr>
            </w:pPr>
            <w:r w:rsidRPr="00A23934">
              <w:rPr>
                <w:rFonts w:eastAsia="MS Mincho" w:cstheme="minorHAnsi"/>
              </w:rPr>
              <w:t>5 mg nicotine patch (placebo)</w:t>
            </w:r>
            <w:r w:rsidR="004B7D95">
              <w:rPr>
                <w:rFonts w:eastAsia="MS Mincho" w:cstheme="minorHAnsi"/>
              </w:rPr>
              <w:t>.</w:t>
            </w:r>
          </w:p>
          <w:p w14:paraId="3F5B42EB" w14:textId="77777777" w:rsidR="004B7D95" w:rsidRDefault="00A23934" w:rsidP="00C324F3">
            <w:pPr>
              <w:pStyle w:val="Tablewriting"/>
              <w:numPr>
                <w:ilvl w:val="0"/>
                <w:numId w:val="180"/>
              </w:numPr>
              <w:rPr>
                <w:rFonts w:eastAsia="MS Mincho" w:cstheme="minorHAnsi"/>
              </w:rPr>
            </w:pPr>
            <w:r w:rsidRPr="004B7D95">
              <w:rPr>
                <w:rFonts w:eastAsia="MS Mincho" w:cstheme="minorHAnsi"/>
              </w:rPr>
              <w:t>15 mg (16-hour) nicotine patch for 12 w</w:t>
            </w:r>
            <w:r w:rsidR="004B7D95">
              <w:rPr>
                <w:rFonts w:eastAsia="MS Mincho" w:cstheme="minorHAnsi"/>
              </w:rPr>
              <w:t>ee</w:t>
            </w:r>
            <w:r w:rsidRPr="004B7D95">
              <w:rPr>
                <w:rFonts w:eastAsia="MS Mincho" w:cstheme="minorHAnsi"/>
              </w:rPr>
              <w:t>ks (up to 9 m on request)</w:t>
            </w:r>
            <w:r w:rsidR="004B7D95">
              <w:rPr>
                <w:rFonts w:eastAsia="MS Mincho" w:cstheme="minorHAnsi"/>
              </w:rPr>
              <w:t>.</w:t>
            </w:r>
          </w:p>
          <w:p w14:paraId="4A8CDB3A" w14:textId="77777777" w:rsidR="004B7D95" w:rsidRDefault="00A23934" w:rsidP="00C324F3">
            <w:pPr>
              <w:pStyle w:val="Tablewriting"/>
              <w:numPr>
                <w:ilvl w:val="0"/>
                <w:numId w:val="180"/>
              </w:numPr>
              <w:rPr>
                <w:rFonts w:eastAsia="MS Mincho" w:cstheme="minorHAnsi"/>
              </w:rPr>
            </w:pPr>
            <w:r w:rsidRPr="004B7D95">
              <w:rPr>
                <w:rFonts w:eastAsia="MS Mincho" w:cstheme="minorHAnsi"/>
              </w:rPr>
              <w:t>Nicotine inhaler (4 - 12/day ad lib)</w:t>
            </w:r>
            <w:r w:rsidR="004B7D95">
              <w:rPr>
                <w:rFonts w:eastAsia="MS Mincho" w:cstheme="minorHAnsi"/>
              </w:rPr>
              <w:t>.</w:t>
            </w:r>
          </w:p>
          <w:p w14:paraId="56C8E173" w14:textId="18C32500" w:rsidR="00F536ED" w:rsidRPr="004B7D95" w:rsidRDefault="00A23934" w:rsidP="00C324F3">
            <w:pPr>
              <w:pStyle w:val="Tablewriting"/>
              <w:numPr>
                <w:ilvl w:val="0"/>
                <w:numId w:val="180"/>
              </w:numPr>
              <w:rPr>
                <w:rFonts w:eastAsia="MS Mincho" w:cstheme="minorHAnsi"/>
              </w:rPr>
            </w:pPr>
            <w:r w:rsidRPr="004B7D95">
              <w:rPr>
                <w:rFonts w:eastAsia="MS Mincho" w:cstheme="minorHAnsi"/>
              </w:rPr>
              <w:t>Combination, 15 mg patch and inhaler</w:t>
            </w:r>
            <w:r w:rsidR="004B7D95">
              <w:rPr>
                <w:rFonts w:eastAsia="MS Mincho" w:cstheme="minorHAnsi"/>
              </w:rPr>
              <w:t>.</w:t>
            </w:r>
          </w:p>
        </w:tc>
        <w:tc>
          <w:tcPr>
            <w:tcW w:w="1008" w:type="pct"/>
          </w:tcPr>
          <w:p w14:paraId="5BDF8909" w14:textId="77777777" w:rsidR="0095547F" w:rsidRDefault="0095547F" w:rsidP="00A71365">
            <w:pPr>
              <w:pStyle w:val="Tablewriting"/>
              <w:rPr>
                <w:rFonts w:eastAsia="MS Mincho" w:cstheme="minorHAnsi"/>
                <w:u w:val="single"/>
              </w:rPr>
            </w:pPr>
            <w:r>
              <w:rPr>
                <w:rFonts w:eastAsia="MS Mincho" w:cstheme="minorHAnsi"/>
                <w:u w:val="single"/>
              </w:rPr>
              <w:t>Efficacy:</w:t>
            </w:r>
          </w:p>
          <w:p w14:paraId="7821D9E0" w14:textId="48D070AE" w:rsidR="00782613" w:rsidRDefault="00782613" w:rsidP="00A71365">
            <w:pPr>
              <w:pStyle w:val="Tablewriting"/>
              <w:rPr>
                <w:rFonts w:eastAsia="MS Mincho" w:cstheme="minorHAnsi"/>
              </w:rPr>
            </w:pPr>
            <w:r w:rsidRPr="00782613">
              <w:rPr>
                <w:rFonts w:eastAsia="MS Mincho" w:cstheme="minorHAnsi"/>
              </w:rPr>
              <w:t>Sustained abstinence at 12 m</w:t>
            </w:r>
            <w:r w:rsidR="00C378AD">
              <w:rPr>
                <w:rFonts w:eastAsia="MS Mincho" w:cstheme="minorHAnsi"/>
              </w:rPr>
              <w:t>onths</w:t>
            </w:r>
            <w:r w:rsidRPr="00782613">
              <w:rPr>
                <w:rFonts w:eastAsia="MS Mincho" w:cstheme="minorHAnsi"/>
              </w:rPr>
              <w:t>, (from w</w:t>
            </w:r>
            <w:r>
              <w:rPr>
                <w:rFonts w:eastAsia="MS Mincho" w:cstheme="minorHAnsi"/>
              </w:rPr>
              <w:t>ee</w:t>
            </w:r>
            <w:r w:rsidRPr="00782613">
              <w:rPr>
                <w:rFonts w:eastAsia="MS Mincho" w:cstheme="minorHAnsi"/>
              </w:rPr>
              <w:t>k 2, paper also reports PPA and with slips rates)</w:t>
            </w:r>
            <w:r>
              <w:rPr>
                <w:rFonts w:eastAsia="MS Mincho" w:cstheme="minorHAnsi"/>
              </w:rPr>
              <w:t>.</w:t>
            </w:r>
          </w:p>
          <w:p w14:paraId="4BDD7D87" w14:textId="77777777" w:rsidR="00782613" w:rsidRPr="00782613" w:rsidRDefault="00782613" w:rsidP="00A71365">
            <w:pPr>
              <w:pStyle w:val="Tablewriting"/>
              <w:rPr>
                <w:rFonts w:eastAsia="MS Mincho" w:cstheme="minorHAnsi"/>
              </w:rPr>
            </w:pPr>
          </w:p>
          <w:p w14:paraId="45B04E86" w14:textId="0B2580CF" w:rsidR="00782613" w:rsidRPr="00782613" w:rsidRDefault="00782613" w:rsidP="00A71365">
            <w:pPr>
              <w:pStyle w:val="Tablewriting"/>
              <w:rPr>
                <w:rFonts w:eastAsia="MS Mincho" w:cstheme="minorHAnsi"/>
              </w:rPr>
            </w:pPr>
            <w:r w:rsidRPr="00782613">
              <w:rPr>
                <w:rFonts w:eastAsia="MS Mincho" w:cstheme="minorHAnsi"/>
              </w:rPr>
              <w:t>Validation: CO &lt; 10 ppm at all visits</w:t>
            </w:r>
            <w:r>
              <w:rPr>
                <w:rFonts w:eastAsia="MS Mincho" w:cstheme="minorHAnsi"/>
              </w:rPr>
              <w:t>.</w:t>
            </w:r>
          </w:p>
          <w:p w14:paraId="2998FA35" w14:textId="32574AD3" w:rsidR="0095547F" w:rsidRPr="00782613" w:rsidRDefault="0095547F" w:rsidP="00A71365">
            <w:pPr>
              <w:pStyle w:val="Tablewriting"/>
              <w:rPr>
                <w:rFonts w:eastAsia="MS Mincho" w:cstheme="minorHAnsi"/>
              </w:rPr>
            </w:pPr>
          </w:p>
          <w:p w14:paraId="6CC39838" w14:textId="77777777" w:rsidR="0095547F" w:rsidRDefault="0095547F" w:rsidP="00A71365">
            <w:pPr>
              <w:pStyle w:val="Tablewriting"/>
              <w:rPr>
                <w:rFonts w:eastAsia="MS Mincho" w:cstheme="minorHAnsi"/>
                <w:u w:val="single"/>
              </w:rPr>
            </w:pPr>
          </w:p>
          <w:p w14:paraId="737DCDBE" w14:textId="19B838DC" w:rsidR="00F536ED" w:rsidRPr="004272CD" w:rsidRDefault="0095547F" w:rsidP="00A71365">
            <w:pPr>
              <w:pStyle w:val="Tablewriting"/>
              <w:rPr>
                <w:rFonts w:eastAsia="MS Mincho" w:cstheme="minorHAnsi"/>
                <w:u w:val="single"/>
              </w:rPr>
            </w:pPr>
            <w:r>
              <w:rPr>
                <w:rFonts w:eastAsia="MS Mincho" w:cstheme="minorHAnsi"/>
                <w:u w:val="single"/>
              </w:rPr>
              <w:t>Safety:</w:t>
            </w:r>
            <w:r w:rsidR="00782613">
              <w:rPr>
                <w:rFonts w:eastAsia="MS Mincho" w:cstheme="minorHAnsi"/>
                <w:u w:val="single"/>
              </w:rPr>
              <w:t xml:space="preserve"> </w:t>
            </w:r>
            <w:r w:rsidR="00782613" w:rsidRPr="00782613">
              <w:rPr>
                <w:rFonts w:eastAsia="MS Mincho" w:cstheme="minorHAnsi"/>
              </w:rPr>
              <w:t>Adverse events: measured at every follow-up to 12 m</w:t>
            </w:r>
            <w:r w:rsidR="00782613">
              <w:rPr>
                <w:rFonts w:eastAsia="MS Mincho" w:cstheme="minorHAnsi"/>
              </w:rPr>
              <w:t>onths</w:t>
            </w:r>
            <w:r w:rsidR="00782613" w:rsidRPr="00782613">
              <w:rPr>
                <w:rFonts w:eastAsia="MS Mincho" w:cstheme="minorHAnsi"/>
              </w:rPr>
              <w:t xml:space="preserve"> (note treatment could continue to 12 m</w:t>
            </w:r>
            <w:r w:rsidR="00782613">
              <w:rPr>
                <w:rFonts w:eastAsia="MS Mincho" w:cstheme="minorHAnsi"/>
              </w:rPr>
              <w:t>onths</w:t>
            </w:r>
            <w:r w:rsidR="00782613" w:rsidRPr="00782613">
              <w:rPr>
                <w:rFonts w:eastAsia="MS Mincho" w:cstheme="minorHAnsi"/>
              </w:rPr>
              <w:t>)</w:t>
            </w:r>
          </w:p>
        </w:tc>
      </w:tr>
    </w:tbl>
    <w:p w14:paraId="06FCE3C5" w14:textId="77777777" w:rsidR="00513BB5" w:rsidRPr="009B042A" w:rsidRDefault="00513BB5" w:rsidP="00F80C9F">
      <w:pPr>
        <w:pStyle w:val="TableFooter"/>
        <w:jc w:val="both"/>
      </w:pPr>
      <w:r>
        <w:t xml:space="preserve">Source: </w:t>
      </w:r>
      <w:r w:rsidRPr="008B0097">
        <w:t>Lindson et al. (2019</w:t>
      </w:r>
      <w:r>
        <w:t>).</w:t>
      </w:r>
      <w:r w:rsidRPr="009B042A">
        <w:t xml:space="preserve"> </w:t>
      </w:r>
    </w:p>
    <w:p w14:paraId="6BD093E9" w14:textId="0D51A1D8" w:rsidR="00EE0489" w:rsidRDefault="00513BB5" w:rsidP="00F80C9F">
      <w:pPr>
        <w:pStyle w:val="TableFooter"/>
        <w:spacing w:after="120"/>
        <w:contextualSpacing w:val="0"/>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2A053F8E" w14:textId="77777777" w:rsidR="00EA7016" w:rsidRDefault="00EA7016">
      <w:pPr>
        <w:spacing w:line="276" w:lineRule="auto"/>
        <w:rPr>
          <w:rFonts w:asciiTheme="minorHAnsi" w:eastAsia="Times New Roman" w:hAnsiTheme="minorHAnsi" w:cs="Times New Roman"/>
          <w:b/>
          <w:bCs/>
          <w:szCs w:val="18"/>
        </w:rPr>
      </w:pPr>
      <w:bookmarkStart w:id="343" w:name="_Ref55466891"/>
      <w:r>
        <w:br w:type="page"/>
      </w:r>
    </w:p>
    <w:p w14:paraId="6029534E" w14:textId="7B78DC05" w:rsidR="00FB7B83" w:rsidRDefault="00FB7B83" w:rsidP="00F80C9F">
      <w:pPr>
        <w:pStyle w:val="Caption"/>
        <w:keepNext/>
        <w:spacing w:before="0" w:after="120"/>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157</w:t>
      </w:r>
      <w:r w:rsidR="00BF3F75">
        <w:rPr>
          <w:noProof/>
        </w:rPr>
        <w:fldChar w:fldCharType="end"/>
      </w:r>
      <w:bookmarkEnd w:id="343"/>
      <w:r>
        <w:t xml:space="preserve">: </w:t>
      </w:r>
      <w:r w:rsidRPr="00993378">
        <w:t xml:space="preserve">Characteristics of studies included in </w:t>
      </w:r>
      <w:r>
        <w:t>Chang</w:t>
      </w:r>
      <w:r w:rsidRPr="00993378">
        <w:t xml:space="preserve"> et al. (201</w:t>
      </w:r>
      <w:r>
        <w:t>5</w:t>
      </w:r>
      <w:r w:rsidRPr="00993378">
        <w:t xml:space="preserve">), </w:t>
      </w:r>
      <w:r>
        <w:t>varenicline plus</w:t>
      </w:r>
      <w:r w:rsidRPr="00993378">
        <w:t xml:space="preserve"> NRT versus </w:t>
      </w:r>
      <w:r>
        <w:t>varenicline</w:t>
      </w:r>
      <w:r w:rsidR="00450AFA">
        <w:t xml:space="preserve"> alone</w:t>
      </w:r>
    </w:p>
    <w:tbl>
      <w:tblPr>
        <w:tblStyle w:val="TableGrid"/>
        <w:tblW w:w="5000" w:type="pct"/>
        <w:tblLook w:val="04A0" w:firstRow="1" w:lastRow="0" w:firstColumn="1" w:lastColumn="0" w:noHBand="0" w:noVBand="1"/>
        <w:tblCaption w:val="Efficacy results of adalimumab trials (PASI 75 and DLQI)"/>
      </w:tblPr>
      <w:tblGrid>
        <w:gridCol w:w="1338"/>
        <w:gridCol w:w="690"/>
        <w:gridCol w:w="1150"/>
        <w:gridCol w:w="1214"/>
        <w:gridCol w:w="3231"/>
        <w:gridCol w:w="3563"/>
        <w:gridCol w:w="2762"/>
      </w:tblGrid>
      <w:tr w:rsidR="00FB7B83" w:rsidRPr="00061F78" w14:paraId="185FE1B6" w14:textId="77777777" w:rsidTr="00F80C9F">
        <w:trPr>
          <w:trHeight w:val="299"/>
          <w:tblHeader/>
        </w:trPr>
        <w:tc>
          <w:tcPr>
            <w:tcW w:w="484" w:type="pct"/>
            <w:shd w:val="clear" w:color="auto" w:fill="BFBFBF" w:themeFill="background1" w:themeFillShade="BF"/>
            <w:tcMar>
              <w:left w:w="28" w:type="dxa"/>
              <w:right w:w="28" w:type="dxa"/>
            </w:tcMar>
          </w:tcPr>
          <w:p w14:paraId="524E81CC" w14:textId="77777777" w:rsidR="00FB7B83" w:rsidRPr="00061F78" w:rsidRDefault="00FB7B83" w:rsidP="006B48C7">
            <w:pPr>
              <w:pStyle w:val="Tableheading"/>
              <w:rPr>
                <w:rFonts w:eastAsia="MS Mincho"/>
              </w:rPr>
            </w:pPr>
            <w:r>
              <w:rPr>
                <w:rFonts w:eastAsia="MS Mincho"/>
              </w:rPr>
              <w:t>Study</w:t>
            </w:r>
          </w:p>
        </w:tc>
        <w:tc>
          <w:tcPr>
            <w:tcW w:w="235" w:type="pct"/>
            <w:shd w:val="clear" w:color="auto" w:fill="BFBFBF" w:themeFill="background1" w:themeFillShade="BF"/>
          </w:tcPr>
          <w:p w14:paraId="28D64DAC" w14:textId="77777777" w:rsidR="00FB7B83" w:rsidRDefault="00FB7B83" w:rsidP="006B48C7">
            <w:pPr>
              <w:pStyle w:val="Tableheading"/>
              <w:jc w:val="center"/>
              <w:rPr>
                <w:rFonts w:eastAsia="MS Mincho"/>
              </w:rPr>
            </w:pPr>
            <w:r>
              <w:rPr>
                <w:rFonts w:eastAsia="MS Mincho"/>
              </w:rPr>
              <w:t>Study type</w:t>
            </w:r>
          </w:p>
        </w:tc>
        <w:tc>
          <w:tcPr>
            <w:tcW w:w="422" w:type="pct"/>
            <w:shd w:val="clear" w:color="auto" w:fill="BFBFBF" w:themeFill="background1" w:themeFillShade="BF"/>
          </w:tcPr>
          <w:p w14:paraId="406E7BCD" w14:textId="77777777" w:rsidR="00FB7B83" w:rsidRDefault="00FB7B83" w:rsidP="006B48C7">
            <w:pPr>
              <w:pStyle w:val="Tableheading"/>
              <w:jc w:val="center"/>
              <w:rPr>
                <w:rFonts w:eastAsia="MS Mincho"/>
              </w:rPr>
            </w:pPr>
            <w:r>
              <w:rPr>
                <w:rFonts w:eastAsia="MS Mincho"/>
              </w:rPr>
              <w:t>Countries</w:t>
            </w:r>
          </w:p>
        </w:tc>
        <w:tc>
          <w:tcPr>
            <w:tcW w:w="413" w:type="pct"/>
            <w:shd w:val="clear" w:color="auto" w:fill="BFBFBF" w:themeFill="background1" w:themeFillShade="BF"/>
            <w:tcMar>
              <w:left w:w="28" w:type="dxa"/>
              <w:right w:w="28" w:type="dxa"/>
            </w:tcMar>
          </w:tcPr>
          <w:p w14:paraId="699049C7" w14:textId="77777777" w:rsidR="00FB7B83" w:rsidRPr="00061F78" w:rsidRDefault="00FB7B83" w:rsidP="006B48C7">
            <w:pPr>
              <w:pStyle w:val="Tableheading"/>
              <w:jc w:val="center"/>
              <w:rPr>
                <w:rFonts w:eastAsia="MS Mincho"/>
              </w:rPr>
            </w:pPr>
            <w:r>
              <w:rPr>
                <w:rFonts w:eastAsia="MS Mincho"/>
              </w:rPr>
              <w:t>N</w:t>
            </w:r>
          </w:p>
        </w:tc>
        <w:tc>
          <w:tcPr>
            <w:tcW w:w="1165" w:type="pct"/>
            <w:shd w:val="clear" w:color="auto" w:fill="BFBFBF" w:themeFill="background1" w:themeFillShade="BF"/>
            <w:tcMar>
              <w:left w:w="28" w:type="dxa"/>
              <w:right w:w="28" w:type="dxa"/>
            </w:tcMar>
          </w:tcPr>
          <w:p w14:paraId="5F6B3D1E" w14:textId="77777777" w:rsidR="00FB7B83" w:rsidRPr="00061F78" w:rsidRDefault="00FB7B83" w:rsidP="006B48C7">
            <w:pPr>
              <w:pStyle w:val="Tableheading"/>
              <w:jc w:val="center"/>
              <w:rPr>
                <w:rFonts w:eastAsia="MS Mincho"/>
              </w:rPr>
            </w:pPr>
            <w:r w:rsidRPr="00061F78">
              <w:rPr>
                <w:rFonts w:eastAsia="MS Mincho"/>
              </w:rPr>
              <w:t>P</w:t>
            </w:r>
            <w:r>
              <w:rPr>
                <w:rFonts w:eastAsia="MS Mincho"/>
              </w:rPr>
              <w:t>opulation</w:t>
            </w:r>
          </w:p>
        </w:tc>
        <w:tc>
          <w:tcPr>
            <w:tcW w:w="1284" w:type="pct"/>
            <w:shd w:val="clear" w:color="auto" w:fill="BFBFBF" w:themeFill="background1" w:themeFillShade="BF"/>
          </w:tcPr>
          <w:p w14:paraId="3014A255" w14:textId="77777777" w:rsidR="00FB7B83" w:rsidRDefault="00FB7B83" w:rsidP="006B48C7">
            <w:pPr>
              <w:pStyle w:val="Tableheading"/>
              <w:jc w:val="center"/>
              <w:rPr>
                <w:rFonts w:eastAsia="MS Mincho"/>
              </w:rPr>
            </w:pPr>
            <w:r>
              <w:rPr>
                <w:rFonts w:eastAsia="MS Mincho"/>
              </w:rPr>
              <w:t>Intervention and comparator</w:t>
            </w:r>
          </w:p>
        </w:tc>
        <w:tc>
          <w:tcPr>
            <w:tcW w:w="997" w:type="pct"/>
            <w:shd w:val="clear" w:color="auto" w:fill="BFBFBF" w:themeFill="background1" w:themeFillShade="BF"/>
            <w:tcMar>
              <w:left w:w="28" w:type="dxa"/>
              <w:right w:w="28" w:type="dxa"/>
            </w:tcMar>
          </w:tcPr>
          <w:p w14:paraId="22A46914" w14:textId="77777777" w:rsidR="00FB7B83" w:rsidRPr="00061F78" w:rsidRDefault="00FB7B83" w:rsidP="006B48C7">
            <w:pPr>
              <w:pStyle w:val="Tableheading"/>
              <w:jc w:val="center"/>
              <w:rPr>
                <w:rFonts w:eastAsia="MS Mincho"/>
              </w:rPr>
            </w:pPr>
            <w:r>
              <w:rPr>
                <w:rFonts w:eastAsia="MS Mincho"/>
              </w:rPr>
              <w:t>Outcomes</w:t>
            </w:r>
          </w:p>
        </w:tc>
      </w:tr>
      <w:tr w:rsidR="006C4B18" w:rsidRPr="00017AE6" w14:paraId="0C578FEC" w14:textId="77777777" w:rsidTr="00F80C9F">
        <w:trPr>
          <w:trHeight w:val="99"/>
        </w:trPr>
        <w:tc>
          <w:tcPr>
            <w:tcW w:w="484" w:type="pct"/>
          </w:tcPr>
          <w:p w14:paraId="63AD09D8" w14:textId="282ED632" w:rsidR="006C4B18" w:rsidRPr="00017AE6" w:rsidRDefault="006C4B18" w:rsidP="006B48C7">
            <w:pPr>
              <w:pStyle w:val="Tablewriting"/>
              <w:rPr>
                <w:rFonts w:eastAsia="MS Mincho" w:cstheme="minorHAnsi"/>
              </w:rPr>
            </w:pPr>
            <w:r>
              <w:rPr>
                <w:rFonts w:eastAsia="MS Mincho" w:cstheme="minorHAnsi"/>
              </w:rPr>
              <w:t xml:space="preserve">Hajek </w:t>
            </w:r>
            <w:r w:rsidR="007C5FA5">
              <w:rPr>
                <w:rFonts w:eastAsia="MS Mincho" w:cstheme="minorHAnsi"/>
              </w:rPr>
              <w:t>(</w:t>
            </w:r>
            <w:r>
              <w:rPr>
                <w:rFonts w:eastAsia="MS Mincho" w:cstheme="minorHAnsi"/>
              </w:rPr>
              <w:t>2013</w:t>
            </w:r>
            <w:r w:rsidR="007C5FA5">
              <w:rPr>
                <w:rFonts w:eastAsia="MS Mincho" w:cstheme="minorHAnsi"/>
              </w:rPr>
              <w:t>)</w:t>
            </w:r>
          </w:p>
        </w:tc>
        <w:tc>
          <w:tcPr>
            <w:tcW w:w="235" w:type="pct"/>
          </w:tcPr>
          <w:p w14:paraId="005FA134" w14:textId="5D640A21" w:rsidR="006C4B18" w:rsidRPr="00017AE6" w:rsidRDefault="00B672A8" w:rsidP="006B48C7">
            <w:pPr>
              <w:pStyle w:val="Tablewriting"/>
              <w:rPr>
                <w:rFonts w:eastAsia="MS Mincho" w:cstheme="minorHAnsi"/>
              </w:rPr>
            </w:pPr>
            <w:r>
              <w:rPr>
                <w:rFonts w:eastAsia="MS Mincho" w:cstheme="minorHAnsi"/>
              </w:rPr>
              <w:t>RCT</w:t>
            </w:r>
          </w:p>
        </w:tc>
        <w:tc>
          <w:tcPr>
            <w:tcW w:w="422" w:type="pct"/>
          </w:tcPr>
          <w:p w14:paraId="6FB7F36C" w14:textId="02278557" w:rsidR="006C4B18" w:rsidRPr="00017AE6" w:rsidRDefault="00780AEA" w:rsidP="006B48C7">
            <w:pPr>
              <w:pStyle w:val="Tablewriting"/>
              <w:rPr>
                <w:rFonts w:eastAsia="MS Mincho" w:cstheme="minorHAnsi"/>
              </w:rPr>
            </w:pPr>
            <w:r>
              <w:rPr>
                <w:rFonts w:eastAsia="MS Mincho" w:cstheme="minorHAnsi"/>
              </w:rPr>
              <w:t>UK</w:t>
            </w:r>
          </w:p>
        </w:tc>
        <w:tc>
          <w:tcPr>
            <w:tcW w:w="413" w:type="pct"/>
          </w:tcPr>
          <w:p w14:paraId="7F026487" w14:textId="43EE1C18" w:rsidR="006C4B18" w:rsidRPr="00017AE6" w:rsidRDefault="001362AA" w:rsidP="006B48C7">
            <w:pPr>
              <w:pStyle w:val="Tablewriting"/>
              <w:rPr>
                <w:rFonts w:eastAsia="MS Mincho" w:cstheme="minorHAnsi"/>
              </w:rPr>
            </w:pPr>
            <w:r>
              <w:rPr>
                <w:rFonts w:eastAsia="MS Mincho" w:cstheme="minorHAnsi"/>
              </w:rPr>
              <w:t>N=117; n=58 (NRT patch</w:t>
            </w:r>
            <w:r w:rsidR="00726288">
              <w:rPr>
                <w:rFonts w:eastAsia="MS Mincho" w:cstheme="minorHAnsi"/>
              </w:rPr>
              <w:t xml:space="preserve"> plus varenicline</w:t>
            </w:r>
            <w:r>
              <w:rPr>
                <w:rFonts w:eastAsia="MS Mincho" w:cstheme="minorHAnsi"/>
              </w:rPr>
              <w:t>), n=59 (placebo</w:t>
            </w:r>
            <w:r w:rsidR="00726288">
              <w:rPr>
                <w:rFonts w:eastAsia="MS Mincho" w:cstheme="minorHAnsi"/>
              </w:rPr>
              <w:t xml:space="preserve"> plus varenicline</w:t>
            </w:r>
            <w:r>
              <w:rPr>
                <w:rFonts w:eastAsia="MS Mincho" w:cstheme="minorHAnsi"/>
              </w:rPr>
              <w:t>)</w:t>
            </w:r>
          </w:p>
        </w:tc>
        <w:tc>
          <w:tcPr>
            <w:tcW w:w="1165" w:type="pct"/>
          </w:tcPr>
          <w:p w14:paraId="65CF8966" w14:textId="77777777" w:rsidR="006C4B18" w:rsidRDefault="008A249B" w:rsidP="006B48C7">
            <w:pPr>
              <w:pStyle w:val="Tablewriting"/>
              <w:rPr>
                <w:rFonts w:eastAsia="MS Mincho" w:cstheme="minorHAnsi"/>
              </w:rPr>
            </w:pPr>
            <w:r>
              <w:rPr>
                <w:rFonts w:eastAsia="MS Mincho" w:cstheme="minorHAnsi"/>
              </w:rPr>
              <w:t xml:space="preserve">Smokers </w:t>
            </w:r>
            <w:r w:rsidRPr="008A249B">
              <w:rPr>
                <w:rFonts w:eastAsia="MS Mincho" w:cstheme="minorHAnsi"/>
              </w:rPr>
              <w:t>aged 18 and over, were not breastfeeding</w:t>
            </w:r>
            <w:r>
              <w:rPr>
                <w:rFonts w:eastAsia="MS Mincho" w:cstheme="minorHAnsi"/>
              </w:rPr>
              <w:t xml:space="preserve"> </w:t>
            </w:r>
            <w:r w:rsidRPr="008A249B">
              <w:rPr>
                <w:rFonts w:eastAsia="MS Mincho" w:cstheme="minorHAnsi"/>
              </w:rPr>
              <w:t>or pregnant, and had no current psychiatric or other</w:t>
            </w:r>
            <w:r>
              <w:rPr>
                <w:rFonts w:eastAsia="MS Mincho" w:cstheme="minorHAnsi"/>
              </w:rPr>
              <w:t xml:space="preserve"> </w:t>
            </w:r>
            <w:r w:rsidRPr="008A249B">
              <w:rPr>
                <w:rFonts w:eastAsia="MS Mincho" w:cstheme="minorHAnsi"/>
              </w:rPr>
              <w:t>serious illness.</w:t>
            </w:r>
          </w:p>
          <w:p w14:paraId="55E1A3C6" w14:textId="77777777" w:rsidR="00B35A15" w:rsidRDefault="009B067E" w:rsidP="006B48C7">
            <w:pPr>
              <w:pStyle w:val="Tablewriting"/>
              <w:rPr>
                <w:rFonts w:eastAsia="MS Mincho" w:cstheme="minorHAnsi"/>
              </w:rPr>
            </w:pPr>
            <w:r>
              <w:rPr>
                <w:rFonts w:eastAsia="MS Mincho" w:cstheme="minorHAnsi"/>
              </w:rPr>
              <w:t>Mean age 43.8</w:t>
            </w:r>
            <w:r w:rsidR="003258FA">
              <w:rPr>
                <w:rFonts w:eastAsia="MS Mincho" w:cstheme="minorHAnsi"/>
              </w:rPr>
              <w:t xml:space="preserve"> years</w:t>
            </w:r>
            <w:r w:rsidR="009D35F7">
              <w:rPr>
                <w:rFonts w:eastAsia="MS Mincho" w:cstheme="minorHAnsi"/>
              </w:rPr>
              <w:t xml:space="preserve"> (placebo arm), and 45.3 years (NRT arm).</w:t>
            </w:r>
          </w:p>
          <w:p w14:paraId="19D785A8" w14:textId="753A3A75" w:rsidR="006C4B18" w:rsidRPr="00017AE6" w:rsidRDefault="006C4B18" w:rsidP="006B48C7">
            <w:pPr>
              <w:pStyle w:val="Tablewriting"/>
              <w:rPr>
                <w:rFonts w:eastAsia="MS Mincho" w:cstheme="minorHAnsi"/>
              </w:rPr>
            </w:pPr>
          </w:p>
        </w:tc>
        <w:tc>
          <w:tcPr>
            <w:tcW w:w="1284" w:type="pct"/>
          </w:tcPr>
          <w:p w14:paraId="41C77293" w14:textId="745FD995" w:rsidR="00AB2D63" w:rsidRDefault="007E502A" w:rsidP="00C324F3">
            <w:pPr>
              <w:pStyle w:val="ListParagraph"/>
              <w:numPr>
                <w:ilvl w:val="0"/>
                <w:numId w:val="181"/>
              </w:numPr>
              <w:rPr>
                <w:rFonts w:eastAsia="MS Mincho"/>
                <w:lang w:eastAsia="en-US"/>
              </w:rPr>
            </w:pPr>
            <w:r>
              <w:rPr>
                <w:rFonts w:eastAsia="MS Mincho"/>
                <w:lang w:eastAsia="en-US"/>
              </w:rPr>
              <w:t>NRT patch</w:t>
            </w:r>
            <w:r w:rsidR="00AB2D63">
              <w:rPr>
                <w:rFonts w:eastAsia="MS Mincho"/>
                <w:lang w:eastAsia="en-US"/>
              </w:rPr>
              <w:t xml:space="preserve"> </w:t>
            </w:r>
            <w:r w:rsidR="00FF6EB3" w:rsidRPr="00FF6EB3">
              <w:rPr>
                <w:rFonts w:eastAsia="MS Mincho"/>
                <w:lang w:eastAsia="en-US"/>
              </w:rPr>
              <w:t>15 mg/16 hours</w:t>
            </w:r>
            <w:r w:rsidR="00276830">
              <w:rPr>
                <w:rFonts w:eastAsia="MS Mincho"/>
                <w:lang w:eastAsia="en-US"/>
              </w:rPr>
              <w:t xml:space="preserve">, </w:t>
            </w:r>
            <w:r w:rsidR="00276830" w:rsidRPr="00FF6EB3">
              <w:rPr>
                <w:rFonts w:eastAsia="MS Mincho"/>
                <w:lang w:eastAsia="en-US"/>
              </w:rPr>
              <w:t>four-week supply (28 patches) on their</w:t>
            </w:r>
            <w:r w:rsidR="00276830">
              <w:rPr>
                <w:rFonts w:eastAsia="MS Mincho"/>
                <w:lang w:eastAsia="en-US"/>
              </w:rPr>
              <w:t xml:space="preserve"> </w:t>
            </w:r>
            <w:r w:rsidR="00276830" w:rsidRPr="00FF6EB3">
              <w:rPr>
                <w:rFonts w:eastAsia="MS Mincho"/>
                <w:lang w:eastAsia="en-US"/>
              </w:rPr>
              <w:t>TQD.</w:t>
            </w:r>
          </w:p>
          <w:p w14:paraId="26B0F3CD" w14:textId="7C17A6DB" w:rsidR="007E502A" w:rsidRDefault="00276830" w:rsidP="00C324F3">
            <w:pPr>
              <w:pStyle w:val="ListParagraph"/>
              <w:numPr>
                <w:ilvl w:val="0"/>
                <w:numId w:val="181"/>
              </w:numPr>
              <w:rPr>
                <w:rFonts w:eastAsia="MS Mincho"/>
                <w:lang w:eastAsia="en-US"/>
              </w:rPr>
            </w:pPr>
            <w:r>
              <w:rPr>
                <w:rFonts w:eastAsia="MS Mincho"/>
                <w:lang w:eastAsia="en-US"/>
              </w:rPr>
              <w:t>P</w:t>
            </w:r>
            <w:r w:rsidR="00FF6EB3" w:rsidRPr="00FF6EB3">
              <w:rPr>
                <w:rFonts w:eastAsia="MS Mincho"/>
                <w:lang w:eastAsia="en-US"/>
              </w:rPr>
              <w:t>lacebo patches</w:t>
            </w:r>
            <w:r w:rsidR="00FF6EB3">
              <w:rPr>
                <w:rFonts w:eastAsia="MS Mincho"/>
                <w:lang w:eastAsia="en-US"/>
              </w:rPr>
              <w:t xml:space="preserve"> </w:t>
            </w:r>
            <w:r w:rsidR="00AB2D63">
              <w:rPr>
                <w:rFonts w:eastAsia="MS Mincho"/>
                <w:lang w:eastAsia="en-US"/>
              </w:rPr>
              <w:t>(</w:t>
            </w:r>
            <w:r>
              <w:rPr>
                <w:rFonts w:eastAsia="MS Mincho"/>
                <w:lang w:eastAsia="en-US"/>
              </w:rPr>
              <w:t xml:space="preserve">same as </w:t>
            </w:r>
            <w:r w:rsidR="006617E4">
              <w:rPr>
                <w:rFonts w:eastAsia="MS Mincho"/>
                <w:lang w:eastAsia="en-US"/>
              </w:rPr>
              <w:t>above</w:t>
            </w:r>
            <w:r w:rsidR="00AB2D63">
              <w:rPr>
                <w:rFonts w:eastAsia="MS Mincho"/>
                <w:lang w:eastAsia="en-US"/>
              </w:rPr>
              <w:t>)</w:t>
            </w:r>
          </w:p>
          <w:p w14:paraId="56DF7C2B" w14:textId="77777777" w:rsidR="00894493" w:rsidRDefault="00894493" w:rsidP="006B48C7">
            <w:pPr>
              <w:rPr>
                <w:rFonts w:eastAsia="MS Mincho"/>
                <w:lang w:eastAsia="en-US"/>
              </w:rPr>
            </w:pPr>
          </w:p>
          <w:p w14:paraId="582BC2AA" w14:textId="77777777" w:rsidR="00894493" w:rsidRDefault="00894493" w:rsidP="006B48C7">
            <w:pPr>
              <w:rPr>
                <w:rFonts w:eastAsia="MS Mincho"/>
                <w:lang w:eastAsia="en-US"/>
              </w:rPr>
            </w:pPr>
            <w:r>
              <w:rPr>
                <w:rFonts w:eastAsia="MS Mincho"/>
                <w:lang w:eastAsia="en-US"/>
              </w:rPr>
              <w:t>Common components:</w:t>
            </w:r>
          </w:p>
          <w:p w14:paraId="7C2F462F" w14:textId="21CB40DC" w:rsidR="006C4B18" w:rsidRPr="002F7627" w:rsidRDefault="00B1122F" w:rsidP="00C324F3">
            <w:pPr>
              <w:pStyle w:val="ListParagraph"/>
              <w:numPr>
                <w:ilvl w:val="0"/>
                <w:numId w:val="181"/>
              </w:numPr>
              <w:rPr>
                <w:rFonts w:eastAsia="MS Mincho"/>
                <w:lang w:eastAsia="en-US"/>
              </w:rPr>
            </w:pPr>
            <w:r w:rsidRPr="00B1122F">
              <w:rPr>
                <w:rFonts w:eastAsia="MS Mincho"/>
                <w:lang w:eastAsia="en-US"/>
              </w:rPr>
              <w:t>Participants started varenicline one week before their</w:t>
            </w:r>
            <w:r>
              <w:rPr>
                <w:rFonts w:eastAsia="MS Mincho"/>
                <w:lang w:eastAsia="en-US"/>
              </w:rPr>
              <w:t xml:space="preserve"> </w:t>
            </w:r>
            <w:r w:rsidRPr="00B1122F">
              <w:rPr>
                <w:rFonts w:eastAsia="MS Mincho"/>
                <w:lang w:eastAsia="en-US"/>
              </w:rPr>
              <w:t>TQD</w:t>
            </w:r>
            <w:r>
              <w:rPr>
                <w:rFonts w:eastAsia="MS Mincho"/>
                <w:lang w:eastAsia="en-US"/>
              </w:rPr>
              <w:t xml:space="preserve">; </w:t>
            </w:r>
            <w:r w:rsidR="006617E4">
              <w:rPr>
                <w:rFonts w:eastAsia="MS Mincho"/>
                <w:lang w:eastAsia="en-US"/>
              </w:rPr>
              <w:t xml:space="preserve">Varenicline </w:t>
            </w:r>
            <w:r w:rsidR="006617E4" w:rsidRPr="007E502A">
              <w:rPr>
                <w:rFonts w:eastAsia="MS Mincho"/>
                <w:lang w:eastAsia="en-US"/>
              </w:rPr>
              <w:t>0.5 mg/d for the first 3 days, 1 mg/d</w:t>
            </w:r>
            <w:r w:rsidR="006617E4">
              <w:rPr>
                <w:rFonts w:eastAsia="MS Mincho"/>
                <w:lang w:eastAsia="en-US"/>
              </w:rPr>
              <w:t xml:space="preserve"> </w:t>
            </w:r>
            <w:r w:rsidR="006617E4" w:rsidRPr="007E502A">
              <w:rPr>
                <w:rFonts w:eastAsia="MS Mincho"/>
                <w:lang w:eastAsia="en-US"/>
              </w:rPr>
              <w:t>on days 4–7, followed by 2 mg/d for the rest of the</w:t>
            </w:r>
            <w:r w:rsidR="006617E4">
              <w:rPr>
                <w:rFonts w:eastAsia="MS Mincho"/>
                <w:lang w:eastAsia="en-US"/>
              </w:rPr>
              <w:t xml:space="preserve"> </w:t>
            </w:r>
            <w:r w:rsidR="006617E4" w:rsidRPr="007E502A">
              <w:rPr>
                <w:rFonts w:eastAsia="MS Mincho"/>
                <w:lang w:eastAsia="en-US"/>
              </w:rPr>
              <w:t>12-weeks course).</w:t>
            </w:r>
          </w:p>
        </w:tc>
        <w:tc>
          <w:tcPr>
            <w:tcW w:w="997" w:type="pct"/>
          </w:tcPr>
          <w:p w14:paraId="7DEC8D66" w14:textId="7BFB166E" w:rsidR="006C4B18" w:rsidRPr="00646270" w:rsidRDefault="00876282" w:rsidP="006B48C7">
            <w:pPr>
              <w:pStyle w:val="Tablewriting"/>
              <w:rPr>
                <w:rFonts w:eastAsia="MS Mincho" w:cstheme="minorHAnsi"/>
              </w:rPr>
            </w:pPr>
            <w:r>
              <w:rPr>
                <w:rFonts w:eastAsia="MS Mincho" w:cstheme="minorHAnsi"/>
                <w:u w:val="single"/>
              </w:rPr>
              <w:t>Efficacy:</w:t>
            </w:r>
            <w:r w:rsidR="006C3C81">
              <w:rPr>
                <w:rFonts w:eastAsia="MS Mincho" w:cstheme="minorHAnsi"/>
                <w:u w:val="single"/>
              </w:rPr>
              <w:t xml:space="preserve"> </w:t>
            </w:r>
            <w:r w:rsidR="0063379A">
              <w:rPr>
                <w:rFonts w:eastAsia="MS Mincho" w:cstheme="minorHAnsi"/>
                <w:u w:val="single"/>
              </w:rPr>
              <w:t>S</w:t>
            </w:r>
            <w:r w:rsidR="006C3C81" w:rsidRPr="00646270">
              <w:rPr>
                <w:rFonts w:eastAsia="MS Mincho" w:cstheme="minorHAnsi"/>
              </w:rPr>
              <w:t xml:space="preserve">elf-reported </w:t>
            </w:r>
            <w:r w:rsidR="004209FB">
              <w:rPr>
                <w:rFonts w:eastAsia="MS Mincho" w:cstheme="minorHAnsi"/>
              </w:rPr>
              <w:t xml:space="preserve">sustained </w:t>
            </w:r>
            <w:r w:rsidR="006C3C81" w:rsidRPr="00646270">
              <w:rPr>
                <w:rFonts w:eastAsia="MS Mincho" w:cstheme="minorHAnsi"/>
              </w:rPr>
              <w:t xml:space="preserve">abstinence rate </w:t>
            </w:r>
            <w:r w:rsidR="004209FB">
              <w:rPr>
                <w:rFonts w:eastAsia="MS Mincho" w:cstheme="minorHAnsi"/>
              </w:rPr>
              <w:t xml:space="preserve">at </w:t>
            </w:r>
            <w:r w:rsidR="006C3C81" w:rsidRPr="00646270">
              <w:rPr>
                <w:rFonts w:eastAsia="MS Mincho" w:cstheme="minorHAnsi"/>
              </w:rPr>
              <w:t>12 weeks</w:t>
            </w:r>
            <w:r w:rsidR="004A245C">
              <w:rPr>
                <w:rFonts w:eastAsia="MS Mincho" w:cstheme="minorHAnsi"/>
              </w:rPr>
              <w:t xml:space="preserve"> </w:t>
            </w:r>
            <w:r w:rsidR="004209FB">
              <w:rPr>
                <w:rFonts w:eastAsia="MS Mincho" w:cstheme="minorHAnsi"/>
              </w:rPr>
              <w:t>(not biochemically validated)</w:t>
            </w:r>
            <w:r w:rsidR="00440E10">
              <w:rPr>
                <w:rFonts w:eastAsia="MS Mincho" w:cstheme="minorHAnsi"/>
              </w:rPr>
              <w:t>,</w:t>
            </w:r>
          </w:p>
          <w:p w14:paraId="1601104F" w14:textId="6285FAE3" w:rsidR="00F46EC0" w:rsidRDefault="00440E10" w:rsidP="006B48C7">
            <w:pPr>
              <w:pStyle w:val="Tablewriting"/>
              <w:rPr>
                <w:rFonts w:eastAsia="MS Mincho" w:cstheme="minorHAnsi"/>
              </w:rPr>
            </w:pPr>
            <w:r>
              <w:rPr>
                <w:rFonts w:eastAsia="MS Mincho" w:cstheme="minorHAnsi"/>
              </w:rPr>
              <w:t xml:space="preserve">Sustained abstinence </w:t>
            </w:r>
            <w:r w:rsidR="006C6E5A">
              <w:rPr>
                <w:rFonts w:eastAsia="MS Mincho" w:cstheme="minorHAnsi"/>
              </w:rPr>
              <w:t>at 24 hrs</w:t>
            </w:r>
            <w:r w:rsidR="00CD732F">
              <w:rPr>
                <w:rFonts w:eastAsia="MS Mincho" w:cstheme="minorHAnsi"/>
              </w:rPr>
              <w:t xml:space="preserve">, </w:t>
            </w:r>
            <w:r w:rsidR="006C6E5A">
              <w:rPr>
                <w:rFonts w:eastAsia="MS Mincho" w:cstheme="minorHAnsi"/>
              </w:rPr>
              <w:t>1 week</w:t>
            </w:r>
            <w:r w:rsidR="00CD732F">
              <w:rPr>
                <w:rFonts w:eastAsia="MS Mincho" w:cstheme="minorHAnsi"/>
              </w:rPr>
              <w:t>, and 4 weeks</w:t>
            </w:r>
            <w:r w:rsidR="006C6E5A">
              <w:rPr>
                <w:rFonts w:eastAsia="MS Mincho" w:cstheme="minorHAnsi"/>
              </w:rPr>
              <w:t xml:space="preserve"> (</w:t>
            </w:r>
            <w:r w:rsidR="006C246C">
              <w:rPr>
                <w:rFonts w:eastAsia="MS Mincho" w:cstheme="minorHAnsi"/>
              </w:rPr>
              <w:t>v</w:t>
            </w:r>
            <w:r w:rsidR="00EF0DCD" w:rsidRPr="00EF0DCD">
              <w:rPr>
                <w:rFonts w:eastAsia="MS Mincho" w:cstheme="minorHAnsi"/>
              </w:rPr>
              <w:t xml:space="preserve">alidation: </w:t>
            </w:r>
            <w:r w:rsidR="00646270">
              <w:rPr>
                <w:rFonts w:eastAsia="MS Mincho" w:cstheme="minorHAnsi"/>
              </w:rPr>
              <w:t xml:space="preserve">CO </w:t>
            </w:r>
            <w:r w:rsidR="00646270" w:rsidRPr="00C324F3">
              <w:rPr>
                <w:rFonts w:eastAsia="MS Mincho"/>
              </w:rPr>
              <w:t>&lt;</w:t>
            </w:r>
            <w:r w:rsidR="009C4EF2">
              <w:rPr>
                <w:rFonts w:eastAsia="MS Mincho" w:cstheme="minorHAnsi"/>
              </w:rPr>
              <w:t xml:space="preserve"> </w:t>
            </w:r>
            <w:r w:rsidR="00646270" w:rsidRPr="00C324F3">
              <w:rPr>
                <w:rFonts w:eastAsia="MS Mincho"/>
              </w:rPr>
              <w:t>9 ppm</w:t>
            </w:r>
            <w:r w:rsidR="006C6E5A" w:rsidRPr="00C324F3">
              <w:rPr>
                <w:rFonts w:eastAsia="MS Mincho"/>
              </w:rPr>
              <w:t>)</w:t>
            </w:r>
          </w:p>
          <w:p w14:paraId="0B4F05BA" w14:textId="77777777" w:rsidR="00EF0DCD" w:rsidRPr="00EF0DCD" w:rsidRDefault="00EF0DCD" w:rsidP="006B48C7">
            <w:pPr>
              <w:pStyle w:val="Tablewriting"/>
              <w:rPr>
                <w:rFonts w:eastAsia="MS Mincho" w:cstheme="minorHAnsi"/>
              </w:rPr>
            </w:pPr>
          </w:p>
          <w:p w14:paraId="272B003C" w14:textId="227F5283" w:rsidR="00876282" w:rsidRDefault="00876282" w:rsidP="006B48C7">
            <w:pPr>
              <w:pStyle w:val="Tablewriting"/>
              <w:rPr>
                <w:rFonts w:eastAsia="MS Mincho" w:cstheme="minorHAnsi"/>
              </w:rPr>
            </w:pPr>
            <w:r>
              <w:rPr>
                <w:rFonts w:eastAsia="MS Mincho" w:cstheme="minorHAnsi"/>
                <w:u w:val="single"/>
              </w:rPr>
              <w:t>Safety:</w:t>
            </w:r>
            <w:r w:rsidR="00E45DFC">
              <w:rPr>
                <w:rFonts w:eastAsia="MS Mincho" w:cstheme="minorHAnsi"/>
                <w:u w:val="single"/>
              </w:rPr>
              <w:t xml:space="preserve"> </w:t>
            </w:r>
            <w:r w:rsidR="00E45DFC" w:rsidRPr="00E45DFC">
              <w:rPr>
                <w:rFonts w:eastAsia="MS Mincho" w:cstheme="minorHAnsi"/>
              </w:rPr>
              <w:t>Adverse events</w:t>
            </w:r>
            <w:r w:rsidR="00B662EC">
              <w:rPr>
                <w:rFonts w:eastAsia="MS Mincho" w:cstheme="minorHAnsi"/>
              </w:rPr>
              <w:t xml:space="preserve"> at 12 weeks </w:t>
            </w:r>
          </w:p>
          <w:p w14:paraId="2AFE90B9" w14:textId="77777777" w:rsidR="005D3EF1" w:rsidRDefault="005D3EF1" w:rsidP="006B48C7">
            <w:pPr>
              <w:pStyle w:val="Tablewriting"/>
              <w:rPr>
                <w:rFonts w:eastAsia="MS Mincho" w:cstheme="minorHAnsi"/>
                <w:u w:val="single"/>
              </w:rPr>
            </w:pPr>
          </w:p>
          <w:p w14:paraId="3CA47634" w14:textId="098D41E9" w:rsidR="006C4B18" w:rsidRPr="004272CD" w:rsidRDefault="005D3EF1" w:rsidP="006B48C7">
            <w:pPr>
              <w:pStyle w:val="Tablewriting"/>
              <w:rPr>
                <w:rFonts w:eastAsia="MS Mincho" w:cstheme="minorHAnsi"/>
                <w:u w:val="single"/>
              </w:rPr>
            </w:pPr>
            <w:r>
              <w:rPr>
                <w:rFonts w:eastAsia="MS Mincho" w:cstheme="minorHAnsi"/>
                <w:u w:val="single"/>
              </w:rPr>
              <w:t xml:space="preserve">Other: </w:t>
            </w:r>
            <w:r w:rsidRPr="00B662EC">
              <w:rPr>
                <w:rFonts w:eastAsia="MS Mincho" w:cstheme="minorHAnsi"/>
              </w:rPr>
              <w:t>urges to smoke (</w:t>
            </w:r>
            <w:r w:rsidR="00B662EC" w:rsidRPr="00B662EC">
              <w:rPr>
                <w:rFonts w:eastAsia="MS Mincho" w:cstheme="minorHAnsi"/>
              </w:rPr>
              <w:t xml:space="preserve">24 hrs, </w:t>
            </w:r>
            <w:r w:rsidRPr="00B662EC">
              <w:rPr>
                <w:rFonts w:eastAsia="MS Mincho" w:cstheme="minorHAnsi"/>
              </w:rPr>
              <w:t>1 week</w:t>
            </w:r>
            <w:r w:rsidR="00442D44" w:rsidRPr="00B662EC">
              <w:rPr>
                <w:rFonts w:eastAsia="MS Mincho" w:cstheme="minorHAnsi"/>
              </w:rPr>
              <w:t xml:space="preserve"> after TQD),</w:t>
            </w:r>
            <w:r w:rsidR="00E45DFC">
              <w:rPr>
                <w:rFonts w:eastAsia="MS Mincho" w:cstheme="minorHAnsi"/>
              </w:rPr>
              <w:t xml:space="preserve"> withdrawal symptoms</w:t>
            </w:r>
          </w:p>
        </w:tc>
      </w:tr>
      <w:tr w:rsidR="006C4B18" w:rsidRPr="00017AE6" w14:paraId="5F42C072" w14:textId="77777777" w:rsidTr="00F80C9F">
        <w:trPr>
          <w:trHeight w:val="99"/>
        </w:trPr>
        <w:tc>
          <w:tcPr>
            <w:tcW w:w="484" w:type="pct"/>
          </w:tcPr>
          <w:p w14:paraId="1638FAD9" w14:textId="40E3516F" w:rsidR="006C4B18" w:rsidRPr="00017AE6" w:rsidRDefault="006C4B18" w:rsidP="006B48C7">
            <w:pPr>
              <w:pStyle w:val="Tablewriting"/>
              <w:rPr>
                <w:rFonts w:eastAsia="MS Mincho" w:cstheme="minorHAnsi"/>
              </w:rPr>
            </w:pPr>
            <w:r>
              <w:rPr>
                <w:rFonts w:eastAsia="MS Mincho" w:cstheme="minorHAnsi"/>
              </w:rPr>
              <w:t xml:space="preserve">Koegelenberg </w:t>
            </w:r>
            <w:r w:rsidR="007C5FA5">
              <w:rPr>
                <w:rFonts w:eastAsia="MS Mincho" w:cstheme="minorHAnsi"/>
              </w:rPr>
              <w:t>(</w:t>
            </w:r>
            <w:r>
              <w:rPr>
                <w:rFonts w:eastAsia="MS Mincho" w:cstheme="minorHAnsi"/>
              </w:rPr>
              <w:t>2014</w:t>
            </w:r>
            <w:r w:rsidR="007C5FA5">
              <w:rPr>
                <w:rFonts w:eastAsia="MS Mincho" w:cstheme="minorHAnsi"/>
              </w:rPr>
              <w:t>)</w:t>
            </w:r>
          </w:p>
        </w:tc>
        <w:tc>
          <w:tcPr>
            <w:tcW w:w="235" w:type="pct"/>
          </w:tcPr>
          <w:p w14:paraId="22FC0D75" w14:textId="023DA958" w:rsidR="006C4B18" w:rsidRPr="00017AE6" w:rsidRDefault="00B672A8" w:rsidP="006B48C7">
            <w:pPr>
              <w:pStyle w:val="Tablewriting"/>
              <w:rPr>
                <w:rFonts w:eastAsia="MS Mincho" w:cstheme="minorHAnsi"/>
              </w:rPr>
            </w:pPr>
            <w:r>
              <w:rPr>
                <w:rFonts w:eastAsia="MS Mincho" w:cstheme="minorHAnsi"/>
              </w:rPr>
              <w:t>RCT</w:t>
            </w:r>
          </w:p>
        </w:tc>
        <w:tc>
          <w:tcPr>
            <w:tcW w:w="422" w:type="pct"/>
          </w:tcPr>
          <w:p w14:paraId="3A9D04F1" w14:textId="2045A1C0" w:rsidR="006C4B18" w:rsidRPr="00017AE6" w:rsidRDefault="00146E96" w:rsidP="006B48C7">
            <w:pPr>
              <w:pStyle w:val="Tablewriting"/>
              <w:rPr>
                <w:rFonts w:eastAsia="MS Mincho" w:cstheme="minorHAnsi"/>
              </w:rPr>
            </w:pPr>
            <w:r>
              <w:rPr>
                <w:rFonts w:eastAsia="MS Mincho" w:cstheme="minorHAnsi"/>
              </w:rPr>
              <w:t>South</w:t>
            </w:r>
            <w:r w:rsidR="00A70ADB">
              <w:rPr>
                <w:rFonts w:eastAsia="MS Mincho" w:cstheme="minorHAnsi"/>
              </w:rPr>
              <w:t xml:space="preserve"> Africa</w:t>
            </w:r>
          </w:p>
        </w:tc>
        <w:tc>
          <w:tcPr>
            <w:tcW w:w="413" w:type="pct"/>
          </w:tcPr>
          <w:p w14:paraId="34D3574F" w14:textId="0F3CAE2F" w:rsidR="006C4B18" w:rsidRPr="00017AE6" w:rsidRDefault="00876282" w:rsidP="006B48C7">
            <w:pPr>
              <w:pStyle w:val="Tablewriting"/>
              <w:rPr>
                <w:rFonts w:eastAsia="MS Mincho" w:cstheme="minorHAnsi"/>
              </w:rPr>
            </w:pPr>
            <w:r>
              <w:rPr>
                <w:rFonts w:eastAsia="MS Mincho" w:cstheme="minorHAnsi"/>
              </w:rPr>
              <w:t>N=</w:t>
            </w:r>
            <w:r w:rsidR="004B62AE">
              <w:rPr>
                <w:rFonts w:eastAsia="MS Mincho" w:cstheme="minorHAnsi"/>
              </w:rPr>
              <w:t>446; n=222 (</w:t>
            </w:r>
            <w:r w:rsidR="00EC3779">
              <w:rPr>
                <w:rFonts w:eastAsia="MS Mincho" w:cstheme="minorHAnsi"/>
              </w:rPr>
              <w:t>NRT patch</w:t>
            </w:r>
            <w:r w:rsidR="001C5756">
              <w:rPr>
                <w:rFonts w:eastAsia="MS Mincho" w:cstheme="minorHAnsi"/>
              </w:rPr>
              <w:t xml:space="preserve"> plus </w:t>
            </w:r>
            <w:r w:rsidR="00EC3779">
              <w:rPr>
                <w:rFonts w:eastAsia="MS Mincho" w:cstheme="minorHAnsi"/>
              </w:rPr>
              <w:t>varenicline), n=224 (</w:t>
            </w:r>
            <w:r w:rsidR="001C5756">
              <w:rPr>
                <w:rFonts w:eastAsia="MS Mincho" w:cstheme="minorHAnsi"/>
              </w:rPr>
              <w:t>Placebo plus varenicline)</w:t>
            </w:r>
          </w:p>
        </w:tc>
        <w:tc>
          <w:tcPr>
            <w:tcW w:w="1165" w:type="pct"/>
          </w:tcPr>
          <w:p w14:paraId="1824C3D8" w14:textId="38B33138" w:rsidR="00EE0489" w:rsidRPr="00EE0489" w:rsidRDefault="00EE0489" w:rsidP="006B48C7">
            <w:pPr>
              <w:pStyle w:val="Tablewriting"/>
              <w:rPr>
                <w:rFonts w:eastAsia="MS Mincho" w:cstheme="minorHAnsi"/>
              </w:rPr>
            </w:pPr>
            <w:r w:rsidRPr="00EE0489">
              <w:rPr>
                <w:rFonts w:eastAsia="MS Mincho" w:cstheme="minorHAnsi"/>
              </w:rPr>
              <w:t>Participants aged 18 to 75 years who sought assistance with</w:t>
            </w:r>
            <w:r>
              <w:rPr>
                <w:rFonts w:eastAsia="MS Mincho" w:cstheme="minorHAnsi"/>
              </w:rPr>
              <w:t xml:space="preserve"> </w:t>
            </w:r>
            <w:r w:rsidRPr="00EE0489">
              <w:rPr>
                <w:rFonts w:eastAsia="MS Mincho" w:cstheme="minorHAnsi"/>
              </w:rPr>
              <w:t>smoking cessation, had smoked at least 10 cigarettes/d during</w:t>
            </w:r>
            <w:r>
              <w:rPr>
                <w:rFonts w:eastAsia="MS Mincho" w:cstheme="minorHAnsi"/>
              </w:rPr>
              <w:t xml:space="preserve"> </w:t>
            </w:r>
            <w:r w:rsidRPr="00EE0489">
              <w:rPr>
                <w:rFonts w:eastAsia="MS Mincho" w:cstheme="minorHAnsi"/>
              </w:rPr>
              <w:t>the previous year and the month prior to screening, and</w:t>
            </w:r>
          </w:p>
          <w:p w14:paraId="5579E5B9" w14:textId="6C7986AF" w:rsidR="00EE0489" w:rsidRPr="00EE0489" w:rsidRDefault="00EE0489" w:rsidP="006B48C7">
            <w:pPr>
              <w:pStyle w:val="Tablewriting"/>
              <w:rPr>
                <w:rFonts w:eastAsia="MS Mincho" w:cstheme="minorHAnsi"/>
              </w:rPr>
            </w:pPr>
            <w:r w:rsidRPr="00EE0489">
              <w:rPr>
                <w:rFonts w:eastAsia="MS Mincho" w:cstheme="minorHAnsi"/>
              </w:rPr>
              <w:t>had had no period of smoking</w:t>
            </w:r>
            <w:r>
              <w:rPr>
                <w:rFonts w:eastAsia="MS Mincho" w:cstheme="minorHAnsi"/>
              </w:rPr>
              <w:t xml:space="preserve"> </w:t>
            </w:r>
            <w:r w:rsidRPr="00EE0489">
              <w:rPr>
                <w:rFonts w:eastAsia="MS Mincho" w:cstheme="minorHAnsi"/>
              </w:rPr>
              <w:t>abstinence longer than 3</w:t>
            </w:r>
            <w:r>
              <w:rPr>
                <w:rFonts w:eastAsia="MS Mincho" w:cstheme="minorHAnsi"/>
              </w:rPr>
              <w:t xml:space="preserve"> </w:t>
            </w:r>
            <w:r w:rsidRPr="00EE0489">
              <w:rPr>
                <w:rFonts w:eastAsia="MS Mincho" w:cstheme="minorHAnsi"/>
              </w:rPr>
              <w:t>months</w:t>
            </w:r>
          </w:p>
          <w:p w14:paraId="406EC326" w14:textId="12CBE1CE" w:rsidR="00F24C75" w:rsidRDefault="00EE0489" w:rsidP="006B48C7">
            <w:pPr>
              <w:pStyle w:val="Tablewriting"/>
              <w:rPr>
                <w:rFonts w:eastAsia="MS Mincho" w:cstheme="minorHAnsi"/>
              </w:rPr>
            </w:pPr>
            <w:r w:rsidRPr="00EE0489">
              <w:rPr>
                <w:rFonts w:eastAsia="MS Mincho" w:cstheme="minorHAnsi"/>
              </w:rPr>
              <w:t>in the past year</w:t>
            </w:r>
            <w:r w:rsidR="00F24C75">
              <w:rPr>
                <w:rFonts w:eastAsia="MS Mincho" w:cstheme="minorHAnsi"/>
              </w:rPr>
              <w:t>.</w:t>
            </w:r>
          </w:p>
          <w:p w14:paraId="19B7EB7E" w14:textId="77777777" w:rsidR="00F24C75" w:rsidRPr="00EE0489" w:rsidRDefault="00F24C75" w:rsidP="006B48C7">
            <w:pPr>
              <w:pStyle w:val="Tablewriting"/>
              <w:rPr>
                <w:rFonts w:eastAsia="MS Mincho" w:cstheme="minorHAnsi"/>
              </w:rPr>
            </w:pPr>
          </w:p>
          <w:p w14:paraId="74415395" w14:textId="56F3C59E" w:rsidR="00EE0489" w:rsidRPr="00EE0489" w:rsidRDefault="00EE0489" w:rsidP="006B48C7">
            <w:pPr>
              <w:pStyle w:val="Tablewriting"/>
              <w:rPr>
                <w:rFonts w:eastAsia="MS Mincho" w:cstheme="minorHAnsi"/>
              </w:rPr>
            </w:pPr>
            <w:r w:rsidRPr="00EE0489">
              <w:rPr>
                <w:rFonts w:eastAsia="MS Mincho" w:cstheme="minorHAnsi"/>
              </w:rPr>
              <w:t>Women of child-bearing potential were</w:t>
            </w:r>
          </w:p>
          <w:p w14:paraId="1E7D3BC5" w14:textId="2029DB7F" w:rsidR="00F24C75" w:rsidRPr="00EE0489" w:rsidRDefault="00EE0489" w:rsidP="006B48C7">
            <w:pPr>
              <w:pStyle w:val="Tablewriting"/>
              <w:rPr>
                <w:rFonts w:eastAsia="MS Mincho" w:cstheme="minorHAnsi"/>
              </w:rPr>
            </w:pPr>
            <w:r w:rsidRPr="00EE0489">
              <w:rPr>
                <w:rFonts w:eastAsia="MS Mincho" w:cstheme="minorHAnsi"/>
              </w:rPr>
              <w:t xml:space="preserve">allowed to </w:t>
            </w:r>
            <w:r w:rsidR="00E3742D" w:rsidRPr="00EE0489">
              <w:rPr>
                <w:rFonts w:eastAsia="MS Mincho" w:cstheme="minorHAnsi"/>
              </w:rPr>
              <w:t>enrol</w:t>
            </w:r>
            <w:r w:rsidRPr="00EE0489">
              <w:rPr>
                <w:rFonts w:eastAsia="MS Mincho" w:cstheme="minorHAnsi"/>
              </w:rPr>
              <w:t xml:space="preserve"> provided they agreed to avoid pregnancy</w:t>
            </w:r>
            <w:r w:rsidR="00F24C75">
              <w:rPr>
                <w:rFonts w:eastAsia="MS Mincho" w:cstheme="minorHAnsi"/>
              </w:rPr>
              <w:t xml:space="preserve"> </w:t>
            </w:r>
            <w:r w:rsidRPr="00EE0489">
              <w:rPr>
                <w:rFonts w:eastAsia="MS Mincho" w:cstheme="minorHAnsi"/>
              </w:rPr>
              <w:t>through 30 days after the last dose of study medication, had a</w:t>
            </w:r>
            <w:r w:rsidR="00F24C75">
              <w:rPr>
                <w:rFonts w:eastAsia="MS Mincho" w:cstheme="minorHAnsi"/>
              </w:rPr>
              <w:t xml:space="preserve"> </w:t>
            </w:r>
            <w:r w:rsidRPr="00EE0489">
              <w:rPr>
                <w:rFonts w:eastAsia="MS Mincho" w:cstheme="minorHAnsi"/>
              </w:rPr>
              <w:t>negative test for pregnancy (urinary β–human chorionic</w:t>
            </w:r>
            <w:r w:rsidR="00F24C75">
              <w:rPr>
                <w:rFonts w:eastAsia="MS Mincho" w:cstheme="minorHAnsi"/>
              </w:rPr>
              <w:t xml:space="preserve"> </w:t>
            </w:r>
            <w:r w:rsidRPr="00EE0489">
              <w:rPr>
                <w:rFonts w:eastAsia="MS Mincho" w:cstheme="minorHAnsi"/>
              </w:rPr>
              <w:t>gonadotropin),</w:t>
            </w:r>
            <w:r w:rsidR="00F24C75">
              <w:rPr>
                <w:rFonts w:eastAsia="MS Mincho" w:cstheme="minorHAnsi"/>
              </w:rPr>
              <w:t xml:space="preserve"> </w:t>
            </w:r>
            <w:r w:rsidRPr="00EE0489">
              <w:rPr>
                <w:rFonts w:eastAsia="MS Mincho" w:cstheme="minorHAnsi"/>
              </w:rPr>
              <w:t xml:space="preserve">and agreed </w:t>
            </w:r>
            <w:r w:rsidRPr="00EE0489">
              <w:rPr>
                <w:rFonts w:eastAsia="MS Mincho" w:cstheme="minorHAnsi"/>
              </w:rPr>
              <w:lastRenderedPageBreak/>
              <w:t>to use an effective birth control</w:t>
            </w:r>
            <w:r w:rsidR="00F24C75">
              <w:rPr>
                <w:rFonts w:eastAsia="MS Mincho" w:cstheme="minorHAnsi"/>
              </w:rPr>
              <w:t xml:space="preserve"> </w:t>
            </w:r>
            <w:r w:rsidRPr="00EE0489">
              <w:rPr>
                <w:rFonts w:eastAsia="MS Mincho" w:cstheme="minorHAnsi"/>
              </w:rPr>
              <w:t xml:space="preserve">method. </w:t>
            </w:r>
          </w:p>
          <w:p w14:paraId="48263C82" w14:textId="77777777" w:rsidR="00F24C75" w:rsidRDefault="00F24C75" w:rsidP="006B48C7">
            <w:pPr>
              <w:pStyle w:val="Tablewriting"/>
              <w:rPr>
                <w:rFonts w:eastAsia="MS Mincho" w:cstheme="minorHAnsi"/>
              </w:rPr>
            </w:pPr>
          </w:p>
          <w:p w14:paraId="495D4F94" w14:textId="77777777" w:rsidR="006C4B18" w:rsidRDefault="00EE0489" w:rsidP="006B48C7">
            <w:pPr>
              <w:pStyle w:val="Tablewriting"/>
              <w:rPr>
                <w:rFonts w:eastAsia="MS Mincho" w:cstheme="minorHAnsi"/>
                <w:u w:val="single"/>
              </w:rPr>
            </w:pPr>
            <w:r w:rsidRPr="00F24C75">
              <w:rPr>
                <w:rFonts w:eastAsia="MS Mincho" w:cstheme="minorHAnsi"/>
                <w:u w:val="single"/>
              </w:rPr>
              <w:t>Exclusion</w:t>
            </w:r>
            <w:r w:rsidR="00F24C75" w:rsidRPr="00F24C75">
              <w:rPr>
                <w:rFonts w:eastAsia="MS Mincho" w:cstheme="minorHAnsi"/>
                <w:u w:val="single"/>
              </w:rPr>
              <w:t xml:space="preserve"> </w:t>
            </w:r>
            <w:r w:rsidRPr="00F24C75">
              <w:rPr>
                <w:rFonts w:eastAsia="MS Mincho" w:cstheme="minorHAnsi"/>
                <w:u w:val="single"/>
              </w:rPr>
              <w:t>criteria</w:t>
            </w:r>
            <w:r w:rsidR="00F24C75" w:rsidRPr="00F24C75">
              <w:rPr>
                <w:rFonts w:eastAsia="MS Mincho" w:cstheme="minorHAnsi"/>
                <w:u w:val="single"/>
              </w:rPr>
              <w:t xml:space="preserve">: </w:t>
            </w:r>
          </w:p>
          <w:p w14:paraId="63226E5C" w14:textId="77777777" w:rsidR="00662348" w:rsidRPr="00662348" w:rsidRDefault="00662348" w:rsidP="006B48C7">
            <w:pPr>
              <w:pStyle w:val="Tablewriting"/>
              <w:rPr>
                <w:rFonts w:eastAsia="MS Mincho" w:cstheme="minorHAnsi"/>
              </w:rPr>
            </w:pPr>
            <w:r w:rsidRPr="00662348">
              <w:rPr>
                <w:rFonts w:eastAsia="MS Mincho" w:cstheme="minorHAnsi"/>
              </w:rPr>
              <w:t>Past or present depression or treatment with antidepressants within</w:t>
            </w:r>
          </w:p>
          <w:p w14:paraId="73C3D948" w14:textId="79BB4786" w:rsidR="00662348" w:rsidRPr="00662348" w:rsidRDefault="00662348" w:rsidP="006B48C7">
            <w:pPr>
              <w:pStyle w:val="Tablewriting"/>
              <w:rPr>
                <w:rFonts w:eastAsia="MS Mincho" w:cstheme="minorHAnsi"/>
              </w:rPr>
            </w:pPr>
            <w:r w:rsidRPr="00662348">
              <w:rPr>
                <w:rFonts w:eastAsia="MS Mincho" w:cstheme="minorHAnsi"/>
              </w:rPr>
              <w:t>the past 12 months</w:t>
            </w:r>
            <w:r w:rsidR="0000018D">
              <w:rPr>
                <w:rFonts w:eastAsia="MS Mincho" w:cstheme="minorHAnsi"/>
              </w:rPr>
              <w:t>, h</w:t>
            </w:r>
            <w:r w:rsidRPr="00662348">
              <w:rPr>
                <w:rFonts w:eastAsia="MS Mincho" w:cstheme="minorHAnsi"/>
              </w:rPr>
              <w:t>istory of or currently experiencing psychosis, panic disorder, or bipolar</w:t>
            </w:r>
            <w:r w:rsidR="0000018D">
              <w:rPr>
                <w:rFonts w:eastAsia="MS Mincho" w:cstheme="minorHAnsi"/>
              </w:rPr>
              <w:t xml:space="preserve"> </w:t>
            </w:r>
            <w:r w:rsidRPr="00662348">
              <w:rPr>
                <w:rFonts w:eastAsia="MS Mincho" w:cstheme="minorHAnsi"/>
              </w:rPr>
              <w:t>disorder</w:t>
            </w:r>
            <w:r w:rsidR="0000018D">
              <w:rPr>
                <w:rFonts w:eastAsia="MS Mincho" w:cstheme="minorHAnsi"/>
              </w:rPr>
              <w:t xml:space="preserve">, </w:t>
            </w:r>
            <w:r w:rsidRPr="00662348">
              <w:rPr>
                <w:rFonts w:eastAsia="MS Mincho" w:cstheme="minorHAnsi"/>
              </w:rPr>
              <w:t>Severe chronic obstructive pulmonary disease</w:t>
            </w:r>
          </w:p>
          <w:p w14:paraId="17FAE8A4" w14:textId="1F7CEAA9" w:rsidR="00662348" w:rsidRPr="00662348" w:rsidRDefault="00662348" w:rsidP="006B48C7">
            <w:pPr>
              <w:pStyle w:val="Tablewriting"/>
              <w:rPr>
                <w:rFonts w:eastAsia="MS Mincho" w:cstheme="minorHAnsi"/>
              </w:rPr>
            </w:pPr>
            <w:r w:rsidRPr="00662348">
              <w:rPr>
                <w:rFonts w:eastAsia="MS Mincho" w:cstheme="minorHAnsi"/>
              </w:rPr>
              <w:t xml:space="preserve">Clinically significant cardiovascular disease in the past 6 months, </w:t>
            </w:r>
            <w:r w:rsidR="00425E63">
              <w:rPr>
                <w:rFonts w:eastAsia="MS Mincho" w:cstheme="minorHAnsi"/>
              </w:rPr>
              <w:t>u</w:t>
            </w:r>
            <w:r w:rsidRPr="00662348">
              <w:rPr>
                <w:rFonts w:eastAsia="MS Mincho" w:cstheme="minorHAnsi"/>
              </w:rPr>
              <w:t xml:space="preserve">ncontrolled </w:t>
            </w:r>
            <w:r w:rsidR="00115AEE" w:rsidRPr="00662348">
              <w:rPr>
                <w:rFonts w:eastAsia="MS Mincho" w:cstheme="minorHAnsi"/>
              </w:rPr>
              <w:t>hypertension,</w:t>
            </w:r>
            <w:r w:rsidRPr="00662348">
              <w:rPr>
                <w:rFonts w:eastAsia="MS Mincho" w:cstheme="minorHAnsi"/>
              </w:rPr>
              <w:t xml:space="preserve"> or a systolic blood pressure greater than</w:t>
            </w:r>
            <w:r w:rsidR="00425E63">
              <w:rPr>
                <w:rFonts w:eastAsia="MS Mincho" w:cstheme="minorHAnsi"/>
              </w:rPr>
              <w:t xml:space="preserve"> </w:t>
            </w:r>
            <w:r w:rsidRPr="00662348">
              <w:rPr>
                <w:rFonts w:eastAsia="MS Mincho" w:cstheme="minorHAnsi"/>
              </w:rPr>
              <w:t>150mmHg or diastolic pressure greater than 95mmHg at screening</w:t>
            </w:r>
            <w:r w:rsidR="00CA71F0">
              <w:rPr>
                <w:rFonts w:eastAsia="MS Mincho" w:cstheme="minorHAnsi"/>
              </w:rPr>
              <w:t>, c</w:t>
            </w:r>
            <w:r w:rsidRPr="00662348">
              <w:rPr>
                <w:rFonts w:eastAsia="MS Mincho" w:cstheme="minorHAnsi"/>
              </w:rPr>
              <w:t>linically significant neurological disorders or cerebrovascular diseases in the past</w:t>
            </w:r>
            <w:r w:rsidR="00CA71F0">
              <w:rPr>
                <w:rFonts w:eastAsia="MS Mincho" w:cstheme="minorHAnsi"/>
              </w:rPr>
              <w:t xml:space="preserve"> </w:t>
            </w:r>
            <w:r w:rsidRPr="00662348">
              <w:rPr>
                <w:rFonts w:eastAsia="MS Mincho" w:cstheme="minorHAnsi"/>
              </w:rPr>
              <w:t>6</w:t>
            </w:r>
            <w:r w:rsidR="00CA71F0">
              <w:rPr>
                <w:rFonts w:eastAsia="MS Mincho" w:cstheme="minorHAnsi"/>
              </w:rPr>
              <w:t xml:space="preserve"> </w:t>
            </w:r>
            <w:r w:rsidR="00CA71F0" w:rsidRPr="00662348">
              <w:rPr>
                <w:rFonts w:eastAsia="MS Mincho" w:cstheme="minorHAnsi"/>
              </w:rPr>
              <w:t>months</w:t>
            </w:r>
            <w:r w:rsidR="00CA71F0">
              <w:rPr>
                <w:rFonts w:eastAsia="MS Mincho" w:cstheme="minorHAnsi"/>
              </w:rPr>
              <w:t xml:space="preserve">, </w:t>
            </w:r>
            <w:r w:rsidR="00CA71F0" w:rsidRPr="00662348">
              <w:rPr>
                <w:rFonts w:eastAsia="MS Mincho" w:cstheme="minorHAnsi"/>
              </w:rPr>
              <w:t>history</w:t>
            </w:r>
            <w:r w:rsidRPr="00662348">
              <w:rPr>
                <w:rFonts w:eastAsia="MS Mincho" w:cstheme="minorHAnsi"/>
              </w:rPr>
              <w:t xml:space="preserve"> of clinically significant endocrine disorders or gastrointestinal</w:t>
            </w:r>
          </w:p>
          <w:p w14:paraId="0FBB94D4" w14:textId="77777777" w:rsidR="00662348" w:rsidRPr="00662348" w:rsidRDefault="00662348" w:rsidP="006B48C7">
            <w:pPr>
              <w:pStyle w:val="Tablewriting"/>
              <w:rPr>
                <w:rFonts w:eastAsia="MS Mincho" w:cstheme="minorHAnsi"/>
              </w:rPr>
            </w:pPr>
            <w:r w:rsidRPr="00662348">
              <w:rPr>
                <w:rFonts w:eastAsia="MS Mincho" w:cstheme="minorHAnsi"/>
              </w:rPr>
              <w:t>diseases, including insulin-dependent diabetes mellitus, uncontrolled</w:t>
            </w:r>
          </w:p>
          <w:p w14:paraId="2AC94FA9" w14:textId="34F9202E" w:rsidR="006C4B18" w:rsidRPr="00F24C75" w:rsidRDefault="00662348" w:rsidP="006B48C7">
            <w:pPr>
              <w:pStyle w:val="Tablewriting"/>
              <w:rPr>
                <w:rFonts w:eastAsia="MS Mincho" w:cstheme="minorHAnsi"/>
                <w:u w:val="single"/>
              </w:rPr>
            </w:pPr>
            <w:r w:rsidRPr="00662348">
              <w:rPr>
                <w:rFonts w:eastAsia="MS Mincho" w:cstheme="minorHAnsi"/>
              </w:rPr>
              <w:t>hyperthyroidism, and active peptic ulcer</w:t>
            </w:r>
            <w:r w:rsidR="00CA71F0">
              <w:rPr>
                <w:rFonts w:eastAsia="MS Mincho" w:cstheme="minorHAnsi"/>
              </w:rPr>
              <w:t>, s</w:t>
            </w:r>
            <w:r w:rsidRPr="00662348">
              <w:rPr>
                <w:rFonts w:eastAsia="MS Mincho" w:cstheme="minorHAnsi"/>
              </w:rPr>
              <w:t>ignificant hepatic or renal impairment or other clinically significant</w:t>
            </w:r>
            <w:r w:rsidR="00CD45FF">
              <w:rPr>
                <w:rFonts w:eastAsia="MS Mincho" w:cstheme="minorHAnsi"/>
              </w:rPr>
              <w:t xml:space="preserve"> </w:t>
            </w:r>
            <w:r w:rsidRPr="00662348">
              <w:rPr>
                <w:rFonts w:eastAsia="MS Mincho" w:cstheme="minorHAnsi"/>
              </w:rPr>
              <w:t>abnormal laboratory test values</w:t>
            </w:r>
            <w:r w:rsidR="00CD45FF">
              <w:rPr>
                <w:rFonts w:eastAsia="MS Mincho" w:cstheme="minorHAnsi"/>
              </w:rPr>
              <w:t>, h</w:t>
            </w:r>
            <w:r w:rsidRPr="00662348">
              <w:rPr>
                <w:rFonts w:eastAsia="MS Mincho" w:cstheme="minorHAnsi"/>
              </w:rPr>
              <w:t>istory of cancer</w:t>
            </w:r>
            <w:r w:rsidR="00CD45FF">
              <w:rPr>
                <w:rFonts w:eastAsia="MS Mincho" w:cstheme="minorHAnsi"/>
              </w:rPr>
              <w:t>, h</w:t>
            </w:r>
            <w:r w:rsidRPr="00662348">
              <w:rPr>
                <w:rFonts w:eastAsia="MS Mincho" w:cstheme="minorHAnsi"/>
              </w:rPr>
              <w:t>istory of clinically significant allergic reactions to drugs</w:t>
            </w:r>
            <w:r w:rsidR="00CD45FF">
              <w:rPr>
                <w:rFonts w:eastAsia="MS Mincho" w:cstheme="minorHAnsi"/>
              </w:rPr>
              <w:t>, h</w:t>
            </w:r>
            <w:r w:rsidRPr="00662348">
              <w:rPr>
                <w:rFonts w:eastAsia="MS Mincho" w:cstheme="minorHAnsi"/>
              </w:rPr>
              <w:t xml:space="preserve">istory of drug or alcohol </w:t>
            </w:r>
            <w:r w:rsidRPr="00662348">
              <w:rPr>
                <w:rFonts w:eastAsia="MS Mincho" w:cstheme="minorHAnsi"/>
              </w:rPr>
              <w:lastRenderedPageBreak/>
              <w:t>abuse or dependence within the past</w:t>
            </w:r>
            <w:r w:rsidR="00CD45FF">
              <w:rPr>
                <w:rFonts w:eastAsia="MS Mincho" w:cstheme="minorHAnsi"/>
              </w:rPr>
              <w:t>.</w:t>
            </w:r>
          </w:p>
        </w:tc>
        <w:tc>
          <w:tcPr>
            <w:tcW w:w="1284" w:type="pct"/>
          </w:tcPr>
          <w:p w14:paraId="7EB6CABD" w14:textId="50DCDAF2" w:rsidR="006D2D83" w:rsidRPr="00476858" w:rsidRDefault="006D2D83" w:rsidP="00C324F3">
            <w:pPr>
              <w:pStyle w:val="ListParagraph"/>
              <w:numPr>
                <w:ilvl w:val="0"/>
                <w:numId w:val="181"/>
              </w:numPr>
              <w:rPr>
                <w:rFonts w:eastAsia="MS Mincho"/>
                <w:lang w:eastAsia="en-US"/>
              </w:rPr>
            </w:pPr>
            <w:r w:rsidRPr="006D2D83">
              <w:rPr>
                <w:rFonts w:eastAsia="MS Mincho"/>
                <w:lang w:eastAsia="en-US"/>
              </w:rPr>
              <w:lastRenderedPageBreak/>
              <w:t>Nicotine patch</w:t>
            </w:r>
            <w:r>
              <w:rPr>
                <w:rFonts w:eastAsia="MS Mincho"/>
                <w:lang w:eastAsia="en-US"/>
              </w:rPr>
              <w:t xml:space="preserve">; </w:t>
            </w:r>
            <w:r w:rsidR="00476858" w:rsidRPr="00476858">
              <w:rPr>
                <w:rFonts w:eastAsia="MS Mincho"/>
                <w:lang w:eastAsia="en-US"/>
              </w:rPr>
              <w:t>15-mg nicotine patches</w:t>
            </w:r>
            <w:r w:rsidR="00476858">
              <w:rPr>
                <w:rFonts w:eastAsia="MS Mincho"/>
                <w:lang w:eastAsia="en-US"/>
              </w:rPr>
              <w:t xml:space="preserve"> </w:t>
            </w:r>
            <w:r w:rsidR="00476858" w:rsidRPr="00476858">
              <w:rPr>
                <w:rFonts w:eastAsia="MS Mincho"/>
                <w:lang w:eastAsia="en-US"/>
              </w:rPr>
              <w:t>were administered for 16 h/d</w:t>
            </w:r>
            <w:r w:rsidR="00476858">
              <w:rPr>
                <w:rFonts w:eastAsia="MS Mincho"/>
                <w:lang w:eastAsia="en-US"/>
              </w:rPr>
              <w:t xml:space="preserve"> </w:t>
            </w:r>
            <w:r w:rsidR="00476858" w:rsidRPr="00476858">
              <w:rPr>
                <w:rFonts w:eastAsia="MS Mincho"/>
                <w:lang w:eastAsia="en-US"/>
              </w:rPr>
              <w:t>beginning at the randomization</w:t>
            </w:r>
            <w:r w:rsidR="00476858">
              <w:rPr>
                <w:rFonts w:eastAsia="MS Mincho"/>
                <w:lang w:eastAsia="en-US"/>
              </w:rPr>
              <w:t xml:space="preserve"> </w:t>
            </w:r>
            <w:r w:rsidR="00476858" w:rsidRPr="00476858">
              <w:rPr>
                <w:rFonts w:eastAsia="MS Mincho"/>
                <w:lang w:eastAsia="en-US"/>
              </w:rPr>
              <w:t>visit, 2 weeks before the TQD, and continued until</w:t>
            </w:r>
            <w:r w:rsidR="00476858">
              <w:rPr>
                <w:rFonts w:eastAsia="MS Mincho"/>
                <w:lang w:eastAsia="en-US"/>
              </w:rPr>
              <w:t xml:space="preserve"> </w:t>
            </w:r>
            <w:r w:rsidR="00476858" w:rsidRPr="00476858">
              <w:rPr>
                <w:rFonts w:eastAsia="MS Mincho"/>
                <w:lang w:eastAsia="en-US"/>
              </w:rPr>
              <w:t>week</w:t>
            </w:r>
            <w:r w:rsidR="00476858">
              <w:rPr>
                <w:rFonts w:eastAsia="MS Mincho"/>
                <w:lang w:eastAsia="en-US"/>
              </w:rPr>
              <w:t xml:space="preserve"> </w:t>
            </w:r>
            <w:r w:rsidR="00476858" w:rsidRPr="00476858">
              <w:rPr>
                <w:rFonts w:eastAsia="MS Mincho"/>
                <w:lang w:eastAsia="en-US"/>
              </w:rPr>
              <w:t>12 (total duration, 14</w:t>
            </w:r>
            <w:r w:rsidR="00476858">
              <w:rPr>
                <w:rFonts w:eastAsia="MS Mincho"/>
                <w:lang w:eastAsia="en-US"/>
              </w:rPr>
              <w:t xml:space="preserve"> </w:t>
            </w:r>
            <w:r w:rsidR="00476858" w:rsidRPr="00476858">
              <w:rPr>
                <w:rFonts w:eastAsia="MS Mincho"/>
                <w:lang w:eastAsia="en-US"/>
              </w:rPr>
              <w:t>weeks).</w:t>
            </w:r>
            <w:r w:rsidRPr="00476858">
              <w:rPr>
                <w:rFonts w:eastAsia="MS Mincho"/>
                <w:lang w:eastAsia="en-US"/>
              </w:rPr>
              <w:t xml:space="preserve"> </w:t>
            </w:r>
          </w:p>
          <w:p w14:paraId="76C25D41" w14:textId="6757013B" w:rsidR="00476858" w:rsidRDefault="006D2D83" w:rsidP="00C324F3">
            <w:pPr>
              <w:pStyle w:val="ListParagraph"/>
              <w:numPr>
                <w:ilvl w:val="0"/>
                <w:numId w:val="181"/>
              </w:numPr>
              <w:rPr>
                <w:rFonts w:eastAsia="MS Mincho"/>
                <w:lang w:eastAsia="en-US"/>
              </w:rPr>
            </w:pPr>
            <w:r>
              <w:rPr>
                <w:rFonts w:eastAsia="MS Mincho"/>
                <w:lang w:eastAsia="en-US"/>
              </w:rPr>
              <w:t>Placebo (same as above)</w:t>
            </w:r>
          </w:p>
          <w:p w14:paraId="4E16A25E" w14:textId="77777777" w:rsidR="005C5B17" w:rsidRDefault="005C5B17" w:rsidP="006B48C7">
            <w:pPr>
              <w:pStyle w:val="ListParagraph"/>
              <w:ind w:left="360"/>
              <w:rPr>
                <w:rFonts w:eastAsia="MS Mincho"/>
                <w:lang w:eastAsia="en-US"/>
              </w:rPr>
            </w:pPr>
          </w:p>
          <w:p w14:paraId="5A0ADB98" w14:textId="77777777" w:rsidR="005C5B17" w:rsidRPr="005C5B17" w:rsidRDefault="005C5B17" w:rsidP="006B48C7">
            <w:pPr>
              <w:pStyle w:val="ListParagraph"/>
              <w:ind w:left="360"/>
              <w:rPr>
                <w:rFonts w:eastAsia="MS Mincho"/>
                <w:lang w:eastAsia="en-US"/>
              </w:rPr>
            </w:pPr>
          </w:p>
          <w:p w14:paraId="1A0C2190" w14:textId="6EC3F128" w:rsidR="001E62B4" w:rsidRPr="001E62B4" w:rsidRDefault="00476858" w:rsidP="006B48C7">
            <w:pPr>
              <w:rPr>
                <w:rFonts w:eastAsia="MS Mincho"/>
                <w:lang w:eastAsia="en-US"/>
              </w:rPr>
            </w:pPr>
            <w:r w:rsidRPr="00476858">
              <w:rPr>
                <w:rFonts w:eastAsia="MS Mincho"/>
                <w:u w:val="single"/>
                <w:lang w:eastAsia="en-US"/>
              </w:rPr>
              <w:t>Common components:</w:t>
            </w:r>
            <w:r>
              <w:rPr>
                <w:rFonts w:eastAsia="MS Mincho"/>
                <w:lang w:eastAsia="en-US"/>
              </w:rPr>
              <w:t xml:space="preserve"> </w:t>
            </w:r>
            <w:r w:rsidR="001E62B4" w:rsidRPr="001E62B4">
              <w:rPr>
                <w:rFonts w:eastAsia="MS Mincho"/>
                <w:lang w:eastAsia="en-US"/>
              </w:rPr>
              <w:t>One week before the TQD,</w:t>
            </w:r>
            <w:r w:rsidR="001E62B4">
              <w:rPr>
                <w:rFonts w:eastAsia="MS Mincho"/>
                <w:lang w:eastAsia="en-US"/>
              </w:rPr>
              <w:t xml:space="preserve"> </w:t>
            </w:r>
            <w:r w:rsidR="001E62B4" w:rsidRPr="001E62B4">
              <w:rPr>
                <w:rFonts w:eastAsia="MS Mincho"/>
                <w:lang w:eastAsia="en-US"/>
              </w:rPr>
              <w:t>all participants began taking varenicline 0.5mg once</w:t>
            </w:r>
            <w:r w:rsidR="001E62B4">
              <w:rPr>
                <w:rFonts w:eastAsia="MS Mincho"/>
                <w:lang w:eastAsia="en-US"/>
              </w:rPr>
              <w:t xml:space="preserve"> </w:t>
            </w:r>
            <w:r w:rsidR="001E62B4" w:rsidRPr="001E62B4">
              <w:rPr>
                <w:rFonts w:eastAsia="MS Mincho"/>
                <w:lang w:eastAsia="en-US"/>
              </w:rPr>
              <w:t>daily for 3 days, titrated to 0.5 mg twice daily for days 4 to 7</w:t>
            </w:r>
          </w:p>
          <w:p w14:paraId="2670F331" w14:textId="77777777" w:rsidR="001E62B4" w:rsidRDefault="001E62B4" w:rsidP="006B48C7">
            <w:pPr>
              <w:rPr>
                <w:rFonts w:eastAsia="MS Mincho"/>
                <w:lang w:eastAsia="en-US"/>
              </w:rPr>
            </w:pPr>
            <w:r w:rsidRPr="001E62B4">
              <w:rPr>
                <w:rFonts w:eastAsia="MS Mincho"/>
                <w:lang w:eastAsia="en-US"/>
              </w:rPr>
              <w:t>and then to the maintenance dose of 1mg twice daily through</w:t>
            </w:r>
            <w:r>
              <w:rPr>
                <w:rFonts w:eastAsia="MS Mincho"/>
                <w:lang w:eastAsia="en-US"/>
              </w:rPr>
              <w:t xml:space="preserve"> </w:t>
            </w:r>
            <w:r w:rsidRPr="001E62B4">
              <w:rPr>
                <w:rFonts w:eastAsia="MS Mincho"/>
                <w:lang w:eastAsia="en-US"/>
              </w:rPr>
              <w:t xml:space="preserve">week 12. </w:t>
            </w:r>
          </w:p>
          <w:p w14:paraId="0801D7B2" w14:textId="708ECA76" w:rsidR="006C4B18" w:rsidRPr="002F7627" w:rsidRDefault="001E62B4" w:rsidP="006B48C7">
            <w:pPr>
              <w:rPr>
                <w:rFonts w:eastAsia="MS Mincho"/>
                <w:lang w:eastAsia="en-US"/>
              </w:rPr>
            </w:pPr>
            <w:r w:rsidRPr="001E62B4">
              <w:rPr>
                <w:rFonts w:eastAsia="MS Mincho"/>
                <w:lang w:eastAsia="en-US"/>
              </w:rPr>
              <w:t>Varenicline was tapered off and stopped at the end</w:t>
            </w:r>
            <w:r>
              <w:rPr>
                <w:rFonts w:eastAsia="MS Mincho"/>
                <w:lang w:eastAsia="en-US"/>
              </w:rPr>
              <w:t xml:space="preserve"> </w:t>
            </w:r>
            <w:r w:rsidRPr="001E62B4">
              <w:rPr>
                <w:rFonts w:eastAsia="MS Mincho"/>
                <w:lang w:eastAsia="en-US"/>
              </w:rPr>
              <w:t xml:space="preserve">of week 13 (0.5 mg twice daily </w:t>
            </w:r>
            <w:r w:rsidRPr="001E62B4">
              <w:rPr>
                <w:rFonts w:eastAsia="MS Mincho"/>
                <w:lang w:eastAsia="en-US"/>
              </w:rPr>
              <w:lastRenderedPageBreak/>
              <w:t>for 4 days, followed by 0.5 mg</w:t>
            </w:r>
            <w:r>
              <w:rPr>
                <w:rFonts w:eastAsia="MS Mincho"/>
                <w:lang w:eastAsia="en-US"/>
              </w:rPr>
              <w:t xml:space="preserve"> </w:t>
            </w:r>
            <w:r w:rsidRPr="001E62B4">
              <w:rPr>
                <w:rFonts w:eastAsia="MS Mincho"/>
                <w:lang w:eastAsia="en-US"/>
              </w:rPr>
              <w:t>in the evenings for 3 days</w:t>
            </w:r>
            <w:r>
              <w:rPr>
                <w:rFonts w:eastAsia="MS Mincho"/>
                <w:lang w:eastAsia="en-US"/>
              </w:rPr>
              <w:t>,</w:t>
            </w:r>
            <w:r w:rsidRPr="001E62B4">
              <w:rPr>
                <w:rFonts w:eastAsia="MS Mincho"/>
                <w:lang w:eastAsia="en-US"/>
              </w:rPr>
              <w:t xml:space="preserve"> </w:t>
            </w:r>
            <w:r>
              <w:rPr>
                <w:rFonts w:eastAsia="MS Mincho"/>
                <w:lang w:eastAsia="en-US"/>
              </w:rPr>
              <w:t xml:space="preserve">with </w:t>
            </w:r>
            <w:r w:rsidRPr="001E62B4">
              <w:rPr>
                <w:rFonts w:eastAsia="MS Mincho"/>
                <w:lang w:eastAsia="en-US"/>
              </w:rPr>
              <w:t>total duration</w:t>
            </w:r>
            <w:r>
              <w:rPr>
                <w:rFonts w:eastAsia="MS Mincho"/>
                <w:lang w:eastAsia="en-US"/>
              </w:rPr>
              <w:t xml:space="preserve"> of </w:t>
            </w:r>
            <w:r w:rsidRPr="001E62B4">
              <w:rPr>
                <w:rFonts w:eastAsia="MS Mincho"/>
                <w:lang w:eastAsia="en-US"/>
              </w:rPr>
              <w:t>14 weeks</w:t>
            </w:r>
            <w:r>
              <w:rPr>
                <w:rFonts w:eastAsia="MS Mincho"/>
                <w:lang w:eastAsia="en-US"/>
              </w:rPr>
              <w:t xml:space="preserve">). </w:t>
            </w:r>
          </w:p>
        </w:tc>
        <w:tc>
          <w:tcPr>
            <w:tcW w:w="997" w:type="pct"/>
          </w:tcPr>
          <w:p w14:paraId="55D48BEB" w14:textId="737F9939" w:rsidR="00876282" w:rsidRDefault="00876282" w:rsidP="006B48C7">
            <w:pPr>
              <w:pStyle w:val="Tablewriting"/>
              <w:rPr>
                <w:rFonts w:eastAsia="MS Mincho" w:cstheme="minorHAnsi"/>
              </w:rPr>
            </w:pPr>
            <w:r>
              <w:rPr>
                <w:rFonts w:eastAsia="MS Mincho" w:cstheme="minorHAnsi"/>
                <w:u w:val="single"/>
              </w:rPr>
              <w:lastRenderedPageBreak/>
              <w:t>Efficacy:</w:t>
            </w:r>
            <w:r w:rsidR="003137C3">
              <w:rPr>
                <w:rFonts w:eastAsia="MS Mincho" w:cstheme="minorHAnsi"/>
                <w:u w:val="single"/>
              </w:rPr>
              <w:t xml:space="preserve"> </w:t>
            </w:r>
            <w:r w:rsidR="003137C3" w:rsidRPr="00482336">
              <w:rPr>
                <w:rFonts w:eastAsia="MS Mincho" w:cstheme="minorHAnsi"/>
              </w:rPr>
              <w:t>C</w:t>
            </w:r>
            <w:r w:rsidR="00482336" w:rsidRPr="00482336">
              <w:rPr>
                <w:rFonts w:eastAsia="MS Mincho" w:cstheme="minorHAnsi"/>
              </w:rPr>
              <w:t>ontinuous</w:t>
            </w:r>
            <w:r w:rsidR="003137C3">
              <w:rPr>
                <w:rFonts w:eastAsia="MS Mincho" w:cstheme="minorHAnsi"/>
              </w:rPr>
              <w:t xml:space="preserve"> </w:t>
            </w:r>
            <w:r w:rsidR="00482336" w:rsidRPr="00482336">
              <w:rPr>
                <w:rFonts w:eastAsia="MS Mincho" w:cstheme="minorHAnsi"/>
              </w:rPr>
              <w:t xml:space="preserve">abstinence rate </w:t>
            </w:r>
            <w:r w:rsidR="00AB6A78">
              <w:rPr>
                <w:rFonts w:eastAsia="MS Mincho" w:cstheme="minorHAnsi"/>
              </w:rPr>
              <w:t xml:space="preserve">at </w:t>
            </w:r>
            <w:r w:rsidR="001C1AEA">
              <w:rPr>
                <w:rFonts w:eastAsia="MS Mincho" w:cstheme="minorHAnsi"/>
              </w:rPr>
              <w:t>(</w:t>
            </w:r>
            <w:r w:rsidR="00482336" w:rsidRPr="00482336">
              <w:rPr>
                <w:rFonts w:eastAsia="MS Mincho" w:cstheme="minorHAnsi"/>
              </w:rPr>
              <w:t xml:space="preserve">week 9 </w:t>
            </w:r>
            <w:r w:rsidR="001C1AEA">
              <w:rPr>
                <w:rFonts w:eastAsia="MS Mincho" w:cstheme="minorHAnsi"/>
              </w:rPr>
              <w:t>-</w:t>
            </w:r>
            <w:r w:rsidR="00482336" w:rsidRPr="00482336">
              <w:rPr>
                <w:rFonts w:eastAsia="MS Mincho" w:cstheme="minorHAnsi"/>
              </w:rPr>
              <w:t>12</w:t>
            </w:r>
            <w:r w:rsidR="001C1AEA">
              <w:rPr>
                <w:rFonts w:eastAsia="MS Mincho" w:cstheme="minorHAnsi"/>
              </w:rPr>
              <w:t>)</w:t>
            </w:r>
            <w:r w:rsidR="00480EC3">
              <w:rPr>
                <w:rFonts w:eastAsia="MS Mincho" w:cstheme="minorHAnsi"/>
              </w:rPr>
              <w:t>,</w:t>
            </w:r>
          </w:p>
          <w:p w14:paraId="4F0FD1B8" w14:textId="79CF1410" w:rsidR="00480EC3" w:rsidRDefault="00480EC3" w:rsidP="006B48C7">
            <w:pPr>
              <w:pStyle w:val="Tablewriting"/>
              <w:rPr>
                <w:rFonts w:eastAsia="MS Mincho" w:cstheme="minorHAnsi"/>
              </w:rPr>
            </w:pPr>
            <w:r>
              <w:rPr>
                <w:rFonts w:eastAsia="MS Mincho" w:cstheme="minorHAnsi"/>
              </w:rPr>
              <w:t>PPA</w:t>
            </w:r>
            <w:r w:rsidRPr="00480EC3">
              <w:rPr>
                <w:rFonts w:eastAsia="MS Mincho" w:cstheme="minorHAnsi"/>
              </w:rPr>
              <w:t xml:space="preserve"> at 6 months, continuous abstinence rate </w:t>
            </w:r>
            <w:r>
              <w:rPr>
                <w:rFonts w:eastAsia="MS Mincho" w:cstheme="minorHAnsi"/>
              </w:rPr>
              <w:t xml:space="preserve">at </w:t>
            </w:r>
            <w:r w:rsidRPr="00480EC3">
              <w:rPr>
                <w:rFonts w:eastAsia="MS Mincho" w:cstheme="minorHAnsi"/>
              </w:rPr>
              <w:t xml:space="preserve">week </w:t>
            </w:r>
            <w:r>
              <w:rPr>
                <w:rFonts w:eastAsia="MS Mincho" w:cstheme="minorHAnsi"/>
              </w:rPr>
              <w:t>(</w:t>
            </w:r>
            <w:r w:rsidRPr="00480EC3">
              <w:rPr>
                <w:rFonts w:eastAsia="MS Mincho" w:cstheme="minorHAnsi"/>
              </w:rPr>
              <w:t xml:space="preserve">9 </w:t>
            </w:r>
            <w:r>
              <w:rPr>
                <w:rFonts w:eastAsia="MS Mincho" w:cstheme="minorHAnsi"/>
              </w:rPr>
              <w:t>–</w:t>
            </w:r>
            <w:r w:rsidRPr="00480EC3">
              <w:rPr>
                <w:rFonts w:eastAsia="MS Mincho" w:cstheme="minorHAnsi"/>
              </w:rPr>
              <w:t xml:space="preserve"> 24</w:t>
            </w:r>
            <w:r>
              <w:rPr>
                <w:rFonts w:eastAsia="MS Mincho" w:cstheme="minorHAnsi"/>
              </w:rPr>
              <w:t>)</w:t>
            </w:r>
          </w:p>
          <w:p w14:paraId="29627711" w14:textId="77777777" w:rsidR="00480EC3" w:rsidRDefault="00480EC3" w:rsidP="006B48C7">
            <w:pPr>
              <w:pStyle w:val="Tablewriting"/>
              <w:rPr>
                <w:rFonts w:eastAsia="MS Mincho" w:cstheme="minorHAnsi"/>
                <w:u w:val="single"/>
              </w:rPr>
            </w:pPr>
          </w:p>
          <w:p w14:paraId="49BC7E36" w14:textId="3B430E60" w:rsidR="006C4B18" w:rsidRPr="00480EC3" w:rsidRDefault="00876282" w:rsidP="006B48C7">
            <w:pPr>
              <w:pStyle w:val="Tablewriting"/>
              <w:rPr>
                <w:rFonts w:eastAsia="MS Mincho" w:cstheme="minorHAnsi"/>
              </w:rPr>
            </w:pPr>
            <w:r>
              <w:rPr>
                <w:rFonts w:eastAsia="MS Mincho" w:cstheme="minorHAnsi"/>
                <w:u w:val="single"/>
              </w:rPr>
              <w:t>Safety:</w:t>
            </w:r>
            <w:r w:rsidR="00480EC3" w:rsidRPr="00480EC3">
              <w:rPr>
                <w:rFonts w:eastAsia="MS Mincho" w:cstheme="minorHAnsi"/>
              </w:rPr>
              <w:t xml:space="preserve"> adverse</w:t>
            </w:r>
            <w:r w:rsidR="00480EC3">
              <w:rPr>
                <w:rFonts w:eastAsia="MS Mincho" w:cstheme="minorHAnsi"/>
              </w:rPr>
              <w:t xml:space="preserve"> </w:t>
            </w:r>
            <w:r w:rsidR="00480EC3" w:rsidRPr="00480EC3">
              <w:rPr>
                <w:rFonts w:eastAsia="MS Mincho" w:cstheme="minorHAnsi"/>
              </w:rPr>
              <w:t>events</w:t>
            </w:r>
          </w:p>
        </w:tc>
      </w:tr>
      <w:tr w:rsidR="006C4B18" w:rsidRPr="00017AE6" w14:paraId="5C9068AD" w14:textId="77777777" w:rsidTr="00F80C9F">
        <w:trPr>
          <w:trHeight w:val="99"/>
        </w:trPr>
        <w:tc>
          <w:tcPr>
            <w:tcW w:w="484" w:type="pct"/>
          </w:tcPr>
          <w:p w14:paraId="1EDDC5A9" w14:textId="0BCBC72A" w:rsidR="006C4B18" w:rsidRPr="00017AE6" w:rsidRDefault="006C4B18" w:rsidP="006B48C7">
            <w:pPr>
              <w:pStyle w:val="Tablewriting"/>
              <w:rPr>
                <w:rFonts w:eastAsia="MS Mincho" w:cstheme="minorHAnsi"/>
              </w:rPr>
            </w:pPr>
            <w:r>
              <w:rPr>
                <w:rFonts w:eastAsia="MS Mincho" w:cstheme="minorHAnsi"/>
              </w:rPr>
              <w:lastRenderedPageBreak/>
              <w:t xml:space="preserve">Ramon </w:t>
            </w:r>
            <w:r w:rsidR="007C5FA5">
              <w:rPr>
                <w:rFonts w:eastAsia="MS Mincho" w:cstheme="minorHAnsi"/>
              </w:rPr>
              <w:t>(</w:t>
            </w:r>
            <w:r>
              <w:rPr>
                <w:rFonts w:eastAsia="MS Mincho" w:cstheme="minorHAnsi"/>
              </w:rPr>
              <w:t>2014</w:t>
            </w:r>
            <w:r w:rsidR="007C5FA5">
              <w:rPr>
                <w:rFonts w:eastAsia="MS Mincho" w:cstheme="minorHAnsi"/>
              </w:rPr>
              <w:t>)</w:t>
            </w:r>
          </w:p>
        </w:tc>
        <w:tc>
          <w:tcPr>
            <w:tcW w:w="235" w:type="pct"/>
          </w:tcPr>
          <w:p w14:paraId="3CF49B9E" w14:textId="75560B55" w:rsidR="006C4B18" w:rsidRPr="00017AE6" w:rsidRDefault="00B672A8" w:rsidP="006B48C7">
            <w:pPr>
              <w:pStyle w:val="Tablewriting"/>
              <w:rPr>
                <w:rFonts w:eastAsia="MS Mincho" w:cstheme="minorHAnsi"/>
              </w:rPr>
            </w:pPr>
            <w:r>
              <w:rPr>
                <w:rFonts w:eastAsia="MS Mincho" w:cstheme="minorHAnsi"/>
              </w:rPr>
              <w:t>RCT</w:t>
            </w:r>
          </w:p>
        </w:tc>
        <w:tc>
          <w:tcPr>
            <w:tcW w:w="422" w:type="pct"/>
          </w:tcPr>
          <w:p w14:paraId="0F02D138" w14:textId="6D8ABE22" w:rsidR="006C4B18" w:rsidRPr="00017AE6" w:rsidRDefault="004511A7" w:rsidP="006B48C7">
            <w:pPr>
              <w:pStyle w:val="Tablewriting"/>
              <w:rPr>
                <w:rFonts w:eastAsia="MS Mincho" w:cstheme="minorHAnsi"/>
              </w:rPr>
            </w:pPr>
            <w:r>
              <w:rPr>
                <w:rFonts w:eastAsia="MS Mincho" w:cstheme="minorHAnsi"/>
              </w:rPr>
              <w:t>Spain</w:t>
            </w:r>
          </w:p>
        </w:tc>
        <w:tc>
          <w:tcPr>
            <w:tcW w:w="413" w:type="pct"/>
          </w:tcPr>
          <w:p w14:paraId="7A211C7E" w14:textId="72A77C6D" w:rsidR="006C4B18" w:rsidRPr="00017AE6" w:rsidRDefault="0021232A" w:rsidP="006B48C7">
            <w:pPr>
              <w:pStyle w:val="Tablewriting"/>
              <w:rPr>
                <w:rFonts w:eastAsia="MS Mincho" w:cstheme="minorHAnsi"/>
              </w:rPr>
            </w:pPr>
            <w:r>
              <w:rPr>
                <w:rFonts w:eastAsia="MS Mincho" w:cstheme="minorHAnsi"/>
              </w:rPr>
              <w:t>N=</w:t>
            </w:r>
            <w:r w:rsidR="00AC0B98">
              <w:rPr>
                <w:rFonts w:eastAsia="MS Mincho" w:cstheme="minorHAnsi"/>
              </w:rPr>
              <w:t>341; n=</w:t>
            </w:r>
            <w:r w:rsidR="00517BB7">
              <w:rPr>
                <w:rFonts w:eastAsia="MS Mincho" w:cstheme="minorHAnsi"/>
              </w:rPr>
              <w:t>170 (varenicline plus NRT patch), n=171 (</w:t>
            </w:r>
            <w:r w:rsidR="00690E53">
              <w:rPr>
                <w:rFonts w:eastAsia="MS Mincho" w:cstheme="minorHAnsi"/>
              </w:rPr>
              <w:t>varenicline plus placebo)</w:t>
            </w:r>
          </w:p>
        </w:tc>
        <w:tc>
          <w:tcPr>
            <w:tcW w:w="1165" w:type="pct"/>
          </w:tcPr>
          <w:p w14:paraId="3087E180" w14:textId="436D2ECD" w:rsidR="00D30342" w:rsidRPr="00D30342" w:rsidRDefault="00D30342" w:rsidP="006B48C7">
            <w:pPr>
              <w:pStyle w:val="Tablewriting"/>
              <w:rPr>
                <w:rFonts w:eastAsia="MS Mincho" w:cstheme="minorHAnsi"/>
              </w:rPr>
            </w:pPr>
            <w:r>
              <w:rPr>
                <w:rFonts w:eastAsia="MS Mincho" w:cstheme="minorHAnsi"/>
              </w:rPr>
              <w:t xml:space="preserve">Smokers who are </w:t>
            </w:r>
            <w:r w:rsidRPr="00D30342">
              <w:rPr>
                <w:rFonts w:eastAsia="MS Mincho" w:cstheme="minorHAnsi"/>
              </w:rPr>
              <w:t>18 years old or older, having</w:t>
            </w:r>
            <w:r w:rsidR="00DD232B">
              <w:rPr>
                <w:rFonts w:eastAsia="MS Mincho" w:cstheme="minorHAnsi"/>
              </w:rPr>
              <w:t xml:space="preserve"> </w:t>
            </w:r>
            <w:r w:rsidRPr="00D30342">
              <w:rPr>
                <w:rFonts w:eastAsia="MS Mincho" w:cstheme="minorHAnsi"/>
              </w:rPr>
              <w:t>smoked ≥20 cigarettes daily for the last six months,</w:t>
            </w:r>
            <w:r w:rsidR="00DD232B">
              <w:rPr>
                <w:rFonts w:eastAsia="MS Mincho" w:cstheme="minorHAnsi"/>
              </w:rPr>
              <w:t xml:space="preserve"> </w:t>
            </w:r>
            <w:r w:rsidRPr="00D30342">
              <w:rPr>
                <w:rFonts w:eastAsia="MS Mincho" w:cstheme="minorHAnsi"/>
              </w:rPr>
              <w:t>no period of smoking</w:t>
            </w:r>
            <w:r w:rsidR="00DD232B">
              <w:rPr>
                <w:rFonts w:eastAsia="MS Mincho" w:cstheme="minorHAnsi"/>
              </w:rPr>
              <w:t xml:space="preserve"> </w:t>
            </w:r>
            <w:r w:rsidRPr="00D30342">
              <w:rPr>
                <w:rFonts w:eastAsia="MS Mincho" w:cstheme="minorHAnsi"/>
              </w:rPr>
              <w:t>abstinence longer than three months in the last year.</w:t>
            </w:r>
          </w:p>
          <w:p w14:paraId="0157B0AE" w14:textId="00ADFE3C" w:rsidR="00D30342" w:rsidRPr="00D30342" w:rsidRDefault="00D30342" w:rsidP="006B48C7">
            <w:pPr>
              <w:pStyle w:val="Tablewriting"/>
              <w:rPr>
                <w:rFonts w:eastAsia="MS Mincho" w:cstheme="minorHAnsi"/>
              </w:rPr>
            </w:pPr>
            <w:r w:rsidRPr="00D30342">
              <w:rPr>
                <w:rFonts w:eastAsia="MS Mincho" w:cstheme="minorHAnsi"/>
              </w:rPr>
              <w:t>Female smokers were eligible provided that they were</w:t>
            </w:r>
            <w:r w:rsidR="00DD232B">
              <w:rPr>
                <w:rFonts w:eastAsia="MS Mincho" w:cstheme="minorHAnsi"/>
              </w:rPr>
              <w:t xml:space="preserve"> </w:t>
            </w:r>
            <w:r w:rsidRPr="00D30342">
              <w:rPr>
                <w:rFonts w:eastAsia="MS Mincho" w:cstheme="minorHAnsi"/>
              </w:rPr>
              <w:t>not breastfeeding, pregnant (negative pregnancy test)</w:t>
            </w:r>
          </w:p>
          <w:p w14:paraId="391B56E2" w14:textId="77777777" w:rsidR="006C4B18" w:rsidRDefault="00D30342" w:rsidP="006B48C7">
            <w:pPr>
              <w:pStyle w:val="Tablewriting"/>
              <w:rPr>
                <w:rFonts w:eastAsia="MS Mincho" w:cstheme="minorHAnsi"/>
              </w:rPr>
            </w:pPr>
            <w:r w:rsidRPr="00D30342">
              <w:rPr>
                <w:rFonts w:eastAsia="MS Mincho" w:cstheme="minorHAnsi"/>
              </w:rPr>
              <w:t>or at risk of becoming pregnant.</w:t>
            </w:r>
          </w:p>
          <w:p w14:paraId="168D6FA7" w14:textId="77777777" w:rsidR="00DD232B" w:rsidRDefault="00DD232B" w:rsidP="006B48C7">
            <w:pPr>
              <w:pStyle w:val="Tablewriting"/>
              <w:rPr>
                <w:rFonts w:eastAsia="MS Mincho" w:cstheme="minorHAnsi"/>
              </w:rPr>
            </w:pPr>
          </w:p>
          <w:p w14:paraId="4B0110AA" w14:textId="77777777" w:rsidR="00DD232B" w:rsidRDefault="00DD232B" w:rsidP="006B48C7">
            <w:pPr>
              <w:pStyle w:val="Tablewriting"/>
              <w:rPr>
                <w:rFonts w:eastAsia="MS Mincho" w:cstheme="minorHAnsi"/>
                <w:u w:val="single"/>
              </w:rPr>
            </w:pPr>
            <w:r w:rsidRPr="00F24C75">
              <w:rPr>
                <w:rFonts w:eastAsia="MS Mincho" w:cstheme="minorHAnsi"/>
                <w:u w:val="single"/>
              </w:rPr>
              <w:t xml:space="preserve">Exclusion criteria: </w:t>
            </w:r>
          </w:p>
          <w:p w14:paraId="7961DB99" w14:textId="63226A6E" w:rsidR="009D5C34" w:rsidRPr="009D5C34" w:rsidRDefault="009D5C34" w:rsidP="006B48C7">
            <w:pPr>
              <w:pStyle w:val="Tablewriting"/>
              <w:rPr>
                <w:rFonts w:eastAsia="MS Mincho" w:cstheme="minorHAnsi"/>
              </w:rPr>
            </w:pPr>
            <w:r>
              <w:rPr>
                <w:rFonts w:eastAsia="MS Mincho" w:cstheme="minorHAnsi"/>
              </w:rPr>
              <w:t>C</w:t>
            </w:r>
            <w:r w:rsidRPr="009D5C34">
              <w:rPr>
                <w:rFonts w:eastAsia="MS Mincho" w:cstheme="minorHAnsi"/>
              </w:rPr>
              <w:t>urrent or past psychotic disorder (schizophrenia),</w:t>
            </w:r>
            <w:r>
              <w:rPr>
                <w:rFonts w:eastAsia="MS Mincho" w:cstheme="minorHAnsi"/>
              </w:rPr>
              <w:t xml:space="preserve"> </w:t>
            </w:r>
            <w:r w:rsidRPr="009D5C34">
              <w:rPr>
                <w:rFonts w:eastAsia="MS Mincho" w:cstheme="minorHAnsi"/>
              </w:rPr>
              <w:t>history of suicide attempts, not understanding the</w:t>
            </w:r>
          </w:p>
          <w:p w14:paraId="634F1518" w14:textId="183FC87D" w:rsidR="006C4B18" w:rsidRPr="00017AE6" w:rsidRDefault="009D5C34" w:rsidP="006B48C7">
            <w:pPr>
              <w:pStyle w:val="Tablewriting"/>
              <w:rPr>
                <w:rFonts w:eastAsia="MS Mincho" w:cstheme="minorHAnsi"/>
              </w:rPr>
            </w:pPr>
            <w:r w:rsidRPr="009D5C34">
              <w:rPr>
                <w:rFonts w:eastAsia="MS Mincho" w:cstheme="minorHAnsi"/>
              </w:rPr>
              <w:t>Spanish language and current or past alcoholism or other</w:t>
            </w:r>
            <w:r>
              <w:rPr>
                <w:rFonts w:eastAsia="MS Mincho" w:cstheme="minorHAnsi"/>
              </w:rPr>
              <w:t xml:space="preserve"> </w:t>
            </w:r>
            <w:r w:rsidRPr="009D5C34">
              <w:rPr>
                <w:rFonts w:eastAsia="MS Mincho" w:cstheme="minorHAnsi"/>
              </w:rPr>
              <w:t>drug addictions</w:t>
            </w:r>
            <w:r>
              <w:rPr>
                <w:rFonts w:eastAsia="MS Mincho" w:cstheme="minorHAnsi"/>
              </w:rPr>
              <w:t xml:space="preserve">, </w:t>
            </w:r>
            <w:r w:rsidRPr="009D5C34">
              <w:rPr>
                <w:rFonts w:eastAsia="MS Mincho" w:cstheme="minorHAnsi"/>
              </w:rPr>
              <w:t>had used nicotine transdermal patches or</w:t>
            </w:r>
            <w:r>
              <w:rPr>
                <w:rFonts w:eastAsia="MS Mincho" w:cstheme="minorHAnsi"/>
              </w:rPr>
              <w:t xml:space="preserve"> </w:t>
            </w:r>
            <w:r w:rsidRPr="009D5C34">
              <w:rPr>
                <w:rFonts w:eastAsia="MS Mincho" w:cstheme="minorHAnsi"/>
              </w:rPr>
              <w:t>varenicline in the last six months</w:t>
            </w:r>
            <w:r>
              <w:rPr>
                <w:rFonts w:eastAsia="MS Mincho" w:cstheme="minorHAnsi"/>
              </w:rPr>
              <w:t>.</w:t>
            </w:r>
          </w:p>
        </w:tc>
        <w:tc>
          <w:tcPr>
            <w:tcW w:w="1284" w:type="pct"/>
          </w:tcPr>
          <w:p w14:paraId="751A0629" w14:textId="62F16322" w:rsidR="00E073EA" w:rsidRDefault="00E073EA" w:rsidP="00C324F3">
            <w:pPr>
              <w:pStyle w:val="ListParagraph"/>
              <w:numPr>
                <w:ilvl w:val="0"/>
                <w:numId w:val="186"/>
              </w:numPr>
              <w:rPr>
                <w:rFonts w:eastAsia="MS Mincho"/>
                <w:lang w:eastAsia="en-US"/>
              </w:rPr>
            </w:pPr>
            <w:r>
              <w:rPr>
                <w:rFonts w:eastAsia="MS Mincho"/>
                <w:lang w:eastAsia="en-US"/>
              </w:rPr>
              <w:t>NRT patch</w:t>
            </w:r>
            <w:r w:rsidR="00063C45">
              <w:rPr>
                <w:rFonts w:eastAsia="MS Mincho"/>
                <w:lang w:eastAsia="en-US"/>
              </w:rPr>
              <w:t xml:space="preserve"> </w:t>
            </w:r>
            <w:r w:rsidR="00063C45" w:rsidRPr="00063C45">
              <w:rPr>
                <w:rFonts w:eastAsia="MS Mincho"/>
                <w:lang w:eastAsia="en-US"/>
              </w:rPr>
              <w:t>21 mg/24 hours</w:t>
            </w:r>
            <w:r w:rsidR="00063C45">
              <w:rPr>
                <w:rFonts w:eastAsia="MS Mincho"/>
                <w:lang w:eastAsia="en-US"/>
              </w:rPr>
              <w:t xml:space="preserve"> for 11 weeks</w:t>
            </w:r>
          </w:p>
          <w:p w14:paraId="2CF622E2" w14:textId="4AA29B85" w:rsidR="00E073EA" w:rsidRPr="00E073EA" w:rsidRDefault="00E073EA" w:rsidP="00C324F3">
            <w:pPr>
              <w:pStyle w:val="ListParagraph"/>
              <w:numPr>
                <w:ilvl w:val="0"/>
                <w:numId w:val="186"/>
              </w:numPr>
              <w:rPr>
                <w:rFonts w:eastAsia="MS Mincho"/>
                <w:lang w:eastAsia="en-US"/>
              </w:rPr>
            </w:pPr>
            <w:r>
              <w:rPr>
                <w:rFonts w:eastAsia="MS Mincho"/>
                <w:lang w:eastAsia="en-US"/>
              </w:rPr>
              <w:t>Placebo</w:t>
            </w:r>
            <w:r w:rsidR="00063C45">
              <w:rPr>
                <w:rFonts w:eastAsia="MS Mincho"/>
                <w:lang w:eastAsia="en-US"/>
              </w:rPr>
              <w:t xml:space="preserve"> (same as above)</w:t>
            </w:r>
          </w:p>
          <w:p w14:paraId="56A421B7" w14:textId="77777777" w:rsidR="00E073EA" w:rsidRDefault="00E073EA" w:rsidP="006B48C7">
            <w:pPr>
              <w:rPr>
                <w:rFonts w:eastAsia="MS Mincho"/>
                <w:lang w:eastAsia="en-US"/>
              </w:rPr>
            </w:pPr>
          </w:p>
          <w:p w14:paraId="6BE9155B" w14:textId="23923815" w:rsidR="006C4B18" w:rsidRPr="002F7627" w:rsidRDefault="00E073EA" w:rsidP="006B48C7">
            <w:pPr>
              <w:rPr>
                <w:rFonts w:eastAsia="MS Mincho"/>
                <w:lang w:eastAsia="en-US"/>
              </w:rPr>
            </w:pPr>
            <w:r w:rsidRPr="00E073EA">
              <w:rPr>
                <w:rFonts w:eastAsia="MS Mincho"/>
                <w:u w:val="single"/>
                <w:lang w:eastAsia="en-US"/>
              </w:rPr>
              <w:t>Common components:</w:t>
            </w:r>
            <w:r>
              <w:rPr>
                <w:rFonts w:eastAsia="MS Mincho"/>
                <w:lang w:eastAsia="en-US"/>
              </w:rPr>
              <w:t xml:space="preserve"> </w:t>
            </w:r>
            <w:r w:rsidR="00284EFF">
              <w:rPr>
                <w:rFonts w:eastAsia="MS Mincho"/>
                <w:lang w:eastAsia="en-US"/>
              </w:rPr>
              <w:t xml:space="preserve">Varenicline </w:t>
            </w:r>
            <w:r w:rsidR="00284EFF" w:rsidRPr="00284EFF">
              <w:rPr>
                <w:rFonts w:eastAsia="MS Mincho"/>
                <w:lang w:eastAsia="en-US"/>
              </w:rPr>
              <w:t>0.5 mg once daily</w:t>
            </w:r>
            <w:r>
              <w:rPr>
                <w:rFonts w:eastAsia="MS Mincho"/>
                <w:lang w:eastAsia="en-US"/>
              </w:rPr>
              <w:t xml:space="preserve"> </w:t>
            </w:r>
            <w:r w:rsidR="00284EFF" w:rsidRPr="00284EFF">
              <w:rPr>
                <w:rFonts w:eastAsia="MS Mincho"/>
                <w:lang w:eastAsia="en-US"/>
              </w:rPr>
              <w:t>for three days, then 0.5 mg twice daily for four days,</w:t>
            </w:r>
            <w:r>
              <w:rPr>
                <w:rFonts w:eastAsia="MS Mincho"/>
                <w:lang w:eastAsia="en-US"/>
              </w:rPr>
              <w:t xml:space="preserve"> </w:t>
            </w:r>
            <w:r w:rsidR="00284EFF" w:rsidRPr="00284EFF">
              <w:rPr>
                <w:rFonts w:eastAsia="MS Mincho"/>
                <w:lang w:eastAsia="en-US"/>
              </w:rPr>
              <w:t>followed by 1 mg twice daily for eleven weeks.</w:t>
            </w:r>
          </w:p>
        </w:tc>
        <w:tc>
          <w:tcPr>
            <w:tcW w:w="997" w:type="pct"/>
          </w:tcPr>
          <w:p w14:paraId="2E30D5E0" w14:textId="77777777" w:rsidR="00615D0A" w:rsidRDefault="00876282" w:rsidP="006B48C7">
            <w:pPr>
              <w:pStyle w:val="Tablewriting"/>
              <w:rPr>
                <w:rFonts w:eastAsia="MS Mincho" w:cstheme="minorHAnsi"/>
                <w:u w:val="single"/>
              </w:rPr>
            </w:pPr>
            <w:r>
              <w:rPr>
                <w:rFonts w:eastAsia="MS Mincho" w:cstheme="minorHAnsi"/>
                <w:u w:val="single"/>
              </w:rPr>
              <w:t>Efficacy:</w:t>
            </w:r>
            <w:r w:rsidR="00D33D95">
              <w:rPr>
                <w:rFonts w:eastAsia="MS Mincho" w:cstheme="minorHAnsi"/>
                <w:u w:val="single"/>
              </w:rPr>
              <w:t xml:space="preserve"> </w:t>
            </w:r>
          </w:p>
          <w:p w14:paraId="2DD0D092" w14:textId="548D4ED1" w:rsidR="007B5217" w:rsidRDefault="00615D0A" w:rsidP="006B48C7">
            <w:pPr>
              <w:pStyle w:val="Tablewriting"/>
              <w:rPr>
                <w:rFonts w:ascii="Times New Roman" w:hAnsi="Times New Roman"/>
                <w:lang w:val="en-GB"/>
              </w:rPr>
            </w:pPr>
            <w:r w:rsidRPr="00615D0A">
              <w:rPr>
                <w:rFonts w:eastAsia="MS Mincho" w:cstheme="minorHAnsi"/>
              </w:rPr>
              <w:t>Primary</w:t>
            </w:r>
            <w:r>
              <w:rPr>
                <w:rFonts w:eastAsia="MS Mincho" w:cstheme="minorHAnsi"/>
              </w:rPr>
              <w:t>: c</w:t>
            </w:r>
            <w:r w:rsidR="00D33D95" w:rsidRPr="00615D0A">
              <w:rPr>
                <w:rFonts w:eastAsia="MS Mincho" w:cstheme="minorHAnsi"/>
              </w:rPr>
              <w:t>o</w:t>
            </w:r>
            <w:r w:rsidR="00D33D95" w:rsidRPr="00D33D95">
              <w:rPr>
                <w:rFonts w:eastAsia="MS Mincho" w:cstheme="minorHAnsi"/>
              </w:rPr>
              <w:t>ntinuous abstinence</w:t>
            </w:r>
            <w:r w:rsidR="00EF2AA8">
              <w:rPr>
                <w:rFonts w:eastAsia="MS Mincho" w:cstheme="minorHAnsi"/>
              </w:rPr>
              <w:t xml:space="preserve"> at </w:t>
            </w:r>
            <w:r w:rsidR="00D33D95" w:rsidRPr="00D33D95">
              <w:rPr>
                <w:rFonts w:eastAsia="MS Mincho" w:cstheme="minorHAnsi"/>
              </w:rPr>
              <w:t>week</w:t>
            </w:r>
            <w:r w:rsidR="00EF2AA8">
              <w:rPr>
                <w:rFonts w:eastAsia="MS Mincho" w:cstheme="minorHAnsi"/>
              </w:rPr>
              <w:t xml:space="preserve"> </w:t>
            </w:r>
            <w:r w:rsidR="00D33D95" w:rsidRPr="00D33D95">
              <w:rPr>
                <w:rFonts w:eastAsia="MS Mincho" w:cstheme="minorHAnsi"/>
              </w:rPr>
              <w:t>2 (1 week after the quit date) to week 12</w:t>
            </w:r>
            <w:r w:rsidR="007B5217">
              <w:rPr>
                <w:rFonts w:eastAsia="MS Mincho" w:cstheme="minorHAnsi"/>
              </w:rPr>
              <w:t xml:space="preserve"> (v</w:t>
            </w:r>
            <w:r w:rsidR="007B5217" w:rsidRPr="00EF0DCD">
              <w:rPr>
                <w:rFonts w:eastAsia="MS Mincho" w:cstheme="minorHAnsi"/>
              </w:rPr>
              <w:t xml:space="preserve">alidation: </w:t>
            </w:r>
            <w:r w:rsidR="007B5217">
              <w:rPr>
                <w:rFonts w:eastAsia="MS Mincho" w:cstheme="minorHAnsi"/>
              </w:rPr>
              <w:t xml:space="preserve">CO </w:t>
            </w:r>
            <w:r w:rsidR="007B5217">
              <w:rPr>
                <w:rFonts w:ascii="Times New Roman" w:hAnsi="Times New Roman"/>
                <w:lang w:val="en-GB"/>
              </w:rPr>
              <w:t>&lt;10 ppm)</w:t>
            </w:r>
            <w:r w:rsidR="00EF7494">
              <w:rPr>
                <w:rFonts w:ascii="Times New Roman" w:hAnsi="Times New Roman"/>
                <w:lang w:val="en-GB"/>
              </w:rPr>
              <w:t>,</w:t>
            </w:r>
          </w:p>
          <w:p w14:paraId="5C706DBE" w14:textId="37E09B69" w:rsidR="00EF7494" w:rsidRDefault="00615D0A" w:rsidP="006B48C7">
            <w:pPr>
              <w:pStyle w:val="Tablewriting"/>
              <w:rPr>
                <w:rFonts w:eastAsia="MS Mincho" w:cstheme="minorHAnsi"/>
              </w:rPr>
            </w:pPr>
            <w:r>
              <w:t xml:space="preserve">Secondary: </w:t>
            </w:r>
            <w:r w:rsidR="00EF7494">
              <w:t xml:space="preserve">PPA at </w:t>
            </w:r>
            <w:r w:rsidR="004425B2">
              <w:t>8, 12 and 24 weeks</w:t>
            </w:r>
            <w:r w:rsidR="00861BFF">
              <w:t>, CA at week (2-24)</w:t>
            </w:r>
          </w:p>
          <w:p w14:paraId="5532B097" w14:textId="77777777" w:rsidR="00876282" w:rsidRPr="00D33D95" w:rsidRDefault="00876282" w:rsidP="006B48C7">
            <w:pPr>
              <w:pStyle w:val="Tablewriting"/>
              <w:rPr>
                <w:rFonts w:eastAsia="MS Mincho" w:cstheme="minorHAnsi"/>
              </w:rPr>
            </w:pPr>
          </w:p>
          <w:p w14:paraId="67E52384" w14:textId="78964DD9" w:rsidR="006C4B18" w:rsidRPr="004272CD" w:rsidRDefault="00876282" w:rsidP="006B48C7">
            <w:pPr>
              <w:pStyle w:val="Tablewriting"/>
              <w:rPr>
                <w:rFonts w:eastAsia="MS Mincho" w:cstheme="minorHAnsi"/>
                <w:u w:val="single"/>
              </w:rPr>
            </w:pPr>
            <w:r>
              <w:rPr>
                <w:rFonts w:eastAsia="MS Mincho" w:cstheme="minorHAnsi"/>
                <w:u w:val="single"/>
              </w:rPr>
              <w:t>Safety:</w:t>
            </w:r>
            <w:r w:rsidR="00861BFF">
              <w:rPr>
                <w:rFonts w:eastAsia="MS Mincho" w:cstheme="minorHAnsi"/>
                <w:u w:val="single"/>
              </w:rPr>
              <w:t xml:space="preserve"> </w:t>
            </w:r>
            <w:r w:rsidR="00861BFF" w:rsidRPr="00861BFF">
              <w:rPr>
                <w:rFonts w:eastAsia="MS Mincho" w:cstheme="minorHAnsi"/>
              </w:rPr>
              <w:t>Adverse events</w:t>
            </w:r>
            <w:r w:rsidR="00710B5C">
              <w:rPr>
                <w:rFonts w:eastAsia="MS Mincho" w:cstheme="minorHAnsi"/>
              </w:rPr>
              <w:t xml:space="preserve"> measured at each visit. </w:t>
            </w:r>
          </w:p>
        </w:tc>
      </w:tr>
    </w:tbl>
    <w:p w14:paraId="6EB62FE9" w14:textId="5A790B9C" w:rsidR="006B48C7" w:rsidRPr="009B042A" w:rsidRDefault="006B48C7" w:rsidP="006B48C7">
      <w:pPr>
        <w:pStyle w:val="TableFooter"/>
      </w:pPr>
      <w:bookmarkStart w:id="344" w:name="_Ref55481743"/>
      <w:bookmarkStart w:id="345" w:name="_Ref62075384"/>
      <w:r>
        <w:t>Source: Chang</w:t>
      </w:r>
      <w:r w:rsidRPr="008B0097">
        <w:t xml:space="preserve"> et al. (20</w:t>
      </w:r>
      <w:r>
        <w:t>15).</w:t>
      </w:r>
      <w:r w:rsidRPr="009B042A">
        <w:t xml:space="preserve"> </w:t>
      </w:r>
    </w:p>
    <w:p w14:paraId="64D7091B" w14:textId="77777777" w:rsidR="00EA7016" w:rsidRDefault="00EA7016">
      <w:pPr>
        <w:spacing w:line="276" w:lineRule="auto"/>
        <w:rPr>
          <w:rFonts w:asciiTheme="minorHAnsi" w:eastAsia="Times New Roman" w:hAnsiTheme="minorHAnsi" w:cs="Times New Roman"/>
          <w:b/>
          <w:bCs/>
          <w:szCs w:val="18"/>
        </w:rPr>
      </w:pPr>
      <w:r>
        <w:br w:type="page"/>
      </w:r>
    </w:p>
    <w:p w14:paraId="66A0EFB4" w14:textId="548EE7EE" w:rsidR="00450AFA" w:rsidRDefault="00450AFA" w:rsidP="00F80C9F">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158</w:t>
      </w:r>
      <w:r w:rsidR="00BF3F75">
        <w:rPr>
          <w:noProof/>
        </w:rPr>
        <w:fldChar w:fldCharType="end"/>
      </w:r>
      <w:bookmarkEnd w:id="344"/>
      <w:bookmarkEnd w:id="345"/>
      <w:r>
        <w:t xml:space="preserve">: </w:t>
      </w:r>
      <w:r w:rsidRPr="00D6304F">
        <w:t xml:space="preserve">Characteristics of studies included in </w:t>
      </w:r>
      <w:r>
        <w:t>Howes</w:t>
      </w:r>
      <w:r w:rsidRPr="00D6304F">
        <w:t xml:space="preserve"> et al. (20</w:t>
      </w:r>
      <w:r>
        <w:t>20</w:t>
      </w:r>
      <w:r w:rsidRPr="00D6304F">
        <w:t xml:space="preserve">), varenicline plus </w:t>
      </w:r>
      <w:r>
        <w:t>bupropion</w:t>
      </w:r>
      <w:r w:rsidRPr="00D6304F">
        <w:t xml:space="preserve"> versus varenicline</w:t>
      </w:r>
      <w:r>
        <w:t xml:space="preserve"> alone</w:t>
      </w:r>
    </w:p>
    <w:tbl>
      <w:tblPr>
        <w:tblStyle w:val="TableGrid"/>
        <w:tblW w:w="5000" w:type="pct"/>
        <w:tblLook w:val="04A0" w:firstRow="1" w:lastRow="0" w:firstColumn="1" w:lastColumn="0" w:noHBand="0" w:noVBand="1"/>
        <w:tblCaption w:val="Efficacy results of adalimumab trials (PASI 75 and DLQI)"/>
      </w:tblPr>
      <w:tblGrid>
        <w:gridCol w:w="1503"/>
        <w:gridCol w:w="690"/>
        <w:gridCol w:w="1160"/>
        <w:gridCol w:w="971"/>
        <w:gridCol w:w="3253"/>
        <w:gridCol w:w="3587"/>
        <w:gridCol w:w="2784"/>
      </w:tblGrid>
      <w:tr w:rsidR="00450AFA" w:rsidRPr="00061F78" w14:paraId="46B47192" w14:textId="77777777" w:rsidTr="00EA7016">
        <w:trPr>
          <w:trHeight w:val="299"/>
          <w:tblHeader/>
        </w:trPr>
        <w:tc>
          <w:tcPr>
            <w:tcW w:w="539" w:type="pct"/>
            <w:shd w:val="clear" w:color="auto" w:fill="BFBFBF" w:themeFill="background1" w:themeFillShade="BF"/>
            <w:tcMar>
              <w:left w:w="28" w:type="dxa"/>
              <w:right w:w="28" w:type="dxa"/>
            </w:tcMar>
          </w:tcPr>
          <w:p w14:paraId="1F5378C2" w14:textId="77777777" w:rsidR="00450AFA" w:rsidRPr="00061F78" w:rsidRDefault="00450AFA" w:rsidP="006B48C7">
            <w:pPr>
              <w:pStyle w:val="Tableheading"/>
              <w:rPr>
                <w:rFonts w:eastAsia="MS Mincho"/>
              </w:rPr>
            </w:pPr>
            <w:r>
              <w:rPr>
                <w:rFonts w:eastAsia="MS Mincho"/>
              </w:rPr>
              <w:t>Study</w:t>
            </w:r>
          </w:p>
        </w:tc>
        <w:tc>
          <w:tcPr>
            <w:tcW w:w="247" w:type="pct"/>
            <w:shd w:val="clear" w:color="auto" w:fill="BFBFBF" w:themeFill="background1" w:themeFillShade="BF"/>
          </w:tcPr>
          <w:p w14:paraId="604C5C61" w14:textId="77777777" w:rsidR="00450AFA" w:rsidRDefault="00450AFA" w:rsidP="006B48C7">
            <w:pPr>
              <w:pStyle w:val="Tableheading"/>
              <w:jc w:val="center"/>
              <w:rPr>
                <w:rFonts w:eastAsia="MS Mincho"/>
              </w:rPr>
            </w:pPr>
            <w:r>
              <w:rPr>
                <w:rFonts w:eastAsia="MS Mincho"/>
              </w:rPr>
              <w:t>Study type</w:t>
            </w:r>
          </w:p>
        </w:tc>
        <w:tc>
          <w:tcPr>
            <w:tcW w:w="416" w:type="pct"/>
            <w:shd w:val="clear" w:color="auto" w:fill="BFBFBF" w:themeFill="background1" w:themeFillShade="BF"/>
          </w:tcPr>
          <w:p w14:paraId="6C80CE07" w14:textId="77777777" w:rsidR="00450AFA" w:rsidRDefault="00450AFA" w:rsidP="006B48C7">
            <w:pPr>
              <w:pStyle w:val="Tableheading"/>
              <w:jc w:val="center"/>
              <w:rPr>
                <w:rFonts w:eastAsia="MS Mincho"/>
              </w:rPr>
            </w:pPr>
            <w:r>
              <w:rPr>
                <w:rFonts w:eastAsia="MS Mincho"/>
              </w:rPr>
              <w:t>Countries</w:t>
            </w:r>
          </w:p>
        </w:tc>
        <w:tc>
          <w:tcPr>
            <w:tcW w:w="348" w:type="pct"/>
            <w:shd w:val="clear" w:color="auto" w:fill="BFBFBF" w:themeFill="background1" w:themeFillShade="BF"/>
            <w:tcMar>
              <w:left w:w="28" w:type="dxa"/>
              <w:right w:w="28" w:type="dxa"/>
            </w:tcMar>
          </w:tcPr>
          <w:p w14:paraId="246CC5C0" w14:textId="77777777" w:rsidR="00450AFA" w:rsidRPr="00061F78" w:rsidRDefault="00450AFA" w:rsidP="006B48C7">
            <w:pPr>
              <w:pStyle w:val="Tableheading"/>
              <w:jc w:val="center"/>
              <w:rPr>
                <w:rFonts w:eastAsia="MS Mincho"/>
              </w:rPr>
            </w:pPr>
            <w:r>
              <w:rPr>
                <w:rFonts w:eastAsia="MS Mincho"/>
              </w:rPr>
              <w:t>N</w:t>
            </w:r>
          </w:p>
        </w:tc>
        <w:tc>
          <w:tcPr>
            <w:tcW w:w="1166" w:type="pct"/>
            <w:shd w:val="clear" w:color="auto" w:fill="BFBFBF" w:themeFill="background1" w:themeFillShade="BF"/>
            <w:tcMar>
              <w:left w:w="28" w:type="dxa"/>
              <w:right w:w="28" w:type="dxa"/>
            </w:tcMar>
          </w:tcPr>
          <w:p w14:paraId="7BEB1D1B" w14:textId="77777777" w:rsidR="00450AFA" w:rsidRPr="00061F78" w:rsidRDefault="00450AFA" w:rsidP="006B48C7">
            <w:pPr>
              <w:pStyle w:val="Tableheading"/>
              <w:jc w:val="center"/>
              <w:rPr>
                <w:rFonts w:eastAsia="MS Mincho"/>
              </w:rPr>
            </w:pPr>
            <w:r w:rsidRPr="00061F78">
              <w:rPr>
                <w:rFonts w:eastAsia="MS Mincho"/>
              </w:rPr>
              <w:t>P</w:t>
            </w:r>
            <w:r>
              <w:rPr>
                <w:rFonts w:eastAsia="MS Mincho"/>
              </w:rPr>
              <w:t>opulation</w:t>
            </w:r>
          </w:p>
        </w:tc>
        <w:tc>
          <w:tcPr>
            <w:tcW w:w="1286" w:type="pct"/>
            <w:shd w:val="clear" w:color="auto" w:fill="BFBFBF" w:themeFill="background1" w:themeFillShade="BF"/>
          </w:tcPr>
          <w:p w14:paraId="05C88428" w14:textId="77777777" w:rsidR="00450AFA" w:rsidRDefault="00450AFA" w:rsidP="006B48C7">
            <w:pPr>
              <w:pStyle w:val="Tableheading"/>
              <w:jc w:val="center"/>
              <w:rPr>
                <w:rFonts w:eastAsia="MS Mincho"/>
              </w:rPr>
            </w:pPr>
            <w:r>
              <w:rPr>
                <w:rFonts w:eastAsia="MS Mincho"/>
              </w:rPr>
              <w:t>Intervention and comparator</w:t>
            </w:r>
          </w:p>
        </w:tc>
        <w:tc>
          <w:tcPr>
            <w:tcW w:w="998" w:type="pct"/>
            <w:shd w:val="clear" w:color="auto" w:fill="BFBFBF" w:themeFill="background1" w:themeFillShade="BF"/>
            <w:tcMar>
              <w:left w:w="28" w:type="dxa"/>
              <w:right w:w="28" w:type="dxa"/>
            </w:tcMar>
          </w:tcPr>
          <w:p w14:paraId="7882A302" w14:textId="77777777" w:rsidR="00450AFA" w:rsidRPr="00061F78" w:rsidRDefault="00450AFA" w:rsidP="006B48C7">
            <w:pPr>
              <w:pStyle w:val="Tableheading"/>
              <w:jc w:val="center"/>
              <w:rPr>
                <w:rFonts w:eastAsia="MS Mincho"/>
              </w:rPr>
            </w:pPr>
            <w:r>
              <w:rPr>
                <w:rFonts w:eastAsia="MS Mincho"/>
              </w:rPr>
              <w:t>Outcomes</w:t>
            </w:r>
          </w:p>
        </w:tc>
      </w:tr>
      <w:tr w:rsidR="00A167B8" w:rsidRPr="00017AE6" w14:paraId="378F3B7C" w14:textId="77777777" w:rsidTr="00EA7016">
        <w:trPr>
          <w:trHeight w:val="99"/>
        </w:trPr>
        <w:tc>
          <w:tcPr>
            <w:tcW w:w="539" w:type="pct"/>
          </w:tcPr>
          <w:p w14:paraId="1D6DB3DE" w14:textId="3804DE0B" w:rsidR="00A167B8" w:rsidRPr="00017AE6" w:rsidRDefault="00A167B8" w:rsidP="006B48C7">
            <w:pPr>
              <w:pStyle w:val="Tablewriting"/>
              <w:rPr>
                <w:rFonts w:eastAsia="MS Mincho" w:cstheme="minorHAnsi"/>
              </w:rPr>
            </w:pPr>
            <w:r w:rsidRPr="00C324F3">
              <w:rPr>
                <w:rFonts w:eastAsia="MS Mincho"/>
              </w:rPr>
              <w:t xml:space="preserve">Cinciripini </w:t>
            </w:r>
            <w:r w:rsidR="009C4EF2">
              <w:rPr>
                <w:rFonts w:eastAsia="MS Mincho" w:cstheme="minorHAnsi"/>
              </w:rPr>
              <w:t>(</w:t>
            </w:r>
            <w:r w:rsidRPr="00C324F3">
              <w:rPr>
                <w:rFonts w:eastAsia="MS Mincho"/>
              </w:rPr>
              <w:t>2018</w:t>
            </w:r>
            <w:r w:rsidR="009C4EF2">
              <w:rPr>
                <w:rFonts w:eastAsia="MS Mincho" w:cstheme="minorHAnsi"/>
              </w:rPr>
              <w:t>)</w:t>
            </w:r>
          </w:p>
        </w:tc>
        <w:tc>
          <w:tcPr>
            <w:tcW w:w="247" w:type="pct"/>
          </w:tcPr>
          <w:p w14:paraId="149A038C" w14:textId="7FD1544E" w:rsidR="00A167B8" w:rsidRPr="00017AE6" w:rsidRDefault="004B3ABB" w:rsidP="006B48C7">
            <w:pPr>
              <w:pStyle w:val="Tablewriting"/>
              <w:rPr>
                <w:rFonts w:eastAsia="MS Mincho" w:cstheme="minorHAnsi"/>
              </w:rPr>
            </w:pPr>
            <w:r>
              <w:rPr>
                <w:rFonts w:eastAsia="MS Mincho" w:cstheme="minorHAnsi"/>
              </w:rPr>
              <w:t>RCT</w:t>
            </w:r>
          </w:p>
        </w:tc>
        <w:tc>
          <w:tcPr>
            <w:tcW w:w="416" w:type="pct"/>
          </w:tcPr>
          <w:p w14:paraId="7386D8AA" w14:textId="11E742FF" w:rsidR="00A167B8" w:rsidRPr="00017AE6" w:rsidRDefault="004B3ABB" w:rsidP="006B48C7">
            <w:pPr>
              <w:pStyle w:val="Tablewriting"/>
              <w:rPr>
                <w:rFonts w:eastAsia="MS Mincho" w:cstheme="minorHAnsi"/>
              </w:rPr>
            </w:pPr>
            <w:r>
              <w:rPr>
                <w:rFonts w:eastAsia="MS Mincho" w:cstheme="minorHAnsi"/>
              </w:rPr>
              <w:t>USA</w:t>
            </w:r>
          </w:p>
        </w:tc>
        <w:tc>
          <w:tcPr>
            <w:tcW w:w="348" w:type="pct"/>
          </w:tcPr>
          <w:p w14:paraId="1732E48D" w14:textId="5493514A" w:rsidR="00A167B8" w:rsidRPr="00017AE6" w:rsidRDefault="00547FF0" w:rsidP="006B48C7">
            <w:pPr>
              <w:pStyle w:val="Tablewriting"/>
              <w:rPr>
                <w:rFonts w:eastAsia="MS Mincho" w:cstheme="minorHAnsi"/>
              </w:rPr>
            </w:pPr>
            <w:r>
              <w:rPr>
                <w:rFonts w:eastAsia="MS Mincho" w:cstheme="minorHAnsi"/>
              </w:rPr>
              <w:t>N=385</w:t>
            </w:r>
          </w:p>
        </w:tc>
        <w:tc>
          <w:tcPr>
            <w:tcW w:w="1166" w:type="pct"/>
          </w:tcPr>
          <w:p w14:paraId="1CDBCE4A" w14:textId="64C3D7AA" w:rsidR="00547FF0" w:rsidRPr="00547FF0" w:rsidRDefault="00547FF0" w:rsidP="006B48C7">
            <w:pPr>
              <w:pStyle w:val="Tablewriting"/>
              <w:rPr>
                <w:rFonts w:eastAsia="MS Mincho" w:cstheme="minorHAnsi"/>
              </w:rPr>
            </w:pPr>
            <w:r w:rsidRPr="00547FF0">
              <w:rPr>
                <w:rFonts w:eastAsia="MS Mincho" w:cstheme="minorHAnsi"/>
              </w:rPr>
              <w:t>41.5% female</w:t>
            </w:r>
            <w:r>
              <w:rPr>
                <w:rFonts w:eastAsia="MS Mincho" w:cstheme="minorHAnsi"/>
              </w:rPr>
              <w:t>,</w:t>
            </w:r>
            <w:r w:rsidRPr="00547FF0">
              <w:rPr>
                <w:rFonts w:eastAsia="MS Mincho" w:cstheme="minorHAnsi"/>
              </w:rPr>
              <w:t xml:space="preserve"> average age 49.0</w:t>
            </w:r>
            <w:r>
              <w:rPr>
                <w:rFonts w:eastAsia="MS Mincho" w:cstheme="minorHAnsi"/>
              </w:rPr>
              <w:t xml:space="preserve"> years, </w:t>
            </w:r>
            <w:r w:rsidRPr="00547FF0">
              <w:rPr>
                <w:rFonts w:eastAsia="MS Mincho" w:cstheme="minorHAnsi"/>
              </w:rPr>
              <w:t>average cigarettes per day 19.7</w:t>
            </w:r>
            <w:r w:rsidR="004E2948">
              <w:rPr>
                <w:rFonts w:eastAsia="MS Mincho" w:cstheme="minorHAnsi"/>
              </w:rPr>
              <w:t>,</w:t>
            </w:r>
            <w:r w:rsidRPr="00547FF0">
              <w:rPr>
                <w:rFonts w:eastAsia="MS Mincho" w:cstheme="minorHAnsi"/>
              </w:rPr>
              <w:t xml:space="preserve"> mean</w:t>
            </w:r>
          </w:p>
          <w:p w14:paraId="1676B331" w14:textId="48356E4C" w:rsidR="00A167B8" w:rsidRPr="00017AE6" w:rsidRDefault="00547FF0" w:rsidP="006B48C7">
            <w:pPr>
              <w:pStyle w:val="Tablewriting"/>
              <w:rPr>
                <w:rFonts w:eastAsia="MS Mincho" w:cstheme="minorHAnsi"/>
              </w:rPr>
            </w:pPr>
            <w:r w:rsidRPr="00547FF0">
              <w:rPr>
                <w:rFonts w:eastAsia="MS Mincho" w:cstheme="minorHAnsi"/>
              </w:rPr>
              <w:t>FTND 2.1</w:t>
            </w:r>
            <w:r w:rsidR="004E2948">
              <w:rPr>
                <w:rFonts w:eastAsia="MS Mincho" w:cstheme="minorHAnsi"/>
              </w:rPr>
              <w:t>.</w:t>
            </w:r>
          </w:p>
        </w:tc>
        <w:tc>
          <w:tcPr>
            <w:tcW w:w="1286" w:type="pct"/>
          </w:tcPr>
          <w:p w14:paraId="6588A54E" w14:textId="26216A14" w:rsidR="006A3D76" w:rsidRPr="006A3D76" w:rsidRDefault="006A3D76" w:rsidP="00C324F3">
            <w:pPr>
              <w:pStyle w:val="ListParagraph"/>
              <w:numPr>
                <w:ilvl w:val="0"/>
                <w:numId w:val="181"/>
              </w:numPr>
              <w:rPr>
                <w:rFonts w:eastAsia="MS Mincho"/>
                <w:lang w:eastAsia="en-US"/>
              </w:rPr>
            </w:pPr>
            <w:r w:rsidRPr="006A3D76">
              <w:rPr>
                <w:rFonts w:eastAsia="MS Mincho"/>
                <w:lang w:eastAsia="en-US"/>
              </w:rPr>
              <w:t>Bupropion and varenicline, 150 mg of bupropion per day for days 1–3, then 150 mg twice daily thereafter.</w:t>
            </w:r>
          </w:p>
          <w:p w14:paraId="2329FC00" w14:textId="77777777" w:rsidR="00342CCC" w:rsidRDefault="006A3D76" w:rsidP="006B48C7">
            <w:pPr>
              <w:pStyle w:val="ListParagraph"/>
              <w:ind w:left="360"/>
              <w:rPr>
                <w:rFonts w:eastAsia="MS Mincho"/>
                <w:lang w:eastAsia="en-US"/>
              </w:rPr>
            </w:pPr>
            <w:r w:rsidRPr="00342CCC">
              <w:rPr>
                <w:rFonts w:eastAsia="MS Mincho"/>
                <w:lang w:eastAsia="en-US"/>
              </w:rPr>
              <w:t>0.5 mg of varenicline per day for days 1–3, then 0.5 mg twice daily for days 4–7, then 1 mg twice</w:t>
            </w:r>
            <w:r w:rsidR="00342CCC">
              <w:rPr>
                <w:rFonts w:eastAsia="MS Mincho"/>
                <w:lang w:eastAsia="en-US"/>
              </w:rPr>
              <w:t xml:space="preserve"> </w:t>
            </w:r>
            <w:r w:rsidRPr="006A3D76">
              <w:rPr>
                <w:rFonts w:eastAsia="MS Mincho"/>
                <w:lang w:eastAsia="en-US"/>
              </w:rPr>
              <w:t>daily thereafter</w:t>
            </w:r>
          </w:p>
          <w:p w14:paraId="451BD1C4" w14:textId="77777777" w:rsidR="00342CCC" w:rsidRDefault="006A3D76" w:rsidP="00C324F3">
            <w:pPr>
              <w:pStyle w:val="ListParagraph"/>
              <w:numPr>
                <w:ilvl w:val="0"/>
                <w:numId w:val="181"/>
              </w:numPr>
              <w:rPr>
                <w:rFonts w:eastAsia="MS Mincho"/>
                <w:lang w:eastAsia="en-US"/>
              </w:rPr>
            </w:pPr>
            <w:r w:rsidRPr="006A3D76">
              <w:rPr>
                <w:rFonts w:eastAsia="MS Mincho"/>
                <w:lang w:eastAsia="en-US"/>
              </w:rPr>
              <w:t>Varenicline, dose and schedule given as in bupropion and varenicline intervention. Matching placebo</w:t>
            </w:r>
            <w:r w:rsidR="00342CCC">
              <w:rPr>
                <w:rFonts w:eastAsia="MS Mincho"/>
                <w:lang w:eastAsia="en-US"/>
              </w:rPr>
              <w:t xml:space="preserve"> </w:t>
            </w:r>
            <w:r w:rsidRPr="00342CCC">
              <w:rPr>
                <w:rFonts w:eastAsia="MS Mincho"/>
                <w:lang w:eastAsia="en-US"/>
              </w:rPr>
              <w:t>for bupropion</w:t>
            </w:r>
          </w:p>
          <w:p w14:paraId="0FE022D0" w14:textId="7453922E" w:rsidR="006A3D76" w:rsidRPr="006A3D76" w:rsidRDefault="006A3D76" w:rsidP="00C324F3">
            <w:pPr>
              <w:pStyle w:val="ListParagraph"/>
              <w:numPr>
                <w:ilvl w:val="0"/>
                <w:numId w:val="181"/>
              </w:numPr>
              <w:rPr>
                <w:rFonts w:eastAsia="MS Mincho"/>
                <w:lang w:eastAsia="en-US"/>
              </w:rPr>
            </w:pPr>
            <w:r w:rsidRPr="006A3D76">
              <w:rPr>
                <w:rFonts w:eastAsia="MS Mincho"/>
                <w:lang w:eastAsia="en-US"/>
              </w:rPr>
              <w:t>Matching placebo.</w:t>
            </w:r>
          </w:p>
          <w:p w14:paraId="79C2BCDF" w14:textId="77777777" w:rsidR="00342CCC" w:rsidRDefault="00342CCC" w:rsidP="006B48C7">
            <w:pPr>
              <w:rPr>
                <w:rFonts w:eastAsia="MS Mincho"/>
                <w:lang w:eastAsia="en-US"/>
              </w:rPr>
            </w:pPr>
          </w:p>
          <w:p w14:paraId="7FB3DFAD" w14:textId="77777777" w:rsidR="00342CCC" w:rsidRDefault="00342CCC" w:rsidP="006B48C7">
            <w:pPr>
              <w:rPr>
                <w:rFonts w:eastAsia="MS Mincho"/>
                <w:lang w:eastAsia="en-US"/>
              </w:rPr>
            </w:pPr>
          </w:p>
          <w:p w14:paraId="62C51A97" w14:textId="3298DFA4" w:rsidR="00A167B8" w:rsidRPr="002F7627" w:rsidRDefault="006A3D76" w:rsidP="006B48C7">
            <w:pPr>
              <w:rPr>
                <w:rFonts w:eastAsia="MS Mincho"/>
                <w:lang w:eastAsia="en-US"/>
              </w:rPr>
            </w:pPr>
            <w:r w:rsidRPr="00342CCC">
              <w:rPr>
                <w:rFonts w:eastAsia="MS Mincho"/>
                <w:u w:val="single"/>
                <w:lang w:eastAsia="en-US"/>
              </w:rPr>
              <w:t>Common components:</w:t>
            </w:r>
            <w:r w:rsidRPr="006A3D76">
              <w:rPr>
                <w:rFonts w:eastAsia="MS Mincho"/>
                <w:lang w:eastAsia="en-US"/>
              </w:rPr>
              <w:t xml:space="preserve"> in-person and phone counselling, totalling 215 minutes</w:t>
            </w:r>
            <w:r w:rsidR="00342CCC">
              <w:rPr>
                <w:rFonts w:eastAsia="MS Mincho"/>
                <w:lang w:eastAsia="en-US"/>
              </w:rPr>
              <w:t>.</w:t>
            </w:r>
          </w:p>
        </w:tc>
        <w:tc>
          <w:tcPr>
            <w:tcW w:w="998" w:type="pct"/>
          </w:tcPr>
          <w:p w14:paraId="5B8C3E82" w14:textId="1713B9F3" w:rsidR="000B1934" w:rsidRPr="000B1934" w:rsidRDefault="000B1934" w:rsidP="006B48C7">
            <w:pPr>
              <w:pStyle w:val="Tablewriting"/>
              <w:rPr>
                <w:rFonts w:eastAsia="MS Mincho" w:cstheme="minorHAnsi"/>
                <w:u w:val="single"/>
              </w:rPr>
            </w:pPr>
            <w:r>
              <w:rPr>
                <w:rFonts w:eastAsia="MS Mincho" w:cstheme="minorHAnsi"/>
                <w:u w:val="single"/>
              </w:rPr>
              <w:t>Efficacy: P</w:t>
            </w:r>
            <w:r w:rsidRPr="000B1934">
              <w:rPr>
                <w:rFonts w:eastAsia="MS Mincho" w:cstheme="minorHAnsi"/>
              </w:rPr>
              <w:t>rolonged abstinence at 12 months, with relapse defined as smoking on 7 or more</w:t>
            </w:r>
          </w:p>
          <w:p w14:paraId="700124D4" w14:textId="3045F387" w:rsidR="000B1934" w:rsidRPr="000B1934" w:rsidRDefault="000B1934" w:rsidP="006B48C7">
            <w:pPr>
              <w:pStyle w:val="Tablewriting"/>
              <w:rPr>
                <w:rFonts w:eastAsia="MS Mincho" w:cstheme="minorHAnsi"/>
              </w:rPr>
            </w:pPr>
            <w:r w:rsidRPr="000B1934">
              <w:rPr>
                <w:rFonts w:eastAsia="MS Mincho" w:cstheme="minorHAnsi"/>
              </w:rPr>
              <w:t>consecutive days or smoking at least one cigarette over 2 consecutive weeks within that same time</w:t>
            </w:r>
            <w:r>
              <w:rPr>
                <w:rFonts w:eastAsia="MS Mincho" w:cstheme="minorHAnsi"/>
              </w:rPr>
              <w:t xml:space="preserve"> </w:t>
            </w:r>
            <w:r w:rsidRPr="000B1934">
              <w:rPr>
                <w:rFonts w:eastAsia="MS Mincho" w:cstheme="minorHAnsi"/>
              </w:rPr>
              <w:t xml:space="preserve">interval </w:t>
            </w:r>
            <w:r>
              <w:rPr>
                <w:rFonts w:eastAsia="MS Mincho" w:cstheme="minorHAnsi"/>
              </w:rPr>
              <w:t>(</w:t>
            </w:r>
            <w:r w:rsidRPr="000B1934">
              <w:rPr>
                <w:rFonts w:eastAsia="MS Mincho" w:cstheme="minorHAnsi"/>
              </w:rPr>
              <w:t>validated by CO &lt; 4 ppm)</w:t>
            </w:r>
          </w:p>
          <w:p w14:paraId="46B554F7" w14:textId="77777777" w:rsidR="000B1934" w:rsidRDefault="000B1934" w:rsidP="006B48C7">
            <w:pPr>
              <w:pStyle w:val="Tablewriting"/>
              <w:rPr>
                <w:rFonts w:eastAsia="MS Mincho" w:cstheme="minorHAnsi"/>
                <w:u w:val="single"/>
              </w:rPr>
            </w:pPr>
          </w:p>
          <w:p w14:paraId="3713E950" w14:textId="7348B0D8" w:rsidR="000B1934" w:rsidRPr="000B1934" w:rsidRDefault="000B1934" w:rsidP="006B48C7">
            <w:pPr>
              <w:pStyle w:val="Tablewriting"/>
              <w:rPr>
                <w:rFonts w:eastAsia="MS Mincho" w:cstheme="minorHAnsi"/>
              </w:rPr>
            </w:pPr>
            <w:r>
              <w:rPr>
                <w:rFonts w:eastAsia="MS Mincho" w:cstheme="minorHAnsi"/>
                <w:u w:val="single"/>
              </w:rPr>
              <w:t xml:space="preserve">Safety: </w:t>
            </w:r>
            <w:r w:rsidRPr="000B1934">
              <w:rPr>
                <w:rFonts w:eastAsia="MS Mincho" w:cstheme="minorHAnsi"/>
              </w:rPr>
              <w:t>Adverse events measured for 12 mont</w:t>
            </w:r>
            <w:r>
              <w:rPr>
                <w:rFonts w:eastAsia="MS Mincho" w:cstheme="minorHAnsi"/>
              </w:rPr>
              <w:t>hs</w:t>
            </w:r>
          </w:p>
          <w:p w14:paraId="3E9A111C" w14:textId="11EA7CA7" w:rsidR="00A167B8" w:rsidRPr="004272CD" w:rsidRDefault="00A167B8" w:rsidP="006B48C7">
            <w:pPr>
              <w:pStyle w:val="Tablewriting"/>
              <w:rPr>
                <w:rFonts w:eastAsia="MS Mincho" w:cstheme="minorHAnsi"/>
                <w:u w:val="single"/>
              </w:rPr>
            </w:pPr>
          </w:p>
        </w:tc>
      </w:tr>
      <w:tr w:rsidR="00547FF0" w:rsidRPr="00017AE6" w14:paraId="7EC0F4E3" w14:textId="77777777" w:rsidTr="00EA7016">
        <w:trPr>
          <w:trHeight w:val="99"/>
        </w:trPr>
        <w:tc>
          <w:tcPr>
            <w:tcW w:w="539" w:type="pct"/>
          </w:tcPr>
          <w:p w14:paraId="0CE9D57F" w14:textId="4B6DDB23" w:rsidR="00547FF0" w:rsidRPr="00017AE6" w:rsidRDefault="00547FF0" w:rsidP="006B48C7">
            <w:pPr>
              <w:pStyle w:val="Tablewriting"/>
              <w:rPr>
                <w:rFonts w:eastAsia="MS Mincho" w:cstheme="minorHAnsi"/>
              </w:rPr>
            </w:pPr>
            <w:r w:rsidRPr="00C324F3">
              <w:rPr>
                <w:rFonts w:eastAsia="MS Mincho"/>
              </w:rPr>
              <w:t xml:space="preserve">Ebbert </w:t>
            </w:r>
            <w:r w:rsidR="009C4EF2">
              <w:rPr>
                <w:rFonts w:eastAsia="MS Mincho" w:cstheme="minorHAnsi"/>
              </w:rPr>
              <w:t>(</w:t>
            </w:r>
            <w:r w:rsidRPr="00C324F3">
              <w:rPr>
                <w:rFonts w:eastAsia="MS Mincho"/>
              </w:rPr>
              <w:t>2014</w:t>
            </w:r>
            <w:r w:rsidR="009C4EF2">
              <w:rPr>
                <w:rFonts w:eastAsia="MS Mincho" w:cstheme="minorHAnsi"/>
              </w:rPr>
              <w:t>)</w:t>
            </w:r>
          </w:p>
        </w:tc>
        <w:tc>
          <w:tcPr>
            <w:tcW w:w="247" w:type="pct"/>
          </w:tcPr>
          <w:p w14:paraId="01B02DA0" w14:textId="0BE5F56A" w:rsidR="00547FF0" w:rsidRPr="00017AE6" w:rsidRDefault="007239E6" w:rsidP="006B48C7">
            <w:pPr>
              <w:pStyle w:val="Tablewriting"/>
              <w:rPr>
                <w:rFonts w:eastAsia="MS Mincho" w:cstheme="minorHAnsi"/>
              </w:rPr>
            </w:pPr>
            <w:r>
              <w:rPr>
                <w:rFonts w:eastAsia="MS Mincho" w:cstheme="minorHAnsi"/>
              </w:rPr>
              <w:t>RCT</w:t>
            </w:r>
          </w:p>
        </w:tc>
        <w:tc>
          <w:tcPr>
            <w:tcW w:w="416" w:type="pct"/>
          </w:tcPr>
          <w:p w14:paraId="5ED30759" w14:textId="1A29EA93" w:rsidR="00547FF0" w:rsidRPr="00017AE6" w:rsidRDefault="007239E6" w:rsidP="006B48C7">
            <w:pPr>
              <w:pStyle w:val="Tablewriting"/>
              <w:rPr>
                <w:rFonts w:eastAsia="MS Mincho" w:cstheme="minorHAnsi"/>
              </w:rPr>
            </w:pPr>
            <w:r>
              <w:rPr>
                <w:rFonts w:eastAsia="MS Mincho" w:cstheme="minorHAnsi"/>
              </w:rPr>
              <w:t>USA</w:t>
            </w:r>
          </w:p>
        </w:tc>
        <w:tc>
          <w:tcPr>
            <w:tcW w:w="348" w:type="pct"/>
          </w:tcPr>
          <w:p w14:paraId="60CDD253" w14:textId="37D146B9" w:rsidR="00547FF0" w:rsidRPr="00017AE6" w:rsidRDefault="00547FF0" w:rsidP="006B48C7">
            <w:pPr>
              <w:pStyle w:val="Tablewriting"/>
              <w:rPr>
                <w:rFonts w:eastAsia="MS Mincho" w:cstheme="minorHAnsi"/>
              </w:rPr>
            </w:pPr>
            <w:r w:rsidRPr="00296F91">
              <w:rPr>
                <w:rFonts w:eastAsia="MS Mincho" w:cstheme="minorHAnsi"/>
              </w:rPr>
              <w:t>N=</w:t>
            </w:r>
            <w:r w:rsidR="007239E6">
              <w:rPr>
                <w:rFonts w:eastAsia="MS Mincho" w:cstheme="minorHAnsi"/>
              </w:rPr>
              <w:t>506</w:t>
            </w:r>
          </w:p>
        </w:tc>
        <w:tc>
          <w:tcPr>
            <w:tcW w:w="1166" w:type="pct"/>
          </w:tcPr>
          <w:p w14:paraId="30CFAA26" w14:textId="77777777" w:rsidR="00145D91" w:rsidRPr="00145D91" w:rsidRDefault="00145D91" w:rsidP="006B48C7">
            <w:pPr>
              <w:pStyle w:val="Tablewriting"/>
              <w:rPr>
                <w:rFonts w:eastAsia="MS Mincho" w:cstheme="minorHAnsi"/>
              </w:rPr>
            </w:pPr>
            <w:r w:rsidRPr="00145D91">
              <w:rPr>
                <w:rFonts w:eastAsia="MS Mincho" w:cstheme="minorHAnsi"/>
              </w:rPr>
              <w:t>47% female; average age 42.0; average cigarettes per day 19.6; mean FTND</w:t>
            </w:r>
          </w:p>
          <w:p w14:paraId="530AA7B2" w14:textId="29BF3CC9" w:rsidR="00547FF0" w:rsidRPr="00017AE6" w:rsidRDefault="00145D91" w:rsidP="006B48C7">
            <w:pPr>
              <w:pStyle w:val="Tablewriting"/>
              <w:rPr>
                <w:rFonts w:eastAsia="MS Mincho" w:cstheme="minorHAnsi"/>
              </w:rPr>
            </w:pPr>
            <w:r w:rsidRPr="00145D91">
              <w:rPr>
                <w:rFonts w:eastAsia="MS Mincho" w:cstheme="minorHAnsi"/>
              </w:rPr>
              <w:t>5.3</w:t>
            </w:r>
          </w:p>
        </w:tc>
        <w:tc>
          <w:tcPr>
            <w:tcW w:w="1286" w:type="pct"/>
          </w:tcPr>
          <w:p w14:paraId="2C449BCA" w14:textId="77777777" w:rsidR="00C4065D" w:rsidRDefault="00145D91" w:rsidP="00C324F3">
            <w:pPr>
              <w:pStyle w:val="ListParagraph"/>
              <w:numPr>
                <w:ilvl w:val="0"/>
                <w:numId w:val="182"/>
              </w:numPr>
              <w:rPr>
                <w:rFonts w:eastAsia="MS Mincho"/>
                <w:lang w:eastAsia="en-US"/>
              </w:rPr>
            </w:pPr>
            <w:r w:rsidRPr="00145D91">
              <w:rPr>
                <w:rFonts w:eastAsia="MS Mincho"/>
                <w:lang w:eastAsia="en-US"/>
              </w:rPr>
              <w:t>Bupropion SR and varenicline. Bupropion SR was taken once daily (150 mg) for days 1 to 3, then twice</w:t>
            </w:r>
            <w:r w:rsidR="00C4065D">
              <w:rPr>
                <w:rFonts w:eastAsia="MS Mincho"/>
                <w:lang w:eastAsia="en-US"/>
              </w:rPr>
              <w:t xml:space="preserve"> </w:t>
            </w:r>
            <w:r w:rsidRPr="00C4065D">
              <w:rPr>
                <w:rFonts w:eastAsia="MS Mincho"/>
                <w:lang w:eastAsia="en-US"/>
              </w:rPr>
              <w:t>daily (total of 300 mg/d) for 12 weeks. Varenicline was taken once daily (0.5 mg) for 3 days, then 0.5</w:t>
            </w:r>
            <w:r w:rsidR="00C4065D">
              <w:rPr>
                <w:rFonts w:eastAsia="MS Mincho"/>
                <w:lang w:eastAsia="en-US"/>
              </w:rPr>
              <w:t xml:space="preserve"> </w:t>
            </w:r>
            <w:r w:rsidRPr="00C4065D">
              <w:rPr>
                <w:rFonts w:eastAsia="MS Mincho"/>
                <w:lang w:eastAsia="en-US"/>
              </w:rPr>
              <w:t>mg twice daily (total of 1 mg/d) for days 4 to 7, and finally to the maintenance dose of 1 mg twice daily</w:t>
            </w:r>
            <w:r w:rsidR="00C4065D">
              <w:rPr>
                <w:rFonts w:eastAsia="MS Mincho"/>
                <w:lang w:eastAsia="en-US"/>
              </w:rPr>
              <w:t xml:space="preserve"> </w:t>
            </w:r>
            <w:r w:rsidRPr="00C4065D">
              <w:rPr>
                <w:rFonts w:eastAsia="MS Mincho"/>
                <w:lang w:eastAsia="en-US"/>
              </w:rPr>
              <w:t>(total, 2 mg/d) for 11 weeks.</w:t>
            </w:r>
          </w:p>
          <w:p w14:paraId="0E69C3D8" w14:textId="6B6255FE" w:rsidR="00145D91" w:rsidRPr="00C4065D" w:rsidRDefault="00145D91" w:rsidP="00C324F3">
            <w:pPr>
              <w:pStyle w:val="ListParagraph"/>
              <w:numPr>
                <w:ilvl w:val="0"/>
                <w:numId w:val="182"/>
              </w:numPr>
              <w:rPr>
                <w:rFonts w:eastAsia="MS Mincho"/>
                <w:lang w:eastAsia="en-US"/>
              </w:rPr>
            </w:pPr>
            <w:r w:rsidRPr="00C4065D">
              <w:rPr>
                <w:rFonts w:eastAsia="MS Mincho"/>
                <w:lang w:eastAsia="en-US"/>
              </w:rPr>
              <w:t>Varenicline and placebo. Varenicline was taken according to the above dosing and schedule with</w:t>
            </w:r>
            <w:r w:rsidR="00C4065D">
              <w:rPr>
                <w:rFonts w:eastAsia="MS Mincho"/>
                <w:lang w:eastAsia="en-US"/>
              </w:rPr>
              <w:t xml:space="preserve"> </w:t>
            </w:r>
            <w:r w:rsidRPr="00C4065D">
              <w:rPr>
                <w:rFonts w:eastAsia="MS Mincho"/>
                <w:lang w:eastAsia="en-US"/>
              </w:rPr>
              <w:t>matching placebo in place of bupropion.</w:t>
            </w:r>
          </w:p>
          <w:p w14:paraId="621C086E" w14:textId="77777777" w:rsidR="00C4065D" w:rsidRDefault="00C4065D" w:rsidP="006B48C7">
            <w:pPr>
              <w:rPr>
                <w:rFonts w:eastAsia="MS Mincho"/>
                <w:lang w:eastAsia="en-US"/>
              </w:rPr>
            </w:pPr>
          </w:p>
          <w:p w14:paraId="0671D890" w14:textId="77777777" w:rsidR="00C4065D" w:rsidRDefault="00C4065D" w:rsidP="006B48C7">
            <w:pPr>
              <w:rPr>
                <w:rFonts w:eastAsia="MS Mincho"/>
                <w:lang w:eastAsia="en-US"/>
              </w:rPr>
            </w:pPr>
          </w:p>
          <w:p w14:paraId="5AD046EE" w14:textId="010E1C69" w:rsidR="00547FF0" w:rsidRPr="002F7627" w:rsidRDefault="00145D91" w:rsidP="006B48C7">
            <w:pPr>
              <w:rPr>
                <w:rFonts w:eastAsia="MS Mincho"/>
                <w:lang w:eastAsia="en-US"/>
              </w:rPr>
            </w:pPr>
            <w:r w:rsidRPr="00C4065D">
              <w:rPr>
                <w:rFonts w:eastAsia="MS Mincho"/>
                <w:u w:val="single"/>
                <w:lang w:eastAsia="en-US"/>
              </w:rPr>
              <w:lastRenderedPageBreak/>
              <w:t>Common components:</w:t>
            </w:r>
            <w:r w:rsidRPr="00145D91">
              <w:rPr>
                <w:rFonts w:eastAsia="MS Mincho"/>
                <w:lang w:eastAsia="en-US"/>
              </w:rPr>
              <w:t xml:space="preserve"> brief </w:t>
            </w:r>
            <w:r w:rsidR="00C4065D" w:rsidRPr="00145D91">
              <w:rPr>
                <w:rFonts w:eastAsia="MS Mincho"/>
                <w:lang w:eastAsia="en-US"/>
              </w:rPr>
              <w:t>behavioural</w:t>
            </w:r>
            <w:r w:rsidRPr="00145D91">
              <w:rPr>
                <w:rFonts w:eastAsia="MS Mincho"/>
                <w:lang w:eastAsia="en-US"/>
              </w:rPr>
              <w:t xml:space="preserve"> counselling at each clinic visit, totalling 110 minutes</w:t>
            </w:r>
            <w:r w:rsidR="00C4065D">
              <w:rPr>
                <w:rFonts w:eastAsia="MS Mincho"/>
                <w:lang w:eastAsia="en-US"/>
              </w:rPr>
              <w:t>.</w:t>
            </w:r>
          </w:p>
        </w:tc>
        <w:tc>
          <w:tcPr>
            <w:tcW w:w="998" w:type="pct"/>
          </w:tcPr>
          <w:p w14:paraId="6C3E0620" w14:textId="78889E2C" w:rsidR="00C4065D" w:rsidRPr="00C4065D" w:rsidRDefault="000B1934" w:rsidP="006B48C7">
            <w:pPr>
              <w:pStyle w:val="Tablewriting"/>
              <w:rPr>
                <w:rFonts w:eastAsia="MS Mincho" w:cstheme="minorHAnsi"/>
                <w:u w:val="single"/>
              </w:rPr>
            </w:pPr>
            <w:r>
              <w:rPr>
                <w:rFonts w:eastAsia="MS Mincho" w:cstheme="minorHAnsi"/>
                <w:u w:val="single"/>
              </w:rPr>
              <w:lastRenderedPageBreak/>
              <w:t>Efficacy:</w:t>
            </w:r>
            <w:r w:rsidR="00C4065D">
              <w:rPr>
                <w:rFonts w:eastAsia="MS Mincho" w:cstheme="minorHAnsi"/>
                <w:u w:val="single"/>
              </w:rPr>
              <w:t xml:space="preserve"> P</w:t>
            </w:r>
            <w:r w:rsidR="00C4065D" w:rsidRPr="00C4065D">
              <w:rPr>
                <w:rFonts w:eastAsia="MS Mincho" w:cstheme="minorHAnsi"/>
              </w:rPr>
              <w:t>rolonged abstinence (no smoking from 2 weeks after the target quit date) at 52</w:t>
            </w:r>
          </w:p>
          <w:p w14:paraId="227DE35A" w14:textId="469A7BE5" w:rsidR="00C4065D" w:rsidRPr="00C4065D" w:rsidRDefault="00C4065D" w:rsidP="006B48C7">
            <w:pPr>
              <w:pStyle w:val="Tablewriting"/>
              <w:rPr>
                <w:rFonts w:eastAsia="MS Mincho" w:cstheme="minorHAnsi"/>
              </w:rPr>
            </w:pPr>
            <w:r w:rsidRPr="00C4065D">
              <w:rPr>
                <w:rFonts w:eastAsia="MS Mincho" w:cstheme="minorHAnsi"/>
              </w:rPr>
              <w:t>weeks. Validated by CO</w:t>
            </w:r>
          </w:p>
          <w:p w14:paraId="54F3243D" w14:textId="77777777" w:rsidR="00C4065D" w:rsidRDefault="00C4065D" w:rsidP="006B48C7">
            <w:pPr>
              <w:pStyle w:val="Tablewriting"/>
              <w:rPr>
                <w:rFonts w:eastAsia="MS Mincho" w:cstheme="minorHAnsi"/>
                <w:u w:val="single"/>
              </w:rPr>
            </w:pPr>
          </w:p>
          <w:p w14:paraId="115F0FA6" w14:textId="5E661E90" w:rsidR="00C4065D" w:rsidRPr="00C4065D" w:rsidRDefault="000B1934" w:rsidP="006B48C7">
            <w:pPr>
              <w:pStyle w:val="Tablewriting"/>
              <w:rPr>
                <w:rFonts w:eastAsia="MS Mincho" w:cstheme="minorHAnsi"/>
              </w:rPr>
            </w:pPr>
            <w:r>
              <w:rPr>
                <w:rFonts w:eastAsia="MS Mincho" w:cstheme="minorHAnsi"/>
                <w:u w:val="single"/>
              </w:rPr>
              <w:t>Safety:</w:t>
            </w:r>
            <w:r w:rsidR="00C4065D">
              <w:rPr>
                <w:rFonts w:eastAsia="MS Mincho" w:cstheme="minorHAnsi"/>
                <w:u w:val="single"/>
              </w:rPr>
              <w:t xml:space="preserve"> </w:t>
            </w:r>
            <w:r w:rsidR="00C4065D" w:rsidRPr="00C4065D">
              <w:rPr>
                <w:rFonts w:eastAsia="MS Mincho" w:cstheme="minorHAnsi"/>
              </w:rPr>
              <w:t>Adverse events</w:t>
            </w:r>
            <w:r w:rsidR="00C4065D">
              <w:rPr>
                <w:rFonts w:eastAsia="MS Mincho" w:cstheme="minorHAnsi"/>
              </w:rPr>
              <w:t xml:space="preserve"> </w:t>
            </w:r>
            <w:r w:rsidR="00C4065D" w:rsidRPr="00C4065D">
              <w:rPr>
                <w:rFonts w:eastAsia="MS Mincho" w:cstheme="minorHAnsi"/>
              </w:rPr>
              <w:t>measured for 52 weeks</w:t>
            </w:r>
          </w:p>
          <w:p w14:paraId="033E0E8D" w14:textId="06E81924" w:rsidR="00547FF0" w:rsidRPr="004272CD" w:rsidRDefault="00547FF0" w:rsidP="006B48C7">
            <w:pPr>
              <w:pStyle w:val="Tablewriting"/>
              <w:rPr>
                <w:rFonts w:eastAsia="MS Mincho" w:cstheme="minorHAnsi"/>
                <w:u w:val="single"/>
              </w:rPr>
            </w:pPr>
          </w:p>
        </w:tc>
      </w:tr>
      <w:tr w:rsidR="00547FF0" w:rsidRPr="00017AE6" w14:paraId="36F1AB14" w14:textId="77777777" w:rsidTr="00EA7016">
        <w:trPr>
          <w:trHeight w:val="99"/>
        </w:trPr>
        <w:tc>
          <w:tcPr>
            <w:tcW w:w="539" w:type="pct"/>
          </w:tcPr>
          <w:p w14:paraId="4B7F951D" w14:textId="77777777" w:rsidR="00547FF0" w:rsidRPr="00017AE6" w:rsidRDefault="00547FF0" w:rsidP="006B48C7">
            <w:pPr>
              <w:pStyle w:val="Tablewriting"/>
              <w:rPr>
                <w:rFonts w:eastAsia="MS Mincho" w:cstheme="minorHAnsi"/>
              </w:rPr>
            </w:pPr>
            <w:r w:rsidRPr="00C324F3">
              <w:rPr>
                <w:rFonts w:eastAsia="MS Mincho"/>
              </w:rPr>
              <w:t>NCT01406223</w:t>
            </w:r>
          </w:p>
        </w:tc>
        <w:tc>
          <w:tcPr>
            <w:tcW w:w="247" w:type="pct"/>
          </w:tcPr>
          <w:p w14:paraId="7888529F" w14:textId="7022A331" w:rsidR="00547FF0" w:rsidRPr="00017AE6" w:rsidRDefault="006A4AAE" w:rsidP="006B48C7">
            <w:pPr>
              <w:pStyle w:val="Tablewriting"/>
              <w:rPr>
                <w:rFonts w:eastAsia="MS Mincho" w:cstheme="minorHAnsi"/>
              </w:rPr>
            </w:pPr>
            <w:r>
              <w:rPr>
                <w:rFonts w:eastAsia="MS Mincho" w:cstheme="minorHAnsi"/>
              </w:rPr>
              <w:t>RCT</w:t>
            </w:r>
          </w:p>
        </w:tc>
        <w:tc>
          <w:tcPr>
            <w:tcW w:w="416" w:type="pct"/>
          </w:tcPr>
          <w:p w14:paraId="20D69CD8" w14:textId="1666005D" w:rsidR="00547FF0" w:rsidRPr="00017AE6" w:rsidRDefault="006A4AAE" w:rsidP="006B48C7">
            <w:pPr>
              <w:pStyle w:val="Tablewriting"/>
              <w:rPr>
                <w:rFonts w:eastAsia="MS Mincho" w:cstheme="minorHAnsi"/>
              </w:rPr>
            </w:pPr>
            <w:r>
              <w:rPr>
                <w:rFonts w:eastAsia="MS Mincho" w:cstheme="minorHAnsi"/>
              </w:rPr>
              <w:t>USA</w:t>
            </w:r>
          </w:p>
        </w:tc>
        <w:tc>
          <w:tcPr>
            <w:tcW w:w="348" w:type="pct"/>
          </w:tcPr>
          <w:p w14:paraId="644BC057" w14:textId="4F8A0ACA" w:rsidR="00547FF0" w:rsidRPr="00017AE6" w:rsidRDefault="00547FF0" w:rsidP="006B48C7">
            <w:pPr>
              <w:pStyle w:val="Tablewriting"/>
              <w:rPr>
                <w:rFonts w:eastAsia="MS Mincho" w:cstheme="minorHAnsi"/>
              </w:rPr>
            </w:pPr>
            <w:r w:rsidRPr="00296F91">
              <w:rPr>
                <w:rFonts w:eastAsia="MS Mincho" w:cstheme="minorHAnsi"/>
              </w:rPr>
              <w:t>N=</w:t>
            </w:r>
            <w:r w:rsidR="006A4AAE">
              <w:rPr>
                <w:rFonts w:eastAsia="MS Mincho" w:cstheme="minorHAnsi"/>
              </w:rPr>
              <w:t>76</w:t>
            </w:r>
          </w:p>
        </w:tc>
        <w:tc>
          <w:tcPr>
            <w:tcW w:w="1166" w:type="pct"/>
          </w:tcPr>
          <w:p w14:paraId="491EBA72" w14:textId="04D6EF49" w:rsidR="00547FF0" w:rsidRPr="00017AE6" w:rsidRDefault="006A4AAE" w:rsidP="006B48C7">
            <w:pPr>
              <w:pStyle w:val="Tablewriting"/>
              <w:rPr>
                <w:rFonts w:eastAsia="MS Mincho" w:cstheme="minorHAnsi"/>
              </w:rPr>
            </w:pPr>
            <w:r w:rsidRPr="006A4AAE">
              <w:rPr>
                <w:rFonts w:eastAsia="MS Mincho" w:cstheme="minorHAnsi"/>
              </w:rPr>
              <w:t>53% female</w:t>
            </w:r>
            <w:r w:rsidR="007B3A2D">
              <w:rPr>
                <w:rFonts w:eastAsia="MS Mincho" w:cstheme="minorHAnsi"/>
              </w:rPr>
              <w:t>,</w:t>
            </w:r>
            <w:r w:rsidRPr="006A4AAE">
              <w:rPr>
                <w:rFonts w:eastAsia="MS Mincho" w:cstheme="minorHAnsi"/>
              </w:rPr>
              <w:t xml:space="preserve"> average age 38.8</w:t>
            </w:r>
            <w:r w:rsidR="007B3A2D">
              <w:rPr>
                <w:rFonts w:eastAsia="MS Mincho" w:cstheme="minorHAnsi"/>
              </w:rPr>
              <w:t xml:space="preserve"> years.</w:t>
            </w:r>
          </w:p>
        </w:tc>
        <w:tc>
          <w:tcPr>
            <w:tcW w:w="1286" w:type="pct"/>
          </w:tcPr>
          <w:p w14:paraId="1055379C" w14:textId="77777777" w:rsidR="006A4AAE" w:rsidRDefault="006A4AAE" w:rsidP="00C324F3">
            <w:pPr>
              <w:pStyle w:val="ListParagraph"/>
              <w:numPr>
                <w:ilvl w:val="0"/>
                <w:numId w:val="183"/>
              </w:numPr>
              <w:rPr>
                <w:rFonts w:eastAsia="MS Mincho"/>
                <w:lang w:eastAsia="en-US"/>
              </w:rPr>
            </w:pPr>
            <w:r w:rsidRPr="006A4AAE">
              <w:rPr>
                <w:rFonts w:eastAsia="MS Mincho"/>
                <w:lang w:eastAsia="en-US"/>
              </w:rPr>
              <w:t>Bupropion and varenicline. Bupropion was given 150 mg once daily for the first week, then twice daily</w:t>
            </w:r>
            <w:r>
              <w:rPr>
                <w:rFonts w:eastAsia="MS Mincho"/>
                <w:lang w:eastAsia="en-US"/>
              </w:rPr>
              <w:t xml:space="preserve"> </w:t>
            </w:r>
            <w:r w:rsidRPr="006A4AAE">
              <w:rPr>
                <w:rFonts w:eastAsia="MS Mincho"/>
                <w:lang w:eastAsia="en-US"/>
              </w:rPr>
              <w:t>for remainder of the 12-week treatment period. Varenicline was administered 0.5 mg once daily starting</w:t>
            </w:r>
            <w:r>
              <w:rPr>
                <w:rFonts w:eastAsia="MS Mincho"/>
                <w:lang w:eastAsia="en-US"/>
              </w:rPr>
              <w:t xml:space="preserve"> </w:t>
            </w:r>
            <w:r w:rsidRPr="006A4AAE">
              <w:rPr>
                <w:rFonts w:eastAsia="MS Mincho"/>
                <w:lang w:eastAsia="en-US"/>
              </w:rPr>
              <w:t>one week preceding the target quit date, 0.5 mg twice daily for the remaining 4 days of that week,</w:t>
            </w:r>
            <w:r>
              <w:rPr>
                <w:rFonts w:eastAsia="MS Mincho"/>
                <w:lang w:eastAsia="en-US"/>
              </w:rPr>
              <w:t xml:space="preserve"> </w:t>
            </w:r>
            <w:r w:rsidRPr="006A4AAE">
              <w:rPr>
                <w:rFonts w:eastAsia="MS Mincho"/>
                <w:lang w:eastAsia="en-US"/>
              </w:rPr>
              <w:t>then 1 mg twice daily of the remainder of the 12-week treatment period.</w:t>
            </w:r>
          </w:p>
          <w:p w14:paraId="3AE39662" w14:textId="17681E0B" w:rsidR="00547FF0" w:rsidRPr="002F7627" w:rsidRDefault="006A4AAE" w:rsidP="00C324F3">
            <w:pPr>
              <w:pStyle w:val="ListParagraph"/>
              <w:numPr>
                <w:ilvl w:val="0"/>
                <w:numId w:val="183"/>
              </w:numPr>
              <w:rPr>
                <w:rFonts w:eastAsia="MS Mincho"/>
                <w:lang w:eastAsia="en-US"/>
              </w:rPr>
            </w:pPr>
            <w:r w:rsidRPr="006A4AAE">
              <w:rPr>
                <w:rFonts w:eastAsia="MS Mincho"/>
                <w:lang w:eastAsia="en-US"/>
              </w:rPr>
              <w:t>Placebo and varenicline. Given according to the relevant schedules detailed above</w:t>
            </w:r>
          </w:p>
        </w:tc>
        <w:tc>
          <w:tcPr>
            <w:tcW w:w="998" w:type="pct"/>
          </w:tcPr>
          <w:p w14:paraId="2AB30CDA" w14:textId="21E6DA3B" w:rsidR="000B1934" w:rsidRPr="006A4AAE" w:rsidRDefault="000B1934" w:rsidP="006B48C7">
            <w:pPr>
              <w:pStyle w:val="Tablewriting"/>
              <w:rPr>
                <w:rFonts w:eastAsia="MS Mincho" w:cstheme="minorHAnsi"/>
              </w:rPr>
            </w:pPr>
            <w:r>
              <w:rPr>
                <w:rFonts w:eastAsia="MS Mincho" w:cstheme="minorHAnsi"/>
                <w:u w:val="single"/>
              </w:rPr>
              <w:t>Efficacy</w:t>
            </w:r>
            <w:r w:rsidRPr="006A4AAE">
              <w:rPr>
                <w:rFonts w:eastAsia="MS Mincho" w:cstheme="minorHAnsi"/>
              </w:rPr>
              <w:t>:</w:t>
            </w:r>
            <w:r w:rsidR="006A4AAE" w:rsidRPr="006A4AAE">
              <w:rPr>
                <w:rFonts w:eastAsia="MS Mincho" w:cstheme="minorHAnsi"/>
              </w:rPr>
              <w:t xml:space="preserve"> Not specified </w:t>
            </w:r>
          </w:p>
          <w:p w14:paraId="3200C0D1" w14:textId="77777777" w:rsidR="000B1934" w:rsidRDefault="000B1934" w:rsidP="006B48C7">
            <w:pPr>
              <w:pStyle w:val="Tablewriting"/>
              <w:rPr>
                <w:rFonts w:eastAsia="MS Mincho" w:cstheme="minorHAnsi"/>
                <w:u w:val="single"/>
              </w:rPr>
            </w:pPr>
          </w:p>
          <w:p w14:paraId="480D07D1" w14:textId="77150D02" w:rsidR="00547FF0" w:rsidRPr="004272CD" w:rsidRDefault="000B1934" w:rsidP="006B48C7">
            <w:pPr>
              <w:pStyle w:val="Tablewriting"/>
              <w:rPr>
                <w:rFonts w:eastAsia="MS Mincho" w:cstheme="minorHAnsi"/>
                <w:u w:val="single"/>
              </w:rPr>
            </w:pPr>
            <w:r>
              <w:rPr>
                <w:rFonts w:eastAsia="MS Mincho" w:cstheme="minorHAnsi"/>
                <w:u w:val="single"/>
              </w:rPr>
              <w:t>Safety:</w:t>
            </w:r>
            <w:r w:rsidR="006A4AAE">
              <w:rPr>
                <w:rFonts w:eastAsia="MS Mincho" w:cstheme="minorHAnsi"/>
                <w:u w:val="single"/>
              </w:rPr>
              <w:t xml:space="preserve"> </w:t>
            </w:r>
            <w:r w:rsidR="006A4AAE" w:rsidRPr="006A4AAE">
              <w:rPr>
                <w:rFonts w:eastAsia="MS Mincho" w:cstheme="minorHAnsi"/>
              </w:rPr>
              <w:t xml:space="preserve">Adverse events </w:t>
            </w:r>
            <w:r w:rsidR="006A4AAE" w:rsidRPr="006A4AAE">
              <w:rPr>
                <w:rFonts w:eastAsia="MS Mincho" w:cstheme="minorHAnsi"/>
                <w:lang w:val="en-GB"/>
              </w:rPr>
              <w:t>measured for 13-week treatment period</w:t>
            </w:r>
          </w:p>
        </w:tc>
      </w:tr>
      <w:tr w:rsidR="00547FF0" w:rsidRPr="00017AE6" w14:paraId="2AD32782" w14:textId="77777777" w:rsidTr="00EA7016">
        <w:trPr>
          <w:trHeight w:val="99"/>
        </w:trPr>
        <w:tc>
          <w:tcPr>
            <w:tcW w:w="539" w:type="pct"/>
          </w:tcPr>
          <w:p w14:paraId="703CE30C" w14:textId="5C81DE3C" w:rsidR="00547FF0" w:rsidRPr="00017AE6" w:rsidRDefault="00547FF0" w:rsidP="006B48C7">
            <w:pPr>
              <w:pStyle w:val="Tablewriting"/>
              <w:rPr>
                <w:rFonts w:eastAsia="MS Mincho" w:cstheme="minorHAnsi"/>
              </w:rPr>
            </w:pPr>
            <w:r w:rsidRPr="00C324F3">
              <w:rPr>
                <w:rFonts w:eastAsia="MS Mincho"/>
              </w:rPr>
              <w:t xml:space="preserve">Rose </w:t>
            </w:r>
            <w:r w:rsidR="009C4EF2">
              <w:rPr>
                <w:rFonts w:eastAsia="MS Mincho" w:cstheme="minorHAnsi"/>
              </w:rPr>
              <w:t>(</w:t>
            </w:r>
            <w:r w:rsidRPr="00C324F3">
              <w:rPr>
                <w:rFonts w:eastAsia="MS Mincho"/>
              </w:rPr>
              <w:t>2014</w:t>
            </w:r>
            <w:r w:rsidR="009C4EF2">
              <w:rPr>
                <w:rFonts w:eastAsia="MS Mincho" w:cstheme="minorHAnsi"/>
              </w:rPr>
              <w:t>)</w:t>
            </w:r>
          </w:p>
        </w:tc>
        <w:tc>
          <w:tcPr>
            <w:tcW w:w="247" w:type="pct"/>
          </w:tcPr>
          <w:p w14:paraId="6ADF39D2" w14:textId="7FBE2D82" w:rsidR="00547FF0" w:rsidRPr="00017AE6" w:rsidRDefault="007B3A2D" w:rsidP="006B48C7">
            <w:pPr>
              <w:pStyle w:val="Tablewriting"/>
              <w:rPr>
                <w:rFonts w:eastAsia="MS Mincho" w:cstheme="minorHAnsi"/>
              </w:rPr>
            </w:pPr>
            <w:r>
              <w:rPr>
                <w:rFonts w:eastAsia="MS Mincho" w:cstheme="minorHAnsi"/>
              </w:rPr>
              <w:t>RCT</w:t>
            </w:r>
          </w:p>
        </w:tc>
        <w:tc>
          <w:tcPr>
            <w:tcW w:w="416" w:type="pct"/>
          </w:tcPr>
          <w:p w14:paraId="10BA0DE0" w14:textId="5A255777" w:rsidR="00547FF0" w:rsidRPr="00017AE6" w:rsidRDefault="007B3A2D" w:rsidP="006B48C7">
            <w:pPr>
              <w:pStyle w:val="Tablewriting"/>
              <w:rPr>
                <w:rFonts w:eastAsia="MS Mincho" w:cstheme="minorHAnsi"/>
              </w:rPr>
            </w:pPr>
            <w:r>
              <w:rPr>
                <w:rFonts w:eastAsia="MS Mincho" w:cstheme="minorHAnsi"/>
              </w:rPr>
              <w:t>USA</w:t>
            </w:r>
          </w:p>
        </w:tc>
        <w:tc>
          <w:tcPr>
            <w:tcW w:w="348" w:type="pct"/>
          </w:tcPr>
          <w:p w14:paraId="4CB30318" w14:textId="7BDA5E69" w:rsidR="00547FF0" w:rsidRPr="00017AE6" w:rsidRDefault="00547FF0" w:rsidP="006B48C7">
            <w:pPr>
              <w:pStyle w:val="Tablewriting"/>
              <w:rPr>
                <w:rFonts w:eastAsia="MS Mincho" w:cstheme="minorHAnsi"/>
              </w:rPr>
            </w:pPr>
            <w:r w:rsidRPr="00296F91">
              <w:rPr>
                <w:rFonts w:eastAsia="MS Mincho" w:cstheme="minorHAnsi"/>
              </w:rPr>
              <w:t>N=</w:t>
            </w:r>
            <w:r w:rsidR="007B3A2D">
              <w:rPr>
                <w:rFonts w:eastAsia="MS Mincho" w:cstheme="minorHAnsi"/>
              </w:rPr>
              <w:t>222</w:t>
            </w:r>
          </w:p>
        </w:tc>
        <w:tc>
          <w:tcPr>
            <w:tcW w:w="1166" w:type="pct"/>
          </w:tcPr>
          <w:p w14:paraId="101F5CA4" w14:textId="5557A781" w:rsidR="007B3A2D" w:rsidRDefault="007B3A2D" w:rsidP="006B48C7">
            <w:pPr>
              <w:pStyle w:val="Tablewriting"/>
              <w:rPr>
                <w:rFonts w:eastAsia="MS Mincho" w:cstheme="minorHAnsi"/>
              </w:rPr>
            </w:pPr>
            <w:r w:rsidRPr="007B3A2D">
              <w:rPr>
                <w:rFonts w:eastAsia="MS Mincho" w:cstheme="minorHAnsi"/>
              </w:rPr>
              <w:t>Participants were nicotine patch non-responders (</w:t>
            </w:r>
            <w:r w:rsidR="000E1409">
              <w:rPr>
                <w:rFonts w:eastAsia="MS Mincho" w:cstheme="minorHAnsi"/>
              </w:rPr>
              <w:t>were not successful in showing</w:t>
            </w:r>
            <w:r w:rsidRPr="007B3A2D">
              <w:rPr>
                <w:rFonts w:eastAsia="MS Mincho" w:cstheme="minorHAnsi"/>
              </w:rPr>
              <w:t xml:space="preserve"> a reduction of more than 50% in</w:t>
            </w:r>
            <w:r>
              <w:rPr>
                <w:rFonts w:eastAsia="MS Mincho" w:cstheme="minorHAnsi"/>
              </w:rPr>
              <w:t xml:space="preserve"> </w:t>
            </w:r>
            <w:r w:rsidRPr="007B3A2D">
              <w:rPr>
                <w:rFonts w:eastAsia="MS Mincho" w:cstheme="minorHAnsi"/>
              </w:rPr>
              <w:t>smoking after 1 week of nicotine patch treatment)</w:t>
            </w:r>
            <w:r>
              <w:rPr>
                <w:rFonts w:eastAsia="MS Mincho" w:cstheme="minorHAnsi"/>
              </w:rPr>
              <w:t>.</w:t>
            </w:r>
          </w:p>
          <w:p w14:paraId="43F61304" w14:textId="5A94D37B" w:rsidR="007B3A2D" w:rsidRPr="007B3A2D" w:rsidRDefault="007B3A2D" w:rsidP="006B48C7">
            <w:pPr>
              <w:pStyle w:val="Tablewriting"/>
              <w:rPr>
                <w:rFonts w:eastAsia="MS Mincho" w:cstheme="minorHAnsi"/>
              </w:rPr>
            </w:pPr>
            <w:r w:rsidRPr="007B3A2D">
              <w:rPr>
                <w:rFonts w:eastAsia="MS Mincho" w:cstheme="minorHAnsi"/>
              </w:rPr>
              <w:t>54.5% female; average age 44.1</w:t>
            </w:r>
            <w:r>
              <w:rPr>
                <w:rFonts w:eastAsia="MS Mincho" w:cstheme="minorHAnsi"/>
              </w:rPr>
              <w:t>years,</w:t>
            </w:r>
            <w:r w:rsidRPr="007B3A2D">
              <w:rPr>
                <w:rFonts w:eastAsia="MS Mincho" w:cstheme="minorHAnsi"/>
              </w:rPr>
              <w:t xml:space="preserve"> average cigarettes per day 20.7</w:t>
            </w:r>
            <w:r>
              <w:rPr>
                <w:rFonts w:eastAsia="MS Mincho" w:cstheme="minorHAnsi"/>
              </w:rPr>
              <w:t>,</w:t>
            </w:r>
            <w:r w:rsidRPr="007B3A2D">
              <w:rPr>
                <w:rFonts w:eastAsia="MS Mincho" w:cstheme="minorHAnsi"/>
              </w:rPr>
              <w:t xml:space="preserve"> mean</w:t>
            </w:r>
          </w:p>
          <w:p w14:paraId="0A8A9CD1" w14:textId="1A82069A" w:rsidR="00547FF0" w:rsidRPr="00017AE6" w:rsidRDefault="007B3A2D" w:rsidP="006B48C7">
            <w:pPr>
              <w:pStyle w:val="Tablewriting"/>
              <w:rPr>
                <w:rFonts w:eastAsia="MS Mincho" w:cstheme="minorHAnsi"/>
              </w:rPr>
            </w:pPr>
            <w:r w:rsidRPr="007B3A2D">
              <w:rPr>
                <w:rFonts w:eastAsia="MS Mincho" w:cstheme="minorHAnsi"/>
              </w:rPr>
              <w:t>FTND 6.1</w:t>
            </w:r>
            <w:r>
              <w:rPr>
                <w:rFonts w:eastAsia="MS Mincho" w:cstheme="minorHAnsi"/>
              </w:rPr>
              <w:t>.</w:t>
            </w:r>
          </w:p>
        </w:tc>
        <w:tc>
          <w:tcPr>
            <w:tcW w:w="1286" w:type="pct"/>
          </w:tcPr>
          <w:p w14:paraId="07D5B546" w14:textId="77777777" w:rsidR="007B3A2D" w:rsidRDefault="007B3A2D" w:rsidP="00C324F3">
            <w:pPr>
              <w:pStyle w:val="ListParagraph"/>
              <w:numPr>
                <w:ilvl w:val="0"/>
                <w:numId w:val="184"/>
              </w:numPr>
              <w:rPr>
                <w:rFonts w:eastAsia="MS Mincho"/>
                <w:lang w:eastAsia="en-US"/>
              </w:rPr>
            </w:pPr>
            <w:r w:rsidRPr="007B3A2D">
              <w:rPr>
                <w:rFonts w:eastAsia="MS Mincho"/>
                <w:lang w:eastAsia="en-US"/>
              </w:rPr>
              <w:t>Bupropion and varenicline. Bupropion given 150 mg once daily for 3 days, then 150 mg twice daily for</w:t>
            </w:r>
            <w:r>
              <w:rPr>
                <w:rFonts w:eastAsia="MS Mincho"/>
                <w:lang w:eastAsia="en-US"/>
              </w:rPr>
              <w:t xml:space="preserve"> </w:t>
            </w:r>
            <w:r w:rsidRPr="007B3A2D">
              <w:rPr>
                <w:rFonts w:eastAsia="MS Mincho"/>
                <w:lang w:eastAsia="en-US"/>
              </w:rPr>
              <w:t>remainder of 12-week treatment period. Varenicline given 0.5 mg once daily on days 1–3, 0.5 mg twice</w:t>
            </w:r>
            <w:r>
              <w:rPr>
                <w:rFonts w:eastAsia="MS Mincho"/>
                <w:lang w:eastAsia="en-US"/>
              </w:rPr>
              <w:t xml:space="preserve"> </w:t>
            </w:r>
            <w:r w:rsidRPr="007B3A2D">
              <w:rPr>
                <w:rFonts w:eastAsia="MS Mincho"/>
                <w:lang w:eastAsia="en-US"/>
              </w:rPr>
              <w:t>daily on days 4–7; and 1 mg twice daily for remainder of 12-week treatment period</w:t>
            </w:r>
          </w:p>
          <w:p w14:paraId="4808166C" w14:textId="2BC38BC4" w:rsidR="007B3A2D" w:rsidRPr="007B3A2D" w:rsidRDefault="007B3A2D" w:rsidP="00C324F3">
            <w:pPr>
              <w:pStyle w:val="ListParagraph"/>
              <w:numPr>
                <w:ilvl w:val="0"/>
                <w:numId w:val="184"/>
              </w:numPr>
              <w:rPr>
                <w:rFonts w:eastAsia="MS Mincho"/>
                <w:lang w:eastAsia="en-US"/>
              </w:rPr>
            </w:pPr>
            <w:r w:rsidRPr="007B3A2D">
              <w:rPr>
                <w:rFonts w:eastAsia="MS Mincho"/>
                <w:lang w:eastAsia="en-US"/>
              </w:rPr>
              <w:t>Placebo and varenicline. Given according to schedule above</w:t>
            </w:r>
          </w:p>
          <w:p w14:paraId="5C89DE8E" w14:textId="77777777" w:rsidR="007B3A2D" w:rsidRDefault="007B3A2D" w:rsidP="006B48C7">
            <w:pPr>
              <w:rPr>
                <w:rFonts w:eastAsia="MS Mincho"/>
                <w:lang w:eastAsia="en-US"/>
              </w:rPr>
            </w:pPr>
          </w:p>
          <w:p w14:paraId="1C7CDC07" w14:textId="77777777" w:rsidR="007B3A2D" w:rsidRDefault="007B3A2D" w:rsidP="006B48C7">
            <w:pPr>
              <w:rPr>
                <w:rFonts w:eastAsia="MS Mincho"/>
                <w:lang w:eastAsia="en-US"/>
              </w:rPr>
            </w:pPr>
          </w:p>
          <w:p w14:paraId="02AEC363" w14:textId="7D11BFA6" w:rsidR="00547FF0" w:rsidRPr="002F7627" w:rsidRDefault="007B3A2D" w:rsidP="006B48C7">
            <w:pPr>
              <w:rPr>
                <w:rFonts w:eastAsia="MS Mincho"/>
                <w:lang w:eastAsia="en-US"/>
              </w:rPr>
            </w:pPr>
            <w:r w:rsidRPr="007B3A2D">
              <w:rPr>
                <w:rFonts w:eastAsia="MS Mincho"/>
                <w:u w:val="single"/>
                <w:lang w:eastAsia="en-US"/>
              </w:rPr>
              <w:t>Common components:</w:t>
            </w:r>
            <w:r w:rsidRPr="007B3A2D">
              <w:rPr>
                <w:rFonts w:eastAsia="MS Mincho"/>
                <w:lang w:eastAsia="en-US"/>
              </w:rPr>
              <w:t xml:space="preserve"> brief support at each study session, totalling 1 hour and 45 minutes</w:t>
            </w:r>
            <w:r>
              <w:rPr>
                <w:rFonts w:eastAsia="MS Mincho"/>
                <w:lang w:eastAsia="en-US"/>
              </w:rPr>
              <w:t>.</w:t>
            </w:r>
          </w:p>
        </w:tc>
        <w:tc>
          <w:tcPr>
            <w:tcW w:w="998" w:type="pct"/>
          </w:tcPr>
          <w:p w14:paraId="5F4B59E8" w14:textId="77777777" w:rsidR="008D6C5E" w:rsidRDefault="000B1934" w:rsidP="006B48C7">
            <w:pPr>
              <w:pStyle w:val="Tablewriting"/>
              <w:rPr>
                <w:rFonts w:eastAsia="MS Mincho" w:cstheme="minorHAnsi"/>
              </w:rPr>
            </w:pPr>
            <w:r>
              <w:rPr>
                <w:rFonts w:eastAsia="MS Mincho" w:cstheme="minorHAnsi"/>
                <w:u w:val="single"/>
              </w:rPr>
              <w:t>Efficacy:</w:t>
            </w:r>
            <w:r w:rsidR="008D6C5E">
              <w:rPr>
                <w:rFonts w:eastAsia="MS Mincho" w:cstheme="minorHAnsi"/>
                <w:u w:val="single"/>
              </w:rPr>
              <w:t xml:space="preserve"> </w:t>
            </w:r>
            <w:r w:rsidR="008D6C5E" w:rsidRPr="008D6C5E">
              <w:rPr>
                <w:rFonts w:eastAsia="MS Mincho" w:cstheme="minorHAnsi"/>
              </w:rPr>
              <w:t xml:space="preserve">7-day </w:t>
            </w:r>
            <w:r w:rsidR="008D6C5E">
              <w:rPr>
                <w:rFonts w:eastAsia="MS Mincho" w:cstheme="minorHAnsi"/>
              </w:rPr>
              <w:t>PPA</w:t>
            </w:r>
            <w:r w:rsidR="008D6C5E" w:rsidRPr="008D6C5E">
              <w:rPr>
                <w:rFonts w:eastAsia="MS Mincho" w:cstheme="minorHAnsi"/>
              </w:rPr>
              <w:t xml:space="preserve"> at 6 months. </w:t>
            </w:r>
          </w:p>
          <w:p w14:paraId="69B21B46" w14:textId="77777777" w:rsidR="008D6C5E" w:rsidRDefault="008D6C5E" w:rsidP="006B48C7">
            <w:pPr>
              <w:pStyle w:val="Tablewriting"/>
              <w:rPr>
                <w:rFonts w:eastAsia="MS Mincho" w:cstheme="minorHAnsi"/>
              </w:rPr>
            </w:pPr>
          </w:p>
          <w:p w14:paraId="216C1C0C" w14:textId="68C50733" w:rsidR="008D6C5E" w:rsidRPr="008D6C5E" w:rsidRDefault="008D6C5E" w:rsidP="006B48C7">
            <w:pPr>
              <w:pStyle w:val="Tablewriting"/>
              <w:rPr>
                <w:rFonts w:eastAsia="MS Mincho" w:cstheme="minorHAnsi"/>
                <w:u w:val="single"/>
              </w:rPr>
            </w:pPr>
            <w:r w:rsidRPr="008D6C5E">
              <w:rPr>
                <w:rFonts w:eastAsia="MS Mincho" w:cstheme="minorHAnsi"/>
              </w:rPr>
              <w:t>Validated by CO ≤ 10 ppm</w:t>
            </w:r>
          </w:p>
          <w:p w14:paraId="46FC885B" w14:textId="77777777" w:rsidR="008D6C5E" w:rsidRDefault="008D6C5E" w:rsidP="006B48C7">
            <w:pPr>
              <w:pStyle w:val="Tablewriting"/>
              <w:rPr>
                <w:rFonts w:eastAsia="MS Mincho" w:cstheme="minorHAnsi"/>
                <w:u w:val="single"/>
              </w:rPr>
            </w:pPr>
          </w:p>
          <w:p w14:paraId="55FDF528" w14:textId="555207A8" w:rsidR="008D6C5E" w:rsidRPr="008D6C5E" w:rsidRDefault="000B1934" w:rsidP="006B48C7">
            <w:pPr>
              <w:pStyle w:val="Tablewriting"/>
              <w:rPr>
                <w:rFonts w:eastAsia="MS Mincho" w:cstheme="minorHAnsi"/>
              </w:rPr>
            </w:pPr>
            <w:r>
              <w:rPr>
                <w:rFonts w:eastAsia="MS Mincho" w:cstheme="minorHAnsi"/>
                <w:u w:val="single"/>
              </w:rPr>
              <w:t>Safety:</w:t>
            </w:r>
            <w:r w:rsidR="008D6C5E">
              <w:rPr>
                <w:rFonts w:eastAsia="MS Mincho" w:cstheme="minorHAnsi"/>
                <w:u w:val="single"/>
              </w:rPr>
              <w:t xml:space="preserve"> </w:t>
            </w:r>
            <w:r w:rsidR="008D6C5E" w:rsidRPr="008D6C5E">
              <w:rPr>
                <w:rFonts w:eastAsia="MS Mincho" w:cstheme="minorHAnsi"/>
              </w:rPr>
              <w:t>Adverse events</w:t>
            </w:r>
            <w:r w:rsidR="008D6C5E">
              <w:rPr>
                <w:rFonts w:eastAsia="MS Mincho" w:cstheme="minorHAnsi"/>
              </w:rPr>
              <w:t xml:space="preserve"> </w:t>
            </w:r>
            <w:r w:rsidR="008D6C5E" w:rsidRPr="008D6C5E">
              <w:rPr>
                <w:rFonts w:eastAsia="MS Mincho" w:cstheme="minorHAnsi"/>
              </w:rPr>
              <w:t>measured for an unspecified period</w:t>
            </w:r>
          </w:p>
          <w:p w14:paraId="058A6F0E" w14:textId="0AB2E177" w:rsidR="00547FF0" w:rsidRPr="004272CD" w:rsidRDefault="00547FF0" w:rsidP="006B48C7">
            <w:pPr>
              <w:pStyle w:val="Tablewriting"/>
              <w:rPr>
                <w:rFonts w:eastAsia="MS Mincho" w:cstheme="minorHAnsi"/>
                <w:u w:val="single"/>
              </w:rPr>
            </w:pPr>
          </w:p>
        </w:tc>
      </w:tr>
      <w:tr w:rsidR="00547FF0" w:rsidRPr="00017AE6" w14:paraId="58D6C9A4" w14:textId="77777777" w:rsidTr="00EA7016">
        <w:trPr>
          <w:trHeight w:val="99"/>
        </w:trPr>
        <w:tc>
          <w:tcPr>
            <w:tcW w:w="539" w:type="pct"/>
          </w:tcPr>
          <w:p w14:paraId="019F7246" w14:textId="57318CFC" w:rsidR="00547FF0" w:rsidRPr="00C324F3" w:rsidRDefault="00547FF0" w:rsidP="006B48C7">
            <w:pPr>
              <w:pStyle w:val="Tablewriting"/>
              <w:rPr>
                <w:rFonts w:eastAsia="MS Mincho"/>
              </w:rPr>
            </w:pPr>
            <w:r w:rsidRPr="00C324F3">
              <w:rPr>
                <w:rFonts w:eastAsia="MS Mincho"/>
              </w:rPr>
              <w:lastRenderedPageBreak/>
              <w:t xml:space="preserve">Rose </w:t>
            </w:r>
            <w:r w:rsidR="009C4EF2">
              <w:rPr>
                <w:rFonts w:eastAsia="MS Mincho" w:cstheme="minorHAnsi"/>
              </w:rPr>
              <w:t>(</w:t>
            </w:r>
            <w:r w:rsidRPr="00C324F3">
              <w:rPr>
                <w:rFonts w:eastAsia="MS Mincho"/>
              </w:rPr>
              <w:t>2017</w:t>
            </w:r>
            <w:r w:rsidR="009C4EF2">
              <w:rPr>
                <w:rFonts w:eastAsia="MS Mincho" w:cstheme="minorHAnsi"/>
              </w:rPr>
              <w:t>)</w:t>
            </w:r>
          </w:p>
        </w:tc>
        <w:tc>
          <w:tcPr>
            <w:tcW w:w="247" w:type="pct"/>
          </w:tcPr>
          <w:p w14:paraId="5CEF99AB" w14:textId="32B1BAE6" w:rsidR="00547FF0" w:rsidRPr="00017AE6" w:rsidRDefault="008D6C5E" w:rsidP="006B48C7">
            <w:pPr>
              <w:pStyle w:val="Tablewriting"/>
              <w:rPr>
                <w:rFonts w:eastAsia="MS Mincho" w:cstheme="minorHAnsi"/>
              </w:rPr>
            </w:pPr>
            <w:r>
              <w:rPr>
                <w:rFonts w:eastAsia="MS Mincho" w:cstheme="minorHAnsi"/>
              </w:rPr>
              <w:t>RCT</w:t>
            </w:r>
          </w:p>
        </w:tc>
        <w:tc>
          <w:tcPr>
            <w:tcW w:w="416" w:type="pct"/>
          </w:tcPr>
          <w:p w14:paraId="6EE71A16" w14:textId="5407B757" w:rsidR="00547FF0" w:rsidRPr="00017AE6" w:rsidRDefault="008D6C5E" w:rsidP="006B48C7">
            <w:pPr>
              <w:pStyle w:val="Tablewriting"/>
              <w:rPr>
                <w:rFonts w:eastAsia="MS Mincho" w:cstheme="minorHAnsi"/>
              </w:rPr>
            </w:pPr>
            <w:r>
              <w:rPr>
                <w:rFonts w:eastAsia="MS Mincho" w:cstheme="minorHAnsi"/>
              </w:rPr>
              <w:t>USA</w:t>
            </w:r>
          </w:p>
        </w:tc>
        <w:tc>
          <w:tcPr>
            <w:tcW w:w="348" w:type="pct"/>
          </w:tcPr>
          <w:p w14:paraId="32E0AD56" w14:textId="555A9D32" w:rsidR="00547FF0" w:rsidRPr="00017AE6" w:rsidRDefault="00547FF0" w:rsidP="006B48C7">
            <w:pPr>
              <w:pStyle w:val="Tablewriting"/>
              <w:rPr>
                <w:rFonts w:eastAsia="MS Mincho" w:cstheme="minorHAnsi"/>
              </w:rPr>
            </w:pPr>
            <w:r w:rsidRPr="00296F91">
              <w:rPr>
                <w:rFonts w:eastAsia="MS Mincho" w:cstheme="minorHAnsi"/>
              </w:rPr>
              <w:t>N=</w:t>
            </w:r>
            <w:r w:rsidR="008D6C5E">
              <w:rPr>
                <w:rFonts w:eastAsia="MS Mincho" w:cstheme="minorHAnsi"/>
              </w:rPr>
              <w:t>174</w:t>
            </w:r>
          </w:p>
        </w:tc>
        <w:tc>
          <w:tcPr>
            <w:tcW w:w="1166" w:type="pct"/>
          </w:tcPr>
          <w:p w14:paraId="70669315" w14:textId="6FDCA838" w:rsidR="00547FF0" w:rsidRPr="00017AE6" w:rsidRDefault="007269DC" w:rsidP="006B48C7">
            <w:pPr>
              <w:pStyle w:val="Tablewriting"/>
              <w:rPr>
                <w:rFonts w:eastAsia="MS Mincho" w:cstheme="minorHAnsi"/>
              </w:rPr>
            </w:pPr>
            <w:r w:rsidRPr="007269DC">
              <w:rPr>
                <w:rFonts w:eastAsia="MS Mincho" w:cstheme="minorHAnsi"/>
              </w:rPr>
              <w:t>All participants were male</w:t>
            </w:r>
            <w:r>
              <w:rPr>
                <w:rFonts w:eastAsia="MS Mincho" w:cstheme="minorHAnsi"/>
              </w:rPr>
              <w:t xml:space="preserve">, </w:t>
            </w:r>
            <w:r w:rsidRPr="007269DC">
              <w:rPr>
                <w:rFonts w:eastAsia="MS Mincho" w:cstheme="minorHAnsi"/>
              </w:rPr>
              <w:t>average age 44.0</w:t>
            </w:r>
            <w:r>
              <w:rPr>
                <w:rFonts w:eastAsia="MS Mincho" w:cstheme="minorHAnsi"/>
              </w:rPr>
              <w:t xml:space="preserve"> years,</w:t>
            </w:r>
            <w:r w:rsidRPr="007269DC">
              <w:rPr>
                <w:rFonts w:eastAsia="MS Mincho" w:cstheme="minorHAnsi"/>
              </w:rPr>
              <w:t xml:space="preserve"> average cigarettes per day 20.0</w:t>
            </w:r>
            <w:r>
              <w:rPr>
                <w:rFonts w:eastAsia="MS Mincho" w:cstheme="minorHAnsi"/>
              </w:rPr>
              <w:t>,</w:t>
            </w:r>
            <w:r w:rsidRPr="007269DC">
              <w:rPr>
                <w:rFonts w:eastAsia="MS Mincho" w:cstheme="minorHAnsi"/>
              </w:rPr>
              <w:t xml:space="preserve"> mean FTND</w:t>
            </w:r>
            <w:r>
              <w:rPr>
                <w:rFonts w:eastAsia="MS Mincho" w:cstheme="minorHAnsi"/>
              </w:rPr>
              <w:t xml:space="preserve"> </w:t>
            </w:r>
            <w:r w:rsidRPr="007269DC">
              <w:rPr>
                <w:rFonts w:eastAsia="MS Mincho" w:cstheme="minorHAnsi"/>
              </w:rPr>
              <w:t>5.5</w:t>
            </w:r>
            <w:r>
              <w:rPr>
                <w:rFonts w:eastAsia="MS Mincho" w:cstheme="minorHAnsi"/>
              </w:rPr>
              <w:t>.</w:t>
            </w:r>
          </w:p>
        </w:tc>
        <w:tc>
          <w:tcPr>
            <w:tcW w:w="1286" w:type="pct"/>
          </w:tcPr>
          <w:p w14:paraId="0523D568" w14:textId="77777777" w:rsidR="007269DC" w:rsidRDefault="007269DC" w:rsidP="00C324F3">
            <w:pPr>
              <w:pStyle w:val="ListParagraph"/>
              <w:numPr>
                <w:ilvl w:val="0"/>
                <w:numId w:val="185"/>
              </w:numPr>
              <w:rPr>
                <w:rFonts w:eastAsia="MS Mincho"/>
                <w:lang w:eastAsia="en-US"/>
              </w:rPr>
            </w:pPr>
            <w:r w:rsidRPr="007269DC">
              <w:rPr>
                <w:rFonts w:eastAsia="MS Mincho"/>
                <w:lang w:eastAsia="en-US"/>
              </w:rPr>
              <w:t>Bupropion and varenicline. Bupropion scheduling was 150 mg once daily for 3 days, followed by 150</w:t>
            </w:r>
            <w:r>
              <w:rPr>
                <w:rFonts w:eastAsia="MS Mincho"/>
                <w:lang w:eastAsia="en-US"/>
              </w:rPr>
              <w:t xml:space="preserve"> </w:t>
            </w:r>
            <w:r w:rsidRPr="007269DC">
              <w:rPr>
                <w:rFonts w:eastAsia="MS Mincho"/>
                <w:lang w:eastAsia="en-US"/>
              </w:rPr>
              <w:t>mg twice daily for the remainder of the 12-week treatment period. Varenicline scheduling was 0.5 mg</w:t>
            </w:r>
            <w:r>
              <w:rPr>
                <w:rFonts w:eastAsia="MS Mincho"/>
                <w:lang w:eastAsia="en-US"/>
              </w:rPr>
              <w:t xml:space="preserve"> </w:t>
            </w:r>
            <w:r w:rsidRPr="007269DC">
              <w:rPr>
                <w:rFonts w:eastAsia="MS Mincho"/>
                <w:lang w:eastAsia="en-US"/>
              </w:rPr>
              <w:t>once daily on days 1–3, 0.5 mg twice daily on days 4–7, followed by 1 mg twice daily for the remainder</w:t>
            </w:r>
            <w:r>
              <w:rPr>
                <w:rFonts w:eastAsia="MS Mincho"/>
                <w:lang w:eastAsia="en-US"/>
              </w:rPr>
              <w:t xml:space="preserve"> </w:t>
            </w:r>
            <w:r w:rsidRPr="007269DC">
              <w:rPr>
                <w:rFonts w:eastAsia="MS Mincho"/>
                <w:lang w:eastAsia="en-US"/>
              </w:rPr>
              <w:t>of the 12-week treatment period</w:t>
            </w:r>
          </w:p>
          <w:p w14:paraId="113ED944" w14:textId="0F6A8959" w:rsidR="007269DC" w:rsidRPr="007269DC" w:rsidRDefault="007269DC" w:rsidP="00C324F3">
            <w:pPr>
              <w:pStyle w:val="ListParagraph"/>
              <w:numPr>
                <w:ilvl w:val="0"/>
                <w:numId w:val="185"/>
              </w:numPr>
              <w:rPr>
                <w:rFonts w:eastAsia="MS Mincho"/>
                <w:lang w:eastAsia="en-US"/>
              </w:rPr>
            </w:pPr>
            <w:r w:rsidRPr="007269DC">
              <w:rPr>
                <w:rFonts w:eastAsia="MS Mincho"/>
                <w:lang w:eastAsia="en-US"/>
              </w:rPr>
              <w:t>Placebo and varenicline. Same schedule as above</w:t>
            </w:r>
          </w:p>
          <w:p w14:paraId="0E4626C8" w14:textId="77777777" w:rsidR="007269DC" w:rsidRDefault="007269DC" w:rsidP="006B48C7">
            <w:pPr>
              <w:rPr>
                <w:rFonts w:eastAsia="MS Mincho"/>
                <w:lang w:eastAsia="en-US"/>
              </w:rPr>
            </w:pPr>
          </w:p>
          <w:p w14:paraId="2B6F772B" w14:textId="77777777" w:rsidR="007269DC" w:rsidRDefault="007269DC" w:rsidP="006B48C7">
            <w:pPr>
              <w:rPr>
                <w:rFonts w:eastAsia="MS Mincho"/>
                <w:lang w:eastAsia="en-US"/>
              </w:rPr>
            </w:pPr>
          </w:p>
          <w:p w14:paraId="2A257A7A" w14:textId="24C2ED60" w:rsidR="00547FF0" w:rsidRPr="002F7627" w:rsidRDefault="007269DC" w:rsidP="006B48C7">
            <w:pPr>
              <w:rPr>
                <w:rFonts w:eastAsia="MS Mincho"/>
                <w:lang w:eastAsia="en-US"/>
              </w:rPr>
            </w:pPr>
            <w:r w:rsidRPr="007269DC">
              <w:rPr>
                <w:rFonts w:eastAsia="MS Mincho"/>
                <w:u w:val="single"/>
                <w:lang w:eastAsia="en-US"/>
              </w:rPr>
              <w:t>Common components:</w:t>
            </w:r>
            <w:r w:rsidRPr="007269DC">
              <w:rPr>
                <w:rFonts w:eastAsia="MS Mincho"/>
                <w:lang w:eastAsia="en-US"/>
              </w:rPr>
              <w:t xml:space="preserve"> pre</w:t>
            </w:r>
            <w:r>
              <w:rPr>
                <w:rFonts w:eastAsia="MS Mincho"/>
                <w:lang w:eastAsia="en-US"/>
              </w:rPr>
              <w:t>-</w:t>
            </w:r>
            <w:r w:rsidRPr="007269DC">
              <w:rPr>
                <w:rFonts w:eastAsia="MS Mincho"/>
                <w:lang w:eastAsia="en-US"/>
              </w:rPr>
              <w:t>cessation patches for 1 week prior to pharmacological treatments above,</w:t>
            </w:r>
            <w:r>
              <w:rPr>
                <w:rFonts w:eastAsia="MS Mincho"/>
                <w:lang w:eastAsia="en-US"/>
              </w:rPr>
              <w:t xml:space="preserve"> </w:t>
            </w:r>
            <w:r w:rsidRPr="007269DC">
              <w:rPr>
                <w:rFonts w:eastAsia="MS Mincho"/>
                <w:lang w:eastAsia="en-US"/>
              </w:rPr>
              <w:t>and brief support was provided at each session, totalling 1 hour and 30 minutes</w:t>
            </w:r>
            <w:r>
              <w:rPr>
                <w:rFonts w:eastAsia="MS Mincho"/>
                <w:lang w:eastAsia="en-US"/>
              </w:rPr>
              <w:t>.</w:t>
            </w:r>
          </w:p>
        </w:tc>
        <w:tc>
          <w:tcPr>
            <w:tcW w:w="998" w:type="pct"/>
          </w:tcPr>
          <w:p w14:paraId="555BEBEE" w14:textId="408D2F33" w:rsidR="0023439E" w:rsidRPr="001973C3" w:rsidRDefault="000B1934" w:rsidP="006B48C7">
            <w:pPr>
              <w:pStyle w:val="Tablewriting"/>
              <w:rPr>
                <w:rFonts w:eastAsia="MS Mincho" w:cstheme="minorHAnsi"/>
              </w:rPr>
            </w:pPr>
            <w:r>
              <w:rPr>
                <w:rFonts w:eastAsia="MS Mincho" w:cstheme="minorHAnsi"/>
                <w:u w:val="single"/>
              </w:rPr>
              <w:t>Efficacy:</w:t>
            </w:r>
            <w:r w:rsidR="0023439E">
              <w:rPr>
                <w:rFonts w:eastAsia="MS Mincho" w:cstheme="minorHAnsi"/>
                <w:u w:val="single"/>
              </w:rPr>
              <w:t xml:space="preserve"> </w:t>
            </w:r>
            <w:r w:rsidR="001973C3">
              <w:rPr>
                <w:rFonts w:eastAsia="MS Mincho" w:cstheme="minorHAnsi"/>
              </w:rPr>
              <w:t>C</w:t>
            </w:r>
            <w:r w:rsidR="001973C3" w:rsidRPr="001973C3">
              <w:rPr>
                <w:rFonts w:eastAsia="MS Mincho" w:cstheme="minorHAnsi"/>
              </w:rPr>
              <w:t>ontinuous 4-week abstinence assessed during weeks 8–11 after the target quit-smoking date</w:t>
            </w:r>
            <w:r w:rsidR="001973C3">
              <w:rPr>
                <w:rFonts w:eastAsia="MS Mincho" w:cstheme="minorHAnsi"/>
              </w:rPr>
              <w:t>.</w:t>
            </w:r>
          </w:p>
          <w:p w14:paraId="0FFC2868" w14:textId="77777777" w:rsidR="00534516" w:rsidRDefault="00534516" w:rsidP="006B48C7">
            <w:pPr>
              <w:pStyle w:val="Tablewriting"/>
              <w:rPr>
                <w:rFonts w:eastAsia="MS Mincho" w:cstheme="minorHAnsi"/>
                <w:u w:val="single"/>
              </w:rPr>
            </w:pPr>
          </w:p>
          <w:p w14:paraId="385FE400" w14:textId="77777777" w:rsidR="00534516" w:rsidRPr="0023439E" w:rsidRDefault="000B1934" w:rsidP="006B48C7">
            <w:pPr>
              <w:pStyle w:val="Tablewriting"/>
              <w:rPr>
                <w:rFonts w:eastAsia="MS Mincho" w:cstheme="minorHAnsi"/>
              </w:rPr>
            </w:pPr>
            <w:r>
              <w:rPr>
                <w:rFonts w:eastAsia="MS Mincho" w:cstheme="minorHAnsi"/>
                <w:u w:val="single"/>
              </w:rPr>
              <w:t>Safety:</w:t>
            </w:r>
            <w:r w:rsidR="00534516">
              <w:rPr>
                <w:rFonts w:eastAsia="MS Mincho" w:cstheme="minorHAnsi"/>
                <w:u w:val="single"/>
              </w:rPr>
              <w:t xml:space="preserve"> </w:t>
            </w:r>
            <w:r w:rsidR="00534516" w:rsidRPr="0023439E">
              <w:rPr>
                <w:rFonts w:eastAsia="MS Mincho" w:cstheme="minorHAnsi"/>
              </w:rPr>
              <w:t>Adverse events</w:t>
            </w:r>
            <w:r w:rsidR="00534516">
              <w:rPr>
                <w:rFonts w:eastAsia="MS Mincho" w:cstheme="minorHAnsi"/>
              </w:rPr>
              <w:t xml:space="preserve"> </w:t>
            </w:r>
            <w:r w:rsidR="00534516" w:rsidRPr="0023439E">
              <w:rPr>
                <w:rFonts w:eastAsia="MS Mincho" w:cstheme="minorHAnsi"/>
              </w:rPr>
              <w:t>measured for 12 weeks</w:t>
            </w:r>
          </w:p>
          <w:p w14:paraId="7AD858E2" w14:textId="51BA9BC8" w:rsidR="00547FF0" w:rsidRPr="004272CD" w:rsidRDefault="00547FF0" w:rsidP="006B48C7">
            <w:pPr>
              <w:pStyle w:val="Tablewriting"/>
              <w:rPr>
                <w:rFonts w:eastAsia="MS Mincho" w:cstheme="minorHAnsi"/>
                <w:u w:val="single"/>
              </w:rPr>
            </w:pPr>
          </w:p>
        </w:tc>
      </w:tr>
    </w:tbl>
    <w:p w14:paraId="5895C8A6" w14:textId="4D8A4624" w:rsidR="004810EB" w:rsidRPr="009B042A" w:rsidRDefault="004810EB" w:rsidP="00EA7016">
      <w:pPr>
        <w:pStyle w:val="TableFooter"/>
        <w:keepNext/>
        <w:jc w:val="both"/>
      </w:pPr>
      <w:r>
        <w:t xml:space="preserve">Source: </w:t>
      </w:r>
      <w:r w:rsidR="004F17E4">
        <w:t>Howes</w:t>
      </w:r>
      <w:r w:rsidRPr="008B0097">
        <w:t xml:space="preserve"> et al. (20</w:t>
      </w:r>
      <w:r>
        <w:t>20).</w:t>
      </w:r>
      <w:r w:rsidRPr="009B042A">
        <w:t xml:space="preserve"> </w:t>
      </w:r>
    </w:p>
    <w:p w14:paraId="7AE57FF5" w14:textId="290DB2C4" w:rsidR="00450AFA" w:rsidRDefault="004810EB" w:rsidP="00EA7016">
      <w:pPr>
        <w:pStyle w:val="TableFooter"/>
        <w:keepNext/>
        <w:spacing w:after="120"/>
        <w:contextualSpacing w:val="0"/>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1A87F409" w14:textId="77777777" w:rsidR="00EA7016" w:rsidRDefault="00EA7016">
      <w:pPr>
        <w:spacing w:line="276" w:lineRule="auto"/>
        <w:rPr>
          <w:rFonts w:asciiTheme="minorHAnsi" w:eastAsia="Times New Roman" w:hAnsiTheme="minorHAnsi" w:cs="Times New Roman"/>
          <w:b/>
          <w:bCs/>
          <w:szCs w:val="18"/>
        </w:rPr>
      </w:pPr>
      <w:bookmarkStart w:id="346" w:name="_Ref62075592"/>
      <w:r>
        <w:br w:type="page"/>
      </w:r>
    </w:p>
    <w:p w14:paraId="52C98E3E" w14:textId="0B5F73BD" w:rsidR="0083620F" w:rsidRDefault="0083620F"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159</w:t>
      </w:r>
      <w:r w:rsidR="00BF3F75">
        <w:rPr>
          <w:noProof/>
        </w:rPr>
        <w:fldChar w:fldCharType="end"/>
      </w:r>
      <w:bookmarkEnd w:id="346"/>
      <w:r>
        <w:t xml:space="preserve">: </w:t>
      </w:r>
      <w:r w:rsidRPr="008A5AE8">
        <w:t>Characteristics of studies included in Howes et al. (2020), bupropion</w:t>
      </w:r>
      <w:r>
        <w:t xml:space="preserve"> plus</w:t>
      </w:r>
      <w:r w:rsidR="00F14C48">
        <w:t xml:space="preserve"> NRT</w:t>
      </w:r>
      <w:r w:rsidRPr="008A5AE8">
        <w:t xml:space="preserve"> versus </w:t>
      </w:r>
      <w:r w:rsidR="00F14C48">
        <w:t>NRT</w:t>
      </w:r>
      <w:r w:rsidRPr="008A5AE8">
        <w:t xml:space="preserve"> alone</w:t>
      </w:r>
    </w:p>
    <w:tbl>
      <w:tblPr>
        <w:tblStyle w:val="TableGrid"/>
        <w:tblW w:w="5000" w:type="pct"/>
        <w:tblLook w:val="04A0" w:firstRow="1" w:lastRow="0" w:firstColumn="1" w:lastColumn="0" w:noHBand="0" w:noVBand="1"/>
      </w:tblPr>
      <w:tblGrid>
        <w:gridCol w:w="1335"/>
        <w:gridCol w:w="1024"/>
        <w:gridCol w:w="1085"/>
        <w:gridCol w:w="921"/>
        <w:gridCol w:w="3370"/>
        <w:gridCol w:w="3981"/>
        <w:gridCol w:w="2232"/>
      </w:tblGrid>
      <w:tr w:rsidR="43734B83" w14:paraId="2AB54BB8" w14:textId="77777777" w:rsidTr="00EA7016">
        <w:tc>
          <w:tcPr>
            <w:tcW w:w="479" w:type="pct"/>
            <w:shd w:val="clear" w:color="auto" w:fill="A6A6A6" w:themeFill="background1" w:themeFillShade="A6"/>
          </w:tcPr>
          <w:p w14:paraId="3E70CAEE" w14:textId="6D603F53" w:rsidR="43734B83" w:rsidRDefault="43734B83">
            <w:r w:rsidRPr="43734B83">
              <w:rPr>
                <w:rFonts w:eastAsia="Calibri" w:cs="Calibri"/>
                <w:b/>
                <w:bCs/>
              </w:rPr>
              <w:t>Study</w:t>
            </w:r>
          </w:p>
        </w:tc>
        <w:tc>
          <w:tcPr>
            <w:tcW w:w="367" w:type="pct"/>
            <w:shd w:val="clear" w:color="auto" w:fill="A6A6A6" w:themeFill="background1" w:themeFillShade="A6"/>
          </w:tcPr>
          <w:p w14:paraId="0013D45D" w14:textId="1A03F522" w:rsidR="43734B83" w:rsidRDefault="43734B83" w:rsidP="43734B83">
            <w:pPr>
              <w:jc w:val="center"/>
            </w:pPr>
            <w:r w:rsidRPr="43734B83">
              <w:rPr>
                <w:rFonts w:eastAsia="Calibri" w:cs="Calibri"/>
                <w:b/>
                <w:bCs/>
                <w:color w:val="000000" w:themeColor="text1"/>
              </w:rPr>
              <w:t>Study type</w:t>
            </w:r>
          </w:p>
        </w:tc>
        <w:tc>
          <w:tcPr>
            <w:tcW w:w="389" w:type="pct"/>
            <w:shd w:val="clear" w:color="auto" w:fill="A6A6A6" w:themeFill="background1" w:themeFillShade="A6"/>
          </w:tcPr>
          <w:p w14:paraId="24EE45B0" w14:textId="05C6F6F4" w:rsidR="43734B83" w:rsidRDefault="43734B83" w:rsidP="43734B83">
            <w:pPr>
              <w:jc w:val="center"/>
            </w:pPr>
            <w:r w:rsidRPr="43734B83">
              <w:rPr>
                <w:rFonts w:eastAsia="Calibri" w:cs="Calibri"/>
                <w:b/>
                <w:bCs/>
                <w:color w:val="000000" w:themeColor="text1"/>
              </w:rPr>
              <w:t>Countries</w:t>
            </w:r>
          </w:p>
        </w:tc>
        <w:tc>
          <w:tcPr>
            <w:tcW w:w="330" w:type="pct"/>
            <w:shd w:val="clear" w:color="auto" w:fill="A6A6A6" w:themeFill="background1" w:themeFillShade="A6"/>
          </w:tcPr>
          <w:p w14:paraId="110ACFCC" w14:textId="50FED128" w:rsidR="43734B83" w:rsidRDefault="43734B83" w:rsidP="43734B83">
            <w:pPr>
              <w:jc w:val="center"/>
            </w:pPr>
            <w:r w:rsidRPr="43734B83">
              <w:rPr>
                <w:rFonts w:eastAsia="Calibri" w:cs="Calibri"/>
                <w:b/>
                <w:bCs/>
                <w:color w:val="000000" w:themeColor="text1"/>
              </w:rPr>
              <w:t>N</w:t>
            </w:r>
          </w:p>
        </w:tc>
        <w:tc>
          <w:tcPr>
            <w:tcW w:w="1208" w:type="pct"/>
            <w:shd w:val="clear" w:color="auto" w:fill="A6A6A6" w:themeFill="background1" w:themeFillShade="A6"/>
          </w:tcPr>
          <w:p w14:paraId="4690C86F" w14:textId="764F7341" w:rsidR="43734B83" w:rsidRDefault="43734B83" w:rsidP="43734B83">
            <w:pPr>
              <w:jc w:val="center"/>
            </w:pPr>
            <w:r w:rsidRPr="43734B83">
              <w:rPr>
                <w:rFonts w:eastAsia="Calibri" w:cs="Calibri"/>
                <w:b/>
                <w:bCs/>
                <w:color w:val="000000" w:themeColor="text1"/>
              </w:rPr>
              <w:t>Population</w:t>
            </w:r>
          </w:p>
        </w:tc>
        <w:tc>
          <w:tcPr>
            <w:tcW w:w="1427" w:type="pct"/>
            <w:shd w:val="clear" w:color="auto" w:fill="A6A6A6" w:themeFill="background1" w:themeFillShade="A6"/>
          </w:tcPr>
          <w:p w14:paraId="0970BA1F" w14:textId="7E8DFA11" w:rsidR="43734B83" w:rsidRDefault="43734B83" w:rsidP="43734B83">
            <w:pPr>
              <w:jc w:val="center"/>
            </w:pPr>
            <w:r w:rsidRPr="43734B83">
              <w:rPr>
                <w:rFonts w:eastAsia="Calibri" w:cs="Calibri"/>
                <w:b/>
                <w:bCs/>
                <w:color w:val="000000" w:themeColor="text1"/>
              </w:rPr>
              <w:t>Intervention and comparator</w:t>
            </w:r>
          </w:p>
        </w:tc>
        <w:tc>
          <w:tcPr>
            <w:tcW w:w="800" w:type="pct"/>
            <w:shd w:val="clear" w:color="auto" w:fill="A6A6A6" w:themeFill="background1" w:themeFillShade="A6"/>
          </w:tcPr>
          <w:p w14:paraId="3C4EF99E" w14:textId="14BF797C" w:rsidR="43734B83" w:rsidRDefault="43734B83" w:rsidP="43734B83">
            <w:pPr>
              <w:jc w:val="center"/>
            </w:pPr>
            <w:r w:rsidRPr="43734B83">
              <w:rPr>
                <w:rFonts w:eastAsia="Calibri" w:cs="Calibri"/>
                <w:b/>
                <w:bCs/>
                <w:color w:val="000000" w:themeColor="text1"/>
              </w:rPr>
              <w:t>Outcomes</w:t>
            </w:r>
          </w:p>
        </w:tc>
      </w:tr>
      <w:tr w:rsidR="43734B83" w14:paraId="5E5A85BD" w14:textId="77777777" w:rsidTr="00EA7016">
        <w:tc>
          <w:tcPr>
            <w:tcW w:w="479" w:type="pct"/>
          </w:tcPr>
          <w:p w14:paraId="5CED28D8" w14:textId="3B4A464E" w:rsidR="43734B83" w:rsidRDefault="43734B83">
            <w:r w:rsidRPr="43734B83">
              <w:rPr>
                <w:rFonts w:eastAsia="Calibri" w:cs="Calibri"/>
              </w:rPr>
              <w:t xml:space="preserve">Evins </w:t>
            </w:r>
            <w:r w:rsidR="009C4EF2">
              <w:rPr>
                <w:rFonts w:eastAsia="Calibri" w:cs="Calibri"/>
              </w:rPr>
              <w:t>(</w:t>
            </w:r>
            <w:r w:rsidRPr="43734B83">
              <w:rPr>
                <w:rFonts w:eastAsia="Calibri" w:cs="Calibri"/>
              </w:rPr>
              <w:t>2007</w:t>
            </w:r>
            <w:r w:rsidR="009C4EF2">
              <w:rPr>
                <w:rFonts w:eastAsia="Calibri" w:cs="Calibri"/>
              </w:rPr>
              <w:t>)</w:t>
            </w:r>
          </w:p>
        </w:tc>
        <w:tc>
          <w:tcPr>
            <w:tcW w:w="367" w:type="pct"/>
          </w:tcPr>
          <w:p w14:paraId="1D950883" w14:textId="2CABA041" w:rsidR="43734B83" w:rsidRDefault="43734B83">
            <w:r w:rsidRPr="43734B83">
              <w:rPr>
                <w:rFonts w:eastAsia="Calibri" w:cs="Calibri"/>
              </w:rPr>
              <w:t>RCT</w:t>
            </w:r>
          </w:p>
        </w:tc>
        <w:tc>
          <w:tcPr>
            <w:tcW w:w="389" w:type="pct"/>
          </w:tcPr>
          <w:p w14:paraId="1B97CF5C" w14:textId="30E7A149" w:rsidR="43734B83" w:rsidRDefault="43734B83">
            <w:r w:rsidRPr="43734B83">
              <w:rPr>
                <w:rFonts w:eastAsia="Calibri" w:cs="Calibri"/>
              </w:rPr>
              <w:t>USA</w:t>
            </w:r>
          </w:p>
        </w:tc>
        <w:tc>
          <w:tcPr>
            <w:tcW w:w="330" w:type="pct"/>
          </w:tcPr>
          <w:p w14:paraId="53147F32" w14:textId="0FDEA160" w:rsidR="43734B83" w:rsidRDefault="00594FCC">
            <w:r>
              <w:rPr>
                <w:rFonts w:eastAsia="Calibri" w:cs="Calibri"/>
              </w:rPr>
              <w:t>N</w:t>
            </w:r>
            <w:r w:rsidR="00F2109D">
              <w:rPr>
                <w:rFonts w:eastAsia="Calibri" w:cs="Calibri"/>
              </w:rPr>
              <w:t>=</w:t>
            </w:r>
            <w:r w:rsidR="43734B83" w:rsidRPr="43734B83">
              <w:rPr>
                <w:rFonts w:eastAsia="Calibri" w:cs="Calibri"/>
              </w:rPr>
              <w:t>51</w:t>
            </w:r>
          </w:p>
        </w:tc>
        <w:tc>
          <w:tcPr>
            <w:tcW w:w="1208" w:type="pct"/>
          </w:tcPr>
          <w:p w14:paraId="253B2B63" w14:textId="5987EA6D" w:rsidR="43734B83" w:rsidRDefault="43734B83">
            <w:r w:rsidRPr="43734B83">
              <w:rPr>
                <w:rFonts w:eastAsia="Calibri" w:cs="Calibri"/>
              </w:rPr>
              <w:t>Smokers (≥10 cigarettes per day) with schizophrenia; average age 44; average cigarettes per day 28/25</w:t>
            </w:r>
          </w:p>
        </w:tc>
        <w:tc>
          <w:tcPr>
            <w:tcW w:w="1427" w:type="pct"/>
          </w:tcPr>
          <w:p w14:paraId="4D0634B1" w14:textId="6F3866CC" w:rsidR="43734B83" w:rsidRDefault="43734B83" w:rsidP="00C324F3">
            <w:pPr>
              <w:pStyle w:val="ListParagraph"/>
              <w:numPr>
                <w:ilvl w:val="0"/>
                <w:numId w:val="255"/>
              </w:numPr>
              <w:rPr>
                <w:rFonts w:eastAsia="Calibri" w:cs="Calibri"/>
              </w:rPr>
            </w:pPr>
            <w:r w:rsidRPr="43734B83">
              <w:t>Bupropion, 300 mg/day for 3 months, nicotine patch, 21 mg for 8 weeks including tapering, 2 mg nicotine gum</w:t>
            </w:r>
          </w:p>
          <w:p w14:paraId="5D9ACB68" w14:textId="71864EC9" w:rsidR="43734B83" w:rsidRDefault="43734B83" w:rsidP="00C324F3">
            <w:pPr>
              <w:pStyle w:val="ListParagraph"/>
              <w:numPr>
                <w:ilvl w:val="0"/>
                <w:numId w:val="255"/>
              </w:numPr>
              <w:rPr>
                <w:rFonts w:eastAsia="Calibri" w:cs="Calibri"/>
              </w:rPr>
            </w:pPr>
            <w:r w:rsidRPr="43734B83">
              <w:t>Placebo and NRT, same schedule as bupropion 1</w:t>
            </w:r>
          </w:p>
          <w:p w14:paraId="6F418D67" w14:textId="0DCDBC98" w:rsidR="43734B83" w:rsidRDefault="43734B83">
            <w:r w:rsidRPr="43734B83">
              <w:rPr>
                <w:rFonts w:eastAsia="Calibri" w:cs="Calibri"/>
              </w:rPr>
              <w:t xml:space="preserve"> </w:t>
            </w:r>
          </w:p>
          <w:p w14:paraId="2D4BA282" w14:textId="273665F3" w:rsidR="43734B83" w:rsidRDefault="43734B83">
            <w:r w:rsidRPr="43734B83">
              <w:rPr>
                <w:rFonts w:eastAsia="Calibri" w:cs="Calibri"/>
                <w:u w:val="single"/>
              </w:rPr>
              <w:t>Common components</w:t>
            </w:r>
            <w:r w:rsidRPr="43734B83">
              <w:rPr>
                <w:rFonts w:eastAsia="Calibri" w:cs="Calibri"/>
              </w:rPr>
              <w:t>: 12 session group CBT, TQD week 4</w:t>
            </w:r>
          </w:p>
        </w:tc>
        <w:tc>
          <w:tcPr>
            <w:tcW w:w="800" w:type="pct"/>
          </w:tcPr>
          <w:p w14:paraId="560A578E" w14:textId="467FEC85" w:rsidR="43734B83" w:rsidRDefault="43734B83">
            <w:r w:rsidRPr="004A1A7E">
              <w:rPr>
                <w:rFonts w:eastAsia="Calibri" w:cs="Calibri"/>
                <w:u w:val="single"/>
              </w:rPr>
              <w:t>Efficacy:</w:t>
            </w:r>
            <w:r w:rsidRPr="43734B83">
              <w:rPr>
                <w:rFonts w:eastAsia="Calibri" w:cs="Calibri"/>
              </w:rPr>
              <w:t xml:space="preserve"> Smoking cessation. Abstinence at 12 months from TQD. Validated by CO ≤ 8 ppm</w:t>
            </w:r>
          </w:p>
          <w:p w14:paraId="213023AF" w14:textId="07AFD2EB" w:rsidR="43734B83" w:rsidRDefault="43734B83">
            <w:r w:rsidRPr="43734B83">
              <w:rPr>
                <w:rFonts w:eastAsia="Calibri" w:cs="Calibri"/>
              </w:rPr>
              <w:t xml:space="preserve"> </w:t>
            </w:r>
          </w:p>
          <w:p w14:paraId="23411AE1" w14:textId="74E5B3DA" w:rsidR="43734B83" w:rsidRDefault="43734B83">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unspecified period</w:t>
            </w:r>
          </w:p>
        </w:tc>
      </w:tr>
      <w:tr w:rsidR="43734B83" w14:paraId="45D63662" w14:textId="77777777" w:rsidTr="00EA7016">
        <w:tc>
          <w:tcPr>
            <w:tcW w:w="479" w:type="pct"/>
          </w:tcPr>
          <w:p w14:paraId="731E756C" w14:textId="341FA308" w:rsidR="43734B83" w:rsidRDefault="43734B83">
            <w:r w:rsidRPr="43734B83">
              <w:rPr>
                <w:rFonts w:eastAsia="Calibri" w:cs="Calibri"/>
              </w:rPr>
              <w:t xml:space="preserve">George </w:t>
            </w:r>
            <w:r w:rsidR="009C4EF2">
              <w:rPr>
                <w:rFonts w:eastAsia="Calibri" w:cs="Calibri"/>
              </w:rPr>
              <w:t>(</w:t>
            </w:r>
            <w:r w:rsidRPr="43734B83">
              <w:rPr>
                <w:rFonts w:eastAsia="Calibri" w:cs="Calibri"/>
              </w:rPr>
              <w:t>2008</w:t>
            </w:r>
            <w:r w:rsidR="009C4EF2">
              <w:rPr>
                <w:rFonts w:eastAsia="Calibri" w:cs="Calibri"/>
              </w:rPr>
              <w:t>)</w:t>
            </w:r>
          </w:p>
        </w:tc>
        <w:tc>
          <w:tcPr>
            <w:tcW w:w="367" w:type="pct"/>
          </w:tcPr>
          <w:p w14:paraId="780BED7D" w14:textId="3BBB19BA" w:rsidR="43734B83" w:rsidRDefault="43734B83">
            <w:r w:rsidRPr="43734B83">
              <w:rPr>
                <w:rFonts w:eastAsia="Calibri" w:cs="Calibri"/>
              </w:rPr>
              <w:t>RCT</w:t>
            </w:r>
          </w:p>
        </w:tc>
        <w:tc>
          <w:tcPr>
            <w:tcW w:w="389" w:type="pct"/>
          </w:tcPr>
          <w:p w14:paraId="1E0378E0" w14:textId="06CCCCEE" w:rsidR="43734B83" w:rsidRDefault="43734B83">
            <w:r w:rsidRPr="43734B83">
              <w:rPr>
                <w:rFonts w:eastAsia="Calibri" w:cs="Calibri"/>
              </w:rPr>
              <w:t>USA</w:t>
            </w:r>
          </w:p>
        </w:tc>
        <w:tc>
          <w:tcPr>
            <w:tcW w:w="330" w:type="pct"/>
          </w:tcPr>
          <w:p w14:paraId="29F048F5" w14:textId="324BAD28" w:rsidR="43734B83" w:rsidRDefault="00F2109D">
            <w:r>
              <w:rPr>
                <w:rFonts w:eastAsia="Calibri" w:cs="Calibri"/>
              </w:rPr>
              <w:t>N=</w:t>
            </w:r>
            <w:r w:rsidR="43734B83" w:rsidRPr="43734B83">
              <w:rPr>
                <w:rFonts w:eastAsia="Calibri" w:cs="Calibri"/>
              </w:rPr>
              <w:t>58</w:t>
            </w:r>
          </w:p>
        </w:tc>
        <w:tc>
          <w:tcPr>
            <w:tcW w:w="1208" w:type="pct"/>
          </w:tcPr>
          <w:p w14:paraId="2514652B" w14:textId="3C6F62E4" w:rsidR="43734B83" w:rsidRDefault="43734B83">
            <w:r w:rsidRPr="43734B83">
              <w:rPr>
                <w:rFonts w:eastAsia="Calibri" w:cs="Calibri"/>
              </w:rPr>
              <w:t>Smokers with schizophrenia or schizoaffective disorder (excludes 1 receiving no study medication); 40% female; average age 40; average cigarettes per day 23</w:t>
            </w:r>
          </w:p>
        </w:tc>
        <w:tc>
          <w:tcPr>
            <w:tcW w:w="1427" w:type="pct"/>
          </w:tcPr>
          <w:p w14:paraId="1CDB33FD" w14:textId="5CD6D4E6" w:rsidR="43734B83" w:rsidRDefault="43734B83" w:rsidP="00C324F3">
            <w:pPr>
              <w:pStyle w:val="ListParagraph"/>
              <w:numPr>
                <w:ilvl w:val="0"/>
                <w:numId w:val="254"/>
              </w:numPr>
              <w:rPr>
                <w:rFonts w:eastAsia="Calibri" w:cs="Calibri"/>
              </w:rPr>
            </w:pPr>
            <w:r w:rsidRPr="43734B83">
              <w:t>Bupropion, 300 mg/day for 9 weeks, begun 7 days pre-TQD</w:t>
            </w:r>
          </w:p>
          <w:p w14:paraId="7C9A8D2F" w14:textId="43DD6878" w:rsidR="43734B83" w:rsidRDefault="43734B83" w:rsidP="00C324F3">
            <w:pPr>
              <w:pStyle w:val="ListParagraph"/>
              <w:numPr>
                <w:ilvl w:val="0"/>
                <w:numId w:val="254"/>
              </w:numPr>
              <w:rPr>
                <w:rFonts w:eastAsia="Calibri" w:cs="Calibri"/>
              </w:rPr>
            </w:pPr>
            <w:r w:rsidRPr="43734B83">
              <w:t>Placebo</w:t>
            </w:r>
          </w:p>
          <w:p w14:paraId="160A06CC" w14:textId="2C4C7F11" w:rsidR="43734B83" w:rsidRDefault="43734B83">
            <w:r w:rsidRPr="43734B83">
              <w:rPr>
                <w:rFonts w:eastAsia="Calibri" w:cs="Calibri"/>
              </w:rPr>
              <w:t xml:space="preserve"> </w:t>
            </w:r>
          </w:p>
          <w:p w14:paraId="4FB5A10A" w14:textId="06837CC0" w:rsidR="43734B83" w:rsidRDefault="43734B83">
            <w:r w:rsidRPr="00791D84">
              <w:rPr>
                <w:rFonts w:eastAsia="Calibri" w:cs="Calibri"/>
                <w:u w:val="single"/>
              </w:rPr>
              <w:t>Common components:</w:t>
            </w:r>
            <w:r w:rsidRPr="43734B83">
              <w:rPr>
                <w:rFonts w:eastAsia="Calibri" w:cs="Calibri"/>
              </w:rPr>
              <w:t xml:space="preserve"> nicotine patch (21 mg/24 hrs) for 8 weeks from TQD and group behaviour therapy 10-weekly sessions</w:t>
            </w:r>
          </w:p>
        </w:tc>
        <w:tc>
          <w:tcPr>
            <w:tcW w:w="800" w:type="pct"/>
          </w:tcPr>
          <w:p w14:paraId="5AB67A16" w14:textId="10037876" w:rsidR="43734B83" w:rsidRDefault="43734B83">
            <w:r w:rsidRPr="004A1A7E">
              <w:rPr>
                <w:rFonts w:eastAsia="Calibri" w:cs="Calibri"/>
                <w:u w:val="single"/>
              </w:rPr>
              <w:t>Efficacy:</w:t>
            </w:r>
            <w:r w:rsidRPr="43734B83">
              <w:rPr>
                <w:rFonts w:eastAsia="Calibri" w:cs="Calibri"/>
              </w:rPr>
              <w:t xml:space="preserve"> Smoking cessation (PPA at 6 months).</w:t>
            </w:r>
          </w:p>
          <w:p w14:paraId="60CC0327" w14:textId="5018B590" w:rsidR="43734B83" w:rsidRDefault="43734B83">
            <w:r w:rsidRPr="43734B83">
              <w:rPr>
                <w:rFonts w:eastAsia="Calibri" w:cs="Calibri"/>
              </w:rPr>
              <w:t xml:space="preserve">Validated by CO &lt; 10 ppm </w:t>
            </w:r>
          </w:p>
          <w:p w14:paraId="627E8061" w14:textId="2B31BB3E" w:rsidR="43734B83" w:rsidRDefault="43734B83">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unspecified period</w:t>
            </w:r>
          </w:p>
        </w:tc>
      </w:tr>
      <w:tr w:rsidR="43734B83" w14:paraId="4FBBFBA8" w14:textId="77777777" w:rsidTr="00EA7016">
        <w:tc>
          <w:tcPr>
            <w:tcW w:w="479" w:type="pct"/>
          </w:tcPr>
          <w:p w14:paraId="68BBF913" w14:textId="6AB282A0" w:rsidR="43734B83" w:rsidRDefault="43734B83">
            <w:r w:rsidRPr="43734B83">
              <w:rPr>
                <w:rFonts w:eastAsia="Calibri" w:cs="Calibri"/>
              </w:rPr>
              <w:t xml:space="preserve">Grant </w:t>
            </w:r>
            <w:r w:rsidR="009C4EF2">
              <w:rPr>
                <w:rFonts w:eastAsia="Calibri" w:cs="Calibri"/>
              </w:rPr>
              <w:t>(</w:t>
            </w:r>
            <w:r w:rsidRPr="43734B83">
              <w:rPr>
                <w:rFonts w:eastAsia="Calibri" w:cs="Calibri"/>
              </w:rPr>
              <w:t>2007</w:t>
            </w:r>
            <w:r w:rsidR="009C4EF2">
              <w:rPr>
                <w:rFonts w:eastAsia="Calibri" w:cs="Calibri"/>
              </w:rPr>
              <w:t>)</w:t>
            </w:r>
          </w:p>
        </w:tc>
        <w:tc>
          <w:tcPr>
            <w:tcW w:w="367" w:type="pct"/>
          </w:tcPr>
          <w:p w14:paraId="23B718B1" w14:textId="6E390196" w:rsidR="43734B83" w:rsidRDefault="43734B83">
            <w:r w:rsidRPr="43734B83">
              <w:rPr>
                <w:rFonts w:eastAsia="Calibri" w:cs="Calibri"/>
              </w:rPr>
              <w:t>RCT</w:t>
            </w:r>
          </w:p>
        </w:tc>
        <w:tc>
          <w:tcPr>
            <w:tcW w:w="389" w:type="pct"/>
          </w:tcPr>
          <w:p w14:paraId="30D7C65F" w14:textId="0780E6D6" w:rsidR="43734B83" w:rsidRDefault="43734B83">
            <w:r w:rsidRPr="43734B83">
              <w:rPr>
                <w:rFonts w:eastAsia="Calibri" w:cs="Calibri"/>
              </w:rPr>
              <w:t>USA</w:t>
            </w:r>
          </w:p>
        </w:tc>
        <w:tc>
          <w:tcPr>
            <w:tcW w:w="330" w:type="pct"/>
          </w:tcPr>
          <w:p w14:paraId="35B2C4FC" w14:textId="1C3EA143" w:rsidR="43734B83" w:rsidRDefault="00F2109D">
            <w:r>
              <w:rPr>
                <w:rFonts w:eastAsia="Calibri" w:cs="Calibri"/>
              </w:rPr>
              <w:t>N=</w:t>
            </w:r>
            <w:r w:rsidR="43734B83" w:rsidRPr="43734B83">
              <w:rPr>
                <w:rFonts w:eastAsia="Calibri" w:cs="Calibri"/>
              </w:rPr>
              <w:t>58</w:t>
            </w:r>
          </w:p>
        </w:tc>
        <w:tc>
          <w:tcPr>
            <w:tcW w:w="1208" w:type="pct"/>
          </w:tcPr>
          <w:p w14:paraId="43DCDD5A" w14:textId="01659094" w:rsidR="43734B83" w:rsidRDefault="43734B83">
            <w:r w:rsidRPr="43734B83">
              <w:rPr>
                <w:rFonts w:eastAsia="Calibri" w:cs="Calibri"/>
              </w:rPr>
              <w:t>Alcoholic smokers; 16% female; average age 40; average cigarettes per day 25</w:t>
            </w:r>
          </w:p>
        </w:tc>
        <w:tc>
          <w:tcPr>
            <w:tcW w:w="1427" w:type="pct"/>
          </w:tcPr>
          <w:p w14:paraId="1D9D6BD5" w14:textId="3BC48942" w:rsidR="43734B83" w:rsidRDefault="43734B83" w:rsidP="00C324F3">
            <w:pPr>
              <w:pStyle w:val="ListParagraph"/>
              <w:numPr>
                <w:ilvl w:val="0"/>
                <w:numId w:val="253"/>
              </w:numPr>
              <w:rPr>
                <w:rFonts w:eastAsia="Calibri" w:cs="Calibri"/>
              </w:rPr>
            </w:pPr>
            <w:r w:rsidRPr="43734B83">
              <w:t>Bupropion, 300 mg for 60 days + nicotine patch 21 mg for 8 weeks including tapering</w:t>
            </w:r>
          </w:p>
          <w:p w14:paraId="18652575" w14:textId="37B8FF27" w:rsidR="43734B83" w:rsidRDefault="43734B83" w:rsidP="00C324F3">
            <w:pPr>
              <w:pStyle w:val="ListParagraph"/>
              <w:numPr>
                <w:ilvl w:val="0"/>
                <w:numId w:val="253"/>
              </w:numPr>
              <w:rPr>
                <w:rFonts w:eastAsia="Calibri" w:cs="Calibri"/>
              </w:rPr>
            </w:pPr>
            <w:r w:rsidRPr="43734B83">
              <w:t>Placebo and nicotine patch</w:t>
            </w:r>
          </w:p>
          <w:p w14:paraId="5536B2A8" w14:textId="11179D6C" w:rsidR="43734B83" w:rsidRDefault="43734B83">
            <w:r w:rsidRPr="43734B83">
              <w:rPr>
                <w:rFonts w:eastAsia="Calibri" w:cs="Calibri"/>
              </w:rPr>
              <w:t xml:space="preserve"> </w:t>
            </w:r>
          </w:p>
          <w:p w14:paraId="13E9C920" w14:textId="30F5B3B4" w:rsidR="43734B83" w:rsidRDefault="43734B83">
            <w:r w:rsidRPr="00791D84">
              <w:rPr>
                <w:rFonts w:eastAsia="Calibri" w:cs="Calibri"/>
                <w:u w:val="single"/>
              </w:rPr>
              <w:t>Common components:</w:t>
            </w:r>
            <w:r w:rsidRPr="43734B83">
              <w:rPr>
                <w:rFonts w:eastAsia="Calibri" w:cs="Calibri"/>
              </w:rPr>
              <w:t xml:space="preserve"> 1-hour cessation group (and 4-weekly assessment visits)</w:t>
            </w:r>
          </w:p>
        </w:tc>
        <w:tc>
          <w:tcPr>
            <w:tcW w:w="800" w:type="pct"/>
          </w:tcPr>
          <w:p w14:paraId="6E542043" w14:textId="3BC457A5" w:rsidR="43734B83" w:rsidRDefault="43734B83">
            <w:r w:rsidRPr="004A1A7E">
              <w:rPr>
                <w:rFonts w:eastAsia="Calibri" w:cs="Calibri"/>
                <w:u w:val="single"/>
              </w:rPr>
              <w:t>Efficacy:</w:t>
            </w:r>
            <w:r w:rsidRPr="43734B83">
              <w:rPr>
                <w:rFonts w:eastAsia="Calibri" w:cs="Calibri"/>
              </w:rPr>
              <w:t xml:space="preserve"> Smoking cessation. 7-day PPA at 6 months. No biochemical validation, collaterals contacted, inconsistent, adjusted rates not reported</w:t>
            </w:r>
          </w:p>
          <w:p w14:paraId="2B7C06F2" w14:textId="2DE8F58B" w:rsidR="43734B83" w:rsidRDefault="43734B83">
            <w:r w:rsidRPr="43734B83">
              <w:rPr>
                <w:rFonts w:eastAsia="Calibri" w:cs="Calibri"/>
              </w:rPr>
              <w:t xml:space="preserve"> </w:t>
            </w:r>
            <w:r w:rsidRPr="004A1A7E">
              <w:rPr>
                <w:rFonts w:eastAsia="Calibri" w:cs="Calibri"/>
                <w:u w:val="single"/>
              </w:rPr>
              <w:t>Safety:</w:t>
            </w:r>
            <w:r w:rsidRPr="43734B83">
              <w:rPr>
                <w:rFonts w:eastAsia="Calibri" w:cs="Calibri"/>
              </w:rPr>
              <w:t xml:space="preserve"> Adverse events</w:t>
            </w:r>
            <w:r w:rsidR="004A1A7E">
              <w:rPr>
                <w:rFonts w:eastAsia="Calibri" w:cs="Calibri"/>
              </w:rPr>
              <w:t xml:space="preserve"> m</w:t>
            </w:r>
            <w:r w:rsidRPr="43734B83">
              <w:rPr>
                <w:rFonts w:eastAsia="Calibri" w:cs="Calibri"/>
              </w:rPr>
              <w:t>easured for 4 weeks</w:t>
            </w:r>
          </w:p>
        </w:tc>
      </w:tr>
      <w:tr w:rsidR="43734B83" w14:paraId="760F2BF8" w14:textId="77777777" w:rsidTr="00EA7016">
        <w:tc>
          <w:tcPr>
            <w:tcW w:w="479" w:type="pct"/>
          </w:tcPr>
          <w:p w14:paraId="29B7E310" w14:textId="6EECFC90" w:rsidR="43734B83" w:rsidRDefault="43734B83">
            <w:r w:rsidRPr="43734B83">
              <w:rPr>
                <w:rFonts w:eastAsia="Calibri" w:cs="Calibri"/>
              </w:rPr>
              <w:t xml:space="preserve">Jorenby </w:t>
            </w:r>
            <w:r w:rsidR="009C4EF2">
              <w:rPr>
                <w:rFonts w:eastAsia="Calibri" w:cs="Calibri"/>
              </w:rPr>
              <w:t>(</w:t>
            </w:r>
            <w:r w:rsidRPr="43734B83">
              <w:rPr>
                <w:rFonts w:eastAsia="Calibri" w:cs="Calibri"/>
              </w:rPr>
              <w:t>1999</w:t>
            </w:r>
            <w:r w:rsidR="009C4EF2">
              <w:rPr>
                <w:rFonts w:eastAsia="Calibri" w:cs="Calibri"/>
              </w:rPr>
              <w:t>)</w:t>
            </w:r>
          </w:p>
        </w:tc>
        <w:tc>
          <w:tcPr>
            <w:tcW w:w="367" w:type="pct"/>
          </w:tcPr>
          <w:p w14:paraId="79879B6F" w14:textId="5D0C6F4C" w:rsidR="43734B83" w:rsidRDefault="43734B83">
            <w:r w:rsidRPr="43734B83">
              <w:rPr>
                <w:rFonts w:eastAsia="Calibri" w:cs="Calibri"/>
              </w:rPr>
              <w:t>RCT</w:t>
            </w:r>
          </w:p>
        </w:tc>
        <w:tc>
          <w:tcPr>
            <w:tcW w:w="389" w:type="pct"/>
          </w:tcPr>
          <w:p w14:paraId="2EB37DAE" w14:textId="60CF5EBA" w:rsidR="43734B83" w:rsidRDefault="43734B83">
            <w:r w:rsidRPr="43734B83">
              <w:rPr>
                <w:rFonts w:eastAsia="Calibri" w:cs="Calibri"/>
              </w:rPr>
              <w:t>USA</w:t>
            </w:r>
          </w:p>
        </w:tc>
        <w:tc>
          <w:tcPr>
            <w:tcW w:w="330" w:type="pct"/>
          </w:tcPr>
          <w:p w14:paraId="1E4D40FD" w14:textId="29BD56FE" w:rsidR="43734B83" w:rsidRDefault="00F2109D">
            <w:r>
              <w:rPr>
                <w:rFonts w:eastAsia="Calibri" w:cs="Calibri"/>
              </w:rPr>
              <w:t>N=</w:t>
            </w:r>
            <w:r w:rsidR="43734B83" w:rsidRPr="43734B83">
              <w:rPr>
                <w:rFonts w:eastAsia="Calibri" w:cs="Calibri"/>
              </w:rPr>
              <w:t>893</w:t>
            </w:r>
          </w:p>
        </w:tc>
        <w:tc>
          <w:tcPr>
            <w:tcW w:w="1208" w:type="pct"/>
          </w:tcPr>
          <w:p w14:paraId="29718F0C" w14:textId="32E91216" w:rsidR="43734B83" w:rsidRDefault="43734B83">
            <w:r w:rsidRPr="43734B83">
              <w:rPr>
                <w:rFonts w:eastAsia="Calibri" w:cs="Calibri"/>
              </w:rPr>
              <w:t>Smokers; 52% female; average age 43; average cigarettes per day 25</w:t>
            </w:r>
          </w:p>
        </w:tc>
        <w:tc>
          <w:tcPr>
            <w:tcW w:w="1427" w:type="pct"/>
          </w:tcPr>
          <w:p w14:paraId="090E584C" w14:textId="7323DB71" w:rsidR="43734B83" w:rsidRDefault="43734B83" w:rsidP="00C324F3">
            <w:pPr>
              <w:pStyle w:val="ListParagraph"/>
              <w:numPr>
                <w:ilvl w:val="0"/>
                <w:numId w:val="252"/>
              </w:numPr>
              <w:rPr>
                <w:rFonts w:eastAsia="Calibri" w:cs="Calibri"/>
              </w:rPr>
            </w:pPr>
            <w:r w:rsidRPr="43734B83">
              <w:t>Nicotine patch and bupropion SR. Nicotine patch dosing and schedule 24 hr, 21 mg for 6 weeks, tapered for 2 weeks. Bupropion dosing and schedule was 300 mg for 9 weeks from 1 week before quit day</w:t>
            </w:r>
          </w:p>
          <w:p w14:paraId="6E6ED716" w14:textId="0A17AC1A" w:rsidR="43734B83" w:rsidRDefault="43734B83" w:rsidP="00C324F3">
            <w:pPr>
              <w:pStyle w:val="ListParagraph"/>
              <w:numPr>
                <w:ilvl w:val="0"/>
                <w:numId w:val="252"/>
              </w:numPr>
              <w:rPr>
                <w:rFonts w:eastAsia="Calibri" w:cs="Calibri"/>
              </w:rPr>
            </w:pPr>
            <w:r w:rsidRPr="43734B83">
              <w:lastRenderedPageBreak/>
              <w:t>Bupropion and placebo patch</w:t>
            </w:r>
          </w:p>
          <w:p w14:paraId="57566597" w14:textId="777F6E2B" w:rsidR="43734B83" w:rsidRDefault="43734B83" w:rsidP="00C324F3">
            <w:pPr>
              <w:pStyle w:val="ListParagraph"/>
              <w:numPr>
                <w:ilvl w:val="0"/>
                <w:numId w:val="252"/>
              </w:numPr>
              <w:rPr>
                <w:rFonts w:eastAsia="Calibri" w:cs="Calibri"/>
              </w:rPr>
            </w:pPr>
            <w:r w:rsidRPr="43734B83">
              <w:t>Nicotine patch and placebo tablets</w:t>
            </w:r>
          </w:p>
          <w:p w14:paraId="24FA9833" w14:textId="3CF8282E" w:rsidR="43734B83" w:rsidRDefault="43734B83" w:rsidP="00C324F3">
            <w:pPr>
              <w:pStyle w:val="ListParagraph"/>
              <w:numPr>
                <w:ilvl w:val="0"/>
                <w:numId w:val="252"/>
              </w:numPr>
              <w:rPr>
                <w:rFonts w:eastAsia="Calibri" w:cs="Calibri"/>
              </w:rPr>
            </w:pPr>
            <w:r w:rsidRPr="43734B83">
              <w:t>Placebo patch and placebo tablets</w:t>
            </w:r>
          </w:p>
          <w:p w14:paraId="6FAD1161" w14:textId="577B116C" w:rsidR="43734B83" w:rsidRDefault="43734B83">
            <w:r w:rsidRPr="43734B83">
              <w:rPr>
                <w:rFonts w:eastAsia="Calibri" w:cs="Calibri"/>
              </w:rPr>
              <w:t xml:space="preserve"> </w:t>
            </w:r>
          </w:p>
          <w:p w14:paraId="5593F007" w14:textId="755F7823" w:rsidR="43734B83" w:rsidRDefault="43734B83">
            <w:r w:rsidRPr="00791D84">
              <w:rPr>
                <w:rFonts w:eastAsia="Calibri" w:cs="Calibri"/>
                <w:u w:val="single"/>
              </w:rPr>
              <w:t>Common components:</w:t>
            </w:r>
            <w:r w:rsidRPr="43734B83">
              <w:rPr>
                <w:rFonts w:eastAsia="Calibri" w:cs="Calibri"/>
              </w:rPr>
              <w:t xml:space="preserve"> brief (&lt; 15 min) individual counselling session at each weekly assessment. One telephone call 3 days after quit day</w:t>
            </w:r>
          </w:p>
        </w:tc>
        <w:tc>
          <w:tcPr>
            <w:tcW w:w="800" w:type="pct"/>
          </w:tcPr>
          <w:p w14:paraId="2DE37532" w14:textId="752AEAF7" w:rsidR="43734B83" w:rsidRDefault="43734B83">
            <w:r w:rsidRPr="004A1A7E">
              <w:rPr>
                <w:rFonts w:eastAsia="Calibri" w:cs="Calibri"/>
                <w:u w:val="single"/>
              </w:rPr>
              <w:lastRenderedPageBreak/>
              <w:t>Efficacy:</w:t>
            </w:r>
            <w:r w:rsidRPr="43734B83">
              <w:rPr>
                <w:rFonts w:eastAsia="Calibri" w:cs="Calibri"/>
              </w:rPr>
              <w:t xml:space="preserve"> Smoking cessation. Continuous PPA at 12 months. Validated by CO &lt; 10 ppm at each clinic visit</w:t>
            </w:r>
          </w:p>
          <w:p w14:paraId="6E1BC40C" w14:textId="3B04BF9F" w:rsidR="43734B83" w:rsidRDefault="43734B83">
            <w:r w:rsidRPr="43734B83">
              <w:rPr>
                <w:rFonts w:eastAsia="Calibri" w:cs="Calibri"/>
              </w:rPr>
              <w:t xml:space="preserve"> </w:t>
            </w:r>
          </w:p>
          <w:p w14:paraId="7AC2BE78" w14:textId="5D209BED" w:rsidR="43734B83" w:rsidRDefault="43734B83">
            <w:r w:rsidRPr="004A1A7E">
              <w:rPr>
                <w:rFonts w:eastAsia="Calibri" w:cs="Calibri"/>
                <w:u w:val="single"/>
              </w:rPr>
              <w:lastRenderedPageBreak/>
              <w:t>Safety:</w:t>
            </w:r>
            <w:r w:rsidRPr="43734B83">
              <w:rPr>
                <w:rFonts w:eastAsia="Calibri" w:cs="Calibri"/>
              </w:rPr>
              <w:t xml:space="preserve"> Adverse events</w:t>
            </w:r>
            <w:r w:rsidR="002B490C">
              <w:rPr>
                <w:rFonts w:eastAsia="Calibri" w:cs="Calibri"/>
              </w:rPr>
              <w:t xml:space="preserve"> m</w:t>
            </w:r>
            <w:r w:rsidRPr="43734B83">
              <w:rPr>
                <w:rFonts w:eastAsia="Calibri" w:cs="Calibri"/>
              </w:rPr>
              <w:t>easured for unspecified period</w:t>
            </w:r>
          </w:p>
        </w:tc>
      </w:tr>
      <w:tr w:rsidR="43734B83" w14:paraId="698F2641" w14:textId="77777777" w:rsidTr="00EA7016">
        <w:tc>
          <w:tcPr>
            <w:tcW w:w="479" w:type="pct"/>
          </w:tcPr>
          <w:p w14:paraId="5B119CEC" w14:textId="7D51B29C" w:rsidR="43734B83" w:rsidRDefault="43734B83">
            <w:r w:rsidRPr="00AB757C">
              <w:rPr>
                <w:rFonts w:eastAsia="Calibri" w:cs="Calibri"/>
              </w:rPr>
              <w:lastRenderedPageBreak/>
              <w:t xml:space="preserve">Kalman </w:t>
            </w:r>
            <w:r w:rsidR="009C4EF2">
              <w:rPr>
                <w:rFonts w:eastAsia="Calibri" w:cs="Calibri"/>
              </w:rPr>
              <w:t>(</w:t>
            </w:r>
            <w:r w:rsidRPr="00AB757C">
              <w:rPr>
                <w:rFonts w:eastAsia="Calibri" w:cs="Calibri"/>
              </w:rPr>
              <w:t>2011</w:t>
            </w:r>
            <w:r w:rsidR="009C4EF2">
              <w:rPr>
                <w:rFonts w:eastAsia="Calibri" w:cs="Calibri"/>
              </w:rPr>
              <w:t>)</w:t>
            </w:r>
          </w:p>
        </w:tc>
        <w:tc>
          <w:tcPr>
            <w:tcW w:w="367" w:type="pct"/>
          </w:tcPr>
          <w:p w14:paraId="68CD432B" w14:textId="14EAAB69" w:rsidR="43734B83" w:rsidRDefault="43734B83">
            <w:r w:rsidRPr="43734B83">
              <w:rPr>
                <w:rFonts w:eastAsia="Calibri" w:cs="Calibri"/>
              </w:rPr>
              <w:t>RCT</w:t>
            </w:r>
          </w:p>
        </w:tc>
        <w:tc>
          <w:tcPr>
            <w:tcW w:w="389" w:type="pct"/>
          </w:tcPr>
          <w:p w14:paraId="2D42F3F4" w14:textId="2365EEB4" w:rsidR="43734B83" w:rsidRDefault="43734B83">
            <w:r w:rsidRPr="43734B83">
              <w:rPr>
                <w:rFonts w:eastAsia="Calibri" w:cs="Calibri"/>
              </w:rPr>
              <w:t>USA</w:t>
            </w:r>
          </w:p>
        </w:tc>
        <w:tc>
          <w:tcPr>
            <w:tcW w:w="330" w:type="pct"/>
          </w:tcPr>
          <w:p w14:paraId="4AADBF51" w14:textId="5FBF04F8" w:rsidR="43734B83" w:rsidRDefault="00F2109D">
            <w:r>
              <w:rPr>
                <w:rFonts w:eastAsia="Calibri" w:cs="Calibri"/>
              </w:rPr>
              <w:t>N=</w:t>
            </w:r>
            <w:r w:rsidR="43734B83" w:rsidRPr="43734B83">
              <w:rPr>
                <w:rFonts w:eastAsia="Calibri" w:cs="Calibri"/>
              </w:rPr>
              <w:t>143</w:t>
            </w:r>
          </w:p>
        </w:tc>
        <w:tc>
          <w:tcPr>
            <w:tcW w:w="1208" w:type="pct"/>
          </w:tcPr>
          <w:p w14:paraId="417D936D" w14:textId="02448669" w:rsidR="43734B83" w:rsidRDefault="43734B83">
            <w:r w:rsidRPr="43734B83">
              <w:rPr>
                <w:rFonts w:eastAsia="Calibri" w:cs="Calibri"/>
              </w:rPr>
              <w:t>Smokers with 2 to 12 months alcohol abstinence, with history of alcohol abuse or dependence; mean age 49; 17% female; average cigarettes per day 20.8; mean FTND 5.9</w:t>
            </w:r>
          </w:p>
        </w:tc>
        <w:tc>
          <w:tcPr>
            <w:tcW w:w="1427" w:type="pct"/>
          </w:tcPr>
          <w:p w14:paraId="491D81F3" w14:textId="0A04E610" w:rsidR="43734B83" w:rsidRDefault="43734B83" w:rsidP="00C324F3">
            <w:pPr>
              <w:pStyle w:val="ListParagraph"/>
              <w:numPr>
                <w:ilvl w:val="0"/>
                <w:numId w:val="251"/>
              </w:numPr>
              <w:rPr>
                <w:rFonts w:eastAsia="Calibri" w:cs="Calibri"/>
              </w:rPr>
            </w:pPr>
            <w:r w:rsidRPr="43734B83">
              <w:t>Bupropion, 8 weeks (started 1 week before TQD, first 3 days 150 mg/day, rest of period 2 x 150 mg/day)</w:t>
            </w:r>
          </w:p>
          <w:p w14:paraId="30CFE90C" w14:textId="5398AF3D" w:rsidR="43734B83" w:rsidRDefault="43734B83" w:rsidP="00C324F3">
            <w:pPr>
              <w:pStyle w:val="ListParagraph"/>
              <w:numPr>
                <w:ilvl w:val="0"/>
                <w:numId w:val="251"/>
              </w:numPr>
              <w:rPr>
                <w:rFonts w:eastAsia="Calibri" w:cs="Calibri"/>
              </w:rPr>
            </w:pPr>
            <w:r w:rsidRPr="43734B83">
              <w:t>Placebo, same schedule as above</w:t>
            </w:r>
          </w:p>
          <w:p w14:paraId="4B56B16C" w14:textId="65A12D98" w:rsidR="43734B83" w:rsidRDefault="43734B83">
            <w:r w:rsidRPr="43734B83">
              <w:rPr>
                <w:rFonts w:eastAsia="Calibri" w:cs="Calibri"/>
              </w:rPr>
              <w:t xml:space="preserve"> </w:t>
            </w:r>
          </w:p>
          <w:p w14:paraId="21610834" w14:textId="2F25E57A" w:rsidR="43734B83" w:rsidRDefault="43734B83">
            <w:r w:rsidRPr="00791D84">
              <w:rPr>
                <w:rFonts w:eastAsia="Calibri" w:cs="Calibri"/>
                <w:u w:val="single"/>
              </w:rPr>
              <w:t>Common components:</w:t>
            </w:r>
            <w:r w:rsidRPr="43734B83">
              <w:rPr>
                <w:rFonts w:eastAsia="Calibri" w:cs="Calibri"/>
              </w:rPr>
              <w:t xml:space="preserve"> nicotine patch (7 weeks starting on TQD; 21 mg weeks 1-4, 14 mg weeks 5-6, 7 mg week 7) and 8 weekly counselling sessions starting 1 week before TQD (one-to-one sessions based on CBT and MI)</w:t>
            </w:r>
          </w:p>
        </w:tc>
        <w:tc>
          <w:tcPr>
            <w:tcW w:w="800" w:type="pct"/>
          </w:tcPr>
          <w:p w14:paraId="43D42D26" w14:textId="27E24980" w:rsidR="43734B83" w:rsidRDefault="43734B83">
            <w:r w:rsidRPr="004A1A7E">
              <w:rPr>
                <w:rFonts w:eastAsia="Calibri" w:cs="Calibri"/>
                <w:u w:val="single"/>
              </w:rPr>
              <w:t>Efficacy:</w:t>
            </w:r>
            <w:r w:rsidRPr="43734B83">
              <w:rPr>
                <w:rFonts w:eastAsia="Calibri" w:cs="Calibri"/>
              </w:rPr>
              <w:t xml:space="preserve"> Smoking cessation. Prolonged abstinence at 24 weeks (no smoking after first 2 weeks after TQD). Validated by salivary cotinine ≤ 15 ng/mL</w:t>
            </w:r>
          </w:p>
          <w:p w14:paraId="1952C01F" w14:textId="386147B7" w:rsidR="43734B83" w:rsidRDefault="43734B83">
            <w:r w:rsidRPr="43734B83">
              <w:rPr>
                <w:rFonts w:eastAsia="Calibri" w:cs="Calibri"/>
              </w:rPr>
              <w:t xml:space="preserve"> </w:t>
            </w:r>
          </w:p>
          <w:p w14:paraId="2E4502E4" w14:textId="470AC969" w:rsidR="43734B83" w:rsidRDefault="43734B83">
            <w:r w:rsidRPr="004A1A7E">
              <w:rPr>
                <w:rFonts w:eastAsia="Calibri" w:cs="Calibri"/>
                <w:u w:val="single"/>
              </w:rPr>
              <w:t>Safety:</w:t>
            </w:r>
            <w:r w:rsidRPr="43734B83">
              <w:rPr>
                <w:rFonts w:eastAsia="Calibri" w:cs="Calibri"/>
              </w:rPr>
              <w:t xml:space="preserve"> Adverse events measured for unspecified period</w:t>
            </w:r>
          </w:p>
        </w:tc>
      </w:tr>
      <w:tr w:rsidR="43734B83" w14:paraId="2CC595A2" w14:textId="77777777" w:rsidTr="00EA7016">
        <w:tc>
          <w:tcPr>
            <w:tcW w:w="479" w:type="pct"/>
          </w:tcPr>
          <w:p w14:paraId="220E893A" w14:textId="7FDA266F" w:rsidR="43734B83" w:rsidRPr="00AB757C" w:rsidRDefault="43734B83">
            <w:pPr>
              <w:rPr>
                <w:rFonts w:eastAsia="Calibri" w:cs="Calibri"/>
              </w:rPr>
            </w:pPr>
            <w:r w:rsidRPr="00AB757C">
              <w:rPr>
                <w:rFonts w:eastAsia="Calibri" w:cs="Calibri"/>
              </w:rPr>
              <w:t xml:space="preserve">Killen </w:t>
            </w:r>
            <w:r w:rsidR="00AB757C">
              <w:rPr>
                <w:rFonts w:eastAsia="Calibri" w:cs="Calibri"/>
              </w:rPr>
              <w:t>(</w:t>
            </w:r>
            <w:r w:rsidRPr="00AB757C">
              <w:rPr>
                <w:rFonts w:eastAsia="Calibri" w:cs="Calibri"/>
              </w:rPr>
              <w:t>2004</w:t>
            </w:r>
            <w:r w:rsidR="00AB757C">
              <w:rPr>
                <w:rFonts w:eastAsia="Calibri" w:cs="Calibri"/>
              </w:rPr>
              <w:t>)</w:t>
            </w:r>
          </w:p>
        </w:tc>
        <w:tc>
          <w:tcPr>
            <w:tcW w:w="367" w:type="pct"/>
          </w:tcPr>
          <w:p w14:paraId="7A8EE00E" w14:textId="7F78DBD8" w:rsidR="43734B83" w:rsidRDefault="43734B83">
            <w:r w:rsidRPr="43734B83">
              <w:rPr>
                <w:rFonts w:eastAsia="Calibri" w:cs="Calibri"/>
              </w:rPr>
              <w:t>RCT</w:t>
            </w:r>
          </w:p>
        </w:tc>
        <w:tc>
          <w:tcPr>
            <w:tcW w:w="389" w:type="pct"/>
          </w:tcPr>
          <w:p w14:paraId="7B4ABEF4" w14:textId="7E85471C" w:rsidR="43734B83" w:rsidRDefault="43734B83">
            <w:r w:rsidRPr="43734B83">
              <w:rPr>
                <w:rFonts w:eastAsia="Calibri" w:cs="Calibri"/>
              </w:rPr>
              <w:t>USA</w:t>
            </w:r>
          </w:p>
        </w:tc>
        <w:tc>
          <w:tcPr>
            <w:tcW w:w="330" w:type="pct"/>
          </w:tcPr>
          <w:p w14:paraId="3C81055E" w14:textId="3E2E8EDC" w:rsidR="43734B83" w:rsidRDefault="00F2109D">
            <w:r>
              <w:rPr>
                <w:rFonts w:eastAsia="Calibri" w:cs="Calibri"/>
              </w:rPr>
              <w:t>N=</w:t>
            </w:r>
            <w:r w:rsidR="43734B83" w:rsidRPr="43734B83">
              <w:rPr>
                <w:rFonts w:eastAsia="Calibri" w:cs="Calibri"/>
              </w:rPr>
              <w:t>211</w:t>
            </w:r>
          </w:p>
        </w:tc>
        <w:tc>
          <w:tcPr>
            <w:tcW w:w="1208" w:type="pct"/>
          </w:tcPr>
          <w:p w14:paraId="27366F9C" w14:textId="6EB7E282" w:rsidR="43734B83" w:rsidRDefault="43734B83">
            <w:r w:rsidRPr="43734B83">
              <w:rPr>
                <w:rFonts w:eastAsia="Calibri" w:cs="Calibri"/>
              </w:rPr>
              <w:t xml:space="preserve">Adolescent smokers, at least 1 </w:t>
            </w:r>
            <w:r w:rsidR="000E1409">
              <w:rPr>
                <w:rFonts w:eastAsia="Calibri" w:cs="Calibri"/>
              </w:rPr>
              <w:t xml:space="preserve">unsuccessful </w:t>
            </w:r>
            <w:r w:rsidRPr="43734B83">
              <w:rPr>
                <w:rFonts w:eastAsia="Calibri" w:cs="Calibri"/>
              </w:rPr>
              <w:t>quit attempt; 31% female; average age 17; average cigarettes per day 15</w:t>
            </w:r>
          </w:p>
        </w:tc>
        <w:tc>
          <w:tcPr>
            <w:tcW w:w="1427" w:type="pct"/>
          </w:tcPr>
          <w:p w14:paraId="49A70781" w14:textId="63B7914B" w:rsidR="43734B83" w:rsidRDefault="43734B83" w:rsidP="00C324F3">
            <w:pPr>
              <w:pStyle w:val="ListParagraph"/>
              <w:numPr>
                <w:ilvl w:val="0"/>
                <w:numId w:val="250"/>
              </w:numPr>
              <w:rPr>
                <w:rFonts w:eastAsia="Calibri" w:cs="Calibri"/>
              </w:rPr>
            </w:pPr>
            <w:r w:rsidRPr="43734B83">
              <w:t>Bupropion and nicotine patch. Bupropion at 150 mg for 9 weeks from 1 week before TQD. Nicotine patch for 8 weeks</w:t>
            </w:r>
          </w:p>
          <w:p w14:paraId="087BA846" w14:textId="09B2F788" w:rsidR="43734B83" w:rsidRDefault="43734B83" w:rsidP="00C324F3">
            <w:pPr>
              <w:pStyle w:val="ListParagraph"/>
              <w:numPr>
                <w:ilvl w:val="0"/>
                <w:numId w:val="250"/>
              </w:numPr>
              <w:rPr>
                <w:rFonts w:eastAsia="Calibri" w:cs="Calibri"/>
              </w:rPr>
            </w:pPr>
            <w:r w:rsidRPr="43734B83">
              <w:t>Placebo and nicotine patch</w:t>
            </w:r>
          </w:p>
          <w:p w14:paraId="39BEF7E2" w14:textId="176449C6" w:rsidR="43734B83" w:rsidRDefault="43734B83">
            <w:r w:rsidRPr="43734B83">
              <w:rPr>
                <w:rFonts w:eastAsia="Calibri" w:cs="Calibri"/>
              </w:rPr>
              <w:t xml:space="preserve"> </w:t>
            </w:r>
          </w:p>
          <w:p w14:paraId="6344BCDF" w14:textId="7D9CF4C6" w:rsidR="43734B83" w:rsidRDefault="43734B83">
            <w:r w:rsidRPr="00791D84">
              <w:rPr>
                <w:rFonts w:eastAsia="Calibri" w:cs="Calibri"/>
                <w:u w:val="single"/>
              </w:rPr>
              <w:t>Common components:</w:t>
            </w:r>
            <w:r w:rsidRPr="43734B83">
              <w:rPr>
                <w:rFonts w:eastAsia="Calibri" w:cs="Calibri"/>
              </w:rPr>
              <w:t xml:space="preserve"> weekly 45-min group sessions, skills training</w:t>
            </w:r>
          </w:p>
        </w:tc>
        <w:tc>
          <w:tcPr>
            <w:tcW w:w="800" w:type="pct"/>
          </w:tcPr>
          <w:p w14:paraId="558D1A50" w14:textId="42DC2045" w:rsidR="43734B83" w:rsidRDefault="43734B83">
            <w:r w:rsidRPr="004A1A7E">
              <w:rPr>
                <w:rFonts w:eastAsia="Calibri" w:cs="Calibri"/>
                <w:u w:val="single"/>
              </w:rPr>
              <w:t>Efficacy:</w:t>
            </w:r>
            <w:r w:rsidRPr="43734B83">
              <w:rPr>
                <w:rFonts w:eastAsia="Calibri" w:cs="Calibri"/>
              </w:rPr>
              <w:t xml:space="preserve"> Smoking abstinence. 7-day PPA at 6 months. Validated by saliva cotinine &lt; 20 ng/mL at 6 months (CO at EOT)</w:t>
            </w:r>
          </w:p>
          <w:p w14:paraId="53DC6086" w14:textId="691E71C5" w:rsidR="43734B83" w:rsidRDefault="43734B83">
            <w:r w:rsidRPr="43734B83">
              <w:rPr>
                <w:rFonts w:eastAsia="Calibri" w:cs="Calibri"/>
              </w:rPr>
              <w:t xml:space="preserve"> </w:t>
            </w:r>
          </w:p>
          <w:p w14:paraId="135E6784" w14:textId="03DD93B8" w:rsidR="43734B83" w:rsidRDefault="43734B83">
            <w:r w:rsidRPr="004A1A7E">
              <w:rPr>
                <w:rFonts w:eastAsia="Calibri" w:cs="Calibri"/>
                <w:u w:val="single"/>
              </w:rPr>
              <w:t>Safety:</w:t>
            </w:r>
            <w:r w:rsidRPr="43734B83">
              <w:rPr>
                <w:rFonts w:eastAsia="Calibri" w:cs="Calibri"/>
              </w:rPr>
              <w:t xml:space="preserve"> Adverse events</w:t>
            </w:r>
            <w:r w:rsidR="009F0B1A">
              <w:rPr>
                <w:rFonts w:eastAsia="Calibri" w:cs="Calibri"/>
              </w:rPr>
              <w:t xml:space="preserve"> m</w:t>
            </w:r>
            <w:r w:rsidRPr="43734B83">
              <w:rPr>
                <w:rFonts w:eastAsia="Calibri" w:cs="Calibri"/>
              </w:rPr>
              <w:t>easured for unspecified period</w:t>
            </w:r>
          </w:p>
        </w:tc>
      </w:tr>
      <w:tr w:rsidR="43734B83" w14:paraId="0A244A9F" w14:textId="77777777" w:rsidTr="00EA7016">
        <w:tc>
          <w:tcPr>
            <w:tcW w:w="479" w:type="pct"/>
          </w:tcPr>
          <w:p w14:paraId="3BFD3270" w14:textId="2C9DB46B" w:rsidR="43734B83" w:rsidRPr="00AB757C" w:rsidRDefault="43734B83">
            <w:pPr>
              <w:rPr>
                <w:rFonts w:eastAsia="Calibri" w:cs="Calibri"/>
              </w:rPr>
            </w:pPr>
            <w:r w:rsidRPr="00AB757C">
              <w:rPr>
                <w:rFonts w:eastAsia="Calibri" w:cs="Calibri"/>
              </w:rPr>
              <w:t xml:space="preserve">Rose </w:t>
            </w:r>
            <w:r w:rsidR="00AB757C">
              <w:rPr>
                <w:rFonts w:eastAsia="Calibri" w:cs="Calibri"/>
              </w:rPr>
              <w:t>(</w:t>
            </w:r>
            <w:r w:rsidRPr="00AB757C">
              <w:rPr>
                <w:rFonts w:eastAsia="Calibri" w:cs="Calibri"/>
              </w:rPr>
              <w:t>2013</w:t>
            </w:r>
            <w:r w:rsidR="00AB757C">
              <w:rPr>
                <w:rFonts w:eastAsia="Calibri" w:cs="Calibri"/>
              </w:rPr>
              <w:t>)</w:t>
            </w:r>
          </w:p>
        </w:tc>
        <w:tc>
          <w:tcPr>
            <w:tcW w:w="367" w:type="pct"/>
          </w:tcPr>
          <w:p w14:paraId="181C5520" w14:textId="394FC6AD" w:rsidR="43734B83" w:rsidRDefault="43734B83">
            <w:r w:rsidRPr="43734B83">
              <w:rPr>
                <w:rFonts w:eastAsia="Calibri" w:cs="Calibri"/>
              </w:rPr>
              <w:t>RCT</w:t>
            </w:r>
          </w:p>
        </w:tc>
        <w:tc>
          <w:tcPr>
            <w:tcW w:w="389" w:type="pct"/>
          </w:tcPr>
          <w:p w14:paraId="69B33596" w14:textId="381F7765" w:rsidR="43734B83" w:rsidRDefault="43734B83">
            <w:r w:rsidRPr="43734B83">
              <w:rPr>
                <w:rFonts w:eastAsia="Calibri" w:cs="Calibri"/>
              </w:rPr>
              <w:t>USA</w:t>
            </w:r>
          </w:p>
        </w:tc>
        <w:tc>
          <w:tcPr>
            <w:tcW w:w="330" w:type="pct"/>
          </w:tcPr>
          <w:p w14:paraId="23BBBD1B" w14:textId="1B2B75ED" w:rsidR="43734B83" w:rsidRDefault="00F2109D">
            <w:r>
              <w:rPr>
                <w:rFonts w:eastAsia="Calibri" w:cs="Calibri"/>
              </w:rPr>
              <w:t>N=</w:t>
            </w:r>
            <w:r w:rsidR="43734B83" w:rsidRPr="43734B83">
              <w:rPr>
                <w:rFonts w:eastAsia="Calibri" w:cs="Calibri"/>
              </w:rPr>
              <w:t>440</w:t>
            </w:r>
          </w:p>
        </w:tc>
        <w:tc>
          <w:tcPr>
            <w:tcW w:w="1208" w:type="pct"/>
          </w:tcPr>
          <w:p w14:paraId="222E1F89" w14:textId="3AC54190" w:rsidR="43734B83" w:rsidRDefault="43734B83">
            <w:r w:rsidRPr="43734B83">
              <w:rPr>
                <w:rFonts w:eastAsia="Calibri" w:cs="Calibri"/>
              </w:rPr>
              <w:t xml:space="preserve">Smokers who did not respond successfully to cessation treatment with NRT (phase 1 = 335 participants whose smoking did not decrease by &gt; 50% after 1-week NRT (prior to TQD); phase 2 = 105 participants who lapsed within one week after TQD); 50% </w:t>
            </w:r>
            <w:r w:rsidRPr="43734B83">
              <w:rPr>
                <w:rFonts w:eastAsia="Calibri" w:cs="Calibri"/>
              </w:rPr>
              <w:lastRenderedPageBreak/>
              <w:t>female; average age 43; average cigarettes per day 22; mean FTND 5.8</w:t>
            </w:r>
          </w:p>
        </w:tc>
        <w:tc>
          <w:tcPr>
            <w:tcW w:w="1427" w:type="pct"/>
          </w:tcPr>
          <w:p w14:paraId="0A0E8B7E" w14:textId="10ED60B7" w:rsidR="43734B83" w:rsidRDefault="43734B83" w:rsidP="00C324F3">
            <w:pPr>
              <w:pStyle w:val="ListParagraph"/>
              <w:numPr>
                <w:ilvl w:val="0"/>
                <w:numId w:val="249"/>
              </w:numPr>
              <w:rPr>
                <w:rFonts w:eastAsia="Calibri" w:cs="Calibri"/>
              </w:rPr>
            </w:pPr>
            <w:r w:rsidRPr="43734B83">
              <w:lastRenderedPageBreak/>
              <w:t>Bupropion and nicotine patch. Bupropion for 12 weeks (150 mg/day for 3 days, 300 mg/d for remainder). Nicotine patch (patch dose based on CO, 21 mg/day for CO ≤ 30 ppm, 42 mg/day for CO &gt; 30 ppm)</w:t>
            </w:r>
          </w:p>
          <w:p w14:paraId="3CAB5927" w14:textId="61F9F144" w:rsidR="43734B83" w:rsidRDefault="43734B83" w:rsidP="00C324F3">
            <w:pPr>
              <w:pStyle w:val="ListParagraph"/>
              <w:numPr>
                <w:ilvl w:val="0"/>
                <w:numId w:val="249"/>
              </w:numPr>
              <w:rPr>
                <w:rFonts w:eastAsia="Calibri" w:cs="Calibri"/>
              </w:rPr>
            </w:pPr>
            <w:r w:rsidRPr="43734B83">
              <w:lastRenderedPageBreak/>
              <w:t>Placebo and nicotine patch. Dosing as above</w:t>
            </w:r>
          </w:p>
          <w:p w14:paraId="4CA1D894" w14:textId="0E945B92" w:rsidR="43734B83" w:rsidRDefault="43734B83">
            <w:r w:rsidRPr="43734B83">
              <w:rPr>
                <w:rFonts w:eastAsia="Calibri" w:cs="Calibri"/>
              </w:rPr>
              <w:t xml:space="preserve"> </w:t>
            </w:r>
          </w:p>
          <w:p w14:paraId="09F6A886" w14:textId="0088CD84" w:rsidR="43734B83" w:rsidRDefault="43734B83">
            <w:r w:rsidRPr="00791D84">
              <w:rPr>
                <w:rFonts w:eastAsia="Calibri" w:cs="Calibri"/>
                <w:u w:val="single"/>
              </w:rPr>
              <w:t>Common components:</w:t>
            </w:r>
            <w:r w:rsidRPr="43734B83">
              <w:rPr>
                <w:rFonts w:eastAsia="Calibri" w:cs="Calibri"/>
              </w:rPr>
              <w:t xml:space="preserve"> cessation program with nicotine patch (discontinued after 1 week in Phase 1 varenicline arm) and 4 to 6 brief (&lt; 15 mins) counselling sessions</w:t>
            </w:r>
          </w:p>
        </w:tc>
        <w:tc>
          <w:tcPr>
            <w:tcW w:w="800" w:type="pct"/>
          </w:tcPr>
          <w:p w14:paraId="0FE1B8F4" w14:textId="09918C97" w:rsidR="43734B83" w:rsidRDefault="43734B83">
            <w:r w:rsidRPr="004A1A7E">
              <w:rPr>
                <w:rFonts w:eastAsia="Calibri" w:cs="Calibri"/>
                <w:u w:val="single"/>
              </w:rPr>
              <w:lastRenderedPageBreak/>
              <w:t>Efficacy:</w:t>
            </w:r>
            <w:r w:rsidRPr="43734B83">
              <w:rPr>
                <w:rFonts w:eastAsia="Calibri" w:cs="Calibri"/>
              </w:rPr>
              <w:t xml:space="preserve"> Smoking cessation: continuous abstinence at 6 months. Validated by CO ≤ 10 ppm</w:t>
            </w:r>
          </w:p>
          <w:p w14:paraId="7CC64F69" w14:textId="5272B8B2" w:rsidR="43734B83" w:rsidRDefault="43734B83">
            <w:r w:rsidRPr="43734B83">
              <w:rPr>
                <w:rFonts w:eastAsia="Calibri" w:cs="Calibri"/>
              </w:rPr>
              <w:t xml:space="preserve"> </w:t>
            </w:r>
          </w:p>
          <w:p w14:paraId="74822C65" w14:textId="3EEB5100" w:rsidR="43734B83" w:rsidRDefault="43734B83">
            <w:r w:rsidRPr="004A1A7E">
              <w:rPr>
                <w:rFonts w:eastAsia="Calibri" w:cs="Calibri"/>
                <w:u w:val="single"/>
              </w:rPr>
              <w:t>Safety:</w:t>
            </w:r>
            <w:r w:rsidRPr="43734B83">
              <w:rPr>
                <w:rFonts w:eastAsia="Calibri" w:cs="Calibri"/>
              </w:rPr>
              <w:t xml:space="preserve"> Adverse events</w:t>
            </w:r>
          </w:p>
        </w:tc>
      </w:tr>
      <w:tr w:rsidR="43734B83" w14:paraId="7E37A0B1" w14:textId="77777777" w:rsidTr="00EA7016">
        <w:tc>
          <w:tcPr>
            <w:tcW w:w="479" w:type="pct"/>
          </w:tcPr>
          <w:p w14:paraId="63A3A0CC" w14:textId="50FAB7FA" w:rsidR="43734B83" w:rsidRPr="00AB757C" w:rsidRDefault="43734B83">
            <w:pPr>
              <w:rPr>
                <w:rFonts w:eastAsia="Calibri" w:cs="Calibri"/>
              </w:rPr>
            </w:pPr>
            <w:r w:rsidRPr="00AB757C">
              <w:rPr>
                <w:rFonts w:eastAsia="Calibri" w:cs="Calibri"/>
              </w:rPr>
              <w:t xml:space="preserve">Schnoll </w:t>
            </w:r>
            <w:r w:rsidR="00AB757C">
              <w:rPr>
                <w:rFonts w:eastAsia="Calibri" w:cs="Calibri"/>
              </w:rPr>
              <w:t>(</w:t>
            </w:r>
            <w:r w:rsidRPr="00AB757C">
              <w:rPr>
                <w:rFonts w:eastAsia="Calibri" w:cs="Calibri"/>
              </w:rPr>
              <w:t>2010</w:t>
            </w:r>
            <w:r w:rsidR="00AB757C">
              <w:rPr>
                <w:rFonts w:eastAsia="Calibri" w:cs="Calibri"/>
              </w:rPr>
              <w:t>)</w:t>
            </w:r>
          </w:p>
        </w:tc>
        <w:tc>
          <w:tcPr>
            <w:tcW w:w="367" w:type="pct"/>
          </w:tcPr>
          <w:p w14:paraId="4A70BDC6" w14:textId="36157B69" w:rsidR="43734B83" w:rsidRDefault="43734B83">
            <w:r w:rsidRPr="43734B83">
              <w:rPr>
                <w:rFonts w:eastAsia="Calibri" w:cs="Calibri"/>
              </w:rPr>
              <w:t>RCT</w:t>
            </w:r>
          </w:p>
        </w:tc>
        <w:tc>
          <w:tcPr>
            <w:tcW w:w="389" w:type="pct"/>
          </w:tcPr>
          <w:p w14:paraId="02F3FEFF" w14:textId="6019B791" w:rsidR="43734B83" w:rsidRDefault="43734B83">
            <w:r w:rsidRPr="43734B83">
              <w:rPr>
                <w:rFonts w:eastAsia="Calibri" w:cs="Calibri"/>
              </w:rPr>
              <w:t>USA</w:t>
            </w:r>
          </w:p>
        </w:tc>
        <w:tc>
          <w:tcPr>
            <w:tcW w:w="330" w:type="pct"/>
          </w:tcPr>
          <w:p w14:paraId="6A9F5877" w14:textId="6D57BD11" w:rsidR="43734B83" w:rsidRDefault="00F2109D">
            <w:r>
              <w:rPr>
                <w:rFonts w:eastAsia="Calibri" w:cs="Calibri"/>
              </w:rPr>
              <w:t>N=</w:t>
            </w:r>
            <w:r w:rsidR="43734B83" w:rsidRPr="43734B83">
              <w:rPr>
                <w:rFonts w:eastAsia="Calibri" w:cs="Calibri"/>
              </w:rPr>
              <w:t>246</w:t>
            </w:r>
          </w:p>
        </w:tc>
        <w:tc>
          <w:tcPr>
            <w:tcW w:w="1208" w:type="pct"/>
          </w:tcPr>
          <w:p w14:paraId="46552F29" w14:textId="24FB3886" w:rsidR="43734B83" w:rsidRDefault="43734B83">
            <w:r w:rsidRPr="43734B83">
              <w:rPr>
                <w:rFonts w:eastAsia="Calibri" w:cs="Calibri"/>
              </w:rPr>
              <w:t>Cancer patients smoking ≥ 2 cigarettes per day; 48% female; average age 54.8; average cigarettes per day 17.5; mean FTND 3.2; 32% had tobacco-related tumours</w:t>
            </w:r>
          </w:p>
        </w:tc>
        <w:tc>
          <w:tcPr>
            <w:tcW w:w="1427" w:type="pct"/>
          </w:tcPr>
          <w:p w14:paraId="063CFDE6" w14:textId="5CF72A2C" w:rsidR="43734B83" w:rsidRDefault="43734B83" w:rsidP="00C324F3">
            <w:pPr>
              <w:pStyle w:val="ListParagraph"/>
              <w:numPr>
                <w:ilvl w:val="0"/>
                <w:numId w:val="248"/>
              </w:numPr>
              <w:rPr>
                <w:rFonts w:eastAsia="Calibri" w:cs="Calibri"/>
              </w:rPr>
            </w:pPr>
            <w:r w:rsidRPr="43734B83">
              <w:t>Bupropion 9 weeks, started 2 weeks before TQD (150 mg/d first week, 300 mg/d remaining 8 weeks</w:t>
            </w:r>
          </w:p>
          <w:p w14:paraId="4E39C734" w14:textId="2362B626" w:rsidR="43734B83" w:rsidRDefault="43734B83" w:rsidP="00C324F3">
            <w:pPr>
              <w:pStyle w:val="ListParagraph"/>
              <w:numPr>
                <w:ilvl w:val="0"/>
                <w:numId w:val="248"/>
              </w:numPr>
              <w:rPr>
                <w:rFonts w:eastAsia="Calibri" w:cs="Calibri"/>
              </w:rPr>
            </w:pPr>
            <w:r w:rsidRPr="43734B83">
              <w:t>Placebo, same schedule as above</w:t>
            </w:r>
          </w:p>
          <w:p w14:paraId="5BB04686" w14:textId="6C08055B" w:rsidR="43734B83" w:rsidRDefault="43734B83">
            <w:r w:rsidRPr="43734B83">
              <w:rPr>
                <w:rFonts w:eastAsia="Calibri" w:cs="Calibri"/>
              </w:rPr>
              <w:t xml:space="preserve"> </w:t>
            </w:r>
          </w:p>
          <w:p w14:paraId="4BF1A309" w14:textId="091C9437" w:rsidR="43734B83" w:rsidRDefault="43734B83">
            <w:r w:rsidRPr="00791D84">
              <w:rPr>
                <w:rFonts w:eastAsia="Calibri" w:cs="Calibri"/>
                <w:u w:val="single"/>
              </w:rPr>
              <w:t>Common components:</w:t>
            </w:r>
            <w:r w:rsidRPr="43734B83">
              <w:rPr>
                <w:rFonts w:eastAsia="Calibri" w:cs="Calibri"/>
              </w:rPr>
              <w:t xml:space="preserve"> 8 weeks nicotine patches and 5 sessions of behavioural counselling (3 in person, 2 over phone)</w:t>
            </w:r>
          </w:p>
        </w:tc>
        <w:tc>
          <w:tcPr>
            <w:tcW w:w="800" w:type="pct"/>
          </w:tcPr>
          <w:p w14:paraId="3BD81C88" w14:textId="65919927" w:rsidR="43734B83" w:rsidRDefault="43734B83">
            <w:r w:rsidRPr="004A1A7E">
              <w:rPr>
                <w:rFonts w:eastAsia="Calibri" w:cs="Calibri"/>
                <w:u w:val="single"/>
              </w:rPr>
              <w:t>Efficacy:</w:t>
            </w:r>
            <w:r w:rsidRPr="43734B83">
              <w:rPr>
                <w:rFonts w:eastAsia="Calibri" w:cs="Calibri"/>
              </w:rPr>
              <w:t xml:space="preserve"> Smoking cessation. 7-day PPA at 6 months. Validated by CO ≤ 10 ppm</w:t>
            </w:r>
          </w:p>
          <w:p w14:paraId="77407CB3" w14:textId="1493CA22" w:rsidR="43734B83" w:rsidRDefault="43734B83">
            <w:r w:rsidRPr="43734B83">
              <w:rPr>
                <w:rFonts w:eastAsia="Calibri" w:cs="Calibri"/>
              </w:rPr>
              <w:t xml:space="preserve"> </w:t>
            </w:r>
          </w:p>
          <w:p w14:paraId="32300D92" w14:textId="6678B3C3" w:rsidR="43734B83" w:rsidRDefault="43734B83">
            <w:r w:rsidRPr="004A1A7E">
              <w:rPr>
                <w:rFonts w:eastAsia="Calibri" w:cs="Calibri"/>
                <w:u w:val="single"/>
              </w:rPr>
              <w:t>Safety:</w:t>
            </w:r>
            <w:r w:rsidRPr="43734B83">
              <w:rPr>
                <w:rFonts w:eastAsia="Calibri" w:cs="Calibri"/>
              </w:rPr>
              <w:t xml:space="preserve"> Adverse events measured for 9-week treatment period</w:t>
            </w:r>
          </w:p>
        </w:tc>
      </w:tr>
      <w:tr w:rsidR="43734B83" w14:paraId="57103D46" w14:textId="77777777" w:rsidTr="00EA7016">
        <w:tc>
          <w:tcPr>
            <w:tcW w:w="479" w:type="pct"/>
          </w:tcPr>
          <w:p w14:paraId="29CEA6BA" w14:textId="46BEDAC3" w:rsidR="43734B83" w:rsidRPr="00AB757C" w:rsidRDefault="43734B83">
            <w:pPr>
              <w:rPr>
                <w:rFonts w:eastAsia="Calibri" w:cs="Calibri"/>
              </w:rPr>
            </w:pPr>
            <w:r w:rsidRPr="00AB757C">
              <w:rPr>
                <w:rFonts w:eastAsia="Calibri" w:cs="Calibri"/>
              </w:rPr>
              <w:t xml:space="preserve">Simon </w:t>
            </w:r>
            <w:r w:rsidR="00AB757C">
              <w:rPr>
                <w:rFonts w:eastAsia="Calibri" w:cs="Calibri"/>
              </w:rPr>
              <w:t>(</w:t>
            </w:r>
            <w:r w:rsidRPr="00AB757C">
              <w:rPr>
                <w:rFonts w:eastAsia="Calibri" w:cs="Calibri"/>
              </w:rPr>
              <w:t>2004</w:t>
            </w:r>
            <w:r w:rsidR="00AB757C">
              <w:rPr>
                <w:rFonts w:eastAsia="Calibri" w:cs="Calibri"/>
              </w:rPr>
              <w:t>)</w:t>
            </w:r>
          </w:p>
        </w:tc>
        <w:tc>
          <w:tcPr>
            <w:tcW w:w="367" w:type="pct"/>
          </w:tcPr>
          <w:p w14:paraId="5C964621" w14:textId="40B50A13" w:rsidR="43734B83" w:rsidRDefault="43734B83">
            <w:r w:rsidRPr="43734B83">
              <w:rPr>
                <w:rFonts w:eastAsia="Calibri" w:cs="Calibri"/>
              </w:rPr>
              <w:t>RCT</w:t>
            </w:r>
          </w:p>
        </w:tc>
        <w:tc>
          <w:tcPr>
            <w:tcW w:w="389" w:type="pct"/>
          </w:tcPr>
          <w:p w14:paraId="6B9B042C" w14:textId="46203AF9" w:rsidR="43734B83" w:rsidRDefault="43734B83">
            <w:r w:rsidRPr="43734B83">
              <w:rPr>
                <w:rFonts w:eastAsia="Calibri" w:cs="Calibri"/>
              </w:rPr>
              <w:t>USA</w:t>
            </w:r>
          </w:p>
        </w:tc>
        <w:tc>
          <w:tcPr>
            <w:tcW w:w="330" w:type="pct"/>
          </w:tcPr>
          <w:p w14:paraId="21720356" w14:textId="59FD2950" w:rsidR="43734B83" w:rsidRDefault="00F2109D">
            <w:r>
              <w:rPr>
                <w:rFonts w:eastAsia="Calibri" w:cs="Calibri"/>
              </w:rPr>
              <w:t>N=</w:t>
            </w:r>
            <w:r w:rsidR="43734B83" w:rsidRPr="43734B83">
              <w:rPr>
                <w:rFonts w:eastAsia="Calibri" w:cs="Calibri"/>
              </w:rPr>
              <w:t>244</w:t>
            </w:r>
          </w:p>
        </w:tc>
        <w:tc>
          <w:tcPr>
            <w:tcW w:w="1208" w:type="pct"/>
          </w:tcPr>
          <w:p w14:paraId="64728B9F" w14:textId="09AEAA5C" w:rsidR="43734B83" w:rsidRDefault="43734B83">
            <w:r w:rsidRPr="43734B83">
              <w:rPr>
                <w:rFonts w:eastAsia="Calibri" w:cs="Calibri"/>
              </w:rPr>
              <w:t>Smokers, 79% veterans; 5% female; average age 50; average cigarettes per day 24</w:t>
            </w:r>
          </w:p>
        </w:tc>
        <w:tc>
          <w:tcPr>
            <w:tcW w:w="1427" w:type="pct"/>
          </w:tcPr>
          <w:p w14:paraId="7B06312D" w14:textId="27367F93" w:rsidR="43734B83" w:rsidRDefault="43734B83" w:rsidP="00C324F3">
            <w:pPr>
              <w:pStyle w:val="ListParagraph"/>
              <w:numPr>
                <w:ilvl w:val="0"/>
                <w:numId w:val="247"/>
              </w:numPr>
              <w:rPr>
                <w:rFonts w:eastAsia="Calibri" w:cs="Calibri"/>
              </w:rPr>
            </w:pPr>
            <w:r w:rsidRPr="43734B83">
              <w:t>Bupropion and nicotine patch. Bupropion at 300 mg for 7 weeks. Nicotine patch for 2 months</w:t>
            </w:r>
          </w:p>
          <w:p w14:paraId="62FBBDEB" w14:textId="10575DC0" w:rsidR="43734B83" w:rsidRDefault="43734B83" w:rsidP="00C324F3">
            <w:pPr>
              <w:pStyle w:val="ListParagraph"/>
              <w:numPr>
                <w:ilvl w:val="0"/>
                <w:numId w:val="247"/>
              </w:numPr>
              <w:rPr>
                <w:rFonts w:eastAsia="Calibri" w:cs="Calibri"/>
              </w:rPr>
            </w:pPr>
            <w:r w:rsidRPr="43734B83">
              <w:t>Placebo bupropion and nicotine patch. Schedules as above</w:t>
            </w:r>
          </w:p>
          <w:p w14:paraId="78B4B93D" w14:textId="4B1892A1" w:rsidR="43734B83" w:rsidRDefault="43734B83">
            <w:r w:rsidRPr="43734B83">
              <w:rPr>
                <w:rFonts w:eastAsia="Calibri" w:cs="Calibri"/>
              </w:rPr>
              <w:t xml:space="preserve"> </w:t>
            </w:r>
          </w:p>
          <w:p w14:paraId="1B10A6D2" w14:textId="38C9AB28" w:rsidR="43734B83" w:rsidRDefault="43734B83">
            <w:r w:rsidRPr="00791D84">
              <w:rPr>
                <w:rFonts w:eastAsia="Calibri" w:cs="Calibri"/>
                <w:u w:val="single"/>
              </w:rPr>
              <w:t>Common components:</w:t>
            </w:r>
            <w:r w:rsidRPr="43734B83">
              <w:rPr>
                <w:rFonts w:eastAsia="Calibri" w:cs="Calibri"/>
              </w:rPr>
              <w:t xml:space="preserve"> 3 months CBT counselling, self-help materials and telephone follow-up counselling</w:t>
            </w:r>
          </w:p>
        </w:tc>
        <w:tc>
          <w:tcPr>
            <w:tcW w:w="800" w:type="pct"/>
          </w:tcPr>
          <w:p w14:paraId="1D2054FA" w14:textId="316FD8DD" w:rsidR="43734B83" w:rsidRDefault="43734B83">
            <w:r w:rsidRPr="004A1A7E">
              <w:rPr>
                <w:rFonts w:eastAsia="Calibri" w:cs="Calibri"/>
                <w:u w:val="single"/>
              </w:rPr>
              <w:t>Efficacy:</w:t>
            </w:r>
            <w:r w:rsidRPr="43734B83">
              <w:rPr>
                <w:rFonts w:eastAsia="Calibri" w:cs="Calibri"/>
              </w:rPr>
              <w:t xml:space="preserve"> Smoking cessation. </w:t>
            </w:r>
            <w:r w:rsidR="00861C61" w:rsidRPr="43734B83">
              <w:rPr>
                <w:rFonts w:eastAsia="Calibri" w:cs="Calibri"/>
              </w:rPr>
              <w:t>Sustained</w:t>
            </w:r>
            <w:r w:rsidRPr="43734B83">
              <w:rPr>
                <w:rFonts w:eastAsia="Calibri" w:cs="Calibri"/>
              </w:rPr>
              <w:t xml:space="preserve"> abstinence at 12 months (sustained at multiple follow ups). Validated by saliva cotinine.</w:t>
            </w:r>
          </w:p>
          <w:p w14:paraId="5455B6E3" w14:textId="56AE0A1D" w:rsidR="43734B83" w:rsidRDefault="43734B83">
            <w:r w:rsidRPr="43734B83">
              <w:rPr>
                <w:rFonts w:eastAsia="Calibri" w:cs="Calibri"/>
              </w:rPr>
              <w:t xml:space="preserve"> </w:t>
            </w:r>
          </w:p>
          <w:p w14:paraId="34A7C0D9" w14:textId="3F952957" w:rsidR="43734B83" w:rsidRDefault="43734B83">
            <w:r w:rsidRPr="004A1A7E">
              <w:rPr>
                <w:rFonts w:eastAsia="Calibri" w:cs="Calibri"/>
                <w:u w:val="single"/>
              </w:rPr>
              <w:t>Safety:</w:t>
            </w:r>
            <w:r w:rsidRPr="43734B83">
              <w:rPr>
                <w:rFonts w:eastAsia="Calibri" w:cs="Calibri"/>
              </w:rPr>
              <w:t xml:space="preserve"> Adverse events measured for 8 weeks</w:t>
            </w:r>
          </w:p>
        </w:tc>
      </w:tr>
      <w:tr w:rsidR="43734B83" w14:paraId="310AD330" w14:textId="77777777" w:rsidTr="00EA7016">
        <w:tc>
          <w:tcPr>
            <w:tcW w:w="479" w:type="pct"/>
          </w:tcPr>
          <w:p w14:paraId="7D200D89" w14:textId="2B99991D" w:rsidR="43734B83" w:rsidRPr="00AB757C" w:rsidRDefault="43734B83">
            <w:pPr>
              <w:rPr>
                <w:rFonts w:eastAsia="Calibri" w:cs="Calibri"/>
              </w:rPr>
            </w:pPr>
            <w:r w:rsidRPr="00AB757C">
              <w:rPr>
                <w:rFonts w:eastAsia="Calibri" w:cs="Calibri"/>
              </w:rPr>
              <w:t xml:space="preserve">Piper </w:t>
            </w:r>
            <w:r w:rsidR="00AB757C">
              <w:rPr>
                <w:rFonts w:eastAsia="Calibri" w:cs="Calibri"/>
              </w:rPr>
              <w:t>(</w:t>
            </w:r>
            <w:r w:rsidRPr="00AB757C">
              <w:rPr>
                <w:rFonts w:eastAsia="Calibri" w:cs="Calibri"/>
              </w:rPr>
              <w:t>2009</w:t>
            </w:r>
            <w:r w:rsidR="00AB757C">
              <w:rPr>
                <w:rFonts w:eastAsia="Calibri" w:cs="Calibri"/>
              </w:rPr>
              <w:t>)</w:t>
            </w:r>
          </w:p>
        </w:tc>
        <w:tc>
          <w:tcPr>
            <w:tcW w:w="367" w:type="pct"/>
          </w:tcPr>
          <w:p w14:paraId="60359EE3" w14:textId="022095D5" w:rsidR="43734B83" w:rsidRDefault="43734B83">
            <w:r w:rsidRPr="43734B83">
              <w:rPr>
                <w:rFonts w:eastAsia="Calibri" w:cs="Calibri"/>
              </w:rPr>
              <w:t>RCT</w:t>
            </w:r>
          </w:p>
        </w:tc>
        <w:tc>
          <w:tcPr>
            <w:tcW w:w="389" w:type="pct"/>
          </w:tcPr>
          <w:p w14:paraId="1E9C39C4" w14:textId="1BE3BE2A" w:rsidR="43734B83" w:rsidRDefault="43734B83">
            <w:r w:rsidRPr="43734B83">
              <w:rPr>
                <w:rFonts w:eastAsia="Calibri" w:cs="Calibri"/>
              </w:rPr>
              <w:t>USA</w:t>
            </w:r>
          </w:p>
        </w:tc>
        <w:tc>
          <w:tcPr>
            <w:tcW w:w="330" w:type="pct"/>
          </w:tcPr>
          <w:p w14:paraId="5EC2BE02" w14:textId="6026D0E1" w:rsidR="43734B83" w:rsidRDefault="00F2109D">
            <w:r>
              <w:rPr>
                <w:rFonts w:eastAsia="Calibri" w:cs="Calibri"/>
              </w:rPr>
              <w:t>N=</w:t>
            </w:r>
            <w:r w:rsidR="43734B83" w:rsidRPr="43734B83">
              <w:rPr>
                <w:rFonts w:eastAsia="Calibri" w:cs="Calibri"/>
              </w:rPr>
              <w:t>1504</w:t>
            </w:r>
          </w:p>
        </w:tc>
        <w:tc>
          <w:tcPr>
            <w:tcW w:w="1208" w:type="pct"/>
          </w:tcPr>
          <w:p w14:paraId="3184523C" w14:textId="10C5F178" w:rsidR="43734B83" w:rsidRDefault="43734B83">
            <w:r w:rsidRPr="43734B83">
              <w:rPr>
                <w:rFonts w:eastAsia="Calibri" w:cs="Calibri"/>
              </w:rPr>
              <w:t>Smokers; 58% female; average age 45; average cigarettes per day 21.4</w:t>
            </w:r>
          </w:p>
        </w:tc>
        <w:tc>
          <w:tcPr>
            <w:tcW w:w="1427" w:type="pct"/>
          </w:tcPr>
          <w:p w14:paraId="27CA9CBE" w14:textId="11C71EA0" w:rsidR="43734B83" w:rsidRDefault="43734B83" w:rsidP="00C324F3">
            <w:pPr>
              <w:pStyle w:val="ListParagraph"/>
              <w:numPr>
                <w:ilvl w:val="0"/>
                <w:numId w:val="246"/>
              </w:numPr>
              <w:rPr>
                <w:rFonts w:eastAsia="Calibri" w:cs="Calibri"/>
              </w:rPr>
            </w:pPr>
            <w:r w:rsidRPr="43734B83">
              <w:t>Bupropion SR. 150 mg twice/day, 1 week pre-quit, 8 weeks post-quit</w:t>
            </w:r>
          </w:p>
          <w:p w14:paraId="311525A1" w14:textId="7DD69C82" w:rsidR="43734B83" w:rsidRDefault="43734B83" w:rsidP="00C324F3">
            <w:pPr>
              <w:pStyle w:val="ListParagraph"/>
              <w:numPr>
                <w:ilvl w:val="0"/>
                <w:numId w:val="246"/>
              </w:numPr>
              <w:rPr>
                <w:rFonts w:eastAsia="Calibri" w:cs="Calibri"/>
              </w:rPr>
            </w:pPr>
            <w:r w:rsidRPr="43734B83">
              <w:t>Bupropion and nicotine lozenge. Duration and dosage as below</w:t>
            </w:r>
          </w:p>
          <w:p w14:paraId="47FC7615" w14:textId="5816215E" w:rsidR="43734B83" w:rsidRDefault="43734B83" w:rsidP="00C324F3">
            <w:pPr>
              <w:pStyle w:val="ListParagraph"/>
              <w:numPr>
                <w:ilvl w:val="0"/>
                <w:numId w:val="246"/>
              </w:numPr>
              <w:rPr>
                <w:rFonts w:eastAsia="Calibri" w:cs="Calibri"/>
              </w:rPr>
            </w:pPr>
            <w:r w:rsidRPr="43734B83">
              <w:t>Nicotine lozenge. 2 mg or 4 mg for 12 weeks (based on dose-for-dependence level as per instructions)</w:t>
            </w:r>
          </w:p>
          <w:p w14:paraId="0BC00408" w14:textId="513417E0" w:rsidR="43734B83" w:rsidRDefault="43734B83" w:rsidP="00C324F3">
            <w:pPr>
              <w:pStyle w:val="ListParagraph"/>
              <w:numPr>
                <w:ilvl w:val="0"/>
                <w:numId w:val="246"/>
              </w:numPr>
              <w:rPr>
                <w:rFonts w:eastAsia="Calibri" w:cs="Calibri"/>
              </w:rPr>
            </w:pPr>
            <w:r w:rsidRPr="43734B83">
              <w:t>Nicotine patch (24 hr, 21, 14, and 7 mg titrated down over 8 weeks period post-quit)</w:t>
            </w:r>
          </w:p>
          <w:p w14:paraId="1F166AE0" w14:textId="1D645874" w:rsidR="43734B83" w:rsidRDefault="43734B83" w:rsidP="00C324F3">
            <w:pPr>
              <w:pStyle w:val="ListParagraph"/>
              <w:numPr>
                <w:ilvl w:val="0"/>
                <w:numId w:val="246"/>
              </w:numPr>
              <w:rPr>
                <w:rFonts w:eastAsia="Calibri" w:cs="Calibri"/>
              </w:rPr>
            </w:pPr>
            <w:r w:rsidRPr="43734B83">
              <w:t>Nicotine lozenge and nicotine patch. Duration and dosage as above</w:t>
            </w:r>
          </w:p>
          <w:p w14:paraId="084FAC7D" w14:textId="7756D08C" w:rsidR="43734B83" w:rsidRDefault="43734B83" w:rsidP="00C324F3">
            <w:pPr>
              <w:pStyle w:val="ListParagraph"/>
              <w:numPr>
                <w:ilvl w:val="0"/>
                <w:numId w:val="246"/>
              </w:numPr>
              <w:rPr>
                <w:rFonts w:eastAsia="Calibri" w:cs="Calibri"/>
              </w:rPr>
            </w:pPr>
            <w:r w:rsidRPr="43734B83">
              <w:lastRenderedPageBreak/>
              <w:t>Placebo bupropion</w:t>
            </w:r>
          </w:p>
          <w:p w14:paraId="613595F0" w14:textId="19A83FCC" w:rsidR="43734B83" w:rsidRDefault="43734B83" w:rsidP="00C324F3">
            <w:pPr>
              <w:pStyle w:val="ListParagraph"/>
              <w:numPr>
                <w:ilvl w:val="0"/>
                <w:numId w:val="246"/>
              </w:numPr>
              <w:rPr>
                <w:rFonts w:eastAsia="Calibri" w:cs="Calibri"/>
              </w:rPr>
            </w:pPr>
            <w:r w:rsidRPr="43734B83">
              <w:t>Placebo bupropion and placebo lozenge</w:t>
            </w:r>
          </w:p>
          <w:p w14:paraId="5F6EFC85" w14:textId="505E8D20" w:rsidR="43734B83" w:rsidRDefault="43734B83" w:rsidP="00C324F3">
            <w:pPr>
              <w:pStyle w:val="ListParagraph"/>
              <w:numPr>
                <w:ilvl w:val="0"/>
                <w:numId w:val="246"/>
              </w:numPr>
              <w:rPr>
                <w:rFonts w:eastAsia="Calibri" w:cs="Calibri"/>
              </w:rPr>
            </w:pPr>
            <w:r w:rsidRPr="43734B83">
              <w:t>Placebo lozenge</w:t>
            </w:r>
          </w:p>
          <w:p w14:paraId="07F80022" w14:textId="4C20E6C4" w:rsidR="43734B83" w:rsidRDefault="43734B83" w:rsidP="00C324F3">
            <w:pPr>
              <w:pStyle w:val="ListParagraph"/>
              <w:numPr>
                <w:ilvl w:val="0"/>
                <w:numId w:val="246"/>
              </w:numPr>
              <w:rPr>
                <w:rFonts w:eastAsia="Calibri" w:cs="Calibri"/>
              </w:rPr>
            </w:pPr>
            <w:r w:rsidRPr="43734B83">
              <w:t>Placebo patch Placebo lozenge and placebo patch</w:t>
            </w:r>
          </w:p>
          <w:p w14:paraId="7432E78B" w14:textId="1FD25C4A" w:rsidR="43734B83" w:rsidRDefault="43734B83">
            <w:r w:rsidRPr="43734B83">
              <w:rPr>
                <w:rFonts w:eastAsia="Calibri" w:cs="Calibri"/>
              </w:rPr>
              <w:t xml:space="preserve"> </w:t>
            </w:r>
          </w:p>
          <w:p w14:paraId="4CEA8C8C" w14:textId="3A776E32" w:rsidR="43734B83" w:rsidRDefault="43734B83">
            <w:r w:rsidRPr="00791D84">
              <w:rPr>
                <w:rFonts w:eastAsia="Calibri" w:cs="Calibri"/>
                <w:u w:val="single"/>
              </w:rPr>
              <w:t>Common components:</w:t>
            </w:r>
            <w:r w:rsidRPr="43734B83">
              <w:rPr>
                <w:rFonts w:eastAsia="Calibri" w:cs="Calibri"/>
              </w:rPr>
              <w:t xml:space="preserve"> 7 one-to-one 10 to 20-min counselling sessions</w:t>
            </w:r>
          </w:p>
        </w:tc>
        <w:tc>
          <w:tcPr>
            <w:tcW w:w="800" w:type="pct"/>
          </w:tcPr>
          <w:p w14:paraId="42377928" w14:textId="65AFD05B" w:rsidR="43734B83" w:rsidRDefault="43734B83">
            <w:r w:rsidRPr="004A1A7E">
              <w:rPr>
                <w:rFonts w:eastAsia="Calibri" w:cs="Calibri"/>
                <w:u w:val="single"/>
              </w:rPr>
              <w:lastRenderedPageBreak/>
              <w:t>Efficacy:</w:t>
            </w:r>
            <w:r w:rsidRPr="43734B83">
              <w:rPr>
                <w:rFonts w:eastAsia="Calibri" w:cs="Calibri"/>
              </w:rPr>
              <w:t xml:space="preserve"> Smoking cessation: 7-day PPA at 6 months. Validated by CO &lt; 10 ppm</w:t>
            </w:r>
          </w:p>
          <w:p w14:paraId="286134F9" w14:textId="22CC1A08" w:rsidR="43734B83" w:rsidRDefault="43734B83">
            <w:r w:rsidRPr="43734B83">
              <w:rPr>
                <w:rFonts w:eastAsia="Calibri" w:cs="Calibri"/>
              </w:rPr>
              <w:t xml:space="preserve"> </w:t>
            </w:r>
          </w:p>
          <w:p w14:paraId="073DD715" w14:textId="585FBEDA" w:rsidR="43734B83" w:rsidRDefault="43734B83">
            <w:r w:rsidRPr="004A1A7E">
              <w:rPr>
                <w:rFonts w:eastAsia="Calibri" w:cs="Calibri"/>
                <w:u w:val="single"/>
              </w:rPr>
              <w:t>Safety:</w:t>
            </w:r>
            <w:r w:rsidRPr="43734B83">
              <w:rPr>
                <w:rFonts w:eastAsia="Calibri" w:cs="Calibri"/>
              </w:rPr>
              <w:t xml:space="preserve"> Adverse events measured for 10 weeks</w:t>
            </w:r>
          </w:p>
          <w:p w14:paraId="5A0A4374" w14:textId="6881D7D0" w:rsidR="43734B83" w:rsidRDefault="43734B83">
            <w:r w:rsidRPr="43734B83">
              <w:rPr>
                <w:rFonts w:eastAsia="Calibri" w:cs="Calibri"/>
              </w:rPr>
              <w:t xml:space="preserve"> </w:t>
            </w:r>
          </w:p>
        </w:tc>
      </w:tr>
      <w:tr w:rsidR="43734B83" w14:paraId="1FFACDF4" w14:textId="77777777" w:rsidTr="00EA7016">
        <w:tc>
          <w:tcPr>
            <w:tcW w:w="479" w:type="pct"/>
          </w:tcPr>
          <w:p w14:paraId="33A51D76" w14:textId="25471D83" w:rsidR="43734B83" w:rsidRPr="00AB757C" w:rsidRDefault="43734B83">
            <w:pPr>
              <w:rPr>
                <w:rFonts w:eastAsia="Calibri" w:cs="Calibri"/>
              </w:rPr>
            </w:pPr>
            <w:r w:rsidRPr="00AB757C">
              <w:rPr>
                <w:rFonts w:eastAsia="Calibri" w:cs="Calibri"/>
              </w:rPr>
              <w:t xml:space="preserve">Smith </w:t>
            </w:r>
            <w:r w:rsidR="00AB757C">
              <w:rPr>
                <w:rFonts w:eastAsia="Calibri" w:cs="Calibri"/>
              </w:rPr>
              <w:t>(</w:t>
            </w:r>
            <w:r w:rsidRPr="00AB757C">
              <w:rPr>
                <w:rFonts w:eastAsia="Calibri" w:cs="Calibri"/>
              </w:rPr>
              <w:t>2009</w:t>
            </w:r>
            <w:r w:rsidR="00AB757C">
              <w:rPr>
                <w:rFonts w:eastAsia="Calibri" w:cs="Calibri"/>
              </w:rPr>
              <w:t>)</w:t>
            </w:r>
          </w:p>
        </w:tc>
        <w:tc>
          <w:tcPr>
            <w:tcW w:w="367" w:type="pct"/>
          </w:tcPr>
          <w:p w14:paraId="763B904F" w14:textId="49D9798B" w:rsidR="43734B83" w:rsidRDefault="43734B83">
            <w:r w:rsidRPr="43734B83">
              <w:rPr>
                <w:rFonts w:eastAsia="Calibri" w:cs="Calibri"/>
              </w:rPr>
              <w:t>RCT</w:t>
            </w:r>
          </w:p>
        </w:tc>
        <w:tc>
          <w:tcPr>
            <w:tcW w:w="389" w:type="pct"/>
          </w:tcPr>
          <w:p w14:paraId="21BBAAB3" w14:textId="53558541" w:rsidR="43734B83" w:rsidRDefault="43734B83">
            <w:r w:rsidRPr="43734B83">
              <w:rPr>
                <w:rFonts w:eastAsia="Calibri" w:cs="Calibri"/>
              </w:rPr>
              <w:t>USA</w:t>
            </w:r>
          </w:p>
        </w:tc>
        <w:tc>
          <w:tcPr>
            <w:tcW w:w="330" w:type="pct"/>
          </w:tcPr>
          <w:p w14:paraId="72DC65D5" w14:textId="4C283A61" w:rsidR="43734B83" w:rsidRDefault="00F2109D">
            <w:r>
              <w:rPr>
                <w:rFonts w:eastAsia="Calibri" w:cs="Calibri"/>
              </w:rPr>
              <w:t>N=</w:t>
            </w:r>
            <w:r w:rsidR="43734B83" w:rsidRPr="43734B83">
              <w:rPr>
                <w:rFonts w:eastAsia="Calibri" w:cs="Calibri"/>
              </w:rPr>
              <w:t>1346</w:t>
            </w:r>
          </w:p>
        </w:tc>
        <w:tc>
          <w:tcPr>
            <w:tcW w:w="1208" w:type="pct"/>
          </w:tcPr>
          <w:p w14:paraId="187FEDEE" w14:textId="1F688290" w:rsidR="43734B83" w:rsidRDefault="43734B83">
            <w:r w:rsidRPr="43734B83">
              <w:rPr>
                <w:rFonts w:eastAsia="Calibri" w:cs="Calibri"/>
              </w:rPr>
              <w:t>Smokers; 56% female; average age 44; average cigarettes per day 20.3</w:t>
            </w:r>
          </w:p>
        </w:tc>
        <w:tc>
          <w:tcPr>
            <w:tcW w:w="1427" w:type="pct"/>
          </w:tcPr>
          <w:p w14:paraId="1C140591" w14:textId="433AD0C2" w:rsidR="43734B83" w:rsidRDefault="43734B83" w:rsidP="00C324F3">
            <w:pPr>
              <w:pStyle w:val="ListParagraph"/>
              <w:numPr>
                <w:ilvl w:val="0"/>
                <w:numId w:val="245"/>
              </w:numPr>
              <w:rPr>
                <w:rFonts w:eastAsia="Calibri" w:cs="Calibri"/>
              </w:rPr>
            </w:pPr>
            <w:r w:rsidRPr="43734B83">
              <w:t>Bupropion. Up-titrated during week pre-quitting, 150 mg twice/day for 8 weeks post-quit</w:t>
            </w:r>
          </w:p>
          <w:p w14:paraId="6DE5FB2E" w14:textId="557B8894" w:rsidR="43734B83" w:rsidRDefault="43734B83" w:rsidP="00C324F3">
            <w:pPr>
              <w:pStyle w:val="ListParagraph"/>
              <w:numPr>
                <w:ilvl w:val="0"/>
                <w:numId w:val="245"/>
              </w:numPr>
              <w:rPr>
                <w:rFonts w:eastAsia="Calibri" w:cs="Calibri"/>
              </w:rPr>
            </w:pPr>
            <w:r w:rsidRPr="43734B83">
              <w:t>Nicotine lozenge. 4 mg lozenge if first cigarette of day smoked &gt; 30 min after waking, 2 mg otherwise. 1 lozenge every 1-2 hrs post-quit week 1-6; 1 lozenge every 2-4 hrs week 7-9; 1 lozenge every 4-8 hours week 10-12</w:t>
            </w:r>
          </w:p>
          <w:p w14:paraId="0709A96E" w14:textId="04A07DF1" w:rsidR="43734B83" w:rsidRDefault="43734B83" w:rsidP="00C324F3">
            <w:pPr>
              <w:pStyle w:val="ListParagraph"/>
              <w:numPr>
                <w:ilvl w:val="0"/>
                <w:numId w:val="245"/>
              </w:numPr>
              <w:rPr>
                <w:rFonts w:eastAsia="Calibri" w:cs="Calibri"/>
              </w:rPr>
            </w:pPr>
            <w:r w:rsidRPr="43734B83">
              <w:t>Nicotine patch. 21 mg post-quit week 1-4; 14 mg week 5-6; 7 mg week 7-8 • Bupropion and nicotine lozenge. Dosing as above</w:t>
            </w:r>
          </w:p>
          <w:p w14:paraId="54DC2DD2" w14:textId="171348BF" w:rsidR="43734B83" w:rsidRDefault="43734B83" w:rsidP="00C324F3">
            <w:pPr>
              <w:pStyle w:val="ListParagraph"/>
              <w:numPr>
                <w:ilvl w:val="0"/>
                <w:numId w:val="245"/>
              </w:numPr>
              <w:rPr>
                <w:rFonts w:eastAsia="Calibri" w:cs="Calibri"/>
              </w:rPr>
            </w:pPr>
            <w:r w:rsidRPr="43734B83">
              <w:t>Nicotine patch and nicotine lozenge. Dosing as above</w:t>
            </w:r>
          </w:p>
          <w:p w14:paraId="1C90FB9B" w14:textId="4C0F5F0D" w:rsidR="43734B83" w:rsidRDefault="43734B83">
            <w:r w:rsidRPr="43734B83">
              <w:rPr>
                <w:rFonts w:eastAsia="Calibri" w:cs="Calibri"/>
              </w:rPr>
              <w:t xml:space="preserve"> </w:t>
            </w:r>
          </w:p>
          <w:p w14:paraId="351EC0AD" w14:textId="5B0C88C1" w:rsidR="43734B83" w:rsidRDefault="43734B83">
            <w:r w:rsidRPr="00791D84">
              <w:rPr>
                <w:rFonts w:eastAsia="Calibri" w:cs="Calibri"/>
                <w:u w:val="single"/>
              </w:rPr>
              <w:t>Common components:</w:t>
            </w:r>
            <w:r w:rsidRPr="43734B83">
              <w:rPr>
                <w:rFonts w:eastAsia="Calibri" w:cs="Calibri"/>
              </w:rPr>
              <w:t xml:space="preserve"> quitline counselling (state provided). All participants received initial session, then could elect to receive up to 4 additional calls + could call for additional support if required.</w:t>
            </w:r>
          </w:p>
        </w:tc>
        <w:tc>
          <w:tcPr>
            <w:tcW w:w="800" w:type="pct"/>
          </w:tcPr>
          <w:p w14:paraId="3D2FB7FD" w14:textId="215F64F2" w:rsidR="43734B83" w:rsidRDefault="43734B83">
            <w:r w:rsidRPr="004A1A7E">
              <w:rPr>
                <w:rFonts w:eastAsia="Calibri" w:cs="Calibri"/>
                <w:u w:val="single"/>
              </w:rPr>
              <w:t>Efficacy:</w:t>
            </w:r>
            <w:r w:rsidRPr="43734B83">
              <w:rPr>
                <w:rFonts w:eastAsia="Calibri" w:cs="Calibri"/>
              </w:rPr>
              <w:t xml:space="preserve"> Abstinence definition. 7-day PPA at 6 months. No validation method specified</w:t>
            </w:r>
          </w:p>
          <w:p w14:paraId="1D310224" w14:textId="4142B9A7" w:rsidR="43734B83" w:rsidRDefault="43734B83">
            <w:r w:rsidRPr="43734B83">
              <w:rPr>
                <w:rFonts w:eastAsia="Calibri" w:cs="Calibri"/>
              </w:rPr>
              <w:t xml:space="preserve"> </w:t>
            </w:r>
          </w:p>
          <w:p w14:paraId="254C391D" w14:textId="6C299FA3" w:rsidR="43734B83" w:rsidRDefault="43734B83">
            <w:r w:rsidRPr="004A1A7E">
              <w:rPr>
                <w:rFonts w:eastAsia="Calibri" w:cs="Calibri"/>
                <w:u w:val="single"/>
              </w:rPr>
              <w:t>Safety:</w:t>
            </w:r>
            <w:r w:rsidRPr="43734B83">
              <w:rPr>
                <w:rFonts w:eastAsia="Calibri" w:cs="Calibri"/>
              </w:rPr>
              <w:t xml:space="preserve"> Adverse events measured for unspecified period</w:t>
            </w:r>
          </w:p>
          <w:p w14:paraId="01AA192D" w14:textId="43E4B600" w:rsidR="43734B83" w:rsidRDefault="43734B83">
            <w:r w:rsidRPr="43734B83">
              <w:rPr>
                <w:rFonts w:eastAsia="Calibri" w:cs="Calibri"/>
              </w:rPr>
              <w:t xml:space="preserve"> </w:t>
            </w:r>
          </w:p>
        </w:tc>
      </w:tr>
      <w:tr w:rsidR="43734B83" w14:paraId="414355DF" w14:textId="77777777" w:rsidTr="00EA7016">
        <w:tc>
          <w:tcPr>
            <w:tcW w:w="479" w:type="pct"/>
          </w:tcPr>
          <w:p w14:paraId="32DEDC28" w14:textId="5F6C5D02" w:rsidR="43734B83" w:rsidRDefault="43734B83">
            <w:r w:rsidRPr="00AB757C">
              <w:rPr>
                <w:rFonts w:eastAsia="Calibri" w:cs="Calibri"/>
              </w:rPr>
              <w:t xml:space="preserve">Stapleton </w:t>
            </w:r>
            <w:r w:rsidR="009C4EF2">
              <w:rPr>
                <w:rFonts w:eastAsia="Calibri" w:cs="Calibri"/>
              </w:rPr>
              <w:t>(</w:t>
            </w:r>
            <w:r w:rsidRPr="00AB757C">
              <w:rPr>
                <w:rFonts w:eastAsia="Calibri" w:cs="Calibri"/>
              </w:rPr>
              <w:t>2013</w:t>
            </w:r>
            <w:r w:rsidR="009C4EF2">
              <w:rPr>
                <w:rFonts w:eastAsia="Calibri" w:cs="Calibri"/>
              </w:rPr>
              <w:t>)</w:t>
            </w:r>
          </w:p>
        </w:tc>
        <w:tc>
          <w:tcPr>
            <w:tcW w:w="367" w:type="pct"/>
          </w:tcPr>
          <w:p w14:paraId="75CEB37F" w14:textId="3747D7BD" w:rsidR="43734B83" w:rsidRDefault="43734B83">
            <w:r w:rsidRPr="43734B83">
              <w:rPr>
                <w:rFonts w:eastAsia="Calibri" w:cs="Calibri"/>
              </w:rPr>
              <w:t>RCT</w:t>
            </w:r>
          </w:p>
        </w:tc>
        <w:tc>
          <w:tcPr>
            <w:tcW w:w="389" w:type="pct"/>
          </w:tcPr>
          <w:p w14:paraId="78534BA1" w14:textId="34C8D988" w:rsidR="43734B83" w:rsidRDefault="43734B83">
            <w:r w:rsidRPr="43734B83">
              <w:rPr>
                <w:rFonts w:eastAsia="Calibri" w:cs="Calibri"/>
              </w:rPr>
              <w:t>UK</w:t>
            </w:r>
          </w:p>
        </w:tc>
        <w:tc>
          <w:tcPr>
            <w:tcW w:w="330" w:type="pct"/>
          </w:tcPr>
          <w:p w14:paraId="2B3E3F60" w14:textId="3E5471A2" w:rsidR="43734B83" w:rsidRDefault="00F2109D">
            <w:r>
              <w:rPr>
                <w:rFonts w:eastAsia="Calibri" w:cs="Calibri"/>
              </w:rPr>
              <w:t>N=</w:t>
            </w:r>
            <w:r w:rsidR="43734B83" w:rsidRPr="43734B83">
              <w:rPr>
                <w:rFonts w:eastAsia="Calibri" w:cs="Calibri"/>
              </w:rPr>
              <w:t>1071</w:t>
            </w:r>
          </w:p>
        </w:tc>
        <w:tc>
          <w:tcPr>
            <w:tcW w:w="1208" w:type="pct"/>
          </w:tcPr>
          <w:p w14:paraId="1CBC0C33" w14:textId="329EA513" w:rsidR="43734B83" w:rsidRDefault="43734B83">
            <w:r w:rsidRPr="43734B83">
              <w:rPr>
                <w:rFonts w:eastAsia="Calibri" w:cs="Calibri"/>
              </w:rPr>
              <w:t>Daily smokers; 53% female; average age 41; average cigarettes per day 20</w:t>
            </w:r>
          </w:p>
        </w:tc>
        <w:tc>
          <w:tcPr>
            <w:tcW w:w="1427" w:type="pct"/>
          </w:tcPr>
          <w:p w14:paraId="01137A72" w14:textId="0FC21E2B" w:rsidR="43734B83" w:rsidRDefault="43734B83" w:rsidP="00C324F3">
            <w:pPr>
              <w:pStyle w:val="ListParagraph"/>
              <w:numPr>
                <w:ilvl w:val="0"/>
                <w:numId w:val="244"/>
              </w:numPr>
              <w:rPr>
                <w:rFonts w:eastAsia="Calibri" w:cs="Calibri"/>
              </w:rPr>
            </w:pPr>
            <w:r w:rsidRPr="43734B83">
              <w:t>Bupropion 8 weeks, started prior to TQD (exact period not specified), 150 mg/d for first 6 day, then 300 mg for remainder</w:t>
            </w:r>
          </w:p>
          <w:p w14:paraId="32D8DF0F" w14:textId="3677C777" w:rsidR="43734B83" w:rsidRDefault="43734B83" w:rsidP="00C324F3">
            <w:pPr>
              <w:pStyle w:val="ListParagraph"/>
              <w:numPr>
                <w:ilvl w:val="0"/>
                <w:numId w:val="244"/>
              </w:numPr>
              <w:rPr>
                <w:rFonts w:eastAsia="Calibri" w:cs="Calibri"/>
              </w:rPr>
            </w:pPr>
            <w:r w:rsidRPr="43734B83">
              <w:lastRenderedPageBreak/>
              <w:t>Bupropion and NRT. Bupropion as above. NRT given as choice of single product, 12 weeks started on TQD, dosage determined on individual basis</w:t>
            </w:r>
          </w:p>
          <w:p w14:paraId="5821B727" w14:textId="17E13AB8" w:rsidR="43734B83" w:rsidRDefault="43734B83" w:rsidP="00C324F3">
            <w:pPr>
              <w:pStyle w:val="ListParagraph"/>
              <w:numPr>
                <w:ilvl w:val="0"/>
                <w:numId w:val="244"/>
              </w:numPr>
              <w:rPr>
                <w:rFonts w:eastAsia="Calibri" w:cs="Calibri"/>
              </w:rPr>
            </w:pPr>
            <w:r w:rsidRPr="43734B83">
              <w:t>NRT</w:t>
            </w:r>
            <w:r w:rsidR="009F0B1A">
              <w:t xml:space="preserve"> a</w:t>
            </w:r>
            <w:r w:rsidRPr="43734B83">
              <w:t>s above</w:t>
            </w:r>
          </w:p>
          <w:p w14:paraId="63A65BD1" w14:textId="4A6FF12F" w:rsidR="43734B83" w:rsidRDefault="43734B83">
            <w:r w:rsidRPr="43734B83">
              <w:rPr>
                <w:rFonts w:eastAsia="Calibri" w:cs="Calibri"/>
              </w:rPr>
              <w:t xml:space="preserve"> </w:t>
            </w:r>
          </w:p>
          <w:p w14:paraId="0DDF0012" w14:textId="46DEBC30" w:rsidR="43734B83" w:rsidRDefault="43734B83">
            <w:r w:rsidRPr="00791D84">
              <w:rPr>
                <w:rFonts w:eastAsia="Calibri" w:cs="Calibri"/>
                <w:u w:val="single"/>
              </w:rPr>
              <w:t>Common components:</w:t>
            </w:r>
            <w:r w:rsidRPr="43734B83">
              <w:rPr>
                <w:rFonts w:eastAsia="Calibri" w:cs="Calibri"/>
              </w:rPr>
              <w:t xml:space="preserve"> 7 weekly behavioural support sessions as per standard service protocol. Mainly group, 60-90 mins each</w:t>
            </w:r>
          </w:p>
        </w:tc>
        <w:tc>
          <w:tcPr>
            <w:tcW w:w="800" w:type="pct"/>
          </w:tcPr>
          <w:p w14:paraId="06B37FC4" w14:textId="40072C1A" w:rsidR="43734B83" w:rsidRDefault="43734B83">
            <w:r w:rsidRPr="004A1A7E">
              <w:rPr>
                <w:rFonts w:eastAsia="Calibri" w:cs="Calibri"/>
                <w:u w:val="single"/>
              </w:rPr>
              <w:lastRenderedPageBreak/>
              <w:t>Efficacy:</w:t>
            </w:r>
            <w:r w:rsidRPr="43734B83">
              <w:rPr>
                <w:rFonts w:eastAsia="Calibri" w:cs="Calibri"/>
              </w:rPr>
              <w:t xml:space="preserve"> Smoking cessation: prolonged abstinence at 6 months. Validated by CO &lt; 10 ppm</w:t>
            </w:r>
          </w:p>
          <w:p w14:paraId="557BFA47" w14:textId="786CB390" w:rsidR="43734B83" w:rsidRDefault="43734B83">
            <w:r w:rsidRPr="43734B83">
              <w:rPr>
                <w:rFonts w:eastAsia="Calibri" w:cs="Calibri"/>
              </w:rPr>
              <w:lastRenderedPageBreak/>
              <w:t xml:space="preserve"> </w:t>
            </w:r>
          </w:p>
          <w:p w14:paraId="3653AA37" w14:textId="13DE2661" w:rsidR="43734B83" w:rsidRDefault="43734B83">
            <w:r w:rsidRPr="004A1A7E">
              <w:rPr>
                <w:rFonts w:eastAsia="Calibri" w:cs="Calibri"/>
                <w:u w:val="single"/>
              </w:rPr>
              <w:t>Safety:</w:t>
            </w:r>
            <w:r w:rsidRPr="43734B83">
              <w:rPr>
                <w:rFonts w:eastAsia="Calibri" w:cs="Calibri"/>
              </w:rPr>
              <w:t xml:space="preserve"> Adverse events measured for unspecified period</w:t>
            </w:r>
          </w:p>
          <w:p w14:paraId="51D2AA07" w14:textId="1290F94F" w:rsidR="43734B83" w:rsidRDefault="43734B83" w:rsidP="43734B83">
            <w:pPr>
              <w:rPr>
                <w:rFonts w:eastAsia="Calibri" w:cs="Calibri"/>
              </w:rPr>
            </w:pPr>
          </w:p>
        </w:tc>
      </w:tr>
    </w:tbl>
    <w:p w14:paraId="0766E654" w14:textId="087933FE" w:rsidR="004F17E4" w:rsidRPr="009B042A" w:rsidRDefault="004F17E4" w:rsidP="00EA7016">
      <w:pPr>
        <w:pStyle w:val="TableFooter"/>
        <w:keepNext/>
        <w:jc w:val="both"/>
      </w:pPr>
      <w:r>
        <w:lastRenderedPageBreak/>
        <w:t>Source: Howes</w:t>
      </w:r>
      <w:r w:rsidRPr="008B0097">
        <w:t xml:space="preserve"> et al. (20</w:t>
      </w:r>
      <w:r>
        <w:t>20).</w:t>
      </w:r>
      <w:r w:rsidRPr="009B042A">
        <w:t xml:space="preserve"> </w:t>
      </w:r>
    </w:p>
    <w:p w14:paraId="119ED1C7" w14:textId="61488E39" w:rsidR="004F17E4" w:rsidRDefault="004F17E4" w:rsidP="00EA7016">
      <w:pPr>
        <w:pStyle w:val="TableFooter"/>
        <w:keepNext/>
        <w:spacing w:after="120"/>
        <w:contextualSpacing w:val="0"/>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478C22ED" w14:textId="77777777" w:rsidR="00EA7016" w:rsidRDefault="00EA7016">
      <w:pPr>
        <w:spacing w:line="276" w:lineRule="auto"/>
        <w:rPr>
          <w:rFonts w:asciiTheme="minorHAnsi" w:eastAsia="Times New Roman" w:hAnsiTheme="minorHAnsi" w:cs="Times New Roman"/>
          <w:b/>
          <w:bCs/>
          <w:szCs w:val="18"/>
        </w:rPr>
      </w:pPr>
      <w:bookmarkStart w:id="347" w:name="_Ref62076146"/>
      <w:r>
        <w:br w:type="page"/>
      </w:r>
    </w:p>
    <w:p w14:paraId="10843BF7" w14:textId="3649DD6A" w:rsidR="00FA7B18" w:rsidRDefault="00FA7B18"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160</w:t>
      </w:r>
      <w:r w:rsidR="00BF3F75">
        <w:rPr>
          <w:noProof/>
        </w:rPr>
        <w:fldChar w:fldCharType="end"/>
      </w:r>
      <w:bookmarkEnd w:id="347"/>
      <w:r>
        <w:t xml:space="preserve">: </w:t>
      </w:r>
      <w:r w:rsidRPr="00570503">
        <w:t xml:space="preserve">Characteristics of studies included in </w:t>
      </w:r>
      <w:r>
        <w:t>Livingstone-Banks</w:t>
      </w:r>
      <w:r w:rsidRPr="00570503">
        <w:t xml:space="preserve"> et al. (20</w:t>
      </w:r>
      <w:r>
        <w:t>19</w:t>
      </w:r>
      <w:r w:rsidRPr="00570503">
        <w:t xml:space="preserve">), bupropion plus NRT versus </w:t>
      </w:r>
      <w:r>
        <w:t>placebo (relapse prevention)</w:t>
      </w:r>
    </w:p>
    <w:tbl>
      <w:tblPr>
        <w:tblStyle w:val="TableGrid"/>
        <w:tblW w:w="5000" w:type="pct"/>
        <w:tblLook w:val="04A0" w:firstRow="1" w:lastRow="0" w:firstColumn="1" w:lastColumn="0" w:noHBand="0" w:noVBand="1"/>
      </w:tblPr>
      <w:tblGrid>
        <w:gridCol w:w="1026"/>
        <w:gridCol w:w="1130"/>
        <w:gridCol w:w="1233"/>
        <w:gridCol w:w="907"/>
        <w:gridCol w:w="3509"/>
        <w:gridCol w:w="3925"/>
        <w:gridCol w:w="2218"/>
      </w:tblGrid>
      <w:tr w:rsidR="1EEEA2B8" w14:paraId="1198B84B" w14:textId="77777777" w:rsidTr="00EA7016">
        <w:tc>
          <w:tcPr>
            <w:tcW w:w="368" w:type="pct"/>
            <w:shd w:val="clear" w:color="auto" w:fill="A6A6A6" w:themeFill="background1" w:themeFillShade="A6"/>
          </w:tcPr>
          <w:p w14:paraId="63FF5D2F" w14:textId="79124D78" w:rsidR="1EEEA2B8" w:rsidRDefault="1EEEA2B8">
            <w:r w:rsidRPr="1EEEA2B8">
              <w:rPr>
                <w:rFonts w:eastAsia="Calibri" w:cs="Calibri"/>
                <w:b/>
                <w:bCs/>
              </w:rPr>
              <w:t>Study</w:t>
            </w:r>
          </w:p>
        </w:tc>
        <w:tc>
          <w:tcPr>
            <w:tcW w:w="405" w:type="pct"/>
            <w:shd w:val="clear" w:color="auto" w:fill="A6A6A6" w:themeFill="background1" w:themeFillShade="A6"/>
          </w:tcPr>
          <w:p w14:paraId="3DB0B235" w14:textId="4D64F025" w:rsidR="1EEEA2B8" w:rsidRDefault="1EEEA2B8" w:rsidP="1EEEA2B8">
            <w:pPr>
              <w:jc w:val="center"/>
            </w:pPr>
            <w:r w:rsidRPr="1EEEA2B8">
              <w:rPr>
                <w:rFonts w:eastAsia="Calibri" w:cs="Calibri"/>
                <w:b/>
                <w:bCs/>
                <w:color w:val="000000" w:themeColor="text1"/>
              </w:rPr>
              <w:t>Study type</w:t>
            </w:r>
          </w:p>
        </w:tc>
        <w:tc>
          <w:tcPr>
            <w:tcW w:w="442" w:type="pct"/>
            <w:shd w:val="clear" w:color="auto" w:fill="A6A6A6" w:themeFill="background1" w:themeFillShade="A6"/>
          </w:tcPr>
          <w:p w14:paraId="7CA7EFB3" w14:textId="608179B2" w:rsidR="1EEEA2B8" w:rsidRDefault="1EEEA2B8" w:rsidP="1EEEA2B8">
            <w:pPr>
              <w:jc w:val="center"/>
            </w:pPr>
            <w:r w:rsidRPr="1EEEA2B8">
              <w:rPr>
                <w:rFonts w:eastAsia="Calibri" w:cs="Calibri"/>
                <w:b/>
                <w:bCs/>
                <w:color w:val="000000" w:themeColor="text1"/>
              </w:rPr>
              <w:t>Countries</w:t>
            </w:r>
          </w:p>
        </w:tc>
        <w:tc>
          <w:tcPr>
            <w:tcW w:w="325" w:type="pct"/>
            <w:shd w:val="clear" w:color="auto" w:fill="A6A6A6" w:themeFill="background1" w:themeFillShade="A6"/>
          </w:tcPr>
          <w:p w14:paraId="2082CC1A" w14:textId="6AF8C787" w:rsidR="1EEEA2B8" w:rsidRDefault="1EEEA2B8" w:rsidP="1EEEA2B8">
            <w:pPr>
              <w:jc w:val="center"/>
            </w:pPr>
            <w:r w:rsidRPr="1EEEA2B8">
              <w:rPr>
                <w:rFonts w:eastAsia="Calibri" w:cs="Calibri"/>
                <w:b/>
                <w:bCs/>
                <w:color w:val="000000" w:themeColor="text1"/>
              </w:rPr>
              <w:t>N</w:t>
            </w:r>
          </w:p>
        </w:tc>
        <w:tc>
          <w:tcPr>
            <w:tcW w:w="1258" w:type="pct"/>
            <w:shd w:val="clear" w:color="auto" w:fill="A6A6A6" w:themeFill="background1" w:themeFillShade="A6"/>
          </w:tcPr>
          <w:p w14:paraId="45A01F4D" w14:textId="164B1C27" w:rsidR="1EEEA2B8" w:rsidRDefault="1EEEA2B8" w:rsidP="1EEEA2B8">
            <w:pPr>
              <w:jc w:val="center"/>
            </w:pPr>
            <w:r w:rsidRPr="1EEEA2B8">
              <w:rPr>
                <w:rFonts w:eastAsia="Calibri" w:cs="Calibri"/>
                <w:b/>
                <w:bCs/>
                <w:color w:val="000000" w:themeColor="text1"/>
              </w:rPr>
              <w:t>Population</w:t>
            </w:r>
          </w:p>
        </w:tc>
        <w:tc>
          <w:tcPr>
            <w:tcW w:w="1407" w:type="pct"/>
            <w:shd w:val="clear" w:color="auto" w:fill="A6A6A6" w:themeFill="background1" w:themeFillShade="A6"/>
          </w:tcPr>
          <w:p w14:paraId="5CC9A325" w14:textId="7C91A673" w:rsidR="1EEEA2B8" w:rsidRDefault="1EEEA2B8" w:rsidP="1EEEA2B8">
            <w:pPr>
              <w:jc w:val="center"/>
            </w:pPr>
            <w:r w:rsidRPr="1EEEA2B8">
              <w:rPr>
                <w:rFonts w:eastAsia="Calibri" w:cs="Calibri"/>
                <w:b/>
                <w:bCs/>
                <w:color w:val="000000" w:themeColor="text1"/>
              </w:rPr>
              <w:t>Intervention and comparator</w:t>
            </w:r>
          </w:p>
        </w:tc>
        <w:tc>
          <w:tcPr>
            <w:tcW w:w="795" w:type="pct"/>
            <w:shd w:val="clear" w:color="auto" w:fill="A6A6A6" w:themeFill="background1" w:themeFillShade="A6"/>
          </w:tcPr>
          <w:p w14:paraId="0751AFD6" w14:textId="1B95F8C3" w:rsidR="1EEEA2B8" w:rsidRDefault="1EEEA2B8" w:rsidP="1EEEA2B8">
            <w:pPr>
              <w:jc w:val="center"/>
            </w:pPr>
            <w:r w:rsidRPr="1EEEA2B8">
              <w:rPr>
                <w:rFonts w:eastAsia="Calibri" w:cs="Calibri"/>
                <w:b/>
                <w:bCs/>
                <w:color w:val="000000" w:themeColor="text1"/>
              </w:rPr>
              <w:t>Outcomes</w:t>
            </w:r>
          </w:p>
        </w:tc>
      </w:tr>
      <w:tr w:rsidR="1EEEA2B8" w14:paraId="421A56E0" w14:textId="77777777" w:rsidTr="00EA7016">
        <w:tc>
          <w:tcPr>
            <w:tcW w:w="368" w:type="pct"/>
          </w:tcPr>
          <w:p w14:paraId="3F710A38" w14:textId="7AE568CC" w:rsidR="1EEEA2B8" w:rsidRDefault="1EEEA2B8">
            <w:r w:rsidRPr="1EEEA2B8">
              <w:rPr>
                <w:rFonts w:eastAsia="Calibri" w:cs="Calibri"/>
              </w:rPr>
              <w:t xml:space="preserve">Covey </w:t>
            </w:r>
            <w:r w:rsidR="00151B37">
              <w:rPr>
                <w:rFonts w:eastAsia="Calibri" w:cs="Calibri"/>
              </w:rPr>
              <w:t>(</w:t>
            </w:r>
            <w:r w:rsidRPr="1EEEA2B8">
              <w:rPr>
                <w:rFonts w:eastAsia="Calibri" w:cs="Calibri"/>
              </w:rPr>
              <w:t>2007</w:t>
            </w:r>
            <w:r w:rsidR="00151B37">
              <w:rPr>
                <w:rFonts w:eastAsia="Calibri" w:cs="Calibri"/>
              </w:rPr>
              <w:t>)</w:t>
            </w:r>
          </w:p>
        </w:tc>
        <w:tc>
          <w:tcPr>
            <w:tcW w:w="405" w:type="pct"/>
          </w:tcPr>
          <w:p w14:paraId="3A864ABA" w14:textId="3AB89CD6" w:rsidR="1EEEA2B8" w:rsidRDefault="1EEEA2B8">
            <w:r w:rsidRPr="1EEEA2B8">
              <w:rPr>
                <w:rFonts w:eastAsia="Calibri" w:cs="Calibri"/>
              </w:rPr>
              <w:t>RCT</w:t>
            </w:r>
          </w:p>
        </w:tc>
        <w:tc>
          <w:tcPr>
            <w:tcW w:w="442" w:type="pct"/>
          </w:tcPr>
          <w:p w14:paraId="6D71453C" w14:textId="6A0846B0" w:rsidR="1EEEA2B8" w:rsidRDefault="1EEEA2B8">
            <w:r w:rsidRPr="1EEEA2B8">
              <w:rPr>
                <w:rFonts w:eastAsia="Calibri" w:cs="Calibri"/>
              </w:rPr>
              <w:t>USA</w:t>
            </w:r>
          </w:p>
        </w:tc>
        <w:tc>
          <w:tcPr>
            <w:tcW w:w="325" w:type="pct"/>
          </w:tcPr>
          <w:p w14:paraId="06294149" w14:textId="489817E3" w:rsidR="1EEEA2B8" w:rsidRDefault="00F2109D">
            <w:r>
              <w:rPr>
                <w:rFonts w:eastAsia="Calibri" w:cs="Calibri"/>
              </w:rPr>
              <w:t>N=</w:t>
            </w:r>
            <w:r w:rsidR="1EEEA2B8" w:rsidRPr="1EEEA2B8">
              <w:rPr>
                <w:rFonts w:eastAsia="Calibri" w:cs="Calibri"/>
              </w:rPr>
              <w:t>289</w:t>
            </w:r>
          </w:p>
        </w:tc>
        <w:tc>
          <w:tcPr>
            <w:tcW w:w="1258" w:type="pct"/>
          </w:tcPr>
          <w:p w14:paraId="3615BAFB" w14:textId="1C974C35" w:rsidR="1EEEA2B8" w:rsidRDefault="1EEEA2B8">
            <w:r w:rsidRPr="1EEEA2B8">
              <w:rPr>
                <w:rFonts w:eastAsia="Calibri" w:cs="Calibri"/>
              </w:rPr>
              <w:t xml:space="preserve">Abstainers (excludes 5 withdrawing consent before starting medication) 45% female, average age 43, average </w:t>
            </w:r>
            <w:r w:rsidR="00151B37">
              <w:rPr>
                <w:rFonts w:eastAsia="Calibri" w:cs="Calibri"/>
              </w:rPr>
              <w:t>CPD</w:t>
            </w:r>
            <w:r w:rsidRPr="1EEEA2B8">
              <w:rPr>
                <w:rFonts w:eastAsia="Calibri" w:cs="Calibri"/>
              </w:rPr>
              <w:t xml:space="preserve"> 21 Therapists: counsellors, 1-month training</w:t>
            </w:r>
          </w:p>
        </w:tc>
        <w:tc>
          <w:tcPr>
            <w:tcW w:w="1407" w:type="pct"/>
          </w:tcPr>
          <w:p w14:paraId="0CDE2D03" w14:textId="4211A8A2" w:rsidR="1EEEA2B8" w:rsidRDefault="1EEEA2B8" w:rsidP="00C324F3">
            <w:pPr>
              <w:pStyle w:val="ListParagraph"/>
              <w:numPr>
                <w:ilvl w:val="0"/>
                <w:numId w:val="256"/>
              </w:numPr>
              <w:rPr>
                <w:rFonts w:eastAsia="Calibri" w:cs="Calibri"/>
              </w:rPr>
            </w:pPr>
            <w:r w:rsidRPr="1EEEA2B8">
              <w:t>Bupropion (300 mg) and nicotine gum (2 mg, use as needed to manage craving) for 16 weeks.</w:t>
            </w:r>
          </w:p>
          <w:p w14:paraId="5786EC64" w14:textId="7EC53F5A" w:rsidR="1EEEA2B8" w:rsidRDefault="1EEEA2B8" w:rsidP="00C324F3">
            <w:pPr>
              <w:pStyle w:val="ListParagraph"/>
              <w:numPr>
                <w:ilvl w:val="0"/>
                <w:numId w:val="256"/>
              </w:numPr>
              <w:rPr>
                <w:rFonts w:eastAsia="Calibri" w:cs="Calibri"/>
              </w:rPr>
            </w:pPr>
            <w:r w:rsidRPr="1EEEA2B8">
              <w:t>Bupropion and placebo gum</w:t>
            </w:r>
          </w:p>
          <w:p w14:paraId="5DBDE39B" w14:textId="00CB62BE" w:rsidR="1EEEA2B8" w:rsidRDefault="1EEEA2B8">
            <w:r w:rsidRPr="1EEEA2B8">
              <w:rPr>
                <w:rFonts w:eastAsia="Calibri" w:cs="Calibri"/>
              </w:rPr>
              <w:t>Nicotine gum and placebo pill (150 mg bupropion for first week)</w:t>
            </w:r>
          </w:p>
          <w:p w14:paraId="452711D9" w14:textId="5F5C8B6F" w:rsidR="1EEEA2B8" w:rsidRDefault="1EEEA2B8">
            <w:r w:rsidRPr="1EEEA2B8">
              <w:rPr>
                <w:rFonts w:eastAsia="Calibri" w:cs="Calibri"/>
              </w:rPr>
              <w:t>Double placebo (150 mg bupropion for first week)</w:t>
            </w:r>
          </w:p>
          <w:p w14:paraId="6FB6C7D7" w14:textId="0EDF8067" w:rsidR="1EEEA2B8" w:rsidRDefault="1EEEA2B8">
            <w:r w:rsidRPr="1EEEA2B8">
              <w:rPr>
                <w:rFonts w:eastAsia="Calibri" w:cs="Calibri"/>
              </w:rPr>
              <w:t xml:space="preserve"> </w:t>
            </w:r>
          </w:p>
          <w:p w14:paraId="14DF49FC" w14:textId="33A6BCB9" w:rsidR="1EEEA2B8" w:rsidRDefault="1EEEA2B8">
            <w:r w:rsidRPr="00C324F3">
              <w:rPr>
                <w:rFonts w:eastAsia="Calibri"/>
                <w:u w:val="single"/>
              </w:rPr>
              <w:t>Common components:</w:t>
            </w:r>
            <w:r w:rsidRPr="1EEEA2B8">
              <w:rPr>
                <w:rFonts w:eastAsia="Calibri" w:cs="Calibri"/>
              </w:rPr>
              <w:t xml:space="preserve"> All participants received 8 weeks open-label bupropion and nicotine patch (21 mg with weaning) for 7 weeks from TQD. Transition procedures preserved blinding for the relapse prevention phase but allowed weaning from bupropion. Individual counselling, including CBT techniques, 15 minutes × 6 during open label, × 4 during relapse prevention, × 2 during follow-up.</w:t>
            </w:r>
          </w:p>
        </w:tc>
        <w:tc>
          <w:tcPr>
            <w:tcW w:w="795" w:type="pct"/>
          </w:tcPr>
          <w:p w14:paraId="34AC6224" w14:textId="4B4CAE94" w:rsidR="1EEEA2B8" w:rsidRDefault="1EEEA2B8">
            <w:r w:rsidRPr="00C324F3">
              <w:rPr>
                <w:rFonts w:eastAsia="Calibri"/>
                <w:u w:val="single"/>
              </w:rPr>
              <w:t>Efficacy:</w:t>
            </w:r>
            <w:r w:rsidRPr="1EEEA2B8">
              <w:rPr>
                <w:rFonts w:eastAsia="Calibri" w:cs="Calibri"/>
              </w:rPr>
              <w:t xml:space="preserve"> Abstinence (no relapse to 7 days of smoking) for 12 months (10 months after randomisation, 6 months after EOT) (primary outcome for study was time to relapse) Validation: CO ≤ 8 ppm at each visit</w:t>
            </w:r>
          </w:p>
          <w:p w14:paraId="4F2C8A2C" w14:textId="22013FA0" w:rsidR="1EEEA2B8" w:rsidRDefault="1EEEA2B8">
            <w:r w:rsidRPr="1EEEA2B8">
              <w:rPr>
                <w:rFonts w:eastAsia="Calibri" w:cs="Calibri"/>
              </w:rPr>
              <w:t xml:space="preserve"> </w:t>
            </w:r>
          </w:p>
          <w:p w14:paraId="2E5D4FC1" w14:textId="2E6401F3" w:rsidR="1EEEA2B8" w:rsidRDefault="1EEEA2B8">
            <w:r w:rsidRPr="00C324F3">
              <w:rPr>
                <w:rFonts w:eastAsia="Calibri"/>
                <w:u w:val="single"/>
              </w:rPr>
              <w:t>Safety:</w:t>
            </w:r>
            <w:r w:rsidRPr="1EEEA2B8">
              <w:rPr>
                <w:rFonts w:eastAsia="Calibri" w:cs="Calibri"/>
              </w:rPr>
              <w:t xml:space="preserve"> NR</w:t>
            </w:r>
          </w:p>
          <w:p w14:paraId="68BDAC25" w14:textId="57A00FF8" w:rsidR="1EEEA2B8" w:rsidRDefault="1EEEA2B8">
            <w:r w:rsidRPr="1EEEA2B8">
              <w:rPr>
                <w:rFonts w:eastAsia="Calibri" w:cs="Calibri"/>
              </w:rPr>
              <w:t xml:space="preserve"> </w:t>
            </w:r>
          </w:p>
        </w:tc>
      </w:tr>
      <w:tr w:rsidR="1EEEA2B8" w14:paraId="223B78E4" w14:textId="77777777" w:rsidTr="00EA7016">
        <w:tc>
          <w:tcPr>
            <w:tcW w:w="368" w:type="pct"/>
          </w:tcPr>
          <w:p w14:paraId="42430F2A" w14:textId="655FE228" w:rsidR="1EEEA2B8" w:rsidRDefault="1EEEA2B8">
            <w:r w:rsidRPr="1EEEA2B8">
              <w:rPr>
                <w:rFonts w:eastAsia="Calibri" w:cs="Calibri"/>
              </w:rPr>
              <w:t xml:space="preserve">Croghan </w:t>
            </w:r>
            <w:r w:rsidR="00151B37">
              <w:rPr>
                <w:rFonts w:eastAsia="Calibri" w:cs="Calibri"/>
              </w:rPr>
              <w:t>(</w:t>
            </w:r>
            <w:r w:rsidRPr="1EEEA2B8">
              <w:rPr>
                <w:rFonts w:eastAsia="Calibri" w:cs="Calibri"/>
              </w:rPr>
              <w:t>2007</w:t>
            </w:r>
            <w:r w:rsidR="00151B37">
              <w:rPr>
                <w:rFonts w:eastAsia="Calibri" w:cs="Calibri"/>
              </w:rPr>
              <w:t>)</w:t>
            </w:r>
          </w:p>
        </w:tc>
        <w:tc>
          <w:tcPr>
            <w:tcW w:w="405" w:type="pct"/>
          </w:tcPr>
          <w:p w14:paraId="06A3B72B" w14:textId="1A7C77D8" w:rsidR="1EEEA2B8" w:rsidRDefault="1EEEA2B8">
            <w:r w:rsidRPr="1EEEA2B8">
              <w:rPr>
                <w:rFonts w:eastAsia="Calibri" w:cs="Calibri"/>
              </w:rPr>
              <w:t>RCT</w:t>
            </w:r>
          </w:p>
        </w:tc>
        <w:tc>
          <w:tcPr>
            <w:tcW w:w="442" w:type="pct"/>
          </w:tcPr>
          <w:p w14:paraId="39B25528" w14:textId="509175F5" w:rsidR="1EEEA2B8" w:rsidRDefault="1EEEA2B8">
            <w:r w:rsidRPr="1EEEA2B8">
              <w:rPr>
                <w:rFonts w:eastAsia="Calibri" w:cs="Calibri"/>
              </w:rPr>
              <w:t>USA</w:t>
            </w:r>
          </w:p>
        </w:tc>
        <w:tc>
          <w:tcPr>
            <w:tcW w:w="325" w:type="pct"/>
          </w:tcPr>
          <w:p w14:paraId="6B9D7CDA" w14:textId="2333FB4E" w:rsidR="1EEEA2B8" w:rsidRDefault="00F2109D">
            <w:r>
              <w:rPr>
                <w:rFonts w:eastAsia="Calibri" w:cs="Calibri"/>
              </w:rPr>
              <w:t>N=</w:t>
            </w:r>
            <w:r w:rsidR="1EEEA2B8" w:rsidRPr="1EEEA2B8">
              <w:rPr>
                <w:rFonts w:eastAsia="Calibri" w:cs="Calibri"/>
              </w:rPr>
              <w:t>405</w:t>
            </w:r>
          </w:p>
        </w:tc>
        <w:tc>
          <w:tcPr>
            <w:tcW w:w="1258" w:type="pct"/>
          </w:tcPr>
          <w:p w14:paraId="14EC45CA" w14:textId="552AC541" w:rsidR="1EEEA2B8" w:rsidRDefault="1EEEA2B8">
            <w:r w:rsidRPr="1EEEA2B8">
              <w:rPr>
                <w:rFonts w:eastAsia="Calibri" w:cs="Calibri"/>
              </w:rPr>
              <w:t>Abstainers after 3 months pharmacotherapy, 74 from inhaler, 141 bupropion, 190 combination</w:t>
            </w:r>
            <w:r w:rsidR="00BD7550">
              <w:rPr>
                <w:rFonts w:eastAsia="Calibri" w:cs="Calibri"/>
              </w:rPr>
              <w:t>.</w:t>
            </w:r>
            <w:r w:rsidRPr="1EEEA2B8">
              <w:rPr>
                <w:rFonts w:eastAsia="Calibri" w:cs="Calibri"/>
              </w:rPr>
              <w:t xml:space="preserve"> Participant characteristics not presented at start of relapse prevention phase</w:t>
            </w:r>
          </w:p>
        </w:tc>
        <w:tc>
          <w:tcPr>
            <w:tcW w:w="1407" w:type="pct"/>
          </w:tcPr>
          <w:p w14:paraId="29282102" w14:textId="4678DEEC" w:rsidR="1EEEA2B8" w:rsidRDefault="1EEEA2B8">
            <w:r w:rsidRPr="1EEEA2B8">
              <w:rPr>
                <w:rFonts w:eastAsia="Calibri" w:cs="Calibri"/>
              </w:rPr>
              <w:t xml:space="preserve">Common components: In cessation phase, participants had been randomly assigned to bupropion (300 mg), nicotine inhaler (up to 16 cartridges/day) or combination. Physician advice at entry, brief (&lt; 10 min) counselling at monthly study visits (total 12 to 18, including relapse prevention phase) and self-help. Abstainers (7day point prevalence after 3 months therapy) eligible for relapse prevention phase relapse prevention intervention randomly assigned single-therapy abstainers to continue cessation therapy or placebo for 9 months Combined therapy abstainers randomly assigned to 4 </w:t>
            </w:r>
            <w:r w:rsidRPr="1EEEA2B8">
              <w:rPr>
                <w:rFonts w:eastAsia="Calibri" w:cs="Calibri"/>
              </w:rPr>
              <w:lastRenderedPageBreak/>
              <w:t>groups: combination, placebo and single therapy, or double placebo</w:t>
            </w:r>
          </w:p>
        </w:tc>
        <w:tc>
          <w:tcPr>
            <w:tcW w:w="795" w:type="pct"/>
          </w:tcPr>
          <w:p w14:paraId="60556DFD" w14:textId="203881F6" w:rsidR="1EEEA2B8" w:rsidRDefault="1EEEA2B8">
            <w:pPr>
              <w:rPr>
                <w:rFonts w:eastAsia="Calibri" w:cs="Calibri"/>
              </w:rPr>
            </w:pPr>
            <w:r w:rsidRPr="00C324F3">
              <w:rPr>
                <w:rFonts w:eastAsia="Calibri"/>
                <w:u w:val="single"/>
              </w:rPr>
              <w:lastRenderedPageBreak/>
              <w:t>Efficacy:</w:t>
            </w:r>
            <w:r w:rsidRPr="41AEDE56">
              <w:rPr>
                <w:rFonts w:eastAsia="Calibri" w:cs="Calibri"/>
              </w:rPr>
              <w:t xml:space="preserve"> Abstinence at 15 months (from TQD, 12 months from relapse prevention start, 3 months from EOT) (PP) Validation: CO ≤ 8 ppm</w:t>
            </w:r>
          </w:p>
          <w:p w14:paraId="18E9A17B" w14:textId="0F5B4B5A" w:rsidR="1EEEA2B8" w:rsidRDefault="1EEEA2B8">
            <w:pPr>
              <w:rPr>
                <w:rFonts w:eastAsia="Calibri" w:cs="Calibri"/>
              </w:rPr>
            </w:pPr>
            <w:r w:rsidRPr="1EEEA2B8">
              <w:rPr>
                <w:rFonts w:eastAsia="Calibri" w:cs="Calibri"/>
              </w:rPr>
              <w:t xml:space="preserve"> </w:t>
            </w:r>
          </w:p>
          <w:p w14:paraId="20BCA98C" w14:textId="40BAE263" w:rsidR="1EEEA2B8" w:rsidRDefault="1EEEA2B8">
            <w:pPr>
              <w:rPr>
                <w:rFonts w:eastAsia="Calibri" w:cs="Calibri"/>
              </w:rPr>
            </w:pPr>
            <w:r w:rsidRPr="00C324F3">
              <w:rPr>
                <w:rFonts w:eastAsia="Calibri"/>
                <w:u w:val="single"/>
              </w:rPr>
              <w:t>Safety:</w:t>
            </w:r>
            <w:r w:rsidRPr="41AEDE56">
              <w:rPr>
                <w:rFonts w:eastAsia="Calibri" w:cs="Calibri"/>
              </w:rPr>
              <w:t xml:space="preserve"> NR</w:t>
            </w:r>
          </w:p>
          <w:p w14:paraId="32E7B479" w14:textId="4E7D60E7" w:rsidR="1EEEA2B8" w:rsidRDefault="1EEEA2B8" w:rsidP="1EEEA2B8">
            <w:pPr>
              <w:rPr>
                <w:rFonts w:eastAsia="Calibri" w:cs="Calibri"/>
              </w:rPr>
            </w:pPr>
          </w:p>
        </w:tc>
      </w:tr>
    </w:tbl>
    <w:p w14:paraId="4DE2D805" w14:textId="1F7CBA0A" w:rsidR="001D607C" w:rsidRPr="009B042A" w:rsidRDefault="001D607C" w:rsidP="00EA7016">
      <w:pPr>
        <w:pStyle w:val="TableFooter"/>
        <w:jc w:val="both"/>
      </w:pPr>
      <w:r>
        <w:t>Source: Livingstone-Banks</w:t>
      </w:r>
      <w:r w:rsidRPr="008B0097">
        <w:t xml:space="preserve"> et al. (2019</w:t>
      </w:r>
      <w:r>
        <w:t>).</w:t>
      </w:r>
      <w:r w:rsidRPr="009B042A">
        <w:t xml:space="preserve"> </w:t>
      </w:r>
    </w:p>
    <w:p w14:paraId="229C5F14" w14:textId="04B1D158" w:rsidR="00C55E04" w:rsidRDefault="001D607C" w:rsidP="00EA7016">
      <w:pPr>
        <w:pStyle w:val="TableFooter"/>
        <w:spacing w:after="120"/>
        <w:contextualSpacing w:val="0"/>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2977C673" w14:textId="77777777" w:rsidR="00EA7016" w:rsidRDefault="00EA7016">
      <w:pPr>
        <w:spacing w:line="276" w:lineRule="auto"/>
        <w:rPr>
          <w:rFonts w:asciiTheme="minorHAnsi" w:eastAsia="Times New Roman" w:hAnsiTheme="minorHAnsi" w:cs="Times New Roman"/>
          <w:b/>
          <w:bCs/>
          <w:szCs w:val="18"/>
        </w:rPr>
      </w:pPr>
      <w:bookmarkStart w:id="348" w:name="_Ref62139712"/>
      <w:r>
        <w:br w:type="page"/>
      </w:r>
    </w:p>
    <w:p w14:paraId="2D87749B" w14:textId="790B3020" w:rsidR="008D6F8C" w:rsidRDefault="008D6F8C"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161</w:t>
      </w:r>
      <w:r w:rsidR="00BF3F75">
        <w:rPr>
          <w:noProof/>
        </w:rPr>
        <w:fldChar w:fldCharType="end"/>
      </w:r>
      <w:bookmarkEnd w:id="348"/>
      <w:r>
        <w:t xml:space="preserve">: </w:t>
      </w:r>
      <w:r w:rsidRPr="00CA635F">
        <w:t>Characteristics of studies included in Lindson et al. (2019), NRT dose</w:t>
      </w:r>
    </w:p>
    <w:tbl>
      <w:tblPr>
        <w:tblStyle w:val="TableGrid"/>
        <w:tblW w:w="5000" w:type="pct"/>
        <w:tblLook w:val="04A0" w:firstRow="1" w:lastRow="0" w:firstColumn="1" w:lastColumn="0" w:noHBand="0" w:noVBand="1"/>
      </w:tblPr>
      <w:tblGrid>
        <w:gridCol w:w="1351"/>
        <w:gridCol w:w="841"/>
        <w:gridCol w:w="1186"/>
        <w:gridCol w:w="974"/>
        <w:gridCol w:w="3883"/>
        <w:gridCol w:w="3721"/>
        <w:gridCol w:w="1992"/>
      </w:tblGrid>
      <w:tr w:rsidR="703B87A8" w14:paraId="0E5755B3" w14:textId="77777777" w:rsidTr="00EA7016">
        <w:tc>
          <w:tcPr>
            <w:tcW w:w="484" w:type="pct"/>
            <w:shd w:val="clear" w:color="auto" w:fill="A6A6A6" w:themeFill="background1" w:themeFillShade="A6"/>
          </w:tcPr>
          <w:p w14:paraId="1F31BE3D" w14:textId="697B45A1" w:rsidR="703B87A8" w:rsidRDefault="703B87A8">
            <w:r w:rsidRPr="703B87A8">
              <w:rPr>
                <w:rFonts w:eastAsia="Calibri" w:cs="Calibri"/>
                <w:b/>
                <w:bCs/>
              </w:rPr>
              <w:t>Study</w:t>
            </w:r>
          </w:p>
        </w:tc>
        <w:tc>
          <w:tcPr>
            <w:tcW w:w="301" w:type="pct"/>
            <w:shd w:val="clear" w:color="auto" w:fill="A6A6A6" w:themeFill="background1" w:themeFillShade="A6"/>
          </w:tcPr>
          <w:p w14:paraId="271BD4F3" w14:textId="0F1CC484" w:rsidR="703B87A8" w:rsidRDefault="703B87A8" w:rsidP="703B87A8">
            <w:pPr>
              <w:jc w:val="center"/>
            </w:pPr>
            <w:r w:rsidRPr="703B87A8">
              <w:rPr>
                <w:rFonts w:eastAsia="Calibri" w:cs="Calibri"/>
                <w:b/>
                <w:bCs/>
                <w:color w:val="000000" w:themeColor="text1"/>
              </w:rPr>
              <w:t>Study type</w:t>
            </w:r>
          </w:p>
        </w:tc>
        <w:tc>
          <w:tcPr>
            <w:tcW w:w="425" w:type="pct"/>
            <w:shd w:val="clear" w:color="auto" w:fill="A6A6A6" w:themeFill="background1" w:themeFillShade="A6"/>
          </w:tcPr>
          <w:p w14:paraId="082D4C3E" w14:textId="1BD3F619" w:rsidR="703B87A8" w:rsidRDefault="703B87A8" w:rsidP="703B87A8">
            <w:pPr>
              <w:jc w:val="center"/>
            </w:pPr>
            <w:r w:rsidRPr="703B87A8">
              <w:rPr>
                <w:rFonts w:eastAsia="Calibri" w:cs="Calibri"/>
                <w:b/>
                <w:bCs/>
                <w:color w:val="000000" w:themeColor="text1"/>
              </w:rPr>
              <w:t>Countries</w:t>
            </w:r>
          </w:p>
        </w:tc>
        <w:tc>
          <w:tcPr>
            <w:tcW w:w="349" w:type="pct"/>
            <w:shd w:val="clear" w:color="auto" w:fill="A6A6A6" w:themeFill="background1" w:themeFillShade="A6"/>
          </w:tcPr>
          <w:p w14:paraId="56CE323A" w14:textId="43A34251" w:rsidR="703B87A8" w:rsidRDefault="703B87A8" w:rsidP="703B87A8">
            <w:pPr>
              <w:jc w:val="center"/>
            </w:pPr>
            <w:r w:rsidRPr="703B87A8">
              <w:rPr>
                <w:rFonts w:eastAsia="Calibri" w:cs="Calibri"/>
                <w:b/>
                <w:bCs/>
                <w:color w:val="000000" w:themeColor="text1"/>
              </w:rPr>
              <w:t>N</w:t>
            </w:r>
          </w:p>
        </w:tc>
        <w:tc>
          <w:tcPr>
            <w:tcW w:w="1392" w:type="pct"/>
            <w:shd w:val="clear" w:color="auto" w:fill="A6A6A6" w:themeFill="background1" w:themeFillShade="A6"/>
          </w:tcPr>
          <w:p w14:paraId="6A290214" w14:textId="49EA7668" w:rsidR="703B87A8" w:rsidRDefault="703B87A8" w:rsidP="703B87A8">
            <w:pPr>
              <w:jc w:val="center"/>
            </w:pPr>
            <w:r w:rsidRPr="703B87A8">
              <w:rPr>
                <w:rFonts w:eastAsia="Calibri" w:cs="Calibri"/>
                <w:b/>
                <w:bCs/>
                <w:color w:val="000000" w:themeColor="text1"/>
              </w:rPr>
              <w:t>Population</w:t>
            </w:r>
          </w:p>
        </w:tc>
        <w:tc>
          <w:tcPr>
            <w:tcW w:w="1334" w:type="pct"/>
            <w:shd w:val="clear" w:color="auto" w:fill="A6A6A6" w:themeFill="background1" w:themeFillShade="A6"/>
          </w:tcPr>
          <w:p w14:paraId="2A173F9D" w14:textId="13FF17B4" w:rsidR="703B87A8" w:rsidRDefault="703B87A8" w:rsidP="703B87A8">
            <w:pPr>
              <w:jc w:val="center"/>
            </w:pPr>
            <w:r w:rsidRPr="703B87A8">
              <w:rPr>
                <w:rFonts w:eastAsia="Calibri" w:cs="Calibri"/>
                <w:b/>
                <w:bCs/>
                <w:color w:val="000000" w:themeColor="text1"/>
              </w:rPr>
              <w:t>Intervention and comparator</w:t>
            </w:r>
          </w:p>
        </w:tc>
        <w:tc>
          <w:tcPr>
            <w:tcW w:w="714" w:type="pct"/>
            <w:shd w:val="clear" w:color="auto" w:fill="A6A6A6" w:themeFill="background1" w:themeFillShade="A6"/>
          </w:tcPr>
          <w:p w14:paraId="3EA1BA7E" w14:textId="1CAB2F9B" w:rsidR="703B87A8" w:rsidRDefault="703B87A8" w:rsidP="703B87A8">
            <w:pPr>
              <w:jc w:val="center"/>
            </w:pPr>
            <w:r w:rsidRPr="703B87A8">
              <w:rPr>
                <w:rFonts w:eastAsia="Calibri" w:cs="Calibri"/>
                <w:b/>
                <w:bCs/>
                <w:color w:val="000000" w:themeColor="text1"/>
              </w:rPr>
              <w:t>Outcomes</w:t>
            </w:r>
          </w:p>
        </w:tc>
      </w:tr>
      <w:tr w:rsidR="703B87A8" w14:paraId="2494604D" w14:textId="77777777" w:rsidTr="00EA7016">
        <w:tc>
          <w:tcPr>
            <w:tcW w:w="484" w:type="pct"/>
          </w:tcPr>
          <w:p w14:paraId="6FFD1DC7" w14:textId="705F2FCD" w:rsidR="703B87A8" w:rsidRPr="001526F0" w:rsidRDefault="703B87A8">
            <w:pPr>
              <w:rPr>
                <w:rFonts w:eastAsia="Calibri" w:cs="Calibri"/>
              </w:rPr>
            </w:pPr>
            <w:r w:rsidRPr="001526F0">
              <w:rPr>
                <w:rFonts w:eastAsia="Calibri"/>
              </w:rPr>
              <w:t xml:space="preserve">TNSG </w:t>
            </w:r>
            <w:r w:rsidR="00594FCC">
              <w:rPr>
                <w:rFonts w:eastAsia="Calibri" w:cs="Calibri"/>
              </w:rPr>
              <w:t>(</w:t>
            </w:r>
            <w:r w:rsidRPr="001526F0">
              <w:rPr>
                <w:rFonts w:eastAsia="Calibri"/>
              </w:rPr>
              <w:t>1991</w:t>
            </w:r>
            <w:r w:rsidR="00594FCC">
              <w:rPr>
                <w:rFonts w:eastAsia="Calibri" w:cs="Calibri"/>
              </w:rPr>
              <w:t>)</w:t>
            </w:r>
          </w:p>
        </w:tc>
        <w:tc>
          <w:tcPr>
            <w:tcW w:w="301" w:type="pct"/>
          </w:tcPr>
          <w:p w14:paraId="1849BAF1" w14:textId="1F8A66FE" w:rsidR="703B87A8" w:rsidRDefault="703B87A8">
            <w:r w:rsidRPr="703B87A8">
              <w:rPr>
                <w:rFonts w:eastAsia="Calibri" w:cs="Calibri"/>
              </w:rPr>
              <w:t>RCT</w:t>
            </w:r>
          </w:p>
        </w:tc>
        <w:tc>
          <w:tcPr>
            <w:tcW w:w="425" w:type="pct"/>
          </w:tcPr>
          <w:p w14:paraId="62DB7321" w14:textId="77AB0C96" w:rsidR="703B87A8" w:rsidRDefault="703B87A8">
            <w:r w:rsidRPr="703B87A8">
              <w:rPr>
                <w:rFonts w:eastAsia="Calibri" w:cs="Calibri"/>
              </w:rPr>
              <w:t>USA</w:t>
            </w:r>
          </w:p>
        </w:tc>
        <w:tc>
          <w:tcPr>
            <w:tcW w:w="349" w:type="pct"/>
          </w:tcPr>
          <w:p w14:paraId="36DC7026" w14:textId="1C3CA193" w:rsidR="703B87A8" w:rsidRDefault="00F2109D">
            <w:r>
              <w:rPr>
                <w:rFonts w:eastAsia="Calibri" w:cs="Calibri"/>
              </w:rPr>
              <w:t>N=</w:t>
            </w:r>
            <w:r w:rsidR="703B87A8" w:rsidRPr="703B87A8">
              <w:rPr>
                <w:rFonts w:eastAsia="Calibri" w:cs="Calibri"/>
              </w:rPr>
              <w:t>808</w:t>
            </w:r>
          </w:p>
        </w:tc>
        <w:tc>
          <w:tcPr>
            <w:tcW w:w="1392" w:type="pct"/>
          </w:tcPr>
          <w:p w14:paraId="2333ABE0" w14:textId="6E4455EB" w:rsidR="703B87A8" w:rsidRDefault="703B87A8">
            <w:r w:rsidRPr="703B87A8">
              <w:rPr>
                <w:rFonts w:eastAsia="Calibri" w:cs="Calibri"/>
              </w:rPr>
              <w:t xml:space="preserve">Unselected smokers 40% men, </w:t>
            </w:r>
            <w:r w:rsidR="00EC221A" w:rsidRPr="703B87A8">
              <w:rPr>
                <w:rFonts w:eastAsia="Calibri" w:cs="Calibri"/>
              </w:rPr>
              <w:t>av</w:t>
            </w:r>
            <w:r w:rsidR="00EC221A">
              <w:rPr>
                <w:rFonts w:eastAsia="Calibri" w:cs="Calibri"/>
              </w:rPr>
              <w:t>erage</w:t>
            </w:r>
            <w:r w:rsidRPr="703B87A8">
              <w:rPr>
                <w:rFonts w:eastAsia="Calibri" w:cs="Calibri"/>
              </w:rPr>
              <w:t xml:space="preserve"> age 43, 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31</w:t>
            </w:r>
          </w:p>
        </w:tc>
        <w:tc>
          <w:tcPr>
            <w:tcW w:w="1334" w:type="pct"/>
          </w:tcPr>
          <w:p w14:paraId="2A0C823B" w14:textId="64724766" w:rsidR="703B87A8" w:rsidRDefault="703B87A8" w:rsidP="00C324F3">
            <w:pPr>
              <w:pStyle w:val="ListParagraph"/>
              <w:numPr>
                <w:ilvl w:val="0"/>
                <w:numId w:val="270"/>
              </w:numPr>
              <w:rPr>
                <w:rFonts w:eastAsia="Calibri" w:cs="Calibri"/>
              </w:rPr>
            </w:pPr>
            <w:r w:rsidRPr="703B87A8">
              <w:t xml:space="preserve">Nicotine patch (21 mg /24-hour, 6 </w:t>
            </w:r>
            <w:r w:rsidR="2942BD6B" w:rsidRPr="2942BD6B">
              <w:t>w</w:t>
            </w:r>
            <w:r w:rsidR="3D5B7659" w:rsidRPr="2942BD6B">
              <w:t>ee</w:t>
            </w:r>
            <w:r w:rsidR="2942BD6B" w:rsidRPr="2942BD6B">
              <w:t>ks</w:t>
            </w:r>
            <w:r w:rsidRPr="703B87A8">
              <w:t>+).</w:t>
            </w:r>
          </w:p>
          <w:p w14:paraId="49AF0A15" w14:textId="7F55E90A" w:rsidR="703B87A8" w:rsidRDefault="703B87A8" w:rsidP="00C324F3">
            <w:pPr>
              <w:pStyle w:val="ListParagraph"/>
              <w:numPr>
                <w:ilvl w:val="0"/>
                <w:numId w:val="270"/>
              </w:numPr>
              <w:rPr>
                <w:rFonts w:eastAsia="Calibri" w:cs="Calibri"/>
              </w:rPr>
            </w:pPr>
            <w:r w:rsidRPr="703B87A8">
              <w:t>Nicotine patch 14 mg 3. Placebo patch</w:t>
            </w:r>
          </w:p>
          <w:p w14:paraId="06788DFB" w14:textId="4C7EA8BE" w:rsidR="703B87A8" w:rsidRDefault="703B87A8">
            <w:r w:rsidRPr="703B87A8">
              <w:rPr>
                <w:rFonts w:eastAsia="Calibri" w:cs="Calibri"/>
              </w:rPr>
              <w:t xml:space="preserve"> </w:t>
            </w:r>
          </w:p>
          <w:p w14:paraId="68BE9B24" w14:textId="7AAB276A" w:rsidR="703B87A8" w:rsidRDefault="703B87A8">
            <w:r w:rsidRPr="00C324F3">
              <w:rPr>
                <w:rFonts w:eastAsia="Calibri"/>
                <w:u w:val="single"/>
              </w:rPr>
              <w:t>Common components:</w:t>
            </w:r>
            <w:r w:rsidRPr="703B87A8">
              <w:rPr>
                <w:rFonts w:eastAsia="Calibri" w:cs="Calibri"/>
              </w:rPr>
              <w:t xml:space="preserve"> Abstainers at end of </w:t>
            </w:r>
            <w:r w:rsidR="2942BD6B" w:rsidRPr="2942BD6B">
              <w:rPr>
                <w:rFonts w:eastAsia="Calibri" w:cs="Calibri"/>
              </w:rPr>
              <w:t>w</w:t>
            </w:r>
            <w:r w:rsidR="69DA9FDA" w:rsidRPr="2942BD6B">
              <w:rPr>
                <w:rFonts w:eastAsia="Calibri" w:cs="Calibri"/>
              </w:rPr>
              <w:t>ee</w:t>
            </w:r>
            <w:r w:rsidR="2942BD6B" w:rsidRPr="2942BD6B">
              <w:rPr>
                <w:rFonts w:eastAsia="Calibri" w:cs="Calibri"/>
              </w:rPr>
              <w:t>k</w:t>
            </w:r>
            <w:r w:rsidRPr="703B87A8">
              <w:rPr>
                <w:rFonts w:eastAsia="Calibri" w:cs="Calibri"/>
              </w:rPr>
              <w:t xml:space="preserve"> 6 entered a randomized blinded trial of weaning</w:t>
            </w:r>
          </w:p>
        </w:tc>
        <w:tc>
          <w:tcPr>
            <w:tcW w:w="714" w:type="pct"/>
          </w:tcPr>
          <w:p w14:paraId="4D847BDF" w14:textId="4EA11068" w:rsidR="0058385F" w:rsidRDefault="703B87A8">
            <w:pPr>
              <w:rPr>
                <w:rFonts w:eastAsia="Calibri" w:cs="Calibri"/>
              </w:rPr>
            </w:pPr>
            <w:r w:rsidRPr="00C324F3">
              <w:rPr>
                <w:rFonts w:eastAsia="Calibri"/>
                <w:u w:val="single"/>
              </w:rPr>
              <w:t>Efficacy:</w:t>
            </w:r>
            <w:r w:rsidRPr="703B87A8">
              <w:rPr>
                <w:rFonts w:eastAsia="Calibri" w:cs="Calibri"/>
              </w:rPr>
              <w:t xml:space="preserve"> Sustained abstinence at 6 m</w:t>
            </w:r>
            <w:r w:rsidR="0058385F">
              <w:rPr>
                <w:rFonts w:eastAsia="Calibri" w:cs="Calibri"/>
              </w:rPr>
              <w:t>onths.</w:t>
            </w:r>
            <w:r w:rsidRPr="703B87A8">
              <w:rPr>
                <w:rFonts w:eastAsia="Calibri" w:cs="Calibri"/>
              </w:rPr>
              <w:t xml:space="preserve"> </w:t>
            </w:r>
          </w:p>
          <w:p w14:paraId="0EEB72E3" w14:textId="360734E1" w:rsidR="703B87A8" w:rsidRDefault="703B87A8">
            <w:r w:rsidRPr="703B87A8">
              <w:rPr>
                <w:rFonts w:eastAsia="Calibri" w:cs="Calibri"/>
              </w:rPr>
              <w:t>Validation: CO &lt; 8 ppm</w:t>
            </w:r>
          </w:p>
          <w:p w14:paraId="017D1F4C" w14:textId="3F85FAC5" w:rsidR="703B87A8" w:rsidRDefault="703B87A8">
            <w:r w:rsidRPr="703B87A8">
              <w:rPr>
                <w:rFonts w:eastAsia="Calibri" w:cs="Calibri"/>
              </w:rPr>
              <w:t xml:space="preserve"> </w:t>
            </w:r>
          </w:p>
          <w:p w14:paraId="22BE17F4" w14:textId="60E7B3B0" w:rsidR="703B87A8" w:rsidRDefault="703B87A8">
            <w:r w:rsidRPr="00C324F3">
              <w:rPr>
                <w:rFonts w:eastAsia="Calibri"/>
                <w:u w:val="single"/>
              </w:rPr>
              <w:t>Safety:</w:t>
            </w:r>
            <w:r w:rsidRPr="703B87A8">
              <w:rPr>
                <w:rFonts w:eastAsia="Calibri" w:cs="Calibri"/>
              </w:rPr>
              <w:t xml:space="preserve"> NR</w:t>
            </w:r>
          </w:p>
        </w:tc>
      </w:tr>
      <w:tr w:rsidR="703B87A8" w14:paraId="546889FD" w14:textId="77777777" w:rsidTr="00EA7016">
        <w:tc>
          <w:tcPr>
            <w:tcW w:w="484" w:type="pct"/>
          </w:tcPr>
          <w:p w14:paraId="347B9850" w14:textId="07602DD7" w:rsidR="703B87A8" w:rsidRPr="001526F0" w:rsidRDefault="703B87A8">
            <w:pPr>
              <w:rPr>
                <w:rFonts w:eastAsia="Calibri" w:cs="Calibri"/>
              </w:rPr>
            </w:pPr>
            <w:r w:rsidRPr="703B87A8">
              <w:rPr>
                <w:rFonts w:eastAsia="Calibri" w:cs="Calibri"/>
              </w:rPr>
              <w:t xml:space="preserve">CEASE </w:t>
            </w:r>
            <w:r w:rsidR="00594FCC">
              <w:rPr>
                <w:rFonts w:eastAsia="Calibri" w:cs="Calibri"/>
              </w:rPr>
              <w:t>(</w:t>
            </w:r>
            <w:r w:rsidRPr="703B87A8">
              <w:rPr>
                <w:rFonts w:eastAsia="Calibri" w:cs="Calibri"/>
              </w:rPr>
              <w:t>1999</w:t>
            </w:r>
            <w:r w:rsidR="00594FCC">
              <w:rPr>
                <w:rFonts w:eastAsia="Calibri" w:cs="Calibri"/>
              </w:rPr>
              <w:t>)</w:t>
            </w:r>
          </w:p>
        </w:tc>
        <w:tc>
          <w:tcPr>
            <w:tcW w:w="301" w:type="pct"/>
          </w:tcPr>
          <w:p w14:paraId="5CBFD5FC" w14:textId="393E6E43" w:rsidR="703B87A8" w:rsidRDefault="703B87A8">
            <w:r w:rsidRPr="703B87A8">
              <w:rPr>
                <w:rFonts w:eastAsia="Calibri" w:cs="Calibri"/>
              </w:rPr>
              <w:t>RCT</w:t>
            </w:r>
          </w:p>
        </w:tc>
        <w:tc>
          <w:tcPr>
            <w:tcW w:w="425" w:type="pct"/>
          </w:tcPr>
          <w:p w14:paraId="3A3BAB62" w14:textId="1ACF8C7A" w:rsidR="703B87A8" w:rsidRDefault="703B87A8">
            <w:r w:rsidRPr="703B87A8">
              <w:rPr>
                <w:rFonts w:eastAsia="Calibri" w:cs="Calibri"/>
              </w:rPr>
              <w:t>17 European countries</w:t>
            </w:r>
          </w:p>
        </w:tc>
        <w:tc>
          <w:tcPr>
            <w:tcW w:w="349" w:type="pct"/>
          </w:tcPr>
          <w:p w14:paraId="2D8C8D30" w14:textId="5D0F4DC1" w:rsidR="703B87A8" w:rsidRDefault="00F2109D">
            <w:r>
              <w:rPr>
                <w:rFonts w:eastAsia="Calibri" w:cs="Calibri"/>
              </w:rPr>
              <w:t>N=</w:t>
            </w:r>
            <w:r w:rsidR="703B87A8" w:rsidRPr="703B87A8">
              <w:rPr>
                <w:rFonts w:eastAsia="Calibri" w:cs="Calibri"/>
              </w:rPr>
              <w:t>3575</w:t>
            </w:r>
          </w:p>
        </w:tc>
        <w:tc>
          <w:tcPr>
            <w:tcW w:w="1392" w:type="pct"/>
          </w:tcPr>
          <w:p w14:paraId="73664292" w14:textId="422D08F3" w:rsidR="703B87A8" w:rsidRDefault="703B87A8">
            <w:r w:rsidRPr="703B87A8">
              <w:rPr>
                <w:rFonts w:eastAsia="Calibri" w:cs="Calibri"/>
              </w:rPr>
              <w:t xml:space="preserve">Smokers (&gt; 14 cpd) 52% men, </w:t>
            </w:r>
            <w:r w:rsidR="00EC221A" w:rsidRPr="703B87A8">
              <w:rPr>
                <w:rFonts w:eastAsia="Calibri" w:cs="Calibri"/>
              </w:rPr>
              <w:t>av</w:t>
            </w:r>
            <w:r w:rsidR="00EC221A">
              <w:rPr>
                <w:rFonts w:eastAsia="Calibri" w:cs="Calibri"/>
              </w:rPr>
              <w:t>erage</w:t>
            </w:r>
            <w:r w:rsidRPr="703B87A8">
              <w:rPr>
                <w:rFonts w:eastAsia="Calibri" w:cs="Calibri"/>
              </w:rPr>
              <w:t xml:space="preserve"> age 41,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27 (34% had previously used NRT)</w:t>
            </w:r>
          </w:p>
        </w:tc>
        <w:tc>
          <w:tcPr>
            <w:tcW w:w="1334" w:type="pct"/>
          </w:tcPr>
          <w:p w14:paraId="1996B3F2" w14:textId="7D2BA9CA" w:rsidR="703B87A8" w:rsidRDefault="703B87A8" w:rsidP="00C324F3">
            <w:pPr>
              <w:pStyle w:val="ListParagraph"/>
              <w:numPr>
                <w:ilvl w:val="0"/>
                <w:numId w:val="269"/>
              </w:numPr>
              <w:rPr>
                <w:rFonts w:eastAsia="Calibri" w:cs="Calibri"/>
              </w:rPr>
            </w:pPr>
            <w:r w:rsidRPr="703B87A8">
              <w:t>25 mg patch for 28 weeks</w:t>
            </w:r>
          </w:p>
          <w:p w14:paraId="11A60759" w14:textId="1D25370B" w:rsidR="703B87A8" w:rsidRDefault="703B87A8" w:rsidP="00C324F3">
            <w:pPr>
              <w:pStyle w:val="ListParagraph"/>
              <w:numPr>
                <w:ilvl w:val="0"/>
                <w:numId w:val="269"/>
              </w:numPr>
              <w:rPr>
                <w:rFonts w:eastAsia="Calibri" w:cs="Calibri"/>
              </w:rPr>
            </w:pPr>
            <w:r w:rsidRPr="703B87A8">
              <w:t>25 mg patch for 12 weeks</w:t>
            </w:r>
          </w:p>
          <w:p w14:paraId="6044BCEB" w14:textId="5AB9E102" w:rsidR="703B87A8" w:rsidRDefault="703B87A8" w:rsidP="00C324F3">
            <w:pPr>
              <w:pStyle w:val="ListParagraph"/>
              <w:numPr>
                <w:ilvl w:val="0"/>
                <w:numId w:val="269"/>
              </w:numPr>
              <w:rPr>
                <w:rFonts w:eastAsia="Calibri" w:cs="Calibri"/>
              </w:rPr>
            </w:pPr>
            <w:r w:rsidRPr="703B87A8">
              <w:t>15 mg patch for 28 weeks</w:t>
            </w:r>
          </w:p>
          <w:p w14:paraId="1C3B7C81" w14:textId="68BA4C54" w:rsidR="703B87A8" w:rsidRDefault="703B87A8" w:rsidP="00C324F3">
            <w:pPr>
              <w:pStyle w:val="ListParagraph"/>
              <w:numPr>
                <w:ilvl w:val="0"/>
                <w:numId w:val="269"/>
              </w:numPr>
              <w:rPr>
                <w:rFonts w:eastAsia="Calibri" w:cs="Calibri"/>
              </w:rPr>
            </w:pPr>
            <w:r w:rsidRPr="703B87A8">
              <w:t>15 mg patch for 12 weeks</w:t>
            </w:r>
          </w:p>
          <w:p w14:paraId="5C1F4537" w14:textId="7DE6820A" w:rsidR="703B87A8" w:rsidRDefault="703B87A8" w:rsidP="00C324F3">
            <w:pPr>
              <w:pStyle w:val="ListParagraph"/>
              <w:numPr>
                <w:ilvl w:val="0"/>
                <w:numId w:val="269"/>
              </w:numPr>
              <w:rPr>
                <w:rFonts w:eastAsia="Calibri" w:cs="Calibri"/>
              </w:rPr>
            </w:pPr>
            <w:r w:rsidRPr="703B87A8">
              <w:t>Placebo</w:t>
            </w:r>
          </w:p>
          <w:p w14:paraId="37DD32CE" w14:textId="5E41C67A" w:rsidR="703B87A8" w:rsidRDefault="703B87A8">
            <w:r w:rsidRPr="703B87A8">
              <w:rPr>
                <w:rFonts w:eastAsia="Calibri" w:cs="Calibri"/>
              </w:rPr>
              <w:t xml:space="preserve"> </w:t>
            </w:r>
          </w:p>
          <w:p w14:paraId="5EFF0ED7" w14:textId="1B083843" w:rsidR="703B87A8" w:rsidRDefault="703B87A8">
            <w:r w:rsidRPr="00C324F3">
              <w:rPr>
                <w:rFonts w:eastAsia="Calibri"/>
                <w:u w:val="single"/>
              </w:rPr>
              <w:t>Common components:</w:t>
            </w:r>
            <w:r w:rsidRPr="703B87A8">
              <w:rPr>
                <w:rFonts w:eastAsia="Calibri" w:cs="Calibri"/>
              </w:rPr>
              <w:t xml:space="preserve"> Factorial design compared 2 patch doses and 2 treatment durations. Dose 15 mg or 25 mg (16-hour), duration of active treatment 28 weeks (incl 4-wk fading) or 12 weeks (incl 4-wk fading).</w:t>
            </w:r>
          </w:p>
        </w:tc>
        <w:tc>
          <w:tcPr>
            <w:tcW w:w="714" w:type="pct"/>
          </w:tcPr>
          <w:p w14:paraId="631B2F8D" w14:textId="7AB970E4" w:rsidR="703B87A8" w:rsidRDefault="703B87A8">
            <w:r w:rsidRPr="00C324F3">
              <w:rPr>
                <w:rFonts w:eastAsia="Calibri"/>
                <w:u w:val="single"/>
              </w:rPr>
              <w:t>Efficacy</w:t>
            </w:r>
            <w:r w:rsidRPr="703B87A8">
              <w:rPr>
                <w:rFonts w:eastAsia="Calibri" w:cs="Calibri"/>
              </w:rPr>
              <w:t>: Prolonged abstinence at 12 m</w:t>
            </w:r>
            <w:r w:rsidR="0058385F">
              <w:rPr>
                <w:rFonts w:eastAsia="Calibri" w:cs="Calibri"/>
              </w:rPr>
              <w:t>onths</w:t>
            </w:r>
            <w:r w:rsidRPr="703B87A8">
              <w:rPr>
                <w:rFonts w:eastAsia="Calibri" w:cs="Calibri"/>
              </w:rPr>
              <w:t>, sustained from w</w:t>
            </w:r>
            <w:r w:rsidR="0058385F">
              <w:rPr>
                <w:rFonts w:eastAsia="Calibri" w:cs="Calibri"/>
              </w:rPr>
              <w:t>ee</w:t>
            </w:r>
            <w:r w:rsidRPr="703B87A8">
              <w:rPr>
                <w:rFonts w:eastAsia="Calibri" w:cs="Calibri"/>
              </w:rPr>
              <w:t>k 2 Validation: expired CO &lt; 10 ppm at each clinic visit</w:t>
            </w:r>
          </w:p>
          <w:p w14:paraId="7E194B44" w14:textId="7DFC2E03" w:rsidR="703B87A8" w:rsidRDefault="703B87A8">
            <w:r w:rsidRPr="703B87A8">
              <w:rPr>
                <w:rFonts w:eastAsia="Calibri" w:cs="Calibri"/>
              </w:rPr>
              <w:t xml:space="preserve"> </w:t>
            </w:r>
          </w:p>
          <w:p w14:paraId="650D230B" w14:textId="4881B966" w:rsidR="703B87A8" w:rsidRDefault="703B87A8">
            <w:r w:rsidRPr="00C324F3">
              <w:rPr>
                <w:rFonts w:eastAsia="Calibri"/>
                <w:u w:val="single"/>
              </w:rPr>
              <w:t>Safety:</w:t>
            </w:r>
            <w:r w:rsidRPr="703B87A8">
              <w:rPr>
                <w:rFonts w:eastAsia="Calibri" w:cs="Calibri"/>
              </w:rPr>
              <w:t xml:space="preserve"> Adverse events. SAEs measured during whole study period, but cardiac AEs reported within 8-week treatment period</w:t>
            </w:r>
          </w:p>
        </w:tc>
      </w:tr>
      <w:tr w:rsidR="703B87A8" w14:paraId="563C084D" w14:textId="77777777" w:rsidTr="00EA7016">
        <w:tc>
          <w:tcPr>
            <w:tcW w:w="484" w:type="pct"/>
          </w:tcPr>
          <w:p w14:paraId="7B1BF281" w14:textId="02CE086B" w:rsidR="703B87A8" w:rsidRDefault="703B87A8">
            <w:r w:rsidRPr="703B87A8">
              <w:rPr>
                <w:rFonts w:eastAsia="Calibri" w:cs="Calibri"/>
              </w:rPr>
              <w:t xml:space="preserve">Killen </w:t>
            </w:r>
            <w:r w:rsidR="00594FCC">
              <w:rPr>
                <w:rFonts w:eastAsia="Calibri" w:cs="Calibri"/>
              </w:rPr>
              <w:t>(</w:t>
            </w:r>
            <w:r w:rsidRPr="703B87A8">
              <w:rPr>
                <w:rFonts w:eastAsia="Calibri" w:cs="Calibri"/>
              </w:rPr>
              <w:t>1999</w:t>
            </w:r>
            <w:r w:rsidR="00594FCC">
              <w:rPr>
                <w:rFonts w:eastAsia="Calibri" w:cs="Calibri"/>
              </w:rPr>
              <w:t>)</w:t>
            </w:r>
          </w:p>
        </w:tc>
        <w:tc>
          <w:tcPr>
            <w:tcW w:w="301" w:type="pct"/>
          </w:tcPr>
          <w:p w14:paraId="444AB9C9" w14:textId="03483B87" w:rsidR="703B87A8" w:rsidRDefault="703B87A8">
            <w:r w:rsidRPr="703B87A8">
              <w:rPr>
                <w:rFonts w:eastAsia="Calibri" w:cs="Calibri"/>
              </w:rPr>
              <w:t>RCT</w:t>
            </w:r>
          </w:p>
        </w:tc>
        <w:tc>
          <w:tcPr>
            <w:tcW w:w="425" w:type="pct"/>
          </w:tcPr>
          <w:p w14:paraId="1C7B4BEF" w14:textId="29536D19" w:rsidR="703B87A8" w:rsidRDefault="703B87A8">
            <w:r w:rsidRPr="703B87A8">
              <w:rPr>
                <w:rFonts w:eastAsia="Calibri" w:cs="Calibri"/>
              </w:rPr>
              <w:t>USA</w:t>
            </w:r>
          </w:p>
        </w:tc>
        <w:tc>
          <w:tcPr>
            <w:tcW w:w="349" w:type="pct"/>
          </w:tcPr>
          <w:p w14:paraId="1FEC29F1" w14:textId="2F26DEA6" w:rsidR="703B87A8" w:rsidRDefault="00F2109D">
            <w:r>
              <w:rPr>
                <w:rFonts w:eastAsia="Calibri" w:cs="Calibri"/>
              </w:rPr>
              <w:t>N=</w:t>
            </w:r>
            <w:r w:rsidR="703B87A8" w:rsidRPr="703B87A8">
              <w:rPr>
                <w:rFonts w:eastAsia="Calibri" w:cs="Calibri"/>
              </w:rPr>
              <w:t>408</w:t>
            </w:r>
          </w:p>
        </w:tc>
        <w:tc>
          <w:tcPr>
            <w:tcW w:w="1392" w:type="pct"/>
          </w:tcPr>
          <w:p w14:paraId="2411C122" w14:textId="4EDB93A7" w:rsidR="703B87A8" w:rsidRDefault="703B87A8">
            <w:r w:rsidRPr="703B87A8">
              <w:rPr>
                <w:rFonts w:eastAsia="Calibri" w:cs="Calibri"/>
              </w:rPr>
              <w:t xml:space="preserve">Heavy smokers (&gt; 25 cpd) 59% men, </w:t>
            </w:r>
            <w:r w:rsidR="00EC221A" w:rsidRPr="703B87A8">
              <w:rPr>
                <w:rFonts w:eastAsia="Calibri" w:cs="Calibri"/>
              </w:rPr>
              <w:t>av</w:t>
            </w:r>
            <w:r w:rsidR="00EC221A">
              <w:rPr>
                <w:rFonts w:eastAsia="Calibri" w:cs="Calibri"/>
              </w:rPr>
              <w:t>erage</w:t>
            </w:r>
            <w:r w:rsidRPr="703B87A8">
              <w:rPr>
                <w:rFonts w:eastAsia="Calibri" w:cs="Calibri"/>
              </w:rPr>
              <w:t xml:space="preserve"> age 47,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36, modified FTND score 18</w:t>
            </w:r>
          </w:p>
        </w:tc>
        <w:tc>
          <w:tcPr>
            <w:tcW w:w="1334" w:type="pct"/>
          </w:tcPr>
          <w:p w14:paraId="2BEB34D3" w14:textId="7DB08BDF" w:rsidR="703B87A8" w:rsidRDefault="703B87A8" w:rsidP="00C324F3">
            <w:pPr>
              <w:pStyle w:val="ListParagraph"/>
              <w:numPr>
                <w:ilvl w:val="0"/>
                <w:numId w:val="268"/>
              </w:numPr>
              <w:rPr>
                <w:rFonts w:eastAsia="Calibri" w:cs="Calibri"/>
              </w:rPr>
            </w:pPr>
            <w:r w:rsidRPr="703B87A8">
              <w:t>25 mg nicotine patch for 6 weeks (16-hour, no tapering)</w:t>
            </w:r>
          </w:p>
          <w:p w14:paraId="218B6DBD" w14:textId="4F8C3B17" w:rsidR="703B87A8" w:rsidRDefault="703B87A8" w:rsidP="00C324F3">
            <w:pPr>
              <w:pStyle w:val="ListParagraph"/>
              <w:numPr>
                <w:ilvl w:val="0"/>
                <w:numId w:val="268"/>
              </w:numPr>
              <w:rPr>
                <w:rFonts w:eastAsia="Calibri" w:cs="Calibri"/>
              </w:rPr>
            </w:pPr>
            <w:r w:rsidRPr="703B87A8">
              <w:t xml:space="preserve">15 mg nicotine patch for 6 weeks </w:t>
            </w:r>
          </w:p>
          <w:p w14:paraId="6172AC5C" w14:textId="3FC4A3B0" w:rsidR="703B87A8" w:rsidRDefault="703B87A8" w:rsidP="00C324F3">
            <w:pPr>
              <w:pStyle w:val="ListParagraph"/>
              <w:numPr>
                <w:ilvl w:val="0"/>
                <w:numId w:val="268"/>
              </w:numPr>
              <w:rPr>
                <w:rFonts w:eastAsia="Calibri" w:cs="Calibri"/>
              </w:rPr>
            </w:pPr>
            <w:r w:rsidRPr="703B87A8">
              <w:t>Self-help treatment manual, short video showing patch use and placement</w:t>
            </w:r>
          </w:p>
        </w:tc>
        <w:tc>
          <w:tcPr>
            <w:tcW w:w="714" w:type="pct"/>
          </w:tcPr>
          <w:p w14:paraId="4D1BBA0A" w14:textId="34E58B43" w:rsidR="703B87A8" w:rsidRDefault="703B87A8">
            <w:r w:rsidRPr="00C324F3">
              <w:rPr>
                <w:rFonts w:eastAsia="Calibri"/>
                <w:u w:val="single"/>
              </w:rPr>
              <w:t>Efficacy:</w:t>
            </w:r>
            <w:r w:rsidRPr="703B87A8">
              <w:rPr>
                <w:rFonts w:eastAsia="Calibri" w:cs="Calibri"/>
              </w:rPr>
              <w:t xml:space="preserve"> Sustained abstinence at 12 m (7-day PPA at both 6 and 12 m)</w:t>
            </w:r>
          </w:p>
          <w:p w14:paraId="111D3340" w14:textId="721984C1" w:rsidR="703B87A8" w:rsidRDefault="703B87A8">
            <w:r w:rsidRPr="00C324F3">
              <w:rPr>
                <w:rFonts w:eastAsia="Calibri"/>
                <w:u w:val="single"/>
              </w:rPr>
              <w:t>Validation:</w:t>
            </w:r>
            <w:r w:rsidRPr="703B87A8">
              <w:rPr>
                <w:rFonts w:eastAsia="Calibri" w:cs="Calibri"/>
              </w:rPr>
              <w:t xml:space="preserve"> Saliva cotinine &lt; 20 ng/ml (not required for 3 </w:t>
            </w:r>
            <w:r w:rsidRPr="703B87A8">
              <w:rPr>
                <w:rFonts w:eastAsia="Calibri" w:cs="Calibri"/>
              </w:rPr>
              <w:lastRenderedPageBreak/>
              <w:t>individuals not in area)</w:t>
            </w:r>
          </w:p>
          <w:p w14:paraId="22E35354" w14:textId="535412E8" w:rsidR="703B87A8" w:rsidRDefault="703B87A8">
            <w:r w:rsidRPr="703B87A8">
              <w:rPr>
                <w:rFonts w:eastAsia="Calibri" w:cs="Calibri"/>
              </w:rPr>
              <w:t xml:space="preserve"> </w:t>
            </w:r>
          </w:p>
          <w:p w14:paraId="14F0352C" w14:textId="58BC4E06"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at 24 hours, and 1, 2, 4, and 6 weeks (during treatment)</w:t>
            </w:r>
          </w:p>
        </w:tc>
      </w:tr>
      <w:tr w:rsidR="703B87A8" w14:paraId="5C0372BC" w14:textId="77777777" w:rsidTr="00EA7016">
        <w:tc>
          <w:tcPr>
            <w:tcW w:w="484" w:type="pct"/>
          </w:tcPr>
          <w:p w14:paraId="064D3E39" w14:textId="00D9939B" w:rsidR="703B87A8" w:rsidRDefault="703B87A8">
            <w:r w:rsidRPr="703B87A8">
              <w:rPr>
                <w:rFonts w:eastAsia="Calibri" w:cs="Calibri"/>
              </w:rPr>
              <w:lastRenderedPageBreak/>
              <w:t xml:space="preserve">Paoletti </w:t>
            </w:r>
            <w:r w:rsidR="00594FCC">
              <w:rPr>
                <w:rFonts w:eastAsia="Calibri" w:cs="Calibri"/>
              </w:rPr>
              <w:t>(</w:t>
            </w:r>
            <w:r w:rsidRPr="703B87A8">
              <w:rPr>
                <w:rFonts w:eastAsia="Calibri" w:cs="Calibri"/>
              </w:rPr>
              <w:t>1996</w:t>
            </w:r>
            <w:r w:rsidR="00594FCC">
              <w:rPr>
                <w:rFonts w:eastAsia="Calibri" w:cs="Calibri"/>
              </w:rPr>
              <w:t>)</w:t>
            </w:r>
          </w:p>
        </w:tc>
        <w:tc>
          <w:tcPr>
            <w:tcW w:w="301" w:type="pct"/>
          </w:tcPr>
          <w:p w14:paraId="606314C1" w14:textId="7EA52895" w:rsidR="703B87A8" w:rsidRDefault="703B87A8">
            <w:r w:rsidRPr="703B87A8">
              <w:rPr>
                <w:rFonts w:eastAsia="Calibri" w:cs="Calibri"/>
              </w:rPr>
              <w:t>RCT</w:t>
            </w:r>
          </w:p>
        </w:tc>
        <w:tc>
          <w:tcPr>
            <w:tcW w:w="425" w:type="pct"/>
          </w:tcPr>
          <w:p w14:paraId="62D11F99" w14:textId="46B80537" w:rsidR="703B87A8" w:rsidRDefault="703B87A8">
            <w:r w:rsidRPr="703B87A8">
              <w:rPr>
                <w:rFonts w:eastAsia="Calibri" w:cs="Calibri"/>
              </w:rPr>
              <w:t>Italy</w:t>
            </w:r>
          </w:p>
        </w:tc>
        <w:tc>
          <w:tcPr>
            <w:tcW w:w="349" w:type="pct"/>
          </w:tcPr>
          <w:p w14:paraId="6F14D736" w14:textId="0138519D" w:rsidR="703B87A8" w:rsidRDefault="00F2109D">
            <w:r>
              <w:rPr>
                <w:rFonts w:eastAsia="Calibri" w:cs="Calibri"/>
              </w:rPr>
              <w:t>N=</w:t>
            </w:r>
            <w:r w:rsidR="703B87A8" w:rsidRPr="703B87A8">
              <w:rPr>
                <w:rFonts w:eastAsia="Calibri" w:cs="Calibri"/>
              </w:rPr>
              <w:t>297</w:t>
            </w:r>
          </w:p>
        </w:tc>
        <w:tc>
          <w:tcPr>
            <w:tcW w:w="1392" w:type="pct"/>
          </w:tcPr>
          <w:p w14:paraId="61E4F140" w14:textId="605FA86E" w:rsidR="703B87A8" w:rsidRDefault="703B87A8">
            <w:r w:rsidRPr="703B87A8">
              <w:rPr>
                <w:rFonts w:eastAsia="Calibri" w:cs="Calibri"/>
              </w:rPr>
              <w:t xml:space="preserve">Smokers (≥ 10 cpd), motivated to quit Stratified according to baseline cotinine levels 60% men, </w:t>
            </w:r>
            <w:r w:rsidR="00EC221A" w:rsidRPr="703B87A8">
              <w:rPr>
                <w:rFonts w:eastAsia="Calibri" w:cs="Calibri"/>
              </w:rPr>
              <w:t>av</w:t>
            </w:r>
            <w:r w:rsidR="00EC221A">
              <w:rPr>
                <w:rFonts w:eastAsia="Calibri" w:cs="Calibri"/>
              </w:rPr>
              <w:t>erage</w:t>
            </w:r>
            <w:r w:rsidRPr="703B87A8">
              <w:rPr>
                <w:rFonts w:eastAsia="Calibri" w:cs="Calibri"/>
              </w:rPr>
              <w:t xml:space="preserve"> age 43, </w:t>
            </w:r>
            <w:r w:rsidR="00EC221A" w:rsidRPr="703B87A8">
              <w:rPr>
                <w:rFonts w:eastAsia="Calibri" w:cs="Calibri"/>
              </w:rPr>
              <w:t>av</w:t>
            </w:r>
            <w:r w:rsidR="00EC221A">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 in low cotinine group (n = 120), 30 in high group (n = 177)</w:t>
            </w:r>
          </w:p>
        </w:tc>
        <w:tc>
          <w:tcPr>
            <w:tcW w:w="1334" w:type="pct"/>
          </w:tcPr>
          <w:p w14:paraId="134C9680" w14:textId="20326A76" w:rsidR="703B87A8" w:rsidRDefault="703B87A8" w:rsidP="00C324F3">
            <w:pPr>
              <w:pStyle w:val="ListParagraph"/>
              <w:numPr>
                <w:ilvl w:val="0"/>
                <w:numId w:val="267"/>
              </w:numPr>
              <w:rPr>
                <w:rFonts w:eastAsia="Calibri" w:cs="Calibri"/>
              </w:rPr>
            </w:pPr>
            <w:r w:rsidRPr="703B87A8">
              <w:t>Stratum A (baseline cotinine &lt; 250 ng/ml)</w:t>
            </w:r>
          </w:p>
          <w:p w14:paraId="69D8A43E" w14:textId="2DFA82DF" w:rsidR="703B87A8" w:rsidRDefault="703B87A8" w:rsidP="00C324F3">
            <w:pPr>
              <w:pStyle w:val="ListParagraph"/>
              <w:numPr>
                <w:ilvl w:val="0"/>
                <w:numId w:val="267"/>
              </w:numPr>
              <w:rPr>
                <w:rFonts w:eastAsia="Calibri" w:cs="Calibri"/>
              </w:rPr>
            </w:pPr>
            <w:r w:rsidRPr="703B87A8">
              <w:t>Nicotine patch (15 mg/16-hour, 18 weeks incl taper)</w:t>
            </w:r>
          </w:p>
          <w:p w14:paraId="2661526D" w14:textId="1FDA2D70" w:rsidR="703B87A8" w:rsidRDefault="703B87A8" w:rsidP="00C324F3">
            <w:pPr>
              <w:pStyle w:val="ListParagraph"/>
              <w:numPr>
                <w:ilvl w:val="0"/>
                <w:numId w:val="267"/>
              </w:numPr>
              <w:rPr>
                <w:rFonts w:eastAsia="Calibri" w:cs="Calibri"/>
              </w:rPr>
            </w:pPr>
            <w:r w:rsidRPr="703B87A8">
              <w:t xml:space="preserve">Placebo patch Stratum B (baseline cotinine &gt; 250 ng/ml) </w:t>
            </w:r>
          </w:p>
          <w:p w14:paraId="4484B51E" w14:textId="54AEBCAE" w:rsidR="703B87A8" w:rsidRDefault="703B87A8" w:rsidP="00C324F3">
            <w:pPr>
              <w:pStyle w:val="ListParagraph"/>
              <w:numPr>
                <w:ilvl w:val="0"/>
                <w:numId w:val="267"/>
              </w:numPr>
              <w:rPr>
                <w:rFonts w:eastAsia="Calibri" w:cs="Calibri"/>
              </w:rPr>
            </w:pPr>
            <w:r w:rsidRPr="703B87A8">
              <w:t>Nicotine patch 15 mg 4. Nicotine patch 25 mg</w:t>
            </w:r>
          </w:p>
        </w:tc>
        <w:tc>
          <w:tcPr>
            <w:tcW w:w="714" w:type="pct"/>
          </w:tcPr>
          <w:p w14:paraId="32C3A98D" w14:textId="50CD72C7" w:rsidR="0058385F" w:rsidRDefault="703B87A8">
            <w:pPr>
              <w:rPr>
                <w:rFonts w:eastAsia="Calibri" w:cs="Calibri"/>
              </w:rPr>
            </w:pPr>
            <w:r w:rsidRPr="703B87A8">
              <w:rPr>
                <w:rFonts w:eastAsia="Calibri" w:cs="Calibri"/>
              </w:rPr>
              <w:t>Efficacy: PPA at 12 m</w:t>
            </w:r>
            <w:r w:rsidR="0058385F">
              <w:rPr>
                <w:rFonts w:eastAsia="Calibri" w:cs="Calibri"/>
              </w:rPr>
              <w:t>onths</w:t>
            </w:r>
            <w:r w:rsidRPr="703B87A8">
              <w:rPr>
                <w:rFonts w:eastAsia="Calibri" w:cs="Calibri"/>
              </w:rPr>
              <w:t xml:space="preserve">. </w:t>
            </w:r>
          </w:p>
          <w:p w14:paraId="696A10AF" w14:textId="36388E9B" w:rsidR="703B87A8" w:rsidRDefault="703B87A8">
            <w:r w:rsidRPr="703B87A8">
              <w:rPr>
                <w:rFonts w:eastAsia="Calibri" w:cs="Calibri"/>
              </w:rPr>
              <w:t>Validation: CO and plasma cotinine</w:t>
            </w:r>
          </w:p>
          <w:p w14:paraId="393D63EC" w14:textId="3830B740" w:rsidR="703B87A8" w:rsidRDefault="703B87A8">
            <w:r w:rsidRPr="703B87A8">
              <w:rPr>
                <w:rFonts w:eastAsia="Calibri" w:cs="Calibri"/>
              </w:rPr>
              <w:t xml:space="preserve"> </w:t>
            </w:r>
          </w:p>
          <w:p w14:paraId="3309FE55" w14:textId="7F4A5D37"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at visits. Note participants were only asked about particular symptoms (none of which are cardiac)</w:t>
            </w:r>
          </w:p>
        </w:tc>
      </w:tr>
      <w:tr w:rsidR="703B87A8" w14:paraId="3D22E46E" w14:textId="77777777" w:rsidTr="00EA7016">
        <w:tc>
          <w:tcPr>
            <w:tcW w:w="484" w:type="pct"/>
          </w:tcPr>
          <w:p w14:paraId="144D9361" w14:textId="437CCED1" w:rsidR="703B87A8" w:rsidRDefault="703B87A8">
            <w:r w:rsidRPr="703B87A8">
              <w:rPr>
                <w:rFonts w:eastAsia="Calibri" w:cs="Calibri"/>
              </w:rPr>
              <w:t xml:space="preserve">Dale </w:t>
            </w:r>
            <w:r w:rsidR="00594FCC">
              <w:rPr>
                <w:rFonts w:eastAsia="Calibri" w:cs="Calibri"/>
              </w:rPr>
              <w:t>(</w:t>
            </w:r>
            <w:r w:rsidRPr="703B87A8">
              <w:rPr>
                <w:rFonts w:eastAsia="Calibri" w:cs="Calibri"/>
              </w:rPr>
              <w:t>1995</w:t>
            </w:r>
            <w:r w:rsidR="00594FCC">
              <w:rPr>
                <w:rFonts w:eastAsia="Calibri" w:cs="Calibri"/>
              </w:rPr>
              <w:t>)</w:t>
            </w:r>
          </w:p>
        </w:tc>
        <w:tc>
          <w:tcPr>
            <w:tcW w:w="301" w:type="pct"/>
          </w:tcPr>
          <w:p w14:paraId="3FBFE858" w14:textId="3D5A848F" w:rsidR="703B87A8" w:rsidRDefault="703B87A8">
            <w:r w:rsidRPr="703B87A8">
              <w:rPr>
                <w:rFonts w:eastAsia="Calibri" w:cs="Calibri"/>
              </w:rPr>
              <w:t>RCT</w:t>
            </w:r>
          </w:p>
        </w:tc>
        <w:tc>
          <w:tcPr>
            <w:tcW w:w="425" w:type="pct"/>
          </w:tcPr>
          <w:p w14:paraId="662C35D4" w14:textId="0B50727B" w:rsidR="703B87A8" w:rsidRDefault="703B87A8">
            <w:r w:rsidRPr="703B87A8">
              <w:rPr>
                <w:rFonts w:eastAsia="Calibri" w:cs="Calibri"/>
              </w:rPr>
              <w:t>USA</w:t>
            </w:r>
          </w:p>
        </w:tc>
        <w:tc>
          <w:tcPr>
            <w:tcW w:w="349" w:type="pct"/>
          </w:tcPr>
          <w:p w14:paraId="329D8E76" w14:textId="689F9633" w:rsidR="703B87A8" w:rsidRDefault="00F2109D">
            <w:r>
              <w:rPr>
                <w:rFonts w:eastAsia="Calibri" w:cs="Calibri"/>
              </w:rPr>
              <w:t>N=</w:t>
            </w:r>
            <w:r w:rsidR="703B87A8" w:rsidRPr="703B87A8">
              <w:rPr>
                <w:rFonts w:eastAsia="Calibri" w:cs="Calibri"/>
              </w:rPr>
              <w:t>71</w:t>
            </w:r>
          </w:p>
        </w:tc>
        <w:tc>
          <w:tcPr>
            <w:tcW w:w="1392" w:type="pct"/>
          </w:tcPr>
          <w:p w14:paraId="16438807" w14:textId="50C9CD53" w:rsidR="703B87A8" w:rsidRDefault="703B87A8">
            <w:r w:rsidRPr="703B87A8">
              <w:rPr>
                <w:rFonts w:eastAsia="Calibri" w:cs="Calibri"/>
              </w:rPr>
              <w:t xml:space="preserve">Smokers stratified according to light, moderate and heavy smoking rates, and motivated to quit 44% men, </w:t>
            </w:r>
            <w:r w:rsidR="00097427" w:rsidRPr="703B87A8">
              <w:rPr>
                <w:rFonts w:eastAsia="Calibri" w:cs="Calibri"/>
              </w:rPr>
              <w:t>av</w:t>
            </w:r>
            <w:r w:rsidR="00097427">
              <w:rPr>
                <w:rFonts w:eastAsia="Calibri" w:cs="Calibri"/>
              </w:rPr>
              <w:t>erage</w:t>
            </w:r>
            <w:r w:rsidRPr="703B87A8">
              <w:rPr>
                <w:rFonts w:eastAsia="Calibri" w:cs="Calibri"/>
              </w:rPr>
              <w:t xml:space="preserve"> age 48,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26</w:t>
            </w:r>
          </w:p>
        </w:tc>
        <w:tc>
          <w:tcPr>
            <w:tcW w:w="1334" w:type="pct"/>
          </w:tcPr>
          <w:p w14:paraId="1FDC5344" w14:textId="31AEE54A" w:rsidR="703B87A8" w:rsidRDefault="703B87A8" w:rsidP="00C324F3">
            <w:pPr>
              <w:pStyle w:val="ListParagraph"/>
              <w:numPr>
                <w:ilvl w:val="0"/>
                <w:numId w:val="266"/>
              </w:numPr>
              <w:rPr>
                <w:rFonts w:eastAsia="Calibri" w:cs="Calibri"/>
              </w:rPr>
            </w:pPr>
            <w:r w:rsidRPr="703B87A8">
              <w:t>11 mg/24-hour nicotine patch</w:t>
            </w:r>
          </w:p>
          <w:p w14:paraId="6640CE03" w14:textId="01F7EDD1" w:rsidR="703B87A8" w:rsidRDefault="703B87A8" w:rsidP="00C324F3">
            <w:pPr>
              <w:pStyle w:val="ListParagraph"/>
              <w:numPr>
                <w:ilvl w:val="0"/>
                <w:numId w:val="266"/>
              </w:numPr>
              <w:rPr>
                <w:rFonts w:eastAsia="Calibri" w:cs="Calibri"/>
              </w:rPr>
            </w:pPr>
            <w:r w:rsidRPr="703B87A8">
              <w:t>22 mg/24-hour nicotine patch</w:t>
            </w:r>
          </w:p>
          <w:p w14:paraId="5845AF9F" w14:textId="4F1ADC57" w:rsidR="703B87A8" w:rsidRDefault="703B87A8" w:rsidP="00C324F3">
            <w:pPr>
              <w:pStyle w:val="ListParagraph"/>
              <w:numPr>
                <w:ilvl w:val="0"/>
                <w:numId w:val="266"/>
              </w:numPr>
              <w:rPr>
                <w:rFonts w:eastAsia="Calibri" w:cs="Calibri"/>
              </w:rPr>
            </w:pPr>
            <w:r w:rsidRPr="703B87A8">
              <w:t>44 mg/24-hour nicotine patch</w:t>
            </w:r>
          </w:p>
          <w:p w14:paraId="42C9C5CA" w14:textId="387D27CD" w:rsidR="703B87A8" w:rsidRDefault="703B87A8" w:rsidP="00C324F3">
            <w:pPr>
              <w:pStyle w:val="ListParagraph"/>
              <w:numPr>
                <w:ilvl w:val="0"/>
                <w:numId w:val="266"/>
              </w:numPr>
              <w:rPr>
                <w:rFonts w:eastAsia="Calibri" w:cs="Calibri"/>
              </w:rPr>
            </w:pPr>
            <w:r w:rsidRPr="703B87A8">
              <w:t>Placebo patch for 1 week followed by 11 or 22 mg patch for 7 weeks Duration of patch use 8 weeks</w:t>
            </w:r>
          </w:p>
        </w:tc>
        <w:tc>
          <w:tcPr>
            <w:tcW w:w="714" w:type="pct"/>
          </w:tcPr>
          <w:p w14:paraId="57DC8833" w14:textId="68D6CF5A" w:rsidR="0058385F" w:rsidRDefault="703B87A8">
            <w:pPr>
              <w:rPr>
                <w:rFonts w:eastAsia="Calibri" w:cs="Calibri"/>
              </w:rPr>
            </w:pPr>
            <w:r w:rsidRPr="00C324F3">
              <w:rPr>
                <w:rFonts w:eastAsia="Calibri"/>
                <w:u w:val="single"/>
              </w:rPr>
              <w:t>Efficacy:</w:t>
            </w:r>
            <w:r w:rsidRPr="703B87A8">
              <w:rPr>
                <w:rFonts w:eastAsia="Calibri" w:cs="Calibri"/>
              </w:rPr>
              <w:t xml:space="preserve"> PPA at 12 m</w:t>
            </w:r>
            <w:r w:rsidR="0058385F">
              <w:rPr>
                <w:rFonts w:eastAsia="Calibri" w:cs="Calibri"/>
              </w:rPr>
              <w:t>onths</w:t>
            </w:r>
            <w:r w:rsidRPr="703B87A8">
              <w:rPr>
                <w:rFonts w:eastAsia="Calibri" w:cs="Calibri"/>
              </w:rPr>
              <w:t xml:space="preserve">. </w:t>
            </w:r>
          </w:p>
          <w:p w14:paraId="64828F0E" w14:textId="1A415813" w:rsidR="703B87A8" w:rsidRDefault="703B87A8">
            <w:r w:rsidRPr="703B87A8">
              <w:rPr>
                <w:rFonts w:eastAsia="Calibri" w:cs="Calibri"/>
              </w:rPr>
              <w:t>Validation: Blood cotinine</w:t>
            </w:r>
          </w:p>
          <w:p w14:paraId="794533BC" w14:textId="3BB90499" w:rsidR="703B87A8" w:rsidRDefault="703B87A8">
            <w:r w:rsidRPr="703B87A8">
              <w:rPr>
                <w:rFonts w:eastAsia="Calibri" w:cs="Calibri"/>
              </w:rPr>
              <w:t xml:space="preserve"> </w:t>
            </w:r>
          </w:p>
          <w:p w14:paraId="0E5EA2CF" w14:textId="13DDA69C"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daily for 6 days post- baseline (treatment continued for 6 weeks)</w:t>
            </w:r>
          </w:p>
        </w:tc>
      </w:tr>
      <w:tr w:rsidR="703B87A8" w14:paraId="72A22027" w14:textId="77777777" w:rsidTr="00EA7016">
        <w:tc>
          <w:tcPr>
            <w:tcW w:w="484" w:type="pct"/>
          </w:tcPr>
          <w:p w14:paraId="6E4B1597" w14:textId="5B976EC7" w:rsidR="703B87A8" w:rsidRDefault="703B87A8">
            <w:r w:rsidRPr="703B87A8">
              <w:rPr>
                <w:rFonts w:eastAsia="Calibri" w:cs="Calibri"/>
              </w:rPr>
              <w:t xml:space="preserve">Hughes </w:t>
            </w:r>
            <w:r w:rsidR="00594FCC">
              <w:rPr>
                <w:rFonts w:eastAsia="Calibri" w:cs="Calibri"/>
              </w:rPr>
              <w:t>(</w:t>
            </w:r>
            <w:r w:rsidRPr="703B87A8">
              <w:rPr>
                <w:rFonts w:eastAsia="Calibri" w:cs="Calibri"/>
              </w:rPr>
              <w:t>1999</w:t>
            </w:r>
            <w:r w:rsidR="00594FCC">
              <w:rPr>
                <w:rFonts w:eastAsia="Calibri" w:cs="Calibri"/>
              </w:rPr>
              <w:t>)</w:t>
            </w:r>
          </w:p>
        </w:tc>
        <w:tc>
          <w:tcPr>
            <w:tcW w:w="301" w:type="pct"/>
          </w:tcPr>
          <w:p w14:paraId="0152CDD7" w14:textId="6AC19B77" w:rsidR="703B87A8" w:rsidRDefault="703B87A8">
            <w:r w:rsidRPr="703B87A8">
              <w:rPr>
                <w:rFonts w:eastAsia="Calibri" w:cs="Calibri"/>
              </w:rPr>
              <w:t>RCT</w:t>
            </w:r>
          </w:p>
        </w:tc>
        <w:tc>
          <w:tcPr>
            <w:tcW w:w="425" w:type="pct"/>
          </w:tcPr>
          <w:p w14:paraId="32C8B3E7" w14:textId="0B3A8183" w:rsidR="703B87A8" w:rsidRDefault="703B87A8">
            <w:r w:rsidRPr="703B87A8">
              <w:rPr>
                <w:rFonts w:eastAsia="Calibri" w:cs="Calibri"/>
              </w:rPr>
              <w:t>USA</w:t>
            </w:r>
          </w:p>
        </w:tc>
        <w:tc>
          <w:tcPr>
            <w:tcW w:w="349" w:type="pct"/>
          </w:tcPr>
          <w:p w14:paraId="1A2CD14B" w14:textId="4D521C23" w:rsidR="703B87A8" w:rsidRDefault="00F2109D">
            <w:r>
              <w:rPr>
                <w:rFonts w:eastAsia="Calibri" w:cs="Calibri"/>
              </w:rPr>
              <w:t>N=</w:t>
            </w:r>
            <w:r w:rsidR="703B87A8" w:rsidRPr="703B87A8">
              <w:rPr>
                <w:rFonts w:eastAsia="Calibri" w:cs="Calibri"/>
              </w:rPr>
              <w:t>1039</w:t>
            </w:r>
          </w:p>
        </w:tc>
        <w:tc>
          <w:tcPr>
            <w:tcW w:w="1392" w:type="pct"/>
          </w:tcPr>
          <w:p w14:paraId="267A802D" w14:textId="6A3F2C04" w:rsidR="703B87A8" w:rsidRDefault="703B87A8">
            <w:r w:rsidRPr="703B87A8">
              <w:rPr>
                <w:rFonts w:eastAsia="Calibri" w:cs="Calibri"/>
              </w:rPr>
              <w:t xml:space="preserve">Smokers (≥ 30 cpd) who had made a prior quit attempt, motivated to try again 50% men, </w:t>
            </w:r>
            <w:r w:rsidR="00097427" w:rsidRPr="703B87A8">
              <w:rPr>
                <w:rFonts w:eastAsia="Calibri" w:cs="Calibri"/>
              </w:rPr>
              <w:t>av</w:t>
            </w:r>
            <w:r w:rsidR="00097427">
              <w:rPr>
                <w:rFonts w:eastAsia="Calibri" w:cs="Calibri"/>
              </w:rPr>
              <w:t>erage</w:t>
            </w:r>
            <w:r w:rsidRPr="703B87A8">
              <w:rPr>
                <w:rFonts w:eastAsia="Calibri" w:cs="Calibri"/>
              </w:rPr>
              <w:t xml:space="preserve"> age 43,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38</w:t>
            </w:r>
          </w:p>
        </w:tc>
        <w:tc>
          <w:tcPr>
            <w:tcW w:w="1334" w:type="pct"/>
          </w:tcPr>
          <w:p w14:paraId="54E65545" w14:textId="4F943B1F" w:rsidR="703B87A8" w:rsidRDefault="703B87A8" w:rsidP="00C324F3">
            <w:pPr>
              <w:pStyle w:val="ListParagraph"/>
              <w:numPr>
                <w:ilvl w:val="0"/>
                <w:numId w:val="265"/>
              </w:numPr>
              <w:rPr>
                <w:rFonts w:eastAsia="Calibri" w:cs="Calibri"/>
              </w:rPr>
            </w:pPr>
            <w:r w:rsidRPr="703B87A8">
              <w:t xml:space="preserve">42 mg nicotine patch (24-hour, 6 weeks + 10 weeks tapering) </w:t>
            </w:r>
          </w:p>
          <w:p w14:paraId="4FDB974E" w14:textId="3D905063" w:rsidR="703B87A8" w:rsidRDefault="703B87A8" w:rsidP="00C324F3">
            <w:pPr>
              <w:pStyle w:val="ListParagraph"/>
              <w:numPr>
                <w:ilvl w:val="0"/>
                <w:numId w:val="265"/>
              </w:numPr>
              <w:rPr>
                <w:rFonts w:eastAsia="Calibri" w:cs="Calibri"/>
              </w:rPr>
            </w:pPr>
            <w:r w:rsidRPr="703B87A8">
              <w:t xml:space="preserve">35 mg nicotine patch </w:t>
            </w:r>
          </w:p>
          <w:p w14:paraId="685BB9AF" w14:textId="02BC7492" w:rsidR="703B87A8" w:rsidRDefault="703B87A8" w:rsidP="00C324F3">
            <w:pPr>
              <w:pStyle w:val="ListParagraph"/>
              <w:numPr>
                <w:ilvl w:val="0"/>
                <w:numId w:val="265"/>
              </w:numPr>
              <w:rPr>
                <w:rFonts w:eastAsia="Calibri" w:cs="Calibri"/>
              </w:rPr>
            </w:pPr>
            <w:r w:rsidRPr="703B87A8">
              <w:t>21 mg nicotine patch</w:t>
            </w:r>
          </w:p>
          <w:p w14:paraId="3F0E02E7" w14:textId="05B20C57" w:rsidR="703B87A8" w:rsidRDefault="703B87A8" w:rsidP="00C324F3">
            <w:pPr>
              <w:pStyle w:val="ListParagraph"/>
              <w:numPr>
                <w:ilvl w:val="0"/>
                <w:numId w:val="265"/>
              </w:numPr>
              <w:rPr>
                <w:rFonts w:eastAsia="Calibri" w:cs="Calibri"/>
              </w:rPr>
            </w:pPr>
            <w:r w:rsidRPr="703B87A8">
              <w:lastRenderedPageBreak/>
              <w:t>Placebo patch</w:t>
            </w:r>
          </w:p>
        </w:tc>
        <w:tc>
          <w:tcPr>
            <w:tcW w:w="714" w:type="pct"/>
          </w:tcPr>
          <w:p w14:paraId="19BA0B33" w14:textId="71904C88" w:rsidR="0058385F" w:rsidRDefault="703B87A8">
            <w:pPr>
              <w:rPr>
                <w:rFonts w:eastAsia="Calibri" w:cs="Calibri"/>
              </w:rPr>
            </w:pPr>
            <w:r w:rsidRPr="00C324F3">
              <w:rPr>
                <w:rFonts w:eastAsia="Calibri"/>
                <w:u w:val="single"/>
              </w:rPr>
              <w:lastRenderedPageBreak/>
              <w:t>Efficacy:</w:t>
            </w:r>
            <w:r w:rsidRPr="703B87A8">
              <w:rPr>
                <w:rFonts w:eastAsia="Calibri" w:cs="Calibri"/>
              </w:rPr>
              <w:t xml:space="preserve"> Prolonged abstinence at 6 m</w:t>
            </w:r>
            <w:r w:rsidR="0058385F">
              <w:rPr>
                <w:rFonts w:eastAsia="Calibri" w:cs="Calibri"/>
              </w:rPr>
              <w:t>onths</w:t>
            </w:r>
            <w:r w:rsidRPr="703B87A8">
              <w:rPr>
                <w:rFonts w:eastAsia="Calibri" w:cs="Calibri"/>
              </w:rPr>
              <w:t xml:space="preserve"> (from 2 weeks post-quit) </w:t>
            </w:r>
            <w:r w:rsidRPr="703B87A8">
              <w:rPr>
                <w:rFonts w:eastAsia="Calibri" w:cs="Calibri"/>
              </w:rPr>
              <w:lastRenderedPageBreak/>
              <w:t>verified at each follow-up visit (12-m</w:t>
            </w:r>
            <w:r w:rsidR="0058385F">
              <w:rPr>
                <w:rFonts w:eastAsia="Calibri" w:cs="Calibri"/>
              </w:rPr>
              <w:t>onth</w:t>
            </w:r>
            <w:r w:rsidRPr="703B87A8">
              <w:rPr>
                <w:rFonts w:eastAsia="Calibri" w:cs="Calibri"/>
              </w:rPr>
              <w:t xml:space="preserve"> follow-up only completed for 11/13 sites)</w:t>
            </w:r>
            <w:r w:rsidR="0058385F">
              <w:rPr>
                <w:rFonts w:eastAsia="Calibri" w:cs="Calibri"/>
              </w:rPr>
              <w:t>.</w:t>
            </w:r>
            <w:r w:rsidRPr="703B87A8">
              <w:rPr>
                <w:rFonts w:eastAsia="Calibri" w:cs="Calibri"/>
              </w:rPr>
              <w:t xml:space="preserve"> </w:t>
            </w:r>
          </w:p>
          <w:p w14:paraId="1D95EFDA" w14:textId="6040318E" w:rsidR="703B87A8" w:rsidRDefault="703B87A8">
            <w:r w:rsidRPr="703B87A8">
              <w:rPr>
                <w:rFonts w:eastAsia="Calibri" w:cs="Calibri"/>
              </w:rPr>
              <w:t>Validation: CO ≤ 10 ppm</w:t>
            </w:r>
          </w:p>
          <w:p w14:paraId="52BC1502" w14:textId="31DAC9AC" w:rsidR="703B87A8" w:rsidRDefault="703B87A8">
            <w:r w:rsidRPr="703B87A8">
              <w:rPr>
                <w:rFonts w:eastAsia="Calibri" w:cs="Calibri"/>
              </w:rPr>
              <w:t xml:space="preserve"> </w:t>
            </w:r>
          </w:p>
          <w:p w14:paraId="7C6B20F5" w14:textId="2CDA0504"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up to 10 wks and then at 6-m</w:t>
            </w:r>
            <w:r w:rsidR="0058385F">
              <w:rPr>
                <w:rFonts w:eastAsia="Calibri" w:cs="Calibri"/>
              </w:rPr>
              <w:t>onth</w:t>
            </w:r>
            <w:r w:rsidRPr="703B87A8">
              <w:rPr>
                <w:rFonts w:eastAsia="Calibri" w:cs="Calibri"/>
              </w:rPr>
              <w:t xml:space="preserve"> and 12-m</w:t>
            </w:r>
            <w:r w:rsidR="0058385F">
              <w:rPr>
                <w:rFonts w:eastAsia="Calibri" w:cs="Calibri"/>
              </w:rPr>
              <w:t>onth</w:t>
            </w:r>
            <w:r w:rsidRPr="703B87A8">
              <w:rPr>
                <w:rFonts w:eastAsia="Calibri" w:cs="Calibri"/>
              </w:rPr>
              <w:t xml:space="preserve"> follow-up. Note measurement at 12 months only occurred at some sites Treatment duration was to 16 weeks</w:t>
            </w:r>
          </w:p>
        </w:tc>
      </w:tr>
      <w:tr w:rsidR="703B87A8" w14:paraId="457C1F16" w14:textId="77777777" w:rsidTr="00EA7016">
        <w:tc>
          <w:tcPr>
            <w:tcW w:w="484" w:type="pct"/>
          </w:tcPr>
          <w:p w14:paraId="534D63C0" w14:textId="4A7BC63C" w:rsidR="703B87A8" w:rsidRDefault="703B87A8">
            <w:r w:rsidRPr="703B87A8">
              <w:rPr>
                <w:rFonts w:eastAsia="Calibri" w:cs="Calibri"/>
              </w:rPr>
              <w:lastRenderedPageBreak/>
              <w:t>Jorenby 1995</w:t>
            </w:r>
          </w:p>
        </w:tc>
        <w:tc>
          <w:tcPr>
            <w:tcW w:w="301" w:type="pct"/>
          </w:tcPr>
          <w:p w14:paraId="3410F9D0" w14:textId="60C6D2AD" w:rsidR="703B87A8" w:rsidRDefault="703B87A8">
            <w:r w:rsidRPr="703B87A8">
              <w:rPr>
                <w:rFonts w:eastAsia="Calibri" w:cs="Calibri"/>
              </w:rPr>
              <w:t>RCT</w:t>
            </w:r>
          </w:p>
        </w:tc>
        <w:tc>
          <w:tcPr>
            <w:tcW w:w="425" w:type="pct"/>
          </w:tcPr>
          <w:p w14:paraId="23EC8500" w14:textId="1DCF22DB" w:rsidR="703B87A8" w:rsidRDefault="703B87A8">
            <w:r w:rsidRPr="703B87A8">
              <w:rPr>
                <w:rFonts w:eastAsia="Calibri" w:cs="Calibri"/>
              </w:rPr>
              <w:t>USA</w:t>
            </w:r>
          </w:p>
        </w:tc>
        <w:tc>
          <w:tcPr>
            <w:tcW w:w="349" w:type="pct"/>
          </w:tcPr>
          <w:p w14:paraId="57DE2947" w14:textId="620E4873" w:rsidR="703B87A8" w:rsidRDefault="00F2109D">
            <w:r>
              <w:rPr>
                <w:rFonts w:eastAsia="Calibri" w:cs="Calibri"/>
              </w:rPr>
              <w:t>N=</w:t>
            </w:r>
            <w:r w:rsidR="703B87A8" w:rsidRPr="703B87A8">
              <w:rPr>
                <w:rFonts w:eastAsia="Calibri" w:cs="Calibri"/>
              </w:rPr>
              <w:t>504</w:t>
            </w:r>
          </w:p>
        </w:tc>
        <w:tc>
          <w:tcPr>
            <w:tcW w:w="1392" w:type="pct"/>
          </w:tcPr>
          <w:p w14:paraId="78A94D18" w14:textId="5184F59D" w:rsidR="703B87A8" w:rsidRDefault="703B87A8">
            <w:r w:rsidRPr="703B87A8">
              <w:rPr>
                <w:rFonts w:eastAsia="Calibri" w:cs="Calibri"/>
              </w:rPr>
              <w:t xml:space="preserve">Adult smokers (≥ 15 cpd) 47% men, </w:t>
            </w:r>
            <w:r w:rsidR="00097427" w:rsidRPr="703B87A8">
              <w:rPr>
                <w:rFonts w:eastAsia="Calibri" w:cs="Calibri"/>
              </w:rPr>
              <w:t>av</w:t>
            </w:r>
            <w:r w:rsidR="00097427">
              <w:rPr>
                <w:rFonts w:eastAsia="Calibri" w:cs="Calibri"/>
              </w:rPr>
              <w:t>erage</w:t>
            </w:r>
            <w:r w:rsidRPr="703B87A8">
              <w:rPr>
                <w:rFonts w:eastAsia="Calibri" w:cs="Calibri"/>
              </w:rPr>
              <w:t xml:space="preserve"> age 44,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˜27</w:t>
            </w:r>
          </w:p>
        </w:tc>
        <w:tc>
          <w:tcPr>
            <w:tcW w:w="1334" w:type="pct"/>
          </w:tcPr>
          <w:p w14:paraId="1DA703BD" w14:textId="049CC84E" w:rsidR="703B87A8" w:rsidRDefault="703B87A8" w:rsidP="00C324F3">
            <w:pPr>
              <w:pStyle w:val="ListParagraph"/>
              <w:numPr>
                <w:ilvl w:val="0"/>
                <w:numId w:val="264"/>
              </w:numPr>
              <w:rPr>
                <w:rFonts w:eastAsia="Calibri" w:cs="Calibri"/>
              </w:rPr>
            </w:pPr>
            <w:r w:rsidRPr="703B87A8">
              <w:t>Nicotine patch 22 mg for 6 weeks then 2 weeks 11 mg with minimal counselling.</w:t>
            </w:r>
          </w:p>
          <w:p w14:paraId="6489C198" w14:textId="34699D1F" w:rsidR="703B87A8" w:rsidRDefault="703B87A8" w:rsidP="00C324F3">
            <w:pPr>
              <w:pStyle w:val="ListParagraph"/>
              <w:numPr>
                <w:ilvl w:val="0"/>
                <w:numId w:val="264"/>
              </w:numPr>
              <w:rPr>
                <w:rFonts w:eastAsia="Calibri" w:cs="Calibri"/>
              </w:rPr>
            </w:pPr>
            <w:r w:rsidRPr="703B87A8">
              <w:t>Same patch, individual counselling</w:t>
            </w:r>
          </w:p>
          <w:p w14:paraId="135D23F5" w14:textId="33F6AD31" w:rsidR="703B87A8" w:rsidRDefault="703B87A8" w:rsidP="00C324F3">
            <w:pPr>
              <w:pStyle w:val="ListParagraph"/>
              <w:numPr>
                <w:ilvl w:val="0"/>
                <w:numId w:val="264"/>
              </w:numPr>
              <w:rPr>
                <w:rFonts w:eastAsia="Calibri" w:cs="Calibri"/>
              </w:rPr>
            </w:pPr>
            <w:r w:rsidRPr="703B87A8">
              <w:t>Same patch, group counselling</w:t>
            </w:r>
          </w:p>
          <w:p w14:paraId="2D553CF6" w14:textId="3EB60819" w:rsidR="703B87A8" w:rsidRDefault="703B87A8" w:rsidP="00C324F3">
            <w:pPr>
              <w:pStyle w:val="ListParagraph"/>
              <w:numPr>
                <w:ilvl w:val="0"/>
                <w:numId w:val="264"/>
              </w:numPr>
              <w:rPr>
                <w:rFonts w:eastAsia="Calibri" w:cs="Calibri"/>
              </w:rPr>
            </w:pPr>
            <w:r w:rsidRPr="703B87A8">
              <w:t xml:space="preserve">44 mg patch for 4 weeks then 2 weeks 22 mg then 2 weeks 11 mg with minimal counselling </w:t>
            </w:r>
          </w:p>
          <w:p w14:paraId="1FF951DE" w14:textId="44574EA5" w:rsidR="703B87A8" w:rsidRDefault="703B87A8" w:rsidP="00C324F3">
            <w:pPr>
              <w:pStyle w:val="ListParagraph"/>
              <w:numPr>
                <w:ilvl w:val="0"/>
                <w:numId w:val="264"/>
              </w:numPr>
              <w:rPr>
                <w:rFonts w:eastAsia="Calibri" w:cs="Calibri"/>
              </w:rPr>
            </w:pPr>
            <w:r w:rsidRPr="703B87A8">
              <w:t>Same patch, individual counselling</w:t>
            </w:r>
          </w:p>
          <w:p w14:paraId="6232F2C8" w14:textId="3380521B" w:rsidR="703B87A8" w:rsidRDefault="703B87A8" w:rsidP="00C324F3">
            <w:pPr>
              <w:pStyle w:val="ListParagraph"/>
              <w:numPr>
                <w:ilvl w:val="0"/>
                <w:numId w:val="264"/>
              </w:numPr>
              <w:rPr>
                <w:rFonts w:eastAsia="Calibri" w:cs="Calibri"/>
              </w:rPr>
            </w:pPr>
            <w:r w:rsidRPr="703B87A8">
              <w:t>Same patch, group counselling</w:t>
            </w:r>
          </w:p>
        </w:tc>
        <w:tc>
          <w:tcPr>
            <w:tcW w:w="714" w:type="pct"/>
          </w:tcPr>
          <w:p w14:paraId="04985040" w14:textId="74CF659E" w:rsidR="0058385F" w:rsidRDefault="703B87A8">
            <w:pPr>
              <w:rPr>
                <w:rFonts w:eastAsia="Calibri" w:cs="Calibri"/>
              </w:rPr>
            </w:pPr>
            <w:r w:rsidRPr="00C324F3">
              <w:rPr>
                <w:rFonts w:eastAsia="Calibri"/>
                <w:u w:val="single"/>
              </w:rPr>
              <w:t>Efficacy:</w:t>
            </w:r>
            <w:r w:rsidRPr="703B87A8">
              <w:rPr>
                <w:rFonts w:eastAsia="Calibri" w:cs="Calibri"/>
              </w:rPr>
              <w:t xml:space="preserve"> Abstinence (&gt; 1 </w:t>
            </w:r>
            <w:r w:rsidR="2942BD6B" w:rsidRPr="2942BD6B">
              <w:rPr>
                <w:rFonts w:eastAsia="Calibri" w:cs="Calibri"/>
              </w:rPr>
              <w:t>w</w:t>
            </w:r>
            <w:r w:rsidR="42C4AAD6" w:rsidRPr="2942BD6B">
              <w:rPr>
                <w:rFonts w:eastAsia="Calibri" w:cs="Calibri"/>
              </w:rPr>
              <w:t>ee</w:t>
            </w:r>
            <w:r w:rsidR="2942BD6B" w:rsidRPr="2942BD6B">
              <w:rPr>
                <w:rFonts w:eastAsia="Calibri" w:cs="Calibri"/>
              </w:rPr>
              <w:t>k</w:t>
            </w:r>
            <w:r w:rsidRPr="703B87A8">
              <w:rPr>
                <w:rFonts w:eastAsia="Calibri" w:cs="Calibri"/>
              </w:rPr>
              <w:t>) at 6 m</w:t>
            </w:r>
            <w:r w:rsidR="0058385F">
              <w:rPr>
                <w:rFonts w:eastAsia="Calibri" w:cs="Calibri"/>
              </w:rPr>
              <w:t>onth.</w:t>
            </w:r>
          </w:p>
          <w:p w14:paraId="3F2051B0" w14:textId="7EF538E3" w:rsidR="703B87A8" w:rsidRDefault="703B87A8">
            <w:r w:rsidRPr="703B87A8">
              <w:rPr>
                <w:rFonts w:eastAsia="Calibri" w:cs="Calibri"/>
              </w:rPr>
              <w:t>Validation: CO &lt; 10 ppm</w:t>
            </w:r>
          </w:p>
          <w:p w14:paraId="46556098" w14:textId="2DA94B08" w:rsidR="703B87A8" w:rsidRDefault="703B87A8">
            <w:r w:rsidRPr="703B87A8">
              <w:rPr>
                <w:rFonts w:eastAsia="Calibri" w:cs="Calibri"/>
              </w:rPr>
              <w:t xml:space="preserve"> </w:t>
            </w:r>
          </w:p>
          <w:p w14:paraId="16B36E3D" w14:textId="537A5994"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weekly for 8 weeks (during treatment)</w:t>
            </w:r>
          </w:p>
        </w:tc>
      </w:tr>
      <w:tr w:rsidR="703B87A8" w14:paraId="43A08EE9" w14:textId="77777777" w:rsidTr="00EA7016">
        <w:tc>
          <w:tcPr>
            <w:tcW w:w="484" w:type="pct"/>
          </w:tcPr>
          <w:p w14:paraId="7BE7C13D" w14:textId="3ED8A047" w:rsidR="703B87A8" w:rsidRDefault="703B87A8">
            <w:r w:rsidRPr="703B87A8">
              <w:rPr>
                <w:rFonts w:eastAsia="Calibri" w:cs="Calibri"/>
              </w:rPr>
              <w:t>Kalman 2006</w:t>
            </w:r>
          </w:p>
        </w:tc>
        <w:tc>
          <w:tcPr>
            <w:tcW w:w="301" w:type="pct"/>
          </w:tcPr>
          <w:p w14:paraId="4585D653" w14:textId="39B8A5E2" w:rsidR="703B87A8" w:rsidRDefault="703B87A8">
            <w:r w:rsidRPr="703B87A8">
              <w:rPr>
                <w:rFonts w:eastAsia="Calibri" w:cs="Calibri"/>
              </w:rPr>
              <w:t>RCT</w:t>
            </w:r>
          </w:p>
        </w:tc>
        <w:tc>
          <w:tcPr>
            <w:tcW w:w="425" w:type="pct"/>
          </w:tcPr>
          <w:p w14:paraId="13116B82" w14:textId="3B07E0AC" w:rsidR="703B87A8" w:rsidRDefault="703B87A8">
            <w:r w:rsidRPr="703B87A8">
              <w:rPr>
                <w:rFonts w:eastAsia="Calibri" w:cs="Calibri"/>
              </w:rPr>
              <w:t>USA</w:t>
            </w:r>
          </w:p>
        </w:tc>
        <w:tc>
          <w:tcPr>
            <w:tcW w:w="349" w:type="pct"/>
          </w:tcPr>
          <w:p w14:paraId="61606E05" w14:textId="58FE4688" w:rsidR="703B87A8" w:rsidRDefault="00F2109D">
            <w:r>
              <w:rPr>
                <w:rFonts w:eastAsia="Calibri" w:cs="Calibri"/>
              </w:rPr>
              <w:t>N=</w:t>
            </w:r>
            <w:r w:rsidR="703B87A8" w:rsidRPr="703B87A8">
              <w:rPr>
                <w:rFonts w:eastAsia="Calibri" w:cs="Calibri"/>
              </w:rPr>
              <w:t>130</w:t>
            </w:r>
          </w:p>
        </w:tc>
        <w:tc>
          <w:tcPr>
            <w:tcW w:w="1392" w:type="pct"/>
          </w:tcPr>
          <w:p w14:paraId="11D5F9E9" w14:textId="7338CF1C" w:rsidR="703B87A8" w:rsidRDefault="703B87A8">
            <w:r w:rsidRPr="703B87A8">
              <w:rPr>
                <w:rFonts w:eastAsia="Calibri" w:cs="Calibri"/>
              </w:rPr>
              <w:t xml:space="preserve">Smokers (≥ 20 cpd with history of alcohol dependence and ≥ 2 m abstinence from alcohol and illicit drugs) 84% men, </w:t>
            </w:r>
            <w:r w:rsidR="00097427" w:rsidRPr="703B87A8">
              <w:rPr>
                <w:rFonts w:eastAsia="Calibri" w:cs="Calibri"/>
              </w:rPr>
              <w:t>av</w:t>
            </w:r>
            <w:r w:rsidR="00097427">
              <w:rPr>
                <w:rFonts w:eastAsia="Calibri" w:cs="Calibri"/>
              </w:rPr>
              <w:t>erage</w:t>
            </w:r>
            <w:r w:rsidRPr="703B87A8">
              <w:rPr>
                <w:rFonts w:eastAsia="Calibri" w:cs="Calibri"/>
              </w:rPr>
              <w:t xml:space="preserve"> age 47,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32</w:t>
            </w:r>
          </w:p>
        </w:tc>
        <w:tc>
          <w:tcPr>
            <w:tcW w:w="1334" w:type="pct"/>
          </w:tcPr>
          <w:p w14:paraId="456D5D00" w14:textId="59DFEA99" w:rsidR="703B87A8" w:rsidRDefault="703B87A8" w:rsidP="00C324F3">
            <w:pPr>
              <w:pStyle w:val="ListParagraph"/>
              <w:numPr>
                <w:ilvl w:val="0"/>
                <w:numId w:val="263"/>
              </w:numPr>
              <w:rPr>
                <w:rFonts w:eastAsia="Calibri" w:cs="Calibri"/>
              </w:rPr>
            </w:pPr>
            <w:r w:rsidRPr="703B87A8">
              <w:t>Dose response trial</w:t>
            </w:r>
          </w:p>
          <w:p w14:paraId="59E5719C" w14:textId="23AC0350" w:rsidR="703B87A8" w:rsidRDefault="703B87A8" w:rsidP="00C324F3">
            <w:pPr>
              <w:pStyle w:val="ListParagraph"/>
              <w:numPr>
                <w:ilvl w:val="0"/>
                <w:numId w:val="263"/>
              </w:numPr>
              <w:rPr>
                <w:rFonts w:eastAsia="Calibri" w:cs="Calibri"/>
              </w:rPr>
            </w:pPr>
            <w:r w:rsidRPr="703B87A8">
              <w:t>Nicotine patch (42 mg (2 x 21 mg)) 4 weeks, then tapered for 8 weeks</w:t>
            </w:r>
          </w:p>
          <w:p w14:paraId="7F26345C" w14:textId="7588E8C9" w:rsidR="703B87A8" w:rsidRDefault="703B87A8" w:rsidP="00C324F3">
            <w:pPr>
              <w:pStyle w:val="ListParagraph"/>
              <w:numPr>
                <w:ilvl w:val="0"/>
                <w:numId w:val="263"/>
              </w:numPr>
              <w:rPr>
                <w:rFonts w:eastAsia="Calibri" w:cs="Calibri"/>
              </w:rPr>
            </w:pPr>
            <w:r w:rsidRPr="703B87A8">
              <w:lastRenderedPageBreak/>
              <w:t>Nicotine patch (21 mg and placebo) for 4 weeks then same tapering as 1</w:t>
            </w:r>
          </w:p>
        </w:tc>
        <w:tc>
          <w:tcPr>
            <w:tcW w:w="714" w:type="pct"/>
          </w:tcPr>
          <w:p w14:paraId="42783219" w14:textId="656E6705" w:rsidR="0058385F" w:rsidRDefault="703B87A8">
            <w:pPr>
              <w:rPr>
                <w:rFonts w:eastAsia="Calibri" w:cs="Calibri"/>
              </w:rPr>
            </w:pPr>
            <w:r w:rsidRPr="00C324F3">
              <w:rPr>
                <w:rFonts w:eastAsia="Calibri"/>
                <w:u w:val="single"/>
              </w:rPr>
              <w:lastRenderedPageBreak/>
              <w:t>Efficacy:</w:t>
            </w:r>
            <w:r w:rsidRPr="703B87A8">
              <w:rPr>
                <w:rFonts w:eastAsia="Calibri" w:cs="Calibri"/>
              </w:rPr>
              <w:t xml:space="preserve"> Abstinence at 36 weeks (26 weeks post-EOT) (7 days PPA)</w:t>
            </w:r>
            <w:r w:rsidR="0058385F">
              <w:rPr>
                <w:rFonts w:eastAsia="Calibri" w:cs="Calibri"/>
              </w:rPr>
              <w:t>.</w:t>
            </w:r>
            <w:r w:rsidRPr="703B87A8">
              <w:rPr>
                <w:rFonts w:eastAsia="Calibri" w:cs="Calibri"/>
              </w:rPr>
              <w:t xml:space="preserve"> </w:t>
            </w:r>
          </w:p>
          <w:p w14:paraId="5153AC34" w14:textId="1967E991" w:rsidR="703B87A8" w:rsidRDefault="703B87A8">
            <w:r w:rsidRPr="703B87A8">
              <w:rPr>
                <w:rFonts w:eastAsia="Calibri" w:cs="Calibri"/>
              </w:rPr>
              <w:lastRenderedPageBreak/>
              <w:t>Validation: CO &lt; 10 ppm</w:t>
            </w:r>
          </w:p>
          <w:p w14:paraId="1D565AB2" w14:textId="39754D2B" w:rsidR="703B87A8" w:rsidRDefault="703B87A8">
            <w:r w:rsidRPr="703B87A8">
              <w:rPr>
                <w:rFonts w:eastAsia="Calibri" w:cs="Calibri"/>
              </w:rPr>
              <w:t xml:space="preserve"> </w:t>
            </w:r>
          </w:p>
          <w:p w14:paraId="767B5396" w14:textId="577322C7" w:rsidR="703B87A8" w:rsidRDefault="703B87A8">
            <w:r w:rsidRPr="00C324F3">
              <w:rPr>
                <w:rFonts w:eastAsia="Calibri"/>
                <w:u w:val="single"/>
              </w:rPr>
              <w:t>Safety:</w:t>
            </w:r>
            <w:r w:rsidRPr="703B87A8">
              <w:rPr>
                <w:rFonts w:eastAsia="Calibri" w:cs="Calibri"/>
              </w:rPr>
              <w:t xml:space="preserve"> Adverse events</w:t>
            </w:r>
            <w:r w:rsidR="0058385F">
              <w:rPr>
                <w:rFonts w:eastAsia="Calibri" w:cs="Calibri"/>
              </w:rPr>
              <w:t xml:space="preserve"> m</w:t>
            </w:r>
            <w:r w:rsidRPr="703B87A8">
              <w:rPr>
                <w:rFonts w:eastAsia="Calibri" w:cs="Calibri"/>
              </w:rPr>
              <w:t>easured during treatment (up to 12 weeks post-quit date)</w:t>
            </w:r>
          </w:p>
        </w:tc>
      </w:tr>
      <w:tr w:rsidR="703B87A8" w14:paraId="0F117514" w14:textId="77777777" w:rsidTr="00EA7016">
        <w:tc>
          <w:tcPr>
            <w:tcW w:w="484" w:type="pct"/>
          </w:tcPr>
          <w:p w14:paraId="3ACB585A" w14:textId="03D54E45" w:rsidR="703B87A8" w:rsidRDefault="703B87A8">
            <w:r w:rsidRPr="703B87A8">
              <w:rPr>
                <w:rFonts w:eastAsia="Calibri" w:cs="Calibri"/>
              </w:rPr>
              <w:lastRenderedPageBreak/>
              <w:t>Rose 2010</w:t>
            </w:r>
          </w:p>
        </w:tc>
        <w:tc>
          <w:tcPr>
            <w:tcW w:w="301" w:type="pct"/>
          </w:tcPr>
          <w:p w14:paraId="5ED4B359" w14:textId="4D0F8486" w:rsidR="703B87A8" w:rsidRDefault="703B87A8">
            <w:r w:rsidRPr="703B87A8">
              <w:rPr>
                <w:rFonts w:eastAsia="Calibri" w:cs="Calibri"/>
              </w:rPr>
              <w:t>RCT</w:t>
            </w:r>
          </w:p>
        </w:tc>
        <w:tc>
          <w:tcPr>
            <w:tcW w:w="425" w:type="pct"/>
          </w:tcPr>
          <w:p w14:paraId="00A998F8" w14:textId="23375F1F" w:rsidR="703B87A8" w:rsidRDefault="703B87A8">
            <w:r w:rsidRPr="703B87A8">
              <w:rPr>
                <w:rFonts w:eastAsia="Calibri" w:cs="Calibri"/>
              </w:rPr>
              <w:t>USA</w:t>
            </w:r>
          </w:p>
        </w:tc>
        <w:tc>
          <w:tcPr>
            <w:tcW w:w="349" w:type="pct"/>
          </w:tcPr>
          <w:p w14:paraId="6A228DD0" w14:textId="2DE4B8AF" w:rsidR="703B87A8" w:rsidRDefault="00F2109D">
            <w:r>
              <w:rPr>
                <w:rFonts w:eastAsia="Calibri" w:cs="Calibri"/>
              </w:rPr>
              <w:t>N=</w:t>
            </w:r>
            <w:r w:rsidR="703B87A8" w:rsidRPr="703B87A8">
              <w:rPr>
                <w:rFonts w:eastAsia="Calibri" w:cs="Calibri"/>
              </w:rPr>
              <w:t>479</w:t>
            </w:r>
          </w:p>
        </w:tc>
        <w:tc>
          <w:tcPr>
            <w:tcW w:w="1392" w:type="pct"/>
          </w:tcPr>
          <w:p w14:paraId="62C7F094" w14:textId="557D84D3" w:rsidR="703B87A8" w:rsidRDefault="703B87A8">
            <w:r w:rsidRPr="703B87A8">
              <w:rPr>
                <w:rFonts w:eastAsia="Calibri" w:cs="Calibri"/>
              </w:rPr>
              <w:t xml:space="preserve">Smokers of ≥ 10 cpd, motivated to quit 43% men, </w:t>
            </w:r>
            <w:r w:rsidR="00097427" w:rsidRPr="703B87A8">
              <w:rPr>
                <w:rFonts w:eastAsia="Calibri" w:cs="Calibri"/>
              </w:rPr>
              <w:t>av</w:t>
            </w:r>
            <w:r w:rsidR="00097427">
              <w:rPr>
                <w:rFonts w:eastAsia="Calibri" w:cs="Calibri"/>
              </w:rPr>
              <w:t>erage</w:t>
            </w:r>
            <w:r w:rsidRPr="703B87A8">
              <w:rPr>
                <w:rFonts w:eastAsia="Calibri" w:cs="Calibri"/>
              </w:rPr>
              <w:t xml:space="preserve"> age 44,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w:t>
            </w:r>
          </w:p>
        </w:tc>
        <w:tc>
          <w:tcPr>
            <w:tcW w:w="1334" w:type="pct"/>
          </w:tcPr>
          <w:p w14:paraId="0AD119EA" w14:textId="5B4E3366" w:rsidR="703B87A8" w:rsidRDefault="703B87A8" w:rsidP="00C324F3">
            <w:pPr>
              <w:pStyle w:val="ListParagraph"/>
              <w:numPr>
                <w:ilvl w:val="0"/>
                <w:numId w:val="262"/>
              </w:numPr>
              <w:rPr>
                <w:rFonts w:eastAsia="Calibri" w:cs="Calibri"/>
              </w:rPr>
            </w:pPr>
            <w:r w:rsidRPr="703B87A8">
              <w:t>Nicotine patch, 21 mg group: weeks 1 - 7 21 mg/24-hour (1 active 21 mg/24-hour patch, 1 placebo patch)</w:t>
            </w:r>
          </w:p>
          <w:p w14:paraId="5F333DBD" w14:textId="27A0830C" w:rsidR="703B87A8" w:rsidRDefault="703B87A8" w:rsidP="00C324F3">
            <w:pPr>
              <w:pStyle w:val="ListParagraph"/>
              <w:numPr>
                <w:ilvl w:val="0"/>
                <w:numId w:val="262"/>
              </w:numPr>
              <w:rPr>
                <w:rFonts w:eastAsia="Calibri" w:cs="Calibri"/>
              </w:rPr>
            </w:pPr>
            <w:r w:rsidRPr="703B87A8">
              <w:t>Nicotine patch, 42 mg group: weeks 1 - 7 42 mg/24-hour (2 active 21 mg/24-hour patches)</w:t>
            </w:r>
          </w:p>
          <w:p w14:paraId="532F5C36" w14:textId="2D08D223" w:rsidR="703B87A8" w:rsidRDefault="703B87A8" w:rsidP="00C324F3">
            <w:pPr>
              <w:pStyle w:val="ListParagraph"/>
              <w:numPr>
                <w:ilvl w:val="0"/>
                <w:numId w:val="262"/>
              </w:numPr>
              <w:rPr>
                <w:rFonts w:eastAsia="Calibri" w:cs="Calibri"/>
              </w:rPr>
            </w:pPr>
            <w:r w:rsidRPr="703B87A8">
              <w:t>TQD set at 2 weeks. Weeks 7 - 12: all participants receive same NRT dose (weeks 7 - 8 21 mg/24-hour, weeks 9 - 10 14 mg/24-hour, weeks 11 - 12 7 mg/24-hour)</w:t>
            </w:r>
          </w:p>
          <w:p w14:paraId="4CE46585" w14:textId="5AFDFEC5" w:rsidR="703B87A8" w:rsidRDefault="703B87A8" w:rsidP="00C324F3">
            <w:pPr>
              <w:pStyle w:val="ListParagraph"/>
              <w:numPr>
                <w:ilvl w:val="0"/>
                <w:numId w:val="262"/>
              </w:numPr>
              <w:rPr>
                <w:rFonts w:eastAsia="Calibri" w:cs="Calibri"/>
              </w:rPr>
            </w:pPr>
            <w:r w:rsidRPr="703B87A8">
              <w:t>All participants provided with denicotinized cigarettes during 2-wk pre-cessation period to minimize adverse effects of high dose NRT</w:t>
            </w:r>
          </w:p>
        </w:tc>
        <w:tc>
          <w:tcPr>
            <w:tcW w:w="714" w:type="pct"/>
          </w:tcPr>
          <w:p w14:paraId="3E6F11E1" w14:textId="4B5D8478" w:rsidR="007F5B45" w:rsidRDefault="703B87A8">
            <w:pPr>
              <w:rPr>
                <w:rFonts w:eastAsia="Calibri" w:cs="Calibri"/>
              </w:rPr>
            </w:pPr>
            <w:r w:rsidRPr="00C324F3">
              <w:rPr>
                <w:rFonts w:eastAsia="Calibri"/>
                <w:u w:val="single"/>
              </w:rPr>
              <w:t>Efficacy:</w:t>
            </w:r>
            <w:r w:rsidRPr="703B87A8">
              <w:rPr>
                <w:rFonts w:eastAsia="Calibri" w:cs="Calibri"/>
              </w:rPr>
              <w:t xml:space="preserve"> PPA at 6 m</w:t>
            </w:r>
            <w:r w:rsidR="007F5B45">
              <w:rPr>
                <w:rFonts w:eastAsia="Calibri" w:cs="Calibri"/>
              </w:rPr>
              <w:t>onths</w:t>
            </w:r>
            <w:r w:rsidRPr="703B87A8">
              <w:rPr>
                <w:rFonts w:eastAsia="Calibri" w:cs="Calibri"/>
              </w:rPr>
              <w:t xml:space="preserve">. </w:t>
            </w:r>
          </w:p>
          <w:p w14:paraId="501ADEAD" w14:textId="3E36267B" w:rsidR="703B87A8" w:rsidRDefault="703B87A8">
            <w:r w:rsidRPr="703B87A8">
              <w:rPr>
                <w:rFonts w:eastAsia="Calibri" w:cs="Calibri"/>
              </w:rPr>
              <w:t>Validation: CO ≤ 10 ppm</w:t>
            </w:r>
          </w:p>
          <w:p w14:paraId="2D3C9B0F" w14:textId="1FCD1A7A" w:rsidR="703B87A8" w:rsidRDefault="703B87A8">
            <w:r w:rsidRPr="703B87A8">
              <w:rPr>
                <w:rFonts w:eastAsia="Calibri" w:cs="Calibri"/>
              </w:rPr>
              <w:t xml:space="preserve"> </w:t>
            </w:r>
          </w:p>
          <w:p w14:paraId="013BF934" w14:textId="375660AC" w:rsidR="703B87A8" w:rsidRDefault="703B87A8">
            <w:r w:rsidRPr="00C324F3">
              <w:rPr>
                <w:rFonts w:eastAsia="Calibri"/>
                <w:u w:val="single"/>
              </w:rPr>
              <w:t>Safety:</w:t>
            </w:r>
            <w:r w:rsidRPr="703B87A8">
              <w:rPr>
                <w:rFonts w:eastAsia="Calibri" w:cs="Calibri"/>
              </w:rPr>
              <w:t xml:space="preserve"> Adverse events. Measured during treatment (treatment length 12 weeks</w:t>
            </w:r>
            <w:r w:rsidRPr="703B87A8">
              <w:rPr>
                <w:rFonts w:eastAsia="Calibri" w:cs="Calibri"/>
                <w:u w:val="single"/>
              </w:rPr>
              <w:t>)</w:t>
            </w:r>
          </w:p>
        </w:tc>
      </w:tr>
      <w:tr w:rsidR="703B87A8" w14:paraId="1E14D6A6" w14:textId="77777777" w:rsidTr="00EA7016">
        <w:tc>
          <w:tcPr>
            <w:tcW w:w="484" w:type="pct"/>
          </w:tcPr>
          <w:p w14:paraId="1F03761C" w14:textId="73080E6A" w:rsidR="703B87A8" w:rsidRPr="001973C3" w:rsidRDefault="703B87A8">
            <w:pPr>
              <w:rPr>
                <w:rFonts w:eastAsia="Calibri" w:cs="Calibri"/>
              </w:rPr>
            </w:pPr>
            <w:r w:rsidRPr="001973C3">
              <w:rPr>
                <w:rFonts w:eastAsia="Calibri" w:cs="Calibri"/>
              </w:rPr>
              <w:t>Garvey 2000</w:t>
            </w:r>
          </w:p>
        </w:tc>
        <w:tc>
          <w:tcPr>
            <w:tcW w:w="301" w:type="pct"/>
          </w:tcPr>
          <w:p w14:paraId="30054810" w14:textId="715D525D" w:rsidR="703B87A8" w:rsidRDefault="703B87A8">
            <w:r w:rsidRPr="703B87A8">
              <w:rPr>
                <w:rFonts w:eastAsia="Calibri" w:cs="Calibri"/>
              </w:rPr>
              <w:t>RCT</w:t>
            </w:r>
          </w:p>
        </w:tc>
        <w:tc>
          <w:tcPr>
            <w:tcW w:w="425" w:type="pct"/>
          </w:tcPr>
          <w:p w14:paraId="5BCEB100" w14:textId="3486436B" w:rsidR="703B87A8" w:rsidRDefault="703B87A8">
            <w:r w:rsidRPr="703B87A8">
              <w:rPr>
                <w:rFonts w:eastAsia="Calibri" w:cs="Calibri"/>
              </w:rPr>
              <w:t>USA</w:t>
            </w:r>
          </w:p>
        </w:tc>
        <w:tc>
          <w:tcPr>
            <w:tcW w:w="349" w:type="pct"/>
          </w:tcPr>
          <w:p w14:paraId="0CC4872B" w14:textId="3A8DCCEB" w:rsidR="703B87A8" w:rsidRDefault="00F2109D">
            <w:r>
              <w:rPr>
                <w:rFonts w:eastAsia="Calibri" w:cs="Calibri"/>
              </w:rPr>
              <w:t>N=</w:t>
            </w:r>
            <w:r w:rsidR="703B87A8" w:rsidRPr="703B87A8">
              <w:rPr>
                <w:rFonts w:eastAsia="Calibri" w:cs="Calibri"/>
              </w:rPr>
              <w:t>608</w:t>
            </w:r>
          </w:p>
        </w:tc>
        <w:tc>
          <w:tcPr>
            <w:tcW w:w="1392" w:type="pct"/>
          </w:tcPr>
          <w:p w14:paraId="11E86F4B" w14:textId="3B4E1ED1" w:rsidR="703B87A8" w:rsidRDefault="703B87A8">
            <w:r w:rsidRPr="703B87A8">
              <w:rPr>
                <w:rFonts w:eastAsia="Calibri" w:cs="Calibri"/>
              </w:rPr>
              <w:t xml:space="preserve">Smokers, aged &gt; 20, smoking &gt; 5 </w:t>
            </w:r>
            <w:r w:rsidR="00EC221A">
              <w:rPr>
                <w:rFonts w:eastAsia="Calibri" w:cs="Calibri"/>
              </w:rPr>
              <w:t>CPD</w:t>
            </w:r>
            <w:r w:rsidRPr="703B87A8">
              <w:rPr>
                <w:rFonts w:eastAsia="Calibri" w:cs="Calibri"/>
              </w:rPr>
              <w:t xml:space="preserve"> 49% men, </w:t>
            </w:r>
            <w:r w:rsidR="00097427" w:rsidRPr="703B87A8">
              <w:rPr>
                <w:rFonts w:eastAsia="Calibri" w:cs="Calibri"/>
              </w:rPr>
              <w:t>av</w:t>
            </w:r>
            <w:r w:rsidR="00097427">
              <w:rPr>
                <w:rFonts w:eastAsia="Calibri" w:cs="Calibri"/>
              </w:rPr>
              <w:t>erage</w:t>
            </w:r>
            <w:r w:rsidRPr="703B87A8">
              <w:rPr>
                <w:rFonts w:eastAsia="Calibri" w:cs="Calibri"/>
              </w:rPr>
              <w:t xml:space="preserve"> </w:t>
            </w:r>
            <w:r w:rsidR="00097427">
              <w:rPr>
                <w:rFonts w:eastAsia="Calibri" w:cs="Calibri"/>
              </w:rPr>
              <w:t>CPD</w:t>
            </w:r>
            <w:r w:rsidRPr="703B87A8">
              <w:rPr>
                <w:rFonts w:eastAsia="Calibri" w:cs="Calibri"/>
              </w:rPr>
              <w:t xml:space="preserve"> 23</w:t>
            </w:r>
          </w:p>
        </w:tc>
        <w:tc>
          <w:tcPr>
            <w:tcW w:w="1334" w:type="pct"/>
          </w:tcPr>
          <w:p w14:paraId="4A2ED9B9" w14:textId="45624001" w:rsidR="703B87A8" w:rsidRDefault="703B87A8" w:rsidP="00C324F3">
            <w:pPr>
              <w:pStyle w:val="ListParagraph"/>
              <w:numPr>
                <w:ilvl w:val="0"/>
                <w:numId w:val="261"/>
              </w:numPr>
              <w:rPr>
                <w:rFonts w:eastAsia="Calibri" w:cs="Calibri"/>
              </w:rPr>
            </w:pPr>
            <w:r w:rsidRPr="703B87A8">
              <w:t>4 mg nicotine gum (recommended 9 - 15 pieces), weaning from 2 m</w:t>
            </w:r>
          </w:p>
          <w:p w14:paraId="66EE4CAF" w14:textId="687D7C72" w:rsidR="703B87A8" w:rsidRDefault="703B87A8" w:rsidP="00C324F3">
            <w:pPr>
              <w:pStyle w:val="ListParagraph"/>
              <w:numPr>
                <w:ilvl w:val="0"/>
                <w:numId w:val="261"/>
              </w:numPr>
              <w:rPr>
                <w:rFonts w:eastAsia="Calibri" w:cs="Calibri"/>
              </w:rPr>
            </w:pPr>
            <w:r w:rsidRPr="703B87A8">
              <w:t>2 mg nicotine gum use as 1</w:t>
            </w:r>
          </w:p>
          <w:p w14:paraId="67AF1397" w14:textId="061529F7" w:rsidR="703B87A8" w:rsidRDefault="703B87A8" w:rsidP="00C324F3">
            <w:pPr>
              <w:pStyle w:val="ListParagraph"/>
              <w:numPr>
                <w:ilvl w:val="0"/>
                <w:numId w:val="261"/>
              </w:numPr>
              <w:rPr>
                <w:rFonts w:eastAsia="Calibri" w:cs="Calibri"/>
              </w:rPr>
            </w:pPr>
            <w:r w:rsidRPr="703B87A8">
              <w:t>Placebo gum</w:t>
            </w:r>
          </w:p>
          <w:p w14:paraId="5ABC8F15" w14:textId="782C7526" w:rsidR="703B87A8" w:rsidRDefault="703B87A8" w:rsidP="00C324F3">
            <w:pPr>
              <w:pStyle w:val="ListParagraph"/>
              <w:numPr>
                <w:ilvl w:val="0"/>
                <w:numId w:val="261"/>
              </w:numPr>
              <w:rPr>
                <w:rFonts w:eastAsia="Calibri" w:cs="Calibri"/>
              </w:rPr>
            </w:pPr>
            <w:r w:rsidRPr="703B87A8">
              <w:t>All received brief counselling (5 - 10 mins) at each study visit (1, 7, 14, 30 days, 2, 3, 6, 9, 12 m)</w:t>
            </w:r>
          </w:p>
        </w:tc>
        <w:tc>
          <w:tcPr>
            <w:tcW w:w="714" w:type="pct"/>
          </w:tcPr>
          <w:p w14:paraId="283A3C0B" w14:textId="260DC9A5" w:rsidR="703B87A8" w:rsidRDefault="703B87A8">
            <w:r w:rsidRPr="00C324F3">
              <w:rPr>
                <w:rFonts w:eastAsia="Calibri"/>
                <w:u w:val="single"/>
              </w:rPr>
              <w:t>Efficacy:</w:t>
            </w:r>
            <w:r w:rsidRPr="703B87A8">
              <w:rPr>
                <w:rFonts w:eastAsia="Calibri" w:cs="Calibri"/>
              </w:rPr>
              <w:t xml:space="preserve"> Sustained abstinence at 12 m</w:t>
            </w:r>
            <w:r w:rsidR="007F5B45">
              <w:rPr>
                <w:rFonts w:eastAsia="Calibri" w:cs="Calibri"/>
              </w:rPr>
              <w:t>onths</w:t>
            </w:r>
            <w:r w:rsidRPr="703B87A8">
              <w:rPr>
                <w:rFonts w:eastAsia="Calibri" w:cs="Calibri"/>
              </w:rPr>
              <w:t xml:space="preserve"> (relapse defined as 7+ consecutive days or episodes of smoking)</w:t>
            </w:r>
            <w:r w:rsidR="007F5B45">
              <w:rPr>
                <w:rFonts w:eastAsia="Calibri" w:cs="Calibri"/>
              </w:rPr>
              <w:t>.</w:t>
            </w:r>
            <w:r w:rsidRPr="703B87A8">
              <w:rPr>
                <w:rFonts w:eastAsia="Calibri" w:cs="Calibri"/>
              </w:rPr>
              <w:t xml:space="preserve"> Validation: CO ≤ 8 ppm</w:t>
            </w:r>
          </w:p>
          <w:p w14:paraId="3A7AB2B9" w14:textId="1AB473CB" w:rsidR="703B87A8" w:rsidRDefault="703B87A8">
            <w:r w:rsidRPr="703B87A8">
              <w:rPr>
                <w:rFonts w:eastAsia="Calibri" w:cs="Calibri"/>
              </w:rPr>
              <w:t xml:space="preserve"> </w:t>
            </w:r>
          </w:p>
          <w:p w14:paraId="26C6B60E" w14:textId="164FEFFA" w:rsidR="703B87A8" w:rsidRDefault="703B87A8">
            <w:r w:rsidRPr="00C324F3">
              <w:rPr>
                <w:rFonts w:eastAsia="Calibri"/>
                <w:u w:val="single"/>
              </w:rPr>
              <w:t>Safety:</w:t>
            </w:r>
            <w:r w:rsidRPr="703B87A8">
              <w:rPr>
                <w:rFonts w:eastAsia="Calibri" w:cs="Calibri"/>
              </w:rPr>
              <w:t xml:space="preserve"> NR</w:t>
            </w:r>
          </w:p>
        </w:tc>
      </w:tr>
      <w:tr w:rsidR="703B87A8" w14:paraId="58231192" w14:textId="77777777" w:rsidTr="00EA7016">
        <w:tc>
          <w:tcPr>
            <w:tcW w:w="484" w:type="pct"/>
          </w:tcPr>
          <w:p w14:paraId="0F2FD3C8" w14:textId="1424528B" w:rsidR="703B87A8" w:rsidRPr="001973C3" w:rsidRDefault="703B87A8">
            <w:pPr>
              <w:rPr>
                <w:rFonts w:eastAsia="Calibri" w:cs="Calibri"/>
              </w:rPr>
            </w:pPr>
            <w:r w:rsidRPr="001973C3">
              <w:rPr>
                <w:rFonts w:eastAsia="Calibri" w:cs="Calibri"/>
              </w:rPr>
              <w:lastRenderedPageBreak/>
              <w:t>Herrera 1995</w:t>
            </w:r>
          </w:p>
        </w:tc>
        <w:tc>
          <w:tcPr>
            <w:tcW w:w="301" w:type="pct"/>
          </w:tcPr>
          <w:p w14:paraId="5B3FC93B" w14:textId="6C32C610" w:rsidR="703B87A8" w:rsidRDefault="703B87A8">
            <w:r w:rsidRPr="703B87A8">
              <w:rPr>
                <w:rFonts w:eastAsia="Calibri" w:cs="Calibri"/>
              </w:rPr>
              <w:t>RCT</w:t>
            </w:r>
          </w:p>
        </w:tc>
        <w:tc>
          <w:tcPr>
            <w:tcW w:w="425" w:type="pct"/>
          </w:tcPr>
          <w:p w14:paraId="2A89569F" w14:textId="476DA2B3" w:rsidR="703B87A8" w:rsidRDefault="703B87A8">
            <w:r w:rsidRPr="703B87A8">
              <w:rPr>
                <w:rFonts w:eastAsia="Calibri" w:cs="Calibri"/>
              </w:rPr>
              <w:t>Venezuela</w:t>
            </w:r>
          </w:p>
        </w:tc>
        <w:tc>
          <w:tcPr>
            <w:tcW w:w="349" w:type="pct"/>
          </w:tcPr>
          <w:p w14:paraId="67B1AD11" w14:textId="6CFB27D0" w:rsidR="703B87A8" w:rsidRDefault="00F2109D">
            <w:r>
              <w:rPr>
                <w:rFonts w:eastAsia="Calibri" w:cs="Calibri"/>
              </w:rPr>
              <w:t>N=</w:t>
            </w:r>
            <w:r w:rsidR="703B87A8" w:rsidRPr="703B87A8">
              <w:rPr>
                <w:rFonts w:eastAsia="Calibri" w:cs="Calibri"/>
              </w:rPr>
              <w:t>322</w:t>
            </w:r>
          </w:p>
        </w:tc>
        <w:tc>
          <w:tcPr>
            <w:tcW w:w="1392" w:type="pct"/>
          </w:tcPr>
          <w:p w14:paraId="4F79EFA5" w14:textId="1DAD1D36" w:rsidR="703B87A8" w:rsidRDefault="703B87A8">
            <w:r w:rsidRPr="703B87A8">
              <w:rPr>
                <w:rFonts w:eastAsia="Calibri" w:cs="Calibri"/>
              </w:rPr>
              <w:t xml:space="preserve">Smokers &gt; 10 </w:t>
            </w:r>
            <w:r w:rsidR="00097427">
              <w:rPr>
                <w:rFonts w:eastAsia="Calibri" w:cs="Calibri"/>
              </w:rPr>
              <w:t>CPD</w:t>
            </w:r>
            <w:r w:rsidRPr="703B87A8">
              <w:rPr>
                <w:rFonts w:eastAsia="Calibri" w:cs="Calibri"/>
              </w:rPr>
              <w:t xml:space="preserve">, scoring ≥ 4 on FTND, no serious illness. Only those who were ready to quit after 4 weeks of behavioural treatment were randomized 57% men, </w:t>
            </w:r>
            <w:r w:rsidR="00097427" w:rsidRPr="703B87A8">
              <w:rPr>
                <w:rFonts w:eastAsia="Calibri" w:cs="Calibri"/>
              </w:rPr>
              <w:t>av</w:t>
            </w:r>
            <w:r w:rsidR="00097427">
              <w:rPr>
                <w:rFonts w:eastAsia="Calibri" w:cs="Calibri"/>
              </w:rPr>
              <w:t>erage</w:t>
            </w:r>
            <w:r w:rsidRPr="703B87A8">
              <w:rPr>
                <w:rFonts w:eastAsia="Calibri" w:cs="Calibri"/>
              </w:rPr>
              <w:t xml:space="preserve"> age ˜38, </w:t>
            </w:r>
            <w:r w:rsidR="00097427" w:rsidRPr="703B87A8">
              <w:rPr>
                <w:rFonts w:eastAsia="Calibri" w:cs="Calibri"/>
              </w:rPr>
              <w:t>av</w:t>
            </w:r>
            <w:r w:rsidR="00097427">
              <w:rPr>
                <w:rFonts w:eastAsia="Calibri" w:cs="Calibri"/>
              </w:rPr>
              <w:t>erage</w:t>
            </w:r>
            <w:r w:rsidR="00097427" w:rsidRPr="703B87A8" w:rsidDel="00097427">
              <w:rPr>
                <w:rFonts w:eastAsia="Calibri" w:cs="Calibri"/>
              </w:rPr>
              <w:t xml:space="preserve"> </w:t>
            </w:r>
            <w:r w:rsidR="00EC221A">
              <w:rPr>
                <w:rFonts w:eastAsia="Calibri" w:cs="Calibri"/>
              </w:rPr>
              <w:t>CPD</w:t>
            </w:r>
            <w:r w:rsidRPr="703B87A8">
              <w:rPr>
                <w:rFonts w:eastAsia="Calibri" w:cs="Calibri"/>
              </w:rPr>
              <w:t xml:space="preserve"> 33 for high dependence, 16 for low dependence</w:t>
            </w:r>
          </w:p>
        </w:tc>
        <w:tc>
          <w:tcPr>
            <w:tcW w:w="1334" w:type="pct"/>
          </w:tcPr>
          <w:p w14:paraId="6DFD2D8E" w14:textId="67F6FC20" w:rsidR="703B87A8" w:rsidRDefault="703B87A8" w:rsidP="00C324F3">
            <w:pPr>
              <w:pStyle w:val="ListParagraph"/>
              <w:numPr>
                <w:ilvl w:val="0"/>
                <w:numId w:val="260"/>
              </w:numPr>
              <w:rPr>
                <w:rFonts w:eastAsia="Calibri" w:cs="Calibri"/>
              </w:rPr>
            </w:pPr>
            <w:r w:rsidRPr="703B87A8">
              <w:t>Low-dependence smokers (FTND 4 - 6):</w:t>
            </w:r>
          </w:p>
          <w:p w14:paraId="50B33B19" w14:textId="4A584282" w:rsidR="703B87A8" w:rsidRDefault="703B87A8" w:rsidP="00C324F3">
            <w:pPr>
              <w:pStyle w:val="ListParagraph"/>
              <w:numPr>
                <w:ilvl w:val="0"/>
                <w:numId w:val="260"/>
              </w:numPr>
              <w:rPr>
                <w:rFonts w:eastAsia="Calibri" w:cs="Calibri"/>
              </w:rPr>
            </w:pPr>
            <w:r w:rsidRPr="703B87A8">
              <w:t>2 mg nicotine gum</w:t>
            </w:r>
          </w:p>
          <w:p w14:paraId="2216E7E8" w14:textId="60A639EE" w:rsidR="703B87A8" w:rsidRDefault="703B87A8" w:rsidP="00C324F3">
            <w:pPr>
              <w:pStyle w:val="ListParagraph"/>
              <w:numPr>
                <w:ilvl w:val="0"/>
                <w:numId w:val="260"/>
              </w:numPr>
              <w:rPr>
                <w:rFonts w:eastAsia="Calibri" w:cs="Calibri"/>
              </w:rPr>
            </w:pPr>
            <w:r w:rsidRPr="703B87A8">
              <w:t>Placebo gum</w:t>
            </w:r>
          </w:p>
          <w:p w14:paraId="271A39A2" w14:textId="2C786779" w:rsidR="703B87A8" w:rsidRDefault="703B87A8">
            <w:r w:rsidRPr="703B87A8">
              <w:rPr>
                <w:rFonts w:eastAsia="Calibri" w:cs="Calibri"/>
              </w:rPr>
              <w:t xml:space="preserve"> </w:t>
            </w:r>
          </w:p>
          <w:p w14:paraId="722CA8F9" w14:textId="175AB29F" w:rsidR="703B87A8" w:rsidRDefault="703B87A8" w:rsidP="00C324F3">
            <w:pPr>
              <w:pStyle w:val="ListParagraph"/>
              <w:numPr>
                <w:ilvl w:val="0"/>
                <w:numId w:val="260"/>
              </w:numPr>
              <w:rPr>
                <w:rFonts w:eastAsia="Calibri" w:cs="Calibri"/>
              </w:rPr>
            </w:pPr>
            <w:r w:rsidRPr="703B87A8">
              <w:t>High-dependence smokers (FTND 7 - 11):</w:t>
            </w:r>
          </w:p>
          <w:p w14:paraId="5B131BB9" w14:textId="5207498B" w:rsidR="703B87A8" w:rsidRDefault="703B87A8" w:rsidP="00C324F3">
            <w:pPr>
              <w:pStyle w:val="ListParagraph"/>
              <w:numPr>
                <w:ilvl w:val="0"/>
                <w:numId w:val="260"/>
              </w:numPr>
              <w:rPr>
                <w:rFonts w:eastAsia="Calibri" w:cs="Calibri"/>
              </w:rPr>
            </w:pPr>
            <w:r w:rsidRPr="703B87A8">
              <w:t>4 mg nicotine gum plus</w:t>
            </w:r>
          </w:p>
          <w:p w14:paraId="701681A0" w14:textId="0502D48E" w:rsidR="703B87A8" w:rsidRDefault="703B87A8" w:rsidP="00C324F3">
            <w:pPr>
              <w:pStyle w:val="ListParagraph"/>
              <w:numPr>
                <w:ilvl w:val="0"/>
                <w:numId w:val="260"/>
              </w:numPr>
              <w:rPr>
                <w:rFonts w:eastAsia="Calibri" w:cs="Calibri"/>
              </w:rPr>
            </w:pPr>
            <w:r w:rsidRPr="703B87A8">
              <w:t>2 mg nicotine gum</w:t>
            </w:r>
          </w:p>
          <w:p w14:paraId="291C0C5A" w14:textId="14E5BE4F" w:rsidR="703B87A8" w:rsidRDefault="703B87A8">
            <w:r w:rsidRPr="703B87A8">
              <w:rPr>
                <w:rFonts w:eastAsia="Calibri" w:cs="Calibri"/>
              </w:rPr>
              <w:t xml:space="preserve"> </w:t>
            </w:r>
          </w:p>
          <w:p w14:paraId="48D7CB00" w14:textId="2A0F0191" w:rsidR="703B87A8" w:rsidRDefault="703B87A8" w:rsidP="00C324F3">
            <w:pPr>
              <w:pStyle w:val="ListParagraph"/>
              <w:numPr>
                <w:ilvl w:val="0"/>
                <w:numId w:val="260"/>
              </w:numPr>
              <w:rPr>
                <w:rFonts w:eastAsia="Calibri" w:cs="Calibri"/>
              </w:rPr>
            </w:pPr>
            <w:r w:rsidRPr="703B87A8">
              <w:t>Participants also randomized to starting medication with increasing dose for 1 week before TQD, or to start at full dose on TQD - there was no blinding for this</w:t>
            </w:r>
          </w:p>
        </w:tc>
        <w:tc>
          <w:tcPr>
            <w:tcW w:w="714" w:type="pct"/>
          </w:tcPr>
          <w:p w14:paraId="6A392192" w14:textId="15466ED8" w:rsidR="703B87A8" w:rsidRDefault="703B87A8">
            <w:r w:rsidRPr="00C324F3">
              <w:rPr>
                <w:rFonts w:eastAsia="Calibri"/>
                <w:u w:val="single"/>
              </w:rPr>
              <w:t>Efficacy:</w:t>
            </w:r>
            <w:r w:rsidRPr="703B87A8">
              <w:rPr>
                <w:rFonts w:eastAsia="Calibri" w:cs="Calibri"/>
              </w:rPr>
              <w:t xml:space="preserve"> Sustained abstinence at 2 y</w:t>
            </w:r>
            <w:r w:rsidR="007F5B45">
              <w:rPr>
                <w:rFonts w:eastAsia="Calibri" w:cs="Calibri"/>
              </w:rPr>
              <w:t>ea</w:t>
            </w:r>
            <w:r w:rsidRPr="703B87A8">
              <w:rPr>
                <w:rFonts w:eastAsia="Calibri" w:cs="Calibri"/>
              </w:rPr>
              <w:t>rs (1y</w:t>
            </w:r>
            <w:r w:rsidR="007F5B45">
              <w:rPr>
                <w:rFonts w:eastAsia="Calibri" w:cs="Calibri"/>
              </w:rPr>
              <w:t>ea</w:t>
            </w:r>
            <w:r w:rsidRPr="703B87A8">
              <w:rPr>
                <w:rFonts w:eastAsia="Calibri" w:cs="Calibri"/>
              </w:rPr>
              <w:t>r also reported) Validation: expired CO &lt; 6 ppm</w:t>
            </w:r>
          </w:p>
          <w:p w14:paraId="4F2EA2A5" w14:textId="492F4285" w:rsidR="703B87A8" w:rsidRDefault="703B87A8">
            <w:r w:rsidRPr="703B87A8">
              <w:rPr>
                <w:rFonts w:eastAsia="Calibri" w:cs="Calibri"/>
              </w:rPr>
              <w:t xml:space="preserve"> </w:t>
            </w:r>
          </w:p>
          <w:p w14:paraId="0EF7F5A6" w14:textId="4A172039" w:rsidR="703B87A8" w:rsidRDefault="703B87A8">
            <w:r w:rsidRPr="00C324F3">
              <w:rPr>
                <w:rFonts w:eastAsia="Calibri"/>
                <w:u w:val="single"/>
              </w:rPr>
              <w:t>Safety:</w:t>
            </w:r>
            <w:r w:rsidRPr="703B87A8">
              <w:rPr>
                <w:rFonts w:eastAsia="Calibri" w:cs="Calibri"/>
              </w:rPr>
              <w:t xml:space="preserve"> Adverse events measured daily during treatment</w:t>
            </w:r>
          </w:p>
        </w:tc>
      </w:tr>
      <w:tr w:rsidR="703B87A8" w14:paraId="4FBFB913" w14:textId="77777777" w:rsidTr="00EA7016">
        <w:tc>
          <w:tcPr>
            <w:tcW w:w="484" w:type="pct"/>
          </w:tcPr>
          <w:p w14:paraId="0A3D59B9" w14:textId="3EC45202" w:rsidR="703B87A8" w:rsidRPr="001973C3" w:rsidRDefault="703B87A8">
            <w:pPr>
              <w:rPr>
                <w:rFonts w:eastAsia="Calibri" w:cs="Calibri"/>
              </w:rPr>
            </w:pPr>
            <w:r w:rsidRPr="001973C3">
              <w:rPr>
                <w:rFonts w:eastAsia="Calibri" w:cs="Calibri"/>
              </w:rPr>
              <w:t>Kornitzer 1987</w:t>
            </w:r>
          </w:p>
        </w:tc>
        <w:tc>
          <w:tcPr>
            <w:tcW w:w="301" w:type="pct"/>
          </w:tcPr>
          <w:p w14:paraId="3C8F0EAA" w14:textId="5229A687" w:rsidR="703B87A8" w:rsidRDefault="703B87A8">
            <w:r w:rsidRPr="703B87A8">
              <w:rPr>
                <w:rFonts w:eastAsia="Calibri" w:cs="Calibri"/>
              </w:rPr>
              <w:t>RCT</w:t>
            </w:r>
          </w:p>
        </w:tc>
        <w:tc>
          <w:tcPr>
            <w:tcW w:w="425" w:type="pct"/>
          </w:tcPr>
          <w:p w14:paraId="7692EE6B" w14:textId="245C5FEE" w:rsidR="703B87A8" w:rsidRDefault="703B87A8">
            <w:r w:rsidRPr="703B87A8">
              <w:rPr>
                <w:rFonts w:eastAsia="Calibri" w:cs="Calibri"/>
              </w:rPr>
              <w:t>Belgium</w:t>
            </w:r>
          </w:p>
        </w:tc>
        <w:tc>
          <w:tcPr>
            <w:tcW w:w="349" w:type="pct"/>
          </w:tcPr>
          <w:p w14:paraId="7416AC46" w14:textId="7A334B99" w:rsidR="703B87A8" w:rsidRDefault="00F2109D">
            <w:r>
              <w:rPr>
                <w:rFonts w:eastAsia="Calibri" w:cs="Calibri"/>
              </w:rPr>
              <w:t>N=</w:t>
            </w:r>
            <w:r w:rsidR="703B87A8" w:rsidRPr="703B87A8">
              <w:rPr>
                <w:rFonts w:eastAsia="Calibri" w:cs="Calibri"/>
              </w:rPr>
              <w:t xml:space="preserve">199 </w:t>
            </w:r>
          </w:p>
        </w:tc>
        <w:tc>
          <w:tcPr>
            <w:tcW w:w="1392" w:type="pct"/>
          </w:tcPr>
          <w:p w14:paraId="6E776CB8" w14:textId="743BF6AE" w:rsidR="703B87A8" w:rsidRDefault="703B87A8">
            <w:r w:rsidRPr="703B87A8">
              <w:rPr>
                <w:rFonts w:eastAsia="Calibri" w:cs="Calibri"/>
              </w:rPr>
              <w:t>Smokers (</w:t>
            </w:r>
            <w:r w:rsidR="00097427" w:rsidRPr="703B87A8">
              <w:rPr>
                <w:rFonts w:eastAsia="Calibri" w:cs="Calibri"/>
              </w:rPr>
              <w:t>av</w:t>
            </w:r>
            <w:r w:rsidR="00097427">
              <w:rPr>
                <w:rFonts w:eastAsia="Calibri" w:cs="Calibri"/>
              </w:rPr>
              <w:t>erage</w:t>
            </w:r>
            <w:r w:rsidRPr="703B87A8">
              <w:rPr>
                <w:rFonts w:eastAsia="Calibri" w:cs="Calibri"/>
              </w:rPr>
              <w:t xml:space="preserve"> </w:t>
            </w:r>
            <w:r w:rsidR="00EC221A">
              <w:rPr>
                <w:rFonts w:eastAsia="Calibri" w:cs="Calibri"/>
              </w:rPr>
              <w:t>CPD</w:t>
            </w:r>
            <w:r w:rsidRPr="703B87A8">
              <w:rPr>
                <w:rFonts w:eastAsia="Calibri" w:cs="Calibri"/>
              </w:rPr>
              <w:t xml:space="preserve"> 24 - 5)</w:t>
            </w:r>
          </w:p>
        </w:tc>
        <w:tc>
          <w:tcPr>
            <w:tcW w:w="1334" w:type="pct"/>
          </w:tcPr>
          <w:p w14:paraId="71B35BDF" w14:textId="419555CC" w:rsidR="703B87A8" w:rsidRDefault="703B87A8" w:rsidP="00C324F3">
            <w:pPr>
              <w:pStyle w:val="ListParagraph"/>
              <w:numPr>
                <w:ilvl w:val="0"/>
                <w:numId w:val="259"/>
              </w:numPr>
              <w:rPr>
                <w:rFonts w:eastAsia="Calibri" w:cs="Calibri"/>
              </w:rPr>
            </w:pPr>
            <w:r w:rsidRPr="703B87A8">
              <w:t>Nicotine gum (4 mg) for at least 3 m Nicotine gum (2 mg) for same time period</w:t>
            </w:r>
          </w:p>
        </w:tc>
        <w:tc>
          <w:tcPr>
            <w:tcW w:w="714" w:type="pct"/>
          </w:tcPr>
          <w:p w14:paraId="60B8B706" w14:textId="7B852438" w:rsidR="703B87A8" w:rsidRDefault="703B87A8">
            <w:r w:rsidRPr="00C324F3">
              <w:rPr>
                <w:rFonts w:eastAsia="Calibri"/>
                <w:u w:val="single"/>
              </w:rPr>
              <w:t>Efficacy:</w:t>
            </w:r>
            <w:r w:rsidRPr="703B87A8">
              <w:rPr>
                <w:rFonts w:eastAsia="Calibri" w:cs="Calibri"/>
              </w:rPr>
              <w:t xml:space="preserve"> PPA at 12 m</w:t>
            </w:r>
          </w:p>
          <w:p w14:paraId="6A538C9B" w14:textId="01B070E6" w:rsidR="703B87A8" w:rsidRDefault="703B87A8">
            <w:r w:rsidRPr="703B87A8">
              <w:rPr>
                <w:rFonts w:eastAsia="Calibri" w:cs="Calibri"/>
              </w:rPr>
              <w:t xml:space="preserve">Validation: cotinine and </w:t>
            </w:r>
            <w:r w:rsidR="000F2987" w:rsidRPr="703B87A8">
              <w:rPr>
                <w:rFonts w:eastAsia="Calibri" w:cs="Calibri"/>
              </w:rPr>
              <w:t>carboxyhaemoglobin</w:t>
            </w:r>
            <w:r w:rsidRPr="703B87A8">
              <w:rPr>
                <w:rFonts w:eastAsia="Calibri" w:cs="Calibri"/>
              </w:rPr>
              <w:t xml:space="preserve"> in a subsample of participants</w:t>
            </w:r>
          </w:p>
          <w:p w14:paraId="73C57E45" w14:textId="365B46A2" w:rsidR="703B87A8" w:rsidRDefault="703B87A8">
            <w:r w:rsidRPr="703B87A8">
              <w:rPr>
                <w:rFonts w:eastAsia="Calibri" w:cs="Calibri"/>
              </w:rPr>
              <w:t xml:space="preserve"> </w:t>
            </w:r>
          </w:p>
          <w:p w14:paraId="7E2463BD" w14:textId="2CE1732E" w:rsidR="703B87A8" w:rsidRDefault="703B87A8">
            <w:r w:rsidRPr="00C324F3">
              <w:rPr>
                <w:rFonts w:eastAsia="Calibri"/>
                <w:u w:val="single"/>
              </w:rPr>
              <w:t>Safety:</w:t>
            </w:r>
            <w:r w:rsidRPr="703B87A8">
              <w:rPr>
                <w:rFonts w:eastAsia="Calibri" w:cs="Calibri"/>
              </w:rPr>
              <w:t xml:space="preserve"> NR</w:t>
            </w:r>
          </w:p>
        </w:tc>
      </w:tr>
      <w:tr w:rsidR="703B87A8" w14:paraId="664A3A22" w14:textId="77777777" w:rsidTr="00EA7016">
        <w:tc>
          <w:tcPr>
            <w:tcW w:w="484" w:type="pct"/>
          </w:tcPr>
          <w:p w14:paraId="66CBCFEC" w14:textId="0CAB0DE2" w:rsidR="703B87A8" w:rsidRPr="001973C3" w:rsidRDefault="703B87A8">
            <w:pPr>
              <w:rPr>
                <w:rFonts w:eastAsia="Calibri" w:cs="Calibri"/>
              </w:rPr>
            </w:pPr>
            <w:r w:rsidRPr="001973C3">
              <w:rPr>
                <w:rFonts w:eastAsia="Calibri" w:cs="Calibri"/>
              </w:rPr>
              <w:t>Tønnesen 1988</w:t>
            </w:r>
          </w:p>
        </w:tc>
        <w:tc>
          <w:tcPr>
            <w:tcW w:w="301" w:type="pct"/>
          </w:tcPr>
          <w:p w14:paraId="310D8279" w14:textId="005462A0" w:rsidR="703B87A8" w:rsidRDefault="703B87A8">
            <w:r w:rsidRPr="703B87A8">
              <w:rPr>
                <w:rFonts w:eastAsia="Calibri" w:cs="Calibri"/>
              </w:rPr>
              <w:t>RCT</w:t>
            </w:r>
          </w:p>
        </w:tc>
        <w:tc>
          <w:tcPr>
            <w:tcW w:w="425" w:type="pct"/>
          </w:tcPr>
          <w:p w14:paraId="57C87B46" w14:textId="19AB5385" w:rsidR="703B87A8" w:rsidRDefault="703B87A8">
            <w:r w:rsidRPr="703B87A8">
              <w:rPr>
                <w:rFonts w:eastAsia="Calibri" w:cs="Calibri"/>
              </w:rPr>
              <w:t>Denmark</w:t>
            </w:r>
          </w:p>
        </w:tc>
        <w:tc>
          <w:tcPr>
            <w:tcW w:w="349" w:type="pct"/>
          </w:tcPr>
          <w:p w14:paraId="5485A88A" w14:textId="1CE8224C" w:rsidR="703B87A8" w:rsidRDefault="00F2109D">
            <w:r>
              <w:rPr>
                <w:rFonts w:eastAsia="Calibri" w:cs="Calibri"/>
              </w:rPr>
              <w:t>N=</w:t>
            </w:r>
            <w:r w:rsidR="703B87A8" w:rsidRPr="703B87A8">
              <w:rPr>
                <w:rFonts w:eastAsia="Calibri" w:cs="Calibri"/>
              </w:rPr>
              <w:t>113</w:t>
            </w:r>
          </w:p>
        </w:tc>
        <w:tc>
          <w:tcPr>
            <w:tcW w:w="1392" w:type="pct"/>
          </w:tcPr>
          <w:p w14:paraId="56229586" w14:textId="0B242635" w:rsidR="703B87A8" w:rsidRDefault="703B87A8">
            <w:r w:rsidRPr="703B87A8">
              <w:rPr>
                <w:rFonts w:eastAsia="Calibri" w:cs="Calibri"/>
              </w:rPr>
              <w:t xml:space="preserve">Low- to medium-dependence smokers, motivated to quit (19 or less on Horn-Russell scale) 44% men, </w:t>
            </w:r>
            <w:r w:rsidR="00861C61" w:rsidRPr="703B87A8">
              <w:rPr>
                <w:rFonts w:eastAsia="Calibri" w:cs="Calibri"/>
              </w:rPr>
              <w:t>av</w:t>
            </w:r>
            <w:r w:rsidR="00861C61">
              <w:rPr>
                <w:rFonts w:eastAsia="Calibri" w:cs="Calibri"/>
              </w:rPr>
              <w:t>erage</w:t>
            </w:r>
            <w:r w:rsidRPr="703B87A8">
              <w:rPr>
                <w:rFonts w:eastAsia="Calibri" w:cs="Calibri"/>
              </w:rPr>
              <w:t xml:space="preserve"> age 45, </w:t>
            </w:r>
            <w:r w:rsidR="001526F0" w:rsidRPr="703B87A8">
              <w:rPr>
                <w:rFonts w:eastAsia="Calibri" w:cs="Calibri"/>
              </w:rPr>
              <w:t>av</w:t>
            </w:r>
            <w:r w:rsidR="001526F0">
              <w:rPr>
                <w:rFonts w:eastAsia="Calibri" w:cs="Calibri"/>
              </w:rPr>
              <w:t>erage</w:t>
            </w:r>
            <w:r w:rsidRPr="703B87A8">
              <w:rPr>
                <w:rFonts w:eastAsia="Calibri" w:cs="Calibri"/>
              </w:rPr>
              <w:t xml:space="preserve"> </w:t>
            </w:r>
            <w:r w:rsidR="001526F0">
              <w:rPr>
                <w:rFonts w:eastAsia="Calibri" w:cs="Calibri"/>
              </w:rPr>
              <w:t>CPD</w:t>
            </w:r>
            <w:r w:rsidRPr="703B87A8">
              <w:rPr>
                <w:rFonts w:eastAsia="Calibri" w:cs="Calibri"/>
              </w:rPr>
              <w:t xml:space="preserve"> 20 60 highly-dependent smokers 42% men, </w:t>
            </w:r>
            <w:r w:rsidR="001526F0" w:rsidRPr="703B87A8">
              <w:rPr>
                <w:rFonts w:eastAsia="Calibri" w:cs="Calibri"/>
              </w:rPr>
              <w:t>av</w:t>
            </w:r>
            <w:r w:rsidR="001526F0">
              <w:rPr>
                <w:rFonts w:eastAsia="Calibri" w:cs="Calibri"/>
              </w:rPr>
              <w:t>erage</w:t>
            </w:r>
            <w:r w:rsidRPr="703B87A8">
              <w:rPr>
                <w:rFonts w:eastAsia="Calibri" w:cs="Calibri"/>
              </w:rPr>
              <w:t xml:space="preserve"> age 45, </w:t>
            </w:r>
            <w:r w:rsidR="001526F0" w:rsidRPr="703B87A8">
              <w:rPr>
                <w:rFonts w:eastAsia="Calibri" w:cs="Calibri"/>
              </w:rPr>
              <w:t>av</w:t>
            </w:r>
            <w:r w:rsidR="001526F0">
              <w:rPr>
                <w:rFonts w:eastAsia="Calibri" w:cs="Calibri"/>
              </w:rPr>
              <w:t>erage</w:t>
            </w:r>
            <w:r w:rsidR="001526F0" w:rsidRPr="703B87A8" w:rsidDel="001526F0">
              <w:rPr>
                <w:rFonts w:eastAsia="Calibri" w:cs="Calibri"/>
              </w:rPr>
              <w:t xml:space="preserve"> </w:t>
            </w:r>
            <w:r w:rsidR="00EC221A">
              <w:rPr>
                <w:rFonts w:eastAsia="Calibri" w:cs="Calibri"/>
              </w:rPr>
              <w:t>CPD</w:t>
            </w:r>
            <w:r w:rsidRPr="703B87A8">
              <w:rPr>
                <w:rFonts w:eastAsia="Calibri" w:cs="Calibri"/>
              </w:rPr>
              <w:t xml:space="preserve"> 26 - 28</w:t>
            </w:r>
          </w:p>
        </w:tc>
        <w:tc>
          <w:tcPr>
            <w:tcW w:w="1334" w:type="pct"/>
          </w:tcPr>
          <w:p w14:paraId="5ADDA770" w14:textId="5B4E40E2" w:rsidR="703B87A8" w:rsidRDefault="703B87A8" w:rsidP="00C324F3">
            <w:pPr>
              <w:pStyle w:val="ListParagraph"/>
              <w:numPr>
                <w:ilvl w:val="0"/>
                <w:numId w:val="259"/>
              </w:numPr>
              <w:rPr>
                <w:rFonts w:eastAsia="Calibri" w:cs="Calibri"/>
              </w:rPr>
            </w:pPr>
            <w:r w:rsidRPr="703B87A8">
              <w:t>Group A: Low/medium dependence</w:t>
            </w:r>
          </w:p>
          <w:p w14:paraId="6B9BC4B5" w14:textId="1FF65481" w:rsidR="703B87A8" w:rsidRDefault="703B87A8" w:rsidP="00C324F3">
            <w:pPr>
              <w:pStyle w:val="ListParagraph"/>
              <w:numPr>
                <w:ilvl w:val="0"/>
                <w:numId w:val="259"/>
              </w:numPr>
              <w:rPr>
                <w:rFonts w:eastAsia="Calibri" w:cs="Calibri"/>
              </w:rPr>
            </w:pPr>
            <w:r w:rsidRPr="703B87A8">
              <w:t xml:space="preserve">Nicotine Gum (2 mg) for 16 weeks </w:t>
            </w:r>
          </w:p>
          <w:p w14:paraId="18EA7A81" w14:textId="698AA94A" w:rsidR="703B87A8" w:rsidRDefault="703B87A8" w:rsidP="00C324F3">
            <w:pPr>
              <w:pStyle w:val="ListParagraph"/>
              <w:numPr>
                <w:ilvl w:val="0"/>
                <w:numId w:val="259"/>
              </w:numPr>
              <w:rPr>
                <w:rFonts w:eastAsia="Calibri" w:cs="Calibri"/>
              </w:rPr>
            </w:pPr>
            <w:r w:rsidRPr="703B87A8">
              <w:t>Placebo</w:t>
            </w:r>
          </w:p>
          <w:p w14:paraId="3F5BB941" w14:textId="2C852122" w:rsidR="703B87A8" w:rsidRDefault="703B87A8">
            <w:r w:rsidRPr="703B87A8">
              <w:rPr>
                <w:rFonts w:eastAsia="Calibri" w:cs="Calibri"/>
              </w:rPr>
              <w:t xml:space="preserve"> </w:t>
            </w:r>
          </w:p>
          <w:p w14:paraId="00900F6A" w14:textId="31EDC56F" w:rsidR="703B87A8" w:rsidRDefault="703B87A8" w:rsidP="00C324F3">
            <w:pPr>
              <w:pStyle w:val="ListParagraph"/>
              <w:numPr>
                <w:ilvl w:val="0"/>
                <w:numId w:val="259"/>
              </w:numPr>
              <w:rPr>
                <w:rFonts w:eastAsia="Calibri" w:cs="Calibri"/>
              </w:rPr>
            </w:pPr>
            <w:r w:rsidRPr="703B87A8">
              <w:t>Group B: High dependence</w:t>
            </w:r>
          </w:p>
          <w:p w14:paraId="4880B26E" w14:textId="5868A9D7" w:rsidR="703B87A8" w:rsidRDefault="703B87A8" w:rsidP="00C324F3">
            <w:pPr>
              <w:pStyle w:val="ListParagraph"/>
              <w:numPr>
                <w:ilvl w:val="0"/>
                <w:numId w:val="259"/>
              </w:numPr>
              <w:rPr>
                <w:rFonts w:eastAsia="Calibri" w:cs="Calibri"/>
              </w:rPr>
            </w:pPr>
            <w:r w:rsidRPr="703B87A8">
              <w:t>Nicotine gum 4 mg for 6 weeks then 2 mg Nicotine gum 2 mg</w:t>
            </w:r>
          </w:p>
        </w:tc>
        <w:tc>
          <w:tcPr>
            <w:tcW w:w="714" w:type="pct"/>
          </w:tcPr>
          <w:p w14:paraId="02307FE7" w14:textId="75774A57" w:rsidR="703B87A8" w:rsidRDefault="703B87A8">
            <w:r w:rsidRPr="00C324F3">
              <w:rPr>
                <w:rFonts w:eastAsia="Calibri"/>
                <w:u w:val="single"/>
              </w:rPr>
              <w:t>Efficacy:</w:t>
            </w:r>
            <w:r w:rsidRPr="703B87A8">
              <w:rPr>
                <w:rFonts w:eastAsia="Calibri" w:cs="Calibri"/>
              </w:rPr>
              <w:t xml:space="preserve"> Sustained abstinence at 12 m (24 m also reported) Validation: CO</w:t>
            </w:r>
          </w:p>
          <w:p w14:paraId="61E79CED" w14:textId="26D751A8" w:rsidR="703B87A8" w:rsidRDefault="703B87A8">
            <w:r w:rsidRPr="703B87A8">
              <w:rPr>
                <w:rFonts w:eastAsia="Calibri" w:cs="Calibri"/>
              </w:rPr>
              <w:t xml:space="preserve"> </w:t>
            </w:r>
          </w:p>
          <w:p w14:paraId="50735F31" w14:textId="60D0F133" w:rsidR="703B87A8" w:rsidRDefault="703B87A8">
            <w:r w:rsidRPr="00C324F3">
              <w:rPr>
                <w:rFonts w:eastAsia="Calibri"/>
                <w:u w:val="single"/>
              </w:rPr>
              <w:t>Safety:</w:t>
            </w:r>
            <w:r w:rsidRPr="703B87A8">
              <w:rPr>
                <w:rFonts w:eastAsia="Calibri" w:cs="Calibri"/>
              </w:rPr>
              <w:t xml:space="preserve"> Adverse events</w:t>
            </w:r>
            <w:r w:rsidR="002576E5">
              <w:rPr>
                <w:rFonts w:eastAsia="Calibri" w:cs="Calibri"/>
              </w:rPr>
              <w:t xml:space="preserve"> m</w:t>
            </w:r>
            <w:r w:rsidRPr="703B87A8">
              <w:rPr>
                <w:rFonts w:eastAsia="Calibri" w:cs="Calibri"/>
              </w:rPr>
              <w:t>easured during counselling sessions to end of treatment (either 16 or 20 weeks)</w:t>
            </w:r>
          </w:p>
        </w:tc>
      </w:tr>
    </w:tbl>
    <w:p w14:paraId="7B3B60DC" w14:textId="77777777" w:rsidR="00C55E04" w:rsidRPr="009B042A" w:rsidRDefault="00C55E04" w:rsidP="00EA7016">
      <w:pPr>
        <w:pStyle w:val="TableFooter"/>
        <w:jc w:val="both"/>
      </w:pPr>
      <w:r>
        <w:t>Source: Lindson</w:t>
      </w:r>
      <w:r w:rsidRPr="008B0097">
        <w:t xml:space="preserve"> et al. (2019</w:t>
      </w:r>
      <w:r>
        <w:t>).</w:t>
      </w:r>
      <w:r w:rsidRPr="009B042A">
        <w:t xml:space="preserve"> </w:t>
      </w:r>
    </w:p>
    <w:p w14:paraId="527D04AA" w14:textId="314F7505" w:rsidR="703B87A8" w:rsidRDefault="00C55E04" w:rsidP="00EA7016">
      <w:pPr>
        <w:pStyle w:val="TableFooter"/>
        <w:spacing w:after="120"/>
        <w:contextualSpacing w:val="0"/>
        <w:jc w:val="both"/>
      </w:pPr>
      <w:r>
        <w:lastRenderedPageBreak/>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1D720F3C" w14:textId="77777777" w:rsidR="00EA7016" w:rsidRDefault="00EA7016">
      <w:pPr>
        <w:spacing w:line="276" w:lineRule="auto"/>
        <w:rPr>
          <w:rFonts w:asciiTheme="minorHAnsi" w:eastAsia="Times New Roman" w:hAnsiTheme="minorHAnsi" w:cs="Times New Roman"/>
          <w:b/>
          <w:bCs/>
          <w:szCs w:val="18"/>
        </w:rPr>
      </w:pPr>
      <w:bookmarkStart w:id="349" w:name="_Ref62139770"/>
      <w:r>
        <w:br w:type="page"/>
      </w:r>
    </w:p>
    <w:p w14:paraId="27EAC451" w14:textId="574442F2" w:rsidR="008D20D3" w:rsidRDefault="008D20D3"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162</w:t>
      </w:r>
      <w:r w:rsidR="00BF3F75">
        <w:rPr>
          <w:noProof/>
        </w:rPr>
        <w:fldChar w:fldCharType="end"/>
      </w:r>
      <w:bookmarkEnd w:id="349"/>
      <w:r>
        <w:t xml:space="preserve">: </w:t>
      </w:r>
      <w:r w:rsidRPr="00771BCB">
        <w:t>Characteristics of studies included in Lindson et al. (2019), length of therapy</w:t>
      </w:r>
    </w:p>
    <w:tbl>
      <w:tblPr>
        <w:tblStyle w:val="TableGrid"/>
        <w:tblW w:w="5000" w:type="pct"/>
        <w:tblLook w:val="04A0" w:firstRow="1" w:lastRow="0" w:firstColumn="1" w:lastColumn="0" w:noHBand="0" w:noVBand="1"/>
        <w:tblCaption w:val="Efficacy results of adalimumab trials (PASI 75 and DLQI)"/>
      </w:tblPr>
      <w:tblGrid>
        <w:gridCol w:w="1503"/>
        <w:gridCol w:w="690"/>
        <w:gridCol w:w="1160"/>
        <w:gridCol w:w="970"/>
        <w:gridCol w:w="3252"/>
        <w:gridCol w:w="3588"/>
        <w:gridCol w:w="2785"/>
      </w:tblGrid>
      <w:tr w:rsidR="007F30CC" w:rsidRPr="00061F78" w14:paraId="2ADD06AC" w14:textId="77777777" w:rsidTr="00EA7016">
        <w:trPr>
          <w:trHeight w:val="299"/>
          <w:tblHeader/>
        </w:trPr>
        <w:tc>
          <w:tcPr>
            <w:tcW w:w="541" w:type="pct"/>
            <w:shd w:val="clear" w:color="auto" w:fill="BFBFBF" w:themeFill="background1" w:themeFillShade="BF"/>
            <w:tcMar>
              <w:left w:w="28" w:type="dxa"/>
              <w:right w:w="28" w:type="dxa"/>
            </w:tcMar>
          </w:tcPr>
          <w:p w14:paraId="530B2BA6" w14:textId="77777777" w:rsidR="007F30CC" w:rsidRPr="00061F78" w:rsidRDefault="007F30CC" w:rsidP="006B48C7">
            <w:pPr>
              <w:pStyle w:val="Tableheading"/>
              <w:rPr>
                <w:rFonts w:eastAsia="MS Mincho"/>
              </w:rPr>
            </w:pPr>
            <w:r>
              <w:rPr>
                <w:rFonts w:eastAsia="MS Mincho"/>
              </w:rPr>
              <w:t>Study</w:t>
            </w:r>
          </w:p>
        </w:tc>
        <w:tc>
          <w:tcPr>
            <w:tcW w:w="235" w:type="pct"/>
            <w:shd w:val="clear" w:color="auto" w:fill="BFBFBF" w:themeFill="background1" w:themeFillShade="BF"/>
          </w:tcPr>
          <w:p w14:paraId="6E9669DA" w14:textId="77777777" w:rsidR="007F30CC" w:rsidRDefault="007F30CC" w:rsidP="006B48C7">
            <w:pPr>
              <w:pStyle w:val="Tableheading"/>
              <w:jc w:val="center"/>
              <w:rPr>
                <w:rFonts w:eastAsia="MS Mincho"/>
              </w:rPr>
            </w:pPr>
            <w:r>
              <w:rPr>
                <w:rFonts w:eastAsia="MS Mincho"/>
              </w:rPr>
              <w:t>Study type</w:t>
            </w:r>
          </w:p>
        </w:tc>
        <w:tc>
          <w:tcPr>
            <w:tcW w:w="418" w:type="pct"/>
            <w:shd w:val="clear" w:color="auto" w:fill="BFBFBF" w:themeFill="background1" w:themeFillShade="BF"/>
          </w:tcPr>
          <w:p w14:paraId="1B67B547" w14:textId="77777777" w:rsidR="007F30CC" w:rsidRDefault="007F30CC" w:rsidP="006B48C7">
            <w:pPr>
              <w:pStyle w:val="Tableheading"/>
              <w:jc w:val="center"/>
              <w:rPr>
                <w:rFonts w:eastAsia="MS Mincho"/>
              </w:rPr>
            </w:pPr>
            <w:r>
              <w:rPr>
                <w:rFonts w:eastAsia="MS Mincho"/>
              </w:rPr>
              <w:t>Countries</w:t>
            </w:r>
          </w:p>
        </w:tc>
        <w:tc>
          <w:tcPr>
            <w:tcW w:w="350" w:type="pct"/>
            <w:shd w:val="clear" w:color="auto" w:fill="BFBFBF" w:themeFill="background1" w:themeFillShade="BF"/>
            <w:tcMar>
              <w:left w:w="28" w:type="dxa"/>
              <w:right w:w="28" w:type="dxa"/>
            </w:tcMar>
          </w:tcPr>
          <w:p w14:paraId="74A2199D" w14:textId="77777777" w:rsidR="007F30CC" w:rsidRPr="00061F78" w:rsidRDefault="007F30CC" w:rsidP="006B48C7">
            <w:pPr>
              <w:pStyle w:val="Tableheading"/>
              <w:jc w:val="center"/>
              <w:rPr>
                <w:rFonts w:eastAsia="MS Mincho"/>
              </w:rPr>
            </w:pPr>
            <w:r>
              <w:rPr>
                <w:rFonts w:eastAsia="MS Mincho"/>
              </w:rPr>
              <w:t>N</w:t>
            </w:r>
          </w:p>
        </w:tc>
        <w:tc>
          <w:tcPr>
            <w:tcW w:w="1168" w:type="pct"/>
            <w:shd w:val="clear" w:color="auto" w:fill="BFBFBF" w:themeFill="background1" w:themeFillShade="BF"/>
            <w:tcMar>
              <w:left w:w="28" w:type="dxa"/>
              <w:right w:w="28" w:type="dxa"/>
            </w:tcMar>
          </w:tcPr>
          <w:p w14:paraId="09BD9E6A" w14:textId="77777777" w:rsidR="007F30CC" w:rsidRPr="00061F78" w:rsidRDefault="007F30CC" w:rsidP="006B48C7">
            <w:pPr>
              <w:pStyle w:val="Tableheading"/>
              <w:jc w:val="center"/>
              <w:rPr>
                <w:rFonts w:eastAsia="MS Mincho"/>
              </w:rPr>
            </w:pPr>
            <w:r w:rsidRPr="00061F78">
              <w:rPr>
                <w:rFonts w:eastAsia="MS Mincho"/>
              </w:rPr>
              <w:t>P</w:t>
            </w:r>
            <w:r>
              <w:rPr>
                <w:rFonts w:eastAsia="MS Mincho"/>
              </w:rPr>
              <w:t>opulation</w:t>
            </w:r>
          </w:p>
        </w:tc>
        <w:tc>
          <w:tcPr>
            <w:tcW w:w="1288" w:type="pct"/>
            <w:shd w:val="clear" w:color="auto" w:fill="BFBFBF" w:themeFill="background1" w:themeFillShade="BF"/>
          </w:tcPr>
          <w:p w14:paraId="4A72FE15" w14:textId="77777777" w:rsidR="007F30CC" w:rsidRDefault="007F30CC" w:rsidP="006B48C7">
            <w:pPr>
              <w:pStyle w:val="Tableheading"/>
              <w:jc w:val="center"/>
              <w:rPr>
                <w:rFonts w:eastAsia="MS Mincho"/>
              </w:rPr>
            </w:pPr>
            <w:r>
              <w:rPr>
                <w:rFonts w:eastAsia="MS Mincho"/>
              </w:rPr>
              <w:t>Intervention and comparator</w:t>
            </w:r>
          </w:p>
        </w:tc>
        <w:tc>
          <w:tcPr>
            <w:tcW w:w="1000" w:type="pct"/>
            <w:shd w:val="clear" w:color="auto" w:fill="BFBFBF" w:themeFill="background1" w:themeFillShade="BF"/>
            <w:tcMar>
              <w:left w:w="28" w:type="dxa"/>
              <w:right w:w="28" w:type="dxa"/>
            </w:tcMar>
          </w:tcPr>
          <w:p w14:paraId="388A4099" w14:textId="77777777" w:rsidR="007F30CC" w:rsidRPr="00061F78" w:rsidRDefault="007F30CC" w:rsidP="006B48C7">
            <w:pPr>
              <w:pStyle w:val="Tableheading"/>
              <w:jc w:val="center"/>
              <w:rPr>
                <w:rFonts w:eastAsia="MS Mincho"/>
              </w:rPr>
            </w:pPr>
            <w:r>
              <w:rPr>
                <w:rFonts w:eastAsia="MS Mincho"/>
              </w:rPr>
              <w:t>Outcomes</w:t>
            </w:r>
          </w:p>
        </w:tc>
      </w:tr>
      <w:tr w:rsidR="007F30CC" w:rsidRPr="00017AE6" w14:paraId="02ADF9C5" w14:textId="77777777" w:rsidTr="00EA7016">
        <w:trPr>
          <w:trHeight w:val="99"/>
        </w:trPr>
        <w:tc>
          <w:tcPr>
            <w:tcW w:w="5000" w:type="pct"/>
            <w:gridSpan w:val="7"/>
            <w:shd w:val="clear" w:color="auto" w:fill="D9D9D9" w:themeFill="background1" w:themeFillShade="D9"/>
            <w:vAlign w:val="center"/>
          </w:tcPr>
          <w:p w14:paraId="7C55CD32" w14:textId="77777777" w:rsidR="007F30CC" w:rsidRPr="0139F213" w:rsidRDefault="007F30CC" w:rsidP="006B48C7">
            <w:pPr>
              <w:pStyle w:val="Caption"/>
              <w:rPr>
                <w:rFonts w:eastAsia="MS Mincho" w:cstheme="minorBidi"/>
              </w:rPr>
            </w:pPr>
            <w:r>
              <w:t>D</w:t>
            </w:r>
            <w:r w:rsidRPr="003D7F16">
              <w:t>uration of patch therapy</w:t>
            </w:r>
          </w:p>
        </w:tc>
      </w:tr>
      <w:tr w:rsidR="007F30CC" w:rsidRPr="00017AE6" w14:paraId="529FC4AD" w14:textId="77777777" w:rsidTr="00EA7016">
        <w:trPr>
          <w:trHeight w:val="99"/>
        </w:trPr>
        <w:tc>
          <w:tcPr>
            <w:tcW w:w="541" w:type="pct"/>
          </w:tcPr>
          <w:p w14:paraId="67539EC1" w14:textId="77777777" w:rsidR="007F30CC" w:rsidRPr="00017AE6" w:rsidRDefault="007F30CC" w:rsidP="006B48C7">
            <w:pPr>
              <w:pStyle w:val="Tablewriting"/>
              <w:rPr>
                <w:rFonts w:eastAsia="MS Mincho" w:cstheme="minorHAnsi"/>
              </w:rPr>
            </w:pPr>
            <w:r w:rsidRPr="001C2306">
              <w:rPr>
                <w:rFonts w:eastAsia="MS Mincho"/>
              </w:rPr>
              <w:t xml:space="preserve">Schnoll </w:t>
            </w:r>
            <w:r>
              <w:rPr>
                <w:rFonts w:eastAsia="MS Mincho"/>
              </w:rPr>
              <w:t>(</w:t>
            </w:r>
            <w:r w:rsidRPr="001C2306">
              <w:rPr>
                <w:rFonts w:eastAsia="MS Mincho"/>
              </w:rPr>
              <w:t>2015</w:t>
            </w:r>
            <w:r>
              <w:rPr>
                <w:rFonts w:eastAsia="MS Mincho"/>
              </w:rPr>
              <w:t>)</w:t>
            </w:r>
          </w:p>
        </w:tc>
        <w:tc>
          <w:tcPr>
            <w:tcW w:w="235" w:type="pct"/>
          </w:tcPr>
          <w:p w14:paraId="0DFE480E"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6F1F07D1"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shd w:val="clear" w:color="auto" w:fill="auto"/>
          </w:tcPr>
          <w:p w14:paraId="147BC8C0" w14:textId="77777777" w:rsidR="007F30CC" w:rsidRPr="00017AE6" w:rsidRDefault="007F30CC" w:rsidP="006B48C7">
            <w:pPr>
              <w:pStyle w:val="Tablewriting"/>
              <w:rPr>
                <w:rFonts w:eastAsia="MS Mincho" w:cstheme="minorHAnsi"/>
              </w:rPr>
            </w:pPr>
            <w:r>
              <w:rPr>
                <w:rFonts w:eastAsia="MS Mincho" w:cstheme="minorHAnsi"/>
              </w:rPr>
              <w:t>N=525</w:t>
            </w:r>
          </w:p>
        </w:tc>
        <w:tc>
          <w:tcPr>
            <w:tcW w:w="1168" w:type="pct"/>
            <w:shd w:val="clear" w:color="auto" w:fill="auto"/>
          </w:tcPr>
          <w:p w14:paraId="6BD12FE9" w14:textId="77777777" w:rsidR="007F30CC" w:rsidRPr="00856B1B" w:rsidRDefault="007F30CC" w:rsidP="006B48C7">
            <w:pPr>
              <w:tabs>
                <w:tab w:val="left" w:pos="1089"/>
              </w:tabs>
              <w:rPr>
                <w:rFonts w:eastAsia="MS Mincho"/>
                <w:lang w:eastAsia="en-US"/>
              </w:rPr>
            </w:pPr>
            <w:r>
              <w:rPr>
                <w:rFonts w:eastAsia="MS Mincho"/>
                <w:lang w:eastAsia="en-US"/>
              </w:rPr>
              <w:t>S</w:t>
            </w:r>
            <w:r w:rsidRPr="00856B1B">
              <w:rPr>
                <w:rFonts w:eastAsia="MS Mincho"/>
                <w:lang w:eastAsia="en-US"/>
              </w:rPr>
              <w:t>mokers</w:t>
            </w:r>
            <w:r>
              <w:rPr>
                <w:rFonts w:eastAsia="MS Mincho"/>
                <w:lang w:eastAsia="en-US"/>
              </w:rPr>
              <w:t xml:space="preserve"> </w:t>
            </w:r>
            <w:r w:rsidRPr="00856B1B">
              <w:rPr>
                <w:rFonts w:eastAsia="MS Mincho"/>
                <w:lang w:eastAsia="en-US"/>
              </w:rPr>
              <w:t>aged 18 years</w:t>
            </w:r>
            <w:r>
              <w:rPr>
                <w:rFonts w:eastAsia="MS Mincho"/>
                <w:lang w:eastAsia="en-US"/>
              </w:rPr>
              <w:t xml:space="preserve"> or older</w:t>
            </w:r>
            <w:r w:rsidRPr="00856B1B">
              <w:rPr>
                <w:rFonts w:eastAsia="MS Mincho"/>
                <w:lang w:eastAsia="en-US"/>
              </w:rPr>
              <w:t xml:space="preserve">, 10 </w:t>
            </w:r>
            <w:r>
              <w:rPr>
                <w:rFonts w:eastAsia="MS Mincho"/>
                <w:lang w:eastAsia="en-US"/>
              </w:rPr>
              <w:t>CPD</w:t>
            </w:r>
            <w:r w:rsidRPr="00856B1B">
              <w:rPr>
                <w:rFonts w:eastAsia="MS Mincho"/>
                <w:lang w:eastAsia="en-US"/>
              </w:rPr>
              <w:t>, interested in smoking cessation</w:t>
            </w:r>
            <w:r>
              <w:rPr>
                <w:rFonts w:eastAsia="MS Mincho"/>
                <w:lang w:eastAsia="en-US"/>
              </w:rPr>
              <w:t>.</w:t>
            </w:r>
          </w:p>
          <w:p w14:paraId="5327E665" w14:textId="77777777" w:rsidR="007F30CC" w:rsidRPr="00856B1B" w:rsidRDefault="007F30CC" w:rsidP="006B48C7">
            <w:pPr>
              <w:tabs>
                <w:tab w:val="left" w:pos="1089"/>
              </w:tabs>
              <w:rPr>
                <w:rFonts w:eastAsia="MS Mincho"/>
                <w:lang w:eastAsia="en-US"/>
              </w:rPr>
            </w:pPr>
            <w:r w:rsidRPr="00856B1B">
              <w:rPr>
                <w:rFonts w:eastAsia="MS Mincho"/>
                <w:lang w:eastAsia="en-US"/>
              </w:rPr>
              <w:t>49.3% men, av</w:t>
            </w:r>
            <w:r>
              <w:rPr>
                <w:rFonts w:eastAsia="MS Mincho"/>
                <w:lang w:eastAsia="en-US"/>
              </w:rPr>
              <w:t xml:space="preserve">erage </w:t>
            </w:r>
            <w:r w:rsidRPr="00856B1B">
              <w:rPr>
                <w:rFonts w:eastAsia="MS Mincho"/>
                <w:lang w:eastAsia="en-US"/>
              </w:rPr>
              <w:t>age 46.4</w:t>
            </w:r>
            <w:r>
              <w:rPr>
                <w:rFonts w:eastAsia="MS Mincho"/>
                <w:lang w:eastAsia="en-US"/>
              </w:rPr>
              <w:t xml:space="preserve"> years</w:t>
            </w:r>
            <w:r w:rsidRPr="00856B1B">
              <w:rPr>
                <w:rFonts w:eastAsia="MS Mincho"/>
                <w:lang w:eastAsia="en-US"/>
              </w:rPr>
              <w:t>, av</w:t>
            </w:r>
            <w:r>
              <w:rPr>
                <w:rFonts w:eastAsia="MS Mincho"/>
                <w:lang w:eastAsia="en-US"/>
              </w:rPr>
              <w:t>erage CPD</w:t>
            </w:r>
            <w:r w:rsidRPr="00856B1B">
              <w:rPr>
                <w:rFonts w:eastAsia="MS Mincho"/>
                <w:lang w:eastAsia="en-US"/>
              </w:rPr>
              <w:t xml:space="preserve"> 17.1, mean FTND 5.1</w:t>
            </w:r>
            <w:r>
              <w:rPr>
                <w:rFonts w:eastAsia="MS Mincho"/>
                <w:lang w:eastAsia="en-US"/>
              </w:rPr>
              <w:t>.</w:t>
            </w:r>
          </w:p>
        </w:tc>
        <w:tc>
          <w:tcPr>
            <w:tcW w:w="1288" w:type="pct"/>
            <w:shd w:val="clear" w:color="auto" w:fill="auto"/>
          </w:tcPr>
          <w:p w14:paraId="3CBE8822" w14:textId="77777777"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8 weeks from target quit date</w:t>
            </w:r>
          </w:p>
          <w:p w14:paraId="74795937" w14:textId="77777777"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24 weeks from target quit date</w:t>
            </w:r>
          </w:p>
          <w:p w14:paraId="6E607D27" w14:textId="77777777" w:rsidR="007F30CC" w:rsidRPr="00010773" w:rsidRDefault="007F30CC" w:rsidP="00C324F3">
            <w:pPr>
              <w:pStyle w:val="ListParagraph"/>
              <w:numPr>
                <w:ilvl w:val="0"/>
                <w:numId w:val="192"/>
              </w:numPr>
              <w:rPr>
                <w:rFonts w:eastAsia="MS Mincho"/>
                <w:lang w:eastAsia="en-US"/>
              </w:rPr>
            </w:pPr>
            <w:r w:rsidRPr="00010773">
              <w:rPr>
                <w:rFonts w:eastAsia="MS Mincho"/>
                <w:lang w:eastAsia="en-US"/>
              </w:rPr>
              <w:t>Nicotine patch (21 mg) for 52 weeks from target quit date</w:t>
            </w:r>
          </w:p>
        </w:tc>
        <w:tc>
          <w:tcPr>
            <w:tcW w:w="1000" w:type="pct"/>
          </w:tcPr>
          <w:p w14:paraId="06AE29D9" w14:textId="77777777" w:rsidR="007F30CC" w:rsidRPr="00856B1B" w:rsidRDefault="007F30CC" w:rsidP="006B48C7">
            <w:pPr>
              <w:pStyle w:val="Tablewriting"/>
              <w:rPr>
                <w:rFonts w:eastAsia="MS Mincho" w:cstheme="minorBidi"/>
              </w:rPr>
            </w:pPr>
            <w:r w:rsidRPr="00856B1B">
              <w:rPr>
                <w:rFonts w:eastAsia="MS Mincho" w:cstheme="minorBidi"/>
                <w:u w:val="single"/>
              </w:rPr>
              <w:t>Efficacy:</w:t>
            </w:r>
            <w:r>
              <w:rPr>
                <w:rFonts w:eastAsia="MS Mincho" w:cstheme="minorBidi"/>
                <w:u w:val="single"/>
              </w:rPr>
              <w:t xml:space="preserve"> </w:t>
            </w:r>
            <w:r w:rsidRPr="00856B1B">
              <w:rPr>
                <w:rFonts w:eastAsia="MS Mincho" w:cstheme="minorBidi"/>
              </w:rPr>
              <w:t>7-day PPA at 12 m</w:t>
            </w:r>
            <w:r>
              <w:rPr>
                <w:rFonts w:eastAsia="MS Mincho" w:cstheme="minorBidi"/>
              </w:rPr>
              <w:t>onths</w:t>
            </w:r>
            <w:r w:rsidRPr="00856B1B">
              <w:rPr>
                <w:rFonts w:eastAsia="MS Mincho" w:cstheme="minorBidi"/>
              </w:rPr>
              <w:t xml:space="preserve">, 7-day PPA at 24 weeks. </w:t>
            </w:r>
          </w:p>
          <w:p w14:paraId="628813DD" w14:textId="77777777" w:rsidR="007F30CC" w:rsidRPr="004272CD" w:rsidRDefault="007F30CC" w:rsidP="006B48C7">
            <w:pPr>
              <w:pStyle w:val="Tablewriting"/>
              <w:rPr>
                <w:rFonts w:eastAsia="MS Mincho" w:cstheme="minorBidi"/>
                <w:u w:val="single"/>
              </w:rPr>
            </w:pPr>
          </w:p>
          <w:p w14:paraId="196F01AB" w14:textId="77777777" w:rsidR="007F30CC" w:rsidRPr="004272CD" w:rsidRDefault="007F30CC" w:rsidP="006B48C7">
            <w:pPr>
              <w:pStyle w:val="Tablewriting"/>
              <w:rPr>
                <w:rFonts w:eastAsia="MS Mincho" w:cstheme="minorBidi"/>
                <w:u w:val="single"/>
              </w:rPr>
            </w:pPr>
            <w:r w:rsidRPr="00856B1B">
              <w:rPr>
                <w:rFonts w:eastAsia="MS Mincho" w:cstheme="minorBidi"/>
                <w:u w:val="single"/>
              </w:rPr>
              <w:t>Safety:</w:t>
            </w:r>
            <w:r>
              <w:rPr>
                <w:rFonts w:eastAsia="MS Mincho" w:cstheme="minorBidi"/>
                <w:u w:val="single"/>
              </w:rPr>
              <w:t xml:space="preserve"> </w:t>
            </w:r>
            <w:r w:rsidRPr="00856B1B">
              <w:rPr>
                <w:rFonts w:eastAsia="MS Mincho" w:cstheme="minorBidi"/>
              </w:rPr>
              <w:t>Adverse events</w:t>
            </w:r>
            <w:r>
              <w:rPr>
                <w:rFonts w:eastAsia="MS Mincho" w:cstheme="minorBidi"/>
              </w:rPr>
              <w:t xml:space="preserve"> </w:t>
            </w:r>
            <w:r w:rsidRPr="00856B1B">
              <w:rPr>
                <w:rFonts w:eastAsia="MS Mincho" w:cstheme="minorBidi"/>
              </w:rPr>
              <w:t>measured at 4, 12, and 30 weeks</w:t>
            </w:r>
            <w:r>
              <w:rPr>
                <w:rFonts w:eastAsia="MS Mincho" w:cstheme="minorBidi"/>
              </w:rPr>
              <w:t>.</w:t>
            </w:r>
          </w:p>
        </w:tc>
      </w:tr>
      <w:tr w:rsidR="007F30CC" w:rsidRPr="00017AE6" w14:paraId="5777F6F4" w14:textId="77777777" w:rsidTr="00EA7016">
        <w:trPr>
          <w:trHeight w:val="99"/>
        </w:trPr>
        <w:tc>
          <w:tcPr>
            <w:tcW w:w="541" w:type="pct"/>
          </w:tcPr>
          <w:p w14:paraId="56490C98" w14:textId="77777777" w:rsidR="007F30CC" w:rsidRPr="00017AE6" w:rsidRDefault="007F30CC" w:rsidP="006B48C7">
            <w:pPr>
              <w:pStyle w:val="Tablewriting"/>
              <w:rPr>
                <w:rFonts w:eastAsia="MS Mincho" w:cstheme="minorHAnsi"/>
              </w:rPr>
            </w:pPr>
            <w:r w:rsidRPr="001C2306">
              <w:rPr>
                <w:rFonts w:eastAsia="MS Mincho"/>
              </w:rPr>
              <w:t xml:space="preserve">CEASE </w:t>
            </w:r>
            <w:r>
              <w:rPr>
                <w:rFonts w:eastAsia="MS Mincho"/>
              </w:rPr>
              <w:t>(</w:t>
            </w:r>
            <w:r w:rsidRPr="001C2306">
              <w:rPr>
                <w:rFonts w:eastAsia="MS Mincho"/>
              </w:rPr>
              <w:t>1999</w:t>
            </w:r>
            <w:r>
              <w:rPr>
                <w:rFonts w:eastAsia="MS Mincho"/>
              </w:rPr>
              <w:t>)</w:t>
            </w:r>
          </w:p>
        </w:tc>
        <w:tc>
          <w:tcPr>
            <w:tcW w:w="235" w:type="pct"/>
          </w:tcPr>
          <w:p w14:paraId="4B7504B3"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63422CEE" w14:textId="77777777" w:rsidR="007F30CC" w:rsidRPr="00017AE6" w:rsidRDefault="007F30CC" w:rsidP="006B48C7">
            <w:pPr>
              <w:pStyle w:val="Tablewriting"/>
              <w:rPr>
                <w:rFonts w:eastAsia="MS Mincho" w:cstheme="minorHAnsi"/>
              </w:rPr>
            </w:pPr>
            <w:r w:rsidRPr="00856B1B">
              <w:rPr>
                <w:rFonts w:eastAsia="MS Mincho" w:cstheme="minorHAnsi"/>
              </w:rPr>
              <w:t>17 European countries</w:t>
            </w:r>
          </w:p>
        </w:tc>
        <w:tc>
          <w:tcPr>
            <w:tcW w:w="350" w:type="pct"/>
          </w:tcPr>
          <w:p w14:paraId="7CC2817F" w14:textId="77777777" w:rsidR="007F30CC" w:rsidRPr="00017AE6" w:rsidRDefault="007F30CC" w:rsidP="006B48C7">
            <w:pPr>
              <w:pStyle w:val="Tablewriting"/>
              <w:rPr>
                <w:rFonts w:eastAsia="MS Mincho" w:cstheme="minorHAnsi"/>
              </w:rPr>
            </w:pPr>
            <w:r>
              <w:rPr>
                <w:rFonts w:eastAsia="MS Mincho" w:cstheme="minorHAnsi"/>
              </w:rPr>
              <w:t>N=3575</w:t>
            </w:r>
          </w:p>
        </w:tc>
        <w:tc>
          <w:tcPr>
            <w:tcW w:w="1168" w:type="pct"/>
          </w:tcPr>
          <w:p w14:paraId="4CEED993" w14:textId="77777777" w:rsidR="007F30CC" w:rsidRPr="00017AE6" w:rsidRDefault="007F30CC" w:rsidP="006B48C7">
            <w:pPr>
              <w:pStyle w:val="Tablewriting"/>
              <w:rPr>
                <w:rFonts w:eastAsia="MS Mincho" w:cstheme="minorHAnsi"/>
              </w:rPr>
            </w:pPr>
            <w:r>
              <w:rPr>
                <w:rFonts w:eastAsia="MS Mincho" w:cstheme="minorHAnsi"/>
              </w:rPr>
              <w:t>S</w:t>
            </w:r>
            <w:r w:rsidRPr="00856B1B">
              <w:rPr>
                <w:rFonts w:eastAsia="MS Mincho" w:cstheme="minorHAnsi"/>
              </w:rPr>
              <w:t xml:space="preserve">mokers (&gt; 14 </w:t>
            </w:r>
            <w:r>
              <w:rPr>
                <w:rFonts w:eastAsia="MS Mincho" w:cstheme="minorHAnsi"/>
              </w:rPr>
              <w:t>CPD</w:t>
            </w:r>
            <w:r w:rsidRPr="00856B1B">
              <w:rPr>
                <w:rFonts w:eastAsia="MS Mincho" w:cstheme="minorHAnsi"/>
              </w:rPr>
              <w:t>)</w:t>
            </w:r>
            <w:r>
              <w:rPr>
                <w:rFonts w:eastAsia="MS Mincho" w:cstheme="minorHAnsi"/>
              </w:rPr>
              <w:t xml:space="preserve">, </w:t>
            </w:r>
            <w:r w:rsidRPr="00856B1B">
              <w:rPr>
                <w:rFonts w:eastAsia="MS Mincho" w:cstheme="minorHAnsi"/>
              </w:rPr>
              <w:t>52% men, av</w:t>
            </w:r>
            <w:r>
              <w:rPr>
                <w:rFonts w:eastAsia="MS Mincho" w:cstheme="minorHAnsi"/>
              </w:rPr>
              <w:t>erage</w:t>
            </w:r>
            <w:r w:rsidRPr="00856B1B">
              <w:rPr>
                <w:rFonts w:eastAsia="MS Mincho" w:cstheme="minorHAnsi"/>
              </w:rPr>
              <w:t xml:space="preserve"> age 41</w:t>
            </w:r>
            <w:r>
              <w:rPr>
                <w:rFonts w:eastAsia="MS Mincho" w:cstheme="minorHAnsi"/>
              </w:rPr>
              <w:t xml:space="preserve"> years</w:t>
            </w:r>
            <w:r w:rsidRPr="00856B1B">
              <w:rPr>
                <w:rFonts w:eastAsia="MS Mincho" w:cstheme="minorHAnsi"/>
              </w:rPr>
              <w:t>, av</w:t>
            </w:r>
            <w:r>
              <w:rPr>
                <w:rFonts w:eastAsia="MS Mincho" w:cstheme="minorHAnsi"/>
              </w:rPr>
              <w:t>erage CPD</w:t>
            </w:r>
            <w:r w:rsidRPr="00856B1B">
              <w:rPr>
                <w:rFonts w:eastAsia="MS Mincho" w:cstheme="minorHAnsi"/>
              </w:rPr>
              <w:t xml:space="preserve"> 27</w:t>
            </w:r>
            <w:r>
              <w:rPr>
                <w:rFonts w:eastAsia="MS Mincho" w:cstheme="minorHAnsi"/>
              </w:rPr>
              <w:t xml:space="preserve"> </w:t>
            </w:r>
            <w:r w:rsidRPr="00856B1B">
              <w:rPr>
                <w:rFonts w:eastAsia="MS Mincho" w:cstheme="minorHAnsi"/>
              </w:rPr>
              <w:t>(34% had previously used NRT)</w:t>
            </w:r>
          </w:p>
        </w:tc>
        <w:tc>
          <w:tcPr>
            <w:tcW w:w="1288" w:type="pct"/>
          </w:tcPr>
          <w:p w14:paraId="021DC0BC" w14:textId="77777777" w:rsidR="007F30CC" w:rsidRPr="00010773" w:rsidRDefault="007F30CC" w:rsidP="006B48C7">
            <w:pPr>
              <w:rPr>
                <w:rFonts w:eastAsia="MS Mincho"/>
                <w:lang w:eastAsia="en-US"/>
              </w:rPr>
            </w:pPr>
            <w:r w:rsidRPr="00010773">
              <w:rPr>
                <w:rFonts w:eastAsia="MS Mincho"/>
                <w:lang w:eastAsia="en-US"/>
              </w:rPr>
              <w:t>Factorial design compared 2 patch doses and 2 treatment durations. Dose 15 mg or 25 mg (16-hour),</w:t>
            </w:r>
            <w:r>
              <w:rPr>
                <w:rFonts w:eastAsia="MS Mincho"/>
                <w:lang w:eastAsia="en-US"/>
              </w:rPr>
              <w:t xml:space="preserve"> </w:t>
            </w:r>
            <w:r w:rsidRPr="00010773">
              <w:rPr>
                <w:rFonts w:eastAsia="MS Mincho"/>
                <w:lang w:eastAsia="en-US"/>
              </w:rPr>
              <w:t>duration of active treatment 28 w</w:t>
            </w:r>
            <w:r>
              <w:rPr>
                <w:rFonts w:eastAsia="MS Mincho"/>
                <w:lang w:eastAsia="en-US"/>
              </w:rPr>
              <w:t>ee</w:t>
            </w:r>
            <w:r w:rsidRPr="00010773">
              <w:rPr>
                <w:rFonts w:eastAsia="MS Mincho"/>
                <w:lang w:eastAsia="en-US"/>
              </w:rPr>
              <w:t>ks (incl</w:t>
            </w:r>
            <w:r>
              <w:rPr>
                <w:rFonts w:eastAsia="MS Mincho"/>
                <w:lang w:eastAsia="en-US"/>
              </w:rPr>
              <w:t>uding</w:t>
            </w:r>
            <w:r w:rsidRPr="00010773">
              <w:rPr>
                <w:rFonts w:eastAsia="MS Mincho"/>
                <w:lang w:eastAsia="en-US"/>
              </w:rPr>
              <w:t xml:space="preserve"> 4-w</w:t>
            </w:r>
            <w:r>
              <w:rPr>
                <w:rFonts w:eastAsia="MS Mincho"/>
                <w:lang w:eastAsia="en-US"/>
              </w:rPr>
              <w:t>ee</w:t>
            </w:r>
            <w:r w:rsidRPr="00010773">
              <w:rPr>
                <w:rFonts w:eastAsia="MS Mincho"/>
                <w:lang w:eastAsia="en-US"/>
              </w:rPr>
              <w:t>k fading) or 12 w</w:t>
            </w:r>
            <w:r>
              <w:rPr>
                <w:rFonts w:eastAsia="MS Mincho"/>
                <w:lang w:eastAsia="en-US"/>
              </w:rPr>
              <w:t>ee</w:t>
            </w:r>
            <w:r w:rsidRPr="00010773">
              <w:rPr>
                <w:rFonts w:eastAsia="MS Mincho"/>
                <w:lang w:eastAsia="en-US"/>
              </w:rPr>
              <w:t>ks (incl</w:t>
            </w:r>
            <w:r>
              <w:rPr>
                <w:rFonts w:eastAsia="MS Mincho"/>
                <w:lang w:eastAsia="en-US"/>
              </w:rPr>
              <w:t>uding</w:t>
            </w:r>
            <w:r w:rsidRPr="00010773">
              <w:rPr>
                <w:rFonts w:eastAsia="MS Mincho"/>
                <w:lang w:eastAsia="en-US"/>
              </w:rPr>
              <w:t xml:space="preserve"> 4-wk fading).</w:t>
            </w:r>
          </w:p>
          <w:p w14:paraId="4A77A817" w14:textId="77777777"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25 mg patch for 28 w</w:t>
            </w:r>
            <w:r>
              <w:rPr>
                <w:rFonts w:eastAsia="MS Mincho"/>
                <w:lang w:eastAsia="en-US"/>
              </w:rPr>
              <w:t>ee</w:t>
            </w:r>
            <w:r w:rsidRPr="00010773">
              <w:rPr>
                <w:rFonts w:eastAsia="MS Mincho"/>
                <w:lang w:eastAsia="en-US"/>
              </w:rPr>
              <w:t>ks</w:t>
            </w:r>
          </w:p>
          <w:p w14:paraId="6B78523F" w14:textId="77777777"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25 mg patch for 12 w</w:t>
            </w:r>
            <w:r>
              <w:rPr>
                <w:rFonts w:eastAsia="MS Mincho"/>
                <w:lang w:eastAsia="en-US"/>
              </w:rPr>
              <w:t>ee</w:t>
            </w:r>
            <w:r w:rsidRPr="00010773">
              <w:rPr>
                <w:rFonts w:eastAsia="MS Mincho"/>
                <w:lang w:eastAsia="en-US"/>
              </w:rPr>
              <w:t>ks</w:t>
            </w:r>
          </w:p>
          <w:p w14:paraId="01F82E35" w14:textId="77777777"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15 mg patch for 28 w</w:t>
            </w:r>
            <w:r>
              <w:rPr>
                <w:rFonts w:eastAsia="MS Mincho"/>
                <w:lang w:eastAsia="en-US"/>
              </w:rPr>
              <w:t>ee</w:t>
            </w:r>
            <w:r w:rsidRPr="00010773">
              <w:rPr>
                <w:rFonts w:eastAsia="MS Mincho"/>
                <w:lang w:eastAsia="en-US"/>
              </w:rPr>
              <w:t>ks</w:t>
            </w:r>
          </w:p>
          <w:p w14:paraId="29114959" w14:textId="77777777"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15 mg patch for 12 w</w:t>
            </w:r>
            <w:r>
              <w:rPr>
                <w:rFonts w:eastAsia="MS Mincho"/>
                <w:lang w:eastAsia="en-US"/>
              </w:rPr>
              <w:t>ee</w:t>
            </w:r>
            <w:r w:rsidRPr="00010773">
              <w:rPr>
                <w:rFonts w:eastAsia="MS Mincho"/>
                <w:lang w:eastAsia="en-US"/>
              </w:rPr>
              <w:t>ks</w:t>
            </w:r>
          </w:p>
          <w:p w14:paraId="1737A79D" w14:textId="77777777" w:rsidR="007F30CC" w:rsidRPr="00010773" w:rsidRDefault="007F30CC" w:rsidP="00C324F3">
            <w:pPr>
              <w:pStyle w:val="ListParagraph"/>
              <w:numPr>
                <w:ilvl w:val="0"/>
                <w:numId w:val="193"/>
              </w:numPr>
              <w:rPr>
                <w:rFonts w:eastAsia="MS Mincho"/>
                <w:lang w:eastAsia="en-US"/>
              </w:rPr>
            </w:pPr>
            <w:r w:rsidRPr="00010773">
              <w:rPr>
                <w:rFonts w:eastAsia="MS Mincho"/>
                <w:lang w:eastAsia="en-US"/>
              </w:rPr>
              <w:t>Placebo</w:t>
            </w:r>
          </w:p>
        </w:tc>
        <w:tc>
          <w:tcPr>
            <w:tcW w:w="1000" w:type="pct"/>
          </w:tcPr>
          <w:p w14:paraId="4D25F911" w14:textId="77777777" w:rsidR="007F30CC" w:rsidRPr="00AC59F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AC59F0">
              <w:rPr>
                <w:rFonts w:eastAsia="MS Mincho" w:cstheme="minorBidi"/>
              </w:rPr>
              <w:t>Prolonged abstinence at 12 m</w:t>
            </w:r>
            <w:r>
              <w:rPr>
                <w:rFonts w:eastAsia="MS Mincho" w:cstheme="minorBidi"/>
              </w:rPr>
              <w:t>onths</w:t>
            </w:r>
            <w:r w:rsidRPr="00AC59F0">
              <w:rPr>
                <w:rFonts w:eastAsia="MS Mincho" w:cstheme="minorBidi"/>
              </w:rPr>
              <w:t>, sustained from w</w:t>
            </w:r>
            <w:r>
              <w:rPr>
                <w:rFonts w:eastAsia="MS Mincho" w:cstheme="minorBidi"/>
              </w:rPr>
              <w:t>ee</w:t>
            </w:r>
            <w:r w:rsidRPr="00AC59F0">
              <w:rPr>
                <w:rFonts w:eastAsia="MS Mincho" w:cstheme="minorBidi"/>
              </w:rPr>
              <w:t>k 2</w:t>
            </w:r>
            <w:r>
              <w:rPr>
                <w:rFonts w:eastAsia="MS Mincho" w:cstheme="minorBidi"/>
              </w:rPr>
              <w:t>.</w:t>
            </w:r>
          </w:p>
          <w:p w14:paraId="44D0E282" w14:textId="77777777" w:rsidR="007F30CC" w:rsidRDefault="007F30CC" w:rsidP="006B48C7">
            <w:pPr>
              <w:pStyle w:val="Tablewriting"/>
              <w:rPr>
                <w:rFonts w:eastAsia="MS Mincho" w:cstheme="minorBidi"/>
              </w:rPr>
            </w:pPr>
          </w:p>
          <w:p w14:paraId="1C8E6D32" w14:textId="77777777" w:rsidR="007F30CC" w:rsidRPr="00AC59F0" w:rsidRDefault="007F30CC" w:rsidP="006B48C7">
            <w:pPr>
              <w:pStyle w:val="Tablewriting"/>
              <w:rPr>
                <w:rFonts w:eastAsia="MS Mincho" w:cstheme="minorBidi"/>
              </w:rPr>
            </w:pPr>
            <w:r w:rsidRPr="00AC59F0">
              <w:rPr>
                <w:rFonts w:eastAsia="MS Mincho" w:cstheme="minorBidi"/>
              </w:rPr>
              <w:t>Validation: expired CO &lt; 10 ppm at each clinic visit</w:t>
            </w:r>
          </w:p>
          <w:p w14:paraId="1EFFD415" w14:textId="77777777" w:rsidR="007F30CC" w:rsidRPr="000801BE" w:rsidRDefault="007F30CC" w:rsidP="006B48C7">
            <w:pPr>
              <w:pStyle w:val="Tablewriting"/>
              <w:rPr>
                <w:rFonts w:eastAsia="MS Mincho" w:cstheme="minorBidi"/>
              </w:rPr>
            </w:pPr>
            <w:r w:rsidRPr="007F0260">
              <w:rPr>
                <w:rFonts w:eastAsia="MS Mincho" w:cstheme="minorBidi"/>
                <w:u w:val="single"/>
              </w:rPr>
              <w:t>Safety:</w:t>
            </w:r>
            <w:r>
              <w:rPr>
                <w:rFonts w:eastAsia="MS Mincho" w:cstheme="minorBidi"/>
                <w:u w:val="single"/>
              </w:rPr>
              <w:t xml:space="preserve"> </w:t>
            </w:r>
            <w:r w:rsidRPr="00AC59F0">
              <w:rPr>
                <w:rFonts w:eastAsia="MS Mincho" w:cstheme="minorBidi"/>
              </w:rPr>
              <w:t>Adverse events</w:t>
            </w:r>
            <w:r>
              <w:rPr>
                <w:rFonts w:eastAsia="MS Mincho" w:cstheme="minorBidi"/>
              </w:rPr>
              <w:t>,</w:t>
            </w:r>
            <w:r w:rsidRPr="00AC59F0">
              <w:rPr>
                <w:rFonts w:eastAsia="MS Mincho" w:cstheme="minorBidi"/>
              </w:rPr>
              <w:t xml:space="preserve"> SAEs measured during whole study period, but cardiac AEs reported within 8-week</w:t>
            </w:r>
            <w:r>
              <w:rPr>
                <w:rFonts w:eastAsia="MS Mincho" w:cstheme="minorBidi"/>
              </w:rPr>
              <w:t xml:space="preserve"> </w:t>
            </w:r>
            <w:r w:rsidRPr="00AC59F0">
              <w:rPr>
                <w:rFonts w:eastAsia="MS Mincho" w:cstheme="minorBidi"/>
              </w:rPr>
              <w:t>treatment period</w:t>
            </w:r>
            <w:r>
              <w:rPr>
                <w:rFonts w:eastAsia="MS Mincho" w:cstheme="minorBidi"/>
              </w:rPr>
              <w:t>.</w:t>
            </w:r>
          </w:p>
        </w:tc>
      </w:tr>
      <w:tr w:rsidR="007F30CC" w:rsidRPr="00017AE6" w14:paraId="62E4B009" w14:textId="77777777" w:rsidTr="00EA7016">
        <w:trPr>
          <w:trHeight w:val="99"/>
        </w:trPr>
        <w:tc>
          <w:tcPr>
            <w:tcW w:w="541" w:type="pct"/>
          </w:tcPr>
          <w:p w14:paraId="3049D9DD" w14:textId="77777777" w:rsidR="007F30CC" w:rsidRPr="00017AE6" w:rsidRDefault="007F30CC" w:rsidP="006B48C7">
            <w:pPr>
              <w:pStyle w:val="Tablewriting"/>
              <w:rPr>
                <w:rFonts w:eastAsia="MS Mincho" w:cstheme="minorHAnsi"/>
              </w:rPr>
            </w:pPr>
            <w:r w:rsidRPr="00243DF4">
              <w:rPr>
                <w:rFonts w:eastAsia="MS Mincho"/>
              </w:rPr>
              <w:t>Schnoll (2010a)</w:t>
            </w:r>
          </w:p>
        </w:tc>
        <w:tc>
          <w:tcPr>
            <w:tcW w:w="235" w:type="pct"/>
          </w:tcPr>
          <w:p w14:paraId="1C37CA5B"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235ABB15"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6AC7ED0B" w14:textId="77777777" w:rsidR="007F30CC" w:rsidRPr="00017AE6" w:rsidRDefault="007F30CC" w:rsidP="006B48C7">
            <w:pPr>
              <w:pStyle w:val="Tablewriting"/>
              <w:rPr>
                <w:rFonts w:eastAsia="MS Mincho" w:cstheme="minorHAnsi"/>
              </w:rPr>
            </w:pPr>
            <w:r>
              <w:rPr>
                <w:rFonts w:eastAsia="MS Mincho" w:cstheme="minorHAnsi"/>
              </w:rPr>
              <w:t>N=575</w:t>
            </w:r>
          </w:p>
        </w:tc>
        <w:tc>
          <w:tcPr>
            <w:tcW w:w="1168" w:type="pct"/>
          </w:tcPr>
          <w:p w14:paraId="12DDA5BA" w14:textId="77777777" w:rsidR="007F30CC" w:rsidRPr="00017AE6" w:rsidRDefault="007F30CC" w:rsidP="006B48C7">
            <w:pPr>
              <w:pStyle w:val="Tablewriting"/>
              <w:rPr>
                <w:rFonts w:eastAsia="MS Mincho" w:cstheme="minorHAnsi"/>
              </w:rPr>
            </w:pPr>
            <w:r>
              <w:rPr>
                <w:rFonts w:eastAsia="MS Mincho" w:cstheme="minorHAnsi"/>
              </w:rPr>
              <w:t>A</w:t>
            </w:r>
            <w:r w:rsidRPr="007F0260">
              <w:rPr>
                <w:rFonts w:eastAsia="MS Mincho" w:cstheme="minorHAnsi"/>
              </w:rPr>
              <w:t xml:space="preserve">dult smokers of &gt; 10 </w:t>
            </w:r>
            <w:r>
              <w:rPr>
                <w:rFonts w:eastAsia="MS Mincho" w:cstheme="minorHAnsi"/>
              </w:rPr>
              <w:t>CPD</w:t>
            </w:r>
            <w:r w:rsidRPr="007F0260">
              <w:rPr>
                <w:rFonts w:eastAsia="MS Mincho" w:cstheme="minorHAnsi"/>
              </w:rPr>
              <w:t xml:space="preserve"> for &gt; 1 y</w:t>
            </w:r>
            <w:r>
              <w:rPr>
                <w:rFonts w:eastAsia="MS Mincho" w:cstheme="minorHAnsi"/>
              </w:rPr>
              <w:t>ea</w:t>
            </w:r>
            <w:r w:rsidRPr="007F0260">
              <w:rPr>
                <w:rFonts w:eastAsia="MS Mincho" w:cstheme="minorHAnsi"/>
              </w:rPr>
              <w:t>r, motivated to quit</w:t>
            </w:r>
            <w:r>
              <w:rPr>
                <w:rFonts w:eastAsia="MS Mincho" w:cstheme="minorHAnsi"/>
              </w:rPr>
              <w:t xml:space="preserve">, </w:t>
            </w:r>
            <w:r w:rsidRPr="007F0260">
              <w:rPr>
                <w:rFonts w:eastAsia="MS Mincho" w:cstheme="minorHAnsi"/>
              </w:rPr>
              <w:t>53% men, av</w:t>
            </w:r>
            <w:r>
              <w:rPr>
                <w:rFonts w:eastAsia="MS Mincho" w:cstheme="minorHAnsi"/>
              </w:rPr>
              <w:t>erage</w:t>
            </w:r>
            <w:r w:rsidRPr="007F0260">
              <w:rPr>
                <w:rFonts w:eastAsia="MS Mincho" w:cstheme="minorHAnsi"/>
              </w:rPr>
              <w:t xml:space="preserve"> age 48</w:t>
            </w:r>
            <w:r>
              <w:rPr>
                <w:rFonts w:eastAsia="MS Mincho" w:cstheme="minorHAnsi"/>
              </w:rPr>
              <w:t xml:space="preserve"> years</w:t>
            </w:r>
            <w:r w:rsidRPr="007F0260">
              <w:rPr>
                <w:rFonts w:eastAsia="MS Mincho" w:cstheme="minorHAnsi"/>
              </w:rPr>
              <w:t>, av</w:t>
            </w:r>
            <w:r>
              <w:rPr>
                <w:rFonts w:eastAsia="MS Mincho" w:cstheme="minorHAnsi"/>
              </w:rPr>
              <w:t>erage</w:t>
            </w:r>
            <w:r w:rsidRPr="007F0260">
              <w:rPr>
                <w:rFonts w:eastAsia="MS Mincho" w:cstheme="minorHAnsi"/>
              </w:rPr>
              <w:t xml:space="preserve"> </w:t>
            </w:r>
            <w:r>
              <w:rPr>
                <w:rFonts w:eastAsia="MS Mincho" w:cstheme="minorHAnsi"/>
              </w:rPr>
              <w:t>CPD</w:t>
            </w:r>
            <w:r w:rsidRPr="007F0260">
              <w:rPr>
                <w:rFonts w:eastAsia="MS Mincho" w:cstheme="minorHAnsi"/>
              </w:rPr>
              <w:t xml:space="preserve"> 21.1, av</w:t>
            </w:r>
            <w:r>
              <w:rPr>
                <w:rFonts w:eastAsia="MS Mincho" w:cstheme="minorHAnsi"/>
              </w:rPr>
              <w:t>erage</w:t>
            </w:r>
            <w:r w:rsidRPr="007F0260">
              <w:rPr>
                <w:rFonts w:eastAsia="MS Mincho" w:cstheme="minorHAnsi"/>
              </w:rPr>
              <w:t xml:space="preserve"> FTND 5.3</w:t>
            </w:r>
            <w:r>
              <w:rPr>
                <w:rFonts w:eastAsia="MS Mincho" w:cstheme="minorHAnsi"/>
              </w:rPr>
              <w:t xml:space="preserve">. </w:t>
            </w:r>
          </w:p>
        </w:tc>
        <w:tc>
          <w:tcPr>
            <w:tcW w:w="1288" w:type="pct"/>
          </w:tcPr>
          <w:p w14:paraId="5C2B853E" w14:textId="77777777" w:rsidR="007F30CC" w:rsidRPr="007F0260" w:rsidRDefault="007F30CC" w:rsidP="00C324F3">
            <w:pPr>
              <w:pStyle w:val="ListParagraph"/>
              <w:numPr>
                <w:ilvl w:val="0"/>
                <w:numId w:val="194"/>
              </w:numPr>
              <w:rPr>
                <w:rFonts w:eastAsia="MS Mincho"/>
                <w:lang w:eastAsia="en-US"/>
              </w:rPr>
            </w:pPr>
            <w:r w:rsidRPr="007F0260">
              <w:rPr>
                <w:rFonts w:eastAsia="MS Mincho"/>
                <w:lang w:eastAsia="en-US"/>
              </w:rPr>
              <w:t>21 mg/24-hour patch for 24 w</w:t>
            </w:r>
            <w:r>
              <w:rPr>
                <w:rFonts w:eastAsia="MS Mincho"/>
                <w:lang w:eastAsia="en-US"/>
              </w:rPr>
              <w:t>ee</w:t>
            </w:r>
            <w:r w:rsidRPr="007F0260">
              <w:rPr>
                <w:rFonts w:eastAsia="MS Mincho"/>
                <w:lang w:eastAsia="en-US"/>
              </w:rPr>
              <w:t>ks</w:t>
            </w:r>
          </w:p>
          <w:p w14:paraId="0CA38FF7" w14:textId="77777777" w:rsidR="007F30CC" w:rsidRPr="007F0260" w:rsidRDefault="007F30CC" w:rsidP="00C324F3">
            <w:pPr>
              <w:pStyle w:val="ListParagraph"/>
              <w:numPr>
                <w:ilvl w:val="0"/>
                <w:numId w:val="194"/>
              </w:numPr>
              <w:rPr>
                <w:rFonts w:eastAsia="MS Mincho"/>
                <w:lang w:eastAsia="en-US"/>
              </w:rPr>
            </w:pPr>
            <w:r w:rsidRPr="007F0260">
              <w:rPr>
                <w:rFonts w:eastAsia="MS Mincho"/>
                <w:lang w:eastAsia="en-US"/>
              </w:rPr>
              <w:t>21 mg/24-hour patch for 8 w</w:t>
            </w:r>
            <w:r>
              <w:rPr>
                <w:rFonts w:eastAsia="MS Mincho"/>
                <w:lang w:eastAsia="en-US"/>
              </w:rPr>
              <w:t>ee</w:t>
            </w:r>
            <w:r w:rsidRPr="007F0260">
              <w:rPr>
                <w:rFonts w:eastAsia="MS Mincho"/>
                <w:lang w:eastAsia="en-US"/>
              </w:rPr>
              <w:t>ks,</w:t>
            </w:r>
            <w:r>
              <w:rPr>
                <w:rFonts w:eastAsia="MS Mincho"/>
                <w:lang w:eastAsia="en-US"/>
              </w:rPr>
              <w:t xml:space="preserve"> </w:t>
            </w:r>
            <w:r w:rsidRPr="007F0260">
              <w:rPr>
                <w:rFonts w:eastAsia="MS Mincho"/>
                <w:lang w:eastAsia="en-US"/>
              </w:rPr>
              <w:t>followed by 16 w</w:t>
            </w:r>
            <w:r>
              <w:rPr>
                <w:rFonts w:eastAsia="MS Mincho"/>
                <w:lang w:eastAsia="en-US"/>
              </w:rPr>
              <w:t>ee</w:t>
            </w:r>
            <w:r w:rsidRPr="007F0260">
              <w:rPr>
                <w:rFonts w:eastAsia="MS Mincho"/>
                <w:lang w:eastAsia="en-US"/>
              </w:rPr>
              <w:t>ks placebo patch</w:t>
            </w:r>
          </w:p>
        </w:tc>
        <w:tc>
          <w:tcPr>
            <w:tcW w:w="1000" w:type="pct"/>
          </w:tcPr>
          <w:p w14:paraId="79D6B48B" w14:textId="77777777" w:rsidR="007F30CC" w:rsidRPr="007F026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7F0260">
              <w:rPr>
                <w:rFonts w:eastAsia="MS Mincho" w:cstheme="minorBidi"/>
              </w:rPr>
              <w:t>7-day PPA at 12 m</w:t>
            </w:r>
            <w:r>
              <w:rPr>
                <w:rFonts w:eastAsia="MS Mincho" w:cstheme="minorBidi"/>
              </w:rPr>
              <w:t>onths</w:t>
            </w:r>
            <w:r w:rsidRPr="007F0260">
              <w:rPr>
                <w:rFonts w:eastAsia="MS Mincho" w:cstheme="minorBidi"/>
              </w:rPr>
              <w:t xml:space="preserve"> (also reported for 24 w</w:t>
            </w:r>
            <w:r>
              <w:rPr>
                <w:rFonts w:eastAsia="MS Mincho" w:cstheme="minorBidi"/>
              </w:rPr>
              <w:t>ee</w:t>
            </w:r>
            <w:r w:rsidRPr="007F0260">
              <w:rPr>
                <w:rFonts w:eastAsia="MS Mincho" w:cstheme="minorBidi"/>
              </w:rPr>
              <w:t>ks)</w:t>
            </w:r>
          </w:p>
          <w:p w14:paraId="3CD93314" w14:textId="77777777" w:rsidR="007F30CC" w:rsidRPr="007F0260" w:rsidRDefault="007F30CC" w:rsidP="006B48C7">
            <w:pPr>
              <w:pStyle w:val="Tablewriting"/>
              <w:rPr>
                <w:rFonts w:eastAsia="MS Mincho" w:cstheme="minorBidi"/>
              </w:rPr>
            </w:pPr>
            <w:r w:rsidRPr="007F0260">
              <w:rPr>
                <w:rFonts w:eastAsia="MS Mincho" w:cstheme="minorBidi"/>
              </w:rPr>
              <w:t>Validation: CO ≤ 10 ppm</w:t>
            </w:r>
            <w:r>
              <w:rPr>
                <w:rFonts w:eastAsia="MS Mincho" w:cstheme="minorBidi"/>
              </w:rPr>
              <w:t>.</w:t>
            </w:r>
          </w:p>
          <w:p w14:paraId="73896665" w14:textId="77777777" w:rsidR="007F30CC" w:rsidRPr="004272CD" w:rsidRDefault="007F30CC" w:rsidP="006B48C7">
            <w:pPr>
              <w:pStyle w:val="Tablewriting"/>
              <w:rPr>
                <w:rFonts w:eastAsia="MS Mincho" w:cstheme="minorBidi"/>
                <w:u w:val="single"/>
              </w:rPr>
            </w:pPr>
          </w:p>
          <w:p w14:paraId="792A329D" w14:textId="77777777" w:rsidR="007F30CC" w:rsidRPr="007F0260" w:rsidRDefault="007F30CC" w:rsidP="006B48C7">
            <w:pPr>
              <w:pStyle w:val="Tablewriting"/>
              <w:rPr>
                <w:rFonts w:eastAsia="MS Mincho" w:cstheme="minorBidi"/>
              </w:rPr>
            </w:pPr>
            <w:r w:rsidRPr="007F0260">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F0260">
              <w:rPr>
                <w:rFonts w:eastAsia="MS Mincho" w:cstheme="minorBidi"/>
              </w:rPr>
              <w:t>Adverse events</w:t>
            </w:r>
            <w:r>
              <w:rPr>
                <w:rFonts w:eastAsia="MS Mincho" w:cstheme="minorBidi"/>
              </w:rPr>
              <w:t xml:space="preserve"> </w:t>
            </w:r>
            <w:r w:rsidRPr="007F0260">
              <w:rPr>
                <w:rFonts w:eastAsia="MS Mincho" w:cstheme="minorBidi"/>
              </w:rPr>
              <w:t>measured throughout treatment (24 weeks), and also at 52-week follow-up</w:t>
            </w:r>
            <w:r>
              <w:rPr>
                <w:rFonts w:eastAsia="MS Mincho" w:cstheme="minorBidi"/>
              </w:rPr>
              <w:t>.</w:t>
            </w:r>
          </w:p>
        </w:tc>
      </w:tr>
      <w:tr w:rsidR="007F30CC" w:rsidRPr="00017AE6" w14:paraId="3CEC26E9" w14:textId="77777777" w:rsidTr="00EA7016">
        <w:trPr>
          <w:trHeight w:val="99"/>
        </w:trPr>
        <w:tc>
          <w:tcPr>
            <w:tcW w:w="541" w:type="pct"/>
          </w:tcPr>
          <w:p w14:paraId="7A4244F9" w14:textId="77777777" w:rsidR="007F30CC" w:rsidRPr="00017AE6" w:rsidRDefault="007F30CC" w:rsidP="006B48C7">
            <w:pPr>
              <w:pStyle w:val="Tablewriting"/>
              <w:rPr>
                <w:rFonts w:eastAsia="MS Mincho" w:cstheme="minorHAnsi"/>
              </w:rPr>
            </w:pPr>
            <w:r w:rsidRPr="007510D3">
              <w:rPr>
                <w:rFonts w:eastAsia="MS Mincho"/>
              </w:rPr>
              <w:lastRenderedPageBreak/>
              <w:t xml:space="preserve">Hilleman </w:t>
            </w:r>
            <w:r>
              <w:rPr>
                <w:rFonts w:eastAsia="MS Mincho"/>
              </w:rPr>
              <w:t>(</w:t>
            </w:r>
            <w:r w:rsidRPr="007510D3">
              <w:rPr>
                <w:rFonts w:eastAsia="MS Mincho"/>
              </w:rPr>
              <w:t>1994</w:t>
            </w:r>
            <w:r>
              <w:rPr>
                <w:rFonts w:eastAsia="MS Mincho"/>
              </w:rPr>
              <w:t>)</w:t>
            </w:r>
          </w:p>
        </w:tc>
        <w:tc>
          <w:tcPr>
            <w:tcW w:w="235" w:type="pct"/>
          </w:tcPr>
          <w:p w14:paraId="5B5D0063"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19E4C097"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77BD2689" w14:textId="77777777" w:rsidR="007F30CC" w:rsidRPr="00017AE6" w:rsidRDefault="007F30CC" w:rsidP="006B48C7">
            <w:pPr>
              <w:pStyle w:val="Tablewriting"/>
              <w:rPr>
                <w:rFonts w:eastAsia="MS Mincho" w:cstheme="minorHAnsi"/>
              </w:rPr>
            </w:pPr>
            <w:r>
              <w:rPr>
                <w:rFonts w:eastAsia="MS Mincho" w:cstheme="minorHAnsi"/>
              </w:rPr>
              <w:t>N=140</w:t>
            </w:r>
          </w:p>
        </w:tc>
        <w:tc>
          <w:tcPr>
            <w:tcW w:w="1168" w:type="pct"/>
          </w:tcPr>
          <w:p w14:paraId="2E7C5320" w14:textId="77777777" w:rsidR="007F30CC" w:rsidRPr="00017AE6" w:rsidRDefault="007F30CC" w:rsidP="006B48C7">
            <w:pPr>
              <w:pStyle w:val="Tablewriting"/>
              <w:rPr>
                <w:rFonts w:eastAsia="MS Mincho" w:cstheme="minorHAnsi"/>
              </w:rPr>
            </w:pPr>
            <w:r>
              <w:rPr>
                <w:rFonts w:eastAsia="MS Mincho" w:cstheme="minorHAnsi"/>
              </w:rPr>
              <w:t>S</w:t>
            </w:r>
            <w:r w:rsidRPr="007F0260">
              <w:rPr>
                <w:rFonts w:eastAsia="MS Mincho" w:cstheme="minorHAnsi"/>
              </w:rPr>
              <w:t>mokers (excluding a buspirone</w:t>
            </w:r>
            <w:r>
              <w:rPr>
                <w:rFonts w:eastAsia="MS Mincho" w:cstheme="minorHAnsi"/>
              </w:rPr>
              <w:t xml:space="preserve"> </w:t>
            </w:r>
            <w:r w:rsidRPr="007F0260">
              <w:rPr>
                <w:rFonts w:eastAsia="MS Mincho" w:cstheme="minorHAnsi"/>
              </w:rPr>
              <w:t xml:space="preserve">treatment group), smoking &gt; 20 </w:t>
            </w:r>
            <w:r>
              <w:rPr>
                <w:rFonts w:eastAsia="MS Mincho" w:cstheme="minorHAnsi"/>
              </w:rPr>
              <w:t>CPD</w:t>
            </w:r>
            <w:r w:rsidRPr="007F0260">
              <w:rPr>
                <w:rFonts w:eastAsia="MS Mincho" w:cstheme="minorHAnsi"/>
              </w:rPr>
              <w:t>, FTND ≥ 8</w:t>
            </w:r>
            <w:r>
              <w:rPr>
                <w:rFonts w:eastAsia="MS Mincho" w:cstheme="minorHAnsi"/>
              </w:rPr>
              <w:t xml:space="preserve">, </w:t>
            </w:r>
            <w:r w:rsidRPr="007F0260">
              <w:rPr>
                <w:rFonts w:eastAsia="MS Mincho" w:cstheme="minorHAnsi"/>
              </w:rPr>
              <w:t>45% men, av</w:t>
            </w:r>
            <w:r>
              <w:rPr>
                <w:rFonts w:eastAsia="MS Mincho" w:cstheme="minorHAnsi"/>
              </w:rPr>
              <w:t>erage</w:t>
            </w:r>
            <w:r w:rsidRPr="007F0260">
              <w:rPr>
                <w:rFonts w:eastAsia="MS Mincho" w:cstheme="minorHAnsi"/>
              </w:rPr>
              <w:t xml:space="preserve"> age 46</w:t>
            </w:r>
            <w:r>
              <w:rPr>
                <w:rFonts w:eastAsia="MS Mincho" w:cstheme="minorHAnsi"/>
              </w:rPr>
              <w:t xml:space="preserve"> years</w:t>
            </w:r>
            <w:r w:rsidRPr="007F0260">
              <w:rPr>
                <w:rFonts w:eastAsia="MS Mincho" w:cstheme="minorHAnsi"/>
              </w:rPr>
              <w:t>, av</w:t>
            </w:r>
            <w:r>
              <w:rPr>
                <w:rFonts w:eastAsia="MS Mincho" w:cstheme="minorHAnsi"/>
              </w:rPr>
              <w:t>erage</w:t>
            </w:r>
            <w:r w:rsidRPr="007F0260">
              <w:rPr>
                <w:rFonts w:eastAsia="MS Mincho" w:cstheme="minorHAnsi"/>
              </w:rPr>
              <w:t xml:space="preserve"> </w:t>
            </w:r>
            <w:r>
              <w:rPr>
                <w:rFonts w:eastAsia="MS Mincho" w:cstheme="minorHAnsi"/>
              </w:rPr>
              <w:t>CPD</w:t>
            </w:r>
            <w:r w:rsidRPr="007F0260">
              <w:rPr>
                <w:rFonts w:eastAsia="MS Mincho" w:cstheme="minorHAnsi"/>
              </w:rPr>
              <w:t xml:space="preserve"> 25 </w:t>
            </w:r>
            <w:r>
              <w:rPr>
                <w:rFonts w:eastAsia="MS Mincho" w:cstheme="minorHAnsi"/>
              </w:rPr>
              <w:t>–</w:t>
            </w:r>
            <w:r w:rsidRPr="007F0260">
              <w:rPr>
                <w:rFonts w:eastAsia="MS Mincho" w:cstheme="minorHAnsi"/>
              </w:rPr>
              <w:t xml:space="preserve"> 26</w:t>
            </w:r>
            <w:r>
              <w:rPr>
                <w:rFonts w:eastAsia="MS Mincho" w:cstheme="minorHAnsi"/>
              </w:rPr>
              <w:t xml:space="preserve">. </w:t>
            </w:r>
          </w:p>
        </w:tc>
        <w:tc>
          <w:tcPr>
            <w:tcW w:w="1288" w:type="pct"/>
          </w:tcPr>
          <w:p w14:paraId="728DC81E" w14:textId="77777777" w:rsidR="007F30CC" w:rsidRPr="007F0260" w:rsidRDefault="007F30CC" w:rsidP="00C324F3">
            <w:pPr>
              <w:pStyle w:val="ListParagraph"/>
              <w:numPr>
                <w:ilvl w:val="0"/>
                <w:numId w:val="195"/>
              </w:numPr>
              <w:rPr>
                <w:rFonts w:eastAsia="MS Mincho"/>
                <w:lang w:eastAsia="en-US"/>
              </w:rPr>
            </w:pPr>
            <w:r w:rsidRPr="007F0260">
              <w:rPr>
                <w:rFonts w:eastAsia="MS Mincho"/>
                <w:lang w:eastAsia="en-US"/>
              </w:rPr>
              <w:t>Nicotine patch (21 mg/24-hour) for 6 w</w:t>
            </w:r>
            <w:r>
              <w:rPr>
                <w:rFonts w:eastAsia="MS Mincho"/>
                <w:lang w:eastAsia="en-US"/>
              </w:rPr>
              <w:t>ee</w:t>
            </w:r>
            <w:r w:rsidRPr="007F0260">
              <w:rPr>
                <w:rFonts w:eastAsia="MS Mincho"/>
                <w:lang w:eastAsia="en-US"/>
              </w:rPr>
              <w:t>ks, no weaning</w:t>
            </w:r>
          </w:p>
          <w:p w14:paraId="44430A67" w14:textId="77777777" w:rsidR="007F30CC" w:rsidRPr="007F0260" w:rsidRDefault="007F30CC" w:rsidP="00C324F3">
            <w:pPr>
              <w:pStyle w:val="ListParagraph"/>
              <w:numPr>
                <w:ilvl w:val="0"/>
                <w:numId w:val="195"/>
              </w:numPr>
              <w:rPr>
                <w:rFonts w:eastAsia="MS Mincho"/>
                <w:lang w:eastAsia="en-US"/>
              </w:rPr>
            </w:pPr>
            <w:r w:rsidRPr="007F0260">
              <w:rPr>
                <w:rFonts w:eastAsia="MS Mincho"/>
                <w:lang w:eastAsia="en-US"/>
              </w:rPr>
              <w:t>Nicotine patch, 21 mg 4 w</w:t>
            </w:r>
            <w:r>
              <w:rPr>
                <w:rFonts w:eastAsia="MS Mincho"/>
                <w:lang w:eastAsia="en-US"/>
              </w:rPr>
              <w:t>ee</w:t>
            </w:r>
            <w:r w:rsidRPr="007F0260">
              <w:rPr>
                <w:rFonts w:eastAsia="MS Mincho"/>
                <w:lang w:eastAsia="en-US"/>
              </w:rPr>
              <w:t>ks, weaning to 14 mg 4 w</w:t>
            </w:r>
            <w:r>
              <w:rPr>
                <w:rFonts w:eastAsia="MS Mincho"/>
                <w:lang w:eastAsia="en-US"/>
              </w:rPr>
              <w:t>ee</w:t>
            </w:r>
            <w:r w:rsidRPr="007F0260">
              <w:rPr>
                <w:rFonts w:eastAsia="MS Mincho"/>
                <w:lang w:eastAsia="en-US"/>
              </w:rPr>
              <w:t>ks, 7 mg 4 w</w:t>
            </w:r>
            <w:r>
              <w:rPr>
                <w:rFonts w:eastAsia="MS Mincho"/>
                <w:lang w:eastAsia="en-US"/>
              </w:rPr>
              <w:t>ee</w:t>
            </w:r>
            <w:r w:rsidRPr="007F0260">
              <w:rPr>
                <w:rFonts w:eastAsia="MS Mincho"/>
                <w:lang w:eastAsia="en-US"/>
              </w:rPr>
              <w:t>ks</w:t>
            </w:r>
          </w:p>
        </w:tc>
        <w:tc>
          <w:tcPr>
            <w:tcW w:w="1000" w:type="pct"/>
          </w:tcPr>
          <w:p w14:paraId="5AF2F3A6" w14:textId="77777777" w:rsidR="007F30CC" w:rsidRPr="007F0260" w:rsidRDefault="007F30CC" w:rsidP="006B48C7">
            <w:pPr>
              <w:pStyle w:val="Tablewriting"/>
              <w:rPr>
                <w:rFonts w:eastAsia="MS Mincho" w:cstheme="minorBidi"/>
              </w:rPr>
            </w:pPr>
            <w:r w:rsidRPr="007F0260">
              <w:rPr>
                <w:rFonts w:eastAsia="MS Mincho" w:cstheme="minorBidi"/>
                <w:u w:val="single"/>
              </w:rPr>
              <w:t>Efficacy:</w:t>
            </w:r>
            <w:r>
              <w:rPr>
                <w:rFonts w:eastAsia="MS Mincho" w:cstheme="minorBidi"/>
                <w:u w:val="single"/>
              </w:rPr>
              <w:t xml:space="preserve"> </w:t>
            </w:r>
            <w:r w:rsidRPr="007F0260">
              <w:rPr>
                <w:rFonts w:eastAsia="MS Mincho" w:cstheme="minorBidi"/>
              </w:rPr>
              <w:t>Abstinence at 6 m</w:t>
            </w:r>
            <w:r>
              <w:rPr>
                <w:rFonts w:eastAsia="MS Mincho" w:cstheme="minorBidi"/>
              </w:rPr>
              <w:t>onths.</w:t>
            </w:r>
          </w:p>
          <w:p w14:paraId="357A062A" w14:textId="77777777" w:rsidR="007F30CC" w:rsidRPr="007F0260" w:rsidRDefault="007F30CC" w:rsidP="006B48C7">
            <w:pPr>
              <w:pStyle w:val="Tablewriting"/>
              <w:rPr>
                <w:rFonts w:eastAsia="MS Mincho" w:cstheme="minorBidi"/>
              </w:rPr>
            </w:pPr>
            <w:r w:rsidRPr="007F0260">
              <w:rPr>
                <w:rFonts w:eastAsia="MS Mincho" w:cstheme="minorBidi"/>
              </w:rPr>
              <w:t>Validation: Plasma thiocyanate</w:t>
            </w:r>
          </w:p>
          <w:p w14:paraId="254B5173" w14:textId="77777777" w:rsidR="007F30CC" w:rsidRPr="004272CD" w:rsidRDefault="007F30CC" w:rsidP="006B48C7">
            <w:pPr>
              <w:pStyle w:val="Tablewriting"/>
              <w:rPr>
                <w:rFonts w:eastAsia="MS Mincho" w:cstheme="minorBidi"/>
                <w:u w:val="single"/>
              </w:rPr>
            </w:pPr>
          </w:p>
          <w:p w14:paraId="55807A99" w14:textId="77777777" w:rsidR="007F30CC" w:rsidRPr="000801BE" w:rsidRDefault="007F30CC" w:rsidP="006B48C7">
            <w:pPr>
              <w:pStyle w:val="Tablewriting"/>
              <w:rPr>
                <w:rFonts w:eastAsia="MS Mincho" w:cstheme="minorBidi"/>
              </w:rPr>
            </w:pPr>
            <w:r w:rsidRPr="000641B3">
              <w:rPr>
                <w:rFonts w:eastAsia="MS Mincho" w:cstheme="minorBidi"/>
                <w:u w:val="single"/>
              </w:rPr>
              <w:t>Safety:</w:t>
            </w:r>
            <w:r>
              <w:rPr>
                <w:rFonts w:eastAsia="MS Mincho" w:cstheme="minorBidi"/>
                <w:u w:val="single"/>
              </w:rPr>
              <w:t xml:space="preserve"> </w:t>
            </w:r>
            <w:r w:rsidRPr="000641B3">
              <w:rPr>
                <w:rFonts w:eastAsia="MS Mincho" w:cstheme="minorBidi"/>
              </w:rPr>
              <w:t>Adverse events</w:t>
            </w:r>
            <w:r>
              <w:rPr>
                <w:rFonts w:eastAsia="MS Mincho" w:cstheme="minorBidi"/>
              </w:rPr>
              <w:t xml:space="preserve"> </w:t>
            </w:r>
            <w:r w:rsidRPr="000641B3">
              <w:rPr>
                <w:rFonts w:eastAsia="MS Mincho" w:cstheme="minorBidi"/>
              </w:rPr>
              <w:t>not measured</w:t>
            </w:r>
            <w:r>
              <w:rPr>
                <w:rFonts w:eastAsia="MS Mincho" w:cstheme="minorBidi"/>
              </w:rPr>
              <w:t>.</w:t>
            </w:r>
          </w:p>
        </w:tc>
      </w:tr>
      <w:tr w:rsidR="007F30CC" w:rsidRPr="00017AE6" w14:paraId="3367C04A" w14:textId="77777777" w:rsidTr="00EA7016">
        <w:trPr>
          <w:trHeight w:val="99"/>
        </w:trPr>
        <w:tc>
          <w:tcPr>
            <w:tcW w:w="541" w:type="pct"/>
          </w:tcPr>
          <w:p w14:paraId="4A9D7EA1" w14:textId="77777777" w:rsidR="007F30CC" w:rsidRPr="007510D3" w:rsidRDefault="007F30CC" w:rsidP="006B48C7">
            <w:pPr>
              <w:pStyle w:val="Tablewriting"/>
              <w:rPr>
                <w:rFonts w:eastAsia="MS Mincho"/>
              </w:rPr>
            </w:pPr>
            <w:r w:rsidRPr="007510D3">
              <w:rPr>
                <w:rFonts w:eastAsia="MS Mincho"/>
              </w:rPr>
              <w:t xml:space="preserve">Bolin </w:t>
            </w:r>
            <w:r>
              <w:rPr>
                <w:rFonts w:eastAsia="MS Mincho"/>
              </w:rPr>
              <w:t>(</w:t>
            </w:r>
            <w:r w:rsidRPr="007510D3">
              <w:rPr>
                <w:rFonts w:eastAsia="MS Mincho"/>
              </w:rPr>
              <w:t>1999</w:t>
            </w:r>
            <w:r>
              <w:rPr>
                <w:rFonts w:eastAsia="MS Mincho"/>
              </w:rPr>
              <w:t>)</w:t>
            </w:r>
          </w:p>
        </w:tc>
        <w:tc>
          <w:tcPr>
            <w:tcW w:w="235" w:type="pct"/>
          </w:tcPr>
          <w:p w14:paraId="170FB2FE"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50527F35" w14:textId="77777777" w:rsidR="007F30CC" w:rsidRPr="00DA6845" w:rsidRDefault="007F30CC" w:rsidP="006B48C7">
            <w:pPr>
              <w:tabs>
                <w:tab w:val="left" w:pos="563"/>
              </w:tabs>
              <w:rPr>
                <w:rFonts w:eastAsia="MS Mincho"/>
                <w:lang w:eastAsia="en-US"/>
              </w:rPr>
            </w:pPr>
            <w:r>
              <w:rPr>
                <w:rFonts w:eastAsia="MS Mincho"/>
                <w:lang w:eastAsia="en-US"/>
              </w:rPr>
              <w:t>USA</w:t>
            </w:r>
          </w:p>
        </w:tc>
        <w:tc>
          <w:tcPr>
            <w:tcW w:w="350" w:type="pct"/>
          </w:tcPr>
          <w:p w14:paraId="07E6F24B" w14:textId="77777777" w:rsidR="007F30CC" w:rsidRPr="00017AE6" w:rsidRDefault="007F30CC" w:rsidP="006B48C7">
            <w:pPr>
              <w:pStyle w:val="Tablewriting"/>
              <w:rPr>
                <w:rFonts w:eastAsia="MS Mincho" w:cstheme="minorHAnsi"/>
              </w:rPr>
            </w:pPr>
            <w:r>
              <w:rPr>
                <w:rFonts w:eastAsia="MS Mincho" w:cstheme="minorHAnsi"/>
              </w:rPr>
              <w:t>N=98</w:t>
            </w:r>
          </w:p>
        </w:tc>
        <w:tc>
          <w:tcPr>
            <w:tcW w:w="1168" w:type="pct"/>
          </w:tcPr>
          <w:p w14:paraId="41E9D926" w14:textId="77777777" w:rsidR="007F30CC" w:rsidRPr="00017AE6" w:rsidRDefault="007F30CC" w:rsidP="006B48C7">
            <w:pPr>
              <w:pStyle w:val="Tablewriting"/>
              <w:rPr>
                <w:rFonts w:eastAsia="MS Mincho" w:cstheme="minorHAnsi"/>
              </w:rPr>
            </w:pPr>
            <w:r w:rsidRPr="00DA6845">
              <w:rPr>
                <w:rFonts w:eastAsia="MS Mincho" w:cstheme="minorHAnsi"/>
              </w:rPr>
              <w:t>Smokers</w:t>
            </w:r>
            <w:r>
              <w:rPr>
                <w:rFonts w:eastAsia="MS Mincho" w:cstheme="minorHAnsi"/>
              </w:rPr>
              <w:t xml:space="preserve"> </w:t>
            </w:r>
            <w:r w:rsidRPr="00DA6845">
              <w:rPr>
                <w:rFonts w:eastAsia="MS Mincho" w:cstheme="minorHAnsi"/>
              </w:rPr>
              <w:t>84% men, av</w:t>
            </w:r>
            <w:r>
              <w:rPr>
                <w:rFonts w:eastAsia="MS Mincho" w:cstheme="minorHAnsi"/>
              </w:rPr>
              <w:t>erage</w:t>
            </w:r>
            <w:r w:rsidRPr="00DA6845">
              <w:rPr>
                <w:rFonts w:eastAsia="MS Mincho" w:cstheme="minorHAnsi"/>
              </w:rPr>
              <w:t xml:space="preserve"> age 54</w:t>
            </w:r>
            <w:r>
              <w:rPr>
                <w:rFonts w:eastAsia="MS Mincho" w:cstheme="minorHAnsi"/>
              </w:rPr>
              <w:t xml:space="preserve"> years</w:t>
            </w:r>
            <w:r w:rsidRPr="00DA6845">
              <w:rPr>
                <w:rFonts w:eastAsia="MS Mincho" w:cstheme="minorHAnsi"/>
              </w:rPr>
              <w:t>, av</w:t>
            </w:r>
            <w:r>
              <w:rPr>
                <w:rFonts w:eastAsia="MS Mincho" w:cstheme="minorHAnsi"/>
              </w:rPr>
              <w:t>erage CPD</w:t>
            </w:r>
            <w:r w:rsidRPr="00DA6845">
              <w:rPr>
                <w:rFonts w:eastAsia="MS Mincho" w:cstheme="minorHAnsi"/>
              </w:rPr>
              <w:t xml:space="preserve"> 20</w:t>
            </w:r>
            <w:r>
              <w:rPr>
                <w:rFonts w:eastAsia="MS Mincho" w:cstheme="minorHAnsi"/>
              </w:rPr>
              <w:t xml:space="preserve">. </w:t>
            </w:r>
          </w:p>
        </w:tc>
        <w:tc>
          <w:tcPr>
            <w:tcW w:w="1288" w:type="pct"/>
          </w:tcPr>
          <w:p w14:paraId="433C5F98" w14:textId="77777777" w:rsidR="007F30CC" w:rsidRPr="00DA6845" w:rsidRDefault="007F30CC" w:rsidP="00C324F3">
            <w:pPr>
              <w:pStyle w:val="ListParagraph"/>
              <w:numPr>
                <w:ilvl w:val="0"/>
                <w:numId w:val="196"/>
              </w:numPr>
              <w:rPr>
                <w:rFonts w:eastAsia="MS Mincho"/>
                <w:lang w:eastAsia="en-US"/>
              </w:rPr>
            </w:pPr>
            <w:r w:rsidRPr="00DA6845">
              <w:rPr>
                <w:rFonts w:eastAsia="MS Mincho"/>
                <w:lang w:eastAsia="en-US"/>
              </w:rPr>
              <w:t>Nicotine patch for 12 w</w:t>
            </w:r>
            <w:r>
              <w:rPr>
                <w:rFonts w:eastAsia="MS Mincho"/>
                <w:lang w:eastAsia="en-US"/>
              </w:rPr>
              <w:t>ee</w:t>
            </w:r>
            <w:r w:rsidRPr="00DA6845">
              <w:rPr>
                <w:rFonts w:eastAsia="MS Mincho"/>
                <w:lang w:eastAsia="en-US"/>
              </w:rPr>
              <w:t>ks (21 mg/3 w</w:t>
            </w:r>
            <w:r>
              <w:rPr>
                <w:rFonts w:eastAsia="MS Mincho"/>
                <w:lang w:eastAsia="en-US"/>
              </w:rPr>
              <w:t>ee</w:t>
            </w:r>
            <w:r w:rsidRPr="00DA6845">
              <w:rPr>
                <w:rFonts w:eastAsia="MS Mincho"/>
                <w:lang w:eastAsia="en-US"/>
              </w:rPr>
              <w:t>ks, 14 mg/3 w</w:t>
            </w:r>
            <w:r>
              <w:rPr>
                <w:rFonts w:eastAsia="MS Mincho"/>
                <w:lang w:eastAsia="en-US"/>
              </w:rPr>
              <w:t>ee</w:t>
            </w:r>
            <w:r w:rsidRPr="00DA6845">
              <w:rPr>
                <w:rFonts w:eastAsia="MS Mincho"/>
                <w:lang w:eastAsia="en-US"/>
              </w:rPr>
              <w:t>ks, 7mg/3 w</w:t>
            </w:r>
            <w:r>
              <w:rPr>
                <w:rFonts w:eastAsia="MS Mincho"/>
                <w:lang w:eastAsia="en-US"/>
              </w:rPr>
              <w:t>ee</w:t>
            </w:r>
            <w:r w:rsidRPr="00DA6845">
              <w:rPr>
                <w:rFonts w:eastAsia="MS Mincho"/>
                <w:lang w:eastAsia="en-US"/>
              </w:rPr>
              <w:t>ks)</w:t>
            </w:r>
          </w:p>
          <w:p w14:paraId="7E2C2D6C" w14:textId="77777777" w:rsidR="007F30CC" w:rsidRPr="00DA6845" w:rsidRDefault="007F30CC" w:rsidP="00C324F3">
            <w:pPr>
              <w:pStyle w:val="ListParagraph"/>
              <w:numPr>
                <w:ilvl w:val="0"/>
                <w:numId w:val="196"/>
              </w:numPr>
              <w:rPr>
                <w:rFonts w:eastAsia="MS Mincho"/>
                <w:lang w:eastAsia="en-US"/>
              </w:rPr>
            </w:pPr>
            <w:r w:rsidRPr="00DA6845">
              <w:rPr>
                <w:rFonts w:eastAsia="MS Mincho"/>
                <w:lang w:eastAsia="en-US"/>
              </w:rPr>
              <w:t>Nicotine patch for 3 w</w:t>
            </w:r>
            <w:r>
              <w:rPr>
                <w:rFonts w:eastAsia="MS Mincho"/>
                <w:lang w:eastAsia="en-US"/>
              </w:rPr>
              <w:t>ee</w:t>
            </w:r>
            <w:r w:rsidRPr="00DA6845">
              <w:rPr>
                <w:rFonts w:eastAsia="MS Mincho"/>
                <w:lang w:eastAsia="en-US"/>
              </w:rPr>
              <w:t>ks (21 mg/1 w</w:t>
            </w:r>
            <w:r>
              <w:rPr>
                <w:rFonts w:eastAsia="MS Mincho"/>
                <w:lang w:eastAsia="en-US"/>
              </w:rPr>
              <w:t>ee</w:t>
            </w:r>
            <w:r w:rsidRPr="00DA6845">
              <w:rPr>
                <w:rFonts w:eastAsia="MS Mincho"/>
                <w:lang w:eastAsia="en-US"/>
              </w:rPr>
              <w:t>k, 14 mg/1 w</w:t>
            </w:r>
            <w:r>
              <w:rPr>
                <w:rFonts w:eastAsia="MS Mincho"/>
                <w:lang w:eastAsia="en-US"/>
              </w:rPr>
              <w:t>ee</w:t>
            </w:r>
            <w:r w:rsidRPr="00DA6845">
              <w:rPr>
                <w:rFonts w:eastAsia="MS Mincho"/>
                <w:lang w:eastAsia="en-US"/>
              </w:rPr>
              <w:t>k, 7mg/1 w</w:t>
            </w:r>
            <w:r>
              <w:rPr>
                <w:rFonts w:eastAsia="MS Mincho"/>
                <w:lang w:eastAsia="en-US"/>
              </w:rPr>
              <w:t>ee</w:t>
            </w:r>
            <w:r w:rsidRPr="00DA6845">
              <w:rPr>
                <w:rFonts w:eastAsia="MS Mincho"/>
                <w:lang w:eastAsia="en-US"/>
              </w:rPr>
              <w:t>k)</w:t>
            </w:r>
          </w:p>
        </w:tc>
        <w:tc>
          <w:tcPr>
            <w:tcW w:w="1000" w:type="pct"/>
          </w:tcPr>
          <w:p w14:paraId="7FD774F4" w14:textId="77777777" w:rsidR="007F30CC" w:rsidRPr="006F489F" w:rsidRDefault="007F30CC" w:rsidP="006B48C7">
            <w:pPr>
              <w:pStyle w:val="Tablewriting"/>
              <w:rPr>
                <w:rFonts w:eastAsia="MS Mincho" w:cstheme="minorBidi"/>
              </w:rPr>
            </w:pPr>
            <w:r w:rsidRPr="006F489F">
              <w:rPr>
                <w:rFonts w:eastAsia="MS Mincho" w:cstheme="minorBidi"/>
                <w:u w:val="single"/>
              </w:rPr>
              <w:t>Efficacy:</w:t>
            </w:r>
            <w:r>
              <w:rPr>
                <w:rFonts w:eastAsia="MS Mincho" w:cstheme="minorBidi"/>
                <w:u w:val="single"/>
              </w:rPr>
              <w:t xml:space="preserve"> </w:t>
            </w:r>
            <w:r w:rsidRPr="006F489F">
              <w:rPr>
                <w:rFonts w:eastAsia="MS Mincho" w:cstheme="minorBidi"/>
              </w:rPr>
              <w:t>Continuous abstinence at 5 m</w:t>
            </w:r>
            <w:r>
              <w:rPr>
                <w:rFonts w:eastAsia="MS Mincho" w:cstheme="minorBidi"/>
              </w:rPr>
              <w:t>onths</w:t>
            </w:r>
            <w:r w:rsidRPr="006F489F">
              <w:rPr>
                <w:rFonts w:eastAsia="MS Mincho" w:cstheme="minorBidi"/>
              </w:rPr>
              <w:t xml:space="preserve"> (PP also recorded)</w:t>
            </w:r>
          </w:p>
          <w:p w14:paraId="07AEA410" w14:textId="77777777" w:rsidR="007F30CC" w:rsidRPr="004272CD" w:rsidRDefault="007F30CC" w:rsidP="006B48C7">
            <w:pPr>
              <w:pStyle w:val="Tablewriting"/>
              <w:rPr>
                <w:rFonts w:eastAsia="MS Mincho" w:cstheme="minorBidi"/>
                <w:u w:val="single"/>
              </w:rPr>
            </w:pPr>
            <w:r w:rsidRPr="006F489F">
              <w:rPr>
                <w:rFonts w:eastAsia="MS Mincho" w:cstheme="minorBidi"/>
              </w:rPr>
              <w:t>Validation: CO</w:t>
            </w:r>
          </w:p>
          <w:p w14:paraId="51D8B12F" w14:textId="77777777" w:rsidR="007F30CC" w:rsidRPr="004272CD" w:rsidRDefault="007F30CC" w:rsidP="006B48C7">
            <w:pPr>
              <w:pStyle w:val="Tablewriting"/>
              <w:rPr>
                <w:rFonts w:eastAsia="MS Mincho" w:cstheme="minorBidi"/>
                <w:u w:val="single"/>
              </w:rPr>
            </w:pPr>
          </w:p>
          <w:p w14:paraId="01123AD5" w14:textId="77777777" w:rsidR="007F30CC" w:rsidRPr="006F489F" w:rsidRDefault="007F30CC" w:rsidP="006B48C7">
            <w:pPr>
              <w:pStyle w:val="Tablewriting"/>
              <w:rPr>
                <w:rFonts w:eastAsia="MS Mincho" w:cstheme="minorBidi"/>
                <w:u w:val="single"/>
              </w:rPr>
            </w:pPr>
            <w:r w:rsidRPr="008E5D31">
              <w:rPr>
                <w:rFonts w:eastAsia="MS Mincho" w:cstheme="minorBidi"/>
                <w:u w:val="single"/>
              </w:rPr>
              <w:t>Safety:</w:t>
            </w:r>
            <w:r>
              <w:rPr>
                <w:rFonts w:eastAsia="MS Mincho" w:cstheme="minorBidi"/>
                <w:u w:val="single"/>
              </w:rPr>
              <w:t xml:space="preserve"> </w:t>
            </w:r>
            <w:r w:rsidRPr="006F489F">
              <w:rPr>
                <w:rFonts w:eastAsia="MS Mincho" w:cstheme="minorBidi"/>
              </w:rPr>
              <w:t>Adverse events not measured.</w:t>
            </w:r>
          </w:p>
        </w:tc>
      </w:tr>
      <w:tr w:rsidR="007F30CC" w:rsidRPr="00017AE6" w14:paraId="1A1DCA62" w14:textId="77777777" w:rsidTr="00EA7016">
        <w:trPr>
          <w:trHeight w:val="99"/>
        </w:trPr>
        <w:tc>
          <w:tcPr>
            <w:tcW w:w="541" w:type="pct"/>
          </w:tcPr>
          <w:p w14:paraId="2E48B898" w14:textId="77777777" w:rsidR="007F30CC" w:rsidRPr="007510D3" w:rsidRDefault="007F30CC" w:rsidP="006B48C7">
            <w:pPr>
              <w:pStyle w:val="Tablewriting"/>
              <w:rPr>
                <w:rFonts w:eastAsia="MS Mincho"/>
              </w:rPr>
            </w:pPr>
            <w:r w:rsidRPr="007510D3">
              <w:rPr>
                <w:rFonts w:eastAsia="MS Mincho"/>
              </w:rPr>
              <w:t xml:space="preserve">Cummings </w:t>
            </w:r>
            <w:r>
              <w:rPr>
                <w:rFonts w:eastAsia="MS Mincho"/>
              </w:rPr>
              <w:t>(</w:t>
            </w:r>
            <w:r w:rsidRPr="007510D3">
              <w:rPr>
                <w:rFonts w:eastAsia="MS Mincho"/>
              </w:rPr>
              <w:t>2011</w:t>
            </w:r>
            <w:r>
              <w:rPr>
                <w:rFonts w:eastAsia="MS Mincho"/>
              </w:rPr>
              <w:t>)</w:t>
            </w:r>
          </w:p>
        </w:tc>
        <w:tc>
          <w:tcPr>
            <w:tcW w:w="235" w:type="pct"/>
          </w:tcPr>
          <w:p w14:paraId="36DE58CD"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0B018DCD"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55A99AAF" w14:textId="77777777" w:rsidR="007F30CC" w:rsidRPr="00017AE6" w:rsidRDefault="007F30CC" w:rsidP="006B48C7">
            <w:pPr>
              <w:pStyle w:val="Tablewriting"/>
              <w:rPr>
                <w:rFonts w:eastAsia="MS Mincho" w:cstheme="minorHAnsi"/>
              </w:rPr>
            </w:pPr>
            <w:r>
              <w:rPr>
                <w:rFonts w:eastAsia="MS Mincho" w:cstheme="minorHAnsi"/>
              </w:rPr>
              <w:t>N=2806</w:t>
            </w:r>
          </w:p>
        </w:tc>
        <w:tc>
          <w:tcPr>
            <w:tcW w:w="1168" w:type="pct"/>
          </w:tcPr>
          <w:p w14:paraId="66A001AA" w14:textId="77777777" w:rsidR="007F30CC" w:rsidRPr="006F489F" w:rsidRDefault="007F30CC" w:rsidP="006B48C7">
            <w:pPr>
              <w:pStyle w:val="Tablewriting"/>
              <w:rPr>
                <w:rFonts w:eastAsia="MS Mincho" w:cstheme="minorHAnsi"/>
              </w:rPr>
            </w:pPr>
            <w:r>
              <w:rPr>
                <w:rFonts w:eastAsia="MS Mincho" w:cstheme="minorHAnsi"/>
              </w:rPr>
              <w:t>S</w:t>
            </w:r>
            <w:r w:rsidRPr="006F489F">
              <w:rPr>
                <w:rFonts w:eastAsia="MS Mincho" w:cstheme="minorHAnsi"/>
              </w:rPr>
              <w:t>mokers aged ≥18 y</w:t>
            </w:r>
            <w:r>
              <w:rPr>
                <w:rFonts w:eastAsia="MS Mincho" w:cstheme="minorHAnsi"/>
              </w:rPr>
              <w:t>ea</w:t>
            </w:r>
            <w:r w:rsidRPr="006F489F">
              <w:rPr>
                <w:rFonts w:eastAsia="MS Mincho" w:cstheme="minorHAnsi"/>
              </w:rPr>
              <w:t xml:space="preserve">rs, ≥10 </w:t>
            </w:r>
            <w:r>
              <w:rPr>
                <w:rFonts w:eastAsia="MS Mincho" w:cstheme="minorHAnsi"/>
              </w:rPr>
              <w:t>CPD</w:t>
            </w:r>
            <w:r w:rsidRPr="006F489F">
              <w:rPr>
                <w:rFonts w:eastAsia="MS Mincho" w:cstheme="minorHAnsi"/>
              </w:rPr>
              <w:t>, interested in using nicotine patch to help them stop smoking, no</w:t>
            </w:r>
          </w:p>
          <w:p w14:paraId="236CCBA6" w14:textId="77777777" w:rsidR="007F30CC" w:rsidRPr="006F489F" w:rsidRDefault="007F30CC" w:rsidP="006B48C7">
            <w:pPr>
              <w:pStyle w:val="Tablewriting"/>
              <w:rPr>
                <w:rFonts w:eastAsia="MS Mincho" w:cstheme="minorHAnsi"/>
              </w:rPr>
            </w:pPr>
            <w:r w:rsidRPr="006F489F">
              <w:rPr>
                <w:rFonts w:eastAsia="MS Mincho" w:cstheme="minorHAnsi"/>
              </w:rPr>
              <w:t>known contra-indications to the patch, willing to make quit attempt within 2 weeks</w:t>
            </w:r>
            <w:r>
              <w:rPr>
                <w:rFonts w:eastAsia="MS Mincho" w:cstheme="minorHAnsi"/>
              </w:rPr>
              <w:t>.</w:t>
            </w:r>
          </w:p>
          <w:p w14:paraId="1FCD6092" w14:textId="77777777" w:rsidR="007F30CC" w:rsidRDefault="007F30CC" w:rsidP="006B48C7">
            <w:pPr>
              <w:pStyle w:val="Tablewriting"/>
              <w:rPr>
                <w:rFonts w:eastAsia="MS Mincho" w:cstheme="minorHAnsi"/>
              </w:rPr>
            </w:pPr>
          </w:p>
          <w:p w14:paraId="24FE7C89" w14:textId="77777777" w:rsidR="007F30CC" w:rsidRPr="006F489F" w:rsidRDefault="007F30CC" w:rsidP="006B48C7">
            <w:pPr>
              <w:pStyle w:val="Tablewriting"/>
              <w:rPr>
                <w:rFonts w:eastAsia="MS Mincho" w:cstheme="minorHAnsi"/>
              </w:rPr>
            </w:pPr>
            <w:r w:rsidRPr="006F489F">
              <w:rPr>
                <w:rFonts w:eastAsia="MS Mincho" w:cstheme="minorHAnsi"/>
              </w:rPr>
              <w:t>44.3% men; av</w:t>
            </w:r>
            <w:r>
              <w:rPr>
                <w:rFonts w:eastAsia="MS Mincho" w:cstheme="minorHAnsi"/>
              </w:rPr>
              <w:t>erage</w:t>
            </w:r>
            <w:r w:rsidRPr="006F489F">
              <w:rPr>
                <w:rFonts w:eastAsia="MS Mincho" w:cstheme="minorHAnsi"/>
              </w:rPr>
              <w:t xml:space="preserve"> age: 45 - 54 y</w:t>
            </w:r>
            <w:r>
              <w:rPr>
                <w:rFonts w:eastAsia="MS Mincho" w:cstheme="minorHAnsi"/>
              </w:rPr>
              <w:t>ea</w:t>
            </w:r>
            <w:r w:rsidRPr="006F489F">
              <w:rPr>
                <w:rFonts w:eastAsia="MS Mincho" w:cstheme="minorHAnsi"/>
              </w:rPr>
              <w:t>rs (mode); av</w:t>
            </w:r>
            <w:r>
              <w:rPr>
                <w:rFonts w:eastAsia="MS Mincho" w:cstheme="minorHAnsi"/>
              </w:rPr>
              <w:t>erage</w:t>
            </w:r>
            <w:r w:rsidRPr="006F489F">
              <w:rPr>
                <w:rFonts w:eastAsia="MS Mincho" w:cstheme="minorHAnsi"/>
              </w:rPr>
              <w:t xml:space="preserve"> </w:t>
            </w:r>
            <w:r>
              <w:rPr>
                <w:rFonts w:eastAsia="MS Mincho" w:cstheme="minorHAnsi"/>
              </w:rPr>
              <w:t>CPD</w:t>
            </w:r>
            <w:r w:rsidRPr="006F489F">
              <w:rPr>
                <w:rFonts w:eastAsia="MS Mincho" w:cstheme="minorHAnsi"/>
              </w:rPr>
              <w:t>: 20 - 29 (mode); time to first cigarette: within 5 mins</w:t>
            </w:r>
          </w:p>
          <w:p w14:paraId="51FC4FC9" w14:textId="77777777" w:rsidR="007F30CC" w:rsidRPr="00017AE6" w:rsidRDefault="007F30CC" w:rsidP="006B48C7">
            <w:pPr>
              <w:pStyle w:val="Tablewriting"/>
              <w:rPr>
                <w:rFonts w:eastAsia="MS Mincho" w:cstheme="minorHAnsi"/>
              </w:rPr>
            </w:pPr>
            <w:r w:rsidRPr="006F489F">
              <w:rPr>
                <w:rFonts w:eastAsia="MS Mincho" w:cstheme="minorHAnsi"/>
              </w:rPr>
              <w:t>(mode category)</w:t>
            </w:r>
            <w:r>
              <w:rPr>
                <w:rFonts w:eastAsia="MS Mincho" w:cstheme="minorHAnsi"/>
              </w:rPr>
              <w:t>.</w:t>
            </w:r>
          </w:p>
        </w:tc>
        <w:tc>
          <w:tcPr>
            <w:tcW w:w="1288" w:type="pct"/>
          </w:tcPr>
          <w:p w14:paraId="578DBED0" w14:textId="77777777" w:rsidR="007F30CC" w:rsidRPr="006F489F" w:rsidRDefault="007F30CC" w:rsidP="00C324F3">
            <w:pPr>
              <w:pStyle w:val="ListParagraph"/>
              <w:numPr>
                <w:ilvl w:val="0"/>
                <w:numId w:val="197"/>
              </w:numPr>
              <w:rPr>
                <w:rFonts w:eastAsia="MS Mincho"/>
                <w:lang w:eastAsia="en-US"/>
              </w:rPr>
            </w:pPr>
            <w:r w:rsidRPr="006F489F">
              <w:rPr>
                <w:rFonts w:eastAsia="MS Mincho"/>
                <w:lang w:eastAsia="en-US"/>
              </w:rPr>
              <w:t>2 weeks of free nicotine patch treatment provided</w:t>
            </w:r>
          </w:p>
          <w:p w14:paraId="73DE27DF" w14:textId="77777777" w:rsidR="007F30CC" w:rsidRPr="006F489F" w:rsidRDefault="007F30CC" w:rsidP="00C324F3">
            <w:pPr>
              <w:pStyle w:val="ListParagraph"/>
              <w:numPr>
                <w:ilvl w:val="0"/>
                <w:numId w:val="197"/>
              </w:numPr>
              <w:rPr>
                <w:rFonts w:eastAsia="MS Mincho"/>
                <w:lang w:eastAsia="en-US"/>
              </w:rPr>
            </w:pPr>
            <w:r w:rsidRPr="006F489F">
              <w:rPr>
                <w:rFonts w:eastAsia="MS Mincho"/>
                <w:lang w:eastAsia="en-US"/>
              </w:rPr>
              <w:t>4 weeks of free nicotine patch treatment provided</w:t>
            </w:r>
          </w:p>
          <w:p w14:paraId="2CAC8EF3" w14:textId="77777777" w:rsidR="007F30CC" w:rsidRDefault="007F30CC" w:rsidP="00C324F3">
            <w:pPr>
              <w:pStyle w:val="ListParagraph"/>
              <w:numPr>
                <w:ilvl w:val="0"/>
                <w:numId w:val="197"/>
              </w:numPr>
              <w:rPr>
                <w:rFonts w:eastAsia="MS Mincho"/>
                <w:lang w:eastAsia="en-US"/>
              </w:rPr>
            </w:pPr>
            <w:r w:rsidRPr="006F489F">
              <w:rPr>
                <w:rFonts w:eastAsia="MS Mincho"/>
                <w:lang w:eastAsia="en-US"/>
              </w:rPr>
              <w:t>6 weeks of free nicotine patch treatment provid</w:t>
            </w:r>
            <w:r>
              <w:rPr>
                <w:rFonts w:eastAsia="MS Mincho"/>
                <w:lang w:eastAsia="en-US"/>
              </w:rPr>
              <w:t>ed</w:t>
            </w:r>
          </w:p>
          <w:p w14:paraId="72F4BA58" w14:textId="77777777" w:rsidR="007F30CC" w:rsidRDefault="007F30CC" w:rsidP="006B48C7">
            <w:pPr>
              <w:rPr>
                <w:rFonts w:eastAsia="MS Mincho"/>
                <w:lang w:eastAsia="en-US"/>
              </w:rPr>
            </w:pPr>
          </w:p>
          <w:p w14:paraId="319DB968" w14:textId="77777777" w:rsidR="007F30CC" w:rsidRPr="006F489F" w:rsidRDefault="007F30CC" w:rsidP="006B48C7">
            <w:pPr>
              <w:rPr>
                <w:rFonts w:eastAsia="MS Mincho"/>
                <w:lang w:eastAsia="en-US"/>
              </w:rPr>
            </w:pPr>
            <w:r w:rsidRPr="006F489F">
              <w:rPr>
                <w:rFonts w:eastAsia="MS Mincho"/>
                <w:u w:val="single"/>
                <w:lang w:eastAsia="en-US"/>
              </w:rPr>
              <w:t xml:space="preserve">Common component: </w:t>
            </w:r>
            <w:r w:rsidRPr="006F489F">
              <w:rPr>
                <w:rFonts w:eastAsia="MS Mincho"/>
                <w:lang w:eastAsia="en-US"/>
              </w:rPr>
              <w:t>All participants received the quit line’s standard cessation guide, providing tips on quitting smoking,</w:t>
            </w:r>
          </w:p>
          <w:p w14:paraId="0ADE92F1" w14:textId="77777777" w:rsidR="007F30CC" w:rsidRPr="006F489F" w:rsidRDefault="007F30CC" w:rsidP="006B48C7">
            <w:pPr>
              <w:rPr>
                <w:rFonts w:eastAsia="MS Mincho"/>
                <w:lang w:eastAsia="en-US"/>
              </w:rPr>
            </w:pPr>
            <w:r w:rsidRPr="006F489F">
              <w:rPr>
                <w:rFonts w:eastAsia="MS Mincho"/>
                <w:lang w:eastAsia="en-US"/>
              </w:rPr>
              <w:t>along with information on the benefits of smoking cessation. In addition, all participants received 1 x</w:t>
            </w:r>
            <w:r>
              <w:rPr>
                <w:rFonts w:eastAsia="MS Mincho"/>
                <w:lang w:eastAsia="en-US"/>
              </w:rPr>
              <w:t xml:space="preserve"> </w:t>
            </w:r>
            <w:r w:rsidRPr="006F489F">
              <w:rPr>
                <w:rFonts w:eastAsia="MS Mincho"/>
                <w:lang w:eastAsia="en-US"/>
              </w:rPr>
              <w:t>10- to 15-minute proactive follow-up call conducted 2 weeks after initially contacting the quit line. The</w:t>
            </w:r>
          </w:p>
          <w:p w14:paraId="17B7D7F5" w14:textId="77777777" w:rsidR="007F30CC" w:rsidRPr="006F489F" w:rsidRDefault="007F30CC" w:rsidP="006B48C7">
            <w:pPr>
              <w:rPr>
                <w:rFonts w:eastAsia="MS Mincho"/>
                <w:lang w:eastAsia="en-US"/>
              </w:rPr>
            </w:pPr>
            <w:r w:rsidRPr="006F489F">
              <w:rPr>
                <w:rFonts w:eastAsia="MS Mincho"/>
                <w:lang w:eastAsia="en-US"/>
              </w:rPr>
              <w:t xml:space="preserve">counselling call was intended to help participants address barriers to quitting </w:t>
            </w:r>
            <w:r w:rsidRPr="006F489F">
              <w:rPr>
                <w:rFonts w:eastAsia="MS Mincho"/>
                <w:lang w:eastAsia="en-US"/>
              </w:rPr>
              <w:lastRenderedPageBreak/>
              <w:t>and prompt them to use</w:t>
            </w:r>
            <w:r>
              <w:rPr>
                <w:rFonts w:eastAsia="MS Mincho"/>
                <w:lang w:eastAsia="en-US"/>
              </w:rPr>
              <w:t xml:space="preserve"> </w:t>
            </w:r>
            <w:r w:rsidRPr="006F489F">
              <w:rPr>
                <w:rFonts w:eastAsia="MS Mincho"/>
                <w:lang w:eastAsia="en-US"/>
              </w:rPr>
              <w:t>the medications sent to them</w:t>
            </w:r>
            <w:r>
              <w:rPr>
                <w:rFonts w:eastAsia="MS Mincho"/>
                <w:lang w:eastAsia="en-US"/>
              </w:rPr>
              <w:t xml:space="preserve">. </w:t>
            </w:r>
          </w:p>
        </w:tc>
        <w:tc>
          <w:tcPr>
            <w:tcW w:w="1000" w:type="pct"/>
          </w:tcPr>
          <w:p w14:paraId="02E49285" w14:textId="77777777" w:rsidR="007F30CC" w:rsidRPr="004272CD" w:rsidRDefault="007F30CC" w:rsidP="006B48C7">
            <w:pPr>
              <w:pStyle w:val="Tablewriting"/>
              <w:rPr>
                <w:rFonts w:eastAsia="MS Mincho" w:cstheme="minorBidi"/>
                <w:u w:val="single"/>
              </w:rPr>
            </w:pPr>
            <w:r w:rsidRPr="008E5D31">
              <w:rPr>
                <w:rFonts w:eastAsia="MS Mincho" w:cstheme="minorBidi"/>
                <w:u w:val="single"/>
              </w:rPr>
              <w:lastRenderedPageBreak/>
              <w:t>Efficacy:</w:t>
            </w:r>
            <w:r>
              <w:rPr>
                <w:rFonts w:eastAsia="MS Mincho" w:cstheme="minorBidi"/>
                <w:u w:val="single"/>
              </w:rPr>
              <w:t xml:space="preserve"> </w:t>
            </w:r>
            <w:r w:rsidRPr="004F57C6">
              <w:rPr>
                <w:rFonts w:eastAsia="MS Mincho" w:cstheme="minorBidi"/>
              </w:rPr>
              <w:t>Self-reported 30-day PPA at 7-month follow-up, self-reported 7-day PPA at 7 months</w:t>
            </w:r>
            <w:r>
              <w:rPr>
                <w:rFonts w:eastAsia="MS Mincho" w:cstheme="minorBidi"/>
              </w:rPr>
              <w:t>.</w:t>
            </w:r>
          </w:p>
          <w:p w14:paraId="15D5BADB" w14:textId="77777777" w:rsidR="007F30CC" w:rsidRPr="004F57C6" w:rsidRDefault="007F30CC" w:rsidP="006B48C7">
            <w:pPr>
              <w:pStyle w:val="Tablewriting"/>
              <w:rPr>
                <w:rFonts w:eastAsia="MS Mincho" w:cstheme="minorBidi"/>
              </w:rPr>
            </w:pPr>
            <w:r w:rsidRPr="004F57C6">
              <w:rPr>
                <w:rFonts w:eastAsia="MS Mincho" w:cstheme="minorBidi"/>
              </w:rPr>
              <w:t>No biochemical validation</w:t>
            </w:r>
          </w:p>
          <w:p w14:paraId="436E226D" w14:textId="77777777" w:rsidR="007F30CC" w:rsidRDefault="007F30CC" w:rsidP="006B48C7">
            <w:pPr>
              <w:pStyle w:val="Tablewriting"/>
              <w:rPr>
                <w:rFonts w:eastAsia="MS Mincho" w:cstheme="minorBidi"/>
              </w:rPr>
            </w:pPr>
          </w:p>
          <w:p w14:paraId="732B8949" w14:textId="77777777" w:rsidR="007F30CC" w:rsidRPr="004F57C6" w:rsidRDefault="007F30CC" w:rsidP="006B48C7">
            <w:pPr>
              <w:pStyle w:val="Tablewriting"/>
              <w:rPr>
                <w:rFonts w:eastAsia="MS Mincho" w:cstheme="minorBidi"/>
              </w:rPr>
            </w:pPr>
            <w:r w:rsidRPr="008E5D31">
              <w:rPr>
                <w:rFonts w:eastAsia="MS Mincho" w:cstheme="minorBidi"/>
                <w:u w:val="single"/>
              </w:rPr>
              <w:t>Safety:</w:t>
            </w:r>
            <w:r>
              <w:rPr>
                <w:rFonts w:eastAsia="MS Mincho" w:cstheme="minorBidi"/>
                <w:u w:val="single"/>
              </w:rPr>
              <w:t xml:space="preserve"> </w:t>
            </w:r>
            <w:r w:rsidRPr="004F57C6">
              <w:rPr>
                <w:rFonts w:eastAsia="MS Mincho" w:cstheme="minorBidi"/>
              </w:rPr>
              <w:t>Adverse events not measured</w:t>
            </w:r>
            <w:r>
              <w:rPr>
                <w:rFonts w:eastAsia="MS Mincho" w:cstheme="minorBidi"/>
              </w:rPr>
              <w:t xml:space="preserve">. </w:t>
            </w:r>
          </w:p>
          <w:p w14:paraId="683E9F9E" w14:textId="77777777" w:rsidR="007F30CC" w:rsidRPr="004272CD" w:rsidRDefault="007F30CC" w:rsidP="006B48C7">
            <w:pPr>
              <w:pStyle w:val="Tablewriting"/>
              <w:rPr>
                <w:rFonts w:eastAsia="MS Mincho" w:cstheme="minorBidi"/>
                <w:u w:val="single"/>
              </w:rPr>
            </w:pPr>
          </w:p>
          <w:p w14:paraId="457E5208" w14:textId="77777777" w:rsidR="007F30CC" w:rsidRPr="0139F213" w:rsidRDefault="007F30CC" w:rsidP="006B48C7">
            <w:pPr>
              <w:pStyle w:val="Tablewriting"/>
              <w:rPr>
                <w:rFonts w:eastAsia="MS Mincho" w:cstheme="minorBidi"/>
              </w:rPr>
            </w:pPr>
          </w:p>
        </w:tc>
      </w:tr>
      <w:tr w:rsidR="007F30CC" w:rsidRPr="00017AE6" w14:paraId="2E77E7A7" w14:textId="77777777" w:rsidTr="00EA7016">
        <w:trPr>
          <w:trHeight w:val="99"/>
        </w:trPr>
        <w:tc>
          <w:tcPr>
            <w:tcW w:w="541" w:type="pct"/>
          </w:tcPr>
          <w:p w14:paraId="03E9E467" w14:textId="77777777" w:rsidR="007F30CC" w:rsidRPr="007510D3" w:rsidRDefault="007F30CC" w:rsidP="006B48C7">
            <w:pPr>
              <w:pStyle w:val="Tablewriting"/>
              <w:rPr>
                <w:rFonts w:eastAsia="MS Mincho"/>
              </w:rPr>
            </w:pPr>
            <w:r w:rsidRPr="00FF579E">
              <w:rPr>
                <w:rFonts w:eastAsia="MS Mincho"/>
              </w:rPr>
              <w:t>Glavas (2003)</w:t>
            </w:r>
          </w:p>
        </w:tc>
        <w:tc>
          <w:tcPr>
            <w:tcW w:w="235" w:type="pct"/>
          </w:tcPr>
          <w:p w14:paraId="3EEBEBE1"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7BC4F3DF" w14:textId="77777777" w:rsidR="007F30CC" w:rsidRPr="00017AE6" w:rsidRDefault="007F30CC" w:rsidP="006B48C7">
            <w:pPr>
              <w:pStyle w:val="Tablewriting"/>
              <w:rPr>
                <w:rFonts w:eastAsia="MS Mincho" w:cstheme="minorHAnsi"/>
              </w:rPr>
            </w:pPr>
            <w:r w:rsidRPr="004F57C6">
              <w:rPr>
                <w:rFonts w:eastAsia="MS Mincho" w:cstheme="minorHAnsi"/>
              </w:rPr>
              <w:t>Croatia</w:t>
            </w:r>
          </w:p>
        </w:tc>
        <w:tc>
          <w:tcPr>
            <w:tcW w:w="350" w:type="pct"/>
          </w:tcPr>
          <w:p w14:paraId="4DCCA9BF" w14:textId="77777777" w:rsidR="007F30CC" w:rsidRPr="00017AE6" w:rsidRDefault="007F30CC" w:rsidP="006B48C7">
            <w:pPr>
              <w:pStyle w:val="Tablewriting"/>
              <w:rPr>
                <w:rFonts w:eastAsia="MS Mincho" w:cstheme="minorHAnsi"/>
              </w:rPr>
            </w:pPr>
            <w:r>
              <w:rPr>
                <w:rFonts w:eastAsia="MS Mincho" w:cstheme="minorHAnsi"/>
              </w:rPr>
              <w:t>N=160</w:t>
            </w:r>
          </w:p>
        </w:tc>
        <w:tc>
          <w:tcPr>
            <w:tcW w:w="1168" w:type="pct"/>
          </w:tcPr>
          <w:p w14:paraId="3F98E86B" w14:textId="77777777" w:rsidR="007F30CC" w:rsidRPr="00017AE6" w:rsidRDefault="007F30CC" w:rsidP="006B48C7">
            <w:pPr>
              <w:pStyle w:val="Tablewriting"/>
              <w:rPr>
                <w:rFonts w:eastAsia="MS Mincho" w:cstheme="minorHAnsi"/>
              </w:rPr>
            </w:pPr>
            <w:r>
              <w:rPr>
                <w:rFonts w:eastAsia="MS Mincho" w:cstheme="minorHAnsi"/>
              </w:rPr>
              <w:t>Smokers</w:t>
            </w:r>
          </w:p>
        </w:tc>
        <w:tc>
          <w:tcPr>
            <w:tcW w:w="1288" w:type="pct"/>
          </w:tcPr>
          <w:p w14:paraId="68191727" w14:textId="77777777"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Nicotine patch, 24-hour, 25 mg/15 mg/8 mg starting dose depending on baseline cpd. 6 w</w:t>
            </w:r>
            <w:r>
              <w:rPr>
                <w:rFonts w:eastAsia="MS Mincho"/>
                <w:lang w:eastAsia="en-US"/>
              </w:rPr>
              <w:t>ee</w:t>
            </w:r>
            <w:r w:rsidRPr="004F57C6">
              <w:rPr>
                <w:rFonts w:eastAsia="MS Mincho"/>
                <w:lang w:eastAsia="en-US"/>
              </w:rPr>
              <w:t>ks</w:t>
            </w:r>
          </w:p>
          <w:p w14:paraId="259A1B8C" w14:textId="77777777"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Nicotine patch, 24-hour, 25 mg/15 mg starting dose depending on baseline cpd. 3 w</w:t>
            </w:r>
            <w:r>
              <w:rPr>
                <w:rFonts w:eastAsia="MS Mincho"/>
                <w:lang w:eastAsia="en-US"/>
              </w:rPr>
              <w:t>ee</w:t>
            </w:r>
            <w:r w:rsidRPr="004F57C6">
              <w:rPr>
                <w:rFonts w:eastAsia="MS Mincho"/>
                <w:lang w:eastAsia="en-US"/>
              </w:rPr>
              <w:t>ks</w:t>
            </w:r>
          </w:p>
          <w:p w14:paraId="241F7E50" w14:textId="77777777"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Placebo patch. 6 w</w:t>
            </w:r>
            <w:r>
              <w:rPr>
                <w:rFonts w:eastAsia="MS Mincho"/>
                <w:lang w:eastAsia="en-US"/>
              </w:rPr>
              <w:t>ee</w:t>
            </w:r>
            <w:r w:rsidRPr="004F57C6">
              <w:rPr>
                <w:rFonts w:eastAsia="MS Mincho"/>
                <w:lang w:eastAsia="en-US"/>
              </w:rPr>
              <w:t>ks</w:t>
            </w:r>
          </w:p>
          <w:p w14:paraId="673D7C3B" w14:textId="77777777" w:rsidR="007F30CC" w:rsidRPr="004F57C6" w:rsidRDefault="007F30CC" w:rsidP="00C324F3">
            <w:pPr>
              <w:pStyle w:val="ListParagraph"/>
              <w:numPr>
                <w:ilvl w:val="0"/>
                <w:numId w:val="198"/>
              </w:numPr>
              <w:rPr>
                <w:rFonts w:eastAsia="MS Mincho"/>
                <w:lang w:eastAsia="en-US"/>
              </w:rPr>
            </w:pPr>
            <w:r w:rsidRPr="004F57C6">
              <w:rPr>
                <w:rFonts w:eastAsia="MS Mincho"/>
                <w:lang w:eastAsia="en-US"/>
              </w:rPr>
              <w:t>Placebo patch 3 w</w:t>
            </w:r>
            <w:r>
              <w:rPr>
                <w:rFonts w:eastAsia="MS Mincho"/>
                <w:lang w:eastAsia="en-US"/>
              </w:rPr>
              <w:t>ee</w:t>
            </w:r>
            <w:r w:rsidRPr="004F57C6">
              <w:rPr>
                <w:rFonts w:eastAsia="MS Mincho"/>
                <w:lang w:eastAsia="en-US"/>
              </w:rPr>
              <w:t>ks</w:t>
            </w:r>
          </w:p>
        </w:tc>
        <w:tc>
          <w:tcPr>
            <w:tcW w:w="1000" w:type="pct"/>
          </w:tcPr>
          <w:p w14:paraId="3CD3D3FA" w14:textId="77777777" w:rsidR="007F30CC" w:rsidRPr="004F57C6" w:rsidRDefault="007F30CC" w:rsidP="006B48C7">
            <w:pPr>
              <w:pStyle w:val="Tablewriting"/>
              <w:rPr>
                <w:rFonts w:eastAsia="MS Mincho" w:cstheme="minorBidi"/>
              </w:rPr>
            </w:pPr>
            <w:r w:rsidRPr="008E5D31">
              <w:rPr>
                <w:rFonts w:eastAsia="MS Mincho" w:cstheme="minorBidi"/>
                <w:u w:val="single"/>
              </w:rPr>
              <w:t>Efficacy:</w:t>
            </w:r>
            <w:r>
              <w:rPr>
                <w:rFonts w:eastAsia="MS Mincho" w:cstheme="minorBidi"/>
                <w:u w:val="single"/>
              </w:rPr>
              <w:t xml:space="preserve"> </w:t>
            </w:r>
            <w:r w:rsidRPr="004F57C6">
              <w:rPr>
                <w:rFonts w:eastAsia="MS Mincho" w:cstheme="minorBidi"/>
              </w:rPr>
              <w:t>Abstinence at 6 m after EOT (abstinence defined as ≤ 2 cig</w:t>
            </w:r>
            <w:r>
              <w:rPr>
                <w:rFonts w:eastAsia="MS Mincho" w:cstheme="minorBidi"/>
              </w:rPr>
              <w:t>arettes</w:t>
            </w:r>
            <w:r w:rsidRPr="004F57C6">
              <w:rPr>
                <w:rFonts w:eastAsia="MS Mincho" w:cstheme="minorBidi"/>
              </w:rPr>
              <w:t xml:space="preserve"> a w</w:t>
            </w:r>
            <w:r>
              <w:rPr>
                <w:rFonts w:eastAsia="MS Mincho" w:cstheme="minorBidi"/>
              </w:rPr>
              <w:t>ee</w:t>
            </w:r>
            <w:r w:rsidRPr="004F57C6">
              <w:rPr>
                <w:rFonts w:eastAsia="MS Mincho" w:cstheme="minorBidi"/>
              </w:rPr>
              <w:t>k)</w:t>
            </w:r>
            <w:r>
              <w:rPr>
                <w:rFonts w:eastAsia="MS Mincho" w:cstheme="minorBidi"/>
              </w:rPr>
              <w:t>.</w:t>
            </w:r>
          </w:p>
          <w:p w14:paraId="2577F0EB" w14:textId="77777777" w:rsidR="007F30CC" w:rsidRPr="004F57C6" w:rsidRDefault="007F30CC" w:rsidP="006B48C7">
            <w:pPr>
              <w:pStyle w:val="Tablewriting"/>
              <w:rPr>
                <w:rFonts w:eastAsia="MS Mincho" w:cstheme="minorBidi"/>
              </w:rPr>
            </w:pPr>
            <w:r w:rsidRPr="004F57C6">
              <w:rPr>
                <w:rFonts w:eastAsia="MS Mincho" w:cstheme="minorBidi"/>
              </w:rPr>
              <w:t>Validation: CO &lt; 11 ppm</w:t>
            </w:r>
          </w:p>
          <w:p w14:paraId="05622BB6" w14:textId="77777777" w:rsidR="007F30CC" w:rsidRPr="004272CD" w:rsidRDefault="007F30CC" w:rsidP="006B48C7">
            <w:pPr>
              <w:pStyle w:val="Tablewriting"/>
              <w:rPr>
                <w:rFonts w:eastAsia="MS Mincho" w:cstheme="minorBidi"/>
                <w:u w:val="single"/>
              </w:rPr>
            </w:pPr>
          </w:p>
          <w:p w14:paraId="22338B68" w14:textId="77777777" w:rsidR="007F30CC" w:rsidRPr="0139F213" w:rsidRDefault="007F30CC" w:rsidP="006B48C7">
            <w:pPr>
              <w:pStyle w:val="Tablewriting"/>
              <w:rPr>
                <w:rFonts w:eastAsia="MS Mincho" w:cstheme="minorBidi"/>
              </w:rPr>
            </w:pPr>
            <w:r w:rsidRPr="008E5D31">
              <w:rPr>
                <w:rFonts w:eastAsia="MS Mincho" w:cstheme="minorBidi"/>
                <w:u w:val="single"/>
              </w:rPr>
              <w:t>Safety:</w:t>
            </w:r>
            <w:r>
              <w:rPr>
                <w:rFonts w:eastAsia="MS Mincho" w:cstheme="minorBidi"/>
                <w:u w:val="single"/>
              </w:rPr>
              <w:t xml:space="preserve"> </w:t>
            </w:r>
            <w:r w:rsidRPr="004F57C6">
              <w:rPr>
                <w:rFonts w:eastAsia="MS Mincho" w:cstheme="minorBidi"/>
              </w:rPr>
              <w:t>Adverse events</w:t>
            </w:r>
            <w:r>
              <w:rPr>
                <w:rFonts w:eastAsia="MS Mincho" w:cstheme="minorBidi"/>
              </w:rPr>
              <w:t xml:space="preserve"> </w:t>
            </w:r>
            <w:r w:rsidRPr="004F57C6">
              <w:rPr>
                <w:rFonts w:eastAsia="MS Mincho" w:cstheme="minorBidi"/>
              </w:rPr>
              <w:t>monitored during treatment (3 weeks in 1 group and 6 weeks in another)</w:t>
            </w:r>
          </w:p>
        </w:tc>
      </w:tr>
      <w:tr w:rsidR="007F30CC" w:rsidRPr="00017AE6" w14:paraId="7136D2E1" w14:textId="77777777" w:rsidTr="00EA7016">
        <w:trPr>
          <w:trHeight w:val="99"/>
        </w:trPr>
        <w:tc>
          <w:tcPr>
            <w:tcW w:w="5000" w:type="pct"/>
            <w:gridSpan w:val="7"/>
            <w:shd w:val="clear" w:color="auto" w:fill="D9D9D9" w:themeFill="background1" w:themeFillShade="D9"/>
          </w:tcPr>
          <w:p w14:paraId="48FEC776" w14:textId="77777777" w:rsidR="007F30CC" w:rsidRPr="00626623" w:rsidRDefault="007F30CC" w:rsidP="006B48C7">
            <w:pPr>
              <w:pStyle w:val="Tablewriting"/>
              <w:rPr>
                <w:rFonts w:eastAsia="MS Mincho" w:cstheme="minorBidi"/>
                <w:b/>
                <w:bCs/>
              </w:rPr>
            </w:pPr>
            <w:r w:rsidRPr="00626623">
              <w:rPr>
                <w:b/>
                <w:bCs/>
              </w:rPr>
              <w:t>Duration of gum therapy</w:t>
            </w:r>
          </w:p>
        </w:tc>
      </w:tr>
      <w:tr w:rsidR="007F30CC" w:rsidRPr="00017AE6" w14:paraId="5565E08D" w14:textId="77777777" w:rsidTr="00EA7016">
        <w:trPr>
          <w:trHeight w:val="99"/>
        </w:trPr>
        <w:tc>
          <w:tcPr>
            <w:tcW w:w="541" w:type="pct"/>
          </w:tcPr>
          <w:p w14:paraId="5F44F9D9" w14:textId="77777777" w:rsidR="007F30CC" w:rsidRPr="007510D3" w:rsidRDefault="007F30CC" w:rsidP="006B48C7">
            <w:pPr>
              <w:pStyle w:val="Tablewriting"/>
              <w:rPr>
                <w:rFonts w:eastAsia="MS Mincho"/>
              </w:rPr>
            </w:pPr>
            <w:r w:rsidRPr="00A22F63">
              <w:rPr>
                <w:rFonts w:eastAsia="MS Mincho"/>
              </w:rPr>
              <w:t xml:space="preserve">Hall </w:t>
            </w:r>
            <w:r>
              <w:rPr>
                <w:rFonts w:eastAsia="MS Mincho"/>
              </w:rPr>
              <w:t>(</w:t>
            </w:r>
            <w:r w:rsidRPr="00A22F63">
              <w:rPr>
                <w:rFonts w:eastAsia="MS Mincho"/>
              </w:rPr>
              <w:t>2009</w:t>
            </w:r>
            <w:r>
              <w:rPr>
                <w:rFonts w:eastAsia="MS Mincho"/>
              </w:rPr>
              <w:t>)</w:t>
            </w:r>
          </w:p>
        </w:tc>
        <w:tc>
          <w:tcPr>
            <w:tcW w:w="235" w:type="pct"/>
          </w:tcPr>
          <w:p w14:paraId="7431DA43"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378F33C7"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0BC22174" w14:textId="77777777" w:rsidR="007F30CC" w:rsidRPr="00017AE6" w:rsidRDefault="007F30CC" w:rsidP="006B48C7">
            <w:pPr>
              <w:pStyle w:val="Tablewriting"/>
              <w:rPr>
                <w:rFonts w:eastAsia="MS Mincho" w:cstheme="minorHAnsi"/>
              </w:rPr>
            </w:pPr>
            <w:r>
              <w:rPr>
                <w:rFonts w:eastAsia="MS Mincho" w:cstheme="minorHAnsi"/>
              </w:rPr>
              <w:t>N=402</w:t>
            </w:r>
          </w:p>
        </w:tc>
        <w:tc>
          <w:tcPr>
            <w:tcW w:w="1168" w:type="pct"/>
          </w:tcPr>
          <w:p w14:paraId="318A0F8C" w14:textId="0B68D50D" w:rsidR="007F30CC" w:rsidRPr="008E5D31" w:rsidRDefault="007F30CC" w:rsidP="006B48C7">
            <w:pPr>
              <w:pStyle w:val="Tablewriting"/>
              <w:rPr>
                <w:rFonts w:eastAsia="MS Mincho" w:cstheme="minorHAnsi"/>
              </w:rPr>
            </w:pPr>
            <w:r>
              <w:rPr>
                <w:rFonts w:eastAsia="MS Mincho" w:cstheme="minorHAnsi"/>
              </w:rPr>
              <w:t>S</w:t>
            </w:r>
            <w:r w:rsidRPr="008E5D31">
              <w:rPr>
                <w:rFonts w:eastAsia="MS Mincho" w:cstheme="minorHAnsi"/>
              </w:rPr>
              <w:t xml:space="preserve">mokers; aged </w:t>
            </w:r>
            <w:r w:rsidRPr="006F489F">
              <w:rPr>
                <w:rFonts w:eastAsia="MS Mincho" w:cstheme="minorHAnsi"/>
              </w:rPr>
              <w:t>≥</w:t>
            </w:r>
            <w:r w:rsidRPr="008E5D31">
              <w:rPr>
                <w:rFonts w:eastAsia="MS Mincho" w:cstheme="minorHAnsi"/>
              </w:rPr>
              <w:t>50</w:t>
            </w:r>
            <w:r>
              <w:rPr>
                <w:rFonts w:eastAsia="MS Mincho" w:cstheme="minorHAnsi"/>
              </w:rPr>
              <w:t xml:space="preserve"> </w:t>
            </w:r>
            <w:r w:rsidR="00115AEE" w:rsidRPr="008E5D31">
              <w:rPr>
                <w:rFonts w:eastAsia="MS Mincho" w:cstheme="minorHAnsi"/>
              </w:rPr>
              <w:t>y</w:t>
            </w:r>
            <w:r w:rsidR="00115AEE">
              <w:rPr>
                <w:rFonts w:eastAsia="MS Mincho" w:cstheme="minorHAnsi"/>
              </w:rPr>
              <w:t>ea</w:t>
            </w:r>
            <w:r w:rsidR="00115AEE" w:rsidRPr="008E5D31">
              <w:rPr>
                <w:rFonts w:eastAsia="MS Mincho" w:cstheme="minorHAnsi"/>
              </w:rPr>
              <w:t>rs, ≥</w:t>
            </w:r>
            <w:r w:rsidRPr="008E5D31">
              <w:rPr>
                <w:rFonts w:eastAsia="MS Mincho" w:cstheme="minorHAnsi"/>
              </w:rPr>
              <w:t>10</w:t>
            </w:r>
            <w:r>
              <w:rPr>
                <w:rFonts w:eastAsia="MS Mincho" w:cstheme="minorHAnsi"/>
              </w:rPr>
              <w:t xml:space="preserve"> CPD</w:t>
            </w:r>
          </w:p>
          <w:p w14:paraId="18832E60" w14:textId="77777777" w:rsidR="007F30CC" w:rsidRPr="00017AE6" w:rsidRDefault="007F30CC" w:rsidP="006B48C7">
            <w:pPr>
              <w:pStyle w:val="Tablewriting"/>
              <w:rPr>
                <w:rFonts w:eastAsia="MS Mincho" w:cstheme="minorHAnsi"/>
              </w:rPr>
            </w:pPr>
            <w:r w:rsidRPr="008E5D31">
              <w:rPr>
                <w:rFonts w:eastAsia="MS Mincho" w:cstheme="minorHAnsi"/>
              </w:rPr>
              <w:t>59.7% men, av</w:t>
            </w:r>
            <w:r>
              <w:rPr>
                <w:rFonts w:eastAsia="MS Mincho" w:cstheme="minorHAnsi"/>
              </w:rPr>
              <w:t>erage</w:t>
            </w:r>
            <w:r w:rsidRPr="008E5D31">
              <w:rPr>
                <w:rFonts w:eastAsia="MS Mincho" w:cstheme="minorHAnsi"/>
              </w:rPr>
              <w:t xml:space="preserve"> age 56.7 y</w:t>
            </w:r>
            <w:r>
              <w:rPr>
                <w:rFonts w:eastAsia="MS Mincho" w:cstheme="minorHAnsi"/>
              </w:rPr>
              <w:t>ea</w:t>
            </w:r>
            <w:r w:rsidRPr="008E5D31">
              <w:rPr>
                <w:rFonts w:eastAsia="MS Mincho" w:cstheme="minorHAnsi"/>
              </w:rPr>
              <w:t>rs, av</w:t>
            </w:r>
            <w:r>
              <w:rPr>
                <w:rFonts w:eastAsia="MS Mincho" w:cstheme="minorHAnsi"/>
              </w:rPr>
              <w:t>erage CPD</w:t>
            </w:r>
            <w:r w:rsidRPr="008E5D31">
              <w:rPr>
                <w:rFonts w:eastAsia="MS Mincho" w:cstheme="minorHAnsi"/>
              </w:rPr>
              <w:t xml:space="preserve"> 20.5, mean FTND 4.8, av</w:t>
            </w:r>
            <w:r>
              <w:rPr>
                <w:rFonts w:eastAsia="MS Mincho" w:cstheme="minorHAnsi"/>
              </w:rPr>
              <w:t>erage</w:t>
            </w:r>
            <w:r w:rsidRPr="008E5D31">
              <w:rPr>
                <w:rFonts w:eastAsia="MS Mincho" w:cstheme="minorHAnsi"/>
              </w:rPr>
              <w:t xml:space="preserve"> years regular smoking 37.8</w:t>
            </w:r>
            <w:r>
              <w:rPr>
                <w:rFonts w:eastAsia="MS Mincho" w:cstheme="minorHAnsi"/>
              </w:rPr>
              <w:t xml:space="preserve">. </w:t>
            </w:r>
          </w:p>
        </w:tc>
        <w:tc>
          <w:tcPr>
            <w:tcW w:w="1288" w:type="pct"/>
          </w:tcPr>
          <w:p w14:paraId="7B96DB68" w14:textId="77777777"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Standard treatment: Participants received no further treatment after week 12</w:t>
            </w:r>
          </w:p>
          <w:p w14:paraId="656C305F" w14:textId="77777777"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Extended NRT: Participants were provided with another 40 w</w:t>
            </w:r>
            <w:r>
              <w:rPr>
                <w:rFonts w:eastAsia="MS Mincho"/>
                <w:lang w:eastAsia="en-US"/>
              </w:rPr>
              <w:t>ee</w:t>
            </w:r>
            <w:r w:rsidRPr="008E5D31">
              <w:rPr>
                <w:rFonts w:eastAsia="MS Mincho"/>
                <w:lang w:eastAsia="en-US"/>
              </w:rPr>
              <w:t>ks of nicotine gum from their quit day (a</w:t>
            </w:r>
            <w:r>
              <w:rPr>
                <w:rFonts w:eastAsia="MS Mincho"/>
                <w:lang w:eastAsia="en-US"/>
              </w:rPr>
              <w:t xml:space="preserve"> </w:t>
            </w:r>
            <w:r w:rsidRPr="008E5D31">
              <w:rPr>
                <w:rFonts w:eastAsia="MS Mincho"/>
                <w:lang w:eastAsia="en-US"/>
              </w:rPr>
              <w:t>total of 50 weeks of gum treatment). No CBT past 12 weeks</w:t>
            </w:r>
          </w:p>
          <w:p w14:paraId="028895A4" w14:textId="77777777" w:rsidR="007F30CC" w:rsidRPr="008E5D31" w:rsidRDefault="007F30CC" w:rsidP="00C324F3">
            <w:pPr>
              <w:pStyle w:val="ListParagraph"/>
              <w:numPr>
                <w:ilvl w:val="0"/>
                <w:numId w:val="199"/>
              </w:numPr>
              <w:rPr>
                <w:rFonts w:eastAsia="MS Mincho"/>
                <w:lang w:eastAsia="en-US"/>
              </w:rPr>
            </w:pPr>
            <w:r w:rsidRPr="008E5D31">
              <w:rPr>
                <w:rFonts w:eastAsia="MS Mincho"/>
                <w:lang w:eastAsia="en-US"/>
              </w:rPr>
              <w:t>Extended CBT: Participants received 11 additional CBT sessions between weeks 10 and 52. 10 weeks</w:t>
            </w:r>
            <w:r>
              <w:rPr>
                <w:rFonts w:eastAsia="MS Mincho"/>
                <w:lang w:eastAsia="en-US"/>
              </w:rPr>
              <w:t xml:space="preserve"> </w:t>
            </w:r>
            <w:r w:rsidRPr="008E5D31">
              <w:rPr>
                <w:rFonts w:eastAsia="MS Mincho"/>
                <w:lang w:eastAsia="en-US"/>
              </w:rPr>
              <w:t>of NRT</w:t>
            </w:r>
          </w:p>
          <w:p w14:paraId="4CE161FC" w14:textId="77777777" w:rsidR="007F30CC" w:rsidRDefault="007F30CC" w:rsidP="00C324F3">
            <w:pPr>
              <w:pStyle w:val="ListParagraph"/>
              <w:numPr>
                <w:ilvl w:val="0"/>
                <w:numId w:val="199"/>
              </w:numPr>
              <w:rPr>
                <w:rFonts w:eastAsia="MS Mincho"/>
                <w:lang w:eastAsia="en-US"/>
              </w:rPr>
            </w:pPr>
            <w:r w:rsidRPr="008E5D31">
              <w:rPr>
                <w:rFonts w:eastAsia="MS Mincho"/>
                <w:lang w:eastAsia="en-US"/>
              </w:rPr>
              <w:t>Extended NRT &amp; Extended CBT: Participants received an extra 40 w</w:t>
            </w:r>
            <w:r>
              <w:rPr>
                <w:rFonts w:eastAsia="MS Mincho"/>
                <w:lang w:eastAsia="en-US"/>
              </w:rPr>
              <w:t>ee</w:t>
            </w:r>
            <w:r w:rsidRPr="008E5D31">
              <w:rPr>
                <w:rFonts w:eastAsia="MS Mincho"/>
                <w:lang w:eastAsia="en-US"/>
              </w:rPr>
              <w:t>ks of nicotine gum and an additional</w:t>
            </w:r>
            <w:r>
              <w:rPr>
                <w:rFonts w:eastAsia="MS Mincho"/>
                <w:lang w:eastAsia="en-US"/>
              </w:rPr>
              <w:t xml:space="preserve"> </w:t>
            </w:r>
            <w:r w:rsidRPr="008E5D31">
              <w:rPr>
                <w:rFonts w:eastAsia="MS Mincho"/>
                <w:lang w:eastAsia="en-US"/>
              </w:rPr>
              <w:t>11 CBT sessions following the planned quit day (total 50 weeks gum treatment)</w:t>
            </w:r>
          </w:p>
          <w:p w14:paraId="7D78DD3B" w14:textId="77777777" w:rsidR="007F30CC" w:rsidRDefault="007F30CC" w:rsidP="006B48C7">
            <w:pPr>
              <w:rPr>
                <w:rFonts w:eastAsia="MS Mincho"/>
                <w:lang w:eastAsia="en-US"/>
              </w:rPr>
            </w:pPr>
          </w:p>
          <w:p w14:paraId="20CC2BBA" w14:textId="2732C306" w:rsidR="007F30CC" w:rsidRPr="008E5D31" w:rsidRDefault="007F30CC" w:rsidP="006B48C7">
            <w:pPr>
              <w:rPr>
                <w:rFonts w:eastAsia="MS Mincho"/>
                <w:lang w:eastAsia="en-US"/>
              </w:rPr>
            </w:pPr>
            <w:r w:rsidRPr="008E5D31">
              <w:rPr>
                <w:rFonts w:eastAsia="MS Mincho"/>
                <w:u w:val="single"/>
                <w:lang w:eastAsia="en-US"/>
              </w:rPr>
              <w:t>Common component:</w:t>
            </w:r>
            <w:r>
              <w:rPr>
                <w:rFonts w:eastAsia="MS Mincho"/>
                <w:u w:val="single"/>
                <w:lang w:eastAsia="en-US"/>
              </w:rPr>
              <w:t xml:space="preserve"> </w:t>
            </w:r>
            <w:r w:rsidRPr="008E5D31">
              <w:rPr>
                <w:rFonts w:eastAsia="MS Mincho"/>
                <w:lang w:eastAsia="en-US"/>
              </w:rPr>
              <w:t xml:space="preserve">All participants completed a 12-wk treatment program that included group counselling, 12 </w:t>
            </w:r>
            <w:r w:rsidRPr="008E5D31">
              <w:rPr>
                <w:rFonts w:eastAsia="MS Mincho"/>
                <w:lang w:eastAsia="en-US"/>
              </w:rPr>
              <w:lastRenderedPageBreak/>
              <w:t>w</w:t>
            </w:r>
            <w:r>
              <w:rPr>
                <w:rFonts w:eastAsia="MS Mincho"/>
                <w:lang w:eastAsia="en-US"/>
              </w:rPr>
              <w:t>ee</w:t>
            </w:r>
            <w:r w:rsidRPr="008E5D31">
              <w:rPr>
                <w:rFonts w:eastAsia="MS Mincho"/>
                <w:lang w:eastAsia="en-US"/>
              </w:rPr>
              <w:t>ks of</w:t>
            </w:r>
            <w:r>
              <w:rPr>
                <w:rFonts w:eastAsia="MS Mincho"/>
                <w:lang w:eastAsia="en-US"/>
              </w:rPr>
              <w:t xml:space="preserve"> </w:t>
            </w:r>
            <w:r w:rsidRPr="008E5D31">
              <w:rPr>
                <w:rFonts w:eastAsia="MS Mincho"/>
                <w:lang w:eastAsia="en-US"/>
              </w:rPr>
              <w:t>bupropion and 10 w</w:t>
            </w:r>
            <w:r>
              <w:rPr>
                <w:rFonts w:eastAsia="MS Mincho"/>
                <w:lang w:eastAsia="en-US"/>
              </w:rPr>
              <w:t>ee</w:t>
            </w:r>
            <w:r w:rsidRPr="008E5D31">
              <w:rPr>
                <w:rFonts w:eastAsia="MS Mincho"/>
                <w:lang w:eastAsia="en-US"/>
              </w:rPr>
              <w:t>ks of nicotine gum (beginning on quit day). Participants were asked to taper their</w:t>
            </w:r>
            <w:r>
              <w:rPr>
                <w:rFonts w:eastAsia="MS Mincho"/>
                <w:lang w:eastAsia="en-US"/>
              </w:rPr>
              <w:t xml:space="preserve"> </w:t>
            </w:r>
            <w:r w:rsidRPr="008E5D31">
              <w:rPr>
                <w:rFonts w:eastAsia="MS Mincho"/>
                <w:lang w:eastAsia="en-US"/>
              </w:rPr>
              <w:t>gum use down completely by week 12</w:t>
            </w:r>
            <w:r>
              <w:rPr>
                <w:rFonts w:eastAsia="MS Mincho"/>
                <w:lang w:eastAsia="en-US"/>
              </w:rPr>
              <w:t xml:space="preserve">. </w:t>
            </w:r>
          </w:p>
        </w:tc>
        <w:tc>
          <w:tcPr>
            <w:tcW w:w="1000" w:type="pct"/>
          </w:tcPr>
          <w:p w14:paraId="13879B8C" w14:textId="65B87431" w:rsidR="007F30CC" w:rsidRPr="007F7CE5" w:rsidRDefault="007F30CC" w:rsidP="006B48C7">
            <w:pPr>
              <w:pStyle w:val="Tablewriting"/>
              <w:rPr>
                <w:rFonts w:eastAsia="MS Mincho" w:cstheme="minorBidi"/>
              </w:rPr>
            </w:pPr>
            <w:r w:rsidRPr="008E5D31">
              <w:rPr>
                <w:rFonts w:eastAsia="MS Mincho" w:cstheme="minorBidi"/>
                <w:u w:val="single"/>
              </w:rPr>
              <w:lastRenderedPageBreak/>
              <w:t>Efficacy</w:t>
            </w:r>
            <w:r w:rsidRPr="0139F213">
              <w:rPr>
                <w:rFonts w:eastAsia="MS Mincho" w:cstheme="minorBidi"/>
                <w:u w:val="single"/>
              </w:rPr>
              <w:t>:</w:t>
            </w:r>
            <w:r>
              <w:rPr>
                <w:rFonts w:eastAsia="MS Mincho" w:cstheme="minorBidi"/>
                <w:u w:val="single"/>
              </w:rPr>
              <w:t xml:space="preserve"> </w:t>
            </w:r>
            <w:r w:rsidRPr="007F7CE5">
              <w:rPr>
                <w:rFonts w:eastAsia="MS Mincho" w:cstheme="minorBidi"/>
              </w:rPr>
              <w:t xml:space="preserve">7-day PPA at 52 weeks post-baseline; biochemically validated (CO </w:t>
            </w:r>
            <w:r w:rsidRPr="004F57C6">
              <w:rPr>
                <w:rFonts w:eastAsia="MS Mincho" w:cstheme="minorBidi"/>
              </w:rPr>
              <w:t>≤</w:t>
            </w:r>
            <w:r w:rsidRPr="007F7CE5">
              <w:rPr>
                <w:rFonts w:eastAsia="MS Mincho" w:cstheme="minorBidi"/>
              </w:rPr>
              <w:t xml:space="preserve"> 10 ppm and anatabine/anabasine </w:t>
            </w:r>
            <w:r w:rsidRPr="004F57C6">
              <w:rPr>
                <w:rFonts w:eastAsia="MS Mincho" w:cstheme="minorBidi"/>
              </w:rPr>
              <w:t>≤</w:t>
            </w:r>
            <w:r w:rsidRPr="007F7CE5">
              <w:rPr>
                <w:rFonts w:eastAsia="MS Mincho" w:cstheme="minorBidi"/>
              </w:rPr>
              <w:t>2 mg/ml)</w:t>
            </w:r>
            <w:r>
              <w:rPr>
                <w:rFonts w:eastAsia="MS Mincho" w:cstheme="minorBidi"/>
              </w:rPr>
              <w:t>.</w:t>
            </w:r>
          </w:p>
          <w:p w14:paraId="5466FEAF" w14:textId="704E63A6" w:rsidR="007F30CC" w:rsidRPr="007F7CE5" w:rsidRDefault="007F30CC" w:rsidP="006B48C7">
            <w:pPr>
              <w:pStyle w:val="Tablewriting"/>
              <w:rPr>
                <w:rFonts w:eastAsia="MS Mincho" w:cstheme="minorBidi"/>
              </w:rPr>
            </w:pPr>
            <w:r w:rsidRPr="007F7CE5">
              <w:rPr>
                <w:rFonts w:eastAsia="MS Mincho" w:cstheme="minorBidi"/>
              </w:rPr>
              <w:t>Other abstinence measures: 7-day PPA at 12, 24, 64, 104 weeks post-baseline; biochemically validated</w:t>
            </w:r>
            <w:r>
              <w:rPr>
                <w:rFonts w:eastAsia="MS Mincho" w:cstheme="minorBidi"/>
              </w:rPr>
              <w:t xml:space="preserve"> </w:t>
            </w:r>
            <w:r w:rsidRPr="007F7CE5">
              <w:rPr>
                <w:rFonts w:eastAsia="MS Mincho" w:cstheme="minorBidi"/>
              </w:rPr>
              <w:t xml:space="preserve">(CO </w:t>
            </w:r>
            <w:r w:rsidRPr="004F57C6">
              <w:rPr>
                <w:rFonts w:eastAsia="MS Mincho" w:cstheme="minorBidi"/>
              </w:rPr>
              <w:t>≤</w:t>
            </w:r>
            <w:r w:rsidRPr="007F7CE5">
              <w:rPr>
                <w:rFonts w:eastAsia="MS Mincho" w:cstheme="minorBidi"/>
              </w:rPr>
              <w:t xml:space="preserve"> 10 ppm and anatabine/anabasine </w:t>
            </w:r>
            <w:r w:rsidRPr="004F57C6">
              <w:rPr>
                <w:rFonts w:eastAsia="MS Mincho" w:cstheme="minorBidi"/>
              </w:rPr>
              <w:t>≤</w:t>
            </w:r>
            <w:r w:rsidRPr="007F7CE5">
              <w:rPr>
                <w:rFonts w:eastAsia="MS Mincho" w:cstheme="minorBidi"/>
              </w:rPr>
              <w:t>2 mg/ml)</w:t>
            </w:r>
          </w:p>
          <w:p w14:paraId="0E455B97" w14:textId="77777777" w:rsidR="007F30CC" w:rsidRPr="004272CD" w:rsidRDefault="007F30CC" w:rsidP="006B48C7">
            <w:pPr>
              <w:pStyle w:val="Tablewriting"/>
              <w:rPr>
                <w:rFonts w:eastAsia="MS Mincho" w:cstheme="minorBidi"/>
                <w:u w:val="single"/>
              </w:rPr>
            </w:pPr>
          </w:p>
          <w:p w14:paraId="15D7656F" w14:textId="77777777" w:rsidR="007F30CC" w:rsidRPr="007F7CE5" w:rsidRDefault="007F30CC" w:rsidP="006B48C7">
            <w:pPr>
              <w:pStyle w:val="Tablewriting"/>
              <w:rPr>
                <w:rFonts w:eastAsia="MS Mincho" w:cstheme="minorBidi"/>
              </w:rPr>
            </w:pPr>
            <w:r w:rsidRPr="008E5D31">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F7CE5">
              <w:rPr>
                <w:rFonts w:eastAsia="MS Mincho" w:cstheme="minorBidi"/>
              </w:rPr>
              <w:t>Adverse events</w:t>
            </w:r>
            <w:r>
              <w:rPr>
                <w:rFonts w:eastAsia="MS Mincho" w:cstheme="minorBidi"/>
              </w:rPr>
              <w:t xml:space="preserve"> </w:t>
            </w:r>
            <w:r w:rsidRPr="007F7CE5">
              <w:rPr>
                <w:rFonts w:eastAsia="MS Mincho" w:cstheme="minorBidi"/>
              </w:rPr>
              <w:t>measured to week 104 (treatment was to week 50)</w:t>
            </w:r>
            <w:r>
              <w:rPr>
                <w:rFonts w:eastAsia="MS Mincho" w:cstheme="minorBidi"/>
              </w:rPr>
              <w:t>.</w:t>
            </w:r>
          </w:p>
          <w:p w14:paraId="035B01EF" w14:textId="77777777" w:rsidR="007F30CC" w:rsidRPr="0139F213" w:rsidRDefault="007F30CC" w:rsidP="006B48C7">
            <w:pPr>
              <w:pStyle w:val="Tablewriting"/>
              <w:rPr>
                <w:rFonts w:eastAsia="MS Mincho" w:cstheme="minorBidi"/>
              </w:rPr>
            </w:pPr>
          </w:p>
        </w:tc>
      </w:tr>
      <w:tr w:rsidR="007F30CC" w:rsidRPr="00017AE6" w14:paraId="64DB286C" w14:textId="77777777" w:rsidTr="00EA7016">
        <w:trPr>
          <w:trHeight w:val="99"/>
        </w:trPr>
        <w:tc>
          <w:tcPr>
            <w:tcW w:w="5000" w:type="pct"/>
            <w:gridSpan w:val="7"/>
            <w:shd w:val="clear" w:color="auto" w:fill="D9D9D9" w:themeFill="background1" w:themeFillShade="D9"/>
          </w:tcPr>
          <w:p w14:paraId="406459F0" w14:textId="77777777" w:rsidR="007F30CC" w:rsidRPr="0139F213" w:rsidRDefault="007F30CC" w:rsidP="006B48C7">
            <w:pPr>
              <w:pStyle w:val="Tablewriting"/>
              <w:rPr>
                <w:rFonts w:eastAsia="MS Mincho" w:cstheme="minorBidi"/>
              </w:rPr>
            </w:pPr>
            <w:r w:rsidRPr="00626623">
              <w:rPr>
                <w:b/>
                <w:bCs/>
              </w:rPr>
              <w:t>Duration of</w:t>
            </w:r>
            <w:r>
              <w:rPr>
                <w:b/>
                <w:bCs/>
              </w:rPr>
              <w:t xml:space="preserve"> combination</w:t>
            </w:r>
            <w:r w:rsidRPr="00626623">
              <w:rPr>
                <w:b/>
                <w:bCs/>
              </w:rPr>
              <w:t xml:space="preserve"> therapy</w:t>
            </w:r>
          </w:p>
        </w:tc>
      </w:tr>
      <w:tr w:rsidR="007F30CC" w:rsidRPr="00017AE6" w14:paraId="7BADE013" w14:textId="77777777" w:rsidTr="00EA7016">
        <w:trPr>
          <w:trHeight w:val="99"/>
        </w:trPr>
        <w:tc>
          <w:tcPr>
            <w:tcW w:w="541" w:type="pct"/>
          </w:tcPr>
          <w:p w14:paraId="46AAA814" w14:textId="77777777" w:rsidR="007F30CC" w:rsidRPr="007510D3" w:rsidRDefault="007F30CC" w:rsidP="006B48C7">
            <w:pPr>
              <w:pStyle w:val="Tablewriting"/>
              <w:rPr>
                <w:rFonts w:eastAsia="MS Mincho"/>
              </w:rPr>
            </w:pPr>
            <w:r w:rsidRPr="009526CC">
              <w:rPr>
                <w:rFonts w:eastAsia="MS Mincho"/>
              </w:rPr>
              <w:t xml:space="preserve">Piper </w:t>
            </w:r>
            <w:r>
              <w:rPr>
                <w:rFonts w:eastAsia="MS Mincho"/>
              </w:rPr>
              <w:t>(</w:t>
            </w:r>
            <w:r w:rsidRPr="009526CC">
              <w:rPr>
                <w:rFonts w:eastAsia="MS Mincho"/>
              </w:rPr>
              <w:t>2016</w:t>
            </w:r>
            <w:r>
              <w:rPr>
                <w:rFonts w:eastAsia="MS Mincho"/>
              </w:rPr>
              <w:t>)</w:t>
            </w:r>
          </w:p>
        </w:tc>
        <w:tc>
          <w:tcPr>
            <w:tcW w:w="235" w:type="pct"/>
          </w:tcPr>
          <w:p w14:paraId="1BFECFE0"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1979783A"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64061738" w14:textId="77777777" w:rsidR="007F30CC" w:rsidRPr="00017AE6" w:rsidRDefault="007F30CC" w:rsidP="006B48C7">
            <w:pPr>
              <w:pStyle w:val="Tablewriting"/>
              <w:rPr>
                <w:rFonts w:eastAsia="MS Mincho" w:cstheme="minorHAnsi"/>
              </w:rPr>
            </w:pPr>
            <w:r>
              <w:rPr>
                <w:rFonts w:eastAsia="MS Mincho" w:cstheme="minorHAnsi"/>
              </w:rPr>
              <w:t>N=637</w:t>
            </w:r>
          </w:p>
        </w:tc>
        <w:tc>
          <w:tcPr>
            <w:tcW w:w="1168" w:type="pct"/>
          </w:tcPr>
          <w:p w14:paraId="58B5AA7D" w14:textId="77777777" w:rsidR="007F30CC" w:rsidRPr="00300098" w:rsidRDefault="007F30CC" w:rsidP="006B48C7">
            <w:pPr>
              <w:pStyle w:val="Tablewriting"/>
              <w:rPr>
                <w:rFonts w:eastAsia="MS Mincho" w:cstheme="minorHAnsi"/>
              </w:rPr>
            </w:pPr>
            <w:r>
              <w:rPr>
                <w:rFonts w:eastAsia="MS Mincho" w:cstheme="minorHAnsi"/>
              </w:rPr>
              <w:t>S</w:t>
            </w:r>
            <w:r w:rsidRPr="00300098">
              <w:rPr>
                <w:rFonts w:eastAsia="MS Mincho" w:cstheme="minorHAnsi"/>
              </w:rPr>
              <w:t xml:space="preserve">mokers aged </w:t>
            </w:r>
            <w:r w:rsidRPr="006F489F">
              <w:rPr>
                <w:rFonts w:eastAsia="MS Mincho" w:cstheme="minorHAnsi"/>
              </w:rPr>
              <w:t>≥</w:t>
            </w:r>
            <w:r w:rsidRPr="00300098">
              <w:rPr>
                <w:rFonts w:eastAsia="MS Mincho" w:cstheme="minorHAnsi"/>
              </w:rPr>
              <w:t xml:space="preserve">18 years, </w:t>
            </w:r>
            <w:r w:rsidRPr="006F489F">
              <w:rPr>
                <w:rFonts w:eastAsia="MS Mincho" w:cstheme="minorHAnsi"/>
              </w:rPr>
              <w:t>≥</w:t>
            </w:r>
            <w:r w:rsidRPr="00300098">
              <w:rPr>
                <w:rFonts w:eastAsia="MS Mincho" w:cstheme="minorHAnsi"/>
              </w:rPr>
              <w:t xml:space="preserve">5 </w:t>
            </w:r>
            <w:r>
              <w:rPr>
                <w:rFonts w:eastAsia="MS Mincho" w:cstheme="minorHAnsi"/>
              </w:rPr>
              <w:t>CPD</w:t>
            </w:r>
            <w:r w:rsidRPr="00300098">
              <w:rPr>
                <w:rFonts w:eastAsia="MS Mincho" w:cstheme="minorHAnsi"/>
              </w:rPr>
              <w:t xml:space="preserve"> for 6 m, motivated to quit</w:t>
            </w:r>
            <w:r>
              <w:rPr>
                <w:rFonts w:eastAsia="MS Mincho" w:cstheme="minorHAnsi"/>
              </w:rPr>
              <w:t>.</w:t>
            </w:r>
          </w:p>
          <w:p w14:paraId="4C5A73DF" w14:textId="77777777" w:rsidR="007F30CC" w:rsidRPr="00017AE6" w:rsidRDefault="007F30CC" w:rsidP="006B48C7">
            <w:pPr>
              <w:pStyle w:val="Tablewriting"/>
              <w:rPr>
                <w:rFonts w:eastAsia="MS Mincho" w:cstheme="minorHAnsi"/>
              </w:rPr>
            </w:pPr>
            <w:r w:rsidRPr="00300098">
              <w:rPr>
                <w:rFonts w:eastAsia="MS Mincho" w:cstheme="minorHAnsi"/>
              </w:rPr>
              <w:t>45.4% men, av</w:t>
            </w:r>
            <w:r>
              <w:rPr>
                <w:rFonts w:eastAsia="MS Mincho" w:cstheme="minorHAnsi"/>
              </w:rPr>
              <w:t>erage</w:t>
            </w:r>
            <w:r w:rsidRPr="00300098">
              <w:rPr>
                <w:rFonts w:eastAsia="MS Mincho" w:cstheme="minorHAnsi"/>
              </w:rPr>
              <w:t xml:space="preserve"> age 45.8 y</w:t>
            </w:r>
            <w:r>
              <w:rPr>
                <w:rFonts w:eastAsia="MS Mincho" w:cstheme="minorHAnsi"/>
              </w:rPr>
              <w:t>ea</w:t>
            </w:r>
            <w:r w:rsidRPr="00300098">
              <w:rPr>
                <w:rFonts w:eastAsia="MS Mincho" w:cstheme="minorHAnsi"/>
              </w:rPr>
              <w:t>rs, av</w:t>
            </w:r>
            <w:r>
              <w:rPr>
                <w:rFonts w:eastAsia="MS Mincho" w:cstheme="minorHAnsi"/>
              </w:rPr>
              <w:t>erage CPD</w:t>
            </w:r>
            <w:r w:rsidRPr="00300098">
              <w:rPr>
                <w:rFonts w:eastAsia="MS Mincho" w:cstheme="minorHAnsi"/>
              </w:rPr>
              <w:t xml:space="preserve"> 17.7, mean FTND 4.8, baseline CO 20.3ppm, HSI 3.1</w:t>
            </w:r>
            <w:r>
              <w:rPr>
                <w:rFonts w:eastAsia="MS Mincho" w:cstheme="minorHAnsi"/>
              </w:rPr>
              <w:t xml:space="preserve">. </w:t>
            </w:r>
          </w:p>
        </w:tc>
        <w:tc>
          <w:tcPr>
            <w:tcW w:w="1288" w:type="pct"/>
          </w:tcPr>
          <w:p w14:paraId="451C1285"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Nicotine patches for 3 w</w:t>
            </w:r>
            <w:r>
              <w:rPr>
                <w:rFonts w:eastAsia="MS Mincho"/>
                <w:lang w:eastAsia="en-US"/>
              </w:rPr>
              <w:t>ee</w:t>
            </w:r>
            <w:r w:rsidRPr="00300098">
              <w:rPr>
                <w:rFonts w:eastAsia="MS Mincho"/>
                <w:lang w:eastAsia="en-US"/>
              </w:rPr>
              <w:t>ks prior to quit date (patch preloading) vs no preloading patches</w:t>
            </w:r>
          </w:p>
          <w:p w14:paraId="60FF505B"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Nicotine gum for 3 w</w:t>
            </w:r>
            <w:r>
              <w:rPr>
                <w:rFonts w:eastAsia="MS Mincho"/>
                <w:lang w:eastAsia="en-US"/>
              </w:rPr>
              <w:t>ee</w:t>
            </w:r>
            <w:r w:rsidRPr="00300098">
              <w:rPr>
                <w:rFonts w:eastAsia="MS Mincho"/>
                <w:lang w:eastAsia="en-US"/>
              </w:rPr>
              <w:t>ks prior to quit date (gum preloading) vs no preloading gum</w:t>
            </w:r>
          </w:p>
          <w:p w14:paraId="3DBA9D4F"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Preparation counselling vs no preparation counselling</w:t>
            </w:r>
          </w:p>
          <w:p w14:paraId="3B31A8E8"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Intensive cessation in-person counselling vs minimal in-person counselling</w:t>
            </w:r>
          </w:p>
          <w:p w14:paraId="7B299183"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Intensive cessation telephone counselling vs minimal telephone counselling</w:t>
            </w:r>
          </w:p>
          <w:p w14:paraId="04C04881" w14:textId="77777777" w:rsidR="007F30CC" w:rsidRPr="00300098" w:rsidRDefault="007F30CC" w:rsidP="00C324F3">
            <w:pPr>
              <w:pStyle w:val="ListParagraph"/>
              <w:numPr>
                <w:ilvl w:val="0"/>
                <w:numId w:val="200"/>
              </w:numPr>
              <w:rPr>
                <w:rFonts w:eastAsia="MS Mincho"/>
                <w:lang w:eastAsia="en-US"/>
              </w:rPr>
            </w:pPr>
            <w:r w:rsidRPr="00300098">
              <w:rPr>
                <w:rFonts w:eastAsia="MS Mincho"/>
                <w:lang w:eastAsia="en-US"/>
              </w:rPr>
              <w:t>16w nicotine patch and gum from quit date versus 8 weeks nicotine patch and gum from quit date</w:t>
            </w:r>
          </w:p>
        </w:tc>
        <w:tc>
          <w:tcPr>
            <w:tcW w:w="1000" w:type="pct"/>
          </w:tcPr>
          <w:p w14:paraId="5FAA1E5B" w14:textId="77777777" w:rsidR="007F30CC" w:rsidRPr="00300098" w:rsidRDefault="007F30CC" w:rsidP="006B48C7">
            <w:pPr>
              <w:pStyle w:val="Tablewriting"/>
              <w:rPr>
                <w:rFonts w:eastAsia="MS Mincho" w:cstheme="minorBidi"/>
              </w:rPr>
            </w:pPr>
            <w:r w:rsidRPr="008E5D31">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300098">
              <w:rPr>
                <w:rFonts w:eastAsia="MS Mincho" w:cstheme="minorBidi"/>
              </w:rPr>
              <w:t>Self-reported 7-day PPA at 6 m</w:t>
            </w:r>
            <w:r>
              <w:rPr>
                <w:rFonts w:eastAsia="MS Mincho" w:cstheme="minorBidi"/>
              </w:rPr>
              <w:t>onths</w:t>
            </w:r>
            <w:r w:rsidRPr="00300098">
              <w:rPr>
                <w:rFonts w:eastAsia="MS Mincho" w:cstheme="minorBidi"/>
              </w:rPr>
              <w:t xml:space="preserve"> post-quit date, Self-reported 7-day PPA at 16 w</w:t>
            </w:r>
            <w:r>
              <w:rPr>
                <w:rFonts w:eastAsia="MS Mincho" w:cstheme="minorBidi"/>
              </w:rPr>
              <w:t>ee</w:t>
            </w:r>
            <w:r w:rsidRPr="00300098">
              <w:rPr>
                <w:rFonts w:eastAsia="MS Mincho" w:cstheme="minorBidi"/>
              </w:rPr>
              <w:t>ks post-quit date</w:t>
            </w:r>
            <w:r>
              <w:rPr>
                <w:rFonts w:eastAsia="MS Mincho" w:cstheme="minorBidi"/>
              </w:rPr>
              <w:t>.</w:t>
            </w:r>
          </w:p>
          <w:p w14:paraId="1C5B6A51" w14:textId="77777777" w:rsidR="007F30CC" w:rsidRPr="00300098" w:rsidRDefault="007F30CC" w:rsidP="006B48C7">
            <w:pPr>
              <w:pStyle w:val="Tablewriting"/>
              <w:rPr>
                <w:rFonts w:eastAsia="MS Mincho" w:cstheme="minorBidi"/>
              </w:rPr>
            </w:pPr>
            <w:r w:rsidRPr="00300098">
              <w:rPr>
                <w:rFonts w:eastAsia="MS Mincho" w:cstheme="minorBidi"/>
              </w:rPr>
              <w:t>Validation: none</w:t>
            </w:r>
          </w:p>
          <w:p w14:paraId="7A0A766C" w14:textId="77777777" w:rsidR="007F30CC" w:rsidRDefault="007F30CC" w:rsidP="006B48C7">
            <w:pPr>
              <w:pStyle w:val="Tablewriting"/>
              <w:rPr>
                <w:rFonts w:eastAsia="MS Mincho" w:cstheme="minorBidi"/>
                <w:u w:val="single"/>
              </w:rPr>
            </w:pPr>
          </w:p>
          <w:p w14:paraId="7E6DF4A2" w14:textId="77777777" w:rsidR="007F30CC" w:rsidRPr="00300098" w:rsidRDefault="007F30CC" w:rsidP="006B48C7">
            <w:pPr>
              <w:pStyle w:val="Tablewriting"/>
              <w:rPr>
                <w:rFonts w:eastAsia="MS Mincho" w:cstheme="minorBidi"/>
              </w:rPr>
            </w:pPr>
            <w:r w:rsidRPr="008E5D31">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300098">
              <w:rPr>
                <w:rFonts w:eastAsia="MS Mincho" w:cstheme="minorBidi"/>
              </w:rPr>
              <w:t>Adverse events</w:t>
            </w:r>
            <w:r>
              <w:rPr>
                <w:rFonts w:eastAsia="MS Mincho" w:cstheme="minorBidi"/>
              </w:rPr>
              <w:t xml:space="preserve"> </w:t>
            </w:r>
            <w:r w:rsidRPr="00300098">
              <w:rPr>
                <w:rFonts w:eastAsia="MS Mincho" w:cstheme="minorBidi"/>
              </w:rPr>
              <w:t>measured in visits at w</w:t>
            </w:r>
            <w:r>
              <w:rPr>
                <w:rFonts w:eastAsia="MS Mincho" w:cstheme="minorBidi"/>
              </w:rPr>
              <w:t>ee</w:t>
            </w:r>
            <w:r w:rsidRPr="00300098">
              <w:rPr>
                <w:rFonts w:eastAsia="MS Mincho" w:cstheme="minorBidi"/>
              </w:rPr>
              <w:t>ks -1 and 4, and in calls at w</w:t>
            </w:r>
            <w:r>
              <w:rPr>
                <w:rFonts w:eastAsia="MS Mincho" w:cstheme="minorBidi"/>
              </w:rPr>
              <w:t>ee</w:t>
            </w:r>
            <w:r w:rsidRPr="00300098">
              <w:rPr>
                <w:rFonts w:eastAsia="MS Mincho" w:cstheme="minorBidi"/>
              </w:rPr>
              <w:t>ks 8, 16, and 26</w:t>
            </w:r>
            <w:r>
              <w:rPr>
                <w:rFonts w:eastAsia="MS Mincho" w:cstheme="minorBidi"/>
              </w:rPr>
              <w:t xml:space="preserve">. </w:t>
            </w:r>
          </w:p>
          <w:p w14:paraId="5B4EDE2A" w14:textId="77777777" w:rsidR="007F30CC" w:rsidRPr="0139F213" w:rsidRDefault="007F30CC" w:rsidP="006B48C7">
            <w:pPr>
              <w:pStyle w:val="Tablewriting"/>
              <w:rPr>
                <w:rFonts w:eastAsia="MS Mincho" w:cstheme="minorBidi"/>
              </w:rPr>
            </w:pPr>
          </w:p>
        </w:tc>
      </w:tr>
      <w:tr w:rsidR="007F30CC" w:rsidRPr="00017AE6" w14:paraId="0C6F041B" w14:textId="77777777" w:rsidTr="00EA7016">
        <w:trPr>
          <w:trHeight w:val="99"/>
        </w:trPr>
        <w:tc>
          <w:tcPr>
            <w:tcW w:w="541" w:type="pct"/>
          </w:tcPr>
          <w:p w14:paraId="587A2B8B" w14:textId="77777777" w:rsidR="007F30CC" w:rsidRPr="009526CC" w:rsidRDefault="007F30CC" w:rsidP="006B48C7">
            <w:pPr>
              <w:pStyle w:val="Tablewriting"/>
              <w:rPr>
                <w:rFonts w:eastAsia="MS Mincho"/>
              </w:rPr>
            </w:pPr>
            <w:r w:rsidRPr="009526CC">
              <w:rPr>
                <w:rFonts w:eastAsia="MS Mincho"/>
              </w:rPr>
              <w:t xml:space="preserve">Smith </w:t>
            </w:r>
            <w:r>
              <w:rPr>
                <w:rFonts w:eastAsia="MS Mincho"/>
              </w:rPr>
              <w:t>(</w:t>
            </w:r>
            <w:r w:rsidRPr="009526CC">
              <w:rPr>
                <w:rFonts w:eastAsia="MS Mincho"/>
              </w:rPr>
              <w:t>2013</w:t>
            </w:r>
            <w:r>
              <w:rPr>
                <w:rFonts w:eastAsia="MS Mincho"/>
              </w:rPr>
              <w:t>)</w:t>
            </w:r>
          </w:p>
        </w:tc>
        <w:tc>
          <w:tcPr>
            <w:tcW w:w="235" w:type="pct"/>
          </w:tcPr>
          <w:p w14:paraId="61E54A09"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3456339B"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6A069035" w14:textId="77777777" w:rsidR="007F30CC" w:rsidRPr="00017AE6" w:rsidRDefault="007F30CC" w:rsidP="006B48C7">
            <w:pPr>
              <w:pStyle w:val="Tablewriting"/>
              <w:rPr>
                <w:rFonts w:eastAsia="MS Mincho" w:cstheme="minorHAnsi"/>
              </w:rPr>
            </w:pPr>
            <w:r w:rsidRPr="003A1845">
              <w:rPr>
                <w:rFonts w:eastAsia="MS Mincho" w:cstheme="minorHAnsi"/>
              </w:rPr>
              <w:t>N=</w:t>
            </w:r>
            <w:r>
              <w:rPr>
                <w:rFonts w:eastAsia="MS Mincho" w:cstheme="minorHAnsi"/>
              </w:rPr>
              <w:t>987</w:t>
            </w:r>
          </w:p>
        </w:tc>
        <w:tc>
          <w:tcPr>
            <w:tcW w:w="1168" w:type="pct"/>
          </w:tcPr>
          <w:p w14:paraId="18D7255C" w14:textId="77777777" w:rsidR="007F30CC" w:rsidRPr="00852606" w:rsidRDefault="007F30CC" w:rsidP="006B48C7">
            <w:pPr>
              <w:pStyle w:val="Tablewriting"/>
              <w:rPr>
                <w:rFonts w:eastAsia="MS Mincho" w:cstheme="minorHAnsi"/>
              </w:rPr>
            </w:pPr>
            <w:r>
              <w:rPr>
                <w:rFonts w:eastAsia="MS Mincho" w:cstheme="minorHAnsi"/>
              </w:rPr>
              <w:t>S</w:t>
            </w:r>
            <w:r w:rsidRPr="00852606">
              <w:rPr>
                <w:rFonts w:eastAsia="MS Mincho" w:cstheme="minorHAnsi"/>
              </w:rPr>
              <w:t>mokers</w:t>
            </w:r>
            <w:r>
              <w:rPr>
                <w:rFonts w:eastAsia="MS Mincho" w:cstheme="minorHAnsi"/>
              </w:rPr>
              <w:t>,</w:t>
            </w:r>
            <w:r w:rsidRPr="00852606">
              <w:rPr>
                <w:rFonts w:eastAsia="MS Mincho" w:cstheme="minorHAnsi"/>
              </w:rPr>
              <w:t xml:space="preserve"> aged </w:t>
            </w:r>
            <w:r w:rsidRPr="00E632A9">
              <w:rPr>
                <w:rFonts w:eastAsia="MS Mincho" w:cstheme="minorHAnsi"/>
              </w:rPr>
              <w:t>≥</w:t>
            </w:r>
            <w:r w:rsidRPr="00852606">
              <w:rPr>
                <w:rFonts w:eastAsia="MS Mincho" w:cstheme="minorHAnsi"/>
              </w:rPr>
              <w:t xml:space="preserve">18 years, </w:t>
            </w:r>
            <w:r w:rsidRPr="00E632A9">
              <w:rPr>
                <w:rFonts w:eastAsia="MS Mincho" w:cstheme="minorHAnsi"/>
              </w:rPr>
              <w:t>≥</w:t>
            </w:r>
            <w:r w:rsidRPr="00852606">
              <w:rPr>
                <w:rFonts w:eastAsia="MS Mincho" w:cstheme="minorHAnsi"/>
              </w:rPr>
              <w:t xml:space="preserve">10 </w:t>
            </w:r>
            <w:r>
              <w:rPr>
                <w:rFonts w:eastAsia="MS Mincho" w:cstheme="minorHAnsi"/>
              </w:rPr>
              <w:t>CPD</w:t>
            </w:r>
            <w:r w:rsidRPr="00852606">
              <w:rPr>
                <w:rFonts w:eastAsia="MS Mincho" w:cstheme="minorHAnsi"/>
              </w:rPr>
              <w:t>, willing to quit in next 30 days</w:t>
            </w:r>
          </w:p>
          <w:p w14:paraId="10C107AD" w14:textId="77777777" w:rsidR="007F30CC" w:rsidRPr="00017AE6" w:rsidRDefault="007F30CC" w:rsidP="006B48C7">
            <w:pPr>
              <w:pStyle w:val="Tablewriting"/>
              <w:rPr>
                <w:rFonts w:eastAsia="MS Mincho" w:cstheme="minorHAnsi"/>
              </w:rPr>
            </w:pPr>
            <w:r w:rsidRPr="00852606">
              <w:rPr>
                <w:rFonts w:eastAsia="MS Mincho" w:cstheme="minorHAnsi"/>
              </w:rPr>
              <w:t>42.4% men, av</w:t>
            </w:r>
            <w:r>
              <w:rPr>
                <w:rFonts w:eastAsia="MS Mincho" w:cstheme="minorHAnsi"/>
              </w:rPr>
              <w:t>erage</w:t>
            </w:r>
            <w:r w:rsidRPr="00852606">
              <w:rPr>
                <w:rFonts w:eastAsia="MS Mincho" w:cstheme="minorHAnsi"/>
              </w:rPr>
              <w:t xml:space="preserve"> age 41.9</w:t>
            </w:r>
            <w:r>
              <w:rPr>
                <w:rFonts w:eastAsia="MS Mincho" w:cstheme="minorHAnsi"/>
              </w:rPr>
              <w:t xml:space="preserve"> years</w:t>
            </w:r>
            <w:r w:rsidRPr="00852606">
              <w:rPr>
                <w:rFonts w:eastAsia="MS Mincho" w:cstheme="minorHAnsi"/>
              </w:rPr>
              <w:t>, av</w:t>
            </w:r>
            <w:r>
              <w:rPr>
                <w:rFonts w:eastAsia="MS Mincho" w:cstheme="minorHAnsi"/>
              </w:rPr>
              <w:t>erage CPD</w:t>
            </w:r>
            <w:r w:rsidRPr="00852606">
              <w:rPr>
                <w:rFonts w:eastAsia="MS Mincho" w:cstheme="minorHAnsi"/>
              </w:rPr>
              <w:t xml:space="preserve"> 20.7, 85% of participants' time to first cigarette was within 5 mins,</w:t>
            </w:r>
            <w:r>
              <w:rPr>
                <w:rFonts w:eastAsia="MS Mincho" w:cstheme="minorHAnsi"/>
              </w:rPr>
              <w:t xml:space="preserve"> </w:t>
            </w:r>
            <w:r w:rsidRPr="00852606">
              <w:rPr>
                <w:rFonts w:eastAsia="MS Mincho" w:cstheme="minorHAnsi"/>
              </w:rPr>
              <w:t xml:space="preserve">mode category for number of previous quit attempts was 2 </w:t>
            </w:r>
            <w:r>
              <w:rPr>
                <w:rFonts w:eastAsia="MS Mincho" w:cstheme="minorHAnsi"/>
              </w:rPr>
              <w:t>–</w:t>
            </w:r>
            <w:r w:rsidRPr="00852606">
              <w:rPr>
                <w:rFonts w:eastAsia="MS Mincho" w:cstheme="minorHAnsi"/>
              </w:rPr>
              <w:t xml:space="preserve"> 5</w:t>
            </w:r>
            <w:r>
              <w:rPr>
                <w:rFonts w:eastAsia="MS Mincho" w:cstheme="minorHAnsi"/>
              </w:rPr>
              <w:t>.</w:t>
            </w:r>
          </w:p>
        </w:tc>
        <w:tc>
          <w:tcPr>
            <w:tcW w:w="1288" w:type="pct"/>
          </w:tcPr>
          <w:p w14:paraId="585035BD" w14:textId="77777777" w:rsidR="007F30CC" w:rsidRPr="002E10A1" w:rsidRDefault="007F30CC" w:rsidP="00C324F3">
            <w:pPr>
              <w:pStyle w:val="ListParagraph"/>
              <w:numPr>
                <w:ilvl w:val="0"/>
                <w:numId w:val="179"/>
              </w:numPr>
              <w:autoSpaceDE w:val="0"/>
              <w:autoSpaceDN w:val="0"/>
              <w:adjustRightInd w:val="0"/>
              <w:rPr>
                <w:rFonts w:asciiTheme="minorHAnsi" w:eastAsia="MS Mincho" w:hAnsiTheme="minorHAnsi" w:cstheme="minorHAnsi"/>
                <w:lang w:eastAsia="en-US"/>
              </w:rPr>
            </w:pPr>
            <w:r w:rsidRPr="002E10A1">
              <w:rPr>
                <w:rFonts w:asciiTheme="minorHAnsi" w:eastAsia="MS Mincho" w:hAnsiTheme="minorHAnsi" w:cstheme="minorHAnsi"/>
                <w:lang w:eastAsia="en-US"/>
              </w:rPr>
              <w:t>Nicotine patch vs nicotine patch and nicotine gum</w:t>
            </w:r>
            <w:r>
              <w:rPr>
                <w:rFonts w:asciiTheme="minorHAnsi" w:eastAsia="MS Mincho" w:hAnsiTheme="minorHAnsi" w:cstheme="minorHAnsi"/>
                <w:lang w:eastAsia="en-US"/>
              </w:rPr>
              <w:t>.</w:t>
            </w:r>
          </w:p>
          <w:p w14:paraId="182A6EDA" w14:textId="77777777" w:rsidR="007F30CC" w:rsidRPr="00942AAE" w:rsidRDefault="007F30CC" w:rsidP="00C324F3">
            <w:pPr>
              <w:pStyle w:val="ListParagraph"/>
              <w:numPr>
                <w:ilvl w:val="0"/>
                <w:numId w:val="178"/>
              </w:numPr>
              <w:autoSpaceDE w:val="0"/>
              <w:autoSpaceDN w:val="0"/>
              <w:adjustRightInd w:val="0"/>
              <w:rPr>
                <w:rFonts w:asciiTheme="minorHAnsi" w:eastAsia="MS Mincho" w:hAnsiTheme="minorHAnsi" w:cstheme="minorHAnsi"/>
                <w:lang w:eastAsia="en-US"/>
              </w:rPr>
            </w:pPr>
            <w:r w:rsidRPr="00942AAE">
              <w:rPr>
                <w:rFonts w:asciiTheme="minorHAnsi" w:eastAsia="MS Mincho" w:hAnsiTheme="minorHAnsi" w:cstheme="minorHAnsi"/>
                <w:lang w:eastAsia="en-US"/>
              </w:rPr>
              <w:t>Two weeks NRT vs 6 weeks NRT</w:t>
            </w:r>
            <w:r>
              <w:rPr>
                <w:rFonts w:asciiTheme="minorHAnsi" w:eastAsia="MS Mincho" w:hAnsiTheme="minorHAnsi" w:cstheme="minorHAnsi"/>
                <w:lang w:eastAsia="en-US"/>
              </w:rPr>
              <w:t>.</w:t>
            </w:r>
          </w:p>
          <w:p w14:paraId="2EEB56D8" w14:textId="77777777" w:rsidR="007F30CC" w:rsidRPr="002F7627" w:rsidRDefault="007F30CC" w:rsidP="006B48C7">
            <w:pPr>
              <w:rPr>
                <w:rFonts w:eastAsia="MS Mincho"/>
                <w:lang w:eastAsia="en-US"/>
              </w:rPr>
            </w:pPr>
            <w:r w:rsidRPr="00942AAE">
              <w:rPr>
                <w:rFonts w:eastAsia="MS Mincho" w:cstheme="minorHAnsi"/>
              </w:rPr>
              <w:t>Standard counselling vs medication adherence counselling</w:t>
            </w:r>
            <w:r>
              <w:rPr>
                <w:rFonts w:eastAsia="MS Mincho" w:cstheme="minorHAnsi"/>
              </w:rPr>
              <w:t>.</w:t>
            </w:r>
          </w:p>
        </w:tc>
        <w:tc>
          <w:tcPr>
            <w:tcW w:w="1000" w:type="pct"/>
          </w:tcPr>
          <w:p w14:paraId="156F7869" w14:textId="77777777" w:rsidR="007F30CC" w:rsidRPr="000A6077" w:rsidRDefault="007F30CC" w:rsidP="006B48C7">
            <w:pPr>
              <w:pStyle w:val="Tablewriting"/>
              <w:rPr>
                <w:rFonts w:eastAsia="MS Mincho" w:cstheme="minorHAnsi"/>
                <w:u w:val="single"/>
              </w:rPr>
            </w:pPr>
            <w:r>
              <w:rPr>
                <w:rFonts w:eastAsia="MS Mincho" w:cstheme="minorHAnsi"/>
                <w:u w:val="single"/>
              </w:rPr>
              <w:t xml:space="preserve">Efficacy: </w:t>
            </w:r>
            <w:r w:rsidRPr="000A6077">
              <w:rPr>
                <w:rFonts w:eastAsia="MS Mincho" w:cstheme="minorHAnsi"/>
              </w:rPr>
              <w:t>30-day PPA at 6 m</w:t>
            </w:r>
            <w:r>
              <w:rPr>
                <w:rFonts w:eastAsia="MS Mincho" w:cstheme="minorHAnsi"/>
              </w:rPr>
              <w:t>onths</w:t>
            </w:r>
            <w:r w:rsidRPr="000A6077">
              <w:rPr>
                <w:rFonts w:eastAsia="MS Mincho" w:cstheme="minorHAnsi"/>
              </w:rPr>
              <w:t xml:space="preserve"> follow-up</w:t>
            </w:r>
          </w:p>
          <w:p w14:paraId="706B02BF" w14:textId="77777777" w:rsidR="007F30CC" w:rsidRDefault="007F30CC" w:rsidP="006B48C7">
            <w:pPr>
              <w:pStyle w:val="Tablewriting"/>
              <w:rPr>
                <w:rFonts w:eastAsia="MS Mincho" w:cstheme="minorHAnsi"/>
              </w:rPr>
            </w:pPr>
            <w:r w:rsidRPr="000A6077">
              <w:rPr>
                <w:rFonts w:eastAsia="MS Mincho" w:cstheme="minorHAnsi"/>
              </w:rPr>
              <w:t>Other: 7-day PPA at 6 m</w:t>
            </w:r>
            <w:r>
              <w:rPr>
                <w:rFonts w:eastAsia="MS Mincho" w:cstheme="minorHAnsi"/>
              </w:rPr>
              <w:t>onths</w:t>
            </w:r>
            <w:r w:rsidRPr="000A6077">
              <w:rPr>
                <w:rFonts w:eastAsia="MS Mincho" w:cstheme="minorHAnsi"/>
              </w:rPr>
              <w:t xml:space="preserve"> follow-up</w:t>
            </w:r>
            <w:r>
              <w:rPr>
                <w:rFonts w:eastAsia="MS Mincho" w:cstheme="minorHAnsi"/>
              </w:rPr>
              <w:t>.</w:t>
            </w:r>
          </w:p>
          <w:p w14:paraId="545558D7" w14:textId="77777777" w:rsidR="007F30CC" w:rsidRPr="000A6077" w:rsidRDefault="007F30CC" w:rsidP="006B48C7">
            <w:pPr>
              <w:pStyle w:val="Tablewriting"/>
              <w:rPr>
                <w:rFonts w:eastAsia="MS Mincho" w:cstheme="minorHAnsi"/>
              </w:rPr>
            </w:pPr>
          </w:p>
          <w:p w14:paraId="693E08E5" w14:textId="77777777" w:rsidR="007F30CC" w:rsidRPr="000A6077" w:rsidRDefault="007F30CC" w:rsidP="006B48C7">
            <w:pPr>
              <w:pStyle w:val="Tablewriting"/>
              <w:rPr>
                <w:rFonts w:eastAsia="MS Mincho" w:cstheme="minorHAnsi"/>
              </w:rPr>
            </w:pPr>
            <w:r w:rsidRPr="000A6077">
              <w:rPr>
                <w:rFonts w:eastAsia="MS Mincho" w:cstheme="minorHAnsi"/>
              </w:rPr>
              <w:t>Validation: none</w:t>
            </w:r>
            <w:r>
              <w:rPr>
                <w:rFonts w:eastAsia="MS Mincho" w:cstheme="minorHAnsi"/>
              </w:rPr>
              <w:t>.</w:t>
            </w:r>
          </w:p>
          <w:p w14:paraId="0BE81C66" w14:textId="77777777" w:rsidR="007F30CC" w:rsidRDefault="007F30CC" w:rsidP="006B48C7">
            <w:pPr>
              <w:pStyle w:val="Tablewriting"/>
              <w:rPr>
                <w:rFonts w:eastAsia="MS Mincho" w:cstheme="minorHAnsi"/>
                <w:u w:val="single"/>
              </w:rPr>
            </w:pPr>
          </w:p>
          <w:p w14:paraId="62963B69" w14:textId="77777777" w:rsidR="007F30CC" w:rsidRPr="000A6077" w:rsidRDefault="007F30CC" w:rsidP="006B48C7">
            <w:pPr>
              <w:pStyle w:val="Tablewriting"/>
              <w:rPr>
                <w:rFonts w:eastAsia="MS Mincho" w:cstheme="minorHAnsi"/>
              </w:rPr>
            </w:pPr>
            <w:r>
              <w:rPr>
                <w:rFonts w:eastAsia="MS Mincho" w:cstheme="minorHAnsi"/>
                <w:u w:val="single"/>
              </w:rPr>
              <w:t xml:space="preserve">Safety: </w:t>
            </w:r>
            <w:r w:rsidRPr="000A6077">
              <w:rPr>
                <w:rFonts w:eastAsia="MS Mincho" w:cstheme="minorHAnsi"/>
              </w:rPr>
              <w:t>Adverse events</w:t>
            </w:r>
            <w:r>
              <w:rPr>
                <w:rFonts w:eastAsia="MS Mincho" w:cstheme="minorHAnsi"/>
              </w:rPr>
              <w:t xml:space="preserve"> </w:t>
            </w:r>
            <w:r w:rsidRPr="000A6077">
              <w:rPr>
                <w:rFonts w:eastAsia="MS Mincho" w:cstheme="minorHAnsi"/>
              </w:rPr>
              <w:t>not measured</w:t>
            </w:r>
            <w:r>
              <w:rPr>
                <w:rFonts w:eastAsia="MS Mincho" w:cstheme="minorHAnsi"/>
              </w:rPr>
              <w:t>.</w:t>
            </w:r>
          </w:p>
          <w:p w14:paraId="38721A7D" w14:textId="77777777" w:rsidR="007F30CC" w:rsidRPr="0139F213" w:rsidRDefault="007F30CC" w:rsidP="006B48C7">
            <w:pPr>
              <w:pStyle w:val="Tablewriting"/>
              <w:rPr>
                <w:rFonts w:eastAsia="MS Mincho" w:cstheme="minorBidi"/>
              </w:rPr>
            </w:pPr>
          </w:p>
        </w:tc>
      </w:tr>
      <w:tr w:rsidR="007F30CC" w:rsidRPr="00017AE6" w14:paraId="628650E1" w14:textId="77777777" w:rsidTr="00EA7016">
        <w:trPr>
          <w:trHeight w:val="99"/>
        </w:trPr>
        <w:tc>
          <w:tcPr>
            <w:tcW w:w="541" w:type="pct"/>
          </w:tcPr>
          <w:p w14:paraId="598A12C0" w14:textId="77777777" w:rsidR="007F30CC" w:rsidRPr="003158F5" w:rsidRDefault="007F30CC" w:rsidP="006B48C7">
            <w:pPr>
              <w:pStyle w:val="Tablewriting"/>
              <w:rPr>
                <w:rFonts w:eastAsia="MS Mincho"/>
              </w:rPr>
            </w:pPr>
            <w:r w:rsidRPr="00171A84">
              <w:rPr>
                <w:rFonts w:eastAsia="MS Mincho"/>
              </w:rPr>
              <w:lastRenderedPageBreak/>
              <w:t>Schlam 2016</w:t>
            </w:r>
          </w:p>
        </w:tc>
        <w:tc>
          <w:tcPr>
            <w:tcW w:w="235" w:type="pct"/>
          </w:tcPr>
          <w:p w14:paraId="20FE2A1E"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51A2769F"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60AD94AA" w14:textId="77777777" w:rsidR="007F30CC" w:rsidRPr="00017AE6" w:rsidRDefault="007F30CC" w:rsidP="006B48C7">
            <w:pPr>
              <w:pStyle w:val="Tablewriting"/>
              <w:rPr>
                <w:rFonts w:eastAsia="MS Mincho" w:cstheme="minorHAnsi"/>
              </w:rPr>
            </w:pPr>
            <w:r>
              <w:rPr>
                <w:rFonts w:eastAsia="MS Mincho" w:cstheme="minorHAnsi"/>
              </w:rPr>
              <w:t>N=544</w:t>
            </w:r>
          </w:p>
        </w:tc>
        <w:tc>
          <w:tcPr>
            <w:tcW w:w="1168" w:type="pct"/>
          </w:tcPr>
          <w:p w14:paraId="7E2D34F7" w14:textId="77777777" w:rsidR="007F30CC" w:rsidRPr="00B6254C" w:rsidRDefault="007F30CC" w:rsidP="006B48C7">
            <w:pPr>
              <w:pStyle w:val="Tablewriting"/>
              <w:rPr>
                <w:rFonts w:eastAsia="MS Mincho" w:cstheme="minorHAnsi"/>
              </w:rPr>
            </w:pPr>
            <w:r>
              <w:rPr>
                <w:rFonts w:eastAsia="MS Mincho" w:cstheme="minorHAnsi"/>
              </w:rPr>
              <w:t>S</w:t>
            </w:r>
            <w:r w:rsidRPr="00B6254C">
              <w:rPr>
                <w:rFonts w:eastAsia="MS Mincho" w:cstheme="minorHAnsi"/>
              </w:rPr>
              <w:t>mokers aged</w:t>
            </w:r>
            <w:r>
              <w:rPr>
                <w:rFonts w:eastAsia="MS Mincho" w:cstheme="minorHAnsi"/>
              </w:rPr>
              <w:t xml:space="preserve"> </w:t>
            </w:r>
            <w:r w:rsidRPr="00E632A9">
              <w:rPr>
                <w:rFonts w:eastAsia="MS Mincho" w:cstheme="minorHAnsi"/>
              </w:rPr>
              <w:t>≥</w:t>
            </w:r>
            <w:r w:rsidRPr="00B6254C">
              <w:rPr>
                <w:rFonts w:eastAsia="MS Mincho" w:cstheme="minorHAnsi"/>
              </w:rPr>
              <w:t xml:space="preserve">18 years, </w:t>
            </w:r>
            <w:r w:rsidRPr="00E632A9">
              <w:rPr>
                <w:rFonts w:eastAsia="MS Mincho" w:cstheme="minorHAnsi"/>
              </w:rPr>
              <w:t>≥</w:t>
            </w:r>
            <w:r w:rsidRPr="00B6254C">
              <w:rPr>
                <w:rFonts w:eastAsia="MS Mincho" w:cstheme="minorHAnsi"/>
              </w:rPr>
              <w:t xml:space="preserve">5 </w:t>
            </w:r>
            <w:r>
              <w:rPr>
                <w:rFonts w:eastAsia="MS Mincho" w:cstheme="minorHAnsi"/>
              </w:rPr>
              <w:t xml:space="preserve">CPD </w:t>
            </w:r>
            <w:r w:rsidRPr="00B6254C">
              <w:rPr>
                <w:rFonts w:eastAsia="MS Mincho" w:cstheme="minorHAnsi"/>
              </w:rPr>
              <w:t>for 6 months, motivated to quit</w:t>
            </w:r>
          </w:p>
          <w:p w14:paraId="2755E78F" w14:textId="77777777" w:rsidR="007F30CC" w:rsidRPr="00017AE6" w:rsidRDefault="007F30CC" w:rsidP="006B48C7">
            <w:pPr>
              <w:pStyle w:val="Tablewriting"/>
              <w:rPr>
                <w:rFonts w:eastAsia="MS Mincho" w:cstheme="minorHAnsi"/>
              </w:rPr>
            </w:pPr>
            <w:r w:rsidRPr="00B6254C">
              <w:rPr>
                <w:rFonts w:eastAsia="MS Mincho" w:cstheme="minorHAnsi"/>
              </w:rPr>
              <w:t>41% men, av</w:t>
            </w:r>
            <w:r>
              <w:rPr>
                <w:rFonts w:eastAsia="MS Mincho" w:cstheme="minorHAnsi"/>
              </w:rPr>
              <w:t>erage</w:t>
            </w:r>
            <w:r w:rsidRPr="00B6254C">
              <w:rPr>
                <w:rFonts w:eastAsia="MS Mincho" w:cstheme="minorHAnsi"/>
              </w:rPr>
              <w:t xml:space="preserve"> age 46.2</w:t>
            </w:r>
            <w:r>
              <w:rPr>
                <w:rFonts w:eastAsia="MS Mincho" w:cstheme="minorHAnsi"/>
              </w:rPr>
              <w:t xml:space="preserve"> years</w:t>
            </w:r>
            <w:r w:rsidRPr="00B6254C">
              <w:rPr>
                <w:rFonts w:eastAsia="MS Mincho" w:cstheme="minorHAnsi"/>
              </w:rPr>
              <w:t>, av</w:t>
            </w:r>
            <w:r>
              <w:rPr>
                <w:rFonts w:eastAsia="MS Mincho" w:cstheme="minorHAnsi"/>
              </w:rPr>
              <w:t>erage CPD</w:t>
            </w:r>
            <w:r w:rsidRPr="00B6254C">
              <w:rPr>
                <w:rFonts w:eastAsia="MS Mincho" w:cstheme="minorHAnsi"/>
              </w:rPr>
              <w:t xml:space="preserve"> 18.6, mean FTND 4.9, HSI 3.2, baseline CO 18.5 ppm</w:t>
            </w:r>
            <w:r>
              <w:rPr>
                <w:rFonts w:eastAsia="MS Mincho" w:cstheme="minorHAnsi"/>
              </w:rPr>
              <w:t xml:space="preserve">. </w:t>
            </w:r>
          </w:p>
        </w:tc>
        <w:tc>
          <w:tcPr>
            <w:tcW w:w="1288" w:type="pct"/>
          </w:tcPr>
          <w:p w14:paraId="25A12E4B" w14:textId="77777777"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Nicotine patches and gum for 8 weeks starting on quit date vs nicotine patches and gum for 26 weeks</w:t>
            </w:r>
            <w:r>
              <w:rPr>
                <w:rFonts w:eastAsia="MS Mincho"/>
                <w:lang w:eastAsia="en-US"/>
              </w:rPr>
              <w:t xml:space="preserve"> </w:t>
            </w:r>
            <w:r w:rsidRPr="00C5657C">
              <w:rPr>
                <w:rFonts w:eastAsia="MS Mincho"/>
                <w:lang w:eastAsia="en-US"/>
              </w:rPr>
              <w:t>starting on quit date</w:t>
            </w:r>
          </w:p>
          <w:p w14:paraId="3379C8D1" w14:textId="77777777"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Maintenance counselling vs no maintenance counselling</w:t>
            </w:r>
          </w:p>
          <w:p w14:paraId="6219BE09" w14:textId="77777777"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Medication adherence counselling vs no medication adherence counselling</w:t>
            </w:r>
          </w:p>
          <w:p w14:paraId="109C3D62" w14:textId="77777777"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Automated adherence calls vs no adherence calls</w:t>
            </w:r>
          </w:p>
          <w:p w14:paraId="54EB9179" w14:textId="519668E2" w:rsidR="007F30CC" w:rsidRPr="00C5657C" w:rsidRDefault="007F30CC" w:rsidP="00C324F3">
            <w:pPr>
              <w:pStyle w:val="ListParagraph"/>
              <w:numPr>
                <w:ilvl w:val="0"/>
                <w:numId w:val="178"/>
              </w:numPr>
              <w:rPr>
                <w:rFonts w:eastAsia="MS Mincho"/>
                <w:lang w:eastAsia="en-US"/>
              </w:rPr>
            </w:pPr>
            <w:r w:rsidRPr="00C5657C">
              <w:rPr>
                <w:rFonts w:eastAsia="MS Mincho"/>
                <w:lang w:eastAsia="en-US"/>
              </w:rPr>
              <w:t>Helping Hand medication dispenser with feedback and counselling vs no medication dispenser,</w:t>
            </w:r>
            <w:r>
              <w:rPr>
                <w:rFonts w:eastAsia="MS Mincho"/>
                <w:lang w:eastAsia="en-US"/>
              </w:rPr>
              <w:t xml:space="preserve"> </w:t>
            </w:r>
            <w:r w:rsidR="00115AEE" w:rsidRPr="00C5657C">
              <w:rPr>
                <w:rFonts w:eastAsia="MS Mincho"/>
                <w:lang w:eastAsia="en-US"/>
              </w:rPr>
              <w:t>feedback,</w:t>
            </w:r>
            <w:r w:rsidRPr="00C5657C">
              <w:rPr>
                <w:rFonts w:eastAsia="MS Mincho"/>
                <w:lang w:eastAsia="en-US"/>
              </w:rPr>
              <w:t xml:space="preserve"> or related counselling</w:t>
            </w:r>
          </w:p>
        </w:tc>
        <w:tc>
          <w:tcPr>
            <w:tcW w:w="1000" w:type="pct"/>
          </w:tcPr>
          <w:p w14:paraId="6C38A3A0" w14:textId="77777777" w:rsidR="007F30CC" w:rsidRPr="00C5657C" w:rsidRDefault="007F30CC" w:rsidP="006B48C7">
            <w:pPr>
              <w:pStyle w:val="Tablewriting"/>
              <w:rPr>
                <w:rFonts w:eastAsia="MS Mincho" w:cstheme="minorBidi"/>
              </w:rPr>
            </w:pPr>
            <w:r w:rsidRPr="00B6254C">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C5657C">
              <w:rPr>
                <w:rFonts w:eastAsia="MS Mincho" w:cstheme="minorBidi"/>
              </w:rPr>
              <w:t>Self-reported 7-day PPA at 52 weeks post-quit date</w:t>
            </w:r>
            <w:r>
              <w:rPr>
                <w:rFonts w:eastAsia="MS Mincho" w:cstheme="minorBidi"/>
              </w:rPr>
              <w:t>.</w:t>
            </w:r>
          </w:p>
          <w:p w14:paraId="53EA14B4" w14:textId="77777777" w:rsidR="007F30CC" w:rsidRPr="00C5657C" w:rsidRDefault="007F30CC" w:rsidP="006B48C7">
            <w:pPr>
              <w:pStyle w:val="Tablewriting"/>
              <w:rPr>
                <w:rFonts w:eastAsia="MS Mincho" w:cstheme="minorBidi"/>
              </w:rPr>
            </w:pPr>
            <w:r w:rsidRPr="00C5657C">
              <w:rPr>
                <w:rFonts w:eastAsia="MS Mincho" w:cstheme="minorBidi"/>
              </w:rPr>
              <w:t>Validation: none</w:t>
            </w:r>
            <w:r>
              <w:rPr>
                <w:rFonts w:eastAsia="MS Mincho" w:cstheme="minorBidi"/>
              </w:rPr>
              <w:t>.</w:t>
            </w:r>
          </w:p>
          <w:p w14:paraId="562926AA" w14:textId="77777777" w:rsidR="007F30CC" w:rsidRPr="00C5657C" w:rsidRDefault="007F30CC" w:rsidP="006B48C7">
            <w:pPr>
              <w:pStyle w:val="Tablewriting"/>
              <w:rPr>
                <w:rFonts w:eastAsia="MS Mincho" w:cstheme="minorBidi"/>
              </w:rPr>
            </w:pPr>
            <w:r w:rsidRPr="00C5657C">
              <w:rPr>
                <w:rFonts w:eastAsia="MS Mincho" w:cstheme="minorBidi"/>
              </w:rPr>
              <w:t>Other abstinence measures: Self-reported 7-day PPA at 26 weeks post-quit date</w:t>
            </w:r>
            <w:r>
              <w:rPr>
                <w:rFonts w:eastAsia="MS Mincho" w:cstheme="minorBidi"/>
              </w:rPr>
              <w:t>.</w:t>
            </w:r>
          </w:p>
          <w:p w14:paraId="03BD2978" w14:textId="77777777" w:rsidR="007F30CC" w:rsidRPr="004272CD" w:rsidRDefault="007F30CC" w:rsidP="006B48C7">
            <w:pPr>
              <w:pStyle w:val="Tablewriting"/>
              <w:rPr>
                <w:rFonts w:eastAsia="MS Mincho" w:cstheme="minorBidi"/>
                <w:u w:val="single"/>
              </w:rPr>
            </w:pPr>
          </w:p>
          <w:p w14:paraId="0AEC8EAE" w14:textId="77777777" w:rsidR="007F30CC" w:rsidRPr="00C5657C" w:rsidRDefault="007F30CC" w:rsidP="006B48C7">
            <w:pPr>
              <w:pStyle w:val="Tablewriting"/>
              <w:rPr>
                <w:rFonts w:eastAsia="MS Mincho" w:cstheme="minorBidi"/>
              </w:rPr>
            </w:pPr>
            <w:r w:rsidRPr="00B6254C">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C5657C">
              <w:rPr>
                <w:rFonts w:eastAsia="MS Mincho" w:cstheme="minorBidi"/>
              </w:rPr>
              <w:t>Adverse events</w:t>
            </w:r>
            <w:r>
              <w:rPr>
                <w:rFonts w:eastAsia="MS Mincho" w:cstheme="minorBidi"/>
              </w:rPr>
              <w:t xml:space="preserve"> </w:t>
            </w:r>
            <w:r w:rsidRPr="00C5657C">
              <w:rPr>
                <w:rFonts w:eastAsia="MS Mincho" w:cstheme="minorBidi"/>
              </w:rPr>
              <w:t>measured at 1, 4 and 8 weeks by completed assessments with case managers (and at</w:t>
            </w:r>
            <w:r>
              <w:rPr>
                <w:rFonts w:eastAsia="MS Mincho" w:cstheme="minorBidi"/>
              </w:rPr>
              <w:t xml:space="preserve"> </w:t>
            </w:r>
            <w:r w:rsidRPr="00C5657C">
              <w:rPr>
                <w:rFonts w:eastAsia="MS Mincho" w:cstheme="minorBidi"/>
              </w:rPr>
              <w:t>16 weeks if receiving extended medication) Also measured at weeks 16, 26, 39, and 52 during follow-up</w:t>
            </w:r>
          </w:p>
          <w:p w14:paraId="302A5186" w14:textId="77777777" w:rsidR="007F30CC" w:rsidRPr="0139F213" w:rsidRDefault="007F30CC" w:rsidP="006B48C7">
            <w:pPr>
              <w:pStyle w:val="Tablewriting"/>
              <w:rPr>
                <w:rFonts w:eastAsia="MS Mincho" w:cstheme="minorBidi"/>
              </w:rPr>
            </w:pPr>
            <w:r w:rsidRPr="00C5657C">
              <w:rPr>
                <w:rFonts w:eastAsia="MS Mincho" w:cstheme="minorBidi"/>
              </w:rPr>
              <w:t>calls with assessors</w:t>
            </w:r>
            <w:r>
              <w:rPr>
                <w:rFonts w:eastAsia="MS Mincho" w:cstheme="minorBidi"/>
              </w:rPr>
              <w:t xml:space="preserve">. </w:t>
            </w:r>
          </w:p>
        </w:tc>
      </w:tr>
      <w:tr w:rsidR="007F30CC" w:rsidRPr="00017AE6" w14:paraId="190FDCD4" w14:textId="77777777" w:rsidTr="00EA7016">
        <w:trPr>
          <w:trHeight w:val="99"/>
        </w:trPr>
        <w:tc>
          <w:tcPr>
            <w:tcW w:w="5000" w:type="pct"/>
            <w:gridSpan w:val="7"/>
            <w:shd w:val="clear" w:color="auto" w:fill="D9D9D9" w:themeFill="background1" w:themeFillShade="D9"/>
          </w:tcPr>
          <w:p w14:paraId="55D9A15A" w14:textId="77777777" w:rsidR="007F30CC" w:rsidRPr="000D4983" w:rsidRDefault="007F30CC" w:rsidP="006B48C7">
            <w:pPr>
              <w:pStyle w:val="Tablewriting"/>
              <w:rPr>
                <w:rFonts w:eastAsia="MS Mincho" w:cstheme="minorBidi"/>
                <w:b/>
                <w:bCs/>
              </w:rPr>
            </w:pPr>
            <w:r w:rsidRPr="000D4983">
              <w:rPr>
                <w:rFonts w:eastAsia="MS Mincho" w:cstheme="minorBidi"/>
                <w:b/>
                <w:bCs/>
              </w:rPr>
              <w:t>Other variations in NRT use</w:t>
            </w:r>
          </w:p>
        </w:tc>
      </w:tr>
      <w:tr w:rsidR="007F30CC" w:rsidRPr="00017AE6" w14:paraId="09073EF5" w14:textId="77777777" w:rsidTr="00EA7016">
        <w:trPr>
          <w:trHeight w:val="99"/>
        </w:trPr>
        <w:tc>
          <w:tcPr>
            <w:tcW w:w="541" w:type="pct"/>
          </w:tcPr>
          <w:p w14:paraId="10977068" w14:textId="77777777" w:rsidR="007F30CC" w:rsidRPr="009526CC" w:rsidRDefault="007F30CC" w:rsidP="006B48C7">
            <w:pPr>
              <w:pStyle w:val="Tablewriting"/>
              <w:rPr>
                <w:rFonts w:eastAsia="MS Mincho"/>
              </w:rPr>
            </w:pPr>
            <w:r w:rsidRPr="0026737B">
              <w:rPr>
                <w:rFonts w:eastAsia="MS Mincho"/>
              </w:rPr>
              <w:t xml:space="preserve">Daughton </w:t>
            </w:r>
            <w:r>
              <w:rPr>
                <w:rFonts w:eastAsia="MS Mincho"/>
              </w:rPr>
              <w:t>(</w:t>
            </w:r>
            <w:r w:rsidRPr="0026737B">
              <w:rPr>
                <w:rFonts w:eastAsia="MS Mincho"/>
              </w:rPr>
              <w:t>1991</w:t>
            </w:r>
            <w:r>
              <w:rPr>
                <w:rFonts w:eastAsia="MS Mincho"/>
              </w:rPr>
              <w:t>)</w:t>
            </w:r>
          </w:p>
        </w:tc>
        <w:tc>
          <w:tcPr>
            <w:tcW w:w="235" w:type="pct"/>
          </w:tcPr>
          <w:p w14:paraId="1CC012E3"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0FA13E6C"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37E4724D" w14:textId="77777777" w:rsidR="007F30CC" w:rsidRPr="00017AE6" w:rsidRDefault="007F30CC" w:rsidP="006B48C7">
            <w:pPr>
              <w:pStyle w:val="Tablewriting"/>
              <w:rPr>
                <w:rFonts w:eastAsia="MS Mincho" w:cstheme="minorHAnsi"/>
              </w:rPr>
            </w:pPr>
            <w:r>
              <w:rPr>
                <w:rFonts w:eastAsia="MS Mincho" w:cstheme="minorHAnsi"/>
              </w:rPr>
              <w:t>N=158</w:t>
            </w:r>
          </w:p>
        </w:tc>
        <w:tc>
          <w:tcPr>
            <w:tcW w:w="1168" w:type="pct"/>
          </w:tcPr>
          <w:p w14:paraId="5201CF3C" w14:textId="77777777" w:rsidR="007F30CC" w:rsidRPr="00017AE6" w:rsidRDefault="007F30CC" w:rsidP="006B48C7">
            <w:pPr>
              <w:pStyle w:val="Tablewriting"/>
              <w:rPr>
                <w:rFonts w:eastAsia="MS Mincho" w:cstheme="minorHAnsi"/>
              </w:rPr>
            </w:pPr>
            <w:r>
              <w:rPr>
                <w:rFonts w:eastAsia="MS Mincho" w:cstheme="minorHAnsi"/>
              </w:rPr>
              <w:t>S</w:t>
            </w:r>
            <w:r w:rsidRPr="00253BF3">
              <w:rPr>
                <w:rFonts w:eastAsia="MS Mincho" w:cstheme="minorHAnsi"/>
              </w:rPr>
              <w:t xml:space="preserve">mokers (at least 1 pack </w:t>
            </w:r>
            <w:r>
              <w:rPr>
                <w:rFonts w:eastAsia="MS Mincho" w:cstheme="minorHAnsi"/>
              </w:rPr>
              <w:t>CPD</w:t>
            </w:r>
            <w:r w:rsidRPr="00253BF3">
              <w:rPr>
                <w:rFonts w:eastAsia="MS Mincho" w:cstheme="minorHAnsi"/>
              </w:rPr>
              <w:t>)</w:t>
            </w:r>
            <w:r>
              <w:rPr>
                <w:rFonts w:eastAsia="MS Mincho" w:cstheme="minorHAnsi"/>
              </w:rPr>
              <w:t xml:space="preserve">, </w:t>
            </w:r>
            <w:r w:rsidRPr="00253BF3">
              <w:rPr>
                <w:rFonts w:eastAsia="MS Mincho" w:cstheme="minorHAnsi"/>
              </w:rPr>
              <w:t>47% men, av</w:t>
            </w:r>
            <w:r>
              <w:rPr>
                <w:rFonts w:eastAsia="MS Mincho" w:cstheme="minorHAnsi"/>
              </w:rPr>
              <w:t>erage</w:t>
            </w:r>
            <w:r w:rsidRPr="00253BF3">
              <w:rPr>
                <w:rFonts w:eastAsia="MS Mincho" w:cstheme="minorHAnsi"/>
              </w:rPr>
              <w:t xml:space="preserve"> age 42, av</w:t>
            </w:r>
            <w:r>
              <w:rPr>
                <w:rFonts w:eastAsia="MS Mincho" w:cstheme="minorHAnsi"/>
              </w:rPr>
              <w:t>erage</w:t>
            </w:r>
            <w:r w:rsidRPr="00253BF3">
              <w:rPr>
                <w:rFonts w:eastAsia="MS Mincho" w:cstheme="minorHAnsi"/>
              </w:rPr>
              <w:t xml:space="preserve"> </w:t>
            </w:r>
            <w:r>
              <w:rPr>
                <w:rFonts w:eastAsia="MS Mincho" w:cstheme="minorHAnsi"/>
              </w:rPr>
              <w:t>CPD</w:t>
            </w:r>
            <w:r w:rsidRPr="00253BF3">
              <w:rPr>
                <w:rFonts w:eastAsia="MS Mincho" w:cstheme="minorHAnsi"/>
              </w:rPr>
              <w:t xml:space="preserve"> 33</w:t>
            </w:r>
          </w:p>
        </w:tc>
        <w:tc>
          <w:tcPr>
            <w:tcW w:w="1288" w:type="pct"/>
          </w:tcPr>
          <w:p w14:paraId="2A7813C7" w14:textId="77777777"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Nicotine patch (15 cmi, 4 w</w:t>
            </w:r>
            <w:r>
              <w:rPr>
                <w:rFonts w:eastAsia="MS Mincho"/>
                <w:lang w:eastAsia="en-US"/>
              </w:rPr>
              <w:t>ee</w:t>
            </w:r>
            <w:r w:rsidRPr="00253BF3">
              <w:rPr>
                <w:rFonts w:eastAsia="MS Mincho"/>
                <w:lang w:eastAsia="en-US"/>
              </w:rPr>
              <w:t>ks) worn for 16 hrs/day</w:t>
            </w:r>
          </w:p>
          <w:p w14:paraId="5B9B911C" w14:textId="77777777"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Nicotine patch (15 cmi, 4 w</w:t>
            </w:r>
            <w:r>
              <w:rPr>
                <w:rFonts w:eastAsia="MS Mincho"/>
                <w:lang w:eastAsia="en-US"/>
              </w:rPr>
              <w:t>ee</w:t>
            </w:r>
            <w:r w:rsidRPr="00253BF3">
              <w:rPr>
                <w:rFonts w:eastAsia="MS Mincho"/>
                <w:lang w:eastAsia="en-US"/>
              </w:rPr>
              <w:t>ks) worn for 24 hrs/day</w:t>
            </w:r>
          </w:p>
          <w:p w14:paraId="7A1AB483" w14:textId="77777777" w:rsidR="007F30CC" w:rsidRPr="00253BF3" w:rsidRDefault="007F30CC" w:rsidP="00C324F3">
            <w:pPr>
              <w:pStyle w:val="ListParagraph"/>
              <w:numPr>
                <w:ilvl w:val="0"/>
                <w:numId w:val="201"/>
              </w:numPr>
              <w:rPr>
                <w:rFonts w:eastAsia="MS Mincho"/>
                <w:lang w:eastAsia="en-US"/>
              </w:rPr>
            </w:pPr>
            <w:r w:rsidRPr="00253BF3">
              <w:rPr>
                <w:rFonts w:eastAsia="MS Mincho"/>
                <w:lang w:eastAsia="en-US"/>
              </w:rPr>
              <w:t>Placebo patch, 4 w</w:t>
            </w:r>
            <w:r>
              <w:rPr>
                <w:rFonts w:eastAsia="MS Mincho"/>
                <w:lang w:eastAsia="en-US"/>
              </w:rPr>
              <w:t>ee</w:t>
            </w:r>
            <w:r w:rsidRPr="00253BF3">
              <w:rPr>
                <w:rFonts w:eastAsia="MS Mincho"/>
                <w:lang w:eastAsia="en-US"/>
              </w:rPr>
              <w:t>ks</w:t>
            </w:r>
          </w:p>
        </w:tc>
        <w:tc>
          <w:tcPr>
            <w:tcW w:w="1000" w:type="pct"/>
          </w:tcPr>
          <w:p w14:paraId="6D8C0185" w14:textId="77777777" w:rsidR="007F30CC" w:rsidRPr="00253BF3" w:rsidRDefault="007F30CC" w:rsidP="006B48C7">
            <w:pPr>
              <w:pStyle w:val="Tablewriting"/>
              <w:rPr>
                <w:rFonts w:eastAsia="MS Mincho" w:cstheme="minorBidi"/>
              </w:rPr>
            </w:pPr>
            <w:r w:rsidRPr="00253BF3">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253BF3">
              <w:rPr>
                <w:rFonts w:eastAsia="MS Mincho" w:cstheme="minorBidi"/>
              </w:rPr>
              <w:t>Sustained abstinence at 6 m</w:t>
            </w:r>
            <w:r>
              <w:rPr>
                <w:rFonts w:eastAsia="MS Mincho" w:cstheme="minorBidi"/>
              </w:rPr>
              <w:t>onths.</w:t>
            </w:r>
          </w:p>
          <w:p w14:paraId="2F2335F1" w14:textId="77777777" w:rsidR="007F30CC" w:rsidRPr="00253BF3" w:rsidRDefault="007F30CC" w:rsidP="006B48C7">
            <w:pPr>
              <w:pStyle w:val="Tablewriting"/>
              <w:rPr>
                <w:rFonts w:eastAsia="MS Mincho" w:cstheme="minorBidi"/>
              </w:rPr>
            </w:pPr>
            <w:r w:rsidRPr="00253BF3">
              <w:rPr>
                <w:rFonts w:eastAsia="MS Mincho" w:cstheme="minorBidi"/>
              </w:rPr>
              <w:t>Validation: CO at 2 - 4 w</w:t>
            </w:r>
            <w:r>
              <w:rPr>
                <w:rFonts w:eastAsia="MS Mincho" w:cstheme="minorBidi"/>
              </w:rPr>
              <w:t>ee</w:t>
            </w:r>
            <w:r w:rsidRPr="00253BF3">
              <w:rPr>
                <w:rFonts w:eastAsia="MS Mincho" w:cstheme="minorBidi"/>
              </w:rPr>
              <w:t>ks (none after 4 w</w:t>
            </w:r>
            <w:r>
              <w:rPr>
                <w:rFonts w:eastAsia="MS Mincho" w:cstheme="minorBidi"/>
              </w:rPr>
              <w:t>ee</w:t>
            </w:r>
            <w:r w:rsidRPr="00253BF3">
              <w:rPr>
                <w:rFonts w:eastAsia="MS Mincho" w:cstheme="minorBidi"/>
              </w:rPr>
              <w:t>ks)</w:t>
            </w:r>
          </w:p>
          <w:p w14:paraId="74D9244E" w14:textId="77777777" w:rsidR="007F30CC" w:rsidRPr="004272CD" w:rsidRDefault="007F30CC" w:rsidP="006B48C7">
            <w:pPr>
              <w:pStyle w:val="Tablewriting"/>
              <w:rPr>
                <w:rFonts w:eastAsia="MS Mincho" w:cstheme="minorBidi"/>
                <w:u w:val="single"/>
              </w:rPr>
            </w:pPr>
          </w:p>
          <w:p w14:paraId="4952C8A9" w14:textId="77777777" w:rsidR="007F30CC" w:rsidRPr="00253BF3" w:rsidRDefault="007F30CC" w:rsidP="006B48C7">
            <w:pPr>
              <w:pStyle w:val="Tablewriting"/>
              <w:rPr>
                <w:rFonts w:eastAsia="MS Mincho" w:cstheme="minorBidi"/>
              </w:rPr>
            </w:pPr>
            <w:r w:rsidRPr="00253BF3">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253BF3">
              <w:rPr>
                <w:rFonts w:eastAsia="MS Mincho" w:cstheme="minorBidi"/>
              </w:rPr>
              <w:t>Adverse events</w:t>
            </w:r>
            <w:r>
              <w:rPr>
                <w:rFonts w:eastAsia="MS Mincho" w:cstheme="minorBidi"/>
              </w:rPr>
              <w:t xml:space="preserve"> </w:t>
            </w:r>
            <w:r w:rsidRPr="00253BF3">
              <w:rPr>
                <w:rFonts w:eastAsia="MS Mincho" w:cstheme="minorBidi"/>
              </w:rPr>
              <w:t>assessed weekly during treatment (4 weeks)</w:t>
            </w:r>
          </w:p>
          <w:p w14:paraId="07E8CCD8" w14:textId="77777777" w:rsidR="007F30CC" w:rsidRPr="0139F213" w:rsidRDefault="007F30CC" w:rsidP="006B48C7">
            <w:pPr>
              <w:pStyle w:val="Tablewriting"/>
              <w:rPr>
                <w:rFonts w:eastAsia="MS Mincho" w:cstheme="minorBidi"/>
              </w:rPr>
            </w:pPr>
          </w:p>
        </w:tc>
      </w:tr>
      <w:tr w:rsidR="007F30CC" w:rsidRPr="00017AE6" w14:paraId="354237EC" w14:textId="77777777" w:rsidTr="00EA7016">
        <w:trPr>
          <w:trHeight w:val="99"/>
        </w:trPr>
        <w:tc>
          <w:tcPr>
            <w:tcW w:w="541" w:type="pct"/>
          </w:tcPr>
          <w:p w14:paraId="7606F13A" w14:textId="77777777" w:rsidR="007F30CC" w:rsidRPr="009526CC" w:rsidRDefault="007F30CC" w:rsidP="006B48C7">
            <w:pPr>
              <w:pStyle w:val="Tablewriting"/>
              <w:rPr>
                <w:rFonts w:eastAsia="MS Mincho"/>
              </w:rPr>
            </w:pPr>
            <w:r w:rsidRPr="0026737B">
              <w:rPr>
                <w:rFonts w:eastAsia="MS Mincho"/>
              </w:rPr>
              <w:t xml:space="preserve">Hughes </w:t>
            </w:r>
            <w:r>
              <w:rPr>
                <w:rFonts w:eastAsia="MS Mincho"/>
              </w:rPr>
              <w:t>(</w:t>
            </w:r>
            <w:r w:rsidRPr="0026737B">
              <w:rPr>
                <w:rFonts w:eastAsia="MS Mincho"/>
              </w:rPr>
              <w:t>2018</w:t>
            </w:r>
            <w:r>
              <w:rPr>
                <w:rFonts w:eastAsia="MS Mincho"/>
              </w:rPr>
              <w:t>)</w:t>
            </w:r>
          </w:p>
        </w:tc>
        <w:tc>
          <w:tcPr>
            <w:tcW w:w="235" w:type="pct"/>
          </w:tcPr>
          <w:p w14:paraId="03612F11"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42574F5B" w14:textId="77777777" w:rsidR="007F30CC" w:rsidRPr="00017AE6" w:rsidRDefault="007F30CC" w:rsidP="006B48C7">
            <w:pPr>
              <w:pStyle w:val="Tablewriting"/>
              <w:rPr>
                <w:rFonts w:eastAsia="MS Mincho" w:cstheme="minorHAnsi"/>
              </w:rPr>
            </w:pPr>
            <w:r>
              <w:rPr>
                <w:rFonts w:eastAsia="MS Mincho" w:cstheme="minorHAnsi"/>
              </w:rPr>
              <w:t>USA</w:t>
            </w:r>
          </w:p>
        </w:tc>
        <w:tc>
          <w:tcPr>
            <w:tcW w:w="350" w:type="pct"/>
          </w:tcPr>
          <w:p w14:paraId="2A8C2808" w14:textId="77777777" w:rsidR="007F30CC" w:rsidRPr="00017AE6" w:rsidRDefault="007F30CC" w:rsidP="006B48C7">
            <w:pPr>
              <w:pStyle w:val="Tablewriting"/>
              <w:rPr>
                <w:rFonts w:eastAsia="MS Mincho" w:cstheme="minorHAnsi"/>
              </w:rPr>
            </w:pPr>
            <w:r>
              <w:rPr>
                <w:rFonts w:eastAsia="MS Mincho" w:cstheme="minorHAnsi"/>
              </w:rPr>
              <w:t>N=701</w:t>
            </w:r>
          </w:p>
        </w:tc>
        <w:tc>
          <w:tcPr>
            <w:tcW w:w="1168" w:type="pct"/>
          </w:tcPr>
          <w:p w14:paraId="5DE889CE" w14:textId="77777777" w:rsidR="007F30CC" w:rsidRPr="00253BF3" w:rsidRDefault="007F30CC" w:rsidP="006B48C7">
            <w:pPr>
              <w:pStyle w:val="Tablewriting"/>
              <w:rPr>
                <w:rFonts w:eastAsia="MS Mincho" w:cstheme="minorHAnsi"/>
              </w:rPr>
            </w:pPr>
            <w:r>
              <w:rPr>
                <w:rFonts w:eastAsia="MS Mincho" w:cstheme="minorHAnsi"/>
              </w:rPr>
              <w:t>S</w:t>
            </w:r>
            <w:r w:rsidRPr="00253BF3">
              <w:rPr>
                <w:rFonts w:eastAsia="MS Mincho" w:cstheme="minorHAnsi"/>
              </w:rPr>
              <w:t xml:space="preserve">mokers: aged </w:t>
            </w:r>
            <w:r w:rsidRPr="00E632A9">
              <w:rPr>
                <w:rFonts w:eastAsia="MS Mincho" w:cstheme="minorHAnsi"/>
              </w:rPr>
              <w:t>≥</w:t>
            </w:r>
            <w:r w:rsidRPr="00253BF3">
              <w:rPr>
                <w:rFonts w:eastAsia="MS Mincho" w:cstheme="minorHAnsi"/>
              </w:rPr>
              <w:t>18 y</w:t>
            </w:r>
            <w:r>
              <w:rPr>
                <w:rFonts w:eastAsia="MS Mincho" w:cstheme="minorHAnsi"/>
              </w:rPr>
              <w:t>ea</w:t>
            </w:r>
            <w:r w:rsidRPr="00253BF3">
              <w:rPr>
                <w:rFonts w:eastAsia="MS Mincho" w:cstheme="minorHAnsi"/>
              </w:rPr>
              <w:t xml:space="preserve">rs, </w:t>
            </w:r>
            <w:r w:rsidRPr="00E632A9">
              <w:rPr>
                <w:rFonts w:eastAsia="MS Mincho" w:cstheme="minorHAnsi"/>
              </w:rPr>
              <w:t>≥</w:t>
            </w:r>
            <w:r w:rsidRPr="00253BF3">
              <w:rPr>
                <w:rFonts w:eastAsia="MS Mincho" w:cstheme="minorHAnsi"/>
              </w:rPr>
              <w:t xml:space="preserve">10 </w:t>
            </w:r>
            <w:r>
              <w:rPr>
                <w:rFonts w:eastAsia="MS Mincho" w:cstheme="minorHAnsi"/>
              </w:rPr>
              <w:t>CPD</w:t>
            </w:r>
            <w:r w:rsidRPr="00253BF3">
              <w:rPr>
                <w:rFonts w:eastAsia="MS Mincho" w:cstheme="minorHAnsi"/>
              </w:rPr>
              <w:t xml:space="preserve"> for </w:t>
            </w:r>
            <w:r w:rsidRPr="00E632A9">
              <w:rPr>
                <w:rFonts w:eastAsia="MS Mincho" w:cstheme="minorHAnsi"/>
              </w:rPr>
              <w:t>≥</w:t>
            </w:r>
            <w:r w:rsidRPr="00253BF3">
              <w:rPr>
                <w:rFonts w:eastAsia="MS Mincho" w:cstheme="minorHAnsi"/>
              </w:rPr>
              <w:t>1 y</w:t>
            </w:r>
            <w:r>
              <w:rPr>
                <w:rFonts w:eastAsia="MS Mincho" w:cstheme="minorHAnsi"/>
              </w:rPr>
              <w:t>ea</w:t>
            </w:r>
            <w:r w:rsidRPr="00253BF3">
              <w:rPr>
                <w:rFonts w:eastAsia="MS Mincho" w:cstheme="minorHAnsi"/>
              </w:rPr>
              <w:t>r, probably or definitely intend to quit smoking in the next</w:t>
            </w:r>
            <w:r>
              <w:rPr>
                <w:rFonts w:eastAsia="MS Mincho" w:cstheme="minorHAnsi"/>
              </w:rPr>
              <w:t xml:space="preserve"> </w:t>
            </w:r>
            <w:r w:rsidRPr="00253BF3">
              <w:rPr>
                <w:rFonts w:eastAsia="MS Mincho" w:cstheme="minorHAnsi"/>
              </w:rPr>
              <w:t xml:space="preserve">month, no medical caution to use of </w:t>
            </w:r>
            <w:r w:rsidRPr="00253BF3">
              <w:rPr>
                <w:rFonts w:eastAsia="MS Mincho" w:cstheme="minorHAnsi"/>
              </w:rPr>
              <w:lastRenderedPageBreak/>
              <w:t>patch, no use of other nicotine or tobacco products in the last</w:t>
            </w:r>
            <w:r>
              <w:rPr>
                <w:rFonts w:eastAsia="MS Mincho" w:cstheme="minorHAnsi"/>
              </w:rPr>
              <w:t xml:space="preserve"> </w:t>
            </w:r>
            <w:r w:rsidRPr="00253BF3">
              <w:rPr>
                <w:rFonts w:eastAsia="MS Mincho" w:cstheme="minorHAnsi"/>
              </w:rPr>
              <w:t>month</w:t>
            </w:r>
          </w:p>
          <w:p w14:paraId="3CFB87F1" w14:textId="77777777" w:rsidR="007F30CC" w:rsidRPr="00017AE6" w:rsidRDefault="007F30CC" w:rsidP="006B48C7">
            <w:pPr>
              <w:pStyle w:val="Tablewriting"/>
              <w:rPr>
                <w:rFonts w:eastAsia="MS Mincho" w:cstheme="minorHAnsi"/>
              </w:rPr>
            </w:pPr>
            <w:r w:rsidRPr="00253BF3">
              <w:rPr>
                <w:rFonts w:eastAsia="MS Mincho" w:cstheme="minorHAnsi"/>
              </w:rPr>
              <w:t>43.5% men; av</w:t>
            </w:r>
            <w:r>
              <w:rPr>
                <w:rFonts w:eastAsia="MS Mincho" w:cstheme="minorHAnsi"/>
              </w:rPr>
              <w:t>erage</w:t>
            </w:r>
            <w:r w:rsidRPr="00253BF3">
              <w:rPr>
                <w:rFonts w:eastAsia="MS Mincho" w:cstheme="minorHAnsi"/>
              </w:rPr>
              <w:t xml:space="preserve"> </w:t>
            </w:r>
            <w:r>
              <w:rPr>
                <w:rFonts w:eastAsia="MS Mincho" w:cstheme="minorHAnsi"/>
              </w:rPr>
              <w:t xml:space="preserve">CPD </w:t>
            </w:r>
            <w:r w:rsidRPr="00253BF3">
              <w:rPr>
                <w:rFonts w:eastAsia="MS Mincho" w:cstheme="minorHAnsi"/>
              </w:rPr>
              <w:t>19; FTND</w:t>
            </w:r>
            <w:r>
              <w:rPr>
                <w:rFonts w:eastAsia="MS Mincho" w:cstheme="minorHAnsi"/>
              </w:rPr>
              <w:t xml:space="preserve"> </w:t>
            </w:r>
            <w:r w:rsidRPr="00253BF3">
              <w:rPr>
                <w:rFonts w:eastAsia="MS Mincho" w:cstheme="minorHAnsi"/>
              </w:rPr>
              <w:t>5.5; av</w:t>
            </w:r>
            <w:r>
              <w:rPr>
                <w:rFonts w:eastAsia="MS Mincho" w:cstheme="minorHAnsi"/>
              </w:rPr>
              <w:t xml:space="preserve">erage </w:t>
            </w:r>
            <w:r w:rsidRPr="00253BF3">
              <w:rPr>
                <w:rFonts w:eastAsia="MS Mincho" w:cstheme="minorHAnsi"/>
              </w:rPr>
              <w:t>age started smoking 17.8</w:t>
            </w:r>
            <w:r>
              <w:rPr>
                <w:rFonts w:eastAsia="MS Mincho" w:cstheme="minorHAnsi"/>
              </w:rPr>
              <w:t xml:space="preserve"> years</w:t>
            </w:r>
            <w:r w:rsidRPr="00253BF3">
              <w:rPr>
                <w:rFonts w:eastAsia="MS Mincho" w:cstheme="minorHAnsi"/>
              </w:rPr>
              <w:t>; any prior quit attempt 78%</w:t>
            </w:r>
            <w:r>
              <w:rPr>
                <w:rFonts w:eastAsia="MS Mincho" w:cstheme="minorHAnsi"/>
              </w:rPr>
              <w:t>.</w:t>
            </w:r>
          </w:p>
        </w:tc>
        <w:tc>
          <w:tcPr>
            <w:tcW w:w="1288" w:type="pct"/>
          </w:tcPr>
          <w:p w14:paraId="189AF5CE" w14:textId="77777777" w:rsidR="007F30CC" w:rsidRDefault="007F30CC" w:rsidP="00C324F3">
            <w:pPr>
              <w:pStyle w:val="ListParagraph"/>
              <w:numPr>
                <w:ilvl w:val="0"/>
                <w:numId w:val="202"/>
              </w:numPr>
              <w:rPr>
                <w:rFonts w:eastAsia="MS Mincho"/>
                <w:lang w:eastAsia="en-US"/>
              </w:rPr>
            </w:pPr>
            <w:r w:rsidRPr="00C5295E">
              <w:rPr>
                <w:rFonts w:eastAsia="MS Mincho"/>
                <w:lang w:eastAsia="en-US"/>
              </w:rPr>
              <w:lastRenderedPageBreak/>
              <w:t>Participants advised to 'continue' nicotine patch use in the case of a lapse post-quit day</w:t>
            </w:r>
          </w:p>
          <w:p w14:paraId="0BD49DBB" w14:textId="77777777" w:rsidR="007F30CC" w:rsidRDefault="007F30CC" w:rsidP="00C324F3">
            <w:pPr>
              <w:pStyle w:val="ListParagraph"/>
              <w:numPr>
                <w:ilvl w:val="0"/>
                <w:numId w:val="202"/>
              </w:numPr>
              <w:rPr>
                <w:rFonts w:eastAsia="MS Mincho"/>
                <w:lang w:eastAsia="en-US"/>
              </w:rPr>
            </w:pPr>
            <w:r w:rsidRPr="00C5295E">
              <w:rPr>
                <w:rFonts w:eastAsia="MS Mincho"/>
                <w:lang w:eastAsia="en-US"/>
              </w:rPr>
              <w:lastRenderedPageBreak/>
              <w:t>Participants advised to 'discontinue' nicotine patch use in the case of a lapse post-quit day</w:t>
            </w:r>
          </w:p>
          <w:p w14:paraId="76B3C3C1" w14:textId="77777777" w:rsidR="007F30CC" w:rsidRDefault="007F30CC" w:rsidP="006B48C7">
            <w:pPr>
              <w:rPr>
                <w:rFonts w:eastAsia="MS Mincho"/>
                <w:lang w:eastAsia="en-US"/>
              </w:rPr>
            </w:pPr>
          </w:p>
          <w:p w14:paraId="6969C57C" w14:textId="77777777" w:rsidR="007F30CC" w:rsidRDefault="007F30CC" w:rsidP="006B48C7">
            <w:pPr>
              <w:rPr>
                <w:rFonts w:eastAsia="MS Mincho"/>
                <w:lang w:eastAsia="en-US"/>
              </w:rPr>
            </w:pPr>
            <w:r w:rsidRPr="00C5295E">
              <w:rPr>
                <w:rFonts w:eastAsia="MS Mincho"/>
                <w:u w:val="single"/>
                <w:lang w:eastAsia="en-US"/>
              </w:rPr>
              <w:t>Common component</w:t>
            </w:r>
            <w:r>
              <w:rPr>
                <w:rFonts w:eastAsia="MS Mincho"/>
                <w:lang w:eastAsia="en-US"/>
              </w:rPr>
              <w:t>:</w:t>
            </w:r>
          </w:p>
          <w:p w14:paraId="19CA285A" w14:textId="77777777" w:rsidR="007F30CC" w:rsidRPr="00C5295E" w:rsidRDefault="007F30CC" w:rsidP="006B48C7">
            <w:pPr>
              <w:rPr>
                <w:rFonts w:eastAsia="MS Mincho"/>
                <w:lang w:eastAsia="en-US"/>
              </w:rPr>
            </w:pPr>
            <w:r w:rsidRPr="00C5295E">
              <w:rPr>
                <w:rFonts w:eastAsia="MS Mincho"/>
                <w:lang w:eastAsia="en-US"/>
              </w:rPr>
              <w:t>For both groups’ counsellors delivered the instructions above at least 8 times throughout the interventions,</w:t>
            </w:r>
          </w:p>
          <w:p w14:paraId="7B7AB34C" w14:textId="77777777" w:rsidR="007F30CC" w:rsidRDefault="007F30CC" w:rsidP="006B48C7">
            <w:pPr>
              <w:rPr>
                <w:rFonts w:eastAsia="MS Mincho"/>
                <w:lang w:eastAsia="en-US"/>
              </w:rPr>
            </w:pPr>
            <w:r w:rsidRPr="00C5295E">
              <w:rPr>
                <w:rFonts w:eastAsia="MS Mincho"/>
                <w:lang w:eastAsia="en-US"/>
              </w:rPr>
              <w:t>and patches were provided for 10 weeks post-quit date. For all participants the behavioural</w:t>
            </w:r>
            <w:r>
              <w:rPr>
                <w:rFonts w:eastAsia="MS Mincho"/>
                <w:lang w:eastAsia="en-US"/>
              </w:rPr>
              <w:t xml:space="preserve"> </w:t>
            </w:r>
            <w:r w:rsidRPr="00C5295E">
              <w:rPr>
                <w:rFonts w:eastAsia="MS Mincho"/>
                <w:lang w:eastAsia="en-US"/>
              </w:rPr>
              <w:t>counselling protocol was based on USPHS Clinical Practice Guidelines that emphasize the provision of</w:t>
            </w:r>
            <w:r>
              <w:rPr>
                <w:rFonts w:eastAsia="MS Mincho"/>
                <w:lang w:eastAsia="en-US"/>
              </w:rPr>
              <w:t xml:space="preserve"> </w:t>
            </w:r>
            <w:r w:rsidRPr="00C5295E">
              <w:rPr>
                <w:rFonts w:eastAsia="MS Mincho"/>
                <w:lang w:eastAsia="en-US"/>
              </w:rPr>
              <w:t>social support and problem-solving around high-risk-for-lapse situations.</w:t>
            </w:r>
            <w:r>
              <w:rPr>
                <w:rFonts w:eastAsia="MS Mincho"/>
                <w:lang w:eastAsia="en-US"/>
              </w:rPr>
              <w:t xml:space="preserve"> </w:t>
            </w:r>
          </w:p>
          <w:p w14:paraId="2D3D6A10" w14:textId="77777777" w:rsidR="007F30CC" w:rsidRPr="000F3529" w:rsidRDefault="007F30CC" w:rsidP="006B48C7">
            <w:pPr>
              <w:rPr>
                <w:rFonts w:eastAsia="MS Mincho"/>
                <w:lang w:eastAsia="en-US"/>
              </w:rPr>
            </w:pPr>
            <w:r w:rsidRPr="000F3529">
              <w:rPr>
                <w:rFonts w:eastAsia="MS Mincho"/>
                <w:lang w:eastAsia="en-US"/>
              </w:rPr>
              <w:t>Counselling was delivered in</w:t>
            </w:r>
          </w:p>
          <w:p w14:paraId="281AC09B" w14:textId="77777777" w:rsidR="007F30CC" w:rsidRPr="00C5295E" w:rsidRDefault="007F30CC" w:rsidP="006B48C7">
            <w:pPr>
              <w:rPr>
                <w:rFonts w:eastAsia="MS Mincho"/>
                <w:lang w:eastAsia="en-US"/>
              </w:rPr>
            </w:pPr>
            <w:r w:rsidRPr="000F3529">
              <w:rPr>
                <w:rFonts w:eastAsia="MS Mincho"/>
                <w:lang w:eastAsia="en-US"/>
              </w:rPr>
              <w:t>6 proactive phone calls that occurred 7 and 3 days before, and 2, 7, 14, and 28 days after participants</w:t>
            </w:r>
            <w:r>
              <w:rPr>
                <w:rFonts w:eastAsia="MS Mincho"/>
                <w:lang w:eastAsia="en-US"/>
              </w:rPr>
              <w:t xml:space="preserve"> </w:t>
            </w:r>
            <w:r w:rsidRPr="000F3529">
              <w:rPr>
                <w:rFonts w:eastAsia="MS Mincho"/>
                <w:lang w:eastAsia="en-US"/>
              </w:rPr>
              <w:t>designated quit date. The first call lasted about 20 mins; subsequent calls were 10 – 15 mins</w:t>
            </w:r>
            <w:r>
              <w:rPr>
                <w:rFonts w:eastAsia="MS Mincho"/>
                <w:lang w:eastAsia="en-US"/>
              </w:rPr>
              <w:t xml:space="preserve">. </w:t>
            </w:r>
          </w:p>
        </w:tc>
        <w:tc>
          <w:tcPr>
            <w:tcW w:w="1000" w:type="pct"/>
          </w:tcPr>
          <w:p w14:paraId="255BB727" w14:textId="77777777" w:rsidR="007F30CC" w:rsidRPr="00896B2B" w:rsidRDefault="007F30CC" w:rsidP="006B48C7">
            <w:pPr>
              <w:pStyle w:val="Tablewriting"/>
              <w:rPr>
                <w:rFonts w:eastAsia="MS Mincho" w:cstheme="minorBidi"/>
              </w:rPr>
            </w:pPr>
            <w:r w:rsidRPr="00896B2B">
              <w:rPr>
                <w:rFonts w:eastAsia="MS Mincho" w:cstheme="minorBidi"/>
                <w:u w:val="single"/>
              </w:rPr>
              <w:lastRenderedPageBreak/>
              <w:t>Efficacy</w:t>
            </w:r>
            <w:r w:rsidRPr="0139F213">
              <w:rPr>
                <w:rFonts w:eastAsia="MS Mincho" w:cstheme="minorBidi"/>
                <w:u w:val="single"/>
              </w:rPr>
              <w:t>:</w:t>
            </w:r>
            <w:r>
              <w:rPr>
                <w:rFonts w:eastAsia="MS Mincho" w:cstheme="minorBidi"/>
                <w:u w:val="single"/>
              </w:rPr>
              <w:t xml:space="preserve"> </w:t>
            </w:r>
            <w:r w:rsidRPr="00896B2B">
              <w:rPr>
                <w:rFonts w:eastAsia="MS Mincho" w:cstheme="minorBidi"/>
              </w:rPr>
              <w:t>Self-reported 7-day PPA smoking abstinence at 6 m post-quit</w:t>
            </w:r>
            <w:r>
              <w:rPr>
                <w:rFonts w:eastAsia="MS Mincho" w:cstheme="minorBidi"/>
              </w:rPr>
              <w:t xml:space="preserve">, </w:t>
            </w:r>
            <w:r w:rsidRPr="00896B2B">
              <w:rPr>
                <w:rFonts w:eastAsia="MS Mincho" w:cstheme="minorBidi"/>
              </w:rPr>
              <w:t>Self-reported 7-day PPA at 4 m post-quit</w:t>
            </w:r>
            <w:r>
              <w:rPr>
                <w:rFonts w:eastAsia="MS Mincho" w:cstheme="minorBidi"/>
              </w:rPr>
              <w:t>.</w:t>
            </w:r>
          </w:p>
          <w:p w14:paraId="4A8E1986" w14:textId="77777777" w:rsidR="007F30CC" w:rsidRPr="004272CD" w:rsidRDefault="007F30CC" w:rsidP="006B48C7">
            <w:pPr>
              <w:pStyle w:val="Tablewriting"/>
              <w:rPr>
                <w:rFonts w:eastAsia="MS Mincho" w:cstheme="minorBidi"/>
                <w:u w:val="single"/>
              </w:rPr>
            </w:pPr>
          </w:p>
          <w:p w14:paraId="48761906" w14:textId="77777777" w:rsidR="007F30CC" w:rsidRPr="00896B2B" w:rsidRDefault="007F30CC" w:rsidP="006B48C7">
            <w:pPr>
              <w:pStyle w:val="Tablewriting"/>
              <w:rPr>
                <w:rFonts w:eastAsia="MS Mincho" w:cstheme="minorBidi"/>
              </w:rPr>
            </w:pPr>
            <w:r w:rsidRPr="00896B2B">
              <w:rPr>
                <w:rFonts w:eastAsia="MS Mincho" w:cstheme="minorBidi"/>
                <w:u w:val="single"/>
              </w:rPr>
              <w:lastRenderedPageBreak/>
              <w:t>Safety</w:t>
            </w:r>
            <w:r w:rsidRPr="00896B2B">
              <w:rPr>
                <w:rFonts w:eastAsia="MS Mincho" w:cstheme="minorBidi"/>
              </w:rPr>
              <w:t>: Adverse events measured to 1-week post-treatment (12 weeks).</w:t>
            </w:r>
          </w:p>
          <w:p w14:paraId="75AAD1DE" w14:textId="77777777" w:rsidR="007F30CC" w:rsidRPr="0139F213" w:rsidRDefault="007F30CC" w:rsidP="006B48C7">
            <w:pPr>
              <w:pStyle w:val="Tablewriting"/>
              <w:rPr>
                <w:rFonts w:eastAsia="MS Mincho" w:cstheme="minorBidi"/>
              </w:rPr>
            </w:pPr>
          </w:p>
        </w:tc>
      </w:tr>
      <w:tr w:rsidR="007F30CC" w:rsidRPr="00017AE6" w14:paraId="4F8AF515" w14:textId="77777777" w:rsidTr="00EA7016">
        <w:trPr>
          <w:trHeight w:val="99"/>
        </w:trPr>
        <w:tc>
          <w:tcPr>
            <w:tcW w:w="541" w:type="pct"/>
          </w:tcPr>
          <w:p w14:paraId="48681F64" w14:textId="77777777" w:rsidR="007F30CC" w:rsidRPr="0026737B" w:rsidRDefault="007F30CC" w:rsidP="006B48C7">
            <w:pPr>
              <w:pStyle w:val="Tablewriting"/>
              <w:rPr>
                <w:rFonts w:eastAsia="MS Mincho"/>
              </w:rPr>
            </w:pPr>
            <w:r w:rsidRPr="00333BCD">
              <w:rPr>
                <w:rFonts w:eastAsia="MS Mincho"/>
              </w:rPr>
              <w:lastRenderedPageBreak/>
              <w:t xml:space="preserve">Tulloch </w:t>
            </w:r>
            <w:r>
              <w:rPr>
                <w:rFonts w:eastAsia="MS Mincho"/>
              </w:rPr>
              <w:t>(</w:t>
            </w:r>
            <w:r w:rsidRPr="00333BCD">
              <w:rPr>
                <w:rFonts w:eastAsia="MS Mincho"/>
              </w:rPr>
              <w:t>2016</w:t>
            </w:r>
            <w:r>
              <w:rPr>
                <w:rFonts w:eastAsia="MS Mincho"/>
              </w:rPr>
              <w:t>)</w:t>
            </w:r>
          </w:p>
        </w:tc>
        <w:tc>
          <w:tcPr>
            <w:tcW w:w="235" w:type="pct"/>
          </w:tcPr>
          <w:p w14:paraId="5D89242E" w14:textId="77777777" w:rsidR="007F30CC" w:rsidRPr="00017AE6" w:rsidRDefault="007F30CC" w:rsidP="006B48C7">
            <w:pPr>
              <w:pStyle w:val="Tablewriting"/>
              <w:rPr>
                <w:rFonts w:eastAsia="MS Mincho" w:cstheme="minorHAnsi"/>
              </w:rPr>
            </w:pPr>
            <w:r>
              <w:rPr>
                <w:rFonts w:eastAsia="MS Mincho" w:cstheme="minorHAnsi"/>
              </w:rPr>
              <w:t>RCT</w:t>
            </w:r>
          </w:p>
        </w:tc>
        <w:tc>
          <w:tcPr>
            <w:tcW w:w="418" w:type="pct"/>
          </w:tcPr>
          <w:p w14:paraId="713DE548" w14:textId="77777777" w:rsidR="007F30CC" w:rsidRPr="00017AE6" w:rsidRDefault="007F30CC" w:rsidP="006B48C7">
            <w:pPr>
              <w:pStyle w:val="Tablewriting"/>
              <w:rPr>
                <w:rFonts w:eastAsia="MS Mincho" w:cstheme="minorHAnsi"/>
              </w:rPr>
            </w:pPr>
            <w:r>
              <w:rPr>
                <w:rFonts w:eastAsia="MS Mincho" w:cstheme="minorHAnsi"/>
              </w:rPr>
              <w:t>Canada</w:t>
            </w:r>
          </w:p>
        </w:tc>
        <w:tc>
          <w:tcPr>
            <w:tcW w:w="350" w:type="pct"/>
          </w:tcPr>
          <w:p w14:paraId="6E91DC8F" w14:textId="77777777" w:rsidR="007F30CC" w:rsidRPr="00017AE6" w:rsidRDefault="007F30CC" w:rsidP="006B48C7">
            <w:pPr>
              <w:pStyle w:val="Tablewriting"/>
              <w:rPr>
                <w:rFonts w:eastAsia="MS Mincho" w:cstheme="minorHAnsi"/>
              </w:rPr>
            </w:pPr>
            <w:r>
              <w:rPr>
                <w:rFonts w:eastAsia="MS Mincho" w:cstheme="minorHAnsi"/>
              </w:rPr>
              <w:t>N=737</w:t>
            </w:r>
          </w:p>
        </w:tc>
        <w:tc>
          <w:tcPr>
            <w:tcW w:w="1168" w:type="pct"/>
          </w:tcPr>
          <w:p w14:paraId="6CC75F3F" w14:textId="77777777" w:rsidR="007F30CC" w:rsidRPr="00227774" w:rsidRDefault="007F30CC" w:rsidP="006B48C7">
            <w:pPr>
              <w:pStyle w:val="Tablewriting"/>
              <w:rPr>
                <w:rFonts w:eastAsia="MS Mincho" w:cstheme="minorHAnsi"/>
              </w:rPr>
            </w:pPr>
            <w:r>
              <w:rPr>
                <w:rFonts w:eastAsia="MS Mincho" w:cstheme="minorHAnsi"/>
              </w:rPr>
              <w:t>S</w:t>
            </w:r>
            <w:r w:rsidRPr="00227774">
              <w:rPr>
                <w:rFonts w:eastAsia="MS Mincho" w:cstheme="minorHAnsi"/>
              </w:rPr>
              <w:t xml:space="preserve">mokers (490 in relevant trial arms); aged </w:t>
            </w:r>
            <w:r w:rsidRPr="00E632A9">
              <w:rPr>
                <w:rFonts w:eastAsia="MS Mincho" w:cstheme="minorHAnsi"/>
              </w:rPr>
              <w:t>≥</w:t>
            </w:r>
            <w:r w:rsidRPr="00227774">
              <w:rPr>
                <w:rFonts w:eastAsia="MS Mincho" w:cstheme="minorHAnsi"/>
              </w:rPr>
              <w:t xml:space="preserve">18 years, </w:t>
            </w:r>
            <w:r w:rsidRPr="00E632A9">
              <w:rPr>
                <w:rFonts w:eastAsia="MS Mincho" w:cstheme="minorHAnsi"/>
              </w:rPr>
              <w:t>≥</w:t>
            </w:r>
            <w:r w:rsidRPr="00227774">
              <w:rPr>
                <w:rFonts w:eastAsia="MS Mincho" w:cstheme="minorHAnsi"/>
              </w:rPr>
              <w:t xml:space="preserve">10 </w:t>
            </w:r>
            <w:r>
              <w:rPr>
                <w:rFonts w:eastAsia="MS Mincho" w:cstheme="minorHAnsi"/>
              </w:rPr>
              <w:t>CPD</w:t>
            </w:r>
            <w:r w:rsidRPr="00227774">
              <w:rPr>
                <w:rFonts w:eastAsia="MS Mincho" w:cstheme="minorHAnsi"/>
              </w:rPr>
              <w:t>, willing to make a quit attempt in the</w:t>
            </w:r>
          </w:p>
          <w:p w14:paraId="379DD31F" w14:textId="77777777" w:rsidR="007F30CC" w:rsidRPr="00227774" w:rsidRDefault="007F30CC" w:rsidP="006B48C7">
            <w:pPr>
              <w:pStyle w:val="Tablewriting"/>
              <w:rPr>
                <w:rFonts w:eastAsia="MS Mincho" w:cstheme="minorHAnsi"/>
              </w:rPr>
            </w:pPr>
            <w:r w:rsidRPr="00227774">
              <w:rPr>
                <w:rFonts w:eastAsia="MS Mincho" w:cstheme="minorHAnsi"/>
              </w:rPr>
              <w:t>next 2 - 4 w</w:t>
            </w:r>
            <w:r>
              <w:rPr>
                <w:rFonts w:eastAsia="MS Mincho" w:cstheme="minorHAnsi"/>
              </w:rPr>
              <w:t>ee</w:t>
            </w:r>
            <w:r w:rsidRPr="00227774">
              <w:rPr>
                <w:rFonts w:eastAsia="MS Mincho" w:cstheme="minorHAnsi"/>
              </w:rPr>
              <w:t>ks</w:t>
            </w:r>
            <w:r>
              <w:rPr>
                <w:rFonts w:eastAsia="MS Mincho" w:cstheme="minorHAnsi"/>
              </w:rPr>
              <w:t>.</w:t>
            </w:r>
          </w:p>
          <w:p w14:paraId="3CB92102" w14:textId="77777777" w:rsidR="007F30CC" w:rsidRPr="00017AE6" w:rsidRDefault="007F30CC" w:rsidP="006B48C7">
            <w:pPr>
              <w:pStyle w:val="Tablewriting"/>
              <w:rPr>
                <w:rFonts w:eastAsia="MS Mincho" w:cstheme="minorHAnsi"/>
              </w:rPr>
            </w:pPr>
            <w:r w:rsidRPr="00227774">
              <w:rPr>
                <w:rFonts w:eastAsia="MS Mincho" w:cstheme="minorHAnsi"/>
              </w:rPr>
              <w:t>53.6% men, av</w:t>
            </w:r>
            <w:r>
              <w:rPr>
                <w:rFonts w:eastAsia="MS Mincho" w:cstheme="minorHAnsi"/>
              </w:rPr>
              <w:t>erage</w:t>
            </w:r>
            <w:r w:rsidRPr="00227774">
              <w:rPr>
                <w:rFonts w:eastAsia="MS Mincho" w:cstheme="minorHAnsi"/>
              </w:rPr>
              <w:t xml:space="preserve"> age 48.6, av</w:t>
            </w:r>
            <w:r>
              <w:rPr>
                <w:rFonts w:eastAsia="MS Mincho" w:cstheme="minorHAnsi"/>
              </w:rPr>
              <w:t>erage</w:t>
            </w:r>
            <w:r w:rsidRPr="00227774">
              <w:rPr>
                <w:rFonts w:eastAsia="MS Mincho" w:cstheme="minorHAnsi"/>
              </w:rPr>
              <w:t xml:space="preserve"> </w:t>
            </w:r>
            <w:r>
              <w:rPr>
                <w:rFonts w:eastAsia="MS Mincho" w:cstheme="minorHAnsi"/>
              </w:rPr>
              <w:t>CPD</w:t>
            </w:r>
            <w:r w:rsidRPr="00227774">
              <w:rPr>
                <w:rFonts w:eastAsia="MS Mincho" w:cstheme="minorHAnsi"/>
              </w:rPr>
              <w:t xml:space="preserve"> 23.2, mean FTND 6.1, av</w:t>
            </w:r>
            <w:r>
              <w:rPr>
                <w:rFonts w:eastAsia="MS Mincho" w:cstheme="minorHAnsi"/>
              </w:rPr>
              <w:t>erage</w:t>
            </w:r>
            <w:r w:rsidRPr="00227774">
              <w:rPr>
                <w:rFonts w:eastAsia="MS Mincho" w:cstheme="minorHAnsi"/>
              </w:rPr>
              <w:t xml:space="preserve"> years smoked 31, av</w:t>
            </w:r>
            <w:r>
              <w:rPr>
                <w:rFonts w:eastAsia="MS Mincho" w:cstheme="minorHAnsi"/>
              </w:rPr>
              <w:t>erage</w:t>
            </w:r>
            <w:r w:rsidRPr="00227774">
              <w:rPr>
                <w:rFonts w:eastAsia="MS Mincho" w:cstheme="minorHAnsi"/>
              </w:rPr>
              <w:t xml:space="preserve"> number of previous quit</w:t>
            </w:r>
            <w:r>
              <w:rPr>
                <w:rFonts w:eastAsia="MS Mincho" w:cstheme="minorHAnsi"/>
              </w:rPr>
              <w:t xml:space="preserve"> </w:t>
            </w:r>
            <w:r w:rsidRPr="00227774">
              <w:rPr>
                <w:rFonts w:eastAsia="MS Mincho" w:cstheme="minorHAnsi"/>
              </w:rPr>
              <w:t>attempts 4.6</w:t>
            </w:r>
            <w:r>
              <w:rPr>
                <w:rFonts w:eastAsia="MS Mincho" w:cstheme="minorHAnsi"/>
              </w:rPr>
              <w:t xml:space="preserve">. </w:t>
            </w:r>
          </w:p>
        </w:tc>
        <w:tc>
          <w:tcPr>
            <w:tcW w:w="1288" w:type="pct"/>
          </w:tcPr>
          <w:p w14:paraId="25340DEA" w14:textId="77777777" w:rsidR="007F30CC" w:rsidRPr="004753C7" w:rsidRDefault="007F30CC" w:rsidP="00C324F3">
            <w:pPr>
              <w:pStyle w:val="ListParagraph"/>
              <w:numPr>
                <w:ilvl w:val="0"/>
                <w:numId w:val="203"/>
              </w:numPr>
              <w:rPr>
                <w:rFonts w:eastAsia="MS Mincho"/>
                <w:lang w:eastAsia="en-US"/>
              </w:rPr>
            </w:pPr>
            <w:r w:rsidRPr="004753C7">
              <w:rPr>
                <w:rFonts w:eastAsia="MS Mincho"/>
                <w:lang w:eastAsia="en-US"/>
              </w:rPr>
              <w:t>Nicotine patch for 10 w</w:t>
            </w:r>
            <w:r>
              <w:rPr>
                <w:rFonts w:eastAsia="MS Mincho"/>
                <w:lang w:eastAsia="en-US"/>
              </w:rPr>
              <w:t>ee</w:t>
            </w:r>
            <w:r w:rsidRPr="004753C7">
              <w:rPr>
                <w:rFonts w:eastAsia="MS Mincho"/>
                <w:lang w:eastAsia="en-US"/>
              </w:rPr>
              <w:t>ks beginning on quit day (maximum 21 mg/day or 14 mg/day depending on</w:t>
            </w:r>
            <w:r>
              <w:rPr>
                <w:rFonts w:eastAsia="MS Mincho"/>
                <w:lang w:eastAsia="en-US"/>
              </w:rPr>
              <w:t xml:space="preserve"> </w:t>
            </w:r>
            <w:r w:rsidRPr="004753C7">
              <w:rPr>
                <w:rFonts w:eastAsia="MS Mincho"/>
                <w:lang w:eastAsia="en-US"/>
              </w:rPr>
              <w:t xml:space="preserve">baseline </w:t>
            </w:r>
            <w:r>
              <w:rPr>
                <w:rFonts w:eastAsia="MS Mincho"/>
                <w:lang w:eastAsia="en-US"/>
              </w:rPr>
              <w:t>CPD</w:t>
            </w:r>
            <w:r w:rsidRPr="004753C7">
              <w:rPr>
                <w:rFonts w:eastAsia="MS Mincho"/>
                <w:lang w:eastAsia="en-US"/>
              </w:rPr>
              <w:t>, decreasing from week 7)</w:t>
            </w:r>
          </w:p>
          <w:p w14:paraId="590688B9" w14:textId="77777777" w:rsidR="007F30CC" w:rsidRPr="004753C7" w:rsidRDefault="007F30CC" w:rsidP="00C324F3">
            <w:pPr>
              <w:pStyle w:val="ListParagraph"/>
              <w:numPr>
                <w:ilvl w:val="0"/>
                <w:numId w:val="203"/>
              </w:numPr>
              <w:rPr>
                <w:rFonts w:eastAsia="MS Mincho"/>
                <w:lang w:eastAsia="en-US"/>
              </w:rPr>
            </w:pPr>
            <w:r w:rsidRPr="004753C7">
              <w:rPr>
                <w:rFonts w:eastAsia="MS Mincho"/>
                <w:lang w:eastAsia="en-US"/>
              </w:rPr>
              <w:t>Self-titrated nicotine patch (maximum 35 mg/day) and ad libitum nicotine gum or inhaler for up to</w:t>
            </w:r>
            <w:r>
              <w:rPr>
                <w:rFonts w:eastAsia="MS Mincho"/>
                <w:lang w:eastAsia="en-US"/>
              </w:rPr>
              <w:t xml:space="preserve"> </w:t>
            </w:r>
            <w:r w:rsidRPr="004753C7">
              <w:rPr>
                <w:rFonts w:eastAsia="MS Mincho"/>
                <w:lang w:eastAsia="en-US"/>
              </w:rPr>
              <w:t>22 w</w:t>
            </w:r>
            <w:r>
              <w:rPr>
                <w:rFonts w:eastAsia="MS Mincho"/>
                <w:lang w:eastAsia="en-US"/>
              </w:rPr>
              <w:t>ee</w:t>
            </w:r>
            <w:r w:rsidRPr="004753C7">
              <w:rPr>
                <w:rFonts w:eastAsia="MS Mincho"/>
                <w:lang w:eastAsia="en-US"/>
              </w:rPr>
              <w:t>ks</w:t>
            </w:r>
          </w:p>
        </w:tc>
        <w:tc>
          <w:tcPr>
            <w:tcW w:w="1000" w:type="pct"/>
          </w:tcPr>
          <w:p w14:paraId="6AB7FC51" w14:textId="77777777" w:rsidR="007F30CC" w:rsidRDefault="007F30CC" w:rsidP="006B48C7">
            <w:pPr>
              <w:pStyle w:val="Tablewriting"/>
              <w:rPr>
                <w:rFonts w:eastAsia="MS Mincho" w:cstheme="minorBidi"/>
              </w:rPr>
            </w:pPr>
            <w:r w:rsidRPr="004753C7">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4753C7">
              <w:rPr>
                <w:rFonts w:eastAsia="MS Mincho" w:cstheme="minorBidi"/>
              </w:rPr>
              <w:t>Validated continuous smoking abstinence from week 5 to 52</w:t>
            </w:r>
            <w:r>
              <w:rPr>
                <w:rFonts w:eastAsia="MS Mincho" w:cstheme="minorBidi"/>
              </w:rPr>
              <w:t xml:space="preserve">, </w:t>
            </w:r>
            <w:r w:rsidRPr="004753C7">
              <w:rPr>
                <w:rFonts w:eastAsia="MS Mincho" w:cstheme="minorBidi"/>
              </w:rPr>
              <w:t>validated 7-day PPA at 52 w</w:t>
            </w:r>
            <w:r>
              <w:rPr>
                <w:rFonts w:eastAsia="MS Mincho" w:cstheme="minorBidi"/>
              </w:rPr>
              <w:t>ee</w:t>
            </w:r>
            <w:r w:rsidRPr="004753C7">
              <w:rPr>
                <w:rFonts w:eastAsia="MS Mincho" w:cstheme="minorBidi"/>
              </w:rPr>
              <w:t>ks</w:t>
            </w:r>
            <w:r>
              <w:rPr>
                <w:rFonts w:eastAsia="MS Mincho" w:cstheme="minorBidi"/>
              </w:rPr>
              <w:t xml:space="preserve">. </w:t>
            </w:r>
          </w:p>
          <w:p w14:paraId="2F57AAD6" w14:textId="77777777" w:rsidR="007F30CC" w:rsidRPr="004753C7" w:rsidRDefault="007F30CC" w:rsidP="006B48C7">
            <w:pPr>
              <w:pStyle w:val="Tablewriting"/>
              <w:rPr>
                <w:rFonts w:eastAsia="MS Mincho" w:cstheme="minorBidi"/>
              </w:rPr>
            </w:pPr>
            <w:r w:rsidRPr="004753C7">
              <w:rPr>
                <w:rFonts w:eastAsia="MS Mincho" w:cstheme="minorBidi"/>
              </w:rPr>
              <w:t xml:space="preserve">Validation: expired CO </w:t>
            </w:r>
            <w:r w:rsidRPr="00902273">
              <w:rPr>
                <w:rFonts w:eastAsia="MS Mincho" w:cstheme="minorBidi"/>
              </w:rPr>
              <w:t>≤</w:t>
            </w:r>
            <w:r w:rsidRPr="004753C7">
              <w:rPr>
                <w:rFonts w:eastAsia="MS Mincho" w:cstheme="minorBidi"/>
              </w:rPr>
              <w:t xml:space="preserve"> 9 ppm</w:t>
            </w:r>
          </w:p>
          <w:p w14:paraId="51418D70" w14:textId="77777777" w:rsidR="007F30CC" w:rsidRPr="004272CD" w:rsidRDefault="007F30CC" w:rsidP="006B48C7">
            <w:pPr>
              <w:pStyle w:val="Tablewriting"/>
              <w:rPr>
                <w:rFonts w:eastAsia="MS Mincho" w:cstheme="minorBidi"/>
                <w:u w:val="single"/>
              </w:rPr>
            </w:pPr>
          </w:p>
          <w:p w14:paraId="5ADBD648" w14:textId="77777777" w:rsidR="007F30CC" w:rsidRPr="004753C7" w:rsidRDefault="007F30CC" w:rsidP="006B48C7">
            <w:pPr>
              <w:pStyle w:val="Tablewriting"/>
              <w:rPr>
                <w:rFonts w:eastAsia="MS Mincho" w:cstheme="minorBidi"/>
              </w:rPr>
            </w:pPr>
            <w:r w:rsidRPr="004753C7">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4753C7">
              <w:rPr>
                <w:rFonts w:eastAsia="MS Mincho" w:cstheme="minorBidi"/>
              </w:rPr>
              <w:t>Adverse events: measured at each appointment (0, 1, 3, 5, 8, 10, 22, 52 w</w:t>
            </w:r>
            <w:r>
              <w:rPr>
                <w:rFonts w:eastAsia="MS Mincho" w:cstheme="minorBidi"/>
              </w:rPr>
              <w:t>ee</w:t>
            </w:r>
            <w:r w:rsidRPr="004753C7">
              <w:rPr>
                <w:rFonts w:eastAsia="MS Mincho" w:cstheme="minorBidi"/>
              </w:rPr>
              <w:t>ks). Note treatment lasted either</w:t>
            </w:r>
          </w:p>
          <w:p w14:paraId="3EB864C5" w14:textId="77777777" w:rsidR="007F30CC" w:rsidRPr="004753C7" w:rsidRDefault="007F30CC" w:rsidP="006B48C7">
            <w:pPr>
              <w:pStyle w:val="Tablewriting"/>
              <w:rPr>
                <w:rFonts w:eastAsia="MS Mincho" w:cstheme="minorBidi"/>
              </w:rPr>
            </w:pPr>
            <w:r w:rsidRPr="004753C7">
              <w:rPr>
                <w:rFonts w:eastAsia="MS Mincho" w:cstheme="minorBidi"/>
              </w:rPr>
              <w:t>10 or 22 w</w:t>
            </w:r>
            <w:r>
              <w:rPr>
                <w:rFonts w:eastAsia="MS Mincho" w:cstheme="minorBidi"/>
              </w:rPr>
              <w:t>ee</w:t>
            </w:r>
            <w:r w:rsidRPr="004753C7">
              <w:rPr>
                <w:rFonts w:eastAsia="MS Mincho" w:cstheme="minorBidi"/>
              </w:rPr>
              <w:t>ks, depending on arm</w:t>
            </w:r>
            <w:r>
              <w:rPr>
                <w:rFonts w:eastAsia="MS Mincho" w:cstheme="minorBidi"/>
              </w:rPr>
              <w:t xml:space="preserve">. </w:t>
            </w:r>
          </w:p>
          <w:p w14:paraId="42FEA086" w14:textId="77777777" w:rsidR="007F30CC" w:rsidRPr="004272CD" w:rsidRDefault="007F30CC" w:rsidP="006B48C7">
            <w:pPr>
              <w:pStyle w:val="Tablewriting"/>
              <w:rPr>
                <w:rFonts w:eastAsia="MS Mincho" w:cstheme="minorBidi"/>
                <w:u w:val="single"/>
              </w:rPr>
            </w:pPr>
          </w:p>
          <w:p w14:paraId="3D610F0B" w14:textId="77777777" w:rsidR="007F30CC" w:rsidRPr="0139F213" w:rsidRDefault="007F30CC" w:rsidP="006B48C7">
            <w:pPr>
              <w:pStyle w:val="Tablewriting"/>
              <w:rPr>
                <w:rFonts w:eastAsia="MS Mincho" w:cstheme="minorBidi"/>
              </w:rPr>
            </w:pPr>
          </w:p>
        </w:tc>
      </w:tr>
    </w:tbl>
    <w:p w14:paraId="43DD60E4" w14:textId="430A647C" w:rsidR="001D607C" w:rsidRPr="009B042A" w:rsidRDefault="001D607C" w:rsidP="00EA7016">
      <w:pPr>
        <w:pStyle w:val="TableFooter"/>
        <w:jc w:val="both"/>
      </w:pPr>
      <w:r>
        <w:lastRenderedPageBreak/>
        <w:t>Source: Lindson</w:t>
      </w:r>
      <w:r w:rsidRPr="008B0097">
        <w:t xml:space="preserve"> et al. (2019</w:t>
      </w:r>
      <w:r>
        <w:t>).</w:t>
      </w:r>
      <w:r w:rsidRPr="009B042A">
        <w:t xml:space="preserve"> </w:t>
      </w:r>
    </w:p>
    <w:p w14:paraId="335BF91A" w14:textId="1F328FB2" w:rsidR="00043C3A" w:rsidRPr="006B48C7" w:rsidRDefault="001D607C" w:rsidP="00EA7016">
      <w:pPr>
        <w:pStyle w:val="TableFooter"/>
        <w:spacing w:after="120"/>
        <w:contextualSpacing w:val="0"/>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N= total participants; TQD= target quit date; ITT= intention to treat;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31914411" w14:textId="77777777" w:rsidR="00EA7016" w:rsidRDefault="00EA7016">
      <w:pPr>
        <w:spacing w:line="276" w:lineRule="auto"/>
        <w:rPr>
          <w:rFonts w:asciiTheme="minorHAnsi" w:eastAsia="Times New Roman" w:hAnsiTheme="minorHAnsi" w:cs="Times New Roman"/>
          <w:b/>
          <w:bCs/>
          <w:szCs w:val="18"/>
        </w:rPr>
      </w:pPr>
      <w:bookmarkStart w:id="350" w:name="_Ref62139831"/>
      <w:r>
        <w:br w:type="page"/>
      </w:r>
    </w:p>
    <w:p w14:paraId="05AA68FF" w14:textId="24647033" w:rsidR="00F11F77" w:rsidRDefault="00F11F77"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163</w:t>
      </w:r>
      <w:r w:rsidR="00BF3F75">
        <w:rPr>
          <w:noProof/>
        </w:rPr>
        <w:fldChar w:fldCharType="end"/>
      </w:r>
      <w:bookmarkEnd w:id="350"/>
      <w:r>
        <w:t xml:space="preserve">: </w:t>
      </w:r>
      <w:r w:rsidRPr="003A5CB1">
        <w:t>Characteristics of studies included in Lindson et al. (2019)</w:t>
      </w:r>
      <w:r w:rsidR="00C50D78">
        <w:t xml:space="preserve"> and Lindson et al. (2019b)</w:t>
      </w:r>
      <w:r w:rsidRPr="003A5CB1">
        <w:t>, dosing schedule</w:t>
      </w:r>
    </w:p>
    <w:tbl>
      <w:tblPr>
        <w:tblStyle w:val="TableGrid"/>
        <w:tblW w:w="5000" w:type="pct"/>
        <w:tblLook w:val="04A0" w:firstRow="1" w:lastRow="0" w:firstColumn="1" w:lastColumn="0" w:noHBand="0" w:noVBand="1"/>
        <w:tblCaption w:val="Efficacy results of adalimumab trials (PASI 75 and DLQI)"/>
      </w:tblPr>
      <w:tblGrid>
        <w:gridCol w:w="1503"/>
        <w:gridCol w:w="690"/>
        <w:gridCol w:w="1164"/>
        <w:gridCol w:w="964"/>
        <w:gridCol w:w="3253"/>
        <w:gridCol w:w="3587"/>
        <w:gridCol w:w="2787"/>
      </w:tblGrid>
      <w:tr w:rsidR="00F11F77" w:rsidRPr="00061F78" w14:paraId="38E19520" w14:textId="77777777" w:rsidTr="00EA7016">
        <w:trPr>
          <w:trHeight w:val="299"/>
          <w:tblHeader/>
        </w:trPr>
        <w:tc>
          <w:tcPr>
            <w:tcW w:w="539" w:type="pct"/>
            <w:shd w:val="clear" w:color="auto" w:fill="BFBFBF" w:themeFill="background1" w:themeFillShade="BF"/>
            <w:tcMar>
              <w:left w:w="28" w:type="dxa"/>
              <w:right w:w="28" w:type="dxa"/>
            </w:tcMar>
          </w:tcPr>
          <w:p w14:paraId="218EDBD9" w14:textId="77777777" w:rsidR="00F11F77" w:rsidRPr="00061F78" w:rsidRDefault="00F11F77" w:rsidP="006B48C7">
            <w:pPr>
              <w:pStyle w:val="Tableheading"/>
              <w:rPr>
                <w:rFonts w:eastAsia="MS Mincho"/>
              </w:rPr>
            </w:pPr>
            <w:r>
              <w:rPr>
                <w:rFonts w:eastAsia="MS Mincho"/>
              </w:rPr>
              <w:t>Study</w:t>
            </w:r>
          </w:p>
        </w:tc>
        <w:tc>
          <w:tcPr>
            <w:tcW w:w="247" w:type="pct"/>
            <w:shd w:val="clear" w:color="auto" w:fill="BFBFBF" w:themeFill="background1" w:themeFillShade="BF"/>
          </w:tcPr>
          <w:p w14:paraId="0094E210" w14:textId="77777777" w:rsidR="00F11F77" w:rsidRDefault="00F11F77" w:rsidP="006B48C7">
            <w:pPr>
              <w:pStyle w:val="Tableheading"/>
              <w:jc w:val="center"/>
              <w:rPr>
                <w:rFonts w:eastAsia="MS Mincho"/>
              </w:rPr>
            </w:pPr>
            <w:r>
              <w:rPr>
                <w:rFonts w:eastAsia="MS Mincho"/>
              </w:rPr>
              <w:t>Study type</w:t>
            </w:r>
          </w:p>
        </w:tc>
        <w:tc>
          <w:tcPr>
            <w:tcW w:w="417" w:type="pct"/>
            <w:shd w:val="clear" w:color="auto" w:fill="BFBFBF" w:themeFill="background1" w:themeFillShade="BF"/>
          </w:tcPr>
          <w:p w14:paraId="6AB12533" w14:textId="77777777" w:rsidR="00F11F77" w:rsidRDefault="00F11F77" w:rsidP="006B48C7">
            <w:pPr>
              <w:pStyle w:val="Tableheading"/>
              <w:jc w:val="center"/>
              <w:rPr>
                <w:rFonts w:eastAsia="MS Mincho"/>
              </w:rPr>
            </w:pPr>
            <w:r>
              <w:rPr>
                <w:rFonts w:eastAsia="MS Mincho"/>
              </w:rPr>
              <w:t>Countries</w:t>
            </w:r>
          </w:p>
        </w:tc>
        <w:tc>
          <w:tcPr>
            <w:tcW w:w="346" w:type="pct"/>
            <w:shd w:val="clear" w:color="auto" w:fill="BFBFBF" w:themeFill="background1" w:themeFillShade="BF"/>
            <w:tcMar>
              <w:left w:w="28" w:type="dxa"/>
              <w:right w:w="28" w:type="dxa"/>
            </w:tcMar>
          </w:tcPr>
          <w:p w14:paraId="28ED07DF" w14:textId="3B681A20" w:rsidR="00F11F77" w:rsidRPr="00061F78" w:rsidRDefault="00F11F77" w:rsidP="006B48C7">
            <w:pPr>
              <w:pStyle w:val="Tableheading"/>
              <w:jc w:val="center"/>
              <w:rPr>
                <w:rFonts w:eastAsia="MS Mincho"/>
              </w:rPr>
            </w:pPr>
            <w:r>
              <w:rPr>
                <w:rFonts w:eastAsia="MS Mincho"/>
              </w:rPr>
              <w:t>N</w:t>
            </w:r>
            <w:r w:rsidR="00E618E5" w:rsidRPr="00E618E5">
              <w:rPr>
                <w:rFonts w:eastAsia="MS Mincho"/>
                <w:vertAlign w:val="superscript"/>
              </w:rPr>
              <w:t>1</w:t>
            </w:r>
          </w:p>
        </w:tc>
        <w:tc>
          <w:tcPr>
            <w:tcW w:w="1166" w:type="pct"/>
            <w:shd w:val="clear" w:color="auto" w:fill="BFBFBF" w:themeFill="background1" w:themeFillShade="BF"/>
            <w:tcMar>
              <w:left w:w="28" w:type="dxa"/>
              <w:right w:w="28" w:type="dxa"/>
            </w:tcMar>
          </w:tcPr>
          <w:p w14:paraId="2853BBFF" w14:textId="77777777" w:rsidR="00F11F77" w:rsidRPr="00061F78" w:rsidRDefault="00F11F77" w:rsidP="006B48C7">
            <w:pPr>
              <w:pStyle w:val="Tableheading"/>
              <w:jc w:val="center"/>
              <w:rPr>
                <w:rFonts w:eastAsia="MS Mincho"/>
              </w:rPr>
            </w:pPr>
            <w:r w:rsidRPr="00061F78">
              <w:rPr>
                <w:rFonts w:eastAsia="MS Mincho"/>
              </w:rPr>
              <w:t>P</w:t>
            </w:r>
            <w:r>
              <w:rPr>
                <w:rFonts w:eastAsia="MS Mincho"/>
              </w:rPr>
              <w:t>opulation</w:t>
            </w:r>
          </w:p>
        </w:tc>
        <w:tc>
          <w:tcPr>
            <w:tcW w:w="1286" w:type="pct"/>
            <w:shd w:val="clear" w:color="auto" w:fill="BFBFBF" w:themeFill="background1" w:themeFillShade="BF"/>
          </w:tcPr>
          <w:p w14:paraId="2F5FF224" w14:textId="77777777" w:rsidR="00F11F77" w:rsidRDefault="00F11F77" w:rsidP="006B48C7">
            <w:pPr>
              <w:pStyle w:val="Tableheading"/>
              <w:jc w:val="center"/>
              <w:rPr>
                <w:rFonts w:eastAsia="MS Mincho"/>
              </w:rPr>
            </w:pPr>
            <w:r>
              <w:rPr>
                <w:rFonts w:eastAsia="MS Mincho"/>
              </w:rPr>
              <w:t>Intervention and comparator</w:t>
            </w:r>
          </w:p>
        </w:tc>
        <w:tc>
          <w:tcPr>
            <w:tcW w:w="998" w:type="pct"/>
            <w:shd w:val="clear" w:color="auto" w:fill="BFBFBF" w:themeFill="background1" w:themeFillShade="BF"/>
            <w:tcMar>
              <w:left w:w="28" w:type="dxa"/>
              <w:right w:w="28" w:type="dxa"/>
            </w:tcMar>
          </w:tcPr>
          <w:p w14:paraId="0ED91404" w14:textId="77777777" w:rsidR="00F11F77" w:rsidRPr="00061F78" w:rsidRDefault="00F11F77" w:rsidP="006B48C7">
            <w:pPr>
              <w:pStyle w:val="Tableheading"/>
              <w:jc w:val="center"/>
              <w:rPr>
                <w:rFonts w:eastAsia="MS Mincho"/>
              </w:rPr>
            </w:pPr>
            <w:r>
              <w:rPr>
                <w:rFonts w:eastAsia="MS Mincho"/>
              </w:rPr>
              <w:t>Outcomes</w:t>
            </w:r>
          </w:p>
        </w:tc>
      </w:tr>
      <w:tr w:rsidR="00F11F77" w:rsidRPr="00017AE6" w14:paraId="6DE8379E" w14:textId="77777777" w:rsidTr="00EA7016">
        <w:trPr>
          <w:trHeight w:val="99"/>
        </w:trPr>
        <w:tc>
          <w:tcPr>
            <w:tcW w:w="5000" w:type="pct"/>
            <w:gridSpan w:val="7"/>
            <w:shd w:val="clear" w:color="auto" w:fill="D9D9D9" w:themeFill="background1" w:themeFillShade="D9"/>
          </w:tcPr>
          <w:p w14:paraId="4122C4E4" w14:textId="77777777" w:rsidR="00F11F77" w:rsidRPr="004F5A3C" w:rsidRDefault="00F11F77" w:rsidP="006B48C7">
            <w:pPr>
              <w:pStyle w:val="Caption"/>
              <w:rPr>
                <w:rFonts w:eastAsia="MS Mincho"/>
              </w:rPr>
            </w:pPr>
            <w:r>
              <w:t>E</w:t>
            </w:r>
            <w:r w:rsidRPr="009A1D6A">
              <w:t>ffect of tapering patch dose</w:t>
            </w:r>
          </w:p>
        </w:tc>
      </w:tr>
      <w:tr w:rsidR="00F11F77" w:rsidRPr="00017AE6" w14:paraId="3F666707" w14:textId="77777777" w:rsidTr="00EA7016">
        <w:trPr>
          <w:trHeight w:val="99"/>
        </w:trPr>
        <w:tc>
          <w:tcPr>
            <w:tcW w:w="539" w:type="pct"/>
          </w:tcPr>
          <w:p w14:paraId="00AA8B9C" w14:textId="77777777" w:rsidR="00F11F77" w:rsidRPr="00017AE6" w:rsidRDefault="00F11F77" w:rsidP="006B48C7">
            <w:pPr>
              <w:pStyle w:val="Tablewriting"/>
              <w:rPr>
                <w:rFonts w:eastAsia="MS Mincho" w:cstheme="minorHAnsi"/>
              </w:rPr>
            </w:pPr>
            <w:r w:rsidRPr="00D13526">
              <w:rPr>
                <w:rFonts w:eastAsia="MS Mincho"/>
              </w:rPr>
              <w:t xml:space="preserve">Hilleman </w:t>
            </w:r>
            <w:r>
              <w:rPr>
                <w:rFonts w:eastAsia="MS Mincho"/>
              </w:rPr>
              <w:t>(</w:t>
            </w:r>
            <w:r w:rsidRPr="00D13526">
              <w:rPr>
                <w:rFonts w:eastAsia="MS Mincho"/>
              </w:rPr>
              <w:t>1994</w:t>
            </w:r>
            <w:r>
              <w:rPr>
                <w:rFonts w:eastAsia="MS Mincho"/>
              </w:rPr>
              <w:t>)</w:t>
            </w:r>
          </w:p>
        </w:tc>
        <w:tc>
          <w:tcPr>
            <w:tcW w:w="247" w:type="pct"/>
          </w:tcPr>
          <w:p w14:paraId="29BA7FAB"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72C08C1A"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5FCBA3A3" w14:textId="77777777" w:rsidR="00F11F77" w:rsidRPr="00017AE6" w:rsidRDefault="00F11F77" w:rsidP="006B48C7">
            <w:pPr>
              <w:pStyle w:val="Tablewriting"/>
              <w:rPr>
                <w:rFonts w:eastAsia="MS Mincho" w:cstheme="minorHAnsi"/>
              </w:rPr>
            </w:pPr>
            <w:r>
              <w:rPr>
                <w:rFonts w:eastAsia="MS Mincho" w:cstheme="minorHAnsi"/>
              </w:rPr>
              <w:t>N=140</w:t>
            </w:r>
          </w:p>
        </w:tc>
        <w:tc>
          <w:tcPr>
            <w:tcW w:w="1166" w:type="pct"/>
          </w:tcPr>
          <w:p w14:paraId="225192E3" w14:textId="77777777" w:rsidR="00F11F77" w:rsidRPr="00BF274E" w:rsidRDefault="00F11F77" w:rsidP="006B48C7">
            <w:pPr>
              <w:pStyle w:val="Tablewriting"/>
              <w:rPr>
                <w:rFonts w:eastAsia="MS Mincho" w:cstheme="minorHAnsi"/>
              </w:rPr>
            </w:pPr>
            <w:r>
              <w:rPr>
                <w:rFonts w:eastAsia="MS Mincho" w:cstheme="minorHAnsi"/>
              </w:rPr>
              <w:t>S</w:t>
            </w:r>
            <w:r w:rsidRPr="00BF274E">
              <w:rPr>
                <w:rFonts w:eastAsia="MS Mincho" w:cstheme="minorHAnsi"/>
              </w:rPr>
              <w:t>mokers (excluding a buspirone</w:t>
            </w:r>
            <w:r>
              <w:rPr>
                <w:rFonts w:eastAsia="MS Mincho" w:cstheme="minorHAnsi"/>
              </w:rPr>
              <w:t xml:space="preserve"> </w:t>
            </w:r>
            <w:r w:rsidRPr="00BF274E">
              <w:rPr>
                <w:rFonts w:eastAsia="MS Mincho" w:cstheme="minorHAnsi"/>
              </w:rPr>
              <w:t xml:space="preserve">treatment group), smoking &gt; 20 </w:t>
            </w:r>
            <w:r>
              <w:rPr>
                <w:rFonts w:eastAsia="MS Mincho" w:cstheme="minorHAnsi"/>
              </w:rPr>
              <w:t>CPD</w:t>
            </w:r>
            <w:r w:rsidRPr="00BF274E">
              <w:rPr>
                <w:rFonts w:eastAsia="MS Mincho" w:cstheme="minorHAnsi"/>
              </w:rPr>
              <w:t xml:space="preserve">, FTND </w:t>
            </w:r>
            <w:r w:rsidRPr="00E632A9">
              <w:rPr>
                <w:rFonts w:eastAsia="MS Mincho" w:cstheme="minorHAnsi"/>
              </w:rPr>
              <w:t>≥</w:t>
            </w:r>
            <w:r w:rsidRPr="00BF274E">
              <w:rPr>
                <w:rFonts w:eastAsia="MS Mincho" w:cstheme="minorHAnsi"/>
              </w:rPr>
              <w:t>8</w:t>
            </w:r>
            <w:r>
              <w:rPr>
                <w:rFonts w:eastAsia="MS Mincho" w:cstheme="minorHAnsi"/>
              </w:rPr>
              <w:t>.</w:t>
            </w:r>
          </w:p>
          <w:p w14:paraId="2E7CCCCE" w14:textId="77777777" w:rsidR="00F11F77" w:rsidRPr="00017AE6" w:rsidRDefault="00F11F77" w:rsidP="006B48C7">
            <w:pPr>
              <w:pStyle w:val="Tablewriting"/>
              <w:rPr>
                <w:rFonts w:eastAsia="MS Mincho" w:cstheme="minorHAnsi"/>
              </w:rPr>
            </w:pPr>
            <w:r w:rsidRPr="00BF274E">
              <w:rPr>
                <w:rFonts w:eastAsia="MS Mincho" w:cstheme="minorHAnsi"/>
              </w:rPr>
              <w:t>45% men, av</w:t>
            </w:r>
            <w:r>
              <w:rPr>
                <w:rFonts w:eastAsia="MS Mincho" w:cstheme="minorHAnsi"/>
              </w:rPr>
              <w:t>erage</w:t>
            </w:r>
            <w:r w:rsidRPr="00BF274E">
              <w:rPr>
                <w:rFonts w:eastAsia="MS Mincho" w:cstheme="minorHAnsi"/>
              </w:rPr>
              <w:t xml:space="preserve"> age 46, av</w:t>
            </w:r>
            <w:r>
              <w:rPr>
                <w:rFonts w:eastAsia="MS Mincho" w:cstheme="minorHAnsi"/>
              </w:rPr>
              <w:t>erage</w:t>
            </w:r>
            <w:r w:rsidRPr="00BF274E">
              <w:rPr>
                <w:rFonts w:eastAsia="MS Mincho" w:cstheme="minorHAnsi"/>
              </w:rPr>
              <w:t xml:space="preserve"> </w:t>
            </w:r>
            <w:r>
              <w:rPr>
                <w:rFonts w:eastAsia="MS Mincho" w:cstheme="minorHAnsi"/>
              </w:rPr>
              <w:t>CPD</w:t>
            </w:r>
            <w:r w:rsidRPr="00BF274E">
              <w:rPr>
                <w:rFonts w:eastAsia="MS Mincho" w:cstheme="minorHAnsi"/>
              </w:rPr>
              <w:t xml:space="preserve"> 25 - 26</w:t>
            </w:r>
          </w:p>
        </w:tc>
        <w:tc>
          <w:tcPr>
            <w:tcW w:w="1286" w:type="pct"/>
          </w:tcPr>
          <w:p w14:paraId="04C9D979" w14:textId="77777777" w:rsidR="00F11F77" w:rsidRPr="007B14D9" w:rsidRDefault="00F11F77" w:rsidP="00C324F3">
            <w:pPr>
              <w:pStyle w:val="ListParagraph"/>
              <w:numPr>
                <w:ilvl w:val="0"/>
                <w:numId w:val="204"/>
              </w:numPr>
              <w:rPr>
                <w:rFonts w:eastAsia="MS Mincho"/>
                <w:lang w:eastAsia="en-US"/>
              </w:rPr>
            </w:pPr>
            <w:r w:rsidRPr="007B14D9">
              <w:rPr>
                <w:rFonts w:eastAsia="MS Mincho"/>
                <w:lang w:eastAsia="en-US"/>
              </w:rPr>
              <w:t>Nicotine patch (21 mg/24-hour) for 6 w</w:t>
            </w:r>
            <w:r>
              <w:rPr>
                <w:rFonts w:eastAsia="MS Mincho"/>
                <w:lang w:eastAsia="en-US"/>
              </w:rPr>
              <w:t>ee</w:t>
            </w:r>
            <w:r w:rsidRPr="007B14D9">
              <w:rPr>
                <w:rFonts w:eastAsia="MS Mincho"/>
                <w:lang w:eastAsia="en-US"/>
              </w:rPr>
              <w:t>ks, no weaning</w:t>
            </w:r>
          </w:p>
          <w:p w14:paraId="4EA8BA3E" w14:textId="77777777" w:rsidR="00F11F77" w:rsidRPr="007B14D9" w:rsidRDefault="00F11F77" w:rsidP="00C324F3">
            <w:pPr>
              <w:pStyle w:val="ListParagraph"/>
              <w:numPr>
                <w:ilvl w:val="0"/>
                <w:numId w:val="204"/>
              </w:numPr>
              <w:rPr>
                <w:rFonts w:eastAsia="MS Mincho"/>
                <w:lang w:eastAsia="en-US"/>
              </w:rPr>
            </w:pPr>
            <w:r w:rsidRPr="007B14D9">
              <w:rPr>
                <w:rFonts w:eastAsia="MS Mincho"/>
                <w:lang w:eastAsia="en-US"/>
              </w:rPr>
              <w:t>Nicotine patch, 21 mg 4 w</w:t>
            </w:r>
            <w:r>
              <w:rPr>
                <w:rFonts w:eastAsia="MS Mincho"/>
                <w:lang w:eastAsia="en-US"/>
              </w:rPr>
              <w:t>ee</w:t>
            </w:r>
            <w:r w:rsidRPr="007B14D9">
              <w:rPr>
                <w:rFonts w:eastAsia="MS Mincho"/>
                <w:lang w:eastAsia="en-US"/>
              </w:rPr>
              <w:t>ks, weaning to 14 mg 4 w</w:t>
            </w:r>
            <w:r>
              <w:rPr>
                <w:rFonts w:eastAsia="MS Mincho"/>
                <w:lang w:eastAsia="en-US"/>
              </w:rPr>
              <w:t>ee</w:t>
            </w:r>
            <w:r w:rsidRPr="007B14D9">
              <w:rPr>
                <w:rFonts w:eastAsia="MS Mincho"/>
                <w:lang w:eastAsia="en-US"/>
              </w:rPr>
              <w:t>ks, 7 mg 4 w</w:t>
            </w:r>
            <w:r>
              <w:rPr>
                <w:rFonts w:eastAsia="MS Mincho"/>
                <w:lang w:eastAsia="en-US"/>
              </w:rPr>
              <w:t>ee</w:t>
            </w:r>
            <w:r w:rsidRPr="007B14D9">
              <w:rPr>
                <w:rFonts w:eastAsia="MS Mincho"/>
                <w:lang w:eastAsia="en-US"/>
              </w:rPr>
              <w:t>ks</w:t>
            </w:r>
          </w:p>
        </w:tc>
        <w:tc>
          <w:tcPr>
            <w:tcW w:w="998" w:type="pct"/>
          </w:tcPr>
          <w:p w14:paraId="39FDBAB6" w14:textId="77777777" w:rsidR="00F11F77" w:rsidRPr="007B14D9" w:rsidRDefault="00F11F77" w:rsidP="006B48C7">
            <w:pPr>
              <w:pStyle w:val="Tablewriting"/>
              <w:rPr>
                <w:rFonts w:eastAsia="MS Mincho" w:cstheme="minorBidi"/>
              </w:rPr>
            </w:pPr>
            <w:r w:rsidRPr="007B14D9">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7B14D9">
              <w:rPr>
                <w:rFonts w:eastAsia="MS Mincho" w:cstheme="minorBidi"/>
              </w:rPr>
              <w:t>Abstinence at 6 m</w:t>
            </w:r>
            <w:r>
              <w:rPr>
                <w:rFonts w:eastAsia="MS Mincho" w:cstheme="minorBidi"/>
              </w:rPr>
              <w:t>onths</w:t>
            </w:r>
          </w:p>
          <w:p w14:paraId="55F097F5" w14:textId="77777777" w:rsidR="00F11F77" w:rsidRPr="007B14D9" w:rsidRDefault="00F11F77" w:rsidP="006B48C7">
            <w:pPr>
              <w:pStyle w:val="Tablewriting"/>
              <w:rPr>
                <w:rFonts w:eastAsia="MS Mincho" w:cstheme="minorBidi"/>
              </w:rPr>
            </w:pPr>
            <w:r w:rsidRPr="007B14D9">
              <w:rPr>
                <w:rFonts w:eastAsia="MS Mincho" w:cstheme="minorBidi"/>
              </w:rPr>
              <w:t>Validation: Plasma thiocyanate</w:t>
            </w:r>
            <w:r>
              <w:rPr>
                <w:rFonts w:eastAsia="MS Mincho" w:cstheme="minorBidi"/>
              </w:rPr>
              <w:t>.</w:t>
            </w:r>
          </w:p>
          <w:p w14:paraId="0A02628E" w14:textId="77777777" w:rsidR="00F11F77" w:rsidRPr="004272CD" w:rsidRDefault="00F11F77" w:rsidP="006B48C7">
            <w:pPr>
              <w:pStyle w:val="Tablewriting"/>
              <w:rPr>
                <w:rFonts w:eastAsia="MS Mincho" w:cstheme="minorBidi"/>
                <w:u w:val="single"/>
              </w:rPr>
            </w:pPr>
          </w:p>
          <w:p w14:paraId="188B9F2E" w14:textId="77777777" w:rsidR="00F11F77" w:rsidRPr="004272CD" w:rsidRDefault="00F11F77" w:rsidP="006B48C7">
            <w:pPr>
              <w:pStyle w:val="Tablewriting"/>
              <w:rPr>
                <w:rFonts w:eastAsia="MS Mincho" w:cstheme="minorBidi"/>
                <w:u w:val="single"/>
              </w:rPr>
            </w:pPr>
            <w:r w:rsidRPr="007B14D9">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7B14D9">
              <w:rPr>
                <w:rFonts w:eastAsia="MS Mincho" w:cstheme="minorBidi"/>
              </w:rPr>
              <w:t>Adverse events</w:t>
            </w:r>
            <w:r>
              <w:rPr>
                <w:rFonts w:eastAsia="MS Mincho" w:cstheme="minorBidi"/>
              </w:rPr>
              <w:t xml:space="preserve"> </w:t>
            </w:r>
            <w:r w:rsidRPr="007B14D9">
              <w:rPr>
                <w:rFonts w:eastAsia="MS Mincho" w:cstheme="minorBidi"/>
              </w:rPr>
              <w:t>not measured</w:t>
            </w:r>
            <w:r>
              <w:rPr>
                <w:rFonts w:eastAsia="MS Mincho" w:cstheme="minorBidi"/>
              </w:rPr>
              <w:t>.</w:t>
            </w:r>
          </w:p>
        </w:tc>
      </w:tr>
      <w:tr w:rsidR="00F11F77" w:rsidRPr="00017AE6" w14:paraId="34836353" w14:textId="77777777" w:rsidTr="00EA7016">
        <w:trPr>
          <w:trHeight w:val="99"/>
        </w:trPr>
        <w:tc>
          <w:tcPr>
            <w:tcW w:w="539" w:type="pct"/>
          </w:tcPr>
          <w:p w14:paraId="568B3DAD" w14:textId="77777777" w:rsidR="00F11F77" w:rsidRPr="00017AE6" w:rsidRDefault="00F11F77" w:rsidP="006B48C7">
            <w:pPr>
              <w:pStyle w:val="Tablewriting"/>
              <w:rPr>
                <w:rFonts w:eastAsia="MS Mincho" w:cstheme="minorHAnsi"/>
              </w:rPr>
            </w:pPr>
            <w:r w:rsidRPr="00D13526">
              <w:rPr>
                <w:rFonts w:eastAsia="MS Mincho"/>
              </w:rPr>
              <w:t xml:space="preserve">Stapleton </w:t>
            </w:r>
            <w:r>
              <w:rPr>
                <w:rFonts w:eastAsia="MS Mincho"/>
              </w:rPr>
              <w:t>(</w:t>
            </w:r>
            <w:r w:rsidRPr="00D13526">
              <w:rPr>
                <w:rFonts w:eastAsia="MS Mincho"/>
              </w:rPr>
              <w:t>1995</w:t>
            </w:r>
            <w:r>
              <w:rPr>
                <w:rFonts w:eastAsia="MS Mincho"/>
              </w:rPr>
              <w:t>)</w:t>
            </w:r>
          </w:p>
        </w:tc>
        <w:tc>
          <w:tcPr>
            <w:tcW w:w="247" w:type="pct"/>
          </w:tcPr>
          <w:p w14:paraId="36C9F049"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7C140392" w14:textId="77777777" w:rsidR="00F11F77" w:rsidRPr="00017AE6" w:rsidRDefault="00F11F77" w:rsidP="006B48C7">
            <w:pPr>
              <w:pStyle w:val="Tablewriting"/>
              <w:rPr>
                <w:rFonts w:eastAsia="MS Mincho" w:cstheme="minorHAnsi"/>
              </w:rPr>
            </w:pPr>
            <w:r>
              <w:rPr>
                <w:rFonts w:eastAsia="MS Mincho" w:cstheme="minorHAnsi"/>
              </w:rPr>
              <w:t>UK</w:t>
            </w:r>
          </w:p>
        </w:tc>
        <w:tc>
          <w:tcPr>
            <w:tcW w:w="346" w:type="pct"/>
          </w:tcPr>
          <w:p w14:paraId="26D9FD30" w14:textId="77777777" w:rsidR="00F11F77" w:rsidRPr="00017AE6" w:rsidRDefault="00F11F77" w:rsidP="006B48C7">
            <w:pPr>
              <w:pStyle w:val="Tablewriting"/>
              <w:rPr>
                <w:rFonts w:eastAsia="MS Mincho" w:cstheme="minorHAnsi"/>
              </w:rPr>
            </w:pPr>
            <w:r>
              <w:rPr>
                <w:rFonts w:eastAsia="MS Mincho" w:cstheme="minorHAnsi"/>
              </w:rPr>
              <w:t>N=1200</w:t>
            </w:r>
          </w:p>
        </w:tc>
        <w:tc>
          <w:tcPr>
            <w:tcW w:w="1166" w:type="pct"/>
          </w:tcPr>
          <w:p w14:paraId="13D2EBBD" w14:textId="77777777" w:rsidR="00F11F77" w:rsidRPr="00017AE6" w:rsidRDefault="00F11F77" w:rsidP="006B48C7">
            <w:pPr>
              <w:pStyle w:val="Tablewriting"/>
              <w:rPr>
                <w:rFonts w:eastAsia="MS Mincho" w:cstheme="minorHAnsi"/>
              </w:rPr>
            </w:pPr>
            <w:r>
              <w:rPr>
                <w:rFonts w:eastAsia="MS Mincho" w:cstheme="minorHAnsi"/>
              </w:rPr>
              <w:t>S</w:t>
            </w:r>
            <w:r w:rsidRPr="002614A4">
              <w:rPr>
                <w:rFonts w:eastAsia="MS Mincho" w:cstheme="minorHAnsi"/>
              </w:rPr>
              <w:t>mokers considered by GP to be highly dependent and motivated to give up</w:t>
            </w:r>
            <w:r>
              <w:rPr>
                <w:rFonts w:eastAsia="MS Mincho" w:cstheme="minorHAnsi"/>
              </w:rPr>
              <w:t xml:space="preserve"> with a</w:t>
            </w:r>
            <w:r w:rsidRPr="002614A4">
              <w:rPr>
                <w:rFonts w:eastAsia="MS Mincho" w:cstheme="minorHAnsi"/>
              </w:rPr>
              <w:t>v</w:t>
            </w:r>
            <w:r>
              <w:rPr>
                <w:rFonts w:eastAsia="MS Mincho" w:cstheme="minorHAnsi"/>
              </w:rPr>
              <w:t>erage CPD</w:t>
            </w:r>
            <w:r w:rsidRPr="002614A4">
              <w:rPr>
                <w:rFonts w:eastAsia="MS Mincho" w:cstheme="minorHAnsi"/>
              </w:rPr>
              <w:t xml:space="preserve"> 23 </w:t>
            </w:r>
            <w:r>
              <w:rPr>
                <w:rFonts w:eastAsia="MS Mincho" w:cstheme="minorHAnsi"/>
              </w:rPr>
              <w:t>–</w:t>
            </w:r>
            <w:r w:rsidRPr="002614A4">
              <w:rPr>
                <w:rFonts w:eastAsia="MS Mincho" w:cstheme="minorHAnsi"/>
              </w:rPr>
              <w:t xml:space="preserve"> 24</w:t>
            </w:r>
            <w:r>
              <w:rPr>
                <w:rFonts w:eastAsia="MS Mincho" w:cstheme="minorHAnsi"/>
              </w:rPr>
              <w:t xml:space="preserve">. </w:t>
            </w:r>
          </w:p>
        </w:tc>
        <w:tc>
          <w:tcPr>
            <w:tcW w:w="1286" w:type="pct"/>
          </w:tcPr>
          <w:p w14:paraId="1DAA6836" w14:textId="77777777"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Nicotine patch standard dose (15 mg/16-hour for 18 w</w:t>
            </w:r>
            <w:r>
              <w:rPr>
                <w:rFonts w:eastAsia="MS Mincho"/>
                <w:lang w:eastAsia="en-US"/>
              </w:rPr>
              <w:t>ee</w:t>
            </w:r>
            <w:r w:rsidRPr="00FC4B37">
              <w:rPr>
                <w:rFonts w:eastAsia="MS Mincho"/>
                <w:lang w:eastAsia="en-US"/>
              </w:rPr>
              <w:t>ks)</w:t>
            </w:r>
          </w:p>
          <w:p w14:paraId="2D6C9C16" w14:textId="77777777"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Nicotine patch with dose increase to 25 mg at 1 w</w:t>
            </w:r>
            <w:r>
              <w:rPr>
                <w:rFonts w:eastAsia="MS Mincho"/>
                <w:lang w:eastAsia="en-US"/>
              </w:rPr>
              <w:t>ee</w:t>
            </w:r>
            <w:r w:rsidRPr="00FC4B37">
              <w:rPr>
                <w:rFonts w:eastAsia="MS Mincho"/>
                <w:lang w:eastAsia="en-US"/>
              </w:rPr>
              <w:t>k if required</w:t>
            </w:r>
          </w:p>
          <w:p w14:paraId="3AACC1DF" w14:textId="77777777" w:rsidR="00F11F77" w:rsidRPr="00FC4B37" w:rsidRDefault="00F11F77" w:rsidP="00C324F3">
            <w:pPr>
              <w:pStyle w:val="ListParagraph"/>
              <w:numPr>
                <w:ilvl w:val="0"/>
                <w:numId w:val="205"/>
              </w:numPr>
              <w:rPr>
                <w:rFonts w:eastAsia="MS Mincho"/>
                <w:lang w:eastAsia="en-US"/>
              </w:rPr>
            </w:pPr>
            <w:r w:rsidRPr="00FC4B37">
              <w:rPr>
                <w:rFonts w:eastAsia="MS Mincho"/>
                <w:lang w:eastAsia="en-US"/>
              </w:rPr>
              <w:t>Placebo patch group</w:t>
            </w:r>
          </w:p>
          <w:p w14:paraId="1096659A" w14:textId="77777777" w:rsidR="00F11F77" w:rsidRDefault="00F11F77" w:rsidP="006B48C7">
            <w:pPr>
              <w:rPr>
                <w:rFonts w:eastAsia="MS Mincho"/>
                <w:lang w:eastAsia="en-US"/>
              </w:rPr>
            </w:pPr>
          </w:p>
          <w:p w14:paraId="74C47366" w14:textId="77777777" w:rsidR="00F11F77" w:rsidRPr="002F7627" w:rsidRDefault="00F11F77" w:rsidP="006B48C7">
            <w:pPr>
              <w:rPr>
                <w:rFonts w:eastAsia="MS Mincho"/>
                <w:lang w:eastAsia="en-US"/>
              </w:rPr>
            </w:pPr>
            <w:r w:rsidRPr="00FC4B37">
              <w:rPr>
                <w:rFonts w:eastAsia="MS Mincho"/>
                <w:lang w:eastAsia="en-US"/>
              </w:rPr>
              <w:t>The nicotine patch groups were further randomized to gradual tapering or abrupt withdrawal at w</w:t>
            </w:r>
            <w:r>
              <w:rPr>
                <w:rFonts w:eastAsia="MS Mincho"/>
                <w:lang w:eastAsia="en-US"/>
              </w:rPr>
              <w:t>ee</w:t>
            </w:r>
            <w:r w:rsidRPr="00FC4B37">
              <w:rPr>
                <w:rFonts w:eastAsia="MS Mincho"/>
                <w:lang w:eastAsia="en-US"/>
              </w:rPr>
              <w:t>k 12</w:t>
            </w:r>
            <w:r>
              <w:rPr>
                <w:rFonts w:eastAsia="MS Mincho"/>
                <w:lang w:eastAsia="en-US"/>
              </w:rPr>
              <w:t>.</w:t>
            </w:r>
          </w:p>
        </w:tc>
        <w:tc>
          <w:tcPr>
            <w:tcW w:w="998" w:type="pct"/>
          </w:tcPr>
          <w:p w14:paraId="2F8C0193" w14:textId="77777777" w:rsidR="00F11F77" w:rsidRPr="00DB4FFE" w:rsidRDefault="00F11F77" w:rsidP="006B48C7">
            <w:pPr>
              <w:pStyle w:val="Tablewriting"/>
              <w:rPr>
                <w:rFonts w:eastAsia="MS Mincho" w:cstheme="minorBidi"/>
              </w:rPr>
            </w:pPr>
            <w:r w:rsidRPr="00DB4FFE">
              <w:rPr>
                <w:rFonts w:eastAsia="MS Mincho" w:cstheme="minorBidi"/>
                <w:u w:val="single"/>
              </w:rPr>
              <w:t>Efficacy</w:t>
            </w:r>
            <w:r w:rsidRPr="0139F213">
              <w:rPr>
                <w:rFonts w:eastAsia="MS Mincho" w:cstheme="minorBidi"/>
                <w:u w:val="single"/>
              </w:rPr>
              <w:t>:</w:t>
            </w:r>
            <w:r>
              <w:rPr>
                <w:rFonts w:eastAsia="MS Mincho" w:cstheme="minorBidi"/>
                <w:u w:val="single"/>
              </w:rPr>
              <w:t xml:space="preserve"> </w:t>
            </w:r>
            <w:r w:rsidRPr="00DB4FFE">
              <w:rPr>
                <w:rFonts w:eastAsia="MS Mincho" w:cstheme="minorBidi"/>
              </w:rPr>
              <w:t>Sustained abstinence at 12 m</w:t>
            </w:r>
            <w:r>
              <w:rPr>
                <w:rFonts w:eastAsia="MS Mincho" w:cstheme="minorBidi"/>
              </w:rPr>
              <w:t>onths</w:t>
            </w:r>
          </w:p>
          <w:p w14:paraId="29251F13" w14:textId="77777777" w:rsidR="00F11F77" w:rsidRPr="00DB4FFE" w:rsidRDefault="00F11F77" w:rsidP="006B48C7">
            <w:pPr>
              <w:pStyle w:val="Tablewriting"/>
              <w:rPr>
                <w:rFonts w:eastAsia="MS Mincho" w:cstheme="minorBidi"/>
              </w:rPr>
            </w:pPr>
            <w:r w:rsidRPr="00DB4FFE">
              <w:rPr>
                <w:rFonts w:eastAsia="MS Mincho" w:cstheme="minorBidi"/>
              </w:rPr>
              <w:t>Validation: CO</w:t>
            </w:r>
          </w:p>
          <w:p w14:paraId="1025D800" w14:textId="77777777" w:rsidR="00F11F77" w:rsidRPr="004272CD" w:rsidRDefault="00F11F77" w:rsidP="006B48C7">
            <w:pPr>
              <w:pStyle w:val="Tablewriting"/>
              <w:rPr>
                <w:rFonts w:eastAsia="MS Mincho" w:cstheme="minorBidi"/>
                <w:u w:val="single"/>
              </w:rPr>
            </w:pPr>
          </w:p>
          <w:p w14:paraId="16DC1F0A" w14:textId="77777777" w:rsidR="00F11F77" w:rsidRPr="00DB4FFE" w:rsidRDefault="00F11F77" w:rsidP="006B48C7">
            <w:pPr>
              <w:pStyle w:val="Tablewriting"/>
              <w:rPr>
                <w:rFonts w:eastAsia="MS Mincho" w:cstheme="minorBidi"/>
              </w:rPr>
            </w:pPr>
            <w:r w:rsidRPr="00DB4FFE">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DB4FFE">
              <w:rPr>
                <w:rFonts w:eastAsia="MS Mincho" w:cstheme="minorBidi"/>
              </w:rPr>
              <w:t>Adverse events</w:t>
            </w:r>
            <w:r>
              <w:rPr>
                <w:rFonts w:eastAsia="MS Mincho" w:cstheme="minorBidi"/>
              </w:rPr>
              <w:t xml:space="preserve"> </w:t>
            </w:r>
            <w:r w:rsidRPr="00DB4FFE">
              <w:rPr>
                <w:rFonts w:eastAsia="MS Mincho" w:cstheme="minorBidi"/>
              </w:rPr>
              <w:t>measured at each visit.</w:t>
            </w:r>
          </w:p>
          <w:p w14:paraId="159F8E77" w14:textId="77777777" w:rsidR="00F11F77" w:rsidRPr="004272CD" w:rsidRDefault="00F11F77" w:rsidP="006B48C7">
            <w:pPr>
              <w:pStyle w:val="Tablewriting"/>
              <w:rPr>
                <w:rFonts w:eastAsia="MS Mincho" w:cstheme="minorBidi"/>
                <w:u w:val="single"/>
              </w:rPr>
            </w:pPr>
          </w:p>
          <w:p w14:paraId="252917D1" w14:textId="77777777" w:rsidR="00F11F77" w:rsidRPr="004272CD" w:rsidRDefault="00F11F77" w:rsidP="006B48C7">
            <w:pPr>
              <w:pStyle w:val="Tablewriting"/>
              <w:rPr>
                <w:rFonts w:eastAsia="MS Mincho" w:cstheme="minorBidi"/>
                <w:u w:val="single"/>
              </w:rPr>
            </w:pPr>
          </w:p>
        </w:tc>
      </w:tr>
      <w:tr w:rsidR="00F11F77" w:rsidRPr="00017AE6" w14:paraId="4BBA6A7B" w14:textId="77777777" w:rsidTr="00EA7016">
        <w:trPr>
          <w:trHeight w:val="99"/>
        </w:trPr>
        <w:tc>
          <w:tcPr>
            <w:tcW w:w="5000" w:type="pct"/>
            <w:gridSpan w:val="7"/>
            <w:shd w:val="clear" w:color="auto" w:fill="D9D9D9" w:themeFill="background1" w:themeFillShade="D9"/>
          </w:tcPr>
          <w:p w14:paraId="2F863C0C" w14:textId="77777777" w:rsidR="00F11F77" w:rsidRPr="004272CD" w:rsidRDefault="00F11F77" w:rsidP="006B48C7">
            <w:pPr>
              <w:pStyle w:val="Caption"/>
              <w:rPr>
                <w:rFonts w:eastAsia="MS Mincho" w:cstheme="minorBidi"/>
                <w:u w:val="single"/>
              </w:rPr>
            </w:pPr>
            <w:r w:rsidRPr="004F5A3C">
              <w:rPr>
                <w:shd w:val="clear" w:color="auto" w:fill="D9D9D9" w:themeFill="background1" w:themeFillShade="D9"/>
              </w:rPr>
              <w:t>Fixed versus ad lib dose schedu</w:t>
            </w:r>
            <w:r w:rsidRPr="00D83FC7">
              <w:t>le</w:t>
            </w:r>
          </w:p>
        </w:tc>
      </w:tr>
      <w:tr w:rsidR="00F11F77" w:rsidRPr="00017AE6" w14:paraId="133501D2" w14:textId="77777777" w:rsidTr="00EA7016">
        <w:trPr>
          <w:trHeight w:val="99"/>
        </w:trPr>
        <w:tc>
          <w:tcPr>
            <w:tcW w:w="539" w:type="pct"/>
          </w:tcPr>
          <w:p w14:paraId="4993CD85" w14:textId="77777777" w:rsidR="00F11F77" w:rsidRPr="00017AE6" w:rsidRDefault="00F11F77" w:rsidP="006B48C7">
            <w:pPr>
              <w:pStyle w:val="Tablewriting"/>
              <w:rPr>
                <w:rFonts w:eastAsia="MS Mincho" w:cstheme="minorHAnsi"/>
              </w:rPr>
            </w:pPr>
            <w:r w:rsidRPr="005D168C">
              <w:rPr>
                <w:rFonts w:eastAsia="MS Mincho"/>
              </w:rPr>
              <w:t xml:space="preserve">Goldstein </w:t>
            </w:r>
            <w:r>
              <w:rPr>
                <w:rFonts w:eastAsia="MS Mincho"/>
              </w:rPr>
              <w:t>(</w:t>
            </w:r>
            <w:r w:rsidRPr="005D168C">
              <w:rPr>
                <w:rFonts w:eastAsia="MS Mincho"/>
              </w:rPr>
              <w:t>1989</w:t>
            </w:r>
            <w:r>
              <w:rPr>
                <w:rFonts w:eastAsia="MS Mincho"/>
              </w:rPr>
              <w:t>)</w:t>
            </w:r>
          </w:p>
        </w:tc>
        <w:tc>
          <w:tcPr>
            <w:tcW w:w="247" w:type="pct"/>
          </w:tcPr>
          <w:p w14:paraId="4640432E"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2A5E09B7"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74A76853" w14:textId="77777777" w:rsidR="00F11F77" w:rsidRPr="00017AE6" w:rsidRDefault="00F11F77" w:rsidP="006B48C7">
            <w:pPr>
              <w:pStyle w:val="Tablewriting"/>
              <w:rPr>
                <w:rFonts w:eastAsia="MS Mincho" w:cstheme="minorHAnsi"/>
              </w:rPr>
            </w:pPr>
            <w:r>
              <w:rPr>
                <w:rFonts w:eastAsia="MS Mincho" w:cstheme="minorHAnsi"/>
              </w:rPr>
              <w:t>N=89</w:t>
            </w:r>
          </w:p>
        </w:tc>
        <w:tc>
          <w:tcPr>
            <w:tcW w:w="1166" w:type="pct"/>
          </w:tcPr>
          <w:p w14:paraId="555A36DB" w14:textId="77777777" w:rsidR="00F11F77" w:rsidRPr="00017AE6" w:rsidRDefault="00F11F77" w:rsidP="006B48C7">
            <w:pPr>
              <w:pStyle w:val="Tablewriting"/>
              <w:rPr>
                <w:rFonts w:eastAsia="MS Mincho" w:cstheme="minorHAnsi"/>
              </w:rPr>
            </w:pPr>
            <w:r>
              <w:rPr>
                <w:rFonts w:eastAsia="MS Mincho" w:cstheme="minorHAnsi"/>
              </w:rPr>
              <w:t>S</w:t>
            </w:r>
            <w:r w:rsidRPr="00B6596E">
              <w:rPr>
                <w:rFonts w:eastAsia="MS Mincho" w:cstheme="minorHAnsi"/>
              </w:rPr>
              <w:t>mokers (excluding 18 early treatment dropouts not included in results)</w:t>
            </w:r>
          </w:p>
        </w:tc>
        <w:tc>
          <w:tcPr>
            <w:tcW w:w="1286" w:type="pct"/>
          </w:tcPr>
          <w:p w14:paraId="00F74F65" w14:textId="77777777" w:rsidR="00F11F77" w:rsidRPr="00B6596E" w:rsidRDefault="00F11F77" w:rsidP="00C324F3">
            <w:pPr>
              <w:pStyle w:val="ListParagraph"/>
              <w:numPr>
                <w:ilvl w:val="0"/>
                <w:numId w:val="206"/>
              </w:numPr>
              <w:rPr>
                <w:rFonts w:eastAsia="MS Mincho"/>
                <w:lang w:eastAsia="en-US"/>
              </w:rPr>
            </w:pPr>
            <w:r w:rsidRPr="00B6596E">
              <w:rPr>
                <w:rFonts w:eastAsia="MS Mincho"/>
                <w:lang w:eastAsia="en-US"/>
              </w:rPr>
              <w:t>Fixed-schedule nicotine gum (2 mg); 1 piece/hour for 1st wk with tapering over 10 w</w:t>
            </w:r>
            <w:r>
              <w:rPr>
                <w:rFonts w:eastAsia="MS Mincho"/>
                <w:lang w:eastAsia="en-US"/>
              </w:rPr>
              <w:t>ee</w:t>
            </w:r>
            <w:r w:rsidRPr="00B6596E">
              <w:rPr>
                <w:rFonts w:eastAsia="MS Mincho"/>
                <w:lang w:eastAsia="en-US"/>
              </w:rPr>
              <w:t>ks</w:t>
            </w:r>
          </w:p>
          <w:p w14:paraId="2AAD9562" w14:textId="77777777" w:rsidR="00F11F77" w:rsidRPr="00B6596E" w:rsidRDefault="00F11F77" w:rsidP="00C324F3">
            <w:pPr>
              <w:pStyle w:val="ListParagraph"/>
              <w:numPr>
                <w:ilvl w:val="0"/>
                <w:numId w:val="206"/>
              </w:numPr>
              <w:rPr>
                <w:rFonts w:eastAsia="MS Mincho"/>
                <w:lang w:eastAsia="en-US"/>
              </w:rPr>
            </w:pPr>
            <w:r w:rsidRPr="00B6596E">
              <w:rPr>
                <w:rFonts w:eastAsia="MS Mincho"/>
                <w:lang w:eastAsia="en-US"/>
              </w:rPr>
              <w:t>Ad lib nicotine gum; to be used when urge to smoke, max 30/day</w:t>
            </w:r>
          </w:p>
        </w:tc>
        <w:tc>
          <w:tcPr>
            <w:tcW w:w="998" w:type="pct"/>
          </w:tcPr>
          <w:p w14:paraId="60489336" w14:textId="77777777" w:rsidR="00F11F77" w:rsidRPr="00B6596E" w:rsidRDefault="00F11F77" w:rsidP="006B48C7">
            <w:pPr>
              <w:pStyle w:val="Tablewriting"/>
              <w:rPr>
                <w:rFonts w:eastAsia="MS Mincho" w:cstheme="minorBidi"/>
              </w:rPr>
            </w:pPr>
            <w:r w:rsidRPr="00B6596E">
              <w:rPr>
                <w:rFonts w:eastAsia="MS Mincho" w:cstheme="minorBidi"/>
                <w:u w:val="single"/>
              </w:rPr>
              <w:t xml:space="preserve">Efficacy: </w:t>
            </w:r>
            <w:r w:rsidRPr="00B6596E">
              <w:rPr>
                <w:rFonts w:eastAsia="MS Mincho" w:cstheme="minorBidi"/>
              </w:rPr>
              <w:t>PPA at 6 m</w:t>
            </w:r>
            <w:r>
              <w:rPr>
                <w:rFonts w:eastAsia="MS Mincho" w:cstheme="minorBidi"/>
              </w:rPr>
              <w:t>onths.</w:t>
            </w:r>
          </w:p>
          <w:p w14:paraId="5B447650" w14:textId="77777777" w:rsidR="00F11F77" w:rsidRPr="00B6596E" w:rsidRDefault="00F11F77" w:rsidP="006B48C7">
            <w:pPr>
              <w:pStyle w:val="Tablewriting"/>
              <w:rPr>
                <w:rFonts w:eastAsia="MS Mincho" w:cstheme="minorBidi"/>
              </w:rPr>
            </w:pPr>
            <w:r w:rsidRPr="00B6596E">
              <w:rPr>
                <w:rFonts w:eastAsia="MS Mincho" w:cstheme="minorBidi"/>
              </w:rPr>
              <w:t>Validation: Saliva cotinine &lt; 10 ng/ml or CO &lt; 8 ppm for people still using gum</w:t>
            </w:r>
          </w:p>
          <w:p w14:paraId="6C7BCE99" w14:textId="77777777" w:rsidR="00F11F77" w:rsidRPr="004272CD" w:rsidRDefault="00F11F77" w:rsidP="006B48C7">
            <w:pPr>
              <w:pStyle w:val="Tablewriting"/>
              <w:rPr>
                <w:rFonts w:eastAsia="MS Mincho" w:cstheme="minorBidi"/>
                <w:u w:val="single"/>
              </w:rPr>
            </w:pPr>
          </w:p>
          <w:p w14:paraId="64B1C73B" w14:textId="77777777" w:rsidR="00F11F77" w:rsidRPr="004272CD" w:rsidRDefault="00F11F77" w:rsidP="006B48C7">
            <w:pPr>
              <w:pStyle w:val="Tablewriting"/>
              <w:rPr>
                <w:rFonts w:eastAsia="MS Mincho" w:cstheme="minorBidi"/>
                <w:u w:val="single"/>
              </w:rPr>
            </w:pPr>
            <w:r w:rsidRPr="00B6596E">
              <w:rPr>
                <w:rFonts w:eastAsia="MS Mincho" w:cstheme="minorBidi"/>
                <w:u w:val="single"/>
              </w:rPr>
              <w:t>Safety</w:t>
            </w:r>
            <w:r w:rsidRPr="79295F3C">
              <w:rPr>
                <w:rFonts w:eastAsia="MS Mincho" w:cstheme="minorBidi"/>
                <w:u w:val="single"/>
              </w:rPr>
              <w:t>:</w:t>
            </w:r>
            <w:r>
              <w:rPr>
                <w:rFonts w:eastAsia="MS Mincho" w:cstheme="minorBidi"/>
                <w:u w:val="single"/>
              </w:rPr>
              <w:t xml:space="preserve"> </w:t>
            </w:r>
            <w:r w:rsidRPr="00B6596E">
              <w:rPr>
                <w:rFonts w:eastAsia="MS Mincho" w:cstheme="minorBidi"/>
              </w:rPr>
              <w:t>Adverse events</w:t>
            </w:r>
            <w:r>
              <w:rPr>
                <w:rFonts w:eastAsia="MS Mincho" w:cstheme="minorBidi"/>
              </w:rPr>
              <w:t xml:space="preserve"> </w:t>
            </w:r>
            <w:r w:rsidRPr="00B6596E">
              <w:rPr>
                <w:rFonts w:eastAsia="MS Mincho" w:cstheme="minorBidi"/>
              </w:rPr>
              <w:t>not measured</w:t>
            </w:r>
            <w:r>
              <w:rPr>
                <w:rFonts w:eastAsia="MS Mincho" w:cstheme="minorBidi"/>
              </w:rPr>
              <w:t>.</w:t>
            </w:r>
          </w:p>
        </w:tc>
      </w:tr>
      <w:tr w:rsidR="00F11F77" w:rsidRPr="00017AE6" w14:paraId="0C3A12B4" w14:textId="77777777" w:rsidTr="00EA7016">
        <w:trPr>
          <w:trHeight w:val="99"/>
        </w:trPr>
        <w:tc>
          <w:tcPr>
            <w:tcW w:w="539" w:type="pct"/>
          </w:tcPr>
          <w:p w14:paraId="73939187" w14:textId="77777777" w:rsidR="00F11F77" w:rsidRPr="00017AE6" w:rsidRDefault="00F11F77" w:rsidP="006B48C7">
            <w:pPr>
              <w:pStyle w:val="Tablewriting"/>
              <w:rPr>
                <w:rFonts w:eastAsia="MS Mincho" w:cstheme="minorHAnsi"/>
              </w:rPr>
            </w:pPr>
            <w:r w:rsidRPr="005D168C">
              <w:rPr>
                <w:rFonts w:eastAsia="MS Mincho"/>
              </w:rPr>
              <w:t xml:space="preserve">Killen </w:t>
            </w:r>
            <w:r>
              <w:rPr>
                <w:rFonts w:eastAsia="MS Mincho"/>
              </w:rPr>
              <w:t>(</w:t>
            </w:r>
            <w:r w:rsidRPr="005D168C">
              <w:rPr>
                <w:rFonts w:eastAsia="MS Mincho"/>
              </w:rPr>
              <w:t>1990</w:t>
            </w:r>
            <w:r>
              <w:rPr>
                <w:rFonts w:eastAsia="MS Mincho"/>
              </w:rPr>
              <w:t>)</w:t>
            </w:r>
          </w:p>
        </w:tc>
        <w:tc>
          <w:tcPr>
            <w:tcW w:w="247" w:type="pct"/>
          </w:tcPr>
          <w:p w14:paraId="7F42E9BE"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450E080C"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46578F19" w14:textId="77777777" w:rsidR="00F11F77" w:rsidRPr="00017AE6" w:rsidRDefault="00F11F77" w:rsidP="006B48C7">
            <w:pPr>
              <w:pStyle w:val="Tablewriting"/>
              <w:rPr>
                <w:rFonts w:eastAsia="MS Mincho" w:cstheme="minorHAnsi"/>
              </w:rPr>
            </w:pPr>
            <w:r>
              <w:rPr>
                <w:rFonts w:eastAsia="MS Mincho" w:cstheme="minorHAnsi"/>
              </w:rPr>
              <w:t>N=</w:t>
            </w:r>
            <w:r w:rsidRPr="00A76883">
              <w:rPr>
                <w:rFonts w:eastAsia="MS Mincho" w:cstheme="minorHAnsi"/>
              </w:rPr>
              <w:t>1218</w:t>
            </w:r>
          </w:p>
        </w:tc>
        <w:tc>
          <w:tcPr>
            <w:tcW w:w="1166" w:type="pct"/>
          </w:tcPr>
          <w:p w14:paraId="28198AA6" w14:textId="77777777" w:rsidR="00F11F77" w:rsidRPr="00017AE6" w:rsidRDefault="00F11F77" w:rsidP="006B48C7">
            <w:pPr>
              <w:pStyle w:val="Tablewriting"/>
              <w:rPr>
                <w:rFonts w:eastAsia="MS Mincho" w:cstheme="minorHAnsi"/>
              </w:rPr>
            </w:pPr>
            <w:r>
              <w:rPr>
                <w:rFonts w:eastAsia="MS Mincho" w:cstheme="minorHAnsi"/>
              </w:rPr>
              <w:t>A</w:t>
            </w:r>
            <w:r w:rsidRPr="00A76883">
              <w:rPr>
                <w:rFonts w:eastAsia="MS Mincho" w:cstheme="minorHAnsi"/>
              </w:rPr>
              <w:t>dult smokers</w:t>
            </w:r>
            <w:r>
              <w:rPr>
                <w:rFonts w:eastAsia="MS Mincho" w:cstheme="minorHAnsi"/>
              </w:rPr>
              <w:t xml:space="preserve">, </w:t>
            </w:r>
            <w:r w:rsidRPr="00A76883">
              <w:rPr>
                <w:rFonts w:eastAsia="MS Mincho" w:cstheme="minorHAnsi"/>
              </w:rPr>
              <w:t xml:space="preserve">48% men, av. age 43, </w:t>
            </w:r>
            <w:r>
              <w:rPr>
                <w:rFonts w:eastAsia="MS Mincho" w:cstheme="minorHAnsi"/>
              </w:rPr>
              <w:t>average CPD</w:t>
            </w:r>
            <w:r w:rsidRPr="00A76883">
              <w:rPr>
                <w:rFonts w:eastAsia="MS Mincho" w:cstheme="minorHAnsi"/>
              </w:rPr>
              <w:t xml:space="preserve"> 25</w:t>
            </w:r>
            <w:r>
              <w:rPr>
                <w:rFonts w:eastAsia="MS Mincho" w:cstheme="minorHAnsi"/>
              </w:rPr>
              <w:t>.</w:t>
            </w:r>
          </w:p>
        </w:tc>
        <w:tc>
          <w:tcPr>
            <w:tcW w:w="1286" w:type="pct"/>
          </w:tcPr>
          <w:p w14:paraId="76E8D09A" w14:textId="77777777"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Nicotine gum (2 mg, 8 w</w:t>
            </w:r>
            <w:r>
              <w:rPr>
                <w:rFonts w:eastAsia="MS Mincho"/>
                <w:lang w:eastAsia="en-US"/>
              </w:rPr>
              <w:t>ee</w:t>
            </w:r>
            <w:r w:rsidRPr="00A76883">
              <w:rPr>
                <w:rFonts w:eastAsia="MS Mincho"/>
                <w:lang w:eastAsia="en-US"/>
              </w:rPr>
              <w:t>ks) ad lib dosing</w:t>
            </w:r>
          </w:p>
          <w:p w14:paraId="5C979D07" w14:textId="77777777"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Nicotine gum on a fixed dose</w:t>
            </w:r>
          </w:p>
          <w:p w14:paraId="3F7003C3" w14:textId="77777777"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Placebo gum</w:t>
            </w:r>
          </w:p>
          <w:p w14:paraId="474D3119" w14:textId="77777777" w:rsidR="00F11F77" w:rsidRPr="00A76883" w:rsidRDefault="00F11F77" w:rsidP="00C324F3">
            <w:pPr>
              <w:pStyle w:val="ListParagraph"/>
              <w:numPr>
                <w:ilvl w:val="0"/>
                <w:numId w:val="207"/>
              </w:numPr>
              <w:rPr>
                <w:rFonts w:eastAsia="MS Mincho"/>
                <w:lang w:eastAsia="en-US"/>
              </w:rPr>
            </w:pPr>
            <w:r w:rsidRPr="00A76883">
              <w:rPr>
                <w:rFonts w:eastAsia="MS Mincho"/>
                <w:lang w:eastAsia="en-US"/>
              </w:rPr>
              <w:t>No gum</w:t>
            </w:r>
          </w:p>
        </w:tc>
        <w:tc>
          <w:tcPr>
            <w:tcW w:w="998" w:type="pct"/>
          </w:tcPr>
          <w:p w14:paraId="77615D14" w14:textId="77777777" w:rsidR="00F11F77" w:rsidRPr="00680284" w:rsidRDefault="00F11F77" w:rsidP="006B48C7">
            <w:pPr>
              <w:pStyle w:val="Tablewriting"/>
              <w:rPr>
                <w:rFonts w:eastAsia="MS Mincho" w:cstheme="minorBidi"/>
              </w:rPr>
            </w:pPr>
            <w:r w:rsidRPr="00680284">
              <w:rPr>
                <w:rFonts w:eastAsia="MS Mincho" w:cstheme="minorBidi"/>
                <w:u w:val="single"/>
              </w:rPr>
              <w:t xml:space="preserve">Efficacy: </w:t>
            </w:r>
            <w:r w:rsidRPr="00680284">
              <w:rPr>
                <w:rFonts w:eastAsia="MS Mincho" w:cstheme="minorBidi"/>
              </w:rPr>
              <w:t>PPA at 12 months (7-day PPA)</w:t>
            </w:r>
          </w:p>
          <w:p w14:paraId="6D3CAFAA" w14:textId="77777777" w:rsidR="00F11F77" w:rsidRPr="00680284" w:rsidRDefault="00F11F77" w:rsidP="006B48C7">
            <w:pPr>
              <w:pStyle w:val="Tablewriting"/>
              <w:rPr>
                <w:rFonts w:eastAsia="MS Mincho" w:cstheme="minorBidi"/>
              </w:rPr>
            </w:pPr>
            <w:r w:rsidRPr="00680284">
              <w:rPr>
                <w:rFonts w:eastAsia="MS Mincho" w:cstheme="minorBidi"/>
              </w:rPr>
              <w:t>Validation: cotinine, except participants who moved away</w:t>
            </w:r>
          </w:p>
          <w:p w14:paraId="4C2C0012" w14:textId="77777777" w:rsidR="00F11F77" w:rsidRPr="004272CD" w:rsidRDefault="00F11F77" w:rsidP="006B48C7">
            <w:pPr>
              <w:pStyle w:val="Tablewriting"/>
              <w:rPr>
                <w:rFonts w:eastAsia="MS Mincho" w:cstheme="minorBidi"/>
                <w:u w:val="single"/>
              </w:rPr>
            </w:pPr>
          </w:p>
          <w:p w14:paraId="4F0BA15B" w14:textId="77777777" w:rsidR="00F11F77" w:rsidRPr="0139F213" w:rsidRDefault="00F11F77" w:rsidP="006B48C7">
            <w:pPr>
              <w:pStyle w:val="Tablewriting"/>
              <w:rPr>
                <w:rFonts w:eastAsia="MS Mincho" w:cstheme="minorBidi"/>
              </w:rPr>
            </w:pPr>
            <w:r w:rsidRPr="00680284">
              <w:rPr>
                <w:rFonts w:eastAsia="MS Mincho" w:cstheme="minorBidi"/>
                <w:u w:val="single"/>
              </w:rPr>
              <w:lastRenderedPageBreak/>
              <w:t>Safety</w:t>
            </w:r>
            <w:r w:rsidRPr="79295F3C">
              <w:rPr>
                <w:rFonts w:eastAsia="MS Mincho" w:cstheme="minorBidi"/>
                <w:u w:val="single"/>
              </w:rPr>
              <w:t>:</w:t>
            </w:r>
            <w:r>
              <w:rPr>
                <w:rFonts w:eastAsia="MS Mincho" w:cstheme="minorBidi"/>
                <w:u w:val="single"/>
              </w:rPr>
              <w:t xml:space="preserve"> </w:t>
            </w:r>
            <w:r w:rsidRPr="00680284">
              <w:rPr>
                <w:rFonts w:eastAsia="MS Mincho" w:cstheme="minorBidi"/>
              </w:rPr>
              <w:t>Adverse events measured weekly for 8 weeks (during treatment)</w:t>
            </w:r>
            <w:r>
              <w:rPr>
                <w:rFonts w:eastAsia="MS Mincho" w:cstheme="minorBidi"/>
              </w:rPr>
              <w:t>.</w:t>
            </w:r>
          </w:p>
        </w:tc>
      </w:tr>
      <w:tr w:rsidR="00F11F77" w:rsidRPr="00017AE6" w14:paraId="1C78E3CF" w14:textId="77777777" w:rsidTr="00EA7016">
        <w:trPr>
          <w:trHeight w:val="99"/>
        </w:trPr>
        <w:tc>
          <w:tcPr>
            <w:tcW w:w="539" w:type="pct"/>
          </w:tcPr>
          <w:p w14:paraId="2AEC336C" w14:textId="77777777" w:rsidR="00F11F77" w:rsidRPr="00017AE6" w:rsidRDefault="00F11F77" w:rsidP="006B48C7">
            <w:pPr>
              <w:pStyle w:val="Tablewriting"/>
              <w:rPr>
                <w:rFonts w:eastAsia="MS Mincho" w:cstheme="minorHAnsi"/>
              </w:rPr>
            </w:pPr>
            <w:r w:rsidRPr="00FA2C37">
              <w:rPr>
                <w:rFonts w:eastAsia="MS Mincho"/>
              </w:rPr>
              <w:lastRenderedPageBreak/>
              <w:t xml:space="preserve">Rey </w:t>
            </w:r>
            <w:r>
              <w:rPr>
                <w:rFonts w:eastAsia="MS Mincho"/>
              </w:rPr>
              <w:t>(</w:t>
            </w:r>
            <w:r w:rsidRPr="00FA2C37">
              <w:rPr>
                <w:rFonts w:eastAsia="MS Mincho"/>
              </w:rPr>
              <w:t>2009</w:t>
            </w:r>
            <w:r>
              <w:rPr>
                <w:rFonts w:eastAsia="MS Mincho"/>
              </w:rPr>
              <w:t>)</w:t>
            </w:r>
          </w:p>
        </w:tc>
        <w:tc>
          <w:tcPr>
            <w:tcW w:w="247" w:type="pct"/>
          </w:tcPr>
          <w:p w14:paraId="427D7A45"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62C88035" w14:textId="77777777" w:rsidR="00F11F77" w:rsidRPr="00017AE6" w:rsidRDefault="00F11F77" w:rsidP="006B48C7">
            <w:pPr>
              <w:pStyle w:val="Tablewriting"/>
              <w:rPr>
                <w:rFonts w:eastAsia="MS Mincho" w:cstheme="minorHAnsi"/>
              </w:rPr>
            </w:pPr>
            <w:r>
              <w:rPr>
                <w:rFonts w:eastAsia="MS Mincho" w:cstheme="minorHAnsi"/>
              </w:rPr>
              <w:t>Switzerland</w:t>
            </w:r>
          </w:p>
        </w:tc>
        <w:tc>
          <w:tcPr>
            <w:tcW w:w="346" w:type="pct"/>
          </w:tcPr>
          <w:p w14:paraId="40EB549C" w14:textId="77777777" w:rsidR="00F11F77" w:rsidRPr="00017AE6" w:rsidRDefault="00F11F77" w:rsidP="006B48C7">
            <w:pPr>
              <w:pStyle w:val="Tablewriting"/>
              <w:rPr>
                <w:rFonts w:eastAsia="MS Mincho" w:cstheme="minorHAnsi"/>
              </w:rPr>
            </w:pPr>
            <w:r>
              <w:rPr>
                <w:rFonts w:eastAsia="MS Mincho" w:cstheme="minorHAnsi"/>
              </w:rPr>
              <w:t>N=50</w:t>
            </w:r>
          </w:p>
        </w:tc>
        <w:tc>
          <w:tcPr>
            <w:tcW w:w="1166" w:type="pct"/>
          </w:tcPr>
          <w:p w14:paraId="1F19B8F8" w14:textId="77777777" w:rsidR="00F11F77" w:rsidRPr="00BB404A" w:rsidRDefault="00F11F77" w:rsidP="006B48C7">
            <w:pPr>
              <w:pStyle w:val="Tablewriting"/>
              <w:rPr>
                <w:rFonts w:eastAsia="MS Mincho" w:cstheme="minorHAnsi"/>
              </w:rPr>
            </w:pPr>
            <w:r>
              <w:rPr>
                <w:rFonts w:eastAsia="MS Mincho" w:cstheme="minorHAnsi"/>
              </w:rPr>
              <w:t>S</w:t>
            </w:r>
            <w:r w:rsidRPr="00BB404A">
              <w:rPr>
                <w:rFonts w:eastAsia="MS Mincho" w:cstheme="minorHAnsi"/>
              </w:rPr>
              <w:t xml:space="preserve">mokers: highly dependent on smoking, defined as smoking </w:t>
            </w:r>
            <w:r w:rsidRPr="00E632A9">
              <w:rPr>
                <w:rFonts w:eastAsia="MS Mincho" w:cstheme="minorHAnsi"/>
              </w:rPr>
              <w:t>≥</w:t>
            </w:r>
            <w:r w:rsidRPr="00BB404A">
              <w:rPr>
                <w:rFonts w:eastAsia="MS Mincho" w:cstheme="minorHAnsi"/>
              </w:rPr>
              <w:t xml:space="preserve">20 </w:t>
            </w:r>
            <w:r>
              <w:rPr>
                <w:rFonts w:eastAsia="MS Mincho" w:cstheme="minorHAnsi"/>
              </w:rPr>
              <w:t>CPD</w:t>
            </w:r>
            <w:r w:rsidRPr="00BB404A">
              <w:rPr>
                <w:rFonts w:eastAsia="MS Mincho" w:cstheme="minorHAnsi"/>
              </w:rPr>
              <w:t xml:space="preserve"> and/or within 30 mins of waking</w:t>
            </w:r>
          </w:p>
          <w:p w14:paraId="38D9C2D5" w14:textId="77777777" w:rsidR="00F11F77" w:rsidRPr="00017AE6" w:rsidRDefault="00F11F77" w:rsidP="006B48C7">
            <w:pPr>
              <w:pStyle w:val="Tablewriting"/>
              <w:rPr>
                <w:rFonts w:eastAsia="MS Mincho" w:cstheme="minorHAnsi"/>
              </w:rPr>
            </w:pPr>
            <w:r w:rsidRPr="00BB404A">
              <w:rPr>
                <w:rFonts w:eastAsia="MS Mincho" w:cstheme="minorHAnsi"/>
              </w:rPr>
              <w:t>72% men; av</w:t>
            </w:r>
            <w:r>
              <w:rPr>
                <w:rFonts w:eastAsia="MS Mincho" w:cstheme="minorHAnsi"/>
              </w:rPr>
              <w:t>erage</w:t>
            </w:r>
            <w:r w:rsidRPr="00BB404A">
              <w:rPr>
                <w:rFonts w:eastAsia="MS Mincho" w:cstheme="minorHAnsi"/>
              </w:rPr>
              <w:t xml:space="preserve"> age 40.5 y</w:t>
            </w:r>
            <w:r>
              <w:rPr>
                <w:rFonts w:eastAsia="MS Mincho" w:cstheme="minorHAnsi"/>
              </w:rPr>
              <w:t>ea</w:t>
            </w:r>
            <w:r w:rsidRPr="00BB404A">
              <w:rPr>
                <w:rFonts w:eastAsia="MS Mincho" w:cstheme="minorHAnsi"/>
              </w:rPr>
              <w:t>rs; av</w:t>
            </w:r>
            <w:r>
              <w:rPr>
                <w:rFonts w:eastAsia="MS Mincho" w:cstheme="minorHAnsi"/>
              </w:rPr>
              <w:t>erage</w:t>
            </w:r>
            <w:r w:rsidRPr="00BB404A">
              <w:rPr>
                <w:rFonts w:eastAsia="MS Mincho" w:cstheme="minorHAnsi"/>
              </w:rPr>
              <w:t xml:space="preserve"> </w:t>
            </w:r>
            <w:r>
              <w:rPr>
                <w:rFonts w:eastAsia="MS Mincho" w:cstheme="minorHAnsi"/>
              </w:rPr>
              <w:t xml:space="preserve">CPD </w:t>
            </w:r>
            <w:r w:rsidRPr="00BB404A">
              <w:rPr>
                <w:rFonts w:eastAsia="MS Mincho" w:cstheme="minorHAnsi"/>
              </w:rPr>
              <w:t>29.9; av</w:t>
            </w:r>
            <w:r>
              <w:rPr>
                <w:rFonts w:eastAsia="MS Mincho" w:cstheme="minorHAnsi"/>
              </w:rPr>
              <w:t>erage</w:t>
            </w:r>
            <w:r w:rsidRPr="00BB404A">
              <w:rPr>
                <w:rFonts w:eastAsia="MS Mincho" w:cstheme="minorHAnsi"/>
              </w:rPr>
              <w:t xml:space="preserve"> exhaled CO 41.5 ppm; av</w:t>
            </w:r>
            <w:r>
              <w:rPr>
                <w:rFonts w:eastAsia="MS Mincho" w:cstheme="minorHAnsi"/>
              </w:rPr>
              <w:t>erage</w:t>
            </w:r>
            <w:r w:rsidRPr="00BB404A">
              <w:rPr>
                <w:rFonts w:eastAsia="MS Mincho" w:cstheme="minorHAnsi"/>
              </w:rPr>
              <w:t xml:space="preserve"> years of consumption 20.5 y</w:t>
            </w:r>
            <w:r>
              <w:rPr>
                <w:rFonts w:eastAsia="MS Mincho" w:cstheme="minorHAnsi"/>
              </w:rPr>
              <w:t>ea</w:t>
            </w:r>
            <w:r w:rsidRPr="00BB404A">
              <w:rPr>
                <w:rFonts w:eastAsia="MS Mincho" w:cstheme="minorHAnsi"/>
              </w:rPr>
              <w:t>rs;</w:t>
            </w:r>
            <w:r>
              <w:rPr>
                <w:rFonts w:eastAsia="MS Mincho" w:cstheme="minorHAnsi"/>
              </w:rPr>
              <w:t xml:space="preserve"> </w:t>
            </w:r>
            <w:r w:rsidRPr="00BB404A">
              <w:rPr>
                <w:rFonts w:eastAsia="MS Mincho" w:cstheme="minorHAnsi"/>
              </w:rPr>
              <w:t>av</w:t>
            </w:r>
            <w:r>
              <w:rPr>
                <w:rFonts w:eastAsia="MS Mincho" w:cstheme="minorHAnsi"/>
              </w:rPr>
              <w:t>erage</w:t>
            </w:r>
            <w:r w:rsidRPr="00BB404A">
              <w:rPr>
                <w:rFonts w:eastAsia="MS Mincho" w:cstheme="minorHAnsi"/>
              </w:rPr>
              <w:t xml:space="preserve"> previous quit attempts</w:t>
            </w:r>
            <w:r>
              <w:rPr>
                <w:rFonts w:eastAsia="MS Mincho" w:cstheme="minorHAnsi"/>
              </w:rPr>
              <w:t xml:space="preserve"> </w:t>
            </w:r>
            <w:r w:rsidRPr="00BB404A">
              <w:rPr>
                <w:rFonts w:eastAsia="MS Mincho" w:cstheme="minorHAnsi"/>
              </w:rPr>
              <w:t>2.7</w:t>
            </w:r>
            <w:r>
              <w:rPr>
                <w:rFonts w:eastAsia="MS Mincho" w:cstheme="minorHAnsi"/>
              </w:rPr>
              <w:t>.</w:t>
            </w:r>
          </w:p>
        </w:tc>
        <w:tc>
          <w:tcPr>
            <w:tcW w:w="1286" w:type="pct"/>
          </w:tcPr>
          <w:p w14:paraId="15143CD3" w14:textId="77777777" w:rsidR="00F11F77" w:rsidRPr="00BB404A" w:rsidRDefault="00F11F77" w:rsidP="00C324F3">
            <w:pPr>
              <w:pStyle w:val="ListParagraph"/>
              <w:numPr>
                <w:ilvl w:val="0"/>
                <w:numId w:val="208"/>
              </w:numPr>
              <w:rPr>
                <w:rFonts w:eastAsia="MS Mincho"/>
                <w:lang w:eastAsia="en-US"/>
              </w:rPr>
            </w:pPr>
            <w:r w:rsidRPr="00BB404A">
              <w:rPr>
                <w:rFonts w:eastAsia="MS Mincho"/>
                <w:lang w:eastAsia="en-US"/>
              </w:rPr>
              <w:t>Nicotine nasal spray - advice to use spray when a craving appeared, but to also ensure using 2 pu</w:t>
            </w:r>
            <w:r>
              <w:rPr>
                <w:rFonts w:eastAsia="MS Mincho"/>
                <w:lang w:eastAsia="en-US"/>
              </w:rPr>
              <w:t xml:space="preserve">ffs </w:t>
            </w:r>
            <w:r w:rsidRPr="00BB404A">
              <w:rPr>
                <w:rFonts w:eastAsia="MS Mincho"/>
                <w:lang w:eastAsia="en-US"/>
              </w:rPr>
              <w:t>an hour</w:t>
            </w:r>
          </w:p>
          <w:p w14:paraId="446E1D27" w14:textId="77777777" w:rsidR="00F11F77" w:rsidRDefault="00F11F77" w:rsidP="00C324F3">
            <w:pPr>
              <w:pStyle w:val="ListParagraph"/>
              <w:numPr>
                <w:ilvl w:val="0"/>
                <w:numId w:val="208"/>
              </w:numPr>
              <w:rPr>
                <w:rFonts w:eastAsia="MS Mincho"/>
                <w:lang w:eastAsia="en-US"/>
              </w:rPr>
            </w:pPr>
            <w:r w:rsidRPr="00BB404A">
              <w:rPr>
                <w:rFonts w:eastAsia="MS Mincho"/>
                <w:lang w:eastAsia="en-US"/>
              </w:rPr>
              <w:t>Nicotine nasal spray - advice to use spray when craving appeared only</w:t>
            </w:r>
          </w:p>
          <w:p w14:paraId="4F614B57" w14:textId="77777777" w:rsidR="00F11F77" w:rsidRDefault="00F11F77" w:rsidP="006B48C7">
            <w:pPr>
              <w:rPr>
                <w:rFonts w:eastAsia="MS Mincho"/>
                <w:lang w:eastAsia="en-US"/>
              </w:rPr>
            </w:pPr>
          </w:p>
          <w:p w14:paraId="62943134" w14:textId="77777777" w:rsidR="00F11F77" w:rsidRPr="00BB404A" w:rsidRDefault="00F11F77" w:rsidP="006B48C7">
            <w:pPr>
              <w:rPr>
                <w:rFonts w:eastAsia="MS Mincho"/>
                <w:lang w:eastAsia="en-US"/>
              </w:rPr>
            </w:pPr>
            <w:r w:rsidRPr="00BB404A">
              <w:rPr>
                <w:rFonts w:eastAsia="MS Mincho"/>
                <w:lang w:eastAsia="en-US"/>
              </w:rPr>
              <w:t>Both groups advised to use spray for 2 months from quit date and reduce use in the second month if</w:t>
            </w:r>
            <w:r>
              <w:rPr>
                <w:rFonts w:eastAsia="MS Mincho"/>
                <w:lang w:eastAsia="en-US"/>
              </w:rPr>
              <w:t xml:space="preserve"> </w:t>
            </w:r>
            <w:r w:rsidRPr="00BB404A">
              <w:rPr>
                <w:rFonts w:eastAsia="MS Mincho"/>
                <w:lang w:eastAsia="en-US"/>
              </w:rPr>
              <w:t>tolerable</w:t>
            </w:r>
            <w:r>
              <w:rPr>
                <w:rFonts w:eastAsia="MS Mincho"/>
                <w:lang w:eastAsia="en-US"/>
              </w:rPr>
              <w:t xml:space="preserve">. </w:t>
            </w:r>
          </w:p>
        </w:tc>
        <w:tc>
          <w:tcPr>
            <w:tcW w:w="998" w:type="pct"/>
          </w:tcPr>
          <w:p w14:paraId="6A30879B" w14:textId="77777777" w:rsidR="00F11F77" w:rsidRPr="00BB404A" w:rsidRDefault="00F11F77" w:rsidP="006B48C7">
            <w:pPr>
              <w:pStyle w:val="Tablewriting"/>
              <w:rPr>
                <w:rFonts w:eastAsia="MS Mincho" w:cstheme="minorBidi"/>
              </w:rPr>
            </w:pPr>
            <w:r w:rsidRPr="00BB404A">
              <w:rPr>
                <w:rFonts w:eastAsia="MS Mincho" w:cstheme="minorBidi"/>
                <w:u w:val="single"/>
              </w:rPr>
              <w:t xml:space="preserve">Efficacy: </w:t>
            </w:r>
            <w:r w:rsidRPr="00BB404A">
              <w:rPr>
                <w:rFonts w:eastAsia="MS Mincho" w:cstheme="minorBidi"/>
              </w:rPr>
              <w:t>Continuous smoking abstinence at 6 m</w:t>
            </w:r>
            <w:r>
              <w:rPr>
                <w:rFonts w:eastAsia="MS Mincho" w:cstheme="minorBidi"/>
              </w:rPr>
              <w:t>onths</w:t>
            </w:r>
            <w:r w:rsidRPr="00BB404A">
              <w:rPr>
                <w:rFonts w:eastAsia="MS Mincho" w:cstheme="minorBidi"/>
              </w:rPr>
              <w:t xml:space="preserve"> follow-up (defined as from the beginning of nasal spray use to</w:t>
            </w:r>
          </w:p>
          <w:p w14:paraId="62CF3ED7" w14:textId="77777777" w:rsidR="00F11F77" w:rsidRPr="00BB404A" w:rsidRDefault="00F11F77" w:rsidP="006B48C7">
            <w:pPr>
              <w:pStyle w:val="Tablewriting"/>
              <w:rPr>
                <w:rFonts w:eastAsia="MS Mincho" w:cstheme="minorBidi"/>
              </w:rPr>
            </w:pPr>
            <w:r w:rsidRPr="00BB404A">
              <w:rPr>
                <w:rFonts w:eastAsia="MS Mincho" w:cstheme="minorBidi"/>
              </w:rPr>
              <w:t xml:space="preserve">the end of the 6th month, occasional slips &lt; 1 </w:t>
            </w:r>
            <w:r>
              <w:rPr>
                <w:rFonts w:eastAsia="MS Mincho" w:cstheme="minorBidi"/>
              </w:rPr>
              <w:t>CPD</w:t>
            </w:r>
            <w:r w:rsidRPr="00BB404A">
              <w:rPr>
                <w:rFonts w:eastAsia="MS Mincho" w:cstheme="minorBidi"/>
              </w:rPr>
              <w:t xml:space="preserve"> tolerated)</w:t>
            </w:r>
          </w:p>
          <w:p w14:paraId="43AAAFC6" w14:textId="77777777" w:rsidR="00F11F77" w:rsidRPr="00BB404A" w:rsidRDefault="00F11F77" w:rsidP="006B48C7">
            <w:pPr>
              <w:pStyle w:val="Tablewriting"/>
              <w:rPr>
                <w:rFonts w:eastAsia="MS Mincho" w:cstheme="minorBidi"/>
              </w:rPr>
            </w:pPr>
            <w:r w:rsidRPr="00BB404A">
              <w:rPr>
                <w:rFonts w:eastAsia="MS Mincho" w:cstheme="minorBidi"/>
              </w:rPr>
              <w:t>Val</w:t>
            </w:r>
            <w:r>
              <w:rPr>
                <w:rFonts w:eastAsia="MS Mincho" w:cstheme="minorBidi"/>
              </w:rPr>
              <w:t>i</w:t>
            </w:r>
            <w:r w:rsidRPr="00BB404A">
              <w:rPr>
                <w:rFonts w:eastAsia="MS Mincho" w:cstheme="minorBidi"/>
              </w:rPr>
              <w:t xml:space="preserve">dation: CO </w:t>
            </w:r>
            <w:r w:rsidRPr="00902273">
              <w:rPr>
                <w:rFonts w:eastAsia="MS Mincho" w:cstheme="minorBidi"/>
              </w:rPr>
              <w:t>≤</w:t>
            </w:r>
            <w:r w:rsidRPr="00BB404A">
              <w:rPr>
                <w:rFonts w:eastAsia="MS Mincho" w:cstheme="minorBidi"/>
              </w:rPr>
              <w:t xml:space="preserve"> 10 ppm</w:t>
            </w:r>
          </w:p>
          <w:p w14:paraId="06260777" w14:textId="77777777" w:rsidR="00F11F77" w:rsidRPr="00BB404A" w:rsidRDefault="00F11F77" w:rsidP="006B48C7">
            <w:pPr>
              <w:pStyle w:val="Tablewriting"/>
              <w:rPr>
                <w:rFonts w:eastAsia="MS Mincho" w:cstheme="minorBidi"/>
                <w:u w:val="single"/>
              </w:rPr>
            </w:pPr>
          </w:p>
          <w:p w14:paraId="7BF90D1C" w14:textId="77777777" w:rsidR="00F11F77" w:rsidRPr="0139F213" w:rsidRDefault="00F11F77" w:rsidP="006B48C7">
            <w:pPr>
              <w:pStyle w:val="Tablewriting"/>
              <w:rPr>
                <w:rFonts w:eastAsia="MS Mincho" w:cstheme="minorBidi"/>
              </w:rPr>
            </w:pPr>
            <w:r w:rsidRPr="00BB404A">
              <w:rPr>
                <w:rFonts w:eastAsia="MS Mincho" w:cstheme="minorBidi"/>
                <w:u w:val="single"/>
              </w:rPr>
              <w:t>Safety:</w:t>
            </w:r>
            <w:r>
              <w:rPr>
                <w:rFonts w:eastAsia="MS Mincho" w:cstheme="minorBidi"/>
                <w:u w:val="single"/>
              </w:rPr>
              <w:t xml:space="preserve"> </w:t>
            </w:r>
            <w:r w:rsidRPr="00BB404A">
              <w:rPr>
                <w:rFonts w:eastAsia="MS Mincho" w:cstheme="minorBidi"/>
              </w:rPr>
              <w:t>Adverse events</w:t>
            </w:r>
            <w:r>
              <w:rPr>
                <w:rFonts w:eastAsia="MS Mincho" w:cstheme="minorBidi"/>
              </w:rPr>
              <w:t xml:space="preserve"> </w:t>
            </w:r>
            <w:r w:rsidRPr="00BB404A">
              <w:rPr>
                <w:rFonts w:eastAsia="MS Mincho" w:cstheme="minorBidi"/>
              </w:rPr>
              <w:t>not measured</w:t>
            </w:r>
            <w:r>
              <w:rPr>
                <w:rFonts w:eastAsia="MS Mincho" w:cstheme="minorBidi"/>
              </w:rPr>
              <w:t>.</w:t>
            </w:r>
          </w:p>
        </w:tc>
      </w:tr>
      <w:tr w:rsidR="00F11F77" w:rsidRPr="00017AE6" w14:paraId="3D66E827" w14:textId="77777777" w:rsidTr="00EA7016">
        <w:trPr>
          <w:trHeight w:val="99"/>
        </w:trPr>
        <w:tc>
          <w:tcPr>
            <w:tcW w:w="539" w:type="pct"/>
          </w:tcPr>
          <w:p w14:paraId="64C840C2" w14:textId="77777777" w:rsidR="00F11F77" w:rsidRPr="00017AE6" w:rsidRDefault="00F11F77" w:rsidP="006B48C7">
            <w:pPr>
              <w:pStyle w:val="Tablewriting"/>
              <w:rPr>
                <w:rFonts w:eastAsia="MS Mincho" w:cstheme="minorHAnsi"/>
              </w:rPr>
            </w:pPr>
            <w:r w:rsidRPr="00FA2C37">
              <w:rPr>
                <w:rFonts w:eastAsia="MS Mincho"/>
              </w:rPr>
              <w:t xml:space="preserve">Tønnesen </w:t>
            </w:r>
            <w:r>
              <w:rPr>
                <w:rFonts w:eastAsia="MS Mincho"/>
              </w:rPr>
              <w:t>(</w:t>
            </w:r>
            <w:r w:rsidRPr="00FA2C37">
              <w:rPr>
                <w:rFonts w:eastAsia="MS Mincho"/>
              </w:rPr>
              <w:t>1996</w:t>
            </w:r>
            <w:r>
              <w:rPr>
                <w:rFonts w:eastAsia="MS Mincho"/>
              </w:rPr>
              <w:t>)</w:t>
            </w:r>
          </w:p>
        </w:tc>
        <w:tc>
          <w:tcPr>
            <w:tcW w:w="247" w:type="pct"/>
          </w:tcPr>
          <w:p w14:paraId="71693408"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6BFE03C6" w14:textId="77777777" w:rsidR="00F11F77" w:rsidRPr="00017AE6" w:rsidRDefault="00F11F77" w:rsidP="006B48C7">
            <w:pPr>
              <w:pStyle w:val="Tablewriting"/>
              <w:rPr>
                <w:rFonts w:eastAsia="MS Mincho" w:cstheme="minorHAnsi"/>
              </w:rPr>
            </w:pPr>
            <w:r>
              <w:rPr>
                <w:rFonts w:eastAsia="MS Mincho" w:cstheme="minorHAnsi"/>
              </w:rPr>
              <w:t>Denmark</w:t>
            </w:r>
          </w:p>
        </w:tc>
        <w:tc>
          <w:tcPr>
            <w:tcW w:w="346" w:type="pct"/>
          </w:tcPr>
          <w:p w14:paraId="0AE3C04A" w14:textId="77777777" w:rsidR="00F11F77" w:rsidRPr="00017AE6" w:rsidRDefault="00F11F77" w:rsidP="006B48C7">
            <w:pPr>
              <w:pStyle w:val="Tablewriting"/>
              <w:rPr>
                <w:rFonts w:eastAsia="MS Mincho" w:cstheme="minorHAnsi"/>
              </w:rPr>
            </w:pPr>
            <w:r>
              <w:rPr>
                <w:rFonts w:eastAsia="MS Mincho" w:cstheme="minorHAnsi"/>
              </w:rPr>
              <w:t>N=89</w:t>
            </w:r>
          </w:p>
        </w:tc>
        <w:tc>
          <w:tcPr>
            <w:tcW w:w="1166" w:type="pct"/>
          </w:tcPr>
          <w:p w14:paraId="5E548603" w14:textId="61BCE362" w:rsidR="00F11F77" w:rsidRPr="00B47E86" w:rsidRDefault="00F11F77" w:rsidP="006B48C7">
            <w:pPr>
              <w:pStyle w:val="Tablewriting"/>
              <w:rPr>
                <w:rFonts w:eastAsia="MS Mincho" w:cstheme="minorHAnsi"/>
              </w:rPr>
            </w:pPr>
            <w:r>
              <w:rPr>
                <w:rFonts w:eastAsia="MS Mincho" w:cstheme="minorHAnsi"/>
              </w:rPr>
              <w:t>S</w:t>
            </w:r>
            <w:r w:rsidRPr="00B47E86">
              <w:rPr>
                <w:rFonts w:eastAsia="MS Mincho" w:cstheme="minorHAnsi"/>
              </w:rPr>
              <w:t xml:space="preserve">mokers: previous </w:t>
            </w:r>
            <w:r w:rsidR="000E1409">
              <w:rPr>
                <w:rFonts w:eastAsia="MS Mincho" w:cstheme="minorHAnsi"/>
              </w:rPr>
              <w:t>unsuccessful</w:t>
            </w:r>
            <w:r w:rsidRPr="00B47E86">
              <w:rPr>
                <w:rFonts w:eastAsia="MS Mincho" w:cstheme="minorHAnsi"/>
              </w:rPr>
              <w:t xml:space="preserve"> quit attempts; willing to quit completely</w:t>
            </w:r>
            <w:r>
              <w:rPr>
                <w:rFonts w:eastAsia="MS Mincho" w:cstheme="minorHAnsi"/>
              </w:rPr>
              <w:t>.</w:t>
            </w:r>
          </w:p>
          <w:p w14:paraId="6BA60498" w14:textId="77777777" w:rsidR="00F11F77" w:rsidRPr="00017AE6" w:rsidRDefault="00F11F77" w:rsidP="006B48C7">
            <w:pPr>
              <w:pStyle w:val="Tablewriting"/>
              <w:rPr>
                <w:rFonts w:eastAsia="MS Mincho" w:cstheme="minorHAnsi"/>
              </w:rPr>
            </w:pPr>
            <w:r w:rsidRPr="00B47E86">
              <w:rPr>
                <w:rFonts w:eastAsia="MS Mincho" w:cstheme="minorHAnsi"/>
              </w:rPr>
              <w:t>30.3% men; av</w:t>
            </w:r>
            <w:r>
              <w:rPr>
                <w:rFonts w:eastAsia="MS Mincho" w:cstheme="minorHAnsi"/>
              </w:rPr>
              <w:t>erage</w:t>
            </w:r>
            <w:r w:rsidRPr="00B47E86">
              <w:rPr>
                <w:rFonts w:eastAsia="MS Mincho" w:cstheme="minorHAnsi"/>
              </w:rPr>
              <w:t xml:space="preserve"> age: 49.5</w:t>
            </w:r>
            <w:r>
              <w:rPr>
                <w:rFonts w:eastAsia="MS Mincho" w:cstheme="minorHAnsi"/>
              </w:rPr>
              <w:t xml:space="preserve"> years</w:t>
            </w:r>
            <w:r w:rsidRPr="00B47E86">
              <w:rPr>
                <w:rFonts w:eastAsia="MS Mincho" w:cstheme="minorHAnsi"/>
              </w:rPr>
              <w:t>; av</w:t>
            </w:r>
            <w:r>
              <w:rPr>
                <w:rFonts w:eastAsia="MS Mincho" w:cstheme="minorHAnsi"/>
              </w:rPr>
              <w:t>erage CPD</w:t>
            </w:r>
            <w:r w:rsidRPr="00B47E86">
              <w:rPr>
                <w:rFonts w:eastAsia="MS Mincho" w:cstheme="minorHAnsi"/>
              </w:rPr>
              <w:t xml:space="preserve"> 22; av</w:t>
            </w:r>
            <w:r>
              <w:rPr>
                <w:rFonts w:eastAsia="MS Mincho" w:cstheme="minorHAnsi"/>
              </w:rPr>
              <w:t>erage</w:t>
            </w:r>
            <w:r w:rsidRPr="00B47E86">
              <w:rPr>
                <w:rFonts w:eastAsia="MS Mincho" w:cstheme="minorHAnsi"/>
              </w:rPr>
              <w:t xml:space="preserve"> FTND 6.1; salivary cotinine at baseline</w:t>
            </w:r>
            <w:r>
              <w:rPr>
                <w:rFonts w:eastAsia="MS Mincho" w:cstheme="minorHAnsi"/>
              </w:rPr>
              <w:t xml:space="preserve"> </w:t>
            </w:r>
            <w:r w:rsidRPr="00B47E86">
              <w:rPr>
                <w:rFonts w:eastAsia="MS Mincho" w:cstheme="minorHAnsi"/>
              </w:rPr>
              <w:t>463.5 ng/ml</w:t>
            </w:r>
            <w:r>
              <w:rPr>
                <w:rFonts w:eastAsia="MS Mincho" w:cstheme="minorHAnsi"/>
              </w:rPr>
              <w:t>.</w:t>
            </w:r>
          </w:p>
        </w:tc>
        <w:tc>
          <w:tcPr>
            <w:tcW w:w="1286" w:type="pct"/>
          </w:tcPr>
          <w:p w14:paraId="5B0B1D73" w14:textId="77777777" w:rsidR="00F11F77" w:rsidRPr="00B47E86" w:rsidRDefault="00F11F77" w:rsidP="00C324F3">
            <w:pPr>
              <w:pStyle w:val="ListParagraph"/>
              <w:numPr>
                <w:ilvl w:val="0"/>
                <w:numId w:val="209"/>
              </w:numPr>
              <w:rPr>
                <w:rFonts w:eastAsia="MS Mincho"/>
                <w:lang w:eastAsia="en-US"/>
              </w:rPr>
            </w:pPr>
            <w:r w:rsidRPr="00B47E86">
              <w:rPr>
                <w:rFonts w:eastAsia="MS Mincho"/>
                <w:lang w:eastAsia="en-US"/>
              </w:rPr>
              <w:t>Nicotine nasal spray: advice to use ad libitum (up to 10 pu</w:t>
            </w:r>
            <w:r>
              <w:rPr>
                <w:rFonts w:eastAsia="MS Mincho"/>
                <w:lang w:eastAsia="en-US"/>
              </w:rPr>
              <w:t>ff</w:t>
            </w:r>
            <w:r w:rsidRPr="00B47E86">
              <w:rPr>
                <w:rFonts w:eastAsia="MS Mincho"/>
                <w:lang w:eastAsia="en-US"/>
              </w:rPr>
              <w:t>s/hour and 80 pu</w:t>
            </w:r>
            <w:r>
              <w:rPr>
                <w:rFonts w:eastAsia="MS Mincho"/>
                <w:lang w:eastAsia="en-US"/>
              </w:rPr>
              <w:t>ff</w:t>
            </w:r>
            <w:r w:rsidRPr="00B47E86">
              <w:rPr>
                <w:rFonts w:eastAsia="MS Mincho"/>
                <w:lang w:eastAsia="en-US"/>
              </w:rPr>
              <w:t>s/day)</w:t>
            </w:r>
          </w:p>
          <w:p w14:paraId="5475A3B6" w14:textId="77777777" w:rsidR="00F11F77" w:rsidRPr="00B47E86" w:rsidRDefault="00F11F77" w:rsidP="00C324F3">
            <w:pPr>
              <w:pStyle w:val="ListParagraph"/>
              <w:numPr>
                <w:ilvl w:val="0"/>
                <w:numId w:val="209"/>
              </w:numPr>
              <w:rPr>
                <w:rFonts w:eastAsia="MS Mincho"/>
                <w:lang w:eastAsia="en-US"/>
              </w:rPr>
            </w:pPr>
            <w:r w:rsidRPr="00B47E86">
              <w:rPr>
                <w:rFonts w:eastAsia="MS Mincho"/>
                <w:lang w:eastAsia="en-US"/>
              </w:rPr>
              <w:t>Nicotine nasal spray: advice to use 1 pu</w:t>
            </w:r>
            <w:r>
              <w:rPr>
                <w:rFonts w:eastAsia="MS Mincho"/>
                <w:lang w:eastAsia="en-US"/>
              </w:rPr>
              <w:t>ff</w:t>
            </w:r>
            <w:r w:rsidRPr="00B47E86">
              <w:rPr>
                <w:rFonts w:eastAsia="MS Mincho"/>
                <w:lang w:eastAsia="en-US"/>
              </w:rPr>
              <w:t>/hour whilst awake</w:t>
            </w:r>
          </w:p>
          <w:p w14:paraId="40165C47" w14:textId="77777777" w:rsidR="00F11F77" w:rsidRDefault="00F11F77" w:rsidP="006B48C7">
            <w:pPr>
              <w:rPr>
                <w:rFonts w:eastAsia="MS Mincho"/>
                <w:lang w:eastAsia="en-US"/>
              </w:rPr>
            </w:pPr>
          </w:p>
          <w:p w14:paraId="34DEDD7F" w14:textId="77777777" w:rsidR="00F11F77" w:rsidRPr="00B47E86" w:rsidRDefault="00F11F77" w:rsidP="006B48C7">
            <w:pPr>
              <w:rPr>
                <w:rFonts w:eastAsia="MS Mincho"/>
                <w:lang w:eastAsia="en-US"/>
              </w:rPr>
            </w:pPr>
            <w:r w:rsidRPr="00B47E86">
              <w:rPr>
                <w:rFonts w:eastAsia="MS Mincho"/>
                <w:u w:val="single"/>
                <w:lang w:eastAsia="en-US"/>
              </w:rPr>
              <w:t>Common component</w:t>
            </w:r>
            <w:r>
              <w:rPr>
                <w:rFonts w:eastAsia="MS Mincho"/>
                <w:lang w:eastAsia="en-US"/>
              </w:rPr>
              <w:t xml:space="preserve">: </w:t>
            </w:r>
            <w:r w:rsidRPr="00B47E86">
              <w:rPr>
                <w:rFonts w:eastAsia="MS Mincho"/>
                <w:lang w:eastAsia="en-US"/>
              </w:rPr>
              <w:t>Treatment continued for 6 m</w:t>
            </w:r>
            <w:r>
              <w:rPr>
                <w:rFonts w:eastAsia="MS Mincho"/>
                <w:lang w:eastAsia="en-US"/>
              </w:rPr>
              <w:t>onths</w:t>
            </w:r>
            <w:r w:rsidRPr="00B47E86">
              <w:rPr>
                <w:rFonts w:eastAsia="MS Mincho"/>
                <w:lang w:eastAsia="en-US"/>
              </w:rPr>
              <w:t xml:space="preserve"> following quit day, but tapering could be initiated after 3 m</w:t>
            </w:r>
            <w:r>
              <w:rPr>
                <w:rFonts w:eastAsia="MS Mincho"/>
                <w:lang w:eastAsia="en-US"/>
              </w:rPr>
              <w:t xml:space="preserve">onths. </w:t>
            </w:r>
          </w:p>
        </w:tc>
        <w:tc>
          <w:tcPr>
            <w:tcW w:w="998" w:type="pct"/>
          </w:tcPr>
          <w:p w14:paraId="64E41279" w14:textId="77777777" w:rsidR="00F11F77" w:rsidRPr="00A44226" w:rsidRDefault="00F11F77" w:rsidP="006B48C7">
            <w:pPr>
              <w:pStyle w:val="Tablewriting"/>
              <w:rPr>
                <w:rFonts w:eastAsia="MS Mincho" w:cstheme="minorBidi"/>
              </w:rPr>
            </w:pPr>
            <w:r w:rsidRPr="00A44226">
              <w:rPr>
                <w:rFonts w:eastAsia="MS Mincho" w:cstheme="minorBidi"/>
                <w:u w:val="single"/>
              </w:rPr>
              <w:t xml:space="preserve">Efficacy: </w:t>
            </w:r>
            <w:r w:rsidRPr="00A44226">
              <w:rPr>
                <w:rFonts w:eastAsia="MS Mincho" w:cstheme="minorBidi"/>
              </w:rPr>
              <w:t>Continuous smoking abstinence at 12-m</w:t>
            </w:r>
            <w:r>
              <w:rPr>
                <w:rFonts w:eastAsia="MS Mincho" w:cstheme="minorBidi"/>
              </w:rPr>
              <w:t>onth</w:t>
            </w:r>
            <w:r w:rsidRPr="00A44226">
              <w:rPr>
                <w:rFonts w:eastAsia="MS Mincho" w:cstheme="minorBidi"/>
              </w:rPr>
              <w:t xml:space="preserve"> follow-up (defined as abstinence from week 2 post-quit day to</w:t>
            </w:r>
          </w:p>
          <w:p w14:paraId="1CA594C9" w14:textId="77777777" w:rsidR="00F11F77" w:rsidRPr="00A44226" w:rsidRDefault="00F11F77" w:rsidP="006B48C7">
            <w:pPr>
              <w:pStyle w:val="Tablewriting"/>
              <w:rPr>
                <w:rFonts w:eastAsia="MS Mincho" w:cstheme="minorBidi"/>
              </w:rPr>
            </w:pPr>
            <w:r w:rsidRPr="00A44226">
              <w:rPr>
                <w:rFonts w:eastAsia="MS Mincho" w:cstheme="minorBidi"/>
              </w:rPr>
              <w:t>12 m follow-up); CO-validated (&lt; 10 ppm)</w:t>
            </w:r>
            <w:r>
              <w:rPr>
                <w:rFonts w:eastAsia="MS Mincho" w:cstheme="minorBidi"/>
              </w:rPr>
              <w:t>.</w:t>
            </w:r>
          </w:p>
          <w:p w14:paraId="17499AEB" w14:textId="77777777" w:rsidR="00F11F77" w:rsidRPr="00A44226" w:rsidRDefault="00F11F77" w:rsidP="006B48C7">
            <w:pPr>
              <w:pStyle w:val="Tablewriting"/>
              <w:rPr>
                <w:rFonts w:eastAsia="MS Mincho" w:cstheme="minorBidi"/>
              </w:rPr>
            </w:pPr>
            <w:r>
              <w:rPr>
                <w:rFonts w:eastAsia="MS Mincho" w:cstheme="minorBidi"/>
              </w:rPr>
              <w:t>O</w:t>
            </w:r>
            <w:r w:rsidRPr="00A44226">
              <w:rPr>
                <w:rFonts w:eastAsia="MS Mincho" w:cstheme="minorBidi"/>
              </w:rPr>
              <w:t>ther abstinence measures: CO-validated continuous abstinence at 6 m</w:t>
            </w:r>
            <w:r>
              <w:rPr>
                <w:rFonts w:eastAsia="MS Mincho" w:cstheme="minorBidi"/>
              </w:rPr>
              <w:t>onths</w:t>
            </w:r>
            <w:r w:rsidRPr="00A44226">
              <w:rPr>
                <w:rFonts w:eastAsia="MS Mincho" w:cstheme="minorBidi"/>
              </w:rPr>
              <w:t>; CO-validated abstinence allowing</w:t>
            </w:r>
          </w:p>
          <w:p w14:paraId="7DC8F02D" w14:textId="77777777" w:rsidR="00F11F77" w:rsidRPr="00A44226" w:rsidRDefault="00F11F77" w:rsidP="006B48C7">
            <w:pPr>
              <w:pStyle w:val="Tablewriting"/>
              <w:rPr>
                <w:rFonts w:eastAsia="MS Mincho" w:cstheme="minorBidi"/>
              </w:rPr>
            </w:pPr>
            <w:r w:rsidRPr="00A44226">
              <w:rPr>
                <w:rFonts w:eastAsia="MS Mincho" w:cstheme="minorBidi"/>
              </w:rPr>
              <w:t>for slips (occasionally smoking between 2 visits) at 6 and 12 m</w:t>
            </w:r>
            <w:r>
              <w:rPr>
                <w:rFonts w:eastAsia="MS Mincho" w:cstheme="minorBidi"/>
              </w:rPr>
              <w:t>onths</w:t>
            </w:r>
          </w:p>
          <w:p w14:paraId="20B2E124" w14:textId="77777777" w:rsidR="00F11F77" w:rsidRPr="00A44226" w:rsidRDefault="00F11F77" w:rsidP="006B48C7">
            <w:pPr>
              <w:pStyle w:val="Tablewriting"/>
              <w:rPr>
                <w:rFonts w:eastAsia="MS Mincho" w:cstheme="minorBidi"/>
                <w:u w:val="single"/>
              </w:rPr>
            </w:pPr>
          </w:p>
          <w:p w14:paraId="0973E00C" w14:textId="77777777" w:rsidR="00F11F77" w:rsidRPr="0139F213" w:rsidRDefault="00F11F77" w:rsidP="006B48C7">
            <w:pPr>
              <w:pStyle w:val="Tablewriting"/>
              <w:rPr>
                <w:rFonts w:eastAsia="MS Mincho" w:cstheme="minorBidi"/>
              </w:rPr>
            </w:pPr>
            <w:r w:rsidRPr="00A44226">
              <w:rPr>
                <w:rFonts w:eastAsia="MS Mincho" w:cstheme="minorBidi"/>
                <w:u w:val="single"/>
              </w:rPr>
              <w:t>Safety:</w:t>
            </w:r>
            <w:r>
              <w:rPr>
                <w:rFonts w:eastAsia="MS Mincho" w:cstheme="minorBidi"/>
                <w:u w:val="single"/>
              </w:rPr>
              <w:t xml:space="preserve"> </w:t>
            </w:r>
            <w:r w:rsidRPr="00A44226">
              <w:rPr>
                <w:rFonts w:eastAsia="MS Mincho" w:cstheme="minorBidi"/>
              </w:rPr>
              <w:t>Adverse events</w:t>
            </w:r>
            <w:r>
              <w:rPr>
                <w:rFonts w:eastAsia="MS Mincho" w:cstheme="minorBidi"/>
              </w:rPr>
              <w:t xml:space="preserve"> </w:t>
            </w:r>
            <w:r w:rsidRPr="00A44226">
              <w:rPr>
                <w:rFonts w:eastAsia="MS Mincho" w:cstheme="minorBidi"/>
              </w:rPr>
              <w:t>measured up to 6 weeks (participants using treatment at this time)</w:t>
            </w:r>
            <w:r>
              <w:rPr>
                <w:rFonts w:eastAsia="MS Mincho" w:cstheme="minorBidi"/>
              </w:rPr>
              <w:t>.</w:t>
            </w:r>
          </w:p>
        </w:tc>
      </w:tr>
      <w:tr w:rsidR="00F11F77" w:rsidRPr="00017AE6" w14:paraId="7E0D33C2" w14:textId="77777777" w:rsidTr="00EA7016">
        <w:trPr>
          <w:trHeight w:val="99"/>
        </w:trPr>
        <w:tc>
          <w:tcPr>
            <w:tcW w:w="5000" w:type="pct"/>
            <w:gridSpan w:val="7"/>
            <w:shd w:val="clear" w:color="auto" w:fill="D9D9D9" w:themeFill="background1" w:themeFillShade="D9"/>
          </w:tcPr>
          <w:p w14:paraId="2FE4F80F" w14:textId="77777777" w:rsidR="00F11F77" w:rsidRPr="0139F213" w:rsidRDefault="00F11F77" w:rsidP="006B48C7">
            <w:pPr>
              <w:pStyle w:val="Caption"/>
              <w:rPr>
                <w:rFonts w:eastAsia="MS Mincho" w:cstheme="minorBidi"/>
              </w:rPr>
            </w:pPr>
            <w:r>
              <w:lastRenderedPageBreak/>
              <w:t>P</w:t>
            </w:r>
            <w:r w:rsidRPr="00B57E0E">
              <w:t>reloading versus standard use</w:t>
            </w:r>
          </w:p>
        </w:tc>
      </w:tr>
      <w:tr w:rsidR="00F11F77" w:rsidRPr="00017AE6" w14:paraId="7CE82CEF" w14:textId="77777777" w:rsidTr="00EA7016">
        <w:trPr>
          <w:trHeight w:val="99"/>
        </w:trPr>
        <w:tc>
          <w:tcPr>
            <w:tcW w:w="539" w:type="pct"/>
          </w:tcPr>
          <w:p w14:paraId="5B879149" w14:textId="77777777" w:rsidR="00F11F77" w:rsidRPr="00FA2C37" w:rsidRDefault="00F11F77" w:rsidP="006B48C7">
            <w:pPr>
              <w:pStyle w:val="Tablewriting"/>
              <w:rPr>
                <w:rFonts w:eastAsia="MS Mincho"/>
              </w:rPr>
            </w:pPr>
            <w:r w:rsidRPr="00245AD9">
              <w:rPr>
                <w:rFonts w:eastAsia="MS Mincho"/>
              </w:rPr>
              <w:t xml:space="preserve">Bullen </w:t>
            </w:r>
            <w:r>
              <w:rPr>
                <w:rFonts w:eastAsia="MS Mincho"/>
              </w:rPr>
              <w:t>(</w:t>
            </w:r>
            <w:r w:rsidRPr="00245AD9">
              <w:rPr>
                <w:rFonts w:eastAsia="MS Mincho"/>
              </w:rPr>
              <w:t>2010</w:t>
            </w:r>
            <w:r>
              <w:rPr>
                <w:rFonts w:eastAsia="MS Mincho"/>
              </w:rPr>
              <w:t>)</w:t>
            </w:r>
          </w:p>
        </w:tc>
        <w:tc>
          <w:tcPr>
            <w:tcW w:w="247" w:type="pct"/>
          </w:tcPr>
          <w:p w14:paraId="7ADD8870"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1FC8389C" w14:textId="77777777" w:rsidR="00F11F77" w:rsidRPr="00017AE6" w:rsidRDefault="00F11F77" w:rsidP="006B48C7">
            <w:pPr>
              <w:pStyle w:val="Tablewriting"/>
              <w:rPr>
                <w:rFonts w:eastAsia="MS Mincho" w:cstheme="minorHAnsi"/>
              </w:rPr>
            </w:pPr>
            <w:r w:rsidRPr="006934BD">
              <w:rPr>
                <w:rFonts w:eastAsia="MS Mincho"/>
              </w:rPr>
              <w:t>New Zealand</w:t>
            </w:r>
          </w:p>
        </w:tc>
        <w:tc>
          <w:tcPr>
            <w:tcW w:w="346" w:type="pct"/>
          </w:tcPr>
          <w:p w14:paraId="5F307F54" w14:textId="77777777" w:rsidR="00F11F77" w:rsidRPr="00017AE6" w:rsidRDefault="00F11F77" w:rsidP="006B48C7">
            <w:pPr>
              <w:pStyle w:val="Tablewriting"/>
              <w:rPr>
                <w:rFonts w:eastAsia="MS Mincho" w:cstheme="minorHAnsi"/>
              </w:rPr>
            </w:pPr>
            <w:r>
              <w:rPr>
                <w:rFonts w:eastAsia="MS Mincho" w:cstheme="minorHAnsi"/>
              </w:rPr>
              <w:t>N=1100</w:t>
            </w:r>
          </w:p>
        </w:tc>
        <w:tc>
          <w:tcPr>
            <w:tcW w:w="1166" w:type="pct"/>
          </w:tcPr>
          <w:p w14:paraId="62919E5E" w14:textId="77777777" w:rsidR="00F11F77" w:rsidRPr="00017AE6" w:rsidRDefault="00F11F77" w:rsidP="006B48C7">
            <w:pPr>
              <w:pStyle w:val="Tablewriting"/>
              <w:rPr>
                <w:rFonts w:eastAsia="MS Mincho" w:cstheme="minorHAnsi"/>
              </w:rPr>
            </w:pPr>
            <w:r>
              <w:rPr>
                <w:rFonts w:eastAsia="MS Mincho" w:cstheme="minorHAnsi"/>
              </w:rPr>
              <w:t>S</w:t>
            </w:r>
            <w:r w:rsidRPr="006934BD">
              <w:rPr>
                <w:rFonts w:eastAsia="MS Mincho" w:cstheme="minorHAnsi"/>
              </w:rPr>
              <w:t>mokers, motivated to quit</w:t>
            </w:r>
            <w:r>
              <w:rPr>
                <w:rFonts w:eastAsia="MS Mincho" w:cstheme="minorHAnsi"/>
              </w:rPr>
              <w:t xml:space="preserve">, </w:t>
            </w:r>
            <w:r w:rsidRPr="006934BD">
              <w:rPr>
                <w:rFonts w:eastAsia="MS Mincho" w:cstheme="minorHAnsi"/>
              </w:rPr>
              <w:t xml:space="preserve">40% men, mean age 40, </w:t>
            </w:r>
            <w:r>
              <w:rPr>
                <w:rFonts w:eastAsia="MS Mincho" w:cstheme="minorHAnsi"/>
              </w:rPr>
              <w:t>average CPD</w:t>
            </w:r>
            <w:r w:rsidRPr="006934BD">
              <w:rPr>
                <w:rFonts w:eastAsia="MS Mincho" w:cstheme="minorHAnsi"/>
              </w:rPr>
              <w:t xml:space="preserve"> 19</w:t>
            </w:r>
            <w:r>
              <w:rPr>
                <w:rFonts w:eastAsia="MS Mincho" w:cstheme="minorHAnsi"/>
              </w:rPr>
              <w:t xml:space="preserve">. </w:t>
            </w:r>
          </w:p>
        </w:tc>
        <w:tc>
          <w:tcPr>
            <w:tcW w:w="1286" w:type="pct"/>
          </w:tcPr>
          <w:p w14:paraId="077568B9" w14:textId="77777777" w:rsidR="00F11F77" w:rsidRPr="006934BD" w:rsidRDefault="00F11F77" w:rsidP="00C324F3">
            <w:pPr>
              <w:pStyle w:val="ListParagraph"/>
              <w:numPr>
                <w:ilvl w:val="0"/>
                <w:numId w:val="210"/>
              </w:numPr>
              <w:rPr>
                <w:rFonts w:eastAsia="MS Mincho"/>
                <w:lang w:eastAsia="en-US"/>
              </w:rPr>
            </w:pPr>
            <w:r w:rsidRPr="006934BD">
              <w:rPr>
                <w:rFonts w:eastAsia="MS Mincho"/>
                <w:lang w:eastAsia="en-US"/>
              </w:rPr>
              <w:t>NRT initiated 14 days before quit date, continued for 8 w</w:t>
            </w:r>
            <w:r>
              <w:rPr>
                <w:rFonts w:eastAsia="MS Mincho"/>
                <w:lang w:eastAsia="en-US"/>
              </w:rPr>
              <w:t>ee</w:t>
            </w:r>
            <w:r w:rsidRPr="006934BD">
              <w:rPr>
                <w:rFonts w:eastAsia="MS Mincho"/>
                <w:lang w:eastAsia="en-US"/>
              </w:rPr>
              <w:t>ks after quit date. 91% used</w:t>
            </w:r>
            <w:r>
              <w:rPr>
                <w:rFonts w:eastAsia="MS Mincho"/>
                <w:lang w:eastAsia="en-US"/>
              </w:rPr>
              <w:t xml:space="preserve"> </w:t>
            </w:r>
            <w:r w:rsidRPr="006934BD">
              <w:rPr>
                <w:rFonts w:eastAsia="MS Mincho"/>
                <w:lang w:eastAsia="en-US"/>
              </w:rPr>
              <w:t>patch only, 6% gum only, 3% both</w:t>
            </w:r>
          </w:p>
          <w:p w14:paraId="3E3F3C40" w14:textId="77777777" w:rsidR="00F11F77" w:rsidRPr="006934BD" w:rsidRDefault="00F11F77" w:rsidP="00C324F3">
            <w:pPr>
              <w:pStyle w:val="ListParagraph"/>
              <w:numPr>
                <w:ilvl w:val="0"/>
                <w:numId w:val="210"/>
              </w:numPr>
              <w:rPr>
                <w:rFonts w:eastAsia="MS Mincho"/>
                <w:lang w:eastAsia="en-US"/>
              </w:rPr>
            </w:pPr>
            <w:r w:rsidRPr="006934BD">
              <w:rPr>
                <w:rFonts w:eastAsia="MS Mincho"/>
                <w:lang w:eastAsia="en-US"/>
              </w:rPr>
              <w:t>NRT for 8 w</w:t>
            </w:r>
            <w:r>
              <w:rPr>
                <w:rFonts w:eastAsia="MS Mincho"/>
                <w:lang w:eastAsia="en-US"/>
              </w:rPr>
              <w:t>ee</w:t>
            </w:r>
            <w:r w:rsidRPr="006934BD">
              <w:rPr>
                <w:rFonts w:eastAsia="MS Mincho"/>
                <w:lang w:eastAsia="en-US"/>
              </w:rPr>
              <w:t>ks from quit date. 85% patch, 11% gum, 4% both</w:t>
            </w:r>
          </w:p>
        </w:tc>
        <w:tc>
          <w:tcPr>
            <w:tcW w:w="998" w:type="pct"/>
          </w:tcPr>
          <w:p w14:paraId="1AB2E43C" w14:textId="2057DD35" w:rsidR="00F11F77" w:rsidRPr="006934BD"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6934BD">
              <w:rPr>
                <w:rFonts w:eastAsia="MS Mincho" w:cstheme="minorBidi"/>
              </w:rPr>
              <w:t>Continuous abstinence at 6 m (data supplied by 1st author) (Self-report</w:t>
            </w:r>
            <w:r w:rsidR="00861C61">
              <w:rPr>
                <w:rFonts w:eastAsia="MS Mincho" w:cstheme="minorBidi"/>
              </w:rPr>
              <w:t xml:space="preserve">ed 7-day PPA at 6 m reported in </w:t>
            </w:r>
            <w:r w:rsidRPr="006934BD">
              <w:rPr>
                <w:rFonts w:eastAsia="MS Mincho" w:cstheme="minorBidi"/>
              </w:rPr>
              <w:t>paper)</w:t>
            </w:r>
            <w:r>
              <w:rPr>
                <w:rFonts w:eastAsia="MS Mincho" w:cstheme="minorBidi"/>
              </w:rPr>
              <w:t>.</w:t>
            </w:r>
          </w:p>
          <w:p w14:paraId="5BEA9F7F" w14:textId="77777777" w:rsidR="00F11F77" w:rsidRPr="006934BD" w:rsidRDefault="00F11F77" w:rsidP="006B48C7">
            <w:pPr>
              <w:pStyle w:val="Tablewriting"/>
              <w:rPr>
                <w:rFonts w:eastAsia="MS Mincho" w:cstheme="minorBidi"/>
              </w:rPr>
            </w:pPr>
            <w:r w:rsidRPr="006934BD">
              <w:rPr>
                <w:rFonts w:eastAsia="MS Mincho" w:cstheme="minorBidi"/>
              </w:rPr>
              <w:t>Validation: salivary cotinine in subgroup only. Self-reported outcomes used in analysis</w:t>
            </w:r>
            <w:r>
              <w:rPr>
                <w:rFonts w:eastAsia="MS Mincho" w:cstheme="minorBidi"/>
              </w:rPr>
              <w:t>.</w:t>
            </w:r>
          </w:p>
          <w:p w14:paraId="52F5B2D6" w14:textId="77777777" w:rsidR="00F11F77" w:rsidRDefault="00F11F77" w:rsidP="006B48C7">
            <w:pPr>
              <w:pStyle w:val="Tablewriting"/>
              <w:rPr>
                <w:rFonts w:eastAsia="MS Mincho" w:cstheme="minorBidi"/>
              </w:rPr>
            </w:pPr>
          </w:p>
          <w:p w14:paraId="36DAA491"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6934BD">
              <w:rPr>
                <w:rFonts w:eastAsia="MS Mincho" w:cstheme="minorBidi"/>
              </w:rPr>
              <w:t>Adverse events measured at all contacts (assumed to be up to 6 months)</w:t>
            </w:r>
            <w:r>
              <w:rPr>
                <w:rFonts w:eastAsia="MS Mincho" w:cstheme="minorBidi"/>
              </w:rPr>
              <w:t>.</w:t>
            </w:r>
          </w:p>
        </w:tc>
      </w:tr>
      <w:tr w:rsidR="00F11F77" w:rsidRPr="00017AE6" w14:paraId="139248E0" w14:textId="77777777" w:rsidTr="00EA7016">
        <w:trPr>
          <w:trHeight w:val="99"/>
        </w:trPr>
        <w:tc>
          <w:tcPr>
            <w:tcW w:w="539" w:type="pct"/>
          </w:tcPr>
          <w:p w14:paraId="7210B9FE" w14:textId="77777777" w:rsidR="00F11F77" w:rsidRPr="00FA2C37" w:rsidRDefault="00F11F77" w:rsidP="006B48C7">
            <w:pPr>
              <w:pStyle w:val="Tablewriting"/>
              <w:rPr>
                <w:rFonts w:eastAsia="MS Mincho"/>
              </w:rPr>
            </w:pPr>
            <w:r w:rsidRPr="00245AD9">
              <w:rPr>
                <w:rFonts w:eastAsia="MS Mincho"/>
              </w:rPr>
              <w:t xml:space="preserve">Dennis </w:t>
            </w:r>
            <w:r>
              <w:rPr>
                <w:rFonts w:eastAsia="MS Mincho"/>
              </w:rPr>
              <w:t>(</w:t>
            </w:r>
            <w:r w:rsidRPr="00245AD9">
              <w:rPr>
                <w:rFonts w:eastAsia="MS Mincho"/>
              </w:rPr>
              <w:t>2016</w:t>
            </w:r>
            <w:r>
              <w:rPr>
                <w:rFonts w:eastAsia="MS Mincho"/>
              </w:rPr>
              <w:t>)</w:t>
            </w:r>
          </w:p>
        </w:tc>
        <w:tc>
          <w:tcPr>
            <w:tcW w:w="247" w:type="pct"/>
          </w:tcPr>
          <w:p w14:paraId="06BC3824"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7DC28215"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2A056AFF" w14:textId="77777777" w:rsidR="00F11F77" w:rsidRPr="00017AE6" w:rsidRDefault="00F11F77" w:rsidP="006B48C7">
            <w:pPr>
              <w:pStyle w:val="Tablewriting"/>
              <w:rPr>
                <w:rFonts w:eastAsia="MS Mincho" w:cstheme="minorHAnsi"/>
              </w:rPr>
            </w:pPr>
            <w:r>
              <w:rPr>
                <w:rFonts w:eastAsia="MS Mincho" w:cstheme="minorHAnsi"/>
              </w:rPr>
              <w:t>N=63</w:t>
            </w:r>
          </w:p>
        </w:tc>
        <w:tc>
          <w:tcPr>
            <w:tcW w:w="1166" w:type="pct"/>
          </w:tcPr>
          <w:p w14:paraId="2CE68CC8" w14:textId="77777777" w:rsidR="00F11F77" w:rsidRPr="006934BD" w:rsidRDefault="00F11F77" w:rsidP="006B48C7">
            <w:pPr>
              <w:pStyle w:val="Tablewriting"/>
              <w:rPr>
                <w:rFonts w:eastAsia="MS Mincho" w:cstheme="minorHAnsi"/>
              </w:rPr>
            </w:pPr>
            <w:r>
              <w:rPr>
                <w:rFonts w:eastAsia="MS Mincho" w:cstheme="minorHAnsi"/>
              </w:rPr>
              <w:t>S</w:t>
            </w:r>
            <w:r w:rsidRPr="006934BD">
              <w:rPr>
                <w:rFonts w:eastAsia="MS Mincho" w:cstheme="minorHAnsi"/>
              </w:rPr>
              <w:t>mokers</w:t>
            </w:r>
            <w:r>
              <w:rPr>
                <w:rFonts w:eastAsia="MS Mincho" w:cstheme="minorHAnsi"/>
              </w:rPr>
              <w:t xml:space="preserve"> </w:t>
            </w:r>
            <w:r w:rsidRPr="006934BD">
              <w:rPr>
                <w:rFonts w:eastAsia="MS Mincho" w:cstheme="minorHAnsi"/>
              </w:rPr>
              <w:t xml:space="preserve">diagnosed with PTSD, age 18 - 70 years, </w:t>
            </w:r>
            <w:r>
              <w:rPr>
                <w:rFonts w:eastAsia="MS Mincho" w:cstheme="minorHAnsi"/>
              </w:rPr>
              <w:t>CPD</w:t>
            </w:r>
            <w:r w:rsidRPr="006934BD">
              <w:rPr>
                <w:rFonts w:eastAsia="MS Mincho" w:cstheme="minorHAnsi"/>
              </w:rPr>
              <w:t xml:space="preserve"> </w:t>
            </w:r>
            <w:r w:rsidRPr="00E632A9">
              <w:rPr>
                <w:rFonts w:eastAsia="MS Mincho" w:cstheme="minorHAnsi"/>
              </w:rPr>
              <w:t>≥</w:t>
            </w:r>
            <w:r w:rsidRPr="006934BD">
              <w:rPr>
                <w:rFonts w:eastAsia="MS Mincho" w:cstheme="minorHAnsi"/>
              </w:rPr>
              <w:t>10, willing to quit within the following 30</w:t>
            </w:r>
            <w:r>
              <w:rPr>
                <w:rFonts w:eastAsia="MS Mincho" w:cstheme="minorHAnsi"/>
              </w:rPr>
              <w:t xml:space="preserve"> </w:t>
            </w:r>
            <w:r w:rsidRPr="006934BD">
              <w:rPr>
                <w:rFonts w:eastAsia="MS Mincho" w:cstheme="minorHAnsi"/>
              </w:rPr>
              <w:t>days</w:t>
            </w:r>
            <w:r>
              <w:rPr>
                <w:rFonts w:eastAsia="MS Mincho" w:cstheme="minorHAnsi"/>
              </w:rPr>
              <w:t xml:space="preserve">. </w:t>
            </w:r>
          </w:p>
          <w:p w14:paraId="23B3ADD3" w14:textId="77777777" w:rsidR="00F11F77" w:rsidRPr="00017AE6" w:rsidRDefault="00F11F77" w:rsidP="006B48C7">
            <w:pPr>
              <w:pStyle w:val="Tablewriting"/>
              <w:rPr>
                <w:rFonts w:eastAsia="MS Mincho" w:cstheme="minorHAnsi"/>
              </w:rPr>
            </w:pPr>
            <w:r w:rsidRPr="006934BD">
              <w:rPr>
                <w:rFonts w:eastAsia="MS Mincho" w:cstheme="minorHAnsi"/>
              </w:rPr>
              <w:t>46% men, av</w:t>
            </w:r>
            <w:r>
              <w:rPr>
                <w:rFonts w:eastAsia="MS Mincho" w:cstheme="minorHAnsi"/>
              </w:rPr>
              <w:t>erage</w:t>
            </w:r>
            <w:r w:rsidRPr="006934BD">
              <w:rPr>
                <w:rFonts w:eastAsia="MS Mincho" w:cstheme="minorHAnsi"/>
              </w:rPr>
              <w:t xml:space="preserve"> age 42, av</w:t>
            </w:r>
            <w:r>
              <w:rPr>
                <w:rFonts w:eastAsia="MS Mincho" w:cstheme="minorHAnsi"/>
              </w:rPr>
              <w:t>erage</w:t>
            </w:r>
            <w:r w:rsidRPr="006934BD">
              <w:rPr>
                <w:rFonts w:eastAsia="MS Mincho" w:cstheme="minorHAnsi"/>
              </w:rPr>
              <w:t xml:space="preserve"> </w:t>
            </w:r>
            <w:r>
              <w:rPr>
                <w:rFonts w:eastAsia="MS Mincho" w:cstheme="minorHAnsi"/>
              </w:rPr>
              <w:t>CPD</w:t>
            </w:r>
            <w:r w:rsidRPr="006934BD">
              <w:rPr>
                <w:rFonts w:eastAsia="MS Mincho" w:cstheme="minorHAnsi"/>
              </w:rPr>
              <w:t xml:space="preserve"> 17.7, mean FTND 4.1</w:t>
            </w:r>
            <w:r>
              <w:rPr>
                <w:rFonts w:eastAsia="MS Mincho" w:cstheme="minorHAnsi"/>
              </w:rPr>
              <w:t>.</w:t>
            </w:r>
          </w:p>
        </w:tc>
        <w:tc>
          <w:tcPr>
            <w:tcW w:w="1286" w:type="pct"/>
          </w:tcPr>
          <w:p w14:paraId="3F2030F9" w14:textId="77777777" w:rsidR="00F11F77" w:rsidRDefault="00F11F77" w:rsidP="00C324F3">
            <w:pPr>
              <w:pStyle w:val="ListParagraph"/>
              <w:numPr>
                <w:ilvl w:val="0"/>
                <w:numId w:val="211"/>
              </w:numPr>
              <w:rPr>
                <w:rFonts w:eastAsia="MS Mincho"/>
                <w:lang w:eastAsia="en-US"/>
              </w:rPr>
            </w:pPr>
            <w:r w:rsidRPr="006934BD">
              <w:rPr>
                <w:rFonts w:eastAsia="MS Mincho"/>
                <w:lang w:eastAsia="en-US"/>
              </w:rPr>
              <w:t>2 weeks of nicotine patch (preloading) treatment pre-quit date, followed by 6 weeks of nicotine</w:t>
            </w:r>
            <w:r>
              <w:rPr>
                <w:rFonts w:eastAsia="MS Mincho"/>
                <w:lang w:eastAsia="en-US"/>
              </w:rPr>
              <w:t xml:space="preserve"> </w:t>
            </w:r>
            <w:r w:rsidRPr="006934BD">
              <w:rPr>
                <w:rFonts w:eastAsia="MS Mincho"/>
                <w:lang w:eastAsia="en-US"/>
              </w:rPr>
              <w:t>patch and nicotine gum/lozenge from quit date</w:t>
            </w:r>
          </w:p>
          <w:p w14:paraId="51039892" w14:textId="77777777" w:rsidR="00F11F77" w:rsidRDefault="00F11F77" w:rsidP="00C324F3">
            <w:pPr>
              <w:pStyle w:val="ListParagraph"/>
              <w:numPr>
                <w:ilvl w:val="0"/>
                <w:numId w:val="211"/>
              </w:numPr>
              <w:rPr>
                <w:rFonts w:eastAsia="MS Mincho"/>
                <w:lang w:eastAsia="en-US"/>
              </w:rPr>
            </w:pPr>
            <w:r w:rsidRPr="006934BD">
              <w:rPr>
                <w:rFonts w:eastAsia="MS Mincho"/>
                <w:lang w:eastAsia="en-US"/>
              </w:rPr>
              <w:t>2 weeks of placebo patch pre-quit date, followed by 6 weeks of nicotine patch and nicotine gum/lozenge from quit date</w:t>
            </w:r>
          </w:p>
          <w:p w14:paraId="12010A42" w14:textId="77777777" w:rsidR="00F11F77" w:rsidRDefault="00F11F77" w:rsidP="006B48C7">
            <w:pPr>
              <w:rPr>
                <w:rFonts w:eastAsia="MS Mincho"/>
                <w:lang w:eastAsia="en-US"/>
              </w:rPr>
            </w:pPr>
          </w:p>
          <w:p w14:paraId="4CF34B0F" w14:textId="77777777" w:rsidR="00F11F77" w:rsidRPr="006934BD" w:rsidRDefault="00F11F77" w:rsidP="006B48C7">
            <w:pPr>
              <w:rPr>
                <w:rFonts w:eastAsia="MS Mincho"/>
                <w:lang w:eastAsia="en-US"/>
              </w:rPr>
            </w:pPr>
            <w:r w:rsidRPr="006934BD">
              <w:rPr>
                <w:rFonts w:eastAsia="MS Mincho"/>
                <w:lang w:eastAsia="en-US"/>
              </w:rPr>
              <w:t>Initial patch dose 21 mg/24-hour – unclear if tapered down and if so at what dose</w:t>
            </w:r>
            <w:r>
              <w:rPr>
                <w:rFonts w:eastAsia="MS Mincho"/>
                <w:lang w:eastAsia="en-US"/>
              </w:rPr>
              <w:t>.</w:t>
            </w:r>
          </w:p>
        </w:tc>
        <w:tc>
          <w:tcPr>
            <w:tcW w:w="998" w:type="pct"/>
          </w:tcPr>
          <w:p w14:paraId="2C936A6C" w14:textId="77777777" w:rsidR="00F11F77" w:rsidRPr="00511E8C"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w:t>
            </w:r>
            <w:r>
              <w:t xml:space="preserve"> </w:t>
            </w:r>
            <w:r w:rsidRPr="00511E8C">
              <w:rPr>
                <w:rFonts w:eastAsia="MS Mincho" w:cstheme="minorBidi"/>
              </w:rPr>
              <w:t>30-day PPA at 6-m follow-up</w:t>
            </w:r>
            <w:r>
              <w:rPr>
                <w:rFonts w:eastAsia="MS Mincho" w:cstheme="minorBidi"/>
              </w:rPr>
              <w:t>.</w:t>
            </w:r>
          </w:p>
          <w:p w14:paraId="2E668142" w14:textId="77777777" w:rsidR="00F11F77" w:rsidRPr="00511E8C" w:rsidRDefault="00F11F77" w:rsidP="006B48C7">
            <w:pPr>
              <w:pStyle w:val="Tablewriting"/>
              <w:rPr>
                <w:rFonts w:eastAsia="MS Mincho" w:cstheme="minorBidi"/>
              </w:rPr>
            </w:pPr>
            <w:r w:rsidRPr="00511E8C">
              <w:rPr>
                <w:rFonts w:eastAsia="MS Mincho" w:cstheme="minorBidi"/>
              </w:rPr>
              <w:t>Validation: salivary cotinine (&lt; 10 ng/ml)</w:t>
            </w:r>
            <w:r>
              <w:rPr>
                <w:rFonts w:eastAsia="MS Mincho" w:cstheme="minorBidi"/>
              </w:rPr>
              <w:t>.</w:t>
            </w:r>
          </w:p>
          <w:p w14:paraId="2D799A84" w14:textId="77777777" w:rsidR="00F11F77" w:rsidRDefault="00F11F77" w:rsidP="006B48C7">
            <w:pPr>
              <w:pStyle w:val="Tablewriting"/>
              <w:rPr>
                <w:rFonts w:eastAsia="MS Mincho" w:cstheme="minorBidi"/>
              </w:rPr>
            </w:pPr>
          </w:p>
          <w:p w14:paraId="2D29961E" w14:textId="77777777" w:rsidR="00F11F77"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511E8C">
              <w:rPr>
                <w:rFonts w:eastAsia="MS Mincho" w:cstheme="minorBidi"/>
              </w:rPr>
              <w:t>Adverse events</w:t>
            </w:r>
            <w:r>
              <w:rPr>
                <w:rFonts w:eastAsia="MS Mincho" w:cstheme="minorBidi"/>
              </w:rPr>
              <w:t xml:space="preserve"> </w:t>
            </w:r>
            <w:r w:rsidRPr="00511E8C">
              <w:rPr>
                <w:rFonts w:eastAsia="MS Mincho" w:cstheme="minorBidi"/>
              </w:rPr>
              <w:t>not measured</w:t>
            </w:r>
            <w:r>
              <w:rPr>
                <w:rFonts w:eastAsia="MS Mincho" w:cstheme="minorBidi"/>
              </w:rPr>
              <w:t>.</w:t>
            </w:r>
          </w:p>
          <w:p w14:paraId="2F70C069" w14:textId="77777777" w:rsidR="00F11F77" w:rsidRPr="0139F213" w:rsidRDefault="00F11F77" w:rsidP="006B48C7">
            <w:pPr>
              <w:pStyle w:val="Tablewriting"/>
              <w:rPr>
                <w:rFonts w:eastAsia="MS Mincho" w:cstheme="minorBidi"/>
              </w:rPr>
            </w:pPr>
          </w:p>
        </w:tc>
      </w:tr>
      <w:tr w:rsidR="00F11F77" w:rsidRPr="00017AE6" w14:paraId="49C37534" w14:textId="77777777" w:rsidTr="00EA7016">
        <w:trPr>
          <w:trHeight w:val="99"/>
        </w:trPr>
        <w:tc>
          <w:tcPr>
            <w:tcW w:w="539" w:type="pct"/>
          </w:tcPr>
          <w:p w14:paraId="6E026CD9" w14:textId="77777777" w:rsidR="00F11F77" w:rsidRPr="00FA2C37" w:rsidRDefault="00F11F77" w:rsidP="006B48C7">
            <w:pPr>
              <w:pStyle w:val="Tablewriting"/>
              <w:rPr>
                <w:rFonts w:eastAsia="MS Mincho"/>
              </w:rPr>
            </w:pPr>
            <w:r w:rsidRPr="00245AD9">
              <w:rPr>
                <w:rFonts w:eastAsia="MS Mincho"/>
              </w:rPr>
              <w:t xml:space="preserve">Piper </w:t>
            </w:r>
            <w:r>
              <w:rPr>
                <w:rFonts w:eastAsia="MS Mincho"/>
              </w:rPr>
              <w:t>(</w:t>
            </w:r>
            <w:r w:rsidRPr="00245AD9">
              <w:rPr>
                <w:rFonts w:eastAsia="MS Mincho"/>
              </w:rPr>
              <w:t>2016</w:t>
            </w:r>
            <w:r>
              <w:rPr>
                <w:rFonts w:eastAsia="MS Mincho"/>
              </w:rPr>
              <w:t>)</w:t>
            </w:r>
          </w:p>
        </w:tc>
        <w:tc>
          <w:tcPr>
            <w:tcW w:w="247" w:type="pct"/>
          </w:tcPr>
          <w:p w14:paraId="6E16B8DD"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78BEF62F"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50F76BAC" w14:textId="77777777" w:rsidR="00F11F77" w:rsidRPr="00017AE6" w:rsidRDefault="00F11F77" w:rsidP="006B48C7">
            <w:pPr>
              <w:pStyle w:val="Tablewriting"/>
              <w:rPr>
                <w:rFonts w:eastAsia="MS Mincho" w:cstheme="minorHAnsi"/>
              </w:rPr>
            </w:pPr>
            <w:r>
              <w:rPr>
                <w:rFonts w:eastAsia="MS Mincho" w:cstheme="minorHAnsi"/>
              </w:rPr>
              <w:t>N=637</w:t>
            </w:r>
          </w:p>
        </w:tc>
        <w:tc>
          <w:tcPr>
            <w:tcW w:w="1166" w:type="pct"/>
          </w:tcPr>
          <w:p w14:paraId="3EEA9667" w14:textId="77777777" w:rsidR="00F11F77" w:rsidRPr="00511E8C" w:rsidRDefault="00F11F77" w:rsidP="006B48C7">
            <w:pPr>
              <w:pStyle w:val="Tablewriting"/>
              <w:rPr>
                <w:rFonts w:eastAsia="MS Mincho" w:cstheme="minorHAnsi"/>
              </w:rPr>
            </w:pPr>
            <w:r>
              <w:rPr>
                <w:rFonts w:eastAsia="MS Mincho" w:cstheme="minorHAnsi"/>
              </w:rPr>
              <w:t>S</w:t>
            </w:r>
            <w:r w:rsidRPr="00511E8C">
              <w:rPr>
                <w:rFonts w:eastAsia="MS Mincho" w:cstheme="minorHAnsi"/>
              </w:rPr>
              <w:t>mokers</w:t>
            </w:r>
            <w:r>
              <w:rPr>
                <w:rFonts w:eastAsia="MS Mincho" w:cstheme="minorHAnsi"/>
              </w:rPr>
              <w:t xml:space="preserve"> </w:t>
            </w:r>
            <w:r w:rsidRPr="00511E8C">
              <w:rPr>
                <w:rFonts w:eastAsia="MS Mincho" w:cstheme="minorHAnsi"/>
              </w:rPr>
              <w:t xml:space="preserve">aged </w:t>
            </w:r>
            <w:r w:rsidRPr="00E632A9">
              <w:rPr>
                <w:rFonts w:eastAsia="MS Mincho" w:cstheme="minorHAnsi"/>
              </w:rPr>
              <w:t>≥</w:t>
            </w:r>
            <w:r w:rsidRPr="00511E8C">
              <w:rPr>
                <w:rFonts w:eastAsia="MS Mincho" w:cstheme="minorHAnsi"/>
              </w:rPr>
              <w:t xml:space="preserve">18 years, </w:t>
            </w:r>
            <w:r w:rsidRPr="00E632A9">
              <w:rPr>
                <w:rFonts w:eastAsia="MS Mincho" w:cstheme="minorHAnsi"/>
              </w:rPr>
              <w:t>≥</w:t>
            </w:r>
            <w:r w:rsidRPr="00511E8C">
              <w:rPr>
                <w:rFonts w:eastAsia="MS Mincho" w:cstheme="minorHAnsi"/>
              </w:rPr>
              <w:t xml:space="preserve">5 </w:t>
            </w:r>
            <w:r>
              <w:rPr>
                <w:rFonts w:eastAsia="MS Mincho" w:cstheme="minorHAnsi"/>
              </w:rPr>
              <w:t>CPD</w:t>
            </w:r>
            <w:r w:rsidRPr="00511E8C">
              <w:rPr>
                <w:rFonts w:eastAsia="MS Mincho" w:cstheme="minorHAnsi"/>
              </w:rPr>
              <w:t xml:space="preserve"> for 6</w:t>
            </w:r>
            <w:r>
              <w:rPr>
                <w:rFonts w:eastAsia="MS Mincho" w:cstheme="minorHAnsi"/>
              </w:rPr>
              <w:t xml:space="preserve"> </w:t>
            </w:r>
            <w:r w:rsidRPr="00511E8C">
              <w:rPr>
                <w:rFonts w:eastAsia="MS Mincho" w:cstheme="minorHAnsi"/>
              </w:rPr>
              <w:t>m</w:t>
            </w:r>
            <w:r>
              <w:rPr>
                <w:rFonts w:eastAsia="MS Mincho" w:cstheme="minorHAnsi"/>
              </w:rPr>
              <w:t>onths</w:t>
            </w:r>
            <w:r w:rsidRPr="00511E8C">
              <w:rPr>
                <w:rFonts w:eastAsia="MS Mincho" w:cstheme="minorHAnsi"/>
              </w:rPr>
              <w:t>, motivated to quit</w:t>
            </w:r>
            <w:r>
              <w:rPr>
                <w:rFonts w:eastAsia="MS Mincho" w:cstheme="minorHAnsi"/>
              </w:rPr>
              <w:t>.</w:t>
            </w:r>
          </w:p>
          <w:p w14:paraId="4898BCFE" w14:textId="77777777" w:rsidR="00F11F77" w:rsidRPr="00017AE6" w:rsidRDefault="00F11F77" w:rsidP="006B48C7">
            <w:pPr>
              <w:pStyle w:val="Tablewriting"/>
              <w:rPr>
                <w:rFonts w:eastAsia="MS Mincho" w:cstheme="minorHAnsi"/>
              </w:rPr>
            </w:pPr>
            <w:r w:rsidRPr="00511E8C">
              <w:rPr>
                <w:rFonts w:eastAsia="MS Mincho" w:cstheme="minorHAnsi"/>
              </w:rPr>
              <w:t>45.4% men, av</w:t>
            </w:r>
            <w:r>
              <w:rPr>
                <w:rFonts w:eastAsia="MS Mincho" w:cstheme="minorHAnsi"/>
              </w:rPr>
              <w:t>erage</w:t>
            </w:r>
            <w:r w:rsidRPr="00511E8C">
              <w:rPr>
                <w:rFonts w:eastAsia="MS Mincho" w:cstheme="minorHAnsi"/>
              </w:rPr>
              <w:t xml:space="preserve"> age 45.8 y</w:t>
            </w:r>
            <w:r>
              <w:rPr>
                <w:rFonts w:eastAsia="MS Mincho" w:cstheme="minorHAnsi"/>
              </w:rPr>
              <w:t>ea</w:t>
            </w:r>
            <w:r w:rsidRPr="00511E8C">
              <w:rPr>
                <w:rFonts w:eastAsia="MS Mincho" w:cstheme="minorHAnsi"/>
              </w:rPr>
              <w:t>rs, av</w:t>
            </w:r>
            <w:r>
              <w:rPr>
                <w:rFonts w:eastAsia="MS Mincho" w:cstheme="minorHAnsi"/>
              </w:rPr>
              <w:t>erage CPD</w:t>
            </w:r>
            <w:r w:rsidRPr="00511E8C">
              <w:rPr>
                <w:rFonts w:eastAsia="MS Mincho" w:cstheme="minorHAnsi"/>
              </w:rPr>
              <w:t xml:space="preserve"> 17.7, mean FTND 4.8, baseline CO 20.3ppm, HSI 3.1</w:t>
            </w:r>
            <w:r>
              <w:rPr>
                <w:rFonts w:eastAsia="MS Mincho" w:cstheme="minorHAnsi"/>
              </w:rPr>
              <w:t xml:space="preserve">. </w:t>
            </w:r>
          </w:p>
        </w:tc>
        <w:tc>
          <w:tcPr>
            <w:tcW w:w="1286" w:type="pct"/>
          </w:tcPr>
          <w:p w14:paraId="2697325E"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Nicotine patches for 3 w</w:t>
            </w:r>
            <w:r>
              <w:rPr>
                <w:rFonts w:eastAsia="MS Mincho"/>
                <w:lang w:eastAsia="en-US"/>
              </w:rPr>
              <w:t>ee</w:t>
            </w:r>
            <w:r w:rsidRPr="00511E8C">
              <w:rPr>
                <w:rFonts w:eastAsia="MS Mincho"/>
                <w:lang w:eastAsia="en-US"/>
              </w:rPr>
              <w:t>ks prior to quit date (patch preloading) v</w:t>
            </w:r>
            <w:r>
              <w:rPr>
                <w:rFonts w:eastAsia="MS Mincho"/>
                <w:lang w:eastAsia="en-US"/>
              </w:rPr>
              <w:t>ersu</w:t>
            </w:r>
            <w:r w:rsidRPr="00511E8C">
              <w:rPr>
                <w:rFonts w:eastAsia="MS Mincho"/>
                <w:lang w:eastAsia="en-US"/>
              </w:rPr>
              <w:t>s no preloading patches</w:t>
            </w:r>
          </w:p>
          <w:p w14:paraId="11740EAD"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lastRenderedPageBreak/>
              <w:t>Nicotine gum for 3 w</w:t>
            </w:r>
            <w:r>
              <w:rPr>
                <w:rFonts w:eastAsia="MS Mincho"/>
                <w:lang w:eastAsia="en-US"/>
              </w:rPr>
              <w:t>ee</w:t>
            </w:r>
            <w:r w:rsidRPr="00511E8C">
              <w:rPr>
                <w:rFonts w:eastAsia="MS Mincho"/>
                <w:lang w:eastAsia="en-US"/>
              </w:rPr>
              <w:t>ks prior to quit date (gum preloading) v</w:t>
            </w:r>
            <w:r>
              <w:rPr>
                <w:rFonts w:eastAsia="MS Mincho"/>
                <w:lang w:eastAsia="en-US"/>
              </w:rPr>
              <w:t>ersu</w:t>
            </w:r>
            <w:r w:rsidRPr="00511E8C">
              <w:rPr>
                <w:rFonts w:eastAsia="MS Mincho"/>
                <w:lang w:eastAsia="en-US"/>
              </w:rPr>
              <w:t>s no preloading gum</w:t>
            </w:r>
          </w:p>
          <w:p w14:paraId="2C63C41D"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Preparation counselling v</w:t>
            </w:r>
            <w:r>
              <w:rPr>
                <w:rFonts w:eastAsia="MS Mincho"/>
                <w:lang w:eastAsia="en-US"/>
              </w:rPr>
              <w:t>ersu</w:t>
            </w:r>
            <w:r w:rsidRPr="00511E8C">
              <w:rPr>
                <w:rFonts w:eastAsia="MS Mincho"/>
                <w:lang w:eastAsia="en-US"/>
              </w:rPr>
              <w:t>s no preparation counselling</w:t>
            </w:r>
          </w:p>
          <w:p w14:paraId="0A674808"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Intensive cessation in-person counselling v</w:t>
            </w:r>
            <w:r>
              <w:rPr>
                <w:rFonts w:eastAsia="MS Mincho"/>
                <w:lang w:eastAsia="en-US"/>
              </w:rPr>
              <w:t>ersu</w:t>
            </w:r>
            <w:r w:rsidRPr="00511E8C">
              <w:rPr>
                <w:rFonts w:eastAsia="MS Mincho"/>
                <w:lang w:eastAsia="en-US"/>
              </w:rPr>
              <w:t>s minimal in-person counselling</w:t>
            </w:r>
          </w:p>
          <w:p w14:paraId="374316ED"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Intensive cessation telephone counselling v</w:t>
            </w:r>
            <w:r>
              <w:rPr>
                <w:rFonts w:eastAsia="MS Mincho"/>
                <w:lang w:eastAsia="en-US"/>
              </w:rPr>
              <w:t>ersu</w:t>
            </w:r>
            <w:r w:rsidRPr="00511E8C">
              <w:rPr>
                <w:rFonts w:eastAsia="MS Mincho"/>
                <w:lang w:eastAsia="en-US"/>
              </w:rPr>
              <w:t>s minimal telephone counselling</w:t>
            </w:r>
          </w:p>
          <w:p w14:paraId="23D34888" w14:textId="77777777" w:rsidR="00F11F77" w:rsidRPr="00511E8C" w:rsidRDefault="00F11F77" w:rsidP="00C324F3">
            <w:pPr>
              <w:pStyle w:val="ListParagraph"/>
              <w:numPr>
                <w:ilvl w:val="0"/>
                <w:numId w:val="212"/>
              </w:numPr>
              <w:rPr>
                <w:rFonts w:eastAsia="MS Mincho"/>
                <w:lang w:eastAsia="en-US"/>
              </w:rPr>
            </w:pPr>
            <w:r w:rsidRPr="00511E8C">
              <w:rPr>
                <w:rFonts w:eastAsia="MS Mincho"/>
                <w:lang w:eastAsia="en-US"/>
              </w:rPr>
              <w:t>16w nicotine patch and gum from quit date versus 8 weeks nicotine patch and gum from quit date</w:t>
            </w:r>
          </w:p>
        </w:tc>
        <w:tc>
          <w:tcPr>
            <w:tcW w:w="998" w:type="pct"/>
          </w:tcPr>
          <w:p w14:paraId="7B92595A" w14:textId="77777777" w:rsidR="00F11F77" w:rsidRPr="0007344E"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w:t>
            </w:r>
            <w:r w:rsidRPr="0007344E">
              <w:rPr>
                <w:rFonts w:eastAsia="MS Mincho" w:cstheme="minorBidi"/>
              </w:rPr>
              <w:t>Self-reported 7-day PPA at 6 m</w:t>
            </w:r>
            <w:r>
              <w:rPr>
                <w:rFonts w:eastAsia="MS Mincho" w:cstheme="minorBidi"/>
              </w:rPr>
              <w:t>onths</w:t>
            </w:r>
            <w:r w:rsidRPr="0007344E">
              <w:rPr>
                <w:rFonts w:eastAsia="MS Mincho" w:cstheme="minorBidi"/>
              </w:rPr>
              <w:t xml:space="preserve"> post-quit date</w:t>
            </w:r>
            <w:r>
              <w:rPr>
                <w:rFonts w:eastAsia="MS Mincho" w:cstheme="minorBidi"/>
              </w:rPr>
              <w:t xml:space="preserve">, </w:t>
            </w:r>
            <w:r w:rsidRPr="0007344E">
              <w:rPr>
                <w:rFonts w:eastAsia="MS Mincho" w:cstheme="minorBidi"/>
              </w:rPr>
              <w:t>Self-reported 7-day PPA at 16 w</w:t>
            </w:r>
            <w:r>
              <w:rPr>
                <w:rFonts w:eastAsia="MS Mincho" w:cstheme="minorBidi"/>
              </w:rPr>
              <w:t>ee</w:t>
            </w:r>
            <w:r w:rsidRPr="0007344E">
              <w:rPr>
                <w:rFonts w:eastAsia="MS Mincho" w:cstheme="minorBidi"/>
              </w:rPr>
              <w:t>ks post-quit date</w:t>
            </w:r>
            <w:r>
              <w:rPr>
                <w:rFonts w:eastAsia="MS Mincho" w:cstheme="minorBidi"/>
              </w:rPr>
              <w:t>.</w:t>
            </w:r>
          </w:p>
          <w:p w14:paraId="387ACAA1" w14:textId="77777777" w:rsidR="00F11F77" w:rsidRDefault="00F11F77" w:rsidP="006B48C7">
            <w:pPr>
              <w:pStyle w:val="Tablewriting"/>
              <w:rPr>
                <w:rFonts w:eastAsia="MS Mincho" w:cstheme="minorBidi"/>
              </w:rPr>
            </w:pPr>
            <w:r w:rsidRPr="0007344E">
              <w:rPr>
                <w:rFonts w:eastAsia="MS Mincho" w:cstheme="minorBidi"/>
              </w:rPr>
              <w:t>Validation: none</w:t>
            </w:r>
          </w:p>
          <w:p w14:paraId="59BC62EB" w14:textId="77777777" w:rsidR="00F11F77" w:rsidRDefault="00F11F77" w:rsidP="006B48C7">
            <w:pPr>
              <w:pStyle w:val="Tablewriting"/>
              <w:rPr>
                <w:rFonts w:eastAsia="MS Mincho" w:cstheme="minorBidi"/>
              </w:rPr>
            </w:pPr>
          </w:p>
          <w:p w14:paraId="2B2BC8CF"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07344E">
              <w:rPr>
                <w:rFonts w:eastAsia="MS Mincho" w:cstheme="minorBidi"/>
              </w:rPr>
              <w:t>Adverse events</w:t>
            </w:r>
            <w:r>
              <w:rPr>
                <w:rFonts w:eastAsia="MS Mincho" w:cstheme="minorBidi"/>
              </w:rPr>
              <w:t xml:space="preserve"> </w:t>
            </w:r>
            <w:r w:rsidRPr="0007344E">
              <w:rPr>
                <w:rFonts w:eastAsia="MS Mincho" w:cstheme="minorBidi"/>
              </w:rPr>
              <w:t>measured in visits at w</w:t>
            </w:r>
            <w:r>
              <w:rPr>
                <w:rFonts w:eastAsia="MS Mincho" w:cstheme="minorBidi"/>
              </w:rPr>
              <w:t>ee</w:t>
            </w:r>
            <w:r w:rsidRPr="0007344E">
              <w:rPr>
                <w:rFonts w:eastAsia="MS Mincho" w:cstheme="minorBidi"/>
              </w:rPr>
              <w:t>ks -1 and 4, and in calls at w</w:t>
            </w:r>
            <w:r>
              <w:rPr>
                <w:rFonts w:eastAsia="MS Mincho" w:cstheme="minorBidi"/>
              </w:rPr>
              <w:t>ee</w:t>
            </w:r>
            <w:r w:rsidRPr="0007344E">
              <w:rPr>
                <w:rFonts w:eastAsia="MS Mincho" w:cstheme="minorBidi"/>
              </w:rPr>
              <w:t>ks 8, 16, and 26</w:t>
            </w:r>
            <w:r>
              <w:rPr>
                <w:rFonts w:eastAsia="MS Mincho" w:cstheme="minorBidi"/>
              </w:rPr>
              <w:t xml:space="preserve">. </w:t>
            </w:r>
          </w:p>
        </w:tc>
      </w:tr>
      <w:tr w:rsidR="00F11F77" w:rsidRPr="00017AE6" w14:paraId="7FCCCBF4" w14:textId="77777777" w:rsidTr="00EA7016">
        <w:trPr>
          <w:trHeight w:val="99"/>
        </w:trPr>
        <w:tc>
          <w:tcPr>
            <w:tcW w:w="539" w:type="pct"/>
          </w:tcPr>
          <w:p w14:paraId="6A743B15" w14:textId="77777777" w:rsidR="00F11F77" w:rsidRPr="00FA2C37" w:rsidRDefault="00F11F77" w:rsidP="006B48C7">
            <w:pPr>
              <w:pStyle w:val="Tablewriting"/>
              <w:rPr>
                <w:rFonts w:eastAsia="MS Mincho"/>
              </w:rPr>
            </w:pPr>
            <w:r w:rsidRPr="00245AD9">
              <w:rPr>
                <w:rFonts w:eastAsia="MS Mincho"/>
              </w:rPr>
              <w:lastRenderedPageBreak/>
              <w:t xml:space="preserve">Preloading Investigators </w:t>
            </w:r>
            <w:r>
              <w:rPr>
                <w:rFonts w:eastAsia="MS Mincho"/>
              </w:rPr>
              <w:t>(</w:t>
            </w:r>
            <w:r w:rsidRPr="00245AD9">
              <w:rPr>
                <w:rFonts w:eastAsia="MS Mincho"/>
              </w:rPr>
              <w:t>2018</w:t>
            </w:r>
            <w:r>
              <w:rPr>
                <w:rFonts w:eastAsia="MS Mincho"/>
              </w:rPr>
              <w:t>)</w:t>
            </w:r>
          </w:p>
        </w:tc>
        <w:tc>
          <w:tcPr>
            <w:tcW w:w="247" w:type="pct"/>
          </w:tcPr>
          <w:p w14:paraId="080B83C0"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3CCA1E8A" w14:textId="77777777" w:rsidR="00F11F77" w:rsidRPr="00017AE6" w:rsidRDefault="00F11F77" w:rsidP="006B48C7">
            <w:pPr>
              <w:pStyle w:val="Tablewriting"/>
              <w:rPr>
                <w:rFonts w:eastAsia="MS Mincho" w:cstheme="minorHAnsi"/>
              </w:rPr>
            </w:pPr>
            <w:r>
              <w:rPr>
                <w:rFonts w:eastAsia="MS Mincho" w:cstheme="minorHAnsi"/>
              </w:rPr>
              <w:t>UK</w:t>
            </w:r>
          </w:p>
        </w:tc>
        <w:tc>
          <w:tcPr>
            <w:tcW w:w="346" w:type="pct"/>
          </w:tcPr>
          <w:p w14:paraId="31025A0B" w14:textId="77777777" w:rsidR="00F11F77" w:rsidRPr="00017AE6" w:rsidRDefault="00F11F77" w:rsidP="006B48C7">
            <w:pPr>
              <w:pStyle w:val="Tablewriting"/>
              <w:rPr>
                <w:rFonts w:eastAsia="MS Mincho" w:cstheme="minorHAnsi"/>
              </w:rPr>
            </w:pPr>
            <w:r>
              <w:rPr>
                <w:rFonts w:eastAsia="MS Mincho" w:cstheme="minorHAnsi"/>
              </w:rPr>
              <w:t>N=1792</w:t>
            </w:r>
          </w:p>
        </w:tc>
        <w:tc>
          <w:tcPr>
            <w:tcW w:w="1166" w:type="pct"/>
          </w:tcPr>
          <w:p w14:paraId="42451D88" w14:textId="77777777" w:rsidR="00F11F77" w:rsidRPr="00203343" w:rsidRDefault="00F11F77" w:rsidP="006B48C7">
            <w:pPr>
              <w:pStyle w:val="Tablewriting"/>
              <w:rPr>
                <w:rFonts w:eastAsia="MS Mincho" w:cstheme="minorHAnsi"/>
              </w:rPr>
            </w:pPr>
            <w:r>
              <w:rPr>
                <w:rFonts w:eastAsia="MS Mincho" w:cstheme="minorHAnsi"/>
              </w:rPr>
              <w:t>S</w:t>
            </w:r>
            <w:r w:rsidRPr="00203343">
              <w:rPr>
                <w:rFonts w:eastAsia="MS Mincho" w:cstheme="minorHAnsi"/>
              </w:rPr>
              <w:t xml:space="preserve">mokers: aged </w:t>
            </w:r>
            <w:r w:rsidRPr="00E632A9">
              <w:rPr>
                <w:rFonts w:eastAsia="MS Mincho" w:cstheme="minorHAnsi"/>
              </w:rPr>
              <w:t>≥</w:t>
            </w:r>
            <w:r w:rsidRPr="00203343">
              <w:rPr>
                <w:rFonts w:eastAsia="MS Mincho" w:cstheme="minorHAnsi"/>
              </w:rPr>
              <w:t>18 years, motivated to quit, suitable for nicotine preloading treatment (evidenced</w:t>
            </w:r>
            <w:r>
              <w:rPr>
                <w:rFonts w:eastAsia="MS Mincho" w:cstheme="minorHAnsi"/>
              </w:rPr>
              <w:t xml:space="preserve"> </w:t>
            </w:r>
            <w:r w:rsidRPr="00203343">
              <w:rPr>
                <w:rFonts w:eastAsia="MS Mincho" w:cstheme="minorHAnsi"/>
              </w:rPr>
              <w:t>by an addiction to smoking)</w:t>
            </w:r>
            <w:r>
              <w:rPr>
                <w:rFonts w:eastAsia="MS Mincho" w:cstheme="minorHAnsi"/>
              </w:rPr>
              <w:t>.</w:t>
            </w:r>
          </w:p>
          <w:p w14:paraId="708AB375" w14:textId="77777777" w:rsidR="00F11F77" w:rsidRPr="00017AE6" w:rsidRDefault="00F11F77" w:rsidP="006B48C7">
            <w:pPr>
              <w:pStyle w:val="Tablewriting"/>
              <w:rPr>
                <w:rFonts w:eastAsia="MS Mincho" w:cstheme="minorHAnsi"/>
              </w:rPr>
            </w:pPr>
            <w:r w:rsidRPr="00203343">
              <w:rPr>
                <w:rFonts w:eastAsia="MS Mincho" w:cstheme="minorHAnsi"/>
              </w:rPr>
              <w:t>52.6% men, av</w:t>
            </w:r>
            <w:r>
              <w:rPr>
                <w:rFonts w:eastAsia="MS Mincho" w:cstheme="minorHAnsi"/>
              </w:rPr>
              <w:t xml:space="preserve">erage </w:t>
            </w:r>
            <w:r w:rsidRPr="00203343">
              <w:rPr>
                <w:rFonts w:eastAsia="MS Mincho" w:cstheme="minorHAnsi"/>
              </w:rPr>
              <w:t>age 48.9</w:t>
            </w:r>
            <w:r>
              <w:rPr>
                <w:rFonts w:eastAsia="MS Mincho" w:cstheme="minorHAnsi"/>
              </w:rPr>
              <w:t xml:space="preserve"> years</w:t>
            </w:r>
            <w:r w:rsidRPr="00203343">
              <w:rPr>
                <w:rFonts w:eastAsia="MS Mincho" w:cstheme="minorHAnsi"/>
              </w:rPr>
              <w:t>, av</w:t>
            </w:r>
            <w:r>
              <w:rPr>
                <w:rFonts w:eastAsia="MS Mincho" w:cstheme="minorHAnsi"/>
              </w:rPr>
              <w:t>erage CPD</w:t>
            </w:r>
            <w:r w:rsidRPr="00203343">
              <w:rPr>
                <w:rFonts w:eastAsia="MS Mincho" w:cstheme="minorHAnsi"/>
              </w:rPr>
              <w:t xml:space="preserve"> 18.9, mean FTND 5.2, mean CO 23.7 ppm, mean longest previous abstinence</w:t>
            </w:r>
            <w:r>
              <w:rPr>
                <w:rFonts w:eastAsia="MS Mincho" w:cstheme="minorHAnsi"/>
              </w:rPr>
              <w:t xml:space="preserve"> </w:t>
            </w:r>
            <w:r w:rsidRPr="00203343">
              <w:rPr>
                <w:rFonts w:eastAsia="MS Mincho" w:cstheme="minorHAnsi"/>
              </w:rPr>
              <w:t>400.3 days, cessation support in last 6 months 32.5%</w:t>
            </w:r>
            <w:r>
              <w:rPr>
                <w:rFonts w:eastAsia="MS Mincho" w:cstheme="minorHAnsi"/>
              </w:rPr>
              <w:t>.</w:t>
            </w:r>
          </w:p>
        </w:tc>
        <w:tc>
          <w:tcPr>
            <w:tcW w:w="1286" w:type="pct"/>
          </w:tcPr>
          <w:p w14:paraId="14139388" w14:textId="77777777" w:rsidR="00F11F77" w:rsidRPr="001A61DE" w:rsidRDefault="00F11F77" w:rsidP="00C324F3">
            <w:pPr>
              <w:pStyle w:val="ListParagraph"/>
              <w:numPr>
                <w:ilvl w:val="0"/>
                <w:numId w:val="213"/>
              </w:numPr>
              <w:rPr>
                <w:rFonts w:eastAsia="MS Mincho"/>
                <w:lang w:eastAsia="en-US"/>
              </w:rPr>
            </w:pPr>
            <w:r w:rsidRPr="001A61DE">
              <w:rPr>
                <w:rFonts w:eastAsia="MS Mincho"/>
                <w:lang w:eastAsia="en-US"/>
              </w:rPr>
              <w:t>Nicotine patch for 4 weeks before quit date (nicotine preloading)</w:t>
            </w:r>
          </w:p>
          <w:p w14:paraId="4E0F7DFB" w14:textId="77777777" w:rsidR="00F11F77" w:rsidRPr="001A61DE" w:rsidRDefault="00F11F77" w:rsidP="00C324F3">
            <w:pPr>
              <w:pStyle w:val="ListParagraph"/>
              <w:numPr>
                <w:ilvl w:val="0"/>
                <w:numId w:val="213"/>
              </w:numPr>
              <w:rPr>
                <w:rFonts w:eastAsia="MS Mincho"/>
                <w:lang w:eastAsia="en-US"/>
              </w:rPr>
            </w:pPr>
            <w:r w:rsidRPr="001A61DE">
              <w:rPr>
                <w:rFonts w:eastAsia="MS Mincho"/>
                <w:lang w:eastAsia="en-US"/>
              </w:rPr>
              <w:t>No nicotine patch before quit date</w:t>
            </w:r>
          </w:p>
          <w:p w14:paraId="4360DB27" w14:textId="77777777" w:rsidR="00F11F77" w:rsidRDefault="00F11F77" w:rsidP="006B48C7">
            <w:pPr>
              <w:rPr>
                <w:rFonts w:eastAsia="MS Mincho"/>
                <w:lang w:eastAsia="en-US"/>
              </w:rPr>
            </w:pPr>
          </w:p>
          <w:p w14:paraId="75C44041" w14:textId="77777777" w:rsidR="00F11F77" w:rsidRPr="001A61DE" w:rsidRDefault="00F11F77" w:rsidP="006B48C7">
            <w:pPr>
              <w:rPr>
                <w:rFonts w:eastAsia="MS Mincho"/>
                <w:lang w:eastAsia="en-US"/>
              </w:rPr>
            </w:pPr>
            <w:r w:rsidRPr="007F73F2">
              <w:rPr>
                <w:rFonts w:eastAsia="MS Mincho"/>
                <w:u w:val="single"/>
                <w:lang w:eastAsia="en-US"/>
              </w:rPr>
              <w:t>Common component:</w:t>
            </w:r>
            <w:r>
              <w:rPr>
                <w:rFonts w:eastAsia="MS Mincho"/>
                <w:lang w:eastAsia="en-US"/>
              </w:rPr>
              <w:t xml:space="preserve"> </w:t>
            </w:r>
            <w:r w:rsidRPr="001A61DE">
              <w:rPr>
                <w:rFonts w:eastAsia="MS Mincho"/>
                <w:lang w:eastAsia="en-US"/>
              </w:rPr>
              <w:t>All participants received usual care from stop-smoking services, including pharmacotherapy, beginning</w:t>
            </w:r>
            <w:r>
              <w:rPr>
                <w:rFonts w:eastAsia="MS Mincho"/>
                <w:lang w:eastAsia="en-US"/>
              </w:rPr>
              <w:t xml:space="preserve"> </w:t>
            </w:r>
            <w:r w:rsidRPr="001A61DE">
              <w:rPr>
                <w:rFonts w:eastAsia="MS Mincho"/>
                <w:lang w:eastAsia="en-US"/>
              </w:rPr>
              <w:t>1 - 2 weeks before their quit date</w:t>
            </w:r>
            <w:r>
              <w:rPr>
                <w:rFonts w:eastAsia="MS Mincho"/>
                <w:lang w:eastAsia="en-US"/>
              </w:rPr>
              <w:t>.</w:t>
            </w:r>
          </w:p>
        </w:tc>
        <w:tc>
          <w:tcPr>
            <w:tcW w:w="998" w:type="pct"/>
          </w:tcPr>
          <w:p w14:paraId="04E1FCB2" w14:textId="77777777" w:rsidR="00F11F77" w:rsidRPr="001A61DE"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1A61DE">
              <w:rPr>
                <w:rFonts w:eastAsia="MS Mincho" w:cstheme="minorBidi"/>
              </w:rPr>
              <w:t>Prolonged abstinence at 12 months post-quit,</w:t>
            </w:r>
            <w:r>
              <w:rPr>
                <w:rFonts w:eastAsia="MS Mincho" w:cstheme="minorBidi"/>
              </w:rPr>
              <w:t xml:space="preserve"> </w:t>
            </w:r>
            <w:r w:rsidRPr="001A61DE">
              <w:rPr>
                <w:rFonts w:eastAsia="MS Mincho" w:cstheme="minorBidi"/>
              </w:rPr>
              <w:t>biochemically validated (CO &lt; 10 ppm - salivary cotinine</w:t>
            </w:r>
          </w:p>
          <w:p w14:paraId="6CA7EE89" w14:textId="77777777" w:rsidR="00F11F77" w:rsidRDefault="00F11F77" w:rsidP="006B48C7">
            <w:pPr>
              <w:pStyle w:val="Tablewriting"/>
              <w:rPr>
                <w:rFonts w:eastAsia="MS Mincho" w:cstheme="minorBidi"/>
              </w:rPr>
            </w:pPr>
            <w:r w:rsidRPr="001A61DE">
              <w:rPr>
                <w:rFonts w:eastAsia="MS Mincho" w:cstheme="minorBidi"/>
              </w:rPr>
              <w:t>or anabasine were measured instead in a minority of cases, where participants could not attend in person</w:t>
            </w:r>
            <w:r>
              <w:rPr>
                <w:rFonts w:eastAsia="MS Mincho" w:cstheme="minorBidi"/>
              </w:rPr>
              <w:t xml:space="preserve"> </w:t>
            </w:r>
            <w:r w:rsidRPr="001A61DE">
              <w:rPr>
                <w:rFonts w:eastAsia="MS Mincho" w:cstheme="minorBidi"/>
              </w:rPr>
              <w:t>for validation)</w:t>
            </w:r>
            <w:r>
              <w:rPr>
                <w:rFonts w:eastAsia="MS Mincho" w:cstheme="minorBidi"/>
              </w:rPr>
              <w:t>.</w:t>
            </w:r>
          </w:p>
          <w:p w14:paraId="0176EE9E" w14:textId="77777777" w:rsidR="00F11F77" w:rsidRDefault="00F11F77" w:rsidP="006B48C7">
            <w:pPr>
              <w:pStyle w:val="Tablewriting"/>
              <w:rPr>
                <w:rFonts w:eastAsia="MS Mincho" w:cstheme="minorBidi"/>
              </w:rPr>
            </w:pPr>
          </w:p>
          <w:p w14:paraId="4AACC5CA" w14:textId="445A0B02" w:rsidR="00F11F77" w:rsidRPr="001A61DE" w:rsidRDefault="00F11F77" w:rsidP="006B48C7">
            <w:pPr>
              <w:pStyle w:val="Tablewriting"/>
              <w:rPr>
                <w:rFonts w:eastAsia="MS Mincho" w:cstheme="minorBidi"/>
              </w:rPr>
            </w:pPr>
            <w:r w:rsidRPr="001A61DE">
              <w:rPr>
                <w:rFonts w:eastAsia="MS Mincho" w:cstheme="minorBidi"/>
              </w:rPr>
              <w:t>Other abstinence measures: 7-day PPA at 4 w</w:t>
            </w:r>
            <w:r>
              <w:rPr>
                <w:rFonts w:eastAsia="MS Mincho" w:cstheme="minorBidi"/>
              </w:rPr>
              <w:t>ee</w:t>
            </w:r>
            <w:r w:rsidRPr="001A61DE">
              <w:rPr>
                <w:rFonts w:eastAsia="MS Mincho" w:cstheme="minorBidi"/>
              </w:rPr>
              <w:t xml:space="preserve">ks, 6 </w:t>
            </w:r>
            <w:r w:rsidR="00115AEE" w:rsidRPr="001A61DE">
              <w:rPr>
                <w:rFonts w:eastAsia="MS Mincho" w:cstheme="minorBidi"/>
              </w:rPr>
              <w:t>m</w:t>
            </w:r>
            <w:r w:rsidR="00115AEE">
              <w:rPr>
                <w:rFonts w:eastAsia="MS Mincho" w:cstheme="minorBidi"/>
              </w:rPr>
              <w:t>onths,</w:t>
            </w:r>
            <w:r w:rsidRPr="001A61DE">
              <w:rPr>
                <w:rFonts w:eastAsia="MS Mincho" w:cstheme="minorBidi"/>
              </w:rPr>
              <w:t xml:space="preserve"> and 12 m</w:t>
            </w:r>
            <w:r>
              <w:rPr>
                <w:rFonts w:eastAsia="MS Mincho" w:cstheme="minorBidi"/>
              </w:rPr>
              <w:t xml:space="preserve">onths; </w:t>
            </w:r>
            <w:r w:rsidRPr="001A61DE">
              <w:rPr>
                <w:rFonts w:eastAsia="MS Mincho" w:cstheme="minorBidi"/>
              </w:rPr>
              <w:t>Prolonged abstinence at 4 w</w:t>
            </w:r>
            <w:r>
              <w:rPr>
                <w:rFonts w:eastAsia="MS Mincho" w:cstheme="minorBidi"/>
              </w:rPr>
              <w:t>ee</w:t>
            </w:r>
            <w:r w:rsidRPr="001A61DE">
              <w:rPr>
                <w:rFonts w:eastAsia="MS Mincho" w:cstheme="minorBidi"/>
              </w:rPr>
              <w:t>ks and 6 m</w:t>
            </w:r>
            <w:r>
              <w:rPr>
                <w:rFonts w:eastAsia="MS Mincho" w:cstheme="minorBidi"/>
              </w:rPr>
              <w:t>onths</w:t>
            </w:r>
          </w:p>
          <w:p w14:paraId="612CBE88" w14:textId="77777777" w:rsidR="00F11F77" w:rsidRDefault="00F11F77" w:rsidP="006B48C7">
            <w:pPr>
              <w:pStyle w:val="Tablewriting"/>
              <w:rPr>
                <w:rFonts w:eastAsia="MS Mincho" w:cstheme="minorBidi"/>
                <w:u w:val="single"/>
              </w:rPr>
            </w:pPr>
          </w:p>
          <w:p w14:paraId="0C965F25"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1A61DE">
              <w:rPr>
                <w:rFonts w:eastAsia="MS Mincho" w:cstheme="minorBidi"/>
              </w:rPr>
              <w:t>Adverse events</w:t>
            </w:r>
            <w:r>
              <w:rPr>
                <w:rFonts w:eastAsia="MS Mincho" w:cstheme="minorBidi"/>
              </w:rPr>
              <w:t xml:space="preserve"> </w:t>
            </w:r>
            <w:r w:rsidRPr="001A61DE">
              <w:rPr>
                <w:rFonts w:eastAsia="MS Mincho" w:cstheme="minorBidi"/>
              </w:rPr>
              <w:t xml:space="preserve">measured to 1 week post-quit </w:t>
            </w:r>
            <w:r w:rsidRPr="001A61DE">
              <w:rPr>
                <w:rFonts w:eastAsia="MS Mincho" w:cstheme="minorBidi"/>
              </w:rPr>
              <w:lastRenderedPageBreak/>
              <w:t>(1</w:t>
            </w:r>
            <w:r>
              <w:rPr>
                <w:rFonts w:eastAsia="MS Mincho" w:cstheme="minorBidi"/>
              </w:rPr>
              <w:t xml:space="preserve"> </w:t>
            </w:r>
            <w:r w:rsidRPr="001A61DE">
              <w:rPr>
                <w:rFonts w:eastAsia="MS Mincho" w:cstheme="minorBidi"/>
              </w:rPr>
              <w:t>week post-cessation of preloading</w:t>
            </w:r>
            <w:r>
              <w:rPr>
                <w:rFonts w:eastAsia="MS Mincho" w:cstheme="minorBidi"/>
              </w:rPr>
              <w:t>.</w:t>
            </w:r>
          </w:p>
        </w:tc>
      </w:tr>
      <w:tr w:rsidR="00F11F77" w:rsidRPr="00017AE6" w14:paraId="4873CF0A" w14:textId="77777777" w:rsidTr="00EA7016">
        <w:trPr>
          <w:trHeight w:val="99"/>
        </w:trPr>
        <w:tc>
          <w:tcPr>
            <w:tcW w:w="539" w:type="pct"/>
          </w:tcPr>
          <w:p w14:paraId="6EB954B6" w14:textId="77777777" w:rsidR="00F11F77" w:rsidRPr="00FA2C37" w:rsidRDefault="00F11F77" w:rsidP="006B48C7">
            <w:pPr>
              <w:pStyle w:val="Tablewriting"/>
              <w:rPr>
                <w:rFonts w:eastAsia="MS Mincho"/>
              </w:rPr>
            </w:pPr>
            <w:r w:rsidRPr="00245AD9">
              <w:rPr>
                <w:rFonts w:eastAsia="MS Mincho"/>
              </w:rPr>
              <w:lastRenderedPageBreak/>
              <w:t xml:space="preserve">Rose </w:t>
            </w:r>
            <w:r>
              <w:rPr>
                <w:rFonts w:eastAsia="MS Mincho"/>
              </w:rPr>
              <w:t>(</w:t>
            </w:r>
            <w:r w:rsidRPr="00245AD9">
              <w:rPr>
                <w:rFonts w:eastAsia="MS Mincho"/>
              </w:rPr>
              <w:t>1994</w:t>
            </w:r>
            <w:r>
              <w:rPr>
                <w:rFonts w:eastAsia="MS Mincho"/>
              </w:rPr>
              <w:t>)</w:t>
            </w:r>
          </w:p>
        </w:tc>
        <w:tc>
          <w:tcPr>
            <w:tcW w:w="247" w:type="pct"/>
          </w:tcPr>
          <w:p w14:paraId="56F3BABC"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5F4F986F"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0B97C7DF" w14:textId="77777777" w:rsidR="00F11F77" w:rsidRPr="00017AE6" w:rsidRDefault="00F11F77" w:rsidP="006B48C7">
            <w:pPr>
              <w:pStyle w:val="Tablewriting"/>
              <w:rPr>
                <w:rFonts w:eastAsia="MS Mincho" w:cstheme="minorHAnsi"/>
              </w:rPr>
            </w:pPr>
            <w:r>
              <w:rPr>
                <w:rFonts w:eastAsia="MS Mincho" w:cstheme="minorHAnsi"/>
              </w:rPr>
              <w:t>N=48</w:t>
            </w:r>
          </w:p>
        </w:tc>
        <w:tc>
          <w:tcPr>
            <w:tcW w:w="1166" w:type="pct"/>
          </w:tcPr>
          <w:p w14:paraId="58DB7EEA" w14:textId="77777777" w:rsidR="00F11F77" w:rsidRPr="00017AE6" w:rsidRDefault="00F11F77" w:rsidP="006B48C7">
            <w:pPr>
              <w:pStyle w:val="Tablewriting"/>
              <w:rPr>
                <w:rFonts w:eastAsia="MS Mincho" w:cstheme="minorHAnsi"/>
              </w:rPr>
            </w:pPr>
            <w:r>
              <w:rPr>
                <w:rFonts w:eastAsia="MS Mincho" w:cstheme="minorHAnsi"/>
              </w:rPr>
              <w:t>S</w:t>
            </w:r>
            <w:r w:rsidRPr="007F73F2">
              <w:rPr>
                <w:rFonts w:eastAsia="MS Mincho" w:cstheme="minorHAnsi"/>
              </w:rPr>
              <w:t>mokers (</w:t>
            </w:r>
            <w:r w:rsidRPr="00E632A9">
              <w:rPr>
                <w:rFonts w:eastAsia="MS Mincho" w:cstheme="minorHAnsi"/>
              </w:rPr>
              <w:t>≥</w:t>
            </w:r>
            <w:r w:rsidRPr="007F73F2">
              <w:rPr>
                <w:rFonts w:eastAsia="MS Mincho" w:cstheme="minorHAnsi"/>
              </w:rPr>
              <w:t xml:space="preserve">20 </w:t>
            </w:r>
            <w:r>
              <w:rPr>
                <w:rFonts w:eastAsia="MS Mincho" w:cstheme="minorHAnsi"/>
              </w:rPr>
              <w:t>CPD</w:t>
            </w:r>
            <w:r w:rsidRPr="007F73F2">
              <w:rPr>
                <w:rFonts w:eastAsia="MS Mincho" w:cstheme="minorHAnsi"/>
              </w:rPr>
              <w:t>)</w:t>
            </w:r>
            <w:r>
              <w:rPr>
                <w:rFonts w:eastAsia="MS Mincho" w:cstheme="minorHAnsi"/>
              </w:rPr>
              <w:t xml:space="preserve">, </w:t>
            </w:r>
            <w:r w:rsidRPr="007F73F2">
              <w:rPr>
                <w:rFonts w:eastAsia="MS Mincho" w:cstheme="minorHAnsi"/>
              </w:rPr>
              <w:t>40% men, av</w:t>
            </w:r>
            <w:r>
              <w:rPr>
                <w:rFonts w:eastAsia="MS Mincho" w:cstheme="minorHAnsi"/>
              </w:rPr>
              <w:t>erage</w:t>
            </w:r>
            <w:r w:rsidRPr="007F73F2">
              <w:rPr>
                <w:rFonts w:eastAsia="MS Mincho" w:cstheme="minorHAnsi"/>
              </w:rPr>
              <w:t xml:space="preserve"> age 34</w:t>
            </w:r>
            <w:r>
              <w:rPr>
                <w:rFonts w:eastAsia="MS Mincho" w:cstheme="minorHAnsi"/>
              </w:rPr>
              <w:t xml:space="preserve"> years</w:t>
            </w:r>
            <w:r w:rsidRPr="007F73F2">
              <w:rPr>
                <w:rFonts w:eastAsia="MS Mincho" w:cstheme="minorHAnsi"/>
              </w:rPr>
              <w:t>, av</w:t>
            </w:r>
            <w:r>
              <w:rPr>
                <w:rFonts w:eastAsia="MS Mincho" w:cstheme="minorHAnsi"/>
              </w:rPr>
              <w:t>erage</w:t>
            </w:r>
            <w:r w:rsidRPr="007F73F2">
              <w:rPr>
                <w:rFonts w:eastAsia="MS Mincho" w:cstheme="minorHAnsi"/>
              </w:rPr>
              <w:t xml:space="preserve"> </w:t>
            </w:r>
            <w:r>
              <w:rPr>
                <w:rFonts w:eastAsia="MS Mincho" w:cstheme="minorHAnsi"/>
              </w:rPr>
              <w:t>CPD</w:t>
            </w:r>
            <w:r w:rsidRPr="007F73F2">
              <w:rPr>
                <w:rFonts w:eastAsia="MS Mincho" w:cstheme="minorHAnsi"/>
              </w:rPr>
              <w:t xml:space="preserve"> 27 </w:t>
            </w:r>
            <w:r>
              <w:rPr>
                <w:rFonts w:eastAsia="MS Mincho" w:cstheme="minorHAnsi"/>
              </w:rPr>
              <w:t>–</w:t>
            </w:r>
            <w:r w:rsidRPr="007F73F2">
              <w:rPr>
                <w:rFonts w:eastAsia="MS Mincho" w:cstheme="minorHAnsi"/>
              </w:rPr>
              <w:t xml:space="preserve"> 29</w:t>
            </w:r>
            <w:r>
              <w:rPr>
                <w:rFonts w:eastAsia="MS Mincho" w:cstheme="minorHAnsi"/>
              </w:rPr>
              <w:t xml:space="preserve">. </w:t>
            </w:r>
          </w:p>
        </w:tc>
        <w:tc>
          <w:tcPr>
            <w:tcW w:w="1286" w:type="pct"/>
          </w:tcPr>
          <w:p w14:paraId="77A0CD17" w14:textId="77777777" w:rsidR="00F11F77" w:rsidRPr="007F73F2" w:rsidRDefault="00F11F77" w:rsidP="00C324F3">
            <w:pPr>
              <w:pStyle w:val="ListParagraph"/>
              <w:numPr>
                <w:ilvl w:val="0"/>
                <w:numId w:val="214"/>
              </w:numPr>
              <w:rPr>
                <w:rFonts w:eastAsia="MS Mincho"/>
                <w:lang w:eastAsia="en-US"/>
              </w:rPr>
            </w:pPr>
            <w:r w:rsidRPr="007F73F2">
              <w:rPr>
                <w:rFonts w:eastAsia="MS Mincho"/>
                <w:lang w:eastAsia="en-US"/>
              </w:rPr>
              <w:t>Nicotine patch (21 mg/24-hour for 2 w</w:t>
            </w:r>
            <w:r>
              <w:rPr>
                <w:rFonts w:eastAsia="MS Mincho"/>
                <w:lang w:eastAsia="en-US"/>
              </w:rPr>
              <w:t>ee</w:t>
            </w:r>
            <w:r w:rsidRPr="007F73F2">
              <w:rPr>
                <w:rFonts w:eastAsia="MS Mincho"/>
                <w:lang w:eastAsia="en-US"/>
              </w:rPr>
              <w:t>ks before TQD)</w:t>
            </w:r>
          </w:p>
          <w:p w14:paraId="6EE8F5BF" w14:textId="77777777" w:rsidR="00F11F77" w:rsidRDefault="00F11F77" w:rsidP="00C324F3">
            <w:pPr>
              <w:pStyle w:val="ListParagraph"/>
              <w:numPr>
                <w:ilvl w:val="0"/>
                <w:numId w:val="214"/>
              </w:numPr>
              <w:rPr>
                <w:rFonts w:eastAsia="MS Mincho"/>
                <w:lang w:eastAsia="en-US"/>
              </w:rPr>
            </w:pPr>
            <w:r w:rsidRPr="007F73F2">
              <w:rPr>
                <w:rFonts w:eastAsia="MS Mincho"/>
                <w:lang w:eastAsia="en-US"/>
              </w:rPr>
              <w:t>Placebo</w:t>
            </w:r>
          </w:p>
          <w:p w14:paraId="7A288D1B" w14:textId="77777777" w:rsidR="00F11F77" w:rsidRDefault="00F11F77" w:rsidP="006B48C7">
            <w:pPr>
              <w:rPr>
                <w:rFonts w:eastAsia="MS Mincho"/>
                <w:lang w:eastAsia="en-US"/>
              </w:rPr>
            </w:pPr>
          </w:p>
          <w:p w14:paraId="00BA343B" w14:textId="77777777" w:rsidR="00F11F77" w:rsidRPr="007F73F2" w:rsidRDefault="00F11F77" w:rsidP="006B48C7">
            <w:pPr>
              <w:rPr>
                <w:rFonts w:eastAsia="MS Mincho"/>
                <w:lang w:eastAsia="en-US"/>
              </w:rPr>
            </w:pPr>
            <w:r w:rsidRPr="007F73F2">
              <w:rPr>
                <w:rFonts w:eastAsia="MS Mincho"/>
                <w:u w:val="single"/>
                <w:lang w:eastAsia="en-US"/>
              </w:rPr>
              <w:t>Common component</w:t>
            </w:r>
            <w:r>
              <w:rPr>
                <w:rFonts w:eastAsia="MS Mincho"/>
                <w:lang w:eastAsia="en-US"/>
              </w:rPr>
              <w:t xml:space="preserve">: </w:t>
            </w:r>
            <w:r w:rsidRPr="007F73F2">
              <w:rPr>
                <w:rFonts w:eastAsia="MS Mincho"/>
                <w:lang w:eastAsia="en-US"/>
              </w:rPr>
              <w:t>After TQD both groups received active patch for 6 w</w:t>
            </w:r>
            <w:r>
              <w:rPr>
                <w:rFonts w:eastAsia="MS Mincho"/>
                <w:lang w:eastAsia="en-US"/>
              </w:rPr>
              <w:t>ee</w:t>
            </w:r>
            <w:r w:rsidRPr="007F73F2">
              <w:rPr>
                <w:rFonts w:eastAsia="MS Mincho"/>
                <w:lang w:eastAsia="en-US"/>
              </w:rPr>
              <w:t>ks, counselling at clinic visits and self-help materials</w:t>
            </w:r>
            <w:r>
              <w:rPr>
                <w:rFonts w:eastAsia="MS Mincho"/>
                <w:lang w:eastAsia="en-US"/>
              </w:rPr>
              <w:t xml:space="preserve">. </w:t>
            </w:r>
          </w:p>
        </w:tc>
        <w:tc>
          <w:tcPr>
            <w:tcW w:w="998" w:type="pct"/>
          </w:tcPr>
          <w:p w14:paraId="027272CF" w14:textId="77777777" w:rsidR="00F11F77" w:rsidRPr="007F73F2"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7F73F2">
              <w:rPr>
                <w:rFonts w:eastAsia="MS Mincho" w:cstheme="minorBidi"/>
              </w:rPr>
              <w:t>Sustained abstinence at 12 m</w:t>
            </w:r>
            <w:r>
              <w:rPr>
                <w:rFonts w:eastAsia="MS Mincho" w:cstheme="minorBidi"/>
              </w:rPr>
              <w:t xml:space="preserve">onths. </w:t>
            </w:r>
          </w:p>
          <w:p w14:paraId="7BAB2B97" w14:textId="77777777" w:rsidR="00F11F77" w:rsidRPr="007F73F2" w:rsidRDefault="00F11F77" w:rsidP="006B48C7">
            <w:pPr>
              <w:pStyle w:val="Tablewriting"/>
              <w:rPr>
                <w:rFonts w:eastAsia="MS Mincho" w:cstheme="minorBidi"/>
              </w:rPr>
            </w:pPr>
            <w:r w:rsidRPr="007F73F2">
              <w:rPr>
                <w:rFonts w:eastAsia="MS Mincho" w:cstheme="minorBidi"/>
              </w:rPr>
              <w:t>Validation: CO ≤8 ppm</w:t>
            </w:r>
            <w:r>
              <w:rPr>
                <w:rFonts w:eastAsia="MS Mincho" w:cstheme="minorBidi"/>
              </w:rPr>
              <w:t>.</w:t>
            </w:r>
          </w:p>
          <w:p w14:paraId="70B434A0" w14:textId="77777777" w:rsidR="00F11F77" w:rsidRDefault="00F11F77" w:rsidP="006B48C7">
            <w:pPr>
              <w:pStyle w:val="Tablewriting"/>
              <w:rPr>
                <w:rFonts w:eastAsia="MS Mincho" w:cstheme="minorBidi"/>
              </w:rPr>
            </w:pPr>
          </w:p>
          <w:p w14:paraId="4C53DDE1"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7F73F2">
              <w:rPr>
                <w:rFonts w:eastAsia="MS Mincho" w:cstheme="minorBidi"/>
              </w:rPr>
              <w:t>Adverse events</w:t>
            </w:r>
            <w:r>
              <w:rPr>
                <w:rFonts w:eastAsia="MS Mincho" w:cstheme="minorBidi"/>
              </w:rPr>
              <w:t xml:space="preserve"> </w:t>
            </w:r>
            <w:r w:rsidRPr="007F73F2">
              <w:rPr>
                <w:rFonts w:eastAsia="MS Mincho" w:cstheme="minorBidi"/>
              </w:rPr>
              <w:t>measured at visits until 1 week post-treatment</w:t>
            </w:r>
            <w:r>
              <w:rPr>
                <w:rFonts w:eastAsia="MS Mincho" w:cstheme="minorBidi"/>
              </w:rPr>
              <w:t>.</w:t>
            </w:r>
          </w:p>
        </w:tc>
      </w:tr>
      <w:tr w:rsidR="00F11F77" w:rsidRPr="00017AE6" w14:paraId="3524A817" w14:textId="77777777" w:rsidTr="00EA7016">
        <w:trPr>
          <w:trHeight w:val="99"/>
        </w:trPr>
        <w:tc>
          <w:tcPr>
            <w:tcW w:w="539" w:type="pct"/>
          </w:tcPr>
          <w:p w14:paraId="1DDA855B" w14:textId="77777777"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1998</w:t>
            </w:r>
            <w:r>
              <w:rPr>
                <w:rFonts w:eastAsia="MS Mincho"/>
              </w:rPr>
              <w:t>)</w:t>
            </w:r>
          </w:p>
        </w:tc>
        <w:tc>
          <w:tcPr>
            <w:tcW w:w="247" w:type="pct"/>
          </w:tcPr>
          <w:p w14:paraId="633ABBEA"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5F47E143"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6399BEB3" w14:textId="77777777" w:rsidR="00F11F77" w:rsidRPr="00017AE6" w:rsidRDefault="00F11F77" w:rsidP="006B48C7">
            <w:pPr>
              <w:pStyle w:val="Tablewriting"/>
              <w:rPr>
                <w:rFonts w:eastAsia="MS Mincho" w:cstheme="minorHAnsi"/>
              </w:rPr>
            </w:pPr>
            <w:r>
              <w:rPr>
                <w:rFonts w:eastAsia="MS Mincho" w:cstheme="minorHAnsi"/>
              </w:rPr>
              <w:t>N=80</w:t>
            </w:r>
          </w:p>
        </w:tc>
        <w:tc>
          <w:tcPr>
            <w:tcW w:w="1166" w:type="pct"/>
          </w:tcPr>
          <w:p w14:paraId="1C35C06E" w14:textId="77777777" w:rsidR="00F11F77" w:rsidRPr="007F73F2" w:rsidRDefault="00F11F77" w:rsidP="006B48C7">
            <w:pPr>
              <w:pStyle w:val="Tablewriting"/>
              <w:rPr>
                <w:rFonts w:eastAsia="MS Mincho" w:cstheme="minorHAnsi"/>
              </w:rPr>
            </w:pPr>
            <w:r>
              <w:rPr>
                <w:rFonts w:eastAsia="MS Mincho" w:cstheme="minorHAnsi"/>
              </w:rPr>
              <w:t>S</w:t>
            </w:r>
            <w:r w:rsidRPr="007F73F2">
              <w:rPr>
                <w:rFonts w:eastAsia="MS Mincho" w:cstheme="minorHAnsi"/>
              </w:rPr>
              <w:t>mokers (</w:t>
            </w:r>
            <w:r w:rsidRPr="00E632A9">
              <w:rPr>
                <w:rFonts w:eastAsia="MS Mincho" w:cstheme="minorHAnsi"/>
              </w:rPr>
              <w:t>≥</w:t>
            </w:r>
            <w:r w:rsidRPr="007F73F2">
              <w:rPr>
                <w:rFonts w:eastAsia="MS Mincho" w:cstheme="minorHAnsi"/>
              </w:rPr>
              <w:t xml:space="preserve">20 </w:t>
            </w:r>
            <w:r>
              <w:rPr>
                <w:rFonts w:eastAsia="MS Mincho" w:cstheme="minorHAnsi"/>
              </w:rPr>
              <w:t>CPD</w:t>
            </w:r>
            <w:r w:rsidRPr="007F73F2">
              <w:rPr>
                <w:rFonts w:eastAsia="MS Mincho" w:cstheme="minorHAnsi"/>
              </w:rPr>
              <w:t>)</w:t>
            </w:r>
          </w:p>
          <w:p w14:paraId="552408E9" w14:textId="77777777" w:rsidR="00F11F77" w:rsidRPr="00017AE6" w:rsidRDefault="00F11F77" w:rsidP="006B48C7">
            <w:pPr>
              <w:pStyle w:val="Tablewriting"/>
              <w:rPr>
                <w:rFonts w:eastAsia="MS Mincho" w:cstheme="minorHAnsi"/>
              </w:rPr>
            </w:pPr>
            <w:r w:rsidRPr="007F73F2">
              <w:rPr>
                <w:rFonts w:eastAsia="MS Mincho" w:cstheme="minorHAnsi"/>
              </w:rPr>
              <w:t>51% men, av</w:t>
            </w:r>
            <w:r>
              <w:rPr>
                <w:rFonts w:eastAsia="MS Mincho" w:cstheme="minorHAnsi"/>
              </w:rPr>
              <w:t>erage</w:t>
            </w:r>
            <w:r w:rsidRPr="007F73F2">
              <w:rPr>
                <w:rFonts w:eastAsia="MS Mincho" w:cstheme="minorHAnsi"/>
              </w:rPr>
              <w:t xml:space="preserve"> age 41</w:t>
            </w:r>
            <w:r>
              <w:rPr>
                <w:rFonts w:eastAsia="MS Mincho" w:cstheme="minorHAnsi"/>
              </w:rPr>
              <w:t xml:space="preserve"> years</w:t>
            </w:r>
            <w:r w:rsidRPr="007F73F2">
              <w:rPr>
                <w:rFonts w:eastAsia="MS Mincho" w:cstheme="minorHAnsi"/>
              </w:rPr>
              <w:t xml:space="preserve">, </w:t>
            </w:r>
            <w:r>
              <w:rPr>
                <w:rFonts w:eastAsia="MS Mincho" w:cstheme="minorHAnsi"/>
              </w:rPr>
              <w:t xml:space="preserve">average CPD </w:t>
            </w:r>
            <w:r w:rsidRPr="007F73F2">
              <w:rPr>
                <w:rFonts w:eastAsia="MS Mincho" w:cstheme="minorHAnsi"/>
              </w:rPr>
              <w:t>30</w:t>
            </w:r>
            <w:r>
              <w:rPr>
                <w:rFonts w:eastAsia="MS Mincho" w:cstheme="minorHAnsi"/>
              </w:rPr>
              <w:t xml:space="preserve">. </w:t>
            </w:r>
          </w:p>
        </w:tc>
        <w:tc>
          <w:tcPr>
            <w:tcW w:w="1286" w:type="pct"/>
          </w:tcPr>
          <w:p w14:paraId="6276C163" w14:textId="77777777" w:rsidR="00F11F77" w:rsidRPr="00A33267" w:rsidRDefault="00F11F77" w:rsidP="00C324F3">
            <w:pPr>
              <w:pStyle w:val="ListParagraph"/>
              <w:numPr>
                <w:ilvl w:val="0"/>
                <w:numId w:val="215"/>
              </w:numPr>
              <w:rPr>
                <w:rFonts w:eastAsia="MS Mincho"/>
                <w:lang w:eastAsia="en-US"/>
              </w:rPr>
            </w:pPr>
            <w:r w:rsidRPr="00A33267">
              <w:rPr>
                <w:rFonts w:eastAsia="MS Mincho"/>
                <w:lang w:eastAsia="en-US"/>
              </w:rPr>
              <w:t>Nicotine patch (21 mg/24-hour for 4 weeks before TQD)</w:t>
            </w:r>
          </w:p>
          <w:p w14:paraId="00E5DEA4" w14:textId="77777777" w:rsidR="00F11F77" w:rsidRPr="00A33267" w:rsidRDefault="00F11F77" w:rsidP="00C324F3">
            <w:pPr>
              <w:pStyle w:val="ListParagraph"/>
              <w:numPr>
                <w:ilvl w:val="0"/>
                <w:numId w:val="215"/>
              </w:numPr>
              <w:rPr>
                <w:rFonts w:eastAsia="MS Mincho"/>
                <w:lang w:eastAsia="en-US"/>
              </w:rPr>
            </w:pPr>
            <w:r w:rsidRPr="00A33267">
              <w:rPr>
                <w:rFonts w:eastAsia="MS Mincho"/>
                <w:lang w:eastAsia="en-US"/>
              </w:rPr>
              <w:t>Placebo</w:t>
            </w:r>
          </w:p>
          <w:p w14:paraId="0D9AEDBB" w14:textId="77777777" w:rsidR="00F11F77" w:rsidRDefault="00F11F77" w:rsidP="006B48C7">
            <w:pPr>
              <w:rPr>
                <w:rFonts w:eastAsia="MS Mincho"/>
                <w:lang w:eastAsia="en-US"/>
              </w:rPr>
            </w:pPr>
          </w:p>
          <w:p w14:paraId="0B9EE299" w14:textId="77777777" w:rsidR="00F11F77" w:rsidRPr="00A33267"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A33267">
              <w:rPr>
                <w:rFonts w:eastAsia="MS Mincho"/>
                <w:lang w:eastAsia="en-US"/>
              </w:rPr>
              <w:t>After TQD both groups received active patch and mecamylamine for 6 weeks, counselling at clinic visits</w:t>
            </w:r>
            <w:r>
              <w:rPr>
                <w:rFonts w:eastAsia="MS Mincho"/>
                <w:lang w:eastAsia="en-US"/>
              </w:rPr>
              <w:t xml:space="preserve"> </w:t>
            </w:r>
            <w:r w:rsidRPr="00A33267">
              <w:rPr>
                <w:rFonts w:eastAsia="MS Mincho"/>
                <w:lang w:eastAsia="en-US"/>
              </w:rPr>
              <w:t>and self-help materials</w:t>
            </w:r>
            <w:r>
              <w:rPr>
                <w:rFonts w:eastAsia="MS Mincho"/>
                <w:lang w:eastAsia="en-US"/>
              </w:rPr>
              <w:t xml:space="preserve">. </w:t>
            </w:r>
          </w:p>
        </w:tc>
        <w:tc>
          <w:tcPr>
            <w:tcW w:w="998" w:type="pct"/>
          </w:tcPr>
          <w:p w14:paraId="6967C762" w14:textId="77777777" w:rsidR="00F11F77" w:rsidRPr="00C86492"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C86492">
              <w:rPr>
                <w:rFonts w:eastAsia="MS Mincho" w:cstheme="minorBidi"/>
              </w:rPr>
              <w:t>Sustained abstinence at 6 m</w:t>
            </w:r>
            <w:r>
              <w:rPr>
                <w:rFonts w:eastAsia="MS Mincho" w:cstheme="minorBidi"/>
              </w:rPr>
              <w:t>onths.</w:t>
            </w:r>
          </w:p>
          <w:p w14:paraId="4D58DAD9" w14:textId="77777777" w:rsidR="00F11F77" w:rsidRPr="00C86492" w:rsidRDefault="00F11F77" w:rsidP="006B48C7">
            <w:pPr>
              <w:pStyle w:val="Tablewriting"/>
              <w:rPr>
                <w:rFonts w:eastAsia="MS Mincho" w:cstheme="minorBidi"/>
              </w:rPr>
            </w:pPr>
            <w:r w:rsidRPr="00C86492">
              <w:rPr>
                <w:rFonts w:eastAsia="MS Mincho" w:cstheme="minorBidi"/>
              </w:rPr>
              <w:t xml:space="preserve">Validation: CO </w:t>
            </w:r>
            <w:r w:rsidRPr="007F73F2">
              <w:rPr>
                <w:rFonts w:eastAsia="MS Mincho" w:cstheme="minorBidi"/>
              </w:rPr>
              <w:t>≤</w:t>
            </w:r>
            <w:r w:rsidRPr="00C86492">
              <w:rPr>
                <w:rFonts w:eastAsia="MS Mincho" w:cstheme="minorBidi"/>
              </w:rPr>
              <w:t>8 ppm</w:t>
            </w:r>
          </w:p>
          <w:p w14:paraId="64D089B3" w14:textId="77777777" w:rsidR="00F11F77" w:rsidRDefault="00F11F77" w:rsidP="006B48C7">
            <w:pPr>
              <w:pStyle w:val="Tablewriting"/>
              <w:rPr>
                <w:rFonts w:eastAsia="MS Mincho" w:cstheme="minorBidi"/>
              </w:rPr>
            </w:pPr>
          </w:p>
          <w:p w14:paraId="2F3F942F"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C86492">
              <w:rPr>
                <w:rFonts w:eastAsia="MS Mincho" w:cstheme="minorBidi"/>
              </w:rPr>
              <w:t>Adverse events</w:t>
            </w:r>
            <w:r>
              <w:rPr>
                <w:rFonts w:eastAsia="MS Mincho" w:cstheme="minorBidi"/>
              </w:rPr>
              <w:t xml:space="preserve"> </w:t>
            </w:r>
            <w:r w:rsidRPr="00C86492">
              <w:rPr>
                <w:rFonts w:eastAsia="MS Mincho" w:cstheme="minorBidi"/>
              </w:rPr>
              <w:t>measured at visits during treatment</w:t>
            </w:r>
            <w:r>
              <w:rPr>
                <w:rFonts w:eastAsia="MS Mincho" w:cstheme="minorBidi"/>
              </w:rPr>
              <w:t>.</w:t>
            </w:r>
          </w:p>
        </w:tc>
      </w:tr>
      <w:tr w:rsidR="00F11F77" w:rsidRPr="00017AE6" w14:paraId="6F9080BB" w14:textId="77777777" w:rsidTr="00EA7016">
        <w:trPr>
          <w:trHeight w:val="99"/>
        </w:trPr>
        <w:tc>
          <w:tcPr>
            <w:tcW w:w="539" w:type="pct"/>
          </w:tcPr>
          <w:p w14:paraId="5A514C1A" w14:textId="77777777"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2006</w:t>
            </w:r>
            <w:r>
              <w:rPr>
                <w:rFonts w:eastAsia="MS Mincho"/>
              </w:rPr>
              <w:t>)</w:t>
            </w:r>
          </w:p>
        </w:tc>
        <w:tc>
          <w:tcPr>
            <w:tcW w:w="247" w:type="pct"/>
          </w:tcPr>
          <w:p w14:paraId="7BE161CD"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1071E5F1"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7C8F1AC0" w14:textId="77777777" w:rsidR="00F11F77" w:rsidRPr="00017AE6" w:rsidRDefault="00F11F77" w:rsidP="006B48C7">
            <w:pPr>
              <w:pStyle w:val="Tablewriting"/>
              <w:rPr>
                <w:rFonts w:eastAsia="MS Mincho" w:cstheme="minorHAnsi"/>
              </w:rPr>
            </w:pPr>
            <w:r>
              <w:rPr>
                <w:rFonts w:eastAsia="MS Mincho" w:cstheme="minorHAnsi"/>
              </w:rPr>
              <w:t>N=96</w:t>
            </w:r>
          </w:p>
        </w:tc>
        <w:tc>
          <w:tcPr>
            <w:tcW w:w="1166" w:type="pct"/>
          </w:tcPr>
          <w:p w14:paraId="19022D8A" w14:textId="77777777" w:rsidR="00F11F77" w:rsidRPr="00017AE6" w:rsidRDefault="00F11F77" w:rsidP="006B48C7">
            <w:pPr>
              <w:pStyle w:val="Tablewriting"/>
              <w:rPr>
                <w:rFonts w:eastAsia="MS Mincho" w:cstheme="minorHAnsi"/>
              </w:rPr>
            </w:pPr>
            <w:r>
              <w:rPr>
                <w:rFonts w:eastAsia="MS Mincho" w:cstheme="minorHAnsi"/>
              </w:rPr>
              <w:t>S</w:t>
            </w:r>
            <w:r w:rsidRPr="00CB0F06">
              <w:rPr>
                <w:rFonts w:eastAsia="MS Mincho" w:cstheme="minorHAnsi"/>
              </w:rPr>
              <w:t xml:space="preserve">mokers </w:t>
            </w:r>
            <w:r>
              <w:rPr>
                <w:rFonts w:eastAsia="MS Mincho" w:cstheme="minorHAnsi"/>
              </w:rPr>
              <w:t>(</w:t>
            </w:r>
            <w:r w:rsidRPr="00E632A9">
              <w:rPr>
                <w:rFonts w:eastAsia="MS Mincho" w:cstheme="minorHAnsi"/>
              </w:rPr>
              <w:t>≥</w:t>
            </w:r>
            <w:r w:rsidRPr="00CB0F06">
              <w:rPr>
                <w:rFonts w:eastAsia="MS Mincho" w:cstheme="minorHAnsi"/>
              </w:rPr>
              <w:t xml:space="preserve">20 </w:t>
            </w:r>
            <w:r>
              <w:rPr>
                <w:rFonts w:eastAsia="MS Mincho" w:cstheme="minorHAnsi"/>
              </w:rPr>
              <w:t>CPD</w:t>
            </w:r>
            <w:r w:rsidRPr="00CB0F06">
              <w:rPr>
                <w:rFonts w:eastAsia="MS Mincho" w:cstheme="minorHAnsi"/>
              </w:rPr>
              <w:t>) motivated to quit</w:t>
            </w:r>
            <w:r>
              <w:rPr>
                <w:rFonts w:eastAsia="MS Mincho" w:cstheme="minorHAnsi"/>
              </w:rPr>
              <w:t xml:space="preserve">, </w:t>
            </w:r>
            <w:r w:rsidRPr="00CB0F06">
              <w:rPr>
                <w:rFonts w:eastAsia="MS Mincho" w:cstheme="minorHAnsi"/>
              </w:rPr>
              <w:t>47% men, av</w:t>
            </w:r>
            <w:r>
              <w:rPr>
                <w:rFonts w:eastAsia="MS Mincho" w:cstheme="minorHAnsi"/>
              </w:rPr>
              <w:t>erage</w:t>
            </w:r>
            <w:r w:rsidRPr="00CB0F06">
              <w:rPr>
                <w:rFonts w:eastAsia="MS Mincho" w:cstheme="minorHAnsi"/>
              </w:rPr>
              <w:t xml:space="preserve"> age 45</w:t>
            </w:r>
            <w:r>
              <w:rPr>
                <w:rFonts w:eastAsia="MS Mincho" w:cstheme="minorHAnsi"/>
              </w:rPr>
              <w:t xml:space="preserve"> years</w:t>
            </w:r>
            <w:r w:rsidRPr="00CB0F06">
              <w:rPr>
                <w:rFonts w:eastAsia="MS Mincho" w:cstheme="minorHAnsi"/>
              </w:rPr>
              <w:t>, av</w:t>
            </w:r>
            <w:r>
              <w:rPr>
                <w:rFonts w:eastAsia="MS Mincho" w:cstheme="minorHAnsi"/>
              </w:rPr>
              <w:t>erage CPD</w:t>
            </w:r>
            <w:r w:rsidRPr="00CB0F06">
              <w:rPr>
                <w:rFonts w:eastAsia="MS Mincho" w:cstheme="minorHAnsi"/>
              </w:rPr>
              <w:t xml:space="preserve"> 29</w:t>
            </w:r>
            <w:r>
              <w:rPr>
                <w:rFonts w:eastAsia="MS Mincho" w:cstheme="minorHAnsi"/>
              </w:rPr>
              <w:t xml:space="preserve">. </w:t>
            </w:r>
          </w:p>
        </w:tc>
        <w:tc>
          <w:tcPr>
            <w:tcW w:w="1286" w:type="pct"/>
          </w:tcPr>
          <w:p w14:paraId="0399CF4B" w14:textId="77777777" w:rsidR="00F11F77" w:rsidRDefault="00F11F77" w:rsidP="00C324F3">
            <w:pPr>
              <w:pStyle w:val="ListParagraph"/>
              <w:numPr>
                <w:ilvl w:val="0"/>
                <w:numId w:val="216"/>
              </w:numPr>
              <w:rPr>
                <w:rFonts w:eastAsia="MS Mincho"/>
                <w:lang w:eastAsia="en-US"/>
              </w:rPr>
            </w:pPr>
            <w:r w:rsidRPr="00605471">
              <w:rPr>
                <w:rFonts w:eastAsia="MS Mincho"/>
                <w:lang w:eastAsia="en-US"/>
              </w:rPr>
              <w:t>Nicotine patch (21 mg/24-hour for 2 w</w:t>
            </w:r>
            <w:r>
              <w:rPr>
                <w:rFonts w:eastAsia="MS Mincho"/>
                <w:lang w:eastAsia="en-US"/>
              </w:rPr>
              <w:t>ee</w:t>
            </w:r>
            <w:r w:rsidRPr="00605471">
              <w:rPr>
                <w:rFonts w:eastAsia="MS Mincho"/>
                <w:lang w:eastAsia="en-US"/>
              </w:rPr>
              <w:t>ks before TQD)</w:t>
            </w:r>
          </w:p>
          <w:p w14:paraId="3EB220A6" w14:textId="77777777" w:rsidR="00F11F77" w:rsidRDefault="00F11F77" w:rsidP="00C324F3">
            <w:pPr>
              <w:pStyle w:val="ListParagraph"/>
              <w:numPr>
                <w:ilvl w:val="0"/>
                <w:numId w:val="216"/>
              </w:numPr>
              <w:rPr>
                <w:rFonts w:eastAsia="MS Mincho"/>
                <w:lang w:eastAsia="en-US"/>
              </w:rPr>
            </w:pPr>
            <w:r w:rsidRPr="00605471">
              <w:rPr>
                <w:rFonts w:eastAsia="MS Mincho"/>
                <w:lang w:eastAsia="en-US"/>
              </w:rPr>
              <w:t>Placebo</w:t>
            </w:r>
          </w:p>
          <w:p w14:paraId="529B672E" w14:textId="77777777" w:rsidR="00F11F77" w:rsidRDefault="00F11F77" w:rsidP="006B48C7">
            <w:pPr>
              <w:rPr>
                <w:rFonts w:eastAsia="MS Mincho"/>
                <w:lang w:eastAsia="en-US"/>
              </w:rPr>
            </w:pPr>
          </w:p>
          <w:p w14:paraId="2ED2389D" w14:textId="77777777" w:rsidR="00F11F77" w:rsidRPr="002F7627"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605471">
              <w:rPr>
                <w:rFonts w:eastAsia="MS Mincho"/>
                <w:lang w:eastAsia="en-US"/>
              </w:rPr>
              <w:t>All participants received mecamylamine 2.5 mg twice a day for 4 w</w:t>
            </w:r>
            <w:r>
              <w:rPr>
                <w:rFonts w:eastAsia="MS Mincho"/>
                <w:lang w:eastAsia="en-US"/>
              </w:rPr>
              <w:t>ee</w:t>
            </w:r>
            <w:r w:rsidRPr="00605471">
              <w:rPr>
                <w:rFonts w:eastAsia="MS Mincho"/>
                <w:lang w:eastAsia="en-US"/>
              </w:rPr>
              <w:t>ks post-TQD, and either 0, 21 or 42</w:t>
            </w:r>
            <w:r>
              <w:rPr>
                <w:rFonts w:eastAsia="MS Mincho"/>
                <w:lang w:eastAsia="en-US"/>
              </w:rPr>
              <w:t xml:space="preserve"> </w:t>
            </w:r>
            <w:r w:rsidRPr="00605471">
              <w:rPr>
                <w:rFonts w:eastAsia="MS Mincho"/>
                <w:lang w:eastAsia="en-US"/>
              </w:rPr>
              <w:t>mg patch</w:t>
            </w:r>
            <w:r>
              <w:rPr>
                <w:rFonts w:eastAsia="MS Mincho"/>
                <w:lang w:eastAsia="en-US"/>
              </w:rPr>
              <w:t xml:space="preserve">. </w:t>
            </w:r>
          </w:p>
        </w:tc>
        <w:tc>
          <w:tcPr>
            <w:tcW w:w="998" w:type="pct"/>
          </w:tcPr>
          <w:p w14:paraId="51D29DE6" w14:textId="77777777" w:rsidR="00F11F77" w:rsidRPr="00605471"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605471">
              <w:rPr>
                <w:rFonts w:eastAsia="MS Mincho" w:cstheme="minorBidi"/>
              </w:rPr>
              <w:t>PPA at 6 m</w:t>
            </w:r>
            <w:r>
              <w:rPr>
                <w:rFonts w:eastAsia="MS Mincho" w:cstheme="minorBidi"/>
              </w:rPr>
              <w:t>onths.</w:t>
            </w:r>
          </w:p>
          <w:p w14:paraId="1800699B" w14:textId="77777777" w:rsidR="00F11F77" w:rsidRPr="00605471" w:rsidRDefault="00F11F77" w:rsidP="006B48C7">
            <w:pPr>
              <w:pStyle w:val="Tablewriting"/>
              <w:rPr>
                <w:rFonts w:eastAsia="MS Mincho" w:cstheme="minorBidi"/>
              </w:rPr>
            </w:pPr>
            <w:r w:rsidRPr="00605471">
              <w:rPr>
                <w:rFonts w:eastAsia="MS Mincho" w:cstheme="minorBidi"/>
              </w:rPr>
              <w:t xml:space="preserve">Validation: </w:t>
            </w:r>
            <w:r w:rsidRPr="00C86492">
              <w:rPr>
                <w:rFonts w:eastAsia="MS Mincho" w:cstheme="minorBidi"/>
              </w:rPr>
              <w:t xml:space="preserve">CO </w:t>
            </w:r>
            <w:r w:rsidRPr="007F73F2">
              <w:rPr>
                <w:rFonts w:eastAsia="MS Mincho" w:cstheme="minorBidi"/>
              </w:rPr>
              <w:t>≤</w:t>
            </w:r>
            <w:r w:rsidRPr="00605471">
              <w:rPr>
                <w:rFonts w:eastAsia="MS Mincho" w:cstheme="minorBidi"/>
              </w:rPr>
              <w:t>8 ppm</w:t>
            </w:r>
          </w:p>
          <w:p w14:paraId="62E02C1C" w14:textId="77777777" w:rsidR="00F11F77" w:rsidRDefault="00F11F77" w:rsidP="006B48C7">
            <w:pPr>
              <w:pStyle w:val="Tablewriting"/>
              <w:rPr>
                <w:rFonts w:eastAsia="MS Mincho" w:cstheme="minorBidi"/>
              </w:rPr>
            </w:pPr>
          </w:p>
          <w:p w14:paraId="4D090EFB"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605471">
              <w:rPr>
                <w:rFonts w:eastAsia="MS Mincho" w:cstheme="minorBidi"/>
              </w:rPr>
              <w:t>Adverse events</w:t>
            </w:r>
            <w:r>
              <w:rPr>
                <w:rFonts w:eastAsia="MS Mincho" w:cstheme="minorBidi"/>
              </w:rPr>
              <w:t xml:space="preserve"> </w:t>
            </w:r>
            <w:r w:rsidRPr="00605471">
              <w:rPr>
                <w:rFonts w:eastAsia="MS Mincho" w:cstheme="minorBidi"/>
              </w:rPr>
              <w:t>not measured</w:t>
            </w:r>
            <w:r>
              <w:rPr>
                <w:rFonts w:eastAsia="MS Mincho" w:cstheme="minorBidi"/>
              </w:rPr>
              <w:t>.</w:t>
            </w:r>
          </w:p>
        </w:tc>
      </w:tr>
      <w:tr w:rsidR="00F11F77" w:rsidRPr="00017AE6" w14:paraId="35694727" w14:textId="77777777" w:rsidTr="00EA7016">
        <w:trPr>
          <w:trHeight w:val="99"/>
        </w:trPr>
        <w:tc>
          <w:tcPr>
            <w:tcW w:w="539" w:type="pct"/>
          </w:tcPr>
          <w:p w14:paraId="15A78610" w14:textId="77777777" w:rsidR="00F11F77" w:rsidRPr="00FA2C37" w:rsidRDefault="00F11F77" w:rsidP="006B48C7">
            <w:pPr>
              <w:pStyle w:val="Tablewriting"/>
              <w:rPr>
                <w:rFonts w:eastAsia="MS Mincho"/>
              </w:rPr>
            </w:pPr>
            <w:r w:rsidRPr="00245AD9">
              <w:rPr>
                <w:rFonts w:eastAsia="MS Mincho"/>
              </w:rPr>
              <w:t xml:space="preserve">Rose </w:t>
            </w:r>
            <w:r>
              <w:rPr>
                <w:rFonts w:eastAsia="MS Mincho"/>
              </w:rPr>
              <w:t>(</w:t>
            </w:r>
            <w:r w:rsidRPr="00245AD9">
              <w:rPr>
                <w:rFonts w:eastAsia="MS Mincho"/>
              </w:rPr>
              <w:t>2009</w:t>
            </w:r>
            <w:r>
              <w:rPr>
                <w:rFonts w:eastAsia="MS Mincho"/>
              </w:rPr>
              <w:t>)</w:t>
            </w:r>
          </w:p>
        </w:tc>
        <w:tc>
          <w:tcPr>
            <w:tcW w:w="247" w:type="pct"/>
          </w:tcPr>
          <w:p w14:paraId="56CEDEAA"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59410B34" w14:textId="77777777" w:rsidR="00F11F77" w:rsidRPr="00605471" w:rsidRDefault="00F11F77" w:rsidP="006B48C7">
            <w:pPr>
              <w:tabs>
                <w:tab w:val="left" w:pos="463"/>
              </w:tabs>
              <w:rPr>
                <w:rFonts w:eastAsia="MS Mincho"/>
                <w:lang w:eastAsia="en-US"/>
              </w:rPr>
            </w:pPr>
            <w:r>
              <w:rPr>
                <w:rFonts w:eastAsia="MS Mincho"/>
                <w:lang w:eastAsia="en-US"/>
              </w:rPr>
              <w:t>USA</w:t>
            </w:r>
          </w:p>
        </w:tc>
        <w:tc>
          <w:tcPr>
            <w:tcW w:w="346" w:type="pct"/>
          </w:tcPr>
          <w:p w14:paraId="2F57B5DD" w14:textId="77777777" w:rsidR="00F11F77" w:rsidRPr="00017AE6" w:rsidRDefault="00F11F77" w:rsidP="006B48C7">
            <w:pPr>
              <w:pStyle w:val="Tablewriting"/>
              <w:rPr>
                <w:rFonts w:eastAsia="MS Mincho" w:cstheme="minorHAnsi"/>
              </w:rPr>
            </w:pPr>
            <w:r>
              <w:rPr>
                <w:rFonts w:eastAsia="MS Mincho" w:cstheme="minorHAnsi"/>
              </w:rPr>
              <w:t>N=379</w:t>
            </w:r>
          </w:p>
        </w:tc>
        <w:tc>
          <w:tcPr>
            <w:tcW w:w="1166" w:type="pct"/>
          </w:tcPr>
          <w:p w14:paraId="52E8AF4F" w14:textId="77777777" w:rsidR="00F11F77" w:rsidRPr="00017AE6" w:rsidRDefault="00F11F77" w:rsidP="006B48C7">
            <w:pPr>
              <w:pStyle w:val="Tablewriting"/>
              <w:rPr>
                <w:rFonts w:eastAsia="MS Mincho" w:cstheme="minorHAnsi"/>
              </w:rPr>
            </w:pPr>
            <w:r>
              <w:rPr>
                <w:rFonts w:eastAsia="MS Mincho" w:cstheme="minorHAnsi"/>
              </w:rPr>
              <w:t>S</w:t>
            </w:r>
            <w:r w:rsidRPr="00605471">
              <w:rPr>
                <w:rFonts w:eastAsia="MS Mincho" w:cstheme="minorHAnsi"/>
              </w:rPr>
              <w:t>mok</w:t>
            </w:r>
            <w:r>
              <w:rPr>
                <w:rFonts w:eastAsia="MS Mincho" w:cstheme="minorHAnsi"/>
              </w:rPr>
              <w:t xml:space="preserve">ers </w:t>
            </w:r>
            <w:r w:rsidRPr="00605471">
              <w:rPr>
                <w:rFonts w:eastAsia="MS Mincho" w:cstheme="minorHAnsi"/>
              </w:rPr>
              <w:t>motivated to quit</w:t>
            </w:r>
            <w:r>
              <w:rPr>
                <w:rFonts w:eastAsia="MS Mincho" w:cstheme="minorHAnsi"/>
              </w:rPr>
              <w:t xml:space="preserve"> (</w:t>
            </w:r>
            <w:r w:rsidRPr="00605471">
              <w:rPr>
                <w:rFonts w:eastAsia="MS Mincho" w:cstheme="minorHAnsi"/>
              </w:rPr>
              <w:t xml:space="preserve">&gt; 15 </w:t>
            </w:r>
            <w:r>
              <w:rPr>
                <w:rFonts w:eastAsia="MS Mincho" w:cstheme="minorHAnsi"/>
              </w:rPr>
              <w:t>CPD</w:t>
            </w:r>
            <w:r w:rsidRPr="00605471">
              <w:rPr>
                <w:rFonts w:eastAsia="MS Mincho" w:cstheme="minorHAnsi"/>
              </w:rPr>
              <w:t xml:space="preserve"> for</w:t>
            </w:r>
            <w:r>
              <w:rPr>
                <w:rFonts w:eastAsia="MS Mincho" w:cstheme="minorHAnsi"/>
              </w:rPr>
              <w:t xml:space="preserve"> </w:t>
            </w:r>
            <w:r w:rsidRPr="00E632A9">
              <w:rPr>
                <w:rFonts w:eastAsia="MS Mincho" w:cstheme="minorHAnsi"/>
              </w:rPr>
              <w:t>≥</w:t>
            </w:r>
            <w:r w:rsidRPr="00605471">
              <w:rPr>
                <w:rFonts w:eastAsia="MS Mincho" w:cstheme="minorHAnsi"/>
              </w:rPr>
              <w:t>3 y</w:t>
            </w:r>
            <w:r>
              <w:rPr>
                <w:rFonts w:eastAsia="MS Mincho" w:cstheme="minorHAnsi"/>
              </w:rPr>
              <w:t>ea</w:t>
            </w:r>
            <w:r w:rsidRPr="00605471">
              <w:rPr>
                <w:rFonts w:eastAsia="MS Mincho" w:cstheme="minorHAnsi"/>
              </w:rPr>
              <w:t>rs</w:t>
            </w:r>
            <w:r>
              <w:rPr>
                <w:rFonts w:eastAsia="MS Mincho" w:cstheme="minorHAnsi"/>
              </w:rPr>
              <w:t xml:space="preserve">), </w:t>
            </w:r>
            <w:r w:rsidRPr="00605471">
              <w:rPr>
                <w:rFonts w:eastAsia="MS Mincho" w:cstheme="minorHAnsi"/>
              </w:rPr>
              <w:t>43% men, av</w:t>
            </w:r>
            <w:r>
              <w:rPr>
                <w:rFonts w:eastAsia="MS Mincho" w:cstheme="minorHAnsi"/>
              </w:rPr>
              <w:t>erage</w:t>
            </w:r>
            <w:r w:rsidRPr="00605471">
              <w:rPr>
                <w:rFonts w:eastAsia="MS Mincho" w:cstheme="minorHAnsi"/>
              </w:rPr>
              <w:t xml:space="preserve"> age 42</w:t>
            </w:r>
            <w:r>
              <w:rPr>
                <w:rFonts w:eastAsia="MS Mincho" w:cstheme="minorHAnsi"/>
              </w:rPr>
              <w:t xml:space="preserve"> years</w:t>
            </w:r>
            <w:r w:rsidRPr="00605471">
              <w:rPr>
                <w:rFonts w:eastAsia="MS Mincho" w:cstheme="minorHAnsi"/>
              </w:rPr>
              <w:t>, av</w:t>
            </w:r>
            <w:r>
              <w:rPr>
                <w:rFonts w:eastAsia="MS Mincho" w:cstheme="minorHAnsi"/>
              </w:rPr>
              <w:t>erage CPD</w:t>
            </w:r>
            <w:r w:rsidRPr="00605471">
              <w:rPr>
                <w:rFonts w:eastAsia="MS Mincho" w:cstheme="minorHAnsi"/>
              </w:rPr>
              <w:t xml:space="preserve"> 23, av</w:t>
            </w:r>
            <w:r>
              <w:rPr>
                <w:rFonts w:eastAsia="MS Mincho" w:cstheme="minorHAnsi"/>
              </w:rPr>
              <w:t xml:space="preserve">erage </w:t>
            </w:r>
            <w:r w:rsidRPr="00605471">
              <w:rPr>
                <w:rFonts w:eastAsia="MS Mincho" w:cstheme="minorHAnsi"/>
              </w:rPr>
              <w:t>FTND 6</w:t>
            </w:r>
            <w:r>
              <w:rPr>
                <w:rFonts w:eastAsia="MS Mincho" w:cstheme="minorHAnsi"/>
              </w:rPr>
              <w:t>.</w:t>
            </w:r>
          </w:p>
        </w:tc>
        <w:tc>
          <w:tcPr>
            <w:tcW w:w="1286" w:type="pct"/>
          </w:tcPr>
          <w:p w14:paraId="439A433D" w14:textId="77777777"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Usual brand of cig + 21 mg/24-hour patch for 2 w</w:t>
            </w:r>
            <w:r>
              <w:rPr>
                <w:rFonts w:eastAsia="MS Mincho"/>
                <w:lang w:eastAsia="en-US"/>
              </w:rPr>
              <w:t>ee</w:t>
            </w:r>
            <w:r w:rsidRPr="002F4FD7">
              <w:rPr>
                <w:rFonts w:eastAsia="MS Mincho"/>
                <w:lang w:eastAsia="en-US"/>
              </w:rPr>
              <w:t>ks pre-quit</w:t>
            </w:r>
          </w:p>
          <w:p w14:paraId="10125753" w14:textId="77777777"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Usual brand of cig</w:t>
            </w:r>
            <w:r>
              <w:rPr>
                <w:rFonts w:eastAsia="MS Mincho"/>
                <w:lang w:eastAsia="en-US"/>
              </w:rPr>
              <w:t>arette</w:t>
            </w:r>
            <w:r w:rsidRPr="002F4FD7">
              <w:rPr>
                <w:rFonts w:eastAsia="MS Mincho"/>
                <w:lang w:eastAsia="en-US"/>
              </w:rPr>
              <w:t xml:space="preserve"> + placebo patch for 2 w</w:t>
            </w:r>
            <w:r>
              <w:rPr>
                <w:rFonts w:eastAsia="MS Mincho"/>
                <w:lang w:eastAsia="en-US"/>
              </w:rPr>
              <w:t>ee</w:t>
            </w:r>
            <w:r w:rsidRPr="002F4FD7">
              <w:rPr>
                <w:rFonts w:eastAsia="MS Mincho"/>
                <w:lang w:eastAsia="en-US"/>
              </w:rPr>
              <w:t>ks pre-quit</w:t>
            </w:r>
          </w:p>
          <w:p w14:paraId="2AACCEAA" w14:textId="77777777"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t>Low tar and nic</w:t>
            </w:r>
            <w:r>
              <w:rPr>
                <w:rFonts w:eastAsia="MS Mincho"/>
                <w:lang w:eastAsia="en-US"/>
              </w:rPr>
              <w:t>otine</w:t>
            </w:r>
            <w:r w:rsidRPr="002F4FD7">
              <w:rPr>
                <w:rFonts w:eastAsia="MS Mincho"/>
                <w:lang w:eastAsia="en-US"/>
              </w:rPr>
              <w:t xml:space="preserve"> cig</w:t>
            </w:r>
            <w:r>
              <w:rPr>
                <w:rFonts w:eastAsia="MS Mincho"/>
                <w:lang w:eastAsia="en-US"/>
              </w:rPr>
              <w:t>arette</w:t>
            </w:r>
            <w:r w:rsidRPr="002F4FD7">
              <w:rPr>
                <w:rFonts w:eastAsia="MS Mincho"/>
                <w:lang w:eastAsia="en-US"/>
              </w:rPr>
              <w:t xml:space="preserve"> + 21 mg/24-hour patch for 2 w</w:t>
            </w:r>
            <w:r>
              <w:rPr>
                <w:rFonts w:eastAsia="MS Mincho"/>
                <w:lang w:eastAsia="en-US"/>
              </w:rPr>
              <w:t>ee</w:t>
            </w:r>
            <w:r w:rsidRPr="002F4FD7">
              <w:rPr>
                <w:rFonts w:eastAsia="MS Mincho"/>
                <w:lang w:eastAsia="en-US"/>
              </w:rPr>
              <w:t>ks pre-quit</w:t>
            </w:r>
          </w:p>
          <w:p w14:paraId="42811C7C" w14:textId="77777777" w:rsidR="00F11F77" w:rsidRPr="002F4FD7" w:rsidRDefault="00F11F77" w:rsidP="00C324F3">
            <w:pPr>
              <w:pStyle w:val="ListParagraph"/>
              <w:numPr>
                <w:ilvl w:val="0"/>
                <w:numId w:val="217"/>
              </w:numPr>
              <w:rPr>
                <w:rFonts w:eastAsia="MS Mincho"/>
                <w:lang w:eastAsia="en-US"/>
              </w:rPr>
            </w:pPr>
            <w:r w:rsidRPr="002F4FD7">
              <w:rPr>
                <w:rFonts w:eastAsia="MS Mincho"/>
                <w:lang w:eastAsia="en-US"/>
              </w:rPr>
              <w:lastRenderedPageBreak/>
              <w:t>Low tar and nic</w:t>
            </w:r>
            <w:r>
              <w:rPr>
                <w:rFonts w:eastAsia="MS Mincho"/>
                <w:lang w:eastAsia="en-US"/>
              </w:rPr>
              <w:t>otine</w:t>
            </w:r>
            <w:r w:rsidRPr="002F4FD7">
              <w:rPr>
                <w:rFonts w:eastAsia="MS Mincho"/>
                <w:lang w:eastAsia="en-US"/>
              </w:rPr>
              <w:t xml:space="preserve"> cig</w:t>
            </w:r>
            <w:r>
              <w:rPr>
                <w:rFonts w:eastAsia="MS Mincho"/>
                <w:lang w:eastAsia="en-US"/>
              </w:rPr>
              <w:t>arette</w:t>
            </w:r>
            <w:r w:rsidRPr="002F4FD7">
              <w:rPr>
                <w:rFonts w:eastAsia="MS Mincho"/>
                <w:lang w:eastAsia="en-US"/>
              </w:rPr>
              <w:t xml:space="preserve"> + placebo patch for 2 w</w:t>
            </w:r>
            <w:r>
              <w:rPr>
                <w:rFonts w:eastAsia="MS Mincho"/>
                <w:lang w:eastAsia="en-US"/>
              </w:rPr>
              <w:t>ee</w:t>
            </w:r>
            <w:r w:rsidRPr="002F4FD7">
              <w:rPr>
                <w:rFonts w:eastAsia="MS Mincho"/>
                <w:lang w:eastAsia="en-US"/>
              </w:rPr>
              <w:t>ks pre-quit</w:t>
            </w:r>
          </w:p>
          <w:p w14:paraId="6E2E9AE2" w14:textId="77777777" w:rsidR="00F11F77" w:rsidRDefault="00F11F77" w:rsidP="006B48C7">
            <w:pPr>
              <w:rPr>
                <w:rFonts w:eastAsia="MS Mincho"/>
                <w:lang w:eastAsia="en-US"/>
              </w:rPr>
            </w:pPr>
          </w:p>
          <w:p w14:paraId="0CF8C824" w14:textId="77777777" w:rsidR="00F11F77" w:rsidRPr="005023DC" w:rsidRDefault="00F11F77" w:rsidP="006B48C7">
            <w:pPr>
              <w:rPr>
                <w:rFonts w:eastAsia="MS Mincho"/>
                <w:lang w:eastAsia="en-US"/>
              </w:rPr>
            </w:pPr>
            <w:r w:rsidRPr="007F73F2">
              <w:rPr>
                <w:rFonts w:eastAsia="MS Mincho"/>
                <w:u w:val="single"/>
                <w:lang w:eastAsia="en-US"/>
              </w:rPr>
              <w:t>Common component</w:t>
            </w:r>
            <w:r>
              <w:rPr>
                <w:rFonts w:eastAsia="MS Mincho"/>
                <w:u w:val="single"/>
                <w:lang w:eastAsia="en-US"/>
              </w:rPr>
              <w:t xml:space="preserve">: </w:t>
            </w:r>
            <w:r w:rsidRPr="005023DC">
              <w:rPr>
                <w:rFonts w:eastAsia="MS Mincho"/>
                <w:lang w:eastAsia="en-US"/>
              </w:rPr>
              <w:t>All groups received same treatment post-quit: 6 w</w:t>
            </w:r>
            <w:r>
              <w:rPr>
                <w:rFonts w:eastAsia="MS Mincho"/>
                <w:lang w:eastAsia="en-US"/>
              </w:rPr>
              <w:t>ee</w:t>
            </w:r>
            <w:r w:rsidRPr="005023DC">
              <w:rPr>
                <w:rFonts w:eastAsia="MS Mincho"/>
                <w:lang w:eastAsia="en-US"/>
              </w:rPr>
              <w:t>ks 21 mg/24-hour, following 2 w</w:t>
            </w:r>
            <w:r>
              <w:rPr>
                <w:rFonts w:eastAsia="MS Mincho"/>
                <w:lang w:eastAsia="en-US"/>
              </w:rPr>
              <w:t>ee</w:t>
            </w:r>
            <w:r w:rsidRPr="005023DC">
              <w:rPr>
                <w:rFonts w:eastAsia="MS Mincho"/>
                <w:lang w:eastAsia="en-US"/>
              </w:rPr>
              <w:t>ks 14 mg/24-hour, remaining</w:t>
            </w:r>
            <w:r>
              <w:rPr>
                <w:rFonts w:eastAsia="MS Mincho"/>
                <w:lang w:eastAsia="en-US"/>
              </w:rPr>
              <w:t xml:space="preserve"> </w:t>
            </w:r>
            <w:r w:rsidRPr="005023DC">
              <w:rPr>
                <w:rFonts w:eastAsia="MS Mincho"/>
                <w:lang w:eastAsia="en-US"/>
              </w:rPr>
              <w:t>2 w</w:t>
            </w:r>
            <w:r>
              <w:rPr>
                <w:rFonts w:eastAsia="MS Mincho"/>
                <w:lang w:eastAsia="en-US"/>
              </w:rPr>
              <w:t>ee</w:t>
            </w:r>
            <w:r w:rsidRPr="005023DC">
              <w:rPr>
                <w:rFonts w:eastAsia="MS Mincho"/>
                <w:lang w:eastAsia="en-US"/>
              </w:rPr>
              <w:t>ks 7 mg/24-hour</w:t>
            </w:r>
            <w:r>
              <w:rPr>
                <w:rFonts w:eastAsia="MS Mincho"/>
                <w:lang w:eastAsia="en-US"/>
              </w:rPr>
              <w:t>.</w:t>
            </w:r>
          </w:p>
        </w:tc>
        <w:tc>
          <w:tcPr>
            <w:tcW w:w="998" w:type="pct"/>
          </w:tcPr>
          <w:p w14:paraId="3F22C041" w14:textId="77777777" w:rsidR="00F11F77" w:rsidRPr="004162E4"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w:t>
            </w:r>
            <w:r w:rsidRPr="004162E4">
              <w:rPr>
                <w:rFonts w:eastAsia="MS Mincho" w:cstheme="minorBidi"/>
              </w:rPr>
              <w:t>Continuous abstinence at 6 m</w:t>
            </w:r>
            <w:r>
              <w:rPr>
                <w:rFonts w:eastAsia="MS Mincho" w:cstheme="minorBidi"/>
              </w:rPr>
              <w:t xml:space="preserve">onths. </w:t>
            </w:r>
          </w:p>
          <w:p w14:paraId="333659C7" w14:textId="77777777" w:rsidR="00F11F77" w:rsidRPr="004162E4" w:rsidRDefault="00F11F77" w:rsidP="006B48C7">
            <w:pPr>
              <w:pStyle w:val="Tablewriting"/>
              <w:rPr>
                <w:rFonts w:eastAsia="MS Mincho" w:cstheme="minorBidi"/>
              </w:rPr>
            </w:pPr>
            <w:r w:rsidRPr="004162E4">
              <w:rPr>
                <w:rFonts w:eastAsia="MS Mincho" w:cstheme="minorBidi"/>
              </w:rPr>
              <w:t xml:space="preserve">Validation: CO </w:t>
            </w:r>
            <w:r w:rsidRPr="007F73F2">
              <w:rPr>
                <w:rFonts w:eastAsia="MS Mincho" w:cstheme="minorBidi"/>
              </w:rPr>
              <w:t>≤</w:t>
            </w:r>
            <w:r w:rsidRPr="004162E4">
              <w:rPr>
                <w:rFonts w:eastAsia="MS Mincho" w:cstheme="minorBidi"/>
              </w:rPr>
              <w:t>8 ppm</w:t>
            </w:r>
            <w:r>
              <w:rPr>
                <w:rFonts w:eastAsia="MS Mincho" w:cstheme="minorBidi"/>
              </w:rPr>
              <w:t>.</w:t>
            </w:r>
          </w:p>
          <w:p w14:paraId="471EEACE" w14:textId="77777777" w:rsidR="00F11F77" w:rsidRDefault="00F11F77" w:rsidP="006B48C7">
            <w:pPr>
              <w:pStyle w:val="Tablewriting"/>
              <w:rPr>
                <w:rFonts w:eastAsia="MS Mincho" w:cstheme="minorBidi"/>
              </w:rPr>
            </w:pPr>
          </w:p>
          <w:p w14:paraId="0822AD91"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4162E4">
              <w:rPr>
                <w:rFonts w:eastAsia="MS Mincho" w:cstheme="minorBidi"/>
              </w:rPr>
              <w:t>Adverse events</w:t>
            </w:r>
            <w:r>
              <w:rPr>
                <w:rFonts w:eastAsia="MS Mincho" w:cstheme="minorBidi"/>
              </w:rPr>
              <w:t xml:space="preserve"> </w:t>
            </w:r>
            <w:r w:rsidRPr="004162E4">
              <w:rPr>
                <w:rFonts w:eastAsia="MS Mincho" w:cstheme="minorBidi"/>
              </w:rPr>
              <w:t>not measured</w:t>
            </w:r>
            <w:r>
              <w:rPr>
                <w:rFonts w:eastAsia="MS Mincho" w:cstheme="minorBidi"/>
              </w:rPr>
              <w:t>.</w:t>
            </w:r>
          </w:p>
        </w:tc>
      </w:tr>
      <w:tr w:rsidR="00F11F77" w:rsidRPr="00017AE6" w14:paraId="48B80B0F" w14:textId="77777777" w:rsidTr="00EA7016">
        <w:trPr>
          <w:trHeight w:val="99"/>
        </w:trPr>
        <w:tc>
          <w:tcPr>
            <w:tcW w:w="539" w:type="pct"/>
          </w:tcPr>
          <w:p w14:paraId="22DB74D8" w14:textId="77777777" w:rsidR="00F11F77" w:rsidRPr="00245AD9" w:rsidRDefault="00F11F77" w:rsidP="006B48C7">
            <w:pPr>
              <w:pStyle w:val="Tablewriting"/>
              <w:rPr>
                <w:rFonts w:eastAsia="MS Mincho"/>
              </w:rPr>
            </w:pPr>
            <w:r w:rsidRPr="00245AD9">
              <w:rPr>
                <w:rFonts w:eastAsia="MS Mincho"/>
              </w:rPr>
              <w:t xml:space="preserve">Schuurmans </w:t>
            </w:r>
            <w:r>
              <w:rPr>
                <w:rFonts w:eastAsia="MS Mincho"/>
              </w:rPr>
              <w:t>(</w:t>
            </w:r>
            <w:r w:rsidRPr="00245AD9">
              <w:rPr>
                <w:rFonts w:eastAsia="MS Mincho"/>
              </w:rPr>
              <w:t>2004</w:t>
            </w:r>
            <w:r>
              <w:rPr>
                <w:rFonts w:eastAsia="MS Mincho"/>
              </w:rPr>
              <w:t>)</w:t>
            </w:r>
          </w:p>
        </w:tc>
        <w:tc>
          <w:tcPr>
            <w:tcW w:w="247" w:type="pct"/>
          </w:tcPr>
          <w:p w14:paraId="581E357E"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19F7175D" w14:textId="77777777" w:rsidR="00F11F77" w:rsidRPr="00017AE6" w:rsidRDefault="00F11F77" w:rsidP="006B48C7">
            <w:pPr>
              <w:pStyle w:val="Tablewriting"/>
              <w:rPr>
                <w:rFonts w:eastAsia="MS Mincho" w:cstheme="minorHAnsi"/>
              </w:rPr>
            </w:pPr>
            <w:r w:rsidRPr="0037629C">
              <w:rPr>
                <w:rFonts w:eastAsia="MS Mincho" w:cstheme="minorHAnsi"/>
              </w:rPr>
              <w:t>South Africa</w:t>
            </w:r>
          </w:p>
        </w:tc>
        <w:tc>
          <w:tcPr>
            <w:tcW w:w="346" w:type="pct"/>
          </w:tcPr>
          <w:p w14:paraId="3748168A" w14:textId="77777777" w:rsidR="00F11F77" w:rsidRPr="00017AE6" w:rsidRDefault="00F11F77" w:rsidP="006B48C7">
            <w:pPr>
              <w:pStyle w:val="Tablewriting"/>
              <w:rPr>
                <w:rFonts w:eastAsia="MS Mincho" w:cstheme="minorHAnsi"/>
              </w:rPr>
            </w:pPr>
            <w:r>
              <w:rPr>
                <w:rFonts w:eastAsia="MS Mincho" w:cstheme="minorHAnsi"/>
              </w:rPr>
              <w:t>N=200</w:t>
            </w:r>
          </w:p>
        </w:tc>
        <w:tc>
          <w:tcPr>
            <w:tcW w:w="1166" w:type="pct"/>
          </w:tcPr>
          <w:p w14:paraId="6395781C" w14:textId="77777777" w:rsidR="00F11F77" w:rsidRPr="00017AE6" w:rsidRDefault="00F11F77" w:rsidP="006B48C7">
            <w:pPr>
              <w:pStyle w:val="Tablewriting"/>
              <w:rPr>
                <w:rFonts w:eastAsia="MS Mincho" w:cstheme="minorHAnsi"/>
              </w:rPr>
            </w:pPr>
            <w:r>
              <w:rPr>
                <w:rFonts w:eastAsia="MS Mincho" w:cstheme="minorHAnsi"/>
              </w:rPr>
              <w:t>S</w:t>
            </w:r>
            <w:r w:rsidRPr="0037629C">
              <w:rPr>
                <w:rFonts w:eastAsia="MS Mincho" w:cstheme="minorHAnsi"/>
              </w:rPr>
              <w:t>mokers</w:t>
            </w:r>
            <w:r>
              <w:rPr>
                <w:rFonts w:eastAsia="MS Mincho" w:cstheme="minorHAnsi"/>
              </w:rPr>
              <w:t xml:space="preserve">, </w:t>
            </w:r>
            <w:r w:rsidRPr="0037629C">
              <w:rPr>
                <w:rFonts w:eastAsia="MS Mincho" w:cstheme="minorHAnsi"/>
              </w:rPr>
              <w:t>56% men, av</w:t>
            </w:r>
            <w:r>
              <w:rPr>
                <w:rFonts w:eastAsia="MS Mincho" w:cstheme="minorHAnsi"/>
              </w:rPr>
              <w:t>erage</w:t>
            </w:r>
            <w:r w:rsidRPr="0037629C">
              <w:rPr>
                <w:rFonts w:eastAsia="MS Mincho" w:cstheme="minorHAnsi"/>
              </w:rPr>
              <w:t xml:space="preserve"> age 43</w:t>
            </w:r>
            <w:r>
              <w:rPr>
                <w:rFonts w:eastAsia="MS Mincho" w:cstheme="minorHAnsi"/>
              </w:rPr>
              <w:t xml:space="preserve"> years</w:t>
            </w:r>
            <w:r w:rsidRPr="0037629C">
              <w:rPr>
                <w:rFonts w:eastAsia="MS Mincho" w:cstheme="minorHAnsi"/>
              </w:rPr>
              <w:t>, av</w:t>
            </w:r>
            <w:r>
              <w:rPr>
                <w:rFonts w:eastAsia="MS Mincho" w:cstheme="minorHAnsi"/>
              </w:rPr>
              <w:t>erage CPD</w:t>
            </w:r>
            <w:r w:rsidRPr="0037629C">
              <w:rPr>
                <w:rFonts w:eastAsia="MS Mincho" w:cstheme="minorHAnsi"/>
              </w:rPr>
              <w:t xml:space="preserve"> 23 </w:t>
            </w:r>
            <w:r>
              <w:rPr>
                <w:rFonts w:eastAsia="MS Mincho" w:cstheme="minorHAnsi"/>
              </w:rPr>
              <w:t>–</w:t>
            </w:r>
            <w:r w:rsidRPr="0037629C">
              <w:rPr>
                <w:rFonts w:eastAsia="MS Mincho" w:cstheme="minorHAnsi"/>
              </w:rPr>
              <w:t xml:space="preserve"> 26</w:t>
            </w:r>
            <w:r>
              <w:rPr>
                <w:rFonts w:eastAsia="MS Mincho" w:cstheme="minorHAnsi"/>
              </w:rPr>
              <w:t xml:space="preserve">. </w:t>
            </w:r>
          </w:p>
        </w:tc>
        <w:tc>
          <w:tcPr>
            <w:tcW w:w="1286" w:type="pct"/>
          </w:tcPr>
          <w:p w14:paraId="782DAB0D" w14:textId="77777777" w:rsidR="00F11F77" w:rsidRPr="0037629C" w:rsidRDefault="00F11F77" w:rsidP="00C324F3">
            <w:pPr>
              <w:pStyle w:val="ListParagraph"/>
              <w:numPr>
                <w:ilvl w:val="0"/>
                <w:numId w:val="218"/>
              </w:numPr>
              <w:rPr>
                <w:rFonts w:eastAsia="MS Mincho"/>
                <w:lang w:eastAsia="en-US"/>
              </w:rPr>
            </w:pPr>
            <w:r w:rsidRPr="0037629C">
              <w:rPr>
                <w:rFonts w:eastAsia="MS Mincho"/>
                <w:lang w:eastAsia="en-US"/>
              </w:rPr>
              <w:t>Pre-treatment with nicotine patch for 2 weeks prior to quit date. Then active patch (15 mg) for 12 weeks including</w:t>
            </w:r>
            <w:r>
              <w:rPr>
                <w:rFonts w:eastAsia="MS Mincho"/>
                <w:lang w:eastAsia="en-US"/>
              </w:rPr>
              <w:t xml:space="preserve"> </w:t>
            </w:r>
            <w:r w:rsidRPr="0037629C">
              <w:rPr>
                <w:rFonts w:eastAsia="MS Mincho"/>
                <w:lang w:eastAsia="en-US"/>
              </w:rPr>
              <w:t>weaning. 4 sessions of counselling over 10 weeks</w:t>
            </w:r>
          </w:p>
          <w:p w14:paraId="0B080C9C" w14:textId="77777777" w:rsidR="00F11F77" w:rsidRPr="0037629C" w:rsidRDefault="00F11F77" w:rsidP="00C324F3">
            <w:pPr>
              <w:pStyle w:val="ListParagraph"/>
              <w:numPr>
                <w:ilvl w:val="0"/>
                <w:numId w:val="218"/>
              </w:numPr>
              <w:rPr>
                <w:rFonts w:eastAsia="MS Mincho"/>
                <w:lang w:eastAsia="en-US"/>
              </w:rPr>
            </w:pPr>
            <w:r w:rsidRPr="0037629C">
              <w:rPr>
                <w:rFonts w:eastAsia="MS Mincho"/>
                <w:lang w:eastAsia="en-US"/>
              </w:rPr>
              <w:t xml:space="preserve">Pre-treatment with placebo patch. Then active patch as </w:t>
            </w:r>
            <w:r>
              <w:rPr>
                <w:rFonts w:eastAsia="MS Mincho"/>
                <w:lang w:eastAsia="en-US"/>
              </w:rPr>
              <w:t xml:space="preserve">above. </w:t>
            </w:r>
          </w:p>
        </w:tc>
        <w:tc>
          <w:tcPr>
            <w:tcW w:w="998" w:type="pct"/>
          </w:tcPr>
          <w:p w14:paraId="4ED86BF3" w14:textId="77777777" w:rsidR="00F11F77" w:rsidRPr="00CE409C"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CE409C">
              <w:rPr>
                <w:rFonts w:eastAsia="MS Mincho" w:cstheme="minorBidi"/>
              </w:rPr>
              <w:t>Sustained abstinence at 6 m</w:t>
            </w:r>
            <w:r>
              <w:rPr>
                <w:rFonts w:eastAsia="MS Mincho" w:cstheme="minorBidi"/>
              </w:rPr>
              <w:t>onths.</w:t>
            </w:r>
          </w:p>
          <w:p w14:paraId="5FB23AB8" w14:textId="77777777" w:rsidR="00F11F77" w:rsidRPr="00CE409C" w:rsidRDefault="00F11F77" w:rsidP="006B48C7">
            <w:pPr>
              <w:pStyle w:val="Tablewriting"/>
              <w:rPr>
                <w:rFonts w:eastAsia="MS Mincho" w:cstheme="minorBidi"/>
              </w:rPr>
            </w:pPr>
            <w:r w:rsidRPr="00CE409C">
              <w:rPr>
                <w:rFonts w:eastAsia="MS Mincho" w:cstheme="minorBidi"/>
              </w:rPr>
              <w:t>Validation: CO &lt; 10 ppm at each visit</w:t>
            </w:r>
            <w:r>
              <w:rPr>
                <w:rFonts w:eastAsia="MS Mincho" w:cstheme="minorBidi"/>
              </w:rPr>
              <w:t>.</w:t>
            </w:r>
          </w:p>
          <w:p w14:paraId="53837ED5" w14:textId="77777777" w:rsidR="00F11F77" w:rsidRDefault="00F11F77" w:rsidP="006B48C7">
            <w:pPr>
              <w:pStyle w:val="Tablewriting"/>
              <w:rPr>
                <w:rFonts w:eastAsia="MS Mincho" w:cstheme="minorBidi"/>
              </w:rPr>
            </w:pPr>
          </w:p>
          <w:p w14:paraId="76A590FC"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w:t>
            </w:r>
            <w:r w:rsidRPr="00CE409C">
              <w:rPr>
                <w:rFonts w:eastAsia="MS Mincho" w:cstheme="minorBidi"/>
              </w:rPr>
              <w:t>Adverse events</w:t>
            </w:r>
            <w:r>
              <w:rPr>
                <w:rFonts w:eastAsia="MS Mincho" w:cstheme="minorBidi"/>
              </w:rPr>
              <w:t xml:space="preserve"> </w:t>
            </w:r>
            <w:r w:rsidRPr="00CE409C">
              <w:rPr>
                <w:rFonts w:eastAsia="MS Mincho" w:cstheme="minorBidi"/>
              </w:rPr>
              <w:t>measured at all follow-up visits to 6 months (treatment duration 12 weeks)</w:t>
            </w:r>
            <w:r>
              <w:rPr>
                <w:rFonts w:eastAsia="MS Mincho" w:cstheme="minorBidi"/>
              </w:rPr>
              <w:t>.</w:t>
            </w:r>
          </w:p>
        </w:tc>
      </w:tr>
      <w:tr w:rsidR="00F11F77" w:rsidRPr="00017AE6" w14:paraId="70FA765B" w14:textId="77777777" w:rsidTr="00EA7016">
        <w:trPr>
          <w:trHeight w:val="99"/>
        </w:trPr>
        <w:tc>
          <w:tcPr>
            <w:tcW w:w="5000" w:type="pct"/>
            <w:gridSpan w:val="7"/>
            <w:shd w:val="clear" w:color="auto" w:fill="D9D9D9" w:themeFill="background1" w:themeFillShade="D9"/>
          </w:tcPr>
          <w:p w14:paraId="789E6E4D" w14:textId="77777777" w:rsidR="00F11F77" w:rsidRPr="00DF6446" w:rsidRDefault="00F11F77" w:rsidP="006B48C7">
            <w:pPr>
              <w:pStyle w:val="Caption"/>
            </w:pPr>
            <w:r>
              <w:t>R</w:t>
            </w:r>
            <w:r w:rsidRPr="00497D03">
              <w:t>eduction with pharmacotherapy versus reduction alone</w:t>
            </w:r>
          </w:p>
        </w:tc>
      </w:tr>
      <w:tr w:rsidR="00F11F77" w:rsidRPr="00017AE6" w14:paraId="75A6B510" w14:textId="77777777" w:rsidTr="00EA7016">
        <w:trPr>
          <w:trHeight w:val="99"/>
        </w:trPr>
        <w:tc>
          <w:tcPr>
            <w:tcW w:w="539" w:type="pct"/>
          </w:tcPr>
          <w:p w14:paraId="539B80F6" w14:textId="77777777" w:rsidR="00F11F77" w:rsidRPr="00245AD9" w:rsidRDefault="00F11F77" w:rsidP="006B48C7">
            <w:pPr>
              <w:pStyle w:val="Tablewriting"/>
              <w:rPr>
                <w:rFonts w:eastAsia="MS Mincho"/>
              </w:rPr>
            </w:pPr>
            <w:r w:rsidRPr="00121B29">
              <w:rPr>
                <w:rFonts w:eastAsia="MS Mincho"/>
              </w:rPr>
              <w:t xml:space="preserve">Caldwell </w:t>
            </w:r>
            <w:r>
              <w:rPr>
                <w:rFonts w:eastAsia="MS Mincho"/>
              </w:rPr>
              <w:t>(</w:t>
            </w:r>
            <w:r w:rsidRPr="00121B29">
              <w:rPr>
                <w:rFonts w:eastAsia="MS Mincho"/>
              </w:rPr>
              <w:t>2016</w:t>
            </w:r>
            <w:r>
              <w:rPr>
                <w:rFonts w:eastAsia="MS Mincho"/>
              </w:rPr>
              <w:t>)</w:t>
            </w:r>
          </w:p>
        </w:tc>
        <w:tc>
          <w:tcPr>
            <w:tcW w:w="247" w:type="pct"/>
          </w:tcPr>
          <w:p w14:paraId="0FAF399B"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5041B9C9" w14:textId="77777777" w:rsidR="00F11F77" w:rsidRPr="00017AE6" w:rsidRDefault="00F11F77" w:rsidP="006B48C7">
            <w:pPr>
              <w:pStyle w:val="Tablewriting"/>
              <w:rPr>
                <w:rFonts w:eastAsia="MS Mincho" w:cstheme="minorHAnsi"/>
              </w:rPr>
            </w:pPr>
            <w:r>
              <w:rPr>
                <w:rFonts w:eastAsia="MS Mincho" w:cstheme="minorHAnsi"/>
              </w:rPr>
              <w:t>New Zealand</w:t>
            </w:r>
          </w:p>
        </w:tc>
        <w:tc>
          <w:tcPr>
            <w:tcW w:w="346" w:type="pct"/>
          </w:tcPr>
          <w:p w14:paraId="048142FE" w14:textId="77777777" w:rsidR="00F11F77" w:rsidRPr="00017AE6" w:rsidRDefault="00F11F77" w:rsidP="006B48C7">
            <w:pPr>
              <w:pStyle w:val="Tablewriting"/>
              <w:rPr>
                <w:rFonts w:eastAsia="MS Mincho" w:cstheme="minorHAnsi"/>
              </w:rPr>
            </w:pPr>
            <w:r>
              <w:rPr>
                <w:rFonts w:eastAsia="MS Mincho" w:cstheme="minorHAnsi"/>
              </w:rPr>
              <w:t>N=502</w:t>
            </w:r>
          </w:p>
        </w:tc>
        <w:tc>
          <w:tcPr>
            <w:tcW w:w="1166" w:type="pct"/>
          </w:tcPr>
          <w:p w14:paraId="6DF3BE1F" w14:textId="77777777" w:rsidR="00F11F77" w:rsidRPr="00017AE6" w:rsidRDefault="00F11F77" w:rsidP="006B48C7">
            <w:pPr>
              <w:pStyle w:val="Tablewriting"/>
              <w:rPr>
                <w:rFonts w:eastAsia="MS Mincho" w:cstheme="minorHAnsi"/>
              </w:rPr>
            </w:pPr>
            <w:r w:rsidRPr="00590EBB">
              <w:rPr>
                <w:rFonts w:eastAsia="MS Mincho" w:cstheme="minorHAnsi"/>
              </w:rPr>
              <w:t>51%</w:t>
            </w:r>
            <w:r>
              <w:rPr>
                <w:rFonts w:eastAsia="MS Mincho" w:cstheme="minorHAnsi"/>
              </w:rPr>
              <w:t xml:space="preserve"> </w:t>
            </w:r>
            <w:r w:rsidRPr="00590EBB">
              <w:rPr>
                <w:rFonts w:eastAsia="MS Mincho" w:cstheme="minorHAnsi"/>
              </w:rPr>
              <w:t>female</w:t>
            </w:r>
            <w:r>
              <w:rPr>
                <w:rFonts w:eastAsia="MS Mincho" w:cstheme="minorHAnsi"/>
              </w:rPr>
              <w:t>,</w:t>
            </w:r>
            <w:r w:rsidRPr="00590EBB">
              <w:rPr>
                <w:rFonts w:eastAsia="MS Mincho" w:cstheme="minorHAnsi"/>
              </w:rPr>
              <w:t xml:space="preserve"> average age</w:t>
            </w:r>
            <w:r>
              <w:rPr>
                <w:rFonts w:eastAsia="MS Mincho" w:cstheme="minorHAnsi"/>
              </w:rPr>
              <w:t xml:space="preserve"> </w:t>
            </w:r>
            <w:r w:rsidRPr="00590EBB">
              <w:rPr>
                <w:rFonts w:eastAsia="MS Mincho" w:cstheme="minorHAnsi"/>
              </w:rPr>
              <w:t>45.1 y</w:t>
            </w:r>
            <w:r>
              <w:rPr>
                <w:rFonts w:eastAsia="MS Mincho" w:cstheme="minorHAnsi"/>
              </w:rPr>
              <w:t>ears,</w:t>
            </w:r>
            <w:r w:rsidRPr="00590EBB">
              <w:rPr>
                <w:rFonts w:eastAsia="MS Mincho" w:cstheme="minorHAnsi"/>
              </w:rPr>
              <w:t xml:space="preserve"> average cig</w:t>
            </w:r>
            <w:r>
              <w:rPr>
                <w:rFonts w:eastAsia="MS Mincho" w:cstheme="minorHAnsi"/>
              </w:rPr>
              <w:t>arette</w:t>
            </w:r>
            <w:r w:rsidRPr="00590EBB">
              <w:rPr>
                <w:rFonts w:eastAsia="MS Mincho" w:cstheme="minorHAnsi"/>
              </w:rPr>
              <w:t>/day</w:t>
            </w:r>
            <w:r>
              <w:rPr>
                <w:rFonts w:eastAsia="MS Mincho" w:cstheme="minorHAnsi"/>
              </w:rPr>
              <w:t xml:space="preserve"> </w:t>
            </w:r>
            <w:r w:rsidRPr="00590EBB">
              <w:rPr>
                <w:rFonts w:eastAsia="MS Mincho" w:cstheme="minorHAnsi"/>
              </w:rPr>
              <w:t>19</w:t>
            </w:r>
            <w:r>
              <w:rPr>
                <w:rFonts w:eastAsia="MS Mincho" w:cstheme="minorHAnsi"/>
              </w:rPr>
              <w:t>,</w:t>
            </w:r>
            <w:r w:rsidRPr="00590EBB">
              <w:rPr>
                <w:rFonts w:eastAsia="MS Mincho" w:cstheme="minorHAnsi"/>
              </w:rPr>
              <w:t xml:space="preserve"> nicotine dependence</w:t>
            </w:r>
            <w:r>
              <w:rPr>
                <w:rFonts w:eastAsia="MS Mincho" w:cstheme="minorHAnsi"/>
              </w:rPr>
              <w:t xml:space="preserve"> </w:t>
            </w:r>
            <w:r w:rsidRPr="00590EBB">
              <w:rPr>
                <w:rFonts w:eastAsia="MS Mincho" w:cstheme="minorHAnsi"/>
              </w:rPr>
              <w:t>FTND 6.2</w:t>
            </w:r>
            <w:r>
              <w:rPr>
                <w:rFonts w:eastAsia="MS Mincho" w:cstheme="minorHAnsi"/>
              </w:rPr>
              <w:t>.</w:t>
            </w:r>
          </w:p>
        </w:tc>
        <w:tc>
          <w:tcPr>
            <w:tcW w:w="1286" w:type="pct"/>
          </w:tcPr>
          <w:p w14:paraId="3AD19FC7" w14:textId="77777777" w:rsidR="00F11F77" w:rsidRDefault="00F11F77" w:rsidP="00C324F3">
            <w:pPr>
              <w:pStyle w:val="ListParagraph"/>
              <w:numPr>
                <w:ilvl w:val="0"/>
                <w:numId w:val="219"/>
              </w:numPr>
              <w:rPr>
                <w:rFonts w:eastAsia="MS Mincho"/>
                <w:lang w:eastAsia="en-US"/>
              </w:rPr>
            </w:pPr>
            <w:r>
              <w:rPr>
                <w:rFonts w:eastAsia="MS Mincho"/>
                <w:lang w:eastAsia="en-US"/>
              </w:rPr>
              <w:t>S</w:t>
            </w:r>
            <w:r w:rsidRPr="003D4DDD">
              <w:rPr>
                <w:rFonts w:eastAsia="MS Mincho"/>
                <w:lang w:eastAsia="en-US"/>
              </w:rPr>
              <w:t>moking reduction advice + active nicotine inhaler</w:t>
            </w:r>
          </w:p>
          <w:p w14:paraId="16EB5A28" w14:textId="77777777" w:rsidR="00F11F77" w:rsidRDefault="00F11F77" w:rsidP="00C324F3">
            <w:pPr>
              <w:pStyle w:val="ListParagraph"/>
              <w:numPr>
                <w:ilvl w:val="0"/>
                <w:numId w:val="219"/>
              </w:numPr>
              <w:rPr>
                <w:rFonts w:eastAsia="MS Mincho"/>
                <w:lang w:eastAsia="en-US"/>
              </w:rPr>
            </w:pPr>
            <w:r w:rsidRPr="003D4DDD">
              <w:rPr>
                <w:rFonts w:eastAsia="MS Mincho"/>
                <w:lang w:eastAsia="en-US"/>
              </w:rPr>
              <w:t>Smoking reduction advice + placebo nicotine inhaler</w:t>
            </w:r>
          </w:p>
          <w:p w14:paraId="5DEE613C" w14:textId="77777777" w:rsidR="00F11F77" w:rsidRDefault="00F11F77" w:rsidP="006B48C7">
            <w:pPr>
              <w:rPr>
                <w:rFonts w:eastAsia="MS Mincho"/>
                <w:u w:val="single"/>
                <w:lang w:eastAsia="en-US"/>
              </w:rPr>
            </w:pPr>
          </w:p>
          <w:p w14:paraId="1D151730" w14:textId="77777777" w:rsidR="00F11F77" w:rsidRPr="003D4DDD" w:rsidRDefault="00F11F77" w:rsidP="006B48C7">
            <w:pPr>
              <w:rPr>
                <w:rFonts w:eastAsia="MS Mincho"/>
                <w:lang w:eastAsia="en-US"/>
              </w:rPr>
            </w:pPr>
            <w:r w:rsidRPr="003D4DDD">
              <w:rPr>
                <w:rFonts w:eastAsia="MS Mincho"/>
                <w:u w:val="single"/>
                <w:lang w:eastAsia="en-US"/>
              </w:rPr>
              <w:t>Common component:</w:t>
            </w:r>
            <w:r>
              <w:rPr>
                <w:rFonts w:eastAsia="MS Mincho"/>
                <w:lang w:eastAsia="en-US"/>
              </w:rPr>
              <w:t xml:space="preserve"> </w:t>
            </w:r>
            <w:r w:rsidRPr="003D4DDD">
              <w:rPr>
                <w:rFonts w:eastAsia="MS Mincho"/>
                <w:lang w:eastAsia="en-US"/>
              </w:rPr>
              <w:t>All participants were advised to reduce their smoking over 4 weeks before quitting completely, and</w:t>
            </w:r>
          </w:p>
          <w:p w14:paraId="4D273E7D" w14:textId="77777777" w:rsidR="00F11F77" w:rsidRPr="003D4DDD" w:rsidRDefault="00F11F77" w:rsidP="006B48C7">
            <w:pPr>
              <w:rPr>
                <w:rFonts w:eastAsia="MS Mincho"/>
                <w:lang w:eastAsia="en-US"/>
              </w:rPr>
            </w:pPr>
            <w:r w:rsidRPr="003D4DDD">
              <w:rPr>
                <w:rFonts w:eastAsia="MS Mincho"/>
                <w:lang w:eastAsia="en-US"/>
              </w:rPr>
              <w:t>used nicotine patches for 5 months after quit day. Participants were set a target quit date of 4 weeks after</w:t>
            </w:r>
            <w:r>
              <w:rPr>
                <w:rFonts w:eastAsia="MS Mincho"/>
                <w:lang w:eastAsia="en-US"/>
              </w:rPr>
              <w:t xml:space="preserve"> </w:t>
            </w:r>
            <w:r w:rsidRPr="003D4DDD">
              <w:rPr>
                <w:rFonts w:eastAsia="MS Mincho"/>
                <w:lang w:eastAsia="en-US"/>
              </w:rPr>
              <w:t>baseline but could quit earlier if they desired</w:t>
            </w:r>
            <w:r>
              <w:rPr>
                <w:rFonts w:eastAsia="MS Mincho"/>
                <w:lang w:eastAsia="en-US"/>
              </w:rPr>
              <w:t>.</w:t>
            </w:r>
          </w:p>
        </w:tc>
        <w:tc>
          <w:tcPr>
            <w:tcW w:w="998" w:type="pct"/>
          </w:tcPr>
          <w:p w14:paraId="75952822" w14:textId="77777777" w:rsidR="00F11F77" w:rsidRPr="003D4DDD"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Continuous</w:t>
            </w:r>
            <w:r w:rsidRPr="003D4DDD">
              <w:rPr>
                <w:rFonts w:eastAsia="MS Mincho" w:cstheme="minorBidi"/>
              </w:rPr>
              <w:t xml:space="preserve"> abstinence </w:t>
            </w:r>
            <w:r>
              <w:rPr>
                <w:rFonts w:eastAsia="MS Mincho" w:cstheme="minorBidi"/>
              </w:rPr>
              <w:t xml:space="preserve">at </w:t>
            </w:r>
            <w:r w:rsidRPr="003D4DDD">
              <w:rPr>
                <w:rFonts w:eastAsia="MS Mincho" w:cstheme="minorBidi"/>
              </w:rPr>
              <w:t>6 m</w:t>
            </w:r>
            <w:r>
              <w:rPr>
                <w:rFonts w:eastAsia="MS Mincho" w:cstheme="minorBidi"/>
              </w:rPr>
              <w:t>onths.</w:t>
            </w:r>
          </w:p>
          <w:p w14:paraId="7631A1AD" w14:textId="77777777" w:rsidR="00F11F77" w:rsidRDefault="00F11F77" w:rsidP="006B48C7">
            <w:pPr>
              <w:pStyle w:val="Tablewriting"/>
              <w:rPr>
                <w:rFonts w:eastAsia="MS Mincho" w:cstheme="minorBidi"/>
              </w:rPr>
            </w:pPr>
            <w:r w:rsidRPr="003D4DDD">
              <w:rPr>
                <w:rFonts w:eastAsia="MS Mincho" w:cstheme="minorBidi"/>
              </w:rPr>
              <w:t>Biochemical validation: exhaled CO &lt; 10 ppm</w:t>
            </w:r>
            <w:r>
              <w:rPr>
                <w:rFonts w:eastAsia="MS Mincho" w:cstheme="minorBidi"/>
              </w:rPr>
              <w:t>.</w:t>
            </w:r>
          </w:p>
          <w:p w14:paraId="69145777" w14:textId="77777777" w:rsidR="00F11F77" w:rsidRDefault="00F11F77" w:rsidP="006B48C7">
            <w:pPr>
              <w:pStyle w:val="Tablewriting"/>
              <w:rPr>
                <w:rFonts w:eastAsia="MS Mincho" w:cstheme="minorBidi"/>
              </w:rPr>
            </w:pPr>
          </w:p>
          <w:p w14:paraId="4C6C668B"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14:paraId="6432C6FC" w14:textId="77777777" w:rsidTr="00EA7016">
        <w:trPr>
          <w:trHeight w:val="99"/>
        </w:trPr>
        <w:tc>
          <w:tcPr>
            <w:tcW w:w="539" w:type="pct"/>
          </w:tcPr>
          <w:p w14:paraId="177D2D76" w14:textId="77777777" w:rsidR="00F11F77" w:rsidRPr="00245AD9" w:rsidRDefault="00F11F77" w:rsidP="006B48C7">
            <w:pPr>
              <w:pStyle w:val="Tablewriting"/>
              <w:rPr>
                <w:rFonts w:eastAsia="MS Mincho"/>
              </w:rPr>
            </w:pPr>
            <w:r w:rsidRPr="00121B29">
              <w:rPr>
                <w:rFonts w:eastAsia="MS Mincho"/>
              </w:rPr>
              <w:lastRenderedPageBreak/>
              <w:t xml:space="preserve">Cook </w:t>
            </w:r>
            <w:r>
              <w:rPr>
                <w:rFonts w:eastAsia="MS Mincho"/>
              </w:rPr>
              <w:t>(</w:t>
            </w:r>
            <w:r w:rsidRPr="00121B29">
              <w:rPr>
                <w:rFonts w:eastAsia="MS Mincho"/>
              </w:rPr>
              <w:t>2016</w:t>
            </w:r>
            <w:r>
              <w:rPr>
                <w:rFonts w:eastAsia="MS Mincho"/>
              </w:rPr>
              <w:t>)</w:t>
            </w:r>
          </w:p>
        </w:tc>
        <w:tc>
          <w:tcPr>
            <w:tcW w:w="247" w:type="pct"/>
          </w:tcPr>
          <w:p w14:paraId="3845CB14"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688C957B"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744F7A01" w14:textId="77777777" w:rsidR="00F11F77" w:rsidRPr="00017AE6" w:rsidRDefault="00F11F77" w:rsidP="006B48C7">
            <w:pPr>
              <w:pStyle w:val="Tablewriting"/>
              <w:rPr>
                <w:rFonts w:eastAsia="MS Mincho" w:cstheme="minorHAnsi"/>
              </w:rPr>
            </w:pPr>
            <w:r>
              <w:rPr>
                <w:rFonts w:eastAsia="MS Mincho" w:cstheme="minorHAnsi"/>
              </w:rPr>
              <w:t>N=517</w:t>
            </w:r>
          </w:p>
        </w:tc>
        <w:tc>
          <w:tcPr>
            <w:tcW w:w="1166" w:type="pct"/>
          </w:tcPr>
          <w:p w14:paraId="28086EE7" w14:textId="26B8873D" w:rsidR="00F11F77" w:rsidRPr="00017AE6" w:rsidRDefault="00F11F77" w:rsidP="006B48C7">
            <w:pPr>
              <w:pStyle w:val="Tablewriting"/>
              <w:rPr>
                <w:rFonts w:eastAsia="MS Mincho" w:cstheme="minorHAnsi"/>
              </w:rPr>
            </w:pPr>
            <w:r w:rsidRPr="00CD793F">
              <w:rPr>
                <w:rFonts w:eastAsia="MS Mincho" w:cstheme="minorHAnsi"/>
              </w:rPr>
              <w:t>63.4% female</w:t>
            </w:r>
            <w:r>
              <w:rPr>
                <w:rFonts w:eastAsia="MS Mincho" w:cstheme="minorHAnsi"/>
              </w:rPr>
              <w:t>.</w:t>
            </w:r>
            <w:r w:rsidR="00861C61">
              <w:rPr>
                <w:rFonts w:eastAsia="MS Mincho" w:cstheme="minorHAnsi"/>
              </w:rPr>
              <w:t xml:space="preserve"> A</w:t>
            </w:r>
            <w:r w:rsidRPr="00CD793F">
              <w:rPr>
                <w:rFonts w:eastAsia="MS Mincho" w:cstheme="minorHAnsi"/>
              </w:rPr>
              <w:t>verage age</w:t>
            </w:r>
            <w:r>
              <w:rPr>
                <w:rFonts w:eastAsia="MS Mincho" w:cstheme="minorHAnsi"/>
              </w:rPr>
              <w:t xml:space="preserve"> </w:t>
            </w:r>
            <w:r w:rsidRPr="00CD793F">
              <w:rPr>
                <w:rFonts w:eastAsia="MS Mincho" w:cstheme="minorHAnsi"/>
              </w:rPr>
              <w:t>47 y</w:t>
            </w:r>
            <w:r>
              <w:rPr>
                <w:rFonts w:eastAsia="MS Mincho" w:cstheme="minorHAnsi"/>
              </w:rPr>
              <w:t xml:space="preserve">ears, </w:t>
            </w:r>
            <w:r w:rsidRPr="00CD793F">
              <w:rPr>
                <w:rFonts w:eastAsia="MS Mincho" w:cstheme="minorHAnsi"/>
              </w:rPr>
              <w:t>average cig</w:t>
            </w:r>
            <w:r>
              <w:rPr>
                <w:rFonts w:eastAsia="MS Mincho" w:cstheme="minorHAnsi"/>
              </w:rPr>
              <w:t>arette</w:t>
            </w:r>
            <w:r w:rsidRPr="00CD793F">
              <w:rPr>
                <w:rFonts w:eastAsia="MS Mincho" w:cstheme="minorHAnsi"/>
              </w:rPr>
              <w:t>/day 18</w:t>
            </w:r>
            <w:r>
              <w:rPr>
                <w:rFonts w:eastAsia="MS Mincho" w:cstheme="minorHAnsi"/>
              </w:rPr>
              <w:t xml:space="preserve">, </w:t>
            </w:r>
            <w:r w:rsidRPr="00CD793F">
              <w:rPr>
                <w:rFonts w:eastAsia="MS Mincho" w:cstheme="minorHAnsi"/>
              </w:rPr>
              <w:t>nicotine dependence</w:t>
            </w:r>
            <w:r>
              <w:rPr>
                <w:rFonts w:eastAsia="MS Mincho" w:cstheme="minorHAnsi"/>
              </w:rPr>
              <w:t xml:space="preserve"> </w:t>
            </w:r>
            <w:r w:rsidRPr="00CD793F">
              <w:rPr>
                <w:rFonts w:eastAsia="MS Mincho" w:cstheme="minorHAnsi"/>
              </w:rPr>
              <w:t>FTND 4.8</w:t>
            </w:r>
            <w:r>
              <w:rPr>
                <w:rFonts w:eastAsia="MS Mincho" w:cstheme="minorHAnsi"/>
              </w:rPr>
              <w:t xml:space="preserve">. </w:t>
            </w:r>
          </w:p>
        </w:tc>
        <w:tc>
          <w:tcPr>
            <w:tcW w:w="1286" w:type="pct"/>
          </w:tcPr>
          <w:p w14:paraId="6693552E" w14:textId="77777777" w:rsidR="00F11F77" w:rsidRDefault="00F11F77" w:rsidP="006B48C7">
            <w:pPr>
              <w:rPr>
                <w:rFonts w:eastAsia="MS Mincho"/>
                <w:lang w:eastAsia="en-US"/>
              </w:rPr>
            </w:pPr>
          </w:p>
          <w:p w14:paraId="3D37A791" w14:textId="77777777" w:rsidR="00F11F77" w:rsidRDefault="00F11F77" w:rsidP="00C324F3">
            <w:pPr>
              <w:pStyle w:val="ListParagraph"/>
              <w:numPr>
                <w:ilvl w:val="0"/>
                <w:numId w:val="220"/>
              </w:numPr>
              <w:rPr>
                <w:rFonts w:eastAsia="MS Mincho"/>
                <w:lang w:eastAsia="en-US"/>
              </w:rPr>
            </w:pPr>
            <w:r w:rsidRPr="00E64CFD">
              <w:rPr>
                <w:rFonts w:eastAsia="MS Mincho"/>
                <w:lang w:eastAsia="en-US"/>
              </w:rPr>
              <w:t>Motivational interviewing (MI)</w:t>
            </w:r>
          </w:p>
          <w:p w14:paraId="1B24480F" w14:textId="77777777" w:rsidR="00F11F77" w:rsidRDefault="00F11F77" w:rsidP="00C324F3">
            <w:pPr>
              <w:pStyle w:val="ListParagraph"/>
              <w:numPr>
                <w:ilvl w:val="0"/>
                <w:numId w:val="220"/>
              </w:numPr>
              <w:rPr>
                <w:rFonts w:eastAsia="MS Mincho"/>
                <w:lang w:eastAsia="en-US"/>
              </w:rPr>
            </w:pPr>
            <w:r w:rsidRPr="00E64CFD">
              <w:rPr>
                <w:rFonts w:eastAsia="MS Mincho"/>
                <w:lang w:eastAsia="en-US"/>
              </w:rPr>
              <w:t>Behavioural smoking reduction counselling</w:t>
            </w:r>
          </w:p>
          <w:p w14:paraId="59ED2DE1" w14:textId="77777777" w:rsidR="00F11F77" w:rsidRDefault="00F11F77" w:rsidP="00C324F3">
            <w:pPr>
              <w:pStyle w:val="ListParagraph"/>
              <w:numPr>
                <w:ilvl w:val="0"/>
                <w:numId w:val="220"/>
              </w:numPr>
              <w:rPr>
                <w:rFonts w:eastAsia="MS Mincho"/>
                <w:lang w:eastAsia="en-US"/>
              </w:rPr>
            </w:pPr>
            <w:r w:rsidRPr="00E64CFD">
              <w:rPr>
                <w:rFonts w:eastAsia="MS Mincho"/>
                <w:lang w:eastAsia="en-US"/>
              </w:rPr>
              <w:t>Nicotine gum</w:t>
            </w:r>
          </w:p>
          <w:p w14:paraId="7B06070C" w14:textId="77777777" w:rsidR="00F11F77" w:rsidRDefault="00F11F77" w:rsidP="00C324F3">
            <w:pPr>
              <w:pStyle w:val="ListParagraph"/>
              <w:numPr>
                <w:ilvl w:val="0"/>
                <w:numId w:val="220"/>
              </w:numPr>
              <w:rPr>
                <w:rFonts w:eastAsia="MS Mincho"/>
                <w:lang w:eastAsia="en-US"/>
              </w:rPr>
            </w:pPr>
            <w:r w:rsidRPr="00E64CFD">
              <w:rPr>
                <w:rFonts w:eastAsia="MS Mincho"/>
                <w:lang w:eastAsia="en-US"/>
              </w:rPr>
              <w:t>Nicotine patch</w:t>
            </w:r>
          </w:p>
          <w:p w14:paraId="3149504B" w14:textId="77777777" w:rsidR="00F11F77" w:rsidRDefault="00F11F77" w:rsidP="006B48C7">
            <w:pPr>
              <w:rPr>
                <w:rFonts w:eastAsia="MS Mincho"/>
                <w:lang w:eastAsia="en-US"/>
              </w:rPr>
            </w:pPr>
          </w:p>
          <w:p w14:paraId="649A2DAD" w14:textId="77777777" w:rsidR="00F11F77" w:rsidRPr="00E64CFD" w:rsidRDefault="00F11F77" w:rsidP="006B48C7">
            <w:pPr>
              <w:rPr>
                <w:rFonts w:eastAsia="MS Mincho"/>
                <w:lang w:eastAsia="en-US"/>
              </w:rPr>
            </w:pPr>
            <w:r w:rsidRPr="00E64CFD">
              <w:rPr>
                <w:rFonts w:eastAsia="MS Mincho"/>
                <w:u w:val="single"/>
                <w:lang w:eastAsia="en-US"/>
              </w:rPr>
              <w:t xml:space="preserve">Common component: </w:t>
            </w:r>
            <w:r w:rsidRPr="00E64CFD">
              <w:rPr>
                <w:rFonts w:eastAsia="MS Mincho"/>
                <w:lang w:eastAsia="en-US"/>
              </w:rPr>
              <w:t>All participants could elect to receive cessation-phase treatment, which consisted of 8 weeks of nicotine</w:t>
            </w:r>
          </w:p>
          <w:p w14:paraId="09D73D49" w14:textId="77777777" w:rsidR="00F11F77" w:rsidRPr="00E64CFD" w:rsidRDefault="00F11F77" w:rsidP="006B48C7">
            <w:pPr>
              <w:rPr>
                <w:rFonts w:eastAsia="MS Mincho"/>
                <w:lang w:eastAsia="en-US"/>
              </w:rPr>
            </w:pPr>
            <w:r w:rsidRPr="00E64CFD">
              <w:rPr>
                <w:rFonts w:eastAsia="MS Mincho"/>
                <w:lang w:eastAsia="en-US"/>
              </w:rPr>
              <w:t>patch and gum treatment and 2 brief phone counselling sessions at any point throughout the</w:t>
            </w:r>
            <w:r>
              <w:rPr>
                <w:rFonts w:eastAsia="MS Mincho"/>
                <w:lang w:eastAsia="en-US"/>
              </w:rPr>
              <w:t xml:space="preserve"> </w:t>
            </w:r>
            <w:r w:rsidRPr="00E64CFD">
              <w:rPr>
                <w:rFonts w:eastAsia="MS Mincho"/>
                <w:lang w:eastAsia="en-US"/>
              </w:rPr>
              <w:t>treatments described below</w:t>
            </w:r>
            <w:r>
              <w:rPr>
                <w:rFonts w:eastAsia="MS Mincho"/>
                <w:lang w:eastAsia="en-US"/>
              </w:rPr>
              <w:t>.</w:t>
            </w:r>
          </w:p>
        </w:tc>
        <w:tc>
          <w:tcPr>
            <w:tcW w:w="998" w:type="pct"/>
          </w:tcPr>
          <w:p w14:paraId="2156E187"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F60734">
              <w:rPr>
                <w:rFonts w:eastAsia="MS Mincho" w:cstheme="minorBidi"/>
              </w:rPr>
              <w:t>7-day point prevalence</w:t>
            </w:r>
            <w:r>
              <w:rPr>
                <w:rFonts w:eastAsia="MS Mincho" w:cstheme="minorBidi"/>
              </w:rPr>
              <w:t xml:space="preserve"> at 6 months.</w:t>
            </w:r>
          </w:p>
          <w:p w14:paraId="1D16C0E0" w14:textId="77777777" w:rsidR="00F11F77" w:rsidRDefault="00F11F77" w:rsidP="006B48C7">
            <w:pPr>
              <w:pStyle w:val="Tablewriting"/>
              <w:rPr>
                <w:rFonts w:eastAsia="MS Mincho" w:cstheme="minorBidi"/>
              </w:rPr>
            </w:pPr>
            <w:r>
              <w:rPr>
                <w:rFonts w:eastAsia="MS Mincho" w:cstheme="minorBidi"/>
              </w:rPr>
              <w:t xml:space="preserve">Validation: none. </w:t>
            </w:r>
          </w:p>
          <w:p w14:paraId="0CF21A22" w14:textId="77777777" w:rsidR="00F11F77" w:rsidRDefault="00F11F77" w:rsidP="006B48C7">
            <w:pPr>
              <w:pStyle w:val="Tablewriting"/>
              <w:rPr>
                <w:rFonts w:eastAsia="MS Mincho" w:cstheme="minorBidi"/>
              </w:rPr>
            </w:pPr>
          </w:p>
          <w:p w14:paraId="3EE14C24"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14:paraId="5C1F069F" w14:textId="77777777" w:rsidTr="00EA7016">
        <w:trPr>
          <w:trHeight w:val="99"/>
        </w:trPr>
        <w:tc>
          <w:tcPr>
            <w:tcW w:w="539" w:type="pct"/>
          </w:tcPr>
          <w:p w14:paraId="0B089D72" w14:textId="77777777" w:rsidR="00F11F77" w:rsidRPr="00121B29" w:rsidRDefault="00F11F77" w:rsidP="006B48C7">
            <w:pPr>
              <w:pStyle w:val="Tablewriting"/>
              <w:rPr>
                <w:rFonts w:eastAsia="MS Mincho"/>
              </w:rPr>
            </w:pPr>
            <w:r w:rsidRPr="00121B29">
              <w:rPr>
                <w:rFonts w:eastAsia="MS Mincho"/>
              </w:rPr>
              <w:t xml:space="preserve">Etter </w:t>
            </w:r>
            <w:r>
              <w:rPr>
                <w:rFonts w:eastAsia="MS Mincho"/>
              </w:rPr>
              <w:t>(</w:t>
            </w:r>
            <w:r w:rsidRPr="00121B29">
              <w:rPr>
                <w:rFonts w:eastAsia="MS Mincho"/>
              </w:rPr>
              <w:t>2002</w:t>
            </w:r>
            <w:r>
              <w:rPr>
                <w:rFonts w:eastAsia="MS Mincho"/>
              </w:rPr>
              <w:t>)</w:t>
            </w:r>
          </w:p>
        </w:tc>
        <w:tc>
          <w:tcPr>
            <w:tcW w:w="247" w:type="pct"/>
          </w:tcPr>
          <w:p w14:paraId="648CE778"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0C98C442" w14:textId="77777777" w:rsidR="00F11F77" w:rsidRPr="00017AE6" w:rsidRDefault="00F11F77" w:rsidP="006B48C7">
            <w:pPr>
              <w:pStyle w:val="Tablewriting"/>
              <w:rPr>
                <w:rFonts w:eastAsia="MS Mincho" w:cstheme="minorHAnsi"/>
              </w:rPr>
            </w:pPr>
            <w:r>
              <w:rPr>
                <w:rFonts w:eastAsia="MS Mincho" w:cstheme="minorHAnsi"/>
              </w:rPr>
              <w:t>Switzerland</w:t>
            </w:r>
          </w:p>
        </w:tc>
        <w:tc>
          <w:tcPr>
            <w:tcW w:w="346" w:type="pct"/>
          </w:tcPr>
          <w:p w14:paraId="5BADCD66" w14:textId="77777777" w:rsidR="00F11F77" w:rsidRPr="00017AE6" w:rsidRDefault="00F11F77" w:rsidP="006B48C7">
            <w:pPr>
              <w:pStyle w:val="Tablewriting"/>
              <w:rPr>
                <w:rFonts w:eastAsia="MS Mincho" w:cstheme="minorHAnsi"/>
              </w:rPr>
            </w:pPr>
            <w:r>
              <w:rPr>
                <w:rFonts w:eastAsia="MS Mincho" w:cstheme="minorHAnsi"/>
              </w:rPr>
              <w:t>N=923</w:t>
            </w:r>
          </w:p>
        </w:tc>
        <w:tc>
          <w:tcPr>
            <w:tcW w:w="1166" w:type="pct"/>
          </w:tcPr>
          <w:p w14:paraId="35ADAF73" w14:textId="77777777" w:rsidR="00F11F77" w:rsidRPr="00017AE6" w:rsidRDefault="00F11F77" w:rsidP="006B48C7">
            <w:pPr>
              <w:pStyle w:val="Tablewriting"/>
              <w:rPr>
                <w:rFonts w:eastAsia="MS Mincho" w:cstheme="minorHAnsi"/>
              </w:rPr>
            </w:pPr>
            <w:r w:rsidRPr="006E2CD5">
              <w:rPr>
                <w:rFonts w:eastAsia="MS Mincho" w:cstheme="minorHAnsi"/>
              </w:rPr>
              <w:t>52% female</w:t>
            </w:r>
            <w:r>
              <w:rPr>
                <w:rFonts w:eastAsia="MS Mincho" w:cstheme="minorHAnsi"/>
              </w:rPr>
              <w:t xml:space="preserve">, </w:t>
            </w:r>
            <w:r w:rsidRPr="006E2CD5">
              <w:rPr>
                <w:rFonts w:eastAsia="MS Mincho" w:cstheme="minorHAnsi"/>
              </w:rPr>
              <w:t>average ag</w:t>
            </w:r>
            <w:r>
              <w:rPr>
                <w:rFonts w:eastAsia="MS Mincho" w:cstheme="minorHAnsi"/>
              </w:rPr>
              <w:t xml:space="preserve">e </w:t>
            </w:r>
            <w:r w:rsidRPr="006E2CD5">
              <w:rPr>
                <w:rFonts w:eastAsia="MS Mincho" w:cstheme="minorHAnsi"/>
              </w:rPr>
              <w:t>42.6 y</w:t>
            </w:r>
            <w:r>
              <w:rPr>
                <w:rFonts w:eastAsia="MS Mincho" w:cstheme="minorHAnsi"/>
              </w:rPr>
              <w:t>ears,</w:t>
            </w:r>
            <w:r w:rsidRPr="006E2CD5">
              <w:rPr>
                <w:rFonts w:eastAsia="MS Mincho" w:cstheme="minorHAnsi"/>
              </w:rPr>
              <w:t xml:space="preserve"> average cig</w:t>
            </w:r>
            <w:r>
              <w:rPr>
                <w:rFonts w:eastAsia="MS Mincho" w:cstheme="minorHAnsi"/>
              </w:rPr>
              <w:t>arette</w:t>
            </w:r>
            <w:r w:rsidRPr="006E2CD5">
              <w:rPr>
                <w:rFonts w:eastAsia="MS Mincho" w:cstheme="minorHAnsi"/>
              </w:rPr>
              <w:t>/da</w:t>
            </w:r>
            <w:r>
              <w:rPr>
                <w:rFonts w:eastAsia="MS Mincho" w:cstheme="minorHAnsi"/>
              </w:rPr>
              <w:t>y</w:t>
            </w:r>
            <w:r w:rsidRPr="006E2CD5">
              <w:rPr>
                <w:rFonts w:eastAsia="MS Mincho" w:cstheme="minorHAnsi"/>
              </w:rPr>
              <w:t xml:space="preserve"> 30</w:t>
            </w:r>
            <w:r>
              <w:rPr>
                <w:rFonts w:eastAsia="MS Mincho" w:cstheme="minorHAnsi"/>
              </w:rPr>
              <w:t>,</w:t>
            </w:r>
            <w:r w:rsidRPr="006E2CD5">
              <w:rPr>
                <w:rFonts w:eastAsia="MS Mincho" w:cstheme="minorHAnsi"/>
              </w:rPr>
              <w:t xml:space="preserve"> nicotine dependence</w:t>
            </w:r>
            <w:r>
              <w:rPr>
                <w:rFonts w:eastAsia="MS Mincho" w:cstheme="minorHAnsi"/>
              </w:rPr>
              <w:t xml:space="preserve"> </w:t>
            </w:r>
            <w:r w:rsidRPr="006E2CD5">
              <w:rPr>
                <w:rFonts w:eastAsia="MS Mincho" w:cstheme="minorHAnsi"/>
              </w:rPr>
              <w:t>FTND 6.1</w:t>
            </w:r>
            <w:r>
              <w:rPr>
                <w:rFonts w:eastAsia="MS Mincho" w:cstheme="minorHAnsi"/>
              </w:rPr>
              <w:t>.</w:t>
            </w:r>
          </w:p>
        </w:tc>
        <w:tc>
          <w:tcPr>
            <w:tcW w:w="1286" w:type="pct"/>
          </w:tcPr>
          <w:p w14:paraId="6330B01B" w14:textId="77777777"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Information booklet only: information booklet described above with no pharmacotherapy</w:t>
            </w:r>
          </w:p>
          <w:p w14:paraId="5DE0FA23" w14:textId="77777777"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Placebo nicotine replacement group: information booklet plus NRT</w:t>
            </w:r>
          </w:p>
          <w:p w14:paraId="1AE8F3FF" w14:textId="77777777" w:rsidR="00F11F77" w:rsidRPr="006E2CD5" w:rsidRDefault="00F11F77" w:rsidP="00C324F3">
            <w:pPr>
              <w:pStyle w:val="ListParagraph"/>
              <w:numPr>
                <w:ilvl w:val="0"/>
                <w:numId w:val="221"/>
              </w:numPr>
              <w:rPr>
                <w:rFonts w:eastAsia="MS Mincho"/>
                <w:lang w:eastAsia="en-US"/>
              </w:rPr>
            </w:pPr>
            <w:r w:rsidRPr="006E2CD5">
              <w:rPr>
                <w:rFonts w:eastAsia="MS Mincho"/>
                <w:lang w:eastAsia="en-US"/>
              </w:rPr>
              <w:t>Nicotine replacement: information booklet plus NRT</w:t>
            </w:r>
          </w:p>
          <w:p w14:paraId="75E54AF6" w14:textId="77777777" w:rsidR="00F11F77" w:rsidRDefault="00F11F77" w:rsidP="006B48C7">
            <w:pPr>
              <w:rPr>
                <w:rFonts w:eastAsia="MS Mincho"/>
                <w:u w:val="single"/>
                <w:lang w:eastAsia="en-US"/>
              </w:rPr>
            </w:pPr>
          </w:p>
          <w:p w14:paraId="6E9239FF" w14:textId="6DF2DE0F" w:rsidR="00F11F77" w:rsidRPr="002F7627" w:rsidRDefault="00F11F77" w:rsidP="006B48C7">
            <w:pPr>
              <w:rPr>
                <w:rFonts w:eastAsia="MS Mincho"/>
                <w:lang w:eastAsia="en-US"/>
              </w:rPr>
            </w:pPr>
            <w:r w:rsidRPr="006E2CD5">
              <w:rPr>
                <w:rFonts w:eastAsia="MS Mincho"/>
                <w:u w:val="single"/>
                <w:lang w:eastAsia="en-US"/>
              </w:rPr>
              <w:t>Common component</w:t>
            </w:r>
            <w:r>
              <w:rPr>
                <w:rFonts w:eastAsia="MS Mincho"/>
                <w:lang w:eastAsia="en-US"/>
              </w:rPr>
              <w:t xml:space="preserve">: </w:t>
            </w:r>
            <w:r w:rsidRPr="006E2CD5">
              <w:rPr>
                <w:rFonts w:eastAsia="MS Mincho"/>
                <w:lang w:eastAsia="en-US"/>
              </w:rPr>
              <w:t>All participants received an information booklet covering reasons to reduc</w:t>
            </w:r>
            <w:r w:rsidR="00861C61">
              <w:rPr>
                <w:rFonts w:eastAsia="MS Mincho"/>
                <w:lang w:eastAsia="en-US"/>
              </w:rPr>
              <w:t xml:space="preserve">e cigarette consumption, advice </w:t>
            </w:r>
            <w:r w:rsidRPr="006E2CD5">
              <w:rPr>
                <w:rFonts w:eastAsia="MS Mincho"/>
                <w:lang w:eastAsia="en-US"/>
              </w:rPr>
              <w:t>on how to reduce and addresses of smoking cessation clinics.</w:t>
            </w:r>
          </w:p>
        </w:tc>
        <w:tc>
          <w:tcPr>
            <w:tcW w:w="998" w:type="pct"/>
          </w:tcPr>
          <w:p w14:paraId="7AC7CF10"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DD73B1">
              <w:rPr>
                <w:rFonts w:eastAsia="MS Mincho" w:cstheme="minorBidi"/>
              </w:rPr>
              <w:t>1 m</w:t>
            </w:r>
            <w:r>
              <w:rPr>
                <w:rFonts w:eastAsia="MS Mincho" w:cstheme="minorBidi"/>
              </w:rPr>
              <w:t>onth</w:t>
            </w:r>
            <w:r w:rsidRPr="00DD73B1">
              <w:rPr>
                <w:rFonts w:eastAsia="MS Mincho" w:cstheme="minorBidi"/>
              </w:rPr>
              <w:t xml:space="preserve"> point prevalence</w:t>
            </w:r>
            <w:r>
              <w:rPr>
                <w:rFonts w:eastAsia="MS Mincho" w:cstheme="minorBidi"/>
              </w:rPr>
              <w:t>, l</w:t>
            </w:r>
            <w:r w:rsidRPr="00DD73B1">
              <w:rPr>
                <w:rFonts w:eastAsia="MS Mincho" w:cstheme="minorBidi"/>
              </w:rPr>
              <w:t>ongest follow-up 5 years</w:t>
            </w:r>
            <w:r>
              <w:rPr>
                <w:rFonts w:eastAsia="MS Mincho" w:cstheme="minorBidi"/>
              </w:rPr>
              <w:t xml:space="preserve">. </w:t>
            </w:r>
          </w:p>
          <w:p w14:paraId="5E5F9A83" w14:textId="77777777" w:rsidR="00F11F77" w:rsidRDefault="00F11F77" w:rsidP="006B48C7">
            <w:pPr>
              <w:pStyle w:val="Tablewriting"/>
              <w:rPr>
                <w:rFonts w:eastAsia="MS Mincho" w:cstheme="minorBidi"/>
              </w:rPr>
            </w:pPr>
            <w:r>
              <w:rPr>
                <w:rFonts w:eastAsia="MS Mincho" w:cstheme="minorBidi"/>
              </w:rPr>
              <w:t xml:space="preserve">Validation: none. </w:t>
            </w:r>
          </w:p>
          <w:p w14:paraId="14B77D9E" w14:textId="77777777" w:rsidR="00F11F77" w:rsidRDefault="00F11F77" w:rsidP="006B48C7">
            <w:pPr>
              <w:pStyle w:val="Tablewriting"/>
              <w:rPr>
                <w:rFonts w:eastAsia="MS Mincho" w:cstheme="minorBidi"/>
              </w:rPr>
            </w:pPr>
          </w:p>
          <w:p w14:paraId="5E5ACAB2"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14:paraId="2B375927" w14:textId="77777777" w:rsidTr="00EA7016">
        <w:trPr>
          <w:trHeight w:val="99"/>
        </w:trPr>
        <w:tc>
          <w:tcPr>
            <w:tcW w:w="539" w:type="pct"/>
          </w:tcPr>
          <w:p w14:paraId="2D4DFA8C" w14:textId="77777777" w:rsidR="00F11F77" w:rsidRPr="00121B29" w:rsidRDefault="00F11F77" w:rsidP="006B48C7">
            <w:pPr>
              <w:pStyle w:val="Tablewriting"/>
              <w:rPr>
                <w:rFonts w:eastAsia="MS Mincho"/>
              </w:rPr>
            </w:pPr>
            <w:r w:rsidRPr="005321B7">
              <w:rPr>
                <w:rFonts w:eastAsia="MS Mincho"/>
              </w:rPr>
              <w:t xml:space="preserve">Bolliger </w:t>
            </w:r>
            <w:r>
              <w:rPr>
                <w:rFonts w:eastAsia="MS Mincho"/>
              </w:rPr>
              <w:t>(</w:t>
            </w:r>
            <w:r w:rsidRPr="005321B7">
              <w:rPr>
                <w:rFonts w:eastAsia="MS Mincho"/>
              </w:rPr>
              <w:t>2000a</w:t>
            </w:r>
            <w:r>
              <w:rPr>
                <w:rFonts w:eastAsia="MS Mincho"/>
              </w:rPr>
              <w:t>)</w:t>
            </w:r>
          </w:p>
        </w:tc>
        <w:tc>
          <w:tcPr>
            <w:tcW w:w="247" w:type="pct"/>
          </w:tcPr>
          <w:p w14:paraId="23919F35"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24957FA2" w14:textId="77777777" w:rsidR="00F11F77" w:rsidRPr="00017AE6" w:rsidRDefault="00F11F77" w:rsidP="006B48C7">
            <w:pPr>
              <w:pStyle w:val="Tablewriting"/>
              <w:rPr>
                <w:rFonts w:eastAsia="MS Mincho" w:cstheme="minorHAnsi"/>
              </w:rPr>
            </w:pPr>
            <w:r>
              <w:rPr>
                <w:rFonts w:eastAsia="MS Mincho" w:cstheme="minorHAnsi"/>
              </w:rPr>
              <w:t>Switzerland</w:t>
            </w:r>
          </w:p>
        </w:tc>
        <w:tc>
          <w:tcPr>
            <w:tcW w:w="346" w:type="pct"/>
          </w:tcPr>
          <w:p w14:paraId="164E395A" w14:textId="77777777" w:rsidR="00F11F77" w:rsidRPr="00017AE6" w:rsidRDefault="00F11F77" w:rsidP="006B48C7">
            <w:pPr>
              <w:pStyle w:val="Tablewriting"/>
              <w:rPr>
                <w:rFonts w:eastAsia="MS Mincho" w:cstheme="minorHAnsi"/>
              </w:rPr>
            </w:pPr>
            <w:r>
              <w:rPr>
                <w:rFonts w:eastAsia="MS Mincho" w:cstheme="minorHAnsi"/>
              </w:rPr>
              <w:t>N=400</w:t>
            </w:r>
          </w:p>
        </w:tc>
        <w:tc>
          <w:tcPr>
            <w:tcW w:w="1166" w:type="pct"/>
          </w:tcPr>
          <w:p w14:paraId="51FB00D2" w14:textId="77777777" w:rsidR="00F11F77" w:rsidRPr="00017AE6" w:rsidRDefault="00F11F77" w:rsidP="006B48C7">
            <w:pPr>
              <w:pStyle w:val="Tablewriting"/>
              <w:rPr>
                <w:rFonts w:eastAsia="MS Mincho" w:cstheme="minorHAnsi"/>
              </w:rPr>
            </w:pPr>
            <w:r w:rsidRPr="009544EE">
              <w:rPr>
                <w:rFonts w:eastAsia="MS Mincho" w:cstheme="minorHAnsi"/>
              </w:rPr>
              <w:t>53%</w:t>
            </w:r>
            <w:r>
              <w:rPr>
                <w:rFonts w:eastAsia="MS Mincho" w:cstheme="minorHAnsi"/>
              </w:rPr>
              <w:t xml:space="preserve"> </w:t>
            </w:r>
            <w:r w:rsidRPr="009544EE">
              <w:rPr>
                <w:rFonts w:eastAsia="MS Mincho" w:cstheme="minorHAnsi"/>
              </w:rPr>
              <w:t>female</w:t>
            </w:r>
            <w:r>
              <w:rPr>
                <w:rFonts w:eastAsia="MS Mincho" w:cstheme="minorHAnsi"/>
              </w:rPr>
              <w:t>,</w:t>
            </w:r>
            <w:r w:rsidRPr="009544EE">
              <w:rPr>
                <w:rFonts w:eastAsia="MS Mincho" w:cstheme="minorHAnsi"/>
              </w:rPr>
              <w:t xml:space="preserve"> average age 46.1 y</w:t>
            </w:r>
            <w:r>
              <w:rPr>
                <w:rFonts w:eastAsia="MS Mincho" w:cstheme="minorHAnsi"/>
              </w:rPr>
              <w:t>ears,</w:t>
            </w:r>
            <w:r w:rsidRPr="009544EE">
              <w:rPr>
                <w:rFonts w:eastAsia="MS Mincho" w:cstheme="minorHAnsi"/>
              </w:rPr>
              <w:t xml:space="preserve"> average cig</w:t>
            </w:r>
            <w:r>
              <w:rPr>
                <w:rFonts w:eastAsia="MS Mincho" w:cstheme="minorHAnsi"/>
              </w:rPr>
              <w:t>arette</w:t>
            </w:r>
            <w:r w:rsidRPr="009544EE">
              <w:rPr>
                <w:rFonts w:eastAsia="MS Mincho" w:cstheme="minorHAnsi"/>
              </w:rPr>
              <w:t>/day 29</w:t>
            </w:r>
            <w:r>
              <w:rPr>
                <w:rFonts w:eastAsia="MS Mincho" w:cstheme="minorHAnsi"/>
              </w:rPr>
              <w:t>,</w:t>
            </w:r>
            <w:r w:rsidRPr="009544EE">
              <w:rPr>
                <w:rFonts w:eastAsia="MS Mincho" w:cstheme="minorHAnsi"/>
              </w:rPr>
              <w:t xml:space="preserve"> nicotine dependence</w:t>
            </w:r>
            <w:r>
              <w:rPr>
                <w:rFonts w:eastAsia="MS Mincho" w:cstheme="minorHAnsi"/>
              </w:rPr>
              <w:t xml:space="preserve"> </w:t>
            </w:r>
            <w:r w:rsidRPr="009544EE">
              <w:rPr>
                <w:rFonts w:eastAsia="MS Mincho" w:cstheme="minorHAnsi"/>
              </w:rPr>
              <w:t>FTND 5.6</w:t>
            </w:r>
            <w:r>
              <w:rPr>
                <w:rFonts w:eastAsia="MS Mincho" w:cstheme="minorHAnsi"/>
              </w:rPr>
              <w:t>.</w:t>
            </w:r>
          </w:p>
        </w:tc>
        <w:tc>
          <w:tcPr>
            <w:tcW w:w="1286" w:type="pct"/>
          </w:tcPr>
          <w:p w14:paraId="255B4AF0" w14:textId="77777777" w:rsidR="00F11F77" w:rsidRPr="003E4A87" w:rsidRDefault="00F11F77" w:rsidP="00C324F3">
            <w:pPr>
              <w:pStyle w:val="ListParagraph"/>
              <w:numPr>
                <w:ilvl w:val="0"/>
                <w:numId w:val="222"/>
              </w:numPr>
              <w:rPr>
                <w:rFonts w:eastAsia="MS Mincho"/>
                <w:lang w:eastAsia="en-US"/>
              </w:rPr>
            </w:pPr>
            <w:r w:rsidRPr="003E4A87">
              <w:rPr>
                <w:rFonts w:eastAsia="MS Mincho"/>
                <w:lang w:eastAsia="en-US"/>
              </w:rPr>
              <w:t>Placebo nicotine inhaler + reduction counselling</w:t>
            </w:r>
          </w:p>
          <w:p w14:paraId="3A569A13" w14:textId="77777777" w:rsidR="00F11F77" w:rsidRDefault="00F11F77" w:rsidP="00C324F3">
            <w:pPr>
              <w:pStyle w:val="ListParagraph"/>
              <w:numPr>
                <w:ilvl w:val="0"/>
                <w:numId w:val="222"/>
              </w:numPr>
              <w:rPr>
                <w:rFonts w:eastAsia="MS Mincho"/>
                <w:lang w:eastAsia="en-US"/>
              </w:rPr>
            </w:pPr>
            <w:r w:rsidRPr="003E4A87">
              <w:rPr>
                <w:rFonts w:eastAsia="MS Mincho"/>
                <w:lang w:eastAsia="en-US"/>
              </w:rPr>
              <w:t>Active nicotine inhaler + reduction counselling</w:t>
            </w:r>
          </w:p>
          <w:p w14:paraId="2761B048" w14:textId="77777777" w:rsidR="00F11F77" w:rsidRDefault="00F11F77" w:rsidP="006B48C7">
            <w:pPr>
              <w:rPr>
                <w:rFonts w:eastAsia="MS Mincho"/>
                <w:lang w:eastAsia="en-US"/>
              </w:rPr>
            </w:pPr>
          </w:p>
          <w:p w14:paraId="69B48AC7" w14:textId="77777777" w:rsidR="00F11F77" w:rsidRPr="003E4A87" w:rsidRDefault="00F11F77" w:rsidP="006B48C7">
            <w:pPr>
              <w:rPr>
                <w:rFonts w:eastAsia="MS Mincho"/>
                <w:lang w:eastAsia="en-US"/>
              </w:rPr>
            </w:pPr>
            <w:r w:rsidRPr="003E4A87">
              <w:rPr>
                <w:rFonts w:eastAsia="MS Mincho"/>
                <w:u w:val="single"/>
                <w:lang w:eastAsia="en-US"/>
              </w:rPr>
              <w:t>Common component:</w:t>
            </w:r>
            <w:r>
              <w:rPr>
                <w:rFonts w:eastAsia="MS Mincho"/>
                <w:lang w:eastAsia="en-US"/>
              </w:rPr>
              <w:t xml:space="preserve"> </w:t>
            </w:r>
            <w:r w:rsidRPr="003E4A87">
              <w:rPr>
                <w:rFonts w:eastAsia="MS Mincho"/>
                <w:lang w:eastAsia="en-US"/>
              </w:rPr>
              <w:t>All participants were told about the general implications of smoking and its health effects. Participants</w:t>
            </w:r>
          </w:p>
          <w:p w14:paraId="4E3CDF37" w14:textId="77777777" w:rsidR="00F11F77" w:rsidRPr="003E4A87" w:rsidRDefault="00F11F77" w:rsidP="006B48C7">
            <w:pPr>
              <w:rPr>
                <w:rFonts w:eastAsia="MS Mincho"/>
                <w:lang w:eastAsia="en-US"/>
              </w:rPr>
            </w:pPr>
            <w:r w:rsidRPr="003E4A87">
              <w:rPr>
                <w:rFonts w:eastAsia="MS Mincho"/>
                <w:lang w:eastAsia="en-US"/>
              </w:rPr>
              <w:t>were asked to reduce the number of</w:t>
            </w:r>
            <w:r>
              <w:rPr>
                <w:rFonts w:eastAsia="MS Mincho"/>
                <w:lang w:eastAsia="en-US"/>
              </w:rPr>
              <w:t xml:space="preserve"> </w:t>
            </w:r>
            <w:r w:rsidRPr="003E4A87">
              <w:rPr>
                <w:rFonts w:eastAsia="MS Mincho"/>
                <w:lang w:eastAsia="en-US"/>
              </w:rPr>
              <w:t>cigarettes smoked daily as much as</w:t>
            </w:r>
            <w:r>
              <w:rPr>
                <w:rFonts w:eastAsia="MS Mincho"/>
                <w:lang w:eastAsia="en-US"/>
              </w:rPr>
              <w:t xml:space="preserve"> </w:t>
            </w:r>
            <w:r w:rsidRPr="003E4A87">
              <w:rPr>
                <w:rFonts w:eastAsia="MS Mincho"/>
                <w:lang w:eastAsia="en-US"/>
              </w:rPr>
              <w:t>possible; an initial reduction</w:t>
            </w:r>
            <w:r>
              <w:rPr>
                <w:rFonts w:eastAsia="MS Mincho"/>
                <w:lang w:eastAsia="en-US"/>
              </w:rPr>
              <w:t xml:space="preserve"> </w:t>
            </w:r>
            <w:r w:rsidRPr="003E4A87">
              <w:rPr>
                <w:rFonts w:eastAsia="MS Mincho"/>
                <w:lang w:eastAsia="en-US"/>
              </w:rPr>
              <w:t>of 50% was suggested. Counselling on smoking reduction was provided at each visit and smoking cessation</w:t>
            </w:r>
            <w:r>
              <w:rPr>
                <w:rFonts w:eastAsia="MS Mincho"/>
                <w:lang w:eastAsia="en-US"/>
              </w:rPr>
              <w:t xml:space="preserve"> </w:t>
            </w:r>
            <w:r w:rsidRPr="003E4A87">
              <w:rPr>
                <w:rFonts w:eastAsia="MS Mincho"/>
                <w:lang w:eastAsia="en-US"/>
              </w:rPr>
              <w:t>was recommended as the ultimate goal throughout the study</w:t>
            </w:r>
            <w:r>
              <w:rPr>
                <w:rFonts w:eastAsia="MS Mincho"/>
                <w:lang w:eastAsia="en-US"/>
              </w:rPr>
              <w:t>.</w:t>
            </w:r>
          </w:p>
        </w:tc>
        <w:tc>
          <w:tcPr>
            <w:tcW w:w="998" w:type="pct"/>
          </w:tcPr>
          <w:p w14:paraId="104C228A" w14:textId="77777777" w:rsidR="00F11F77"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xml:space="preserve">: Prolonged abstinence from week 6 to 24 months. </w:t>
            </w:r>
          </w:p>
          <w:p w14:paraId="53D5CEA4" w14:textId="77777777" w:rsidR="00F11F77" w:rsidRDefault="00F11F77" w:rsidP="006B48C7">
            <w:pPr>
              <w:pStyle w:val="Tablewriting"/>
              <w:rPr>
                <w:rFonts w:eastAsia="MS Mincho" w:cstheme="minorBidi"/>
              </w:rPr>
            </w:pPr>
            <w:r w:rsidRPr="00E01AB1">
              <w:rPr>
                <w:rFonts w:eastAsia="MS Mincho" w:cstheme="minorBidi"/>
              </w:rPr>
              <w:t>Biochemical validation: exhaled CO (with a cut-</w:t>
            </w:r>
            <w:r>
              <w:rPr>
                <w:rFonts w:eastAsia="MS Mincho" w:cstheme="minorBidi"/>
              </w:rPr>
              <w:t>off</w:t>
            </w:r>
            <w:r w:rsidRPr="00E01AB1">
              <w:rPr>
                <w:rFonts w:eastAsia="MS Mincho" w:cstheme="minorBidi"/>
              </w:rPr>
              <w:t xml:space="preserve"> of 10 ppm)</w:t>
            </w:r>
          </w:p>
          <w:p w14:paraId="4C65407F" w14:textId="77777777" w:rsidR="00F11F77" w:rsidRDefault="00F11F77" w:rsidP="006B48C7">
            <w:pPr>
              <w:pStyle w:val="Tablewriting"/>
              <w:rPr>
                <w:rFonts w:eastAsia="MS Mincho" w:cstheme="minorBidi"/>
                <w:u w:val="single"/>
              </w:rPr>
            </w:pPr>
          </w:p>
          <w:p w14:paraId="63681696"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14:paraId="5C403AC2" w14:textId="77777777" w:rsidTr="00EA7016">
        <w:trPr>
          <w:trHeight w:val="99"/>
        </w:trPr>
        <w:tc>
          <w:tcPr>
            <w:tcW w:w="539" w:type="pct"/>
          </w:tcPr>
          <w:p w14:paraId="0563ECC9" w14:textId="77777777" w:rsidR="00F11F77" w:rsidRPr="00121B29" w:rsidRDefault="00F11F77" w:rsidP="006B48C7">
            <w:pPr>
              <w:pStyle w:val="Tablewriting"/>
              <w:rPr>
                <w:rFonts w:eastAsia="MS Mincho"/>
              </w:rPr>
            </w:pPr>
            <w:r w:rsidRPr="005321B7">
              <w:rPr>
                <w:rFonts w:eastAsia="MS Mincho"/>
              </w:rPr>
              <w:lastRenderedPageBreak/>
              <w:t xml:space="preserve">Haustein </w:t>
            </w:r>
            <w:r>
              <w:rPr>
                <w:rFonts w:eastAsia="MS Mincho"/>
              </w:rPr>
              <w:t>(</w:t>
            </w:r>
            <w:r w:rsidRPr="005321B7">
              <w:rPr>
                <w:rFonts w:eastAsia="MS Mincho"/>
              </w:rPr>
              <w:t>2002</w:t>
            </w:r>
            <w:r>
              <w:rPr>
                <w:rFonts w:eastAsia="MS Mincho"/>
              </w:rPr>
              <w:t>)</w:t>
            </w:r>
          </w:p>
        </w:tc>
        <w:tc>
          <w:tcPr>
            <w:tcW w:w="247" w:type="pct"/>
          </w:tcPr>
          <w:p w14:paraId="657F96A9"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6AC3C1B6" w14:textId="77777777" w:rsidR="00F11F77" w:rsidRPr="00017AE6" w:rsidRDefault="00F11F77" w:rsidP="006B48C7">
            <w:pPr>
              <w:pStyle w:val="Tablewriting"/>
              <w:rPr>
                <w:rFonts w:eastAsia="MS Mincho" w:cstheme="minorHAnsi"/>
              </w:rPr>
            </w:pPr>
            <w:r>
              <w:rPr>
                <w:rFonts w:eastAsia="MS Mincho" w:cstheme="minorHAnsi"/>
              </w:rPr>
              <w:t>Germany</w:t>
            </w:r>
          </w:p>
        </w:tc>
        <w:tc>
          <w:tcPr>
            <w:tcW w:w="346" w:type="pct"/>
          </w:tcPr>
          <w:p w14:paraId="72EB47AB" w14:textId="77777777" w:rsidR="00F11F77" w:rsidRPr="00017AE6" w:rsidRDefault="00F11F77" w:rsidP="006B48C7">
            <w:pPr>
              <w:pStyle w:val="Tablewriting"/>
              <w:rPr>
                <w:rFonts w:eastAsia="MS Mincho" w:cstheme="minorHAnsi"/>
              </w:rPr>
            </w:pPr>
            <w:r>
              <w:rPr>
                <w:rFonts w:eastAsia="MS Mincho" w:cstheme="minorHAnsi"/>
              </w:rPr>
              <w:t>N=385</w:t>
            </w:r>
          </w:p>
        </w:tc>
        <w:tc>
          <w:tcPr>
            <w:tcW w:w="1166" w:type="pct"/>
          </w:tcPr>
          <w:p w14:paraId="4729622F" w14:textId="77777777" w:rsidR="00F11F77" w:rsidRPr="00983E89" w:rsidRDefault="00F11F77" w:rsidP="006B48C7">
            <w:pPr>
              <w:pStyle w:val="Tablewriting"/>
              <w:rPr>
                <w:rFonts w:eastAsia="MS Mincho" w:cstheme="minorHAnsi"/>
              </w:rPr>
            </w:pPr>
            <w:r w:rsidRPr="00983E89">
              <w:rPr>
                <w:rFonts w:eastAsia="MS Mincho" w:cstheme="minorHAnsi"/>
              </w:rPr>
              <w:t>49.9% female</w:t>
            </w:r>
            <w:r>
              <w:rPr>
                <w:rFonts w:eastAsia="MS Mincho" w:cstheme="minorHAnsi"/>
              </w:rPr>
              <w:t>,</w:t>
            </w:r>
            <w:r w:rsidRPr="00983E89">
              <w:rPr>
                <w:rFonts w:eastAsia="MS Mincho" w:cstheme="minorHAnsi"/>
              </w:rPr>
              <w:t xml:space="preserve"> average age 41.7 y</w:t>
            </w:r>
            <w:r>
              <w:rPr>
                <w:rFonts w:eastAsia="MS Mincho" w:cstheme="minorHAnsi"/>
              </w:rPr>
              <w:t>ears,</w:t>
            </w:r>
            <w:r w:rsidRPr="00983E89">
              <w:rPr>
                <w:rFonts w:eastAsia="MS Mincho" w:cstheme="minorHAnsi"/>
              </w:rPr>
              <w:t xml:space="preserve"> average cig</w:t>
            </w:r>
            <w:r>
              <w:rPr>
                <w:rFonts w:eastAsia="MS Mincho" w:cstheme="minorHAnsi"/>
              </w:rPr>
              <w:t>arette</w:t>
            </w:r>
            <w:r w:rsidRPr="00983E89">
              <w:rPr>
                <w:rFonts w:eastAsia="MS Mincho" w:cstheme="minorHAnsi"/>
              </w:rPr>
              <w:t>/day 25</w:t>
            </w:r>
            <w:r>
              <w:rPr>
                <w:rFonts w:eastAsia="MS Mincho" w:cstheme="minorHAnsi"/>
              </w:rPr>
              <w:t>,</w:t>
            </w:r>
            <w:r w:rsidRPr="00983E89">
              <w:rPr>
                <w:rFonts w:eastAsia="MS Mincho" w:cstheme="minorHAnsi"/>
              </w:rPr>
              <w:t xml:space="preserve"> nicotine</w:t>
            </w:r>
          </w:p>
          <w:p w14:paraId="19A870AE" w14:textId="77777777" w:rsidR="00F11F77" w:rsidRPr="00017AE6" w:rsidRDefault="00F11F77" w:rsidP="006B48C7">
            <w:pPr>
              <w:pStyle w:val="Tablewriting"/>
              <w:rPr>
                <w:rFonts w:eastAsia="MS Mincho" w:cstheme="minorHAnsi"/>
              </w:rPr>
            </w:pPr>
            <w:r w:rsidRPr="00983E89">
              <w:rPr>
                <w:rFonts w:eastAsia="MS Mincho" w:cstheme="minorHAnsi"/>
              </w:rPr>
              <w:t>dependence FTND 5.5</w:t>
            </w:r>
            <w:r>
              <w:rPr>
                <w:rFonts w:eastAsia="MS Mincho" w:cstheme="minorHAnsi"/>
              </w:rPr>
              <w:t xml:space="preserve">. </w:t>
            </w:r>
          </w:p>
        </w:tc>
        <w:tc>
          <w:tcPr>
            <w:tcW w:w="1286" w:type="pct"/>
          </w:tcPr>
          <w:p w14:paraId="6DF78140" w14:textId="77777777"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Short-term reduction + placebo gum</w:t>
            </w:r>
          </w:p>
          <w:p w14:paraId="4B265D60" w14:textId="77777777"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Long-term reduction + placebo gum</w:t>
            </w:r>
          </w:p>
          <w:p w14:paraId="19D8FFB9" w14:textId="77777777" w:rsidR="00F11F77" w:rsidRPr="00983E89" w:rsidRDefault="00F11F77" w:rsidP="00C324F3">
            <w:pPr>
              <w:pStyle w:val="ListParagraph"/>
              <w:numPr>
                <w:ilvl w:val="0"/>
                <w:numId w:val="223"/>
              </w:numPr>
              <w:rPr>
                <w:rFonts w:eastAsia="MS Mincho"/>
                <w:lang w:eastAsia="en-US"/>
              </w:rPr>
            </w:pPr>
            <w:r w:rsidRPr="00983E89">
              <w:rPr>
                <w:rFonts w:eastAsia="MS Mincho"/>
                <w:lang w:eastAsia="en-US"/>
              </w:rPr>
              <w:t>Short-term reduction + nicotine gum</w:t>
            </w:r>
          </w:p>
          <w:p w14:paraId="34D71980" w14:textId="77777777" w:rsidR="00F11F77" w:rsidRPr="0018725F" w:rsidRDefault="00F11F77" w:rsidP="00C324F3">
            <w:pPr>
              <w:pStyle w:val="ListParagraph"/>
              <w:numPr>
                <w:ilvl w:val="0"/>
                <w:numId w:val="223"/>
              </w:numPr>
              <w:rPr>
                <w:rFonts w:eastAsia="MS Mincho"/>
                <w:lang w:eastAsia="en-US"/>
              </w:rPr>
            </w:pPr>
            <w:r w:rsidRPr="00983E89">
              <w:rPr>
                <w:rFonts w:eastAsia="MS Mincho"/>
                <w:lang w:val="en-GB" w:eastAsia="en-US"/>
              </w:rPr>
              <w:t>Long-term reduction + nicotine gum</w:t>
            </w:r>
          </w:p>
        </w:tc>
        <w:tc>
          <w:tcPr>
            <w:tcW w:w="998" w:type="pct"/>
          </w:tcPr>
          <w:p w14:paraId="3AFA0D4E"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PPA at 12 months.</w:t>
            </w:r>
          </w:p>
          <w:p w14:paraId="25DD3FF4" w14:textId="77777777" w:rsidR="00F11F77" w:rsidRDefault="00F11F77" w:rsidP="006B48C7">
            <w:pPr>
              <w:pStyle w:val="Tablewriting"/>
              <w:rPr>
                <w:rFonts w:eastAsia="MS Mincho" w:cstheme="minorBidi"/>
              </w:rPr>
            </w:pPr>
            <w:r w:rsidRPr="00983E89">
              <w:rPr>
                <w:rFonts w:eastAsia="MS Mincho" w:cstheme="minorBidi"/>
              </w:rPr>
              <w:t>Biochemical validation: exhaled CO</w:t>
            </w:r>
            <w:r>
              <w:rPr>
                <w:rFonts w:eastAsia="MS Mincho" w:cstheme="minorBidi"/>
              </w:rPr>
              <w:t>.</w:t>
            </w:r>
          </w:p>
          <w:p w14:paraId="33EB4C95" w14:textId="77777777" w:rsidR="00F11F77" w:rsidRDefault="00F11F77" w:rsidP="006B48C7">
            <w:pPr>
              <w:pStyle w:val="Tablewriting"/>
              <w:rPr>
                <w:rFonts w:eastAsia="MS Mincho" w:cstheme="minorBidi"/>
              </w:rPr>
            </w:pPr>
          </w:p>
          <w:p w14:paraId="64E5BAE8"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14:paraId="522C9EC1" w14:textId="77777777" w:rsidTr="00EA7016">
        <w:trPr>
          <w:trHeight w:val="99"/>
        </w:trPr>
        <w:tc>
          <w:tcPr>
            <w:tcW w:w="539" w:type="pct"/>
          </w:tcPr>
          <w:p w14:paraId="271B1492" w14:textId="77777777" w:rsidR="00F11F77" w:rsidRPr="00121B29" w:rsidRDefault="00F11F77" w:rsidP="006B48C7">
            <w:pPr>
              <w:pStyle w:val="Tablewriting"/>
              <w:rPr>
                <w:rFonts w:eastAsia="MS Mincho"/>
              </w:rPr>
            </w:pPr>
            <w:r w:rsidRPr="005321B7">
              <w:rPr>
                <w:rFonts w:eastAsia="MS Mincho"/>
              </w:rPr>
              <w:t xml:space="preserve">Kralikova </w:t>
            </w:r>
            <w:r>
              <w:rPr>
                <w:rFonts w:eastAsia="MS Mincho"/>
              </w:rPr>
              <w:t>(</w:t>
            </w:r>
            <w:r w:rsidRPr="005321B7">
              <w:rPr>
                <w:rFonts w:eastAsia="MS Mincho"/>
              </w:rPr>
              <w:t>2009</w:t>
            </w:r>
            <w:r>
              <w:rPr>
                <w:rFonts w:eastAsia="MS Mincho"/>
              </w:rPr>
              <w:t>)</w:t>
            </w:r>
          </w:p>
        </w:tc>
        <w:tc>
          <w:tcPr>
            <w:tcW w:w="247" w:type="pct"/>
          </w:tcPr>
          <w:p w14:paraId="54F0F4B0"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3AE7E100" w14:textId="77777777" w:rsidR="00F11F77" w:rsidRPr="00017AE6" w:rsidRDefault="00F11F77" w:rsidP="006B48C7">
            <w:pPr>
              <w:pStyle w:val="Tablewriting"/>
              <w:rPr>
                <w:rFonts w:eastAsia="MS Mincho" w:cstheme="minorHAnsi"/>
              </w:rPr>
            </w:pPr>
            <w:r w:rsidRPr="00EE7322">
              <w:rPr>
                <w:rFonts w:eastAsia="MS Mincho" w:cstheme="minorHAnsi"/>
              </w:rPr>
              <w:t>Czech Republic</w:t>
            </w:r>
          </w:p>
        </w:tc>
        <w:tc>
          <w:tcPr>
            <w:tcW w:w="346" w:type="pct"/>
          </w:tcPr>
          <w:p w14:paraId="6CAF8767" w14:textId="77777777"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314</w:t>
            </w:r>
          </w:p>
        </w:tc>
        <w:tc>
          <w:tcPr>
            <w:tcW w:w="1166" w:type="pct"/>
          </w:tcPr>
          <w:p w14:paraId="24EA626C" w14:textId="77777777" w:rsidR="00F11F77" w:rsidRPr="00017AE6" w:rsidRDefault="00F11F77" w:rsidP="006B48C7">
            <w:pPr>
              <w:pStyle w:val="Tablewriting"/>
              <w:rPr>
                <w:rFonts w:eastAsia="MS Mincho" w:cstheme="minorHAnsi"/>
              </w:rPr>
            </w:pPr>
            <w:r w:rsidRPr="00EE7322">
              <w:rPr>
                <w:rFonts w:eastAsia="MS Mincho" w:cstheme="minorHAnsi"/>
              </w:rPr>
              <w:t>58% female</w:t>
            </w:r>
            <w:r>
              <w:rPr>
                <w:rFonts w:eastAsia="MS Mincho" w:cstheme="minorHAnsi"/>
              </w:rPr>
              <w:t>,</w:t>
            </w:r>
            <w:r w:rsidRPr="00EE7322">
              <w:rPr>
                <w:rFonts w:eastAsia="MS Mincho" w:cstheme="minorHAnsi"/>
              </w:rPr>
              <w:t xml:space="preserve"> average age 46 y</w:t>
            </w:r>
            <w:r>
              <w:rPr>
                <w:rFonts w:eastAsia="MS Mincho" w:cstheme="minorHAnsi"/>
              </w:rPr>
              <w:t>ears,</w:t>
            </w:r>
            <w:r w:rsidRPr="00EE7322">
              <w:rPr>
                <w:rFonts w:eastAsia="MS Mincho" w:cstheme="minorHAnsi"/>
              </w:rPr>
              <w:t xml:space="preserve"> average cig</w:t>
            </w:r>
            <w:r>
              <w:rPr>
                <w:rFonts w:eastAsia="MS Mincho" w:cstheme="minorHAnsi"/>
              </w:rPr>
              <w:t>arette</w:t>
            </w:r>
            <w:r w:rsidRPr="00EE7322">
              <w:rPr>
                <w:rFonts w:eastAsia="MS Mincho" w:cstheme="minorHAnsi"/>
              </w:rPr>
              <w:t>/day</w:t>
            </w:r>
            <w:r>
              <w:rPr>
                <w:rFonts w:eastAsia="MS Mincho" w:cstheme="minorHAnsi"/>
              </w:rPr>
              <w:t xml:space="preserve"> </w:t>
            </w:r>
            <w:r w:rsidRPr="00EE7322">
              <w:rPr>
                <w:rFonts w:eastAsia="MS Mincho" w:cstheme="minorHAnsi"/>
              </w:rPr>
              <w:t>25</w:t>
            </w:r>
            <w:r>
              <w:rPr>
                <w:rFonts w:eastAsia="MS Mincho" w:cstheme="minorHAnsi"/>
              </w:rPr>
              <w:t>,</w:t>
            </w:r>
            <w:r w:rsidRPr="00EE7322">
              <w:rPr>
                <w:rFonts w:eastAsia="MS Mincho" w:cstheme="minorHAnsi"/>
              </w:rPr>
              <w:t xml:space="preserve"> nicotine dependence</w:t>
            </w:r>
            <w:r>
              <w:rPr>
                <w:rFonts w:eastAsia="MS Mincho" w:cstheme="minorHAnsi"/>
              </w:rPr>
              <w:t xml:space="preserve"> </w:t>
            </w:r>
            <w:r w:rsidRPr="00EE7322">
              <w:rPr>
                <w:rFonts w:eastAsia="MS Mincho" w:cstheme="minorHAnsi"/>
              </w:rPr>
              <w:t>FTND 6.0</w:t>
            </w:r>
            <w:r>
              <w:rPr>
                <w:rFonts w:eastAsia="MS Mincho" w:cstheme="minorHAnsi"/>
              </w:rPr>
              <w:t>.</w:t>
            </w:r>
          </w:p>
        </w:tc>
        <w:tc>
          <w:tcPr>
            <w:tcW w:w="1286" w:type="pct"/>
          </w:tcPr>
          <w:p w14:paraId="4ECE8135" w14:textId="77777777" w:rsidR="00F11F77" w:rsidRPr="0018725F" w:rsidRDefault="00F11F77" w:rsidP="00C324F3">
            <w:pPr>
              <w:pStyle w:val="ListParagraph"/>
              <w:numPr>
                <w:ilvl w:val="0"/>
                <w:numId w:val="224"/>
              </w:numPr>
              <w:rPr>
                <w:rFonts w:eastAsia="MS Mincho"/>
                <w:lang w:eastAsia="en-US"/>
              </w:rPr>
            </w:pPr>
            <w:r w:rsidRPr="0018725F">
              <w:rPr>
                <w:rFonts w:eastAsia="MS Mincho"/>
                <w:lang w:eastAsia="en-US"/>
              </w:rPr>
              <w:t>Reducing to quit + placebo</w:t>
            </w:r>
          </w:p>
          <w:p w14:paraId="633F9C07" w14:textId="77777777" w:rsidR="00F11F77" w:rsidRPr="0018725F" w:rsidRDefault="00F11F77" w:rsidP="00C324F3">
            <w:pPr>
              <w:pStyle w:val="ListParagraph"/>
              <w:numPr>
                <w:ilvl w:val="0"/>
                <w:numId w:val="224"/>
              </w:numPr>
              <w:rPr>
                <w:rFonts w:eastAsia="MS Mincho"/>
                <w:lang w:eastAsia="en-US"/>
              </w:rPr>
            </w:pPr>
            <w:r w:rsidRPr="0018725F">
              <w:rPr>
                <w:rFonts w:eastAsia="MS Mincho"/>
                <w:lang w:eastAsia="en-US"/>
              </w:rPr>
              <w:t>Reducing to quit + NRT</w:t>
            </w:r>
          </w:p>
          <w:p w14:paraId="1A51A737" w14:textId="77777777" w:rsidR="00F11F77" w:rsidRDefault="00F11F77" w:rsidP="006B48C7">
            <w:pPr>
              <w:rPr>
                <w:rFonts w:eastAsia="MS Mincho"/>
                <w:lang w:eastAsia="en-US"/>
              </w:rPr>
            </w:pPr>
          </w:p>
          <w:p w14:paraId="4988A752" w14:textId="77777777" w:rsidR="00F11F77" w:rsidRPr="002F7627" w:rsidRDefault="00F11F77" w:rsidP="006B48C7">
            <w:pPr>
              <w:rPr>
                <w:rFonts w:eastAsia="MS Mincho"/>
                <w:lang w:eastAsia="en-US"/>
              </w:rPr>
            </w:pPr>
            <w:r w:rsidRPr="0018725F">
              <w:rPr>
                <w:rFonts w:eastAsia="MS Mincho"/>
                <w:u w:val="single"/>
                <w:lang w:eastAsia="en-US"/>
              </w:rPr>
              <w:t>Common component</w:t>
            </w:r>
            <w:r>
              <w:rPr>
                <w:rFonts w:eastAsia="MS Mincho"/>
                <w:lang w:eastAsia="en-US"/>
              </w:rPr>
              <w:t xml:space="preserve">: </w:t>
            </w:r>
            <w:r w:rsidRPr="0018725F">
              <w:rPr>
                <w:rFonts w:eastAsia="MS Mincho"/>
                <w:lang w:eastAsia="en-US"/>
              </w:rPr>
              <w:t>All participants received brief behavioural smoking reduction/cessation support. They were instructed</w:t>
            </w:r>
            <w:r>
              <w:rPr>
                <w:rFonts w:eastAsia="MS Mincho"/>
                <w:lang w:eastAsia="en-US"/>
              </w:rPr>
              <w:t xml:space="preserve"> </w:t>
            </w:r>
            <w:r w:rsidRPr="0018725F">
              <w:rPr>
                <w:rFonts w:eastAsia="MS Mincho"/>
                <w:lang w:eastAsia="en-US"/>
              </w:rPr>
              <w:t>to reduce their smoking by replacing as many cigarettes as possible with NRT of placebo treatment</w:t>
            </w:r>
            <w:r>
              <w:rPr>
                <w:rFonts w:eastAsia="MS Mincho"/>
                <w:lang w:eastAsia="en-US"/>
              </w:rPr>
              <w:t>.</w:t>
            </w:r>
          </w:p>
        </w:tc>
        <w:tc>
          <w:tcPr>
            <w:tcW w:w="998" w:type="pct"/>
          </w:tcPr>
          <w:p w14:paraId="1A87D36D"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w:t>
            </w:r>
            <w:r w:rsidRPr="0018725F">
              <w:rPr>
                <w:rFonts w:eastAsia="MS Mincho" w:cstheme="minorBidi"/>
              </w:rPr>
              <w:t>prolonged abstinence from 6 m</w:t>
            </w:r>
            <w:r>
              <w:rPr>
                <w:rFonts w:eastAsia="MS Mincho" w:cstheme="minorBidi"/>
              </w:rPr>
              <w:t>onths</w:t>
            </w:r>
            <w:r w:rsidRPr="0018725F">
              <w:rPr>
                <w:rFonts w:eastAsia="MS Mincho" w:cstheme="minorBidi"/>
              </w:rPr>
              <w:t xml:space="preserve"> to 12 m</w:t>
            </w:r>
            <w:r>
              <w:rPr>
                <w:rFonts w:eastAsia="MS Mincho" w:cstheme="minorBidi"/>
              </w:rPr>
              <w:t xml:space="preserve">onths. </w:t>
            </w:r>
          </w:p>
          <w:p w14:paraId="67C6BFE2" w14:textId="77777777" w:rsidR="00F11F77" w:rsidRDefault="00F11F77" w:rsidP="006B48C7">
            <w:pPr>
              <w:pStyle w:val="Tablewriting"/>
              <w:rPr>
                <w:rFonts w:eastAsia="MS Mincho" w:cstheme="minorBidi"/>
              </w:rPr>
            </w:pPr>
            <w:r w:rsidRPr="0018725F">
              <w:rPr>
                <w:rFonts w:eastAsia="MS Mincho" w:cstheme="minorBidi"/>
              </w:rPr>
              <w:t>Biochemical validation: exhaled CO</w:t>
            </w:r>
            <w:r>
              <w:rPr>
                <w:rFonts w:eastAsia="MS Mincho" w:cstheme="minorBidi"/>
              </w:rPr>
              <w:t>.</w:t>
            </w:r>
          </w:p>
          <w:p w14:paraId="4EBC1F49" w14:textId="77777777" w:rsidR="00F11F77" w:rsidRDefault="00F11F77" w:rsidP="006B48C7">
            <w:pPr>
              <w:pStyle w:val="Tablewriting"/>
              <w:rPr>
                <w:rFonts w:eastAsia="MS Mincho" w:cstheme="minorBidi"/>
              </w:rPr>
            </w:pPr>
          </w:p>
          <w:p w14:paraId="220919B9"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14:paraId="6D88FF0A" w14:textId="77777777" w:rsidTr="00EA7016">
        <w:trPr>
          <w:trHeight w:val="99"/>
        </w:trPr>
        <w:tc>
          <w:tcPr>
            <w:tcW w:w="539" w:type="pct"/>
          </w:tcPr>
          <w:p w14:paraId="14D33612" w14:textId="77777777" w:rsidR="00F11F77" w:rsidRPr="005321B7" w:rsidRDefault="00F11F77" w:rsidP="006B48C7">
            <w:pPr>
              <w:pStyle w:val="Tablewriting"/>
              <w:rPr>
                <w:rFonts w:eastAsia="MS Mincho"/>
              </w:rPr>
            </w:pPr>
            <w:r w:rsidRPr="005321B7">
              <w:rPr>
                <w:rFonts w:eastAsia="MS Mincho"/>
              </w:rPr>
              <w:t xml:space="preserve">Rennard </w:t>
            </w:r>
            <w:r>
              <w:rPr>
                <w:rFonts w:eastAsia="MS Mincho"/>
              </w:rPr>
              <w:t>(</w:t>
            </w:r>
            <w:r w:rsidRPr="005321B7">
              <w:rPr>
                <w:rFonts w:eastAsia="MS Mincho"/>
              </w:rPr>
              <w:t>2006</w:t>
            </w:r>
            <w:r>
              <w:rPr>
                <w:rFonts w:eastAsia="MS Mincho"/>
              </w:rPr>
              <w:t>)</w:t>
            </w:r>
          </w:p>
        </w:tc>
        <w:tc>
          <w:tcPr>
            <w:tcW w:w="247" w:type="pct"/>
          </w:tcPr>
          <w:p w14:paraId="05CE0FDB"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4D430AB1"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1FFE02BE" w14:textId="77777777"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429</w:t>
            </w:r>
          </w:p>
        </w:tc>
        <w:tc>
          <w:tcPr>
            <w:tcW w:w="1166" w:type="pct"/>
          </w:tcPr>
          <w:p w14:paraId="6EBBEFB6" w14:textId="77777777" w:rsidR="00F11F77" w:rsidRPr="002C5EAC" w:rsidRDefault="00F11F77" w:rsidP="006B48C7">
            <w:pPr>
              <w:pStyle w:val="Tablewriting"/>
              <w:rPr>
                <w:rFonts w:eastAsia="MS Mincho" w:cstheme="minorHAnsi"/>
              </w:rPr>
            </w:pPr>
            <w:r w:rsidRPr="002C5EAC">
              <w:rPr>
                <w:rFonts w:eastAsia="MS Mincho" w:cstheme="minorHAnsi"/>
              </w:rPr>
              <w:t>55.3% female</w:t>
            </w:r>
            <w:r>
              <w:rPr>
                <w:rFonts w:eastAsia="MS Mincho" w:cstheme="minorHAnsi"/>
              </w:rPr>
              <w:t>,</w:t>
            </w:r>
            <w:r w:rsidRPr="002C5EAC">
              <w:rPr>
                <w:rFonts w:eastAsia="MS Mincho" w:cstheme="minorHAnsi"/>
              </w:rPr>
              <w:t xml:space="preserve"> average age 45.3 y</w:t>
            </w:r>
            <w:r>
              <w:rPr>
                <w:rFonts w:eastAsia="MS Mincho" w:cstheme="minorHAnsi"/>
              </w:rPr>
              <w:t xml:space="preserve">ears, </w:t>
            </w:r>
            <w:r w:rsidRPr="002C5EAC">
              <w:rPr>
                <w:rFonts w:eastAsia="MS Mincho" w:cstheme="minorHAnsi"/>
              </w:rPr>
              <w:t>average cig</w:t>
            </w:r>
            <w:r>
              <w:rPr>
                <w:rFonts w:eastAsia="MS Mincho" w:cstheme="minorHAnsi"/>
              </w:rPr>
              <w:t>arette</w:t>
            </w:r>
            <w:r w:rsidRPr="002C5EAC">
              <w:rPr>
                <w:rFonts w:eastAsia="MS Mincho" w:cstheme="minorHAnsi"/>
              </w:rPr>
              <w:t>/day 30</w:t>
            </w:r>
            <w:r>
              <w:rPr>
                <w:rFonts w:eastAsia="MS Mincho" w:cstheme="minorHAnsi"/>
              </w:rPr>
              <w:t>,</w:t>
            </w:r>
            <w:r w:rsidRPr="002C5EAC">
              <w:rPr>
                <w:rFonts w:eastAsia="MS Mincho" w:cstheme="minorHAnsi"/>
              </w:rPr>
              <w:t xml:space="preserve"> nicotine</w:t>
            </w:r>
          </w:p>
          <w:p w14:paraId="3AE81E44" w14:textId="77777777" w:rsidR="00F11F77" w:rsidRPr="00017AE6" w:rsidRDefault="00F11F77" w:rsidP="006B48C7">
            <w:pPr>
              <w:pStyle w:val="Tablewriting"/>
              <w:rPr>
                <w:rFonts w:eastAsia="MS Mincho" w:cstheme="minorHAnsi"/>
              </w:rPr>
            </w:pPr>
            <w:r w:rsidRPr="002C5EAC">
              <w:rPr>
                <w:rFonts w:eastAsia="MS Mincho" w:cstheme="minorHAnsi"/>
              </w:rPr>
              <w:t>dependence FTND 6.6</w:t>
            </w:r>
            <w:r>
              <w:rPr>
                <w:rFonts w:eastAsia="MS Mincho" w:cstheme="minorHAnsi"/>
              </w:rPr>
              <w:t xml:space="preserve">. </w:t>
            </w:r>
          </w:p>
        </w:tc>
        <w:tc>
          <w:tcPr>
            <w:tcW w:w="1286" w:type="pct"/>
          </w:tcPr>
          <w:p w14:paraId="75DDE7FF" w14:textId="77777777" w:rsidR="00F11F77" w:rsidRPr="00C361C7" w:rsidRDefault="00F11F77" w:rsidP="00C324F3">
            <w:pPr>
              <w:pStyle w:val="ListParagraph"/>
              <w:numPr>
                <w:ilvl w:val="0"/>
                <w:numId w:val="225"/>
              </w:numPr>
              <w:rPr>
                <w:rFonts w:eastAsia="MS Mincho"/>
                <w:lang w:eastAsia="en-US"/>
              </w:rPr>
            </w:pPr>
            <w:r w:rsidRPr="00C361C7">
              <w:rPr>
                <w:rFonts w:eastAsia="MS Mincho"/>
                <w:lang w:eastAsia="en-US"/>
              </w:rPr>
              <w:t>Placebo inhaler</w:t>
            </w:r>
          </w:p>
          <w:p w14:paraId="5D1A24E9" w14:textId="77777777" w:rsidR="00F11F77" w:rsidRPr="00C361C7" w:rsidRDefault="00F11F77" w:rsidP="00C324F3">
            <w:pPr>
              <w:pStyle w:val="ListParagraph"/>
              <w:numPr>
                <w:ilvl w:val="0"/>
                <w:numId w:val="225"/>
              </w:numPr>
              <w:rPr>
                <w:rFonts w:eastAsia="MS Mincho"/>
                <w:lang w:eastAsia="en-US"/>
              </w:rPr>
            </w:pPr>
            <w:r w:rsidRPr="00C361C7">
              <w:rPr>
                <w:rFonts w:eastAsia="MS Mincho"/>
                <w:lang w:eastAsia="en-US"/>
              </w:rPr>
              <w:t>Nicotine inhaler</w:t>
            </w:r>
          </w:p>
          <w:p w14:paraId="4F06E179" w14:textId="77777777" w:rsidR="00F11F77" w:rsidRDefault="00F11F77" w:rsidP="006B48C7">
            <w:pPr>
              <w:rPr>
                <w:rFonts w:eastAsia="MS Mincho"/>
                <w:u w:val="single"/>
                <w:lang w:eastAsia="en-US"/>
              </w:rPr>
            </w:pPr>
          </w:p>
          <w:p w14:paraId="5604CF33" w14:textId="77777777" w:rsidR="00F11F77" w:rsidRPr="002F7627" w:rsidRDefault="00F11F77" w:rsidP="006B48C7">
            <w:pPr>
              <w:rPr>
                <w:rFonts w:eastAsia="MS Mincho"/>
                <w:lang w:eastAsia="en-US"/>
              </w:rPr>
            </w:pPr>
            <w:r w:rsidRPr="00C361C7">
              <w:rPr>
                <w:rFonts w:eastAsia="MS Mincho"/>
                <w:u w:val="single"/>
                <w:lang w:eastAsia="en-US"/>
              </w:rPr>
              <w:t>Common component</w:t>
            </w:r>
            <w:r>
              <w:rPr>
                <w:rFonts w:eastAsia="MS Mincho"/>
                <w:lang w:eastAsia="en-US"/>
              </w:rPr>
              <w:t xml:space="preserve">: </w:t>
            </w:r>
            <w:r w:rsidRPr="00C361C7">
              <w:rPr>
                <w:rFonts w:eastAsia="MS Mincho"/>
                <w:lang w:eastAsia="en-US"/>
              </w:rPr>
              <w:t>All participants were instructed to reduce their smoking as much as possible and were provided with</w:t>
            </w:r>
            <w:r>
              <w:rPr>
                <w:rFonts w:eastAsia="MS Mincho"/>
                <w:lang w:eastAsia="en-US"/>
              </w:rPr>
              <w:t xml:space="preserve"> </w:t>
            </w:r>
            <w:r w:rsidRPr="00C361C7">
              <w:rPr>
                <w:rFonts w:eastAsia="MS Mincho"/>
                <w:lang w:eastAsia="en-US"/>
              </w:rPr>
              <w:t xml:space="preserve">information on possible ways to do </w:t>
            </w:r>
            <w:r w:rsidRPr="00C361C7">
              <w:rPr>
                <w:rFonts w:eastAsia="MS Mincho"/>
                <w:lang w:eastAsia="en-US"/>
              </w:rPr>
              <w:lastRenderedPageBreak/>
              <w:t>so (no further detail given). Smoking cessation was recommended</w:t>
            </w:r>
            <w:r>
              <w:rPr>
                <w:rFonts w:eastAsia="MS Mincho"/>
                <w:lang w:eastAsia="en-US"/>
              </w:rPr>
              <w:t xml:space="preserve"> </w:t>
            </w:r>
            <w:r w:rsidRPr="00C361C7">
              <w:rPr>
                <w:rFonts w:eastAsia="MS Mincho"/>
                <w:lang w:eastAsia="en-US"/>
              </w:rPr>
              <w:t>from month 6 as the long-term goal</w:t>
            </w:r>
            <w:r>
              <w:rPr>
                <w:rFonts w:eastAsia="MS Mincho"/>
                <w:lang w:eastAsia="en-US"/>
              </w:rPr>
              <w:t>.</w:t>
            </w:r>
          </w:p>
        </w:tc>
        <w:tc>
          <w:tcPr>
            <w:tcW w:w="998" w:type="pct"/>
          </w:tcPr>
          <w:p w14:paraId="118DB51E" w14:textId="77777777" w:rsidR="00F11F77"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7-day PPA at 15 months.</w:t>
            </w:r>
          </w:p>
          <w:p w14:paraId="0469EE5C" w14:textId="77777777" w:rsidR="00F11F77" w:rsidRDefault="00F11F77" w:rsidP="006B48C7">
            <w:pPr>
              <w:pStyle w:val="Tablewriting"/>
              <w:rPr>
                <w:rFonts w:eastAsia="MS Mincho" w:cstheme="minorBidi"/>
              </w:rPr>
            </w:pPr>
            <w:r w:rsidRPr="002245E3">
              <w:rPr>
                <w:rFonts w:eastAsia="MS Mincho" w:cstheme="minorBidi"/>
              </w:rPr>
              <w:t>Biochemical validation: exhaled CO</w:t>
            </w:r>
            <w:r>
              <w:rPr>
                <w:rFonts w:eastAsia="MS Mincho" w:cstheme="minorBidi"/>
              </w:rPr>
              <w:t>.</w:t>
            </w:r>
          </w:p>
          <w:p w14:paraId="6EE9E436" w14:textId="77777777" w:rsidR="00F11F77" w:rsidRDefault="00F11F77" w:rsidP="006B48C7">
            <w:pPr>
              <w:pStyle w:val="Tablewriting"/>
              <w:rPr>
                <w:rFonts w:eastAsia="MS Mincho" w:cstheme="minorBidi"/>
              </w:rPr>
            </w:pPr>
          </w:p>
          <w:p w14:paraId="1DE4CC94"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14:paraId="28B0AE64" w14:textId="77777777" w:rsidTr="00EA7016">
        <w:trPr>
          <w:trHeight w:val="99"/>
        </w:trPr>
        <w:tc>
          <w:tcPr>
            <w:tcW w:w="539" w:type="pct"/>
          </w:tcPr>
          <w:p w14:paraId="3BAD0218" w14:textId="7085896D" w:rsidR="00F11F77" w:rsidRPr="005321B7" w:rsidRDefault="00F11F77" w:rsidP="00276916">
            <w:pPr>
              <w:pStyle w:val="Tablewriting"/>
              <w:rPr>
                <w:rFonts w:eastAsia="MS Mincho"/>
              </w:rPr>
            </w:pPr>
            <w:r w:rsidRPr="005321B7">
              <w:rPr>
                <w:rFonts w:eastAsia="MS Mincho"/>
              </w:rPr>
              <w:t xml:space="preserve">Shiffman </w:t>
            </w:r>
            <w:r>
              <w:rPr>
                <w:rFonts w:eastAsia="MS Mincho"/>
              </w:rPr>
              <w:t>(</w:t>
            </w:r>
            <w:r w:rsidRPr="005321B7">
              <w:rPr>
                <w:rFonts w:eastAsia="MS Mincho"/>
              </w:rPr>
              <w:t>2009</w:t>
            </w:r>
            <w:r>
              <w:rPr>
                <w:rFonts w:eastAsia="MS Mincho"/>
              </w:rPr>
              <w:t>)</w:t>
            </w:r>
          </w:p>
        </w:tc>
        <w:tc>
          <w:tcPr>
            <w:tcW w:w="247" w:type="pct"/>
          </w:tcPr>
          <w:p w14:paraId="77361614" w14:textId="1F0B478D" w:rsidR="00F11F77" w:rsidRPr="00017AE6" w:rsidRDefault="00E97BEA" w:rsidP="006B48C7">
            <w:pPr>
              <w:pStyle w:val="Tablewriting"/>
              <w:rPr>
                <w:rFonts w:eastAsia="MS Mincho" w:cstheme="minorHAnsi"/>
              </w:rPr>
            </w:pPr>
            <w:r>
              <w:rPr>
                <w:rFonts w:eastAsia="MS Mincho" w:cstheme="minorHAnsi"/>
              </w:rPr>
              <w:t>NR</w:t>
            </w:r>
          </w:p>
        </w:tc>
        <w:tc>
          <w:tcPr>
            <w:tcW w:w="417" w:type="pct"/>
          </w:tcPr>
          <w:p w14:paraId="70F9E26B" w14:textId="09063331" w:rsidR="00F11F77" w:rsidRPr="00017AE6" w:rsidRDefault="00E97BEA" w:rsidP="006B48C7">
            <w:pPr>
              <w:pStyle w:val="Tablewriting"/>
              <w:rPr>
                <w:rFonts w:eastAsia="MS Mincho" w:cstheme="minorHAnsi"/>
              </w:rPr>
            </w:pPr>
            <w:r>
              <w:rPr>
                <w:rFonts w:eastAsia="MS Mincho" w:cstheme="minorHAnsi"/>
              </w:rPr>
              <w:t>NR</w:t>
            </w:r>
          </w:p>
        </w:tc>
        <w:tc>
          <w:tcPr>
            <w:tcW w:w="346" w:type="pct"/>
          </w:tcPr>
          <w:p w14:paraId="3D70051A" w14:textId="4BFCE820" w:rsidR="00F11F77" w:rsidRPr="00017AE6" w:rsidRDefault="00F11F77" w:rsidP="006B48C7">
            <w:pPr>
              <w:pStyle w:val="Tablewriting"/>
              <w:rPr>
                <w:rFonts w:eastAsia="MS Mincho" w:cstheme="minorHAnsi"/>
              </w:rPr>
            </w:pPr>
            <w:r w:rsidRPr="00A45426">
              <w:rPr>
                <w:rFonts w:eastAsia="MS Mincho" w:cstheme="minorHAnsi"/>
              </w:rPr>
              <w:t>N</w:t>
            </w:r>
            <w:r w:rsidR="00E97BEA">
              <w:rPr>
                <w:rFonts w:eastAsia="MS Mincho" w:cstheme="minorHAnsi"/>
              </w:rPr>
              <w:t>R</w:t>
            </w:r>
          </w:p>
        </w:tc>
        <w:tc>
          <w:tcPr>
            <w:tcW w:w="1166" w:type="pct"/>
          </w:tcPr>
          <w:p w14:paraId="0D809562" w14:textId="4B57AB2F" w:rsidR="00F11F77" w:rsidRPr="00017AE6" w:rsidRDefault="00E97BEA" w:rsidP="006B48C7">
            <w:pPr>
              <w:pStyle w:val="Tablewriting"/>
              <w:rPr>
                <w:rFonts w:eastAsia="MS Mincho" w:cstheme="minorHAnsi"/>
              </w:rPr>
            </w:pPr>
            <w:r>
              <w:rPr>
                <w:rFonts w:eastAsia="MS Mincho" w:cstheme="minorHAnsi"/>
              </w:rPr>
              <w:t>NR</w:t>
            </w:r>
          </w:p>
        </w:tc>
        <w:tc>
          <w:tcPr>
            <w:tcW w:w="1286" w:type="pct"/>
          </w:tcPr>
          <w:p w14:paraId="18EF8966" w14:textId="5CCBA8DE" w:rsidR="00F11F77" w:rsidRPr="002F7627" w:rsidRDefault="00E97BEA" w:rsidP="006B48C7">
            <w:pPr>
              <w:rPr>
                <w:rFonts w:eastAsia="MS Mincho"/>
                <w:lang w:eastAsia="en-US"/>
              </w:rPr>
            </w:pPr>
            <w:r>
              <w:rPr>
                <w:rFonts w:eastAsia="MS Mincho"/>
                <w:lang w:eastAsia="en-US"/>
              </w:rPr>
              <w:t>NR</w:t>
            </w:r>
          </w:p>
        </w:tc>
        <w:tc>
          <w:tcPr>
            <w:tcW w:w="998" w:type="pct"/>
          </w:tcPr>
          <w:p w14:paraId="42D962D0" w14:textId="735FE90D" w:rsidR="00F11F77" w:rsidRPr="0139F213" w:rsidRDefault="002A3BB5" w:rsidP="006B48C7">
            <w:pPr>
              <w:pStyle w:val="Tablewriting"/>
              <w:rPr>
                <w:rFonts w:eastAsia="MS Mincho" w:cstheme="minorBidi"/>
              </w:rPr>
            </w:pPr>
            <w:r>
              <w:rPr>
                <w:rFonts w:eastAsia="MS Mincho" w:cstheme="minorBidi"/>
              </w:rPr>
              <w:t>NR</w:t>
            </w:r>
          </w:p>
        </w:tc>
      </w:tr>
      <w:tr w:rsidR="00F11F77" w:rsidRPr="00017AE6" w14:paraId="2A3B15B1" w14:textId="77777777" w:rsidTr="00EA7016">
        <w:trPr>
          <w:trHeight w:val="99"/>
        </w:trPr>
        <w:tc>
          <w:tcPr>
            <w:tcW w:w="539" w:type="pct"/>
          </w:tcPr>
          <w:p w14:paraId="1D1EEA3A" w14:textId="77777777" w:rsidR="00F11F77" w:rsidRPr="005321B7" w:rsidRDefault="00F11F77" w:rsidP="006B48C7">
            <w:pPr>
              <w:pStyle w:val="Tablewriting"/>
              <w:rPr>
                <w:rFonts w:eastAsia="MS Mincho"/>
              </w:rPr>
            </w:pPr>
            <w:r w:rsidRPr="005321B7">
              <w:rPr>
                <w:rFonts w:eastAsia="MS Mincho"/>
              </w:rPr>
              <w:t xml:space="preserve">Wennike </w:t>
            </w:r>
            <w:r>
              <w:rPr>
                <w:rFonts w:eastAsia="MS Mincho"/>
              </w:rPr>
              <w:t>(</w:t>
            </w:r>
            <w:r w:rsidRPr="005321B7">
              <w:rPr>
                <w:rFonts w:eastAsia="MS Mincho"/>
              </w:rPr>
              <w:t>2003</w:t>
            </w:r>
            <w:r>
              <w:rPr>
                <w:rFonts w:eastAsia="MS Mincho"/>
              </w:rPr>
              <w:t>)</w:t>
            </w:r>
          </w:p>
        </w:tc>
        <w:tc>
          <w:tcPr>
            <w:tcW w:w="247" w:type="pct"/>
          </w:tcPr>
          <w:p w14:paraId="460C79E1"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67AC792A" w14:textId="77777777" w:rsidR="00F11F77" w:rsidRPr="00017AE6" w:rsidRDefault="00F11F77" w:rsidP="006B48C7">
            <w:pPr>
              <w:pStyle w:val="Tablewriting"/>
              <w:rPr>
                <w:rFonts w:eastAsia="MS Mincho" w:cstheme="minorHAnsi"/>
              </w:rPr>
            </w:pPr>
            <w:r>
              <w:rPr>
                <w:rFonts w:eastAsia="MS Mincho" w:cstheme="minorHAnsi"/>
              </w:rPr>
              <w:t>Denmark</w:t>
            </w:r>
          </w:p>
        </w:tc>
        <w:tc>
          <w:tcPr>
            <w:tcW w:w="346" w:type="pct"/>
          </w:tcPr>
          <w:p w14:paraId="5EB12496" w14:textId="77777777" w:rsidR="00F11F77" w:rsidRPr="00017AE6" w:rsidRDefault="00F11F77" w:rsidP="006B48C7">
            <w:pPr>
              <w:pStyle w:val="Tablewriting"/>
              <w:rPr>
                <w:rFonts w:eastAsia="MS Mincho" w:cstheme="minorHAnsi"/>
              </w:rPr>
            </w:pPr>
            <w:r w:rsidRPr="00A45426">
              <w:rPr>
                <w:rFonts w:eastAsia="MS Mincho" w:cstheme="minorHAnsi"/>
              </w:rPr>
              <w:t>N=</w:t>
            </w:r>
            <w:r>
              <w:rPr>
                <w:rFonts w:eastAsia="MS Mincho" w:cstheme="minorHAnsi"/>
              </w:rPr>
              <w:t>411</w:t>
            </w:r>
          </w:p>
        </w:tc>
        <w:tc>
          <w:tcPr>
            <w:tcW w:w="1166" w:type="pct"/>
          </w:tcPr>
          <w:p w14:paraId="4CD570A6" w14:textId="77777777" w:rsidR="00F11F77" w:rsidRPr="00D73E7B" w:rsidRDefault="00F11F77" w:rsidP="006B48C7">
            <w:pPr>
              <w:pStyle w:val="Tablewriting"/>
              <w:rPr>
                <w:rFonts w:eastAsia="MS Mincho" w:cstheme="minorHAnsi"/>
              </w:rPr>
            </w:pPr>
            <w:r w:rsidRPr="00D73E7B">
              <w:rPr>
                <w:rFonts w:eastAsia="MS Mincho" w:cstheme="minorHAnsi"/>
              </w:rPr>
              <w:t>61.8% female</w:t>
            </w:r>
            <w:r>
              <w:rPr>
                <w:rFonts w:eastAsia="MS Mincho" w:cstheme="minorHAnsi"/>
              </w:rPr>
              <w:t>,</w:t>
            </w:r>
            <w:r w:rsidRPr="00D73E7B">
              <w:rPr>
                <w:rFonts w:eastAsia="MS Mincho" w:cstheme="minorHAnsi"/>
              </w:rPr>
              <w:t xml:space="preserve"> average age 44.5 y</w:t>
            </w:r>
            <w:r>
              <w:rPr>
                <w:rFonts w:eastAsia="MS Mincho" w:cstheme="minorHAnsi"/>
              </w:rPr>
              <w:t>ears,</w:t>
            </w:r>
            <w:r w:rsidRPr="00D73E7B">
              <w:rPr>
                <w:rFonts w:eastAsia="MS Mincho" w:cstheme="minorHAnsi"/>
              </w:rPr>
              <w:t xml:space="preserve"> average cig</w:t>
            </w:r>
            <w:r>
              <w:rPr>
                <w:rFonts w:eastAsia="MS Mincho" w:cstheme="minorHAnsi"/>
              </w:rPr>
              <w:t>arette</w:t>
            </w:r>
            <w:r w:rsidRPr="00D73E7B">
              <w:rPr>
                <w:rFonts w:eastAsia="MS Mincho" w:cstheme="minorHAnsi"/>
              </w:rPr>
              <w:t>/day 24</w:t>
            </w:r>
            <w:r>
              <w:rPr>
                <w:rFonts w:eastAsia="MS Mincho" w:cstheme="minorHAnsi"/>
              </w:rPr>
              <w:t>,</w:t>
            </w:r>
            <w:r w:rsidRPr="00D73E7B">
              <w:rPr>
                <w:rFonts w:eastAsia="MS Mincho" w:cstheme="minorHAnsi"/>
              </w:rPr>
              <w:t xml:space="preserve"> nicotine</w:t>
            </w:r>
          </w:p>
          <w:p w14:paraId="334F6832" w14:textId="77777777" w:rsidR="00F11F77" w:rsidRPr="00017AE6" w:rsidRDefault="00F11F77" w:rsidP="006B48C7">
            <w:pPr>
              <w:pStyle w:val="Tablewriting"/>
              <w:rPr>
                <w:rFonts w:eastAsia="MS Mincho" w:cstheme="minorHAnsi"/>
              </w:rPr>
            </w:pPr>
            <w:r w:rsidRPr="00D73E7B">
              <w:rPr>
                <w:rFonts w:eastAsia="MS Mincho" w:cstheme="minorHAnsi"/>
              </w:rPr>
              <w:t>dependence FTND 6.4</w:t>
            </w:r>
            <w:r>
              <w:rPr>
                <w:rFonts w:eastAsia="MS Mincho" w:cstheme="minorHAnsi"/>
              </w:rPr>
              <w:t>.</w:t>
            </w:r>
          </w:p>
        </w:tc>
        <w:tc>
          <w:tcPr>
            <w:tcW w:w="1286" w:type="pct"/>
          </w:tcPr>
          <w:p w14:paraId="085D227B" w14:textId="77777777" w:rsidR="00F11F77" w:rsidRPr="00B835A6" w:rsidRDefault="00F11F77" w:rsidP="00C324F3">
            <w:pPr>
              <w:pStyle w:val="ListParagraph"/>
              <w:numPr>
                <w:ilvl w:val="0"/>
                <w:numId w:val="226"/>
              </w:numPr>
              <w:rPr>
                <w:rFonts w:eastAsia="MS Mincho"/>
                <w:lang w:eastAsia="en-US"/>
              </w:rPr>
            </w:pPr>
            <w:r w:rsidRPr="00B835A6">
              <w:rPr>
                <w:rFonts w:eastAsia="MS Mincho"/>
                <w:lang w:eastAsia="en-US"/>
              </w:rPr>
              <w:t>Placebo gum</w:t>
            </w:r>
          </w:p>
          <w:p w14:paraId="780073C4" w14:textId="77777777" w:rsidR="00F11F77" w:rsidRPr="00B835A6" w:rsidRDefault="00F11F77" w:rsidP="00C324F3">
            <w:pPr>
              <w:pStyle w:val="ListParagraph"/>
              <w:numPr>
                <w:ilvl w:val="0"/>
                <w:numId w:val="226"/>
              </w:numPr>
              <w:rPr>
                <w:rFonts w:eastAsia="MS Mincho"/>
                <w:lang w:eastAsia="en-US"/>
              </w:rPr>
            </w:pPr>
            <w:r w:rsidRPr="00B835A6">
              <w:rPr>
                <w:rFonts w:eastAsia="MS Mincho"/>
                <w:lang w:eastAsia="en-US"/>
              </w:rPr>
              <w:t>Nicotine gum</w:t>
            </w:r>
          </w:p>
          <w:p w14:paraId="4466110D" w14:textId="77777777" w:rsidR="00F11F77" w:rsidRDefault="00F11F77" w:rsidP="006B48C7">
            <w:pPr>
              <w:rPr>
                <w:rFonts w:eastAsia="MS Mincho"/>
                <w:u w:val="single"/>
                <w:lang w:eastAsia="en-US"/>
              </w:rPr>
            </w:pPr>
          </w:p>
          <w:p w14:paraId="1AA8FA77" w14:textId="77777777" w:rsidR="00F11F77" w:rsidRPr="002F7627" w:rsidRDefault="00F11F77" w:rsidP="006B48C7">
            <w:pPr>
              <w:rPr>
                <w:rFonts w:eastAsia="MS Mincho"/>
                <w:lang w:eastAsia="en-US"/>
              </w:rPr>
            </w:pPr>
            <w:r w:rsidRPr="00B835A6">
              <w:rPr>
                <w:rFonts w:eastAsia="MS Mincho"/>
                <w:u w:val="single"/>
                <w:lang w:eastAsia="en-US"/>
              </w:rPr>
              <w:t>Common component</w:t>
            </w:r>
            <w:r>
              <w:rPr>
                <w:rFonts w:eastAsia="MS Mincho"/>
                <w:lang w:eastAsia="en-US"/>
              </w:rPr>
              <w:t xml:space="preserve">: </w:t>
            </w:r>
            <w:r w:rsidRPr="00B835A6">
              <w:rPr>
                <w:rFonts w:eastAsia="MS Mincho"/>
                <w:lang w:eastAsia="en-US"/>
              </w:rPr>
              <w:t>All participants received information on behavioural smoking reduction and the general implications</w:t>
            </w:r>
            <w:r>
              <w:rPr>
                <w:rFonts w:eastAsia="MS Mincho"/>
                <w:lang w:eastAsia="en-US"/>
              </w:rPr>
              <w:t xml:space="preserve"> </w:t>
            </w:r>
            <w:r w:rsidRPr="00B835A6">
              <w:rPr>
                <w:rFonts w:eastAsia="MS Mincho"/>
                <w:lang w:eastAsia="en-US"/>
              </w:rPr>
              <w:t>of smoking and its effects on health parameters. They were asked to reduce their daily number of cigarettes</w:t>
            </w:r>
            <w:r>
              <w:rPr>
                <w:rFonts w:eastAsia="MS Mincho"/>
                <w:lang w:eastAsia="en-US"/>
              </w:rPr>
              <w:t xml:space="preserve"> </w:t>
            </w:r>
            <w:r w:rsidRPr="00B835A6">
              <w:rPr>
                <w:rFonts w:eastAsia="MS Mincho"/>
                <w:lang w:eastAsia="en-US"/>
              </w:rPr>
              <w:t>as much as possible by increasing the intervals between cigarettes or increasing the time to first</w:t>
            </w:r>
            <w:r>
              <w:rPr>
                <w:rFonts w:eastAsia="MS Mincho"/>
                <w:lang w:eastAsia="en-US"/>
              </w:rPr>
              <w:t xml:space="preserve"> </w:t>
            </w:r>
            <w:r w:rsidRPr="00B835A6">
              <w:rPr>
                <w:rFonts w:eastAsia="MS Mincho"/>
                <w:lang w:eastAsia="en-US"/>
              </w:rPr>
              <w:t>cigarette in the morning or removing habitual cigarettes. Smoking cessation was recommended as the</w:t>
            </w:r>
            <w:r>
              <w:rPr>
                <w:rFonts w:eastAsia="MS Mincho"/>
                <w:lang w:eastAsia="en-US"/>
              </w:rPr>
              <w:t xml:space="preserve"> </w:t>
            </w:r>
            <w:r w:rsidRPr="00B835A6">
              <w:rPr>
                <w:rFonts w:eastAsia="MS Mincho"/>
                <w:lang w:eastAsia="en-US"/>
              </w:rPr>
              <w:t>ultimate goal throughout the study</w:t>
            </w:r>
            <w:r>
              <w:rPr>
                <w:rFonts w:eastAsia="MS Mincho"/>
                <w:lang w:eastAsia="en-US"/>
              </w:rPr>
              <w:t>.</w:t>
            </w:r>
          </w:p>
        </w:tc>
        <w:tc>
          <w:tcPr>
            <w:tcW w:w="998" w:type="pct"/>
          </w:tcPr>
          <w:p w14:paraId="5F9D596E"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7-day PPA at 24 months.</w:t>
            </w:r>
          </w:p>
          <w:p w14:paraId="327CC5A0" w14:textId="77777777" w:rsidR="00F11F77" w:rsidRDefault="00F11F77" w:rsidP="006B48C7">
            <w:pPr>
              <w:pStyle w:val="Tablewriting"/>
              <w:rPr>
                <w:rFonts w:eastAsia="MS Mincho" w:cstheme="minorBidi"/>
              </w:rPr>
            </w:pPr>
            <w:r w:rsidRPr="00B835A6">
              <w:rPr>
                <w:rFonts w:eastAsia="MS Mincho" w:cstheme="minorBidi"/>
              </w:rPr>
              <w:t>Biochemical validation: exhaled CO</w:t>
            </w:r>
            <w:r>
              <w:rPr>
                <w:rFonts w:eastAsia="MS Mincho" w:cstheme="minorBidi"/>
              </w:rPr>
              <w:t xml:space="preserve">. </w:t>
            </w:r>
          </w:p>
          <w:p w14:paraId="77B65DD8"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NR.</w:t>
            </w:r>
          </w:p>
        </w:tc>
      </w:tr>
      <w:tr w:rsidR="00F11F77" w:rsidRPr="00017AE6" w14:paraId="09E024E8" w14:textId="77777777" w:rsidTr="00EA7016">
        <w:trPr>
          <w:trHeight w:val="99"/>
        </w:trPr>
        <w:tc>
          <w:tcPr>
            <w:tcW w:w="539" w:type="pct"/>
          </w:tcPr>
          <w:p w14:paraId="37BBE245" w14:textId="77777777" w:rsidR="00F11F77" w:rsidRPr="005321B7" w:rsidRDefault="00F11F77" w:rsidP="006B48C7">
            <w:pPr>
              <w:pStyle w:val="Tablewriting"/>
              <w:rPr>
                <w:rFonts w:eastAsia="MS Mincho"/>
              </w:rPr>
            </w:pPr>
            <w:r w:rsidRPr="0051347A">
              <w:rPr>
                <w:rFonts w:eastAsia="MS Mincho"/>
              </w:rPr>
              <w:t xml:space="preserve">Ebbert </w:t>
            </w:r>
            <w:r>
              <w:rPr>
                <w:rFonts w:eastAsia="MS Mincho"/>
              </w:rPr>
              <w:t>(</w:t>
            </w:r>
            <w:r w:rsidRPr="0051347A">
              <w:rPr>
                <w:rFonts w:eastAsia="MS Mincho"/>
              </w:rPr>
              <w:t>2015</w:t>
            </w:r>
            <w:r>
              <w:rPr>
                <w:rFonts w:eastAsia="MS Mincho"/>
              </w:rPr>
              <w:t>)</w:t>
            </w:r>
          </w:p>
        </w:tc>
        <w:tc>
          <w:tcPr>
            <w:tcW w:w="247" w:type="pct"/>
          </w:tcPr>
          <w:p w14:paraId="3DE44908"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79D29B2F" w14:textId="77777777" w:rsidR="00F11F77" w:rsidRPr="00017AE6" w:rsidRDefault="00F11F77" w:rsidP="006B48C7">
            <w:pPr>
              <w:pStyle w:val="Tablewriting"/>
              <w:rPr>
                <w:rFonts w:eastAsia="MS Mincho" w:cstheme="minorHAnsi"/>
              </w:rPr>
            </w:pPr>
            <w:r w:rsidRPr="00765662">
              <w:rPr>
                <w:rFonts w:eastAsia="MS Mincho" w:cstheme="minorHAnsi"/>
              </w:rPr>
              <w:t>Australia, Canada, Czech Republic, Egypt, Germany, Japan, Mexico, Taiwan, UK, USA</w:t>
            </w:r>
          </w:p>
        </w:tc>
        <w:tc>
          <w:tcPr>
            <w:tcW w:w="346" w:type="pct"/>
          </w:tcPr>
          <w:p w14:paraId="1F984DC4" w14:textId="77777777" w:rsidR="00F11F77" w:rsidRPr="00017AE6" w:rsidRDefault="00F11F77" w:rsidP="006B48C7">
            <w:pPr>
              <w:pStyle w:val="Tablewriting"/>
              <w:rPr>
                <w:rFonts w:eastAsia="MS Mincho" w:cstheme="minorHAnsi"/>
              </w:rPr>
            </w:pPr>
            <w:r w:rsidRPr="00745320">
              <w:rPr>
                <w:rFonts w:eastAsia="MS Mincho" w:cstheme="minorHAnsi"/>
              </w:rPr>
              <w:t>N=</w:t>
            </w:r>
            <w:r>
              <w:rPr>
                <w:rFonts w:eastAsia="MS Mincho" w:cstheme="minorHAnsi"/>
              </w:rPr>
              <w:t>1510</w:t>
            </w:r>
          </w:p>
        </w:tc>
        <w:tc>
          <w:tcPr>
            <w:tcW w:w="1166" w:type="pct"/>
          </w:tcPr>
          <w:p w14:paraId="30EC1D10" w14:textId="77777777" w:rsidR="00F11F77" w:rsidRPr="00765662" w:rsidRDefault="00F11F77" w:rsidP="006B48C7">
            <w:pPr>
              <w:pStyle w:val="Tablewriting"/>
              <w:rPr>
                <w:rFonts w:eastAsia="MS Mincho" w:cstheme="minorHAnsi"/>
              </w:rPr>
            </w:pPr>
            <w:r w:rsidRPr="00765662">
              <w:rPr>
                <w:rFonts w:eastAsia="MS Mincho" w:cstheme="minorHAnsi"/>
              </w:rPr>
              <w:t>44% female</w:t>
            </w:r>
            <w:r>
              <w:rPr>
                <w:rFonts w:eastAsia="MS Mincho" w:cstheme="minorHAnsi"/>
              </w:rPr>
              <w:t>,</w:t>
            </w:r>
            <w:r w:rsidRPr="00765662">
              <w:rPr>
                <w:rFonts w:eastAsia="MS Mincho" w:cstheme="minorHAnsi"/>
              </w:rPr>
              <w:t xml:space="preserve"> average age 44.6 y</w:t>
            </w:r>
            <w:r>
              <w:rPr>
                <w:rFonts w:eastAsia="MS Mincho" w:cstheme="minorHAnsi"/>
              </w:rPr>
              <w:t>ears,</w:t>
            </w:r>
            <w:r w:rsidRPr="00765662">
              <w:rPr>
                <w:rFonts w:eastAsia="MS Mincho" w:cstheme="minorHAnsi"/>
              </w:rPr>
              <w:t xml:space="preserve"> average cig</w:t>
            </w:r>
            <w:r>
              <w:rPr>
                <w:rFonts w:eastAsia="MS Mincho" w:cstheme="minorHAnsi"/>
              </w:rPr>
              <w:t>arette</w:t>
            </w:r>
            <w:r w:rsidRPr="00765662">
              <w:rPr>
                <w:rFonts w:eastAsia="MS Mincho" w:cstheme="minorHAnsi"/>
              </w:rPr>
              <w:t>/day 21</w:t>
            </w:r>
            <w:r>
              <w:rPr>
                <w:rFonts w:eastAsia="MS Mincho" w:cstheme="minorHAnsi"/>
              </w:rPr>
              <w:t>,</w:t>
            </w:r>
            <w:r w:rsidRPr="00765662">
              <w:rPr>
                <w:rFonts w:eastAsia="MS Mincho" w:cstheme="minorHAnsi"/>
              </w:rPr>
              <w:t xml:space="preserve"> nicotine</w:t>
            </w:r>
          </w:p>
          <w:p w14:paraId="6D23C5E0" w14:textId="77777777" w:rsidR="00F11F77" w:rsidRPr="00017AE6" w:rsidRDefault="00F11F77" w:rsidP="006B48C7">
            <w:pPr>
              <w:pStyle w:val="Tablewriting"/>
              <w:rPr>
                <w:rFonts w:eastAsia="MS Mincho" w:cstheme="minorHAnsi"/>
              </w:rPr>
            </w:pPr>
            <w:r w:rsidRPr="00765662">
              <w:rPr>
                <w:rFonts w:eastAsia="MS Mincho" w:cstheme="minorHAnsi"/>
              </w:rPr>
              <w:t>dependence FTND 5.6</w:t>
            </w:r>
            <w:r>
              <w:rPr>
                <w:rFonts w:eastAsia="MS Mincho" w:cstheme="minorHAnsi"/>
              </w:rPr>
              <w:t xml:space="preserve">. </w:t>
            </w:r>
          </w:p>
        </w:tc>
        <w:tc>
          <w:tcPr>
            <w:tcW w:w="1286" w:type="pct"/>
          </w:tcPr>
          <w:p w14:paraId="106B2521" w14:textId="77777777" w:rsidR="00F11F77" w:rsidRPr="00AB1658" w:rsidRDefault="00F11F77" w:rsidP="00C324F3">
            <w:pPr>
              <w:pStyle w:val="ListParagraph"/>
              <w:numPr>
                <w:ilvl w:val="0"/>
                <w:numId w:val="227"/>
              </w:numPr>
              <w:rPr>
                <w:rFonts w:eastAsia="MS Mincho"/>
                <w:lang w:eastAsia="en-US"/>
              </w:rPr>
            </w:pPr>
            <w:r w:rsidRPr="00AB1658">
              <w:rPr>
                <w:rFonts w:eastAsia="MS Mincho"/>
                <w:lang w:eastAsia="en-US"/>
              </w:rPr>
              <w:t>Placebo</w:t>
            </w:r>
          </w:p>
          <w:p w14:paraId="797C151D" w14:textId="77777777" w:rsidR="00F11F77" w:rsidRDefault="00F11F77" w:rsidP="00C324F3">
            <w:pPr>
              <w:pStyle w:val="ListParagraph"/>
              <w:numPr>
                <w:ilvl w:val="0"/>
                <w:numId w:val="227"/>
              </w:numPr>
              <w:rPr>
                <w:rFonts w:eastAsia="MS Mincho"/>
                <w:lang w:eastAsia="en-US"/>
              </w:rPr>
            </w:pPr>
            <w:r w:rsidRPr="00AB1658">
              <w:rPr>
                <w:rFonts w:eastAsia="MS Mincho"/>
                <w:lang w:eastAsia="en-US"/>
              </w:rPr>
              <w:t>Varenicline</w:t>
            </w:r>
          </w:p>
          <w:p w14:paraId="2842E73B" w14:textId="77777777" w:rsidR="00F11F77" w:rsidRDefault="00F11F77" w:rsidP="006B48C7">
            <w:pPr>
              <w:rPr>
                <w:rFonts w:eastAsia="MS Mincho"/>
                <w:lang w:eastAsia="en-US"/>
              </w:rPr>
            </w:pPr>
          </w:p>
          <w:p w14:paraId="29AD9947" w14:textId="77777777" w:rsidR="00F11F77" w:rsidRPr="00AB1658" w:rsidRDefault="00F11F77" w:rsidP="006B48C7">
            <w:pPr>
              <w:rPr>
                <w:rFonts w:eastAsia="MS Mincho"/>
                <w:lang w:eastAsia="en-US"/>
              </w:rPr>
            </w:pPr>
            <w:r w:rsidRPr="00AB1658">
              <w:rPr>
                <w:rFonts w:eastAsia="MS Mincho"/>
                <w:lang w:eastAsia="en-US"/>
              </w:rPr>
              <w:t>All participants received a self-help smoking cessation booklet and were asked to reduce baseline</w:t>
            </w:r>
            <w:r>
              <w:rPr>
                <w:rFonts w:eastAsia="MS Mincho"/>
                <w:lang w:eastAsia="en-US"/>
              </w:rPr>
              <w:t xml:space="preserve"> </w:t>
            </w:r>
            <w:r w:rsidRPr="00AB1658">
              <w:rPr>
                <w:rFonts w:eastAsia="MS Mincho"/>
                <w:lang w:eastAsia="en-US"/>
              </w:rPr>
              <w:t>smoking rate by K 50% by week 4 with further reduction to 75% from baseline by week 8 with the goal</w:t>
            </w:r>
            <w:r>
              <w:rPr>
                <w:rFonts w:eastAsia="MS Mincho"/>
                <w:lang w:eastAsia="en-US"/>
              </w:rPr>
              <w:t xml:space="preserve"> </w:t>
            </w:r>
            <w:r w:rsidRPr="00AB1658">
              <w:rPr>
                <w:rFonts w:eastAsia="MS Mincho"/>
                <w:lang w:eastAsia="en-US"/>
              </w:rPr>
              <w:t>of quitting by week 12. Participants could reduce their smoking faster and could make a quit attempt</w:t>
            </w:r>
            <w:r>
              <w:rPr>
                <w:rFonts w:eastAsia="MS Mincho"/>
                <w:lang w:eastAsia="en-US"/>
              </w:rPr>
              <w:t xml:space="preserve"> </w:t>
            </w:r>
            <w:r w:rsidRPr="00AB1658">
              <w:rPr>
                <w:rFonts w:eastAsia="MS Mincho"/>
                <w:lang w:eastAsia="en-US"/>
              </w:rPr>
              <w:t xml:space="preserve">prior to week 12 if desired. Advice on reduction </w:t>
            </w:r>
            <w:r w:rsidRPr="00AB1658">
              <w:rPr>
                <w:rFonts w:eastAsia="MS Mincho"/>
                <w:lang w:eastAsia="en-US"/>
              </w:rPr>
              <w:lastRenderedPageBreak/>
              <w:t>techniques was provided, such as systematically increasing</w:t>
            </w:r>
          </w:p>
          <w:p w14:paraId="03DE0047" w14:textId="3D05B5D9" w:rsidR="00F11F77" w:rsidRPr="00AB1658" w:rsidRDefault="00F11F77" w:rsidP="006B48C7">
            <w:pPr>
              <w:rPr>
                <w:rFonts w:eastAsia="MS Mincho"/>
                <w:lang w:eastAsia="en-US"/>
              </w:rPr>
            </w:pPr>
            <w:r w:rsidRPr="00AB1658">
              <w:rPr>
                <w:rFonts w:eastAsia="MS Mincho"/>
                <w:lang w:eastAsia="en-US"/>
              </w:rPr>
              <w:t>the amount of time between cigarettes and rank-ordering cigarettes from easiest to hardest</w:t>
            </w:r>
            <w:r>
              <w:rPr>
                <w:rFonts w:eastAsia="MS Mincho"/>
                <w:lang w:eastAsia="en-US"/>
              </w:rPr>
              <w:t xml:space="preserve"> </w:t>
            </w:r>
            <w:r w:rsidRPr="00AB1658">
              <w:rPr>
                <w:rFonts w:eastAsia="MS Mincho"/>
                <w:lang w:eastAsia="en-US"/>
              </w:rPr>
              <w:t xml:space="preserve">to give </w:t>
            </w:r>
            <w:r w:rsidR="00115AEE" w:rsidRPr="00AB1658">
              <w:rPr>
                <w:rFonts w:eastAsia="MS Mincho"/>
                <w:lang w:eastAsia="en-US"/>
              </w:rPr>
              <w:t>up and</w:t>
            </w:r>
            <w:r w:rsidRPr="00AB1658">
              <w:rPr>
                <w:rFonts w:eastAsia="MS Mincho"/>
                <w:lang w:eastAsia="en-US"/>
              </w:rPr>
              <w:t xml:space="preserve"> giving up the easiest to the hardest. Participants who had not reduced or made a quit</w:t>
            </w:r>
            <w:r>
              <w:rPr>
                <w:rFonts w:eastAsia="MS Mincho"/>
                <w:lang w:eastAsia="en-US"/>
              </w:rPr>
              <w:t xml:space="preserve"> </w:t>
            </w:r>
            <w:r w:rsidRPr="00AB1658">
              <w:rPr>
                <w:rFonts w:eastAsia="MS Mincho"/>
                <w:lang w:eastAsia="en-US"/>
              </w:rPr>
              <w:t>attempt by week 12 were encouraged to continue medications and visits and make quit attempts, and</w:t>
            </w:r>
            <w:r>
              <w:rPr>
                <w:rFonts w:eastAsia="MS Mincho"/>
                <w:lang w:eastAsia="en-US"/>
              </w:rPr>
              <w:t xml:space="preserve"> </w:t>
            </w:r>
            <w:r w:rsidRPr="00AB1658">
              <w:rPr>
                <w:rFonts w:eastAsia="MS Mincho"/>
                <w:lang w:eastAsia="en-US"/>
              </w:rPr>
              <w:t>participants who relapsed after week 12 were encouraged to make new quit attempts</w:t>
            </w:r>
            <w:r>
              <w:rPr>
                <w:rFonts w:eastAsia="MS Mincho"/>
                <w:lang w:eastAsia="en-US"/>
              </w:rPr>
              <w:t>.</w:t>
            </w:r>
          </w:p>
        </w:tc>
        <w:tc>
          <w:tcPr>
            <w:tcW w:w="998" w:type="pct"/>
          </w:tcPr>
          <w:p w14:paraId="76BD6235" w14:textId="77777777" w:rsidR="00F11F77" w:rsidRDefault="00F11F77" w:rsidP="006B48C7">
            <w:pPr>
              <w:pStyle w:val="Tablewriting"/>
              <w:rPr>
                <w:rFonts w:eastAsia="MS Mincho" w:cstheme="minorBidi"/>
              </w:rPr>
            </w:pPr>
            <w:r w:rsidRPr="006934BD">
              <w:rPr>
                <w:rFonts w:eastAsia="MS Mincho" w:cstheme="minorBidi"/>
                <w:u w:val="single"/>
              </w:rPr>
              <w:lastRenderedPageBreak/>
              <w:t>Efficacy</w:t>
            </w:r>
            <w:r>
              <w:rPr>
                <w:rFonts w:eastAsia="MS Mincho" w:cstheme="minorBidi"/>
              </w:rPr>
              <w:t>: P</w:t>
            </w:r>
            <w:r w:rsidRPr="0055553A">
              <w:rPr>
                <w:rFonts w:eastAsia="MS Mincho" w:cstheme="minorBidi"/>
              </w:rPr>
              <w:t>rolonged (abstinent for last 10 weeks)</w:t>
            </w:r>
            <w:r>
              <w:rPr>
                <w:rFonts w:eastAsia="MS Mincho" w:cstheme="minorBidi"/>
              </w:rPr>
              <w:t xml:space="preserve">, longest follow-up 1 year. </w:t>
            </w:r>
          </w:p>
          <w:p w14:paraId="5A6D70DB" w14:textId="77777777" w:rsidR="00F11F77" w:rsidRDefault="00F11F77" w:rsidP="006B48C7">
            <w:pPr>
              <w:pStyle w:val="Tablewriting"/>
              <w:rPr>
                <w:rFonts w:eastAsia="MS Mincho" w:cstheme="minorBidi"/>
              </w:rPr>
            </w:pPr>
            <w:r w:rsidRPr="0055553A">
              <w:rPr>
                <w:rFonts w:eastAsia="MS Mincho" w:cstheme="minorBidi"/>
              </w:rPr>
              <w:t>Biochemical validation: exhaled CO (≤10 ppm at each visit)</w:t>
            </w:r>
            <w:r>
              <w:rPr>
                <w:rFonts w:eastAsia="MS Mincho" w:cstheme="minorBidi"/>
              </w:rPr>
              <w:t xml:space="preserve">. </w:t>
            </w:r>
          </w:p>
          <w:p w14:paraId="338F6716" w14:textId="77777777" w:rsidR="00F11F77" w:rsidRDefault="00F11F77" w:rsidP="006B48C7">
            <w:pPr>
              <w:pStyle w:val="Tablewriting"/>
              <w:rPr>
                <w:rFonts w:eastAsia="MS Mincho" w:cstheme="minorBidi"/>
                <w:u w:val="single"/>
              </w:rPr>
            </w:pPr>
          </w:p>
          <w:p w14:paraId="1F72958E"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 xml:space="preserve">: NR. </w:t>
            </w:r>
          </w:p>
        </w:tc>
      </w:tr>
      <w:tr w:rsidR="00F11F77" w:rsidRPr="00017AE6" w14:paraId="74AADC99" w14:textId="77777777" w:rsidTr="00EA7016">
        <w:trPr>
          <w:trHeight w:val="99"/>
        </w:trPr>
        <w:tc>
          <w:tcPr>
            <w:tcW w:w="539" w:type="pct"/>
          </w:tcPr>
          <w:p w14:paraId="76F49439" w14:textId="77777777" w:rsidR="00F11F77" w:rsidRPr="0051347A" w:rsidRDefault="00F11F77" w:rsidP="006B48C7">
            <w:pPr>
              <w:pStyle w:val="Tablewriting"/>
              <w:rPr>
                <w:rFonts w:eastAsia="MS Mincho"/>
              </w:rPr>
            </w:pPr>
            <w:r w:rsidRPr="0051347A">
              <w:rPr>
                <w:rFonts w:eastAsia="MS Mincho"/>
              </w:rPr>
              <w:t xml:space="preserve">Hatsukami </w:t>
            </w:r>
            <w:r>
              <w:rPr>
                <w:rFonts w:eastAsia="MS Mincho"/>
              </w:rPr>
              <w:t>(</w:t>
            </w:r>
            <w:r w:rsidRPr="0051347A">
              <w:rPr>
                <w:rFonts w:eastAsia="MS Mincho"/>
              </w:rPr>
              <w:t>2004</w:t>
            </w:r>
            <w:r>
              <w:rPr>
                <w:rFonts w:eastAsia="MS Mincho"/>
              </w:rPr>
              <w:t>)</w:t>
            </w:r>
          </w:p>
        </w:tc>
        <w:tc>
          <w:tcPr>
            <w:tcW w:w="247" w:type="pct"/>
          </w:tcPr>
          <w:p w14:paraId="1FE73489" w14:textId="77777777" w:rsidR="00F11F77" w:rsidRPr="00017AE6" w:rsidRDefault="00F11F77" w:rsidP="006B48C7">
            <w:pPr>
              <w:pStyle w:val="Tablewriting"/>
              <w:rPr>
                <w:rFonts w:eastAsia="MS Mincho" w:cstheme="minorHAnsi"/>
              </w:rPr>
            </w:pPr>
            <w:r>
              <w:rPr>
                <w:rFonts w:eastAsia="MS Mincho" w:cstheme="minorHAnsi"/>
              </w:rPr>
              <w:t>RCT</w:t>
            </w:r>
          </w:p>
        </w:tc>
        <w:tc>
          <w:tcPr>
            <w:tcW w:w="417" w:type="pct"/>
          </w:tcPr>
          <w:p w14:paraId="03D73FEB" w14:textId="77777777" w:rsidR="00F11F77" w:rsidRPr="00017AE6" w:rsidRDefault="00F11F77" w:rsidP="006B48C7">
            <w:pPr>
              <w:pStyle w:val="Tablewriting"/>
              <w:rPr>
                <w:rFonts w:eastAsia="MS Mincho" w:cstheme="minorHAnsi"/>
              </w:rPr>
            </w:pPr>
            <w:r>
              <w:rPr>
                <w:rFonts w:eastAsia="MS Mincho" w:cstheme="minorHAnsi"/>
              </w:rPr>
              <w:t>USA</w:t>
            </w:r>
          </w:p>
        </w:tc>
        <w:tc>
          <w:tcPr>
            <w:tcW w:w="346" w:type="pct"/>
          </w:tcPr>
          <w:p w14:paraId="73BBCD2B" w14:textId="77777777" w:rsidR="00F11F77" w:rsidRPr="00017AE6" w:rsidRDefault="00F11F77" w:rsidP="006B48C7">
            <w:pPr>
              <w:pStyle w:val="Tablewriting"/>
              <w:rPr>
                <w:rFonts w:eastAsia="MS Mincho" w:cstheme="minorHAnsi"/>
              </w:rPr>
            </w:pPr>
            <w:r w:rsidRPr="00745320">
              <w:rPr>
                <w:rFonts w:eastAsia="MS Mincho" w:cstheme="minorHAnsi"/>
              </w:rPr>
              <w:t>N=</w:t>
            </w:r>
            <w:r>
              <w:rPr>
                <w:rFonts w:eastAsia="MS Mincho" w:cstheme="minorHAnsi"/>
              </w:rPr>
              <w:t>594</w:t>
            </w:r>
          </w:p>
        </w:tc>
        <w:tc>
          <w:tcPr>
            <w:tcW w:w="1166" w:type="pct"/>
          </w:tcPr>
          <w:p w14:paraId="06BAF0AC" w14:textId="77777777" w:rsidR="00F11F77" w:rsidRPr="0079115C" w:rsidRDefault="00F11F77" w:rsidP="006B48C7">
            <w:pPr>
              <w:pStyle w:val="Tablewriting"/>
              <w:rPr>
                <w:rFonts w:eastAsia="MS Mincho" w:cstheme="minorHAnsi"/>
              </w:rPr>
            </w:pPr>
            <w:r>
              <w:rPr>
                <w:rFonts w:eastAsia="MS Mincho" w:cstheme="minorHAnsi"/>
              </w:rPr>
              <w:t>F</w:t>
            </w:r>
            <w:r w:rsidRPr="0079115C">
              <w:rPr>
                <w:rFonts w:eastAsia="MS Mincho" w:cstheme="minorHAnsi"/>
              </w:rPr>
              <w:t>emale</w:t>
            </w:r>
            <w:r>
              <w:rPr>
                <w:rFonts w:eastAsia="MS Mincho" w:cstheme="minorHAnsi"/>
              </w:rPr>
              <w:t>,</w:t>
            </w:r>
            <w:r w:rsidRPr="0079115C">
              <w:rPr>
                <w:rFonts w:eastAsia="MS Mincho" w:cstheme="minorHAnsi"/>
              </w:rPr>
              <w:t xml:space="preserve"> average age 42.3 y</w:t>
            </w:r>
            <w:r>
              <w:rPr>
                <w:rFonts w:eastAsia="MS Mincho" w:cstheme="minorHAnsi"/>
              </w:rPr>
              <w:t>ears,</w:t>
            </w:r>
            <w:r w:rsidRPr="0079115C">
              <w:rPr>
                <w:rFonts w:eastAsia="MS Mincho" w:cstheme="minorHAnsi"/>
              </w:rPr>
              <w:t xml:space="preserve"> average cig</w:t>
            </w:r>
            <w:r>
              <w:rPr>
                <w:rFonts w:eastAsia="MS Mincho" w:cstheme="minorHAnsi"/>
              </w:rPr>
              <w:t>arette</w:t>
            </w:r>
            <w:r w:rsidRPr="0079115C">
              <w:rPr>
                <w:rFonts w:eastAsia="MS Mincho" w:cstheme="minorHAnsi"/>
              </w:rPr>
              <w:t>/day 29</w:t>
            </w:r>
            <w:r>
              <w:rPr>
                <w:rFonts w:eastAsia="MS Mincho" w:cstheme="minorHAnsi"/>
              </w:rPr>
              <w:t>,</w:t>
            </w:r>
            <w:r w:rsidRPr="0079115C">
              <w:rPr>
                <w:rFonts w:eastAsia="MS Mincho" w:cstheme="minorHAnsi"/>
              </w:rPr>
              <w:t xml:space="preserve"> nicotine</w:t>
            </w:r>
          </w:p>
          <w:p w14:paraId="4CAFA850" w14:textId="77777777" w:rsidR="00F11F77" w:rsidRPr="00017AE6" w:rsidRDefault="00F11F77" w:rsidP="006B48C7">
            <w:pPr>
              <w:pStyle w:val="Tablewriting"/>
              <w:rPr>
                <w:rFonts w:eastAsia="MS Mincho" w:cstheme="minorHAnsi"/>
              </w:rPr>
            </w:pPr>
            <w:r w:rsidRPr="0079115C">
              <w:rPr>
                <w:rFonts w:eastAsia="MS Mincho" w:cstheme="minorHAnsi"/>
              </w:rPr>
              <w:t>dependence FTND 6.4</w:t>
            </w:r>
            <w:r>
              <w:rPr>
                <w:rFonts w:eastAsia="MS Mincho" w:cstheme="minorHAnsi"/>
              </w:rPr>
              <w:t>.</w:t>
            </w:r>
          </w:p>
        </w:tc>
        <w:tc>
          <w:tcPr>
            <w:tcW w:w="1286" w:type="pct"/>
          </w:tcPr>
          <w:p w14:paraId="09D8D6E3" w14:textId="77777777" w:rsidR="00F11F77" w:rsidRPr="003300B4" w:rsidRDefault="00F11F77" w:rsidP="00C324F3">
            <w:pPr>
              <w:pStyle w:val="ListParagraph"/>
              <w:numPr>
                <w:ilvl w:val="0"/>
                <w:numId w:val="228"/>
              </w:numPr>
              <w:rPr>
                <w:rFonts w:eastAsia="MS Mincho"/>
                <w:lang w:eastAsia="en-US"/>
              </w:rPr>
            </w:pPr>
            <w:r w:rsidRPr="003300B4">
              <w:rPr>
                <w:rFonts w:eastAsia="MS Mincho"/>
                <w:lang w:eastAsia="en-US"/>
              </w:rPr>
              <w:t>Placebo: matched to bupropion treatment</w:t>
            </w:r>
          </w:p>
          <w:p w14:paraId="5EB8836D" w14:textId="77777777" w:rsidR="00F11F77" w:rsidRPr="003300B4" w:rsidRDefault="00F11F77" w:rsidP="00C324F3">
            <w:pPr>
              <w:pStyle w:val="ListParagraph"/>
              <w:numPr>
                <w:ilvl w:val="0"/>
                <w:numId w:val="228"/>
              </w:numPr>
              <w:rPr>
                <w:rFonts w:eastAsia="MS Mincho"/>
                <w:lang w:eastAsia="en-US"/>
              </w:rPr>
            </w:pPr>
            <w:r w:rsidRPr="003300B4">
              <w:rPr>
                <w:rFonts w:eastAsia="MS Mincho"/>
                <w:lang w:eastAsia="en-US"/>
              </w:rPr>
              <w:t xml:space="preserve">Bupropion: during reduction phase bupropion for 26 weeks (150 mg for days 1 to 3 of therapy, followed by 150 mg twice daily). During the smoking cessation treatment phase, participants received an additional 7 weeks of bupropion. </w:t>
            </w:r>
          </w:p>
          <w:p w14:paraId="6796D8F1" w14:textId="77777777" w:rsidR="00F11F77" w:rsidRDefault="00F11F77" w:rsidP="006B48C7">
            <w:pPr>
              <w:rPr>
                <w:rFonts w:eastAsia="MS Mincho"/>
                <w:lang w:eastAsia="en-US"/>
              </w:rPr>
            </w:pPr>
          </w:p>
          <w:p w14:paraId="210D886B" w14:textId="77777777" w:rsidR="00F11F77" w:rsidRPr="002F7627" w:rsidRDefault="00F11F77" w:rsidP="006B48C7">
            <w:pPr>
              <w:rPr>
                <w:rFonts w:eastAsia="MS Mincho"/>
                <w:lang w:eastAsia="en-US"/>
              </w:rPr>
            </w:pPr>
            <w:r w:rsidRPr="003300B4">
              <w:rPr>
                <w:rFonts w:eastAsia="MS Mincho"/>
                <w:u w:val="single"/>
                <w:lang w:eastAsia="en-US"/>
              </w:rPr>
              <w:t>Common component:</w:t>
            </w:r>
            <w:r>
              <w:rPr>
                <w:rFonts w:eastAsia="MS Mincho"/>
                <w:lang w:eastAsia="en-US"/>
              </w:rPr>
              <w:t xml:space="preserve"> </w:t>
            </w:r>
            <w:r w:rsidRPr="003300B4">
              <w:rPr>
                <w:rFonts w:eastAsia="MS Mincho"/>
                <w:lang w:eastAsia="en-US"/>
              </w:rPr>
              <w:t>All participants entered a 6-month treatment phase aimed at reducing the amount of smoking. Written</w:t>
            </w:r>
            <w:r>
              <w:rPr>
                <w:rFonts w:eastAsia="MS Mincho"/>
                <w:lang w:eastAsia="en-US"/>
              </w:rPr>
              <w:t xml:space="preserve"> </w:t>
            </w:r>
            <w:r w:rsidRPr="003300B4">
              <w:rPr>
                <w:rFonts w:eastAsia="MS Mincho"/>
                <w:lang w:eastAsia="en-US"/>
              </w:rPr>
              <w:t>materials suggesting smoking reduction techniques were used during brief individual counselling</w:t>
            </w:r>
            <w:r>
              <w:rPr>
                <w:rFonts w:eastAsia="MS Mincho"/>
                <w:lang w:eastAsia="en-US"/>
              </w:rPr>
              <w:t xml:space="preserve"> </w:t>
            </w:r>
            <w:r w:rsidRPr="003300B4">
              <w:rPr>
                <w:rFonts w:eastAsia="MS Mincho"/>
                <w:lang w:eastAsia="en-US"/>
              </w:rPr>
              <w:t>sessions. A target date for reducing cigarette intake by at least 50% was set within 2 weeks of enrolment.</w:t>
            </w:r>
          </w:p>
        </w:tc>
        <w:tc>
          <w:tcPr>
            <w:tcW w:w="998" w:type="pct"/>
          </w:tcPr>
          <w:p w14:paraId="1F3735CF" w14:textId="77777777" w:rsidR="00F11F77" w:rsidRDefault="00F11F77" w:rsidP="006B48C7">
            <w:pPr>
              <w:pStyle w:val="Tablewriting"/>
              <w:rPr>
                <w:rFonts w:eastAsia="MS Mincho" w:cstheme="minorBidi"/>
              </w:rPr>
            </w:pPr>
            <w:r w:rsidRPr="006934BD">
              <w:rPr>
                <w:rFonts w:eastAsia="MS Mincho" w:cstheme="minorBidi"/>
                <w:u w:val="single"/>
              </w:rPr>
              <w:t>Efficacy</w:t>
            </w:r>
            <w:r>
              <w:rPr>
                <w:rFonts w:eastAsia="MS Mincho" w:cstheme="minorBidi"/>
              </w:rPr>
              <w:t xml:space="preserve">: Continuous abstinence </w:t>
            </w:r>
            <w:r w:rsidRPr="00B12710">
              <w:rPr>
                <w:rFonts w:eastAsia="MS Mincho" w:cstheme="minorBidi"/>
              </w:rPr>
              <w:t>6 m</w:t>
            </w:r>
            <w:r>
              <w:rPr>
                <w:rFonts w:eastAsia="MS Mincho" w:cstheme="minorBidi"/>
              </w:rPr>
              <w:t>onths</w:t>
            </w:r>
            <w:r w:rsidRPr="00B12710">
              <w:rPr>
                <w:rFonts w:eastAsia="MS Mincho" w:cstheme="minorBidi"/>
              </w:rPr>
              <w:t xml:space="preserve"> from beginning of cessation treatment</w:t>
            </w:r>
            <w:r>
              <w:rPr>
                <w:rFonts w:eastAsia="MS Mincho" w:cstheme="minorBidi"/>
              </w:rPr>
              <w:t xml:space="preserve">. </w:t>
            </w:r>
          </w:p>
          <w:p w14:paraId="2417FDDF" w14:textId="77777777" w:rsidR="00F11F77" w:rsidRDefault="00F11F77" w:rsidP="006B48C7">
            <w:pPr>
              <w:pStyle w:val="Tablewriting"/>
              <w:rPr>
                <w:rFonts w:eastAsia="MS Mincho" w:cstheme="minorBidi"/>
              </w:rPr>
            </w:pPr>
          </w:p>
          <w:p w14:paraId="47732C47" w14:textId="77777777" w:rsidR="00F11F77" w:rsidRDefault="00F11F77" w:rsidP="006B48C7">
            <w:pPr>
              <w:pStyle w:val="Tablewriting"/>
              <w:rPr>
                <w:rFonts w:eastAsia="MS Mincho" w:cstheme="minorBidi"/>
              </w:rPr>
            </w:pPr>
            <w:r w:rsidRPr="00B12710">
              <w:rPr>
                <w:rFonts w:eastAsia="MS Mincho" w:cstheme="minorBidi"/>
              </w:rPr>
              <w:t>Biochemical validation: exhaled CO</w:t>
            </w:r>
            <w:r>
              <w:rPr>
                <w:rFonts w:eastAsia="MS Mincho" w:cstheme="minorBidi"/>
              </w:rPr>
              <w:t>.</w:t>
            </w:r>
          </w:p>
          <w:p w14:paraId="28767896" w14:textId="77777777" w:rsidR="00F11F77" w:rsidRDefault="00F11F77" w:rsidP="006B48C7">
            <w:pPr>
              <w:pStyle w:val="Tablewriting"/>
              <w:rPr>
                <w:rFonts w:eastAsia="MS Mincho" w:cstheme="minorBidi"/>
              </w:rPr>
            </w:pPr>
          </w:p>
          <w:p w14:paraId="63FCCF55" w14:textId="77777777" w:rsidR="00F11F77" w:rsidRPr="0139F213" w:rsidRDefault="00F11F77" w:rsidP="006B48C7">
            <w:pPr>
              <w:pStyle w:val="Tablewriting"/>
              <w:rPr>
                <w:rFonts w:eastAsia="MS Mincho" w:cstheme="minorBidi"/>
              </w:rPr>
            </w:pPr>
            <w:r w:rsidRPr="006934BD">
              <w:rPr>
                <w:rFonts w:eastAsia="MS Mincho" w:cstheme="minorBidi"/>
                <w:u w:val="single"/>
              </w:rPr>
              <w:t>Safety</w:t>
            </w:r>
            <w:r>
              <w:rPr>
                <w:rFonts w:eastAsia="MS Mincho" w:cstheme="minorBidi"/>
              </w:rPr>
              <w:t>:</w:t>
            </w:r>
          </w:p>
        </w:tc>
      </w:tr>
    </w:tbl>
    <w:p w14:paraId="0C691268" w14:textId="373C4E83" w:rsidR="001D607C" w:rsidRPr="009B042A" w:rsidRDefault="001D607C" w:rsidP="00EA7016">
      <w:pPr>
        <w:pStyle w:val="TableFooter"/>
        <w:keepNext/>
        <w:jc w:val="both"/>
      </w:pPr>
      <w:r>
        <w:lastRenderedPageBreak/>
        <w:t>Source: Lindson</w:t>
      </w:r>
      <w:r w:rsidRPr="008B0097">
        <w:t xml:space="preserve"> et al. (2019</w:t>
      </w:r>
      <w:r>
        <w:t>)</w:t>
      </w:r>
      <w:r w:rsidR="00C50D78">
        <w:t xml:space="preserve"> and Lindson</w:t>
      </w:r>
      <w:r w:rsidR="00C50D78" w:rsidRPr="008B0097">
        <w:t xml:space="preserve"> et al. (2019</w:t>
      </w:r>
      <w:r w:rsidR="00C50D78">
        <w:t>b)</w:t>
      </w:r>
      <w:r>
        <w:t>.</w:t>
      </w:r>
      <w:r w:rsidRPr="009B042A">
        <w:t xml:space="preserve"> </w:t>
      </w:r>
    </w:p>
    <w:p w14:paraId="35F3CA91" w14:textId="604D6B31" w:rsidR="001D607C" w:rsidRDefault="001D607C" w:rsidP="00EA7016">
      <w:pPr>
        <w:pStyle w:val="TableFooter"/>
        <w:keepNext/>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2162A677" w14:textId="65433AA2" w:rsidR="001D1C5A" w:rsidRDefault="006F6067" w:rsidP="00EA7016">
      <w:pPr>
        <w:pStyle w:val="TableFooter"/>
        <w:keepNext/>
        <w:spacing w:after="120"/>
        <w:contextualSpacing w:val="0"/>
        <w:jc w:val="both"/>
      </w:pPr>
      <w:r>
        <w:t>Notes: 1. T</w:t>
      </w:r>
      <w:r w:rsidRPr="009B042A">
        <w:t>otal participants</w:t>
      </w:r>
      <w:r>
        <w:t xml:space="preserve">. </w:t>
      </w:r>
    </w:p>
    <w:p w14:paraId="0D8FDF97" w14:textId="77777777" w:rsidR="00EA7016" w:rsidRDefault="00EA7016">
      <w:pPr>
        <w:spacing w:line="276" w:lineRule="auto"/>
        <w:rPr>
          <w:rFonts w:asciiTheme="minorHAnsi" w:eastAsia="Times New Roman" w:hAnsiTheme="minorHAnsi" w:cs="Times New Roman"/>
          <w:b/>
          <w:bCs/>
          <w:szCs w:val="18"/>
        </w:rPr>
      </w:pPr>
      <w:bookmarkStart w:id="351" w:name="_Ref61617319"/>
      <w:r>
        <w:br w:type="page"/>
      </w:r>
    </w:p>
    <w:p w14:paraId="5CD43498" w14:textId="42116049" w:rsidR="00F323C4" w:rsidRDefault="00F323C4"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164</w:t>
      </w:r>
      <w:r w:rsidR="00BF3F75">
        <w:rPr>
          <w:noProof/>
        </w:rPr>
        <w:fldChar w:fldCharType="end"/>
      </w:r>
      <w:bookmarkEnd w:id="351"/>
      <w:r>
        <w:t xml:space="preserve">: </w:t>
      </w:r>
      <w:r w:rsidRPr="00C25A66">
        <w:t xml:space="preserve">Characteristics of studies included in </w:t>
      </w:r>
      <w:r w:rsidR="002A529B" w:rsidRPr="004110FF">
        <w:t xml:space="preserve">Hartmann-Boyce </w:t>
      </w:r>
      <w:r w:rsidR="002A529B">
        <w:t>(</w:t>
      </w:r>
      <w:r w:rsidR="002A529B" w:rsidRPr="004110FF">
        <w:t>2018</w:t>
      </w:r>
      <w:r w:rsidR="002A529B">
        <w:t>)</w:t>
      </w:r>
      <w:r w:rsidR="007373D4">
        <w:t xml:space="preserve"> and </w:t>
      </w:r>
      <w:r w:rsidRPr="00C25A66">
        <w:t>Lindson et al. (2019</w:t>
      </w:r>
      <w:r w:rsidR="00FE0896">
        <w:t>)</w:t>
      </w:r>
      <w:r w:rsidR="00C62140">
        <w:t xml:space="preserve">, comparing </w:t>
      </w:r>
      <w:r>
        <w:t>non-PBS listed NRT dosage forms</w:t>
      </w:r>
    </w:p>
    <w:tbl>
      <w:tblPr>
        <w:tblStyle w:val="TableGrid"/>
        <w:tblW w:w="14089" w:type="dxa"/>
        <w:tblLayout w:type="fixed"/>
        <w:tblLook w:val="04A0" w:firstRow="1" w:lastRow="0" w:firstColumn="1" w:lastColumn="0" w:noHBand="0" w:noVBand="1"/>
      </w:tblPr>
      <w:tblGrid>
        <w:gridCol w:w="1395"/>
        <w:gridCol w:w="870"/>
        <w:gridCol w:w="1140"/>
        <w:gridCol w:w="900"/>
        <w:gridCol w:w="3585"/>
        <w:gridCol w:w="3885"/>
        <w:gridCol w:w="2314"/>
      </w:tblGrid>
      <w:tr w:rsidR="781E95A1" w14:paraId="60C97B89" w14:textId="77777777" w:rsidTr="007373D4">
        <w:tc>
          <w:tcPr>
            <w:tcW w:w="1395" w:type="dxa"/>
            <w:shd w:val="clear" w:color="auto" w:fill="BFBFBF" w:themeFill="background1" w:themeFillShade="BF"/>
          </w:tcPr>
          <w:p w14:paraId="27FC2818" w14:textId="1DD2D0C5" w:rsidR="781E95A1" w:rsidRDefault="781E95A1">
            <w:r w:rsidRPr="781E95A1">
              <w:rPr>
                <w:rFonts w:eastAsia="Calibri" w:cs="Calibri"/>
                <w:b/>
                <w:bCs/>
              </w:rPr>
              <w:t>Study</w:t>
            </w:r>
          </w:p>
        </w:tc>
        <w:tc>
          <w:tcPr>
            <w:tcW w:w="870" w:type="dxa"/>
            <w:shd w:val="clear" w:color="auto" w:fill="BFBFBF" w:themeFill="background1" w:themeFillShade="BF"/>
          </w:tcPr>
          <w:p w14:paraId="4041FB9F" w14:textId="13C2590F" w:rsidR="781E95A1" w:rsidRDefault="781E95A1" w:rsidP="781E95A1">
            <w:pPr>
              <w:jc w:val="center"/>
            </w:pPr>
            <w:r w:rsidRPr="781E95A1">
              <w:rPr>
                <w:rFonts w:eastAsia="Calibri" w:cs="Calibri"/>
                <w:b/>
                <w:bCs/>
                <w:color w:val="000000" w:themeColor="text1"/>
              </w:rPr>
              <w:t>Study type</w:t>
            </w:r>
          </w:p>
        </w:tc>
        <w:tc>
          <w:tcPr>
            <w:tcW w:w="1140" w:type="dxa"/>
            <w:shd w:val="clear" w:color="auto" w:fill="BFBFBF" w:themeFill="background1" w:themeFillShade="BF"/>
          </w:tcPr>
          <w:p w14:paraId="7650EE41" w14:textId="46C1A3AF" w:rsidR="781E95A1" w:rsidRDefault="781E95A1" w:rsidP="781E95A1">
            <w:pPr>
              <w:jc w:val="center"/>
            </w:pPr>
            <w:r w:rsidRPr="781E95A1">
              <w:rPr>
                <w:rFonts w:eastAsia="Calibri" w:cs="Calibri"/>
                <w:b/>
                <w:bCs/>
                <w:color w:val="000000" w:themeColor="text1"/>
              </w:rPr>
              <w:t>Countries</w:t>
            </w:r>
          </w:p>
        </w:tc>
        <w:tc>
          <w:tcPr>
            <w:tcW w:w="900" w:type="dxa"/>
            <w:shd w:val="clear" w:color="auto" w:fill="BFBFBF" w:themeFill="background1" w:themeFillShade="BF"/>
          </w:tcPr>
          <w:p w14:paraId="1CFC8E6E" w14:textId="5B2BD33F" w:rsidR="781E95A1" w:rsidRDefault="781E95A1" w:rsidP="781E95A1">
            <w:pPr>
              <w:jc w:val="center"/>
            </w:pPr>
            <w:r w:rsidRPr="781E95A1">
              <w:rPr>
                <w:rFonts w:eastAsia="Calibri" w:cs="Calibri"/>
                <w:b/>
                <w:bCs/>
                <w:color w:val="000000" w:themeColor="text1"/>
              </w:rPr>
              <w:t>N</w:t>
            </w:r>
          </w:p>
        </w:tc>
        <w:tc>
          <w:tcPr>
            <w:tcW w:w="3585" w:type="dxa"/>
            <w:shd w:val="clear" w:color="auto" w:fill="BFBFBF" w:themeFill="background1" w:themeFillShade="BF"/>
          </w:tcPr>
          <w:p w14:paraId="12CDC046" w14:textId="5B4B47A7" w:rsidR="781E95A1" w:rsidRDefault="781E95A1" w:rsidP="781E95A1">
            <w:pPr>
              <w:jc w:val="center"/>
            </w:pPr>
            <w:r w:rsidRPr="781E95A1">
              <w:rPr>
                <w:rFonts w:eastAsia="Calibri" w:cs="Calibri"/>
                <w:b/>
                <w:bCs/>
                <w:color w:val="000000" w:themeColor="text1"/>
              </w:rPr>
              <w:t>Population</w:t>
            </w:r>
          </w:p>
        </w:tc>
        <w:tc>
          <w:tcPr>
            <w:tcW w:w="3885" w:type="dxa"/>
            <w:shd w:val="clear" w:color="auto" w:fill="BFBFBF" w:themeFill="background1" w:themeFillShade="BF"/>
          </w:tcPr>
          <w:p w14:paraId="6F8271D4" w14:textId="6F85D363" w:rsidR="781E95A1" w:rsidRDefault="781E95A1" w:rsidP="781E95A1">
            <w:pPr>
              <w:jc w:val="center"/>
            </w:pPr>
            <w:r w:rsidRPr="781E95A1">
              <w:rPr>
                <w:rFonts w:eastAsia="Calibri" w:cs="Calibri"/>
                <w:b/>
                <w:bCs/>
                <w:color w:val="000000" w:themeColor="text1"/>
              </w:rPr>
              <w:t>Intervention and comparator</w:t>
            </w:r>
          </w:p>
        </w:tc>
        <w:tc>
          <w:tcPr>
            <w:tcW w:w="2314" w:type="dxa"/>
            <w:shd w:val="clear" w:color="auto" w:fill="BFBFBF" w:themeFill="background1" w:themeFillShade="BF"/>
          </w:tcPr>
          <w:p w14:paraId="2A4B333C" w14:textId="778A036D" w:rsidR="781E95A1" w:rsidRDefault="781E95A1" w:rsidP="781E95A1">
            <w:pPr>
              <w:jc w:val="center"/>
            </w:pPr>
            <w:r w:rsidRPr="781E95A1">
              <w:rPr>
                <w:rFonts w:eastAsia="Calibri" w:cs="Calibri"/>
                <w:b/>
                <w:bCs/>
                <w:color w:val="000000" w:themeColor="text1"/>
              </w:rPr>
              <w:t>Outcomes</w:t>
            </w:r>
          </w:p>
        </w:tc>
      </w:tr>
      <w:tr w:rsidR="781E95A1" w14:paraId="1BCF92F9" w14:textId="77777777" w:rsidTr="2029C57F">
        <w:tc>
          <w:tcPr>
            <w:tcW w:w="1395" w:type="dxa"/>
          </w:tcPr>
          <w:p w14:paraId="63B3BF3B" w14:textId="32F37F6C" w:rsidR="781E95A1" w:rsidRDefault="781E95A1">
            <w:r w:rsidRPr="781E95A1">
              <w:rPr>
                <w:rFonts w:eastAsia="Calibri" w:cs="Calibri"/>
              </w:rPr>
              <w:t xml:space="preserve">Hjalmarson </w:t>
            </w:r>
            <w:r w:rsidR="0043701D">
              <w:rPr>
                <w:rFonts w:eastAsia="Calibri" w:cs="Calibri"/>
              </w:rPr>
              <w:t>(</w:t>
            </w:r>
            <w:r w:rsidRPr="781E95A1">
              <w:rPr>
                <w:rFonts w:eastAsia="Calibri" w:cs="Calibri"/>
              </w:rPr>
              <w:t>1997</w:t>
            </w:r>
            <w:r w:rsidR="0043701D">
              <w:rPr>
                <w:rFonts w:eastAsia="Calibri" w:cs="Calibri"/>
              </w:rPr>
              <w:t>)</w:t>
            </w:r>
          </w:p>
        </w:tc>
        <w:tc>
          <w:tcPr>
            <w:tcW w:w="870" w:type="dxa"/>
          </w:tcPr>
          <w:p w14:paraId="54685A5D" w14:textId="3A345015" w:rsidR="781E95A1" w:rsidRDefault="781E95A1">
            <w:r w:rsidRPr="781E95A1">
              <w:rPr>
                <w:rFonts w:eastAsia="Calibri" w:cs="Calibri"/>
              </w:rPr>
              <w:t>RCT</w:t>
            </w:r>
          </w:p>
        </w:tc>
        <w:tc>
          <w:tcPr>
            <w:tcW w:w="1140" w:type="dxa"/>
          </w:tcPr>
          <w:p w14:paraId="611D62C0" w14:textId="2331D377" w:rsidR="781E95A1" w:rsidRDefault="781E95A1">
            <w:r w:rsidRPr="781E95A1">
              <w:rPr>
                <w:rFonts w:eastAsia="Calibri" w:cs="Calibri"/>
              </w:rPr>
              <w:t>Sweden</w:t>
            </w:r>
          </w:p>
        </w:tc>
        <w:tc>
          <w:tcPr>
            <w:tcW w:w="900" w:type="dxa"/>
          </w:tcPr>
          <w:p w14:paraId="27808DAB" w14:textId="699667A4" w:rsidR="781E95A1" w:rsidRDefault="781E95A1">
            <w:r w:rsidRPr="781E95A1">
              <w:rPr>
                <w:rFonts w:eastAsia="Calibri" w:cs="Calibri"/>
              </w:rPr>
              <w:t>247</w:t>
            </w:r>
          </w:p>
        </w:tc>
        <w:tc>
          <w:tcPr>
            <w:tcW w:w="3585" w:type="dxa"/>
          </w:tcPr>
          <w:p w14:paraId="788F47FC" w14:textId="18752E42" w:rsidR="781E95A1" w:rsidRDefault="781E95A1">
            <w:r w:rsidRPr="781E95A1">
              <w:rPr>
                <w:rFonts w:eastAsia="Calibri" w:cs="Calibri"/>
              </w:rPr>
              <w:t xml:space="preserve">Smokers (&gt; 10 cpd) who had previously made a serious attempt to stop using nicotine gum, and were motivated to quit 64% female, average age 48, average </w:t>
            </w:r>
            <w:r w:rsidR="0043701D">
              <w:rPr>
                <w:rFonts w:eastAsia="Calibri" w:cs="Calibri"/>
              </w:rPr>
              <w:t>CPD</w:t>
            </w:r>
            <w:r w:rsidRPr="781E95A1">
              <w:rPr>
                <w:rFonts w:eastAsia="Calibri" w:cs="Calibri"/>
              </w:rPr>
              <w:t xml:space="preserve"> 21</w:t>
            </w:r>
          </w:p>
        </w:tc>
        <w:tc>
          <w:tcPr>
            <w:tcW w:w="3885" w:type="dxa"/>
          </w:tcPr>
          <w:p w14:paraId="65924C92" w14:textId="38EFDED4" w:rsidR="781E95A1" w:rsidRDefault="781E95A1" w:rsidP="00C324F3">
            <w:pPr>
              <w:pStyle w:val="ListParagraph"/>
              <w:numPr>
                <w:ilvl w:val="0"/>
                <w:numId w:val="243"/>
              </w:numPr>
              <w:rPr>
                <w:rFonts w:eastAsia="Calibri" w:cs="Calibri"/>
              </w:rPr>
            </w:pPr>
            <w:r w:rsidRPr="781E95A1">
              <w:t>Nicotine inhaler (recommended minimum 4/day, tapering after 3 months, use permitted to 6 months)</w:t>
            </w:r>
          </w:p>
          <w:p w14:paraId="1745356B" w14:textId="0C63E160" w:rsidR="781E95A1" w:rsidRDefault="781E95A1" w:rsidP="00C324F3">
            <w:pPr>
              <w:pStyle w:val="ListParagraph"/>
              <w:numPr>
                <w:ilvl w:val="0"/>
                <w:numId w:val="243"/>
              </w:numPr>
              <w:rPr>
                <w:rFonts w:eastAsia="Calibri" w:cs="Calibri"/>
              </w:rPr>
            </w:pPr>
            <w:r w:rsidRPr="781E95A1">
              <w:t>Placebo inhaler Level of support: high (8 group meetings over 6 weeks)</w:t>
            </w:r>
          </w:p>
        </w:tc>
        <w:tc>
          <w:tcPr>
            <w:tcW w:w="2314" w:type="dxa"/>
          </w:tcPr>
          <w:p w14:paraId="708534B9" w14:textId="5400B16E" w:rsidR="781E95A1" w:rsidRDefault="781E95A1">
            <w:r w:rsidRPr="00C324F3">
              <w:rPr>
                <w:rFonts w:eastAsia="Calibri"/>
                <w:u w:val="single"/>
              </w:rPr>
              <w:t>Efficacy:</w:t>
            </w:r>
            <w:r w:rsidRPr="781E95A1">
              <w:rPr>
                <w:rFonts w:eastAsia="Calibri" w:cs="Calibri"/>
              </w:rPr>
              <w:t xml:space="preserve"> Sustained abstinence at 12 months </w:t>
            </w:r>
            <w:r w:rsidRPr="00C324F3">
              <w:rPr>
                <w:rFonts w:eastAsia="Calibri"/>
                <w:u w:val="single"/>
              </w:rPr>
              <w:t>Validation:</w:t>
            </w:r>
            <w:r w:rsidRPr="781E95A1">
              <w:rPr>
                <w:rFonts w:eastAsia="Calibri" w:cs="Calibri"/>
              </w:rPr>
              <w:t xml:space="preserve"> CO &lt; 10 ppm at 2 and 6 weeks and 3, 6, 12 months</w:t>
            </w:r>
          </w:p>
          <w:p w14:paraId="571B5E6B" w14:textId="5D0D995A" w:rsidR="781E95A1" w:rsidRDefault="781E95A1">
            <w:r w:rsidRPr="781E95A1">
              <w:rPr>
                <w:rFonts w:eastAsia="Calibri" w:cs="Calibri"/>
              </w:rPr>
              <w:t xml:space="preserve"> </w:t>
            </w:r>
          </w:p>
          <w:p w14:paraId="01F48AB0" w14:textId="3B1C6AF6" w:rsidR="781E95A1" w:rsidRDefault="781E95A1">
            <w:r w:rsidRPr="00C324F3">
              <w:rPr>
                <w:rFonts w:eastAsia="Calibri"/>
                <w:u w:val="single"/>
              </w:rPr>
              <w:t>Safety:</w:t>
            </w:r>
            <w:r w:rsidRPr="781E95A1">
              <w:rPr>
                <w:rFonts w:eastAsia="Calibri" w:cs="Calibri"/>
              </w:rPr>
              <w:t xml:space="preserve"> NR</w:t>
            </w:r>
          </w:p>
        </w:tc>
      </w:tr>
      <w:tr w:rsidR="781E95A1" w14:paraId="1CC533D0" w14:textId="77777777" w:rsidTr="2029C57F">
        <w:tc>
          <w:tcPr>
            <w:tcW w:w="1395" w:type="dxa"/>
          </w:tcPr>
          <w:p w14:paraId="50705A3E" w14:textId="468578E2" w:rsidR="781E95A1" w:rsidRDefault="781E95A1">
            <w:r w:rsidRPr="781E95A1">
              <w:rPr>
                <w:rFonts w:eastAsia="Calibri" w:cs="Calibri"/>
              </w:rPr>
              <w:t xml:space="preserve">Leischow </w:t>
            </w:r>
            <w:r w:rsidR="0043701D">
              <w:rPr>
                <w:rFonts w:eastAsia="Calibri" w:cs="Calibri"/>
              </w:rPr>
              <w:t>(</w:t>
            </w:r>
            <w:r w:rsidRPr="781E95A1">
              <w:rPr>
                <w:rFonts w:eastAsia="Calibri" w:cs="Calibri"/>
              </w:rPr>
              <w:t>1996a</w:t>
            </w:r>
            <w:r w:rsidR="0043701D">
              <w:rPr>
                <w:rFonts w:eastAsia="Calibri" w:cs="Calibri"/>
              </w:rPr>
              <w:t>)</w:t>
            </w:r>
          </w:p>
        </w:tc>
        <w:tc>
          <w:tcPr>
            <w:tcW w:w="870" w:type="dxa"/>
          </w:tcPr>
          <w:p w14:paraId="1D2454B0" w14:textId="4012A264" w:rsidR="781E95A1" w:rsidRDefault="781E95A1">
            <w:r w:rsidRPr="781E95A1">
              <w:rPr>
                <w:rFonts w:eastAsia="Calibri" w:cs="Calibri"/>
              </w:rPr>
              <w:t>RCT</w:t>
            </w:r>
          </w:p>
        </w:tc>
        <w:tc>
          <w:tcPr>
            <w:tcW w:w="1140" w:type="dxa"/>
          </w:tcPr>
          <w:p w14:paraId="62F84F8C" w14:textId="68FBA75B" w:rsidR="781E95A1" w:rsidRDefault="781E95A1">
            <w:r w:rsidRPr="781E95A1">
              <w:rPr>
                <w:rFonts w:eastAsia="Calibri" w:cs="Calibri"/>
              </w:rPr>
              <w:t>USA</w:t>
            </w:r>
          </w:p>
        </w:tc>
        <w:tc>
          <w:tcPr>
            <w:tcW w:w="900" w:type="dxa"/>
          </w:tcPr>
          <w:p w14:paraId="7BFC5CDB" w14:textId="76289A0F" w:rsidR="781E95A1" w:rsidRDefault="781E95A1">
            <w:r w:rsidRPr="781E95A1">
              <w:rPr>
                <w:rFonts w:eastAsia="Calibri" w:cs="Calibri"/>
              </w:rPr>
              <w:t>222</w:t>
            </w:r>
          </w:p>
        </w:tc>
        <w:tc>
          <w:tcPr>
            <w:tcW w:w="3585" w:type="dxa"/>
          </w:tcPr>
          <w:p w14:paraId="781F4B72" w14:textId="5660A50D" w:rsidR="781E95A1" w:rsidRDefault="781E95A1">
            <w:r w:rsidRPr="781E95A1">
              <w:rPr>
                <w:rFonts w:eastAsia="Calibri" w:cs="Calibri"/>
              </w:rPr>
              <w:t xml:space="preserve">Smokers (&gt; 20 </w:t>
            </w:r>
            <w:r w:rsidR="0043701D">
              <w:rPr>
                <w:rFonts w:eastAsia="Calibri" w:cs="Calibri"/>
              </w:rPr>
              <w:t>CPD</w:t>
            </w:r>
            <w:r w:rsidRPr="781E95A1">
              <w:rPr>
                <w:rFonts w:eastAsia="Calibri" w:cs="Calibri"/>
              </w:rPr>
              <w:t xml:space="preserve">). (2 excluded from analysis having received incorrect prescription) 55% female, average age 44, average </w:t>
            </w:r>
            <w:r w:rsidR="0043701D">
              <w:rPr>
                <w:rFonts w:eastAsia="Calibri" w:cs="Calibri"/>
              </w:rPr>
              <w:t>CPD</w:t>
            </w:r>
            <w:r w:rsidRPr="781E95A1">
              <w:rPr>
                <w:rFonts w:eastAsia="Calibri" w:cs="Calibri"/>
              </w:rPr>
              <w:t xml:space="preserve"> 26</w:t>
            </w:r>
          </w:p>
        </w:tc>
        <w:tc>
          <w:tcPr>
            <w:tcW w:w="3885" w:type="dxa"/>
          </w:tcPr>
          <w:p w14:paraId="374C8D2B" w14:textId="708269C7" w:rsidR="781E95A1" w:rsidRDefault="781E95A1" w:rsidP="00C324F3">
            <w:pPr>
              <w:pStyle w:val="ListParagraph"/>
              <w:numPr>
                <w:ilvl w:val="0"/>
                <w:numId w:val="242"/>
              </w:numPr>
              <w:rPr>
                <w:rFonts w:eastAsia="Calibri" w:cs="Calibri"/>
              </w:rPr>
            </w:pPr>
            <w:r w:rsidRPr="781E95A1">
              <w:t>Nicotine Inhaler (10 mg). Advised to use 4 to 20 cartridges/day for 3 months. After this tapering was encouraged until 6 months</w:t>
            </w:r>
          </w:p>
          <w:p w14:paraId="0DD46710" w14:textId="6C768010" w:rsidR="781E95A1" w:rsidRDefault="781E95A1" w:rsidP="00C324F3">
            <w:pPr>
              <w:pStyle w:val="ListParagraph"/>
              <w:numPr>
                <w:ilvl w:val="0"/>
                <w:numId w:val="242"/>
              </w:numPr>
              <w:rPr>
                <w:rFonts w:eastAsia="Calibri" w:cs="Calibri"/>
              </w:rPr>
            </w:pPr>
            <w:r w:rsidRPr="781E95A1">
              <w:t>Placebo inhaler Participants received advice and watched a video showing proper use of the inhaler Level of support: high (brief individual smoking cessation support at each study visit, 10 in all)</w:t>
            </w:r>
          </w:p>
        </w:tc>
        <w:tc>
          <w:tcPr>
            <w:tcW w:w="2314" w:type="dxa"/>
          </w:tcPr>
          <w:p w14:paraId="56672C87" w14:textId="138CE6A5" w:rsidR="781E95A1" w:rsidRDefault="781E95A1">
            <w:r w:rsidRPr="00C324F3">
              <w:rPr>
                <w:rFonts w:eastAsia="Calibri"/>
                <w:u w:val="single"/>
              </w:rPr>
              <w:t>Efficacy</w:t>
            </w:r>
            <w:r w:rsidRPr="781E95A1">
              <w:rPr>
                <w:rFonts w:eastAsia="Calibri" w:cs="Calibri"/>
                <w:u w:val="single"/>
              </w:rPr>
              <w:t xml:space="preserve">: </w:t>
            </w:r>
            <w:r w:rsidRPr="781E95A1">
              <w:rPr>
                <w:rFonts w:eastAsia="Calibri" w:cs="Calibri"/>
              </w:rPr>
              <w:t>Sustained abstinence at 12 months Validation: CO &lt; 10 ppm at each follow-up</w:t>
            </w:r>
          </w:p>
          <w:p w14:paraId="76B7F5E0" w14:textId="2EA12603" w:rsidR="781E95A1" w:rsidRDefault="781E95A1">
            <w:r w:rsidRPr="781E95A1">
              <w:rPr>
                <w:rFonts w:eastAsia="Calibri" w:cs="Calibri"/>
              </w:rPr>
              <w:t xml:space="preserve"> </w:t>
            </w:r>
          </w:p>
          <w:p w14:paraId="4F3C25DC" w14:textId="333D9C17" w:rsidR="781E95A1" w:rsidRDefault="781E95A1">
            <w:r w:rsidRPr="00C324F3">
              <w:rPr>
                <w:rFonts w:eastAsia="Calibri"/>
                <w:u w:val="single"/>
              </w:rPr>
              <w:t>Safety:</w:t>
            </w:r>
            <w:r w:rsidRPr="781E95A1">
              <w:rPr>
                <w:rFonts w:eastAsia="Calibri" w:cs="Calibri"/>
              </w:rPr>
              <w:t xml:space="preserve"> NR</w:t>
            </w:r>
          </w:p>
        </w:tc>
      </w:tr>
      <w:tr w:rsidR="781E95A1" w14:paraId="1E987D33" w14:textId="77777777" w:rsidTr="2029C57F">
        <w:tc>
          <w:tcPr>
            <w:tcW w:w="1395" w:type="dxa"/>
          </w:tcPr>
          <w:p w14:paraId="4CA78237" w14:textId="596C1118" w:rsidR="781E95A1" w:rsidRDefault="781E95A1">
            <w:r w:rsidRPr="781E95A1">
              <w:rPr>
                <w:rFonts w:eastAsia="Calibri" w:cs="Calibri"/>
              </w:rPr>
              <w:t xml:space="preserve">Schneider </w:t>
            </w:r>
            <w:r w:rsidR="0043701D">
              <w:rPr>
                <w:rFonts w:eastAsia="Calibri" w:cs="Calibri"/>
              </w:rPr>
              <w:t>(</w:t>
            </w:r>
            <w:r w:rsidRPr="781E95A1">
              <w:rPr>
                <w:rFonts w:eastAsia="Calibri" w:cs="Calibri"/>
              </w:rPr>
              <w:t>1996</w:t>
            </w:r>
            <w:r w:rsidR="0043701D">
              <w:rPr>
                <w:rFonts w:eastAsia="Calibri" w:cs="Calibri"/>
              </w:rPr>
              <w:t>)</w:t>
            </w:r>
          </w:p>
        </w:tc>
        <w:tc>
          <w:tcPr>
            <w:tcW w:w="870" w:type="dxa"/>
          </w:tcPr>
          <w:p w14:paraId="5F821ADF" w14:textId="1B2A34C5" w:rsidR="781E95A1" w:rsidRDefault="781E95A1">
            <w:r w:rsidRPr="781E95A1">
              <w:rPr>
                <w:rFonts w:eastAsia="Calibri" w:cs="Calibri"/>
              </w:rPr>
              <w:t>RCT</w:t>
            </w:r>
          </w:p>
        </w:tc>
        <w:tc>
          <w:tcPr>
            <w:tcW w:w="1140" w:type="dxa"/>
          </w:tcPr>
          <w:p w14:paraId="62BBC62C" w14:textId="7A6401E2" w:rsidR="781E95A1" w:rsidRDefault="781E95A1">
            <w:r w:rsidRPr="781E95A1">
              <w:rPr>
                <w:rFonts w:eastAsia="Calibri" w:cs="Calibri"/>
              </w:rPr>
              <w:t>USA</w:t>
            </w:r>
          </w:p>
        </w:tc>
        <w:tc>
          <w:tcPr>
            <w:tcW w:w="900" w:type="dxa"/>
          </w:tcPr>
          <w:p w14:paraId="2B7B5A1D" w14:textId="1C767CE8" w:rsidR="781E95A1" w:rsidRDefault="781E95A1">
            <w:r w:rsidRPr="781E95A1">
              <w:rPr>
                <w:rFonts w:eastAsia="Calibri" w:cs="Calibri"/>
              </w:rPr>
              <w:t>223</w:t>
            </w:r>
          </w:p>
        </w:tc>
        <w:tc>
          <w:tcPr>
            <w:tcW w:w="3585" w:type="dxa"/>
          </w:tcPr>
          <w:p w14:paraId="7470BC0E" w14:textId="6B9C2B08" w:rsidR="781E95A1" w:rsidRDefault="781E95A1">
            <w:r w:rsidRPr="781E95A1">
              <w:rPr>
                <w:rFonts w:eastAsia="Calibri" w:cs="Calibri"/>
              </w:rPr>
              <w:t xml:space="preserve">Adult smokers (≥10 </w:t>
            </w:r>
            <w:r w:rsidR="0043701D">
              <w:rPr>
                <w:rFonts w:eastAsia="Calibri" w:cs="Calibri"/>
              </w:rPr>
              <w:t>CPD</w:t>
            </w:r>
            <w:r w:rsidRPr="781E95A1">
              <w:rPr>
                <w:rFonts w:eastAsia="Calibri" w:cs="Calibri"/>
              </w:rPr>
              <w:t xml:space="preserve">) 37% female, average age 44, average </w:t>
            </w:r>
            <w:r w:rsidR="0043701D">
              <w:rPr>
                <w:rFonts w:eastAsia="Calibri" w:cs="Calibri"/>
              </w:rPr>
              <w:t>CPD</w:t>
            </w:r>
            <w:r w:rsidRPr="781E95A1">
              <w:rPr>
                <w:rFonts w:eastAsia="Calibri" w:cs="Calibri"/>
              </w:rPr>
              <w:t xml:space="preserve"> 29/26 (significantly higher in active group)</w:t>
            </w:r>
          </w:p>
        </w:tc>
        <w:tc>
          <w:tcPr>
            <w:tcW w:w="3885" w:type="dxa"/>
          </w:tcPr>
          <w:p w14:paraId="33EF0E36" w14:textId="7FCC2423" w:rsidR="781E95A1" w:rsidRDefault="781E95A1" w:rsidP="00C324F3">
            <w:pPr>
              <w:pStyle w:val="ListParagraph"/>
              <w:numPr>
                <w:ilvl w:val="0"/>
                <w:numId w:val="241"/>
              </w:numPr>
              <w:rPr>
                <w:rFonts w:eastAsia="Calibri" w:cs="Calibri"/>
              </w:rPr>
            </w:pPr>
            <w:r w:rsidRPr="781E95A1">
              <w:t>Nicotine inhaler (4 to 20 inhalers per day) for up to 6 months, with weaning from 3 months</w:t>
            </w:r>
          </w:p>
          <w:p w14:paraId="3B5893EC" w14:textId="7D990CEB" w:rsidR="781E95A1" w:rsidRDefault="781E95A1" w:rsidP="00C324F3">
            <w:pPr>
              <w:pStyle w:val="ListParagraph"/>
              <w:numPr>
                <w:ilvl w:val="0"/>
                <w:numId w:val="241"/>
              </w:numPr>
              <w:rPr>
                <w:rFonts w:eastAsia="Calibri" w:cs="Calibri"/>
              </w:rPr>
            </w:pPr>
            <w:r w:rsidRPr="781E95A1">
              <w:t>Placebo inhaler Level of support: high (repeated clinic visits for assessment)</w:t>
            </w:r>
          </w:p>
        </w:tc>
        <w:tc>
          <w:tcPr>
            <w:tcW w:w="2314" w:type="dxa"/>
          </w:tcPr>
          <w:p w14:paraId="6CE0E12D" w14:textId="4A4F3EC8" w:rsidR="781E95A1" w:rsidRDefault="781E95A1">
            <w:r w:rsidRPr="00C324F3">
              <w:rPr>
                <w:rFonts w:eastAsia="Calibri"/>
                <w:u w:val="single"/>
              </w:rPr>
              <w:t>Efficacy:</w:t>
            </w:r>
            <w:r w:rsidRPr="781E95A1">
              <w:rPr>
                <w:rFonts w:eastAsia="Calibri" w:cs="Calibri"/>
              </w:rPr>
              <w:t xml:space="preserve"> Sustained abstinence at 12 months Validation: CO and salivary cotinine</w:t>
            </w:r>
          </w:p>
          <w:p w14:paraId="3AB6F4C1" w14:textId="1BBDD1BC" w:rsidR="781E95A1" w:rsidRDefault="781E95A1">
            <w:r w:rsidRPr="781E95A1">
              <w:rPr>
                <w:rFonts w:eastAsia="Calibri" w:cs="Calibri"/>
              </w:rPr>
              <w:t xml:space="preserve"> </w:t>
            </w:r>
          </w:p>
          <w:p w14:paraId="09D4E874" w14:textId="2C68A89B" w:rsidR="781E95A1" w:rsidRDefault="781E95A1">
            <w:r w:rsidRPr="00C324F3">
              <w:rPr>
                <w:rFonts w:eastAsia="Calibri"/>
                <w:u w:val="single"/>
              </w:rPr>
              <w:t>Safety:</w:t>
            </w:r>
            <w:r w:rsidRPr="781E95A1">
              <w:rPr>
                <w:rFonts w:eastAsia="Calibri" w:cs="Calibri"/>
              </w:rPr>
              <w:t xml:space="preserve"> NR</w:t>
            </w:r>
          </w:p>
        </w:tc>
      </w:tr>
      <w:tr w:rsidR="781E95A1" w14:paraId="510F6DA7" w14:textId="77777777" w:rsidTr="2029C57F">
        <w:tc>
          <w:tcPr>
            <w:tcW w:w="1395" w:type="dxa"/>
          </w:tcPr>
          <w:p w14:paraId="6AAC8150" w14:textId="10650BFE" w:rsidR="781E95A1" w:rsidRDefault="781E95A1">
            <w:r w:rsidRPr="781E95A1">
              <w:rPr>
                <w:rFonts w:eastAsia="Calibri" w:cs="Calibri"/>
              </w:rPr>
              <w:t xml:space="preserve">Tønnesen </w:t>
            </w:r>
            <w:r w:rsidR="0043701D">
              <w:rPr>
                <w:rFonts w:eastAsia="Calibri" w:cs="Calibri"/>
              </w:rPr>
              <w:t>(</w:t>
            </w:r>
            <w:r w:rsidRPr="781E95A1">
              <w:rPr>
                <w:rFonts w:eastAsia="Calibri" w:cs="Calibri"/>
              </w:rPr>
              <w:t>1993</w:t>
            </w:r>
            <w:r w:rsidR="0043701D">
              <w:rPr>
                <w:rFonts w:eastAsia="Calibri" w:cs="Calibri"/>
              </w:rPr>
              <w:t>)</w:t>
            </w:r>
          </w:p>
        </w:tc>
        <w:tc>
          <w:tcPr>
            <w:tcW w:w="870" w:type="dxa"/>
          </w:tcPr>
          <w:p w14:paraId="171D6BB6" w14:textId="2B3CDD27" w:rsidR="781E95A1" w:rsidRDefault="781E95A1">
            <w:r w:rsidRPr="781E95A1">
              <w:rPr>
                <w:rFonts w:eastAsia="Calibri" w:cs="Calibri"/>
              </w:rPr>
              <w:t>RCT</w:t>
            </w:r>
          </w:p>
        </w:tc>
        <w:tc>
          <w:tcPr>
            <w:tcW w:w="1140" w:type="dxa"/>
          </w:tcPr>
          <w:p w14:paraId="2A71A447" w14:textId="255CCEA4" w:rsidR="781E95A1" w:rsidRDefault="781E95A1">
            <w:r w:rsidRPr="781E95A1">
              <w:rPr>
                <w:rFonts w:eastAsia="Calibri" w:cs="Calibri"/>
              </w:rPr>
              <w:t>Denmark</w:t>
            </w:r>
          </w:p>
        </w:tc>
        <w:tc>
          <w:tcPr>
            <w:tcW w:w="900" w:type="dxa"/>
          </w:tcPr>
          <w:p w14:paraId="35F25D36" w14:textId="3D72369E" w:rsidR="781E95A1" w:rsidRDefault="781E95A1">
            <w:r w:rsidRPr="781E95A1">
              <w:rPr>
                <w:rFonts w:eastAsia="Calibri" w:cs="Calibri"/>
              </w:rPr>
              <w:t>286</w:t>
            </w:r>
          </w:p>
        </w:tc>
        <w:tc>
          <w:tcPr>
            <w:tcW w:w="3585" w:type="dxa"/>
          </w:tcPr>
          <w:p w14:paraId="7EB28B31" w14:textId="642087DB" w:rsidR="781E95A1" w:rsidRDefault="781E95A1">
            <w:r w:rsidRPr="781E95A1">
              <w:rPr>
                <w:rFonts w:eastAsia="Calibri" w:cs="Calibri"/>
              </w:rPr>
              <w:t xml:space="preserve">Smokers (≥ 10 </w:t>
            </w:r>
            <w:r w:rsidR="0043701D">
              <w:rPr>
                <w:rFonts w:eastAsia="Calibri" w:cs="Calibri"/>
              </w:rPr>
              <w:t>CPD</w:t>
            </w:r>
            <w:r w:rsidRPr="781E95A1">
              <w:rPr>
                <w:rFonts w:eastAsia="Calibri" w:cs="Calibri"/>
              </w:rPr>
              <w:t xml:space="preserve">) 60% female, average age 39, average </w:t>
            </w:r>
            <w:r w:rsidR="0043701D">
              <w:rPr>
                <w:rFonts w:eastAsia="Calibri" w:cs="Calibri"/>
              </w:rPr>
              <w:t>CPD</w:t>
            </w:r>
            <w:r w:rsidRPr="781E95A1">
              <w:rPr>
                <w:rFonts w:eastAsia="Calibri" w:cs="Calibri"/>
              </w:rPr>
              <w:t xml:space="preserve"> 20</w:t>
            </w:r>
          </w:p>
        </w:tc>
        <w:tc>
          <w:tcPr>
            <w:tcW w:w="3885" w:type="dxa"/>
          </w:tcPr>
          <w:p w14:paraId="68DE76CA" w14:textId="49FDEE57" w:rsidR="781E95A1" w:rsidRDefault="781E95A1" w:rsidP="00C324F3">
            <w:pPr>
              <w:pStyle w:val="ListParagraph"/>
              <w:numPr>
                <w:ilvl w:val="0"/>
                <w:numId w:val="240"/>
              </w:numPr>
              <w:rPr>
                <w:rFonts w:eastAsia="Calibri" w:cs="Calibri"/>
              </w:rPr>
            </w:pPr>
            <w:r w:rsidRPr="781E95A1">
              <w:t>Nicotine inhaler (2 to 10/day) up to 6 months</w:t>
            </w:r>
          </w:p>
          <w:p w14:paraId="52A3F937" w14:textId="04A7FD5A" w:rsidR="781E95A1" w:rsidRDefault="781E95A1" w:rsidP="00C324F3">
            <w:pPr>
              <w:pStyle w:val="ListParagraph"/>
              <w:numPr>
                <w:ilvl w:val="0"/>
                <w:numId w:val="240"/>
              </w:numPr>
              <w:rPr>
                <w:rFonts w:eastAsia="Calibri" w:cs="Calibri"/>
              </w:rPr>
            </w:pPr>
            <w:r w:rsidRPr="781E95A1">
              <w:t>Placebo inhaler</w:t>
            </w:r>
          </w:p>
        </w:tc>
        <w:tc>
          <w:tcPr>
            <w:tcW w:w="2314" w:type="dxa"/>
          </w:tcPr>
          <w:p w14:paraId="1D59E9AF" w14:textId="09191488" w:rsidR="781E95A1" w:rsidRDefault="781E95A1">
            <w:r w:rsidRPr="781E95A1">
              <w:rPr>
                <w:rFonts w:eastAsia="Calibri" w:cs="Calibri"/>
              </w:rPr>
              <w:t>Efficacy: Sustained abstinence at 12 months (from week 2, paper also reports with-slips outcome) Validation: CO</w:t>
            </w:r>
          </w:p>
          <w:p w14:paraId="1D8F061C" w14:textId="085EF190" w:rsidR="781E95A1" w:rsidRDefault="781E95A1">
            <w:r w:rsidRPr="781E95A1">
              <w:rPr>
                <w:rFonts w:eastAsia="Calibri" w:cs="Calibri"/>
              </w:rPr>
              <w:t xml:space="preserve"> </w:t>
            </w:r>
          </w:p>
          <w:p w14:paraId="73D80689" w14:textId="51EBF6DE" w:rsidR="781E95A1" w:rsidRDefault="781E95A1">
            <w:r w:rsidRPr="00C324F3">
              <w:rPr>
                <w:rFonts w:eastAsia="Calibri"/>
                <w:u w:val="single"/>
              </w:rPr>
              <w:t>Safety:</w:t>
            </w:r>
            <w:r w:rsidRPr="781E95A1">
              <w:rPr>
                <w:rFonts w:eastAsia="Calibri" w:cs="Calibri"/>
              </w:rPr>
              <w:t xml:space="preserve"> NR</w:t>
            </w:r>
          </w:p>
        </w:tc>
      </w:tr>
      <w:tr w:rsidR="781E95A1" w14:paraId="014BF59E" w14:textId="77777777" w:rsidTr="2029C57F">
        <w:tc>
          <w:tcPr>
            <w:tcW w:w="1395" w:type="dxa"/>
          </w:tcPr>
          <w:p w14:paraId="587EC6FB" w14:textId="3417E4E1" w:rsidR="781E95A1" w:rsidRDefault="781E95A1">
            <w:r w:rsidRPr="781E95A1">
              <w:rPr>
                <w:rFonts w:eastAsia="Calibri" w:cs="Calibri"/>
              </w:rPr>
              <w:t xml:space="preserve">Tønnesen </w:t>
            </w:r>
            <w:r w:rsidR="0043701D">
              <w:rPr>
                <w:rFonts w:eastAsia="Calibri" w:cs="Calibri"/>
              </w:rPr>
              <w:t>(</w:t>
            </w:r>
            <w:r w:rsidRPr="781E95A1">
              <w:rPr>
                <w:rFonts w:eastAsia="Calibri" w:cs="Calibri"/>
              </w:rPr>
              <w:t>2000</w:t>
            </w:r>
            <w:r w:rsidR="0043701D">
              <w:rPr>
                <w:rFonts w:eastAsia="Calibri" w:cs="Calibri"/>
              </w:rPr>
              <w:t>)</w:t>
            </w:r>
          </w:p>
        </w:tc>
        <w:tc>
          <w:tcPr>
            <w:tcW w:w="870" w:type="dxa"/>
          </w:tcPr>
          <w:p w14:paraId="27896E38" w14:textId="42B068A4" w:rsidR="781E95A1" w:rsidRDefault="00C4176B">
            <w:r>
              <w:rPr>
                <w:rFonts w:eastAsia="Calibri" w:cs="Calibri"/>
              </w:rPr>
              <w:t>RCT</w:t>
            </w:r>
            <w:r w:rsidR="781E95A1" w:rsidRPr="781E95A1">
              <w:rPr>
                <w:rFonts w:eastAsia="Calibri" w:cs="Calibri"/>
              </w:rPr>
              <w:t xml:space="preserve"> </w:t>
            </w:r>
          </w:p>
        </w:tc>
        <w:tc>
          <w:tcPr>
            <w:tcW w:w="1140" w:type="dxa"/>
          </w:tcPr>
          <w:p w14:paraId="60559851" w14:textId="151C3FC7" w:rsidR="781E95A1" w:rsidRDefault="781E95A1">
            <w:r w:rsidRPr="781E95A1">
              <w:rPr>
                <w:rFonts w:eastAsia="Calibri" w:cs="Calibri"/>
              </w:rPr>
              <w:t>Denmark</w:t>
            </w:r>
          </w:p>
        </w:tc>
        <w:tc>
          <w:tcPr>
            <w:tcW w:w="900" w:type="dxa"/>
          </w:tcPr>
          <w:p w14:paraId="671A00F0" w14:textId="2F0C9B6C" w:rsidR="781E95A1" w:rsidRDefault="781E95A1">
            <w:r w:rsidRPr="781E95A1">
              <w:rPr>
                <w:rFonts w:eastAsia="Calibri" w:cs="Calibri"/>
              </w:rPr>
              <w:t>446</w:t>
            </w:r>
          </w:p>
        </w:tc>
        <w:tc>
          <w:tcPr>
            <w:tcW w:w="3585" w:type="dxa"/>
          </w:tcPr>
          <w:p w14:paraId="7F940E4A" w14:textId="1DFC4533" w:rsidR="781E95A1" w:rsidRDefault="781E95A1">
            <w:r w:rsidRPr="781E95A1">
              <w:rPr>
                <w:rFonts w:eastAsia="Calibri" w:cs="Calibri"/>
              </w:rPr>
              <w:t xml:space="preserve">Smokers ≥ 10 </w:t>
            </w:r>
            <w:r w:rsidR="0043701D">
              <w:rPr>
                <w:rFonts w:eastAsia="Calibri" w:cs="Calibri"/>
              </w:rPr>
              <w:t>CPD</w:t>
            </w:r>
            <w:r w:rsidRPr="781E95A1">
              <w:rPr>
                <w:rFonts w:eastAsia="Calibri" w:cs="Calibri"/>
              </w:rPr>
              <w:t xml:space="preserve"> 52% female, average age 49, average </w:t>
            </w:r>
            <w:r w:rsidR="0043701D">
              <w:rPr>
                <w:rFonts w:eastAsia="Calibri" w:cs="Calibri"/>
              </w:rPr>
              <w:t>CPD</w:t>
            </w:r>
            <w:r w:rsidRPr="781E95A1">
              <w:rPr>
                <w:rFonts w:eastAsia="Calibri" w:cs="Calibri"/>
              </w:rPr>
              <w:t xml:space="preserve"> 18</w:t>
            </w:r>
          </w:p>
        </w:tc>
        <w:tc>
          <w:tcPr>
            <w:tcW w:w="3885" w:type="dxa"/>
          </w:tcPr>
          <w:p w14:paraId="29EAFBCA" w14:textId="3095907E" w:rsidR="781E95A1" w:rsidRDefault="781E95A1" w:rsidP="00C324F3">
            <w:pPr>
              <w:pStyle w:val="ListParagraph"/>
              <w:numPr>
                <w:ilvl w:val="0"/>
                <w:numId w:val="239"/>
              </w:numPr>
              <w:rPr>
                <w:rFonts w:eastAsia="Calibri" w:cs="Calibri"/>
              </w:rPr>
            </w:pPr>
            <w:r w:rsidRPr="781E95A1">
              <w:t xml:space="preserve">1. 5 mg nicotine patch (placebo) </w:t>
            </w:r>
          </w:p>
          <w:p w14:paraId="05C97CD9" w14:textId="0E5E9CFC" w:rsidR="781E95A1" w:rsidRDefault="781E95A1" w:rsidP="00C324F3">
            <w:pPr>
              <w:pStyle w:val="ListParagraph"/>
              <w:numPr>
                <w:ilvl w:val="0"/>
                <w:numId w:val="239"/>
              </w:numPr>
              <w:rPr>
                <w:rFonts w:eastAsia="Calibri" w:cs="Calibri"/>
              </w:rPr>
            </w:pPr>
            <w:r w:rsidRPr="781E95A1">
              <w:lastRenderedPageBreak/>
              <w:t>15 mg (16-hour) nicotine patch for 12 weeks (up to 9 m on request)</w:t>
            </w:r>
          </w:p>
          <w:p w14:paraId="5D409407" w14:textId="37E4CBFA" w:rsidR="781E95A1" w:rsidRDefault="781E95A1" w:rsidP="00C324F3">
            <w:pPr>
              <w:pStyle w:val="ListParagraph"/>
              <w:numPr>
                <w:ilvl w:val="0"/>
                <w:numId w:val="239"/>
              </w:numPr>
              <w:rPr>
                <w:rFonts w:eastAsia="Calibri" w:cs="Calibri"/>
              </w:rPr>
            </w:pPr>
            <w:r w:rsidRPr="781E95A1">
              <w:t>Nicotine inhaler (4 - 12/day ad lib)</w:t>
            </w:r>
          </w:p>
          <w:p w14:paraId="7718CBF5" w14:textId="5C9266CB" w:rsidR="781E95A1" w:rsidRDefault="781E95A1" w:rsidP="00C324F3">
            <w:pPr>
              <w:pStyle w:val="ListParagraph"/>
              <w:numPr>
                <w:ilvl w:val="0"/>
                <w:numId w:val="239"/>
              </w:numPr>
              <w:rPr>
                <w:rFonts w:eastAsia="Calibri" w:cs="Calibri"/>
              </w:rPr>
            </w:pPr>
            <w:r w:rsidRPr="781E95A1">
              <w:t>Combination, 15 mg patch and inhaler</w:t>
            </w:r>
          </w:p>
        </w:tc>
        <w:tc>
          <w:tcPr>
            <w:tcW w:w="2314" w:type="dxa"/>
          </w:tcPr>
          <w:p w14:paraId="2D601F39" w14:textId="3FEDCA36" w:rsidR="781E95A1" w:rsidRDefault="781E95A1">
            <w:r w:rsidRPr="00C324F3">
              <w:rPr>
                <w:rFonts w:eastAsia="Calibri"/>
                <w:u w:val="single"/>
              </w:rPr>
              <w:lastRenderedPageBreak/>
              <w:t>Efficacy:</w:t>
            </w:r>
            <w:r w:rsidRPr="781E95A1">
              <w:rPr>
                <w:rFonts w:eastAsia="Calibri" w:cs="Calibri"/>
              </w:rPr>
              <w:t xml:space="preserve"> Sustained abstinence at 12 m</w:t>
            </w:r>
            <w:r w:rsidR="0043701D">
              <w:rPr>
                <w:rFonts w:eastAsia="Calibri" w:cs="Calibri"/>
              </w:rPr>
              <w:t>onths</w:t>
            </w:r>
            <w:r w:rsidRPr="781E95A1">
              <w:rPr>
                <w:rFonts w:eastAsia="Calibri" w:cs="Calibri"/>
              </w:rPr>
              <w:t xml:space="preserve">, </w:t>
            </w:r>
            <w:r w:rsidRPr="781E95A1">
              <w:rPr>
                <w:rFonts w:eastAsia="Calibri" w:cs="Calibri"/>
              </w:rPr>
              <w:lastRenderedPageBreak/>
              <w:t>(from w</w:t>
            </w:r>
            <w:r w:rsidR="0043701D">
              <w:rPr>
                <w:rFonts w:eastAsia="Calibri" w:cs="Calibri"/>
              </w:rPr>
              <w:t>ee</w:t>
            </w:r>
            <w:r w:rsidRPr="781E95A1">
              <w:rPr>
                <w:rFonts w:eastAsia="Calibri" w:cs="Calibri"/>
              </w:rPr>
              <w:t>k 2, paper also reports PPA and with slips rates) Validation: CO &lt; 10 ppm at all visits</w:t>
            </w:r>
          </w:p>
          <w:p w14:paraId="18EF7569" w14:textId="09206C31" w:rsidR="781E95A1" w:rsidRDefault="781E95A1">
            <w:r w:rsidRPr="781E95A1">
              <w:rPr>
                <w:rFonts w:eastAsia="Calibri" w:cs="Calibri"/>
              </w:rPr>
              <w:t xml:space="preserve"> </w:t>
            </w:r>
          </w:p>
          <w:p w14:paraId="07622A8E" w14:textId="0208102F" w:rsidR="781E95A1" w:rsidRDefault="781E95A1">
            <w:r w:rsidRPr="00C324F3">
              <w:rPr>
                <w:rFonts w:eastAsia="Calibri"/>
                <w:u w:val="single"/>
              </w:rPr>
              <w:t>Safety:</w:t>
            </w:r>
            <w:r w:rsidRPr="781E95A1">
              <w:rPr>
                <w:rFonts w:eastAsia="Calibri" w:cs="Calibri"/>
              </w:rPr>
              <w:t xml:space="preserve"> Adverse events. measured at every follow-up to 12 m</w:t>
            </w:r>
            <w:r w:rsidR="0043701D">
              <w:rPr>
                <w:rFonts w:eastAsia="Calibri" w:cs="Calibri"/>
              </w:rPr>
              <w:t>onths</w:t>
            </w:r>
            <w:r w:rsidRPr="781E95A1">
              <w:rPr>
                <w:rFonts w:eastAsia="Calibri" w:cs="Calibri"/>
              </w:rPr>
              <w:t xml:space="preserve"> (note treatment could continue to 12 m</w:t>
            </w:r>
            <w:r w:rsidR="0043701D">
              <w:rPr>
                <w:rFonts w:eastAsia="Calibri" w:cs="Calibri"/>
              </w:rPr>
              <w:t>onths</w:t>
            </w:r>
            <w:r w:rsidRPr="781E95A1">
              <w:rPr>
                <w:rFonts w:eastAsia="Calibri" w:cs="Calibri"/>
              </w:rPr>
              <w:t>)</w:t>
            </w:r>
          </w:p>
        </w:tc>
      </w:tr>
      <w:tr w:rsidR="781E95A1" w14:paraId="56DE3F09" w14:textId="77777777" w:rsidTr="001D1C5A">
        <w:tc>
          <w:tcPr>
            <w:tcW w:w="14089" w:type="dxa"/>
            <w:gridSpan w:val="7"/>
            <w:shd w:val="clear" w:color="auto" w:fill="D9D9D9" w:themeFill="background1" w:themeFillShade="D9"/>
          </w:tcPr>
          <w:p w14:paraId="55B96768" w14:textId="280038CC" w:rsidR="781E95A1" w:rsidRPr="001D1C5A" w:rsidRDefault="001D1C5A">
            <w:pPr>
              <w:rPr>
                <w:b/>
              </w:rPr>
            </w:pPr>
            <w:r w:rsidRPr="001D1C5A">
              <w:rPr>
                <w:rFonts w:eastAsia="Calibri" w:cs="Calibri"/>
                <w:b/>
                <w:bCs/>
                <w:szCs w:val="24"/>
              </w:rPr>
              <w:lastRenderedPageBreak/>
              <w:t>Intranasal spray versus placebo</w:t>
            </w:r>
          </w:p>
        </w:tc>
      </w:tr>
      <w:tr w:rsidR="781E95A1" w14:paraId="61B50C21" w14:textId="77777777" w:rsidTr="2029C57F">
        <w:tc>
          <w:tcPr>
            <w:tcW w:w="1395" w:type="dxa"/>
          </w:tcPr>
          <w:p w14:paraId="38B86ABA" w14:textId="082E6D06" w:rsidR="781E95A1" w:rsidRDefault="781E95A1">
            <w:r w:rsidRPr="781E95A1">
              <w:rPr>
                <w:rFonts w:eastAsia="Calibri" w:cs="Calibri"/>
              </w:rPr>
              <w:t xml:space="preserve">Blondal </w:t>
            </w:r>
            <w:r w:rsidR="0043701D">
              <w:rPr>
                <w:rFonts w:eastAsia="Calibri" w:cs="Calibri"/>
              </w:rPr>
              <w:t>(</w:t>
            </w:r>
            <w:r w:rsidRPr="781E95A1">
              <w:rPr>
                <w:rFonts w:eastAsia="Calibri" w:cs="Calibri"/>
              </w:rPr>
              <w:t>1997</w:t>
            </w:r>
            <w:r w:rsidR="0043701D">
              <w:rPr>
                <w:rFonts w:eastAsia="Calibri" w:cs="Calibri"/>
              </w:rPr>
              <w:t>)</w:t>
            </w:r>
          </w:p>
        </w:tc>
        <w:tc>
          <w:tcPr>
            <w:tcW w:w="870" w:type="dxa"/>
          </w:tcPr>
          <w:p w14:paraId="609A4CF7" w14:textId="2B5144E2" w:rsidR="781E95A1" w:rsidRDefault="781E95A1">
            <w:r w:rsidRPr="781E95A1">
              <w:rPr>
                <w:rFonts w:eastAsia="Calibri" w:cs="Calibri"/>
              </w:rPr>
              <w:t>RCT</w:t>
            </w:r>
          </w:p>
        </w:tc>
        <w:tc>
          <w:tcPr>
            <w:tcW w:w="1140" w:type="dxa"/>
          </w:tcPr>
          <w:p w14:paraId="0DD97DB0" w14:textId="196C8683" w:rsidR="781E95A1" w:rsidRDefault="781E95A1">
            <w:r w:rsidRPr="781E95A1">
              <w:rPr>
                <w:rFonts w:eastAsia="Calibri" w:cs="Calibri"/>
              </w:rPr>
              <w:t>Ireland</w:t>
            </w:r>
          </w:p>
        </w:tc>
        <w:tc>
          <w:tcPr>
            <w:tcW w:w="900" w:type="dxa"/>
          </w:tcPr>
          <w:p w14:paraId="69702F34" w14:textId="52C59B82" w:rsidR="781E95A1" w:rsidRDefault="781E95A1">
            <w:r w:rsidRPr="781E95A1">
              <w:rPr>
                <w:rFonts w:eastAsia="Calibri" w:cs="Calibri"/>
              </w:rPr>
              <w:t>159</w:t>
            </w:r>
          </w:p>
        </w:tc>
        <w:tc>
          <w:tcPr>
            <w:tcW w:w="3585" w:type="dxa"/>
          </w:tcPr>
          <w:p w14:paraId="743D40C4" w14:textId="0A61796C" w:rsidR="781E95A1" w:rsidRDefault="781E95A1">
            <w:r w:rsidRPr="781E95A1">
              <w:rPr>
                <w:rFonts w:eastAsia="Calibri" w:cs="Calibri"/>
              </w:rPr>
              <w:t xml:space="preserve">Smokers (≥ 1 </w:t>
            </w:r>
            <w:r w:rsidR="0043701D">
              <w:rPr>
                <w:rFonts w:eastAsia="Calibri" w:cs="Calibri"/>
              </w:rPr>
              <w:t>CPD</w:t>
            </w:r>
            <w:r w:rsidRPr="781E95A1">
              <w:rPr>
                <w:rFonts w:eastAsia="Calibri" w:cs="Calibri"/>
              </w:rPr>
              <w:t>) 44% female, average age 42, average tobacco use 25 g/day Participants had to be motivated to quit</w:t>
            </w:r>
          </w:p>
        </w:tc>
        <w:tc>
          <w:tcPr>
            <w:tcW w:w="3885" w:type="dxa"/>
          </w:tcPr>
          <w:p w14:paraId="75286DE0" w14:textId="0525ED7C" w:rsidR="781E95A1" w:rsidRDefault="781E95A1" w:rsidP="00C324F3">
            <w:pPr>
              <w:pStyle w:val="ListParagraph"/>
              <w:numPr>
                <w:ilvl w:val="0"/>
                <w:numId w:val="238"/>
              </w:numPr>
              <w:rPr>
                <w:rFonts w:eastAsia="Calibri" w:cs="Calibri"/>
              </w:rPr>
            </w:pPr>
            <w:r w:rsidRPr="781E95A1">
              <w:t>Nicotine nasal spray (NNS) ad lib use. Each dose (2 squirts) delivered 1 mg nicotine. Maximum dose 5 mg/h and 40 mg/day. Recommended duration of use 3 months</w:t>
            </w:r>
          </w:p>
          <w:p w14:paraId="25024C40" w14:textId="3DA23E9F" w:rsidR="781E95A1" w:rsidRDefault="781E95A1" w:rsidP="00C324F3">
            <w:pPr>
              <w:pStyle w:val="ListParagraph"/>
              <w:numPr>
                <w:ilvl w:val="0"/>
                <w:numId w:val="238"/>
              </w:numPr>
              <w:rPr>
                <w:rFonts w:eastAsia="Calibri" w:cs="Calibri"/>
              </w:rPr>
            </w:pPr>
            <w:r w:rsidRPr="781E95A1">
              <w:t xml:space="preserve">Placebo nasal spray containing piperine to mimic sensory effect of nicotine </w:t>
            </w:r>
          </w:p>
          <w:p w14:paraId="0BA15C7D" w14:textId="346BE410" w:rsidR="781E95A1" w:rsidRDefault="781E95A1">
            <w:r w:rsidRPr="781E95A1">
              <w:rPr>
                <w:rFonts w:eastAsia="Calibri" w:cs="Calibri"/>
              </w:rPr>
              <w:t xml:space="preserve"> </w:t>
            </w:r>
          </w:p>
          <w:p w14:paraId="5588D0A8" w14:textId="2C24D5D5" w:rsidR="781E95A1" w:rsidRDefault="781E95A1">
            <w:r w:rsidRPr="781E95A1">
              <w:rPr>
                <w:rFonts w:eastAsia="Calibri" w:cs="Calibri"/>
              </w:rPr>
              <w:t>Level of support: high (Group therapy 6 x 1-h sessions)</w:t>
            </w:r>
          </w:p>
        </w:tc>
        <w:tc>
          <w:tcPr>
            <w:tcW w:w="2314" w:type="dxa"/>
          </w:tcPr>
          <w:p w14:paraId="2FE61E20" w14:textId="5B94E914" w:rsidR="781E95A1" w:rsidRDefault="781E95A1">
            <w:r w:rsidRPr="00C324F3">
              <w:rPr>
                <w:rFonts w:eastAsia="Calibri"/>
                <w:u w:val="single"/>
              </w:rPr>
              <w:t>Efficacy:</w:t>
            </w:r>
            <w:r w:rsidRPr="781E95A1">
              <w:rPr>
                <w:rFonts w:eastAsia="Calibri" w:cs="Calibri"/>
              </w:rPr>
              <w:t xml:space="preserve"> Sustained abstinence at 1 year (continuous abstinence from quit day, follow-up also at 2 years) Validation: CO &lt; 10 ppm at each of 5 follow-ups</w:t>
            </w:r>
          </w:p>
          <w:p w14:paraId="6677A36D" w14:textId="64632745" w:rsidR="781E95A1" w:rsidRDefault="781E95A1">
            <w:r w:rsidRPr="781E95A1">
              <w:rPr>
                <w:rFonts w:eastAsia="Calibri" w:cs="Calibri"/>
              </w:rPr>
              <w:t xml:space="preserve"> </w:t>
            </w:r>
          </w:p>
          <w:p w14:paraId="529DD660" w14:textId="43F0F4C9" w:rsidR="781E95A1" w:rsidRDefault="781E95A1">
            <w:r w:rsidRPr="00C324F3">
              <w:rPr>
                <w:rFonts w:eastAsia="Calibri"/>
                <w:u w:val="single"/>
              </w:rPr>
              <w:t>Safety:</w:t>
            </w:r>
            <w:r w:rsidRPr="781E95A1">
              <w:rPr>
                <w:rFonts w:eastAsia="Calibri" w:cs="Calibri"/>
              </w:rPr>
              <w:t xml:space="preserve"> NR</w:t>
            </w:r>
          </w:p>
        </w:tc>
      </w:tr>
      <w:tr w:rsidR="781E95A1" w14:paraId="692DFDBC" w14:textId="77777777" w:rsidTr="2029C57F">
        <w:tc>
          <w:tcPr>
            <w:tcW w:w="1395" w:type="dxa"/>
          </w:tcPr>
          <w:p w14:paraId="43DCD1A9" w14:textId="46228081" w:rsidR="781E95A1" w:rsidRDefault="781E95A1">
            <w:r w:rsidRPr="781E95A1">
              <w:rPr>
                <w:rFonts w:eastAsia="Calibri" w:cs="Calibri"/>
              </w:rPr>
              <w:t xml:space="preserve">Hjalmarson </w:t>
            </w:r>
            <w:r w:rsidR="0043701D">
              <w:rPr>
                <w:rFonts w:eastAsia="Calibri" w:cs="Calibri"/>
              </w:rPr>
              <w:t>(</w:t>
            </w:r>
            <w:r w:rsidRPr="781E95A1">
              <w:rPr>
                <w:rFonts w:eastAsia="Calibri" w:cs="Calibri"/>
              </w:rPr>
              <w:t>1994</w:t>
            </w:r>
            <w:r w:rsidR="0043701D">
              <w:rPr>
                <w:rFonts w:eastAsia="Calibri" w:cs="Calibri"/>
              </w:rPr>
              <w:t>)</w:t>
            </w:r>
          </w:p>
        </w:tc>
        <w:tc>
          <w:tcPr>
            <w:tcW w:w="870" w:type="dxa"/>
          </w:tcPr>
          <w:p w14:paraId="37A2D42D" w14:textId="6F918057" w:rsidR="781E95A1" w:rsidRDefault="781E95A1">
            <w:r w:rsidRPr="781E95A1">
              <w:rPr>
                <w:rFonts w:eastAsia="Calibri" w:cs="Calibri"/>
              </w:rPr>
              <w:t>RCT</w:t>
            </w:r>
          </w:p>
        </w:tc>
        <w:tc>
          <w:tcPr>
            <w:tcW w:w="1140" w:type="dxa"/>
          </w:tcPr>
          <w:p w14:paraId="7FD1D955" w14:textId="287ACC6C" w:rsidR="781E95A1" w:rsidRDefault="781E95A1">
            <w:r w:rsidRPr="781E95A1">
              <w:rPr>
                <w:rFonts w:eastAsia="Calibri" w:cs="Calibri"/>
              </w:rPr>
              <w:t>Sweden</w:t>
            </w:r>
          </w:p>
        </w:tc>
        <w:tc>
          <w:tcPr>
            <w:tcW w:w="900" w:type="dxa"/>
          </w:tcPr>
          <w:p w14:paraId="34D6069F" w14:textId="416092FB" w:rsidR="781E95A1" w:rsidRDefault="781E95A1">
            <w:r w:rsidRPr="781E95A1">
              <w:rPr>
                <w:rFonts w:eastAsia="Calibri" w:cs="Calibri"/>
              </w:rPr>
              <w:t>248</w:t>
            </w:r>
          </w:p>
        </w:tc>
        <w:tc>
          <w:tcPr>
            <w:tcW w:w="3585" w:type="dxa"/>
          </w:tcPr>
          <w:p w14:paraId="2DEE1A5C" w14:textId="587BED5E" w:rsidR="781E95A1" w:rsidRDefault="781E95A1">
            <w:r w:rsidRPr="781E95A1">
              <w:rPr>
                <w:rFonts w:eastAsia="Calibri" w:cs="Calibri"/>
              </w:rPr>
              <w:t xml:space="preserve">Smokers 57% female, average age 45, average </w:t>
            </w:r>
            <w:r w:rsidR="0043701D">
              <w:rPr>
                <w:rFonts w:eastAsia="Calibri" w:cs="Calibri"/>
              </w:rPr>
              <w:t>CPD</w:t>
            </w:r>
            <w:r w:rsidRPr="781E95A1">
              <w:rPr>
                <w:rFonts w:eastAsia="Calibri" w:cs="Calibri"/>
              </w:rPr>
              <w:t xml:space="preserve"> 22</w:t>
            </w:r>
          </w:p>
        </w:tc>
        <w:tc>
          <w:tcPr>
            <w:tcW w:w="3885" w:type="dxa"/>
          </w:tcPr>
          <w:p w14:paraId="46A8D1B4" w14:textId="6EC29981" w:rsidR="781E95A1" w:rsidRDefault="781E95A1" w:rsidP="00C324F3">
            <w:pPr>
              <w:pStyle w:val="ListParagraph"/>
              <w:numPr>
                <w:ilvl w:val="0"/>
                <w:numId w:val="237"/>
              </w:numPr>
              <w:rPr>
                <w:rFonts w:eastAsia="Calibri" w:cs="Calibri"/>
              </w:rPr>
            </w:pPr>
            <w:r w:rsidRPr="781E95A1">
              <w:t>Nicotine nasal spray (0.5 mg/spray) used as required up to 40 mg/day for up to 1 year</w:t>
            </w:r>
          </w:p>
          <w:p w14:paraId="280E8067" w14:textId="51526471" w:rsidR="781E95A1" w:rsidRDefault="781E95A1" w:rsidP="00C324F3">
            <w:pPr>
              <w:pStyle w:val="ListParagraph"/>
              <w:numPr>
                <w:ilvl w:val="0"/>
                <w:numId w:val="237"/>
              </w:numPr>
              <w:rPr>
                <w:rFonts w:eastAsia="Calibri" w:cs="Calibri"/>
              </w:rPr>
            </w:pPr>
            <w:r w:rsidRPr="781E95A1">
              <w:t>Placebo spray</w:t>
            </w:r>
          </w:p>
          <w:p w14:paraId="75011CBB" w14:textId="6A9ACEDB" w:rsidR="781E95A1" w:rsidRDefault="781E95A1">
            <w:r w:rsidRPr="781E95A1">
              <w:rPr>
                <w:rFonts w:eastAsia="Calibri" w:cs="Calibri"/>
              </w:rPr>
              <w:t xml:space="preserve"> </w:t>
            </w:r>
          </w:p>
          <w:p w14:paraId="2EE59AB0" w14:textId="2AC4D890" w:rsidR="781E95A1" w:rsidRDefault="781E95A1">
            <w:r w:rsidRPr="781E95A1">
              <w:rPr>
                <w:rFonts w:eastAsia="Calibri" w:cs="Calibri"/>
              </w:rPr>
              <w:t>Level of support: high (8 x 45- to 60-min group sessions over 6 weeks with clinical psychologist)</w:t>
            </w:r>
          </w:p>
        </w:tc>
        <w:tc>
          <w:tcPr>
            <w:tcW w:w="2314" w:type="dxa"/>
          </w:tcPr>
          <w:p w14:paraId="0EFA9000" w14:textId="48C89210" w:rsidR="781E95A1" w:rsidRDefault="781E95A1">
            <w:r w:rsidRPr="00C324F3">
              <w:rPr>
                <w:rFonts w:eastAsia="Calibri"/>
                <w:u w:val="single"/>
              </w:rPr>
              <w:t>Efficacy:</w:t>
            </w:r>
            <w:r w:rsidRPr="781E95A1">
              <w:rPr>
                <w:rFonts w:eastAsia="Calibri" w:cs="Calibri"/>
              </w:rPr>
              <w:t xml:space="preserve"> Sustained abstinence at 12 months Validation: CO &lt; 10 ppm</w:t>
            </w:r>
          </w:p>
          <w:p w14:paraId="0C46ECF3" w14:textId="2EF414E3" w:rsidR="781E95A1" w:rsidRDefault="781E95A1">
            <w:r w:rsidRPr="781E95A1">
              <w:rPr>
                <w:rFonts w:eastAsia="Calibri" w:cs="Calibri"/>
              </w:rPr>
              <w:t xml:space="preserve"> </w:t>
            </w:r>
          </w:p>
          <w:p w14:paraId="174A7468" w14:textId="77CFFF7A" w:rsidR="781E95A1" w:rsidRDefault="781E95A1">
            <w:r w:rsidRPr="00C324F3">
              <w:rPr>
                <w:rFonts w:eastAsia="Calibri"/>
                <w:u w:val="single"/>
              </w:rPr>
              <w:t>Safety:</w:t>
            </w:r>
            <w:r w:rsidRPr="781E95A1">
              <w:rPr>
                <w:rFonts w:eastAsia="Calibri" w:cs="Calibri"/>
              </w:rPr>
              <w:t xml:space="preserve"> NR</w:t>
            </w:r>
          </w:p>
        </w:tc>
      </w:tr>
      <w:tr w:rsidR="781E95A1" w14:paraId="5D0B39AB" w14:textId="77777777" w:rsidTr="2029C57F">
        <w:tc>
          <w:tcPr>
            <w:tcW w:w="1395" w:type="dxa"/>
          </w:tcPr>
          <w:p w14:paraId="285467AE" w14:textId="4773B35B" w:rsidR="781E95A1" w:rsidRDefault="781E95A1">
            <w:r w:rsidRPr="781E95A1">
              <w:rPr>
                <w:rFonts w:eastAsia="Calibri" w:cs="Calibri"/>
              </w:rPr>
              <w:t xml:space="preserve">Schneider </w:t>
            </w:r>
            <w:r w:rsidR="0043701D">
              <w:rPr>
                <w:rFonts w:eastAsia="Calibri" w:cs="Calibri"/>
              </w:rPr>
              <w:t>(</w:t>
            </w:r>
            <w:r w:rsidRPr="781E95A1">
              <w:rPr>
                <w:rFonts w:eastAsia="Calibri" w:cs="Calibri"/>
              </w:rPr>
              <w:t>1995</w:t>
            </w:r>
            <w:r w:rsidR="0043701D">
              <w:rPr>
                <w:rFonts w:eastAsia="Calibri" w:cs="Calibri"/>
              </w:rPr>
              <w:t>)</w:t>
            </w:r>
          </w:p>
        </w:tc>
        <w:tc>
          <w:tcPr>
            <w:tcW w:w="870" w:type="dxa"/>
          </w:tcPr>
          <w:p w14:paraId="3E209B4B" w14:textId="3166C7E8" w:rsidR="781E95A1" w:rsidRDefault="781E95A1">
            <w:r w:rsidRPr="781E95A1">
              <w:rPr>
                <w:rFonts w:eastAsia="Calibri" w:cs="Calibri"/>
              </w:rPr>
              <w:t>RCT</w:t>
            </w:r>
          </w:p>
        </w:tc>
        <w:tc>
          <w:tcPr>
            <w:tcW w:w="1140" w:type="dxa"/>
          </w:tcPr>
          <w:p w14:paraId="053D545C" w14:textId="5588F1F5" w:rsidR="781E95A1" w:rsidRDefault="781E95A1">
            <w:r w:rsidRPr="781E95A1">
              <w:rPr>
                <w:rFonts w:eastAsia="Calibri" w:cs="Calibri"/>
              </w:rPr>
              <w:t>USA</w:t>
            </w:r>
          </w:p>
        </w:tc>
        <w:tc>
          <w:tcPr>
            <w:tcW w:w="900" w:type="dxa"/>
          </w:tcPr>
          <w:p w14:paraId="3D19C4A2" w14:textId="5A273366" w:rsidR="781E95A1" w:rsidRDefault="781E95A1">
            <w:r w:rsidRPr="781E95A1">
              <w:rPr>
                <w:rFonts w:eastAsia="Calibri" w:cs="Calibri"/>
              </w:rPr>
              <w:t>255</w:t>
            </w:r>
          </w:p>
        </w:tc>
        <w:tc>
          <w:tcPr>
            <w:tcW w:w="3585" w:type="dxa"/>
          </w:tcPr>
          <w:p w14:paraId="535AF4D3" w14:textId="3D0BEF76" w:rsidR="781E95A1" w:rsidRDefault="781E95A1">
            <w:r w:rsidRPr="781E95A1">
              <w:rPr>
                <w:rFonts w:eastAsia="Calibri" w:cs="Calibri"/>
              </w:rPr>
              <w:t xml:space="preserve">Adults with no serious illness, motivated to quit, smoking &gt; 15 </w:t>
            </w:r>
            <w:r w:rsidR="0043701D">
              <w:rPr>
                <w:rFonts w:eastAsia="Calibri" w:cs="Calibri"/>
              </w:rPr>
              <w:t>CPD</w:t>
            </w:r>
            <w:r w:rsidRPr="781E95A1">
              <w:rPr>
                <w:rFonts w:eastAsia="Calibri" w:cs="Calibri"/>
              </w:rPr>
              <w:t xml:space="preserve"> for &gt; 2 years with baseline CO level &gt; 20 ppm average </w:t>
            </w:r>
            <w:r w:rsidR="0043701D">
              <w:rPr>
                <w:rFonts w:eastAsia="Calibri" w:cs="Calibri"/>
              </w:rPr>
              <w:t>CPD</w:t>
            </w:r>
            <w:r w:rsidRPr="781E95A1">
              <w:rPr>
                <w:rFonts w:eastAsia="Calibri" w:cs="Calibri"/>
              </w:rPr>
              <w:t xml:space="preserve"> 28 to 29</w:t>
            </w:r>
          </w:p>
        </w:tc>
        <w:tc>
          <w:tcPr>
            <w:tcW w:w="3885" w:type="dxa"/>
          </w:tcPr>
          <w:p w14:paraId="542EDD09" w14:textId="429117E9" w:rsidR="781E95A1" w:rsidRDefault="781E95A1" w:rsidP="00C324F3">
            <w:pPr>
              <w:pStyle w:val="ListParagraph"/>
              <w:numPr>
                <w:ilvl w:val="0"/>
                <w:numId w:val="236"/>
              </w:numPr>
              <w:rPr>
                <w:rFonts w:eastAsia="Calibri" w:cs="Calibri"/>
              </w:rPr>
            </w:pPr>
            <w:r w:rsidRPr="781E95A1">
              <w:t>Nicotine nasal spray</w:t>
            </w:r>
          </w:p>
          <w:p w14:paraId="5E4CF181" w14:textId="0F3F84D9" w:rsidR="781E95A1" w:rsidRDefault="781E95A1" w:rsidP="00C324F3">
            <w:pPr>
              <w:pStyle w:val="ListParagraph"/>
              <w:numPr>
                <w:ilvl w:val="0"/>
                <w:numId w:val="236"/>
              </w:numPr>
              <w:rPr>
                <w:rFonts w:eastAsia="Calibri" w:cs="Calibri"/>
              </w:rPr>
            </w:pPr>
            <w:r w:rsidRPr="781E95A1">
              <w:t>Placebo spray Nicotine dosage: 0.5 mg of nicotine per spray. No fewer than 8 and no more than 32 doses/day for 6 weeks, with free use for further 6 months</w:t>
            </w:r>
          </w:p>
          <w:p w14:paraId="1E7511DC" w14:textId="661CF7DC" w:rsidR="781E95A1" w:rsidRDefault="781E95A1">
            <w:r w:rsidRPr="781E95A1">
              <w:rPr>
                <w:rFonts w:eastAsia="Calibri" w:cs="Calibri"/>
              </w:rPr>
              <w:t xml:space="preserve"> </w:t>
            </w:r>
          </w:p>
          <w:p w14:paraId="0F08D4AB" w14:textId="7701107A" w:rsidR="781E95A1" w:rsidRDefault="781E95A1">
            <w:r w:rsidRPr="781E95A1">
              <w:rPr>
                <w:rFonts w:eastAsia="Calibri" w:cs="Calibri"/>
              </w:rPr>
              <w:lastRenderedPageBreak/>
              <w:t>Level of support: high (repeated clinic visits for assessment)</w:t>
            </w:r>
          </w:p>
        </w:tc>
        <w:tc>
          <w:tcPr>
            <w:tcW w:w="2314" w:type="dxa"/>
          </w:tcPr>
          <w:p w14:paraId="16337FE1" w14:textId="5E6DB099" w:rsidR="781E95A1" w:rsidRDefault="781E95A1">
            <w:r w:rsidRPr="00C324F3">
              <w:rPr>
                <w:rFonts w:eastAsia="Calibri"/>
                <w:u w:val="single"/>
              </w:rPr>
              <w:lastRenderedPageBreak/>
              <w:t>Efficacy:</w:t>
            </w:r>
            <w:r w:rsidRPr="781E95A1">
              <w:rPr>
                <w:rFonts w:eastAsia="Calibri" w:cs="Calibri"/>
              </w:rPr>
              <w:t xml:space="preserve"> Sustained abstinence at 12 months Validation: CO &lt; 8 ppm.</w:t>
            </w:r>
          </w:p>
          <w:p w14:paraId="2355ADCC" w14:textId="79C0FA98" w:rsidR="781E95A1" w:rsidRDefault="781E95A1">
            <w:r w:rsidRPr="781E95A1">
              <w:rPr>
                <w:rFonts w:eastAsia="Calibri" w:cs="Calibri"/>
              </w:rPr>
              <w:t xml:space="preserve"> </w:t>
            </w:r>
          </w:p>
          <w:p w14:paraId="72C2D859" w14:textId="2181ECC3" w:rsidR="781E95A1" w:rsidRDefault="781E95A1">
            <w:r w:rsidRPr="00C324F3">
              <w:rPr>
                <w:rFonts w:eastAsia="Calibri"/>
                <w:u w:val="single"/>
              </w:rPr>
              <w:t>Safety:</w:t>
            </w:r>
            <w:r w:rsidRPr="781E95A1">
              <w:rPr>
                <w:rFonts w:eastAsia="Calibri" w:cs="Calibri"/>
              </w:rPr>
              <w:t xml:space="preserve"> NR</w:t>
            </w:r>
          </w:p>
        </w:tc>
      </w:tr>
      <w:tr w:rsidR="781E95A1" w14:paraId="7B7B849E" w14:textId="77777777" w:rsidTr="2029C57F">
        <w:tc>
          <w:tcPr>
            <w:tcW w:w="1395" w:type="dxa"/>
          </w:tcPr>
          <w:p w14:paraId="3C1D5284" w14:textId="71EA7A9B" w:rsidR="781E95A1" w:rsidRDefault="781E95A1">
            <w:r w:rsidRPr="781E95A1">
              <w:rPr>
                <w:rFonts w:eastAsia="Calibri" w:cs="Calibri"/>
              </w:rPr>
              <w:t xml:space="preserve">Sutherland </w:t>
            </w:r>
            <w:r w:rsidR="0043701D">
              <w:rPr>
                <w:rFonts w:eastAsia="Calibri" w:cs="Calibri"/>
              </w:rPr>
              <w:t>(</w:t>
            </w:r>
            <w:r w:rsidRPr="781E95A1">
              <w:rPr>
                <w:rFonts w:eastAsia="Calibri" w:cs="Calibri"/>
              </w:rPr>
              <w:t>1992</w:t>
            </w:r>
            <w:r w:rsidR="0043701D">
              <w:rPr>
                <w:rFonts w:eastAsia="Calibri" w:cs="Calibri"/>
              </w:rPr>
              <w:t>)</w:t>
            </w:r>
          </w:p>
        </w:tc>
        <w:tc>
          <w:tcPr>
            <w:tcW w:w="870" w:type="dxa"/>
          </w:tcPr>
          <w:p w14:paraId="094C8AFA" w14:textId="2CBB259B" w:rsidR="781E95A1" w:rsidRDefault="781E95A1">
            <w:r w:rsidRPr="781E95A1">
              <w:rPr>
                <w:rFonts w:eastAsia="Calibri" w:cs="Calibri"/>
              </w:rPr>
              <w:t>RCT</w:t>
            </w:r>
          </w:p>
        </w:tc>
        <w:tc>
          <w:tcPr>
            <w:tcW w:w="1140" w:type="dxa"/>
          </w:tcPr>
          <w:p w14:paraId="02ED894F" w14:textId="7D7A7ED4" w:rsidR="781E95A1" w:rsidRDefault="781E95A1">
            <w:r w:rsidRPr="781E95A1">
              <w:rPr>
                <w:rFonts w:eastAsia="Calibri" w:cs="Calibri"/>
              </w:rPr>
              <w:t>UK</w:t>
            </w:r>
          </w:p>
        </w:tc>
        <w:tc>
          <w:tcPr>
            <w:tcW w:w="900" w:type="dxa"/>
          </w:tcPr>
          <w:p w14:paraId="753A1F00" w14:textId="7A5B257F" w:rsidR="781E95A1" w:rsidRDefault="781E95A1">
            <w:r w:rsidRPr="781E95A1">
              <w:rPr>
                <w:rFonts w:eastAsia="Calibri" w:cs="Calibri"/>
              </w:rPr>
              <w:t>227</w:t>
            </w:r>
          </w:p>
        </w:tc>
        <w:tc>
          <w:tcPr>
            <w:tcW w:w="3585" w:type="dxa"/>
          </w:tcPr>
          <w:p w14:paraId="79A66595" w14:textId="0DEE4801" w:rsidR="781E95A1" w:rsidRDefault="781E95A1">
            <w:r w:rsidRPr="781E95A1">
              <w:rPr>
                <w:rFonts w:eastAsia="Calibri" w:cs="Calibri"/>
              </w:rPr>
              <w:t xml:space="preserve">Smokers motivated to quit. Average </w:t>
            </w:r>
            <w:r w:rsidR="0043701D">
              <w:rPr>
                <w:rFonts w:eastAsia="Calibri" w:cs="Calibri"/>
              </w:rPr>
              <w:t>CPD</w:t>
            </w:r>
            <w:r w:rsidRPr="781E95A1">
              <w:rPr>
                <w:rFonts w:eastAsia="Calibri" w:cs="Calibri"/>
              </w:rPr>
              <w:t xml:space="preserve"> 25 to 27</w:t>
            </w:r>
          </w:p>
        </w:tc>
        <w:tc>
          <w:tcPr>
            <w:tcW w:w="3885" w:type="dxa"/>
          </w:tcPr>
          <w:p w14:paraId="48E0668D" w14:textId="1B58CBA1" w:rsidR="781E95A1" w:rsidRDefault="781E95A1" w:rsidP="00C324F3">
            <w:pPr>
              <w:pStyle w:val="ListParagraph"/>
              <w:numPr>
                <w:ilvl w:val="0"/>
                <w:numId w:val="235"/>
              </w:numPr>
              <w:rPr>
                <w:rFonts w:eastAsia="Calibri" w:cs="Calibri"/>
              </w:rPr>
            </w:pPr>
            <w:r w:rsidRPr="781E95A1">
              <w:t>Nicotine nasal spray, maximum 40 mg/day</w:t>
            </w:r>
          </w:p>
          <w:p w14:paraId="13309DDE" w14:textId="29B3C0CC" w:rsidR="781E95A1" w:rsidRDefault="781E95A1" w:rsidP="00C324F3">
            <w:pPr>
              <w:pStyle w:val="ListParagraph"/>
              <w:numPr>
                <w:ilvl w:val="0"/>
                <w:numId w:val="235"/>
              </w:numPr>
              <w:rPr>
                <w:rFonts w:eastAsia="Calibri" w:cs="Calibri"/>
              </w:rPr>
            </w:pPr>
            <w:r w:rsidRPr="781E95A1">
              <w:t>Placebo spray Level of support: High (4 weeks group support)</w:t>
            </w:r>
          </w:p>
        </w:tc>
        <w:tc>
          <w:tcPr>
            <w:tcW w:w="2314" w:type="dxa"/>
          </w:tcPr>
          <w:p w14:paraId="1BAB1C4D" w14:textId="13B7240A" w:rsidR="781E95A1" w:rsidRDefault="781E95A1">
            <w:r w:rsidRPr="00C324F3">
              <w:rPr>
                <w:rFonts w:eastAsia="Calibri"/>
                <w:u w:val="single"/>
              </w:rPr>
              <w:t>Efficacy:</w:t>
            </w:r>
            <w:r w:rsidRPr="781E95A1">
              <w:rPr>
                <w:rFonts w:eastAsia="Calibri" w:cs="Calibri"/>
              </w:rPr>
              <w:t xml:space="preserve"> Sustained abstinence at 12 months Validation: CO</w:t>
            </w:r>
          </w:p>
          <w:p w14:paraId="5E1A6598" w14:textId="68193DA6" w:rsidR="781E95A1" w:rsidRDefault="781E95A1">
            <w:r w:rsidRPr="781E95A1">
              <w:rPr>
                <w:rFonts w:eastAsia="Calibri" w:cs="Calibri"/>
              </w:rPr>
              <w:t xml:space="preserve"> </w:t>
            </w:r>
          </w:p>
          <w:p w14:paraId="68C4CC41" w14:textId="40DB04EC" w:rsidR="781E95A1" w:rsidRDefault="781E95A1">
            <w:r w:rsidRPr="00C324F3">
              <w:rPr>
                <w:rFonts w:eastAsia="Calibri"/>
                <w:u w:val="single"/>
              </w:rPr>
              <w:t>Safety:</w:t>
            </w:r>
            <w:r w:rsidRPr="781E95A1">
              <w:rPr>
                <w:rFonts w:eastAsia="Calibri" w:cs="Calibri"/>
              </w:rPr>
              <w:t xml:space="preserve"> NR</w:t>
            </w:r>
          </w:p>
        </w:tc>
      </w:tr>
      <w:tr w:rsidR="1F01BDA3" w14:paraId="6E58F3B6" w14:textId="77777777" w:rsidTr="001D1C5A">
        <w:tc>
          <w:tcPr>
            <w:tcW w:w="14089" w:type="dxa"/>
            <w:gridSpan w:val="7"/>
            <w:shd w:val="clear" w:color="auto" w:fill="D9D9D9" w:themeFill="background1" w:themeFillShade="D9"/>
          </w:tcPr>
          <w:p w14:paraId="471C1A89" w14:textId="515DCCD6" w:rsidR="1F01BDA3" w:rsidRPr="001D1C5A" w:rsidRDefault="001D1C5A" w:rsidP="1F01BDA3">
            <w:pPr>
              <w:rPr>
                <w:rFonts w:eastAsia="Calibri" w:cs="Calibri"/>
                <w:b/>
              </w:rPr>
            </w:pPr>
            <w:r w:rsidRPr="001D1C5A">
              <w:rPr>
                <w:rFonts w:eastAsia="Calibri" w:cs="Calibri"/>
                <w:b/>
                <w:bCs/>
                <w:szCs w:val="24"/>
              </w:rPr>
              <w:t>Nasal spray versus patch</w:t>
            </w:r>
          </w:p>
        </w:tc>
      </w:tr>
      <w:tr w:rsidR="781E95A1" w14:paraId="724B0CA8" w14:textId="77777777" w:rsidTr="2029C57F">
        <w:tc>
          <w:tcPr>
            <w:tcW w:w="1395" w:type="dxa"/>
          </w:tcPr>
          <w:p w14:paraId="14A0607A" w14:textId="6A8195CD" w:rsidR="781E95A1" w:rsidRDefault="781E95A1">
            <w:r w:rsidRPr="781E95A1">
              <w:rPr>
                <w:rFonts w:eastAsia="Calibri" w:cs="Calibri"/>
              </w:rPr>
              <w:t xml:space="preserve">Croghan </w:t>
            </w:r>
            <w:r w:rsidR="0043701D">
              <w:rPr>
                <w:rFonts w:eastAsia="Calibri" w:cs="Calibri"/>
              </w:rPr>
              <w:t>(</w:t>
            </w:r>
            <w:r w:rsidRPr="781E95A1">
              <w:rPr>
                <w:rFonts w:eastAsia="Calibri" w:cs="Calibri"/>
              </w:rPr>
              <w:t>2003</w:t>
            </w:r>
            <w:r w:rsidR="0043701D">
              <w:rPr>
                <w:rFonts w:eastAsia="Calibri" w:cs="Calibri"/>
              </w:rPr>
              <w:t>)</w:t>
            </w:r>
          </w:p>
        </w:tc>
        <w:tc>
          <w:tcPr>
            <w:tcW w:w="870" w:type="dxa"/>
          </w:tcPr>
          <w:p w14:paraId="61D6B28F" w14:textId="6E3A886D" w:rsidR="781E95A1" w:rsidRDefault="781E95A1">
            <w:r w:rsidRPr="781E95A1">
              <w:rPr>
                <w:rFonts w:eastAsia="Calibri" w:cs="Calibri"/>
              </w:rPr>
              <w:t>RCT</w:t>
            </w:r>
          </w:p>
        </w:tc>
        <w:tc>
          <w:tcPr>
            <w:tcW w:w="1140" w:type="dxa"/>
          </w:tcPr>
          <w:p w14:paraId="71F10500" w14:textId="44B611F6" w:rsidR="781E95A1" w:rsidRDefault="781E95A1">
            <w:r w:rsidRPr="781E95A1">
              <w:rPr>
                <w:rFonts w:eastAsia="Calibri" w:cs="Calibri"/>
              </w:rPr>
              <w:t>USA</w:t>
            </w:r>
          </w:p>
        </w:tc>
        <w:tc>
          <w:tcPr>
            <w:tcW w:w="900" w:type="dxa"/>
          </w:tcPr>
          <w:p w14:paraId="283FA8CB" w14:textId="4AFAD189" w:rsidR="781E95A1" w:rsidRDefault="781E95A1">
            <w:r w:rsidRPr="781E95A1">
              <w:rPr>
                <w:rFonts w:eastAsia="Calibri" w:cs="Calibri"/>
              </w:rPr>
              <w:t>1384</w:t>
            </w:r>
          </w:p>
        </w:tc>
        <w:tc>
          <w:tcPr>
            <w:tcW w:w="3585" w:type="dxa"/>
          </w:tcPr>
          <w:p w14:paraId="4E6B08DA" w14:textId="024308D0" w:rsidR="781E95A1" w:rsidRDefault="781E95A1">
            <w:r w:rsidRPr="781E95A1">
              <w:rPr>
                <w:rFonts w:eastAsia="Calibri" w:cs="Calibri"/>
              </w:rPr>
              <w:t xml:space="preserve">Smokers (≥ 15 </w:t>
            </w:r>
            <w:r w:rsidR="0043701D">
              <w:rPr>
                <w:rFonts w:eastAsia="Calibri" w:cs="Calibri"/>
              </w:rPr>
              <w:t>CPD</w:t>
            </w:r>
            <w:r w:rsidRPr="781E95A1">
              <w:rPr>
                <w:rFonts w:eastAsia="Calibri" w:cs="Calibri"/>
              </w:rPr>
              <w:t>) 42% men, av</w:t>
            </w:r>
            <w:r w:rsidR="0043701D">
              <w:rPr>
                <w:rFonts w:eastAsia="Calibri" w:cs="Calibri"/>
              </w:rPr>
              <w:t>erage</w:t>
            </w:r>
            <w:r w:rsidRPr="781E95A1">
              <w:rPr>
                <w:rFonts w:eastAsia="Calibri" w:cs="Calibri"/>
              </w:rPr>
              <w:t xml:space="preserve"> age 42, av</w:t>
            </w:r>
            <w:r w:rsidR="0043701D">
              <w:rPr>
                <w:rFonts w:eastAsia="Calibri" w:cs="Calibri"/>
              </w:rPr>
              <w:t>erage</w:t>
            </w:r>
            <w:r w:rsidRPr="781E95A1">
              <w:rPr>
                <w:rFonts w:eastAsia="Calibri" w:cs="Calibri"/>
              </w:rPr>
              <w:t xml:space="preserve"> </w:t>
            </w:r>
            <w:r w:rsidR="0043701D">
              <w:rPr>
                <w:rFonts w:eastAsia="Calibri" w:cs="Calibri"/>
              </w:rPr>
              <w:t>CPD</w:t>
            </w:r>
            <w:r w:rsidRPr="781E95A1">
              <w:rPr>
                <w:rFonts w:eastAsia="Calibri" w:cs="Calibri"/>
              </w:rPr>
              <w:t xml:space="preserve"> 26</w:t>
            </w:r>
          </w:p>
        </w:tc>
        <w:tc>
          <w:tcPr>
            <w:tcW w:w="3885" w:type="dxa"/>
          </w:tcPr>
          <w:p w14:paraId="2DAD9B14" w14:textId="2532F4DA" w:rsidR="781E95A1" w:rsidRDefault="781E95A1" w:rsidP="00C324F3">
            <w:pPr>
              <w:pStyle w:val="ListParagraph"/>
              <w:numPr>
                <w:ilvl w:val="0"/>
                <w:numId w:val="234"/>
              </w:numPr>
              <w:rPr>
                <w:rFonts w:eastAsia="Calibri" w:cs="Calibri"/>
              </w:rPr>
            </w:pPr>
            <w:r w:rsidRPr="781E95A1">
              <w:t>15 mg/16-hour nicotine patch plus 0.5 mg/dose nasal spray, max 5/hr, 40/day, for 6 weeks</w:t>
            </w:r>
          </w:p>
          <w:p w14:paraId="300625C3" w14:textId="096DCF9C" w:rsidR="781E95A1" w:rsidRDefault="781E95A1" w:rsidP="00C324F3">
            <w:pPr>
              <w:pStyle w:val="ListParagraph"/>
              <w:numPr>
                <w:ilvl w:val="0"/>
                <w:numId w:val="234"/>
              </w:numPr>
              <w:rPr>
                <w:rFonts w:eastAsia="Calibri" w:cs="Calibri"/>
              </w:rPr>
            </w:pPr>
            <w:r w:rsidRPr="781E95A1">
              <w:t>Nicotine nasal spray only</w:t>
            </w:r>
          </w:p>
          <w:p w14:paraId="4D974F2D" w14:textId="0EFEE9F5" w:rsidR="781E95A1" w:rsidRDefault="781E95A1" w:rsidP="00C324F3">
            <w:pPr>
              <w:pStyle w:val="ListParagraph"/>
              <w:numPr>
                <w:ilvl w:val="0"/>
                <w:numId w:val="234"/>
              </w:numPr>
              <w:rPr>
                <w:rFonts w:eastAsia="Calibri" w:cs="Calibri"/>
              </w:rPr>
            </w:pPr>
            <w:r w:rsidRPr="781E95A1">
              <w:t>Nicotine patch only</w:t>
            </w:r>
          </w:p>
        </w:tc>
        <w:tc>
          <w:tcPr>
            <w:tcW w:w="2314" w:type="dxa"/>
          </w:tcPr>
          <w:p w14:paraId="07BF3A83" w14:textId="60B5BE6B" w:rsidR="781E95A1" w:rsidRDefault="781E95A1">
            <w:r w:rsidRPr="00C324F3">
              <w:rPr>
                <w:rFonts w:eastAsia="Calibri"/>
                <w:u w:val="single"/>
              </w:rPr>
              <w:t>Efficacy:</w:t>
            </w:r>
            <w:r w:rsidRPr="781E95A1">
              <w:rPr>
                <w:rFonts w:eastAsia="Calibri" w:cs="Calibri"/>
              </w:rPr>
              <w:t xml:space="preserve"> PPA at 6 m</w:t>
            </w:r>
            <w:r w:rsidR="0043701D">
              <w:rPr>
                <w:rFonts w:eastAsia="Calibri" w:cs="Calibri"/>
              </w:rPr>
              <w:t>onths</w:t>
            </w:r>
            <w:r w:rsidRPr="781E95A1">
              <w:rPr>
                <w:rFonts w:eastAsia="Calibri" w:cs="Calibri"/>
              </w:rPr>
              <w:t xml:space="preserve"> Validation: CO</w:t>
            </w:r>
          </w:p>
          <w:p w14:paraId="34CB8780" w14:textId="37570B2E" w:rsidR="781E95A1" w:rsidRDefault="781E95A1">
            <w:r w:rsidRPr="00C324F3">
              <w:rPr>
                <w:rFonts w:eastAsia="Calibri"/>
                <w:u w:val="single"/>
              </w:rPr>
              <w:t>Safety:</w:t>
            </w:r>
            <w:r w:rsidRPr="781E95A1">
              <w:rPr>
                <w:rFonts w:eastAsia="Calibri" w:cs="Calibri"/>
              </w:rPr>
              <w:t xml:space="preserve"> Adverse events measured to 6 months (treatment duration was 6 weeks)</w:t>
            </w:r>
          </w:p>
        </w:tc>
      </w:tr>
      <w:tr w:rsidR="781E95A1" w14:paraId="42B97997" w14:textId="77777777" w:rsidTr="2029C57F">
        <w:tc>
          <w:tcPr>
            <w:tcW w:w="1395" w:type="dxa"/>
          </w:tcPr>
          <w:p w14:paraId="61B5B861" w14:textId="6A7411E9" w:rsidR="781E95A1" w:rsidRDefault="781E95A1">
            <w:r w:rsidRPr="781E95A1">
              <w:rPr>
                <w:rFonts w:eastAsia="Calibri" w:cs="Calibri"/>
              </w:rPr>
              <w:t xml:space="preserve">Lerman </w:t>
            </w:r>
            <w:r w:rsidR="0043701D">
              <w:rPr>
                <w:rFonts w:eastAsia="Calibri" w:cs="Calibri"/>
              </w:rPr>
              <w:t>(</w:t>
            </w:r>
            <w:r w:rsidRPr="781E95A1">
              <w:rPr>
                <w:rFonts w:eastAsia="Calibri" w:cs="Calibri"/>
              </w:rPr>
              <w:t>2004</w:t>
            </w:r>
            <w:r w:rsidR="0043701D">
              <w:rPr>
                <w:rFonts w:eastAsia="Calibri" w:cs="Calibri"/>
              </w:rPr>
              <w:t>)</w:t>
            </w:r>
          </w:p>
        </w:tc>
        <w:tc>
          <w:tcPr>
            <w:tcW w:w="870" w:type="dxa"/>
          </w:tcPr>
          <w:p w14:paraId="74E41E76" w14:textId="5DC63FB4" w:rsidR="781E95A1" w:rsidRDefault="781E95A1">
            <w:r w:rsidRPr="781E95A1">
              <w:rPr>
                <w:rFonts w:eastAsia="Calibri" w:cs="Calibri"/>
              </w:rPr>
              <w:t>RCT</w:t>
            </w:r>
          </w:p>
        </w:tc>
        <w:tc>
          <w:tcPr>
            <w:tcW w:w="1140" w:type="dxa"/>
          </w:tcPr>
          <w:p w14:paraId="606B5804" w14:textId="29E7DAC2" w:rsidR="781E95A1" w:rsidRDefault="781E95A1">
            <w:r w:rsidRPr="781E95A1">
              <w:rPr>
                <w:rFonts w:eastAsia="Calibri" w:cs="Calibri"/>
              </w:rPr>
              <w:t>USA</w:t>
            </w:r>
          </w:p>
        </w:tc>
        <w:tc>
          <w:tcPr>
            <w:tcW w:w="900" w:type="dxa"/>
          </w:tcPr>
          <w:p w14:paraId="23A8A940" w14:textId="5C3C032F" w:rsidR="781E95A1" w:rsidRDefault="781E95A1">
            <w:r w:rsidRPr="781E95A1">
              <w:rPr>
                <w:rFonts w:eastAsia="Calibri" w:cs="Calibri"/>
              </w:rPr>
              <w:t>350</w:t>
            </w:r>
          </w:p>
        </w:tc>
        <w:tc>
          <w:tcPr>
            <w:tcW w:w="3585" w:type="dxa"/>
          </w:tcPr>
          <w:p w14:paraId="44E77B45" w14:textId="4AA25FC6" w:rsidR="781E95A1" w:rsidRDefault="781E95A1">
            <w:r w:rsidRPr="781E95A1">
              <w:rPr>
                <w:rFonts w:eastAsia="Calibri" w:cs="Calibri"/>
              </w:rPr>
              <w:t>Smokers (≥ 10 cpd) (includes 51 who withdrew before treatment) 46% men, av</w:t>
            </w:r>
            <w:r w:rsidR="0043701D">
              <w:rPr>
                <w:rFonts w:eastAsia="Calibri" w:cs="Calibri"/>
              </w:rPr>
              <w:t>erage</w:t>
            </w:r>
            <w:r w:rsidRPr="781E95A1">
              <w:rPr>
                <w:rFonts w:eastAsia="Calibri" w:cs="Calibri"/>
              </w:rPr>
              <w:t xml:space="preserve"> age 46, av</w:t>
            </w:r>
            <w:r w:rsidR="0043701D">
              <w:rPr>
                <w:rFonts w:eastAsia="Calibri" w:cs="Calibri"/>
              </w:rPr>
              <w:t>erage CPD</w:t>
            </w:r>
            <w:r w:rsidRPr="781E95A1">
              <w:rPr>
                <w:rFonts w:eastAsia="Calibri" w:cs="Calibri"/>
              </w:rPr>
              <w:t xml:space="preserve"> 21</w:t>
            </w:r>
          </w:p>
        </w:tc>
        <w:tc>
          <w:tcPr>
            <w:tcW w:w="3885" w:type="dxa"/>
          </w:tcPr>
          <w:p w14:paraId="7CD70C50" w14:textId="65CA2EEE" w:rsidR="781E95A1" w:rsidRDefault="781E95A1" w:rsidP="00C324F3">
            <w:pPr>
              <w:pStyle w:val="ListParagraph"/>
              <w:numPr>
                <w:ilvl w:val="0"/>
                <w:numId w:val="233"/>
              </w:numPr>
              <w:rPr>
                <w:rFonts w:eastAsia="Calibri" w:cs="Calibri"/>
              </w:rPr>
            </w:pPr>
            <w:r w:rsidRPr="781E95A1">
              <w:t>Nicotine patch (21 mg/24-hour) for 8 weeks incl tapering.</w:t>
            </w:r>
          </w:p>
          <w:p w14:paraId="51F6719C" w14:textId="5CC18BFE" w:rsidR="781E95A1" w:rsidRDefault="781E95A1" w:rsidP="00C324F3">
            <w:pPr>
              <w:pStyle w:val="ListParagraph"/>
              <w:numPr>
                <w:ilvl w:val="0"/>
                <w:numId w:val="233"/>
              </w:numPr>
              <w:rPr>
                <w:rFonts w:eastAsia="Calibri" w:cs="Calibri"/>
              </w:rPr>
            </w:pPr>
            <w:r w:rsidRPr="781E95A1">
              <w:t>Nicotine nasal spray (8 - 40 doses/day, max 5/hour) for 8 weeks, tapering over final 4 weeks</w:t>
            </w:r>
          </w:p>
        </w:tc>
        <w:tc>
          <w:tcPr>
            <w:tcW w:w="2314" w:type="dxa"/>
          </w:tcPr>
          <w:p w14:paraId="7530E80E" w14:textId="524110DC" w:rsidR="781E95A1" w:rsidRDefault="781E95A1">
            <w:r w:rsidRPr="00C324F3">
              <w:rPr>
                <w:rFonts w:eastAsia="Calibri"/>
                <w:u w:val="single"/>
              </w:rPr>
              <w:t>Efficacy:</w:t>
            </w:r>
            <w:r w:rsidRPr="781E95A1">
              <w:rPr>
                <w:rFonts w:eastAsia="Calibri" w:cs="Calibri"/>
              </w:rPr>
              <w:t xml:space="preserve"> PPA at 6 m</w:t>
            </w:r>
            <w:r w:rsidR="0043701D">
              <w:rPr>
                <w:rFonts w:eastAsia="Calibri" w:cs="Calibri"/>
              </w:rPr>
              <w:t>onths</w:t>
            </w:r>
            <w:r w:rsidRPr="781E95A1">
              <w:rPr>
                <w:rFonts w:eastAsia="Calibri" w:cs="Calibri"/>
              </w:rPr>
              <w:t xml:space="preserve"> (Continuous no slips and prolonged lapse-free unvalidated outcomes also reported) Validation: CO &lt; 10 ppm</w:t>
            </w:r>
          </w:p>
          <w:p w14:paraId="5A0186B0" w14:textId="058EEF48" w:rsidR="781E95A1" w:rsidRDefault="781E95A1">
            <w:r w:rsidRPr="781E95A1">
              <w:rPr>
                <w:rFonts w:eastAsia="Calibri" w:cs="Calibri"/>
              </w:rPr>
              <w:t xml:space="preserve"> </w:t>
            </w:r>
          </w:p>
          <w:p w14:paraId="24AE48F9" w14:textId="09CB1D77" w:rsidR="781E95A1" w:rsidRDefault="781E95A1">
            <w:r w:rsidRPr="00C324F3">
              <w:rPr>
                <w:rFonts w:eastAsia="Calibri"/>
                <w:u w:val="single"/>
              </w:rPr>
              <w:t>Safety:</w:t>
            </w:r>
            <w:r w:rsidRPr="781E95A1">
              <w:rPr>
                <w:rFonts w:eastAsia="Calibri" w:cs="Calibri"/>
              </w:rPr>
              <w:t xml:space="preserve"> Adverse events – measured during counselling sessions during treatment (8 weeks)</w:t>
            </w:r>
          </w:p>
        </w:tc>
      </w:tr>
      <w:tr w:rsidR="1F01BDA3" w14:paraId="7843B7B8" w14:textId="77777777" w:rsidTr="001D1C5A">
        <w:tc>
          <w:tcPr>
            <w:tcW w:w="14089" w:type="dxa"/>
            <w:gridSpan w:val="7"/>
            <w:shd w:val="clear" w:color="auto" w:fill="D9D9D9" w:themeFill="background1" w:themeFillShade="D9"/>
          </w:tcPr>
          <w:p w14:paraId="7039FDBA" w14:textId="1D5363A6" w:rsidR="1F01BDA3" w:rsidRPr="001D1C5A" w:rsidRDefault="001D1C5A" w:rsidP="1F01BDA3">
            <w:pPr>
              <w:rPr>
                <w:rFonts w:eastAsia="Calibri" w:cs="Calibri"/>
                <w:b/>
              </w:rPr>
            </w:pPr>
            <w:r w:rsidRPr="001D1C5A">
              <w:rPr>
                <w:rFonts w:eastAsia="Calibri" w:cs="Calibri"/>
                <w:b/>
                <w:bCs/>
                <w:szCs w:val="24"/>
              </w:rPr>
              <w:t>Oral spray versus placebo</w:t>
            </w:r>
          </w:p>
        </w:tc>
      </w:tr>
      <w:tr w:rsidR="781E95A1" w14:paraId="1242A046" w14:textId="77777777" w:rsidTr="2029C57F">
        <w:tc>
          <w:tcPr>
            <w:tcW w:w="1395" w:type="dxa"/>
          </w:tcPr>
          <w:p w14:paraId="06803932" w14:textId="08960455" w:rsidR="781E95A1" w:rsidRDefault="781E95A1">
            <w:r w:rsidRPr="781E95A1">
              <w:rPr>
                <w:rFonts w:eastAsia="Calibri" w:cs="Calibri"/>
              </w:rPr>
              <w:t xml:space="preserve">Tønnesen </w:t>
            </w:r>
            <w:r w:rsidR="0043701D">
              <w:rPr>
                <w:rFonts w:eastAsia="Calibri" w:cs="Calibri"/>
              </w:rPr>
              <w:t>(</w:t>
            </w:r>
            <w:r w:rsidRPr="781E95A1">
              <w:rPr>
                <w:rFonts w:eastAsia="Calibri" w:cs="Calibri"/>
              </w:rPr>
              <w:t>2012</w:t>
            </w:r>
            <w:r w:rsidR="0043701D">
              <w:rPr>
                <w:rFonts w:eastAsia="Calibri" w:cs="Calibri"/>
              </w:rPr>
              <w:t>)</w:t>
            </w:r>
          </w:p>
        </w:tc>
        <w:tc>
          <w:tcPr>
            <w:tcW w:w="870" w:type="dxa"/>
          </w:tcPr>
          <w:p w14:paraId="43BA62B5" w14:textId="180D3542" w:rsidR="781E95A1" w:rsidRDefault="781E95A1">
            <w:r w:rsidRPr="781E95A1">
              <w:rPr>
                <w:rFonts w:eastAsia="Calibri" w:cs="Calibri"/>
              </w:rPr>
              <w:t>RCT</w:t>
            </w:r>
          </w:p>
        </w:tc>
        <w:tc>
          <w:tcPr>
            <w:tcW w:w="1140" w:type="dxa"/>
          </w:tcPr>
          <w:p w14:paraId="043B784C" w14:textId="003EAC40" w:rsidR="781E95A1" w:rsidRDefault="781E95A1">
            <w:r w:rsidRPr="781E95A1">
              <w:rPr>
                <w:rFonts w:eastAsia="Calibri" w:cs="Calibri"/>
              </w:rPr>
              <w:t>Germany (2 sites) and Denmark (1 site)</w:t>
            </w:r>
          </w:p>
        </w:tc>
        <w:tc>
          <w:tcPr>
            <w:tcW w:w="900" w:type="dxa"/>
          </w:tcPr>
          <w:p w14:paraId="47EE30C4" w14:textId="42E11388" w:rsidR="781E95A1" w:rsidRDefault="781E95A1">
            <w:r w:rsidRPr="781E95A1">
              <w:rPr>
                <w:rFonts w:eastAsia="Calibri" w:cs="Calibri"/>
              </w:rPr>
              <w:t>479</w:t>
            </w:r>
          </w:p>
        </w:tc>
        <w:tc>
          <w:tcPr>
            <w:tcW w:w="3585" w:type="dxa"/>
          </w:tcPr>
          <w:p w14:paraId="202CC35B" w14:textId="2530B146" w:rsidR="781E95A1" w:rsidRDefault="781E95A1">
            <w:r w:rsidRPr="781E95A1">
              <w:rPr>
                <w:rFonts w:eastAsia="Calibri" w:cs="Calibri"/>
              </w:rPr>
              <w:t xml:space="preserve">Adult smokers of ≥ 1 cpd, motivated to quit 56% male, average age 47, average </w:t>
            </w:r>
            <w:r w:rsidR="0043701D">
              <w:rPr>
                <w:rFonts w:eastAsia="Calibri" w:cs="Calibri"/>
              </w:rPr>
              <w:t>CPD</w:t>
            </w:r>
            <w:r w:rsidRPr="781E95A1">
              <w:rPr>
                <w:rFonts w:eastAsia="Calibri" w:cs="Calibri"/>
              </w:rPr>
              <w:t xml:space="preserve"> 22.7, average FTND 5.3</w:t>
            </w:r>
          </w:p>
        </w:tc>
        <w:tc>
          <w:tcPr>
            <w:tcW w:w="3885" w:type="dxa"/>
          </w:tcPr>
          <w:p w14:paraId="4F574162" w14:textId="4D6606AA" w:rsidR="781E95A1" w:rsidRDefault="781E95A1" w:rsidP="00C324F3">
            <w:pPr>
              <w:pStyle w:val="ListParagraph"/>
              <w:numPr>
                <w:ilvl w:val="0"/>
                <w:numId w:val="232"/>
              </w:numPr>
              <w:rPr>
                <w:rFonts w:eastAsia="Calibri" w:cs="Calibri"/>
              </w:rPr>
            </w:pPr>
            <w:r w:rsidRPr="781E95A1">
              <w:t xml:space="preserve">Active: weeks 1 to 6: 1 to 2 sprays when participants would normally have smoked a cigarette or experienced a craving, up to 4 sprays/hour and 64 sprays/day. Tapered down weeks 7 to 12 (end of week 9 instructed to be using half as much as in weeks 1 to 6, reducing to max 4 sprays/day by week 12). Occasional use (max 4 sprays/day) </w:t>
            </w:r>
            <w:r w:rsidRPr="781E95A1">
              <w:lastRenderedPageBreak/>
              <w:t>permitted weeks 13 to 24. 1 mg/spray oral nicotine spray (in development, name not provided)</w:t>
            </w:r>
          </w:p>
          <w:p w14:paraId="3C6BF099" w14:textId="4E0C06C5" w:rsidR="781E95A1" w:rsidRDefault="781E95A1" w:rsidP="00C324F3">
            <w:pPr>
              <w:pStyle w:val="ListParagraph"/>
              <w:numPr>
                <w:ilvl w:val="0"/>
                <w:numId w:val="232"/>
              </w:numPr>
              <w:rPr>
                <w:rFonts w:eastAsia="Calibri" w:cs="Calibri"/>
              </w:rPr>
            </w:pPr>
            <w:r w:rsidRPr="781E95A1">
              <w:t>Control: placebo on same schedule</w:t>
            </w:r>
          </w:p>
          <w:p w14:paraId="2CDCDD56" w14:textId="615CA836" w:rsidR="781E95A1" w:rsidRDefault="781E95A1">
            <w:r w:rsidRPr="781E95A1">
              <w:rPr>
                <w:rFonts w:eastAsia="Calibri" w:cs="Calibri"/>
              </w:rPr>
              <w:t xml:space="preserve"> </w:t>
            </w:r>
          </w:p>
          <w:p w14:paraId="157AD507" w14:textId="2088DF7D" w:rsidR="781E95A1" w:rsidRDefault="781E95A1">
            <w:r w:rsidRPr="781E95A1">
              <w:rPr>
                <w:rFonts w:eastAsia="Calibri" w:cs="Calibri"/>
              </w:rPr>
              <w:t>Level of support: high. General written and oral advice (&lt; 10 mins) at study start and &lt; 3 mins at subsequent visits up to and including week 24 (9 visits total)</w:t>
            </w:r>
          </w:p>
        </w:tc>
        <w:tc>
          <w:tcPr>
            <w:tcW w:w="2314" w:type="dxa"/>
          </w:tcPr>
          <w:p w14:paraId="27170446" w14:textId="55B165AD" w:rsidR="781E95A1" w:rsidRDefault="781E95A1">
            <w:r w:rsidRPr="00C324F3">
              <w:rPr>
                <w:rFonts w:eastAsia="Calibri"/>
                <w:u w:val="single"/>
              </w:rPr>
              <w:lastRenderedPageBreak/>
              <w:t>Efficacy:</w:t>
            </w:r>
            <w:r w:rsidRPr="781E95A1">
              <w:rPr>
                <w:rFonts w:eastAsia="Calibri" w:cs="Calibri"/>
              </w:rPr>
              <w:t xml:space="preserve"> Prolonged abstinence from week 2 to 52 (also recorded AEs and prolonged abstinence to weeks 6 and 24)</w:t>
            </w:r>
          </w:p>
          <w:p w14:paraId="54F63BE4" w14:textId="38F87425" w:rsidR="781E95A1" w:rsidRDefault="781E95A1">
            <w:r w:rsidRPr="781E95A1">
              <w:rPr>
                <w:rFonts w:eastAsia="Calibri" w:cs="Calibri"/>
              </w:rPr>
              <w:t>Validation: CO &lt; 10 ppm</w:t>
            </w:r>
          </w:p>
          <w:p w14:paraId="36B5A5CB" w14:textId="438006B5" w:rsidR="781E95A1" w:rsidRDefault="781E95A1">
            <w:r w:rsidRPr="781E95A1">
              <w:rPr>
                <w:rFonts w:eastAsia="Calibri" w:cs="Calibri"/>
              </w:rPr>
              <w:t xml:space="preserve"> </w:t>
            </w:r>
          </w:p>
          <w:p w14:paraId="4F97D3E2" w14:textId="7E87A407" w:rsidR="781E95A1" w:rsidRDefault="781E95A1">
            <w:r w:rsidRPr="00C324F3">
              <w:rPr>
                <w:rFonts w:eastAsia="Calibri"/>
                <w:u w:val="single"/>
              </w:rPr>
              <w:t>Safety:</w:t>
            </w:r>
            <w:r w:rsidRPr="781E95A1">
              <w:rPr>
                <w:rFonts w:eastAsia="Calibri" w:cs="Calibri"/>
              </w:rPr>
              <w:t xml:space="preserve"> NR</w:t>
            </w:r>
          </w:p>
        </w:tc>
      </w:tr>
      <w:tr w:rsidR="6310C7B2" w14:paraId="2E3022C6" w14:textId="77777777" w:rsidTr="001D1C5A">
        <w:tc>
          <w:tcPr>
            <w:tcW w:w="14089" w:type="dxa"/>
            <w:gridSpan w:val="7"/>
            <w:shd w:val="clear" w:color="auto" w:fill="D9D9D9" w:themeFill="background1" w:themeFillShade="D9"/>
          </w:tcPr>
          <w:p w14:paraId="1340FEDA" w14:textId="32D2CAF1" w:rsidR="6310C7B2" w:rsidRPr="001D1C5A" w:rsidRDefault="001D1C5A" w:rsidP="6310C7B2">
            <w:pPr>
              <w:rPr>
                <w:rFonts w:eastAsia="Calibri" w:cs="Calibri"/>
                <w:b/>
              </w:rPr>
            </w:pPr>
            <w:r w:rsidRPr="001D1C5A">
              <w:rPr>
                <w:rFonts w:eastAsia="Calibri" w:cs="Calibri"/>
                <w:b/>
                <w:bCs/>
                <w:szCs w:val="24"/>
              </w:rPr>
              <w:t>Inhalator + patch versus placebo</w:t>
            </w:r>
          </w:p>
        </w:tc>
      </w:tr>
      <w:tr w:rsidR="781E95A1" w14:paraId="792AF753" w14:textId="77777777" w:rsidTr="2029C57F">
        <w:tc>
          <w:tcPr>
            <w:tcW w:w="1395" w:type="dxa"/>
          </w:tcPr>
          <w:p w14:paraId="12CB6138" w14:textId="35E33225" w:rsidR="781E95A1" w:rsidRDefault="781E95A1">
            <w:r w:rsidRPr="781E95A1">
              <w:rPr>
                <w:rFonts w:eastAsia="Calibri" w:cs="Calibri"/>
              </w:rPr>
              <w:t xml:space="preserve">Hand </w:t>
            </w:r>
            <w:r w:rsidR="0043701D">
              <w:rPr>
                <w:rFonts w:eastAsia="Calibri" w:cs="Calibri"/>
              </w:rPr>
              <w:t>(</w:t>
            </w:r>
            <w:r w:rsidRPr="781E95A1">
              <w:rPr>
                <w:rFonts w:eastAsia="Calibri" w:cs="Calibri"/>
              </w:rPr>
              <w:t>2002</w:t>
            </w:r>
            <w:r w:rsidR="0043701D">
              <w:rPr>
                <w:rFonts w:eastAsia="Calibri" w:cs="Calibri"/>
              </w:rPr>
              <w:t>)</w:t>
            </w:r>
          </w:p>
        </w:tc>
        <w:tc>
          <w:tcPr>
            <w:tcW w:w="870" w:type="dxa"/>
          </w:tcPr>
          <w:p w14:paraId="5207E555" w14:textId="25B76206" w:rsidR="781E95A1" w:rsidRDefault="781E95A1">
            <w:r w:rsidRPr="781E95A1">
              <w:rPr>
                <w:rFonts w:eastAsia="Calibri" w:cs="Calibri"/>
              </w:rPr>
              <w:t>RCT</w:t>
            </w:r>
          </w:p>
        </w:tc>
        <w:tc>
          <w:tcPr>
            <w:tcW w:w="1140" w:type="dxa"/>
          </w:tcPr>
          <w:p w14:paraId="5D36A8EB" w14:textId="6B37133F" w:rsidR="781E95A1" w:rsidRDefault="781E95A1">
            <w:r w:rsidRPr="781E95A1">
              <w:rPr>
                <w:rFonts w:eastAsia="Calibri" w:cs="Calibri"/>
              </w:rPr>
              <w:t>UK</w:t>
            </w:r>
          </w:p>
        </w:tc>
        <w:tc>
          <w:tcPr>
            <w:tcW w:w="900" w:type="dxa"/>
          </w:tcPr>
          <w:p w14:paraId="78AD47ED" w14:textId="7E032B1D" w:rsidR="781E95A1" w:rsidRDefault="781E95A1">
            <w:r w:rsidRPr="781E95A1">
              <w:rPr>
                <w:rFonts w:eastAsia="Calibri" w:cs="Calibri"/>
              </w:rPr>
              <w:t>245</w:t>
            </w:r>
          </w:p>
        </w:tc>
        <w:tc>
          <w:tcPr>
            <w:tcW w:w="3585" w:type="dxa"/>
          </w:tcPr>
          <w:p w14:paraId="27AEF6B9" w14:textId="580D8CBD" w:rsidR="781E95A1" w:rsidRDefault="781E95A1">
            <w:r w:rsidRPr="781E95A1">
              <w:rPr>
                <w:rFonts w:eastAsia="Calibri" w:cs="Calibri"/>
              </w:rPr>
              <w:t xml:space="preserve">Patients with smoking-related disease 46% male, typically aged 50+, smoking 15+ </w:t>
            </w:r>
            <w:r w:rsidR="0043701D">
              <w:rPr>
                <w:rFonts w:eastAsia="Calibri" w:cs="Calibri"/>
              </w:rPr>
              <w:t>CPD</w:t>
            </w:r>
            <w:r w:rsidRPr="781E95A1">
              <w:rPr>
                <w:rFonts w:eastAsia="Calibri" w:cs="Calibri"/>
              </w:rPr>
              <w:t>; participants were motivated to try and quit</w:t>
            </w:r>
          </w:p>
        </w:tc>
        <w:tc>
          <w:tcPr>
            <w:tcW w:w="3885" w:type="dxa"/>
          </w:tcPr>
          <w:p w14:paraId="7CD9DCC6" w14:textId="6B5C6658" w:rsidR="781E95A1" w:rsidRDefault="781E95A1" w:rsidP="00C324F3">
            <w:pPr>
              <w:pStyle w:val="ListParagraph"/>
              <w:numPr>
                <w:ilvl w:val="0"/>
                <w:numId w:val="231"/>
              </w:numPr>
              <w:rPr>
                <w:rFonts w:eastAsia="Calibri" w:cs="Calibri"/>
              </w:rPr>
            </w:pPr>
            <w:r w:rsidRPr="781E95A1">
              <w:t>Nicotine patch (initially 30 or 20 mg based on smoking rate) and inhaler for 3 weeks including patch tapering. Same counselling as control</w:t>
            </w:r>
          </w:p>
          <w:p w14:paraId="10D2DB2A" w14:textId="1A958D48" w:rsidR="781E95A1" w:rsidRDefault="781E95A1" w:rsidP="00C324F3">
            <w:pPr>
              <w:pStyle w:val="ListParagraph"/>
              <w:numPr>
                <w:ilvl w:val="0"/>
                <w:numId w:val="231"/>
              </w:numPr>
              <w:rPr>
                <w:rFonts w:eastAsia="Calibri" w:cs="Calibri"/>
              </w:rPr>
            </w:pPr>
            <w:r w:rsidRPr="781E95A1">
              <w:t>Individual counselling, 4 sessions in 4 weeks. No placebo Level of support: high</w:t>
            </w:r>
          </w:p>
        </w:tc>
        <w:tc>
          <w:tcPr>
            <w:tcW w:w="2314" w:type="dxa"/>
          </w:tcPr>
          <w:p w14:paraId="577760B3" w14:textId="55B051A9" w:rsidR="781E95A1" w:rsidRDefault="781E95A1">
            <w:r w:rsidRPr="00C324F3">
              <w:rPr>
                <w:rFonts w:eastAsia="Calibri"/>
                <w:u w:val="single"/>
              </w:rPr>
              <w:t>Efficacy:</w:t>
            </w:r>
            <w:r w:rsidRPr="781E95A1">
              <w:rPr>
                <w:rFonts w:eastAsia="Calibri" w:cs="Calibri"/>
              </w:rPr>
              <w:t xml:space="preserve"> Sustained abstinence at 12 months (abstinent at all assessments) Validation: CO &lt; 10 ppm</w:t>
            </w:r>
          </w:p>
          <w:p w14:paraId="42E85473" w14:textId="0A3CAE50" w:rsidR="781E95A1" w:rsidRDefault="781E95A1">
            <w:r w:rsidRPr="781E95A1">
              <w:rPr>
                <w:rFonts w:eastAsia="Calibri" w:cs="Calibri"/>
              </w:rPr>
              <w:t xml:space="preserve"> </w:t>
            </w:r>
          </w:p>
          <w:p w14:paraId="6538826A" w14:textId="0A35B4E3" w:rsidR="781E95A1" w:rsidRDefault="781E95A1">
            <w:r w:rsidRPr="00C324F3">
              <w:rPr>
                <w:rFonts w:eastAsia="Calibri"/>
                <w:u w:val="single"/>
              </w:rPr>
              <w:t>Safety:</w:t>
            </w:r>
            <w:r w:rsidRPr="781E95A1">
              <w:rPr>
                <w:rFonts w:eastAsia="Calibri" w:cs="Calibri"/>
              </w:rPr>
              <w:t xml:space="preserve"> NR</w:t>
            </w:r>
          </w:p>
        </w:tc>
      </w:tr>
    </w:tbl>
    <w:p w14:paraId="7CEA1F4D" w14:textId="2948482C" w:rsidR="0015574C" w:rsidRPr="009B042A" w:rsidRDefault="0015574C" w:rsidP="00EA7016">
      <w:pPr>
        <w:pStyle w:val="TableFooter"/>
        <w:keepNext/>
        <w:jc w:val="both"/>
      </w:pPr>
      <w:r>
        <w:t xml:space="preserve">Source: </w:t>
      </w:r>
      <w:r w:rsidRPr="004110FF">
        <w:t xml:space="preserve">Hartmann-Boyce </w:t>
      </w:r>
      <w:r>
        <w:t>(</w:t>
      </w:r>
      <w:r w:rsidRPr="004110FF">
        <w:t>2018</w:t>
      </w:r>
      <w:r>
        <w:t xml:space="preserve">), Oncken (2019), </w:t>
      </w:r>
      <w:r w:rsidRPr="00C25A66">
        <w:t>Lindson et al. (2019)</w:t>
      </w:r>
      <w:r>
        <w:t>, and Nides (2020).</w:t>
      </w:r>
      <w:r w:rsidRPr="009B042A">
        <w:t xml:space="preserve"> </w:t>
      </w:r>
    </w:p>
    <w:p w14:paraId="10527AD1" w14:textId="0C4F60D2" w:rsidR="70001105" w:rsidRDefault="0015574C" w:rsidP="00EA7016">
      <w:pPr>
        <w:pStyle w:val="TableFooter"/>
        <w:keepNext/>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0F61B60F" w14:textId="77777777" w:rsidR="00EA7016" w:rsidRDefault="00EA7016">
      <w:pPr>
        <w:spacing w:line="276" w:lineRule="auto"/>
        <w:rPr>
          <w:rFonts w:asciiTheme="minorHAnsi" w:eastAsia="Times New Roman" w:hAnsiTheme="minorHAnsi" w:cs="Times New Roman"/>
          <w:b/>
          <w:bCs/>
          <w:szCs w:val="18"/>
        </w:rPr>
      </w:pPr>
      <w:bookmarkStart w:id="352" w:name="_Ref62378949"/>
      <w:r>
        <w:br w:type="page"/>
      </w:r>
    </w:p>
    <w:p w14:paraId="6A6495EF" w14:textId="5356ADB8" w:rsidR="00A44783" w:rsidRDefault="00A44783"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165</w:t>
      </w:r>
      <w:r w:rsidR="00BF3F75">
        <w:rPr>
          <w:noProof/>
        </w:rPr>
        <w:fldChar w:fldCharType="end"/>
      </w:r>
      <w:bookmarkEnd w:id="352"/>
      <w:r>
        <w:t xml:space="preserve">: </w:t>
      </w:r>
      <w:r w:rsidRPr="000D4555">
        <w:t>characteristics of the studies included in Claire et al. (2020), evaluating pharmacotherapy for smoking cessation during pregnancy and lactation</w:t>
      </w:r>
    </w:p>
    <w:tbl>
      <w:tblPr>
        <w:tblStyle w:val="TableGrid"/>
        <w:tblW w:w="5000" w:type="pct"/>
        <w:tblLook w:val="04A0" w:firstRow="1" w:lastRow="0" w:firstColumn="1" w:lastColumn="0" w:noHBand="0" w:noVBand="1"/>
      </w:tblPr>
      <w:tblGrid>
        <w:gridCol w:w="1381"/>
        <w:gridCol w:w="862"/>
        <w:gridCol w:w="1130"/>
        <w:gridCol w:w="890"/>
        <w:gridCol w:w="3548"/>
        <w:gridCol w:w="3847"/>
        <w:gridCol w:w="2290"/>
      </w:tblGrid>
      <w:tr w:rsidR="00EE2A96" w14:paraId="07A46123" w14:textId="77777777" w:rsidTr="00EA7016">
        <w:tc>
          <w:tcPr>
            <w:tcW w:w="495" w:type="pct"/>
            <w:shd w:val="clear" w:color="auto" w:fill="D9D9D9" w:themeFill="background1" w:themeFillShade="D9"/>
          </w:tcPr>
          <w:p w14:paraId="2AA29FCA" w14:textId="77777777" w:rsidR="00EE2A96" w:rsidRDefault="00EE2A96" w:rsidP="0059373F">
            <w:r w:rsidRPr="781E95A1">
              <w:rPr>
                <w:rFonts w:eastAsia="Calibri" w:cs="Calibri"/>
                <w:b/>
                <w:bCs/>
              </w:rPr>
              <w:t>Study</w:t>
            </w:r>
          </w:p>
        </w:tc>
        <w:tc>
          <w:tcPr>
            <w:tcW w:w="309" w:type="pct"/>
            <w:shd w:val="clear" w:color="auto" w:fill="D9D9D9" w:themeFill="background1" w:themeFillShade="D9"/>
          </w:tcPr>
          <w:p w14:paraId="3BD8DB08" w14:textId="77777777" w:rsidR="00EE2A96" w:rsidRDefault="00EE2A96" w:rsidP="0059373F">
            <w:pPr>
              <w:jc w:val="center"/>
            </w:pPr>
            <w:r w:rsidRPr="781E95A1">
              <w:rPr>
                <w:rFonts w:eastAsia="Calibri" w:cs="Calibri"/>
                <w:b/>
                <w:bCs/>
                <w:color w:val="000000" w:themeColor="text1"/>
              </w:rPr>
              <w:t>Study type</w:t>
            </w:r>
          </w:p>
        </w:tc>
        <w:tc>
          <w:tcPr>
            <w:tcW w:w="405" w:type="pct"/>
            <w:shd w:val="clear" w:color="auto" w:fill="D9D9D9" w:themeFill="background1" w:themeFillShade="D9"/>
          </w:tcPr>
          <w:p w14:paraId="095782CC" w14:textId="77777777" w:rsidR="00EE2A96" w:rsidRDefault="00EE2A96" w:rsidP="0059373F">
            <w:pPr>
              <w:jc w:val="center"/>
            </w:pPr>
            <w:r w:rsidRPr="781E95A1">
              <w:rPr>
                <w:rFonts w:eastAsia="Calibri" w:cs="Calibri"/>
                <w:b/>
                <w:bCs/>
                <w:color w:val="000000" w:themeColor="text1"/>
              </w:rPr>
              <w:t>Countries</w:t>
            </w:r>
          </w:p>
        </w:tc>
        <w:tc>
          <w:tcPr>
            <w:tcW w:w="319" w:type="pct"/>
            <w:shd w:val="clear" w:color="auto" w:fill="D9D9D9" w:themeFill="background1" w:themeFillShade="D9"/>
          </w:tcPr>
          <w:p w14:paraId="7D418B1F" w14:textId="77777777" w:rsidR="00EE2A96" w:rsidRDefault="00EE2A96" w:rsidP="0059373F">
            <w:pPr>
              <w:jc w:val="center"/>
            </w:pPr>
            <w:r w:rsidRPr="781E95A1">
              <w:rPr>
                <w:rFonts w:eastAsia="Calibri" w:cs="Calibri"/>
                <w:b/>
                <w:bCs/>
                <w:color w:val="000000" w:themeColor="text1"/>
              </w:rPr>
              <w:t>N</w:t>
            </w:r>
          </w:p>
        </w:tc>
        <w:tc>
          <w:tcPr>
            <w:tcW w:w="1272" w:type="pct"/>
            <w:shd w:val="clear" w:color="auto" w:fill="D9D9D9" w:themeFill="background1" w:themeFillShade="D9"/>
          </w:tcPr>
          <w:p w14:paraId="56831B3F" w14:textId="77777777" w:rsidR="00EE2A96" w:rsidRDefault="00EE2A96" w:rsidP="0059373F">
            <w:pPr>
              <w:jc w:val="center"/>
            </w:pPr>
            <w:r w:rsidRPr="781E95A1">
              <w:rPr>
                <w:rFonts w:eastAsia="Calibri" w:cs="Calibri"/>
                <w:b/>
                <w:bCs/>
                <w:color w:val="000000" w:themeColor="text1"/>
              </w:rPr>
              <w:t>Population</w:t>
            </w:r>
          </w:p>
        </w:tc>
        <w:tc>
          <w:tcPr>
            <w:tcW w:w="1379" w:type="pct"/>
            <w:shd w:val="clear" w:color="auto" w:fill="D9D9D9" w:themeFill="background1" w:themeFillShade="D9"/>
          </w:tcPr>
          <w:p w14:paraId="7EB92ACE" w14:textId="77777777" w:rsidR="00EE2A96" w:rsidRDefault="00EE2A96" w:rsidP="0059373F">
            <w:pPr>
              <w:jc w:val="center"/>
            </w:pPr>
            <w:r w:rsidRPr="781E95A1">
              <w:rPr>
                <w:rFonts w:eastAsia="Calibri" w:cs="Calibri"/>
                <w:b/>
                <w:bCs/>
                <w:color w:val="000000" w:themeColor="text1"/>
              </w:rPr>
              <w:t>Intervention and comparator</w:t>
            </w:r>
          </w:p>
        </w:tc>
        <w:tc>
          <w:tcPr>
            <w:tcW w:w="821" w:type="pct"/>
            <w:shd w:val="clear" w:color="auto" w:fill="D9D9D9" w:themeFill="background1" w:themeFillShade="D9"/>
          </w:tcPr>
          <w:p w14:paraId="20AC28C2" w14:textId="77777777" w:rsidR="00EE2A96" w:rsidRDefault="00EE2A96" w:rsidP="0059373F">
            <w:pPr>
              <w:jc w:val="center"/>
            </w:pPr>
            <w:r w:rsidRPr="781E95A1">
              <w:rPr>
                <w:rFonts w:eastAsia="Calibri" w:cs="Calibri"/>
                <w:b/>
                <w:bCs/>
                <w:color w:val="000000" w:themeColor="text1"/>
              </w:rPr>
              <w:t>Outcomes</w:t>
            </w:r>
          </w:p>
        </w:tc>
      </w:tr>
      <w:tr w:rsidR="00EE2A96" w14:paraId="56D8C976" w14:textId="77777777" w:rsidTr="00EA7016">
        <w:tc>
          <w:tcPr>
            <w:tcW w:w="5000" w:type="pct"/>
            <w:gridSpan w:val="7"/>
            <w:shd w:val="clear" w:color="auto" w:fill="D9D9D9" w:themeFill="background1" w:themeFillShade="D9"/>
          </w:tcPr>
          <w:p w14:paraId="482F3A34" w14:textId="77777777" w:rsidR="00EE2A96" w:rsidRPr="00440B3C" w:rsidRDefault="00EE2A96" w:rsidP="0059373F">
            <w:pPr>
              <w:rPr>
                <w:b/>
                <w:bCs/>
              </w:rPr>
            </w:pPr>
            <w:r w:rsidRPr="00440B3C">
              <w:rPr>
                <w:b/>
                <w:bCs/>
              </w:rPr>
              <w:t>NRT</w:t>
            </w:r>
          </w:p>
        </w:tc>
      </w:tr>
      <w:tr w:rsidR="00EE2A96" w14:paraId="26178D9E" w14:textId="77777777" w:rsidTr="00EA7016">
        <w:tc>
          <w:tcPr>
            <w:tcW w:w="495" w:type="pct"/>
          </w:tcPr>
          <w:p w14:paraId="55B59546" w14:textId="66DD0B27" w:rsidR="00EE2A96" w:rsidRDefault="00EE2A96" w:rsidP="0059373F">
            <w:r w:rsidRPr="00AC0A40">
              <w:t xml:space="preserve">Berlin </w:t>
            </w:r>
            <w:r w:rsidR="000C1484">
              <w:t>(</w:t>
            </w:r>
            <w:r w:rsidRPr="00AC0A40">
              <w:t>2014</w:t>
            </w:r>
            <w:r w:rsidR="000C1484">
              <w:t>)</w:t>
            </w:r>
          </w:p>
        </w:tc>
        <w:tc>
          <w:tcPr>
            <w:tcW w:w="309" w:type="pct"/>
          </w:tcPr>
          <w:p w14:paraId="322C7D5D" w14:textId="77777777" w:rsidR="00EE2A96" w:rsidRDefault="00EE2A96" w:rsidP="0059373F">
            <w:r>
              <w:t>RCT</w:t>
            </w:r>
          </w:p>
        </w:tc>
        <w:tc>
          <w:tcPr>
            <w:tcW w:w="405" w:type="pct"/>
          </w:tcPr>
          <w:p w14:paraId="6FD237F1" w14:textId="6D875D14" w:rsidR="00EE2A96" w:rsidRDefault="000C1484" w:rsidP="0059373F">
            <w:r>
              <w:t>NR</w:t>
            </w:r>
          </w:p>
        </w:tc>
        <w:tc>
          <w:tcPr>
            <w:tcW w:w="319" w:type="pct"/>
          </w:tcPr>
          <w:p w14:paraId="6EB90C9D" w14:textId="77777777" w:rsidR="00EE2A96" w:rsidRDefault="00EE2A96" w:rsidP="0059373F">
            <w:r>
              <w:t>N=476</w:t>
            </w:r>
          </w:p>
        </w:tc>
        <w:tc>
          <w:tcPr>
            <w:tcW w:w="1272" w:type="pct"/>
          </w:tcPr>
          <w:p w14:paraId="4C25CACF" w14:textId="77777777" w:rsidR="00EE2A96" w:rsidRDefault="00EE2A96" w:rsidP="0059373F">
            <w:r>
              <w:t xml:space="preserve">Pregnant women aged </w:t>
            </w:r>
            <w:r w:rsidRPr="006B32B5">
              <w:t xml:space="preserve">≥ </w:t>
            </w:r>
            <w:r>
              <w:t>18 years, between 9 and 20 weeks' gestation who smoked at least 5 daily cigarettes and scored at least 5 on a scale measuring motivation for quitting smoking (range 0 to 10).</w:t>
            </w:r>
          </w:p>
        </w:tc>
        <w:tc>
          <w:tcPr>
            <w:tcW w:w="1379" w:type="pct"/>
          </w:tcPr>
          <w:p w14:paraId="60E25711" w14:textId="77777777" w:rsidR="00EE2A96" w:rsidRPr="006B32B5" w:rsidRDefault="00EE2A96" w:rsidP="00C324F3">
            <w:pPr>
              <w:pStyle w:val="ListParagraph"/>
              <w:numPr>
                <w:ilvl w:val="0"/>
                <w:numId w:val="287"/>
              </w:numPr>
              <w:rPr>
                <w:rFonts w:eastAsia="Calibri" w:cs="Calibri"/>
              </w:rPr>
            </w:pPr>
            <w:r>
              <w:rPr>
                <w:rFonts w:eastAsia="Calibri" w:cs="Calibri"/>
              </w:rPr>
              <w:t>N</w:t>
            </w:r>
            <w:r w:rsidRPr="006B32B5">
              <w:rPr>
                <w:rFonts w:eastAsia="Calibri" w:cs="Calibri"/>
              </w:rPr>
              <w:t>icotine replacement therapy over a 16-hour</w:t>
            </w:r>
            <w:r>
              <w:rPr>
                <w:rFonts w:eastAsia="Calibri" w:cs="Calibri"/>
              </w:rPr>
              <w:t xml:space="preserve"> </w:t>
            </w:r>
            <w:r w:rsidRPr="006B32B5">
              <w:rPr>
                <w:rFonts w:eastAsia="Calibri" w:cs="Calibri"/>
              </w:rPr>
              <w:t>period. Both 10 mg and 15 mg patches were used, and women's doses ranged from 10 mg to 30 mg per</w:t>
            </w:r>
          </w:p>
          <w:p w14:paraId="66330848" w14:textId="77777777" w:rsidR="00EE2A96" w:rsidRDefault="00EE2A96" w:rsidP="0059373F">
            <w:pPr>
              <w:pStyle w:val="ListParagraph"/>
              <w:ind w:left="360"/>
              <w:rPr>
                <w:rFonts w:eastAsia="Calibri" w:cs="Calibri"/>
              </w:rPr>
            </w:pPr>
            <w:r w:rsidRPr="006B32B5">
              <w:rPr>
                <w:rFonts w:eastAsia="Calibri" w:cs="Calibri"/>
              </w:rPr>
              <w:t>day</w:t>
            </w:r>
          </w:p>
          <w:p w14:paraId="4ED19B94" w14:textId="77777777" w:rsidR="00EE2A96" w:rsidRPr="006B32B5" w:rsidRDefault="00EE2A96" w:rsidP="00C324F3">
            <w:pPr>
              <w:pStyle w:val="ListParagraph"/>
              <w:numPr>
                <w:ilvl w:val="0"/>
                <w:numId w:val="287"/>
              </w:numPr>
              <w:rPr>
                <w:rFonts w:eastAsia="Calibri" w:cs="Calibri"/>
              </w:rPr>
            </w:pPr>
            <w:r>
              <w:rPr>
                <w:rFonts w:eastAsia="Calibri" w:cs="Calibri"/>
              </w:rPr>
              <w:t>V</w:t>
            </w:r>
            <w:r w:rsidRPr="006B32B5">
              <w:rPr>
                <w:rFonts w:eastAsia="Calibri" w:cs="Calibri"/>
              </w:rPr>
              <w:t>isually identical placebo transdermal</w:t>
            </w:r>
          </w:p>
          <w:p w14:paraId="5A4A6C68" w14:textId="77777777" w:rsidR="00EE2A96" w:rsidRDefault="00EE2A96" w:rsidP="0059373F">
            <w:pPr>
              <w:pStyle w:val="ListParagraph"/>
              <w:ind w:left="360"/>
              <w:rPr>
                <w:rFonts w:eastAsia="Calibri" w:cs="Calibri"/>
              </w:rPr>
            </w:pPr>
            <w:r w:rsidRPr="006B32B5">
              <w:rPr>
                <w:rFonts w:eastAsia="Calibri" w:cs="Calibri"/>
              </w:rPr>
              <w:t>patches</w:t>
            </w:r>
          </w:p>
        </w:tc>
        <w:tc>
          <w:tcPr>
            <w:tcW w:w="821" w:type="pct"/>
          </w:tcPr>
          <w:p w14:paraId="742DC458" w14:textId="77777777" w:rsidR="00EE2A96" w:rsidRDefault="00EE2A96" w:rsidP="0059373F">
            <w:r w:rsidRPr="006B32B5">
              <w:rPr>
                <w:u w:val="single"/>
              </w:rPr>
              <w:t>Efficacy</w:t>
            </w:r>
            <w:r>
              <w:t>: Continuous abstinence</w:t>
            </w:r>
          </w:p>
          <w:p w14:paraId="1AD259C2" w14:textId="77777777" w:rsidR="00EE2A96" w:rsidRDefault="00EE2A96" w:rsidP="0059373F">
            <w:r>
              <w:t>from smoking since the quit date, s</w:t>
            </w:r>
            <w:r w:rsidRPr="006B32B5">
              <w:t>elf-reported 7 days abstinence from smoking at each study visit</w:t>
            </w:r>
            <w:r>
              <w:t>.</w:t>
            </w:r>
          </w:p>
          <w:p w14:paraId="12CA2FA3" w14:textId="77777777" w:rsidR="00EE2A96" w:rsidRDefault="00EE2A96" w:rsidP="0059373F">
            <w:r>
              <w:t>Validation: confirmed</w:t>
            </w:r>
          </w:p>
          <w:p w14:paraId="7192309E" w14:textId="77777777" w:rsidR="00EE2A96" w:rsidRDefault="00EE2A96" w:rsidP="0059373F">
            <w:r>
              <w:t>by an exhaled CO reading of 8 ppm or less.</w:t>
            </w:r>
          </w:p>
          <w:p w14:paraId="10600447" w14:textId="77777777" w:rsidR="00EE2A96" w:rsidRDefault="00EE2A96" w:rsidP="0059373F"/>
          <w:p w14:paraId="4E90DA67" w14:textId="77777777" w:rsidR="00EE2A96" w:rsidRDefault="00EE2A96" w:rsidP="0059373F">
            <w:r w:rsidRPr="006B32B5">
              <w:rPr>
                <w:u w:val="single"/>
              </w:rPr>
              <w:t>Safety</w:t>
            </w:r>
            <w:r>
              <w:t xml:space="preserve">: </w:t>
            </w:r>
            <w:r w:rsidRPr="00ED2054">
              <w:t>infant birthweight</w:t>
            </w:r>
          </w:p>
        </w:tc>
      </w:tr>
      <w:tr w:rsidR="00EE2A96" w14:paraId="2B85D9E6" w14:textId="77777777" w:rsidTr="00EA7016">
        <w:tc>
          <w:tcPr>
            <w:tcW w:w="495" w:type="pct"/>
          </w:tcPr>
          <w:p w14:paraId="70A0A4F6" w14:textId="652C1AA4" w:rsidR="00EE2A96" w:rsidRDefault="00EE2A96" w:rsidP="0059373F">
            <w:r w:rsidRPr="00AC0A40">
              <w:t xml:space="preserve">Coleman </w:t>
            </w:r>
            <w:r w:rsidR="000C1484">
              <w:t>(</w:t>
            </w:r>
            <w:r w:rsidRPr="00AC0A40">
              <w:t>2012</w:t>
            </w:r>
            <w:r w:rsidR="000C1484">
              <w:t>)</w:t>
            </w:r>
          </w:p>
        </w:tc>
        <w:tc>
          <w:tcPr>
            <w:tcW w:w="309" w:type="pct"/>
          </w:tcPr>
          <w:p w14:paraId="5DE564E8" w14:textId="77777777" w:rsidR="00EE2A96" w:rsidRDefault="00EE2A96" w:rsidP="0059373F">
            <w:r>
              <w:t>RCT</w:t>
            </w:r>
          </w:p>
        </w:tc>
        <w:tc>
          <w:tcPr>
            <w:tcW w:w="405" w:type="pct"/>
          </w:tcPr>
          <w:p w14:paraId="445CF5B8" w14:textId="21DED396" w:rsidR="00EE2A96" w:rsidRDefault="000C1484" w:rsidP="0059373F">
            <w:r>
              <w:t>NR</w:t>
            </w:r>
          </w:p>
        </w:tc>
        <w:tc>
          <w:tcPr>
            <w:tcW w:w="319" w:type="pct"/>
          </w:tcPr>
          <w:p w14:paraId="3D4B5ABA" w14:textId="77777777" w:rsidR="00EE2A96" w:rsidRDefault="00EE2A96" w:rsidP="0059373F">
            <w:r>
              <w:t>N=1050</w:t>
            </w:r>
          </w:p>
        </w:tc>
        <w:tc>
          <w:tcPr>
            <w:tcW w:w="1272" w:type="pct"/>
          </w:tcPr>
          <w:p w14:paraId="0EE464F8" w14:textId="77777777" w:rsidR="00EE2A96" w:rsidRDefault="00EE2A96" w:rsidP="0059373F">
            <w:r>
              <w:t>Pregnant women who agreed to set a quit date, were 16 to 50 years of age, were at 12 to 24 weeks of gestation, smoked 10 or more cigarettes daily before pregnancy, currently smoked 5 or more cigarettes daily, and had an exhaled CO concentration of at least 8 ppm.</w:t>
            </w:r>
          </w:p>
        </w:tc>
        <w:tc>
          <w:tcPr>
            <w:tcW w:w="1379" w:type="pct"/>
          </w:tcPr>
          <w:p w14:paraId="6B0237F0" w14:textId="77777777" w:rsidR="00EE2A96" w:rsidRDefault="00EE2A96" w:rsidP="00C324F3">
            <w:pPr>
              <w:pStyle w:val="ListParagraph"/>
              <w:numPr>
                <w:ilvl w:val="0"/>
                <w:numId w:val="287"/>
              </w:numPr>
              <w:rPr>
                <w:rFonts w:eastAsia="Calibri" w:cs="Calibri"/>
              </w:rPr>
            </w:pPr>
            <w:r>
              <w:rPr>
                <w:rFonts w:eastAsia="Calibri" w:cs="Calibri"/>
              </w:rPr>
              <w:t>A</w:t>
            </w:r>
            <w:r w:rsidRPr="005F5E65">
              <w:rPr>
                <w:rFonts w:eastAsia="Calibri" w:cs="Calibri"/>
              </w:rPr>
              <w:t>ctive patches</w:t>
            </w:r>
            <w:r>
              <w:rPr>
                <w:rFonts w:eastAsia="Calibri" w:cs="Calibri"/>
              </w:rPr>
              <w:t xml:space="preserve">; participants received </w:t>
            </w:r>
            <w:r w:rsidRPr="005F5E65">
              <w:rPr>
                <w:rFonts w:eastAsia="Calibri" w:cs="Calibri"/>
              </w:rPr>
              <w:t>4-week supply of transdermal patches for NRT (at a dose of 15 mg per 16 h)</w:t>
            </w:r>
          </w:p>
          <w:p w14:paraId="4F28D4B8" w14:textId="77777777" w:rsidR="00EE2A96" w:rsidRDefault="00EE2A96" w:rsidP="00C324F3">
            <w:pPr>
              <w:pStyle w:val="ListParagraph"/>
              <w:numPr>
                <w:ilvl w:val="0"/>
                <w:numId w:val="287"/>
              </w:numPr>
              <w:rPr>
                <w:rFonts w:eastAsia="Calibri" w:cs="Calibri"/>
              </w:rPr>
            </w:pPr>
            <w:r>
              <w:rPr>
                <w:rFonts w:eastAsia="Calibri" w:cs="Calibri"/>
              </w:rPr>
              <w:t>P</w:t>
            </w:r>
            <w:r w:rsidRPr="005F5E65">
              <w:rPr>
                <w:rFonts w:eastAsia="Calibri" w:cs="Calibri"/>
              </w:rPr>
              <w:t>lacebo patches</w:t>
            </w:r>
          </w:p>
          <w:p w14:paraId="6C756B49" w14:textId="77777777" w:rsidR="00EE2A96" w:rsidRDefault="00EE2A96" w:rsidP="0059373F">
            <w:pPr>
              <w:pStyle w:val="ListParagraph"/>
              <w:ind w:left="360"/>
              <w:rPr>
                <w:rFonts w:eastAsia="Calibri" w:cs="Calibri"/>
              </w:rPr>
            </w:pPr>
          </w:p>
          <w:p w14:paraId="6FA1C48E" w14:textId="77777777" w:rsidR="00EE2A96" w:rsidRPr="005F5E65" w:rsidRDefault="00EE2A96" w:rsidP="0059373F">
            <w:pPr>
              <w:rPr>
                <w:rFonts w:eastAsia="Calibri" w:cs="Calibri"/>
              </w:rPr>
            </w:pPr>
            <w:r w:rsidRPr="005F5E65">
              <w:rPr>
                <w:rFonts w:eastAsia="Calibri" w:cs="Calibri"/>
                <w:u w:val="single"/>
              </w:rPr>
              <w:t>Common component</w:t>
            </w:r>
            <w:r w:rsidRPr="005F5E65">
              <w:rPr>
                <w:rFonts w:eastAsia="Calibri" w:cs="Calibri"/>
              </w:rPr>
              <w:t>: All participants received behavioural support according to national standards, with the use of a manual</w:t>
            </w:r>
            <w:r>
              <w:rPr>
                <w:rFonts w:eastAsia="Calibri" w:cs="Calibri"/>
              </w:rPr>
              <w:t xml:space="preserve"> </w:t>
            </w:r>
            <w:r w:rsidRPr="005F5E65">
              <w:rPr>
                <w:rFonts w:eastAsia="Calibri" w:cs="Calibri"/>
              </w:rPr>
              <w:t>that included guidance from a British expert trainer of smoking-cessation professionals and behavioural</w:t>
            </w:r>
            <w:r>
              <w:rPr>
                <w:rFonts w:eastAsia="Calibri" w:cs="Calibri"/>
              </w:rPr>
              <w:t xml:space="preserve"> </w:t>
            </w:r>
            <w:r w:rsidRPr="005F5E65">
              <w:rPr>
                <w:rFonts w:eastAsia="Calibri" w:cs="Calibri"/>
              </w:rPr>
              <w:t>approaches from the</w:t>
            </w:r>
            <w:r>
              <w:rPr>
                <w:rFonts w:eastAsia="Calibri" w:cs="Calibri"/>
              </w:rPr>
              <w:t xml:space="preserve"> </w:t>
            </w:r>
            <w:r w:rsidRPr="005F5E65">
              <w:rPr>
                <w:rFonts w:eastAsia="Calibri" w:cs="Calibri"/>
              </w:rPr>
              <w:t>Smoking Cessation or Reduction in</w:t>
            </w:r>
            <w:r>
              <w:rPr>
                <w:rFonts w:eastAsia="Calibri" w:cs="Calibri"/>
              </w:rPr>
              <w:t xml:space="preserve"> </w:t>
            </w:r>
            <w:r w:rsidRPr="005F5E65">
              <w:rPr>
                <w:rFonts w:eastAsia="Calibri" w:cs="Calibri"/>
              </w:rPr>
              <w:t>Pregnancy Treatment trials that were</w:t>
            </w:r>
            <w:r>
              <w:rPr>
                <w:rFonts w:eastAsia="Calibri" w:cs="Calibri"/>
              </w:rPr>
              <w:t xml:space="preserve"> </w:t>
            </w:r>
            <w:r w:rsidRPr="005F5E65">
              <w:rPr>
                <w:rFonts w:eastAsia="Calibri" w:cs="Calibri"/>
              </w:rPr>
              <w:t>believed to be relevant to British people who smoke</w:t>
            </w:r>
            <w:r>
              <w:rPr>
                <w:rFonts w:eastAsia="Calibri" w:cs="Calibri"/>
              </w:rPr>
              <w:t>.</w:t>
            </w:r>
          </w:p>
        </w:tc>
        <w:tc>
          <w:tcPr>
            <w:tcW w:w="821" w:type="pct"/>
          </w:tcPr>
          <w:p w14:paraId="2BFE714D" w14:textId="77777777" w:rsidR="00EE2A96" w:rsidRDefault="00EE2A96" w:rsidP="0059373F">
            <w:r w:rsidRPr="006B32B5">
              <w:rPr>
                <w:u w:val="single"/>
              </w:rPr>
              <w:t>Efficacy</w:t>
            </w:r>
            <w:r>
              <w:t xml:space="preserve">: Prolonged smoking cessation between a quit date soon after enrolment and delivery, validated by both exhaled CO monitoring and saliva cotinine estimation. </w:t>
            </w:r>
          </w:p>
          <w:p w14:paraId="5B4D583C" w14:textId="77777777" w:rsidR="00EE2A96" w:rsidRDefault="00EE2A96" w:rsidP="0059373F">
            <w:r>
              <w:t xml:space="preserve">Exhaled CO: &lt; 7 ppm. </w:t>
            </w:r>
          </w:p>
          <w:p w14:paraId="413ED7A7" w14:textId="77777777" w:rsidR="00EE2A96" w:rsidRDefault="00EE2A96" w:rsidP="0059373F">
            <w:pPr>
              <w:rPr>
                <w:u w:val="single"/>
              </w:rPr>
            </w:pPr>
          </w:p>
          <w:p w14:paraId="22E4040D" w14:textId="77777777" w:rsidR="00EE2A96" w:rsidRDefault="00EE2A96" w:rsidP="0059373F">
            <w:r w:rsidRPr="006B32B5">
              <w:rPr>
                <w:u w:val="single"/>
              </w:rPr>
              <w:t>Safety</w:t>
            </w:r>
            <w:r>
              <w:t>: Birth outcomes including Apgar score at 5 min</w:t>
            </w:r>
          </w:p>
          <w:p w14:paraId="207C2D28" w14:textId="77777777" w:rsidR="00EE2A96" w:rsidRDefault="00EE2A96" w:rsidP="0059373F">
            <w:r>
              <w:t xml:space="preserve">after birth, cord arterial blood pH, intraventricular haemorrhage, neonatal </w:t>
            </w:r>
            <w:r>
              <w:lastRenderedPageBreak/>
              <w:t>convulsions, congenital abnormalities,</w:t>
            </w:r>
          </w:p>
          <w:p w14:paraId="56DD277B" w14:textId="77777777" w:rsidR="00EE2A96" w:rsidRDefault="00EE2A96" w:rsidP="0059373F">
            <w:r>
              <w:t>necrotising enterocolitis, mechanical ventilation of infant, assisted vaginal delivery, maternal</w:t>
            </w:r>
          </w:p>
          <w:p w14:paraId="7D406C40" w14:textId="77777777" w:rsidR="00EE2A96" w:rsidRDefault="00EE2A96" w:rsidP="0059373F">
            <w:r>
              <w:t>death, and caesarean section.</w:t>
            </w:r>
          </w:p>
        </w:tc>
      </w:tr>
      <w:tr w:rsidR="00EE2A96" w14:paraId="6D9DF81E" w14:textId="77777777" w:rsidTr="00EA7016">
        <w:tc>
          <w:tcPr>
            <w:tcW w:w="495" w:type="pct"/>
          </w:tcPr>
          <w:p w14:paraId="49050FC4" w14:textId="39CBD874" w:rsidR="00EE2A96" w:rsidRDefault="00EE2A96" w:rsidP="0059373F">
            <w:r w:rsidRPr="00AC0A40">
              <w:lastRenderedPageBreak/>
              <w:t xml:space="preserve">El-Mohandes </w:t>
            </w:r>
            <w:r w:rsidR="000C1484">
              <w:t>(</w:t>
            </w:r>
            <w:r w:rsidRPr="00AC0A40">
              <w:t>2013</w:t>
            </w:r>
            <w:r w:rsidR="000C1484">
              <w:t>)</w:t>
            </w:r>
          </w:p>
        </w:tc>
        <w:tc>
          <w:tcPr>
            <w:tcW w:w="309" w:type="pct"/>
          </w:tcPr>
          <w:p w14:paraId="623AA96B" w14:textId="77777777" w:rsidR="00EE2A96" w:rsidRDefault="00EE2A96" w:rsidP="0059373F">
            <w:r>
              <w:t>RCT</w:t>
            </w:r>
          </w:p>
        </w:tc>
        <w:tc>
          <w:tcPr>
            <w:tcW w:w="405" w:type="pct"/>
          </w:tcPr>
          <w:p w14:paraId="7F825831" w14:textId="77777777" w:rsidR="00EE2A96" w:rsidRDefault="00EE2A96" w:rsidP="0059373F">
            <w:r>
              <w:t>USA</w:t>
            </w:r>
          </w:p>
        </w:tc>
        <w:tc>
          <w:tcPr>
            <w:tcW w:w="319" w:type="pct"/>
          </w:tcPr>
          <w:p w14:paraId="467E4656" w14:textId="77777777" w:rsidR="00EE2A96" w:rsidRDefault="00EE2A96" w:rsidP="0059373F">
            <w:r>
              <w:t>N=52</w:t>
            </w:r>
          </w:p>
        </w:tc>
        <w:tc>
          <w:tcPr>
            <w:tcW w:w="1272" w:type="pct"/>
          </w:tcPr>
          <w:p w14:paraId="755D38DD" w14:textId="77777777" w:rsidR="00EE2A96" w:rsidRDefault="00EE2A96" w:rsidP="0059373F">
            <w:r>
              <w:t>English-speaking pregnant women who smoked and were residents of Washington, DC in the USA, of</w:t>
            </w:r>
          </w:p>
          <w:p w14:paraId="145B7E82" w14:textId="77777777" w:rsidR="00EE2A96" w:rsidRDefault="00EE2A96" w:rsidP="0059373F">
            <w:r>
              <w:t>ethnic minority backgrounds, aged at least 18 years, and less than 30 weeks' gestation. Women needed</w:t>
            </w:r>
          </w:p>
          <w:p w14:paraId="1510FD66" w14:textId="77777777" w:rsidR="00EE2A96" w:rsidRDefault="00EE2A96" w:rsidP="0059373F">
            <w:r>
              <w:t>to express a desire to quit and have an expired-air CO reading of 8 ppm or less and a salivary cotinine of</w:t>
            </w:r>
          </w:p>
          <w:p w14:paraId="47D5E00F" w14:textId="77777777" w:rsidR="00EE2A96" w:rsidRDefault="00EE2A96" w:rsidP="0059373F">
            <w:r>
              <w:t>20 ng/mL or less (NB: ClinicalTrials.gov website says 30 ng/mL or less) or a urinary cotinine of 100 ng/</w:t>
            </w:r>
          </w:p>
          <w:p w14:paraId="73018D84" w14:textId="77777777" w:rsidR="00EE2A96" w:rsidRDefault="00EE2A96" w:rsidP="0059373F">
            <w:r>
              <w:t>mL or less.</w:t>
            </w:r>
          </w:p>
        </w:tc>
        <w:tc>
          <w:tcPr>
            <w:tcW w:w="1379" w:type="pct"/>
          </w:tcPr>
          <w:p w14:paraId="1D9EFAA4" w14:textId="03E943F5" w:rsidR="00EE2A96" w:rsidRDefault="00EE2A96" w:rsidP="00C324F3">
            <w:pPr>
              <w:pStyle w:val="ListParagraph"/>
              <w:numPr>
                <w:ilvl w:val="0"/>
                <w:numId w:val="288"/>
              </w:numPr>
              <w:rPr>
                <w:rFonts w:eastAsia="Calibri" w:cs="Calibri"/>
              </w:rPr>
            </w:pPr>
            <w:r>
              <w:rPr>
                <w:rFonts w:eastAsia="Calibri" w:cs="Calibri"/>
              </w:rPr>
              <w:t>C</w:t>
            </w:r>
            <w:r w:rsidRPr="003D654E">
              <w:rPr>
                <w:rFonts w:eastAsia="Calibri" w:cs="Calibri"/>
              </w:rPr>
              <w:t>ognitive behavioural</w:t>
            </w:r>
            <w:r>
              <w:rPr>
                <w:rFonts w:eastAsia="Calibri" w:cs="Calibri"/>
              </w:rPr>
              <w:t xml:space="preserve"> </w:t>
            </w:r>
            <w:r w:rsidRPr="003D654E">
              <w:rPr>
                <w:rFonts w:eastAsia="Calibri" w:cs="Calibri"/>
              </w:rPr>
              <w:t>therapy (CBT) and NRT transdermal patches or 2)</w:t>
            </w:r>
            <w:r>
              <w:rPr>
                <w:rFonts w:eastAsia="Calibri" w:cs="Calibri"/>
              </w:rPr>
              <w:t xml:space="preserve">. </w:t>
            </w:r>
            <w:r w:rsidRPr="003D654E">
              <w:rPr>
                <w:rFonts w:eastAsia="Calibri" w:cs="Calibri"/>
              </w:rPr>
              <w:t>NRT: a 10-week course of 24-hour patches</w:t>
            </w:r>
          </w:p>
          <w:p w14:paraId="77021874" w14:textId="77777777" w:rsidR="00EE2A96" w:rsidRPr="003D654E" w:rsidRDefault="00EE2A96" w:rsidP="00C324F3">
            <w:pPr>
              <w:pStyle w:val="ListParagraph"/>
              <w:numPr>
                <w:ilvl w:val="0"/>
                <w:numId w:val="288"/>
              </w:numPr>
              <w:rPr>
                <w:rFonts w:eastAsia="Calibri" w:cs="Calibri"/>
              </w:rPr>
            </w:pPr>
            <w:r w:rsidRPr="003D654E">
              <w:rPr>
                <w:rFonts w:eastAsia="Calibri" w:cs="Calibri"/>
              </w:rPr>
              <w:t>CBT alone</w:t>
            </w:r>
          </w:p>
        </w:tc>
        <w:tc>
          <w:tcPr>
            <w:tcW w:w="821" w:type="pct"/>
          </w:tcPr>
          <w:p w14:paraId="267100CB" w14:textId="7E1448BC" w:rsidR="00EE2A96" w:rsidRDefault="00EE2A96" w:rsidP="0059373F">
            <w:r w:rsidRPr="006B32B5">
              <w:rPr>
                <w:u w:val="single"/>
              </w:rPr>
              <w:t>Efficacy</w:t>
            </w:r>
            <w:r>
              <w:t xml:space="preserve">: </w:t>
            </w:r>
            <w:r w:rsidR="00861C61">
              <w:t>Abstinence</w:t>
            </w:r>
            <w:r>
              <w:t xml:space="preserve"> since last visit. </w:t>
            </w:r>
          </w:p>
          <w:p w14:paraId="58383FE4" w14:textId="77777777" w:rsidR="00EE2A96" w:rsidRDefault="00EE2A96" w:rsidP="0059373F">
            <w:r>
              <w:t>CO: &lt;8 ppm</w:t>
            </w:r>
          </w:p>
          <w:p w14:paraId="00F7E6FF" w14:textId="77777777" w:rsidR="00EE2A96" w:rsidRDefault="00EE2A96" w:rsidP="0059373F">
            <w:pPr>
              <w:rPr>
                <w:u w:val="single"/>
              </w:rPr>
            </w:pPr>
          </w:p>
          <w:p w14:paraId="41657DF5" w14:textId="15CECCE5" w:rsidR="00EE2A96" w:rsidRDefault="00EE2A96" w:rsidP="0059373F">
            <w:r w:rsidRPr="006B32B5">
              <w:rPr>
                <w:u w:val="single"/>
              </w:rPr>
              <w:t>Safety</w:t>
            </w:r>
            <w:r>
              <w:t>: premature birth (</w:t>
            </w:r>
            <w:r w:rsidR="00115AEE">
              <w:t>i.e.,</w:t>
            </w:r>
            <w:r>
              <w:t xml:space="preserve"> at &lt; 37 weeks' gestation); gestational age at birth; mean birthweight and low birthweight &lt; 2500 g.</w:t>
            </w:r>
          </w:p>
        </w:tc>
      </w:tr>
      <w:tr w:rsidR="00EE2A96" w14:paraId="1D616BFC" w14:textId="77777777" w:rsidTr="00EA7016">
        <w:tc>
          <w:tcPr>
            <w:tcW w:w="495" w:type="pct"/>
          </w:tcPr>
          <w:p w14:paraId="60449394" w14:textId="75A321D3" w:rsidR="00EE2A96" w:rsidRDefault="00EE2A96" w:rsidP="0059373F">
            <w:r w:rsidRPr="00AC0A40">
              <w:t xml:space="preserve">Hotham </w:t>
            </w:r>
            <w:r w:rsidR="000C1484">
              <w:t>(</w:t>
            </w:r>
            <w:r w:rsidRPr="00AC0A40">
              <w:t>2006</w:t>
            </w:r>
            <w:r w:rsidR="000C1484">
              <w:t>)</w:t>
            </w:r>
          </w:p>
        </w:tc>
        <w:tc>
          <w:tcPr>
            <w:tcW w:w="309" w:type="pct"/>
          </w:tcPr>
          <w:p w14:paraId="41DE7832" w14:textId="77777777" w:rsidR="00EE2A96" w:rsidRDefault="00EE2A96" w:rsidP="0059373F">
            <w:r>
              <w:t>RCT</w:t>
            </w:r>
          </w:p>
        </w:tc>
        <w:tc>
          <w:tcPr>
            <w:tcW w:w="405" w:type="pct"/>
          </w:tcPr>
          <w:p w14:paraId="0EB5F16E" w14:textId="77777777" w:rsidR="00EE2A96" w:rsidRDefault="00EE2A96" w:rsidP="0059373F">
            <w:r>
              <w:t>Australia</w:t>
            </w:r>
          </w:p>
        </w:tc>
        <w:tc>
          <w:tcPr>
            <w:tcW w:w="319" w:type="pct"/>
          </w:tcPr>
          <w:p w14:paraId="74FBC593" w14:textId="77777777" w:rsidR="00EE2A96" w:rsidRDefault="00EE2A96" w:rsidP="0059373F">
            <w:r>
              <w:t>N=40</w:t>
            </w:r>
          </w:p>
        </w:tc>
        <w:tc>
          <w:tcPr>
            <w:tcW w:w="1272" w:type="pct"/>
          </w:tcPr>
          <w:p w14:paraId="79D79694" w14:textId="3BD54A9A" w:rsidR="00EE2A96" w:rsidRDefault="00861C61" w:rsidP="0059373F">
            <w:r>
              <w:t>Healthy</w:t>
            </w:r>
            <w:r w:rsidR="00EE2A96">
              <w:t xml:space="preserve"> Australian women between 12 and 28 weeks' pregnant and smoking </w:t>
            </w:r>
            <w:r w:rsidR="00115AEE" w:rsidRPr="00990BAA">
              <w:t xml:space="preserve">≥ </w:t>
            </w:r>
            <w:r w:rsidR="00115AEE">
              <w:t>15</w:t>
            </w:r>
            <w:r w:rsidR="00EE2A96">
              <w:t xml:space="preserve"> cigarettes daily with an exhaled breath CO reading of &gt; 8 ppm.</w:t>
            </w:r>
          </w:p>
        </w:tc>
        <w:tc>
          <w:tcPr>
            <w:tcW w:w="1379" w:type="pct"/>
          </w:tcPr>
          <w:p w14:paraId="5EB8A778" w14:textId="77777777" w:rsidR="00EE2A96" w:rsidRPr="00990BAA" w:rsidRDefault="00EE2A96" w:rsidP="00C324F3">
            <w:pPr>
              <w:pStyle w:val="ListParagraph"/>
              <w:numPr>
                <w:ilvl w:val="0"/>
                <w:numId w:val="289"/>
              </w:numPr>
              <w:rPr>
                <w:rFonts w:eastAsia="Calibri" w:cs="Calibri"/>
              </w:rPr>
            </w:pPr>
            <w:r w:rsidRPr="00990BAA">
              <w:rPr>
                <w:rFonts w:eastAsia="Calibri" w:cs="Calibri"/>
              </w:rPr>
              <w:t>Intervention: counselling as above plus an element concerning correct use of NRT plus 15 mg/16-hour</w:t>
            </w:r>
            <w:r>
              <w:rPr>
                <w:rFonts w:eastAsia="Calibri" w:cs="Calibri"/>
              </w:rPr>
              <w:t xml:space="preserve"> </w:t>
            </w:r>
            <w:r w:rsidRPr="00990BAA">
              <w:rPr>
                <w:rFonts w:eastAsia="Calibri" w:cs="Calibri"/>
              </w:rPr>
              <w:t>patches for a maximum of 12 weeks</w:t>
            </w:r>
          </w:p>
          <w:p w14:paraId="6CFDA299" w14:textId="77777777" w:rsidR="00EE2A96" w:rsidRPr="00990BAA" w:rsidRDefault="00EE2A96" w:rsidP="00C324F3">
            <w:pPr>
              <w:pStyle w:val="ListParagraph"/>
              <w:numPr>
                <w:ilvl w:val="0"/>
                <w:numId w:val="289"/>
              </w:numPr>
              <w:rPr>
                <w:rFonts w:eastAsia="Calibri" w:cs="Calibri"/>
              </w:rPr>
            </w:pPr>
            <w:r w:rsidRPr="00990BAA">
              <w:rPr>
                <w:rFonts w:eastAsia="Calibri" w:cs="Calibri"/>
              </w:rPr>
              <w:t>Control group: 5-minute counselling at baseline and further brief counselling (&lt; 2 minutes' duration) at</w:t>
            </w:r>
            <w:r>
              <w:rPr>
                <w:rFonts w:eastAsia="Calibri" w:cs="Calibri"/>
              </w:rPr>
              <w:t xml:space="preserve"> </w:t>
            </w:r>
            <w:r w:rsidRPr="00990BAA">
              <w:rPr>
                <w:rFonts w:eastAsia="Calibri" w:cs="Calibri"/>
              </w:rPr>
              <w:t>follow-up visits</w:t>
            </w:r>
          </w:p>
          <w:p w14:paraId="5953B906" w14:textId="77777777" w:rsidR="00EE2A96" w:rsidRDefault="00EE2A96" w:rsidP="0059373F">
            <w:pPr>
              <w:pStyle w:val="ListParagraph"/>
              <w:ind w:left="360"/>
              <w:rPr>
                <w:rFonts w:eastAsia="Calibri" w:cs="Calibri"/>
              </w:rPr>
            </w:pPr>
          </w:p>
        </w:tc>
        <w:tc>
          <w:tcPr>
            <w:tcW w:w="821" w:type="pct"/>
          </w:tcPr>
          <w:p w14:paraId="7BEDF551" w14:textId="77777777" w:rsidR="00EE2A96" w:rsidRDefault="00EE2A96" w:rsidP="0059373F">
            <w:r w:rsidRPr="006B32B5">
              <w:rPr>
                <w:u w:val="single"/>
              </w:rPr>
              <w:t>Efficacy</w:t>
            </w:r>
            <w:r>
              <w:t xml:space="preserve">: </w:t>
            </w:r>
            <w:r w:rsidRPr="00990BAA">
              <w:t>Smoking cessation (point prevalence) at final antenatal visit.</w:t>
            </w:r>
          </w:p>
          <w:p w14:paraId="72E911F8" w14:textId="77777777" w:rsidR="00EE2A96" w:rsidRDefault="00EE2A96" w:rsidP="0059373F">
            <w:r>
              <w:t xml:space="preserve">CO: </w:t>
            </w:r>
            <w:r w:rsidRPr="00990BAA">
              <w:t>≤</w:t>
            </w:r>
            <w:r>
              <w:t>8 ppm</w:t>
            </w:r>
          </w:p>
          <w:p w14:paraId="72634682" w14:textId="77777777" w:rsidR="00EE2A96" w:rsidRDefault="00EE2A96" w:rsidP="0059373F"/>
          <w:p w14:paraId="6594ED53" w14:textId="77777777" w:rsidR="00EE2A96" w:rsidRDefault="00EE2A96" w:rsidP="0059373F">
            <w:r w:rsidRPr="006B32B5">
              <w:rPr>
                <w:u w:val="single"/>
              </w:rPr>
              <w:t>Safety</w:t>
            </w:r>
            <w:r>
              <w:t xml:space="preserve">: NR. </w:t>
            </w:r>
          </w:p>
        </w:tc>
      </w:tr>
      <w:tr w:rsidR="00EE2A96" w14:paraId="78D9E856" w14:textId="77777777" w:rsidTr="00EA7016">
        <w:tc>
          <w:tcPr>
            <w:tcW w:w="495" w:type="pct"/>
          </w:tcPr>
          <w:p w14:paraId="3D786C6D" w14:textId="027A52A4" w:rsidR="00EE2A96" w:rsidRDefault="00EE2A96" w:rsidP="0059373F">
            <w:r w:rsidRPr="00AC0A40">
              <w:t xml:space="preserve">Kapur </w:t>
            </w:r>
            <w:r w:rsidR="000C1484">
              <w:t>(</w:t>
            </w:r>
            <w:r w:rsidRPr="00AC0A40">
              <w:t>2001</w:t>
            </w:r>
            <w:r w:rsidR="000C1484">
              <w:t>)</w:t>
            </w:r>
          </w:p>
        </w:tc>
        <w:tc>
          <w:tcPr>
            <w:tcW w:w="309" w:type="pct"/>
          </w:tcPr>
          <w:p w14:paraId="4FE46F2F" w14:textId="77777777" w:rsidR="00EE2A96" w:rsidRDefault="00EE2A96" w:rsidP="0059373F">
            <w:r>
              <w:t>RCT</w:t>
            </w:r>
          </w:p>
        </w:tc>
        <w:tc>
          <w:tcPr>
            <w:tcW w:w="405" w:type="pct"/>
          </w:tcPr>
          <w:p w14:paraId="098A32E6" w14:textId="77777777" w:rsidR="00EE2A96" w:rsidRDefault="00EE2A96" w:rsidP="0059373F">
            <w:r>
              <w:t>Canada</w:t>
            </w:r>
          </w:p>
        </w:tc>
        <w:tc>
          <w:tcPr>
            <w:tcW w:w="319" w:type="pct"/>
          </w:tcPr>
          <w:p w14:paraId="15CF4659" w14:textId="77777777" w:rsidR="00EE2A96" w:rsidRDefault="00EE2A96" w:rsidP="0059373F">
            <w:r>
              <w:t>N=30</w:t>
            </w:r>
          </w:p>
        </w:tc>
        <w:tc>
          <w:tcPr>
            <w:tcW w:w="1272" w:type="pct"/>
          </w:tcPr>
          <w:p w14:paraId="4BCA7EED" w14:textId="77777777" w:rsidR="00EE2A96" w:rsidRDefault="00EE2A96" w:rsidP="0059373F">
            <w:r>
              <w:t>Healthy Canadian women between 12 and 24 weeks' pregnant and smoking &gt;= 15 cigarettes daily who want to quit smoking and could not do so in 1st trimester.</w:t>
            </w:r>
          </w:p>
        </w:tc>
        <w:tc>
          <w:tcPr>
            <w:tcW w:w="1379" w:type="pct"/>
          </w:tcPr>
          <w:p w14:paraId="32742596" w14:textId="77777777" w:rsidR="00EE2A96" w:rsidRDefault="00EE2A96" w:rsidP="0059373F">
            <w:pPr>
              <w:pStyle w:val="ListParagraph"/>
              <w:ind w:left="360"/>
              <w:rPr>
                <w:rFonts w:eastAsia="Calibri" w:cs="Calibri"/>
              </w:rPr>
            </w:pPr>
          </w:p>
          <w:p w14:paraId="2CD2BD04" w14:textId="77777777" w:rsidR="00EE2A96" w:rsidRPr="00D01BE2" w:rsidRDefault="00EE2A96" w:rsidP="00C324F3">
            <w:pPr>
              <w:pStyle w:val="ListParagraph"/>
              <w:numPr>
                <w:ilvl w:val="0"/>
                <w:numId w:val="290"/>
              </w:numPr>
              <w:rPr>
                <w:rFonts w:eastAsia="Calibri"/>
              </w:rPr>
            </w:pPr>
            <w:r w:rsidRPr="00D01BE2">
              <w:rPr>
                <w:rFonts w:eastAsia="Calibri"/>
              </w:rPr>
              <w:t xml:space="preserve">12-week course of NRT: 15 mg/18-hour patch for 8 weeks, then 10 mg/18-hour patch for 2 weeks, and finally 5 mg/18-hour patch for 2 weeks. </w:t>
            </w:r>
          </w:p>
          <w:p w14:paraId="2BAA0DE8" w14:textId="77777777" w:rsidR="00EE2A96" w:rsidRPr="00D01BE2" w:rsidRDefault="00EE2A96" w:rsidP="00C324F3">
            <w:pPr>
              <w:pStyle w:val="ListParagraph"/>
              <w:numPr>
                <w:ilvl w:val="0"/>
                <w:numId w:val="290"/>
              </w:numPr>
              <w:rPr>
                <w:rFonts w:eastAsia="Calibri"/>
              </w:rPr>
            </w:pPr>
            <w:r w:rsidRPr="00D01BE2">
              <w:rPr>
                <w:rFonts w:eastAsia="Calibri"/>
              </w:rPr>
              <w:t>Identical placebo patches</w:t>
            </w:r>
          </w:p>
          <w:p w14:paraId="35E453C0" w14:textId="77777777" w:rsidR="00EE2A96" w:rsidRDefault="00EE2A96" w:rsidP="0059373F">
            <w:pPr>
              <w:rPr>
                <w:rFonts w:eastAsia="Calibri"/>
              </w:rPr>
            </w:pPr>
          </w:p>
          <w:p w14:paraId="136DB7C2" w14:textId="77777777" w:rsidR="00EE2A96" w:rsidRDefault="00EE2A96" w:rsidP="0059373F">
            <w:pPr>
              <w:rPr>
                <w:rFonts w:eastAsia="Calibri"/>
              </w:rPr>
            </w:pPr>
          </w:p>
          <w:p w14:paraId="732F3A22" w14:textId="77777777" w:rsidR="00EE2A96" w:rsidRPr="00D01BE2" w:rsidRDefault="00EE2A96" w:rsidP="0059373F">
            <w:pPr>
              <w:rPr>
                <w:rFonts w:eastAsia="Calibri"/>
              </w:rPr>
            </w:pPr>
            <w:r w:rsidRPr="00D01BE2">
              <w:rPr>
                <w:rFonts w:eastAsia="Calibri"/>
                <w:u w:val="single"/>
              </w:rPr>
              <w:t>Common component</w:t>
            </w:r>
            <w:r>
              <w:rPr>
                <w:rFonts w:eastAsia="Calibri"/>
              </w:rPr>
              <w:t xml:space="preserve">: </w:t>
            </w:r>
            <w:r w:rsidRPr="00D01BE2">
              <w:rPr>
                <w:rFonts w:eastAsia="Calibri"/>
              </w:rPr>
              <w:t>Behavioural counselling at baseline</w:t>
            </w:r>
            <w:r>
              <w:rPr>
                <w:rFonts w:eastAsia="Calibri"/>
              </w:rPr>
              <w:t xml:space="preserve"> </w:t>
            </w:r>
            <w:r w:rsidRPr="00D01BE2">
              <w:rPr>
                <w:rFonts w:eastAsia="Calibri"/>
              </w:rPr>
              <w:t>and at all follow-up points.</w:t>
            </w:r>
            <w:r>
              <w:rPr>
                <w:rFonts w:eastAsia="Calibri"/>
              </w:rPr>
              <w:t xml:space="preserve"> </w:t>
            </w:r>
            <w:r w:rsidRPr="00D01BE2">
              <w:rPr>
                <w:rFonts w:eastAsia="Calibri"/>
              </w:rPr>
              <w:t>Counselling at baseline included a video explaining how to use patch; also</w:t>
            </w:r>
          </w:p>
          <w:p w14:paraId="75D60E14" w14:textId="77777777" w:rsidR="00EE2A96" w:rsidRPr="00990BAA" w:rsidRDefault="00EE2A96" w:rsidP="0059373F">
            <w:pPr>
              <w:rPr>
                <w:rFonts w:eastAsia="Calibri"/>
              </w:rPr>
            </w:pPr>
            <w:r w:rsidRPr="00D01BE2">
              <w:rPr>
                <w:rFonts w:eastAsia="Calibri"/>
              </w:rPr>
              <w:t>counselling at all follow-ups. Weekly telephone contact with women</w:t>
            </w:r>
          </w:p>
        </w:tc>
        <w:tc>
          <w:tcPr>
            <w:tcW w:w="821" w:type="pct"/>
          </w:tcPr>
          <w:p w14:paraId="2FE70C7A" w14:textId="327A94D0" w:rsidR="00EE2A96" w:rsidRDefault="00EE2A96" w:rsidP="0059373F">
            <w:r w:rsidRPr="006B32B5">
              <w:rPr>
                <w:u w:val="single"/>
              </w:rPr>
              <w:lastRenderedPageBreak/>
              <w:t>Efficacy</w:t>
            </w:r>
            <w:r>
              <w:t>: Smoking cessation (unclear if point prevalence or continuous cessation measured) 8 weeks into program</w:t>
            </w:r>
          </w:p>
          <w:p w14:paraId="4DD67DDC" w14:textId="77777777" w:rsidR="00EE2A96" w:rsidRDefault="00EE2A96" w:rsidP="0059373F">
            <w:r>
              <w:lastRenderedPageBreak/>
              <w:t>(20 to 32 weeks into pregnancy).</w:t>
            </w:r>
          </w:p>
          <w:p w14:paraId="02DF3882" w14:textId="0C2A1655" w:rsidR="00EE2A96" w:rsidRDefault="00EE2A96" w:rsidP="0059373F">
            <w:r>
              <w:t>Follow-up also at weeks 1 and 4 into program with saliva and seru</w:t>
            </w:r>
            <w:r w:rsidR="00861C61">
              <w:t xml:space="preserve">m cotinine measured at all time </w:t>
            </w:r>
            <w:r>
              <w:t>points.</w:t>
            </w:r>
          </w:p>
          <w:p w14:paraId="48877997" w14:textId="77777777" w:rsidR="00EE2A96" w:rsidRDefault="00EE2A96" w:rsidP="0059373F">
            <w:pPr>
              <w:rPr>
                <w:u w:val="single"/>
              </w:rPr>
            </w:pPr>
          </w:p>
          <w:p w14:paraId="10506FB3" w14:textId="77777777" w:rsidR="00EE2A96" w:rsidRDefault="00EE2A96" w:rsidP="0059373F">
            <w:r w:rsidRPr="006B32B5">
              <w:rPr>
                <w:u w:val="single"/>
              </w:rPr>
              <w:t>Safety</w:t>
            </w:r>
            <w:r>
              <w:t>: NR.</w:t>
            </w:r>
          </w:p>
        </w:tc>
      </w:tr>
      <w:tr w:rsidR="00EE2A96" w14:paraId="78ADE4A5" w14:textId="77777777" w:rsidTr="00EA7016">
        <w:tc>
          <w:tcPr>
            <w:tcW w:w="495" w:type="pct"/>
          </w:tcPr>
          <w:p w14:paraId="5AB321ED" w14:textId="6EDD7614" w:rsidR="00EE2A96" w:rsidRDefault="00EE2A96" w:rsidP="0059373F">
            <w:r w:rsidRPr="00AC0A40">
              <w:lastRenderedPageBreak/>
              <w:t xml:space="preserve">Pollak </w:t>
            </w:r>
            <w:r w:rsidR="000C1484">
              <w:t>(</w:t>
            </w:r>
            <w:r w:rsidRPr="00AC0A40">
              <w:t>2007</w:t>
            </w:r>
            <w:r w:rsidR="000C1484">
              <w:t>)</w:t>
            </w:r>
          </w:p>
        </w:tc>
        <w:tc>
          <w:tcPr>
            <w:tcW w:w="309" w:type="pct"/>
          </w:tcPr>
          <w:p w14:paraId="25297683" w14:textId="77777777" w:rsidR="00EE2A96" w:rsidRDefault="00EE2A96" w:rsidP="0059373F">
            <w:r>
              <w:t>RCT</w:t>
            </w:r>
          </w:p>
        </w:tc>
        <w:tc>
          <w:tcPr>
            <w:tcW w:w="405" w:type="pct"/>
          </w:tcPr>
          <w:p w14:paraId="42B44B45" w14:textId="77777777" w:rsidR="00EE2A96" w:rsidRDefault="00EE2A96" w:rsidP="0059373F">
            <w:r>
              <w:t>USA</w:t>
            </w:r>
          </w:p>
        </w:tc>
        <w:tc>
          <w:tcPr>
            <w:tcW w:w="319" w:type="pct"/>
          </w:tcPr>
          <w:p w14:paraId="19B85B14" w14:textId="77777777" w:rsidR="00EE2A96" w:rsidRDefault="00EE2A96" w:rsidP="0059373F">
            <w:r>
              <w:t>N=181</w:t>
            </w:r>
          </w:p>
        </w:tc>
        <w:tc>
          <w:tcPr>
            <w:tcW w:w="1272" w:type="pct"/>
          </w:tcPr>
          <w:p w14:paraId="508ACCE8" w14:textId="77777777" w:rsidR="00EE2A96" w:rsidRDefault="00EE2A96" w:rsidP="0059373F">
            <w:r>
              <w:t>Healthy US English-speaking women between 13 and 25 weeks' pregnant, smoking &gt;= 5 cigarettes daily, and aged &gt;= 18 years. Must have smoked &gt; 100 cigarettes in lifetime.</w:t>
            </w:r>
          </w:p>
        </w:tc>
        <w:tc>
          <w:tcPr>
            <w:tcW w:w="1379" w:type="pct"/>
          </w:tcPr>
          <w:p w14:paraId="77E3B46C" w14:textId="77777777" w:rsidR="00EE2A96" w:rsidRDefault="00EE2A96" w:rsidP="00C324F3">
            <w:pPr>
              <w:pStyle w:val="ListParagraph"/>
              <w:numPr>
                <w:ilvl w:val="0"/>
                <w:numId w:val="291"/>
              </w:numPr>
              <w:rPr>
                <w:rFonts w:eastAsia="Calibri" w:cs="Calibri"/>
              </w:rPr>
            </w:pPr>
            <w:r w:rsidRPr="001526D9">
              <w:rPr>
                <w:rFonts w:eastAsia="Calibri" w:cs="Calibri"/>
              </w:rPr>
              <w:t>Intervention group: counselling as above but with additional focus on use of NRT. Women permitted</w:t>
            </w:r>
            <w:r>
              <w:rPr>
                <w:rFonts w:eastAsia="Calibri" w:cs="Calibri"/>
              </w:rPr>
              <w:t xml:space="preserve"> </w:t>
            </w:r>
            <w:r w:rsidRPr="001526D9">
              <w:rPr>
                <w:rFonts w:eastAsia="Calibri" w:cs="Calibri"/>
              </w:rPr>
              <w:t>choice of NRT from patch, gum, or lozenge. Patch dose depended</w:t>
            </w:r>
            <w:r>
              <w:rPr>
                <w:rFonts w:eastAsia="Calibri" w:cs="Calibri"/>
              </w:rPr>
              <w:t xml:space="preserve"> </w:t>
            </w:r>
            <w:r w:rsidRPr="001526D9">
              <w:rPr>
                <w:rFonts w:eastAsia="Calibri" w:cs="Calibri"/>
              </w:rPr>
              <w:t>on CPD: &lt; 10 CPD, 7 mg/16 h; 10 to 14</w:t>
            </w:r>
            <w:r>
              <w:rPr>
                <w:rFonts w:eastAsia="Calibri" w:cs="Calibri"/>
              </w:rPr>
              <w:t xml:space="preserve"> </w:t>
            </w:r>
            <w:r w:rsidRPr="001526D9">
              <w:rPr>
                <w:rFonts w:eastAsia="Calibri" w:cs="Calibri"/>
              </w:rPr>
              <w:t>CPD, 14 mg/16 h; &gt;= 15 CPD, 21 mg/16 h.</w:t>
            </w:r>
            <w:r>
              <w:rPr>
                <w:rFonts w:eastAsia="Calibri" w:cs="Calibri"/>
              </w:rPr>
              <w:t xml:space="preserve"> </w:t>
            </w:r>
            <w:r w:rsidRPr="001526D9">
              <w:rPr>
                <w:rFonts w:eastAsia="Calibri" w:cs="Calibri"/>
              </w:rPr>
              <w:t>Where gum or lozenge was used, one 2 mg piece was used for</w:t>
            </w:r>
            <w:r>
              <w:rPr>
                <w:rFonts w:eastAsia="Calibri" w:cs="Calibri"/>
              </w:rPr>
              <w:t xml:space="preserve"> </w:t>
            </w:r>
            <w:r w:rsidRPr="001526D9">
              <w:rPr>
                <w:rFonts w:eastAsia="Calibri" w:cs="Calibri"/>
              </w:rPr>
              <w:t>each cigarette smoked daily.</w:t>
            </w:r>
            <w:r>
              <w:rPr>
                <w:rFonts w:eastAsia="Calibri" w:cs="Calibri"/>
              </w:rPr>
              <w:t xml:space="preserve"> </w:t>
            </w:r>
            <w:r w:rsidRPr="001526D9">
              <w:rPr>
                <w:rFonts w:eastAsia="Calibri" w:cs="Calibri"/>
              </w:rPr>
              <w:t>Maximum of 6 weeks' NRT provided, and no NRT provided when women</w:t>
            </w:r>
            <w:r>
              <w:rPr>
                <w:rFonts w:eastAsia="Calibri" w:cs="Calibri"/>
              </w:rPr>
              <w:t xml:space="preserve"> </w:t>
            </w:r>
            <w:r w:rsidRPr="001526D9">
              <w:rPr>
                <w:rFonts w:eastAsia="Calibri" w:cs="Calibri"/>
              </w:rPr>
              <w:t>returned to smoking</w:t>
            </w:r>
          </w:p>
          <w:p w14:paraId="758D92C2" w14:textId="77777777" w:rsidR="00EE2A96" w:rsidRPr="001526D9" w:rsidRDefault="00EE2A96" w:rsidP="00C324F3">
            <w:pPr>
              <w:pStyle w:val="ListParagraph"/>
              <w:numPr>
                <w:ilvl w:val="0"/>
                <w:numId w:val="291"/>
              </w:numPr>
              <w:rPr>
                <w:rFonts w:eastAsia="Calibri" w:cs="Calibri"/>
              </w:rPr>
            </w:pPr>
            <w:r w:rsidRPr="001526D9">
              <w:rPr>
                <w:rFonts w:eastAsia="Calibri" w:cs="Calibri"/>
              </w:rPr>
              <w:t>Control group: 5 face-to-face and 1 telephone behavioural counselling sessions with booklet and support</w:t>
            </w:r>
            <w:r>
              <w:rPr>
                <w:rFonts w:eastAsia="Calibri" w:cs="Calibri"/>
              </w:rPr>
              <w:t xml:space="preserve"> </w:t>
            </w:r>
            <w:r w:rsidRPr="001526D9">
              <w:rPr>
                <w:rFonts w:eastAsia="Calibri" w:cs="Calibri"/>
              </w:rPr>
              <w:t>materials</w:t>
            </w:r>
          </w:p>
        </w:tc>
        <w:tc>
          <w:tcPr>
            <w:tcW w:w="821" w:type="pct"/>
          </w:tcPr>
          <w:p w14:paraId="534422AC" w14:textId="77777777" w:rsidR="00EE2A96" w:rsidRDefault="00EE2A96" w:rsidP="0059373F">
            <w:r w:rsidRPr="006B32B5">
              <w:rPr>
                <w:u w:val="single"/>
              </w:rPr>
              <w:t>Efficacy</w:t>
            </w:r>
            <w:r>
              <w:t xml:space="preserve">: </w:t>
            </w:r>
            <w:r w:rsidRPr="001526D9">
              <w:t>Self-reported 7-day point prevalence abstinence at 38 weeks.</w:t>
            </w:r>
          </w:p>
          <w:p w14:paraId="77F3069C" w14:textId="77777777" w:rsidR="00EE2A96" w:rsidRDefault="00EE2A96" w:rsidP="0059373F">
            <w:r w:rsidRPr="001526D9">
              <w:t>Saliva samples for cotinine validation were collected</w:t>
            </w:r>
            <w:r>
              <w:t xml:space="preserve">. </w:t>
            </w:r>
          </w:p>
          <w:p w14:paraId="41517E9D" w14:textId="77777777" w:rsidR="00EE2A96" w:rsidRDefault="00EE2A96" w:rsidP="0059373F">
            <w:r>
              <w:t>Cut point for primary outcome &lt;=</w:t>
            </w:r>
          </w:p>
          <w:p w14:paraId="6E733542" w14:textId="77777777" w:rsidR="00EE2A96" w:rsidRDefault="00EE2A96" w:rsidP="0059373F">
            <w:r>
              <w:t xml:space="preserve">10 ng/mL. </w:t>
            </w:r>
          </w:p>
          <w:p w14:paraId="54CF1837" w14:textId="77777777" w:rsidR="00EE2A96" w:rsidRDefault="00EE2A96" w:rsidP="0059373F">
            <w:pPr>
              <w:rPr>
                <w:u w:val="single"/>
              </w:rPr>
            </w:pPr>
          </w:p>
          <w:p w14:paraId="27E0DDE8" w14:textId="77777777" w:rsidR="00EE2A96" w:rsidRDefault="00EE2A96" w:rsidP="0059373F">
            <w:r w:rsidRPr="006B32B5">
              <w:rPr>
                <w:u w:val="single"/>
              </w:rPr>
              <w:t>Safety</w:t>
            </w:r>
            <w:r>
              <w:t xml:space="preserve">: NR. </w:t>
            </w:r>
          </w:p>
        </w:tc>
      </w:tr>
      <w:tr w:rsidR="00EE2A96" w14:paraId="39CD8E98" w14:textId="77777777" w:rsidTr="00EA7016">
        <w:tc>
          <w:tcPr>
            <w:tcW w:w="495" w:type="pct"/>
          </w:tcPr>
          <w:p w14:paraId="42298634" w14:textId="61220BE1" w:rsidR="00EE2A96" w:rsidRDefault="00EE2A96" w:rsidP="0059373F">
            <w:r w:rsidRPr="00AC0A40">
              <w:t xml:space="preserve">Wisborg </w:t>
            </w:r>
            <w:r w:rsidR="000C1484">
              <w:t>(</w:t>
            </w:r>
            <w:r w:rsidRPr="00AC0A40">
              <w:t>2000</w:t>
            </w:r>
            <w:r w:rsidR="000C1484">
              <w:t>)</w:t>
            </w:r>
          </w:p>
        </w:tc>
        <w:tc>
          <w:tcPr>
            <w:tcW w:w="309" w:type="pct"/>
          </w:tcPr>
          <w:p w14:paraId="4E0E40E5" w14:textId="77777777" w:rsidR="00EE2A96" w:rsidRDefault="00EE2A96" w:rsidP="0059373F">
            <w:r>
              <w:t>RCT</w:t>
            </w:r>
          </w:p>
        </w:tc>
        <w:tc>
          <w:tcPr>
            <w:tcW w:w="405" w:type="pct"/>
          </w:tcPr>
          <w:p w14:paraId="13DC8063" w14:textId="77777777" w:rsidR="00EE2A96" w:rsidRDefault="00EE2A96" w:rsidP="0059373F">
            <w:r>
              <w:t>Denmark</w:t>
            </w:r>
          </w:p>
        </w:tc>
        <w:tc>
          <w:tcPr>
            <w:tcW w:w="319" w:type="pct"/>
          </w:tcPr>
          <w:p w14:paraId="0D361EB9" w14:textId="77777777" w:rsidR="00EE2A96" w:rsidRDefault="00EE2A96" w:rsidP="0059373F">
            <w:r>
              <w:t>N=250</w:t>
            </w:r>
          </w:p>
        </w:tc>
        <w:tc>
          <w:tcPr>
            <w:tcW w:w="1272" w:type="pct"/>
          </w:tcPr>
          <w:p w14:paraId="704560FE" w14:textId="77777777" w:rsidR="00EE2A96" w:rsidRDefault="00EE2A96" w:rsidP="0059373F">
            <w:r>
              <w:t>H</w:t>
            </w:r>
            <w:r w:rsidRPr="000A7A63">
              <w:t>ealthy Danish women &lt; 22 weeks' pregnant and smoking &gt;= 10 cigarettes daily</w:t>
            </w:r>
            <w:r>
              <w:t>.</w:t>
            </w:r>
          </w:p>
        </w:tc>
        <w:tc>
          <w:tcPr>
            <w:tcW w:w="1379" w:type="pct"/>
          </w:tcPr>
          <w:p w14:paraId="30A6DC8C" w14:textId="77777777" w:rsidR="00EE2A96" w:rsidRDefault="00EE2A96" w:rsidP="00C324F3">
            <w:pPr>
              <w:pStyle w:val="ListParagraph"/>
              <w:numPr>
                <w:ilvl w:val="0"/>
                <w:numId w:val="292"/>
              </w:numPr>
              <w:rPr>
                <w:rFonts w:eastAsia="Calibri" w:cs="Calibri"/>
              </w:rPr>
            </w:pPr>
            <w:r w:rsidRPr="000A7A63">
              <w:rPr>
                <w:rFonts w:eastAsia="Calibri" w:cs="Calibri"/>
              </w:rPr>
              <w:t>11-week course of NRT patches: 15 mg/16 h for 8 weeks then 10 mg/16 h for 3</w:t>
            </w:r>
            <w:r>
              <w:rPr>
                <w:rFonts w:eastAsia="Calibri" w:cs="Calibri"/>
              </w:rPr>
              <w:t xml:space="preserve"> </w:t>
            </w:r>
            <w:r w:rsidRPr="000A7A63">
              <w:rPr>
                <w:rFonts w:eastAsia="Calibri" w:cs="Calibri"/>
              </w:rPr>
              <w:t>weeks plus behavioural counselling and information pamphlet</w:t>
            </w:r>
          </w:p>
          <w:p w14:paraId="0C67AC79" w14:textId="77777777" w:rsidR="00EE2A96" w:rsidRPr="000A7A63" w:rsidRDefault="00EE2A96" w:rsidP="00C324F3">
            <w:pPr>
              <w:pStyle w:val="ListParagraph"/>
              <w:numPr>
                <w:ilvl w:val="0"/>
                <w:numId w:val="292"/>
              </w:numPr>
              <w:rPr>
                <w:rFonts w:eastAsia="Calibri" w:cs="Calibri"/>
              </w:rPr>
            </w:pPr>
            <w:r>
              <w:rPr>
                <w:rFonts w:eastAsia="Calibri" w:cs="Calibri"/>
              </w:rPr>
              <w:t>I</w:t>
            </w:r>
            <w:r w:rsidRPr="000A7A63">
              <w:rPr>
                <w:rFonts w:eastAsia="Calibri" w:cs="Calibri"/>
              </w:rPr>
              <w:t>dentical placebo</w:t>
            </w:r>
          </w:p>
        </w:tc>
        <w:tc>
          <w:tcPr>
            <w:tcW w:w="821" w:type="pct"/>
          </w:tcPr>
          <w:p w14:paraId="0050479F" w14:textId="77777777" w:rsidR="00EE2A96" w:rsidRDefault="00EE2A96" w:rsidP="0059373F">
            <w:r w:rsidRPr="006B32B5">
              <w:rPr>
                <w:u w:val="single"/>
              </w:rPr>
              <w:t>Efficacy</w:t>
            </w:r>
            <w:r>
              <w:t xml:space="preserve">: </w:t>
            </w:r>
            <w:r w:rsidRPr="000A7A63">
              <w:t>Self-reported abstinence of &gt;= 7 days at 2nd, 3rd, and 4th prenatal visits (4 weeks prior to delivery).</w:t>
            </w:r>
          </w:p>
          <w:p w14:paraId="22D851F1" w14:textId="77777777" w:rsidR="00EE2A96" w:rsidRDefault="00EE2A96" w:rsidP="0059373F"/>
          <w:p w14:paraId="5FCC4059" w14:textId="77777777" w:rsidR="00EE2A96" w:rsidRDefault="00EE2A96" w:rsidP="0059373F">
            <w:r w:rsidRPr="006B32B5">
              <w:rPr>
                <w:u w:val="single"/>
              </w:rPr>
              <w:t>Safety</w:t>
            </w:r>
            <w:r>
              <w:t xml:space="preserve">: NR. </w:t>
            </w:r>
          </w:p>
        </w:tc>
      </w:tr>
      <w:tr w:rsidR="00EE2A96" w14:paraId="48A8F2C3" w14:textId="77777777" w:rsidTr="00EA7016">
        <w:tc>
          <w:tcPr>
            <w:tcW w:w="495" w:type="pct"/>
          </w:tcPr>
          <w:p w14:paraId="1DE42527" w14:textId="031F04E5" w:rsidR="00EE2A96" w:rsidRDefault="00EE2A96" w:rsidP="0059373F">
            <w:r w:rsidRPr="00AC0A40">
              <w:t xml:space="preserve">Oncken </w:t>
            </w:r>
            <w:r w:rsidR="000C1484">
              <w:t>(</w:t>
            </w:r>
            <w:r w:rsidRPr="00AC0A40">
              <w:t>2008</w:t>
            </w:r>
            <w:r w:rsidR="000C1484">
              <w:t>)</w:t>
            </w:r>
          </w:p>
        </w:tc>
        <w:tc>
          <w:tcPr>
            <w:tcW w:w="309" w:type="pct"/>
          </w:tcPr>
          <w:p w14:paraId="54720B07" w14:textId="77777777" w:rsidR="00EE2A96" w:rsidRDefault="00EE2A96" w:rsidP="0059373F">
            <w:r>
              <w:t>RCT</w:t>
            </w:r>
          </w:p>
        </w:tc>
        <w:tc>
          <w:tcPr>
            <w:tcW w:w="405" w:type="pct"/>
          </w:tcPr>
          <w:p w14:paraId="361DFEC9" w14:textId="77777777" w:rsidR="00EE2A96" w:rsidRDefault="00EE2A96" w:rsidP="0059373F">
            <w:r>
              <w:t>USA</w:t>
            </w:r>
          </w:p>
        </w:tc>
        <w:tc>
          <w:tcPr>
            <w:tcW w:w="319" w:type="pct"/>
          </w:tcPr>
          <w:p w14:paraId="37C4266F" w14:textId="77777777" w:rsidR="00EE2A96" w:rsidRDefault="00EE2A96" w:rsidP="0059373F">
            <w:r>
              <w:t>N=194</w:t>
            </w:r>
          </w:p>
        </w:tc>
        <w:tc>
          <w:tcPr>
            <w:tcW w:w="1272" w:type="pct"/>
          </w:tcPr>
          <w:p w14:paraId="7B0339C0" w14:textId="77777777" w:rsidR="00EE2A96" w:rsidRDefault="00EE2A96" w:rsidP="0059373F">
            <w:r>
              <w:t>Healthy, US English-/Spanish-speaking women &lt;= 26 weeks' pregnant, smoking &gt;= 1 cigarette daily and aged &gt;= 16 years.</w:t>
            </w:r>
          </w:p>
        </w:tc>
        <w:tc>
          <w:tcPr>
            <w:tcW w:w="1379" w:type="pct"/>
          </w:tcPr>
          <w:p w14:paraId="45CB7B41" w14:textId="77777777" w:rsidR="00EE2A96" w:rsidRDefault="00EE2A96" w:rsidP="00C324F3">
            <w:pPr>
              <w:pStyle w:val="ListParagraph"/>
              <w:numPr>
                <w:ilvl w:val="0"/>
                <w:numId w:val="293"/>
              </w:numPr>
              <w:rPr>
                <w:rFonts w:eastAsia="Calibri" w:cs="Calibri"/>
              </w:rPr>
            </w:pPr>
            <w:r w:rsidRPr="001911EA">
              <w:rPr>
                <w:rFonts w:eastAsia="Calibri" w:cs="Calibri"/>
              </w:rPr>
              <w:t>12 weeks treatment with either 2 mg NRT gum. 6 weeks full treatment was followed</w:t>
            </w:r>
            <w:r>
              <w:rPr>
                <w:rFonts w:eastAsia="Calibri" w:cs="Calibri"/>
              </w:rPr>
              <w:t xml:space="preserve"> </w:t>
            </w:r>
            <w:r w:rsidRPr="001911EA">
              <w:rPr>
                <w:rFonts w:eastAsia="Calibri" w:cs="Calibri"/>
              </w:rPr>
              <w:t xml:space="preserve">by 6 weeks tapering of treatment. Instructed not to chew &gt; 20 </w:t>
            </w:r>
            <w:r w:rsidRPr="001911EA">
              <w:rPr>
                <w:rFonts w:eastAsia="Calibri" w:cs="Calibri"/>
              </w:rPr>
              <w:lastRenderedPageBreak/>
              <w:t>pieces daily and to use 1 piece of gum for each substituted cigarette.</w:t>
            </w:r>
          </w:p>
          <w:p w14:paraId="2A4433DF" w14:textId="77777777" w:rsidR="00EE2A96" w:rsidRDefault="00EE2A96" w:rsidP="00C324F3">
            <w:pPr>
              <w:pStyle w:val="ListParagraph"/>
              <w:numPr>
                <w:ilvl w:val="0"/>
                <w:numId w:val="293"/>
              </w:numPr>
              <w:rPr>
                <w:rFonts w:eastAsia="Calibri" w:cs="Calibri"/>
              </w:rPr>
            </w:pPr>
            <w:r w:rsidRPr="001911EA">
              <w:rPr>
                <w:rFonts w:eastAsia="Calibri" w:cs="Calibri"/>
              </w:rPr>
              <w:t>or identical placebo</w:t>
            </w:r>
          </w:p>
          <w:p w14:paraId="1586C1E3" w14:textId="77777777" w:rsidR="00EE2A96" w:rsidRDefault="00EE2A96" w:rsidP="0059373F">
            <w:pPr>
              <w:rPr>
                <w:rFonts w:eastAsia="Calibri" w:cs="Calibri"/>
              </w:rPr>
            </w:pPr>
          </w:p>
          <w:p w14:paraId="6DC8ED11" w14:textId="77777777" w:rsidR="00EE2A96" w:rsidRPr="001911EA" w:rsidRDefault="00EE2A96" w:rsidP="0059373F">
            <w:pPr>
              <w:rPr>
                <w:rFonts w:eastAsia="Calibri" w:cs="Calibri"/>
              </w:rPr>
            </w:pPr>
            <w:r w:rsidRPr="001911EA">
              <w:rPr>
                <w:rFonts w:eastAsia="Calibri" w:cs="Calibri"/>
                <w:u w:val="single"/>
              </w:rPr>
              <w:t>Common component</w:t>
            </w:r>
            <w:r>
              <w:rPr>
                <w:rFonts w:eastAsia="Calibri" w:cs="Calibri"/>
              </w:rPr>
              <w:t>: A</w:t>
            </w:r>
            <w:r w:rsidRPr="001911EA">
              <w:rPr>
                <w:rFonts w:eastAsia="Calibri" w:cs="Calibri"/>
              </w:rPr>
              <w:t>ll participants received individual counselling at</w:t>
            </w:r>
          </w:p>
          <w:p w14:paraId="503B8994" w14:textId="77777777" w:rsidR="00EE2A96" w:rsidRPr="001911EA" w:rsidRDefault="00EE2A96" w:rsidP="0059373F">
            <w:pPr>
              <w:rPr>
                <w:rFonts w:eastAsia="Calibri" w:cs="Calibri"/>
              </w:rPr>
            </w:pPr>
            <w:r w:rsidRPr="001911EA">
              <w:rPr>
                <w:rFonts w:eastAsia="Calibri" w:cs="Calibri"/>
              </w:rPr>
              <w:t>baseline and at all 8 follow-ups: 2, 35-minute counselling sessions at baseline and within 1 week of quit</w:t>
            </w:r>
            <w:r>
              <w:rPr>
                <w:rFonts w:eastAsia="Calibri" w:cs="Calibri"/>
              </w:rPr>
              <w:t xml:space="preserve"> </w:t>
            </w:r>
            <w:r w:rsidRPr="001911EA">
              <w:rPr>
                <w:rFonts w:eastAsia="Calibri" w:cs="Calibri"/>
              </w:rPr>
              <w:t>date and shorter sessions at other follow-ups.</w:t>
            </w:r>
          </w:p>
        </w:tc>
        <w:tc>
          <w:tcPr>
            <w:tcW w:w="821" w:type="pct"/>
          </w:tcPr>
          <w:p w14:paraId="1719DBE5" w14:textId="77777777" w:rsidR="00EE2A96" w:rsidRDefault="00EE2A96" w:rsidP="0059373F">
            <w:r w:rsidRPr="006B32B5">
              <w:rPr>
                <w:u w:val="single"/>
              </w:rPr>
              <w:lastRenderedPageBreak/>
              <w:t>Efficacy</w:t>
            </w:r>
            <w:r>
              <w:t xml:space="preserve">: Self-reported 7-day point prevalence abstinence at 6 weeks </w:t>
            </w:r>
            <w:r>
              <w:lastRenderedPageBreak/>
              <w:t>after treatment commenced, at 32 to 35</w:t>
            </w:r>
          </w:p>
          <w:p w14:paraId="56158D99" w14:textId="77777777" w:rsidR="00EE2A96" w:rsidRDefault="00EE2A96" w:rsidP="0059373F">
            <w:r>
              <w:t xml:space="preserve">weeks of pregnancy, and at 6 to 12 weeks after delivery. </w:t>
            </w:r>
          </w:p>
          <w:p w14:paraId="13E60345" w14:textId="77777777" w:rsidR="00EE2A96" w:rsidRDefault="00EE2A96" w:rsidP="0059373F">
            <w:r>
              <w:t>Exhaled CO of less than 8 ppm used for validation</w:t>
            </w:r>
          </w:p>
          <w:p w14:paraId="7A183BFD" w14:textId="77777777" w:rsidR="00EE2A96" w:rsidRDefault="00EE2A96" w:rsidP="0059373F">
            <w:r>
              <w:t>all time points.</w:t>
            </w:r>
          </w:p>
          <w:p w14:paraId="0EC25585" w14:textId="77777777" w:rsidR="00EE2A96" w:rsidRDefault="00EE2A96" w:rsidP="0059373F"/>
          <w:p w14:paraId="5057857D" w14:textId="77777777" w:rsidR="00EE2A96" w:rsidRDefault="00EE2A96" w:rsidP="0059373F">
            <w:r w:rsidRPr="006B32B5">
              <w:rPr>
                <w:u w:val="single"/>
              </w:rPr>
              <w:t>Safety</w:t>
            </w:r>
            <w:r>
              <w:t xml:space="preserve">: NR. </w:t>
            </w:r>
          </w:p>
        </w:tc>
      </w:tr>
      <w:tr w:rsidR="00EE2A96" w14:paraId="7E169546" w14:textId="77777777" w:rsidTr="00EA7016">
        <w:tc>
          <w:tcPr>
            <w:tcW w:w="495" w:type="pct"/>
          </w:tcPr>
          <w:p w14:paraId="14760154" w14:textId="491BA113" w:rsidR="00EE2A96" w:rsidRDefault="00EE2A96" w:rsidP="0059373F">
            <w:r w:rsidRPr="00AC0A40">
              <w:lastRenderedPageBreak/>
              <w:t xml:space="preserve">Oncken </w:t>
            </w:r>
            <w:r w:rsidR="000C1484">
              <w:t>(</w:t>
            </w:r>
            <w:r w:rsidRPr="00AC0A40">
              <w:t>2019</w:t>
            </w:r>
            <w:r w:rsidR="000C1484">
              <w:t>)</w:t>
            </w:r>
          </w:p>
        </w:tc>
        <w:tc>
          <w:tcPr>
            <w:tcW w:w="309" w:type="pct"/>
          </w:tcPr>
          <w:p w14:paraId="0E1DA8DE" w14:textId="77777777" w:rsidR="00EE2A96" w:rsidRDefault="00EE2A96" w:rsidP="0059373F">
            <w:r>
              <w:t>RCT</w:t>
            </w:r>
          </w:p>
        </w:tc>
        <w:tc>
          <w:tcPr>
            <w:tcW w:w="405" w:type="pct"/>
          </w:tcPr>
          <w:p w14:paraId="22E40CB7" w14:textId="77777777" w:rsidR="00EE2A96" w:rsidRDefault="00EE2A96" w:rsidP="0059373F">
            <w:r>
              <w:t>USA</w:t>
            </w:r>
          </w:p>
        </w:tc>
        <w:tc>
          <w:tcPr>
            <w:tcW w:w="319" w:type="pct"/>
          </w:tcPr>
          <w:p w14:paraId="21C88792" w14:textId="77777777" w:rsidR="00EE2A96" w:rsidRDefault="00EE2A96" w:rsidP="0059373F">
            <w:r>
              <w:t>N=137</w:t>
            </w:r>
          </w:p>
        </w:tc>
        <w:tc>
          <w:tcPr>
            <w:tcW w:w="1272" w:type="pct"/>
          </w:tcPr>
          <w:p w14:paraId="2505C3A2" w14:textId="77777777" w:rsidR="00EE2A96" w:rsidRDefault="00EE2A96" w:rsidP="0059373F">
            <w:r>
              <w:t>Healthy US English-/Spanish-speaking women smoking at least 5 cigarettes per day, 13 to 26 weeks’ gestation, a 16 years of age, intending to carry their pregnancy to term, and living in a stable residence.</w:t>
            </w:r>
          </w:p>
        </w:tc>
        <w:tc>
          <w:tcPr>
            <w:tcW w:w="1379" w:type="pct"/>
          </w:tcPr>
          <w:p w14:paraId="692EDE4A" w14:textId="77777777" w:rsidR="00EE2A96" w:rsidRDefault="00EE2A96" w:rsidP="00C324F3">
            <w:pPr>
              <w:pStyle w:val="ListParagraph"/>
              <w:numPr>
                <w:ilvl w:val="0"/>
                <w:numId w:val="294"/>
              </w:numPr>
              <w:rPr>
                <w:rFonts w:eastAsia="Calibri" w:cs="Calibri"/>
              </w:rPr>
            </w:pPr>
            <w:r>
              <w:rPr>
                <w:rFonts w:eastAsia="Calibri" w:cs="Calibri"/>
              </w:rPr>
              <w:t>N</w:t>
            </w:r>
            <w:r w:rsidRPr="008A25FE">
              <w:rPr>
                <w:rFonts w:eastAsia="Calibri" w:cs="Calibri"/>
              </w:rPr>
              <w:t>icotine inhaler</w:t>
            </w:r>
            <w:r>
              <w:rPr>
                <w:rFonts w:eastAsia="Calibri" w:cs="Calibri"/>
              </w:rPr>
              <w:t xml:space="preserve">: </w:t>
            </w:r>
            <w:r w:rsidRPr="008A25FE">
              <w:rPr>
                <w:rFonts w:eastAsia="Calibri" w:cs="Calibri"/>
              </w:rPr>
              <w:t>6 weeks' treatment using NICOTROL inhaler (nicotine inhalation system) delivering 4 mg of nicotine</w:t>
            </w:r>
            <w:r>
              <w:rPr>
                <w:rFonts w:eastAsia="Calibri" w:cs="Calibri"/>
              </w:rPr>
              <w:t xml:space="preserve"> </w:t>
            </w:r>
            <w:r w:rsidRPr="008A25FE">
              <w:rPr>
                <w:rFonts w:eastAsia="Calibri" w:cs="Calibri"/>
              </w:rPr>
              <w:t>from a porous plug containing 10 mg nicotine</w:t>
            </w:r>
          </w:p>
          <w:p w14:paraId="46129ED0" w14:textId="77777777" w:rsidR="00EE2A96" w:rsidRPr="008A25FE" w:rsidRDefault="00EE2A96" w:rsidP="00C324F3">
            <w:pPr>
              <w:pStyle w:val="ListParagraph"/>
              <w:numPr>
                <w:ilvl w:val="0"/>
                <w:numId w:val="294"/>
              </w:numPr>
              <w:rPr>
                <w:rFonts w:eastAsia="Calibri" w:cs="Calibri"/>
              </w:rPr>
            </w:pPr>
            <w:r>
              <w:rPr>
                <w:rFonts w:eastAsia="Calibri" w:cs="Calibri"/>
              </w:rPr>
              <w:t>Placebo</w:t>
            </w:r>
          </w:p>
        </w:tc>
        <w:tc>
          <w:tcPr>
            <w:tcW w:w="821" w:type="pct"/>
          </w:tcPr>
          <w:p w14:paraId="53637AE9" w14:textId="77777777" w:rsidR="00EE2A96" w:rsidRDefault="00EE2A96" w:rsidP="0059373F">
            <w:r w:rsidRPr="006B32B5">
              <w:rPr>
                <w:u w:val="single"/>
              </w:rPr>
              <w:t>Efficacy</w:t>
            </w:r>
            <w:r>
              <w:t>: Self-reported 7-day point prevalence abstinence at 6 weeks after quit date, at 32 to 36 weeks of pregnancy,</w:t>
            </w:r>
          </w:p>
          <w:p w14:paraId="2A6F2552" w14:textId="77777777" w:rsidR="00EE2A96" w:rsidRDefault="00EE2A96" w:rsidP="0059373F">
            <w:r>
              <w:t xml:space="preserve">and at 1 and 6 months after delivery. </w:t>
            </w:r>
          </w:p>
          <w:p w14:paraId="27A0A696" w14:textId="6A79E0AA" w:rsidR="00EE2A96" w:rsidRDefault="00EE2A96" w:rsidP="0059373F">
            <w:r>
              <w:t>Exhaled CO of less than 4</w:t>
            </w:r>
            <w:r w:rsidR="00861C61">
              <w:t xml:space="preserve"> ppm used for validation at all </w:t>
            </w:r>
            <w:r>
              <w:t>time points.</w:t>
            </w:r>
          </w:p>
          <w:p w14:paraId="5923942B" w14:textId="77777777" w:rsidR="00EE2A96" w:rsidRDefault="00EE2A96" w:rsidP="0059373F"/>
          <w:p w14:paraId="44F820FE" w14:textId="77777777" w:rsidR="00EE2A96" w:rsidRDefault="00EE2A96" w:rsidP="0059373F">
            <w:r w:rsidRPr="006B32B5">
              <w:rPr>
                <w:u w:val="single"/>
              </w:rPr>
              <w:t>Safety</w:t>
            </w:r>
            <w:r>
              <w:t xml:space="preserve">: NR. </w:t>
            </w:r>
          </w:p>
        </w:tc>
      </w:tr>
      <w:tr w:rsidR="00EE2A96" w14:paraId="451D086D" w14:textId="77777777" w:rsidTr="00EA7016">
        <w:tc>
          <w:tcPr>
            <w:tcW w:w="5000" w:type="pct"/>
            <w:gridSpan w:val="7"/>
            <w:shd w:val="clear" w:color="auto" w:fill="D9D9D9" w:themeFill="background1" w:themeFillShade="D9"/>
          </w:tcPr>
          <w:p w14:paraId="436998F0" w14:textId="77777777" w:rsidR="00EE2A96" w:rsidRPr="00440B3C" w:rsidRDefault="00EE2A96" w:rsidP="0059373F">
            <w:pPr>
              <w:rPr>
                <w:b/>
                <w:bCs/>
              </w:rPr>
            </w:pPr>
            <w:r w:rsidRPr="00440B3C">
              <w:rPr>
                <w:b/>
                <w:bCs/>
              </w:rPr>
              <w:t>Bupropion</w:t>
            </w:r>
          </w:p>
        </w:tc>
      </w:tr>
      <w:tr w:rsidR="00EE2A96" w14:paraId="4DD9177B" w14:textId="77777777" w:rsidTr="00EA7016">
        <w:tc>
          <w:tcPr>
            <w:tcW w:w="495" w:type="pct"/>
          </w:tcPr>
          <w:p w14:paraId="05D92441" w14:textId="2F6742BE" w:rsidR="00EE2A96" w:rsidRDefault="00EE2A96" w:rsidP="0059373F">
            <w:r w:rsidRPr="00AC0A40">
              <w:t xml:space="preserve">Stotts </w:t>
            </w:r>
            <w:r w:rsidR="000C1484">
              <w:t>(</w:t>
            </w:r>
            <w:r w:rsidRPr="00AC0A40">
              <w:t>2015</w:t>
            </w:r>
            <w:r w:rsidR="000C1484">
              <w:t>)</w:t>
            </w:r>
          </w:p>
        </w:tc>
        <w:tc>
          <w:tcPr>
            <w:tcW w:w="309" w:type="pct"/>
          </w:tcPr>
          <w:p w14:paraId="76507F3E" w14:textId="77777777" w:rsidR="00EE2A96" w:rsidRDefault="00EE2A96" w:rsidP="0059373F">
            <w:r>
              <w:t>RCT</w:t>
            </w:r>
          </w:p>
        </w:tc>
        <w:tc>
          <w:tcPr>
            <w:tcW w:w="405" w:type="pct"/>
          </w:tcPr>
          <w:p w14:paraId="092E5F1E" w14:textId="1C8B9E1D" w:rsidR="00EE2A96" w:rsidRDefault="000C1484" w:rsidP="0059373F">
            <w:r>
              <w:t>NR</w:t>
            </w:r>
          </w:p>
        </w:tc>
        <w:tc>
          <w:tcPr>
            <w:tcW w:w="319" w:type="pct"/>
          </w:tcPr>
          <w:p w14:paraId="5303C376" w14:textId="77777777" w:rsidR="00EE2A96" w:rsidRDefault="00EE2A96" w:rsidP="0059373F">
            <w:r>
              <w:t>N=11</w:t>
            </w:r>
          </w:p>
        </w:tc>
        <w:tc>
          <w:tcPr>
            <w:tcW w:w="1272" w:type="pct"/>
          </w:tcPr>
          <w:p w14:paraId="526E5D3C" w14:textId="77777777" w:rsidR="00EE2A96" w:rsidRDefault="00EE2A96" w:rsidP="0059373F">
            <w:r>
              <w:t xml:space="preserve">Pregnant women at least 18 years old; 14 to 26 weeks’ gestation; and currently smoking at least 1 daily cigarette. </w:t>
            </w:r>
          </w:p>
          <w:p w14:paraId="6EFB98B1" w14:textId="77777777" w:rsidR="00EE2A96" w:rsidRDefault="00EE2A96" w:rsidP="0059373F"/>
          <w:p w14:paraId="451DAC98" w14:textId="77777777" w:rsidR="00EE2A96" w:rsidRDefault="00EE2A96" w:rsidP="0059373F">
            <w:r w:rsidRPr="00A10950">
              <w:rPr>
                <w:u w:val="single"/>
              </w:rPr>
              <w:t>Exclusion</w:t>
            </w:r>
            <w:r>
              <w:t xml:space="preserve">: Women were excluded if they had abnormal LFTs; history of or current seizure disorder or closed head injury with loss of consciousness; hypersensitivity to bupropion; any psychiatric disorder requiring psychotropic medication; current anorexia or bulimia; monoamine oxidase use in the past 2 weeks; major </w:t>
            </w:r>
            <w:r>
              <w:lastRenderedPageBreak/>
              <w:t>depression or risk of suicide; illicit substance use in the past 30 days; &gt; 1 alcoholic drink/week; unstable medical problems; multiple pregnancy; fetal structural anomaly; planned birth at</w:t>
            </w:r>
          </w:p>
          <w:p w14:paraId="1E732B72" w14:textId="77777777" w:rsidR="00EE2A96" w:rsidRDefault="00EE2A96" w:rsidP="0059373F">
            <w:r>
              <w:t>a non-affiliated hospital; communication problems or lack of transport/phone; or current use of NRT, bupropion, or varenicline.</w:t>
            </w:r>
          </w:p>
        </w:tc>
        <w:tc>
          <w:tcPr>
            <w:tcW w:w="1379" w:type="pct"/>
          </w:tcPr>
          <w:p w14:paraId="4356814A" w14:textId="77777777" w:rsidR="00EE2A96" w:rsidRDefault="00EE2A96" w:rsidP="00C324F3">
            <w:pPr>
              <w:pStyle w:val="ListParagraph"/>
              <w:numPr>
                <w:ilvl w:val="0"/>
                <w:numId w:val="295"/>
              </w:numPr>
              <w:rPr>
                <w:rFonts w:eastAsia="Calibri" w:cs="Calibri"/>
              </w:rPr>
            </w:pPr>
            <w:r w:rsidRPr="00A10950">
              <w:rPr>
                <w:rFonts w:eastAsia="Calibri" w:cs="Calibri"/>
              </w:rPr>
              <w:lastRenderedPageBreak/>
              <w:t>Bupropion SR</w:t>
            </w:r>
            <w:r>
              <w:rPr>
                <w:rFonts w:eastAsia="Calibri" w:cs="Calibri"/>
              </w:rPr>
              <w:t xml:space="preserve"> </w:t>
            </w:r>
            <w:r w:rsidRPr="00A10950">
              <w:rPr>
                <w:rFonts w:eastAsia="Calibri" w:cs="Calibri"/>
              </w:rPr>
              <w:t>dosed at 150 mg/day for the first 3 days and 300</w:t>
            </w:r>
            <w:r>
              <w:rPr>
                <w:rFonts w:eastAsia="Calibri" w:cs="Calibri"/>
              </w:rPr>
              <w:t xml:space="preserve"> </w:t>
            </w:r>
            <w:r w:rsidRPr="00A10950">
              <w:rPr>
                <w:rFonts w:eastAsia="Calibri" w:cs="Calibri"/>
              </w:rPr>
              <w:t>mg/day thereafter (150 mg twice a day)</w:t>
            </w:r>
          </w:p>
          <w:p w14:paraId="68AADBA8" w14:textId="77777777" w:rsidR="00EE2A96" w:rsidRPr="00A10950" w:rsidRDefault="00EE2A96" w:rsidP="00C324F3">
            <w:pPr>
              <w:pStyle w:val="ListParagraph"/>
              <w:numPr>
                <w:ilvl w:val="0"/>
                <w:numId w:val="295"/>
              </w:numPr>
              <w:rPr>
                <w:rFonts w:eastAsia="Calibri" w:cs="Calibri"/>
              </w:rPr>
            </w:pPr>
            <w:r>
              <w:rPr>
                <w:rFonts w:eastAsia="Calibri" w:cs="Calibri"/>
              </w:rPr>
              <w:t>M</w:t>
            </w:r>
            <w:r w:rsidRPr="00A10950">
              <w:rPr>
                <w:rFonts w:eastAsia="Calibri" w:cs="Calibri"/>
              </w:rPr>
              <w:t>atching placebo</w:t>
            </w:r>
          </w:p>
        </w:tc>
        <w:tc>
          <w:tcPr>
            <w:tcW w:w="821" w:type="pct"/>
          </w:tcPr>
          <w:p w14:paraId="7DB9ABD2" w14:textId="77777777" w:rsidR="00EE2A96" w:rsidRDefault="00EE2A96" w:rsidP="0059373F">
            <w:r w:rsidRPr="006B32B5">
              <w:rPr>
                <w:u w:val="single"/>
              </w:rPr>
              <w:t>Efficacy</w:t>
            </w:r>
            <w:r>
              <w:t>: self-reported total abstinence in the prior 7 days (7-day point</w:t>
            </w:r>
          </w:p>
          <w:p w14:paraId="570197CA" w14:textId="77777777" w:rsidR="00EE2A96" w:rsidRDefault="00EE2A96" w:rsidP="0059373F">
            <w:r>
              <w:t>prevalence) with saliva cotinine validation at the end of treatment. Saliva cotinine assays used a cut</w:t>
            </w:r>
          </w:p>
          <w:p w14:paraId="73290E00" w14:textId="77777777" w:rsidR="00EE2A96" w:rsidRDefault="00EE2A96" w:rsidP="0059373F">
            <w:r>
              <w:t>point of &gt; 20 ng/mL indicating regular smoking.</w:t>
            </w:r>
          </w:p>
          <w:p w14:paraId="090B0C3E" w14:textId="77777777" w:rsidR="00EE2A96" w:rsidRDefault="00EE2A96" w:rsidP="0059373F"/>
          <w:p w14:paraId="07E14BEB" w14:textId="77777777" w:rsidR="00EE2A96" w:rsidRDefault="00EE2A96" w:rsidP="0059373F"/>
          <w:p w14:paraId="692A1BFC" w14:textId="77777777" w:rsidR="00EE2A96" w:rsidRDefault="00EE2A96" w:rsidP="0059373F">
            <w:r w:rsidRPr="006B32B5">
              <w:rPr>
                <w:u w:val="single"/>
              </w:rPr>
              <w:lastRenderedPageBreak/>
              <w:t>Safety</w:t>
            </w:r>
            <w:r>
              <w:t>: Maternal, perinatal, and neonatal outcomes assessed included intrauterine fetal death, spontaneous abortion, placental abruption, preterm birth (&lt; 37 weeks, 0 days), pre-eclampsia, maternal weight gain, birthweight, umbilical artery pH, gestational age at delivery, fetal growth restriction (birthweight &lt; 10th percentile), neonatal intensive care unit admission, respiratory complications</w:t>
            </w:r>
          </w:p>
          <w:p w14:paraId="0F80736F" w14:textId="77777777" w:rsidR="00EE2A96" w:rsidRDefault="00EE2A96" w:rsidP="0059373F">
            <w:r>
              <w:t>(per physician notes).</w:t>
            </w:r>
          </w:p>
        </w:tc>
      </w:tr>
      <w:tr w:rsidR="00EE2A96" w14:paraId="0AC902C8" w14:textId="77777777" w:rsidTr="00EA7016">
        <w:tc>
          <w:tcPr>
            <w:tcW w:w="495" w:type="pct"/>
          </w:tcPr>
          <w:p w14:paraId="1C669F54" w14:textId="486F6267" w:rsidR="00EE2A96" w:rsidRDefault="00EE2A96" w:rsidP="0059373F">
            <w:r w:rsidRPr="00AC0A40">
              <w:lastRenderedPageBreak/>
              <w:t xml:space="preserve">Nanovskaya </w:t>
            </w:r>
            <w:r w:rsidR="000C1484">
              <w:t>(</w:t>
            </w:r>
            <w:r w:rsidRPr="00AC0A40">
              <w:t>2017</w:t>
            </w:r>
            <w:r w:rsidR="000C1484">
              <w:t>)</w:t>
            </w:r>
          </w:p>
        </w:tc>
        <w:tc>
          <w:tcPr>
            <w:tcW w:w="309" w:type="pct"/>
          </w:tcPr>
          <w:p w14:paraId="27FB2498" w14:textId="77777777" w:rsidR="00EE2A96" w:rsidRDefault="00EE2A96" w:rsidP="0059373F">
            <w:r>
              <w:t>RCT</w:t>
            </w:r>
          </w:p>
        </w:tc>
        <w:tc>
          <w:tcPr>
            <w:tcW w:w="405" w:type="pct"/>
          </w:tcPr>
          <w:p w14:paraId="68B7B535" w14:textId="613A7E8D" w:rsidR="00EE2A96" w:rsidRDefault="000C1484" w:rsidP="0059373F">
            <w:r>
              <w:t>NR</w:t>
            </w:r>
          </w:p>
        </w:tc>
        <w:tc>
          <w:tcPr>
            <w:tcW w:w="319" w:type="pct"/>
          </w:tcPr>
          <w:p w14:paraId="6AAF91DC" w14:textId="77777777" w:rsidR="00EE2A96" w:rsidRDefault="00EE2A96" w:rsidP="0059373F">
            <w:r>
              <w:t>N=65</w:t>
            </w:r>
          </w:p>
        </w:tc>
        <w:tc>
          <w:tcPr>
            <w:tcW w:w="1272" w:type="pct"/>
          </w:tcPr>
          <w:p w14:paraId="6C7B9C6E" w14:textId="721DBF1B" w:rsidR="00EE2A96" w:rsidRDefault="00EE2A96" w:rsidP="0059373F">
            <w:r>
              <w:t>Pregnant women, 18 years of age, between 13 and 30 weeks’ gestation, smoking a 10 cigarettes per day prior to pregnancy and 5 cigarettes per day for the preceding 7 days, English or Spanish speaking, and having the intent to carry to term.</w:t>
            </w:r>
          </w:p>
        </w:tc>
        <w:tc>
          <w:tcPr>
            <w:tcW w:w="1379" w:type="pct"/>
          </w:tcPr>
          <w:p w14:paraId="5D2D1D4C" w14:textId="77777777" w:rsidR="00EE2A96" w:rsidRDefault="00EE2A96" w:rsidP="00C324F3">
            <w:pPr>
              <w:pStyle w:val="ListParagraph"/>
              <w:numPr>
                <w:ilvl w:val="0"/>
                <w:numId w:val="296"/>
              </w:numPr>
              <w:rPr>
                <w:rFonts w:eastAsia="Calibri" w:cs="Calibri"/>
              </w:rPr>
            </w:pPr>
            <w:r>
              <w:rPr>
                <w:rFonts w:eastAsia="Calibri" w:cs="Calibri"/>
              </w:rPr>
              <w:t>B</w:t>
            </w:r>
            <w:r w:rsidRPr="00EC503F">
              <w:rPr>
                <w:rFonts w:eastAsia="Calibri" w:cs="Calibri"/>
              </w:rPr>
              <w:t>upropion SR orally once daily for 3 days followed by twice daily for a total medication</w:t>
            </w:r>
            <w:r>
              <w:rPr>
                <w:rFonts w:eastAsia="Calibri" w:cs="Calibri"/>
              </w:rPr>
              <w:t xml:space="preserve"> </w:t>
            </w:r>
            <w:r w:rsidRPr="00EC503F">
              <w:rPr>
                <w:rFonts w:eastAsia="Calibri" w:cs="Calibri"/>
              </w:rPr>
              <w:t>treatment of 12 weeks</w:t>
            </w:r>
          </w:p>
          <w:p w14:paraId="26C9D7D5" w14:textId="77777777" w:rsidR="00EE2A96" w:rsidRDefault="00EE2A96" w:rsidP="00C324F3">
            <w:pPr>
              <w:pStyle w:val="ListParagraph"/>
              <w:numPr>
                <w:ilvl w:val="0"/>
                <w:numId w:val="296"/>
              </w:numPr>
              <w:rPr>
                <w:rFonts w:eastAsia="Calibri" w:cs="Calibri"/>
              </w:rPr>
            </w:pPr>
            <w:r>
              <w:rPr>
                <w:rFonts w:eastAsia="Calibri" w:cs="Calibri"/>
              </w:rPr>
              <w:t>Placebo</w:t>
            </w:r>
          </w:p>
          <w:p w14:paraId="2869DD73" w14:textId="77777777" w:rsidR="00EE2A96" w:rsidRDefault="00EE2A96" w:rsidP="0059373F">
            <w:pPr>
              <w:rPr>
                <w:rFonts w:eastAsia="Calibri" w:cs="Calibri"/>
              </w:rPr>
            </w:pPr>
          </w:p>
          <w:p w14:paraId="00613ACE" w14:textId="77777777" w:rsidR="00EE2A96" w:rsidRPr="00EC503F" w:rsidRDefault="00EE2A96" w:rsidP="0059373F">
            <w:pPr>
              <w:rPr>
                <w:rFonts w:eastAsia="Calibri" w:cs="Calibri"/>
              </w:rPr>
            </w:pPr>
            <w:r w:rsidRPr="00EC503F">
              <w:rPr>
                <w:rFonts w:eastAsia="Calibri" w:cs="Calibri"/>
                <w:u w:val="single"/>
              </w:rPr>
              <w:t>Common component</w:t>
            </w:r>
            <w:r>
              <w:rPr>
                <w:rFonts w:eastAsia="Calibri" w:cs="Calibri"/>
              </w:rPr>
              <w:t xml:space="preserve">: </w:t>
            </w:r>
            <w:r w:rsidRPr="00EC503F">
              <w:rPr>
                <w:rFonts w:eastAsia="Calibri" w:cs="Calibri"/>
              </w:rPr>
              <w:t>Both groups received behavioural interventions, which included 35-minute counselling sessions at</w:t>
            </w:r>
          </w:p>
          <w:p w14:paraId="2D19A2E4" w14:textId="77777777" w:rsidR="00EE2A96" w:rsidRPr="00EC503F" w:rsidRDefault="00EE2A96" w:rsidP="0059373F">
            <w:pPr>
              <w:rPr>
                <w:rFonts w:eastAsia="Calibri" w:cs="Calibri"/>
              </w:rPr>
            </w:pPr>
            <w:r w:rsidRPr="00EC503F">
              <w:rPr>
                <w:rFonts w:eastAsia="Calibri" w:cs="Calibri"/>
              </w:rPr>
              <w:t>each of the first 2 visits (enrolment and on the quit day) and 10 minutes of smoking cessation counselling</w:t>
            </w:r>
            <w:r>
              <w:rPr>
                <w:rFonts w:eastAsia="Calibri" w:cs="Calibri"/>
              </w:rPr>
              <w:t xml:space="preserve"> </w:t>
            </w:r>
            <w:r w:rsidRPr="00EC503F">
              <w:rPr>
                <w:rFonts w:eastAsia="Calibri" w:cs="Calibri"/>
              </w:rPr>
              <w:t>at subsequent visits. Counselling sessions were delivered by a research nurse using a motivational</w:t>
            </w:r>
          </w:p>
          <w:p w14:paraId="4B8AC531" w14:textId="77777777" w:rsidR="00EE2A96" w:rsidRPr="00EC503F" w:rsidRDefault="00EE2A96" w:rsidP="0059373F">
            <w:pPr>
              <w:rPr>
                <w:rFonts w:eastAsia="Calibri" w:cs="Calibri"/>
              </w:rPr>
            </w:pPr>
            <w:r w:rsidRPr="00EC503F">
              <w:rPr>
                <w:rFonts w:eastAsia="Calibri" w:cs="Calibri"/>
              </w:rPr>
              <w:t>interviewing approach.</w:t>
            </w:r>
          </w:p>
        </w:tc>
        <w:tc>
          <w:tcPr>
            <w:tcW w:w="821" w:type="pct"/>
          </w:tcPr>
          <w:p w14:paraId="25BBD227" w14:textId="0A4E029A" w:rsidR="00EE2A96" w:rsidRDefault="00EE2A96" w:rsidP="0059373F">
            <w:r w:rsidRPr="006B32B5">
              <w:rPr>
                <w:u w:val="single"/>
              </w:rPr>
              <w:t>Efficacy</w:t>
            </w:r>
            <w:r>
              <w:t>: 7-day point prevalence abstinence at 12 weeks after the quit date (end of treatment), and 36 to 38 weeks' gestation (end of pregnancy). Defined at each visit as no cigarettes (not even a pu</w:t>
            </w:r>
            <w:r w:rsidR="00115AEE">
              <w:t>ff</w:t>
            </w:r>
            <w:r>
              <w:t xml:space="preserve">) in the last 7 days, levels of CO in exhaled air &lt; 4 ppm, and concentrations of cotinine in urine &lt; 50 ng/mL. </w:t>
            </w:r>
          </w:p>
          <w:p w14:paraId="3179E47B" w14:textId="77777777" w:rsidR="00EE2A96" w:rsidRDefault="00EE2A96" w:rsidP="0059373F"/>
          <w:p w14:paraId="2C3F1302" w14:textId="77777777" w:rsidR="00EE2A96" w:rsidRDefault="00EE2A96" w:rsidP="00545B5A">
            <w:pPr>
              <w:keepNext/>
            </w:pPr>
            <w:r w:rsidRPr="006B32B5">
              <w:rPr>
                <w:u w:val="single"/>
              </w:rPr>
              <w:t>Safety</w:t>
            </w:r>
            <w:r>
              <w:t>: NR.</w:t>
            </w:r>
          </w:p>
        </w:tc>
      </w:tr>
    </w:tbl>
    <w:p w14:paraId="5C7C57F8" w14:textId="77777777" w:rsidR="00EE2A96" w:rsidRPr="009B042A" w:rsidRDefault="00EE2A96" w:rsidP="00EE2A96">
      <w:pPr>
        <w:pStyle w:val="TableFooter"/>
        <w:keepNext/>
      </w:pPr>
      <w:r>
        <w:lastRenderedPageBreak/>
        <w:t xml:space="preserve">Source: Claire (2020). </w:t>
      </w:r>
    </w:p>
    <w:p w14:paraId="50585A26" w14:textId="73967B72" w:rsidR="00B0781B" w:rsidRDefault="00EE2A96" w:rsidP="00B0781B">
      <w:pPr>
        <w:pStyle w:val="TableFooter"/>
        <w:keepNext/>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5CA4CD3A" w14:textId="77777777" w:rsidR="00EA7016" w:rsidRDefault="00EA7016">
      <w:pPr>
        <w:spacing w:line="276" w:lineRule="auto"/>
        <w:rPr>
          <w:rFonts w:asciiTheme="minorHAnsi" w:eastAsia="Times New Roman" w:hAnsiTheme="minorHAnsi" w:cs="Times New Roman"/>
          <w:b/>
          <w:bCs/>
          <w:szCs w:val="18"/>
        </w:rPr>
      </w:pPr>
      <w:bookmarkStart w:id="353" w:name="_Ref62378991"/>
      <w:r>
        <w:br w:type="page"/>
      </w:r>
    </w:p>
    <w:p w14:paraId="79F1CC43" w14:textId="14430CCC" w:rsidR="00867B8E" w:rsidRDefault="00867B8E" w:rsidP="00EA7016">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166</w:t>
      </w:r>
      <w:r w:rsidR="00BF3F75">
        <w:rPr>
          <w:noProof/>
        </w:rPr>
        <w:fldChar w:fldCharType="end"/>
      </w:r>
      <w:bookmarkEnd w:id="353"/>
      <w:r>
        <w:t xml:space="preserve">: </w:t>
      </w:r>
      <w:r w:rsidRPr="00BF0B80">
        <w:t>Characteristics of studies included in Fanshawe et al. (2017), evaluating pharmacotherapy for smoking cessation in adolescents</w:t>
      </w:r>
    </w:p>
    <w:tbl>
      <w:tblPr>
        <w:tblStyle w:val="TableGrid"/>
        <w:tblW w:w="5000" w:type="pct"/>
        <w:tblLook w:val="04A0" w:firstRow="1" w:lastRow="0" w:firstColumn="1" w:lastColumn="0" w:noHBand="0" w:noVBand="1"/>
      </w:tblPr>
      <w:tblGrid>
        <w:gridCol w:w="1366"/>
        <w:gridCol w:w="847"/>
        <w:gridCol w:w="1216"/>
        <w:gridCol w:w="876"/>
        <w:gridCol w:w="3534"/>
        <w:gridCol w:w="3833"/>
        <w:gridCol w:w="2276"/>
      </w:tblGrid>
      <w:tr w:rsidR="00867B8E" w14:paraId="101F9E87" w14:textId="77777777" w:rsidTr="00EA7016">
        <w:tc>
          <w:tcPr>
            <w:tcW w:w="495" w:type="pct"/>
            <w:shd w:val="clear" w:color="auto" w:fill="D9D9D9" w:themeFill="background1" w:themeFillShade="D9"/>
          </w:tcPr>
          <w:p w14:paraId="7FDF9BCB" w14:textId="77777777" w:rsidR="00867B8E" w:rsidRDefault="00867B8E" w:rsidP="00867B8E">
            <w:r w:rsidRPr="781E95A1">
              <w:rPr>
                <w:rFonts w:eastAsia="Calibri" w:cs="Calibri"/>
                <w:b/>
                <w:bCs/>
              </w:rPr>
              <w:t>Study</w:t>
            </w:r>
          </w:p>
        </w:tc>
        <w:tc>
          <w:tcPr>
            <w:tcW w:w="309" w:type="pct"/>
            <w:shd w:val="clear" w:color="auto" w:fill="D9D9D9" w:themeFill="background1" w:themeFillShade="D9"/>
          </w:tcPr>
          <w:p w14:paraId="4068C9DC" w14:textId="77777777" w:rsidR="00867B8E" w:rsidRDefault="00867B8E" w:rsidP="00867B8E">
            <w:pPr>
              <w:jc w:val="center"/>
            </w:pPr>
            <w:r w:rsidRPr="781E95A1">
              <w:rPr>
                <w:rFonts w:eastAsia="Calibri" w:cs="Calibri"/>
                <w:b/>
                <w:bCs/>
                <w:color w:val="000000" w:themeColor="text1"/>
              </w:rPr>
              <w:t>Study type</w:t>
            </w:r>
          </w:p>
        </w:tc>
        <w:tc>
          <w:tcPr>
            <w:tcW w:w="405" w:type="pct"/>
            <w:shd w:val="clear" w:color="auto" w:fill="D9D9D9" w:themeFill="background1" w:themeFillShade="D9"/>
          </w:tcPr>
          <w:p w14:paraId="0F14D45E" w14:textId="77777777" w:rsidR="00867B8E" w:rsidRDefault="00867B8E" w:rsidP="00867B8E">
            <w:pPr>
              <w:jc w:val="center"/>
            </w:pPr>
            <w:r w:rsidRPr="781E95A1">
              <w:rPr>
                <w:rFonts w:eastAsia="Calibri" w:cs="Calibri"/>
                <w:b/>
                <w:bCs/>
                <w:color w:val="000000" w:themeColor="text1"/>
              </w:rPr>
              <w:t>Countries</w:t>
            </w:r>
          </w:p>
        </w:tc>
        <w:tc>
          <w:tcPr>
            <w:tcW w:w="319" w:type="pct"/>
            <w:shd w:val="clear" w:color="auto" w:fill="D9D9D9" w:themeFill="background1" w:themeFillShade="D9"/>
          </w:tcPr>
          <w:p w14:paraId="2D23CCA7" w14:textId="77777777" w:rsidR="00867B8E" w:rsidRDefault="00867B8E" w:rsidP="00867B8E">
            <w:pPr>
              <w:jc w:val="center"/>
            </w:pPr>
            <w:r w:rsidRPr="781E95A1">
              <w:rPr>
                <w:rFonts w:eastAsia="Calibri" w:cs="Calibri"/>
                <w:b/>
                <w:bCs/>
                <w:color w:val="000000" w:themeColor="text1"/>
              </w:rPr>
              <w:t>N</w:t>
            </w:r>
          </w:p>
        </w:tc>
        <w:tc>
          <w:tcPr>
            <w:tcW w:w="1272" w:type="pct"/>
            <w:shd w:val="clear" w:color="auto" w:fill="D9D9D9" w:themeFill="background1" w:themeFillShade="D9"/>
          </w:tcPr>
          <w:p w14:paraId="516EE67A" w14:textId="77777777" w:rsidR="00867B8E" w:rsidRDefault="00867B8E" w:rsidP="00867B8E">
            <w:pPr>
              <w:jc w:val="center"/>
            </w:pPr>
            <w:r w:rsidRPr="781E95A1">
              <w:rPr>
                <w:rFonts w:eastAsia="Calibri" w:cs="Calibri"/>
                <w:b/>
                <w:bCs/>
                <w:color w:val="000000" w:themeColor="text1"/>
              </w:rPr>
              <w:t>Population</w:t>
            </w:r>
          </w:p>
        </w:tc>
        <w:tc>
          <w:tcPr>
            <w:tcW w:w="1379" w:type="pct"/>
            <w:shd w:val="clear" w:color="auto" w:fill="D9D9D9" w:themeFill="background1" w:themeFillShade="D9"/>
          </w:tcPr>
          <w:p w14:paraId="268CBEEC" w14:textId="77777777" w:rsidR="00867B8E" w:rsidRDefault="00867B8E" w:rsidP="00867B8E">
            <w:pPr>
              <w:jc w:val="center"/>
            </w:pPr>
            <w:r w:rsidRPr="781E95A1">
              <w:rPr>
                <w:rFonts w:eastAsia="Calibri" w:cs="Calibri"/>
                <w:b/>
                <w:bCs/>
                <w:color w:val="000000" w:themeColor="text1"/>
              </w:rPr>
              <w:t>Intervention and comparator</w:t>
            </w:r>
          </w:p>
        </w:tc>
        <w:tc>
          <w:tcPr>
            <w:tcW w:w="821" w:type="pct"/>
            <w:shd w:val="clear" w:color="auto" w:fill="D9D9D9" w:themeFill="background1" w:themeFillShade="D9"/>
          </w:tcPr>
          <w:p w14:paraId="00852D18" w14:textId="77777777" w:rsidR="00867B8E" w:rsidRDefault="00867B8E" w:rsidP="00867B8E">
            <w:pPr>
              <w:jc w:val="center"/>
            </w:pPr>
            <w:r w:rsidRPr="781E95A1">
              <w:rPr>
                <w:rFonts w:eastAsia="Calibri" w:cs="Calibri"/>
                <w:b/>
                <w:bCs/>
                <w:color w:val="000000" w:themeColor="text1"/>
              </w:rPr>
              <w:t>Outcomes</w:t>
            </w:r>
          </w:p>
        </w:tc>
      </w:tr>
      <w:tr w:rsidR="00867B8E" w14:paraId="3F76665D" w14:textId="77777777" w:rsidTr="00EA7016">
        <w:tc>
          <w:tcPr>
            <w:tcW w:w="5000" w:type="pct"/>
            <w:gridSpan w:val="7"/>
            <w:shd w:val="clear" w:color="auto" w:fill="D9D9D9" w:themeFill="background1" w:themeFillShade="D9"/>
          </w:tcPr>
          <w:p w14:paraId="28116C59" w14:textId="77777777" w:rsidR="00867B8E" w:rsidRPr="00440B3C" w:rsidRDefault="00867B8E" w:rsidP="00867B8E">
            <w:pPr>
              <w:rPr>
                <w:b/>
                <w:bCs/>
              </w:rPr>
            </w:pPr>
            <w:r w:rsidRPr="00440B3C">
              <w:rPr>
                <w:b/>
                <w:bCs/>
              </w:rPr>
              <w:t>NRT</w:t>
            </w:r>
          </w:p>
        </w:tc>
      </w:tr>
      <w:tr w:rsidR="00867B8E" w14:paraId="4F83A7DA" w14:textId="77777777" w:rsidTr="00EA7016">
        <w:tc>
          <w:tcPr>
            <w:tcW w:w="495" w:type="pct"/>
          </w:tcPr>
          <w:p w14:paraId="3C41DFAE" w14:textId="5FCBF90C" w:rsidR="00867B8E" w:rsidRDefault="00867B8E" w:rsidP="00867B8E">
            <w:r>
              <w:t xml:space="preserve">Moolchan </w:t>
            </w:r>
            <w:r w:rsidR="000C1484">
              <w:t>(</w:t>
            </w:r>
            <w:r>
              <w:t>2005</w:t>
            </w:r>
            <w:r w:rsidR="000C1484">
              <w:t>)</w:t>
            </w:r>
          </w:p>
        </w:tc>
        <w:tc>
          <w:tcPr>
            <w:tcW w:w="309" w:type="pct"/>
          </w:tcPr>
          <w:p w14:paraId="462EE8EF" w14:textId="77777777" w:rsidR="00867B8E" w:rsidRDefault="00867B8E" w:rsidP="00867B8E">
            <w:r>
              <w:t>RCT</w:t>
            </w:r>
          </w:p>
        </w:tc>
        <w:tc>
          <w:tcPr>
            <w:tcW w:w="405" w:type="pct"/>
          </w:tcPr>
          <w:p w14:paraId="10AAE0AF" w14:textId="77777777" w:rsidR="00867B8E" w:rsidRDefault="00867B8E" w:rsidP="00867B8E">
            <w:r>
              <w:t>USA</w:t>
            </w:r>
          </w:p>
        </w:tc>
        <w:tc>
          <w:tcPr>
            <w:tcW w:w="319" w:type="pct"/>
          </w:tcPr>
          <w:p w14:paraId="067A5479" w14:textId="77777777" w:rsidR="00867B8E" w:rsidRDefault="00867B8E" w:rsidP="00867B8E">
            <w:r>
              <w:t>N=120</w:t>
            </w:r>
          </w:p>
        </w:tc>
        <w:tc>
          <w:tcPr>
            <w:tcW w:w="1272" w:type="pct"/>
          </w:tcPr>
          <w:p w14:paraId="1E075098" w14:textId="218293B4" w:rsidR="00867B8E" w:rsidRDefault="00867B8E" w:rsidP="00867B8E">
            <w:r>
              <w:t xml:space="preserve">Smokers with age range: 13-17 years smoking </w:t>
            </w:r>
            <w:r w:rsidRPr="00F32FEC">
              <w:t xml:space="preserve">≥ </w:t>
            </w:r>
            <w:r>
              <w:t>10 CPD for 6 months and motivation to quit &gt; 5 on 10-point integer scale. Only those who were happy to inform parents of smoking status were included.</w:t>
            </w:r>
          </w:p>
          <w:p w14:paraId="19AB9842" w14:textId="77777777" w:rsidR="00867B8E" w:rsidRDefault="00867B8E" w:rsidP="00867B8E">
            <w:r>
              <w:t>Pre-study status assessment: mean 18.8 CPD, 'youth appropriate' FTQ mean 7.04</w:t>
            </w:r>
          </w:p>
          <w:p w14:paraId="66FCE8ED" w14:textId="77777777" w:rsidR="00867B8E" w:rsidRDefault="00867B8E" w:rsidP="00867B8E">
            <w:r>
              <w:t xml:space="preserve">No significant demographic differences between arms of the trial. </w:t>
            </w:r>
          </w:p>
        </w:tc>
        <w:tc>
          <w:tcPr>
            <w:tcW w:w="1379" w:type="pct"/>
          </w:tcPr>
          <w:p w14:paraId="0F80BAD8" w14:textId="0ADAF683" w:rsidR="00867B8E" w:rsidRPr="00A261A8" w:rsidRDefault="00867B8E" w:rsidP="00C324F3">
            <w:pPr>
              <w:pStyle w:val="ListParagraph"/>
              <w:numPr>
                <w:ilvl w:val="0"/>
                <w:numId w:val="297"/>
              </w:numPr>
              <w:rPr>
                <w:rFonts w:eastAsia="Calibri" w:cs="Calibri"/>
              </w:rPr>
            </w:pPr>
            <w:r w:rsidRPr="00F50666">
              <w:rPr>
                <w:rFonts w:eastAsia="Calibri" w:cs="Calibri"/>
              </w:rPr>
              <w:t>Intervention: nicotine patch and gum, and self-help written materials. 2 active groups (a) active patch</w:t>
            </w:r>
            <w:r>
              <w:rPr>
                <w:rFonts w:eastAsia="Calibri" w:cs="Calibri"/>
              </w:rPr>
              <w:t xml:space="preserve"> </w:t>
            </w:r>
            <w:r w:rsidRPr="00A261A8">
              <w:rPr>
                <w:rFonts w:eastAsia="Calibri" w:cs="Calibri"/>
              </w:rPr>
              <w:t>with placebo gum (n = 34) (b) active gum with placebo patch (n = 46). NRT for both groups was tailored</w:t>
            </w:r>
            <w:r>
              <w:rPr>
                <w:rFonts w:eastAsia="Calibri" w:cs="Calibri"/>
              </w:rPr>
              <w:t xml:space="preserve"> </w:t>
            </w:r>
            <w:r w:rsidRPr="00A261A8">
              <w:rPr>
                <w:rFonts w:eastAsia="Calibri" w:cs="Calibri"/>
              </w:rPr>
              <w:t xml:space="preserve">to weight and smoking level. Participants received 11 visits over 12 weeks to receive </w:t>
            </w:r>
            <w:r w:rsidR="00115AEE" w:rsidRPr="00A261A8">
              <w:rPr>
                <w:rFonts w:eastAsia="Calibri" w:cs="Calibri"/>
              </w:rPr>
              <w:t>NRT and</w:t>
            </w:r>
            <w:r w:rsidRPr="00A261A8">
              <w:rPr>
                <w:rFonts w:eastAsia="Calibri" w:cs="Calibri"/>
              </w:rPr>
              <w:t xml:space="preserve"> attended</w:t>
            </w:r>
            <w:r>
              <w:rPr>
                <w:rFonts w:eastAsia="Calibri" w:cs="Calibri"/>
              </w:rPr>
              <w:t xml:space="preserve"> </w:t>
            </w:r>
            <w:r w:rsidRPr="00A261A8">
              <w:rPr>
                <w:rFonts w:eastAsia="Calibri" w:cs="Calibri"/>
              </w:rPr>
              <w:t>45-min group CBT session at the end of each visit, + self-help materials. Theoretical basis of intervention:</w:t>
            </w:r>
            <w:r>
              <w:rPr>
                <w:rFonts w:eastAsia="Calibri" w:cs="Calibri"/>
              </w:rPr>
              <w:t xml:space="preserve"> </w:t>
            </w:r>
            <w:r w:rsidRPr="00A261A8">
              <w:rPr>
                <w:rFonts w:eastAsia="Calibri" w:cs="Calibri"/>
              </w:rPr>
              <w:t>pharmacological</w:t>
            </w:r>
          </w:p>
          <w:p w14:paraId="588CB5C7" w14:textId="77777777" w:rsidR="00867B8E" w:rsidRDefault="00867B8E" w:rsidP="00C324F3">
            <w:pPr>
              <w:pStyle w:val="ListParagraph"/>
              <w:numPr>
                <w:ilvl w:val="0"/>
                <w:numId w:val="297"/>
              </w:numPr>
              <w:rPr>
                <w:rFonts w:eastAsia="Calibri" w:cs="Calibri"/>
              </w:rPr>
            </w:pPr>
            <w:r w:rsidRPr="00F50666">
              <w:rPr>
                <w:rFonts w:eastAsia="Calibri" w:cs="Calibri"/>
              </w:rPr>
              <w:t>Control: placebo patch and gum (n = 40), same course of CBT sessions as intervention group</w:t>
            </w:r>
          </w:p>
        </w:tc>
        <w:tc>
          <w:tcPr>
            <w:tcW w:w="821" w:type="pct"/>
          </w:tcPr>
          <w:p w14:paraId="29266DCF" w14:textId="15374031" w:rsidR="00867B8E" w:rsidRDefault="00867B8E" w:rsidP="00867B8E">
            <w:r w:rsidRPr="006B32B5">
              <w:rPr>
                <w:u w:val="single"/>
              </w:rPr>
              <w:t>Efficacy</w:t>
            </w:r>
            <w:r>
              <w:t xml:space="preserve">: 7-day PPA, and "prolonged abstinence", </w:t>
            </w:r>
            <w:r w:rsidR="00115AEE">
              <w:t>i.e.,</w:t>
            </w:r>
            <w:r>
              <w:t xml:space="preserve"> continuous abstinence after a 2-week grace period from end of intervention; follow-up periods: &gt; 3 months, 6 months.</w:t>
            </w:r>
          </w:p>
          <w:p w14:paraId="424F61DC" w14:textId="77A8ED51" w:rsidR="00867B8E" w:rsidRDefault="00867B8E" w:rsidP="00867B8E">
            <w:r>
              <w:t xml:space="preserve">Verification: CO, salivary </w:t>
            </w:r>
            <w:r w:rsidR="00115AEE">
              <w:t>cotinine,</w:t>
            </w:r>
            <w:r>
              <w:t xml:space="preserve"> and thiocyanate.</w:t>
            </w:r>
          </w:p>
          <w:p w14:paraId="7A6A0F95" w14:textId="77777777" w:rsidR="00867B8E" w:rsidRDefault="00867B8E" w:rsidP="00867B8E"/>
          <w:p w14:paraId="51E4BF17" w14:textId="77777777" w:rsidR="00867B8E" w:rsidRDefault="00867B8E" w:rsidP="00867B8E">
            <w:r w:rsidRPr="006B32B5">
              <w:rPr>
                <w:u w:val="single"/>
              </w:rPr>
              <w:t>Safety</w:t>
            </w:r>
            <w:r>
              <w:t xml:space="preserve">: NR. </w:t>
            </w:r>
          </w:p>
        </w:tc>
      </w:tr>
      <w:tr w:rsidR="00867B8E" w14:paraId="245E0407" w14:textId="77777777" w:rsidTr="00EA7016">
        <w:tc>
          <w:tcPr>
            <w:tcW w:w="495" w:type="pct"/>
          </w:tcPr>
          <w:p w14:paraId="08CB2F83" w14:textId="356FF260" w:rsidR="00867B8E" w:rsidRDefault="00867B8E" w:rsidP="00867B8E">
            <w:r>
              <w:t xml:space="preserve">Scherphof </w:t>
            </w:r>
            <w:r w:rsidR="000C1484">
              <w:t>(</w:t>
            </w:r>
            <w:r>
              <w:t>2014</w:t>
            </w:r>
            <w:r w:rsidR="000C1484">
              <w:t>)</w:t>
            </w:r>
          </w:p>
        </w:tc>
        <w:tc>
          <w:tcPr>
            <w:tcW w:w="309" w:type="pct"/>
          </w:tcPr>
          <w:p w14:paraId="75EA7BD8" w14:textId="77777777" w:rsidR="00867B8E" w:rsidRDefault="00867B8E" w:rsidP="00867B8E">
            <w:r w:rsidRPr="00602253">
              <w:t>RCT</w:t>
            </w:r>
          </w:p>
        </w:tc>
        <w:tc>
          <w:tcPr>
            <w:tcW w:w="405" w:type="pct"/>
          </w:tcPr>
          <w:p w14:paraId="3F9E03B5" w14:textId="77777777" w:rsidR="00867B8E" w:rsidRDefault="00867B8E" w:rsidP="00867B8E">
            <w:r>
              <w:t>Netherlands</w:t>
            </w:r>
          </w:p>
        </w:tc>
        <w:tc>
          <w:tcPr>
            <w:tcW w:w="319" w:type="pct"/>
          </w:tcPr>
          <w:p w14:paraId="2C010282" w14:textId="77777777" w:rsidR="00867B8E" w:rsidRDefault="00867B8E" w:rsidP="00867B8E">
            <w:r w:rsidRPr="00221569">
              <w:t>N=</w:t>
            </w:r>
            <w:r>
              <w:t>265</w:t>
            </w:r>
          </w:p>
        </w:tc>
        <w:tc>
          <w:tcPr>
            <w:tcW w:w="1272" w:type="pct"/>
          </w:tcPr>
          <w:p w14:paraId="3DCA0134" w14:textId="77777777" w:rsidR="00867B8E" w:rsidRDefault="00867B8E" w:rsidP="00867B8E">
            <w:r>
              <w:t xml:space="preserve">12-18 years old, no major health problems, smoking </w:t>
            </w:r>
            <w:r w:rsidRPr="00F32FEC">
              <w:t>≥</w:t>
            </w:r>
            <w:r>
              <w:t xml:space="preserve"> 7 CPD, parents of participants were aware of their smoking, participants were motivated to quit Participants excluded if currently</w:t>
            </w:r>
          </w:p>
          <w:p w14:paraId="099D08C7" w14:textId="77777777" w:rsidR="00867B8E" w:rsidRDefault="00867B8E" w:rsidP="00867B8E">
            <w:r>
              <w:t>using NRT, were pregnant or lactating, or were allergic to patches.</w:t>
            </w:r>
          </w:p>
        </w:tc>
        <w:tc>
          <w:tcPr>
            <w:tcW w:w="1379" w:type="pct"/>
          </w:tcPr>
          <w:p w14:paraId="68666872" w14:textId="77777777" w:rsidR="00867B8E" w:rsidRPr="006B51F5" w:rsidRDefault="00867B8E" w:rsidP="00C324F3">
            <w:pPr>
              <w:pStyle w:val="ListParagraph"/>
              <w:numPr>
                <w:ilvl w:val="0"/>
                <w:numId w:val="298"/>
              </w:numPr>
              <w:rPr>
                <w:rFonts w:eastAsia="Calibri" w:cs="Calibri"/>
              </w:rPr>
            </w:pPr>
            <w:r w:rsidRPr="006B51F5">
              <w:rPr>
                <w:rFonts w:eastAsia="Calibri" w:cs="Calibri"/>
              </w:rPr>
              <w:t>Intervention: short behavioural intervention, followed by 6 or 9 weeks of 24</w:t>
            </w:r>
            <w:r>
              <w:rPr>
                <w:rFonts w:eastAsia="Calibri" w:cs="Calibri"/>
              </w:rPr>
              <w:t>-</w:t>
            </w:r>
            <w:r w:rsidRPr="006B51F5">
              <w:rPr>
                <w:rFonts w:eastAsia="Calibri" w:cs="Calibri"/>
              </w:rPr>
              <w:t>h</w:t>
            </w:r>
            <w:r>
              <w:rPr>
                <w:rFonts w:eastAsia="Calibri" w:cs="Calibri"/>
              </w:rPr>
              <w:t>our</w:t>
            </w:r>
            <w:r w:rsidRPr="006B51F5">
              <w:rPr>
                <w:rFonts w:eastAsia="Calibri" w:cs="Calibri"/>
              </w:rPr>
              <w:t xml:space="preserve"> NRT with patch, depending</w:t>
            </w:r>
          </w:p>
          <w:p w14:paraId="3BC1D96C" w14:textId="77777777" w:rsidR="00867B8E" w:rsidRDefault="00867B8E" w:rsidP="00867B8E">
            <w:pPr>
              <w:pStyle w:val="ListParagraph"/>
              <w:ind w:left="360"/>
              <w:rPr>
                <w:rFonts w:eastAsia="Calibri" w:cs="Calibri"/>
              </w:rPr>
            </w:pPr>
            <w:r w:rsidRPr="006B51F5">
              <w:rPr>
                <w:rFonts w:eastAsia="Calibri" w:cs="Calibri"/>
              </w:rPr>
              <w:t>on smoking level at baseline</w:t>
            </w:r>
          </w:p>
          <w:p w14:paraId="16BECF51" w14:textId="77777777" w:rsidR="00867B8E" w:rsidRPr="006B51F5" w:rsidRDefault="00867B8E" w:rsidP="00C324F3">
            <w:pPr>
              <w:pStyle w:val="ListParagraph"/>
              <w:numPr>
                <w:ilvl w:val="0"/>
                <w:numId w:val="298"/>
              </w:numPr>
              <w:rPr>
                <w:rFonts w:eastAsia="Calibri" w:cs="Calibri"/>
              </w:rPr>
            </w:pPr>
            <w:r w:rsidRPr="006B51F5">
              <w:rPr>
                <w:rFonts w:eastAsia="Calibri" w:cs="Calibri"/>
              </w:rPr>
              <w:t>Control: placebo patch control, otherwise identical to intervention</w:t>
            </w:r>
          </w:p>
        </w:tc>
        <w:tc>
          <w:tcPr>
            <w:tcW w:w="821" w:type="pct"/>
          </w:tcPr>
          <w:p w14:paraId="31240A0D" w14:textId="77777777" w:rsidR="00867B8E" w:rsidRDefault="00867B8E" w:rsidP="00867B8E">
            <w:r w:rsidRPr="006B32B5">
              <w:rPr>
                <w:u w:val="single"/>
              </w:rPr>
              <w:t>Efficacy</w:t>
            </w:r>
            <w:r>
              <w:t xml:space="preserve">: </w:t>
            </w:r>
            <w:r w:rsidRPr="006B51F5">
              <w:t>30-day PPA</w:t>
            </w:r>
            <w:r>
              <w:t xml:space="preserve"> at 6 and 12 months. </w:t>
            </w:r>
          </w:p>
          <w:p w14:paraId="4EA27455" w14:textId="77777777" w:rsidR="00867B8E" w:rsidRDefault="00867B8E" w:rsidP="00867B8E">
            <w:r w:rsidRPr="006B51F5">
              <w:t>Verification: salivary cotinine measured using a NicAlert saliva strip (Nymox)</w:t>
            </w:r>
          </w:p>
          <w:p w14:paraId="4955B207" w14:textId="77777777" w:rsidR="00867B8E" w:rsidRDefault="00867B8E" w:rsidP="00867B8E">
            <w:pPr>
              <w:rPr>
                <w:u w:val="single"/>
              </w:rPr>
            </w:pPr>
          </w:p>
          <w:p w14:paraId="779B8584" w14:textId="59E7D4A9" w:rsidR="00867B8E" w:rsidRDefault="00867B8E" w:rsidP="00867B8E">
            <w:r w:rsidRPr="006B32B5">
              <w:rPr>
                <w:u w:val="single"/>
              </w:rPr>
              <w:t>Safety</w:t>
            </w:r>
            <w:r>
              <w:t xml:space="preserve">: </w:t>
            </w:r>
            <w:r w:rsidRPr="006B51F5">
              <w:t xml:space="preserve">Adverse events including tiredness, cough, insomnia, </w:t>
            </w:r>
            <w:r w:rsidR="00115AEE" w:rsidRPr="006B51F5">
              <w:t>itchiness,</w:t>
            </w:r>
            <w:r w:rsidRPr="006B51F5">
              <w:t xml:space="preserve"> and headache</w:t>
            </w:r>
            <w:r>
              <w:t>.</w:t>
            </w:r>
          </w:p>
        </w:tc>
      </w:tr>
      <w:tr w:rsidR="00867B8E" w14:paraId="63B180C7" w14:textId="77777777" w:rsidTr="00EA7016">
        <w:tc>
          <w:tcPr>
            <w:tcW w:w="495" w:type="pct"/>
          </w:tcPr>
          <w:p w14:paraId="45CD49BF" w14:textId="2633BB49" w:rsidR="00867B8E" w:rsidRDefault="00867B8E" w:rsidP="00867B8E">
            <w:r w:rsidRPr="00F32FEC">
              <w:t xml:space="preserve">bailey </w:t>
            </w:r>
            <w:r w:rsidR="000C1484">
              <w:t>(</w:t>
            </w:r>
            <w:r w:rsidRPr="00F32FEC">
              <w:t>2013</w:t>
            </w:r>
            <w:r w:rsidR="000C1484">
              <w:t>)</w:t>
            </w:r>
          </w:p>
        </w:tc>
        <w:tc>
          <w:tcPr>
            <w:tcW w:w="309" w:type="pct"/>
          </w:tcPr>
          <w:p w14:paraId="6F930FFB" w14:textId="77777777" w:rsidR="00867B8E" w:rsidRPr="00602253" w:rsidRDefault="00867B8E" w:rsidP="00867B8E">
            <w:r w:rsidRPr="00602253">
              <w:t>RCT</w:t>
            </w:r>
          </w:p>
        </w:tc>
        <w:tc>
          <w:tcPr>
            <w:tcW w:w="405" w:type="pct"/>
          </w:tcPr>
          <w:p w14:paraId="77D90A17" w14:textId="77777777" w:rsidR="00867B8E" w:rsidRDefault="00867B8E" w:rsidP="00867B8E">
            <w:r>
              <w:t>USA</w:t>
            </w:r>
          </w:p>
        </w:tc>
        <w:tc>
          <w:tcPr>
            <w:tcW w:w="319" w:type="pct"/>
          </w:tcPr>
          <w:p w14:paraId="5C650293" w14:textId="77777777" w:rsidR="00867B8E" w:rsidRPr="00221569" w:rsidRDefault="00867B8E" w:rsidP="00867B8E">
            <w:r w:rsidRPr="00221569">
              <w:t>N=</w:t>
            </w:r>
            <w:r>
              <w:t>143</w:t>
            </w:r>
          </w:p>
        </w:tc>
        <w:tc>
          <w:tcPr>
            <w:tcW w:w="1272" w:type="pct"/>
          </w:tcPr>
          <w:p w14:paraId="2A20A2BC" w14:textId="77777777" w:rsidR="00867B8E" w:rsidRDefault="00867B8E" w:rsidP="00867B8E">
            <w:r>
              <w:t xml:space="preserve">Smokers, 38% female, mean age 16.9 years, 14-18 years old, attended a participating school, smoked d 10 cpd, expressed interest in quitting smoking. </w:t>
            </w:r>
          </w:p>
          <w:p w14:paraId="410FDE43" w14:textId="77777777" w:rsidR="00867B8E" w:rsidRDefault="00867B8E" w:rsidP="00867B8E"/>
          <w:p w14:paraId="18CE939F" w14:textId="52B7AAA4" w:rsidR="00867B8E" w:rsidRDefault="00867B8E" w:rsidP="00867B8E">
            <w:r w:rsidRPr="00A7551A">
              <w:rPr>
                <w:u w:val="single"/>
              </w:rPr>
              <w:lastRenderedPageBreak/>
              <w:t>Exclusion</w:t>
            </w:r>
            <w:r>
              <w:t xml:space="preserve">: Excluded if currently receiving treatment for major depression, panic disorder, social </w:t>
            </w:r>
            <w:r w:rsidR="00115AEE">
              <w:t>anxiety,</w:t>
            </w:r>
            <w:r>
              <w:t xml:space="preserve"> or agoraphobia; taking antidepressants, antipsychotics, </w:t>
            </w:r>
            <w:r w:rsidR="00115AEE">
              <w:t>benzodiazepines,</w:t>
            </w:r>
            <w:r>
              <w:t xml:space="preserve"> or theophylline;</w:t>
            </w:r>
          </w:p>
          <w:p w14:paraId="48020816" w14:textId="77777777" w:rsidR="00867B8E" w:rsidRDefault="00867B8E" w:rsidP="00867B8E">
            <w:r>
              <w:t>current heavy alcohol or substance abuse; diagnosed heart problems or high blood pressure; current use of nicotine replacement therapy; allergy to adhesive tape; currently pregnant or planning</w:t>
            </w:r>
          </w:p>
          <w:p w14:paraId="10FD1F38" w14:textId="77777777" w:rsidR="00867B8E" w:rsidRDefault="00867B8E" w:rsidP="00867B8E">
            <w:r>
              <w:t>on becoming pregnant.</w:t>
            </w:r>
          </w:p>
        </w:tc>
        <w:tc>
          <w:tcPr>
            <w:tcW w:w="1379" w:type="pct"/>
          </w:tcPr>
          <w:p w14:paraId="59A3580C" w14:textId="77777777" w:rsidR="00867B8E" w:rsidRPr="00A7551A" w:rsidRDefault="00867B8E" w:rsidP="00C324F3">
            <w:pPr>
              <w:pStyle w:val="ListParagraph"/>
              <w:numPr>
                <w:ilvl w:val="0"/>
                <w:numId w:val="298"/>
              </w:numPr>
              <w:rPr>
                <w:rFonts w:eastAsia="Calibri" w:cs="Calibri"/>
              </w:rPr>
            </w:pPr>
            <w:r w:rsidRPr="00A7551A">
              <w:rPr>
                <w:rFonts w:eastAsia="Calibri" w:cs="Calibri"/>
              </w:rPr>
              <w:lastRenderedPageBreak/>
              <w:t>Intervention: extended treatment of 24 weeks of group-based CBT and skills training, concurrent with 9</w:t>
            </w:r>
            <w:r>
              <w:rPr>
                <w:rFonts w:eastAsia="Calibri" w:cs="Calibri"/>
              </w:rPr>
              <w:t xml:space="preserve"> </w:t>
            </w:r>
            <w:r w:rsidRPr="00A7551A">
              <w:rPr>
                <w:rFonts w:eastAsia="Calibri" w:cs="Calibri"/>
              </w:rPr>
              <w:t xml:space="preserve">weeks of nicotine patch therapy. Extended treatment focuses on relapse </w:t>
            </w:r>
            <w:r w:rsidRPr="00A7551A">
              <w:rPr>
                <w:rFonts w:eastAsia="Calibri" w:cs="Calibri"/>
              </w:rPr>
              <w:lastRenderedPageBreak/>
              <w:t>prevention skills and effective</w:t>
            </w:r>
            <w:r>
              <w:rPr>
                <w:rFonts w:eastAsia="Calibri" w:cs="Calibri"/>
              </w:rPr>
              <w:t xml:space="preserve"> </w:t>
            </w:r>
            <w:r w:rsidRPr="00A7551A">
              <w:rPr>
                <w:rFonts w:eastAsia="Calibri" w:cs="Calibri"/>
              </w:rPr>
              <w:t>coping plans.</w:t>
            </w:r>
          </w:p>
          <w:p w14:paraId="6A75A0BE" w14:textId="77777777" w:rsidR="00867B8E" w:rsidRPr="00A7551A" w:rsidRDefault="00867B8E" w:rsidP="00C324F3">
            <w:pPr>
              <w:pStyle w:val="ListParagraph"/>
              <w:numPr>
                <w:ilvl w:val="0"/>
                <w:numId w:val="298"/>
              </w:numPr>
              <w:rPr>
                <w:rFonts w:eastAsia="Calibri" w:cs="Calibri"/>
              </w:rPr>
            </w:pPr>
            <w:r w:rsidRPr="00A7551A">
              <w:rPr>
                <w:rFonts w:eastAsia="Calibri" w:cs="Calibri"/>
              </w:rPr>
              <w:t>Control: 10 weeks of group-based CBT and skills training, concurrent with 9 weeks of nicotine patch</w:t>
            </w:r>
            <w:r>
              <w:rPr>
                <w:rFonts w:eastAsia="Calibri" w:cs="Calibri"/>
              </w:rPr>
              <w:t xml:space="preserve"> </w:t>
            </w:r>
            <w:r w:rsidRPr="00A7551A">
              <w:rPr>
                <w:rFonts w:eastAsia="Calibri" w:cs="Calibri"/>
              </w:rPr>
              <w:t>therapy</w:t>
            </w:r>
          </w:p>
        </w:tc>
        <w:tc>
          <w:tcPr>
            <w:tcW w:w="821" w:type="pct"/>
          </w:tcPr>
          <w:p w14:paraId="3DA497CD" w14:textId="77777777" w:rsidR="00867B8E" w:rsidRDefault="00867B8E" w:rsidP="00867B8E">
            <w:r w:rsidRPr="006B32B5">
              <w:rPr>
                <w:u w:val="single"/>
              </w:rPr>
              <w:lastRenderedPageBreak/>
              <w:t>Efficacy</w:t>
            </w:r>
            <w:r>
              <w:t xml:space="preserve">: </w:t>
            </w:r>
            <w:r w:rsidRPr="00A7551A">
              <w:t>7-day PPA</w:t>
            </w:r>
            <w:r>
              <w:t xml:space="preserve"> at 10 weeks and 26 weeks. </w:t>
            </w:r>
          </w:p>
          <w:p w14:paraId="6E607A32" w14:textId="77777777" w:rsidR="00867B8E" w:rsidRDefault="00867B8E" w:rsidP="00867B8E">
            <w:r w:rsidRPr="00A7551A">
              <w:t>Verification: expired-air CO &lt; 10 ppm, using a Bedfont Smokerlyzer</w:t>
            </w:r>
            <w:r>
              <w:t>.</w:t>
            </w:r>
          </w:p>
          <w:p w14:paraId="063CD17F" w14:textId="77777777" w:rsidR="00867B8E" w:rsidRDefault="00867B8E" w:rsidP="00867B8E">
            <w:pPr>
              <w:rPr>
                <w:u w:val="single"/>
              </w:rPr>
            </w:pPr>
          </w:p>
          <w:p w14:paraId="663D9607" w14:textId="77777777" w:rsidR="00867B8E" w:rsidRPr="006B32B5" w:rsidRDefault="00867B8E" w:rsidP="00867B8E">
            <w:pPr>
              <w:rPr>
                <w:u w:val="single"/>
              </w:rPr>
            </w:pPr>
            <w:r w:rsidRPr="006B32B5">
              <w:rPr>
                <w:u w:val="single"/>
              </w:rPr>
              <w:t>Safety</w:t>
            </w:r>
            <w:r>
              <w:t xml:space="preserve">: </w:t>
            </w:r>
            <w:r w:rsidRPr="00A7551A">
              <w:t>Adverse events</w:t>
            </w:r>
            <w:r>
              <w:t xml:space="preserve"> and </w:t>
            </w:r>
            <w:r w:rsidRPr="00A7551A">
              <w:t>specific details not given</w:t>
            </w:r>
            <w:r>
              <w:t xml:space="preserve">. </w:t>
            </w:r>
          </w:p>
        </w:tc>
      </w:tr>
      <w:tr w:rsidR="00867B8E" w14:paraId="24957C62" w14:textId="77777777" w:rsidTr="00EA7016">
        <w:tc>
          <w:tcPr>
            <w:tcW w:w="5000" w:type="pct"/>
            <w:gridSpan w:val="7"/>
            <w:shd w:val="clear" w:color="auto" w:fill="D9D9D9" w:themeFill="background1" w:themeFillShade="D9"/>
          </w:tcPr>
          <w:p w14:paraId="2BA64443" w14:textId="77777777" w:rsidR="00867B8E" w:rsidRPr="00440B3C" w:rsidRDefault="00867B8E" w:rsidP="00867B8E">
            <w:pPr>
              <w:rPr>
                <w:b/>
                <w:bCs/>
              </w:rPr>
            </w:pPr>
            <w:r w:rsidRPr="00440B3C">
              <w:rPr>
                <w:b/>
                <w:bCs/>
              </w:rPr>
              <w:lastRenderedPageBreak/>
              <w:t>Bupropion</w:t>
            </w:r>
          </w:p>
        </w:tc>
      </w:tr>
      <w:tr w:rsidR="00867B8E" w14:paraId="1404AB66" w14:textId="77777777" w:rsidTr="00EA7016">
        <w:tc>
          <w:tcPr>
            <w:tcW w:w="495" w:type="pct"/>
          </w:tcPr>
          <w:p w14:paraId="15D17E5E" w14:textId="2CDB4D74" w:rsidR="00867B8E" w:rsidRDefault="00867B8E" w:rsidP="00867B8E">
            <w:r>
              <w:t xml:space="preserve">Muramoto </w:t>
            </w:r>
            <w:r w:rsidR="000C1484">
              <w:t>(</w:t>
            </w:r>
            <w:r>
              <w:t>2007</w:t>
            </w:r>
            <w:r w:rsidR="000C1484">
              <w:t>)</w:t>
            </w:r>
          </w:p>
        </w:tc>
        <w:tc>
          <w:tcPr>
            <w:tcW w:w="309" w:type="pct"/>
          </w:tcPr>
          <w:p w14:paraId="20E9898F" w14:textId="77777777" w:rsidR="00867B8E" w:rsidRDefault="00867B8E" w:rsidP="00867B8E">
            <w:r w:rsidRPr="00602253">
              <w:t>RCT</w:t>
            </w:r>
          </w:p>
        </w:tc>
        <w:tc>
          <w:tcPr>
            <w:tcW w:w="405" w:type="pct"/>
          </w:tcPr>
          <w:p w14:paraId="3A4EE946" w14:textId="77777777" w:rsidR="00867B8E" w:rsidRPr="00A7551A" w:rsidRDefault="00867B8E" w:rsidP="00867B8E">
            <w:r>
              <w:t>USA</w:t>
            </w:r>
          </w:p>
        </w:tc>
        <w:tc>
          <w:tcPr>
            <w:tcW w:w="319" w:type="pct"/>
          </w:tcPr>
          <w:p w14:paraId="0057F05C" w14:textId="77777777" w:rsidR="00867B8E" w:rsidRDefault="00867B8E" w:rsidP="00867B8E">
            <w:r w:rsidRPr="00221569">
              <w:t>N=</w:t>
            </w:r>
            <w:r>
              <w:t>312</w:t>
            </w:r>
          </w:p>
        </w:tc>
        <w:tc>
          <w:tcPr>
            <w:tcW w:w="1272" w:type="pct"/>
          </w:tcPr>
          <w:p w14:paraId="48ACA94D" w14:textId="77777777" w:rsidR="00867B8E" w:rsidRDefault="00867B8E" w:rsidP="00867B8E">
            <w:r>
              <w:t xml:space="preserve">smokers with age range 14-17 years, smoking </w:t>
            </w:r>
            <w:r w:rsidRPr="00F32FEC">
              <w:t>≥</w:t>
            </w:r>
            <w:r>
              <w:t xml:space="preserve"> 6 cpd &amp; exhaled CO </w:t>
            </w:r>
            <w:r w:rsidRPr="00F32FEC">
              <w:t>≥</w:t>
            </w:r>
            <w:r>
              <w:t xml:space="preserve"> 10 ppm &amp; </w:t>
            </w:r>
            <w:r w:rsidRPr="00F32FEC">
              <w:t>≥</w:t>
            </w:r>
            <w:r>
              <w:t xml:space="preserve"> 2 prior quit attempts &amp; no major psychiatric diagnosis. </w:t>
            </w:r>
          </w:p>
        </w:tc>
        <w:tc>
          <w:tcPr>
            <w:tcW w:w="1379" w:type="pct"/>
          </w:tcPr>
          <w:p w14:paraId="22E7CB70" w14:textId="77777777" w:rsidR="00867B8E" w:rsidRPr="00A7551A" w:rsidRDefault="00867B8E" w:rsidP="00C324F3">
            <w:pPr>
              <w:pStyle w:val="ListParagraph"/>
              <w:numPr>
                <w:ilvl w:val="0"/>
                <w:numId w:val="299"/>
              </w:numPr>
              <w:rPr>
                <w:rFonts w:eastAsia="Calibri" w:cs="Calibri"/>
              </w:rPr>
            </w:pPr>
            <w:r>
              <w:rPr>
                <w:rFonts w:eastAsia="Calibri" w:cs="Calibri"/>
              </w:rPr>
              <w:t>B</w:t>
            </w:r>
            <w:r w:rsidRPr="00A7551A">
              <w:rPr>
                <w:rFonts w:eastAsia="Calibri" w:cs="Calibri"/>
              </w:rPr>
              <w:t>upropion SR 300 mg/d in blister cards</w:t>
            </w:r>
          </w:p>
          <w:p w14:paraId="31744F18" w14:textId="77777777" w:rsidR="00867B8E" w:rsidRPr="00A7551A" w:rsidRDefault="00867B8E" w:rsidP="00C324F3">
            <w:pPr>
              <w:pStyle w:val="ListParagraph"/>
              <w:numPr>
                <w:ilvl w:val="0"/>
                <w:numId w:val="299"/>
              </w:numPr>
              <w:rPr>
                <w:rFonts w:eastAsia="Calibri" w:cs="Calibri"/>
              </w:rPr>
            </w:pPr>
            <w:r>
              <w:rPr>
                <w:rFonts w:eastAsia="Calibri" w:cs="Calibri"/>
              </w:rPr>
              <w:t>B</w:t>
            </w:r>
            <w:r w:rsidRPr="00A7551A">
              <w:rPr>
                <w:rFonts w:eastAsia="Calibri" w:cs="Calibri"/>
              </w:rPr>
              <w:t>upropion SR 150 mg/d in blister cards</w:t>
            </w:r>
          </w:p>
          <w:p w14:paraId="560B2987" w14:textId="77777777" w:rsidR="00867B8E" w:rsidRDefault="00867B8E" w:rsidP="00C324F3">
            <w:pPr>
              <w:pStyle w:val="ListParagraph"/>
              <w:numPr>
                <w:ilvl w:val="0"/>
                <w:numId w:val="299"/>
              </w:numPr>
              <w:rPr>
                <w:rFonts w:eastAsia="Calibri" w:cs="Calibri"/>
              </w:rPr>
            </w:pPr>
            <w:r>
              <w:rPr>
                <w:rFonts w:eastAsia="Calibri" w:cs="Calibri"/>
              </w:rPr>
              <w:t>P</w:t>
            </w:r>
            <w:r w:rsidRPr="00A7551A">
              <w:rPr>
                <w:rFonts w:eastAsia="Calibri" w:cs="Calibri"/>
              </w:rPr>
              <w:t>lacebo tablet identical to active tablets and blister packed</w:t>
            </w:r>
          </w:p>
        </w:tc>
        <w:tc>
          <w:tcPr>
            <w:tcW w:w="821" w:type="pct"/>
          </w:tcPr>
          <w:p w14:paraId="054509C5" w14:textId="77777777" w:rsidR="00867B8E" w:rsidRDefault="00867B8E" w:rsidP="00867B8E">
            <w:r w:rsidRPr="006B32B5">
              <w:rPr>
                <w:u w:val="single"/>
              </w:rPr>
              <w:t>Efficacy</w:t>
            </w:r>
            <w:r>
              <w:t>: self-reports of 7-day PPA (30-day PPA stated as an outcome in paper but figures not given, not obtainable from study author) at 26 weeks.</w:t>
            </w:r>
          </w:p>
          <w:p w14:paraId="4494895B" w14:textId="77777777" w:rsidR="00867B8E" w:rsidRDefault="00867B8E" w:rsidP="00867B8E">
            <w:r>
              <w:t>Verification: exhaled CO at 26-week visit.</w:t>
            </w:r>
          </w:p>
          <w:p w14:paraId="11664A25" w14:textId="77777777" w:rsidR="00867B8E" w:rsidRDefault="00867B8E" w:rsidP="00867B8E"/>
          <w:p w14:paraId="1C371801" w14:textId="77777777" w:rsidR="00867B8E" w:rsidRDefault="00867B8E" w:rsidP="00867B8E">
            <w:r w:rsidRPr="006B32B5">
              <w:rPr>
                <w:u w:val="single"/>
              </w:rPr>
              <w:t>Safety</w:t>
            </w:r>
            <w:r>
              <w:t>: Adverse events including headache, cough, throat symptom, sleep disturbance, nausea reported. 8 participants in treatment group discontinued treatment for various adverse events. 2 "serious" and 1 "medically important"</w:t>
            </w:r>
          </w:p>
          <w:p w14:paraId="08A09870" w14:textId="77777777" w:rsidR="00867B8E" w:rsidRDefault="00867B8E" w:rsidP="00867B8E">
            <w:r>
              <w:t>adverse events occurred.</w:t>
            </w:r>
          </w:p>
        </w:tc>
      </w:tr>
      <w:tr w:rsidR="00867B8E" w14:paraId="5DB09EA4" w14:textId="77777777" w:rsidTr="00EA7016">
        <w:tc>
          <w:tcPr>
            <w:tcW w:w="5000" w:type="pct"/>
            <w:gridSpan w:val="7"/>
            <w:shd w:val="clear" w:color="auto" w:fill="D9D9D9" w:themeFill="background1" w:themeFillShade="D9"/>
          </w:tcPr>
          <w:p w14:paraId="12303010" w14:textId="77777777" w:rsidR="00867B8E" w:rsidRPr="007B7CE3" w:rsidRDefault="00867B8E" w:rsidP="00867B8E">
            <w:pPr>
              <w:rPr>
                <w:b/>
                <w:bCs/>
              </w:rPr>
            </w:pPr>
            <w:r w:rsidRPr="007B7CE3">
              <w:rPr>
                <w:b/>
                <w:bCs/>
              </w:rPr>
              <w:t>Bupropion plus NRT</w:t>
            </w:r>
          </w:p>
        </w:tc>
      </w:tr>
      <w:tr w:rsidR="00867B8E" w14:paraId="441D5ECF" w14:textId="77777777" w:rsidTr="00EA7016">
        <w:tc>
          <w:tcPr>
            <w:tcW w:w="495" w:type="pct"/>
          </w:tcPr>
          <w:p w14:paraId="5BC2E8B2" w14:textId="015D9C60" w:rsidR="00867B8E" w:rsidRDefault="00867B8E" w:rsidP="00867B8E">
            <w:r>
              <w:lastRenderedPageBreak/>
              <w:t xml:space="preserve">Killen </w:t>
            </w:r>
            <w:r w:rsidR="000C1484">
              <w:t>(</w:t>
            </w:r>
            <w:r>
              <w:t>2004</w:t>
            </w:r>
            <w:r w:rsidR="000C1484">
              <w:t>)</w:t>
            </w:r>
          </w:p>
        </w:tc>
        <w:tc>
          <w:tcPr>
            <w:tcW w:w="309" w:type="pct"/>
          </w:tcPr>
          <w:p w14:paraId="5F65DCD0" w14:textId="77777777" w:rsidR="00867B8E" w:rsidRDefault="00867B8E" w:rsidP="00867B8E">
            <w:r w:rsidRPr="00602253">
              <w:t>RCT</w:t>
            </w:r>
          </w:p>
        </w:tc>
        <w:tc>
          <w:tcPr>
            <w:tcW w:w="405" w:type="pct"/>
          </w:tcPr>
          <w:p w14:paraId="61D503D5" w14:textId="77777777" w:rsidR="00867B8E" w:rsidRDefault="00867B8E" w:rsidP="00867B8E">
            <w:r>
              <w:t>USA</w:t>
            </w:r>
          </w:p>
        </w:tc>
        <w:tc>
          <w:tcPr>
            <w:tcW w:w="319" w:type="pct"/>
          </w:tcPr>
          <w:p w14:paraId="4400EE47" w14:textId="77777777" w:rsidR="00867B8E" w:rsidRDefault="00867B8E" w:rsidP="00867B8E">
            <w:r w:rsidRPr="00221569">
              <w:t>N=</w:t>
            </w:r>
            <w:r>
              <w:t>211</w:t>
            </w:r>
          </w:p>
        </w:tc>
        <w:tc>
          <w:tcPr>
            <w:tcW w:w="1272" w:type="pct"/>
          </w:tcPr>
          <w:p w14:paraId="72C1E2D8" w14:textId="77777777" w:rsidR="00867B8E" w:rsidRDefault="00867B8E" w:rsidP="00867B8E">
            <w:r>
              <w:t xml:space="preserve">Smokers with age range 15-18 years, currently smoked </w:t>
            </w:r>
            <w:r w:rsidRPr="00F32FEC">
              <w:t>≥</w:t>
            </w:r>
            <w:r>
              <w:t xml:space="preserve"> 10 CPD, for </w:t>
            </w:r>
            <w:r w:rsidRPr="00F32FEC">
              <w:t>≥</w:t>
            </w:r>
            <w:r>
              <w:t xml:space="preserve"> 6 months, with &gt; 1 quit attempt and a score of </w:t>
            </w:r>
            <w:r w:rsidRPr="00F32FEC">
              <w:t>≥</w:t>
            </w:r>
            <w:r>
              <w:t xml:space="preserve"> 10 on modified FNTQ. </w:t>
            </w:r>
          </w:p>
        </w:tc>
        <w:tc>
          <w:tcPr>
            <w:tcW w:w="1379" w:type="pct"/>
          </w:tcPr>
          <w:p w14:paraId="13287C7F" w14:textId="77777777" w:rsidR="00867B8E" w:rsidRPr="006C4D0B" w:rsidRDefault="00867B8E" w:rsidP="00C324F3">
            <w:pPr>
              <w:pStyle w:val="ListParagraph"/>
              <w:numPr>
                <w:ilvl w:val="0"/>
                <w:numId w:val="300"/>
              </w:numPr>
              <w:rPr>
                <w:rFonts w:eastAsia="Calibri" w:cs="Calibri"/>
              </w:rPr>
            </w:pPr>
            <w:r w:rsidRPr="006C4D0B">
              <w:rPr>
                <w:rFonts w:eastAsia="Calibri" w:cs="Calibri"/>
              </w:rPr>
              <w:t>Intervention: 8 weeks of tailored NRT patch therapy plus 150 mg SR bupropion tablet (for 8 weeks from</w:t>
            </w:r>
            <w:r>
              <w:rPr>
                <w:rFonts w:eastAsia="Calibri" w:cs="Calibri"/>
              </w:rPr>
              <w:t xml:space="preserve"> </w:t>
            </w:r>
            <w:r w:rsidRPr="006C4D0B">
              <w:rPr>
                <w:rFonts w:eastAsia="Calibri" w:cs="Calibri"/>
              </w:rPr>
              <w:t>quit date) and relapse prevention</w:t>
            </w:r>
          </w:p>
          <w:p w14:paraId="133CC9B7" w14:textId="77777777" w:rsidR="00867B8E" w:rsidRDefault="00867B8E" w:rsidP="00C324F3">
            <w:pPr>
              <w:pStyle w:val="ListParagraph"/>
              <w:numPr>
                <w:ilvl w:val="0"/>
                <w:numId w:val="300"/>
              </w:numPr>
              <w:rPr>
                <w:rFonts w:eastAsia="Calibri" w:cs="Calibri"/>
              </w:rPr>
            </w:pPr>
            <w:r w:rsidRPr="006C4D0B">
              <w:rPr>
                <w:rFonts w:eastAsia="Calibri" w:cs="Calibri"/>
              </w:rPr>
              <w:t>Control: 8 weeks of tailored NRT patch therapy plus placebo tablet (for 8 weeks from quit date)</w:t>
            </w:r>
          </w:p>
        </w:tc>
        <w:tc>
          <w:tcPr>
            <w:tcW w:w="821" w:type="pct"/>
          </w:tcPr>
          <w:p w14:paraId="1E132017" w14:textId="77777777" w:rsidR="00867B8E" w:rsidRDefault="00867B8E" w:rsidP="00867B8E">
            <w:r w:rsidRPr="006B32B5">
              <w:rPr>
                <w:u w:val="single"/>
              </w:rPr>
              <w:t>Efficacy</w:t>
            </w:r>
            <w:r>
              <w:t>: 7-day PPA; follow-up periods: &gt; 3 months, 6 months.</w:t>
            </w:r>
          </w:p>
          <w:p w14:paraId="5EC2C515" w14:textId="77777777" w:rsidR="00867B8E" w:rsidRDefault="00867B8E" w:rsidP="00867B8E">
            <w:r>
              <w:t>Verification: CO monitoring (below 9 ppm) and saliva cotinine (below 20 ng/mL) at 6 months; adherence to bupropion measured at 5 weeks.</w:t>
            </w:r>
          </w:p>
          <w:p w14:paraId="710F8F57" w14:textId="77777777" w:rsidR="00867B8E" w:rsidRDefault="00867B8E" w:rsidP="00867B8E"/>
          <w:p w14:paraId="7CFAFF34" w14:textId="77777777" w:rsidR="00867B8E" w:rsidRDefault="00867B8E" w:rsidP="00867B8E">
            <w:r w:rsidRPr="006B32B5">
              <w:rPr>
                <w:u w:val="single"/>
              </w:rPr>
              <w:t>Safety</w:t>
            </w:r>
            <w:r>
              <w:t xml:space="preserve">: </w:t>
            </w:r>
            <w:r w:rsidRPr="006C4D0B">
              <w:t>Adverse events</w:t>
            </w:r>
            <w:r>
              <w:t>;</w:t>
            </w:r>
            <w:r w:rsidRPr="006C4D0B">
              <w:t xml:space="preserve"> 47 self-rated "severe" but none judged severe by the study physician</w:t>
            </w:r>
            <w:r>
              <w:t>.</w:t>
            </w:r>
          </w:p>
        </w:tc>
      </w:tr>
    </w:tbl>
    <w:p w14:paraId="77A5BA36" w14:textId="77777777" w:rsidR="00867B8E" w:rsidRPr="009B042A" w:rsidRDefault="00867B8E" w:rsidP="002E4480">
      <w:pPr>
        <w:pStyle w:val="TableFooter"/>
        <w:keepNext/>
        <w:jc w:val="both"/>
      </w:pPr>
      <w:r>
        <w:t>Source: Fanshawe (2017).</w:t>
      </w:r>
      <w:r w:rsidRPr="009B042A">
        <w:t xml:space="preserve"> </w:t>
      </w:r>
    </w:p>
    <w:p w14:paraId="2F46E1FE" w14:textId="6626F2B7" w:rsidR="00896A15" w:rsidRDefault="00867B8E" w:rsidP="002E4480">
      <w:pPr>
        <w:pStyle w:val="TableFooter"/>
        <w:keepNext/>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CPD= cigarette per day; AEs= adverse events; SAEs= serious adverse events.</w:t>
      </w:r>
    </w:p>
    <w:p w14:paraId="2310FBFC" w14:textId="77777777" w:rsidR="002E4480" w:rsidRDefault="002E4480">
      <w:pPr>
        <w:spacing w:line="276" w:lineRule="auto"/>
        <w:rPr>
          <w:rFonts w:asciiTheme="minorHAnsi" w:eastAsia="Times New Roman" w:hAnsiTheme="minorHAnsi" w:cs="Times New Roman"/>
          <w:b/>
          <w:bCs/>
          <w:szCs w:val="18"/>
        </w:rPr>
      </w:pPr>
      <w:bookmarkStart w:id="354" w:name="_Ref62379022"/>
      <w:r>
        <w:br w:type="page"/>
      </w:r>
    </w:p>
    <w:p w14:paraId="12ACCA94" w14:textId="15A453CA" w:rsidR="00810A22" w:rsidRDefault="00810A22" w:rsidP="002E4480">
      <w:pPr>
        <w:pStyle w:val="Caption"/>
        <w:keepNext/>
        <w:spacing w:before="0" w:after="120"/>
        <w:jc w:val="both"/>
      </w:pPr>
      <w:r>
        <w:lastRenderedPageBreak/>
        <w:t xml:space="preserve">Table </w:t>
      </w:r>
      <w:r w:rsidR="00BF3F75">
        <w:fldChar w:fldCharType="begin"/>
      </w:r>
      <w:r w:rsidR="00BF3F75">
        <w:instrText xml:space="preserve"> SEQ Table \* ARABIC </w:instrText>
      </w:r>
      <w:r w:rsidR="00BF3F75">
        <w:fldChar w:fldCharType="separate"/>
      </w:r>
      <w:r w:rsidR="00EC5CC7">
        <w:rPr>
          <w:noProof/>
        </w:rPr>
        <w:t>167</w:t>
      </w:r>
      <w:r w:rsidR="00BF3F75">
        <w:rPr>
          <w:noProof/>
        </w:rPr>
        <w:fldChar w:fldCharType="end"/>
      </w:r>
      <w:bookmarkEnd w:id="354"/>
      <w:r>
        <w:t xml:space="preserve">: </w:t>
      </w:r>
      <w:r w:rsidRPr="007F2E07">
        <w:t>Characteristics of included studies in Myung et al. 2019, evaluating pharmacotherapy for smoking cessation in adolescents</w:t>
      </w:r>
    </w:p>
    <w:tbl>
      <w:tblPr>
        <w:tblStyle w:val="TableGrid"/>
        <w:tblW w:w="5000" w:type="pct"/>
        <w:tblLook w:val="04A0" w:firstRow="1" w:lastRow="0" w:firstColumn="1" w:lastColumn="0" w:noHBand="0" w:noVBand="1"/>
      </w:tblPr>
      <w:tblGrid>
        <w:gridCol w:w="1366"/>
        <w:gridCol w:w="847"/>
        <w:gridCol w:w="1216"/>
        <w:gridCol w:w="876"/>
        <w:gridCol w:w="3534"/>
        <w:gridCol w:w="3833"/>
        <w:gridCol w:w="2276"/>
      </w:tblGrid>
      <w:tr w:rsidR="00896A15" w14:paraId="7B121833" w14:textId="77777777" w:rsidTr="002E4480">
        <w:tc>
          <w:tcPr>
            <w:tcW w:w="495" w:type="pct"/>
            <w:shd w:val="clear" w:color="auto" w:fill="D9D9D9" w:themeFill="background1" w:themeFillShade="D9"/>
          </w:tcPr>
          <w:p w14:paraId="5A1BD738" w14:textId="77777777" w:rsidR="00896A15" w:rsidRDefault="00896A15" w:rsidP="00EE3A9D">
            <w:r w:rsidRPr="781E95A1">
              <w:rPr>
                <w:rFonts w:eastAsia="Calibri" w:cs="Calibri"/>
                <w:b/>
                <w:bCs/>
              </w:rPr>
              <w:t>Study</w:t>
            </w:r>
          </w:p>
        </w:tc>
        <w:tc>
          <w:tcPr>
            <w:tcW w:w="309" w:type="pct"/>
            <w:shd w:val="clear" w:color="auto" w:fill="D9D9D9" w:themeFill="background1" w:themeFillShade="D9"/>
          </w:tcPr>
          <w:p w14:paraId="791C6265" w14:textId="77777777" w:rsidR="00896A15" w:rsidRDefault="00896A15" w:rsidP="00EE3A9D">
            <w:pPr>
              <w:jc w:val="center"/>
            </w:pPr>
            <w:r w:rsidRPr="781E95A1">
              <w:rPr>
                <w:rFonts w:eastAsia="Calibri" w:cs="Calibri"/>
                <w:b/>
                <w:bCs/>
                <w:color w:val="000000" w:themeColor="text1"/>
              </w:rPr>
              <w:t>Study type</w:t>
            </w:r>
          </w:p>
        </w:tc>
        <w:tc>
          <w:tcPr>
            <w:tcW w:w="405" w:type="pct"/>
            <w:shd w:val="clear" w:color="auto" w:fill="D9D9D9" w:themeFill="background1" w:themeFillShade="D9"/>
          </w:tcPr>
          <w:p w14:paraId="50F7C1D7" w14:textId="77777777" w:rsidR="00896A15" w:rsidRDefault="00896A15" w:rsidP="00EE3A9D">
            <w:pPr>
              <w:jc w:val="center"/>
            </w:pPr>
            <w:r w:rsidRPr="781E95A1">
              <w:rPr>
                <w:rFonts w:eastAsia="Calibri" w:cs="Calibri"/>
                <w:b/>
                <w:bCs/>
                <w:color w:val="000000" w:themeColor="text1"/>
              </w:rPr>
              <w:t>Countries</w:t>
            </w:r>
          </w:p>
        </w:tc>
        <w:tc>
          <w:tcPr>
            <w:tcW w:w="319" w:type="pct"/>
            <w:shd w:val="clear" w:color="auto" w:fill="D9D9D9" w:themeFill="background1" w:themeFillShade="D9"/>
          </w:tcPr>
          <w:p w14:paraId="4BD42667" w14:textId="77777777" w:rsidR="00896A15" w:rsidRDefault="00896A15" w:rsidP="00EE3A9D">
            <w:pPr>
              <w:jc w:val="center"/>
            </w:pPr>
            <w:r w:rsidRPr="781E95A1">
              <w:rPr>
                <w:rFonts w:eastAsia="Calibri" w:cs="Calibri"/>
                <w:b/>
                <w:bCs/>
                <w:color w:val="000000" w:themeColor="text1"/>
              </w:rPr>
              <w:t>N</w:t>
            </w:r>
          </w:p>
        </w:tc>
        <w:tc>
          <w:tcPr>
            <w:tcW w:w="1272" w:type="pct"/>
            <w:shd w:val="clear" w:color="auto" w:fill="D9D9D9" w:themeFill="background1" w:themeFillShade="D9"/>
          </w:tcPr>
          <w:p w14:paraId="24D21A55" w14:textId="77777777" w:rsidR="00896A15" w:rsidRDefault="00896A15" w:rsidP="00EE3A9D">
            <w:pPr>
              <w:jc w:val="center"/>
            </w:pPr>
            <w:r w:rsidRPr="781E95A1">
              <w:rPr>
                <w:rFonts w:eastAsia="Calibri" w:cs="Calibri"/>
                <w:b/>
                <w:bCs/>
                <w:color w:val="000000" w:themeColor="text1"/>
              </w:rPr>
              <w:t>Population</w:t>
            </w:r>
          </w:p>
        </w:tc>
        <w:tc>
          <w:tcPr>
            <w:tcW w:w="1379" w:type="pct"/>
            <w:shd w:val="clear" w:color="auto" w:fill="D9D9D9" w:themeFill="background1" w:themeFillShade="D9"/>
          </w:tcPr>
          <w:p w14:paraId="2B48EB59" w14:textId="77777777" w:rsidR="00896A15" w:rsidRDefault="00896A15" w:rsidP="00EE3A9D">
            <w:pPr>
              <w:jc w:val="center"/>
            </w:pPr>
            <w:r w:rsidRPr="781E95A1">
              <w:rPr>
                <w:rFonts w:eastAsia="Calibri" w:cs="Calibri"/>
                <w:b/>
                <w:bCs/>
                <w:color w:val="000000" w:themeColor="text1"/>
              </w:rPr>
              <w:t>Intervention and comparator</w:t>
            </w:r>
          </w:p>
        </w:tc>
        <w:tc>
          <w:tcPr>
            <w:tcW w:w="821" w:type="pct"/>
            <w:shd w:val="clear" w:color="auto" w:fill="D9D9D9" w:themeFill="background1" w:themeFillShade="D9"/>
          </w:tcPr>
          <w:p w14:paraId="27797F37" w14:textId="77777777" w:rsidR="00896A15" w:rsidRDefault="00896A15" w:rsidP="00EE3A9D">
            <w:pPr>
              <w:jc w:val="center"/>
            </w:pPr>
            <w:r w:rsidRPr="781E95A1">
              <w:rPr>
                <w:rFonts w:eastAsia="Calibri" w:cs="Calibri"/>
                <w:b/>
                <w:bCs/>
                <w:color w:val="000000" w:themeColor="text1"/>
              </w:rPr>
              <w:t>Outcomes</w:t>
            </w:r>
          </w:p>
        </w:tc>
      </w:tr>
      <w:tr w:rsidR="00896A15" w14:paraId="662CAC45" w14:textId="77777777" w:rsidTr="002E4480">
        <w:tc>
          <w:tcPr>
            <w:tcW w:w="5000" w:type="pct"/>
            <w:gridSpan w:val="7"/>
            <w:shd w:val="clear" w:color="auto" w:fill="D9D9D9" w:themeFill="background1" w:themeFillShade="D9"/>
          </w:tcPr>
          <w:p w14:paraId="003757B7" w14:textId="77777777" w:rsidR="00896A15" w:rsidRPr="00440B3C" w:rsidRDefault="00896A15" w:rsidP="00EE3A9D">
            <w:pPr>
              <w:rPr>
                <w:b/>
                <w:bCs/>
              </w:rPr>
            </w:pPr>
            <w:r w:rsidRPr="00440B3C">
              <w:rPr>
                <w:b/>
                <w:bCs/>
              </w:rPr>
              <w:t>NRT</w:t>
            </w:r>
          </w:p>
        </w:tc>
      </w:tr>
      <w:tr w:rsidR="00D304C5" w14:paraId="6FA51FAD" w14:textId="77777777" w:rsidTr="002E4480">
        <w:tc>
          <w:tcPr>
            <w:tcW w:w="495" w:type="pct"/>
          </w:tcPr>
          <w:p w14:paraId="5AD9B406" w14:textId="7B2FF498" w:rsidR="00D304C5" w:rsidRDefault="00D304C5" w:rsidP="00D304C5">
            <w:r w:rsidRPr="00EA7FC6">
              <w:t xml:space="preserve">Hanson </w:t>
            </w:r>
            <w:r w:rsidR="000C1484">
              <w:t>(</w:t>
            </w:r>
            <w:r w:rsidRPr="00EA7FC6">
              <w:t>2003</w:t>
            </w:r>
            <w:r w:rsidR="000C1484">
              <w:t>)</w:t>
            </w:r>
          </w:p>
        </w:tc>
        <w:tc>
          <w:tcPr>
            <w:tcW w:w="309" w:type="pct"/>
          </w:tcPr>
          <w:p w14:paraId="6CDC340D" w14:textId="1C66C218" w:rsidR="00D304C5" w:rsidRDefault="00D304C5" w:rsidP="00D304C5">
            <w:r>
              <w:t>RCT</w:t>
            </w:r>
          </w:p>
        </w:tc>
        <w:tc>
          <w:tcPr>
            <w:tcW w:w="405" w:type="pct"/>
          </w:tcPr>
          <w:p w14:paraId="56C5C9D0" w14:textId="2D30E31E" w:rsidR="00D304C5" w:rsidRDefault="00D304C5" w:rsidP="00D304C5">
            <w:r>
              <w:t>USA</w:t>
            </w:r>
          </w:p>
        </w:tc>
        <w:tc>
          <w:tcPr>
            <w:tcW w:w="319" w:type="pct"/>
          </w:tcPr>
          <w:p w14:paraId="7CDC0A66" w14:textId="72ECBDED" w:rsidR="00D304C5" w:rsidRDefault="00D304C5" w:rsidP="00D304C5">
            <w:r>
              <w:t>N=100</w:t>
            </w:r>
          </w:p>
        </w:tc>
        <w:tc>
          <w:tcPr>
            <w:tcW w:w="1272" w:type="pct"/>
          </w:tcPr>
          <w:p w14:paraId="2087E318" w14:textId="28F16D60" w:rsidR="00D304C5" w:rsidRDefault="00D304C5" w:rsidP="00D304C5">
            <w:r>
              <w:t>Young smokers aged 13–19 years who smoked at least 10 CPD for at least 6 months.</w:t>
            </w:r>
          </w:p>
        </w:tc>
        <w:tc>
          <w:tcPr>
            <w:tcW w:w="1379" w:type="pct"/>
          </w:tcPr>
          <w:p w14:paraId="01FCE2AA" w14:textId="77777777" w:rsidR="00D304C5" w:rsidRPr="0038080C" w:rsidRDefault="00D304C5" w:rsidP="00C324F3">
            <w:pPr>
              <w:pStyle w:val="ListParagraph"/>
              <w:numPr>
                <w:ilvl w:val="0"/>
                <w:numId w:val="301"/>
              </w:numPr>
              <w:rPr>
                <w:rFonts w:eastAsia="Calibri" w:cs="Calibri"/>
              </w:rPr>
            </w:pPr>
            <w:r w:rsidRPr="0038080C">
              <w:rPr>
                <w:rFonts w:eastAsia="Calibri" w:cs="Calibri"/>
              </w:rPr>
              <w:t>Nicotine patch (21, 14, and 7 mg/d</w:t>
            </w:r>
            <w:r>
              <w:rPr>
                <w:rFonts w:eastAsia="Calibri" w:cs="Calibri"/>
              </w:rPr>
              <w:t>ay</w:t>
            </w:r>
            <w:r w:rsidRPr="0038080C">
              <w:rPr>
                <w:rFonts w:eastAsia="Calibri" w:cs="Calibri"/>
              </w:rPr>
              <w:t xml:space="preserve">) </w:t>
            </w:r>
          </w:p>
          <w:p w14:paraId="1584A75B" w14:textId="0B0F24D1" w:rsidR="00D304C5" w:rsidRPr="0038080C" w:rsidRDefault="00D304C5" w:rsidP="00C324F3">
            <w:pPr>
              <w:pStyle w:val="ListParagraph"/>
              <w:numPr>
                <w:ilvl w:val="0"/>
                <w:numId w:val="301"/>
              </w:numPr>
              <w:rPr>
                <w:rFonts w:eastAsia="Calibri" w:cs="Calibri"/>
              </w:rPr>
            </w:pPr>
            <w:r w:rsidRPr="0038080C">
              <w:rPr>
                <w:rFonts w:eastAsia="Calibri" w:cs="Calibri"/>
              </w:rPr>
              <w:t>Placebo for</w:t>
            </w:r>
            <w:r>
              <w:rPr>
                <w:rFonts w:eastAsia="Calibri" w:cs="Calibri"/>
              </w:rPr>
              <w:t xml:space="preserve"> </w:t>
            </w:r>
            <w:r w:rsidRPr="0038080C">
              <w:rPr>
                <w:rFonts w:eastAsia="Calibri" w:cs="Calibri"/>
              </w:rPr>
              <w:t>10 w</w:t>
            </w:r>
            <w:r>
              <w:rPr>
                <w:rFonts w:eastAsia="Calibri" w:cs="Calibri"/>
              </w:rPr>
              <w:t>ee</w:t>
            </w:r>
            <w:r w:rsidRPr="0038080C">
              <w:rPr>
                <w:rFonts w:eastAsia="Calibri" w:cs="Calibri"/>
              </w:rPr>
              <w:t>k</w:t>
            </w:r>
            <w:r>
              <w:rPr>
                <w:rFonts w:eastAsia="Calibri" w:cs="Calibri"/>
              </w:rPr>
              <w:t>s</w:t>
            </w:r>
            <w:r w:rsidRPr="0038080C">
              <w:rPr>
                <w:rFonts w:eastAsia="Calibri" w:cs="Calibri"/>
              </w:rPr>
              <w:t xml:space="preserve"> </w:t>
            </w:r>
          </w:p>
        </w:tc>
        <w:tc>
          <w:tcPr>
            <w:tcW w:w="821" w:type="pct"/>
          </w:tcPr>
          <w:p w14:paraId="3D141778" w14:textId="77777777" w:rsidR="00D304C5" w:rsidRDefault="00D304C5" w:rsidP="00D304C5">
            <w:r w:rsidRPr="006B32B5">
              <w:rPr>
                <w:u w:val="single"/>
              </w:rPr>
              <w:t>Efficacy</w:t>
            </w:r>
            <w:r>
              <w:t xml:space="preserve">: </w:t>
            </w:r>
            <w:r w:rsidRPr="00EA7FC6">
              <w:t>30-d point prevalence abstinence at 10 w</w:t>
            </w:r>
            <w:r>
              <w:t>ee</w:t>
            </w:r>
            <w:r w:rsidRPr="00EA7FC6">
              <w:t>k</w:t>
            </w:r>
            <w:r>
              <w:t>.</w:t>
            </w:r>
          </w:p>
          <w:p w14:paraId="46D52B1D" w14:textId="77777777" w:rsidR="00D304C5" w:rsidRDefault="00D304C5" w:rsidP="00D304C5">
            <w:r>
              <w:t>Self-reported abstinence</w:t>
            </w:r>
          </w:p>
          <w:p w14:paraId="7AE3CD2D" w14:textId="77777777" w:rsidR="00D304C5" w:rsidRDefault="00D304C5" w:rsidP="00D304C5">
            <w:r>
              <w:t>confirmed by expired-air</w:t>
            </w:r>
          </w:p>
          <w:p w14:paraId="104328CB" w14:textId="77777777" w:rsidR="00D304C5" w:rsidRDefault="00D304C5" w:rsidP="00D304C5">
            <w:r>
              <w:t>CO levels ≤5 ppm.</w:t>
            </w:r>
          </w:p>
          <w:p w14:paraId="7B80A785" w14:textId="77777777" w:rsidR="00D304C5" w:rsidRDefault="00D304C5" w:rsidP="00D304C5"/>
          <w:p w14:paraId="1088EAD1" w14:textId="5381A74C" w:rsidR="00D304C5" w:rsidRDefault="00D304C5" w:rsidP="00D304C5">
            <w:r w:rsidRPr="00532327">
              <w:rPr>
                <w:u w:val="single"/>
              </w:rPr>
              <w:t>Safety</w:t>
            </w:r>
            <w:r w:rsidRPr="00532327">
              <w:t xml:space="preserve">: </w:t>
            </w:r>
            <w:r w:rsidR="00532327" w:rsidRPr="00532327">
              <w:t>Adverse</w:t>
            </w:r>
            <w:r w:rsidR="00532327">
              <w:t xml:space="preserve"> events, headaches. </w:t>
            </w:r>
          </w:p>
        </w:tc>
      </w:tr>
      <w:tr w:rsidR="00D304C5" w14:paraId="41199EE4" w14:textId="77777777" w:rsidTr="002E4480">
        <w:tc>
          <w:tcPr>
            <w:tcW w:w="495" w:type="pct"/>
          </w:tcPr>
          <w:p w14:paraId="2CBD2231" w14:textId="72A1BDB4" w:rsidR="00D304C5" w:rsidRDefault="00D304C5" w:rsidP="00D304C5">
            <w:r w:rsidRPr="00EA7FC6">
              <w:t xml:space="preserve">Killen </w:t>
            </w:r>
            <w:r w:rsidR="000C1484">
              <w:t>(</w:t>
            </w:r>
            <w:r w:rsidRPr="00EA7FC6">
              <w:t>2004</w:t>
            </w:r>
            <w:r w:rsidR="000C1484">
              <w:t>)</w:t>
            </w:r>
          </w:p>
        </w:tc>
        <w:tc>
          <w:tcPr>
            <w:tcW w:w="309" w:type="pct"/>
          </w:tcPr>
          <w:p w14:paraId="6ED56C78" w14:textId="576D8F71" w:rsidR="00D304C5" w:rsidRDefault="00D304C5" w:rsidP="00D304C5">
            <w:r>
              <w:t>RCT</w:t>
            </w:r>
          </w:p>
        </w:tc>
        <w:tc>
          <w:tcPr>
            <w:tcW w:w="405" w:type="pct"/>
          </w:tcPr>
          <w:p w14:paraId="0CAF1A0E" w14:textId="2124CC00" w:rsidR="00D304C5" w:rsidRDefault="00D304C5" w:rsidP="00D304C5">
            <w:r>
              <w:t>USA</w:t>
            </w:r>
          </w:p>
        </w:tc>
        <w:tc>
          <w:tcPr>
            <w:tcW w:w="319" w:type="pct"/>
          </w:tcPr>
          <w:p w14:paraId="34873246" w14:textId="3AA25562" w:rsidR="00D304C5" w:rsidRDefault="00D304C5" w:rsidP="00D304C5">
            <w:r>
              <w:t>N=211</w:t>
            </w:r>
          </w:p>
        </w:tc>
        <w:tc>
          <w:tcPr>
            <w:tcW w:w="1272" w:type="pct"/>
          </w:tcPr>
          <w:p w14:paraId="41A08132" w14:textId="52302630" w:rsidR="00D304C5" w:rsidRDefault="00D304C5" w:rsidP="00D304C5">
            <w:r>
              <w:t xml:space="preserve">Adolescent smokers aged 15–18 years who smoked at least 10 CPD for at least 6 months. </w:t>
            </w:r>
          </w:p>
        </w:tc>
        <w:tc>
          <w:tcPr>
            <w:tcW w:w="1379" w:type="pct"/>
          </w:tcPr>
          <w:p w14:paraId="0E50AC62" w14:textId="77777777" w:rsidR="00D304C5" w:rsidRPr="0038080C" w:rsidRDefault="00D304C5" w:rsidP="00C324F3">
            <w:pPr>
              <w:pStyle w:val="ListParagraph"/>
              <w:numPr>
                <w:ilvl w:val="0"/>
                <w:numId w:val="302"/>
              </w:numPr>
              <w:rPr>
                <w:rFonts w:eastAsia="Calibri" w:cs="Calibri"/>
              </w:rPr>
            </w:pPr>
            <w:r w:rsidRPr="0038080C">
              <w:rPr>
                <w:rFonts w:eastAsia="Calibri" w:cs="Calibri"/>
              </w:rPr>
              <w:t xml:space="preserve">Nicotine patch (21, 14, and 7 mg/d) plus bupropion (150 mg/d) </w:t>
            </w:r>
          </w:p>
          <w:p w14:paraId="397E9329" w14:textId="43D154D3" w:rsidR="00D304C5" w:rsidRPr="0038080C" w:rsidRDefault="00D304C5" w:rsidP="00C324F3">
            <w:pPr>
              <w:pStyle w:val="ListParagraph"/>
              <w:numPr>
                <w:ilvl w:val="0"/>
                <w:numId w:val="302"/>
              </w:numPr>
              <w:rPr>
                <w:rFonts w:eastAsia="Calibri" w:cs="Calibri"/>
              </w:rPr>
            </w:pPr>
            <w:r w:rsidRPr="0038080C">
              <w:rPr>
                <w:rFonts w:eastAsia="Calibri" w:cs="Calibri"/>
              </w:rPr>
              <w:t>nicotine patch (21, 14, and 7 mg/d) plus placebo for 8 w</w:t>
            </w:r>
            <w:r>
              <w:rPr>
                <w:rFonts w:eastAsia="Calibri" w:cs="Calibri"/>
              </w:rPr>
              <w:t>ee</w:t>
            </w:r>
            <w:r w:rsidRPr="0038080C">
              <w:rPr>
                <w:rFonts w:eastAsia="Calibri" w:cs="Calibri"/>
              </w:rPr>
              <w:t>k</w:t>
            </w:r>
            <w:r>
              <w:rPr>
                <w:rFonts w:eastAsia="Calibri" w:cs="Calibri"/>
              </w:rPr>
              <w:t>s</w:t>
            </w:r>
            <w:r w:rsidRPr="0038080C">
              <w:rPr>
                <w:rFonts w:eastAsia="Calibri" w:cs="Calibri"/>
              </w:rPr>
              <w:t xml:space="preserve"> </w:t>
            </w:r>
          </w:p>
        </w:tc>
        <w:tc>
          <w:tcPr>
            <w:tcW w:w="821" w:type="pct"/>
          </w:tcPr>
          <w:p w14:paraId="3F587E54" w14:textId="77777777" w:rsidR="00D304C5" w:rsidRDefault="00D304C5" w:rsidP="00D304C5">
            <w:r w:rsidRPr="006B32B5">
              <w:rPr>
                <w:u w:val="single"/>
              </w:rPr>
              <w:t>Efficacy</w:t>
            </w:r>
            <w:r>
              <w:t xml:space="preserve">: </w:t>
            </w:r>
            <w:r w:rsidRPr="00EA7FC6">
              <w:t>7-d point prevalence abstinence at 26 w</w:t>
            </w:r>
            <w:r>
              <w:t>ee</w:t>
            </w:r>
            <w:r w:rsidRPr="00EA7FC6">
              <w:t>k</w:t>
            </w:r>
            <w:r>
              <w:t>s.</w:t>
            </w:r>
          </w:p>
          <w:p w14:paraId="40F32785" w14:textId="77777777" w:rsidR="00D304C5" w:rsidRDefault="00D304C5" w:rsidP="00D304C5">
            <w:r>
              <w:t>Self-reported abstinence</w:t>
            </w:r>
          </w:p>
          <w:p w14:paraId="4B3FEC56" w14:textId="77777777" w:rsidR="00D304C5" w:rsidRDefault="00D304C5" w:rsidP="00D304C5">
            <w:r>
              <w:t>confirmed by salivary</w:t>
            </w:r>
          </w:p>
          <w:p w14:paraId="6E5A82F8" w14:textId="77777777" w:rsidR="00D304C5" w:rsidRDefault="00D304C5" w:rsidP="00D304C5">
            <w:r>
              <w:t>cotinine levels &lt;20 ng/mL.</w:t>
            </w:r>
          </w:p>
          <w:p w14:paraId="215F5B3B" w14:textId="77777777" w:rsidR="00D304C5" w:rsidRDefault="00D304C5" w:rsidP="00D304C5"/>
          <w:p w14:paraId="54AE6305" w14:textId="27E0E0C8" w:rsidR="00D304C5" w:rsidRPr="006B32B5" w:rsidRDefault="00D304C5" w:rsidP="00D304C5">
            <w:pPr>
              <w:rPr>
                <w:u w:val="single"/>
              </w:rPr>
            </w:pPr>
            <w:r w:rsidRPr="00590106">
              <w:rPr>
                <w:u w:val="single"/>
              </w:rPr>
              <w:t xml:space="preserve">Safety: </w:t>
            </w:r>
            <w:r w:rsidRPr="00590106">
              <w:t>Adverse events; 47 self-rated "severe" but none judged severe by the study physician.</w:t>
            </w:r>
          </w:p>
        </w:tc>
      </w:tr>
      <w:tr w:rsidR="00D304C5" w14:paraId="4A45DBA7" w14:textId="77777777" w:rsidTr="002E4480">
        <w:tc>
          <w:tcPr>
            <w:tcW w:w="495" w:type="pct"/>
          </w:tcPr>
          <w:p w14:paraId="0EF17622" w14:textId="5516E81A" w:rsidR="00D304C5" w:rsidRDefault="00D304C5" w:rsidP="00D304C5">
            <w:r>
              <w:t xml:space="preserve">Niederhofer </w:t>
            </w:r>
            <w:r w:rsidR="000C1484">
              <w:t>(</w:t>
            </w:r>
            <w:r>
              <w:t>2004</w:t>
            </w:r>
            <w:r w:rsidR="000C1484">
              <w:t>)</w:t>
            </w:r>
          </w:p>
        </w:tc>
        <w:tc>
          <w:tcPr>
            <w:tcW w:w="309" w:type="pct"/>
          </w:tcPr>
          <w:p w14:paraId="604DC001" w14:textId="456407D2" w:rsidR="00D304C5" w:rsidRDefault="00D304C5" w:rsidP="00D304C5">
            <w:r>
              <w:t>RCT</w:t>
            </w:r>
          </w:p>
        </w:tc>
        <w:tc>
          <w:tcPr>
            <w:tcW w:w="405" w:type="pct"/>
          </w:tcPr>
          <w:p w14:paraId="21CBD569" w14:textId="1EA12EEB" w:rsidR="00D304C5" w:rsidRDefault="00D304C5" w:rsidP="00D304C5">
            <w:r>
              <w:t>Austria</w:t>
            </w:r>
          </w:p>
        </w:tc>
        <w:tc>
          <w:tcPr>
            <w:tcW w:w="319" w:type="pct"/>
          </w:tcPr>
          <w:p w14:paraId="23C6D7F7" w14:textId="777263E1" w:rsidR="00D304C5" w:rsidRDefault="00D304C5" w:rsidP="00D304C5">
            <w:r>
              <w:t>N=22</w:t>
            </w:r>
          </w:p>
        </w:tc>
        <w:tc>
          <w:tcPr>
            <w:tcW w:w="1272" w:type="pct"/>
          </w:tcPr>
          <w:p w14:paraId="1E57E8C3" w14:textId="1EB7E950" w:rsidR="00D304C5" w:rsidRDefault="00D304C5" w:rsidP="00D304C5">
            <w:r>
              <w:t xml:space="preserve">Adolescent smokers aged 16–19 years. </w:t>
            </w:r>
          </w:p>
        </w:tc>
        <w:tc>
          <w:tcPr>
            <w:tcW w:w="1379" w:type="pct"/>
          </w:tcPr>
          <w:p w14:paraId="6F0333B5" w14:textId="77777777" w:rsidR="00D304C5" w:rsidRPr="0038080C" w:rsidRDefault="00D304C5" w:rsidP="00C324F3">
            <w:pPr>
              <w:pStyle w:val="ListParagraph"/>
              <w:numPr>
                <w:ilvl w:val="0"/>
                <w:numId w:val="303"/>
              </w:numPr>
              <w:rPr>
                <w:rFonts w:eastAsia="Calibri" w:cs="Calibri"/>
              </w:rPr>
            </w:pPr>
            <w:r w:rsidRPr="0038080C">
              <w:rPr>
                <w:rFonts w:eastAsia="Calibri" w:cs="Calibri"/>
              </w:rPr>
              <w:t>Bupropion (150 mg/d)</w:t>
            </w:r>
          </w:p>
          <w:p w14:paraId="064F3A95" w14:textId="034C67E2" w:rsidR="00D304C5" w:rsidRPr="0038080C" w:rsidRDefault="00D304C5" w:rsidP="00C324F3">
            <w:pPr>
              <w:pStyle w:val="ListParagraph"/>
              <w:numPr>
                <w:ilvl w:val="0"/>
                <w:numId w:val="303"/>
              </w:numPr>
              <w:rPr>
                <w:rFonts w:eastAsia="Calibri" w:cs="Calibri"/>
              </w:rPr>
            </w:pPr>
            <w:r w:rsidRPr="0038080C">
              <w:rPr>
                <w:rFonts w:eastAsia="Calibri" w:cs="Calibri"/>
              </w:rPr>
              <w:t xml:space="preserve">Placebo for 90 days </w:t>
            </w:r>
          </w:p>
        </w:tc>
        <w:tc>
          <w:tcPr>
            <w:tcW w:w="821" w:type="pct"/>
          </w:tcPr>
          <w:p w14:paraId="65F7CDA6" w14:textId="77777777" w:rsidR="00D304C5" w:rsidRDefault="00D304C5" w:rsidP="00D304C5">
            <w:r w:rsidRPr="006B32B5">
              <w:rPr>
                <w:u w:val="single"/>
              </w:rPr>
              <w:t>Efficacy</w:t>
            </w:r>
            <w:r>
              <w:t xml:space="preserve">: </w:t>
            </w:r>
            <w:r w:rsidRPr="00EA7FC6">
              <w:t>Continuous abstinence at 90 d</w:t>
            </w:r>
            <w:r>
              <w:t>ays.</w:t>
            </w:r>
          </w:p>
          <w:p w14:paraId="6E994A98" w14:textId="77777777" w:rsidR="00D304C5" w:rsidRDefault="00D304C5" w:rsidP="00D304C5">
            <w:r>
              <w:t>Self-reported abstinence</w:t>
            </w:r>
          </w:p>
          <w:p w14:paraId="09CF9BA3" w14:textId="77777777" w:rsidR="00D304C5" w:rsidRDefault="00D304C5" w:rsidP="00D304C5">
            <w:r>
              <w:t>confirmed by breath CO</w:t>
            </w:r>
          </w:p>
          <w:p w14:paraId="7C927DC6" w14:textId="77777777" w:rsidR="00D304C5" w:rsidRDefault="00D304C5" w:rsidP="00D304C5">
            <w:r>
              <w:t>levels.</w:t>
            </w:r>
          </w:p>
          <w:p w14:paraId="1AF012A9" w14:textId="77777777" w:rsidR="00D304C5" w:rsidRDefault="00D304C5" w:rsidP="00D304C5"/>
          <w:p w14:paraId="4149E0E7" w14:textId="0D7F323C" w:rsidR="00D304C5" w:rsidRPr="006B32B5" w:rsidRDefault="00D304C5" w:rsidP="00D304C5">
            <w:pPr>
              <w:rPr>
                <w:u w:val="single"/>
              </w:rPr>
            </w:pPr>
            <w:r w:rsidRPr="000158DF">
              <w:rPr>
                <w:u w:val="single"/>
              </w:rPr>
              <w:t>Safety</w:t>
            </w:r>
            <w:r w:rsidRPr="000158DF">
              <w:t>:</w:t>
            </w:r>
            <w:r>
              <w:t xml:space="preserve"> </w:t>
            </w:r>
            <w:r w:rsidR="000158DF" w:rsidRPr="009D4141">
              <w:t>Adverse</w:t>
            </w:r>
            <w:r w:rsidR="000158DF">
              <w:t xml:space="preserve"> events.</w:t>
            </w:r>
          </w:p>
        </w:tc>
      </w:tr>
      <w:tr w:rsidR="00D304C5" w14:paraId="62838748" w14:textId="77777777" w:rsidTr="002E4480">
        <w:tc>
          <w:tcPr>
            <w:tcW w:w="495" w:type="pct"/>
          </w:tcPr>
          <w:p w14:paraId="7508786C" w14:textId="3DA2E37E" w:rsidR="00D304C5" w:rsidRDefault="00D304C5" w:rsidP="00D304C5">
            <w:r>
              <w:t xml:space="preserve">Moolchan </w:t>
            </w:r>
            <w:r w:rsidR="000C1484">
              <w:t>(</w:t>
            </w:r>
            <w:r>
              <w:t>2005</w:t>
            </w:r>
            <w:r w:rsidR="000C1484">
              <w:t>)</w:t>
            </w:r>
          </w:p>
        </w:tc>
        <w:tc>
          <w:tcPr>
            <w:tcW w:w="309" w:type="pct"/>
          </w:tcPr>
          <w:p w14:paraId="6100B082" w14:textId="192D5EE5" w:rsidR="00D304C5" w:rsidRDefault="00D304C5" w:rsidP="00D304C5">
            <w:r>
              <w:t>RCT</w:t>
            </w:r>
          </w:p>
        </w:tc>
        <w:tc>
          <w:tcPr>
            <w:tcW w:w="405" w:type="pct"/>
          </w:tcPr>
          <w:p w14:paraId="72804D01" w14:textId="7C9E3142" w:rsidR="00D304C5" w:rsidRDefault="00D304C5" w:rsidP="00D304C5">
            <w:r>
              <w:t>USA</w:t>
            </w:r>
          </w:p>
        </w:tc>
        <w:tc>
          <w:tcPr>
            <w:tcW w:w="319" w:type="pct"/>
          </w:tcPr>
          <w:p w14:paraId="3F172124" w14:textId="084DB2AB" w:rsidR="00D304C5" w:rsidRDefault="00D304C5" w:rsidP="00D304C5">
            <w:r>
              <w:t>N=120</w:t>
            </w:r>
          </w:p>
        </w:tc>
        <w:tc>
          <w:tcPr>
            <w:tcW w:w="1272" w:type="pct"/>
          </w:tcPr>
          <w:p w14:paraId="755F2CA1" w14:textId="29B79118" w:rsidR="00D304C5" w:rsidRDefault="00D304C5" w:rsidP="00D304C5">
            <w:r>
              <w:t xml:space="preserve">Adolescent smokers aged 13–17 years who smoked &gt;10 CPD for at least 6 months. </w:t>
            </w:r>
          </w:p>
        </w:tc>
        <w:tc>
          <w:tcPr>
            <w:tcW w:w="1379" w:type="pct"/>
          </w:tcPr>
          <w:p w14:paraId="06653C32" w14:textId="77777777" w:rsidR="00D304C5" w:rsidRPr="0038080C" w:rsidRDefault="00D304C5" w:rsidP="00C324F3">
            <w:pPr>
              <w:pStyle w:val="ListParagraph"/>
              <w:numPr>
                <w:ilvl w:val="0"/>
                <w:numId w:val="304"/>
              </w:numPr>
              <w:rPr>
                <w:rFonts w:eastAsia="Calibri" w:cs="Calibri"/>
              </w:rPr>
            </w:pPr>
            <w:r w:rsidRPr="0038080C">
              <w:rPr>
                <w:rFonts w:eastAsia="Calibri" w:cs="Calibri"/>
              </w:rPr>
              <w:t xml:space="preserve">Nicotine patch (21 or 14 mg/d) or nicotine gum (2 or 4 mg) </w:t>
            </w:r>
          </w:p>
          <w:p w14:paraId="380FB5D7" w14:textId="5F10DD8F" w:rsidR="00D304C5" w:rsidRPr="0038080C" w:rsidRDefault="00D304C5" w:rsidP="00C324F3">
            <w:pPr>
              <w:pStyle w:val="ListParagraph"/>
              <w:numPr>
                <w:ilvl w:val="0"/>
                <w:numId w:val="304"/>
              </w:numPr>
              <w:rPr>
                <w:rFonts w:eastAsia="Calibri" w:cs="Calibri"/>
              </w:rPr>
            </w:pPr>
            <w:r w:rsidRPr="0038080C">
              <w:rPr>
                <w:rFonts w:eastAsia="Calibri" w:cs="Calibri"/>
              </w:rPr>
              <w:t>Placebo for 12 weeks</w:t>
            </w:r>
          </w:p>
        </w:tc>
        <w:tc>
          <w:tcPr>
            <w:tcW w:w="821" w:type="pct"/>
          </w:tcPr>
          <w:p w14:paraId="65B8B0DF" w14:textId="77777777" w:rsidR="00D304C5" w:rsidRDefault="00D304C5" w:rsidP="00D304C5">
            <w:r w:rsidRPr="006B32B5">
              <w:rPr>
                <w:u w:val="single"/>
              </w:rPr>
              <w:t>Efficacy</w:t>
            </w:r>
            <w:r>
              <w:t xml:space="preserve">: </w:t>
            </w:r>
            <w:r w:rsidRPr="00EA7FC6">
              <w:t>Prolonged abstinence at 3 mo</w:t>
            </w:r>
            <w:r>
              <w:t>nths.</w:t>
            </w:r>
          </w:p>
          <w:p w14:paraId="79665272" w14:textId="77777777" w:rsidR="00D304C5" w:rsidRDefault="00D304C5" w:rsidP="00D304C5">
            <w:r>
              <w:t>Self-reported abstinence</w:t>
            </w:r>
          </w:p>
          <w:p w14:paraId="6575CDC8" w14:textId="77777777" w:rsidR="00D304C5" w:rsidRDefault="00D304C5" w:rsidP="00D304C5">
            <w:r>
              <w:lastRenderedPageBreak/>
              <w:t>confirmed by expired-air</w:t>
            </w:r>
          </w:p>
          <w:p w14:paraId="736460EC" w14:textId="77777777" w:rsidR="00D304C5" w:rsidRDefault="00D304C5" w:rsidP="00D304C5">
            <w:r>
              <w:t>CO levels ≤6 ppm</w:t>
            </w:r>
          </w:p>
          <w:p w14:paraId="6CE733D2" w14:textId="77777777" w:rsidR="00D304C5" w:rsidRDefault="00D304C5" w:rsidP="00D304C5"/>
          <w:p w14:paraId="6F531CC4" w14:textId="37FE870B" w:rsidR="00D304C5" w:rsidRPr="006B32B5" w:rsidRDefault="00D304C5" w:rsidP="00D304C5">
            <w:pPr>
              <w:rPr>
                <w:u w:val="single"/>
              </w:rPr>
            </w:pPr>
            <w:r w:rsidRPr="006B32B5">
              <w:rPr>
                <w:u w:val="single"/>
              </w:rPr>
              <w:t>Safety</w:t>
            </w:r>
            <w:r>
              <w:t xml:space="preserve">: NR. </w:t>
            </w:r>
          </w:p>
        </w:tc>
      </w:tr>
      <w:tr w:rsidR="00D304C5" w14:paraId="6D849C8C" w14:textId="77777777" w:rsidTr="002E4480">
        <w:tc>
          <w:tcPr>
            <w:tcW w:w="495" w:type="pct"/>
          </w:tcPr>
          <w:p w14:paraId="6AE9CD90" w14:textId="2E86C71B" w:rsidR="00D304C5" w:rsidRDefault="00D304C5" w:rsidP="00D304C5">
            <w:r w:rsidRPr="00EA7FC6">
              <w:lastRenderedPageBreak/>
              <w:t xml:space="preserve">Roddy </w:t>
            </w:r>
            <w:r w:rsidR="000C1484">
              <w:t>(</w:t>
            </w:r>
            <w:r w:rsidRPr="00EA7FC6">
              <w:t>2006</w:t>
            </w:r>
            <w:r w:rsidR="000C1484">
              <w:t>)</w:t>
            </w:r>
          </w:p>
        </w:tc>
        <w:tc>
          <w:tcPr>
            <w:tcW w:w="309" w:type="pct"/>
          </w:tcPr>
          <w:p w14:paraId="2680098C" w14:textId="42C0321E" w:rsidR="00D304C5" w:rsidRDefault="00D304C5" w:rsidP="00D304C5">
            <w:r>
              <w:t>RCT</w:t>
            </w:r>
          </w:p>
        </w:tc>
        <w:tc>
          <w:tcPr>
            <w:tcW w:w="405" w:type="pct"/>
          </w:tcPr>
          <w:p w14:paraId="18FAF9A2" w14:textId="624F8E59" w:rsidR="00D304C5" w:rsidRDefault="00D304C5" w:rsidP="00D304C5">
            <w:r>
              <w:t>UK</w:t>
            </w:r>
          </w:p>
        </w:tc>
        <w:tc>
          <w:tcPr>
            <w:tcW w:w="319" w:type="pct"/>
          </w:tcPr>
          <w:p w14:paraId="6F47710C" w14:textId="3A6CD952" w:rsidR="00D304C5" w:rsidRDefault="00D304C5" w:rsidP="00D304C5">
            <w:r>
              <w:t>N=98</w:t>
            </w:r>
          </w:p>
        </w:tc>
        <w:tc>
          <w:tcPr>
            <w:tcW w:w="1272" w:type="pct"/>
          </w:tcPr>
          <w:p w14:paraId="22C8D837" w14:textId="19CF2AD6" w:rsidR="00D304C5" w:rsidRDefault="00D304C5" w:rsidP="00D304C5">
            <w:r>
              <w:t>Young smokers aged 14–20 years who were daily smokers.</w:t>
            </w:r>
          </w:p>
        </w:tc>
        <w:tc>
          <w:tcPr>
            <w:tcW w:w="1379" w:type="pct"/>
          </w:tcPr>
          <w:p w14:paraId="58F2847F" w14:textId="77777777" w:rsidR="00D304C5" w:rsidRPr="0038080C" w:rsidRDefault="00D304C5" w:rsidP="00C324F3">
            <w:pPr>
              <w:pStyle w:val="ListParagraph"/>
              <w:numPr>
                <w:ilvl w:val="0"/>
                <w:numId w:val="305"/>
              </w:numPr>
              <w:rPr>
                <w:rFonts w:eastAsia="Calibri" w:cs="Calibri"/>
              </w:rPr>
            </w:pPr>
            <w:r w:rsidRPr="0038080C">
              <w:rPr>
                <w:rFonts w:eastAsia="Calibri" w:cs="Calibri"/>
              </w:rPr>
              <w:t>Nicotine patch (15, 10, and 5 mg/d)</w:t>
            </w:r>
          </w:p>
          <w:p w14:paraId="4FA61CC6" w14:textId="171718F5" w:rsidR="00D304C5" w:rsidRPr="0038080C" w:rsidRDefault="00D304C5" w:rsidP="00C324F3">
            <w:pPr>
              <w:pStyle w:val="ListParagraph"/>
              <w:numPr>
                <w:ilvl w:val="0"/>
                <w:numId w:val="305"/>
              </w:numPr>
              <w:rPr>
                <w:rFonts w:eastAsia="Calibri" w:cs="Calibri"/>
              </w:rPr>
            </w:pPr>
            <w:r w:rsidRPr="0038080C">
              <w:rPr>
                <w:rFonts w:eastAsia="Calibri" w:cs="Calibri"/>
              </w:rPr>
              <w:t>Placebo for 6 weeks</w:t>
            </w:r>
          </w:p>
        </w:tc>
        <w:tc>
          <w:tcPr>
            <w:tcW w:w="821" w:type="pct"/>
          </w:tcPr>
          <w:p w14:paraId="3AB4A62A" w14:textId="77777777" w:rsidR="00D304C5" w:rsidRDefault="00D304C5" w:rsidP="00D304C5">
            <w:r w:rsidRPr="006B32B5">
              <w:rPr>
                <w:u w:val="single"/>
              </w:rPr>
              <w:t>Efficacy</w:t>
            </w:r>
            <w:r>
              <w:t xml:space="preserve">: </w:t>
            </w:r>
            <w:r w:rsidRPr="00EA7FC6">
              <w:t>Point abstinence at 4 w</w:t>
            </w:r>
            <w:r>
              <w:t>ee</w:t>
            </w:r>
            <w:r w:rsidRPr="00EA7FC6">
              <w:t>k</w:t>
            </w:r>
            <w:r>
              <w:t>s.</w:t>
            </w:r>
          </w:p>
          <w:p w14:paraId="3F575D11" w14:textId="77777777" w:rsidR="00D304C5" w:rsidRDefault="00D304C5" w:rsidP="00D304C5">
            <w:r>
              <w:t>Exhaled CO (levels not</w:t>
            </w:r>
          </w:p>
          <w:p w14:paraId="159A3DC7" w14:textId="77777777" w:rsidR="00D304C5" w:rsidRDefault="00D304C5" w:rsidP="00D304C5">
            <w:r>
              <w:t>specified)</w:t>
            </w:r>
          </w:p>
          <w:p w14:paraId="5940C4A6" w14:textId="77777777" w:rsidR="00D304C5" w:rsidRDefault="00D304C5" w:rsidP="00D304C5"/>
          <w:p w14:paraId="3B880DC2" w14:textId="39CC7203" w:rsidR="00D304C5" w:rsidRPr="006B32B5" w:rsidRDefault="00D304C5" w:rsidP="00D304C5">
            <w:pPr>
              <w:rPr>
                <w:u w:val="single"/>
              </w:rPr>
            </w:pPr>
            <w:r w:rsidRPr="009D4141">
              <w:rPr>
                <w:u w:val="single"/>
              </w:rPr>
              <w:t>Safety</w:t>
            </w:r>
            <w:r w:rsidRPr="009D4141">
              <w:t xml:space="preserve">: </w:t>
            </w:r>
            <w:r w:rsidR="009D4141" w:rsidRPr="009D4141">
              <w:t>Adverse</w:t>
            </w:r>
            <w:r w:rsidR="009D4141">
              <w:t xml:space="preserve"> events.</w:t>
            </w:r>
          </w:p>
        </w:tc>
      </w:tr>
      <w:tr w:rsidR="00D304C5" w14:paraId="014A123A" w14:textId="77777777" w:rsidTr="002E4480">
        <w:tc>
          <w:tcPr>
            <w:tcW w:w="495" w:type="pct"/>
          </w:tcPr>
          <w:p w14:paraId="1376953B" w14:textId="71F339C5" w:rsidR="00D304C5" w:rsidRDefault="00D304C5" w:rsidP="00D304C5">
            <w:r>
              <w:t xml:space="preserve">Muramoto </w:t>
            </w:r>
            <w:r w:rsidR="000C1484">
              <w:t>(</w:t>
            </w:r>
            <w:r>
              <w:t>2007</w:t>
            </w:r>
            <w:r w:rsidR="000C1484">
              <w:t>)</w:t>
            </w:r>
          </w:p>
        </w:tc>
        <w:tc>
          <w:tcPr>
            <w:tcW w:w="309" w:type="pct"/>
          </w:tcPr>
          <w:p w14:paraId="4747C157" w14:textId="2BA4F332" w:rsidR="00D304C5" w:rsidRDefault="00D304C5" w:rsidP="00D304C5">
            <w:r>
              <w:t>RCT</w:t>
            </w:r>
          </w:p>
        </w:tc>
        <w:tc>
          <w:tcPr>
            <w:tcW w:w="405" w:type="pct"/>
          </w:tcPr>
          <w:p w14:paraId="26D0F655" w14:textId="72128D04" w:rsidR="00D304C5" w:rsidRDefault="00D304C5" w:rsidP="00D304C5">
            <w:r>
              <w:t>USA</w:t>
            </w:r>
          </w:p>
        </w:tc>
        <w:tc>
          <w:tcPr>
            <w:tcW w:w="319" w:type="pct"/>
          </w:tcPr>
          <w:p w14:paraId="3986D88C" w14:textId="6A92DC0C" w:rsidR="00D304C5" w:rsidRDefault="00D304C5" w:rsidP="00D304C5">
            <w:r>
              <w:t>N=207</w:t>
            </w:r>
          </w:p>
        </w:tc>
        <w:tc>
          <w:tcPr>
            <w:tcW w:w="1272" w:type="pct"/>
          </w:tcPr>
          <w:p w14:paraId="052E3925" w14:textId="5613504D" w:rsidR="00D304C5" w:rsidRDefault="00D304C5" w:rsidP="00D304C5">
            <w:r>
              <w:t xml:space="preserve">Adolescent smokers aged 14–17 years who smoked six or more CPD. </w:t>
            </w:r>
          </w:p>
        </w:tc>
        <w:tc>
          <w:tcPr>
            <w:tcW w:w="1379" w:type="pct"/>
          </w:tcPr>
          <w:p w14:paraId="1BA3A00D" w14:textId="77777777" w:rsidR="00D304C5" w:rsidRPr="0038080C" w:rsidRDefault="00D304C5" w:rsidP="00C324F3">
            <w:pPr>
              <w:pStyle w:val="ListParagraph"/>
              <w:numPr>
                <w:ilvl w:val="0"/>
                <w:numId w:val="306"/>
              </w:numPr>
              <w:rPr>
                <w:rFonts w:eastAsia="Calibri" w:cs="Calibri"/>
              </w:rPr>
            </w:pPr>
            <w:r w:rsidRPr="0038080C">
              <w:rPr>
                <w:rFonts w:eastAsia="Calibri" w:cs="Calibri"/>
              </w:rPr>
              <w:t xml:space="preserve">Bupropion SR (300 mg/d) </w:t>
            </w:r>
          </w:p>
          <w:p w14:paraId="6091F6F4" w14:textId="05C74225" w:rsidR="00D304C5" w:rsidRPr="0038080C" w:rsidRDefault="00D304C5" w:rsidP="00C324F3">
            <w:pPr>
              <w:pStyle w:val="ListParagraph"/>
              <w:numPr>
                <w:ilvl w:val="0"/>
                <w:numId w:val="306"/>
              </w:numPr>
              <w:rPr>
                <w:rFonts w:eastAsia="Calibri" w:cs="Calibri"/>
              </w:rPr>
            </w:pPr>
            <w:r w:rsidRPr="0038080C">
              <w:rPr>
                <w:rFonts w:eastAsia="Calibri" w:cs="Calibri"/>
              </w:rPr>
              <w:t>Placebo for 6 weeks</w:t>
            </w:r>
          </w:p>
        </w:tc>
        <w:tc>
          <w:tcPr>
            <w:tcW w:w="821" w:type="pct"/>
          </w:tcPr>
          <w:p w14:paraId="5E6B7FB2" w14:textId="77777777" w:rsidR="00D304C5" w:rsidRDefault="00D304C5" w:rsidP="00D304C5">
            <w:r w:rsidRPr="006B32B5">
              <w:rPr>
                <w:u w:val="single"/>
              </w:rPr>
              <w:t>Efficacy</w:t>
            </w:r>
            <w:r>
              <w:t>: 7-d point prevalence abstinence at 6-week confirmed by</w:t>
            </w:r>
          </w:p>
          <w:p w14:paraId="5D0EBC29" w14:textId="77777777" w:rsidR="00D304C5" w:rsidRDefault="00D304C5" w:rsidP="00D304C5">
            <w:r>
              <w:t>urinary cotinine levels.</w:t>
            </w:r>
          </w:p>
          <w:p w14:paraId="19554B56" w14:textId="77777777" w:rsidR="00D304C5" w:rsidRDefault="00D304C5" w:rsidP="00D304C5">
            <w:r>
              <w:t>Self-reported abstinence</w:t>
            </w:r>
          </w:p>
          <w:p w14:paraId="7837DEEE" w14:textId="77777777" w:rsidR="00D304C5" w:rsidRDefault="00D304C5" w:rsidP="00D304C5">
            <w:r>
              <w:t>confirmed by exhaled CO</w:t>
            </w:r>
          </w:p>
          <w:p w14:paraId="1270559D" w14:textId="77777777" w:rsidR="00D304C5" w:rsidRDefault="00D304C5" w:rsidP="00D304C5">
            <w:r>
              <w:t>levels ≤10 ppm or urinary cotinine levels ≤50 μg/L.</w:t>
            </w:r>
          </w:p>
          <w:p w14:paraId="7A9112F7" w14:textId="77777777" w:rsidR="00D304C5" w:rsidRDefault="00D304C5" w:rsidP="00D304C5"/>
          <w:p w14:paraId="42B05217" w14:textId="1BEE844B" w:rsidR="00D304C5" w:rsidRPr="006B32B5" w:rsidRDefault="00D304C5" w:rsidP="00D304C5">
            <w:pPr>
              <w:rPr>
                <w:u w:val="single"/>
              </w:rPr>
            </w:pPr>
            <w:r w:rsidRPr="006B32B5">
              <w:rPr>
                <w:u w:val="single"/>
              </w:rPr>
              <w:t>Safety</w:t>
            </w:r>
            <w:r>
              <w:t>: Adverse events including headache, cough, throat symptom, sleep disturbance, nausea reported. 8 participants in treatment group discontinued treatment for various adverse events. 2 "serious" and 1 "medically important"</w:t>
            </w:r>
          </w:p>
        </w:tc>
      </w:tr>
      <w:tr w:rsidR="00D304C5" w14:paraId="05E51686" w14:textId="77777777" w:rsidTr="002E4480">
        <w:tc>
          <w:tcPr>
            <w:tcW w:w="495" w:type="pct"/>
          </w:tcPr>
          <w:p w14:paraId="11A9F4B1" w14:textId="57FD399B" w:rsidR="00D304C5" w:rsidRDefault="00D304C5" w:rsidP="00D304C5">
            <w:r>
              <w:t xml:space="preserve">Rubinstein </w:t>
            </w:r>
            <w:r w:rsidR="000C1484">
              <w:t>(</w:t>
            </w:r>
            <w:r>
              <w:t>2008</w:t>
            </w:r>
            <w:r w:rsidR="000C1484">
              <w:t>)</w:t>
            </w:r>
          </w:p>
        </w:tc>
        <w:tc>
          <w:tcPr>
            <w:tcW w:w="309" w:type="pct"/>
          </w:tcPr>
          <w:p w14:paraId="401CF7EE" w14:textId="4B58AA15" w:rsidR="00D304C5" w:rsidRDefault="00D304C5" w:rsidP="00D304C5">
            <w:r>
              <w:t>RCT</w:t>
            </w:r>
          </w:p>
        </w:tc>
        <w:tc>
          <w:tcPr>
            <w:tcW w:w="405" w:type="pct"/>
          </w:tcPr>
          <w:p w14:paraId="32602B55" w14:textId="2381C43E" w:rsidR="00D304C5" w:rsidRDefault="00D304C5" w:rsidP="00D304C5">
            <w:r>
              <w:t>USA</w:t>
            </w:r>
          </w:p>
        </w:tc>
        <w:tc>
          <w:tcPr>
            <w:tcW w:w="319" w:type="pct"/>
          </w:tcPr>
          <w:p w14:paraId="2E6B3126" w14:textId="23405A0D" w:rsidR="00D304C5" w:rsidRDefault="00D304C5" w:rsidP="00D304C5">
            <w:r>
              <w:t>N=39</w:t>
            </w:r>
          </w:p>
        </w:tc>
        <w:tc>
          <w:tcPr>
            <w:tcW w:w="1272" w:type="pct"/>
          </w:tcPr>
          <w:p w14:paraId="61494D67" w14:textId="3A4F5CA7" w:rsidR="00D304C5" w:rsidRDefault="00D304C5" w:rsidP="00D304C5">
            <w:r>
              <w:t>Adolescent smokers aged 15–18 years who smoked five or more CPD for at least 6 months.</w:t>
            </w:r>
          </w:p>
        </w:tc>
        <w:tc>
          <w:tcPr>
            <w:tcW w:w="1379" w:type="pct"/>
          </w:tcPr>
          <w:p w14:paraId="5D9921B7" w14:textId="77777777" w:rsidR="00D304C5" w:rsidRPr="0038080C" w:rsidRDefault="00D304C5" w:rsidP="00C324F3">
            <w:pPr>
              <w:pStyle w:val="ListParagraph"/>
              <w:numPr>
                <w:ilvl w:val="0"/>
                <w:numId w:val="307"/>
              </w:numPr>
              <w:rPr>
                <w:rFonts w:eastAsia="Calibri" w:cs="Calibri"/>
              </w:rPr>
            </w:pPr>
            <w:r w:rsidRPr="0038080C">
              <w:rPr>
                <w:rFonts w:eastAsia="Calibri" w:cs="Calibri"/>
              </w:rPr>
              <w:t xml:space="preserve">Nicotine nasal spray </w:t>
            </w:r>
          </w:p>
          <w:p w14:paraId="1DB5EBD4" w14:textId="6000B877" w:rsidR="00D304C5" w:rsidRPr="0038080C" w:rsidRDefault="00D304C5" w:rsidP="00C324F3">
            <w:pPr>
              <w:pStyle w:val="ListParagraph"/>
              <w:numPr>
                <w:ilvl w:val="0"/>
                <w:numId w:val="307"/>
              </w:numPr>
              <w:rPr>
                <w:rFonts w:eastAsia="Calibri" w:cs="Calibri"/>
              </w:rPr>
            </w:pPr>
            <w:r w:rsidRPr="0038080C">
              <w:rPr>
                <w:rFonts w:eastAsia="Calibri" w:cs="Calibri"/>
              </w:rPr>
              <w:t xml:space="preserve">Counselling only for 12 week </w:t>
            </w:r>
          </w:p>
        </w:tc>
        <w:tc>
          <w:tcPr>
            <w:tcW w:w="821" w:type="pct"/>
          </w:tcPr>
          <w:p w14:paraId="4247826C" w14:textId="77777777" w:rsidR="00D304C5" w:rsidRDefault="00D304C5" w:rsidP="00D304C5">
            <w:r w:rsidRPr="006B32B5">
              <w:rPr>
                <w:u w:val="single"/>
              </w:rPr>
              <w:t>Efficacy</w:t>
            </w:r>
            <w:r>
              <w:t xml:space="preserve">: </w:t>
            </w:r>
            <w:r w:rsidRPr="00EA7FC6">
              <w:t>7-d point prevalence abstinence at 8 w</w:t>
            </w:r>
            <w:r>
              <w:t>ee</w:t>
            </w:r>
            <w:r w:rsidRPr="00EA7FC6">
              <w:t>k</w:t>
            </w:r>
            <w:r>
              <w:t>s.</w:t>
            </w:r>
          </w:p>
          <w:p w14:paraId="4C63391C" w14:textId="77777777" w:rsidR="00D304C5" w:rsidRDefault="00D304C5" w:rsidP="00D304C5">
            <w:r>
              <w:t>Self-reported abstinence</w:t>
            </w:r>
          </w:p>
          <w:p w14:paraId="1592B2C7" w14:textId="77777777" w:rsidR="00D304C5" w:rsidRDefault="00D304C5" w:rsidP="00D304C5">
            <w:r>
              <w:lastRenderedPageBreak/>
              <w:t>validated by expired-air CO levels &lt;4 ppm.</w:t>
            </w:r>
          </w:p>
          <w:p w14:paraId="37E13A56" w14:textId="77777777" w:rsidR="00D304C5" w:rsidRDefault="00D304C5" w:rsidP="00D304C5"/>
          <w:p w14:paraId="3BA00B7A" w14:textId="3636A16E" w:rsidR="00D304C5" w:rsidRPr="006B32B5" w:rsidRDefault="00D304C5" w:rsidP="00D304C5">
            <w:pPr>
              <w:rPr>
                <w:u w:val="single"/>
              </w:rPr>
            </w:pPr>
            <w:r w:rsidRPr="006B32B5">
              <w:rPr>
                <w:u w:val="single"/>
              </w:rPr>
              <w:t>Safety</w:t>
            </w:r>
            <w:r>
              <w:t xml:space="preserve">: </w:t>
            </w:r>
          </w:p>
        </w:tc>
      </w:tr>
      <w:tr w:rsidR="00D304C5" w14:paraId="47FA6485" w14:textId="77777777" w:rsidTr="002E4480">
        <w:tc>
          <w:tcPr>
            <w:tcW w:w="495" w:type="pct"/>
          </w:tcPr>
          <w:p w14:paraId="409DC5EE" w14:textId="661A39CA" w:rsidR="00D304C5" w:rsidRDefault="00D304C5" w:rsidP="00D304C5">
            <w:r w:rsidRPr="00EA7FC6">
              <w:lastRenderedPageBreak/>
              <w:t xml:space="preserve">Gray </w:t>
            </w:r>
            <w:r w:rsidR="000C1484">
              <w:t>(</w:t>
            </w:r>
            <w:r w:rsidRPr="00EA7FC6">
              <w:t>2011</w:t>
            </w:r>
            <w:r w:rsidR="000C1484">
              <w:t>)</w:t>
            </w:r>
          </w:p>
        </w:tc>
        <w:tc>
          <w:tcPr>
            <w:tcW w:w="309" w:type="pct"/>
          </w:tcPr>
          <w:p w14:paraId="7FBF1E96" w14:textId="6CB7B92E" w:rsidR="00D304C5" w:rsidRDefault="00D304C5" w:rsidP="00D304C5">
            <w:r>
              <w:t>RCT</w:t>
            </w:r>
          </w:p>
        </w:tc>
        <w:tc>
          <w:tcPr>
            <w:tcW w:w="405" w:type="pct"/>
          </w:tcPr>
          <w:p w14:paraId="62056C9B" w14:textId="5F4800BC" w:rsidR="00D304C5" w:rsidRDefault="00D304C5" w:rsidP="00D304C5">
            <w:r>
              <w:t>USA</w:t>
            </w:r>
          </w:p>
        </w:tc>
        <w:tc>
          <w:tcPr>
            <w:tcW w:w="319" w:type="pct"/>
          </w:tcPr>
          <w:p w14:paraId="052469ED" w14:textId="0BC08C36" w:rsidR="00D304C5" w:rsidRDefault="00D304C5" w:rsidP="00D304C5">
            <w:r>
              <w:t>N=134</w:t>
            </w:r>
          </w:p>
        </w:tc>
        <w:tc>
          <w:tcPr>
            <w:tcW w:w="1272" w:type="pct"/>
          </w:tcPr>
          <w:p w14:paraId="610066FD" w14:textId="7C695E82" w:rsidR="00D304C5" w:rsidRDefault="00D304C5" w:rsidP="00D304C5">
            <w:r>
              <w:t>Adolescent smokers aged 12–21 years who smoked at least five CPD.</w:t>
            </w:r>
          </w:p>
        </w:tc>
        <w:tc>
          <w:tcPr>
            <w:tcW w:w="1379" w:type="pct"/>
          </w:tcPr>
          <w:p w14:paraId="266D0131" w14:textId="77777777" w:rsidR="00D304C5" w:rsidRPr="0038080C" w:rsidRDefault="00D304C5" w:rsidP="00C324F3">
            <w:pPr>
              <w:pStyle w:val="ListParagraph"/>
              <w:numPr>
                <w:ilvl w:val="0"/>
                <w:numId w:val="308"/>
              </w:numPr>
              <w:rPr>
                <w:rFonts w:eastAsia="Calibri" w:cs="Calibri"/>
              </w:rPr>
            </w:pPr>
            <w:r w:rsidRPr="0038080C">
              <w:rPr>
                <w:rFonts w:eastAsia="Calibri" w:cs="Calibri"/>
              </w:rPr>
              <w:t xml:space="preserve">Bupropion SR (300 mg/d) with CM and Bupropion SR with non-CM  </w:t>
            </w:r>
          </w:p>
          <w:p w14:paraId="145E4219" w14:textId="5312896E" w:rsidR="00D304C5" w:rsidRPr="0038080C" w:rsidRDefault="00D304C5" w:rsidP="00C324F3">
            <w:pPr>
              <w:pStyle w:val="ListParagraph"/>
              <w:numPr>
                <w:ilvl w:val="0"/>
                <w:numId w:val="308"/>
              </w:numPr>
              <w:rPr>
                <w:rFonts w:eastAsia="Calibri" w:cs="Calibri"/>
              </w:rPr>
            </w:pPr>
            <w:r w:rsidRPr="0038080C">
              <w:rPr>
                <w:rFonts w:eastAsia="Calibri" w:cs="Calibri"/>
              </w:rPr>
              <w:t xml:space="preserve">Placebo with CM and placebo with non-CM for 6 weeks </w:t>
            </w:r>
          </w:p>
        </w:tc>
        <w:tc>
          <w:tcPr>
            <w:tcW w:w="821" w:type="pct"/>
          </w:tcPr>
          <w:p w14:paraId="0458AF00" w14:textId="77777777" w:rsidR="00D304C5" w:rsidRDefault="00D304C5" w:rsidP="00D304C5">
            <w:r w:rsidRPr="006B32B5">
              <w:rPr>
                <w:u w:val="single"/>
              </w:rPr>
              <w:t>Efficacy</w:t>
            </w:r>
            <w:r>
              <w:t xml:space="preserve">: </w:t>
            </w:r>
            <w:r w:rsidRPr="00EA7FC6">
              <w:t>7-d point prevalence abstinence at 12 w</w:t>
            </w:r>
            <w:r>
              <w:t>ee</w:t>
            </w:r>
            <w:r w:rsidRPr="00EA7FC6">
              <w:t>k</w:t>
            </w:r>
            <w:r>
              <w:t>.</w:t>
            </w:r>
          </w:p>
          <w:p w14:paraId="593E5875" w14:textId="77777777" w:rsidR="00D304C5" w:rsidRDefault="00D304C5" w:rsidP="00D304C5">
            <w:r>
              <w:t>Self-reported abstinence</w:t>
            </w:r>
          </w:p>
          <w:p w14:paraId="47D468F4" w14:textId="77777777" w:rsidR="00D304C5" w:rsidRDefault="00D304C5" w:rsidP="00D304C5">
            <w:r>
              <w:t>confirmed by urinary</w:t>
            </w:r>
          </w:p>
          <w:p w14:paraId="3ACB3A6C" w14:textId="77777777" w:rsidR="00D304C5" w:rsidRDefault="00D304C5" w:rsidP="00D304C5">
            <w:r>
              <w:t>cotinine ≤100 ng/mL.</w:t>
            </w:r>
          </w:p>
          <w:p w14:paraId="218D1CA6" w14:textId="77777777" w:rsidR="00D304C5" w:rsidRDefault="00D304C5" w:rsidP="00D304C5"/>
          <w:p w14:paraId="7A8B2AEB" w14:textId="31AFDFFF" w:rsidR="00D304C5" w:rsidRPr="006B32B5" w:rsidRDefault="00D304C5" w:rsidP="00D304C5">
            <w:pPr>
              <w:rPr>
                <w:u w:val="single"/>
              </w:rPr>
            </w:pPr>
            <w:r w:rsidRPr="008A028E">
              <w:rPr>
                <w:u w:val="single"/>
              </w:rPr>
              <w:t>Safety</w:t>
            </w:r>
            <w:r w:rsidRPr="008A028E">
              <w:t>:</w:t>
            </w:r>
            <w:r>
              <w:t xml:space="preserve"> </w:t>
            </w:r>
            <w:r w:rsidR="008A028E">
              <w:t xml:space="preserve">Adverse events were assessed during weekly medication management visits, </w:t>
            </w:r>
            <w:r w:rsidR="008A028E" w:rsidRPr="008A028E">
              <w:t xml:space="preserve">electrocardiograms were per- formed at </w:t>
            </w:r>
            <w:r w:rsidR="00D562FA">
              <w:t>w</w:t>
            </w:r>
            <w:r w:rsidR="008A028E" w:rsidRPr="008A028E">
              <w:t>eek 4 of treatment</w:t>
            </w:r>
            <w:r w:rsidR="008A028E">
              <w:t>.</w:t>
            </w:r>
          </w:p>
        </w:tc>
      </w:tr>
      <w:tr w:rsidR="00D304C5" w14:paraId="62995556" w14:textId="77777777" w:rsidTr="002E4480">
        <w:tc>
          <w:tcPr>
            <w:tcW w:w="495" w:type="pct"/>
          </w:tcPr>
          <w:p w14:paraId="6BEF1290" w14:textId="6F38F28A" w:rsidR="00D304C5" w:rsidRDefault="00D304C5" w:rsidP="00D304C5">
            <w:r w:rsidRPr="00EA7FC6">
              <w:t xml:space="preserve">Scherphof </w:t>
            </w:r>
            <w:r w:rsidR="000C1484">
              <w:t>(</w:t>
            </w:r>
            <w:r w:rsidRPr="00EA7FC6">
              <w:t>2014</w:t>
            </w:r>
            <w:r w:rsidR="000C1484">
              <w:t>)</w:t>
            </w:r>
          </w:p>
        </w:tc>
        <w:tc>
          <w:tcPr>
            <w:tcW w:w="309" w:type="pct"/>
          </w:tcPr>
          <w:p w14:paraId="4DA80CC2" w14:textId="25DEAE93" w:rsidR="00D304C5" w:rsidRDefault="00D304C5" w:rsidP="00D304C5">
            <w:r>
              <w:t>RCT</w:t>
            </w:r>
          </w:p>
        </w:tc>
        <w:tc>
          <w:tcPr>
            <w:tcW w:w="405" w:type="pct"/>
          </w:tcPr>
          <w:p w14:paraId="42FE3E6D" w14:textId="6ADBFDC3" w:rsidR="00D304C5" w:rsidRDefault="00D304C5" w:rsidP="00D304C5">
            <w:r>
              <w:t>Netherlands</w:t>
            </w:r>
          </w:p>
        </w:tc>
        <w:tc>
          <w:tcPr>
            <w:tcW w:w="319" w:type="pct"/>
          </w:tcPr>
          <w:p w14:paraId="2EADAE2C" w14:textId="5188EFE1" w:rsidR="00D304C5" w:rsidRDefault="00D304C5" w:rsidP="00D304C5">
            <w:r>
              <w:t>N=257</w:t>
            </w:r>
          </w:p>
        </w:tc>
        <w:tc>
          <w:tcPr>
            <w:tcW w:w="1272" w:type="pct"/>
          </w:tcPr>
          <w:p w14:paraId="57FF87E7" w14:textId="48FD8CB0" w:rsidR="00D304C5" w:rsidRDefault="00D304C5" w:rsidP="00D304C5">
            <w:r>
              <w:t>Adolescent smokers aged 12–18 years who smoked at least seven CPD.</w:t>
            </w:r>
          </w:p>
        </w:tc>
        <w:tc>
          <w:tcPr>
            <w:tcW w:w="1379" w:type="pct"/>
          </w:tcPr>
          <w:p w14:paraId="312A66B4" w14:textId="77777777" w:rsidR="00D304C5" w:rsidRPr="0038080C" w:rsidRDefault="00D304C5" w:rsidP="00C324F3">
            <w:pPr>
              <w:pStyle w:val="ListParagraph"/>
              <w:numPr>
                <w:ilvl w:val="0"/>
                <w:numId w:val="309"/>
              </w:numPr>
              <w:rPr>
                <w:rFonts w:eastAsia="Calibri" w:cs="Calibri"/>
              </w:rPr>
            </w:pPr>
            <w:r w:rsidRPr="0038080C">
              <w:rPr>
                <w:rFonts w:eastAsia="Calibri" w:cs="Calibri"/>
              </w:rPr>
              <w:t xml:space="preserve">Nicotine patch </w:t>
            </w:r>
          </w:p>
          <w:p w14:paraId="00B6E320" w14:textId="5C00E75D" w:rsidR="00D304C5" w:rsidRPr="0038080C" w:rsidRDefault="00D304C5" w:rsidP="00C324F3">
            <w:pPr>
              <w:pStyle w:val="ListParagraph"/>
              <w:numPr>
                <w:ilvl w:val="0"/>
                <w:numId w:val="309"/>
              </w:numPr>
              <w:rPr>
                <w:rFonts w:eastAsia="Calibri" w:cs="Calibri"/>
              </w:rPr>
            </w:pPr>
            <w:r w:rsidRPr="0038080C">
              <w:rPr>
                <w:rFonts w:eastAsia="Calibri" w:cs="Calibri"/>
              </w:rPr>
              <w:t>Placebo patch for 6 or 9 weeks</w:t>
            </w:r>
          </w:p>
        </w:tc>
        <w:tc>
          <w:tcPr>
            <w:tcW w:w="821" w:type="pct"/>
          </w:tcPr>
          <w:p w14:paraId="16E43A74" w14:textId="77777777" w:rsidR="00D304C5" w:rsidRDefault="00D304C5" w:rsidP="00D304C5">
            <w:r w:rsidRPr="006B32B5">
              <w:rPr>
                <w:u w:val="single"/>
              </w:rPr>
              <w:t>Efficacy</w:t>
            </w:r>
            <w:r>
              <w:t xml:space="preserve">: </w:t>
            </w:r>
            <w:r w:rsidRPr="00EA7FC6">
              <w:t>30-d point prevalence abstinence at 6 mo</w:t>
            </w:r>
            <w:r>
              <w:t>nths.</w:t>
            </w:r>
          </w:p>
          <w:p w14:paraId="4CA32F55" w14:textId="77777777" w:rsidR="00D304C5" w:rsidRDefault="00D304C5" w:rsidP="00D304C5">
            <w:r>
              <w:t>Self-reported abstinence</w:t>
            </w:r>
          </w:p>
          <w:p w14:paraId="2B5BBCC0" w14:textId="77777777" w:rsidR="00D304C5" w:rsidRDefault="00D304C5" w:rsidP="00D304C5">
            <w:r>
              <w:t>validated by salivary</w:t>
            </w:r>
          </w:p>
          <w:p w14:paraId="7964E8AA" w14:textId="77777777" w:rsidR="00D304C5" w:rsidRDefault="00D304C5" w:rsidP="00D304C5">
            <w:r>
              <w:t>cotinine levels ≤1 ng/mL.</w:t>
            </w:r>
          </w:p>
          <w:p w14:paraId="2F3EB693" w14:textId="77777777" w:rsidR="00D304C5" w:rsidRDefault="00D304C5" w:rsidP="00D304C5"/>
          <w:p w14:paraId="7A4C77B5" w14:textId="18143F3A" w:rsidR="00D304C5" w:rsidRPr="006B32B5" w:rsidRDefault="00D304C5" w:rsidP="00D304C5">
            <w:pPr>
              <w:rPr>
                <w:u w:val="single"/>
              </w:rPr>
            </w:pPr>
            <w:r w:rsidRPr="006B32B5">
              <w:rPr>
                <w:u w:val="single"/>
              </w:rPr>
              <w:t>Safety</w:t>
            </w:r>
            <w:r>
              <w:t xml:space="preserve">: </w:t>
            </w:r>
            <w:r w:rsidRPr="006B51F5">
              <w:t xml:space="preserve">Adverse events including tiredness, cough, insomnia, </w:t>
            </w:r>
            <w:r w:rsidR="00115AEE" w:rsidRPr="006B51F5">
              <w:t>itchiness,</w:t>
            </w:r>
            <w:r w:rsidRPr="006B51F5">
              <w:t xml:space="preserve"> and headache</w:t>
            </w:r>
            <w:r>
              <w:t>.</w:t>
            </w:r>
          </w:p>
        </w:tc>
      </w:tr>
    </w:tbl>
    <w:p w14:paraId="6AA450E7" w14:textId="77777777" w:rsidR="00E36F90" w:rsidRDefault="00896A15" w:rsidP="002E4480">
      <w:pPr>
        <w:pStyle w:val="TableFooter"/>
        <w:jc w:val="both"/>
      </w:pPr>
      <w:r>
        <w:t>Source:</w:t>
      </w:r>
      <w:r w:rsidRPr="00FA5D56">
        <w:t xml:space="preserve"> </w:t>
      </w:r>
      <w:r>
        <w:t xml:space="preserve">Myung et al. (2019). </w:t>
      </w:r>
    </w:p>
    <w:p w14:paraId="4F8DD270" w14:textId="7D12F5E7" w:rsidR="00896A15" w:rsidRDefault="00810A22" w:rsidP="002E4480">
      <w:pPr>
        <w:pStyle w:val="TableFooter"/>
        <w:jc w:val="both"/>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CPD= cigarette per day; AEs= adverse events; SAEs= serious adverse events; </w:t>
      </w:r>
      <w:r w:rsidR="00896A15" w:rsidRPr="0038080C">
        <w:t>CM = contingency management; SR = sustained release</w:t>
      </w:r>
      <w:r>
        <w:t xml:space="preserve">. </w:t>
      </w:r>
    </w:p>
    <w:p w14:paraId="5D418F35" w14:textId="71DCBDED" w:rsidR="000A5F4F" w:rsidRDefault="000A5F4F" w:rsidP="002E4480">
      <w:pPr>
        <w:pStyle w:val="Caption"/>
        <w:keepNext/>
        <w:spacing w:before="0" w:after="120"/>
        <w:jc w:val="both"/>
      </w:pPr>
      <w:bookmarkStart w:id="355" w:name="_Ref62378992"/>
      <w:r>
        <w:lastRenderedPageBreak/>
        <w:t xml:space="preserve">Table </w:t>
      </w:r>
      <w:r w:rsidR="00BF3F75">
        <w:fldChar w:fldCharType="begin"/>
      </w:r>
      <w:r w:rsidR="00BF3F75">
        <w:instrText xml:space="preserve"> SEQ Table \* ARABIC </w:instrText>
      </w:r>
      <w:r w:rsidR="00BF3F75">
        <w:fldChar w:fldCharType="separate"/>
      </w:r>
      <w:r w:rsidR="00EC5CC7">
        <w:rPr>
          <w:noProof/>
        </w:rPr>
        <w:t>168</w:t>
      </w:r>
      <w:r w:rsidR="00BF3F75">
        <w:rPr>
          <w:noProof/>
        </w:rPr>
        <w:fldChar w:fldCharType="end"/>
      </w:r>
      <w:bookmarkEnd w:id="355"/>
      <w:r>
        <w:t xml:space="preserve">: </w:t>
      </w:r>
      <w:r w:rsidRPr="001116FC">
        <w:t>Characteristics of included studies in Selph et al. 2019, evaluating pharmacotherapy for smoking cessation in adolescents</w:t>
      </w:r>
    </w:p>
    <w:tbl>
      <w:tblPr>
        <w:tblStyle w:val="TableGrid"/>
        <w:tblW w:w="5000" w:type="pct"/>
        <w:tblLook w:val="04A0" w:firstRow="1" w:lastRow="0" w:firstColumn="1" w:lastColumn="0" w:noHBand="0" w:noVBand="1"/>
      </w:tblPr>
      <w:tblGrid>
        <w:gridCol w:w="1366"/>
        <w:gridCol w:w="847"/>
        <w:gridCol w:w="1216"/>
        <w:gridCol w:w="876"/>
        <w:gridCol w:w="3534"/>
        <w:gridCol w:w="3833"/>
        <w:gridCol w:w="2276"/>
      </w:tblGrid>
      <w:tr w:rsidR="000A5F4F" w14:paraId="16F87EAB" w14:textId="77777777" w:rsidTr="002E4480">
        <w:tc>
          <w:tcPr>
            <w:tcW w:w="495" w:type="pct"/>
            <w:shd w:val="clear" w:color="auto" w:fill="D9D9D9" w:themeFill="background1" w:themeFillShade="D9"/>
          </w:tcPr>
          <w:p w14:paraId="55CCBF5F" w14:textId="77777777" w:rsidR="000A5F4F" w:rsidRDefault="000A5F4F" w:rsidP="00FB500F">
            <w:r w:rsidRPr="781E95A1">
              <w:rPr>
                <w:rFonts w:eastAsia="Calibri" w:cs="Calibri"/>
                <w:b/>
                <w:bCs/>
              </w:rPr>
              <w:t>Study</w:t>
            </w:r>
          </w:p>
        </w:tc>
        <w:tc>
          <w:tcPr>
            <w:tcW w:w="309" w:type="pct"/>
            <w:shd w:val="clear" w:color="auto" w:fill="D9D9D9" w:themeFill="background1" w:themeFillShade="D9"/>
          </w:tcPr>
          <w:p w14:paraId="2AD678E7" w14:textId="77777777" w:rsidR="000A5F4F" w:rsidRDefault="000A5F4F" w:rsidP="00FB500F">
            <w:pPr>
              <w:jc w:val="center"/>
            </w:pPr>
            <w:r w:rsidRPr="781E95A1">
              <w:rPr>
                <w:rFonts w:eastAsia="Calibri" w:cs="Calibri"/>
                <w:b/>
                <w:bCs/>
                <w:color w:val="000000" w:themeColor="text1"/>
              </w:rPr>
              <w:t>Study type</w:t>
            </w:r>
          </w:p>
        </w:tc>
        <w:tc>
          <w:tcPr>
            <w:tcW w:w="405" w:type="pct"/>
            <w:shd w:val="clear" w:color="auto" w:fill="D9D9D9" w:themeFill="background1" w:themeFillShade="D9"/>
          </w:tcPr>
          <w:p w14:paraId="00E90426" w14:textId="77777777" w:rsidR="000A5F4F" w:rsidRDefault="000A5F4F" w:rsidP="00FB500F">
            <w:pPr>
              <w:jc w:val="center"/>
            </w:pPr>
            <w:r w:rsidRPr="781E95A1">
              <w:rPr>
                <w:rFonts w:eastAsia="Calibri" w:cs="Calibri"/>
                <w:b/>
                <w:bCs/>
                <w:color w:val="000000" w:themeColor="text1"/>
              </w:rPr>
              <w:t>Countries</w:t>
            </w:r>
          </w:p>
        </w:tc>
        <w:tc>
          <w:tcPr>
            <w:tcW w:w="319" w:type="pct"/>
            <w:shd w:val="clear" w:color="auto" w:fill="D9D9D9" w:themeFill="background1" w:themeFillShade="D9"/>
          </w:tcPr>
          <w:p w14:paraId="0650CB33" w14:textId="77777777" w:rsidR="000A5F4F" w:rsidRDefault="000A5F4F" w:rsidP="00FB500F">
            <w:pPr>
              <w:jc w:val="center"/>
            </w:pPr>
            <w:r w:rsidRPr="781E95A1">
              <w:rPr>
                <w:rFonts w:eastAsia="Calibri" w:cs="Calibri"/>
                <w:b/>
                <w:bCs/>
                <w:color w:val="000000" w:themeColor="text1"/>
              </w:rPr>
              <w:t>N</w:t>
            </w:r>
          </w:p>
        </w:tc>
        <w:tc>
          <w:tcPr>
            <w:tcW w:w="1272" w:type="pct"/>
            <w:shd w:val="clear" w:color="auto" w:fill="D9D9D9" w:themeFill="background1" w:themeFillShade="D9"/>
          </w:tcPr>
          <w:p w14:paraId="64900924" w14:textId="77777777" w:rsidR="000A5F4F" w:rsidRDefault="000A5F4F" w:rsidP="00FB500F">
            <w:pPr>
              <w:jc w:val="center"/>
            </w:pPr>
            <w:r w:rsidRPr="781E95A1">
              <w:rPr>
                <w:rFonts w:eastAsia="Calibri" w:cs="Calibri"/>
                <w:b/>
                <w:bCs/>
                <w:color w:val="000000" w:themeColor="text1"/>
              </w:rPr>
              <w:t>Population</w:t>
            </w:r>
          </w:p>
        </w:tc>
        <w:tc>
          <w:tcPr>
            <w:tcW w:w="1379" w:type="pct"/>
            <w:shd w:val="clear" w:color="auto" w:fill="D9D9D9" w:themeFill="background1" w:themeFillShade="D9"/>
          </w:tcPr>
          <w:p w14:paraId="04BB9676" w14:textId="77777777" w:rsidR="000A5F4F" w:rsidRDefault="000A5F4F" w:rsidP="00FB500F">
            <w:pPr>
              <w:jc w:val="center"/>
            </w:pPr>
            <w:r w:rsidRPr="781E95A1">
              <w:rPr>
                <w:rFonts w:eastAsia="Calibri" w:cs="Calibri"/>
                <w:b/>
                <w:bCs/>
                <w:color w:val="000000" w:themeColor="text1"/>
              </w:rPr>
              <w:t>Intervention and comparator</w:t>
            </w:r>
          </w:p>
        </w:tc>
        <w:tc>
          <w:tcPr>
            <w:tcW w:w="821" w:type="pct"/>
            <w:shd w:val="clear" w:color="auto" w:fill="D9D9D9" w:themeFill="background1" w:themeFillShade="D9"/>
          </w:tcPr>
          <w:p w14:paraId="2B87E211" w14:textId="77777777" w:rsidR="000A5F4F" w:rsidRDefault="000A5F4F" w:rsidP="00FB500F">
            <w:pPr>
              <w:jc w:val="center"/>
            </w:pPr>
            <w:r w:rsidRPr="781E95A1">
              <w:rPr>
                <w:rFonts w:eastAsia="Calibri" w:cs="Calibri"/>
                <w:b/>
                <w:bCs/>
                <w:color w:val="000000" w:themeColor="text1"/>
              </w:rPr>
              <w:t>Outcomes</w:t>
            </w:r>
          </w:p>
        </w:tc>
      </w:tr>
      <w:tr w:rsidR="000A5F4F" w14:paraId="2B7C91FC" w14:textId="77777777" w:rsidTr="002E4480">
        <w:tc>
          <w:tcPr>
            <w:tcW w:w="5000" w:type="pct"/>
            <w:gridSpan w:val="7"/>
            <w:shd w:val="clear" w:color="auto" w:fill="D9D9D9" w:themeFill="background1" w:themeFillShade="D9"/>
          </w:tcPr>
          <w:p w14:paraId="56202D74" w14:textId="77777777" w:rsidR="000A5F4F" w:rsidRPr="00440B3C" w:rsidRDefault="000A5F4F" w:rsidP="00FB500F">
            <w:pPr>
              <w:rPr>
                <w:b/>
                <w:bCs/>
              </w:rPr>
            </w:pPr>
            <w:r w:rsidRPr="00440B3C">
              <w:rPr>
                <w:b/>
                <w:bCs/>
              </w:rPr>
              <w:t>NRT</w:t>
            </w:r>
          </w:p>
        </w:tc>
      </w:tr>
      <w:tr w:rsidR="000A5F4F" w14:paraId="60A5346E" w14:textId="77777777" w:rsidTr="002E4480">
        <w:tc>
          <w:tcPr>
            <w:tcW w:w="495" w:type="pct"/>
          </w:tcPr>
          <w:p w14:paraId="64F93807" w14:textId="4F1584CA" w:rsidR="000A5F4F" w:rsidRDefault="000A5F4F" w:rsidP="00FB500F">
            <w:r>
              <w:t xml:space="preserve">Muramoto </w:t>
            </w:r>
            <w:r w:rsidR="000C1484">
              <w:t>(</w:t>
            </w:r>
            <w:r>
              <w:t>2007</w:t>
            </w:r>
            <w:r w:rsidR="000C1484">
              <w:t>)</w:t>
            </w:r>
          </w:p>
        </w:tc>
        <w:tc>
          <w:tcPr>
            <w:tcW w:w="309" w:type="pct"/>
          </w:tcPr>
          <w:p w14:paraId="47E74952" w14:textId="77777777" w:rsidR="000A5F4F" w:rsidRDefault="000A5F4F" w:rsidP="00FB500F">
            <w:r w:rsidRPr="00602253">
              <w:t>RCT</w:t>
            </w:r>
          </w:p>
        </w:tc>
        <w:tc>
          <w:tcPr>
            <w:tcW w:w="405" w:type="pct"/>
          </w:tcPr>
          <w:p w14:paraId="0EF4B465" w14:textId="77777777" w:rsidR="000A5F4F" w:rsidRDefault="000A5F4F" w:rsidP="00FB500F">
            <w:r>
              <w:t>USA</w:t>
            </w:r>
          </w:p>
        </w:tc>
        <w:tc>
          <w:tcPr>
            <w:tcW w:w="319" w:type="pct"/>
          </w:tcPr>
          <w:p w14:paraId="5CB945DB" w14:textId="77777777" w:rsidR="000A5F4F" w:rsidRDefault="000A5F4F" w:rsidP="00FB500F">
            <w:r w:rsidRPr="00221569">
              <w:t>N=</w:t>
            </w:r>
            <w:r>
              <w:t>312</w:t>
            </w:r>
          </w:p>
        </w:tc>
        <w:tc>
          <w:tcPr>
            <w:tcW w:w="1272" w:type="pct"/>
          </w:tcPr>
          <w:p w14:paraId="4AB9C11E" w14:textId="77777777" w:rsidR="000A5F4F" w:rsidRDefault="000A5F4F" w:rsidP="00FB500F">
            <w:r>
              <w:t xml:space="preserve">smokers with age range 14-17 years, smoking </w:t>
            </w:r>
            <w:r w:rsidRPr="00F32FEC">
              <w:t>≥</w:t>
            </w:r>
            <w:r>
              <w:t xml:space="preserve"> 6 cpd &amp; exhaled CO </w:t>
            </w:r>
            <w:r w:rsidRPr="00F32FEC">
              <w:t>≥</w:t>
            </w:r>
            <w:r>
              <w:t xml:space="preserve"> 10 ppm &amp; </w:t>
            </w:r>
            <w:r w:rsidRPr="00F32FEC">
              <w:t>≥</w:t>
            </w:r>
            <w:r>
              <w:t xml:space="preserve"> 2 prior quit attempts &amp; no major psychiatric diagnosis. </w:t>
            </w:r>
          </w:p>
        </w:tc>
        <w:tc>
          <w:tcPr>
            <w:tcW w:w="1379" w:type="pct"/>
          </w:tcPr>
          <w:p w14:paraId="53327E94" w14:textId="77777777" w:rsidR="000A5F4F" w:rsidRPr="00A7551A" w:rsidRDefault="000A5F4F" w:rsidP="00C324F3">
            <w:pPr>
              <w:pStyle w:val="ListParagraph"/>
              <w:numPr>
                <w:ilvl w:val="0"/>
                <w:numId w:val="299"/>
              </w:numPr>
              <w:rPr>
                <w:rFonts w:eastAsia="Calibri" w:cs="Calibri"/>
              </w:rPr>
            </w:pPr>
            <w:r>
              <w:rPr>
                <w:rFonts w:eastAsia="Calibri" w:cs="Calibri"/>
              </w:rPr>
              <w:t>B</w:t>
            </w:r>
            <w:r w:rsidRPr="00A7551A">
              <w:rPr>
                <w:rFonts w:eastAsia="Calibri" w:cs="Calibri"/>
              </w:rPr>
              <w:t>upropion SR 300 mg/d in blister cards</w:t>
            </w:r>
          </w:p>
          <w:p w14:paraId="532ED612" w14:textId="77777777" w:rsidR="000A5F4F" w:rsidRDefault="000A5F4F" w:rsidP="00C324F3">
            <w:pPr>
              <w:pStyle w:val="ListParagraph"/>
              <w:numPr>
                <w:ilvl w:val="0"/>
                <w:numId w:val="299"/>
              </w:numPr>
              <w:rPr>
                <w:rFonts w:eastAsia="Calibri" w:cs="Calibri"/>
              </w:rPr>
            </w:pPr>
            <w:r>
              <w:rPr>
                <w:rFonts w:eastAsia="Calibri" w:cs="Calibri"/>
              </w:rPr>
              <w:t>B</w:t>
            </w:r>
            <w:r w:rsidRPr="00A7551A">
              <w:rPr>
                <w:rFonts w:eastAsia="Calibri" w:cs="Calibri"/>
              </w:rPr>
              <w:t>upropion SR 150 mg/d in blister cards</w:t>
            </w:r>
          </w:p>
          <w:p w14:paraId="46D7565E" w14:textId="77777777" w:rsidR="000A5F4F" w:rsidRPr="00590106" w:rsidRDefault="000A5F4F" w:rsidP="00C324F3">
            <w:pPr>
              <w:pStyle w:val="ListParagraph"/>
              <w:numPr>
                <w:ilvl w:val="0"/>
                <w:numId w:val="299"/>
              </w:numPr>
              <w:rPr>
                <w:rFonts w:eastAsia="Calibri" w:cs="Calibri"/>
              </w:rPr>
            </w:pPr>
            <w:r w:rsidRPr="00590106">
              <w:rPr>
                <w:rFonts w:eastAsia="Calibri" w:cs="Calibri"/>
              </w:rPr>
              <w:t>Placebo tablet identical to active tablets and blister packed</w:t>
            </w:r>
          </w:p>
        </w:tc>
        <w:tc>
          <w:tcPr>
            <w:tcW w:w="821" w:type="pct"/>
          </w:tcPr>
          <w:p w14:paraId="4E192838" w14:textId="77777777" w:rsidR="000A5F4F" w:rsidRDefault="000A5F4F" w:rsidP="00FB500F">
            <w:r w:rsidRPr="006B32B5">
              <w:rPr>
                <w:u w:val="single"/>
              </w:rPr>
              <w:t>Efficacy</w:t>
            </w:r>
            <w:r>
              <w:t>: self-reports of 7-day PPA (30-day PPA stated as an outcome in paper but figures not given, not obtainable from study author) at 26 weeks.</w:t>
            </w:r>
          </w:p>
          <w:p w14:paraId="3628BE8A" w14:textId="77777777" w:rsidR="000A5F4F" w:rsidRDefault="000A5F4F" w:rsidP="00FB500F">
            <w:r>
              <w:t>Verification: exhaled CO at 26-week visit.</w:t>
            </w:r>
          </w:p>
          <w:p w14:paraId="542297F0" w14:textId="77777777" w:rsidR="000A5F4F" w:rsidRDefault="000A5F4F" w:rsidP="00FB500F"/>
          <w:p w14:paraId="4E2BA9EE" w14:textId="77777777" w:rsidR="000A5F4F" w:rsidRDefault="000A5F4F" w:rsidP="00FB500F">
            <w:r w:rsidRPr="006B32B5">
              <w:rPr>
                <w:u w:val="single"/>
              </w:rPr>
              <w:t>Safety</w:t>
            </w:r>
            <w:r>
              <w:t>: Adverse events including headache, cough, throat symptom, sleep disturbance, nausea reported. 8 participants in treatment group discontinued treatment for various adverse events. 2 "serious" and 1 "medically important"</w:t>
            </w:r>
          </w:p>
          <w:p w14:paraId="7C22DDD5" w14:textId="77777777" w:rsidR="000A5F4F" w:rsidRDefault="000A5F4F" w:rsidP="00FB500F">
            <w:r>
              <w:t>adverse events occurred.</w:t>
            </w:r>
          </w:p>
        </w:tc>
      </w:tr>
      <w:tr w:rsidR="000A5F4F" w14:paraId="622519D0" w14:textId="77777777" w:rsidTr="002E4480">
        <w:tc>
          <w:tcPr>
            <w:tcW w:w="495" w:type="pct"/>
          </w:tcPr>
          <w:p w14:paraId="3CD94A23" w14:textId="58B4CC3A" w:rsidR="000A5F4F" w:rsidRDefault="000A5F4F" w:rsidP="00FB500F">
            <w:r>
              <w:t xml:space="preserve">Killen </w:t>
            </w:r>
            <w:r w:rsidR="000C1484">
              <w:t>(</w:t>
            </w:r>
            <w:r>
              <w:t>2004</w:t>
            </w:r>
            <w:r w:rsidR="000C1484">
              <w:t>)</w:t>
            </w:r>
          </w:p>
        </w:tc>
        <w:tc>
          <w:tcPr>
            <w:tcW w:w="309" w:type="pct"/>
          </w:tcPr>
          <w:p w14:paraId="76FDE2F3" w14:textId="77777777" w:rsidR="000A5F4F" w:rsidRDefault="000A5F4F" w:rsidP="00FB500F">
            <w:r w:rsidRPr="00602253">
              <w:t>RCT</w:t>
            </w:r>
          </w:p>
        </w:tc>
        <w:tc>
          <w:tcPr>
            <w:tcW w:w="405" w:type="pct"/>
          </w:tcPr>
          <w:p w14:paraId="04F87400" w14:textId="77777777" w:rsidR="000A5F4F" w:rsidRDefault="000A5F4F" w:rsidP="00FB500F">
            <w:r>
              <w:t>USA</w:t>
            </w:r>
          </w:p>
        </w:tc>
        <w:tc>
          <w:tcPr>
            <w:tcW w:w="319" w:type="pct"/>
          </w:tcPr>
          <w:p w14:paraId="4A86D0E2" w14:textId="77777777" w:rsidR="000A5F4F" w:rsidRDefault="000A5F4F" w:rsidP="00FB500F">
            <w:r w:rsidRPr="00221569">
              <w:t>N=</w:t>
            </w:r>
            <w:r>
              <w:t>211</w:t>
            </w:r>
          </w:p>
        </w:tc>
        <w:tc>
          <w:tcPr>
            <w:tcW w:w="1272" w:type="pct"/>
          </w:tcPr>
          <w:p w14:paraId="31084060" w14:textId="77777777" w:rsidR="000A5F4F" w:rsidRDefault="000A5F4F" w:rsidP="00FB500F">
            <w:r>
              <w:t xml:space="preserve">Smokers with age range 15-18 years, currently smoked </w:t>
            </w:r>
            <w:r w:rsidRPr="00F32FEC">
              <w:t>≥</w:t>
            </w:r>
            <w:r>
              <w:t xml:space="preserve"> 10 CPD, for </w:t>
            </w:r>
            <w:r w:rsidRPr="00F32FEC">
              <w:t>≥</w:t>
            </w:r>
            <w:r>
              <w:t xml:space="preserve"> 6 months, with &gt; 1 quit attempt and a score of </w:t>
            </w:r>
            <w:r w:rsidRPr="00F32FEC">
              <w:t>≥</w:t>
            </w:r>
            <w:r>
              <w:t xml:space="preserve"> 10 on modified FNTQ. </w:t>
            </w:r>
          </w:p>
        </w:tc>
        <w:tc>
          <w:tcPr>
            <w:tcW w:w="1379" w:type="pct"/>
          </w:tcPr>
          <w:p w14:paraId="249A6749" w14:textId="77777777" w:rsidR="000A5F4F" w:rsidRDefault="000A5F4F" w:rsidP="00C324F3">
            <w:pPr>
              <w:pStyle w:val="ListParagraph"/>
              <w:numPr>
                <w:ilvl w:val="0"/>
                <w:numId w:val="300"/>
              </w:numPr>
              <w:rPr>
                <w:rFonts w:eastAsia="Calibri" w:cs="Calibri"/>
              </w:rPr>
            </w:pPr>
            <w:r w:rsidRPr="006C4D0B">
              <w:rPr>
                <w:rFonts w:eastAsia="Calibri" w:cs="Calibri"/>
              </w:rPr>
              <w:t>Intervention: 8 weeks of tailored NRT patch therapy plus 150 mg SR bupropion tablet (for 8 weeks from</w:t>
            </w:r>
            <w:r>
              <w:rPr>
                <w:rFonts w:eastAsia="Calibri" w:cs="Calibri"/>
              </w:rPr>
              <w:t xml:space="preserve"> </w:t>
            </w:r>
            <w:r w:rsidRPr="006C4D0B">
              <w:rPr>
                <w:rFonts w:eastAsia="Calibri" w:cs="Calibri"/>
              </w:rPr>
              <w:t>quit date) and relapse prevention</w:t>
            </w:r>
          </w:p>
          <w:p w14:paraId="52792F24" w14:textId="77777777" w:rsidR="000A5F4F" w:rsidRPr="00590106" w:rsidRDefault="000A5F4F" w:rsidP="00C324F3">
            <w:pPr>
              <w:pStyle w:val="ListParagraph"/>
              <w:numPr>
                <w:ilvl w:val="0"/>
                <w:numId w:val="300"/>
              </w:numPr>
              <w:rPr>
                <w:rFonts w:eastAsia="Calibri" w:cs="Calibri"/>
              </w:rPr>
            </w:pPr>
            <w:r w:rsidRPr="00590106">
              <w:rPr>
                <w:rFonts w:eastAsia="Calibri" w:cs="Calibri"/>
              </w:rPr>
              <w:t>Control: 8 weeks of tailored NRT patch therapy plus placebo tablet (for 8 weeks from quit date)</w:t>
            </w:r>
          </w:p>
        </w:tc>
        <w:tc>
          <w:tcPr>
            <w:tcW w:w="821" w:type="pct"/>
          </w:tcPr>
          <w:p w14:paraId="0E1246D5" w14:textId="77777777" w:rsidR="000A5F4F" w:rsidRDefault="000A5F4F" w:rsidP="00FB500F">
            <w:r w:rsidRPr="006B32B5">
              <w:rPr>
                <w:u w:val="single"/>
              </w:rPr>
              <w:t>Efficacy</w:t>
            </w:r>
            <w:r>
              <w:t>: 7-day PPA; follow-up periods: &gt; 3 months, 6 months.</w:t>
            </w:r>
          </w:p>
          <w:p w14:paraId="6E34092E" w14:textId="77777777" w:rsidR="000A5F4F" w:rsidRDefault="000A5F4F" w:rsidP="00FB500F">
            <w:r>
              <w:t>Verification: CO monitoring (below 9 ppm) and saliva cotinine (below 20 ng/mL) at 6 months; adherence to bupropion measured at 5 weeks.</w:t>
            </w:r>
          </w:p>
          <w:p w14:paraId="5D512591" w14:textId="77777777" w:rsidR="000A5F4F" w:rsidRDefault="000A5F4F" w:rsidP="00FB500F"/>
          <w:p w14:paraId="0D1B0F42" w14:textId="77777777" w:rsidR="000A5F4F" w:rsidRPr="006B32B5" w:rsidRDefault="000A5F4F" w:rsidP="00FB500F">
            <w:pPr>
              <w:rPr>
                <w:u w:val="single"/>
              </w:rPr>
            </w:pPr>
            <w:r w:rsidRPr="006B32B5">
              <w:rPr>
                <w:u w:val="single"/>
              </w:rPr>
              <w:t>Safety</w:t>
            </w:r>
            <w:r>
              <w:t xml:space="preserve">: </w:t>
            </w:r>
            <w:r w:rsidRPr="006C4D0B">
              <w:t>Adverse events</w:t>
            </w:r>
            <w:r>
              <w:t>;</w:t>
            </w:r>
            <w:r w:rsidRPr="006C4D0B">
              <w:t xml:space="preserve"> 47 self-rated "severe" but none judged severe by the study physician</w:t>
            </w:r>
            <w:r>
              <w:t>.</w:t>
            </w:r>
          </w:p>
        </w:tc>
      </w:tr>
      <w:tr w:rsidR="000A5F4F" w14:paraId="268AF554" w14:textId="77777777" w:rsidTr="002E4480">
        <w:tc>
          <w:tcPr>
            <w:tcW w:w="495" w:type="pct"/>
          </w:tcPr>
          <w:p w14:paraId="445C1B4D" w14:textId="7D6D3801" w:rsidR="000A5F4F" w:rsidRDefault="000A5F4F" w:rsidP="00FB500F">
            <w:r>
              <w:lastRenderedPageBreak/>
              <w:t xml:space="preserve">Scherphof </w:t>
            </w:r>
            <w:r w:rsidR="000C1484">
              <w:t>(</w:t>
            </w:r>
            <w:r>
              <w:t>2014</w:t>
            </w:r>
            <w:r w:rsidR="000C1484">
              <w:t>)</w:t>
            </w:r>
          </w:p>
        </w:tc>
        <w:tc>
          <w:tcPr>
            <w:tcW w:w="309" w:type="pct"/>
          </w:tcPr>
          <w:p w14:paraId="1C90318A" w14:textId="77777777" w:rsidR="000A5F4F" w:rsidRDefault="000A5F4F" w:rsidP="00FB500F">
            <w:r w:rsidRPr="00602253">
              <w:t>RCT</w:t>
            </w:r>
          </w:p>
        </w:tc>
        <w:tc>
          <w:tcPr>
            <w:tcW w:w="405" w:type="pct"/>
          </w:tcPr>
          <w:p w14:paraId="62C9496E" w14:textId="77777777" w:rsidR="000A5F4F" w:rsidRDefault="000A5F4F" w:rsidP="00FB500F">
            <w:r>
              <w:t>Netherlands</w:t>
            </w:r>
          </w:p>
        </w:tc>
        <w:tc>
          <w:tcPr>
            <w:tcW w:w="319" w:type="pct"/>
          </w:tcPr>
          <w:p w14:paraId="5F12FA0B" w14:textId="77777777" w:rsidR="000A5F4F" w:rsidRDefault="000A5F4F" w:rsidP="00FB500F">
            <w:r w:rsidRPr="00221569">
              <w:t>N=</w:t>
            </w:r>
            <w:r>
              <w:t>265</w:t>
            </w:r>
          </w:p>
        </w:tc>
        <w:tc>
          <w:tcPr>
            <w:tcW w:w="1272" w:type="pct"/>
          </w:tcPr>
          <w:p w14:paraId="760F6636" w14:textId="77777777" w:rsidR="000A5F4F" w:rsidRDefault="000A5F4F" w:rsidP="00FB500F">
            <w:r>
              <w:t xml:space="preserve">12-18 years old, no major health problems, smoking </w:t>
            </w:r>
            <w:r w:rsidRPr="00F32FEC">
              <w:t>≥</w:t>
            </w:r>
            <w:r>
              <w:t xml:space="preserve"> 7 CPD, parents of participants were aware of their smoking, participants were motivated to quit Participants excluded if currently</w:t>
            </w:r>
          </w:p>
          <w:p w14:paraId="47D12D3D" w14:textId="77777777" w:rsidR="000A5F4F" w:rsidRDefault="000A5F4F" w:rsidP="00FB500F">
            <w:r>
              <w:t>using NRT, were pregnant or lactating, or were allergic to patches.</w:t>
            </w:r>
          </w:p>
        </w:tc>
        <w:tc>
          <w:tcPr>
            <w:tcW w:w="1379" w:type="pct"/>
          </w:tcPr>
          <w:p w14:paraId="3EC14E4F" w14:textId="77777777" w:rsidR="000A5F4F" w:rsidRPr="006B51F5" w:rsidRDefault="000A5F4F" w:rsidP="00C324F3">
            <w:pPr>
              <w:pStyle w:val="ListParagraph"/>
              <w:numPr>
                <w:ilvl w:val="0"/>
                <w:numId w:val="298"/>
              </w:numPr>
              <w:rPr>
                <w:rFonts w:eastAsia="Calibri" w:cs="Calibri"/>
              </w:rPr>
            </w:pPr>
            <w:r w:rsidRPr="006B51F5">
              <w:rPr>
                <w:rFonts w:eastAsia="Calibri" w:cs="Calibri"/>
              </w:rPr>
              <w:t>Intervention: short behavioural intervention, followed by 6 or 9 weeks of 24</w:t>
            </w:r>
            <w:r>
              <w:rPr>
                <w:rFonts w:eastAsia="Calibri" w:cs="Calibri"/>
              </w:rPr>
              <w:t>-</w:t>
            </w:r>
            <w:r w:rsidRPr="006B51F5">
              <w:rPr>
                <w:rFonts w:eastAsia="Calibri" w:cs="Calibri"/>
              </w:rPr>
              <w:t>h</w:t>
            </w:r>
            <w:r>
              <w:rPr>
                <w:rFonts w:eastAsia="Calibri" w:cs="Calibri"/>
              </w:rPr>
              <w:t>our</w:t>
            </w:r>
            <w:r w:rsidRPr="006B51F5">
              <w:rPr>
                <w:rFonts w:eastAsia="Calibri" w:cs="Calibri"/>
              </w:rPr>
              <w:t xml:space="preserve"> NRT with patch, depending</w:t>
            </w:r>
          </w:p>
          <w:p w14:paraId="18E5FBAD" w14:textId="77777777" w:rsidR="000A5F4F" w:rsidRDefault="000A5F4F" w:rsidP="00FB500F">
            <w:pPr>
              <w:pStyle w:val="ListParagraph"/>
              <w:ind w:left="360"/>
              <w:rPr>
                <w:rFonts w:eastAsia="Calibri" w:cs="Calibri"/>
              </w:rPr>
            </w:pPr>
            <w:r w:rsidRPr="006B51F5">
              <w:rPr>
                <w:rFonts w:eastAsia="Calibri" w:cs="Calibri"/>
              </w:rPr>
              <w:t>on smoking level at baseline</w:t>
            </w:r>
          </w:p>
          <w:p w14:paraId="49F4E08E" w14:textId="77777777" w:rsidR="000A5F4F" w:rsidRPr="00EA7FC6" w:rsidRDefault="000A5F4F" w:rsidP="00C324F3">
            <w:pPr>
              <w:pStyle w:val="ListParagraph"/>
              <w:numPr>
                <w:ilvl w:val="0"/>
                <w:numId w:val="298"/>
              </w:numPr>
              <w:rPr>
                <w:rFonts w:eastAsia="Calibri" w:cs="Calibri"/>
              </w:rPr>
            </w:pPr>
            <w:r w:rsidRPr="006B51F5">
              <w:rPr>
                <w:rFonts w:eastAsia="Calibri" w:cs="Calibri"/>
              </w:rPr>
              <w:t>Control: placebo patch control, otherwise identical to intervention</w:t>
            </w:r>
          </w:p>
        </w:tc>
        <w:tc>
          <w:tcPr>
            <w:tcW w:w="821" w:type="pct"/>
          </w:tcPr>
          <w:p w14:paraId="52579714" w14:textId="77777777" w:rsidR="000A5F4F" w:rsidRDefault="000A5F4F" w:rsidP="00FB500F">
            <w:r w:rsidRPr="006B32B5">
              <w:rPr>
                <w:u w:val="single"/>
              </w:rPr>
              <w:t>Efficacy</w:t>
            </w:r>
            <w:r>
              <w:t xml:space="preserve">: </w:t>
            </w:r>
            <w:r w:rsidRPr="006B51F5">
              <w:t>30-day PPA</w:t>
            </w:r>
            <w:r>
              <w:t xml:space="preserve"> at 6 and 12 months. </w:t>
            </w:r>
          </w:p>
          <w:p w14:paraId="054BBEE6" w14:textId="77777777" w:rsidR="000A5F4F" w:rsidRDefault="000A5F4F" w:rsidP="00FB500F">
            <w:r w:rsidRPr="006B51F5">
              <w:t>Verification: salivary cotinine measured using a NicAlert saliva strip (Nymox)</w:t>
            </w:r>
          </w:p>
          <w:p w14:paraId="45E72EDC" w14:textId="77777777" w:rsidR="000A5F4F" w:rsidRDefault="000A5F4F" w:rsidP="00FB500F">
            <w:pPr>
              <w:rPr>
                <w:u w:val="single"/>
              </w:rPr>
            </w:pPr>
          </w:p>
          <w:p w14:paraId="50FD7554" w14:textId="061FA7CF" w:rsidR="000A5F4F" w:rsidRPr="006B32B5" w:rsidRDefault="000A5F4F" w:rsidP="00FB500F">
            <w:pPr>
              <w:rPr>
                <w:u w:val="single"/>
              </w:rPr>
            </w:pPr>
            <w:r w:rsidRPr="006B32B5">
              <w:rPr>
                <w:u w:val="single"/>
              </w:rPr>
              <w:t>Safety</w:t>
            </w:r>
            <w:r>
              <w:t xml:space="preserve">: </w:t>
            </w:r>
            <w:r w:rsidRPr="006B51F5">
              <w:t xml:space="preserve">Adverse events including tiredness, cough, insomnia, </w:t>
            </w:r>
            <w:r w:rsidR="00115AEE" w:rsidRPr="006B51F5">
              <w:t>itchiness,</w:t>
            </w:r>
            <w:r w:rsidRPr="006B51F5">
              <w:t xml:space="preserve"> and headache</w:t>
            </w:r>
            <w:r>
              <w:t>.</w:t>
            </w:r>
          </w:p>
        </w:tc>
      </w:tr>
      <w:tr w:rsidR="000A5F4F" w14:paraId="670096EA" w14:textId="77777777" w:rsidTr="002E4480">
        <w:tc>
          <w:tcPr>
            <w:tcW w:w="495" w:type="pct"/>
          </w:tcPr>
          <w:p w14:paraId="3BF25AE0" w14:textId="48CE652D" w:rsidR="000A5F4F" w:rsidRDefault="000A5F4F" w:rsidP="00FB500F">
            <w:r w:rsidRPr="00EA7FC6">
              <w:t xml:space="preserve">Gray </w:t>
            </w:r>
            <w:r w:rsidR="000C1484">
              <w:t>(</w:t>
            </w:r>
            <w:r w:rsidRPr="00EA7FC6">
              <w:t>2011</w:t>
            </w:r>
            <w:r w:rsidR="000C1484">
              <w:t>)</w:t>
            </w:r>
          </w:p>
        </w:tc>
        <w:tc>
          <w:tcPr>
            <w:tcW w:w="309" w:type="pct"/>
          </w:tcPr>
          <w:p w14:paraId="5B952887" w14:textId="77777777" w:rsidR="000A5F4F" w:rsidRDefault="000A5F4F" w:rsidP="00FB500F">
            <w:r>
              <w:t>RCT</w:t>
            </w:r>
          </w:p>
        </w:tc>
        <w:tc>
          <w:tcPr>
            <w:tcW w:w="405" w:type="pct"/>
          </w:tcPr>
          <w:p w14:paraId="0440A521" w14:textId="77777777" w:rsidR="000A5F4F" w:rsidRDefault="000A5F4F" w:rsidP="00FB500F">
            <w:r>
              <w:t>USA</w:t>
            </w:r>
          </w:p>
        </w:tc>
        <w:tc>
          <w:tcPr>
            <w:tcW w:w="319" w:type="pct"/>
          </w:tcPr>
          <w:p w14:paraId="3F0B8D8C" w14:textId="77777777" w:rsidR="000A5F4F" w:rsidRDefault="000A5F4F" w:rsidP="00FB500F">
            <w:r>
              <w:t>N=134</w:t>
            </w:r>
          </w:p>
        </w:tc>
        <w:tc>
          <w:tcPr>
            <w:tcW w:w="1272" w:type="pct"/>
          </w:tcPr>
          <w:p w14:paraId="3942144B" w14:textId="77777777" w:rsidR="000A5F4F" w:rsidRDefault="000A5F4F" w:rsidP="00FB500F">
            <w:r>
              <w:t>Adolescent smokers aged 12–21 years who smoked at least five CPD.</w:t>
            </w:r>
          </w:p>
        </w:tc>
        <w:tc>
          <w:tcPr>
            <w:tcW w:w="1379" w:type="pct"/>
          </w:tcPr>
          <w:p w14:paraId="37115252" w14:textId="77777777" w:rsidR="000A5F4F" w:rsidRDefault="000A5F4F" w:rsidP="00C324F3">
            <w:pPr>
              <w:pStyle w:val="ListParagraph"/>
              <w:numPr>
                <w:ilvl w:val="0"/>
                <w:numId w:val="308"/>
              </w:numPr>
              <w:rPr>
                <w:rFonts w:eastAsia="Calibri" w:cs="Calibri"/>
              </w:rPr>
            </w:pPr>
            <w:r w:rsidRPr="0038080C">
              <w:rPr>
                <w:rFonts w:eastAsia="Calibri" w:cs="Calibri"/>
              </w:rPr>
              <w:t>Bupropion SR (300 mg/d</w:t>
            </w:r>
            <w:r>
              <w:rPr>
                <w:rFonts w:eastAsia="Calibri" w:cs="Calibri"/>
              </w:rPr>
              <w:t>ay</w:t>
            </w:r>
            <w:r w:rsidRPr="0038080C">
              <w:rPr>
                <w:rFonts w:eastAsia="Calibri" w:cs="Calibri"/>
              </w:rPr>
              <w:t xml:space="preserve">) with CM and Bupropion SR with non-CM  </w:t>
            </w:r>
          </w:p>
          <w:p w14:paraId="2E8FDBCC" w14:textId="77777777" w:rsidR="000A5F4F" w:rsidRPr="00590106" w:rsidRDefault="000A5F4F" w:rsidP="00C324F3">
            <w:pPr>
              <w:pStyle w:val="ListParagraph"/>
              <w:numPr>
                <w:ilvl w:val="0"/>
                <w:numId w:val="308"/>
              </w:numPr>
              <w:rPr>
                <w:rFonts w:eastAsia="Calibri" w:cs="Calibri"/>
              </w:rPr>
            </w:pPr>
            <w:r w:rsidRPr="00590106">
              <w:rPr>
                <w:rFonts w:eastAsia="Calibri" w:cs="Calibri"/>
              </w:rPr>
              <w:t xml:space="preserve">Placebo with CM and placebo with non-CM for 6 weeks </w:t>
            </w:r>
          </w:p>
        </w:tc>
        <w:tc>
          <w:tcPr>
            <w:tcW w:w="821" w:type="pct"/>
          </w:tcPr>
          <w:p w14:paraId="5FEFE9F0" w14:textId="77777777" w:rsidR="000A5F4F" w:rsidRDefault="000A5F4F" w:rsidP="00FB500F">
            <w:r w:rsidRPr="006B32B5">
              <w:rPr>
                <w:u w:val="single"/>
              </w:rPr>
              <w:t>Efficacy</w:t>
            </w:r>
            <w:r>
              <w:t xml:space="preserve">: </w:t>
            </w:r>
            <w:r w:rsidRPr="00EA7FC6">
              <w:t>7-d point prevalence abstinence at 12 w</w:t>
            </w:r>
            <w:r>
              <w:t>ee</w:t>
            </w:r>
            <w:r w:rsidRPr="00EA7FC6">
              <w:t>k</w:t>
            </w:r>
            <w:r>
              <w:t>.</w:t>
            </w:r>
          </w:p>
          <w:p w14:paraId="11EE8B4F" w14:textId="77777777" w:rsidR="000A5F4F" w:rsidRDefault="000A5F4F" w:rsidP="00FB500F">
            <w:r>
              <w:t>Self-reported abstinence</w:t>
            </w:r>
          </w:p>
          <w:p w14:paraId="0763177D" w14:textId="77777777" w:rsidR="000A5F4F" w:rsidRDefault="000A5F4F" w:rsidP="00FB500F">
            <w:r>
              <w:t>confirmed by urinary</w:t>
            </w:r>
          </w:p>
          <w:p w14:paraId="7F88DC51" w14:textId="77777777" w:rsidR="000A5F4F" w:rsidRDefault="000A5F4F" w:rsidP="00FB500F">
            <w:r>
              <w:t>cotinine ≤100 ng/mL.</w:t>
            </w:r>
          </w:p>
          <w:p w14:paraId="4078FB53" w14:textId="77777777" w:rsidR="000A5F4F" w:rsidRDefault="000A5F4F" w:rsidP="00FB500F"/>
          <w:p w14:paraId="7BFD5929" w14:textId="77777777" w:rsidR="006F5961" w:rsidRDefault="000A5F4F" w:rsidP="006F5961">
            <w:r w:rsidRPr="008A028E">
              <w:rPr>
                <w:u w:val="single"/>
              </w:rPr>
              <w:t>Safety</w:t>
            </w:r>
            <w:r w:rsidRPr="008A028E">
              <w:t>:</w:t>
            </w:r>
            <w:r>
              <w:t xml:space="preserve"> </w:t>
            </w:r>
          </w:p>
          <w:p w14:paraId="7C4E6834" w14:textId="4D7FD896" w:rsidR="000A5F4F" w:rsidRPr="006B32B5" w:rsidRDefault="006F5961" w:rsidP="006F5961">
            <w:pPr>
              <w:rPr>
                <w:u w:val="single"/>
              </w:rPr>
            </w:pPr>
            <w:r>
              <w:t xml:space="preserve">Adverse events were assessed during weekly medication management visits, </w:t>
            </w:r>
            <w:r w:rsidR="008A028E" w:rsidRPr="008A028E">
              <w:t xml:space="preserve">electrocardiograms were per- formed at </w:t>
            </w:r>
            <w:r w:rsidR="00D562FA">
              <w:t>w</w:t>
            </w:r>
            <w:r w:rsidR="008A028E" w:rsidRPr="008A028E">
              <w:t>eek 4 of treatment</w:t>
            </w:r>
            <w:r w:rsidR="008A028E">
              <w:t>.</w:t>
            </w:r>
          </w:p>
        </w:tc>
      </w:tr>
    </w:tbl>
    <w:p w14:paraId="1CAA6AF3" w14:textId="7EF6C329" w:rsidR="000A5F4F" w:rsidRPr="009B042A" w:rsidRDefault="000A5F4F" w:rsidP="002E4480">
      <w:pPr>
        <w:pStyle w:val="TableFooter"/>
        <w:keepNext/>
        <w:jc w:val="both"/>
      </w:pPr>
      <w:r>
        <w:t>Source: Selph et al. (2019).</w:t>
      </w:r>
    </w:p>
    <w:p w14:paraId="50D59AE2" w14:textId="3CD13D48" w:rsidR="000A5F4F" w:rsidRPr="00822B64" w:rsidRDefault="000A5F4F" w:rsidP="002E4480">
      <w:pPr>
        <w:pStyle w:val="TableFooter"/>
        <w:keepNext/>
        <w:jc w:val="both"/>
        <w:sectPr w:rsidR="000A5F4F" w:rsidRPr="00822B64" w:rsidSect="001F38AD">
          <w:footerReference w:type="default" r:id="rId72"/>
          <w:pgSz w:w="16838" w:h="11906" w:orient="landscape"/>
          <w:pgMar w:top="1440" w:right="1440" w:bottom="1440" w:left="1440" w:header="708" w:footer="708" w:gutter="0"/>
          <w:cols w:space="708"/>
          <w:titlePg/>
          <w:docGrid w:linePitch="360"/>
        </w:sectPr>
      </w:pPr>
      <w:r>
        <w:t xml:space="preserve">Abbreviations: NR= not reported; </w:t>
      </w:r>
      <w:r w:rsidRPr="009B042A">
        <w:t xml:space="preserve">PPA= point prevalence smoking abstinence; </w:t>
      </w:r>
      <w:r>
        <w:t xml:space="preserve">CAR= continuous abstinence rate; </w:t>
      </w:r>
      <w:r w:rsidRPr="009B042A">
        <w:t xml:space="preserve">RCT= randomised controlled trial; TQD= target quit date; CO= carbon monoxide; </w:t>
      </w:r>
      <w:r w:rsidRPr="00D66694">
        <w:rPr>
          <w:szCs w:val="18"/>
        </w:rPr>
        <w:t>ppm=</w:t>
      </w:r>
      <w:r w:rsidRPr="009B042A">
        <w:t xml:space="preserve"> </w:t>
      </w:r>
      <w:r>
        <w:t>part per million</w:t>
      </w:r>
      <w:r w:rsidRPr="009B042A">
        <w:t xml:space="preserve">; EoT= end of treatment; </w:t>
      </w:r>
      <w:r>
        <w:t xml:space="preserve">FTND= </w:t>
      </w:r>
      <w:r w:rsidR="00115AEE" w:rsidRPr="00BD70BE">
        <w:t>Fagerstrӧm</w:t>
      </w:r>
      <w:r w:rsidRPr="00BD70BE">
        <w:t xml:space="preserve"> test for nicotine dependence</w:t>
      </w:r>
      <w:r>
        <w:t xml:space="preserve">; CPD= cigarette per day; AEs= adverse events; SAEs= serious adverse events; </w:t>
      </w:r>
      <w:r w:rsidRPr="0045792D">
        <w:t>CM = contingency management; SR = sustained release</w:t>
      </w:r>
      <w:r>
        <w:t>.</w:t>
      </w:r>
    </w:p>
    <w:p w14:paraId="018038DA" w14:textId="51F03C70" w:rsidR="001738B6" w:rsidRDefault="002C3EF9" w:rsidP="002E4480">
      <w:pPr>
        <w:pStyle w:val="Heading3"/>
        <w:numPr>
          <w:ilvl w:val="0"/>
          <w:numId w:val="0"/>
        </w:numPr>
        <w:spacing w:before="0" w:after="120"/>
        <w:jc w:val="both"/>
      </w:pPr>
      <w:bookmarkStart w:id="356" w:name="_Toc115254531"/>
      <w:r>
        <w:lastRenderedPageBreak/>
        <w:t xml:space="preserve">B.3 </w:t>
      </w:r>
      <w:r w:rsidR="001738B6">
        <w:t>Results</w:t>
      </w:r>
      <w:bookmarkEnd w:id="356"/>
    </w:p>
    <w:p w14:paraId="41DBCD1A" w14:textId="77777777" w:rsidR="00B43CF6" w:rsidRDefault="7005B0C0" w:rsidP="00B43CF6">
      <w:pPr>
        <w:keepNext/>
      </w:pPr>
      <w:r>
        <w:rPr>
          <w:noProof/>
        </w:rPr>
        <w:drawing>
          <wp:inline distT="0" distB="0" distL="0" distR="0" wp14:anchorId="0C478369" wp14:editId="42822F5B">
            <wp:extent cx="5731510" cy="3985260"/>
            <wp:effectExtent l="0" t="0" r="2540" b="0"/>
            <wp:docPr id="8" name="Picture 8" descr="P159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15913#yIS1"/>
                    <pic:cNvPicPr/>
                  </pic:nvPicPr>
                  <pic:blipFill>
                    <a:blip r:embed="rId73">
                      <a:extLst>
                        <a:ext uri="{28A0092B-C50C-407E-A947-70E740481C1C}">
                          <a14:useLocalDpi xmlns:a14="http://schemas.microsoft.com/office/drawing/2010/main" val="0"/>
                        </a:ext>
                      </a:extLst>
                    </a:blip>
                    <a:stretch>
                      <a:fillRect/>
                    </a:stretch>
                  </pic:blipFill>
                  <pic:spPr>
                    <a:xfrm>
                      <a:off x="0" y="0"/>
                      <a:ext cx="5731510" cy="3985260"/>
                    </a:xfrm>
                    <a:prstGeom prst="rect">
                      <a:avLst/>
                    </a:prstGeom>
                  </pic:spPr>
                </pic:pic>
              </a:graphicData>
            </a:graphic>
          </wp:inline>
        </w:drawing>
      </w:r>
    </w:p>
    <w:p w14:paraId="6E544936" w14:textId="5C449296" w:rsidR="00804A81" w:rsidRDefault="00B43CF6" w:rsidP="002E4480">
      <w:pPr>
        <w:pStyle w:val="Caption"/>
        <w:spacing w:before="120" w:after="60"/>
        <w:jc w:val="both"/>
      </w:pPr>
      <w:bookmarkStart w:id="357" w:name="_Ref54085885"/>
      <w:r>
        <w:t xml:space="preserve">Figure </w:t>
      </w:r>
      <w:r w:rsidR="00BF3F75">
        <w:fldChar w:fldCharType="begin"/>
      </w:r>
      <w:r w:rsidR="00BF3F75">
        <w:instrText xml:space="preserve"> SEQ Figure \* ARABIC </w:instrText>
      </w:r>
      <w:r w:rsidR="00BF3F75">
        <w:fldChar w:fldCharType="separate"/>
      </w:r>
      <w:r w:rsidR="00EC5CC7">
        <w:rPr>
          <w:noProof/>
        </w:rPr>
        <w:t>49</w:t>
      </w:r>
      <w:r w:rsidR="00BF3F75">
        <w:rPr>
          <w:noProof/>
        </w:rPr>
        <w:fldChar w:fldCharType="end"/>
      </w:r>
      <w:bookmarkEnd w:id="357"/>
      <w:r>
        <w:t xml:space="preserve">: </w:t>
      </w:r>
      <w:r w:rsidRPr="00D70C24">
        <w:t xml:space="preserve">Results of </w:t>
      </w:r>
      <w:r w:rsidR="00804988">
        <w:t xml:space="preserve">adverse events </w:t>
      </w:r>
      <w:r w:rsidRPr="00D70C24">
        <w:t>in Howes et al. (2020), bupropion versus placebo</w:t>
      </w:r>
    </w:p>
    <w:p w14:paraId="49570EFF" w14:textId="77777777" w:rsidR="00804988" w:rsidRDefault="00804988" w:rsidP="00804988">
      <w:pPr>
        <w:pStyle w:val="FigureFooter"/>
      </w:pPr>
      <w:bookmarkStart w:id="358" w:name="_Hlk55487205"/>
      <w:r>
        <w:t>Source: Howes et al. (2020)</w:t>
      </w:r>
    </w:p>
    <w:bookmarkEnd w:id="358"/>
    <w:p w14:paraId="438D880C" w14:textId="77777777" w:rsidR="00804988" w:rsidRPr="00804988" w:rsidRDefault="00804988" w:rsidP="00804988"/>
    <w:p w14:paraId="2B9C484B" w14:textId="77777777" w:rsidR="00446988" w:rsidRDefault="3409E13E" w:rsidP="00446988">
      <w:pPr>
        <w:keepNext/>
      </w:pPr>
      <w:r>
        <w:rPr>
          <w:noProof/>
        </w:rPr>
        <w:lastRenderedPageBreak/>
        <w:drawing>
          <wp:inline distT="0" distB="0" distL="0" distR="0" wp14:anchorId="0A97B9A3" wp14:editId="175F8AA8">
            <wp:extent cx="5731510" cy="5030471"/>
            <wp:effectExtent l="0" t="0" r="2540" b="0"/>
            <wp:docPr id="9" name="Picture 9" descr="P159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15917#yIS1"/>
                    <pic:cNvPicPr/>
                  </pic:nvPicPr>
                  <pic:blipFill>
                    <a:blip r:embed="rId74">
                      <a:extLst>
                        <a:ext uri="{28A0092B-C50C-407E-A947-70E740481C1C}">
                          <a14:useLocalDpi xmlns:a14="http://schemas.microsoft.com/office/drawing/2010/main" val="0"/>
                        </a:ext>
                      </a:extLst>
                    </a:blip>
                    <a:stretch>
                      <a:fillRect/>
                    </a:stretch>
                  </pic:blipFill>
                  <pic:spPr>
                    <a:xfrm>
                      <a:off x="0" y="0"/>
                      <a:ext cx="5731510" cy="5030471"/>
                    </a:xfrm>
                    <a:prstGeom prst="rect">
                      <a:avLst/>
                    </a:prstGeom>
                  </pic:spPr>
                </pic:pic>
              </a:graphicData>
            </a:graphic>
          </wp:inline>
        </w:drawing>
      </w:r>
    </w:p>
    <w:p w14:paraId="04751854" w14:textId="70EFF889" w:rsidR="00B55162" w:rsidRDefault="00446988"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50</w:t>
      </w:r>
      <w:r w:rsidR="00BF3F75">
        <w:rPr>
          <w:noProof/>
        </w:rPr>
        <w:fldChar w:fldCharType="end"/>
      </w:r>
      <w:r>
        <w:t xml:space="preserve">: </w:t>
      </w:r>
      <w:r w:rsidRPr="00560F70">
        <w:t xml:space="preserve">Results of </w:t>
      </w:r>
      <w:r w:rsidR="00D04034">
        <w:t xml:space="preserve">serious </w:t>
      </w:r>
      <w:r w:rsidRPr="00560F70">
        <w:t>adverse events in Howes et al. (2020), bupropion versus placebo</w:t>
      </w:r>
    </w:p>
    <w:p w14:paraId="6825C6CC" w14:textId="3FB1F333" w:rsidR="002E4480" w:rsidRDefault="003E0489" w:rsidP="002E4480">
      <w:pPr>
        <w:pStyle w:val="FigureFooter"/>
        <w:spacing w:after="120"/>
        <w:contextualSpacing w:val="0"/>
      </w:pPr>
      <w:r>
        <w:t>Source: Howes et al. (2020)</w:t>
      </w:r>
    </w:p>
    <w:p w14:paraId="28CBBC9A" w14:textId="77777777" w:rsidR="002E4480" w:rsidRDefault="002E4480">
      <w:pPr>
        <w:spacing w:line="276" w:lineRule="auto"/>
        <w:rPr>
          <w:sz w:val="20"/>
        </w:rPr>
      </w:pPr>
      <w:r>
        <w:br w:type="page"/>
      </w:r>
    </w:p>
    <w:p w14:paraId="4ADB25FB" w14:textId="77777777" w:rsidR="00D04034" w:rsidRDefault="335CFEDA" w:rsidP="00D04034">
      <w:pPr>
        <w:keepNext/>
      </w:pPr>
      <w:r>
        <w:rPr>
          <w:noProof/>
        </w:rPr>
        <w:lastRenderedPageBreak/>
        <w:drawing>
          <wp:inline distT="0" distB="0" distL="0" distR="0" wp14:anchorId="606E8177" wp14:editId="47570547">
            <wp:extent cx="5731510" cy="2407285"/>
            <wp:effectExtent l="0" t="0" r="2540" b="0"/>
            <wp:docPr id="10" name="Picture 10" descr="P159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15921#yIS1"/>
                    <pic:cNvPicPr/>
                  </pic:nvPicPr>
                  <pic:blipFill>
                    <a:blip r:embed="rId75">
                      <a:extLst>
                        <a:ext uri="{28A0092B-C50C-407E-A947-70E740481C1C}">
                          <a14:useLocalDpi xmlns:a14="http://schemas.microsoft.com/office/drawing/2010/main" val="0"/>
                        </a:ext>
                      </a:extLst>
                    </a:blip>
                    <a:stretch>
                      <a:fillRect/>
                    </a:stretch>
                  </pic:blipFill>
                  <pic:spPr>
                    <a:xfrm>
                      <a:off x="0" y="0"/>
                      <a:ext cx="5731510" cy="2407285"/>
                    </a:xfrm>
                    <a:prstGeom prst="rect">
                      <a:avLst/>
                    </a:prstGeom>
                  </pic:spPr>
                </pic:pic>
              </a:graphicData>
            </a:graphic>
          </wp:inline>
        </w:drawing>
      </w:r>
    </w:p>
    <w:p w14:paraId="678009F0" w14:textId="2F8670F8" w:rsidR="00B55162" w:rsidRDefault="00D04034"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51</w:t>
      </w:r>
      <w:r w:rsidR="00BF3F75">
        <w:rPr>
          <w:noProof/>
        </w:rPr>
        <w:fldChar w:fldCharType="end"/>
      </w:r>
      <w:r>
        <w:t xml:space="preserve">: </w:t>
      </w:r>
      <w:r w:rsidRPr="00F27C49">
        <w:t xml:space="preserve">Results of </w:t>
      </w:r>
      <w:r>
        <w:t xml:space="preserve">psychiatric </w:t>
      </w:r>
      <w:r w:rsidRPr="00F27C49">
        <w:t>adverse events in Howes et al. (2020), bupropion versus placebo</w:t>
      </w:r>
    </w:p>
    <w:p w14:paraId="16760C9E" w14:textId="77777777" w:rsidR="003E0489" w:rsidRDefault="003E0489" w:rsidP="002E4480">
      <w:pPr>
        <w:pStyle w:val="FigureFooter"/>
        <w:spacing w:after="120"/>
        <w:contextualSpacing w:val="0"/>
        <w:jc w:val="both"/>
      </w:pPr>
      <w:r>
        <w:t>Source: Howes et al. (2020)</w:t>
      </w:r>
    </w:p>
    <w:p w14:paraId="1692847F" w14:textId="77777777" w:rsidR="00D04034" w:rsidRDefault="59B8C0E0" w:rsidP="00D04034">
      <w:pPr>
        <w:keepNext/>
      </w:pPr>
      <w:r>
        <w:rPr>
          <w:noProof/>
        </w:rPr>
        <w:lastRenderedPageBreak/>
        <w:drawing>
          <wp:inline distT="0" distB="0" distL="0" distR="0" wp14:anchorId="3C9FD8B6" wp14:editId="7072621C">
            <wp:extent cx="5731510" cy="5219066"/>
            <wp:effectExtent l="0" t="0" r="2540" b="635"/>
            <wp:docPr id="11" name="Picture 11" descr="P159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15924#yIS1"/>
                    <pic:cNvPicPr/>
                  </pic:nvPicPr>
                  <pic:blipFill>
                    <a:blip r:embed="rId76">
                      <a:extLst>
                        <a:ext uri="{28A0092B-C50C-407E-A947-70E740481C1C}">
                          <a14:useLocalDpi xmlns:a14="http://schemas.microsoft.com/office/drawing/2010/main" val="0"/>
                        </a:ext>
                      </a:extLst>
                    </a:blip>
                    <a:stretch>
                      <a:fillRect/>
                    </a:stretch>
                  </pic:blipFill>
                  <pic:spPr>
                    <a:xfrm>
                      <a:off x="0" y="0"/>
                      <a:ext cx="5731510" cy="5219066"/>
                    </a:xfrm>
                    <a:prstGeom prst="rect">
                      <a:avLst/>
                    </a:prstGeom>
                  </pic:spPr>
                </pic:pic>
              </a:graphicData>
            </a:graphic>
          </wp:inline>
        </w:drawing>
      </w:r>
    </w:p>
    <w:p w14:paraId="2D9B975F" w14:textId="245E5B48" w:rsidR="00093683" w:rsidRDefault="00D04034" w:rsidP="002E4480">
      <w:pPr>
        <w:pStyle w:val="Caption"/>
        <w:spacing w:before="120" w:after="60"/>
        <w:jc w:val="both"/>
        <w:rPr>
          <w:rFonts w:eastAsia="MS Mincho"/>
        </w:rPr>
      </w:pPr>
      <w:bookmarkStart w:id="359" w:name="_Ref54085887"/>
      <w:r>
        <w:t xml:space="preserve">Figure </w:t>
      </w:r>
      <w:r w:rsidR="00BF3F75">
        <w:fldChar w:fldCharType="begin"/>
      </w:r>
      <w:r w:rsidR="00BF3F75">
        <w:instrText xml:space="preserve"> SEQ Figure \* ARABIC </w:instrText>
      </w:r>
      <w:r w:rsidR="00BF3F75">
        <w:fldChar w:fldCharType="separate"/>
      </w:r>
      <w:r w:rsidR="00EC5CC7">
        <w:rPr>
          <w:noProof/>
        </w:rPr>
        <w:t>52</w:t>
      </w:r>
      <w:r w:rsidR="00BF3F75">
        <w:rPr>
          <w:noProof/>
        </w:rPr>
        <w:fldChar w:fldCharType="end"/>
      </w:r>
      <w:bookmarkEnd w:id="359"/>
      <w:r>
        <w:t xml:space="preserve">: </w:t>
      </w:r>
      <w:r w:rsidRPr="00855384">
        <w:t xml:space="preserve">Results of </w:t>
      </w:r>
      <w:r w:rsidR="003E0489">
        <w:t xml:space="preserve">discontinuation due to </w:t>
      </w:r>
      <w:r w:rsidRPr="00855384">
        <w:t>adverse events in Howes et al. (2020), bupropion versus placebo</w:t>
      </w:r>
    </w:p>
    <w:p w14:paraId="6CFA4CD4" w14:textId="77777777" w:rsidR="003E0489" w:rsidRDefault="003E0489" w:rsidP="002E4480">
      <w:pPr>
        <w:pStyle w:val="FigureFooter"/>
        <w:spacing w:after="120"/>
        <w:contextualSpacing w:val="0"/>
        <w:jc w:val="both"/>
      </w:pPr>
      <w:r>
        <w:t>Source: Howes et al. (2020)</w:t>
      </w:r>
    </w:p>
    <w:p w14:paraId="2AA67E5F" w14:textId="77777777" w:rsidR="00414F11" w:rsidRDefault="6F602C5F" w:rsidP="00414F11">
      <w:pPr>
        <w:keepNext/>
      </w:pPr>
      <w:r>
        <w:rPr>
          <w:noProof/>
        </w:rPr>
        <w:drawing>
          <wp:inline distT="0" distB="0" distL="0" distR="0" wp14:anchorId="388BCA58" wp14:editId="6F2ACCE5">
            <wp:extent cx="5731510" cy="1921510"/>
            <wp:effectExtent l="0" t="0" r="2540" b="2540"/>
            <wp:docPr id="14" name="Picture 14" descr="P159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15927#yIS1"/>
                    <pic:cNvPicPr/>
                  </pic:nvPicPr>
                  <pic:blipFill>
                    <a:blip r:embed="rId77">
                      <a:extLst>
                        <a:ext uri="{28A0092B-C50C-407E-A947-70E740481C1C}">
                          <a14:useLocalDpi xmlns:a14="http://schemas.microsoft.com/office/drawing/2010/main" val="0"/>
                        </a:ext>
                      </a:extLst>
                    </a:blip>
                    <a:stretch>
                      <a:fillRect/>
                    </a:stretch>
                  </pic:blipFill>
                  <pic:spPr>
                    <a:xfrm>
                      <a:off x="0" y="0"/>
                      <a:ext cx="5731510" cy="1921510"/>
                    </a:xfrm>
                    <a:prstGeom prst="rect">
                      <a:avLst/>
                    </a:prstGeom>
                  </pic:spPr>
                </pic:pic>
              </a:graphicData>
            </a:graphic>
          </wp:inline>
        </w:drawing>
      </w:r>
    </w:p>
    <w:p w14:paraId="16D483EA" w14:textId="5B87DE01" w:rsidR="00D83CD9" w:rsidRDefault="00414F11" w:rsidP="002E4480">
      <w:pPr>
        <w:pStyle w:val="Caption"/>
        <w:spacing w:before="120" w:after="60"/>
        <w:jc w:val="both"/>
      </w:pPr>
      <w:bookmarkStart w:id="360" w:name="_Ref54086727"/>
      <w:r>
        <w:t xml:space="preserve">Figure </w:t>
      </w:r>
      <w:r w:rsidR="00BF3F75">
        <w:fldChar w:fldCharType="begin"/>
      </w:r>
      <w:r w:rsidR="00BF3F75">
        <w:instrText xml:space="preserve"> SEQ Figure \* ARABIC </w:instrText>
      </w:r>
      <w:r w:rsidR="00BF3F75">
        <w:fldChar w:fldCharType="separate"/>
      </w:r>
      <w:r w:rsidR="00EC5CC7">
        <w:rPr>
          <w:noProof/>
        </w:rPr>
        <w:t>53</w:t>
      </w:r>
      <w:r w:rsidR="00BF3F75">
        <w:rPr>
          <w:noProof/>
        </w:rPr>
        <w:fldChar w:fldCharType="end"/>
      </w:r>
      <w:bookmarkEnd w:id="360"/>
      <w:r>
        <w:t xml:space="preserve">: </w:t>
      </w:r>
      <w:r w:rsidRPr="00272EDF">
        <w:t xml:space="preserve">Results of adverse events in Howes et al. (2020), bupropion versus </w:t>
      </w:r>
      <w:r>
        <w:t>NRT</w:t>
      </w:r>
    </w:p>
    <w:p w14:paraId="1E38543F" w14:textId="77777777" w:rsidR="00414F11" w:rsidRDefault="00414F11" w:rsidP="002E4480">
      <w:pPr>
        <w:pStyle w:val="FigureFooter"/>
        <w:spacing w:after="120"/>
        <w:contextualSpacing w:val="0"/>
        <w:jc w:val="both"/>
      </w:pPr>
      <w:r>
        <w:t>Source: Howes et al. (2020)</w:t>
      </w:r>
    </w:p>
    <w:p w14:paraId="77A59F1A" w14:textId="77777777" w:rsidR="00414F11" w:rsidRDefault="0A5CF6F1" w:rsidP="00414F11">
      <w:pPr>
        <w:keepNext/>
      </w:pPr>
      <w:r>
        <w:rPr>
          <w:noProof/>
        </w:rPr>
        <w:lastRenderedPageBreak/>
        <w:drawing>
          <wp:inline distT="0" distB="0" distL="0" distR="0" wp14:anchorId="6FA2EC4E" wp14:editId="58036FCA">
            <wp:extent cx="5731510" cy="2286000"/>
            <wp:effectExtent l="0" t="0" r="2540" b="0"/>
            <wp:docPr id="15" name="Picture 15" descr="P159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15930#yIS1"/>
                    <pic:cNvPicPr/>
                  </pic:nvPicPr>
                  <pic:blipFill>
                    <a:blip r:embed="rId78">
                      <a:extLst>
                        <a:ext uri="{28A0092B-C50C-407E-A947-70E740481C1C}">
                          <a14:useLocalDpi xmlns:a14="http://schemas.microsoft.com/office/drawing/2010/main" val="0"/>
                        </a:ext>
                      </a:extLst>
                    </a:blip>
                    <a:stretch>
                      <a:fillRect/>
                    </a:stretch>
                  </pic:blipFill>
                  <pic:spPr>
                    <a:xfrm>
                      <a:off x="0" y="0"/>
                      <a:ext cx="5731510" cy="2286000"/>
                    </a:xfrm>
                    <a:prstGeom prst="rect">
                      <a:avLst/>
                    </a:prstGeom>
                  </pic:spPr>
                </pic:pic>
              </a:graphicData>
            </a:graphic>
          </wp:inline>
        </w:drawing>
      </w:r>
    </w:p>
    <w:p w14:paraId="4F44D4E0" w14:textId="741FA2F4" w:rsidR="00EF16AA" w:rsidRDefault="00414F11"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54</w:t>
      </w:r>
      <w:r w:rsidR="00BF3F75">
        <w:rPr>
          <w:noProof/>
        </w:rPr>
        <w:fldChar w:fldCharType="end"/>
      </w:r>
      <w:r>
        <w:t xml:space="preserve">: </w:t>
      </w:r>
      <w:r w:rsidRPr="008A5DC5">
        <w:t xml:space="preserve">Results of </w:t>
      </w:r>
      <w:r>
        <w:t>serious</w:t>
      </w:r>
      <w:r w:rsidRPr="008A5DC5">
        <w:t xml:space="preserve"> adverse events in Howes et al. (2020), bupropion versus </w:t>
      </w:r>
      <w:r>
        <w:t>NRT</w:t>
      </w:r>
    </w:p>
    <w:p w14:paraId="2865C0B0" w14:textId="77777777" w:rsidR="00414F11" w:rsidRDefault="00414F11" w:rsidP="002E4480">
      <w:pPr>
        <w:pStyle w:val="FigureFooter"/>
        <w:spacing w:after="120"/>
        <w:contextualSpacing w:val="0"/>
        <w:jc w:val="both"/>
      </w:pPr>
      <w:r>
        <w:t>Source: Howes et al. (2020)</w:t>
      </w:r>
    </w:p>
    <w:p w14:paraId="48825CC6" w14:textId="77777777" w:rsidR="00414F11" w:rsidRDefault="025D4C96" w:rsidP="00414F11">
      <w:pPr>
        <w:keepNext/>
      </w:pPr>
      <w:r>
        <w:rPr>
          <w:noProof/>
        </w:rPr>
        <w:drawing>
          <wp:inline distT="0" distB="0" distL="0" distR="0" wp14:anchorId="0F69C97C" wp14:editId="16E4894D">
            <wp:extent cx="5731510" cy="2164715"/>
            <wp:effectExtent l="0" t="0" r="2540" b="6985"/>
            <wp:docPr id="16" name="Picture 16" descr="P159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15933#yIS1"/>
                    <pic:cNvPicPr/>
                  </pic:nvPicPr>
                  <pic:blipFill>
                    <a:blip r:embed="rId79">
                      <a:extLst>
                        <a:ext uri="{28A0092B-C50C-407E-A947-70E740481C1C}">
                          <a14:useLocalDpi xmlns:a14="http://schemas.microsoft.com/office/drawing/2010/main" val="0"/>
                        </a:ext>
                      </a:extLst>
                    </a:blip>
                    <a:stretch>
                      <a:fillRect/>
                    </a:stretch>
                  </pic:blipFill>
                  <pic:spPr>
                    <a:xfrm>
                      <a:off x="0" y="0"/>
                      <a:ext cx="5731510" cy="2164715"/>
                    </a:xfrm>
                    <a:prstGeom prst="rect">
                      <a:avLst/>
                    </a:prstGeom>
                  </pic:spPr>
                </pic:pic>
              </a:graphicData>
            </a:graphic>
          </wp:inline>
        </w:drawing>
      </w:r>
    </w:p>
    <w:p w14:paraId="44D8442C" w14:textId="6EBA3EAD" w:rsidR="00665BB8" w:rsidRDefault="00414F11" w:rsidP="002E4480">
      <w:pPr>
        <w:pStyle w:val="Caption"/>
        <w:spacing w:before="120" w:after="60"/>
        <w:jc w:val="both"/>
      </w:pPr>
      <w:bookmarkStart w:id="361" w:name="_Ref54086728"/>
      <w:r>
        <w:t xml:space="preserve">Figure </w:t>
      </w:r>
      <w:r w:rsidR="00BF3F75">
        <w:fldChar w:fldCharType="begin"/>
      </w:r>
      <w:r w:rsidR="00BF3F75">
        <w:instrText xml:space="preserve"> SEQ Figure \* ARABIC </w:instrText>
      </w:r>
      <w:r w:rsidR="00BF3F75">
        <w:fldChar w:fldCharType="separate"/>
      </w:r>
      <w:r w:rsidR="00EC5CC7">
        <w:rPr>
          <w:noProof/>
        </w:rPr>
        <w:t>55</w:t>
      </w:r>
      <w:r w:rsidR="00BF3F75">
        <w:rPr>
          <w:noProof/>
        </w:rPr>
        <w:fldChar w:fldCharType="end"/>
      </w:r>
      <w:bookmarkEnd w:id="361"/>
      <w:r>
        <w:t xml:space="preserve">: </w:t>
      </w:r>
      <w:r w:rsidRPr="00042AC7">
        <w:t xml:space="preserve">Results of discontinuation due to adverse events in Howes et al. (2020), bupropion versus </w:t>
      </w:r>
      <w:r>
        <w:t>NRT</w:t>
      </w:r>
    </w:p>
    <w:p w14:paraId="111AE838" w14:textId="77777777" w:rsidR="00414F11" w:rsidRDefault="00414F11" w:rsidP="002E4480">
      <w:pPr>
        <w:pStyle w:val="FigureFooter"/>
        <w:jc w:val="both"/>
      </w:pPr>
      <w:r>
        <w:t>Source: Howes et al. (2020)</w:t>
      </w:r>
    </w:p>
    <w:p w14:paraId="5E6FD2D1" w14:textId="77777777" w:rsidR="00D83CD9" w:rsidRDefault="00D83CD9" w:rsidP="003E0489"/>
    <w:p w14:paraId="5FCFEDC0" w14:textId="671380F5" w:rsidR="00837D57" w:rsidRDefault="00CA5237" w:rsidP="00837D57">
      <w:pPr>
        <w:keepNext/>
      </w:pPr>
      <w:r>
        <w:rPr>
          <w:noProof/>
        </w:rPr>
        <w:lastRenderedPageBreak/>
        <w:drawing>
          <wp:inline distT="0" distB="0" distL="0" distR="0" wp14:anchorId="7A63D39C" wp14:editId="58741E8C">
            <wp:extent cx="5731510" cy="4450715"/>
            <wp:effectExtent l="0" t="0" r="2540" b="6985"/>
            <wp:docPr id="17" name="Picture 17" descr="P159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15937#yIS1"/>
                    <pic:cNvPicPr/>
                  </pic:nvPicPr>
                  <pic:blipFill>
                    <a:blip r:embed="rId80">
                      <a:extLst>
                        <a:ext uri="{28A0092B-C50C-407E-A947-70E740481C1C}">
                          <a14:useLocalDpi xmlns:a14="http://schemas.microsoft.com/office/drawing/2010/main" val="0"/>
                        </a:ext>
                      </a:extLst>
                    </a:blip>
                    <a:stretch>
                      <a:fillRect/>
                    </a:stretch>
                  </pic:blipFill>
                  <pic:spPr>
                    <a:xfrm>
                      <a:off x="0" y="0"/>
                      <a:ext cx="5731510" cy="4450715"/>
                    </a:xfrm>
                    <a:prstGeom prst="rect">
                      <a:avLst/>
                    </a:prstGeom>
                  </pic:spPr>
                </pic:pic>
              </a:graphicData>
            </a:graphic>
          </wp:inline>
        </w:drawing>
      </w:r>
    </w:p>
    <w:p w14:paraId="22A5E188" w14:textId="0E9C2952" w:rsidR="00D83CD9" w:rsidRDefault="00837D57" w:rsidP="002E4480">
      <w:pPr>
        <w:pStyle w:val="Caption"/>
        <w:spacing w:before="120" w:after="60"/>
        <w:jc w:val="both"/>
      </w:pPr>
      <w:bookmarkStart w:id="362" w:name="_Ref54089510"/>
      <w:r>
        <w:t xml:space="preserve">Figure </w:t>
      </w:r>
      <w:r w:rsidR="00BF3F75">
        <w:fldChar w:fldCharType="begin"/>
      </w:r>
      <w:r w:rsidR="00BF3F75">
        <w:instrText xml:space="preserve"> SEQ Figure \* ARABIC </w:instrText>
      </w:r>
      <w:r w:rsidR="00BF3F75">
        <w:fldChar w:fldCharType="separate"/>
      </w:r>
      <w:r w:rsidR="00EC5CC7">
        <w:rPr>
          <w:noProof/>
        </w:rPr>
        <w:t>56</w:t>
      </w:r>
      <w:r w:rsidR="00BF3F75">
        <w:rPr>
          <w:noProof/>
        </w:rPr>
        <w:fldChar w:fldCharType="end"/>
      </w:r>
      <w:bookmarkEnd w:id="362"/>
      <w:r>
        <w:t xml:space="preserve">: </w:t>
      </w:r>
      <w:r w:rsidRPr="00D34433">
        <w:t>Results of adverse events</w:t>
      </w:r>
      <w:r>
        <w:t xml:space="preserve"> (nausea)</w:t>
      </w:r>
      <w:r w:rsidRPr="00D34433">
        <w:t xml:space="preserve"> </w:t>
      </w:r>
      <w:r w:rsidR="0027001B">
        <w:t>based on updated re-analysis</w:t>
      </w:r>
      <w:r w:rsidRPr="00D34433">
        <w:t xml:space="preserve">, </w:t>
      </w:r>
      <w:r>
        <w:t>varenicline</w:t>
      </w:r>
      <w:r w:rsidRPr="00D34433">
        <w:t xml:space="preserve"> versus placebo</w:t>
      </w:r>
    </w:p>
    <w:p w14:paraId="3E2E3311" w14:textId="760BA180" w:rsidR="00876F50" w:rsidRDefault="00876F50" w:rsidP="002E4480">
      <w:pPr>
        <w:pStyle w:val="FigureFooter"/>
        <w:jc w:val="both"/>
      </w:pPr>
      <w:r>
        <w:t xml:space="preserve">Source: Cahill et al. </w:t>
      </w:r>
      <w:r w:rsidR="00C56E56" w:rsidRPr="00C56E56">
        <w:t>(2016), Lerman et al. (2015), Littlewood et al. (2017)</w:t>
      </w:r>
      <w:r w:rsidR="006F2484">
        <w:t xml:space="preserve">, </w:t>
      </w:r>
      <w:r w:rsidR="00C56E56" w:rsidRPr="00C56E56">
        <w:t>Chen et al. (2020)</w:t>
      </w:r>
    </w:p>
    <w:p w14:paraId="4C5C8153" w14:textId="58BC836F" w:rsidR="00504C1E" w:rsidRDefault="00504C1E" w:rsidP="002E4480">
      <w:pPr>
        <w:pStyle w:val="FigureFooter"/>
        <w:spacing w:after="120"/>
        <w:contextualSpacing w:val="0"/>
        <w:jc w:val="both"/>
      </w:pPr>
      <w:r>
        <w:t xml:space="preserve">Note: </w:t>
      </w:r>
      <w:r w:rsidR="001D6CF9" w:rsidRPr="001D6CF9">
        <w:t>Excluded the following studies from updated safety re-analysis due to incorrect treatment duration (NCT00828113, Williams 2007, Stein 2013, Evins 2014, Ebbert 2015; exceeded standard 12 weeks therapy).</w:t>
      </w:r>
    </w:p>
    <w:p w14:paraId="4FF456A4" w14:textId="77777777" w:rsidR="00AA32A9" w:rsidRDefault="00AA32A9" w:rsidP="003E0489"/>
    <w:p w14:paraId="29681F60" w14:textId="5019216F" w:rsidR="00837D57" w:rsidRDefault="0010537F" w:rsidP="00837D57">
      <w:pPr>
        <w:keepNext/>
      </w:pPr>
      <w:r>
        <w:rPr>
          <w:noProof/>
        </w:rPr>
        <w:lastRenderedPageBreak/>
        <w:drawing>
          <wp:inline distT="0" distB="0" distL="0" distR="0" wp14:anchorId="3E05786E" wp14:editId="79C4B6F3">
            <wp:extent cx="5731510" cy="4333240"/>
            <wp:effectExtent l="0" t="0" r="2540" b="0"/>
            <wp:docPr id="18" name="Picture 18" descr="P159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5942#yIS1"/>
                    <pic:cNvPicPr/>
                  </pic:nvPicPr>
                  <pic:blipFill>
                    <a:blip r:embed="rId81">
                      <a:extLst>
                        <a:ext uri="{28A0092B-C50C-407E-A947-70E740481C1C}">
                          <a14:useLocalDpi xmlns:a14="http://schemas.microsoft.com/office/drawing/2010/main" val="0"/>
                        </a:ext>
                      </a:extLst>
                    </a:blip>
                    <a:stretch>
                      <a:fillRect/>
                    </a:stretch>
                  </pic:blipFill>
                  <pic:spPr>
                    <a:xfrm>
                      <a:off x="0" y="0"/>
                      <a:ext cx="5731510" cy="4333240"/>
                    </a:xfrm>
                    <a:prstGeom prst="rect">
                      <a:avLst/>
                    </a:prstGeom>
                  </pic:spPr>
                </pic:pic>
              </a:graphicData>
            </a:graphic>
          </wp:inline>
        </w:drawing>
      </w:r>
    </w:p>
    <w:p w14:paraId="5D2457EB" w14:textId="4D4AB49D" w:rsidR="00AA32A9" w:rsidRDefault="00837D57"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57</w:t>
      </w:r>
      <w:r w:rsidR="00BF3F75">
        <w:rPr>
          <w:noProof/>
        </w:rPr>
        <w:fldChar w:fldCharType="end"/>
      </w:r>
      <w:r>
        <w:t xml:space="preserve">: </w:t>
      </w:r>
      <w:r w:rsidRPr="00C26B18">
        <w:t>Results of adverse events (</w:t>
      </w:r>
      <w:r>
        <w:t>insomnia</w:t>
      </w:r>
      <w:r w:rsidRPr="00C26B18">
        <w:t xml:space="preserve">) </w:t>
      </w:r>
      <w:r w:rsidR="006B369B">
        <w:t>based on updated re-analysis</w:t>
      </w:r>
      <w:r w:rsidRPr="00C26B18">
        <w:t>, varenicline versus placebo</w:t>
      </w:r>
    </w:p>
    <w:p w14:paraId="35369A78" w14:textId="43CC66E9" w:rsidR="00876F50" w:rsidRDefault="00876F50" w:rsidP="002E4480">
      <w:pPr>
        <w:pStyle w:val="FigureFooter"/>
        <w:jc w:val="both"/>
      </w:pPr>
      <w:r>
        <w:t xml:space="preserve">Source: Cahill et al. </w:t>
      </w:r>
      <w:r w:rsidR="006B369B" w:rsidRPr="006B369B">
        <w:t xml:space="preserve">(2016), Lerman et al. (2015), Littlewood et al. (2017), </w:t>
      </w:r>
      <w:r w:rsidR="00AF4C5C">
        <w:t>Mercie</w:t>
      </w:r>
      <w:r w:rsidR="006B369B" w:rsidRPr="006B369B">
        <w:t xml:space="preserve"> et al. (2018), Chen et al. (2020)</w:t>
      </w:r>
    </w:p>
    <w:p w14:paraId="4E41FD64" w14:textId="044F0EB2" w:rsidR="00F34E64" w:rsidRDefault="00F34E64" w:rsidP="002E4480">
      <w:pPr>
        <w:pStyle w:val="FigureFooter"/>
        <w:spacing w:after="120"/>
        <w:contextualSpacing w:val="0"/>
        <w:jc w:val="both"/>
      </w:pPr>
      <w:r>
        <w:t xml:space="preserve">Note: </w:t>
      </w:r>
      <w:r w:rsidRPr="001D6CF9">
        <w:t>Excluded the following studies from updated safety re-analysis due to incorrect treatment duration (Williams 2007, Stein 2013, Evins 2014, Ebbert 2015; exceeded standard 12 weeks therapy).</w:t>
      </w:r>
    </w:p>
    <w:p w14:paraId="1394CB25" w14:textId="77777777" w:rsidR="00F34E64" w:rsidRDefault="00F34E64" w:rsidP="00876F50">
      <w:pPr>
        <w:pStyle w:val="FigureFooter"/>
      </w:pPr>
    </w:p>
    <w:p w14:paraId="04D13FD5" w14:textId="77777777" w:rsidR="00145A2C" w:rsidRDefault="00145A2C" w:rsidP="003E0489"/>
    <w:p w14:paraId="6143C0A0" w14:textId="09987A2C" w:rsidR="00876F50" w:rsidRDefault="005B098A" w:rsidP="00876F50">
      <w:pPr>
        <w:keepNext/>
      </w:pPr>
      <w:r>
        <w:rPr>
          <w:noProof/>
        </w:rPr>
        <w:lastRenderedPageBreak/>
        <w:drawing>
          <wp:inline distT="0" distB="0" distL="0" distR="0" wp14:anchorId="1BBD4415" wp14:editId="0AAB7D2B">
            <wp:extent cx="5731510" cy="3864610"/>
            <wp:effectExtent l="0" t="0" r="2540" b="2540"/>
            <wp:docPr id="21" name="Picture 21" descr="P159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15948#yIS1"/>
                    <pic:cNvPicPr/>
                  </pic:nvPicPr>
                  <pic:blipFill>
                    <a:blip r:embed="rId82">
                      <a:extLst>
                        <a:ext uri="{28A0092B-C50C-407E-A947-70E740481C1C}">
                          <a14:useLocalDpi xmlns:a14="http://schemas.microsoft.com/office/drawing/2010/main" val="0"/>
                        </a:ext>
                      </a:extLst>
                    </a:blip>
                    <a:stretch>
                      <a:fillRect/>
                    </a:stretch>
                  </pic:blipFill>
                  <pic:spPr>
                    <a:xfrm>
                      <a:off x="0" y="0"/>
                      <a:ext cx="5731510" cy="3864610"/>
                    </a:xfrm>
                    <a:prstGeom prst="rect">
                      <a:avLst/>
                    </a:prstGeom>
                  </pic:spPr>
                </pic:pic>
              </a:graphicData>
            </a:graphic>
          </wp:inline>
        </w:drawing>
      </w:r>
    </w:p>
    <w:p w14:paraId="5E87C186" w14:textId="1355312D" w:rsidR="00145A2C" w:rsidRDefault="00876F50"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58</w:t>
      </w:r>
      <w:r w:rsidR="00BF3F75">
        <w:rPr>
          <w:noProof/>
        </w:rPr>
        <w:fldChar w:fldCharType="end"/>
      </w:r>
      <w:r>
        <w:t xml:space="preserve">: </w:t>
      </w:r>
      <w:r w:rsidRPr="00EF2E85">
        <w:t>Results of adverse events (</w:t>
      </w:r>
      <w:r>
        <w:t>abnormal dreams</w:t>
      </w:r>
      <w:r w:rsidRPr="00EF2E85">
        <w:t xml:space="preserve">) </w:t>
      </w:r>
      <w:r w:rsidR="006B369B">
        <w:t>based on updated re-analysis</w:t>
      </w:r>
      <w:r w:rsidRPr="00EF2E85">
        <w:t>, varenicline versus placebo</w:t>
      </w:r>
    </w:p>
    <w:p w14:paraId="0AD0CC62" w14:textId="3C979DAB" w:rsidR="00876F50" w:rsidRDefault="00876F50" w:rsidP="00494113">
      <w:pPr>
        <w:pStyle w:val="FigureFooter"/>
        <w:jc w:val="both"/>
      </w:pPr>
      <w:r>
        <w:t xml:space="preserve">Source: Cahill et al. </w:t>
      </w:r>
      <w:r w:rsidR="006B369B" w:rsidRPr="006B369B">
        <w:t>(2016), Lerman et al. (2015), Littlewood et al. (2017), Chen et al. (2020)</w:t>
      </w:r>
    </w:p>
    <w:p w14:paraId="1F8884B0" w14:textId="7B5E0F90" w:rsidR="00944C58" w:rsidRDefault="00944C58" w:rsidP="00494113">
      <w:pPr>
        <w:pStyle w:val="FigureFooter"/>
        <w:jc w:val="both"/>
      </w:pPr>
      <w:r w:rsidRPr="00944C58">
        <w:t>Note: Excluded the following studies from updated safety re-analysis due to incorrect treatment duration (Williams 2007, Stein 2013, Evins 2014, Ebbert 2015; exceeded standard 12 weeks therapy).</w:t>
      </w:r>
    </w:p>
    <w:p w14:paraId="39E6A72A" w14:textId="77777777" w:rsidR="00B852CE" w:rsidRDefault="00B852CE" w:rsidP="003E0489"/>
    <w:p w14:paraId="371E42B3" w14:textId="7402057B" w:rsidR="00876F50" w:rsidRDefault="00E90BDD" w:rsidP="00876F50">
      <w:pPr>
        <w:keepNext/>
      </w:pPr>
      <w:r>
        <w:rPr>
          <w:noProof/>
        </w:rPr>
        <w:lastRenderedPageBreak/>
        <w:drawing>
          <wp:inline distT="0" distB="0" distL="0" distR="0" wp14:anchorId="41C7F2D8" wp14:editId="6FED9BE2">
            <wp:extent cx="5731510" cy="4098925"/>
            <wp:effectExtent l="0" t="0" r="2540" b="0"/>
            <wp:docPr id="83" name="Picture 83" descr="P159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P15953#yIS1"/>
                    <pic:cNvPicPr/>
                  </pic:nvPicPr>
                  <pic:blipFill>
                    <a:blip r:embed="rId83">
                      <a:extLst>
                        <a:ext uri="{28A0092B-C50C-407E-A947-70E740481C1C}">
                          <a14:useLocalDpi xmlns:a14="http://schemas.microsoft.com/office/drawing/2010/main" val="0"/>
                        </a:ext>
                      </a:extLst>
                    </a:blip>
                    <a:stretch>
                      <a:fillRect/>
                    </a:stretch>
                  </pic:blipFill>
                  <pic:spPr>
                    <a:xfrm>
                      <a:off x="0" y="0"/>
                      <a:ext cx="5731510" cy="4098925"/>
                    </a:xfrm>
                    <a:prstGeom prst="rect">
                      <a:avLst/>
                    </a:prstGeom>
                  </pic:spPr>
                </pic:pic>
              </a:graphicData>
            </a:graphic>
          </wp:inline>
        </w:drawing>
      </w:r>
    </w:p>
    <w:p w14:paraId="1F0FB5F7" w14:textId="6DC51C86" w:rsidR="00B852CE" w:rsidRDefault="00876F50"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59</w:t>
      </w:r>
      <w:r w:rsidR="00BF3F75">
        <w:rPr>
          <w:noProof/>
        </w:rPr>
        <w:fldChar w:fldCharType="end"/>
      </w:r>
      <w:r>
        <w:t xml:space="preserve">: </w:t>
      </w:r>
      <w:r w:rsidRPr="003E27E5">
        <w:t>Results of adverse events (</w:t>
      </w:r>
      <w:r>
        <w:t>headache</w:t>
      </w:r>
      <w:r w:rsidRPr="003E27E5">
        <w:t xml:space="preserve">) </w:t>
      </w:r>
      <w:r w:rsidR="006B369B">
        <w:t>based on updated re-analysis</w:t>
      </w:r>
      <w:r w:rsidRPr="003E27E5">
        <w:t>, varenicline versus placebo</w:t>
      </w:r>
    </w:p>
    <w:p w14:paraId="073D7677" w14:textId="795102B4" w:rsidR="00876F50" w:rsidRDefault="00876F50" w:rsidP="002E4480">
      <w:pPr>
        <w:pStyle w:val="FigureFooter"/>
        <w:jc w:val="both"/>
      </w:pPr>
      <w:r>
        <w:t xml:space="preserve">Source: Cahill et al. </w:t>
      </w:r>
      <w:r w:rsidR="006B369B" w:rsidRPr="006B369B">
        <w:t xml:space="preserve">(2016), Lerman et al. (2015), Littlewood et al. (2017), </w:t>
      </w:r>
      <w:r w:rsidR="005E3372">
        <w:t>Mercie</w:t>
      </w:r>
      <w:r w:rsidR="006B369B" w:rsidRPr="006B369B">
        <w:t xml:space="preserve"> et al. (2018), Chen et al. (2020)</w:t>
      </w:r>
    </w:p>
    <w:p w14:paraId="2D0EDC45" w14:textId="6756BB8A" w:rsidR="005B098A" w:rsidRDefault="005B098A" w:rsidP="002E4480">
      <w:pPr>
        <w:pStyle w:val="FigureFooter"/>
        <w:jc w:val="both"/>
      </w:pPr>
      <w:r w:rsidRPr="005B098A">
        <w:t>Note: Excluded the following studies from updated safety re-analysis due to incorrect treatment duration (Stein 2013, Evins 2014, Ebbert 2015; exceeded standard 12 weeks therapy).</w:t>
      </w:r>
    </w:p>
    <w:p w14:paraId="555E248B" w14:textId="77777777" w:rsidR="00576A9D" w:rsidRDefault="19A98CE9" w:rsidP="00576A9D">
      <w:pPr>
        <w:keepNext/>
      </w:pPr>
      <w:r>
        <w:rPr>
          <w:noProof/>
        </w:rPr>
        <w:lastRenderedPageBreak/>
        <w:drawing>
          <wp:inline distT="0" distB="0" distL="0" distR="0" wp14:anchorId="1447220A" wp14:editId="09820EF6">
            <wp:extent cx="5731510" cy="4786628"/>
            <wp:effectExtent l="0" t="0" r="2540" b="0"/>
            <wp:docPr id="38" name="Picture 38" descr="P159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15957#yIS1"/>
                    <pic:cNvPicPr/>
                  </pic:nvPicPr>
                  <pic:blipFill>
                    <a:blip r:embed="rId84">
                      <a:extLst>
                        <a:ext uri="{28A0092B-C50C-407E-A947-70E740481C1C}">
                          <a14:useLocalDpi xmlns:a14="http://schemas.microsoft.com/office/drawing/2010/main" val="0"/>
                        </a:ext>
                      </a:extLst>
                    </a:blip>
                    <a:stretch>
                      <a:fillRect/>
                    </a:stretch>
                  </pic:blipFill>
                  <pic:spPr>
                    <a:xfrm>
                      <a:off x="0" y="0"/>
                      <a:ext cx="5731510" cy="4786628"/>
                    </a:xfrm>
                    <a:prstGeom prst="rect">
                      <a:avLst/>
                    </a:prstGeom>
                  </pic:spPr>
                </pic:pic>
              </a:graphicData>
            </a:graphic>
          </wp:inline>
        </w:drawing>
      </w:r>
    </w:p>
    <w:p w14:paraId="4B73638D" w14:textId="72D493EF" w:rsidR="00576A9D" w:rsidRDefault="00576A9D"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60</w:t>
      </w:r>
      <w:r w:rsidR="00BF3F75">
        <w:rPr>
          <w:noProof/>
        </w:rPr>
        <w:fldChar w:fldCharType="end"/>
      </w:r>
      <w:r>
        <w:t xml:space="preserve">: </w:t>
      </w:r>
      <w:r w:rsidRPr="004816C1">
        <w:t>Results of adverse events (</w:t>
      </w:r>
      <w:r>
        <w:t>depression</w:t>
      </w:r>
      <w:r w:rsidRPr="004816C1">
        <w:t>) based on updated re-analysis, varenicline versus placebo</w:t>
      </w:r>
    </w:p>
    <w:p w14:paraId="1193C617" w14:textId="32C8B411" w:rsidR="007F5258" w:rsidRDefault="007F5258" w:rsidP="002E4480">
      <w:pPr>
        <w:pStyle w:val="FigureFooter"/>
        <w:jc w:val="both"/>
      </w:pPr>
      <w:r>
        <w:t xml:space="preserve">Source: Cahill et al. </w:t>
      </w:r>
      <w:r w:rsidRPr="006B369B">
        <w:t xml:space="preserve">(2016), Littlewood et al. (2017), </w:t>
      </w:r>
      <w:r>
        <w:t>Mercie</w:t>
      </w:r>
      <w:r w:rsidRPr="006B369B">
        <w:t xml:space="preserve"> et al. (2018), </w:t>
      </w:r>
      <w:r w:rsidR="00C41ED7">
        <w:t xml:space="preserve">Ashare et al. (2019), </w:t>
      </w:r>
      <w:r w:rsidRPr="006B369B">
        <w:t>Chen et al. (2020)</w:t>
      </w:r>
    </w:p>
    <w:p w14:paraId="6D2309B7" w14:textId="5FE47A53" w:rsidR="007F5258" w:rsidRDefault="007F5258" w:rsidP="002E4480">
      <w:pPr>
        <w:pStyle w:val="FigureFooter"/>
        <w:jc w:val="both"/>
      </w:pPr>
      <w:r w:rsidRPr="005B098A">
        <w:t>Note: Excluded the following studies from updated safety re-analysis due to incorrect treatment duration (</w:t>
      </w:r>
      <w:r w:rsidR="00A006E9">
        <w:t xml:space="preserve">Williams 2007, </w:t>
      </w:r>
      <w:r w:rsidRPr="005B098A">
        <w:t>Stein 2013, Evins 2014, Ebbert 2015; exceeded standard 12 weeks therapy).</w:t>
      </w:r>
      <w:r w:rsidR="005F7746">
        <w:t xml:space="preserve"> In Mercie et al. (2018), </w:t>
      </w:r>
      <w:r w:rsidR="00365DBD">
        <w:t xml:space="preserve">depression adverse events were recorded as Grade </w:t>
      </w:r>
      <w:r w:rsidR="00276916">
        <w:t>3</w:t>
      </w:r>
      <w:r w:rsidR="00365DBD">
        <w:t xml:space="preserve"> or </w:t>
      </w:r>
      <w:r w:rsidR="00276916">
        <w:t>4</w:t>
      </w:r>
      <w:r w:rsidR="00365DBD">
        <w:t>.</w:t>
      </w:r>
    </w:p>
    <w:p w14:paraId="4BDEE130" w14:textId="77777777" w:rsidR="00C22D8A" w:rsidRDefault="560E4A31" w:rsidP="00C22D8A">
      <w:pPr>
        <w:keepNext/>
      </w:pPr>
      <w:r>
        <w:rPr>
          <w:noProof/>
        </w:rPr>
        <w:lastRenderedPageBreak/>
        <w:drawing>
          <wp:inline distT="0" distB="0" distL="0" distR="0" wp14:anchorId="65DB0498" wp14:editId="5D84AF88">
            <wp:extent cx="5731510" cy="3481070"/>
            <wp:effectExtent l="0" t="0" r="2540" b="5080"/>
            <wp:docPr id="56" name="Picture 56" descr="P159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P15961#yIS1"/>
                    <pic:cNvPicPr/>
                  </pic:nvPicPr>
                  <pic:blipFill>
                    <a:blip r:embed="rId85">
                      <a:extLst>
                        <a:ext uri="{28A0092B-C50C-407E-A947-70E740481C1C}">
                          <a14:useLocalDpi xmlns:a14="http://schemas.microsoft.com/office/drawing/2010/main" val="0"/>
                        </a:ext>
                      </a:extLst>
                    </a:blip>
                    <a:stretch>
                      <a:fillRect/>
                    </a:stretch>
                  </pic:blipFill>
                  <pic:spPr>
                    <a:xfrm>
                      <a:off x="0" y="0"/>
                      <a:ext cx="5731510" cy="3481070"/>
                    </a:xfrm>
                    <a:prstGeom prst="rect">
                      <a:avLst/>
                    </a:prstGeom>
                  </pic:spPr>
                </pic:pic>
              </a:graphicData>
            </a:graphic>
          </wp:inline>
        </w:drawing>
      </w:r>
    </w:p>
    <w:p w14:paraId="30C24D18" w14:textId="460F833A" w:rsidR="00C22D8A" w:rsidRDefault="00C22D8A"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61</w:t>
      </w:r>
      <w:r w:rsidR="00BF3F75">
        <w:rPr>
          <w:noProof/>
        </w:rPr>
        <w:fldChar w:fldCharType="end"/>
      </w:r>
      <w:r>
        <w:t xml:space="preserve">: </w:t>
      </w:r>
      <w:r w:rsidRPr="00C52FFF">
        <w:t>Results of adverse events (</w:t>
      </w:r>
      <w:r>
        <w:t>suicidal ideation</w:t>
      </w:r>
      <w:r w:rsidRPr="00C52FFF">
        <w:t>) based on updated re-analysis, varenicline versus placebo</w:t>
      </w:r>
    </w:p>
    <w:p w14:paraId="1D25D7A2" w14:textId="7AE292A4" w:rsidR="00C22D8A" w:rsidRDefault="00C22D8A" w:rsidP="002E4480">
      <w:pPr>
        <w:pStyle w:val="FigureFooter"/>
        <w:jc w:val="both"/>
      </w:pPr>
      <w:r>
        <w:t xml:space="preserve">Source: Cahill et al. </w:t>
      </w:r>
      <w:r w:rsidRPr="006B369B">
        <w:t>(2016), L</w:t>
      </w:r>
      <w:r w:rsidR="00BE44E2">
        <w:t>erman et</w:t>
      </w:r>
      <w:r w:rsidRPr="006B369B">
        <w:t xml:space="preserve"> al. (201</w:t>
      </w:r>
      <w:r w:rsidR="00BE44E2">
        <w:t>5</w:t>
      </w:r>
      <w:r w:rsidRPr="006B369B">
        <w:t xml:space="preserve">), </w:t>
      </w:r>
      <w:r>
        <w:t xml:space="preserve">Ashare et al. (2019), </w:t>
      </w:r>
      <w:r w:rsidRPr="006B369B">
        <w:t>Chen et al. (2020)</w:t>
      </w:r>
    </w:p>
    <w:p w14:paraId="4FCE2057" w14:textId="6F530235" w:rsidR="00C22D8A" w:rsidRDefault="00C22D8A" w:rsidP="002E4480">
      <w:pPr>
        <w:pStyle w:val="FigureFooter"/>
        <w:jc w:val="both"/>
      </w:pPr>
      <w:r w:rsidRPr="005B098A">
        <w:t>Note: Excluded the following studies from updated safety re-analysis due to incorrect treatment duration (Stein 2013, Evins 2014, Ebbert 2015; exceeded standard 12 weeks therapy).</w:t>
      </w:r>
    </w:p>
    <w:p w14:paraId="03854FCE" w14:textId="77777777" w:rsidR="00B852CE" w:rsidRDefault="00B852CE" w:rsidP="003E0489"/>
    <w:p w14:paraId="3D4020C8" w14:textId="2EE4F07A" w:rsidR="00876F50" w:rsidRDefault="00D44DA3" w:rsidP="00876F50">
      <w:pPr>
        <w:keepNext/>
      </w:pPr>
      <w:r>
        <w:rPr>
          <w:noProof/>
        </w:rPr>
        <w:lastRenderedPageBreak/>
        <w:drawing>
          <wp:inline distT="0" distB="0" distL="0" distR="0" wp14:anchorId="4D408FBB" wp14:editId="464EEF24">
            <wp:extent cx="5731510" cy="4216400"/>
            <wp:effectExtent l="0" t="0" r="2540" b="0"/>
            <wp:docPr id="81" name="Picture 81" descr="P159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P15966#yIS1"/>
                    <pic:cNvPicPr/>
                  </pic:nvPicPr>
                  <pic:blipFill>
                    <a:blip r:embed="rId86">
                      <a:extLst>
                        <a:ext uri="{28A0092B-C50C-407E-A947-70E740481C1C}">
                          <a14:useLocalDpi xmlns:a14="http://schemas.microsoft.com/office/drawing/2010/main" val="0"/>
                        </a:ext>
                      </a:extLst>
                    </a:blip>
                    <a:stretch>
                      <a:fillRect/>
                    </a:stretch>
                  </pic:blipFill>
                  <pic:spPr>
                    <a:xfrm>
                      <a:off x="0" y="0"/>
                      <a:ext cx="5731510" cy="4216400"/>
                    </a:xfrm>
                    <a:prstGeom prst="rect">
                      <a:avLst/>
                    </a:prstGeom>
                  </pic:spPr>
                </pic:pic>
              </a:graphicData>
            </a:graphic>
          </wp:inline>
        </w:drawing>
      </w:r>
    </w:p>
    <w:p w14:paraId="16D2FD3B" w14:textId="70007604" w:rsidR="00B852CE" w:rsidRDefault="00876F50" w:rsidP="002E4480">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62</w:t>
      </w:r>
      <w:r w:rsidR="00BF3F75">
        <w:rPr>
          <w:noProof/>
        </w:rPr>
        <w:fldChar w:fldCharType="end"/>
      </w:r>
      <w:r>
        <w:t xml:space="preserve">: </w:t>
      </w:r>
      <w:r w:rsidRPr="00D43B05">
        <w:t xml:space="preserve">Results of </w:t>
      </w:r>
      <w:r>
        <w:t xml:space="preserve">serious </w:t>
      </w:r>
      <w:r w:rsidRPr="00D43B05">
        <w:t xml:space="preserve">adverse events </w:t>
      </w:r>
      <w:r w:rsidR="006B369B">
        <w:t>based on updated re-analysis</w:t>
      </w:r>
      <w:r w:rsidRPr="00D43B05">
        <w:t>, varenicline versus placebo</w:t>
      </w:r>
    </w:p>
    <w:p w14:paraId="37DC4FAC" w14:textId="5E884E2C" w:rsidR="00876F50" w:rsidRDefault="00876F50" w:rsidP="002E4480">
      <w:pPr>
        <w:pStyle w:val="FigureFooter"/>
        <w:jc w:val="both"/>
      </w:pPr>
      <w:r>
        <w:t xml:space="preserve">Source: Cahill et al. </w:t>
      </w:r>
      <w:r w:rsidR="006B369B" w:rsidRPr="006B369B">
        <w:t>(2016), Lerman et al. (2015), Littlewood et al. (2017), Windle et al. (2018), Ashare et al. (2019), Chen et al. (2020)</w:t>
      </w:r>
    </w:p>
    <w:p w14:paraId="7794ACAA" w14:textId="77777777" w:rsidR="00403F72" w:rsidRDefault="00403F72" w:rsidP="002E4480">
      <w:pPr>
        <w:pStyle w:val="FigureFooter"/>
        <w:jc w:val="both"/>
      </w:pPr>
      <w:r>
        <w:t xml:space="preserve">Note: </w:t>
      </w:r>
      <w:r w:rsidRPr="001D6CF9">
        <w:t>Excluded the following studies from updated safety re-analysis due to incorrect treatment duration (NCT00828113, Williams 2007, Stein 2013, Evins 2014, Ebbert 2015; exceeded standard 12 weeks therapy).</w:t>
      </w:r>
    </w:p>
    <w:p w14:paraId="777FA974" w14:textId="77777777" w:rsidR="00403F72" w:rsidRDefault="00403F72" w:rsidP="00876F50">
      <w:pPr>
        <w:pStyle w:val="FigureFooter"/>
      </w:pPr>
    </w:p>
    <w:p w14:paraId="16398627" w14:textId="77777777" w:rsidR="00876F50" w:rsidRPr="00876F50" w:rsidRDefault="00876F50" w:rsidP="00876F50"/>
    <w:p w14:paraId="7606342C" w14:textId="77D61C4C" w:rsidR="00876F50" w:rsidRDefault="00630F8C" w:rsidP="00876F50">
      <w:pPr>
        <w:keepNext/>
      </w:pPr>
      <w:r>
        <w:rPr>
          <w:noProof/>
        </w:rPr>
        <w:lastRenderedPageBreak/>
        <w:drawing>
          <wp:inline distT="0" distB="0" distL="0" distR="0" wp14:anchorId="690BE797" wp14:editId="5D38FFC8">
            <wp:extent cx="5731510" cy="3513455"/>
            <wp:effectExtent l="0" t="0" r="2540" b="0"/>
            <wp:docPr id="74" name="Picture 74" descr="P159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P15972#yIS1"/>
                    <pic:cNvPicPr/>
                  </pic:nvPicPr>
                  <pic:blipFill>
                    <a:blip r:embed="rId87">
                      <a:extLst>
                        <a:ext uri="{28A0092B-C50C-407E-A947-70E740481C1C}">
                          <a14:useLocalDpi xmlns:a14="http://schemas.microsoft.com/office/drawing/2010/main" val="0"/>
                        </a:ext>
                      </a:extLst>
                    </a:blip>
                    <a:stretch>
                      <a:fillRect/>
                    </a:stretch>
                  </pic:blipFill>
                  <pic:spPr>
                    <a:xfrm>
                      <a:off x="0" y="0"/>
                      <a:ext cx="5731510" cy="3513455"/>
                    </a:xfrm>
                    <a:prstGeom prst="rect">
                      <a:avLst/>
                    </a:prstGeom>
                  </pic:spPr>
                </pic:pic>
              </a:graphicData>
            </a:graphic>
          </wp:inline>
        </w:drawing>
      </w:r>
    </w:p>
    <w:p w14:paraId="7DE9836E" w14:textId="75175223" w:rsidR="00740A3A" w:rsidRDefault="00876F50"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63</w:t>
      </w:r>
      <w:r w:rsidR="00BF3F75">
        <w:rPr>
          <w:noProof/>
        </w:rPr>
        <w:fldChar w:fldCharType="end"/>
      </w:r>
      <w:r>
        <w:t xml:space="preserve">: </w:t>
      </w:r>
      <w:r w:rsidRPr="004A7FAC">
        <w:t>Results of</w:t>
      </w:r>
      <w:r>
        <w:t xml:space="preserve"> neuropsychiatric</w:t>
      </w:r>
      <w:r w:rsidRPr="004A7FAC">
        <w:t xml:space="preserve"> serious adverse events </w:t>
      </w:r>
      <w:r w:rsidR="006B369B">
        <w:t>based on updated re-analysis</w:t>
      </w:r>
      <w:r w:rsidRPr="004A7FAC">
        <w:t>, varenicline versus placebo</w:t>
      </w:r>
    </w:p>
    <w:p w14:paraId="19E95A98" w14:textId="7F3ACE16" w:rsidR="00876F50" w:rsidRDefault="00876F50" w:rsidP="002E4480">
      <w:pPr>
        <w:pStyle w:val="FigureFooter"/>
        <w:jc w:val="both"/>
      </w:pPr>
      <w:r>
        <w:t xml:space="preserve">Source: Cahill et al. </w:t>
      </w:r>
      <w:r w:rsidR="006B369B" w:rsidRPr="006B369B">
        <w:t>(2016), Lerman et al. (2015), Ashare et al. (2019)</w:t>
      </w:r>
    </w:p>
    <w:p w14:paraId="6429ECA5" w14:textId="62CF4282" w:rsidR="002171ED" w:rsidRDefault="002171ED" w:rsidP="002E4480">
      <w:pPr>
        <w:pStyle w:val="FigureFooter"/>
        <w:jc w:val="both"/>
      </w:pPr>
      <w:r>
        <w:t xml:space="preserve">Note: </w:t>
      </w:r>
      <w:r w:rsidRPr="001D6CF9">
        <w:t>Excluded the following studies from updated safety re-analysis due to incorrect treatment duration (Williams 2007, Stein 2013, Evins 2014; exceeded standard 12 weeks therapy).</w:t>
      </w:r>
    </w:p>
    <w:p w14:paraId="25024BFD" w14:textId="77777777" w:rsidR="002171ED" w:rsidRDefault="002171ED" w:rsidP="00876F50">
      <w:pPr>
        <w:pStyle w:val="FigureFooter"/>
      </w:pPr>
    </w:p>
    <w:p w14:paraId="4DA56FD7" w14:textId="77777777" w:rsidR="00837D57" w:rsidRDefault="00837D57" w:rsidP="003E0489"/>
    <w:p w14:paraId="083C479B" w14:textId="19C73D3B" w:rsidR="00876F50" w:rsidRDefault="00766B02" w:rsidP="00876F50">
      <w:pPr>
        <w:keepNext/>
      </w:pPr>
      <w:r>
        <w:rPr>
          <w:noProof/>
        </w:rPr>
        <w:lastRenderedPageBreak/>
        <w:drawing>
          <wp:inline distT="0" distB="0" distL="0" distR="0" wp14:anchorId="2773CAD8" wp14:editId="6EB99556">
            <wp:extent cx="5731510" cy="3513455"/>
            <wp:effectExtent l="0" t="0" r="2540" b="0"/>
            <wp:docPr id="82" name="Picture 82" descr="P159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P15978#yIS1"/>
                    <pic:cNvPicPr/>
                  </pic:nvPicPr>
                  <pic:blipFill>
                    <a:blip r:embed="rId88">
                      <a:extLst>
                        <a:ext uri="{28A0092B-C50C-407E-A947-70E740481C1C}">
                          <a14:useLocalDpi xmlns:a14="http://schemas.microsoft.com/office/drawing/2010/main" val="0"/>
                        </a:ext>
                      </a:extLst>
                    </a:blip>
                    <a:stretch>
                      <a:fillRect/>
                    </a:stretch>
                  </pic:blipFill>
                  <pic:spPr>
                    <a:xfrm>
                      <a:off x="0" y="0"/>
                      <a:ext cx="5731510" cy="3513455"/>
                    </a:xfrm>
                    <a:prstGeom prst="rect">
                      <a:avLst/>
                    </a:prstGeom>
                  </pic:spPr>
                </pic:pic>
              </a:graphicData>
            </a:graphic>
          </wp:inline>
        </w:drawing>
      </w:r>
    </w:p>
    <w:p w14:paraId="5165E4DA" w14:textId="4765F667" w:rsidR="00740A3A" w:rsidRDefault="00876F50" w:rsidP="00494113">
      <w:pPr>
        <w:pStyle w:val="Caption"/>
        <w:spacing w:before="120" w:after="60"/>
        <w:jc w:val="both"/>
      </w:pPr>
      <w:bookmarkStart w:id="363" w:name="_Ref54089511"/>
      <w:r>
        <w:t xml:space="preserve">Figure </w:t>
      </w:r>
      <w:r w:rsidR="00BF3F75">
        <w:fldChar w:fldCharType="begin"/>
      </w:r>
      <w:r w:rsidR="00BF3F75">
        <w:instrText xml:space="preserve"> SEQ Figure \* ARABIC </w:instrText>
      </w:r>
      <w:r w:rsidR="00BF3F75">
        <w:fldChar w:fldCharType="separate"/>
      </w:r>
      <w:r w:rsidR="00EC5CC7">
        <w:rPr>
          <w:noProof/>
        </w:rPr>
        <w:t>64</w:t>
      </w:r>
      <w:r w:rsidR="00BF3F75">
        <w:rPr>
          <w:noProof/>
        </w:rPr>
        <w:fldChar w:fldCharType="end"/>
      </w:r>
      <w:bookmarkEnd w:id="363"/>
      <w:r>
        <w:t xml:space="preserve">: </w:t>
      </w:r>
      <w:r w:rsidRPr="00D151D8">
        <w:t xml:space="preserve">Results of </w:t>
      </w:r>
      <w:r>
        <w:t xml:space="preserve">cardiac </w:t>
      </w:r>
      <w:r w:rsidRPr="00D151D8">
        <w:t xml:space="preserve">serious adverse events </w:t>
      </w:r>
      <w:r w:rsidR="006B369B">
        <w:t>based on updated re-analysis</w:t>
      </w:r>
      <w:r w:rsidRPr="00D151D8">
        <w:t>, varenicline versus placebo</w:t>
      </w:r>
    </w:p>
    <w:p w14:paraId="722817E3" w14:textId="66775F1D" w:rsidR="00876F50" w:rsidRDefault="00876F50" w:rsidP="002E4480">
      <w:pPr>
        <w:pStyle w:val="FigureFooter"/>
        <w:jc w:val="both"/>
      </w:pPr>
      <w:r>
        <w:t xml:space="preserve">Source: Cahill et al. </w:t>
      </w:r>
      <w:r w:rsidR="006B369B" w:rsidRPr="006B369B">
        <w:t xml:space="preserve">(2016), Lerman et al. (2015), </w:t>
      </w:r>
      <w:r w:rsidR="001E6973">
        <w:t>Benowitz</w:t>
      </w:r>
      <w:r w:rsidR="006B369B" w:rsidRPr="006B369B">
        <w:t xml:space="preserve"> et al. (2018),</w:t>
      </w:r>
      <w:r w:rsidR="001E6973">
        <w:t xml:space="preserve"> </w:t>
      </w:r>
      <w:r w:rsidR="006B369B" w:rsidRPr="006B369B">
        <w:t>Chen et al. (2020)</w:t>
      </w:r>
    </w:p>
    <w:p w14:paraId="0C88CF27" w14:textId="624D21F9" w:rsidR="00B019AD" w:rsidRDefault="00B019AD" w:rsidP="00494113">
      <w:pPr>
        <w:pStyle w:val="FigureFooter"/>
        <w:spacing w:after="120"/>
        <w:contextualSpacing w:val="0"/>
        <w:jc w:val="both"/>
      </w:pPr>
      <w:r>
        <w:t xml:space="preserve">Note: </w:t>
      </w:r>
      <w:r w:rsidRPr="001D6CF9">
        <w:t>Excluded the following studies from updated safety re-analysis due to incorrect treatment duration (Williams 2007, Evins 2014; exceeded standard 12 weeks therapy).</w:t>
      </w:r>
    </w:p>
    <w:p w14:paraId="447A9574" w14:textId="09C51D17" w:rsidR="003F398E" w:rsidRDefault="00143D15" w:rsidP="003F398E">
      <w:pPr>
        <w:keepNext/>
      </w:pPr>
      <w:r>
        <w:rPr>
          <w:noProof/>
        </w:rPr>
        <w:drawing>
          <wp:inline distT="0" distB="0" distL="0" distR="0" wp14:anchorId="3DB1B53E" wp14:editId="60A303D8">
            <wp:extent cx="5731510" cy="1680845"/>
            <wp:effectExtent l="0" t="0" r="2540" b="0"/>
            <wp:docPr id="22" name="Picture 22" descr="P159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15982#yIS1"/>
                    <pic:cNvPicPr/>
                  </pic:nvPicPr>
                  <pic:blipFill>
                    <a:blip r:embed="rId89">
                      <a:extLst>
                        <a:ext uri="{28A0092B-C50C-407E-A947-70E740481C1C}">
                          <a14:useLocalDpi xmlns:a14="http://schemas.microsoft.com/office/drawing/2010/main" val="0"/>
                        </a:ext>
                      </a:extLst>
                    </a:blip>
                    <a:stretch>
                      <a:fillRect/>
                    </a:stretch>
                  </pic:blipFill>
                  <pic:spPr>
                    <a:xfrm>
                      <a:off x="0" y="0"/>
                      <a:ext cx="5731510" cy="1680845"/>
                    </a:xfrm>
                    <a:prstGeom prst="rect">
                      <a:avLst/>
                    </a:prstGeom>
                  </pic:spPr>
                </pic:pic>
              </a:graphicData>
            </a:graphic>
          </wp:inline>
        </w:drawing>
      </w:r>
    </w:p>
    <w:p w14:paraId="63B91C70" w14:textId="2C1DEE8A" w:rsidR="003F398E" w:rsidRDefault="003F398E" w:rsidP="00494113">
      <w:pPr>
        <w:pStyle w:val="Caption"/>
        <w:spacing w:before="120" w:after="60"/>
        <w:jc w:val="both"/>
      </w:pPr>
      <w:bookmarkStart w:id="364" w:name="_Ref54105920"/>
      <w:r>
        <w:t xml:space="preserve">Figure </w:t>
      </w:r>
      <w:r w:rsidR="00BF3F75">
        <w:fldChar w:fldCharType="begin"/>
      </w:r>
      <w:r w:rsidR="00BF3F75">
        <w:instrText xml:space="preserve"> SEQ Figure \* ARABIC </w:instrText>
      </w:r>
      <w:r w:rsidR="00BF3F75">
        <w:fldChar w:fldCharType="separate"/>
      </w:r>
      <w:r w:rsidR="00EC5CC7">
        <w:rPr>
          <w:noProof/>
        </w:rPr>
        <w:t>65</w:t>
      </w:r>
      <w:r w:rsidR="00BF3F75">
        <w:rPr>
          <w:noProof/>
        </w:rPr>
        <w:fldChar w:fldCharType="end"/>
      </w:r>
      <w:bookmarkEnd w:id="364"/>
      <w:r>
        <w:t xml:space="preserve">: </w:t>
      </w:r>
      <w:r w:rsidRPr="00A15406">
        <w:t xml:space="preserve">Results of adverse events in Howes et al. (2020), </w:t>
      </w:r>
      <w:r>
        <w:t xml:space="preserve">varenicline versus </w:t>
      </w:r>
      <w:r w:rsidRPr="00A15406">
        <w:t>bupropion</w:t>
      </w:r>
    </w:p>
    <w:p w14:paraId="6945322B" w14:textId="3E2AA293" w:rsidR="003F398E" w:rsidRDefault="003F398E" w:rsidP="00494113">
      <w:pPr>
        <w:pStyle w:val="FigureFooter"/>
        <w:jc w:val="both"/>
      </w:pPr>
      <w:r>
        <w:t>Source: Howes et al. (2020)</w:t>
      </w:r>
    </w:p>
    <w:p w14:paraId="4C6BBD7C" w14:textId="5C4C4557" w:rsidR="00642EF0" w:rsidRDefault="00642EF0" w:rsidP="00494113">
      <w:pPr>
        <w:pStyle w:val="TableFooter"/>
        <w:jc w:val="both"/>
      </w:pPr>
      <w:r w:rsidRPr="00642EF0">
        <w:t>Note: Howes et al. (2020) presented this comparison as bupropion versus varenicline (inverse) using a fixed-effect model. Re-calculated during the review for varenicline versus bupropion using a random-effect model.</w:t>
      </w:r>
    </w:p>
    <w:p w14:paraId="04ABC330" w14:textId="77777777" w:rsidR="00642EF0" w:rsidRDefault="00642EF0" w:rsidP="003F398E">
      <w:pPr>
        <w:pStyle w:val="FigureFooter"/>
      </w:pPr>
    </w:p>
    <w:p w14:paraId="066845AA" w14:textId="77777777" w:rsidR="003F398E" w:rsidRPr="003F398E" w:rsidRDefault="003F398E" w:rsidP="003F398E"/>
    <w:p w14:paraId="6FBE590A" w14:textId="69F9B652" w:rsidR="003F398E" w:rsidRDefault="00642EF0" w:rsidP="003F398E">
      <w:pPr>
        <w:keepNext/>
      </w:pPr>
      <w:r>
        <w:rPr>
          <w:noProof/>
        </w:rPr>
        <w:lastRenderedPageBreak/>
        <w:drawing>
          <wp:inline distT="0" distB="0" distL="0" distR="0" wp14:anchorId="5857D419" wp14:editId="68D75C31">
            <wp:extent cx="5731510" cy="1575435"/>
            <wp:effectExtent l="0" t="0" r="2540" b="5715"/>
            <wp:docPr id="23" name="Picture 23" descr="P159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15988#yIS1"/>
                    <pic:cNvPicPr/>
                  </pic:nvPicPr>
                  <pic:blipFill>
                    <a:blip r:embed="rId90">
                      <a:extLst>
                        <a:ext uri="{28A0092B-C50C-407E-A947-70E740481C1C}">
                          <a14:useLocalDpi xmlns:a14="http://schemas.microsoft.com/office/drawing/2010/main" val="0"/>
                        </a:ext>
                      </a:extLst>
                    </a:blip>
                    <a:stretch>
                      <a:fillRect/>
                    </a:stretch>
                  </pic:blipFill>
                  <pic:spPr>
                    <a:xfrm>
                      <a:off x="0" y="0"/>
                      <a:ext cx="5731510" cy="1575435"/>
                    </a:xfrm>
                    <a:prstGeom prst="rect">
                      <a:avLst/>
                    </a:prstGeom>
                  </pic:spPr>
                </pic:pic>
              </a:graphicData>
            </a:graphic>
          </wp:inline>
        </w:drawing>
      </w:r>
    </w:p>
    <w:p w14:paraId="010A8DAA" w14:textId="2D186741" w:rsidR="003F398E" w:rsidRDefault="003F398E"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66</w:t>
      </w:r>
      <w:r w:rsidR="00BF3F75">
        <w:rPr>
          <w:noProof/>
        </w:rPr>
        <w:fldChar w:fldCharType="end"/>
      </w:r>
      <w:r>
        <w:t xml:space="preserve">: </w:t>
      </w:r>
      <w:r w:rsidRPr="00335F30">
        <w:t xml:space="preserve">Results of </w:t>
      </w:r>
      <w:r>
        <w:t xml:space="preserve">serious </w:t>
      </w:r>
      <w:r w:rsidRPr="00335F30">
        <w:t>adverse events in Howes et al. (2020), varenicline versus bupropion</w:t>
      </w:r>
    </w:p>
    <w:p w14:paraId="1EA28A4B" w14:textId="12E3C5E2" w:rsidR="003F398E" w:rsidRDefault="003F398E" w:rsidP="00494113">
      <w:pPr>
        <w:pStyle w:val="FigureFooter"/>
        <w:jc w:val="both"/>
      </w:pPr>
      <w:r>
        <w:t>Source: Howes et al. (2020)</w:t>
      </w:r>
    </w:p>
    <w:p w14:paraId="472B18FD" w14:textId="4189664B" w:rsidR="00642EF0" w:rsidRDefault="00642EF0" w:rsidP="00494113">
      <w:pPr>
        <w:pStyle w:val="TableFooter"/>
        <w:spacing w:after="120"/>
        <w:contextualSpacing w:val="0"/>
        <w:jc w:val="both"/>
      </w:pPr>
      <w:r w:rsidRPr="00642EF0">
        <w:t>Note: Howes et al. (2020) presented this comparison as bupropion versus varenicline (inverse) using a fixed-effect model. Re-calculated during the review for varenicline versus bupropion using a random-effect model.</w:t>
      </w:r>
    </w:p>
    <w:p w14:paraId="071C0359" w14:textId="77777777" w:rsidR="003F398E" w:rsidRDefault="003F398E" w:rsidP="00876F50"/>
    <w:p w14:paraId="42D212E9" w14:textId="2BD4661F" w:rsidR="003F398E" w:rsidRDefault="00642EF0" w:rsidP="003F398E">
      <w:pPr>
        <w:keepNext/>
      </w:pPr>
      <w:r>
        <w:rPr>
          <w:noProof/>
        </w:rPr>
        <w:drawing>
          <wp:inline distT="0" distB="0" distL="0" distR="0" wp14:anchorId="3DAFF1C2" wp14:editId="28F8C521">
            <wp:extent cx="5731510" cy="1155700"/>
            <wp:effectExtent l="0" t="0" r="2540" b="6350"/>
            <wp:docPr id="67" name="Picture 67" descr="P159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P15993#yIS1"/>
                    <pic:cNvPicPr/>
                  </pic:nvPicPr>
                  <pic:blipFill>
                    <a:blip r:embed="rId91">
                      <a:extLst>
                        <a:ext uri="{28A0092B-C50C-407E-A947-70E740481C1C}">
                          <a14:useLocalDpi xmlns:a14="http://schemas.microsoft.com/office/drawing/2010/main" val="0"/>
                        </a:ext>
                      </a:extLst>
                    </a:blip>
                    <a:stretch>
                      <a:fillRect/>
                    </a:stretch>
                  </pic:blipFill>
                  <pic:spPr>
                    <a:xfrm>
                      <a:off x="0" y="0"/>
                      <a:ext cx="5731510" cy="1155700"/>
                    </a:xfrm>
                    <a:prstGeom prst="rect">
                      <a:avLst/>
                    </a:prstGeom>
                  </pic:spPr>
                </pic:pic>
              </a:graphicData>
            </a:graphic>
          </wp:inline>
        </w:drawing>
      </w:r>
    </w:p>
    <w:p w14:paraId="3696289A" w14:textId="4E6170BB" w:rsidR="003F398E" w:rsidRDefault="003F398E"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67</w:t>
      </w:r>
      <w:r w:rsidR="00BF3F75">
        <w:rPr>
          <w:noProof/>
        </w:rPr>
        <w:fldChar w:fldCharType="end"/>
      </w:r>
      <w:r>
        <w:t xml:space="preserve">: </w:t>
      </w:r>
      <w:r w:rsidRPr="003D5C78">
        <w:t xml:space="preserve">Results of </w:t>
      </w:r>
      <w:r>
        <w:t xml:space="preserve">psychiatric </w:t>
      </w:r>
      <w:r w:rsidRPr="003D5C78">
        <w:t>adverse events in Howes et al. (2020), varenicline versus bupropion</w:t>
      </w:r>
    </w:p>
    <w:p w14:paraId="5CA01D96" w14:textId="4F2633FF" w:rsidR="003F398E" w:rsidRDefault="003F398E" w:rsidP="00494113">
      <w:pPr>
        <w:pStyle w:val="FigureFooter"/>
        <w:jc w:val="both"/>
      </w:pPr>
      <w:r>
        <w:t>Source: Howes et al. (2020)</w:t>
      </w:r>
    </w:p>
    <w:p w14:paraId="07A594EF" w14:textId="395D54A0" w:rsidR="00642EF0" w:rsidRDefault="00642EF0" w:rsidP="00494113">
      <w:pPr>
        <w:pStyle w:val="TableFooter"/>
        <w:spacing w:after="120"/>
        <w:contextualSpacing w:val="0"/>
        <w:jc w:val="both"/>
      </w:pPr>
      <w:r w:rsidRPr="00642EF0">
        <w:t>Note: Howes et al. (2020) presented this comparison as bupropion versus varenicline (inverse) using a fixed-effect model. Re-calculated during the review for varenicline versus bupropion using a random-effect model.</w:t>
      </w:r>
    </w:p>
    <w:p w14:paraId="32E4E4C8" w14:textId="77777777" w:rsidR="003F398E" w:rsidRDefault="003F398E" w:rsidP="00876F50"/>
    <w:p w14:paraId="47FCCE03" w14:textId="0E5E702F" w:rsidR="003F398E" w:rsidRDefault="00642EF0" w:rsidP="003F398E">
      <w:pPr>
        <w:keepNext/>
      </w:pPr>
      <w:r>
        <w:rPr>
          <w:noProof/>
        </w:rPr>
        <w:drawing>
          <wp:inline distT="0" distB="0" distL="0" distR="0" wp14:anchorId="3BF89084" wp14:editId="6AAF4A18">
            <wp:extent cx="5731510" cy="1785620"/>
            <wp:effectExtent l="0" t="0" r="2540" b="5080"/>
            <wp:docPr id="68" name="Picture 68" descr="P159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P15998#yIS1"/>
                    <pic:cNvPicPr/>
                  </pic:nvPicPr>
                  <pic:blipFill>
                    <a:blip r:embed="rId92">
                      <a:extLst>
                        <a:ext uri="{28A0092B-C50C-407E-A947-70E740481C1C}">
                          <a14:useLocalDpi xmlns:a14="http://schemas.microsoft.com/office/drawing/2010/main" val="0"/>
                        </a:ext>
                      </a:extLst>
                    </a:blip>
                    <a:stretch>
                      <a:fillRect/>
                    </a:stretch>
                  </pic:blipFill>
                  <pic:spPr>
                    <a:xfrm>
                      <a:off x="0" y="0"/>
                      <a:ext cx="5731510" cy="1785620"/>
                    </a:xfrm>
                    <a:prstGeom prst="rect">
                      <a:avLst/>
                    </a:prstGeom>
                  </pic:spPr>
                </pic:pic>
              </a:graphicData>
            </a:graphic>
          </wp:inline>
        </w:drawing>
      </w:r>
    </w:p>
    <w:p w14:paraId="624844EF" w14:textId="35A81AC0" w:rsidR="003F398E" w:rsidRDefault="003F398E" w:rsidP="00494113">
      <w:pPr>
        <w:pStyle w:val="Caption"/>
        <w:spacing w:before="120" w:after="60"/>
        <w:jc w:val="both"/>
      </w:pPr>
      <w:bookmarkStart w:id="365" w:name="_Ref54105921"/>
      <w:r>
        <w:t xml:space="preserve">Figure </w:t>
      </w:r>
      <w:r w:rsidR="00BF3F75">
        <w:fldChar w:fldCharType="begin"/>
      </w:r>
      <w:r w:rsidR="00BF3F75">
        <w:instrText xml:space="preserve"> SEQ Figure \* ARABIC </w:instrText>
      </w:r>
      <w:r w:rsidR="00BF3F75">
        <w:fldChar w:fldCharType="separate"/>
      </w:r>
      <w:r w:rsidR="00EC5CC7">
        <w:rPr>
          <w:noProof/>
        </w:rPr>
        <w:t>68</w:t>
      </w:r>
      <w:r w:rsidR="00BF3F75">
        <w:rPr>
          <w:noProof/>
        </w:rPr>
        <w:fldChar w:fldCharType="end"/>
      </w:r>
      <w:bookmarkEnd w:id="365"/>
      <w:r>
        <w:t xml:space="preserve">: </w:t>
      </w:r>
      <w:r w:rsidRPr="005C00BA">
        <w:t xml:space="preserve">Results of </w:t>
      </w:r>
      <w:r>
        <w:t xml:space="preserve">discontinuation due to </w:t>
      </w:r>
      <w:r w:rsidRPr="005C00BA">
        <w:t>adverse events in Howes et al. (2020), varenicline versus bupropion</w:t>
      </w:r>
    </w:p>
    <w:p w14:paraId="2CA28E9E" w14:textId="4C84502C" w:rsidR="003F398E" w:rsidRDefault="003F398E" w:rsidP="00494113">
      <w:pPr>
        <w:pStyle w:val="FigureFooter"/>
        <w:jc w:val="both"/>
      </w:pPr>
      <w:r>
        <w:t>Source: Howes et al. (2020)</w:t>
      </w:r>
    </w:p>
    <w:p w14:paraId="0B047DDB" w14:textId="3E523348" w:rsidR="00642EF0" w:rsidRDefault="00642EF0" w:rsidP="00494113">
      <w:pPr>
        <w:pStyle w:val="TableFooter"/>
        <w:jc w:val="both"/>
      </w:pPr>
      <w:r w:rsidRPr="00642EF0">
        <w:t>Note: Howes et al. (2020) presented this comparison as bupropion versus varenicline (inverse) using a fixed-effect model. Re-calculated during the review for varenicline versus bupropion using a random-effect model.</w:t>
      </w:r>
    </w:p>
    <w:p w14:paraId="2BF10024" w14:textId="77777777" w:rsidR="009A6A7E" w:rsidRDefault="005509A7" w:rsidP="009A6A7E">
      <w:pPr>
        <w:keepNext/>
      </w:pPr>
      <w:r>
        <w:rPr>
          <w:noProof/>
        </w:rPr>
        <w:lastRenderedPageBreak/>
        <w:drawing>
          <wp:inline distT="0" distB="0" distL="0" distR="0" wp14:anchorId="53463227" wp14:editId="61BA6304">
            <wp:extent cx="5731510" cy="8084818"/>
            <wp:effectExtent l="0" t="0" r="2540" b="0"/>
            <wp:docPr id="19" name="Picture 19" descr="P160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6002#yIS1"/>
                    <pic:cNvPicPr/>
                  </pic:nvPicPr>
                  <pic:blipFill>
                    <a:blip r:embed="rId93">
                      <a:extLst>
                        <a:ext uri="{28A0092B-C50C-407E-A947-70E740481C1C}">
                          <a14:useLocalDpi xmlns:a14="http://schemas.microsoft.com/office/drawing/2010/main" val="0"/>
                        </a:ext>
                      </a:extLst>
                    </a:blip>
                    <a:stretch>
                      <a:fillRect/>
                    </a:stretch>
                  </pic:blipFill>
                  <pic:spPr>
                    <a:xfrm>
                      <a:off x="0" y="0"/>
                      <a:ext cx="5731510" cy="8084818"/>
                    </a:xfrm>
                    <a:prstGeom prst="rect">
                      <a:avLst/>
                    </a:prstGeom>
                  </pic:spPr>
                </pic:pic>
              </a:graphicData>
            </a:graphic>
          </wp:inline>
        </w:drawing>
      </w:r>
    </w:p>
    <w:p w14:paraId="72861869" w14:textId="5658AA87" w:rsidR="005509A7" w:rsidRDefault="009A6A7E" w:rsidP="00494113">
      <w:pPr>
        <w:pStyle w:val="Caption"/>
        <w:spacing w:before="120" w:after="60"/>
        <w:jc w:val="both"/>
      </w:pPr>
      <w:bookmarkStart w:id="366" w:name="_Ref60906549"/>
      <w:r>
        <w:t xml:space="preserve">Figure </w:t>
      </w:r>
      <w:r w:rsidR="00BF3F75">
        <w:fldChar w:fldCharType="begin"/>
      </w:r>
      <w:r w:rsidR="00BF3F75">
        <w:instrText xml:space="preserve"> SEQ Figur</w:instrText>
      </w:r>
      <w:r w:rsidR="00BF3F75">
        <w:instrText xml:space="preserve">e \* ARABIC </w:instrText>
      </w:r>
      <w:r w:rsidR="00BF3F75">
        <w:fldChar w:fldCharType="separate"/>
      </w:r>
      <w:r w:rsidR="00EC5CC7">
        <w:rPr>
          <w:noProof/>
        </w:rPr>
        <w:t>69</w:t>
      </w:r>
      <w:r w:rsidR="00BF3F75">
        <w:rPr>
          <w:noProof/>
        </w:rPr>
        <w:fldChar w:fldCharType="end"/>
      </w:r>
      <w:bookmarkEnd w:id="366"/>
      <w:r>
        <w:t xml:space="preserve">: </w:t>
      </w:r>
      <w:r w:rsidRPr="00336541">
        <w:t xml:space="preserve">Results of smoking cessation of at least six months follow-up </w:t>
      </w:r>
      <w:r>
        <w:t>based on updated re-analysis</w:t>
      </w:r>
      <w:r w:rsidRPr="00336541">
        <w:t xml:space="preserve">, NRT </w:t>
      </w:r>
      <w:r>
        <w:t>gum</w:t>
      </w:r>
      <w:r w:rsidRPr="00336541">
        <w:t xml:space="preserve"> versus placebo</w:t>
      </w:r>
    </w:p>
    <w:p w14:paraId="0CCE4C27" w14:textId="19C9CBA4" w:rsidR="009A6A7E" w:rsidRDefault="009A6A7E" w:rsidP="009A6A7E">
      <w:pPr>
        <w:pStyle w:val="FigureFooter"/>
      </w:pPr>
      <w:r>
        <w:t>Source: Hartma</w:t>
      </w:r>
      <w:r w:rsidR="00413A2B">
        <w:t>n</w:t>
      </w:r>
      <w:r>
        <w:t>n-Boyce et al. (2018)</w:t>
      </w:r>
      <w:r w:rsidR="00161B5B">
        <w:t>, Shiffman et al. (2020)</w:t>
      </w:r>
    </w:p>
    <w:p w14:paraId="5F03AA42" w14:textId="77777777" w:rsidR="00B31B4F" w:rsidRDefault="00B31B4F" w:rsidP="00B31B4F">
      <w:pPr>
        <w:keepNext/>
      </w:pPr>
      <w:r>
        <w:rPr>
          <w:noProof/>
        </w:rPr>
        <w:lastRenderedPageBreak/>
        <w:drawing>
          <wp:inline distT="0" distB="0" distL="0" distR="0" wp14:anchorId="76A40042" wp14:editId="46758AA9">
            <wp:extent cx="5731510" cy="2127250"/>
            <wp:effectExtent l="0" t="0" r="2540" b="6350"/>
            <wp:docPr id="24" name="Picture 24" descr="P160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16005#yIS1"/>
                    <pic:cNvPicPr/>
                  </pic:nvPicPr>
                  <pic:blipFill>
                    <a:blip r:embed="rId94">
                      <a:extLst>
                        <a:ext uri="{28A0092B-C50C-407E-A947-70E740481C1C}">
                          <a14:useLocalDpi xmlns:a14="http://schemas.microsoft.com/office/drawing/2010/main" val="0"/>
                        </a:ext>
                      </a:extLst>
                    </a:blip>
                    <a:stretch>
                      <a:fillRect/>
                    </a:stretch>
                  </pic:blipFill>
                  <pic:spPr>
                    <a:xfrm>
                      <a:off x="0" y="0"/>
                      <a:ext cx="5731510" cy="2127250"/>
                    </a:xfrm>
                    <a:prstGeom prst="rect">
                      <a:avLst/>
                    </a:prstGeom>
                  </pic:spPr>
                </pic:pic>
              </a:graphicData>
            </a:graphic>
          </wp:inline>
        </w:drawing>
      </w:r>
    </w:p>
    <w:p w14:paraId="740E27D5" w14:textId="120A10CA" w:rsidR="00413A2B" w:rsidRDefault="00B31B4F" w:rsidP="00494113">
      <w:pPr>
        <w:pStyle w:val="Caption"/>
        <w:spacing w:before="120" w:after="60"/>
        <w:jc w:val="both"/>
      </w:pPr>
      <w:bookmarkStart w:id="367" w:name="_Ref60906758"/>
      <w:r>
        <w:t xml:space="preserve">Figure </w:t>
      </w:r>
      <w:r w:rsidR="00BF3F75">
        <w:fldChar w:fldCharType="begin"/>
      </w:r>
      <w:r w:rsidR="00BF3F75">
        <w:instrText xml:space="preserve"> SEQ Figure \* ARABIC </w:instrText>
      </w:r>
      <w:r w:rsidR="00BF3F75">
        <w:fldChar w:fldCharType="separate"/>
      </w:r>
      <w:r w:rsidR="00EC5CC7">
        <w:rPr>
          <w:noProof/>
        </w:rPr>
        <w:t>70</w:t>
      </w:r>
      <w:r w:rsidR="00BF3F75">
        <w:rPr>
          <w:noProof/>
        </w:rPr>
        <w:fldChar w:fldCharType="end"/>
      </w:r>
      <w:bookmarkEnd w:id="367"/>
      <w:r>
        <w:t xml:space="preserve">: </w:t>
      </w:r>
      <w:r w:rsidRPr="002B0EAE">
        <w:t>Results of smoking cessation of at least six months follow-up based on updated re-analysis, NRT gum versus placebo</w:t>
      </w:r>
    </w:p>
    <w:p w14:paraId="00CAFD70" w14:textId="29E64C8E" w:rsidR="00B31B4F" w:rsidRPr="00B31B4F" w:rsidRDefault="00B31B4F" w:rsidP="00494113">
      <w:pPr>
        <w:pStyle w:val="FigureFooter"/>
        <w:spacing w:after="120"/>
        <w:contextualSpacing w:val="0"/>
        <w:jc w:val="both"/>
      </w:pPr>
      <w:r>
        <w:t>Source: Hartmann-Boyce et al. (2018)</w:t>
      </w:r>
      <w:r w:rsidR="00161B5B">
        <w:t>, Xiao et al. (2020)</w:t>
      </w:r>
    </w:p>
    <w:p w14:paraId="10819BE7" w14:textId="77777777" w:rsidR="00D31803" w:rsidRDefault="003C37DA" w:rsidP="00D31803">
      <w:pPr>
        <w:keepNext/>
      </w:pPr>
      <w:r>
        <w:rPr>
          <w:noProof/>
        </w:rPr>
        <w:drawing>
          <wp:inline distT="0" distB="0" distL="0" distR="0" wp14:anchorId="429FC173" wp14:editId="2655590D">
            <wp:extent cx="5731510" cy="1321435"/>
            <wp:effectExtent l="0" t="0" r="2540" b="0"/>
            <wp:docPr id="30" name="Picture 30" descr="P1600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16008#yIS1"/>
                    <pic:cNvPicPr/>
                  </pic:nvPicPr>
                  <pic:blipFill>
                    <a:blip r:embed="rId95">
                      <a:extLst>
                        <a:ext uri="{28A0092B-C50C-407E-A947-70E740481C1C}">
                          <a14:useLocalDpi xmlns:a14="http://schemas.microsoft.com/office/drawing/2010/main" val="0"/>
                        </a:ext>
                      </a:extLst>
                    </a:blip>
                    <a:stretch>
                      <a:fillRect/>
                    </a:stretch>
                  </pic:blipFill>
                  <pic:spPr>
                    <a:xfrm>
                      <a:off x="0" y="0"/>
                      <a:ext cx="5731510" cy="1321435"/>
                    </a:xfrm>
                    <a:prstGeom prst="rect">
                      <a:avLst/>
                    </a:prstGeom>
                  </pic:spPr>
                </pic:pic>
              </a:graphicData>
            </a:graphic>
          </wp:inline>
        </w:drawing>
      </w:r>
    </w:p>
    <w:p w14:paraId="033370CC" w14:textId="5B5CF686" w:rsidR="003C37DA" w:rsidRDefault="00D31803" w:rsidP="00494113">
      <w:pPr>
        <w:pStyle w:val="Caption"/>
        <w:spacing w:before="120" w:after="60"/>
        <w:jc w:val="both"/>
      </w:pPr>
      <w:bookmarkStart w:id="368" w:name="_Ref54626416"/>
      <w:r>
        <w:t xml:space="preserve">Figure </w:t>
      </w:r>
      <w:r w:rsidR="00BF3F75">
        <w:fldChar w:fldCharType="begin"/>
      </w:r>
      <w:r w:rsidR="00BF3F75">
        <w:instrText xml:space="preserve"> SEQ Figure \* ARABIC </w:instrText>
      </w:r>
      <w:r w:rsidR="00BF3F75">
        <w:fldChar w:fldCharType="separate"/>
      </w:r>
      <w:r w:rsidR="00EC5CC7">
        <w:rPr>
          <w:noProof/>
        </w:rPr>
        <w:t>71</w:t>
      </w:r>
      <w:r w:rsidR="00BF3F75">
        <w:rPr>
          <w:noProof/>
        </w:rPr>
        <w:fldChar w:fldCharType="end"/>
      </w:r>
      <w:bookmarkEnd w:id="368"/>
      <w:r>
        <w:t xml:space="preserve">: </w:t>
      </w:r>
      <w:r w:rsidRPr="00351550">
        <w:t xml:space="preserve">Results of </w:t>
      </w:r>
      <w:r>
        <w:t>cardiac</w:t>
      </w:r>
      <w:r w:rsidRPr="00351550">
        <w:t xml:space="preserve"> adverse events in </w:t>
      </w:r>
      <w:r>
        <w:t xml:space="preserve">Lindson </w:t>
      </w:r>
      <w:r w:rsidRPr="00351550">
        <w:t>et al. (20</w:t>
      </w:r>
      <w:r>
        <w:t>19</w:t>
      </w:r>
      <w:r w:rsidRPr="00351550">
        <w:t xml:space="preserve">), </w:t>
      </w:r>
      <w:r>
        <w:t>NRT gum versus NRT patch</w:t>
      </w:r>
    </w:p>
    <w:p w14:paraId="77830989" w14:textId="5753E5C2" w:rsidR="00284C29" w:rsidRDefault="003808BC" w:rsidP="00494113">
      <w:pPr>
        <w:pStyle w:val="FigureFooter"/>
        <w:spacing w:after="120"/>
        <w:contextualSpacing w:val="0"/>
        <w:jc w:val="both"/>
      </w:pPr>
      <w:r>
        <w:t>Source: Lindson et al. (2019)</w:t>
      </w:r>
    </w:p>
    <w:p w14:paraId="779110E9" w14:textId="77777777" w:rsidR="00D31803" w:rsidRDefault="00D31803" w:rsidP="00D31803">
      <w:pPr>
        <w:keepNext/>
      </w:pPr>
      <w:r>
        <w:rPr>
          <w:noProof/>
        </w:rPr>
        <w:drawing>
          <wp:inline distT="0" distB="0" distL="0" distR="0" wp14:anchorId="0D93B5FE" wp14:editId="33461187">
            <wp:extent cx="5731510" cy="2090420"/>
            <wp:effectExtent l="0" t="0" r="2540" b="5080"/>
            <wp:docPr id="31" name="Picture 31" descr="P160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16011#yIS1"/>
                    <pic:cNvPicPr/>
                  </pic:nvPicPr>
                  <pic:blipFill>
                    <a:blip r:embed="rId96">
                      <a:extLst>
                        <a:ext uri="{28A0092B-C50C-407E-A947-70E740481C1C}">
                          <a14:useLocalDpi xmlns:a14="http://schemas.microsoft.com/office/drawing/2010/main" val="0"/>
                        </a:ext>
                      </a:extLst>
                    </a:blip>
                    <a:stretch>
                      <a:fillRect/>
                    </a:stretch>
                  </pic:blipFill>
                  <pic:spPr>
                    <a:xfrm>
                      <a:off x="0" y="0"/>
                      <a:ext cx="5731510" cy="2090420"/>
                    </a:xfrm>
                    <a:prstGeom prst="rect">
                      <a:avLst/>
                    </a:prstGeom>
                  </pic:spPr>
                </pic:pic>
              </a:graphicData>
            </a:graphic>
          </wp:inline>
        </w:drawing>
      </w:r>
    </w:p>
    <w:p w14:paraId="1410913C" w14:textId="04F6CEC4" w:rsidR="00D31803" w:rsidRDefault="00D31803"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72</w:t>
      </w:r>
      <w:r w:rsidR="00BF3F75">
        <w:rPr>
          <w:noProof/>
        </w:rPr>
        <w:fldChar w:fldCharType="end"/>
      </w:r>
      <w:r>
        <w:t xml:space="preserve">: </w:t>
      </w:r>
      <w:r w:rsidRPr="00622D19">
        <w:t xml:space="preserve">Results of </w:t>
      </w:r>
      <w:r>
        <w:t>serious</w:t>
      </w:r>
      <w:r w:rsidRPr="00622D19">
        <w:t xml:space="preserve"> adverse events in Lindson et al. (2019), NRT </w:t>
      </w:r>
      <w:r w:rsidR="003808BC">
        <w:t xml:space="preserve">lozenge or </w:t>
      </w:r>
      <w:r w:rsidRPr="00622D19">
        <w:t>gum versus NRT patch</w:t>
      </w:r>
    </w:p>
    <w:p w14:paraId="33EF07B4" w14:textId="4AD3127B" w:rsidR="00D31803" w:rsidRDefault="003808BC" w:rsidP="00494113">
      <w:pPr>
        <w:pStyle w:val="FigureFooter"/>
        <w:jc w:val="both"/>
      </w:pPr>
      <w:r>
        <w:t>Source: Lindson et al. (2019)</w:t>
      </w:r>
    </w:p>
    <w:p w14:paraId="5E695736" w14:textId="77777777" w:rsidR="003808BC" w:rsidRDefault="00D31803" w:rsidP="003808BC">
      <w:pPr>
        <w:keepNext/>
      </w:pPr>
      <w:r>
        <w:rPr>
          <w:noProof/>
        </w:rPr>
        <w:lastRenderedPageBreak/>
        <w:drawing>
          <wp:inline distT="0" distB="0" distL="0" distR="0" wp14:anchorId="54FE9527" wp14:editId="221B3EAA">
            <wp:extent cx="5731510" cy="2912745"/>
            <wp:effectExtent l="0" t="0" r="2540" b="1905"/>
            <wp:docPr id="32" name="Picture 32" descr="P160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16014#yIS1"/>
                    <pic:cNvPicPr/>
                  </pic:nvPicPr>
                  <pic:blipFill>
                    <a:blip r:embed="rId97">
                      <a:extLst>
                        <a:ext uri="{28A0092B-C50C-407E-A947-70E740481C1C}">
                          <a14:useLocalDpi xmlns:a14="http://schemas.microsoft.com/office/drawing/2010/main" val="0"/>
                        </a:ext>
                      </a:extLst>
                    </a:blip>
                    <a:stretch>
                      <a:fillRect/>
                    </a:stretch>
                  </pic:blipFill>
                  <pic:spPr>
                    <a:xfrm>
                      <a:off x="0" y="0"/>
                      <a:ext cx="5731510" cy="2912745"/>
                    </a:xfrm>
                    <a:prstGeom prst="rect">
                      <a:avLst/>
                    </a:prstGeom>
                  </pic:spPr>
                </pic:pic>
              </a:graphicData>
            </a:graphic>
          </wp:inline>
        </w:drawing>
      </w:r>
    </w:p>
    <w:p w14:paraId="0DA10949" w14:textId="511AEC36" w:rsidR="00D31803" w:rsidRDefault="003808BC" w:rsidP="00494113">
      <w:pPr>
        <w:pStyle w:val="Caption"/>
        <w:spacing w:before="120" w:after="60"/>
        <w:jc w:val="both"/>
      </w:pPr>
      <w:bookmarkStart w:id="369" w:name="_Ref54626417"/>
      <w:r>
        <w:t xml:space="preserve">Figure </w:t>
      </w:r>
      <w:r w:rsidR="00BF3F75">
        <w:fldChar w:fldCharType="begin"/>
      </w:r>
      <w:r w:rsidR="00BF3F75">
        <w:instrText xml:space="preserve"> SEQ Figure \* ARABIC </w:instrText>
      </w:r>
      <w:r w:rsidR="00BF3F75">
        <w:fldChar w:fldCharType="separate"/>
      </w:r>
      <w:r w:rsidR="00EC5CC7">
        <w:rPr>
          <w:noProof/>
        </w:rPr>
        <w:t>73</w:t>
      </w:r>
      <w:r w:rsidR="00BF3F75">
        <w:rPr>
          <w:noProof/>
        </w:rPr>
        <w:fldChar w:fldCharType="end"/>
      </w:r>
      <w:bookmarkEnd w:id="369"/>
      <w:r>
        <w:t xml:space="preserve">: </w:t>
      </w:r>
      <w:r w:rsidRPr="00B36F74">
        <w:t xml:space="preserve">Results of </w:t>
      </w:r>
      <w:r>
        <w:t xml:space="preserve">withdrawals due to treatment </w:t>
      </w:r>
      <w:r w:rsidRPr="00B36F74">
        <w:t xml:space="preserve">in Lindson et al. (2019), NRT </w:t>
      </w:r>
      <w:r>
        <w:t xml:space="preserve">lozenge or </w:t>
      </w:r>
      <w:r w:rsidRPr="00B36F74">
        <w:t>gum versus NRT patch</w:t>
      </w:r>
    </w:p>
    <w:p w14:paraId="1C38FA72" w14:textId="77777777" w:rsidR="003808BC" w:rsidRDefault="003808BC" w:rsidP="00494113">
      <w:pPr>
        <w:pStyle w:val="FigureFooter"/>
        <w:spacing w:after="120"/>
        <w:contextualSpacing w:val="0"/>
        <w:jc w:val="both"/>
      </w:pPr>
      <w:r>
        <w:t>Source: Lindson et al. (2019)</w:t>
      </w:r>
    </w:p>
    <w:p w14:paraId="69ECFE9C" w14:textId="77777777" w:rsidR="00F26514" w:rsidRDefault="00F26514" w:rsidP="00F26514">
      <w:pPr>
        <w:keepNext/>
      </w:pPr>
      <w:r>
        <w:rPr>
          <w:noProof/>
        </w:rPr>
        <w:drawing>
          <wp:inline distT="0" distB="0" distL="0" distR="0" wp14:anchorId="76CC5476" wp14:editId="0A3FB257">
            <wp:extent cx="5731510" cy="1180465"/>
            <wp:effectExtent l="0" t="0" r="2540" b="635"/>
            <wp:docPr id="13" name="Picture 13" descr="P160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6017#yIS1"/>
                    <pic:cNvPicPr/>
                  </pic:nvPicPr>
                  <pic:blipFill>
                    <a:blip r:embed="rId98">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14:paraId="1C5C4E6A" w14:textId="6FCC3368" w:rsidR="003808BC" w:rsidRDefault="00F26514" w:rsidP="00494113">
      <w:pPr>
        <w:pStyle w:val="Caption"/>
        <w:spacing w:before="120" w:after="60"/>
        <w:jc w:val="both"/>
      </w:pPr>
      <w:bookmarkStart w:id="370" w:name="_Ref61252137"/>
      <w:r>
        <w:t xml:space="preserve">Figure </w:t>
      </w:r>
      <w:r w:rsidR="00BF3F75">
        <w:fldChar w:fldCharType="begin"/>
      </w:r>
      <w:r w:rsidR="00BF3F75">
        <w:instrText xml:space="preserve"> SEQ Figure \* ARABIC </w:instrText>
      </w:r>
      <w:r w:rsidR="00BF3F75">
        <w:fldChar w:fldCharType="separate"/>
      </w:r>
      <w:r w:rsidR="00EC5CC7">
        <w:rPr>
          <w:noProof/>
        </w:rPr>
        <w:t>74</w:t>
      </w:r>
      <w:r w:rsidR="00BF3F75">
        <w:rPr>
          <w:noProof/>
        </w:rPr>
        <w:fldChar w:fldCharType="end"/>
      </w:r>
      <w:bookmarkEnd w:id="370"/>
      <w:r>
        <w:t>: Results of adverse events</w:t>
      </w:r>
      <w:r w:rsidR="003D744C">
        <w:t xml:space="preserve"> based on </w:t>
      </w:r>
      <w:r w:rsidR="00A63ACE">
        <w:t>Gonzales (2001) and Selby (2003)</w:t>
      </w:r>
      <w:r>
        <w:t>, bupropion versus placebo</w:t>
      </w:r>
    </w:p>
    <w:p w14:paraId="530AB8F9" w14:textId="09D8128B" w:rsidR="00F26514" w:rsidRDefault="00F26514" w:rsidP="00494113">
      <w:pPr>
        <w:pStyle w:val="FigureFooter"/>
        <w:spacing w:after="120"/>
        <w:contextualSpacing w:val="0"/>
        <w:jc w:val="both"/>
      </w:pPr>
      <w:r>
        <w:t>Source: Howes et al. (2020), Gonzales et al. (2001), Selby et al. (2003)</w:t>
      </w:r>
    </w:p>
    <w:p w14:paraId="221158B3" w14:textId="77777777" w:rsidR="00A63ACE" w:rsidRDefault="003D744C" w:rsidP="00A63ACE">
      <w:pPr>
        <w:keepNext/>
      </w:pPr>
      <w:r>
        <w:rPr>
          <w:noProof/>
        </w:rPr>
        <w:drawing>
          <wp:inline distT="0" distB="0" distL="0" distR="0" wp14:anchorId="78C8E3FB" wp14:editId="48A95805">
            <wp:extent cx="5731510" cy="1180465"/>
            <wp:effectExtent l="0" t="0" r="2540" b="635"/>
            <wp:docPr id="26" name="Picture 26" descr="P160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16020#yIS1"/>
                    <pic:cNvPicPr/>
                  </pic:nvPicPr>
                  <pic:blipFill>
                    <a:blip r:embed="rId99">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inline>
        </w:drawing>
      </w:r>
    </w:p>
    <w:p w14:paraId="2191021C" w14:textId="35D13A4A" w:rsidR="00F26514" w:rsidRDefault="00A63ACE" w:rsidP="00494113">
      <w:pPr>
        <w:pStyle w:val="Caption"/>
        <w:spacing w:before="120" w:after="60"/>
        <w:jc w:val="both"/>
      </w:pPr>
      <w:bookmarkStart w:id="371" w:name="_Ref61252140"/>
      <w:r>
        <w:t xml:space="preserve">Figure </w:t>
      </w:r>
      <w:r w:rsidR="00BF3F75">
        <w:fldChar w:fldCharType="begin"/>
      </w:r>
      <w:r w:rsidR="00BF3F75">
        <w:instrText xml:space="preserve"> SEQ Figure \* ARABIC </w:instrText>
      </w:r>
      <w:r w:rsidR="00BF3F75">
        <w:fldChar w:fldCharType="separate"/>
      </w:r>
      <w:r w:rsidR="00EC5CC7">
        <w:rPr>
          <w:noProof/>
        </w:rPr>
        <w:t>75</w:t>
      </w:r>
      <w:r w:rsidR="00BF3F75">
        <w:rPr>
          <w:noProof/>
        </w:rPr>
        <w:fldChar w:fldCharType="end"/>
      </w:r>
      <w:bookmarkEnd w:id="371"/>
      <w:r>
        <w:t>: Results of serious adverse events based on Gonzales (2001) and Selby (2003), bupropion versus placebo</w:t>
      </w:r>
    </w:p>
    <w:p w14:paraId="3FF1E8B5" w14:textId="77777777" w:rsidR="00A63ACE" w:rsidRDefault="00A63ACE" w:rsidP="00494113">
      <w:pPr>
        <w:pStyle w:val="FigureFooter"/>
        <w:jc w:val="both"/>
      </w:pPr>
      <w:r>
        <w:t>Source: Howes et al. (2020), Gonzales et al. (2001), Selby et al. (2003)</w:t>
      </w:r>
    </w:p>
    <w:p w14:paraId="07721DE7" w14:textId="77777777" w:rsidR="00A63ACE" w:rsidRPr="00A63ACE" w:rsidRDefault="00A63ACE" w:rsidP="00A63ACE"/>
    <w:p w14:paraId="0501D09E" w14:textId="77777777" w:rsidR="00F26514" w:rsidRDefault="00F26514" w:rsidP="003808BC"/>
    <w:p w14:paraId="0D59D100" w14:textId="54790423" w:rsidR="00A22BF4" w:rsidRDefault="72234F8D" w:rsidP="00A22BF4">
      <w:pPr>
        <w:keepNext/>
      </w:pPr>
      <w:r>
        <w:rPr>
          <w:noProof/>
        </w:rPr>
        <w:lastRenderedPageBreak/>
        <w:drawing>
          <wp:inline distT="0" distB="0" distL="0" distR="0" wp14:anchorId="07E40670" wp14:editId="23A29C4C">
            <wp:extent cx="5731510" cy="1151890"/>
            <wp:effectExtent l="0" t="0" r="2540" b="0"/>
            <wp:docPr id="63" name="Picture 63" descr="P160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P16025#yIS1"/>
                    <pic:cNvPicPr/>
                  </pic:nvPicPr>
                  <pic:blipFill>
                    <a:blip r:embed="rId100">
                      <a:extLst>
                        <a:ext uri="{28A0092B-C50C-407E-A947-70E740481C1C}">
                          <a14:useLocalDpi xmlns:a14="http://schemas.microsoft.com/office/drawing/2010/main" val="0"/>
                        </a:ext>
                      </a:extLst>
                    </a:blip>
                    <a:stretch>
                      <a:fillRect/>
                    </a:stretch>
                  </pic:blipFill>
                  <pic:spPr>
                    <a:xfrm>
                      <a:off x="0" y="0"/>
                      <a:ext cx="5731510" cy="1151890"/>
                    </a:xfrm>
                    <a:prstGeom prst="rect">
                      <a:avLst/>
                    </a:prstGeom>
                  </pic:spPr>
                </pic:pic>
              </a:graphicData>
            </a:graphic>
          </wp:inline>
        </w:drawing>
      </w:r>
      <w:r w:rsidRPr="59E61C1C">
        <w:rPr>
          <w:noProof/>
        </w:rPr>
        <w:t xml:space="preserve"> </w:t>
      </w:r>
    </w:p>
    <w:p w14:paraId="6D23A573" w14:textId="74A0A8E9" w:rsidR="004259CB" w:rsidRDefault="00A22BF4" w:rsidP="00494113">
      <w:pPr>
        <w:pStyle w:val="Caption"/>
        <w:spacing w:before="120" w:after="60"/>
        <w:jc w:val="both"/>
      </w:pPr>
      <w:bookmarkStart w:id="372" w:name="_Ref55308182"/>
      <w:r>
        <w:t xml:space="preserve">Figure </w:t>
      </w:r>
      <w:r w:rsidR="00BF3F75">
        <w:fldChar w:fldCharType="begin"/>
      </w:r>
      <w:r w:rsidR="00BF3F75">
        <w:instrText xml:space="preserve"> SEQ Figure \* ARABIC </w:instrText>
      </w:r>
      <w:r w:rsidR="00BF3F75">
        <w:fldChar w:fldCharType="separate"/>
      </w:r>
      <w:r w:rsidR="00EC5CC7">
        <w:rPr>
          <w:noProof/>
        </w:rPr>
        <w:t>76</w:t>
      </w:r>
      <w:r w:rsidR="00BF3F75">
        <w:rPr>
          <w:noProof/>
        </w:rPr>
        <w:fldChar w:fldCharType="end"/>
      </w:r>
      <w:bookmarkEnd w:id="372"/>
      <w:r>
        <w:t xml:space="preserve">: </w:t>
      </w:r>
      <w:r w:rsidRPr="00047505">
        <w:t xml:space="preserve">Results of cardiac adverse events in Lindson et al. (2019), </w:t>
      </w:r>
      <w:r>
        <w:t xml:space="preserve">combination </w:t>
      </w:r>
      <w:r w:rsidRPr="00047505">
        <w:t xml:space="preserve">NRT versus NRT </w:t>
      </w:r>
      <w:r>
        <w:t>monotherapy</w:t>
      </w:r>
    </w:p>
    <w:p w14:paraId="5BFC2549" w14:textId="77777777" w:rsidR="00A22BF4" w:rsidRDefault="00A22BF4" w:rsidP="00494113">
      <w:pPr>
        <w:pStyle w:val="FigureFooter"/>
        <w:spacing w:after="120"/>
        <w:contextualSpacing w:val="0"/>
        <w:jc w:val="both"/>
      </w:pPr>
      <w:r>
        <w:t>Source: Lindson et al. (2019)</w:t>
      </w:r>
    </w:p>
    <w:p w14:paraId="663DBA1C" w14:textId="77777777" w:rsidR="00A22BF4" w:rsidRDefault="00EC5387" w:rsidP="00A22BF4">
      <w:pPr>
        <w:keepNext/>
      </w:pPr>
      <w:r>
        <w:rPr>
          <w:noProof/>
        </w:rPr>
        <w:drawing>
          <wp:inline distT="0" distB="0" distL="0" distR="0" wp14:anchorId="796675AF" wp14:editId="3052D957">
            <wp:extent cx="5731510" cy="2960370"/>
            <wp:effectExtent l="0" t="0" r="2540" b="0"/>
            <wp:docPr id="39" name="Picture 39" descr="P160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16028#yIS1"/>
                    <pic:cNvPicPr/>
                  </pic:nvPicPr>
                  <pic:blipFill>
                    <a:blip r:embed="rId101">
                      <a:extLst>
                        <a:ext uri="{28A0092B-C50C-407E-A947-70E740481C1C}">
                          <a14:useLocalDpi xmlns:a14="http://schemas.microsoft.com/office/drawing/2010/main" val="0"/>
                        </a:ext>
                      </a:extLst>
                    </a:blip>
                    <a:stretch>
                      <a:fillRect/>
                    </a:stretch>
                  </pic:blipFill>
                  <pic:spPr>
                    <a:xfrm>
                      <a:off x="0" y="0"/>
                      <a:ext cx="5731510" cy="2960370"/>
                    </a:xfrm>
                    <a:prstGeom prst="rect">
                      <a:avLst/>
                    </a:prstGeom>
                  </pic:spPr>
                </pic:pic>
              </a:graphicData>
            </a:graphic>
          </wp:inline>
        </w:drawing>
      </w:r>
    </w:p>
    <w:p w14:paraId="6DDFD65A" w14:textId="3815FBE2" w:rsidR="00EC5387" w:rsidRDefault="00A22BF4" w:rsidP="00494113">
      <w:pPr>
        <w:pStyle w:val="Caption"/>
        <w:spacing w:before="120" w:after="60"/>
        <w:jc w:val="both"/>
      </w:pPr>
      <w:r>
        <w:t xml:space="preserve">Figure </w:t>
      </w:r>
      <w:r w:rsidR="00BF3F75">
        <w:fldChar w:fldCharType="begin"/>
      </w:r>
      <w:r w:rsidR="00BF3F75">
        <w:instrText xml:space="preserve"> SEQ F</w:instrText>
      </w:r>
      <w:r w:rsidR="00BF3F75">
        <w:instrText xml:space="preserve">igure \* ARABIC </w:instrText>
      </w:r>
      <w:r w:rsidR="00BF3F75">
        <w:fldChar w:fldCharType="separate"/>
      </w:r>
      <w:r w:rsidR="00EC5CC7">
        <w:rPr>
          <w:noProof/>
        </w:rPr>
        <w:t>77</w:t>
      </w:r>
      <w:r w:rsidR="00BF3F75">
        <w:rPr>
          <w:noProof/>
        </w:rPr>
        <w:fldChar w:fldCharType="end"/>
      </w:r>
      <w:r>
        <w:t xml:space="preserve">: </w:t>
      </w:r>
      <w:r w:rsidRPr="008D17FC">
        <w:t xml:space="preserve">Results of serious adverse events in Lindson et al. (2019), </w:t>
      </w:r>
      <w:r>
        <w:t xml:space="preserve">combination </w:t>
      </w:r>
      <w:r w:rsidRPr="008D17FC">
        <w:t xml:space="preserve">NRT versus NRT </w:t>
      </w:r>
      <w:r>
        <w:t>monotherapy</w:t>
      </w:r>
    </w:p>
    <w:p w14:paraId="5ED0509F" w14:textId="77777777" w:rsidR="00A22BF4" w:rsidRDefault="00A22BF4" w:rsidP="00494113">
      <w:pPr>
        <w:pStyle w:val="FigureFooter"/>
        <w:jc w:val="both"/>
      </w:pPr>
      <w:r>
        <w:t>Source: Lindson et al. (2019)</w:t>
      </w:r>
    </w:p>
    <w:p w14:paraId="229124E5" w14:textId="77777777" w:rsidR="00A22BF4" w:rsidRDefault="00A22BF4" w:rsidP="003808BC"/>
    <w:p w14:paraId="5F96BEBE" w14:textId="77777777" w:rsidR="00A22BF4" w:rsidRDefault="00A22BF4" w:rsidP="00A22BF4">
      <w:pPr>
        <w:keepNext/>
      </w:pPr>
      <w:r>
        <w:rPr>
          <w:noProof/>
        </w:rPr>
        <w:lastRenderedPageBreak/>
        <w:drawing>
          <wp:inline distT="0" distB="0" distL="0" distR="0" wp14:anchorId="2626DE44" wp14:editId="7568AE40">
            <wp:extent cx="5731510" cy="3256915"/>
            <wp:effectExtent l="0" t="0" r="2540" b="635"/>
            <wp:docPr id="40" name="Picture 40" descr="P160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16032#yIS1"/>
                    <pic:cNvPicPr/>
                  </pic:nvPicPr>
                  <pic:blipFill>
                    <a:blip r:embed="rId102">
                      <a:extLst>
                        <a:ext uri="{28A0092B-C50C-407E-A947-70E740481C1C}">
                          <a14:useLocalDpi xmlns:a14="http://schemas.microsoft.com/office/drawing/2010/main" val="0"/>
                        </a:ext>
                      </a:extLst>
                    </a:blip>
                    <a:stretch>
                      <a:fillRect/>
                    </a:stretch>
                  </pic:blipFill>
                  <pic:spPr>
                    <a:xfrm>
                      <a:off x="0" y="0"/>
                      <a:ext cx="5731510" cy="3256915"/>
                    </a:xfrm>
                    <a:prstGeom prst="rect">
                      <a:avLst/>
                    </a:prstGeom>
                  </pic:spPr>
                </pic:pic>
              </a:graphicData>
            </a:graphic>
          </wp:inline>
        </w:drawing>
      </w:r>
    </w:p>
    <w:p w14:paraId="21CE7695" w14:textId="2CB2EC57" w:rsidR="00A22BF4" w:rsidRDefault="00A22BF4" w:rsidP="00494113">
      <w:pPr>
        <w:pStyle w:val="Caption"/>
        <w:spacing w:before="120" w:after="60"/>
        <w:jc w:val="both"/>
      </w:pPr>
      <w:bookmarkStart w:id="373" w:name="_Ref55308183"/>
      <w:r>
        <w:t xml:space="preserve">Figure </w:t>
      </w:r>
      <w:r w:rsidR="00BF3F75">
        <w:fldChar w:fldCharType="begin"/>
      </w:r>
      <w:r w:rsidR="00BF3F75">
        <w:instrText xml:space="preserve"> SEQ Figure \* ARABIC </w:instrText>
      </w:r>
      <w:r w:rsidR="00BF3F75">
        <w:fldChar w:fldCharType="separate"/>
      </w:r>
      <w:r w:rsidR="00EC5CC7">
        <w:rPr>
          <w:noProof/>
        </w:rPr>
        <w:t>78</w:t>
      </w:r>
      <w:r w:rsidR="00BF3F75">
        <w:rPr>
          <w:noProof/>
        </w:rPr>
        <w:fldChar w:fldCharType="end"/>
      </w:r>
      <w:bookmarkEnd w:id="373"/>
      <w:r>
        <w:t xml:space="preserve">: </w:t>
      </w:r>
      <w:r w:rsidRPr="00362EC8">
        <w:t xml:space="preserve">Results of withdrawals due to treatment in Lindson et al. (2019), </w:t>
      </w:r>
      <w:r>
        <w:t>combination NR</w:t>
      </w:r>
      <w:r w:rsidRPr="00362EC8">
        <w:t xml:space="preserve">T </w:t>
      </w:r>
      <w:r>
        <w:t>v</w:t>
      </w:r>
      <w:r w:rsidRPr="00362EC8">
        <w:t xml:space="preserve">ersus NRT </w:t>
      </w:r>
      <w:r>
        <w:t>monotherapy</w:t>
      </w:r>
    </w:p>
    <w:p w14:paraId="01FAD158" w14:textId="77777777" w:rsidR="00A22BF4" w:rsidRDefault="00A22BF4" w:rsidP="00494113">
      <w:pPr>
        <w:pStyle w:val="FigureFooter"/>
        <w:spacing w:after="120"/>
        <w:contextualSpacing w:val="0"/>
        <w:jc w:val="both"/>
      </w:pPr>
      <w:r>
        <w:t>Source: Lindson et al. (2019)</w:t>
      </w:r>
    </w:p>
    <w:p w14:paraId="3EF9A130" w14:textId="77777777" w:rsidR="002E5F24" w:rsidRDefault="002E5F24" w:rsidP="002E5F24">
      <w:pPr>
        <w:keepNext/>
      </w:pPr>
      <w:r>
        <w:rPr>
          <w:noProof/>
        </w:rPr>
        <w:drawing>
          <wp:inline distT="0" distB="0" distL="0" distR="0" wp14:anchorId="573B6DF2" wp14:editId="4BF1D0AD">
            <wp:extent cx="5731510" cy="1833880"/>
            <wp:effectExtent l="0" t="0" r="2540" b="0"/>
            <wp:docPr id="45" name="Picture 45" descr="P160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16035#yIS1"/>
                    <pic:cNvPicPr/>
                  </pic:nvPicPr>
                  <pic:blipFill>
                    <a:blip r:embed="rId103">
                      <a:extLst>
                        <a:ext uri="{28A0092B-C50C-407E-A947-70E740481C1C}">
                          <a14:useLocalDpi xmlns:a14="http://schemas.microsoft.com/office/drawing/2010/main" val="0"/>
                        </a:ext>
                      </a:extLst>
                    </a:blip>
                    <a:stretch>
                      <a:fillRect/>
                    </a:stretch>
                  </pic:blipFill>
                  <pic:spPr>
                    <a:xfrm>
                      <a:off x="0" y="0"/>
                      <a:ext cx="5731510" cy="1833880"/>
                    </a:xfrm>
                    <a:prstGeom prst="rect">
                      <a:avLst/>
                    </a:prstGeom>
                  </pic:spPr>
                </pic:pic>
              </a:graphicData>
            </a:graphic>
          </wp:inline>
        </w:drawing>
      </w:r>
    </w:p>
    <w:p w14:paraId="63A91B63" w14:textId="54862252" w:rsidR="002E5F24" w:rsidRDefault="002E5F24" w:rsidP="00494113">
      <w:pPr>
        <w:pStyle w:val="Caption"/>
        <w:spacing w:before="120" w:after="60"/>
        <w:jc w:val="both"/>
      </w:pPr>
      <w:bookmarkStart w:id="374" w:name="_Ref55487439"/>
      <w:r>
        <w:t xml:space="preserve">Figure </w:t>
      </w:r>
      <w:r w:rsidR="00BF3F75">
        <w:fldChar w:fldCharType="begin"/>
      </w:r>
      <w:r w:rsidR="00BF3F75">
        <w:instrText xml:space="preserve"> SEQ Figure \* ARABIC </w:instrText>
      </w:r>
      <w:r w:rsidR="00BF3F75">
        <w:fldChar w:fldCharType="separate"/>
      </w:r>
      <w:r w:rsidR="00EC5CC7">
        <w:rPr>
          <w:noProof/>
        </w:rPr>
        <w:t>79</w:t>
      </w:r>
      <w:r w:rsidR="00BF3F75">
        <w:rPr>
          <w:noProof/>
        </w:rPr>
        <w:fldChar w:fldCharType="end"/>
      </w:r>
      <w:bookmarkEnd w:id="374"/>
      <w:r>
        <w:t xml:space="preserve">: </w:t>
      </w:r>
      <w:r w:rsidRPr="00685F20">
        <w:t xml:space="preserve">Results of adverse events in Howes et al. (2020), </w:t>
      </w:r>
      <w:r>
        <w:t xml:space="preserve">varenicline plus </w:t>
      </w:r>
      <w:r w:rsidRPr="00685F20">
        <w:t xml:space="preserve">bupropion versus </w:t>
      </w:r>
      <w:r>
        <w:t>varenicline alone</w:t>
      </w:r>
    </w:p>
    <w:p w14:paraId="430C5EFD" w14:textId="77777777" w:rsidR="002E5F24" w:rsidRDefault="002E5F24" w:rsidP="00494113">
      <w:pPr>
        <w:pStyle w:val="FigureFooter"/>
        <w:jc w:val="both"/>
      </w:pPr>
      <w:r>
        <w:t>Source: Howes et al. (2020)</w:t>
      </w:r>
    </w:p>
    <w:p w14:paraId="6E5A3721" w14:textId="77777777" w:rsidR="002E5F24" w:rsidRDefault="002E5F24" w:rsidP="00A22BF4"/>
    <w:p w14:paraId="469BB1B5" w14:textId="7FCD90AC" w:rsidR="002E5F24" w:rsidRDefault="002E5F24" w:rsidP="002E5F24">
      <w:pPr>
        <w:keepNext/>
      </w:pPr>
      <w:r>
        <w:rPr>
          <w:noProof/>
        </w:rPr>
        <w:lastRenderedPageBreak/>
        <w:drawing>
          <wp:inline distT="0" distB="0" distL="0" distR="0" wp14:anchorId="0C341E08" wp14:editId="16DF4767">
            <wp:extent cx="5731510" cy="1955165"/>
            <wp:effectExtent l="0" t="0" r="2540" b="6985"/>
            <wp:docPr id="47" name="Picture 47" descr="P160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16039#yIS1"/>
                    <pic:cNvPicPr/>
                  </pic:nvPicPr>
                  <pic:blipFill>
                    <a:blip r:embed="rId104">
                      <a:extLst>
                        <a:ext uri="{28A0092B-C50C-407E-A947-70E740481C1C}">
                          <a14:useLocalDpi xmlns:a14="http://schemas.microsoft.com/office/drawing/2010/main" val="0"/>
                        </a:ext>
                      </a:extLst>
                    </a:blip>
                    <a:stretch>
                      <a:fillRect/>
                    </a:stretch>
                  </pic:blipFill>
                  <pic:spPr>
                    <a:xfrm>
                      <a:off x="0" y="0"/>
                      <a:ext cx="5731510" cy="1955165"/>
                    </a:xfrm>
                    <a:prstGeom prst="rect">
                      <a:avLst/>
                    </a:prstGeom>
                  </pic:spPr>
                </pic:pic>
              </a:graphicData>
            </a:graphic>
          </wp:inline>
        </w:drawing>
      </w:r>
    </w:p>
    <w:p w14:paraId="6C671F20" w14:textId="737D88C2" w:rsidR="002E5F24" w:rsidRDefault="002E5F24"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80</w:t>
      </w:r>
      <w:r w:rsidR="00BF3F75">
        <w:rPr>
          <w:noProof/>
        </w:rPr>
        <w:fldChar w:fldCharType="end"/>
      </w:r>
      <w:r>
        <w:t xml:space="preserve">: </w:t>
      </w:r>
      <w:r w:rsidRPr="00BF637D">
        <w:t xml:space="preserve">Results of </w:t>
      </w:r>
      <w:r>
        <w:t xml:space="preserve">serious </w:t>
      </w:r>
      <w:r w:rsidRPr="00BF637D">
        <w:t>adverse events in Howes et al. (2020), varenicline plus bupropion versus varenicline alone</w:t>
      </w:r>
    </w:p>
    <w:p w14:paraId="49E4E2A8" w14:textId="77777777" w:rsidR="002E5F24" w:rsidRDefault="002E5F24" w:rsidP="00494113">
      <w:pPr>
        <w:pStyle w:val="FigureFooter"/>
        <w:spacing w:after="120"/>
        <w:contextualSpacing w:val="0"/>
        <w:jc w:val="both"/>
      </w:pPr>
      <w:r>
        <w:t>Source: Howes et al. (2020)</w:t>
      </w:r>
    </w:p>
    <w:p w14:paraId="0DCE0F26" w14:textId="4611CF10" w:rsidR="002E5F24" w:rsidRDefault="002E5F24" w:rsidP="002E5F24">
      <w:pPr>
        <w:keepNext/>
      </w:pPr>
      <w:r>
        <w:rPr>
          <w:noProof/>
        </w:rPr>
        <w:drawing>
          <wp:inline distT="0" distB="0" distL="0" distR="0" wp14:anchorId="56967DC1" wp14:editId="0EC309FF">
            <wp:extent cx="5731510" cy="1591310"/>
            <wp:effectExtent l="0" t="0" r="2540" b="8890"/>
            <wp:docPr id="49" name="Picture 49" descr="P160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P16042#yIS1"/>
                    <pic:cNvPicPr/>
                  </pic:nvPicPr>
                  <pic:blipFill>
                    <a:blip r:embed="rId105">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5C9E7673" w14:textId="45C8B045" w:rsidR="002E5F24" w:rsidRDefault="002E5F24" w:rsidP="00494113">
      <w:pPr>
        <w:pStyle w:val="Caption"/>
        <w:spacing w:before="120" w:after="60"/>
        <w:jc w:val="both"/>
      </w:pPr>
      <w:r>
        <w:t xml:space="preserve">Figure </w:t>
      </w:r>
      <w:r w:rsidR="00BF3F75">
        <w:fldChar w:fldCharType="begin"/>
      </w:r>
      <w:r w:rsidR="00BF3F75">
        <w:instrText xml:space="preserve"> SEQ Figure \* ARABIC</w:instrText>
      </w:r>
      <w:r w:rsidR="00BF3F75">
        <w:instrText xml:space="preserve"> </w:instrText>
      </w:r>
      <w:r w:rsidR="00BF3F75">
        <w:fldChar w:fldCharType="separate"/>
      </w:r>
      <w:r w:rsidR="00EC5CC7">
        <w:rPr>
          <w:noProof/>
        </w:rPr>
        <w:t>81</w:t>
      </w:r>
      <w:r w:rsidR="00BF3F75">
        <w:rPr>
          <w:noProof/>
        </w:rPr>
        <w:fldChar w:fldCharType="end"/>
      </w:r>
      <w:r>
        <w:t xml:space="preserve">: </w:t>
      </w:r>
      <w:r w:rsidRPr="00235279">
        <w:t xml:space="preserve">Results of </w:t>
      </w:r>
      <w:r>
        <w:t>psychiatric</w:t>
      </w:r>
      <w:r w:rsidRPr="00235279">
        <w:t xml:space="preserve"> adverse events in Howes et al. (2020), varenicline plus bupropion versus varenicline alone</w:t>
      </w:r>
    </w:p>
    <w:p w14:paraId="2DAB2724" w14:textId="5EFE94A4" w:rsidR="002E5F24" w:rsidRDefault="002E5F24" w:rsidP="00494113">
      <w:pPr>
        <w:pStyle w:val="FigureFooter"/>
        <w:spacing w:after="120"/>
        <w:contextualSpacing w:val="0"/>
        <w:jc w:val="both"/>
      </w:pPr>
      <w:r>
        <w:t>Source: Howes et al. (2020)</w:t>
      </w:r>
    </w:p>
    <w:p w14:paraId="1E720265" w14:textId="77777777" w:rsidR="002E5F24" w:rsidRDefault="002E5F24" w:rsidP="002E5F24">
      <w:pPr>
        <w:keepNext/>
      </w:pPr>
      <w:r>
        <w:rPr>
          <w:noProof/>
        </w:rPr>
        <w:drawing>
          <wp:inline distT="0" distB="0" distL="0" distR="0" wp14:anchorId="43D6F256" wp14:editId="6B632B5D">
            <wp:extent cx="5731510" cy="1833880"/>
            <wp:effectExtent l="0" t="0" r="2540" b="0"/>
            <wp:docPr id="48" name="Picture 48" descr="P160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P16045#yIS1"/>
                    <pic:cNvPicPr/>
                  </pic:nvPicPr>
                  <pic:blipFill>
                    <a:blip r:embed="rId106">
                      <a:extLst>
                        <a:ext uri="{28A0092B-C50C-407E-A947-70E740481C1C}">
                          <a14:useLocalDpi xmlns:a14="http://schemas.microsoft.com/office/drawing/2010/main" val="0"/>
                        </a:ext>
                      </a:extLst>
                    </a:blip>
                    <a:stretch>
                      <a:fillRect/>
                    </a:stretch>
                  </pic:blipFill>
                  <pic:spPr>
                    <a:xfrm>
                      <a:off x="0" y="0"/>
                      <a:ext cx="5731510" cy="1833880"/>
                    </a:xfrm>
                    <a:prstGeom prst="rect">
                      <a:avLst/>
                    </a:prstGeom>
                  </pic:spPr>
                </pic:pic>
              </a:graphicData>
            </a:graphic>
          </wp:inline>
        </w:drawing>
      </w:r>
    </w:p>
    <w:p w14:paraId="1269489F" w14:textId="066F82A0" w:rsidR="002E5F24" w:rsidRDefault="002E5F24" w:rsidP="00494113">
      <w:pPr>
        <w:pStyle w:val="Caption"/>
        <w:spacing w:before="120" w:after="60"/>
        <w:jc w:val="both"/>
      </w:pPr>
      <w:bookmarkStart w:id="375" w:name="_Ref55487440"/>
      <w:r>
        <w:t xml:space="preserve">Figure </w:t>
      </w:r>
      <w:r w:rsidR="00BF3F75">
        <w:fldChar w:fldCharType="begin"/>
      </w:r>
      <w:r w:rsidR="00BF3F75">
        <w:instrText xml:space="preserve"> SEQ Figure \* ARABIC </w:instrText>
      </w:r>
      <w:r w:rsidR="00BF3F75">
        <w:fldChar w:fldCharType="separate"/>
      </w:r>
      <w:r w:rsidR="00EC5CC7">
        <w:rPr>
          <w:noProof/>
        </w:rPr>
        <w:t>82</w:t>
      </w:r>
      <w:r w:rsidR="00BF3F75">
        <w:rPr>
          <w:noProof/>
        </w:rPr>
        <w:fldChar w:fldCharType="end"/>
      </w:r>
      <w:bookmarkEnd w:id="375"/>
      <w:r>
        <w:t xml:space="preserve">: </w:t>
      </w:r>
      <w:r w:rsidRPr="00A37CA4">
        <w:t xml:space="preserve">Results of discontinuation due to adverse events in Howes et al. (2020), </w:t>
      </w:r>
      <w:r w:rsidRPr="002E5F24">
        <w:t>varenicline plus bupropion versus varenicline alone</w:t>
      </w:r>
    </w:p>
    <w:p w14:paraId="118257F7" w14:textId="77777777" w:rsidR="002E5F24" w:rsidRDefault="002E5F24" w:rsidP="00494113">
      <w:pPr>
        <w:pStyle w:val="FigureFooter"/>
        <w:jc w:val="both"/>
      </w:pPr>
      <w:r>
        <w:t>Source: Howes et al. (2020)</w:t>
      </w:r>
    </w:p>
    <w:p w14:paraId="17898364" w14:textId="2D08667D" w:rsidR="002E5F24" w:rsidRDefault="002E5F24" w:rsidP="002E5F24"/>
    <w:p w14:paraId="298938A9" w14:textId="77777777" w:rsidR="00776305" w:rsidRDefault="00242C90" w:rsidP="008906F1">
      <w:pPr>
        <w:keepNext/>
      </w:pPr>
      <w:r>
        <w:rPr>
          <w:noProof/>
        </w:rPr>
        <w:lastRenderedPageBreak/>
        <w:drawing>
          <wp:inline distT="0" distB="0" distL="0" distR="0" wp14:anchorId="23C5DBCB" wp14:editId="568383AC">
            <wp:extent cx="5731510" cy="1591310"/>
            <wp:effectExtent l="0" t="0" r="2540" b="8890"/>
            <wp:docPr id="50" name="Picture 50" descr="P160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P16049#yIS1"/>
                    <pic:cNvPicPr/>
                  </pic:nvPicPr>
                  <pic:blipFill>
                    <a:blip r:embed="rId107">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5A8D652F" w14:textId="7C52D793" w:rsidR="00242C90" w:rsidRDefault="00776305" w:rsidP="00494113">
      <w:pPr>
        <w:pStyle w:val="Caption"/>
        <w:spacing w:before="120" w:after="60"/>
        <w:jc w:val="both"/>
      </w:pPr>
      <w:bookmarkStart w:id="376" w:name="_Ref58489530"/>
      <w:r>
        <w:t xml:space="preserve">Figure </w:t>
      </w:r>
      <w:r w:rsidR="00BF3F75">
        <w:fldChar w:fldCharType="begin"/>
      </w:r>
      <w:r w:rsidR="00BF3F75">
        <w:instrText xml:space="preserve"> SEQ Figure \* ARABIC </w:instrText>
      </w:r>
      <w:r w:rsidR="00BF3F75">
        <w:fldChar w:fldCharType="separate"/>
      </w:r>
      <w:r w:rsidR="00EC5CC7">
        <w:rPr>
          <w:noProof/>
        </w:rPr>
        <w:t>83</w:t>
      </w:r>
      <w:r w:rsidR="00BF3F75">
        <w:rPr>
          <w:noProof/>
        </w:rPr>
        <w:fldChar w:fldCharType="end"/>
      </w:r>
      <w:bookmarkEnd w:id="376"/>
      <w:r>
        <w:t xml:space="preserve">: </w:t>
      </w:r>
      <w:r w:rsidRPr="004A5FF5">
        <w:t xml:space="preserve">Results of adverse events in Howes et al. (2020), </w:t>
      </w:r>
      <w:r>
        <w:t>b</w:t>
      </w:r>
      <w:r w:rsidRPr="004A5FF5">
        <w:t xml:space="preserve">upropion </w:t>
      </w:r>
      <w:r>
        <w:t xml:space="preserve">plus NRT </w:t>
      </w:r>
      <w:r w:rsidRPr="004A5FF5">
        <w:t xml:space="preserve">versus </w:t>
      </w:r>
      <w:r>
        <w:t>NRT</w:t>
      </w:r>
      <w:r w:rsidRPr="004A5FF5">
        <w:t xml:space="preserve"> alone</w:t>
      </w:r>
    </w:p>
    <w:p w14:paraId="2CB8A8F8" w14:textId="77777777" w:rsidR="00776305" w:rsidRDefault="00776305" w:rsidP="00494113">
      <w:pPr>
        <w:pStyle w:val="FigureFooter"/>
        <w:spacing w:after="120"/>
        <w:contextualSpacing w:val="0"/>
        <w:jc w:val="both"/>
      </w:pPr>
      <w:r>
        <w:t>Source: Howes et al. (2020)</w:t>
      </w:r>
    </w:p>
    <w:p w14:paraId="6FA02BD9" w14:textId="77777777" w:rsidR="00776305" w:rsidRDefault="00776305" w:rsidP="008906F1">
      <w:pPr>
        <w:keepNext/>
      </w:pPr>
      <w:r>
        <w:rPr>
          <w:noProof/>
        </w:rPr>
        <w:drawing>
          <wp:inline distT="0" distB="0" distL="0" distR="0" wp14:anchorId="628FB2B5" wp14:editId="0E5F451D">
            <wp:extent cx="5731510" cy="1712595"/>
            <wp:effectExtent l="0" t="0" r="2540" b="1905"/>
            <wp:docPr id="51" name="Picture 51" descr="P160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P16052#yIS1"/>
                    <pic:cNvPicPr/>
                  </pic:nvPicPr>
                  <pic:blipFill>
                    <a:blip r:embed="rId108">
                      <a:extLst>
                        <a:ext uri="{28A0092B-C50C-407E-A947-70E740481C1C}">
                          <a14:useLocalDpi xmlns:a14="http://schemas.microsoft.com/office/drawing/2010/main" val="0"/>
                        </a:ext>
                      </a:extLst>
                    </a:blip>
                    <a:stretch>
                      <a:fillRect/>
                    </a:stretch>
                  </pic:blipFill>
                  <pic:spPr>
                    <a:xfrm>
                      <a:off x="0" y="0"/>
                      <a:ext cx="5731510" cy="1712595"/>
                    </a:xfrm>
                    <a:prstGeom prst="rect">
                      <a:avLst/>
                    </a:prstGeom>
                  </pic:spPr>
                </pic:pic>
              </a:graphicData>
            </a:graphic>
          </wp:inline>
        </w:drawing>
      </w:r>
    </w:p>
    <w:p w14:paraId="7D84A732" w14:textId="31B26C56" w:rsidR="00776305" w:rsidRDefault="00776305" w:rsidP="0049411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84</w:t>
      </w:r>
      <w:r w:rsidR="00BF3F75">
        <w:rPr>
          <w:noProof/>
        </w:rPr>
        <w:fldChar w:fldCharType="end"/>
      </w:r>
      <w:r>
        <w:t xml:space="preserve">: </w:t>
      </w:r>
      <w:r w:rsidRPr="00721B19">
        <w:t xml:space="preserve">Results of serious adverse events in Howes et al. (2020), bupropion </w:t>
      </w:r>
      <w:r>
        <w:t xml:space="preserve">plus NRT </w:t>
      </w:r>
      <w:r w:rsidRPr="00721B19">
        <w:t xml:space="preserve">versus </w:t>
      </w:r>
      <w:r>
        <w:t>NRT</w:t>
      </w:r>
      <w:r w:rsidRPr="00721B19">
        <w:t xml:space="preserve"> alone</w:t>
      </w:r>
    </w:p>
    <w:p w14:paraId="5211621E" w14:textId="74BA2103" w:rsidR="00776305" w:rsidRDefault="00776305" w:rsidP="00494113">
      <w:pPr>
        <w:pStyle w:val="FigureFooter"/>
        <w:spacing w:after="120"/>
        <w:contextualSpacing w:val="0"/>
        <w:jc w:val="both"/>
      </w:pPr>
      <w:r>
        <w:t>Source: Howes et al. (2020)</w:t>
      </w:r>
    </w:p>
    <w:p w14:paraId="7A0F38D6" w14:textId="77777777" w:rsidR="00776305" w:rsidRDefault="00776305" w:rsidP="008906F1">
      <w:pPr>
        <w:keepNext/>
      </w:pPr>
      <w:r>
        <w:rPr>
          <w:noProof/>
        </w:rPr>
        <w:drawing>
          <wp:inline distT="0" distB="0" distL="0" distR="0" wp14:anchorId="0B38E2BA" wp14:editId="77EB2506">
            <wp:extent cx="5731510" cy="1591310"/>
            <wp:effectExtent l="0" t="0" r="2540" b="8890"/>
            <wp:docPr id="52" name="Picture 52" descr="P1605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P16055#yIS1"/>
                    <pic:cNvPicPr/>
                  </pic:nvPicPr>
                  <pic:blipFill>
                    <a:blip r:embed="rId109">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607755A2" w14:textId="2EF27228" w:rsidR="00776305" w:rsidRDefault="00776305" w:rsidP="00494113">
      <w:pPr>
        <w:pStyle w:val="Caption"/>
        <w:spacing w:before="120" w:after="60"/>
        <w:jc w:val="both"/>
      </w:pPr>
      <w:bookmarkStart w:id="377" w:name="_Ref58489539"/>
      <w:r>
        <w:t xml:space="preserve">Figure </w:t>
      </w:r>
      <w:r w:rsidR="00BF3F75">
        <w:fldChar w:fldCharType="begin"/>
      </w:r>
      <w:r w:rsidR="00BF3F75">
        <w:instrText xml:space="preserve"> SEQ Figure \* ARABIC </w:instrText>
      </w:r>
      <w:r w:rsidR="00BF3F75">
        <w:fldChar w:fldCharType="separate"/>
      </w:r>
      <w:r w:rsidR="00EC5CC7">
        <w:rPr>
          <w:noProof/>
        </w:rPr>
        <w:t>85</w:t>
      </w:r>
      <w:r w:rsidR="00BF3F75">
        <w:rPr>
          <w:noProof/>
        </w:rPr>
        <w:fldChar w:fldCharType="end"/>
      </w:r>
      <w:bookmarkEnd w:id="377"/>
      <w:r>
        <w:t xml:space="preserve">: </w:t>
      </w:r>
      <w:r w:rsidRPr="00A1530E">
        <w:t xml:space="preserve">Results of discontinuation due to adverse events in Howes et al. (2020), bupropion </w:t>
      </w:r>
      <w:r>
        <w:t xml:space="preserve">plus NRT </w:t>
      </w:r>
      <w:r w:rsidRPr="00A1530E">
        <w:t xml:space="preserve">versus </w:t>
      </w:r>
      <w:r>
        <w:t>NRT</w:t>
      </w:r>
      <w:r w:rsidRPr="00A1530E">
        <w:t xml:space="preserve"> alone</w:t>
      </w:r>
    </w:p>
    <w:p w14:paraId="1A74A7C2" w14:textId="77777777" w:rsidR="00776305" w:rsidRDefault="00776305" w:rsidP="00494113">
      <w:pPr>
        <w:pStyle w:val="FigureFooter"/>
        <w:jc w:val="both"/>
      </w:pPr>
      <w:r>
        <w:t>Source: Howes et al. (2020)</w:t>
      </w:r>
    </w:p>
    <w:p w14:paraId="52802E14" w14:textId="636CAAB1" w:rsidR="002E5F24" w:rsidRDefault="002E5F24" w:rsidP="00776305"/>
    <w:p w14:paraId="27DCD42A" w14:textId="77777777" w:rsidR="00D21E11" w:rsidRDefault="00D21E11" w:rsidP="00776305">
      <w:pPr>
        <w:rPr>
          <w:highlight w:val="yellow"/>
        </w:rPr>
      </w:pPr>
    </w:p>
    <w:p w14:paraId="46A375B3" w14:textId="77777777" w:rsidR="00D21E11" w:rsidRDefault="00D21E11" w:rsidP="00776305">
      <w:pPr>
        <w:rPr>
          <w:highlight w:val="yellow"/>
        </w:rPr>
      </w:pPr>
    </w:p>
    <w:p w14:paraId="14523A16" w14:textId="771DFBCB" w:rsidR="00AE0A95" w:rsidRDefault="0076393A" w:rsidP="00AE0A95">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"C:\\var\\folders\\gx\\zlxfjf7d1z77ylckw36klf9h0000gn\\T\\com.microsoft.Word\\WebArchiveCopyPasteTempFiles\\nCD013308-CMP-002-02.png" \* MERGEFORMAT </w:instrText>
      </w:r>
      <w:r w:rsidRPr="70001105">
        <w:rPr>
          <w:rFonts w:ascii="Times New Roman" w:eastAsia="Times New Roman" w:hAnsi="Times New Roman" w:cs="Times New Roman"/>
          <w:lang w:eastAsia="en-GB"/>
        </w:rPr>
        <w:fldChar w:fldCharType="separate"/>
      </w:r>
      <w:r w:rsidR="2AF0CBB8">
        <w:rPr>
          <w:noProof/>
        </w:rPr>
        <w:drawing>
          <wp:inline distT="0" distB="0" distL="0" distR="0" wp14:anchorId="44CC9318" wp14:editId="12F85FED">
            <wp:extent cx="5731510" cy="3287395"/>
            <wp:effectExtent l="0" t="0" r="0" b="1905"/>
            <wp:docPr id="91" name="Picture 91" descr="P160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P16061#yIS1"/>
                    <pic:cNvPicPr/>
                  </pic:nvPicPr>
                  <pic:blipFill>
                    <a:blip r:embed="rId110">
                      <a:extLst>
                        <a:ext uri="{28A0092B-C50C-407E-A947-70E740481C1C}">
                          <a14:useLocalDpi xmlns:a14="http://schemas.microsoft.com/office/drawing/2010/main" val="0"/>
                        </a:ext>
                      </a:extLst>
                    </a:blip>
                    <a:stretch>
                      <a:fillRect/>
                    </a:stretch>
                  </pic:blipFill>
                  <pic:spPr>
                    <a:xfrm>
                      <a:off x="0" y="0"/>
                      <a:ext cx="5731510" cy="328739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2B9E750E" w14:textId="6BC350A8" w:rsidR="00AE0A95" w:rsidRDefault="00AE0A95" w:rsidP="00494113">
      <w:pPr>
        <w:pStyle w:val="Caption"/>
        <w:spacing w:before="120" w:after="60"/>
        <w:jc w:val="both"/>
      </w:pPr>
      <w:bookmarkStart w:id="378" w:name="_Ref62127613"/>
      <w:r>
        <w:t xml:space="preserve">Figure </w:t>
      </w:r>
      <w:r w:rsidR="00BF3F75">
        <w:fldChar w:fldCharType="begin"/>
      </w:r>
      <w:r w:rsidR="00BF3F75">
        <w:instrText xml:space="preserve"> SEQ Figure \* ARABIC </w:instrText>
      </w:r>
      <w:r w:rsidR="00BF3F75">
        <w:fldChar w:fldCharType="separate"/>
      </w:r>
      <w:r w:rsidR="00EC5CC7">
        <w:rPr>
          <w:noProof/>
        </w:rPr>
        <w:t>86</w:t>
      </w:r>
      <w:r w:rsidR="00BF3F75">
        <w:rPr>
          <w:noProof/>
        </w:rPr>
        <w:fldChar w:fldCharType="end"/>
      </w:r>
      <w:bookmarkEnd w:id="378"/>
      <w:r>
        <w:t xml:space="preserve">: </w:t>
      </w:r>
      <w:r w:rsidRPr="00D40683">
        <w:t>Results of serious adverse events in Lindson et al. (2019), higher dose versus lower dose NRT patch</w:t>
      </w:r>
    </w:p>
    <w:p w14:paraId="6472EBFB" w14:textId="7A4D1D70" w:rsidR="00AE0A95" w:rsidRDefault="00AE0A95" w:rsidP="00494113">
      <w:pPr>
        <w:pStyle w:val="FigureFooter"/>
        <w:spacing w:after="120"/>
        <w:contextualSpacing w:val="0"/>
        <w:jc w:val="both"/>
      </w:pPr>
      <w:r>
        <w:t>Source: Lindson et al. (2019)</w:t>
      </w:r>
    </w:p>
    <w:p w14:paraId="7297A45C" w14:textId="3E528B02" w:rsidR="00796BA5" w:rsidRDefault="0076393A" w:rsidP="00796BA5">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"C:\\var\\folders\\gx\\zlxfjf7d1z77ylckw36klf9h0000gn\\T\\com.microsoft.Word\\WebArchiveCopyPasteTempFiles\\nCD013308-CMP-002-03.png" \* MERGEFORMAT </w:instrText>
      </w:r>
      <w:r w:rsidRPr="70001105">
        <w:rPr>
          <w:rFonts w:ascii="Times New Roman" w:eastAsia="Times New Roman" w:hAnsi="Times New Roman" w:cs="Times New Roman"/>
          <w:lang w:eastAsia="en-GB"/>
        </w:rPr>
        <w:fldChar w:fldCharType="separate"/>
      </w:r>
      <w:r w:rsidR="2AF0CBB8">
        <w:rPr>
          <w:noProof/>
        </w:rPr>
        <w:drawing>
          <wp:inline distT="0" distB="0" distL="0" distR="0" wp14:anchorId="137D5005" wp14:editId="5D84CD9B">
            <wp:extent cx="5731510" cy="1456055"/>
            <wp:effectExtent l="0" t="0" r="0" b="4445"/>
            <wp:docPr id="92" name="Picture 92" descr="P160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P16064#yIS1"/>
                    <pic:cNvPicPr/>
                  </pic:nvPicPr>
                  <pic:blipFill>
                    <a:blip r:embed="rId111">
                      <a:extLst>
                        <a:ext uri="{28A0092B-C50C-407E-A947-70E740481C1C}">
                          <a14:useLocalDpi xmlns:a14="http://schemas.microsoft.com/office/drawing/2010/main" val="0"/>
                        </a:ext>
                      </a:extLst>
                    </a:blip>
                    <a:stretch>
                      <a:fillRect/>
                    </a:stretch>
                  </pic:blipFill>
                  <pic:spPr>
                    <a:xfrm>
                      <a:off x="0" y="0"/>
                      <a:ext cx="5731510" cy="145605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49738397" w14:textId="310D3F16" w:rsidR="0076393A" w:rsidRDefault="00796BA5" w:rsidP="00494113">
      <w:pPr>
        <w:pStyle w:val="Caption"/>
        <w:spacing w:before="120" w:after="60"/>
        <w:jc w:val="both"/>
      </w:pPr>
      <w:bookmarkStart w:id="379" w:name="_Ref62127617"/>
      <w:r>
        <w:t xml:space="preserve">Figure </w:t>
      </w:r>
      <w:r w:rsidR="00BF3F75">
        <w:fldChar w:fldCharType="begin"/>
      </w:r>
      <w:r w:rsidR="00BF3F75">
        <w:instrText xml:space="preserve"> SEQ Figure \* ARABIC </w:instrText>
      </w:r>
      <w:r w:rsidR="00BF3F75">
        <w:fldChar w:fldCharType="separate"/>
      </w:r>
      <w:r w:rsidR="00EC5CC7">
        <w:rPr>
          <w:noProof/>
        </w:rPr>
        <w:t>87</w:t>
      </w:r>
      <w:r w:rsidR="00BF3F75">
        <w:rPr>
          <w:noProof/>
        </w:rPr>
        <w:fldChar w:fldCharType="end"/>
      </w:r>
      <w:bookmarkEnd w:id="379"/>
      <w:r>
        <w:t xml:space="preserve">: </w:t>
      </w:r>
      <w:r w:rsidRPr="005426F7">
        <w:t>Results of treatment withdrawals in Lindson et al. (2019), higher dose versus lower dose NRT patch</w:t>
      </w:r>
    </w:p>
    <w:p w14:paraId="775FD395" w14:textId="71F53077" w:rsidR="00796BA5" w:rsidRPr="0076393A" w:rsidRDefault="00796BA5" w:rsidP="00494113">
      <w:pPr>
        <w:pStyle w:val="FigureFooter"/>
        <w:spacing w:after="120"/>
        <w:contextualSpacing w:val="0"/>
        <w:jc w:val="both"/>
      </w:pPr>
      <w:r>
        <w:t>Source: Lindson et al. (2019)</w:t>
      </w:r>
    </w:p>
    <w:p w14:paraId="25FC1EF6" w14:textId="3039BE34" w:rsidR="00D21C95" w:rsidRDefault="00C27B0A" w:rsidP="00D21C95">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"C:\\var\\folders\\gx\\zlxfjf7d1z77ylckw36klf9h0000gn\\T\\com.microsoft.Word\\WebArchiveCopyPasteTempFiles\\nCD013308-CMP-008-02.png" \* MERGEFORMAT </w:instrText>
      </w:r>
      <w:r w:rsidRPr="70001105">
        <w:rPr>
          <w:rFonts w:ascii="Times New Roman" w:eastAsia="Times New Roman" w:hAnsi="Times New Roman" w:cs="Times New Roman"/>
          <w:lang w:eastAsia="en-GB"/>
        </w:rPr>
        <w:fldChar w:fldCharType="separate"/>
      </w:r>
      <w:r w:rsidR="0C364C20">
        <w:rPr>
          <w:noProof/>
        </w:rPr>
        <w:drawing>
          <wp:inline distT="0" distB="0" distL="0" distR="0" wp14:anchorId="689E4585" wp14:editId="4AD08A3A">
            <wp:extent cx="5731510" cy="1198245"/>
            <wp:effectExtent l="0" t="0" r="0" b="0"/>
            <wp:docPr id="93" name="Picture 93" descr="P160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P16067#yIS1"/>
                    <pic:cNvPicPr/>
                  </pic:nvPicPr>
                  <pic:blipFill>
                    <a:blip r:embed="rId112">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1ADDE5D2" w14:textId="677B47A7" w:rsidR="00C27B0A" w:rsidRDefault="00D21C95" w:rsidP="00C025AC">
      <w:pPr>
        <w:pStyle w:val="Caption"/>
        <w:spacing w:before="120" w:after="60"/>
        <w:jc w:val="both"/>
      </w:pPr>
      <w:bookmarkStart w:id="380" w:name="_Ref62127624"/>
      <w:r>
        <w:t xml:space="preserve">Figure </w:t>
      </w:r>
      <w:r w:rsidR="00BF3F75">
        <w:fldChar w:fldCharType="begin"/>
      </w:r>
      <w:r w:rsidR="00BF3F75">
        <w:instrText xml:space="preserve"> SEQ Figure \* ARABIC </w:instrText>
      </w:r>
      <w:r w:rsidR="00BF3F75">
        <w:fldChar w:fldCharType="separate"/>
      </w:r>
      <w:r w:rsidR="00EC5CC7">
        <w:rPr>
          <w:noProof/>
        </w:rPr>
        <w:t>88</w:t>
      </w:r>
      <w:r w:rsidR="00BF3F75">
        <w:rPr>
          <w:noProof/>
        </w:rPr>
        <w:fldChar w:fldCharType="end"/>
      </w:r>
      <w:bookmarkEnd w:id="380"/>
      <w:r>
        <w:t xml:space="preserve">: </w:t>
      </w:r>
      <w:r w:rsidRPr="005F2306">
        <w:t>Results of palpitations as adverse events in Lindson et al. (2019), higher dose versus lower dose NRT gum</w:t>
      </w:r>
    </w:p>
    <w:p w14:paraId="7A8FD6BA" w14:textId="77777777" w:rsidR="00D21C95" w:rsidRPr="0076393A" w:rsidRDefault="00D21C95" w:rsidP="00C025AC">
      <w:pPr>
        <w:pStyle w:val="FigureFooter"/>
        <w:jc w:val="both"/>
      </w:pPr>
      <w:r>
        <w:t>Source: Lindson et al. (2019)</w:t>
      </w:r>
    </w:p>
    <w:p w14:paraId="6AE55236" w14:textId="77777777" w:rsidR="00D21C95" w:rsidRPr="00C27B0A" w:rsidRDefault="00D21C95" w:rsidP="00D21C95">
      <w:pPr>
        <w:rPr>
          <w:lang w:eastAsia="en-GB"/>
        </w:rPr>
      </w:pPr>
    </w:p>
    <w:p w14:paraId="0B2AF135" w14:textId="318F50DC" w:rsidR="00D21C95" w:rsidRDefault="00C27B0A" w:rsidP="00D21C95">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"C:\\var\\folders\\gx\\zlxfjf7d1z77ylckw36klf9h0000gn\\T\\com.microsoft.Word\\WebArchiveCopyPasteTempFiles\\nCD013308-CMP-008-03.png" \* MERGEFORMAT </w:instrText>
      </w:r>
      <w:r w:rsidRPr="70001105">
        <w:rPr>
          <w:rFonts w:ascii="Times New Roman" w:eastAsia="Times New Roman" w:hAnsi="Times New Roman" w:cs="Times New Roman"/>
          <w:lang w:eastAsia="en-GB"/>
        </w:rPr>
        <w:fldChar w:fldCharType="separate"/>
      </w:r>
      <w:r w:rsidR="0C364C20">
        <w:rPr>
          <w:noProof/>
        </w:rPr>
        <w:drawing>
          <wp:inline distT="0" distB="0" distL="0" distR="0" wp14:anchorId="5B95F1F9" wp14:editId="3D53A185">
            <wp:extent cx="5731510" cy="1591310"/>
            <wp:effectExtent l="0" t="0" r="0" b="0"/>
            <wp:docPr id="94" name="Picture 94" descr="P160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P16071#yIS1"/>
                    <pic:cNvPicPr/>
                  </pic:nvPicPr>
                  <pic:blipFill>
                    <a:blip r:embed="rId113">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2EB2657C" w14:textId="29FEB9AD" w:rsidR="00D21C95" w:rsidRDefault="00D21C95" w:rsidP="00C025AC">
      <w:pPr>
        <w:pStyle w:val="Caption"/>
        <w:spacing w:before="120" w:after="60"/>
        <w:jc w:val="both"/>
      </w:pPr>
      <w:bookmarkStart w:id="381" w:name="_Ref62127681"/>
      <w:r>
        <w:t xml:space="preserve">Figure </w:t>
      </w:r>
      <w:r w:rsidR="00BF3F75">
        <w:fldChar w:fldCharType="begin"/>
      </w:r>
      <w:r w:rsidR="00BF3F75">
        <w:instrText xml:space="preserve"> SEQ Figure \* ARABIC </w:instrText>
      </w:r>
      <w:r w:rsidR="00BF3F75">
        <w:fldChar w:fldCharType="separate"/>
      </w:r>
      <w:r w:rsidR="00EC5CC7">
        <w:rPr>
          <w:noProof/>
        </w:rPr>
        <w:t>89</w:t>
      </w:r>
      <w:r w:rsidR="00BF3F75">
        <w:rPr>
          <w:noProof/>
        </w:rPr>
        <w:fldChar w:fldCharType="end"/>
      </w:r>
      <w:bookmarkEnd w:id="381"/>
      <w:r>
        <w:t xml:space="preserve">: </w:t>
      </w:r>
      <w:r w:rsidRPr="00B20300">
        <w:t>Results of treatment withdrawals in Lindson et al. (2019), higher dose versus lower dose NRT gum</w:t>
      </w:r>
    </w:p>
    <w:p w14:paraId="43DD2D42" w14:textId="08DF6456" w:rsidR="0076393A" w:rsidRDefault="00D21C95" w:rsidP="00C025AC">
      <w:pPr>
        <w:pStyle w:val="FigureFooter"/>
        <w:spacing w:after="120"/>
        <w:contextualSpacing w:val="0"/>
        <w:jc w:val="both"/>
      </w:pPr>
      <w:r>
        <w:t>Source: Lindson et al. (2019)</w:t>
      </w:r>
    </w:p>
    <w:p w14:paraId="4DF95B43" w14:textId="430A4707" w:rsidR="00D30A9D" w:rsidRDefault="00D30A9D" w:rsidP="00D30A9D">
      <w:pPr>
        <w:keepNext/>
      </w:pPr>
      <w:r>
        <w:fldChar w:fldCharType="begin"/>
      </w:r>
      <w:r w:rsidR="006C5D5E">
        <w:instrText xml:space="preserve"> INCLUDEPICTURE "C:\\var\\folders\\gx\\zlxfjf7d1z77ylckw36klf9h0000gn\\T\\com.microsoft.Word\\WebArchiveCopyPasteTempFiles\\nCD013308-CMP-002-02.png" \* MERGEFORMAT </w:instrText>
      </w:r>
      <w:r>
        <w:fldChar w:fldCharType="separate"/>
      </w:r>
      <w:r w:rsidR="1F400C3E">
        <w:rPr>
          <w:noProof/>
        </w:rPr>
        <w:drawing>
          <wp:inline distT="0" distB="0" distL="0" distR="0" wp14:anchorId="57A9CC31" wp14:editId="4C684BF9">
            <wp:extent cx="5731510" cy="3287395"/>
            <wp:effectExtent l="0" t="0" r="0" b="1905"/>
            <wp:docPr id="102" name="Picture 102" descr="P160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P16074#yIS1"/>
                    <pic:cNvPicPr/>
                  </pic:nvPicPr>
                  <pic:blipFill>
                    <a:blip r:embed="rId110">
                      <a:extLst>
                        <a:ext uri="{28A0092B-C50C-407E-A947-70E740481C1C}">
                          <a14:useLocalDpi xmlns:a14="http://schemas.microsoft.com/office/drawing/2010/main" val="0"/>
                        </a:ext>
                      </a:extLst>
                    </a:blip>
                    <a:stretch>
                      <a:fillRect/>
                    </a:stretch>
                  </pic:blipFill>
                  <pic:spPr>
                    <a:xfrm>
                      <a:off x="0" y="0"/>
                      <a:ext cx="5731510" cy="3287395"/>
                    </a:xfrm>
                    <a:prstGeom prst="rect">
                      <a:avLst/>
                    </a:prstGeom>
                  </pic:spPr>
                </pic:pic>
              </a:graphicData>
            </a:graphic>
          </wp:inline>
        </w:drawing>
      </w:r>
      <w:r>
        <w:fldChar w:fldCharType="end"/>
      </w:r>
    </w:p>
    <w:p w14:paraId="722EE7DD" w14:textId="625B0C0B" w:rsidR="00D30A9D" w:rsidRDefault="00D21C95" w:rsidP="00C025AC">
      <w:pPr>
        <w:pStyle w:val="Caption"/>
        <w:spacing w:before="120" w:after="60"/>
        <w:jc w:val="both"/>
      </w:pPr>
      <w:bookmarkStart w:id="382" w:name="_Ref62127693"/>
      <w:r>
        <w:t xml:space="preserve">Figure </w:t>
      </w:r>
      <w:r w:rsidR="00BF3F75">
        <w:fldChar w:fldCharType="begin"/>
      </w:r>
      <w:r w:rsidR="00BF3F75">
        <w:instrText xml:space="preserve"> SEQ Figure \* ARABIC </w:instrText>
      </w:r>
      <w:r w:rsidR="00BF3F75">
        <w:fldChar w:fldCharType="separate"/>
      </w:r>
      <w:r w:rsidR="00EC5CC7">
        <w:rPr>
          <w:noProof/>
        </w:rPr>
        <w:t>90</w:t>
      </w:r>
      <w:r w:rsidR="00BF3F75">
        <w:rPr>
          <w:noProof/>
        </w:rPr>
        <w:fldChar w:fldCharType="end"/>
      </w:r>
      <w:bookmarkEnd w:id="382"/>
      <w:r w:rsidR="00D30A9D">
        <w:t xml:space="preserve">: </w:t>
      </w:r>
      <w:r w:rsidR="00D30A9D" w:rsidRPr="00717937">
        <w:t>Results of overall serious adverse events in Lindson et al. (2019), longer duration versus shorter duration NRT patch</w:t>
      </w:r>
    </w:p>
    <w:p w14:paraId="0C81F0EA" w14:textId="77777777" w:rsidR="00D21C95" w:rsidRPr="00C27B0A" w:rsidRDefault="00D21C95" w:rsidP="00C025AC">
      <w:pPr>
        <w:pStyle w:val="FigureFooter"/>
        <w:spacing w:after="120"/>
        <w:contextualSpacing w:val="0"/>
        <w:jc w:val="both"/>
      </w:pPr>
      <w:r>
        <w:t>Source: Lindson et al. (2019)</w:t>
      </w:r>
    </w:p>
    <w:p w14:paraId="63FD7CC0" w14:textId="3B7689C9" w:rsidR="00D30A9D" w:rsidRDefault="00D30A9D" w:rsidP="00D30A9D">
      <w:pPr>
        <w:keepNext/>
      </w:pPr>
      <w:r>
        <w:fldChar w:fldCharType="begin"/>
      </w:r>
      <w:r w:rsidR="006C5D5E">
        <w:instrText xml:space="preserve"> INCLUDEPICTURE "C:\\var\\folders\\gx\\zlxfjf7d1z77ylckw36klf9h0000gn\\T\\com.microsoft.Word\\WebArchiveCopyPasteTempFiles\\nCD013308-CMP-002-03.png" \* MERGEFORMAT </w:instrText>
      </w:r>
      <w:r>
        <w:fldChar w:fldCharType="separate"/>
      </w:r>
      <w:r w:rsidR="1F400C3E">
        <w:rPr>
          <w:noProof/>
        </w:rPr>
        <w:drawing>
          <wp:inline distT="0" distB="0" distL="0" distR="0" wp14:anchorId="57380105" wp14:editId="5837756F">
            <wp:extent cx="5731510" cy="1456055"/>
            <wp:effectExtent l="0" t="0" r="0" b="4445"/>
            <wp:docPr id="103" name="Picture 103" descr="P160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P16077#yIS1"/>
                    <pic:cNvPicPr/>
                  </pic:nvPicPr>
                  <pic:blipFill>
                    <a:blip r:embed="rId111">
                      <a:extLst>
                        <a:ext uri="{28A0092B-C50C-407E-A947-70E740481C1C}">
                          <a14:useLocalDpi xmlns:a14="http://schemas.microsoft.com/office/drawing/2010/main" val="0"/>
                        </a:ext>
                      </a:extLst>
                    </a:blip>
                    <a:stretch>
                      <a:fillRect/>
                    </a:stretch>
                  </pic:blipFill>
                  <pic:spPr>
                    <a:xfrm>
                      <a:off x="0" y="0"/>
                      <a:ext cx="5731510" cy="1456055"/>
                    </a:xfrm>
                    <a:prstGeom prst="rect">
                      <a:avLst/>
                    </a:prstGeom>
                  </pic:spPr>
                </pic:pic>
              </a:graphicData>
            </a:graphic>
          </wp:inline>
        </w:drawing>
      </w:r>
      <w:r>
        <w:fldChar w:fldCharType="end"/>
      </w:r>
    </w:p>
    <w:p w14:paraId="0EA7BA94" w14:textId="5E35F2D6" w:rsidR="00D30A9D" w:rsidRDefault="00D21C95" w:rsidP="00C025AC">
      <w:pPr>
        <w:pStyle w:val="Caption"/>
        <w:spacing w:before="120" w:after="60"/>
        <w:jc w:val="both"/>
      </w:pPr>
      <w:bookmarkStart w:id="383" w:name="_Ref62127798"/>
      <w:r>
        <w:t xml:space="preserve">Figure </w:t>
      </w:r>
      <w:r w:rsidR="00BF3F75">
        <w:fldChar w:fldCharType="begin"/>
      </w:r>
      <w:r w:rsidR="00BF3F75">
        <w:instrText xml:space="preserve"> SEQ Figure \* ARABIC </w:instrText>
      </w:r>
      <w:r w:rsidR="00BF3F75">
        <w:fldChar w:fldCharType="separate"/>
      </w:r>
      <w:r w:rsidR="00EC5CC7">
        <w:rPr>
          <w:noProof/>
        </w:rPr>
        <w:t>91</w:t>
      </w:r>
      <w:r w:rsidR="00BF3F75">
        <w:rPr>
          <w:noProof/>
        </w:rPr>
        <w:fldChar w:fldCharType="end"/>
      </w:r>
      <w:bookmarkEnd w:id="383"/>
      <w:r w:rsidR="00D30A9D">
        <w:t xml:space="preserve">: </w:t>
      </w:r>
      <w:r w:rsidR="00D30A9D" w:rsidRPr="00EE2500">
        <w:t>Results of adverse events (treatment withdrawals) in Lindson et al. (2019), longer duration versus shorter duration NRT patch</w:t>
      </w:r>
    </w:p>
    <w:p w14:paraId="40D47B91" w14:textId="1580062B" w:rsidR="00D30A9D" w:rsidRDefault="00D30A9D" w:rsidP="00C025AC">
      <w:pPr>
        <w:pStyle w:val="FigureFooter"/>
        <w:jc w:val="both"/>
      </w:pPr>
      <w:r>
        <w:t>Source: Lindson et al. (2019)</w:t>
      </w:r>
    </w:p>
    <w:p w14:paraId="2CBCE67B" w14:textId="77777777" w:rsidR="008363EF" w:rsidRPr="00C14F3F" w:rsidRDefault="008363EF" w:rsidP="008363EF">
      <w:pPr>
        <w:pStyle w:val="FigureFooter"/>
      </w:pPr>
    </w:p>
    <w:p w14:paraId="0CAA82E3" w14:textId="6436ADBE" w:rsidR="008363EF" w:rsidRDefault="00320582" w:rsidP="008363EF">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"C:\\var\\folders\\gx\\zlxfjf7d1z77ylckw36klf9h0000gn\\T\\com.microsoft.Word\\WebArchiveCopyPasteTempFiles\\nCD013308-CMP-013-02.png" \* MERGEFORMAT </w:instrText>
      </w:r>
      <w:r w:rsidRPr="70001105">
        <w:rPr>
          <w:rFonts w:ascii="Times New Roman" w:eastAsia="Times New Roman" w:hAnsi="Times New Roman" w:cs="Times New Roman"/>
          <w:lang w:eastAsia="en-GB"/>
        </w:rPr>
        <w:fldChar w:fldCharType="separate"/>
      </w:r>
      <w:r w:rsidR="7695DE6B">
        <w:rPr>
          <w:noProof/>
        </w:rPr>
        <w:drawing>
          <wp:inline distT="0" distB="0" distL="0" distR="0" wp14:anchorId="325D1C23" wp14:editId="62A10554">
            <wp:extent cx="5731510" cy="1198245"/>
            <wp:effectExtent l="0" t="0" r="0" b="0"/>
            <wp:docPr id="59" name="Picture 59" descr="P160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P16081#yIS1"/>
                    <pic:cNvPicPr/>
                  </pic:nvPicPr>
                  <pic:blipFill>
                    <a:blip r:embed="rId114">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390D2D2D" w14:textId="3D245E03" w:rsidR="00320582" w:rsidRDefault="008363EF" w:rsidP="00C025AC">
      <w:pPr>
        <w:pStyle w:val="Caption"/>
        <w:spacing w:before="120" w:after="60"/>
        <w:jc w:val="both"/>
      </w:pPr>
      <w:bookmarkStart w:id="384" w:name="_Ref62127802"/>
      <w:r>
        <w:t xml:space="preserve">Figure </w:t>
      </w:r>
      <w:r w:rsidR="00BF3F75">
        <w:fldChar w:fldCharType="begin"/>
      </w:r>
      <w:r w:rsidR="00BF3F75">
        <w:instrText xml:space="preserve"> SEQ Figure \* ARABIC </w:instrText>
      </w:r>
      <w:r w:rsidR="00BF3F75">
        <w:fldChar w:fldCharType="separate"/>
      </w:r>
      <w:r w:rsidR="00EC5CC7">
        <w:rPr>
          <w:noProof/>
        </w:rPr>
        <w:t>92</w:t>
      </w:r>
      <w:r w:rsidR="00BF3F75">
        <w:rPr>
          <w:noProof/>
        </w:rPr>
        <w:fldChar w:fldCharType="end"/>
      </w:r>
      <w:bookmarkEnd w:id="384"/>
      <w:r>
        <w:t xml:space="preserve">: </w:t>
      </w:r>
      <w:r w:rsidRPr="00494550">
        <w:t>Results of key adverse events (midsternal pressure) in Lindson et al. (2019), 50-week duration versus 10-week duration NRT gum</w:t>
      </w:r>
    </w:p>
    <w:p w14:paraId="2C40432F" w14:textId="25FE06B9" w:rsidR="008363EF" w:rsidRDefault="008363EF" w:rsidP="00C025AC">
      <w:pPr>
        <w:pStyle w:val="FigureFooter"/>
        <w:spacing w:after="120"/>
        <w:contextualSpacing w:val="0"/>
        <w:jc w:val="both"/>
      </w:pPr>
      <w:r>
        <w:t>Source: Lindson et al. (2019)</w:t>
      </w:r>
    </w:p>
    <w:p w14:paraId="53B046DF" w14:textId="77777777" w:rsidR="008363EF" w:rsidRPr="008363EF" w:rsidRDefault="008363EF" w:rsidP="008363EF">
      <w:pPr>
        <w:pStyle w:val="FigureFooter"/>
      </w:pPr>
    </w:p>
    <w:p w14:paraId="4BB558C7" w14:textId="0E47D712" w:rsidR="008363EF" w:rsidRDefault="00320582" w:rsidP="008363EF">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"C:\\var\\folders\\gx\\zlxfjf7d1z77ylckw36klf9h0000gn\\T\\com.microsoft.Word\\WebArchiveCopyPasteTempFiles\\nCD013308-CMP-013-04.png" \* MERGEFORMAT </w:instrText>
      </w:r>
      <w:r w:rsidRPr="70001105">
        <w:rPr>
          <w:rFonts w:ascii="Times New Roman" w:eastAsia="Times New Roman" w:hAnsi="Times New Roman" w:cs="Times New Roman"/>
          <w:lang w:eastAsia="en-GB"/>
        </w:rPr>
        <w:fldChar w:fldCharType="separate"/>
      </w:r>
      <w:r w:rsidR="7695DE6B">
        <w:rPr>
          <w:noProof/>
        </w:rPr>
        <w:drawing>
          <wp:inline distT="0" distB="0" distL="0" distR="0" wp14:anchorId="1403B968" wp14:editId="565657D5">
            <wp:extent cx="5731510" cy="1966595"/>
            <wp:effectExtent l="0" t="0" r="0" b="1905"/>
            <wp:docPr id="61" name="Picture 61" descr="P160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P16085#yIS1"/>
                    <pic:cNvPicPr/>
                  </pic:nvPicPr>
                  <pic:blipFill>
                    <a:blip r:embed="rId115">
                      <a:extLst>
                        <a:ext uri="{28A0092B-C50C-407E-A947-70E740481C1C}">
                          <a14:useLocalDpi xmlns:a14="http://schemas.microsoft.com/office/drawing/2010/main" val="0"/>
                        </a:ext>
                      </a:extLst>
                    </a:blip>
                    <a:stretch>
                      <a:fillRect/>
                    </a:stretch>
                  </pic:blipFill>
                  <pic:spPr>
                    <a:xfrm>
                      <a:off x="0" y="0"/>
                      <a:ext cx="5731510" cy="196659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6DEC7D35" w14:textId="560A4D2C" w:rsidR="00320582" w:rsidRPr="00320582" w:rsidRDefault="008363EF" w:rsidP="00C025AC">
      <w:pPr>
        <w:pStyle w:val="Caption"/>
        <w:spacing w:before="120" w:after="60"/>
        <w:jc w:val="both"/>
        <w:rPr>
          <w:rFonts w:ascii="Times New Roman" w:hAnsi="Times New Roman"/>
          <w:szCs w:val="24"/>
          <w:lang w:eastAsia="en-GB"/>
        </w:rPr>
      </w:pPr>
      <w:bookmarkStart w:id="385" w:name="_Ref62127877"/>
      <w:r>
        <w:t xml:space="preserve">Figure </w:t>
      </w:r>
      <w:r w:rsidR="00BF3F75">
        <w:fldChar w:fldCharType="begin"/>
      </w:r>
      <w:r w:rsidR="00BF3F75">
        <w:instrText xml:space="preserve"> SEQ Figure \* ARABIC </w:instrText>
      </w:r>
      <w:r w:rsidR="00BF3F75">
        <w:fldChar w:fldCharType="separate"/>
      </w:r>
      <w:r w:rsidR="00EC5CC7">
        <w:rPr>
          <w:noProof/>
        </w:rPr>
        <w:t>93</w:t>
      </w:r>
      <w:r w:rsidR="00BF3F75">
        <w:rPr>
          <w:noProof/>
        </w:rPr>
        <w:fldChar w:fldCharType="end"/>
      </w:r>
      <w:bookmarkEnd w:id="385"/>
      <w:r>
        <w:t xml:space="preserve">: </w:t>
      </w:r>
      <w:r w:rsidRPr="004D0B40">
        <w:t>Results of overall serious adverse events in Lindson et al. (2019), 50-week duration versus 10-week duration NRT gum</w:t>
      </w:r>
      <w:r w:rsidR="00C72C5C">
        <w:t xml:space="preserve">, </w:t>
      </w:r>
      <w:r w:rsidR="00C72C5C" w:rsidRPr="00C72C5C">
        <w:t>other variations in NRT use</w:t>
      </w:r>
    </w:p>
    <w:p w14:paraId="774698E1" w14:textId="21C5FFAE" w:rsidR="00D30A9D" w:rsidRDefault="008363EF" w:rsidP="00C025AC">
      <w:pPr>
        <w:pStyle w:val="FigureFooter"/>
        <w:spacing w:after="120"/>
        <w:contextualSpacing w:val="0"/>
      </w:pPr>
      <w:r>
        <w:t>Source: Lindson et al. (2019)</w:t>
      </w:r>
    </w:p>
    <w:p w14:paraId="6A63F269" w14:textId="32151082" w:rsidR="00D30A9D" w:rsidRDefault="00D30A9D" w:rsidP="00D30A9D">
      <w:pPr>
        <w:keepNext/>
      </w:pPr>
      <w:r>
        <w:fldChar w:fldCharType="begin"/>
      </w:r>
      <w:r w:rsidR="006C5D5E">
        <w:instrText xml:space="preserve"> INCLUDEPICTURE "C:\\var\\folders\\gx\\zlxfjf7d1z77ylckw36klf9h0000gn\\T\\com.microsoft.Word\\WebArchiveCopyPasteTempFiles\\nCD013308-CMP-005-02.png" \* MERGEFORMAT </w:instrText>
      </w:r>
      <w:r>
        <w:fldChar w:fldCharType="separate"/>
      </w:r>
      <w:r w:rsidR="1F400C3E">
        <w:rPr>
          <w:noProof/>
        </w:rPr>
        <w:drawing>
          <wp:inline distT="0" distB="0" distL="0" distR="0" wp14:anchorId="0A98ADA2" wp14:editId="49746AEF">
            <wp:extent cx="5731510" cy="1831340"/>
            <wp:effectExtent l="0" t="0" r="0" b="0"/>
            <wp:docPr id="105" name="Picture 105" descr="P160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P16088#yIS1"/>
                    <pic:cNvPicPr/>
                  </pic:nvPicPr>
                  <pic:blipFill>
                    <a:blip r:embed="rId116">
                      <a:extLst>
                        <a:ext uri="{28A0092B-C50C-407E-A947-70E740481C1C}">
                          <a14:useLocalDpi xmlns:a14="http://schemas.microsoft.com/office/drawing/2010/main" val="0"/>
                        </a:ext>
                      </a:extLst>
                    </a:blip>
                    <a:stretch>
                      <a:fillRect/>
                    </a:stretch>
                  </pic:blipFill>
                  <pic:spPr>
                    <a:xfrm>
                      <a:off x="0" y="0"/>
                      <a:ext cx="5731510" cy="1831340"/>
                    </a:xfrm>
                    <a:prstGeom prst="rect">
                      <a:avLst/>
                    </a:prstGeom>
                  </pic:spPr>
                </pic:pic>
              </a:graphicData>
            </a:graphic>
          </wp:inline>
        </w:drawing>
      </w:r>
      <w:r>
        <w:fldChar w:fldCharType="end"/>
      </w:r>
    </w:p>
    <w:p w14:paraId="17579DF5" w14:textId="609B7991" w:rsidR="00D30A9D" w:rsidRDefault="00D30A9D" w:rsidP="00C025AC">
      <w:pPr>
        <w:pStyle w:val="Caption"/>
        <w:spacing w:before="120" w:after="60"/>
        <w:jc w:val="both"/>
        <w:rPr>
          <w:szCs w:val="24"/>
        </w:rPr>
      </w:pPr>
      <w:bookmarkStart w:id="386" w:name="_Ref62128906"/>
      <w:r>
        <w:t xml:space="preserve">Figure </w:t>
      </w:r>
      <w:r w:rsidR="00BF3F75">
        <w:fldChar w:fldCharType="begin"/>
      </w:r>
      <w:r w:rsidR="00BF3F75">
        <w:instrText xml:space="preserve"> SEQ Figure \* ARABIC </w:instrText>
      </w:r>
      <w:r w:rsidR="00BF3F75">
        <w:fldChar w:fldCharType="separate"/>
      </w:r>
      <w:r w:rsidR="00EC5CC7">
        <w:rPr>
          <w:noProof/>
        </w:rPr>
        <w:t>94</w:t>
      </w:r>
      <w:r w:rsidR="00BF3F75">
        <w:rPr>
          <w:noProof/>
        </w:rPr>
        <w:fldChar w:fldCharType="end"/>
      </w:r>
      <w:bookmarkEnd w:id="386"/>
      <w:r>
        <w:t xml:space="preserve">: </w:t>
      </w:r>
      <w:r w:rsidRPr="0086161F">
        <w:t>Results of overall serious adverse events in Lindson et al. (2019), longer duration versus shorter duration combination NRT</w:t>
      </w:r>
    </w:p>
    <w:p w14:paraId="78383ED0" w14:textId="0224EB43" w:rsidR="00697C97" w:rsidRPr="00C72C5C" w:rsidRDefault="00D30A9D" w:rsidP="00C025AC">
      <w:pPr>
        <w:pStyle w:val="FigureFooter"/>
        <w:jc w:val="both"/>
      </w:pPr>
      <w:r>
        <w:t>Source: Lindson et al. (2019)</w:t>
      </w:r>
    </w:p>
    <w:p w14:paraId="19350D3E" w14:textId="03A15B86" w:rsidR="00D8424C" w:rsidRDefault="00D8424C" w:rsidP="00D8424C">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"C:\\var\\folders\\gx\\zlxfjf7d1z77ylckw36klf9h0000gn\\T\\com.microsoft.Word\\WebArchiveCopyPasteTempFiles\\nCD013308-CMP-013-05.png" \* MERGEFORMAT </w:instrText>
      </w:r>
      <w:r w:rsidRPr="70001105">
        <w:rPr>
          <w:rFonts w:ascii="Times New Roman" w:eastAsia="Times New Roman" w:hAnsi="Times New Roman" w:cs="Times New Roman"/>
          <w:lang w:eastAsia="en-GB"/>
        </w:rPr>
        <w:fldChar w:fldCharType="separate"/>
      </w:r>
      <w:r w:rsidR="2C001A3E">
        <w:rPr>
          <w:noProof/>
        </w:rPr>
        <w:drawing>
          <wp:inline distT="0" distB="0" distL="0" distR="0" wp14:anchorId="43A121A1" wp14:editId="12372386">
            <wp:extent cx="5731510" cy="1198245"/>
            <wp:effectExtent l="0" t="0" r="0" b="0"/>
            <wp:docPr id="77" name="Picture 77" descr="Comparison 13 Other comparisons, Outcome 5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17">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17940964" w14:textId="14A477D4" w:rsidR="00D8424C" w:rsidRDefault="00D8424C" w:rsidP="00C025AC">
      <w:pPr>
        <w:pStyle w:val="Caption"/>
        <w:spacing w:before="120" w:after="60"/>
        <w:jc w:val="both"/>
      </w:pPr>
      <w:bookmarkStart w:id="387" w:name="_Ref62128949"/>
      <w:r>
        <w:t xml:space="preserve">Figure </w:t>
      </w:r>
      <w:r w:rsidR="00BF3F75">
        <w:fldChar w:fldCharType="begin"/>
      </w:r>
      <w:r w:rsidR="00BF3F75">
        <w:instrText xml:space="preserve"> SEQ Figure \* ARABIC </w:instrText>
      </w:r>
      <w:r w:rsidR="00BF3F75">
        <w:fldChar w:fldCharType="separate"/>
      </w:r>
      <w:r w:rsidR="00EC5CC7">
        <w:rPr>
          <w:noProof/>
        </w:rPr>
        <w:t>95</w:t>
      </w:r>
      <w:r w:rsidR="00BF3F75">
        <w:rPr>
          <w:noProof/>
        </w:rPr>
        <w:fldChar w:fldCharType="end"/>
      </w:r>
      <w:bookmarkEnd w:id="387"/>
      <w:r>
        <w:t xml:space="preserve">: </w:t>
      </w:r>
      <w:r w:rsidRPr="00D1028E">
        <w:t xml:space="preserve">Results of key adverse events (treatment </w:t>
      </w:r>
      <w:r w:rsidR="00115AEE" w:rsidRPr="00D1028E">
        <w:t>withdrawals) in</w:t>
      </w:r>
      <w:r w:rsidRPr="00D1028E">
        <w:t xml:space="preserve"> Lindson et al. (2019), other variations in NRT use</w:t>
      </w:r>
    </w:p>
    <w:p w14:paraId="28490AEE" w14:textId="2BD26BD1" w:rsidR="00BA25B5" w:rsidRDefault="00D8424C" w:rsidP="00C025AC">
      <w:pPr>
        <w:pStyle w:val="FigureFooter"/>
        <w:spacing w:after="120"/>
        <w:contextualSpacing w:val="0"/>
        <w:jc w:val="both"/>
      </w:pPr>
      <w:r>
        <w:t>Source: Lindson et al. (2019)</w:t>
      </w:r>
    </w:p>
    <w:p w14:paraId="3048880E" w14:textId="6D3AD5B4" w:rsidR="00D8424C" w:rsidRDefault="00D8424C" w:rsidP="00D8424C">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"C:\\var\\folders\\gx\\zlxfjf7d1z77ylckw36klf9h0000gn\\T\\com.microsoft.Word\\WebArchiveCopyPasteTempFiles\\nCD013308-CMP-013-03.png" \* MERGEFORMAT </w:instrText>
      </w:r>
      <w:r w:rsidRPr="70001105">
        <w:rPr>
          <w:rFonts w:ascii="Times New Roman" w:eastAsia="Times New Roman" w:hAnsi="Times New Roman" w:cs="Times New Roman"/>
          <w:lang w:eastAsia="en-GB"/>
        </w:rPr>
        <w:fldChar w:fldCharType="separate"/>
      </w:r>
      <w:r w:rsidR="2C001A3E">
        <w:rPr>
          <w:noProof/>
        </w:rPr>
        <w:drawing>
          <wp:inline distT="0" distB="0" distL="0" distR="0" wp14:anchorId="59EC68A4" wp14:editId="685A9735">
            <wp:extent cx="5731510" cy="1198245"/>
            <wp:effectExtent l="0" t="0" r="0" b="0"/>
            <wp:docPr id="106" name="Picture 106" descr="Comparison 13 Other comparisons, Outcome 3 Cardiac 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pic:nvPicPr>
                  <pic:blipFill>
                    <a:blip r:embed="rId118">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5D7730FF" w14:textId="0EB2DC0E" w:rsidR="00D8424C" w:rsidRPr="00D8424C" w:rsidRDefault="00D8424C" w:rsidP="00C025AC">
      <w:pPr>
        <w:pStyle w:val="Caption"/>
        <w:spacing w:before="120" w:after="60"/>
        <w:jc w:val="both"/>
        <w:rPr>
          <w:rFonts w:ascii="Times New Roman" w:hAnsi="Times New Roman"/>
          <w:szCs w:val="24"/>
          <w:lang w:eastAsia="en-GB"/>
        </w:rPr>
      </w:pPr>
      <w:bookmarkStart w:id="388" w:name="_Ref62128952"/>
      <w:r>
        <w:t xml:space="preserve">Figure </w:t>
      </w:r>
      <w:r w:rsidR="00BF3F75">
        <w:fldChar w:fldCharType="begin"/>
      </w:r>
      <w:r w:rsidR="00BF3F75">
        <w:instrText xml:space="preserve"> SEQ Figure \* ARABIC </w:instrText>
      </w:r>
      <w:r w:rsidR="00BF3F75">
        <w:fldChar w:fldCharType="separate"/>
      </w:r>
      <w:r w:rsidR="00EC5CC7">
        <w:rPr>
          <w:noProof/>
        </w:rPr>
        <w:t>96</w:t>
      </w:r>
      <w:r w:rsidR="00BF3F75">
        <w:rPr>
          <w:noProof/>
        </w:rPr>
        <w:fldChar w:fldCharType="end"/>
      </w:r>
      <w:bookmarkEnd w:id="388"/>
      <w:r>
        <w:t xml:space="preserve">: </w:t>
      </w:r>
      <w:r w:rsidRPr="006F0081">
        <w:t xml:space="preserve">Results of key adverse events (cardiac </w:t>
      </w:r>
      <w:r w:rsidR="00115AEE" w:rsidRPr="006F0081">
        <w:t>AEs) in</w:t>
      </w:r>
      <w:r w:rsidRPr="006F0081">
        <w:t xml:space="preserve"> Lindson et al. (2019), other variations in NRT use</w:t>
      </w:r>
    </w:p>
    <w:p w14:paraId="671AA251" w14:textId="00824959" w:rsidR="00D30A9D" w:rsidRDefault="00D8424C" w:rsidP="00C025AC">
      <w:pPr>
        <w:pStyle w:val="FigureFooter"/>
        <w:spacing w:after="120"/>
        <w:contextualSpacing w:val="0"/>
        <w:jc w:val="both"/>
      </w:pPr>
      <w:r>
        <w:t>Source: Lindson et al. (2019)</w:t>
      </w:r>
    </w:p>
    <w:p w14:paraId="602FB576" w14:textId="77777777" w:rsidR="00D8424C" w:rsidRDefault="00D8424C" w:rsidP="00D8424C">
      <w:pPr>
        <w:pStyle w:val="FigureFooter"/>
      </w:pPr>
    </w:p>
    <w:p w14:paraId="03D1F10B" w14:textId="659EB425" w:rsidR="00D30A9D" w:rsidRDefault="00D30A9D" w:rsidP="00D30A9D">
      <w:pPr>
        <w:keepNext/>
      </w:pPr>
      <w:r>
        <w:fldChar w:fldCharType="begin"/>
      </w:r>
      <w:r w:rsidR="006C5D5E">
        <w:instrText xml:space="preserve"> INCLUDEPICTURE "C:\\var\\folders\\gx\\zlxfjf7d1z77ylckw36klf9h0000gn\\T\\com.microsoft.Word\\WebArchiveCopyPasteTempFiles\\nCD013308-CMP-003-02.png" \* MERGEFORMAT </w:instrText>
      </w:r>
      <w:r>
        <w:fldChar w:fldCharType="separate"/>
      </w:r>
      <w:r w:rsidR="1F400C3E">
        <w:rPr>
          <w:noProof/>
        </w:rPr>
        <w:drawing>
          <wp:inline distT="0" distB="0" distL="0" distR="0" wp14:anchorId="109656B1" wp14:editId="7667A9B0">
            <wp:extent cx="5731510" cy="1198245"/>
            <wp:effectExtent l="0" t="0" r="0" b="0"/>
            <wp:docPr id="104" name="Picture 104" descr="Comparison 3 Effect of tapering patch dose, Outcome 2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pic:nvPicPr>
                  <pic:blipFill>
                    <a:blip r:embed="rId119">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fldChar w:fldCharType="end"/>
      </w:r>
    </w:p>
    <w:p w14:paraId="2818F0E3" w14:textId="66D607B4" w:rsidR="00D30A9D" w:rsidRDefault="00D30A9D" w:rsidP="00C025AC">
      <w:pPr>
        <w:pStyle w:val="Caption"/>
        <w:spacing w:before="120" w:after="60"/>
        <w:jc w:val="both"/>
        <w:rPr>
          <w:szCs w:val="24"/>
        </w:rPr>
      </w:pPr>
      <w:bookmarkStart w:id="389" w:name="_Ref62129071"/>
      <w:r>
        <w:t xml:space="preserve">Figure </w:t>
      </w:r>
      <w:r w:rsidR="00BF3F75">
        <w:fldChar w:fldCharType="begin"/>
      </w:r>
      <w:r w:rsidR="00BF3F75">
        <w:instrText xml:space="preserve"> SEQ Figure \* ARABIC </w:instrText>
      </w:r>
      <w:r w:rsidR="00BF3F75">
        <w:fldChar w:fldCharType="separate"/>
      </w:r>
      <w:r w:rsidR="00EC5CC7">
        <w:rPr>
          <w:noProof/>
        </w:rPr>
        <w:t>97</w:t>
      </w:r>
      <w:r w:rsidR="00BF3F75">
        <w:rPr>
          <w:noProof/>
        </w:rPr>
        <w:fldChar w:fldCharType="end"/>
      </w:r>
      <w:bookmarkEnd w:id="389"/>
      <w:r>
        <w:t xml:space="preserve">: </w:t>
      </w:r>
      <w:r w:rsidRPr="00D67F5B">
        <w:t>Results of key adverse events (treatment withdrawals) in Lindson et al. (2019), tapering patch dose</w:t>
      </w:r>
    </w:p>
    <w:p w14:paraId="650B55AE" w14:textId="0CB38E8F" w:rsidR="00D30A9D" w:rsidRDefault="00D30A9D" w:rsidP="00C025AC">
      <w:pPr>
        <w:pStyle w:val="FigureFooter"/>
        <w:spacing w:after="120"/>
        <w:contextualSpacing w:val="0"/>
        <w:jc w:val="both"/>
      </w:pPr>
      <w:r>
        <w:t>Source: Lindson et al. (2019)</w:t>
      </w:r>
    </w:p>
    <w:p w14:paraId="7EE2D025" w14:textId="687A57EB" w:rsidR="00D30A9D" w:rsidRDefault="00D30A9D" w:rsidP="00D30A9D">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"C:\\var\\folders\\gx\\zlxfjf7d1z77ylckw36klf9h0000gn\\T\\com.microsoft.Word\\WebArchiveCopyPasteTempFiles\\nCD013308-CMP-009-02.png"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79A9D07A" wp14:editId="01E5B230">
            <wp:extent cx="5731510" cy="1198245"/>
            <wp:effectExtent l="0" t="0" r="0" b="0"/>
            <wp:docPr id="95" name="Picture 95" descr="Comparison 9 Fixed versus ad lib dose schedule, Outcome 2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pic:nvPicPr>
                  <pic:blipFill>
                    <a:blip r:embed="rId120">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5E5816C6" w14:textId="3793E724" w:rsidR="00D30A9D" w:rsidRDefault="00D30A9D" w:rsidP="00C025AC">
      <w:pPr>
        <w:pStyle w:val="Caption"/>
        <w:spacing w:before="120" w:after="60"/>
        <w:jc w:val="both"/>
      </w:pPr>
      <w:bookmarkStart w:id="390" w:name="_Ref62129113"/>
      <w:r>
        <w:t xml:space="preserve">Figure </w:t>
      </w:r>
      <w:r w:rsidR="00BF3F75">
        <w:fldChar w:fldCharType="begin"/>
      </w:r>
      <w:r w:rsidR="00BF3F75">
        <w:instrText xml:space="preserve"> SEQ Figure \* ARABIC </w:instrText>
      </w:r>
      <w:r w:rsidR="00BF3F75">
        <w:fldChar w:fldCharType="separate"/>
      </w:r>
      <w:r w:rsidR="00EC5CC7">
        <w:rPr>
          <w:noProof/>
        </w:rPr>
        <w:t>98</w:t>
      </w:r>
      <w:r w:rsidR="00BF3F75">
        <w:rPr>
          <w:noProof/>
        </w:rPr>
        <w:fldChar w:fldCharType="end"/>
      </w:r>
      <w:bookmarkEnd w:id="390"/>
      <w:r>
        <w:t xml:space="preserve">: </w:t>
      </w:r>
      <w:r w:rsidRPr="009A1E57">
        <w:t>Results of overall serious adverse events in Lindson et al. (2019), fixed versus ad lib dosing</w:t>
      </w:r>
    </w:p>
    <w:p w14:paraId="4EAAEF46" w14:textId="458AE6AF" w:rsidR="00D30A9D" w:rsidRDefault="00D30A9D" w:rsidP="00C025AC">
      <w:pPr>
        <w:pStyle w:val="FigureFooter"/>
        <w:jc w:val="both"/>
      </w:pPr>
      <w:r>
        <w:t>Source: Lindson et al. (2019)</w:t>
      </w:r>
    </w:p>
    <w:p w14:paraId="0575EBC0" w14:textId="77777777" w:rsidR="00E60AFC" w:rsidRPr="00C27B0A" w:rsidRDefault="00E60AFC" w:rsidP="00D30A9D">
      <w:pPr>
        <w:pStyle w:val="FigureFooter"/>
      </w:pPr>
    </w:p>
    <w:p w14:paraId="0EAA2494" w14:textId="4BB5BE4B" w:rsidR="00D30A9D" w:rsidRDefault="00D30A9D" w:rsidP="00D30A9D">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"C:\\var\\folders\\gx\\zlxfjf7d1z77ylckw36klf9h0000gn\\T\\com.microsoft.Word\\WebArchiveCopyPasteTempFiles\\nCD013308-CMP-009-03.png"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2ED8E104" wp14:editId="63F1889E">
            <wp:extent cx="5731510" cy="1578610"/>
            <wp:effectExtent l="0" t="0" r="0" b="0"/>
            <wp:docPr id="96" name="Picture 96" descr="Comparison 9 Fixed versus ad lib dose schedule, Outcome 3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pic:nvPicPr>
                  <pic:blipFill>
                    <a:blip r:embed="rId121">
                      <a:extLst>
                        <a:ext uri="{28A0092B-C50C-407E-A947-70E740481C1C}">
                          <a14:useLocalDpi xmlns:a14="http://schemas.microsoft.com/office/drawing/2010/main" val="0"/>
                        </a:ext>
                      </a:extLst>
                    </a:blip>
                    <a:stretch>
                      <a:fillRect/>
                    </a:stretch>
                  </pic:blipFill>
                  <pic:spPr>
                    <a:xfrm>
                      <a:off x="0" y="0"/>
                      <a:ext cx="5731510" cy="157861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3049F491" w14:textId="1C31DA71" w:rsidR="00D30A9D" w:rsidRDefault="00D30A9D" w:rsidP="00C025AC">
      <w:pPr>
        <w:pStyle w:val="Caption"/>
        <w:spacing w:before="120" w:after="60"/>
        <w:jc w:val="both"/>
      </w:pPr>
      <w:bookmarkStart w:id="391" w:name="_Ref62129115"/>
      <w:r>
        <w:t xml:space="preserve">Figure </w:t>
      </w:r>
      <w:r w:rsidR="00BF3F75">
        <w:fldChar w:fldCharType="begin"/>
      </w:r>
      <w:r w:rsidR="00BF3F75">
        <w:instrText xml:space="preserve"> SEQ Figure \* ARABIC </w:instrText>
      </w:r>
      <w:r w:rsidR="00BF3F75">
        <w:fldChar w:fldCharType="separate"/>
      </w:r>
      <w:r w:rsidR="00EC5CC7">
        <w:rPr>
          <w:noProof/>
        </w:rPr>
        <w:t>99</w:t>
      </w:r>
      <w:r w:rsidR="00BF3F75">
        <w:rPr>
          <w:noProof/>
        </w:rPr>
        <w:fldChar w:fldCharType="end"/>
      </w:r>
      <w:bookmarkEnd w:id="391"/>
      <w:r>
        <w:t xml:space="preserve">: </w:t>
      </w:r>
      <w:r w:rsidRPr="002B45D3">
        <w:t xml:space="preserve">Results of </w:t>
      </w:r>
      <w:r>
        <w:t>treatment withdrawals</w:t>
      </w:r>
      <w:r w:rsidRPr="002B45D3">
        <w:t xml:space="preserve"> in Lindson et al. (2019), fixed versus ad lib dosing</w:t>
      </w:r>
    </w:p>
    <w:p w14:paraId="28BD278A" w14:textId="632D11BC" w:rsidR="00D30A9D" w:rsidRDefault="00D30A9D" w:rsidP="00C025AC">
      <w:pPr>
        <w:pStyle w:val="FigureFooter"/>
        <w:spacing w:after="120"/>
        <w:contextualSpacing w:val="0"/>
        <w:jc w:val="both"/>
      </w:pPr>
      <w:r>
        <w:t>Source: Lindson et al. (2019)</w:t>
      </w:r>
    </w:p>
    <w:p w14:paraId="63427215" w14:textId="77777777" w:rsidR="00E60AFC" w:rsidRPr="00C27B0A" w:rsidRDefault="00E60AFC" w:rsidP="00D30A9D">
      <w:pPr>
        <w:pStyle w:val="FigureFooter"/>
      </w:pPr>
    </w:p>
    <w:p w14:paraId="7BA2A3FC" w14:textId="2378A4D1" w:rsidR="00D30A9D" w:rsidRDefault="00D30A9D" w:rsidP="00D30A9D">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"C:\\var\\folders\\gx\\zlxfjf7d1z77ylckw36klf9h0000gn\\T\\com.microsoft.Word\\WebArchiveCopyPasteTempFiles\\nCD013308-CMP-010-02.png"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2F87630F" wp14:editId="4413038C">
            <wp:extent cx="5731510" cy="1198245"/>
            <wp:effectExtent l="0" t="0" r="0" b="0"/>
            <wp:docPr id="97" name="Picture 97" descr="Comparison 10 Preloading versus standard use, Outcome 2 Palp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pic:nvPicPr>
                  <pic:blipFill>
                    <a:blip r:embed="rId122">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2979E5FF" w14:textId="626A869C" w:rsidR="00D30A9D" w:rsidRDefault="00D30A9D" w:rsidP="00C025AC">
      <w:pPr>
        <w:pStyle w:val="Caption"/>
        <w:spacing w:before="120" w:after="60"/>
        <w:jc w:val="both"/>
      </w:pPr>
      <w:bookmarkStart w:id="392" w:name="_Ref62129204"/>
      <w:r>
        <w:t xml:space="preserve">Figure </w:t>
      </w:r>
      <w:r w:rsidR="00BF3F75">
        <w:fldChar w:fldCharType="begin"/>
      </w:r>
      <w:r w:rsidR="00BF3F75">
        <w:instrText xml:space="preserve"> SEQ Figure \* ARABIC </w:instrText>
      </w:r>
      <w:r w:rsidR="00BF3F75">
        <w:fldChar w:fldCharType="separate"/>
      </w:r>
      <w:r w:rsidR="00EC5CC7">
        <w:rPr>
          <w:noProof/>
        </w:rPr>
        <w:t>100</w:t>
      </w:r>
      <w:r w:rsidR="00BF3F75">
        <w:rPr>
          <w:noProof/>
        </w:rPr>
        <w:fldChar w:fldCharType="end"/>
      </w:r>
      <w:bookmarkEnd w:id="392"/>
      <w:r>
        <w:t xml:space="preserve">: </w:t>
      </w:r>
      <w:r w:rsidRPr="00B361D9">
        <w:t>Results key adverse events (palpitations) in Lindson et al. (2019), preloading versus standard use</w:t>
      </w:r>
    </w:p>
    <w:p w14:paraId="77CF59A6" w14:textId="7321A166" w:rsidR="00D30A9D" w:rsidRDefault="00D30A9D" w:rsidP="00C025AC">
      <w:pPr>
        <w:pStyle w:val="FigureFooter"/>
        <w:spacing w:after="120"/>
        <w:contextualSpacing w:val="0"/>
        <w:jc w:val="both"/>
      </w:pPr>
      <w:r>
        <w:t>Source: Lindson et al. (2019)</w:t>
      </w:r>
    </w:p>
    <w:p w14:paraId="68AF2CF7" w14:textId="42D4E402" w:rsidR="00D30A9D" w:rsidRDefault="00D30A9D" w:rsidP="00D30A9D">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"C:\\var\\folders\\gx\\zlxfjf7d1z77ylckw36klf9h0000gn\\T\\com.microsoft.Word\\WebArchiveCopyPasteTempFiles\\nCD013308-CMP-010-03.png"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4B526ABC" wp14:editId="287BDCCA">
            <wp:extent cx="5731510" cy="1198245"/>
            <wp:effectExtent l="0" t="0" r="0" b="0"/>
            <wp:docPr id="98" name="Picture 98" descr="Comparison 10 Preloading versus standard use, Outcome 3 Cardiac 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pic:nvPicPr>
                  <pic:blipFill>
                    <a:blip r:embed="rId123">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235CDCB8" w14:textId="611FEDAF" w:rsidR="00D30A9D" w:rsidRDefault="00D30A9D" w:rsidP="00C025AC">
      <w:pPr>
        <w:pStyle w:val="Caption"/>
        <w:spacing w:before="120" w:after="60"/>
        <w:jc w:val="both"/>
        <w:rPr>
          <w:rFonts w:ascii="Times New Roman" w:hAnsi="Times New Roman"/>
          <w:szCs w:val="24"/>
        </w:rPr>
      </w:pPr>
      <w:bookmarkStart w:id="393" w:name="_Ref62129207"/>
      <w:r>
        <w:t xml:space="preserve">Figure </w:t>
      </w:r>
      <w:r w:rsidR="00BF3F75">
        <w:fldChar w:fldCharType="begin"/>
      </w:r>
      <w:r w:rsidR="00BF3F75">
        <w:instrText xml:space="preserve"> SEQ Figure \* ARABIC </w:instrText>
      </w:r>
      <w:r w:rsidR="00BF3F75">
        <w:fldChar w:fldCharType="separate"/>
      </w:r>
      <w:r w:rsidR="00EC5CC7">
        <w:rPr>
          <w:noProof/>
        </w:rPr>
        <w:t>101</w:t>
      </w:r>
      <w:r w:rsidR="00BF3F75">
        <w:rPr>
          <w:noProof/>
        </w:rPr>
        <w:fldChar w:fldCharType="end"/>
      </w:r>
      <w:bookmarkEnd w:id="393"/>
      <w:r>
        <w:t xml:space="preserve">: </w:t>
      </w:r>
      <w:r w:rsidRPr="00AA600E">
        <w:t>Results key adverse events (cardiac AEs) in Lindson et al. (2019), preloading versus standard use</w:t>
      </w:r>
    </w:p>
    <w:p w14:paraId="6BD789EA" w14:textId="31F46E39" w:rsidR="00D30A9D" w:rsidRDefault="00D30A9D" w:rsidP="00C025AC">
      <w:pPr>
        <w:pStyle w:val="FigureFooter"/>
        <w:spacing w:after="120"/>
        <w:contextualSpacing w:val="0"/>
        <w:jc w:val="both"/>
      </w:pPr>
      <w:r>
        <w:t>Source: Lindson et al. (2019)</w:t>
      </w:r>
    </w:p>
    <w:p w14:paraId="46D2B3F8" w14:textId="1DC58C91" w:rsidR="00D30A9D" w:rsidRDefault="00D30A9D" w:rsidP="00D30A9D">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"C:\\var\\folders\\gx\\zlxfjf7d1z77ylckw36klf9h0000gn\\T\\com.microsoft.Word\\WebArchiveCopyPasteTempFiles\\nCD013308-CMP-010-04.png"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1FF18E1E" wp14:editId="32D1FD70">
            <wp:extent cx="5731510" cy="1713865"/>
            <wp:effectExtent l="0" t="0" r="0" b="635"/>
            <wp:docPr id="99" name="Picture 99" descr="Comparison 10 Preloading versus standard use, Outcome 4 Cardiac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ic:nvPicPr>
                  <pic:blipFill>
                    <a:blip r:embed="rId124">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1C4F028B" w14:textId="6F60BE47" w:rsidR="00D30A9D" w:rsidRDefault="00D30A9D" w:rsidP="00C025AC">
      <w:pPr>
        <w:pStyle w:val="Caption"/>
        <w:spacing w:before="120" w:after="60"/>
        <w:jc w:val="both"/>
        <w:rPr>
          <w:rFonts w:ascii="Times New Roman" w:hAnsi="Times New Roman"/>
          <w:szCs w:val="24"/>
        </w:rPr>
      </w:pPr>
      <w:bookmarkStart w:id="394" w:name="_Ref62129209"/>
      <w:r>
        <w:t xml:space="preserve">Figure </w:t>
      </w:r>
      <w:r w:rsidR="00BF3F75">
        <w:fldChar w:fldCharType="begin"/>
      </w:r>
      <w:r w:rsidR="00BF3F75">
        <w:instrText xml:space="preserve"> SEQ Figure \* ARABIC </w:instrText>
      </w:r>
      <w:r w:rsidR="00BF3F75">
        <w:fldChar w:fldCharType="separate"/>
      </w:r>
      <w:r w:rsidR="00EC5CC7">
        <w:rPr>
          <w:noProof/>
        </w:rPr>
        <w:t>102</w:t>
      </w:r>
      <w:r w:rsidR="00BF3F75">
        <w:rPr>
          <w:noProof/>
        </w:rPr>
        <w:fldChar w:fldCharType="end"/>
      </w:r>
      <w:bookmarkEnd w:id="394"/>
      <w:r>
        <w:t xml:space="preserve">: </w:t>
      </w:r>
      <w:r w:rsidRPr="009F177F">
        <w:t>Results key adverse events (cardiac SAEs) in Lindson et al. (2019), preloading versus standard use</w:t>
      </w:r>
    </w:p>
    <w:p w14:paraId="7F7941C5" w14:textId="33DBC756" w:rsidR="00D30A9D" w:rsidRDefault="00D30A9D" w:rsidP="00C025AC">
      <w:pPr>
        <w:pStyle w:val="FigureFooter"/>
        <w:jc w:val="both"/>
      </w:pPr>
      <w:r>
        <w:t>Source: Lindson et al. (2019)</w:t>
      </w:r>
    </w:p>
    <w:p w14:paraId="36FD8A4B" w14:textId="77777777" w:rsidR="00E60AFC" w:rsidRPr="00E60AFC" w:rsidRDefault="00E60AFC" w:rsidP="00E60AFC">
      <w:pPr>
        <w:pStyle w:val="FigureFooter"/>
      </w:pPr>
    </w:p>
    <w:p w14:paraId="69DD138E" w14:textId="108BF308" w:rsidR="00D30A9D" w:rsidRDefault="00D30A9D" w:rsidP="00D30A9D">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"C:\\var\\folders\\gx\\zlxfjf7d1z77ylckw36klf9h0000gn\\T\\com.microsoft.Word\\WebArchiveCopyPasteTempFiles\\nCD013308-CMP-010-05.png"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5A789A38" wp14:editId="3CF4732D">
            <wp:extent cx="5731510" cy="1831340"/>
            <wp:effectExtent l="0" t="0" r="0" b="0"/>
            <wp:docPr id="100" name="Picture 100" descr="Comparison 10 Preloading versus standard use, Outcome 5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pic:nvPicPr>
                  <pic:blipFill>
                    <a:blip r:embed="rId125">
                      <a:extLst>
                        <a:ext uri="{28A0092B-C50C-407E-A947-70E740481C1C}">
                          <a14:useLocalDpi xmlns:a14="http://schemas.microsoft.com/office/drawing/2010/main" val="0"/>
                        </a:ext>
                      </a:extLst>
                    </a:blip>
                    <a:stretch>
                      <a:fillRect/>
                    </a:stretch>
                  </pic:blipFill>
                  <pic:spPr>
                    <a:xfrm>
                      <a:off x="0" y="0"/>
                      <a:ext cx="5731510" cy="183134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61442B7D" w14:textId="4FE2D918" w:rsidR="00D30A9D" w:rsidRDefault="00D30A9D" w:rsidP="00C025AC">
      <w:pPr>
        <w:pStyle w:val="Caption"/>
        <w:spacing w:before="120" w:after="60"/>
        <w:jc w:val="both"/>
      </w:pPr>
      <w:bookmarkStart w:id="395" w:name="_Ref62129211"/>
      <w:r>
        <w:t xml:space="preserve">Figure </w:t>
      </w:r>
      <w:r w:rsidR="00BF3F75">
        <w:fldChar w:fldCharType="begin"/>
      </w:r>
      <w:r w:rsidR="00BF3F75">
        <w:instrText xml:space="preserve"> SEQ Figure \* ARABIC </w:instrText>
      </w:r>
      <w:r w:rsidR="00BF3F75">
        <w:fldChar w:fldCharType="separate"/>
      </w:r>
      <w:r w:rsidR="00EC5CC7">
        <w:rPr>
          <w:noProof/>
        </w:rPr>
        <w:t>103</w:t>
      </w:r>
      <w:r w:rsidR="00BF3F75">
        <w:rPr>
          <w:noProof/>
        </w:rPr>
        <w:fldChar w:fldCharType="end"/>
      </w:r>
      <w:bookmarkEnd w:id="395"/>
      <w:r>
        <w:t xml:space="preserve">: </w:t>
      </w:r>
      <w:r w:rsidRPr="002E3D2C">
        <w:t>Results key adverse events (overall SAEs) in Lindson et al. (2019), preloading versus standard use</w:t>
      </w:r>
    </w:p>
    <w:p w14:paraId="71843849" w14:textId="37BED87B" w:rsidR="00D30A9D" w:rsidRDefault="00D30A9D" w:rsidP="00C025AC">
      <w:pPr>
        <w:pStyle w:val="FigureFooter"/>
        <w:spacing w:after="120"/>
        <w:contextualSpacing w:val="0"/>
        <w:jc w:val="both"/>
      </w:pPr>
      <w:r>
        <w:t>Source: Lindson et al. (2019)</w:t>
      </w:r>
    </w:p>
    <w:p w14:paraId="78702C9F" w14:textId="615075FA" w:rsidR="00D30A9D" w:rsidRDefault="00D30A9D" w:rsidP="00D30A9D">
      <w:pPr>
        <w:keepNext/>
        <w:spacing w:after="0"/>
      </w:pPr>
      <w:r w:rsidRPr="70001105">
        <w:rPr>
          <w:rFonts w:ascii="Times New Roman" w:eastAsia="Times New Roman" w:hAnsi="Times New Roman" w:cs="Times New Roman"/>
          <w:lang w:eastAsia="en-GB"/>
        </w:rPr>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"C:\\var\\folders\\gx\\zlxfjf7d1z77ylckw36klf9h0000gn\\T\\com.microsoft.Word\\WebArchiveCopyPasteTempFiles\\nCD013308-CMP-010-06.png" \* MERGEFORMAT </w:instrText>
      </w:r>
      <w:r w:rsidRPr="70001105">
        <w:rPr>
          <w:rFonts w:ascii="Times New Roman" w:eastAsia="Times New Roman" w:hAnsi="Times New Roman" w:cs="Times New Roman"/>
          <w:lang w:eastAsia="en-GB"/>
        </w:rPr>
        <w:fldChar w:fldCharType="separate"/>
      </w:r>
      <w:r w:rsidR="1F400C3E">
        <w:rPr>
          <w:noProof/>
        </w:rPr>
        <w:drawing>
          <wp:inline distT="0" distB="0" distL="0" distR="0" wp14:anchorId="11B2C921" wp14:editId="08F355C0">
            <wp:extent cx="5731510" cy="1198245"/>
            <wp:effectExtent l="0" t="0" r="0" b="0"/>
            <wp:docPr id="101" name="Picture 101" descr="Comparison 10 Preloading versus standard use, Outcome 6 Treatment withdra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pic:nvPicPr>
                  <pic:blipFill>
                    <a:blip r:embed="rId126">
                      <a:extLst>
                        <a:ext uri="{28A0092B-C50C-407E-A947-70E740481C1C}">
                          <a14:useLocalDpi xmlns:a14="http://schemas.microsoft.com/office/drawing/2010/main" val="0"/>
                        </a:ext>
                      </a:extLst>
                    </a:blip>
                    <a:stretch>
                      <a:fillRect/>
                    </a:stretch>
                  </pic:blipFill>
                  <pic:spPr>
                    <a:xfrm>
                      <a:off x="0" y="0"/>
                      <a:ext cx="5731510" cy="1198245"/>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026CC361" w14:textId="2B4D403D" w:rsidR="00D30A9D" w:rsidRPr="000C066D" w:rsidRDefault="00D30A9D" w:rsidP="00C025AC">
      <w:pPr>
        <w:pStyle w:val="Caption"/>
        <w:spacing w:before="120" w:after="60"/>
        <w:jc w:val="both"/>
        <w:rPr>
          <w:rFonts w:ascii="Times New Roman" w:hAnsi="Times New Roman"/>
          <w:szCs w:val="24"/>
        </w:rPr>
      </w:pPr>
      <w:bookmarkStart w:id="396" w:name="_Ref62129213"/>
      <w:r>
        <w:t xml:space="preserve">Figure </w:t>
      </w:r>
      <w:r w:rsidR="00BF3F75">
        <w:fldChar w:fldCharType="begin"/>
      </w:r>
      <w:r w:rsidR="00BF3F75">
        <w:instrText xml:space="preserve"> SEQ Figure \* ARABIC </w:instrText>
      </w:r>
      <w:r w:rsidR="00BF3F75">
        <w:fldChar w:fldCharType="separate"/>
      </w:r>
      <w:r w:rsidR="00EC5CC7">
        <w:rPr>
          <w:noProof/>
        </w:rPr>
        <w:t>104</w:t>
      </w:r>
      <w:r w:rsidR="00BF3F75">
        <w:rPr>
          <w:noProof/>
        </w:rPr>
        <w:fldChar w:fldCharType="end"/>
      </w:r>
      <w:bookmarkEnd w:id="396"/>
      <w:r>
        <w:t xml:space="preserve">: </w:t>
      </w:r>
      <w:r w:rsidRPr="00F42075">
        <w:t xml:space="preserve">Results </w:t>
      </w:r>
      <w:r w:rsidR="00C03ADC">
        <w:t xml:space="preserve">of </w:t>
      </w:r>
      <w:r w:rsidRPr="00F42075">
        <w:t>key adverse events (treatment withdrawals) in Lindson et al. (2019), preloading versus standard use</w:t>
      </w:r>
    </w:p>
    <w:p w14:paraId="30E3930D" w14:textId="59CFF505" w:rsidR="00D30A9D" w:rsidRDefault="00D30A9D" w:rsidP="00C025AC">
      <w:pPr>
        <w:pStyle w:val="FigureFooter"/>
        <w:spacing w:after="120"/>
        <w:contextualSpacing w:val="0"/>
        <w:jc w:val="both"/>
      </w:pPr>
      <w:r>
        <w:t>Source: Lindson et al. (2019)</w:t>
      </w:r>
    </w:p>
    <w:p w14:paraId="4B708B24" w14:textId="77777777" w:rsidR="005030D4" w:rsidRPr="002E5F24" w:rsidRDefault="005030D4" w:rsidP="005030D4">
      <w:pPr>
        <w:pStyle w:val="FigureFooter"/>
      </w:pPr>
    </w:p>
    <w:p w14:paraId="2132C3FA" w14:textId="77777777" w:rsidR="006F5176" w:rsidRDefault="6F3D9E50" w:rsidP="006F5176">
      <w:pPr>
        <w:keepNext/>
      </w:pPr>
      <w:r>
        <w:rPr>
          <w:noProof/>
        </w:rPr>
        <w:drawing>
          <wp:inline distT="0" distB="0" distL="0" distR="0" wp14:anchorId="1ED33930" wp14:editId="7A2D5667">
            <wp:extent cx="5731510" cy="787400"/>
            <wp:effectExtent l="0" t="0" r="0" b="0"/>
            <wp:docPr id="108" name="Picture 10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pic:nvPicPr>
                  <pic:blipFill>
                    <a:blip r:embed="rId127">
                      <a:extLst>
                        <a:ext uri="{28A0092B-C50C-407E-A947-70E740481C1C}">
                          <a14:useLocalDpi xmlns:a14="http://schemas.microsoft.com/office/drawing/2010/main" val="0"/>
                        </a:ext>
                      </a:extLst>
                    </a:blip>
                    <a:stretch>
                      <a:fillRect/>
                    </a:stretch>
                  </pic:blipFill>
                  <pic:spPr>
                    <a:xfrm>
                      <a:off x="0" y="0"/>
                      <a:ext cx="5731510" cy="787400"/>
                    </a:xfrm>
                    <a:prstGeom prst="rect">
                      <a:avLst/>
                    </a:prstGeom>
                  </pic:spPr>
                </pic:pic>
              </a:graphicData>
            </a:graphic>
          </wp:inline>
        </w:drawing>
      </w:r>
    </w:p>
    <w:p w14:paraId="30CABAE9" w14:textId="142E9A26" w:rsidR="00FE2F60" w:rsidRDefault="006F5176" w:rsidP="00C025AC">
      <w:pPr>
        <w:pStyle w:val="Caption"/>
        <w:spacing w:before="120" w:after="60"/>
        <w:jc w:val="both"/>
      </w:pPr>
      <w:bookmarkStart w:id="397" w:name="_Ref62129944"/>
      <w:r>
        <w:t xml:space="preserve">Figure </w:t>
      </w:r>
      <w:r w:rsidR="00BF3F75">
        <w:fldChar w:fldCharType="begin"/>
      </w:r>
      <w:r w:rsidR="00BF3F75">
        <w:instrText xml:space="preserve"> SEQ Figure \* ARABIC </w:instrText>
      </w:r>
      <w:r w:rsidR="00BF3F75">
        <w:fldChar w:fldCharType="separate"/>
      </w:r>
      <w:r w:rsidR="00EC5CC7">
        <w:rPr>
          <w:noProof/>
        </w:rPr>
        <w:t>105</w:t>
      </w:r>
      <w:r w:rsidR="00BF3F75">
        <w:rPr>
          <w:noProof/>
        </w:rPr>
        <w:fldChar w:fldCharType="end"/>
      </w:r>
      <w:bookmarkEnd w:id="397"/>
      <w:r>
        <w:t xml:space="preserve">: </w:t>
      </w:r>
      <w:r w:rsidRPr="005213FA">
        <w:t>Results of key adverse events (AEs) in Lindson et al. (2019b), reduction with pharmacotherapy versus reduction alone</w:t>
      </w:r>
    </w:p>
    <w:p w14:paraId="215B49A6" w14:textId="777712CE" w:rsidR="006F5176" w:rsidRDefault="006F5176" w:rsidP="00C025AC">
      <w:pPr>
        <w:pStyle w:val="FigureFooter"/>
        <w:spacing w:after="120"/>
        <w:contextualSpacing w:val="0"/>
        <w:jc w:val="both"/>
      </w:pPr>
      <w:r>
        <w:t>Source: Lindson et al. (2019</w:t>
      </w:r>
      <w:r w:rsidR="005030D4">
        <w:t>b</w:t>
      </w:r>
      <w:r>
        <w:t>)</w:t>
      </w:r>
    </w:p>
    <w:p w14:paraId="216384FF" w14:textId="77777777" w:rsidR="005030D4" w:rsidRPr="006F5176" w:rsidRDefault="005030D4" w:rsidP="005030D4">
      <w:pPr>
        <w:pStyle w:val="FigureFooter"/>
      </w:pPr>
    </w:p>
    <w:p w14:paraId="57C5B50F" w14:textId="77777777" w:rsidR="006F5176" w:rsidRDefault="262FAB5F" w:rsidP="006F5176">
      <w:pPr>
        <w:keepNext/>
      </w:pPr>
      <w:r>
        <w:rPr>
          <w:noProof/>
        </w:rPr>
        <w:drawing>
          <wp:inline distT="0" distB="0" distL="0" distR="0" wp14:anchorId="6FD2F0DB" wp14:editId="38589B57">
            <wp:extent cx="5731510" cy="1447165"/>
            <wp:effectExtent l="0" t="0" r="0" b="635"/>
            <wp:docPr id="109" name="Picture 10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pic:nvPicPr>
                  <pic:blipFill>
                    <a:blip r:embed="rId128">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481D15FE" w14:textId="238C7200" w:rsidR="00D55221" w:rsidRDefault="006F5176" w:rsidP="00C025AC">
      <w:pPr>
        <w:pStyle w:val="Caption"/>
        <w:spacing w:before="120" w:after="60"/>
        <w:jc w:val="both"/>
      </w:pPr>
      <w:bookmarkStart w:id="398" w:name="_Ref62129946"/>
      <w:r>
        <w:t xml:space="preserve">Figure </w:t>
      </w:r>
      <w:r w:rsidR="00BF3F75">
        <w:fldChar w:fldCharType="begin"/>
      </w:r>
      <w:r w:rsidR="00BF3F75">
        <w:instrText xml:space="preserve"> SEQ Figure \* ARABIC </w:instrText>
      </w:r>
      <w:r w:rsidR="00BF3F75">
        <w:fldChar w:fldCharType="separate"/>
      </w:r>
      <w:r w:rsidR="00EC5CC7">
        <w:rPr>
          <w:noProof/>
        </w:rPr>
        <w:t>106</w:t>
      </w:r>
      <w:r w:rsidR="00BF3F75">
        <w:rPr>
          <w:noProof/>
        </w:rPr>
        <w:fldChar w:fldCharType="end"/>
      </w:r>
      <w:bookmarkEnd w:id="398"/>
      <w:r>
        <w:t xml:space="preserve">: </w:t>
      </w:r>
      <w:r w:rsidRPr="00890018">
        <w:t>Results of key adverse events (SAEs) in Lindson et al. (2019b), reduction with pharmacotherapy versus reduction alone</w:t>
      </w:r>
    </w:p>
    <w:p w14:paraId="3BACFA05" w14:textId="3EA52CAD" w:rsidR="00EB43F2" w:rsidRDefault="005030D4" w:rsidP="00C025AC">
      <w:pPr>
        <w:pStyle w:val="FigureFooter"/>
        <w:jc w:val="both"/>
      </w:pPr>
      <w:r>
        <w:t>Source: Lindson et al. (2019b)</w:t>
      </w:r>
    </w:p>
    <w:p w14:paraId="2FAA01A7" w14:textId="77777777" w:rsidR="005030D4" w:rsidRDefault="005030D4" w:rsidP="005030D4">
      <w:pPr>
        <w:pStyle w:val="FigureFooter"/>
      </w:pPr>
    </w:p>
    <w:p w14:paraId="7DAD68FF" w14:textId="1D523251" w:rsidR="00796D14" w:rsidRDefault="00DB0F8B" w:rsidP="00796D14">
      <w:pPr>
        <w:keepNext/>
        <w:spacing w:after="0"/>
      </w:pPr>
      <w:r w:rsidRPr="70001105">
        <w:rPr>
          <w:rFonts w:ascii="Times New Roman" w:eastAsia="Times New Roman" w:hAnsi="Times New Roman" w:cs="Times New Roman"/>
          <w:lang w:eastAsia="en-GB"/>
        </w:rPr>
        <w:lastRenderedPageBreak/>
        <w:fldChar w:fldCharType="begin"/>
      </w:r>
      <w:r w:rsidR="006C5D5E">
        <w:rPr>
          <w:rFonts w:ascii="Times New Roman" w:eastAsia="Times New Roman" w:hAnsi="Times New Roman" w:cs="Times New Roman"/>
          <w:lang w:eastAsia="en-GB"/>
        </w:rPr>
        <w:instrText xml:space="preserve"> INCLUDEPICTURE "C:\\var\\folders\\gx\\zlxfjf7d1z77ylckw36klf9h0000gn\\T\\com.microsoft.Word\\WebArchiveCopyPasteTempFiles\\nCD013308-CMP-006-03.png" \* MERGEFORMAT </w:instrText>
      </w:r>
      <w:r w:rsidRPr="70001105">
        <w:rPr>
          <w:rFonts w:ascii="Times New Roman" w:eastAsia="Times New Roman" w:hAnsi="Times New Roman" w:cs="Times New Roman"/>
          <w:lang w:eastAsia="en-GB"/>
        </w:rPr>
        <w:fldChar w:fldCharType="separate"/>
      </w:r>
      <w:r w:rsidR="3DF0127B">
        <w:rPr>
          <w:noProof/>
        </w:rPr>
        <w:drawing>
          <wp:inline distT="0" distB="0" distL="0" distR="0" wp14:anchorId="2939550C" wp14:editId="3A4C1E11">
            <wp:extent cx="5731510" cy="2089150"/>
            <wp:effectExtent l="0" t="0" r="0" b="6350"/>
            <wp:docPr id="107" name="Picture 107" descr="Comparison 6 Fast‐acting NRT versus patch, Outcome 3 Overall S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pic:nvPicPr>
                  <pic:blipFill>
                    <a:blip r:embed="rId129">
                      <a:extLst>
                        <a:ext uri="{28A0092B-C50C-407E-A947-70E740481C1C}">
                          <a14:useLocalDpi xmlns:a14="http://schemas.microsoft.com/office/drawing/2010/main" val="0"/>
                        </a:ext>
                      </a:extLst>
                    </a:blip>
                    <a:stretch>
                      <a:fillRect/>
                    </a:stretch>
                  </pic:blipFill>
                  <pic:spPr>
                    <a:xfrm>
                      <a:off x="0" y="0"/>
                      <a:ext cx="5731510" cy="2089150"/>
                    </a:xfrm>
                    <a:prstGeom prst="rect">
                      <a:avLst/>
                    </a:prstGeom>
                  </pic:spPr>
                </pic:pic>
              </a:graphicData>
            </a:graphic>
          </wp:inline>
        </w:drawing>
      </w:r>
      <w:r w:rsidRPr="70001105">
        <w:rPr>
          <w:rFonts w:ascii="Times New Roman" w:eastAsia="Times New Roman" w:hAnsi="Times New Roman" w:cs="Times New Roman"/>
          <w:lang w:eastAsia="en-GB"/>
        </w:rPr>
        <w:fldChar w:fldCharType="end"/>
      </w:r>
    </w:p>
    <w:p w14:paraId="178064A9" w14:textId="0E6DD5F4" w:rsidR="00DB0F8B" w:rsidRDefault="00796D14" w:rsidP="00C025AC">
      <w:pPr>
        <w:pStyle w:val="Caption"/>
        <w:spacing w:before="120" w:after="60"/>
        <w:jc w:val="both"/>
      </w:pPr>
      <w:bookmarkStart w:id="399" w:name="_Ref62130013"/>
      <w:r>
        <w:t xml:space="preserve">Figure </w:t>
      </w:r>
      <w:r w:rsidR="00BF3F75">
        <w:fldChar w:fldCharType="begin"/>
      </w:r>
      <w:r w:rsidR="00BF3F75">
        <w:instrText xml:space="preserve"> SEQ Figure \* ARABIC </w:instrText>
      </w:r>
      <w:r w:rsidR="00BF3F75">
        <w:fldChar w:fldCharType="separate"/>
      </w:r>
      <w:r w:rsidR="00EC5CC7">
        <w:rPr>
          <w:noProof/>
        </w:rPr>
        <w:t>107</w:t>
      </w:r>
      <w:r w:rsidR="00BF3F75">
        <w:rPr>
          <w:noProof/>
        </w:rPr>
        <w:fldChar w:fldCharType="end"/>
      </w:r>
      <w:bookmarkEnd w:id="399"/>
      <w:r>
        <w:t xml:space="preserve">: </w:t>
      </w:r>
      <w:r w:rsidRPr="00232411">
        <w:t>Results of key adverse events (overall SAEs) in Lindson et al. (2019), NRT inhaler versus patch, NRT nasal spray versus patch</w:t>
      </w:r>
    </w:p>
    <w:p w14:paraId="2909C26D" w14:textId="641D5137" w:rsidR="00613252" w:rsidRDefault="00796D14" w:rsidP="00C025AC">
      <w:pPr>
        <w:pStyle w:val="FigureFooter"/>
        <w:spacing w:after="120"/>
        <w:contextualSpacing w:val="0"/>
        <w:jc w:val="both"/>
      </w:pPr>
      <w:r>
        <w:t>Source: Lindson et al. (2019)</w:t>
      </w:r>
    </w:p>
    <w:p w14:paraId="2B3CF573" w14:textId="77777777" w:rsidR="0051484B" w:rsidRDefault="00CB7625" w:rsidP="0051484B">
      <w:pPr>
        <w:keepNext/>
      </w:pPr>
      <w:r>
        <w:rPr>
          <w:noProof/>
        </w:rPr>
        <w:drawing>
          <wp:inline distT="0" distB="0" distL="0" distR="0" wp14:anchorId="5D13820B" wp14:editId="152A3444">
            <wp:extent cx="5731510" cy="1218565"/>
            <wp:effectExtent l="0" t="0" r="2540" b="6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31510" cy="1218565"/>
                    </a:xfrm>
                    <a:prstGeom prst="rect">
                      <a:avLst/>
                    </a:prstGeom>
                    <a:noFill/>
                    <a:ln>
                      <a:noFill/>
                    </a:ln>
                  </pic:spPr>
                </pic:pic>
              </a:graphicData>
            </a:graphic>
          </wp:inline>
        </w:drawing>
      </w:r>
    </w:p>
    <w:p w14:paraId="223E03F6" w14:textId="4901D7BF" w:rsidR="00CB7625" w:rsidRDefault="0051484B" w:rsidP="00C025AC">
      <w:pPr>
        <w:pStyle w:val="Caption"/>
        <w:spacing w:before="120" w:after="60"/>
        <w:jc w:val="both"/>
      </w:pPr>
      <w:bookmarkStart w:id="400" w:name="_Ref62729606"/>
      <w:r>
        <w:t xml:space="preserve">Figure </w:t>
      </w:r>
      <w:r w:rsidR="00BF3F75">
        <w:fldChar w:fldCharType="begin"/>
      </w:r>
      <w:r w:rsidR="00BF3F75">
        <w:instrText xml:space="preserve"> SEQ Figure \* ARABIC </w:instrText>
      </w:r>
      <w:r w:rsidR="00BF3F75">
        <w:fldChar w:fldCharType="separate"/>
      </w:r>
      <w:r w:rsidR="00EC5CC7">
        <w:rPr>
          <w:noProof/>
        </w:rPr>
        <w:t>108</w:t>
      </w:r>
      <w:r w:rsidR="00BF3F75">
        <w:rPr>
          <w:noProof/>
        </w:rPr>
        <w:fldChar w:fldCharType="end"/>
      </w:r>
      <w:bookmarkEnd w:id="400"/>
      <w:r>
        <w:t xml:space="preserve">: </w:t>
      </w:r>
      <w:r w:rsidRPr="00BB4951">
        <w:t>Results of key adverse events (Palpitations/chest pains) in Hartmann-Boyce et al. 2018, NRT intranasal spray versus placebo</w:t>
      </w:r>
    </w:p>
    <w:p w14:paraId="74BD3D8C" w14:textId="2BC7BFAB" w:rsidR="00FD253B" w:rsidRPr="002E5F24" w:rsidRDefault="007F5A6B" w:rsidP="00C025AC">
      <w:pPr>
        <w:pStyle w:val="FigureFooter"/>
        <w:jc w:val="both"/>
      </w:pPr>
      <w:r>
        <w:t xml:space="preserve">Source: </w:t>
      </w:r>
      <w:r w:rsidRPr="00351900">
        <w:t xml:space="preserve">Hartmann-Boyce et al. </w:t>
      </w:r>
      <w:r>
        <w:t>(</w:t>
      </w:r>
      <w:r w:rsidRPr="00351900">
        <w:t>2018</w:t>
      </w:r>
      <w:r>
        <w:t>)</w:t>
      </w:r>
    </w:p>
    <w:p w14:paraId="0C558871" w14:textId="77777777" w:rsidR="006E3FE8" w:rsidRDefault="006E3FE8" w:rsidP="00B96807">
      <w:pPr>
        <w:keepNext/>
      </w:pPr>
      <w:r w:rsidRPr="006E3FE8">
        <w:rPr>
          <w:noProof/>
        </w:rPr>
        <w:lastRenderedPageBreak/>
        <w:drawing>
          <wp:inline distT="0" distB="0" distL="0" distR="0" wp14:anchorId="4235B3D0" wp14:editId="0F23D020">
            <wp:extent cx="5731510" cy="66954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31510" cy="6695440"/>
                    </a:xfrm>
                    <a:prstGeom prst="rect">
                      <a:avLst/>
                    </a:prstGeom>
                  </pic:spPr>
                </pic:pic>
              </a:graphicData>
            </a:graphic>
          </wp:inline>
        </w:drawing>
      </w:r>
    </w:p>
    <w:p w14:paraId="37CB9434" w14:textId="0B1552D1" w:rsidR="00D21E11" w:rsidRPr="002E5F24" w:rsidRDefault="006E3FE8" w:rsidP="00C025AC">
      <w:pPr>
        <w:pStyle w:val="Caption"/>
        <w:spacing w:before="120" w:after="60"/>
        <w:jc w:val="both"/>
      </w:pPr>
      <w:bookmarkStart w:id="401" w:name="_Ref62219449"/>
      <w:r>
        <w:t xml:space="preserve">Figure </w:t>
      </w:r>
      <w:r w:rsidR="00BF3F75">
        <w:fldChar w:fldCharType="begin"/>
      </w:r>
      <w:r w:rsidR="00BF3F75">
        <w:instrText xml:space="preserve"> SEQ Figure \* ARABIC </w:instrText>
      </w:r>
      <w:r w:rsidR="00BF3F75">
        <w:fldChar w:fldCharType="separate"/>
      </w:r>
      <w:r w:rsidR="00EC5CC7">
        <w:rPr>
          <w:noProof/>
        </w:rPr>
        <w:t>109</w:t>
      </w:r>
      <w:r w:rsidR="00BF3F75">
        <w:rPr>
          <w:noProof/>
        </w:rPr>
        <w:fldChar w:fldCharType="end"/>
      </w:r>
      <w:bookmarkEnd w:id="401"/>
      <w:r>
        <w:t xml:space="preserve">: </w:t>
      </w:r>
      <w:r w:rsidRPr="00ED5848">
        <w:t>Results of smoking cessation of at least six months follow-up in Lancaster et al. (2017), individual counselling versus minimal contact control</w:t>
      </w:r>
    </w:p>
    <w:p w14:paraId="4DAB48EB" w14:textId="68C19888" w:rsidR="00E15E4B" w:rsidRDefault="00E15E4B" w:rsidP="00C025AC">
      <w:pPr>
        <w:pStyle w:val="FigureFooter"/>
        <w:jc w:val="both"/>
      </w:pPr>
      <w:r>
        <w:t>Source: Lancaster et al. (2017)</w:t>
      </w:r>
    </w:p>
    <w:p w14:paraId="6D0AAD67" w14:textId="77777777" w:rsidR="00E15E4B" w:rsidRPr="00E15E4B" w:rsidRDefault="00E15E4B" w:rsidP="00E15E4B"/>
    <w:p w14:paraId="04B1D14C" w14:textId="77777777" w:rsidR="00570990" w:rsidRDefault="00570990" w:rsidP="00B96807">
      <w:pPr>
        <w:keepNext/>
      </w:pPr>
      <w:r w:rsidRPr="00570990">
        <w:rPr>
          <w:noProof/>
        </w:rPr>
        <w:lastRenderedPageBreak/>
        <w:drawing>
          <wp:inline distT="0" distB="0" distL="0" distR="0" wp14:anchorId="1ECBC712" wp14:editId="6BF410AC">
            <wp:extent cx="5731510" cy="24276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31510" cy="2427605"/>
                    </a:xfrm>
                    <a:prstGeom prst="rect">
                      <a:avLst/>
                    </a:prstGeom>
                  </pic:spPr>
                </pic:pic>
              </a:graphicData>
            </a:graphic>
          </wp:inline>
        </w:drawing>
      </w:r>
    </w:p>
    <w:p w14:paraId="38ECDDE1" w14:textId="1BFCB1D9" w:rsidR="002E5F24" w:rsidRDefault="00570990" w:rsidP="00C025AC">
      <w:pPr>
        <w:pStyle w:val="Caption"/>
        <w:spacing w:before="120" w:after="60"/>
        <w:jc w:val="both"/>
      </w:pPr>
      <w:bookmarkStart w:id="402" w:name="_Ref62219458"/>
      <w:r>
        <w:t xml:space="preserve">Figure </w:t>
      </w:r>
      <w:r w:rsidR="00BF3F75">
        <w:fldChar w:fldCharType="begin"/>
      </w:r>
      <w:r w:rsidR="00BF3F75">
        <w:instrText xml:space="preserve"> SEQ Figure \* ARABIC </w:instrText>
      </w:r>
      <w:r w:rsidR="00BF3F75">
        <w:fldChar w:fldCharType="separate"/>
      </w:r>
      <w:r w:rsidR="00EC5CC7">
        <w:rPr>
          <w:noProof/>
        </w:rPr>
        <w:t>110</w:t>
      </w:r>
      <w:r w:rsidR="00BF3F75">
        <w:rPr>
          <w:noProof/>
        </w:rPr>
        <w:fldChar w:fldCharType="end"/>
      </w:r>
      <w:bookmarkEnd w:id="402"/>
      <w:r>
        <w:t xml:space="preserve">: </w:t>
      </w:r>
      <w:r w:rsidRPr="00703710">
        <w:t>Results of smoking cessation of at least six months follow-up in Stead et al. (2017), group therapy plus pharmacotherapy versus pharmacotherapy alone</w:t>
      </w:r>
    </w:p>
    <w:p w14:paraId="5E1EBE69" w14:textId="29546B4E" w:rsidR="00570990" w:rsidRDefault="00570990" w:rsidP="00C025AC">
      <w:pPr>
        <w:pStyle w:val="FigureFooter"/>
        <w:spacing w:after="120"/>
        <w:contextualSpacing w:val="0"/>
        <w:jc w:val="both"/>
      </w:pPr>
      <w:r>
        <w:t>Source: Stead et al. (2017)</w:t>
      </w:r>
    </w:p>
    <w:p w14:paraId="525B53B9" w14:textId="77777777" w:rsidR="001E15F2" w:rsidRDefault="001E15F2" w:rsidP="00B96807">
      <w:pPr>
        <w:keepNext/>
      </w:pPr>
      <w:r w:rsidRPr="001E15F2">
        <w:rPr>
          <w:noProof/>
        </w:rPr>
        <w:drawing>
          <wp:inline distT="0" distB="0" distL="0" distR="0" wp14:anchorId="0D7A7DE8" wp14:editId="0D308768">
            <wp:extent cx="5731510" cy="219837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31510" cy="2198370"/>
                    </a:xfrm>
                    <a:prstGeom prst="rect">
                      <a:avLst/>
                    </a:prstGeom>
                  </pic:spPr>
                </pic:pic>
              </a:graphicData>
            </a:graphic>
          </wp:inline>
        </w:drawing>
      </w:r>
    </w:p>
    <w:p w14:paraId="2683AB56" w14:textId="62E81E1B" w:rsidR="001E15F2" w:rsidRDefault="001E15F2" w:rsidP="00C025AC">
      <w:pPr>
        <w:pStyle w:val="Caption"/>
        <w:spacing w:before="120" w:after="60"/>
        <w:jc w:val="both"/>
      </w:pPr>
      <w:bookmarkStart w:id="403" w:name="_Ref62219467"/>
      <w:r>
        <w:t xml:space="preserve">Figure </w:t>
      </w:r>
      <w:r w:rsidR="00BF3F75">
        <w:fldChar w:fldCharType="begin"/>
      </w:r>
      <w:r w:rsidR="00BF3F75">
        <w:instrText xml:space="preserve"> SEQ Figure \* ARABIC </w:instrText>
      </w:r>
      <w:r w:rsidR="00BF3F75">
        <w:fldChar w:fldCharType="separate"/>
      </w:r>
      <w:r w:rsidR="00EC5CC7">
        <w:rPr>
          <w:noProof/>
        </w:rPr>
        <w:t>111</w:t>
      </w:r>
      <w:r w:rsidR="00BF3F75">
        <w:rPr>
          <w:noProof/>
        </w:rPr>
        <w:fldChar w:fldCharType="end"/>
      </w:r>
      <w:bookmarkEnd w:id="403"/>
      <w:r>
        <w:t xml:space="preserve">: </w:t>
      </w:r>
      <w:r w:rsidRPr="0045258F">
        <w:t>Results of smoking cessation of at least six months follow-up in Carson-Chahhoud et al. (2019), more versus less intensive smoking cessation support</w:t>
      </w:r>
    </w:p>
    <w:p w14:paraId="5C35E5E2" w14:textId="1D4FACAB" w:rsidR="001E15F2" w:rsidRDefault="001E15F2" w:rsidP="00C025AC">
      <w:pPr>
        <w:pStyle w:val="FigureFooter"/>
        <w:jc w:val="both"/>
      </w:pPr>
      <w:r>
        <w:t>Source: Carson-Chahhoud et al. (2019)</w:t>
      </w:r>
    </w:p>
    <w:p w14:paraId="4CD7BADA" w14:textId="77777777" w:rsidR="001E15F2" w:rsidRDefault="001E15F2" w:rsidP="001E15F2"/>
    <w:p w14:paraId="45EA93A1" w14:textId="4DE6F00A" w:rsidR="007E13C0" w:rsidRDefault="007A2564" w:rsidP="00B96807">
      <w:pPr>
        <w:keepNext/>
      </w:pPr>
      <w:r>
        <w:rPr>
          <w:noProof/>
        </w:rPr>
        <w:lastRenderedPageBreak/>
        <w:drawing>
          <wp:inline distT="0" distB="0" distL="0" distR="0" wp14:anchorId="18FE7CF8" wp14:editId="680BBD39">
            <wp:extent cx="5686425" cy="8147050"/>
            <wp:effectExtent l="0" t="0" r="9525"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1661" cy="8197534"/>
                    </a:xfrm>
                    <a:prstGeom prst="rect">
                      <a:avLst/>
                    </a:prstGeom>
                    <a:noFill/>
                  </pic:spPr>
                </pic:pic>
              </a:graphicData>
            </a:graphic>
          </wp:inline>
        </w:drawing>
      </w:r>
    </w:p>
    <w:p w14:paraId="678D328C" w14:textId="2B882745" w:rsidR="007E13C0" w:rsidRDefault="007E13C0" w:rsidP="00C025AC">
      <w:pPr>
        <w:pStyle w:val="Caption"/>
        <w:spacing w:before="120" w:after="60"/>
        <w:jc w:val="both"/>
      </w:pPr>
      <w:bookmarkStart w:id="404" w:name="_Ref62219475"/>
      <w:r>
        <w:t xml:space="preserve">Figure </w:t>
      </w:r>
      <w:r w:rsidR="00BF3F75">
        <w:fldChar w:fldCharType="begin"/>
      </w:r>
      <w:r w:rsidR="00BF3F75">
        <w:instrText xml:space="preserve"> SEQ Figure \* ARABIC </w:instrText>
      </w:r>
      <w:r w:rsidR="00BF3F75">
        <w:fldChar w:fldCharType="separate"/>
      </w:r>
      <w:r w:rsidR="00EC5CC7">
        <w:rPr>
          <w:noProof/>
        </w:rPr>
        <w:t>112</w:t>
      </w:r>
      <w:r w:rsidR="00BF3F75">
        <w:rPr>
          <w:noProof/>
        </w:rPr>
        <w:fldChar w:fldCharType="end"/>
      </w:r>
      <w:bookmarkEnd w:id="404"/>
      <w:r>
        <w:t xml:space="preserve">: </w:t>
      </w:r>
      <w:r w:rsidRPr="002B5BA9">
        <w:t>Results of smoking cessation of at least six months follow-up in Hartmann-Boyce et al. (2019), more versus less intensive behavioural support</w:t>
      </w:r>
    </w:p>
    <w:p w14:paraId="3D33D3D6" w14:textId="23579E89" w:rsidR="00620D3F" w:rsidRPr="00620D3F" w:rsidRDefault="007E13C0" w:rsidP="00C025AC">
      <w:pPr>
        <w:pStyle w:val="FigureFooter"/>
        <w:jc w:val="both"/>
      </w:pPr>
      <w:r>
        <w:t>Source: Hartmann-Boyce et al. (2019)</w:t>
      </w:r>
    </w:p>
    <w:p w14:paraId="271845E6" w14:textId="77777777" w:rsidR="00BC48CA" w:rsidRDefault="00BC48CA" w:rsidP="007E13C0">
      <w:pPr>
        <w:pStyle w:val="FigureFooter"/>
      </w:pPr>
    </w:p>
    <w:p w14:paraId="5E95A869" w14:textId="77777777" w:rsidR="00BC48CA" w:rsidRDefault="00BC48CA" w:rsidP="00B96807">
      <w:pPr>
        <w:pStyle w:val="FigureFooter"/>
        <w:keepNext/>
      </w:pPr>
      <w:r w:rsidRPr="00BC48CA">
        <w:rPr>
          <w:noProof/>
        </w:rPr>
        <w:drawing>
          <wp:inline distT="0" distB="0" distL="0" distR="0" wp14:anchorId="62D29B7F" wp14:editId="19C74A12">
            <wp:extent cx="5731510" cy="2508250"/>
            <wp:effectExtent l="0" t="0" r="254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31510" cy="2508250"/>
                    </a:xfrm>
                    <a:prstGeom prst="rect">
                      <a:avLst/>
                    </a:prstGeom>
                  </pic:spPr>
                </pic:pic>
              </a:graphicData>
            </a:graphic>
          </wp:inline>
        </w:drawing>
      </w:r>
    </w:p>
    <w:p w14:paraId="15AB5866" w14:textId="64D9B945" w:rsidR="00BC48CA" w:rsidRDefault="00BC48CA" w:rsidP="00C025AC">
      <w:pPr>
        <w:pStyle w:val="Caption"/>
        <w:spacing w:before="120" w:after="60"/>
        <w:jc w:val="both"/>
      </w:pPr>
      <w:bookmarkStart w:id="405" w:name="_Ref62219483"/>
      <w:r>
        <w:t xml:space="preserve">Figure </w:t>
      </w:r>
      <w:r w:rsidR="00BF3F75">
        <w:fldChar w:fldCharType="begin"/>
      </w:r>
      <w:r w:rsidR="00BF3F75">
        <w:instrText xml:space="preserve"> SEQ Figure \* ARABIC </w:instrText>
      </w:r>
      <w:r w:rsidR="00BF3F75">
        <w:fldChar w:fldCharType="separate"/>
      </w:r>
      <w:r w:rsidR="00EC5CC7">
        <w:rPr>
          <w:noProof/>
        </w:rPr>
        <w:t>113</w:t>
      </w:r>
      <w:r w:rsidR="00BF3F75">
        <w:rPr>
          <w:noProof/>
        </w:rPr>
        <w:fldChar w:fldCharType="end"/>
      </w:r>
      <w:bookmarkEnd w:id="405"/>
      <w:r>
        <w:t xml:space="preserve">: </w:t>
      </w:r>
      <w:r w:rsidRPr="00AC4CF2">
        <w:t>Results of smoking cessation of at least six months follow-up in Livingstone-Banks et al. (2019b), self-help plus NRT versus NRT alone</w:t>
      </w:r>
    </w:p>
    <w:p w14:paraId="4E67CA9F" w14:textId="5C718EB8" w:rsidR="00BC48CA" w:rsidRDefault="00BC48CA" w:rsidP="00C025AC">
      <w:pPr>
        <w:pStyle w:val="FigureFooter"/>
        <w:jc w:val="both"/>
      </w:pPr>
      <w:r>
        <w:t>Source: Livin</w:t>
      </w:r>
      <w:r w:rsidR="00576A9E">
        <w:t>g</w:t>
      </w:r>
      <w:r>
        <w:t>stone-Banks et al. (2019b)</w:t>
      </w:r>
    </w:p>
    <w:p w14:paraId="6008D888" w14:textId="77777777" w:rsidR="00BC48CA" w:rsidRPr="00BC48CA" w:rsidRDefault="00BC48CA" w:rsidP="00BC48CA"/>
    <w:p w14:paraId="142FCE89" w14:textId="36434D04" w:rsidR="003772D9" w:rsidRDefault="00F8734A" w:rsidP="00B96807">
      <w:pPr>
        <w:keepNext/>
      </w:pPr>
      <w:r>
        <w:rPr>
          <w:noProof/>
        </w:rPr>
        <w:lastRenderedPageBreak/>
        <w:drawing>
          <wp:inline distT="0" distB="0" distL="0" distR="0" wp14:anchorId="60CFBFBA" wp14:editId="7BB81F2F">
            <wp:extent cx="5638800" cy="81432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657227" cy="8169851"/>
                    </a:xfrm>
                    <a:prstGeom prst="rect">
                      <a:avLst/>
                    </a:prstGeom>
                    <a:noFill/>
                  </pic:spPr>
                </pic:pic>
              </a:graphicData>
            </a:graphic>
          </wp:inline>
        </w:drawing>
      </w:r>
    </w:p>
    <w:p w14:paraId="40F12605" w14:textId="48084633" w:rsidR="003772D9" w:rsidRDefault="003772D9" w:rsidP="00C025AC">
      <w:pPr>
        <w:pStyle w:val="Caption"/>
        <w:spacing w:before="120" w:after="60"/>
        <w:jc w:val="both"/>
      </w:pPr>
      <w:bookmarkStart w:id="406" w:name="_Ref62219489"/>
      <w:r>
        <w:t xml:space="preserve">Figure </w:t>
      </w:r>
      <w:r w:rsidR="00BF3F75">
        <w:fldChar w:fldCharType="begin"/>
      </w:r>
      <w:r w:rsidR="00BF3F75">
        <w:instrText xml:space="preserve"> SEQ Figure \* ARABIC </w:instrText>
      </w:r>
      <w:r w:rsidR="00BF3F75">
        <w:fldChar w:fldCharType="separate"/>
      </w:r>
      <w:r w:rsidR="00EC5CC7">
        <w:rPr>
          <w:noProof/>
        </w:rPr>
        <w:t>114</w:t>
      </w:r>
      <w:r w:rsidR="00BF3F75">
        <w:rPr>
          <w:noProof/>
        </w:rPr>
        <w:fldChar w:fldCharType="end"/>
      </w:r>
      <w:bookmarkEnd w:id="406"/>
      <w:r>
        <w:t xml:space="preserve">: </w:t>
      </w:r>
      <w:r w:rsidRPr="003961D9">
        <w:t>Results of smoking cessation of at least six months follow-up in Matkin et al. (2019), proactive telephone counselling versus no counselling</w:t>
      </w:r>
    </w:p>
    <w:p w14:paraId="2CBA5F81" w14:textId="0FFE684C" w:rsidR="003772D9" w:rsidRDefault="003772D9" w:rsidP="00C025AC">
      <w:pPr>
        <w:pStyle w:val="FigureFooter"/>
        <w:jc w:val="both"/>
      </w:pPr>
      <w:r>
        <w:t>Source: Matkin et al. (2019)</w:t>
      </w:r>
    </w:p>
    <w:p w14:paraId="5E102723" w14:textId="77777777" w:rsidR="003772D9" w:rsidRPr="003772D9" w:rsidRDefault="003772D9" w:rsidP="00B96807"/>
    <w:p w14:paraId="03CE82C9" w14:textId="77777777" w:rsidR="00576A9E" w:rsidRDefault="00717759" w:rsidP="00B96807">
      <w:pPr>
        <w:keepNext/>
      </w:pPr>
      <w:r w:rsidRPr="00717759">
        <w:rPr>
          <w:noProof/>
        </w:rPr>
        <w:drawing>
          <wp:inline distT="0" distB="0" distL="0" distR="0" wp14:anchorId="67410C49" wp14:editId="034BF902">
            <wp:extent cx="5731510" cy="2872740"/>
            <wp:effectExtent l="0" t="0" r="254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1510" cy="2872740"/>
                    </a:xfrm>
                    <a:prstGeom prst="rect">
                      <a:avLst/>
                    </a:prstGeom>
                  </pic:spPr>
                </pic:pic>
              </a:graphicData>
            </a:graphic>
          </wp:inline>
        </w:drawing>
      </w:r>
    </w:p>
    <w:p w14:paraId="32ECB04A" w14:textId="5C8BDF8F" w:rsidR="007E13C0" w:rsidRDefault="00576A9E" w:rsidP="00C025AC">
      <w:pPr>
        <w:pStyle w:val="Caption"/>
        <w:spacing w:before="120" w:after="60"/>
        <w:jc w:val="both"/>
      </w:pPr>
      <w:bookmarkStart w:id="407" w:name="_Ref62220308"/>
      <w:r>
        <w:t xml:space="preserve">Figure </w:t>
      </w:r>
      <w:r w:rsidR="00BF3F75">
        <w:fldChar w:fldCharType="begin"/>
      </w:r>
      <w:r w:rsidR="00BF3F75">
        <w:instrText xml:space="preserve"> SEQ Figure \* ARABIC </w:instrText>
      </w:r>
      <w:r w:rsidR="00BF3F75">
        <w:fldChar w:fldCharType="separate"/>
      </w:r>
      <w:r w:rsidR="00EC5CC7">
        <w:rPr>
          <w:noProof/>
        </w:rPr>
        <w:t>115</w:t>
      </w:r>
      <w:r w:rsidR="00BF3F75">
        <w:rPr>
          <w:noProof/>
        </w:rPr>
        <w:fldChar w:fldCharType="end"/>
      </w:r>
      <w:bookmarkEnd w:id="407"/>
      <w:r>
        <w:t xml:space="preserve">: </w:t>
      </w:r>
      <w:r w:rsidRPr="0051769A">
        <w:t>Results of key adverse events (</w:t>
      </w:r>
      <w:r>
        <w:t>preterm birth</w:t>
      </w:r>
      <w:r w:rsidRPr="0051769A">
        <w:t xml:space="preserve">) in </w:t>
      </w:r>
      <w:r>
        <w:t>Claire</w:t>
      </w:r>
      <w:r w:rsidRPr="0051769A">
        <w:t xml:space="preserve"> et al. (20</w:t>
      </w:r>
      <w:r>
        <w:t>20</w:t>
      </w:r>
      <w:r w:rsidRPr="0051769A">
        <w:t>),</w:t>
      </w:r>
      <w:r>
        <w:t xml:space="preserve"> NRT versus control</w:t>
      </w:r>
    </w:p>
    <w:p w14:paraId="2601E910" w14:textId="2F72968D" w:rsidR="00576A9E" w:rsidRDefault="00576A9E" w:rsidP="00C025AC">
      <w:pPr>
        <w:pStyle w:val="FigureFooter"/>
        <w:spacing w:after="120"/>
        <w:contextualSpacing w:val="0"/>
        <w:jc w:val="both"/>
      </w:pPr>
      <w:r>
        <w:t>Source: Claire et al. (2020)</w:t>
      </w:r>
    </w:p>
    <w:p w14:paraId="76F605FB" w14:textId="77777777" w:rsidR="00576A9E" w:rsidRDefault="00576A9E" w:rsidP="00B96807">
      <w:pPr>
        <w:keepNext/>
      </w:pPr>
      <w:r w:rsidRPr="00576A9E">
        <w:rPr>
          <w:noProof/>
        </w:rPr>
        <w:drawing>
          <wp:inline distT="0" distB="0" distL="0" distR="0" wp14:anchorId="78FB2489" wp14:editId="14E15495">
            <wp:extent cx="5731510" cy="1833880"/>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31510" cy="1833880"/>
                    </a:xfrm>
                    <a:prstGeom prst="rect">
                      <a:avLst/>
                    </a:prstGeom>
                  </pic:spPr>
                </pic:pic>
              </a:graphicData>
            </a:graphic>
          </wp:inline>
        </w:drawing>
      </w:r>
    </w:p>
    <w:p w14:paraId="1F77A7EE" w14:textId="2C5EDA13" w:rsidR="00576A9E" w:rsidRDefault="00576A9E" w:rsidP="00C025AC">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116</w:t>
      </w:r>
      <w:r w:rsidR="00BF3F75">
        <w:rPr>
          <w:noProof/>
        </w:rPr>
        <w:fldChar w:fldCharType="end"/>
      </w:r>
      <w:r>
        <w:t xml:space="preserve">: </w:t>
      </w:r>
      <w:r w:rsidRPr="005B7015">
        <w:t>Results of key adverse events (</w:t>
      </w:r>
      <w:r>
        <w:t>neonatal intensive care unit admissions</w:t>
      </w:r>
      <w:r w:rsidRPr="005B7015">
        <w:t>) in Claire et al. (2020), NRT versus control</w:t>
      </w:r>
    </w:p>
    <w:p w14:paraId="3639878F" w14:textId="77777777" w:rsidR="00576A9E" w:rsidRDefault="00576A9E" w:rsidP="00390CB3">
      <w:pPr>
        <w:pStyle w:val="FigureFooter"/>
        <w:spacing w:after="120"/>
        <w:contextualSpacing w:val="0"/>
        <w:jc w:val="both"/>
      </w:pPr>
      <w:r>
        <w:t>Source: Claire et al. (2020)</w:t>
      </w:r>
    </w:p>
    <w:p w14:paraId="618EE45B" w14:textId="77777777" w:rsidR="00576A9E" w:rsidRDefault="00576A9E" w:rsidP="00B96807">
      <w:pPr>
        <w:keepNext/>
      </w:pPr>
      <w:r w:rsidRPr="00576A9E">
        <w:rPr>
          <w:noProof/>
        </w:rPr>
        <w:lastRenderedPageBreak/>
        <w:drawing>
          <wp:inline distT="0" distB="0" distL="0" distR="0" wp14:anchorId="1DD37DB3" wp14:editId="3499DFB0">
            <wp:extent cx="5731510" cy="1833880"/>
            <wp:effectExtent l="0" t="0" r="254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31510" cy="1833880"/>
                    </a:xfrm>
                    <a:prstGeom prst="rect">
                      <a:avLst/>
                    </a:prstGeom>
                  </pic:spPr>
                </pic:pic>
              </a:graphicData>
            </a:graphic>
          </wp:inline>
        </w:drawing>
      </w:r>
    </w:p>
    <w:p w14:paraId="4A8A0C59" w14:textId="60911994" w:rsidR="00576A9E" w:rsidRDefault="00576A9E" w:rsidP="00390CB3">
      <w:pPr>
        <w:pStyle w:val="Caption"/>
        <w:spacing w:before="120" w:after="60"/>
        <w:jc w:val="both"/>
      </w:pPr>
      <w:r>
        <w:t xml:space="preserve">Figure </w:t>
      </w:r>
      <w:r w:rsidR="00BF3F75">
        <w:fldChar w:fldCharType="begin"/>
      </w:r>
      <w:r w:rsidR="00BF3F75">
        <w:instrText xml:space="preserve"> SEQ Figure \* ARABIC </w:instrText>
      </w:r>
      <w:r w:rsidR="00BF3F75">
        <w:fldChar w:fldCharType="separate"/>
      </w:r>
      <w:r w:rsidR="00EC5CC7">
        <w:rPr>
          <w:noProof/>
        </w:rPr>
        <w:t>117</w:t>
      </w:r>
      <w:r w:rsidR="00BF3F75">
        <w:rPr>
          <w:noProof/>
        </w:rPr>
        <w:fldChar w:fldCharType="end"/>
      </w:r>
      <w:r>
        <w:t xml:space="preserve">: </w:t>
      </w:r>
      <w:r w:rsidRPr="00A86FA9">
        <w:t xml:space="preserve">Results of key adverse events (neonatal </w:t>
      </w:r>
      <w:r>
        <w:t>death</w:t>
      </w:r>
      <w:r w:rsidRPr="00A86FA9">
        <w:t>) in Claire et al. (2020), NRT versus control</w:t>
      </w:r>
    </w:p>
    <w:p w14:paraId="502D363E" w14:textId="77777777" w:rsidR="00576A9E" w:rsidRDefault="00576A9E" w:rsidP="00390CB3">
      <w:pPr>
        <w:pStyle w:val="FigureFooter"/>
        <w:spacing w:after="120"/>
        <w:contextualSpacing w:val="0"/>
        <w:jc w:val="both"/>
      </w:pPr>
      <w:r>
        <w:t>Source: Claire et al. (2020)</w:t>
      </w:r>
    </w:p>
    <w:p w14:paraId="526E5FD5" w14:textId="77777777" w:rsidR="00576A9E" w:rsidRDefault="00576A9E" w:rsidP="00B96807">
      <w:pPr>
        <w:keepNext/>
      </w:pPr>
      <w:r w:rsidRPr="00576A9E">
        <w:rPr>
          <w:noProof/>
        </w:rPr>
        <w:drawing>
          <wp:inline distT="0" distB="0" distL="0" distR="0" wp14:anchorId="0E0A812A" wp14:editId="0F2355D0">
            <wp:extent cx="5731510" cy="1591310"/>
            <wp:effectExtent l="0" t="0" r="254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31510" cy="1591310"/>
                    </a:xfrm>
                    <a:prstGeom prst="rect">
                      <a:avLst/>
                    </a:prstGeom>
                  </pic:spPr>
                </pic:pic>
              </a:graphicData>
            </a:graphic>
          </wp:inline>
        </w:drawing>
      </w:r>
    </w:p>
    <w:p w14:paraId="3E19327E" w14:textId="5E0926AE" w:rsidR="00576A9E" w:rsidRDefault="00576A9E" w:rsidP="00390CB3">
      <w:pPr>
        <w:pStyle w:val="Caption"/>
        <w:spacing w:before="120" w:after="60"/>
        <w:jc w:val="both"/>
      </w:pPr>
      <w:r>
        <w:t xml:space="preserve">Figure </w:t>
      </w:r>
      <w:r w:rsidR="00BF3F75">
        <w:fldChar w:fldCharType="begin"/>
      </w:r>
      <w:r w:rsidR="00BF3F75">
        <w:instrText xml:space="preserve"> SEQ Figure</w:instrText>
      </w:r>
      <w:r w:rsidR="00BF3F75">
        <w:instrText xml:space="preserve"> \* ARABIC </w:instrText>
      </w:r>
      <w:r w:rsidR="00BF3F75">
        <w:fldChar w:fldCharType="separate"/>
      </w:r>
      <w:r w:rsidR="00EC5CC7">
        <w:rPr>
          <w:noProof/>
        </w:rPr>
        <w:t>118</w:t>
      </w:r>
      <w:r w:rsidR="00BF3F75">
        <w:rPr>
          <w:noProof/>
        </w:rPr>
        <w:fldChar w:fldCharType="end"/>
      </w:r>
      <w:r>
        <w:t xml:space="preserve">: </w:t>
      </w:r>
      <w:r w:rsidRPr="00B1236C">
        <w:t>Results of key adverse events (</w:t>
      </w:r>
      <w:r w:rsidR="00861C61">
        <w:t>congenital</w:t>
      </w:r>
      <w:r>
        <w:t xml:space="preserve"> abnormalities</w:t>
      </w:r>
      <w:r w:rsidRPr="00B1236C">
        <w:t>) in Claire et al. (2020), NRT versus control</w:t>
      </w:r>
    </w:p>
    <w:p w14:paraId="638AF017" w14:textId="77777777" w:rsidR="00576A9E" w:rsidRDefault="00576A9E" w:rsidP="00390CB3">
      <w:pPr>
        <w:pStyle w:val="FigureFooter"/>
        <w:spacing w:after="120"/>
        <w:contextualSpacing w:val="0"/>
        <w:jc w:val="both"/>
      </w:pPr>
      <w:r>
        <w:t>Source: Claire et al. (2020)</w:t>
      </w:r>
    </w:p>
    <w:p w14:paraId="27961D99" w14:textId="77777777" w:rsidR="00576A9E" w:rsidRDefault="00576A9E" w:rsidP="00B96807">
      <w:pPr>
        <w:keepNext/>
      </w:pPr>
      <w:r w:rsidRPr="00576A9E">
        <w:rPr>
          <w:noProof/>
        </w:rPr>
        <w:drawing>
          <wp:inline distT="0" distB="0" distL="0" distR="0" wp14:anchorId="13ACA4C6" wp14:editId="78EFFD32">
            <wp:extent cx="5731510" cy="1591310"/>
            <wp:effectExtent l="0" t="0" r="2540"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31510" cy="1591310"/>
                    </a:xfrm>
                    <a:prstGeom prst="rect">
                      <a:avLst/>
                    </a:prstGeom>
                  </pic:spPr>
                </pic:pic>
              </a:graphicData>
            </a:graphic>
          </wp:inline>
        </w:drawing>
      </w:r>
    </w:p>
    <w:p w14:paraId="5F391B4C" w14:textId="6283447D" w:rsidR="00576A9E" w:rsidRDefault="00576A9E" w:rsidP="00390CB3">
      <w:pPr>
        <w:pStyle w:val="Caption"/>
        <w:spacing w:before="120" w:after="60"/>
        <w:jc w:val="both"/>
      </w:pPr>
      <w:bookmarkStart w:id="408" w:name="_Ref62220309"/>
      <w:r>
        <w:t xml:space="preserve">Figure </w:t>
      </w:r>
      <w:r w:rsidR="00BF3F75">
        <w:fldChar w:fldCharType="begin"/>
      </w:r>
      <w:r w:rsidR="00BF3F75">
        <w:instrText xml:space="preserve"> SEQ Figure \* ARABIC </w:instrText>
      </w:r>
      <w:r w:rsidR="00BF3F75">
        <w:fldChar w:fldCharType="separate"/>
      </w:r>
      <w:r w:rsidR="00EC5CC7">
        <w:rPr>
          <w:noProof/>
        </w:rPr>
        <w:t>119</w:t>
      </w:r>
      <w:r w:rsidR="00BF3F75">
        <w:rPr>
          <w:noProof/>
        </w:rPr>
        <w:fldChar w:fldCharType="end"/>
      </w:r>
      <w:bookmarkEnd w:id="408"/>
      <w:r>
        <w:t xml:space="preserve">: </w:t>
      </w:r>
      <w:r w:rsidRPr="00E043E4">
        <w:t>Results of key adverse events (</w:t>
      </w:r>
      <w:r>
        <w:t>caesarean section</w:t>
      </w:r>
      <w:r w:rsidRPr="00E043E4">
        <w:t>) in Claire et al. (2020), NRT versus control</w:t>
      </w:r>
    </w:p>
    <w:p w14:paraId="4ACF50E9" w14:textId="77777777" w:rsidR="00576A9E" w:rsidRDefault="00576A9E" w:rsidP="00390CB3">
      <w:pPr>
        <w:pStyle w:val="FigureFooter"/>
        <w:jc w:val="both"/>
      </w:pPr>
      <w:r>
        <w:t>Source: Claire et al. (2020)</w:t>
      </w:r>
    </w:p>
    <w:p w14:paraId="5FE6AD7D" w14:textId="0F0E4DDA" w:rsidR="00271740" w:rsidRPr="002E5F24" w:rsidRDefault="00271740" w:rsidP="008E3740"/>
    <w:sectPr w:rsidR="00271740" w:rsidRPr="002E5F24" w:rsidSect="00A768F2">
      <w:footerReference w:type="default" r:id="rId1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256B" w14:textId="77777777" w:rsidR="00AC4BFC" w:rsidRDefault="00AC4BFC" w:rsidP="00131A64">
      <w:pPr>
        <w:spacing w:after="0"/>
      </w:pPr>
      <w:r>
        <w:separator/>
      </w:r>
    </w:p>
  </w:endnote>
  <w:endnote w:type="continuationSeparator" w:id="0">
    <w:p w14:paraId="485C1127" w14:textId="77777777" w:rsidR="00AC4BFC" w:rsidRDefault="00AC4BFC" w:rsidP="00131A64">
      <w:pPr>
        <w:spacing w:after="0"/>
      </w:pPr>
      <w:r>
        <w:continuationSeparator/>
      </w:r>
    </w:p>
  </w:endnote>
  <w:endnote w:type="continuationNotice" w:id="1">
    <w:p w14:paraId="307E915D" w14:textId="77777777" w:rsidR="00AC4BFC" w:rsidRDefault="00AC4B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0839" w14:textId="77777777" w:rsidR="007B466C" w:rsidRDefault="007B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263274"/>
      <w:docPartObj>
        <w:docPartGallery w:val="Page Numbers (Bottom of Page)"/>
        <w:docPartUnique/>
      </w:docPartObj>
    </w:sdtPr>
    <w:sdtEndPr>
      <w:rPr>
        <w:rFonts w:asciiTheme="minorHAnsi" w:hAnsiTheme="minorHAnsi"/>
        <w:noProof/>
      </w:rPr>
    </w:sdtEndPr>
    <w:sdtContent>
      <w:p w14:paraId="3D7DD71D" w14:textId="040C24ED" w:rsidR="00F3027C" w:rsidRPr="00212FCE" w:rsidRDefault="00F3027C">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872F6B">
          <w:rPr>
            <w:rFonts w:asciiTheme="minorHAnsi" w:hAnsiTheme="minorHAnsi"/>
            <w:noProof/>
          </w:rPr>
          <w:t>29</w:t>
        </w:r>
        <w:r w:rsidRPr="00212FCE">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041713"/>
      <w:docPartObj>
        <w:docPartGallery w:val="Page Numbers (Bottom of Page)"/>
        <w:docPartUnique/>
      </w:docPartObj>
    </w:sdtPr>
    <w:sdtEndPr>
      <w:rPr>
        <w:noProof/>
      </w:rPr>
    </w:sdtEndPr>
    <w:sdtContent>
      <w:p w14:paraId="631F84E8" w14:textId="10A20A24" w:rsidR="00F3027C" w:rsidRDefault="00F3027C" w:rsidP="007E63DF">
        <w:pPr>
          <w:pStyle w:val="Footer"/>
          <w:jc w:val="right"/>
          <w:rPr>
            <w:noProof/>
          </w:rPr>
        </w:pPr>
        <w:r>
          <w:fldChar w:fldCharType="begin"/>
        </w:r>
        <w:r>
          <w:instrText xml:space="preserve"> PAGE   \* MERGEFORMAT </w:instrText>
        </w:r>
        <w:r>
          <w:fldChar w:fldCharType="separate"/>
        </w:r>
        <w:r w:rsidR="00872F6B">
          <w:rPr>
            <w:noProof/>
          </w:rPr>
          <w:t>1</w:t>
        </w:r>
        <w:r>
          <w:rPr>
            <w:noProof/>
          </w:rPr>
          <w:fldChar w:fldCharType="end"/>
        </w:r>
      </w:p>
    </w:sdtContent>
  </w:sdt>
  <w:p w14:paraId="4B3AA36E" w14:textId="77777777" w:rsidR="00F3027C" w:rsidRDefault="00F302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AA13" w14:textId="77777777" w:rsidR="00F3027C" w:rsidRDefault="00F302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937486"/>
      <w:docPartObj>
        <w:docPartGallery w:val="Page Numbers (Bottom of Page)"/>
        <w:docPartUnique/>
      </w:docPartObj>
    </w:sdtPr>
    <w:sdtEndPr>
      <w:rPr>
        <w:rFonts w:asciiTheme="minorHAnsi" w:hAnsiTheme="minorHAnsi"/>
        <w:noProof/>
      </w:rPr>
    </w:sdtEndPr>
    <w:sdtContent>
      <w:p w14:paraId="56B60450" w14:textId="76026D6E" w:rsidR="00F3027C" w:rsidRPr="00212FCE" w:rsidRDefault="00F3027C">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872F6B">
          <w:rPr>
            <w:rFonts w:asciiTheme="minorHAnsi" w:hAnsiTheme="minorHAnsi"/>
            <w:noProof/>
          </w:rPr>
          <w:t>155</w:t>
        </w:r>
        <w:r w:rsidRPr="00212FCE">
          <w:rPr>
            <w:rFonts w:asciiTheme="minorHAnsi" w:hAnsiTheme="minorHAnsi"/>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098586"/>
      <w:docPartObj>
        <w:docPartGallery w:val="Page Numbers (Bottom of Page)"/>
        <w:docPartUnique/>
      </w:docPartObj>
    </w:sdtPr>
    <w:sdtEndPr>
      <w:rPr>
        <w:noProof/>
      </w:rPr>
    </w:sdtEndPr>
    <w:sdtContent>
      <w:p w14:paraId="185CE8FC" w14:textId="3FAD06A4" w:rsidR="00F3027C" w:rsidRDefault="00F3027C" w:rsidP="007E63DF">
        <w:pPr>
          <w:pStyle w:val="Footer"/>
          <w:jc w:val="right"/>
          <w:rPr>
            <w:noProof/>
          </w:rPr>
        </w:pPr>
        <w:r>
          <w:fldChar w:fldCharType="begin"/>
        </w:r>
        <w:r>
          <w:instrText xml:space="preserve"> PAGE   \* MERGEFORMAT </w:instrText>
        </w:r>
        <w:r>
          <w:fldChar w:fldCharType="separate"/>
        </w:r>
        <w:r w:rsidR="00872F6B">
          <w:rPr>
            <w:noProof/>
          </w:rPr>
          <w:t>150</w:t>
        </w:r>
        <w:r>
          <w:rPr>
            <w:noProof/>
          </w:rPr>
          <w:fldChar w:fldCharType="end"/>
        </w:r>
      </w:p>
    </w:sdtContent>
  </w:sdt>
  <w:p w14:paraId="3F62C8EA" w14:textId="77777777" w:rsidR="00F3027C" w:rsidRDefault="00F3027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89328"/>
      <w:docPartObj>
        <w:docPartGallery w:val="Page Numbers (Bottom of Page)"/>
        <w:docPartUnique/>
      </w:docPartObj>
    </w:sdtPr>
    <w:sdtEndPr>
      <w:rPr>
        <w:noProof/>
      </w:rPr>
    </w:sdtEndPr>
    <w:sdtContent>
      <w:p w14:paraId="582563F2" w14:textId="7E5F5FC5" w:rsidR="00F3027C" w:rsidRDefault="00F3027C">
        <w:pPr>
          <w:pStyle w:val="Footer"/>
          <w:jc w:val="right"/>
        </w:pPr>
        <w:r>
          <w:fldChar w:fldCharType="begin"/>
        </w:r>
        <w:r>
          <w:instrText xml:space="preserve"> PAGE   \* MERGEFORMAT </w:instrText>
        </w:r>
        <w:r>
          <w:fldChar w:fldCharType="separate"/>
        </w:r>
        <w:r w:rsidR="007023BF">
          <w:rPr>
            <w:noProof/>
          </w:rPr>
          <w:t>236</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490112"/>
      <w:docPartObj>
        <w:docPartGallery w:val="Page Numbers (Bottom of Page)"/>
        <w:docPartUnique/>
      </w:docPartObj>
    </w:sdtPr>
    <w:sdtEndPr>
      <w:rPr>
        <w:noProof/>
      </w:rPr>
    </w:sdtEndPr>
    <w:sdtContent>
      <w:p w14:paraId="3BB8EAEE" w14:textId="7C492F99" w:rsidR="00F3027C" w:rsidRDefault="00F3027C">
        <w:pPr>
          <w:pStyle w:val="Footer"/>
          <w:jc w:val="right"/>
        </w:pPr>
        <w:r>
          <w:fldChar w:fldCharType="begin"/>
        </w:r>
        <w:r>
          <w:instrText xml:space="preserve"> PAGE   \* MERGEFORMAT </w:instrText>
        </w:r>
        <w:r>
          <w:fldChar w:fldCharType="separate"/>
        </w:r>
        <w:r w:rsidR="007023BF">
          <w:rPr>
            <w:noProof/>
          </w:rPr>
          <w:t>292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54180"/>
      <w:docPartObj>
        <w:docPartGallery w:val="Page Numbers (Bottom of Page)"/>
        <w:docPartUnique/>
      </w:docPartObj>
    </w:sdtPr>
    <w:sdtEndPr>
      <w:rPr>
        <w:noProof/>
      </w:rPr>
    </w:sdtEndPr>
    <w:sdtContent>
      <w:p w14:paraId="012C9028" w14:textId="5669B9BD" w:rsidR="00F3027C" w:rsidRDefault="00F3027C">
        <w:pPr>
          <w:pStyle w:val="Footer"/>
          <w:jc w:val="right"/>
        </w:pPr>
        <w:r>
          <w:fldChar w:fldCharType="begin"/>
        </w:r>
        <w:r>
          <w:instrText xml:space="preserve"> PAGE   \* MERGEFORMAT </w:instrText>
        </w:r>
        <w:r>
          <w:fldChar w:fldCharType="separate"/>
        </w:r>
        <w:r w:rsidR="007023BF">
          <w:rPr>
            <w:noProof/>
          </w:rPr>
          <w:t>402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74A9C" w14:textId="77777777" w:rsidR="00AC4BFC" w:rsidRDefault="00AC4BFC" w:rsidP="00131A64">
      <w:pPr>
        <w:spacing w:after="0"/>
      </w:pPr>
      <w:r>
        <w:separator/>
      </w:r>
    </w:p>
  </w:footnote>
  <w:footnote w:type="continuationSeparator" w:id="0">
    <w:p w14:paraId="3F06188A" w14:textId="77777777" w:rsidR="00AC4BFC" w:rsidRDefault="00AC4BFC" w:rsidP="00131A64">
      <w:pPr>
        <w:spacing w:after="0"/>
      </w:pPr>
      <w:r>
        <w:continuationSeparator/>
      </w:r>
    </w:p>
  </w:footnote>
  <w:footnote w:type="continuationNotice" w:id="1">
    <w:p w14:paraId="507B6CB4" w14:textId="77777777" w:rsidR="00AC4BFC" w:rsidRDefault="00AC4BFC">
      <w:pPr>
        <w:spacing w:after="0"/>
      </w:pPr>
    </w:p>
  </w:footnote>
  <w:footnote w:id="2">
    <w:p w14:paraId="3D6BC243" w14:textId="4CC00F00" w:rsidR="00E77A7D" w:rsidRDefault="00E77A7D" w:rsidP="00A20749">
      <w:pPr>
        <w:pStyle w:val="FootnoteText"/>
        <w:jc w:val="both"/>
      </w:pPr>
      <w:r>
        <w:rPr>
          <w:rStyle w:val="FootnoteReference"/>
        </w:rPr>
        <w:footnoteRef/>
      </w:r>
      <w:r>
        <w:t xml:space="preserve"> </w:t>
      </w:r>
      <w:r w:rsidRPr="00561DE4">
        <w:t xml:space="preserve">The efficacy of combination NRT relative to varenicline was investigated further as part of the ToR 4 report. For further information </w:t>
      </w:r>
      <w:r w:rsidRPr="00555ABA">
        <w:t xml:space="preserve">refer </w:t>
      </w:r>
      <w:r w:rsidRPr="000D15ED">
        <w:t>to p.4</w:t>
      </w:r>
      <w:r w:rsidR="000D15ED" w:rsidRPr="000D15ED">
        <w:t>3</w:t>
      </w:r>
      <w:r w:rsidRPr="00555ABA">
        <w:t xml:space="preserve"> of ‘</w:t>
      </w:r>
      <w:r w:rsidRPr="00555ABA">
        <w:rPr>
          <w:bCs/>
        </w:rPr>
        <w:t>ToR</w:t>
      </w:r>
      <w:r w:rsidRPr="00561DE4">
        <w:rPr>
          <w:bCs/>
        </w:rPr>
        <w:t xml:space="preserve"> 4: Cost-effectiveness review of specified combinations of smoking cessation medicines and estimates for the Pharmaceutical Benefits Scheme.’</w:t>
      </w:r>
    </w:p>
  </w:footnote>
  <w:footnote w:id="3">
    <w:p w14:paraId="03B3FEE8" w14:textId="30CD4FBE" w:rsidR="00F3027C" w:rsidRDefault="00F3027C" w:rsidP="00285D42">
      <w:pPr>
        <w:pStyle w:val="FootnoteText"/>
        <w:jc w:val="both"/>
      </w:pPr>
      <w:r>
        <w:rPr>
          <w:rStyle w:val="FootnoteReference"/>
        </w:rPr>
        <w:footnoteRef/>
      </w:r>
      <w:r>
        <w:t xml:space="preserve"> Lindson et al. (2019) pooled studies comparing 42 mg/24-hour versus 21 mg/24-hour and 44 mg/24-hour versus 22 mg/24-hour patches</w:t>
      </w:r>
      <w:r w:rsidR="00285D4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66FD" w14:textId="77777777" w:rsidR="007B466C" w:rsidRDefault="007B4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37C0" w14:textId="77777777" w:rsidR="007B466C" w:rsidRDefault="007B4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C096" w14:textId="77777777" w:rsidR="007B466C" w:rsidRDefault="007B46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1000" w14:textId="77777777" w:rsidR="00F3027C" w:rsidRDefault="00F302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2B6A" w14:textId="41D34537" w:rsidR="00F3027C" w:rsidRDefault="00F302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E09D" w14:textId="598AFB7A" w:rsidR="00F3027C" w:rsidRDefault="00F30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BAEC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ACD8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84AD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DEC0C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190D4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120E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66A6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C03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2C00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0A9C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D6A5F"/>
    <w:multiLevelType w:val="hybridMultilevel"/>
    <w:tmpl w:val="3C783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15537C9"/>
    <w:multiLevelType w:val="hybridMultilevel"/>
    <w:tmpl w:val="17766D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2897A17"/>
    <w:multiLevelType w:val="hybridMultilevel"/>
    <w:tmpl w:val="2B76A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32145E2"/>
    <w:multiLevelType w:val="hybridMultilevel"/>
    <w:tmpl w:val="430A3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34C376F"/>
    <w:multiLevelType w:val="hybridMultilevel"/>
    <w:tmpl w:val="C0D8C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3B141DC"/>
    <w:multiLevelType w:val="hybridMultilevel"/>
    <w:tmpl w:val="BF468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3E34883"/>
    <w:multiLevelType w:val="hybridMultilevel"/>
    <w:tmpl w:val="353A3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47937B0"/>
    <w:multiLevelType w:val="hybridMultilevel"/>
    <w:tmpl w:val="9A6ED8B2"/>
    <w:lvl w:ilvl="0" w:tplc="F3B2B808">
      <w:start w:val="1"/>
      <w:numFmt w:val="decimal"/>
      <w:pStyle w:val="Tabletitle"/>
      <w:lvlText w:val="Table %1: "/>
      <w:lvlJc w:val="left"/>
      <w:pPr>
        <w:ind w:left="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FFAD4F2">
      <w:start w:val="1"/>
      <w:numFmt w:val="lowerLetter"/>
      <w:lvlText w:val="%2)"/>
      <w:lvlJc w:val="left"/>
      <w:pPr>
        <w:tabs>
          <w:tab w:val="num" w:pos="360"/>
        </w:tabs>
        <w:ind w:left="360" w:hanging="360"/>
      </w:pPr>
      <w:rPr>
        <w:rFonts w:hint="default"/>
      </w:rPr>
    </w:lvl>
    <w:lvl w:ilvl="2" w:tplc="C2608E12">
      <w:start w:val="1"/>
      <w:numFmt w:val="lowerRoman"/>
      <w:lvlText w:val="%3)"/>
      <w:lvlJc w:val="left"/>
      <w:pPr>
        <w:tabs>
          <w:tab w:val="num" w:pos="720"/>
        </w:tabs>
        <w:ind w:left="720" w:hanging="360"/>
      </w:pPr>
      <w:rPr>
        <w:rFonts w:hint="default"/>
      </w:rPr>
    </w:lvl>
    <w:lvl w:ilvl="3" w:tplc="C28298F2">
      <w:start w:val="1"/>
      <w:numFmt w:val="decimal"/>
      <w:lvlText w:val="(%4)"/>
      <w:lvlJc w:val="left"/>
      <w:pPr>
        <w:tabs>
          <w:tab w:val="num" w:pos="1080"/>
        </w:tabs>
        <w:ind w:left="1080" w:hanging="360"/>
      </w:pPr>
      <w:rPr>
        <w:rFonts w:hint="default"/>
      </w:rPr>
    </w:lvl>
    <w:lvl w:ilvl="4" w:tplc="E5D60934">
      <w:start w:val="1"/>
      <w:numFmt w:val="lowerLetter"/>
      <w:lvlText w:val="(%5)"/>
      <w:lvlJc w:val="left"/>
      <w:pPr>
        <w:tabs>
          <w:tab w:val="num" w:pos="1440"/>
        </w:tabs>
        <w:ind w:left="1440" w:hanging="360"/>
      </w:pPr>
      <w:rPr>
        <w:rFonts w:hint="default"/>
      </w:rPr>
    </w:lvl>
    <w:lvl w:ilvl="5" w:tplc="86502260">
      <w:start w:val="1"/>
      <w:numFmt w:val="lowerRoman"/>
      <w:lvlText w:val="(%6)"/>
      <w:lvlJc w:val="left"/>
      <w:pPr>
        <w:tabs>
          <w:tab w:val="num" w:pos="1800"/>
        </w:tabs>
        <w:ind w:left="1800" w:hanging="360"/>
      </w:pPr>
      <w:rPr>
        <w:rFonts w:hint="default"/>
      </w:rPr>
    </w:lvl>
    <w:lvl w:ilvl="6" w:tplc="1B5C1722">
      <w:start w:val="1"/>
      <w:numFmt w:val="decimal"/>
      <w:lvlText w:val="%7."/>
      <w:lvlJc w:val="left"/>
      <w:pPr>
        <w:tabs>
          <w:tab w:val="num" w:pos="2160"/>
        </w:tabs>
        <w:ind w:left="2160" w:hanging="360"/>
      </w:pPr>
      <w:rPr>
        <w:rFonts w:hint="default"/>
      </w:rPr>
    </w:lvl>
    <w:lvl w:ilvl="7" w:tplc="D4623FC0">
      <w:start w:val="1"/>
      <w:numFmt w:val="lowerLetter"/>
      <w:lvlText w:val="%8."/>
      <w:lvlJc w:val="left"/>
      <w:pPr>
        <w:tabs>
          <w:tab w:val="num" w:pos="2520"/>
        </w:tabs>
        <w:ind w:left="2520" w:hanging="360"/>
      </w:pPr>
      <w:rPr>
        <w:rFonts w:hint="default"/>
      </w:rPr>
    </w:lvl>
    <w:lvl w:ilvl="8" w:tplc="F86274B0">
      <w:start w:val="1"/>
      <w:numFmt w:val="lowerRoman"/>
      <w:lvlText w:val="%9."/>
      <w:lvlJc w:val="left"/>
      <w:pPr>
        <w:tabs>
          <w:tab w:val="num" w:pos="2880"/>
        </w:tabs>
        <w:ind w:left="2880" w:hanging="360"/>
      </w:pPr>
      <w:rPr>
        <w:rFonts w:hint="default"/>
      </w:rPr>
    </w:lvl>
  </w:abstractNum>
  <w:abstractNum w:abstractNumId="18" w15:restartNumberingAfterBreak="0">
    <w:nsid w:val="05280574"/>
    <w:multiLevelType w:val="hybridMultilevel"/>
    <w:tmpl w:val="D02EF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5925889"/>
    <w:multiLevelType w:val="hybridMultilevel"/>
    <w:tmpl w:val="1690D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59D1716"/>
    <w:multiLevelType w:val="hybridMultilevel"/>
    <w:tmpl w:val="97866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5F81931"/>
    <w:multiLevelType w:val="hybridMultilevel"/>
    <w:tmpl w:val="FFFFFFFF"/>
    <w:lvl w:ilvl="0" w:tplc="38825962">
      <w:start w:val="1"/>
      <w:numFmt w:val="bullet"/>
      <w:lvlText w:val="·"/>
      <w:lvlJc w:val="left"/>
      <w:pPr>
        <w:ind w:left="720" w:hanging="360"/>
      </w:pPr>
      <w:rPr>
        <w:rFonts w:ascii="Symbol" w:hAnsi="Symbol" w:hint="default"/>
      </w:rPr>
    </w:lvl>
    <w:lvl w:ilvl="1" w:tplc="6F847964">
      <w:start w:val="1"/>
      <w:numFmt w:val="bullet"/>
      <w:lvlText w:val="o"/>
      <w:lvlJc w:val="left"/>
      <w:pPr>
        <w:ind w:left="1440" w:hanging="360"/>
      </w:pPr>
      <w:rPr>
        <w:rFonts w:ascii="Courier New" w:hAnsi="Courier New" w:hint="default"/>
      </w:rPr>
    </w:lvl>
    <w:lvl w:ilvl="2" w:tplc="4C083316">
      <w:start w:val="1"/>
      <w:numFmt w:val="bullet"/>
      <w:lvlText w:val=""/>
      <w:lvlJc w:val="left"/>
      <w:pPr>
        <w:ind w:left="2160" w:hanging="360"/>
      </w:pPr>
      <w:rPr>
        <w:rFonts w:ascii="Wingdings" w:hAnsi="Wingdings" w:hint="default"/>
      </w:rPr>
    </w:lvl>
    <w:lvl w:ilvl="3" w:tplc="326240B2">
      <w:start w:val="1"/>
      <w:numFmt w:val="bullet"/>
      <w:lvlText w:val=""/>
      <w:lvlJc w:val="left"/>
      <w:pPr>
        <w:ind w:left="2880" w:hanging="360"/>
      </w:pPr>
      <w:rPr>
        <w:rFonts w:ascii="Symbol" w:hAnsi="Symbol" w:hint="default"/>
      </w:rPr>
    </w:lvl>
    <w:lvl w:ilvl="4" w:tplc="52C0E7BC">
      <w:start w:val="1"/>
      <w:numFmt w:val="bullet"/>
      <w:lvlText w:val="o"/>
      <w:lvlJc w:val="left"/>
      <w:pPr>
        <w:ind w:left="3600" w:hanging="360"/>
      </w:pPr>
      <w:rPr>
        <w:rFonts w:ascii="Courier New" w:hAnsi="Courier New" w:hint="default"/>
      </w:rPr>
    </w:lvl>
    <w:lvl w:ilvl="5" w:tplc="C3542584">
      <w:start w:val="1"/>
      <w:numFmt w:val="bullet"/>
      <w:lvlText w:val=""/>
      <w:lvlJc w:val="left"/>
      <w:pPr>
        <w:ind w:left="4320" w:hanging="360"/>
      </w:pPr>
      <w:rPr>
        <w:rFonts w:ascii="Wingdings" w:hAnsi="Wingdings" w:hint="default"/>
      </w:rPr>
    </w:lvl>
    <w:lvl w:ilvl="6" w:tplc="856E4EA6">
      <w:start w:val="1"/>
      <w:numFmt w:val="bullet"/>
      <w:lvlText w:val=""/>
      <w:lvlJc w:val="left"/>
      <w:pPr>
        <w:ind w:left="5040" w:hanging="360"/>
      </w:pPr>
      <w:rPr>
        <w:rFonts w:ascii="Symbol" w:hAnsi="Symbol" w:hint="default"/>
      </w:rPr>
    </w:lvl>
    <w:lvl w:ilvl="7" w:tplc="CF208BFA">
      <w:start w:val="1"/>
      <w:numFmt w:val="bullet"/>
      <w:lvlText w:val="o"/>
      <w:lvlJc w:val="left"/>
      <w:pPr>
        <w:ind w:left="5760" w:hanging="360"/>
      </w:pPr>
      <w:rPr>
        <w:rFonts w:ascii="Courier New" w:hAnsi="Courier New" w:hint="default"/>
      </w:rPr>
    </w:lvl>
    <w:lvl w:ilvl="8" w:tplc="935A5C92">
      <w:start w:val="1"/>
      <w:numFmt w:val="bullet"/>
      <w:lvlText w:val=""/>
      <w:lvlJc w:val="left"/>
      <w:pPr>
        <w:ind w:left="6480" w:hanging="360"/>
      </w:pPr>
      <w:rPr>
        <w:rFonts w:ascii="Wingdings" w:hAnsi="Wingdings" w:hint="default"/>
      </w:rPr>
    </w:lvl>
  </w:abstractNum>
  <w:abstractNum w:abstractNumId="22" w15:restartNumberingAfterBreak="0">
    <w:nsid w:val="0609313B"/>
    <w:multiLevelType w:val="hybridMultilevel"/>
    <w:tmpl w:val="AE6AA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6244311"/>
    <w:multiLevelType w:val="hybridMultilevel"/>
    <w:tmpl w:val="1BFAB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6AD3E5A"/>
    <w:multiLevelType w:val="hybridMultilevel"/>
    <w:tmpl w:val="7D56F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77961A2"/>
    <w:multiLevelType w:val="hybridMultilevel"/>
    <w:tmpl w:val="A2E24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7C83E4A"/>
    <w:multiLevelType w:val="hybridMultilevel"/>
    <w:tmpl w:val="A822A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0865359A"/>
    <w:multiLevelType w:val="hybridMultilevel"/>
    <w:tmpl w:val="5ABC5A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08E73BEF"/>
    <w:multiLevelType w:val="hybridMultilevel"/>
    <w:tmpl w:val="7DC6A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093E2E41"/>
    <w:multiLevelType w:val="hybridMultilevel"/>
    <w:tmpl w:val="5F48B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9437819"/>
    <w:multiLevelType w:val="hybridMultilevel"/>
    <w:tmpl w:val="62D4C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094E35E4"/>
    <w:multiLevelType w:val="hybridMultilevel"/>
    <w:tmpl w:val="4EA0B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9B474D7"/>
    <w:multiLevelType w:val="hybridMultilevel"/>
    <w:tmpl w:val="AAF05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09B811ED"/>
    <w:multiLevelType w:val="hybridMultilevel"/>
    <w:tmpl w:val="AEF68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0ABF7555"/>
    <w:multiLevelType w:val="hybridMultilevel"/>
    <w:tmpl w:val="0200F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0ACD0284"/>
    <w:multiLevelType w:val="hybridMultilevel"/>
    <w:tmpl w:val="7F762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0B864FEA"/>
    <w:multiLevelType w:val="hybridMultilevel"/>
    <w:tmpl w:val="052E0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0B9E5511"/>
    <w:multiLevelType w:val="hybridMultilevel"/>
    <w:tmpl w:val="4D36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0BE3406E"/>
    <w:multiLevelType w:val="hybridMultilevel"/>
    <w:tmpl w:val="D56AD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0C4C68A9"/>
    <w:multiLevelType w:val="hybridMultilevel"/>
    <w:tmpl w:val="D5827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0CEE4AB4"/>
    <w:multiLevelType w:val="hybridMultilevel"/>
    <w:tmpl w:val="ABA2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0D233B3B"/>
    <w:multiLevelType w:val="hybridMultilevel"/>
    <w:tmpl w:val="EE3AB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0D495DA3"/>
    <w:multiLevelType w:val="hybridMultilevel"/>
    <w:tmpl w:val="E61AF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0D4B1A09"/>
    <w:multiLevelType w:val="hybridMultilevel"/>
    <w:tmpl w:val="E222F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0E050242"/>
    <w:multiLevelType w:val="hybridMultilevel"/>
    <w:tmpl w:val="837E0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0E44078F"/>
    <w:multiLevelType w:val="hybridMultilevel"/>
    <w:tmpl w:val="E6A87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0EAE6B5A"/>
    <w:multiLevelType w:val="hybridMultilevel"/>
    <w:tmpl w:val="671C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0ED667FC"/>
    <w:multiLevelType w:val="hybridMultilevel"/>
    <w:tmpl w:val="7826E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0EE945E5"/>
    <w:multiLevelType w:val="hybridMultilevel"/>
    <w:tmpl w:val="26D63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0F0D10AD"/>
    <w:multiLevelType w:val="hybridMultilevel"/>
    <w:tmpl w:val="FFFFFFFF"/>
    <w:lvl w:ilvl="0" w:tplc="E0D8797A">
      <w:start w:val="1"/>
      <w:numFmt w:val="bullet"/>
      <w:lvlText w:val="·"/>
      <w:lvlJc w:val="left"/>
      <w:pPr>
        <w:ind w:left="720" w:hanging="360"/>
      </w:pPr>
      <w:rPr>
        <w:rFonts w:ascii="Symbol" w:hAnsi="Symbol" w:hint="default"/>
      </w:rPr>
    </w:lvl>
    <w:lvl w:ilvl="1" w:tplc="CF6E514E">
      <w:start w:val="1"/>
      <w:numFmt w:val="bullet"/>
      <w:lvlText w:val="o"/>
      <w:lvlJc w:val="left"/>
      <w:pPr>
        <w:ind w:left="1440" w:hanging="360"/>
      </w:pPr>
      <w:rPr>
        <w:rFonts w:ascii="Courier New" w:hAnsi="Courier New" w:hint="default"/>
      </w:rPr>
    </w:lvl>
    <w:lvl w:ilvl="2" w:tplc="AA32F29E">
      <w:start w:val="1"/>
      <w:numFmt w:val="bullet"/>
      <w:lvlText w:val=""/>
      <w:lvlJc w:val="left"/>
      <w:pPr>
        <w:ind w:left="2160" w:hanging="360"/>
      </w:pPr>
      <w:rPr>
        <w:rFonts w:ascii="Wingdings" w:hAnsi="Wingdings" w:hint="default"/>
      </w:rPr>
    </w:lvl>
    <w:lvl w:ilvl="3" w:tplc="37F06F54">
      <w:start w:val="1"/>
      <w:numFmt w:val="bullet"/>
      <w:lvlText w:val=""/>
      <w:lvlJc w:val="left"/>
      <w:pPr>
        <w:ind w:left="2880" w:hanging="360"/>
      </w:pPr>
      <w:rPr>
        <w:rFonts w:ascii="Symbol" w:hAnsi="Symbol" w:hint="default"/>
      </w:rPr>
    </w:lvl>
    <w:lvl w:ilvl="4" w:tplc="4A2E5754">
      <w:start w:val="1"/>
      <w:numFmt w:val="bullet"/>
      <w:lvlText w:val="o"/>
      <w:lvlJc w:val="left"/>
      <w:pPr>
        <w:ind w:left="3600" w:hanging="360"/>
      </w:pPr>
      <w:rPr>
        <w:rFonts w:ascii="Courier New" w:hAnsi="Courier New" w:hint="default"/>
      </w:rPr>
    </w:lvl>
    <w:lvl w:ilvl="5" w:tplc="B2BA22BE">
      <w:start w:val="1"/>
      <w:numFmt w:val="bullet"/>
      <w:lvlText w:val=""/>
      <w:lvlJc w:val="left"/>
      <w:pPr>
        <w:ind w:left="4320" w:hanging="360"/>
      </w:pPr>
      <w:rPr>
        <w:rFonts w:ascii="Wingdings" w:hAnsi="Wingdings" w:hint="default"/>
      </w:rPr>
    </w:lvl>
    <w:lvl w:ilvl="6" w:tplc="58ECD654">
      <w:start w:val="1"/>
      <w:numFmt w:val="bullet"/>
      <w:lvlText w:val=""/>
      <w:lvlJc w:val="left"/>
      <w:pPr>
        <w:ind w:left="5040" w:hanging="360"/>
      </w:pPr>
      <w:rPr>
        <w:rFonts w:ascii="Symbol" w:hAnsi="Symbol" w:hint="default"/>
      </w:rPr>
    </w:lvl>
    <w:lvl w:ilvl="7" w:tplc="108E72DA">
      <w:start w:val="1"/>
      <w:numFmt w:val="bullet"/>
      <w:lvlText w:val="o"/>
      <w:lvlJc w:val="left"/>
      <w:pPr>
        <w:ind w:left="5760" w:hanging="360"/>
      </w:pPr>
      <w:rPr>
        <w:rFonts w:ascii="Courier New" w:hAnsi="Courier New" w:hint="default"/>
      </w:rPr>
    </w:lvl>
    <w:lvl w:ilvl="8" w:tplc="A67099B8">
      <w:start w:val="1"/>
      <w:numFmt w:val="bullet"/>
      <w:lvlText w:val=""/>
      <w:lvlJc w:val="left"/>
      <w:pPr>
        <w:ind w:left="6480" w:hanging="360"/>
      </w:pPr>
      <w:rPr>
        <w:rFonts w:ascii="Wingdings" w:hAnsi="Wingdings" w:hint="default"/>
      </w:rPr>
    </w:lvl>
  </w:abstractNum>
  <w:abstractNum w:abstractNumId="50" w15:restartNumberingAfterBreak="0">
    <w:nsid w:val="0F334D75"/>
    <w:multiLevelType w:val="hybridMultilevel"/>
    <w:tmpl w:val="FFFFFFFF"/>
    <w:lvl w:ilvl="0" w:tplc="AC12D418">
      <w:start w:val="1"/>
      <w:numFmt w:val="bullet"/>
      <w:lvlText w:val="·"/>
      <w:lvlJc w:val="left"/>
      <w:pPr>
        <w:ind w:left="720" w:hanging="360"/>
      </w:pPr>
      <w:rPr>
        <w:rFonts w:ascii="Symbol" w:hAnsi="Symbol" w:hint="default"/>
      </w:rPr>
    </w:lvl>
    <w:lvl w:ilvl="1" w:tplc="55F85D12">
      <w:start w:val="1"/>
      <w:numFmt w:val="bullet"/>
      <w:lvlText w:val="o"/>
      <w:lvlJc w:val="left"/>
      <w:pPr>
        <w:ind w:left="1440" w:hanging="360"/>
      </w:pPr>
      <w:rPr>
        <w:rFonts w:ascii="Courier New" w:hAnsi="Courier New" w:hint="default"/>
      </w:rPr>
    </w:lvl>
    <w:lvl w:ilvl="2" w:tplc="044A0634">
      <w:start w:val="1"/>
      <w:numFmt w:val="bullet"/>
      <w:lvlText w:val=""/>
      <w:lvlJc w:val="left"/>
      <w:pPr>
        <w:ind w:left="2160" w:hanging="360"/>
      </w:pPr>
      <w:rPr>
        <w:rFonts w:ascii="Wingdings" w:hAnsi="Wingdings" w:hint="default"/>
      </w:rPr>
    </w:lvl>
    <w:lvl w:ilvl="3" w:tplc="723606E8">
      <w:start w:val="1"/>
      <w:numFmt w:val="bullet"/>
      <w:lvlText w:val=""/>
      <w:lvlJc w:val="left"/>
      <w:pPr>
        <w:ind w:left="2880" w:hanging="360"/>
      </w:pPr>
      <w:rPr>
        <w:rFonts w:ascii="Symbol" w:hAnsi="Symbol" w:hint="default"/>
      </w:rPr>
    </w:lvl>
    <w:lvl w:ilvl="4" w:tplc="41E687B0">
      <w:start w:val="1"/>
      <w:numFmt w:val="bullet"/>
      <w:lvlText w:val="o"/>
      <w:lvlJc w:val="left"/>
      <w:pPr>
        <w:ind w:left="3600" w:hanging="360"/>
      </w:pPr>
      <w:rPr>
        <w:rFonts w:ascii="Courier New" w:hAnsi="Courier New" w:hint="default"/>
      </w:rPr>
    </w:lvl>
    <w:lvl w:ilvl="5" w:tplc="D2128B94">
      <w:start w:val="1"/>
      <w:numFmt w:val="bullet"/>
      <w:lvlText w:val=""/>
      <w:lvlJc w:val="left"/>
      <w:pPr>
        <w:ind w:left="4320" w:hanging="360"/>
      </w:pPr>
      <w:rPr>
        <w:rFonts w:ascii="Wingdings" w:hAnsi="Wingdings" w:hint="default"/>
      </w:rPr>
    </w:lvl>
    <w:lvl w:ilvl="6" w:tplc="5720F452">
      <w:start w:val="1"/>
      <w:numFmt w:val="bullet"/>
      <w:lvlText w:val=""/>
      <w:lvlJc w:val="left"/>
      <w:pPr>
        <w:ind w:left="5040" w:hanging="360"/>
      </w:pPr>
      <w:rPr>
        <w:rFonts w:ascii="Symbol" w:hAnsi="Symbol" w:hint="default"/>
      </w:rPr>
    </w:lvl>
    <w:lvl w:ilvl="7" w:tplc="78BC6B26">
      <w:start w:val="1"/>
      <w:numFmt w:val="bullet"/>
      <w:lvlText w:val="o"/>
      <w:lvlJc w:val="left"/>
      <w:pPr>
        <w:ind w:left="5760" w:hanging="360"/>
      </w:pPr>
      <w:rPr>
        <w:rFonts w:ascii="Courier New" w:hAnsi="Courier New" w:hint="default"/>
      </w:rPr>
    </w:lvl>
    <w:lvl w:ilvl="8" w:tplc="EE9C7894">
      <w:start w:val="1"/>
      <w:numFmt w:val="bullet"/>
      <w:lvlText w:val=""/>
      <w:lvlJc w:val="left"/>
      <w:pPr>
        <w:ind w:left="6480" w:hanging="360"/>
      </w:pPr>
      <w:rPr>
        <w:rFonts w:ascii="Wingdings" w:hAnsi="Wingdings" w:hint="default"/>
      </w:rPr>
    </w:lvl>
  </w:abstractNum>
  <w:abstractNum w:abstractNumId="51" w15:restartNumberingAfterBreak="0">
    <w:nsid w:val="10181D0B"/>
    <w:multiLevelType w:val="hybridMultilevel"/>
    <w:tmpl w:val="D4A2F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10C506D5"/>
    <w:multiLevelType w:val="hybridMultilevel"/>
    <w:tmpl w:val="74DA6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110B7F42"/>
    <w:multiLevelType w:val="hybridMultilevel"/>
    <w:tmpl w:val="FFFFFFFF"/>
    <w:lvl w:ilvl="0" w:tplc="CE6A4FA6">
      <w:start w:val="1"/>
      <w:numFmt w:val="bullet"/>
      <w:lvlText w:val="·"/>
      <w:lvlJc w:val="left"/>
      <w:pPr>
        <w:ind w:left="720" w:hanging="360"/>
      </w:pPr>
      <w:rPr>
        <w:rFonts w:ascii="Symbol" w:hAnsi="Symbol" w:hint="default"/>
      </w:rPr>
    </w:lvl>
    <w:lvl w:ilvl="1" w:tplc="23CE17FE">
      <w:start w:val="1"/>
      <w:numFmt w:val="bullet"/>
      <w:lvlText w:val="o"/>
      <w:lvlJc w:val="left"/>
      <w:pPr>
        <w:ind w:left="1440" w:hanging="360"/>
      </w:pPr>
      <w:rPr>
        <w:rFonts w:ascii="Courier New" w:hAnsi="Courier New" w:hint="default"/>
      </w:rPr>
    </w:lvl>
    <w:lvl w:ilvl="2" w:tplc="F0C8AC66">
      <w:start w:val="1"/>
      <w:numFmt w:val="bullet"/>
      <w:lvlText w:val=""/>
      <w:lvlJc w:val="left"/>
      <w:pPr>
        <w:ind w:left="2160" w:hanging="360"/>
      </w:pPr>
      <w:rPr>
        <w:rFonts w:ascii="Wingdings" w:hAnsi="Wingdings" w:hint="default"/>
      </w:rPr>
    </w:lvl>
    <w:lvl w:ilvl="3" w:tplc="591E5B28">
      <w:start w:val="1"/>
      <w:numFmt w:val="bullet"/>
      <w:lvlText w:val=""/>
      <w:lvlJc w:val="left"/>
      <w:pPr>
        <w:ind w:left="2880" w:hanging="360"/>
      </w:pPr>
      <w:rPr>
        <w:rFonts w:ascii="Symbol" w:hAnsi="Symbol" w:hint="default"/>
      </w:rPr>
    </w:lvl>
    <w:lvl w:ilvl="4" w:tplc="A2DEC474">
      <w:start w:val="1"/>
      <w:numFmt w:val="bullet"/>
      <w:lvlText w:val="o"/>
      <w:lvlJc w:val="left"/>
      <w:pPr>
        <w:ind w:left="3600" w:hanging="360"/>
      </w:pPr>
      <w:rPr>
        <w:rFonts w:ascii="Courier New" w:hAnsi="Courier New" w:hint="default"/>
      </w:rPr>
    </w:lvl>
    <w:lvl w:ilvl="5" w:tplc="166EFFAE">
      <w:start w:val="1"/>
      <w:numFmt w:val="bullet"/>
      <w:lvlText w:val=""/>
      <w:lvlJc w:val="left"/>
      <w:pPr>
        <w:ind w:left="4320" w:hanging="360"/>
      </w:pPr>
      <w:rPr>
        <w:rFonts w:ascii="Wingdings" w:hAnsi="Wingdings" w:hint="default"/>
      </w:rPr>
    </w:lvl>
    <w:lvl w:ilvl="6" w:tplc="4DC288BA">
      <w:start w:val="1"/>
      <w:numFmt w:val="bullet"/>
      <w:lvlText w:val=""/>
      <w:lvlJc w:val="left"/>
      <w:pPr>
        <w:ind w:left="5040" w:hanging="360"/>
      </w:pPr>
      <w:rPr>
        <w:rFonts w:ascii="Symbol" w:hAnsi="Symbol" w:hint="default"/>
      </w:rPr>
    </w:lvl>
    <w:lvl w:ilvl="7" w:tplc="C47A092A">
      <w:start w:val="1"/>
      <w:numFmt w:val="bullet"/>
      <w:lvlText w:val="o"/>
      <w:lvlJc w:val="left"/>
      <w:pPr>
        <w:ind w:left="5760" w:hanging="360"/>
      </w:pPr>
      <w:rPr>
        <w:rFonts w:ascii="Courier New" w:hAnsi="Courier New" w:hint="default"/>
      </w:rPr>
    </w:lvl>
    <w:lvl w:ilvl="8" w:tplc="E0829B4E">
      <w:start w:val="1"/>
      <w:numFmt w:val="bullet"/>
      <w:lvlText w:val=""/>
      <w:lvlJc w:val="left"/>
      <w:pPr>
        <w:ind w:left="6480" w:hanging="360"/>
      </w:pPr>
      <w:rPr>
        <w:rFonts w:ascii="Wingdings" w:hAnsi="Wingdings" w:hint="default"/>
      </w:rPr>
    </w:lvl>
  </w:abstractNum>
  <w:abstractNum w:abstractNumId="54" w15:restartNumberingAfterBreak="0">
    <w:nsid w:val="1191141B"/>
    <w:multiLevelType w:val="hybridMultilevel"/>
    <w:tmpl w:val="F1B43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11A34CC2"/>
    <w:multiLevelType w:val="hybridMultilevel"/>
    <w:tmpl w:val="FC8C4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124C11A7"/>
    <w:multiLevelType w:val="hybridMultilevel"/>
    <w:tmpl w:val="17D83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2632619"/>
    <w:multiLevelType w:val="hybridMultilevel"/>
    <w:tmpl w:val="78F00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128F3435"/>
    <w:multiLevelType w:val="hybridMultilevel"/>
    <w:tmpl w:val="3814B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2FC12BB"/>
    <w:multiLevelType w:val="hybridMultilevel"/>
    <w:tmpl w:val="A0985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133465C0"/>
    <w:multiLevelType w:val="hybridMultilevel"/>
    <w:tmpl w:val="FFFFFFFF"/>
    <w:lvl w:ilvl="0" w:tplc="6CA4694A">
      <w:start w:val="1"/>
      <w:numFmt w:val="bullet"/>
      <w:lvlText w:val="·"/>
      <w:lvlJc w:val="left"/>
      <w:pPr>
        <w:ind w:left="720" w:hanging="360"/>
      </w:pPr>
      <w:rPr>
        <w:rFonts w:ascii="Symbol" w:hAnsi="Symbol" w:hint="default"/>
      </w:rPr>
    </w:lvl>
    <w:lvl w:ilvl="1" w:tplc="D51421DC">
      <w:start w:val="1"/>
      <w:numFmt w:val="bullet"/>
      <w:lvlText w:val="o"/>
      <w:lvlJc w:val="left"/>
      <w:pPr>
        <w:ind w:left="1440" w:hanging="360"/>
      </w:pPr>
      <w:rPr>
        <w:rFonts w:ascii="Courier New" w:hAnsi="Courier New" w:hint="default"/>
      </w:rPr>
    </w:lvl>
    <w:lvl w:ilvl="2" w:tplc="73ECA3D4">
      <w:start w:val="1"/>
      <w:numFmt w:val="bullet"/>
      <w:lvlText w:val=""/>
      <w:lvlJc w:val="left"/>
      <w:pPr>
        <w:ind w:left="2160" w:hanging="360"/>
      </w:pPr>
      <w:rPr>
        <w:rFonts w:ascii="Wingdings" w:hAnsi="Wingdings" w:hint="default"/>
      </w:rPr>
    </w:lvl>
    <w:lvl w:ilvl="3" w:tplc="A20082EC">
      <w:start w:val="1"/>
      <w:numFmt w:val="bullet"/>
      <w:lvlText w:val=""/>
      <w:lvlJc w:val="left"/>
      <w:pPr>
        <w:ind w:left="2880" w:hanging="360"/>
      </w:pPr>
      <w:rPr>
        <w:rFonts w:ascii="Symbol" w:hAnsi="Symbol" w:hint="default"/>
      </w:rPr>
    </w:lvl>
    <w:lvl w:ilvl="4" w:tplc="F8187384">
      <w:start w:val="1"/>
      <w:numFmt w:val="bullet"/>
      <w:lvlText w:val="o"/>
      <w:lvlJc w:val="left"/>
      <w:pPr>
        <w:ind w:left="3600" w:hanging="360"/>
      </w:pPr>
      <w:rPr>
        <w:rFonts w:ascii="Courier New" w:hAnsi="Courier New" w:hint="default"/>
      </w:rPr>
    </w:lvl>
    <w:lvl w:ilvl="5" w:tplc="01988E34">
      <w:start w:val="1"/>
      <w:numFmt w:val="bullet"/>
      <w:lvlText w:val=""/>
      <w:lvlJc w:val="left"/>
      <w:pPr>
        <w:ind w:left="4320" w:hanging="360"/>
      </w:pPr>
      <w:rPr>
        <w:rFonts w:ascii="Wingdings" w:hAnsi="Wingdings" w:hint="default"/>
      </w:rPr>
    </w:lvl>
    <w:lvl w:ilvl="6" w:tplc="CD4C93B0">
      <w:start w:val="1"/>
      <w:numFmt w:val="bullet"/>
      <w:lvlText w:val=""/>
      <w:lvlJc w:val="left"/>
      <w:pPr>
        <w:ind w:left="5040" w:hanging="360"/>
      </w:pPr>
      <w:rPr>
        <w:rFonts w:ascii="Symbol" w:hAnsi="Symbol" w:hint="default"/>
      </w:rPr>
    </w:lvl>
    <w:lvl w:ilvl="7" w:tplc="5268BB24">
      <w:start w:val="1"/>
      <w:numFmt w:val="bullet"/>
      <w:lvlText w:val="o"/>
      <w:lvlJc w:val="left"/>
      <w:pPr>
        <w:ind w:left="5760" w:hanging="360"/>
      </w:pPr>
      <w:rPr>
        <w:rFonts w:ascii="Courier New" w:hAnsi="Courier New" w:hint="default"/>
      </w:rPr>
    </w:lvl>
    <w:lvl w:ilvl="8" w:tplc="0C822CBC">
      <w:start w:val="1"/>
      <w:numFmt w:val="bullet"/>
      <w:lvlText w:val=""/>
      <w:lvlJc w:val="left"/>
      <w:pPr>
        <w:ind w:left="6480" w:hanging="360"/>
      </w:pPr>
      <w:rPr>
        <w:rFonts w:ascii="Wingdings" w:hAnsi="Wingdings" w:hint="default"/>
      </w:rPr>
    </w:lvl>
  </w:abstractNum>
  <w:abstractNum w:abstractNumId="62" w15:restartNumberingAfterBreak="0">
    <w:nsid w:val="135C73D0"/>
    <w:multiLevelType w:val="hybridMultilevel"/>
    <w:tmpl w:val="A94C7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362411D"/>
    <w:multiLevelType w:val="hybridMultilevel"/>
    <w:tmpl w:val="D4507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13943F97"/>
    <w:multiLevelType w:val="hybridMultilevel"/>
    <w:tmpl w:val="66B6C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13A54AB0"/>
    <w:multiLevelType w:val="hybridMultilevel"/>
    <w:tmpl w:val="F8AC6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3FA06B0"/>
    <w:multiLevelType w:val="hybridMultilevel"/>
    <w:tmpl w:val="8BE42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14AD67AC"/>
    <w:multiLevelType w:val="hybridMultilevel"/>
    <w:tmpl w:val="5A18E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159D6034"/>
    <w:multiLevelType w:val="hybridMultilevel"/>
    <w:tmpl w:val="FFFFFFFF"/>
    <w:lvl w:ilvl="0" w:tplc="0804CAD4">
      <w:start w:val="1"/>
      <w:numFmt w:val="bullet"/>
      <w:lvlText w:val="·"/>
      <w:lvlJc w:val="left"/>
      <w:pPr>
        <w:ind w:left="720" w:hanging="360"/>
      </w:pPr>
      <w:rPr>
        <w:rFonts w:ascii="Symbol" w:hAnsi="Symbol" w:hint="default"/>
      </w:rPr>
    </w:lvl>
    <w:lvl w:ilvl="1" w:tplc="CD7A352A">
      <w:start w:val="1"/>
      <w:numFmt w:val="bullet"/>
      <w:lvlText w:val="o"/>
      <w:lvlJc w:val="left"/>
      <w:pPr>
        <w:ind w:left="1440" w:hanging="360"/>
      </w:pPr>
      <w:rPr>
        <w:rFonts w:ascii="Courier New" w:hAnsi="Courier New" w:hint="default"/>
      </w:rPr>
    </w:lvl>
    <w:lvl w:ilvl="2" w:tplc="DC006E6E">
      <w:start w:val="1"/>
      <w:numFmt w:val="bullet"/>
      <w:lvlText w:val=""/>
      <w:lvlJc w:val="left"/>
      <w:pPr>
        <w:ind w:left="2160" w:hanging="360"/>
      </w:pPr>
      <w:rPr>
        <w:rFonts w:ascii="Wingdings" w:hAnsi="Wingdings" w:hint="default"/>
      </w:rPr>
    </w:lvl>
    <w:lvl w:ilvl="3" w:tplc="0C1CF53C">
      <w:start w:val="1"/>
      <w:numFmt w:val="bullet"/>
      <w:lvlText w:val=""/>
      <w:lvlJc w:val="left"/>
      <w:pPr>
        <w:ind w:left="2880" w:hanging="360"/>
      </w:pPr>
      <w:rPr>
        <w:rFonts w:ascii="Symbol" w:hAnsi="Symbol" w:hint="default"/>
      </w:rPr>
    </w:lvl>
    <w:lvl w:ilvl="4" w:tplc="8E4C8904">
      <w:start w:val="1"/>
      <w:numFmt w:val="bullet"/>
      <w:lvlText w:val="o"/>
      <w:lvlJc w:val="left"/>
      <w:pPr>
        <w:ind w:left="3600" w:hanging="360"/>
      </w:pPr>
      <w:rPr>
        <w:rFonts w:ascii="Courier New" w:hAnsi="Courier New" w:hint="default"/>
      </w:rPr>
    </w:lvl>
    <w:lvl w:ilvl="5" w:tplc="BDF6FC0E">
      <w:start w:val="1"/>
      <w:numFmt w:val="bullet"/>
      <w:lvlText w:val=""/>
      <w:lvlJc w:val="left"/>
      <w:pPr>
        <w:ind w:left="4320" w:hanging="360"/>
      </w:pPr>
      <w:rPr>
        <w:rFonts w:ascii="Wingdings" w:hAnsi="Wingdings" w:hint="default"/>
      </w:rPr>
    </w:lvl>
    <w:lvl w:ilvl="6" w:tplc="2A60111C">
      <w:start w:val="1"/>
      <w:numFmt w:val="bullet"/>
      <w:lvlText w:val=""/>
      <w:lvlJc w:val="left"/>
      <w:pPr>
        <w:ind w:left="5040" w:hanging="360"/>
      </w:pPr>
      <w:rPr>
        <w:rFonts w:ascii="Symbol" w:hAnsi="Symbol" w:hint="default"/>
      </w:rPr>
    </w:lvl>
    <w:lvl w:ilvl="7" w:tplc="9B8610BE">
      <w:start w:val="1"/>
      <w:numFmt w:val="bullet"/>
      <w:lvlText w:val="o"/>
      <w:lvlJc w:val="left"/>
      <w:pPr>
        <w:ind w:left="5760" w:hanging="360"/>
      </w:pPr>
      <w:rPr>
        <w:rFonts w:ascii="Courier New" w:hAnsi="Courier New" w:hint="default"/>
      </w:rPr>
    </w:lvl>
    <w:lvl w:ilvl="8" w:tplc="937EB292">
      <w:start w:val="1"/>
      <w:numFmt w:val="bullet"/>
      <w:lvlText w:val=""/>
      <w:lvlJc w:val="left"/>
      <w:pPr>
        <w:ind w:left="6480" w:hanging="360"/>
      </w:pPr>
      <w:rPr>
        <w:rFonts w:ascii="Wingdings" w:hAnsi="Wingdings" w:hint="default"/>
      </w:rPr>
    </w:lvl>
  </w:abstractNum>
  <w:abstractNum w:abstractNumId="69" w15:restartNumberingAfterBreak="0">
    <w:nsid w:val="1617257F"/>
    <w:multiLevelType w:val="hybridMultilevel"/>
    <w:tmpl w:val="7B9EB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170D0E87"/>
    <w:multiLevelType w:val="hybridMultilevel"/>
    <w:tmpl w:val="E3D06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170F4AD2"/>
    <w:multiLevelType w:val="hybridMultilevel"/>
    <w:tmpl w:val="185A9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179C025A"/>
    <w:multiLevelType w:val="hybridMultilevel"/>
    <w:tmpl w:val="A7F03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1A584AED"/>
    <w:multiLevelType w:val="hybridMultilevel"/>
    <w:tmpl w:val="662AE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1B6779F1"/>
    <w:multiLevelType w:val="hybridMultilevel"/>
    <w:tmpl w:val="C6380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1BE12B27"/>
    <w:multiLevelType w:val="hybridMultilevel"/>
    <w:tmpl w:val="6974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1C843B58"/>
    <w:multiLevelType w:val="hybridMultilevel"/>
    <w:tmpl w:val="C3EA6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1C867F9A"/>
    <w:multiLevelType w:val="hybridMultilevel"/>
    <w:tmpl w:val="123E49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1D2D015B"/>
    <w:multiLevelType w:val="hybridMultilevel"/>
    <w:tmpl w:val="75A6F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1D92337B"/>
    <w:multiLevelType w:val="hybridMultilevel"/>
    <w:tmpl w:val="5C0CC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1FFB1758"/>
    <w:multiLevelType w:val="hybridMultilevel"/>
    <w:tmpl w:val="FFFFFFFF"/>
    <w:lvl w:ilvl="0" w:tplc="77A20446">
      <w:start w:val="1"/>
      <w:numFmt w:val="bullet"/>
      <w:lvlText w:val="·"/>
      <w:lvlJc w:val="left"/>
      <w:pPr>
        <w:ind w:left="720" w:hanging="360"/>
      </w:pPr>
      <w:rPr>
        <w:rFonts w:ascii="Symbol" w:hAnsi="Symbol" w:hint="default"/>
      </w:rPr>
    </w:lvl>
    <w:lvl w:ilvl="1" w:tplc="54F481CE">
      <w:start w:val="1"/>
      <w:numFmt w:val="bullet"/>
      <w:lvlText w:val="o"/>
      <w:lvlJc w:val="left"/>
      <w:pPr>
        <w:ind w:left="1440" w:hanging="360"/>
      </w:pPr>
      <w:rPr>
        <w:rFonts w:ascii="Courier New" w:hAnsi="Courier New" w:hint="default"/>
      </w:rPr>
    </w:lvl>
    <w:lvl w:ilvl="2" w:tplc="39DAB498">
      <w:start w:val="1"/>
      <w:numFmt w:val="bullet"/>
      <w:lvlText w:val=""/>
      <w:lvlJc w:val="left"/>
      <w:pPr>
        <w:ind w:left="2160" w:hanging="360"/>
      </w:pPr>
      <w:rPr>
        <w:rFonts w:ascii="Wingdings" w:hAnsi="Wingdings" w:hint="default"/>
      </w:rPr>
    </w:lvl>
    <w:lvl w:ilvl="3" w:tplc="AF84FFD2">
      <w:start w:val="1"/>
      <w:numFmt w:val="bullet"/>
      <w:lvlText w:val=""/>
      <w:lvlJc w:val="left"/>
      <w:pPr>
        <w:ind w:left="2880" w:hanging="360"/>
      </w:pPr>
      <w:rPr>
        <w:rFonts w:ascii="Symbol" w:hAnsi="Symbol" w:hint="default"/>
      </w:rPr>
    </w:lvl>
    <w:lvl w:ilvl="4" w:tplc="B1F8FC1A">
      <w:start w:val="1"/>
      <w:numFmt w:val="bullet"/>
      <w:lvlText w:val="o"/>
      <w:lvlJc w:val="left"/>
      <w:pPr>
        <w:ind w:left="3600" w:hanging="360"/>
      </w:pPr>
      <w:rPr>
        <w:rFonts w:ascii="Courier New" w:hAnsi="Courier New" w:hint="default"/>
      </w:rPr>
    </w:lvl>
    <w:lvl w:ilvl="5" w:tplc="1772F684">
      <w:start w:val="1"/>
      <w:numFmt w:val="bullet"/>
      <w:lvlText w:val=""/>
      <w:lvlJc w:val="left"/>
      <w:pPr>
        <w:ind w:left="4320" w:hanging="360"/>
      </w:pPr>
      <w:rPr>
        <w:rFonts w:ascii="Wingdings" w:hAnsi="Wingdings" w:hint="default"/>
      </w:rPr>
    </w:lvl>
    <w:lvl w:ilvl="6" w:tplc="CFBA877A">
      <w:start w:val="1"/>
      <w:numFmt w:val="bullet"/>
      <w:lvlText w:val=""/>
      <w:lvlJc w:val="left"/>
      <w:pPr>
        <w:ind w:left="5040" w:hanging="360"/>
      </w:pPr>
      <w:rPr>
        <w:rFonts w:ascii="Symbol" w:hAnsi="Symbol" w:hint="default"/>
      </w:rPr>
    </w:lvl>
    <w:lvl w:ilvl="7" w:tplc="C21A0D54">
      <w:start w:val="1"/>
      <w:numFmt w:val="bullet"/>
      <w:lvlText w:val="o"/>
      <w:lvlJc w:val="left"/>
      <w:pPr>
        <w:ind w:left="5760" w:hanging="360"/>
      </w:pPr>
      <w:rPr>
        <w:rFonts w:ascii="Courier New" w:hAnsi="Courier New" w:hint="default"/>
      </w:rPr>
    </w:lvl>
    <w:lvl w:ilvl="8" w:tplc="CE483788">
      <w:start w:val="1"/>
      <w:numFmt w:val="bullet"/>
      <w:lvlText w:val=""/>
      <w:lvlJc w:val="left"/>
      <w:pPr>
        <w:ind w:left="6480" w:hanging="360"/>
      </w:pPr>
      <w:rPr>
        <w:rFonts w:ascii="Wingdings" w:hAnsi="Wingdings" w:hint="default"/>
      </w:rPr>
    </w:lvl>
  </w:abstractNum>
  <w:abstractNum w:abstractNumId="81" w15:restartNumberingAfterBreak="0">
    <w:nsid w:val="200E7491"/>
    <w:multiLevelType w:val="hybridMultilevel"/>
    <w:tmpl w:val="FFFFFFFF"/>
    <w:lvl w:ilvl="0" w:tplc="856E457C">
      <w:start w:val="1"/>
      <w:numFmt w:val="bullet"/>
      <w:lvlText w:val="·"/>
      <w:lvlJc w:val="left"/>
      <w:pPr>
        <w:ind w:left="720" w:hanging="360"/>
      </w:pPr>
      <w:rPr>
        <w:rFonts w:ascii="Symbol" w:hAnsi="Symbol" w:hint="default"/>
      </w:rPr>
    </w:lvl>
    <w:lvl w:ilvl="1" w:tplc="3DAAFFBE">
      <w:start w:val="1"/>
      <w:numFmt w:val="bullet"/>
      <w:lvlText w:val="o"/>
      <w:lvlJc w:val="left"/>
      <w:pPr>
        <w:ind w:left="1440" w:hanging="360"/>
      </w:pPr>
      <w:rPr>
        <w:rFonts w:ascii="Courier New" w:hAnsi="Courier New" w:hint="default"/>
      </w:rPr>
    </w:lvl>
    <w:lvl w:ilvl="2" w:tplc="EAC05622">
      <w:start w:val="1"/>
      <w:numFmt w:val="bullet"/>
      <w:lvlText w:val=""/>
      <w:lvlJc w:val="left"/>
      <w:pPr>
        <w:ind w:left="2160" w:hanging="360"/>
      </w:pPr>
      <w:rPr>
        <w:rFonts w:ascii="Wingdings" w:hAnsi="Wingdings" w:hint="default"/>
      </w:rPr>
    </w:lvl>
    <w:lvl w:ilvl="3" w:tplc="AF8AC9D6">
      <w:start w:val="1"/>
      <w:numFmt w:val="bullet"/>
      <w:lvlText w:val=""/>
      <w:lvlJc w:val="left"/>
      <w:pPr>
        <w:ind w:left="2880" w:hanging="360"/>
      </w:pPr>
      <w:rPr>
        <w:rFonts w:ascii="Symbol" w:hAnsi="Symbol" w:hint="default"/>
      </w:rPr>
    </w:lvl>
    <w:lvl w:ilvl="4" w:tplc="8AF4538A">
      <w:start w:val="1"/>
      <w:numFmt w:val="bullet"/>
      <w:lvlText w:val="o"/>
      <w:lvlJc w:val="left"/>
      <w:pPr>
        <w:ind w:left="3600" w:hanging="360"/>
      </w:pPr>
      <w:rPr>
        <w:rFonts w:ascii="Courier New" w:hAnsi="Courier New" w:hint="default"/>
      </w:rPr>
    </w:lvl>
    <w:lvl w:ilvl="5" w:tplc="486CC748">
      <w:start w:val="1"/>
      <w:numFmt w:val="bullet"/>
      <w:lvlText w:val=""/>
      <w:lvlJc w:val="left"/>
      <w:pPr>
        <w:ind w:left="4320" w:hanging="360"/>
      </w:pPr>
      <w:rPr>
        <w:rFonts w:ascii="Wingdings" w:hAnsi="Wingdings" w:hint="default"/>
      </w:rPr>
    </w:lvl>
    <w:lvl w:ilvl="6" w:tplc="B00EA014">
      <w:start w:val="1"/>
      <w:numFmt w:val="bullet"/>
      <w:lvlText w:val=""/>
      <w:lvlJc w:val="left"/>
      <w:pPr>
        <w:ind w:left="5040" w:hanging="360"/>
      </w:pPr>
      <w:rPr>
        <w:rFonts w:ascii="Symbol" w:hAnsi="Symbol" w:hint="default"/>
      </w:rPr>
    </w:lvl>
    <w:lvl w:ilvl="7" w:tplc="C020FE82">
      <w:start w:val="1"/>
      <w:numFmt w:val="bullet"/>
      <w:lvlText w:val="o"/>
      <w:lvlJc w:val="left"/>
      <w:pPr>
        <w:ind w:left="5760" w:hanging="360"/>
      </w:pPr>
      <w:rPr>
        <w:rFonts w:ascii="Courier New" w:hAnsi="Courier New" w:hint="default"/>
      </w:rPr>
    </w:lvl>
    <w:lvl w:ilvl="8" w:tplc="458A2D9C">
      <w:start w:val="1"/>
      <w:numFmt w:val="bullet"/>
      <w:lvlText w:val=""/>
      <w:lvlJc w:val="left"/>
      <w:pPr>
        <w:ind w:left="6480" w:hanging="360"/>
      </w:pPr>
      <w:rPr>
        <w:rFonts w:ascii="Wingdings" w:hAnsi="Wingdings" w:hint="default"/>
      </w:rPr>
    </w:lvl>
  </w:abstractNum>
  <w:abstractNum w:abstractNumId="82" w15:restartNumberingAfterBreak="0">
    <w:nsid w:val="205D44A4"/>
    <w:multiLevelType w:val="hybridMultilevel"/>
    <w:tmpl w:val="F6607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0BE4B2A"/>
    <w:multiLevelType w:val="hybridMultilevel"/>
    <w:tmpl w:val="78A0090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84" w15:restartNumberingAfterBreak="0">
    <w:nsid w:val="210161E2"/>
    <w:multiLevelType w:val="hybridMultilevel"/>
    <w:tmpl w:val="CBA89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10F6C1B"/>
    <w:multiLevelType w:val="hybridMultilevel"/>
    <w:tmpl w:val="1CB24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21462E58"/>
    <w:multiLevelType w:val="hybridMultilevel"/>
    <w:tmpl w:val="3C7A8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216B36DF"/>
    <w:multiLevelType w:val="hybridMultilevel"/>
    <w:tmpl w:val="AB3A5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21AE560D"/>
    <w:multiLevelType w:val="hybridMultilevel"/>
    <w:tmpl w:val="DF1E1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2255602F"/>
    <w:multiLevelType w:val="hybridMultilevel"/>
    <w:tmpl w:val="FFFFFFFF"/>
    <w:lvl w:ilvl="0" w:tplc="72827F34">
      <w:start w:val="1"/>
      <w:numFmt w:val="bullet"/>
      <w:lvlText w:val="·"/>
      <w:lvlJc w:val="left"/>
      <w:pPr>
        <w:ind w:left="720" w:hanging="360"/>
      </w:pPr>
      <w:rPr>
        <w:rFonts w:ascii="Symbol" w:hAnsi="Symbol" w:hint="default"/>
      </w:rPr>
    </w:lvl>
    <w:lvl w:ilvl="1" w:tplc="6BFAE1CA">
      <w:start w:val="1"/>
      <w:numFmt w:val="bullet"/>
      <w:lvlText w:val="o"/>
      <w:lvlJc w:val="left"/>
      <w:pPr>
        <w:ind w:left="1440" w:hanging="360"/>
      </w:pPr>
      <w:rPr>
        <w:rFonts w:ascii="Courier New" w:hAnsi="Courier New" w:hint="default"/>
      </w:rPr>
    </w:lvl>
    <w:lvl w:ilvl="2" w:tplc="9740FA2A">
      <w:start w:val="1"/>
      <w:numFmt w:val="bullet"/>
      <w:lvlText w:val=""/>
      <w:lvlJc w:val="left"/>
      <w:pPr>
        <w:ind w:left="2160" w:hanging="360"/>
      </w:pPr>
      <w:rPr>
        <w:rFonts w:ascii="Wingdings" w:hAnsi="Wingdings" w:hint="default"/>
      </w:rPr>
    </w:lvl>
    <w:lvl w:ilvl="3" w:tplc="A5CE8360">
      <w:start w:val="1"/>
      <w:numFmt w:val="bullet"/>
      <w:lvlText w:val=""/>
      <w:lvlJc w:val="left"/>
      <w:pPr>
        <w:ind w:left="2880" w:hanging="360"/>
      </w:pPr>
      <w:rPr>
        <w:rFonts w:ascii="Symbol" w:hAnsi="Symbol" w:hint="default"/>
      </w:rPr>
    </w:lvl>
    <w:lvl w:ilvl="4" w:tplc="A2204C0C">
      <w:start w:val="1"/>
      <w:numFmt w:val="bullet"/>
      <w:lvlText w:val="o"/>
      <w:lvlJc w:val="left"/>
      <w:pPr>
        <w:ind w:left="3600" w:hanging="360"/>
      </w:pPr>
      <w:rPr>
        <w:rFonts w:ascii="Courier New" w:hAnsi="Courier New" w:hint="default"/>
      </w:rPr>
    </w:lvl>
    <w:lvl w:ilvl="5" w:tplc="FA042190">
      <w:start w:val="1"/>
      <w:numFmt w:val="bullet"/>
      <w:lvlText w:val=""/>
      <w:lvlJc w:val="left"/>
      <w:pPr>
        <w:ind w:left="4320" w:hanging="360"/>
      </w:pPr>
      <w:rPr>
        <w:rFonts w:ascii="Wingdings" w:hAnsi="Wingdings" w:hint="default"/>
      </w:rPr>
    </w:lvl>
    <w:lvl w:ilvl="6" w:tplc="D4625430">
      <w:start w:val="1"/>
      <w:numFmt w:val="bullet"/>
      <w:lvlText w:val=""/>
      <w:lvlJc w:val="left"/>
      <w:pPr>
        <w:ind w:left="5040" w:hanging="360"/>
      </w:pPr>
      <w:rPr>
        <w:rFonts w:ascii="Symbol" w:hAnsi="Symbol" w:hint="default"/>
      </w:rPr>
    </w:lvl>
    <w:lvl w:ilvl="7" w:tplc="3D40497A">
      <w:start w:val="1"/>
      <w:numFmt w:val="bullet"/>
      <w:lvlText w:val="o"/>
      <w:lvlJc w:val="left"/>
      <w:pPr>
        <w:ind w:left="5760" w:hanging="360"/>
      </w:pPr>
      <w:rPr>
        <w:rFonts w:ascii="Courier New" w:hAnsi="Courier New" w:hint="default"/>
      </w:rPr>
    </w:lvl>
    <w:lvl w:ilvl="8" w:tplc="1B0AC732">
      <w:start w:val="1"/>
      <w:numFmt w:val="bullet"/>
      <w:lvlText w:val=""/>
      <w:lvlJc w:val="left"/>
      <w:pPr>
        <w:ind w:left="6480" w:hanging="360"/>
      </w:pPr>
      <w:rPr>
        <w:rFonts w:ascii="Wingdings" w:hAnsi="Wingdings" w:hint="default"/>
      </w:rPr>
    </w:lvl>
  </w:abstractNum>
  <w:abstractNum w:abstractNumId="90" w15:restartNumberingAfterBreak="0">
    <w:nsid w:val="22763047"/>
    <w:multiLevelType w:val="hybridMultilevel"/>
    <w:tmpl w:val="BA9C7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22F6746A"/>
    <w:multiLevelType w:val="hybridMultilevel"/>
    <w:tmpl w:val="AE7E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22FC44EE"/>
    <w:multiLevelType w:val="hybridMultilevel"/>
    <w:tmpl w:val="49F6F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234D7800"/>
    <w:multiLevelType w:val="hybridMultilevel"/>
    <w:tmpl w:val="CB369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23745DC5"/>
    <w:multiLevelType w:val="hybridMultilevel"/>
    <w:tmpl w:val="FFFFFFFF"/>
    <w:lvl w:ilvl="0" w:tplc="4F225E02">
      <w:start w:val="1"/>
      <w:numFmt w:val="bullet"/>
      <w:lvlText w:val="·"/>
      <w:lvlJc w:val="left"/>
      <w:pPr>
        <w:ind w:left="720" w:hanging="360"/>
      </w:pPr>
      <w:rPr>
        <w:rFonts w:ascii="Symbol" w:hAnsi="Symbol" w:hint="default"/>
      </w:rPr>
    </w:lvl>
    <w:lvl w:ilvl="1" w:tplc="F350FC3E">
      <w:start w:val="1"/>
      <w:numFmt w:val="bullet"/>
      <w:lvlText w:val="o"/>
      <w:lvlJc w:val="left"/>
      <w:pPr>
        <w:ind w:left="1440" w:hanging="360"/>
      </w:pPr>
      <w:rPr>
        <w:rFonts w:ascii="Courier New" w:hAnsi="Courier New" w:hint="default"/>
      </w:rPr>
    </w:lvl>
    <w:lvl w:ilvl="2" w:tplc="9680343E">
      <w:start w:val="1"/>
      <w:numFmt w:val="bullet"/>
      <w:lvlText w:val=""/>
      <w:lvlJc w:val="left"/>
      <w:pPr>
        <w:ind w:left="2160" w:hanging="360"/>
      </w:pPr>
      <w:rPr>
        <w:rFonts w:ascii="Wingdings" w:hAnsi="Wingdings" w:hint="default"/>
      </w:rPr>
    </w:lvl>
    <w:lvl w:ilvl="3" w:tplc="AA86775C">
      <w:start w:val="1"/>
      <w:numFmt w:val="bullet"/>
      <w:lvlText w:val=""/>
      <w:lvlJc w:val="left"/>
      <w:pPr>
        <w:ind w:left="2880" w:hanging="360"/>
      </w:pPr>
      <w:rPr>
        <w:rFonts w:ascii="Symbol" w:hAnsi="Symbol" w:hint="default"/>
      </w:rPr>
    </w:lvl>
    <w:lvl w:ilvl="4" w:tplc="A2DEA080">
      <w:start w:val="1"/>
      <w:numFmt w:val="bullet"/>
      <w:lvlText w:val="o"/>
      <w:lvlJc w:val="left"/>
      <w:pPr>
        <w:ind w:left="3600" w:hanging="360"/>
      </w:pPr>
      <w:rPr>
        <w:rFonts w:ascii="Courier New" w:hAnsi="Courier New" w:hint="default"/>
      </w:rPr>
    </w:lvl>
    <w:lvl w:ilvl="5" w:tplc="C8E6BB5E">
      <w:start w:val="1"/>
      <w:numFmt w:val="bullet"/>
      <w:lvlText w:val=""/>
      <w:lvlJc w:val="left"/>
      <w:pPr>
        <w:ind w:left="4320" w:hanging="360"/>
      </w:pPr>
      <w:rPr>
        <w:rFonts w:ascii="Wingdings" w:hAnsi="Wingdings" w:hint="default"/>
      </w:rPr>
    </w:lvl>
    <w:lvl w:ilvl="6" w:tplc="78861C6E">
      <w:start w:val="1"/>
      <w:numFmt w:val="bullet"/>
      <w:lvlText w:val=""/>
      <w:lvlJc w:val="left"/>
      <w:pPr>
        <w:ind w:left="5040" w:hanging="360"/>
      </w:pPr>
      <w:rPr>
        <w:rFonts w:ascii="Symbol" w:hAnsi="Symbol" w:hint="default"/>
      </w:rPr>
    </w:lvl>
    <w:lvl w:ilvl="7" w:tplc="EE26B4B4">
      <w:start w:val="1"/>
      <w:numFmt w:val="bullet"/>
      <w:lvlText w:val="o"/>
      <w:lvlJc w:val="left"/>
      <w:pPr>
        <w:ind w:left="5760" w:hanging="360"/>
      </w:pPr>
      <w:rPr>
        <w:rFonts w:ascii="Courier New" w:hAnsi="Courier New" w:hint="default"/>
      </w:rPr>
    </w:lvl>
    <w:lvl w:ilvl="8" w:tplc="039230BE">
      <w:start w:val="1"/>
      <w:numFmt w:val="bullet"/>
      <w:lvlText w:val=""/>
      <w:lvlJc w:val="left"/>
      <w:pPr>
        <w:ind w:left="6480" w:hanging="360"/>
      </w:pPr>
      <w:rPr>
        <w:rFonts w:ascii="Wingdings" w:hAnsi="Wingdings" w:hint="default"/>
      </w:rPr>
    </w:lvl>
  </w:abstractNum>
  <w:abstractNum w:abstractNumId="95" w15:restartNumberingAfterBreak="0">
    <w:nsid w:val="237619B2"/>
    <w:multiLevelType w:val="hybridMultilevel"/>
    <w:tmpl w:val="E9448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23F93A76"/>
    <w:multiLevelType w:val="hybridMultilevel"/>
    <w:tmpl w:val="E6388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24A574B6"/>
    <w:multiLevelType w:val="hybridMultilevel"/>
    <w:tmpl w:val="69A0A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24B84DF6"/>
    <w:multiLevelType w:val="hybridMultilevel"/>
    <w:tmpl w:val="910AB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25AF7401"/>
    <w:multiLevelType w:val="hybridMultilevel"/>
    <w:tmpl w:val="1E840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1" w15:restartNumberingAfterBreak="0">
    <w:nsid w:val="25D05F46"/>
    <w:multiLevelType w:val="hybridMultilevel"/>
    <w:tmpl w:val="B92A1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25EA4AD7"/>
    <w:multiLevelType w:val="hybridMultilevel"/>
    <w:tmpl w:val="6C207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27017CA1"/>
    <w:multiLevelType w:val="hybridMultilevel"/>
    <w:tmpl w:val="C226B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8226532"/>
    <w:multiLevelType w:val="hybridMultilevel"/>
    <w:tmpl w:val="E2C2E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286B475D"/>
    <w:multiLevelType w:val="hybridMultilevel"/>
    <w:tmpl w:val="FFFFFFFF"/>
    <w:lvl w:ilvl="0" w:tplc="FC166922">
      <w:start w:val="1"/>
      <w:numFmt w:val="bullet"/>
      <w:lvlText w:val="·"/>
      <w:lvlJc w:val="left"/>
      <w:pPr>
        <w:ind w:left="360" w:hanging="360"/>
      </w:pPr>
      <w:rPr>
        <w:rFonts w:ascii="Symbol" w:hAnsi="Symbol" w:hint="default"/>
      </w:rPr>
    </w:lvl>
    <w:lvl w:ilvl="1" w:tplc="C1B49F4C">
      <w:start w:val="1"/>
      <w:numFmt w:val="bullet"/>
      <w:lvlText w:val="o"/>
      <w:lvlJc w:val="left"/>
      <w:pPr>
        <w:ind w:left="1080" w:hanging="360"/>
      </w:pPr>
      <w:rPr>
        <w:rFonts w:ascii="Courier New" w:hAnsi="Courier New" w:hint="default"/>
      </w:rPr>
    </w:lvl>
    <w:lvl w:ilvl="2" w:tplc="A4200D2C">
      <w:start w:val="1"/>
      <w:numFmt w:val="bullet"/>
      <w:lvlText w:val=""/>
      <w:lvlJc w:val="left"/>
      <w:pPr>
        <w:ind w:left="1800" w:hanging="360"/>
      </w:pPr>
      <w:rPr>
        <w:rFonts w:ascii="Wingdings" w:hAnsi="Wingdings" w:hint="default"/>
      </w:rPr>
    </w:lvl>
    <w:lvl w:ilvl="3" w:tplc="8EF6E83C">
      <w:start w:val="1"/>
      <w:numFmt w:val="bullet"/>
      <w:lvlText w:val=""/>
      <w:lvlJc w:val="left"/>
      <w:pPr>
        <w:ind w:left="2520" w:hanging="360"/>
      </w:pPr>
      <w:rPr>
        <w:rFonts w:ascii="Symbol" w:hAnsi="Symbol" w:hint="default"/>
      </w:rPr>
    </w:lvl>
    <w:lvl w:ilvl="4" w:tplc="FA4A6B90">
      <w:start w:val="1"/>
      <w:numFmt w:val="bullet"/>
      <w:lvlText w:val="o"/>
      <w:lvlJc w:val="left"/>
      <w:pPr>
        <w:ind w:left="3240" w:hanging="360"/>
      </w:pPr>
      <w:rPr>
        <w:rFonts w:ascii="Courier New" w:hAnsi="Courier New" w:hint="default"/>
      </w:rPr>
    </w:lvl>
    <w:lvl w:ilvl="5" w:tplc="E20A4D06">
      <w:start w:val="1"/>
      <w:numFmt w:val="bullet"/>
      <w:lvlText w:val=""/>
      <w:lvlJc w:val="left"/>
      <w:pPr>
        <w:ind w:left="3960" w:hanging="360"/>
      </w:pPr>
      <w:rPr>
        <w:rFonts w:ascii="Wingdings" w:hAnsi="Wingdings" w:hint="default"/>
      </w:rPr>
    </w:lvl>
    <w:lvl w:ilvl="6" w:tplc="51245CF2">
      <w:start w:val="1"/>
      <w:numFmt w:val="bullet"/>
      <w:lvlText w:val=""/>
      <w:lvlJc w:val="left"/>
      <w:pPr>
        <w:ind w:left="4680" w:hanging="360"/>
      </w:pPr>
      <w:rPr>
        <w:rFonts w:ascii="Symbol" w:hAnsi="Symbol" w:hint="default"/>
      </w:rPr>
    </w:lvl>
    <w:lvl w:ilvl="7" w:tplc="16564580">
      <w:start w:val="1"/>
      <w:numFmt w:val="bullet"/>
      <w:lvlText w:val="o"/>
      <w:lvlJc w:val="left"/>
      <w:pPr>
        <w:ind w:left="5400" w:hanging="360"/>
      </w:pPr>
      <w:rPr>
        <w:rFonts w:ascii="Courier New" w:hAnsi="Courier New" w:hint="default"/>
      </w:rPr>
    </w:lvl>
    <w:lvl w:ilvl="8" w:tplc="9F4A790E">
      <w:start w:val="1"/>
      <w:numFmt w:val="bullet"/>
      <w:lvlText w:val=""/>
      <w:lvlJc w:val="left"/>
      <w:pPr>
        <w:ind w:left="6120" w:hanging="360"/>
      </w:pPr>
      <w:rPr>
        <w:rFonts w:ascii="Wingdings" w:hAnsi="Wingdings" w:hint="default"/>
      </w:rPr>
    </w:lvl>
  </w:abstractNum>
  <w:abstractNum w:abstractNumId="106" w15:restartNumberingAfterBreak="0">
    <w:nsid w:val="289E74FB"/>
    <w:multiLevelType w:val="hybridMultilevel"/>
    <w:tmpl w:val="475C1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28BD13D0"/>
    <w:multiLevelType w:val="hybridMultilevel"/>
    <w:tmpl w:val="98F69E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8" w15:restartNumberingAfterBreak="0">
    <w:nsid w:val="28F02F94"/>
    <w:multiLevelType w:val="hybridMultilevel"/>
    <w:tmpl w:val="1E1EE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291670A5"/>
    <w:multiLevelType w:val="hybridMultilevel"/>
    <w:tmpl w:val="94F2B3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29345882"/>
    <w:multiLevelType w:val="hybridMultilevel"/>
    <w:tmpl w:val="D63085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29403ACB"/>
    <w:multiLevelType w:val="hybridMultilevel"/>
    <w:tmpl w:val="92D8F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29B077AC"/>
    <w:multiLevelType w:val="hybridMultilevel"/>
    <w:tmpl w:val="FFFFFFFF"/>
    <w:lvl w:ilvl="0" w:tplc="AF84F014">
      <w:start w:val="1"/>
      <w:numFmt w:val="bullet"/>
      <w:lvlText w:val="·"/>
      <w:lvlJc w:val="left"/>
      <w:pPr>
        <w:ind w:left="360" w:hanging="360"/>
      </w:pPr>
      <w:rPr>
        <w:rFonts w:ascii="Symbol" w:hAnsi="Symbol" w:hint="default"/>
      </w:rPr>
    </w:lvl>
    <w:lvl w:ilvl="1" w:tplc="C80059D6">
      <w:start w:val="1"/>
      <w:numFmt w:val="bullet"/>
      <w:lvlText w:val="o"/>
      <w:lvlJc w:val="left"/>
      <w:pPr>
        <w:ind w:left="1080" w:hanging="360"/>
      </w:pPr>
      <w:rPr>
        <w:rFonts w:ascii="Courier New" w:hAnsi="Courier New" w:hint="default"/>
      </w:rPr>
    </w:lvl>
    <w:lvl w:ilvl="2" w:tplc="FDD0A066">
      <w:start w:val="1"/>
      <w:numFmt w:val="bullet"/>
      <w:lvlText w:val=""/>
      <w:lvlJc w:val="left"/>
      <w:pPr>
        <w:ind w:left="1800" w:hanging="360"/>
      </w:pPr>
      <w:rPr>
        <w:rFonts w:ascii="Wingdings" w:hAnsi="Wingdings" w:hint="default"/>
      </w:rPr>
    </w:lvl>
    <w:lvl w:ilvl="3" w:tplc="FF74917C">
      <w:start w:val="1"/>
      <w:numFmt w:val="bullet"/>
      <w:lvlText w:val=""/>
      <w:lvlJc w:val="left"/>
      <w:pPr>
        <w:ind w:left="2520" w:hanging="360"/>
      </w:pPr>
      <w:rPr>
        <w:rFonts w:ascii="Symbol" w:hAnsi="Symbol" w:hint="default"/>
      </w:rPr>
    </w:lvl>
    <w:lvl w:ilvl="4" w:tplc="DC38D130">
      <w:start w:val="1"/>
      <w:numFmt w:val="bullet"/>
      <w:lvlText w:val="o"/>
      <w:lvlJc w:val="left"/>
      <w:pPr>
        <w:ind w:left="3240" w:hanging="360"/>
      </w:pPr>
      <w:rPr>
        <w:rFonts w:ascii="Courier New" w:hAnsi="Courier New" w:hint="default"/>
      </w:rPr>
    </w:lvl>
    <w:lvl w:ilvl="5" w:tplc="D3AE78F2">
      <w:start w:val="1"/>
      <w:numFmt w:val="bullet"/>
      <w:lvlText w:val=""/>
      <w:lvlJc w:val="left"/>
      <w:pPr>
        <w:ind w:left="3960" w:hanging="360"/>
      </w:pPr>
      <w:rPr>
        <w:rFonts w:ascii="Wingdings" w:hAnsi="Wingdings" w:hint="default"/>
      </w:rPr>
    </w:lvl>
    <w:lvl w:ilvl="6" w:tplc="6D6AEB1E">
      <w:start w:val="1"/>
      <w:numFmt w:val="bullet"/>
      <w:lvlText w:val=""/>
      <w:lvlJc w:val="left"/>
      <w:pPr>
        <w:ind w:left="4680" w:hanging="360"/>
      </w:pPr>
      <w:rPr>
        <w:rFonts w:ascii="Symbol" w:hAnsi="Symbol" w:hint="default"/>
      </w:rPr>
    </w:lvl>
    <w:lvl w:ilvl="7" w:tplc="6C38F918">
      <w:start w:val="1"/>
      <w:numFmt w:val="bullet"/>
      <w:lvlText w:val="o"/>
      <w:lvlJc w:val="left"/>
      <w:pPr>
        <w:ind w:left="5400" w:hanging="360"/>
      </w:pPr>
      <w:rPr>
        <w:rFonts w:ascii="Courier New" w:hAnsi="Courier New" w:hint="default"/>
      </w:rPr>
    </w:lvl>
    <w:lvl w:ilvl="8" w:tplc="D528E680">
      <w:start w:val="1"/>
      <w:numFmt w:val="bullet"/>
      <w:lvlText w:val=""/>
      <w:lvlJc w:val="left"/>
      <w:pPr>
        <w:ind w:left="6120" w:hanging="360"/>
      </w:pPr>
      <w:rPr>
        <w:rFonts w:ascii="Wingdings" w:hAnsi="Wingdings" w:hint="default"/>
      </w:rPr>
    </w:lvl>
  </w:abstractNum>
  <w:abstractNum w:abstractNumId="113" w15:restartNumberingAfterBreak="0">
    <w:nsid w:val="2A326EB4"/>
    <w:multiLevelType w:val="hybridMultilevel"/>
    <w:tmpl w:val="77404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2A356CE1"/>
    <w:multiLevelType w:val="hybridMultilevel"/>
    <w:tmpl w:val="955A1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2A8F70B3"/>
    <w:multiLevelType w:val="hybridMultilevel"/>
    <w:tmpl w:val="87E4A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2B3D0741"/>
    <w:multiLevelType w:val="hybridMultilevel"/>
    <w:tmpl w:val="CD04C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2B3F52C5"/>
    <w:multiLevelType w:val="hybridMultilevel"/>
    <w:tmpl w:val="19ECE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2B4E09C6"/>
    <w:multiLevelType w:val="hybridMultilevel"/>
    <w:tmpl w:val="62BC3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2C457FCD"/>
    <w:multiLevelType w:val="hybridMultilevel"/>
    <w:tmpl w:val="6F161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2D00053E"/>
    <w:multiLevelType w:val="hybridMultilevel"/>
    <w:tmpl w:val="A1246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2D3A381A"/>
    <w:multiLevelType w:val="hybridMultilevel"/>
    <w:tmpl w:val="D8DCE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2E570BD8"/>
    <w:multiLevelType w:val="hybridMultilevel"/>
    <w:tmpl w:val="BEC882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 w15:restartNumberingAfterBreak="0">
    <w:nsid w:val="2EDD01E5"/>
    <w:multiLevelType w:val="hybridMultilevel"/>
    <w:tmpl w:val="6F2C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2EEC44D9"/>
    <w:multiLevelType w:val="hybridMultilevel"/>
    <w:tmpl w:val="0FF0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2EF82AA8"/>
    <w:multiLevelType w:val="hybridMultilevel"/>
    <w:tmpl w:val="30F6C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2F0B6DF7"/>
    <w:multiLevelType w:val="hybridMultilevel"/>
    <w:tmpl w:val="CD1E8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2F4E0B99"/>
    <w:multiLevelType w:val="hybridMultilevel"/>
    <w:tmpl w:val="276E0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2F563164"/>
    <w:multiLevelType w:val="hybridMultilevel"/>
    <w:tmpl w:val="0510A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2F906D43"/>
    <w:multiLevelType w:val="hybridMultilevel"/>
    <w:tmpl w:val="E4341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30B84345"/>
    <w:multiLevelType w:val="hybridMultilevel"/>
    <w:tmpl w:val="6B3C3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311F2044"/>
    <w:multiLevelType w:val="hybridMultilevel"/>
    <w:tmpl w:val="0A969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14279D6"/>
    <w:multiLevelType w:val="hybridMultilevel"/>
    <w:tmpl w:val="9C0CE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31B81679"/>
    <w:multiLevelType w:val="hybridMultilevel"/>
    <w:tmpl w:val="A82E7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325A6FDB"/>
    <w:multiLevelType w:val="hybridMultilevel"/>
    <w:tmpl w:val="F29E4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328D0823"/>
    <w:multiLevelType w:val="hybridMultilevel"/>
    <w:tmpl w:val="C7545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29368F0"/>
    <w:multiLevelType w:val="hybridMultilevel"/>
    <w:tmpl w:val="3D6A6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33B31FEC"/>
    <w:multiLevelType w:val="hybridMultilevel"/>
    <w:tmpl w:val="98BE4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33BA2508"/>
    <w:multiLevelType w:val="hybridMultilevel"/>
    <w:tmpl w:val="C1C2C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9" w15:restartNumberingAfterBreak="0">
    <w:nsid w:val="33C4194B"/>
    <w:multiLevelType w:val="hybridMultilevel"/>
    <w:tmpl w:val="23D89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343A4CE0"/>
    <w:multiLevelType w:val="hybridMultilevel"/>
    <w:tmpl w:val="E988C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34950933"/>
    <w:multiLevelType w:val="hybridMultilevel"/>
    <w:tmpl w:val="43A44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352D404D"/>
    <w:multiLevelType w:val="hybridMultilevel"/>
    <w:tmpl w:val="0A5A5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363C6B08"/>
    <w:multiLevelType w:val="hybridMultilevel"/>
    <w:tmpl w:val="C1A8C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36A17861"/>
    <w:multiLevelType w:val="hybridMultilevel"/>
    <w:tmpl w:val="FFFFFFFF"/>
    <w:lvl w:ilvl="0" w:tplc="FDF65CB0">
      <w:start w:val="1"/>
      <w:numFmt w:val="bullet"/>
      <w:lvlText w:val="·"/>
      <w:lvlJc w:val="left"/>
      <w:pPr>
        <w:ind w:left="720" w:hanging="360"/>
      </w:pPr>
      <w:rPr>
        <w:rFonts w:ascii="Symbol" w:hAnsi="Symbol" w:hint="default"/>
      </w:rPr>
    </w:lvl>
    <w:lvl w:ilvl="1" w:tplc="511AAD14">
      <w:start w:val="1"/>
      <w:numFmt w:val="bullet"/>
      <w:lvlText w:val="o"/>
      <w:lvlJc w:val="left"/>
      <w:pPr>
        <w:ind w:left="1440" w:hanging="360"/>
      </w:pPr>
      <w:rPr>
        <w:rFonts w:ascii="Courier New" w:hAnsi="Courier New" w:hint="default"/>
      </w:rPr>
    </w:lvl>
    <w:lvl w:ilvl="2" w:tplc="6BD66A70">
      <w:start w:val="1"/>
      <w:numFmt w:val="bullet"/>
      <w:lvlText w:val=""/>
      <w:lvlJc w:val="left"/>
      <w:pPr>
        <w:ind w:left="2160" w:hanging="360"/>
      </w:pPr>
      <w:rPr>
        <w:rFonts w:ascii="Wingdings" w:hAnsi="Wingdings" w:hint="default"/>
      </w:rPr>
    </w:lvl>
    <w:lvl w:ilvl="3" w:tplc="A9C6A742">
      <w:start w:val="1"/>
      <w:numFmt w:val="bullet"/>
      <w:lvlText w:val=""/>
      <w:lvlJc w:val="left"/>
      <w:pPr>
        <w:ind w:left="2880" w:hanging="360"/>
      </w:pPr>
      <w:rPr>
        <w:rFonts w:ascii="Symbol" w:hAnsi="Symbol" w:hint="default"/>
      </w:rPr>
    </w:lvl>
    <w:lvl w:ilvl="4" w:tplc="0856327A">
      <w:start w:val="1"/>
      <w:numFmt w:val="bullet"/>
      <w:lvlText w:val="o"/>
      <w:lvlJc w:val="left"/>
      <w:pPr>
        <w:ind w:left="3600" w:hanging="360"/>
      </w:pPr>
      <w:rPr>
        <w:rFonts w:ascii="Courier New" w:hAnsi="Courier New" w:hint="default"/>
      </w:rPr>
    </w:lvl>
    <w:lvl w:ilvl="5" w:tplc="01B6E826">
      <w:start w:val="1"/>
      <w:numFmt w:val="bullet"/>
      <w:lvlText w:val=""/>
      <w:lvlJc w:val="left"/>
      <w:pPr>
        <w:ind w:left="4320" w:hanging="360"/>
      </w:pPr>
      <w:rPr>
        <w:rFonts w:ascii="Wingdings" w:hAnsi="Wingdings" w:hint="default"/>
      </w:rPr>
    </w:lvl>
    <w:lvl w:ilvl="6" w:tplc="99804532">
      <w:start w:val="1"/>
      <w:numFmt w:val="bullet"/>
      <w:lvlText w:val=""/>
      <w:lvlJc w:val="left"/>
      <w:pPr>
        <w:ind w:left="5040" w:hanging="360"/>
      </w:pPr>
      <w:rPr>
        <w:rFonts w:ascii="Symbol" w:hAnsi="Symbol" w:hint="default"/>
      </w:rPr>
    </w:lvl>
    <w:lvl w:ilvl="7" w:tplc="F782CC5C">
      <w:start w:val="1"/>
      <w:numFmt w:val="bullet"/>
      <w:lvlText w:val="o"/>
      <w:lvlJc w:val="left"/>
      <w:pPr>
        <w:ind w:left="5760" w:hanging="360"/>
      </w:pPr>
      <w:rPr>
        <w:rFonts w:ascii="Courier New" w:hAnsi="Courier New" w:hint="default"/>
      </w:rPr>
    </w:lvl>
    <w:lvl w:ilvl="8" w:tplc="9E104E06">
      <w:start w:val="1"/>
      <w:numFmt w:val="bullet"/>
      <w:lvlText w:val=""/>
      <w:lvlJc w:val="left"/>
      <w:pPr>
        <w:ind w:left="6480" w:hanging="360"/>
      </w:pPr>
      <w:rPr>
        <w:rFonts w:ascii="Wingdings" w:hAnsi="Wingdings" w:hint="default"/>
      </w:rPr>
    </w:lvl>
  </w:abstractNum>
  <w:abstractNum w:abstractNumId="145" w15:restartNumberingAfterBreak="0">
    <w:nsid w:val="37190BC6"/>
    <w:multiLevelType w:val="hybridMultilevel"/>
    <w:tmpl w:val="A7200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38041D52"/>
    <w:multiLevelType w:val="hybridMultilevel"/>
    <w:tmpl w:val="0254A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38722B1F"/>
    <w:multiLevelType w:val="hybridMultilevel"/>
    <w:tmpl w:val="F13E6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388F7DF0"/>
    <w:multiLevelType w:val="hybridMultilevel"/>
    <w:tmpl w:val="469A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38F83C5D"/>
    <w:multiLevelType w:val="hybridMultilevel"/>
    <w:tmpl w:val="AB54405E"/>
    <w:lvl w:ilvl="0" w:tplc="E97CFC3A">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tplc="D2DCEA50">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tplc="85D482CC">
      <w:start w:val="1"/>
      <w:numFmt w:val="bullet"/>
      <w:lvlText w:val=""/>
      <w:lvlJc w:val="left"/>
      <w:pPr>
        <w:tabs>
          <w:tab w:val="num" w:pos="2160"/>
        </w:tabs>
        <w:ind w:left="2160" w:hanging="360"/>
      </w:pPr>
      <w:rPr>
        <w:rFonts w:ascii="Wingdings" w:hAnsi="Wingdings" w:hint="default"/>
      </w:rPr>
    </w:lvl>
    <w:lvl w:ilvl="3" w:tplc="30C2D178">
      <w:start w:val="1"/>
      <w:numFmt w:val="bullet"/>
      <w:lvlText w:val=""/>
      <w:lvlJc w:val="left"/>
      <w:pPr>
        <w:tabs>
          <w:tab w:val="num" w:pos="2880"/>
        </w:tabs>
        <w:ind w:left="2880" w:hanging="360"/>
      </w:pPr>
      <w:rPr>
        <w:rFonts w:ascii="Symbol" w:hAnsi="Symbol" w:hint="default"/>
      </w:rPr>
    </w:lvl>
    <w:lvl w:ilvl="4" w:tplc="7A9417AA">
      <w:start w:val="1"/>
      <w:numFmt w:val="bullet"/>
      <w:lvlText w:val="o"/>
      <w:lvlJc w:val="left"/>
      <w:pPr>
        <w:tabs>
          <w:tab w:val="num" w:pos="3600"/>
        </w:tabs>
        <w:ind w:left="3600" w:hanging="360"/>
      </w:pPr>
      <w:rPr>
        <w:rFonts w:ascii="Courier New" w:hAnsi="Courier New" w:cs="Courier New" w:hint="default"/>
      </w:rPr>
    </w:lvl>
    <w:lvl w:ilvl="5" w:tplc="263E7404">
      <w:start w:val="1"/>
      <w:numFmt w:val="bullet"/>
      <w:lvlText w:val=""/>
      <w:lvlJc w:val="left"/>
      <w:pPr>
        <w:tabs>
          <w:tab w:val="num" w:pos="4320"/>
        </w:tabs>
        <w:ind w:left="4320" w:hanging="360"/>
      </w:pPr>
      <w:rPr>
        <w:rFonts w:ascii="Wingdings" w:hAnsi="Wingdings" w:hint="default"/>
      </w:rPr>
    </w:lvl>
    <w:lvl w:ilvl="6" w:tplc="55FC2A0C">
      <w:start w:val="1"/>
      <w:numFmt w:val="bullet"/>
      <w:lvlText w:val=""/>
      <w:lvlJc w:val="left"/>
      <w:pPr>
        <w:tabs>
          <w:tab w:val="num" w:pos="5040"/>
        </w:tabs>
        <w:ind w:left="5040" w:hanging="360"/>
      </w:pPr>
      <w:rPr>
        <w:rFonts w:ascii="Symbol" w:hAnsi="Symbol" w:hint="default"/>
      </w:rPr>
    </w:lvl>
    <w:lvl w:ilvl="7" w:tplc="887C6FEC">
      <w:start w:val="1"/>
      <w:numFmt w:val="bullet"/>
      <w:lvlText w:val="o"/>
      <w:lvlJc w:val="left"/>
      <w:pPr>
        <w:tabs>
          <w:tab w:val="num" w:pos="5760"/>
        </w:tabs>
        <w:ind w:left="5760" w:hanging="360"/>
      </w:pPr>
      <w:rPr>
        <w:rFonts w:ascii="Courier New" w:hAnsi="Courier New" w:cs="Courier New" w:hint="default"/>
      </w:rPr>
    </w:lvl>
    <w:lvl w:ilvl="8" w:tplc="172096F2">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397C06FA"/>
    <w:multiLevelType w:val="hybridMultilevel"/>
    <w:tmpl w:val="04044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399123D0"/>
    <w:multiLevelType w:val="hybridMultilevel"/>
    <w:tmpl w:val="4B9AA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3A0A4780"/>
    <w:multiLevelType w:val="hybridMultilevel"/>
    <w:tmpl w:val="62E2E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3AA16842"/>
    <w:multiLevelType w:val="hybridMultilevel"/>
    <w:tmpl w:val="EF367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3B9B6ED4"/>
    <w:multiLevelType w:val="hybridMultilevel"/>
    <w:tmpl w:val="1960D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3BEB68AB"/>
    <w:multiLevelType w:val="hybridMultilevel"/>
    <w:tmpl w:val="82649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3C0438B2"/>
    <w:multiLevelType w:val="hybridMultilevel"/>
    <w:tmpl w:val="A0C40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3C5A10CA"/>
    <w:multiLevelType w:val="hybridMultilevel"/>
    <w:tmpl w:val="93D03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3DDB3DDF"/>
    <w:multiLevelType w:val="hybridMultilevel"/>
    <w:tmpl w:val="9D182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3E050D2D"/>
    <w:multiLevelType w:val="hybridMultilevel"/>
    <w:tmpl w:val="33D603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0" w15:restartNumberingAfterBreak="0">
    <w:nsid w:val="3E8D57E2"/>
    <w:multiLevelType w:val="hybridMultilevel"/>
    <w:tmpl w:val="996C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3EBA2374"/>
    <w:multiLevelType w:val="hybridMultilevel"/>
    <w:tmpl w:val="7FECD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3ED22EC4"/>
    <w:multiLevelType w:val="hybridMultilevel"/>
    <w:tmpl w:val="C64AA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3EE62DBF"/>
    <w:multiLevelType w:val="hybridMultilevel"/>
    <w:tmpl w:val="8298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4" w15:restartNumberingAfterBreak="0">
    <w:nsid w:val="3EFE5D02"/>
    <w:multiLevelType w:val="hybridMultilevel"/>
    <w:tmpl w:val="C7A80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3F14198F"/>
    <w:multiLevelType w:val="hybridMultilevel"/>
    <w:tmpl w:val="57D86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3F642651"/>
    <w:multiLevelType w:val="hybridMultilevel"/>
    <w:tmpl w:val="6FF2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3FCE0748"/>
    <w:multiLevelType w:val="hybridMultilevel"/>
    <w:tmpl w:val="FFFFFFFF"/>
    <w:lvl w:ilvl="0" w:tplc="EC38B5F6">
      <w:start w:val="1"/>
      <w:numFmt w:val="bullet"/>
      <w:lvlText w:val="·"/>
      <w:lvlJc w:val="left"/>
      <w:pPr>
        <w:ind w:left="720" w:hanging="360"/>
      </w:pPr>
      <w:rPr>
        <w:rFonts w:ascii="Symbol" w:hAnsi="Symbol" w:hint="default"/>
      </w:rPr>
    </w:lvl>
    <w:lvl w:ilvl="1" w:tplc="0CE032D6">
      <w:start w:val="1"/>
      <w:numFmt w:val="bullet"/>
      <w:lvlText w:val="o"/>
      <w:lvlJc w:val="left"/>
      <w:pPr>
        <w:ind w:left="1440" w:hanging="360"/>
      </w:pPr>
      <w:rPr>
        <w:rFonts w:ascii="Courier New" w:hAnsi="Courier New" w:hint="default"/>
      </w:rPr>
    </w:lvl>
    <w:lvl w:ilvl="2" w:tplc="9E6C128C">
      <w:start w:val="1"/>
      <w:numFmt w:val="bullet"/>
      <w:lvlText w:val=""/>
      <w:lvlJc w:val="left"/>
      <w:pPr>
        <w:ind w:left="2160" w:hanging="360"/>
      </w:pPr>
      <w:rPr>
        <w:rFonts w:ascii="Wingdings" w:hAnsi="Wingdings" w:hint="default"/>
      </w:rPr>
    </w:lvl>
    <w:lvl w:ilvl="3" w:tplc="CCBA8930">
      <w:start w:val="1"/>
      <w:numFmt w:val="bullet"/>
      <w:lvlText w:val=""/>
      <w:lvlJc w:val="left"/>
      <w:pPr>
        <w:ind w:left="2880" w:hanging="360"/>
      </w:pPr>
      <w:rPr>
        <w:rFonts w:ascii="Symbol" w:hAnsi="Symbol" w:hint="default"/>
      </w:rPr>
    </w:lvl>
    <w:lvl w:ilvl="4" w:tplc="8AF43690">
      <w:start w:val="1"/>
      <w:numFmt w:val="bullet"/>
      <w:lvlText w:val="o"/>
      <w:lvlJc w:val="left"/>
      <w:pPr>
        <w:ind w:left="3600" w:hanging="360"/>
      </w:pPr>
      <w:rPr>
        <w:rFonts w:ascii="Courier New" w:hAnsi="Courier New" w:hint="default"/>
      </w:rPr>
    </w:lvl>
    <w:lvl w:ilvl="5" w:tplc="8B9C66D6">
      <w:start w:val="1"/>
      <w:numFmt w:val="bullet"/>
      <w:lvlText w:val=""/>
      <w:lvlJc w:val="left"/>
      <w:pPr>
        <w:ind w:left="4320" w:hanging="360"/>
      </w:pPr>
      <w:rPr>
        <w:rFonts w:ascii="Wingdings" w:hAnsi="Wingdings" w:hint="default"/>
      </w:rPr>
    </w:lvl>
    <w:lvl w:ilvl="6" w:tplc="B0648420">
      <w:start w:val="1"/>
      <w:numFmt w:val="bullet"/>
      <w:lvlText w:val=""/>
      <w:lvlJc w:val="left"/>
      <w:pPr>
        <w:ind w:left="5040" w:hanging="360"/>
      </w:pPr>
      <w:rPr>
        <w:rFonts w:ascii="Symbol" w:hAnsi="Symbol" w:hint="default"/>
      </w:rPr>
    </w:lvl>
    <w:lvl w:ilvl="7" w:tplc="3930617E">
      <w:start w:val="1"/>
      <w:numFmt w:val="bullet"/>
      <w:lvlText w:val="o"/>
      <w:lvlJc w:val="left"/>
      <w:pPr>
        <w:ind w:left="5760" w:hanging="360"/>
      </w:pPr>
      <w:rPr>
        <w:rFonts w:ascii="Courier New" w:hAnsi="Courier New" w:hint="default"/>
      </w:rPr>
    </w:lvl>
    <w:lvl w:ilvl="8" w:tplc="824C26AA">
      <w:start w:val="1"/>
      <w:numFmt w:val="bullet"/>
      <w:lvlText w:val=""/>
      <w:lvlJc w:val="left"/>
      <w:pPr>
        <w:ind w:left="6480" w:hanging="360"/>
      </w:pPr>
      <w:rPr>
        <w:rFonts w:ascii="Wingdings" w:hAnsi="Wingdings" w:hint="default"/>
      </w:rPr>
    </w:lvl>
  </w:abstractNum>
  <w:abstractNum w:abstractNumId="168" w15:restartNumberingAfterBreak="0">
    <w:nsid w:val="3FE5030D"/>
    <w:multiLevelType w:val="hybridMultilevel"/>
    <w:tmpl w:val="56C65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9" w15:restartNumberingAfterBreak="0">
    <w:nsid w:val="401E7AAA"/>
    <w:multiLevelType w:val="hybridMultilevel"/>
    <w:tmpl w:val="3ECA3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405368B7"/>
    <w:multiLevelType w:val="hybridMultilevel"/>
    <w:tmpl w:val="062E8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1" w15:restartNumberingAfterBreak="0">
    <w:nsid w:val="405D69A1"/>
    <w:multiLevelType w:val="hybridMultilevel"/>
    <w:tmpl w:val="FFFFFFFF"/>
    <w:lvl w:ilvl="0" w:tplc="37E6BF32">
      <w:start w:val="1"/>
      <w:numFmt w:val="bullet"/>
      <w:lvlText w:val="·"/>
      <w:lvlJc w:val="left"/>
      <w:pPr>
        <w:ind w:left="360" w:hanging="360"/>
      </w:pPr>
      <w:rPr>
        <w:rFonts w:ascii="Symbol" w:hAnsi="Symbol" w:hint="default"/>
      </w:rPr>
    </w:lvl>
    <w:lvl w:ilvl="1" w:tplc="5F9C48DE">
      <w:start w:val="1"/>
      <w:numFmt w:val="bullet"/>
      <w:lvlText w:val="o"/>
      <w:lvlJc w:val="left"/>
      <w:pPr>
        <w:ind w:left="1080" w:hanging="360"/>
      </w:pPr>
      <w:rPr>
        <w:rFonts w:ascii="Courier New" w:hAnsi="Courier New" w:hint="default"/>
      </w:rPr>
    </w:lvl>
    <w:lvl w:ilvl="2" w:tplc="F61E77B2">
      <w:start w:val="1"/>
      <w:numFmt w:val="bullet"/>
      <w:lvlText w:val=""/>
      <w:lvlJc w:val="left"/>
      <w:pPr>
        <w:ind w:left="1800" w:hanging="360"/>
      </w:pPr>
      <w:rPr>
        <w:rFonts w:ascii="Wingdings" w:hAnsi="Wingdings" w:hint="default"/>
      </w:rPr>
    </w:lvl>
    <w:lvl w:ilvl="3" w:tplc="7DC8CF5C">
      <w:start w:val="1"/>
      <w:numFmt w:val="bullet"/>
      <w:lvlText w:val=""/>
      <w:lvlJc w:val="left"/>
      <w:pPr>
        <w:ind w:left="2520" w:hanging="360"/>
      </w:pPr>
      <w:rPr>
        <w:rFonts w:ascii="Symbol" w:hAnsi="Symbol" w:hint="default"/>
      </w:rPr>
    </w:lvl>
    <w:lvl w:ilvl="4" w:tplc="9C5ACDEA">
      <w:start w:val="1"/>
      <w:numFmt w:val="bullet"/>
      <w:lvlText w:val="o"/>
      <w:lvlJc w:val="left"/>
      <w:pPr>
        <w:ind w:left="3240" w:hanging="360"/>
      </w:pPr>
      <w:rPr>
        <w:rFonts w:ascii="Courier New" w:hAnsi="Courier New" w:hint="default"/>
      </w:rPr>
    </w:lvl>
    <w:lvl w:ilvl="5" w:tplc="0F2C846E">
      <w:start w:val="1"/>
      <w:numFmt w:val="bullet"/>
      <w:lvlText w:val=""/>
      <w:lvlJc w:val="left"/>
      <w:pPr>
        <w:ind w:left="3960" w:hanging="360"/>
      </w:pPr>
      <w:rPr>
        <w:rFonts w:ascii="Wingdings" w:hAnsi="Wingdings" w:hint="default"/>
      </w:rPr>
    </w:lvl>
    <w:lvl w:ilvl="6" w:tplc="F4B68AC4">
      <w:start w:val="1"/>
      <w:numFmt w:val="bullet"/>
      <w:lvlText w:val=""/>
      <w:lvlJc w:val="left"/>
      <w:pPr>
        <w:ind w:left="4680" w:hanging="360"/>
      </w:pPr>
      <w:rPr>
        <w:rFonts w:ascii="Symbol" w:hAnsi="Symbol" w:hint="default"/>
      </w:rPr>
    </w:lvl>
    <w:lvl w:ilvl="7" w:tplc="207EDE08">
      <w:start w:val="1"/>
      <w:numFmt w:val="bullet"/>
      <w:lvlText w:val="o"/>
      <w:lvlJc w:val="left"/>
      <w:pPr>
        <w:ind w:left="5400" w:hanging="360"/>
      </w:pPr>
      <w:rPr>
        <w:rFonts w:ascii="Courier New" w:hAnsi="Courier New" w:hint="default"/>
      </w:rPr>
    </w:lvl>
    <w:lvl w:ilvl="8" w:tplc="7E82E7FA">
      <w:start w:val="1"/>
      <w:numFmt w:val="bullet"/>
      <w:lvlText w:val=""/>
      <w:lvlJc w:val="left"/>
      <w:pPr>
        <w:ind w:left="6120" w:hanging="360"/>
      </w:pPr>
      <w:rPr>
        <w:rFonts w:ascii="Wingdings" w:hAnsi="Wingdings" w:hint="default"/>
      </w:rPr>
    </w:lvl>
  </w:abstractNum>
  <w:abstractNum w:abstractNumId="172" w15:restartNumberingAfterBreak="0">
    <w:nsid w:val="40ED7563"/>
    <w:multiLevelType w:val="hybridMultilevel"/>
    <w:tmpl w:val="FFFFFFFF"/>
    <w:lvl w:ilvl="0" w:tplc="72048C36">
      <w:start w:val="1"/>
      <w:numFmt w:val="bullet"/>
      <w:lvlText w:val="·"/>
      <w:lvlJc w:val="left"/>
      <w:pPr>
        <w:ind w:left="720" w:hanging="360"/>
      </w:pPr>
      <w:rPr>
        <w:rFonts w:ascii="Symbol" w:hAnsi="Symbol" w:hint="default"/>
      </w:rPr>
    </w:lvl>
    <w:lvl w:ilvl="1" w:tplc="6DF6D672">
      <w:start w:val="1"/>
      <w:numFmt w:val="bullet"/>
      <w:lvlText w:val="o"/>
      <w:lvlJc w:val="left"/>
      <w:pPr>
        <w:ind w:left="1440" w:hanging="360"/>
      </w:pPr>
      <w:rPr>
        <w:rFonts w:ascii="Courier New" w:hAnsi="Courier New" w:hint="default"/>
      </w:rPr>
    </w:lvl>
    <w:lvl w:ilvl="2" w:tplc="67720178">
      <w:start w:val="1"/>
      <w:numFmt w:val="bullet"/>
      <w:lvlText w:val=""/>
      <w:lvlJc w:val="left"/>
      <w:pPr>
        <w:ind w:left="2160" w:hanging="360"/>
      </w:pPr>
      <w:rPr>
        <w:rFonts w:ascii="Wingdings" w:hAnsi="Wingdings" w:hint="default"/>
      </w:rPr>
    </w:lvl>
    <w:lvl w:ilvl="3" w:tplc="9AF8A978">
      <w:start w:val="1"/>
      <w:numFmt w:val="bullet"/>
      <w:lvlText w:val=""/>
      <w:lvlJc w:val="left"/>
      <w:pPr>
        <w:ind w:left="2880" w:hanging="360"/>
      </w:pPr>
      <w:rPr>
        <w:rFonts w:ascii="Symbol" w:hAnsi="Symbol" w:hint="default"/>
      </w:rPr>
    </w:lvl>
    <w:lvl w:ilvl="4" w:tplc="CF266AFE">
      <w:start w:val="1"/>
      <w:numFmt w:val="bullet"/>
      <w:lvlText w:val="o"/>
      <w:lvlJc w:val="left"/>
      <w:pPr>
        <w:ind w:left="3600" w:hanging="360"/>
      </w:pPr>
      <w:rPr>
        <w:rFonts w:ascii="Courier New" w:hAnsi="Courier New" w:hint="default"/>
      </w:rPr>
    </w:lvl>
    <w:lvl w:ilvl="5" w:tplc="168EA5F6">
      <w:start w:val="1"/>
      <w:numFmt w:val="bullet"/>
      <w:lvlText w:val=""/>
      <w:lvlJc w:val="left"/>
      <w:pPr>
        <w:ind w:left="4320" w:hanging="360"/>
      </w:pPr>
      <w:rPr>
        <w:rFonts w:ascii="Wingdings" w:hAnsi="Wingdings" w:hint="default"/>
      </w:rPr>
    </w:lvl>
    <w:lvl w:ilvl="6" w:tplc="81424928">
      <w:start w:val="1"/>
      <w:numFmt w:val="bullet"/>
      <w:lvlText w:val=""/>
      <w:lvlJc w:val="left"/>
      <w:pPr>
        <w:ind w:left="5040" w:hanging="360"/>
      </w:pPr>
      <w:rPr>
        <w:rFonts w:ascii="Symbol" w:hAnsi="Symbol" w:hint="default"/>
      </w:rPr>
    </w:lvl>
    <w:lvl w:ilvl="7" w:tplc="152C9EC8">
      <w:start w:val="1"/>
      <w:numFmt w:val="bullet"/>
      <w:lvlText w:val="o"/>
      <w:lvlJc w:val="left"/>
      <w:pPr>
        <w:ind w:left="5760" w:hanging="360"/>
      </w:pPr>
      <w:rPr>
        <w:rFonts w:ascii="Courier New" w:hAnsi="Courier New" w:hint="default"/>
      </w:rPr>
    </w:lvl>
    <w:lvl w:ilvl="8" w:tplc="0BE00836">
      <w:start w:val="1"/>
      <w:numFmt w:val="bullet"/>
      <w:lvlText w:val=""/>
      <w:lvlJc w:val="left"/>
      <w:pPr>
        <w:ind w:left="6480" w:hanging="360"/>
      </w:pPr>
      <w:rPr>
        <w:rFonts w:ascii="Wingdings" w:hAnsi="Wingdings" w:hint="default"/>
      </w:rPr>
    </w:lvl>
  </w:abstractNum>
  <w:abstractNum w:abstractNumId="173" w15:restartNumberingAfterBreak="0">
    <w:nsid w:val="4120227D"/>
    <w:multiLevelType w:val="hybridMultilevel"/>
    <w:tmpl w:val="8D124F2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15D3C62"/>
    <w:multiLevelType w:val="hybridMultilevel"/>
    <w:tmpl w:val="81CC0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41830172"/>
    <w:multiLevelType w:val="hybridMultilevel"/>
    <w:tmpl w:val="FFFFFFFF"/>
    <w:lvl w:ilvl="0" w:tplc="5300A6AE">
      <w:start w:val="1"/>
      <w:numFmt w:val="bullet"/>
      <w:lvlText w:val="·"/>
      <w:lvlJc w:val="left"/>
      <w:pPr>
        <w:ind w:left="720" w:hanging="360"/>
      </w:pPr>
      <w:rPr>
        <w:rFonts w:ascii="Symbol" w:hAnsi="Symbol" w:hint="default"/>
      </w:rPr>
    </w:lvl>
    <w:lvl w:ilvl="1" w:tplc="13260476">
      <w:start w:val="1"/>
      <w:numFmt w:val="bullet"/>
      <w:lvlText w:val="o"/>
      <w:lvlJc w:val="left"/>
      <w:pPr>
        <w:ind w:left="1440" w:hanging="360"/>
      </w:pPr>
      <w:rPr>
        <w:rFonts w:ascii="Courier New" w:hAnsi="Courier New" w:hint="default"/>
      </w:rPr>
    </w:lvl>
    <w:lvl w:ilvl="2" w:tplc="99B07E32">
      <w:start w:val="1"/>
      <w:numFmt w:val="bullet"/>
      <w:lvlText w:val=""/>
      <w:lvlJc w:val="left"/>
      <w:pPr>
        <w:ind w:left="2160" w:hanging="360"/>
      </w:pPr>
      <w:rPr>
        <w:rFonts w:ascii="Wingdings" w:hAnsi="Wingdings" w:hint="default"/>
      </w:rPr>
    </w:lvl>
    <w:lvl w:ilvl="3" w:tplc="E1981AEA">
      <w:start w:val="1"/>
      <w:numFmt w:val="bullet"/>
      <w:lvlText w:val=""/>
      <w:lvlJc w:val="left"/>
      <w:pPr>
        <w:ind w:left="2880" w:hanging="360"/>
      </w:pPr>
      <w:rPr>
        <w:rFonts w:ascii="Symbol" w:hAnsi="Symbol" w:hint="default"/>
      </w:rPr>
    </w:lvl>
    <w:lvl w:ilvl="4" w:tplc="E35CF970">
      <w:start w:val="1"/>
      <w:numFmt w:val="bullet"/>
      <w:lvlText w:val="o"/>
      <w:lvlJc w:val="left"/>
      <w:pPr>
        <w:ind w:left="3600" w:hanging="360"/>
      </w:pPr>
      <w:rPr>
        <w:rFonts w:ascii="Courier New" w:hAnsi="Courier New" w:hint="default"/>
      </w:rPr>
    </w:lvl>
    <w:lvl w:ilvl="5" w:tplc="D28A9604">
      <w:start w:val="1"/>
      <w:numFmt w:val="bullet"/>
      <w:lvlText w:val=""/>
      <w:lvlJc w:val="left"/>
      <w:pPr>
        <w:ind w:left="4320" w:hanging="360"/>
      </w:pPr>
      <w:rPr>
        <w:rFonts w:ascii="Wingdings" w:hAnsi="Wingdings" w:hint="default"/>
      </w:rPr>
    </w:lvl>
    <w:lvl w:ilvl="6" w:tplc="9328E29C">
      <w:start w:val="1"/>
      <w:numFmt w:val="bullet"/>
      <w:lvlText w:val=""/>
      <w:lvlJc w:val="left"/>
      <w:pPr>
        <w:ind w:left="5040" w:hanging="360"/>
      </w:pPr>
      <w:rPr>
        <w:rFonts w:ascii="Symbol" w:hAnsi="Symbol" w:hint="default"/>
      </w:rPr>
    </w:lvl>
    <w:lvl w:ilvl="7" w:tplc="36F0FF3E">
      <w:start w:val="1"/>
      <w:numFmt w:val="bullet"/>
      <w:lvlText w:val="o"/>
      <w:lvlJc w:val="left"/>
      <w:pPr>
        <w:ind w:left="5760" w:hanging="360"/>
      </w:pPr>
      <w:rPr>
        <w:rFonts w:ascii="Courier New" w:hAnsi="Courier New" w:hint="default"/>
      </w:rPr>
    </w:lvl>
    <w:lvl w:ilvl="8" w:tplc="87788940">
      <w:start w:val="1"/>
      <w:numFmt w:val="bullet"/>
      <w:lvlText w:val=""/>
      <w:lvlJc w:val="left"/>
      <w:pPr>
        <w:ind w:left="6480" w:hanging="360"/>
      </w:pPr>
      <w:rPr>
        <w:rFonts w:ascii="Wingdings" w:hAnsi="Wingdings" w:hint="default"/>
      </w:rPr>
    </w:lvl>
  </w:abstractNum>
  <w:abstractNum w:abstractNumId="176" w15:restartNumberingAfterBreak="0">
    <w:nsid w:val="41B211B6"/>
    <w:multiLevelType w:val="hybridMultilevel"/>
    <w:tmpl w:val="4E022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7" w15:restartNumberingAfterBreak="0">
    <w:nsid w:val="41B74234"/>
    <w:multiLevelType w:val="hybridMultilevel"/>
    <w:tmpl w:val="19286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8" w15:restartNumberingAfterBreak="0">
    <w:nsid w:val="427708C0"/>
    <w:multiLevelType w:val="hybridMultilevel"/>
    <w:tmpl w:val="C3FC2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9" w15:restartNumberingAfterBreak="0">
    <w:nsid w:val="42CB2FD5"/>
    <w:multiLevelType w:val="hybridMultilevel"/>
    <w:tmpl w:val="6B261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0" w15:restartNumberingAfterBreak="0">
    <w:nsid w:val="43350178"/>
    <w:multiLevelType w:val="hybridMultilevel"/>
    <w:tmpl w:val="BC44F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436240A8"/>
    <w:multiLevelType w:val="hybridMultilevel"/>
    <w:tmpl w:val="4BE89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43A666A3"/>
    <w:multiLevelType w:val="hybridMultilevel"/>
    <w:tmpl w:val="EA069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44967E71"/>
    <w:multiLevelType w:val="hybridMultilevel"/>
    <w:tmpl w:val="FFFFFFFF"/>
    <w:lvl w:ilvl="0" w:tplc="2B8AAD68">
      <w:start w:val="1"/>
      <w:numFmt w:val="bullet"/>
      <w:lvlText w:val="·"/>
      <w:lvlJc w:val="left"/>
      <w:pPr>
        <w:ind w:left="720" w:hanging="360"/>
      </w:pPr>
      <w:rPr>
        <w:rFonts w:ascii="Symbol" w:hAnsi="Symbol" w:hint="default"/>
      </w:rPr>
    </w:lvl>
    <w:lvl w:ilvl="1" w:tplc="247AD150">
      <w:start w:val="1"/>
      <w:numFmt w:val="bullet"/>
      <w:lvlText w:val="o"/>
      <w:lvlJc w:val="left"/>
      <w:pPr>
        <w:ind w:left="1440" w:hanging="360"/>
      </w:pPr>
      <w:rPr>
        <w:rFonts w:ascii="Courier New" w:hAnsi="Courier New" w:hint="default"/>
      </w:rPr>
    </w:lvl>
    <w:lvl w:ilvl="2" w:tplc="62B8913A">
      <w:start w:val="1"/>
      <w:numFmt w:val="bullet"/>
      <w:lvlText w:val=""/>
      <w:lvlJc w:val="left"/>
      <w:pPr>
        <w:ind w:left="2160" w:hanging="360"/>
      </w:pPr>
      <w:rPr>
        <w:rFonts w:ascii="Wingdings" w:hAnsi="Wingdings" w:hint="default"/>
      </w:rPr>
    </w:lvl>
    <w:lvl w:ilvl="3" w:tplc="EFA896AE">
      <w:start w:val="1"/>
      <w:numFmt w:val="bullet"/>
      <w:lvlText w:val=""/>
      <w:lvlJc w:val="left"/>
      <w:pPr>
        <w:ind w:left="2880" w:hanging="360"/>
      </w:pPr>
      <w:rPr>
        <w:rFonts w:ascii="Symbol" w:hAnsi="Symbol" w:hint="default"/>
      </w:rPr>
    </w:lvl>
    <w:lvl w:ilvl="4" w:tplc="205CECFC">
      <w:start w:val="1"/>
      <w:numFmt w:val="bullet"/>
      <w:lvlText w:val="o"/>
      <w:lvlJc w:val="left"/>
      <w:pPr>
        <w:ind w:left="3600" w:hanging="360"/>
      </w:pPr>
      <w:rPr>
        <w:rFonts w:ascii="Courier New" w:hAnsi="Courier New" w:hint="default"/>
      </w:rPr>
    </w:lvl>
    <w:lvl w:ilvl="5" w:tplc="3A08B5CA">
      <w:start w:val="1"/>
      <w:numFmt w:val="bullet"/>
      <w:lvlText w:val=""/>
      <w:lvlJc w:val="left"/>
      <w:pPr>
        <w:ind w:left="4320" w:hanging="360"/>
      </w:pPr>
      <w:rPr>
        <w:rFonts w:ascii="Wingdings" w:hAnsi="Wingdings" w:hint="default"/>
      </w:rPr>
    </w:lvl>
    <w:lvl w:ilvl="6" w:tplc="79DEB06E">
      <w:start w:val="1"/>
      <w:numFmt w:val="bullet"/>
      <w:lvlText w:val=""/>
      <w:lvlJc w:val="left"/>
      <w:pPr>
        <w:ind w:left="5040" w:hanging="360"/>
      </w:pPr>
      <w:rPr>
        <w:rFonts w:ascii="Symbol" w:hAnsi="Symbol" w:hint="default"/>
      </w:rPr>
    </w:lvl>
    <w:lvl w:ilvl="7" w:tplc="1FB0276A">
      <w:start w:val="1"/>
      <w:numFmt w:val="bullet"/>
      <w:lvlText w:val="o"/>
      <w:lvlJc w:val="left"/>
      <w:pPr>
        <w:ind w:left="5760" w:hanging="360"/>
      </w:pPr>
      <w:rPr>
        <w:rFonts w:ascii="Courier New" w:hAnsi="Courier New" w:hint="default"/>
      </w:rPr>
    </w:lvl>
    <w:lvl w:ilvl="8" w:tplc="547EC5EA">
      <w:start w:val="1"/>
      <w:numFmt w:val="bullet"/>
      <w:lvlText w:val=""/>
      <w:lvlJc w:val="left"/>
      <w:pPr>
        <w:ind w:left="6480" w:hanging="360"/>
      </w:pPr>
      <w:rPr>
        <w:rFonts w:ascii="Wingdings" w:hAnsi="Wingdings" w:hint="default"/>
      </w:rPr>
    </w:lvl>
  </w:abstractNum>
  <w:abstractNum w:abstractNumId="184" w15:restartNumberingAfterBreak="0">
    <w:nsid w:val="44AC47E0"/>
    <w:multiLevelType w:val="hybridMultilevel"/>
    <w:tmpl w:val="2160C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15:restartNumberingAfterBreak="0">
    <w:nsid w:val="44E01188"/>
    <w:multiLevelType w:val="hybridMultilevel"/>
    <w:tmpl w:val="8BB87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52C5C65"/>
    <w:multiLevelType w:val="hybridMultilevel"/>
    <w:tmpl w:val="B0A65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8" w15:restartNumberingAfterBreak="0">
    <w:nsid w:val="45533134"/>
    <w:multiLevelType w:val="hybridMultilevel"/>
    <w:tmpl w:val="FFFFFFFF"/>
    <w:lvl w:ilvl="0" w:tplc="A4C80F40">
      <w:start w:val="1"/>
      <w:numFmt w:val="bullet"/>
      <w:lvlText w:val="·"/>
      <w:lvlJc w:val="left"/>
      <w:pPr>
        <w:ind w:left="360" w:hanging="360"/>
      </w:pPr>
      <w:rPr>
        <w:rFonts w:ascii="Symbol" w:hAnsi="Symbol" w:hint="default"/>
      </w:rPr>
    </w:lvl>
    <w:lvl w:ilvl="1" w:tplc="55BEAFB0">
      <w:start w:val="1"/>
      <w:numFmt w:val="bullet"/>
      <w:lvlText w:val="o"/>
      <w:lvlJc w:val="left"/>
      <w:pPr>
        <w:ind w:left="1080" w:hanging="360"/>
      </w:pPr>
      <w:rPr>
        <w:rFonts w:ascii="Courier New" w:hAnsi="Courier New" w:hint="default"/>
      </w:rPr>
    </w:lvl>
    <w:lvl w:ilvl="2" w:tplc="892247A0">
      <w:start w:val="1"/>
      <w:numFmt w:val="bullet"/>
      <w:lvlText w:val=""/>
      <w:lvlJc w:val="left"/>
      <w:pPr>
        <w:ind w:left="1800" w:hanging="360"/>
      </w:pPr>
      <w:rPr>
        <w:rFonts w:ascii="Wingdings" w:hAnsi="Wingdings" w:hint="default"/>
      </w:rPr>
    </w:lvl>
    <w:lvl w:ilvl="3" w:tplc="27181AC0">
      <w:start w:val="1"/>
      <w:numFmt w:val="bullet"/>
      <w:lvlText w:val=""/>
      <w:lvlJc w:val="left"/>
      <w:pPr>
        <w:ind w:left="2520" w:hanging="360"/>
      </w:pPr>
      <w:rPr>
        <w:rFonts w:ascii="Symbol" w:hAnsi="Symbol" w:hint="default"/>
      </w:rPr>
    </w:lvl>
    <w:lvl w:ilvl="4" w:tplc="BD1ED1CA">
      <w:start w:val="1"/>
      <w:numFmt w:val="bullet"/>
      <w:lvlText w:val="o"/>
      <w:lvlJc w:val="left"/>
      <w:pPr>
        <w:ind w:left="3240" w:hanging="360"/>
      </w:pPr>
      <w:rPr>
        <w:rFonts w:ascii="Courier New" w:hAnsi="Courier New" w:hint="default"/>
      </w:rPr>
    </w:lvl>
    <w:lvl w:ilvl="5" w:tplc="D688D4E6">
      <w:start w:val="1"/>
      <w:numFmt w:val="bullet"/>
      <w:lvlText w:val=""/>
      <w:lvlJc w:val="left"/>
      <w:pPr>
        <w:ind w:left="3960" w:hanging="360"/>
      </w:pPr>
      <w:rPr>
        <w:rFonts w:ascii="Wingdings" w:hAnsi="Wingdings" w:hint="default"/>
      </w:rPr>
    </w:lvl>
    <w:lvl w:ilvl="6" w:tplc="24E4839A">
      <w:start w:val="1"/>
      <w:numFmt w:val="bullet"/>
      <w:lvlText w:val=""/>
      <w:lvlJc w:val="left"/>
      <w:pPr>
        <w:ind w:left="4680" w:hanging="360"/>
      </w:pPr>
      <w:rPr>
        <w:rFonts w:ascii="Symbol" w:hAnsi="Symbol" w:hint="default"/>
      </w:rPr>
    </w:lvl>
    <w:lvl w:ilvl="7" w:tplc="0F38361A">
      <w:start w:val="1"/>
      <w:numFmt w:val="bullet"/>
      <w:lvlText w:val="o"/>
      <w:lvlJc w:val="left"/>
      <w:pPr>
        <w:ind w:left="5400" w:hanging="360"/>
      </w:pPr>
      <w:rPr>
        <w:rFonts w:ascii="Courier New" w:hAnsi="Courier New" w:hint="default"/>
      </w:rPr>
    </w:lvl>
    <w:lvl w:ilvl="8" w:tplc="E4F41BC2">
      <w:start w:val="1"/>
      <w:numFmt w:val="bullet"/>
      <w:lvlText w:val=""/>
      <w:lvlJc w:val="left"/>
      <w:pPr>
        <w:ind w:left="6120" w:hanging="360"/>
      </w:pPr>
      <w:rPr>
        <w:rFonts w:ascii="Wingdings" w:hAnsi="Wingdings" w:hint="default"/>
      </w:rPr>
    </w:lvl>
  </w:abstractNum>
  <w:abstractNum w:abstractNumId="189" w15:restartNumberingAfterBreak="0">
    <w:nsid w:val="456E4662"/>
    <w:multiLevelType w:val="hybridMultilevel"/>
    <w:tmpl w:val="CE449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462654EC"/>
    <w:multiLevelType w:val="hybridMultilevel"/>
    <w:tmpl w:val="3E188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463C2581"/>
    <w:multiLevelType w:val="hybridMultilevel"/>
    <w:tmpl w:val="05F61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469922F4"/>
    <w:multiLevelType w:val="hybridMultilevel"/>
    <w:tmpl w:val="25908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3" w15:restartNumberingAfterBreak="0">
    <w:nsid w:val="46EE5544"/>
    <w:multiLevelType w:val="hybridMultilevel"/>
    <w:tmpl w:val="FFFFFFFF"/>
    <w:lvl w:ilvl="0" w:tplc="C13A73B8">
      <w:start w:val="1"/>
      <w:numFmt w:val="bullet"/>
      <w:lvlText w:val="·"/>
      <w:lvlJc w:val="left"/>
      <w:pPr>
        <w:ind w:left="720" w:hanging="360"/>
      </w:pPr>
      <w:rPr>
        <w:rFonts w:ascii="Symbol" w:hAnsi="Symbol" w:hint="default"/>
      </w:rPr>
    </w:lvl>
    <w:lvl w:ilvl="1" w:tplc="D61C9B22">
      <w:start w:val="1"/>
      <w:numFmt w:val="bullet"/>
      <w:lvlText w:val="o"/>
      <w:lvlJc w:val="left"/>
      <w:pPr>
        <w:ind w:left="1440" w:hanging="360"/>
      </w:pPr>
      <w:rPr>
        <w:rFonts w:ascii="Courier New" w:hAnsi="Courier New" w:hint="default"/>
      </w:rPr>
    </w:lvl>
    <w:lvl w:ilvl="2" w:tplc="D2C676E2">
      <w:start w:val="1"/>
      <w:numFmt w:val="bullet"/>
      <w:lvlText w:val=""/>
      <w:lvlJc w:val="left"/>
      <w:pPr>
        <w:ind w:left="2160" w:hanging="360"/>
      </w:pPr>
      <w:rPr>
        <w:rFonts w:ascii="Wingdings" w:hAnsi="Wingdings" w:hint="default"/>
      </w:rPr>
    </w:lvl>
    <w:lvl w:ilvl="3" w:tplc="1966E826">
      <w:start w:val="1"/>
      <w:numFmt w:val="bullet"/>
      <w:lvlText w:val=""/>
      <w:lvlJc w:val="left"/>
      <w:pPr>
        <w:ind w:left="2880" w:hanging="360"/>
      </w:pPr>
      <w:rPr>
        <w:rFonts w:ascii="Symbol" w:hAnsi="Symbol" w:hint="default"/>
      </w:rPr>
    </w:lvl>
    <w:lvl w:ilvl="4" w:tplc="AEDA8706">
      <w:start w:val="1"/>
      <w:numFmt w:val="bullet"/>
      <w:lvlText w:val="o"/>
      <w:lvlJc w:val="left"/>
      <w:pPr>
        <w:ind w:left="3600" w:hanging="360"/>
      </w:pPr>
      <w:rPr>
        <w:rFonts w:ascii="Courier New" w:hAnsi="Courier New" w:hint="default"/>
      </w:rPr>
    </w:lvl>
    <w:lvl w:ilvl="5" w:tplc="92D2171C">
      <w:start w:val="1"/>
      <w:numFmt w:val="bullet"/>
      <w:lvlText w:val=""/>
      <w:lvlJc w:val="left"/>
      <w:pPr>
        <w:ind w:left="4320" w:hanging="360"/>
      </w:pPr>
      <w:rPr>
        <w:rFonts w:ascii="Wingdings" w:hAnsi="Wingdings" w:hint="default"/>
      </w:rPr>
    </w:lvl>
    <w:lvl w:ilvl="6" w:tplc="D8DE5EE8">
      <w:start w:val="1"/>
      <w:numFmt w:val="bullet"/>
      <w:lvlText w:val=""/>
      <w:lvlJc w:val="left"/>
      <w:pPr>
        <w:ind w:left="5040" w:hanging="360"/>
      </w:pPr>
      <w:rPr>
        <w:rFonts w:ascii="Symbol" w:hAnsi="Symbol" w:hint="default"/>
      </w:rPr>
    </w:lvl>
    <w:lvl w:ilvl="7" w:tplc="3F5AF4B6">
      <w:start w:val="1"/>
      <w:numFmt w:val="bullet"/>
      <w:lvlText w:val="o"/>
      <w:lvlJc w:val="left"/>
      <w:pPr>
        <w:ind w:left="5760" w:hanging="360"/>
      </w:pPr>
      <w:rPr>
        <w:rFonts w:ascii="Courier New" w:hAnsi="Courier New" w:hint="default"/>
      </w:rPr>
    </w:lvl>
    <w:lvl w:ilvl="8" w:tplc="7714A384">
      <w:start w:val="1"/>
      <w:numFmt w:val="bullet"/>
      <w:lvlText w:val=""/>
      <w:lvlJc w:val="left"/>
      <w:pPr>
        <w:ind w:left="6480" w:hanging="360"/>
      </w:pPr>
      <w:rPr>
        <w:rFonts w:ascii="Wingdings" w:hAnsi="Wingdings" w:hint="default"/>
      </w:rPr>
    </w:lvl>
  </w:abstractNum>
  <w:abstractNum w:abstractNumId="194" w15:restartNumberingAfterBreak="0">
    <w:nsid w:val="4703764A"/>
    <w:multiLevelType w:val="hybridMultilevel"/>
    <w:tmpl w:val="A9CEF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5" w15:restartNumberingAfterBreak="0">
    <w:nsid w:val="48AE05B2"/>
    <w:multiLevelType w:val="hybridMultilevel"/>
    <w:tmpl w:val="4C747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48BB690A"/>
    <w:multiLevelType w:val="hybridMultilevel"/>
    <w:tmpl w:val="F326A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7" w15:restartNumberingAfterBreak="0">
    <w:nsid w:val="48E71319"/>
    <w:multiLevelType w:val="hybridMultilevel"/>
    <w:tmpl w:val="99C8F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8" w15:restartNumberingAfterBreak="0">
    <w:nsid w:val="494231C0"/>
    <w:multiLevelType w:val="hybridMultilevel"/>
    <w:tmpl w:val="75862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497B3395"/>
    <w:multiLevelType w:val="hybridMultilevel"/>
    <w:tmpl w:val="50482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0" w15:restartNumberingAfterBreak="0">
    <w:nsid w:val="4984036E"/>
    <w:multiLevelType w:val="hybridMultilevel"/>
    <w:tmpl w:val="9282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1" w15:restartNumberingAfterBreak="0">
    <w:nsid w:val="49E1120C"/>
    <w:multiLevelType w:val="hybridMultilevel"/>
    <w:tmpl w:val="236E7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2" w15:restartNumberingAfterBreak="0">
    <w:nsid w:val="4A281C6C"/>
    <w:multiLevelType w:val="hybridMultilevel"/>
    <w:tmpl w:val="00E6F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4A653957"/>
    <w:multiLevelType w:val="hybridMultilevel"/>
    <w:tmpl w:val="FA02C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4" w15:restartNumberingAfterBreak="0">
    <w:nsid w:val="4A7A5CA8"/>
    <w:multiLevelType w:val="hybridMultilevel"/>
    <w:tmpl w:val="E0AE1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5" w15:restartNumberingAfterBreak="0">
    <w:nsid w:val="4AB1289E"/>
    <w:multiLevelType w:val="hybridMultilevel"/>
    <w:tmpl w:val="F3DA9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4B425DB8"/>
    <w:multiLevelType w:val="hybridMultilevel"/>
    <w:tmpl w:val="D5DCE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4B6E77F5"/>
    <w:multiLevelType w:val="hybridMultilevel"/>
    <w:tmpl w:val="97DA1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9" w15:restartNumberingAfterBreak="0">
    <w:nsid w:val="4B861562"/>
    <w:multiLevelType w:val="hybridMultilevel"/>
    <w:tmpl w:val="27904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0" w15:restartNumberingAfterBreak="0">
    <w:nsid w:val="4BFE054A"/>
    <w:multiLevelType w:val="hybridMultilevel"/>
    <w:tmpl w:val="592A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4C41185F"/>
    <w:multiLevelType w:val="hybridMultilevel"/>
    <w:tmpl w:val="5E9AB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4C453351"/>
    <w:multiLevelType w:val="hybridMultilevel"/>
    <w:tmpl w:val="E250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4C744671"/>
    <w:multiLevelType w:val="hybridMultilevel"/>
    <w:tmpl w:val="30B4B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4C7F6854"/>
    <w:multiLevelType w:val="hybridMultilevel"/>
    <w:tmpl w:val="76005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5" w15:restartNumberingAfterBreak="0">
    <w:nsid w:val="4D672C3D"/>
    <w:multiLevelType w:val="hybridMultilevel"/>
    <w:tmpl w:val="A502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6" w15:restartNumberingAfterBreak="0">
    <w:nsid w:val="4DAC0057"/>
    <w:multiLevelType w:val="hybridMultilevel"/>
    <w:tmpl w:val="FFFFFFFF"/>
    <w:lvl w:ilvl="0" w:tplc="4E2C3CB2">
      <w:start w:val="1"/>
      <w:numFmt w:val="bullet"/>
      <w:lvlText w:val="·"/>
      <w:lvlJc w:val="left"/>
      <w:pPr>
        <w:ind w:left="360" w:hanging="360"/>
      </w:pPr>
      <w:rPr>
        <w:rFonts w:ascii="Symbol" w:hAnsi="Symbol" w:hint="default"/>
      </w:rPr>
    </w:lvl>
    <w:lvl w:ilvl="1" w:tplc="0450D5E8">
      <w:start w:val="1"/>
      <w:numFmt w:val="bullet"/>
      <w:lvlText w:val="o"/>
      <w:lvlJc w:val="left"/>
      <w:pPr>
        <w:ind w:left="1080" w:hanging="360"/>
      </w:pPr>
      <w:rPr>
        <w:rFonts w:ascii="Courier New" w:hAnsi="Courier New" w:hint="default"/>
      </w:rPr>
    </w:lvl>
    <w:lvl w:ilvl="2" w:tplc="BE289B5C">
      <w:start w:val="1"/>
      <w:numFmt w:val="bullet"/>
      <w:lvlText w:val=""/>
      <w:lvlJc w:val="left"/>
      <w:pPr>
        <w:ind w:left="1800" w:hanging="360"/>
      </w:pPr>
      <w:rPr>
        <w:rFonts w:ascii="Wingdings" w:hAnsi="Wingdings" w:hint="default"/>
      </w:rPr>
    </w:lvl>
    <w:lvl w:ilvl="3" w:tplc="930CCB24">
      <w:start w:val="1"/>
      <w:numFmt w:val="bullet"/>
      <w:lvlText w:val=""/>
      <w:lvlJc w:val="left"/>
      <w:pPr>
        <w:ind w:left="2520" w:hanging="360"/>
      </w:pPr>
      <w:rPr>
        <w:rFonts w:ascii="Symbol" w:hAnsi="Symbol" w:hint="default"/>
      </w:rPr>
    </w:lvl>
    <w:lvl w:ilvl="4" w:tplc="AD74C72A">
      <w:start w:val="1"/>
      <w:numFmt w:val="bullet"/>
      <w:lvlText w:val="o"/>
      <w:lvlJc w:val="left"/>
      <w:pPr>
        <w:ind w:left="3240" w:hanging="360"/>
      </w:pPr>
      <w:rPr>
        <w:rFonts w:ascii="Courier New" w:hAnsi="Courier New" w:hint="default"/>
      </w:rPr>
    </w:lvl>
    <w:lvl w:ilvl="5" w:tplc="395CFAA8">
      <w:start w:val="1"/>
      <w:numFmt w:val="bullet"/>
      <w:lvlText w:val=""/>
      <w:lvlJc w:val="left"/>
      <w:pPr>
        <w:ind w:left="3960" w:hanging="360"/>
      </w:pPr>
      <w:rPr>
        <w:rFonts w:ascii="Wingdings" w:hAnsi="Wingdings" w:hint="default"/>
      </w:rPr>
    </w:lvl>
    <w:lvl w:ilvl="6" w:tplc="C1044914">
      <w:start w:val="1"/>
      <w:numFmt w:val="bullet"/>
      <w:lvlText w:val=""/>
      <w:lvlJc w:val="left"/>
      <w:pPr>
        <w:ind w:left="4680" w:hanging="360"/>
      </w:pPr>
      <w:rPr>
        <w:rFonts w:ascii="Symbol" w:hAnsi="Symbol" w:hint="default"/>
      </w:rPr>
    </w:lvl>
    <w:lvl w:ilvl="7" w:tplc="1742C672">
      <w:start w:val="1"/>
      <w:numFmt w:val="bullet"/>
      <w:lvlText w:val="o"/>
      <w:lvlJc w:val="left"/>
      <w:pPr>
        <w:ind w:left="5400" w:hanging="360"/>
      </w:pPr>
      <w:rPr>
        <w:rFonts w:ascii="Courier New" w:hAnsi="Courier New" w:hint="default"/>
      </w:rPr>
    </w:lvl>
    <w:lvl w:ilvl="8" w:tplc="78A85748">
      <w:start w:val="1"/>
      <w:numFmt w:val="bullet"/>
      <w:lvlText w:val=""/>
      <w:lvlJc w:val="left"/>
      <w:pPr>
        <w:ind w:left="6120" w:hanging="360"/>
      </w:pPr>
      <w:rPr>
        <w:rFonts w:ascii="Wingdings" w:hAnsi="Wingdings" w:hint="default"/>
      </w:rPr>
    </w:lvl>
  </w:abstractNum>
  <w:abstractNum w:abstractNumId="217" w15:restartNumberingAfterBreak="0">
    <w:nsid w:val="4EC35801"/>
    <w:multiLevelType w:val="hybridMultilevel"/>
    <w:tmpl w:val="26EA6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4F02361C"/>
    <w:multiLevelType w:val="hybridMultilevel"/>
    <w:tmpl w:val="05DAB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4F6A5C0C"/>
    <w:multiLevelType w:val="hybridMultilevel"/>
    <w:tmpl w:val="E652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4FCC0110"/>
    <w:multiLevelType w:val="hybridMultilevel"/>
    <w:tmpl w:val="C8D41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50AC19BC"/>
    <w:multiLevelType w:val="hybridMultilevel"/>
    <w:tmpl w:val="01FA4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50D6644B"/>
    <w:multiLevelType w:val="hybridMultilevel"/>
    <w:tmpl w:val="D332D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3" w15:restartNumberingAfterBreak="0">
    <w:nsid w:val="51392BFC"/>
    <w:multiLevelType w:val="hybridMultilevel"/>
    <w:tmpl w:val="83389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51557591"/>
    <w:multiLevelType w:val="hybridMultilevel"/>
    <w:tmpl w:val="002C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51851791"/>
    <w:multiLevelType w:val="hybridMultilevel"/>
    <w:tmpl w:val="AD10D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6" w15:restartNumberingAfterBreak="0">
    <w:nsid w:val="518A587D"/>
    <w:multiLevelType w:val="hybridMultilevel"/>
    <w:tmpl w:val="FFFFFFFF"/>
    <w:lvl w:ilvl="0" w:tplc="DF9E538E">
      <w:start w:val="1"/>
      <w:numFmt w:val="bullet"/>
      <w:lvlText w:val="·"/>
      <w:lvlJc w:val="left"/>
      <w:pPr>
        <w:ind w:left="360" w:hanging="360"/>
      </w:pPr>
      <w:rPr>
        <w:rFonts w:ascii="Symbol" w:hAnsi="Symbol" w:hint="default"/>
      </w:rPr>
    </w:lvl>
    <w:lvl w:ilvl="1" w:tplc="EE86366C">
      <w:start w:val="1"/>
      <w:numFmt w:val="bullet"/>
      <w:lvlText w:val="o"/>
      <w:lvlJc w:val="left"/>
      <w:pPr>
        <w:ind w:left="1080" w:hanging="360"/>
      </w:pPr>
      <w:rPr>
        <w:rFonts w:ascii="Courier New" w:hAnsi="Courier New" w:hint="default"/>
      </w:rPr>
    </w:lvl>
    <w:lvl w:ilvl="2" w:tplc="435EF0B8">
      <w:start w:val="1"/>
      <w:numFmt w:val="bullet"/>
      <w:lvlText w:val=""/>
      <w:lvlJc w:val="left"/>
      <w:pPr>
        <w:ind w:left="1800" w:hanging="360"/>
      </w:pPr>
      <w:rPr>
        <w:rFonts w:ascii="Wingdings" w:hAnsi="Wingdings" w:hint="default"/>
      </w:rPr>
    </w:lvl>
    <w:lvl w:ilvl="3" w:tplc="74A65FA6">
      <w:start w:val="1"/>
      <w:numFmt w:val="bullet"/>
      <w:lvlText w:val=""/>
      <w:lvlJc w:val="left"/>
      <w:pPr>
        <w:ind w:left="2520" w:hanging="360"/>
      </w:pPr>
      <w:rPr>
        <w:rFonts w:ascii="Symbol" w:hAnsi="Symbol" w:hint="default"/>
      </w:rPr>
    </w:lvl>
    <w:lvl w:ilvl="4" w:tplc="EEFA78B4">
      <w:start w:val="1"/>
      <w:numFmt w:val="bullet"/>
      <w:lvlText w:val="o"/>
      <w:lvlJc w:val="left"/>
      <w:pPr>
        <w:ind w:left="3240" w:hanging="360"/>
      </w:pPr>
      <w:rPr>
        <w:rFonts w:ascii="Courier New" w:hAnsi="Courier New" w:hint="default"/>
      </w:rPr>
    </w:lvl>
    <w:lvl w:ilvl="5" w:tplc="FF9833CE">
      <w:start w:val="1"/>
      <w:numFmt w:val="bullet"/>
      <w:lvlText w:val=""/>
      <w:lvlJc w:val="left"/>
      <w:pPr>
        <w:ind w:left="3960" w:hanging="360"/>
      </w:pPr>
      <w:rPr>
        <w:rFonts w:ascii="Wingdings" w:hAnsi="Wingdings" w:hint="default"/>
      </w:rPr>
    </w:lvl>
    <w:lvl w:ilvl="6" w:tplc="BC5CCB98">
      <w:start w:val="1"/>
      <w:numFmt w:val="bullet"/>
      <w:lvlText w:val=""/>
      <w:lvlJc w:val="left"/>
      <w:pPr>
        <w:ind w:left="4680" w:hanging="360"/>
      </w:pPr>
      <w:rPr>
        <w:rFonts w:ascii="Symbol" w:hAnsi="Symbol" w:hint="default"/>
      </w:rPr>
    </w:lvl>
    <w:lvl w:ilvl="7" w:tplc="FD9E41B2">
      <w:start w:val="1"/>
      <w:numFmt w:val="bullet"/>
      <w:lvlText w:val="o"/>
      <w:lvlJc w:val="left"/>
      <w:pPr>
        <w:ind w:left="5400" w:hanging="360"/>
      </w:pPr>
      <w:rPr>
        <w:rFonts w:ascii="Courier New" w:hAnsi="Courier New" w:hint="default"/>
      </w:rPr>
    </w:lvl>
    <w:lvl w:ilvl="8" w:tplc="C18EDC0E">
      <w:start w:val="1"/>
      <w:numFmt w:val="bullet"/>
      <w:lvlText w:val=""/>
      <w:lvlJc w:val="left"/>
      <w:pPr>
        <w:ind w:left="6120" w:hanging="360"/>
      </w:pPr>
      <w:rPr>
        <w:rFonts w:ascii="Wingdings" w:hAnsi="Wingdings" w:hint="default"/>
      </w:rPr>
    </w:lvl>
  </w:abstractNum>
  <w:abstractNum w:abstractNumId="227" w15:restartNumberingAfterBreak="0">
    <w:nsid w:val="51934DB3"/>
    <w:multiLevelType w:val="hybridMultilevel"/>
    <w:tmpl w:val="394C7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8" w15:restartNumberingAfterBreak="0">
    <w:nsid w:val="51DA5D09"/>
    <w:multiLevelType w:val="hybridMultilevel"/>
    <w:tmpl w:val="C76AC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52097120"/>
    <w:multiLevelType w:val="hybridMultilevel"/>
    <w:tmpl w:val="5FF47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534D7C32"/>
    <w:multiLevelType w:val="hybridMultilevel"/>
    <w:tmpl w:val="A3C2D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1" w15:restartNumberingAfterBreak="0">
    <w:nsid w:val="54D06D18"/>
    <w:multiLevelType w:val="hybridMultilevel"/>
    <w:tmpl w:val="E1DAE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55352A97"/>
    <w:multiLevelType w:val="hybridMultilevel"/>
    <w:tmpl w:val="5C080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3" w15:restartNumberingAfterBreak="0">
    <w:nsid w:val="55475DDF"/>
    <w:multiLevelType w:val="hybridMultilevel"/>
    <w:tmpl w:val="1A64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556C5250"/>
    <w:multiLevelType w:val="hybridMultilevel"/>
    <w:tmpl w:val="FFFFFFFF"/>
    <w:lvl w:ilvl="0" w:tplc="1320259E">
      <w:start w:val="1"/>
      <w:numFmt w:val="bullet"/>
      <w:lvlText w:val="·"/>
      <w:lvlJc w:val="left"/>
      <w:pPr>
        <w:ind w:left="360" w:hanging="360"/>
      </w:pPr>
      <w:rPr>
        <w:rFonts w:ascii="Symbol" w:hAnsi="Symbol" w:hint="default"/>
      </w:rPr>
    </w:lvl>
    <w:lvl w:ilvl="1" w:tplc="9ACCF3AA">
      <w:start w:val="1"/>
      <w:numFmt w:val="bullet"/>
      <w:lvlText w:val="o"/>
      <w:lvlJc w:val="left"/>
      <w:pPr>
        <w:ind w:left="1080" w:hanging="360"/>
      </w:pPr>
      <w:rPr>
        <w:rFonts w:ascii="Courier New" w:hAnsi="Courier New" w:hint="default"/>
      </w:rPr>
    </w:lvl>
    <w:lvl w:ilvl="2" w:tplc="4886A708">
      <w:start w:val="1"/>
      <w:numFmt w:val="bullet"/>
      <w:lvlText w:val=""/>
      <w:lvlJc w:val="left"/>
      <w:pPr>
        <w:ind w:left="1800" w:hanging="360"/>
      </w:pPr>
      <w:rPr>
        <w:rFonts w:ascii="Wingdings" w:hAnsi="Wingdings" w:hint="default"/>
      </w:rPr>
    </w:lvl>
    <w:lvl w:ilvl="3" w:tplc="8F6A4F20">
      <w:start w:val="1"/>
      <w:numFmt w:val="bullet"/>
      <w:lvlText w:val=""/>
      <w:lvlJc w:val="left"/>
      <w:pPr>
        <w:ind w:left="2520" w:hanging="360"/>
      </w:pPr>
      <w:rPr>
        <w:rFonts w:ascii="Symbol" w:hAnsi="Symbol" w:hint="default"/>
      </w:rPr>
    </w:lvl>
    <w:lvl w:ilvl="4" w:tplc="D32E1836">
      <w:start w:val="1"/>
      <w:numFmt w:val="bullet"/>
      <w:lvlText w:val="o"/>
      <w:lvlJc w:val="left"/>
      <w:pPr>
        <w:ind w:left="3240" w:hanging="360"/>
      </w:pPr>
      <w:rPr>
        <w:rFonts w:ascii="Courier New" w:hAnsi="Courier New" w:hint="default"/>
      </w:rPr>
    </w:lvl>
    <w:lvl w:ilvl="5" w:tplc="34DC4D1A">
      <w:start w:val="1"/>
      <w:numFmt w:val="bullet"/>
      <w:lvlText w:val=""/>
      <w:lvlJc w:val="left"/>
      <w:pPr>
        <w:ind w:left="3960" w:hanging="360"/>
      </w:pPr>
      <w:rPr>
        <w:rFonts w:ascii="Wingdings" w:hAnsi="Wingdings" w:hint="default"/>
      </w:rPr>
    </w:lvl>
    <w:lvl w:ilvl="6" w:tplc="74AC7E78">
      <w:start w:val="1"/>
      <w:numFmt w:val="bullet"/>
      <w:lvlText w:val=""/>
      <w:lvlJc w:val="left"/>
      <w:pPr>
        <w:ind w:left="4680" w:hanging="360"/>
      </w:pPr>
      <w:rPr>
        <w:rFonts w:ascii="Symbol" w:hAnsi="Symbol" w:hint="default"/>
      </w:rPr>
    </w:lvl>
    <w:lvl w:ilvl="7" w:tplc="560443AA">
      <w:start w:val="1"/>
      <w:numFmt w:val="bullet"/>
      <w:lvlText w:val="o"/>
      <w:lvlJc w:val="left"/>
      <w:pPr>
        <w:ind w:left="5400" w:hanging="360"/>
      </w:pPr>
      <w:rPr>
        <w:rFonts w:ascii="Courier New" w:hAnsi="Courier New" w:hint="default"/>
      </w:rPr>
    </w:lvl>
    <w:lvl w:ilvl="8" w:tplc="334A0388">
      <w:start w:val="1"/>
      <w:numFmt w:val="bullet"/>
      <w:lvlText w:val=""/>
      <w:lvlJc w:val="left"/>
      <w:pPr>
        <w:ind w:left="6120" w:hanging="360"/>
      </w:pPr>
      <w:rPr>
        <w:rFonts w:ascii="Wingdings" w:hAnsi="Wingdings" w:hint="default"/>
      </w:rPr>
    </w:lvl>
  </w:abstractNum>
  <w:abstractNum w:abstractNumId="235" w15:restartNumberingAfterBreak="0">
    <w:nsid w:val="55B37F12"/>
    <w:multiLevelType w:val="hybridMultilevel"/>
    <w:tmpl w:val="612C5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5697142F"/>
    <w:multiLevelType w:val="hybridMultilevel"/>
    <w:tmpl w:val="C28C0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56C80617"/>
    <w:multiLevelType w:val="hybridMultilevel"/>
    <w:tmpl w:val="996AD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8" w15:restartNumberingAfterBreak="0">
    <w:nsid w:val="57A92BAA"/>
    <w:multiLevelType w:val="hybridMultilevel"/>
    <w:tmpl w:val="E1041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57D269F8"/>
    <w:multiLevelType w:val="hybridMultilevel"/>
    <w:tmpl w:val="17266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58092065"/>
    <w:multiLevelType w:val="hybridMultilevel"/>
    <w:tmpl w:val="EE30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1" w15:restartNumberingAfterBreak="0">
    <w:nsid w:val="584E6EFE"/>
    <w:multiLevelType w:val="hybridMultilevel"/>
    <w:tmpl w:val="90465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2" w15:restartNumberingAfterBreak="0">
    <w:nsid w:val="58DA5BCF"/>
    <w:multiLevelType w:val="hybridMultilevel"/>
    <w:tmpl w:val="C5421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58EB6BD1"/>
    <w:multiLevelType w:val="hybridMultilevel"/>
    <w:tmpl w:val="0330A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4" w15:restartNumberingAfterBreak="0">
    <w:nsid w:val="598223FE"/>
    <w:multiLevelType w:val="hybridMultilevel"/>
    <w:tmpl w:val="0BB2E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59FC7348"/>
    <w:multiLevelType w:val="hybridMultilevel"/>
    <w:tmpl w:val="D626E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6" w15:restartNumberingAfterBreak="0">
    <w:nsid w:val="5A26308B"/>
    <w:multiLevelType w:val="hybridMultilevel"/>
    <w:tmpl w:val="8360A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5A2D4B5B"/>
    <w:multiLevelType w:val="multilevel"/>
    <w:tmpl w:val="CC30EE5A"/>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pStyle w:val="Heading3"/>
      <w:lvlText w:val="3.%2.%3"/>
      <w:lvlJc w:val="left"/>
      <w:pPr>
        <w:ind w:left="720" w:hanging="720"/>
      </w:pPr>
      <w:rPr>
        <w:rFonts w:hint="default"/>
      </w:rPr>
    </w:lvl>
    <w:lvl w:ilvl="3">
      <w:start w:val="1"/>
      <w:numFmt w:val="decimal"/>
      <w:pStyle w:val="Heading4"/>
      <w:lvlText w:val="3.%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8" w15:restartNumberingAfterBreak="0">
    <w:nsid w:val="5AAA7E40"/>
    <w:multiLevelType w:val="hybridMultilevel"/>
    <w:tmpl w:val="7D745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9" w15:restartNumberingAfterBreak="0">
    <w:nsid w:val="5BD67A1B"/>
    <w:multiLevelType w:val="hybridMultilevel"/>
    <w:tmpl w:val="63F8B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0" w15:restartNumberingAfterBreak="0">
    <w:nsid w:val="5BFE780B"/>
    <w:multiLevelType w:val="hybridMultilevel"/>
    <w:tmpl w:val="FF7E4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1" w15:restartNumberingAfterBreak="0">
    <w:nsid w:val="5C381CAE"/>
    <w:multiLevelType w:val="hybridMultilevel"/>
    <w:tmpl w:val="FA66D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5C5F7C16"/>
    <w:multiLevelType w:val="hybridMultilevel"/>
    <w:tmpl w:val="50E02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3" w15:restartNumberingAfterBreak="0">
    <w:nsid w:val="5C7E25CE"/>
    <w:multiLevelType w:val="hybridMultilevel"/>
    <w:tmpl w:val="384E5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4" w15:restartNumberingAfterBreak="0">
    <w:nsid w:val="5C9C10D8"/>
    <w:multiLevelType w:val="hybridMultilevel"/>
    <w:tmpl w:val="D0E6C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5" w15:restartNumberingAfterBreak="0">
    <w:nsid w:val="5CBA17E1"/>
    <w:multiLevelType w:val="hybridMultilevel"/>
    <w:tmpl w:val="A2DA2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6" w15:restartNumberingAfterBreak="0">
    <w:nsid w:val="5E8862D7"/>
    <w:multiLevelType w:val="hybridMultilevel"/>
    <w:tmpl w:val="FFFFFFFF"/>
    <w:lvl w:ilvl="0" w:tplc="3558CA60">
      <w:start w:val="1"/>
      <w:numFmt w:val="bullet"/>
      <w:lvlText w:val="·"/>
      <w:lvlJc w:val="left"/>
      <w:pPr>
        <w:ind w:left="720" w:hanging="360"/>
      </w:pPr>
      <w:rPr>
        <w:rFonts w:ascii="Symbol" w:hAnsi="Symbol" w:hint="default"/>
      </w:rPr>
    </w:lvl>
    <w:lvl w:ilvl="1" w:tplc="3FBA358A">
      <w:start w:val="1"/>
      <w:numFmt w:val="bullet"/>
      <w:lvlText w:val="o"/>
      <w:lvlJc w:val="left"/>
      <w:pPr>
        <w:ind w:left="1440" w:hanging="360"/>
      </w:pPr>
      <w:rPr>
        <w:rFonts w:ascii="Courier New" w:hAnsi="Courier New" w:hint="default"/>
      </w:rPr>
    </w:lvl>
    <w:lvl w:ilvl="2" w:tplc="5404801E">
      <w:start w:val="1"/>
      <w:numFmt w:val="bullet"/>
      <w:lvlText w:val=""/>
      <w:lvlJc w:val="left"/>
      <w:pPr>
        <w:ind w:left="2160" w:hanging="360"/>
      </w:pPr>
      <w:rPr>
        <w:rFonts w:ascii="Wingdings" w:hAnsi="Wingdings" w:hint="default"/>
      </w:rPr>
    </w:lvl>
    <w:lvl w:ilvl="3" w:tplc="93000A1C">
      <w:start w:val="1"/>
      <w:numFmt w:val="bullet"/>
      <w:lvlText w:val=""/>
      <w:lvlJc w:val="left"/>
      <w:pPr>
        <w:ind w:left="2880" w:hanging="360"/>
      </w:pPr>
      <w:rPr>
        <w:rFonts w:ascii="Symbol" w:hAnsi="Symbol" w:hint="default"/>
      </w:rPr>
    </w:lvl>
    <w:lvl w:ilvl="4" w:tplc="3912C3CC">
      <w:start w:val="1"/>
      <w:numFmt w:val="bullet"/>
      <w:lvlText w:val="o"/>
      <w:lvlJc w:val="left"/>
      <w:pPr>
        <w:ind w:left="3600" w:hanging="360"/>
      </w:pPr>
      <w:rPr>
        <w:rFonts w:ascii="Courier New" w:hAnsi="Courier New" w:hint="default"/>
      </w:rPr>
    </w:lvl>
    <w:lvl w:ilvl="5" w:tplc="0BF40B36">
      <w:start w:val="1"/>
      <w:numFmt w:val="bullet"/>
      <w:lvlText w:val=""/>
      <w:lvlJc w:val="left"/>
      <w:pPr>
        <w:ind w:left="4320" w:hanging="360"/>
      </w:pPr>
      <w:rPr>
        <w:rFonts w:ascii="Wingdings" w:hAnsi="Wingdings" w:hint="default"/>
      </w:rPr>
    </w:lvl>
    <w:lvl w:ilvl="6" w:tplc="5044D55C">
      <w:start w:val="1"/>
      <w:numFmt w:val="bullet"/>
      <w:lvlText w:val=""/>
      <w:lvlJc w:val="left"/>
      <w:pPr>
        <w:ind w:left="5040" w:hanging="360"/>
      </w:pPr>
      <w:rPr>
        <w:rFonts w:ascii="Symbol" w:hAnsi="Symbol" w:hint="default"/>
      </w:rPr>
    </w:lvl>
    <w:lvl w:ilvl="7" w:tplc="E772C4EC">
      <w:start w:val="1"/>
      <w:numFmt w:val="bullet"/>
      <w:lvlText w:val="o"/>
      <w:lvlJc w:val="left"/>
      <w:pPr>
        <w:ind w:left="5760" w:hanging="360"/>
      </w:pPr>
      <w:rPr>
        <w:rFonts w:ascii="Courier New" w:hAnsi="Courier New" w:hint="default"/>
      </w:rPr>
    </w:lvl>
    <w:lvl w:ilvl="8" w:tplc="1BDAFF58">
      <w:start w:val="1"/>
      <w:numFmt w:val="bullet"/>
      <w:lvlText w:val=""/>
      <w:lvlJc w:val="left"/>
      <w:pPr>
        <w:ind w:left="6480" w:hanging="360"/>
      </w:pPr>
      <w:rPr>
        <w:rFonts w:ascii="Wingdings" w:hAnsi="Wingdings" w:hint="default"/>
      </w:rPr>
    </w:lvl>
  </w:abstractNum>
  <w:abstractNum w:abstractNumId="257" w15:restartNumberingAfterBreak="0">
    <w:nsid w:val="5EDF656F"/>
    <w:multiLevelType w:val="hybridMultilevel"/>
    <w:tmpl w:val="2362B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8" w15:restartNumberingAfterBreak="0">
    <w:nsid w:val="5F4D6656"/>
    <w:multiLevelType w:val="hybridMultilevel"/>
    <w:tmpl w:val="FFFFFFFF"/>
    <w:lvl w:ilvl="0" w:tplc="69FC5E46">
      <w:start w:val="1"/>
      <w:numFmt w:val="bullet"/>
      <w:lvlText w:val="·"/>
      <w:lvlJc w:val="left"/>
      <w:pPr>
        <w:ind w:left="720" w:hanging="360"/>
      </w:pPr>
      <w:rPr>
        <w:rFonts w:ascii="Symbol" w:hAnsi="Symbol" w:hint="default"/>
      </w:rPr>
    </w:lvl>
    <w:lvl w:ilvl="1" w:tplc="3C36542E">
      <w:start w:val="1"/>
      <w:numFmt w:val="bullet"/>
      <w:lvlText w:val="o"/>
      <w:lvlJc w:val="left"/>
      <w:pPr>
        <w:ind w:left="1440" w:hanging="360"/>
      </w:pPr>
      <w:rPr>
        <w:rFonts w:ascii="Courier New" w:hAnsi="Courier New" w:hint="default"/>
      </w:rPr>
    </w:lvl>
    <w:lvl w:ilvl="2" w:tplc="FEC44B06">
      <w:start w:val="1"/>
      <w:numFmt w:val="bullet"/>
      <w:lvlText w:val=""/>
      <w:lvlJc w:val="left"/>
      <w:pPr>
        <w:ind w:left="2160" w:hanging="360"/>
      </w:pPr>
      <w:rPr>
        <w:rFonts w:ascii="Wingdings" w:hAnsi="Wingdings" w:hint="default"/>
      </w:rPr>
    </w:lvl>
    <w:lvl w:ilvl="3" w:tplc="B56ED12C">
      <w:start w:val="1"/>
      <w:numFmt w:val="bullet"/>
      <w:lvlText w:val=""/>
      <w:lvlJc w:val="left"/>
      <w:pPr>
        <w:ind w:left="2880" w:hanging="360"/>
      </w:pPr>
      <w:rPr>
        <w:rFonts w:ascii="Symbol" w:hAnsi="Symbol" w:hint="default"/>
      </w:rPr>
    </w:lvl>
    <w:lvl w:ilvl="4" w:tplc="40402C3E">
      <w:start w:val="1"/>
      <w:numFmt w:val="bullet"/>
      <w:lvlText w:val="o"/>
      <w:lvlJc w:val="left"/>
      <w:pPr>
        <w:ind w:left="3600" w:hanging="360"/>
      </w:pPr>
      <w:rPr>
        <w:rFonts w:ascii="Courier New" w:hAnsi="Courier New" w:hint="default"/>
      </w:rPr>
    </w:lvl>
    <w:lvl w:ilvl="5" w:tplc="A8F2C776">
      <w:start w:val="1"/>
      <w:numFmt w:val="bullet"/>
      <w:lvlText w:val=""/>
      <w:lvlJc w:val="left"/>
      <w:pPr>
        <w:ind w:left="4320" w:hanging="360"/>
      </w:pPr>
      <w:rPr>
        <w:rFonts w:ascii="Wingdings" w:hAnsi="Wingdings" w:hint="default"/>
      </w:rPr>
    </w:lvl>
    <w:lvl w:ilvl="6" w:tplc="A170E080">
      <w:start w:val="1"/>
      <w:numFmt w:val="bullet"/>
      <w:lvlText w:val=""/>
      <w:lvlJc w:val="left"/>
      <w:pPr>
        <w:ind w:left="5040" w:hanging="360"/>
      </w:pPr>
      <w:rPr>
        <w:rFonts w:ascii="Symbol" w:hAnsi="Symbol" w:hint="default"/>
      </w:rPr>
    </w:lvl>
    <w:lvl w:ilvl="7" w:tplc="4A2E5720">
      <w:start w:val="1"/>
      <w:numFmt w:val="bullet"/>
      <w:lvlText w:val="o"/>
      <w:lvlJc w:val="left"/>
      <w:pPr>
        <w:ind w:left="5760" w:hanging="360"/>
      </w:pPr>
      <w:rPr>
        <w:rFonts w:ascii="Courier New" w:hAnsi="Courier New" w:hint="default"/>
      </w:rPr>
    </w:lvl>
    <w:lvl w:ilvl="8" w:tplc="EA7AE896">
      <w:start w:val="1"/>
      <w:numFmt w:val="bullet"/>
      <w:lvlText w:val=""/>
      <w:lvlJc w:val="left"/>
      <w:pPr>
        <w:ind w:left="6480" w:hanging="360"/>
      </w:pPr>
      <w:rPr>
        <w:rFonts w:ascii="Wingdings" w:hAnsi="Wingdings" w:hint="default"/>
      </w:rPr>
    </w:lvl>
  </w:abstractNum>
  <w:abstractNum w:abstractNumId="259" w15:restartNumberingAfterBreak="0">
    <w:nsid w:val="5FA17554"/>
    <w:multiLevelType w:val="hybridMultilevel"/>
    <w:tmpl w:val="FFFFFFFF"/>
    <w:lvl w:ilvl="0" w:tplc="D758DFAC">
      <w:start w:val="1"/>
      <w:numFmt w:val="bullet"/>
      <w:lvlText w:val="·"/>
      <w:lvlJc w:val="left"/>
      <w:pPr>
        <w:ind w:left="720" w:hanging="360"/>
      </w:pPr>
      <w:rPr>
        <w:rFonts w:ascii="Symbol" w:hAnsi="Symbol" w:hint="default"/>
      </w:rPr>
    </w:lvl>
    <w:lvl w:ilvl="1" w:tplc="888015EE">
      <w:start w:val="1"/>
      <w:numFmt w:val="bullet"/>
      <w:lvlText w:val="o"/>
      <w:lvlJc w:val="left"/>
      <w:pPr>
        <w:ind w:left="1440" w:hanging="360"/>
      </w:pPr>
      <w:rPr>
        <w:rFonts w:ascii="Courier New" w:hAnsi="Courier New" w:hint="default"/>
      </w:rPr>
    </w:lvl>
    <w:lvl w:ilvl="2" w:tplc="C644BE4E">
      <w:start w:val="1"/>
      <w:numFmt w:val="bullet"/>
      <w:lvlText w:val=""/>
      <w:lvlJc w:val="left"/>
      <w:pPr>
        <w:ind w:left="2160" w:hanging="360"/>
      </w:pPr>
      <w:rPr>
        <w:rFonts w:ascii="Wingdings" w:hAnsi="Wingdings" w:hint="default"/>
      </w:rPr>
    </w:lvl>
    <w:lvl w:ilvl="3" w:tplc="3638543E">
      <w:start w:val="1"/>
      <w:numFmt w:val="bullet"/>
      <w:lvlText w:val=""/>
      <w:lvlJc w:val="left"/>
      <w:pPr>
        <w:ind w:left="2880" w:hanging="360"/>
      </w:pPr>
      <w:rPr>
        <w:rFonts w:ascii="Symbol" w:hAnsi="Symbol" w:hint="default"/>
      </w:rPr>
    </w:lvl>
    <w:lvl w:ilvl="4" w:tplc="2FCC056E">
      <w:start w:val="1"/>
      <w:numFmt w:val="bullet"/>
      <w:lvlText w:val="o"/>
      <w:lvlJc w:val="left"/>
      <w:pPr>
        <w:ind w:left="3600" w:hanging="360"/>
      </w:pPr>
      <w:rPr>
        <w:rFonts w:ascii="Courier New" w:hAnsi="Courier New" w:hint="default"/>
      </w:rPr>
    </w:lvl>
    <w:lvl w:ilvl="5" w:tplc="A4A85D0A">
      <w:start w:val="1"/>
      <w:numFmt w:val="bullet"/>
      <w:lvlText w:val=""/>
      <w:lvlJc w:val="left"/>
      <w:pPr>
        <w:ind w:left="4320" w:hanging="360"/>
      </w:pPr>
      <w:rPr>
        <w:rFonts w:ascii="Wingdings" w:hAnsi="Wingdings" w:hint="default"/>
      </w:rPr>
    </w:lvl>
    <w:lvl w:ilvl="6" w:tplc="C4F6CCF2">
      <w:start w:val="1"/>
      <w:numFmt w:val="bullet"/>
      <w:lvlText w:val=""/>
      <w:lvlJc w:val="left"/>
      <w:pPr>
        <w:ind w:left="5040" w:hanging="360"/>
      </w:pPr>
      <w:rPr>
        <w:rFonts w:ascii="Symbol" w:hAnsi="Symbol" w:hint="default"/>
      </w:rPr>
    </w:lvl>
    <w:lvl w:ilvl="7" w:tplc="008447DC">
      <w:start w:val="1"/>
      <w:numFmt w:val="bullet"/>
      <w:lvlText w:val="o"/>
      <w:lvlJc w:val="left"/>
      <w:pPr>
        <w:ind w:left="5760" w:hanging="360"/>
      </w:pPr>
      <w:rPr>
        <w:rFonts w:ascii="Courier New" w:hAnsi="Courier New" w:hint="default"/>
      </w:rPr>
    </w:lvl>
    <w:lvl w:ilvl="8" w:tplc="2D86F68E">
      <w:start w:val="1"/>
      <w:numFmt w:val="bullet"/>
      <w:lvlText w:val=""/>
      <w:lvlJc w:val="left"/>
      <w:pPr>
        <w:ind w:left="6480" w:hanging="360"/>
      </w:pPr>
      <w:rPr>
        <w:rFonts w:ascii="Wingdings" w:hAnsi="Wingdings" w:hint="default"/>
      </w:rPr>
    </w:lvl>
  </w:abstractNum>
  <w:abstractNum w:abstractNumId="260" w15:restartNumberingAfterBreak="0">
    <w:nsid w:val="60C2448F"/>
    <w:multiLevelType w:val="hybridMultilevel"/>
    <w:tmpl w:val="FFFFFFFF"/>
    <w:lvl w:ilvl="0" w:tplc="ED5A278A">
      <w:start w:val="1"/>
      <w:numFmt w:val="bullet"/>
      <w:lvlText w:val="·"/>
      <w:lvlJc w:val="left"/>
      <w:pPr>
        <w:ind w:left="360" w:hanging="360"/>
      </w:pPr>
      <w:rPr>
        <w:rFonts w:ascii="Symbol" w:hAnsi="Symbol" w:hint="default"/>
      </w:rPr>
    </w:lvl>
    <w:lvl w:ilvl="1" w:tplc="50B0CE84">
      <w:start w:val="1"/>
      <w:numFmt w:val="bullet"/>
      <w:lvlText w:val="o"/>
      <w:lvlJc w:val="left"/>
      <w:pPr>
        <w:ind w:left="1080" w:hanging="360"/>
      </w:pPr>
      <w:rPr>
        <w:rFonts w:ascii="Courier New" w:hAnsi="Courier New" w:hint="default"/>
      </w:rPr>
    </w:lvl>
    <w:lvl w:ilvl="2" w:tplc="4C00F162">
      <w:start w:val="1"/>
      <w:numFmt w:val="bullet"/>
      <w:lvlText w:val=""/>
      <w:lvlJc w:val="left"/>
      <w:pPr>
        <w:ind w:left="1800" w:hanging="360"/>
      </w:pPr>
      <w:rPr>
        <w:rFonts w:ascii="Wingdings" w:hAnsi="Wingdings" w:hint="default"/>
      </w:rPr>
    </w:lvl>
    <w:lvl w:ilvl="3" w:tplc="F558D386">
      <w:start w:val="1"/>
      <w:numFmt w:val="bullet"/>
      <w:lvlText w:val=""/>
      <w:lvlJc w:val="left"/>
      <w:pPr>
        <w:ind w:left="2520" w:hanging="360"/>
      </w:pPr>
      <w:rPr>
        <w:rFonts w:ascii="Symbol" w:hAnsi="Symbol" w:hint="default"/>
      </w:rPr>
    </w:lvl>
    <w:lvl w:ilvl="4" w:tplc="316ED860">
      <w:start w:val="1"/>
      <w:numFmt w:val="bullet"/>
      <w:lvlText w:val="o"/>
      <w:lvlJc w:val="left"/>
      <w:pPr>
        <w:ind w:left="3240" w:hanging="360"/>
      </w:pPr>
      <w:rPr>
        <w:rFonts w:ascii="Courier New" w:hAnsi="Courier New" w:hint="default"/>
      </w:rPr>
    </w:lvl>
    <w:lvl w:ilvl="5" w:tplc="91120ADA">
      <w:start w:val="1"/>
      <w:numFmt w:val="bullet"/>
      <w:lvlText w:val=""/>
      <w:lvlJc w:val="left"/>
      <w:pPr>
        <w:ind w:left="3960" w:hanging="360"/>
      </w:pPr>
      <w:rPr>
        <w:rFonts w:ascii="Wingdings" w:hAnsi="Wingdings" w:hint="default"/>
      </w:rPr>
    </w:lvl>
    <w:lvl w:ilvl="6" w:tplc="87AEC034">
      <w:start w:val="1"/>
      <w:numFmt w:val="bullet"/>
      <w:lvlText w:val=""/>
      <w:lvlJc w:val="left"/>
      <w:pPr>
        <w:ind w:left="4680" w:hanging="360"/>
      </w:pPr>
      <w:rPr>
        <w:rFonts w:ascii="Symbol" w:hAnsi="Symbol" w:hint="default"/>
      </w:rPr>
    </w:lvl>
    <w:lvl w:ilvl="7" w:tplc="362A577C">
      <w:start w:val="1"/>
      <w:numFmt w:val="bullet"/>
      <w:lvlText w:val="o"/>
      <w:lvlJc w:val="left"/>
      <w:pPr>
        <w:ind w:left="5400" w:hanging="360"/>
      </w:pPr>
      <w:rPr>
        <w:rFonts w:ascii="Courier New" w:hAnsi="Courier New" w:hint="default"/>
      </w:rPr>
    </w:lvl>
    <w:lvl w:ilvl="8" w:tplc="C5D891B8">
      <w:start w:val="1"/>
      <w:numFmt w:val="bullet"/>
      <w:lvlText w:val=""/>
      <w:lvlJc w:val="left"/>
      <w:pPr>
        <w:ind w:left="6120" w:hanging="360"/>
      </w:pPr>
      <w:rPr>
        <w:rFonts w:ascii="Wingdings" w:hAnsi="Wingdings" w:hint="default"/>
      </w:rPr>
    </w:lvl>
  </w:abstractNum>
  <w:abstractNum w:abstractNumId="261" w15:restartNumberingAfterBreak="0">
    <w:nsid w:val="60E202F0"/>
    <w:multiLevelType w:val="hybridMultilevel"/>
    <w:tmpl w:val="AA8A0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2" w15:restartNumberingAfterBreak="0">
    <w:nsid w:val="61E9046A"/>
    <w:multiLevelType w:val="hybridMultilevel"/>
    <w:tmpl w:val="16BA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3" w15:restartNumberingAfterBreak="0">
    <w:nsid w:val="62B57A11"/>
    <w:multiLevelType w:val="hybridMultilevel"/>
    <w:tmpl w:val="3BA48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4" w15:restartNumberingAfterBreak="0">
    <w:nsid w:val="62D13D55"/>
    <w:multiLevelType w:val="hybridMultilevel"/>
    <w:tmpl w:val="6652D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5" w15:restartNumberingAfterBreak="0">
    <w:nsid w:val="64D5168A"/>
    <w:multiLevelType w:val="hybridMultilevel"/>
    <w:tmpl w:val="AEB01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6" w15:restartNumberingAfterBreak="0">
    <w:nsid w:val="64F025D7"/>
    <w:multiLevelType w:val="hybridMultilevel"/>
    <w:tmpl w:val="D8E67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653F6D70"/>
    <w:multiLevelType w:val="hybridMultilevel"/>
    <w:tmpl w:val="7C6E24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8" w15:restartNumberingAfterBreak="0">
    <w:nsid w:val="664B268A"/>
    <w:multiLevelType w:val="hybridMultilevel"/>
    <w:tmpl w:val="FFFFFFFF"/>
    <w:lvl w:ilvl="0" w:tplc="7970636A">
      <w:start w:val="1"/>
      <w:numFmt w:val="bullet"/>
      <w:lvlText w:val="·"/>
      <w:lvlJc w:val="left"/>
      <w:pPr>
        <w:ind w:left="360" w:hanging="360"/>
      </w:pPr>
      <w:rPr>
        <w:rFonts w:ascii="Symbol" w:hAnsi="Symbol" w:hint="default"/>
      </w:rPr>
    </w:lvl>
    <w:lvl w:ilvl="1" w:tplc="53B6F482">
      <w:start w:val="1"/>
      <w:numFmt w:val="bullet"/>
      <w:lvlText w:val="o"/>
      <w:lvlJc w:val="left"/>
      <w:pPr>
        <w:ind w:left="1080" w:hanging="360"/>
      </w:pPr>
      <w:rPr>
        <w:rFonts w:ascii="Courier New" w:hAnsi="Courier New" w:hint="default"/>
      </w:rPr>
    </w:lvl>
    <w:lvl w:ilvl="2" w:tplc="E7B2214E">
      <w:start w:val="1"/>
      <w:numFmt w:val="bullet"/>
      <w:lvlText w:val=""/>
      <w:lvlJc w:val="left"/>
      <w:pPr>
        <w:ind w:left="1800" w:hanging="360"/>
      </w:pPr>
      <w:rPr>
        <w:rFonts w:ascii="Wingdings" w:hAnsi="Wingdings" w:hint="default"/>
      </w:rPr>
    </w:lvl>
    <w:lvl w:ilvl="3" w:tplc="106A37E4">
      <w:start w:val="1"/>
      <w:numFmt w:val="bullet"/>
      <w:lvlText w:val=""/>
      <w:lvlJc w:val="left"/>
      <w:pPr>
        <w:ind w:left="2520" w:hanging="360"/>
      </w:pPr>
      <w:rPr>
        <w:rFonts w:ascii="Symbol" w:hAnsi="Symbol" w:hint="default"/>
      </w:rPr>
    </w:lvl>
    <w:lvl w:ilvl="4" w:tplc="70F878D6">
      <w:start w:val="1"/>
      <w:numFmt w:val="bullet"/>
      <w:lvlText w:val="o"/>
      <w:lvlJc w:val="left"/>
      <w:pPr>
        <w:ind w:left="3240" w:hanging="360"/>
      </w:pPr>
      <w:rPr>
        <w:rFonts w:ascii="Courier New" w:hAnsi="Courier New" w:hint="default"/>
      </w:rPr>
    </w:lvl>
    <w:lvl w:ilvl="5" w:tplc="2528C7F2">
      <w:start w:val="1"/>
      <w:numFmt w:val="bullet"/>
      <w:lvlText w:val=""/>
      <w:lvlJc w:val="left"/>
      <w:pPr>
        <w:ind w:left="3960" w:hanging="360"/>
      </w:pPr>
      <w:rPr>
        <w:rFonts w:ascii="Wingdings" w:hAnsi="Wingdings" w:hint="default"/>
      </w:rPr>
    </w:lvl>
    <w:lvl w:ilvl="6" w:tplc="298C5B60">
      <w:start w:val="1"/>
      <w:numFmt w:val="bullet"/>
      <w:lvlText w:val=""/>
      <w:lvlJc w:val="left"/>
      <w:pPr>
        <w:ind w:left="4680" w:hanging="360"/>
      </w:pPr>
      <w:rPr>
        <w:rFonts w:ascii="Symbol" w:hAnsi="Symbol" w:hint="default"/>
      </w:rPr>
    </w:lvl>
    <w:lvl w:ilvl="7" w:tplc="038A44DC">
      <w:start w:val="1"/>
      <w:numFmt w:val="bullet"/>
      <w:lvlText w:val="o"/>
      <w:lvlJc w:val="left"/>
      <w:pPr>
        <w:ind w:left="5400" w:hanging="360"/>
      </w:pPr>
      <w:rPr>
        <w:rFonts w:ascii="Courier New" w:hAnsi="Courier New" w:hint="default"/>
      </w:rPr>
    </w:lvl>
    <w:lvl w:ilvl="8" w:tplc="F86046F6">
      <w:start w:val="1"/>
      <w:numFmt w:val="bullet"/>
      <w:lvlText w:val=""/>
      <w:lvlJc w:val="left"/>
      <w:pPr>
        <w:ind w:left="6120" w:hanging="360"/>
      </w:pPr>
      <w:rPr>
        <w:rFonts w:ascii="Wingdings" w:hAnsi="Wingdings" w:hint="default"/>
      </w:rPr>
    </w:lvl>
  </w:abstractNum>
  <w:abstractNum w:abstractNumId="269" w15:restartNumberingAfterBreak="0">
    <w:nsid w:val="66620603"/>
    <w:multiLevelType w:val="hybridMultilevel"/>
    <w:tmpl w:val="7F901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6670217D"/>
    <w:multiLevelType w:val="hybridMultilevel"/>
    <w:tmpl w:val="DAE6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1" w15:restartNumberingAfterBreak="0">
    <w:nsid w:val="66C722CF"/>
    <w:multiLevelType w:val="hybridMultilevel"/>
    <w:tmpl w:val="51F22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2" w15:restartNumberingAfterBreak="0">
    <w:nsid w:val="66EB16A5"/>
    <w:multiLevelType w:val="hybridMultilevel"/>
    <w:tmpl w:val="B4104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3" w15:restartNumberingAfterBreak="0">
    <w:nsid w:val="676C748B"/>
    <w:multiLevelType w:val="hybridMultilevel"/>
    <w:tmpl w:val="B108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4" w15:restartNumberingAfterBreak="0">
    <w:nsid w:val="67962873"/>
    <w:multiLevelType w:val="hybridMultilevel"/>
    <w:tmpl w:val="FFFFFFFF"/>
    <w:lvl w:ilvl="0" w:tplc="F0243184">
      <w:start w:val="1"/>
      <w:numFmt w:val="bullet"/>
      <w:lvlText w:val="·"/>
      <w:lvlJc w:val="left"/>
      <w:pPr>
        <w:ind w:left="720" w:hanging="360"/>
      </w:pPr>
      <w:rPr>
        <w:rFonts w:ascii="Symbol" w:hAnsi="Symbol" w:hint="default"/>
      </w:rPr>
    </w:lvl>
    <w:lvl w:ilvl="1" w:tplc="FF248B28">
      <w:start w:val="1"/>
      <w:numFmt w:val="bullet"/>
      <w:lvlText w:val="o"/>
      <w:lvlJc w:val="left"/>
      <w:pPr>
        <w:ind w:left="1440" w:hanging="360"/>
      </w:pPr>
      <w:rPr>
        <w:rFonts w:ascii="Courier New" w:hAnsi="Courier New" w:hint="default"/>
      </w:rPr>
    </w:lvl>
    <w:lvl w:ilvl="2" w:tplc="0D6C43AC">
      <w:start w:val="1"/>
      <w:numFmt w:val="bullet"/>
      <w:lvlText w:val=""/>
      <w:lvlJc w:val="left"/>
      <w:pPr>
        <w:ind w:left="2160" w:hanging="360"/>
      </w:pPr>
      <w:rPr>
        <w:rFonts w:ascii="Wingdings" w:hAnsi="Wingdings" w:hint="default"/>
      </w:rPr>
    </w:lvl>
    <w:lvl w:ilvl="3" w:tplc="994C8602">
      <w:start w:val="1"/>
      <w:numFmt w:val="bullet"/>
      <w:lvlText w:val=""/>
      <w:lvlJc w:val="left"/>
      <w:pPr>
        <w:ind w:left="2880" w:hanging="360"/>
      </w:pPr>
      <w:rPr>
        <w:rFonts w:ascii="Symbol" w:hAnsi="Symbol" w:hint="default"/>
      </w:rPr>
    </w:lvl>
    <w:lvl w:ilvl="4" w:tplc="97D68E28">
      <w:start w:val="1"/>
      <w:numFmt w:val="bullet"/>
      <w:lvlText w:val="o"/>
      <w:lvlJc w:val="left"/>
      <w:pPr>
        <w:ind w:left="3600" w:hanging="360"/>
      </w:pPr>
      <w:rPr>
        <w:rFonts w:ascii="Courier New" w:hAnsi="Courier New" w:hint="default"/>
      </w:rPr>
    </w:lvl>
    <w:lvl w:ilvl="5" w:tplc="39E8F940">
      <w:start w:val="1"/>
      <w:numFmt w:val="bullet"/>
      <w:lvlText w:val=""/>
      <w:lvlJc w:val="left"/>
      <w:pPr>
        <w:ind w:left="4320" w:hanging="360"/>
      </w:pPr>
      <w:rPr>
        <w:rFonts w:ascii="Wingdings" w:hAnsi="Wingdings" w:hint="default"/>
      </w:rPr>
    </w:lvl>
    <w:lvl w:ilvl="6" w:tplc="D042F78A">
      <w:start w:val="1"/>
      <w:numFmt w:val="bullet"/>
      <w:lvlText w:val=""/>
      <w:lvlJc w:val="left"/>
      <w:pPr>
        <w:ind w:left="5040" w:hanging="360"/>
      </w:pPr>
      <w:rPr>
        <w:rFonts w:ascii="Symbol" w:hAnsi="Symbol" w:hint="default"/>
      </w:rPr>
    </w:lvl>
    <w:lvl w:ilvl="7" w:tplc="305A5132">
      <w:start w:val="1"/>
      <w:numFmt w:val="bullet"/>
      <w:lvlText w:val="o"/>
      <w:lvlJc w:val="left"/>
      <w:pPr>
        <w:ind w:left="5760" w:hanging="360"/>
      </w:pPr>
      <w:rPr>
        <w:rFonts w:ascii="Courier New" w:hAnsi="Courier New" w:hint="default"/>
      </w:rPr>
    </w:lvl>
    <w:lvl w:ilvl="8" w:tplc="3AB6A964">
      <w:start w:val="1"/>
      <w:numFmt w:val="bullet"/>
      <w:lvlText w:val=""/>
      <w:lvlJc w:val="left"/>
      <w:pPr>
        <w:ind w:left="6480" w:hanging="360"/>
      </w:pPr>
      <w:rPr>
        <w:rFonts w:ascii="Wingdings" w:hAnsi="Wingdings" w:hint="default"/>
      </w:rPr>
    </w:lvl>
  </w:abstractNum>
  <w:abstractNum w:abstractNumId="275" w15:restartNumberingAfterBreak="0">
    <w:nsid w:val="67B67A9D"/>
    <w:multiLevelType w:val="hybridMultilevel"/>
    <w:tmpl w:val="FFFFFFFF"/>
    <w:lvl w:ilvl="0" w:tplc="382C4AD2">
      <w:start w:val="1"/>
      <w:numFmt w:val="bullet"/>
      <w:lvlText w:val="·"/>
      <w:lvlJc w:val="left"/>
      <w:pPr>
        <w:ind w:left="720" w:hanging="360"/>
      </w:pPr>
      <w:rPr>
        <w:rFonts w:ascii="Symbol" w:hAnsi="Symbol" w:hint="default"/>
      </w:rPr>
    </w:lvl>
    <w:lvl w:ilvl="1" w:tplc="DAC0B8B4">
      <w:start w:val="1"/>
      <w:numFmt w:val="bullet"/>
      <w:lvlText w:val="o"/>
      <w:lvlJc w:val="left"/>
      <w:pPr>
        <w:ind w:left="1440" w:hanging="360"/>
      </w:pPr>
      <w:rPr>
        <w:rFonts w:ascii="Courier New" w:hAnsi="Courier New" w:hint="default"/>
      </w:rPr>
    </w:lvl>
    <w:lvl w:ilvl="2" w:tplc="8188C174">
      <w:start w:val="1"/>
      <w:numFmt w:val="bullet"/>
      <w:lvlText w:val=""/>
      <w:lvlJc w:val="left"/>
      <w:pPr>
        <w:ind w:left="2160" w:hanging="360"/>
      </w:pPr>
      <w:rPr>
        <w:rFonts w:ascii="Wingdings" w:hAnsi="Wingdings" w:hint="default"/>
      </w:rPr>
    </w:lvl>
    <w:lvl w:ilvl="3" w:tplc="F724B082">
      <w:start w:val="1"/>
      <w:numFmt w:val="bullet"/>
      <w:lvlText w:val=""/>
      <w:lvlJc w:val="left"/>
      <w:pPr>
        <w:ind w:left="2880" w:hanging="360"/>
      </w:pPr>
      <w:rPr>
        <w:rFonts w:ascii="Symbol" w:hAnsi="Symbol" w:hint="default"/>
      </w:rPr>
    </w:lvl>
    <w:lvl w:ilvl="4" w:tplc="05DADA20">
      <w:start w:val="1"/>
      <w:numFmt w:val="bullet"/>
      <w:lvlText w:val="o"/>
      <w:lvlJc w:val="left"/>
      <w:pPr>
        <w:ind w:left="3600" w:hanging="360"/>
      </w:pPr>
      <w:rPr>
        <w:rFonts w:ascii="Courier New" w:hAnsi="Courier New" w:hint="default"/>
      </w:rPr>
    </w:lvl>
    <w:lvl w:ilvl="5" w:tplc="9A261806">
      <w:start w:val="1"/>
      <w:numFmt w:val="bullet"/>
      <w:lvlText w:val=""/>
      <w:lvlJc w:val="left"/>
      <w:pPr>
        <w:ind w:left="4320" w:hanging="360"/>
      </w:pPr>
      <w:rPr>
        <w:rFonts w:ascii="Wingdings" w:hAnsi="Wingdings" w:hint="default"/>
      </w:rPr>
    </w:lvl>
    <w:lvl w:ilvl="6" w:tplc="E7F8D3D4">
      <w:start w:val="1"/>
      <w:numFmt w:val="bullet"/>
      <w:lvlText w:val=""/>
      <w:lvlJc w:val="left"/>
      <w:pPr>
        <w:ind w:left="5040" w:hanging="360"/>
      </w:pPr>
      <w:rPr>
        <w:rFonts w:ascii="Symbol" w:hAnsi="Symbol" w:hint="default"/>
      </w:rPr>
    </w:lvl>
    <w:lvl w:ilvl="7" w:tplc="21285D9C">
      <w:start w:val="1"/>
      <w:numFmt w:val="bullet"/>
      <w:lvlText w:val="o"/>
      <w:lvlJc w:val="left"/>
      <w:pPr>
        <w:ind w:left="5760" w:hanging="360"/>
      </w:pPr>
      <w:rPr>
        <w:rFonts w:ascii="Courier New" w:hAnsi="Courier New" w:hint="default"/>
      </w:rPr>
    </w:lvl>
    <w:lvl w:ilvl="8" w:tplc="83584E64">
      <w:start w:val="1"/>
      <w:numFmt w:val="bullet"/>
      <w:lvlText w:val=""/>
      <w:lvlJc w:val="left"/>
      <w:pPr>
        <w:ind w:left="6480" w:hanging="360"/>
      </w:pPr>
      <w:rPr>
        <w:rFonts w:ascii="Wingdings" w:hAnsi="Wingdings" w:hint="default"/>
      </w:rPr>
    </w:lvl>
  </w:abstractNum>
  <w:abstractNum w:abstractNumId="276" w15:restartNumberingAfterBreak="0">
    <w:nsid w:val="68566E06"/>
    <w:multiLevelType w:val="hybridMultilevel"/>
    <w:tmpl w:val="6AE0A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7" w15:restartNumberingAfterBreak="0">
    <w:nsid w:val="6883247B"/>
    <w:multiLevelType w:val="hybridMultilevel"/>
    <w:tmpl w:val="765E9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8" w15:restartNumberingAfterBreak="0">
    <w:nsid w:val="689970A8"/>
    <w:multiLevelType w:val="hybridMultilevel"/>
    <w:tmpl w:val="FFFFFFFF"/>
    <w:lvl w:ilvl="0" w:tplc="5C60627C">
      <w:start w:val="1"/>
      <w:numFmt w:val="bullet"/>
      <w:lvlText w:val="·"/>
      <w:lvlJc w:val="left"/>
      <w:pPr>
        <w:ind w:left="720" w:hanging="360"/>
      </w:pPr>
      <w:rPr>
        <w:rFonts w:ascii="Symbol" w:hAnsi="Symbol" w:hint="default"/>
      </w:rPr>
    </w:lvl>
    <w:lvl w:ilvl="1" w:tplc="BB505AAC">
      <w:start w:val="1"/>
      <w:numFmt w:val="bullet"/>
      <w:lvlText w:val="o"/>
      <w:lvlJc w:val="left"/>
      <w:pPr>
        <w:ind w:left="1440" w:hanging="360"/>
      </w:pPr>
      <w:rPr>
        <w:rFonts w:ascii="Courier New" w:hAnsi="Courier New" w:hint="default"/>
      </w:rPr>
    </w:lvl>
    <w:lvl w:ilvl="2" w:tplc="D23492E8">
      <w:start w:val="1"/>
      <w:numFmt w:val="bullet"/>
      <w:lvlText w:val=""/>
      <w:lvlJc w:val="left"/>
      <w:pPr>
        <w:ind w:left="2160" w:hanging="360"/>
      </w:pPr>
      <w:rPr>
        <w:rFonts w:ascii="Wingdings" w:hAnsi="Wingdings" w:hint="default"/>
      </w:rPr>
    </w:lvl>
    <w:lvl w:ilvl="3" w:tplc="55809266">
      <w:start w:val="1"/>
      <w:numFmt w:val="bullet"/>
      <w:lvlText w:val=""/>
      <w:lvlJc w:val="left"/>
      <w:pPr>
        <w:ind w:left="2880" w:hanging="360"/>
      </w:pPr>
      <w:rPr>
        <w:rFonts w:ascii="Symbol" w:hAnsi="Symbol" w:hint="default"/>
      </w:rPr>
    </w:lvl>
    <w:lvl w:ilvl="4" w:tplc="FC4A3806">
      <w:start w:val="1"/>
      <w:numFmt w:val="bullet"/>
      <w:lvlText w:val="o"/>
      <w:lvlJc w:val="left"/>
      <w:pPr>
        <w:ind w:left="3600" w:hanging="360"/>
      </w:pPr>
      <w:rPr>
        <w:rFonts w:ascii="Courier New" w:hAnsi="Courier New" w:hint="default"/>
      </w:rPr>
    </w:lvl>
    <w:lvl w:ilvl="5" w:tplc="B60432B4">
      <w:start w:val="1"/>
      <w:numFmt w:val="bullet"/>
      <w:lvlText w:val=""/>
      <w:lvlJc w:val="left"/>
      <w:pPr>
        <w:ind w:left="4320" w:hanging="360"/>
      </w:pPr>
      <w:rPr>
        <w:rFonts w:ascii="Wingdings" w:hAnsi="Wingdings" w:hint="default"/>
      </w:rPr>
    </w:lvl>
    <w:lvl w:ilvl="6" w:tplc="825C627C">
      <w:start w:val="1"/>
      <w:numFmt w:val="bullet"/>
      <w:lvlText w:val=""/>
      <w:lvlJc w:val="left"/>
      <w:pPr>
        <w:ind w:left="5040" w:hanging="360"/>
      </w:pPr>
      <w:rPr>
        <w:rFonts w:ascii="Symbol" w:hAnsi="Symbol" w:hint="default"/>
      </w:rPr>
    </w:lvl>
    <w:lvl w:ilvl="7" w:tplc="9F70243A">
      <w:start w:val="1"/>
      <w:numFmt w:val="bullet"/>
      <w:lvlText w:val="o"/>
      <w:lvlJc w:val="left"/>
      <w:pPr>
        <w:ind w:left="5760" w:hanging="360"/>
      </w:pPr>
      <w:rPr>
        <w:rFonts w:ascii="Courier New" w:hAnsi="Courier New" w:hint="default"/>
      </w:rPr>
    </w:lvl>
    <w:lvl w:ilvl="8" w:tplc="0E2638F8">
      <w:start w:val="1"/>
      <w:numFmt w:val="bullet"/>
      <w:lvlText w:val=""/>
      <w:lvlJc w:val="left"/>
      <w:pPr>
        <w:ind w:left="6480" w:hanging="360"/>
      </w:pPr>
      <w:rPr>
        <w:rFonts w:ascii="Wingdings" w:hAnsi="Wingdings" w:hint="default"/>
      </w:rPr>
    </w:lvl>
  </w:abstractNum>
  <w:abstractNum w:abstractNumId="279" w15:restartNumberingAfterBreak="0">
    <w:nsid w:val="693F522A"/>
    <w:multiLevelType w:val="hybridMultilevel"/>
    <w:tmpl w:val="CF5EE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0" w15:restartNumberingAfterBreak="0">
    <w:nsid w:val="696D44C5"/>
    <w:multiLevelType w:val="hybridMultilevel"/>
    <w:tmpl w:val="14CA0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1" w15:restartNumberingAfterBreak="0">
    <w:nsid w:val="69B223AF"/>
    <w:multiLevelType w:val="hybridMultilevel"/>
    <w:tmpl w:val="745C88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2" w15:restartNumberingAfterBreak="0">
    <w:nsid w:val="69F34CBD"/>
    <w:multiLevelType w:val="hybridMultilevel"/>
    <w:tmpl w:val="8DCAE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3" w15:restartNumberingAfterBreak="0">
    <w:nsid w:val="6A0769A4"/>
    <w:multiLevelType w:val="hybridMultilevel"/>
    <w:tmpl w:val="2430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6A75526E"/>
    <w:multiLevelType w:val="hybridMultilevel"/>
    <w:tmpl w:val="080AB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6A7F4699"/>
    <w:multiLevelType w:val="hybridMultilevel"/>
    <w:tmpl w:val="386CE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6" w15:restartNumberingAfterBreak="0">
    <w:nsid w:val="6AD3013F"/>
    <w:multiLevelType w:val="hybridMultilevel"/>
    <w:tmpl w:val="DC368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6B154171"/>
    <w:multiLevelType w:val="hybridMultilevel"/>
    <w:tmpl w:val="AB58D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8" w15:restartNumberingAfterBreak="0">
    <w:nsid w:val="6B293F25"/>
    <w:multiLevelType w:val="hybridMultilevel"/>
    <w:tmpl w:val="FFFFFFFF"/>
    <w:lvl w:ilvl="0" w:tplc="64FECB62">
      <w:start w:val="1"/>
      <w:numFmt w:val="bullet"/>
      <w:lvlText w:val="·"/>
      <w:lvlJc w:val="left"/>
      <w:pPr>
        <w:ind w:left="720" w:hanging="360"/>
      </w:pPr>
      <w:rPr>
        <w:rFonts w:ascii="Symbol" w:hAnsi="Symbol" w:hint="default"/>
      </w:rPr>
    </w:lvl>
    <w:lvl w:ilvl="1" w:tplc="16D2BFBA">
      <w:start w:val="1"/>
      <w:numFmt w:val="bullet"/>
      <w:lvlText w:val="o"/>
      <w:lvlJc w:val="left"/>
      <w:pPr>
        <w:ind w:left="1440" w:hanging="360"/>
      </w:pPr>
      <w:rPr>
        <w:rFonts w:ascii="Courier New" w:hAnsi="Courier New" w:hint="default"/>
      </w:rPr>
    </w:lvl>
    <w:lvl w:ilvl="2" w:tplc="CA50E6B2">
      <w:start w:val="1"/>
      <w:numFmt w:val="bullet"/>
      <w:lvlText w:val=""/>
      <w:lvlJc w:val="left"/>
      <w:pPr>
        <w:ind w:left="2160" w:hanging="360"/>
      </w:pPr>
      <w:rPr>
        <w:rFonts w:ascii="Wingdings" w:hAnsi="Wingdings" w:hint="default"/>
      </w:rPr>
    </w:lvl>
    <w:lvl w:ilvl="3" w:tplc="DA72FA0C">
      <w:start w:val="1"/>
      <w:numFmt w:val="bullet"/>
      <w:lvlText w:val=""/>
      <w:lvlJc w:val="left"/>
      <w:pPr>
        <w:ind w:left="2880" w:hanging="360"/>
      </w:pPr>
      <w:rPr>
        <w:rFonts w:ascii="Symbol" w:hAnsi="Symbol" w:hint="default"/>
      </w:rPr>
    </w:lvl>
    <w:lvl w:ilvl="4" w:tplc="3620C9FA">
      <w:start w:val="1"/>
      <w:numFmt w:val="bullet"/>
      <w:lvlText w:val="o"/>
      <w:lvlJc w:val="left"/>
      <w:pPr>
        <w:ind w:left="3600" w:hanging="360"/>
      </w:pPr>
      <w:rPr>
        <w:rFonts w:ascii="Courier New" w:hAnsi="Courier New" w:hint="default"/>
      </w:rPr>
    </w:lvl>
    <w:lvl w:ilvl="5" w:tplc="FE4409D8">
      <w:start w:val="1"/>
      <w:numFmt w:val="bullet"/>
      <w:lvlText w:val=""/>
      <w:lvlJc w:val="left"/>
      <w:pPr>
        <w:ind w:left="4320" w:hanging="360"/>
      </w:pPr>
      <w:rPr>
        <w:rFonts w:ascii="Wingdings" w:hAnsi="Wingdings" w:hint="default"/>
      </w:rPr>
    </w:lvl>
    <w:lvl w:ilvl="6" w:tplc="EA5696AE">
      <w:start w:val="1"/>
      <w:numFmt w:val="bullet"/>
      <w:lvlText w:val=""/>
      <w:lvlJc w:val="left"/>
      <w:pPr>
        <w:ind w:left="5040" w:hanging="360"/>
      </w:pPr>
      <w:rPr>
        <w:rFonts w:ascii="Symbol" w:hAnsi="Symbol" w:hint="default"/>
      </w:rPr>
    </w:lvl>
    <w:lvl w:ilvl="7" w:tplc="F5847E6E">
      <w:start w:val="1"/>
      <w:numFmt w:val="bullet"/>
      <w:lvlText w:val="o"/>
      <w:lvlJc w:val="left"/>
      <w:pPr>
        <w:ind w:left="5760" w:hanging="360"/>
      </w:pPr>
      <w:rPr>
        <w:rFonts w:ascii="Courier New" w:hAnsi="Courier New" w:hint="default"/>
      </w:rPr>
    </w:lvl>
    <w:lvl w:ilvl="8" w:tplc="AE9E5D48">
      <w:start w:val="1"/>
      <w:numFmt w:val="bullet"/>
      <w:lvlText w:val=""/>
      <w:lvlJc w:val="left"/>
      <w:pPr>
        <w:ind w:left="6480" w:hanging="360"/>
      </w:pPr>
      <w:rPr>
        <w:rFonts w:ascii="Wingdings" w:hAnsi="Wingdings" w:hint="default"/>
      </w:rPr>
    </w:lvl>
  </w:abstractNum>
  <w:abstractNum w:abstractNumId="289" w15:restartNumberingAfterBreak="0">
    <w:nsid w:val="6BA730B6"/>
    <w:multiLevelType w:val="hybridMultilevel"/>
    <w:tmpl w:val="8D8A8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0" w15:restartNumberingAfterBreak="0">
    <w:nsid w:val="6BD46796"/>
    <w:multiLevelType w:val="hybridMultilevel"/>
    <w:tmpl w:val="83A6F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1" w15:restartNumberingAfterBreak="0">
    <w:nsid w:val="6C1A7029"/>
    <w:multiLevelType w:val="hybridMultilevel"/>
    <w:tmpl w:val="6A5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2" w15:restartNumberingAfterBreak="0">
    <w:nsid w:val="6CD45789"/>
    <w:multiLevelType w:val="hybridMultilevel"/>
    <w:tmpl w:val="CBC83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3" w15:restartNumberingAfterBreak="0">
    <w:nsid w:val="6D0B04FA"/>
    <w:multiLevelType w:val="hybridMultilevel"/>
    <w:tmpl w:val="38383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4" w15:restartNumberingAfterBreak="0">
    <w:nsid w:val="6D68785F"/>
    <w:multiLevelType w:val="hybridMultilevel"/>
    <w:tmpl w:val="21AC1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5" w15:restartNumberingAfterBreak="0">
    <w:nsid w:val="6D6E5DC4"/>
    <w:multiLevelType w:val="hybridMultilevel"/>
    <w:tmpl w:val="F8EE8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6" w15:restartNumberingAfterBreak="0">
    <w:nsid w:val="6DBB6623"/>
    <w:multiLevelType w:val="hybridMultilevel"/>
    <w:tmpl w:val="2698D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7" w15:restartNumberingAfterBreak="0">
    <w:nsid w:val="6E68545D"/>
    <w:multiLevelType w:val="hybridMultilevel"/>
    <w:tmpl w:val="5298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8" w15:restartNumberingAfterBreak="0">
    <w:nsid w:val="6EBF7685"/>
    <w:multiLevelType w:val="hybridMultilevel"/>
    <w:tmpl w:val="5B205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9" w15:restartNumberingAfterBreak="0">
    <w:nsid w:val="6EE76E56"/>
    <w:multiLevelType w:val="hybridMultilevel"/>
    <w:tmpl w:val="31BEA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0" w15:restartNumberingAfterBreak="0">
    <w:nsid w:val="6F654FBB"/>
    <w:multiLevelType w:val="hybridMultilevel"/>
    <w:tmpl w:val="FFFFFFFF"/>
    <w:lvl w:ilvl="0" w:tplc="D9DC6800">
      <w:start w:val="1"/>
      <w:numFmt w:val="bullet"/>
      <w:lvlText w:val="·"/>
      <w:lvlJc w:val="left"/>
      <w:pPr>
        <w:ind w:left="360" w:hanging="360"/>
      </w:pPr>
      <w:rPr>
        <w:rFonts w:ascii="Symbol" w:hAnsi="Symbol" w:hint="default"/>
      </w:rPr>
    </w:lvl>
    <w:lvl w:ilvl="1" w:tplc="55308522">
      <w:start w:val="1"/>
      <w:numFmt w:val="bullet"/>
      <w:lvlText w:val="o"/>
      <w:lvlJc w:val="left"/>
      <w:pPr>
        <w:ind w:left="1080" w:hanging="360"/>
      </w:pPr>
      <w:rPr>
        <w:rFonts w:ascii="Courier New" w:hAnsi="Courier New" w:hint="default"/>
      </w:rPr>
    </w:lvl>
    <w:lvl w:ilvl="2" w:tplc="F24CD49A">
      <w:start w:val="1"/>
      <w:numFmt w:val="bullet"/>
      <w:lvlText w:val=""/>
      <w:lvlJc w:val="left"/>
      <w:pPr>
        <w:ind w:left="1800" w:hanging="360"/>
      </w:pPr>
      <w:rPr>
        <w:rFonts w:ascii="Wingdings" w:hAnsi="Wingdings" w:hint="default"/>
      </w:rPr>
    </w:lvl>
    <w:lvl w:ilvl="3" w:tplc="C7EE6834">
      <w:start w:val="1"/>
      <w:numFmt w:val="bullet"/>
      <w:lvlText w:val=""/>
      <w:lvlJc w:val="left"/>
      <w:pPr>
        <w:ind w:left="2520" w:hanging="360"/>
      </w:pPr>
      <w:rPr>
        <w:rFonts w:ascii="Symbol" w:hAnsi="Symbol" w:hint="default"/>
      </w:rPr>
    </w:lvl>
    <w:lvl w:ilvl="4" w:tplc="1562A112">
      <w:start w:val="1"/>
      <w:numFmt w:val="bullet"/>
      <w:lvlText w:val="o"/>
      <w:lvlJc w:val="left"/>
      <w:pPr>
        <w:ind w:left="3240" w:hanging="360"/>
      </w:pPr>
      <w:rPr>
        <w:rFonts w:ascii="Courier New" w:hAnsi="Courier New" w:hint="default"/>
      </w:rPr>
    </w:lvl>
    <w:lvl w:ilvl="5" w:tplc="B164CFF2">
      <w:start w:val="1"/>
      <w:numFmt w:val="bullet"/>
      <w:lvlText w:val=""/>
      <w:lvlJc w:val="left"/>
      <w:pPr>
        <w:ind w:left="3960" w:hanging="360"/>
      </w:pPr>
      <w:rPr>
        <w:rFonts w:ascii="Wingdings" w:hAnsi="Wingdings" w:hint="default"/>
      </w:rPr>
    </w:lvl>
    <w:lvl w:ilvl="6" w:tplc="FDA2F14E">
      <w:start w:val="1"/>
      <w:numFmt w:val="bullet"/>
      <w:lvlText w:val=""/>
      <w:lvlJc w:val="left"/>
      <w:pPr>
        <w:ind w:left="4680" w:hanging="360"/>
      </w:pPr>
      <w:rPr>
        <w:rFonts w:ascii="Symbol" w:hAnsi="Symbol" w:hint="default"/>
      </w:rPr>
    </w:lvl>
    <w:lvl w:ilvl="7" w:tplc="CE24B3D6">
      <w:start w:val="1"/>
      <w:numFmt w:val="bullet"/>
      <w:lvlText w:val="o"/>
      <w:lvlJc w:val="left"/>
      <w:pPr>
        <w:ind w:left="5400" w:hanging="360"/>
      </w:pPr>
      <w:rPr>
        <w:rFonts w:ascii="Courier New" w:hAnsi="Courier New" w:hint="default"/>
      </w:rPr>
    </w:lvl>
    <w:lvl w:ilvl="8" w:tplc="B32EA170">
      <w:start w:val="1"/>
      <w:numFmt w:val="bullet"/>
      <w:lvlText w:val=""/>
      <w:lvlJc w:val="left"/>
      <w:pPr>
        <w:ind w:left="6120" w:hanging="360"/>
      </w:pPr>
      <w:rPr>
        <w:rFonts w:ascii="Wingdings" w:hAnsi="Wingdings" w:hint="default"/>
      </w:rPr>
    </w:lvl>
  </w:abstractNum>
  <w:abstractNum w:abstractNumId="301" w15:restartNumberingAfterBreak="0">
    <w:nsid w:val="70F231D6"/>
    <w:multiLevelType w:val="hybridMultilevel"/>
    <w:tmpl w:val="FFFFFFFF"/>
    <w:lvl w:ilvl="0" w:tplc="3C1A22BE">
      <w:start w:val="1"/>
      <w:numFmt w:val="bullet"/>
      <w:lvlText w:val="·"/>
      <w:lvlJc w:val="left"/>
      <w:pPr>
        <w:ind w:left="360" w:hanging="360"/>
      </w:pPr>
      <w:rPr>
        <w:rFonts w:ascii="Symbol" w:hAnsi="Symbol" w:hint="default"/>
      </w:rPr>
    </w:lvl>
    <w:lvl w:ilvl="1" w:tplc="49C473D8">
      <w:start w:val="1"/>
      <w:numFmt w:val="bullet"/>
      <w:lvlText w:val="o"/>
      <w:lvlJc w:val="left"/>
      <w:pPr>
        <w:ind w:left="1080" w:hanging="360"/>
      </w:pPr>
      <w:rPr>
        <w:rFonts w:ascii="Courier New" w:hAnsi="Courier New" w:hint="default"/>
      </w:rPr>
    </w:lvl>
    <w:lvl w:ilvl="2" w:tplc="924AC06E">
      <w:start w:val="1"/>
      <w:numFmt w:val="bullet"/>
      <w:lvlText w:val=""/>
      <w:lvlJc w:val="left"/>
      <w:pPr>
        <w:ind w:left="1800" w:hanging="360"/>
      </w:pPr>
      <w:rPr>
        <w:rFonts w:ascii="Wingdings" w:hAnsi="Wingdings" w:hint="default"/>
      </w:rPr>
    </w:lvl>
    <w:lvl w:ilvl="3" w:tplc="C7F22884">
      <w:start w:val="1"/>
      <w:numFmt w:val="bullet"/>
      <w:lvlText w:val=""/>
      <w:lvlJc w:val="left"/>
      <w:pPr>
        <w:ind w:left="2520" w:hanging="360"/>
      </w:pPr>
      <w:rPr>
        <w:rFonts w:ascii="Symbol" w:hAnsi="Symbol" w:hint="default"/>
      </w:rPr>
    </w:lvl>
    <w:lvl w:ilvl="4" w:tplc="D360C414">
      <w:start w:val="1"/>
      <w:numFmt w:val="bullet"/>
      <w:lvlText w:val="o"/>
      <w:lvlJc w:val="left"/>
      <w:pPr>
        <w:ind w:left="3240" w:hanging="360"/>
      </w:pPr>
      <w:rPr>
        <w:rFonts w:ascii="Courier New" w:hAnsi="Courier New" w:hint="default"/>
      </w:rPr>
    </w:lvl>
    <w:lvl w:ilvl="5" w:tplc="ECF64FCA">
      <w:start w:val="1"/>
      <w:numFmt w:val="bullet"/>
      <w:lvlText w:val=""/>
      <w:lvlJc w:val="left"/>
      <w:pPr>
        <w:ind w:left="3960" w:hanging="360"/>
      </w:pPr>
      <w:rPr>
        <w:rFonts w:ascii="Wingdings" w:hAnsi="Wingdings" w:hint="default"/>
      </w:rPr>
    </w:lvl>
    <w:lvl w:ilvl="6" w:tplc="7FE27EDE">
      <w:start w:val="1"/>
      <w:numFmt w:val="bullet"/>
      <w:lvlText w:val=""/>
      <w:lvlJc w:val="left"/>
      <w:pPr>
        <w:ind w:left="4680" w:hanging="360"/>
      </w:pPr>
      <w:rPr>
        <w:rFonts w:ascii="Symbol" w:hAnsi="Symbol" w:hint="default"/>
      </w:rPr>
    </w:lvl>
    <w:lvl w:ilvl="7" w:tplc="A8BCAB1C">
      <w:start w:val="1"/>
      <w:numFmt w:val="bullet"/>
      <w:lvlText w:val="o"/>
      <w:lvlJc w:val="left"/>
      <w:pPr>
        <w:ind w:left="5400" w:hanging="360"/>
      </w:pPr>
      <w:rPr>
        <w:rFonts w:ascii="Courier New" w:hAnsi="Courier New" w:hint="default"/>
      </w:rPr>
    </w:lvl>
    <w:lvl w:ilvl="8" w:tplc="F364F6F6">
      <w:start w:val="1"/>
      <w:numFmt w:val="bullet"/>
      <w:lvlText w:val=""/>
      <w:lvlJc w:val="left"/>
      <w:pPr>
        <w:ind w:left="6120" w:hanging="360"/>
      </w:pPr>
      <w:rPr>
        <w:rFonts w:ascii="Wingdings" w:hAnsi="Wingdings" w:hint="default"/>
      </w:rPr>
    </w:lvl>
  </w:abstractNum>
  <w:abstractNum w:abstractNumId="302" w15:restartNumberingAfterBreak="0">
    <w:nsid w:val="71546594"/>
    <w:multiLevelType w:val="hybridMultilevel"/>
    <w:tmpl w:val="40B28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3" w15:restartNumberingAfterBreak="0">
    <w:nsid w:val="716C7E95"/>
    <w:multiLevelType w:val="hybridMultilevel"/>
    <w:tmpl w:val="D7321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4" w15:restartNumberingAfterBreak="0">
    <w:nsid w:val="717264DA"/>
    <w:multiLevelType w:val="hybridMultilevel"/>
    <w:tmpl w:val="FFFFFFFF"/>
    <w:lvl w:ilvl="0" w:tplc="B462B26A">
      <w:start w:val="1"/>
      <w:numFmt w:val="bullet"/>
      <w:lvlText w:val="·"/>
      <w:lvlJc w:val="left"/>
      <w:pPr>
        <w:ind w:left="360" w:hanging="360"/>
      </w:pPr>
      <w:rPr>
        <w:rFonts w:ascii="Symbol" w:hAnsi="Symbol" w:hint="default"/>
      </w:rPr>
    </w:lvl>
    <w:lvl w:ilvl="1" w:tplc="F9608054">
      <w:start w:val="1"/>
      <w:numFmt w:val="bullet"/>
      <w:lvlText w:val="o"/>
      <w:lvlJc w:val="left"/>
      <w:pPr>
        <w:ind w:left="1080" w:hanging="360"/>
      </w:pPr>
      <w:rPr>
        <w:rFonts w:ascii="Courier New" w:hAnsi="Courier New" w:hint="default"/>
      </w:rPr>
    </w:lvl>
    <w:lvl w:ilvl="2" w:tplc="77D465DC">
      <w:start w:val="1"/>
      <w:numFmt w:val="bullet"/>
      <w:lvlText w:val=""/>
      <w:lvlJc w:val="left"/>
      <w:pPr>
        <w:ind w:left="1800" w:hanging="360"/>
      </w:pPr>
      <w:rPr>
        <w:rFonts w:ascii="Wingdings" w:hAnsi="Wingdings" w:hint="default"/>
      </w:rPr>
    </w:lvl>
    <w:lvl w:ilvl="3" w:tplc="09E4B682">
      <w:start w:val="1"/>
      <w:numFmt w:val="bullet"/>
      <w:lvlText w:val=""/>
      <w:lvlJc w:val="left"/>
      <w:pPr>
        <w:ind w:left="2520" w:hanging="360"/>
      </w:pPr>
      <w:rPr>
        <w:rFonts w:ascii="Symbol" w:hAnsi="Symbol" w:hint="default"/>
      </w:rPr>
    </w:lvl>
    <w:lvl w:ilvl="4" w:tplc="187C98A2">
      <w:start w:val="1"/>
      <w:numFmt w:val="bullet"/>
      <w:lvlText w:val="o"/>
      <w:lvlJc w:val="left"/>
      <w:pPr>
        <w:ind w:left="3240" w:hanging="360"/>
      </w:pPr>
      <w:rPr>
        <w:rFonts w:ascii="Courier New" w:hAnsi="Courier New" w:hint="default"/>
      </w:rPr>
    </w:lvl>
    <w:lvl w:ilvl="5" w:tplc="FAB6A8DA">
      <w:start w:val="1"/>
      <w:numFmt w:val="bullet"/>
      <w:lvlText w:val=""/>
      <w:lvlJc w:val="left"/>
      <w:pPr>
        <w:ind w:left="3960" w:hanging="360"/>
      </w:pPr>
      <w:rPr>
        <w:rFonts w:ascii="Wingdings" w:hAnsi="Wingdings" w:hint="default"/>
      </w:rPr>
    </w:lvl>
    <w:lvl w:ilvl="6" w:tplc="2F3EEB48">
      <w:start w:val="1"/>
      <w:numFmt w:val="bullet"/>
      <w:lvlText w:val=""/>
      <w:lvlJc w:val="left"/>
      <w:pPr>
        <w:ind w:left="4680" w:hanging="360"/>
      </w:pPr>
      <w:rPr>
        <w:rFonts w:ascii="Symbol" w:hAnsi="Symbol" w:hint="default"/>
      </w:rPr>
    </w:lvl>
    <w:lvl w:ilvl="7" w:tplc="C35C1552">
      <w:start w:val="1"/>
      <w:numFmt w:val="bullet"/>
      <w:lvlText w:val="o"/>
      <w:lvlJc w:val="left"/>
      <w:pPr>
        <w:ind w:left="5400" w:hanging="360"/>
      </w:pPr>
      <w:rPr>
        <w:rFonts w:ascii="Courier New" w:hAnsi="Courier New" w:hint="default"/>
      </w:rPr>
    </w:lvl>
    <w:lvl w:ilvl="8" w:tplc="35CC2376">
      <w:start w:val="1"/>
      <w:numFmt w:val="bullet"/>
      <w:lvlText w:val=""/>
      <w:lvlJc w:val="left"/>
      <w:pPr>
        <w:ind w:left="6120" w:hanging="360"/>
      </w:pPr>
      <w:rPr>
        <w:rFonts w:ascii="Wingdings" w:hAnsi="Wingdings" w:hint="default"/>
      </w:rPr>
    </w:lvl>
  </w:abstractNum>
  <w:abstractNum w:abstractNumId="305" w15:restartNumberingAfterBreak="0">
    <w:nsid w:val="718C51F6"/>
    <w:multiLevelType w:val="hybridMultilevel"/>
    <w:tmpl w:val="3D205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6" w15:restartNumberingAfterBreak="0">
    <w:nsid w:val="71AD4780"/>
    <w:multiLevelType w:val="hybridMultilevel"/>
    <w:tmpl w:val="90AE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2271CB0"/>
    <w:multiLevelType w:val="hybridMultilevel"/>
    <w:tmpl w:val="809E9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8" w15:restartNumberingAfterBreak="0">
    <w:nsid w:val="726F5623"/>
    <w:multiLevelType w:val="hybridMultilevel"/>
    <w:tmpl w:val="964EC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9" w15:restartNumberingAfterBreak="0">
    <w:nsid w:val="72F56243"/>
    <w:multiLevelType w:val="hybridMultilevel"/>
    <w:tmpl w:val="D0C01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0" w15:restartNumberingAfterBreak="0">
    <w:nsid w:val="745D6939"/>
    <w:multiLevelType w:val="hybridMultilevel"/>
    <w:tmpl w:val="FFFFFFFF"/>
    <w:lvl w:ilvl="0" w:tplc="14601AEA">
      <w:start w:val="1"/>
      <w:numFmt w:val="bullet"/>
      <w:lvlText w:val="·"/>
      <w:lvlJc w:val="left"/>
      <w:pPr>
        <w:ind w:left="720" w:hanging="360"/>
      </w:pPr>
      <w:rPr>
        <w:rFonts w:ascii="Symbol" w:hAnsi="Symbol" w:hint="default"/>
      </w:rPr>
    </w:lvl>
    <w:lvl w:ilvl="1" w:tplc="E00A95F0">
      <w:start w:val="1"/>
      <w:numFmt w:val="bullet"/>
      <w:lvlText w:val="o"/>
      <w:lvlJc w:val="left"/>
      <w:pPr>
        <w:ind w:left="1440" w:hanging="360"/>
      </w:pPr>
      <w:rPr>
        <w:rFonts w:ascii="Courier New" w:hAnsi="Courier New" w:hint="default"/>
      </w:rPr>
    </w:lvl>
    <w:lvl w:ilvl="2" w:tplc="8F0C3E2E">
      <w:start w:val="1"/>
      <w:numFmt w:val="bullet"/>
      <w:lvlText w:val=""/>
      <w:lvlJc w:val="left"/>
      <w:pPr>
        <w:ind w:left="2160" w:hanging="360"/>
      </w:pPr>
      <w:rPr>
        <w:rFonts w:ascii="Wingdings" w:hAnsi="Wingdings" w:hint="default"/>
      </w:rPr>
    </w:lvl>
    <w:lvl w:ilvl="3" w:tplc="D6A61E3C">
      <w:start w:val="1"/>
      <w:numFmt w:val="bullet"/>
      <w:lvlText w:val=""/>
      <w:lvlJc w:val="left"/>
      <w:pPr>
        <w:ind w:left="2880" w:hanging="360"/>
      </w:pPr>
      <w:rPr>
        <w:rFonts w:ascii="Symbol" w:hAnsi="Symbol" w:hint="default"/>
      </w:rPr>
    </w:lvl>
    <w:lvl w:ilvl="4" w:tplc="3626E1B2">
      <w:start w:val="1"/>
      <w:numFmt w:val="bullet"/>
      <w:lvlText w:val="o"/>
      <w:lvlJc w:val="left"/>
      <w:pPr>
        <w:ind w:left="3600" w:hanging="360"/>
      </w:pPr>
      <w:rPr>
        <w:rFonts w:ascii="Courier New" w:hAnsi="Courier New" w:hint="default"/>
      </w:rPr>
    </w:lvl>
    <w:lvl w:ilvl="5" w:tplc="07406700">
      <w:start w:val="1"/>
      <w:numFmt w:val="bullet"/>
      <w:lvlText w:val=""/>
      <w:lvlJc w:val="left"/>
      <w:pPr>
        <w:ind w:left="4320" w:hanging="360"/>
      </w:pPr>
      <w:rPr>
        <w:rFonts w:ascii="Wingdings" w:hAnsi="Wingdings" w:hint="default"/>
      </w:rPr>
    </w:lvl>
    <w:lvl w:ilvl="6" w:tplc="C76C3752">
      <w:start w:val="1"/>
      <w:numFmt w:val="bullet"/>
      <w:lvlText w:val=""/>
      <w:lvlJc w:val="left"/>
      <w:pPr>
        <w:ind w:left="5040" w:hanging="360"/>
      </w:pPr>
      <w:rPr>
        <w:rFonts w:ascii="Symbol" w:hAnsi="Symbol" w:hint="default"/>
      </w:rPr>
    </w:lvl>
    <w:lvl w:ilvl="7" w:tplc="9CF86084">
      <w:start w:val="1"/>
      <w:numFmt w:val="bullet"/>
      <w:lvlText w:val="o"/>
      <w:lvlJc w:val="left"/>
      <w:pPr>
        <w:ind w:left="5760" w:hanging="360"/>
      </w:pPr>
      <w:rPr>
        <w:rFonts w:ascii="Courier New" w:hAnsi="Courier New" w:hint="default"/>
      </w:rPr>
    </w:lvl>
    <w:lvl w:ilvl="8" w:tplc="08342250">
      <w:start w:val="1"/>
      <w:numFmt w:val="bullet"/>
      <w:lvlText w:val=""/>
      <w:lvlJc w:val="left"/>
      <w:pPr>
        <w:ind w:left="6480" w:hanging="360"/>
      </w:pPr>
      <w:rPr>
        <w:rFonts w:ascii="Wingdings" w:hAnsi="Wingdings" w:hint="default"/>
      </w:rPr>
    </w:lvl>
  </w:abstractNum>
  <w:abstractNum w:abstractNumId="311" w15:restartNumberingAfterBreak="0">
    <w:nsid w:val="75A16B76"/>
    <w:multiLevelType w:val="hybridMultilevel"/>
    <w:tmpl w:val="DD92C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2" w15:restartNumberingAfterBreak="0">
    <w:nsid w:val="75F20A6C"/>
    <w:multiLevelType w:val="hybridMultilevel"/>
    <w:tmpl w:val="13645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3" w15:restartNumberingAfterBreak="0">
    <w:nsid w:val="763A5EA8"/>
    <w:multiLevelType w:val="hybridMultilevel"/>
    <w:tmpl w:val="0F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4" w15:restartNumberingAfterBreak="0">
    <w:nsid w:val="76601D49"/>
    <w:multiLevelType w:val="hybridMultilevel"/>
    <w:tmpl w:val="FFFFFFFF"/>
    <w:lvl w:ilvl="0" w:tplc="87266778">
      <w:start w:val="1"/>
      <w:numFmt w:val="bullet"/>
      <w:lvlText w:val="·"/>
      <w:lvlJc w:val="left"/>
      <w:pPr>
        <w:ind w:left="720" w:hanging="360"/>
      </w:pPr>
      <w:rPr>
        <w:rFonts w:ascii="Symbol" w:hAnsi="Symbol" w:hint="default"/>
      </w:rPr>
    </w:lvl>
    <w:lvl w:ilvl="1" w:tplc="C9E25C08">
      <w:start w:val="1"/>
      <w:numFmt w:val="bullet"/>
      <w:lvlText w:val="o"/>
      <w:lvlJc w:val="left"/>
      <w:pPr>
        <w:ind w:left="1440" w:hanging="360"/>
      </w:pPr>
      <w:rPr>
        <w:rFonts w:ascii="Courier New" w:hAnsi="Courier New" w:hint="default"/>
      </w:rPr>
    </w:lvl>
    <w:lvl w:ilvl="2" w:tplc="314446DE">
      <w:start w:val="1"/>
      <w:numFmt w:val="bullet"/>
      <w:lvlText w:val=""/>
      <w:lvlJc w:val="left"/>
      <w:pPr>
        <w:ind w:left="2160" w:hanging="360"/>
      </w:pPr>
      <w:rPr>
        <w:rFonts w:ascii="Wingdings" w:hAnsi="Wingdings" w:hint="default"/>
      </w:rPr>
    </w:lvl>
    <w:lvl w:ilvl="3" w:tplc="2E34C9EE">
      <w:start w:val="1"/>
      <w:numFmt w:val="bullet"/>
      <w:lvlText w:val=""/>
      <w:lvlJc w:val="left"/>
      <w:pPr>
        <w:ind w:left="2880" w:hanging="360"/>
      </w:pPr>
      <w:rPr>
        <w:rFonts w:ascii="Symbol" w:hAnsi="Symbol" w:hint="default"/>
      </w:rPr>
    </w:lvl>
    <w:lvl w:ilvl="4" w:tplc="25E2BD10">
      <w:start w:val="1"/>
      <w:numFmt w:val="bullet"/>
      <w:lvlText w:val="o"/>
      <w:lvlJc w:val="left"/>
      <w:pPr>
        <w:ind w:left="3600" w:hanging="360"/>
      </w:pPr>
      <w:rPr>
        <w:rFonts w:ascii="Courier New" w:hAnsi="Courier New" w:hint="default"/>
      </w:rPr>
    </w:lvl>
    <w:lvl w:ilvl="5" w:tplc="CA268CF6">
      <w:start w:val="1"/>
      <w:numFmt w:val="bullet"/>
      <w:lvlText w:val=""/>
      <w:lvlJc w:val="left"/>
      <w:pPr>
        <w:ind w:left="4320" w:hanging="360"/>
      </w:pPr>
      <w:rPr>
        <w:rFonts w:ascii="Wingdings" w:hAnsi="Wingdings" w:hint="default"/>
      </w:rPr>
    </w:lvl>
    <w:lvl w:ilvl="6" w:tplc="4DD8E58E">
      <w:start w:val="1"/>
      <w:numFmt w:val="bullet"/>
      <w:lvlText w:val=""/>
      <w:lvlJc w:val="left"/>
      <w:pPr>
        <w:ind w:left="5040" w:hanging="360"/>
      </w:pPr>
      <w:rPr>
        <w:rFonts w:ascii="Symbol" w:hAnsi="Symbol" w:hint="default"/>
      </w:rPr>
    </w:lvl>
    <w:lvl w:ilvl="7" w:tplc="2A36A6B8">
      <w:start w:val="1"/>
      <w:numFmt w:val="bullet"/>
      <w:lvlText w:val="o"/>
      <w:lvlJc w:val="left"/>
      <w:pPr>
        <w:ind w:left="5760" w:hanging="360"/>
      </w:pPr>
      <w:rPr>
        <w:rFonts w:ascii="Courier New" w:hAnsi="Courier New" w:hint="default"/>
      </w:rPr>
    </w:lvl>
    <w:lvl w:ilvl="8" w:tplc="6DEC5906">
      <w:start w:val="1"/>
      <w:numFmt w:val="bullet"/>
      <w:lvlText w:val=""/>
      <w:lvlJc w:val="left"/>
      <w:pPr>
        <w:ind w:left="6480" w:hanging="360"/>
      </w:pPr>
      <w:rPr>
        <w:rFonts w:ascii="Wingdings" w:hAnsi="Wingdings" w:hint="default"/>
      </w:rPr>
    </w:lvl>
  </w:abstractNum>
  <w:abstractNum w:abstractNumId="315" w15:restartNumberingAfterBreak="0">
    <w:nsid w:val="768F23A8"/>
    <w:multiLevelType w:val="hybridMultilevel"/>
    <w:tmpl w:val="23B8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6AB5B6E"/>
    <w:multiLevelType w:val="hybridMultilevel"/>
    <w:tmpl w:val="B14EB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7" w15:restartNumberingAfterBreak="0">
    <w:nsid w:val="77373FFA"/>
    <w:multiLevelType w:val="hybridMultilevel"/>
    <w:tmpl w:val="4A6E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8" w15:restartNumberingAfterBreak="0">
    <w:nsid w:val="77413B3D"/>
    <w:multiLevelType w:val="hybridMultilevel"/>
    <w:tmpl w:val="B4E8B00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9" w15:restartNumberingAfterBreak="0">
    <w:nsid w:val="7784478F"/>
    <w:multiLevelType w:val="hybridMultilevel"/>
    <w:tmpl w:val="DEE0F2F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0" w15:restartNumberingAfterBreak="0">
    <w:nsid w:val="78E24A89"/>
    <w:multiLevelType w:val="hybridMultilevel"/>
    <w:tmpl w:val="5080A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1" w15:restartNumberingAfterBreak="0">
    <w:nsid w:val="790D4A06"/>
    <w:multiLevelType w:val="hybridMultilevel"/>
    <w:tmpl w:val="D6B09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2" w15:restartNumberingAfterBreak="0">
    <w:nsid w:val="79E94262"/>
    <w:multiLevelType w:val="hybridMultilevel"/>
    <w:tmpl w:val="150A9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3" w15:restartNumberingAfterBreak="0">
    <w:nsid w:val="7AB42921"/>
    <w:multiLevelType w:val="hybridMultilevel"/>
    <w:tmpl w:val="3A367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4" w15:restartNumberingAfterBreak="0">
    <w:nsid w:val="7B764377"/>
    <w:multiLevelType w:val="hybridMultilevel"/>
    <w:tmpl w:val="FFFFFFFF"/>
    <w:lvl w:ilvl="0" w:tplc="F2D6A20E">
      <w:start w:val="1"/>
      <w:numFmt w:val="bullet"/>
      <w:lvlText w:val="·"/>
      <w:lvlJc w:val="left"/>
      <w:pPr>
        <w:ind w:left="360" w:hanging="360"/>
      </w:pPr>
      <w:rPr>
        <w:rFonts w:ascii="Symbol" w:hAnsi="Symbol" w:hint="default"/>
      </w:rPr>
    </w:lvl>
    <w:lvl w:ilvl="1" w:tplc="978E94E6">
      <w:start w:val="1"/>
      <w:numFmt w:val="bullet"/>
      <w:lvlText w:val="o"/>
      <w:lvlJc w:val="left"/>
      <w:pPr>
        <w:ind w:left="1080" w:hanging="360"/>
      </w:pPr>
      <w:rPr>
        <w:rFonts w:ascii="Courier New" w:hAnsi="Courier New" w:hint="default"/>
      </w:rPr>
    </w:lvl>
    <w:lvl w:ilvl="2" w:tplc="C7C4313A">
      <w:start w:val="1"/>
      <w:numFmt w:val="bullet"/>
      <w:lvlText w:val=""/>
      <w:lvlJc w:val="left"/>
      <w:pPr>
        <w:ind w:left="1800" w:hanging="360"/>
      </w:pPr>
      <w:rPr>
        <w:rFonts w:ascii="Wingdings" w:hAnsi="Wingdings" w:hint="default"/>
      </w:rPr>
    </w:lvl>
    <w:lvl w:ilvl="3" w:tplc="E3E428DA">
      <w:start w:val="1"/>
      <w:numFmt w:val="bullet"/>
      <w:lvlText w:val=""/>
      <w:lvlJc w:val="left"/>
      <w:pPr>
        <w:ind w:left="2520" w:hanging="360"/>
      </w:pPr>
      <w:rPr>
        <w:rFonts w:ascii="Symbol" w:hAnsi="Symbol" w:hint="default"/>
      </w:rPr>
    </w:lvl>
    <w:lvl w:ilvl="4" w:tplc="AF561054">
      <w:start w:val="1"/>
      <w:numFmt w:val="bullet"/>
      <w:lvlText w:val="o"/>
      <w:lvlJc w:val="left"/>
      <w:pPr>
        <w:ind w:left="3240" w:hanging="360"/>
      </w:pPr>
      <w:rPr>
        <w:rFonts w:ascii="Courier New" w:hAnsi="Courier New" w:hint="default"/>
      </w:rPr>
    </w:lvl>
    <w:lvl w:ilvl="5" w:tplc="DB2E2022">
      <w:start w:val="1"/>
      <w:numFmt w:val="bullet"/>
      <w:lvlText w:val=""/>
      <w:lvlJc w:val="left"/>
      <w:pPr>
        <w:ind w:left="3960" w:hanging="360"/>
      </w:pPr>
      <w:rPr>
        <w:rFonts w:ascii="Wingdings" w:hAnsi="Wingdings" w:hint="default"/>
      </w:rPr>
    </w:lvl>
    <w:lvl w:ilvl="6" w:tplc="35D8304E">
      <w:start w:val="1"/>
      <w:numFmt w:val="bullet"/>
      <w:lvlText w:val=""/>
      <w:lvlJc w:val="left"/>
      <w:pPr>
        <w:ind w:left="4680" w:hanging="360"/>
      </w:pPr>
      <w:rPr>
        <w:rFonts w:ascii="Symbol" w:hAnsi="Symbol" w:hint="default"/>
      </w:rPr>
    </w:lvl>
    <w:lvl w:ilvl="7" w:tplc="9D8227FC">
      <w:start w:val="1"/>
      <w:numFmt w:val="bullet"/>
      <w:lvlText w:val="o"/>
      <w:lvlJc w:val="left"/>
      <w:pPr>
        <w:ind w:left="5400" w:hanging="360"/>
      </w:pPr>
      <w:rPr>
        <w:rFonts w:ascii="Courier New" w:hAnsi="Courier New" w:hint="default"/>
      </w:rPr>
    </w:lvl>
    <w:lvl w:ilvl="8" w:tplc="72A4668C">
      <w:start w:val="1"/>
      <w:numFmt w:val="bullet"/>
      <w:lvlText w:val=""/>
      <w:lvlJc w:val="left"/>
      <w:pPr>
        <w:ind w:left="6120" w:hanging="360"/>
      </w:pPr>
      <w:rPr>
        <w:rFonts w:ascii="Wingdings" w:hAnsi="Wingdings" w:hint="default"/>
      </w:rPr>
    </w:lvl>
  </w:abstractNum>
  <w:abstractNum w:abstractNumId="325" w15:restartNumberingAfterBreak="0">
    <w:nsid w:val="7B8C0DD7"/>
    <w:multiLevelType w:val="hybridMultilevel"/>
    <w:tmpl w:val="3F2A8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6" w15:restartNumberingAfterBreak="0">
    <w:nsid w:val="7C1D4960"/>
    <w:multiLevelType w:val="hybridMultilevel"/>
    <w:tmpl w:val="5DECA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7" w15:restartNumberingAfterBreak="0">
    <w:nsid w:val="7C3D7562"/>
    <w:multiLevelType w:val="hybridMultilevel"/>
    <w:tmpl w:val="F998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8" w15:restartNumberingAfterBreak="0">
    <w:nsid w:val="7D0626D6"/>
    <w:multiLevelType w:val="hybridMultilevel"/>
    <w:tmpl w:val="13CAA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9" w15:restartNumberingAfterBreak="0">
    <w:nsid w:val="7D284A7A"/>
    <w:multiLevelType w:val="hybridMultilevel"/>
    <w:tmpl w:val="5090F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0" w15:restartNumberingAfterBreak="0">
    <w:nsid w:val="7DF43B95"/>
    <w:multiLevelType w:val="hybridMultilevel"/>
    <w:tmpl w:val="F3A00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1" w15:restartNumberingAfterBreak="0">
    <w:nsid w:val="7E277AD5"/>
    <w:multiLevelType w:val="hybridMultilevel"/>
    <w:tmpl w:val="F5BA73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2" w15:restartNumberingAfterBreak="0">
    <w:nsid w:val="7E7118CF"/>
    <w:multiLevelType w:val="hybridMultilevel"/>
    <w:tmpl w:val="EC9EF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3" w15:restartNumberingAfterBreak="0">
    <w:nsid w:val="7E92042A"/>
    <w:multiLevelType w:val="hybridMultilevel"/>
    <w:tmpl w:val="01149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4" w15:restartNumberingAfterBreak="0">
    <w:nsid w:val="7ED033C5"/>
    <w:multiLevelType w:val="hybridMultilevel"/>
    <w:tmpl w:val="90E8AA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5" w15:restartNumberingAfterBreak="0">
    <w:nsid w:val="7F3571B0"/>
    <w:multiLevelType w:val="hybridMultilevel"/>
    <w:tmpl w:val="9BC66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6" w15:restartNumberingAfterBreak="0">
    <w:nsid w:val="7FC157D8"/>
    <w:multiLevelType w:val="hybridMultilevel"/>
    <w:tmpl w:val="96E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186"/>
  </w:num>
  <w:num w:numId="3">
    <w:abstractNumId w:val="149"/>
  </w:num>
  <w:num w:numId="4">
    <w:abstractNumId w:val="331"/>
  </w:num>
  <w:num w:numId="5">
    <w:abstractNumId w:val="77"/>
  </w:num>
  <w:num w:numId="6">
    <w:abstractNumId w:val="267"/>
  </w:num>
  <w:num w:numId="7">
    <w:abstractNumId w:val="27"/>
  </w:num>
  <w:num w:numId="8">
    <w:abstractNumId w:val="286"/>
  </w:num>
  <w:num w:numId="9">
    <w:abstractNumId w:val="39"/>
  </w:num>
  <w:num w:numId="10">
    <w:abstractNumId w:val="23"/>
  </w:num>
  <w:num w:numId="11">
    <w:abstractNumId w:val="126"/>
  </w:num>
  <w:num w:numId="12">
    <w:abstractNumId w:val="98"/>
  </w:num>
  <w:num w:numId="13">
    <w:abstractNumId w:val="223"/>
  </w:num>
  <w:num w:numId="14">
    <w:abstractNumId w:val="289"/>
  </w:num>
  <w:num w:numId="15">
    <w:abstractNumId w:val="263"/>
  </w:num>
  <w:num w:numId="16">
    <w:abstractNumId w:val="322"/>
  </w:num>
  <w:num w:numId="17">
    <w:abstractNumId w:val="40"/>
  </w:num>
  <w:num w:numId="18">
    <w:abstractNumId w:val="210"/>
  </w:num>
  <w:num w:numId="19">
    <w:abstractNumId w:val="233"/>
  </w:num>
  <w:num w:numId="20">
    <w:abstractNumId w:val="47"/>
  </w:num>
  <w:num w:numId="21">
    <w:abstractNumId w:val="198"/>
  </w:num>
  <w:num w:numId="22">
    <w:abstractNumId w:val="19"/>
  </w:num>
  <w:num w:numId="23">
    <w:abstractNumId w:val="238"/>
  </w:num>
  <w:num w:numId="24">
    <w:abstractNumId w:val="102"/>
  </w:num>
  <w:num w:numId="25">
    <w:abstractNumId w:val="150"/>
  </w:num>
  <w:num w:numId="26">
    <w:abstractNumId w:val="36"/>
  </w:num>
  <w:num w:numId="27">
    <w:abstractNumId w:val="254"/>
  </w:num>
  <w:num w:numId="28">
    <w:abstractNumId w:val="244"/>
  </w:num>
  <w:num w:numId="29">
    <w:abstractNumId w:val="130"/>
  </w:num>
  <w:num w:numId="30">
    <w:abstractNumId w:val="97"/>
  </w:num>
  <w:num w:numId="31">
    <w:abstractNumId w:val="302"/>
  </w:num>
  <w:num w:numId="32">
    <w:abstractNumId w:val="195"/>
  </w:num>
  <w:num w:numId="33">
    <w:abstractNumId w:val="66"/>
  </w:num>
  <w:num w:numId="34">
    <w:abstractNumId w:val="174"/>
  </w:num>
  <w:num w:numId="35">
    <w:abstractNumId w:val="71"/>
  </w:num>
  <w:num w:numId="36">
    <w:abstractNumId w:val="74"/>
  </w:num>
  <w:num w:numId="37">
    <w:abstractNumId w:val="146"/>
  </w:num>
  <w:num w:numId="38">
    <w:abstractNumId w:val="162"/>
  </w:num>
  <w:num w:numId="39">
    <w:abstractNumId w:val="96"/>
  </w:num>
  <w:num w:numId="40">
    <w:abstractNumId w:val="303"/>
  </w:num>
  <w:num w:numId="41">
    <w:abstractNumId w:val="294"/>
  </w:num>
  <w:num w:numId="42">
    <w:abstractNumId w:val="75"/>
  </w:num>
  <w:num w:numId="43">
    <w:abstractNumId w:val="119"/>
  </w:num>
  <w:num w:numId="44">
    <w:abstractNumId w:val="82"/>
  </w:num>
  <w:num w:numId="45">
    <w:abstractNumId w:val="192"/>
  </w:num>
  <w:num w:numId="46">
    <w:abstractNumId w:val="142"/>
  </w:num>
  <w:num w:numId="47">
    <w:abstractNumId w:val="196"/>
  </w:num>
  <w:num w:numId="48">
    <w:abstractNumId w:val="31"/>
  </w:num>
  <w:num w:numId="49">
    <w:abstractNumId w:val="133"/>
  </w:num>
  <w:num w:numId="50">
    <w:abstractNumId w:val="51"/>
  </w:num>
  <w:num w:numId="51">
    <w:abstractNumId w:val="179"/>
  </w:num>
  <w:num w:numId="52">
    <w:abstractNumId w:val="335"/>
  </w:num>
  <w:num w:numId="53">
    <w:abstractNumId w:val="64"/>
  </w:num>
  <w:num w:numId="54">
    <w:abstractNumId w:val="305"/>
  </w:num>
  <w:num w:numId="55">
    <w:abstractNumId w:val="224"/>
  </w:num>
  <w:num w:numId="56">
    <w:abstractNumId w:val="62"/>
  </w:num>
  <w:num w:numId="57">
    <w:abstractNumId w:val="251"/>
  </w:num>
  <w:num w:numId="58">
    <w:abstractNumId w:val="257"/>
  </w:num>
  <w:num w:numId="59">
    <w:abstractNumId w:val="214"/>
  </w:num>
  <w:num w:numId="60">
    <w:abstractNumId w:val="42"/>
  </w:num>
  <w:num w:numId="61">
    <w:abstractNumId w:val="132"/>
  </w:num>
  <w:num w:numId="62">
    <w:abstractNumId w:val="330"/>
  </w:num>
  <w:num w:numId="63">
    <w:abstractNumId w:val="123"/>
  </w:num>
  <w:num w:numId="64">
    <w:abstractNumId w:val="153"/>
  </w:num>
  <w:num w:numId="65">
    <w:abstractNumId w:val="313"/>
  </w:num>
  <w:num w:numId="66">
    <w:abstractNumId w:val="236"/>
  </w:num>
  <w:num w:numId="67">
    <w:abstractNumId w:val="67"/>
  </w:num>
  <w:num w:numId="68">
    <w:abstractNumId w:val="290"/>
  </w:num>
  <w:num w:numId="69">
    <w:abstractNumId w:val="293"/>
  </w:num>
  <w:num w:numId="70">
    <w:abstractNumId w:val="85"/>
  </w:num>
  <w:num w:numId="71">
    <w:abstractNumId w:val="326"/>
  </w:num>
  <w:num w:numId="72">
    <w:abstractNumId w:val="229"/>
  </w:num>
  <w:num w:numId="73">
    <w:abstractNumId w:val="25"/>
  </w:num>
  <w:num w:numId="74">
    <w:abstractNumId w:val="213"/>
  </w:num>
  <w:num w:numId="75">
    <w:abstractNumId w:val="166"/>
  </w:num>
  <w:num w:numId="76">
    <w:abstractNumId w:val="43"/>
  </w:num>
  <w:num w:numId="77">
    <w:abstractNumId w:val="73"/>
  </w:num>
  <w:num w:numId="78">
    <w:abstractNumId w:val="117"/>
  </w:num>
  <w:num w:numId="79">
    <w:abstractNumId w:val="114"/>
  </w:num>
  <w:num w:numId="80">
    <w:abstractNumId w:val="178"/>
  </w:num>
  <w:num w:numId="81">
    <w:abstractNumId w:val="176"/>
  </w:num>
  <w:num w:numId="82">
    <w:abstractNumId w:val="315"/>
  </w:num>
  <w:num w:numId="83">
    <w:abstractNumId w:val="222"/>
  </w:num>
  <w:num w:numId="84">
    <w:abstractNumId w:val="323"/>
  </w:num>
  <w:num w:numId="85">
    <w:abstractNumId w:val="325"/>
  </w:num>
  <w:num w:numId="86">
    <w:abstractNumId w:val="13"/>
  </w:num>
  <w:num w:numId="87">
    <w:abstractNumId w:val="34"/>
  </w:num>
  <w:num w:numId="88">
    <w:abstractNumId w:val="44"/>
  </w:num>
  <w:num w:numId="89">
    <w:abstractNumId w:val="202"/>
  </w:num>
  <w:num w:numId="90">
    <w:abstractNumId w:val="189"/>
  </w:num>
  <w:num w:numId="91">
    <w:abstractNumId w:val="299"/>
  </w:num>
  <w:num w:numId="92">
    <w:abstractNumId w:val="228"/>
  </w:num>
  <w:num w:numId="93">
    <w:abstractNumId w:val="57"/>
  </w:num>
  <w:num w:numId="94">
    <w:abstractNumId w:val="239"/>
  </w:num>
  <w:num w:numId="95">
    <w:abstractNumId w:val="273"/>
  </w:num>
  <w:num w:numId="96">
    <w:abstractNumId w:val="118"/>
  </w:num>
  <w:num w:numId="97">
    <w:abstractNumId w:val="211"/>
  </w:num>
  <w:num w:numId="98">
    <w:abstractNumId w:val="265"/>
  </w:num>
  <w:num w:numId="99">
    <w:abstractNumId w:val="163"/>
  </w:num>
  <w:num w:numId="100">
    <w:abstractNumId w:val="336"/>
  </w:num>
  <w:num w:numId="101">
    <w:abstractNumId w:val="225"/>
  </w:num>
  <w:num w:numId="102">
    <w:abstractNumId w:val="54"/>
  </w:num>
  <w:num w:numId="103">
    <w:abstractNumId w:val="218"/>
  </w:num>
  <w:num w:numId="104">
    <w:abstractNumId w:val="156"/>
  </w:num>
  <w:num w:numId="105">
    <w:abstractNumId w:val="199"/>
  </w:num>
  <w:num w:numId="106">
    <w:abstractNumId w:val="52"/>
  </w:num>
  <w:num w:numId="107">
    <w:abstractNumId w:val="312"/>
  </w:num>
  <w:num w:numId="108">
    <w:abstractNumId w:val="164"/>
  </w:num>
  <w:num w:numId="109">
    <w:abstractNumId w:val="184"/>
  </w:num>
  <w:num w:numId="110">
    <w:abstractNumId w:val="272"/>
  </w:num>
  <w:num w:numId="111">
    <w:abstractNumId w:val="12"/>
  </w:num>
  <w:num w:numId="112">
    <w:abstractNumId w:val="317"/>
  </w:num>
  <w:num w:numId="113">
    <w:abstractNumId w:val="194"/>
  </w:num>
  <w:num w:numId="114">
    <w:abstractNumId w:val="125"/>
  </w:num>
  <w:num w:numId="115">
    <w:abstractNumId w:val="264"/>
  </w:num>
  <w:num w:numId="116">
    <w:abstractNumId w:val="261"/>
  </w:num>
  <w:num w:numId="117">
    <w:abstractNumId w:val="131"/>
  </w:num>
  <w:num w:numId="118">
    <w:abstractNumId w:val="197"/>
  </w:num>
  <w:num w:numId="119">
    <w:abstractNumId w:val="283"/>
  </w:num>
  <w:num w:numId="120">
    <w:abstractNumId w:val="65"/>
  </w:num>
  <w:num w:numId="121">
    <w:abstractNumId w:val="26"/>
  </w:num>
  <w:num w:numId="122">
    <w:abstractNumId w:val="240"/>
  </w:num>
  <w:num w:numId="123">
    <w:abstractNumId w:val="249"/>
  </w:num>
  <w:num w:numId="124">
    <w:abstractNumId w:val="252"/>
  </w:num>
  <w:num w:numId="125">
    <w:abstractNumId w:val="316"/>
  </w:num>
  <w:num w:numId="126">
    <w:abstractNumId w:val="190"/>
  </w:num>
  <w:num w:numId="127">
    <w:abstractNumId w:val="16"/>
  </w:num>
  <w:num w:numId="128">
    <w:abstractNumId w:val="106"/>
  </w:num>
  <w:num w:numId="129">
    <w:abstractNumId w:val="134"/>
  </w:num>
  <w:num w:numId="130">
    <w:abstractNumId w:val="217"/>
  </w:num>
  <w:num w:numId="131">
    <w:abstractNumId w:val="148"/>
  </w:num>
  <w:num w:numId="132">
    <w:abstractNumId w:val="307"/>
  </w:num>
  <w:num w:numId="133">
    <w:abstractNumId w:val="124"/>
  </w:num>
  <w:num w:numId="134">
    <w:abstractNumId w:val="205"/>
  </w:num>
  <w:num w:numId="135">
    <w:abstractNumId w:val="35"/>
  </w:num>
  <w:num w:numId="136">
    <w:abstractNumId w:val="121"/>
  </w:num>
  <w:num w:numId="137">
    <w:abstractNumId w:val="242"/>
  </w:num>
  <w:num w:numId="138">
    <w:abstractNumId w:val="219"/>
  </w:num>
  <w:num w:numId="139">
    <w:abstractNumId w:val="116"/>
  </w:num>
  <w:num w:numId="140">
    <w:abstractNumId w:val="241"/>
  </w:num>
  <w:num w:numId="141">
    <w:abstractNumId w:val="191"/>
  </w:num>
  <w:num w:numId="142">
    <w:abstractNumId w:val="200"/>
  </w:num>
  <w:num w:numId="143">
    <w:abstractNumId w:val="292"/>
  </w:num>
  <w:num w:numId="144">
    <w:abstractNumId w:val="284"/>
  </w:num>
  <w:num w:numId="145">
    <w:abstractNumId w:val="328"/>
  </w:num>
  <w:num w:numId="146">
    <w:abstractNumId w:val="103"/>
  </w:num>
  <w:num w:numId="147">
    <w:abstractNumId w:val="160"/>
  </w:num>
  <w:num w:numId="148">
    <w:abstractNumId w:val="287"/>
  </w:num>
  <w:num w:numId="149">
    <w:abstractNumId w:val="145"/>
  </w:num>
  <w:num w:numId="150">
    <w:abstractNumId w:val="141"/>
  </w:num>
  <w:num w:numId="151">
    <w:abstractNumId w:val="215"/>
  </w:num>
  <w:num w:numId="152">
    <w:abstractNumId w:val="152"/>
  </w:num>
  <w:num w:numId="153">
    <w:abstractNumId w:val="245"/>
  </w:num>
  <w:num w:numId="154">
    <w:abstractNumId w:val="24"/>
  </w:num>
  <w:num w:numId="155">
    <w:abstractNumId w:val="231"/>
  </w:num>
  <w:num w:numId="156">
    <w:abstractNumId w:val="113"/>
  </w:num>
  <w:num w:numId="157">
    <w:abstractNumId w:val="201"/>
  </w:num>
  <w:num w:numId="158">
    <w:abstractNumId w:val="87"/>
  </w:num>
  <w:num w:numId="159">
    <w:abstractNumId w:val="243"/>
  </w:num>
  <w:num w:numId="160">
    <w:abstractNumId w:val="230"/>
  </w:num>
  <w:num w:numId="161">
    <w:abstractNumId w:val="120"/>
  </w:num>
  <w:num w:numId="162">
    <w:abstractNumId w:val="165"/>
  </w:num>
  <w:num w:numId="163">
    <w:abstractNumId w:val="154"/>
  </w:num>
  <w:num w:numId="164">
    <w:abstractNumId w:val="86"/>
  </w:num>
  <w:num w:numId="165">
    <w:abstractNumId w:val="151"/>
  </w:num>
  <w:num w:numId="166">
    <w:abstractNumId w:val="78"/>
  </w:num>
  <w:num w:numId="167">
    <w:abstractNumId w:val="297"/>
  </w:num>
  <w:num w:numId="168">
    <w:abstractNumId w:val="15"/>
  </w:num>
  <w:num w:numId="169">
    <w:abstractNumId w:val="22"/>
  </w:num>
  <w:num w:numId="170">
    <w:abstractNumId w:val="58"/>
  </w:num>
  <w:num w:numId="171">
    <w:abstractNumId w:val="135"/>
  </w:num>
  <w:num w:numId="172">
    <w:abstractNumId w:val="235"/>
  </w:num>
  <w:num w:numId="173">
    <w:abstractNumId w:val="246"/>
  </w:num>
  <w:num w:numId="174">
    <w:abstractNumId w:val="83"/>
  </w:num>
  <w:num w:numId="175">
    <w:abstractNumId w:val="107"/>
  </w:num>
  <w:num w:numId="176">
    <w:abstractNumId w:val="319"/>
  </w:num>
  <w:num w:numId="177">
    <w:abstractNumId w:val="318"/>
  </w:num>
  <w:num w:numId="178">
    <w:abstractNumId w:val="93"/>
  </w:num>
  <w:num w:numId="179">
    <w:abstractNumId w:val="311"/>
  </w:num>
  <w:num w:numId="180">
    <w:abstractNumId w:val="157"/>
  </w:num>
  <w:num w:numId="181">
    <w:abstractNumId w:val="207"/>
  </w:num>
  <w:num w:numId="182">
    <w:abstractNumId w:val="69"/>
  </w:num>
  <w:num w:numId="183">
    <w:abstractNumId w:val="70"/>
  </w:num>
  <w:num w:numId="184">
    <w:abstractNumId w:val="185"/>
  </w:num>
  <w:num w:numId="185">
    <w:abstractNumId w:val="187"/>
  </w:num>
  <w:num w:numId="186">
    <w:abstractNumId w:val="306"/>
  </w:num>
  <w:num w:numId="187">
    <w:abstractNumId w:val="168"/>
  </w:num>
  <w:num w:numId="188">
    <w:abstractNumId w:val="204"/>
  </w:num>
  <w:num w:numId="189">
    <w:abstractNumId w:val="143"/>
  </w:num>
  <w:num w:numId="190">
    <w:abstractNumId w:val="111"/>
  </w:num>
  <w:num w:numId="191">
    <w:abstractNumId w:val="2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77"/>
  </w:num>
  <w:num w:numId="193">
    <w:abstractNumId w:val="10"/>
  </w:num>
  <w:num w:numId="194">
    <w:abstractNumId w:val="33"/>
  </w:num>
  <w:num w:numId="195">
    <w:abstractNumId w:val="248"/>
  </w:num>
  <w:num w:numId="196">
    <w:abstractNumId w:val="221"/>
  </w:num>
  <w:num w:numId="197">
    <w:abstractNumId w:val="139"/>
  </w:num>
  <w:num w:numId="198">
    <w:abstractNumId w:val="280"/>
  </w:num>
  <w:num w:numId="199">
    <w:abstractNumId w:val="208"/>
  </w:num>
  <w:num w:numId="200">
    <w:abstractNumId w:val="76"/>
  </w:num>
  <w:num w:numId="201">
    <w:abstractNumId w:val="108"/>
  </w:num>
  <w:num w:numId="202">
    <w:abstractNumId w:val="227"/>
  </w:num>
  <w:num w:numId="203">
    <w:abstractNumId w:val="46"/>
  </w:num>
  <w:num w:numId="204">
    <w:abstractNumId w:val="128"/>
  </w:num>
  <w:num w:numId="205">
    <w:abstractNumId w:val="181"/>
  </w:num>
  <w:num w:numId="206">
    <w:abstractNumId w:val="332"/>
  </w:num>
  <w:num w:numId="207">
    <w:abstractNumId w:val="285"/>
  </w:num>
  <w:num w:numId="208">
    <w:abstractNumId w:val="72"/>
  </w:num>
  <w:num w:numId="209">
    <w:abstractNumId w:val="88"/>
  </w:num>
  <w:num w:numId="210">
    <w:abstractNumId w:val="270"/>
  </w:num>
  <w:num w:numId="211">
    <w:abstractNumId w:val="220"/>
  </w:num>
  <w:num w:numId="212">
    <w:abstractNumId w:val="209"/>
  </w:num>
  <w:num w:numId="213">
    <w:abstractNumId w:val="282"/>
  </w:num>
  <w:num w:numId="214">
    <w:abstractNumId w:val="276"/>
  </w:num>
  <w:num w:numId="215">
    <w:abstractNumId w:val="147"/>
  </w:num>
  <w:num w:numId="216">
    <w:abstractNumId w:val="269"/>
  </w:num>
  <w:num w:numId="217">
    <w:abstractNumId w:val="41"/>
  </w:num>
  <w:num w:numId="218">
    <w:abstractNumId w:val="155"/>
  </w:num>
  <w:num w:numId="219">
    <w:abstractNumId w:val="308"/>
  </w:num>
  <w:num w:numId="220">
    <w:abstractNumId w:val="136"/>
  </w:num>
  <w:num w:numId="221">
    <w:abstractNumId w:val="271"/>
  </w:num>
  <w:num w:numId="222">
    <w:abstractNumId w:val="255"/>
  </w:num>
  <w:num w:numId="223">
    <w:abstractNumId w:val="91"/>
  </w:num>
  <w:num w:numId="224">
    <w:abstractNumId w:val="129"/>
  </w:num>
  <w:num w:numId="225">
    <w:abstractNumId w:val="262"/>
  </w:num>
  <w:num w:numId="226">
    <w:abstractNumId w:val="101"/>
  </w:num>
  <w:num w:numId="227">
    <w:abstractNumId w:val="177"/>
  </w:num>
  <w:num w:numId="228">
    <w:abstractNumId w:val="173"/>
  </w:num>
  <w:num w:numId="229">
    <w:abstractNumId w:val="122"/>
  </w:num>
  <w:num w:numId="230">
    <w:abstractNumId w:val="295"/>
  </w:num>
  <w:num w:numId="231">
    <w:abstractNumId w:val="216"/>
  </w:num>
  <w:num w:numId="232">
    <w:abstractNumId w:val="301"/>
  </w:num>
  <w:num w:numId="233">
    <w:abstractNumId w:val="324"/>
  </w:num>
  <w:num w:numId="234">
    <w:abstractNumId w:val="171"/>
  </w:num>
  <w:num w:numId="235">
    <w:abstractNumId w:val="300"/>
  </w:num>
  <w:num w:numId="236">
    <w:abstractNumId w:val="260"/>
  </w:num>
  <w:num w:numId="237">
    <w:abstractNumId w:val="226"/>
  </w:num>
  <w:num w:numId="238">
    <w:abstractNumId w:val="188"/>
  </w:num>
  <w:num w:numId="239">
    <w:abstractNumId w:val="112"/>
  </w:num>
  <w:num w:numId="240">
    <w:abstractNumId w:val="105"/>
  </w:num>
  <w:num w:numId="241">
    <w:abstractNumId w:val="234"/>
  </w:num>
  <w:num w:numId="242">
    <w:abstractNumId w:val="304"/>
  </w:num>
  <w:num w:numId="243">
    <w:abstractNumId w:val="268"/>
  </w:num>
  <w:num w:numId="244">
    <w:abstractNumId w:val="68"/>
  </w:num>
  <w:num w:numId="245">
    <w:abstractNumId w:val="81"/>
  </w:num>
  <w:num w:numId="246">
    <w:abstractNumId w:val="53"/>
  </w:num>
  <w:num w:numId="247">
    <w:abstractNumId w:val="144"/>
  </w:num>
  <w:num w:numId="248">
    <w:abstractNumId w:val="258"/>
  </w:num>
  <w:num w:numId="249">
    <w:abstractNumId w:val="172"/>
  </w:num>
  <w:num w:numId="250">
    <w:abstractNumId w:val="80"/>
  </w:num>
  <w:num w:numId="251">
    <w:abstractNumId w:val="278"/>
  </w:num>
  <w:num w:numId="252">
    <w:abstractNumId w:val="21"/>
  </w:num>
  <w:num w:numId="253">
    <w:abstractNumId w:val="259"/>
  </w:num>
  <w:num w:numId="254">
    <w:abstractNumId w:val="89"/>
  </w:num>
  <w:num w:numId="255">
    <w:abstractNumId w:val="94"/>
  </w:num>
  <w:num w:numId="256">
    <w:abstractNumId w:val="49"/>
  </w:num>
  <w:num w:numId="257">
    <w:abstractNumId w:val="232"/>
  </w:num>
  <w:num w:numId="258">
    <w:abstractNumId w:val="253"/>
  </w:num>
  <w:num w:numId="259">
    <w:abstractNumId w:val="167"/>
  </w:num>
  <w:num w:numId="260">
    <w:abstractNumId w:val="274"/>
  </w:num>
  <w:num w:numId="261">
    <w:abstractNumId w:val="310"/>
  </w:num>
  <w:num w:numId="262">
    <w:abstractNumId w:val="288"/>
  </w:num>
  <w:num w:numId="263">
    <w:abstractNumId w:val="314"/>
  </w:num>
  <w:num w:numId="264">
    <w:abstractNumId w:val="256"/>
  </w:num>
  <w:num w:numId="265">
    <w:abstractNumId w:val="193"/>
  </w:num>
  <w:num w:numId="266">
    <w:abstractNumId w:val="183"/>
  </w:num>
  <w:num w:numId="267">
    <w:abstractNumId w:val="50"/>
  </w:num>
  <w:num w:numId="268">
    <w:abstractNumId w:val="61"/>
  </w:num>
  <w:num w:numId="269">
    <w:abstractNumId w:val="175"/>
  </w:num>
  <w:num w:numId="270">
    <w:abstractNumId w:val="275"/>
  </w:num>
  <w:num w:numId="271">
    <w:abstractNumId w:val="281"/>
  </w:num>
  <w:num w:numId="272">
    <w:abstractNumId w:val="161"/>
  </w:num>
  <w:num w:numId="273">
    <w:abstractNumId w:val="55"/>
  </w:num>
  <w:num w:numId="274">
    <w:abstractNumId w:val="169"/>
  </w:num>
  <w:num w:numId="275">
    <w:abstractNumId w:val="138"/>
  </w:num>
  <w:num w:numId="276">
    <w:abstractNumId w:val="11"/>
  </w:num>
  <w:num w:numId="277">
    <w:abstractNumId w:val="333"/>
  </w:num>
  <w:num w:numId="278">
    <w:abstractNumId w:val="334"/>
  </w:num>
  <w:num w:numId="279">
    <w:abstractNumId w:val="110"/>
  </w:num>
  <w:num w:numId="280">
    <w:abstractNumId w:val="38"/>
  </w:num>
  <w:num w:numId="281">
    <w:abstractNumId w:val="95"/>
  </w:num>
  <w:num w:numId="282">
    <w:abstractNumId w:val="109"/>
  </w:num>
  <w:num w:numId="283">
    <w:abstractNumId w:val="159"/>
  </w:num>
  <w:num w:numId="284">
    <w:abstractNumId w:val="45"/>
  </w:num>
  <w:num w:numId="285">
    <w:abstractNumId w:val="104"/>
  </w:num>
  <w:num w:numId="286">
    <w:abstractNumId w:val="170"/>
  </w:num>
  <w:num w:numId="287">
    <w:abstractNumId w:val="79"/>
  </w:num>
  <w:num w:numId="288">
    <w:abstractNumId w:val="320"/>
  </w:num>
  <w:num w:numId="289">
    <w:abstractNumId w:val="250"/>
  </w:num>
  <w:num w:numId="290">
    <w:abstractNumId w:val="327"/>
  </w:num>
  <w:num w:numId="291">
    <w:abstractNumId w:val="298"/>
  </w:num>
  <w:num w:numId="292">
    <w:abstractNumId w:val="90"/>
  </w:num>
  <w:num w:numId="293">
    <w:abstractNumId w:val="203"/>
  </w:num>
  <w:num w:numId="294">
    <w:abstractNumId w:val="309"/>
  </w:num>
  <w:num w:numId="295">
    <w:abstractNumId w:val="37"/>
  </w:num>
  <w:num w:numId="296">
    <w:abstractNumId w:val="14"/>
  </w:num>
  <w:num w:numId="297">
    <w:abstractNumId w:val="30"/>
  </w:num>
  <w:num w:numId="298">
    <w:abstractNumId w:val="329"/>
  </w:num>
  <w:num w:numId="299">
    <w:abstractNumId w:val="84"/>
  </w:num>
  <w:num w:numId="300">
    <w:abstractNumId w:val="140"/>
  </w:num>
  <w:num w:numId="301">
    <w:abstractNumId w:val="296"/>
  </w:num>
  <w:num w:numId="302">
    <w:abstractNumId w:val="60"/>
  </w:num>
  <w:num w:numId="303">
    <w:abstractNumId w:val="20"/>
  </w:num>
  <w:num w:numId="304">
    <w:abstractNumId w:val="127"/>
  </w:num>
  <w:num w:numId="305">
    <w:abstractNumId w:val="266"/>
  </w:num>
  <w:num w:numId="306">
    <w:abstractNumId w:val="212"/>
  </w:num>
  <w:num w:numId="307">
    <w:abstractNumId w:val="29"/>
  </w:num>
  <w:num w:numId="308">
    <w:abstractNumId w:val="279"/>
  </w:num>
  <w:num w:numId="309">
    <w:abstractNumId w:val="115"/>
  </w:num>
  <w:num w:numId="310">
    <w:abstractNumId w:val="237"/>
  </w:num>
  <w:num w:numId="311">
    <w:abstractNumId w:val="158"/>
  </w:num>
  <w:num w:numId="312">
    <w:abstractNumId w:val="28"/>
  </w:num>
  <w:num w:numId="313">
    <w:abstractNumId w:val="32"/>
  </w:num>
  <w:num w:numId="314">
    <w:abstractNumId w:val="92"/>
  </w:num>
  <w:num w:numId="315">
    <w:abstractNumId w:val="56"/>
  </w:num>
  <w:num w:numId="316">
    <w:abstractNumId w:val="18"/>
  </w:num>
  <w:num w:numId="317">
    <w:abstractNumId w:val="180"/>
  </w:num>
  <w:num w:numId="318">
    <w:abstractNumId w:val="182"/>
  </w:num>
  <w:num w:numId="319">
    <w:abstractNumId w:val="291"/>
  </w:num>
  <w:num w:numId="320">
    <w:abstractNumId w:val="137"/>
  </w:num>
  <w:num w:numId="321">
    <w:abstractNumId w:val="63"/>
  </w:num>
  <w:num w:numId="322">
    <w:abstractNumId w:val="321"/>
  </w:num>
  <w:num w:numId="323">
    <w:abstractNumId w:val="99"/>
  </w:num>
  <w:num w:numId="324">
    <w:abstractNumId w:val="48"/>
  </w:num>
  <w:num w:numId="325">
    <w:abstractNumId w:val="206"/>
  </w:num>
  <w:num w:numId="326">
    <w:abstractNumId w:val="100"/>
  </w:num>
  <w:num w:numId="327">
    <w:abstractNumId w:val="59"/>
  </w:num>
  <w:num w:numId="328">
    <w:abstractNumId w:val="9"/>
  </w:num>
  <w:num w:numId="329">
    <w:abstractNumId w:val="7"/>
  </w:num>
  <w:num w:numId="330">
    <w:abstractNumId w:val="6"/>
  </w:num>
  <w:num w:numId="331">
    <w:abstractNumId w:val="5"/>
  </w:num>
  <w:num w:numId="332">
    <w:abstractNumId w:val="4"/>
  </w:num>
  <w:num w:numId="333">
    <w:abstractNumId w:val="8"/>
  </w:num>
  <w:num w:numId="334">
    <w:abstractNumId w:val="3"/>
  </w:num>
  <w:num w:numId="335">
    <w:abstractNumId w:val="2"/>
  </w:num>
  <w:num w:numId="336">
    <w:abstractNumId w:val="1"/>
  </w:num>
  <w:num w:numId="337">
    <w:abstractNumId w:val="0"/>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TE0tDAyNzKyMDJV0lEKTi0uzszPAykwMjWvBQDo9V5wLgAAAA=="/>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xwa055rhevv2yef5v75fepy2azsv0xvx9w9&quot;&gt;My EndNote Library-Converted&lt;record-ids&gt;&lt;item&gt;530&lt;/item&gt;&lt;item&gt;531&lt;/item&gt;&lt;item&gt;586&lt;/item&gt;&lt;item&gt;587&lt;/item&gt;&lt;item&gt;588&lt;/item&gt;&lt;item&gt;589&lt;/item&gt;&lt;item&gt;590&lt;/item&gt;&lt;item&gt;591&lt;/item&gt;&lt;item&gt;592&lt;/item&gt;&lt;item&gt;593&lt;/item&gt;&lt;item&gt;594&lt;/item&gt;&lt;item&gt;595&lt;/item&gt;&lt;item&gt;597&lt;/item&gt;&lt;item&gt;598&lt;/item&gt;&lt;item&gt;599&lt;/item&gt;&lt;item&gt;601&lt;/item&gt;&lt;item&gt;602&lt;/item&gt;&lt;item&gt;603&lt;/item&gt;&lt;item&gt;604&lt;/item&gt;&lt;item&gt;606&lt;/item&gt;&lt;item&gt;607&lt;/item&gt;&lt;item&gt;609&lt;/item&gt;&lt;item&gt;610&lt;/item&gt;&lt;item&gt;611&lt;/item&gt;&lt;item&gt;612&lt;/item&gt;&lt;item&gt;613&lt;/item&gt;&lt;item&gt;614&lt;/item&gt;&lt;item&gt;615&lt;/item&gt;&lt;item&gt;616&lt;/item&gt;&lt;item&gt;617&lt;/item&gt;&lt;item&gt;621&lt;/item&gt;&lt;item&gt;627&lt;/item&gt;&lt;item&gt;635&lt;/item&gt;&lt;item&gt;636&lt;/item&gt;&lt;item&gt;637&lt;/item&gt;&lt;item&gt;638&lt;/item&gt;&lt;item&gt;639&lt;/item&gt;&lt;item&gt;640&lt;/item&gt;&lt;item&gt;644&lt;/item&gt;&lt;item&gt;645&lt;/item&gt;&lt;item&gt;646&lt;/item&gt;&lt;item&gt;647&lt;/item&gt;&lt;item&gt;648&lt;/item&gt;&lt;item&gt;649&lt;/item&gt;&lt;item&gt;650&lt;/item&gt;&lt;item&gt;651&lt;/item&gt;&lt;item&gt;653&lt;/item&gt;&lt;item&gt;654&lt;/item&gt;&lt;item&gt;655&lt;/item&gt;&lt;/record-ids&gt;&lt;/item&gt;&lt;/Libraries&gt;"/>
  </w:docVars>
  <w:rsids>
    <w:rsidRoot w:val="008D0D0C"/>
    <w:rsid w:val="0000018D"/>
    <w:rsid w:val="0000023E"/>
    <w:rsid w:val="00000287"/>
    <w:rsid w:val="000005A0"/>
    <w:rsid w:val="00000650"/>
    <w:rsid w:val="00000714"/>
    <w:rsid w:val="00000779"/>
    <w:rsid w:val="00000D8E"/>
    <w:rsid w:val="00000E40"/>
    <w:rsid w:val="00000E62"/>
    <w:rsid w:val="00000E81"/>
    <w:rsid w:val="00000F38"/>
    <w:rsid w:val="00000F5E"/>
    <w:rsid w:val="00000F98"/>
    <w:rsid w:val="00000FC7"/>
    <w:rsid w:val="0000124A"/>
    <w:rsid w:val="0000141B"/>
    <w:rsid w:val="00001430"/>
    <w:rsid w:val="00001812"/>
    <w:rsid w:val="00001815"/>
    <w:rsid w:val="00001C70"/>
    <w:rsid w:val="00001D39"/>
    <w:rsid w:val="00001F48"/>
    <w:rsid w:val="0000219F"/>
    <w:rsid w:val="00002317"/>
    <w:rsid w:val="000024A5"/>
    <w:rsid w:val="00002525"/>
    <w:rsid w:val="0000256E"/>
    <w:rsid w:val="000025F7"/>
    <w:rsid w:val="00002791"/>
    <w:rsid w:val="0000281C"/>
    <w:rsid w:val="000028E7"/>
    <w:rsid w:val="00002B29"/>
    <w:rsid w:val="00002CA4"/>
    <w:rsid w:val="00002E73"/>
    <w:rsid w:val="00002FC2"/>
    <w:rsid w:val="000030CC"/>
    <w:rsid w:val="00003145"/>
    <w:rsid w:val="0000327E"/>
    <w:rsid w:val="0000343F"/>
    <w:rsid w:val="0000346A"/>
    <w:rsid w:val="0000349C"/>
    <w:rsid w:val="00003692"/>
    <w:rsid w:val="0000382C"/>
    <w:rsid w:val="00003A15"/>
    <w:rsid w:val="00003AAA"/>
    <w:rsid w:val="00003C53"/>
    <w:rsid w:val="00003CA8"/>
    <w:rsid w:val="00003CE4"/>
    <w:rsid w:val="00004016"/>
    <w:rsid w:val="000040D9"/>
    <w:rsid w:val="00004245"/>
    <w:rsid w:val="000043E3"/>
    <w:rsid w:val="0000451E"/>
    <w:rsid w:val="00004871"/>
    <w:rsid w:val="00004A71"/>
    <w:rsid w:val="00004DA1"/>
    <w:rsid w:val="00004DD6"/>
    <w:rsid w:val="00004E0C"/>
    <w:rsid w:val="00004EEA"/>
    <w:rsid w:val="00005237"/>
    <w:rsid w:val="0000544C"/>
    <w:rsid w:val="0000568D"/>
    <w:rsid w:val="0000573A"/>
    <w:rsid w:val="0000573E"/>
    <w:rsid w:val="0000582D"/>
    <w:rsid w:val="00005A11"/>
    <w:rsid w:val="00005C54"/>
    <w:rsid w:val="00005C58"/>
    <w:rsid w:val="0000627D"/>
    <w:rsid w:val="000064E0"/>
    <w:rsid w:val="0000657D"/>
    <w:rsid w:val="00006656"/>
    <w:rsid w:val="000067D2"/>
    <w:rsid w:val="000067E1"/>
    <w:rsid w:val="000068BB"/>
    <w:rsid w:val="00006A54"/>
    <w:rsid w:val="00006BB3"/>
    <w:rsid w:val="00006C8F"/>
    <w:rsid w:val="00006CBC"/>
    <w:rsid w:val="0000722D"/>
    <w:rsid w:val="00007428"/>
    <w:rsid w:val="00007542"/>
    <w:rsid w:val="0000754E"/>
    <w:rsid w:val="00007624"/>
    <w:rsid w:val="000077DE"/>
    <w:rsid w:val="0000796E"/>
    <w:rsid w:val="00007A87"/>
    <w:rsid w:val="00007AA9"/>
    <w:rsid w:val="00007BF6"/>
    <w:rsid w:val="00007CDC"/>
    <w:rsid w:val="00007CE6"/>
    <w:rsid w:val="00007E31"/>
    <w:rsid w:val="000100C8"/>
    <w:rsid w:val="000101FC"/>
    <w:rsid w:val="000102B5"/>
    <w:rsid w:val="00010371"/>
    <w:rsid w:val="000103A1"/>
    <w:rsid w:val="000103A2"/>
    <w:rsid w:val="00010401"/>
    <w:rsid w:val="00010518"/>
    <w:rsid w:val="0001086E"/>
    <w:rsid w:val="000108BC"/>
    <w:rsid w:val="00010A60"/>
    <w:rsid w:val="00010C85"/>
    <w:rsid w:val="00010D05"/>
    <w:rsid w:val="00010F20"/>
    <w:rsid w:val="000110B3"/>
    <w:rsid w:val="0001112D"/>
    <w:rsid w:val="00011247"/>
    <w:rsid w:val="00011395"/>
    <w:rsid w:val="000113ED"/>
    <w:rsid w:val="0001147E"/>
    <w:rsid w:val="0001171F"/>
    <w:rsid w:val="00011A3B"/>
    <w:rsid w:val="00011C51"/>
    <w:rsid w:val="00011C9C"/>
    <w:rsid w:val="00011E22"/>
    <w:rsid w:val="00011FA4"/>
    <w:rsid w:val="00011FD1"/>
    <w:rsid w:val="00012010"/>
    <w:rsid w:val="00012184"/>
    <w:rsid w:val="000122DB"/>
    <w:rsid w:val="000124D4"/>
    <w:rsid w:val="000125BF"/>
    <w:rsid w:val="000128B6"/>
    <w:rsid w:val="00012A9D"/>
    <w:rsid w:val="00012AF9"/>
    <w:rsid w:val="00012B51"/>
    <w:rsid w:val="00012B9E"/>
    <w:rsid w:val="00012C54"/>
    <w:rsid w:val="00012CD1"/>
    <w:rsid w:val="00012F01"/>
    <w:rsid w:val="00012F78"/>
    <w:rsid w:val="00013181"/>
    <w:rsid w:val="00013531"/>
    <w:rsid w:val="00013844"/>
    <w:rsid w:val="00013A78"/>
    <w:rsid w:val="00013D8E"/>
    <w:rsid w:val="000142E1"/>
    <w:rsid w:val="00014341"/>
    <w:rsid w:val="0001457A"/>
    <w:rsid w:val="000145C2"/>
    <w:rsid w:val="00014636"/>
    <w:rsid w:val="00014709"/>
    <w:rsid w:val="00014736"/>
    <w:rsid w:val="000148B1"/>
    <w:rsid w:val="00014C33"/>
    <w:rsid w:val="00014C47"/>
    <w:rsid w:val="00014D2D"/>
    <w:rsid w:val="000150FD"/>
    <w:rsid w:val="00015273"/>
    <w:rsid w:val="0001540E"/>
    <w:rsid w:val="00015414"/>
    <w:rsid w:val="00015419"/>
    <w:rsid w:val="000158DF"/>
    <w:rsid w:val="00015CD6"/>
    <w:rsid w:val="00015E25"/>
    <w:rsid w:val="00015FE2"/>
    <w:rsid w:val="00016212"/>
    <w:rsid w:val="000162E6"/>
    <w:rsid w:val="000162FE"/>
    <w:rsid w:val="0001662B"/>
    <w:rsid w:val="00016701"/>
    <w:rsid w:val="00016922"/>
    <w:rsid w:val="00016AD8"/>
    <w:rsid w:val="00016B50"/>
    <w:rsid w:val="00016CDD"/>
    <w:rsid w:val="00016E04"/>
    <w:rsid w:val="00016E61"/>
    <w:rsid w:val="00017019"/>
    <w:rsid w:val="00017261"/>
    <w:rsid w:val="0001762F"/>
    <w:rsid w:val="000176F8"/>
    <w:rsid w:val="00017AE6"/>
    <w:rsid w:val="00017C8C"/>
    <w:rsid w:val="00017CAF"/>
    <w:rsid w:val="00017D5E"/>
    <w:rsid w:val="00017D7D"/>
    <w:rsid w:val="00017D9F"/>
    <w:rsid w:val="00017EB3"/>
    <w:rsid w:val="00020038"/>
    <w:rsid w:val="000200E4"/>
    <w:rsid w:val="00020290"/>
    <w:rsid w:val="00020358"/>
    <w:rsid w:val="000203C8"/>
    <w:rsid w:val="0002049D"/>
    <w:rsid w:val="000204ED"/>
    <w:rsid w:val="00020573"/>
    <w:rsid w:val="00020630"/>
    <w:rsid w:val="0002065F"/>
    <w:rsid w:val="000207A2"/>
    <w:rsid w:val="0002088D"/>
    <w:rsid w:val="00020C23"/>
    <w:rsid w:val="00020CC8"/>
    <w:rsid w:val="00020FA0"/>
    <w:rsid w:val="00020FF3"/>
    <w:rsid w:val="00021231"/>
    <w:rsid w:val="0002125A"/>
    <w:rsid w:val="000214F2"/>
    <w:rsid w:val="00021503"/>
    <w:rsid w:val="0002154C"/>
    <w:rsid w:val="00021585"/>
    <w:rsid w:val="00021823"/>
    <w:rsid w:val="00021992"/>
    <w:rsid w:val="00021ACB"/>
    <w:rsid w:val="00021B34"/>
    <w:rsid w:val="00021BD3"/>
    <w:rsid w:val="00021CA8"/>
    <w:rsid w:val="00021F36"/>
    <w:rsid w:val="0002201F"/>
    <w:rsid w:val="0002208C"/>
    <w:rsid w:val="000220DF"/>
    <w:rsid w:val="00022175"/>
    <w:rsid w:val="000221BF"/>
    <w:rsid w:val="0002227D"/>
    <w:rsid w:val="000223C1"/>
    <w:rsid w:val="000223D2"/>
    <w:rsid w:val="0002262A"/>
    <w:rsid w:val="000228C8"/>
    <w:rsid w:val="00022937"/>
    <w:rsid w:val="000229FC"/>
    <w:rsid w:val="00022E02"/>
    <w:rsid w:val="00022ECD"/>
    <w:rsid w:val="00022ED8"/>
    <w:rsid w:val="00022F0A"/>
    <w:rsid w:val="00022F0E"/>
    <w:rsid w:val="00023085"/>
    <w:rsid w:val="000230A6"/>
    <w:rsid w:val="000230FA"/>
    <w:rsid w:val="000231A1"/>
    <w:rsid w:val="00023286"/>
    <w:rsid w:val="000232F1"/>
    <w:rsid w:val="000233EA"/>
    <w:rsid w:val="00023578"/>
    <w:rsid w:val="000235A6"/>
    <w:rsid w:val="000235D0"/>
    <w:rsid w:val="00023655"/>
    <w:rsid w:val="000236BC"/>
    <w:rsid w:val="0002381C"/>
    <w:rsid w:val="00023834"/>
    <w:rsid w:val="00023841"/>
    <w:rsid w:val="000239E6"/>
    <w:rsid w:val="00023A25"/>
    <w:rsid w:val="00023A56"/>
    <w:rsid w:val="00023C27"/>
    <w:rsid w:val="00023D4B"/>
    <w:rsid w:val="00023DB4"/>
    <w:rsid w:val="00024015"/>
    <w:rsid w:val="000240D8"/>
    <w:rsid w:val="00024204"/>
    <w:rsid w:val="000243AF"/>
    <w:rsid w:val="00024470"/>
    <w:rsid w:val="00024C9C"/>
    <w:rsid w:val="00024D6A"/>
    <w:rsid w:val="00024F90"/>
    <w:rsid w:val="000250BB"/>
    <w:rsid w:val="00025135"/>
    <w:rsid w:val="00025201"/>
    <w:rsid w:val="00025D89"/>
    <w:rsid w:val="00025DA6"/>
    <w:rsid w:val="00025E7C"/>
    <w:rsid w:val="00025F5B"/>
    <w:rsid w:val="00025FE7"/>
    <w:rsid w:val="00026014"/>
    <w:rsid w:val="0002621C"/>
    <w:rsid w:val="00026304"/>
    <w:rsid w:val="0002630D"/>
    <w:rsid w:val="000263E2"/>
    <w:rsid w:val="00026598"/>
    <w:rsid w:val="000265EC"/>
    <w:rsid w:val="00026643"/>
    <w:rsid w:val="00026B05"/>
    <w:rsid w:val="00026B80"/>
    <w:rsid w:val="00026BB2"/>
    <w:rsid w:val="00026C59"/>
    <w:rsid w:val="00026D66"/>
    <w:rsid w:val="00026DF3"/>
    <w:rsid w:val="00026F2E"/>
    <w:rsid w:val="00026F72"/>
    <w:rsid w:val="0002704E"/>
    <w:rsid w:val="000272C2"/>
    <w:rsid w:val="000273CD"/>
    <w:rsid w:val="000276EC"/>
    <w:rsid w:val="00027A23"/>
    <w:rsid w:val="00027A90"/>
    <w:rsid w:val="00027AF6"/>
    <w:rsid w:val="00027C01"/>
    <w:rsid w:val="00027C19"/>
    <w:rsid w:val="00027C8E"/>
    <w:rsid w:val="00027CA6"/>
    <w:rsid w:val="00027E8D"/>
    <w:rsid w:val="00027F74"/>
    <w:rsid w:val="00027F87"/>
    <w:rsid w:val="00030039"/>
    <w:rsid w:val="0003003C"/>
    <w:rsid w:val="000300CF"/>
    <w:rsid w:val="000305D5"/>
    <w:rsid w:val="000309F8"/>
    <w:rsid w:val="00030A22"/>
    <w:rsid w:val="00030AC9"/>
    <w:rsid w:val="00030B21"/>
    <w:rsid w:val="00030B66"/>
    <w:rsid w:val="00030D5A"/>
    <w:rsid w:val="00030DA0"/>
    <w:rsid w:val="00030ED5"/>
    <w:rsid w:val="0003104C"/>
    <w:rsid w:val="00031085"/>
    <w:rsid w:val="00031247"/>
    <w:rsid w:val="00031290"/>
    <w:rsid w:val="00031509"/>
    <w:rsid w:val="0003177A"/>
    <w:rsid w:val="00031781"/>
    <w:rsid w:val="0003189C"/>
    <w:rsid w:val="00031935"/>
    <w:rsid w:val="00031E06"/>
    <w:rsid w:val="00031E1A"/>
    <w:rsid w:val="00031ED9"/>
    <w:rsid w:val="00031F51"/>
    <w:rsid w:val="00031F5D"/>
    <w:rsid w:val="00032178"/>
    <w:rsid w:val="00032180"/>
    <w:rsid w:val="000324C8"/>
    <w:rsid w:val="0003258A"/>
    <w:rsid w:val="000326D2"/>
    <w:rsid w:val="000326D7"/>
    <w:rsid w:val="000326ED"/>
    <w:rsid w:val="000328B5"/>
    <w:rsid w:val="0003297A"/>
    <w:rsid w:val="00032AC7"/>
    <w:rsid w:val="0003307C"/>
    <w:rsid w:val="00033187"/>
    <w:rsid w:val="00033212"/>
    <w:rsid w:val="000334D0"/>
    <w:rsid w:val="00033533"/>
    <w:rsid w:val="000335AB"/>
    <w:rsid w:val="00033B67"/>
    <w:rsid w:val="00033E16"/>
    <w:rsid w:val="00033EBB"/>
    <w:rsid w:val="00033FBF"/>
    <w:rsid w:val="00034033"/>
    <w:rsid w:val="00034276"/>
    <w:rsid w:val="00034388"/>
    <w:rsid w:val="00034551"/>
    <w:rsid w:val="000345E0"/>
    <w:rsid w:val="0003488D"/>
    <w:rsid w:val="00034A24"/>
    <w:rsid w:val="00034A40"/>
    <w:rsid w:val="00034A6F"/>
    <w:rsid w:val="00034B71"/>
    <w:rsid w:val="00034BBC"/>
    <w:rsid w:val="00034E88"/>
    <w:rsid w:val="00035075"/>
    <w:rsid w:val="000350D1"/>
    <w:rsid w:val="00035117"/>
    <w:rsid w:val="0003531A"/>
    <w:rsid w:val="00035416"/>
    <w:rsid w:val="00035430"/>
    <w:rsid w:val="000357C1"/>
    <w:rsid w:val="00035823"/>
    <w:rsid w:val="00035831"/>
    <w:rsid w:val="000358F7"/>
    <w:rsid w:val="00035D7C"/>
    <w:rsid w:val="00035D98"/>
    <w:rsid w:val="00035E1F"/>
    <w:rsid w:val="00036093"/>
    <w:rsid w:val="00036108"/>
    <w:rsid w:val="000361EC"/>
    <w:rsid w:val="00036489"/>
    <w:rsid w:val="000368F2"/>
    <w:rsid w:val="00036ABB"/>
    <w:rsid w:val="00036B1F"/>
    <w:rsid w:val="00036B20"/>
    <w:rsid w:val="00036C27"/>
    <w:rsid w:val="00037022"/>
    <w:rsid w:val="00037122"/>
    <w:rsid w:val="00037214"/>
    <w:rsid w:val="000372C0"/>
    <w:rsid w:val="0003741A"/>
    <w:rsid w:val="00037461"/>
    <w:rsid w:val="0003775E"/>
    <w:rsid w:val="000378CA"/>
    <w:rsid w:val="0003799A"/>
    <w:rsid w:val="00037B11"/>
    <w:rsid w:val="00037BD4"/>
    <w:rsid w:val="00037C13"/>
    <w:rsid w:val="00037CFA"/>
    <w:rsid w:val="00037CFE"/>
    <w:rsid w:val="00037F9A"/>
    <w:rsid w:val="0004002E"/>
    <w:rsid w:val="00040166"/>
    <w:rsid w:val="0004032D"/>
    <w:rsid w:val="000403C7"/>
    <w:rsid w:val="00040952"/>
    <w:rsid w:val="00040C0D"/>
    <w:rsid w:val="00040CD2"/>
    <w:rsid w:val="00040E35"/>
    <w:rsid w:val="00041577"/>
    <w:rsid w:val="000416B7"/>
    <w:rsid w:val="0004187E"/>
    <w:rsid w:val="00041990"/>
    <w:rsid w:val="00041A92"/>
    <w:rsid w:val="00041DDD"/>
    <w:rsid w:val="00041E1B"/>
    <w:rsid w:val="00041E94"/>
    <w:rsid w:val="00041F69"/>
    <w:rsid w:val="00041FA9"/>
    <w:rsid w:val="00041FF4"/>
    <w:rsid w:val="00042176"/>
    <w:rsid w:val="00042253"/>
    <w:rsid w:val="000425CB"/>
    <w:rsid w:val="0004288C"/>
    <w:rsid w:val="00042A07"/>
    <w:rsid w:val="00042A09"/>
    <w:rsid w:val="00042BA7"/>
    <w:rsid w:val="00042E05"/>
    <w:rsid w:val="00043240"/>
    <w:rsid w:val="000433C4"/>
    <w:rsid w:val="00043556"/>
    <w:rsid w:val="00043577"/>
    <w:rsid w:val="000435AA"/>
    <w:rsid w:val="000435E6"/>
    <w:rsid w:val="00043623"/>
    <w:rsid w:val="00043671"/>
    <w:rsid w:val="0004374A"/>
    <w:rsid w:val="000439A8"/>
    <w:rsid w:val="00043B53"/>
    <w:rsid w:val="00043C3A"/>
    <w:rsid w:val="00043D7D"/>
    <w:rsid w:val="00043F7A"/>
    <w:rsid w:val="0004401F"/>
    <w:rsid w:val="000441A1"/>
    <w:rsid w:val="000447F5"/>
    <w:rsid w:val="0004482F"/>
    <w:rsid w:val="00044983"/>
    <w:rsid w:val="00044A56"/>
    <w:rsid w:val="00044A5D"/>
    <w:rsid w:val="00044AE1"/>
    <w:rsid w:val="00044D61"/>
    <w:rsid w:val="00044DAB"/>
    <w:rsid w:val="00044F58"/>
    <w:rsid w:val="00045067"/>
    <w:rsid w:val="0004525D"/>
    <w:rsid w:val="00045288"/>
    <w:rsid w:val="000453CB"/>
    <w:rsid w:val="000457E4"/>
    <w:rsid w:val="000459D7"/>
    <w:rsid w:val="00045BED"/>
    <w:rsid w:val="00045CD8"/>
    <w:rsid w:val="00045DF5"/>
    <w:rsid w:val="00045E05"/>
    <w:rsid w:val="00045E50"/>
    <w:rsid w:val="00045EA2"/>
    <w:rsid w:val="00046074"/>
    <w:rsid w:val="00046096"/>
    <w:rsid w:val="000462C7"/>
    <w:rsid w:val="000463B0"/>
    <w:rsid w:val="000463EB"/>
    <w:rsid w:val="00046433"/>
    <w:rsid w:val="00046437"/>
    <w:rsid w:val="0004644D"/>
    <w:rsid w:val="0004666B"/>
    <w:rsid w:val="000466C8"/>
    <w:rsid w:val="0004678F"/>
    <w:rsid w:val="000467B7"/>
    <w:rsid w:val="0004686A"/>
    <w:rsid w:val="00046A12"/>
    <w:rsid w:val="00046A2B"/>
    <w:rsid w:val="00046B7E"/>
    <w:rsid w:val="00046CAD"/>
    <w:rsid w:val="00046D27"/>
    <w:rsid w:val="00046E01"/>
    <w:rsid w:val="00046F9A"/>
    <w:rsid w:val="00047182"/>
    <w:rsid w:val="000471EA"/>
    <w:rsid w:val="00047298"/>
    <w:rsid w:val="0004729D"/>
    <w:rsid w:val="0004753B"/>
    <w:rsid w:val="0004773C"/>
    <w:rsid w:val="00047778"/>
    <w:rsid w:val="000477C5"/>
    <w:rsid w:val="00047C9F"/>
    <w:rsid w:val="00047CF9"/>
    <w:rsid w:val="00047FB0"/>
    <w:rsid w:val="000501C5"/>
    <w:rsid w:val="000501FF"/>
    <w:rsid w:val="00050239"/>
    <w:rsid w:val="00050306"/>
    <w:rsid w:val="00050602"/>
    <w:rsid w:val="00050691"/>
    <w:rsid w:val="000506CB"/>
    <w:rsid w:val="0005072C"/>
    <w:rsid w:val="00050846"/>
    <w:rsid w:val="000508C7"/>
    <w:rsid w:val="0005092E"/>
    <w:rsid w:val="0005099F"/>
    <w:rsid w:val="00050B62"/>
    <w:rsid w:val="00050BD9"/>
    <w:rsid w:val="00050CCE"/>
    <w:rsid w:val="00050F29"/>
    <w:rsid w:val="00051021"/>
    <w:rsid w:val="0005143C"/>
    <w:rsid w:val="00051471"/>
    <w:rsid w:val="0005159C"/>
    <w:rsid w:val="00051693"/>
    <w:rsid w:val="000516B9"/>
    <w:rsid w:val="00051839"/>
    <w:rsid w:val="00051864"/>
    <w:rsid w:val="00051A24"/>
    <w:rsid w:val="00051BCF"/>
    <w:rsid w:val="00052113"/>
    <w:rsid w:val="00052194"/>
    <w:rsid w:val="0005238C"/>
    <w:rsid w:val="000523D1"/>
    <w:rsid w:val="000523FD"/>
    <w:rsid w:val="0005271A"/>
    <w:rsid w:val="0005282E"/>
    <w:rsid w:val="0005293E"/>
    <w:rsid w:val="0005296D"/>
    <w:rsid w:val="0005297B"/>
    <w:rsid w:val="00052AC5"/>
    <w:rsid w:val="00052CEA"/>
    <w:rsid w:val="00052D34"/>
    <w:rsid w:val="00052D74"/>
    <w:rsid w:val="0005313A"/>
    <w:rsid w:val="000531A5"/>
    <w:rsid w:val="00053331"/>
    <w:rsid w:val="00053341"/>
    <w:rsid w:val="000534B1"/>
    <w:rsid w:val="00053653"/>
    <w:rsid w:val="0005378D"/>
    <w:rsid w:val="00053800"/>
    <w:rsid w:val="000538F8"/>
    <w:rsid w:val="00053966"/>
    <w:rsid w:val="00053A5D"/>
    <w:rsid w:val="00053B81"/>
    <w:rsid w:val="00053C67"/>
    <w:rsid w:val="00053DC8"/>
    <w:rsid w:val="00054219"/>
    <w:rsid w:val="0005425D"/>
    <w:rsid w:val="0005426F"/>
    <w:rsid w:val="00054381"/>
    <w:rsid w:val="000543BE"/>
    <w:rsid w:val="00054544"/>
    <w:rsid w:val="00054702"/>
    <w:rsid w:val="00054A5B"/>
    <w:rsid w:val="00054E33"/>
    <w:rsid w:val="00054EBC"/>
    <w:rsid w:val="000550ED"/>
    <w:rsid w:val="00055347"/>
    <w:rsid w:val="00055439"/>
    <w:rsid w:val="000554E6"/>
    <w:rsid w:val="000554FE"/>
    <w:rsid w:val="00055555"/>
    <w:rsid w:val="00055606"/>
    <w:rsid w:val="00055A77"/>
    <w:rsid w:val="00055DEC"/>
    <w:rsid w:val="00055E4E"/>
    <w:rsid w:val="00055FD3"/>
    <w:rsid w:val="00056170"/>
    <w:rsid w:val="0005619D"/>
    <w:rsid w:val="000561B6"/>
    <w:rsid w:val="000561D3"/>
    <w:rsid w:val="00056400"/>
    <w:rsid w:val="000564F4"/>
    <w:rsid w:val="0005659A"/>
    <w:rsid w:val="000565A5"/>
    <w:rsid w:val="0005688A"/>
    <w:rsid w:val="000569B3"/>
    <w:rsid w:val="00056ABC"/>
    <w:rsid w:val="00056D1D"/>
    <w:rsid w:val="00056D54"/>
    <w:rsid w:val="00056FF4"/>
    <w:rsid w:val="000570F2"/>
    <w:rsid w:val="0005710C"/>
    <w:rsid w:val="00057295"/>
    <w:rsid w:val="00057485"/>
    <w:rsid w:val="0005752B"/>
    <w:rsid w:val="000575A0"/>
    <w:rsid w:val="000579D4"/>
    <w:rsid w:val="00057A3C"/>
    <w:rsid w:val="00057B6B"/>
    <w:rsid w:val="00057BF5"/>
    <w:rsid w:val="00057C98"/>
    <w:rsid w:val="00057CC1"/>
    <w:rsid w:val="00057D5F"/>
    <w:rsid w:val="00057D9C"/>
    <w:rsid w:val="00057DA7"/>
    <w:rsid w:val="000603FB"/>
    <w:rsid w:val="0006053F"/>
    <w:rsid w:val="00060603"/>
    <w:rsid w:val="00060653"/>
    <w:rsid w:val="00060827"/>
    <w:rsid w:val="00060A58"/>
    <w:rsid w:val="00060ABC"/>
    <w:rsid w:val="00060BD2"/>
    <w:rsid w:val="00060BEE"/>
    <w:rsid w:val="00060CF1"/>
    <w:rsid w:val="00060E7D"/>
    <w:rsid w:val="00061196"/>
    <w:rsid w:val="000611D8"/>
    <w:rsid w:val="000618A5"/>
    <w:rsid w:val="00061C72"/>
    <w:rsid w:val="00061E95"/>
    <w:rsid w:val="00061F32"/>
    <w:rsid w:val="00061F78"/>
    <w:rsid w:val="00061FC5"/>
    <w:rsid w:val="00062129"/>
    <w:rsid w:val="00062394"/>
    <w:rsid w:val="00062658"/>
    <w:rsid w:val="00062699"/>
    <w:rsid w:val="000626D1"/>
    <w:rsid w:val="0006293E"/>
    <w:rsid w:val="00062A1F"/>
    <w:rsid w:val="00062B4D"/>
    <w:rsid w:val="00062C0E"/>
    <w:rsid w:val="00062E61"/>
    <w:rsid w:val="000631FB"/>
    <w:rsid w:val="000633B9"/>
    <w:rsid w:val="000634DE"/>
    <w:rsid w:val="00063657"/>
    <w:rsid w:val="00063733"/>
    <w:rsid w:val="000639E5"/>
    <w:rsid w:val="00063AF0"/>
    <w:rsid w:val="00063B98"/>
    <w:rsid w:val="00063C45"/>
    <w:rsid w:val="00063D3B"/>
    <w:rsid w:val="00063DFD"/>
    <w:rsid w:val="00063E52"/>
    <w:rsid w:val="00063FF6"/>
    <w:rsid w:val="00064131"/>
    <w:rsid w:val="000641AB"/>
    <w:rsid w:val="000643FC"/>
    <w:rsid w:val="0006448B"/>
    <w:rsid w:val="000644E5"/>
    <w:rsid w:val="000645E3"/>
    <w:rsid w:val="00064629"/>
    <w:rsid w:val="000648E8"/>
    <w:rsid w:val="0006497A"/>
    <w:rsid w:val="00064A2D"/>
    <w:rsid w:val="00064EF3"/>
    <w:rsid w:val="00064F60"/>
    <w:rsid w:val="0006501B"/>
    <w:rsid w:val="000650F9"/>
    <w:rsid w:val="00065260"/>
    <w:rsid w:val="0006534B"/>
    <w:rsid w:val="00065390"/>
    <w:rsid w:val="0006565D"/>
    <w:rsid w:val="00065764"/>
    <w:rsid w:val="000658DD"/>
    <w:rsid w:val="00065ACF"/>
    <w:rsid w:val="00065BC2"/>
    <w:rsid w:val="00065C00"/>
    <w:rsid w:val="00065C5F"/>
    <w:rsid w:val="00065D72"/>
    <w:rsid w:val="00065D7E"/>
    <w:rsid w:val="00065EE5"/>
    <w:rsid w:val="000665B2"/>
    <w:rsid w:val="0006664A"/>
    <w:rsid w:val="00066770"/>
    <w:rsid w:val="000668B8"/>
    <w:rsid w:val="000669C2"/>
    <w:rsid w:val="00066C51"/>
    <w:rsid w:val="00066FB6"/>
    <w:rsid w:val="00066FCC"/>
    <w:rsid w:val="000670D4"/>
    <w:rsid w:val="000671D4"/>
    <w:rsid w:val="000671DC"/>
    <w:rsid w:val="000672F2"/>
    <w:rsid w:val="000674F8"/>
    <w:rsid w:val="00067502"/>
    <w:rsid w:val="00067615"/>
    <w:rsid w:val="00067A80"/>
    <w:rsid w:val="00067BFA"/>
    <w:rsid w:val="00067C30"/>
    <w:rsid w:val="00067E8A"/>
    <w:rsid w:val="000700C7"/>
    <w:rsid w:val="00070157"/>
    <w:rsid w:val="00070196"/>
    <w:rsid w:val="000706FA"/>
    <w:rsid w:val="00070850"/>
    <w:rsid w:val="000708B4"/>
    <w:rsid w:val="000708C6"/>
    <w:rsid w:val="00070B10"/>
    <w:rsid w:val="00070C33"/>
    <w:rsid w:val="00070CC4"/>
    <w:rsid w:val="00070D0B"/>
    <w:rsid w:val="00070DA0"/>
    <w:rsid w:val="00070F3D"/>
    <w:rsid w:val="0007107B"/>
    <w:rsid w:val="00071134"/>
    <w:rsid w:val="0007113C"/>
    <w:rsid w:val="000711C1"/>
    <w:rsid w:val="000713E9"/>
    <w:rsid w:val="0007148C"/>
    <w:rsid w:val="00071676"/>
    <w:rsid w:val="000716BE"/>
    <w:rsid w:val="00071984"/>
    <w:rsid w:val="000719D6"/>
    <w:rsid w:val="00071A0F"/>
    <w:rsid w:val="00071AEF"/>
    <w:rsid w:val="00071C66"/>
    <w:rsid w:val="00071C87"/>
    <w:rsid w:val="00071E06"/>
    <w:rsid w:val="00071E25"/>
    <w:rsid w:val="00072150"/>
    <w:rsid w:val="000721C2"/>
    <w:rsid w:val="000721E4"/>
    <w:rsid w:val="00072309"/>
    <w:rsid w:val="00072409"/>
    <w:rsid w:val="000724A6"/>
    <w:rsid w:val="000724FF"/>
    <w:rsid w:val="00072566"/>
    <w:rsid w:val="000725BF"/>
    <w:rsid w:val="000727E9"/>
    <w:rsid w:val="0007285C"/>
    <w:rsid w:val="000728E4"/>
    <w:rsid w:val="000728F8"/>
    <w:rsid w:val="00072AD3"/>
    <w:rsid w:val="00072D5E"/>
    <w:rsid w:val="00072FC9"/>
    <w:rsid w:val="00072FE8"/>
    <w:rsid w:val="000730E0"/>
    <w:rsid w:val="0007330E"/>
    <w:rsid w:val="0007332A"/>
    <w:rsid w:val="00073512"/>
    <w:rsid w:val="000735DB"/>
    <w:rsid w:val="000737B9"/>
    <w:rsid w:val="00073969"/>
    <w:rsid w:val="00073AB6"/>
    <w:rsid w:val="00073B40"/>
    <w:rsid w:val="00073BF6"/>
    <w:rsid w:val="00073CD9"/>
    <w:rsid w:val="00073E5F"/>
    <w:rsid w:val="0007413C"/>
    <w:rsid w:val="00074151"/>
    <w:rsid w:val="00074163"/>
    <w:rsid w:val="0007423C"/>
    <w:rsid w:val="000742D4"/>
    <w:rsid w:val="000742FD"/>
    <w:rsid w:val="0007432D"/>
    <w:rsid w:val="000743E3"/>
    <w:rsid w:val="000747C7"/>
    <w:rsid w:val="00074910"/>
    <w:rsid w:val="0007494C"/>
    <w:rsid w:val="00074B91"/>
    <w:rsid w:val="00074D6C"/>
    <w:rsid w:val="00074FFF"/>
    <w:rsid w:val="0007543A"/>
    <w:rsid w:val="000755B3"/>
    <w:rsid w:val="0007571C"/>
    <w:rsid w:val="00075A28"/>
    <w:rsid w:val="00075A33"/>
    <w:rsid w:val="00076298"/>
    <w:rsid w:val="0007635D"/>
    <w:rsid w:val="0007640C"/>
    <w:rsid w:val="000765D2"/>
    <w:rsid w:val="00076806"/>
    <w:rsid w:val="000768D7"/>
    <w:rsid w:val="000768F1"/>
    <w:rsid w:val="000769E8"/>
    <w:rsid w:val="00076B17"/>
    <w:rsid w:val="00076B3F"/>
    <w:rsid w:val="00076CBC"/>
    <w:rsid w:val="00076E31"/>
    <w:rsid w:val="00076FBD"/>
    <w:rsid w:val="00077070"/>
    <w:rsid w:val="00077086"/>
    <w:rsid w:val="00077266"/>
    <w:rsid w:val="0007735D"/>
    <w:rsid w:val="000774FB"/>
    <w:rsid w:val="00077687"/>
    <w:rsid w:val="00077B39"/>
    <w:rsid w:val="00077BB6"/>
    <w:rsid w:val="00080086"/>
    <w:rsid w:val="000801BA"/>
    <w:rsid w:val="00080214"/>
    <w:rsid w:val="00080238"/>
    <w:rsid w:val="00080299"/>
    <w:rsid w:val="000803D0"/>
    <w:rsid w:val="0008041F"/>
    <w:rsid w:val="000805A9"/>
    <w:rsid w:val="000806F4"/>
    <w:rsid w:val="00080855"/>
    <w:rsid w:val="00080987"/>
    <w:rsid w:val="00080BEA"/>
    <w:rsid w:val="00080E35"/>
    <w:rsid w:val="00080E3F"/>
    <w:rsid w:val="00081059"/>
    <w:rsid w:val="00081061"/>
    <w:rsid w:val="000810E0"/>
    <w:rsid w:val="00081139"/>
    <w:rsid w:val="000811CB"/>
    <w:rsid w:val="000812F4"/>
    <w:rsid w:val="000817E0"/>
    <w:rsid w:val="0008181D"/>
    <w:rsid w:val="00081C0C"/>
    <w:rsid w:val="00081D4B"/>
    <w:rsid w:val="00081DCB"/>
    <w:rsid w:val="00081DE2"/>
    <w:rsid w:val="00081E44"/>
    <w:rsid w:val="000820F0"/>
    <w:rsid w:val="0008229A"/>
    <w:rsid w:val="00082321"/>
    <w:rsid w:val="000824AC"/>
    <w:rsid w:val="000825AB"/>
    <w:rsid w:val="000825C8"/>
    <w:rsid w:val="0008273E"/>
    <w:rsid w:val="0008274B"/>
    <w:rsid w:val="00082A22"/>
    <w:rsid w:val="00082B39"/>
    <w:rsid w:val="00082C01"/>
    <w:rsid w:val="0008302C"/>
    <w:rsid w:val="0008359F"/>
    <w:rsid w:val="00083616"/>
    <w:rsid w:val="000838AA"/>
    <w:rsid w:val="00083AE8"/>
    <w:rsid w:val="00083C3E"/>
    <w:rsid w:val="00083F4C"/>
    <w:rsid w:val="000841FF"/>
    <w:rsid w:val="0008420E"/>
    <w:rsid w:val="0008433D"/>
    <w:rsid w:val="000843A0"/>
    <w:rsid w:val="00084427"/>
    <w:rsid w:val="000847B8"/>
    <w:rsid w:val="000847D6"/>
    <w:rsid w:val="00084803"/>
    <w:rsid w:val="00084AEC"/>
    <w:rsid w:val="00084B08"/>
    <w:rsid w:val="00084B52"/>
    <w:rsid w:val="00084EFC"/>
    <w:rsid w:val="0008509E"/>
    <w:rsid w:val="00085188"/>
    <w:rsid w:val="000853DC"/>
    <w:rsid w:val="000856B9"/>
    <w:rsid w:val="000857B5"/>
    <w:rsid w:val="00085842"/>
    <w:rsid w:val="0008584A"/>
    <w:rsid w:val="000859BD"/>
    <w:rsid w:val="00085A01"/>
    <w:rsid w:val="00085B8E"/>
    <w:rsid w:val="00085C5C"/>
    <w:rsid w:val="00085EF6"/>
    <w:rsid w:val="00085F58"/>
    <w:rsid w:val="00086053"/>
    <w:rsid w:val="00086367"/>
    <w:rsid w:val="000865A5"/>
    <w:rsid w:val="000868E5"/>
    <w:rsid w:val="00086BD2"/>
    <w:rsid w:val="00086CB3"/>
    <w:rsid w:val="00086D41"/>
    <w:rsid w:val="00086D90"/>
    <w:rsid w:val="00086D93"/>
    <w:rsid w:val="00086F35"/>
    <w:rsid w:val="00086FB9"/>
    <w:rsid w:val="00086FF3"/>
    <w:rsid w:val="0008711F"/>
    <w:rsid w:val="00087299"/>
    <w:rsid w:val="000874D1"/>
    <w:rsid w:val="00087530"/>
    <w:rsid w:val="00087584"/>
    <w:rsid w:val="0008758F"/>
    <w:rsid w:val="000875FE"/>
    <w:rsid w:val="0008767E"/>
    <w:rsid w:val="000876F2"/>
    <w:rsid w:val="00087719"/>
    <w:rsid w:val="000877CC"/>
    <w:rsid w:val="00087B05"/>
    <w:rsid w:val="00087B44"/>
    <w:rsid w:val="00087D22"/>
    <w:rsid w:val="000901F1"/>
    <w:rsid w:val="0009037F"/>
    <w:rsid w:val="000906FE"/>
    <w:rsid w:val="00090726"/>
    <w:rsid w:val="0009077B"/>
    <w:rsid w:val="000907D3"/>
    <w:rsid w:val="00090882"/>
    <w:rsid w:val="00090893"/>
    <w:rsid w:val="000909FA"/>
    <w:rsid w:val="00090C2F"/>
    <w:rsid w:val="00090C67"/>
    <w:rsid w:val="00090CE4"/>
    <w:rsid w:val="00090D59"/>
    <w:rsid w:val="00090D95"/>
    <w:rsid w:val="00090DA0"/>
    <w:rsid w:val="00090F3D"/>
    <w:rsid w:val="00090FD2"/>
    <w:rsid w:val="00091281"/>
    <w:rsid w:val="000915A9"/>
    <w:rsid w:val="00091744"/>
    <w:rsid w:val="0009174C"/>
    <w:rsid w:val="0009187A"/>
    <w:rsid w:val="00091A46"/>
    <w:rsid w:val="00091A49"/>
    <w:rsid w:val="00091B34"/>
    <w:rsid w:val="00091C28"/>
    <w:rsid w:val="00091D15"/>
    <w:rsid w:val="00091D6E"/>
    <w:rsid w:val="00091EE2"/>
    <w:rsid w:val="00091EFA"/>
    <w:rsid w:val="00091F20"/>
    <w:rsid w:val="00091FDD"/>
    <w:rsid w:val="00092014"/>
    <w:rsid w:val="00092087"/>
    <w:rsid w:val="00092116"/>
    <w:rsid w:val="000921DA"/>
    <w:rsid w:val="000923CA"/>
    <w:rsid w:val="0009260F"/>
    <w:rsid w:val="0009268B"/>
    <w:rsid w:val="00092856"/>
    <w:rsid w:val="00092BCA"/>
    <w:rsid w:val="00092DB8"/>
    <w:rsid w:val="00092FA8"/>
    <w:rsid w:val="000931DC"/>
    <w:rsid w:val="000932DA"/>
    <w:rsid w:val="000932EE"/>
    <w:rsid w:val="000932FC"/>
    <w:rsid w:val="0009337C"/>
    <w:rsid w:val="0009358A"/>
    <w:rsid w:val="000935DE"/>
    <w:rsid w:val="00093678"/>
    <w:rsid w:val="00093683"/>
    <w:rsid w:val="0009370F"/>
    <w:rsid w:val="00093900"/>
    <w:rsid w:val="00093ABE"/>
    <w:rsid w:val="00093FEE"/>
    <w:rsid w:val="0009405C"/>
    <w:rsid w:val="000943EA"/>
    <w:rsid w:val="000944A0"/>
    <w:rsid w:val="000944DB"/>
    <w:rsid w:val="000949B7"/>
    <w:rsid w:val="00094B00"/>
    <w:rsid w:val="00094B05"/>
    <w:rsid w:val="00094B19"/>
    <w:rsid w:val="00094D15"/>
    <w:rsid w:val="00094E05"/>
    <w:rsid w:val="00094EE9"/>
    <w:rsid w:val="00094F04"/>
    <w:rsid w:val="00094F30"/>
    <w:rsid w:val="00095238"/>
    <w:rsid w:val="00095368"/>
    <w:rsid w:val="00095429"/>
    <w:rsid w:val="0009554F"/>
    <w:rsid w:val="000955FA"/>
    <w:rsid w:val="000957A6"/>
    <w:rsid w:val="0009587B"/>
    <w:rsid w:val="00095AED"/>
    <w:rsid w:val="00095C33"/>
    <w:rsid w:val="00095CAA"/>
    <w:rsid w:val="00095CF0"/>
    <w:rsid w:val="00095EB8"/>
    <w:rsid w:val="00095EFB"/>
    <w:rsid w:val="00095F26"/>
    <w:rsid w:val="00095F62"/>
    <w:rsid w:val="00095F71"/>
    <w:rsid w:val="00096038"/>
    <w:rsid w:val="000961AB"/>
    <w:rsid w:val="0009621D"/>
    <w:rsid w:val="00096280"/>
    <w:rsid w:val="000963F0"/>
    <w:rsid w:val="00096611"/>
    <w:rsid w:val="000966AD"/>
    <w:rsid w:val="00096760"/>
    <w:rsid w:val="00096949"/>
    <w:rsid w:val="000969AC"/>
    <w:rsid w:val="00096A42"/>
    <w:rsid w:val="00096AAF"/>
    <w:rsid w:val="00096FDA"/>
    <w:rsid w:val="000970B9"/>
    <w:rsid w:val="0009728A"/>
    <w:rsid w:val="000972D5"/>
    <w:rsid w:val="000973A1"/>
    <w:rsid w:val="000973E7"/>
    <w:rsid w:val="00097427"/>
    <w:rsid w:val="00097530"/>
    <w:rsid w:val="000978B7"/>
    <w:rsid w:val="00097997"/>
    <w:rsid w:val="00097C0F"/>
    <w:rsid w:val="00097D54"/>
    <w:rsid w:val="000A01BC"/>
    <w:rsid w:val="000A01F7"/>
    <w:rsid w:val="000A0200"/>
    <w:rsid w:val="000A0293"/>
    <w:rsid w:val="000A076C"/>
    <w:rsid w:val="000A0869"/>
    <w:rsid w:val="000A088E"/>
    <w:rsid w:val="000A0A9A"/>
    <w:rsid w:val="000A0C39"/>
    <w:rsid w:val="000A0DB3"/>
    <w:rsid w:val="000A0DD3"/>
    <w:rsid w:val="000A0E59"/>
    <w:rsid w:val="000A0EB4"/>
    <w:rsid w:val="000A0EE7"/>
    <w:rsid w:val="000A0F21"/>
    <w:rsid w:val="000A11EE"/>
    <w:rsid w:val="000A12DC"/>
    <w:rsid w:val="000A1318"/>
    <w:rsid w:val="000A139F"/>
    <w:rsid w:val="000A1430"/>
    <w:rsid w:val="000A14AA"/>
    <w:rsid w:val="000A14FA"/>
    <w:rsid w:val="000A160C"/>
    <w:rsid w:val="000A16A9"/>
    <w:rsid w:val="000A1734"/>
    <w:rsid w:val="000A1801"/>
    <w:rsid w:val="000A1AB4"/>
    <w:rsid w:val="000A1B03"/>
    <w:rsid w:val="000A1C7E"/>
    <w:rsid w:val="000A1DD5"/>
    <w:rsid w:val="000A203A"/>
    <w:rsid w:val="000A21D2"/>
    <w:rsid w:val="000A2389"/>
    <w:rsid w:val="000A2778"/>
    <w:rsid w:val="000A287F"/>
    <w:rsid w:val="000A289D"/>
    <w:rsid w:val="000A28BB"/>
    <w:rsid w:val="000A29CB"/>
    <w:rsid w:val="000A2A40"/>
    <w:rsid w:val="000A2D44"/>
    <w:rsid w:val="000A2E84"/>
    <w:rsid w:val="000A2F17"/>
    <w:rsid w:val="000A3058"/>
    <w:rsid w:val="000A3374"/>
    <w:rsid w:val="000A33BE"/>
    <w:rsid w:val="000A341A"/>
    <w:rsid w:val="000A34E0"/>
    <w:rsid w:val="000A350C"/>
    <w:rsid w:val="000A35E6"/>
    <w:rsid w:val="000A3759"/>
    <w:rsid w:val="000A3849"/>
    <w:rsid w:val="000A3A21"/>
    <w:rsid w:val="000A3EFE"/>
    <w:rsid w:val="000A40B0"/>
    <w:rsid w:val="000A414F"/>
    <w:rsid w:val="000A41FB"/>
    <w:rsid w:val="000A4217"/>
    <w:rsid w:val="000A42C7"/>
    <w:rsid w:val="000A4333"/>
    <w:rsid w:val="000A44BC"/>
    <w:rsid w:val="000A48AE"/>
    <w:rsid w:val="000A4AA8"/>
    <w:rsid w:val="000A4ACA"/>
    <w:rsid w:val="000A4B4F"/>
    <w:rsid w:val="000A4BF1"/>
    <w:rsid w:val="000A4CBB"/>
    <w:rsid w:val="000A4D57"/>
    <w:rsid w:val="000A4FA9"/>
    <w:rsid w:val="000A4FBF"/>
    <w:rsid w:val="000A529A"/>
    <w:rsid w:val="000A53A7"/>
    <w:rsid w:val="000A53AD"/>
    <w:rsid w:val="000A5401"/>
    <w:rsid w:val="000A5656"/>
    <w:rsid w:val="000A5831"/>
    <w:rsid w:val="000A5AD0"/>
    <w:rsid w:val="000A5D08"/>
    <w:rsid w:val="000A5F04"/>
    <w:rsid w:val="000A5F4F"/>
    <w:rsid w:val="000A6077"/>
    <w:rsid w:val="000A62B6"/>
    <w:rsid w:val="000A66E9"/>
    <w:rsid w:val="000A6A3C"/>
    <w:rsid w:val="000A6BF0"/>
    <w:rsid w:val="000A6D05"/>
    <w:rsid w:val="000A6E6B"/>
    <w:rsid w:val="000A6FEB"/>
    <w:rsid w:val="000A7005"/>
    <w:rsid w:val="000A7205"/>
    <w:rsid w:val="000A72F4"/>
    <w:rsid w:val="000A738B"/>
    <w:rsid w:val="000A7478"/>
    <w:rsid w:val="000A74CF"/>
    <w:rsid w:val="000A756A"/>
    <w:rsid w:val="000A7768"/>
    <w:rsid w:val="000A7848"/>
    <w:rsid w:val="000A7B84"/>
    <w:rsid w:val="000A7D6F"/>
    <w:rsid w:val="000B005B"/>
    <w:rsid w:val="000B0395"/>
    <w:rsid w:val="000B0513"/>
    <w:rsid w:val="000B057F"/>
    <w:rsid w:val="000B0811"/>
    <w:rsid w:val="000B08B7"/>
    <w:rsid w:val="000B09CF"/>
    <w:rsid w:val="000B0BA0"/>
    <w:rsid w:val="000B0DFE"/>
    <w:rsid w:val="000B11D5"/>
    <w:rsid w:val="000B120A"/>
    <w:rsid w:val="000B1445"/>
    <w:rsid w:val="000B1569"/>
    <w:rsid w:val="000B1586"/>
    <w:rsid w:val="000B16BA"/>
    <w:rsid w:val="000B1785"/>
    <w:rsid w:val="000B17CF"/>
    <w:rsid w:val="000B181F"/>
    <w:rsid w:val="000B1934"/>
    <w:rsid w:val="000B1A39"/>
    <w:rsid w:val="000B1B83"/>
    <w:rsid w:val="000B1FEA"/>
    <w:rsid w:val="000B2167"/>
    <w:rsid w:val="000B23FF"/>
    <w:rsid w:val="000B24A4"/>
    <w:rsid w:val="000B2588"/>
    <w:rsid w:val="000B2616"/>
    <w:rsid w:val="000B273C"/>
    <w:rsid w:val="000B282F"/>
    <w:rsid w:val="000B2D26"/>
    <w:rsid w:val="000B2F99"/>
    <w:rsid w:val="000B320D"/>
    <w:rsid w:val="000B3355"/>
    <w:rsid w:val="000B3480"/>
    <w:rsid w:val="000B3509"/>
    <w:rsid w:val="000B3895"/>
    <w:rsid w:val="000B397E"/>
    <w:rsid w:val="000B398B"/>
    <w:rsid w:val="000B398D"/>
    <w:rsid w:val="000B3A1A"/>
    <w:rsid w:val="000B3B14"/>
    <w:rsid w:val="000B3CA3"/>
    <w:rsid w:val="000B3F9A"/>
    <w:rsid w:val="000B433A"/>
    <w:rsid w:val="000B43C4"/>
    <w:rsid w:val="000B4416"/>
    <w:rsid w:val="000B4497"/>
    <w:rsid w:val="000B44CD"/>
    <w:rsid w:val="000B4638"/>
    <w:rsid w:val="000B4669"/>
    <w:rsid w:val="000B46ED"/>
    <w:rsid w:val="000B47B6"/>
    <w:rsid w:val="000B47C9"/>
    <w:rsid w:val="000B47EB"/>
    <w:rsid w:val="000B4BDF"/>
    <w:rsid w:val="000B4D83"/>
    <w:rsid w:val="000B4DD6"/>
    <w:rsid w:val="000B4E42"/>
    <w:rsid w:val="000B4E44"/>
    <w:rsid w:val="000B4FEA"/>
    <w:rsid w:val="000B5023"/>
    <w:rsid w:val="000B5044"/>
    <w:rsid w:val="000B5176"/>
    <w:rsid w:val="000B53B3"/>
    <w:rsid w:val="000B5420"/>
    <w:rsid w:val="000B544F"/>
    <w:rsid w:val="000B54F8"/>
    <w:rsid w:val="000B586A"/>
    <w:rsid w:val="000B59A9"/>
    <w:rsid w:val="000B5B2E"/>
    <w:rsid w:val="000B5B85"/>
    <w:rsid w:val="000B5C31"/>
    <w:rsid w:val="000B5CDF"/>
    <w:rsid w:val="000B5CE4"/>
    <w:rsid w:val="000B5F01"/>
    <w:rsid w:val="000B612B"/>
    <w:rsid w:val="000B61FD"/>
    <w:rsid w:val="000B62B1"/>
    <w:rsid w:val="000B62C0"/>
    <w:rsid w:val="000B630E"/>
    <w:rsid w:val="000B63D6"/>
    <w:rsid w:val="000B66B9"/>
    <w:rsid w:val="000B6720"/>
    <w:rsid w:val="000B683C"/>
    <w:rsid w:val="000B686F"/>
    <w:rsid w:val="000B6AB4"/>
    <w:rsid w:val="000B6C84"/>
    <w:rsid w:val="000B6DE7"/>
    <w:rsid w:val="000B6FEA"/>
    <w:rsid w:val="000B7309"/>
    <w:rsid w:val="000B73F1"/>
    <w:rsid w:val="000B750A"/>
    <w:rsid w:val="000B7673"/>
    <w:rsid w:val="000B7780"/>
    <w:rsid w:val="000B78D4"/>
    <w:rsid w:val="000B79FB"/>
    <w:rsid w:val="000B7AEA"/>
    <w:rsid w:val="000B7B40"/>
    <w:rsid w:val="000B7D66"/>
    <w:rsid w:val="000B7F41"/>
    <w:rsid w:val="000C0013"/>
    <w:rsid w:val="000C009B"/>
    <w:rsid w:val="000C00F9"/>
    <w:rsid w:val="000C01FB"/>
    <w:rsid w:val="000C066D"/>
    <w:rsid w:val="000C0679"/>
    <w:rsid w:val="000C067D"/>
    <w:rsid w:val="000C077C"/>
    <w:rsid w:val="000C0AC4"/>
    <w:rsid w:val="000C0ADF"/>
    <w:rsid w:val="000C0B54"/>
    <w:rsid w:val="000C0C60"/>
    <w:rsid w:val="000C0E9E"/>
    <w:rsid w:val="000C0FCC"/>
    <w:rsid w:val="000C0FF0"/>
    <w:rsid w:val="000C11D1"/>
    <w:rsid w:val="000C11EB"/>
    <w:rsid w:val="000C12CB"/>
    <w:rsid w:val="000C1484"/>
    <w:rsid w:val="000C14F2"/>
    <w:rsid w:val="000C151D"/>
    <w:rsid w:val="000C1718"/>
    <w:rsid w:val="000C1A0C"/>
    <w:rsid w:val="000C1DF4"/>
    <w:rsid w:val="000C24BA"/>
    <w:rsid w:val="000C24C2"/>
    <w:rsid w:val="000C2529"/>
    <w:rsid w:val="000C254A"/>
    <w:rsid w:val="000C255A"/>
    <w:rsid w:val="000C2807"/>
    <w:rsid w:val="000C2925"/>
    <w:rsid w:val="000C295C"/>
    <w:rsid w:val="000C29E2"/>
    <w:rsid w:val="000C2B11"/>
    <w:rsid w:val="000C2C7D"/>
    <w:rsid w:val="000C3139"/>
    <w:rsid w:val="000C3167"/>
    <w:rsid w:val="000C33FB"/>
    <w:rsid w:val="000C3409"/>
    <w:rsid w:val="000C34A7"/>
    <w:rsid w:val="000C3A8D"/>
    <w:rsid w:val="000C3BA3"/>
    <w:rsid w:val="000C3C3F"/>
    <w:rsid w:val="000C3E37"/>
    <w:rsid w:val="000C4092"/>
    <w:rsid w:val="000C4220"/>
    <w:rsid w:val="000C4245"/>
    <w:rsid w:val="000C4257"/>
    <w:rsid w:val="000C429F"/>
    <w:rsid w:val="000C42B2"/>
    <w:rsid w:val="000C449B"/>
    <w:rsid w:val="000C4511"/>
    <w:rsid w:val="000C45A9"/>
    <w:rsid w:val="000C469A"/>
    <w:rsid w:val="000C4761"/>
    <w:rsid w:val="000C49B6"/>
    <w:rsid w:val="000C4B32"/>
    <w:rsid w:val="000C4B46"/>
    <w:rsid w:val="000C4C45"/>
    <w:rsid w:val="000C4CA0"/>
    <w:rsid w:val="000C4D3D"/>
    <w:rsid w:val="000C4F45"/>
    <w:rsid w:val="000C4F5B"/>
    <w:rsid w:val="000C4FFA"/>
    <w:rsid w:val="000C50AD"/>
    <w:rsid w:val="000C5117"/>
    <w:rsid w:val="000C5133"/>
    <w:rsid w:val="000C5294"/>
    <w:rsid w:val="000C559E"/>
    <w:rsid w:val="000C561C"/>
    <w:rsid w:val="000C5710"/>
    <w:rsid w:val="000C5810"/>
    <w:rsid w:val="000C5C26"/>
    <w:rsid w:val="000C5CA3"/>
    <w:rsid w:val="000C5D8D"/>
    <w:rsid w:val="000C5DBB"/>
    <w:rsid w:val="000C5E62"/>
    <w:rsid w:val="000C5F02"/>
    <w:rsid w:val="000C5FB0"/>
    <w:rsid w:val="000C635E"/>
    <w:rsid w:val="000C6767"/>
    <w:rsid w:val="000C681A"/>
    <w:rsid w:val="000C6CFE"/>
    <w:rsid w:val="000C6D50"/>
    <w:rsid w:val="000C6DEE"/>
    <w:rsid w:val="000C6E61"/>
    <w:rsid w:val="000C6FB9"/>
    <w:rsid w:val="000C70EA"/>
    <w:rsid w:val="000C7361"/>
    <w:rsid w:val="000C7382"/>
    <w:rsid w:val="000C74B9"/>
    <w:rsid w:val="000C76CF"/>
    <w:rsid w:val="000C7755"/>
    <w:rsid w:val="000C7799"/>
    <w:rsid w:val="000C78BF"/>
    <w:rsid w:val="000C792E"/>
    <w:rsid w:val="000C799F"/>
    <w:rsid w:val="000C7B1E"/>
    <w:rsid w:val="000C7B6D"/>
    <w:rsid w:val="000C7C22"/>
    <w:rsid w:val="000D017F"/>
    <w:rsid w:val="000D01F6"/>
    <w:rsid w:val="000D0389"/>
    <w:rsid w:val="000D0575"/>
    <w:rsid w:val="000D0628"/>
    <w:rsid w:val="000D07E2"/>
    <w:rsid w:val="000D080D"/>
    <w:rsid w:val="000D0D4E"/>
    <w:rsid w:val="000D0D86"/>
    <w:rsid w:val="000D0DCD"/>
    <w:rsid w:val="000D0F11"/>
    <w:rsid w:val="000D0F7B"/>
    <w:rsid w:val="000D11BE"/>
    <w:rsid w:val="000D14FB"/>
    <w:rsid w:val="000D15ED"/>
    <w:rsid w:val="000D166B"/>
    <w:rsid w:val="000D17A2"/>
    <w:rsid w:val="000D1BC8"/>
    <w:rsid w:val="000D1D5B"/>
    <w:rsid w:val="000D21C6"/>
    <w:rsid w:val="000D21FC"/>
    <w:rsid w:val="000D2750"/>
    <w:rsid w:val="000D28F5"/>
    <w:rsid w:val="000D2947"/>
    <w:rsid w:val="000D2A53"/>
    <w:rsid w:val="000D2C0C"/>
    <w:rsid w:val="000D2CEC"/>
    <w:rsid w:val="000D2CF6"/>
    <w:rsid w:val="000D2DC7"/>
    <w:rsid w:val="000D2EE8"/>
    <w:rsid w:val="000D2F67"/>
    <w:rsid w:val="000D31A9"/>
    <w:rsid w:val="000D31DD"/>
    <w:rsid w:val="000D332A"/>
    <w:rsid w:val="000D34F7"/>
    <w:rsid w:val="000D4301"/>
    <w:rsid w:val="000D44BB"/>
    <w:rsid w:val="000D45B0"/>
    <w:rsid w:val="000D4794"/>
    <w:rsid w:val="000D481A"/>
    <w:rsid w:val="000D4834"/>
    <w:rsid w:val="000D4983"/>
    <w:rsid w:val="000D4A7D"/>
    <w:rsid w:val="000D4B40"/>
    <w:rsid w:val="000D4BE4"/>
    <w:rsid w:val="000D4CCD"/>
    <w:rsid w:val="000D4D87"/>
    <w:rsid w:val="000D4F53"/>
    <w:rsid w:val="000D5150"/>
    <w:rsid w:val="000D542F"/>
    <w:rsid w:val="000D552A"/>
    <w:rsid w:val="000D5551"/>
    <w:rsid w:val="000D568E"/>
    <w:rsid w:val="000D59AD"/>
    <w:rsid w:val="000D5A76"/>
    <w:rsid w:val="000D5AF5"/>
    <w:rsid w:val="000D5B0C"/>
    <w:rsid w:val="000D5B26"/>
    <w:rsid w:val="000D5E56"/>
    <w:rsid w:val="000D5F3E"/>
    <w:rsid w:val="000D5FC3"/>
    <w:rsid w:val="000D6085"/>
    <w:rsid w:val="000D6252"/>
    <w:rsid w:val="000D6770"/>
    <w:rsid w:val="000D6819"/>
    <w:rsid w:val="000D6841"/>
    <w:rsid w:val="000D689B"/>
    <w:rsid w:val="000D6BE5"/>
    <w:rsid w:val="000D6DEF"/>
    <w:rsid w:val="000D71C3"/>
    <w:rsid w:val="000D728D"/>
    <w:rsid w:val="000D728E"/>
    <w:rsid w:val="000D7519"/>
    <w:rsid w:val="000D7708"/>
    <w:rsid w:val="000D7743"/>
    <w:rsid w:val="000D77AB"/>
    <w:rsid w:val="000D7B54"/>
    <w:rsid w:val="000D7E03"/>
    <w:rsid w:val="000D7F98"/>
    <w:rsid w:val="000E00D3"/>
    <w:rsid w:val="000E025D"/>
    <w:rsid w:val="000E0276"/>
    <w:rsid w:val="000E0482"/>
    <w:rsid w:val="000E069F"/>
    <w:rsid w:val="000E0734"/>
    <w:rsid w:val="000E096D"/>
    <w:rsid w:val="000E0C03"/>
    <w:rsid w:val="000E0C9C"/>
    <w:rsid w:val="000E104E"/>
    <w:rsid w:val="000E127B"/>
    <w:rsid w:val="000E13B0"/>
    <w:rsid w:val="000E1409"/>
    <w:rsid w:val="000E1436"/>
    <w:rsid w:val="000E157B"/>
    <w:rsid w:val="000E15A9"/>
    <w:rsid w:val="000E15D0"/>
    <w:rsid w:val="000E1600"/>
    <w:rsid w:val="000E17FD"/>
    <w:rsid w:val="000E1864"/>
    <w:rsid w:val="000E1956"/>
    <w:rsid w:val="000E1BFA"/>
    <w:rsid w:val="000E1C40"/>
    <w:rsid w:val="000E1CBE"/>
    <w:rsid w:val="000E1CDE"/>
    <w:rsid w:val="000E1D2A"/>
    <w:rsid w:val="000E1DF3"/>
    <w:rsid w:val="000E1F11"/>
    <w:rsid w:val="000E20E8"/>
    <w:rsid w:val="000E214F"/>
    <w:rsid w:val="000E236B"/>
    <w:rsid w:val="000E27FE"/>
    <w:rsid w:val="000E292D"/>
    <w:rsid w:val="000E2933"/>
    <w:rsid w:val="000E2AB4"/>
    <w:rsid w:val="000E2CB9"/>
    <w:rsid w:val="000E2DF6"/>
    <w:rsid w:val="000E2EC7"/>
    <w:rsid w:val="000E304E"/>
    <w:rsid w:val="000E3086"/>
    <w:rsid w:val="000E3376"/>
    <w:rsid w:val="000E3393"/>
    <w:rsid w:val="000E370E"/>
    <w:rsid w:val="000E37FE"/>
    <w:rsid w:val="000E38CD"/>
    <w:rsid w:val="000E3A8C"/>
    <w:rsid w:val="000E3AB2"/>
    <w:rsid w:val="000E3ADF"/>
    <w:rsid w:val="000E3B01"/>
    <w:rsid w:val="000E3BEC"/>
    <w:rsid w:val="000E3E4C"/>
    <w:rsid w:val="000E41D7"/>
    <w:rsid w:val="000E42D5"/>
    <w:rsid w:val="000E43A1"/>
    <w:rsid w:val="000E4561"/>
    <w:rsid w:val="000E45DC"/>
    <w:rsid w:val="000E4859"/>
    <w:rsid w:val="000E486C"/>
    <w:rsid w:val="000E49B9"/>
    <w:rsid w:val="000E4C3B"/>
    <w:rsid w:val="000E4C51"/>
    <w:rsid w:val="000E4DBE"/>
    <w:rsid w:val="000E4F92"/>
    <w:rsid w:val="000E524B"/>
    <w:rsid w:val="000E53EB"/>
    <w:rsid w:val="000E5404"/>
    <w:rsid w:val="000E5495"/>
    <w:rsid w:val="000E56B8"/>
    <w:rsid w:val="000E59ED"/>
    <w:rsid w:val="000E5A5C"/>
    <w:rsid w:val="000E5BED"/>
    <w:rsid w:val="000E5C36"/>
    <w:rsid w:val="000E5CF1"/>
    <w:rsid w:val="000E60A9"/>
    <w:rsid w:val="000E64E3"/>
    <w:rsid w:val="000E68B7"/>
    <w:rsid w:val="000E6926"/>
    <w:rsid w:val="000E6971"/>
    <w:rsid w:val="000E698E"/>
    <w:rsid w:val="000E69CA"/>
    <w:rsid w:val="000E6AE7"/>
    <w:rsid w:val="000E6C35"/>
    <w:rsid w:val="000E7026"/>
    <w:rsid w:val="000E73F2"/>
    <w:rsid w:val="000E7615"/>
    <w:rsid w:val="000E76C7"/>
    <w:rsid w:val="000E76DB"/>
    <w:rsid w:val="000E775A"/>
    <w:rsid w:val="000E7853"/>
    <w:rsid w:val="000E78F8"/>
    <w:rsid w:val="000E7BAB"/>
    <w:rsid w:val="000E7DD5"/>
    <w:rsid w:val="000F01C1"/>
    <w:rsid w:val="000F0312"/>
    <w:rsid w:val="000F033C"/>
    <w:rsid w:val="000F0654"/>
    <w:rsid w:val="000F0658"/>
    <w:rsid w:val="000F0724"/>
    <w:rsid w:val="000F0AEC"/>
    <w:rsid w:val="000F0BA1"/>
    <w:rsid w:val="000F0CB8"/>
    <w:rsid w:val="000F0EBF"/>
    <w:rsid w:val="000F0F80"/>
    <w:rsid w:val="000F11D6"/>
    <w:rsid w:val="000F12C4"/>
    <w:rsid w:val="000F1369"/>
    <w:rsid w:val="000F139B"/>
    <w:rsid w:val="000F1635"/>
    <w:rsid w:val="000F1656"/>
    <w:rsid w:val="000F167B"/>
    <w:rsid w:val="000F1866"/>
    <w:rsid w:val="000F18B2"/>
    <w:rsid w:val="000F1951"/>
    <w:rsid w:val="000F1B7A"/>
    <w:rsid w:val="000F1D60"/>
    <w:rsid w:val="000F1E57"/>
    <w:rsid w:val="000F1E7A"/>
    <w:rsid w:val="000F1F3B"/>
    <w:rsid w:val="000F223E"/>
    <w:rsid w:val="000F22E5"/>
    <w:rsid w:val="000F2368"/>
    <w:rsid w:val="000F253D"/>
    <w:rsid w:val="000F2556"/>
    <w:rsid w:val="000F2831"/>
    <w:rsid w:val="000F2987"/>
    <w:rsid w:val="000F2BA9"/>
    <w:rsid w:val="000F2BF4"/>
    <w:rsid w:val="000F2C21"/>
    <w:rsid w:val="000F2FE6"/>
    <w:rsid w:val="000F306B"/>
    <w:rsid w:val="000F3096"/>
    <w:rsid w:val="000F30AD"/>
    <w:rsid w:val="000F31D1"/>
    <w:rsid w:val="000F32CF"/>
    <w:rsid w:val="000F3331"/>
    <w:rsid w:val="000F3623"/>
    <w:rsid w:val="000F378B"/>
    <w:rsid w:val="000F39A2"/>
    <w:rsid w:val="000F39B4"/>
    <w:rsid w:val="000F3AE3"/>
    <w:rsid w:val="000F3BC0"/>
    <w:rsid w:val="000F3E28"/>
    <w:rsid w:val="000F4155"/>
    <w:rsid w:val="000F45EC"/>
    <w:rsid w:val="000F4737"/>
    <w:rsid w:val="000F499C"/>
    <w:rsid w:val="000F4C18"/>
    <w:rsid w:val="000F4CA1"/>
    <w:rsid w:val="000F4D34"/>
    <w:rsid w:val="000F4DDD"/>
    <w:rsid w:val="000F5461"/>
    <w:rsid w:val="000F54C7"/>
    <w:rsid w:val="000F5709"/>
    <w:rsid w:val="000F5953"/>
    <w:rsid w:val="000F5960"/>
    <w:rsid w:val="000F5972"/>
    <w:rsid w:val="000F5997"/>
    <w:rsid w:val="000F59A6"/>
    <w:rsid w:val="000F5A43"/>
    <w:rsid w:val="000F5CC4"/>
    <w:rsid w:val="000F5EE3"/>
    <w:rsid w:val="000F5F57"/>
    <w:rsid w:val="000F6000"/>
    <w:rsid w:val="000F60D0"/>
    <w:rsid w:val="000F60D2"/>
    <w:rsid w:val="000F6242"/>
    <w:rsid w:val="000F62D9"/>
    <w:rsid w:val="000F636A"/>
    <w:rsid w:val="000F666C"/>
    <w:rsid w:val="000F669F"/>
    <w:rsid w:val="000F6865"/>
    <w:rsid w:val="000F6DCC"/>
    <w:rsid w:val="000F6E4A"/>
    <w:rsid w:val="000F70A6"/>
    <w:rsid w:val="000F7208"/>
    <w:rsid w:val="000F72BC"/>
    <w:rsid w:val="000F7388"/>
    <w:rsid w:val="000F73A3"/>
    <w:rsid w:val="000F7441"/>
    <w:rsid w:val="000F7496"/>
    <w:rsid w:val="000F7785"/>
    <w:rsid w:val="000F780F"/>
    <w:rsid w:val="000F79AC"/>
    <w:rsid w:val="000F7B8E"/>
    <w:rsid w:val="000F7C26"/>
    <w:rsid w:val="000F7E51"/>
    <w:rsid w:val="000F7F3D"/>
    <w:rsid w:val="001001F6"/>
    <w:rsid w:val="00100201"/>
    <w:rsid w:val="00100268"/>
    <w:rsid w:val="00100377"/>
    <w:rsid w:val="001003C6"/>
    <w:rsid w:val="001004F7"/>
    <w:rsid w:val="0010078B"/>
    <w:rsid w:val="00100F70"/>
    <w:rsid w:val="0010102D"/>
    <w:rsid w:val="00101102"/>
    <w:rsid w:val="0010111F"/>
    <w:rsid w:val="00101457"/>
    <w:rsid w:val="0010149D"/>
    <w:rsid w:val="00101701"/>
    <w:rsid w:val="00101747"/>
    <w:rsid w:val="00101755"/>
    <w:rsid w:val="00101899"/>
    <w:rsid w:val="001018B7"/>
    <w:rsid w:val="00101911"/>
    <w:rsid w:val="00101917"/>
    <w:rsid w:val="0010199F"/>
    <w:rsid w:val="00101A56"/>
    <w:rsid w:val="00101E98"/>
    <w:rsid w:val="001020B5"/>
    <w:rsid w:val="001021C8"/>
    <w:rsid w:val="0010244D"/>
    <w:rsid w:val="001025F6"/>
    <w:rsid w:val="00102800"/>
    <w:rsid w:val="00102A66"/>
    <w:rsid w:val="00102C9A"/>
    <w:rsid w:val="00102D26"/>
    <w:rsid w:val="00102F06"/>
    <w:rsid w:val="00102F87"/>
    <w:rsid w:val="00103248"/>
    <w:rsid w:val="001032EB"/>
    <w:rsid w:val="00103518"/>
    <w:rsid w:val="00103544"/>
    <w:rsid w:val="00103615"/>
    <w:rsid w:val="001038B5"/>
    <w:rsid w:val="00103A01"/>
    <w:rsid w:val="00103AC7"/>
    <w:rsid w:val="00103EE4"/>
    <w:rsid w:val="00103F94"/>
    <w:rsid w:val="001040F5"/>
    <w:rsid w:val="00104141"/>
    <w:rsid w:val="0010423B"/>
    <w:rsid w:val="00104261"/>
    <w:rsid w:val="00104283"/>
    <w:rsid w:val="0010449D"/>
    <w:rsid w:val="00104509"/>
    <w:rsid w:val="001045A7"/>
    <w:rsid w:val="001047F3"/>
    <w:rsid w:val="00104982"/>
    <w:rsid w:val="001049E2"/>
    <w:rsid w:val="00104A8F"/>
    <w:rsid w:val="00104B96"/>
    <w:rsid w:val="00104C26"/>
    <w:rsid w:val="00104DB1"/>
    <w:rsid w:val="00104E60"/>
    <w:rsid w:val="00104ECB"/>
    <w:rsid w:val="00104F79"/>
    <w:rsid w:val="001050E6"/>
    <w:rsid w:val="0010525B"/>
    <w:rsid w:val="0010528A"/>
    <w:rsid w:val="0010537F"/>
    <w:rsid w:val="001053D9"/>
    <w:rsid w:val="00105434"/>
    <w:rsid w:val="0010575F"/>
    <w:rsid w:val="001057A5"/>
    <w:rsid w:val="00105A73"/>
    <w:rsid w:val="00105AE5"/>
    <w:rsid w:val="00105B90"/>
    <w:rsid w:val="00105C05"/>
    <w:rsid w:val="00105C16"/>
    <w:rsid w:val="00105CEA"/>
    <w:rsid w:val="00105D06"/>
    <w:rsid w:val="00105F77"/>
    <w:rsid w:val="001061D1"/>
    <w:rsid w:val="001061EC"/>
    <w:rsid w:val="00106883"/>
    <w:rsid w:val="00106BCB"/>
    <w:rsid w:val="00106E9B"/>
    <w:rsid w:val="00106FA3"/>
    <w:rsid w:val="001070D8"/>
    <w:rsid w:val="001072EB"/>
    <w:rsid w:val="00107461"/>
    <w:rsid w:val="0010763E"/>
    <w:rsid w:val="00107ACE"/>
    <w:rsid w:val="00107C39"/>
    <w:rsid w:val="00107C6A"/>
    <w:rsid w:val="00107D27"/>
    <w:rsid w:val="001100F2"/>
    <w:rsid w:val="001101C2"/>
    <w:rsid w:val="00110270"/>
    <w:rsid w:val="0011032E"/>
    <w:rsid w:val="00110345"/>
    <w:rsid w:val="00110394"/>
    <w:rsid w:val="0011061B"/>
    <w:rsid w:val="00110889"/>
    <w:rsid w:val="001108B9"/>
    <w:rsid w:val="00110942"/>
    <w:rsid w:val="00110959"/>
    <w:rsid w:val="00110969"/>
    <w:rsid w:val="001109D4"/>
    <w:rsid w:val="00110B89"/>
    <w:rsid w:val="00110BAF"/>
    <w:rsid w:val="00110BD8"/>
    <w:rsid w:val="00110C23"/>
    <w:rsid w:val="00110CED"/>
    <w:rsid w:val="00110E77"/>
    <w:rsid w:val="00110F80"/>
    <w:rsid w:val="00111074"/>
    <w:rsid w:val="001112BF"/>
    <w:rsid w:val="0011143D"/>
    <w:rsid w:val="00111A4C"/>
    <w:rsid w:val="00111AAF"/>
    <w:rsid w:val="00111C50"/>
    <w:rsid w:val="00111CF6"/>
    <w:rsid w:val="00111D2C"/>
    <w:rsid w:val="00111D60"/>
    <w:rsid w:val="00111D6B"/>
    <w:rsid w:val="00111EC5"/>
    <w:rsid w:val="00112301"/>
    <w:rsid w:val="001124AB"/>
    <w:rsid w:val="00112A20"/>
    <w:rsid w:val="00112DD0"/>
    <w:rsid w:val="001130BC"/>
    <w:rsid w:val="001131F1"/>
    <w:rsid w:val="0011327A"/>
    <w:rsid w:val="0011356A"/>
    <w:rsid w:val="001137FF"/>
    <w:rsid w:val="00113875"/>
    <w:rsid w:val="00113895"/>
    <w:rsid w:val="0011395D"/>
    <w:rsid w:val="0011396C"/>
    <w:rsid w:val="00113A4F"/>
    <w:rsid w:val="00113AD7"/>
    <w:rsid w:val="00113B5A"/>
    <w:rsid w:val="00113BBC"/>
    <w:rsid w:val="00113C69"/>
    <w:rsid w:val="00113CB9"/>
    <w:rsid w:val="00113E30"/>
    <w:rsid w:val="00113F10"/>
    <w:rsid w:val="0011400A"/>
    <w:rsid w:val="00114126"/>
    <w:rsid w:val="001141A5"/>
    <w:rsid w:val="00114214"/>
    <w:rsid w:val="001146F8"/>
    <w:rsid w:val="00114959"/>
    <w:rsid w:val="00114E58"/>
    <w:rsid w:val="00114FF2"/>
    <w:rsid w:val="001151D8"/>
    <w:rsid w:val="001152C1"/>
    <w:rsid w:val="00115542"/>
    <w:rsid w:val="00115594"/>
    <w:rsid w:val="001156C9"/>
    <w:rsid w:val="00115A01"/>
    <w:rsid w:val="00115A41"/>
    <w:rsid w:val="00115AEE"/>
    <w:rsid w:val="00115B86"/>
    <w:rsid w:val="00115EBF"/>
    <w:rsid w:val="00115F93"/>
    <w:rsid w:val="0011601A"/>
    <w:rsid w:val="001160F8"/>
    <w:rsid w:val="001162DE"/>
    <w:rsid w:val="00116486"/>
    <w:rsid w:val="001165F7"/>
    <w:rsid w:val="001166CE"/>
    <w:rsid w:val="001166D2"/>
    <w:rsid w:val="00116768"/>
    <w:rsid w:val="001168F7"/>
    <w:rsid w:val="00116A00"/>
    <w:rsid w:val="00116A84"/>
    <w:rsid w:val="00116AAF"/>
    <w:rsid w:val="00116B40"/>
    <w:rsid w:val="00116BA2"/>
    <w:rsid w:val="00116BEB"/>
    <w:rsid w:val="00116BF7"/>
    <w:rsid w:val="00116DE9"/>
    <w:rsid w:val="00117062"/>
    <w:rsid w:val="00117228"/>
    <w:rsid w:val="001173B2"/>
    <w:rsid w:val="00117400"/>
    <w:rsid w:val="0011753F"/>
    <w:rsid w:val="0011768F"/>
    <w:rsid w:val="001177D0"/>
    <w:rsid w:val="00117AE9"/>
    <w:rsid w:val="00117B58"/>
    <w:rsid w:val="0012018C"/>
    <w:rsid w:val="00120334"/>
    <w:rsid w:val="001206A7"/>
    <w:rsid w:val="001207B7"/>
    <w:rsid w:val="001208B0"/>
    <w:rsid w:val="00120A81"/>
    <w:rsid w:val="00120CEA"/>
    <w:rsid w:val="00120F54"/>
    <w:rsid w:val="00120FA1"/>
    <w:rsid w:val="00121538"/>
    <w:rsid w:val="001216C8"/>
    <w:rsid w:val="00121712"/>
    <w:rsid w:val="001217F0"/>
    <w:rsid w:val="0012191D"/>
    <w:rsid w:val="00121A5E"/>
    <w:rsid w:val="00121BBA"/>
    <w:rsid w:val="00121BD5"/>
    <w:rsid w:val="00121C65"/>
    <w:rsid w:val="00121D29"/>
    <w:rsid w:val="00121DB1"/>
    <w:rsid w:val="00121F27"/>
    <w:rsid w:val="00121F81"/>
    <w:rsid w:val="00121FB7"/>
    <w:rsid w:val="00121FD5"/>
    <w:rsid w:val="00121FE8"/>
    <w:rsid w:val="001220C0"/>
    <w:rsid w:val="001220E0"/>
    <w:rsid w:val="0012213F"/>
    <w:rsid w:val="001221BB"/>
    <w:rsid w:val="001223EF"/>
    <w:rsid w:val="001225EE"/>
    <w:rsid w:val="00122689"/>
    <w:rsid w:val="001227C3"/>
    <w:rsid w:val="001228CF"/>
    <w:rsid w:val="001228DA"/>
    <w:rsid w:val="001229E9"/>
    <w:rsid w:val="00122C7A"/>
    <w:rsid w:val="00122C9E"/>
    <w:rsid w:val="00122DE8"/>
    <w:rsid w:val="00122F46"/>
    <w:rsid w:val="00122F89"/>
    <w:rsid w:val="00122F98"/>
    <w:rsid w:val="0012304D"/>
    <w:rsid w:val="0012318D"/>
    <w:rsid w:val="00123237"/>
    <w:rsid w:val="00123320"/>
    <w:rsid w:val="001234CB"/>
    <w:rsid w:val="0012368C"/>
    <w:rsid w:val="00123722"/>
    <w:rsid w:val="001237D9"/>
    <w:rsid w:val="00123814"/>
    <w:rsid w:val="00123851"/>
    <w:rsid w:val="0012393D"/>
    <w:rsid w:val="00123ACB"/>
    <w:rsid w:val="00123B18"/>
    <w:rsid w:val="00123B38"/>
    <w:rsid w:val="00123BD7"/>
    <w:rsid w:val="00123EF8"/>
    <w:rsid w:val="00124066"/>
    <w:rsid w:val="001243D1"/>
    <w:rsid w:val="001244C6"/>
    <w:rsid w:val="00124607"/>
    <w:rsid w:val="0012484D"/>
    <w:rsid w:val="001249D7"/>
    <w:rsid w:val="00124B63"/>
    <w:rsid w:val="00124C08"/>
    <w:rsid w:val="00124C52"/>
    <w:rsid w:val="00124D13"/>
    <w:rsid w:val="00124D16"/>
    <w:rsid w:val="00124D94"/>
    <w:rsid w:val="00124DD6"/>
    <w:rsid w:val="00124F5D"/>
    <w:rsid w:val="001250AA"/>
    <w:rsid w:val="001252BC"/>
    <w:rsid w:val="001252ED"/>
    <w:rsid w:val="001257DB"/>
    <w:rsid w:val="001259DE"/>
    <w:rsid w:val="00125A1C"/>
    <w:rsid w:val="00125A58"/>
    <w:rsid w:val="00125B5E"/>
    <w:rsid w:val="00125B74"/>
    <w:rsid w:val="00125B83"/>
    <w:rsid w:val="0012612B"/>
    <w:rsid w:val="0012619E"/>
    <w:rsid w:val="001262A8"/>
    <w:rsid w:val="001262BD"/>
    <w:rsid w:val="00126491"/>
    <w:rsid w:val="00126713"/>
    <w:rsid w:val="001268B2"/>
    <w:rsid w:val="001268FF"/>
    <w:rsid w:val="00126B7B"/>
    <w:rsid w:val="00126CCD"/>
    <w:rsid w:val="00126F24"/>
    <w:rsid w:val="00127074"/>
    <w:rsid w:val="001270AE"/>
    <w:rsid w:val="0012734D"/>
    <w:rsid w:val="001275C6"/>
    <w:rsid w:val="0012788B"/>
    <w:rsid w:val="001278F8"/>
    <w:rsid w:val="00127B77"/>
    <w:rsid w:val="00127BA3"/>
    <w:rsid w:val="00127BAD"/>
    <w:rsid w:val="00127FBD"/>
    <w:rsid w:val="00130212"/>
    <w:rsid w:val="00130390"/>
    <w:rsid w:val="001304BB"/>
    <w:rsid w:val="00130862"/>
    <w:rsid w:val="00130B09"/>
    <w:rsid w:val="00130CFF"/>
    <w:rsid w:val="00130D6C"/>
    <w:rsid w:val="00130D96"/>
    <w:rsid w:val="00130FBB"/>
    <w:rsid w:val="001310A1"/>
    <w:rsid w:val="001315D6"/>
    <w:rsid w:val="00131600"/>
    <w:rsid w:val="001316DF"/>
    <w:rsid w:val="00131840"/>
    <w:rsid w:val="00131A60"/>
    <w:rsid w:val="00131A64"/>
    <w:rsid w:val="00131C36"/>
    <w:rsid w:val="00131C7E"/>
    <w:rsid w:val="00131CA1"/>
    <w:rsid w:val="00131D0C"/>
    <w:rsid w:val="00131E47"/>
    <w:rsid w:val="00131FBD"/>
    <w:rsid w:val="00132065"/>
    <w:rsid w:val="00132093"/>
    <w:rsid w:val="0013215A"/>
    <w:rsid w:val="00132164"/>
    <w:rsid w:val="0013248D"/>
    <w:rsid w:val="00132492"/>
    <w:rsid w:val="001324A7"/>
    <w:rsid w:val="001327DB"/>
    <w:rsid w:val="0013284A"/>
    <w:rsid w:val="0013285A"/>
    <w:rsid w:val="0013285F"/>
    <w:rsid w:val="00132A9A"/>
    <w:rsid w:val="00132F90"/>
    <w:rsid w:val="0013314B"/>
    <w:rsid w:val="0013337B"/>
    <w:rsid w:val="00133745"/>
    <w:rsid w:val="00133E66"/>
    <w:rsid w:val="00134135"/>
    <w:rsid w:val="001342AD"/>
    <w:rsid w:val="0013450D"/>
    <w:rsid w:val="00134606"/>
    <w:rsid w:val="00134692"/>
    <w:rsid w:val="00134724"/>
    <w:rsid w:val="001347F9"/>
    <w:rsid w:val="00134E08"/>
    <w:rsid w:val="00134E10"/>
    <w:rsid w:val="00134E2D"/>
    <w:rsid w:val="00134E70"/>
    <w:rsid w:val="00134F48"/>
    <w:rsid w:val="001350DF"/>
    <w:rsid w:val="0013510D"/>
    <w:rsid w:val="001351AC"/>
    <w:rsid w:val="0013527A"/>
    <w:rsid w:val="0013557E"/>
    <w:rsid w:val="00135730"/>
    <w:rsid w:val="001358E8"/>
    <w:rsid w:val="00135A68"/>
    <w:rsid w:val="00135A98"/>
    <w:rsid w:val="00135BC3"/>
    <w:rsid w:val="00135C83"/>
    <w:rsid w:val="00135CD6"/>
    <w:rsid w:val="00135F9A"/>
    <w:rsid w:val="0013609C"/>
    <w:rsid w:val="001360A4"/>
    <w:rsid w:val="00136112"/>
    <w:rsid w:val="00136130"/>
    <w:rsid w:val="001361E5"/>
    <w:rsid w:val="0013621E"/>
    <w:rsid w:val="001362AA"/>
    <w:rsid w:val="00136323"/>
    <w:rsid w:val="001363A9"/>
    <w:rsid w:val="00136822"/>
    <w:rsid w:val="00136998"/>
    <w:rsid w:val="001369A4"/>
    <w:rsid w:val="001369EF"/>
    <w:rsid w:val="00136AD8"/>
    <w:rsid w:val="00136AF2"/>
    <w:rsid w:val="00136C0A"/>
    <w:rsid w:val="00136E7C"/>
    <w:rsid w:val="00136EB5"/>
    <w:rsid w:val="00136FBB"/>
    <w:rsid w:val="00137027"/>
    <w:rsid w:val="00137354"/>
    <w:rsid w:val="0013750B"/>
    <w:rsid w:val="00137551"/>
    <w:rsid w:val="001376F9"/>
    <w:rsid w:val="0013786A"/>
    <w:rsid w:val="00137924"/>
    <w:rsid w:val="001379D4"/>
    <w:rsid w:val="00137B0C"/>
    <w:rsid w:val="00137BDD"/>
    <w:rsid w:val="00137D8F"/>
    <w:rsid w:val="00137DFA"/>
    <w:rsid w:val="00137E5F"/>
    <w:rsid w:val="00140019"/>
    <w:rsid w:val="0014001D"/>
    <w:rsid w:val="001403D8"/>
    <w:rsid w:val="00140431"/>
    <w:rsid w:val="00140439"/>
    <w:rsid w:val="0014066C"/>
    <w:rsid w:val="001407D2"/>
    <w:rsid w:val="0014080B"/>
    <w:rsid w:val="00140A2B"/>
    <w:rsid w:val="00140BE8"/>
    <w:rsid w:val="00140CEE"/>
    <w:rsid w:val="00140D25"/>
    <w:rsid w:val="00140D46"/>
    <w:rsid w:val="00140D65"/>
    <w:rsid w:val="00140EE0"/>
    <w:rsid w:val="0014110C"/>
    <w:rsid w:val="001411E5"/>
    <w:rsid w:val="0014124D"/>
    <w:rsid w:val="00141469"/>
    <w:rsid w:val="001414BE"/>
    <w:rsid w:val="001414C4"/>
    <w:rsid w:val="001415D6"/>
    <w:rsid w:val="001415EF"/>
    <w:rsid w:val="001418B1"/>
    <w:rsid w:val="00141AFB"/>
    <w:rsid w:val="00141C55"/>
    <w:rsid w:val="00141C65"/>
    <w:rsid w:val="00141D57"/>
    <w:rsid w:val="00141ED4"/>
    <w:rsid w:val="00141F06"/>
    <w:rsid w:val="0014219A"/>
    <w:rsid w:val="00142291"/>
    <w:rsid w:val="001423A2"/>
    <w:rsid w:val="00142590"/>
    <w:rsid w:val="001425DB"/>
    <w:rsid w:val="001425E3"/>
    <w:rsid w:val="001426F6"/>
    <w:rsid w:val="001427FE"/>
    <w:rsid w:val="001428E3"/>
    <w:rsid w:val="0014291B"/>
    <w:rsid w:val="00142923"/>
    <w:rsid w:val="001429B9"/>
    <w:rsid w:val="00142A36"/>
    <w:rsid w:val="00142C2E"/>
    <w:rsid w:val="00142FC4"/>
    <w:rsid w:val="0014305E"/>
    <w:rsid w:val="001430A0"/>
    <w:rsid w:val="0014316A"/>
    <w:rsid w:val="00143204"/>
    <w:rsid w:val="001432F6"/>
    <w:rsid w:val="0014342E"/>
    <w:rsid w:val="0014395B"/>
    <w:rsid w:val="001439EE"/>
    <w:rsid w:val="00143AEA"/>
    <w:rsid w:val="00143B65"/>
    <w:rsid w:val="00143CFC"/>
    <w:rsid w:val="00143D15"/>
    <w:rsid w:val="00143DA7"/>
    <w:rsid w:val="00143DFA"/>
    <w:rsid w:val="001443F2"/>
    <w:rsid w:val="0014445B"/>
    <w:rsid w:val="0014446B"/>
    <w:rsid w:val="0014456E"/>
    <w:rsid w:val="0014479B"/>
    <w:rsid w:val="00144B00"/>
    <w:rsid w:val="00144E98"/>
    <w:rsid w:val="00144FD5"/>
    <w:rsid w:val="001450A2"/>
    <w:rsid w:val="00145197"/>
    <w:rsid w:val="00145446"/>
    <w:rsid w:val="00145A2C"/>
    <w:rsid w:val="00145ADE"/>
    <w:rsid w:val="00145BA3"/>
    <w:rsid w:val="00145D79"/>
    <w:rsid w:val="00145D91"/>
    <w:rsid w:val="00145F88"/>
    <w:rsid w:val="00145FF7"/>
    <w:rsid w:val="0014606A"/>
    <w:rsid w:val="001461F8"/>
    <w:rsid w:val="001462DB"/>
    <w:rsid w:val="00146384"/>
    <w:rsid w:val="0014648F"/>
    <w:rsid w:val="001464FD"/>
    <w:rsid w:val="00146544"/>
    <w:rsid w:val="001465D2"/>
    <w:rsid w:val="001466F5"/>
    <w:rsid w:val="00146708"/>
    <w:rsid w:val="001467C7"/>
    <w:rsid w:val="00146AC2"/>
    <w:rsid w:val="00146C4A"/>
    <w:rsid w:val="00146DD7"/>
    <w:rsid w:val="00146DD9"/>
    <w:rsid w:val="00146E96"/>
    <w:rsid w:val="00146ECE"/>
    <w:rsid w:val="00147361"/>
    <w:rsid w:val="001473DF"/>
    <w:rsid w:val="00147473"/>
    <w:rsid w:val="001474D0"/>
    <w:rsid w:val="00147506"/>
    <w:rsid w:val="001477D7"/>
    <w:rsid w:val="001479C7"/>
    <w:rsid w:val="00147C66"/>
    <w:rsid w:val="00147C86"/>
    <w:rsid w:val="00147CAF"/>
    <w:rsid w:val="00147EDF"/>
    <w:rsid w:val="00147F31"/>
    <w:rsid w:val="00147F46"/>
    <w:rsid w:val="001502E2"/>
    <w:rsid w:val="0015031A"/>
    <w:rsid w:val="001503F5"/>
    <w:rsid w:val="001504C3"/>
    <w:rsid w:val="001504DF"/>
    <w:rsid w:val="0015062D"/>
    <w:rsid w:val="001507A4"/>
    <w:rsid w:val="001508F0"/>
    <w:rsid w:val="00150AC9"/>
    <w:rsid w:val="00150C4B"/>
    <w:rsid w:val="00150C90"/>
    <w:rsid w:val="00150E00"/>
    <w:rsid w:val="00150E4A"/>
    <w:rsid w:val="0015139A"/>
    <w:rsid w:val="001514F1"/>
    <w:rsid w:val="00151634"/>
    <w:rsid w:val="00151866"/>
    <w:rsid w:val="001518E0"/>
    <w:rsid w:val="00151A21"/>
    <w:rsid w:val="00151B37"/>
    <w:rsid w:val="00151BA3"/>
    <w:rsid w:val="00151BD7"/>
    <w:rsid w:val="00151C2D"/>
    <w:rsid w:val="00151C33"/>
    <w:rsid w:val="00151CA8"/>
    <w:rsid w:val="00151D22"/>
    <w:rsid w:val="00151E89"/>
    <w:rsid w:val="00151EDD"/>
    <w:rsid w:val="00151EDE"/>
    <w:rsid w:val="00151EFA"/>
    <w:rsid w:val="00152166"/>
    <w:rsid w:val="0015222F"/>
    <w:rsid w:val="00152289"/>
    <w:rsid w:val="001522AC"/>
    <w:rsid w:val="00152301"/>
    <w:rsid w:val="0015233E"/>
    <w:rsid w:val="0015251C"/>
    <w:rsid w:val="00152673"/>
    <w:rsid w:val="001526F0"/>
    <w:rsid w:val="00152763"/>
    <w:rsid w:val="00152BE0"/>
    <w:rsid w:val="00152D47"/>
    <w:rsid w:val="00152F79"/>
    <w:rsid w:val="0015324F"/>
    <w:rsid w:val="001536C9"/>
    <w:rsid w:val="00153744"/>
    <w:rsid w:val="00153A1D"/>
    <w:rsid w:val="00153E2A"/>
    <w:rsid w:val="00153E4F"/>
    <w:rsid w:val="00153E86"/>
    <w:rsid w:val="00153F5A"/>
    <w:rsid w:val="00153FC3"/>
    <w:rsid w:val="00154048"/>
    <w:rsid w:val="001540CB"/>
    <w:rsid w:val="001540F3"/>
    <w:rsid w:val="001542EB"/>
    <w:rsid w:val="00154A1B"/>
    <w:rsid w:val="00154B4D"/>
    <w:rsid w:val="00154B83"/>
    <w:rsid w:val="00154B9A"/>
    <w:rsid w:val="00154CDD"/>
    <w:rsid w:val="00154D71"/>
    <w:rsid w:val="00154E73"/>
    <w:rsid w:val="001552D2"/>
    <w:rsid w:val="00155324"/>
    <w:rsid w:val="0015574C"/>
    <w:rsid w:val="00155946"/>
    <w:rsid w:val="00155955"/>
    <w:rsid w:val="0015598F"/>
    <w:rsid w:val="001559D8"/>
    <w:rsid w:val="00155A51"/>
    <w:rsid w:val="00155D43"/>
    <w:rsid w:val="00155E0F"/>
    <w:rsid w:val="00155EFD"/>
    <w:rsid w:val="00156079"/>
    <w:rsid w:val="00156205"/>
    <w:rsid w:val="001562C2"/>
    <w:rsid w:val="001562EF"/>
    <w:rsid w:val="001562F2"/>
    <w:rsid w:val="00156409"/>
    <w:rsid w:val="001565D9"/>
    <w:rsid w:val="001565E5"/>
    <w:rsid w:val="00156967"/>
    <w:rsid w:val="00156A36"/>
    <w:rsid w:val="00156B05"/>
    <w:rsid w:val="00156CFE"/>
    <w:rsid w:val="00156D0F"/>
    <w:rsid w:val="00156E8C"/>
    <w:rsid w:val="00156F21"/>
    <w:rsid w:val="0015716F"/>
    <w:rsid w:val="001572A8"/>
    <w:rsid w:val="001573D3"/>
    <w:rsid w:val="0015741E"/>
    <w:rsid w:val="00157BC9"/>
    <w:rsid w:val="00157DCB"/>
    <w:rsid w:val="00157E09"/>
    <w:rsid w:val="00157E1E"/>
    <w:rsid w:val="00160070"/>
    <w:rsid w:val="001602D1"/>
    <w:rsid w:val="00160611"/>
    <w:rsid w:val="0016077B"/>
    <w:rsid w:val="001607FC"/>
    <w:rsid w:val="00160C9C"/>
    <w:rsid w:val="00160E98"/>
    <w:rsid w:val="00160EB1"/>
    <w:rsid w:val="001610F2"/>
    <w:rsid w:val="0016139F"/>
    <w:rsid w:val="0016159B"/>
    <w:rsid w:val="001615F3"/>
    <w:rsid w:val="0016168A"/>
    <w:rsid w:val="00161709"/>
    <w:rsid w:val="00161758"/>
    <w:rsid w:val="00161893"/>
    <w:rsid w:val="0016189F"/>
    <w:rsid w:val="00161B5B"/>
    <w:rsid w:val="00161E08"/>
    <w:rsid w:val="00161E40"/>
    <w:rsid w:val="00161E6F"/>
    <w:rsid w:val="00161FFE"/>
    <w:rsid w:val="001621D5"/>
    <w:rsid w:val="00162247"/>
    <w:rsid w:val="001622AC"/>
    <w:rsid w:val="001622BF"/>
    <w:rsid w:val="00162342"/>
    <w:rsid w:val="00162380"/>
    <w:rsid w:val="0016249B"/>
    <w:rsid w:val="00162687"/>
    <w:rsid w:val="001626EC"/>
    <w:rsid w:val="0016275D"/>
    <w:rsid w:val="00162A82"/>
    <w:rsid w:val="00162C20"/>
    <w:rsid w:val="00162C84"/>
    <w:rsid w:val="00162D8C"/>
    <w:rsid w:val="00162DC1"/>
    <w:rsid w:val="00162E34"/>
    <w:rsid w:val="001630CE"/>
    <w:rsid w:val="00163155"/>
    <w:rsid w:val="001634C0"/>
    <w:rsid w:val="001634E5"/>
    <w:rsid w:val="001634E9"/>
    <w:rsid w:val="00163552"/>
    <w:rsid w:val="00163685"/>
    <w:rsid w:val="0016379A"/>
    <w:rsid w:val="001639EC"/>
    <w:rsid w:val="00163A57"/>
    <w:rsid w:val="00163F63"/>
    <w:rsid w:val="00164187"/>
    <w:rsid w:val="001641AA"/>
    <w:rsid w:val="001642E2"/>
    <w:rsid w:val="0016482C"/>
    <w:rsid w:val="00164967"/>
    <w:rsid w:val="00164B5B"/>
    <w:rsid w:val="00164C71"/>
    <w:rsid w:val="00164E62"/>
    <w:rsid w:val="00165056"/>
    <w:rsid w:val="001651C1"/>
    <w:rsid w:val="0016533A"/>
    <w:rsid w:val="001656B3"/>
    <w:rsid w:val="00165912"/>
    <w:rsid w:val="00165B1E"/>
    <w:rsid w:val="00165D31"/>
    <w:rsid w:val="00165EF0"/>
    <w:rsid w:val="00165F72"/>
    <w:rsid w:val="00166059"/>
    <w:rsid w:val="001661C6"/>
    <w:rsid w:val="00166201"/>
    <w:rsid w:val="00166449"/>
    <w:rsid w:val="00166549"/>
    <w:rsid w:val="00166570"/>
    <w:rsid w:val="001665F6"/>
    <w:rsid w:val="001666D1"/>
    <w:rsid w:val="00166988"/>
    <w:rsid w:val="00166B24"/>
    <w:rsid w:val="00166F10"/>
    <w:rsid w:val="00166FDD"/>
    <w:rsid w:val="0016723C"/>
    <w:rsid w:val="0016740F"/>
    <w:rsid w:val="0016750C"/>
    <w:rsid w:val="0016762E"/>
    <w:rsid w:val="00167732"/>
    <w:rsid w:val="0016779E"/>
    <w:rsid w:val="0016780B"/>
    <w:rsid w:val="00167858"/>
    <w:rsid w:val="001678F6"/>
    <w:rsid w:val="00167A60"/>
    <w:rsid w:val="00167EF4"/>
    <w:rsid w:val="00167FA1"/>
    <w:rsid w:val="00170274"/>
    <w:rsid w:val="00170392"/>
    <w:rsid w:val="001704EE"/>
    <w:rsid w:val="00170585"/>
    <w:rsid w:val="00170792"/>
    <w:rsid w:val="00170871"/>
    <w:rsid w:val="001708B1"/>
    <w:rsid w:val="00170B6E"/>
    <w:rsid w:val="00170CCB"/>
    <w:rsid w:val="00170F75"/>
    <w:rsid w:val="001715A6"/>
    <w:rsid w:val="001715E1"/>
    <w:rsid w:val="001715F2"/>
    <w:rsid w:val="00171697"/>
    <w:rsid w:val="001717D6"/>
    <w:rsid w:val="0017182A"/>
    <w:rsid w:val="00171879"/>
    <w:rsid w:val="0017192A"/>
    <w:rsid w:val="0017193F"/>
    <w:rsid w:val="00171BE6"/>
    <w:rsid w:val="00171FD4"/>
    <w:rsid w:val="0017212F"/>
    <w:rsid w:val="00172179"/>
    <w:rsid w:val="00172262"/>
    <w:rsid w:val="0017235C"/>
    <w:rsid w:val="00172592"/>
    <w:rsid w:val="00172639"/>
    <w:rsid w:val="001726B3"/>
    <w:rsid w:val="001726DA"/>
    <w:rsid w:val="00172991"/>
    <w:rsid w:val="001729DF"/>
    <w:rsid w:val="00172B4E"/>
    <w:rsid w:val="00172C45"/>
    <w:rsid w:val="00172C5C"/>
    <w:rsid w:val="00172CA3"/>
    <w:rsid w:val="00172CA6"/>
    <w:rsid w:val="00172DED"/>
    <w:rsid w:val="00172E4C"/>
    <w:rsid w:val="00172E59"/>
    <w:rsid w:val="00172F5E"/>
    <w:rsid w:val="00172FC3"/>
    <w:rsid w:val="001730B1"/>
    <w:rsid w:val="001730D6"/>
    <w:rsid w:val="00173129"/>
    <w:rsid w:val="001731DB"/>
    <w:rsid w:val="00173203"/>
    <w:rsid w:val="00173347"/>
    <w:rsid w:val="0017336B"/>
    <w:rsid w:val="001733AE"/>
    <w:rsid w:val="001734AA"/>
    <w:rsid w:val="001735E0"/>
    <w:rsid w:val="001735FE"/>
    <w:rsid w:val="0017364C"/>
    <w:rsid w:val="001738AC"/>
    <w:rsid w:val="001738B6"/>
    <w:rsid w:val="00173D8B"/>
    <w:rsid w:val="00173FB0"/>
    <w:rsid w:val="00173FC3"/>
    <w:rsid w:val="001740F8"/>
    <w:rsid w:val="0017445B"/>
    <w:rsid w:val="001748E4"/>
    <w:rsid w:val="00174942"/>
    <w:rsid w:val="00174D48"/>
    <w:rsid w:val="00174D58"/>
    <w:rsid w:val="00174EEF"/>
    <w:rsid w:val="00174F37"/>
    <w:rsid w:val="0017503E"/>
    <w:rsid w:val="00175158"/>
    <w:rsid w:val="0017524E"/>
    <w:rsid w:val="001753EE"/>
    <w:rsid w:val="001756E4"/>
    <w:rsid w:val="0017580F"/>
    <w:rsid w:val="001759AD"/>
    <w:rsid w:val="00175A1B"/>
    <w:rsid w:val="00175E73"/>
    <w:rsid w:val="00175EA1"/>
    <w:rsid w:val="00175EB2"/>
    <w:rsid w:val="00175F3A"/>
    <w:rsid w:val="0017607A"/>
    <w:rsid w:val="0017610B"/>
    <w:rsid w:val="00176110"/>
    <w:rsid w:val="00176198"/>
    <w:rsid w:val="0017628D"/>
    <w:rsid w:val="0017631E"/>
    <w:rsid w:val="00176353"/>
    <w:rsid w:val="00176412"/>
    <w:rsid w:val="00176475"/>
    <w:rsid w:val="001764FA"/>
    <w:rsid w:val="00176749"/>
    <w:rsid w:val="00176931"/>
    <w:rsid w:val="00176945"/>
    <w:rsid w:val="00176C0F"/>
    <w:rsid w:val="00176D0B"/>
    <w:rsid w:val="00177073"/>
    <w:rsid w:val="001771D1"/>
    <w:rsid w:val="0017731E"/>
    <w:rsid w:val="00177458"/>
    <w:rsid w:val="00177510"/>
    <w:rsid w:val="00177619"/>
    <w:rsid w:val="00177662"/>
    <w:rsid w:val="001779BC"/>
    <w:rsid w:val="00177A7E"/>
    <w:rsid w:val="00177B1D"/>
    <w:rsid w:val="00177B7A"/>
    <w:rsid w:val="00177B97"/>
    <w:rsid w:val="00177CBA"/>
    <w:rsid w:val="00177DBC"/>
    <w:rsid w:val="00177E52"/>
    <w:rsid w:val="00177E6E"/>
    <w:rsid w:val="00177EDB"/>
    <w:rsid w:val="001801F3"/>
    <w:rsid w:val="001802D6"/>
    <w:rsid w:val="0018037C"/>
    <w:rsid w:val="00180468"/>
    <w:rsid w:val="00180494"/>
    <w:rsid w:val="00180710"/>
    <w:rsid w:val="001807CD"/>
    <w:rsid w:val="00180826"/>
    <w:rsid w:val="001808B4"/>
    <w:rsid w:val="001809AC"/>
    <w:rsid w:val="001809CD"/>
    <w:rsid w:val="00180B31"/>
    <w:rsid w:val="00180DB8"/>
    <w:rsid w:val="00180FEC"/>
    <w:rsid w:val="00181033"/>
    <w:rsid w:val="00181041"/>
    <w:rsid w:val="001810E2"/>
    <w:rsid w:val="00181229"/>
    <w:rsid w:val="0018124A"/>
    <w:rsid w:val="001814E0"/>
    <w:rsid w:val="001815F5"/>
    <w:rsid w:val="00181981"/>
    <w:rsid w:val="00181AAD"/>
    <w:rsid w:val="00181AF1"/>
    <w:rsid w:val="00181B29"/>
    <w:rsid w:val="00181B6E"/>
    <w:rsid w:val="00181EF1"/>
    <w:rsid w:val="00182474"/>
    <w:rsid w:val="001825EA"/>
    <w:rsid w:val="00182675"/>
    <w:rsid w:val="00182718"/>
    <w:rsid w:val="00182742"/>
    <w:rsid w:val="00182F86"/>
    <w:rsid w:val="00183010"/>
    <w:rsid w:val="0018309C"/>
    <w:rsid w:val="00183183"/>
    <w:rsid w:val="00183214"/>
    <w:rsid w:val="0018323E"/>
    <w:rsid w:val="0018328C"/>
    <w:rsid w:val="0018344E"/>
    <w:rsid w:val="0018346D"/>
    <w:rsid w:val="00183471"/>
    <w:rsid w:val="001835D1"/>
    <w:rsid w:val="0018365F"/>
    <w:rsid w:val="0018367E"/>
    <w:rsid w:val="001839B8"/>
    <w:rsid w:val="00183A07"/>
    <w:rsid w:val="00183ADC"/>
    <w:rsid w:val="00183C95"/>
    <w:rsid w:val="00183E04"/>
    <w:rsid w:val="00184000"/>
    <w:rsid w:val="00184026"/>
    <w:rsid w:val="0018407A"/>
    <w:rsid w:val="00184150"/>
    <w:rsid w:val="0018415A"/>
    <w:rsid w:val="001841EF"/>
    <w:rsid w:val="00184491"/>
    <w:rsid w:val="001844CE"/>
    <w:rsid w:val="0018458B"/>
    <w:rsid w:val="0018458F"/>
    <w:rsid w:val="001846B2"/>
    <w:rsid w:val="00184726"/>
    <w:rsid w:val="00184803"/>
    <w:rsid w:val="0018485E"/>
    <w:rsid w:val="0018489E"/>
    <w:rsid w:val="001848AC"/>
    <w:rsid w:val="00184EBF"/>
    <w:rsid w:val="00185266"/>
    <w:rsid w:val="0018541E"/>
    <w:rsid w:val="0018576C"/>
    <w:rsid w:val="001857E3"/>
    <w:rsid w:val="00185A40"/>
    <w:rsid w:val="00185ABA"/>
    <w:rsid w:val="00185B3E"/>
    <w:rsid w:val="00185CC8"/>
    <w:rsid w:val="00185DBC"/>
    <w:rsid w:val="0018615F"/>
    <w:rsid w:val="0018621A"/>
    <w:rsid w:val="00186278"/>
    <w:rsid w:val="0018693D"/>
    <w:rsid w:val="00186998"/>
    <w:rsid w:val="0018699D"/>
    <w:rsid w:val="001869BF"/>
    <w:rsid w:val="00186A66"/>
    <w:rsid w:val="00186BA0"/>
    <w:rsid w:val="00186DE9"/>
    <w:rsid w:val="00186F64"/>
    <w:rsid w:val="001870DD"/>
    <w:rsid w:val="0018714E"/>
    <w:rsid w:val="00187427"/>
    <w:rsid w:val="00187503"/>
    <w:rsid w:val="001875B5"/>
    <w:rsid w:val="0018773E"/>
    <w:rsid w:val="00187876"/>
    <w:rsid w:val="00187AB4"/>
    <w:rsid w:val="00187C8C"/>
    <w:rsid w:val="00187EAD"/>
    <w:rsid w:val="0019005E"/>
    <w:rsid w:val="001900FF"/>
    <w:rsid w:val="0019025E"/>
    <w:rsid w:val="0019054A"/>
    <w:rsid w:val="0019056D"/>
    <w:rsid w:val="00190685"/>
    <w:rsid w:val="001906F7"/>
    <w:rsid w:val="00190762"/>
    <w:rsid w:val="0019077B"/>
    <w:rsid w:val="001908E2"/>
    <w:rsid w:val="00190C0E"/>
    <w:rsid w:val="00190FDA"/>
    <w:rsid w:val="001912BA"/>
    <w:rsid w:val="00191469"/>
    <w:rsid w:val="0019157B"/>
    <w:rsid w:val="00191793"/>
    <w:rsid w:val="001917C0"/>
    <w:rsid w:val="001917E0"/>
    <w:rsid w:val="001918F3"/>
    <w:rsid w:val="00191973"/>
    <w:rsid w:val="00191A50"/>
    <w:rsid w:val="00191A99"/>
    <w:rsid w:val="00191AEA"/>
    <w:rsid w:val="00191CA8"/>
    <w:rsid w:val="00191DF1"/>
    <w:rsid w:val="00192001"/>
    <w:rsid w:val="00192187"/>
    <w:rsid w:val="001923AD"/>
    <w:rsid w:val="001923CD"/>
    <w:rsid w:val="001925AA"/>
    <w:rsid w:val="0019289E"/>
    <w:rsid w:val="001928B1"/>
    <w:rsid w:val="00192C04"/>
    <w:rsid w:val="00192DF0"/>
    <w:rsid w:val="00193030"/>
    <w:rsid w:val="0019319A"/>
    <w:rsid w:val="00193271"/>
    <w:rsid w:val="001932F5"/>
    <w:rsid w:val="00193302"/>
    <w:rsid w:val="001934A0"/>
    <w:rsid w:val="001934E1"/>
    <w:rsid w:val="001935F5"/>
    <w:rsid w:val="0019372A"/>
    <w:rsid w:val="00193774"/>
    <w:rsid w:val="001937C5"/>
    <w:rsid w:val="001937EF"/>
    <w:rsid w:val="001939EA"/>
    <w:rsid w:val="00193A11"/>
    <w:rsid w:val="00193A2A"/>
    <w:rsid w:val="00193CE6"/>
    <w:rsid w:val="00193E00"/>
    <w:rsid w:val="00193E14"/>
    <w:rsid w:val="00193F9B"/>
    <w:rsid w:val="00193FFF"/>
    <w:rsid w:val="0019413C"/>
    <w:rsid w:val="001942BF"/>
    <w:rsid w:val="00194756"/>
    <w:rsid w:val="0019494B"/>
    <w:rsid w:val="00194A70"/>
    <w:rsid w:val="0019519D"/>
    <w:rsid w:val="00195214"/>
    <w:rsid w:val="001952FC"/>
    <w:rsid w:val="001956BB"/>
    <w:rsid w:val="001956C1"/>
    <w:rsid w:val="00195976"/>
    <w:rsid w:val="00195B96"/>
    <w:rsid w:val="00195BC4"/>
    <w:rsid w:val="00195F6A"/>
    <w:rsid w:val="00196015"/>
    <w:rsid w:val="001960C8"/>
    <w:rsid w:val="0019617D"/>
    <w:rsid w:val="001963A6"/>
    <w:rsid w:val="001963FF"/>
    <w:rsid w:val="00196629"/>
    <w:rsid w:val="00196647"/>
    <w:rsid w:val="001966B8"/>
    <w:rsid w:val="00196733"/>
    <w:rsid w:val="00196B9B"/>
    <w:rsid w:val="00196E9C"/>
    <w:rsid w:val="00196FCA"/>
    <w:rsid w:val="00197098"/>
    <w:rsid w:val="00197247"/>
    <w:rsid w:val="001973C3"/>
    <w:rsid w:val="00197519"/>
    <w:rsid w:val="001977ED"/>
    <w:rsid w:val="0019781E"/>
    <w:rsid w:val="00197861"/>
    <w:rsid w:val="001979CD"/>
    <w:rsid w:val="00197D1A"/>
    <w:rsid w:val="00197D77"/>
    <w:rsid w:val="00197F1D"/>
    <w:rsid w:val="001A00C0"/>
    <w:rsid w:val="001A035D"/>
    <w:rsid w:val="001A0888"/>
    <w:rsid w:val="001A09E5"/>
    <w:rsid w:val="001A0B5B"/>
    <w:rsid w:val="001A0BAA"/>
    <w:rsid w:val="001A0C32"/>
    <w:rsid w:val="001A0D0B"/>
    <w:rsid w:val="001A102B"/>
    <w:rsid w:val="001A1049"/>
    <w:rsid w:val="001A10DB"/>
    <w:rsid w:val="001A1573"/>
    <w:rsid w:val="001A15DB"/>
    <w:rsid w:val="001A165A"/>
    <w:rsid w:val="001A1AD7"/>
    <w:rsid w:val="001A1B3E"/>
    <w:rsid w:val="001A1C20"/>
    <w:rsid w:val="001A1E58"/>
    <w:rsid w:val="001A1E6B"/>
    <w:rsid w:val="001A1E98"/>
    <w:rsid w:val="001A2257"/>
    <w:rsid w:val="001A22C0"/>
    <w:rsid w:val="001A24E5"/>
    <w:rsid w:val="001A25B2"/>
    <w:rsid w:val="001A2671"/>
    <w:rsid w:val="001A2C35"/>
    <w:rsid w:val="001A2E1A"/>
    <w:rsid w:val="001A2F37"/>
    <w:rsid w:val="001A3150"/>
    <w:rsid w:val="001A3531"/>
    <w:rsid w:val="001A35B9"/>
    <w:rsid w:val="001A35CE"/>
    <w:rsid w:val="001A364C"/>
    <w:rsid w:val="001A364D"/>
    <w:rsid w:val="001A381D"/>
    <w:rsid w:val="001A384F"/>
    <w:rsid w:val="001A39BA"/>
    <w:rsid w:val="001A39E1"/>
    <w:rsid w:val="001A3F97"/>
    <w:rsid w:val="001A4094"/>
    <w:rsid w:val="001A4206"/>
    <w:rsid w:val="001A4244"/>
    <w:rsid w:val="001A4375"/>
    <w:rsid w:val="001A4582"/>
    <w:rsid w:val="001A469D"/>
    <w:rsid w:val="001A48E5"/>
    <w:rsid w:val="001A491F"/>
    <w:rsid w:val="001A4A0E"/>
    <w:rsid w:val="001A4A73"/>
    <w:rsid w:val="001A4BF8"/>
    <w:rsid w:val="001A4C1F"/>
    <w:rsid w:val="001A4C26"/>
    <w:rsid w:val="001A4C96"/>
    <w:rsid w:val="001A4D09"/>
    <w:rsid w:val="001A4F17"/>
    <w:rsid w:val="001A4FB1"/>
    <w:rsid w:val="001A501A"/>
    <w:rsid w:val="001A51BB"/>
    <w:rsid w:val="001A535F"/>
    <w:rsid w:val="001A53AD"/>
    <w:rsid w:val="001A5505"/>
    <w:rsid w:val="001A577D"/>
    <w:rsid w:val="001A57EF"/>
    <w:rsid w:val="001A5AE4"/>
    <w:rsid w:val="001A5B51"/>
    <w:rsid w:val="001A5E27"/>
    <w:rsid w:val="001A6279"/>
    <w:rsid w:val="001A6291"/>
    <w:rsid w:val="001A63CD"/>
    <w:rsid w:val="001A65ED"/>
    <w:rsid w:val="001A6F75"/>
    <w:rsid w:val="001A7019"/>
    <w:rsid w:val="001A71BE"/>
    <w:rsid w:val="001A71C3"/>
    <w:rsid w:val="001A71E9"/>
    <w:rsid w:val="001A75D3"/>
    <w:rsid w:val="001A7655"/>
    <w:rsid w:val="001A7669"/>
    <w:rsid w:val="001A7729"/>
    <w:rsid w:val="001A7731"/>
    <w:rsid w:val="001A77B5"/>
    <w:rsid w:val="001A7871"/>
    <w:rsid w:val="001A7A3F"/>
    <w:rsid w:val="001A7A90"/>
    <w:rsid w:val="001A7D76"/>
    <w:rsid w:val="001B0165"/>
    <w:rsid w:val="001B0352"/>
    <w:rsid w:val="001B0552"/>
    <w:rsid w:val="001B05AC"/>
    <w:rsid w:val="001B0632"/>
    <w:rsid w:val="001B07DF"/>
    <w:rsid w:val="001B0B83"/>
    <w:rsid w:val="001B0DBD"/>
    <w:rsid w:val="001B111D"/>
    <w:rsid w:val="001B1217"/>
    <w:rsid w:val="001B1377"/>
    <w:rsid w:val="001B13BF"/>
    <w:rsid w:val="001B14C4"/>
    <w:rsid w:val="001B1577"/>
    <w:rsid w:val="001B1668"/>
    <w:rsid w:val="001B1670"/>
    <w:rsid w:val="001B193C"/>
    <w:rsid w:val="001B2086"/>
    <w:rsid w:val="001B2116"/>
    <w:rsid w:val="001B216E"/>
    <w:rsid w:val="001B2344"/>
    <w:rsid w:val="001B23D4"/>
    <w:rsid w:val="001B2470"/>
    <w:rsid w:val="001B2507"/>
    <w:rsid w:val="001B25A3"/>
    <w:rsid w:val="001B26DF"/>
    <w:rsid w:val="001B26E2"/>
    <w:rsid w:val="001B2767"/>
    <w:rsid w:val="001B284F"/>
    <w:rsid w:val="001B2868"/>
    <w:rsid w:val="001B295D"/>
    <w:rsid w:val="001B29FC"/>
    <w:rsid w:val="001B2A43"/>
    <w:rsid w:val="001B2B34"/>
    <w:rsid w:val="001B2B8D"/>
    <w:rsid w:val="001B2C74"/>
    <w:rsid w:val="001B2D36"/>
    <w:rsid w:val="001B2DBE"/>
    <w:rsid w:val="001B309A"/>
    <w:rsid w:val="001B3197"/>
    <w:rsid w:val="001B33ED"/>
    <w:rsid w:val="001B34A4"/>
    <w:rsid w:val="001B38D8"/>
    <w:rsid w:val="001B3C11"/>
    <w:rsid w:val="001B3CE9"/>
    <w:rsid w:val="001B3E66"/>
    <w:rsid w:val="001B41D3"/>
    <w:rsid w:val="001B44E5"/>
    <w:rsid w:val="001B45A6"/>
    <w:rsid w:val="001B4846"/>
    <w:rsid w:val="001B485B"/>
    <w:rsid w:val="001B4869"/>
    <w:rsid w:val="001B48DC"/>
    <w:rsid w:val="001B4A4B"/>
    <w:rsid w:val="001B4AC2"/>
    <w:rsid w:val="001B4CB7"/>
    <w:rsid w:val="001B4FC1"/>
    <w:rsid w:val="001B501C"/>
    <w:rsid w:val="001B505F"/>
    <w:rsid w:val="001B5337"/>
    <w:rsid w:val="001B5441"/>
    <w:rsid w:val="001B56BB"/>
    <w:rsid w:val="001B56DB"/>
    <w:rsid w:val="001B56E6"/>
    <w:rsid w:val="001B5891"/>
    <w:rsid w:val="001B58C7"/>
    <w:rsid w:val="001B5A6B"/>
    <w:rsid w:val="001B5C4E"/>
    <w:rsid w:val="001B5D49"/>
    <w:rsid w:val="001B5DBF"/>
    <w:rsid w:val="001B5EE3"/>
    <w:rsid w:val="001B5FD5"/>
    <w:rsid w:val="001B60D5"/>
    <w:rsid w:val="001B6387"/>
    <w:rsid w:val="001B63A0"/>
    <w:rsid w:val="001B6455"/>
    <w:rsid w:val="001B6663"/>
    <w:rsid w:val="001B67AA"/>
    <w:rsid w:val="001B6B73"/>
    <w:rsid w:val="001B6D51"/>
    <w:rsid w:val="001B7248"/>
    <w:rsid w:val="001B729F"/>
    <w:rsid w:val="001B753D"/>
    <w:rsid w:val="001B76B4"/>
    <w:rsid w:val="001B7773"/>
    <w:rsid w:val="001B787A"/>
    <w:rsid w:val="001B799D"/>
    <w:rsid w:val="001B79D7"/>
    <w:rsid w:val="001B7A75"/>
    <w:rsid w:val="001B7B92"/>
    <w:rsid w:val="001B7BC5"/>
    <w:rsid w:val="001B7BD8"/>
    <w:rsid w:val="001B7D17"/>
    <w:rsid w:val="001B7EB5"/>
    <w:rsid w:val="001C000A"/>
    <w:rsid w:val="001C005A"/>
    <w:rsid w:val="001C00DF"/>
    <w:rsid w:val="001C0324"/>
    <w:rsid w:val="001C0660"/>
    <w:rsid w:val="001C0980"/>
    <w:rsid w:val="001C09E6"/>
    <w:rsid w:val="001C0C6B"/>
    <w:rsid w:val="001C0CEF"/>
    <w:rsid w:val="001C0CFF"/>
    <w:rsid w:val="001C0D68"/>
    <w:rsid w:val="001C0DAC"/>
    <w:rsid w:val="001C0EA2"/>
    <w:rsid w:val="001C0ED2"/>
    <w:rsid w:val="001C1067"/>
    <w:rsid w:val="001C10FE"/>
    <w:rsid w:val="001C1168"/>
    <w:rsid w:val="001C119F"/>
    <w:rsid w:val="001C1408"/>
    <w:rsid w:val="001C1416"/>
    <w:rsid w:val="001C15E0"/>
    <w:rsid w:val="001C1764"/>
    <w:rsid w:val="001C1846"/>
    <w:rsid w:val="001C1AEA"/>
    <w:rsid w:val="001C1B52"/>
    <w:rsid w:val="001C1C3E"/>
    <w:rsid w:val="001C1E15"/>
    <w:rsid w:val="001C1E33"/>
    <w:rsid w:val="001C200B"/>
    <w:rsid w:val="001C2260"/>
    <w:rsid w:val="001C226A"/>
    <w:rsid w:val="001C27E5"/>
    <w:rsid w:val="001C2986"/>
    <w:rsid w:val="001C29AB"/>
    <w:rsid w:val="001C29DA"/>
    <w:rsid w:val="001C2ADF"/>
    <w:rsid w:val="001C2C64"/>
    <w:rsid w:val="001C2C96"/>
    <w:rsid w:val="001C2CBB"/>
    <w:rsid w:val="001C2D71"/>
    <w:rsid w:val="001C2D76"/>
    <w:rsid w:val="001C2E71"/>
    <w:rsid w:val="001C300E"/>
    <w:rsid w:val="001C35C9"/>
    <w:rsid w:val="001C3604"/>
    <w:rsid w:val="001C377A"/>
    <w:rsid w:val="001C3790"/>
    <w:rsid w:val="001C3823"/>
    <w:rsid w:val="001C387E"/>
    <w:rsid w:val="001C38E3"/>
    <w:rsid w:val="001C3CCC"/>
    <w:rsid w:val="001C3E54"/>
    <w:rsid w:val="001C3FE4"/>
    <w:rsid w:val="001C4051"/>
    <w:rsid w:val="001C4137"/>
    <w:rsid w:val="001C42C5"/>
    <w:rsid w:val="001C431B"/>
    <w:rsid w:val="001C4503"/>
    <w:rsid w:val="001C45CB"/>
    <w:rsid w:val="001C4666"/>
    <w:rsid w:val="001C478C"/>
    <w:rsid w:val="001C4AC9"/>
    <w:rsid w:val="001C4C23"/>
    <w:rsid w:val="001C4EE1"/>
    <w:rsid w:val="001C4F9D"/>
    <w:rsid w:val="001C4FD2"/>
    <w:rsid w:val="001C5025"/>
    <w:rsid w:val="001C513A"/>
    <w:rsid w:val="001C5576"/>
    <w:rsid w:val="001C5698"/>
    <w:rsid w:val="001C5756"/>
    <w:rsid w:val="001C5867"/>
    <w:rsid w:val="001C5A26"/>
    <w:rsid w:val="001C5B0B"/>
    <w:rsid w:val="001C5C11"/>
    <w:rsid w:val="001C5D11"/>
    <w:rsid w:val="001C5F9A"/>
    <w:rsid w:val="001C603E"/>
    <w:rsid w:val="001C6216"/>
    <w:rsid w:val="001C6505"/>
    <w:rsid w:val="001C6C67"/>
    <w:rsid w:val="001C6D3F"/>
    <w:rsid w:val="001C6E98"/>
    <w:rsid w:val="001C70B6"/>
    <w:rsid w:val="001C7305"/>
    <w:rsid w:val="001C73F7"/>
    <w:rsid w:val="001C76B2"/>
    <w:rsid w:val="001C7809"/>
    <w:rsid w:val="001C79EA"/>
    <w:rsid w:val="001C7B56"/>
    <w:rsid w:val="001C7C4C"/>
    <w:rsid w:val="001C7C77"/>
    <w:rsid w:val="001C7EC0"/>
    <w:rsid w:val="001C7F61"/>
    <w:rsid w:val="001D0184"/>
    <w:rsid w:val="001D01E5"/>
    <w:rsid w:val="001D02E7"/>
    <w:rsid w:val="001D0374"/>
    <w:rsid w:val="001D06BB"/>
    <w:rsid w:val="001D0808"/>
    <w:rsid w:val="001D0847"/>
    <w:rsid w:val="001D086D"/>
    <w:rsid w:val="001D08F1"/>
    <w:rsid w:val="001D09A8"/>
    <w:rsid w:val="001D09ED"/>
    <w:rsid w:val="001D0ACA"/>
    <w:rsid w:val="001D0B02"/>
    <w:rsid w:val="001D0D30"/>
    <w:rsid w:val="001D0E78"/>
    <w:rsid w:val="001D0EC7"/>
    <w:rsid w:val="001D10F4"/>
    <w:rsid w:val="001D1266"/>
    <w:rsid w:val="001D1290"/>
    <w:rsid w:val="001D1562"/>
    <w:rsid w:val="001D15AE"/>
    <w:rsid w:val="001D1654"/>
    <w:rsid w:val="001D166A"/>
    <w:rsid w:val="001D1A9F"/>
    <w:rsid w:val="001D1ABE"/>
    <w:rsid w:val="001D1C5A"/>
    <w:rsid w:val="001D1C6A"/>
    <w:rsid w:val="001D1CC8"/>
    <w:rsid w:val="001D1CD8"/>
    <w:rsid w:val="001D2106"/>
    <w:rsid w:val="001D2158"/>
    <w:rsid w:val="001D2210"/>
    <w:rsid w:val="001D22F4"/>
    <w:rsid w:val="001D2483"/>
    <w:rsid w:val="001D249A"/>
    <w:rsid w:val="001D24B8"/>
    <w:rsid w:val="001D255D"/>
    <w:rsid w:val="001D259E"/>
    <w:rsid w:val="001D268D"/>
    <w:rsid w:val="001D270B"/>
    <w:rsid w:val="001D281D"/>
    <w:rsid w:val="001D2A20"/>
    <w:rsid w:val="001D2BD7"/>
    <w:rsid w:val="001D2BF6"/>
    <w:rsid w:val="001D2CB2"/>
    <w:rsid w:val="001D2D70"/>
    <w:rsid w:val="001D2DF0"/>
    <w:rsid w:val="001D320C"/>
    <w:rsid w:val="001D323F"/>
    <w:rsid w:val="001D332D"/>
    <w:rsid w:val="001D3432"/>
    <w:rsid w:val="001D3490"/>
    <w:rsid w:val="001D3573"/>
    <w:rsid w:val="001D35BE"/>
    <w:rsid w:val="001D3705"/>
    <w:rsid w:val="001D389E"/>
    <w:rsid w:val="001D3A19"/>
    <w:rsid w:val="001D3A9D"/>
    <w:rsid w:val="001D3B8C"/>
    <w:rsid w:val="001D3BC2"/>
    <w:rsid w:val="001D3C29"/>
    <w:rsid w:val="001D3FF1"/>
    <w:rsid w:val="001D3FF6"/>
    <w:rsid w:val="001D4013"/>
    <w:rsid w:val="001D4160"/>
    <w:rsid w:val="001D4233"/>
    <w:rsid w:val="001D4617"/>
    <w:rsid w:val="001D4627"/>
    <w:rsid w:val="001D486C"/>
    <w:rsid w:val="001D4968"/>
    <w:rsid w:val="001D4B71"/>
    <w:rsid w:val="001D4DCB"/>
    <w:rsid w:val="001D4E53"/>
    <w:rsid w:val="001D514D"/>
    <w:rsid w:val="001D5172"/>
    <w:rsid w:val="001D53EF"/>
    <w:rsid w:val="001D577F"/>
    <w:rsid w:val="001D583E"/>
    <w:rsid w:val="001D5B56"/>
    <w:rsid w:val="001D5BC7"/>
    <w:rsid w:val="001D5BEF"/>
    <w:rsid w:val="001D5E83"/>
    <w:rsid w:val="001D607C"/>
    <w:rsid w:val="001D618C"/>
    <w:rsid w:val="001D638F"/>
    <w:rsid w:val="001D659D"/>
    <w:rsid w:val="001D6826"/>
    <w:rsid w:val="001D6867"/>
    <w:rsid w:val="001D687C"/>
    <w:rsid w:val="001D692B"/>
    <w:rsid w:val="001D694C"/>
    <w:rsid w:val="001D69D4"/>
    <w:rsid w:val="001D6A9D"/>
    <w:rsid w:val="001D6B07"/>
    <w:rsid w:val="001D6C32"/>
    <w:rsid w:val="001D6CF9"/>
    <w:rsid w:val="001D6DCC"/>
    <w:rsid w:val="001D7118"/>
    <w:rsid w:val="001D7122"/>
    <w:rsid w:val="001D7125"/>
    <w:rsid w:val="001D73C7"/>
    <w:rsid w:val="001D7463"/>
    <w:rsid w:val="001D758F"/>
    <w:rsid w:val="001D75F7"/>
    <w:rsid w:val="001D76DD"/>
    <w:rsid w:val="001D7794"/>
    <w:rsid w:val="001D7796"/>
    <w:rsid w:val="001D787C"/>
    <w:rsid w:val="001D7900"/>
    <w:rsid w:val="001D7A85"/>
    <w:rsid w:val="001D7B12"/>
    <w:rsid w:val="001D7CD7"/>
    <w:rsid w:val="001D7DD8"/>
    <w:rsid w:val="001E01A4"/>
    <w:rsid w:val="001E02D1"/>
    <w:rsid w:val="001E0399"/>
    <w:rsid w:val="001E03CA"/>
    <w:rsid w:val="001E04F1"/>
    <w:rsid w:val="001E0627"/>
    <w:rsid w:val="001E0C3B"/>
    <w:rsid w:val="001E0E81"/>
    <w:rsid w:val="001E1003"/>
    <w:rsid w:val="001E131F"/>
    <w:rsid w:val="001E13AE"/>
    <w:rsid w:val="001E1434"/>
    <w:rsid w:val="001E15F2"/>
    <w:rsid w:val="001E160A"/>
    <w:rsid w:val="001E1657"/>
    <w:rsid w:val="001E19BF"/>
    <w:rsid w:val="001E1B31"/>
    <w:rsid w:val="001E1C99"/>
    <w:rsid w:val="001E1DDE"/>
    <w:rsid w:val="001E1F89"/>
    <w:rsid w:val="001E2103"/>
    <w:rsid w:val="001E2154"/>
    <w:rsid w:val="001E2216"/>
    <w:rsid w:val="001E2341"/>
    <w:rsid w:val="001E2441"/>
    <w:rsid w:val="001E2564"/>
    <w:rsid w:val="001E2565"/>
    <w:rsid w:val="001E2A6A"/>
    <w:rsid w:val="001E2B20"/>
    <w:rsid w:val="001E3191"/>
    <w:rsid w:val="001E3286"/>
    <w:rsid w:val="001E33DA"/>
    <w:rsid w:val="001E35A4"/>
    <w:rsid w:val="001E394A"/>
    <w:rsid w:val="001E3991"/>
    <w:rsid w:val="001E39E6"/>
    <w:rsid w:val="001E3A59"/>
    <w:rsid w:val="001E3B6F"/>
    <w:rsid w:val="001E3C63"/>
    <w:rsid w:val="001E3CC5"/>
    <w:rsid w:val="001E3DD6"/>
    <w:rsid w:val="001E4131"/>
    <w:rsid w:val="001E428A"/>
    <w:rsid w:val="001E4395"/>
    <w:rsid w:val="001E4425"/>
    <w:rsid w:val="001E4524"/>
    <w:rsid w:val="001E46D4"/>
    <w:rsid w:val="001E4872"/>
    <w:rsid w:val="001E49BB"/>
    <w:rsid w:val="001E49F9"/>
    <w:rsid w:val="001E4A4C"/>
    <w:rsid w:val="001E4A5F"/>
    <w:rsid w:val="001E4B09"/>
    <w:rsid w:val="001E4CD6"/>
    <w:rsid w:val="001E4F4F"/>
    <w:rsid w:val="001E51E3"/>
    <w:rsid w:val="001E51F1"/>
    <w:rsid w:val="001E523C"/>
    <w:rsid w:val="001E538C"/>
    <w:rsid w:val="001E53B2"/>
    <w:rsid w:val="001E53D6"/>
    <w:rsid w:val="001E5405"/>
    <w:rsid w:val="001E5452"/>
    <w:rsid w:val="001E5510"/>
    <w:rsid w:val="001E567E"/>
    <w:rsid w:val="001E56A6"/>
    <w:rsid w:val="001E57EE"/>
    <w:rsid w:val="001E5B01"/>
    <w:rsid w:val="001E5C2C"/>
    <w:rsid w:val="001E5D3E"/>
    <w:rsid w:val="001E5F1D"/>
    <w:rsid w:val="001E60F7"/>
    <w:rsid w:val="001E6267"/>
    <w:rsid w:val="001E62B4"/>
    <w:rsid w:val="001E6341"/>
    <w:rsid w:val="001E63E5"/>
    <w:rsid w:val="001E6426"/>
    <w:rsid w:val="001E6495"/>
    <w:rsid w:val="001E6534"/>
    <w:rsid w:val="001E66EB"/>
    <w:rsid w:val="001E685B"/>
    <w:rsid w:val="001E6901"/>
    <w:rsid w:val="001E6973"/>
    <w:rsid w:val="001E6A0F"/>
    <w:rsid w:val="001E6BD3"/>
    <w:rsid w:val="001E6CD5"/>
    <w:rsid w:val="001E6D90"/>
    <w:rsid w:val="001E6F31"/>
    <w:rsid w:val="001E6F95"/>
    <w:rsid w:val="001E6FB9"/>
    <w:rsid w:val="001E737F"/>
    <w:rsid w:val="001E73E7"/>
    <w:rsid w:val="001E74F2"/>
    <w:rsid w:val="001E7578"/>
    <w:rsid w:val="001E760F"/>
    <w:rsid w:val="001E7610"/>
    <w:rsid w:val="001E763A"/>
    <w:rsid w:val="001E769D"/>
    <w:rsid w:val="001E7766"/>
    <w:rsid w:val="001E77C3"/>
    <w:rsid w:val="001E784D"/>
    <w:rsid w:val="001E78B2"/>
    <w:rsid w:val="001E7A17"/>
    <w:rsid w:val="001E7B90"/>
    <w:rsid w:val="001E7BAF"/>
    <w:rsid w:val="001E7BEE"/>
    <w:rsid w:val="001E7C2D"/>
    <w:rsid w:val="001E7C35"/>
    <w:rsid w:val="001E7C8B"/>
    <w:rsid w:val="001E7CF8"/>
    <w:rsid w:val="001F0015"/>
    <w:rsid w:val="001F00B8"/>
    <w:rsid w:val="001F01DC"/>
    <w:rsid w:val="001F0315"/>
    <w:rsid w:val="001F034E"/>
    <w:rsid w:val="001F043C"/>
    <w:rsid w:val="001F052D"/>
    <w:rsid w:val="001F063A"/>
    <w:rsid w:val="001F0927"/>
    <w:rsid w:val="001F093D"/>
    <w:rsid w:val="001F0C08"/>
    <w:rsid w:val="001F0C85"/>
    <w:rsid w:val="001F0D7F"/>
    <w:rsid w:val="001F0E78"/>
    <w:rsid w:val="001F0F28"/>
    <w:rsid w:val="001F1046"/>
    <w:rsid w:val="001F1294"/>
    <w:rsid w:val="001F1372"/>
    <w:rsid w:val="001F1445"/>
    <w:rsid w:val="001F14D5"/>
    <w:rsid w:val="001F15CE"/>
    <w:rsid w:val="001F16BF"/>
    <w:rsid w:val="001F1AA1"/>
    <w:rsid w:val="001F1CD5"/>
    <w:rsid w:val="001F1CFD"/>
    <w:rsid w:val="001F205B"/>
    <w:rsid w:val="001F2342"/>
    <w:rsid w:val="001F245D"/>
    <w:rsid w:val="001F24C6"/>
    <w:rsid w:val="001F25A5"/>
    <w:rsid w:val="001F27B0"/>
    <w:rsid w:val="001F28AD"/>
    <w:rsid w:val="001F29B9"/>
    <w:rsid w:val="001F2ABF"/>
    <w:rsid w:val="001F2BBB"/>
    <w:rsid w:val="001F2DDE"/>
    <w:rsid w:val="001F2F4E"/>
    <w:rsid w:val="001F326A"/>
    <w:rsid w:val="001F3577"/>
    <w:rsid w:val="001F382B"/>
    <w:rsid w:val="001F38A5"/>
    <w:rsid w:val="001F38AD"/>
    <w:rsid w:val="001F3947"/>
    <w:rsid w:val="001F397E"/>
    <w:rsid w:val="001F39F6"/>
    <w:rsid w:val="001F3AAE"/>
    <w:rsid w:val="001F3B2D"/>
    <w:rsid w:val="001F3CEC"/>
    <w:rsid w:val="001F3D86"/>
    <w:rsid w:val="001F3D8C"/>
    <w:rsid w:val="001F4092"/>
    <w:rsid w:val="001F4158"/>
    <w:rsid w:val="001F41D8"/>
    <w:rsid w:val="001F4201"/>
    <w:rsid w:val="001F4221"/>
    <w:rsid w:val="001F431C"/>
    <w:rsid w:val="001F43D0"/>
    <w:rsid w:val="001F4704"/>
    <w:rsid w:val="001F4719"/>
    <w:rsid w:val="001F4977"/>
    <w:rsid w:val="001F4BBA"/>
    <w:rsid w:val="001F4BF0"/>
    <w:rsid w:val="001F4D1B"/>
    <w:rsid w:val="001F4DBE"/>
    <w:rsid w:val="001F4FC5"/>
    <w:rsid w:val="001F4FDB"/>
    <w:rsid w:val="001F5410"/>
    <w:rsid w:val="001F5476"/>
    <w:rsid w:val="001F553C"/>
    <w:rsid w:val="001F5550"/>
    <w:rsid w:val="001F58AE"/>
    <w:rsid w:val="001F5AF8"/>
    <w:rsid w:val="001F5C61"/>
    <w:rsid w:val="001F5EFF"/>
    <w:rsid w:val="001F5FF7"/>
    <w:rsid w:val="001F6141"/>
    <w:rsid w:val="001F6151"/>
    <w:rsid w:val="001F6296"/>
    <w:rsid w:val="001F6351"/>
    <w:rsid w:val="001F640F"/>
    <w:rsid w:val="001F64AC"/>
    <w:rsid w:val="001F64AE"/>
    <w:rsid w:val="001F64B9"/>
    <w:rsid w:val="001F64BD"/>
    <w:rsid w:val="001F658D"/>
    <w:rsid w:val="001F65DE"/>
    <w:rsid w:val="001F6827"/>
    <w:rsid w:val="001F6961"/>
    <w:rsid w:val="001F6AAB"/>
    <w:rsid w:val="001F6C7E"/>
    <w:rsid w:val="001F6CE4"/>
    <w:rsid w:val="001F6E40"/>
    <w:rsid w:val="001F6EC2"/>
    <w:rsid w:val="001F6F31"/>
    <w:rsid w:val="001F7032"/>
    <w:rsid w:val="001F713A"/>
    <w:rsid w:val="001F7323"/>
    <w:rsid w:val="001F73F7"/>
    <w:rsid w:val="001F750F"/>
    <w:rsid w:val="001F7755"/>
    <w:rsid w:val="001F7938"/>
    <w:rsid w:val="001F793C"/>
    <w:rsid w:val="001F794D"/>
    <w:rsid w:val="001F7BDF"/>
    <w:rsid w:val="001F7D24"/>
    <w:rsid w:val="001F7D9F"/>
    <w:rsid w:val="00200126"/>
    <w:rsid w:val="002001E6"/>
    <w:rsid w:val="0020021F"/>
    <w:rsid w:val="002002BD"/>
    <w:rsid w:val="00200395"/>
    <w:rsid w:val="002003CA"/>
    <w:rsid w:val="00200418"/>
    <w:rsid w:val="002004BB"/>
    <w:rsid w:val="002008DF"/>
    <w:rsid w:val="002009C1"/>
    <w:rsid w:val="00200C25"/>
    <w:rsid w:val="00200D4E"/>
    <w:rsid w:val="00200ED4"/>
    <w:rsid w:val="00200F44"/>
    <w:rsid w:val="00200F6D"/>
    <w:rsid w:val="00201092"/>
    <w:rsid w:val="002011FB"/>
    <w:rsid w:val="00201250"/>
    <w:rsid w:val="00201279"/>
    <w:rsid w:val="002012C2"/>
    <w:rsid w:val="002012D1"/>
    <w:rsid w:val="0020144A"/>
    <w:rsid w:val="00201620"/>
    <w:rsid w:val="00201681"/>
    <w:rsid w:val="002017B0"/>
    <w:rsid w:val="002018B0"/>
    <w:rsid w:val="00201A49"/>
    <w:rsid w:val="00201B4A"/>
    <w:rsid w:val="00201CDE"/>
    <w:rsid w:val="00201D6E"/>
    <w:rsid w:val="00201FB4"/>
    <w:rsid w:val="002020F5"/>
    <w:rsid w:val="002021C1"/>
    <w:rsid w:val="00202252"/>
    <w:rsid w:val="00202276"/>
    <w:rsid w:val="002023D3"/>
    <w:rsid w:val="002025D5"/>
    <w:rsid w:val="0020262B"/>
    <w:rsid w:val="002026CF"/>
    <w:rsid w:val="00202A62"/>
    <w:rsid w:val="00202D9B"/>
    <w:rsid w:val="00202E2C"/>
    <w:rsid w:val="00202EC1"/>
    <w:rsid w:val="00203024"/>
    <w:rsid w:val="00203048"/>
    <w:rsid w:val="00203434"/>
    <w:rsid w:val="002037AE"/>
    <w:rsid w:val="002037C5"/>
    <w:rsid w:val="002039DF"/>
    <w:rsid w:val="00203B42"/>
    <w:rsid w:val="00203BFB"/>
    <w:rsid w:val="00204015"/>
    <w:rsid w:val="0020409F"/>
    <w:rsid w:val="002047A7"/>
    <w:rsid w:val="00204829"/>
    <w:rsid w:val="0020488D"/>
    <w:rsid w:val="00204923"/>
    <w:rsid w:val="00204AB6"/>
    <w:rsid w:val="00204D93"/>
    <w:rsid w:val="00204DF0"/>
    <w:rsid w:val="00204E9C"/>
    <w:rsid w:val="00204EA3"/>
    <w:rsid w:val="00204F24"/>
    <w:rsid w:val="00205183"/>
    <w:rsid w:val="00205221"/>
    <w:rsid w:val="0020522D"/>
    <w:rsid w:val="00205348"/>
    <w:rsid w:val="00205403"/>
    <w:rsid w:val="00205540"/>
    <w:rsid w:val="002055B2"/>
    <w:rsid w:val="0020580B"/>
    <w:rsid w:val="002058C8"/>
    <w:rsid w:val="002059EF"/>
    <w:rsid w:val="00205C1C"/>
    <w:rsid w:val="00205D3B"/>
    <w:rsid w:val="00205D83"/>
    <w:rsid w:val="00205EB0"/>
    <w:rsid w:val="0020660F"/>
    <w:rsid w:val="00206731"/>
    <w:rsid w:val="00206B01"/>
    <w:rsid w:val="00206B87"/>
    <w:rsid w:val="00206BBC"/>
    <w:rsid w:val="00206D6B"/>
    <w:rsid w:val="00207036"/>
    <w:rsid w:val="00207082"/>
    <w:rsid w:val="002070F6"/>
    <w:rsid w:val="00207195"/>
    <w:rsid w:val="002071CD"/>
    <w:rsid w:val="0020723A"/>
    <w:rsid w:val="002073B3"/>
    <w:rsid w:val="0020747E"/>
    <w:rsid w:val="0020759D"/>
    <w:rsid w:val="0020764D"/>
    <w:rsid w:val="00207DE7"/>
    <w:rsid w:val="00207EC2"/>
    <w:rsid w:val="00207F92"/>
    <w:rsid w:val="00207FBC"/>
    <w:rsid w:val="00210199"/>
    <w:rsid w:val="0021047C"/>
    <w:rsid w:val="00210493"/>
    <w:rsid w:val="00210580"/>
    <w:rsid w:val="00210640"/>
    <w:rsid w:val="002107A5"/>
    <w:rsid w:val="0021091E"/>
    <w:rsid w:val="00210C3D"/>
    <w:rsid w:val="00210D41"/>
    <w:rsid w:val="00210E5A"/>
    <w:rsid w:val="00210F51"/>
    <w:rsid w:val="00210F5E"/>
    <w:rsid w:val="00210FD6"/>
    <w:rsid w:val="00211130"/>
    <w:rsid w:val="00211274"/>
    <w:rsid w:val="0021141E"/>
    <w:rsid w:val="00211425"/>
    <w:rsid w:val="002115D2"/>
    <w:rsid w:val="00211646"/>
    <w:rsid w:val="002117BC"/>
    <w:rsid w:val="002119EC"/>
    <w:rsid w:val="00211C1B"/>
    <w:rsid w:val="00211F9F"/>
    <w:rsid w:val="00212012"/>
    <w:rsid w:val="002121A4"/>
    <w:rsid w:val="002121C8"/>
    <w:rsid w:val="0021232A"/>
    <w:rsid w:val="0021254E"/>
    <w:rsid w:val="00212587"/>
    <w:rsid w:val="002128D6"/>
    <w:rsid w:val="00212C9A"/>
    <w:rsid w:val="00212CDB"/>
    <w:rsid w:val="00212DB9"/>
    <w:rsid w:val="00212DCB"/>
    <w:rsid w:val="00212FCE"/>
    <w:rsid w:val="00213083"/>
    <w:rsid w:val="00213139"/>
    <w:rsid w:val="002133CE"/>
    <w:rsid w:val="00213443"/>
    <w:rsid w:val="00213489"/>
    <w:rsid w:val="00213634"/>
    <w:rsid w:val="00213711"/>
    <w:rsid w:val="00213753"/>
    <w:rsid w:val="0021385C"/>
    <w:rsid w:val="00213ABA"/>
    <w:rsid w:val="00213BDA"/>
    <w:rsid w:val="00213CAD"/>
    <w:rsid w:val="00213F09"/>
    <w:rsid w:val="00214400"/>
    <w:rsid w:val="002144A5"/>
    <w:rsid w:val="00214531"/>
    <w:rsid w:val="0021472A"/>
    <w:rsid w:val="00214801"/>
    <w:rsid w:val="0021484A"/>
    <w:rsid w:val="00214B8E"/>
    <w:rsid w:val="00214CB9"/>
    <w:rsid w:val="00214E6F"/>
    <w:rsid w:val="00214F5C"/>
    <w:rsid w:val="00214F75"/>
    <w:rsid w:val="002151AD"/>
    <w:rsid w:val="002151EA"/>
    <w:rsid w:val="0021524C"/>
    <w:rsid w:val="00215264"/>
    <w:rsid w:val="002158D9"/>
    <w:rsid w:val="00215921"/>
    <w:rsid w:val="00215C34"/>
    <w:rsid w:val="00215F2E"/>
    <w:rsid w:val="00215F36"/>
    <w:rsid w:val="00216121"/>
    <w:rsid w:val="00216280"/>
    <w:rsid w:val="002162C0"/>
    <w:rsid w:val="002164E3"/>
    <w:rsid w:val="00216527"/>
    <w:rsid w:val="0021660E"/>
    <w:rsid w:val="00216782"/>
    <w:rsid w:val="002168F0"/>
    <w:rsid w:val="00216C2A"/>
    <w:rsid w:val="00216C50"/>
    <w:rsid w:val="00216D52"/>
    <w:rsid w:val="00216E03"/>
    <w:rsid w:val="00216F92"/>
    <w:rsid w:val="002171ED"/>
    <w:rsid w:val="00217486"/>
    <w:rsid w:val="002175A5"/>
    <w:rsid w:val="002176F6"/>
    <w:rsid w:val="00217767"/>
    <w:rsid w:val="002177BB"/>
    <w:rsid w:val="00217B42"/>
    <w:rsid w:val="00217C83"/>
    <w:rsid w:val="00217CC0"/>
    <w:rsid w:val="00217CDF"/>
    <w:rsid w:val="00217E87"/>
    <w:rsid w:val="00217F42"/>
    <w:rsid w:val="0021AFAA"/>
    <w:rsid w:val="00220016"/>
    <w:rsid w:val="00220104"/>
    <w:rsid w:val="0022011D"/>
    <w:rsid w:val="00220161"/>
    <w:rsid w:val="00220453"/>
    <w:rsid w:val="00220477"/>
    <w:rsid w:val="0022073A"/>
    <w:rsid w:val="0022089C"/>
    <w:rsid w:val="002208AD"/>
    <w:rsid w:val="00220938"/>
    <w:rsid w:val="00220C3D"/>
    <w:rsid w:val="00221649"/>
    <w:rsid w:val="0022174A"/>
    <w:rsid w:val="002217EF"/>
    <w:rsid w:val="002218A2"/>
    <w:rsid w:val="00221AA8"/>
    <w:rsid w:val="00221B47"/>
    <w:rsid w:val="00221C52"/>
    <w:rsid w:val="0022200A"/>
    <w:rsid w:val="00222152"/>
    <w:rsid w:val="00222522"/>
    <w:rsid w:val="002225FB"/>
    <w:rsid w:val="002226C1"/>
    <w:rsid w:val="002226DC"/>
    <w:rsid w:val="00222895"/>
    <w:rsid w:val="002228E4"/>
    <w:rsid w:val="002228F0"/>
    <w:rsid w:val="00222AAE"/>
    <w:rsid w:val="00222BBE"/>
    <w:rsid w:val="00222BC6"/>
    <w:rsid w:val="00222BC7"/>
    <w:rsid w:val="00222C11"/>
    <w:rsid w:val="00222C32"/>
    <w:rsid w:val="0022308D"/>
    <w:rsid w:val="002231B8"/>
    <w:rsid w:val="002232D3"/>
    <w:rsid w:val="002234F3"/>
    <w:rsid w:val="0022351F"/>
    <w:rsid w:val="00223682"/>
    <w:rsid w:val="00223726"/>
    <w:rsid w:val="002239EA"/>
    <w:rsid w:val="00223B0E"/>
    <w:rsid w:val="00223B70"/>
    <w:rsid w:val="00223C74"/>
    <w:rsid w:val="00223E05"/>
    <w:rsid w:val="00223E3C"/>
    <w:rsid w:val="00223F7D"/>
    <w:rsid w:val="002240C5"/>
    <w:rsid w:val="00224158"/>
    <w:rsid w:val="002242B4"/>
    <w:rsid w:val="00224399"/>
    <w:rsid w:val="002243C3"/>
    <w:rsid w:val="002243D1"/>
    <w:rsid w:val="002245AD"/>
    <w:rsid w:val="00224605"/>
    <w:rsid w:val="00224709"/>
    <w:rsid w:val="002248BB"/>
    <w:rsid w:val="00224954"/>
    <w:rsid w:val="00224A73"/>
    <w:rsid w:val="00224CC4"/>
    <w:rsid w:val="00224CD9"/>
    <w:rsid w:val="00224D42"/>
    <w:rsid w:val="00225029"/>
    <w:rsid w:val="00225152"/>
    <w:rsid w:val="002252C4"/>
    <w:rsid w:val="002252D0"/>
    <w:rsid w:val="0022542D"/>
    <w:rsid w:val="002255E5"/>
    <w:rsid w:val="002256C3"/>
    <w:rsid w:val="002257FA"/>
    <w:rsid w:val="00225840"/>
    <w:rsid w:val="00225ABF"/>
    <w:rsid w:val="00225C3B"/>
    <w:rsid w:val="00225D80"/>
    <w:rsid w:val="00226286"/>
    <w:rsid w:val="002264BE"/>
    <w:rsid w:val="00226800"/>
    <w:rsid w:val="0022682F"/>
    <w:rsid w:val="002269A7"/>
    <w:rsid w:val="00226A32"/>
    <w:rsid w:val="00226C7D"/>
    <w:rsid w:val="00226E6A"/>
    <w:rsid w:val="0022737D"/>
    <w:rsid w:val="002274FE"/>
    <w:rsid w:val="00227620"/>
    <w:rsid w:val="00227704"/>
    <w:rsid w:val="002279EA"/>
    <w:rsid w:val="00227CA8"/>
    <w:rsid w:val="00227CBA"/>
    <w:rsid w:val="00227E6C"/>
    <w:rsid w:val="00227EAA"/>
    <w:rsid w:val="00230101"/>
    <w:rsid w:val="0023033D"/>
    <w:rsid w:val="002304DF"/>
    <w:rsid w:val="0023052C"/>
    <w:rsid w:val="0023055B"/>
    <w:rsid w:val="002305E9"/>
    <w:rsid w:val="00230702"/>
    <w:rsid w:val="00230748"/>
    <w:rsid w:val="002308F6"/>
    <w:rsid w:val="00230964"/>
    <w:rsid w:val="00230B8A"/>
    <w:rsid w:val="00230D01"/>
    <w:rsid w:val="00230D34"/>
    <w:rsid w:val="00230F0B"/>
    <w:rsid w:val="00230FBF"/>
    <w:rsid w:val="002311CE"/>
    <w:rsid w:val="00231319"/>
    <w:rsid w:val="002314BA"/>
    <w:rsid w:val="00231614"/>
    <w:rsid w:val="002317FC"/>
    <w:rsid w:val="002318CE"/>
    <w:rsid w:val="002318D7"/>
    <w:rsid w:val="00231B6B"/>
    <w:rsid w:val="00231C65"/>
    <w:rsid w:val="00231D9F"/>
    <w:rsid w:val="00231F7F"/>
    <w:rsid w:val="0023207B"/>
    <w:rsid w:val="00232120"/>
    <w:rsid w:val="002321A9"/>
    <w:rsid w:val="00232251"/>
    <w:rsid w:val="0023248B"/>
    <w:rsid w:val="002325D3"/>
    <w:rsid w:val="002327D9"/>
    <w:rsid w:val="00232939"/>
    <w:rsid w:val="00232A01"/>
    <w:rsid w:val="00232B9A"/>
    <w:rsid w:val="00232BA6"/>
    <w:rsid w:val="00232CA6"/>
    <w:rsid w:val="00232CCC"/>
    <w:rsid w:val="00232D6E"/>
    <w:rsid w:val="00232EC3"/>
    <w:rsid w:val="00232EF5"/>
    <w:rsid w:val="00232F56"/>
    <w:rsid w:val="002330BC"/>
    <w:rsid w:val="00233110"/>
    <w:rsid w:val="0023346C"/>
    <w:rsid w:val="002334AE"/>
    <w:rsid w:val="00233626"/>
    <w:rsid w:val="002339E5"/>
    <w:rsid w:val="00233B09"/>
    <w:rsid w:val="00233BA1"/>
    <w:rsid w:val="00233CBA"/>
    <w:rsid w:val="00233F47"/>
    <w:rsid w:val="00233F7B"/>
    <w:rsid w:val="0023430D"/>
    <w:rsid w:val="0023439E"/>
    <w:rsid w:val="002343FA"/>
    <w:rsid w:val="0023483F"/>
    <w:rsid w:val="00234A76"/>
    <w:rsid w:val="00234A7A"/>
    <w:rsid w:val="00234C0C"/>
    <w:rsid w:val="00234C29"/>
    <w:rsid w:val="00234E4B"/>
    <w:rsid w:val="00234F70"/>
    <w:rsid w:val="00235217"/>
    <w:rsid w:val="00235229"/>
    <w:rsid w:val="002352EF"/>
    <w:rsid w:val="002352F5"/>
    <w:rsid w:val="0023537F"/>
    <w:rsid w:val="002357FD"/>
    <w:rsid w:val="00235A03"/>
    <w:rsid w:val="00235B45"/>
    <w:rsid w:val="00235C0E"/>
    <w:rsid w:val="00235C7B"/>
    <w:rsid w:val="00235D07"/>
    <w:rsid w:val="00235D65"/>
    <w:rsid w:val="00235E0A"/>
    <w:rsid w:val="002360B2"/>
    <w:rsid w:val="00236232"/>
    <w:rsid w:val="0023645F"/>
    <w:rsid w:val="0023661C"/>
    <w:rsid w:val="00236763"/>
    <w:rsid w:val="002367FE"/>
    <w:rsid w:val="0023681F"/>
    <w:rsid w:val="00236825"/>
    <w:rsid w:val="00236938"/>
    <w:rsid w:val="00236955"/>
    <w:rsid w:val="00236A68"/>
    <w:rsid w:val="00236B56"/>
    <w:rsid w:val="00236B6A"/>
    <w:rsid w:val="00236C4E"/>
    <w:rsid w:val="00236D64"/>
    <w:rsid w:val="00236F3A"/>
    <w:rsid w:val="002370BD"/>
    <w:rsid w:val="00237141"/>
    <w:rsid w:val="002372D7"/>
    <w:rsid w:val="00237441"/>
    <w:rsid w:val="0023798D"/>
    <w:rsid w:val="00237AAC"/>
    <w:rsid w:val="00237AE2"/>
    <w:rsid w:val="00237CE9"/>
    <w:rsid w:val="002400C0"/>
    <w:rsid w:val="0024033A"/>
    <w:rsid w:val="002403DD"/>
    <w:rsid w:val="002405FF"/>
    <w:rsid w:val="00240680"/>
    <w:rsid w:val="00240971"/>
    <w:rsid w:val="00240C96"/>
    <w:rsid w:val="00240CD3"/>
    <w:rsid w:val="00240E55"/>
    <w:rsid w:val="00240FAB"/>
    <w:rsid w:val="002410ED"/>
    <w:rsid w:val="002411B0"/>
    <w:rsid w:val="002411E9"/>
    <w:rsid w:val="00241248"/>
    <w:rsid w:val="00241321"/>
    <w:rsid w:val="0024137D"/>
    <w:rsid w:val="002415C6"/>
    <w:rsid w:val="0024163A"/>
    <w:rsid w:val="00241A48"/>
    <w:rsid w:val="00241B75"/>
    <w:rsid w:val="00241BE1"/>
    <w:rsid w:val="00241F76"/>
    <w:rsid w:val="00241F91"/>
    <w:rsid w:val="00242062"/>
    <w:rsid w:val="002424EB"/>
    <w:rsid w:val="00242682"/>
    <w:rsid w:val="002426C5"/>
    <w:rsid w:val="002426FC"/>
    <w:rsid w:val="00242755"/>
    <w:rsid w:val="00242892"/>
    <w:rsid w:val="002428A6"/>
    <w:rsid w:val="00242BE3"/>
    <w:rsid w:val="00242C43"/>
    <w:rsid w:val="00242C90"/>
    <w:rsid w:val="00242E00"/>
    <w:rsid w:val="00242E43"/>
    <w:rsid w:val="00242E4D"/>
    <w:rsid w:val="00243034"/>
    <w:rsid w:val="0024305F"/>
    <w:rsid w:val="002431B4"/>
    <w:rsid w:val="0024341A"/>
    <w:rsid w:val="0024348C"/>
    <w:rsid w:val="002434E3"/>
    <w:rsid w:val="002436C7"/>
    <w:rsid w:val="00243AD5"/>
    <w:rsid w:val="00243DF4"/>
    <w:rsid w:val="00243E0A"/>
    <w:rsid w:val="00243F48"/>
    <w:rsid w:val="00243FA1"/>
    <w:rsid w:val="00243FBF"/>
    <w:rsid w:val="00244441"/>
    <w:rsid w:val="002444CC"/>
    <w:rsid w:val="002444E7"/>
    <w:rsid w:val="00244B57"/>
    <w:rsid w:val="00244D58"/>
    <w:rsid w:val="00244DCF"/>
    <w:rsid w:val="00244F97"/>
    <w:rsid w:val="0024527D"/>
    <w:rsid w:val="002454F6"/>
    <w:rsid w:val="00245570"/>
    <w:rsid w:val="002458E1"/>
    <w:rsid w:val="00245C61"/>
    <w:rsid w:val="00245CCF"/>
    <w:rsid w:val="00245D84"/>
    <w:rsid w:val="00245D9D"/>
    <w:rsid w:val="00245DFC"/>
    <w:rsid w:val="0024603D"/>
    <w:rsid w:val="0024615C"/>
    <w:rsid w:val="00246377"/>
    <w:rsid w:val="0024656B"/>
    <w:rsid w:val="0024671A"/>
    <w:rsid w:val="00246727"/>
    <w:rsid w:val="00246A0B"/>
    <w:rsid w:val="00246AF7"/>
    <w:rsid w:val="00246BCA"/>
    <w:rsid w:val="00246BDE"/>
    <w:rsid w:val="00246CDF"/>
    <w:rsid w:val="00246E26"/>
    <w:rsid w:val="00246E2E"/>
    <w:rsid w:val="00247678"/>
    <w:rsid w:val="00247918"/>
    <w:rsid w:val="002479DE"/>
    <w:rsid w:val="00247B68"/>
    <w:rsid w:val="00247C98"/>
    <w:rsid w:val="00247CD8"/>
    <w:rsid w:val="00247DCA"/>
    <w:rsid w:val="00247F11"/>
    <w:rsid w:val="002500A6"/>
    <w:rsid w:val="0025010A"/>
    <w:rsid w:val="0025013D"/>
    <w:rsid w:val="002502B8"/>
    <w:rsid w:val="00250336"/>
    <w:rsid w:val="0025036E"/>
    <w:rsid w:val="00250437"/>
    <w:rsid w:val="002504CD"/>
    <w:rsid w:val="002506C5"/>
    <w:rsid w:val="0025076C"/>
    <w:rsid w:val="0025085D"/>
    <w:rsid w:val="002508F0"/>
    <w:rsid w:val="00250ACA"/>
    <w:rsid w:val="00250B37"/>
    <w:rsid w:val="00250C35"/>
    <w:rsid w:val="00250C78"/>
    <w:rsid w:val="00250E8A"/>
    <w:rsid w:val="0025105B"/>
    <w:rsid w:val="00251161"/>
    <w:rsid w:val="0025165F"/>
    <w:rsid w:val="00251678"/>
    <w:rsid w:val="0025173C"/>
    <w:rsid w:val="00251958"/>
    <w:rsid w:val="00251973"/>
    <w:rsid w:val="00251A18"/>
    <w:rsid w:val="00251B64"/>
    <w:rsid w:val="00251C40"/>
    <w:rsid w:val="00251D64"/>
    <w:rsid w:val="00252055"/>
    <w:rsid w:val="002525A1"/>
    <w:rsid w:val="002525B7"/>
    <w:rsid w:val="002526B5"/>
    <w:rsid w:val="00252AF8"/>
    <w:rsid w:val="00252C1D"/>
    <w:rsid w:val="00252FF0"/>
    <w:rsid w:val="00253000"/>
    <w:rsid w:val="002530E6"/>
    <w:rsid w:val="0025351E"/>
    <w:rsid w:val="0025364C"/>
    <w:rsid w:val="00253718"/>
    <w:rsid w:val="00253756"/>
    <w:rsid w:val="002537AA"/>
    <w:rsid w:val="00253936"/>
    <w:rsid w:val="00253942"/>
    <w:rsid w:val="00253ABB"/>
    <w:rsid w:val="00253D1D"/>
    <w:rsid w:val="00253D5E"/>
    <w:rsid w:val="00253F4E"/>
    <w:rsid w:val="00253FE9"/>
    <w:rsid w:val="0025415A"/>
    <w:rsid w:val="002541E7"/>
    <w:rsid w:val="00254587"/>
    <w:rsid w:val="002545B9"/>
    <w:rsid w:val="0025469F"/>
    <w:rsid w:val="00254920"/>
    <w:rsid w:val="00254A57"/>
    <w:rsid w:val="00254B63"/>
    <w:rsid w:val="00254B95"/>
    <w:rsid w:val="00254CE9"/>
    <w:rsid w:val="00254D67"/>
    <w:rsid w:val="00254E07"/>
    <w:rsid w:val="00254E71"/>
    <w:rsid w:val="002550E0"/>
    <w:rsid w:val="0025513D"/>
    <w:rsid w:val="00255531"/>
    <w:rsid w:val="002556D1"/>
    <w:rsid w:val="00255838"/>
    <w:rsid w:val="0025594E"/>
    <w:rsid w:val="00255978"/>
    <w:rsid w:val="002559E9"/>
    <w:rsid w:val="00255A5F"/>
    <w:rsid w:val="00255AF9"/>
    <w:rsid w:val="00255CF3"/>
    <w:rsid w:val="00255E2C"/>
    <w:rsid w:val="00255F11"/>
    <w:rsid w:val="00255F7B"/>
    <w:rsid w:val="00255FFE"/>
    <w:rsid w:val="00256098"/>
    <w:rsid w:val="002560DC"/>
    <w:rsid w:val="00256142"/>
    <w:rsid w:val="00256247"/>
    <w:rsid w:val="00256507"/>
    <w:rsid w:val="00256603"/>
    <w:rsid w:val="00256754"/>
    <w:rsid w:val="002568ED"/>
    <w:rsid w:val="00256975"/>
    <w:rsid w:val="00256BE0"/>
    <w:rsid w:val="00256C01"/>
    <w:rsid w:val="002570AF"/>
    <w:rsid w:val="0025748E"/>
    <w:rsid w:val="002575F9"/>
    <w:rsid w:val="002576E5"/>
    <w:rsid w:val="0025781F"/>
    <w:rsid w:val="002578A4"/>
    <w:rsid w:val="002578CC"/>
    <w:rsid w:val="00257C8F"/>
    <w:rsid w:val="00257D11"/>
    <w:rsid w:val="00257D4E"/>
    <w:rsid w:val="00257DE3"/>
    <w:rsid w:val="00257E15"/>
    <w:rsid w:val="00260084"/>
    <w:rsid w:val="00260109"/>
    <w:rsid w:val="0026016E"/>
    <w:rsid w:val="0026019F"/>
    <w:rsid w:val="00260340"/>
    <w:rsid w:val="00260468"/>
    <w:rsid w:val="00260633"/>
    <w:rsid w:val="0026064C"/>
    <w:rsid w:val="002607C3"/>
    <w:rsid w:val="00260839"/>
    <w:rsid w:val="00260993"/>
    <w:rsid w:val="00260A20"/>
    <w:rsid w:val="00260A22"/>
    <w:rsid w:val="00260CD7"/>
    <w:rsid w:val="00260F75"/>
    <w:rsid w:val="00261067"/>
    <w:rsid w:val="002612A0"/>
    <w:rsid w:val="002613F3"/>
    <w:rsid w:val="00261435"/>
    <w:rsid w:val="002616A3"/>
    <w:rsid w:val="002618CE"/>
    <w:rsid w:val="00261960"/>
    <w:rsid w:val="00261A56"/>
    <w:rsid w:val="00261A7D"/>
    <w:rsid w:val="00261CA3"/>
    <w:rsid w:val="00261D63"/>
    <w:rsid w:val="00261DEC"/>
    <w:rsid w:val="00261EB1"/>
    <w:rsid w:val="00261F82"/>
    <w:rsid w:val="0026228A"/>
    <w:rsid w:val="00262538"/>
    <w:rsid w:val="002626FA"/>
    <w:rsid w:val="002627F0"/>
    <w:rsid w:val="00262828"/>
    <w:rsid w:val="0026290C"/>
    <w:rsid w:val="00262994"/>
    <w:rsid w:val="002629CB"/>
    <w:rsid w:val="00262A9B"/>
    <w:rsid w:val="00262BC7"/>
    <w:rsid w:val="00262BD6"/>
    <w:rsid w:val="00262C0E"/>
    <w:rsid w:val="00263090"/>
    <w:rsid w:val="002631DC"/>
    <w:rsid w:val="002632F4"/>
    <w:rsid w:val="002635FA"/>
    <w:rsid w:val="0026366B"/>
    <w:rsid w:val="002636D7"/>
    <w:rsid w:val="002638C2"/>
    <w:rsid w:val="00263A80"/>
    <w:rsid w:val="00263B6A"/>
    <w:rsid w:val="00263C9B"/>
    <w:rsid w:val="00263FE1"/>
    <w:rsid w:val="002640D9"/>
    <w:rsid w:val="0026451D"/>
    <w:rsid w:val="002645C5"/>
    <w:rsid w:val="0026462B"/>
    <w:rsid w:val="00264738"/>
    <w:rsid w:val="0026482F"/>
    <w:rsid w:val="00264887"/>
    <w:rsid w:val="00264B41"/>
    <w:rsid w:val="00264C0E"/>
    <w:rsid w:val="00264D5F"/>
    <w:rsid w:val="00264E2B"/>
    <w:rsid w:val="00264FAB"/>
    <w:rsid w:val="0026530E"/>
    <w:rsid w:val="00265429"/>
    <w:rsid w:val="0026571C"/>
    <w:rsid w:val="00265A4D"/>
    <w:rsid w:val="00265D26"/>
    <w:rsid w:val="00265D9B"/>
    <w:rsid w:val="00265E73"/>
    <w:rsid w:val="00265FCC"/>
    <w:rsid w:val="00265FEA"/>
    <w:rsid w:val="00266065"/>
    <w:rsid w:val="002660D0"/>
    <w:rsid w:val="0026610E"/>
    <w:rsid w:val="002664A9"/>
    <w:rsid w:val="00266518"/>
    <w:rsid w:val="0026655A"/>
    <w:rsid w:val="0026656B"/>
    <w:rsid w:val="0026658D"/>
    <w:rsid w:val="002666B7"/>
    <w:rsid w:val="002666F7"/>
    <w:rsid w:val="0026695B"/>
    <w:rsid w:val="00266A0A"/>
    <w:rsid w:val="00266A22"/>
    <w:rsid w:val="00266A6F"/>
    <w:rsid w:val="00266ACE"/>
    <w:rsid w:val="00266C50"/>
    <w:rsid w:val="00266C61"/>
    <w:rsid w:val="00266DA0"/>
    <w:rsid w:val="00266E02"/>
    <w:rsid w:val="00266F6B"/>
    <w:rsid w:val="00267481"/>
    <w:rsid w:val="002674DD"/>
    <w:rsid w:val="00267A22"/>
    <w:rsid w:val="00267A88"/>
    <w:rsid w:val="00267BAA"/>
    <w:rsid w:val="00267C15"/>
    <w:rsid w:val="00267C57"/>
    <w:rsid w:val="00267C5C"/>
    <w:rsid w:val="0027001B"/>
    <w:rsid w:val="002703C8"/>
    <w:rsid w:val="00270470"/>
    <w:rsid w:val="00270596"/>
    <w:rsid w:val="002705FE"/>
    <w:rsid w:val="0027066A"/>
    <w:rsid w:val="0027066C"/>
    <w:rsid w:val="0027068B"/>
    <w:rsid w:val="00270AF3"/>
    <w:rsid w:val="00270CB3"/>
    <w:rsid w:val="00270D86"/>
    <w:rsid w:val="00270FEF"/>
    <w:rsid w:val="002710E5"/>
    <w:rsid w:val="00271436"/>
    <w:rsid w:val="0027158E"/>
    <w:rsid w:val="00271740"/>
    <w:rsid w:val="002717D1"/>
    <w:rsid w:val="002717E9"/>
    <w:rsid w:val="00271874"/>
    <w:rsid w:val="00271C49"/>
    <w:rsid w:val="00271DE2"/>
    <w:rsid w:val="0027207E"/>
    <w:rsid w:val="0027217C"/>
    <w:rsid w:val="00272185"/>
    <w:rsid w:val="00272312"/>
    <w:rsid w:val="0027270B"/>
    <w:rsid w:val="002728D8"/>
    <w:rsid w:val="00272A53"/>
    <w:rsid w:val="00272B62"/>
    <w:rsid w:val="00272C56"/>
    <w:rsid w:val="00272CAE"/>
    <w:rsid w:val="00272E64"/>
    <w:rsid w:val="00273002"/>
    <w:rsid w:val="0027315A"/>
    <w:rsid w:val="00273199"/>
    <w:rsid w:val="002732C5"/>
    <w:rsid w:val="002733D6"/>
    <w:rsid w:val="0027362A"/>
    <w:rsid w:val="00273630"/>
    <w:rsid w:val="0027379E"/>
    <w:rsid w:val="00273A99"/>
    <w:rsid w:val="00273ABC"/>
    <w:rsid w:val="00273AD6"/>
    <w:rsid w:val="00273FCD"/>
    <w:rsid w:val="0027405A"/>
    <w:rsid w:val="00274103"/>
    <w:rsid w:val="00274344"/>
    <w:rsid w:val="0027443F"/>
    <w:rsid w:val="002744B0"/>
    <w:rsid w:val="0027473F"/>
    <w:rsid w:val="002749B7"/>
    <w:rsid w:val="00274A8F"/>
    <w:rsid w:val="00274B51"/>
    <w:rsid w:val="00274B71"/>
    <w:rsid w:val="00274E41"/>
    <w:rsid w:val="00274E4C"/>
    <w:rsid w:val="002750DE"/>
    <w:rsid w:val="0027510E"/>
    <w:rsid w:val="00275181"/>
    <w:rsid w:val="002751EE"/>
    <w:rsid w:val="00275377"/>
    <w:rsid w:val="00275503"/>
    <w:rsid w:val="00275517"/>
    <w:rsid w:val="0027554D"/>
    <w:rsid w:val="00275681"/>
    <w:rsid w:val="00275B65"/>
    <w:rsid w:val="00275BAC"/>
    <w:rsid w:val="00275C0F"/>
    <w:rsid w:val="00275E9F"/>
    <w:rsid w:val="00275FBC"/>
    <w:rsid w:val="0027609A"/>
    <w:rsid w:val="00276113"/>
    <w:rsid w:val="002761B5"/>
    <w:rsid w:val="002761D3"/>
    <w:rsid w:val="002761EE"/>
    <w:rsid w:val="0027627F"/>
    <w:rsid w:val="002763AB"/>
    <w:rsid w:val="002764E0"/>
    <w:rsid w:val="00276558"/>
    <w:rsid w:val="002765FA"/>
    <w:rsid w:val="0027681B"/>
    <w:rsid w:val="00276830"/>
    <w:rsid w:val="00276916"/>
    <w:rsid w:val="002769AD"/>
    <w:rsid w:val="00276B24"/>
    <w:rsid w:val="00276BCA"/>
    <w:rsid w:val="00276BE2"/>
    <w:rsid w:val="00276CA9"/>
    <w:rsid w:val="00276EE7"/>
    <w:rsid w:val="0027701C"/>
    <w:rsid w:val="00277174"/>
    <w:rsid w:val="0027722C"/>
    <w:rsid w:val="002775B8"/>
    <w:rsid w:val="002776FE"/>
    <w:rsid w:val="002777C2"/>
    <w:rsid w:val="002779D8"/>
    <w:rsid w:val="00277AEA"/>
    <w:rsid w:val="00277BAE"/>
    <w:rsid w:val="00277D65"/>
    <w:rsid w:val="00277F73"/>
    <w:rsid w:val="00277FD6"/>
    <w:rsid w:val="002800ED"/>
    <w:rsid w:val="00280114"/>
    <w:rsid w:val="00280155"/>
    <w:rsid w:val="002801D2"/>
    <w:rsid w:val="00280233"/>
    <w:rsid w:val="002802D8"/>
    <w:rsid w:val="002803D9"/>
    <w:rsid w:val="00280431"/>
    <w:rsid w:val="002805FE"/>
    <w:rsid w:val="0028080F"/>
    <w:rsid w:val="002808D7"/>
    <w:rsid w:val="00280B50"/>
    <w:rsid w:val="00280BDB"/>
    <w:rsid w:val="00280C6A"/>
    <w:rsid w:val="00280F92"/>
    <w:rsid w:val="002811B2"/>
    <w:rsid w:val="002812D2"/>
    <w:rsid w:val="0028131B"/>
    <w:rsid w:val="00281382"/>
    <w:rsid w:val="002813FE"/>
    <w:rsid w:val="002814D4"/>
    <w:rsid w:val="0028175D"/>
    <w:rsid w:val="00281838"/>
    <w:rsid w:val="00281975"/>
    <w:rsid w:val="002819C8"/>
    <w:rsid w:val="002819E4"/>
    <w:rsid w:val="00281A74"/>
    <w:rsid w:val="00281B04"/>
    <w:rsid w:val="00281FA3"/>
    <w:rsid w:val="00282018"/>
    <w:rsid w:val="0028211B"/>
    <w:rsid w:val="002823AF"/>
    <w:rsid w:val="00282468"/>
    <w:rsid w:val="002824BB"/>
    <w:rsid w:val="0028261E"/>
    <w:rsid w:val="00282871"/>
    <w:rsid w:val="00282B43"/>
    <w:rsid w:val="00282E81"/>
    <w:rsid w:val="00282EC7"/>
    <w:rsid w:val="002832E8"/>
    <w:rsid w:val="002834DE"/>
    <w:rsid w:val="002836DC"/>
    <w:rsid w:val="00283755"/>
    <w:rsid w:val="0028378A"/>
    <w:rsid w:val="00283857"/>
    <w:rsid w:val="00283A81"/>
    <w:rsid w:val="00283AC6"/>
    <w:rsid w:val="00283C9D"/>
    <w:rsid w:val="00283F8F"/>
    <w:rsid w:val="002842A4"/>
    <w:rsid w:val="00284511"/>
    <w:rsid w:val="00284512"/>
    <w:rsid w:val="0028493F"/>
    <w:rsid w:val="00284AF5"/>
    <w:rsid w:val="00284C29"/>
    <w:rsid w:val="00284CA0"/>
    <w:rsid w:val="00284EA0"/>
    <w:rsid w:val="00284EFF"/>
    <w:rsid w:val="002850A2"/>
    <w:rsid w:val="0028517A"/>
    <w:rsid w:val="002855A1"/>
    <w:rsid w:val="00285616"/>
    <w:rsid w:val="00285843"/>
    <w:rsid w:val="00285854"/>
    <w:rsid w:val="00285882"/>
    <w:rsid w:val="00285883"/>
    <w:rsid w:val="0028595C"/>
    <w:rsid w:val="00285B2C"/>
    <w:rsid w:val="00285C43"/>
    <w:rsid w:val="00285C95"/>
    <w:rsid w:val="00285D42"/>
    <w:rsid w:val="00285D4C"/>
    <w:rsid w:val="00285D88"/>
    <w:rsid w:val="0028600F"/>
    <w:rsid w:val="002860AF"/>
    <w:rsid w:val="002861D9"/>
    <w:rsid w:val="0028629E"/>
    <w:rsid w:val="002863A9"/>
    <w:rsid w:val="002864E7"/>
    <w:rsid w:val="0028662C"/>
    <w:rsid w:val="0028664D"/>
    <w:rsid w:val="002868EB"/>
    <w:rsid w:val="00286A61"/>
    <w:rsid w:val="00286ABF"/>
    <w:rsid w:val="00286B68"/>
    <w:rsid w:val="00286BAD"/>
    <w:rsid w:val="00286C68"/>
    <w:rsid w:val="00286C7D"/>
    <w:rsid w:val="00286D49"/>
    <w:rsid w:val="00286FC8"/>
    <w:rsid w:val="00287008"/>
    <w:rsid w:val="00287013"/>
    <w:rsid w:val="002871E9"/>
    <w:rsid w:val="0028732A"/>
    <w:rsid w:val="0028733A"/>
    <w:rsid w:val="002873B8"/>
    <w:rsid w:val="00287429"/>
    <w:rsid w:val="00287630"/>
    <w:rsid w:val="0028763E"/>
    <w:rsid w:val="00287BE0"/>
    <w:rsid w:val="00287BE6"/>
    <w:rsid w:val="00287BED"/>
    <w:rsid w:val="00287C15"/>
    <w:rsid w:val="00287D5F"/>
    <w:rsid w:val="00287F8C"/>
    <w:rsid w:val="00290050"/>
    <w:rsid w:val="00290439"/>
    <w:rsid w:val="00290683"/>
    <w:rsid w:val="00290A75"/>
    <w:rsid w:val="00290AED"/>
    <w:rsid w:val="00290E24"/>
    <w:rsid w:val="00291235"/>
    <w:rsid w:val="0029132A"/>
    <w:rsid w:val="0029134B"/>
    <w:rsid w:val="00291464"/>
    <w:rsid w:val="00291491"/>
    <w:rsid w:val="002914F5"/>
    <w:rsid w:val="00291558"/>
    <w:rsid w:val="00291605"/>
    <w:rsid w:val="002916A7"/>
    <w:rsid w:val="00291764"/>
    <w:rsid w:val="002917CD"/>
    <w:rsid w:val="00291A88"/>
    <w:rsid w:val="00291AE7"/>
    <w:rsid w:val="00291B11"/>
    <w:rsid w:val="00291B31"/>
    <w:rsid w:val="00291B46"/>
    <w:rsid w:val="00291D9B"/>
    <w:rsid w:val="00291DCB"/>
    <w:rsid w:val="00291DFF"/>
    <w:rsid w:val="00291F32"/>
    <w:rsid w:val="00291F61"/>
    <w:rsid w:val="00292266"/>
    <w:rsid w:val="00292330"/>
    <w:rsid w:val="002923A4"/>
    <w:rsid w:val="00292677"/>
    <w:rsid w:val="00292722"/>
    <w:rsid w:val="002927FF"/>
    <w:rsid w:val="00292D59"/>
    <w:rsid w:val="00292F75"/>
    <w:rsid w:val="002930F7"/>
    <w:rsid w:val="00293135"/>
    <w:rsid w:val="00293153"/>
    <w:rsid w:val="0029337E"/>
    <w:rsid w:val="002933F3"/>
    <w:rsid w:val="0029340B"/>
    <w:rsid w:val="00293452"/>
    <w:rsid w:val="0029363D"/>
    <w:rsid w:val="0029370F"/>
    <w:rsid w:val="002939FC"/>
    <w:rsid w:val="00293AA5"/>
    <w:rsid w:val="00293B12"/>
    <w:rsid w:val="00293B2F"/>
    <w:rsid w:val="00293D23"/>
    <w:rsid w:val="00293DCB"/>
    <w:rsid w:val="00293E15"/>
    <w:rsid w:val="00293E81"/>
    <w:rsid w:val="00293F98"/>
    <w:rsid w:val="00294038"/>
    <w:rsid w:val="002940ED"/>
    <w:rsid w:val="00294174"/>
    <w:rsid w:val="002941E4"/>
    <w:rsid w:val="002941F9"/>
    <w:rsid w:val="00294C5B"/>
    <w:rsid w:val="00294CB2"/>
    <w:rsid w:val="00294D0E"/>
    <w:rsid w:val="00294E63"/>
    <w:rsid w:val="00294F6E"/>
    <w:rsid w:val="0029505A"/>
    <w:rsid w:val="00295414"/>
    <w:rsid w:val="002955E5"/>
    <w:rsid w:val="002956F3"/>
    <w:rsid w:val="00295763"/>
    <w:rsid w:val="002958E1"/>
    <w:rsid w:val="00295A45"/>
    <w:rsid w:val="00295B58"/>
    <w:rsid w:val="00295DAF"/>
    <w:rsid w:val="00295E3E"/>
    <w:rsid w:val="00295E4E"/>
    <w:rsid w:val="00295FBA"/>
    <w:rsid w:val="002961B9"/>
    <w:rsid w:val="00296216"/>
    <w:rsid w:val="0029663A"/>
    <w:rsid w:val="00296766"/>
    <w:rsid w:val="00296808"/>
    <w:rsid w:val="00296A1E"/>
    <w:rsid w:val="00296BDC"/>
    <w:rsid w:val="00296BDD"/>
    <w:rsid w:val="00296D30"/>
    <w:rsid w:val="00296E36"/>
    <w:rsid w:val="00297140"/>
    <w:rsid w:val="002971B9"/>
    <w:rsid w:val="0029720E"/>
    <w:rsid w:val="00297283"/>
    <w:rsid w:val="002972CA"/>
    <w:rsid w:val="00297442"/>
    <w:rsid w:val="00297486"/>
    <w:rsid w:val="00297534"/>
    <w:rsid w:val="00297958"/>
    <w:rsid w:val="002979B6"/>
    <w:rsid w:val="00297B37"/>
    <w:rsid w:val="00297CCE"/>
    <w:rsid w:val="00297DB8"/>
    <w:rsid w:val="00297DED"/>
    <w:rsid w:val="00297E8B"/>
    <w:rsid w:val="00297ECE"/>
    <w:rsid w:val="00297F35"/>
    <w:rsid w:val="002A0370"/>
    <w:rsid w:val="002A0452"/>
    <w:rsid w:val="002A0473"/>
    <w:rsid w:val="002A0523"/>
    <w:rsid w:val="002A0599"/>
    <w:rsid w:val="002A0772"/>
    <w:rsid w:val="002A07AF"/>
    <w:rsid w:val="002A081B"/>
    <w:rsid w:val="002A0833"/>
    <w:rsid w:val="002A0A3E"/>
    <w:rsid w:val="002A0AAC"/>
    <w:rsid w:val="002A0B89"/>
    <w:rsid w:val="002A10FB"/>
    <w:rsid w:val="002A1509"/>
    <w:rsid w:val="002A16D8"/>
    <w:rsid w:val="002A1AEC"/>
    <w:rsid w:val="002A1C17"/>
    <w:rsid w:val="002A1CDE"/>
    <w:rsid w:val="002A1D73"/>
    <w:rsid w:val="002A1FA9"/>
    <w:rsid w:val="002A1FAA"/>
    <w:rsid w:val="002A2244"/>
    <w:rsid w:val="002A236E"/>
    <w:rsid w:val="002A2414"/>
    <w:rsid w:val="002A24AC"/>
    <w:rsid w:val="002A25CD"/>
    <w:rsid w:val="002A25E6"/>
    <w:rsid w:val="002A2809"/>
    <w:rsid w:val="002A290F"/>
    <w:rsid w:val="002A2981"/>
    <w:rsid w:val="002A29B8"/>
    <w:rsid w:val="002A2CAA"/>
    <w:rsid w:val="002A2FBC"/>
    <w:rsid w:val="002A323F"/>
    <w:rsid w:val="002A3283"/>
    <w:rsid w:val="002A33BA"/>
    <w:rsid w:val="002A3739"/>
    <w:rsid w:val="002A3768"/>
    <w:rsid w:val="002A38DA"/>
    <w:rsid w:val="002A3A8B"/>
    <w:rsid w:val="002A3BB5"/>
    <w:rsid w:val="002A3DA4"/>
    <w:rsid w:val="002A3DBC"/>
    <w:rsid w:val="002A3EC2"/>
    <w:rsid w:val="002A4010"/>
    <w:rsid w:val="002A43AE"/>
    <w:rsid w:val="002A456C"/>
    <w:rsid w:val="002A45B9"/>
    <w:rsid w:val="002A470A"/>
    <w:rsid w:val="002A4774"/>
    <w:rsid w:val="002A49C0"/>
    <w:rsid w:val="002A4A2B"/>
    <w:rsid w:val="002A4DAB"/>
    <w:rsid w:val="002A4F9A"/>
    <w:rsid w:val="002A529B"/>
    <w:rsid w:val="002A53D9"/>
    <w:rsid w:val="002A55BB"/>
    <w:rsid w:val="002A56E8"/>
    <w:rsid w:val="002A57A5"/>
    <w:rsid w:val="002A5B64"/>
    <w:rsid w:val="002A5B73"/>
    <w:rsid w:val="002A5BA9"/>
    <w:rsid w:val="002A6258"/>
    <w:rsid w:val="002A63D3"/>
    <w:rsid w:val="002A65D3"/>
    <w:rsid w:val="002A67FE"/>
    <w:rsid w:val="002A6C3C"/>
    <w:rsid w:val="002A6C5A"/>
    <w:rsid w:val="002A6C70"/>
    <w:rsid w:val="002A6D2D"/>
    <w:rsid w:val="002A6D31"/>
    <w:rsid w:val="002A6D4D"/>
    <w:rsid w:val="002A7063"/>
    <w:rsid w:val="002A721C"/>
    <w:rsid w:val="002A765E"/>
    <w:rsid w:val="002A76F4"/>
    <w:rsid w:val="002A76FB"/>
    <w:rsid w:val="002A7862"/>
    <w:rsid w:val="002A78FB"/>
    <w:rsid w:val="002A793A"/>
    <w:rsid w:val="002A7957"/>
    <w:rsid w:val="002A7C17"/>
    <w:rsid w:val="002A7DCF"/>
    <w:rsid w:val="002A7FE8"/>
    <w:rsid w:val="002A7FFD"/>
    <w:rsid w:val="002B0026"/>
    <w:rsid w:val="002B03B7"/>
    <w:rsid w:val="002B08B9"/>
    <w:rsid w:val="002B09EB"/>
    <w:rsid w:val="002B0BA6"/>
    <w:rsid w:val="002B0CCE"/>
    <w:rsid w:val="002B0DC8"/>
    <w:rsid w:val="002B0E8F"/>
    <w:rsid w:val="002B10E8"/>
    <w:rsid w:val="002B1433"/>
    <w:rsid w:val="002B152C"/>
    <w:rsid w:val="002B171A"/>
    <w:rsid w:val="002B175E"/>
    <w:rsid w:val="002B1BCF"/>
    <w:rsid w:val="002B1C69"/>
    <w:rsid w:val="002B1CA8"/>
    <w:rsid w:val="002B1E57"/>
    <w:rsid w:val="002B1F54"/>
    <w:rsid w:val="002B2082"/>
    <w:rsid w:val="002B219B"/>
    <w:rsid w:val="002B227D"/>
    <w:rsid w:val="002B241C"/>
    <w:rsid w:val="002B280E"/>
    <w:rsid w:val="002B299E"/>
    <w:rsid w:val="002B29E0"/>
    <w:rsid w:val="002B2C1A"/>
    <w:rsid w:val="002B2C75"/>
    <w:rsid w:val="002B2D15"/>
    <w:rsid w:val="002B2DA0"/>
    <w:rsid w:val="002B2E8F"/>
    <w:rsid w:val="002B2F3E"/>
    <w:rsid w:val="002B3167"/>
    <w:rsid w:val="002B3173"/>
    <w:rsid w:val="002B32DE"/>
    <w:rsid w:val="002B3371"/>
    <w:rsid w:val="002B33DC"/>
    <w:rsid w:val="002B364C"/>
    <w:rsid w:val="002B36F3"/>
    <w:rsid w:val="002B38F3"/>
    <w:rsid w:val="002B3919"/>
    <w:rsid w:val="002B3960"/>
    <w:rsid w:val="002B3A5F"/>
    <w:rsid w:val="002B438A"/>
    <w:rsid w:val="002B43E3"/>
    <w:rsid w:val="002B452E"/>
    <w:rsid w:val="002B453F"/>
    <w:rsid w:val="002B4869"/>
    <w:rsid w:val="002B490C"/>
    <w:rsid w:val="002B4919"/>
    <w:rsid w:val="002B496A"/>
    <w:rsid w:val="002B4980"/>
    <w:rsid w:val="002B4B32"/>
    <w:rsid w:val="002B4B34"/>
    <w:rsid w:val="002B4DAE"/>
    <w:rsid w:val="002B4E50"/>
    <w:rsid w:val="002B518D"/>
    <w:rsid w:val="002B518E"/>
    <w:rsid w:val="002B5196"/>
    <w:rsid w:val="002B55EE"/>
    <w:rsid w:val="002B57EA"/>
    <w:rsid w:val="002B5835"/>
    <w:rsid w:val="002B5B60"/>
    <w:rsid w:val="002B5CCF"/>
    <w:rsid w:val="002B5EEB"/>
    <w:rsid w:val="002B621A"/>
    <w:rsid w:val="002B6260"/>
    <w:rsid w:val="002B649F"/>
    <w:rsid w:val="002B650E"/>
    <w:rsid w:val="002B6569"/>
    <w:rsid w:val="002B6D97"/>
    <w:rsid w:val="002B6DDE"/>
    <w:rsid w:val="002B6FAB"/>
    <w:rsid w:val="002B6FDB"/>
    <w:rsid w:val="002B72AA"/>
    <w:rsid w:val="002B72CA"/>
    <w:rsid w:val="002B733B"/>
    <w:rsid w:val="002B7BE6"/>
    <w:rsid w:val="002B7BFD"/>
    <w:rsid w:val="002B7DCF"/>
    <w:rsid w:val="002B7E10"/>
    <w:rsid w:val="002C029C"/>
    <w:rsid w:val="002C04F5"/>
    <w:rsid w:val="002C05DB"/>
    <w:rsid w:val="002C082C"/>
    <w:rsid w:val="002C083D"/>
    <w:rsid w:val="002C0B7D"/>
    <w:rsid w:val="002C0D9B"/>
    <w:rsid w:val="002C0EC7"/>
    <w:rsid w:val="002C108F"/>
    <w:rsid w:val="002C1299"/>
    <w:rsid w:val="002C144C"/>
    <w:rsid w:val="002C1471"/>
    <w:rsid w:val="002C14B9"/>
    <w:rsid w:val="002C1625"/>
    <w:rsid w:val="002C1740"/>
    <w:rsid w:val="002C190D"/>
    <w:rsid w:val="002C19B4"/>
    <w:rsid w:val="002C1C20"/>
    <w:rsid w:val="002C1E5B"/>
    <w:rsid w:val="002C1E8F"/>
    <w:rsid w:val="002C222E"/>
    <w:rsid w:val="002C230D"/>
    <w:rsid w:val="002C2315"/>
    <w:rsid w:val="002C2327"/>
    <w:rsid w:val="002C232B"/>
    <w:rsid w:val="002C23BF"/>
    <w:rsid w:val="002C263F"/>
    <w:rsid w:val="002C27E0"/>
    <w:rsid w:val="002C28C2"/>
    <w:rsid w:val="002C2967"/>
    <w:rsid w:val="002C29CE"/>
    <w:rsid w:val="002C2A52"/>
    <w:rsid w:val="002C2B61"/>
    <w:rsid w:val="002C2B9F"/>
    <w:rsid w:val="002C2DB9"/>
    <w:rsid w:val="002C2DDC"/>
    <w:rsid w:val="002C2E68"/>
    <w:rsid w:val="002C3071"/>
    <w:rsid w:val="002C30FC"/>
    <w:rsid w:val="002C3109"/>
    <w:rsid w:val="002C3121"/>
    <w:rsid w:val="002C3186"/>
    <w:rsid w:val="002C3317"/>
    <w:rsid w:val="002C356B"/>
    <w:rsid w:val="002C362A"/>
    <w:rsid w:val="002C3753"/>
    <w:rsid w:val="002C393D"/>
    <w:rsid w:val="002C3978"/>
    <w:rsid w:val="002C3A15"/>
    <w:rsid w:val="002C3A21"/>
    <w:rsid w:val="002C3A4E"/>
    <w:rsid w:val="002C3B20"/>
    <w:rsid w:val="002C3EF9"/>
    <w:rsid w:val="002C3F30"/>
    <w:rsid w:val="002C3FF6"/>
    <w:rsid w:val="002C4028"/>
    <w:rsid w:val="002C423C"/>
    <w:rsid w:val="002C4292"/>
    <w:rsid w:val="002C4725"/>
    <w:rsid w:val="002C48A7"/>
    <w:rsid w:val="002C4B60"/>
    <w:rsid w:val="002C4C53"/>
    <w:rsid w:val="002C4D7E"/>
    <w:rsid w:val="002C4E78"/>
    <w:rsid w:val="002C4FD0"/>
    <w:rsid w:val="002C50B9"/>
    <w:rsid w:val="002C52D3"/>
    <w:rsid w:val="002C532B"/>
    <w:rsid w:val="002C5370"/>
    <w:rsid w:val="002C55A8"/>
    <w:rsid w:val="002C575F"/>
    <w:rsid w:val="002C58BC"/>
    <w:rsid w:val="002C58F8"/>
    <w:rsid w:val="002C5B11"/>
    <w:rsid w:val="002C5CB8"/>
    <w:rsid w:val="002C5D1C"/>
    <w:rsid w:val="002C5F6A"/>
    <w:rsid w:val="002C5FC3"/>
    <w:rsid w:val="002C622C"/>
    <w:rsid w:val="002C6279"/>
    <w:rsid w:val="002C62D0"/>
    <w:rsid w:val="002C6470"/>
    <w:rsid w:val="002C6547"/>
    <w:rsid w:val="002C66EA"/>
    <w:rsid w:val="002C68F7"/>
    <w:rsid w:val="002C69B5"/>
    <w:rsid w:val="002C6BE7"/>
    <w:rsid w:val="002C6D89"/>
    <w:rsid w:val="002C6DCF"/>
    <w:rsid w:val="002C6E7E"/>
    <w:rsid w:val="002C6F27"/>
    <w:rsid w:val="002C6F66"/>
    <w:rsid w:val="002C7140"/>
    <w:rsid w:val="002C723E"/>
    <w:rsid w:val="002C7300"/>
    <w:rsid w:val="002C7433"/>
    <w:rsid w:val="002C7795"/>
    <w:rsid w:val="002C7876"/>
    <w:rsid w:val="002C78E5"/>
    <w:rsid w:val="002C78F6"/>
    <w:rsid w:val="002C7950"/>
    <w:rsid w:val="002C797B"/>
    <w:rsid w:val="002C7ABB"/>
    <w:rsid w:val="002C7C24"/>
    <w:rsid w:val="002C7CC3"/>
    <w:rsid w:val="002C7CD0"/>
    <w:rsid w:val="002C7D56"/>
    <w:rsid w:val="002D01F8"/>
    <w:rsid w:val="002D02F4"/>
    <w:rsid w:val="002D0718"/>
    <w:rsid w:val="002D0864"/>
    <w:rsid w:val="002D09A1"/>
    <w:rsid w:val="002D0DAA"/>
    <w:rsid w:val="002D0ECC"/>
    <w:rsid w:val="002D109B"/>
    <w:rsid w:val="002D1133"/>
    <w:rsid w:val="002D12B2"/>
    <w:rsid w:val="002D12E9"/>
    <w:rsid w:val="002D14DD"/>
    <w:rsid w:val="002D1553"/>
    <w:rsid w:val="002D1728"/>
    <w:rsid w:val="002D1969"/>
    <w:rsid w:val="002D1994"/>
    <w:rsid w:val="002D1A56"/>
    <w:rsid w:val="002D1E4F"/>
    <w:rsid w:val="002D1F14"/>
    <w:rsid w:val="002D216A"/>
    <w:rsid w:val="002D22C9"/>
    <w:rsid w:val="002D2302"/>
    <w:rsid w:val="002D273C"/>
    <w:rsid w:val="002D2767"/>
    <w:rsid w:val="002D27D8"/>
    <w:rsid w:val="002D2BE0"/>
    <w:rsid w:val="002D2CA9"/>
    <w:rsid w:val="002D2CBD"/>
    <w:rsid w:val="002D2E1F"/>
    <w:rsid w:val="002D2EBC"/>
    <w:rsid w:val="002D2F58"/>
    <w:rsid w:val="002D3079"/>
    <w:rsid w:val="002D338E"/>
    <w:rsid w:val="002D3A9F"/>
    <w:rsid w:val="002D3ABF"/>
    <w:rsid w:val="002D3EA5"/>
    <w:rsid w:val="002D3F63"/>
    <w:rsid w:val="002D3FD2"/>
    <w:rsid w:val="002D407F"/>
    <w:rsid w:val="002D4421"/>
    <w:rsid w:val="002D4853"/>
    <w:rsid w:val="002D48E6"/>
    <w:rsid w:val="002D4BC7"/>
    <w:rsid w:val="002D4C49"/>
    <w:rsid w:val="002D4C8F"/>
    <w:rsid w:val="002D52DA"/>
    <w:rsid w:val="002D5310"/>
    <w:rsid w:val="002D536F"/>
    <w:rsid w:val="002D5395"/>
    <w:rsid w:val="002D55FF"/>
    <w:rsid w:val="002D5645"/>
    <w:rsid w:val="002D56E3"/>
    <w:rsid w:val="002D59E5"/>
    <w:rsid w:val="002D5A16"/>
    <w:rsid w:val="002D5B98"/>
    <w:rsid w:val="002D5E67"/>
    <w:rsid w:val="002D5FD2"/>
    <w:rsid w:val="002D620B"/>
    <w:rsid w:val="002D624B"/>
    <w:rsid w:val="002D62EE"/>
    <w:rsid w:val="002D649F"/>
    <w:rsid w:val="002D663D"/>
    <w:rsid w:val="002D664B"/>
    <w:rsid w:val="002D67FA"/>
    <w:rsid w:val="002D6B55"/>
    <w:rsid w:val="002D6D38"/>
    <w:rsid w:val="002D6E88"/>
    <w:rsid w:val="002D6EC8"/>
    <w:rsid w:val="002D70AD"/>
    <w:rsid w:val="002D7187"/>
    <w:rsid w:val="002D739B"/>
    <w:rsid w:val="002D7412"/>
    <w:rsid w:val="002D75A1"/>
    <w:rsid w:val="002D7608"/>
    <w:rsid w:val="002D7AE5"/>
    <w:rsid w:val="002D7BF4"/>
    <w:rsid w:val="002D7CA3"/>
    <w:rsid w:val="002D7CDD"/>
    <w:rsid w:val="002D7DA3"/>
    <w:rsid w:val="002D7F76"/>
    <w:rsid w:val="002E008D"/>
    <w:rsid w:val="002E0139"/>
    <w:rsid w:val="002E019E"/>
    <w:rsid w:val="002E0325"/>
    <w:rsid w:val="002E037F"/>
    <w:rsid w:val="002E03FA"/>
    <w:rsid w:val="002E0537"/>
    <w:rsid w:val="002E0587"/>
    <w:rsid w:val="002E0672"/>
    <w:rsid w:val="002E0D7F"/>
    <w:rsid w:val="002E0DAE"/>
    <w:rsid w:val="002E0F84"/>
    <w:rsid w:val="002E10A1"/>
    <w:rsid w:val="002E1166"/>
    <w:rsid w:val="002E1185"/>
    <w:rsid w:val="002E1320"/>
    <w:rsid w:val="002E19C5"/>
    <w:rsid w:val="002E1AD2"/>
    <w:rsid w:val="002E1D76"/>
    <w:rsid w:val="002E1EF9"/>
    <w:rsid w:val="002E22F8"/>
    <w:rsid w:val="002E2519"/>
    <w:rsid w:val="002E2528"/>
    <w:rsid w:val="002E2544"/>
    <w:rsid w:val="002E2667"/>
    <w:rsid w:val="002E27DC"/>
    <w:rsid w:val="002E28EC"/>
    <w:rsid w:val="002E3156"/>
    <w:rsid w:val="002E32CD"/>
    <w:rsid w:val="002E3690"/>
    <w:rsid w:val="002E3B0B"/>
    <w:rsid w:val="002E3BEA"/>
    <w:rsid w:val="002E3CCA"/>
    <w:rsid w:val="002E3D2F"/>
    <w:rsid w:val="002E3D61"/>
    <w:rsid w:val="002E41E6"/>
    <w:rsid w:val="002E434E"/>
    <w:rsid w:val="002E444B"/>
    <w:rsid w:val="002E4480"/>
    <w:rsid w:val="002E4556"/>
    <w:rsid w:val="002E45D9"/>
    <w:rsid w:val="002E45FB"/>
    <w:rsid w:val="002E46DA"/>
    <w:rsid w:val="002E47C6"/>
    <w:rsid w:val="002E4A5F"/>
    <w:rsid w:val="002E4A86"/>
    <w:rsid w:val="002E4A8A"/>
    <w:rsid w:val="002E4C49"/>
    <w:rsid w:val="002E4E95"/>
    <w:rsid w:val="002E5001"/>
    <w:rsid w:val="002E5365"/>
    <w:rsid w:val="002E5408"/>
    <w:rsid w:val="002E56CC"/>
    <w:rsid w:val="002E57C2"/>
    <w:rsid w:val="002E58E6"/>
    <w:rsid w:val="002E5916"/>
    <w:rsid w:val="002E59A4"/>
    <w:rsid w:val="002E59BC"/>
    <w:rsid w:val="002E59D5"/>
    <w:rsid w:val="002E5D94"/>
    <w:rsid w:val="002E5F24"/>
    <w:rsid w:val="002E6024"/>
    <w:rsid w:val="002E60A3"/>
    <w:rsid w:val="002E625D"/>
    <w:rsid w:val="002E64C9"/>
    <w:rsid w:val="002E656A"/>
    <w:rsid w:val="002E666B"/>
    <w:rsid w:val="002E66C5"/>
    <w:rsid w:val="002E67A9"/>
    <w:rsid w:val="002E67C5"/>
    <w:rsid w:val="002E6894"/>
    <w:rsid w:val="002E6A7B"/>
    <w:rsid w:val="002E6AD3"/>
    <w:rsid w:val="002E6C2F"/>
    <w:rsid w:val="002E6CCF"/>
    <w:rsid w:val="002E6D15"/>
    <w:rsid w:val="002E6FDA"/>
    <w:rsid w:val="002E736F"/>
    <w:rsid w:val="002E7378"/>
    <w:rsid w:val="002E76DB"/>
    <w:rsid w:val="002E7715"/>
    <w:rsid w:val="002E79D3"/>
    <w:rsid w:val="002E7A0B"/>
    <w:rsid w:val="002E7BA2"/>
    <w:rsid w:val="002F01DA"/>
    <w:rsid w:val="002F0309"/>
    <w:rsid w:val="002F03FD"/>
    <w:rsid w:val="002F05DB"/>
    <w:rsid w:val="002F0609"/>
    <w:rsid w:val="002F0860"/>
    <w:rsid w:val="002F08A9"/>
    <w:rsid w:val="002F0C20"/>
    <w:rsid w:val="002F0E13"/>
    <w:rsid w:val="002F0E18"/>
    <w:rsid w:val="002F12A3"/>
    <w:rsid w:val="002F13BF"/>
    <w:rsid w:val="002F14B4"/>
    <w:rsid w:val="002F157A"/>
    <w:rsid w:val="002F16D2"/>
    <w:rsid w:val="002F1741"/>
    <w:rsid w:val="002F1882"/>
    <w:rsid w:val="002F19C2"/>
    <w:rsid w:val="002F1B50"/>
    <w:rsid w:val="002F1BE3"/>
    <w:rsid w:val="002F1CBE"/>
    <w:rsid w:val="002F1CCF"/>
    <w:rsid w:val="002F1D56"/>
    <w:rsid w:val="002F1F94"/>
    <w:rsid w:val="002F2053"/>
    <w:rsid w:val="002F23CA"/>
    <w:rsid w:val="002F2AA6"/>
    <w:rsid w:val="002F2B67"/>
    <w:rsid w:val="002F2D96"/>
    <w:rsid w:val="002F2DE0"/>
    <w:rsid w:val="002F3127"/>
    <w:rsid w:val="002F369F"/>
    <w:rsid w:val="002F3814"/>
    <w:rsid w:val="002F3C97"/>
    <w:rsid w:val="002F3DA1"/>
    <w:rsid w:val="002F3F18"/>
    <w:rsid w:val="002F3FE8"/>
    <w:rsid w:val="002F3FFF"/>
    <w:rsid w:val="002F40FE"/>
    <w:rsid w:val="002F4459"/>
    <w:rsid w:val="002F45DB"/>
    <w:rsid w:val="002F45DF"/>
    <w:rsid w:val="002F4907"/>
    <w:rsid w:val="002F4BA8"/>
    <w:rsid w:val="002F4C36"/>
    <w:rsid w:val="002F4D22"/>
    <w:rsid w:val="002F52B3"/>
    <w:rsid w:val="002F53BC"/>
    <w:rsid w:val="002F57E9"/>
    <w:rsid w:val="002F5A52"/>
    <w:rsid w:val="002F5A54"/>
    <w:rsid w:val="002F5E1D"/>
    <w:rsid w:val="002F6229"/>
    <w:rsid w:val="002F6233"/>
    <w:rsid w:val="002F6243"/>
    <w:rsid w:val="002F639D"/>
    <w:rsid w:val="002F6411"/>
    <w:rsid w:val="002F64BF"/>
    <w:rsid w:val="002F651E"/>
    <w:rsid w:val="002F6A2F"/>
    <w:rsid w:val="002F6C7A"/>
    <w:rsid w:val="002F6CCF"/>
    <w:rsid w:val="002F6DF6"/>
    <w:rsid w:val="002F6F3A"/>
    <w:rsid w:val="002F7121"/>
    <w:rsid w:val="002F7236"/>
    <w:rsid w:val="002F73AB"/>
    <w:rsid w:val="002F752D"/>
    <w:rsid w:val="002F7627"/>
    <w:rsid w:val="002F763E"/>
    <w:rsid w:val="002F7679"/>
    <w:rsid w:val="002F7688"/>
    <w:rsid w:val="002F7757"/>
    <w:rsid w:val="002F7768"/>
    <w:rsid w:val="002F79E8"/>
    <w:rsid w:val="002F7AC8"/>
    <w:rsid w:val="002F7B63"/>
    <w:rsid w:val="002F7BF3"/>
    <w:rsid w:val="002F7DDC"/>
    <w:rsid w:val="003002FA"/>
    <w:rsid w:val="0030052F"/>
    <w:rsid w:val="00300863"/>
    <w:rsid w:val="003008EC"/>
    <w:rsid w:val="0030090A"/>
    <w:rsid w:val="00300C86"/>
    <w:rsid w:val="00300E11"/>
    <w:rsid w:val="00300ED3"/>
    <w:rsid w:val="00300FA5"/>
    <w:rsid w:val="00300FEF"/>
    <w:rsid w:val="0030101A"/>
    <w:rsid w:val="00301232"/>
    <w:rsid w:val="00301251"/>
    <w:rsid w:val="003013BC"/>
    <w:rsid w:val="003013E3"/>
    <w:rsid w:val="00301792"/>
    <w:rsid w:val="00301826"/>
    <w:rsid w:val="00301917"/>
    <w:rsid w:val="0030192F"/>
    <w:rsid w:val="00301A17"/>
    <w:rsid w:val="00301AA7"/>
    <w:rsid w:val="00301C36"/>
    <w:rsid w:val="00301C72"/>
    <w:rsid w:val="00301C8A"/>
    <w:rsid w:val="00301FC8"/>
    <w:rsid w:val="00301FCD"/>
    <w:rsid w:val="003020B1"/>
    <w:rsid w:val="0030215D"/>
    <w:rsid w:val="0030225A"/>
    <w:rsid w:val="003022B8"/>
    <w:rsid w:val="0030230D"/>
    <w:rsid w:val="003023D2"/>
    <w:rsid w:val="0030241F"/>
    <w:rsid w:val="003027F2"/>
    <w:rsid w:val="00302972"/>
    <w:rsid w:val="00302A25"/>
    <w:rsid w:val="00302B20"/>
    <w:rsid w:val="00302DF8"/>
    <w:rsid w:val="00302EAB"/>
    <w:rsid w:val="00302EFF"/>
    <w:rsid w:val="00302F73"/>
    <w:rsid w:val="00302F8D"/>
    <w:rsid w:val="0030305C"/>
    <w:rsid w:val="00303259"/>
    <w:rsid w:val="0030347D"/>
    <w:rsid w:val="0030362B"/>
    <w:rsid w:val="00303810"/>
    <w:rsid w:val="003038E0"/>
    <w:rsid w:val="00303B4C"/>
    <w:rsid w:val="00303B91"/>
    <w:rsid w:val="00303BA7"/>
    <w:rsid w:val="00303CCF"/>
    <w:rsid w:val="00303CE6"/>
    <w:rsid w:val="00303E6B"/>
    <w:rsid w:val="00303FE0"/>
    <w:rsid w:val="00304010"/>
    <w:rsid w:val="003040C2"/>
    <w:rsid w:val="003040EA"/>
    <w:rsid w:val="0030431F"/>
    <w:rsid w:val="0030442D"/>
    <w:rsid w:val="003045B1"/>
    <w:rsid w:val="003045D2"/>
    <w:rsid w:val="0030465C"/>
    <w:rsid w:val="003046F5"/>
    <w:rsid w:val="0030479C"/>
    <w:rsid w:val="00304ADE"/>
    <w:rsid w:val="00304C4A"/>
    <w:rsid w:val="00304D2A"/>
    <w:rsid w:val="00304DFF"/>
    <w:rsid w:val="00304F8D"/>
    <w:rsid w:val="00305252"/>
    <w:rsid w:val="003052EB"/>
    <w:rsid w:val="00305316"/>
    <w:rsid w:val="003054B0"/>
    <w:rsid w:val="0030565B"/>
    <w:rsid w:val="003058AF"/>
    <w:rsid w:val="003058D8"/>
    <w:rsid w:val="00305930"/>
    <w:rsid w:val="00305D02"/>
    <w:rsid w:val="00305F38"/>
    <w:rsid w:val="00305F9B"/>
    <w:rsid w:val="00305FD0"/>
    <w:rsid w:val="00306024"/>
    <w:rsid w:val="003060AD"/>
    <w:rsid w:val="0030637C"/>
    <w:rsid w:val="003063AD"/>
    <w:rsid w:val="00306510"/>
    <w:rsid w:val="0030671A"/>
    <w:rsid w:val="00306936"/>
    <w:rsid w:val="0030695F"/>
    <w:rsid w:val="0030696E"/>
    <w:rsid w:val="003069CB"/>
    <w:rsid w:val="003071CC"/>
    <w:rsid w:val="003072C9"/>
    <w:rsid w:val="00307438"/>
    <w:rsid w:val="0030771F"/>
    <w:rsid w:val="00307795"/>
    <w:rsid w:val="003077F1"/>
    <w:rsid w:val="003078C0"/>
    <w:rsid w:val="00307951"/>
    <w:rsid w:val="003079B0"/>
    <w:rsid w:val="00307B2E"/>
    <w:rsid w:val="00310024"/>
    <w:rsid w:val="00310196"/>
    <w:rsid w:val="00310262"/>
    <w:rsid w:val="00310437"/>
    <w:rsid w:val="003107B9"/>
    <w:rsid w:val="00310813"/>
    <w:rsid w:val="00310C3C"/>
    <w:rsid w:val="00310EFC"/>
    <w:rsid w:val="003112C7"/>
    <w:rsid w:val="00311312"/>
    <w:rsid w:val="00311359"/>
    <w:rsid w:val="003113CB"/>
    <w:rsid w:val="003114F5"/>
    <w:rsid w:val="00311566"/>
    <w:rsid w:val="00311AF7"/>
    <w:rsid w:val="00311B47"/>
    <w:rsid w:val="00311C36"/>
    <w:rsid w:val="00311D78"/>
    <w:rsid w:val="00311FC1"/>
    <w:rsid w:val="003121D3"/>
    <w:rsid w:val="003122E3"/>
    <w:rsid w:val="00312371"/>
    <w:rsid w:val="003123F1"/>
    <w:rsid w:val="0031241C"/>
    <w:rsid w:val="00312637"/>
    <w:rsid w:val="00312D73"/>
    <w:rsid w:val="00312FC3"/>
    <w:rsid w:val="003131AA"/>
    <w:rsid w:val="0031339B"/>
    <w:rsid w:val="003137C3"/>
    <w:rsid w:val="00313854"/>
    <w:rsid w:val="003139F7"/>
    <w:rsid w:val="00313B1A"/>
    <w:rsid w:val="00313B2D"/>
    <w:rsid w:val="00313D1E"/>
    <w:rsid w:val="00314415"/>
    <w:rsid w:val="0031455B"/>
    <w:rsid w:val="003145A2"/>
    <w:rsid w:val="00314836"/>
    <w:rsid w:val="003148B4"/>
    <w:rsid w:val="00314958"/>
    <w:rsid w:val="00314A7A"/>
    <w:rsid w:val="00314AF0"/>
    <w:rsid w:val="00314EA5"/>
    <w:rsid w:val="00314EDB"/>
    <w:rsid w:val="003150B9"/>
    <w:rsid w:val="00315169"/>
    <w:rsid w:val="00315280"/>
    <w:rsid w:val="00315591"/>
    <w:rsid w:val="0031569E"/>
    <w:rsid w:val="003157A2"/>
    <w:rsid w:val="00315808"/>
    <w:rsid w:val="003158F5"/>
    <w:rsid w:val="00315B6D"/>
    <w:rsid w:val="00315BF0"/>
    <w:rsid w:val="00315C10"/>
    <w:rsid w:val="00315E80"/>
    <w:rsid w:val="00315EA5"/>
    <w:rsid w:val="00315F02"/>
    <w:rsid w:val="00315F12"/>
    <w:rsid w:val="00316184"/>
    <w:rsid w:val="0031648B"/>
    <w:rsid w:val="0031660A"/>
    <w:rsid w:val="0031661E"/>
    <w:rsid w:val="0031665F"/>
    <w:rsid w:val="003167DB"/>
    <w:rsid w:val="003169D3"/>
    <w:rsid w:val="00316A02"/>
    <w:rsid w:val="00316B15"/>
    <w:rsid w:val="00316B7C"/>
    <w:rsid w:val="00316C0C"/>
    <w:rsid w:val="00316DD2"/>
    <w:rsid w:val="00316F4A"/>
    <w:rsid w:val="003171B9"/>
    <w:rsid w:val="0031766A"/>
    <w:rsid w:val="00317878"/>
    <w:rsid w:val="00317A8A"/>
    <w:rsid w:val="00317AAF"/>
    <w:rsid w:val="00317AB1"/>
    <w:rsid w:val="00317ACB"/>
    <w:rsid w:val="00317AF9"/>
    <w:rsid w:val="00317B1D"/>
    <w:rsid w:val="00317CA8"/>
    <w:rsid w:val="00317D31"/>
    <w:rsid w:val="00317D67"/>
    <w:rsid w:val="00317DC2"/>
    <w:rsid w:val="00317DEA"/>
    <w:rsid w:val="00317F29"/>
    <w:rsid w:val="00317F6A"/>
    <w:rsid w:val="00317F93"/>
    <w:rsid w:val="00320046"/>
    <w:rsid w:val="0032053D"/>
    <w:rsid w:val="00320582"/>
    <w:rsid w:val="0032058A"/>
    <w:rsid w:val="0032070A"/>
    <w:rsid w:val="003208B9"/>
    <w:rsid w:val="00320A67"/>
    <w:rsid w:val="00320AF7"/>
    <w:rsid w:val="00320B2D"/>
    <w:rsid w:val="00320F06"/>
    <w:rsid w:val="00320F9D"/>
    <w:rsid w:val="00321147"/>
    <w:rsid w:val="00321546"/>
    <w:rsid w:val="00321710"/>
    <w:rsid w:val="00321747"/>
    <w:rsid w:val="00321895"/>
    <w:rsid w:val="003218AB"/>
    <w:rsid w:val="003218B0"/>
    <w:rsid w:val="00321A07"/>
    <w:rsid w:val="00321AA5"/>
    <w:rsid w:val="00321AD8"/>
    <w:rsid w:val="00321B01"/>
    <w:rsid w:val="00321CCB"/>
    <w:rsid w:val="00321E02"/>
    <w:rsid w:val="00321E31"/>
    <w:rsid w:val="00321E65"/>
    <w:rsid w:val="00321EB9"/>
    <w:rsid w:val="00321ED3"/>
    <w:rsid w:val="00321F62"/>
    <w:rsid w:val="00322414"/>
    <w:rsid w:val="00322437"/>
    <w:rsid w:val="00322560"/>
    <w:rsid w:val="0032282B"/>
    <w:rsid w:val="0032299D"/>
    <w:rsid w:val="00322A12"/>
    <w:rsid w:val="00322A4D"/>
    <w:rsid w:val="00322AC9"/>
    <w:rsid w:val="00322B41"/>
    <w:rsid w:val="00322C48"/>
    <w:rsid w:val="00322DAB"/>
    <w:rsid w:val="003230D5"/>
    <w:rsid w:val="00323151"/>
    <w:rsid w:val="003234C7"/>
    <w:rsid w:val="003234D2"/>
    <w:rsid w:val="003235CB"/>
    <w:rsid w:val="00323847"/>
    <w:rsid w:val="003239D6"/>
    <w:rsid w:val="00323A0E"/>
    <w:rsid w:val="00323A47"/>
    <w:rsid w:val="00323B7D"/>
    <w:rsid w:val="00323C0B"/>
    <w:rsid w:val="00323E15"/>
    <w:rsid w:val="00323EA3"/>
    <w:rsid w:val="00324157"/>
    <w:rsid w:val="0032418B"/>
    <w:rsid w:val="003241CF"/>
    <w:rsid w:val="0032446C"/>
    <w:rsid w:val="00324560"/>
    <w:rsid w:val="00324758"/>
    <w:rsid w:val="0032493E"/>
    <w:rsid w:val="00324959"/>
    <w:rsid w:val="003249A6"/>
    <w:rsid w:val="00324A0C"/>
    <w:rsid w:val="00324A69"/>
    <w:rsid w:val="00324ED8"/>
    <w:rsid w:val="00324EEB"/>
    <w:rsid w:val="00324EEC"/>
    <w:rsid w:val="00324F8F"/>
    <w:rsid w:val="003252B8"/>
    <w:rsid w:val="003253B2"/>
    <w:rsid w:val="00325490"/>
    <w:rsid w:val="00325534"/>
    <w:rsid w:val="0032586C"/>
    <w:rsid w:val="0032588C"/>
    <w:rsid w:val="003258FA"/>
    <w:rsid w:val="00325C75"/>
    <w:rsid w:val="00325CA6"/>
    <w:rsid w:val="00325DC5"/>
    <w:rsid w:val="00325EF5"/>
    <w:rsid w:val="00325F19"/>
    <w:rsid w:val="003260DF"/>
    <w:rsid w:val="003261C3"/>
    <w:rsid w:val="0032641A"/>
    <w:rsid w:val="00326487"/>
    <w:rsid w:val="003264A4"/>
    <w:rsid w:val="00326504"/>
    <w:rsid w:val="0032652B"/>
    <w:rsid w:val="003268CC"/>
    <w:rsid w:val="003269EB"/>
    <w:rsid w:val="00326CD2"/>
    <w:rsid w:val="00326DCB"/>
    <w:rsid w:val="00326ECC"/>
    <w:rsid w:val="00326F38"/>
    <w:rsid w:val="00327327"/>
    <w:rsid w:val="003274C1"/>
    <w:rsid w:val="0032759C"/>
    <w:rsid w:val="003275B3"/>
    <w:rsid w:val="00327650"/>
    <w:rsid w:val="00327A98"/>
    <w:rsid w:val="00327ACD"/>
    <w:rsid w:val="00327AED"/>
    <w:rsid w:val="00327DB0"/>
    <w:rsid w:val="003307D1"/>
    <w:rsid w:val="0033086A"/>
    <w:rsid w:val="003308BD"/>
    <w:rsid w:val="003308E4"/>
    <w:rsid w:val="00330983"/>
    <w:rsid w:val="003309CF"/>
    <w:rsid w:val="00330A27"/>
    <w:rsid w:val="00330A5E"/>
    <w:rsid w:val="00330A62"/>
    <w:rsid w:val="00330CBE"/>
    <w:rsid w:val="00330D1C"/>
    <w:rsid w:val="00330EF3"/>
    <w:rsid w:val="00330F86"/>
    <w:rsid w:val="00330FBF"/>
    <w:rsid w:val="003312C4"/>
    <w:rsid w:val="0033148A"/>
    <w:rsid w:val="003316F3"/>
    <w:rsid w:val="00331AD1"/>
    <w:rsid w:val="00331B9B"/>
    <w:rsid w:val="00331C7C"/>
    <w:rsid w:val="00331FD9"/>
    <w:rsid w:val="0033206B"/>
    <w:rsid w:val="00332191"/>
    <w:rsid w:val="00332315"/>
    <w:rsid w:val="00332321"/>
    <w:rsid w:val="0033245F"/>
    <w:rsid w:val="003324BA"/>
    <w:rsid w:val="003324D5"/>
    <w:rsid w:val="0033250D"/>
    <w:rsid w:val="003326B2"/>
    <w:rsid w:val="003328FB"/>
    <w:rsid w:val="00332BFD"/>
    <w:rsid w:val="00332CAE"/>
    <w:rsid w:val="00332D0E"/>
    <w:rsid w:val="00332D2E"/>
    <w:rsid w:val="00332EC3"/>
    <w:rsid w:val="00332F20"/>
    <w:rsid w:val="00332FC1"/>
    <w:rsid w:val="00333269"/>
    <w:rsid w:val="003332E9"/>
    <w:rsid w:val="00333474"/>
    <w:rsid w:val="0033376A"/>
    <w:rsid w:val="00333A62"/>
    <w:rsid w:val="00333B5C"/>
    <w:rsid w:val="00333CCF"/>
    <w:rsid w:val="00333E91"/>
    <w:rsid w:val="00333F19"/>
    <w:rsid w:val="00333F55"/>
    <w:rsid w:val="00334078"/>
    <w:rsid w:val="003340F3"/>
    <w:rsid w:val="003340FB"/>
    <w:rsid w:val="00334678"/>
    <w:rsid w:val="0033470B"/>
    <w:rsid w:val="0033475C"/>
    <w:rsid w:val="0033476E"/>
    <w:rsid w:val="0033480B"/>
    <w:rsid w:val="0033483D"/>
    <w:rsid w:val="0033489D"/>
    <w:rsid w:val="003348F4"/>
    <w:rsid w:val="003349CE"/>
    <w:rsid w:val="00334A75"/>
    <w:rsid w:val="00334B48"/>
    <w:rsid w:val="00334B59"/>
    <w:rsid w:val="00334CDB"/>
    <w:rsid w:val="00334D5A"/>
    <w:rsid w:val="00334F79"/>
    <w:rsid w:val="00334FE5"/>
    <w:rsid w:val="00334FE6"/>
    <w:rsid w:val="0033506E"/>
    <w:rsid w:val="003350C4"/>
    <w:rsid w:val="0033513C"/>
    <w:rsid w:val="0033520C"/>
    <w:rsid w:val="003352C7"/>
    <w:rsid w:val="0033545A"/>
    <w:rsid w:val="0033569F"/>
    <w:rsid w:val="0033571E"/>
    <w:rsid w:val="00335925"/>
    <w:rsid w:val="003359AA"/>
    <w:rsid w:val="003359FB"/>
    <w:rsid w:val="00335CCA"/>
    <w:rsid w:val="00336280"/>
    <w:rsid w:val="003363A6"/>
    <w:rsid w:val="0033641C"/>
    <w:rsid w:val="00336646"/>
    <w:rsid w:val="00336771"/>
    <w:rsid w:val="003367EC"/>
    <w:rsid w:val="00336B9E"/>
    <w:rsid w:val="00336BE7"/>
    <w:rsid w:val="00336DBD"/>
    <w:rsid w:val="00336DD1"/>
    <w:rsid w:val="003370C1"/>
    <w:rsid w:val="0033736E"/>
    <w:rsid w:val="00337579"/>
    <w:rsid w:val="00337596"/>
    <w:rsid w:val="003377BF"/>
    <w:rsid w:val="003378E3"/>
    <w:rsid w:val="00337923"/>
    <w:rsid w:val="00337A82"/>
    <w:rsid w:val="00337AF7"/>
    <w:rsid w:val="00337CCA"/>
    <w:rsid w:val="00337F9C"/>
    <w:rsid w:val="003401E5"/>
    <w:rsid w:val="0034048C"/>
    <w:rsid w:val="003404CC"/>
    <w:rsid w:val="003405B3"/>
    <w:rsid w:val="00340BE2"/>
    <w:rsid w:val="00340F5D"/>
    <w:rsid w:val="0034113B"/>
    <w:rsid w:val="00341196"/>
    <w:rsid w:val="0034122F"/>
    <w:rsid w:val="00341301"/>
    <w:rsid w:val="00341504"/>
    <w:rsid w:val="003415BC"/>
    <w:rsid w:val="003415CC"/>
    <w:rsid w:val="00341718"/>
    <w:rsid w:val="00341A4F"/>
    <w:rsid w:val="00341A50"/>
    <w:rsid w:val="00341CE7"/>
    <w:rsid w:val="00341FA5"/>
    <w:rsid w:val="00341FBD"/>
    <w:rsid w:val="00341FE9"/>
    <w:rsid w:val="0034211B"/>
    <w:rsid w:val="003421E9"/>
    <w:rsid w:val="00342387"/>
    <w:rsid w:val="003423CD"/>
    <w:rsid w:val="0034241C"/>
    <w:rsid w:val="0034243C"/>
    <w:rsid w:val="00342726"/>
    <w:rsid w:val="003427B5"/>
    <w:rsid w:val="00342823"/>
    <w:rsid w:val="00342938"/>
    <w:rsid w:val="00342971"/>
    <w:rsid w:val="00342CCC"/>
    <w:rsid w:val="00342D32"/>
    <w:rsid w:val="00342D8D"/>
    <w:rsid w:val="00342F79"/>
    <w:rsid w:val="00343104"/>
    <w:rsid w:val="003431C1"/>
    <w:rsid w:val="003432C3"/>
    <w:rsid w:val="003432C8"/>
    <w:rsid w:val="00343326"/>
    <w:rsid w:val="00343668"/>
    <w:rsid w:val="0034370C"/>
    <w:rsid w:val="003437EF"/>
    <w:rsid w:val="003438F4"/>
    <w:rsid w:val="003439DA"/>
    <w:rsid w:val="00343A91"/>
    <w:rsid w:val="00343E62"/>
    <w:rsid w:val="00343E8B"/>
    <w:rsid w:val="00343EA7"/>
    <w:rsid w:val="00343ECF"/>
    <w:rsid w:val="00343F43"/>
    <w:rsid w:val="00343F64"/>
    <w:rsid w:val="00344068"/>
    <w:rsid w:val="003445DF"/>
    <w:rsid w:val="0034467A"/>
    <w:rsid w:val="00344952"/>
    <w:rsid w:val="00344966"/>
    <w:rsid w:val="003449B3"/>
    <w:rsid w:val="00344C9B"/>
    <w:rsid w:val="00344EAC"/>
    <w:rsid w:val="0034551E"/>
    <w:rsid w:val="00345752"/>
    <w:rsid w:val="003457E5"/>
    <w:rsid w:val="00345ABD"/>
    <w:rsid w:val="00345B40"/>
    <w:rsid w:val="00345CE0"/>
    <w:rsid w:val="00345DA4"/>
    <w:rsid w:val="003460EF"/>
    <w:rsid w:val="00346351"/>
    <w:rsid w:val="0034660B"/>
    <w:rsid w:val="0034663D"/>
    <w:rsid w:val="003467AE"/>
    <w:rsid w:val="0034680E"/>
    <w:rsid w:val="00346811"/>
    <w:rsid w:val="003469C1"/>
    <w:rsid w:val="00346ACC"/>
    <w:rsid w:val="00346B18"/>
    <w:rsid w:val="00346B93"/>
    <w:rsid w:val="00346BA3"/>
    <w:rsid w:val="00346C4E"/>
    <w:rsid w:val="00346DC8"/>
    <w:rsid w:val="00346E73"/>
    <w:rsid w:val="00347014"/>
    <w:rsid w:val="003470D6"/>
    <w:rsid w:val="003473B7"/>
    <w:rsid w:val="00347666"/>
    <w:rsid w:val="003477EA"/>
    <w:rsid w:val="0034795C"/>
    <w:rsid w:val="003479EA"/>
    <w:rsid w:val="00347D88"/>
    <w:rsid w:val="00347EF0"/>
    <w:rsid w:val="00347F12"/>
    <w:rsid w:val="00347F44"/>
    <w:rsid w:val="00350345"/>
    <w:rsid w:val="00350424"/>
    <w:rsid w:val="0035052D"/>
    <w:rsid w:val="003508B6"/>
    <w:rsid w:val="003509B3"/>
    <w:rsid w:val="00350BFC"/>
    <w:rsid w:val="00350D25"/>
    <w:rsid w:val="00350D99"/>
    <w:rsid w:val="00350DBE"/>
    <w:rsid w:val="00350E52"/>
    <w:rsid w:val="00350EFD"/>
    <w:rsid w:val="00350FFA"/>
    <w:rsid w:val="00351156"/>
    <w:rsid w:val="00351296"/>
    <w:rsid w:val="00351375"/>
    <w:rsid w:val="003514C3"/>
    <w:rsid w:val="003514F2"/>
    <w:rsid w:val="00351608"/>
    <w:rsid w:val="00351702"/>
    <w:rsid w:val="00351733"/>
    <w:rsid w:val="00351B1E"/>
    <w:rsid w:val="00351C05"/>
    <w:rsid w:val="00351D30"/>
    <w:rsid w:val="00351F66"/>
    <w:rsid w:val="00351F96"/>
    <w:rsid w:val="003520DF"/>
    <w:rsid w:val="0035212C"/>
    <w:rsid w:val="0035253E"/>
    <w:rsid w:val="0035264A"/>
    <w:rsid w:val="0035264F"/>
    <w:rsid w:val="003526A5"/>
    <w:rsid w:val="00352841"/>
    <w:rsid w:val="00352C82"/>
    <w:rsid w:val="00352D4A"/>
    <w:rsid w:val="00352E83"/>
    <w:rsid w:val="0035333E"/>
    <w:rsid w:val="0035383D"/>
    <w:rsid w:val="00353B9F"/>
    <w:rsid w:val="00353CA0"/>
    <w:rsid w:val="00353CC2"/>
    <w:rsid w:val="00353CD5"/>
    <w:rsid w:val="00353D4A"/>
    <w:rsid w:val="00353D89"/>
    <w:rsid w:val="00353E0A"/>
    <w:rsid w:val="00353F79"/>
    <w:rsid w:val="003540CF"/>
    <w:rsid w:val="00354244"/>
    <w:rsid w:val="00354367"/>
    <w:rsid w:val="003544F9"/>
    <w:rsid w:val="00354514"/>
    <w:rsid w:val="0035476C"/>
    <w:rsid w:val="003547EA"/>
    <w:rsid w:val="003548D8"/>
    <w:rsid w:val="00354AEA"/>
    <w:rsid w:val="00354DAE"/>
    <w:rsid w:val="003555D1"/>
    <w:rsid w:val="0035560E"/>
    <w:rsid w:val="003556B1"/>
    <w:rsid w:val="003557AA"/>
    <w:rsid w:val="00355B8A"/>
    <w:rsid w:val="00355BCB"/>
    <w:rsid w:val="00355C2C"/>
    <w:rsid w:val="00355DB9"/>
    <w:rsid w:val="00355E49"/>
    <w:rsid w:val="00355E59"/>
    <w:rsid w:val="00355F4B"/>
    <w:rsid w:val="00356117"/>
    <w:rsid w:val="003561C8"/>
    <w:rsid w:val="00356473"/>
    <w:rsid w:val="003568F7"/>
    <w:rsid w:val="00356965"/>
    <w:rsid w:val="00356A70"/>
    <w:rsid w:val="00356A8B"/>
    <w:rsid w:val="00356D5E"/>
    <w:rsid w:val="00356E00"/>
    <w:rsid w:val="00356EA8"/>
    <w:rsid w:val="00356F89"/>
    <w:rsid w:val="003570F4"/>
    <w:rsid w:val="0035713A"/>
    <w:rsid w:val="0035714F"/>
    <w:rsid w:val="003571E1"/>
    <w:rsid w:val="003577D8"/>
    <w:rsid w:val="00357E6D"/>
    <w:rsid w:val="003600D5"/>
    <w:rsid w:val="00360180"/>
    <w:rsid w:val="00360220"/>
    <w:rsid w:val="00360274"/>
    <w:rsid w:val="003603EB"/>
    <w:rsid w:val="00360774"/>
    <w:rsid w:val="00360870"/>
    <w:rsid w:val="00360911"/>
    <w:rsid w:val="00360979"/>
    <w:rsid w:val="00360E40"/>
    <w:rsid w:val="00360F25"/>
    <w:rsid w:val="00360F29"/>
    <w:rsid w:val="0036103F"/>
    <w:rsid w:val="00361109"/>
    <w:rsid w:val="0036143B"/>
    <w:rsid w:val="00361531"/>
    <w:rsid w:val="00361602"/>
    <w:rsid w:val="003616B9"/>
    <w:rsid w:val="00361A2C"/>
    <w:rsid w:val="00361B09"/>
    <w:rsid w:val="00361BF2"/>
    <w:rsid w:val="00361C0B"/>
    <w:rsid w:val="00361C80"/>
    <w:rsid w:val="00361D56"/>
    <w:rsid w:val="00361E77"/>
    <w:rsid w:val="00361E8C"/>
    <w:rsid w:val="00362303"/>
    <w:rsid w:val="003624F9"/>
    <w:rsid w:val="0036271D"/>
    <w:rsid w:val="003627FE"/>
    <w:rsid w:val="00362ABA"/>
    <w:rsid w:val="00362CFE"/>
    <w:rsid w:val="00362F9C"/>
    <w:rsid w:val="00362FB7"/>
    <w:rsid w:val="00362FE0"/>
    <w:rsid w:val="00363290"/>
    <w:rsid w:val="0036331B"/>
    <w:rsid w:val="0036334D"/>
    <w:rsid w:val="00363569"/>
    <w:rsid w:val="003637D8"/>
    <w:rsid w:val="0036390A"/>
    <w:rsid w:val="003639CB"/>
    <w:rsid w:val="00363D8D"/>
    <w:rsid w:val="00363E63"/>
    <w:rsid w:val="00364192"/>
    <w:rsid w:val="00364221"/>
    <w:rsid w:val="00364529"/>
    <w:rsid w:val="0036470E"/>
    <w:rsid w:val="0036499C"/>
    <w:rsid w:val="003649C9"/>
    <w:rsid w:val="003649D7"/>
    <w:rsid w:val="00364DCE"/>
    <w:rsid w:val="00364E10"/>
    <w:rsid w:val="00365072"/>
    <w:rsid w:val="0036516C"/>
    <w:rsid w:val="00365297"/>
    <w:rsid w:val="00365631"/>
    <w:rsid w:val="003656BB"/>
    <w:rsid w:val="003658EF"/>
    <w:rsid w:val="0036590A"/>
    <w:rsid w:val="00365975"/>
    <w:rsid w:val="00365A78"/>
    <w:rsid w:val="00365AD1"/>
    <w:rsid w:val="00365BDE"/>
    <w:rsid w:val="00365DBD"/>
    <w:rsid w:val="00365F9B"/>
    <w:rsid w:val="00366226"/>
    <w:rsid w:val="00366237"/>
    <w:rsid w:val="003662BC"/>
    <w:rsid w:val="00366458"/>
    <w:rsid w:val="00366AED"/>
    <w:rsid w:val="00366BE5"/>
    <w:rsid w:val="00366C51"/>
    <w:rsid w:val="00366D1F"/>
    <w:rsid w:val="00366DA1"/>
    <w:rsid w:val="00366FC4"/>
    <w:rsid w:val="00367113"/>
    <w:rsid w:val="00367134"/>
    <w:rsid w:val="00367224"/>
    <w:rsid w:val="003673D4"/>
    <w:rsid w:val="0036765B"/>
    <w:rsid w:val="003676AA"/>
    <w:rsid w:val="00367792"/>
    <w:rsid w:val="0036779C"/>
    <w:rsid w:val="003677B2"/>
    <w:rsid w:val="003677C6"/>
    <w:rsid w:val="00367BC5"/>
    <w:rsid w:val="003700BE"/>
    <w:rsid w:val="00370676"/>
    <w:rsid w:val="00370A36"/>
    <w:rsid w:val="00370B83"/>
    <w:rsid w:val="00370D48"/>
    <w:rsid w:val="00370DE9"/>
    <w:rsid w:val="003711D4"/>
    <w:rsid w:val="003711E0"/>
    <w:rsid w:val="003713BF"/>
    <w:rsid w:val="003713D6"/>
    <w:rsid w:val="003713DF"/>
    <w:rsid w:val="0037144D"/>
    <w:rsid w:val="00371478"/>
    <w:rsid w:val="003714D0"/>
    <w:rsid w:val="003715AE"/>
    <w:rsid w:val="003717F1"/>
    <w:rsid w:val="00371959"/>
    <w:rsid w:val="00371E76"/>
    <w:rsid w:val="00371F34"/>
    <w:rsid w:val="003720DC"/>
    <w:rsid w:val="0037212E"/>
    <w:rsid w:val="0037217A"/>
    <w:rsid w:val="0037220E"/>
    <w:rsid w:val="00372252"/>
    <w:rsid w:val="00372286"/>
    <w:rsid w:val="003722E5"/>
    <w:rsid w:val="003723B7"/>
    <w:rsid w:val="0037242A"/>
    <w:rsid w:val="00372566"/>
    <w:rsid w:val="003727EB"/>
    <w:rsid w:val="003727F6"/>
    <w:rsid w:val="003729E7"/>
    <w:rsid w:val="003729EC"/>
    <w:rsid w:val="00372A49"/>
    <w:rsid w:val="00372ABB"/>
    <w:rsid w:val="00372B6F"/>
    <w:rsid w:val="00372CB1"/>
    <w:rsid w:val="00372CD2"/>
    <w:rsid w:val="00372EFE"/>
    <w:rsid w:val="00372F18"/>
    <w:rsid w:val="00372F8A"/>
    <w:rsid w:val="003730D2"/>
    <w:rsid w:val="003732C5"/>
    <w:rsid w:val="003733B0"/>
    <w:rsid w:val="00373518"/>
    <w:rsid w:val="00373615"/>
    <w:rsid w:val="003737DD"/>
    <w:rsid w:val="0037396F"/>
    <w:rsid w:val="00373C0F"/>
    <w:rsid w:val="00373EA9"/>
    <w:rsid w:val="00373FE0"/>
    <w:rsid w:val="00373FEF"/>
    <w:rsid w:val="003740A3"/>
    <w:rsid w:val="00374189"/>
    <w:rsid w:val="00374387"/>
    <w:rsid w:val="003744B5"/>
    <w:rsid w:val="003745B4"/>
    <w:rsid w:val="00374678"/>
    <w:rsid w:val="00374769"/>
    <w:rsid w:val="003747A3"/>
    <w:rsid w:val="00374882"/>
    <w:rsid w:val="00374C80"/>
    <w:rsid w:val="00374C8F"/>
    <w:rsid w:val="00374F44"/>
    <w:rsid w:val="003750C9"/>
    <w:rsid w:val="003750DB"/>
    <w:rsid w:val="00375251"/>
    <w:rsid w:val="0037533B"/>
    <w:rsid w:val="00375467"/>
    <w:rsid w:val="0037565E"/>
    <w:rsid w:val="00375881"/>
    <w:rsid w:val="0037590A"/>
    <w:rsid w:val="00375984"/>
    <w:rsid w:val="00375A4C"/>
    <w:rsid w:val="00375ACA"/>
    <w:rsid w:val="00375C94"/>
    <w:rsid w:val="00375F16"/>
    <w:rsid w:val="00375F8D"/>
    <w:rsid w:val="00376372"/>
    <w:rsid w:val="00376528"/>
    <w:rsid w:val="00376668"/>
    <w:rsid w:val="00376717"/>
    <w:rsid w:val="0037676D"/>
    <w:rsid w:val="0037685D"/>
    <w:rsid w:val="003769C5"/>
    <w:rsid w:val="00376B1D"/>
    <w:rsid w:val="00376BDE"/>
    <w:rsid w:val="00376C63"/>
    <w:rsid w:val="00376DAA"/>
    <w:rsid w:val="00376DBC"/>
    <w:rsid w:val="00376E89"/>
    <w:rsid w:val="00376FDE"/>
    <w:rsid w:val="003771BB"/>
    <w:rsid w:val="003772D9"/>
    <w:rsid w:val="003773F4"/>
    <w:rsid w:val="00377405"/>
    <w:rsid w:val="0037787F"/>
    <w:rsid w:val="00377881"/>
    <w:rsid w:val="0037789D"/>
    <w:rsid w:val="00377AE7"/>
    <w:rsid w:val="00377B36"/>
    <w:rsid w:val="00377C0D"/>
    <w:rsid w:val="00377C17"/>
    <w:rsid w:val="00377E35"/>
    <w:rsid w:val="00377F3F"/>
    <w:rsid w:val="0038011C"/>
    <w:rsid w:val="00380264"/>
    <w:rsid w:val="003804FC"/>
    <w:rsid w:val="003805CC"/>
    <w:rsid w:val="003806E1"/>
    <w:rsid w:val="00380850"/>
    <w:rsid w:val="003808BC"/>
    <w:rsid w:val="00380A0B"/>
    <w:rsid w:val="00380A82"/>
    <w:rsid w:val="00380BE0"/>
    <w:rsid w:val="00380DE0"/>
    <w:rsid w:val="00380EC0"/>
    <w:rsid w:val="003814B7"/>
    <w:rsid w:val="0038165F"/>
    <w:rsid w:val="0038182A"/>
    <w:rsid w:val="00381BA7"/>
    <w:rsid w:val="00381C8B"/>
    <w:rsid w:val="00382159"/>
    <w:rsid w:val="00382266"/>
    <w:rsid w:val="003822A3"/>
    <w:rsid w:val="003823A2"/>
    <w:rsid w:val="00382B06"/>
    <w:rsid w:val="00382B36"/>
    <w:rsid w:val="00382BF6"/>
    <w:rsid w:val="00382E7E"/>
    <w:rsid w:val="00383103"/>
    <w:rsid w:val="003832ED"/>
    <w:rsid w:val="00383350"/>
    <w:rsid w:val="00383388"/>
    <w:rsid w:val="003834D3"/>
    <w:rsid w:val="0038356A"/>
    <w:rsid w:val="00383801"/>
    <w:rsid w:val="00383947"/>
    <w:rsid w:val="00383957"/>
    <w:rsid w:val="0038395C"/>
    <w:rsid w:val="00383A2A"/>
    <w:rsid w:val="00383CA0"/>
    <w:rsid w:val="00383E6D"/>
    <w:rsid w:val="00383ED6"/>
    <w:rsid w:val="00383F14"/>
    <w:rsid w:val="0038411E"/>
    <w:rsid w:val="0038437B"/>
    <w:rsid w:val="003844A0"/>
    <w:rsid w:val="003844F3"/>
    <w:rsid w:val="003845B9"/>
    <w:rsid w:val="003845C6"/>
    <w:rsid w:val="003849ED"/>
    <w:rsid w:val="00384B2C"/>
    <w:rsid w:val="00384CF4"/>
    <w:rsid w:val="00384F63"/>
    <w:rsid w:val="00384FDD"/>
    <w:rsid w:val="00385284"/>
    <w:rsid w:val="003855B3"/>
    <w:rsid w:val="00385604"/>
    <w:rsid w:val="0038570D"/>
    <w:rsid w:val="00385A9D"/>
    <w:rsid w:val="00385B53"/>
    <w:rsid w:val="00385B91"/>
    <w:rsid w:val="00385C55"/>
    <w:rsid w:val="00385E3C"/>
    <w:rsid w:val="00385EE0"/>
    <w:rsid w:val="00386008"/>
    <w:rsid w:val="003865F1"/>
    <w:rsid w:val="0038670E"/>
    <w:rsid w:val="00386769"/>
    <w:rsid w:val="0038685F"/>
    <w:rsid w:val="00386B00"/>
    <w:rsid w:val="00386CC2"/>
    <w:rsid w:val="00386E0E"/>
    <w:rsid w:val="00386FCF"/>
    <w:rsid w:val="00386FD6"/>
    <w:rsid w:val="0038706E"/>
    <w:rsid w:val="00387206"/>
    <w:rsid w:val="0038732F"/>
    <w:rsid w:val="003874E1"/>
    <w:rsid w:val="0038756E"/>
    <w:rsid w:val="0038762C"/>
    <w:rsid w:val="003876BC"/>
    <w:rsid w:val="0038776A"/>
    <w:rsid w:val="0038799A"/>
    <w:rsid w:val="00387B19"/>
    <w:rsid w:val="00387E91"/>
    <w:rsid w:val="00387FE9"/>
    <w:rsid w:val="00390034"/>
    <w:rsid w:val="00390048"/>
    <w:rsid w:val="003903A8"/>
    <w:rsid w:val="003904D1"/>
    <w:rsid w:val="0039052A"/>
    <w:rsid w:val="003906FB"/>
    <w:rsid w:val="003907B5"/>
    <w:rsid w:val="003908D8"/>
    <w:rsid w:val="00390A6A"/>
    <w:rsid w:val="00390C8B"/>
    <w:rsid w:val="00390CB3"/>
    <w:rsid w:val="00390D4D"/>
    <w:rsid w:val="00390E11"/>
    <w:rsid w:val="00390F3A"/>
    <w:rsid w:val="003911ED"/>
    <w:rsid w:val="00391250"/>
    <w:rsid w:val="003913AB"/>
    <w:rsid w:val="003913E1"/>
    <w:rsid w:val="0039148F"/>
    <w:rsid w:val="0039149D"/>
    <w:rsid w:val="003918B6"/>
    <w:rsid w:val="003918E2"/>
    <w:rsid w:val="00391926"/>
    <w:rsid w:val="00391ADC"/>
    <w:rsid w:val="00391C8F"/>
    <w:rsid w:val="00391E7B"/>
    <w:rsid w:val="00392095"/>
    <w:rsid w:val="003921C4"/>
    <w:rsid w:val="003921D2"/>
    <w:rsid w:val="00392444"/>
    <w:rsid w:val="0039246C"/>
    <w:rsid w:val="00392AD7"/>
    <w:rsid w:val="00392D16"/>
    <w:rsid w:val="00392D23"/>
    <w:rsid w:val="00392F95"/>
    <w:rsid w:val="0039313B"/>
    <w:rsid w:val="003934E1"/>
    <w:rsid w:val="0039362A"/>
    <w:rsid w:val="00393746"/>
    <w:rsid w:val="0039382C"/>
    <w:rsid w:val="00393A04"/>
    <w:rsid w:val="00393C3D"/>
    <w:rsid w:val="00393D43"/>
    <w:rsid w:val="00393D5C"/>
    <w:rsid w:val="00393D81"/>
    <w:rsid w:val="00393DBB"/>
    <w:rsid w:val="00393E6A"/>
    <w:rsid w:val="00393F71"/>
    <w:rsid w:val="00393FB4"/>
    <w:rsid w:val="00393FE6"/>
    <w:rsid w:val="00394177"/>
    <w:rsid w:val="00394233"/>
    <w:rsid w:val="003945DD"/>
    <w:rsid w:val="0039468B"/>
    <w:rsid w:val="00394914"/>
    <w:rsid w:val="0039494A"/>
    <w:rsid w:val="00394AFA"/>
    <w:rsid w:val="00394C5D"/>
    <w:rsid w:val="00394C8B"/>
    <w:rsid w:val="00394D60"/>
    <w:rsid w:val="00394FB9"/>
    <w:rsid w:val="00394FCB"/>
    <w:rsid w:val="0039521E"/>
    <w:rsid w:val="00395295"/>
    <w:rsid w:val="0039534A"/>
    <w:rsid w:val="003954C8"/>
    <w:rsid w:val="003954E9"/>
    <w:rsid w:val="00395525"/>
    <w:rsid w:val="003956ED"/>
    <w:rsid w:val="00395741"/>
    <w:rsid w:val="00395849"/>
    <w:rsid w:val="003958E1"/>
    <w:rsid w:val="00395CED"/>
    <w:rsid w:val="00395D96"/>
    <w:rsid w:val="00395F3E"/>
    <w:rsid w:val="00396018"/>
    <w:rsid w:val="00396179"/>
    <w:rsid w:val="003961A9"/>
    <w:rsid w:val="003961D8"/>
    <w:rsid w:val="003961F9"/>
    <w:rsid w:val="003962E8"/>
    <w:rsid w:val="0039640E"/>
    <w:rsid w:val="00396512"/>
    <w:rsid w:val="00396712"/>
    <w:rsid w:val="00396722"/>
    <w:rsid w:val="003967C8"/>
    <w:rsid w:val="003967CD"/>
    <w:rsid w:val="00396858"/>
    <w:rsid w:val="0039699B"/>
    <w:rsid w:val="00396A0C"/>
    <w:rsid w:val="00396A4D"/>
    <w:rsid w:val="00396B88"/>
    <w:rsid w:val="00396E5E"/>
    <w:rsid w:val="00396E5F"/>
    <w:rsid w:val="00396F37"/>
    <w:rsid w:val="00397072"/>
    <w:rsid w:val="00397135"/>
    <w:rsid w:val="00397236"/>
    <w:rsid w:val="0039727D"/>
    <w:rsid w:val="00397320"/>
    <w:rsid w:val="0039738B"/>
    <w:rsid w:val="00397412"/>
    <w:rsid w:val="003976F7"/>
    <w:rsid w:val="0039777C"/>
    <w:rsid w:val="003977FF"/>
    <w:rsid w:val="0039794D"/>
    <w:rsid w:val="00397A62"/>
    <w:rsid w:val="00397A65"/>
    <w:rsid w:val="00397B2B"/>
    <w:rsid w:val="00397BA1"/>
    <w:rsid w:val="00397F23"/>
    <w:rsid w:val="00397FED"/>
    <w:rsid w:val="003A0104"/>
    <w:rsid w:val="003A0331"/>
    <w:rsid w:val="003A0823"/>
    <w:rsid w:val="003A0910"/>
    <w:rsid w:val="003A0A00"/>
    <w:rsid w:val="003A0ADD"/>
    <w:rsid w:val="003A0B83"/>
    <w:rsid w:val="003A0C0C"/>
    <w:rsid w:val="003A0CCE"/>
    <w:rsid w:val="003A0DB5"/>
    <w:rsid w:val="003A0DF9"/>
    <w:rsid w:val="003A0F2B"/>
    <w:rsid w:val="003A1089"/>
    <w:rsid w:val="003A1095"/>
    <w:rsid w:val="003A11A4"/>
    <w:rsid w:val="003A11BD"/>
    <w:rsid w:val="003A12A0"/>
    <w:rsid w:val="003A15AA"/>
    <w:rsid w:val="003A15AC"/>
    <w:rsid w:val="003A15DD"/>
    <w:rsid w:val="003A1768"/>
    <w:rsid w:val="003A179E"/>
    <w:rsid w:val="003A1F0A"/>
    <w:rsid w:val="003A200A"/>
    <w:rsid w:val="003A2018"/>
    <w:rsid w:val="003A20FB"/>
    <w:rsid w:val="003A21DF"/>
    <w:rsid w:val="003A2346"/>
    <w:rsid w:val="003A236A"/>
    <w:rsid w:val="003A23F2"/>
    <w:rsid w:val="003A2494"/>
    <w:rsid w:val="003A2594"/>
    <w:rsid w:val="003A25D3"/>
    <w:rsid w:val="003A284B"/>
    <w:rsid w:val="003A29F8"/>
    <w:rsid w:val="003A2C40"/>
    <w:rsid w:val="003A2E2D"/>
    <w:rsid w:val="003A2E44"/>
    <w:rsid w:val="003A3082"/>
    <w:rsid w:val="003A352C"/>
    <w:rsid w:val="003A3579"/>
    <w:rsid w:val="003A360A"/>
    <w:rsid w:val="003A3687"/>
    <w:rsid w:val="003A37BE"/>
    <w:rsid w:val="003A3808"/>
    <w:rsid w:val="003A3815"/>
    <w:rsid w:val="003A395F"/>
    <w:rsid w:val="003A3963"/>
    <w:rsid w:val="003A3D35"/>
    <w:rsid w:val="003A409B"/>
    <w:rsid w:val="003A40B6"/>
    <w:rsid w:val="003A4345"/>
    <w:rsid w:val="003A435E"/>
    <w:rsid w:val="003A43F6"/>
    <w:rsid w:val="003A4468"/>
    <w:rsid w:val="003A4821"/>
    <w:rsid w:val="003A49E6"/>
    <w:rsid w:val="003A4BA9"/>
    <w:rsid w:val="003A51C6"/>
    <w:rsid w:val="003A5377"/>
    <w:rsid w:val="003A5666"/>
    <w:rsid w:val="003A5698"/>
    <w:rsid w:val="003A5895"/>
    <w:rsid w:val="003A5A61"/>
    <w:rsid w:val="003A5A6F"/>
    <w:rsid w:val="003A5B5E"/>
    <w:rsid w:val="003A5BD5"/>
    <w:rsid w:val="003A5FB4"/>
    <w:rsid w:val="003A60E0"/>
    <w:rsid w:val="003A6213"/>
    <w:rsid w:val="003A64CE"/>
    <w:rsid w:val="003A6514"/>
    <w:rsid w:val="003A6587"/>
    <w:rsid w:val="003A6766"/>
    <w:rsid w:val="003A6936"/>
    <w:rsid w:val="003A6A4C"/>
    <w:rsid w:val="003A6AFE"/>
    <w:rsid w:val="003A6B1B"/>
    <w:rsid w:val="003A6E6A"/>
    <w:rsid w:val="003A70E1"/>
    <w:rsid w:val="003A7129"/>
    <w:rsid w:val="003A71A9"/>
    <w:rsid w:val="003A726A"/>
    <w:rsid w:val="003A7359"/>
    <w:rsid w:val="003A736F"/>
    <w:rsid w:val="003A7608"/>
    <w:rsid w:val="003A76F1"/>
    <w:rsid w:val="003A77B7"/>
    <w:rsid w:val="003A7817"/>
    <w:rsid w:val="003A784A"/>
    <w:rsid w:val="003A7956"/>
    <w:rsid w:val="003A79AE"/>
    <w:rsid w:val="003A79E5"/>
    <w:rsid w:val="003A7B7C"/>
    <w:rsid w:val="003A7CC5"/>
    <w:rsid w:val="003A7EB1"/>
    <w:rsid w:val="003B0257"/>
    <w:rsid w:val="003B030D"/>
    <w:rsid w:val="003B07BC"/>
    <w:rsid w:val="003B08A4"/>
    <w:rsid w:val="003B0BB8"/>
    <w:rsid w:val="003B0DBB"/>
    <w:rsid w:val="003B0E29"/>
    <w:rsid w:val="003B1140"/>
    <w:rsid w:val="003B120E"/>
    <w:rsid w:val="003B12C0"/>
    <w:rsid w:val="003B1382"/>
    <w:rsid w:val="003B17B3"/>
    <w:rsid w:val="003B1967"/>
    <w:rsid w:val="003B19D6"/>
    <w:rsid w:val="003B19F1"/>
    <w:rsid w:val="003B1A18"/>
    <w:rsid w:val="003B1A7C"/>
    <w:rsid w:val="003B1B67"/>
    <w:rsid w:val="003B1B7E"/>
    <w:rsid w:val="003B1C88"/>
    <w:rsid w:val="003B1F4E"/>
    <w:rsid w:val="003B1F8B"/>
    <w:rsid w:val="003B2194"/>
    <w:rsid w:val="003B2251"/>
    <w:rsid w:val="003B226E"/>
    <w:rsid w:val="003B230D"/>
    <w:rsid w:val="003B2442"/>
    <w:rsid w:val="003B27F5"/>
    <w:rsid w:val="003B297F"/>
    <w:rsid w:val="003B29A1"/>
    <w:rsid w:val="003B2A9A"/>
    <w:rsid w:val="003B2ABB"/>
    <w:rsid w:val="003B2BE7"/>
    <w:rsid w:val="003B2C19"/>
    <w:rsid w:val="003B2E85"/>
    <w:rsid w:val="003B2FCD"/>
    <w:rsid w:val="003B313A"/>
    <w:rsid w:val="003B32DA"/>
    <w:rsid w:val="003B34A2"/>
    <w:rsid w:val="003B351F"/>
    <w:rsid w:val="003B35BC"/>
    <w:rsid w:val="003B3817"/>
    <w:rsid w:val="003B3A5E"/>
    <w:rsid w:val="003B3AC3"/>
    <w:rsid w:val="003B3AC8"/>
    <w:rsid w:val="003B3CA6"/>
    <w:rsid w:val="003B3E2A"/>
    <w:rsid w:val="003B43BA"/>
    <w:rsid w:val="003B43C2"/>
    <w:rsid w:val="003B43E6"/>
    <w:rsid w:val="003B44FA"/>
    <w:rsid w:val="003B4558"/>
    <w:rsid w:val="003B4597"/>
    <w:rsid w:val="003B47EB"/>
    <w:rsid w:val="003B48AF"/>
    <w:rsid w:val="003B495A"/>
    <w:rsid w:val="003B4A0C"/>
    <w:rsid w:val="003B4A11"/>
    <w:rsid w:val="003B4B27"/>
    <w:rsid w:val="003B4C11"/>
    <w:rsid w:val="003B4D09"/>
    <w:rsid w:val="003B4EBB"/>
    <w:rsid w:val="003B4F0E"/>
    <w:rsid w:val="003B506F"/>
    <w:rsid w:val="003B53A1"/>
    <w:rsid w:val="003B53DE"/>
    <w:rsid w:val="003B5412"/>
    <w:rsid w:val="003B5591"/>
    <w:rsid w:val="003B5603"/>
    <w:rsid w:val="003B58ED"/>
    <w:rsid w:val="003B590E"/>
    <w:rsid w:val="003B5A21"/>
    <w:rsid w:val="003B5A40"/>
    <w:rsid w:val="003B5B02"/>
    <w:rsid w:val="003B5B2D"/>
    <w:rsid w:val="003B5EFF"/>
    <w:rsid w:val="003B6885"/>
    <w:rsid w:val="003B69D9"/>
    <w:rsid w:val="003B6CC8"/>
    <w:rsid w:val="003B6DB5"/>
    <w:rsid w:val="003B6E06"/>
    <w:rsid w:val="003B6E95"/>
    <w:rsid w:val="003B7092"/>
    <w:rsid w:val="003B727B"/>
    <w:rsid w:val="003B757F"/>
    <w:rsid w:val="003B7600"/>
    <w:rsid w:val="003B76F2"/>
    <w:rsid w:val="003B773A"/>
    <w:rsid w:val="003B7BE2"/>
    <w:rsid w:val="003B7E43"/>
    <w:rsid w:val="003B7E88"/>
    <w:rsid w:val="003B7EBB"/>
    <w:rsid w:val="003B7EE5"/>
    <w:rsid w:val="003B7FA3"/>
    <w:rsid w:val="003C0099"/>
    <w:rsid w:val="003C0169"/>
    <w:rsid w:val="003C019E"/>
    <w:rsid w:val="003C01EC"/>
    <w:rsid w:val="003C0215"/>
    <w:rsid w:val="003C0261"/>
    <w:rsid w:val="003C0301"/>
    <w:rsid w:val="003C036B"/>
    <w:rsid w:val="003C03DA"/>
    <w:rsid w:val="003C058F"/>
    <w:rsid w:val="003C0620"/>
    <w:rsid w:val="003C0A79"/>
    <w:rsid w:val="003C0B14"/>
    <w:rsid w:val="003C0C04"/>
    <w:rsid w:val="003C101B"/>
    <w:rsid w:val="003C10F8"/>
    <w:rsid w:val="003C1146"/>
    <w:rsid w:val="003C12A1"/>
    <w:rsid w:val="003C155B"/>
    <w:rsid w:val="003C15A0"/>
    <w:rsid w:val="003C15FB"/>
    <w:rsid w:val="003C1718"/>
    <w:rsid w:val="003C18A8"/>
    <w:rsid w:val="003C19C4"/>
    <w:rsid w:val="003C1A1E"/>
    <w:rsid w:val="003C1B12"/>
    <w:rsid w:val="003C1C43"/>
    <w:rsid w:val="003C1E82"/>
    <w:rsid w:val="003C1ECC"/>
    <w:rsid w:val="003C1ED4"/>
    <w:rsid w:val="003C1FA0"/>
    <w:rsid w:val="003C2042"/>
    <w:rsid w:val="003C2093"/>
    <w:rsid w:val="003C20FD"/>
    <w:rsid w:val="003C2121"/>
    <w:rsid w:val="003C213A"/>
    <w:rsid w:val="003C2312"/>
    <w:rsid w:val="003C246A"/>
    <w:rsid w:val="003C24BD"/>
    <w:rsid w:val="003C2663"/>
    <w:rsid w:val="003C2731"/>
    <w:rsid w:val="003C27CB"/>
    <w:rsid w:val="003C2903"/>
    <w:rsid w:val="003C2948"/>
    <w:rsid w:val="003C2A3C"/>
    <w:rsid w:val="003C2C1F"/>
    <w:rsid w:val="003C2D08"/>
    <w:rsid w:val="003C2FD1"/>
    <w:rsid w:val="003C2FF7"/>
    <w:rsid w:val="003C3084"/>
    <w:rsid w:val="003C30F1"/>
    <w:rsid w:val="003C312C"/>
    <w:rsid w:val="003C31BC"/>
    <w:rsid w:val="003C3296"/>
    <w:rsid w:val="003C329C"/>
    <w:rsid w:val="003C33AC"/>
    <w:rsid w:val="003C349F"/>
    <w:rsid w:val="003C3748"/>
    <w:rsid w:val="003C3757"/>
    <w:rsid w:val="003C375D"/>
    <w:rsid w:val="003C378B"/>
    <w:rsid w:val="003C37DA"/>
    <w:rsid w:val="003C3888"/>
    <w:rsid w:val="003C39FF"/>
    <w:rsid w:val="003C3D3D"/>
    <w:rsid w:val="003C3F7A"/>
    <w:rsid w:val="003C3FE7"/>
    <w:rsid w:val="003C3FF4"/>
    <w:rsid w:val="003C433D"/>
    <w:rsid w:val="003C435C"/>
    <w:rsid w:val="003C4426"/>
    <w:rsid w:val="003C44D2"/>
    <w:rsid w:val="003C4519"/>
    <w:rsid w:val="003C4A1C"/>
    <w:rsid w:val="003C4AFD"/>
    <w:rsid w:val="003C4B35"/>
    <w:rsid w:val="003C4B4D"/>
    <w:rsid w:val="003C4F2E"/>
    <w:rsid w:val="003C4F4F"/>
    <w:rsid w:val="003C4F95"/>
    <w:rsid w:val="003C50AC"/>
    <w:rsid w:val="003C515D"/>
    <w:rsid w:val="003C522C"/>
    <w:rsid w:val="003C54DB"/>
    <w:rsid w:val="003C56CA"/>
    <w:rsid w:val="003C5A20"/>
    <w:rsid w:val="003C5BA8"/>
    <w:rsid w:val="003C5ECE"/>
    <w:rsid w:val="003C5F8E"/>
    <w:rsid w:val="003C6073"/>
    <w:rsid w:val="003C61BF"/>
    <w:rsid w:val="003C626A"/>
    <w:rsid w:val="003C660B"/>
    <w:rsid w:val="003C6675"/>
    <w:rsid w:val="003C6765"/>
    <w:rsid w:val="003C67E9"/>
    <w:rsid w:val="003C6999"/>
    <w:rsid w:val="003C69EF"/>
    <w:rsid w:val="003C6A61"/>
    <w:rsid w:val="003C6DC0"/>
    <w:rsid w:val="003C6E1C"/>
    <w:rsid w:val="003C6F28"/>
    <w:rsid w:val="003C73A7"/>
    <w:rsid w:val="003C7432"/>
    <w:rsid w:val="003C76F5"/>
    <w:rsid w:val="003C799A"/>
    <w:rsid w:val="003C7A9A"/>
    <w:rsid w:val="003C7BA1"/>
    <w:rsid w:val="003C7BF4"/>
    <w:rsid w:val="003C7FDD"/>
    <w:rsid w:val="003D0288"/>
    <w:rsid w:val="003D02E3"/>
    <w:rsid w:val="003D0678"/>
    <w:rsid w:val="003D0925"/>
    <w:rsid w:val="003D0B5E"/>
    <w:rsid w:val="003D0BBD"/>
    <w:rsid w:val="003D0D17"/>
    <w:rsid w:val="003D11A5"/>
    <w:rsid w:val="003D1225"/>
    <w:rsid w:val="003D1304"/>
    <w:rsid w:val="003D132B"/>
    <w:rsid w:val="003D1749"/>
    <w:rsid w:val="003D1773"/>
    <w:rsid w:val="003D17AA"/>
    <w:rsid w:val="003D197B"/>
    <w:rsid w:val="003D1A6F"/>
    <w:rsid w:val="003D1AA0"/>
    <w:rsid w:val="003D1ABE"/>
    <w:rsid w:val="003D1CEF"/>
    <w:rsid w:val="003D1E9C"/>
    <w:rsid w:val="003D1EFE"/>
    <w:rsid w:val="003D1F0E"/>
    <w:rsid w:val="003D1F1C"/>
    <w:rsid w:val="003D205E"/>
    <w:rsid w:val="003D2110"/>
    <w:rsid w:val="003D2261"/>
    <w:rsid w:val="003D2386"/>
    <w:rsid w:val="003D2560"/>
    <w:rsid w:val="003D25A5"/>
    <w:rsid w:val="003D2615"/>
    <w:rsid w:val="003D267F"/>
    <w:rsid w:val="003D29AD"/>
    <w:rsid w:val="003D29D3"/>
    <w:rsid w:val="003D2AB2"/>
    <w:rsid w:val="003D2BD2"/>
    <w:rsid w:val="003D2C0D"/>
    <w:rsid w:val="003D302F"/>
    <w:rsid w:val="003D3295"/>
    <w:rsid w:val="003D33C1"/>
    <w:rsid w:val="003D3444"/>
    <w:rsid w:val="003D3459"/>
    <w:rsid w:val="003D37DD"/>
    <w:rsid w:val="003D38BE"/>
    <w:rsid w:val="003D39D1"/>
    <w:rsid w:val="003D4073"/>
    <w:rsid w:val="003D4124"/>
    <w:rsid w:val="003D412E"/>
    <w:rsid w:val="003D4377"/>
    <w:rsid w:val="003D4384"/>
    <w:rsid w:val="003D4587"/>
    <w:rsid w:val="003D468C"/>
    <w:rsid w:val="003D48B6"/>
    <w:rsid w:val="003D4B4D"/>
    <w:rsid w:val="003D4BF8"/>
    <w:rsid w:val="003D4E05"/>
    <w:rsid w:val="003D507B"/>
    <w:rsid w:val="003D524A"/>
    <w:rsid w:val="003D53ED"/>
    <w:rsid w:val="003D550E"/>
    <w:rsid w:val="003D5605"/>
    <w:rsid w:val="003D560A"/>
    <w:rsid w:val="003D5699"/>
    <w:rsid w:val="003D57F1"/>
    <w:rsid w:val="003D5A19"/>
    <w:rsid w:val="003D5BA0"/>
    <w:rsid w:val="003D5C40"/>
    <w:rsid w:val="003D5DB2"/>
    <w:rsid w:val="003D5F03"/>
    <w:rsid w:val="003D6146"/>
    <w:rsid w:val="003D61AB"/>
    <w:rsid w:val="003D61C5"/>
    <w:rsid w:val="003D622F"/>
    <w:rsid w:val="003D6441"/>
    <w:rsid w:val="003D6582"/>
    <w:rsid w:val="003D6922"/>
    <w:rsid w:val="003D6AD9"/>
    <w:rsid w:val="003D6F27"/>
    <w:rsid w:val="003D6F67"/>
    <w:rsid w:val="003D6FE5"/>
    <w:rsid w:val="003D7007"/>
    <w:rsid w:val="003D706E"/>
    <w:rsid w:val="003D7258"/>
    <w:rsid w:val="003D7259"/>
    <w:rsid w:val="003D72F6"/>
    <w:rsid w:val="003D744C"/>
    <w:rsid w:val="003D7468"/>
    <w:rsid w:val="003D76E3"/>
    <w:rsid w:val="003D7844"/>
    <w:rsid w:val="003D7BBA"/>
    <w:rsid w:val="003D7C94"/>
    <w:rsid w:val="003D7D2F"/>
    <w:rsid w:val="003D7DA6"/>
    <w:rsid w:val="003D7DCA"/>
    <w:rsid w:val="003D7F65"/>
    <w:rsid w:val="003E000E"/>
    <w:rsid w:val="003E01D2"/>
    <w:rsid w:val="003E01DA"/>
    <w:rsid w:val="003E01FD"/>
    <w:rsid w:val="003E0325"/>
    <w:rsid w:val="003E03B2"/>
    <w:rsid w:val="003E0470"/>
    <w:rsid w:val="003E0489"/>
    <w:rsid w:val="003E0551"/>
    <w:rsid w:val="003E057C"/>
    <w:rsid w:val="003E0711"/>
    <w:rsid w:val="003E0AC8"/>
    <w:rsid w:val="003E0BC2"/>
    <w:rsid w:val="003E0CDA"/>
    <w:rsid w:val="003E0CE8"/>
    <w:rsid w:val="003E0D74"/>
    <w:rsid w:val="003E0E40"/>
    <w:rsid w:val="003E0F5B"/>
    <w:rsid w:val="003E0FC6"/>
    <w:rsid w:val="003E100A"/>
    <w:rsid w:val="003E1091"/>
    <w:rsid w:val="003E10B4"/>
    <w:rsid w:val="003E1659"/>
    <w:rsid w:val="003E167F"/>
    <w:rsid w:val="003E17D5"/>
    <w:rsid w:val="003E188D"/>
    <w:rsid w:val="003E18B1"/>
    <w:rsid w:val="003E1BF9"/>
    <w:rsid w:val="003E1CED"/>
    <w:rsid w:val="003E1E58"/>
    <w:rsid w:val="003E1F15"/>
    <w:rsid w:val="003E214A"/>
    <w:rsid w:val="003E23DE"/>
    <w:rsid w:val="003E243C"/>
    <w:rsid w:val="003E2536"/>
    <w:rsid w:val="003E2602"/>
    <w:rsid w:val="003E2631"/>
    <w:rsid w:val="003E26D4"/>
    <w:rsid w:val="003E271F"/>
    <w:rsid w:val="003E2965"/>
    <w:rsid w:val="003E29E9"/>
    <w:rsid w:val="003E29F2"/>
    <w:rsid w:val="003E29F5"/>
    <w:rsid w:val="003E2EE1"/>
    <w:rsid w:val="003E2F01"/>
    <w:rsid w:val="003E2F19"/>
    <w:rsid w:val="003E2F85"/>
    <w:rsid w:val="003E320A"/>
    <w:rsid w:val="003E3340"/>
    <w:rsid w:val="003E338B"/>
    <w:rsid w:val="003E3435"/>
    <w:rsid w:val="003E361A"/>
    <w:rsid w:val="003E3641"/>
    <w:rsid w:val="003E368F"/>
    <w:rsid w:val="003E37F8"/>
    <w:rsid w:val="003E3843"/>
    <w:rsid w:val="003E399C"/>
    <w:rsid w:val="003E3CB6"/>
    <w:rsid w:val="003E3D20"/>
    <w:rsid w:val="003E3FEB"/>
    <w:rsid w:val="003E41FE"/>
    <w:rsid w:val="003E4390"/>
    <w:rsid w:val="003E45EC"/>
    <w:rsid w:val="003E46B3"/>
    <w:rsid w:val="003E476C"/>
    <w:rsid w:val="003E48B8"/>
    <w:rsid w:val="003E4921"/>
    <w:rsid w:val="003E4B0F"/>
    <w:rsid w:val="003E4BDB"/>
    <w:rsid w:val="003E4D4B"/>
    <w:rsid w:val="003E4DFD"/>
    <w:rsid w:val="003E4E24"/>
    <w:rsid w:val="003E4E5F"/>
    <w:rsid w:val="003E4EE5"/>
    <w:rsid w:val="003E50A3"/>
    <w:rsid w:val="003E53B1"/>
    <w:rsid w:val="003E53DB"/>
    <w:rsid w:val="003E541B"/>
    <w:rsid w:val="003E54FC"/>
    <w:rsid w:val="003E554D"/>
    <w:rsid w:val="003E5585"/>
    <w:rsid w:val="003E5909"/>
    <w:rsid w:val="003E5999"/>
    <w:rsid w:val="003E5A31"/>
    <w:rsid w:val="003E5A77"/>
    <w:rsid w:val="003E5B23"/>
    <w:rsid w:val="003E5BDF"/>
    <w:rsid w:val="003E5DD6"/>
    <w:rsid w:val="003E5F0F"/>
    <w:rsid w:val="003E606C"/>
    <w:rsid w:val="003E60F4"/>
    <w:rsid w:val="003E62AD"/>
    <w:rsid w:val="003E66A8"/>
    <w:rsid w:val="003E6726"/>
    <w:rsid w:val="003E67F8"/>
    <w:rsid w:val="003E681D"/>
    <w:rsid w:val="003E68B5"/>
    <w:rsid w:val="003E6AE8"/>
    <w:rsid w:val="003E6C20"/>
    <w:rsid w:val="003E6D80"/>
    <w:rsid w:val="003E6E50"/>
    <w:rsid w:val="003E6F2F"/>
    <w:rsid w:val="003E716F"/>
    <w:rsid w:val="003E71D2"/>
    <w:rsid w:val="003E72DF"/>
    <w:rsid w:val="003E7377"/>
    <w:rsid w:val="003E74A9"/>
    <w:rsid w:val="003E78DE"/>
    <w:rsid w:val="003E7C11"/>
    <w:rsid w:val="003E7E33"/>
    <w:rsid w:val="003E7F3E"/>
    <w:rsid w:val="003E7FB5"/>
    <w:rsid w:val="003F0123"/>
    <w:rsid w:val="003F01AD"/>
    <w:rsid w:val="003F01F5"/>
    <w:rsid w:val="003F0275"/>
    <w:rsid w:val="003F0384"/>
    <w:rsid w:val="003F0473"/>
    <w:rsid w:val="003F0658"/>
    <w:rsid w:val="003F0760"/>
    <w:rsid w:val="003F0A16"/>
    <w:rsid w:val="003F0D6E"/>
    <w:rsid w:val="003F0F1F"/>
    <w:rsid w:val="003F119E"/>
    <w:rsid w:val="003F1257"/>
    <w:rsid w:val="003F13A5"/>
    <w:rsid w:val="003F1797"/>
    <w:rsid w:val="003F1E91"/>
    <w:rsid w:val="003F1EEB"/>
    <w:rsid w:val="003F1F43"/>
    <w:rsid w:val="003F21ED"/>
    <w:rsid w:val="003F2236"/>
    <w:rsid w:val="003F229D"/>
    <w:rsid w:val="003F23FE"/>
    <w:rsid w:val="003F2526"/>
    <w:rsid w:val="003F26E4"/>
    <w:rsid w:val="003F2738"/>
    <w:rsid w:val="003F28C5"/>
    <w:rsid w:val="003F28CF"/>
    <w:rsid w:val="003F2A10"/>
    <w:rsid w:val="003F2A9C"/>
    <w:rsid w:val="003F2AAA"/>
    <w:rsid w:val="003F2C90"/>
    <w:rsid w:val="003F2EB2"/>
    <w:rsid w:val="003F2F6C"/>
    <w:rsid w:val="003F3086"/>
    <w:rsid w:val="003F368B"/>
    <w:rsid w:val="003F398E"/>
    <w:rsid w:val="003F3BB4"/>
    <w:rsid w:val="003F3C12"/>
    <w:rsid w:val="003F3C7F"/>
    <w:rsid w:val="003F3DFE"/>
    <w:rsid w:val="003F3F27"/>
    <w:rsid w:val="003F3FE7"/>
    <w:rsid w:val="003F4067"/>
    <w:rsid w:val="003F4496"/>
    <w:rsid w:val="003F45F5"/>
    <w:rsid w:val="003F4684"/>
    <w:rsid w:val="003F4843"/>
    <w:rsid w:val="003F48E3"/>
    <w:rsid w:val="003F4984"/>
    <w:rsid w:val="003F49EF"/>
    <w:rsid w:val="003F4C83"/>
    <w:rsid w:val="003F4D0B"/>
    <w:rsid w:val="003F4DDB"/>
    <w:rsid w:val="003F4EBD"/>
    <w:rsid w:val="003F4EED"/>
    <w:rsid w:val="003F4F6B"/>
    <w:rsid w:val="003F4F94"/>
    <w:rsid w:val="003F5115"/>
    <w:rsid w:val="003F546A"/>
    <w:rsid w:val="003F5542"/>
    <w:rsid w:val="003F56EF"/>
    <w:rsid w:val="003F5807"/>
    <w:rsid w:val="003F58CB"/>
    <w:rsid w:val="003F591F"/>
    <w:rsid w:val="003F5961"/>
    <w:rsid w:val="003F5A5A"/>
    <w:rsid w:val="003F5AB2"/>
    <w:rsid w:val="003F5BC4"/>
    <w:rsid w:val="003F5C11"/>
    <w:rsid w:val="003F5C54"/>
    <w:rsid w:val="003F5E89"/>
    <w:rsid w:val="003F5F18"/>
    <w:rsid w:val="003F5F9B"/>
    <w:rsid w:val="003F61C9"/>
    <w:rsid w:val="003F6210"/>
    <w:rsid w:val="003F62C3"/>
    <w:rsid w:val="003F6486"/>
    <w:rsid w:val="003F64C7"/>
    <w:rsid w:val="003F6848"/>
    <w:rsid w:val="003F6A89"/>
    <w:rsid w:val="003F6F15"/>
    <w:rsid w:val="003F6F2C"/>
    <w:rsid w:val="003F6F53"/>
    <w:rsid w:val="003F71B2"/>
    <w:rsid w:val="003F742C"/>
    <w:rsid w:val="003F751E"/>
    <w:rsid w:val="003F7617"/>
    <w:rsid w:val="003F7781"/>
    <w:rsid w:val="003F7D21"/>
    <w:rsid w:val="0040006E"/>
    <w:rsid w:val="004001CA"/>
    <w:rsid w:val="00400229"/>
    <w:rsid w:val="00400275"/>
    <w:rsid w:val="004002E8"/>
    <w:rsid w:val="004004E8"/>
    <w:rsid w:val="004005DB"/>
    <w:rsid w:val="00400659"/>
    <w:rsid w:val="004007D6"/>
    <w:rsid w:val="004008D4"/>
    <w:rsid w:val="0040091D"/>
    <w:rsid w:val="00400BC2"/>
    <w:rsid w:val="00400BFA"/>
    <w:rsid w:val="00400C3C"/>
    <w:rsid w:val="00400D85"/>
    <w:rsid w:val="00400F7F"/>
    <w:rsid w:val="00400FB6"/>
    <w:rsid w:val="00401030"/>
    <w:rsid w:val="00401057"/>
    <w:rsid w:val="0040113E"/>
    <w:rsid w:val="004011B7"/>
    <w:rsid w:val="00401294"/>
    <w:rsid w:val="0040139B"/>
    <w:rsid w:val="00401455"/>
    <w:rsid w:val="00401B7A"/>
    <w:rsid w:val="00401C2C"/>
    <w:rsid w:val="00401ECE"/>
    <w:rsid w:val="004020F1"/>
    <w:rsid w:val="004021FA"/>
    <w:rsid w:val="00402359"/>
    <w:rsid w:val="0040239C"/>
    <w:rsid w:val="004024B6"/>
    <w:rsid w:val="00402507"/>
    <w:rsid w:val="0040258D"/>
    <w:rsid w:val="0040273F"/>
    <w:rsid w:val="00402AD5"/>
    <w:rsid w:val="00402AFD"/>
    <w:rsid w:val="00402B39"/>
    <w:rsid w:val="00402EDF"/>
    <w:rsid w:val="00402EF7"/>
    <w:rsid w:val="004030CF"/>
    <w:rsid w:val="00403365"/>
    <w:rsid w:val="0040344B"/>
    <w:rsid w:val="004034CF"/>
    <w:rsid w:val="00403593"/>
    <w:rsid w:val="004036D7"/>
    <w:rsid w:val="0040390B"/>
    <w:rsid w:val="00403918"/>
    <w:rsid w:val="00403926"/>
    <w:rsid w:val="004039C9"/>
    <w:rsid w:val="00403A6B"/>
    <w:rsid w:val="00403B60"/>
    <w:rsid w:val="00403C0C"/>
    <w:rsid w:val="00403D9C"/>
    <w:rsid w:val="00403DA5"/>
    <w:rsid w:val="00403E87"/>
    <w:rsid w:val="00403F72"/>
    <w:rsid w:val="00404207"/>
    <w:rsid w:val="00404408"/>
    <w:rsid w:val="004046D3"/>
    <w:rsid w:val="00404975"/>
    <w:rsid w:val="00404978"/>
    <w:rsid w:val="00404CA5"/>
    <w:rsid w:val="00404D7A"/>
    <w:rsid w:val="00404DDF"/>
    <w:rsid w:val="00404F36"/>
    <w:rsid w:val="00405053"/>
    <w:rsid w:val="0040505C"/>
    <w:rsid w:val="00405121"/>
    <w:rsid w:val="0040513B"/>
    <w:rsid w:val="00405209"/>
    <w:rsid w:val="0040530A"/>
    <w:rsid w:val="0040545D"/>
    <w:rsid w:val="0040549C"/>
    <w:rsid w:val="004054DA"/>
    <w:rsid w:val="004054ED"/>
    <w:rsid w:val="004055A0"/>
    <w:rsid w:val="00405602"/>
    <w:rsid w:val="00405605"/>
    <w:rsid w:val="00405926"/>
    <w:rsid w:val="00405973"/>
    <w:rsid w:val="004059E1"/>
    <w:rsid w:val="00405C58"/>
    <w:rsid w:val="00405D84"/>
    <w:rsid w:val="00405E36"/>
    <w:rsid w:val="00405FCD"/>
    <w:rsid w:val="00406060"/>
    <w:rsid w:val="004061C9"/>
    <w:rsid w:val="00406215"/>
    <w:rsid w:val="00406231"/>
    <w:rsid w:val="0040633D"/>
    <w:rsid w:val="004064A7"/>
    <w:rsid w:val="00406820"/>
    <w:rsid w:val="00406937"/>
    <w:rsid w:val="004069BC"/>
    <w:rsid w:val="00406A1D"/>
    <w:rsid w:val="00406B68"/>
    <w:rsid w:val="00406CA2"/>
    <w:rsid w:val="00406CAB"/>
    <w:rsid w:val="00406EE5"/>
    <w:rsid w:val="004070C5"/>
    <w:rsid w:val="00407317"/>
    <w:rsid w:val="0040762B"/>
    <w:rsid w:val="00407722"/>
    <w:rsid w:val="0040774E"/>
    <w:rsid w:val="004079FE"/>
    <w:rsid w:val="00407AD8"/>
    <w:rsid w:val="00407BD2"/>
    <w:rsid w:val="00407C10"/>
    <w:rsid w:val="00407C59"/>
    <w:rsid w:val="00407CDA"/>
    <w:rsid w:val="00407D54"/>
    <w:rsid w:val="00407E2C"/>
    <w:rsid w:val="0041026F"/>
    <w:rsid w:val="00410344"/>
    <w:rsid w:val="0041038D"/>
    <w:rsid w:val="004103A2"/>
    <w:rsid w:val="004104B0"/>
    <w:rsid w:val="00410515"/>
    <w:rsid w:val="004105DF"/>
    <w:rsid w:val="0041065D"/>
    <w:rsid w:val="00410B67"/>
    <w:rsid w:val="00410D81"/>
    <w:rsid w:val="00410E91"/>
    <w:rsid w:val="00411104"/>
    <w:rsid w:val="004111C5"/>
    <w:rsid w:val="00411218"/>
    <w:rsid w:val="00411269"/>
    <w:rsid w:val="004112F3"/>
    <w:rsid w:val="00411373"/>
    <w:rsid w:val="004114C5"/>
    <w:rsid w:val="00411873"/>
    <w:rsid w:val="0041189E"/>
    <w:rsid w:val="00411BD4"/>
    <w:rsid w:val="00411C0A"/>
    <w:rsid w:val="00411DC5"/>
    <w:rsid w:val="00412409"/>
    <w:rsid w:val="00412448"/>
    <w:rsid w:val="00412613"/>
    <w:rsid w:val="004127B8"/>
    <w:rsid w:val="004127C5"/>
    <w:rsid w:val="004128E3"/>
    <w:rsid w:val="00412B2B"/>
    <w:rsid w:val="00412C1D"/>
    <w:rsid w:val="00412CEC"/>
    <w:rsid w:val="00412FA2"/>
    <w:rsid w:val="00412FF0"/>
    <w:rsid w:val="0041337B"/>
    <w:rsid w:val="004134ED"/>
    <w:rsid w:val="0041360B"/>
    <w:rsid w:val="004137B8"/>
    <w:rsid w:val="0041384C"/>
    <w:rsid w:val="004138A8"/>
    <w:rsid w:val="00413A2B"/>
    <w:rsid w:val="00413C7D"/>
    <w:rsid w:val="00413CC3"/>
    <w:rsid w:val="00413DA2"/>
    <w:rsid w:val="00413F91"/>
    <w:rsid w:val="00413FD2"/>
    <w:rsid w:val="0041405D"/>
    <w:rsid w:val="004140BA"/>
    <w:rsid w:val="004143A4"/>
    <w:rsid w:val="00414537"/>
    <w:rsid w:val="004146AA"/>
    <w:rsid w:val="0041485A"/>
    <w:rsid w:val="004149E7"/>
    <w:rsid w:val="00414D1A"/>
    <w:rsid w:val="00414DBB"/>
    <w:rsid w:val="00414F11"/>
    <w:rsid w:val="00414FAB"/>
    <w:rsid w:val="00414FE7"/>
    <w:rsid w:val="004151E0"/>
    <w:rsid w:val="004152BA"/>
    <w:rsid w:val="00415419"/>
    <w:rsid w:val="004154B3"/>
    <w:rsid w:val="00415665"/>
    <w:rsid w:val="004157EB"/>
    <w:rsid w:val="00415B08"/>
    <w:rsid w:val="00415DF2"/>
    <w:rsid w:val="00415F9C"/>
    <w:rsid w:val="00415FD5"/>
    <w:rsid w:val="00416142"/>
    <w:rsid w:val="00416192"/>
    <w:rsid w:val="004164F7"/>
    <w:rsid w:val="00416522"/>
    <w:rsid w:val="0041675F"/>
    <w:rsid w:val="00416A0B"/>
    <w:rsid w:val="00416C35"/>
    <w:rsid w:val="00416C44"/>
    <w:rsid w:val="00416C85"/>
    <w:rsid w:val="00416E56"/>
    <w:rsid w:val="00416F76"/>
    <w:rsid w:val="00416F79"/>
    <w:rsid w:val="004170D4"/>
    <w:rsid w:val="0041720F"/>
    <w:rsid w:val="0041755F"/>
    <w:rsid w:val="004177B5"/>
    <w:rsid w:val="004178B5"/>
    <w:rsid w:val="00417CC4"/>
    <w:rsid w:val="00417E20"/>
    <w:rsid w:val="00417E4C"/>
    <w:rsid w:val="00417F16"/>
    <w:rsid w:val="00417F2F"/>
    <w:rsid w:val="00417FA4"/>
    <w:rsid w:val="00417FAA"/>
    <w:rsid w:val="00420154"/>
    <w:rsid w:val="00420181"/>
    <w:rsid w:val="004201A8"/>
    <w:rsid w:val="0042055D"/>
    <w:rsid w:val="004206E1"/>
    <w:rsid w:val="0042098C"/>
    <w:rsid w:val="004209FB"/>
    <w:rsid w:val="00420A49"/>
    <w:rsid w:val="00420A83"/>
    <w:rsid w:val="00420D42"/>
    <w:rsid w:val="00420F86"/>
    <w:rsid w:val="00421095"/>
    <w:rsid w:val="004212B9"/>
    <w:rsid w:val="00421346"/>
    <w:rsid w:val="0042134F"/>
    <w:rsid w:val="00421353"/>
    <w:rsid w:val="004215B3"/>
    <w:rsid w:val="00421692"/>
    <w:rsid w:val="00421696"/>
    <w:rsid w:val="004217F0"/>
    <w:rsid w:val="00421906"/>
    <w:rsid w:val="00421B9E"/>
    <w:rsid w:val="00421BA6"/>
    <w:rsid w:val="00421C1E"/>
    <w:rsid w:val="00421E5A"/>
    <w:rsid w:val="00421F99"/>
    <w:rsid w:val="00422034"/>
    <w:rsid w:val="00422086"/>
    <w:rsid w:val="0042217E"/>
    <w:rsid w:val="004221B4"/>
    <w:rsid w:val="004221EE"/>
    <w:rsid w:val="00422222"/>
    <w:rsid w:val="00422407"/>
    <w:rsid w:val="00422428"/>
    <w:rsid w:val="004225EC"/>
    <w:rsid w:val="00422789"/>
    <w:rsid w:val="00422C72"/>
    <w:rsid w:val="004230BA"/>
    <w:rsid w:val="004231B9"/>
    <w:rsid w:val="00423314"/>
    <w:rsid w:val="00423418"/>
    <w:rsid w:val="00423979"/>
    <w:rsid w:val="004239B3"/>
    <w:rsid w:val="00423A6F"/>
    <w:rsid w:val="00423AF4"/>
    <w:rsid w:val="00423C9D"/>
    <w:rsid w:val="00424327"/>
    <w:rsid w:val="00424437"/>
    <w:rsid w:val="004244B1"/>
    <w:rsid w:val="004247D5"/>
    <w:rsid w:val="004248B2"/>
    <w:rsid w:val="0042494A"/>
    <w:rsid w:val="004249B8"/>
    <w:rsid w:val="00424BE8"/>
    <w:rsid w:val="00424C81"/>
    <w:rsid w:val="00424CEC"/>
    <w:rsid w:val="0042508E"/>
    <w:rsid w:val="004250A7"/>
    <w:rsid w:val="004251C5"/>
    <w:rsid w:val="004254CE"/>
    <w:rsid w:val="004255CB"/>
    <w:rsid w:val="00425713"/>
    <w:rsid w:val="0042575D"/>
    <w:rsid w:val="00425888"/>
    <w:rsid w:val="004258F6"/>
    <w:rsid w:val="004259CB"/>
    <w:rsid w:val="00425A7E"/>
    <w:rsid w:val="00425BD9"/>
    <w:rsid w:val="00425E63"/>
    <w:rsid w:val="00425F35"/>
    <w:rsid w:val="00425FAB"/>
    <w:rsid w:val="00425FB9"/>
    <w:rsid w:val="00425FCE"/>
    <w:rsid w:val="00425FD6"/>
    <w:rsid w:val="004261A1"/>
    <w:rsid w:val="0042620E"/>
    <w:rsid w:val="00426274"/>
    <w:rsid w:val="00426310"/>
    <w:rsid w:val="004266F2"/>
    <w:rsid w:val="004269AB"/>
    <w:rsid w:val="00426A70"/>
    <w:rsid w:val="00426F36"/>
    <w:rsid w:val="00426FB6"/>
    <w:rsid w:val="00427050"/>
    <w:rsid w:val="00427137"/>
    <w:rsid w:val="004272CA"/>
    <w:rsid w:val="004272CD"/>
    <w:rsid w:val="00427309"/>
    <w:rsid w:val="00427493"/>
    <w:rsid w:val="0042756E"/>
    <w:rsid w:val="00427628"/>
    <w:rsid w:val="0042762E"/>
    <w:rsid w:val="0042777B"/>
    <w:rsid w:val="00427A3E"/>
    <w:rsid w:val="00427B35"/>
    <w:rsid w:val="00427D5E"/>
    <w:rsid w:val="00427F98"/>
    <w:rsid w:val="00427FF4"/>
    <w:rsid w:val="0043006E"/>
    <w:rsid w:val="004301E7"/>
    <w:rsid w:val="0043026F"/>
    <w:rsid w:val="0043041A"/>
    <w:rsid w:val="0043052A"/>
    <w:rsid w:val="0043053A"/>
    <w:rsid w:val="0043058F"/>
    <w:rsid w:val="00430611"/>
    <w:rsid w:val="0043065C"/>
    <w:rsid w:val="00430778"/>
    <w:rsid w:val="00430883"/>
    <w:rsid w:val="00430A0C"/>
    <w:rsid w:val="00430AA7"/>
    <w:rsid w:val="00430DA7"/>
    <w:rsid w:val="00430F21"/>
    <w:rsid w:val="00430F36"/>
    <w:rsid w:val="0043115F"/>
    <w:rsid w:val="00431176"/>
    <w:rsid w:val="0043117D"/>
    <w:rsid w:val="0043142E"/>
    <w:rsid w:val="0043146C"/>
    <w:rsid w:val="004314DA"/>
    <w:rsid w:val="0043173E"/>
    <w:rsid w:val="00431859"/>
    <w:rsid w:val="00431AF3"/>
    <w:rsid w:val="00431C1C"/>
    <w:rsid w:val="00431CFC"/>
    <w:rsid w:val="00431D72"/>
    <w:rsid w:val="00431E11"/>
    <w:rsid w:val="00431F7F"/>
    <w:rsid w:val="0043205F"/>
    <w:rsid w:val="00432211"/>
    <w:rsid w:val="00432215"/>
    <w:rsid w:val="0043225D"/>
    <w:rsid w:val="00432392"/>
    <w:rsid w:val="004324E5"/>
    <w:rsid w:val="00432556"/>
    <w:rsid w:val="004325B9"/>
    <w:rsid w:val="0043291D"/>
    <w:rsid w:val="004329F9"/>
    <w:rsid w:val="00433005"/>
    <w:rsid w:val="004332E0"/>
    <w:rsid w:val="0043356E"/>
    <w:rsid w:val="0043394F"/>
    <w:rsid w:val="00433A30"/>
    <w:rsid w:val="00433C0B"/>
    <w:rsid w:val="00433C17"/>
    <w:rsid w:val="00433CBA"/>
    <w:rsid w:val="00433D45"/>
    <w:rsid w:val="0043400B"/>
    <w:rsid w:val="00434673"/>
    <w:rsid w:val="004348FC"/>
    <w:rsid w:val="00434A1E"/>
    <w:rsid w:val="00434B45"/>
    <w:rsid w:val="00434D4D"/>
    <w:rsid w:val="0043538E"/>
    <w:rsid w:val="0043548C"/>
    <w:rsid w:val="004354A5"/>
    <w:rsid w:val="004355D5"/>
    <w:rsid w:val="0043596D"/>
    <w:rsid w:val="00435A47"/>
    <w:rsid w:val="00435B28"/>
    <w:rsid w:val="00435B2D"/>
    <w:rsid w:val="00435BB9"/>
    <w:rsid w:val="00435C7C"/>
    <w:rsid w:val="00435EB9"/>
    <w:rsid w:val="00436009"/>
    <w:rsid w:val="00436031"/>
    <w:rsid w:val="0043613C"/>
    <w:rsid w:val="00436163"/>
    <w:rsid w:val="004361F0"/>
    <w:rsid w:val="0043632A"/>
    <w:rsid w:val="00436652"/>
    <w:rsid w:val="004368CE"/>
    <w:rsid w:val="00436917"/>
    <w:rsid w:val="00436940"/>
    <w:rsid w:val="00436A90"/>
    <w:rsid w:val="00436D77"/>
    <w:rsid w:val="00436D7C"/>
    <w:rsid w:val="00436E1D"/>
    <w:rsid w:val="00436E2B"/>
    <w:rsid w:val="00436F1F"/>
    <w:rsid w:val="00436FD8"/>
    <w:rsid w:val="00436FE7"/>
    <w:rsid w:val="0043701D"/>
    <w:rsid w:val="0043730E"/>
    <w:rsid w:val="0043759B"/>
    <w:rsid w:val="004375D6"/>
    <w:rsid w:val="00437651"/>
    <w:rsid w:val="0043776C"/>
    <w:rsid w:val="0043789A"/>
    <w:rsid w:val="00437921"/>
    <w:rsid w:val="004379D9"/>
    <w:rsid w:val="00437C92"/>
    <w:rsid w:val="0044013E"/>
    <w:rsid w:val="00440406"/>
    <w:rsid w:val="0044042B"/>
    <w:rsid w:val="0044056F"/>
    <w:rsid w:val="004408C0"/>
    <w:rsid w:val="00440B17"/>
    <w:rsid w:val="00440B26"/>
    <w:rsid w:val="00440C47"/>
    <w:rsid w:val="00440C74"/>
    <w:rsid w:val="00440E10"/>
    <w:rsid w:val="00440E47"/>
    <w:rsid w:val="00440F32"/>
    <w:rsid w:val="004410CC"/>
    <w:rsid w:val="004411CA"/>
    <w:rsid w:val="00441255"/>
    <w:rsid w:val="004414DF"/>
    <w:rsid w:val="004416EF"/>
    <w:rsid w:val="00441772"/>
    <w:rsid w:val="00441B1F"/>
    <w:rsid w:val="00441C26"/>
    <w:rsid w:val="00441C97"/>
    <w:rsid w:val="00441DFE"/>
    <w:rsid w:val="00441F01"/>
    <w:rsid w:val="004420C8"/>
    <w:rsid w:val="0044214E"/>
    <w:rsid w:val="00442378"/>
    <w:rsid w:val="004423AC"/>
    <w:rsid w:val="004425B2"/>
    <w:rsid w:val="004425CB"/>
    <w:rsid w:val="004426A1"/>
    <w:rsid w:val="004426BA"/>
    <w:rsid w:val="0044271D"/>
    <w:rsid w:val="004427B3"/>
    <w:rsid w:val="004428B3"/>
    <w:rsid w:val="004428F5"/>
    <w:rsid w:val="00442B7D"/>
    <w:rsid w:val="00442CB3"/>
    <w:rsid w:val="00442D44"/>
    <w:rsid w:val="00442DD7"/>
    <w:rsid w:val="00442E06"/>
    <w:rsid w:val="00442F52"/>
    <w:rsid w:val="004430B1"/>
    <w:rsid w:val="004430ED"/>
    <w:rsid w:val="0044320B"/>
    <w:rsid w:val="004432D9"/>
    <w:rsid w:val="00443314"/>
    <w:rsid w:val="0044351A"/>
    <w:rsid w:val="00443585"/>
    <w:rsid w:val="004436B8"/>
    <w:rsid w:val="004436E8"/>
    <w:rsid w:val="004439E7"/>
    <w:rsid w:val="00443A3C"/>
    <w:rsid w:val="00443ACC"/>
    <w:rsid w:val="00443B1D"/>
    <w:rsid w:val="00443B2C"/>
    <w:rsid w:val="00443BE6"/>
    <w:rsid w:val="00443F8F"/>
    <w:rsid w:val="004441BE"/>
    <w:rsid w:val="00444299"/>
    <w:rsid w:val="0044433A"/>
    <w:rsid w:val="00444454"/>
    <w:rsid w:val="00444819"/>
    <w:rsid w:val="00444ADE"/>
    <w:rsid w:val="00444B1A"/>
    <w:rsid w:val="00444B21"/>
    <w:rsid w:val="00444DF2"/>
    <w:rsid w:val="00444EA9"/>
    <w:rsid w:val="004450DB"/>
    <w:rsid w:val="00445156"/>
    <w:rsid w:val="00445293"/>
    <w:rsid w:val="004452DB"/>
    <w:rsid w:val="0044561B"/>
    <w:rsid w:val="004456F2"/>
    <w:rsid w:val="00445771"/>
    <w:rsid w:val="00445783"/>
    <w:rsid w:val="004458DC"/>
    <w:rsid w:val="00445901"/>
    <w:rsid w:val="00445921"/>
    <w:rsid w:val="00445AD3"/>
    <w:rsid w:val="00445D40"/>
    <w:rsid w:val="00445DF9"/>
    <w:rsid w:val="00445E2E"/>
    <w:rsid w:val="00446160"/>
    <w:rsid w:val="0044660A"/>
    <w:rsid w:val="00446672"/>
    <w:rsid w:val="004468A0"/>
    <w:rsid w:val="004468C6"/>
    <w:rsid w:val="00446988"/>
    <w:rsid w:val="004469CB"/>
    <w:rsid w:val="00446B88"/>
    <w:rsid w:val="00446BAD"/>
    <w:rsid w:val="00446BE7"/>
    <w:rsid w:val="00446D41"/>
    <w:rsid w:val="00446D57"/>
    <w:rsid w:val="00446D9A"/>
    <w:rsid w:val="00446E0A"/>
    <w:rsid w:val="00447009"/>
    <w:rsid w:val="004470C9"/>
    <w:rsid w:val="00447340"/>
    <w:rsid w:val="004473CA"/>
    <w:rsid w:val="004473FE"/>
    <w:rsid w:val="004474A5"/>
    <w:rsid w:val="004475DD"/>
    <w:rsid w:val="00447C6F"/>
    <w:rsid w:val="00447EA3"/>
    <w:rsid w:val="00447F09"/>
    <w:rsid w:val="0045006F"/>
    <w:rsid w:val="00450097"/>
    <w:rsid w:val="00450354"/>
    <w:rsid w:val="00450510"/>
    <w:rsid w:val="00450684"/>
    <w:rsid w:val="00450AFA"/>
    <w:rsid w:val="00450C87"/>
    <w:rsid w:val="00450CBF"/>
    <w:rsid w:val="00450D13"/>
    <w:rsid w:val="00450FCD"/>
    <w:rsid w:val="0045102E"/>
    <w:rsid w:val="00451065"/>
    <w:rsid w:val="004511A7"/>
    <w:rsid w:val="00451306"/>
    <w:rsid w:val="004513E8"/>
    <w:rsid w:val="004515C1"/>
    <w:rsid w:val="00451612"/>
    <w:rsid w:val="00451A7A"/>
    <w:rsid w:val="00451C12"/>
    <w:rsid w:val="00451C4F"/>
    <w:rsid w:val="00451F0E"/>
    <w:rsid w:val="00452016"/>
    <w:rsid w:val="00452230"/>
    <w:rsid w:val="0045229A"/>
    <w:rsid w:val="00452310"/>
    <w:rsid w:val="00452587"/>
    <w:rsid w:val="00452680"/>
    <w:rsid w:val="00452689"/>
    <w:rsid w:val="004526CB"/>
    <w:rsid w:val="00452977"/>
    <w:rsid w:val="004529B1"/>
    <w:rsid w:val="00452CD3"/>
    <w:rsid w:val="00452F38"/>
    <w:rsid w:val="0045313C"/>
    <w:rsid w:val="004531A1"/>
    <w:rsid w:val="00453353"/>
    <w:rsid w:val="0045346A"/>
    <w:rsid w:val="004534C0"/>
    <w:rsid w:val="004534EB"/>
    <w:rsid w:val="0045354F"/>
    <w:rsid w:val="00453554"/>
    <w:rsid w:val="004535B9"/>
    <w:rsid w:val="004535E6"/>
    <w:rsid w:val="004536BC"/>
    <w:rsid w:val="004537C0"/>
    <w:rsid w:val="004538D1"/>
    <w:rsid w:val="00453962"/>
    <w:rsid w:val="00453B6F"/>
    <w:rsid w:val="00453B71"/>
    <w:rsid w:val="00454063"/>
    <w:rsid w:val="0045495A"/>
    <w:rsid w:val="00454B3F"/>
    <w:rsid w:val="00454C94"/>
    <w:rsid w:val="00454D3D"/>
    <w:rsid w:val="00454E03"/>
    <w:rsid w:val="00454E5A"/>
    <w:rsid w:val="00454F0C"/>
    <w:rsid w:val="004553CF"/>
    <w:rsid w:val="00455537"/>
    <w:rsid w:val="0045556D"/>
    <w:rsid w:val="00455594"/>
    <w:rsid w:val="0045562A"/>
    <w:rsid w:val="004557E9"/>
    <w:rsid w:val="00455986"/>
    <w:rsid w:val="00455A49"/>
    <w:rsid w:val="00455B07"/>
    <w:rsid w:val="00455B13"/>
    <w:rsid w:val="00455CC4"/>
    <w:rsid w:val="00455F4A"/>
    <w:rsid w:val="00455FD8"/>
    <w:rsid w:val="00456142"/>
    <w:rsid w:val="004562AF"/>
    <w:rsid w:val="00456434"/>
    <w:rsid w:val="0045662A"/>
    <w:rsid w:val="00456678"/>
    <w:rsid w:val="0045667F"/>
    <w:rsid w:val="004567F5"/>
    <w:rsid w:val="0045689C"/>
    <w:rsid w:val="00456980"/>
    <w:rsid w:val="004569E5"/>
    <w:rsid w:val="0045723B"/>
    <w:rsid w:val="0045752E"/>
    <w:rsid w:val="0045755E"/>
    <w:rsid w:val="004578AC"/>
    <w:rsid w:val="0045792B"/>
    <w:rsid w:val="004579DA"/>
    <w:rsid w:val="004579E2"/>
    <w:rsid w:val="00457AE8"/>
    <w:rsid w:val="00457CBE"/>
    <w:rsid w:val="00457E5A"/>
    <w:rsid w:val="00457E66"/>
    <w:rsid w:val="00457E7E"/>
    <w:rsid w:val="00457F7E"/>
    <w:rsid w:val="0046038D"/>
    <w:rsid w:val="004603A7"/>
    <w:rsid w:val="004603B4"/>
    <w:rsid w:val="004606CC"/>
    <w:rsid w:val="00460859"/>
    <w:rsid w:val="0046090C"/>
    <w:rsid w:val="004609DB"/>
    <w:rsid w:val="00460A39"/>
    <w:rsid w:val="00460AA3"/>
    <w:rsid w:val="00460ADA"/>
    <w:rsid w:val="00460C5D"/>
    <w:rsid w:val="00460E26"/>
    <w:rsid w:val="00460F0E"/>
    <w:rsid w:val="004610B3"/>
    <w:rsid w:val="00461129"/>
    <w:rsid w:val="00461218"/>
    <w:rsid w:val="0046127D"/>
    <w:rsid w:val="004614A2"/>
    <w:rsid w:val="00461630"/>
    <w:rsid w:val="00461760"/>
    <w:rsid w:val="00461784"/>
    <w:rsid w:val="004617AD"/>
    <w:rsid w:val="00461A55"/>
    <w:rsid w:val="00461BC4"/>
    <w:rsid w:val="00461BD5"/>
    <w:rsid w:val="00461C6F"/>
    <w:rsid w:val="00461E8D"/>
    <w:rsid w:val="00461F28"/>
    <w:rsid w:val="004621C1"/>
    <w:rsid w:val="0046222D"/>
    <w:rsid w:val="00462363"/>
    <w:rsid w:val="004623BD"/>
    <w:rsid w:val="0046263F"/>
    <w:rsid w:val="0046295A"/>
    <w:rsid w:val="00462961"/>
    <w:rsid w:val="004629CA"/>
    <w:rsid w:val="00462B3A"/>
    <w:rsid w:val="00462F23"/>
    <w:rsid w:val="004632EA"/>
    <w:rsid w:val="00463312"/>
    <w:rsid w:val="0046334E"/>
    <w:rsid w:val="0046336B"/>
    <w:rsid w:val="00463409"/>
    <w:rsid w:val="00463442"/>
    <w:rsid w:val="0046344F"/>
    <w:rsid w:val="00463620"/>
    <w:rsid w:val="004636BB"/>
    <w:rsid w:val="00463760"/>
    <w:rsid w:val="00463B48"/>
    <w:rsid w:val="00463B8E"/>
    <w:rsid w:val="00463C37"/>
    <w:rsid w:val="00463CAD"/>
    <w:rsid w:val="00463E38"/>
    <w:rsid w:val="00463E70"/>
    <w:rsid w:val="00463F05"/>
    <w:rsid w:val="004641EA"/>
    <w:rsid w:val="004642C0"/>
    <w:rsid w:val="00464416"/>
    <w:rsid w:val="0046458B"/>
    <w:rsid w:val="004647AE"/>
    <w:rsid w:val="00464857"/>
    <w:rsid w:val="0046493B"/>
    <w:rsid w:val="0046498B"/>
    <w:rsid w:val="004649E2"/>
    <w:rsid w:val="00464AF3"/>
    <w:rsid w:val="00464AFA"/>
    <w:rsid w:val="00464B0A"/>
    <w:rsid w:val="00464B11"/>
    <w:rsid w:val="00464C31"/>
    <w:rsid w:val="00464D22"/>
    <w:rsid w:val="00464D2A"/>
    <w:rsid w:val="00464DE5"/>
    <w:rsid w:val="00464E5F"/>
    <w:rsid w:val="00465005"/>
    <w:rsid w:val="004650B8"/>
    <w:rsid w:val="0046514F"/>
    <w:rsid w:val="00465228"/>
    <w:rsid w:val="00465285"/>
    <w:rsid w:val="004652A1"/>
    <w:rsid w:val="0046539F"/>
    <w:rsid w:val="004654DE"/>
    <w:rsid w:val="004655C1"/>
    <w:rsid w:val="004655D3"/>
    <w:rsid w:val="004655E9"/>
    <w:rsid w:val="00465758"/>
    <w:rsid w:val="0046577C"/>
    <w:rsid w:val="004657DA"/>
    <w:rsid w:val="004658F4"/>
    <w:rsid w:val="00465A40"/>
    <w:rsid w:val="00465CB9"/>
    <w:rsid w:val="00465DDD"/>
    <w:rsid w:val="00465ED1"/>
    <w:rsid w:val="00465F36"/>
    <w:rsid w:val="00466045"/>
    <w:rsid w:val="004660D3"/>
    <w:rsid w:val="004662EA"/>
    <w:rsid w:val="004663BB"/>
    <w:rsid w:val="004664B0"/>
    <w:rsid w:val="004664D2"/>
    <w:rsid w:val="00466613"/>
    <w:rsid w:val="00466C51"/>
    <w:rsid w:val="00466D53"/>
    <w:rsid w:val="00467233"/>
    <w:rsid w:val="00467255"/>
    <w:rsid w:val="004673C1"/>
    <w:rsid w:val="00467484"/>
    <w:rsid w:val="00467673"/>
    <w:rsid w:val="00467722"/>
    <w:rsid w:val="0046776F"/>
    <w:rsid w:val="004677E9"/>
    <w:rsid w:val="00467843"/>
    <w:rsid w:val="004678D4"/>
    <w:rsid w:val="00467CCB"/>
    <w:rsid w:val="00467D0E"/>
    <w:rsid w:val="00470037"/>
    <w:rsid w:val="004702E5"/>
    <w:rsid w:val="0047037B"/>
    <w:rsid w:val="004703C0"/>
    <w:rsid w:val="00470566"/>
    <w:rsid w:val="00470692"/>
    <w:rsid w:val="00470804"/>
    <w:rsid w:val="00470813"/>
    <w:rsid w:val="0047083C"/>
    <w:rsid w:val="0047092C"/>
    <w:rsid w:val="00470A5E"/>
    <w:rsid w:val="00470A79"/>
    <w:rsid w:val="00470B12"/>
    <w:rsid w:val="00470DD3"/>
    <w:rsid w:val="00470E89"/>
    <w:rsid w:val="00470EC3"/>
    <w:rsid w:val="00470F84"/>
    <w:rsid w:val="0047102E"/>
    <w:rsid w:val="0047103B"/>
    <w:rsid w:val="00471246"/>
    <w:rsid w:val="004712EB"/>
    <w:rsid w:val="0047142A"/>
    <w:rsid w:val="00471549"/>
    <w:rsid w:val="004715E2"/>
    <w:rsid w:val="004716FD"/>
    <w:rsid w:val="004718C8"/>
    <w:rsid w:val="004719F7"/>
    <w:rsid w:val="00471A04"/>
    <w:rsid w:val="00471F4A"/>
    <w:rsid w:val="004722D9"/>
    <w:rsid w:val="004723E3"/>
    <w:rsid w:val="0047250F"/>
    <w:rsid w:val="0047261C"/>
    <w:rsid w:val="004726E5"/>
    <w:rsid w:val="004727AC"/>
    <w:rsid w:val="00472B3F"/>
    <w:rsid w:val="00472BBD"/>
    <w:rsid w:val="00472CF4"/>
    <w:rsid w:val="00472E51"/>
    <w:rsid w:val="004730FF"/>
    <w:rsid w:val="004731AC"/>
    <w:rsid w:val="0047323B"/>
    <w:rsid w:val="004732E5"/>
    <w:rsid w:val="004733E1"/>
    <w:rsid w:val="0047342A"/>
    <w:rsid w:val="00473806"/>
    <w:rsid w:val="0047385C"/>
    <w:rsid w:val="00473B35"/>
    <w:rsid w:val="00473BC0"/>
    <w:rsid w:val="00473F84"/>
    <w:rsid w:val="0047433E"/>
    <w:rsid w:val="004743B1"/>
    <w:rsid w:val="00474406"/>
    <w:rsid w:val="0047458A"/>
    <w:rsid w:val="00474592"/>
    <w:rsid w:val="0047486D"/>
    <w:rsid w:val="004749FA"/>
    <w:rsid w:val="00474D4B"/>
    <w:rsid w:val="00474D9B"/>
    <w:rsid w:val="00475058"/>
    <w:rsid w:val="0047506F"/>
    <w:rsid w:val="004750BE"/>
    <w:rsid w:val="00475156"/>
    <w:rsid w:val="004751D1"/>
    <w:rsid w:val="00475359"/>
    <w:rsid w:val="0047538B"/>
    <w:rsid w:val="004755F1"/>
    <w:rsid w:val="00475838"/>
    <w:rsid w:val="0047597D"/>
    <w:rsid w:val="00475A1B"/>
    <w:rsid w:val="00475D7F"/>
    <w:rsid w:val="00475FAF"/>
    <w:rsid w:val="00476126"/>
    <w:rsid w:val="004762E5"/>
    <w:rsid w:val="00476325"/>
    <w:rsid w:val="00476388"/>
    <w:rsid w:val="004764A6"/>
    <w:rsid w:val="004764B2"/>
    <w:rsid w:val="00476670"/>
    <w:rsid w:val="004766AB"/>
    <w:rsid w:val="004766D2"/>
    <w:rsid w:val="00476858"/>
    <w:rsid w:val="0047692F"/>
    <w:rsid w:val="004769D7"/>
    <w:rsid w:val="00476AC8"/>
    <w:rsid w:val="00476B6E"/>
    <w:rsid w:val="00476BFD"/>
    <w:rsid w:val="00476D16"/>
    <w:rsid w:val="00476E03"/>
    <w:rsid w:val="00476E22"/>
    <w:rsid w:val="00476FFE"/>
    <w:rsid w:val="00477100"/>
    <w:rsid w:val="00477302"/>
    <w:rsid w:val="00477384"/>
    <w:rsid w:val="004773C9"/>
    <w:rsid w:val="00477553"/>
    <w:rsid w:val="004776AA"/>
    <w:rsid w:val="0047781A"/>
    <w:rsid w:val="00477864"/>
    <w:rsid w:val="00477943"/>
    <w:rsid w:val="0047799B"/>
    <w:rsid w:val="00477B48"/>
    <w:rsid w:val="00477C4F"/>
    <w:rsid w:val="00477C7F"/>
    <w:rsid w:val="00477CBA"/>
    <w:rsid w:val="00477DB0"/>
    <w:rsid w:val="00477E17"/>
    <w:rsid w:val="00477E8C"/>
    <w:rsid w:val="00477F83"/>
    <w:rsid w:val="00480124"/>
    <w:rsid w:val="004803EB"/>
    <w:rsid w:val="00480450"/>
    <w:rsid w:val="004804D8"/>
    <w:rsid w:val="004809E0"/>
    <w:rsid w:val="00480B06"/>
    <w:rsid w:val="00480B75"/>
    <w:rsid w:val="00480D58"/>
    <w:rsid w:val="00480E62"/>
    <w:rsid w:val="00480EC3"/>
    <w:rsid w:val="00480FA0"/>
    <w:rsid w:val="00480FC5"/>
    <w:rsid w:val="0048108B"/>
    <w:rsid w:val="004810CD"/>
    <w:rsid w:val="004810EB"/>
    <w:rsid w:val="00481242"/>
    <w:rsid w:val="00481424"/>
    <w:rsid w:val="0048151C"/>
    <w:rsid w:val="004818D2"/>
    <w:rsid w:val="00481910"/>
    <w:rsid w:val="00481964"/>
    <w:rsid w:val="004819C7"/>
    <w:rsid w:val="00481D53"/>
    <w:rsid w:val="00481E7E"/>
    <w:rsid w:val="00482066"/>
    <w:rsid w:val="00482187"/>
    <w:rsid w:val="004822DB"/>
    <w:rsid w:val="00482336"/>
    <w:rsid w:val="00482408"/>
    <w:rsid w:val="00482653"/>
    <w:rsid w:val="004826C6"/>
    <w:rsid w:val="00482964"/>
    <w:rsid w:val="00482989"/>
    <w:rsid w:val="00482A3F"/>
    <w:rsid w:val="00482B15"/>
    <w:rsid w:val="00482C01"/>
    <w:rsid w:val="00482C36"/>
    <w:rsid w:val="00482CC0"/>
    <w:rsid w:val="00482E97"/>
    <w:rsid w:val="00483062"/>
    <w:rsid w:val="0048322E"/>
    <w:rsid w:val="004832D3"/>
    <w:rsid w:val="00483636"/>
    <w:rsid w:val="004839FF"/>
    <w:rsid w:val="00483A69"/>
    <w:rsid w:val="00483B74"/>
    <w:rsid w:val="00483C3A"/>
    <w:rsid w:val="00483E46"/>
    <w:rsid w:val="0048434E"/>
    <w:rsid w:val="00484556"/>
    <w:rsid w:val="00484601"/>
    <w:rsid w:val="004847DE"/>
    <w:rsid w:val="0048499B"/>
    <w:rsid w:val="00484C6D"/>
    <w:rsid w:val="004852B1"/>
    <w:rsid w:val="00485346"/>
    <w:rsid w:val="004854A4"/>
    <w:rsid w:val="004856E5"/>
    <w:rsid w:val="00485742"/>
    <w:rsid w:val="00485758"/>
    <w:rsid w:val="004857E0"/>
    <w:rsid w:val="004858EE"/>
    <w:rsid w:val="00485971"/>
    <w:rsid w:val="00485A1B"/>
    <w:rsid w:val="00485AA4"/>
    <w:rsid w:val="00485BC0"/>
    <w:rsid w:val="00485D1C"/>
    <w:rsid w:val="00485D2D"/>
    <w:rsid w:val="00485DE1"/>
    <w:rsid w:val="00485E09"/>
    <w:rsid w:val="00485ECA"/>
    <w:rsid w:val="00485F2F"/>
    <w:rsid w:val="00485F58"/>
    <w:rsid w:val="00485FA4"/>
    <w:rsid w:val="004867A3"/>
    <w:rsid w:val="0048690F"/>
    <w:rsid w:val="00486A67"/>
    <w:rsid w:val="00486A75"/>
    <w:rsid w:val="00486B59"/>
    <w:rsid w:val="00486CBF"/>
    <w:rsid w:val="00486D1F"/>
    <w:rsid w:val="00486D27"/>
    <w:rsid w:val="00486DAD"/>
    <w:rsid w:val="00486E24"/>
    <w:rsid w:val="00487056"/>
    <w:rsid w:val="0048707C"/>
    <w:rsid w:val="004870D1"/>
    <w:rsid w:val="0048720C"/>
    <w:rsid w:val="004873CF"/>
    <w:rsid w:val="0048756C"/>
    <w:rsid w:val="0048757A"/>
    <w:rsid w:val="004876E1"/>
    <w:rsid w:val="00487758"/>
    <w:rsid w:val="004877A0"/>
    <w:rsid w:val="004878EA"/>
    <w:rsid w:val="00487B3C"/>
    <w:rsid w:val="00487D59"/>
    <w:rsid w:val="00487DD4"/>
    <w:rsid w:val="00487F2C"/>
    <w:rsid w:val="00487F2E"/>
    <w:rsid w:val="00490129"/>
    <w:rsid w:val="00490140"/>
    <w:rsid w:val="0049018A"/>
    <w:rsid w:val="004903B0"/>
    <w:rsid w:val="0049055A"/>
    <w:rsid w:val="004905B2"/>
    <w:rsid w:val="0049077E"/>
    <w:rsid w:val="00490815"/>
    <w:rsid w:val="00490A82"/>
    <w:rsid w:val="00490C77"/>
    <w:rsid w:val="00490CCF"/>
    <w:rsid w:val="00490DE2"/>
    <w:rsid w:val="00490E61"/>
    <w:rsid w:val="00490E8A"/>
    <w:rsid w:val="00490FBE"/>
    <w:rsid w:val="0049102A"/>
    <w:rsid w:val="00491171"/>
    <w:rsid w:val="0049125A"/>
    <w:rsid w:val="0049130A"/>
    <w:rsid w:val="0049144D"/>
    <w:rsid w:val="00491473"/>
    <w:rsid w:val="004914BD"/>
    <w:rsid w:val="00491581"/>
    <w:rsid w:val="0049176A"/>
    <w:rsid w:val="004917BF"/>
    <w:rsid w:val="00491AEE"/>
    <w:rsid w:val="00491DA0"/>
    <w:rsid w:val="00491EE2"/>
    <w:rsid w:val="00491FB0"/>
    <w:rsid w:val="00491FF4"/>
    <w:rsid w:val="0049203F"/>
    <w:rsid w:val="0049216A"/>
    <w:rsid w:val="0049217A"/>
    <w:rsid w:val="004921B4"/>
    <w:rsid w:val="00492453"/>
    <w:rsid w:val="00492642"/>
    <w:rsid w:val="0049265A"/>
    <w:rsid w:val="004926AC"/>
    <w:rsid w:val="00492818"/>
    <w:rsid w:val="004929FD"/>
    <w:rsid w:val="00492A22"/>
    <w:rsid w:val="00492DF3"/>
    <w:rsid w:val="00492FDD"/>
    <w:rsid w:val="00493118"/>
    <w:rsid w:val="0049319F"/>
    <w:rsid w:val="00493404"/>
    <w:rsid w:val="00493595"/>
    <w:rsid w:val="004935B2"/>
    <w:rsid w:val="00493C33"/>
    <w:rsid w:val="00493C74"/>
    <w:rsid w:val="00493CF9"/>
    <w:rsid w:val="00493E4D"/>
    <w:rsid w:val="00493EB8"/>
    <w:rsid w:val="00493F15"/>
    <w:rsid w:val="00493F3A"/>
    <w:rsid w:val="00493F57"/>
    <w:rsid w:val="0049401A"/>
    <w:rsid w:val="00494113"/>
    <w:rsid w:val="00494271"/>
    <w:rsid w:val="00494296"/>
    <w:rsid w:val="0049450E"/>
    <w:rsid w:val="00494846"/>
    <w:rsid w:val="00494881"/>
    <w:rsid w:val="004948CA"/>
    <w:rsid w:val="004949E4"/>
    <w:rsid w:val="00494AD7"/>
    <w:rsid w:val="00494B41"/>
    <w:rsid w:val="00494BA8"/>
    <w:rsid w:val="00494D57"/>
    <w:rsid w:val="00494D8F"/>
    <w:rsid w:val="00494EFC"/>
    <w:rsid w:val="00494F2F"/>
    <w:rsid w:val="00494F7D"/>
    <w:rsid w:val="00495091"/>
    <w:rsid w:val="00495139"/>
    <w:rsid w:val="0049514E"/>
    <w:rsid w:val="004951E5"/>
    <w:rsid w:val="004952E5"/>
    <w:rsid w:val="0049574D"/>
    <w:rsid w:val="00495879"/>
    <w:rsid w:val="004958A3"/>
    <w:rsid w:val="0049591C"/>
    <w:rsid w:val="00495AAE"/>
    <w:rsid w:val="00495E0D"/>
    <w:rsid w:val="00495F87"/>
    <w:rsid w:val="004960F6"/>
    <w:rsid w:val="00496313"/>
    <w:rsid w:val="0049649A"/>
    <w:rsid w:val="00496517"/>
    <w:rsid w:val="0049667D"/>
    <w:rsid w:val="004967BA"/>
    <w:rsid w:val="00496800"/>
    <w:rsid w:val="004968B9"/>
    <w:rsid w:val="004968BF"/>
    <w:rsid w:val="004968C2"/>
    <w:rsid w:val="0049696D"/>
    <w:rsid w:val="004969C1"/>
    <w:rsid w:val="00496BE4"/>
    <w:rsid w:val="00496C63"/>
    <w:rsid w:val="00496D72"/>
    <w:rsid w:val="00496DEF"/>
    <w:rsid w:val="00496F11"/>
    <w:rsid w:val="00497072"/>
    <w:rsid w:val="004970BD"/>
    <w:rsid w:val="0049716D"/>
    <w:rsid w:val="00497215"/>
    <w:rsid w:val="004973A1"/>
    <w:rsid w:val="00497485"/>
    <w:rsid w:val="004974F8"/>
    <w:rsid w:val="0049768F"/>
    <w:rsid w:val="00497986"/>
    <w:rsid w:val="00497F0E"/>
    <w:rsid w:val="004A0031"/>
    <w:rsid w:val="004A0225"/>
    <w:rsid w:val="004A0228"/>
    <w:rsid w:val="004A0372"/>
    <w:rsid w:val="004A03F9"/>
    <w:rsid w:val="004A04A4"/>
    <w:rsid w:val="004A0502"/>
    <w:rsid w:val="004A0622"/>
    <w:rsid w:val="004A08A6"/>
    <w:rsid w:val="004A08AD"/>
    <w:rsid w:val="004A0E69"/>
    <w:rsid w:val="004A1032"/>
    <w:rsid w:val="004A10D6"/>
    <w:rsid w:val="004A141D"/>
    <w:rsid w:val="004A14BC"/>
    <w:rsid w:val="004A14ED"/>
    <w:rsid w:val="004A153E"/>
    <w:rsid w:val="004A17F4"/>
    <w:rsid w:val="004A1946"/>
    <w:rsid w:val="004A19BD"/>
    <w:rsid w:val="004A1A7E"/>
    <w:rsid w:val="004A1C52"/>
    <w:rsid w:val="004A2004"/>
    <w:rsid w:val="004A21F6"/>
    <w:rsid w:val="004A2290"/>
    <w:rsid w:val="004A229C"/>
    <w:rsid w:val="004A2446"/>
    <w:rsid w:val="004A245C"/>
    <w:rsid w:val="004A2711"/>
    <w:rsid w:val="004A27D0"/>
    <w:rsid w:val="004A288A"/>
    <w:rsid w:val="004A2B7E"/>
    <w:rsid w:val="004A2B8D"/>
    <w:rsid w:val="004A2C10"/>
    <w:rsid w:val="004A2E16"/>
    <w:rsid w:val="004A2EE8"/>
    <w:rsid w:val="004A3034"/>
    <w:rsid w:val="004A306E"/>
    <w:rsid w:val="004A3185"/>
    <w:rsid w:val="004A31DB"/>
    <w:rsid w:val="004A3239"/>
    <w:rsid w:val="004A3275"/>
    <w:rsid w:val="004A32AD"/>
    <w:rsid w:val="004A3486"/>
    <w:rsid w:val="004A3532"/>
    <w:rsid w:val="004A3554"/>
    <w:rsid w:val="004A36DD"/>
    <w:rsid w:val="004A36FF"/>
    <w:rsid w:val="004A393A"/>
    <w:rsid w:val="004A3991"/>
    <w:rsid w:val="004A39EC"/>
    <w:rsid w:val="004A3ACF"/>
    <w:rsid w:val="004A3B50"/>
    <w:rsid w:val="004A3D4B"/>
    <w:rsid w:val="004A3DC8"/>
    <w:rsid w:val="004A3FEF"/>
    <w:rsid w:val="004A40CC"/>
    <w:rsid w:val="004A42B5"/>
    <w:rsid w:val="004A4376"/>
    <w:rsid w:val="004A43CE"/>
    <w:rsid w:val="004A45B2"/>
    <w:rsid w:val="004A45ED"/>
    <w:rsid w:val="004A4657"/>
    <w:rsid w:val="004A4666"/>
    <w:rsid w:val="004A46DE"/>
    <w:rsid w:val="004A4740"/>
    <w:rsid w:val="004A489C"/>
    <w:rsid w:val="004A49D8"/>
    <w:rsid w:val="004A4A37"/>
    <w:rsid w:val="004A4C1F"/>
    <w:rsid w:val="004A4C71"/>
    <w:rsid w:val="004A4CEC"/>
    <w:rsid w:val="004A4D62"/>
    <w:rsid w:val="004A4DC8"/>
    <w:rsid w:val="004A4E90"/>
    <w:rsid w:val="004A509B"/>
    <w:rsid w:val="004A5105"/>
    <w:rsid w:val="004A514F"/>
    <w:rsid w:val="004A51BF"/>
    <w:rsid w:val="004A52E3"/>
    <w:rsid w:val="004A5318"/>
    <w:rsid w:val="004A5457"/>
    <w:rsid w:val="004A555F"/>
    <w:rsid w:val="004A55A8"/>
    <w:rsid w:val="004A57A6"/>
    <w:rsid w:val="004A5A89"/>
    <w:rsid w:val="004A5AA6"/>
    <w:rsid w:val="004A5C90"/>
    <w:rsid w:val="004A5D61"/>
    <w:rsid w:val="004A5F5A"/>
    <w:rsid w:val="004A5F94"/>
    <w:rsid w:val="004A6003"/>
    <w:rsid w:val="004A62B8"/>
    <w:rsid w:val="004A62CC"/>
    <w:rsid w:val="004A63AE"/>
    <w:rsid w:val="004A6754"/>
    <w:rsid w:val="004A675C"/>
    <w:rsid w:val="004A678D"/>
    <w:rsid w:val="004A699F"/>
    <w:rsid w:val="004A69A5"/>
    <w:rsid w:val="004A6A92"/>
    <w:rsid w:val="004A6C02"/>
    <w:rsid w:val="004A6FAD"/>
    <w:rsid w:val="004A6FE2"/>
    <w:rsid w:val="004A7254"/>
    <w:rsid w:val="004A73BB"/>
    <w:rsid w:val="004A7600"/>
    <w:rsid w:val="004A7624"/>
    <w:rsid w:val="004A77F0"/>
    <w:rsid w:val="004A7AD0"/>
    <w:rsid w:val="004A7BC3"/>
    <w:rsid w:val="004A7BDC"/>
    <w:rsid w:val="004A7CD1"/>
    <w:rsid w:val="004A7E2B"/>
    <w:rsid w:val="004A7E42"/>
    <w:rsid w:val="004B00D5"/>
    <w:rsid w:val="004B030D"/>
    <w:rsid w:val="004B0364"/>
    <w:rsid w:val="004B0432"/>
    <w:rsid w:val="004B0626"/>
    <w:rsid w:val="004B093A"/>
    <w:rsid w:val="004B095D"/>
    <w:rsid w:val="004B0A45"/>
    <w:rsid w:val="004B0B26"/>
    <w:rsid w:val="004B0BAF"/>
    <w:rsid w:val="004B0CBC"/>
    <w:rsid w:val="004B0CC6"/>
    <w:rsid w:val="004B0CC7"/>
    <w:rsid w:val="004B0D85"/>
    <w:rsid w:val="004B0DD1"/>
    <w:rsid w:val="004B0DEA"/>
    <w:rsid w:val="004B0E0B"/>
    <w:rsid w:val="004B11B2"/>
    <w:rsid w:val="004B16DD"/>
    <w:rsid w:val="004B177C"/>
    <w:rsid w:val="004B1788"/>
    <w:rsid w:val="004B1C17"/>
    <w:rsid w:val="004B1C54"/>
    <w:rsid w:val="004B1CA1"/>
    <w:rsid w:val="004B1E25"/>
    <w:rsid w:val="004B1FCD"/>
    <w:rsid w:val="004B20AD"/>
    <w:rsid w:val="004B223A"/>
    <w:rsid w:val="004B2321"/>
    <w:rsid w:val="004B23F8"/>
    <w:rsid w:val="004B23FB"/>
    <w:rsid w:val="004B2464"/>
    <w:rsid w:val="004B27FC"/>
    <w:rsid w:val="004B283D"/>
    <w:rsid w:val="004B28D7"/>
    <w:rsid w:val="004B29E8"/>
    <w:rsid w:val="004B2A02"/>
    <w:rsid w:val="004B2B32"/>
    <w:rsid w:val="004B2DCE"/>
    <w:rsid w:val="004B2E36"/>
    <w:rsid w:val="004B2F48"/>
    <w:rsid w:val="004B303D"/>
    <w:rsid w:val="004B3043"/>
    <w:rsid w:val="004B31E3"/>
    <w:rsid w:val="004B34F8"/>
    <w:rsid w:val="004B359D"/>
    <w:rsid w:val="004B35A8"/>
    <w:rsid w:val="004B35EB"/>
    <w:rsid w:val="004B36EF"/>
    <w:rsid w:val="004B3704"/>
    <w:rsid w:val="004B37A4"/>
    <w:rsid w:val="004B38BE"/>
    <w:rsid w:val="004B395A"/>
    <w:rsid w:val="004B3ABB"/>
    <w:rsid w:val="004B3CEF"/>
    <w:rsid w:val="004B3D47"/>
    <w:rsid w:val="004B3D4B"/>
    <w:rsid w:val="004B3D87"/>
    <w:rsid w:val="004B3DEB"/>
    <w:rsid w:val="004B3E55"/>
    <w:rsid w:val="004B3E97"/>
    <w:rsid w:val="004B3FC7"/>
    <w:rsid w:val="004B406D"/>
    <w:rsid w:val="004B4235"/>
    <w:rsid w:val="004B426D"/>
    <w:rsid w:val="004B435D"/>
    <w:rsid w:val="004B43EC"/>
    <w:rsid w:val="004B4564"/>
    <w:rsid w:val="004B476A"/>
    <w:rsid w:val="004B477A"/>
    <w:rsid w:val="004B4B03"/>
    <w:rsid w:val="004B4E2E"/>
    <w:rsid w:val="004B4E59"/>
    <w:rsid w:val="004B4E99"/>
    <w:rsid w:val="004B50D8"/>
    <w:rsid w:val="004B5178"/>
    <w:rsid w:val="004B53C5"/>
    <w:rsid w:val="004B53F8"/>
    <w:rsid w:val="004B54AA"/>
    <w:rsid w:val="004B5553"/>
    <w:rsid w:val="004B55E8"/>
    <w:rsid w:val="004B565C"/>
    <w:rsid w:val="004B5679"/>
    <w:rsid w:val="004B5740"/>
    <w:rsid w:val="004B57FA"/>
    <w:rsid w:val="004B583C"/>
    <w:rsid w:val="004B58D4"/>
    <w:rsid w:val="004B5E06"/>
    <w:rsid w:val="004B5E9F"/>
    <w:rsid w:val="004B5F17"/>
    <w:rsid w:val="004B6214"/>
    <w:rsid w:val="004B6259"/>
    <w:rsid w:val="004B62AE"/>
    <w:rsid w:val="004B6388"/>
    <w:rsid w:val="004B63B8"/>
    <w:rsid w:val="004B6598"/>
    <w:rsid w:val="004B6675"/>
    <w:rsid w:val="004B6850"/>
    <w:rsid w:val="004B6882"/>
    <w:rsid w:val="004B6997"/>
    <w:rsid w:val="004B69D4"/>
    <w:rsid w:val="004B6ACE"/>
    <w:rsid w:val="004B6AE3"/>
    <w:rsid w:val="004B6E6C"/>
    <w:rsid w:val="004B6F8E"/>
    <w:rsid w:val="004B70F5"/>
    <w:rsid w:val="004B719D"/>
    <w:rsid w:val="004B7280"/>
    <w:rsid w:val="004B72B3"/>
    <w:rsid w:val="004B73D3"/>
    <w:rsid w:val="004B7631"/>
    <w:rsid w:val="004B779D"/>
    <w:rsid w:val="004B77CC"/>
    <w:rsid w:val="004B786A"/>
    <w:rsid w:val="004B7952"/>
    <w:rsid w:val="004B7978"/>
    <w:rsid w:val="004B7B30"/>
    <w:rsid w:val="004B7D95"/>
    <w:rsid w:val="004B7DB7"/>
    <w:rsid w:val="004B7F16"/>
    <w:rsid w:val="004B7F6A"/>
    <w:rsid w:val="004C005C"/>
    <w:rsid w:val="004C0069"/>
    <w:rsid w:val="004C00B9"/>
    <w:rsid w:val="004C0248"/>
    <w:rsid w:val="004C0586"/>
    <w:rsid w:val="004C06B7"/>
    <w:rsid w:val="004C0815"/>
    <w:rsid w:val="004C0C32"/>
    <w:rsid w:val="004C0C51"/>
    <w:rsid w:val="004C0D1A"/>
    <w:rsid w:val="004C1280"/>
    <w:rsid w:val="004C12A9"/>
    <w:rsid w:val="004C15ED"/>
    <w:rsid w:val="004C16F0"/>
    <w:rsid w:val="004C1749"/>
    <w:rsid w:val="004C17A8"/>
    <w:rsid w:val="004C1850"/>
    <w:rsid w:val="004C1E72"/>
    <w:rsid w:val="004C1EC0"/>
    <w:rsid w:val="004C20E5"/>
    <w:rsid w:val="004C215E"/>
    <w:rsid w:val="004C2260"/>
    <w:rsid w:val="004C28F7"/>
    <w:rsid w:val="004C2B01"/>
    <w:rsid w:val="004C2C8F"/>
    <w:rsid w:val="004C2CDC"/>
    <w:rsid w:val="004C2E15"/>
    <w:rsid w:val="004C2E1C"/>
    <w:rsid w:val="004C3017"/>
    <w:rsid w:val="004C34D9"/>
    <w:rsid w:val="004C3556"/>
    <w:rsid w:val="004C3668"/>
    <w:rsid w:val="004C3737"/>
    <w:rsid w:val="004C3ACD"/>
    <w:rsid w:val="004C3E6E"/>
    <w:rsid w:val="004C3EF8"/>
    <w:rsid w:val="004C3F6A"/>
    <w:rsid w:val="004C3FBB"/>
    <w:rsid w:val="004C40A3"/>
    <w:rsid w:val="004C41B2"/>
    <w:rsid w:val="004C442C"/>
    <w:rsid w:val="004C456B"/>
    <w:rsid w:val="004C4695"/>
    <w:rsid w:val="004C4878"/>
    <w:rsid w:val="004C4879"/>
    <w:rsid w:val="004C4967"/>
    <w:rsid w:val="004C49E1"/>
    <w:rsid w:val="004C4AD4"/>
    <w:rsid w:val="004C4B79"/>
    <w:rsid w:val="004C4BCE"/>
    <w:rsid w:val="004C4D86"/>
    <w:rsid w:val="004C4E4E"/>
    <w:rsid w:val="004C4EA7"/>
    <w:rsid w:val="004C5026"/>
    <w:rsid w:val="004C50FC"/>
    <w:rsid w:val="004C5159"/>
    <w:rsid w:val="004C5286"/>
    <w:rsid w:val="004C5303"/>
    <w:rsid w:val="004C531A"/>
    <w:rsid w:val="004C539D"/>
    <w:rsid w:val="004C53DE"/>
    <w:rsid w:val="004C5556"/>
    <w:rsid w:val="004C5865"/>
    <w:rsid w:val="004C5910"/>
    <w:rsid w:val="004C5933"/>
    <w:rsid w:val="004C5A12"/>
    <w:rsid w:val="004C5BE3"/>
    <w:rsid w:val="004C5C69"/>
    <w:rsid w:val="004C600E"/>
    <w:rsid w:val="004C63D2"/>
    <w:rsid w:val="004C6665"/>
    <w:rsid w:val="004C6754"/>
    <w:rsid w:val="004C6962"/>
    <w:rsid w:val="004C6A75"/>
    <w:rsid w:val="004C6AED"/>
    <w:rsid w:val="004C6BCB"/>
    <w:rsid w:val="004C6C10"/>
    <w:rsid w:val="004C6D5C"/>
    <w:rsid w:val="004C6E3F"/>
    <w:rsid w:val="004C6EB0"/>
    <w:rsid w:val="004C6F83"/>
    <w:rsid w:val="004C711B"/>
    <w:rsid w:val="004C73DA"/>
    <w:rsid w:val="004C7408"/>
    <w:rsid w:val="004C7511"/>
    <w:rsid w:val="004C7519"/>
    <w:rsid w:val="004C772B"/>
    <w:rsid w:val="004C7759"/>
    <w:rsid w:val="004C7837"/>
    <w:rsid w:val="004C7920"/>
    <w:rsid w:val="004C7E3B"/>
    <w:rsid w:val="004C7FC7"/>
    <w:rsid w:val="004C7FC8"/>
    <w:rsid w:val="004D012E"/>
    <w:rsid w:val="004D0344"/>
    <w:rsid w:val="004D057A"/>
    <w:rsid w:val="004D06B4"/>
    <w:rsid w:val="004D075C"/>
    <w:rsid w:val="004D0762"/>
    <w:rsid w:val="004D07F7"/>
    <w:rsid w:val="004D08BD"/>
    <w:rsid w:val="004D08EF"/>
    <w:rsid w:val="004D0907"/>
    <w:rsid w:val="004D0A31"/>
    <w:rsid w:val="004D0A5E"/>
    <w:rsid w:val="004D0CCB"/>
    <w:rsid w:val="004D0F6A"/>
    <w:rsid w:val="004D10DC"/>
    <w:rsid w:val="004D11B7"/>
    <w:rsid w:val="004D130A"/>
    <w:rsid w:val="004D144B"/>
    <w:rsid w:val="004D15CC"/>
    <w:rsid w:val="004D1740"/>
    <w:rsid w:val="004D174E"/>
    <w:rsid w:val="004D1772"/>
    <w:rsid w:val="004D1978"/>
    <w:rsid w:val="004D19A2"/>
    <w:rsid w:val="004D1A60"/>
    <w:rsid w:val="004D1BAD"/>
    <w:rsid w:val="004D1CE1"/>
    <w:rsid w:val="004D1D29"/>
    <w:rsid w:val="004D1EA0"/>
    <w:rsid w:val="004D1EE8"/>
    <w:rsid w:val="004D2188"/>
    <w:rsid w:val="004D21F1"/>
    <w:rsid w:val="004D260E"/>
    <w:rsid w:val="004D2711"/>
    <w:rsid w:val="004D2721"/>
    <w:rsid w:val="004D288D"/>
    <w:rsid w:val="004D2A3C"/>
    <w:rsid w:val="004D2EA4"/>
    <w:rsid w:val="004D2F73"/>
    <w:rsid w:val="004D2FB2"/>
    <w:rsid w:val="004D3171"/>
    <w:rsid w:val="004D325B"/>
    <w:rsid w:val="004D3275"/>
    <w:rsid w:val="004D3286"/>
    <w:rsid w:val="004D344E"/>
    <w:rsid w:val="004D3660"/>
    <w:rsid w:val="004D3686"/>
    <w:rsid w:val="004D3792"/>
    <w:rsid w:val="004D3BD8"/>
    <w:rsid w:val="004D3CB0"/>
    <w:rsid w:val="004D3E76"/>
    <w:rsid w:val="004D3E82"/>
    <w:rsid w:val="004D4166"/>
    <w:rsid w:val="004D45A1"/>
    <w:rsid w:val="004D4765"/>
    <w:rsid w:val="004D4818"/>
    <w:rsid w:val="004D4875"/>
    <w:rsid w:val="004D48D6"/>
    <w:rsid w:val="004D490E"/>
    <w:rsid w:val="004D4D6E"/>
    <w:rsid w:val="004D4DA8"/>
    <w:rsid w:val="004D4DB7"/>
    <w:rsid w:val="004D4E66"/>
    <w:rsid w:val="004D53F0"/>
    <w:rsid w:val="004D542D"/>
    <w:rsid w:val="004D548D"/>
    <w:rsid w:val="004D5552"/>
    <w:rsid w:val="004D5608"/>
    <w:rsid w:val="004D5642"/>
    <w:rsid w:val="004D584E"/>
    <w:rsid w:val="004D5A80"/>
    <w:rsid w:val="004D5E71"/>
    <w:rsid w:val="004D60BF"/>
    <w:rsid w:val="004D61D9"/>
    <w:rsid w:val="004D6322"/>
    <w:rsid w:val="004D6387"/>
    <w:rsid w:val="004D63D8"/>
    <w:rsid w:val="004D6504"/>
    <w:rsid w:val="004D69CF"/>
    <w:rsid w:val="004D69D5"/>
    <w:rsid w:val="004D6B71"/>
    <w:rsid w:val="004D6C9B"/>
    <w:rsid w:val="004D6CEE"/>
    <w:rsid w:val="004D6D32"/>
    <w:rsid w:val="004D6DF9"/>
    <w:rsid w:val="004D7137"/>
    <w:rsid w:val="004D7173"/>
    <w:rsid w:val="004D7193"/>
    <w:rsid w:val="004D7397"/>
    <w:rsid w:val="004D7809"/>
    <w:rsid w:val="004D782F"/>
    <w:rsid w:val="004D7855"/>
    <w:rsid w:val="004D7B92"/>
    <w:rsid w:val="004D7C55"/>
    <w:rsid w:val="004D7C8D"/>
    <w:rsid w:val="004D7CE3"/>
    <w:rsid w:val="004D7DD7"/>
    <w:rsid w:val="004D7E14"/>
    <w:rsid w:val="004D7E8A"/>
    <w:rsid w:val="004D7FE0"/>
    <w:rsid w:val="004E00CA"/>
    <w:rsid w:val="004E0192"/>
    <w:rsid w:val="004E022E"/>
    <w:rsid w:val="004E0304"/>
    <w:rsid w:val="004E05BB"/>
    <w:rsid w:val="004E05EF"/>
    <w:rsid w:val="004E064D"/>
    <w:rsid w:val="004E065C"/>
    <w:rsid w:val="004E066F"/>
    <w:rsid w:val="004E0A18"/>
    <w:rsid w:val="004E0EDD"/>
    <w:rsid w:val="004E0F1A"/>
    <w:rsid w:val="004E0FC7"/>
    <w:rsid w:val="004E1031"/>
    <w:rsid w:val="004E10FD"/>
    <w:rsid w:val="004E12E8"/>
    <w:rsid w:val="004E1318"/>
    <w:rsid w:val="004E153C"/>
    <w:rsid w:val="004E16A4"/>
    <w:rsid w:val="004E177B"/>
    <w:rsid w:val="004E17B7"/>
    <w:rsid w:val="004E1A9D"/>
    <w:rsid w:val="004E1AA6"/>
    <w:rsid w:val="004E1B15"/>
    <w:rsid w:val="004E1C59"/>
    <w:rsid w:val="004E1E29"/>
    <w:rsid w:val="004E1EE3"/>
    <w:rsid w:val="004E20D5"/>
    <w:rsid w:val="004E214B"/>
    <w:rsid w:val="004E221E"/>
    <w:rsid w:val="004E24A3"/>
    <w:rsid w:val="004E253D"/>
    <w:rsid w:val="004E27D8"/>
    <w:rsid w:val="004E2820"/>
    <w:rsid w:val="004E2948"/>
    <w:rsid w:val="004E2C6D"/>
    <w:rsid w:val="004E2C96"/>
    <w:rsid w:val="004E2D82"/>
    <w:rsid w:val="004E2E82"/>
    <w:rsid w:val="004E307B"/>
    <w:rsid w:val="004E30F8"/>
    <w:rsid w:val="004E3152"/>
    <w:rsid w:val="004E328D"/>
    <w:rsid w:val="004E32CF"/>
    <w:rsid w:val="004E33B9"/>
    <w:rsid w:val="004E35A5"/>
    <w:rsid w:val="004E3674"/>
    <w:rsid w:val="004E3996"/>
    <w:rsid w:val="004E3F6F"/>
    <w:rsid w:val="004E40F8"/>
    <w:rsid w:val="004E4155"/>
    <w:rsid w:val="004E415A"/>
    <w:rsid w:val="004E4160"/>
    <w:rsid w:val="004E45D3"/>
    <w:rsid w:val="004E46E7"/>
    <w:rsid w:val="004E49D3"/>
    <w:rsid w:val="004E4AB1"/>
    <w:rsid w:val="004E4B29"/>
    <w:rsid w:val="004E4C62"/>
    <w:rsid w:val="004E4D00"/>
    <w:rsid w:val="004E4DF3"/>
    <w:rsid w:val="004E4E1B"/>
    <w:rsid w:val="004E4F9C"/>
    <w:rsid w:val="004E502E"/>
    <w:rsid w:val="004E54A4"/>
    <w:rsid w:val="004E54EE"/>
    <w:rsid w:val="004E5635"/>
    <w:rsid w:val="004E596C"/>
    <w:rsid w:val="004E5B8C"/>
    <w:rsid w:val="004E5BA1"/>
    <w:rsid w:val="004E5BAD"/>
    <w:rsid w:val="004E5C96"/>
    <w:rsid w:val="004E5E94"/>
    <w:rsid w:val="004E6099"/>
    <w:rsid w:val="004E6220"/>
    <w:rsid w:val="004E64BA"/>
    <w:rsid w:val="004E6933"/>
    <w:rsid w:val="004E697B"/>
    <w:rsid w:val="004E6B1B"/>
    <w:rsid w:val="004E6CB3"/>
    <w:rsid w:val="004E6D4A"/>
    <w:rsid w:val="004E6FB0"/>
    <w:rsid w:val="004E7451"/>
    <w:rsid w:val="004E7B1B"/>
    <w:rsid w:val="004E7C27"/>
    <w:rsid w:val="004E7E39"/>
    <w:rsid w:val="004E7E52"/>
    <w:rsid w:val="004F036E"/>
    <w:rsid w:val="004F0B3F"/>
    <w:rsid w:val="004F0C54"/>
    <w:rsid w:val="004F0E14"/>
    <w:rsid w:val="004F0EAA"/>
    <w:rsid w:val="004F117D"/>
    <w:rsid w:val="004F1358"/>
    <w:rsid w:val="004F14D2"/>
    <w:rsid w:val="004F1614"/>
    <w:rsid w:val="004F17E4"/>
    <w:rsid w:val="004F1864"/>
    <w:rsid w:val="004F19D1"/>
    <w:rsid w:val="004F1AE2"/>
    <w:rsid w:val="004F1F6D"/>
    <w:rsid w:val="004F22AA"/>
    <w:rsid w:val="004F22B6"/>
    <w:rsid w:val="004F25C4"/>
    <w:rsid w:val="004F2679"/>
    <w:rsid w:val="004F26CE"/>
    <w:rsid w:val="004F2842"/>
    <w:rsid w:val="004F2B13"/>
    <w:rsid w:val="004F2B97"/>
    <w:rsid w:val="004F2CD8"/>
    <w:rsid w:val="004F2D74"/>
    <w:rsid w:val="004F2DFA"/>
    <w:rsid w:val="004F2EF0"/>
    <w:rsid w:val="004F2F07"/>
    <w:rsid w:val="004F3056"/>
    <w:rsid w:val="004F307F"/>
    <w:rsid w:val="004F3126"/>
    <w:rsid w:val="004F3259"/>
    <w:rsid w:val="004F3356"/>
    <w:rsid w:val="004F363F"/>
    <w:rsid w:val="004F3802"/>
    <w:rsid w:val="004F3845"/>
    <w:rsid w:val="004F3855"/>
    <w:rsid w:val="004F3A6A"/>
    <w:rsid w:val="004F3CDB"/>
    <w:rsid w:val="004F3D1A"/>
    <w:rsid w:val="004F3E37"/>
    <w:rsid w:val="004F419D"/>
    <w:rsid w:val="004F436D"/>
    <w:rsid w:val="004F4691"/>
    <w:rsid w:val="004F47C9"/>
    <w:rsid w:val="004F48FB"/>
    <w:rsid w:val="004F4A80"/>
    <w:rsid w:val="004F4C39"/>
    <w:rsid w:val="004F4CAF"/>
    <w:rsid w:val="004F4DAC"/>
    <w:rsid w:val="004F4EB7"/>
    <w:rsid w:val="004F4EBB"/>
    <w:rsid w:val="004F4FB1"/>
    <w:rsid w:val="004F522A"/>
    <w:rsid w:val="004F53C9"/>
    <w:rsid w:val="004F53D2"/>
    <w:rsid w:val="004F557A"/>
    <w:rsid w:val="004F5A3C"/>
    <w:rsid w:val="004F5BF1"/>
    <w:rsid w:val="004F5C79"/>
    <w:rsid w:val="004F5DAB"/>
    <w:rsid w:val="004F5FEB"/>
    <w:rsid w:val="004F6082"/>
    <w:rsid w:val="004F6590"/>
    <w:rsid w:val="004F663C"/>
    <w:rsid w:val="004F6747"/>
    <w:rsid w:val="004F67C7"/>
    <w:rsid w:val="004F6AC5"/>
    <w:rsid w:val="004F6DC3"/>
    <w:rsid w:val="004F6DEE"/>
    <w:rsid w:val="004F6EF1"/>
    <w:rsid w:val="004F7098"/>
    <w:rsid w:val="004F7129"/>
    <w:rsid w:val="004F71CD"/>
    <w:rsid w:val="004F73DB"/>
    <w:rsid w:val="004F73F2"/>
    <w:rsid w:val="004F74FA"/>
    <w:rsid w:val="004F75D3"/>
    <w:rsid w:val="004F7688"/>
    <w:rsid w:val="004F7867"/>
    <w:rsid w:val="004F7B25"/>
    <w:rsid w:val="004F7B7B"/>
    <w:rsid w:val="005000A3"/>
    <w:rsid w:val="00500216"/>
    <w:rsid w:val="00500274"/>
    <w:rsid w:val="00500279"/>
    <w:rsid w:val="00500BCE"/>
    <w:rsid w:val="00500C43"/>
    <w:rsid w:val="00500C44"/>
    <w:rsid w:val="00500D9B"/>
    <w:rsid w:val="00500E0D"/>
    <w:rsid w:val="00500EB2"/>
    <w:rsid w:val="00501043"/>
    <w:rsid w:val="0050109B"/>
    <w:rsid w:val="005012C6"/>
    <w:rsid w:val="005012D8"/>
    <w:rsid w:val="0050133B"/>
    <w:rsid w:val="005015E5"/>
    <w:rsid w:val="005018AA"/>
    <w:rsid w:val="005018AC"/>
    <w:rsid w:val="0050195B"/>
    <w:rsid w:val="00501CE2"/>
    <w:rsid w:val="00501D43"/>
    <w:rsid w:val="00502018"/>
    <w:rsid w:val="005020A1"/>
    <w:rsid w:val="00502234"/>
    <w:rsid w:val="00502AFE"/>
    <w:rsid w:val="00502DD7"/>
    <w:rsid w:val="00502E4E"/>
    <w:rsid w:val="00502F0B"/>
    <w:rsid w:val="00502F24"/>
    <w:rsid w:val="00502F42"/>
    <w:rsid w:val="005030D4"/>
    <w:rsid w:val="005031AD"/>
    <w:rsid w:val="005031D6"/>
    <w:rsid w:val="00503403"/>
    <w:rsid w:val="005035A7"/>
    <w:rsid w:val="00503602"/>
    <w:rsid w:val="005036B1"/>
    <w:rsid w:val="005037A6"/>
    <w:rsid w:val="005039D4"/>
    <w:rsid w:val="00503AE5"/>
    <w:rsid w:val="00503AF5"/>
    <w:rsid w:val="00503D09"/>
    <w:rsid w:val="00503D50"/>
    <w:rsid w:val="00503E62"/>
    <w:rsid w:val="00503E9E"/>
    <w:rsid w:val="00503EBE"/>
    <w:rsid w:val="00504179"/>
    <w:rsid w:val="00504238"/>
    <w:rsid w:val="0050427C"/>
    <w:rsid w:val="005043B4"/>
    <w:rsid w:val="005043BF"/>
    <w:rsid w:val="00504404"/>
    <w:rsid w:val="005044A7"/>
    <w:rsid w:val="005044AA"/>
    <w:rsid w:val="00504712"/>
    <w:rsid w:val="00504801"/>
    <w:rsid w:val="00504862"/>
    <w:rsid w:val="005048B4"/>
    <w:rsid w:val="0050494F"/>
    <w:rsid w:val="00504B9F"/>
    <w:rsid w:val="00504C1E"/>
    <w:rsid w:val="00504C3F"/>
    <w:rsid w:val="00504C55"/>
    <w:rsid w:val="00504D62"/>
    <w:rsid w:val="00504E3D"/>
    <w:rsid w:val="00504E47"/>
    <w:rsid w:val="005051DC"/>
    <w:rsid w:val="0050524F"/>
    <w:rsid w:val="0050534C"/>
    <w:rsid w:val="00505356"/>
    <w:rsid w:val="00505400"/>
    <w:rsid w:val="00505547"/>
    <w:rsid w:val="00505A49"/>
    <w:rsid w:val="00505AD9"/>
    <w:rsid w:val="00505C16"/>
    <w:rsid w:val="00505FDF"/>
    <w:rsid w:val="005061BF"/>
    <w:rsid w:val="005062DB"/>
    <w:rsid w:val="005063A3"/>
    <w:rsid w:val="005063BD"/>
    <w:rsid w:val="005067FD"/>
    <w:rsid w:val="00506BAF"/>
    <w:rsid w:val="00506BE3"/>
    <w:rsid w:val="00506C67"/>
    <w:rsid w:val="00506D91"/>
    <w:rsid w:val="00506E05"/>
    <w:rsid w:val="00506E5D"/>
    <w:rsid w:val="00506F32"/>
    <w:rsid w:val="00506F33"/>
    <w:rsid w:val="00507064"/>
    <w:rsid w:val="005073F6"/>
    <w:rsid w:val="005075DA"/>
    <w:rsid w:val="00507673"/>
    <w:rsid w:val="00507675"/>
    <w:rsid w:val="005077AD"/>
    <w:rsid w:val="0050786E"/>
    <w:rsid w:val="0050788D"/>
    <w:rsid w:val="0050790D"/>
    <w:rsid w:val="00507B3A"/>
    <w:rsid w:val="00507C27"/>
    <w:rsid w:val="00510044"/>
    <w:rsid w:val="005100B6"/>
    <w:rsid w:val="00510171"/>
    <w:rsid w:val="0051022A"/>
    <w:rsid w:val="005103FD"/>
    <w:rsid w:val="005104AD"/>
    <w:rsid w:val="005104CE"/>
    <w:rsid w:val="00510700"/>
    <w:rsid w:val="0051073C"/>
    <w:rsid w:val="005108B7"/>
    <w:rsid w:val="00510B48"/>
    <w:rsid w:val="00510BFD"/>
    <w:rsid w:val="00510E0F"/>
    <w:rsid w:val="00510E42"/>
    <w:rsid w:val="00510EFF"/>
    <w:rsid w:val="005111AF"/>
    <w:rsid w:val="005113A5"/>
    <w:rsid w:val="005113CB"/>
    <w:rsid w:val="0051147B"/>
    <w:rsid w:val="00511630"/>
    <w:rsid w:val="005117D5"/>
    <w:rsid w:val="00511A4F"/>
    <w:rsid w:val="00511BD5"/>
    <w:rsid w:val="00511C3A"/>
    <w:rsid w:val="00511E86"/>
    <w:rsid w:val="005120ED"/>
    <w:rsid w:val="005122C3"/>
    <w:rsid w:val="005125CA"/>
    <w:rsid w:val="00512633"/>
    <w:rsid w:val="00512781"/>
    <w:rsid w:val="00512841"/>
    <w:rsid w:val="00512E3B"/>
    <w:rsid w:val="00512EB0"/>
    <w:rsid w:val="00512F4C"/>
    <w:rsid w:val="00512FB7"/>
    <w:rsid w:val="00512FE3"/>
    <w:rsid w:val="00513062"/>
    <w:rsid w:val="00513097"/>
    <w:rsid w:val="0051319E"/>
    <w:rsid w:val="005131CB"/>
    <w:rsid w:val="00513201"/>
    <w:rsid w:val="005133AE"/>
    <w:rsid w:val="005134FB"/>
    <w:rsid w:val="00513518"/>
    <w:rsid w:val="00513651"/>
    <w:rsid w:val="00513680"/>
    <w:rsid w:val="00513849"/>
    <w:rsid w:val="005138DD"/>
    <w:rsid w:val="00513966"/>
    <w:rsid w:val="00513A98"/>
    <w:rsid w:val="00513BB5"/>
    <w:rsid w:val="00513CCE"/>
    <w:rsid w:val="00513D82"/>
    <w:rsid w:val="005140C7"/>
    <w:rsid w:val="00514211"/>
    <w:rsid w:val="0051437B"/>
    <w:rsid w:val="005143AF"/>
    <w:rsid w:val="005143DC"/>
    <w:rsid w:val="005144AD"/>
    <w:rsid w:val="005144DC"/>
    <w:rsid w:val="00514529"/>
    <w:rsid w:val="0051484B"/>
    <w:rsid w:val="0051486A"/>
    <w:rsid w:val="00514D56"/>
    <w:rsid w:val="00514DB4"/>
    <w:rsid w:val="00514E4E"/>
    <w:rsid w:val="00514E5A"/>
    <w:rsid w:val="00514E70"/>
    <w:rsid w:val="00514E74"/>
    <w:rsid w:val="0051503C"/>
    <w:rsid w:val="005150BF"/>
    <w:rsid w:val="005155A2"/>
    <w:rsid w:val="005156C9"/>
    <w:rsid w:val="005156D9"/>
    <w:rsid w:val="0051578E"/>
    <w:rsid w:val="005158B1"/>
    <w:rsid w:val="00515A46"/>
    <w:rsid w:val="00515A48"/>
    <w:rsid w:val="00515AAD"/>
    <w:rsid w:val="00515D77"/>
    <w:rsid w:val="00516017"/>
    <w:rsid w:val="005160DA"/>
    <w:rsid w:val="00516142"/>
    <w:rsid w:val="00516187"/>
    <w:rsid w:val="00516245"/>
    <w:rsid w:val="0051628A"/>
    <w:rsid w:val="005163BE"/>
    <w:rsid w:val="005163D6"/>
    <w:rsid w:val="00516647"/>
    <w:rsid w:val="005167EE"/>
    <w:rsid w:val="00516846"/>
    <w:rsid w:val="00516893"/>
    <w:rsid w:val="005168F9"/>
    <w:rsid w:val="00516A3A"/>
    <w:rsid w:val="00516C30"/>
    <w:rsid w:val="00516ECA"/>
    <w:rsid w:val="00516EE8"/>
    <w:rsid w:val="00516EF9"/>
    <w:rsid w:val="00517008"/>
    <w:rsid w:val="00517206"/>
    <w:rsid w:val="005172F0"/>
    <w:rsid w:val="0051740B"/>
    <w:rsid w:val="005176F0"/>
    <w:rsid w:val="005178D8"/>
    <w:rsid w:val="00517B21"/>
    <w:rsid w:val="00517BB7"/>
    <w:rsid w:val="00517E3F"/>
    <w:rsid w:val="00517EB3"/>
    <w:rsid w:val="00517F6B"/>
    <w:rsid w:val="0052006D"/>
    <w:rsid w:val="005200D1"/>
    <w:rsid w:val="00520268"/>
    <w:rsid w:val="005206E1"/>
    <w:rsid w:val="00520D7D"/>
    <w:rsid w:val="00520D7E"/>
    <w:rsid w:val="00520EF6"/>
    <w:rsid w:val="00521117"/>
    <w:rsid w:val="00521438"/>
    <w:rsid w:val="00521513"/>
    <w:rsid w:val="00521521"/>
    <w:rsid w:val="00521796"/>
    <w:rsid w:val="005218CA"/>
    <w:rsid w:val="00521A74"/>
    <w:rsid w:val="00521D45"/>
    <w:rsid w:val="00521D49"/>
    <w:rsid w:val="00521E31"/>
    <w:rsid w:val="005221DC"/>
    <w:rsid w:val="005221F2"/>
    <w:rsid w:val="00522324"/>
    <w:rsid w:val="00522795"/>
    <w:rsid w:val="005228DB"/>
    <w:rsid w:val="00522C6F"/>
    <w:rsid w:val="00522E07"/>
    <w:rsid w:val="005230D6"/>
    <w:rsid w:val="0052321B"/>
    <w:rsid w:val="00523285"/>
    <w:rsid w:val="0052330F"/>
    <w:rsid w:val="0052342A"/>
    <w:rsid w:val="00523BAD"/>
    <w:rsid w:val="00523BDE"/>
    <w:rsid w:val="00523C29"/>
    <w:rsid w:val="00523CCB"/>
    <w:rsid w:val="00523DBD"/>
    <w:rsid w:val="00523DF0"/>
    <w:rsid w:val="00523E7C"/>
    <w:rsid w:val="00523F80"/>
    <w:rsid w:val="005240A9"/>
    <w:rsid w:val="00524457"/>
    <w:rsid w:val="005245DA"/>
    <w:rsid w:val="0052474F"/>
    <w:rsid w:val="00524821"/>
    <w:rsid w:val="00524986"/>
    <w:rsid w:val="00524ED0"/>
    <w:rsid w:val="0052531F"/>
    <w:rsid w:val="00525462"/>
    <w:rsid w:val="0052548C"/>
    <w:rsid w:val="005255CF"/>
    <w:rsid w:val="0052591A"/>
    <w:rsid w:val="0052599F"/>
    <w:rsid w:val="00525A8F"/>
    <w:rsid w:val="00525B16"/>
    <w:rsid w:val="00525B39"/>
    <w:rsid w:val="00525CDF"/>
    <w:rsid w:val="00525CE0"/>
    <w:rsid w:val="00525D2B"/>
    <w:rsid w:val="00525D77"/>
    <w:rsid w:val="00525D86"/>
    <w:rsid w:val="00525ED3"/>
    <w:rsid w:val="00526057"/>
    <w:rsid w:val="00526115"/>
    <w:rsid w:val="0052629A"/>
    <w:rsid w:val="0052633A"/>
    <w:rsid w:val="00526360"/>
    <w:rsid w:val="005266D6"/>
    <w:rsid w:val="005267BD"/>
    <w:rsid w:val="005267D8"/>
    <w:rsid w:val="00526861"/>
    <w:rsid w:val="00526879"/>
    <w:rsid w:val="00526E04"/>
    <w:rsid w:val="00526E5D"/>
    <w:rsid w:val="00526EC3"/>
    <w:rsid w:val="00526F1D"/>
    <w:rsid w:val="00527108"/>
    <w:rsid w:val="00527212"/>
    <w:rsid w:val="0052739B"/>
    <w:rsid w:val="005274AC"/>
    <w:rsid w:val="00527614"/>
    <w:rsid w:val="005279EB"/>
    <w:rsid w:val="00527AD6"/>
    <w:rsid w:val="00527FD5"/>
    <w:rsid w:val="00530010"/>
    <w:rsid w:val="005301DA"/>
    <w:rsid w:val="005303DF"/>
    <w:rsid w:val="00530412"/>
    <w:rsid w:val="0053047E"/>
    <w:rsid w:val="005305E7"/>
    <w:rsid w:val="005305F1"/>
    <w:rsid w:val="005307EA"/>
    <w:rsid w:val="00530833"/>
    <w:rsid w:val="00530A16"/>
    <w:rsid w:val="00530AA3"/>
    <w:rsid w:val="00530B13"/>
    <w:rsid w:val="00530BEE"/>
    <w:rsid w:val="00530D1C"/>
    <w:rsid w:val="00530E3F"/>
    <w:rsid w:val="00530EE8"/>
    <w:rsid w:val="0053108C"/>
    <w:rsid w:val="00531198"/>
    <w:rsid w:val="00531204"/>
    <w:rsid w:val="005313AC"/>
    <w:rsid w:val="00531527"/>
    <w:rsid w:val="005319F2"/>
    <w:rsid w:val="00531AAD"/>
    <w:rsid w:val="00531BB8"/>
    <w:rsid w:val="00531BD4"/>
    <w:rsid w:val="00531D3E"/>
    <w:rsid w:val="00531DFA"/>
    <w:rsid w:val="005320D0"/>
    <w:rsid w:val="00532220"/>
    <w:rsid w:val="00532327"/>
    <w:rsid w:val="005324DF"/>
    <w:rsid w:val="0053251E"/>
    <w:rsid w:val="00532558"/>
    <w:rsid w:val="005326EB"/>
    <w:rsid w:val="00532756"/>
    <w:rsid w:val="00532823"/>
    <w:rsid w:val="00532A46"/>
    <w:rsid w:val="00532AF0"/>
    <w:rsid w:val="00532C56"/>
    <w:rsid w:val="00532C92"/>
    <w:rsid w:val="00533256"/>
    <w:rsid w:val="0053333D"/>
    <w:rsid w:val="005338F2"/>
    <w:rsid w:val="005339ED"/>
    <w:rsid w:val="00533B8C"/>
    <w:rsid w:val="00533F00"/>
    <w:rsid w:val="00533FA5"/>
    <w:rsid w:val="00534027"/>
    <w:rsid w:val="0053415B"/>
    <w:rsid w:val="005341A0"/>
    <w:rsid w:val="00534411"/>
    <w:rsid w:val="00534516"/>
    <w:rsid w:val="00534537"/>
    <w:rsid w:val="005346E0"/>
    <w:rsid w:val="00534723"/>
    <w:rsid w:val="00534A08"/>
    <w:rsid w:val="00534A78"/>
    <w:rsid w:val="00534AD0"/>
    <w:rsid w:val="00534C51"/>
    <w:rsid w:val="00534EFB"/>
    <w:rsid w:val="00534F67"/>
    <w:rsid w:val="00535167"/>
    <w:rsid w:val="00535343"/>
    <w:rsid w:val="00535A78"/>
    <w:rsid w:val="00535ABC"/>
    <w:rsid w:val="00535F78"/>
    <w:rsid w:val="00535FAC"/>
    <w:rsid w:val="00536057"/>
    <w:rsid w:val="005360A2"/>
    <w:rsid w:val="005364D7"/>
    <w:rsid w:val="0053664D"/>
    <w:rsid w:val="00536754"/>
    <w:rsid w:val="0053677A"/>
    <w:rsid w:val="005367F0"/>
    <w:rsid w:val="00536A63"/>
    <w:rsid w:val="00536BAA"/>
    <w:rsid w:val="00536E35"/>
    <w:rsid w:val="00536E80"/>
    <w:rsid w:val="00536EE9"/>
    <w:rsid w:val="00536FA2"/>
    <w:rsid w:val="00536FD6"/>
    <w:rsid w:val="00536FED"/>
    <w:rsid w:val="0053701E"/>
    <w:rsid w:val="005370E4"/>
    <w:rsid w:val="0053724C"/>
    <w:rsid w:val="00537573"/>
    <w:rsid w:val="00537D33"/>
    <w:rsid w:val="00537E90"/>
    <w:rsid w:val="00537F1F"/>
    <w:rsid w:val="00540107"/>
    <w:rsid w:val="00540194"/>
    <w:rsid w:val="005403D8"/>
    <w:rsid w:val="005403F9"/>
    <w:rsid w:val="00540505"/>
    <w:rsid w:val="005406A0"/>
    <w:rsid w:val="005407A1"/>
    <w:rsid w:val="0054090A"/>
    <w:rsid w:val="00540A42"/>
    <w:rsid w:val="00540A51"/>
    <w:rsid w:val="00540BC2"/>
    <w:rsid w:val="00540D49"/>
    <w:rsid w:val="00540E3E"/>
    <w:rsid w:val="00541006"/>
    <w:rsid w:val="00541055"/>
    <w:rsid w:val="005410D6"/>
    <w:rsid w:val="0054121B"/>
    <w:rsid w:val="00541274"/>
    <w:rsid w:val="00541296"/>
    <w:rsid w:val="005412CF"/>
    <w:rsid w:val="0054132C"/>
    <w:rsid w:val="00541336"/>
    <w:rsid w:val="005413D8"/>
    <w:rsid w:val="0054145A"/>
    <w:rsid w:val="00541703"/>
    <w:rsid w:val="00541791"/>
    <w:rsid w:val="005417BD"/>
    <w:rsid w:val="00541868"/>
    <w:rsid w:val="00541990"/>
    <w:rsid w:val="00541D5F"/>
    <w:rsid w:val="00542003"/>
    <w:rsid w:val="0054212A"/>
    <w:rsid w:val="005422B0"/>
    <w:rsid w:val="005423A0"/>
    <w:rsid w:val="005423C7"/>
    <w:rsid w:val="00542544"/>
    <w:rsid w:val="0054273D"/>
    <w:rsid w:val="0054283A"/>
    <w:rsid w:val="0054284E"/>
    <w:rsid w:val="00542893"/>
    <w:rsid w:val="005428B0"/>
    <w:rsid w:val="005428D4"/>
    <w:rsid w:val="005428E0"/>
    <w:rsid w:val="005429E2"/>
    <w:rsid w:val="00542A25"/>
    <w:rsid w:val="00542C96"/>
    <w:rsid w:val="00542CAA"/>
    <w:rsid w:val="00542E8C"/>
    <w:rsid w:val="00543214"/>
    <w:rsid w:val="00543335"/>
    <w:rsid w:val="0054369F"/>
    <w:rsid w:val="005438CF"/>
    <w:rsid w:val="00543C2B"/>
    <w:rsid w:val="00543C95"/>
    <w:rsid w:val="00543D7B"/>
    <w:rsid w:val="00543DA7"/>
    <w:rsid w:val="00543DB6"/>
    <w:rsid w:val="0054410B"/>
    <w:rsid w:val="00544265"/>
    <w:rsid w:val="00544287"/>
    <w:rsid w:val="005444BF"/>
    <w:rsid w:val="00544694"/>
    <w:rsid w:val="005447A4"/>
    <w:rsid w:val="0054480A"/>
    <w:rsid w:val="005448FE"/>
    <w:rsid w:val="00544A51"/>
    <w:rsid w:val="00544E03"/>
    <w:rsid w:val="00544FEB"/>
    <w:rsid w:val="005450BF"/>
    <w:rsid w:val="00545495"/>
    <w:rsid w:val="00545740"/>
    <w:rsid w:val="00545742"/>
    <w:rsid w:val="005457DC"/>
    <w:rsid w:val="00545B5A"/>
    <w:rsid w:val="00545C74"/>
    <w:rsid w:val="00545CE6"/>
    <w:rsid w:val="00545E97"/>
    <w:rsid w:val="00545E9D"/>
    <w:rsid w:val="00545F2D"/>
    <w:rsid w:val="00545F87"/>
    <w:rsid w:val="0054604D"/>
    <w:rsid w:val="005460C9"/>
    <w:rsid w:val="00546216"/>
    <w:rsid w:val="00546218"/>
    <w:rsid w:val="0054629A"/>
    <w:rsid w:val="00546406"/>
    <w:rsid w:val="0054650B"/>
    <w:rsid w:val="00546649"/>
    <w:rsid w:val="005466A8"/>
    <w:rsid w:val="005469E4"/>
    <w:rsid w:val="00546AC5"/>
    <w:rsid w:val="00546B4A"/>
    <w:rsid w:val="00546C91"/>
    <w:rsid w:val="00546DB2"/>
    <w:rsid w:val="00546E92"/>
    <w:rsid w:val="0054703E"/>
    <w:rsid w:val="0054704B"/>
    <w:rsid w:val="00547192"/>
    <w:rsid w:val="005471CA"/>
    <w:rsid w:val="005471E2"/>
    <w:rsid w:val="0054731C"/>
    <w:rsid w:val="00547831"/>
    <w:rsid w:val="0054787D"/>
    <w:rsid w:val="00547AC9"/>
    <w:rsid w:val="00547B65"/>
    <w:rsid w:val="00547BB4"/>
    <w:rsid w:val="00547C6D"/>
    <w:rsid w:val="00547D7A"/>
    <w:rsid w:val="00547FF0"/>
    <w:rsid w:val="0055007B"/>
    <w:rsid w:val="005502E5"/>
    <w:rsid w:val="005502F6"/>
    <w:rsid w:val="0055032E"/>
    <w:rsid w:val="0055037B"/>
    <w:rsid w:val="00550394"/>
    <w:rsid w:val="00550447"/>
    <w:rsid w:val="005504EA"/>
    <w:rsid w:val="005509A7"/>
    <w:rsid w:val="00550A97"/>
    <w:rsid w:val="00550CA3"/>
    <w:rsid w:val="00550D54"/>
    <w:rsid w:val="00550D93"/>
    <w:rsid w:val="00550DD5"/>
    <w:rsid w:val="00551323"/>
    <w:rsid w:val="00551377"/>
    <w:rsid w:val="005513B7"/>
    <w:rsid w:val="00551438"/>
    <w:rsid w:val="00551515"/>
    <w:rsid w:val="00551547"/>
    <w:rsid w:val="00551654"/>
    <w:rsid w:val="0055171C"/>
    <w:rsid w:val="005517FC"/>
    <w:rsid w:val="00551853"/>
    <w:rsid w:val="00551CD0"/>
    <w:rsid w:val="00551EF3"/>
    <w:rsid w:val="00552062"/>
    <w:rsid w:val="00552484"/>
    <w:rsid w:val="005526B9"/>
    <w:rsid w:val="0055299F"/>
    <w:rsid w:val="00552AA0"/>
    <w:rsid w:val="00552D07"/>
    <w:rsid w:val="00552EBB"/>
    <w:rsid w:val="0055304E"/>
    <w:rsid w:val="005538AB"/>
    <w:rsid w:val="00553B86"/>
    <w:rsid w:val="00553CC1"/>
    <w:rsid w:val="00553DDC"/>
    <w:rsid w:val="00553E24"/>
    <w:rsid w:val="00553ED8"/>
    <w:rsid w:val="005540E3"/>
    <w:rsid w:val="005541C5"/>
    <w:rsid w:val="0055454C"/>
    <w:rsid w:val="005545EC"/>
    <w:rsid w:val="00554655"/>
    <w:rsid w:val="0055468A"/>
    <w:rsid w:val="005546AF"/>
    <w:rsid w:val="005546BA"/>
    <w:rsid w:val="00554736"/>
    <w:rsid w:val="00554771"/>
    <w:rsid w:val="005547D3"/>
    <w:rsid w:val="005547EA"/>
    <w:rsid w:val="0055483B"/>
    <w:rsid w:val="00554848"/>
    <w:rsid w:val="00554880"/>
    <w:rsid w:val="00554906"/>
    <w:rsid w:val="00554A99"/>
    <w:rsid w:val="00554AE0"/>
    <w:rsid w:val="00554C6C"/>
    <w:rsid w:val="00555035"/>
    <w:rsid w:val="00555061"/>
    <w:rsid w:val="005550CE"/>
    <w:rsid w:val="0055514D"/>
    <w:rsid w:val="005552B7"/>
    <w:rsid w:val="005553B7"/>
    <w:rsid w:val="00555487"/>
    <w:rsid w:val="005554C2"/>
    <w:rsid w:val="0055553D"/>
    <w:rsid w:val="0055580B"/>
    <w:rsid w:val="005558A9"/>
    <w:rsid w:val="005558B5"/>
    <w:rsid w:val="005559A6"/>
    <w:rsid w:val="00555ABA"/>
    <w:rsid w:val="00555BA7"/>
    <w:rsid w:val="00555E7B"/>
    <w:rsid w:val="0055609D"/>
    <w:rsid w:val="005562D6"/>
    <w:rsid w:val="00556348"/>
    <w:rsid w:val="0055639C"/>
    <w:rsid w:val="005563B1"/>
    <w:rsid w:val="00556465"/>
    <w:rsid w:val="00556541"/>
    <w:rsid w:val="00556742"/>
    <w:rsid w:val="0055683E"/>
    <w:rsid w:val="00556853"/>
    <w:rsid w:val="005568E9"/>
    <w:rsid w:val="0055697C"/>
    <w:rsid w:val="00556B96"/>
    <w:rsid w:val="00556D69"/>
    <w:rsid w:val="00556DDE"/>
    <w:rsid w:val="00556E9A"/>
    <w:rsid w:val="00556F82"/>
    <w:rsid w:val="005570D3"/>
    <w:rsid w:val="0055710E"/>
    <w:rsid w:val="00557231"/>
    <w:rsid w:val="0055729F"/>
    <w:rsid w:val="005572C2"/>
    <w:rsid w:val="005572F0"/>
    <w:rsid w:val="00557484"/>
    <w:rsid w:val="00557566"/>
    <w:rsid w:val="00557611"/>
    <w:rsid w:val="0055762E"/>
    <w:rsid w:val="00557634"/>
    <w:rsid w:val="00557680"/>
    <w:rsid w:val="005576AD"/>
    <w:rsid w:val="00557728"/>
    <w:rsid w:val="00557792"/>
    <w:rsid w:val="00557809"/>
    <w:rsid w:val="00557900"/>
    <w:rsid w:val="00557A5B"/>
    <w:rsid w:val="00557BE6"/>
    <w:rsid w:val="00557DA6"/>
    <w:rsid w:val="00557F81"/>
    <w:rsid w:val="00557FA9"/>
    <w:rsid w:val="005602D2"/>
    <w:rsid w:val="005603E4"/>
    <w:rsid w:val="005605DA"/>
    <w:rsid w:val="00560650"/>
    <w:rsid w:val="0056066A"/>
    <w:rsid w:val="0056073E"/>
    <w:rsid w:val="0056089A"/>
    <w:rsid w:val="00560D47"/>
    <w:rsid w:val="00560D9D"/>
    <w:rsid w:val="00560FCB"/>
    <w:rsid w:val="00561097"/>
    <w:rsid w:val="00561099"/>
    <w:rsid w:val="00561161"/>
    <w:rsid w:val="00561218"/>
    <w:rsid w:val="00561223"/>
    <w:rsid w:val="00561439"/>
    <w:rsid w:val="005615B1"/>
    <w:rsid w:val="00561672"/>
    <w:rsid w:val="005616D3"/>
    <w:rsid w:val="00561863"/>
    <w:rsid w:val="005618CC"/>
    <w:rsid w:val="00561966"/>
    <w:rsid w:val="00561C02"/>
    <w:rsid w:val="00561E07"/>
    <w:rsid w:val="00562513"/>
    <w:rsid w:val="005626A2"/>
    <w:rsid w:val="005629ED"/>
    <w:rsid w:val="00562AEF"/>
    <w:rsid w:val="00562BC4"/>
    <w:rsid w:val="00562C38"/>
    <w:rsid w:val="00562E3F"/>
    <w:rsid w:val="00562F3C"/>
    <w:rsid w:val="00562F8F"/>
    <w:rsid w:val="00563281"/>
    <w:rsid w:val="00563470"/>
    <w:rsid w:val="005634B5"/>
    <w:rsid w:val="0056371F"/>
    <w:rsid w:val="00563C18"/>
    <w:rsid w:val="00563F2F"/>
    <w:rsid w:val="00563FD0"/>
    <w:rsid w:val="00564063"/>
    <w:rsid w:val="00564303"/>
    <w:rsid w:val="0056442B"/>
    <w:rsid w:val="00564670"/>
    <w:rsid w:val="0056469B"/>
    <w:rsid w:val="005648FD"/>
    <w:rsid w:val="00564EBB"/>
    <w:rsid w:val="0056504D"/>
    <w:rsid w:val="0056518A"/>
    <w:rsid w:val="00565211"/>
    <w:rsid w:val="005654E2"/>
    <w:rsid w:val="005654EC"/>
    <w:rsid w:val="00565611"/>
    <w:rsid w:val="00565625"/>
    <w:rsid w:val="0056562B"/>
    <w:rsid w:val="005658AC"/>
    <w:rsid w:val="005659CC"/>
    <w:rsid w:val="00565D33"/>
    <w:rsid w:val="00565F45"/>
    <w:rsid w:val="00565F96"/>
    <w:rsid w:val="00566023"/>
    <w:rsid w:val="00566099"/>
    <w:rsid w:val="005660C0"/>
    <w:rsid w:val="005662EB"/>
    <w:rsid w:val="00566315"/>
    <w:rsid w:val="005663CA"/>
    <w:rsid w:val="00566544"/>
    <w:rsid w:val="0056670D"/>
    <w:rsid w:val="00566B36"/>
    <w:rsid w:val="00566BDD"/>
    <w:rsid w:val="00566C9C"/>
    <w:rsid w:val="00566CB8"/>
    <w:rsid w:val="00566CF7"/>
    <w:rsid w:val="005670A9"/>
    <w:rsid w:val="005670D9"/>
    <w:rsid w:val="00567347"/>
    <w:rsid w:val="005674F9"/>
    <w:rsid w:val="005676D7"/>
    <w:rsid w:val="00567813"/>
    <w:rsid w:val="00567E6C"/>
    <w:rsid w:val="00567E71"/>
    <w:rsid w:val="00567FB1"/>
    <w:rsid w:val="00567FF4"/>
    <w:rsid w:val="0056DD5A"/>
    <w:rsid w:val="00570046"/>
    <w:rsid w:val="00570386"/>
    <w:rsid w:val="00570534"/>
    <w:rsid w:val="00570756"/>
    <w:rsid w:val="00570836"/>
    <w:rsid w:val="005708D0"/>
    <w:rsid w:val="00570990"/>
    <w:rsid w:val="00570991"/>
    <w:rsid w:val="00570B75"/>
    <w:rsid w:val="00570C87"/>
    <w:rsid w:val="00570CD8"/>
    <w:rsid w:val="00570DC3"/>
    <w:rsid w:val="00570E82"/>
    <w:rsid w:val="00570F35"/>
    <w:rsid w:val="005710BF"/>
    <w:rsid w:val="00571116"/>
    <w:rsid w:val="00571438"/>
    <w:rsid w:val="005714B3"/>
    <w:rsid w:val="0057154B"/>
    <w:rsid w:val="005716DE"/>
    <w:rsid w:val="005717D9"/>
    <w:rsid w:val="005718EB"/>
    <w:rsid w:val="005718FD"/>
    <w:rsid w:val="00571D1D"/>
    <w:rsid w:val="00571FE2"/>
    <w:rsid w:val="005720A2"/>
    <w:rsid w:val="00572207"/>
    <w:rsid w:val="005722C9"/>
    <w:rsid w:val="005722D7"/>
    <w:rsid w:val="00572526"/>
    <w:rsid w:val="00572561"/>
    <w:rsid w:val="0057264E"/>
    <w:rsid w:val="005726AD"/>
    <w:rsid w:val="00572C80"/>
    <w:rsid w:val="00572C82"/>
    <w:rsid w:val="00572E9A"/>
    <w:rsid w:val="00572EC1"/>
    <w:rsid w:val="00572FAC"/>
    <w:rsid w:val="0057325D"/>
    <w:rsid w:val="00573269"/>
    <w:rsid w:val="0057327A"/>
    <w:rsid w:val="0057342A"/>
    <w:rsid w:val="005735CE"/>
    <w:rsid w:val="00573745"/>
    <w:rsid w:val="0057374B"/>
    <w:rsid w:val="0057384A"/>
    <w:rsid w:val="00573884"/>
    <w:rsid w:val="00573888"/>
    <w:rsid w:val="00573AE8"/>
    <w:rsid w:val="00573C20"/>
    <w:rsid w:val="00573CFA"/>
    <w:rsid w:val="00573E25"/>
    <w:rsid w:val="00573E35"/>
    <w:rsid w:val="00573F59"/>
    <w:rsid w:val="005740DB"/>
    <w:rsid w:val="00574107"/>
    <w:rsid w:val="0057416C"/>
    <w:rsid w:val="005743AF"/>
    <w:rsid w:val="005743E3"/>
    <w:rsid w:val="005745B8"/>
    <w:rsid w:val="0057477B"/>
    <w:rsid w:val="00574A7E"/>
    <w:rsid w:val="00574C4B"/>
    <w:rsid w:val="00574D0C"/>
    <w:rsid w:val="00574D34"/>
    <w:rsid w:val="00574E4E"/>
    <w:rsid w:val="00574F8A"/>
    <w:rsid w:val="005750BF"/>
    <w:rsid w:val="005750D8"/>
    <w:rsid w:val="00575221"/>
    <w:rsid w:val="005752B0"/>
    <w:rsid w:val="005754DD"/>
    <w:rsid w:val="005756A8"/>
    <w:rsid w:val="00575AF4"/>
    <w:rsid w:val="00575EDE"/>
    <w:rsid w:val="0057605A"/>
    <w:rsid w:val="00576286"/>
    <w:rsid w:val="005763F2"/>
    <w:rsid w:val="0057644A"/>
    <w:rsid w:val="005765E0"/>
    <w:rsid w:val="005769D3"/>
    <w:rsid w:val="005769DB"/>
    <w:rsid w:val="00576A9D"/>
    <w:rsid w:val="00576A9E"/>
    <w:rsid w:val="00576F0B"/>
    <w:rsid w:val="00576F26"/>
    <w:rsid w:val="00577111"/>
    <w:rsid w:val="00577317"/>
    <w:rsid w:val="0057734E"/>
    <w:rsid w:val="005773D3"/>
    <w:rsid w:val="0057751F"/>
    <w:rsid w:val="00577577"/>
    <w:rsid w:val="005775A3"/>
    <w:rsid w:val="005776E1"/>
    <w:rsid w:val="00577770"/>
    <w:rsid w:val="00577794"/>
    <w:rsid w:val="00577864"/>
    <w:rsid w:val="00577B69"/>
    <w:rsid w:val="00577C66"/>
    <w:rsid w:val="00577E78"/>
    <w:rsid w:val="00580139"/>
    <w:rsid w:val="005801BD"/>
    <w:rsid w:val="00580379"/>
    <w:rsid w:val="00580597"/>
    <w:rsid w:val="00580659"/>
    <w:rsid w:val="00580945"/>
    <w:rsid w:val="005809AB"/>
    <w:rsid w:val="00580C90"/>
    <w:rsid w:val="00580D9E"/>
    <w:rsid w:val="00580F73"/>
    <w:rsid w:val="00580FCD"/>
    <w:rsid w:val="0058134B"/>
    <w:rsid w:val="005814A2"/>
    <w:rsid w:val="005815A5"/>
    <w:rsid w:val="0058162B"/>
    <w:rsid w:val="00581648"/>
    <w:rsid w:val="00581897"/>
    <w:rsid w:val="00581A2C"/>
    <w:rsid w:val="00581AC8"/>
    <w:rsid w:val="00581AF7"/>
    <w:rsid w:val="00581DA6"/>
    <w:rsid w:val="00581F57"/>
    <w:rsid w:val="005820B7"/>
    <w:rsid w:val="005821B1"/>
    <w:rsid w:val="0058223B"/>
    <w:rsid w:val="0058226B"/>
    <w:rsid w:val="00582341"/>
    <w:rsid w:val="005825E8"/>
    <w:rsid w:val="00582613"/>
    <w:rsid w:val="0058263E"/>
    <w:rsid w:val="00582751"/>
    <w:rsid w:val="0058276E"/>
    <w:rsid w:val="0058278D"/>
    <w:rsid w:val="005828A8"/>
    <w:rsid w:val="00582A26"/>
    <w:rsid w:val="00582A66"/>
    <w:rsid w:val="00582BD2"/>
    <w:rsid w:val="00582E85"/>
    <w:rsid w:val="005830E9"/>
    <w:rsid w:val="00583196"/>
    <w:rsid w:val="0058327A"/>
    <w:rsid w:val="0058346F"/>
    <w:rsid w:val="005835E8"/>
    <w:rsid w:val="00583632"/>
    <w:rsid w:val="005837D2"/>
    <w:rsid w:val="0058385F"/>
    <w:rsid w:val="00583B7C"/>
    <w:rsid w:val="00583C61"/>
    <w:rsid w:val="00583C97"/>
    <w:rsid w:val="00583CEA"/>
    <w:rsid w:val="00583EF8"/>
    <w:rsid w:val="00583F03"/>
    <w:rsid w:val="0058414C"/>
    <w:rsid w:val="0058420A"/>
    <w:rsid w:val="00584268"/>
    <w:rsid w:val="00584347"/>
    <w:rsid w:val="00584411"/>
    <w:rsid w:val="0058458C"/>
    <w:rsid w:val="005845DA"/>
    <w:rsid w:val="00584736"/>
    <w:rsid w:val="00584A41"/>
    <w:rsid w:val="00584A48"/>
    <w:rsid w:val="00584A53"/>
    <w:rsid w:val="00584A89"/>
    <w:rsid w:val="00584CB5"/>
    <w:rsid w:val="00584F4D"/>
    <w:rsid w:val="005850F8"/>
    <w:rsid w:val="005852C2"/>
    <w:rsid w:val="0058555D"/>
    <w:rsid w:val="005855B3"/>
    <w:rsid w:val="005855C7"/>
    <w:rsid w:val="005855CB"/>
    <w:rsid w:val="00585659"/>
    <w:rsid w:val="005857B8"/>
    <w:rsid w:val="00585A7A"/>
    <w:rsid w:val="00585AB8"/>
    <w:rsid w:val="00585C23"/>
    <w:rsid w:val="00585CE3"/>
    <w:rsid w:val="00586129"/>
    <w:rsid w:val="00586226"/>
    <w:rsid w:val="0058624F"/>
    <w:rsid w:val="00586346"/>
    <w:rsid w:val="005863C8"/>
    <w:rsid w:val="0058649D"/>
    <w:rsid w:val="00586762"/>
    <w:rsid w:val="00586790"/>
    <w:rsid w:val="0058687C"/>
    <w:rsid w:val="005868ED"/>
    <w:rsid w:val="00586A34"/>
    <w:rsid w:val="00586E72"/>
    <w:rsid w:val="0058705B"/>
    <w:rsid w:val="00587829"/>
    <w:rsid w:val="005879DD"/>
    <w:rsid w:val="00587B1C"/>
    <w:rsid w:val="00587B7F"/>
    <w:rsid w:val="00587D68"/>
    <w:rsid w:val="00587DFC"/>
    <w:rsid w:val="0059015F"/>
    <w:rsid w:val="005902BC"/>
    <w:rsid w:val="00590469"/>
    <w:rsid w:val="00590859"/>
    <w:rsid w:val="00590887"/>
    <w:rsid w:val="005908B9"/>
    <w:rsid w:val="00590BD7"/>
    <w:rsid w:val="00590C09"/>
    <w:rsid w:val="00590D74"/>
    <w:rsid w:val="00590ED3"/>
    <w:rsid w:val="00590FE9"/>
    <w:rsid w:val="00591002"/>
    <w:rsid w:val="0059122B"/>
    <w:rsid w:val="0059148F"/>
    <w:rsid w:val="00591747"/>
    <w:rsid w:val="0059175E"/>
    <w:rsid w:val="005917FC"/>
    <w:rsid w:val="0059189F"/>
    <w:rsid w:val="005918E6"/>
    <w:rsid w:val="00591A5C"/>
    <w:rsid w:val="00591DCA"/>
    <w:rsid w:val="005921F8"/>
    <w:rsid w:val="0059247D"/>
    <w:rsid w:val="00592760"/>
    <w:rsid w:val="005927FD"/>
    <w:rsid w:val="0059281C"/>
    <w:rsid w:val="00592887"/>
    <w:rsid w:val="00592A4B"/>
    <w:rsid w:val="00592AB7"/>
    <w:rsid w:val="00592BA4"/>
    <w:rsid w:val="00592C3C"/>
    <w:rsid w:val="00592CA8"/>
    <w:rsid w:val="00592CC1"/>
    <w:rsid w:val="00593067"/>
    <w:rsid w:val="005931FA"/>
    <w:rsid w:val="0059357E"/>
    <w:rsid w:val="00593583"/>
    <w:rsid w:val="00593700"/>
    <w:rsid w:val="0059373F"/>
    <w:rsid w:val="00593742"/>
    <w:rsid w:val="0059378F"/>
    <w:rsid w:val="005939B3"/>
    <w:rsid w:val="005939E7"/>
    <w:rsid w:val="00593B6D"/>
    <w:rsid w:val="00593C1F"/>
    <w:rsid w:val="00593CA5"/>
    <w:rsid w:val="00593CDE"/>
    <w:rsid w:val="00593D92"/>
    <w:rsid w:val="00593E21"/>
    <w:rsid w:val="00593E99"/>
    <w:rsid w:val="00593EE5"/>
    <w:rsid w:val="00594205"/>
    <w:rsid w:val="005943BC"/>
    <w:rsid w:val="005945D0"/>
    <w:rsid w:val="00594B4E"/>
    <w:rsid w:val="00594CC8"/>
    <w:rsid w:val="00594FCC"/>
    <w:rsid w:val="0059521C"/>
    <w:rsid w:val="0059535F"/>
    <w:rsid w:val="005955EE"/>
    <w:rsid w:val="0059568E"/>
    <w:rsid w:val="0059578E"/>
    <w:rsid w:val="00595A56"/>
    <w:rsid w:val="00595A66"/>
    <w:rsid w:val="00595B8A"/>
    <w:rsid w:val="00595BD7"/>
    <w:rsid w:val="00595C63"/>
    <w:rsid w:val="00595D95"/>
    <w:rsid w:val="00595E42"/>
    <w:rsid w:val="00595F19"/>
    <w:rsid w:val="00595F73"/>
    <w:rsid w:val="00596123"/>
    <w:rsid w:val="0059612B"/>
    <w:rsid w:val="0059639B"/>
    <w:rsid w:val="0059643B"/>
    <w:rsid w:val="0059643E"/>
    <w:rsid w:val="00596502"/>
    <w:rsid w:val="00596630"/>
    <w:rsid w:val="0059668C"/>
    <w:rsid w:val="00596A36"/>
    <w:rsid w:val="00596B59"/>
    <w:rsid w:val="00596C73"/>
    <w:rsid w:val="00596D73"/>
    <w:rsid w:val="00596EF9"/>
    <w:rsid w:val="00596FFB"/>
    <w:rsid w:val="00596FFE"/>
    <w:rsid w:val="0059728A"/>
    <w:rsid w:val="005974BC"/>
    <w:rsid w:val="00597510"/>
    <w:rsid w:val="0059779B"/>
    <w:rsid w:val="00597819"/>
    <w:rsid w:val="0059793F"/>
    <w:rsid w:val="00597A83"/>
    <w:rsid w:val="00597AF3"/>
    <w:rsid w:val="00597B69"/>
    <w:rsid w:val="00597D49"/>
    <w:rsid w:val="005A01B7"/>
    <w:rsid w:val="005A032A"/>
    <w:rsid w:val="005A037E"/>
    <w:rsid w:val="005A03AE"/>
    <w:rsid w:val="005A0423"/>
    <w:rsid w:val="005A0440"/>
    <w:rsid w:val="005A05CA"/>
    <w:rsid w:val="005A061E"/>
    <w:rsid w:val="005A0AFF"/>
    <w:rsid w:val="005A0B64"/>
    <w:rsid w:val="005A0E30"/>
    <w:rsid w:val="005A114E"/>
    <w:rsid w:val="005A11EF"/>
    <w:rsid w:val="005A1260"/>
    <w:rsid w:val="005A14C0"/>
    <w:rsid w:val="005A1520"/>
    <w:rsid w:val="005A157B"/>
    <w:rsid w:val="005A16E4"/>
    <w:rsid w:val="005A1770"/>
    <w:rsid w:val="005A1799"/>
    <w:rsid w:val="005A179F"/>
    <w:rsid w:val="005A1B2E"/>
    <w:rsid w:val="005A1BBF"/>
    <w:rsid w:val="005A1CEE"/>
    <w:rsid w:val="005A1D26"/>
    <w:rsid w:val="005A1D6B"/>
    <w:rsid w:val="005A1F0B"/>
    <w:rsid w:val="005A1FDD"/>
    <w:rsid w:val="005A2299"/>
    <w:rsid w:val="005A23B1"/>
    <w:rsid w:val="005A24EF"/>
    <w:rsid w:val="005A24FB"/>
    <w:rsid w:val="005A2504"/>
    <w:rsid w:val="005A253F"/>
    <w:rsid w:val="005A280E"/>
    <w:rsid w:val="005A2A4A"/>
    <w:rsid w:val="005A2BFE"/>
    <w:rsid w:val="005A2DB7"/>
    <w:rsid w:val="005A3035"/>
    <w:rsid w:val="005A30A9"/>
    <w:rsid w:val="005A30B7"/>
    <w:rsid w:val="005A30F6"/>
    <w:rsid w:val="005A32D0"/>
    <w:rsid w:val="005A338C"/>
    <w:rsid w:val="005A33C4"/>
    <w:rsid w:val="005A3700"/>
    <w:rsid w:val="005A3741"/>
    <w:rsid w:val="005A3F39"/>
    <w:rsid w:val="005A418C"/>
    <w:rsid w:val="005A41C9"/>
    <w:rsid w:val="005A426E"/>
    <w:rsid w:val="005A4296"/>
    <w:rsid w:val="005A43D5"/>
    <w:rsid w:val="005A4702"/>
    <w:rsid w:val="005A4731"/>
    <w:rsid w:val="005A47D9"/>
    <w:rsid w:val="005A47E0"/>
    <w:rsid w:val="005A49BE"/>
    <w:rsid w:val="005A4CA6"/>
    <w:rsid w:val="005A4EE4"/>
    <w:rsid w:val="005A51DB"/>
    <w:rsid w:val="005A528F"/>
    <w:rsid w:val="005A5584"/>
    <w:rsid w:val="005A57CE"/>
    <w:rsid w:val="005A5A20"/>
    <w:rsid w:val="005A5B43"/>
    <w:rsid w:val="005A5B85"/>
    <w:rsid w:val="005A5BED"/>
    <w:rsid w:val="005A5C15"/>
    <w:rsid w:val="005A5C1D"/>
    <w:rsid w:val="005A5C95"/>
    <w:rsid w:val="005A5D92"/>
    <w:rsid w:val="005A5FF0"/>
    <w:rsid w:val="005A61FE"/>
    <w:rsid w:val="005A626A"/>
    <w:rsid w:val="005A66F0"/>
    <w:rsid w:val="005A6728"/>
    <w:rsid w:val="005A674D"/>
    <w:rsid w:val="005A689C"/>
    <w:rsid w:val="005A69A9"/>
    <w:rsid w:val="005A69B2"/>
    <w:rsid w:val="005A6AF5"/>
    <w:rsid w:val="005A6B7F"/>
    <w:rsid w:val="005A6F38"/>
    <w:rsid w:val="005A708C"/>
    <w:rsid w:val="005A7326"/>
    <w:rsid w:val="005A7664"/>
    <w:rsid w:val="005A76C1"/>
    <w:rsid w:val="005A7BB7"/>
    <w:rsid w:val="005A7F45"/>
    <w:rsid w:val="005A7FA8"/>
    <w:rsid w:val="005A7FC1"/>
    <w:rsid w:val="005B0176"/>
    <w:rsid w:val="005B03AB"/>
    <w:rsid w:val="005B03DD"/>
    <w:rsid w:val="005B05D9"/>
    <w:rsid w:val="005B064B"/>
    <w:rsid w:val="005B06BD"/>
    <w:rsid w:val="005B0930"/>
    <w:rsid w:val="005B096E"/>
    <w:rsid w:val="005B0975"/>
    <w:rsid w:val="005B098A"/>
    <w:rsid w:val="005B09AE"/>
    <w:rsid w:val="005B09B5"/>
    <w:rsid w:val="005B09FF"/>
    <w:rsid w:val="005B0B1B"/>
    <w:rsid w:val="005B0D27"/>
    <w:rsid w:val="005B0DA9"/>
    <w:rsid w:val="005B0E8B"/>
    <w:rsid w:val="005B122A"/>
    <w:rsid w:val="005B13DF"/>
    <w:rsid w:val="005B1423"/>
    <w:rsid w:val="005B15E9"/>
    <w:rsid w:val="005B1690"/>
    <w:rsid w:val="005B1711"/>
    <w:rsid w:val="005B1922"/>
    <w:rsid w:val="005B19FE"/>
    <w:rsid w:val="005B1AE0"/>
    <w:rsid w:val="005B1AF0"/>
    <w:rsid w:val="005B1D2B"/>
    <w:rsid w:val="005B1DAF"/>
    <w:rsid w:val="005B1DFD"/>
    <w:rsid w:val="005B1E1C"/>
    <w:rsid w:val="005B1FB7"/>
    <w:rsid w:val="005B1FFA"/>
    <w:rsid w:val="005B2063"/>
    <w:rsid w:val="005B21A5"/>
    <w:rsid w:val="005B23CF"/>
    <w:rsid w:val="005B2591"/>
    <w:rsid w:val="005B269F"/>
    <w:rsid w:val="005B2738"/>
    <w:rsid w:val="005B2856"/>
    <w:rsid w:val="005B289C"/>
    <w:rsid w:val="005B2A6C"/>
    <w:rsid w:val="005B2A9F"/>
    <w:rsid w:val="005B2D41"/>
    <w:rsid w:val="005B2EA0"/>
    <w:rsid w:val="005B2EA3"/>
    <w:rsid w:val="005B2ED4"/>
    <w:rsid w:val="005B2FD8"/>
    <w:rsid w:val="005B308B"/>
    <w:rsid w:val="005B3135"/>
    <w:rsid w:val="005B351C"/>
    <w:rsid w:val="005B3A69"/>
    <w:rsid w:val="005B3C03"/>
    <w:rsid w:val="005B3C25"/>
    <w:rsid w:val="005B3D9A"/>
    <w:rsid w:val="005B3DBB"/>
    <w:rsid w:val="005B3ECE"/>
    <w:rsid w:val="005B4132"/>
    <w:rsid w:val="005B42E8"/>
    <w:rsid w:val="005B43BD"/>
    <w:rsid w:val="005B440B"/>
    <w:rsid w:val="005B45B7"/>
    <w:rsid w:val="005B460A"/>
    <w:rsid w:val="005B460E"/>
    <w:rsid w:val="005B474A"/>
    <w:rsid w:val="005B48D1"/>
    <w:rsid w:val="005B4ABB"/>
    <w:rsid w:val="005B4B93"/>
    <w:rsid w:val="005B4C22"/>
    <w:rsid w:val="005B4C24"/>
    <w:rsid w:val="005B4E71"/>
    <w:rsid w:val="005B504B"/>
    <w:rsid w:val="005B5475"/>
    <w:rsid w:val="005B565D"/>
    <w:rsid w:val="005B5699"/>
    <w:rsid w:val="005B56AA"/>
    <w:rsid w:val="005B5720"/>
    <w:rsid w:val="005B582C"/>
    <w:rsid w:val="005B58DC"/>
    <w:rsid w:val="005B5960"/>
    <w:rsid w:val="005B5D78"/>
    <w:rsid w:val="005B6285"/>
    <w:rsid w:val="005B6416"/>
    <w:rsid w:val="005B6497"/>
    <w:rsid w:val="005B64CA"/>
    <w:rsid w:val="005B692F"/>
    <w:rsid w:val="005B69F3"/>
    <w:rsid w:val="005B6A33"/>
    <w:rsid w:val="005B6A54"/>
    <w:rsid w:val="005B6BA7"/>
    <w:rsid w:val="005B6D32"/>
    <w:rsid w:val="005B6DCE"/>
    <w:rsid w:val="005B6E67"/>
    <w:rsid w:val="005B6FEB"/>
    <w:rsid w:val="005B70FA"/>
    <w:rsid w:val="005B7347"/>
    <w:rsid w:val="005B74B5"/>
    <w:rsid w:val="005B7880"/>
    <w:rsid w:val="005B78B6"/>
    <w:rsid w:val="005B7912"/>
    <w:rsid w:val="005B7A51"/>
    <w:rsid w:val="005B7A52"/>
    <w:rsid w:val="005B7AF0"/>
    <w:rsid w:val="005B7B66"/>
    <w:rsid w:val="005B7B6A"/>
    <w:rsid w:val="005B7B7E"/>
    <w:rsid w:val="005B7EAE"/>
    <w:rsid w:val="005C0276"/>
    <w:rsid w:val="005C0853"/>
    <w:rsid w:val="005C0865"/>
    <w:rsid w:val="005C0A8C"/>
    <w:rsid w:val="005C0AB1"/>
    <w:rsid w:val="005C0B73"/>
    <w:rsid w:val="005C0D3D"/>
    <w:rsid w:val="005C0DCB"/>
    <w:rsid w:val="005C0F8E"/>
    <w:rsid w:val="005C10FD"/>
    <w:rsid w:val="005C172D"/>
    <w:rsid w:val="005C1814"/>
    <w:rsid w:val="005C183B"/>
    <w:rsid w:val="005C184B"/>
    <w:rsid w:val="005C1B1D"/>
    <w:rsid w:val="005C1BD9"/>
    <w:rsid w:val="005C1C68"/>
    <w:rsid w:val="005C1F56"/>
    <w:rsid w:val="005C225E"/>
    <w:rsid w:val="005C22BA"/>
    <w:rsid w:val="005C25D2"/>
    <w:rsid w:val="005C2651"/>
    <w:rsid w:val="005C2A4B"/>
    <w:rsid w:val="005C2B1B"/>
    <w:rsid w:val="005C2BE2"/>
    <w:rsid w:val="005C2CD5"/>
    <w:rsid w:val="005C302F"/>
    <w:rsid w:val="005C3200"/>
    <w:rsid w:val="005C3315"/>
    <w:rsid w:val="005C3469"/>
    <w:rsid w:val="005C3486"/>
    <w:rsid w:val="005C396C"/>
    <w:rsid w:val="005C39B1"/>
    <w:rsid w:val="005C3AF9"/>
    <w:rsid w:val="005C3BB6"/>
    <w:rsid w:val="005C3E12"/>
    <w:rsid w:val="005C40D1"/>
    <w:rsid w:val="005C40E4"/>
    <w:rsid w:val="005C42B4"/>
    <w:rsid w:val="005C447C"/>
    <w:rsid w:val="005C47E1"/>
    <w:rsid w:val="005C4A59"/>
    <w:rsid w:val="005C4C8C"/>
    <w:rsid w:val="005C4DDF"/>
    <w:rsid w:val="005C4E34"/>
    <w:rsid w:val="005C4E44"/>
    <w:rsid w:val="005C4FC3"/>
    <w:rsid w:val="005C501D"/>
    <w:rsid w:val="005C5114"/>
    <w:rsid w:val="005C520C"/>
    <w:rsid w:val="005C53D7"/>
    <w:rsid w:val="005C553E"/>
    <w:rsid w:val="005C55A5"/>
    <w:rsid w:val="005C55C2"/>
    <w:rsid w:val="005C5699"/>
    <w:rsid w:val="005C5721"/>
    <w:rsid w:val="005C57E5"/>
    <w:rsid w:val="005C5A0F"/>
    <w:rsid w:val="005C5B17"/>
    <w:rsid w:val="005C5D66"/>
    <w:rsid w:val="005C5DEA"/>
    <w:rsid w:val="005C5EB4"/>
    <w:rsid w:val="005C60FE"/>
    <w:rsid w:val="005C6157"/>
    <w:rsid w:val="005C6181"/>
    <w:rsid w:val="005C645D"/>
    <w:rsid w:val="005C6489"/>
    <w:rsid w:val="005C687C"/>
    <w:rsid w:val="005C6C1D"/>
    <w:rsid w:val="005C6E0C"/>
    <w:rsid w:val="005C72DE"/>
    <w:rsid w:val="005C737F"/>
    <w:rsid w:val="005C7581"/>
    <w:rsid w:val="005C777F"/>
    <w:rsid w:val="005C7891"/>
    <w:rsid w:val="005C7E6D"/>
    <w:rsid w:val="005C7F12"/>
    <w:rsid w:val="005C7FBE"/>
    <w:rsid w:val="005D0040"/>
    <w:rsid w:val="005D008B"/>
    <w:rsid w:val="005D01E2"/>
    <w:rsid w:val="005D0304"/>
    <w:rsid w:val="005D04F3"/>
    <w:rsid w:val="005D0714"/>
    <w:rsid w:val="005D07D2"/>
    <w:rsid w:val="005D07EB"/>
    <w:rsid w:val="005D0879"/>
    <w:rsid w:val="005D0903"/>
    <w:rsid w:val="005D090D"/>
    <w:rsid w:val="005D0B6D"/>
    <w:rsid w:val="005D10A6"/>
    <w:rsid w:val="005D1283"/>
    <w:rsid w:val="005D13D5"/>
    <w:rsid w:val="005D144E"/>
    <w:rsid w:val="005D1463"/>
    <w:rsid w:val="005D14F0"/>
    <w:rsid w:val="005D1512"/>
    <w:rsid w:val="005D152A"/>
    <w:rsid w:val="005D1917"/>
    <w:rsid w:val="005D1AC2"/>
    <w:rsid w:val="005D1AFE"/>
    <w:rsid w:val="005D1C69"/>
    <w:rsid w:val="005D1D15"/>
    <w:rsid w:val="005D1DF6"/>
    <w:rsid w:val="005D20C3"/>
    <w:rsid w:val="005D2212"/>
    <w:rsid w:val="005D22B6"/>
    <w:rsid w:val="005D2302"/>
    <w:rsid w:val="005D23C6"/>
    <w:rsid w:val="005D2541"/>
    <w:rsid w:val="005D29DA"/>
    <w:rsid w:val="005D2B62"/>
    <w:rsid w:val="005D2DEE"/>
    <w:rsid w:val="005D2E16"/>
    <w:rsid w:val="005D2F7C"/>
    <w:rsid w:val="005D32E8"/>
    <w:rsid w:val="005D3592"/>
    <w:rsid w:val="005D35C5"/>
    <w:rsid w:val="005D367C"/>
    <w:rsid w:val="005D384E"/>
    <w:rsid w:val="005D3883"/>
    <w:rsid w:val="005D3948"/>
    <w:rsid w:val="005D3D37"/>
    <w:rsid w:val="005D3DA7"/>
    <w:rsid w:val="005D3EF1"/>
    <w:rsid w:val="005D3FBA"/>
    <w:rsid w:val="005D42C0"/>
    <w:rsid w:val="005D448E"/>
    <w:rsid w:val="005D44E6"/>
    <w:rsid w:val="005D4675"/>
    <w:rsid w:val="005D46A1"/>
    <w:rsid w:val="005D46B7"/>
    <w:rsid w:val="005D472F"/>
    <w:rsid w:val="005D4B0A"/>
    <w:rsid w:val="005D4C72"/>
    <w:rsid w:val="005D4D73"/>
    <w:rsid w:val="005D4E14"/>
    <w:rsid w:val="005D4EB6"/>
    <w:rsid w:val="005D4F6D"/>
    <w:rsid w:val="005D5111"/>
    <w:rsid w:val="005D5174"/>
    <w:rsid w:val="005D5266"/>
    <w:rsid w:val="005D53F3"/>
    <w:rsid w:val="005D54C1"/>
    <w:rsid w:val="005D58E8"/>
    <w:rsid w:val="005D5913"/>
    <w:rsid w:val="005D5C89"/>
    <w:rsid w:val="005D5CDA"/>
    <w:rsid w:val="005D5D8B"/>
    <w:rsid w:val="005D60FF"/>
    <w:rsid w:val="005D6165"/>
    <w:rsid w:val="005D6177"/>
    <w:rsid w:val="005D656A"/>
    <w:rsid w:val="005D6594"/>
    <w:rsid w:val="005D6831"/>
    <w:rsid w:val="005D68A9"/>
    <w:rsid w:val="005D69AF"/>
    <w:rsid w:val="005D6AA0"/>
    <w:rsid w:val="005D6B21"/>
    <w:rsid w:val="005D6B71"/>
    <w:rsid w:val="005D6BE6"/>
    <w:rsid w:val="005D6C28"/>
    <w:rsid w:val="005D6D26"/>
    <w:rsid w:val="005D6D88"/>
    <w:rsid w:val="005D6E3A"/>
    <w:rsid w:val="005D6FE4"/>
    <w:rsid w:val="005D7010"/>
    <w:rsid w:val="005D70E5"/>
    <w:rsid w:val="005D713A"/>
    <w:rsid w:val="005D7273"/>
    <w:rsid w:val="005D7285"/>
    <w:rsid w:val="005D7306"/>
    <w:rsid w:val="005D736C"/>
    <w:rsid w:val="005D7398"/>
    <w:rsid w:val="005D74BE"/>
    <w:rsid w:val="005D7593"/>
    <w:rsid w:val="005D7607"/>
    <w:rsid w:val="005D7675"/>
    <w:rsid w:val="005D7745"/>
    <w:rsid w:val="005D776C"/>
    <w:rsid w:val="005D7AB8"/>
    <w:rsid w:val="005D7B55"/>
    <w:rsid w:val="005D7C21"/>
    <w:rsid w:val="005D7C9F"/>
    <w:rsid w:val="005D7D13"/>
    <w:rsid w:val="005E0482"/>
    <w:rsid w:val="005E04FE"/>
    <w:rsid w:val="005E0C07"/>
    <w:rsid w:val="005E0C7B"/>
    <w:rsid w:val="005E0CF7"/>
    <w:rsid w:val="005E0D18"/>
    <w:rsid w:val="005E0FD1"/>
    <w:rsid w:val="005E10AE"/>
    <w:rsid w:val="005E111B"/>
    <w:rsid w:val="005E1332"/>
    <w:rsid w:val="005E1406"/>
    <w:rsid w:val="005E173D"/>
    <w:rsid w:val="005E196D"/>
    <w:rsid w:val="005E1C58"/>
    <w:rsid w:val="005E1DB6"/>
    <w:rsid w:val="005E1EDE"/>
    <w:rsid w:val="005E2094"/>
    <w:rsid w:val="005E238D"/>
    <w:rsid w:val="005E23B0"/>
    <w:rsid w:val="005E23C9"/>
    <w:rsid w:val="005E2478"/>
    <w:rsid w:val="005E265F"/>
    <w:rsid w:val="005E27BC"/>
    <w:rsid w:val="005E28DE"/>
    <w:rsid w:val="005E2933"/>
    <w:rsid w:val="005E2970"/>
    <w:rsid w:val="005E29D5"/>
    <w:rsid w:val="005E2A7A"/>
    <w:rsid w:val="005E2ADD"/>
    <w:rsid w:val="005E2B0C"/>
    <w:rsid w:val="005E2ED9"/>
    <w:rsid w:val="005E2F71"/>
    <w:rsid w:val="005E30D7"/>
    <w:rsid w:val="005E3296"/>
    <w:rsid w:val="005E3372"/>
    <w:rsid w:val="005E35F2"/>
    <w:rsid w:val="005E369D"/>
    <w:rsid w:val="005E3765"/>
    <w:rsid w:val="005E3CB7"/>
    <w:rsid w:val="005E3E2E"/>
    <w:rsid w:val="005E3E9B"/>
    <w:rsid w:val="005E3F46"/>
    <w:rsid w:val="005E4156"/>
    <w:rsid w:val="005E454D"/>
    <w:rsid w:val="005E4995"/>
    <w:rsid w:val="005E4A51"/>
    <w:rsid w:val="005E4BC1"/>
    <w:rsid w:val="005E4BE5"/>
    <w:rsid w:val="005E4D4A"/>
    <w:rsid w:val="005E51C3"/>
    <w:rsid w:val="005E560C"/>
    <w:rsid w:val="005E5658"/>
    <w:rsid w:val="005E58FE"/>
    <w:rsid w:val="005E592F"/>
    <w:rsid w:val="005E597D"/>
    <w:rsid w:val="005E5B01"/>
    <w:rsid w:val="005E5F40"/>
    <w:rsid w:val="005E6091"/>
    <w:rsid w:val="005E6157"/>
    <w:rsid w:val="005E61B4"/>
    <w:rsid w:val="005E63E6"/>
    <w:rsid w:val="005E64E8"/>
    <w:rsid w:val="005E661E"/>
    <w:rsid w:val="005E6876"/>
    <w:rsid w:val="005E6898"/>
    <w:rsid w:val="005E68A1"/>
    <w:rsid w:val="005E68FB"/>
    <w:rsid w:val="005E6904"/>
    <w:rsid w:val="005E692A"/>
    <w:rsid w:val="005E6A3A"/>
    <w:rsid w:val="005E6C03"/>
    <w:rsid w:val="005E6CD2"/>
    <w:rsid w:val="005E6D5A"/>
    <w:rsid w:val="005E6DBB"/>
    <w:rsid w:val="005E7042"/>
    <w:rsid w:val="005E73AD"/>
    <w:rsid w:val="005E7424"/>
    <w:rsid w:val="005E7771"/>
    <w:rsid w:val="005E77FC"/>
    <w:rsid w:val="005E78C3"/>
    <w:rsid w:val="005E7954"/>
    <w:rsid w:val="005E7A04"/>
    <w:rsid w:val="005E7A4B"/>
    <w:rsid w:val="005E7A72"/>
    <w:rsid w:val="005E7B4A"/>
    <w:rsid w:val="005E7CB0"/>
    <w:rsid w:val="005E7CDF"/>
    <w:rsid w:val="005F02C9"/>
    <w:rsid w:val="005F038A"/>
    <w:rsid w:val="005F03F7"/>
    <w:rsid w:val="005F04BF"/>
    <w:rsid w:val="005F0672"/>
    <w:rsid w:val="005F093B"/>
    <w:rsid w:val="005F09BA"/>
    <w:rsid w:val="005F0E8B"/>
    <w:rsid w:val="005F0FF8"/>
    <w:rsid w:val="005F10B3"/>
    <w:rsid w:val="005F112C"/>
    <w:rsid w:val="005F114B"/>
    <w:rsid w:val="005F13A4"/>
    <w:rsid w:val="005F155B"/>
    <w:rsid w:val="005F1779"/>
    <w:rsid w:val="005F1791"/>
    <w:rsid w:val="005F1891"/>
    <w:rsid w:val="005F1A4A"/>
    <w:rsid w:val="005F1AFB"/>
    <w:rsid w:val="005F1C9A"/>
    <w:rsid w:val="005F1CD8"/>
    <w:rsid w:val="005F1D0E"/>
    <w:rsid w:val="005F1D58"/>
    <w:rsid w:val="005F1DB6"/>
    <w:rsid w:val="005F1DE4"/>
    <w:rsid w:val="005F1F94"/>
    <w:rsid w:val="005F20D9"/>
    <w:rsid w:val="005F2470"/>
    <w:rsid w:val="005F2542"/>
    <w:rsid w:val="005F26B6"/>
    <w:rsid w:val="005F26B7"/>
    <w:rsid w:val="005F2749"/>
    <w:rsid w:val="005F276E"/>
    <w:rsid w:val="005F2BA6"/>
    <w:rsid w:val="005F2C44"/>
    <w:rsid w:val="005F2C5A"/>
    <w:rsid w:val="005F2EB6"/>
    <w:rsid w:val="005F302D"/>
    <w:rsid w:val="005F303E"/>
    <w:rsid w:val="005F3251"/>
    <w:rsid w:val="005F3431"/>
    <w:rsid w:val="005F38AF"/>
    <w:rsid w:val="005F38D4"/>
    <w:rsid w:val="005F3A3C"/>
    <w:rsid w:val="005F3E50"/>
    <w:rsid w:val="005F4066"/>
    <w:rsid w:val="005F4079"/>
    <w:rsid w:val="005F414E"/>
    <w:rsid w:val="005F415A"/>
    <w:rsid w:val="005F4502"/>
    <w:rsid w:val="005F4717"/>
    <w:rsid w:val="005F4AC9"/>
    <w:rsid w:val="005F4AF1"/>
    <w:rsid w:val="005F4CE0"/>
    <w:rsid w:val="005F4DEB"/>
    <w:rsid w:val="005F51B3"/>
    <w:rsid w:val="005F51F4"/>
    <w:rsid w:val="005F5282"/>
    <w:rsid w:val="005F5549"/>
    <w:rsid w:val="005F5B14"/>
    <w:rsid w:val="005F5C76"/>
    <w:rsid w:val="005F5CB4"/>
    <w:rsid w:val="005F5E7F"/>
    <w:rsid w:val="005F5FB5"/>
    <w:rsid w:val="005F60B2"/>
    <w:rsid w:val="005F61B2"/>
    <w:rsid w:val="005F6610"/>
    <w:rsid w:val="005F68F8"/>
    <w:rsid w:val="005F69DD"/>
    <w:rsid w:val="005F6A4F"/>
    <w:rsid w:val="005F6A62"/>
    <w:rsid w:val="005F6EC5"/>
    <w:rsid w:val="005F6F6E"/>
    <w:rsid w:val="005F7217"/>
    <w:rsid w:val="005F7290"/>
    <w:rsid w:val="005F74BC"/>
    <w:rsid w:val="005F75B4"/>
    <w:rsid w:val="005F7611"/>
    <w:rsid w:val="005F7646"/>
    <w:rsid w:val="005F7746"/>
    <w:rsid w:val="005F77BA"/>
    <w:rsid w:val="005F7A20"/>
    <w:rsid w:val="005F7AA7"/>
    <w:rsid w:val="005F7D00"/>
    <w:rsid w:val="005F7DF0"/>
    <w:rsid w:val="005F7E69"/>
    <w:rsid w:val="005F7EF5"/>
    <w:rsid w:val="00600013"/>
    <w:rsid w:val="006001E1"/>
    <w:rsid w:val="00600257"/>
    <w:rsid w:val="006003CC"/>
    <w:rsid w:val="00600504"/>
    <w:rsid w:val="00600515"/>
    <w:rsid w:val="006005D4"/>
    <w:rsid w:val="00600782"/>
    <w:rsid w:val="006008A5"/>
    <w:rsid w:val="006008AB"/>
    <w:rsid w:val="00600927"/>
    <w:rsid w:val="00600936"/>
    <w:rsid w:val="006009D5"/>
    <w:rsid w:val="00600B1F"/>
    <w:rsid w:val="00600C0D"/>
    <w:rsid w:val="00600FD8"/>
    <w:rsid w:val="006012E9"/>
    <w:rsid w:val="0060147B"/>
    <w:rsid w:val="00601501"/>
    <w:rsid w:val="00601779"/>
    <w:rsid w:val="0060177B"/>
    <w:rsid w:val="006017D8"/>
    <w:rsid w:val="00601ACC"/>
    <w:rsid w:val="00601B0E"/>
    <w:rsid w:val="00601B5B"/>
    <w:rsid w:val="00601B80"/>
    <w:rsid w:val="00601EBA"/>
    <w:rsid w:val="00601F48"/>
    <w:rsid w:val="00602131"/>
    <w:rsid w:val="0060219A"/>
    <w:rsid w:val="006023FC"/>
    <w:rsid w:val="006025F0"/>
    <w:rsid w:val="0060265E"/>
    <w:rsid w:val="00602817"/>
    <w:rsid w:val="00602886"/>
    <w:rsid w:val="00602CA6"/>
    <w:rsid w:val="00602D43"/>
    <w:rsid w:val="00602D46"/>
    <w:rsid w:val="00602D80"/>
    <w:rsid w:val="00602E49"/>
    <w:rsid w:val="00602EA3"/>
    <w:rsid w:val="00602FE0"/>
    <w:rsid w:val="006030F7"/>
    <w:rsid w:val="006035FA"/>
    <w:rsid w:val="00603673"/>
    <w:rsid w:val="006036BD"/>
    <w:rsid w:val="00603739"/>
    <w:rsid w:val="006038D2"/>
    <w:rsid w:val="00603B4F"/>
    <w:rsid w:val="00603CBF"/>
    <w:rsid w:val="00603D55"/>
    <w:rsid w:val="00603DC2"/>
    <w:rsid w:val="00603F68"/>
    <w:rsid w:val="0060409C"/>
    <w:rsid w:val="00604294"/>
    <w:rsid w:val="00604295"/>
    <w:rsid w:val="0060431F"/>
    <w:rsid w:val="006043F3"/>
    <w:rsid w:val="00604414"/>
    <w:rsid w:val="0060448D"/>
    <w:rsid w:val="006045D3"/>
    <w:rsid w:val="00604736"/>
    <w:rsid w:val="006049D3"/>
    <w:rsid w:val="00604BD6"/>
    <w:rsid w:val="00604C9D"/>
    <w:rsid w:val="00604CA5"/>
    <w:rsid w:val="00604D13"/>
    <w:rsid w:val="006050FB"/>
    <w:rsid w:val="00605102"/>
    <w:rsid w:val="00605610"/>
    <w:rsid w:val="006056C2"/>
    <w:rsid w:val="00605796"/>
    <w:rsid w:val="0060586C"/>
    <w:rsid w:val="00605B53"/>
    <w:rsid w:val="00605BCD"/>
    <w:rsid w:val="00605BEE"/>
    <w:rsid w:val="00605E32"/>
    <w:rsid w:val="00605E45"/>
    <w:rsid w:val="00605E97"/>
    <w:rsid w:val="00605EAF"/>
    <w:rsid w:val="00605EE5"/>
    <w:rsid w:val="006062EF"/>
    <w:rsid w:val="00606304"/>
    <w:rsid w:val="0060663B"/>
    <w:rsid w:val="006066C1"/>
    <w:rsid w:val="0060679A"/>
    <w:rsid w:val="0060690D"/>
    <w:rsid w:val="00606A1C"/>
    <w:rsid w:val="00606D83"/>
    <w:rsid w:val="00606DB3"/>
    <w:rsid w:val="00606E0F"/>
    <w:rsid w:val="006071BF"/>
    <w:rsid w:val="00607225"/>
    <w:rsid w:val="006077EE"/>
    <w:rsid w:val="0060781D"/>
    <w:rsid w:val="00607939"/>
    <w:rsid w:val="00607958"/>
    <w:rsid w:val="00607A09"/>
    <w:rsid w:val="00607D39"/>
    <w:rsid w:val="00607D76"/>
    <w:rsid w:val="0061009C"/>
    <w:rsid w:val="0061011E"/>
    <w:rsid w:val="0061012F"/>
    <w:rsid w:val="00610233"/>
    <w:rsid w:val="00610326"/>
    <w:rsid w:val="00610385"/>
    <w:rsid w:val="00610555"/>
    <w:rsid w:val="006106BF"/>
    <w:rsid w:val="006107B5"/>
    <w:rsid w:val="006108FD"/>
    <w:rsid w:val="006109FA"/>
    <w:rsid w:val="00610BF4"/>
    <w:rsid w:val="00610C99"/>
    <w:rsid w:val="00610F0A"/>
    <w:rsid w:val="00610F7A"/>
    <w:rsid w:val="00610F80"/>
    <w:rsid w:val="00610F94"/>
    <w:rsid w:val="00610F98"/>
    <w:rsid w:val="00610FA2"/>
    <w:rsid w:val="006111E3"/>
    <w:rsid w:val="0061135E"/>
    <w:rsid w:val="00611414"/>
    <w:rsid w:val="00611867"/>
    <w:rsid w:val="00611BBF"/>
    <w:rsid w:val="00611DCF"/>
    <w:rsid w:val="00611EBB"/>
    <w:rsid w:val="00611F33"/>
    <w:rsid w:val="00611F34"/>
    <w:rsid w:val="006121AB"/>
    <w:rsid w:val="00612221"/>
    <w:rsid w:val="006123BB"/>
    <w:rsid w:val="0061240F"/>
    <w:rsid w:val="00612507"/>
    <w:rsid w:val="006125D9"/>
    <w:rsid w:val="00612758"/>
    <w:rsid w:val="006127CC"/>
    <w:rsid w:val="00612831"/>
    <w:rsid w:val="00612B49"/>
    <w:rsid w:val="00612B85"/>
    <w:rsid w:val="00612B94"/>
    <w:rsid w:val="00612C52"/>
    <w:rsid w:val="00612C5C"/>
    <w:rsid w:val="00612CD8"/>
    <w:rsid w:val="00612D45"/>
    <w:rsid w:val="006130D4"/>
    <w:rsid w:val="00613252"/>
    <w:rsid w:val="0061325E"/>
    <w:rsid w:val="0061370F"/>
    <w:rsid w:val="00613A7F"/>
    <w:rsid w:val="00613AD4"/>
    <w:rsid w:val="00613AE4"/>
    <w:rsid w:val="00613C16"/>
    <w:rsid w:val="00613F31"/>
    <w:rsid w:val="00613F5D"/>
    <w:rsid w:val="00614035"/>
    <w:rsid w:val="00614048"/>
    <w:rsid w:val="006140CF"/>
    <w:rsid w:val="006140F1"/>
    <w:rsid w:val="0061415B"/>
    <w:rsid w:val="006141C7"/>
    <w:rsid w:val="006142C0"/>
    <w:rsid w:val="00614301"/>
    <w:rsid w:val="006144C6"/>
    <w:rsid w:val="00614503"/>
    <w:rsid w:val="0061466F"/>
    <w:rsid w:val="006148B9"/>
    <w:rsid w:val="006149A7"/>
    <w:rsid w:val="00614D15"/>
    <w:rsid w:val="00614D5F"/>
    <w:rsid w:val="00614D6F"/>
    <w:rsid w:val="00614D7D"/>
    <w:rsid w:val="00614DF8"/>
    <w:rsid w:val="00614E6F"/>
    <w:rsid w:val="00614EDE"/>
    <w:rsid w:val="006150FF"/>
    <w:rsid w:val="00615320"/>
    <w:rsid w:val="0061540B"/>
    <w:rsid w:val="00615453"/>
    <w:rsid w:val="00615753"/>
    <w:rsid w:val="00615AF6"/>
    <w:rsid w:val="00615C24"/>
    <w:rsid w:val="00615D0A"/>
    <w:rsid w:val="00615FFF"/>
    <w:rsid w:val="00616206"/>
    <w:rsid w:val="00616410"/>
    <w:rsid w:val="006164C4"/>
    <w:rsid w:val="0061690C"/>
    <w:rsid w:val="0061695A"/>
    <w:rsid w:val="00616AD7"/>
    <w:rsid w:val="00616C3E"/>
    <w:rsid w:val="00616F38"/>
    <w:rsid w:val="00616F85"/>
    <w:rsid w:val="00616FE9"/>
    <w:rsid w:val="00617049"/>
    <w:rsid w:val="00617128"/>
    <w:rsid w:val="006171A5"/>
    <w:rsid w:val="0061791A"/>
    <w:rsid w:val="00617A34"/>
    <w:rsid w:val="00617ABC"/>
    <w:rsid w:val="00617C9E"/>
    <w:rsid w:val="00617F87"/>
    <w:rsid w:val="00620220"/>
    <w:rsid w:val="00620AE4"/>
    <w:rsid w:val="00620C67"/>
    <w:rsid w:val="00620D3F"/>
    <w:rsid w:val="00620D63"/>
    <w:rsid w:val="00620EF1"/>
    <w:rsid w:val="00621153"/>
    <w:rsid w:val="006212AC"/>
    <w:rsid w:val="00621373"/>
    <w:rsid w:val="0062157A"/>
    <w:rsid w:val="00621849"/>
    <w:rsid w:val="0062184E"/>
    <w:rsid w:val="006218F0"/>
    <w:rsid w:val="00621B0D"/>
    <w:rsid w:val="00621CB6"/>
    <w:rsid w:val="00621E3F"/>
    <w:rsid w:val="00621EFD"/>
    <w:rsid w:val="00621F25"/>
    <w:rsid w:val="00621F6C"/>
    <w:rsid w:val="00621FB0"/>
    <w:rsid w:val="00622017"/>
    <w:rsid w:val="0062206C"/>
    <w:rsid w:val="00622120"/>
    <w:rsid w:val="0062216C"/>
    <w:rsid w:val="006221DA"/>
    <w:rsid w:val="00622896"/>
    <w:rsid w:val="006228E6"/>
    <w:rsid w:val="00622B9F"/>
    <w:rsid w:val="00622EAF"/>
    <w:rsid w:val="006232E8"/>
    <w:rsid w:val="0062337E"/>
    <w:rsid w:val="00623490"/>
    <w:rsid w:val="006234D7"/>
    <w:rsid w:val="00623607"/>
    <w:rsid w:val="0062365D"/>
    <w:rsid w:val="00623765"/>
    <w:rsid w:val="0062391B"/>
    <w:rsid w:val="00623A07"/>
    <w:rsid w:val="00623DF4"/>
    <w:rsid w:val="00624115"/>
    <w:rsid w:val="0062418B"/>
    <w:rsid w:val="00624207"/>
    <w:rsid w:val="00624385"/>
    <w:rsid w:val="006244FB"/>
    <w:rsid w:val="006247AD"/>
    <w:rsid w:val="00624825"/>
    <w:rsid w:val="0062498E"/>
    <w:rsid w:val="00624C49"/>
    <w:rsid w:val="00624DC7"/>
    <w:rsid w:val="00624EA0"/>
    <w:rsid w:val="00624EC9"/>
    <w:rsid w:val="00624F13"/>
    <w:rsid w:val="006250FB"/>
    <w:rsid w:val="0062538B"/>
    <w:rsid w:val="006253F1"/>
    <w:rsid w:val="006253FA"/>
    <w:rsid w:val="0062540A"/>
    <w:rsid w:val="00625508"/>
    <w:rsid w:val="00625568"/>
    <w:rsid w:val="006256FA"/>
    <w:rsid w:val="006257FD"/>
    <w:rsid w:val="00625867"/>
    <w:rsid w:val="00625930"/>
    <w:rsid w:val="0062594F"/>
    <w:rsid w:val="00625D04"/>
    <w:rsid w:val="00625D7A"/>
    <w:rsid w:val="00625EFF"/>
    <w:rsid w:val="00625F91"/>
    <w:rsid w:val="0062600F"/>
    <w:rsid w:val="00626274"/>
    <w:rsid w:val="00626312"/>
    <w:rsid w:val="006263CD"/>
    <w:rsid w:val="00626446"/>
    <w:rsid w:val="00626596"/>
    <w:rsid w:val="00626623"/>
    <w:rsid w:val="00626C68"/>
    <w:rsid w:val="00626CA8"/>
    <w:rsid w:val="00626E48"/>
    <w:rsid w:val="00627093"/>
    <w:rsid w:val="006270A6"/>
    <w:rsid w:val="006270CE"/>
    <w:rsid w:val="006271E9"/>
    <w:rsid w:val="006273A7"/>
    <w:rsid w:val="006273AD"/>
    <w:rsid w:val="006274EF"/>
    <w:rsid w:val="0062761C"/>
    <w:rsid w:val="00627646"/>
    <w:rsid w:val="006276AA"/>
    <w:rsid w:val="006277D1"/>
    <w:rsid w:val="006277EB"/>
    <w:rsid w:val="0062782F"/>
    <w:rsid w:val="00627907"/>
    <w:rsid w:val="00627C56"/>
    <w:rsid w:val="0063059A"/>
    <w:rsid w:val="006307B9"/>
    <w:rsid w:val="00630AF1"/>
    <w:rsid w:val="00630B4D"/>
    <w:rsid w:val="00630C96"/>
    <w:rsid w:val="00630CEF"/>
    <w:rsid w:val="00630DF7"/>
    <w:rsid w:val="00630F00"/>
    <w:rsid w:val="00630F8C"/>
    <w:rsid w:val="0063108A"/>
    <w:rsid w:val="006311BC"/>
    <w:rsid w:val="006312EE"/>
    <w:rsid w:val="00631347"/>
    <w:rsid w:val="0063136B"/>
    <w:rsid w:val="006313B1"/>
    <w:rsid w:val="00631447"/>
    <w:rsid w:val="00631502"/>
    <w:rsid w:val="00631528"/>
    <w:rsid w:val="00631602"/>
    <w:rsid w:val="0063169F"/>
    <w:rsid w:val="00631710"/>
    <w:rsid w:val="006318A6"/>
    <w:rsid w:val="0063198B"/>
    <w:rsid w:val="00631C7B"/>
    <w:rsid w:val="00631C80"/>
    <w:rsid w:val="00631C93"/>
    <w:rsid w:val="00631D08"/>
    <w:rsid w:val="00631E0E"/>
    <w:rsid w:val="00632023"/>
    <w:rsid w:val="00632142"/>
    <w:rsid w:val="006322BC"/>
    <w:rsid w:val="00632344"/>
    <w:rsid w:val="006323E1"/>
    <w:rsid w:val="00632560"/>
    <w:rsid w:val="00632617"/>
    <w:rsid w:val="00632646"/>
    <w:rsid w:val="006328BB"/>
    <w:rsid w:val="006328F7"/>
    <w:rsid w:val="0063291C"/>
    <w:rsid w:val="00632962"/>
    <w:rsid w:val="00632A95"/>
    <w:rsid w:val="00632CA9"/>
    <w:rsid w:val="00632EB4"/>
    <w:rsid w:val="00633241"/>
    <w:rsid w:val="00633362"/>
    <w:rsid w:val="006335FA"/>
    <w:rsid w:val="00633628"/>
    <w:rsid w:val="006336C2"/>
    <w:rsid w:val="0063379A"/>
    <w:rsid w:val="006338B0"/>
    <w:rsid w:val="006338CB"/>
    <w:rsid w:val="006338D2"/>
    <w:rsid w:val="00633A5F"/>
    <w:rsid w:val="00633B39"/>
    <w:rsid w:val="00633BEC"/>
    <w:rsid w:val="00633C6D"/>
    <w:rsid w:val="00634013"/>
    <w:rsid w:val="006340A1"/>
    <w:rsid w:val="0063427C"/>
    <w:rsid w:val="006342DE"/>
    <w:rsid w:val="006342F0"/>
    <w:rsid w:val="0063479C"/>
    <w:rsid w:val="00634927"/>
    <w:rsid w:val="00634E0F"/>
    <w:rsid w:val="00634F2D"/>
    <w:rsid w:val="00634F7A"/>
    <w:rsid w:val="006351A1"/>
    <w:rsid w:val="006351C3"/>
    <w:rsid w:val="0063521E"/>
    <w:rsid w:val="00635270"/>
    <w:rsid w:val="006352C7"/>
    <w:rsid w:val="006352CC"/>
    <w:rsid w:val="006352F2"/>
    <w:rsid w:val="00635334"/>
    <w:rsid w:val="00635477"/>
    <w:rsid w:val="006356D2"/>
    <w:rsid w:val="006358BD"/>
    <w:rsid w:val="00635920"/>
    <w:rsid w:val="0063597C"/>
    <w:rsid w:val="00635985"/>
    <w:rsid w:val="00635BF1"/>
    <w:rsid w:val="00635BF8"/>
    <w:rsid w:val="00635E31"/>
    <w:rsid w:val="00635E6C"/>
    <w:rsid w:val="00635F23"/>
    <w:rsid w:val="00635F28"/>
    <w:rsid w:val="00635FEC"/>
    <w:rsid w:val="00636017"/>
    <w:rsid w:val="0063602A"/>
    <w:rsid w:val="006361FC"/>
    <w:rsid w:val="00636459"/>
    <w:rsid w:val="006364FD"/>
    <w:rsid w:val="00636690"/>
    <w:rsid w:val="00636786"/>
    <w:rsid w:val="0063680D"/>
    <w:rsid w:val="0063689B"/>
    <w:rsid w:val="006368E1"/>
    <w:rsid w:val="00636A4A"/>
    <w:rsid w:val="00636B56"/>
    <w:rsid w:val="00636DEB"/>
    <w:rsid w:val="00636F12"/>
    <w:rsid w:val="00636F7A"/>
    <w:rsid w:val="006371AC"/>
    <w:rsid w:val="0063722B"/>
    <w:rsid w:val="0063756D"/>
    <w:rsid w:val="0063760E"/>
    <w:rsid w:val="00637642"/>
    <w:rsid w:val="00637C28"/>
    <w:rsid w:val="00637E33"/>
    <w:rsid w:val="00637ED7"/>
    <w:rsid w:val="006400E2"/>
    <w:rsid w:val="00640172"/>
    <w:rsid w:val="006401A4"/>
    <w:rsid w:val="006401E7"/>
    <w:rsid w:val="0064026E"/>
    <w:rsid w:val="006406B4"/>
    <w:rsid w:val="00640912"/>
    <w:rsid w:val="00640927"/>
    <w:rsid w:val="00640968"/>
    <w:rsid w:val="0064097E"/>
    <w:rsid w:val="006409E4"/>
    <w:rsid w:val="00640BE3"/>
    <w:rsid w:val="00640EF9"/>
    <w:rsid w:val="00641103"/>
    <w:rsid w:val="00641104"/>
    <w:rsid w:val="006413C9"/>
    <w:rsid w:val="0064150E"/>
    <w:rsid w:val="00641549"/>
    <w:rsid w:val="0064157D"/>
    <w:rsid w:val="006415AC"/>
    <w:rsid w:val="006418CF"/>
    <w:rsid w:val="00641B1C"/>
    <w:rsid w:val="00642321"/>
    <w:rsid w:val="0064271F"/>
    <w:rsid w:val="00642823"/>
    <w:rsid w:val="00642ACD"/>
    <w:rsid w:val="00642E80"/>
    <w:rsid w:val="00642E86"/>
    <w:rsid w:val="00642EF0"/>
    <w:rsid w:val="00642FF8"/>
    <w:rsid w:val="006430BA"/>
    <w:rsid w:val="006431FB"/>
    <w:rsid w:val="00643246"/>
    <w:rsid w:val="00643281"/>
    <w:rsid w:val="006434E2"/>
    <w:rsid w:val="0064363F"/>
    <w:rsid w:val="00643950"/>
    <w:rsid w:val="006439BE"/>
    <w:rsid w:val="006439C7"/>
    <w:rsid w:val="00643A13"/>
    <w:rsid w:val="00643B2A"/>
    <w:rsid w:val="00643BE9"/>
    <w:rsid w:val="00643CC8"/>
    <w:rsid w:val="00643E9C"/>
    <w:rsid w:val="00644063"/>
    <w:rsid w:val="00644246"/>
    <w:rsid w:val="0064460C"/>
    <w:rsid w:val="00644A5A"/>
    <w:rsid w:val="00644D18"/>
    <w:rsid w:val="00644F8E"/>
    <w:rsid w:val="00644FE8"/>
    <w:rsid w:val="006451D3"/>
    <w:rsid w:val="00645229"/>
    <w:rsid w:val="006452FA"/>
    <w:rsid w:val="0064534C"/>
    <w:rsid w:val="0064535D"/>
    <w:rsid w:val="006454CC"/>
    <w:rsid w:val="0064575B"/>
    <w:rsid w:val="0064593F"/>
    <w:rsid w:val="0064599F"/>
    <w:rsid w:val="00645FF3"/>
    <w:rsid w:val="00645FF5"/>
    <w:rsid w:val="00646027"/>
    <w:rsid w:val="00646079"/>
    <w:rsid w:val="0064608A"/>
    <w:rsid w:val="00646213"/>
    <w:rsid w:val="00646270"/>
    <w:rsid w:val="00646295"/>
    <w:rsid w:val="00646418"/>
    <w:rsid w:val="00646623"/>
    <w:rsid w:val="00646BBC"/>
    <w:rsid w:val="00646E12"/>
    <w:rsid w:val="00646E8D"/>
    <w:rsid w:val="00647149"/>
    <w:rsid w:val="0064723B"/>
    <w:rsid w:val="0064762C"/>
    <w:rsid w:val="00647673"/>
    <w:rsid w:val="006478CA"/>
    <w:rsid w:val="00647911"/>
    <w:rsid w:val="00647D61"/>
    <w:rsid w:val="00647E8E"/>
    <w:rsid w:val="00647EEC"/>
    <w:rsid w:val="00650127"/>
    <w:rsid w:val="006501CB"/>
    <w:rsid w:val="006504AD"/>
    <w:rsid w:val="00650556"/>
    <w:rsid w:val="006505A7"/>
    <w:rsid w:val="0065088C"/>
    <w:rsid w:val="006508C0"/>
    <w:rsid w:val="00650D40"/>
    <w:rsid w:val="00650ED0"/>
    <w:rsid w:val="006511D3"/>
    <w:rsid w:val="00651216"/>
    <w:rsid w:val="0065136F"/>
    <w:rsid w:val="006514B8"/>
    <w:rsid w:val="00651622"/>
    <w:rsid w:val="006516D5"/>
    <w:rsid w:val="0065170E"/>
    <w:rsid w:val="006517AA"/>
    <w:rsid w:val="00651900"/>
    <w:rsid w:val="00651B03"/>
    <w:rsid w:val="00651B06"/>
    <w:rsid w:val="00651E7A"/>
    <w:rsid w:val="00651F9D"/>
    <w:rsid w:val="006521F6"/>
    <w:rsid w:val="006522EB"/>
    <w:rsid w:val="00652404"/>
    <w:rsid w:val="00652507"/>
    <w:rsid w:val="006525B7"/>
    <w:rsid w:val="00652620"/>
    <w:rsid w:val="006526EB"/>
    <w:rsid w:val="00652751"/>
    <w:rsid w:val="006528A3"/>
    <w:rsid w:val="00652923"/>
    <w:rsid w:val="00652B58"/>
    <w:rsid w:val="00652C07"/>
    <w:rsid w:val="00652C56"/>
    <w:rsid w:val="00652F64"/>
    <w:rsid w:val="00653038"/>
    <w:rsid w:val="00653060"/>
    <w:rsid w:val="006531FE"/>
    <w:rsid w:val="00653209"/>
    <w:rsid w:val="0065334E"/>
    <w:rsid w:val="0065345E"/>
    <w:rsid w:val="006535CD"/>
    <w:rsid w:val="0065363A"/>
    <w:rsid w:val="00653730"/>
    <w:rsid w:val="00653787"/>
    <w:rsid w:val="006537A7"/>
    <w:rsid w:val="00653922"/>
    <w:rsid w:val="00653A59"/>
    <w:rsid w:val="00653AF4"/>
    <w:rsid w:val="00653DB0"/>
    <w:rsid w:val="00653FFD"/>
    <w:rsid w:val="00654171"/>
    <w:rsid w:val="00654204"/>
    <w:rsid w:val="00654456"/>
    <w:rsid w:val="00654783"/>
    <w:rsid w:val="006547E1"/>
    <w:rsid w:val="00654C0A"/>
    <w:rsid w:val="00654D25"/>
    <w:rsid w:val="00654E62"/>
    <w:rsid w:val="00654F52"/>
    <w:rsid w:val="006551C2"/>
    <w:rsid w:val="006551EC"/>
    <w:rsid w:val="00655221"/>
    <w:rsid w:val="0065538B"/>
    <w:rsid w:val="006553DF"/>
    <w:rsid w:val="006553E5"/>
    <w:rsid w:val="00655632"/>
    <w:rsid w:val="006556CC"/>
    <w:rsid w:val="006559C1"/>
    <w:rsid w:val="00655C0A"/>
    <w:rsid w:val="00655CA8"/>
    <w:rsid w:val="00655CCE"/>
    <w:rsid w:val="00655D2A"/>
    <w:rsid w:val="00655DA4"/>
    <w:rsid w:val="00656059"/>
    <w:rsid w:val="006561B9"/>
    <w:rsid w:val="00656418"/>
    <w:rsid w:val="00656435"/>
    <w:rsid w:val="0065643C"/>
    <w:rsid w:val="006565DF"/>
    <w:rsid w:val="00656636"/>
    <w:rsid w:val="0065680A"/>
    <w:rsid w:val="00656A47"/>
    <w:rsid w:val="00656AE6"/>
    <w:rsid w:val="00656C69"/>
    <w:rsid w:val="00656F88"/>
    <w:rsid w:val="0065713F"/>
    <w:rsid w:val="006571DB"/>
    <w:rsid w:val="00657583"/>
    <w:rsid w:val="006576AE"/>
    <w:rsid w:val="006577F1"/>
    <w:rsid w:val="00657867"/>
    <w:rsid w:val="00657964"/>
    <w:rsid w:val="006579C7"/>
    <w:rsid w:val="006579D6"/>
    <w:rsid w:val="00657AD1"/>
    <w:rsid w:val="00657F87"/>
    <w:rsid w:val="006600EE"/>
    <w:rsid w:val="006604FC"/>
    <w:rsid w:val="00660553"/>
    <w:rsid w:val="0066059D"/>
    <w:rsid w:val="00660613"/>
    <w:rsid w:val="0066078F"/>
    <w:rsid w:val="006607A6"/>
    <w:rsid w:val="006607CD"/>
    <w:rsid w:val="00660815"/>
    <w:rsid w:val="006608A1"/>
    <w:rsid w:val="006609BF"/>
    <w:rsid w:val="00660EA1"/>
    <w:rsid w:val="0066141C"/>
    <w:rsid w:val="006614B8"/>
    <w:rsid w:val="006615F0"/>
    <w:rsid w:val="00661733"/>
    <w:rsid w:val="006617AF"/>
    <w:rsid w:val="006617E4"/>
    <w:rsid w:val="00661B63"/>
    <w:rsid w:val="00661D8F"/>
    <w:rsid w:val="00661FFC"/>
    <w:rsid w:val="00662065"/>
    <w:rsid w:val="0066218E"/>
    <w:rsid w:val="006622C5"/>
    <w:rsid w:val="00662348"/>
    <w:rsid w:val="006624FA"/>
    <w:rsid w:val="006625B6"/>
    <w:rsid w:val="006625CB"/>
    <w:rsid w:val="00662712"/>
    <w:rsid w:val="006627D5"/>
    <w:rsid w:val="00662A50"/>
    <w:rsid w:val="00662C2C"/>
    <w:rsid w:val="00663000"/>
    <w:rsid w:val="0066305E"/>
    <w:rsid w:val="006630C0"/>
    <w:rsid w:val="006632BE"/>
    <w:rsid w:val="0066336F"/>
    <w:rsid w:val="00663578"/>
    <w:rsid w:val="006635AD"/>
    <w:rsid w:val="006638B9"/>
    <w:rsid w:val="0066390F"/>
    <w:rsid w:val="00663B23"/>
    <w:rsid w:val="00663BA0"/>
    <w:rsid w:val="00663D67"/>
    <w:rsid w:val="00663EB5"/>
    <w:rsid w:val="00663FE5"/>
    <w:rsid w:val="00663FE8"/>
    <w:rsid w:val="0066431F"/>
    <w:rsid w:val="0066459D"/>
    <w:rsid w:val="006647E7"/>
    <w:rsid w:val="00664846"/>
    <w:rsid w:val="006649A6"/>
    <w:rsid w:val="00664A9E"/>
    <w:rsid w:val="00664B01"/>
    <w:rsid w:val="00664BE3"/>
    <w:rsid w:val="00665121"/>
    <w:rsid w:val="006651A6"/>
    <w:rsid w:val="006651FC"/>
    <w:rsid w:val="006652C7"/>
    <w:rsid w:val="0066538B"/>
    <w:rsid w:val="00665425"/>
    <w:rsid w:val="00665851"/>
    <w:rsid w:val="00665880"/>
    <w:rsid w:val="00665A04"/>
    <w:rsid w:val="00665A54"/>
    <w:rsid w:val="00665AA7"/>
    <w:rsid w:val="00665BB8"/>
    <w:rsid w:val="00665ECF"/>
    <w:rsid w:val="00665ED0"/>
    <w:rsid w:val="0066615D"/>
    <w:rsid w:val="006661D7"/>
    <w:rsid w:val="0066625D"/>
    <w:rsid w:val="006662EE"/>
    <w:rsid w:val="00666368"/>
    <w:rsid w:val="0066684D"/>
    <w:rsid w:val="00666ACA"/>
    <w:rsid w:val="00666B04"/>
    <w:rsid w:val="00666CF8"/>
    <w:rsid w:val="00666D39"/>
    <w:rsid w:val="00666DDE"/>
    <w:rsid w:val="00666DE4"/>
    <w:rsid w:val="00667068"/>
    <w:rsid w:val="006670D3"/>
    <w:rsid w:val="0066713B"/>
    <w:rsid w:val="00667171"/>
    <w:rsid w:val="006674AF"/>
    <w:rsid w:val="0066752F"/>
    <w:rsid w:val="0066766F"/>
    <w:rsid w:val="0066767B"/>
    <w:rsid w:val="0066775B"/>
    <w:rsid w:val="0066778A"/>
    <w:rsid w:val="006677E9"/>
    <w:rsid w:val="00667856"/>
    <w:rsid w:val="00667AC0"/>
    <w:rsid w:val="00667C20"/>
    <w:rsid w:val="00667C24"/>
    <w:rsid w:val="00667C30"/>
    <w:rsid w:val="00667E41"/>
    <w:rsid w:val="00670080"/>
    <w:rsid w:val="0067017F"/>
    <w:rsid w:val="0067026C"/>
    <w:rsid w:val="006703CA"/>
    <w:rsid w:val="00670569"/>
    <w:rsid w:val="006708C9"/>
    <w:rsid w:val="00670950"/>
    <w:rsid w:val="00670E78"/>
    <w:rsid w:val="00670F61"/>
    <w:rsid w:val="00671375"/>
    <w:rsid w:val="00671390"/>
    <w:rsid w:val="006715A1"/>
    <w:rsid w:val="006716AC"/>
    <w:rsid w:val="00671701"/>
    <w:rsid w:val="00671C86"/>
    <w:rsid w:val="00671C89"/>
    <w:rsid w:val="00672061"/>
    <w:rsid w:val="0067208A"/>
    <w:rsid w:val="00672269"/>
    <w:rsid w:val="00672645"/>
    <w:rsid w:val="006726C3"/>
    <w:rsid w:val="006727E9"/>
    <w:rsid w:val="006728D4"/>
    <w:rsid w:val="00672CC4"/>
    <w:rsid w:val="00672F10"/>
    <w:rsid w:val="00672FE1"/>
    <w:rsid w:val="00673047"/>
    <w:rsid w:val="006730CA"/>
    <w:rsid w:val="006733BF"/>
    <w:rsid w:val="0067344B"/>
    <w:rsid w:val="0067358F"/>
    <w:rsid w:val="00673A8A"/>
    <w:rsid w:val="00673CE4"/>
    <w:rsid w:val="00673DF0"/>
    <w:rsid w:val="00673E44"/>
    <w:rsid w:val="00674690"/>
    <w:rsid w:val="006746E1"/>
    <w:rsid w:val="006747D7"/>
    <w:rsid w:val="00674886"/>
    <w:rsid w:val="00674889"/>
    <w:rsid w:val="006748FA"/>
    <w:rsid w:val="0067491F"/>
    <w:rsid w:val="006749BE"/>
    <w:rsid w:val="006749D5"/>
    <w:rsid w:val="006749D7"/>
    <w:rsid w:val="00674ACB"/>
    <w:rsid w:val="00674B8C"/>
    <w:rsid w:val="00674BDF"/>
    <w:rsid w:val="00674C86"/>
    <w:rsid w:val="00674D80"/>
    <w:rsid w:val="006750D0"/>
    <w:rsid w:val="006754D6"/>
    <w:rsid w:val="00675614"/>
    <w:rsid w:val="00675691"/>
    <w:rsid w:val="00675735"/>
    <w:rsid w:val="0067591A"/>
    <w:rsid w:val="006759E0"/>
    <w:rsid w:val="00675AB3"/>
    <w:rsid w:val="00675BC7"/>
    <w:rsid w:val="00675BD9"/>
    <w:rsid w:val="006762D8"/>
    <w:rsid w:val="0067650A"/>
    <w:rsid w:val="0067657D"/>
    <w:rsid w:val="006765F8"/>
    <w:rsid w:val="00676857"/>
    <w:rsid w:val="00676868"/>
    <w:rsid w:val="006769CC"/>
    <w:rsid w:val="006769D8"/>
    <w:rsid w:val="00676A2E"/>
    <w:rsid w:val="00676A8E"/>
    <w:rsid w:val="00676CED"/>
    <w:rsid w:val="00676D1A"/>
    <w:rsid w:val="006770A4"/>
    <w:rsid w:val="006770AC"/>
    <w:rsid w:val="006771BE"/>
    <w:rsid w:val="0067724A"/>
    <w:rsid w:val="006773F1"/>
    <w:rsid w:val="0067745B"/>
    <w:rsid w:val="006778C1"/>
    <w:rsid w:val="006778ED"/>
    <w:rsid w:val="00677B26"/>
    <w:rsid w:val="00677DE2"/>
    <w:rsid w:val="00677E52"/>
    <w:rsid w:val="00677F1E"/>
    <w:rsid w:val="006800F5"/>
    <w:rsid w:val="0068013B"/>
    <w:rsid w:val="00680145"/>
    <w:rsid w:val="006804FD"/>
    <w:rsid w:val="0068056E"/>
    <w:rsid w:val="00680621"/>
    <w:rsid w:val="006806A0"/>
    <w:rsid w:val="00680920"/>
    <w:rsid w:val="006809C1"/>
    <w:rsid w:val="006809F0"/>
    <w:rsid w:val="00681271"/>
    <w:rsid w:val="006812F2"/>
    <w:rsid w:val="006815AA"/>
    <w:rsid w:val="00681615"/>
    <w:rsid w:val="0068196A"/>
    <w:rsid w:val="00681ACA"/>
    <w:rsid w:val="00681B90"/>
    <w:rsid w:val="00681E2E"/>
    <w:rsid w:val="00681F11"/>
    <w:rsid w:val="00681FDA"/>
    <w:rsid w:val="00682030"/>
    <w:rsid w:val="006820C1"/>
    <w:rsid w:val="006821D3"/>
    <w:rsid w:val="006823C4"/>
    <w:rsid w:val="006823F5"/>
    <w:rsid w:val="006825ED"/>
    <w:rsid w:val="006827CC"/>
    <w:rsid w:val="006828BC"/>
    <w:rsid w:val="006828F3"/>
    <w:rsid w:val="006829CC"/>
    <w:rsid w:val="00682ACE"/>
    <w:rsid w:val="00682C60"/>
    <w:rsid w:val="00682D0C"/>
    <w:rsid w:val="00682D23"/>
    <w:rsid w:val="00682D28"/>
    <w:rsid w:val="00682E33"/>
    <w:rsid w:val="0068307C"/>
    <w:rsid w:val="0068319F"/>
    <w:rsid w:val="0068347E"/>
    <w:rsid w:val="0068348D"/>
    <w:rsid w:val="006836E2"/>
    <w:rsid w:val="00683AA3"/>
    <w:rsid w:val="00683BD7"/>
    <w:rsid w:val="00683BF7"/>
    <w:rsid w:val="006841CD"/>
    <w:rsid w:val="006843FB"/>
    <w:rsid w:val="00684C89"/>
    <w:rsid w:val="00684EAA"/>
    <w:rsid w:val="00684F12"/>
    <w:rsid w:val="006850D1"/>
    <w:rsid w:val="006855A9"/>
    <w:rsid w:val="006856E8"/>
    <w:rsid w:val="006858BC"/>
    <w:rsid w:val="00685B0F"/>
    <w:rsid w:val="00685DB3"/>
    <w:rsid w:val="00686130"/>
    <w:rsid w:val="0068629C"/>
    <w:rsid w:val="006862A4"/>
    <w:rsid w:val="006862BC"/>
    <w:rsid w:val="0068640C"/>
    <w:rsid w:val="0068659A"/>
    <w:rsid w:val="0068673E"/>
    <w:rsid w:val="00686B7B"/>
    <w:rsid w:val="00686F5A"/>
    <w:rsid w:val="00687033"/>
    <w:rsid w:val="006874A7"/>
    <w:rsid w:val="006874C7"/>
    <w:rsid w:val="006875C7"/>
    <w:rsid w:val="006875EC"/>
    <w:rsid w:val="00687676"/>
    <w:rsid w:val="00687821"/>
    <w:rsid w:val="00687879"/>
    <w:rsid w:val="00687965"/>
    <w:rsid w:val="00687B53"/>
    <w:rsid w:val="00687C1B"/>
    <w:rsid w:val="00687E0D"/>
    <w:rsid w:val="00687FFC"/>
    <w:rsid w:val="00690557"/>
    <w:rsid w:val="006909BF"/>
    <w:rsid w:val="00690A65"/>
    <w:rsid w:val="00690A8E"/>
    <w:rsid w:val="00690C66"/>
    <w:rsid w:val="00690C7C"/>
    <w:rsid w:val="00690DF4"/>
    <w:rsid w:val="00690E24"/>
    <w:rsid w:val="00690E53"/>
    <w:rsid w:val="00690E8D"/>
    <w:rsid w:val="00690F6C"/>
    <w:rsid w:val="00691239"/>
    <w:rsid w:val="00691318"/>
    <w:rsid w:val="0069144E"/>
    <w:rsid w:val="00691643"/>
    <w:rsid w:val="006916EA"/>
    <w:rsid w:val="0069172C"/>
    <w:rsid w:val="006917C8"/>
    <w:rsid w:val="00691840"/>
    <w:rsid w:val="00691B15"/>
    <w:rsid w:val="00691B9F"/>
    <w:rsid w:val="00691D75"/>
    <w:rsid w:val="00691E4C"/>
    <w:rsid w:val="00691E78"/>
    <w:rsid w:val="00691FCC"/>
    <w:rsid w:val="00692031"/>
    <w:rsid w:val="0069210E"/>
    <w:rsid w:val="00692128"/>
    <w:rsid w:val="006922C9"/>
    <w:rsid w:val="00692550"/>
    <w:rsid w:val="0069260C"/>
    <w:rsid w:val="006927EA"/>
    <w:rsid w:val="0069295E"/>
    <w:rsid w:val="00692A25"/>
    <w:rsid w:val="00692B71"/>
    <w:rsid w:val="00692C8F"/>
    <w:rsid w:val="00692D8F"/>
    <w:rsid w:val="00692E48"/>
    <w:rsid w:val="00692E7C"/>
    <w:rsid w:val="0069303D"/>
    <w:rsid w:val="006930B5"/>
    <w:rsid w:val="00693265"/>
    <w:rsid w:val="006932AA"/>
    <w:rsid w:val="006933DF"/>
    <w:rsid w:val="006934BE"/>
    <w:rsid w:val="006934C9"/>
    <w:rsid w:val="006935B7"/>
    <w:rsid w:val="006935E4"/>
    <w:rsid w:val="006935EA"/>
    <w:rsid w:val="0069365E"/>
    <w:rsid w:val="00693664"/>
    <w:rsid w:val="00693838"/>
    <w:rsid w:val="0069386D"/>
    <w:rsid w:val="00693911"/>
    <w:rsid w:val="00693A3F"/>
    <w:rsid w:val="00693A9A"/>
    <w:rsid w:val="00693CD3"/>
    <w:rsid w:val="00693D37"/>
    <w:rsid w:val="00693D65"/>
    <w:rsid w:val="00693DA2"/>
    <w:rsid w:val="00693EB5"/>
    <w:rsid w:val="00693F5A"/>
    <w:rsid w:val="00693F62"/>
    <w:rsid w:val="00694045"/>
    <w:rsid w:val="006941FD"/>
    <w:rsid w:val="006945C4"/>
    <w:rsid w:val="006946E0"/>
    <w:rsid w:val="006947FE"/>
    <w:rsid w:val="0069486C"/>
    <w:rsid w:val="006948B9"/>
    <w:rsid w:val="00694A06"/>
    <w:rsid w:val="00694BA1"/>
    <w:rsid w:val="00694DD0"/>
    <w:rsid w:val="00695082"/>
    <w:rsid w:val="006950F0"/>
    <w:rsid w:val="006952B8"/>
    <w:rsid w:val="00695419"/>
    <w:rsid w:val="00695499"/>
    <w:rsid w:val="006955C7"/>
    <w:rsid w:val="00695872"/>
    <w:rsid w:val="00695CA8"/>
    <w:rsid w:val="00696529"/>
    <w:rsid w:val="0069658D"/>
    <w:rsid w:val="00696736"/>
    <w:rsid w:val="006968E8"/>
    <w:rsid w:val="006969FE"/>
    <w:rsid w:val="00696ADB"/>
    <w:rsid w:val="00696B89"/>
    <w:rsid w:val="00696D63"/>
    <w:rsid w:val="00696E76"/>
    <w:rsid w:val="00696FA2"/>
    <w:rsid w:val="0069719A"/>
    <w:rsid w:val="00697213"/>
    <w:rsid w:val="006976C3"/>
    <w:rsid w:val="006978C7"/>
    <w:rsid w:val="00697AEC"/>
    <w:rsid w:val="00697C97"/>
    <w:rsid w:val="00697CD6"/>
    <w:rsid w:val="00697D76"/>
    <w:rsid w:val="00697E31"/>
    <w:rsid w:val="00697E69"/>
    <w:rsid w:val="006A026C"/>
    <w:rsid w:val="006A0432"/>
    <w:rsid w:val="006A04F7"/>
    <w:rsid w:val="006A075C"/>
    <w:rsid w:val="006A076B"/>
    <w:rsid w:val="006A080C"/>
    <w:rsid w:val="006A0825"/>
    <w:rsid w:val="006A099C"/>
    <w:rsid w:val="006A0C58"/>
    <w:rsid w:val="006A0E4B"/>
    <w:rsid w:val="006A1391"/>
    <w:rsid w:val="006A1407"/>
    <w:rsid w:val="006A17D2"/>
    <w:rsid w:val="006A19A2"/>
    <w:rsid w:val="006A1B9A"/>
    <w:rsid w:val="006A1DFB"/>
    <w:rsid w:val="006A1E3E"/>
    <w:rsid w:val="006A1FA6"/>
    <w:rsid w:val="006A2291"/>
    <w:rsid w:val="006A2900"/>
    <w:rsid w:val="006A2B73"/>
    <w:rsid w:val="006A2DD4"/>
    <w:rsid w:val="006A2EF1"/>
    <w:rsid w:val="006A2FD2"/>
    <w:rsid w:val="006A31ED"/>
    <w:rsid w:val="006A3243"/>
    <w:rsid w:val="006A3282"/>
    <w:rsid w:val="006A351B"/>
    <w:rsid w:val="006A3554"/>
    <w:rsid w:val="006A35CE"/>
    <w:rsid w:val="006A3619"/>
    <w:rsid w:val="006A36E4"/>
    <w:rsid w:val="006A36EB"/>
    <w:rsid w:val="006A3769"/>
    <w:rsid w:val="006A39FC"/>
    <w:rsid w:val="006A3AB6"/>
    <w:rsid w:val="006A3AC6"/>
    <w:rsid w:val="006A3D76"/>
    <w:rsid w:val="006A3E10"/>
    <w:rsid w:val="006A3E35"/>
    <w:rsid w:val="006A3EA1"/>
    <w:rsid w:val="006A40AF"/>
    <w:rsid w:val="006A41E1"/>
    <w:rsid w:val="006A4263"/>
    <w:rsid w:val="006A44B7"/>
    <w:rsid w:val="006A44D9"/>
    <w:rsid w:val="006A467D"/>
    <w:rsid w:val="006A474E"/>
    <w:rsid w:val="006A4973"/>
    <w:rsid w:val="006A4A28"/>
    <w:rsid w:val="006A4AAE"/>
    <w:rsid w:val="006A4C4F"/>
    <w:rsid w:val="006A4D70"/>
    <w:rsid w:val="006A4DEF"/>
    <w:rsid w:val="006A4E79"/>
    <w:rsid w:val="006A4FFF"/>
    <w:rsid w:val="006A52F2"/>
    <w:rsid w:val="006A5716"/>
    <w:rsid w:val="006A5753"/>
    <w:rsid w:val="006A58D0"/>
    <w:rsid w:val="006A5A53"/>
    <w:rsid w:val="006A5D0F"/>
    <w:rsid w:val="006A60EC"/>
    <w:rsid w:val="006A620F"/>
    <w:rsid w:val="006A6350"/>
    <w:rsid w:val="006A63F3"/>
    <w:rsid w:val="006A6441"/>
    <w:rsid w:val="006A6485"/>
    <w:rsid w:val="006A64B7"/>
    <w:rsid w:val="006A6520"/>
    <w:rsid w:val="006A6792"/>
    <w:rsid w:val="006A6942"/>
    <w:rsid w:val="006A6AC2"/>
    <w:rsid w:val="006A6B9B"/>
    <w:rsid w:val="006A6BF3"/>
    <w:rsid w:val="006A6CB7"/>
    <w:rsid w:val="006A6F96"/>
    <w:rsid w:val="006A7000"/>
    <w:rsid w:val="006A7018"/>
    <w:rsid w:val="006A7126"/>
    <w:rsid w:val="006A71BA"/>
    <w:rsid w:val="006A7238"/>
    <w:rsid w:val="006A727A"/>
    <w:rsid w:val="006A7535"/>
    <w:rsid w:val="006A758E"/>
    <w:rsid w:val="006A7681"/>
    <w:rsid w:val="006A7A64"/>
    <w:rsid w:val="006A7BA0"/>
    <w:rsid w:val="006A7BA6"/>
    <w:rsid w:val="006A7C0C"/>
    <w:rsid w:val="006A7E6A"/>
    <w:rsid w:val="006A7E6E"/>
    <w:rsid w:val="006A7E7E"/>
    <w:rsid w:val="006A7FF3"/>
    <w:rsid w:val="006B0188"/>
    <w:rsid w:val="006B02DA"/>
    <w:rsid w:val="006B04FD"/>
    <w:rsid w:val="006B04FE"/>
    <w:rsid w:val="006B0546"/>
    <w:rsid w:val="006B087B"/>
    <w:rsid w:val="006B144F"/>
    <w:rsid w:val="006B1458"/>
    <w:rsid w:val="006B1843"/>
    <w:rsid w:val="006B1A56"/>
    <w:rsid w:val="006B1C37"/>
    <w:rsid w:val="006B1CC3"/>
    <w:rsid w:val="006B2077"/>
    <w:rsid w:val="006B2123"/>
    <w:rsid w:val="006B2320"/>
    <w:rsid w:val="006B234B"/>
    <w:rsid w:val="006B26B5"/>
    <w:rsid w:val="006B26DD"/>
    <w:rsid w:val="006B2915"/>
    <w:rsid w:val="006B29DB"/>
    <w:rsid w:val="006B2A76"/>
    <w:rsid w:val="006B2AA9"/>
    <w:rsid w:val="006B2CDC"/>
    <w:rsid w:val="006B2DE7"/>
    <w:rsid w:val="006B2F9E"/>
    <w:rsid w:val="006B30A4"/>
    <w:rsid w:val="006B32B9"/>
    <w:rsid w:val="006B363A"/>
    <w:rsid w:val="006B369B"/>
    <w:rsid w:val="006B38BF"/>
    <w:rsid w:val="006B38E8"/>
    <w:rsid w:val="006B3A43"/>
    <w:rsid w:val="006B3ADC"/>
    <w:rsid w:val="006B3B35"/>
    <w:rsid w:val="006B3BD4"/>
    <w:rsid w:val="006B3E01"/>
    <w:rsid w:val="006B3EC6"/>
    <w:rsid w:val="006B3FB5"/>
    <w:rsid w:val="006B4012"/>
    <w:rsid w:val="006B4396"/>
    <w:rsid w:val="006B4531"/>
    <w:rsid w:val="006B4640"/>
    <w:rsid w:val="006B4845"/>
    <w:rsid w:val="006B48C7"/>
    <w:rsid w:val="006B48E1"/>
    <w:rsid w:val="006B4B9A"/>
    <w:rsid w:val="006B4C17"/>
    <w:rsid w:val="006B509A"/>
    <w:rsid w:val="006B5142"/>
    <w:rsid w:val="006B5279"/>
    <w:rsid w:val="006B52BC"/>
    <w:rsid w:val="006B551A"/>
    <w:rsid w:val="006B55BA"/>
    <w:rsid w:val="006B583B"/>
    <w:rsid w:val="006B5992"/>
    <w:rsid w:val="006B59AF"/>
    <w:rsid w:val="006B59D2"/>
    <w:rsid w:val="006B5A2E"/>
    <w:rsid w:val="006B5F56"/>
    <w:rsid w:val="006B6036"/>
    <w:rsid w:val="006B6086"/>
    <w:rsid w:val="006B6318"/>
    <w:rsid w:val="006B6322"/>
    <w:rsid w:val="006B63C1"/>
    <w:rsid w:val="006B67E2"/>
    <w:rsid w:val="006B687C"/>
    <w:rsid w:val="006B69F3"/>
    <w:rsid w:val="006B6A83"/>
    <w:rsid w:val="006B6C2B"/>
    <w:rsid w:val="006B7051"/>
    <w:rsid w:val="006B7094"/>
    <w:rsid w:val="006B7279"/>
    <w:rsid w:val="006B75D8"/>
    <w:rsid w:val="006B760C"/>
    <w:rsid w:val="006B7644"/>
    <w:rsid w:val="006B76A1"/>
    <w:rsid w:val="006B7916"/>
    <w:rsid w:val="006B7ACC"/>
    <w:rsid w:val="006B7CB5"/>
    <w:rsid w:val="006B7CCD"/>
    <w:rsid w:val="006B7F97"/>
    <w:rsid w:val="006C012B"/>
    <w:rsid w:val="006C0130"/>
    <w:rsid w:val="006C01A1"/>
    <w:rsid w:val="006C063F"/>
    <w:rsid w:val="006C06E6"/>
    <w:rsid w:val="006C0896"/>
    <w:rsid w:val="006C0943"/>
    <w:rsid w:val="006C09CF"/>
    <w:rsid w:val="006C0A11"/>
    <w:rsid w:val="006C0C36"/>
    <w:rsid w:val="006C0D38"/>
    <w:rsid w:val="006C0EB9"/>
    <w:rsid w:val="006C0F91"/>
    <w:rsid w:val="006C0FE7"/>
    <w:rsid w:val="006C11AA"/>
    <w:rsid w:val="006C12B9"/>
    <w:rsid w:val="006C12D6"/>
    <w:rsid w:val="006C14D5"/>
    <w:rsid w:val="006C16E7"/>
    <w:rsid w:val="006C1719"/>
    <w:rsid w:val="006C17A7"/>
    <w:rsid w:val="006C1DEE"/>
    <w:rsid w:val="006C1E0B"/>
    <w:rsid w:val="006C1EFC"/>
    <w:rsid w:val="006C2018"/>
    <w:rsid w:val="006C245B"/>
    <w:rsid w:val="006C246C"/>
    <w:rsid w:val="006C278E"/>
    <w:rsid w:val="006C28B4"/>
    <w:rsid w:val="006C297F"/>
    <w:rsid w:val="006C2B84"/>
    <w:rsid w:val="006C2EC1"/>
    <w:rsid w:val="006C2EFD"/>
    <w:rsid w:val="006C2F88"/>
    <w:rsid w:val="006C31ED"/>
    <w:rsid w:val="006C333F"/>
    <w:rsid w:val="006C34A4"/>
    <w:rsid w:val="006C375C"/>
    <w:rsid w:val="006C3820"/>
    <w:rsid w:val="006C3885"/>
    <w:rsid w:val="006C399C"/>
    <w:rsid w:val="006C3BE3"/>
    <w:rsid w:val="006C3C81"/>
    <w:rsid w:val="006C3D21"/>
    <w:rsid w:val="006C3ED7"/>
    <w:rsid w:val="006C3EF8"/>
    <w:rsid w:val="006C40A1"/>
    <w:rsid w:val="006C4711"/>
    <w:rsid w:val="006C4766"/>
    <w:rsid w:val="006C480E"/>
    <w:rsid w:val="006C4A81"/>
    <w:rsid w:val="006C4B18"/>
    <w:rsid w:val="006C4BDE"/>
    <w:rsid w:val="006C4E46"/>
    <w:rsid w:val="006C4FA4"/>
    <w:rsid w:val="006C52D2"/>
    <w:rsid w:val="006C5315"/>
    <w:rsid w:val="006C5323"/>
    <w:rsid w:val="006C53C8"/>
    <w:rsid w:val="006C55D6"/>
    <w:rsid w:val="006C5858"/>
    <w:rsid w:val="006C58FD"/>
    <w:rsid w:val="006C5AB9"/>
    <w:rsid w:val="006C5BB9"/>
    <w:rsid w:val="006C5C64"/>
    <w:rsid w:val="006C5D5E"/>
    <w:rsid w:val="006C5D9B"/>
    <w:rsid w:val="006C5DCD"/>
    <w:rsid w:val="006C5FC9"/>
    <w:rsid w:val="006C610D"/>
    <w:rsid w:val="006C61A7"/>
    <w:rsid w:val="006C6203"/>
    <w:rsid w:val="006C62E1"/>
    <w:rsid w:val="006C6655"/>
    <w:rsid w:val="006C6690"/>
    <w:rsid w:val="006C66D1"/>
    <w:rsid w:val="006C69CA"/>
    <w:rsid w:val="006C6C8A"/>
    <w:rsid w:val="006C6C9B"/>
    <w:rsid w:val="006C6D83"/>
    <w:rsid w:val="006C6E5A"/>
    <w:rsid w:val="006C6F2C"/>
    <w:rsid w:val="006C715F"/>
    <w:rsid w:val="006C71DA"/>
    <w:rsid w:val="006C748A"/>
    <w:rsid w:val="006C7A07"/>
    <w:rsid w:val="006C7A15"/>
    <w:rsid w:val="006C7B47"/>
    <w:rsid w:val="006D00CF"/>
    <w:rsid w:val="006D0141"/>
    <w:rsid w:val="006D054E"/>
    <w:rsid w:val="006D06D9"/>
    <w:rsid w:val="006D0740"/>
    <w:rsid w:val="006D0973"/>
    <w:rsid w:val="006D0A10"/>
    <w:rsid w:val="006D0A43"/>
    <w:rsid w:val="006D0B48"/>
    <w:rsid w:val="006D0DD7"/>
    <w:rsid w:val="006D0E3D"/>
    <w:rsid w:val="006D1179"/>
    <w:rsid w:val="006D11B6"/>
    <w:rsid w:val="006D12F1"/>
    <w:rsid w:val="006D148E"/>
    <w:rsid w:val="006D193F"/>
    <w:rsid w:val="006D1A20"/>
    <w:rsid w:val="006D1B3A"/>
    <w:rsid w:val="006D1B63"/>
    <w:rsid w:val="006D1E73"/>
    <w:rsid w:val="006D1F14"/>
    <w:rsid w:val="006D200B"/>
    <w:rsid w:val="006D206C"/>
    <w:rsid w:val="006D20D3"/>
    <w:rsid w:val="006D2391"/>
    <w:rsid w:val="006D2402"/>
    <w:rsid w:val="006D256C"/>
    <w:rsid w:val="006D257B"/>
    <w:rsid w:val="006D2AA3"/>
    <w:rsid w:val="006D2B17"/>
    <w:rsid w:val="006D2D83"/>
    <w:rsid w:val="006D2DA1"/>
    <w:rsid w:val="006D2FEB"/>
    <w:rsid w:val="006D2FF0"/>
    <w:rsid w:val="006D3125"/>
    <w:rsid w:val="006D31C6"/>
    <w:rsid w:val="006D32F1"/>
    <w:rsid w:val="006D3537"/>
    <w:rsid w:val="006D3832"/>
    <w:rsid w:val="006D3954"/>
    <w:rsid w:val="006D3AE3"/>
    <w:rsid w:val="006D3AFE"/>
    <w:rsid w:val="006D3FD6"/>
    <w:rsid w:val="006D4003"/>
    <w:rsid w:val="006D40C9"/>
    <w:rsid w:val="006D4111"/>
    <w:rsid w:val="006D413A"/>
    <w:rsid w:val="006D41E4"/>
    <w:rsid w:val="006D43BD"/>
    <w:rsid w:val="006D479B"/>
    <w:rsid w:val="006D481C"/>
    <w:rsid w:val="006D4837"/>
    <w:rsid w:val="006D4904"/>
    <w:rsid w:val="006D4D66"/>
    <w:rsid w:val="006D52EC"/>
    <w:rsid w:val="006D55AE"/>
    <w:rsid w:val="006D56AF"/>
    <w:rsid w:val="006D59C5"/>
    <w:rsid w:val="006D5B75"/>
    <w:rsid w:val="006D5F5B"/>
    <w:rsid w:val="006D5FB7"/>
    <w:rsid w:val="006D602C"/>
    <w:rsid w:val="006D60AB"/>
    <w:rsid w:val="006D60E9"/>
    <w:rsid w:val="006D6195"/>
    <w:rsid w:val="006D6548"/>
    <w:rsid w:val="006D6595"/>
    <w:rsid w:val="006D69D0"/>
    <w:rsid w:val="006D6B47"/>
    <w:rsid w:val="006D6BFD"/>
    <w:rsid w:val="006D6DBA"/>
    <w:rsid w:val="006D6E84"/>
    <w:rsid w:val="006D7194"/>
    <w:rsid w:val="006D72F6"/>
    <w:rsid w:val="006D735C"/>
    <w:rsid w:val="006D73DD"/>
    <w:rsid w:val="006D7812"/>
    <w:rsid w:val="006D7C6D"/>
    <w:rsid w:val="006D7C80"/>
    <w:rsid w:val="006D7D5B"/>
    <w:rsid w:val="006E0035"/>
    <w:rsid w:val="006E016C"/>
    <w:rsid w:val="006E0198"/>
    <w:rsid w:val="006E01C2"/>
    <w:rsid w:val="006E0252"/>
    <w:rsid w:val="006E0300"/>
    <w:rsid w:val="006E0630"/>
    <w:rsid w:val="006E071A"/>
    <w:rsid w:val="006E0897"/>
    <w:rsid w:val="006E0B89"/>
    <w:rsid w:val="006E0C40"/>
    <w:rsid w:val="006E0C88"/>
    <w:rsid w:val="006E0DCB"/>
    <w:rsid w:val="006E0F44"/>
    <w:rsid w:val="006E0F48"/>
    <w:rsid w:val="006E1253"/>
    <w:rsid w:val="006E1678"/>
    <w:rsid w:val="006E16D9"/>
    <w:rsid w:val="006E17A2"/>
    <w:rsid w:val="006E1AA7"/>
    <w:rsid w:val="006E1ACE"/>
    <w:rsid w:val="006E1B00"/>
    <w:rsid w:val="006E1B14"/>
    <w:rsid w:val="006E1B1D"/>
    <w:rsid w:val="006E1C4F"/>
    <w:rsid w:val="006E1D18"/>
    <w:rsid w:val="006E1E5E"/>
    <w:rsid w:val="006E22FE"/>
    <w:rsid w:val="006E2872"/>
    <w:rsid w:val="006E2889"/>
    <w:rsid w:val="006E2C6E"/>
    <w:rsid w:val="006E2CB3"/>
    <w:rsid w:val="006E2D46"/>
    <w:rsid w:val="006E2FF1"/>
    <w:rsid w:val="006E313C"/>
    <w:rsid w:val="006E314F"/>
    <w:rsid w:val="006E3518"/>
    <w:rsid w:val="006E35C8"/>
    <w:rsid w:val="006E3665"/>
    <w:rsid w:val="006E36EB"/>
    <w:rsid w:val="006E3AFC"/>
    <w:rsid w:val="006E3B8B"/>
    <w:rsid w:val="006E3FE8"/>
    <w:rsid w:val="006E4059"/>
    <w:rsid w:val="006E4134"/>
    <w:rsid w:val="006E4423"/>
    <w:rsid w:val="006E4B79"/>
    <w:rsid w:val="006E4BB4"/>
    <w:rsid w:val="006E4D86"/>
    <w:rsid w:val="006E4DAE"/>
    <w:rsid w:val="006E4F2B"/>
    <w:rsid w:val="006E4F58"/>
    <w:rsid w:val="006E5079"/>
    <w:rsid w:val="006E50C8"/>
    <w:rsid w:val="006E51C0"/>
    <w:rsid w:val="006E51EC"/>
    <w:rsid w:val="006E5285"/>
    <w:rsid w:val="006E532E"/>
    <w:rsid w:val="006E560F"/>
    <w:rsid w:val="006E5769"/>
    <w:rsid w:val="006E58B4"/>
    <w:rsid w:val="006E5ABD"/>
    <w:rsid w:val="006E5C79"/>
    <w:rsid w:val="006E5E5B"/>
    <w:rsid w:val="006E5ED0"/>
    <w:rsid w:val="006E5F74"/>
    <w:rsid w:val="006E6179"/>
    <w:rsid w:val="006E617E"/>
    <w:rsid w:val="006E61FA"/>
    <w:rsid w:val="006E6626"/>
    <w:rsid w:val="006E66AE"/>
    <w:rsid w:val="006E66EF"/>
    <w:rsid w:val="006E66FF"/>
    <w:rsid w:val="006E67F0"/>
    <w:rsid w:val="006E681E"/>
    <w:rsid w:val="006E6969"/>
    <w:rsid w:val="006E6BAC"/>
    <w:rsid w:val="006E6F1B"/>
    <w:rsid w:val="006E70FC"/>
    <w:rsid w:val="006E72B3"/>
    <w:rsid w:val="006E7324"/>
    <w:rsid w:val="006E7589"/>
    <w:rsid w:val="006E76C0"/>
    <w:rsid w:val="006E77E5"/>
    <w:rsid w:val="006E791D"/>
    <w:rsid w:val="006E7946"/>
    <w:rsid w:val="006E79D8"/>
    <w:rsid w:val="006E7AF7"/>
    <w:rsid w:val="006E7C68"/>
    <w:rsid w:val="006F0109"/>
    <w:rsid w:val="006F01BA"/>
    <w:rsid w:val="006F0222"/>
    <w:rsid w:val="006F02CB"/>
    <w:rsid w:val="006F0438"/>
    <w:rsid w:val="006F08F4"/>
    <w:rsid w:val="006F0B59"/>
    <w:rsid w:val="006F0C2A"/>
    <w:rsid w:val="006F0CC3"/>
    <w:rsid w:val="006F0D49"/>
    <w:rsid w:val="006F0E04"/>
    <w:rsid w:val="006F10B0"/>
    <w:rsid w:val="006F10C6"/>
    <w:rsid w:val="006F115F"/>
    <w:rsid w:val="006F12B0"/>
    <w:rsid w:val="006F14A9"/>
    <w:rsid w:val="006F1612"/>
    <w:rsid w:val="006F172B"/>
    <w:rsid w:val="006F181B"/>
    <w:rsid w:val="006F1B48"/>
    <w:rsid w:val="006F1B90"/>
    <w:rsid w:val="006F1D05"/>
    <w:rsid w:val="006F1DC1"/>
    <w:rsid w:val="006F1F49"/>
    <w:rsid w:val="006F1FAB"/>
    <w:rsid w:val="006F20E6"/>
    <w:rsid w:val="006F2120"/>
    <w:rsid w:val="006F22C8"/>
    <w:rsid w:val="006F2417"/>
    <w:rsid w:val="006F2484"/>
    <w:rsid w:val="006F285E"/>
    <w:rsid w:val="006F2939"/>
    <w:rsid w:val="006F2AFD"/>
    <w:rsid w:val="006F2D2A"/>
    <w:rsid w:val="006F2F6A"/>
    <w:rsid w:val="006F2FE3"/>
    <w:rsid w:val="006F32EA"/>
    <w:rsid w:val="006F3352"/>
    <w:rsid w:val="006F3D13"/>
    <w:rsid w:val="006F3FC8"/>
    <w:rsid w:val="006F4139"/>
    <w:rsid w:val="006F41A5"/>
    <w:rsid w:val="006F4442"/>
    <w:rsid w:val="006F4549"/>
    <w:rsid w:val="006F48AE"/>
    <w:rsid w:val="006F48EF"/>
    <w:rsid w:val="006F4C7E"/>
    <w:rsid w:val="006F4C98"/>
    <w:rsid w:val="006F4E47"/>
    <w:rsid w:val="006F5176"/>
    <w:rsid w:val="006F538F"/>
    <w:rsid w:val="006F5444"/>
    <w:rsid w:val="006F5553"/>
    <w:rsid w:val="006F58A5"/>
    <w:rsid w:val="006F5961"/>
    <w:rsid w:val="006F598C"/>
    <w:rsid w:val="006F5C9D"/>
    <w:rsid w:val="006F5FDC"/>
    <w:rsid w:val="006F6067"/>
    <w:rsid w:val="006F6072"/>
    <w:rsid w:val="006F60EF"/>
    <w:rsid w:val="006F6381"/>
    <w:rsid w:val="006F67A4"/>
    <w:rsid w:val="006F68F1"/>
    <w:rsid w:val="006F6985"/>
    <w:rsid w:val="006F6A49"/>
    <w:rsid w:val="006F6B44"/>
    <w:rsid w:val="006F6B52"/>
    <w:rsid w:val="006F6CA9"/>
    <w:rsid w:val="006F6D05"/>
    <w:rsid w:val="006F6FE6"/>
    <w:rsid w:val="006F70DA"/>
    <w:rsid w:val="006F73A4"/>
    <w:rsid w:val="006F73B5"/>
    <w:rsid w:val="006F73C6"/>
    <w:rsid w:val="006F7443"/>
    <w:rsid w:val="006F74BB"/>
    <w:rsid w:val="006F7558"/>
    <w:rsid w:val="006F77FB"/>
    <w:rsid w:val="006F79BA"/>
    <w:rsid w:val="006F7AC0"/>
    <w:rsid w:val="006F7C94"/>
    <w:rsid w:val="006F7F17"/>
    <w:rsid w:val="00700228"/>
    <w:rsid w:val="00700235"/>
    <w:rsid w:val="00700736"/>
    <w:rsid w:val="00700977"/>
    <w:rsid w:val="00700ACB"/>
    <w:rsid w:val="00700CA5"/>
    <w:rsid w:val="00700EBF"/>
    <w:rsid w:val="00700F8B"/>
    <w:rsid w:val="00700FFA"/>
    <w:rsid w:val="00701219"/>
    <w:rsid w:val="00701264"/>
    <w:rsid w:val="007012E7"/>
    <w:rsid w:val="00701356"/>
    <w:rsid w:val="007013BA"/>
    <w:rsid w:val="00701677"/>
    <w:rsid w:val="0070179D"/>
    <w:rsid w:val="007017A8"/>
    <w:rsid w:val="00701A23"/>
    <w:rsid w:val="00701DEA"/>
    <w:rsid w:val="007022AB"/>
    <w:rsid w:val="007023BF"/>
    <w:rsid w:val="007023C0"/>
    <w:rsid w:val="007023F2"/>
    <w:rsid w:val="0070249F"/>
    <w:rsid w:val="0070260C"/>
    <w:rsid w:val="00702627"/>
    <w:rsid w:val="007026C5"/>
    <w:rsid w:val="007027EC"/>
    <w:rsid w:val="00702A57"/>
    <w:rsid w:val="00702A90"/>
    <w:rsid w:val="00702B09"/>
    <w:rsid w:val="00702B2B"/>
    <w:rsid w:val="00702C97"/>
    <w:rsid w:val="00702DFF"/>
    <w:rsid w:val="00702E77"/>
    <w:rsid w:val="00703055"/>
    <w:rsid w:val="00703167"/>
    <w:rsid w:val="007033D4"/>
    <w:rsid w:val="0070341B"/>
    <w:rsid w:val="007035E6"/>
    <w:rsid w:val="0070364A"/>
    <w:rsid w:val="007039F7"/>
    <w:rsid w:val="00703F37"/>
    <w:rsid w:val="0070406F"/>
    <w:rsid w:val="00704086"/>
    <w:rsid w:val="007042EC"/>
    <w:rsid w:val="007044D9"/>
    <w:rsid w:val="0070466C"/>
    <w:rsid w:val="007048F9"/>
    <w:rsid w:val="0070495A"/>
    <w:rsid w:val="0070495F"/>
    <w:rsid w:val="007049DC"/>
    <w:rsid w:val="00704A8A"/>
    <w:rsid w:val="00704B32"/>
    <w:rsid w:val="00704BBD"/>
    <w:rsid w:val="00704CE8"/>
    <w:rsid w:val="00704F4C"/>
    <w:rsid w:val="00705126"/>
    <w:rsid w:val="007053B9"/>
    <w:rsid w:val="007054E1"/>
    <w:rsid w:val="007055CD"/>
    <w:rsid w:val="0070570E"/>
    <w:rsid w:val="007057D2"/>
    <w:rsid w:val="0070588D"/>
    <w:rsid w:val="00705BC9"/>
    <w:rsid w:val="00705D8B"/>
    <w:rsid w:val="00705F09"/>
    <w:rsid w:val="00705F73"/>
    <w:rsid w:val="00705FAF"/>
    <w:rsid w:val="007063BD"/>
    <w:rsid w:val="00706554"/>
    <w:rsid w:val="00706931"/>
    <w:rsid w:val="00706947"/>
    <w:rsid w:val="00706A45"/>
    <w:rsid w:val="00706B58"/>
    <w:rsid w:val="00706DAF"/>
    <w:rsid w:val="00706F0D"/>
    <w:rsid w:val="00706F78"/>
    <w:rsid w:val="00707142"/>
    <w:rsid w:val="0070721B"/>
    <w:rsid w:val="0070738C"/>
    <w:rsid w:val="00707439"/>
    <w:rsid w:val="00707549"/>
    <w:rsid w:val="00707705"/>
    <w:rsid w:val="0070797B"/>
    <w:rsid w:val="00707AB2"/>
    <w:rsid w:val="00707D04"/>
    <w:rsid w:val="00710181"/>
    <w:rsid w:val="007102D3"/>
    <w:rsid w:val="007102F3"/>
    <w:rsid w:val="00710358"/>
    <w:rsid w:val="007103BA"/>
    <w:rsid w:val="0071091E"/>
    <w:rsid w:val="00710933"/>
    <w:rsid w:val="007109E5"/>
    <w:rsid w:val="00710AB6"/>
    <w:rsid w:val="00710AFF"/>
    <w:rsid w:val="00710B51"/>
    <w:rsid w:val="00710B5B"/>
    <w:rsid w:val="00710B5C"/>
    <w:rsid w:val="00710C67"/>
    <w:rsid w:val="00710C7A"/>
    <w:rsid w:val="00710D40"/>
    <w:rsid w:val="00710DA7"/>
    <w:rsid w:val="00710DD3"/>
    <w:rsid w:val="00710ED7"/>
    <w:rsid w:val="00710F35"/>
    <w:rsid w:val="00710FB8"/>
    <w:rsid w:val="00710FE5"/>
    <w:rsid w:val="00710FE9"/>
    <w:rsid w:val="007110F1"/>
    <w:rsid w:val="0071128F"/>
    <w:rsid w:val="00711386"/>
    <w:rsid w:val="007114A5"/>
    <w:rsid w:val="0071163E"/>
    <w:rsid w:val="00711905"/>
    <w:rsid w:val="00711A19"/>
    <w:rsid w:val="00711A4F"/>
    <w:rsid w:val="00711E44"/>
    <w:rsid w:val="00711F4F"/>
    <w:rsid w:val="00712343"/>
    <w:rsid w:val="007124D3"/>
    <w:rsid w:val="00712524"/>
    <w:rsid w:val="00712648"/>
    <w:rsid w:val="0071264C"/>
    <w:rsid w:val="007128BE"/>
    <w:rsid w:val="00712941"/>
    <w:rsid w:val="00712945"/>
    <w:rsid w:val="0071295C"/>
    <w:rsid w:val="00712A1E"/>
    <w:rsid w:val="00712E31"/>
    <w:rsid w:val="00712EE2"/>
    <w:rsid w:val="0071302A"/>
    <w:rsid w:val="0071304C"/>
    <w:rsid w:val="00713138"/>
    <w:rsid w:val="00713272"/>
    <w:rsid w:val="00713487"/>
    <w:rsid w:val="007134B1"/>
    <w:rsid w:val="0071350C"/>
    <w:rsid w:val="00713807"/>
    <w:rsid w:val="0071384E"/>
    <w:rsid w:val="00713891"/>
    <w:rsid w:val="00713895"/>
    <w:rsid w:val="00713BC2"/>
    <w:rsid w:val="00713BFA"/>
    <w:rsid w:val="00713CB0"/>
    <w:rsid w:val="00713D38"/>
    <w:rsid w:val="00713D8B"/>
    <w:rsid w:val="0071404C"/>
    <w:rsid w:val="00714110"/>
    <w:rsid w:val="007141EB"/>
    <w:rsid w:val="007144D3"/>
    <w:rsid w:val="007145BD"/>
    <w:rsid w:val="0071482C"/>
    <w:rsid w:val="00714860"/>
    <w:rsid w:val="0071498B"/>
    <w:rsid w:val="00714997"/>
    <w:rsid w:val="00714A3B"/>
    <w:rsid w:val="00714A84"/>
    <w:rsid w:val="00714B31"/>
    <w:rsid w:val="00714C10"/>
    <w:rsid w:val="00714DEB"/>
    <w:rsid w:val="00714DFD"/>
    <w:rsid w:val="00714E55"/>
    <w:rsid w:val="00714E65"/>
    <w:rsid w:val="00714E70"/>
    <w:rsid w:val="00715043"/>
    <w:rsid w:val="007151CA"/>
    <w:rsid w:val="00715286"/>
    <w:rsid w:val="007152F4"/>
    <w:rsid w:val="00715768"/>
    <w:rsid w:val="00715A27"/>
    <w:rsid w:val="00715B7B"/>
    <w:rsid w:val="00715BA5"/>
    <w:rsid w:val="00715FCD"/>
    <w:rsid w:val="00716099"/>
    <w:rsid w:val="00716556"/>
    <w:rsid w:val="007166D1"/>
    <w:rsid w:val="0071686D"/>
    <w:rsid w:val="0071693A"/>
    <w:rsid w:val="00716C82"/>
    <w:rsid w:val="00716D23"/>
    <w:rsid w:val="00717046"/>
    <w:rsid w:val="00717120"/>
    <w:rsid w:val="0071752D"/>
    <w:rsid w:val="007175AE"/>
    <w:rsid w:val="007175C4"/>
    <w:rsid w:val="007175D0"/>
    <w:rsid w:val="0071766B"/>
    <w:rsid w:val="00717759"/>
    <w:rsid w:val="007177ED"/>
    <w:rsid w:val="007178FE"/>
    <w:rsid w:val="0071795F"/>
    <w:rsid w:val="0071796D"/>
    <w:rsid w:val="00717ACD"/>
    <w:rsid w:val="00717B0D"/>
    <w:rsid w:val="00717F59"/>
    <w:rsid w:val="00717F92"/>
    <w:rsid w:val="00720195"/>
    <w:rsid w:val="007201C8"/>
    <w:rsid w:val="0072024D"/>
    <w:rsid w:val="0072039B"/>
    <w:rsid w:val="007204F3"/>
    <w:rsid w:val="00720596"/>
    <w:rsid w:val="007207E3"/>
    <w:rsid w:val="00720812"/>
    <w:rsid w:val="00720833"/>
    <w:rsid w:val="00720834"/>
    <w:rsid w:val="00720A7F"/>
    <w:rsid w:val="00720B20"/>
    <w:rsid w:val="00720C14"/>
    <w:rsid w:val="00720F68"/>
    <w:rsid w:val="00720FED"/>
    <w:rsid w:val="007210D1"/>
    <w:rsid w:val="007210F5"/>
    <w:rsid w:val="0072149F"/>
    <w:rsid w:val="0072171B"/>
    <w:rsid w:val="0072172A"/>
    <w:rsid w:val="00721778"/>
    <w:rsid w:val="00721B16"/>
    <w:rsid w:val="00721B75"/>
    <w:rsid w:val="00721C1A"/>
    <w:rsid w:val="00721C7A"/>
    <w:rsid w:val="00721DC4"/>
    <w:rsid w:val="00721E27"/>
    <w:rsid w:val="0072227A"/>
    <w:rsid w:val="0072246E"/>
    <w:rsid w:val="00722474"/>
    <w:rsid w:val="0072255C"/>
    <w:rsid w:val="00722680"/>
    <w:rsid w:val="0072279F"/>
    <w:rsid w:val="00722C05"/>
    <w:rsid w:val="00722CFE"/>
    <w:rsid w:val="00722D36"/>
    <w:rsid w:val="00722F16"/>
    <w:rsid w:val="0072302C"/>
    <w:rsid w:val="007230BF"/>
    <w:rsid w:val="00723153"/>
    <w:rsid w:val="0072315F"/>
    <w:rsid w:val="007231A4"/>
    <w:rsid w:val="00723239"/>
    <w:rsid w:val="007234D7"/>
    <w:rsid w:val="0072357B"/>
    <w:rsid w:val="00723730"/>
    <w:rsid w:val="00723747"/>
    <w:rsid w:val="007237C4"/>
    <w:rsid w:val="007237F2"/>
    <w:rsid w:val="007238B8"/>
    <w:rsid w:val="00723946"/>
    <w:rsid w:val="007239E6"/>
    <w:rsid w:val="00723B64"/>
    <w:rsid w:val="00723C5D"/>
    <w:rsid w:val="00723EEB"/>
    <w:rsid w:val="007240B0"/>
    <w:rsid w:val="007241D7"/>
    <w:rsid w:val="00724326"/>
    <w:rsid w:val="0072434A"/>
    <w:rsid w:val="007243D4"/>
    <w:rsid w:val="007245B1"/>
    <w:rsid w:val="0072460E"/>
    <w:rsid w:val="00724A7B"/>
    <w:rsid w:val="00724A83"/>
    <w:rsid w:val="00724C19"/>
    <w:rsid w:val="00724C2E"/>
    <w:rsid w:val="00724CF8"/>
    <w:rsid w:val="00724D5D"/>
    <w:rsid w:val="00724D67"/>
    <w:rsid w:val="00724DAD"/>
    <w:rsid w:val="0072506F"/>
    <w:rsid w:val="007250FF"/>
    <w:rsid w:val="00725361"/>
    <w:rsid w:val="007257CC"/>
    <w:rsid w:val="00725820"/>
    <w:rsid w:val="00725B0D"/>
    <w:rsid w:val="00725BA1"/>
    <w:rsid w:val="00725C7A"/>
    <w:rsid w:val="00725DFE"/>
    <w:rsid w:val="0072619E"/>
    <w:rsid w:val="007261E0"/>
    <w:rsid w:val="007261E3"/>
    <w:rsid w:val="00726288"/>
    <w:rsid w:val="0072633E"/>
    <w:rsid w:val="007264EE"/>
    <w:rsid w:val="007265B5"/>
    <w:rsid w:val="007269DC"/>
    <w:rsid w:val="00726BD4"/>
    <w:rsid w:val="00727095"/>
    <w:rsid w:val="007276E6"/>
    <w:rsid w:val="007277B3"/>
    <w:rsid w:val="00727A28"/>
    <w:rsid w:val="00727A60"/>
    <w:rsid w:val="00727AAD"/>
    <w:rsid w:val="00727AC1"/>
    <w:rsid w:val="00727B0C"/>
    <w:rsid w:val="00727C1B"/>
    <w:rsid w:val="00727C7E"/>
    <w:rsid w:val="00727D0D"/>
    <w:rsid w:val="00727D9D"/>
    <w:rsid w:val="00727E3F"/>
    <w:rsid w:val="00727ED0"/>
    <w:rsid w:val="00727F3C"/>
    <w:rsid w:val="00727F87"/>
    <w:rsid w:val="007301C8"/>
    <w:rsid w:val="00730232"/>
    <w:rsid w:val="007302FB"/>
    <w:rsid w:val="00730363"/>
    <w:rsid w:val="00730430"/>
    <w:rsid w:val="0073043C"/>
    <w:rsid w:val="007304DD"/>
    <w:rsid w:val="00730536"/>
    <w:rsid w:val="00730566"/>
    <w:rsid w:val="00730750"/>
    <w:rsid w:val="007307F5"/>
    <w:rsid w:val="00730805"/>
    <w:rsid w:val="00730A68"/>
    <w:rsid w:val="00730CBC"/>
    <w:rsid w:val="00730E4F"/>
    <w:rsid w:val="00730F27"/>
    <w:rsid w:val="007311AE"/>
    <w:rsid w:val="00731548"/>
    <w:rsid w:val="0073226A"/>
    <w:rsid w:val="00732306"/>
    <w:rsid w:val="0073240A"/>
    <w:rsid w:val="0073257E"/>
    <w:rsid w:val="0073262D"/>
    <w:rsid w:val="00732662"/>
    <w:rsid w:val="00732AD2"/>
    <w:rsid w:val="00732B49"/>
    <w:rsid w:val="00732B93"/>
    <w:rsid w:val="00732BB4"/>
    <w:rsid w:val="0073313A"/>
    <w:rsid w:val="007332C8"/>
    <w:rsid w:val="007333DD"/>
    <w:rsid w:val="0073343B"/>
    <w:rsid w:val="00733545"/>
    <w:rsid w:val="00733702"/>
    <w:rsid w:val="00733967"/>
    <w:rsid w:val="00733FEC"/>
    <w:rsid w:val="007341DD"/>
    <w:rsid w:val="007342B0"/>
    <w:rsid w:val="007342D3"/>
    <w:rsid w:val="00734338"/>
    <w:rsid w:val="0073438E"/>
    <w:rsid w:val="0073451A"/>
    <w:rsid w:val="0073478D"/>
    <w:rsid w:val="007348FA"/>
    <w:rsid w:val="007349A7"/>
    <w:rsid w:val="00734A1D"/>
    <w:rsid w:val="00734C3A"/>
    <w:rsid w:val="00734F63"/>
    <w:rsid w:val="00735388"/>
    <w:rsid w:val="0073538D"/>
    <w:rsid w:val="00735403"/>
    <w:rsid w:val="0073581B"/>
    <w:rsid w:val="00735832"/>
    <w:rsid w:val="00735871"/>
    <w:rsid w:val="0073597F"/>
    <w:rsid w:val="007360C5"/>
    <w:rsid w:val="00736629"/>
    <w:rsid w:val="00736690"/>
    <w:rsid w:val="007367C9"/>
    <w:rsid w:val="0073682E"/>
    <w:rsid w:val="00736AFB"/>
    <w:rsid w:val="00736B4F"/>
    <w:rsid w:val="00736B58"/>
    <w:rsid w:val="00736B72"/>
    <w:rsid w:val="00736D03"/>
    <w:rsid w:val="00736D0F"/>
    <w:rsid w:val="00736E9C"/>
    <w:rsid w:val="00736EA9"/>
    <w:rsid w:val="0073704D"/>
    <w:rsid w:val="007370CC"/>
    <w:rsid w:val="00737150"/>
    <w:rsid w:val="0073734A"/>
    <w:rsid w:val="007373D4"/>
    <w:rsid w:val="00737499"/>
    <w:rsid w:val="00737688"/>
    <w:rsid w:val="00737762"/>
    <w:rsid w:val="00737A13"/>
    <w:rsid w:val="00737B78"/>
    <w:rsid w:val="00737C34"/>
    <w:rsid w:val="00737C4A"/>
    <w:rsid w:val="00737C4B"/>
    <w:rsid w:val="00737E32"/>
    <w:rsid w:val="00737E4C"/>
    <w:rsid w:val="00740045"/>
    <w:rsid w:val="00740064"/>
    <w:rsid w:val="007400C5"/>
    <w:rsid w:val="007401AE"/>
    <w:rsid w:val="0074036F"/>
    <w:rsid w:val="007406CE"/>
    <w:rsid w:val="007407E5"/>
    <w:rsid w:val="00740830"/>
    <w:rsid w:val="00740A3A"/>
    <w:rsid w:val="00740A3E"/>
    <w:rsid w:val="00740C2B"/>
    <w:rsid w:val="00740D5D"/>
    <w:rsid w:val="00740EAC"/>
    <w:rsid w:val="00740FFE"/>
    <w:rsid w:val="00741050"/>
    <w:rsid w:val="007410A0"/>
    <w:rsid w:val="007410B4"/>
    <w:rsid w:val="007412E0"/>
    <w:rsid w:val="007413C8"/>
    <w:rsid w:val="00741407"/>
    <w:rsid w:val="0074143F"/>
    <w:rsid w:val="007415EF"/>
    <w:rsid w:val="00741659"/>
    <w:rsid w:val="0074167E"/>
    <w:rsid w:val="007416F9"/>
    <w:rsid w:val="0074184A"/>
    <w:rsid w:val="0074192E"/>
    <w:rsid w:val="00741AA2"/>
    <w:rsid w:val="00741C14"/>
    <w:rsid w:val="00741C77"/>
    <w:rsid w:val="00741D42"/>
    <w:rsid w:val="00741E4A"/>
    <w:rsid w:val="00741EE6"/>
    <w:rsid w:val="00742160"/>
    <w:rsid w:val="00742190"/>
    <w:rsid w:val="00742219"/>
    <w:rsid w:val="00742293"/>
    <w:rsid w:val="007422F3"/>
    <w:rsid w:val="007424A4"/>
    <w:rsid w:val="007426B5"/>
    <w:rsid w:val="0074280A"/>
    <w:rsid w:val="0074283B"/>
    <w:rsid w:val="0074298A"/>
    <w:rsid w:val="00742B71"/>
    <w:rsid w:val="00742D10"/>
    <w:rsid w:val="00742D6C"/>
    <w:rsid w:val="00742DD0"/>
    <w:rsid w:val="00743221"/>
    <w:rsid w:val="007432C4"/>
    <w:rsid w:val="007432E3"/>
    <w:rsid w:val="00743331"/>
    <w:rsid w:val="007433C4"/>
    <w:rsid w:val="00743469"/>
    <w:rsid w:val="0074346D"/>
    <w:rsid w:val="00743487"/>
    <w:rsid w:val="00743527"/>
    <w:rsid w:val="00743810"/>
    <w:rsid w:val="0074390E"/>
    <w:rsid w:val="00743955"/>
    <w:rsid w:val="00743A57"/>
    <w:rsid w:val="00743D13"/>
    <w:rsid w:val="00743DB7"/>
    <w:rsid w:val="00743E78"/>
    <w:rsid w:val="00743EE5"/>
    <w:rsid w:val="00743F7E"/>
    <w:rsid w:val="0074407D"/>
    <w:rsid w:val="0074436E"/>
    <w:rsid w:val="007443BB"/>
    <w:rsid w:val="007444BC"/>
    <w:rsid w:val="007446F6"/>
    <w:rsid w:val="007447D4"/>
    <w:rsid w:val="0074488B"/>
    <w:rsid w:val="00744925"/>
    <w:rsid w:val="00744B51"/>
    <w:rsid w:val="00744C23"/>
    <w:rsid w:val="00744ED3"/>
    <w:rsid w:val="00744F56"/>
    <w:rsid w:val="00744F70"/>
    <w:rsid w:val="00745057"/>
    <w:rsid w:val="007450F3"/>
    <w:rsid w:val="0074522C"/>
    <w:rsid w:val="0074529C"/>
    <w:rsid w:val="0074532A"/>
    <w:rsid w:val="007454A7"/>
    <w:rsid w:val="007454FC"/>
    <w:rsid w:val="0074552D"/>
    <w:rsid w:val="007456C3"/>
    <w:rsid w:val="00745765"/>
    <w:rsid w:val="007458EB"/>
    <w:rsid w:val="00745A62"/>
    <w:rsid w:val="00745F1C"/>
    <w:rsid w:val="0074603A"/>
    <w:rsid w:val="007461C2"/>
    <w:rsid w:val="00746468"/>
    <w:rsid w:val="007466C2"/>
    <w:rsid w:val="007466D7"/>
    <w:rsid w:val="0074684F"/>
    <w:rsid w:val="00746A6D"/>
    <w:rsid w:val="00746CE2"/>
    <w:rsid w:val="00746DFD"/>
    <w:rsid w:val="00746F0B"/>
    <w:rsid w:val="00746F9A"/>
    <w:rsid w:val="0074717F"/>
    <w:rsid w:val="007474DF"/>
    <w:rsid w:val="00747943"/>
    <w:rsid w:val="00747DDD"/>
    <w:rsid w:val="00747E75"/>
    <w:rsid w:val="00747EC3"/>
    <w:rsid w:val="00750252"/>
    <w:rsid w:val="00750274"/>
    <w:rsid w:val="007503D7"/>
    <w:rsid w:val="007505CA"/>
    <w:rsid w:val="0075069C"/>
    <w:rsid w:val="00750779"/>
    <w:rsid w:val="00750B27"/>
    <w:rsid w:val="00750CFE"/>
    <w:rsid w:val="00750E76"/>
    <w:rsid w:val="00750F68"/>
    <w:rsid w:val="007510A5"/>
    <w:rsid w:val="007511F0"/>
    <w:rsid w:val="007512E1"/>
    <w:rsid w:val="00751343"/>
    <w:rsid w:val="007515E2"/>
    <w:rsid w:val="007515FB"/>
    <w:rsid w:val="00751BC0"/>
    <w:rsid w:val="00751D1B"/>
    <w:rsid w:val="00751DD4"/>
    <w:rsid w:val="00751E0E"/>
    <w:rsid w:val="00751F63"/>
    <w:rsid w:val="00752289"/>
    <w:rsid w:val="007523E4"/>
    <w:rsid w:val="00752515"/>
    <w:rsid w:val="00752575"/>
    <w:rsid w:val="0075264A"/>
    <w:rsid w:val="007527BE"/>
    <w:rsid w:val="0075289B"/>
    <w:rsid w:val="007528B6"/>
    <w:rsid w:val="00752AAB"/>
    <w:rsid w:val="00752D54"/>
    <w:rsid w:val="00752F34"/>
    <w:rsid w:val="0075302A"/>
    <w:rsid w:val="007531A0"/>
    <w:rsid w:val="00753240"/>
    <w:rsid w:val="007533FF"/>
    <w:rsid w:val="007535B3"/>
    <w:rsid w:val="00753A8A"/>
    <w:rsid w:val="00753AE9"/>
    <w:rsid w:val="00753B30"/>
    <w:rsid w:val="00753C2C"/>
    <w:rsid w:val="00753E05"/>
    <w:rsid w:val="00753E0A"/>
    <w:rsid w:val="00753EBD"/>
    <w:rsid w:val="00753F43"/>
    <w:rsid w:val="00754001"/>
    <w:rsid w:val="00754185"/>
    <w:rsid w:val="0075423E"/>
    <w:rsid w:val="0075452C"/>
    <w:rsid w:val="00754558"/>
    <w:rsid w:val="00754803"/>
    <w:rsid w:val="007548EF"/>
    <w:rsid w:val="00754A3E"/>
    <w:rsid w:val="00754AA1"/>
    <w:rsid w:val="00754CA6"/>
    <w:rsid w:val="00754E96"/>
    <w:rsid w:val="007551CB"/>
    <w:rsid w:val="00755595"/>
    <w:rsid w:val="0075573E"/>
    <w:rsid w:val="00755A16"/>
    <w:rsid w:val="00755A9D"/>
    <w:rsid w:val="00755B8F"/>
    <w:rsid w:val="00755F7C"/>
    <w:rsid w:val="007560F0"/>
    <w:rsid w:val="007563EA"/>
    <w:rsid w:val="007563F9"/>
    <w:rsid w:val="0075643B"/>
    <w:rsid w:val="00756790"/>
    <w:rsid w:val="007567F2"/>
    <w:rsid w:val="007568B3"/>
    <w:rsid w:val="007568F3"/>
    <w:rsid w:val="00756A18"/>
    <w:rsid w:val="00756B69"/>
    <w:rsid w:val="00756CEF"/>
    <w:rsid w:val="00756CF0"/>
    <w:rsid w:val="00756DAD"/>
    <w:rsid w:val="00756E17"/>
    <w:rsid w:val="007571C6"/>
    <w:rsid w:val="007575F9"/>
    <w:rsid w:val="007577B3"/>
    <w:rsid w:val="007577DE"/>
    <w:rsid w:val="007578CC"/>
    <w:rsid w:val="00757B37"/>
    <w:rsid w:val="00757C10"/>
    <w:rsid w:val="00757CDB"/>
    <w:rsid w:val="00757CDC"/>
    <w:rsid w:val="00757D71"/>
    <w:rsid w:val="0076004E"/>
    <w:rsid w:val="007601DA"/>
    <w:rsid w:val="00760342"/>
    <w:rsid w:val="007604B8"/>
    <w:rsid w:val="007606BC"/>
    <w:rsid w:val="007608D4"/>
    <w:rsid w:val="007608D7"/>
    <w:rsid w:val="0076093A"/>
    <w:rsid w:val="00760941"/>
    <w:rsid w:val="00760ADB"/>
    <w:rsid w:val="00760B33"/>
    <w:rsid w:val="00760CDE"/>
    <w:rsid w:val="00760D68"/>
    <w:rsid w:val="00760DC8"/>
    <w:rsid w:val="00760E2E"/>
    <w:rsid w:val="00760F69"/>
    <w:rsid w:val="00761067"/>
    <w:rsid w:val="007613EE"/>
    <w:rsid w:val="0076147B"/>
    <w:rsid w:val="007614B0"/>
    <w:rsid w:val="00761639"/>
    <w:rsid w:val="00761761"/>
    <w:rsid w:val="0076178A"/>
    <w:rsid w:val="00761945"/>
    <w:rsid w:val="00761BA3"/>
    <w:rsid w:val="00761ECA"/>
    <w:rsid w:val="0076226A"/>
    <w:rsid w:val="007624B1"/>
    <w:rsid w:val="00762A34"/>
    <w:rsid w:val="00762A87"/>
    <w:rsid w:val="00762B9C"/>
    <w:rsid w:val="00762BF3"/>
    <w:rsid w:val="00762DF1"/>
    <w:rsid w:val="00762E27"/>
    <w:rsid w:val="00762FC7"/>
    <w:rsid w:val="0076306E"/>
    <w:rsid w:val="007631E8"/>
    <w:rsid w:val="00763209"/>
    <w:rsid w:val="007634E8"/>
    <w:rsid w:val="00763500"/>
    <w:rsid w:val="00763573"/>
    <w:rsid w:val="00763721"/>
    <w:rsid w:val="007637A9"/>
    <w:rsid w:val="00763925"/>
    <w:rsid w:val="0076393A"/>
    <w:rsid w:val="007639D3"/>
    <w:rsid w:val="007639EB"/>
    <w:rsid w:val="00763B66"/>
    <w:rsid w:val="00763BD3"/>
    <w:rsid w:val="00763CE3"/>
    <w:rsid w:val="00763D40"/>
    <w:rsid w:val="00763FDF"/>
    <w:rsid w:val="0076402A"/>
    <w:rsid w:val="0076408B"/>
    <w:rsid w:val="00764226"/>
    <w:rsid w:val="00764279"/>
    <w:rsid w:val="007642A3"/>
    <w:rsid w:val="00764393"/>
    <w:rsid w:val="007647AC"/>
    <w:rsid w:val="00764857"/>
    <w:rsid w:val="0076496A"/>
    <w:rsid w:val="007649B7"/>
    <w:rsid w:val="00764C5C"/>
    <w:rsid w:val="00764ECD"/>
    <w:rsid w:val="00764EE4"/>
    <w:rsid w:val="007650CD"/>
    <w:rsid w:val="007650E4"/>
    <w:rsid w:val="007650F4"/>
    <w:rsid w:val="0076515B"/>
    <w:rsid w:val="00765547"/>
    <w:rsid w:val="007656C4"/>
    <w:rsid w:val="00765B75"/>
    <w:rsid w:val="00765C13"/>
    <w:rsid w:val="00765C43"/>
    <w:rsid w:val="00765D53"/>
    <w:rsid w:val="0076604A"/>
    <w:rsid w:val="007660F0"/>
    <w:rsid w:val="007661EE"/>
    <w:rsid w:val="007662F4"/>
    <w:rsid w:val="00766421"/>
    <w:rsid w:val="0076688E"/>
    <w:rsid w:val="00766989"/>
    <w:rsid w:val="00766AC8"/>
    <w:rsid w:val="00766B02"/>
    <w:rsid w:val="00766BD8"/>
    <w:rsid w:val="00766E27"/>
    <w:rsid w:val="00766E47"/>
    <w:rsid w:val="00766ED2"/>
    <w:rsid w:val="00766F09"/>
    <w:rsid w:val="00766FE1"/>
    <w:rsid w:val="00767040"/>
    <w:rsid w:val="007670EB"/>
    <w:rsid w:val="0076710C"/>
    <w:rsid w:val="00767175"/>
    <w:rsid w:val="0076751B"/>
    <w:rsid w:val="0076756B"/>
    <w:rsid w:val="0076777C"/>
    <w:rsid w:val="00767CC8"/>
    <w:rsid w:val="00767E85"/>
    <w:rsid w:val="00767FF5"/>
    <w:rsid w:val="0077013A"/>
    <w:rsid w:val="00770146"/>
    <w:rsid w:val="007701A8"/>
    <w:rsid w:val="00770209"/>
    <w:rsid w:val="00770533"/>
    <w:rsid w:val="0077061B"/>
    <w:rsid w:val="00770683"/>
    <w:rsid w:val="007709D9"/>
    <w:rsid w:val="00770B40"/>
    <w:rsid w:val="00770F4C"/>
    <w:rsid w:val="00770F62"/>
    <w:rsid w:val="007711AF"/>
    <w:rsid w:val="00771349"/>
    <w:rsid w:val="007716C5"/>
    <w:rsid w:val="007719DB"/>
    <w:rsid w:val="00771A9E"/>
    <w:rsid w:val="00771B68"/>
    <w:rsid w:val="00771B81"/>
    <w:rsid w:val="00771C66"/>
    <w:rsid w:val="00771C83"/>
    <w:rsid w:val="00771DEB"/>
    <w:rsid w:val="00771EEE"/>
    <w:rsid w:val="00771F03"/>
    <w:rsid w:val="00771F4B"/>
    <w:rsid w:val="00771F5E"/>
    <w:rsid w:val="00772029"/>
    <w:rsid w:val="0077211F"/>
    <w:rsid w:val="0077243F"/>
    <w:rsid w:val="007724D1"/>
    <w:rsid w:val="00772656"/>
    <w:rsid w:val="007727BD"/>
    <w:rsid w:val="007727E6"/>
    <w:rsid w:val="00772853"/>
    <w:rsid w:val="007728BF"/>
    <w:rsid w:val="00772AE1"/>
    <w:rsid w:val="00772BDF"/>
    <w:rsid w:val="00772C24"/>
    <w:rsid w:val="00772C43"/>
    <w:rsid w:val="00772E34"/>
    <w:rsid w:val="00772F3B"/>
    <w:rsid w:val="0077307F"/>
    <w:rsid w:val="007730A6"/>
    <w:rsid w:val="007731BE"/>
    <w:rsid w:val="007733F7"/>
    <w:rsid w:val="00773443"/>
    <w:rsid w:val="00773607"/>
    <w:rsid w:val="00773677"/>
    <w:rsid w:val="00773824"/>
    <w:rsid w:val="007738A7"/>
    <w:rsid w:val="007739E4"/>
    <w:rsid w:val="00773A91"/>
    <w:rsid w:val="00773BA8"/>
    <w:rsid w:val="00773EDF"/>
    <w:rsid w:val="00773FC5"/>
    <w:rsid w:val="0077421C"/>
    <w:rsid w:val="00774421"/>
    <w:rsid w:val="0077451E"/>
    <w:rsid w:val="007745EE"/>
    <w:rsid w:val="0077472B"/>
    <w:rsid w:val="0077489C"/>
    <w:rsid w:val="0077496B"/>
    <w:rsid w:val="007749CF"/>
    <w:rsid w:val="00774A39"/>
    <w:rsid w:val="00774AE6"/>
    <w:rsid w:val="00774B96"/>
    <w:rsid w:val="00774D4F"/>
    <w:rsid w:val="00774E44"/>
    <w:rsid w:val="00774FAB"/>
    <w:rsid w:val="00775038"/>
    <w:rsid w:val="00775056"/>
    <w:rsid w:val="00775273"/>
    <w:rsid w:val="007757F5"/>
    <w:rsid w:val="00775819"/>
    <w:rsid w:val="007759EC"/>
    <w:rsid w:val="00775AB8"/>
    <w:rsid w:val="00775B8A"/>
    <w:rsid w:val="00775BFA"/>
    <w:rsid w:val="00775F73"/>
    <w:rsid w:val="00776045"/>
    <w:rsid w:val="0077604A"/>
    <w:rsid w:val="00776305"/>
    <w:rsid w:val="00776342"/>
    <w:rsid w:val="0077650C"/>
    <w:rsid w:val="0077653B"/>
    <w:rsid w:val="00776668"/>
    <w:rsid w:val="00776A48"/>
    <w:rsid w:val="00776B08"/>
    <w:rsid w:val="00776CA9"/>
    <w:rsid w:val="00776CFE"/>
    <w:rsid w:val="00776E36"/>
    <w:rsid w:val="007770A8"/>
    <w:rsid w:val="0077719E"/>
    <w:rsid w:val="00777277"/>
    <w:rsid w:val="007772C0"/>
    <w:rsid w:val="00777386"/>
    <w:rsid w:val="00777459"/>
    <w:rsid w:val="0077747F"/>
    <w:rsid w:val="00777538"/>
    <w:rsid w:val="007776D3"/>
    <w:rsid w:val="00777A72"/>
    <w:rsid w:val="00777D10"/>
    <w:rsid w:val="00777DE3"/>
    <w:rsid w:val="00780291"/>
    <w:rsid w:val="00780303"/>
    <w:rsid w:val="0078055C"/>
    <w:rsid w:val="00780583"/>
    <w:rsid w:val="0078094E"/>
    <w:rsid w:val="00780A96"/>
    <w:rsid w:val="00780AEA"/>
    <w:rsid w:val="00780B03"/>
    <w:rsid w:val="00780B32"/>
    <w:rsid w:val="00780BAA"/>
    <w:rsid w:val="00780BAD"/>
    <w:rsid w:val="00780BFF"/>
    <w:rsid w:val="00780D6A"/>
    <w:rsid w:val="00780D9D"/>
    <w:rsid w:val="00780DAF"/>
    <w:rsid w:val="00780FEC"/>
    <w:rsid w:val="00781361"/>
    <w:rsid w:val="00781407"/>
    <w:rsid w:val="00781546"/>
    <w:rsid w:val="0078171D"/>
    <w:rsid w:val="00781867"/>
    <w:rsid w:val="007818BC"/>
    <w:rsid w:val="007819DC"/>
    <w:rsid w:val="007821FD"/>
    <w:rsid w:val="0078224D"/>
    <w:rsid w:val="007823E7"/>
    <w:rsid w:val="007824C2"/>
    <w:rsid w:val="00782613"/>
    <w:rsid w:val="00782661"/>
    <w:rsid w:val="0078267A"/>
    <w:rsid w:val="00782740"/>
    <w:rsid w:val="007827A5"/>
    <w:rsid w:val="0078286F"/>
    <w:rsid w:val="007828E5"/>
    <w:rsid w:val="00782B2C"/>
    <w:rsid w:val="00782B53"/>
    <w:rsid w:val="00782BB9"/>
    <w:rsid w:val="00782D15"/>
    <w:rsid w:val="00782EF2"/>
    <w:rsid w:val="00782FAB"/>
    <w:rsid w:val="00783099"/>
    <w:rsid w:val="00783172"/>
    <w:rsid w:val="0078328E"/>
    <w:rsid w:val="007832BA"/>
    <w:rsid w:val="0078374F"/>
    <w:rsid w:val="00783855"/>
    <w:rsid w:val="007838A6"/>
    <w:rsid w:val="007838FD"/>
    <w:rsid w:val="00783A22"/>
    <w:rsid w:val="00783A8F"/>
    <w:rsid w:val="00783BF7"/>
    <w:rsid w:val="00783E94"/>
    <w:rsid w:val="007840CF"/>
    <w:rsid w:val="007840F6"/>
    <w:rsid w:val="00784291"/>
    <w:rsid w:val="007842EA"/>
    <w:rsid w:val="007845AC"/>
    <w:rsid w:val="007847B5"/>
    <w:rsid w:val="00784815"/>
    <w:rsid w:val="00784864"/>
    <w:rsid w:val="00784895"/>
    <w:rsid w:val="007849D6"/>
    <w:rsid w:val="00784A16"/>
    <w:rsid w:val="00784B59"/>
    <w:rsid w:val="00784C08"/>
    <w:rsid w:val="00784C30"/>
    <w:rsid w:val="00784E85"/>
    <w:rsid w:val="00785074"/>
    <w:rsid w:val="007850CF"/>
    <w:rsid w:val="00785183"/>
    <w:rsid w:val="00785BEA"/>
    <w:rsid w:val="00785CB0"/>
    <w:rsid w:val="00785E3C"/>
    <w:rsid w:val="00785E99"/>
    <w:rsid w:val="00785FDF"/>
    <w:rsid w:val="007863DB"/>
    <w:rsid w:val="007864C5"/>
    <w:rsid w:val="007864D6"/>
    <w:rsid w:val="007866FD"/>
    <w:rsid w:val="0078670F"/>
    <w:rsid w:val="0078680D"/>
    <w:rsid w:val="00786820"/>
    <w:rsid w:val="007869F4"/>
    <w:rsid w:val="00786A01"/>
    <w:rsid w:val="00786A9D"/>
    <w:rsid w:val="00786AA6"/>
    <w:rsid w:val="00786BC8"/>
    <w:rsid w:val="00786D22"/>
    <w:rsid w:val="00786D4E"/>
    <w:rsid w:val="00786E6E"/>
    <w:rsid w:val="007874CD"/>
    <w:rsid w:val="007875A2"/>
    <w:rsid w:val="00787960"/>
    <w:rsid w:val="00787A58"/>
    <w:rsid w:val="00787B0D"/>
    <w:rsid w:val="00787E26"/>
    <w:rsid w:val="007900F9"/>
    <w:rsid w:val="00790264"/>
    <w:rsid w:val="0079045C"/>
    <w:rsid w:val="0079080C"/>
    <w:rsid w:val="0079092E"/>
    <w:rsid w:val="00790AF1"/>
    <w:rsid w:val="00790B51"/>
    <w:rsid w:val="00790B69"/>
    <w:rsid w:val="00790C72"/>
    <w:rsid w:val="00790EE6"/>
    <w:rsid w:val="00790FD4"/>
    <w:rsid w:val="0079118B"/>
    <w:rsid w:val="007911BD"/>
    <w:rsid w:val="007912BA"/>
    <w:rsid w:val="007918DE"/>
    <w:rsid w:val="0079194A"/>
    <w:rsid w:val="0079198B"/>
    <w:rsid w:val="00791A93"/>
    <w:rsid w:val="00791ACE"/>
    <w:rsid w:val="00791C1E"/>
    <w:rsid w:val="00791C97"/>
    <w:rsid w:val="00791CED"/>
    <w:rsid w:val="00791D84"/>
    <w:rsid w:val="00791F6E"/>
    <w:rsid w:val="007920E7"/>
    <w:rsid w:val="0079235E"/>
    <w:rsid w:val="007927F9"/>
    <w:rsid w:val="00792963"/>
    <w:rsid w:val="007929A0"/>
    <w:rsid w:val="00792DAE"/>
    <w:rsid w:val="0079330A"/>
    <w:rsid w:val="00793458"/>
    <w:rsid w:val="00793461"/>
    <w:rsid w:val="007934D1"/>
    <w:rsid w:val="00793548"/>
    <w:rsid w:val="0079362E"/>
    <w:rsid w:val="007936A5"/>
    <w:rsid w:val="00793A6C"/>
    <w:rsid w:val="00793C46"/>
    <w:rsid w:val="00793CBE"/>
    <w:rsid w:val="00793CD8"/>
    <w:rsid w:val="00793D36"/>
    <w:rsid w:val="00793D4E"/>
    <w:rsid w:val="00793D5C"/>
    <w:rsid w:val="00793DBA"/>
    <w:rsid w:val="00793E11"/>
    <w:rsid w:val="00793F8B"/>
    <w:rsid w:val="00794116"/>
    <w:rsid w:val="007941E4"/>
    <w:rsid w:val="007941E9"/>
    <w:rsid w:val="00794238"/>
    <w:rsid w:val="007942DD"/>
    <w:rsid w:val="0079437E"/>
    <w:rsid w:val="007943A6"/>
    <w:rsid w:val="00794496"/>
    <w:rsid w:val="007947D3"/>
    <w:rsid w:val="007949B4"/>
    <w:rsid w:val="007949DB"/>
    <w:rsid w:val="007949F6"/>
    <w:rsid w:val="00794C85"/>
    <w:rsid w:val="00794CF2"/>
    <w:rsid w:val="00794D79"/>
    <w:rsid w:val="00794F53"/>
    <w:rsid w:val="00794FF8"/>
    <w:rsid w:val="00795028"/>
    <w:rsid w:val="00795387"/>
    <w:rsid w:val="007954D8"/>
    <w:rsid w:val="0079566E"/>
    <w:rsid w:val="0079584C"/>
    <w:rsid w:val="00795B12"/>
    <w:rsid w:val="00795C96"/>
    <w:rsid w:val="00796197"/>
    <w:rsid w:val="00796294"/>
    <w:rsid w:val="0079637F"/>
    <w:rsid w:val="00796593"/>
    <w:rsid w:val="00796666"/>
    <w:rsid w:val="00796967"/>
    <w:rsid w:val="00796BA5"/>
    <w:rsid w:val="00796C76"/>
    <w:rsid w:val="00796CE0"/>
    <w:rsid w:val="00796D14"/>
    <w:rsid w:val="00796DE3"/>
    <w:rsid w:val="00796F0E"/>
    <w:rsid w:val="00796FC8"/>
    <w:rsid w:val="00796FCE"/>
    <w:rsid w:val="0079702F"/>
    <w:rsid w:val="00797047"/>
    <w:rsid w:val="007971F0"/>
    <w:rsid w:val="00797292"/>
    <w:rsid w:val="00797377"/>
    <w:rsid w:val="007973A5"/>
    <w:rsid w:val="00797412"/>
    <w:rsid w:val="007974A7"/>
    <w:rsid w:val="00797972"/>
    <w:rsid w:val="00797AB5"/>
    <w:rsid w:val="007A01AD"/>
    <w:rsid w:val="007A01E5"/>
    <w:rsid w:val="007A02B6"/>
    <w:rsid w:val="007A05AB"/>
    <w:rsid w:val="007A0940"/>
    <w:rsid w:val="007A096C"/>
    <w:rsid w:val="007A09FF"/>
    <w:rsid w:val="007A0A6A"/>
    <w:rsid w:val="007A0C2E"/>
    <w:rsid w:val="007A0E0A"/>
    <w:rsid w:val="007A0F37"/>
    <w:rsid w:val="007A0FB5"/>
    <w:rsid w:val="007A10C4"/>
    <w:rsid w:val="007A1203"/>
    <w:rsid w:val="007A13BC"/>
    <w:rsid w:val="007A14ED"/>
    <w:rsid w:val="007A16F5"/>
    <w:rsid w:val="007A1A82"/>
    <w:rsid w:val="007A1AE0"/>
    <w:rsid w:val="007A1BDE"/>
    <w:rsid w:val="007A1C2D"/>
    <w:rsid w:val="007A1D3D"/>
    <w:rsid w:val="007A1E70"/>
    <w:rsid w:val="007A21B7"/>
    <w:rsid w:val="007A226E"/>
    <w:rsid w:val="007A248F"/>
    <w:rsid w:val="007A2564"/>
    <w:rsid w:val="007A281C"/>
    <w:rsid w:val="007A2825"/>
    <w:rsid w:val="007A29E7"/>
    <w:rsid w:val="007A2CD5"/>
    <w:rsid w:val="007A2F41"/>
    <w:rsid w:val="007A313B"/>
    <w:rsid w:val="007A35C1"/>
    <w:rsid w:val="007A380B"/>
    <w:rsid w:val="007A38B9"/>
    <w:rsid w:val="007A38D4"/>
    <w:rsid w:val="007A3AB0"/>
    <w:rsid w:val="007A3B10"/>
    <w:rsid w:val="007A3B1B"/>
    <w:rsid w:val="007A3C82"/>
    <w:rsid w:val="007A3D03"/>
    <w:rsid w:val="007A3D48"/>
    <w:rsid w:val="007A3F88"/>
    <w:rsid w:val="007A421A"/>
    <w:rsid w:val="007A4367"/>
    <w:rsid w:val="007A43E4"/>
    <w:rsid w:val="007A478D"/>
    <w:rsid w:val="007A4C3B"/>
    <w:rsid w:val="007A4CBA"/>
    <w:rsid w:val="007A5253"/>
    <w:rsid w:val="007A5372"/>
    <w:rsid w:val="007A53BC"/>
    <w:rsid w:val="007A5602"/>
    <w:rsid w:val="007A5652"/>
    <w:rsid w:val="007A565D"/>
    <w:rsid w:val="007A5790"/>
    <w:rsid w:val="007A5915"/>
    <w:rsid w:val="007A59F5"/>
    <w:rsid w:val="007A5D39"/>
    <w:rsid w:val="007A5D41"/>
    <w:rsid w:val="007A5DEE"/>
    <w:rsid w:val="007A6201"/>
    <w:rsid w:val="007A6220"/>
    <w:rsid w:val="007A6803"/>
    <w:rsid w:val="007A6855"/>
    <w:rsid w:val="007A6BFD"/>
    <w:rsid w:val="007A6C7D"/>
    <w:rsid w:val="007A6CEC"/>
    <w:rsid w:val="007A6D38"/>
    <w:rsid w:val="007A6DBB"/>
    <w:rsid w:val="007A6E36"/>
    <w:rsid w:val="007A6EB1"/>
    <w:rsid w:val="007A7037"/>
    <w:rsid w:val="007A7145"/>
    <w:rsid w:val="007A71A5"/>
    <w:rsid w:val="007A7234"/>
    <w:rsid w:val="007A74D8"/>
    <w:rsid w:val="007A76DB"/>
    <w:rsid w:val="007A76EE"/>
    <w:rsid w:val="007A7816"/>
    <w:rsid w:val="007A7B15"/>
    <w:rsid w:val="007A7BAD"/>
    <w:rsid w:val="007A7C74"/>
    <w:rsid w:val="007A7D44"/>
    <w:rsid w:val="007A7EFF"/>
    <w:rsid w:val="007B0010"/>
    <w:rsid w:val="007B0066"/>
    <w:rsid w:val="007B05C1"/>
    <w:rsid w:val="007B096C"/>
    <w:rsid w:val="007B09EC"/>
    <w:rsid w:val="007B0B4B"/>
    <w:rsid w:val="007B0E52"/>
    <w:rsid w:val="007B10A4"/>
    <w:rsid w:val="007B10C9"/>
    <w:rsid w:val="007B1261"/>
    <w:rsid w:val="007B128B"/>
    <w:rsid w:val="007B13A5"/>
    <w:rsid w:val="007B143F"/>
    <w:rsid w:val="007B1458"/>
    <w:rsid w:val="007B1527"/>
    <w:rsid w:val="007B15CB"/>
    <w:rsid w:val="007B1843"/>
    <w:rsid w:val="007B19F0"/>
    <w:rsid w:val="007B1B74"/>
    <w:rsid w:val="007B1C3B"/>
    <w:rsid w:val="007B1DB2"/>
    <w:rsid w:val="007B1E4C"/>
    <w:rsid w:val="007B1F29"/>
    <w:rsid w:val="007B219C"/>
    <w:rsid w:val="007B21C2"/>
    <w:rsid w:val="007B287E"/>
    <w:rsid w:val="007B28B2"/>
    <w:rsid w:val="007B292F"/>
    <w:rsid w:val="007B294F"/>
    <w:rsid w:val="007B2A07"/>
    <w:rsid w:val="007B2A24"/>
    <w:rsid w:val="007B2AA4"/>
    <w:rsid w:val="007B2CB9"/>
    <w:rsid w:val="007B2CD5"/>
    <w:rsid w:val="007B2F04"/>
    <w:rsid w:val="007B2FD4"/>
    <w:rsid w:val="007B33A9"/>
    <w:rsid w:val="007B35CB"/>
    <w:rsid w:val="007B36B7"/>
    <w:rsid w:val="007B371A"/>
    <w:rsid w:val="007B39D2"/>
    <w:rsid w:val="007B3A2D"/>
    <w:rsid w:val="007B3B21"/>
    <w:rsid w:val="007B3D68"/>
    <w:rsid w:val="007B3D71"/>
    <w:rsid w:val="007B3D7F"/>
    <w:rsid w:val="007B3F00"/>
    <w:rsid w:val="007B3F2A"/>
    <w:rsid w:val="007B44CF"/>
    <w:rsid w:val="007B466C"/>
    <w:rsid w:val="007B46D1"/>
    <w:rsid w:val="007B487C"/>
    <w:rsid w:val="007B4943"/>
    <w:rsid w:val="007B4957"/>
    <w:rsid w:val="007B4DFC"/>
    <w:rsid w:val="007B4F23"/>
    <w:rsid w:val="007B4FDD"/>
    <w:rsid w:val="007B5217"/>
    <w:rsid w:val="007B5246"/>
    <w:rsid w:val="007B52A5"/>
    <w:rsid w:val="007B540F"/>
    <w:rsid w:val="007B5478"/>
    <w:rsid w:val="007B54FD"/>
    <w:rsid w:val="007B551E"/>
    <w:rsid w:val="007B553F"/>
    <w:rsid w:val="007B55C2"/>
    <w:rsid w:val="007B58A5"/>
    <w:rsid w:val="007B5CBB"/>
    <w:rsid w:val="007B5F17"/>
    <w:rsid w:val="007B5FBD"/>
    <w:rsid w:val="007B624D"/>
    <w:rsid w:val="007B644B"/>
    <w:rsid w:val="007B66A5"/>
    <w:rsid w:val="007B6702"/>
    <w:rsid w:val="007B67DB"/>
    <w:rsid w:val="007B6891"/>
    <w:rsid w:val="007B6BE2"/>
    <w:rsid w:val="007B6D21"/>
    <w:rsid w:val="007B6E54"/>
    <w:rsid w:val="007B6FEE"/>
    <w:rsid w:val="007B7017"/>
    <w:rsid w:val="007B7049"/>
    <w:rsid w:val="007B71CA"/>
    <w:rsid w:val="007B7226"/>
    <w:rsid w:val="007B72DD"/>
    <w:rsid w:val="007B7685"/>
    <w:rsid w:val="007B76CD"/>
    <w:rsid w:val="007B78A5"/>
    <w:rsid w:val="007B795F"/>
    <w:rsid w:val="007B7C66"/>
    <w:rsid w:val="007B7EE5"/>
    <w:rsid w:val="007B7F73"/>
    <w:rsid w:val="007C00EF"/>
    <w:rsid w:val="007C01C5"/>
    <w:rsid w:val="007C02B8"/>
    <w:rsid w:val="007C034C"/>
    <w:rsid w:val="007C0434"/>
    <w:rsid w:val="007C0589"/>
    <w:rsid w:val="007C0747"/>
    <w:rsid w:val="007C0814"/>
    <w:rsid w:val="007C0870"/>
    <w:rsid w:val="007C0A29"/>
    <w:rsid w:val="007C0AAB"/>
    <w:rsid w:val="007C0D9C"/>
    <w:rsid w:val="007C0DAF"/>
    <w:rsid w:val="007C0E93"/>
    <w:rsid w:val="007C1031"/>
    <w:rsid w:val="007C1061"/>
    <w:rsid w:val="007C11BA"/>
    <w:rsid w:val="007C142B"/>
    <w:rsid w:val="007C164C"/>
    <w:rsid w:val="007C18A0"/>
    <w:rsid w:val="007C1975"/>
    <w:rsid w:val="007C199D"/>
    <w:rsid w:val="007C19A4"/>
    <w:rsid w:val="007C1BFB"/>
    <w:rsid w:val="007C1DF9"/>
    <w:rsid w:val="007C1EFF"/>
    <w:rsid w:val="007C2063"/>
    <w:rsid w:val="007C209D"/>
    <w:rsid w:val="007C20D6"/>
    <w:rsid w:val="007C2163"/>
    <w:rsid w:val="007C259B"/>
    <w:rsid w:val="007C299E"/>
    <w:rsid w:val="007C29FD"/>
    <w:rsid w:val="007C2A35"/>
    <w:rsid w:val="007C2AAA"/>
    <w:rsid w:val="007C2B85"/>
    <w:rsid w:val="007C2D97"/>
    <w:rsid w:val="007C3041"/>
    <w:rsid w:val="007C3095"/>
    <w:rsid w:val="007C30C7"/>
    <w:rsid w:val="007C3131"/>
    <w:rsid w:val="007C3257"/>
    <w:rsid w:val="007C3363"/>
    <w:rsid w:val="007C35F7"/>
    <w:rsid w:val="007C3630"/>
    <w:rsid w:val="007C3641"/>
    <w:rsid w:val="007C38AC"/>
    <w:rsid w:val="007C3918"/>
    <w:rsid w:val="007C3A12"/>
    <w:rsid w:val="007C3E62"/>
    <w:rsid w:val="007C4385"/>
    <w:rsid w:val="007C44E2"/>
    <w:rsid w:val="007C4595"/>
    <w:rsid w:val="007C473D"/>
    <w:rsid w:val="007C4909"/>
    <w:rsid w:val="007C4A1E"/>
    <w:rsid w:val="007C4A70"/>
    <w:rsid w:val="007C4C77"/>
    <w:rsid w:val="007C4D49"/>
    <w:rsid w:val="007C4DD8"/>
    <w:rsid w:val="007C4F5E"/>
    <w:rsid w:val="007C509A"/>
    <w:rsid w:val="007C51CC"/>
    <w:rsid w:val="007C541C"/>
    <w:rsid w:val="007C57C5"/>
    <w:rsid w:val="007C57F3"/>
    <w:rsid w:val="007C582F"/>
    <w:rsid w:val="007C584E"/>
    <w:rsid w:val="007C586E"/>
    <w:rsid w:val="007C5946"/>
    <w:rsid w:val="007C594C"/>
    <w:rsid w:val="007C59F5"/>
    <w:rsid w:val="007C59FD"/>
    <w:rsid w:val="007C5BA3"/>
    <w:rsid w:val="007C5C25"/>
    <w:rsid w:val="007C5C6A"/>
    <w:rsid w:val="007C5C9D"/>
    <w:rsid w:val="007C5F8B"/>
    <w:rsid w:val="007C5FA5"/>
    <w:rsid w:val="007C6056"/>
    <w:rsid w:val="007C6371"/>
    <w:rsid w:val="007C6664"/>
    <w:rsid w:val="007C6687"/>
    <w:rsid w:val="007C66E1"/>
    <w:rsid w:val="007C6703"/>
    <w:rsid w:val="007C67A2"/>
    <w:rsid w:val="007C6B51"/>
    <w:rsid w:val="007C6C18"/>
    <w:rsid w:val="007C6C91"/>
    <w:rsid w:val="007C71A8"/>
    <w:rsid w:val="007C7446"/>
    <w:rsid w:val="007C7569"/>
    <w:rsid w:val="007C763A"/>
    <w:rsid w:val="007C76CB"/>
    <w:rsid w:val="007C7A53"/>
    <w:rsid w:val="007C7ADF"/>
    <w:rsid w:val="007C7D2A"/>
    <w:rsid w:val="007C7DCF"/>
    <w:rsid w:val="007C7F43"/>
    <w:rsid w:val="007C7F70"/>
    <w:rsid w:val="007D0026"/>
    <w:rsid w:val="007D0065"/>
    <w:rsid w:val="007D01A9"/>
    <w:rsid w:val="007D0264"/>
    <w:rsid w:val="007D0548"/>
    <w:rsid w:val="007D069F"/>
    <w:rsid w:val="007D0821"/>
    <w:rsid w:val="007D08A1"/>
    <w:rsid w:val="007D0AF0"/>
    <w:rsid w:val="007D0B62"/>
    <w:rsid w:val="007D0BC6"/>
    <w:rsid w:val="007D0D2F"/>
    <w:rsid w:val="007D0F01"/>
    <w:rsid w:val="007D0F22"/>
    <w:rsid w:val="007D0F55"/>
    <w:rsid w:val="007D1042"/>
    <w:rsid w:val="007D11CE"/>
    <w:rsid w:val="007D12BF"/>
    <w:rsid w:val="007D134F"/>
    <w:rsid w:val="007D13B7"/>
    <w:rsid w:val="007D14D3"/>
    <w:rsid w:val="007D15B2"/>
    <w:rsid w:val="007D170B"/>
    <w:rsid w:val="007D1730"/>
    <w:rsid w:val="007D1835"/>
    <w:rsid w:val="007D1934"/>
    <w:rsid w:val="007D193F"/>
    <w:rsid w:val="007D1B93"/>
    <w:rsid w:val="007D1F3D"/>
    <w:rsid w:val="007D21D0"/>
    <w:rsid w:val="007D28AD"/>
    <w:rsid w:val="007D28E5"/>
    <w:rsid w:val="007D2A70"/>
    <w:rsid w:val="007D2BF8"/>
    <w:rsid w:val="007D2D0D"/>
    <w:rsid w:val="007D2D5F"/>
    <w:rsid w:val="007D30C5"/>
    <w:rsid w:val="007D31E7"/>
    <w:rsid w:val="007D32C3"/>
    <w:rsid w:val="007D3354"/>
    <w:rsid w:val="007D3563"/>
    <w:rsid w:val="007D3767"/>
    <w:rsid w:val="007D37B1"/>
    <w:rsid w:val="007D37EA"/>
    <w:rsid w:val="007D38F7"/>
    <w:rsid w:val="007D39D5"/>
    <w:rsid w:val="007D3AE9"/>
    <w:rsid w:val="007D3FC7"/>
    <w:rsid w:val="007D432C"/>
    <w:rsid w:val="007D43D3"/>
    <w:rsid w:val="007D454E"/>
    <w:rsid w:val="007D45D4"/>
    <w:rsid w:val="007D4833"/>
    <w:rsid w:val="007D4961"/>
    <w:rsid w:val="007D4AC4"/>
    <w:rsid w:val="007D4B53"/>
    <w:rsid w:val="007D51E9"/>
    <w:rsid w:val="007D52F7"/>
    <w:rsid w:val="007D58E3"/>
    <w:rsid w:val="007D5928"/>
    <w:rsid w:val="007D5B2A"/>
    <w:rsid w:val="007D5B3E"/>
    <w:rsid w:val="007D5B82"/>
    <w:rsid w:val="007D5CE0"/>
    <w:rsid w:val="007D5DBA"/>
    <w:rsid w:val="007D5EC7"/>
    <w:rsid w:val="007D5FD3"/>
    <w:rsid w:val="007D601A"/>
    <w:rsid w:val="007D610D"/>
    <w:rsid w:val="007D63C9"/>
    <w:rsid w:val="007D6440"/>
    <w:rsid w:val="007D6453"/>
    <w:rsid w:val="007D67BF"/>
    <w:rsid w:val="007D6801"/>
    <w:rsid w:val="007D68D9"/>
    <w:rsid w:val="007D6A37"/>
    <w:rsid w:val="007D6ABC"/>
    <w:rsid w:val="007D6CB7"/>
    <w:rsid w:val="007D6E70"/>
    <w:rsid w:val="007D70B8"/>
    <w:rsid w:val="007D70CA"/>
    <w:rsid w:val="007D7171"/>
    <w:rsid w:val="007D7378"/>
    <w:rsid w:val="007D7389"/>
    <w:rsid w:val="007D7537"/>
    <w:rsid w:val="007D756F"/>
    <w:rsid w:val="007D7651"/>
    <w:rsid w:val="007D76A9"/>
    <w:rsid w:val="007D7B36"/>
    <w:rsid w:val="007D7DFF"/>
    <w:rsid w:val="007E0181"/>
    <w:rsid w:val="007E01D0"/>
    <w:rsid w:val="007E01E2"/>
    <w:rsid w:val="007E02A9"/>
    <w:rsid w:val="007E0344"/>
    <w:rsid w:val="007E04A5"/>
    <w:rsid w:val="007E04EC"/>
    <w:rsid w:val="007E0732"/>
    <w:rsid w:val="007E08F8"/>
    <w:rsid w:val="007E099E"/>
    <w:rsid w:val="007E0ABC"/>
    <w:rsid w:val="007E0ECF"/>
    <w:rsid w:val="007E0FDC"/>
    <w:rsid w:val="007E0FF0"/>
    <w:rsid w:val="007E127C"/>
    <w:rsid w:val="007E12F0"/>
    <w:rsid w:val="007E13BB"/>
    <w:rsid w:val="007E13C0"/>
    <w:rsid w:val="007E159E"/>
    <w:rsid w:val="007E1647"/>
    <w:rsid w:val="007E1752"/>
    <w:rsid w:val="007E18B5"/>
    <w:rsid w:val="007E18D0"/>
    <w:rsid w:val="007E1903"/>
    <w:rsid w:val="007E1B71"/>
    <w:rsid w:val="007E1C8A"/>
    <w:rsid w:val="007E1CBF"/>
    <w:rsid w:val="007E1DDB"/>
    <w:rsid w:val="007E1E61"/>
    <w:rsid w:val="007E1EA8"/>
    <w:rsid w:val="007E1FAC"/>
    <w:rsid w:val="007E20B5"/>
    <w:rsid w:val="007E2211"/>
    <w:rsid w:val="007E2509"/>
    <w:rsid w:val="007E2906"/>
    <w:rsid w:val="007E29B2"/>
    <w:rsid w:val="007E2A23"/>
    <w:rsid w:val="007E2BB3"/>
    <w:rsid w:val="007E2C1C"/>
    <w:rsid w:val="007E31C5"/>
    <w:rsid w:val="007E31E4"/>
    <w:rsid w:val="007E33A3"/>
    <w:rsid w:val="007E34D2"/>
    <w:rsid w:val="007E3645"/>
    <w:rsid w:val="007E39A4"/>
    <w:rsid w:val="007E39FE"/>
    <w:rsid w:val="007E3A89"/>
    <w:rsid w:val="007E3B1A"/>
    <w:rsid w:val="007E3B7B"/>
    <w:rsid w:val="007E3BE0"/>
    <w:rsid w:val="007E3CD4"/>
    <w:rsid w:val="007E3E29"/>
    <w:rsid w:val="007E438C"/>
    <w:rsid w:val="007E4535"/>
    <w:rsid w:val="007E4813"/>
    <w:rsid w:val="007E481B"/>
    <w:rsid w:val="007E494E"/>
    <w:rsid w:val="007E49C4"/>
    <w:rsid w:val="007E4A14"/>
    <w:rsid w:val="007E4A70"/>
    <w:rsid w:val="007E4C44"/>
    <w:rsid w:val="007E4C94"/>
    <w:rsid w:val="007E4D7C"/>
    <w:rsid w:val="007E4E33"/>
    <w:rsid w:val="007E4E63"/>
    <w:rsid w:val="007E4F79"/>
    <w:rsid w:val="007E502A"/>
    <w:rsid w:val="007E5228"/>
    <w:rsid w:val="007E52EF"/>
    <w:rsid w:val="007E53CD"/>
    <w:rsid w:val="007E540D"/>
    <w:rsid w:val="007E5485"/>
    <w:rsid w:val="007E54DC"/>
    <w:rsid w:val="007E552F"/>
    <w:rsid w:val="007E553B"/>
    <w:rsid w:val="007E5574"/>
    <w:rsid w:val="007E5595"/>
    <w:rsid w:val="007E58D3"/>
    <w:rsid w:val="007E5938"/>
    <w:rsid w:val="007E5955"/>
    <w:rsid w:val="007E5B39"/>
    <w:rsid w:val="007E5BCF"/>
    <w:rsid w:val="007E5C3E"/>
    <w:rsid w:val="007E5F49"/>
    <w:rsid w:val="007E5FE3"/>
    <w:rsid w:val="007E611F"/>
    <w:rsid w:val="007E63DF"/>
    <w:rsid w:val="007E690D"/>
    <w:rsid w:val="007E6B86"/>
    <w:rsid w:val="007E6E7F"/>
    <w:rsid w:val="007E709B"/>
    <w:rsid w:val="007E7140"/>
    <w:rsid w:val="007E772F"/>
    <w:rsid w:val="007E778C"/>
    <w:rsid w:val="007E7937"/>
    <w:rsid w:val="007E7982"/>
    <w:rsid w:val="007E79E8"/>
    <w:rsid w:val="007E79EE"/>
    <w:rsid w:val="007E7B54"/>
    <w:rsid w:val="007E7CAA"/>
    <w:rsid w:val="007E7D84"/>
    <w:rsid w:val="007E7DBE"/>
    <w:rsid w:val="007F00D2"/>
    <w:rsid w:val="007F014D"/>
    <w:rsid w:val="007F0150"/>
    <w:rsid w:val="007F01A1"/>
    <w:rsid w:val="007F04B7"/>
    <w:rsid w:val="007F051F"/>
    <w:rsid w:val="007F0744"/>
    <w:rsid w:val="007F089D"/>
    <w:rsid w:val="007F0C3F"/>
    <w:rsid w:val="007F0CFF"/>
    <w:rsid w:val="007F0F18"/>
    <w:rsid w:val="007F10BD"/>
    <w:rsid w:val="007F10C1"/>
    <w:rsid w:val="007F11EC"/>
    <w:rsid w:val="007F12C9"/>
    <w:rsid w:val="007F1301"/>
    <w:rsid w:val="007F1445"/>
    <w:rsid w:val="007F1615"/>
    <w:rsid w:val="007F1642"/>
    <w:rsid w:val="007F1A4E"/>
    <w:rsid w:val="007F1B40"/>
    <w:rsid w:val="007F1B87"/>
    <w:rsid w:val="007F1C23"/>
    <w:rsid w:val="007F1CCF"/>
    <w:rsid w:val="007F1D60"/>
    <w:rsid w:val="007F2276"/>
    <w:rsid w:val="007F2310"/>
    <w:rsid w:val="007F23A2"/>
    <w:rsid w:val="007F23EA"/>
    <w:rsid w:val="007F2510"/>
    <w:rsid w:val="007F2553"/>
    <w:rsid w:val="007F2602"/>
    <w:rsid w:val="007F275E"/>
    <w:rsid w:val="007F28B9"/>
    <w:rsid w:val="007F28D7"/>
    <w:rsid w:val="007F2919"/>
    <w:rsid w:val="007F2A2D"/>
    <w:rsid w:val="007F2C19"/>
    <w:rsid w:val="007F2C49"/>
    <w:rsid w:val="007F2CE4"/>
    <w:rsid w:val="007F2D86"/>
    <w:rsid w:val="007F2F14"/>
    <w:rsid w:val="007F3079"/>
    <w:rsid w:val="007F30CC"/>
    <w:rsid w:val="007F3130"/>
    <w:rsid w:val="007F320E"/>
    <w:rsid w:val="007F3567"/>
    <w:rsid w:val="007F365B"/>
    <w:rsid w:val="007F370A"/>
    <w:rsid w:val="007F3B6D"/>
    <w:rsid w:val="007F3BC9"/>
    <w:rsid w:val="007F3BE4"/>
    <w:rsid w:val="007F3DE3"/>
    <w:rsid w:val="007F4077"/>
    <w:rsid w:val="007F4314"/>
    <w:rsid w:val="007F43C3"/>
    <w:rsid w:val="007F4849"/>
    <w:rsid w:val="007F4954"/>
    <w:rsid w:val="007F4A18"/>
    <w:rsid w:val="007F4D41"/>
    <w:rsid w:val="007F4DC3"/>
    <w:rsid w:val="007F4E01"/>
    <w:rsid w:val="007F4E20"/>
    <w:rsid w:val="007F4ED3"/>
    <w:rsid w:val="007F514A"/>
    <w:rsid w:val="007F5204"/>
    <w:rsid w:val="007F5258"/>
    <w:rsid w:val="007F5363"/>
    <w:rsid w:val="007F5423"/>
    <w:rsid w:val="007F560D"/>
    <w:rsid w:val="007F5728"/>
    <w:rsid w:val="007F599E"/>
    <w:rsid w:val="007F5A6B"/>
    <w:rsid w:val="007F5B45"/>
    <w:rsid w:val="007F5BDB"/>
    <w:rsid w:val="007F6057"/>
    <w:rsid w:val="007F60F5"/>
    <w:rsid w:val="007F6236"/>
    <w:rsid w:val="007F6303"/>
    <w:rsid w:val="007F6477"/>
    <w:rsid w:val="007F6B71"/>
    <w:rsid w:val="007F6B7B"/>
    <w:rsid w:val="007F6F17"/>
    <w:rsid w:val="007F73C7"/>
    <w:rsid w:val="007F7437"/>
    <w:rsid w:val="007F7497"/>
    <w:rsid w:val="007F751E"/>
    <w:rsid w:val="007F7677"/>
    <w:rsid w:val="007F771A"/>
    <w:rsid w:val="007F77C4"/>
    <w:rsid w:val="007F7A17"/>
    <w:rsid w:val="007F7B66"/>
    <w:rsid w:val="007F7E3C"/>
    <w:rsid w:val="008000EC"/>
    <w:rsid w:val="008005BB"/>
    <w:rsid w:val="008006C2"/>
    <w:rsid w:val="00800743"/>
    <w:rsid w:val="00800826"/>
    <w:rsid w:val="00800827"/>
    <w:rsid w:val="00800984"/>
    <w:rsid w:val="00800BE4"/>
    <w:rsid w:val="00800F21"/>
    <w:rsid w:val="00801067"/>
    <w:rsid w:val="00801460"/>
    <w:rsid w:val="008016A3"/>
    <w:rsid w:val="0080170A"/>
    <w:rsid w:val="00801783"/>
    <w:rsid w:val="0080191D"/>
    <w:rsid w:val="00801933"/>
    <w:rsid w:val="00801ABD"/>
    <w:rsid w:val="00801C6F"/>
    <w:rsid w:val="0080213B"/>
    <w:rsid w:val="0080219B"/>
    <w:rsid w:val="008021F3"/>
    <w:rsid w:val="00802256"/>
    <w:rsid w:val="00802504"/>
    <w:rsid w:val="00802D16"/>
    <w:rsid w:val="008030AE"/>
    <w:rsid w:val="008030BA"/>
    <w:rsid w:val="00803125"/>
    <w:rsid w:val="008032A0"/>
    <w:rsid w:val="008032CE"/>
    <w:rsid w:val="0080344C"/>
    <w:rsid w:val="008035B1"/>
    <w:rsid w:val="00803755"/>
    <w:rsid w:val="00803B2E"/>
    <w:rsid w:val="00803CD8"/>
    <w:rsid w:val="00803D0E"/>
    <w:rsid w:val="00803D62"/>
    <w:rsid w:val="00803DA6"/>
    <w:rsid w:val="00803E7C"/>
    <w:rsid w:val="00803EBA"/>
    <w:rsid w:val="00803EE2"/>
    <w:rsid w:val="00803EE6"/>
    <w:rsid w:val="00803F79"/>
    <w:rsid w:val="00803FCE"/>
    <w:rsid w:val="00804013"/>
    <w:rsid w:val="00804026"/>
    <w:rsid w:val="00804397"/>
    <w:rsid w:val="00804405"/>
    <w:rsid w:val="00804461"/>
    <w:rsid w:val="00804658"/>
    <w:rsid w:val="008047C6"/>
    <w:rsid w:val="00804988"/>
    <w:rsid w:val="00804A52"/>
    <w:rsid w:val="00804A76"/>
    <w:rsid w:val="00804A81"/>
    <w:rsid w:val="00804B11"/>
    <w:rsid w:val="00804CF8"/>
    <w:rsid w:val="00804D61"/>
    <w:rsid w:val="00804D6A"/>
    <w:rsid w:val="00804D92"/>
    <w:rsid w:val="00804DD7"/>
    <w:rsid w:val="00805195"/>
    <w:rsid w:val="00805606"/>
    <w:rsid w:val="00805945"/>
    <w:rsid w:val="00805956"/>
    <w:rsid w:val="00805C41"/>
    <w:rsid w:val="00805C8D"/>
    <w:rsid w:val="00805FC4"/>
    <w:rsid w:val="008061A4"/>
    <w:rsid w:val="0080650B"/>
    <w:rsid w:val="00806857"/>
    <w:rsid w:val="00806DA1"/>
    <w:rsid w:val="00806DF9"/>
    <w:rsid w:val="00806FC3"/>
    <w:rsid w:val="00807126"/>
    <w:rsid w:val="008073C4"/>
    <w:rsid w:val="008074A7"/>
    <w:rsid w:val="00807850"/>
    <w:rsid w:val="008078D4"/>
    <w:rsid w:val="008078D9"/>
    <w:rsid w:val="0080798D"/>
    <w:rsid w:val="00807A98"/>
    <w:rsid w:val="00807AB5"/>
    <w:rsid w:val="00807C27"/>
    <w:rsid w:val="00807DA8"/>
    <w:rsid w:val="00807DE0"/>
    <w:rsid w:val="008101C8"/>
    <w:rsid w:val="00810283"/>
    <w:rsid w:val="00810286"/>
    <w:rsid w:val="00810578"/>
    <w:rsid w:val="00810588"/>
    <w:rsid w:val="008105C8"/>
    <w:rsid w:val="0081066C"/>
    <w:rsid w:val="008108DE"/>
    <w:rsid w:val="008109BD"/>
    <w:rsid w:val="008109F9"/>
    <w:rsid w:val="00810A22"/>
    <w:rsid w:val="00810A5C"/>
    <w:rsid w:val="00810B30"/>
    <w:rsid w:val="00810C06"/>
    <w:rsid w:val="00810C9E"/>
    <w:rsid w:val="00810D46"/>
    <w:rsid w:val="00810DDA"/>
    <w:rsid w:val="0081120C"/>
    <w:rsid w:val="00811404"/>
    <w:rsid w:val="00811484"/>
    <w:rsid w:val="0081150C"/>
    <w:rsid w:val="0081161D"/>
    <w:rsid w:val="00811659"/>
    <w:rsid w:val="0081166E"/>
    <w:rsid w:val="0081188A"/>
    <w:rsid w:val="00811BC0"/>
    <w:rsid w:val="00811C35"/>
    <w:rsid w:val="00811C83"/>
    <w:rsid w:val="00811D94"/>
    <w:rsid w:val="00811E4E"/>
    <w:rsid w:val="00812056"/>
    <w:rsid w:val="00812214"/>
    <w:rsid w:val="00812338"/>
    <w:rsid w:val="00812491"/>
    <w:rsid w:val="008125B5"/>
    <w:rsid w:val="0081261A"/>
    <w:rsid w:val="008126A5"/>
    <w:rsid w:val="0081297E"/>
    <w:rsid w:val="00812A99"/>
    <w:rsid w:val="00812C1E"/>
    <w:rsid w:val="00812E4D"/>
    <w:rsid w:val="00812EAD"/>
    <w:rsid w:val="0081300B"/>
    <w:rsid w:val="00813109"/>
    <w:rsid w:val="00813313"/>
    <w:rsid w:val="00813452"/>
    <w:rsid w:val="00813454"/>
    <w:rsid w:val="00813473"/>
    <w:rsid w:val="00813613"/>
    <w:rsid w:val="0081365C"/>
    <w:rsid w:val="00813788"/>
    <w:rsid w:val="008138B1"/>
    <w:rsid w:val="008138C2"/>
    <w:rsid w:val="008139A4"/>
    <w:rsid w:val="008139D1"/>
    <w:rsid w:val="00813BCB"/>
    <w:rsid w:val="00813C70"/>
    <w:rsid w:val="00813D8E"/>
    <w:rsid w:val="00813DCC"/>
    <w:rsid w:val="0081401A"/>
    <w:rsid w:val="008140FA"/>
    <w:rsid w:val="00814129"/>
    <w:rsid w:val="008143EF"/>
    <w:rsid w:val="00814446"/>
    <w:rsid w:val="0081456E"/>
    <w:rsid w:val="008145C0"/>
    <w:rsid w:val="008145C7"/>
    <w:rsid w:val="008146EF"/>
    <w:rsid w:val="00814853"/>
    <w:rsid w:val="008149FC"/>
    <w:rsid w:val="00814B26"/>
    <w:rsid w:val="00814C39"/>
    <w:rsid w:val="00814ECD"/>
    <w:rsid w:val="00815073"/>
    <w:rsid w:val="00815320"/>
    <w:rsid w:val="0081548E"/>
    <w:rsid w:val="008156FC"/>
    <w:rsid w:val="0081586F"/>
    <w:rsid w:val="00815955"/>
    <w:rsid w:val="00815B07"/>
    <w:rsid w:val="00815B96"/>
    <w:rsid w:val="00815F78"/>
    <w:rsid w:val="00815FAD"/>
    <w:rsid w:val="00815FCC"/>
    <w:rsid w:val="008166C2"/>
    <w:rsid w:val="008167D4"/>
    <w:rsid w:val="00816CC2"/>
    <w:rsid w:val="00816E55"/>
    <w:rsid w:val="00816F20"/>
    <w:rsid w:val="00816F95"/>
    <w:rsid w:val="00817258"/>
    <w:rsid w:val="0081731E"/>
    <w:rsid w:val="00817341"/>
    <w:rsid w:val="008174E0"/>
    <w:rsid w:val="00817821"/>
    <w:rsid w:val="00817892"/>
    <w:rsid w:val="00817899"/>
    <w:rsid w:val="00817A55"/>
    <w:rsid w:val="00817FA5"/>
    <w:rsid w:val="00820063"/>
    <w:rsid w:val="008201C0"/>
    <w:rsid w:val="00820364"/>
    <w:rsid w:val="0082037A"/>
    <w:rsid w:val="008203AE"/>
    <w:rsid w:val="008203CD"/>
    <w:rsid w:val="008204BC"/>
    <w:rsid w:val="008204BE"/>
    <w:rsid w:val="008205C9"/>
    <w:rsid w:val="008207C9"/>
    <w:rsid w:val="00820990"/>
    <w:rsid w:val="008209DC"/>
    <w:rsid w:val="00820AE7"/>
    <w:rsid w:val="00820CAC"/>
    <w:rsid w:val="00820CF3"/>
    <w:rsid w:val="00820D72"/>
    <w:rsid w:val="00820F85"/>
    <w:rsid w:val="00820FD9"/>
    <w:rsid w:val="0082110B"/>
    <w:rsid w:val="00821286"/>
    <w:rsid w:val="008213B3"/>
    <w:rsid w:val="00821516"/>
    <w:rsid w:val="0082175B"/>
    <w:rsid w:val="00821824"/>
    <w:rsid w:val="00821A4F"/>
    <w:rsid w:val="00821A72"/>
    <w:rsid w:val="00821BAA"/>
    <w:rsid w:val="00822099"/>
    <w:rsid w:val="00822112"/>
    <w:rsid w:val="008221D1"/>
    <w:rsid w:val="008223CA"/>
    <w:rsid w:val="0082251E"/>
    <w:rsid w:val="00822751"/>
    <w:rsid w:val="008229B2"/>
    <w:rsid w:val="00822BF2"/>
    <w:rsid w:val="00822DB9"/>
    <w:rsid w:val="00823096"/>
    <w:rsid w:val="00823115"/>
    <w:rsid w:val="0082336B"/>
    <w:rsid w:val="008235C1"/>
    <w:rsid w:val="0082361B"/>
    <w:rsid w:val="00823735"/>
    <w:rsid w:val="00823844"/>
    <w:rsid w:val="00823DFC"/>
    <w:rsid w:val="00824074"/>
    <w:rsid w:val="0082427B"/>
    <w:rsid w:val="008244C6"/>
    <w:rsid w:val="00824596"/>
    <w:rsid w:val="00824735"/>
    <w:rsid w:val="00824771"/>
    <w:rsid w:val="00824AA0"/>
    <w:rsid w:val="00824D16"/>
    <w:rsid w:val="00825041"/>
    <w:rsid w:val="00825136"/>
    <w:rsid w:val="00825208"/>
    <w:rsid w:val="008253F6"/>
    <w:rsid w:val="00825575"/>
    <w:rsid w:val="008255AE"/>
    <w:rsid w:val="00825845"/>
    <w:rsid w:val="008259B7"/>
    <w:rsid w:val="008259C8"/>
    <w:rsid w:val="00825A21"/>
    <w:rsid w:val="00825C78"/>
    <w:rsid w:val="00825D86"/>
    <w:rsid w:val="00825D96"/>
    <w:rsid w:val="00825DF0"/>
    <w:rsid w:val="00825F80"/>
    <w:rsid w:val="008260A0"/>
    <w:rsid w:val="00826256"/>
    <w:rsid w:val="008262F1"/>
    <w:rsid w:val="00826367"/>
    <w:rsid w:val="0082647A"/>
    <w:rsid w:val="0082696E"/>
    <w:rsid w:val="00826AB7"/>
    <w:rsid w:val="00826C95"/>
    <w:rsid w:val="00826CB5"/>
    <w:rsid w:val="00826CDF"/>
    <w:rsid w:val="008271C0"/>
    <w:rsid w:val="0082731A"/>
    <w:rsid w:val="008273D3"/>
    <w:rsid w:val="008274B7"/>
    <w:rsid w:val="00827505"/>
    <w:rsid w:val="008277B3"/>
    <w:rsid w:val="00827A85"/>
    <w:rsid w:val="00827C8C"/>
    <w:rsid w:val="00827C95"/>
    <w:rsid w:val="00827C9E"/>
    <w:rsid w:val="00827CF0"/>
    <w:rsid w:val="00827CFE"/>
    <w:rsid w:val="00827DC0"/>
    <w:rsid w:val="008300C4"/>
    <w:rsid w:val="0083034F"/>
    <w:rsid w:val="0083054C"/>
    <w:rsid w:val="008306A2"/>
    <w:rsid w:val="00830864"/>
    <w:rsid w:val="00830933"/>
    <w:rsid w:val="00830B81"/>
    <w:rsid w:val="00830BB2"/>
    <w:rsid w:val="00830BCE"/>
    <w:rsid w:val="00830CD0"/>
    <w:rsid w:val="00830CFB"/>
    <w:rsid w:val="00830D57"/>
    <w:rsid w:val="00830DB8"/>
    <w:rsid w:val="00830E57"/>
    <w:rsid w:val="00830E6B"/>
    <w:rsid w:val="00830ECC"/>
    <w:rsid w:val="00830F84"/>
    <w:rsid w:val="00831023"/>
    <w:rsid w:val="008310F7"/>
    <w:rsid w:val="00831140"/>
    <w:rsid w:val="0083116C"/>
    <w:rsid w:val="00831185"/>
    <w:rsid w:val="008314CE"/>
    <w:rsid w:val="008314F4"/>
    <w:rsid w:val="0083186A"/>
    <w:rsid w:val="008319F8"/>
    <w:rsid w:val="00831A0F"/>
    <w:rsid w:val="00831AD3"/>
    <w:rsid w:val="00831CBA"/>
    <w:rsid w:val="00831D4B"/>
    <w:rsid w:val="00831ED7"/>
    <w:rsid w:val="00831FF8"/>
    <w:rsid w:val="0083206C"/>
    <w:rsid w:val="008322A2"/>
    <w:rsid w:val="0083256E"/>
    <w:rsid w:val="00832660"/>
    <w:rsid w:val="00832963"/>
    <w:rsid w:val="008329DA"/>
    <w:rsid w:val="00832D12"/>
    <w:rsid w:val="00832D16"/>
    <w:rsid w:val="00832E21"/>
    <w:rsid w:val="00833297"/>
    <w:rsid w:val="008332C7"/>
    <w:rsid w:val="0083336E"/>
    <w:rsid w:val="008334BE"/>
    <w:rsid w:val="008335CD"/>
    <w:rsid w:val="008336C1"/>
    <w:rsid w:val="00833725"/>
    <w:rsid w:val="00833749"/>
    <w:rsid w:val="0083374B"/>
    <w:rsid w:val="00833868"/>
    <w:rsid w:val="00833A33"/>
    <w:rsid w:val="00833A6B"/>
    <w:rsid w:val="00833B0E"/>
    <w:rsid w:val="00833DB4"/>
    <w:rsid w:val="00833E50"/>
    <w:rsid w:val="00833F15"/>
    <w:rsid w:val="00833FDC"/>
    <w:rsid w:val="0083404E"/>
    <w:rsid w:val="008340F4"/>
    <w:rsid w:val="008341B0"/>
    <w:rsid w:val="008342EC"/>
    <w:rsid w:val="00834336"/>
    <w:rsid w:val="0083433C"/>
    <w:rsid w:val="00834394"/>
    <w:rsid w:val="00834970"/>
    <w:rsid w:val="00834AB4"/>
    <w:rsid w:val="00834B6E"/>
    <w:rsid w:val="00835125"/>
    <w:rsid w:val="0083519B"/>
    <w:rsid w:val="00835226"/>
    <w:rsid w:val="008354F0"/>
    <w:rsid w:val="00835607"/>
    <w:rsid w:val="00835654"/>
    <w:rsid w:val="008359DD"/>
    <w:rsid w:val="00835B60"/>
    <w:rsid w:val="00835E17"/>
    <w:rsid w:val="00835E7D"/>
    <w:rsid w:val="00835EC0"/>
    <w:rsid w:val="00835EED"/>
    <w:rsid w:val="0083620F"/>
    <w:rsid w:val="008363EF"/>
    <w:rsid w:val="0083643B"/>
    <w:rsid w:val="00836455"/>
    <w:rsid w:val="008366D4"/>
    <w:rsid w:val="00836728"/>
    <w:rsid w:val="00836893"/>
    <w:rsid w:val="00836A9D"/>
    <w:rsid w:val="00836B64"/>
    <w:rsid w:val="00836D08"/>
    <w:rsid w:val="00836F4E"/>
    <w:rsid w:val="008370B4"/>
    <w:rsid w:val="0083710B"/>
    <w:rsid w:val="0083739B"/>
    <w:rsid w:val="008376E6"/>
    <w:rsid w:val="008378D1"/>
    <w:rsid w:val="00837997"/>
    <w:rsid w:val="00837A82"/>
    <w:rsid w:val="00837AC7"/>
    <w:rsid w:val="00837C4F"/>
    <w:rsid w:val="00837D57"/>
    <w:rsid w:val="00837ED1"/>
    <w:rsid w:val="0084019C"/>
    <w:rsid w:val="00840305"/>
    <w:rsid w:val="008403EA"/>
    <w:rsid w:val="008403F4"/>
    <w:rsid w:val="00840424"/>
    <w:rsid w:val="008405C3"/>
    <w:rsid w:val="0084096A"/>
    <w:rsid w:val="00840A12"/>
    <w:rsid w:val="00840A93"/>
    <w:rsid w:val="0084101F"/>
    <w:rsid w:val="00841034"/>
    <w:rsid w:val="00841037"/>
    <w:rsid w:val="008410CB"/>
    <w:rsid w:val="00841168"/>
    <w:rsid w:val="00841185"/>
    <w:rsid w:val="00841199"/>
    <w:rsid w:val="008411BC"/>
    <w:rsid w:val="008411C6"/>
    <w:rsid w:val="00841216"/>
    <w:rsid w:val="008414E8"/>
    <w:rsid w:val="008415FA"/>
    <w:rsid w:val="008416B8"/>
    <w:rsid w:val="00841773"/>
    <w:rsid w:val="00841846"/>
    <w:rsid w:val="00841C0A"/>
    <w:rsid w:val="00841E4E"/>
    <w:rsid w:val="008421D5"/>
    <w:rsid w:val="00842453"/>
    <w:rsid w:val="008424DC"/>
    <w:rsid w:val="0084289F"/>
    <w:rsid w:val="00842BB8"/>
    <w:rsid w:val="00842C6A"/>
    <w:rsid w:val="00842D37"/>
    <w:rsid w:val="00842E28"/>
    <w:rsid w:val="00842E29"/>
    <w:rsid w:val="00843353"/>
    <w:rsid w:val="0084362A"/>
    <w:rsid w:val="0084374D"/>
    <w:rsid w:val="008437D4"/>
    <w:rsid w:val="00843850"/>
    <w:rsid w:val="00843965"/>
    <w:rsid w:val="00843AC5"/>
    <w:rsid w:val="00843C2E"/>
    <w:rsid w:val="00843CE4"/>
    <w:rsid w:val="00843CFE"/>
    <w:rsid w:val="00843E7E"/>
    <w:rsid w:val="00843F5B"/>
    <w:rsid w:val="00843F62"/>
    <w:rsid w:val="008446EA"/>
    <w:rsid w:val="00844718"/>
    <w:rsid w:val="00844738"/>
    <w:rsid w:val="008447D5"/>
    <w:rsid w:val="008449E1"/>
    <w:rsid w:val="00844B38"/>
    <w:rsid w:val="00844BCC"/>
    <w:rsid w:val="00844BFC"/>
    <w:rsid w:val="00844E31"/>
    <w:rsid w:val="00845060"/>
    <w:rsid w:val="00845490"/>
    <w:rsid w:val="0084558A"/>
    <w:rsid w:val="008455EC"/>
    <w:rsid w:val="00845698"/>
    <w:rsid w:val="008456D2"/>
    <w:rsid w:val="00845723"/>
    <w:rsid w:val="00845A2B"/>
    <w:rsid w:val="00845AFC"/>
    <w:rsid w:val="00845EB3"/>
    <w:rsid w:val="00845F34"/>
    <w:rsid w:val="00845F52"/>
    <w:rsid w:val="00846072"/>
    <w:rsid w:val="008460EF"/>
    <w:rsid w:val="008463A0"/>
    <w:rsid w:val="0084665F"/>
    <w:rsid w:val="008468F9"/>
    <w:rsid w:val="00846979"/>
    <w:rsid w:val="00846CB6"/>
    <w:rsid w:val="00846FEB"/>
    <w:rsid w:val="008471B8"/>
    <w:rsid w:val="008472F6"/>
    <w:rsid w:val="008472F9"/>
    <w:rsid w:val="008473C0"/>
    <w:rsid w:val="00847625"/>
    <w:rsid w:val="00847719"/>
    <w:rsid w:val="00847B59"/>
    <w:rsid w:val="00847CCB"/>
    <w:rsid w:val="00847E0C"/>
    <w:rsid w:val="00850179"/>
    <w:rsid w:val="008501D2"/>
    <w:rsid w:val="008501EE"/>
    <w:rsid w:val="00850266"/>
    <w:rsid w:val="008502D8"/>
    <w:rsid w:val="0085037A"/>
    <w:rsid w:val="00850A51"/>
    <w:rsid w:val="00850A5B"/>
    <w:rsid w:val="00850A9C"/>
    <w:rsid w:val="00850AA1"/>
    <w:rsid w:val="00850B4A"/>
    <w:rsid w:val="00850B7A"/>
    <w:rsid w:val="00850D9B"/>
    <w:rsid w:val="00850E36"/>
    <w:rsid w:val="00850E5C"/>
    <w:rsid w:val="00850F7B"/>
    <w:rsid w:val="00851105"/>
    <w:rsid w:val="00851166"/>
    <w:rsid w:val="0085145C"/>
    <w:rsid w:val="00851965"/>
    <w:rsid w:val="008519F7"/>
    <w:rsid w:val="00851A08"/>
    <w:rsid w:val="00851E59"/>
    <w:rsid w:val="00851EE8"/>
    <w:rsid w:val="00852208"/>
    <w:rsid w:val="0085220B"/>
    <w:rsid w:val="00852488"/>
    <w:rsid w:val="0085252D"/>
    <w:rsid w:val="00852606"/>
    <w:rsid w:val="008526EE"/>
    <w:rsid w:val="00852922"/>
    <w:rsid w:val="00852A21"/>
    <w:rsid w:val="00852A6A"/>
    <w:rsid w:val="00852AB0"/>
    <w:rsid w:val="00852CC3"/>
    <w:rsid w:val="00852E86"/>
    <w:rsid w:val="00852FF8"/>
    <w:rsid w:val="008530E9"/>
    <w:rsid w:val="008534D3"/>
    <w:rsid w:val="008534FD"/>
    <w:rsid w:val="00853802"/>
    <w:rsid w:val="00853B6B"/>
    <w:rsid w:val="00853D24"/>
    <w:rsid w:val="00853D41"/>
    <w:rsid w:val="00853E42"/>
    <w:rsid w:val="00854510"/>
    <w:rsid w:val="00854681"/>
    <w:rsid w:val="008546E9"/>
    <w:rsid w:val="00854D7B"/>
    <w:rsid w:val="00854DBC"/>
    <w:rsid w:val="00854E62"/>
    <w:rsid w:val="00854EF3"/>
    <w:rsid w:val="00854F2F"/>
    <w:rsid w:val="00854F3A"/>
    <w:rsid w:val="00854F73"/>
    <w:rsid w:val="00854FFF"/>
    <w:rsid w:val="008551A9"/>
    <w:rsid w:val="00855287"/>
    <w:rsid w:val="008552E8"/>
    <w:rsid w:val="00855363"/>
    <w:rsid w:val="008557C2"/>
    <w:rsid w:val="00855984"/>
    <w:rsid w:val="00855AFC"/>
    <w:rsid w:val="00855B2F"/>
    <w:rsid w:val="00855D2D"/>
    <w:rsid w:val="00856223"/>
    <w:rsid w:val="00856318"/>
    <w:rsid w:val="00856324"/>
    <w:rsid w:val="00856438"/>
    <w:rsid w:val="008566BA"/>
    <w:rsid w:val="008567AC"/>
    <w:rsid w:val="008567CA"/>
    <w:rsid w:val="00856C27"/>
    <w:rsid w:val="00856CAF"/>
    <w:rsid w:val="00856CBA"/>
    <w:rsid w:val="00856CEC"/>
    <w:rsid w:val="00856EAD"/>
    <w:rsid w:val="00856F8C"/>
    <w:rsid w:val="00856FDD"/>
    <w:rsid w:val="00857080"/>
    <w:rsid w:val="00857447"/>
    <w:rsid w:val="008574DB"/>
    <w:rsid w:val="008575A4"/>
    <w:rsid w:val="008576E7"/>
    <w:rsid w:val="00857719"/>
    <w:rsid w:val="00857AC4"/>
    <w:rsid w:val="00857AFC"/>
    <w:rsid w:val="00857D52"/>
    <w:rsid w:val="00857E3B"/>
    <w:rsid w:val="00860088"/>
    <w:rsid w:val="00860226"/>
    <w:rsid w:val="00860425"/>
    <w:rsid w:val="00860442"/>
    <w:rsid w:val="008604D5"/>
    <w:rsid w:val="008605AF"/>
    <w:rsid w:val="0086066A"/>
    <w:rsid w:val="00860686"/>
    <w:rsid w:val="00860A0F"/>
    <w:rsid w:val="00860A16"/>
    <w:rsid w:val="00860A43"/>
    <w:rsid w:val="00860B07"/>
    <w:rsid w:val="00860B48"/>
    <w:rsid w:val="00860CC1"/>
    <w:rsid w:val="00860D0A"/>
    <w:rsid w:val="00861056"/>
    <w:rsid w:val="00861310"/>
    <w:rsid w:val="008613FA"/>
    <w:rsid w:val="00861636"/>
    <w:rsid w:val="00861687"/>
    <w:rsid w:val="00861713"/>
    <w:rsid w:val="00861780"/>
    <w:rsid w:val="008617C2"/>
    <w:rsid w:val="00861922"/>
    <w:rsid w:val="008619E4"/>
    <w:rsid w:val="00861A8E"/>
    <w:rsid w:val="00861B45"/>
    <w:rsid w:val="00861BFF"/>
    <w:rsid w:val="00861C08"/>
    <w:rsid w:val="00861C17"/>
    <w:rsid w:val="00861C61"/>
    <w:rsid w:val="00861DBA"/>
    <w:rsid w:val="00861E2F"/>
    <w:rsid w:val="00861E72"/>
    <w:rsid w:val="00861EAE"/>
    <w:rsid w:val="00861F10"/>
    <w:rsid w:val="0086209D"/>
    <w:rsid w:val="00862329"/>
    <w:rsid w:val="008623AC"/>
    <w:rsid w:val="00862425"/>
    <w:rsid w:val="00862C51"/>
    <w:rsid w:val="00862C77"/>
    <w:rsid w:val="00862E17"/>
    <w:rsid w:val="00862F18"/>
    <w:rsid w:val="008631EF"/>
    <w:rsid w:val="0086324F"/>
    <w:rsid w:val="008632D4"/>
    <w:rsid w:val="008633D9"/>
    <w:rsid w:val="0086352C"/>
    <w:rsid w:val="008636A1"/>
    <w:rsid w:val="0086371B"/>
    <w:rsid w:val="00863814"/>
    <w:rsid w:val="00863846"/>
    <w:rsid w:val="00863AC4"/>
    <w:rsid w:val="00863B29"/>
    <w:rsid w:val="00863B57"/>
    <w:rsid w:val="00863C50"/>
    <w:rsid w:val="00863D90"/>
    <w:rsid w:val="00863F00"/>
    <w:rsid w:val="00863F96"/>
    <w:rsid w:val="00864260"/>
    <w:rsid w:val="008642E0"/>
    <w:rsid w:val="0086437D"/>
    <w:rsid w:val="008643DA"/>
    <w:rsid w:val="0086447A"/>
    <w:rsid w:val="00864708"/>
    <w:rsid w:val="00864765"/>
    <w:rsid w:val="0086477A"/>
    <w:rsid w:val="008647AA"/>
    <w:rsid w:val="008649A8"/>
    <w:rsid w:val="00864AF9"/>
    <w:rsid w:val="00864BBB"/>
    <w:rsid w:val="00864C8A"/>
    <w:rsid w:val="00864CC5"/>
    <w:rsid w:val="00864D64"/>
    <w:rsid w:val="00864DBF"/>
    <w:rsid w:val="00864E6E"/>
    <w:rsid w:val="00864FCE"/>
    <w:rsid w:val="0086505C"/>
    <w:rsid w:val="0086512B"/>
    <w:rsid w:val="0086552D"/>
    <w:rsid w:val="00865596"/>
    <w:rsid w:val="00865713"/>
    <w:rsid w:val="00865B59"/>
    <w:rsid w:val="00865E17"/>
    <w:rsid w:val="00866196"/>
    <w:rsid w:val="008662A0"/>
    <w:rsid w:val="0086631B"/>
    <w:rsid w:val="00866335"/>
    <w:rsid w:val="008663C1"/>
    <w:rsid w:val="008665F4"/>
    <w:rsid w:val="00866650"/>
    <w:rsid w:val="00866DE0"/>
    <w:rsid w:val="00866E5C"/>
    <w:rsid w:val="00866E6D"/>
    <w:rsid w:val="00867038"/>
    <w:rsid w:val="008670C7"/>
    <w:rsid w:val="00867166"/>
    <w:rsid w:val="00867192"/>
    <w:rsid w:val="008671D1"/>
    <w:rsid w:val="0086767C"/>
    <w:rsid w:val="00867714"/>
    <w:rsid w:val="00867758"/>
    <w:rsid w:val="008678CA"/>
    <w:rsid w:val="00867A16"/>
    <w:rsid w:val="00867B0A"/>
    <w:rsid w:val="00867B8E"/>
    <w:rsid w:val="00867C61"/>
    <w:rsid w:val="00867C91"/>
    <w:rsid w:val="00867F7E"/>
    <w:rsid w:val="0087015B"/>
    <w:rsid w:val="008702C6"/>
    <w:rsid w:val="0087052F"/>
    <w:rsid w:val="0087059B"/>
    <w:rsid w:val="008707DD"/>
    <w:rsid w:val="0087082B"/>
    <w:rsid w:val="00870925"/>
    <w:rsid w:val="00870929"/>
    <w:rsid w:val="00870AB6"/>
    <w:rsid w:val="00870C0B"/>
    <w:rsid w:val="00870C58"/>
    <w:rsid w:val="00870FCE"/>
    <w:rsid w:val="00871125"/>
    <w:rsid w:val="00871189"/>
    <w:rsid w:val="00871302"/>
    <w:rsid w:val="0087144C"/>
    <w:rsid w:val="00871582"/>
    <w:rsid w:val="008715B5"/>
    <w:rsid w:val="0087198D"/>
    <w:rsid w:val="00871B41"/>
    <w:rsid w:val="00871CF1"/>
    <w:rsid w:val="00871E1B"/>
    <w:rsid w:val="00871E37"/>
    <w:rsid w:val="00871F95"/>
    <w:rsid w:val="00871FB0"/>
    <w:rsid w:val="00871FE0"/>
    <w:rsid w:val="00872280"/>
    <w:rsid w:val="0087237A"/>
    <w:rsid w:val="00872814"/>
    <w:rsid w:val="008729CE"/>
    <w:rsid w:val="00872F6B"/>
    <w:rsid w:val="0087339D"/>
    <w:rsid w:val="008736F6"/>
    <w:rsid w:val="008737A0"/>
    <w:rsid w:val="00873901"/>
    <w:rsid w:val="008739E2"/>
    <w:rsid w:val="00873A10"/>
    <w:rsid w:val="00873C6F"/>
    <w:rsid w:val="00874027"/>
    <w:rsid w:val="0087418A"/>
    <w:rsid w:val="0087425A"/>
    <w:rsid w:val="00874379"/>
    <w:rsid w:val="0087438E"/>
    <w:rsid w:val="008743BB"/>
    <w:rsid w:val="008744FE"/>
    <w:rsid w:val="008746BA"/>
    <w:rsid w:val="008747D2"/>
    <w:rsid w:val="00874885"/>
    <w:rsid w:val="00874AD1"/>
    <w:rsid w:val="00874C46"/>
    <w:rsid w:val="00874DF6"/>
    <w:rsid w:val="00874EBC"/>
    <w:rsid w:val="00874F4F"/>
    <w:rsid w:val="00874FC6"/>
    <w:rsid w:val="008750AD"/>
    <w:rsid w:val="008751D6"/>
    <w:rsid w:val="0087534A"/>
    <w:rsid w:val="0087592E"/>
    <w:rsid w:val="00875A40"/>
    <w:rsid w:val="00875A49"/>
    <w:rsid w:val="00875A6D"/>
    <w:rsid w:val="00875A8E"/>
    <w:rsid w:val="00875B90"/>
    <w:rsid w:val="00875D09"/>
    <w:rsid w:val="00875E39"/>
    <w:rsid w:val="0087602B"/>
    <w:rsid w:val="00876282"/>
    <w:rsid w:val="00876316"/>
    <w:rsid w:val="00876730"/>
    <w:rsid w:val="008767E6"/>
    <w:rsid w:val="008768DC"/>
    <w:rsid w:val="00876A47"/>
    <w:rsid w:val="00876B6E"/>
    <w:rsid w:val="00876DBB"/>
    <w:rsid w:val="00876F50"/>
    <w:rsid w:val="00877184"/>
    <w:rsid w:val="0087780D"/>
    <w:rsid w:val="00877A41"/>
    <w:rsid w:val="00877B22"/>
    <w:rsid w:val="00877F36"/>
    <w:rsid w:val="0088016F"/>
    <w:rsid w:val="008802AD"/>
    <w:rsid w:val="0088032D"/>
    <w:rsid w:val="0088036B"/>
    <w:rsid w:val="00880397"/>
    <w:rsid w:val="008804D4"/>
    <w:rsid w:val="00880529"/>
    <w:rsid w:val="00880751"/>
    <w:rsid w:val="00880778"/>
    <w:rsid w:val="00880864"/>
    <w:rsid w:val="008809A9"/>
    <w:rsid w:val="00880E1A"/>
    <w:rsid w:val="00880F28"/>
    <w:rsid w:val="00881477"/>
    <w:rsid w:val="0088166B"/>
    <w:rsid w:val="00881C5C"/>
    <w:rsid w:val="00881D39"/>
    <w:rsid w:val="00881E13"/>
    <w:rsid w:val="00881EEB"/>
    <w:rsid w:val="008820DC"/>
    <w:rsid w:val="0088222D"/>
    <w:rsid w:val="00882354"/>
    <w:rsid w:val="008823BF"/>
    <w:rsid w:val="00882611"/>
    <w:rsid w:val="00882806"/>
    <w:rsid w:val="00882907"/>
    <w:rsid w:val="00882A9F"/>
    <w:rsid w:val="00882B2E"/>
    <w:rsid w:val="00882DC2"/>
    <w:rsid w:val="00882F53"/>
    <w:rsid w:val="008832F0"/>
    <w:rsid w:val="0088385E"/>
    <w:rsid w:val="00883E60"/>
    <w:rsid w:val="00883FF4"/>
    <w:rsid w:val="0088404D"/>
    <w:rsid w:val="0088448B"/>
    <w:rsid w:val="0088453C"/>
    <w:rsid w:val="008845FD"/>
    <w:rsid w:val="0088470F"/>
    <w:rsid w:val="00884714"/>
    <w:rsid w:val="00884767"/>
    <w:rsid w:val="00884962"/>
    <w:rsid w:val="00884D05"/>
    <w:rsid w:val="00884DBF"/>
    <w:rsid w:val="00884F66"/>
    <w:rsid w:val="00885085"/>
    <w:rsid w:val="00885396"/>
    <w:rsid w:val="008857CE"/>
    <w:rsid w:val="008859EB"/>
    <w:rsid w:val="00885A2E"/>
    <w:rsid w:val="00885C96"/>
    <w:rsid w:val="00885CA2"/>
    <w:rsid w:val="00885CA5"/>
    <w:rsid w:val="00885CE0"/>
    <w:rsid w:val="00885D41"/>
    <w:rsid w:val="0088603F"/>
    <w:rsid w:val="00886509"/>
    <w:rsid w:val="0088651E"/>
    <w:rsid w:val="00886587"/>
    <w:rsid w:val="00886697"/>
    <w:rsid w:val="008867C1"/>
    <w:rsid w:val="008867D2"/>
    <w:rsid w:val="008867DF"/>
    <w:rsid w:val="008868F5"/>
    <w:rsid w:val="008869A1"/>
    <w:rsid w:val="00886D8E"/>
    <w:rsid w:val="00886FEC"/>
    <w:rsid w:val="008871B7"/>
    <w:rsid w:val="0088746B"/>
    <w:rsid w:val="008874DD"/>
    <w:rsid w:val="00887906"/>
    <w:rsid w:val="00887983"/>
    <w:rsid w:val="00887AA3"/>
    <w:rsid w:val="00887B4B"/>
    <w:rsid w:val="00887C1F"/>
    <w:rsid w:val="00887DF9"/>
    <w:rsid w:val="00890045"/>
    <w:rsid w:val="00890175"/>
    <w:rsid w:val="00890196"/>
    <w:rsid w:val="00890214"/>
    <w:rsid w:val="00890248"/>
    <w:rsid w:val="008904B1"/>
    <w:rsid w:val="008904E2"/>
    <w:rsid w:val="00890649"/>
    <w:rsid w:val="008906F1"/>
    <w:rsid w:val="00890860"/>
    <w:rsid w:val="00890B5E"/>
    <w:rsid w:val="00890B62"/>
    <w:rsid w:val="00890B8A"/>
    <w:rsid w:val="00890C78"/>
    <w:rsid w:val="00890F62"/>
    <w:rsid w:val="00890F79"/>
    <w:rsid w:val="0089115B"/>
    <w:rsid w:val="0089123F"/>
    <w:rsid w:val="00891331"/>
    <w:rsid w:val="00891426"/>
    <w:rsid w:val="008914CB"/>
    <w:rsid w:val="0089154E"/>
    <w:rsid w:val="0089186E"/>
    <w:rsid w:val="00891955"/>
    <w:rsid w:val="00891A03"/>
    <w:rsid w:val="00891A7E"/>
    <w:rsid w:val="00891D7F"/>
    <w:rsid w:val="00892037"/>
    <w:rsid w:val="00892191"/>
    <w:rsid w:val="00892202"/>
    <w:rsid w:val="00892380"/>
    <w:rsid w:val="0089279C"/>
    <w:rsid w:val="00892843"/>
    <w:rsid w:val="00892CDF"/>
    <w:rsid w:val="00892D92"/>
    <w:rsid w:val="00892D93"/>
    <w:rsid w:val="00892DCC"/>
    <w:rsid w:val="00892EB8"/>
    <w:rsid w:val="00892F2D"/>
    <w:rsid w:val="00892FF7"/>
    <w:rsid w:val="008931E1"/>
    <w:rsid w:val="008933AC"/>
    <w:rsid w:val="00893672"/>
    <w:rsid w:val="008937BC"/>
    <w:rsid w:val="0089381C"/>
    <w:rsid w:val="00893AF7"/>
    <w:rsid w:val="00893BDE"/>
    <w:rsid w:val="00893C2C"/>
    <w:rsid w:val="00893CA9"/>
    <w:rsid w:val="00893E06"/>
    <w:rsid w:val="00893E55"/>
    <w:rsid w:val="00893F2B"/>
    <w:rsid w:val="008941DA"/>
    <w:rsid w:val="008943AF"/>
    <w:rsid w:val="00894493"/>
    <w:rsid w:val="0089457E"/>
    <w:rsid w:val="00894672"/>
    <w:rsid w:val="008948D6"/>
    <w:rsid w:val="008948F0"/>
    <w:rsid w:val="00894CE5"/>
    <w:rsid w:val="00894CF3"/>
    <w:rsid w:val="00894F2A"/>
    <w:rsid w:val="008950A3"/>
    <w:rsid w:val="008951B0"/>
    <w:rsid w:val="00895597"/>
    <w:rsid w:val="008957D4"/>
    <w:rsid w:val="00895917"/>
    <w:rsid w:val="00895AA1"/>
    <w:rsid w:val="00895BA2"/>
    <w:rsid w:val="00895DDE"/>
    <w:rsid w:val="00896264"/>
    <w:rsid w:val="0089629F"/>
    <w:rsid w:val="00896345"/>
    <w:rsid w:val="008963DB"/>
    <w:rsid w:val="00896485"/>
    <w:rsid w:val="00896A15"/>
    <w:rsid w:val="00896A5B"/>
    <w:rsid w:val="00896B73"/>
    <w:rsid w:val="00896BCF"/>
    <w:rsid w:val="00896C37"/>
    <w:rsid w:val="00896CB5"/>
    <w:rsid w:val="00896F24"/>
    <w:rsid w:val="00896F78"/>
    <w:rsid w:val="008971AE"/>
    <w:rsid w:val="00897702"/>
    <w:rsid w:val="00897937"/>
    <w:rsid w:val="008979B1"/>
    <w:rsid w:val="00897CD5"/>
    <w:rsid w:val="00897DD2"/>
    <w:rsid w:val="00897E19"/>
    <w:rsid w:val="00897F5E"/>
    <w:rsid w:val="008A019D"/>
    <w:rsid w:val="008A028E"/>
    <w:rsid w:val="008A045A"/>
    <w:rsid w:val="008A04E9"/>
    <w:rsid w:val="008A0533"/>
    <w:rsid w:val="008A058A"/>
    <w:rsid w:val="008A0646"/>
    <w:rsid w:val="008A0A9F"/>
    <w:rsid w:val="008A1229"/>
    <w:rsid w:val="008A1296"/>
    <w:rsid w:val="008A1373"/>
    <w:rsid w:val="008A13B7"/>
    <w:rsid w:val="008A13D7"/>
    <w:rsid w:val="008A1464"/>
    <w:rsid w:val="008A1504"/>
    <w:rsid w:val="008A1924"/>
    <w:rsid w:val="008A1C35"/>
    <w:rsid w:val="008A1DAC"/>
    <w:rsid w:val="008A1E55"/>
    <w:rsid w:val="008A1FBF"/>
    <w:rsid w:val="008A21AD"/>
    <w:rsid w:val="008A228E"/>
    <w:rsid w:val="008A249B"/>
    <w:rsid w:val="008A27A8"/>
    <w:rsid w:val="008A27FE"/>
    <w:rsid w:val="008A282A"/>
    <w:rsid w:val="008A2992"/>
    <w:rsid w:val="008A299F"/>
    <w:rsid w:val="008A2A8E"/>
    <w:rsid w:val="008A2F8B"/>
    <w:rsid w:val="008A354F"/>
    <w:rsid w:val="008A364D"/>
    <w:rsid w:val="008A36A1"/>
    <w:rsid w:val="008A36C6"/>
    <w:rsid w:val="008A36DC"/>
    <w:rsid w:val="008A3B47"/>
    <w:rsid w:val="008A3EAC"/>
    <w:rsid w:val="008A42AA"/>
    <w:rsid w:val="008A440A"/>
    <w:rsid w:val="008A440C"/>
    <w:rsid w:val="008A46A1"/>
    <w:rsid w:val="008A4AE7"/>
    <w:rsid w:val="008A4BFA"/>
    <w:rsid w:val="008A4C29"/>
    <w:rsid w:val="008A4CBA"/>
    <w:rsid w:val="008A4D6E"/>
    <w:rsid w:val="008A4ED8"/>
    <w:rsid w:val="008A4F0B"/>
    <w:rsid w:val="008A5111"/>
    <w:rsid w:val="008A51B4"/>
    <w:rsid w:val="008A5963"/>
    <w:rsid w:val="008A5B2A"/>
    <w:rsid w:val="008A5BD0"/>
    <w:rsid w:val="008A5DA0"/>
    <w:rsid w:val="008A5E32"/>
    <w:rsid w:val="008A5E3D"/>
    <w:rsid w:val="008A5E8D"/>
    <w:rsid w:val="008A60B1"/>
    <w:rsid w:val="008A6438"/>
    <w:rsid w:val="008A64A5"/>
    <w:rsid w:val="008A658D"/>
    <w:rsid w:val="008A672D"/>
    <w:rsid w:val="008A682F"/>
    <w:rsid w:val="008A684C"/>
    <w:rsid w:val="008A6975"/>
    <w:rsid w:val="008A6C86"/>
    <w:rsid w:val="008A6D08"/>
    <w:rsid w:val="008A6F9C"/>
    <w:rsid w:val="008A71E0"/>
    <w:rsid w:val="008A71F7"/>
    <w:rsid w:val="008A76C8"/>
    <w:rsid w:val="008A78A1"/>
    <w:rsid w:val="008A7A51"/>
    <w:rsid w:val="008A7B82"/>
    <w:rsid w:val="008A7D7E"/>
    <w:rsid w:val="008A7D97"/>
    <w:rsid w:val="008A7DDD"/>
    <w:rsid w:val="008A7EC2"/>
    <w:rsid w:val="008A7F45"/>
    <w:rsid w:val="008B0706"/>
    <w:rsid w:val="008B0765"/>
    <w:rsid w:val="008B07E6"/>
    <w:rsid w:val="008B0881"/>
    <w:rsid w:val="008B08E0"/>
    <w:rsid w:val="008B0A47"/>
    <w:rsid w:val="008B0B55"/>
    <w:rsid w:val="008B0C33"/>
    <w:rsid w:val="008B0DFD"/>
    <w:rsid w:val="008B0E3C"/>
    <w:rsid w:val="008B0E86"/>
    <w:rsid w:val="008B0E8E"/>
    <w:rsid w:val="008B0EB2"/>
    <w:rsid w:val="008B0FD1"/>
    <w:rsid w:val="008B12C5"/>
    <w:rsid w:val="008B130D"/>
    <w:rsid w:val="008B13E9"/>
    <w:rsid w:val="008B1405"/>
    <w:rsid w:val="008B15A8"/>
    <w:rsid w:val="008B16AE"/>
    <w:rsid w:val="008B1A85"/>
    <w:rsid w:val="008B1DAA"/>
    <w:rsid w:val="008B200D"/>
    <w:rsid w:val="008B20EF"/>
    <w:rsid w:val="008B211D"/>
    <w:rsid w:val="008B212E"/>
    <w:rsid w:val="008B2248"/>
    <w:rsid w:val="008B2684"/>
    <w:rsid w:val="008B2778"/>
    <w:rsid w:val="008B2781"/>
    <w:rsid w:val="008B2855"/>
    <w:rsid w:val="008B2D02"/>
    <w:rsid w:val="008B2DD5"/>
    <w:rsid w:val="008B2F25"/>
    <w:rsid w:val="008B3056"/>
    <w:rsid w:val="008B30A5"/>
    <w:rsid w:val="008B32AD"/>
    <w:rsid w:val="008B3356"/>
    <w:rsid w:val="008B33A5"/>
    <w:rsid w:val="008B3688"/>
    <w:rsid w:val="008B36C5"/>
    <w:rsid w:val="008B36E5"/>
    <w:rsid w:val="008B37DC"/>
    <w:rsid w:val="008B3AD3"/>
    <w:rsid w:val="008B3B90"/>
    <w:rsid w:val="008B3D99"/>
    <w:rsid w:val="008B3E38"/>
    <w:rsid w:val="008B3EC4"/>
    <w:rsid w:val="008B3ED2"/>
    <w:rsid w:val="008B4058"/>
    <w:rsid w:val="008B429B"/>
    <w:rsid w:val="008B4393"/>
    <w:rsid w:val="008B4576"/>
    <w:rsid w:val="008B4629"/>
    <w:rsid w:val="008B4636"/>
    <w:rsid w:val="008B4736"/>
    <w:rsid w:val="008B478C"/>
    <w:rsid w:val="008B487E"/>
    <w:rsid w:val="008B4887"/>
    <w:rsid w:val="008B4A26"/>
    <w:rsid w:val="008B4AF5"/>
    <w:rsid w:val="008B4BB0"/>
    <w:rsid w:val="008B4D3B"/>
    <w:rsid w:val="008B4D4E"/>
    <w:rsid w:val="008B4F79"/>
    <w:rsid w:val="008B5048"/>
    <w:rsid w:val="008B5070"/>
    <w:rsid w:val="008B51EB"/>
    <w:rsid w:val="008B5210"/>
    <w:rsid w:val="008B5387"/>
    <w:rsid w:val="008B539C"/>
    <w:rsid w:val="008B5499"/>
    <w:rsid w:val="008B5555"/>
    <w:rsid w:val="008B55E6"/>
    <w:rsid w:val="008B586E"/>
    <w:rsid w:val="008B5A63"/>
    <w:rsid w:val="008B5C10"/>
    <w:rsid w:val="008B5C4A"/>
    <w:rsid w:val="008B5CA0"/>
    <w:rsid w:val="008B5E56"/>
    <w:rsid w:val="008B5F75"/>
    <w:rsid w:val="008B5F8F"/>
    <w:rsid w:val="008B5FC5"/>
    <w:rsid w:val="008B6142"/>
    <w:rsid w:val="008B61A9"/>
    <w:rsid w:val="008B6381"/>
    <w:rsid w:val="008B63BD"/>
    <w:rsid w:val="008B63D9"/>
    <w:rsid w:val="008B644F"/>
    <w:rsid w:val="008B6781"/>
    <w:rsid w:val="008B6793"/>
    <w:rsid w:val="008B67D0"/>
    <w:rsid w:val="008B687F"/>
    <w:rsid w:val="008B6B3A"/>
    <w:rsid w:val="008B6B80"/>
    <w:rsid w:val="008B6E5F"/>
    <w:rsid w:val="008B70C4"/>
    <w:rsid w:val="008B73A0"/>
    <w:rsid w:val="008B74A3"/>
    <w:rsid w:val="008B7613"/>
    <w:rsid w:val="008B77AB"/>
    <w:rsid w:val="008B7823"/>
    <w:rsid w:val="008B788C"/>
    <w:rsid w:val="008B7946"/>
    <w:rsid w:val="008B7A0A"/>
    <w:rsid w:val="008B7A64"/>
    <w:rsid w:val="008B7B23"/>
    <w:rsid w:val="008B7B32"/>
    <w:rsid w:val="008B7D58"/>
    <w:rsid w:val="008B7DBF"/>
    <w:rsid w:val="008B7DEE"/>
    <w:rsid w:val="008C01AD"/>
    <w:rsid w:val="008C0249"/>
    <w:rsid w:val="008C02FE"/>
    <w:rsid w:val="008C03A3"/>
    <w:rsid w:val="008C0412"/>
    <w:rsid w:val="008C048C"/>
    <w:rsid w:val="008C0597"/>
    <w:rsid w:val="008C0A6E"/>
    <w:rsid w:val="008C0A82"/>
    <w:rsid w:val="008C0B19"/>
    <w:rsid w:val="008C0C62"/>
    <w:rsid w:val="008C0C67"/>
    <w:rsid w:val="008C0F67"/>
    <w:rsid w:val="008C1099"/>
    <w:rsid w:val="008C10A1"/>
    <w:rsid w:val="008C11B5"/>
    <w:rsid w:val="008C124F"/>
    <w:rsid w:val="008C127C"/>
    <w:rsid w:val="008C12A1"/>
    <w:rsid w:val="008C13F8"/>
    <w:rsid w:val="008C1452"/>
    <w:rsid w:val="008C16EA"/>
    <w:rsid w:val="008C18A9"/>
    <w:rsid w:val="008C194D"/>
    <w:rsid w:val="008C1B5A"/>
    <w:rsid w:val="008C1BB9"/>
    <w:rsid w:val="008C1D8E"/>
    <w:rsid w:val="008C2012"/>
    <w:rsid w:val="008C20D1"/>
    <w:rsid w:val="008C212B"/>
    <w:rsid w:val="008C224F"/>
    <w:rsid w:val="008C2395"/>
    <w:rsid w:val="008C240C"/>
    <w:rsid w:val="008C2415"/>
    <w:rsid w:val="008C25A6"/>
    <w:rsid w:val="008C25AC"/>
    <w:rsid w:val="008C25BC"/>
    <w:rsid w:val="008C2A98"/>
    <w:rsid w:val="008C2ADC"/>
    <w:rsid w:val="008C2B70"/>
    <w:rsid w:val="008C2BAA"/>
    <w:rsid w:val="008C2C11"/>
    <w:rsid w:val="008C2F0B"/>
    <w:rsid w:val="008C2F5E"/>
    <w:rsid w:val="008C323A"/>
    <w:rsid w:val="008C32C3"/>
    <w:rsid w:val="008C32F0"/>
    <w:rsid w:val="008C3462"/>
    <w:rsid w:val="008C349E"/>
    <w:rsid w:val="008C34ED"/>
    <w:rsid w:val="008C3713"/>
    <w:rsid w:val="008C37AF"/>
    <w:rsid w:val="008C37BD"/>
    <w:rsid w:val="008C388D"/>
    <w:rsid w:val="008C39E4"/>
    <w:rsid w:val="008C3B36"/>
    <w:rsid w:val="008C3B9C"/>
    <w:rsid w:val="008C3CEA"/>
    <w:rsid w:val="008C3CFC"/>
    <w:rsid w:val="008C3F1E"/>
    <w:rsid w:val="008C4D89"/>
    <w:rsid w:val="008C4E6F"/>
    <w:rsid w:val="008C5037"/>
    <w:rsid w:val="008C50C7"/>
    <w:rsid w:val="008C50F6"/>
    <w:rsid w:val="008C5117"/>
    <w:rsid w:val="008C548B"/>
    <w:rsid w:val="008C5503"/>
    <w:rsid w:val="008C5747"/>
    <w:rsid w:val="008C5997"/>
    <w:rsid w:val="008C5AD3"/>
    <w:rsid w:val="008C5C68"/>
    <w:rsid w:val="008C5CCC"/>
    <w:rsid w:val="008C5D20"/>
    <w:rsid w:val="008C5E9F"/>
    <w:rsid w:val="008C61A4"/>
    <w:rsid w:val="008C6281"/>
    <w:rsid w:val="008C630E"/>
    <w:rsid w:val="008C6331"/>
    <w:rsid w:val="008C645C"/>
    <w:rsid w:val="008C6500"/>
    <w:rsid w:val="008C65DF"/>
    <w:rsid w:val="008C6916"/>
    <w:rsid w:val="008C6988"/>
    <w:rsid w:val="008C6BE0"/>
    <w:rsid w:val="008C6C61"/>
    <w:rsid w:val="008C6DD9"/>
    <w:rsid w:val="008C7006"/>
    <w:rsid w:val="008C709D"/>
    <w:rsid w:val="008C73C1"/>
    <w:rsid w:val="008C742A"/>
    <w:rsid w:val="008C754C"/>
    <w:rsid w:val="008C7765"/>
    <w:rsid w:val="008C778F"/>
    <w:rsid w:val="008C7A14"/>
    <w:rsid w:val="008C7B7D"/>
    <w:rsid w:val="008C7C60"/>
    <w:rsid w:val="008C7D49"/>
    <w:rsid w:val="008C7DED"/>
    <w:rsid w:val="008C7E73"/>
    <w:rsid w:val="008C7F0E"/>
    <w:rsid w:val="008D0028"/>
    <w:rsid w:val="008D03D2"/>
    <w:rsid w:val="008D041F"/>
    <w:rsid w:val="008D0911"/>
    <w:rsid w:val="008D092E"/>
    <w:rsid w:val="008D0B3D"/>
    <w:rsid w:val="008D0C04"/>
    <w:rsid w:val="008D0C38"/>
    <w:rsid w:val="008D0D0C"/>
    <w:rsid w:val="008D10B7"/>
    <w:rsid w:val="008D10E9"/>
    <w:rsid w:val="008D11CA"/>
    <w:rsid w:val="008D13E1"/>
    <w:rsid w:val="008D1485"/>
    <w:rsid w:val="008D1523"/>
    <w:rsid w:val="008D15A8"/>
    <w:rsid w:val="008D1603"/>
    <w:rsid w:val="008D1773"/>
    <w:rsid w:val="008D17AF"/>
    <w:rsid w:val="008D1903"/>
    <w:rsid w:val="008D190D"/>
    <w:rsid w:val="008D1BFA"/>
    <w:rsid w:val="008D1BFE"/>
    <w:rsid w:val="008D1CDE"/>
    <w:rsid w:val="008D1D7C"/>
    <w:rsid w:val="008D1EC9"/>
    <w:rsid w:val="008D20D3"/>
    <w:rsid w:val="008D216E"/>
    <w:rsid w:val="008D2189"/>
    <w:rsid w:val="008D2242"/>
    <w:rsid w:val="008D25B2"/>
    <w:rsid w:val="008D26CE"/>
    <w:rsid w:val="008D2890"/>
    <w:rsid w:val="008D29ED"/>
    <w:rsid w:val="008D29FA"/>
    <w:rsid w:val="008D2B80"/>
    <w:rsid w:val="008D2D06"/>
    <w:rsid w:val="008D2DAF"/>
    <w:rsid w:val="008D2DC2"/>
    <w:rsid w:val="008D2E2B"/>
    <w:rsid w:val="008D3313"/>
    <w:rsid w:val="008D3443"/>
    <w:rsid w:val="008D3678"/>
    <w:rsid w:val="008D3690"/>
    <w:rsid w:val="008D3721"/>
    <w:rsid w:val="008D384D"/>
    <w:rsid w:val="008D3911"/>
    <w:rsid w:val="008D39D0"/>
    <w:rsid w:val="008D3A74"/>
    <w:rsid w:val="008D3A7B"/>
    <w:rsid w:val="008D3CBC"/>
    <w:rsid w:val="008D3E35"/>
    <w:rsid w:val="008D3F54"/>
    <w:rsid w:val="008D43F8"/>
    <w:rsid w:val="008D4497"/>
    <w:rsid w:val="008D46AE"/>
    <w:rsid w:val="008D472F"/>
    <w:rsid w:val="008D49B0"/>
    <w:rsid w:val="008D4BD4"/>
    <w:rsid w:val="008D4FD7"/>
    <w:rsid w:val="008D536F"/>
    <w:rsid w:val="008D567F"/>
    <w:rsid w:val="008D56CF"/>
    <w:rsid w:val="008D57F4"/>
    <w:rsid w:val="008D5844"/>
    <w:rsid w:val="008D59BC"/>
    <w:rsid w:val="008D5A77"/>
    <w:rsid w:val="008D5BD1"/>
    <w:rsid w:val="008D5C7A"/>
    <w:rsid w:val="008D5DED"/>
    <w:rsid w:val="008D5EB2"/>
    <w:rsid w:val="008D62A4"/>
    <w:rsid w:val="008D6462"/>
    <w:rsid w:val="008D64DD"/>
    <w:rsid w:val="008D64FB"/>
    <w:rsid w:val="008D6765"/>
    <w:rsid w:val="008D684F"/>
    <w:rsid w:val="008D6C59"/>
    <w:rsid w:val="008D6C5E"/>
    <w:rsid w:val="008D6CEE"/>
    <w:rsid w:val="008D6F8C"/>
    <w:rsid w:val="008D7272"/>
    <w:rsid w:val="008D7405"/>
    <w:rsid w:val="008D7557"/>
    <w:rsid w:val="008D785E"/>
    <w:rsid w:val="008D7A04"/>
    <w:rsid w:val="008D7B5E"/>
    <w:rsid w:val="008D7BA1"/>
    <w:rsid w:val="008D7CE1"/>
    <w:rsid w:val="008D7F98"/>
    <w:rsid w:val="008E005F"/>
    <w:rsid w:val="008E00EB"/>
    <w:rsid w:val="008E021C"/>
    <w:rsid w:val="008E02FB"/>
    <w:rsid w:val="008E0677"/>
    <w:rsid w:val="008E0770"/>
    <w:rsid w:val="008E077C"/>
    <w:rsid w:val="008E094D"/>
    <w:rsid w:val="008E0A8D"/>
    <w:rsid w:val="008E0AD1"/>
    <w:rsid w:val="008E0B29"/>
    <w:rsid w:val="008E0B92"/>
    <w:rsid w:val="008E0C21"/>
    <w:rsid w:val="008E0CEF"/>
    <w:rsid w:val="008E0F8C"/>
    <w:rsid w:val="008E106B"/>
    <w:rsid w:val="008E1242"/>
    <w:rsid w:val="008E13EE"/>
    <w:rsid w:val="008E15DB"/>
    <w:rsid w:val="008E15EF"/>
    <w:rsid w:val="008E183A"/>
    <w:rsid w:val="008E1AB3"/>
    <w:rsid w:val="008E1B7E"/>
    <w:rsid w:val="008E1C91"/>
    <w:rsid w:val="008E1EE9"/>
    <w:rsid w:val="008E1FDC"/>
    <w:rsid w:val="008E20EB"/>
    <w:rsid w:val="008E2151"/>
    <w:rsid w:val="008E2196"/>
    <w:rsid w:val="008E21B2"/>
    <w:rsid w:val="008E2287"/>
    <w:rsid w:val="008E26AD"/>
    <w:rsid w:val="008E28B8"/>
    <w:rsid w:val="008E2AC2"/>
    <w:rsid w:val="008E2DD1"/>
    <w:rsid w:val="008E2F7B"/>
    <w:rsid w:val="008E2F7C"/>
    <w:rsid w:val="008E2F8C"/>
    <w:rsid w:val="008E3404"/>
    <w:rsid w:val="008E3740"/>
    <w:rsid w:val="008E38BA"/>
    <w:rsid w:val="008E3B4A"/>
    <w:rsid w:val="008E3BA2"/>
    <w:rsid w:val="008E3E62"/>
    <w:rsid w:val="008E412A"/>
    <w:rsid w:val="008E4195"/>
    <w:rsid w:val="008E420E"/>
    <w:rsid w:val="008E4453"/>
    <w:rsid w:val="008E455F"/>
    <w:rsid w:val="008E4598"/>
    <w:rsid w:val="008E46BB"/>
    <w:rsid w:val="008E4769"/>
    <w:rsid w:val="008E485E"/>
    <w:rsid w:val="008E4890"/>
    <w:rsid w:val="008E48E7"/>
    <w:rsid w:val="008E4926"/>
    <w:rsid w:val="008E4AE4"/>
    <w:rsid w:val="008E4CF2"/>
    <w:rsid w:val="008E4F6B"/>
    <w:rsid w:val="008E5521"/>
    <w:rsid w:val="008E5624"/>
    <w:rsid w:val="008E56E1"/>
    <w:rsid w:val="008E56F8"/>
    <w:rsid w:val="008E5939"/>
    <w:rsid w:val="008E5952"/>
    <w:rsid w:val="008E59C6"/>
    <w:rsid w:val="008E5A95"/>
    <w:rsid w:val="008E5B1C"/>
    <w:rsid w:val="008E5BC0"/>
    <w:rsid w:val="008E5C58"/>
    <w:rsid w:val="008E5DB3"/>
    <w:rsid w:val="008E5E70"/>
    <w:rsid w:val="008E64DE"/>
    <w:rsid w:val="008E6A02"/>
    <w:rsid w:val="008E6D18"/>
    <w:rsid w:val="008E6D65"/>
    <w:rsid w:val="008E6DF2"/>
    <w:rsid w:val="008E6F37"/>
    <w:rsid w:val="008E6F3E"/>
    <w:rsid w:val="008E7102"/>
    <w:rsid w:val="008E7215"/>
    <w:rsid w:val="008E72C3"/>
    <w:rsid w:val="008E7611"/>
    <w:rsid w:val="008E7BE0"/>
    <w:rsid w:val="008E7D74"/>
    <w:rsid w:val="008E7DB0"/>
    <w:rsid w:val="008E7DF9"/>
    <w:rsid w:val="008E7E0C"/>
    <w:rsid w:val="008E7ED3"/>
    <w:rsid w:val="008F000B"/>
    <w:rsid w:val="008F029B"/>
    <w:rsid w:val="008F0430"/>
    <w:rsid w:val="008F05F4"/>
    <w:rsid w:val="008F0658"/>
    <w:rsid w:val="008F0780"/>
    <w:rsid w:val="008F07C1"/>
    <w:rsid w:val="008F080D"/>
    <w:rsid w:val="008F086A"/>
    <w:rsid w:val="008F0B3A"/>
    <w:rsid w:val="008F0B51"/>
    <w:rsid w:val="008F0C17"/>
    <w:rsid w:val="008F0C5A"/>
    <w:rsid w:val="008F0D0E"/>
    <w:rsid w:val="008F0D17"/>
    <w:rsid w:val="008F0D5B"/>
    <w:rsid w:val="008F0F6A"/>
    <w:rsid w:val="008F0F95"/>
    <w:rsid w:val="008F0FCD"/>
    <w:rsid w:val="008F1196"/>
    <w:rsid w:val="008F121C"/>
    <w:rsid w:val="008F1238"/>
    <w:rsid w:val="008F1397"/>
    <w:rsid w:val="008F1691"/>
    <w:rsid w:val="008F172E"/>
    <w:rsid w:val="008F1983"/>
    <w:rsid w:val="008F1D90"/>
    <w:rsid w:val="008F1DEA"/>
    <w:rsid w:val="008F21A4"/>
    <w:rsid w:val="008F23DD"/>
    <w:rsid w:val="008F23E7"/>
    <w:rsid w:val="008F23F4"/>
    <w:rsid w:val="008F2754"/>
    <w:rsid w:val="008F2886"/>
    <w:rsid w:val="008F292E"/>
    <w:rsid w:val="008F29F7"/>
    <w:rsid w:val="008F2C27"/>
    <w:rsid w:val="008F2CE7"/>
    <w:rsid w:val="008F2EE3"/>
    <w:rsid w:val="008F3094"/>
    <w:rsid w:val="008F3296"/>
    <w:rsid w:val="008F36FB"/>
    <w:rsid w:val="008F3762"/>
    <w:rsid w:val="008F3878"/>
    <w:rsid w:val="008F3BDB"/>
    <w:rsid w:val="008F42D5"/>
    <w:rsid w:val="008F44D5"/>
    <w:rsid w:val="008F45E4"/>
    <w:rsid w:val="008F45FC"/>
    <w:rsid w:val="008F48AA"/>
    <w:rsid w:val="008F4C0A"/>
    <w:rsid w:val="008F5221"/>
    <w:rsid w:val="008F53B0"/>
    <w:rsid w:val="008F53E5"/>
    <w:rsid w:val="008F5431"/>
    <w:rsid w:val="008F54D4"/>
    <w:rsid w:val="008F5557"/>
    <w:rsid w:val="008F569E"/>
    <w:rsid w:val="008F5CA6"/>
    <w:rsid w:val="008F5D2C"/>
    <w:rsid w:val="008F5D98"/>
    <w:rsid w:val="008F5F8B"/>
    <w:rsid w:val="008F65F5"/>
    <w:rsid w:val="008F6875"/>
    <w:rsid w:val="008F68B3"/>
    <w:rsid w:val="008F68BB"/>
    <w:rsid w:val="008F6C6F"/>
    <w:rsid w:val="008F6D5F"/>
    <w:rsid w:val="008F712A"/>
    <w:rsid w:val="008F71B4"/>
    <w:rsid w:val="008F71D3"/>
    <w:rsid w:val="008F7262"/>
    <w:rsid w:val="008F7343"/>
    <w:rsid w:val="008F7429"/>
    <w:rsid w:val="008F75A3"/>
    <w:rsid w:val="008F7712"/>
    <w:rsid w:val="008F7920"/>
    <w:rsid w:val="008F7B27"/>
    <w:rsid w:val="008F7CED"/>
    <w:rsid w:val="008F7DB9"/>
    <w:rsid w:val="008F7E39"/>
    <w:rsid w:val="009000FE"/>
    <w:rsid w:val="00900291"/>
    <w:rsid w:val="0090037E"/>
    <w:rsid w:val="009004F3"/>
    <w:rsid w:val="0090064F"/>
    <w:rsid w:val="0090067A"/>
    <w:rsid w:val="0090072F"/>
    <w:rsid w:val="0090079F"/>
    <w:rsid w:val="009007DE"/>
    <w:rsid w:val="00900892"/>
    <w:rsid w:val="0090094F"/>
    <w:rsid w:val="00900A6D"/>
    <w:rsid w:val="00900BA5"/>
    <w:rsid w:val="00900C1B"/>
    <w:rsid w:val="00900C9A"/>
    <w:rsid w:val="00900FAB"/>
    <w:rsid w:val="00900FB7"/>
    <w:rsid w:val="00901137"/>
    <w:rsid w:val="009013EA"/>
    <w:rsid w:val="009015CC"/>
    <w:rsid w:val="00901706"/>
    <w:rsid w:val="0090175C"/>
    <w:rsid w:val="00901B2A"/>
    <w:rsid w:val="00901BF1"/>
    <w:rsid w:val="00902014"/>
    <w:rsid w:val="009020A4"/>
    <w:rsid w:val="009025DE"/>
    <w:rsid w:val="0090264F"/>
    <w:rsid w:val="00902695"/>
    <w:rsid w:val="009027D2"/>
    <w:rsid w:val="00902864"/>
    <w:rsid w:val="009028EB"/>
    <w:rsid w:val="00902915"/>
    <w:rsid w:val="00902CB7"/>
    <w:rsid w:val="00902CBB"/>
    <w:rsid w:val="00902D83"/>
    <w:rsid w:val="00902E39"/>
    <w:rsid w:val="00902F36"/>
    <w:rsid w:val="00902F37"/>
    <w:rsid w:val="00902F7F"/>
    <w:rsid w:val="00902FF4"/>
    <w:rsid w:val="009030B4"/>
    <w:rsid w:val="009030BE"/>
    <w:rsid w:val="00903210"/>
    <w:rsid w:val="009033DF"/>
    <w:rsid w:val="009034C3"/>
    <w:rsid w:val="00903744"/>
    <w:rsid w:val="0090386A"/>
    <w:rsid w:val="00903B03"/>
    <w:rsid w:val="00903D93"/>
    <w:rsid w:val="00903E5A"/>
    <w:rsid w:val="00903ED5"/>
    <w:rsid w:val="00903F46"/>
    <w:rsid w:val="00904015"/>
    <w:rsid w:val="0090406F"/>
    <w:rsid w:val="009040AB"/>
    <w:rsid w:val="009041FF"/>
    <w:rsid w:val="00904208"/>
    <w:rsid w:val="009042AA"/>
    <w:rsid w:val="0090453D"/>
    <w:rsid w:val="0090453E"/>
    <w:rsid w:val="0090488A"/>
    <w:rsid w:val="00904965"/>
    <w:rsid w:val="009049D5"/>
    <w:rsid w:val="00904D22"/>
    <w:rsid w:val="00904DFA"/>
    <w:rsid w:val="00904F79"/>
    <w:rsid w:val="00904FDA"/>
    <w:rsid w:val="00904FFD"/>
    <w:rsid w:val="0090514E"/>
    <w:rsid w:val="009051B3"/>
    <w:rsid w:val="0090520D"/>
    <w:rsid w:val="009058E2"/>
    <w:rsid w:val="009059DB"/>
    <w:rsid w:val="00905A26"/>
    <w:rsid w:val="00905B3D"/>
    <w:rsid w:val="00905BC2"/>
    <w:rsid w:val="00905CE9"/>
    <w:rsid w:val="00905E66"/>
    <w:rsid w:val="00906047"/>
    <w:rsid w:val="00906156"/>
    <w:rsid w:val="0090627B"/>
    <w:rsid w:val="0090659E"/>
    <w:rsid w:val="009066FD"/>
    <w:rsid w:val="00906789"/>
    <w:rsid w:val="00906A22"/>
    <w:rsid w:val="00906CD4"/>
    <w:rsid w:val="00906D47"/>
    <w:rsid w:val="00906D7B"/>
    <w:rsid w:val="00906D98"/>
    <w:rsid w:val="00906E44"/>
    <w:rsid w:val="00906F98"/>
    <w:rsid w:val="0090710E"/>
    <w:rsid w:val="00907216"/>
    <w:rsid w:val="0090724B"/>
    <w:rsid w:val="00907257"/>
    <w:rsid w:val="00907262"/>
    <w:rsid w:val="009077F4"/>
    <w:rsid w:val="009077F6"/>
    <w:rsid w:val="00907A4B"/>
    <w:rsid w:val="00907C39"/>
    <w:rsid w:val="00907E86"/>
    <w:rsid w:val="00907FD8"/>
    <w:rsid w:val="00910157"/>
    <w:rsid w:val="0091025B"/>
    <w:rsid w:val="0091068A"/>
    <w:rsid w:val="0091068E"/>
    <w:rsid w:val="00910697"/>
    <w:rsid w:val="009106F5"/>
    <w:rsid w:val="009107C0"/>
    <w:rsid w:val="00910A42"/>
    <w:rsid w:val="00910C94"/>
    <w:rsid w:val="00910F71"/>
    <w:rsid w:val="009111D5"/>
    <w:rsid w:val="009112E9"/>
    <w:rsid w:val="0091154B"/>
    <w:rsid w:val="0091159A"/>
    <w:rsid w:val="0091163A"/>
    <w:rsid w:val="00911828"/>
    <w:rsid w:val="00911982"/>
    <w:rsid w:val="009119CC"/>
    <w:rsid w:val="00911BE8"/>
    <w:rsid w:val="00911D04"/>
    <w:rsid w:val="00911D8D"/>
    <w:rsid w:val="00911E58"/>
    <w:rsid w:val="00911EC6"/>
    <w:rsid w:val="0091213C"/>
    <w:rsid w:val="0091225C"/>
    <w:rsid w:val="009125A5"/>
    <w:rsid w:val="00912649"/>
    <w:rsid w:val="00912774"/>
    <w:rsid w:val="0091279E"/>
    <w:rsid w:val="00912AE2"/>
    <w:rsid w:val="00912D7C"/>
    <w:rsid w:val="00912DFE"/>
    <w:rsid w:val="00912E1B"/>
    <w:rsid w:val="00913106"/>
    <w:rsid w:val="0091322F"/>
    <w:rsid w:val="00913245"/>
    <w:rsid w:val="00913334"/>
    <w:rsid w:val="00913374"/>
    <w:rsid w:val="00913393"/>
    <w:rsid w:val="009133C7"/>
    <w:rsid w:val="009136C5"/>
    <w:rsid w:val="009139AB"/>
    <w:rsid w:val="00913B70"/>
    <w:rsid w:val="0091410D"/>
    <w:rsid w:val="0091434C"/>
    <w:rsid w:val="0091438C"/>
    <w:rsid w:val="009144BE"/>
    <w:rsid w:val="009144ED"/>
    <w:rsid w:val="0091456E"/>
    <w:rsid w:val="0091459E"/>
    <w:rsid w:val="00914746"/>
    <w:rsid w:val="00914776"/>
    <w:rsid w:val="0091481D"/>
    <w:rsid w:val="0091485E"/>
    <w:rsid w:val="0091487B"/>
    <w:rsid w:val="009148BD"/>
    <w:rsid w:val="00914985"/>
    <w:rsid w:val="00914B81"/>
    <w:rsid w:val="00914C8C"/>
    <w:rsid w:val="00914F24"/>
    <w:rsid w:val="00914F60"/>
    <w:rsid w:val="009152D4"/>
    <w:rsid w:val="00915371"/>
    <w:rsid w:val="00915D71"/>
    <w:rsid w:val="00915D89"/>
    <w:rsid w:val="00915D8F"/>
    <w:rsid w:val="00915E0A"/>
    <w:rsid w:val="00915F3D"/>
    <w:rsid w:val="009160BF"/>
    <w:rsid w:val="009160CA"/>
    <w:rsid w:val="009161E6"/>
    <w:rsid w:val="0091632C"/>
    <w:rsid w:val="00916380"/>
    <w:rsid w:val="0091640A"/>
    <w:rsid w:val="00916420"/>
    <w:rsid w:val="00916516"/>
    <w:rsid w:val="00916782"/>
    <w:rsid w:val="00916855"/>
    <w:rsid w:val="009168B8"/>
    <w:rsid w:val="00916BC9"/>
    <w:rsid w:val="00916CE5"/>
    <w:rsid w:val="00916D39"/>
    <w:rsid w:val="00916E08"/>
    <w:rsid w:val="00916E1D"/>
    <w:rsid w:val="00917004"/>
    <w:rsid w:val="00917069"/>
    <w:rsid w:val="0091711F"/>
    <w:rsid w:val="00917169"/>
    <w:rsid w:val="00917425"/>
    <w:rsid w:val="00917742"/>
    <w:rsid w:val="009177EE"/>
    <w:rsid w:val="009177F2"/>
    <w:rsid w:val="009177F7"/>
    <w:rsid w:val="0091784B"/>
    <w:rsid w:val="00917AE1"/>
    <w:rsid w:val="00917C06"/>
    <w:rsid w:val="00917CAC"/>
    <w:rsid w:val="00917D9B"/>
    <w:rsid w:val="00917F0D"/>
    <w:rsid w:val="009204FC"/>
    <w:rsid w:val="009208DB"/>
    <w:rsid w:val="00920A78"/>
    <w:rsid w:val="00920B87"/>
    <w:rsid w:val="00920D03"/>
    <w:rsid w:val="00920D18"/>
    <w:rsid w:val="00920E58"/>
    <w:rsid w:val="00920F1B"/>
    <w:rsid w:val="00921188"/>
    <w:rsid w:val="009212B7"/>
    <w:rsid w:val="00921394"/>
    <w:rsid w:val="0092146D"/>
    <w:rsid w:val="009214B4"/>
    <w:rsid w:val="00921683"/>
    <w:rsid w:val="00921695"/>
    <w:rsid w:val="00921C7A"/>
    <w:rsid w:val="00921DC9"/>
    <w:rsid w:val="00921E63"/>
    <w:rsid w:val="00921E8B"/>
    <w:rsid w:val="00921FF5"/>
    <w:rsid w:val="00922006"/>
    <w:rsid w:val="00922120"/>
    <w:rsid w:val="00922381"/>
    <w:rsid w:val="00922433"/>
    <w:rsid w:val="009224BB"/>
    <w:rsid w:val="00922636"/>
    <w:rsid w:val="00922676"/>
    <w:rsid w:val="0092283E"/>
    <w:rsid w:val="00922856"/>
    <w:rsid w:val="0092287C"/>
    <w:rsid w:val="00922884"/>
    <w:rsid w:val="00922CC3"/>
    <w:rsid w:val="00922D25"/>
    <w:rsid w:val="00922D3B"/>
    <w:rsid w:val="00922FA9"/>
    <w:rsid w:val="00922FB2"/>
    <w:rsid w:val="00923219"/>
    <w:rsid w:val="009232E0"/>
    <w:rsid w:val="009232F3"/>
    <w:rsid w:val="00923556"/>
    <w:rsid w:val="0092387D"/>
    <w:rsid w:val="00923881"/>
    <w:rsid w:val="00923882"/>
    <w:rsid w:val="00923953"/>
    <w:rsid w:val="00923B5A"/>
    <w:rsid w:val="00923C08"/>
    <w:rsid w:val="00923C94"/>
    <w:rsid w:val="00923DDC"/>
    <w:rsid w:val="00923E35"/>
    <w:rsid w:val="0092404F"/>
    <w:rsid w:val="0092417E"/>
    <w:rsid w:val="009241C9"/>
    <w:rsid w:val="0092430F"/>
    <w:rsid w:val="0092440F"/>
    <w:rsid w:val="00924648"/>
    <w:rsid w:val="009246A3"/>
    <w:rsid w:val="0092484C"/>
    <w:rsid w:val="00924C24"/>
    <w:rsid w:val="00924C32"/>
    <w:rsid w:val="00924E2A"/>
    <w:rsid w:val="00924F5B"/>
    <w:rsid w:val="00924FE7"/>
    <w:rsid w:val="00925038"/>
    <w:rsid w:val="0092514B"/>
    <w:rsid w:val="00925207"/>
    <w:rsid w:val="009252AD"/>
    <w:rsid w:val="0092539E"/>
    <w:rsid w:val="0092547F"/>
    <w:rsid w:val="00925532"/>
    <w:rsid w:val="009255BC"/>
    <w:rsid w:val="00925682"/>
    <w:rsid w:val="00925876"/>
    <w:rsid w:val="0092592F"/>
    <w:rsid w:val="00925A0A"/>
    <w:rsid w:val="00925B1B"/>
    <w:rsid w:val="00925D0C"/>
    <w:rsid w:val="00925D53"/>
    <w:rsid w:val="00925D96"/>
    <w:rsid w:val="00925E59"/>
    <w:rsid w:val="00925ED1"/>
    <w:rsid w:val="00925F10"/>
    <w:rsid w:val="00925FEC"/>
    <w:rsid w:val="009262C4"/>
    <w:rsid w:val="00926621"/>
    <w:rsid w:val="00926627"/>
    <w:rsid w:val="009267F5"/>
    <w:rsid w:val="00926A0C"/>
    <w:rsid w:val="00926A3F"/>
    <w:rsid w:val="00926BEF"/>
    <w:rsid w:val="00926D1A"/>
    <w:rsid w:val="00926E9F"/>
    <w:rsid w:val="00926FD2"/>
    <w:rsid w:val="009270C0"/>
    <w:rsid w:val="0092721A"/>
    <w:rsid w:val="009272BF"/>
    <w:rsid w:val="009275D3"/>
    <w:rsid w:val="009277BB"/>
    <w:rsid w:val="009277EA"/>
    <w:rsid w:val="009278A5"/>
    <w:rsid w:val="00927A21"/>
    <w:rsid w:val="00927C5B"/>
    <w:rsid w:val="00927E0E"/>
    <w:rsid w:val="00927EC4"/>
    <w:rsid w:val="00927F8F"/>
    <w:rsid w:val="00930164"/>
    <w:rsid w:val="009302D3"/>
    <w:rsid w:val="00930397"/>
    <w:rsid w:val="009305A2"/>
    <w:rsid w:val="0093067C"/>
    <w:rsid w:val="009306A8"/>
    <w:rsid w:val="009308CD"/>
    <w:rsid w:val="009309D9"/>
    <w:rsid w:val="00930C4A"/>
    <w:rsid w:val="00930F77"/>
    <w:rsid w:val="0093100A"/>
    <w:rsid w:val="009310D2"/>
    <w:rsid w:val="00931422"/>
    <w:rsid w:val="00931518"/>
    <w:rsid w:val="00931772"/>
    <w:rsid w:val="009319FF"/>
    <w:rsid w:val="00931A1C"/>
    <w:rsid w:val="00931B5A"/>
    <w:rsid w:val="00931F14"/>
    <w:rsid w:val="00931F44"/>
    <w:rsid w:val="00931FD8"/>
    <w:rsid w:val="00932049"/>
    <w:rsid w:val="00932172"/>
    <w:rsid w:val="00932334"/>
    <w:rsid w:val="00932412"/>
    <w:rsid w:val="0093281E"/>
    <w:rsid w:val="009328E7"/>
    <w:rsid w:val="00932A7F"/>
    <w:rsid w:val="00932B13"/>
    <w:rsid w:val="00932B49"/>
    <w:rsid w:val="00932C0F"/>
    <w:rsid w:val="00932C33"/>
    <w:rsid w:val="00932CB4"/>
    <w:rsid w:val="00932D3C"/>
    <w:rsid w:val="00932D7A"/>
    <w:rsid w:val="00933063"/>
    <w:rsid w:val="00933068"/>
    <w:rsid w:val="00933218"/>
    <w:rsid w:val="00933460"/>
    <w:rsid w:val="009336AB"/>
    <w:rsid w:val="0093379B"/>
    <w:rsid w:val="00933A26"/>
    <w:rsid w:val="00933B3A"/>
    <w:rsid w:val="00933BCB"/>
    <w:rsid w:val="00933C3D"/>
    <w:rsid w:val="00933C84"/>
    <w:rsid w:val="00933F30"/>
    <w:rsid w:val="00934025"/>
    <w:rsid w:val="009340CC"/>
    <w:rsid w:val="009342D0"/>
    <w:rsid w:val="00934682"/>
    <w:rsid w:val="00934850"/>
    <w:rsid w:val="00934862"/>
    <w:rsid w:val="00934918"/>
    <w:rsid w:val="00934975"/>
    <w:rsid w:val="00934A8E"/>
    <w:rsid w:val="00934B3E"/>
    <w:rsid w:val="00934C77"/>
    <w:rsid w:val="00934CC8"/>
    <w:rsid w:val="00934DE5"/>
    <w:rsid w:val="00934F81"/>
    <w:rsid w:val="009350BD"/>
    <w:rsid w:val="0093540A"/>
    <w:rsid w:val="009354C7"/>
    <w:rsid w:val="00935609"/>
    <w:rsid w:val="00935633"/>
    <w:rsid w:val="0093566D"/>
    <w:rsid w:val="00935803"/>
    <w:rsid w:val="009358AB"/>
    <w:rsid w:val="009358E1"/>
    <w:rsid w:val="009359E0"/>
    <w:rsid w:val="00935B0A"/>
    <w:rsid w:val="00935E6D"/>
    <w:rsid w:val="00935F78"/>
    <w:rsid w:val="00935F9B"/>
    <w:rsid w:val="0093605F"/>
    <w:rsid w:val="009363A4"/>
    <w:rsid w:val="00936464"/>
    <w:rsid w:val="009364AD"/>
    <w:rsid w:val="00936534"/>
    <w:rsid w:val="00936777"/>
    <w:rsid w:val="0093686D"/>
    <w:rsid w:val="0093696A"/>
    <w:rsid w:val="00936B96"/>
    <w:rsid w:val="00936BA6"/>
    <w:rsid w:val="00936BBE"/>
    <w:rsid w:val="00936C4D"/>
    <w:rsid w:val="00936DDF"/>
    <w:rsid w:val="00936F30"/>
    <w:rsid w:val="00936F47"/>
    <w:rsid w:val="00936FDC"/>
    <w:rsid w:val="009370C8"/>
    <w:rsid w:val="009370D6"/>
    <w:rsid w:val="009371B4"/>
    <w:rsid w:val="0093728E"/>
    <w:rsid w:val="00937455"/>
    <w:rsid w:val="0093754A"/>
    <w:rsid w:val="009375EF"/>
    <w:rsid w:val="0093783B"/>
    <w:rsid w:val="00937A0B"/>
    <w:rsid w:val="00937AE8"/>
    <w:rsid w:val="00937ED6"/>
    <w:rsid w:val="00937F90"/>
    <w:rsid w:val="00940009"/>
    <w:rsid w:val="009400A3"/>
    <w:rsid w:val="009401A4"/>
    <w:rsid w:val="009401BF"/>
    <w:rsid w:val="009401D4"/>
    <w:rsid w:val="00940203"/>
    <w:rsid w:val="0094021E"/>
    <w:rsid w:val="00940373"/>
    <w:rsid w:val="009403EE"/>
    <w:rsid w:val="0094078B"/>
    <w:rsid w:val="009408C7"/>
    <w:rsid w:val="00940AA8"/>
    <w:rsid w:val="00940DB3"/>
    <w:rsid w:val="00940FD4"/>
    <w:rsid w:val="0094138F"/>
    <w:rsid w:val="009415ED"/>
    <w:rsid w:val="009416F6"/>
    <w:rsid w:val="00941D65"/>
    <w:rsid w:val="00941DA2"/>
    <w:rsid w:val="00941DC5"/>
    <w:rsid w:val="00941DF4"/>
    <w:rsid w:val="00942111"/>
    <w:rsid w:val="00942530"/>
    <w:rsid w:val="009426CA"/>
    <w:rsid w:val="009428AE"/>
    <w:rsid w:val="009428E0"/>
    <w:rsid w:val="0094294D"/>
    <w:rsid w:val="00942A69"/>
    <w:rsid w:val="00942AAE"/>
    <w:rsid w:val="00942AFB"/>
    <w:rsid w:val="00942B3F"/>
    <w:rsid w:val="00942E32"/>
    <w:rsid w:val="00942E35"/>
    <w:rsid w:val="00942E4D"/>
    <w:rsid w:val="00943176"/>
    <w:rsid w:val="009432B7"/>
    <w:rsid w:val="0094354B"/>
    <w:rsid w:val="00943599"/>
    <w:rsid w:val="009436E4"/>
    <w:rsid w:val="009437AF"/>
    <w:rsid w:val="009439B1"/>
    <w:rsid w:val="00943A61"/>
    <w:rsid w:val="00943A96"/>
    <w:rsid w:val="00943A9E"/>
    <w:rsid w:val="00943F49"/>
    <w:rsid w:val="00943F68"/>
    <w:rsid w:val="0094402C"/>
    <w:rsid w:val="0094429E"/>
    <w:rsid w:val="00944408"/>
    <w:rsid w:val="0094448C"/>
    <w:rsid w:val="0094450C"/>
    <w:rsid w:val="009445E0"/>
    <w:rsid w:val="00944699"/>
    <w:rsid w:val="009446D7"/>
    <w:rsid w:val="00944769"/>
    <w:rsid w:val="0094476F"/>
    <w:rsid w:val="009447C3"/>
    <w:rsid w:val="00944898"/>
    <w:rsid w:val="00944A49"/>
    <w:rsid w:val="00944B1D"/>
    <w:rsid w:val="00944C01"/>
    <w:rsid w:val="00944C02"/>
    <w:rsid w:val="00944C58"/>
    <w:rsid w:val="00944C97"/>
    <w:rsid w:val="00944DAB"/>
    <w:rsid w:val="00944F4B"/>
    <w:rsid w:val="00944FDD"/>
    <w:rsid w:val="0094501E"/>
    <w:rsid w:val="00945078"/>
    <w:rsid w:val="0094507B"/>
    <w:rsid w:val="009450D9"/>
    <w:rsid w:val="0094517C"/>
    <w:rsid w:val="009452DB"/>
    <w:rsid w:val="00945333"/>
    <w:rsid w:val="00945397"/>
    <w:rsid w:val="0094543E"/>
    <w:rsid w:val="00945934"/>
    <w:rsid w:val="00945C6A"/>
    <w:rsid w:val="00945E4E"/>
    <w:rsid w:val="00946121"/>
    <w:rsid w:val="009461E6"/>
    <w:rsid w:val="00946366"/>
    <w:rsid w:val="00946654"/>
    <w:rsid w:val="00946697"/>
    <w:rsid w:val="009466D1"/>
    <w:rsid w:val="00946748"/>
    <w:rsid w:val="00946836"/>
    <w:rsid w:val="00946BAB"/>
    <w:rsid w:val="00946E84"/>
    <w:rsid w:val="00946F60"/>
    <w:rsid w:val="00947240"/>
    <w:rsid w:val="00947B2F"/>
    <w:rsid w:val="00947D09"/>
    <w:rsid w:val="00947D47"/>
    <w:rsid w:val="00947F64"/>
    <w:rsid w:val="00947F98"/>
    <w:rsid w:val="0095054A"/>
    <w:rsid w:val="0095082B"/>
    <w:rsid w:val="0095086D"/>
    <w:rsid w:val="009508DB"/>
    <w:rsid w:val="009509CB"/>
    <w:rsid w:val="00950B3E"/>
    <w:rsid w:val="00950F99"/>
    <w:rsid w:val="0095111C"/>
    <w:rsid w:val="0095124B"/>
    <w:rsid w:val="0095125F"/>
    <w:rsid w:val="00951466"/>
    <w:rsid w:val="009515C8"/>
    <w:rsid w:val="00951D68"/>
    <w:rsid w:val="00951F35"/>
    <w:rsid w:val="00951FC4"/>
    <w:rsid w:val="009522D7"/>
    <w:rsid w:val="00952354"/>
    <w:rsid w:val="009523C1"/>
    <w:rsid w:val="00952411"/>
    <w:rsid w:val="00952638"/>
    <w:rsid w:val="00952682"/>
    <w:rsid w:val="00952849"/>
    <w:rsid w:val="0095298F"/>
    <w:rsid w:val="00952A8D"/>
    <w:rsid w:val="00952BED"/>
    <w:rsid w:val="00952C43"/>
    <w:rsid w:val="00952CCE"/>
    <w:rsid w:val="00953045"/>
    <w:rsid w:val="009530A4"/>
    <w:rsid w:val="0095316C"/>
    <w:rsid w:val="00953325"/>
    <w:rsid w:val="0095402E"/>
    <w:rsid w:val="00954171"/>
    <w:rsid w:val="00954253"/>
    <w:rsid w:val="00954466"/>
    <w:rsid w:val="00954545"/>
    <w:rsid w:val="0095455D"/>
    <w:rsid w:val="009549E5"/>
    <w:rsid w:val="00954AB2"/>
    <w:rsid w:val="00954B86"/>
    <w:rsid w:val="00954BC9"/>
    <w:rsid w:val="00954E9D"/>
    <w:rsid w:val="00954EC3"/>
    <w:rsid w:val="00954FE4"/>
    <w:rsid w:val="0095536E"/>
    <w:rsid w:val="0095545E"/>
    <w:rsid w:val="0095547F"/>
    <w:rsid w:val="00955496"/>
    <w:rsid w:val="0095566B"/>
    <w:rsid w:val="00955925"/>
    <w:rsid w:val="009559EA"/>
    <w:rsid w:val="00955C0D"/>
    <w:rsid w:val="00955C13"/>
    <w:rsid w:val="00955CBB"/>
    <w:rsid w:val="00955CE1"/>
    <w:rsid w:val="00955D61"/>
    <w:rsid w:val="00955F8E"/>
    <w:rsid w:val="00955FAD"/>
    <w:rsid w:val="009562BA"/>
    <w:rsid w:val="009562D0"/>
    <w:rsid w:val="00956442"/>
    <w:rsid w:val="009566E4"/>
    <w:rsid w:val="00956775"/>
    <w:rsid w:val="00956C17"/>
    <w:rsid w:val="00956FA0"/>
    <w:rsid w:val="00956FD5"/>
    <w:rsid w:val="009570DD"/>
    <w:rsid w:val="0095785E"/>
    <w:rsid w:val="00957AA6"/>
    <w:rsid w:val="00957EEA"/>
    <w:rsid w:val="00960001"/>
    <w:rsid w:val="00960610"/>
    <w:rsid w:val="00960634"/>
    <w:rsid w:val="009606F8"/>
    <w:rsid w:val="00960710"/>
    <w:rsid w:val="009609E3"/>
    <w:rsid w:val="00960A15"/>
    <w:rsid w:val="00960B93"/>
    <w:rsid w:val="00960CE5"/>
    <w:rsid w:val="00960E6F"/>
    <w:rsid w:val="00960EBE"/>
    <w:rsid w:val="00960EBF"/>
    <w:rsid w:val="00960F17"/>
    <w:rsid w:val="00960F3D"/>
    <w:rsid w:val="009610F9"/>
    <w:rsid w:val="009611EA"/>
    <w:rsid w:val="009612AC"/>
    <w:rsid w:val="0096136A"/>
    <w:rsid w:val="00961442"/>
    <w:rsid w:val="0096154F"/>
    <w:rsid w:val="00961937"/>
    <w:rsid w:val="0096198D"/>
    <w:rsid w:val="00961B62"/>
    <w:rsid w:val="00961D8E"/>
    <w:rsid w:val="00961D9D"/>
    <w:rsid w:val="00961DD7"/>
    <w:rsid w:val="009621A1"/>
    <w:rsid w:val="009621F1"/>
    <w:rsid w:val="00962243"/>
    <w:rsid w:val="00962255"/>
    <w:rsid w:val="00962408"/>
    <w:rsid w:val="0096261F"/>
    <w:rsid w:val="009627DE"/>
    <w:rsid w:val="00962909"/>
    <w:rsid w:val="00962974"/>
    <w:rsid w:val="00962D0C"/>
    <w:rsid w:val="00962DA5"/>
    <w:rsid w:val="00962DA8"/>
    <w:rsid w:val="00962EB2"/>
    <w:rsid w:val="00962ED2"/>
    <w:rsid w:val="00962F92"/>
    <w:rsid w:val="00962FAE"/>
    <w:rsid w:val="00962FC0"/>
    <w:rsid w:val="00963014"/>
    <w:rsid w:val="009632EB"/>
    <w:rsid w:val="009633F5"/>
    <w:rsid w:val="00963507"/>
    <w:rsid w:val="00963841"/>
    <w:rsid w:val="00963901"/>
    <w:rsid w:val="00963949"/>
    <w:rsid w:val="009639C2"/>
    <w:rsid w:val="009639C3"/>
    <w:rsid w:val="00963A03"/>
    <w:rsid w:val="00963B62"/>
    <w:rsid w:val="00963F7C"/>
    <w:rsid w:val="00964121"/>
    <w:rsid w:val="0096450D"/>
    <w:rsid w:val="00964551"/>
    <w:rsid w:val="0096464C"/>
    <w:rsid w:val="00964678"/>
    <w:rsid w:val="00964689"/>
    <w:rsid w:val="009648B7"/>
    <w:rsid w:val="00964988"/>
    <w:rsid w:val="00964A55"/>
    <w:rsid w:val="00964C65"/>
    <w:rsid w:val="00964C79"/>
    <w:rsid w:val="00964D2C"/>
    <w:rsid w:val="00964D80"/>
    <w:rsid w:val="00964EC6"/>
    <w:rsid w:val="009650E0"/>
    <w:rsid w:val="009651E1"/>
    <w:rsid w:val="00965260"/>
    <w:rsid w:val="0096528F"/>
    <w:rsid w:val="00965316"/>
    <w:rsid w:val="00965361"/>
    <w:rsid w:val="0096548E"/>
    <w:rsid w:val="009654C5"/>
    <w:rsid w:val="009654FD"/>
    <w:rsid w:val="00965738"/>
    <w:rsid w:val="009659E3"/>
    <w:rsid w:val="00965A3A"/>
    <w:rsid w:val="00965D0C"/>
    <w:rsid w:val="00965E5E"/>
    <w:rsid w:val="00965EC7"/>
    <w:rsid w:val="00965EEC"/>
    <w:rsid w:val="00965FB2"/>
    <w:rsid w:val="0096632A"/>
    <w:rsid w:val="0096648F"/>
    <w:rsid w:val="009664C4"/>
    <w:rsid w:val="009664F4"/>
    <w:rsid w:val="00966901"/>
    <w:rsid w:val="00966977"/>
    <w:rsid w:val="00966B74"/>
    <w:rsid w:val="00966CD3"/>
    <w:rsid w:val="00966CF0"/>
    <w:rsid w:val="00966F22"/>
    <w:rsid w:val="009670DA"/>
    <w:rsid w:val="0096717E"/>
    <w:rsid w:val="009671A0"/>
    <w:rsid w:val="00967595"/>
    <w:rsid w:val="009675A0"/>
    <w:rsid w:val="00967608"/>
    <w:rsid w:val="00967623"/>
    <w:rsid w:val="00967644"/>
    <w:rsid w:val="009676F1"/>
    <w:rsid w:val="00967735"/>
    <w:rsid w:val="009677B8"/>
    <w:rsid w:val="009678E5"/>
    <w:rsid w:val="00967A6A"/>
    <w:rsid w:val="00967AB0"/>
    <w:rsid w:val="00967B05"/>
    <w:rsid w:val="00967C59"/>
    <w:rsid w:val="00970796"/>
    <w:rsid w:val="009707A2"/>
    <w:rsid w:val="00970978"/>
    <w:rsid w:val="00970B04"/>
    <w:rsid w:val="00970BD9"/>
    <w:rsid w:val="00970E95"/>
    <w:rsid w:val="0097103C"/>
    <w:rsid w:val="00971172"/>
    <w:rsid w:val="0097161D"/>
    <w:rsid w:val="00971A2D"/>
    <w:rsid w:val="00971A62"/>
    <w:rsid w:val="00971AC4"/>
    <w:rsid w:val="00971BFC"/>
    <w:rsid w:val="00971C35"/>
    <w:rsid w:val="00971CA4"/>
    <w:rsid w:val="00971E2E"/>
    <w:rsid w:val="00972567"/>
    <w:rsid w:val="00972A34"/>
    <w:rsid w:val="00972C67"/>
    <w:rsid w:val="00972DB5"/>
    <w:rsid w:val="00972EAF"/>
    <w:rsid w:val="0097303C"/>
    <w:rsid w:val="009732BD"/>
    <w:rsid w:val="0097330E"/>
    <w:rsid w:val="00973403"/>
    <w:rsid w:val="00973496"/>
    <w:rsid w:val="00973518"/>
    <w:rsid w:val="0097363B"/>
    <w:rsid w:val="00973763"/>
    <w:rsid w:val="009737BA"/>
    <w:rsid w:val="00973BB9"/>
    <w:rsid w:val="00973E53"/>
    <w:rsid w:val="00973FCA"/>
    <w:rsid w:val="0097400E"/>
    <w:rsid w:val="009741B4"/>
    <w:rsid w:val="0097468B"/>
    <w:rsid w:val="009746FA"/>
    <w:rsid w:val="0097485B"/>
    <w:rsid w:val="009749CB"/>
    <w:rsid w:val="00974A9C"/>
    <w:rsid w:val="00974BBA"/>
    <w:rsid w:val="00974CE0"/>
    <w:rsid w:val="00974EE6"/>
    <w:rsid w:val="00975231"/>
    <w:rsid w:val="00975395"/>
    <w:rsid w:val="00975583"/>
    <w:rsid w:val="009756FD"/>
    <w:rsid w:val="0097581A"/>
    <w:rsid w:val="00975931"/>
    <w:rsid w:val="00975948"/>
    <w:rsid w:val="00975A5E"/>
    <w:rsid w:val="00975ADB"/>
    <w:rsid w:val="00975B4A"/>
    <w:rsid w:val="00975E75"/>
    <w:rsid w:val="00975E83"/>
    <w:rsid w:val="00975FD2"/>
    <w:rsid w:val="00976032"/>
    <w:rsid w:val="0097627E"/>
    <w:rsid w:val="0097632B"/>
    <w:rsid w:val="009763FA"/>
    <w:rsid w:val="009767CB"/>
    <w:rsid w:val="0097687F"/>
    <w:rsid w:val="009768CC"/>
    <w:rsid w:val="00976A31"/>
    <w:rsid w:val="00976A36"/>
    <w:rsid w:val="00976E0F"/>
    <w:rsid w:val="00976E79"/>
    <w:rsid w:val="00976E80"/>
    <w:rsid w:val="00976F09"/>
    <w:rsid w:val="00977069"/>
    <w:rsid w:val="0097712E"/>
    <w:rsid w:val="009774CB"/>
    <w:rsid w:val="0097761A"/>
    <w:rsid w:val="009776C2"/>
    <w:rsid w:val="009777E6"/>
    <w:rsid w:val="00977818"/>
    <w:rsid w:val="00977841"/>
    <w:rsid w:val="0097788D"/>
    <w:rsid w:val="009778B8"/>
    <w:rsid w:val="00977BC9"/>
    <w:rsid w:val="00977E62"/>
    <w:rsid w:val="0098022D"/>
    <w:rsid w:val="00980308"/>
    <w:rsid w:val="00980395"/>
    <w:rsid w:val="009804A1"/>
    <w:rsid w:val="00980501"/>
    <w:rsid w:val="00980515"/>
    <w:rsid w:val="0098064D"/>
    <w:rsid w:val="00980710"/>
    <w:rsid w:val="00980775"/>
    <w:rsid w:val="00980873"/>
    <w:rsid w:val="00980A44"/>
    <w:rsid w:val="00980A55"/>
    <w:rsid w:val="00980AA6"/>
    <w:rsid w:val="00980AF2"/>
    <w:rsid w:val="00980B64"/>
    <w:rsid w:val="00980BD3"/>
    <w:rsid w:val="00980D90"/>
    <w:rsid w:val="00980DEA"/>
    <w:rsid w:val="00981202"/>
    <w:rsid w:val="009812AE"/>
    <w:rsid w:val="00981475"/>
    <w:rsid w:val="009815B7"/>
    <w:rsid w:val="00981734"/>
    <w:rsid w:val="009817A8"/>
    <w:rsid w:val="0098180F"/>
    <w:rsid w:val="0098194E"/>
    <w:rsid w:val="00981B5D"/>
    <w:rsid w:val="00981C16"/>
    <w:rsid w:val="0098203E"/>
    <w:rsid w:val="009824E6"/>
    <w:rsid w:val="00982769"/>
    <w:rsid w:val="0098285C"/>
    <w:rsid w:val="0098287F"/>
    <w:rsid w:val="00982882"/>
    <w:rsid w:val="009829C3"/>
    <w:rsid w:val="009829E5"/>
    <w:rsid w:val="00982A94"/>
    <w:rsid w:val="00982D4B"/>
    <w:rsid w:val="00982E98"/>
    <w:rsid w:val="00982F36"/>
    <w:rsid w:val="00983212"/>
    <w:rsid w:val="009835A6"/>
    <w:rsid w:val="00983669"/>
    <w:rsid w:val="0098392F"/>
    <w:rsid w:val="00983B47"/>
    <w:rsid w:val="00983E5C"/>
    <w:rsid w:val="00983F56"/>
    <w:rsid w:val="00984028"/>
    <w:rsid w:val="009840CB"/>
    <w:rsid w:val="0098421B"/>
    <w:rsid w:val="009843F9"/>
    <w:rsid w:val="00984468"/>
    <w:rsid w:val="0098457D"/>
    <w:rsid w:val="00984636"/>
    <w:rsid w:val="0098474C"/>
    <w:rsid w:val="009847A8"/>
    <w:rsid w:val="009848D4"/>
    <w:rsid w:val="00984AB6"/>
    <w:rsid w:val="00984D71"/>
    <w:rsid w:val="00984E83"/>
    <w:rsid w:val="00984EF9"/>
    <w:rsid w:val="009850DE"/>
    <w:rsid w:val="00985439"/>
    <w:rsid w:val="00985548"/>
    <w:rsid w:val="009855FF"/>
    <w:rsid w:val="00985785"/>
    <w:rsid w:val="00985799"/>
    <w:rsid w:val="009859A0"/>
    <w:rsid w:val="00985AE8"/>
    <w:rsid w:val="00985E64"/>
    <w:rsid w:val="00985F85"/>
    <w:rsid w:val="0098611D"/>
    <w:rsid w:val="00986399"/>
    <w:rsid w:val="00986553"/>
    <w:rsid w:val="009865C5"/>
    <w:rsid w:val="009867A4"/>
    <w:rsid w:val="00986B73"/>
    <w:rsid w:val="00986BE2"/>
    <w:rsid w:val="00986C49"/>
    <w:rsid w:val="00986D2E"/>
    <w:rsid w:val="00986DAE"/>
    <w:rsid w:val="00986E9D"/>
    <w:rsid w:val="00987223"/>
    <w:rsid w:val="00987408"/>
    <w:rsid w:val="0098784A"/>
    <w:rsid w:val="00987A68"/>
    <w:rsid w:val="00987B2A"/>
    <w:rsid w:val="00987C5E"/>
    <w:rsid w:val="00987D47"/>
    <w:rsid w:val="00987D6D"/>
    <w:rsid w:val="00987D91"/>
    <w:rsid w:val="00987F88"/>
    <w:rsid w:val="00990046"/>
    <w:rsid w:val="0099009C"/>
    <w:rsid w:val="00990257"/>
    <w:rsid w:val="009902CC"/>
    <w:rsid w:val="009902FA"/>
    <w:rsid w:val="00990358"/>
    <w:rsid w:val="009903DD"/>
    <w:rsid w:val="009904D3"/>
    <w:rsid w:val="009906DF"/>
    <w:rsid w:val="00990796"/>
    <w:rsid w:val="009907B5"/>
    <w:rsid w:val="00990805"/>
    <w:rsid w:val="00990934"/>
    <w:rsid w:val="009909E1"/>
    <w:rsid w:val="00990A42"/>
    <w:rsid w:val="00990B8C"/>
    <w:rsid w:val="00990CDC"/>
    <w:rsid w:val="00991120"/>
    <w:rsid w:val="00991316"/>
    <w:rsid w:val="009915C5"/>
    <w:rsid w:val="00991800"/>
    <w:rsid w:val="00991918"/>
    <w:rsid w:val="00991AC5"/>
    <w:rsid w:val="00991CD7"/>
    <w:rsid w:val="00991D26"/>
    <w:rsid w:val="00991F00"/>
    <w:rsid w:val="00991F18"/>
    <w:rsid w:val="009920DF"/>
    <w:rsid w:val="009921B8"/>
    <w:rsid w:val="009923F0"/>
    <w:rsid w:val="00992804"/>
    <w:rsid w:val="009928C5"/>
    <w:rsid w:val="009928FD"/>
    <w:rsid w:val="00992A6E"/>
    <w:rsid w:val="00992A84"/>
    <w:rsid w:val="00992ABF"/>
    <w:rsid w:val="00992B24"/>
    <w:rsid w:val="00992B97"/>
    <w:rsid w:val="00992C38"/>
    <w:rsid w:val="00992D77"/>
    <w:rsid w:val="00992D93"/>
    <w:rsid w:val="00992E23"/>
    <w:rsid w:val="00993003"/>
    <w:rsid w:val="00993149"/>
    <w:rsid w:val="00993163"/>
    <w:rsid w:val="0099316A"/>
    <w:rsid w:val="00993206"/>
    <w:rsid w:val="009932F0"/>
    <w:rsid w:val="00993437"/>
    <w:rsid w:val="0099354A"/>
    <w:rsid w:val="009935A5"/>
    <w:rsid w:val="0099385F"/>
    <w:rsid w:val="0099394B"/>
    <w:rsid w:val="009939DB"/>
    <w:rsid w:val="00993A0F"/>
    <w:rsid w:val="00993D89"/>
    <w:rsid w:val="00994011"/>
    <w:rsid w:val="009940F7"/>
    <w:rsid w:val="0099411F"/>
    <w:rsid w:val="009941DE"/>
    <w:rsid w:val="009944F8"/>
    <w:rsid w:val="0099461F"/>
    <w:rsid w:val="0099466A"/>
    <w:rsid w:val="009948B0"/>
    <w:rsid w:val="00994CD9"/>
    <w:rsid w:val="00994ECE"/>
    <w:rsid w:val="00995083"/>
    <w:rsid w:val="00995181"/>
    <w:rsid w:val="00995198"/>
    <w:rsid w:val="009954E0"/>
    <w:rsid w:val="0099568B"/>
    <w:rsid w:val="009956EA"/>
    <w:rsid w:val="00995985"/>
    <w:rsid w:val="00995A60"/>
    <w:rsid w:val="00995C08"/>
    <w:rsid w:val="00995D0D"/>
    <w:rsid w:val="00995DE5"/>
    <w:rsid w:val="00995E7C"/>
    <w:rsid w:val="00995EDB"/>
    <w:rsid w:val="00995F68"/>
    <w:rsid w:val="00995FB1"/>
    <w:rsid w:val="00995FC9"/>
    <w:rsid w:val="00996039"/>
    <w:rsid w:val="0099608D"/>
    <w:rsid w:val="00996101"/>
    <w:rsid w:val="0099622E"/>
    <w:rsid w:val="009963EB"/>
    <w:rsid w:val="0099663C"/>
    <w:rsid w:val="00996699"/>
    <w:rsid w:val="0099691F"/>
    <w:rsid w:val="00996970"/>
    <w:rsid w:val="00996A5C"/>
    <w:rsid w:val="00996B70"/>
    <w:rsid w:val="00996B82"/>
    <w:rsid w:val="00996D56"/>
    <w:rsid w:val="00996EF6"/>
    <w:rsid w:val="00996F6F"/>
    <w:rsid w:val="00997359"/>
    <w:rsid w:val="0099735D"/>
    <w:rsid w:val="009974A5"/>
    <w:rsid w:val="00997524"/>
    <w:rsid w:val="009977A6"/>
    <w:rsid w:val="009979CB"/>
    <w:rsid w:val="00997C18"/>
    <w:rsid w:val="00997DD1"/>
    <w:rsid w:val="00997DE6"/>
    <w:rsid w:val="00997DFD"/>
    <w:rsid w:val="00997F14"/>
    <w:rsid w:val="00997F3E"/>
    <w:rsid w:val="009A02AC"/>
    <w:rsid w:val="009A03C8"/>
    <w:rsid w:val="009A0439"/>
    <w:rsid w:val="009A04EE"/>
    <w:rsid w:val="009A04FB"/>
    <w:rsid w:val="009A0556"/>
    <w:rsid w:val="009A0599"/>
    <w:rsid w:val="009A05A4"/>
    <w:rsid w:val="009A0902"/>
    <w:rsid w:val="009A09F5"/>
    <w:rsid w:val="009A0A39"/>
    <w:rsid w:val="009A0AD5"/>
    <w:rsid w:val="009A0C05"/>
    <w:rsid w:val="009A0C19"/>
    <w:rsid w:val="009A0D09"/>
    <w:rsid w:val="009A0DDF"/>
    <w:rsid w:val="009A0F59"/>
    <w:rsid w:val="009A113E"/>
    <w:rsid w:val="009A11F7"/>
    <w:rsid w:val="009A1413"/>
    <w:rsid w:val="009A17F5"/>
    <w:rsid w:val="009A18C6"/>
    <w:rsid w:val="009A19BA"/>
    <w:rsid w:val="009A1B80"/>
    <w:rsid w:val="009A1BA4"/>
    <w:rsid w:val="009A1C38"/>
    <w:rsid w:val="009A1D22"/>
    <w:rsid w:val="009A1E28"/>
    <w:rsid w:val="009A1F7B"/>
    <w:rsid w:val="009A1FDE"/>
    <w:rsid w:val="009A210B"/>
    <w:rsid w:val="009A2210"/>
    <w:rsid w:val="009A2217"/>
    <w:rsid w:val="009A23F9"/>
    <w:rsid w:val="009A2599"/>
    <w:rsid w:val="009A25C4"/>
    <w:rsid w:val="009A27D8"/>
    <w:rsid w:val="009A2971"/>
    <w:rsid w:val="009A2983"/>
    <w:rsid w:val="009A2A1B"/>
    <w:rsid w:val="009A2AB8"/>
    <w:rsid w:val="009A2B72"/>
    <w:rsid w:val="009A2BD9"/>
    <w:rsid w:val="009A2D56"/>
    <w:rsid w:val="009A2F30"/>
    <w:rsid w:val="009A33BE"/>
    <w:rsid w:val="009A35CC"/>
    <w:rsid w:val="009A375D"/>
    <w:rsid w:val="009A3852"/>
    <w:rsid w:val="009A3AFB"/>
    <w:rsid w:val="009A3B6A"/>
    <w:rsid w:val="009A3B97"/>
    <w:rsid w:val="009A3BB3"/>
    <w:rsid w:val="009A3F05"/>
    <w:rsid w:val="009A3F3C"/>
    <w:rsid w:val="009A411D"/>
    <w:rsid w:val="009A416B"/>
    <w:rsid w:val="009A4250"/>
    <w:rsid w:val="009A42F2"/>
    <w:rsid w:val="009A439E"/>
    <w:rsid w:val="009A467B"/>
    <w:rsid w:val="009A4779"/>
    <w:rsid w:val="009A4A97"/>
    <w:rsid w:val="009A4B1B"/>
    <w:rsid w:val="009A4DD8"/>
    <w:rsid w:val="009A50AC"/>
    <w:rsid w:val="009A50DD"/>
    <w:rsid w:val="009A5255"/>
    <w:rsid w:val="009A52BE"/>
    <w:rsid w:val="009A53F0"/>
    <w:rsid w:val="009A55EF"/>
    <w:rsid w:val="009A560F"/>
    <w:rsid w:val="009A566B"/>
    <w:rsid w:val="009A595F"/>
    <w:rsid w:val="009A59C8"/>
    <w:rsid w:val="009A5E20"/>
    <w:rsid w:val="009A5E81"/>
    <w:rsid w:val="009A5F63"/>
    <w:rsid w:val="009A5FF3"/>
    <w:rsid w:val="009A61A5"/>
    <w:rsid w:val="009A620D"/>
    <w:rsid w:val="009A64FC"/>
    <w:rsid w:val="009A6504"/>
    <w:rsid w:val="009A664C"/>
    <w:rsid w:val="009A6732"/>
    <w:rsid w:val="009A688B"/>
    <w:rsid w:val="009A6950"/>
    <w:rsid w:val="009A6A32"/>
    <w:rsid w:val="009A6A7E"/>
    <w:rsid w:val="009A6C46"/>
    <w:rsid w:val="009A6EC1"/>
    <w:rsid w:val="009A6FC7"/>
    <w:rsid w:val="009A7051"/>
    <w:rsid w:val="009A709D"/>
    <w:rsid w:val="009A7264"/>
    <w:rsid w:val="009A7307"/>
    <w:rsid w:val="009A748C"/>
    <w:rsid w:val="009A760B"/>
    <w:rsid w:val="009A7974"/>
    <w:rsid w:val="009A7B56"/>
    <w:rsid w:val="009A7CDA"/>
    <w:rsid w:val="009A7E8A"/>
    <w:rsid w:val="009B0165"/>
    <w:rsid w:val="009B0207"/>
    <w:rsid w:val="009B02C3"/>
    <w:rsid w:val="009B0360"/>
    <w:rsid w:val="009B042A"/>
    <w:rsid w:val="009B04FE"/>
    <w:rsid w:val="009B0557"/>
    <w:rsid w:val="009B0600"/>
    <w:rsid w:val="009B060D"/>
    <w:rsid w:val="009B067E"/>
    <w:rsid w:val="009B06A7"/>
    <w:rsid w:val="009B0737"/>
    <w:rsid w:val="009B0745"/>
    <w:rsid w:val="009B082B"/>
    <w:rsid w:val="009B0BCB"/>
    <w:rsid w:val="009B0CB0"/>
    <w:rsid w:val="009B0F16"/>
    <w:rsid w:val="009B1121"/>
    <w:rsid w:val="009B12C1"/>
    <w:rsid w:val="009B136E"/>
    <w:rsid w:val="009B13E2"/>
    <w:rsid w:val="009B13E5"/>
    <w:rsid w:val="009B1631"/>
    <w:rsid w:val="009B17BA"/>
    <w:rsid w:val="009B17C8"/>
    <w:rsid w:val="009B17FE"/>
    <w:rsid w:val="009B1CC4"/>
    <w:rsid w:val="009B1D51"/>
    <w:rsid w:val="009B206D"/>
    <w:rsid w:val="009B20B3"/>
    <w:rsid w:val="009B2101"/>
    <w:rsid w:val="009B2334"/>
    <w:rsid w:val="009B2536"/>
    <w:rsid w:val="009B2619"/>
    <w:rsid w:val="009B26F3"/>
    <w:rsid w:val="009B27AC"/>
    <w:rsid w:val="009B2B58"/>
    <w:rsid w:val="009B2BAD"/>
    <w:rsid w:val="009B2CA3"/>
    <w:rsid w:val="009B2D79"/>
    <w:rsid w:val="009B2DB1"/>
    <w:rsid w:val="009B2F8C"/>
    <w:rsid w:val="009B302B"/>
    <w:rsid w:val="009B30EF"/>
    <w:rsid w:val="009B346E"/>
    <w:rsid w:val="009B374D"/>
    <w:rsid w:val="009B3790"/>
    <w:rsid w:val="009B384F"/>
    <w:rsid w:val="009B38EE"/>
    <w:rsid w:val="009B39A3"/>
    <w:rsid w:val="009B3D1B"/>
    <w:rsid w:val="009B3D49"/>
    <w:rsid w:val="009B3FCE"/>
    <w:rsid w:val="009B404A"/>
    <w:rsid w:val="009B41C0"/>
    <w:rsid w:val="009B4294"/>
    <w:rsid w:val="009B4449"/>
    <w:rsid w:val="009B44D2"/>
    <w:rsid w:val="009B45B1"/>
    <w:rsid w:val="009B4697"/>
    <w:rsid w:val="009B4A64"/>
    <w:rsid w:val="009B4CE8"/>
    <w:rsid w:val="009B4E2F"/>
    <w:rsid w:val="009B505D"/>
    <w:rsid w:val="009B540A"/>
    <w:rsid w:val="009B5510"/>
    <w:rsid w:val="009B56EE"/>
    <w:rsid w:val="009B58B2"/>
    <w:rsid w:val="009B59F1"/>
    <w:rsid w:val="009B5C14"/>
    <w:rsid w:val="009B5D63"/>
    <w:rsid w:val="009B6026"/>
    <w:rsid w:val="009B6287"/>
    <w:rsid w:val="009B6377"/>
    <w:rsid w:val="009B6411"/>
    <w:rsid w:val="009B653C"/>
    <w:rsid w:val="009B6695"/>
    <w:rsid w:val="009B66C5"/>
    <w:rsid w:val="009B6876"/>
    <w:rsid w:val="009B6B3A"/>
    <w:rsid w:val="009B6B44"/>
    <w:rsid w:val="009B6C0B"/>
    <w:rsid w:val="009B6D57"/>
    <w:rsid w:val="009B6D81"/>
    <w:rsid w:val="009B6DB1"/>
    <w:rsid w:val="009B6F03"/>
    <w:rsid w:val="009B7068"/>
    <w:rsid w:val="009B7596"/>
    <w:rsid w:val="009B7691"/>
    <w:rsid w:val="009B7736"/>
    <w:rsid w:val="009B7A4A"/>
    <w:rsid w:val="009B7CA6"/>
    <w:rsid w:val="009C001F"/>
    <w:rsid w:val="009C002E"/>
    <w:rsid w:val="009C012A"/>
    <w:rsid w:val="009C03EB"/>
    <w:rsid w:val="009C047D"/>
    <w:rsid w:val="009C05F8"/>
    <w:rsid w:val="009C070A"/>
    <w:rsid w:val="009C07F1"/>
    <w:rsid w:val="009C0828"/>
    <w:rsid w:val="009C08D6"/>
    <w:rsid w:val="009C0975"/>
    <w:rsid w:val="009C0A00"/>
    <w:rsid w:val="009C0A0E"/>
    <w:rsid w:val="009C0B6F"/>
    <w:rsid w:val="009C0BF6"/>
    <w:rsid w:val="009C0C4C"/>
    <w:rsid w:val="009C0E32"/>
    <w:rsid w:val="009C0FE3"/>
    <w:rsid w:val="009C1032"/>
    <w:rsid w:val="009C1062"/>
    <w:rsid w:val="009C1198"/>
    <w:rsid w:val="009C144D"/>
    <w:rsid w:val="009C163F"/>
    <w:rsid w:val="009C1888"/>
    <w:rsid w:val="009C1CC1"/>
    <w:rsid w:val="009C2180"/>
    <w:rsid w:val="009C23ED"/>
    <w:rsid w:val="009C2425"/>
    <w:rsid w:val="009C2526"/>
    <w:rsid w:val="009C268C"/>
    <w:rsid w:val="009C26FB"/>
    <w:rsid w:val="009C2A1F"/>
    <w:rsid w:val="009C2A57"/>
    <w:rsid w:val="009C2A6C"/>
    <w:rsid w:val="009C2D04"/>
    <w:rsid w:val="009C2E63"/>
    <w:rsid w:val="009C2F0E"/>
    <w:rsid w:val="009C2F54"/>
    <w:rsid w:val="009C336E"/>
    <w:rsid w:val="009C392A"/>
    <w:rsid w:val="009C3971"/>
    <w:rsid w:val="009C39DE"/>
    <w:rsid w:val="009C3CDA"/>
    <w:rsid w:val="009C40B6"/>
    <w:rsid w:val="009C40B7"/>
    <w:rsid w:val="009C4167"/>
    <w:rsid w:val="009C4266"/>
    <w:rsid w:val="009C4314"/>
    <w:rsid w:val="009C4327"/>
    <w:rsid w:val="009C46EE"/>
    <w:rsid w:val="009C4A0D"/>
    <w:rsid w:val="009C4A9F"/>
    <w:rsid w:val="009C4B77"/>
    <w:rsid w:val="009C4E2D"/>
    <w:rsid w:val="009C4EF2"/>
    <w:rsid w:val="009C5328"/>
    <w:rsid w:val="009C5363"/>
    <w:rsid w:val="009C5583"/>
    <w:rsid w:val="009C559B"/>
    <w:rsid w:val="009C569D"/>
    <w:rsid w:val="009C56E2"/>
    <w:rsid w:val="009C5767"/>
    <w:rsid w:val="009C5856"/>
    <w:rsid w:val="009C5976"/>
    <w:rsid w:val="009C5AD7"/>
    <w:rsid w:val="009C5D0D"/>
    <w:rsid w:val="009C5DF0"/>
    <w:rsid w:val="009C6054"/>
    <w:rsid w:val="009C60FE"/>
    <w:rsid w:val="009C6512"/>
    <w:rsid w:val="009C669F"/>
    <w:rsid w:val="009C676A"/>
    <w:rsid w:val="009C67C9"/>
    <w:rsid w:val="009C67FD"/>
    <w:rsid w:val="009C691F"/>
    <w:rsid w:val="009C6D13"/>
    <w:rsid w:val="009C6E30"/>
    <w:rsid w:val="009C6F54"/>
    <w:rsid w:val="009C71CE"/>
    <w:rsid w:val="009C729A"/>
    <w:rsid w:val="009C7367"/>
    <w:rsid w:val="009C7563"/>
    <w:rsid w:val="009C75A5"/>
    <w:rsid w:val="009C7676"/>
    <w:rsid w:val="009C767C"/>
    <w:rsid w:val="009C7708"/>
    <w:rsid w:val="009C77C1"/>
    <w:rsid w:val="009C77EF"/>
    <w:rsid w:val="009C79C3"/>
    <w:rsid w:val="009C7DA8"/>
    <w:rsid w:val="009C7DD0"/>
    <w:rsid w:val="009C7DD4"/>
    <w:rsid w:val="009C7E9D"/>
    <w:rsid w:val="009C7F69"/>
    <w:rsid w:val="009D029B"/>
    <w:rsid w:val="009D06FB"/>
    <w:rsid w:val="009D09AD"/>
    <w:rsid w:val="009D0B97"/>
    <w:rsid w:val="009D0DBA"/>
    <w:rsid w:val="009D0ECD"/>
    <w:rsid w:val="009D0EF3"/>
    <w:rsid w:val="009D0FDA"/>
    <w:rsid w:val="009D120E"/>
    <w:rsid w:val="009D143A"/>
    <w:rsid w:val="009D1585"/>
    <w:rsid w:val="009D16D9"/>
    <w:rsid w:val="009D1889"/>
    <w:rsid w:val="009D19F2"/>
    <w:rsid w:val="009D1ABC"/>
    <w:rsid w:val="009D1AF2"/>
    <w:rsid w:val="009D1B75"/>
    <w:rsid w:val="009D1C15"/>
    <w:rsid w:val="009D1C6A"/>
    <w:rsid w:val="009D1E1E"/>
    <w:rsid w:val="009D21EE"/>
    <w:rsid w:val="009D238B"/>
    <w:rsid w:val="009D243A"/>
    <w:rsid w:val="009D261C"/>
    <w:rsid w:val="009D2746"/>
    <w:rsid w:val="009D2A03"/>
    <w:rsid w:val="009D2A70"/>
    <w:rsid w:val="009D2C05"/>
    <w:rsid w:val="009D2D6C"/>
    <w:rsid w:val="009D2E3D"/>
    <w:rsid w:val="009D2EDE"/>
    <w:rsid w:val="009D3149"/>
    <w:rsid w:val="009D327F"/>
    <w:rsid w:val="009D338A"/>
    <w:rsid w:val="009D35F7"/>
    <w:rsid w:val="009D36C3"/>
    <w:rsid w:val="009D3978"/>
    <w:rsid w:val="009D39A4"/>
    <w:rsid w:val="009D3CE5"/>
    <w:rsid w:val="009D3D23"/>
    <w:rsid w:val="009D3D27"/>
    <w:rsid w:val="009D3E48"/>
    <w:rsid w:val="009D3F32"/>
    <w:rsid w:val="009D3FCC"/>
    <w:rsid w:val="009D400A"/>
    <w:rsid w:val="009D4141"/>
    <w:rsid w:val="009D41BD"/>
    <w:rsid w:val="009D422B"/>
    <w:rsid w:val="009D457D"/>
    <w:rsid w:val="009D458B"/>
    <w:rsid w:val="009D467E"/>
    <w:rsid w:val="009D4728"/>
    <w:rsid w:val="009D47E5"/>
    <w:rsid w:val="009D47F0"/>
    <w:rsid w:val="009D4E07"/>
    <w:rsid w:val="009D4E3F"/>
    <w:rsid w:val="009D4E55"/>
    <w:rsid w:val="009D50E0"/>
    <w:rsid w:val="009D534B"/>
    <w:rsid w:val="009D5514"/>
    <w:rsid w:val="009D56A0"/>
    <w:rsid w:val="009D5A44"/>
    <w:rsid w:val="009D5C34"/>
    <w:rsid w:val="009D5C5F"/>
    <w:rsid w:val="009D5C89"/>
    <w:rsid w:val="009D5CD5"/>
    <w:rsid w:val="009D6057"/>
    <w:rsid w:val="009D6444"/>
    <w:rsid w:val="009D6478"/>
    <w:rsid w:val="009D6563"/>
    <w:rsid w:val="009D65B1"/>
    <w:rsid w:val="009D67FC"/>
    <w:rsid w:val="009D68D1"/>
    <w:rsid w:val="009D69FF"/>
    <w:rsid w:val="009D6BC2"/>
    <w:rsid w:val="009D6BFE"/>
    <w:rsid w:val="009D6C08"/>
    <w:rsid w:val="009D6C55"/>
    <w:rsid w:val="009D6D31"/>
    <w:rsid w:val="009D6D59"/>
    <w:rsid w:val="009D6E13"/>
    <w:rsid w:val="009D6F5E"/>
    <w:rsid w:val="009D6FE9"/>
    <w:rsid w:val="009D702E"/>
    <w:rsid w:val="009D7057"/>
    <w:rsid w:val="009D7066"/>
    <w:rsid w:val="009D7210"/>
    <w:rsid w:val="009D74D2"/>
    <w:rsid w:val="009D76C2"/>
    <w:rsid w:val="009D77E2"/>
    <w:rsid w:val="009D78C7"/>
    <w:rsid w:val="009D78E8"/>
    <w:rsid w:val="009D790E"/>
    <w:rsid w:val="009D799D"/>
    <w:rsid w:val="009D7A72"/>
    <w:rsid w:val="009D7BEC"/>
    <w:rsid w:val="009D7DB4"/>
    <w:rsid w:val="009E02B0"/>
    <w:rsid w:val="009E0348"/>
    <w:rsid w:val="009E03BB"/>
    <w:rsid w:val="009E04B5"/>
    <w:rsid w:val="009E0648"/>
    <w:rsid w:val="009E0703"/>
    <w:rsid w:val="009E0923"/>
    <w:rsid w:val="009E09B2"/>
    <w:rsid w:val="009E0A63"/>
    <w:rsid w:val="009E0B06"/>
    <w:rsid w:val="009E0BF8"/>
    <w:rsid w:val="009E0CFF"/>
    <w:rsid w:val="009E0E5C"/>
    <w:rsid w:val="009E1385"/>
    <w:rsid w:val="009E13D3"/>
    <w:rsid w:val="009E1592"/>
    <w:rsid w:val="009E1864"/>
    <w:rsid w:val="009E188C"/>
    <w:rsid w:val="009E1937"/>
    <w:rsid w:val="009E1947"/>
    <w:rsid w:val="009E19A8"/>
    <w:rsid w:val="009E1A65"/>
    <w:rsid w:val="009E1A6C"/>
    <w:rsid w:val="009E1A7D"/>
    <w:rsid w:val="009E1A97"/>
    <w:rsid w:val="009E1B2C"/>
    <w:rsid w:val="009E1E20"/>
    <w:rsid w:val="009E1E88"/>
    <w:rsid w:val="009E202F"/>
    <w:rsid w:val="009E2036"/>
    <w:rsid w:val="009E2293"/>
    <w:rsid w:val="009E22A2"/>
    <w:rsid w:val="009E23D7"/>
    <w:rsid w:val="009E24A4"/>
    <w:rsid w:val="009E254D"/>
    <w:rsid w:val="009E2786"/>
    <w:rsid w:val="009E27C9"/>
    <w:rsid w:val="009E285F"/>
    <w:rsid w:val="009E2924"/>
    <w:rsid w:val="009E29BF"/>
    <w:rsid w:val="009E2A27"/>
    <w:rsid w:val="009E2AC3"/>
    <w:rsid w:val="009E2ACC"/>
    <w:rsid w:val="009E2BC1"/>
    <w:rsid w:val="009E2C6D"/>
    <w:rsid w:val="009E2C84"/>
    <w:rsid w:val="009E2D1E"/>
    <w:rsid w:val="009E2E25"/>
    <w:rsid w:val="009E2F0F"/>
    <w:rsid w:val="009E2F90"/>
    <w:rsid w:val="009E2FD0"/>
    <w:rsid w:val="009E30D6"/>
    <w:rsid w:val="009E3102"/>
    <w:rsid w:val="009E330E"/>
    <w:rsid w:val="009E34FC"/>
    <w:rsid w:val="009E36A5"/>
    <w:rsid w:val="009E370A"/>
    <w:rsid w:val="009E3781"/>
    <w:rsid w:val="009E37A9"/>
    <w:rsid w:val="009E37B2"/>
    <w:rsid w:val="009E3A4E"/>
    <w:rsid w:val="009E3B10"/>
    <w:rsid w:val="009E3B13"/>
    <w:rsid w:val="009E3EBD"/>
    <w:rsid w:val="009E3F44"/>
    <w:rsid w:val="009E40F4"/>
    <w:rsid w:val="009E4106"/>
    <w:rsid w:val="009E413A"/>
    <w:rsid w:val="009E44E8"/>
    <w:rsid w:val="009E44EF"/>
    <w:rsid w:val="009E45D4"/>
    <w:rsid w:val="009E4619"/>
    <w:rsid w:val="009E47F6"/>
    <w:rsid w:val="009E4A2C"/>
    <w:rsid w:val="009E4A84"/>
    <w:rsid w:val="009E4AD9"/>
    <w:rsid w:val="009E4BCA"/>
    <w:rsid w:val="009E4D54"/>
    <w:rsid w:val="009E5098"/>
    <w:rsid w:val="009E50DF"/>
    <w:rsid w:val="009E529B"/>
    <w:rsid w:val="009E532A"/>
    <w:rsid w:val="009E532C"/>
    <w:rsid w:val="009E543A"/>
    <w:rsid w:val="009E5534"/>
    <w:rsid w:val="009E560C"/>
    <w:rsid w:val="009E5704"/>
    <w:rsid w:val="009E592D"/>
    <w:rsid w:val="009E5953"/>
    <w:rsid w:val="009E59A8"/>
    <w:rsid w:val="009E5BC9"/>
    <w:rsid w:val="009E5CA7"/>
    <w:rsid w:val="009E61C2"/>
    <w:rsid w:val="009E6459"/>
    <w:rsid w:val="009E6483"/>
    <w:rsid w:val="009E64B6"/>
    <w:rsid w:val="009E64E8"/>
    <w:rsid w:val="009E6770"/>
    <w:rsid w:val="009E68ED"/>
    <w:rsid w:val="009E69D1"/>
    <w:rsid w:val="009E6A51"/>
    <w:rsid w:val="009E6D03"/>
    <w:rsid w:val="009E6D4E"/>
    <w:rsid w:val="009E6E14"/>
    <w:rsid w:val="009E70DC"/>
    <w:rsid w:val="009E7142"/>
    <w:rsid w:val="009E716B"/>
    <w:rsid w:val="009E72B8"/>
    <w:rsid w:val="009E7336"/>
    <w:rsid w:val="009E74D4"/>
    <w:rsid w:val="009E753E"/>
    <w:rsid w:val="009E75D8"/>
    <w:rsid w:val="009E7818"/>
    <w:rsid w:val="009E7839"/>
    <w:rsid w:val="009E7910"/>
    <w:rsid w:val="009E7DED"/>
    <w:rsid w:val="009F001F"/>
    <w:rsid w:val="009F01CF"/>
    <w:rsid w:val="009F029A"/>
    <w:rsid w:val="009F03BD"/>
    <w:rsid w:val="009F04D4"/>
    <w:rsid w:val="009F06B5"/>
    <w:rsid w:val="009F079A"/>
    <w:rsid w:val="009F08DB"/>
    <w:rsid w:val="009F0914"/>
    <w:rsid w:val="009F095F"/>
    <w:rsid w:val="009F0B1A"/>
    <w:rsid w:val="009F0C36"/>
    <w:rsid w:val="009F0D06"/>
    <w:rsid w:val="009F0FBE"/>
    <w:rsid w:val="009F1454"/>
    <w:rsid w:val="009F1501"/>
    <w:rsid w:val="009F15E4"/>
    <w:rsid w:val="009F15FF"/>
    <w:rsid w:val="009F16A2"/>
    <w:rsid w:val="009F1703"/>
    <w:rsid w:val="009F1730"/>
    <w:rsid w:val="009F175F"/>
    <w:rsid w:val="009F178B"/>
    <w:rsid w:val="009F19D9"/>
    <w:rsid w:val="009F1A2F"/>
    <w:rsid w:val="009F1BB9"/>
    <w:rsid w:val="009F1BDA"/>
    <w:rsid w:val="009F1C08"/>
    <w:rsid w:val="009F1D62"/>
    <w:rsid w:val="009F1DEA"/>
    <w:rsid w:val="009F1E08"/>
    <w:rsid w:val="009F1EF5"/>
    <w:rsid w:val="009F204F"/>
    <w:rsid w:val="009F229E"/>
    <w:rsid w:val="009F262B"/>
    <w:rsid w:val="009F2A08"/>
    <w:rsid w:val="009F2B05"/>
    <w:rsid w:val="009F2B88"/>
    <w:rsid w:val="009F2BAC"/>
    <w:rsid w:val="009F2C76"/>
    <w:rsid w:val="009F2F26"/>
    <w:rsid w:val="009F2F79"/>
    <w:rsid w:val="009F2FBC"/>
    <w:rsid w:val="009F3027"/>
    <w:rsid w:val="009F31AB"/>
    <w:rsid w:val="009F31F2"/>
    <w:rsid w:val="009F368F"/>
    <w:rsid w:val="009F376B"/>
    <w:rsid w:val="009F38A1"/>
    <w:rsid w:val="009F3A44"/>
    <w:rsid w:val="009F3AA7"/>
    <w:rsid w:val="009F3B4E"/>
    <w:rsid w:val="009F3C24"/>
    <w:rsid w:val="009F3ED5"/>
    <w:rsid w:val="009F40C2"/>
    <w:rsid w:val="009F4143"/>
    <w:rsid w:val="009F416E"/>
    <w:rsid w:val="009F432F"/>
    <w:rsid w:val="009F44BF"/>
    <w:rsid w:val="009F44E3"/>
    <w:rsid w:val="009F451F"/>
    <w:rsid w:val="009F459F"/>
    <w:rsid w:val="009F45C0"/>
    <w:rsid w:val="009F460C"/>
    <w:rsid w:val="009F485D"/>
    <w:rsid w:val="009F4894"/>
    <w:rsid w:val="009F4BCA"/>
    <w:rsid w:val="009F4D49"/>
    <w:rsid w:val="009F4E6C"/>
    <w:rsid w:val="009F4FEB"/>
    <w:rsid w:val="009F52ED"/>
    <w:rsid w:val="009F55A9"/>
    <w:rsid w:val="009F57AA"/>
    <w:rsid w:val="009F6086"/>
    <w:rsid w:val="009F6519"/>
    <w:rsid w:val="009F6527"/>
    <w:rsid w:val="009F65FD"/>
    <w:rsid w:val="009F664E"/>
    <w:rsid w:val="009F675B"/>
    <w:rsid w:val="009F67CC"/>
    <w:rsid w:val="009F68A3"/>
    <w:rsid w:val="009F68B5"/>
    <w:rsid w:val="009F69F7"/>
    <w:rsid w:val="009F6A43"/>
    <w:rsid w:val="009F6AEB"/>
    <w:rsid w:val="009F6B4C"/>
    <w:rsid w:val="009F6BB3"/>
    <w:rsid w:val="009F6D6E"/>
    <w:rsid w:val="009F6D70"/>
    <w:rsid w:val="009F7121"/>
    <w:rsid w:val="009F718F"/>
    <w:rsid w:val="009F744C"/>
    <w:rsid w:val="009F752A"/>
    <w:rsid w:val="009F7584"/>
    <w:rsid w:val="009F7732"/>
    <w:rsid w:val="009F77A1"/>
    <w:rsid w:val="009F7826"/>
    <w:rsid w:val="009F7BDF"/>
    <w:rsid w:val="009F7C7B"/>
    <w:rsid w:val="00A001CA"/>
    <w:rsid w:val="00A0028F"/>
    <w:rsid w:val="00A003A9"/>
    <w:rsid w:val="00A0044A"/>
    <w:rsid w:val="00A004BF"/>
    <w:rsid w:val="00A00515"/>
    <w:rsid w:val="00A00539"/>
    <w:rsid w:val="00A005C3"/>
    <w:rsid w:val="00A00662"/>
    <w:rsid w:val="00A0066F"/>
    <w:rsid w:val="00A0067F"/>
    <w:rsid w:val="00A006CD"/>
    <w:rsid w:val="00A006E9"/>
    <w:rsid w:val="00A00A74"/>
    <w:rsid w:val="00A00AC2"/>
    <w:rsid w:val="00A00BDD"/>
    <w:rsid w:val="00A00BF6"/>
    <w:rsid w:val="00A00E7E"/>
    <w:rsid w:val="00A00FFD"/>
    <w:rsid w:val="00A0110E"/>
    <w:rsid w:val="00A011FC"/>
    <w:rsid w:val="00A01276"/>
    <w:rsid w:val="00A01299"/>
    <w:rsid w:val="00A01356"/>
    <w:rsid w:val="00A0137A"/>
    <w:rsid w:val="00A01424"/>
    <w:rsid w:val="00A01757"/>
    <w:rsid w:val="00A01918"/>
    <w:rsid w:val="00A01BF2"/>
    <w:rsid w:val="00A01C91"/>
    <w:rsid w:val="00A01DBF"/>
    <w:rsid w:val="00A0214C"/>
    <w:rsid w:val="00A0228C"/>
    <w:rsid w:val="00A023E1"/>
    <w:rsid w:val="00A024E9"/>
    <w:rsid w:val="00A0271E"/>
    <w:rsid w:val="00A02958"/>
    <w:rsid w:val="00A02A71"/>
    <w:rsid w:val="00A02A98"/>
    <w:rsid w:val="00A02BB2"/>
    <w:rsid w:val="00A02C2A"/>
    <w:rsid w:val="00A02D0D"/>
    <w:rsid w:val="00A02D42"/>
    <w:rsid w:val="00A03204"/>
    <w:rsid w:val="00A032CD"/>
    <w:rsid w:val="00A033A1"/>
    <w:rsid w:val="00A033D8"/>
    <w:rsid w:val="00A03459"/>
    <w:rsid w:val="00A03500"/>
    <w:rsid w:val="00A0370A"/>
    <w:rsid w:val="00A0383B"/>
    <w:rsid w:val="00A038AD"/>
    <w:rsid w:val="00A039DA"/>
    <w:rsid w:val="00A03A49"/>
    <w:rsid w:val="00A03C94"/>
    <w:rsid w:val="00A03DA7"/>
    <w:rsid w:val="00A03E90"/>
    <w:rsid w:val="00A03FAF"/>
    <w:rsid w:val="00A03FC0"/>
    <w:rsid w:val="00A04004"/>
    <w:rsid w:val="00A04109"/>
    <w:rsid w:val="00A041AB"/>
    <w:rsid w:val="00A04311"/>
    <w:rsid w:val="00A0432B"/>
    <w:rsid w:val="00A04514"/>
    <w:rsid w:val="00A04525"/>
    <w:rsid w:val="00A045DD"/>
    <w:rsid w:val="00A0480A"/>
    <w:rsid w:val="00A048A8"/>
    <w:rsid w:val="00A04A15"/>
    <w:rsid w:val="00A04A60"/>
    <w:rsid w:val="00A04C01"/>
    <w:rsid w:val="00A04C9A"/>
    <w:rsid w:val="00A04CDD"/>
    <w:rsid w:val="00A04CDE"/>
    <w:rsid w:val="00A04D9E"/>
    <w:rsid w:val="00A05284"/>
    <w:rsid w:val="00A0533C"/>
    <w:rsid w:val="00A0535B"/>
    <w:rsid w:val="00A0545C"/>
    <w:rsid w:val="00A055B7"/>
    <w:rsid w:val="00A05625"/>
    <w:rsid w:val="00A0566A"/>
    <w:rsid w:val="00A0578C"/>
    <w:rsid w:val="00A058E7"/>
    <w:rsid w:val="00A0591B"/>
    <w:rsid w:val="00A05A3F"/>
    <w:rsid w:val="00A05A8E"/>
    <w:rsid w:val="00A05AEE"/>
    <w:rsid w:val="00A05B3F"/>
    <w:rsid w:val="00A05B91"/>
    <w:rsid w:val="00A05CA6"/>
    <w:rsid w:val="00A05DF0"/>
    <w:rsid w:val="00A06372"/>
    <w:rsid w:val="00A063B8"/>
    <w:rsid w:val="00A06595"/>
    <w:rsid w:val="00A06654"/>
    <w:rsid w:val="00A068EF"/>
    <w:rsid w:val="00A06B62"/>
    <w:rsid w:val="00A06BB8"/>
    <w:rsid w:val="00A06CC9"/>
    <w:rsid w:val="00A06D77"/>
    <w:rsid w:val="00A06DBD"/>
    <w:rsid w:val="00A06EE4"/>
    <w:rsid w:val="00A06EEA"/>
    <w:rsid w:val="00A06F1E"/>
    <w:rsid w:val="00A06F2A"/>
    <w:rsid w:val="00A0733E"/>
    <w:rsid w:val="00A073CD"/>
    <w:rsid w:val="00A0758B"/>
    <w:rsid w:val="00A07590"/>
    <w:rsid w:val="00A0775E"/>
    <w:rsid w:val="00A07797"/>
    <w:rsid w:val="00A077FA"/>
    <w:rsid w:val="00A07843"/>
    <w:rsid w:val="00A079D8"/>
    <w:rsid w:val="00A07CCD"/>
    <w:rsid w:val="00A07CE2"/>
    <w:rsid w:val="00A1000C"/>
    <w:rsid w:val="00A1015D"/>
    <w:rsid w:val="00A10439"/>
    <w:rsid w:val="00A105D3"/>
    <w:rsid w:val="00A10683"/>
    <w:rsid w:val="00A10996"/>
    <w:rsid w:val="00A10B38"/>
    <w:rsid w:val="00A10B65"/>
    <w:rsid w:val="00A10BC2"/>
    <w:rsid w:val="00A10CA2"/>
    <w:rsid w:val="00A10DB3"/>
    <w:rsid w:val="00A10E4A"/>
    <w:rsid w:val="00A10F22"/>
    <w:rsid w:val="00A10F8C"/>
    <w:rsid w:val="00A1123E"/>
    <w:rsid w:val="00A11493"/>
    <w:rsid w:val="00A11833"/>
    <w:rsid w:val="00A11845"/>
    <w:rsid w:val="00A11928"/>
    <w:rsid w:val="00A11934"/>
    <w:rsid w:val="00A119ED"/>
    <w:rsid w:val="00A11AB3"/>
    <w:rsid w:val="00A11CAF"/>
    <w:rsid w:val="00A11CF7"/>
    <w:rsid w:val="00A11DE3"/>
    <w:rsid w:val="00A11DFC"/>
    <w:rsid w:val="00A1231E"/>
    <w:rsid w:val="00A12520"/>
    <w:rsid w:val="00A1255F"/>
    <w:rsid w:val="00A126E9"/>
    <w:rsid w:val="00A12776"/>
    <w:rsid w:val="00A127D1"/>
    <w:rsid w:val="00A128F5"/>
    <w:rsid w:val="00A12AB4"/>
    <w:rsid w:val="00A12D80"/>
    <w:rsid w:val="00A130A9"/>
    <w:rsid w:val="00A13125"/>
    <w:rsid w:val="00A132ED"/>
    <w:rsid w:val="00A13370"/>
    <w:rsid w:val="00A1339D"/>
    <w:rsid w:val="00A1347D"/>
    <w:rsid w:val="00A134A5"/>
    <w:rsid w:val="00A13509"/>
    <w:rsid w:val="00A13511"/>
    <w:rsid w:val="00A136E6"/>
    <w:rsid w:val="00A136EF"/>
    <w:rsid w:val="00A13812"/>
    <w:rsid w:val="00A138E0"/>
    <w:rsid w:val="00A13972"/>
    <w:rsid w:val="00A13974"/>
    <w:rsid w:val="00A13A61"/>
    <w:rsid w:val="00A13AB6"/>
    <w:rsid w:val="00A13C62"/>
    <w:rsid w:val="00A13FCD"/>
    <w:rsid w:val="00A144D9"/>
    <w:rsid w:val="00A145C5"/>
    <w:rsid w:val="00A145FE"/>
    <w:rsid w:val="00A14D8D"/>
    <w:rsid w:val="00A14E8C"/>
    <w:rsid w:val="00A15089"/>
    <w:rsid w:val="00A15506"/>
    <w:rsid w:val="00A15569"/>
    <w:rsid w:val="00A15976"/>
    <w:rsid w:val="00A15A18"/>
    <w:rsid w:val="00A15C11"/>
    <w:rsid w:val="00A15C44"/>
    <w:rsid w:val="00A15C57"/>
    <w:rsid w:val="00A15D62"/>
    <w:rsid w:val="00A15FCF"/>
    <w:rsid w:val="00A160AC"/>
    <w:rsid w:val="00A1613C"/>
    <w:rsid w:val="00A16160"/>
    <w:rsid w:val="00A161EA"/>
    <w:rsid w:val="00A16272"/>
    <w:rsid w:val="00A1635C"/>
    <w:rsid w:val="00A1641E"/>
    <w:rsid w:val="00A164FE"/>
    <w:rsid w:val="00A1651B"/>
    <w:rsid w:val="00A16589"/>
    <w:rsid w:val="00A1679F"/>
    <w:rsid w:val="00A167B8"/>
    <w:rsid w:val="00A16915"/>
    <w:rsid w:val="00A16B77"/>
    <w:rsid w:val="00A16DBD"/>
    <w:rsid w:val="00A16E45"/>
    <w:rsid w:val="00A16F58"/>
    <w:rsid w:val="00A16FAE"/>
    <w:rsid w:val="00A17088"/>
    <w:rsid w:val="00A171A0"/>
    <w:rsid w:val="00A173A2"/>
    <w:rsid w:val="00A173D1"/>
    <w:rsid w:val="00A17484"/>
    <w:rsid w:val="00A176B3"/>
    <w:rsid w:val="00A1771E"/>
    <w:rsid w:val="00A17924"/>
    <w:rsid w:val="00A17966"/>
    <w:rsid w:val="00A17B14"/>
    <w:rsid w:val="00A17BB6"/>
    <w:rsid w:val="00A17D53"/>
    <w:rsid w:val="00A17F11"/>
    <w:rsid w:val="00A17F4F"/>
    <w:rsid w:val="00A202D4"/>
    <w:rsid w:val="00A203D3"/>
    <w:rsid w:val="00A2042E"/>
    <w:rsid w:val="00A204DC"/>
    <w:rsid w:val="00A20749"/>
    <w:rsid w:val="00A2088C"/>
    <w:rsid w:val="00A20996"/>
    <w:rsid w:val="00A20C9E"/>
    <w:rsid w:val="00A20D8D"/>
    <w:rsid w:val="00A20DDC"/>
    <w:rsid w:val="00A20EF2"/>
    <w:rsid w:val="00A20F00"/>
    <w:rsid w:val="00A20F3A"/>
    <w:rsid w:val="00A21335"/>
    <w:rsid w:val="00A21395"/>
    <w:rsid w:val="00A2139E"/>
    <w:rsid w:val="00A214FF"/>
    <w:rsid w:val="00A2156B"/>
    <w:rsid w:val="00A2169F"/>
    <w:rsid w:val="00A21748"/>
    <w:rsid w:val="00A218F6"/>
    <w:rsid w:val="00A21C9D"/>
    <w:rsid w:val="00A21DD0"/>
    <w:rsid w:val="00A22182"/>
    <w:rsid w:val="00A22333"/>
    <w:rsid w:val="00A2255C"/>
    <w:rsid w:val="00A22B8D"/>
    <w:rsid w:val="00A22BF4"/>
    <w:rsid w:val="00A22CD0"/>
    <w:rsid w:val="00A22D67"/>
    <w:rsid w:val="00A22D79"/>
    <w:rsid w:val="00A22E0E"/>
    <w:rsid w:val="00A22F77"/>
    <w:rsid w:val="00A2311C"/>
    <w:rsid w:val="00A23158"/>
    <w:rsid w:val="00A23175"/>
    <w:rsid w:val="00A23458"/>
    <w:rsid w:val="00A23521"/>
    <w:rsid w:val="00A235CC"/>
    <w:rsid w:val="00A2369E"/>
    <w:rsid w:val="00A2375D"/>
    <w:rsid w:val="00A23859"/>
    <w:rsid w:val="00A2387B"/>
    <w:rsid w:val="00A23934"/>
    <w:rsid w:val="00A23ABC"/>
    <w:rsid w:val="00A23B5C"/>
    <w:rsid w:val="00A23B78"/>
    <w:rsid w:val="00A23D56"/>
    <w:rsid w:val="00A23D5D"/>
    <w:rsid w:val="00A23D7E"/>
    <w:rsid w:val="00A240C5"/>
    <w:rsid w:val="00A24226"/>
    <w:rsid w:val="00A245A6"/>
    <w:rsid w:val="00A2470E"/>
    <w:rsid w:val="00A24754"/>
    <w:rsid w:val="00A24768"/>
    <w:rsid w:val="00A24845"/>
    <w:rsid w:val="00A248B6"/>
    <w:rsid w:val="00A24AD1"/>
    <w:rsid w:val="00A24CD3"/>
    <w:rsid w:val="00A24F12"/>
    <w:rsid w:val="00A25020"/>
    <w:rsid w:val="00A25021"/>
    <w:rsid w:val="00A2515B"/>
    <w:rsid w:val="00A25167"/>
    <w:rsid w:val="00A251AD"/>
    <w:rsid w:val="00A25306"/>
    <w:rsid w:val="00A253D3"/>
    <w:rsid w:val="00A253DB"/>
    <w:rsid w:val="00A25438"/>
    <w:rsid w:val="00A254F5"/>
    <w:rsid w:val="00A2550D"/>
    <w:rsid w:val="00A255C2"/>
    <w:rsid w:val="00A25672"/>
    <w:rsid w:val="00A256FC"/>
    <w:rsid w:val="00A257A3"/>
    <w:rsid w:val="00A258AA"/>
    <w:rsid w:val="00A25A93"/>
    <w:rsid w:val="00A25BE2"/>
    <w:rsid w:val="00A25C81"/>
    <w:rsid w:val="00A25D2C"/>
    <w:rsid w:val="00A25DC2"/>
    <w:rsid w:val="00A25EA0"/>
    <w:rsid w:val="00A25FFE"/>
    <w:rsid w:val="00A26142"/>
    <w:rsid w:val="00A26151"/>
    <w:rsid w:val="00A2630C"/>
    <w:rsid w:val="00A264A7"/>
    <w:rsid w:val="00A264AD"/>
    <w:rsid w:val="00A26530"/>
    <w:rsid w:val="00A2658D"/>
    <w:rsid w:val="00A26796"/>
    <w:rsid w:val="00A267E5"/>
    <w:rsid w:val="00A26A92"/>
    <w:rsid w:val="00A26B51"/>
    <w:rsid w:val="00A26F78"/>
    <w:rsid w:val="00A270D6"/>
    <w:rsid w:val="00A27130"/>
    <w:rsid w:val="00A2739D"/>
    <w:rsid w:val="00A273B3"/>
    <w:rsid w:val="00A27426"/>
    <w:rsid w:val="00A2763C"/>
    <w:rsid w:val="00A277F6"/>
    <w:rsid w:val="00A27A73"/>
    <w:rsid w:val="00A27B43"/>
    <w:rsid w:val="00A27BBE"/>
    <w:rsid w:val="00A27BF8"/>
    <w:rsid w:val="00A27CBC"/>
    <w:rsid w:val="00A27D62"/>
    <w:rsid w:val="00A27E60"/>
    <w:rsid w:val="00A27E68"/>
    <w:rsid w:val="00A27E8C"/>
    <w:rsid w:val="00A27F2F"/>
    <w:rsid w:val="00A27F51"/>
    <w:rsid w:val="00A30077"/>
    <w:rsid w:val="00A300F8"/>
    <w:rsid w:val="00A30163"/>
    <w:rsid w:val="00A3019D"/>
    <w:rsid w:val="00A303E1"/>
    <w:rsid w:val="00A304FC"/>
    <w:rsid w:val="00A30813"/>
    <w:rsid w:val="00A3085A"/>
    <w:rsid w:val="00A30A5B"/>
    <w:rsid w:val="00A30CC2"/>
    <w:rsid w:val="00A30DA1"/>
    <w:rsid w:val="00A30E1D"/>
    <w:rsid w:val="00A30EA7"/>
    <w:rsid w:val="00A3107D"/>
    <w:rsid w:val="00A313BF"/>
    <w:rsid w:val="00A314FD"/>
    <w:rsid w:val="00A316BB"/>
    <w:rsid w:val="00A31703"/>
    <w:rsid w:val="00A31766"/>
    <w:rsid w:val="00A318D0"/>
    <w:rsid w:val="00A31B11"/>
    <w:rsid w:val="00A31B33"/>
    <w:rsid w:val="00A31B49"/>
    <w:rsid w:val="00A31CAB"/>
    <w:rsid w:val="00A31D06"/>
    <w:rsid w:val="00A31D77"/>
    <w:rsid w:val="00A31D93"/>
    <w:rsid w:val="00A31FEF"/>
    <w:rsid w:val="00A32280"/>
    <w:rsid w:val="00A323B3"/>
    <w:rsid w:val="00A3244A"/>
    <w:rsid w:val="00A32555"/>
    <w:rsid w:val="00A32ACE"/>
    <w:rsid w:val="00A32BA6"/>
    <w:rsid w:val="00A32C0D"/>
    <w:rsid w:val="00A32C80"/>
    <w:rsid w:val="00A330FD"/>
    <w:rsid w:val="00A3322E"/>
    <w:rsid w:val="00A3327B"/>
    <w:rsid w:val="00A33331"/>
    <w:rsid w:val="00A3333B"/>
    <w:rsid w:val="00A333B7"/>
    <w:rsid w:val="00A33550"/>
    <w:rsid w:val="00A336D8"/>
    <w:rsid w:val="00A337E8"/>
    <w:rsid w:val="00A33831"/>
    <w:rsid w:val="00A33968"/>
    <w:rsid w:val="00A339E7"/>
    <w:rsid w:val="00A33AC2"/>
    <w:rsid w:val="00A33E0D"/>
    <w:rsid w:val="00A340AA"/>
    <w:rsid w:val="00A34309"/>
    <w:rsid w:val="00A34399"/>
    <w:rsid w:val="00A34776"/>
    <w:rsid w:val="00A34B6B"/>
    <w:rsid w:val="00A34E7B"/>
    <w:rsid w:val="00A34EAA"/>
    <w:rsid w:val="00A34EEB"/>
    <w:rsid w:val="00A350BC"/>
    <w:rsid w:val="00A350FE"/>
    <w:rsid w:val="00A35278"/>
    <w:rsid w:val="00A352C6"/>
    <w:rsid w:val="00A352F7"/>
    <w:rsid w:val="00A353A3"/>
    <w:rsid w:val="00A354BA"/>
    <w:rsid w:val="00A354BC"/>
    <w:rsid w:val="00A35925"/>
    <w:rsid w:val="00A35A9E"/>
    <w:rsid w:val="00A35B03"/>
    <w:rsid w:val="00A35C46"/>
    <w:rsid w:val="00A360DA"/>
    <w:rsid w:val="00A36425"/>
    <w:rsid w:val="00A36486"/>
    <w:rsid w:val="00A366F6"/>
    <w:rsid w:val="00A36736"/>
    <w:rsid w:val="00A367DA"/>
    <w:rsid w:val="00A36861"/>
    <w:rsid w:val="00A36962"/>
    <w:rsid w:val="00A36D21"/>
    <w:rsid w:val="00A36ED1"/>
    <w:rsid w:val="00A373A8"/>
    <w:rsid w:val="00A37489"/>
    <w:rsid w:val="00A3760B"/>
    <w:rsid w:val="00A37896"/>
    <w:rsid w:val="00A37AD8"/>
    <w:rsid w:val="00A37AE2"/>
    <w:rsid w:val="00A37E06"/>
    <w:rsid w:val="00A37E3E"/>
    <w:rsid w:val="00A37E95"/>
    <w:rsid w:val="00A37EAD"/>
    <w:rsid w:val="00A37FF7"/>
    <w:rsid w:val="00A40021"/>
    <w:rsid w:val="00A4004B"/>
    <w:rsid w:val="00A400D5"/>
    <w:rsid w:val="00A403D3"/>
    <w:rsid w:val="00A4047D"/>
    <w:rsid w:val="00A4076B"/>
    <w:rsid w:val="00A40B8B"/>
    <w:rsid w:val="00A4106A"/>
    <w:rsid w:val="00A41106"/>
    <w:rsid w:val="00A413C3"/>
    <w:rsid w:val="00A41461"/>
    <w:rsid w:val="00A4147E"/>
    <w:rsid w:val="00A41601"/>
    <w:rsid w:val="00A416E5"/>
    <w:rsid w:val="00A41791"/>
    <w:rsid w:val="00A418D3"/>
    <w:rsid w:val="00A41969"/>
    <w:rsid w:val="00A41970"/>
    <w:rsid w:val="00A41AF0"/>
    <w:rsid w:val="00A41B7E"/>
    <w:rsid w:val="00A41CFB"/>
    <w:rsid w:val="00A41E46"/>
    <w:rsid w:val="00A423BC"/>
    <w:rsid w:val="00A42473"/>
    <w:rsid w:val="00A42665"/>
    <w:rsid w:val="00A42A11"/>
    <w:rsid w:val="00A42C4D"/>
    <w:rsid w:val="00A42D7F"/>
    <w:rsid w:val="00A42E65"/>
    <w:rsid w:val="00A42ECB"/>
    <w:rsid w:val="00A42FF2"/>
    <w:rsid w:val="00A43350"/>
    <w:rsid w:val="00A4346C"/>
    <w:rsid w:val="00A4347A"/>
    <w:rsid w:val="00A434A1"/>
    <w:rsid w:val="00A434A7"/>
    <w:rsid w:val="00A435E3"/>
    <w:rsid w:val="00A43743"/>
    <w:rsid w:val="00A43797"/>
    <w:rsid w:val="00A43858"/>
    <w:rsid w:val="00A43939"/>
    <w:rsid w:val="00A43A0B"/>
    <w:rsid w:val="00A43AA9"/>
    <w:rsid w:val="00A43B1C"/>
    <w:rsid w:val="00A43B64"/>
    <w:rsid w:val="00A43C34"/>
    <w:rsid w:val="00A43D9B"/>
    <w:rsid w:val="00A43F37"/>
    <w:rsid w:val="00A44151"/>
    <w:rsid w:val="00A44783"/>
    <w:rsid w:val="00A447C8"/>
    <w:rsid w:val="00A44806"/>
    <w:rsid w:val="00A44EEA"/>
    <w:rsid w:val="00A451D0"/>
    <w:rsid w:val="00A4538F"/>
    <w:rsid w:val="00A455CD"/>
    <w:rsid w:val="00A45A48"/>
    <w:rsid w:val="00A45C51"/>
    <w:rsid w:val="00A45D90"/>
    <w:rsid w:val="00A45F6E"/>
    <w:rsid w:val="00A461ED"/>
    <w:rsid w:val="00A463BD"/>
    <w:rsid w:val="00A46402"/>
    <w:rsid w:val="00A4644F"/>
    <w:rsid w:val="00A46504"/>
    <w:rsid w:val="00A4650D"/>
    <w:rsid w:val="00A46AEB"/>
    <w:rsid w:val="00A46C3E"/>
    <w:rsid w:val="00A46C68"/>
    <w:rsid w:val="00A46E28"/>
    <w:rsid w:val="00A46EC5"/>
    <w:rsid w:val="00A4711F"/>
    <w:rsid w:val="00A47356"/>
    <w:rsid w:val="00A473F5"/>
    <w:rsid w:val="00A4752C"/>
    <w:rsid w:val="00A47537"/>
    <w:rsid w:val="00A4768F"/>
    <w:rsid w:val="00A47750"/>
    <w:rsid w:val="00A477FE"/>
    <w:rsid w:val="00A4786C"/>
    <w:rsid w:val="00A47892"/>
    <w:rsid w:val="00A47CDB"/>
    <w:rsid w:val="00A47E02"/>
    <w:rsid w:val="00A47E05"/>
    <w:rsid w:val="00A47EF8"/>
    <w:rsid w:val="00A50298"/>
    <w:rsid w:val="00A50485"/>
    <w:rsid w:val="00A507AE"/>
    <w:rsid w:val="00A5085C"/>
    <w:rsid w:val="00A508DE"/>
    <w:rsid w:val="00A50A4F"/>
    <w:rsid w:val="00A50E2F"/>
    <w:rsid w:val="00A50EFF"/>
    <w:rsid w:val="00A50F45"/>
    <w:rsid w:val="00A51159"/>
    <w:rsid w:val="00A51186"/>
    <w:rsid w:val="00A5162C"/>
    <w:rsid w:val="00A518A4"/>
    <w:rsid w:val="00A519B5"/>
    <w:rsid w:val="00A51A72"/>
    <w:rsid w:val="00A51A9C"/>
    <w:rsid w:val="00A51C2C"/>
    <w:rsid w:val="00A520CD"/>
    <w:rsid w:val="00A521AA"/>
    <w:rsid w:val="00A52302"/>
    <w:rsid w:val="00A523B2"/>
    <w:rsid w:val="00A523E3"/>
    <w:rsid w:val="00A524FB"/>
    <w:rsid w:val="00A5263B"/>
    <w:rsid w:val="00A52690"/>
    <w:rsid w:val="00A526BC"/>
    <w:rsid w:val="00A5274A"/>
    <w:rsid w:val="00A5292B"/>
    <w:rsid w:val="00A52939"/>
    <w:rsid w:val="00A52B6B"/>
    <w:rsid w:val="00A52CEE"/>
    <w:rsid w:val="00A52EBE"/>
    <w:rsid w:val="00A5320A"/>
    <w:rsid w:val="00A5362A"/>
    <w:rsid w:val="00A536D7"/>
    <w:rsid w:val="00A5386C"/>
    <w:rsid w:val="00A53D2E"/>
    <w:rsid w:val="00A53EBA"/>
    <w:rsid w:val="00A53FBE"/>
    <w:rsid w:val="00A54005"/>
    <w:rsid w:val="00A5403A"/>
    <w:rsid w:val="00A54266"/>
    <w:rsid w:val="00A544E7"/>
    <w:rsid w:val="00A545B5"/>
    <w:rsid w:val="00A54620"/>
    <w:rsid w:val="00A546FF"/>
    <w:rsid w:val="00A54BED"/>
    <w:rsid w:val="00A54EF2"/>
    <w:rsid w:val="00A54F37"/>
    <w:rsid w:val="00A54FD5"/>
    <w:rsid w:val="00A550C6"/>
    <w:rsid w:val="00A55287"/>
    <w:rsid w:val="00A55AFE"/>
    <w:rsid w:val="00A55B99"/>
    <w:rsid w:val="00A55ED8"/>
    <w:rsid w:val="00A55F33"/>
    <w:rsid w:val="00A560D4"/>
    <w:rsid w:val="00A56281"/>
    <w:rsid w:val="00A56283"/>
    <w:rsid w:val="00A565E5"/>
    <w:rsid w:val="00A5696E"/>
    <w:rsid w:val="00A569BC"/>
    <w:rsid w:val="00A56AE8"/>
    <w:rsid w:val="00A56AFE"/>
    <w:rsid w:val="00A56BBF"/>
    <w:rsid w:val="00A56CA4"/>
    <w:rsid w:val="00A56ECC"/>
    <w:rsid w:val="00A56F50"/>
    <w:rsid w:val="00A57716"/>
    <w:rsid w:val="00A57D43"/>
    <w:rsid w:val="00A57EAA"/>
    <w:rsid w:val="00A57EE5"/>
    <w:rsid w:val="00A60026"/>
    <w:rsid w:val="00A60106"/>
    <w:rsid w:val="00A60131"/>
    <w:rsid w:val="00A601FC"/>
    <w:rsid w:val="00A60293"/>
    <w:rsid w:val="00A60327"/>
    <w:rsid w:val="00A60364"/>
    <w:rsid w:val="00A60796"/>
    <w:rsid w:val="00A609ED"/>
    <w:rsid w:val="00A60B3A"/>
    <w:rsid w:val="00A60B7A"/>
    <w:rsid w:val="00A60B8A"/>
    <w:rsid w:val="00A60BA1"/>
    <w:rsid w:val="00A61088"/>
    <w:rsid w:val="00A61246"/>
    <w:rsid w:val="00A612AF"/>
    <w:rsid w:val="00A61312"/>
    <w:rsid w:val="00A614B7"/>
    <w:rsid w:val="00A61634"/>
    <w:rsid w:val="00A61656"/>
    <w:rsid w:val="00A61686"/>
    <w:rsid w:val="00A6179F"/>
    <w:rsid w:val="00A61959"/>
    <w:rsid w:val="00A61A6C"/>
    <w:rsid w:val="00A61BD4"/>
    <w:rsid w:val="00A61C76"/>
    <w:rsid w:val="00A61CF6"/>
    <w:rsid w:val="00A61D73"/>
    <w:rsid w:val="00A61F60"/>
    <w:rsid w:val="00A6202F"/>
    <w:rsid w:val="00A62107"/>
    <w:rsid w:val="00A62229"/>
    <w:rsid w:val="00A6233C"/>
    <w:rsid w:val="00A626F5"/>
    <w:rsid w:val="00A62706"/>
    <w:rsid w:val="00A628A4"/>
    <w:rsid w:val="00A62B94"/>
    <w:rsid w:val="00A62C1A"/>
    <w:rsid w:val="00A62CFE"/>
    <w:rsid w:val="00A62D80"/>
    <w:rsid w:val="00A62D8B"/>
    <w:rsid w:val="00A62E4C"/>
    <w:rsid w:val="00A62ED4"/>
    <w:rsid w:val="00A62EEF"/>
    <w:rsid w:val="00A63061"/>
    <w:rsid w:val="00A631B4"/>
    <w:rsid w:val="00A631BF"/>
    <w:rsid w:val="00A632C3"/>
    <w:rsid w:val="00A638FB"/>
    <w:rsid w:val="00A6390F"/>
    <w:rsid w:val="00A63A95"/>
    <w:rsid w:val="00A63ACE"/>
    <w:rsid w:val="00A63B95"/>
    <w:rsid w:val="00A63BF2"/>
    <w:rsid w:val="00A63DC5"/>
    <w:rsid w:val="00A63E92"/>
    <w:rsid w:val="00A63F32"/>
    <w:rsid w:val="00A642FE"/>
    <w:rsid w:val="00A64353"/>
    <w:rsid w:val="00A643BF"/>
    <w:rsid w:val="00A645B7"/>
    <w:rsid w:val="00A64768"/>
    <w:rsid w:val="00A64806"/>
    <w:rsid w:val="00A64AA8"/>
    <w:rsid w:val="00A64B8D"/>
    <w:rsid w:val="00A64C23"/>
    <w:rsid w:val="00A64E76"/>
    <w:rsid w:val="00A64F29"/>
    <w:rsid w:val="00A6503D"/>
    <w:rsid w:val="00A65365"/>
    <w:rsid w:val="00A65490"/>
    <w:rsid w:val="00A654E8"/>
    <w:rsid w:val="00A65518"/>
    <w:rsid w:val="00A6574A"/>
    <w:rsid w:val="00A6597E"/>
    <w:rsid w:val="00A65CB2"/>
    <w:rsid w:val="00A65E7A"/>
    <w:rsid w:val="00A66072"/>
    <w:rsid w:val="00A661A4"/>
    <w:rsid w:val="00A661B1"/>
    <w:rsid w:val="00A661D8"/>
    <w:rsid w:val="00A6646B"/>
    <w:rsid w:val="00A66670"/>
    <w:rsid w:val="00A66763"/>
    <w:rsid w:val="00A668A7"/>
    <w:rsid w:val="00A66AB2"/>
    <w:rsid w:val="00A66B28"/>
    <w:rsid w:val="00A66C08"/>
    <w:rsid w:val="00A66C9D"/>
    <w:rsid w:val="00A66CB6"/>
    <w:rsid w:val="00A66F78"/>
    <w:rsid w:val="00A6724D"/>
    <w:rsid w:val="00A67513"/>
    <w:rsid w:val="00A676A6"/>
    <w:rsid w:val="00A676C4"/>
    <w:rsid w:val="00A6771E"/>
    <w:rsid w:val="00A6781F"/>
    <w:rsid w:val="00A67A22"/>
    <w:rsid w:val="00A67ADE"/>
    <w:rsid w:val="00A67B17"/>
    <w:rsid w:val="00A67C9B"/>
    <w:rsid w:val="00A70197"/>
    <w:rsid w:val="00A7028D"/>
    <w:rsid w:val="00A70442"/>
    <w:rsid w:val="00A709A7"/>
    <w:rsid w:val="00A709C8"/>
    <w:rsid w:val="00A70ADB"/>
    <w:rsid w:val="00A70CE0"/>
    <w:rsid w:val="00A70E71"/>
    <w:rsid w:val="00A7115B"/>
    <w:rsid w:val="00A711BF"/>
    <w:rsid w:val="00A71288"/>
    <w:rsid w:val="00A71359"/>
    <w:rsid w:val="00A71365"/>
    <w:rsid w:val="00A7144F"/>
    <w:rsid w:val="00A71566"/>
    <w:rsid w:val="00A71667"/>
    <w:rsid w:val="00A716EE"/>
    <w:rsid w:val="00A719AD"/>
    <w:rsid w:val="00A71AD6"/>
    <w:rsid w:val="00A71D69"/>
    <w:rsid w:val="00A72144"/>
    <w:rsid w:val="00A72169"/>
    <w:rsid w:val="00A72233"/>
    <w:rsid w:val="00A72308"/>
    <w:rsid w:val="00A723D6"/>
    <w:rsid w:val="00A72691"/>
    <w:rsid w:val="00A72693"/>
    <w:rsid w:val="00A72810"/>
    <w:rsid w:val="00A72A51"/>
    <w:rsid w:val="00A72A5B"/>
    <w:rsid w:val="00A72B06"/>
    <w:rsid w:val="00A72B32"/>
    <w:rsid w:val="00A72B4D"/>
    <w:rsid w:val="00A72C17"/>
    <w:rsid w:val="00A72D78"/>
    <w:rsid w:val="00A72EA0"/>
    <w:rsid w:val="00A72F8D"/>
    <w:rsid w:val="00A73033"/>
    <w:rsid w:val="00A730F6"/>
    <w:rsid w:val="00A73181"/>
    <w:rsid w:val="00A7323A"/>
    <w:rsid w:val="00A732A7"/>
    <w:rsid w:val="00A73394"/>
    <w:rsid w:val="00A733F0"/>
    <w:rsid w:val="00A737F6"/>
    <w:rsid w:val="00A73804"/>
    <w:rsid w:val="00A738E0"/>
    <w:rsid w:val="00A73BC4"/>
    <w:rsid w:val="00A73C6F"/>
    <w:rsid w:val="00A74072"/>
    <w:rsid w:val="00A7420A"/>
    <w:rsid w:val="00A74292"/>
    <w:rsid w:val="00A7429F"/>
    <w:rsid w:val="00A742C5"/>
    <w:rsid w:val="00A74420"/>
    <w:rsid w:val="00A744E2"/>
    <w:rsid w:val="00A746E9"/>
    <w:rsid w:val="00A74774"/>
    <w:rsid w:val="00A7480B"/>
    <w:rsid w:val="00A74C58"/>
    <w:rsid w:val="00A74DE4"/>
    <w:rsid w:val="00A74E40"/>
    <w:rsid w:val="00A75034"/>
    <w:rsid w:val="00A7503A"/>
    <w:rsid w:val="00A75301"/>
    <w:rsid w:val="00A754AB"/>
    <w:rsid w:val="00A75540"/>
    <w:rsid w:val="00A75607"/>
    <w:rsid w:val="00A75F5E"/>
    <w:rsid w:val="00A763EC"/>
    <w:rsid w:val="00A76607"/>
    <w:rsid w:val="00A76608"/>
    <w:rsid w:val="00A76716"/>
    <w:rsid w:val="00A7686B"/>
    <w:rsid w:val="00A768F2"/>
    <w:rsid w:val="00A769C2"/>
    <w:rsid w:val="00A769E4"/>
    <w:rsid w:val="00A76A7E"/>
    <w:rsid w:val="00A76AB8"/>
    <w:rsid w:val="00A76CAF"/>
    <w:rsid w:val="00A76CB3"/>
    <w:rsid w:val="00A76D1A"/>
    <w:rsid w:val="00A770B3"/>
    <w:rsid w:val="00A7748B"/>
    <w:rsid w:val="00A77600"/>
    <w:rsid w:val="00A7769D"/>
    <w:rsid w:val="00A7776B"/>
    <w:rsid w:val="00A77C46"/>
    <w:rsid w:val="00A77E0C"/>
    <w:rsid w:val="00A8016D"/>
    <w:rsid w:val="00A80269"/>
    <w:rsid w:val="00A80498"/>
    <w:rsid w:val="00A80535"/>
    <w:rsid w:val="00A80560"/>
    <w:rsid w:val="00A806AA"/>
    <w:rsid w:val="00A80864"/>
    <w:rsid w:val="00A808AB"/>
    <w:rsid w:val="00A80941"/>
    <w:rsid w:val="00A80ACF"/>
    <w:rsid w:val="00A80FF1"/>
    <w:rsid w:val="00A81425"/>
    <w:rsid w:val="00A81526"/>
    <w:rsid w:val="00A81583"/>
    <w:rsid w:val="00A817F6"/>
    <w:rsid w:val="00A8184F"/>
    <w:rsid w:val="00A81A3E"/>
    <w:rsid w:val="00A81C4B"/>
    <w:rsid w:val="00A81CC7"/>
    <w:rsid w:val="00A820B8"/>
    <w:rsid w:val="00A822A5"/>
    <w:rsid w:val="00A8247E"/>
    <w:rsid w:val="00A8254D"/>
    <w:rsid w:val="00A825FB"/>
    <w:rsid w:val="00A826FD"/>
    <w:rsid w:val="00A8278B"/>
    <w:rsid w:val="00A827CB"/>
    <w:rsid w:val="00A82832"/>
    <w:rsid w:val="00A828BF"/>
    <w:rsid w:val="00A82941"/>
    <w:rsid w:val="00A82971"/>
    <w:rsid w:val="00A82B09"/>
    <w:rsid w:val="00A82F47"/>
    <w:rsid w:val="00A82FC1"/>
    <w:rsid w:val="00A833AE"/>
    <w:rsid w:val="00A8344A"/>
    <w:rsid w:val="00A83520"/>
    <w:rsid w:val="00A836A3"/>
    <w:rsid w:val="00A83822"/>
    <w:rsid w:val="00A838BA"/>
    <w:rsid w:val="00A83AA2"/>
    <w:rsid w:val="00A83C57"/>
    <w:rsid w:val="00A83EC5"/>
    <w:rsid w:val="00A84090"/>
    <w:rsid w:val="00A840A0"/>
    <w:rsid w:val="00A84141"/>
    <w:rsid w:val="00A84213"/>
    <w:rsid w:val="00A84284"/>
    <w:rsid w:val="00A8428E"/>
    <w:rsid w:val="00A842BF"/>
    <w:rsid w:val="00A84541"/>
    <w:rsid w:val="00A84558"/>
    <w:rsid w:val="00A84C52"/>
    <w:rsid w:val="00A84CD1"/>
    <w:rsid w:val="00A84FBB"/>
    <w:rsid w:val="00A8505F"/>
    <w:rsid w:val="00A850EE"/>
    <w:rsid w:val="00A851E6"/>
    <w:rsid w:val="00A8532A"/>
    <w:rsid w:val="00A856A0"/>
    <w:rsid w:val="00A8571F"/>
    <w:rsid w:val="00A85A45"/>
    <w:rsid w:val="00A85AE0"/>
    <w:rsid w:val="00A85E1F"/>
    <w:rsid w:val="00A85E94"/>
    <w:rsid w:val="00A85F64"/>
    <w:rsid w:val="00A8600D"/>
    <w:rsid w:val="00A8607D"/>
    <w:rsid w:val="00A860EE"/>
    <w:rsid w:val="00A86195"/>
    <w:rsid w:val="00A861FE"/>
    <w:rsid w:val="00A866C1"/>
    <w:rsid w:val="00A867C4"/>
    <w:rsid w:val="00A867EB"/>
    <w:rsid w:val="00A86B37"/>
    <w:rsid w:val="00A86B42"/>
    <w:rsid w:val="00A86D1F"/>
    <w:rsid w:val="00A86D76"/>
    <w:rsid w:val="00A86D98"/>
    <w:rsid w:val="00A86DF7"/>
    <w:rsid w:val="00A87039"/>
    <w:rsid w:val="00A87225"/>
    <w:rsid w:val="00A87313"/>
    <w:rsid w:val="00A878F1"/>
    <w:rsid w:val="00A87B25"/>
    <w:rsid w:val="00A87B2A"/>
    <w:rsid w:val="00A87B60"/>
    <w:rsid w:val="00A87D84"/>
    <w:rsid w:val="00A90044"/>
    <w:rsid w:val="00A90059"/>
    <w:rsid w:val="00A90132"/>
    <w:rsid w:val="00A902CA"/>
    <w:rsid w:val="00A903FF"/>
    <w:rsid w:val="00A90426"/>
    <w:rsid w:val="00A90636"/>
    <w:rsid w:val="00A90867"/>
    <w:rsid w:val="00A909D4"/>
    <w:rsid w:val="00A909F2"/>
    <w:rsid w:val="00A90A40"/>
    <w:rsid w:val="00A90C03"/>
    <w:rsid w:val="00A90D5A"/>
    <w:rsid w:val="00A90D85"/>
    <w:rsid w:val="00A90EA3"/>
    <w:rsid w:val="00A9123F"/>
    <w:rsid w:val="00A914F7"/>
    <w:rsid w:val="00A9187C"/>
    <w:rsid w:val="00A918D1"/>
    <w:rsid w:val="00A91AF5"/>
    <w:rsid w:val="00A91C8D"/>
    <w:rsid w:val="00A91D17"/>
    <w:rsid w:val="00A91D49"/>
    <w:rsid w:val="00A91D94"/>
    <w:rsid w:val="00A9214C"/>
    <w:rsid w:val="00A92202"/>
    <w:rsid w:val="00A92273"/>
    <w:rsid w:val="00A92524"/>
    <w:rsid w:val="00A92724"/>
    <w:rsid w:val="00A928C9"/>
    <w:rsid w:val="00A92ECD"/>
    <w:rsid w:val="00A930EC"/>
    <w:rsid w:val="00A9313F"/>
    <w:rsid w:val="00A931C1"/>
    <w:rsid w:val="00A93262"/>
    <w:rsid w:val="00A93287"/>
    <w:rsid w:val="00A93321"/>
    <w:rsid w:val="00A933E3"/>
    <w:rsid w:val="00A935D4"/>
    <w:rsid w:val="00A93680"/>
    <w:rsid w:val="00A937B7"/>
    <w:rsid w:val="00A93814"/>
    <w:rsid w:val="00A938B9"/>
    <w:rsid w:val="00A938BB"/>
    <w:rsid w:val="00A939AD"/>
    <w:rsid w:val="00A93BF0"/>
    <w:rsid w:val="00A93DC9"/>
    <w:rsid w:val="00A93DF9"/>
    <w:rsid w:val="00A94035"/>
    <w:rsid w:val="00A940E4"/>
    <w:rsid w:val="00A9416E"/>
    <w:rsid w:val="00A9417F"/>
    <w:rsid w:val="00A94664"/>
    <w:rsid w:val="00A94750"/>
    <w:rsid w:val="00A948E2"/>
    <w:rsid w:val="00A948E6"/>
    <w:rsid w:val="00A94926"/>
    <w:rsid w:val="00A94A3F"/>
    <w:rsid w:val="00A94BD6"/>
    <w:rsid w:val="00A94D4F"/>
    <w:rsid w:val="00A94DF6"/>
    <w:rsid w:val="00A94EDD"/>
    <w:rsid w:val="00A9520E"/>
    <w:rsid w:val="00A95241"/>
    <w:rsid w:val="00A952D6"/>
    <w:rsid w:val="00A956F6"/>
    <w:rsid w:val="00A9577A"/>
    <w:rsid w:val="00A95950"/>
    <w:rsid w:val="00A9598E"/>
    <w:rsid w:val="00A959A6"/>
    <w:rsid w:val="00A959AD"/>
    <w:rsid w:val="00A959D5"/>
    <w:rsid w:val="00A95A7F"/>
    <w:rsid w:val="00A95BDB"/>
    <w:rsid w:val="00A95C5A"/>
    <w:rsid w:val="00A95D65"/>
    <w:rsid w:val="00A95E28"/>
    <w:rsid w:val="00A95E3C"/>
    <w:rsid w:val="00A95F22"/>
    <w:rsid w:val="00A96022"/>
    <w:rsid w:val="00A9608B"/>
    <w:rsid w:val="00A9617E"/>
    <w:rsid w:val="00A961B4"/>
    <w:rsid w:val="00A961BF"/>
    <w:rsid w:val="00A9651B"/>
    <w:rsid w:val="00A965B6"/>
    <w:rsid w:val="00A965F3"/>
    <w:rsid w:val="00A965F4"/>
    <w:rsid w:val="00A96653"/>
    <w:rsid w:val="00A96666"/>
    <w:rsid w:val="00A9671E"/>
    <w:rsid w:val="00A96A70"/>
    <w:rsid w:val="00A96D1F"/>
    <w:rsid w:val="00A97231"/>
    <w:rsid w:val="00A975CD"/>
    <w:rsid w:val="00A97A72"/>
    <w:rsid w:val="00A97AE0"/>
    <w:rsid w:val="00A97C2C"/>
    <w:rsid w:val="00A97D0F"/>
    <w:rsid w:val="00A97D8D"/>
    <w:rsid w:val="00AA0332"/>
    <w:rsid w:val="00AA073B"/>
    <w:rsid w:val="00AA0747"/>
    <w:rsid w:val="00AA0A6E"/>
    <w:rsid w:val="00AA0BDA"/>
    <w:rsid w:val="00AA0C20"/>
    <w:rsid w:val="00AA0D74"/>
    <w:rsid w:val="00AA0F3C"/>
    <w:rsid w:val="00AA1320"/>
    <w:rsid w:val="00AA13CD"/>
    <w:rsid w:val="00AA1487"/>
    <w:rsid w:val="00AA1734"/>
    <w:rsid w:val="00AA1849"/>
    <w:rsid w:val="00AA1CF7"/>
    <w:rsid w:val="00AA1D1D"/>
    <w:rsid w:val="00AA1DFC"/>
    <w:rsid w:val="00AA209C"/>
    <w:rsid w:val="00AA22DC"/>
    <w:rsid w:val="00AA2548"/>
    <w:rsid w:val="00AA28D1"/>
    <w:rsid w:val="00AA2A1D"/>
    <w:rsid w:val="00AA2AC3"/>
    <w:rsid w:val="00AA2E96"/>
    <w:rsid w:val="00AA3294"/>
    <w:rsid w:val="00AA32A9"/>
    <w:rsid w:val="00AA3585"/>
    <w:rsid w:val="00AA379C"/>
    <w:rsid w:val="00AA3858"/>
    <w:rsid w:val="00AA39B6"/>
    <w:rsid w:val="00AA3A51"/>
    <w:rsid w:val="00AA3A5C"/>
    <w:rsid w:val="00AA3BFF"/>
    <w:rsid w:val="00AA3CB0"/>
    <w:rsid w:val="00AA3D6A"/>
    <w:rsid w:val="00AA3F23"/>
    <w:rsid w:val="00AA3F71"/>
    <w:rsid w:val="00AA400F"/>
    <w:rsid w:val="00AA417C"/>
    <w:rsid w:val="00AA4735"/>
    <w:rsid w:val="00AA47B9"/>
    <w:rsid w:val="00AA48DE"/>
    <w:rsid w:val="00AA4983"/>
    <w:rsid w:val="00AA4EDC"/>
    <w:rsid w:val="00AA5086"/>
    <w:rsid w:val="00AA5498"/>
    <w:rsid w:val="00AA5506"/>
    <w:rsid w:val="00AA55AC"/>
    <w:rsid w:val="00AA56A9"/>
    <w:rsid w:val="00AA572F"/>
    <w:rsid w:val="00AA5869"/>
    <w:rsid w:val="00AA58F4"/>
    <w:rsid w:val="00AA5959"/>
    <w:rsid w:val="00AA5C4C"/>
    <w:rsid w:val="00AA5F22"/>
    <w:rsid w:val="00AA606C"/>
    <w:rsid w:val="00AA6073"/>
    <w:rsid w:val="00AA60CD"/>
    <w:rsid w:val="00AA60F3"/>
    <w:rsid w:val="00AA61B2"/>
    <w:rsid w:val="00AA61D7"/>
    <w:rsid w:val="00AA6281"/>
    <w:rsid w:val="00AA62DA"/>
    <w:rsid w:val="00AA62E8"/>
    <w:rsid w:val="00AA63FC"/>
    <w:rsid w:val="00AA65A1"/>
    <w:rsid w:val="00AA65B6"/>
    <w:rsid w:val="00AA65D4"/>
    <w:rsid w:val="00AA6694"/>
    <w:rsid w:val="00AA678F"/>
    <w:rsid w:val="00AA6875"/>
    <w:rsid w:val="00AA694B"/>
    <w:rsid w:val="00AA69E9"/>
    <w:rsid w:val="00AA6BB5"/>
    <w:rsid w:val="00AA6D02"/>
    <w:rsid w:val="00AA6DD0"/>
    <w:rsid w:val="00AA6DE2"/>
    <w:rsid w:val="00AA70E8"/>
    <w:rsid w:val="00AA71F9"/>
    <w:rsid w:val="00AA728D"/>
    <w:rsid w:val="00AA72C7"/>
    <w:rsid w:val="00AA732F"/>
    <w:rsid w:val="00AA7464"/>
    <w:rsid w:val="00AA76BD"/>
    <w:rsid w:val="00AA7796"/>
    <w:rsid w:val="00AA7848"/>
    <w:rsid w:val="00AA7867"/>
    <w:rsid w:val="00AA7977"/>
    <w:rsid w:val="00AA7A1C"/>
    <w:rsid w:val="00AA7A40"/>
    <w:rsid w:val="00AA7DE9"/>
    <w:rsid w:val="00AB0131"/>
    <w:rsid w:val="00AB0402"/>
    <w:rsid w:val="00AB043F"/>
    <w:rsid w:val="00AB054E"/>
    <w:rsid w:val="00AB05C5"/>
    <w:rsid w:val="00AB067F"/>
    <w:rsid w:val="00AB089D"/>
    <w:rsid w:val="00AB08F2"/>
    <w:rsid w:val="00AB091F"/>
    <w:rsid w:val="00AB0976"/>
    <w:rsid w:val="00AB098A"/>
    <w:rsid w:val="00AB0A4E"/>
    <w:rsid w:val="00AB0DF2"/>
    <w:rsid w:val="00AB0E5F"/>
    <w:rsid w:val="00AB1096"/>
    <w:rsid w:val="00AB1153"/>
    <w:rsid w:val="00AB118B"/>
    <w:rsid w:val="00AB128A"/>
    <w:rsid w:val="00AB135C"/>
    <w:rsid w:val="00AB1378"/>
    <w:rsid w:val="00AB145F"/>
    <w:rsid w:val="00AB155B"/>
    <w:rsid w:val="00AB1BF1"/>
    <w:rsid w:val="00AB1E37"/>
    <w:rsid w:val="00AB2087"/>
    <w:rsid w:val="00AB23F3"/>
    <w:rsid w:val="00AB2499"/>
    <w:rsid w:val="00AB25C6"/>
    <w:rsid w:val="00AB25E0"/>
    <w:rsid w:val="00AB2759"/>
    <w:rsid w:val="00AB2ACB"/>
    <w:rsid w:val="00AB2AEE"/>
    <w:rsid w:val="00AB2B6D"/>
    <w:rsid w:val="00AB2D63"/>
    <w:rsid w:val="00AB2DC0"/>
    <w:rsid w:val="00AB2E07"/>
    <w:rsid w:val="00AB2E4E"/>
    <w:rsid w:val="00AB2F26"/>
    <w:rsid w:val="00AB3123"/>
    <w:rsid w:val="00AB3148"/>
    <w:rsid w:val="00AB31FF"/>
    <w:rsid w:val="00AB3441"/>
    <w:rsid w:val="00AB3A31"/>
    <w:rsid w:val="00AB3DCB"/>
    <w:rsid w:val="00AB40DD"/>
    <w:rsid w:val="00AB439E"/>
    <w:rsid w:val="00AB44C0"/>
    <w:rsid w:val="00AB4506"/>
    <w:rsid w:val="00AB4586"/>
    <w:rsid w:val="00AB465E"/>
    <w:rsid w:val="00AB4704"/>
    <w:rsid w:val="00AB4719"/>
    <w:rsid w:val="00AB4865"/>
    <w:rsid w:val="00AB4C6B"/>
    <w:rsid w:val="00AB4D1E"/>
    <w:rsid w:val="00AB4D27"/>
    <w:rsid w:val="00AB53C1"/>
    <w:rsid w:val="00AB54CF"/>
    <w:rsid w:val="00AB562C"/>
    <w:rsid w:val="00AB571A"/>
    <w:rsid w:val="00AB598E"/>
    <w:rsid w:val="00AB59D2"/>
    <w:rsid w:val="00AB5E3E"/>
    <w:rsid w:val="00AB5FA3"/>
    <w:rsid w:val="00AB6033"/>
    <w:rsid w:val="00AB6056"/>
    <w:rsid w:val="00AB620D"/>
    <w:rsid w:val="00AB6571"/>
    <w:rsid w:val="00AB6627"/>
    <w:rsid w:val="00AB67AC"/>
    <w:rsid w:val="00AB67FC"/>
    <w:rsid w:val="00AB69B1"/>
    <w:rsid w:val="00AB69EF"/>
    <w:rsid w:val="00AB6A78"/>
    <w:rsid w:val="00AB6AA5"/>
    <w:rsid w:val="00AB6B6F"/>
    <w:rsid w:val="00AB6BD3"/>
    <w:rsid w:val="00AB6DA0"/>
    <w:rsid w:val="00AB7014"/>
    <w:rsid w:val="00AB71BE"/>
    <w:rsid w:val="00AB73AD"/>
    <w:rsid w:val="00AB73DA"/>
    <w:rsid w:val="00AB757C"/>
    <w:rsid w:val="00AB758C"/>
    <w:rsid w:val="00AB764B"/>
    <w:rsid w:val="00AB766A"/>
    <w:rsid w:val="00AB76DD"/>
    <w:rsid w:val="00AB7737"/>
    <w:rsid w:val="00AB773F"/>
    <w:rsid w:val="00AB783A"/>
    <w:rsid w:val="00AB7A66"/>
    <w:rsid w:val="00AB7B29"/>
    <w:rsid w:val="00AB7D48"/>
    <w:rsid w:val="00AB7F14"/>
    <w:rsid w:val="00AB7F84"/>
    <w:rsid w:val="00AC003E"/>
    <w:rsid w:val="00AC0119"/>
    <w:rsid w:val="00AC016F"/>
    <w:rsid w:val="00AC026E"/>
    <w:rsid w:val="00AC0299"/>
    <w:rsid w:val="00AC0358"/>
    <w:rsid w:val="00AC0369"/>
    <w:rsid w:val="00AC03AF"/>
    <w:rsid w:val="00AC03F3"/>
    <w:rsid w:val="00AC0714"/>
    <w:rsid w:val="00AC0896"/>
    <w:rsid w:val="00AC0981"/>
    <w:rsid w:val="00AC0B98"/>
    <w:rsid w:val="00AC0BC6"/>
    <w:rsid w:val="00AC0D8B"/>
    <w:rsid w:val="00AC0ECD"/>
    <w:rsid w:val="00AC0F86"/>
    <w:rsid w:val="00AC109C"/>
    <w:rsid w:val="00AC1128"/>
    <w:rsid w:val="00AC11FA"/>
    <w:rsid w:val="00AC1504"/>
    <w:rsid w:val="00AC1533"/>
    <w:rsid w:val="00AC15B1"/>
    <w:rsid w:val="00AC15E3"/>
    <w:rsid w:val="00AC1662"/>
    <w:rsid w:val="00AC180C"/>
    <w:rsid w:val="00AC1A66"/>
    <w:rsid w:val="00AC1D03"/>
    <w:rsid w:val="00AC1DD7"/>
    <w:rsid w:val="00AC1F7B"/>
    <w:rsid w:val="00AC20FB"/>
    <w:rsid w:val="00AC21DE"/>
    <w:rsid w:val="00AC2397"/>
    <w:rsid w:val="00AC2411"/>
    <w:rsid w:val="00AC252D"/>
    <w:rsid w:val="00AC2588"/>
    <w:rsid w:val="00AC296F"/>
    <w:rsid w:val="00AC2BFF"/>
    <w:rsid w:val="00AC2F0E"/>
    <w:rsid w:val="00AC32B1"/>
    <w:rsid w:val="00AC355D"/>
    <w:rsid w:val="00AC369B"/>
    <w:rsid w:val="00AC36F2"/>
    <w:rsid w:val="00AC3888"/>
    <w:rsid w:val="00AC39B0"/>
    <w:rsid w:val="00AC3A77"/>
    <w:rsid w:val="00AC3AB0"/>
    <w:rsid w:val="00AC3AD4"/>
    <w:rsid w:val="00AC3BE3"/>
    <w:rsid w:val="00AC3D5D"/>
    <w:rsid w:val="00AC3DA2"/>
    <w:rsid w:val="00AC3F0B"/>
    <w:rsid w:val="00AC40C7"/>
    <w:rsid w:val="00AC41F9"/>
    <w:rsid w:val="00AC43C2"/>
    <w:rsid w:val="00AC43C5"/>
    <w:rsid w:val="00AC44AE"/>
    <w:rsid w:val="00AC4506"/>
    <w:rsid w:val="00AC450E"/>
    <w:rsid w:val="00AC467B"/>
    <w:rsid w:val="00AC4682"/>
    <w:rsid w:val="00AC46FE"/>
    <w:rsid w:val="00AC472B"/>
    <w:rsid w:val="00AC4753"/>
    <w:rsid w:val="00AC4953"/>
    <w:rsid w:val="00AC49A3"/>
    <w:rsid w:val="00AC4A52"/>
    <w:rsid w:val="00AC4AD7"/>
    <w:rsid w:val="00AC4B44"/>
    <w:rsid w:val="00AC4BFC"/>
    <w:rsid w:val="00AC4DD4"/>
    <w:rsid w:val="00AC4E78"/>
    <w:rsid w:val="00AC5607"/>
    <w:rsid w:val="00AC5743"/>
    <w:rsid w:val="00AC57E7"/>
    <w:rsid w:val="00AC5AD8"/>
    <w:rsid w:val="00AC5B78"/>
    <w:rsid w:val="00AC5B9F"/>
    <w:rsid w:val="00AC5BAA"/>
    <w:rsid w:val="00AC5C00"/>
    <w:rsid w:val="00AC5DA2"/>
    <w:rsid w:val="00AC5E5A"/>
    <w:rsid w:val="00AC611B"/>
    <w:rsid w:val="00AC6170"/>
    <w:rsid w:val="00AC6197"/>
    <w:rsid w:val="00AC6235"/>
    <w:rsid w:val="00AC62D6"/>
    <w:rsid w:val="00AC63D6"/>
    <w:rsid w:val="00AC6486"/>
    <w:rsid w:val="00AC66CC"/>
    <w:rsid w:val="00AC6AF1"/>
    <w:rsid w:val="00AC6C19"/>
    <w:rsid w:val="00AC6E8A"/>
    <w:rsid w:val="00AC734C"/>
    <w:rsid w:val="00AC7527"/>
    <w:rsid w:val="00AC7824"/>
    <w:rsid w:val="00AC7B7E"/>
    <w:rsid w:val="00AC7BAC"/>
    <w:rsid w:val="00AC7D1C"/>
    <w:rsid w:val="00AC7DA7"/>
    <w:rsid w:val="00AC7DC1"/>
    <w:rsid w:val="00AC7DF6"/>
    <w:rsid w:val="00AC7F27"/>
    <w:rsid w:val="00AD0546"/>
    <w:rsid w:val="00AD0611"/>
    <w:rsid w:val="00AD0657"/>
    <w:rsid w:val="00AD0730"/>
    <w:rsid w:val="00AD0762"/>
    <w:rsid w:val="00AD0BEA"/>
    <w:rsid w:val="00AD0BF8"/>
    <w:rsid w:val="00AD0CC4"/>
    <w:rsid w:val="00AD0CDD"/>
    <w:rsid w:val="00AD0D33"/>
    <w:rsid w:val="00AD0F09"/>
    <w:rsid w:val="00AD0F32"/>
    <w:rsid w:val="00AD0F78"/>
    <w:rsid w:val="00AD13B7"/>
    <w:rsid w:val="00AD1573"/>
    <w:rsid w:val="00AD1823"/>
    <w:rsid w:val="00AD185A"/>
    <w:rsid w:val="00AD187B"/>
    <w:rsid w:val="00AD197C"/>
    <w:rsid w:val="00AD199D"/>
    <w:rsid w:val="00AD1A0F"/>
    <w:rsid w:val="00AD1AC9"/>
    <w:rsid w:val="00AD1C47"/>
    <w:rsid w:val="00AD1C9C"/>
    <w:rsid w:val="00AD1DBB"/>
    <w:rsid w:val="00AD1E80"/>
    <w:rsid w:val="00AD1F90"/>
    <w:rsid w:val="00AD2097"/>
    <w:rsid w:val="00AD227B"/>
    <w:rsid w:val="00AD2283"/>
    <w:rsid w:val="00AD22BA"/>
    <w:rsid w:val="00AD23A1"/>
    <w:rsid w:val="00AD2438"/>
    <w:rsid w:val="00AD248A"/>
    <w:rsid w:val="00AD24C5"/>
    <w:rsid w:val="00AD2540"/>
    <w:rsid w:val="00AD265F"/>
    <w:rsid w:val="00AD267E"/>
    <w:rsid w:val="00AD2A33"/>
    <w:rsid w:val="00AD2A48"/>
    <w:rsid w:val="00AD2EAA"/>
    <w:rsid w:val="00AD2ECD"/>
    <w:rsid w:val="00AD3089"/>
    <w:rsid w:val="00AD3165"/>
    <w:rsid w:val="00AD3364"/>
    <w:rsid w:val="00AD3446"/>
    <w:rsid w:val="00AD36C4"/>
    <w:rsid w:val="00AD36ED"/>
    <w:rsid w:val="00AD3824"/>
    <w:rsid w:val="00AD3ACB"/>
    <w:rsid w:val="00AD3C30"/>
    <w:rsid w:val="00AD3D4A"/>
    <w:rsid w:val="00AD3DAD"/>
    <w:rsid w:val="00AD3DE0"/>
    <w:rsid w:val="00AD409C"/>
    <w:rsid w:val="00AD4203"/>
    <w:rsid w:val="00AD42E5"/>
    <w:rsid w:val="00AD4543"/>
    <w:rsid w:val="00AD46C0"/>
    <w:rsid w:val="00AD493E"/>
    <w:rsid w:val="00AD4EBA"/>
    <w:rsid w:val="00AD526A"/>
    <w:rsid w:val="00AD5481"/>
    <w:rsid w:val="00AD56F6"/>
    <w:rsid w:val="00AD59F0"/>
    <w:rsid w:val="00AD5A41"/>
    <w:rsid w:val="00AD5A4E"/>
    <w:rsid w:val="00AD5C7D"/>
    <w:rsid w:val="00AD5CC2"/>
    <w:rsid w:val="00AD5EDE"/>
    <w:rsid w:val="00AD6319"/>
    <w:rsid w:val="00AD63BF"/>
    <w:rsid w:val="00AD65BB"/>
    <w:rsid w:val="00AD6683"/>
    <w:rsid w:val="00AD6718"/>
    <w:rsid w:val="00AD68B1"/>
    <w:rsid w:val="00AD69EA"/>
    <w:rsid w:val="00AD6A60"/>
    <w:rsid w:val="00AD6E28"/>
    <w:rsid w:val="00AD7118"/>
    <w:rsid w:val="00AD7460"/>
    <w:rsid w:val="00AD75D2"/>
    <w:rsid w:val="00AD7641"/>
    <w:rsid w:val="00AD7AD1"/>
    <w:rsid w:val="00AD7B43"/>
    <w:rsid w:val="00AE0045"/>
    <w:rsid w:val="00AE02E0"/>
    <w:rsid w:val="00AE0409"/>
    <w:rsid w:val="00AE0440"/>
    <w:rsid w:val="00AE06E1"/>
    <w:rsid w:val="00AE0738"/>
    <w:rsid w:val="00AE08DF"/>
    <w:rsid w:val="00AE0A95"/>
    <w:rsid w:val="00AE0AD5"/>
    <w:rsid w:val="00AE0B65"/>
    <w:rsid w:val="00AE0B7A"/>
    <w:rsid w:val="00AE0C71"/>
    <w:rsid w:val="00AE0EF3"/>
    <w:rsid w:val="00AE0F85"/>
    <w:rsid w:val="00AE0F9F"/>
    <w:rsid w:val="00AE1036"/>
    <w:rsid w:val="00AE1268"/>
    <w:rsid w:val="00AE12C1"/>
    <w:rsid w:val="00AE1358"/>
    <w:rsid w:val="00AE1608"/>
    <w:rsid w:val="00AE162A"/>
    <w:rsid w:val="00AE1663"/>
    <w:rsid w:val="00AE18F8"/>
    <w:rsid w:val="00AE1B24"/>
    <w:rsid w:val="00AE1C39"/>
    <w:rsid w:val="00AE1E80"/>
    <w:rsid w:val="00AE1EFC"/>
    <w:rsid w:val="00AE2046"/>
    <w:rsid w:val="00AE21C6"/>
    <w:rsid w:val="00AE21E9"/>
    <w:rsid w:val="00AE23CD"/>
    <w:rsid w:val="00AE2488"/>
    <w:rsid w:val="00AE2818"/>
    <w:rsid w:val="00AE2900"/>
    <w:rsid w:val="00AE2A91"/>
    <w:rsid w:val="00AE2B90"/>
    <w:rsid w:val="00AE2D6A"/>
    <w:rsid w:val="00AE2DB5"/>
    <w:rsid w:val="00AE3111"/>
    <w:rsid w:val="00AE335C"/>
    <w:rsid w:val="00AE342A"/>
    <w:rsid w:val="00AE3CBC"/>
    <w:rsid w:val="00AE3D9A"/>
    <w:rsid w:val="00AE3E29"/>
    <w:rsid w:val="00AE40FF"/>
    <w:rsid w:val="00AE4247"/>
    <w:rsid w:val="00AE431A"/>
    <w:rsid w:val="00AE45D3"/>
    <w:rsid w:val="00AE4767"/>
    <w:rsid w:val="00AE489A"/>
    <w:rsid w:val="00AE49A0"/>
    <w:rsid w:val="00AE49D6"/>
    <w:rsid w:val="00AE4A18"/>
    <w:rsid w:val="00AE4C6E"/>
    <w:rsid w:val="00AE4E0C"/>
    <w:rsid w:val="00AE4EAF"/>
    <w:rsid w:val="00AE4F1F"/>
    <w:rsid w:val="00AE507F"/>
    <w:rsid w:val="00AE509D"/>
    <w:rsid w:val="00AE54EF"/>
    <w:rsid w:val="00AE566C"/>
    <w:rsid w:val="00AE5728"/>
    <w:rsid w:val="00AE597D"/>
    <w:rsid w:val="00AE59EB"/>
    <w:rsid w:val="00AE5A27"/>
    <w:rsid w:val="00AE5A71"/>
    <w:rsid w:val="00AE5A8E"/>
    <w:rsid w:val="00AE5E84"/>
    <w:rsid w:val="00AE5F92"/>
    <w:rsid w:val="00AE6476"/>
    <w:rsid w:val="00AE6762"/>
    <w:rsid w:val="00AE68D9"/>
    <w:rsid w:val="00AE691D"/>
    <w:rsid w:val="00AE69D8"/>
    <w:rsid w:val="00AE6E28"/>
    <w:rsid w:val="00AE6E77"/>
    <w:rsid w:val="00AE7088"/>
    <w:rsid w:val="00AE7172"/>
    <w:rsid w:val="00AE72B7"/>
    <w:rsid w:val="00AE7454"/>
    <w:rsid w:val="00AE7547"/>
    <w:rsid w:val="00AE7563"/>
    <w:rsid w:val="00AE78CD"/>
    <w:rsid w:val="00AE796D"/>
    <w:rsid w:val="00AE7A1B"/>
    <w:rsid w:val="00AE7A6A"/>
    <w:rsid w:val="00AE7A84"/>
    <w:rsid w:val="00AE7ACD"/>
    <w:rsid w:val="00AE7D00"/>
    <w:rsid w:val="00AE7D4B"/>
    <w:rsid w:val="00AE7D8F"/>
    <w:rsid w:val="00AE7F53"/>
    <w:rsid w:val="00AF0264"/>
    <w:rsid w:val="00AF046E"/>
    <w:rsid w:val="00AF0471"/>
    <w:rsid w:val="00AF0912"/>
    <w:rsid w:val="00AF0990"/>
    <w:rsid w:val="00AF0D4C"/>
    <w:rsid w:val="00AF0F9D"/>
    <w:rsid w:val="00AF1372"/>
    <w:rsid w:val="00AF13DB"/>
    <w:rsid w:val="00AF146F"/>
    <w:rsid w:val="00AF15A1"/>
    <w:rsid w:val="00AF15DE"/>
    <w:rsid w:val="00AF168F"/>
    <w:rsid w:val="00AF17DE"/>
    <w:rsid w:val="00AF18A1"/>
    <w:rsid w:val="00AF1C1B"/>
    <w:rsid w:val="00AF1D14"/>
    <w:rsid w:val="00AF1D48"/>
    <w:rsid w:val="00AF1DA5"/>
    <w:rsid w:val="00AF2041"/>
    <w:rsid w:val="00AF2369"/>
    <w:rsid w:val="00AF249A"/>
    <w:rsid w:val="00AF26F6"/>
    <w:rsid w:val="00AF2A0B"/>
    <w:rsid w:val="00AF2AB6"/>
    <w:rsid w:val="00AF2BD4"/>
    <w:rsid w:val="00AF2DF6"/>
    <w:rsid w:val="00AF2FC9"/>
    <w:rsid w:val="00AF3058"/>
    <w:rsid w:val="00AF3288"/>
    <w:rsid w:val="00AF33AC"/>
    <w:rsid w:val="00AF37A3"/>
    <w:rsid w:val="00AF389A"/>
    <w:rsid w:val="00AF3991"/>
    <w:rsid w:val="00AF3D1F"/>
    <w:rsid w:val="00AF3D55"/>
    <w:rsid w:val="00AF3E6A"/>
    <w:rsid w:val="00AF3E9A"/>
    <w:rsid w:val="00AF4031"/>
    <w:rsid w:val="00AF4246"/>
    <w:rsid w:val="00AF4358"/>
    <w:rsid w:val="00AF43A1"/>
    <w:rsid w:val="00AF43E4"/>
    <w:rsid w:val="00AF46B1"/>
    <w:rsid w:val="00AF471D"/>
    <w:rsid w:val="00AF47CF"/>
    <w:rsid w:val="00AF48D2"/>
    <w:rsid w:val="00AF49A2"/>
    <w:rsid w:val="00AF4B44"/>
    <w:rsid w:val="00AF4C5C"/>
    <w:rsid w:val="00AF4D7A"/>
    <w:rsid w:val="00AF51ED"/>
    <w:rsid w:val="00AF527D"/>
    <w:rsid w:val="00AF5460"/>
    <w:rsid w:val="00AF54C7"/>
    <w:rsid w:val="00AF54E1"/>
    <w:rsid w:val="00AF5502"/>
    <w:rsid w:val="00AF59BE"/>
    <w:rsid w:val="00AF5B39"/>
    <w:rsid w:val="00AF5C7F"/>
    <w:rsid w:val="00AF5D4B"/>
    <w:rsid w:val="00AF5FFC"/>
    <w:rsid w:val="00AF6083"/>
    <w:rsid w:val="00AF660B"/>
    <w:rsid w:val="00AF6697"/>
    <w:rsid w:val="00AF66EA"/>
    <w:rsid w:val="00AF6714"/>
    <w:rsid w:val="00AF67D6"/>
    <w:rsid w:val="00AF6808"/>
    <w:rsid w:val="00AF69A7"/>
    <w:rsid w:val="00AF6A14"/>
    <w:rsid w:val="00AF6B50"/>
    <w:rsid w:val="00AF6C96"/>
    <w:rsid w:val="00AF6D67"/>
    <w:rsid w:val="00AF73E7"/>
    <w:rsid w:val="00AF75A2"/>
    <w:rsid w:val="00AF75F8"/>
    <w:rsid w:val="00B00049"/>
    <w:rsid w:val="00B00118"/>
    <w:rsid w:val="00B00198"/>
    <w:rsid w:val="00B0041F"/>
    <w:rsid w:val="00B00573"/>
    <w:rsid w:val="00B00821"/>
    <w:rsid w:val="00B00BB9"/>
    <w:rsid w:val="00B00BED"/>
    <w:rsid w:val="00B00E1E"/>
    <w:rsid w:val="00B00EFE"/>
    <w:rsid w:val="00B01049"/>
    <w:rsid w:val="00B01194"/>
    <w:rsid w:val="00B0134A"/>
    <w:rsid w:val="00B015A9"/>
    <w:rsid w:val="00B017B0"/>
    <w:rsid w:val="00B019AD"/>
    <w:rsid w:val="00B01A20"/>
    <w:rsid w:val="00B01B3C"/>
    <w:rsid w:val="00B01BE3"/>
    <w:rsid w:val="00B01CFB"/>
    <w:rsid w:val="00B01D92"/>
    <w:rsid w:val="00B01DC1"/>
    <w:rsid w:val="00B01E0C"/>
    <w:rsid w:val="00B01EA3"/>
    <w:rsid w:val="00B021CB"/>
    <w:rsid w:val="00B022F7"/>
    <w:rsid w:val="00B0232D"/>
    <w:rsid w:val="00B02624"/>
    <w:rsid w:val="00B02A4F"/>
    <w:rsid w:val="00B02A8D"/>
    <w:rsid w:val="00B02AD5"/>
    <w:rsid w:val="00B02B0C"/>
    <w:rsid w:val="00B02FB0"/>
    <w:rsid w:val="00B031A7"/>
    <w:rsid w:val="00B031BD"/>
    <w:rsid w:val="00B032C3"/>
    <w:rsid w:val="00B03487"/>
    <w:rsid w:val="00B038FC"/>
    <w:rsid w:val="00B03951"/>
    <w:rsid w:val="00B039CD"/>
    <w:rsid w:val="00B03AE8"/>
    <w:rsid w:val="00B03E18"/>
    <w:rsid w:val="00B04180"/>
    <w:rsid w:val="00B0419D"/>
    <w:rsid w:val="00B041B2"/>
    <w:rsid w:val="00B041BB"/>
    <w:rsid w:val="00B04247"/>
    <w:rsid w:val="00B0438F"/>
    <w:rsid w:val="00B044AD"/>
    <w:rsid w:val="00B044C3"/>
    <w:rsid w:val="00B0488B"/>
    <w:rsid w:val="00B04A74"/>
    <w:rsid w:val="00B04BF6"/>
    <w:rsid w:val="00B04D46"/>
    <w:rsid w:val="00B05046"/>
    <w:rsid w:val="00B05056"/>
    <w:rsid w:val="00B050AB"/>
    <w:rsid w:val="00B0513E"/>
    <w:rsid w:val="00B0514A"/>
    <w:rsid w:val="00B05300"/>
    <w:rsid w:val="00B0576B"/>
    <w:rsid w:val="00B058CD"/>
    <w:rsid w:val="00B05A24"/>
    <w:rsid w:val="00B05A73"/>
    <w:rsid w:val="00B05DCD"/>
    <w:rsid w:val="00B05E01"/>
    <w:rsid w:val="00B0603F"/>
    <w:rsid w:val="00B060FE"/>
    <w:rsid w:val="00B062CB"/>
    <w:rsid w:val="00B063E3"/>
    <w:rsid w:val="00B0672B"/>
    <w:rsid w:val="00B0676E"/>
    <w:rsid w:val="00B068FE"/>
    <w:rsid w:val="00B06971"/>
    <w:rsid w:val="00B06B43"/>
    <w:rsid w:val="00B06B46"/>
    <w:rsid w:val="00B06F17"/>
    <w:rsid w:val="00B07391"/>
    <w:rsid w:val="00B076AD"/>
    <w:rsid w:val="00B0781B"/>
    <w:rsid w:val="00B0789D"/>
    <w:rsid w:val="00B07BE1"/>
    <w:rsid w:val="00B07C6E"/>
    <w:rsid w:val="00B07D65"/>
    <w:rsid w:val="00B07DF1"/>
    <w:rsid w:val="00B07EFD"/>
    <w:rsid w:val="00B10087"/>
    <w:rsid w:val="00B100E0"/>
    <w:rsid w:val="00B1042F"/>
    <w:rsid w:val="00B105C8"/>
    <w:rsid w:val="00B1096E"/>
    <w:rsid w:val="00B10C99"/>
    <w:rsid w:val="00B11034"/>
    <w:rsid w:val="00B1104D"/>
    <w:rsid w:val="00B1122F"/>
    <w:rsid w:val="00B1127A"/>
    <w:rsid w:val="00B1128D"/>
    <w:rsid w:val="00B115A2"/>
    <w:rsid w:val="00B1169E"/>
    <w:rsid w:val="00B11797"/>
    <w:rsid w:val="00B11961"/>
    <w:rsid w:val="00B11979"/>
    <w:rsid w:val="00B119CE"/>
    <w:rsid w:val="00B11D66"/>
    <w:rsid w:val="00B11FBA"/>
    <w:rsid w:val="00B120DD"/>
    <w:rsid w:val="00B123B4"/>
    <w:rsid w:val="00B125F3"/>
    <w:rsid w:val="00B1274D"/>
    <w:rsid w:val="00B1275C"/>
    <w:rsid w:val="00B12764"/>
    <w:rsid w:val="00B12783"/>
    <w:rsid w:val="00B12A69"/>
    <w:rsid w:val="00B12CCC"/>
    <w:rsid w:val="00B12D23"/>
    <w:rsid w:val="00B12F2D"/>
    <w:rsid w:val="00B131FF"/>
    <w:rsid w:val="00B1329A"/>
    <w:rsid w:val="00B133E3"/>
    <w:rsid w:val="00B134A1"/>
    <w:rsid w:val="00B135DC"/>
    <w:rsid w:val="00B13626"/>
    <w:rsid w:val="00B136CD"/>
    <w:rsid w:val="00B136ED"/>
    <w:rsid w:val="00B13844"/>
    <w:rsid w:val="00B1391A"/>
    <w:rsid w:val="00B139BB"/>
    <w:rsid w:val="00B13DEC"/>
    <w:rsid w:val="00B13F28"/>
    <w:rsid w:val="00B1422F"/>
    <w:rsid w:val="00B14448"/>
    <w:rsid w:val="00B1445A"/>
    <w:rsid w:val="00B145FB"/>
    <w:rsid w:val="00B1475C"/>
    <w:rsid w:val="00B14CBF"/>
    <w:rsid w:val="00B14CEC"/>
    <w:rsid w:val="00B14D2E"/>
    <w:rsid w:val="00B150B7"/>
    <w:rsid w:val="00B1516F"/>
    <w:rsid w:val="00B1528E"/>
    <w:rsid w:val="00B155B2"/>
    <w:rsid w:val="00B157EB"/>
    <w:rsid w:val="00B1590A"/>
    <w:rsid w:val="00B159A8"/>
    <w:rsid w:val="00B15AEC"/>
    <w:rsid w:val="00B15B38"/>
    <w:rsid w:val="00B15BB7"/>
    <w:rsid w:val="00B15BEC"/>
    <w:rsid w:val="00B15CDD"/>
    <w:rsid w:val="00B15E0F"/>
    <w:rsid w:val="00B15E45"/>
    <w:rsid w:val="00B16047"/>
    <w:rsid w:val="00B161AB"/>
    <w:rsid w:val="00B162D7"/>
    <w:rsid w:val="00B162DB"/>
    <w:rsid w:val="00B163FE"/>
    <w:rsid w:val="00B1672B"/>
    <w:rsid w:val="00B167C6"/>
    <w:rsid w:val="00B16BEB"/>
    <w:rsid w:val="00B16DE6"/>
    <w:rsid w:val="00B16F78"/>
    <w:rsid w:val="00B16FFF"/>
    <w:rsid w:val="00B171DA"/>
    <w:rsid w:val="00B1722D"/>
    <w:rsid w:val="00B17261"/>
    <w:rsid w:val="00B1783D"/>
    <w:rsid w:val="00B17972"/>
    <w:rsid w:val="00B17B56"/>
    <w:rsid w:val="00B17D07"/>
    <w:rsid w:val="00B202AA"/>
    <w:rsid w:val="00B2035E"/>
    <w:rsid w:val="00B20472"/>
    <w:rsid w:val="00B20506"/>
    <w:rsid w:val="00B2053E"/>
    <w:rsid w:val="00B20628"/>
    <w:rsid w:val="00B20722"/>
    <w:rsid w:val="00B20752"/>
    <w:rsid w:val="00B208D5"/>
    <w:rsid w:val="00B20AC6"/>
    <w:rsid w:val="00B20B48"/>
    <w:rsid w:val="00B20C33"/>
    <w:rsid w:val="00B20C71"/>
    <w:rsid w:val="00B20C74"/>
    <w:rsid w:val="00B20C82"/>
    <w:rsid w:val="00B20D9A"/>
    <w:rsid w:val="00B20E89"/>
    <w:rsid w:val="00B2105E"/>
    <w:rsid w:val="00B2135D"/>
    <w:rsid w:val="00B213CB"/>
    <w:rsid w:val="00B214AB"/>
    <w:rsid w:val="00B21590"/>
    <w:rsid w:val="00B21684"/>
    <w:rsid w:val="00B216ED"/>
    <w:rsid w:val="00B21984"/>
    <w:rsid w:val="00B21A4F"/>
    <w:rsid w:val="00B21A54"/>
    <w:rsid w:val="00B21D80"/>
    <w:rsid w:val="00B2200D"/>
    <w:rsid w:val="00B2202D"/>
    <w:rsid w:val="00B220A7"/>
    <w:rsid w:val="00B22361"/>
    <w:rsid w:val="00B2241E"/>
    <w:rsid w:val="00B224F3"/>
    <w:rsid w:val="00B22645"/>
    <w:rsid w:val="00B2265B"/>
    <w:rsid w:val="00B22727"/>
    <w:rsid w:val="00B22D1D"/>
    <w:rsid w:val="00B22D80"/>
    <w:rsid w:val="00B22D98"/>
    <w:rsid w:val="00B22F61"/>
    <w:rsid w:val="00B22FB6"/>
    <w:rsid w:val="00B22FC0"/>
    <w:rsid w:val="00B23019"/>
    <w:rsid w:val="00B2301A"/>
    <w:rsid w:val="00B2304E"/>
    <w:rsid w:val="00B233C1"/>
    <w:rsid w:val="00B2348D"/>
    <w:rsid w:val="00B234A7"/>
    <w:rsid w:val="00B23522"/>
    <w:rsid w:val="00B235DB"/>
    <w:rsid w:val="00B236CB"/>
    <w:rsid w:val="00B2388B"/>
    <w:rsid w:val="00B239FF"/>
    <w:rsid w:val="00B23AF3"/>
    <w:rsid w:val="00B23B2F"/>
    <w:rsid w:val="00B23B71"/>
    <w:rsid w:val="00B23BCA"/>
    <w:rsid w:val="00B23BD9"/>
    <w:rsid w:val="00B23EC3"/>
    <w:rsid w:val="00B240AE"/>
    <w:rsid w:val="00B2429C"/>
    <w:rsid w:val="00B24347"/>
    <w:rsid w:val="00B243B3"/>
    <w:rsid w:val="00B247E4"/>
    <w:rsid w:val="00B247F6"/>
    <w:rsid w:val="00B25100"/>
    <w:rsid w:val="00B251D0"/>
    <w:rsid w:val="00B251DB"/>
    <w:rsid w:val="00B253AB"/>
    <w:rsid w:val="00B2593F"/>
    <w:rsid w:val="00B25AD0"/>
    <w:rsid w:val="00B25B5B"/>
    <w:rsid w:val="00B25B60"/>
    <w:rsid w:val="00B25D02"/>
    <w:rsid w:val="00B25F99"/>
    <w:rsid w:val="00B2602C"/>
    <w:rsid w:val="00B261A7"/>
    <w:rsid w:val="00B262FA"/>
    <w:rsid w:val="00B263CD"/>
    <w:rsid w:val="00B26489"/>
    <w:rsid w:val="00B264A1"/>
    <w:rsid w:val="00B26974"/>
    <w:rsid w:val="00B26B7F"/>
    <w:rsid w:val="00B26C47"/>
    <w:rsid w:val="00B26C98"/>
    <w:rsid w:val="00B26E30"/>
    <w:rsid w:val="00B26E51"/>
    <w:rsid w:val="00B26F3F"/>
    <w:rsid w:val="00B2726F"/>
    <w:rsid w:val="00B272C3"/>
    <w:rsid w:val="00B27344"/>
    <w:rsid w:val="00B2738A"/>
    <w:rsid w:val="00B276B6"/>
    <w:rsid w:val="00B27812"/>
    <w:rsid w:val="00B2791B"/>
    <w:rsid w:val="00B27CE5"/>
    <w:rsid w:val="00B27D65"/>
    <w:rsid w:val="00B303CE"/>
    <w:rsid w:val="00B303E1"/>
    <w:rsid w:val="00B305C1"/>
    <w:rsid w:val="00B306D6"/>
    <w:rsid w:val="00B30702"/>
    <w:rsid w:val="00B30813"/>
    <w:rsid w:val="00B308AD"/>
    <w:rsid w:val="00B30929"/>
    <w:rsid w:val="00B30BDE"/>
    <w:rsid w:val="00B30D0D"/>
    <w:rsid w:val="00B30D62"/>
    <w:rsid w:val="00B30E66"/>
    <w:rsid w:val="00B30E6E"/>
    <w:rsid w:val="00B30F47"/>
    <w:rsid w:val="00B31100"/>
    <w:rsid w:val="00B31170"/>
    <w:rsid w:val="00B31193"/>
    <w:rsid w:val="00B3141E"/>
    <w:rsid w:val="00B31426"/>
    <w:rsid w:val="00B3142C"/>
    <w:rsid w:val="00B3168B"/>
    <w:rsid w:val="00B317AF"/>
    <w:rsid w:val="00B317CA"/>
    <w:rsid w:val="00B31939"/>
    <w:rsid w:val="00B31A31"/>
    <w:rsid w:val="00B31B4F"/>
    <w:rsid w:val="00B31C6A"/>
    <w:rsid w:val="00B31D68"/>
    <w:rsid w:val="00B31DFB"/>
    <w:rsid w:val="00B32013"/>
    <w:rsid w:val="00B32032"/>
    <w:rsid w:val="00B3224F"/>
    <w:rsid w:val="00B322C6"/>
    <w:rsid w:val="00B323C4"/>
    <w:rsid w:val="00B3247D"/>
    <w:rsid w:val="00B325A0"/>
    <w:rsid w:val="00B32850"/>
    <w:rsid w:val="00B32A72"/>
    <w:rsid w:val="00B33181"/>
    <w:rsid w:val="00B3328C"/>
    <w:rsid w:val="00B3343E"/>
    <w:rsid w:val="00B3368B"/>
    <w:rsid w:val="00B33812"/>
    <w:rsid w:val="00B33960"/>
    <w:rsid w:val="00B33A91"/>
    <w:rsid w:val="00B33AD9"/>
    <w:rsid w:val="00B33BA9"/>
    <w:rsid w:val="00B33CB9"/>
    <w:rsid w:val="00B33CC1"/>
    <w:rsid w:val="00B33D40"/>
    <w:rsid w:val="00B33D4E"/>
    <w:rsid w:val="00B33E8A"/>
    <w:rsid w:val="00B33F9E"/>
    <w:rsid w:val="00B33FD4"/>
    <w:rsid w:val="00B3401F"/>
    <w:rsid w:val="00B340CB"/>
    <w:rsid w:val="00B3413C"/>
    <w:rsid w:val="00B34197"/>
    <w:rsid w:val="00B34279"/>
    <w:rsid w:val="00B343BA"/>
    <w:rsid w:val="00B349FD"/>
    <w:rsid w:val="00B34A0C"/>
    <w:rsid w:val="00B34B9C"/>
    <w:rsid w:val="00B34BDB"/>
    <w:rsid w:val="00B34E9A"/>
    <w:rsid w:val="00B34F17"/>
    <w:rsid w:val="00B35208"/>
    <w:rsid w:val="00B35227"/>
    <w:rsid w:val="00B355CE"/>
    <w:rsid w:val="00B356FF"/>
    <w:rsid w:val="00B35797"/>
    <w:rsid w:val="00B35966"/>
    <w:rsid w:val="00B359C5"/>
    <w:rsid w:val="00B35A15"/>
    <w:rsid w:val="00B35A5F"/>
    <w:rsid w:val="00B35AFF"/>
    <w:rsid w:val="00B35B51"/>
    <w:rsid w:val="00B35B78"/>
    <w:rsid w:val="00B35BEA"/>
    <w:rsid w:val="00B35C25"/>
    <w:rsid w:val="00B35CAA"/>
    <w:rsid w:val="00B35E43"/>
    <w:rsid w:val="00B35F0E"/>
    <w:rsid w:val="00B35F2D"/>
    <w:rsid w:val="00B360CE"/>
    <w:rsid w:val="00B360E4"/>
    <w:rsid w:val="00B3649E"/>
    <w:rsid w:val="00B3650B"/>
    <w:rsid w:val="00B36706"/>
    <w:rsid w:val="00B36B11"/>
    <w:rsid w:val="00B36CAB"/>
    <w:rsid w:val="00B36D30"/>
    <w:rsid w:val="00B37135"/>
    <w:rsid w:val="00B372A3"/>
    <w:rsid w:val="00B37320"/>
    <w:rsid w:val="00B37456"/>
    <w:rsid w:val="00B3790F"/>
    <w:rsid w:val="00B37DC3"/>
    <w:rsid w:val="00B4013E"/>
    <w:rsid w:val="00B4023B"/>
    <w:rsid w:val="00B404A5"/>
    <w:rsid w:val="00B404D7"/>
    <w:rsid w:val="00B40640"/>
    <w:rsid w:val="00B409CF"/>
    <w:rsid w:val="00B40A4F"/>
    <w:rsid w:val="00B40AD3"/>
    <w:rsid w:val="00B40CB4"/>
    <w:rsid w:val="00B40CD9"/>
    <w:rsid w:val="00B40EA6"/>
    <w:rsid w:val="00B40EFC"/>
    <w:rsid w:val="00B41517"/>
    <w:rsid w:val="00B4158A"/>
    <w:rsid w:val="00B415D3"/>
    <w:rsid w:val="00B416A6"/>
    <w:rsid w:val="00B41774"/>
    <w:rsid w:val="00B41BEB"/>
    <w:rsid w:val="00B41BED"/>
    <w:rsid w:val="00B41C82"/>
    <w:rsid w:val="00B41DA8"/>
    <w:rsid w:val="00B41E87"/>
    <w:rsid w:val="00B41ED0"/>
    <w:rsid w:val="00B41EEC"/>
    <w:rsid w:val="00B42183"/>
    <w:rsid w:val="00B4229F"/>
    <w:rsid w:val="00B42367"/>
    <w:rsid w:val="00B42594"/>
    <w:rsid w:val="00B42964"/>
    <w:rsid w:val="00B4298C"/>
    <w:rsid w:val="00B42A40"/>
    <w:rsid w:val="00B42B44"/>
    <w:rsid w:val="00B42EDA"/>
    <w:rsid w:val="00B42F00"/>
    <w:rsid w:val="00B430D0"/>
    <w:rsid w:val="00B43195"/>
    <w:rsid w:val="00B431F5"/>
    <w:rsid w:val="00B432D8"/>
    <w:rsid w:val="00B43324"/>
    <w:rsid w:val="00B43393"/>
    <w:rsid w:val="00B434B8"/>
    <w:rsid w:val="00B4351E"/>
    <w:rsid w:val="00B436FC"/>
    <w:rsid w:val="00B4374B"/>
    <w:rsid w:val="00B43756"/>
    <w:rsid w:val="00B43910"/>
    <w:rsid w:val="00B43949"/>
    <w:rsid w:val="00B43A01"/>
    <w:rsid w:val="00B43C53"/>
    <w:rsid w:val="00B43CF6"/>
    <w:rsid w:val="00B4406E"/>
    <w:rsid w:val="00B44145"/>
    <w:rsid w:val="00B4439F"/>
    <w:rsid w:val="00B44414"/>
    <w:rsid w:val="00B44804"/>
    <w:rsid w:val="00B44807"/>
    <w:rsid w:val="00B44844"/>
    <w:rsid w:val="00B44A4E"/>
    <w:rsid w:val="00B44B12"/>
    <w:rsid w:val="00B44B30"/>
    <w:rsid w:val="00B44C21"/>
    <w:rsid w:val="00B44C36"/>
    <w:rsid w:val="00B44CA0"/>
    <w:rsid w:val="00B45055"/>
    <w:rsid w:val="00B4518A"/>
    <w:rsid w:val="00B45482"/>
    <w:rsid w:val="00B454DD"/>
    <w:rsid w:val="00B4568A"/>
    <w:rsid w:val="00B45A47"/>
    <w:rsid w:val="00B45B81"/>
    <w:rsid w:val="00B45D3F"/>
    <w:rsid w:val="00B45D93"/>
    <w:rsid w:val="00B45ECB"/>
    <w:rsid w:val="00B4612E"/>
    <w:rsid w:val="00B464D7"/>
    <w:rsid w:val="00B466D1"/>
    <w:rsid w:val="00B46758"/>
    <w:rsid w:val="00B4696F"/>
    <w:rsid w:val="00B46B39"/>
    <w:rsid w:val="00B46D8F"/>
    <w:rsid w:val="00B46E24"/>
    <w:rsid w:val="00B46ECB"/>
    <w:rsid w:val="00B46F08"/>
    <w:rsid w:val="00B46FD0"/>
    <w:rsid w:val="00B47021"/>
    <w:rsid w:val="00B470A7"/>
    <w:rsid w:val="00B474D7"/>
    <w:rsid w:val="00B474EA"/>
    <w:rsid w:val="00B47A20"/>
    <w:rsid w:val="00B47A4C"/>
    <w:rsid w:val="00B47A53"/>
    <w:rsid w:val="00B47EBA"/>
    <w:rsid w:val="00B47F24"/>
    <w:rsid w:val="00B50161"/>
    <w:rsid w:val="00B50420"/>
    <w:rsid w:val="00B50618"/>
    <w:rsid w:val="00B50655"/>
    <w:rsid w:val="00B506A1"/>
    <w:rsid w:val="00B50849"/>
    <w:rsid w:val="00B508EF"/>
    <w:rsid w:val="00B50937"/>
    <w:rsid w:val="00B50A54"/>
    <w:rsid w:val="00B50BA3"/>
    <w:rsid w:val="00B50CF4"/>
    <w:rsid w:val="00B50D04"/>
    <w:rsid w:val="00B51231"/>
    <w:rsid w:val="00B51415"/>
    <w:rsid w:val="00B51625"/>
    <w:rsid w:val="00B51652"/>
    <w:rsid w:val="00B516CD"/>
    <w:rsid w:val="00B51756"/>
    <w:rsid w:val="00B517A6"/>
    <w:rsid w:val="00B51828"/>
    <w:rsid w:val="00B519A3"/>
    <w:rsid w:val="00B51B12"/>
    <w:rsid w:val="00B51B89"/>
    <w:rsid w:val="00B51C05"/>
    <w:rsid w:val="00B51DDD"/>
    <w:rsid w:val="00B51E24"/>
    <w:rsid w:val="00B5205B"/>
    <w:rsid w:val="00B529BF"/>
    <w:rsid w:val="00B52BAF"/>
    <w:rsid w:val="00B52BE6"/>
    <w:rsid w:val="00B52D82"/>
    <w:rsid w:val="00B52E43"/>
    <w:rsid w:val="00B5311B"/>
    <w:rsid w:val="00B5317A"/>
    <w:rsid w:val="00B53421"/>
    <w:rsid w:val="00B537D1"/>
    <w:rsid w:val="00B537F7"/>
    <w:rsid w:val="00B539A0"/>
    <w:rsid w:val="00B53AA1"/>
    <w:rsid w:val="00B53C29"/>
    <w:rsid w:val="00B53CFC"/>
    <w:rsid w:val="00B53FA0"/>
    <w:rsid w:val="00B54149"/>
    <w:rsid w:val="00B54338"/>
    <w:rsid w:val="00B5455E"/>
    <w:rsid w:val="00B546E7"/>
    <w:rsid w:val="00B54735"/>
    <w:rsid w:val="00B547FD"/>
    <w:rsid w:val="00B5481A"/>
    <w:rsid w:val="00B548B9"/>
    <w:rsid w:val="00B5492F"/>
    <w:rsid w:val="00B54B4E"/>
    <w:rsid w:val="00B55162"/>
    <w:rsid w:val="00B555AB"/>
    <w:rsid w:val="00B555D1"/>
    <w:rsid w:val="00B55608"/>
    <w:rsid w:val="00B5560F"/>
    <w:rsid w:val="00B55773"/>
    <w:rsid w:val="00B55999"/>
    <w:rsid w:val="00B55BBD"/>
    <w:rsid w:val="00B55BE0"/>
    <w:rsid w:val="00B55E3F"/>
    <w:rsid w:val="00B5602A"/>
    <w:rsid w:val="00B5642E"/>
    <w:rsid w:val="00B566D6"/>
    <w:rsid w:val="00B5677D"/>
    <w:rsid w:val="00B567C0"/>
    <w:rsid w:val="00B568AB"/>
    <w:rsid w:val="00B569A2"/>
    <w:rsid w:val="00B569F8"/>
    <w:rsid w:val="00B56E8A"/>
    <w:rsid w:val="00B56EC1"/>
    <w:rsid w:val="00B57182"/>
    <w:rsid w:val="00B572D8"/>
    <w:rsid w:val="00B57674"/>
    <w:rsid w:val="00B576FE"/>
    <w:rsid w:val="00B57847"/>
    <w:rsid w:val="00B579B3"/>
    <w:rsid w:val="00B57A38"/>
    <w:rsid w:val="00B57D17"/>
    <w:rsid w:val="00B57F58"/>
    <w:rsid w:val="00B600BA"/>
    <w:rsid w:val="00B6014A"/>
    <w:rsid w:val="00B601BF"/>
    <w:rsid w:val="00B60307"/>
    <w:rsid w:val="00B6051B"/>
    <w:rsid w:val="00B6064E"/>
    <w:rsid w:val="00B60B5D"/>
    <w:rsid w:val="00B60C2D"/>
    <w:rsid w:val="00B60DB8"/>
    <w:rsid w:val="00B60FDA"/>
    <w:rsid w:val="00B61179"/>
    <w:rsid w:val="00B611B1"/>
    <w:rsid w:val="00B611E8"/>
    <w:rsid w:val="00B61304"/>
    <w:rsid w:val="00B6191C"/>
    <w:rsid w:val="00B61A66"/>
    <w:rsid w:val="00B61A69"/>
    <w:rsid w:val="00B61C60"/>
    <w:rsid w:val="00B61F80"/>
    <w:rsid w:val="00B62022"/>
    <w:rsid w:val="00B6211A"/>
    <w:rsid w:val="00B621E0"/>
    <w:rsid w:val="00B62522"/>
    <w:rsid w:val="00B62674"/>
    <w:rsid w:val="00B62916"/>
    <w:rsid w:val="00B629A6"/>
    <w:rsid w:val="00B629E5"/>
    <w:rsid w:val="00B629FA"/>
    <w:rsid w:val="00B62C26"/>
    <w:rsid w:val="00B62EBB"/>
    <w:rsid w:val="00B62F0D"/>
    <w:rsid w:val="00B63099"/>
    <w:rsid w:val="00B631AB"/>
    <w:rsid w:val="00B631F0"/>
    <w:rsid w:val="00B63241"/>
    <w:rsid w:val="00B63429"/>
    <w:rsid w:val="00B634E1"/>
    <w:rsid w:val="00B63651"/>
    <w:rsid w:val="00B63667"/>
    <w:rsid w:val="00B63B31"/>
    <w:rsid w:val="00B63B9F"/>
    <w:rsid w:val="00B63C20"/>
    <w:rsid w:val="00B63CEA"/>
    <w:rsid w:val="00B63E91"/>
    <w:rsid w:val="00B63EDD"/>
    <w:rsid w:val="00B640B1"/>
    <w:rsid w:val="00B640D6"/>
    <w:rsid w:val="00B64161"/>
    <w:rsid w:val="00B64166"/>
    <w:rsid w:val="00B641CD"/>
    <w:rsid w:val="00B641FA"/>
    <w:rsid w:val="00B646B2"/>
    <w:rsid w:val="00B64887"/>
    <w:rsid w:val="00B648AC"/>
    <w:rsid w:val="00B6491D"/>
    <w:rsid w:val="00B64FB2"/>
    <w:rsid w:val="00B65026"/>
    <w:rsid w:val="00B65058"/>
    <w:rsid w:val="00B6509C"/>
    <w:rsid w:val="00B655C3"/>
    <w:rsid w:val="00B65852"/>
    <w:rsid w:val="00B65862"/>
    <w:rsid w:val="00B659A3"/>
    <w:rsid w:val="00B65A08"/>
    <w:rsid w:val="00B65B8F"/>
    <w:rsid w:val="00B65BE2"/>
    <w:rsid w:val="00B65C61"/>
    <w:rsid w:val="00B65D37"/>
    <w:rsid w:val="00B660EE"/>
    <w:rsid w:val="00B662EC"/>
    <w:rsid w:val="00B665EC"/>
    <w:rsid w:val="00B667B3"/>
    <w:rsid w:val="00B667DF"/>
    <w:rsid w:val="00B66869"/>
    <w:rsid w:val="00B6687B"/>
    <w:rsid w:val="00B6694D"/>
    <w:rsid w:val="00B669A5"/>
    <w:rsid w:val="00B66B3D"/>
    <w:rsid w:val="00B66CD4"/>
    <w:rsid w:val="00B66E59"/>
    <w:rsid w:val="00B66F09"/>
    <w:rsid w:val="00B67136"/>
    <w:rsid w:val="00B672A8"/>
    <w:rsid w:val="00B67468"/>
    <w:rsid w:val="00B674B7"/>
    <w:rsid w:val="00B677D7"/>
    <w:rsid w:val="00B679BC"/>
    <w:rsid w:val="00B67A04"/>
    <w:rsid w:val="00B67AE4"/>
    <w:rsid w:val="00B67B7D"/>
    <w:rsid w:val="00B67D2D"/>
    <w:rsid w:val="00B67F26"/>
    <w:rsid w:val="00B700CE"/>
    <w:rsid w:val="00B701A3"/>
    <w:rsid w:val="00B703C3"/>
    <w:rsid w:val="00B703FF"/>
    <w:rsid w:val="00B70458"/>
    <w:rsid w:val="00B704B7"/>
    <w:rsid w:val="00B705E9"/>
    <w:rsid w:val="00B70709"/>
    <w:rsid w:val="00B70857"/>
    <w:rsid w:val="00B708DA"/>
    <w:rsid w:val="00B7094E"/>
    <w:rsid w:val="00B7096A"/>
    <w:rsid w:val="00B70C05"/>
    <w:rsid w:val="00B70C78"/>
    <w:rsid w:val="00B70C7D"/>
    <w:rsid w:val="00B70DFB"/>
    <w:rsid w:val="00B70E1B"/>
    <w:rsid w:val="00B71070"/>
    <w:rsid w:val="00B712C4"/>
    <w:rsid w:val="00B71485"/>
    <w:rsid w:val="00B71AE0"/>
    <w:rsid w:val="00B71B1C"/>
    <w:rsid w:val="00B71BE0"/>
    <w:rsid w:val="00B71C33"/>
    <w:rsid w:val="00B71D55"/>
    <w:rsid w:val="00B71DBF"/>
    <w:rsid w:val="00B71EA5"/>
    <w:rsid w:val="00B71FFA"/>
    <w:rsid w:val="00B7202C"/>
    <w:rsid w:val="00B72213"/>
    <w:rsid w:val="00B722B2"/>
    <w:rsid w:val="00B722F9"/>
    <w:rsid w:val="00B725A6"/>
    <w:rsid w:val="00B727A3"/>
    <w:rsid w:val="00B72A4A"/>
    <w:rsid w:val="00B72A70"/>
    <w:rsid w:val="00B72C7B"/>
    <w:rsid w:val="00B72D99"/>
    <w:rsid w:val="00B72E41"/>
    <w:rsid w:val="00B73078"/>
    <w:rsid w:val="00B732AD"/>
    <w:rsid w:val="00B735B8"/>
    <w:rsid w:val="00B7378C"/>
    <w:rsid w:val="00B73872"/>
    <w:rsid w:val="00B73B06"/>
    <w:rsid w:val="00B73F50"/>
    <w:rsid w:val="00B740D3"/>
    <w:rsid w:val="00B742AF"/>
    <w:rsid w:val="00B743EF"/>
    <w:rsid w:val="00B7462A"/>
    <w:rsid w:val="00B74639"/>
    <w:rsid w:val="00B74673"/>
    <w:rsid w:val="00B7476C"/>
    <w:rsid w:val="00B747A4"/>
    <w:rsid w:val="00B74AA7"/>
    <w:rsid w:val="00B74C7B"/>
    <w:rsid w:val="00B74F13"/>
    <w:rsid w:val="00B74F4F"/>
    <w:rsid w:val="00B7502C"/>
    <w:rsid w:val="00B75064"/>
    <w:rsid w:val="00B75091"/>
    <w:rsid w:val="00B7529D"/>
    <w:rsid w:val="00B752B0"/>
    <w:rsid w:val="00B753CE"/>
    <w:rsid w:val="00B75400"/>
    <w:rsid w:val="00B755E3"/>
    <w:rsid w:val="00B75B0B"/>
    <w:rsid w:val="00B75D85"/>
    <w:rsid w:val="00B75DA1"/>
    <w:rsid w:val="00B75E21"/>
    <w:rsid w:val="00B75E3E"/>
    <w:rsid w:val="00B75E91"/>
    <w:rsid w:val="00B76167"/>
    <w:rsid w:val="00B764C6"/>
    <w:rsid w:val="00B7653F"/>
    <w:rsid w:val="00B7655C"/>
    <w:rsid w:val="00B7672C"/>
    <w:rsid w:val="00B76734"/>
    <w:rsid w:val="00B767BE"/>
    <w:rsid w:val="00B767DE"/>
    <w:rsid w:val="00B767E8"/>
    <w:rsid w:val="00B76A2D"/>
    <w:rsid w:val="00B76A56"/>
    <w:rsid w:val="00B76B5F"/>
    <w:rsid w:val="00B76BAD"/>
    <w:rsid w:val="00B76CC9"/>
    <w:rsid w:val="00B770E5"/>
    <w:rsid w:val="00B771AC"/>
    <w:rsid w:val="00B772D2"/>
    <w:rsid w:val="00B77395"/>
    <w:rsid w:val="00B77464"/>
    <w:rsid w:val="00B775DE"/>
    <w:rsid w:val="00B776D2"/>
    <w:rsid w:val="00B7779E"/>
    <w:rsid w:val="00B77921"/>
    <w:rsid w:val="00B77B6C"/>
    <w:rsid w:val="00B77C37"/>
    <w:rsid w:val="00B77CBD"/>
    <w:rsid w:val="00B77E57"/>
    <w:rsid w:val="00B77E7E"/>
    <w:rsid w:val="00B80019"/>
    <w:rsid w:val="00B80257"/>
    <w:rsid w:val="00B804CE"/>
    <w:rsid w:val="00B8052B"/>
    <w:rsid w:val="00B805D2"/>
    <w:rsid w:val="00B8066C"/>
    <w:rsid w:val="00B80696"/>
    <w:rsid w:val="00B807AE"/>
    <w:rsid w:val="00B80967"/>
    <w:rsid w:val="00B80988"/>
    <w:rsid w:val="00B80B10"/>
    <w:rsid w:val="00B80B81"/>
    <w:rsid w:val="00B80E83"/>
    <w:rsid w:val="00B815D1"/>
    <w:rsid w:val="00B81707"/>
    <w:rsid w:val="00B81785"/>
    <w:rsid w:val="00B81788"/>
    <w:rsid w:val="00B817FB"/>
    <w:rsid w:val="00B81A6F"/>
    <w:rsid w:val="00B81E44"/>
    <w:rsid w:val="00B820A4"/>
    <w:rsid w:val="00B8225D"/>
    <w:rsid w:val="00B8237C"/>
    <w:rsid w:val="00B825F7"/>
    <w:rsid w:val="00B82613"/>
    <w:rsid w:val="00B82757"/>
    <w:rsid w:val="00B82831"/>
    <w:rsid w:val="00B82832"/>
    <w:rsid w:val="00B82833"/>
    <w:rsid w:val="00B828EC"/>
    <w:rsid w:val="00B828F8"/>
    <w:rsid w:val="00B82935"/>
    <w:rsid w:val="00B82B2A"/>
    <w:rsid w:val="00B82C29"/>
    <w:rsid w:val="00B82C34"/>
    <w:rsid w:val="00B82CE0"/>
    <w:rsid w:val="00B82D31"/>
    <w:rsid w:val="00B82E36"/>
    <w:rsid w:val="00B8308F"/>
    <w:rsid w:val="00B8309D"/>
    <w:rsid w:val="00B83180"/>
    <w:rsid w:val="00B83288"/>
    <w:rsid w:val="00B832A9"/>
    <w:rsid w:val="00B833A2"/>
    <w:rsid w:val="00B835DF"/>
    <w:rsid w:val="00B836E1"/>
    <w:rsid w:val="00B8385D"/>
    <w:rsid w:val="00B83892"/>
    <w:rsid w:val="00B838F6"/>
    <w:rsid w:val="00B83909"/>
    <w:rsid w:val="00B8394C"/>
    <w:rsid w:val="00B83AC1"/>
    <w:rsid w:val="00B83C50"/>
    <w:rsid w:val="00B83DDC"/>
    <w:rsid w:val="00B84038"/>
    <w:rsid w:val="00B84199"/>
    <w:rsid w:val="00B844CA"/>
    <w:rsid w:val="00B84934"/>
    <w:rsid w:val="00B84936"/>
    <w:rsid w:val="00B849C6"/>
    <w:rsid w:val="00B84A09"/>
    <w:rsid w:val="00B84BAF"/>
    <w:rsid w:val="00B84BE9"/>
    <w:rsid w:val="00B84D7A"/>
    <w:rsid w:val="00B84DB1"/>
    <w:rsid w:val="00B84DDD"/>
    <w:rsid w:val="00B84EA9"/>
    <w:rsid w:val="00B84EB7"/>
    <w:rsid w:val="00B84F37"/>
    <w:rsid w:val="00B85195"/>
    <w:rsid w:val="00B852CE"/>
    <w:rsid w:val="00B852F8"/>
    <w:rsid w:val="00B8540B"/>
    <w:rsid w:val="00B8568C"/>
    <w:rsid w:val="00B8568D"/>
    <w:rsid w:val="00B8582F"/>
    <w:rsid w:val="00B85A1C"/>
    <w:rsid w:val="00B85BA4"/>
    <w:rsid w:val="00B85BBA"/>
    <w:rsid w:val="00B85F10"/>
    <w:rsid w:val="00B85F21"/>
    <w:rsid w:val="00B86039"/>
    <w:rsid w:val="00B862B7"/>
    <w:rsid w:val="00B86304"/>
    <w:rsid w:val="00B86411"/>
    <w:rsid w:val="00B86460"/>
    <w:rsid w:val="00B866A1"/>
    <w:rsid w:val="00B867F6"/>
    <w:rsid w:val="00B867FD"/>
    <w:rsid w:val="00B86905"/>
    <w:rsid w:val="00B8691E"/>
    <w:rsid w:val="00B86921"/>
    <w:rsid w:val="00B86BDF"/>
    <w:rsid w:val="00B86DC4"/>
    <w:rsid w:val="00B86E15"/>
    <w:rsid w:val="00B86E2A"/>
    <w:rsid w:val="00B86E72"/>
    <w:rsid w:val="00B8732C"/>
    <w:rsid w:val="00B8738A"/>
    <w:rsid w:val="00B8747A"/>
    <w:rsid w:val="00B87522"/>
    <w:rsid w:val="00B8758C"/>
    <w:rsid w:val="00B8758D"/>
    <w:rsid w:val="00B875E0"/>
    <w:rsid w:val="00B87979"/>
    <w:rsid w:val="00B87ABA"/>
    <w:rsid w:val="00B87B75"/>
    <w:rsid w:val="00B901AC"/>
    <w:rsid w:val="00B90248"/>
    <w:rsid w:val="00B90361"/>
    <w:rsid w:val="00B904BE"/>
    <w:rsid w:val="00B906BA"/>
    <w:rsid w:val="00B90A6F"/>
    <w:rsid w:val="00B90A70"/>
    <w:rsid w:val="00B90BDE"/>
    <w:rsid w:val="00B914DD"/>
    <w:rsid w:val="00B91502"/>
    <w:rsid w:val="00B915F1"/>
    <w:rsid w:val="00B916CD"/>
    <w:rsid w:val="00B91782"/>
    <w:rsid w:val="00B91819"/>
    <w:rsid w:val="00B91943"/>
    <w:rsid w:val="00B91C00"/>
    <w:rsid w:val="00B91CF0"/>
    <w:rsid w:val="00B91D01"/>
    <w:rsid w:val="00B91E85"/>
    <w:rsid w:val="00B91F57"/>
    <w:rsid w:val="00B920FC"/>
    <w:rsid w:val="00B92197"/>
    <w:rsid w:val="00B921CA"/>
    <w:rsid w:val="00B92264"/>
    <w:rsid w:val="00B9236D"/>
    <w:rsid w:val="00B92451"/>
    <w:rsid w:val="00B926FC"/>
    <w:rsid w:val="00B92742"/>
    <w:rsid w:val="00B927AF"/>
    <w:rsid w:val="00B927EA"/>
    <w:rsid w:val="00B92C23"/>
    <w:rsid w:val="00B92C81"/>
    <w:rsid w:val="00B92E03"/>
    <w:rsid w:val="00B92F51"/>
    <w:rsid w:val="00B930C9"/>
    <w:rsid w:val="00B930E5"/>
    <w:rsid w:val="00B9316A"/>
    <w:rsid w:val="00B932E4"/>
    <w:rsid w:val="00B93903"/>
    <w:rsid w:val="00B93BA2"/>
    <w:rsid w:val="00B94052"/>
    <w:rsid w:val="00B94086"/>
    <w:rsid w:val="00B94279"/>
    <w:rsid w:val="00B94666"/>
    <w:rsid w:val="00B949EE"/>
    <w:rsid w:val="00B94A35"/>
    <w:rsid w:val="00B94E72"/>
    <w:rsid w:val="00B94F5E"/>
    <w:rsid w:val="00B95155"/>
    <w:rsid w:val="00B95164"/>
    <w:rsid w:val="00B951FA"/>
    <w:rsid w:val="00B95279"/>
    <w:rsid w:val="00B952BC"/>
    <w:rsid w:val="00B952E9"/>
    <w:rsid w:val="00B95381"/>
    <w:rsid w:val="00B953C7"/>
    <w:rsid w:val="00B95671"/>
    <w:rsid w:val="00B95815"/>
    <w:rsid w:val="00B958A8"/>
    <w:rsid w:val="00B958B9"/>
    <w:rsid w:val="00B95A46"/>
    <w:rsid w:val="00B95A63"/>
    <w:rsid w:val="00B95AB7"/>
    <w:rsid w:val="00B95CD0"/>
    <w:rsid w:val="00B95E53"/>
    <w:rsid w:val="00B96253"/>
    <w:rsid w:val="00B963BD"/>
    <w:rsid w:val="00B96418"/>
    <w:rsid w:val="00B96483"/>
    <w:rsid w:val="00B96780"/>
    <w:rsid w:val="00B96807"/>
    <w:rsid w:val="00B96866"/>
    <w:rsid w:val="00B96A6B"/>
    <w:rsid w:val="00B96B39"/>
    <w:rsid w:val="00B96B74"/>
    <w:rsid w:val="00B96C1C"/>
    <w:rsid w:val="00B96C32"/>
    <w:rsid w:val="00B96CA3"/>
    <w:rsid w:val="00B96CF7"/>
    <w:rsid w:val="00B96CFA"/>
    <w:rsid w:val="00B96D1B"/>
    <w:rsid w:val="00B96E4E"/>
    <w:rsid w:val="00B96E61"/>
    <w:rsid w:val="00B96FDF"/>
    <w:rsid w:val="00B97053"/>
    <w:rsid w:val="00B97070"/>
    <w:rsid w:val="00B970D4"/>
    <w:rsid w:val="00B971BA"/>
    <w:rsid w:val="00B971E9"/>
    <w:rsid w:val="00B97261"/>
    <w:rsid w:val="00B9745A"/>
    <w:rsid w:val="00B975BA"/>
    <w:rsid w:val="00B975BD"/>
    <w:rsid w:val="00B9780B"/>
    <w:rsid w:val="00B97B30"/>
    <w:rsid w:val="00B97B99"/>
    <w:rsid w:val="00B97CD9"/>
    <w:rsid w:val="00B97CF5"/>
    <w:rsid w:val="00B97E35"/>
    <w:rsid w:val="00B97ECE"/>
    <w:rsid w:val="00B97F1F"/>
    <w:rsid w:val="00B97FA0"/>
    <w:rsid w:val="00BA0001"/>
    <w:rsid w:val="00BA002D"/>
    <w:rsid w:val="00BA00B7"/>
    <w:rsid w:val="00BA0148"/>
    <w:rsid w:val="00BA0218"/>
    <w:rsid w:val="00BA0606"/>
    <w:rsid w:val="00BA09A4"/>
    <w:rsid w:val="00BA0A3D"/>
    <w:rsid w:val="00BA0B8D"/>
    <w:rsid w:val="00BA0C02"/>
    <w:rsid w:val="00BA0C92"/>
    <w:rsid w:val="00BA117B"/>
    <w:rsid w:val="00BA11C6"/>
    <w:rsid w:val="00BA121E"/>
    <w:rsid w:val="00BA1399"/>
    <w:rsid w:val="00BA163D"/>
    <w:rsid w:val="00BA16F5"/>
    <w:rsid w:val="00BA1707"/>
    <w:rsid w:val="00BA1776"/>
    <w:rsid w:val="00BA18C8"/>
    <w:rsid w:val="00BA18E7"/>
    <w:rsid w:val="00BA190D"/>
    <w:rsid w:val="00BA1A9C"/>
    <w:rsid w:val="00BA1AF5"/>
    <w:rsid w:val="00BA1BE2"/>
    <w:rsid w:val="00BA1D08"/>
    <w:rsid w:val="00BA1D94"/>
    <w:rsid w:val="00BA1EED"/>
    <w:rsid w:val="00BA1FE8"/>
    <w:rsid w:val="00BA2057"/>
    <w:rsid w:val="00BA221C"/>
    <w:rsid w:val="00BA2278"/>
    <w:rsid w:val="00BA22BD"/>
    <w:rsid w:val="00BA22DE"/>
    <w:rsid w:val="00BA22F7"/>
    <w:rsid w:val="00BA2514"/>
    <w:rsid w:val="00BA25B5"/>
    <w:rsid w:val="00BA29DF"/>
    <w:rsid w:val="00BA2A85"/>
    <w:rsid w:val="00BA2C4A"/>
    <w:rsid w:val="00BA2C9E"/>
    <w:rsid w:val="00BA2D33"/>
    <w:rsid w:val="00BA2D61"/>
    <w:rsid w:val="00BA2DB3"/>
    <w:rsid w:val="00BA2DF8"/>
    <w:rsid w:val="00BA2F15"/>
    <w:rsid w:val="00BA2F88"/>
    <w:rsid w:val="00BA314A"/>
    <w:rsid w:val="00BA31C2"/>
    <w:rsid w:val="00BA3315"/>
    <w:rsid w:val="00BA349B"/>
    <w:rsid w:val="00BA371C"/>
    <w:rsid w:val="00BA3727"/>
    <w:rsid w:val="00BA3803"/>
    <w:rsid w:val="00BA3C72"/>
    <w:rsid w:val="00BA3DF4"/>
    <w:rsid w:val="00BA4034"/>
    <w:rsid w:val="00BA4093"/>
    <w:rsid w:val="00BA40DB"/>
    <w:rsid w:val="00BA4108"/>
    <w:rsid w:val="00BA448D"/>
    <w:rsid w:val="00BA44DB"/>
    <w:rsid w:val="00BA484B"/>
    <w:rsid w:val="00BA494A"/>
    <w:rsid w:val="00BA4B9F"/>
    <w:rsid w:val="00BA4D43"/>
    <w:rsid w:val="00BA4E63"/>
    <w:rsid w:val="00BA4E89"/>
    <w:rsid w:val="00BA526B"/>
    <w:rsid w:val="00BA54B3"/>
    <w:rsid w:val="00BA54B8"/>
    <w:rsid w:val="00BA54EE"/>
    <w:rsid w:val="00BA54F4"/>
    <w:rsid w:val="00BA556B"/>
    <w:rsid w:val="00BA5879"/>
    <w:rsid w:val="00BA5A81"/>
    <w:rsid w:val="00BA5BB4"/>
    <w:rsid w:val="00BA5CF8"/>
    <w:rsid w:val="00BA5D56"/>
    <w:rsid w:val="00BA5F64"/>
    <w:rsid w:val="00BA5FB3"/>
    <w:rsid w:val="00BA624B"/>
    <w:rsid w:val="00BA6341"/>
    <w:rsid w:val="00BA6460"/>
    <w:rsid w:val="00BA6621"/>
    <w:rsid w:val="00BA66DC"/>
    <w:rsid w:val="00BA6E9A"/>
    <w:rsid w:val="00BA6FA1"/>
    <w:rsid w:val="00BA701D"/>
    <w:rsid w:val="00BA723B"/>
    <w:rsid w:val="00BA72EE"/>
    <w:rsid w:val="00BA73A5"/>
    <w:rsid w:val="00BA743B"/>
    <w:rsid w:val="00BA7446"/>
    <w:rsid w:val="00BA745F"/>
    <w:rsid w:val="00BA78C2"/>
    <w:rsid w:val="00BA7E1B"/>
    <w:rsid w:val="00BA7E32"/>
    <w:rsid w:val="00BA7EC6"/>
    <w:rsid w:val="00BA7EC9"/>
    <w:rsid w:val="00BA7F4A"/>
    <w:rsid w:val="00BB004A"/>
    <w:rsid w:val="00BB01BF"/>
    <w:rsid w:val="00BB023C"/>
    <w:rsid w:val="00BB0564"/>
    <w:rsid w:val="00BB0797"/>
    <w:rsid w:val="00BB08E4"/>
    <w:rsid w:val="00BB0BE1"/>
    <w:rsid w:val="00BB0D67"/>
    <w:rsid w:val="00BB0E77"/>
    <w:rsid w:val="00BB109E"/>
    <w:rsid w:val="00BB126B"/>
    <w:rsid w:val="00BB1270"/>
    <w:rsid w:val="00BB13D7"/>
    <w:rsid w:val="00BB1699"/>
    <w:rsid w:val="00BB1733"/>
    <w:rsid w:val="00BB1B19"/>
    <w:rsid w:val="00BB1BFF"/>
    <w:rsid w:val="00BB1CA7"/>
    <w:rsid w:val="00BB1CB3"/>
    <w:rsid w:val="00BB1CF9"/>
    <w:rsid w:val="00BB1E80"/>
    <w:rsid w:val="00BB1F3D"/>
    <w:rsid w:val="00BB1F47"/>
    <w:rsid w:val="00BB22F8"/>
    <w:rsid w:val="00BB2407"/>
    <w:rsid w:val="00BB2461"/>
    <w:rsid w:val="00BB2493"/>
    <w:rsid w:val="00BB24D6"/>
    <w:rsid w:val="00BB2792"/>
    <w:rsid w:val="00BB2822"/>
    <w:rsid w:val="00BB2AA4"/>
    <w:rsid w:val="00BB2AC5"/>
    <w:rsid w:val="00BB2BF4"/>
    <w:rsid w:val="00BB2DA0"/>
    <w:rsid w:val="00BB2EE7"/>
    <w:rsid w:val="00BB3087"/>
    <w:rsid w:val="00BB30E9"/>
    <w:rsid w:val="00BB329D"/>
    <w:rsid w:val="00BB3373"/>
    <w:rsid w:val="00BB360F"/>
    <w:rsid w:val="00BB39AC"/>
    <w:rsid w:val="00BB3DA5"/>
    <w:rsid w:val="00BB3FC4"/>
    <w:rsid w:val="00BB4095"/>
    <w:rsid w:val="00BB4587"/>
    <w:rsid w:val="00BB4615"/>
    <w:rsid w:val="00BB4685"/>
    <w:rsid w:val="00BB4834"/>
    <w:rsid w:val="00BB489F"/>
    <w:rsid w:val="00BB4AB9"/>
    <w:rsid w:val="00BB5090"/>
    <w:rsid w:val="00BB5100"/>
    <w:rsid w:val="00BB5273"/>
    <w:rsid w:val="00BB547F"/>
    <w:rsid w:val="00BB553C"/>
    <w:rsid w:val="00BB5718"/>
    <w:rsid w:val="00BB5BBA"/>
    <w:rsid w:val="00BB5C56"/>
    <w:rsid w:val="00BB5CC7"/>
    <w:rsid w:val="00BB5E7F"/>
    <w:rsid w:val="00BB6232"/>
    <w:rsid w:val="00BB6281"/>
    <w:rsid w:val="00BB6415"/>
    <w:rsid w:val="00BB64D9"/>
    <w:rsid w:val="00BB64E2"/>
    <w:rsid w:val="00BB674C"/>
    <w:rsid w:val="00BB6846"/>
    <w:rsid w:val="00BB6A55"/>
    <w:rsid w:val="00BB6C01"/>
    <w:rsid w:val="00BB6C86"/>
    <w:rsid w:val="00BB6CCB"/>
    <w:rsid w:val="00BB6EF8"/>
    <w:rsid w:val="00BB6FF7"/>
    <w:rsid w:val="00BB7145"/>
    <w:rsid w:val="00BB7215"/>
    <w:rsid w:val="00BB72B1"/>
    <w:rsid w:val="00BB74A8"/>
    <w:rsid w:val="00BB770F"/>
    <w:rsid w:val="00BB78F3"/>
    <w:rsid w:val="00BB7939"/>
    <w:rsid w:val="00BB7AD6"/>
    <w:rsid w:val="00BB7B7F"/>
    <w:rsid w:val="00BC0260"/>
    <w:rsid w:val="00BC038F"/>
    <w:rsid w:val="00BC03DE"/>
    <w:rsid w:val="00BC04D6"/>
    <w:rsid w:val="00BC04EB"/>
    <w:rsid w:val="00BC0631"/>
    <w:rsid w:val="00BC065B"/>
    <w:rsid w:val="00BC095E"/>
    <w:rsid w:val="00BC09A0"/>
    <w:rsid w:val="00BC0E65"/>
    <w:rsid w:val="00BC1055"/>
    <w:rsid w:val="00BC110D"/>
    <w:rsid w:val="00BC12C7"/>
    <w:rsid w:val="00BC1459"/>
    <w:rsid w:val="00BC1477"/>
    <w:rsid w:val="00BC14D9"/>
    <w:rsid w:val="00BC1596"/>
    <w:rsid w:val="00BC15B2"/>
    <w:rsid w:val="00BC1758"/>
    <w:rsid w:val="00BC178A"/>
    <w:rsid w:val="00BC18F1"/>
    <w:rsid w:val="00BC1949"/>
    <w:rsid w:val="00BC19B0"/>
    <w:rsid w:val="00BC1C13"/>
    <w:rsid w:val="00BC1C8A"/>
    <w:rsid w:val="00BC1D0F"/>
    <w:rsid w:val="00BC1D73"/>
    <w:rsid w:val="00BC1F3A"/>
    <w:rsid w:val="00BC2232"/>
    <w:rsid w:val="00BC22AE"/>
    <w:rsid w:val="00BC232A"/>
    <w:rsid w:val="00BC23D1"/>
    <w:rsid w:val="00BC25B1"/>
    <w:rsid w:val="00BC27C1"/>
    <w:rsid w:val="00BC2810"/>
    <w:rsid w:val="00BC296A"/>
    <w:rsid w:val="00BC2B67"/>
    <w:rsid w:val="00BC2CCA"/>
    <w:rsid w:val="00BC2CE9"/>
    <w:rsid w:val="00BC2FEB"/>
    <w:rsid w:val="00BC3022"/>
    <w:rsid w:val="00BC3089"/>
    <w:rsid w:val="00BC36B3"/>
    <w:rsid w:val="00BC37F3"/>
    <w:rsid w:val="00BC39F4"/>
    <w:rsid w:val="00BC3A51"/>
    <w:rsid w:val="00BC3B1D"/>
    <w:rsid w:val="00BC3DB3"/>
    <w:rsid w:val="00BC3E78"/>
    <w:rsid w:val="00BC40B6"/>
    <w:rsid w:val="00BC4150"/>
    <w:rsid w:val="00BC4200"/>
    <w:rsid w:val="00BC426E"/>
    <w:rsid w:val="00BC4302"/>
    <w:rsid w:val="00BC44F3"/>
    <w:rsid w:val="00BC45D7"/>
    <w:rsid w:val="00BC475B"/>
    <w:rsid w:val="00BC4813"/>
    <w:rsid w:val="00BC48CA"/>
    <w:rsid w:val="00BC498C"/>
    <w:rsid w:val="00BC4A3F"/>
    <w:rsid w:val="00BC4C77"/>
    <w:rsid w:val="00BC4E6E"/>
    <w:rsid w:val="00BC4FFD"/>
    <w:rsid w:val="00BC5309"/>
    <w:rsid w:val="00BC54A1"/>
    <w:rsid w:val="00BC55BD"/>
    <w:rsid w:val="00BC5660"/>
    <w:rsid w:val="00BC5791"/>
    <w:rsid w:val="00BC57FE"/>
    <w:rsid w:val="00BC5A6F"/>
    <w:rsid w:val="00BC5A97"/>
    <w:rsid w:val="00BC5C65"/>
    <w:rsid w:val="00BC5CBF"/>
    <w:rsid w:val="00BC5CC9"/>
    <w:rsid w:val="00BC5F53"/>
    <w:rsid w:val="00BC64AB"/>
    <w:rsid w:val="00BC6607"/>
    <w:rsid w:val="00BC661B"/>
    <w:rsid w:val="00BC671E"/>
    <w:rsid w:val="00BC680D"/>
    <w:rsid w:val="00BC688A"/>
    <w:rsid w:val="00BC68E6"/>
    <w:rsid w:val="00BC68E9"/>
    <w:rsid w:val="00BC69F4"/>
    <w:rsid w:val="00BC6A4C"/>
    <w:rsid w:val="00BC70C4"/>
    <w:rsid w:val="00BC71CF"/>
    <w:rsid w:val="00BC73D4"/>
    <w:rsid w:val="00BC74EE"/>
    <w:rsid w:val="00BC7A50"/>
    <w:rsid w:val="00BC7A82"/>
    <w:rsid w:val="00BC7AA5"/>
    <w:rsid w:val="00BC7AD9"/>
    <w:rsid w:val="00BC7B23"/>
    <w:rsid w:val="00BC7C23"/>
    <w:rsid w:val="00BC7C99"/>
    <w:rsid w:val="00BC7EA1"/>
    <w:rsid w:val="00BC7FB5"/>
    <w:rsid w:val="00BD02E4"/>
    <w:rsid w:val="00BD035F"/>
    <w:rsid w:val="00BD0447"/>
    <w:rsid w:val="00BD04E5"/>
    <w:rsid w:val="00BD084B"/>
    <w:rsid w:val="00BD08CE"/>
    <w:rsid w:val="00BD09B0"/>
    <w:rsid w:val="00BD09F0"/>
    <w:rsid w:val="00BD0CC9"/>
    <w:rsid w:val="00BD0D70"/>
    <w:rsid w:val="00BD10AA"/>
    <w:rsid w:val="00BD1136"/>
    <w:rsid w:val="00BD12CA"/>
    <w:rsid w:val="00BD1422"/>
    <w:rsid w:val="00BD149B"/>
    <w:rsid w:val="00BD16BB"/>
    <w:rsid w:val="00BD16F6"/>
    <w:rsid w:val="00BD190F"/>
    <w:rsid w:val="00BD19BF"/>
    <w:rsid w:val="00BD1B85"/>
    <w:rsid w:val="00BD2033"/>
    <w:rsid w:val="00BD20BC"/>
    <w:rsid w:val="00BD2192"/>
    <w:rsid w:val="00BD2306"/>
    <w:rsid w:val="00BD234E"/>
    <w:rsid w:val="00BD266B"/>
    <w:rsid w:val="00BD27AE"/>
    <w:rsid w:val="00BD27CA"/>
    <w:rsid w:val="00BD282B"/>
    <w:rsid w:val="00BD2843"/>
    <w:rsid w:val="00BD2956"/>
    <w:rsid w:val="00BD2A62"/>
    <w:rsid w:val="00BD2AF9"/>
    <w:rsid w:val="00BD2EAE"/>
    <w:rsid w:val="00BD2EE7"/>
    <w:rsid w:val="00BD2F4E"/>
    <w:rsid w:val="00BD305A"/>
    <w:rsid w:val="00BD3060"/>
    <w:rsid w:val="00BD356F"/>
    <w:rsid w:val="00BD35AF"/>
    <w:rsid w:val="00BD3607"/>
    <w:rsid w:val="00BD3A11"/>
    <w:rsid w:val="00BD3B03"/>
    <w:rsid w:val="00BD3B9B"/>
    <w:rsid w:val="00BD3D02"/>
    <w:rsid w:val="00BD3DF7"/>
    <w:rsid w:val="00BD3F03"/>
    <w:rsid w:val="00BD3FCE"/>
    <w:rsid w:val="00BD4086"/>
    <w:rsid w:val="00BD4572"/>
    <w:rsid w:val="00BD45BA"/>
    <w:rsid w:val="00BD47DA"/>
    <w:rsid w:val="00BD47DB"/>
    <w:rsid w:val="00BD4CFD"/>
    <w:rsid w:val="00BD4DE7"/>
    <w:rsid w:val="00BD5057"/>
    <w:rsid w:val="00BD5171"/>
    <w:rsid w:val="00BD51C6"/>
    <w:rsid w:val="00BD540B"/>
    <w:rsid w:val="00BD5763"/>
    <w:rsid w:val="00BD5799"/>
    <w:rsid w:val="00BD5897"/>
    <w:rsid w:val="00BD5951"/>
    <w:rsid w:val="00BD59B9"/>
    <w:rsid w:val="00BD5B88"/>
    <w:rsid w:val="00BD5F4F"/>
    <w:rsid w:val="00BD6132"/>
    <w:rsid w:val="00BD63E6"/>
    <w:rsid w:val="00BD64E2"/>
    <w:rsid w:val="00BD6610"/>
    <w:rsid w:val="00BD67FA"/>
    <w:rsid w:val="00BD689B"/>
    <w:rsid w:val="00BD68A6"/>
    <w:rsid w:val="00BD690A"/>
    <w:rsid w:val="00BD691B"/>
    <w:rsid w:val="00BD6987"/>
    <w:rsid w:val="00BD6AEB"/>
    <w:rsid w:val="00BD6B5B"/>
    <w:rsid w:val="00BD6C93"/>
    <w:rsid w:val="00BD6D77"/>
    <w:rsid w:val="00BD6E9B"/>
    <w:rsid w:val="00BD6FAE"/>
    <w:rsid w:val="00BD7037"/>
    <w:rsid w:val="00BD7087"/>
    <w:rsid w:val="00BD70BE"/>
    <w:rsid w:val="00BD7272"/>
    <w:rsid w:val="00BD7550"/>
    <w:rsid w:val="00BD75F5"/>
    <w:rsid w:val="00BD780E"/>
    <w:rsid w:val="00BD7857"/>
    <w:rsid w:val="00BD78D7"/>
    <w:rsid w:val="00BD7CE4"/>
    <w:rsid w:val="00BD7D2A"/>
    <w:rsid w:val="00BD7DE4"/>
    <w:rsid w:val="00BD7E6C"/>
    <w:rsid w:val="00BE00A4"/>
    <w:rsid w:val="00BE05A8"/>
    <w:rsid w:val="00BE05D5"/>
    <w:rsid w:val="00BE063D"/>
    <w:rsid w:val="00BE0660"/>
    <w:rsid w:val="00BE069D"/>
    <w:rsid w:val="00BE0732"/>
    <w:rsid w:val="00BE0AFE"/>
    <w:rsid w:val="00BE0F10"/>
    <w:rsid w:val="00BE12D0"/>
    <w:rsid w:val="00BE12F1"/>
    <w:rsid w:val="00BE1A98"/>
    <w:rsid w:val="00BE1C08"/>
    <w:rsid w:val="00BE1C42"/>
    <w:rsid w:val="00BE1D59"/>
    <w:rsid w:val="00BE1D5D"/>
    <w:rsid w:val="00BE2036"/>
    <w:rsid w:val="00BE2115"/>
    <w:rsid w:val="00BE21AD"/>
    <w:rsid w:val="00BE229D"/>
    <w:rsid w:val="00BE2A05"/>
    <w:rsid w:val="00BE2C9F"/>
    <w:rsid w:val="00BE2D5A"/>
    <w:rsid w:val="00BE2DD6"/>
    <w:rsid w:val="00BE3226"/>
    <w:rsid w:val="00BE3414"/>
    <w:rsid w:val="00BE346F"/>
    <w:rsid w:val="00BE3630"/>
    <w:rsid w:val="00BE36E8"/>
    <w:rsid w:val="00BE37DB"/>
    <w:rsid w:val="00BE3A26"/>
    <w:rsid w:val="00BE3B13"/>
    <w:rsid w:val="00BE3B4B"/>
    <w:rsid w:val="00BE3E95"/>
    <w:rsid w:val="00BE3F71"/>
    <w:rsid w:val="00BE4088"/>
    <w:rsid w:val="00BE41F0"/>
    <w:rsid w:val="00BE4391"/>
    <w:rsid w:val="00BE43F9"/>
    <w:rsid w:val="00BE445D"/>
    <w:rsid w:val="00BE44E2"/>
    <w:rsid w:val="00BE4670"/>
    <w:rsid w:val="00BE4750"/>
    <w:rsid w:val="00BE4854"/>
    <w:rsid w:val="00BE48FE"/>
    <w:rsid w:val="00BE4A95"/>
    <w:rsid w:val="00BE4EBF"/>
    <w:rsid w:val="00BE521D"/>
    <w:rsid w:val="00BE54E1"/>
    <w:rsid w:val="00BE566B"/>
    <w:rsid w:val="00BE59C3"/>
    <w:rsid w:val="00BE5D1F"/>
    <w:rsid w:val="00BE6044"/>
    <w:rsid w:val="00BE6151"/>
    <w:rsid w:val="00BE6154"/>
    <w:rsid w:val="00BE61FB"/>
    <w:rsid w:val="00BE6361"/>
    <w:rsid w:val="00BE6513"/>
    <w:rsid w:val="00BE68DA"/>
    <w:rsid w:val="00BE69F6"/>
    <w:rsid w:val="00BE6ACA"/>
    <w:rsid w:val="00BE6BBA"/>
    <w:rsid w:val="00BE6C67"/>
    <w:rsid w:val="00BE6CD7"/>
    <w:rsid w:val="00BE6E19"/>
    <w:rsid w:val="00BE6F49"/>
    <w:rsid w:val="00BE7158"/>
    <w:rsid w:val="00BE7258"/>
    <w:rsid w:val="00BE72B5"/>
    <w:rsid w:val="00BE7363"/>
    <w:rsid w:val="00BE7440"/>
    <w:rsid w:val="00BE74E0"/>
    <w:rsid w:val="00BE79F9"/>
    <w:rsid w:val="00BE7A6B"/>
    <w:rsid w:val="00BE7A6F"/>
    <w:rsid w:val="00BE7B65"/>
    <w:rsid w:val="00BE7EF0"/>
    <w:rsid w:val="00BE7FF3"/>
    <w:rsid w:val="00BEFABD"/>
    <w:rsid w:val="00BF00E7"/>
    <w:rsid w:val="00BF010E"/>
    <w:rsid w:val="00BF061D"/>
    <w:rsid w:val="00BF0668"/>
    <w:rsid w:val="00BF07CE"/>
    <w:rsid w:val="00BF0A67"/>
    <w:rsid w:val="00BF0D22"/>
    <w:rsid w:val="00BF0D26"/>
    <w:rsid w:val="00BF0DE5"/>
    <w:rsid w:val="00BF1030"/>
    <w:rsid w:val="00BF10A4"/>
    <w:rsid w:val="00BF11E0"/>
    <w:rsid w:val="00BF11E2"/>
    <w:rsid w:val="00BF1293"/>
    <w:rsid w:val="00BF1296"/>
    <w:rsid w:val="00BF1334"/>
    <w:rsid w:val="00BF135C"/>
    <w:rsid w:val="00BF1460"/>
    <w:rsid w:val="00BF14DB"/>
    <w:rsid w:val="00BF15C5"/>
    <w:rsid w:val="00BF16B9"/>
    <w:rsid w:val="00BF1748"/>
    <w:rsid w:val="00BF17FF"/>
    <w:rsid w:val="00BF1D6D"/>
    <w:rsid w:val="00BF1D74"/>
    <w:rsid w:val="00BF1FEB"/>
    <w:rsid w:val="00BF21B6"/>
    <w:rsid w:val="00BF21D6"/>
    <w:rsid w:val="00BF26C1"/>
    <w:rsid w:val="00BF2801"/>
    <w:rsid w:val="00BF28CB"/>
    <w:rsid w:val="00BF28EE"/>
    <w:rsid w:val="00BF2A76"/>
    <w:rsid w:val="00BF2E3D"/>
    <w:rsid w:val="00BF2E5A"/>
    <w:rsid w:val="00BF2FA7"/>
    <w:rsid w:val="00BF3058"/>
    <w:rsid w:val="00BF3230"/>
    <w:rsid w:val="00BF35C5"/>
    <w:rsid w:val="00BF368A"/>
    <w:rsid w:val="00BF36E8"/>
    <w:rsid w:val="00BF3708"/>
    <w:rsid w:val="00BF38EB"/>
    <w:rsid w:val="00BF3924"/>
    <w:rsid w:val="00BF3DC3"/>
    <w:rsid w:val="00BF3E07"/>
    <w:rsid w:val="00BF3E51"/>
    <w:rsid w:val="00BF3F75"/>
    <w:rsid w:val="00BF40EC"/>
    <w:rsid w:val="00BF423F"/>
    <w:rsid w:val="00BF4546"/>
    <w:rsid w:val="00BF4932"/>
    <w:rsid w:val="00BF49EA"/>
    <w:rsid w:val="00BF4AF1"/>
    <w:rsid w:val="00BF4D16"/>
    <w:rsid w:val="00BF4E58"/>
    <w:rsid w:val="00BF502D"/>
    <w:rsid w:val="00BF521D"/>
    <w:rsid w:val="00BF529B"/>
    <w:rsid w:val="00BF58AB"/>
    <w:rsid w:val="00BF5A95"/>
    <w:rsid w:val="00BF5EDF"/>
    <w:rsid w:val="00BF5F53"/>
    <w:rsid w:val="00BF6244"/>
    <w:rsid w:val="00BF631F"/>
    <w:rsid w:val="00BF6610"/>
    <w:rsid w:val="00BF67A7"/>
    <w:rsid w:val="00BF67CE"/>
    <w:rsid w:val="00BF67F0"/>
    <w:rsid w:val="00BF69AA"/>
    <w:rsid w:val="00BF6B3D"/>
    <w:rsid w:val="00BF7074"/>
    <w:rsid w:val="00BF7550"/>
    <w:rsid w:val="00BF7692"/>
    <w:rsid w:val="00BF7790"/>
    <w:rsid w:val="00C002B7"/>
    <w:rsid w:val="00C003F8"/>
    <w:rsid w:val="00C004A3"/>
    <w:rsid w:val="00C0064F"/>
    <w:rsid w:val="00C006D8"/>
    <w:rsid w:val="00C00A7C"/>
    <w:rsid w:val="00C00E68"/>
    <w:rsid w:val="00C00E6E"/>
    <w:rsid w:val="00C01048"/>
    <w:rsid w:val="00C0136B"/>
    <w:rsid w:val="00C01398"/>
    <w:rsid w:val="00C01635"/>
    <w:rsid w:val="00C016CE"/>
    <w:rsid w:val="00C01A45"/>
    <w:rsid w:val="00C01B78"/>
    <w:rsid w:val="00C01C08"/>
    <w:rsid w:val="00C01C17"/>
    <w:rsid w:val="00C01E20"/>
    <w:rsid w:val="00C021B0"/>
    <w:rsid w:val="00C0222E"/>
    <w:rsid w:val="00C0246C"/>
    <w:rsid w:val="00C025AC"/>
    <w:rsid w:val="00C02806"/>
    <w:rsid w:val="00C02A2A"/>
    <w:rsid w:val="00C02AB0"/>
    <w:rsid w:val="00C02D1A"/>
    <w:rsid w:val="00C02D38"/>
    <w:rsid w:val="00C02DB6"/>
    <w:rsid w:val="00C02E5C"/>
    <w:rsid w:val="00C02FFE"/>
    <w:rsid w:val="00C03092"/>
    <w:rsid w:val="00C031BE"/>
    <w:rsid w:val="00C032DF"/>
    <w:rsid w:val="00C03363"/>
    <w:rsid w:val="00C034FD"/>
    <w:rsid w:val="00C03581"/>
    <w:rsid w:val="00C03A45"/>
    <w:rsid w:val="00C03ADC"/>
    <w:rsid w:val="00C03B48"/>
    <w:rsid w:val="00C03CD5"/>
    <w:rsid w:val="00C041B1"/>
    <w:rsid w:val="00C04273"/>
    <w:rsid w:val="00C0436A"/>
    <w:rsid w:val="00C045A7"/>
    <w:rsid w:val="00C04870"/>
    <w:rsid w:val="00C04924"/>
    <w:rsid w:val="00C0498E"/>
    <w:rsid w:val="00C04A32"/>
    <w:rsid w:val="00C04A69"/>
    <w:rsid w:val="00C04AE3"/>
    <w:rsid w:val="00C04CB6"/>
    <w:rsid w:val="00C051D8"/>
    <w:rsid w:val="00C051D9"/>
    <w:rsid w:val="00C0545C"/>
    <w:rsid w:val="00C056C6"/>
    <w:rsid w:val="00C05862"/>
    <w:rsid w:val="00C059D3"/>
    <w:rsid w:val="00C059E0"/>
    <w:rsid w:val="00C05BDE"/>
    <w:rsid w:val="00C05D96"/>
    <w:rsid w:val="00C061D5"/>
    <w:rsid w:val="00C06274"/>
    <w:rsid w:val="00C0630F"/>
    <w:rsid w:val="00C0634E"/>
    <w:rsid w:val="00C06354"/>
    <w:rsid w:val="00C065C8"/>
    <w:rsid w:val="00C067B6"/>
    <w:rsid w:val="00C0686C"/>
    <w:rsid w:val="00C06AFA"/>
    <w:rsid w:val="00C06CAF"/>
    <w:rsid w:val="00C06E50"/>
    <w:rsid w:val="00C06F41"/>
    <w:rsid w:val="00C0701A"/>
    <w:rsid w:val="00C073B8"/>
    <w:rsid w:val="00C07505"/>
    <w:rsid w:val="00C07540"/>
    <w:rsid w:val="00C0756C"/>
    <w:rsid w:val="00C075C3"/>
    <w:rsid w:val="00C075E2"/>
    <w:rsid w:val="00C07CEF"/>
    <w:rsid w:val="00C07E81"/>
    <w:rsid w:val="00C07EA2"/>
    <w:rsid w:val="00C07F53"/>
    <w:rsid w:val="00C1009F"/>
    <w:rsid w:val="00C1011C"/>
    <w:rsid w:val="00C10164"/>
    <w:rsid w:val="00C101BF"/>
    <w:rsid w:val="00C10248"/>
    <w:rsid w:val="00C103C2"/>
    <w:rsid w:val="00C103C5"/>
    <w:rsid w:val="00C1061C"/>
    <w:rsid w:val="00C1065D"/>
    <w:rsid w:val="00C10678"/>
    <w:rsid w:val="00C107DD"/>
    <w:rsid w:val="00C107F1"/>
    <w:rsid w:val="00C10815"/>
    <w:rsid w:val="00C108D3"/>
    <w:rsid w:val="00C1092B"/>
    <w:rsid w:val="00C10A47"/>
    <w:rsid w:val="00C10D26"/>
    <w:rsid w:val="00C10FDA"/>
    <w:rsid w:val="00C1106F"/>
    <w:rsid w:val="00C115B1"/>
    <w:rsid w:val="00C1160C"/>
    <w:rsid w:val="00C116E0"/>
    <w:rsid w:val="00C11A21"/>
    <w:rsid w:val="00C11B4E"/>
    <w:rsid w:val="00C11BD8"/>
    <w:rsid w:val="00C11F3B"/>
    <w:rsid w:val="00C120A4"/>
    <w:rsid w:val="00C12172"/>
    <w:rsid w:val="00C124A8"/>
    <w:rsid w:val="00C1257A"/>
    <w:rsid w:val="00C1259D"/>
    <w:rsid w:val="00C12A33"/>
    <w:rsid w:val="00C12B14"/>
    <w:rsid w:val="00C12E47"/>
    <w:rsid w:val="00C1310B"/>
    <w:rsid w:val="00C135AD"/>
    <w:rsid w:val="00C1384E"/>
    <w:rsid w:val="00C13906"/>
    <w:rsid w:val="00C13BB8"/>
    <w:rsid w:val="00C13C9F"/>
    <w:rsid w:val="00C13DC0"/>
    <w:rsid w:val="00C13E4E"/>
    <w:rsid w:val="00C13E5E"/>
    <w:rsid w:val="00C141EF"/>
    <w:rsid w:val="00C1431F"/>
    <w:rsid w:val="00C14484"/>
    <w:rsid w:val="00C144A9"/>
    <w:rsid w:val="00C1460E"/>
    <w:rsid w:val="00C1486E"/>
    <w:rsid w:val="00C149B6"/>
    <w:rsid w:val="00C14BBB"/>
    <w:rsid w:val="00C14C9D"/>
    <w:rsid w:val="00C14DDE"/>
    <w:rsid w:val="00C14F02"/>
    <w:rsid w:val="00C15129"/>
    <w:rsid w:val="00C151A4"/>
    <w:rsid w:val="00C154C0"/>
    <w:rsid w:val="00C15631"/>
    <w:rsid w:val="00C15649"/>
    <w:rsid w:val="00C15661"/>
    <w:rsid w:val="00C15698"/>
    <w:rsid w:val="00C156C8"/>
    <w:rsid w:val="00C156FF"/>
    <w:rsid w:val="00C157AB"/>
    <w:rsid w:val="00C15ABF"/>
    <w:rsid w:val="00C15ADD"/>
    <w:rsid w:val="00C15B05"/>
    <w:rsid w:val="00C15BB7"/>
    <w:rsid w:val="00C15E4A"/>
    <w:rsid w:val="00C16679"/>
    <w:rsid w:val="00C16A8D"/>
    <w:rsid w:val="00C16B87"/>
    <w:rsid w:val="00C16D67"/>
    <w:rsid w:val="00C16ECA"/>
    <w:rsid w:val="00C17019"/>
    <w:rsid w:val="00C1733C"/>
    <w:rsid w:val="00C1734E"/>
    <w:rsid w:val="00C17499"/>
    <w:rsid w:val="00C1753E"/>
    <w:rsid w:val="00C176BF"/>
    <w:rsid w:val="00C1787E"/>
    <w:rsid w:val="00C178C9"/>
    <w:rsid w:val="00C17A1A"/>
    <w:rsid w:val="00C17C63"/>
    <w:rsid w:val="00C17DA7"/>
    <w:rsid w:val="00C17E09"/>
    <w:rsid w:val="00C17EDB"/>
    <w:rsid w:val="00C20269"/>
    <w:rsid w:val="00C2029C"/>
    <w:rsid w:val="00C202F1"/>
    <w:rsid w:val="00C20330"/>
    <w:rsid w:val="00C20739"/>
    <w:rsid w:val="00C20810"/>
    <w:rsid w:val="00C2085E"/>
    <w:rsid w:val="00C20CB3"/>
    <w:rsid w:val="00C20CD8"/>
    <w:rsid w:val="00C20FBF"/>
    <w:rsid w:val="00C2100D"/>
    <w:rsid w:val="00C2106D"/>
    <w:rsid w:val="00C211A2"/>
    <w:rsid w:val="00C211D7"/>
    <w:rsid w:val="00C212D4"/>
    <w:rsid w:val="00C213DB"/>
    <w:rsid w:val="00C2180E"/>
    <w:rsid w:val="00C2195B"/>
    <w:rsid w:val="00C21A15"/>
    <w:rsid w:val="00C21AF7"/>
    <w:rsid w:val="00C21B5A"/>
    <w:rsid w:val="00C21CF1"/>
    <w:rsid w:val="00C21DCC"/>
    <w:rsid w:val="00C21E8F"/>
    <w:rsid w:val="00C21EEB"/>
    <w:rsid w:val="00C22237"/>
    <w:rsid w:val="00C22444"/>
    <w:rsid w:val="00C225B5"/>
    <w:rsid w:val="00C22612"/>
    <w:rsid w:val="00C2289A"/>
    <w:rsid w:val="00C2289D"/>
    <w:rsid w:val="00C229A9"/>
    <w:rsid w:val="00C22C97"/>
    <w:rsid w:val="00C22D8A"/>
    <w:rsid w:val="00C23084"/>
    <w:rsid w:val="00C2321D"/>
    <w:rsid w:val="00C23243"/>
    <w:rsid w:val="00C2339D"/>
    <w:rsid w:val="00C2346E"/>
    <w:rsid w:val="00C235F8"/>
    <w:rsid w:val="00C2370E"/>
    <w:rsid w:val="00C239F2"/>
    <w:rsid w:val="00C23B7A"/>
    <w:rsid w:val="00C23E15"/>
    <w:rsid w:val="00C23E7F"/>
    <w:rsid w:val="00C23F0B"/>
    <w:rsid w:val="00C24086"/>
    <w:rsid w:val="00C240DA"/>
    <w:rsid w:val="00C2413D"/>
    <w:rsid w:val="00C243D2"/>
    <w:rsid w:val="00C24499"/>
    <w:rsid w:val="00C245D7"/>
    <w:rsid w:val="00C24C6B"/>
    <w:rsid w:val="00C24D86"/>
    <w:rsid w:val="00C251AD"/>
    <w:rsid w:val="00C251B1"/>
    <w:rsid w:val="00C25238"/>
    <w:rsid w:val="00C252D1"/>
    <w:rsid w:val="00C25464"/>
    <w:rsid w:val="00C2548D"/>
    <w:rsid w:val="00C254EF"/>
    <w:rsid w:val="00C2554B"/>
    <w:rsid w:val="00C25679"/>
    <w:rsid w:val="00C25808"/>
    <w:rsid w:val="00C25A12"/>
    <w:rsid w:val="00C25AD7"/>
    <w:rsid w:val="00C25B08"/>
    <w:rsid w:val="00C25BD5"/>
    <w:rsid w:val="00C25E07"/>
    <w:rsid w:val="00C25EA7"/>
    <w:rsid w:val="00C25F5E"/>
    <w:rsid w:val="00C26005"/>
    <w:rsid w:val="00C26100"/>
    <w:rsid w:val="00C26127"/>
    <w:rsid w:val="00C26190"/>
    <w:rsid w:val="00C26357"/>
    <w:rsid w:val="00C26360"/>
    <w:rsid w:val="00C267F8"/>
    <w:rsid w:val="00C26948"/>
    <w:rsid w:val="00C269D6"/>
    <w:rsid w:val="00C269D8"/>
    <w:rsid w:val="00C26B02"/>
    <w:rsid w:val="00C26BE0"/>
    <w:rsid w:val="00C26C56"/>
    <w:rsid w:val="00C26E40"/>
    <w:rsid w:val="00C273F6"/>
    <w:rsid w:val="00C274D8"/>
    <w:rsid w:val="00C276F2"/>
    <w:rsid w:val="00C27772"/>
    <w:rsid w:val="00C27B0A"/>
    <w:rsid w:val="00C27B72"/>
    <w:rsid w:val="00C27C5D"/>
    <w:rsid w:val="00C27CA6"/>
    <w:rsid w:val="00C27D3B"/>
    <w:rsid w:val="00C27D7B"/>
    <w:rsid w:val="00C27DD1"/>
    <w:rsid w:val="00C27E55"/>
    <w:rsid w:val="00C27F47"/>
    <w:rsid w:val="00C3000C"/>
    <w:rsid w:val="00C301AE"/>
    <w:rsid w:val="00C30495"/>
    <w:rsid w:val="00C306E9"/>
    <w:rsid w:val="00C3086A"/>
    <w:rsid w:val="00C30A65"/>
    <w:rsid w:val="00C30A8C"/>
    <w:rsid w:val="00C30BE2"/>
    <w:rsid w:val="00C30C9C"/>
    <w:rsid w:val="00C30CB1"/>
    <w:rsid w:val="00C30D8A"/>
    <w:rsid w:val="00C30E3C"/>
    <w:rsid w:val="00C30F1B"/>
    <w:rsid w:val="00C30FA4"/>
    <w:rsid w:val="00C3105E"/>
    <w:rsid w:val="00C31086"/>
    <w:rsid w:val="00C31176"/>
    <w:rsid w:val="00C31457"/>
    <w:rsid w:val="00C3169C"/>
    <w:rsid w:val="00C316EB"/>
    <w:rsid w:val="00C3176E"/>
    <w:rsid w:val="00C31E82"/>
    <w:rsid w:val="00C32164"/>
    <w:rsid w:val="00C3225D"/>
    <w:rsid w:val="00C32262"/>
    <w:rsid w:val="00C322C0"/>
    <w:rsid w:val="00C3237A"/>
    <w:rsid w:val="00C323FA"/>
    <w:rsid w:val="00C323FE"/>
    <w:rsid w:val="00C3240D"/>
    <w:rsid w:val="00C32448"/>
    <w:rsid w:val="00C324F1"/>
    <w:rsid w:val="00C324F3"/>
    <w:rsid w:val="00C3259F"/>
    <w:rsid w:val="00C32759"/>
    <w:rsid w:val="00C32913"/>
    <w:rsid w:val="00C32CD4"/>
    <w:rsid w:val="00C32E11"/>
    <w:rsid w:val="00C3303A"/>
    <w:rsid w:val="00C33309"/>
    <w:rsid w:val="00C33400"/>
    <w:rsid w:val="00C3342E"/>
    <w:rsid w:val="00C334CC"/>
    <w:rsid w:val="00C3359D"/>
    <w:rsid w:val="00C336BE"/>
    <w:rsid w:val="00C336E2"/>
    <w:rsid w:val="00C3392B"/>
    <w:rsid w:val="00C33BA6"/>
    <w:rsid w:val="00C33C05"/>
    <w:rsid w:val="00C33C22"/>
    <w:rsid w:val="00C33D4A"/>
    <w:rsid w:val="00C33D83"/>
    <w:rsid w:val="00C33EB2"/>
    <w:rsid w:val="00C33EEC"/>
    <w:rsid w:val="00C33F90"/>
    <w:rsid w:val="00C3407B"/>
    <w:rsid w:val="00C3416F"/>
    <w:rsid w:val="00C34343"/>
    <w:rsid w:val="00C34630"/>
    <w:rsid w:val="00C34709"/>
    <w:rsid w:val="00C3477D"/>
    <w:rsid w:val="00C34B41"/>
    <w:rsid w:val="00C34BB5"/>
    <w:rsid w:val="00C34C39"/>
    <w:rsid w:val="00C34C6B"/>
    <w:rsid w:val="00C34CDD"/>
    <w:rsid w:val="00C34DE1"/>
    <w:rsid w:val="00C34E8B"/>
    <w:rsid w:val="00C35089"/>
    <w:rsid w:val="00C350F5"/>
    <w:rsid w:val="00C353DC"/>
    <w:rsid w:val="00C354D5"/>
    <w:rsid w:val="00C35554"/>
    <w:rsid w:val="00C355D1"/>
    <w:rsid w:val="00C3564E"/>
    <w:rsid w:val="00C356E5"/>
    <w:rsid w:val="00C357E2"/>
    <w:rsid w:val="00C35829"/>
    <w:rsid w:val="00C35B35"/>
    <w:rsid w:val="00C35C0C"/>
    <w:rsid w:val="00C35C37"/>
    <w:rsid w:val="00C35C70"/>
    <w:rsid w:val="00C35CD4"/>
    <w:rsid w:val="00C35D95"/>
    <w:rsid w:val="00C365E2"/>
    <w:rsid w:val="00C3670B"/>
    <w:rsid w:val="00C36732"/>
    <w:rsid w:val="00C367C9"/>
    <w:rsid w:val="00C3685B"/>
    <w:rsid w:val="00C3693F"/>
    <w:rsid w:val="00C36C49"/>
    <w:rsid w:val="00C36CBE"/>
    <w:rsid w:val="00C36DC8"/>
    <w:rsid w:val="00C36FD0"/>
    <w:rsid w:val="00C3700A"/>
    <w:rsid w:val="00C37078"/>
    <w:rsid w:val="00C37253"/>
    <w:rsid w:val="00C372D3"/>
    <w:rsid w:val="00C3743C"/>
    <w:rsid w:val="00C376CC"/>
    <w:rsid w:val="00C377A9"/>
    <w:rsid w:val="00C378AD"/>
    <w:rsid w:val="00C379D2"/>
    <w:rsid w:val="00C37DAF"/>
    <w:rsid w:val="00C37E65"/>
    <w:rsid w:val="00C37F25"/>
    <w:rsid w:val="00C37F5B"/>
    <w:rsid w:val="00C400EF"/>
    <w:rsid w:val="00C40211"/>
    <w:rsid w:val="00C402EF"/>
    <w:rsid w:val="00C402FF"/>
    <w:rsid w:val="00C404B3"/>
    <w:rsid w:val="00C4055F"/>
    <w:rsid w:val="00C4065D"/>
    <w:rsid w:val="00C40692"/>
    <w:rsid w:val="00C406C4"/>
    <w:rsid w:val="00C40831"/>
    <w:rsid w:val="00C40B19"/>
    <w:rsid w:val="00C40B33"/>
    <w:rsid w:val="00C40C77"/>
    <w:rsid w:val="00C40DF6"/>
    <w:rsid w:val="00C40EE3"/>
    <w:rsid w:val="00C41067"/>
    <w:rsid w:val="00C410DE"/>
    <w:rsid w:val="00C410FF"/>
    <w:rsid w:val="00C412CD"/>
    <w:rsid w:val="00C412F8"/>
    <w:rsid w:val="00C4141A"/>
    <w:rsid w:val="00C41462"/>
    <w:rsid w:val="00C41550"/>
    <w:rsid w:val="00C4161D"/>
    <w:rsid w:val="00C4168C"/>
    <w:rsid w:val="00C4176B"/>
    <w:rsid w:val="00C417F4"/>
    <w:rsid w:val="00C417F8"/>
    <w:rsid w:val="00C41D4F"/>
    <w:rsid w:val="00C41E41"/>
    <w:rsid w:val="00C41ED7"/>
    <w:rsid w:val="00C4240C"/>
    <w:rsid w:val="00C42455"/>
    <w:rsid w:val="00C42894"/>
    <w:rsid w:val="00C429A6"/>
    <w:rsid w:val="00C42A44"/>
    <w:rsid w:val="00C42B22"/>
    <w:rsid w:val="00C42C28"/>
    <w:rsid w:val="00C42C93"/>
    <w:rsid w:val="00C42EF5"/>
    <w:rsid w:val="00C42FEB"/>
    <w:rsid w:val="00C43059"/>
    <w:rsid w:val="00C430C4"/>
    <w:rsid w:val="00C43107"/>
    <w:rsid w:val="00C43497"/>
    <w:rsid w:val="00C4351C"/>
    <w:rsid w:val="00C43540"/>
    <w:rsid w:val="00C4355D"/>
    <w:rsid w:val="00C4363E"/>
    <w:rsid w:val="00C4377C"/>
    <w:rsid w:val="00C438DA"/>
    <w:rsid w:val="00C439CB"/>
    <w:rsid w:val="00C439CD"/>
    <w:rsid w:val="00C43A91"/>
    <w:rsid w:val="00C43AA3"/>
    <w:rsid w:val="00C43AB3"/>
    <w:rsid w:val="00C43AD2"/>
    <w:rsid w:val="00C43CF0"/>
    <w:rsid w:val="00C43DAB"/>
    <w:rsid w:val="00C43F41"/>
    <w:rsid w:val="00C440E6"/>
    <w:rsid w:val="00C441CF"/>
    <w:rsid w:val="00C446FD"/>
    <w:rsid w:val="00C4488F"/>
    <w:rsid w:val="00C44925"/>
    <w:rsid w:val="00C44BA5"/>
    <w:rsid w:val="00C44BB6"/>
    <w:rsid w:val="00C44DDD"/>
    <w:rsid w:val="00C44EE6"/>
    <w:rsid w:val="00C450E8"/>
    <w:rsid w:val="00C45123"/>
    <w:rsid w:val="00C4520C"/>
    <w:rsid w:val="00C4522E"/>
    <w:rsid w:val="00C4535B"/>
    <w:rsid w:val="00C454A4"/>
    <w:rsid w:val="00C4557B"/>
    <w:rsid w:val="00C45884"/>
    <w:rsid w:val="00C45922"/>
    <w:rsid w:val="00C459DF"/>
    <w:rsid w:val="00C45BC6"/>
    <w:rsid w:val="00C45BC7"/>
    <w:rsid w:val="00C45D82"/>
    <w:rsid w:val="00C45E39"/>
    <w:rsid w:val="00C45ECF"/>
    <w:rsid w:val="00C460EE"/>
    <w:rsid w:val="00C4616E"/>
    <w:rsid w:val="00C461BD"/>
    <w:rsid w:val="00C464ED"/>
    <w:rsid w:val="00C4657E"/>
    <w:rsid w:val="00C465D6"/>
    <w:rsid w:val="00C4672E"/>
    <w:rsid w:val="00C46757"/>
    <w:rsid w:val="00C46AFC"/>
    <w:rsid w:val="00C46C05"/>
    <w:rsid w:val="00C46C2D"/>
    <w:rsid w:val="00C46DFA"/>
    <w:rsid w:val="00C46E59"/>
    <w:rsid w:val="00C471C3"/>
    <w:rsid w:val="00C47240"/>
    <w:rsid w:val="00C472DA"/>
    <w:rsid w:val="00C4760C"/>
    <w:rsid w:val="00C47A6B"/>
    <w:rsid w:val="00C47AB2"/>
    <w:rsid w:val="00C47E1D"/>
    <w:rsid w:val="00C5003E"/>
    <w:rsid w:val="00C5026E"/>
    <w:rsid w:val="00C50360"/>
    <w:rsid w:val="00C5041C"/>
    <w:rsid w:val="00C50466"/>
    <w:rsid w:val="00C5057F"/>
    <w:rsid w:val="00C50747"/>
    <w:rsid w:val="00C50AA8"/>
    <w:rsid w:val="00C50B60"/>
    <w:rsid w:val="00C50B6D"/>
    <w:rsid w:val="00C50BFA"/>
    <w:rsid w:val="00C50D78"/>
    <w:rsid w:val="00C50F49"/>
    <w:rsid w:val="00C51081"/>
    <w:rsid w:val="00C5112E"/>
    <w:rsid w:val="00C51359"/>
    <w:rsid w:val="00C51703"/>
    <w:rsid w:val="00C518F7"/>
    <w:rsid w:val="00C51BB7"/>
    <w:rsid w:val="00C51BD9"/>
    <w:rsid w:val="00C51D64"/>
    <w:rsid w:val="00C51DC9"/>
    <w:rsid w:val="00C51FA0"/>
    <w:rsid w:val="00C52073"/>
    <w:rsid w:val="00C52253"/>
    <w:rsid w:val="00C522B0"/>
    <w:rsid w:val="00C5234E"/>
    <w:rsid w:val="00C523AB"/>
    <w:rsid w:val="00C5246F"/>
    <w:rsid w:val="00C52478"/>
    <w:rsid w:val="00C52574"/>
    <w:rsid w:val="00C525CA"/>
    <w:rsid w:val="00C52843"/>
    <w:rsid w:val="00C528E6"/>
    <w:rsid w:val="00C528EF"/>
    <w:rsid w:val="00C52961"/>
    <w:rsid w:val="00C52A1B"/>
    <w:rsid w:val="00C52BD5"/>
    <w:rsid w:val="00C52D5D"/>
    <w:rsid w:val="00C52DE5"/>
    <w:rsid w:val="00C52E2F"/>
    <w:rsid w:val="00C52FF7"/>
    <w:rsid w:val="00C53007"/>
    <w:rsid w:val="00C530D2"/>
    <w:rsid w:val="00C530F5"/>
    <w:rsid w:val="00C5346E"/>
    <w:rsid w:val="00C53602"/>
    <w:rsid w:val="00C538D1"/>
    <w:rsid w:val="00C5397F"/>
    <w:rsid w:val="00C53C9A"/>
    <w:rsid w:val="00C53EAE"/>
    <w:rsid w:val="00C54137"/>
    <w:rsid w:val="00C54361"/>
    <w:rsid w:val="00C5458E"/>
    <w:rsid w:val="00C547D5"/>
    <w:rsid w:val="00C54B71"/>
    <w:rsid w:val="00C54C3E"/>
    <w:rsid w:val="00C54EB9"/>
    <w:rsid w:val="00C54FC4"/>
    <w:rsid w:val="00C552D6"/>
    <w:rsid w:val="00C553D1"/>
    <w:rsid w:val="00C55458"/>
    <w:rsid w:val="00C55463"/>
    <w:rsid w:val="00C5551B"/>
    <w:rsid w:val="00C55537"/>
    <w:rsid w:val="00C55834"/>
    <w:rsid w:val="00C558A9"/>
    <w:rsid w:val="00C55952"/>
    <w:rsid w:val="00C55996"/>
    <w:rsid w:val="00C559D2"/>
    <w:rsid w:val="00C55B8E"/>
    <w:rsid w:val="00C55D88"/>
    <w:rsid w:val="00C55DEC"/>
    <w:rsid w:val="00C55E04"/>
    <w:rsid w:val="00C55F2E"/>
    <w:rsid w:val="00C560AA"/>
    <w:rsid w:val="00C562E9"/>
    <w:rsid w:val="00C5630B"/>
    <w:rsid w:val="00C56436"/>
    <w:rsid w:val="00C5675B"/>
    <w:rsid w:val="00C567C0"/>
    <w:rsid w:val="00C56954"/>
    <w:rsid w:val="00C56E56"/>
    <w:rsid w:val="00C56F61"/>
    <w:rsid w:val="00C57190"/>
    <w:rsid w:val="00C5750D"/>
    <w:rsid w:val="00C575F0"/>
    <w:rsid w:val="00C57628"/>
    <w:rsid w:val="00C5766D"/>
    <w:rsid w:val="00C577A2"/>
    <w:rsid w:val="00C578C3"/>
    <w:rsid w:val="00C57994"/>
    <w:rsid w:val="00C57B08"/>
    <w:rsid w:val="00C57B9A"/>
    <w:rsid w:val="00C57D9A"/>
    <w:rsid w:val="00C57DC4"/>
    <w:rsid w:val="00C57F0D"/>
    <w:rsid w:val="00C57F1A"/>
    <w:rsid w:val="00C57FE2"/>
    <w:rsid w:val="00C6017D"/>
    <w:rsid w:val="00C601EA"/>
    <w:rsid w:val="00C60239"/>
    <w:rsid w:val="00C605C9"/>
    <w:rsid w:val="00C60643"/>
    <w:rsid w:val="00C606B7"/>
    <w:rsid w:val="00C6077A"/>
    <w:rsid w:val="00C60A47"/>
    <w:rsid w:val="00C60D83"/>
    <w:rsid w:val="00C60F7A"/>
    <w:rsid w:val="00C6101E"/>
    <w:rsid w:val="00C611DD"/>
    <w:rsid w:val="00C61244"/>
    <w:rsid w:val="00C61491"/>
    <w:rsid w:val="00C614E0"/>
    <w:rsid w:val="00C6152B"/>
    <w:rsid w:val="00C617C7"/>
    <w:rsid w:val="00C61871"/>
    <w:rsid w:val="00C61AD4"/>
    <w:rsid w:val="00C61F99"/>
    <w:rsid w:val="00C62140"/>
    <w:rsid w:val="00C62324"/>
    <w:rsid w:val="00C623F4"/>
    <w:rsid w:val="00C62403"/>
    <w:rsid w:val="00C625A7"/>
    <w:rsid w:val="00C626A5"/>
    <w:rsid w:val="00C626E0"/>
    <w:rsid w:val="00C62B08"/>
    <w:rsid w:val="00C62B98"/>
    <w:rsid w:val="00C62BDB"/>
    <w:rsid w:val="00C62D0C"/>
    <w:rsid w:val="00C62D0D"/>
    <w:rsid w:val="00C62E65"/>
    <w:rsid w:val="00C63051"/>
    <w:rsid w:val="00C63428"/>
    <w:rsid w:val="00C634CB"/>
    <w:rsid w:val="00C63551"/>
    <w:rsid w:val="00C63620"/>
    <w:rsid w:val="00C63660"/>
    <w:rsid w:val="00C639F2"/>
    <w:rsid w:val="00C63BC9"/>
    <w:rsid w:val="00C63BFE"/>
    <w:rsid w:val="00C63CAA"/>
    <w:rsid w:val="00C63F0F"/>
    <w:rsid w:val="00C640CF"/>
    <w:rsid w:val="00C641FD"/>
    <w:rsid w:val="00C64219"/>
    <w:rsid w:val="00C64744"/>
    <w:rsid w:val="00C64811"/>
    <w:rsid w:val="00C6481D"/>
    <w:rsid w:val="00C64B82"/>
    <w:rsid w:val="00C64E3D"/>
    <w:rsid w:val="00C64EA8"/>
    <w:rsid w:val="00C64ED4"/>
    <w:rsid w:val="00C650A7"/>
    <w:rsid w:val="00C65176"/>
    <w:rsid w:val="00C6533B"/>
    <w:rsid w:val="00C6580F"/>
    <w:rsid w:val="00C6595C"/>
    <w:rsid w:val="00C65AF5"/>
    <w:rsid w:val="00C65C04"/>
    <w:rsid w:val="00C65C45"/>
    <w:rsid w:val="00C65E49"/>
    <w:rsid w:val="00C661C3"/>
    <w:rsid w:val="00C664D8"/>
    <w:rsid w:val="00C6665B"/>
    <w:rsid w:val="00C66757"/>
    <w:rsid w:val="00C66763"/>
    <w:rsid w:val="00C667C8"/>
    <w:rsid w:val="00C66C11"/>
    <w:rsid w:val="00C66CA7"/>
    <w:rsid w:val="00C66CEE"/>
    <w:rsid w:val="00C66CF7"/>
    <w:rsid w:val="00C66DC0"/>
    <w:rsid w:val="00C66ECE"/>
    <w:rsid w:val="00C671BF"/>
    <w:rsid w:val="00C67372"/>
    <w:rsid w:val="00C67414"/>
    <w:rsid w:val="00C6747E"/>
    <w:rsid w:val="00C67500"/>
    <w:rsid w:val="00C6766A"/>
    <w:rsid w:val="00C6772B"/>
    <w:rsid w:val="00C678A1"/>
    <w:rsid w:val="00C67EB0"/>
    <w:rsid w:val="00C67FA4"/>
    <w:rsid w:val="00C70356"/>
    <w:rsid w:val="00C7044D"/>
    <w:rsid w:val="00C705C2"/>
    <w:rsid w:val="00C705FF"/>
    <w:rsid w:val="00C7085E"/>
    <w:rsid w:val="00C7096A"/>
    <w:rsid w:val="00C70BC0"/>
    <w:rsid w:val="00C70C9E"/>
    <w:rsid w:val="00C70E55"/>
    <w:rsid w:val="00C70FAE"/>
    <w:rsid w:val="00C71142"/>
    <w:rsid w:val="00C71432"/>
    <w:rsid w:val="00C717D6"/>
    <w:rsid w:val="00C71AB1"/>
    <w:rsid w:val="00C71EB3"/>
    <w:rsid w:val="00C71FF8"/>
    <w:rsid w:val="00C720A7"/>
    <w:rsid w:val="00C7211F"/>
    <w:rsid w:val="00C721AD"/>
    <w:rsid w:val="00C72388"/>
    <w:rsid w:val="00C723E9"/>
    <w:rsid w:val="00C729C5"/>
    <w:rsid w:val="00C729D6"/>
    <w:rsid w:val="00C72C15"/>
    <w:rsid w:val="00C72C5C"/>
    <w:rsid w:val="00C72CCA"/>
    <w:rsid w:val="00C72CD1"/>
    <w:rsid w:val="00C72ECD"/>
    <w:rsid w:val="00C72F58"/>
    <w:rsid w:val="00C7303F"/>
    <w:rsid w:val="00C73114"/>
    <w:rsid w:val="00C733D3"/>
    <w:rsid w:val="00C735B4"/>
    <w:rsid w:val="00C73965"/>
    <w:rsid w:val="00C73BFF"/>
    <w:rsid w:val="00C73C96"/>
    <w:rsid w:val="00C73CD3"/>
    <w:rsid w:val="00C73E61"/>
    <w:rsid w:val="00C73ED7"/>
    <w:rsid w:val="00C73EFF"/>
    <w:rsid w:val="00C73F66"/>
    <w:rsid w:val="00C74000"/>
    <w:rsid w:val="00C7422F"/>
    <w:rsid w:val="00C74350"/>
    <w:rsid w:val="00C743C4"/>
    <w:rsid w:val="00C744F0"/>
    <w:rsid w:val="00C7459B"/>
    <w:rsid w:val="00C745C0"/>
    <w:rsid w:val="00C746D6"/>
    <w:rsid w:val="00C7479F"/>
    <w:rsid w:val="00C7495B"/>
    <w:rsid w:val="00C74E35"/>
    <w:rsid w:val="00C74EE2"/>
    <w:rsid w:val="00C74FF3"/>
    <w:rsid w:val="00C750EB"/>
    <w:rsid w:val="00C75105"/>
    <w:rsid w:val="00C75289"/>
    <w:rsid w:val="00C75407"/>
    <w:rsid w:val="00C754E2"/>
    <w:rsid w:val="00C754E4"/>
    <w:rsid w:val="00C75531"/>
    <w:rsid w:val="00C75833"/>
    <w:rsid w:val="00C7583E"/>
    <w:rsid w:val="00C75C33"/>
    <w:rsid w:val="00C75EB6"/>
    <w:rsid w:val="00C75F3F"/>
    <w:rsid w:val="00C75F4A"/>
    <w:rsid w:val="00C76038"/>
    <w:rsid w:val="00C762D5"/>
    <w:rsid w:val="00C762DA"/>
    <w:rsid w:val="00C763C7"/>
    <w:rsid w:val="00C7642B"/>
    <w:rsid w:val="00C76512"/>
    <w:rsid w:val="00C7655F"/>
    <w:rsid w:val="00C7657B"/>
    <w:rsid w:val="00C76627"/>
    <w:rsid w:val="00C7680B"/>
    <w:rsid w:val="00C76EF0"/>
    <w:rsid w:val="00C77083"/>
    <w:rsid w:val="00C7714A"/>
    <w:rsid w:val="00C7715C"/>
    <w:rsid w:val="00C771BC"/>
    <w:rsid w:val="00C77279"/>
    <w:rsid w:val="00C77291"/>
    <w:rsid w:val="00C775DF"/>
    <w:rsid w:val="00C7770E"/>
    <w:rsid w:val="00C7782E"/>
    <w:rsid w:val="00C7783A"/>
    <w:rsid w:val="00C77921"/>
    <w:rsid w:val="00C77BD4"/>
    <w:rsid w:val="00C77F24"/>
    <w:rsid w:val="00C80047"/>
    <w:rsid w:val="00C8078A"/>
    <w:rsid w:val="00C8087A"/>
    <w:rsid w:val="00C809C0"/>
    <w:rsid w:val="00C809C9"/>
    <w:rsid w:val="00C80B35"/>
    <w:rsid w:val="00C80B7A"/>
    <w:rsid w:val="00C81062"/>
    <w:rsid w:val="00C81147"/>
    <w:rsid w:val="00C811C3"/>
    <w:rsid w:val="00C812F7"/>
    <w:rsid w:val="00C81561"/>
    <w:rsid w:val="00C8158D"/>
    <w:rsid w:val="00C816D5"/>
    <w:rsid w:val="00C81804"/>
    <w:rsid w:val="00C8182C"/>
    <w:rsid w:val="00C8196D"/>
    <w:rsid w:val="00C81A1E"/>
    <w:rsid w:val="00C81AE9"/>
    <w:rsid w:val="00C81B46"/>
    <w:rsid w:val="00C81B4E"/>
    <w:rsid w:val="00C81F8C"/>
    <w:rsid w:val="00C82058"/>
    <w:rsid w:val="00C82252"/>
    <w:rsid w:val="00C82617"/>
    <w:rsid w:val="00C8264A"/>
    <w:rsid w:val="00C8271B"/>
    <w:rsid w:val="00C82846"/>
    <w:rsid w:val="00C82A81"/>
    <w:rsid w:val="00C82CD7"/>
    <w:rsid w:val="00C82CFF"/>
    <w:rsid w:val="00C82D75"/>
    <w:rsid w:val="00C82DBA"/>
    <w:rsid w:val="00C82EA5"/>
    <w:rsid w:val="00C831CE"/>
    <w:rsid w:val="00C8345F"/>
    <w:rsid w:val="00C83689"/>
    <w:rsid w:val="00C8371A"/>
    <w:rsid w:val="00C8373B"/>
    <w:rsid w:val="00C83983"/>
    <w:rsid w:val="00C839CF"/>
    <w:rsid w:val="00C83EDA"/>
    <w:rsid w:val="00C8445C"/>
    <w:rsid w:val="00C845D0"/>
    <w:rsid w:val="00C845F5"/>
    <w:rsid w:val="00C84764"/>
    <w:rsid w:val="00C8499E"/>
    <w:rsid w:val="00C84B92"/>
    <w:rsid w:val="00C84BF3"/>
    <w:rsid w:val="00C84EF6"/>
    <w:rsid w:val="00C85203"/>
    <w:rsid w:val="00C85263"/>
    <w:rsid w:val="00C852C6"/>
    <w:rsid w:val="00C854B0"/>
    <w:rsid w:val="00C85727"/>
    <w:rsid w:val="00C857A9"/>
    <w:rsid w:val="00C85853"/>
    <w:rsid w:val="00C858D7"/>
    <w:rsid w:val="00C8592D"/>
    <w:rsid w:val="00C85A00"/>
    <w:rsid w:val="00C85A1E"/>
    <w:rsid w:val="00C85CDE"/>
    <w:rsid w:val="00C85E63"/>
    <w:rsid w:val="00C85FFA"/>
    <w:rsid w:val="00C8633D"/>
    <w:rsid w:val="00C86A06"/>
    <w:rsid w:val="00C86A1F"/>
    <w:rsid w:val="00C86AC3"/>
    <w:rsid w:val="00C86AC7"/>
    <w:rsid w:val="00C86B53"/>
    <w:rsid w:val="00C86D4C"/>
    <w:rsid w:val="00C86E8D"/>
    <w:rsid w:val="00C8706B"/>
    <w:rsid w:val="00C870EC"/>
    <w:rsid w:val="00C87130"/>
    <w:rsid w:val="00C871DD"/>
    <w:rsid w:val="00C87376"/>
    <w:rsid w:val="00C87391"/>
    <w:rsid w:val="00C87458"/>
    <w:rsid w:val="00C874F5"/>
    <w:rsid w:val="00C8769C"/>
    <w:rsid w:val="00C87707"/>
    <w:rsid w:val="00C877DB"/>
    <w:rsid w:val="00C87909"/>
    <w:rsid w:val="00C879AF"/>
    <w:rsid w:val="00C87A94"/>
    <w:rsid w:val="00C87DAF"/>
    <w:rsid w:val="00C90166"/>
    <w:rsid w:val="00C901FE"/>
    <w:rsid w:val="00C9025E"/>
    <w:rsid w:val="00C903EA"/>
    <w:rsid w:val="00C9048D"/>
    <w:rsid w:val="00C905BA"/>
    <w:rsid w:val="00C90616"/>
    <w:rsid w:val="00C906D1"/>
    <w:rsid w:val="00C90748"/>
    <w:rsid w:val="00C90A5F"/>
    <w:rsid w:val="00C90B56"/>
    <w:rsid w:val="00C90C47"/>
    <w:rsid w:val="00C90D5B"/>
    <w:rsid w:val="00C90EEA"/>
    <w:rsid w:val="00C90FBE"/>
    <w:rsid w:val="00C91205"/>
    <w:rsid w:val="00C91242"/>
    <w:rsid w:val="00C917E8"/>
    <w:rsid w:val="00C91929"/>
    <w:rsid w:val="00C91CAA"/>
    <w:rsid w:val="00C91CD6"/>
    <w:rsid w:val="00C91CDA"/>
    <w:rsid w:val="00C91D45"/>
    <w:rsid w:val="00C91F5E"/>
    <w:rsid w:val="00C921EA"/>
    <w:rsid w:val="00C92304"/>
    <w:rsid w:val="00C9240B"/>
    <w:rsid w:val="00C92499"/>
    <w:rsid w:val="00C925A0"/>
    <w:rsid w:val="00C9269E"/>
    <w:rsid w:val="00C92774"/>
    <w:rsid w:val="00C928BE"/>
    <w:rsid w:val="00C928C1"/>
    <w:rsid w:val="00C929FF"/>
    <w:rsid w:val="00C92B20"/>
    <w:rsid w:val="00C92C9D"/>
    <w:rsid w:val="00C936A5"/>
    <w:rsid w:val="00C938B3"/>
    <w:rsid w:val="00C93E82"/>
    <w:rsid w:val="00C94164"/>
    <w:rsid w:val="00C94437"/>
    <w:rsid w:val="00C94441"/>
    <w:rsid w:val="00C9455A"/>
    <w:rsid w:val="00C94607"/>
    <w:rsid w:val="00C94702"/>
    <w:rsid w:val="00C9488D"/>
    <w:rsid w:val="00C948DF"/>
    <w:rsid w:val="00C94A25"/>
    <w:rsid w:val="00C94D8E"/>
    <w:rsid w:val="00C94EA9"/>
    <w:rsid w:val="00C954C7"/>
    <w:rsid w:val="00C954E7"/>
    <w:rsid w:val="00C957DD"/>
    <w:rsid w:val="00C95A52"/>
    <w:rsid w:val="00C95BB5"/>
    <w:rsid w:val="00C95CB6"/>
    <w:rsid w:val="00C95EC9"/>
    <w:rsid w:val="00C96074"/>
    <w:rsid w:val="00C96386"/>
    <w:rsid w:val="00C9652B"/>
    <w:rsid w:val="00C96AE9"/>
    <w:rsid w:val="00C96C82"/>
    <w:rsid w:val="00C96CBC"/>
    <w:rsid w:val="00C96D69"/>
    <w:rsid w:val="00C96DF9"/>
    <w:rsid w:val="00C97429"/>
    <w:rsid w:val="00C9794E"/>
    <w:rsid w:val="00C979DC"/>
    <w:rsid w:val="00C979DF"/>
    <w:rsid w:val="00C97ACB"/>
    <w:rsid w:val="00C97BB6"/>
    <w:rsid w:val="00C97C73"/>
    <w:rsid w:val="00C97CF1"/>
    <w:rsid w:val="00CA00F2"/>
    <w:rsid w:val="00CA0239"/>
    <w:rsid w:val="00CA02B8"/>
    <w:rsid w:val="00CA065E"/>
    <w:rsid w:val="00CA06C9"/>
    <w:rsid w:val="00CA0718"/>
    <w:rsid w:val="00CA075F"/>
    <w:rsid w:val="00CA0853"/>
    <w:rsid w:val="00CA08E0"/>
    <w:rsid w:val="00CA09DB"/>
    <w:rsid w:val="00CA0CA9"/>
    <w:rsid w:val="00CA0DBA"/>
    <w:rsid w:val="00CA0F4F"/>
    <w:rsid w:val="00CA12EF"/>
    <w:rsid w:val="00CA13F6"/>
    <w:rsid w:val="00CA142D"/>
    <w:rsid w:val="00CA1457"/>
    <w:rsid w:val="00CA165A"/>
    <w:rsid w:val="00CA16BD"/>
    <w:rsid w:val="00CA16FF"/>
    <w:rsid w:val="00CA19AE"/>
    <w:rsid w:val="00CA1A5E"/>
    <w:rsid w:val="00CA1A90"/>
    <w:rsid w:val="00CA1AEE"/>
    <w:rsid w:val="00CA1C48"/>
    <w:rsid w:val="00CA1FB9"/>
    <w:rsid w:val="00CA20E3"/>
    <w:rsid w:val="00CA2340"/>
    <w:rsid w:val="00CA25EB"/>
    <w:rsid w:val="00CA2607"/>
    <w:rsid w:val="00CA289A"/>
    <w:rsid w:val="00CA2C54"/>
    <w:rsid w:val="00CA2DB6"/>
    <w:rsid w:val="00CA2E2A"/>
    <w:rsid w:val="00CA37D6"/>
    <w:rsid w:val="00CA397B"/>
    <w:rsid w:val="00CA3C21"/>
    <w:rsid w:val="00CA3D0A"/>
    <w:rsid w:val="00CA404F"/>
    <w:rsid w:val="00CA43AE"/>
    <w:rsid w:val="00CA44A4"/>
    <w:rsid w:val="00CA44F6"/>
    <w:rsid w:val="00CA458B"/>
    <w:rsid w:val="00CA461C"/>
    <w:rsid w:val="00CA46D8"/>
    <w:rsid w:val="00CA4917"/>
    <w:rsid w:val="00CA4921"/>
    <w:rsid w:val="00CA4A62"/>
    <w:rsid w:val="00CA4B4E"/>
    <w:rsid w:val="00CA4B7C"/>
    <w:rsid w:val="00CA4CDD"/>
    <w:rsid w:val="00CA5049"/>
    <w:rsid w:val="00CA50C2"/>
    <w:rsid w:val="00CA51B9"/>
    <w:rsid w:val="00CA5237"/>
    <w:rsid w:val="00CA5402"/>
    <w:rsid w:val="00CA550A"/>
    <w:rsid w:val="00CA56BA"/>
    <w:rsid w:val="00CA5713"/>
    <w:rsid w:val="00CA57B3"/>
    <w:rsid w:val="00CA581F"/>
    <w:rsid w:val="00CA58BE"/>
    <w:rsid w:val="00CA5A64"/>
    <w:rsid w:val="00CA5C75"/>
    <w:rsid w:val="00CA5E9E"/>
    <w:rsid w:val="00CA5EA6"/>
    <w:rsid w:val="00CA6048"/>
    <w:rsid w:val="00CA604B"/>
    <w:rsid w:val="00CA60FA"/>
    <w:rsid w:val="00CA6275"/>
    <w:rsid w:val="00CA6296"/>
    <w:rsid w:val="00CA6334"/>
    <w:rsid w:val="00CA64B6"/>
    <w:rsid w:val="00CA656C"/>
    <w:rsid w:val="00CA67A5"/>
    <w:rsid w:val="00CA67BA"/>
    <w:rsid w:val="00CA687F"/>
    <w:rsid w:val="00CA6A98"/>
    <w:rsid w:val="00CA6AC1"/>
    <w:rsid w:val="00CA6AEC"/>
    <w:rsid w:val="00CA6C0A"/>
    <w:rsid w:val="00CA6CF4"/>
    <w:rsid w:val="00CA6E0B"/>
    <w:rsid w:val="00CA6FA7"/>
    <w:rsid w:val="00CA719B"/>
    <w:rsid w:val="00CA71F0"/>
    <w:rsid w:val="00CA752E"/>
    <w:rsid w:val="00CA762D"/>
    <w:rsid w:val="00CA779C"/>
    <w:rsid w:val="00CA78C4"/>
    <w:rsid w:val="00CA7B4D"/>
    <w:rsid w:val="00CA7B9A"/>
    <w:rsid w:val="00CA7C26"/>
    <w:rsid w:val="00CA7C89"/>
    <w:rsid w:val="00CB021B"/>
    <w:rsid w:val="00CB0501"/>
    <w:rsid w:val="00CB0C3E"/>
    <w:rsid w:val="00CB0E33"/>
    <w:rsid w:val="00CB108C"/>
    <w:rsid w:val="00CB11ED"/>
    <w:rsid w:val="00CB13F3"/>
    <w:rsid w:val="00CB1408"/>
    <w:rsid w:val="00CB17A7"/>
    <w:rsid w:val="00CB1832"/>
    <w:rsid w:val="00CB1A43"/>
    <w:rsid w:val="00CB1D0B"/>
    <w:rsid w:val="00CB1D3C"/>
    <w:rsid w:val="00CB1E6A"/>
    <w:rsid w:val="00CB1E7E"/>
    <w:rsid w:val="00CB2031"/>
    <w:rsid w:val="00CB205C"/>
    <w:rsid w:val="00CB21D2"/>
    <w:rsid w:val="00CB22F3"/>
    <w:rsid w:val="00CB232C"/>
    <w:rsid w:val="00CB23CA"/>
    <w:rsid w:val="00CB2537"/>
    <w:rsid w:val="00CB274A"/>
    <w:rsid w:val="00CB27AE"/>
    <w:rsid w:val="00CB2B44"/>
    <w:rsid w:val="00CB2B9B"/>
    <w:rsid w:val="00CB2C4D"/>
    <w:rsid w:val="00CB2D55"/>
    <w:rsid w:val="00CB2DEA"/>
    <w:rsid w:val="00CB2E1C"/>
    <w:rsid w:val="00CB2E82"/>
    <w:rsid w:val="00CB2F3C"/>
    <w:rsid w:val="00CB2F72"/>
    <w:rsid w:val="00CB2F8C"/>
    <w:rsid w:val="00CB2FAE"/>
    <w:rsid w:val="00CB30F4"/>
    <w:rsid w:val="00CB337B"/>
    <w:rsid w:val="00CB34B6"/>
    <w:rsid w:val="00CB3870"/>
    <w:rsid w:val="00CB3AC5"/>
    <w:rsid w:val="00CB3AFC"/>
    <w:rsid w:val="00CB3B94"/>
    <w:rsid w:val="00CB3CE3"/>
    <w:rsid w:val="00CB3E2B"/>
    <w:rsid w:val="00CB3E83"/>
    <w:rsid w:val="00CB3ED2"/>
    <w:rsid w:val="00CB40C2"/>
    <w:rsid w:val="00CB43B7"/>
    <w:rsid w:val="00CB4404"/>
    <w:rsid w:val="00CB4411"/>
    <w:rsid w:val="00CB4444"/>
    <w:rsid w:val="00CB44A5"/>
    <w:rsid w:val="00CB4607"/>
    <w:rsid w:val="00CB4617"/>
    <w:rsid w:val="00CB463E"/>
    <w:rsid w:val="00CB4748"/>
    <w:rsid w:val="00CB4948"/>
    <w:rsid w:val="00CB4A0E"/>
    <w:rsid w:val="00CB4A3A"/>
    <w:rsid w:val="00CB4A45"/>
    <w:rsid w:val="00CB4C3D"/>
    <w:rsid w:val="00CB4F29"/>
    <w:rsid w:val="00CB5042"/>
    <w:rsid w:val="00CB50A5"/>
    <w:rsid w:val="00CB51B9"/>
    <w:rsid w:val="00CB523C"/>
    <w:rsid w:val="00CB5345"/>
    <w:rsid w:val="00CB53BD"/>
    <w:rsid w:val="00CB53D5"/>
    <w:rsid w:val="00CB569F"/>
    <w:rsid w:val="00CB5755"/>
    <w:rsid w:val="00CB5843"/>
    <w:rsid w:val="00CB59C5"/>
    <w:rsid w:val="00CB5D34"/>
    <w:rsid w:val="00CB5DB7"/>
    <w:rsid w:val="00CB5F04"/>
    <w:rsid w:val="00CB6040"/>
    <w:rsid w:val="00CB6103"/>
    <w:rsid w:val="00CB6301"/>
    <w:rsid w:val="00CB6352"/>
    <w:rsid w:val="00CB66A1"/>
    <w:rsid w:val="00CB6861"/>
    <w:rsid w:val="00CB690B"/>
    <w:rsid w:val="00CB6921"/>
    <w:rsid w:val="00CB6A04"/>
    <w:rsid w:val="00CB6BD2"/>
    <w:rsid w:val="00CB6DDD"/>
    <w:rsid w:val="00CB6F99"/>
    <w:rsid w:val="00CB70CE"/>
    <w:rsid w:val="00CB7256"/>
    <w:rsid w:val="00CB736B"/>
    <w:rsid w:val="00CB74D6"/>
    <w:rsid w:val="00CB7625"/>
    <w:rsid w:val="00CB77B5"/>
    <w:rsid w:val="00CB7A3D"/>
    <w:rsid w:val="00CB7B45"/>
    <w:rsid w:val="00CB7C92"/>
    <w:rsid w:val="00CB7F67"/>
    <w:rsid w:val="00CB7F89"/>
    <w:rsid w:val="00CC0029"/>
    <w:rsid w:val="00CC0073"/>
    <w:rsid w:val="00CC00A8"/>
    <w:rsid w:val="00CC035D"/>
    <w:rsid w:val="00CC0550"/>
    <w:rsid w:val="00CC0A59"/>
    <w:rsid w:val="00CC0AF0"/>
    <w:rsid w:val="00CC0B7D"/>
    <w:rsid w:val="00CC0CCE"/>
    <w:rsid w:val="00CC0EB0"/>
    <w:rsid w:val="00CC107F"/>
    <w:rsid w:val="00CC1191"/>
    <w:rsid w:val="00CC1537"/>
    <w:rsid w:val="00CC162B"/>
    <w:rsid w:val="00CC17A6"/>
    <w:rsid w:val="00CC17B2"/>
    <w:rsid w:val="00CC18C2"/>
    <w:rsid w:val="00CC1BE8"/>
    <w:rsid w:val="00CC1CB6"/>
    <w:rsid w:val="00CC1DEE"/>
    <w:rsid w:val="00CC1E06"/>
    <w:rsid w:val="00CC24AE"/>
    <w:rsid w:val="00CC25D4"/>
    <w:rsid w:val="00CC264E"/>
    <w:rsid w:val="00CC26E3"/>
    <w:rsid w:val="00CC2777"/>
    <w:rsid w:val="00CC2801"/>
    <w:rsid w:val="00CC2947"/>
    <w:rsid w:val="00CC2978"/>
    <w:rsid w:val="00CC2B84"/>
    <w:rsid w:val="00CC2DAA"/>
    <w:rsid w:val="00CC2EE9"/>
    <w:rsid w:val="00CC304C"/>
    <w:rsid w:val="00CC30D3"/>
    <w:rsid w:val="00CC316E"/>
    <w:rsid w:val="00CC31F9"/>
    <w:rsid w:val="00CC3328"/>
    <w:rsid w:val="00CC33AB"/>
    <w:rsid w:val="00CC3411"/>
    <w:rsid w:val="00CC354D"/>
    <w:rsid w:val="00CC384D"/>
    <w:rsid w:val="00CC3896"/>
    <w:rsid w:val="00CC39F1"/>
    <w:rsid w:val="00CC3E4F"/>
    <w:rsid w:val="00CC3FF3"/>
    <w:rsid w:val="00CC4029"/>
    <w:rsid w:val="00CC40FF"/>
    <w:rsid w:val="00CC4194"/>
    <w:rsid w:val="00CC41BE"/>
    <w:rsid w:val="00CC424B"/>
    <w:rsid w:val="00CC44C1"/>
    <w:rsid w:val="00CC44CC"/>
    <w:rsid w:val="00CC4713"/>
    <w:rsid w:val="00CC49F5"/>
    <w:rsid w:val="00CC4AC7"/>
    <w:rsid w:val="00CC4B7E"/>
    <w:rsid w:val="00CC4BA2"/>
    <w:rsid w:val="00CC4BD3"/>
    <w:rsid w:val="00CC4C25"/>
    <w:rsid w:val="00CC4D4B"/>
    <w:rsid w:val="00CC4D8E"/>
    <w:rsid w:val="00CC4ED4"/>
    <w:rsid w:val="00CC504E"/>
    <w:rsid w:val="00CC5173"/>
    <w:rsid w:val="00CC5361"/>
    <w:rsid w:val="00CC5420"/>
    <w:rsid w:val="00CC54A2"/>
    <w:rsid w:val="00CC551F"/>
    <w:rsid w:val="00CC569D"/>
    <w:rsid w:val="00CC56C8"/>
    <w:rsid w:val="00CC56CD"/>
    <w:rsid w:val="00CC5838"/>
    <w:rsid w:val="00CC58FA"/>
    <w:rsid w:val="00CC5D37"/>
    <w:rsid w:val="00CC5D84"/>
    <w:rsid w:val="00CC5D98"/>
    <w:rsid w:val="00CC5DEC"/>
    <w:rsid w:val="00CC60B2"/>
    <w:rsid w:val="00CC6167"/>
    <w:rsid w:val="00CC6227"/>
    <w:rsid w:val="00CC63BA"/>
    <w:rsid w:val="00CC647D"/>
    <w:rsid w:val="00CC68C3"/>
    <w:rsid w:val="00CC69C7"/>
    <w:rsid w:val="00CC6BCB"/>
    <w:rsid w:val="00CC6BDF"/>
    <w:rsid w:val="00CC6C58"/>
    <w:rsid w:val="00CC6C5E"/>
    <w:rsid w:val="00CC6D18"/>
    <w:rsid w:val="00CC6D92"/>
    <w:rsid w:val="00CC724D"/>
    <w:rsid w:val="00CC7524"/>
    <w:rsid w:val="00CC753E"/>
    <w:rsid w:val="00CC75E8"/>
    <w:rsid w:val="00CC7634"/>
    <w:rsid w:val="00CC769B"/>
    <w:rsid w:val="00CC7800"/>
    <w:rsid w:val="00CC79BD"/>
    <w:rsid w:val="00CC7ACB"/>
    <w:rsid w:val="00CC7CA1"/>
    <w:rsid w:val="00CC7D2E"/>
    <w:rsid w:val="00CC7D3A"/>
    <w:rsid w:val="00CC7D60"/>
    <w:rsid w:val="00CC7E96"/>
    <w:rsid w:val="00CD028F"/>
    <w:rsid w:val="00CD0675"/>
    <w:rsid w:val="00CD0727"/>
    <w:rsid w:val="00CD079A"/>
    <w:rsid w:val="00CD08D7"/>
    <w:rsid w:val="00CD08E1"/>
    <w:rsid w:val="00CD0955"/>
    <w:rsid w:val="00CD0A66"/>
    <w:rsid w:val="00CD0B33"/>
    <w:rsid w:val="00CD0C97"/>
    <w:rsid w:val="00CD0D0F"/>
    <w:rsid w:val="00CD0DAF"/>
    <w:rsid w:val="00CD0F76"/>
    <w:rsid w:val="00CD100F"/>
    <w:rsid w:val="00CD106D"/>
    <w:rsid w:val="00CD11ED"/>
    <w:rsid w:val="00CD12B1"/>
    <w:rsid w:val="00CD13A9"/>
    <w:rsid w:val="00CD15F3"/>
    <w:rsid w:val="00CD1668"/>
    <w:rsid w:val="00CD195F"/>
    <w:rsid w:val="00CD1A7E"/>
    <w:rsid w:val="00CD1C39"/>
    <w:rsid w:val="00CD1CDC"/>
    <w:rsid w:val="00CD1DEF"/>
    <w:rsid w:val="00CD1EB3"/>
    <w:rsid w:val="00CD1ED0"/>
    <w:rsid w:val="00CD1F53"/>
    <w:rsid w:val="00CD219E"/>
    <w:rsid w:val="00CD225C"/>
    <w:rsid w:val="00CD23F9"/>
    <w:rsid w:val="00CD2447"/>
    <w:rsid w:val="00CD2571"/>
    <w:rsid w:val="00CD2662"/>
    <w:rsid w:val="00CD28FB"/>
    <w:rsid w:val="00CD2A9E"/>
    <w:rsid w:val="00CD2BB6"/>
    <w:rsid w:val="00CD2D6F"/>
    <w:rsid w:val="00CD303D"/>
    <w:rsid w:val="00CD31CE"/>
    <w:rsid w:val="00CD32CF"/>
    <w:rsid w:val="00CD334E"/>
    <w:rsid w:val="00CD3351"/>
    <w:rsid w:val="00CD3415"/>
    <w:rsid w:val="00CD3434"/>
    <w:rsid w:val="00CD3483"/>
    <w:rsid w:val="00CD34D6"/>
    <w:rsid w:val="00CD350D"/>
    <w:rsid w:val="00CD3530"/>
    <w:rsid w:val="00CD354F"/>
    <w:rsid w:val="00CD358E"/>
    <w:rsid w:val="00CD35AF"/>
    <w:rsid w:val="00CD35CE"/>
    <w:rsid w:val="00CD35DE"/>
    <w:rsid w:val="00CD365F"/>
    <w:rsid w:val="00CD36A3"/>
    <w:rsid w:val="00CD3705"/>
    <w:rsid w:val="00CD3BD1"/>
    <w:rsid w:val="00CD3C1D"/>
    <w:rsid w:val="00CD3C31"/>
    <w:rsid w:val="00CD404C"/>
    <w:rsid w:val="00CD40CF"/>
    <w:rsid w:val="00CD42C3"/>
    <w:rsid w:val="00CD45FF"/>
    <w:rsid w:val="00CD4601"/>
    <w:rsid w:val="00CD475C"/>
    <w:rsid w:val="00CD4763"/>
    <w:rsid w:val="00CD482E"/>
    <w:rsid w:val="00CD4C05"/>
    <w:rsid w:val="00CD5296"/>
    <w:rsid w:val="00CD55C6"/>
    <w:rsid w:val="00CD5724"/>
    <w:rsid w:val="00CD581B"/>
    <w:rsid w:val="00CD583B"/>
    <w:rsid w:val="00CD591D"/>
    <w:rsid w:val="00CD59EA"/>
    <w:rsid w:val="00CD5AE4"/>
    <w:rsid w:val="00CD5E33"/>
    <w:rsid w:val="00CD5E4A"/>
    <w:rsid w:val="00CD5E85"/>
    <w:rsid w:val="00CD5EE2"/>
    <w:rsid w:val="00CD61C1"/>
    <w:rsid w:val="00CD61DA"/>
    <w:rsid w:val="00CD636A"/>
    <w:rsid w:val="00CD64B1"/>
    <w:rsid w:val="00CD6682"/>
    <w:rsid w:val="00CD66C2"/>
    <w:rsid w:val="00CD6754"/>
    <w:rsid w:val="00CD6A97"/>
    <w:rsid w:val="00CD6B27"/>
    <w:rsid w:val="00CD6B55"/>
    <w:rsid w:val="00CD6DE1"/>
    <w:rsid w:val="00CD6DEA"/>
    <w:rsid w:val="00CD70BA"/>
    <w:rsid w:val="00CD716F"/>
    <w:rsid w:val="00CD71E0"/>
    <w:rsid w:val="00CD7278"/>
    <w:rsid w:val="00CD732F"/>
    <w:rsid w:val="00CD744A"/>
    <w:rsid w:val="00CD7490"/>
    <w:rsid w:val="00CD74FE"/>
    <w:rsid w:val="00CD7763"/>
    <w:rsid w:val="00CD7911"/>
    <w:rsid w:val="00CD79B0"/>
    <w:rsid w:val="00CD7C3E"/>
    <w:rsid w:val="00CE0033"/>
    <w:rsid w:val="00CE0631"/>
    <w:rsid w:val="00CE07E8"/>
    <w:rsid w:val="00CE0970"/>
    <w:rsid w:val="00CE0A6B"/>
    <w:rsid w:val="00CE0A80"/>
    <w:rsid w:val="00CE0AD2"/>
    <w:rsid w:val="00CE0B28"/>
    <w:rsid w:val="00CE0EDA"/>
    <w:rsid w:val="00CE1092"/>
    <w:rsid w:val="00CE11A7"/>
    <w:rsid w:val="00CE1365"/>
    <w:rsid w:val="00CE136E"/>
    <w:rsid w:val="00CE144B"/>
    <w:rsid w:val="00CE1466"/>
    <w:rsid w:val="00CE1534"/>
    <w:rsid w:val="00CE1578"/>
    <w:rsid w:val="00CE15F8"/>
    <w:rsid w:val="00CE1793"/>
    <w:rsid w:val="00CE183F"/>
    <w:rsid w:val="00CE186C"/>
    <w:rsid w:val="00CE1AF8"/>
    <w:rsid w:val="00CE1D54"/>
    <w:rsid w:val="00CE1DF3"/>
    <w:rsid w:val="00CE20B7"/>
    <w:rsid w:val="00CE216C"/>
    <w:rsid w:val="00CE227A"/>
    <w:rsid w:val="00CE23F0"/>
    <w:rsid w:val="00CE2422"/>
    <w:rsid w:val="00CE25E7"/>
    <w:rsid w:val="00CE2615"/>
    <w:rsid w:val="00CE2733"/>
    <w:rsid w:val="00CE2787"/>
    <w:rsid w:val="00CE2B04"/>
    <w:rsid w:val="00CE2C4B"/>
    <w:rsid w:val="00CE2E1A"/>
    <w:rsid w:val="00CE2EF9"/>
    <w:rsid w:val="00CE2F1B"/>
    <w:rsid w:val="00CE31AD"/>
    <w:rsid w:val="00CE3213"/>
    <w:rsid w:val="00CE3269"/>
    <w:rsid w:val="00CE33A2"/>
    <w:rsid w:val="00CE33EC"/>
    <w:rsid w:val="00CE36D9"/>
    <w:rsid w:val="00CE3B7C"/>
    <w:rsid w:val="00CE3CAC"/>
    <w:rsid w:val="00CE3E27"/>
    <w:rsid w:val="00CE3EE6"/>
    <w:rsid w:val="00CE3F20"/>
    <w:rsid w:val="00CE3F99"/>
    <w:rsid w:val="00CE4056"/>
    <w:rsid w:val="00CE42B0"/>
    <w:rsid w:val="00CE43C9"/>
    <w:rsid w:val="00CE44A3"/>
    <w:rsid w:val="00CE458A"/>
    <w:rsid w:val="00CE45EB"/>
    <w:rsid w:val="00CE45F8"/>
    <w:rsid w:val="00CE4802"/>
    <w:rsid w:val="00CE49A6"/>
    <w:rsid w:val="00CE49C3"/>
    <w:rsid w:val="00CE4A85"/>
    <w:rsid w:val="00CE4ADD"/>
    <w:rsid w:val="00CE4B41"/>
    <w:rsid w:val="00CE4B63"/>
    <w:rsid w:val="00CE4BFC"/>
    <w:rsid w:val="00CE4D20"/>
    <w:rsid w:val="00CE4D3D"/>
    <w:rsid w:val="00CE4E0F"/>
    <w:rsid w:val="00CE4EDA"/>
    <w:rsid w:val="00CE514D"/>
    <w:rsid w:val="00CE51DF"/>
    <w:rsid w:val="00CE53EC"/>
    <w:rsid w:val="00CE542E"/>
    <w:rsid w:val="00CE54F7"/>
    <w:rsid w:val="00CE5616"/>
    <w:rsid w:val="00CE56D9"/>
    <w:rsid w:val="00CE5740"/>
    <w:rsid w:val="00CE5752"/>
    <w:rsid w:val="00CE58EA"/>
    <w:rsid w:val="00CE5B4B"/>
    <w:rsid w:val="00CE6050"/>
    <w:rsid w:val="00CE6119"/>
    <w:rsid w:val="00CE6740"/>
    <w:rsid w:val="00CE696C"/>
    <w:rsid w:val="00CE6B85"/>
    <w:rsid w:val="00CE6BA4"/>
    <w:rsid w:val="00CE6C1F"/>
    <w:rsid w:val="00CE6D3C"/>
    <w:rsid w:val="00CE6D61"/>
    <w:rsid w:val="00CE728C"/>
    <w:rsid w:val="00CE74C7"/>
    <w:rsid w:val="00CE756C"/>
    <w:rsid w:val="00CE756F"/>
    <w:rsid w:val="00CE778E"/>
    <w:rsid w:val="00CE7960"/>
    <w:rsid w:val="00CE799D"/>
    <w:rsid w:val="00CE7A46"/>
    <w:rsid w:val="00CE7D8C"/>
    <w:rsid w:val="00CF0171"/>
    <w:rsid w:val="00CF025A"/>
    <w:rsid w:val="00CF02DB"/>
    <w:rsid w:val="00CF0348"/>
    <w:rsid w:val="00CF043A"/>
    <w:rsid w:val="00CF0451"/>
    <w:rsid w:val="00CF06C0"/>
    <w:rsid w:val="00CF08C0"/>
    <w:rsid w:val="00CF0A36"/>
    <w:rsid w:val="00CF0B29"/>
    <w:rsid w:val="00CF0C48"/>
    <w:rsid w:val="00CF0EA7"/>
    <w:rsid w:val="00CF1004"/>
    <w:rsid w:val="00CF1242"/>
    <w:rsid w:val="00CF12B3"/>
    <w:rsid w:val="00CF14F0"/>
    <w:rsid w:val="00CF1593"/>
    <w:rsid w:val="00CF15FC"/>
    <w:rsid w:val="00CF1711"/>
    <w:rsid w:val="00CF1E1A"/>
    <w:rsid w:val="00CF23AA"/>
    <w:rsid w:val="00CF251B"/>
    <w:rsid w:val="00CF2559"/>
    <w:rsid w:val="00CF259C"/>
    <w:rsid w:val="00CF2731"/>
    <w:rsid w:val="00CF2745"/>
    <w:rsid w:val="00CF2825"/>
    <w:rsid w:val="00CF28CF"/>
    <w:rsid w:val="00CF2950"/>
    <w:rsid w:val="00CF2A44"/>
    <w:rsid w:val="00CF2DA4"/>
    <w:rsid w:val="00CF2EFB"/>
    <w:rsid w:val="00CF32F6"/>
    <w:rsid w:val="00CF341C"/>
    <w:rsid w:val="00CF35AA"/>
    <w:rsid w:val="00CF364A"/>
    <w:rsid w:val="00CF3786"/>
    <w:rsid w:val="00CF37E8"/>
    <w:rsid w:val="00CF38B7"/>
    <w:rsid w:val="00CF38D4"/>
    <w:rsid w:val="00CF3975"/>
    <w:rsid w:val="00CF3A8F"/>
    <w:rsid w:val="00CF3AA9"/>
    <w:rsid w:val="00CF3E91"/>
    <w:rsid w:val="00CF3EF6"/>
    <w:rsid w:val="00CF424A"/>
    <w:rsid w:val="00CF4571"/>
    <w:rsid w:val="00CF4593"/>
    <w:rsid w:val="00CF469A"/>
    <w:rsid w:val="00CF46AB"/>
    <w:rsid w:val="00CF4741"/>
    <w:rsid w:val="00CF4943"/>
    <w:rsid w:val="00CF495D"/>
    <w:rsid w:val="00CF4A32"/>
    <w:rsid w:val="00CF4AB6"/>
    <w:rsid w:val="00CF4D5C"/>
    <w:rsid w:val="00CF4E34"/>
    <w:rsid w:val="00CF4EC2"/>
    <w:rsid w:val="00CF4ECB"/>
    <w:rsid w:val="00CF4EDB"/>
    <w:rsid w:val="00CF4EF2"/>
    <w:rsid w:val="00CF4FAF"/>
    <w:rsid w:val="00CF4FE3"/>
    <w:rsid w:val="00CF52A3"/>
    <w:rsid w:val="00CF5A9C"/>
    <w:rsid w:val="00CF5B0B"/>
    <w:rsid w:val="00CF5BA5"/>
    <w:rsid w:val="00CF5D59"/>
    <w:rsid w:val="00CF5F15"/>
    <w:rsid w:val="00CF6226"/>
    <w:rsid w:val="00CF64D2"/>
    <w:rsid w:val="00CF64E7"/>
    <w:rsid w:val="00CF66E4"/>
    <w:rsid w:val="00CF673F"/>
    <w:rsid w:val="00CF67F1"/>
    <w:rsid w:val="00CF6A39"/>
    <w:rsid w:val="00CF6A3B"/>
    <w:rsid w:val="00CF6AA5"/>
    <w:rsid w:val="00CF6BCA"/>
    <w:rsid w:val="00CF6BD7"/>
    <w:rsid w:val="00CF6BE4"/>
    <w:rsid w:val="00CF6C3E"/>
    <w:rsid w:val="00CF6CEF"/>
    <w:rsid w:val="00CF7048"/>
    <w:rsid w:val="00CF7358"/>
    <w:rsid w:val="00CF73CF"/>
    <w:rsid w:val="00CF7630"/>
    <w:rsid w:val="00CF7782"/>
    <w:rsid w:val="00CF77BE"/>
    <w:rsid w:val="00CF7C0F"/>
    <w:rsid w:val="00CF7E0D"/>
    <w:rsid w:val="00CF7F7D"/>
    <w:rsid w:val="00CF7F89"/>
    <w:rsid w:val="00D001AE"/>
    <w:rsid w:val="00D001EE"/>
    <w:rsid w:val="00D00264"/>
    <w:rsid w:val="00D007CD"/>
    <w:rsid w:val="00D00932"/>
    <w:rsid w:val="00D0096A"/>
    <w:rsid w:val="00D00AAD"/>
    <w:rsid w:val="00D00C98"/>
    <w:rsid w:val="00D00D2A"/>
    <w:rsid w:val="00D00DFF"/>
    <w:rsid w:val="00D00FC3"/>
    <w:rsid w:val="00D010D6"/>
    <w:rsid w:val="00D01289"/>
    <w:rsid w:val="00D013A0"/>
    <w:rsid w:val="00D013BB"/>
    <w:rsid w:val="00D01705"/>
    <w:rsid w:val="00D01832"/>
    <w:rsid w:val="00D01900"/>
    <w:rsid w:val="00D01993"/>
    <w:rsid w:val="00D0199F"/>
    <w:rsid w:val="00D019DC"/>
    <w:rsid w:val="00D01ADA"/>
    <w:rsid w:val="00D01C07"/>
    <w:rsid w:val="00D01D9B"/>
    <w:rsid w:val="00D02026"/>
    <w:rsid w:val="00D022BC"/>
    <w:rsid w:val="00D02475"/>
    <w:rsid w:val="00D0248F"/>
    <w:rsid w:val="00D024F9"/>
    <w:rsid w:val="00D02667"/>
    <w:rsid w:val="00D026BF"/>
    <w:rsid w:val="00D0274E"/>
    <w:rsid w:val="00D028B3"/>
    <w:rsid w:val="00D0294F"/>
    <w:rsid w:val="00D02A0D"/>
    <w:rsid w:val="00D02A4D"/>
    <w:rsid w:val="00D02C6A"/>
    <w:rsid w:val="00D02D52"/>
    <w:rsid w:val="00D02D86"/>
    <w:rsid w:val="00D0321F"/>
    <w:rsid w:val="00D035F1"/>
    <w:rsid w:val="00D03AA6"/>
    <w:rsid w:val="00D03AC9"/>
    <w:rsid w:val="00D03B0A"/>
    <w:rsid w:val="00D03E8C"/>
    <w:rsid w:val="00D03F39"/>
    <w:rsid w:val="00D03F65"/>
    <w:rsid w:val="00D03FC6"/>
    <w:rsid w:val="00D04034"/>
    <w:rsid w:val="00D04088"/>
    <w:rsid w:val="00D041F9"/>
    <w:rsid w:val="00D04200"/>
    <w:rsid w:val="00D042EC"/>
    <w:rsid w:val="00D0432F"/>
    <w:rsid w:val="00D046AB"/>
    <w:rsid w:val="00D047E3"/>
    <w:rsid w:val="00D04990"/>
    <w:rsid w:val="00D04D44"/>
    <w:rsid w:val="00D04F31"/>
    <w:rsid w:val="00D05066"/>
    <w:rsid w:val="00D0517F"/>
    <w:rsid w:val="00D051C5"/>
    <w:rsid w:val="00D05247"/>
    <w:rsid w:val="00D052A1"/>
    <w:rsid w:val="00D05306"/>
    <w:rsid w:val="00D05469"/>
    <w:rsid w:val="00D05557"/>
    <w:rsid w:val="00D0573E"/>
    <w:rsid w:val="00D05817"/>
    <w:rsid w:val="00D0587D"/>
    <w:rsid w:val="00D05A4D"/>
    <w:rsid w:val="00D05A51"/>
    <w:rsid w:val="00D05B9F"/>
    <w:rsid w:val="00D05BE5"/>
    <w:rsid w:val="00D05E89"/>
    <w:rsid w:val="00D05E9A"/>
    <w:rsid w:val="00D0613E"/>
    <w:rsid w:val="00D0632A"/>
    <w:rsid w:val="00D0686F"/>
    <w:rsid w:val="00D069BC"/>
    <w:rsid w:val="00D06A6D"/>
    <w:rsid w:val="00D06B22"/>
    <w:rsid w:val="00D06B99"/>
    <w:rsid w:val="00D06C55"/>
    <w:rsid w:val="00D06E50"/>
    <w:rsid w:val="00D06ECB"/>
    <w:rsid w:val="00D06F78"/>
    <w:rsid w:val="00D07000"/>
    <w:rsid w:val="00D070A3"/>
    <w:rsid w:val="00D07303"/>
    <w:rsid w:val="00D07705"/>
    <w:rsid w:val="00D07711"/>
    <w:rsid w:val="00D07744"/>
    <w:rsid w:val="00D07817"/>
    <w:rsid w:val="00D07855"/>
    <w:rsid w:val="00D0796D"/>
    <w:rsid w:val="00D07C34"/>
    <w:rsid w:val="00D1002C"/>
    <w:rsid w:val="00D10043"/>
    <w:rsid w:val="00D100AA"/>
    <w:rsid w:val="00D100BF"/>
    <w:rsid w:val="00D103CA"/>
    <w:rsid w:val="00D10412"/>
    <w:rsid w:val="00D10504"/>
    <w:rsid w:val="00D10573"/>
    <w:rsid w:val="00D10766"/>
    <w:rsid w:val="00D10A73"/>
    <w:rsid w:val="00D10AAC"/>
    <w:rsid w:val="00D10C8D"/>
    <w:rsid w:val="00D10CCD"/>
    <w:rsid w:val="00D10CF2"/>
    <w:rsid w:val="00D10DC2"/>
    <w:rsid w:val="00D10E13"/>
    <w:rsid w:val="00D110A1"/>
    <w:rsid w:val="00D11171"/>
    <w:rsid w:val="00D112CC"/>
    <w:rsid w:val="00D115C2"/>
    <w:rsid w:val="00D1195D"/>
    <w:rsid w:val="00D11D50"/>
    <w:rsid w:val="00D11E20"/>
    <w:rsid w:val="00D11FC4"/>
    <w:rsid w:val="00D12081"/>
    <w:rsid w:val="00D122C8"/>
    <w:rsid w:val="00D123D6"/>
    <w:rsid w:val="00D12647"/>
    <w:rsid w:val="00D126F0"/>
    <w:rsid w:val="00D12706"/>
    <w:rsid w:val="00D12958"/>
    <w:rsid w:val="00D129AC"/>
    <w:rsid w:val="00D12CAC"/>
    <w:rsid w:val="00D12E45"/>
    <w:rsid w:val="00D1301B"/>
    <w:rsid w:val="00D130D9"/>
    <w:rsid w:val="00D13126"/>
    <w:rsid w:val="00D132D9"/>
    <w:rsid w:val="00D13669"/>
    <w:rsid w:val="00D137CE"/>
    <w:rsid w:val="00D138E1"/>
    <w:rsid w:val="00D13C4B"/>
    <w:rsid w:val="00D13D25"/>
    <w:rsid w:val="00D13D8B"/>
    <w:rsid w:val="00D13DE4"/>
    <w:rsid w:val="00D13E5F"/>
    <w:rsid w:val="00D14194"/>
    <w:rsid w:val="00D14291"/>
    <w:rsid w:val="00D143A2"/>
    <w:rsid w:val="00D14554"/>
    <w:rsid w:val="00D145A8"/>
    <w:rsid w:val="00D146BD"/>
    <w:rsid w:val="00D147C2"/>
    <w:rsid w:val="00D14948"/>
    <w:rsid w:val="00D14993"/>
    <w:rsid w:val="00D14A55"/>
    <w:rsid w:val="00D14B52"/>
    <w:rsid w:val="00D14B9D"/>
    <w:rsid w:val="00D14BC8"/>
    <w:rsid w:val="00D14E17"/>
    <w:rsid w:val="00D14E40"/>
    <w:rsid w:val="00D14E80"/>
    <w:rsid w:val="00D14EE9"/>
    <w:rsid w:val="00D14FC3"/>
    <w:rsid w:val="00D14FCE"/>
    <w:rsid w:val="00D14FDD"/>
    <w:rsid w:val="00D15024"/>
    <w:rsid w:val="00D150DE"/>
    <w:rsid w:val="00D151B2"/>
    <w:rsid w:val="00D151CB"/>
    <w:rsid w:val="00D151E6"/>
    <w:rsid w:val="00D1521B"/>
    <w:rsid w:val="00D15590"/>
    <w:rsid w:val="00D15684"/>
    <w:rsid w:val="00D156DD"/>
    <w:rsid w:val="00D1573E"/>
    <w:rsid w:val="00D158FF"/>
    <w:rsid w:val="00D15957"/>
    <w:rsid w:val="00D159C9"/>
    <w:rsid w:val="00D15A72"/>
    <w:rsid w:val="00D15E5A"/>
    <w:rsid w:val="00D15EB5"/>
    <w:rsid w:val="00D15F2F"/>
    <w:rsid w:val="00D15FA1"/>
    <w:rsid w:val="00D16076"/>
    <w:rsid w:val="00D160E9"/>
    <w:rsid w:val="00D16259"/>
    <w:rsid w:val="00D1625F"/>
    <w:rsid w:val="00D1644A"/>
    <w:rsid w:val="00D164C0"/>
    <w:rsid w:val="00D16507"/>
    <w:rsid w:val="00D166C4"/>
    <w:rsid w:val="00D166FC"/>
    <w:rsid w:val="00D167C9"/>
    <w:rsid w:val="00D168D2"/>
    <w:rsid w:val="00D1719D"/>
    <w:rsid w:val="00D174C9"/>
    <w:rsid w:val="00D17542"/>
    <w:rsid w:val="00D175DB"/>
    <w:rsid w:val="00D1767B"/>
    <w:rsid w:val="00D17818"/>
    <w:rsid w:val="00D1796F"/>
    <w:rsid w:val="00D17A46"/>
    <w:rsid w:val="00D17B7C"/>
    <w:rsid w:val="00D17D7E"/>
    <w:rsid w:val="00D17D85"/>
    <w:rsid w:val="00D17D8C"/>
    <w:rsid w:val="00D2020D"/>
    <w:rsid w:val="00D204E1"/>
    <w:rsid w:val="00D207A6"/>
    <w:rsid w:val="00D2086E"/>
    <w:rsid w:val="00D20A1B"/>
    <w:rsid w:val="00D20C22"/>
    <w:rsid w:val="00D20C97"/>
    <w:rsid w:val="00D20CBA"/>
    <w:rsid w:val="00D20E50"/>
    <w:rsid w:val="00D20EF6"/>
    <w:rsid w:val="00D217B3"/>
    <w:rsid w:val="00D219CE"/>
    <w:rsid w:val="00D21ADA"/>
    <w:rsid w:val="00D21ADC"/>
    <w:rsid w:val="00D21B9C"/>
    <w:rsid w:val="00D21C95"/>
    <w:rsid w:val="00D21E11"/>
    <w:rsid w:val="00D21EDE"/>
    <w:rsid w:val="00D21F72"/>
    <w:rsid w:val="00D21F73"/>
    <w:rsid w:val="00D221FC"/>
    <w:rsid w:val="00D22260"/>
    <w:rsid w:val="00D223EB"/>
    <w:rsid w:val="00D225A9"/>
    <w:rsid w:val="00D226D9"/>
    <w:rsid w:val="00D22928"/>
    <w:rsid w:val="00D22935"/>
    <w:rsid w:val="00D2295D"/>
    <w:rsid w:val="00D229AA"/>
    <w:rsid w:val="00D22AF1"/>
    <w:rsid w:val="00D22B6E"/>
    <w:rsid w:val="00D22CA8"/>
    <w:rsid w:val="00D22D9A"/>
    <w:rsid w:val="00D22EAD"/>
    <w:rsid w:val="00D2308C"/>
    <w:rsid w:val="00D231B0"/>
    <w:rsid w:val="00D233EF"/>
    <w:rsid w:val="00D233F7"/>
    <w:rsid w:val="00D2344A"/>
    <w:rsid w:val="00D234F6"/>
    <w:rsid w:val="00D235EE"/>
    <w:rsid w:val="00D2364E"/>
    <w:rsid w:val="00D236D0"/>
    <w:rsid w:val="00D23715"/>
    <w:rsid w:val="00D23F6C"/>
    <w:rsid w:val="00D23F96"/>
    <w:rsid w:val="00D24147"/>
    <w:rsid w:val="00D2461A"/>
    <w:rsid w:val="00D24870"/>
    <w:rsid w:val="00D24C21"/>
    <w:rsid w:val="00D24CEE"/>
    <w:rsid w:val="00D25047"/>
    <w:rsid w:val="00D25056"/>
    <w:rsid w:val="00D2520B"/>
    <w:rsid w:val="00D2553E"/>
    <w:rsid w:val="00D25A3E"/>
    <w:rsid w:val="00D25CEB"/>
    <w:rsid w:val="00D2607B"/>
    <w:rsid w:val="00D2611B"/>
    <w:rsid w:val="00D26229"/>
    <w:rsid w:val="00D263CB"/>
    <w:rsid w:val="00D265E2"/>
    <w:rsid w:val="00D268C2"/>
    <w:rsid w:val="00D2692C"/>
    <w:rsid w:val="00D2693B"/>
    <w:rsid w:val="00D26A06"/>
    <w:rsid w:val="00D26A5B"/>
    <w:rsid w:val="00D26B6D"/>
    <w:rsid w:val="00D26EAF"/>
    <w:rsid w:val="00D26FC4"/>
    <w:rsid w:val="00D2711F"/>
    <w:rsid w:val="00D27203"/>
    <w:rsid w:val="00D2746D"/>
    <w:rsid w:val="00D27697"/>
    <w:rsid w:val="00D2784A"/>
    <w:rsid w:val="00D27A5D"/>
    <w:rsid w:val="00D27BDF"/>
    <w:rsid w:val="00D27CB3"/>
    <w:rsid w:val="00D27CEC"/>
    <w:rsid w:val="00D27CF9"/>
    <w:rsid w:val="00D27D4A"/>
    <w:rsid w:val="00D27E36"/>
    <w:rsid w:val="00D27F3A"/>
    <w:rsid w:val="00D27FC8"/>
    <w:rsid w:val="00D30209"/>
    <w:rsid w:val="00D30342"/>
    <w:rsid w:val="00D30448"/>
    <w:rsid w:val="00D304C5"/>
    <w:rsid w:val="00D3050E"/>
    <w:rsid w:val="00D30587"/>
    <w:rsid w:val="00D30602"/>
    <w:rsid w:val="00D3062A"/>
    <w:rsid w:val="00D30801"/>
    <w:rsid w:val="00D30812"/>
    <w:rsid w:val="00D30818"/>
    <w:rsid w:val="00D30A0F"/>
    <w:rsid w:val="00D30A9D"/>
    <w:rsid w:val="00D30AE1"/>
    <w:rsid w:val="00D30B92"/>
    <w:rsid w:val="00D30BD3"/>
    <w:rsid w:val="00D30FC8"/>
    <w:rsid w:val="00D31008"/>
    <w:rsid w:val="00D31329"/>
    <w:rsid w:val="00D3134A"/>
    <w:rsid w:val="00D3137F"/>
    <w:rsid w:val="00D3151F"/>
    <w:rsid w:val="00D315D3"/>
    <w:rsid w:val="00D3172F"/>
    <w:rsid w:val="00D31737"/>
    <w:rsid w:val="00D31792"/>
    <w:rsid w:val="00D31803"/>
    <w:rsid w:val="00D3187D"/>
    <w:rsid w:val="00D318AB"/>
    <w:rsid w:val="00D318D8"/>
    <w:rsid w:val="00D319C7"/>
    <w:rsid w:val="00D31AE1"/>
    <w:rsid w:val="00D31B4C"/>
    <w:rsid w:val="00D31F6D"/>
    <w:rsid w:val="00D32125"/>
    <w:rsid w:val="00D32150"/>
    <w:rsid w:val="00D324C6"/>
    <w:rsid w:val="00D3254D"/>
    <w:rsid w:val="00D328A6"/>
    <w:rsid w:val="00D32958"/>
    <w:rsid w:val="00D32A7C"/>
    <w:rsid w:val="00D32AC3"/>
    <w:rsid w:val="00D32B79"/>
    <w:rsid w:val="00D32EBD"/>
    <w:rsid w:val="00D32EF0"/>
    <w:rsid w:val="00D331AB"/>
    <w:rsid w:val="00D3354F"/>
    <w:rsid w:val="00D3356D"/>
    <w:rsid w:val="00D33666"/>
    <w:rsid w:val="00D336D7"/>
    <w:rsid w:val="00D339B2"/>
    <w:rsid w:val="00D33AD6"/>
    <w:rsid w:val="00D33BC5"/>
    <w:rsid w:val="00D33D8A"/>
    <w:rsid w:val="00D33D95"/>
    <w:rsid w:val="00D34074"/>
    <w:rsid w:val="00D34163"/>
    <w:rsid w:val="00D34288"/>
    <w:rsid w:val="00D342A3"/>
    <w:rsid w:val="00D342FF"/>
    <w:rsid w:val="00D3431E"/>
    <w:rsid w:val="00D3479F"/>
    <w:rsid w:val="00D349D5"/>
    <w:rsid w:val="00D34AF2"/>
    <w:rsid w:val="00D34F2A"/>
    <w:rsid w:val="00D352A3"/>
    <w:rsid w:val="00D353C6"/>
    <w:rsid w:val="00D3583A"/>
    <w:rsid w:val="00D358CB"/>
    <w:rsid w:val="00D35BBD"/>
    <w:rsid w:val="00D35D87"/>
    <w:rsid w:val="00D35E40"/>
    <w:rsid w:val="00D35E60"/>
    <w:rsid w:val="00D35E6F"/>
    <w:rsid w:val="00D35EC1"/>
    <w:rsid w:val="00D35F10"/>
    <w:rsid w:val="00D35F4F"/>
    <w:rsid w:val="00D360A1"/>
    <w:rsid w:val="00D3612F"/>
    <w:rsid w:val="00D361A3"/>
    <w:rsid w:val="00D3640C"/>
    <w:rsid w:val="00D36469"/>
    <w:rsid w:val="00D3686F"/>
    <w:rsid w:val="00D36986"/>
    <w:rsid w:val="00D36E52"/>
    <w:rsid w:val="00D372CA"/>
    <w:rsid w:val="00D37388"/>
    <w:rsid w:val="00D375C1"/>
    <w:rsid w:val="00D3767F"/>
    <w:rsid w:val="00D377A6"/>
    <w:rsid w:val="00D37A5C"/>
    <w:rsid w:val="00D37B20"/>
    <w:rsid w:val="00D37D1E"/>
    <w:rsid w:val="00D37DC8"/>
    <w:rsid w:val="00D37EC7"/>
    <w:rsid w:val="00D401EC"/>
    <w:rsid w:val="00D40804"/>
    <w:rsid w:val="00D40BF6"/>
    <w:rsid w:val="00D40E43"/>
    <w:rsid w:val="00D40FB8"/>
    <w:rsid w:val="00D41138"/>
    <w:rsid w:val="00D4114A"/>
    <w:rsid w:val="00D4149F"/>
    <w:rsid w:val="00D4150C"/>
    <w:rsid w:val="00D41669"/>
    <w:rsid w:val="00D4167A"/>
    <w:rsid w:val="00D416E7"/>
    <w:rsid w:val="00D41A88"/>
    <w:rsid w:val="00D41B4C"/>
    <w:rsid w:val="00D41B75"/>
    <w:rsid w:val="00D41BC9"/>
    <w:rsid w:val="00D41C20"/>
    <w:rsid w:val="00D4204A"/>
    <w:rsid w:val="00D420DF"/>
    <w:rsid w:val="00D420E0"/>
    <w:rsid w:val="00D420E4"/>
    <w:rsid w:val="00D4211B"/>
    <w:rsid w:val="00D422BF"/>
    <w:rsid w:val="00D4235A"/>
    <w:rsid w:val="00D42379"/>
    <w:rsid w:val="00D42435"/>
    <w:rsid w:val="00D42777"/>
    <w:rsid w:val="00D427CB"/>
    <w:rsid w:val="00D42865"/>
    <w:rsid w:val="00D42A15"/>
    <w:rsid w:val="00D42ADA"/>
    <w:rsid w:val="00D42B51"/>
    <w:rsid w:val="00D42EA7"/>
    <w:rsid w:val="00D4300E"/>
    <w:rsid w:val="00D4308E"/>
    <w:rsid w:val="00D430B9"/>
    <w:rsid w:val="00D435AB"/>
    <w:rsid w:val="00D435EA"/>
    <w:rsid w:val="00D4365D"/>
    <w:rsid w:val="00D43662"/>
    <w:rsid w:val="00D43969"/>
    <w:rsid w:val="00D43CA9"/>
    <w:rsid w:val="00D43CB0"/>
    <w:rsid w:val="00D43FF3"/>
    <w:rsid w:val="00D44019"/>
    <w:rsid w:val="00D4407C"/>
    <w:rsid w:val="00D440A2"/>
    <w:rsid w:val="00D44180"/>
    <w:rsid w:val="00D44216"/>
    <w:rsid w:val="00D4427A"/>
    <w:rsid w:val="00D443CE"/>
    <w:rsid w:val="00D4440C"/>
    <w:rsid w:val="00D444FE"/>
    <w:rsid w:val="00D44729"/>
    <w:rsid w:val="00D447C9"/>
    <w:rsid w:val="00D44ACF"/>
    <w:rsid w:val="00D44AD8"/>
    <w:rsid w:val="00D44C8A"/>
    <w:rsid w:val="00D44D56"/>
    <w:rsid w:val="00D44D7F"/>
    <w:rsid w:val="00D44DA3"/>
    <w:rsid w:val="00D44EAE"/>
    <w:rsid w:val="00D44F05"/>
    <w:rsid w:val="00D44FD7"/>
    <w:rsid w:val="00D45082"/>
    <w:rsid w:val="00D4599C"/>
    <w:rsid w:val="00D45F58"/>
    <w:rsid w:val="00D45FFB"/>
    <w:rsid w:val="00D46381"/>
    <w:rsid w:val="00D4641D"/>
    <w:rsid w:val="00D46552"/>
    <w:rsid w:val="00D46723"/>
    <w:rsid w:val="00D467F6"/>
    <w:rsid w:val="00D468CF"/>
    <w:rsid w:val="00D46900"/>
    <w:rsid w:val="00D46A1F"/>
    <w:rsid w:val="00D46A5F"/>
    <w:rsid w:val="00D46B9D"/>
    <w:rsid w:val="00D46C90"/>
    <w:rsid w:val="00D46E7E"/>
    <w:rsid w:val="00D4749F"/>
    <w:rsid w:val="00D47EC2"/>
    <w:rsid w:val="00D47EC8"/>
    <w:rsid w:val="00D47FA4"/>
    <w:rsid w:val="00D500E0"/>
    <w:rsid w:val="00D5014B"/>
    <w:rsid w:val="00D50259"/>
    <w:rsid w:val="00D502E8"/>
    <w:rsid w:val="00D50564"/>
    <w:rsid w:val="00D505D0"/>
    <w:rsid w:val="00D50789"/>
    <w:rsid w:val="00D507D6"/>
    <w:rsid w:val="00D509E2"/>
    <w:rsid w:val="00D509E7"/>
    <w:rsid w:val="00D50CB2"/>
    <w:rsid w:val="00D50D4F"/>
    <w:rsid w:val="00D511FC"/>
    <w:rsid w:val="00D513D2"/>
    <w:rsid w:val="00D513DB"/>
    <w:rsid w:val="00D514D4"/>
    <w:rsid w:val="00D51530"/>
    <w:rsid w:val="00D5168B"/>
    <w:rsid w:val="00D516C0"/>
    <w:rsid w:val="00D51721"/>
    <w:rsid w:val="00D517C0"/>
    <w:rsid w:val="00D51829"/>
    <w:rsid w:val="00D51B34"/>
    <w:rsid w:val="00D51B89"/>
    <w:rsid w:val="00D520C4"/>
    <w:rsid w:val="00D520F6"/>
    <w:rsid w:val="00D520FC"/>
    <w:rsid w:val="00D5228E"/>
    <w:rsid w:val="00D5229B"/>
    <w:rsid w:val="00D52359"/>
    <w:rsid w:val="00D525E9"/>
    <w:rsid w:val="00D5274D"/>
    <w:rsid w:val="00D52898"/>
    <w:rsid w:val="00D52922"/>
    <w:rsid w:val="00D52925"/>
    <w:rsid w:val="00D5292E"/>
    <w:rsid w:val="00D52A10"/>
    <w:rsid w:val="00D52AE3"/>
    <w:rsid w:val="00D52B02"/>
    <w:rsid w:val="00D52C93"/>
    <w:rsid w:val="00D52E0D"/>
    <w:rsid w:val="00D52FBE"/>
    <w:rsid w:val="00D5308C"/>
    <w:rsid w:val="00D5348C"/>
    <w:rsid w:val="00D53550"/>
    <w:rsid w:val="00D535C3"/>
    <w:rsid w:val="00D535CD"/>
    <w:rsid w:val="00D5363A"/>
    <w:rsid w:val="00D536BA"/>
    <w:rsid w:val="00D53806"/>
    <w:rsid w:val="00D5387E"/>
    <w:rsid w:val="00D53907"/>
    <w:rsid w:val="00D5392B"/>
    <w:rsid w:val="00D53AD2"/>
    <w:rsid w:val="00D53E03"/>
    <w:rsid w:val="00D53E5B"/>
    <w:rsid w:val="00D53F04"/>
    <w:rsid w:val="00D540A6"/>
    <w:rsid w:val="00D5424E"/>
    <w:rsid w:val="00D54253"/>
    <w:rsid w:val="00D544C3"/>
    <w:rsid w:val="00D5482D"/>
    <w:rsid w:val="00D549B5"/>
    <w:rsid w:val="00D54C96"/>
    <w:rsid w:val="00D54E31"/>
    <w:rsid w:val="00D550E0"/>
    <w:rsid w:val="00D5516B"/>
    <w:rsid w:val="00D55221"/>
    <w:rsid w:val="00D555E8"/>
    <w:rsid w:val="00D556C9"/>
    <w:rsid w:val="00D557B6"/>
    <w:rsid w:val="00D55985"/>
    <w:rsid w:val="00D559C2"/>
    <w:rsid w:val="00D55ABB"/>
    <w:rsid w:val="00D55B45"/>
    <w:rsid w:val="00D55C07"/>
    <w:rsid w:val="00D56221"/>
    <w:rsid w:val="00D562FA"/>
    <w:rsid w:val="00D56305"/>
    <w:rsid w:val="00D56406"/>
    <w:rsid w:val="00D5646B"/>
    <w:rsid w:val="00D565F0"/>
    <w:rsid w:val="00D56831"/>
    <w:rsid w:val="00D568F7"/>
    <w:rsid w:val="00D569AA"/>
    <w:rsid w:val="00D56A0A"/>
    <w:rsid w:val="00D56A66"/>
    <w:rsid w:val="00D56BC6"/>
    <w:rsid w:val="00D56C4D"/>
    <w:rsid w:val="00D56D40"/>
    <w:rsid w:val="00D56E37"/>
    <w:rsid w:val="00D57042"/>
    <w:rsid w:val="00D570DB"/>
    <w:rsid w:val="00D57110"/>
    <w:rsid w:val="00D571DF"/>
    <w:rsid w:val="00D573AE"/>
    <w:rsid w:val="00D576F7"/>
    <w:rsid w:val="00D57D52"/>
    <w:rsid w:val="00D57E58"/>
    <w:rsid w:val="00D57E8A"/>
    <w:rsid w:val="00D57F5D"/>
    <w:rsid w:val="00D57FEB"/>
    <w:rsid w:val="00D60198"/>
    <w:rsid w:val="00D601CB"/>
    <w:rsid w:val="00D603E3"/>
    <w:rsid w:val="00D60513"/>
    <w:rsid w:val="00D60542"/>
    <w:rsid w:val="00D608CD"/>
    <w:rsid w:val="00D60AAD"/>
    <w:rsid w:val="00D60DD6"/>
    <w:rsid w:val="00D60F46"/>
    <w:rsid w:val="00D60F99"/>
    <w:rsid w:val="00D61117"/>
    <w:rsid w:val="00D6113D"/>
    <w:rsid w:val="00D6117A"/>
    <w:rsid w:val="00D6117E"/>
    <w:rsid w:val="00D6123F"/>
    <w:rsid w:val="00D61411"/>
    <w:rsid w:val="00D614E7"/>
    <w:rsid w:val="00D61773"/>
    <w:rsid w:val="00D6198D"/>
    <w:rsid w:val="00D619CD"/>
    <w:rsid w:val="00D61D0B"/>
    <w:rsid w:val="00D61DF2"/>
    <w:rsid w:val="00D61ECC"/>
    <w:rsid w:val="00D61F19"/>
    <w:rsid w:val="00D622DA"/>
    <w:rsid w:val="00D623C2"/>
    <w:rsid w:val="00D62470"/>
    <w:rsid w:val="00D624AC"/>
    <w:rsid w:val="00D6274B"/>
    <w:rsid w:val="00D62887"/>
    <w:rsid w:val="00D62A2C"/>
    <w:rsid w:val="00D62B6F"/>
    <w:rsid w:val="00D62C55"/>
    <w:rsid w:val="00D62FC7"/>
    <w:rsid w:val="00D6315F"/>
    <w:rsid w:val="00D63385"/>
    <w:rsid w:val="00D6342C"/>
    <w:rsid w:val="00D6348C"/>
    <w:rsid w:val="00D63697"/>
    <w:rsid w:val="00D63758"/>
    <w:rsid w:val="00D63806"/>
    <w:rsid w:val="00D63A5E"/>
    <w:rsid w:val="00D63AD1"/>
    <w:rsid w:val="00D63C61"/>
    <w:rsid w:val="00D63D30"/>
    <w:rsid w:val="00D63F6E"/>
    <w:rsid w:val="00D644CD"/>
    <w:rsid w:val="00D645B2"/>
    <w:rsid w:val="00D64639"/>
    <w:rsid w:val="00D64929"/>
    <w:rsid w:val="00D649D1"/>
    <w:rsid w:val="00D649FF"/>
    <w:rsid w:val="00D64A34"/>
    <w:rsid w:val="00D64B3C"/>
    <w:rsid w:val="00D64E57"/>
    <w:rsid w:val="00D65152"/>
    <w:rsid w:val="00D651ED"/>
    <w:rsid w:val="00D6537E"/>
    <w:rsid w:val="00D65439"/>
    <w:rsid w:val="00D654A1"/>
    <w:rsid w:val="00D654DE"/>
    <w:rsid w:val="00D655FD"/>
    <w:rsid w:val="00D657FB"/>
    <w:rsid w:val="00D65931"/>
    <w:rsid w:val="00D659EE"/>
    <w:rsid w:val="00D65B5B"/>
    <w:rsid w:val="00D65EC4"/>
    <w:rsid w:val="00D65F23"/>
    <w:rsid w:val="00D66153"/>
    <w:rsid w:val="00D661C8"/>
    <w:rsid w:val="00D66212"/>
    <w:rsid w:val="00D66282"/>
    <w:rsid w:val="00D6656B"/>
    <w:rsid w:val="00D66694"/>
    <w:rsid w:val="00D666AC"/>
    <w:rsid w:val="00D6694A"/>
    <w:rsid w:val="00D66C33"/>
    <w:rsid w:val="00D66D63"/>
    <w:rsid w:val="00D66F3D"/>
    <w:rsid w:val="00D6711E"/>
    <w:rsid w:val="00D6712D"/>
    <w:rsid w:val="00D67242"/>
    <w:rsid w:val="00D67249"/>
    <w:rsid w:val="00D674EF"/>
    <w:rsid w:val="00D67597"/>
    <w:rsid w:val="00D675C6"/>
    <w:rsid w:val="00D6760A"/>
    <w:rsid w:val="00D6765D"/>
    <w:rsid w:val="00D67699"/>
    <w:rsid w:val="00D6780A"/>
    <w:rsid w:val="00D67843"/>
    <w:rsid w:val="00D6787F"/>
    <w:rsid w:val="00D67C9C"/>
    <w:rsid w:val="00D67E7F"/>
    <w:rsid w:val="00D67E89"/>
    <w:rsid w:val="00D67F4F"/>
    <w:rsid w:val="00D70018"/>
    <w:rsid w:val="00D701D4"/>
    <w:rsid w:val="00D7026C"/>
    <w:rsid w:val="00D70339"/>
    <w:rsid w:val="00D7033B"/>
    <w:rsid w:val="00D705E9"/>
    <w:rsid w:val="00D70991"/>
    <w:rsid w:val="00D70BD7"/>
    <w:rsid w:val="00D70EB3"/>
    <w:rsid w:val="00D7115F"/>
    <w:rsid w:val="00D712BD"/>
    <w:rsid w:val="00D714F6"/>
    <w:rsid w:val="00D71784"/>
    <w:rsid w:val="00D71A38"/>
    <w:rsid w:val="00D71AB0"/>
    <w:rsid w:val="00D71B48"/>
    <w:rsid w:val="00D71B84"/>
    <w:rsid w:val="00D71E4C"/>
    <w:rsid w:val="00D71FB4"/>
    <w:rsid w:val="00D71FD5"/>
    <w:rsid w:val="00D72412"/>
    <w:rsid w:val="00D7259E"/>
    <w:rsid w:val="00D726AF"/>
    <w:rsid w:val="00D726CF"/>
    <w:rsid w:val="00D72AED"/>
    <w:rsid w:val="00D72FE5"/>
    <w:rsid w:val="00D7301A"/>
    <w:rsid w:val="00D7344B"/>
    <w:rsid w:val="00D7349A"/>
    <w:rsid w:val="00D73986"/>
    <w:rsid w:val="00D73B82"/>
    <w:rsid w:val="00D73DFE"/>
    <w:rsid w:val="00D73E11"/>
    <w:rsid w:val="00D73E48"/>
    <w:rsid w:val="00D73EAA"/>
    <w:rsid w:val="00D73F08"/>
    <w:rsid w:val="00D74077"/>
    <w:rsid w:val="00D74158"/>
    <w:rsid w:val="00D742D5"/>
    <w:rsid w:val="00D744A1"/>
    <w:rsid w:val="00D747E7"/>
    <w:rsid w:val="00D749E2"/>
    <w:rsid w:val="00D74A14"/>
    <w:rsid w:val="00D74B1C"/>
    <w:rsid w:val="00D74C76"/>
    <w:rsid w:val="00D74D95"/>
    <w:rsid w:val="00D74EF1"/>
    <w:rsid w:val="00D74F00"/>
    <w:rsid w:val="00D7506D"/>
    <w:rsid w:val="00D7520F"/>
    <w:rsid w:val="00D75326"/>
    <w:rsid w:val="00D7535F"/>
    <w:rsid w:val="00D7564C"/>
    <w:rsid w:val="00D756DD"/>
    <w:rsid w:val="00D7597F"/>
    <w:rsid w:val="00D75B19"/>
    <w:rsid w:val="00D75B81"/>
    <w:rsid w:val="00D75B9A"/>
    <w:rsid w:val="00D75D6F"/>
    <w:rsid w:val="00D75EA7"/>
    <w:rsid w:val="00D760F5"/>
    <w:rsid w:val="00D761F4"/>
    <w:rsid w:val="00D76663"/>
    <w:rsid w:val="00D76C1C"/>
    <w:rsid w:val="00D76D53"/>
    <w:rsid w:val="00D76D85"/>
    <w:rsid w:val="00D76F6F"/>
    <w:rsid w:val="00D770EC"/>
    <w:rsid w:val="00D77219"/>
    <w:rsid w:val="00D77280"/>
    <w:rsid w:val="00D77318"/>
    <w:rsid w:val="00D773E9"/>
    <w:rsid w:val="00D7745F"/>
    <w:rsid w:val="00D774B3"/>
    <w:rsid w:val="00D7754D"/>
    <w:rsid w:val="00D775E4"/>
    <w:rsid w:val="00D77623"/>
    <w:rsid w:val="00D7767B"/>
    <w:rsid w:val="00D776EA"/>
    <w:rsid w:val="00D777E7"/>
    <w:rsid w:val="00D777EE"/>
    <w:rsid w:val="00D77A5B"/>
    <w:rsid w:val="00D77B34"/>
    <w:rsid w:val="00D77C02"/>
    <w:rsid w:val="00D77C81"/>
    <w:rsid w:val="00D77D1D"/>
    <w:rsid w:val="00D77DA9"/>
    <w:rsid w:val="00D80022"/>
    <w:rsid w:val="00D800AC"/>
    <w:rsid w:val="00D800E3"/>
    <w:rsid w:val="00D800E4"/>
    <w:rsid w:val="00D8013F"/>
    <w:rsid w:val="00D8016F"/>
    <w:rsid w:val="00D802D2"/>
    <w:rsid w:val="00D8039E"/>
    <w:rsid w:val="00D803CE"/>
    <w:rsid w:val="00D80553"/>
    <w:rsid w:val="00D8069A"/>
    <w:rsid w:val="00D807C7"/>
    <w:rsid w:val="00D80D5D"/>
    <w:rsid w:val="00D80EDF"/>
    <w:rsid w:val="00D80F53"/>
    <w:rsid w:val="00D80F8A"/>
    <w:rsid w:val="00D80FC6"/>
    <w:rsid w:val="00D81050"/>
    <w:rsid w:val="00D8109B"/>
    <w:rsid w:val="00D810E0"/>
    <w:rsid w:val="00D81199"/>
    <w:rsid w:val="00D813B1"/>
    <w:rsid w:val="00D814A0"/>
    <w:rsid w:val="00D815F5"/>
    <w:rsid w:val="00D816C0"/>
    <w:rsid w:val="00D81773"/>
    <w:rsid w:val="00D81798"/>
    <w:rsid w:val="00D81826"/>
    <w:rsid w:val="00D818A6"/>
    <w:rsid w:val="00D8199D"/>
    <w:rsid w:val="00D819AC"/>
    <w:rsid w:val="00D81B17"/>
    <w:rsid w:val="00D81C36"/>
    <w:rsid w:val="00D81C83"/>
    <w:rsid w:val="00D81E0E"/>
    <w:rsid w:val="00D81F84"/>
    <w:rsid w:val="00D8216A"/>
    <w:rsid w:val="00D821EF"/>
    <w:rsid w:val="00D82458"/>
    <w:rsid w:val="00D82529"/>
    <w:rsid w:val="00D827CF"/>
    <w:rsid w:val="00D82992"/>
    <w:rsid w:val="00D829C8"/>
    <w:rsid w:val="00D82B15"/>
    <w:rsid w:val="00D82BB1"/>
    <w:rsid w:val="00D82CB7"/>
    <w:rsid w:val="00D82D1E"/>
    <w:rsid w:val="00D82D87"/>
    <w:rsid w:val="00D832BA"/>
    <w:rsid w:val="00D83325"/>
    <w:rsid w:val="00D833FE"/>
    <w:rsid w:val="00D83607"/>
    <w:rsid w:val="00D8361B"/>
    <w:rsid w:val="00D836BF"/>
    <w:rsid w:val="00D83945"/>
    <w:rsid w:val="00D83992"/>
    <w:rsid w:val="00D839BF"/>
    <w:rsid w:val="00D83A5F"/>
    <w:rsid w:val="00D83AB5"/>
    <w:rsid w:val="00D83B0B"/>
    <w:rsid w:val="00D83CD9"/>
    <w:rsid w:val="00D83CDA"/>
    <w:rsid w:val="00D83DA0"/>
    <w:rsid w:val="00D83ECA"/>
    <w:rsid w:val="00D84231"/>
    <w:rsid w:val="00D8424C"/>
    <w:rsid w:val="00D84291"/>
    <w:rsid w:val="00D844A5"/>
    <w:rsid w:val="00D844F0"/>
    <w:rsid w:val="00D8461B"/>
    <w:rsid w:val="00D8489B"/>
    <w:rsid w:val="00D8491C"/>
    <w:rsid w:val="00D849A1"/>
    <w:rsid w:val="00D84B77"/>
    <w:rsid w:val="00D84D39"/>
    <w:rsid w:val="00D84FBD"/>
    <w:rsid w:val="00D85070"/>
    <w:rsid w:val="00D8507D"/>
    <w:rsid w:val="00D850F5"/>
    <w:rsid w:val="00D85343"/>
    <w:rsid w:val="00D853F4"/>
    <w:rsid w:val="00D854A2"/>
    <w:rsid w:val="00D85578"/>
    <w:rsid w:val="00D85777"/>
    <w:rsid w:val="00D857A4"/>
    <w:rsid w:val="00D85949"/>
    <w:rsid w:val="00D85AB2"/>
    <w:rsid w:val="00D85ACA"/>
    <w:rsid w:val="00D85AE9"/>
    <w:rsid w:val="00D85CD7"/>
    <w:rsid w:val="00D85E19"/>
    <w:rsid w:val="00D861C0"/>
    <w:rsid w:val="00D86305"/>
    <w:rsid w:val="00D86356"/>
    <w:rsid w:val="00D86357"/>
    <w:rsid w:val="00D8637F"/>
    <w:rsid w:val="00D867F4"/>
    <w:rsid w:val="00D868CB"/>
    <w:rsid w:val="00D869B9"/>
    <w:rsid w:val="00D86B56"/>
    <w:rsid w:val="00D86B65"/>
    <w:rsid w:val="00D86B83"/>
    <w:rsid w:val="00D86D1A"/>
    <w:rsid w:val="00D86D1D"/>
    <w:rsid w:val="00D86D5E"/>
    <w:rsid w:val="00D86DCE"/>
    <w:rsid w:val="00D86E03"/>
    <w:rsid w:val="00D86E41"/>
    <w:rsid w:val="00D86ECD"/>
    <w:rsid w:val="00D870B7"/>
    <w:rsid w:val="00D8713A"/>
    <w:rsid w:val="00D871FE"/>
    <w:rsid w:val="00D872C4"/>
    <w:rsid w:val="00D8731B"/>
    <w:rsid w:val="00D873BD"/>
    <w:rsid w:val="00D87484"/>
    <w:rsid w:val="00D875F5"/>
    <w:rsid w:val="00D8784F"/>
    <w:rsid w:val="00D879F8"/>
    <w:rsid w:val="00D879FF"/>
    <w:rsid w:val="00D87A9E"/>
    <w:rsid w:val="00D87E2B"/>
    <w:rsid w:val="00D900DC"/>
    <w:rsid w:val="00D900DF"/>
    <w:rsid w:val="00D90396"/>
    <w:rsid w:val="00D9043D"/>
    <w:rsid w:val="00D907E5"/>
    <w:rsid w:val="00D90A65"/>
    <w:rsid w:val="00D90A86"/>
    <w:rsid w:val="00D90B8F"/>
    <w:rsid w:val="00D90D36"/>
    <w:rsid w:val="00D90DC7"/>
    <w:rsid w:val="00D90F6E"/>
    <w:rsid w:val="00D91015"/>
    <w:rsid w:val="00D910D3"/>
    <w:rsid w:val="00D9138B"/>
    <w:rsid w:val="00D91520"/>
    <w:rsid w:val="00D91781"/>
    <w:rsid w:val="00D919B2"/>
    <w:rsid w:val="00D91A75"/>
    <w:rsid w:val="00D91A82"/>
    <w:rsid w:val="00D91DA4"/>
    <w:rsid w:val="00D92764"/>
    <w:rsid w:val="00D927FD"/>
    <w:rsid w:val="00D9283B"/>
    <w:rsid w:val="00D92938"/>
    <w:rsid w:val="00D92944"/>
    <w:rsid w:val="00D92B54"/>
    <w:rsid w:val="00D92CB6"/>
    <w:rsid w:val="00D92FD0"/>
    <w:rsid w:val="00D9308C"/>
    <w:rsid w:val="00D93125"/>
    <w:rsid w:val="00D93254"/>
    <w:rsid w:val="00D93340"/>
    <w:rsid w:val="00D93341"/>
    <w:rsid w:val="00D93518"/>
    <w:rsid w:val="00D936F9"/>
    <w:rsid w:val="00D938C0"/>
    <w:rsid w:val="00D939CE"/>
    <w:rsid w:val="00D93A61"/>
    <w:rsid w:val="00D94134"/>
    <w:rsid w:val="00D9419B"/>
    <w:rsid w:val="00D94256"/>
    <w:rsid w:val="00D943E7"/>
    <w:rsid w:val="00D9445E"/>
    <w:rsid w:val="00D94550"/>
    <w:rsid w:val="00D945D9"/>
    <w:rsid w:val="00D9466C"/>
    <w:rsid w:val="00D94727"/>
    <w:rsid w:val="00D94C7C"/>
    <w:rsid w:val="00D94CF0"/>
    <w:rsid w:val="00D94DE8"/>
    <w:rsid w:val="00D94DEF"/>
    <w:rsid w:val="00D94EE6"/>
    <w:rsid w:val="00D94FB2"/>
    <w:rsid w:val="00D951CA"/>
    <w:rsid w:val="00D9524F"/>
    <w:rsid w:val="00D95266"/>
    <w:rsid w:val="00D956AB"/>
    <w:rsid w:val="00D95814"/>
    <w:rsid w:val="00D95940"/>
    <w:rsid w:val="00D95B03"/>
    <w:rsid w:val="00D95CD1"/>
    <w:rsid w:val="00D95E05"/>
    <w:rsid w:val="00D95E56"/>
    <w:rsid w:val="00D96285"/>
    <w:rsid w:val="00D9628E"/>
    <w:rsid w:val="00D9635D"/>
    <w:rsid w:val="00D96439"/>
    <w:rsid w:val="00D968FB"/>
    <w:rsid w:val="00D9690B"/>
    <w:rsid w:val="00D9690C"/>
    <w:rsid w:val="00D96B97"/>
    <w:rsid w:val="00D96BA4"/>
    <w:rsid w:val="00D96D26"/>
    <w:rsid w:val="00D96E10"/>
    <w:rsid w:val="00D96EB2"/>
    <w:rsid w:val="00D96EB6"/>
    <w:rsid w:val="00D97254"/>
    <w:rsid w:val="00D973DB"/>
    <w:rsid w:val="00D974D1"/>
    <w:rsid w:val="00D976CF"/>
    <w:rsid w:val="00D978BC"/>
    <w:rsid w:val="00D97977"/>
    <w:rsid w:val="00D97AB0"/>
    <w:rsid w:val="00D97B1B"/>
    <w:rsid w:val="00D97D1D"/>
    <w:rsid w:val="00D97D92"/>
    <w:rsid w:val="00D97DF0"/>
    <w:rsid w:val="00D97EEC"/>
    <w:rsid w:val="00DA0172"/>
    <w:rsid w:val="00DA01D6"/>
    <w:rsid w:val="00DA0209"/>
    <w:rsid w:val="00DA02C3"/>
    <w:rsid w:val="00DA0380"/>
    <w:rsid w:val="00DA0441"/>
    <w:rsid w:val="00DA051E"/>
    <w:rsid w:val="00DA0524"/>
    <w:rsid w:val="00DA0AE3"/>
    <w:rsid w:val="00DA0C9A"/>
    <w:rsid w:val="00DA0D80"/>
    <w:rsid w:val="00DA0F49"/>
    <w:rsid w:val="00DA0FCB"/>
    <w:rsid w:val="00DA1082"/>
    <w:rsid w:val="00DA112D"/>
    <w:rsid w:val="00DA11EC"/>
    <w:rsid w:val="00DA124F"/>
    <w:rsid w:val="00DA12A6"/>
    <w:rsid w:val="00DA1357"/>
    <w:rsid w:val="00DA13B6"/>
    <w:rsid w:val="00DA151A"/>
    <w:rsid w:val="00DA1566"/>
    <w:rsid w:val="00DA16E8"/>
    <w:rsid w:val="00DA1A94"/>
    <w:rsid w:val="00DA1AA3"/>
    <w:rsid w:val="00DA1AE8"/>
    <w:rsid w:val="00DA1F73"/>
    <w:rsid w:val="00DA2031"/>
    <w:rsid w:val="00DA2039"/>
    <w:rsid w:val="00DA2077"/>
    <w:rsid w:val="00DA249F"/>
    <w:rsid w:val="00DA255A"/>
    <w:rsid w:val="00DA279E"/>
    <w:rsid w:val="00DA2982"/>
    <w:rsid w:val="00DA29C7"/>
    <w:rsid w:val="00DA2A06"/>
    <w:rsid w:val="00DA2A11"/>
    <w:rsid w:val="00DA2BE2"/>
    <w:rsid w:val="00DA2EFB"/>
    <w:rsid w:val="00DA32AD"/>
    <w:rsid w:val="00DA341A"/>
    <w:rsid w:val="00DA3460"/>
    <w:rsid w:val="00DA34AB"/>
    <w:rsid w:val="00DA34F7"/>
    <w:rsid w:val="00DA35B1"/>
    <w:rsid w:val="00DA3920"/>
    <w:rsid w:val="00DA3930"/>
    <w:rsid w:val="00DA3AB9"/>
    <w:rsid w:val="00DA3D11"/>
    <w:rsid w:val="00DA3D4A"/>
    <w:rsid w:val="00DA3DC1"/>
    <w:rsid w:val="00DA4053"/>
    <w:rsid w:val="00DA425A"/>
    <w:rsid w:val="00DA4774"/>
    <w:rsid w:val="00DA47A7"/>
    <w:rsid w:val="00DA491C"/>
    <w:rsid w:val="00DA4C7E"/>
    <w:rsid w:val="00DA4C81"/>
    <w:rsid w:val="00DA4D1E"/>
    <w:rsid w:val="00DA4D3D"/>
    <w:rsid w:val="00DA4E7E"/>
    <w:rsid w:val="00DA4E98"/>
    <w:rsid w:val="00DA52D8"/>
    <w:rsid w:val="00DA547B"/>
    <w:rsid w:val="00DA54CA"/>
    <w:rsid w:val="00DA55A0"/>
    <w:rsid w:val="00DA56DA"/>
    <w:rsid w:val="00DA57C7"/>
    <w:rsid w:val="00DA5940"/>
    <w:rsid w:val="00DA59A2"/>
    <w:rsid w:val="00DA5D18"/>
    <w:rsid w:val="00DA5DB4"/>
    <w:rsid w:val="00DA6004"/>
    <w:rsid w:val="00DA6471"/>
    <w:rsid w:val="00DA649C"/>
    <w:rsid w:val="00DA6678"/>
    <w:rsid w:val="00DA695A"/>
    <w:rsid w:val="00DA6A81"/>
    <w:rsid w:val="00DA6B84"/>
    <w:rsid w:val="00DA6C32"/>
    <w:rsid w:val="00DA6DDC"/>
    <w:rsid w:val="00DA6F36"/>
    <w:rsid w:val="00DA702F"/>
    <w:rsid w:val="00DA708B"/>
    <w:rsid w:val="00DA70BE"/>
    <w:rsid w:val="00DA71E4"/>
    <w:rsid w:val="00DA7232"/>
    <w:rsid w:val="00DA72CF"/>
    <w:rsid w:val="00DA7301"/>
    <w:rsid w:val="00DA764C"/>
    <w:rsid w:val="00DA769D"/>
    <w:rsid w:val="00DA76A5"/>
    <w:rsid w:val="00DA76D1"/>
    <w:rsid w:val="00DA78DD"/>
    <w:rsid w:val="00DA7B99"/>
    <w:rsid w:val="00DA7C0B"/>
    <w:rsid w:val="00DA7D87"/>
    <w:rsid w:val="00DA7DC6"/>
    <w:rsid w:val="00DA7EDE"/>
    <w:rsid w:val="00DB01C9"/>
    <w:rsid w:val="00DB0318"/>
    <w:rsid w:val="00DB06A9"/>
    <w:rsid w:val="00DB0818"/>
    <w:rsid w:val="00DB0998"/>
    <w:rsid w:val="00DB0A5F"/>
    <w:rsid w:val="00DB0B8F"/>
    <w:rsid w:val="00DB0D71"/>
    <w:rsid w:val="00DB0E77"/>
    <w:rsid w:val="00DB0F58"/>
    <w:rsid w:val="00DB0F8B"/>
    <w:rsid w:val="00DB1120"/>
    <w:rsid w:val="00DB128B"/>
    <w:rsid w:val="00DB16DC"/>
    <w:rsid w:val="00DB181B"/>
    <w:rsid w:val="00DB1979"/>
    <w:rsid w:val="00DB1A93"/>
    <w:rsid w:val="00DB1DC9"/>
    <w:rsid w:val="00DB1FA0"/>
    <w:rsid w:val="00DB200B"/>
    <w:rsid w:val="00DB21F5"/>
    <w:rsid w:val="00DB246C"/>
    <w:rsid w:val="00DB249D"/>
    <w:rsid w:val="00DB25D1"/>
    <w:rsid w:val="00DB28F6"/>
    <w:rsid w:val="00DB296C"/>
    <w:rsid w:val="00DB297B"/>
    <w:rsid w:val="00DB2C36"/>
    <w:rsid w:val="00DB2D71"/>
    <w:rsid w:val="00DB2DEE"/>
    <w:rsid w:val="00DB2E63"/>
    <w:rsid w:val="00DB303E"/>
    <w:rsid w:val="00DB33D5"/>
    <w:rsid w:val="00DB39BC"/>
    <w:rsid w:val="00DB39CA"/>
    <w:rsid w:val="00DB3A46"/>
    <w:rsid w:val="00DB3E79"/>
    <w:rsid w:val="00DB43E8"/>
    <w:rsid w:val="00DB4479"/>
    <w:rsid w:val="00DB4603"/>
    <w:rsid w:val="00DB4954"/>
    <w:rsid w:val="00DB496B"/>
    <w:rsid w:val="00DB4A11"/>
    <w:rsid w:val="00DB4B2B"/>
    <w:rsid w:val="00DB4B70"/>
    <w:rsid w:val="00DB4B7B"/>
    <w:rsid w:val="00DB4CCC"/>
    <w:rsid w:val="00DB4D8A"/>
    <w:rsid w:val="00DB4E04"/>
    <w:rsid w:val="00DB4FE3"/>
    <w:rsid w:val="00DB50F4"/>
    <w:rsid w:val="00DB5108"/>
    <w:rsid w:val="00DB51C8"/>
    <w:rsid w:val="00DB582D"/>
    <w:rsid w:val="00DB5F0E"/>
    <w:rsid w:val="00DB5F85"/>
    <w:rsid w:val="00DB6037"/>
    <w:rsid w:val="00DB613B"/>
    <w:rsid w:val="00DB61BE"/>
    <w:rsid w:val="00DB6636"/>
    <w:rsid w:val="00DB68DF"/>
    <w:rsid w:val="00DB6924"/>
    <w:rsid w:val="00DB69E2"/>
    <w:rsid w:val="00DB6AEF"/>
    <w:rsid w:val="00DB6BB0"/>
    <w:rsid w:val="00DB7261"/>
    <w:rsid w:val="00DB733D"/>
    <w:rsid w:val="00DB7415"/>
    <w:rsid w:val="00DB74E1"/>
    <w:rsid w:val="00DB75FF"/>
    <w:rsid w:val="00DB77B8"/>
    <w:rsid w:val="00DB7A7C"/>
    <w:rsid w:val="00DB7DC5"/>
    <w:rsid w:val="00DB7E20"/>
    <w:rsid w:val="00DC007C"/>
    <w:rsid w:val="00DC017F"/>
    <w:rsid w:val="00DC01DD"/>
    <w:rsid w:val="00DC022D"/>
    <w:rsid w:val="00DC04B4"/>
    <w:rsid w:val="00DC068A"/>
    <w:rsid w:val="00DC06D6"/>
    <w:rsid w:val="00DC09E2"/>
    <w:rsid w:val="00DC0A53"/>
    <w:rsid w:val="00DC0B46"/>
    <w:rsid w:val="00DC0B5B"/>
    <w:rsid w:val="00DC0D87"/>
    <w:rsid w:val="00DC0DA3"/>
    <w:rsid w:val="00DC1289"/>
    <w:rsid w:val="00DC12BF"/>
    <w:rsid w:val="00DC14A6"/>
    <w:rsid w:val="00DC1506"/>
    <w:rsid w:val="00DC151F"/>
    <w:rsid w:val="00DC1748"/>
    <w:rsid w:val="00DC1A25"/>
    <w:rsid w:val="00DC1A8D"/>
    <w:rsid w:val="00DC1E5D"/>
    <w:rsid w:val="00DC1FC7"/>
    <w:rsid w:val="00DC20AE"/>
    <w:rsid w:val="00DC22C0"/>
    <w:rsid w:val="00DC2382"/>
    <w:rsid w:val="00DC24ED"/>
    <w:rsid w:val="00DC2774"/>
    <w:rsid w:val="00DC2ED3"/>
    <w:rsid w:val="00DC2FDB"/>
    <w:rsid w:val="00DC308F"/>
    <w:rsid w:val="00DC3122"/>
    <w:rsid w:val="00DC36FA"/>
    <w:rsid w:val="00DC37A8"/>
    <w:rsid w:val="00DC380A"/>
    <w:rsid w:val="00DC3846"/>
    <w:rsid w:val="00DC39DB"/>
    <w:rsid w:val="00DC3A22"/>
    <w:rsid w:val="00DC3A47"/>
    <w:rsid w:val="00DC3CDB"/>
    <w:rsid w:val="00DC3F30"/>
    <w:rsid w:val="00DC42CD"/>
    <w:rsid w:val="00DC449F"/>
    <w:rsid w:val="00DC48B1"/>
    <w:rsid w:val="00DC49CC"/>
    <w:rsid w:val="00DC49E6"/>
    <w:rsid w:val="00DC4B46"/>
    <w:rsid w:val="00DC4B58"/>
    <w:rsid w:val="00DC4D88"/>
    <w:rsid w:val="00DC4EDA"/>
    <w:rsid w:val="00DC530D"/>
    <w:rsid w:val="00DC5354"/>
    <w:rsid w:val="00DC5B1D"/>
    <w:rsid w:val="00DC5BAE"/>
    <w:rsid w:val="00DC5BF1"/>
    <w:rsid w:val="00DC5BFF"/>
    <w:rsid w:val="00DC5C05"/>
    <w:rsid w:val="00DC5DE5"/>
    <w:rsid w:val="00DC5E9B"/>
    <w:rsid w:val="00DC5EEF"/>
    <w:rsid w:val="00DC6144"/>
    <w:rsid w:val="00DC61CA"/>
    <w:rsid w:val="00DC6241"/>
    <w:rsid w:val="00DC6263"/>
    <w:rsid w:val="00DC62E1"/>
    <w:rsid w:val="00DC63C5"/>
    <w:rsid w:val="00DC652E"/>
    <w:rsid w:val="00DC671A"/>
    <w:rsid w:val="00DC690D"/>
    <w:rsid w:val="00DC6A83"/>
    <w:rsid w:val="00DC6AFD"/>
    <w:rsid w:val="00DC6B1C"/>
    <w:rsid w:val="00DC6B42"/>
    <w:rsid w:val="00DC6C14"/>
    <w:rsid w:val="00DC6DCB"/>
    <w:rsid w:val="00DC728D"/>
    <w:rsid w:val="00DC72BE"/>
    <w:rsid w:val="00DC72C3"/>
    <w:rsid w:val="00DC73F6"/>
    <w:rsid w:val="00DC7416"/>
    <w:rsid w:val="00DC75BD"/>
    <w:rsid w:val="00DC7616"/>
    <w:rsid w:val="00DC7755"/>
    <w:rsid w:val="00DC7864"/>
    <w:rsid w:val="00DC7A3C"/>
    <w:rsid w:val="00DC7B1D"/>
    <w:rsid w:val="00DC7B6F"/>
    <w:rsid w:val="00DC7C0C"/>
    <w:rsid w:val="00DC7C2B"/>
    <w:rsid w:val="00DC7D4F"/>
    <w:rsid w:val="00DD0097"/>
    <w:rsid w:val="00DD0225"/>
    <w:rsid w:val="00DD0239"/>
    <w:rsid w:val="00DD0250"/>
    <w:rsid w:val="00DD0276"/>
    <w:rsid w:val="00DD07B2"/>
    <w:rsid w:val="00DD08CC"/>
    <w:rsid w:val="00DD0AD2"/>
    <w:rsid w:val="00DD0B5E"/>
    <w:rsid w:val="00DD0B9B"/>
    <w:rsid w:val="00DD121D"/>
    <w:rsid w:val="00DD130B"/>
    <w:rsid w:val="00DD15CC"/>
    <w:rsid w:val="00DD17FB"/>
    <w:rsid w:val="00DD18BC"/>
    <w:rsid w:val="00DD18E3"/>
    <w:rsid w:val="00DD1A71"/>
    <w:rsid w:val="00DD1C3D"/>
    <w:rsid w:val="00DD1CAA"/>
    <w:rsid w:val="00DD1D31"/>
    <w:rsid w:val="00DD2274"/>
    <w:rsid w:val="00DD232B"/>
    <w:rsid w:val="00DD2435"/>
    <w:rsid w:val="00DD255D"/>
    <w:rsid w:val="00DD2667"/>
    <w:rsid w:val="00DD2A00"/>
    <w:rsid w:val="00DD2C33"/>
    <w:rsid w:val="00DD2DEA"/>
    <w:rsid w:val="00DD2E6B"/>
    <w:rsid w:val="00DD303F"/>
    <w:rsid w:val="00DD321D"/>
    <w:rsid w:val="00DD3221"/>
    <w:rsid w:val="00DD35EC"/>
    <w:rsid w:val="00DD38C6"/>
    <w:rsid w:val="00DD3A5D"/>
    <w:rsid w:val="00DD3C2D"/>
    <w:rsid w:val="00DD3D8F"/>
    <w:rsid w:val="00DD3E34"/>
    <w:rsid w:val="00DD4209"/>
    <w:rsid w:val="00DD43C8"/>
    <w:rsid w:val="00DD43D4"/>
    <w:rsid w:val="00DD48ED"/>
    <w:rsid w:val="00DD49F4"/>
    <w:rsid w:val="00DD4A03"/>
    <w:rsid w:val="00DD4AD6"/>
    <w:rsid w:val="00DD4AF1"/>
    <w:rsid w:val="00DD4BB6"/>
    <w:rsid w:val="00DD4D9F"/>
    <w:rsid w:val="00DD4E6E"/>
    <w:rsid w:val="00DD5064"/>
    <w:rsid w:val="00DD51E7"/>
    <w:rsid w:val="00DD576B"/>
    <w:rsid w:val="00DD57AF"/>
    <w:rsid w:val="00DD57B3"/>
    <w:rsid w:val="00DD5BFC"/>
    <w:rsid w:val="00DD5D9C"/>
    <w:rsid w:val="00DD5E27"/>
    <w:rsid w:val="00DD5F09"/>
    <w:rsid w:val="00DD6053"/>
    <w:rsid w:val="00DD626A"/>
    <w:rsid w:val="00DD64CA"/>
    <w:rsid w:val="00DD6593"/>
    <w:rsid w:val="00DD6914"/>
    <w:rsid w:val="00DD697A"/>
    <w:rsid w:val="00DD69C7"/>
    <w:rsid w:val="00DD6A90"/>
    <w:rsid w:val="00DD6AC0"/>
    <w:rsid w:val="00DD6AF9"/>
    <w:rsid w:val="00DD6CED"/>
    <w:rsid w:val="00DD6CFF"/>
    <w:rsid w:val="00DD6F8E"/>
    <w:rsid w:val="00DD714F"/>
    <w:rsid w:val="00DD71F0"/>
    <w:rsid w:val="00DD72AF"/>
    <w:rsid w:val="00DD72D7"/>
    <w:rsid w:val="00DD7340"/>
    <w:rsid w:val="00DD74DE"/>
    <w:rsid w:val="00DD762D"/>
    <w:rsid w:val="00DD7ABA"/>
    <w:rsid w:val="00DD7AF7"/>
    <w:rsid w:val="00DD7B41"/>
    <w:rsid w:val="00DD7C0B"/>
    <w:rsid w:val="00DD7C1A"/>
    <w:rsid w:val="00DE013D"/>
    <w:rsid w:val="00DE016E"/>
    <w:rsid w:val="00DE0198"/>
    <w:rsid w:val="00DE02EF"/>
    <w:rsid w:val="00DE0380"/>
    <w:rsid w:val="00DE04D3"/>
    <w:rsid w:val="00DE08D6"/>
    <w:rsid w:val="00DE09A4"/>
    <w:rsid w:val="00DE0BC8"/>
    <w:rsid w:val="00DE0EF4"/>
    <w:rsid w:val="00DE1068"/>
    <w:rsid w:val="00DE1164"/>
    <w:rsid w:val="00DE1212"/>
    <w:rsid w:val="00DE1A60"/>
    <w:rsid w:val="00DE1B67"/>
    <w:rsid w:val="00DE1BCC"/>
    <w:rsid w:val="00DE1D5F"/>
    <w:rsid w:val="00DE1DAC"/>
    <w:rsid w:val="00DE1FDA"/>
    <w:rsid w:val="00DE211A"/>
    <w:rsid w:val="00DE2279"/>
    <w:rsid w:val="00DE229F"/>
    <w:rsid w:val="00DE253E"/>
    <w:rsid w:val="00DE28AB"/>
    <w:rsid w:val="00DE2A9E"/>
    <w:rsid w:val="00DE2ABB"/>
    <w:rsid w:val="00DE2AC5"/>
    <w:rsid w:val="00DE2C86"/>
    <w:rsid w:val="00DE30AB"/>
    <w:rsid w:val="00DE3316"/>
    <w:rsid w:val="00DE3530"/>
    <w:rsid w:val="00DE3777"/>
    <w:rsid w:val="00DE3A61"/>
    <w:rsid w:val="00DE3AD5"/>
    <w:rsid w:val="00DE3F5D"/>
    <w:rsid w:val="00DE3FF4"/>
    <w:rsid w:val="00DE406A"/>
    <w:rsid w:val="00DE407F"/>
    <w:rsid w:val="00DE40F0"/>
    <w:rsid w:val="00DE4114"/>
    <w:rsid w:val="00DE4137"/>
    <w:rsid w:val="00DE4156"/>
    <w:rsid w:val="00DE4472"/>
    <w:rsid w:val="00DE44B3"/>
    <w:rsid w:val="00DE4676"/>
    <w:rsid w:val="00DE4840"/>
    <w:rsid w:val="00DE4A1E"/>
    <w:rsid w:val="00DE4B4D"/>
    <w:rsid w:val="00DE4D31"/>
    <w:rsid w:val="00DE4E20"/>
    <w:rsid w:val="00DE4F84"/>
    <w:rsid w:val="00DE50A6"/>
    <w:rsid w:val="00DE50B5"/>
    <w:rsid w:val="00DE539F"/>
    <w:rsid w:val="00DE5426"/>
    <w:rsid w:val="00DE5595"/>
    <w:rsid w:val="00DE55DF"/>
    <w:rsid w:val="00DE5608"/>
    <w:rsid w:val="00DE56EC"/>
    <w:rsid w:val="00DE576C"/>
    <w:rsid w:val="00DE581C"/>
    <w:rsid w:val="00DE5924"/>
    <w:rsid w:val="00DE59EE"/>
    <w:rsid w:val="00DE5A7D"/>
    <w:rsid w:val="00DE5D23"/>
    <w:rsid w:val="00DE5F9A"/>
    <w:rsid w:val="00DE6092"/>
    <w:rsid w:val="00DE6183"/>
    <w:rsid w:val="00DE6229"/>
    <w:rsid w:val="00DE6369"/>
    <w:rsid w:val="00DE6624"/>
    <w:rsid w:val="00DE6784"/>
    <w:rsid w:val="00DE6A3F"/>
    <w:rsid w:val="00DE6A6A"/>
    <w:rsid w:val="00DE6C36"/>
    <w:rsid w:val="00DE6D2B"/>
    <w:rsid w:val="00DE6D93"/>
    <w:rsid w:val="00DE6EAF"/>
    <w:rsid w:val="00DE6ED8"/>
    <w:rsid w:val="00DE6F29"/>
    <w:rsid w:val="00DE7035"/>
    <w:rsid w:val="00DE7176"/>
    <w:rsid w:val="00DE7281"/>
    <w:rsid w:val="00DE7356"/>
    <w:rsid w:val="00DE7520"/>
    <w:rsid w:val="00DE757C"/>
    <w:rsid w:val="00DE7819"/>
    <w:rsid w:val="00DE7861"/>
    <w:rsid w:val="00DE7A92"/>
    <w:rsid w:val="00DE7C4F"/>
    <w:rsid w:val="00DE7DAA"/>
    <w:rsid w:val="00DE7ED8"/>
    <w:rsid w:val="00DF01A8"/>
    <w:rsid w:val="00DF01DE"/>
    <w:rsid w:val="00DF037F"/>
    <w:rsid w:val="00DF03FC"/>
    <w:rsid w:val="00DF0515"/>
    <w:rsid w:val="00DF05A6"/>
    <w:rsid w:val="00DF07B9"/>
    <w:rsid w:val="00DF0836"/>
    <w:rsid w:val="00DF086E"/>
    <w:rsid w:val="00DF08D1"/>
    <w:rsid w:val="00DF0ADC"/>
    <w:rsid w:val="00DF0C56"/>
    <w:rsid w:val="00DF0DA9"/>
    <w:rsid w:val="00DF108A"/>
    <w:rsid w:val="00DF1145"/>
    <w:rsid w:val="00DF11C8"/>
    <w:rsid w:val="00DF1203"/>
    <w:rsid w:val="00DF12AC"/>
    <w:rsid w:val="00DF12DE"/>
    <w:rsid w:val="00DF12F6"/>
    <w:rsid w:val="00DF1395"/>
    <w:rsid w:val="00DF14AE"/>
    <w:rsid w:val="00DF16BA"/>
    <w:rsid w:val="00DF1940"/>
    <w:rsid w:val="00DF194C"/>
    <w:rsid w:val="00DF1C51"/>
    <w:rsid w:val="00DF1C9E"/>
    <w:rsid w:val="00DF1E51"/>
    <w:rsid w:val="00DF1F07"/>
    <w:rsid w:val="00DF2121"/>
    <w:rsid w:val="00DF250A"/>
    <w:rsid w:val="00DF25C9"/>
    <w:rsid w:val="00DF26A1"/>
    <w:rsid w:val="00DF26D7"/>
    <w:rsid w:val="00DF2721"/>
    <w:rsid w:val="00DF2759"/>
    <w:rsid w:val="00DF2779"/>
    <w:rsid w:val="00DF2903"/>
    <w:rsid w:val="00DF2A84"/>
    <w:rsid w:val="00DF2B1A"/>
    <w:rsid w:val="00DF2BCF"/>
    <w:rsid w:val="00DF2D84"/>
    <w:rsid w:val="00DF2E6F"/>
    <w:rsid w:val="00DF2F0C"/>
    <w:rsid w:val="00DF3356"/>
    <w:rsid w:val="00DF3495"/>
    <w:rsid w:val="00DF370F"/>
    <w:rsid w:val="00DF3733"/>
    <w:rsid w:val="00DF38C9"/>
    <w:rsid w:val="00DF3AEC"/>
    <w:rsid w:val="00DF3C15"/>
    <w:rsid w:val="00DF3C1D"/>
    <w:rsid w:val="00DF3D13"/>
    <w:rsid w:val="00DF415C"/>
    <w:rsid w:val="00DF41E8"/>
    <w:rsid w:val="00DF4583"/>
    <w:rsid w:val="00DF46D9"/>
    <w:rsid w:val="00DF470F"/>
    <w:rsid w:val="00DF487B"/>
    <w:rsid w:val="00DF497B"/>
    <w:rsid w:val="00DF4C7B"/>
    <w:rsid w:val="00DF4CFE"/>
    <w:rsid w:val="00DF4D0D"/>
    <w:rsid w:val="00DF4E22"/>
    <w:rsid w:val="00DF4F1C"/>
    <w:rsid w:val="00DF4F98"/>
    <w:rsid w:val="00DF5022"/>
    <w:rsid w:val="00DF50DA"/>
    <w:rsid w:val="00DF516F"/>
    <w:rsid w:val="00DF525A"/>
    <w:rsid w:val="00DF52C0"/>
    <w:rsid w:val="00DF5326"/>
    <w:rsid w:val="00DF542C"/>
    <w:rsid w:val="00DF552E"/>
    <w:rsid w:val="00DF594B"/>
    <w:rsid w:val="00DF5AC9"/>
    <w:rsid w:val="00DF5CCD"/>
    <w:rsid w:val="00DF5CCF"/>
    <w:rsid w:val="00DF5CEC"/>
    <w:rsid w:val="00DF5FDE"/>
    <w:rsid w:val="00DF6113"/>
    <w:rsid w:val="00DF612C"/>
    <w:rsid w:val="00DF63BD"/>
    <w:rsid w:val="00DF640E"/>
    <w:rsid w:val="00DF6586"/>
    <w:rsid w:val="00DF66E9"/>
    <w:rsid w:val="00DF670B"/>
    <w:rsid w:val="00DF6812"/>
    <w:rsid w:val="00DF6813"/>
    <w:rsid w:val="00DF68F6"/>
    <w:rsid w:val="00DF69E2"/>
    <w:rsid w:val="00DF6A5E"/>
    <w:rsid w:val="00DF6A7F"/>
    <w:rsid w:val="00DF6A97"/>
    <w:rsid w:val="00DF6AEC"/>
    <w:rsid w:val="00DF6DC6"/>
    <w:rsid w:val="00DF6E3D"/>
    <w:rsid w:val="00DF721E"/>
    <w:rsid w:val="00DF7340"/>
    <w:rsid w:val="00DF737E"/>
    <w:rsid w:val="00DF7472"/>
    <w:rsid w:val="00DF74F5"/>
    <w:rsid w:val="00DF75D8"/>
    <w:rsid w:val="00DF7610"/>
    <w:rsid w:val="00DF770C"/>
    <w:rsid w:val="00DF7757"/>
    <w:rsid w:val="00DF7986"/>
    <w:rsid w:val="00DF7AA9"/>
    <w:rsid w:val="00DF7B08"/>
    <w:rsid w:val="00DF7BED"/>
    <w:rsid w:val="00DF7D53"/>
    <w:rsid w:val="00DF7D69"/>
    <w:rsid w:val="00DF7E87"/>
    <w:rsid w:val="00DF7EA0"/>
    <w:rsid w:val="00DF7EB3"/>
    <w:rsid w:val="00DF7EC9"/>
    <w:rsid w:val="00DF7FD3"/>
    <w:rsid w:val="00DFED65"/>
    <w:rsid w:val="00E002BF"/>
    <w:rsid w:val="00E004A1"/>
    <w:rsid w:val="00E0065B"/>
    <w:rsid w:val="00E00667"/>
    <w:rsid w:val="00E00788"/>
    <w:rsid w:val="00E009A5"/>
    <w:rsid w:val="00E00ADF"/>
    <w:rsid w:val="00E00B29"/>
    <w:rsid w:val="00E00CF9"/>
    <w:rsid w:val="00E00D0D"/>
    <w:rsid w:val="00E00FAA"/>
    <w:rsid w:val="00E01003"/>
    <w:rsid w:val="00E0101F"/>
    <w:rsid w:val="00E01142"/>
    <w:rsid w:val="00E0125D"/>
    <w:rsid w:val="00E01513"/>
    <w:rsid w:val="00E0162F"/>
    <w:rsid w:val="00E017A9"/>
    <w:rsid w:val="00E019B5"/>
    <w:rsid w:val="00E01BB9"/>
    <w:rsid w:val="00E01DDB"/>
    <w:rsid w:val="00E0216A"/>
    <w:rsid w:val="00E021BC"/>
    <w:rsid w:val="00E022A4"/>
    <w:rsid w:val="00E022D2"/>
    <w:rsid w:val="00E0235D"/>
    <w:rsid w:val="00E023EC"/>
    <w:rsid w:val="00E024C1"/>
    <w:rsid w:val="00E024D1"/>
    <w:rsid w:val="00E024D8"/>
    <w:rsid w:val="00E02534"/>
    <w:rsid w:val="00E02772"/>
    <w:rsid w:val="00E02944"/>
    <w:rsid w:val="00E02A96"/>
    <w:rsid w:val="00E02B17"/>
    <w:rsid w:val="00E03082"/>
    <w:rsid w:val="00E030DB"/>
    <w:rsid w:val="00E03366"/>
    <w:rsid w:val="00E03D0D"/>
    <w:rsid w:val="00E03D40"/>
    <w:rsid w:val="00E03D5B"/>
    <w:rsid w:val="00E03DA9"/>
    <w:rsid w:val="00E03E9F"/>
    <w:rsid w:val="00E0408B"/>
    <w:rsid w:val="00E04296"/>
    <w:rsid w:val="00E042B5"/>
    <w:rsid w:val="00E0471B"/>
    <w:rsid w:val="00E047B5"/>
    <w:rsid w:val="00E0486C"/>
    <w:rsid w:val="00E04963"/>
    <w:rsid w:val="00E04982"/>
    <w:rsid w:val="00E04B3F"/>
    <w:rsid w:val="00E04BBF"/>
    <w:rsid w:val="00E04C59"/>
    <w:rsid w:val="00E04D8E"/>
    <w:rsid w:val="00E04DC7"/>
    <w:rsid w:val="00E04E62"/>
    <w:rsid w:val="00E04E88"/>
    <w:rsid w:val="00E04EB5"/>
    <w:rsid w:val="00E04EDB"/>
    <w:rsid w:val="00E05033"/>
    <w:rsid w:val="00E05296"/>
    <w:rsid w:val="00E05371"/>
    <w:rsid w:val="00E05492"/>
    <w:rsid w:val="00E05587"/>
    <w:rsid w:val="00E0585F"/>
    <w:rsid w:val="00E058CB"/>
    <w:rsid w:val="00E05920"/>
    <w:rsid w:val="00E0592A"/>
    <w:rsid w:val="00E05F1C"/>
    <w:rsid w:val="00E060D1"/>
    <w:rsid w:val="00E06263"/>
    <w:rsid w:val="00E06286"/>
    <w:rsid w:val="00E06302"/>
    <w:rsid w:val="00E06351"/>
    <w:rsid w:val="00E063F7"/>
    <w:rsid w:val="00E0658E"/>
    <w:rsid w:val="00E065C3"/>
    <w:rsid w:val="00E065D6"/>
    <w:rsid w:val="00E066CA"/>
    <w:rsid w:val="00E068C3"/>
    <w:rsid w:val="00E06D7E"/>
    <w:rsid w:val="00E07007"/>
    <w:rsid w:val="00E0729C"/>
    <w:rsid w:val="00E073EA"/>
    <w:rsid w:val="00E0743A"/>
    <w:rsid w:val="00E074C7"/>
    <w:rsid w:val="00E0758E"/>
    <w:rsid w:val="00E07904"/>
    <w:rsid w:val="00E07980"/>
    <w:rsid w:val="00E07DBD"/>
    <w:rsid w:val="00E07DF6"/>
    <w:rsid w:val="00E07FE7"/>
    <w:rsid w:val="00E1058E"/>
    <w:rsid w:val="00E10688"/>
    <w:rsid w:val="00E10695"/>
    <w:rsid w:val="00E10815"/>
    <w:rsid w:val="00E10828"/>
    <w:rsid w:val="00E1084C"/>
    <w:rsid w:val="00E10B04"/>
    <w:rsid w:val="00E10B3E"/>
    <w:rsid w:val="00E10BCC"/>
    <w:rsid w:val="00E10CC1"/>
    <w:rsid w:val="00E10DEE"/>
    <w:rsid w:val="00E10E2C"/>
    <w:rsid w:val="00E110E1"/>
    <w:rsid w:val="00E1141F"/>
    <w:rsid w:val="00E1160D"/>
    <w:rsid w:val="00E1194C"/>
    <w:rsid w:val="00E11ADF"/>
    <w:rsid w:val="00E11D41"/>
    <w:rsid w:val="00E11E22"/>
    <w:rsid w:val="00E125CD"/>
    <w:rsid w:val="00E12772"/>
    <w:rsid w:val="00E1283F"/>
    <w:rsid w:val="00E12A5E"/>
    <w:rsid w:val="00E12A73"/>
    <w:rsid w:val="00E12B9B"/>
    <w:rsid w:val="00E12BF6"/>
    <w:rsid w:val="00E12C0A"/>
    <w:rsid w:val="00E12CBE"/>
    <w:rsid w:val="00E12FDB"/>
    <w:rsid w:val="00E132F9"/>
    <w:rsid w:val="00E133D1"/>
    <w:rsid w:val="00E13626"/>
    <w:rsid w:val="00E1367F"/>
    <w:rsid w:val="00E136ED"/>
    <w:rsid w:val="00E1377C"/>
    <w:rsid w:val="00E13797"/>
    <w:rsid w:val="00E13A4D"/>
    <w:rsid w:val="00E13C04"/>
    <w:rsid w:val="00E13F56"/>
    <w:rsid w:val="00E14022"/>
    <w:rsid w:val="00E14029"/>
    <w:rsid w:val="00E1409F"/>
    <w:rsid w:val="00E140F4"/>
    <w:rsid w:val="00E14134"/>
    <w:rsid w:val="00E1420A"/>
    <w:rsid w:val="00E142DB"/>
    <w:rsid w:val="00E14385"/>
    <w:rsid w:val="00E143F4"/>
    <w:rsid w:val="00E14540"/>
    <w:rsid w:val="00E1469A"/>
    <w:rsid w:val="00E14ABF"/>
    <w:rsid w:val="00E14CE2"/>
    <w:rsid w:val="00E14DD7"/>
    <w:rsid w:val="00E14E51"/>
    <w:rsid w:val="00E14F71"/>
    <w:rsid w:val="00E15205"/>
    <w:rsid w:val="00E152DF"/>
    <w:rsid w:val="00E153B7"/>
    <w:rsid w:val="00E154F1"/>
    <w:rsid w:val="00E1556A"/>
    <w:rsid w:val="00E155D5"/>
    <w:rsid w:val="00E15635"/>
    <w:rsid w:val="00E1569E"/>
    <w:rsid w:val="00E156A1"/>
    <w:rsid w:val="00E156DD"/>
    <w:rsid w:val="00E15720"/>
    <w:rsid w:val="00E15DB7"/>
    <w:rsid w:val="00E15E4B"/>
    <w:rsid w:val="00E15E51"/>
    <w:rsid w:val="00E15E96"/>
    <w:rsid w:val="00E1619B"/>
    <w:rsid w:val="00E16376"/>
    <w:rsid w:val="00E163B8"/>
    <w:rsid w:val="00E163DD"/>
    <w:rsid w:val="00E16457"/>
    <w:rsid w:val="00E16626"/>
    <w:rsid w:val="00E16B93"/>
    <w:rsid w:val="00E16C37"/>
    <w:rsid w:val="00E16D3A"/>
    <w:rsid w:val="00E1712E"/>
    <w:rsid w:val="00E1728B"/>
    <w:rsid w:val="00E174EF"/>
    <w:rsid w:val="00E175D2"/>
    <w:rsid w:val="00E177EE"/>
    <w:rsid w:val="00E17A0F"/>
    <w:rsid w:val="00E17AF2"/>
    <w:rsid w:val="00E17B92"/>
    <w:rsid w:val="00E17E80"/>
    <w:rsid w:val="00E20181"/>
    <w:rsid w:val="00E2023F"/>
    <w:rsid w:val="00E204C6"/>
    <w:rsid w:val="00E205CB"/>
    <w:rsid w:val="00E207CD"/>
    <w:rsid w:val="00E207EB"/>
    <w:rsid w:val="00E20806"/>
    <w:rsid w:val="00E20A69"/>
    <w:rsid w:val="00E20C21"/>
    <w:rsid w:val="00E20C56"/>
    <w:rsid w:val="00E20E9C"/>
    <w:rsid w:val="00E20F6D"/>
    <w:rsid w:val="00E2106E"/>
    <w:rsid w:val="00E21170"/>
    <w:rsid w:val="00E21316"/>
    <w:rsid w:val="00E214C1"/>
    <w:rsid w:val="00E21760"/>
    <w:rsid w:val="00E219F9"/>
    <w:rsid w:val="00E21CBC"/>
    <w:rsid w:val="00E21D40"/>
    <w:rsid w:val="00E21D70"/>
    <w:rsid w:val="00E21DC7"/>
    <w:rsid w:val="00E22106"/>
    <w:rsid w:val="00E22416"/>
    <w:rsid w:val="00E224B7"/>
    <w:rsid w:val="00E224FE"/>
    <w:rsid w:val="00E22550"/>
    <w:rsid w:val="00E225E3"/>
    <w:rsid w:val="00E226C4"/>
    <w:rsid w:val="00E22899"/>
    <w:rsid w:val="00E22C20"/>
    <w:rsid w:val="00E22DA4"/>
    <w:rsid w:val="00E23120"/>
    <w:rsid w:val="00E2317F"/>
    <w:rsid w:val="00E2325F"/>
    <w:rsid w:val="00E23303"/>
    <w:rsid w:val="00E23376"/>
    <w:rsid w:val="00E2370E"/>
    <w:rsid w:val="00E2377A"/>
    <w:rsid w:val="00E238F3"/>
    <w:rsid w:val="00E23963"/>
    <w:rsid w:val="00E23A76"/>
    <w:rsid w:val="00E24226"/>
    <w:rsid w:val="00E246E2"/>
    <w:rsid w:val="00E248FC"/>
    <w:rsid w:val="00E24A04"/>
    <w:rsid w:val="00E24CCD"/>
    <w:rsid w:val="00E251B1"/>
    <w:rsid w:val="00E251BA"/>
    <w:rsid w:val="00E25324"/>
    <w:rsid w:val="00E25373"/>
    <w:rsid w:val="00E253A3"/>
    <w:rsid w:val="00E254D2"/>
    <w:rsid w:val="00E2561D"/>
    <w:rsid w:val="00E257AD"/>
    <w:rsid w:val="00E257EE"/>
    <w:rsid w:val="00E25993"/>
    <w:rsid w:val="00E25A3E"/>
    <w:rsid w:val="00E25B0F"/>
    <w:rsid w:val="00E25C74"/>
    <w:rsid w:val="00E25CA7"/>
    <w:rsid w:val="00E25F9C"/>
    <w:rsid w:val="00E25FC9"/>
    <w:rsid w:val="00E26216"/>
    <w:rsid w:val="00E26229"/>
    <w:rsid w:val="00E2656C"/>
    <w:rsid w:val="00E26655"/>
    <w:rsid w:val="00E26710"/>
    <w:rsid w:val="00E268BF"/>
    <w:rsid w:val="00E268C1"/>
    <w:rsid w:val="00E26972"/>
    <w:rsid w:val="00E26CFA"/>
    <w:rsid w:val="00E26D12"/>
    <w:rsid w:val="00E26E69"/>
    <w:rsid w:val="00E2758E"/>
    <w:rsid w:val="00E277B9"/>
    <w:rsid w:val="00E277BE"/>
    <w:rsid w:val="00E27A9C"/>
    <w:rsid w:val="00E27C1E"/>
    <w:rsid w:val="00E27D42"/>
    <w:rsid w:val="00E27EEE"/>
    <w:rsid w:val="00E3000D"/>
    <w:rsid w:val="00E300FE"/>
    <w:rsid w:val="00E30252"/>
    <w:rsid w:val="00E305D0"/>
    <w:rsid w:val="00E30622"/>
    <w:rsid w:val="00E3082E"/>
    <w:rsid w:val="00E3098F"/>
    <w:rsid w:val="00E30B27"/>
    <w:rsid w:val="00E30C70"/>
    <w:rsid w:val="00E30D4A"/>
    <w:rsid w:val="00E30DDB"/>
    <w:rsid w:val="00E30E7E"/>
    <w:rsid w:val="00E30F53"/>
    <w:rsid w:val="00E31027"/>
    <w:rsid w:val="00E31039"/>
    <w:rsid w:val="00E3140E"/>
    <w:rsid w:val="00E31468"/>
    <w:rsid w:val="00E314A1"/>
    <w:rsid w:val="00E314F9"/>
    <w:rsid w:val="00E31549"/>
    <w:rsid w:val="00E31559"/>
    <w:rsid w:val="00E315E4"/>
    <w:rsid w:val="00E3165B"/>
    <w:rsid w:val="00E316A9"/>
    <w:rsid w:val="00E316C0"/>
    <w:rsid w:val="00E3177F"/>
    <w:rsid w:val="00E3180A"/>
    <w:rsid w:val="00E31A6E"/>
    <w:rsid w:val="00E31C2F"/>
    <w:rsid w:val="00E31F90"/>
    <w:rsid w:val="00E320E0"/>
    <w:rsid w:val="00E32265"/>
    <w:rsid w:val="00E322C4"/>
    <w:rsid w:val="00E32456"/>
    <w:rsid w:val="00E324C3"/>
    <w:rsid w:val="00E32644"/>
    <w:rsid w:val="00E3264D"/>
    <w:rsid w:val="00E32658"/>
    <w:rsid w:val="00E32831"/>
    <w:rsid w:val="00E329F1"/>
    <w:rsid w:val="00E32A86"/>
    <w:rsid w:val="00E32B80"/>
    <w:rsid w:val="00E32C5A"/>
    <w:rsid w:val="00E32CDE"/>
    <w:rsid w:val="00E32D28"/>
    <w:rsid w:val="00E32EA3"/>
    <w:rsid w:val="00E330AC"/>
    <w:rsid w:val="00E33114"/>
    <w:rsid w:val="00E33285"/>
    <w:rsid w:val="00E33456"/>
    <w:rsid w:val="00E33481"/>
    <w:rsid w:val="00E337CE"/>
    <w:rsid w:val="00E337D0"/>
    <w:rsid w:val="00E3391E"/>
    <w:rsid w:val="00E339BB"/>
    <w:rsid w:val="00E33E0E"/>
    <w:rsid w:val="00E33E12"/>
    <w:rsid w:val="00E33EAF"/>
    <w:rsid w:val="00E33F6D"/>
    <w:rsid w:val="00E3406E"/>
    <w:rsid w:val="00E3430C"/>
    <w:rsid w:val="00E34345"/>
    <w:rsid w:val="00E34438"/>
    <w:rsid w:val="00E344A7"/>
    <w:rsid w:val="00E348C5"/>
    <w:rsid w:val="00E3494B"/>
    <w:rsid w:val="00E34A94"/>
    <w:rsid w:val="00E34A9C"/>
    <w:rsid w:val="00E34BBC"/>
    <w:rsid w:val="00E34EDE"/>
    <w:rsid w:val="00E34F85"/>
    <w:rsid w:val="00E3503A"/>
    <w:rsid w:val="00E35230"/>
    <w:rsid w:val="00E35334"/>
    <w:rsid w:val="00E35404"/>
    <w:rsid w:val="00E3563D"/>
    <w:rsid w:val="00E356E8"/>
    <w:rsid w:val="00E35976"/>
    <w:rsid w:val="00E35B5D"/>
    <w:rsid w:val="00E35CA5"/>
    <w:rsid w:val="00E35CF1"/>
    <w:rsid w:val="00E35E1E"/>
    <w:rsid w:val="00E35ECA"/>
    <w:rsid w:val="00E3608E"/>
    <w:rsid w:val="00E364D3"/>
    <w:rsid w:val="00E365C7"/>
    <w:rsid w:val="00E36880"/>
    <w:rsid w:val="00E36B51"/>
    <w:rsid w:val="00E36D78"/>
    <w:rsid w:val="00E36DF5"/>
    <w:rsid w:val="00E36E5D"/>
    <w:rsid w:val="00E36ED3"/>
    <w:rsid w:val="00E36F90"/>
    <w:rsid w:val="00E37052"/>
    <w:rsid w:val="00E3742D"/>
    <w:rsid w:val="00E376B7"/>
    <w:rsid w:val="00E376E1"/>
    <w:rsid w:val="00E376E2"/>
    <w:rsid w:val="00E37713"/>
    <w:rsid w:val="00E37871"/>
    <w:rsid w:val="00E37A7E"/>
    <w:rsid w:val="00E37ABD"/>
    <w:rsid w:val="00E37B43"/>
    <w:rsid w:val="00E37C0A"/>
    <w:rsid w:val="00E37C27"/>
    <w:rsid w:val="00E37C2E"/>
    <w:rsid w:val="00E37F51"/>
    <w:rsid w:val="00E400A8"/>
    <w:rsid w:val="00E40241"/>
    <w:rsid w:val="00E40528"/>
    <w:rsid w:val="00E405E0"/>
    <w:rsid w:val="00E405FD"/>
    <w:rsid w:val="00E40959"/>
    <w:rsid w:val="00E40BEC"/>
    <w:rsid w:val="00E40D59"/>
    <w:rsid w:val="00E41249"/>
    <w:rsid w:val="00E41269"/>
    <w:rsid w:val="00E412D3"/>
    <w:rsid w:val="00E41329"/>
    <w:rsid w:val="00E4136A"/>
    <w:rsid w:val="00E41659"/>
    <w:rsid w:val="00E4171A"/>
    <w:rsid w:val="00E4177C"/>
    <w:rsid w:val="00E4187D"/>
    <w:rsid w:val="00E41BBB"/>
    <w:rsid w:val="00E41BF6"/>
    <w:rsid w:val="00E41C8F"/>
    <w:rsid w:val="00E41DF2"/>
    <w:rsid w:val="00E42182"/>
    <w:rsid w:val="00E42325"/>
    <w:rsid w:val="00E4287D"/>
    <w:rsid w:val="00E42941"/>
    <w:rsid w:val="00E42943"/>
    <w:rsid w:val="00E429CC"/>
    <w:rsid w:val="00E42AB4"/>
    <w:rsid w:val="00E42BE9"/>
    <w:rsid w:val="00E42C27"/>
    <w:rsid w:val="00E42DE5"/>
    <w:rsid w:val="00E430BB"/>
    <w:rsid w:val="00E43164"/>
    <w:rsid w:val="00E433DB"/>
    <w:rsid w:val="00E43870"/>
    <w:rsid w:val="00E4397A"/>
    <w:rsid w:val="00E43991"/>
    <w:rsid w:val="00E43D3D"/>
    <w:rsid w:val="00E43ED1"/>
    <w:rsid w:val="00E43EF5"/>
    <w:rsid w:val="00E43F01"/>
    <w:rsid w:val="00E43F07"/>
    <w:rsid w:val="00E43F6A"/>
    <w:rsid w:val="00E4406E"/>
    <w:rsid w:val="00E442AB"/>
    <w:rsid w:val="00E44386"/>
    <w:rsid w:val="00E44487"/>
    <w:rsid w:val="00E445D9"/>
    <w:rsid w:val="00E445DC"/>
    <w:rsid w:val="00E4486F"/>
    <w:rsid w:val="00E448C6"/>
    <w:rsid w:val="00E44945"/>
    <w:rsid w:val="00E44A3B"/>
    <w:rsid w:val="00E44A5D"/>
    <w:rsid w:val="00E44D96"/>
    <w:rsid w:val="00E45024"/>
    <w:rsid w:val="00E4504B"/>
    <w:rsid w:val="00E4529D"/>
    <w:rsid w:val="00E452D7"/>
    <w:rsid w:val="00E452DE"/>
    <w:rsid w:val="00E45493"/>
    <w:rsid w:val="00E45614"/>
    <w:rsid w:val="00E45641"/>
    <w:rsid w:val="00E4568D"/>
    <w:rsid w:val="00E45835"/>
    <w:rsid w:val="00E459E0"/>
    <w:rsid w:val="00E45C8C"/>
    <w:rsid w:val="00E45DFC"/>
    <w:rsid w:val="00E45F0E"/>
    <w:rsid w:val="00E460C1"/>
    <w:rsid w:val="00E46123"/>
    <w:rsid w:val="00E4625C"/>
    <w:rsid w:val="00E46298"/>
    <w:rsid w:val="00E46301"/>
    <w:rsid w:val="00E4668E"/>
    <w:rsid w:val="00E466E5"/>
    <w:rsid w:val="00E4688F"/>
    <w:rsid w:val="00E46A44"/>
    <w:rsid w:val="00E46ABD"/>
    <w:rsid w:val="00E46BAB"/>
    <w:rsid w:val="00E46C7A"/>
    <w:rsid w:val="00E470DE"/>
    <w:rsid w:val="00E47258"/>
    <w:rsid w:val="00E475C8"/>
    <w:rsid w:val="00E4763A"/>
    <w:rsid w:val="00E476B5"/>
    <w:rsid w:val="00E47831"/>
    <w:rsid w:val="00E47B35"/>
    <w:rsid w:val="00E47D23"/>
    <w:rsid w:val="00E47DA8"/>
    <w:rsid w:val="00E47F7A"/>
    <w:rsid w:val="00E47FC0"/>
    <w:rsid w:val="00E47FF6"/>
    <w:rsid w:val="00E50117"/>
    <w:rsid w:val="00E50264"/>
    <w:rsid w:val="00E505A5"/>
    <w:rsid w:val="00E50848"/>
    <w:rsid w:val="00E509F6"/>
    <w:rsid w:val="00E50B43"/>
    <w:rsid w:val="00E50BBC"/>
    <w:rsid w:val="00E50FEB"/>
    <w:rsid w:val="00E5104B"/>
    <w:rsid w:val="00E5127C"/>
    <w:rsid w:val="00E512A4"/>
    <w:rsid w:val="00E51342"/>
    <w:rsid w:val="00E5166A"/>
    <w:rsid w:val="00E51673"/>
    <w:rsid w:val="00E51730"/>
    <w:rsid w:val="00E5176A"/>
    <w:rsid w:val="00E51A3B"/>
    <w:rsid w:val="00E51BB3"/>
    <w:rsid w:val="00E51C40"/>
    <w:rsid w:val="00E51F3C"/>
    <w:rsid w:val="00E52224"/>
    <w:rsid w:val="00E5247A"/>
    <w:rsid w:val="00E524F6"/>
    <w:rsid w:val="00E5254C"/>
    <w:rsid w:val="00E525A8"/>
    <w:rsid w:val="00E52773"/>
    <w:rsid w:val="00E527F2"/>
    <w:rsid w:val="00E52A41"/>
    <w:rsid w:val="00E52E41"/>
    <w:rsid w:val="00E53397"/>
    <w:rsid w:val="00E534B1"/>
    <w:rsid w:val="00E5354F"/>
    <w:rsid w:val="00E537C1"/>
    <w:rsid w:val="00E538CB"/>
    <w:rsid w:val="00E53912"/>
    <w:rsid w:val="00E53BDA"/>
    <w:rsid w:val="00E53D2E"/>
    <w:rsid w:val="00E53E73"/>
    <w:rsid w:val="00E54128"/>
    <w:rsid w:val="00E5419D"/>
    <w:rsid w:val="00E541BE"/>
    <w:rsid w:val="00E5450C"/>
    <w:rsid w:val="00E5459B"/>
    <w:rsid w:val="00E5464B"/>
    <w:rsid w:val="00E54670"/>
    <w:rsid w:val="00E54A81"/>
    <w:rsid w:val="00E54F42"/>
    <w:rsid w:val="00E5510E"/>
    <w:rsid w:val="00E55278"/>
    <w:rsid w:val="00E55354"/>
    <w:rsid w:val="00E5545E"/>
    <w:rsid w:val="00E5546F"/>
    <w:rsid w:val="00E55595"/>
    <w:rsid w:val="00E55601"/>
    <w:rsid w:val="00E55678"/>
    <w:rsid w:val="00E556D2"/>
    <w:rsid w:val="00E55811"/>
    <w:rsid w:val="00E55FAA"/>
    <w:rsid w:val="00E5602A"/>
    <w:rsid w:val="00E5636A"/>
    <w:rsid w:val="00E56655"/>
    <w:rsid w:val="00E567F9"/>
    <w:rsid w:val="00E56894"/>
    <w:rsid w:val="00E568C6"/>
    <w:rsid w:val="00E56B34"/>
    <w:rsid w:val="00E56DBD"/>
    <w:rsid w:val="00E56EDC"/>
    <w:rsid w:val="00E56EDF"/>
    <w:rsid w:val="00E56F87"/>
    <w:rsid w:val="00E57256"/>
    <w:rsid w:val="00E572BC"/>
    <w:rsid w:val="00E573B2"/>
    <w:rsid w:val="00E5742D"/>
    <w:rsid w:val="00E57483"/>
    <w:rsid w:val="00E57497"/>
    <w:rsid w:val="00E574B7"/>
    <w:rsid w:val="00E57755"/>
    <w:rsid w:val="00E57933"/>
    <w:rsid w:val="00E57A23"/>
    <w:rsid w:val="00E57ABA"/>
    <w:rsid w:val="00E57B11"/>
    <w:rsid w:val="00E57BCB"/>
    <w:rsid w:val="00E57CD1"/>
    <w:rsid w:val="00E57D25"/>
    <w:rsid w:val="00E57DB7"/>
    <w:rsid w:val="00E57E40"/>
    <w:rsid w:val="00E57E63"/>
    <w:rsid w:val="00E60221"/>
    <w:rsid w:val="00E60301"/>
    <w:rsid w:val="00E604C0"/>
    <w:rsid w:val="00E605F1"/>
    <w:rsid w:val="00E605FC"/>
    <w:rsid w:val="00E60661"/>
    <w:rsid w:val="00E606EA"/>
    <w:rsid w:val="00E607C0"/>
    <w:rsid w:val="00E607F1"/>
    <w:rsid w:val="00E609BE"/>
    <w:rsid w:val="00E60AF8"/>
    <w:rsid w:val="00E60AFC"/>
    <w:rsid w:val="00E60B9A"/>
    <w:rsid w:val="00E60D3B"/>
    <w:rsid w:val="00E60D93"/>
    <w:rsid w:val="00E60E78"/>
    <w:rsid w:val="00E60FE4"/>
    <w:rsid w:val="00E61041"/>
    <w:rsid w:val="00E61486"/>
    <w:rsid w:val="00E61583"/>
    <w:rsid w:val="00E617B3"/>
    <w:rsid w:val="00E618E5"/>
    <w:rsid w:val="00E6193B"/>
    <w:rsid w:val="00E61971"/>
    <w:rsid w:val="00E61A31"/>
    <w:rsid w:val="00E61AD0"/>
    <w:rsid w:val="00E61CFC"/>
    <w:rsid w:val="00E61D89"/>
    <w:rsid w:val="00E61D8F"/>
    <w:rsid w:val="00E61F26"/>
    <w:rsid w:val="00E62111"/>
    <w:rsid w:val="00E6217D"/>
    <w:rsid w:val="00E6266D"/>
    <w:rsid w:val="00E62EF1"/>
    <w:rsid w:val="00E62F17"/>
    <w:rsid w:val="00E632A9"/>
    <w:rsid w:val="00E63788"/>
    <w:rsid w:val="00E6399E"/>
    <w:rsid w:val="00E639E8"/>
    <w:rsid w:val="00E63A69"/>
    <w:rsid w:val="00E63B34"/>
    <w:rsid w:val="00E63F56"/>
    <w:rsid w:val="00E63F7D"/>
    <w:rsid w:val="00E643B9"/>
    <w:rsid w:val="00E646D5"/>
    <w:rsid w:val="00E6473A"/>
    <w:rsid w:val="00E6495C"/>
    <w:rsid w:val="00E64C52"/>
    <w:rsid w:val="00E64EA1"/>
    <w:rsid w:val="00E65054"/>
    <w:rsid w:val="00E65970"/>
    <w:rsid w:val="00E65DB5"/>
    <w:rsid w:val="00E65E48"/>
    <w:rsid w:val="00E65E49"/>
    <w:rsid w:val="00E66093"/>
    <w:rsid w:val="00E660EB"/>
    <w:rsid w:val="00E6614A"/>
    <w:rsid w:val="00E661CF"/>
    <w:rsid w:val="00E66292"/>
    <w:rsid w:val="00E6651C"/>
    <w:rsid w:val="00E665E0"/>
    <w:rsid w:val="00E665F4"/>
    <w:rsid w:val="00E665FC"/>
    <w:rsid w:val="00E66658"/>
    <w:rsid w:val="00E6666B"/>
    <w:rsid w:val="00E668B0"/>
    <w:rsid w:val="00E669E6"/>
    <w:rsid w:val="00E66B17"/>
    <w:rsid w:val="00E66C22"/>
    <w:rsid w:val="00E66C49"/>
    <w:rsid w:val="00E66C71"/>
    <w:rsid w:val="00E66D7E"/>
    <w:rsid w:val="00E670A9"/>
    <w:rsid w:val="00E670E3"/>
    <w:rsid w:val="00E6716A"/>
    <w:rsid w:val="00E672DA"/>
    <w:rsid w:val="00E67438"/>
    <w:rsid w:val="00E676AB"/>
    <w:rsid w:val="00E67932"/>
    <w:rsid w:val="00E67EC2"/>
    <w:rsid w:val="00E67EFF"/>
    <w:rsid w:val="00E70242"/>
    <w:rsid w:val="00E70292"/>
    <w:rsid w:val="00E702F8"/>
    <w:rsid w:val="00E706E6"/>
    <w:rsid w:val="00E70726"/>
    <w:rsid w:val="00E7079B"/>
    <w:rsid w:val="00E707BA"/>
    <w:rsid w:val="00E7083E"/>
    <w:rsid w:val="00E7087C"/>
    <w:rsid w:val="00E709A9"/>
    <w:rsid w:val="00E70A4D"/>
    <w:rsid w:val="00E70B9F"/>
    <w:rsid w:val="00E70C71"/>
    <w:rsid w:val="00E70D54"/>
    <w:rsid w:val="00E70D71"/>
    <w:rsid w:val="00E70E02"/>
    <w:rsid w:val="00E70F11"/>
    <w:rsid w:val="00E7116F"/>
    <w:rsid w:val="00E7133A"/>
    <w:rsid w:val="00E7147A"/>
    <w:rsid w:val="00E715CC"/>
    <w:rsid w:val="00E71654"/>
    <w:rsid w:val="00E716D4"/>
    <w:rsid w:val="00E7178A"/>
    <w:rsid w:val="00E718E9"/>
    <w:rsid w:val="00E7195E"/>
    <w:rsid w:val="00E7197E"/>
    <w:rsid w:val="00E719E8"/>
    <w:rsid w:val="00E71C9A"/>
    <w:rsid w:val="00E7211B"/>
    <w:rsid w:val="00E721D4"/>
    <w:rsid w:val="00E722D1"/>
    <w:rsid w:val="00E723A1"/>
    <w:rsid w:val="00E7253F"/>
    <w:rsid w:val="00E72750"/>
    <w:rsid w:val="00E729D0"/>
    <w:rsid w:val="00E72B91"/>
    <w:rsid w:val="00E72E9F"/>
    <w:rsid w:val="00E72EAF"/>
    <w:rsid w:val="00E73024"/>
    <w:rsid w:val="00E7309F"/>
    <w:rsid w:val="00E730C8"/>
    <w:rsid w:val="00E73199"/>
    <w:rsid w:val="00E731A3"/>
    <w:rsid w:val="00E732AC"/>
    <w:rsid w:val="00E7331B"/>
    <w:rsid w:val="00E737BE"/>
    <w:rsid w:val="00E737E6"/>
    <w:rsid w:val="00E73B57"/>
    <w:rsid w:val="00E73D0F"/>
    <w:rsid w:val="00E73E12"/>
    <w:rsid w:val="00E74394"/>
    <w:rsid w:val="00E74607"/>
    <w:rsid w:val="00E7480B"/>
    <w:rsid w:val="00E74843"/>
    <w:rsid w:val="00E7486F"/>
    <w:rsid w:val="00E74B47"/>
    <w:rsid w:val="00E74B49"/>
    <w:rsid w:val="00E74E0C"/>
    <w:rsid w:val="00E74E1C"/>
    <w:rsid w:val="00E74E28"/>
    <w:rsid w:val="00E74EF7"/>
    <w:rsid w:val="00E750BA"/>
    <w:rsid w:val="00E750BB"/>
    <w:rsid w:val="00E75456"/>
    <w:rsid w:val="00E754C5"/>
    <w:rsid w:val="00E7559F"/>
    <w:rsid w:val="00E755AF"/>
    <w:rsid w:val="00E757D6"/>
    <w:rsid w:val="00E75990"/>
    <w:rsid w:val="00E75C27"/>
    <w:rsid w:val="00E75EA9"/>
    <w:rsid w:val="00E75FF1"/>
    <w:rsid w:val="00E7615B"/>
    <w:rsid w:val="00E763A2"/>
    <w:rsid w:val="00E76409"/>
    <w:rsid w:val="00E7659D"/>
    <w:rsid w:val="00E767B4"/>
    <w:rsid w:val="00E768B6"/>
    <w:rsid w:val="00E7692B"/>
    <w:rsid w:val="00E76935"/>
    <w:rsid w:val="00E769D7"/>
    <w:rsid w:val="00E76A26"/>
    <w:rsid w:val="00E76AB7"/>
    <w:rsid w:val="00E76C7C"/>
    <w:rsid w:val="00E76D05"/>
    <w:rsid w:val="00E76F42"/>
    <w:rsid w:val="00E7763A"/>
    <w:rsid w:val="00E77A5D"/>
    <w:rsid w:val="00E77A7D"/>
    <w:rsid w:val="00E77B21"/>
    <w:rsid w:val="00E77D6A"/>
    <w:rsid w:val="00E77FA0"/>
    <w:rsid w:val="00E800F8"/>
    <w:rsid w:val="00E8012A"/>
    <w:rsid w:val="00E80621"/>
    <w:rsid w:val="00E80D8A"/>
    <w:rsid w:val="00E80F73"/>
    <w:rsid w:val="00E80F85"/>
    <w:rsid w:val="00E8125A"/>
    <w:rsid w:val="00E81481"/>
    <w:rsid w:val="00E81524"/>
    <w:rsid w:val="00E8168D"/>
    <w:rsid w:val="00E816BC"/>
    <w:rsid w:val="00E819AC"/>
    <w:rsid w:val="00E81CAB"/>
    <w:rsid w:val="00E81F2B"/>
    <w:rsid w:val="00E822FC"/>
    <w:rsid w:val="00E82363"/>
    <w:rsid w:val="00E825F7"/>
    <w:rsid w:val="00E82630"/>
    <w:rsid w:val="00E82953"/>
    <w:rsid w:val="00E82A08"/>
    <w:rsid w:val="00E82A3A"/>
    <w:rsid w:val="00E82C82"/>
    <w:rsid w:val="00E82CEB"/>
    <w:rsid w:val="00E82DC1"/>
    <w:rsid w:val="00E82E08"/>
    <w:rsid w:val="00E82F00"/>
    <w:rsid w:val="00E83076"/>
    <w:rsid w:val="00E831AB"/>
    <w:rsid w:val="00E832DE"/>
    <w:rsid w:val="00E83437"/>
    <w:rsid w:val="00E83670"/>
    <w:rsid w:val="00E8369D"/>
    <w:rsid w:val="00E83712"/>
    <w:rsid w:val="00E83814"/>
    <w:rsid w:val="00E83919"/>
    <w:rsid w:val="00E83992"/>
    <w:rsid w:val="00E83B27"/>
    <w:rsid w:val="00E83C1A"/>
    <w:rsid w:val="00E83D07"/>
    <w:rsid w:val="00E83DE0"/>
    <w:rsid w:val="00E83E9D"/>
    <w:rsid w:val="00E83EDE"/>
    <w:rsid w:val="00E840EA"/>
    <w:rsid w:val="00E8419D"/>
    <w:rsid w:val="00E84527"/>
    <w:rsid w:val="00E845C8"/>
    <w:rsid w:val="00E846DE"/>
    <w:rsid w:val="00E8474B"/>
    <w:rsid w:val="00E847A4"/>
    <w:rsid w:val="00E848C2"/>
    <w:rsid w:val="00E84FE0"/>
    <w:rsid w:val="00E8524D"/>
    <w:rsid w:val="00E85412"/>
    <w:rsid w:val="00E8544A"/>
    <w:rsid w:val="00E85513"/>
    <w:rsid w:val="00E85569"/>
    <w:rsid w:val="00E8584A"/>
    <w:rsid w:val="00E85C26"/>
    <w:rsid w:val="00E85C53"/>
    <w:rsid w:val="00E85E50"/>
    <w:rsid w:val="00E85EFC"/>
    <w:rsid w:val="00E860B5"/>
    <w:rsid w:val="00E861A1"/>
    <w:rsid w:val="00E863A0"/>
    <w:rsid w:val="00E864DC"/>
    <w:rsid w:val="00E86660"/>
    <w:rsid w:val="00E86962"/>
    <w:rsid w:val="00E869FF"/>
    <w:rsid w:val="00E86A20"/>
    <w:rsid w:val="00E86CA8"/>
    <w:rsid w:val="00E86F2C"/>
    <w:rsid w:val="00E86F47"/>
    <w:rsid w:val="00E86F8D"/>
    <w:rsid w:val="00E8725E"/>
    <w:rsid w:val="00E875A3"/>
    <w:rsid w:val="00E877F4"/>
    <w:rsid w:val="00E87B94"/>
    <w:rsid w:val="00E87D3C"/>
    <w:rsid w:val="00E87EF2"/>
    <w:rsid w:val="00E90178"/>
    <w:rsid w:val="00E90651"/>
    <w:rsid w:val="00E909DB"/>
    <w:rsid w:val="00E90A32"/>
    <w:rsid w:val="00E90ACA"/>
    <w:rsid w:val="00E90AF3"/>
    <w:rsid w:val="00E90B0F"/>
    <w:rsid w:val="00E90BA6"/>
    <w:rsid w:val="00E90BDD"/>
    <w:rsid w:val="00E90C20"/>
    <w:rsid w:val="00E90CB9"/>
    <w:rsid w:val="00E90DF8"/>
    <w:rsid w:val="00E90E4D"/>
    <w:rsid w:val="00E90F2B"/>
    <w:rsid w:val="00E91059"/>
    <w:rsid w:val="00E91171"/>
    <w:rsid w:val="00E91248"/>
    <w:rsid w:val="00E9128E"/>
    <w:rsid w:val="00E91382"/>
    <w:rsid w:val="00E91572"/>
    <w:rsid w:val="00E9175F"/>
    <w:rsid w:val="00E917B2"/>
    <w:rsid w:val="00E917ED"/>
    <w:rsid w:val="00E9194E"/>
    <w:rsid w:val="00E91B3F"/>
    <w:rsid w:val="00E91E94"/>
    <w:rsid w:val="00E921F6"/>
    <w:rsid w:val="00E92227"/>
    <w:rsid w:val="00E923F8"/>
    <w:rsid w:val="00E92483"/>
    <w:rsid w:val="00E92514"/>
    <w:rsid w:val="00E9265E"/>
    <w:rsid w:val="00E9288D"/>
    <w:rsid w:val="00E928FF"/>
    <w:rsid w:val="00E92983"/>
    <w:rsid w:val="00E929B7"/>
    <w:rsid w:val="00E92A00"/>
    <w:rsid w:val="00E92A2B"/>
    <w:rsid w:val="00E92A95"/>
    <w:rsid w:val="00E92CB3"/>
    <w:rsid w:val="00E92D76"/>
    <w:rsid w:val="00E92DA3"/>
    <w:rsid w:val="00E92E59"/>
    <w:rsid w:val="00E92EAE"/>
    <w:rsid w:val="00E92FFE"/>
    <w:rsid w:val="00E93413"/>
    <w:rsid w:val="00E936CB"/>
    <w:rsid w:val="00E9376B"/>
    <w:rsid w:val="00E93BF2"/>
    <w:rsid w:val="00E93DC9"/>
    <w:rsid w:val="00E94255"/>
    <w:rsid w:val="00E94690"/>
    <w:rsid w:val="00E9481C"/>
    <w:rsid w:val="00E94AEE"/>
    <w:rsid w:val="00E94B0D"/>
    <w:rsid w:val="00E94D20"/>
    <w:rsid w:val="00E94E50"/>
    <w:rsid w:val="00E94EAF"/>
    <w:rsid w:val="00E94EDD"/>
    <w:rsid w:val="00E94F7E"/>
    <w:rsid w:val="00E952E2"/>
    <w:rsid w:val="00E953A5"/>
    <w:rsid w:val="00E953F2"/>
    <w:rsid w:val="00E9558C"/>
    <w:rsid w:val="00E95668"/>
    <w:rsid w:val="00E95846"/>
    <w:rsid w:val="00E959AB"/>
    <w:rsid w:val="00E95AA3"/>
    <w:rsid w:val="00E95CE8"/>
    <w:rsid w:val="00E95CEB"/>
    <w:rsid w:val="00E95F70"/>
    <w:rsid w:val="00E96013"/>
    <w:rsid w:val="00E96040"/>
    <w:rsid w:val="00E96097"/>
    <w:rsid w:val="00E9620F"/>
    <w:rsid w:val="00E96257"/>
    <w:rsid w:val="00E968B6"/>
    <w:rsid w:val="00E96AD8"/>
    <w:rsid w:val="00E96DA8"/>
    <w:rsid w:val="00E96EE0"/>
    <w:rsid w:val="00E97020"/>
    <w:rsid w:val="00E970F7"/>
    <w:rsid w:val="00E97374"/>
    <w:rsid w:val="00E973D1"/>
    <w:rsid w:val="00E97563"/>
    <w:rsid w:val="00E9769A"/>
    <w:rsid w:val="00E977F0"/>
    <w:rsid w:val="00E97851"/>
    <w:rsid w:val="00E978DA"/>
    <w:rsid w:val="00E979CB"/>
    <w:rsid w:val="00E97BEA"/>
    <w:rsid w:val="00E97C7D"/>
    <w:rsid w:val="00E97DAE"/>
    <w:rsid w:val="00E97E55"/>
    <w:rsid w:val="00EA009E"/>
    <w:rsid w:val="00EA00C8"/>
    <w:rsid w:val="00EA021E"/>
    <w:rsid w:val="00EA04B1"/>
    <w:rsid w:val="00EA0552"/>
    <w:rsid w:val="00EA056A"/>
    <w:rsid w:val="00EA06F7"/>
    <w:rsid w:val="00EA07E5"/>
    <w:rsid w:val="00EA0983"/>
    <w:rsid w:val="00EA0B4A"/>
    <w:rsid w:val="00EA0C83"/>
    <w:rsid w:val="00EA0E02"/>
    <w:rsid w:val="00EA0ED6"/>
    <w:rsid w:val="00EA0EF4"/>
    <w:rsid w:val="00EA0F2B"/>
    <w:rsid w:val="00EA100C"/>
    <w:rsid w:val="00EA15BA"/>
    <w:rsid w:val="00EA1649"/>
    <w:rsid w:val="00EA1739"/>
    <w:rsid w:val="00EA18EA"/>
    <w:rsid w:val="00EA1D99"/>
    <w:rsid w:val="00EA1E9A"/>
    <w:rsid w:val="00EA2135"/>
    <w:rsid w:val="00EA2151"/>
    <w:rsid w:val="00EA231F"/>
    <w:rsid w:val="00EA237E"/>
    <w:rsid w:val="00EA23E9"/>
    <w:rsid w:val="00EA2B7A"/>
    <w:rsid w:val="00EA2D40"/>
    <w:rsid w:val="00EA2E2F"/>
    <w:rsid w:val="00EA2F09"/>
    <w:rsid w:val="00EA3142"/>
    <w:rsid w:val="00EA340A"/>
    <w:rsid w:val="00EA34D2"/>
    <w:rsid w:val="00EA354A"/>
    <w:rsid w:val="00EA3555"/>
    <w:rsid w:val="00EA3588"/>
    <w:rsid w:val="00EA3599"/>
    <w:rsid w:val="00EA37D5"/>
    <w:rsid w:val="00EA3A4F"/>
    <w:rsid w:val="00EA3AC5"/>
    <w:rsid w:val="00EA3E59"/>
    <w:rsid w:val="00EA3F1B"/>
    <w:rsid w:val="00EA4058"/>
    <w:rsid w:val="00EA4492"/>
    <w:rsid w:val="00EA45A8"/>
    <w:rsid w:val="00EA45DA"/>
    <w:rsid w:val="00EA4607"/>
    <w:rsid w:val="00EA48B1"/>
    <w:rsid w:val="00EA4C0D"/>
    <w:rsid w:val="00EA4EC4"/>
    <w:rsid w:val="00EA4ED5"/>
    <w:rsid w:val="00EA4F99"/>
    <w:rsid w:val="00EA4FE5"/>
    <w:rsid w:val="00EA5106"/>
    <w:rsid w:val="00EA5162"/>
    <w:rsid w:val="00EA5617"/>
    <w:rsid w:val="00EA561D"/>
    <w:rsid w:val="00EA576E"/>
    <w:rsid w:val="00EA5D2B"/>
    <w:rsid w:val="00EA5DD5"/>
    <w:rsid w:val="00EA5E4B"/>
    <w:rsid w:val="00EA5F88"/>
    <w:rsid w:val="00EA606E"/>
    <w:rsid w:val="00EA6514"/>
    <w:rsid w:val="00EA67B6"/>
    <w:rsid w:val="00EA69BE"/>
    <w:rsid w:val="00EA6CC3"/>
    <w:rsid w:val="00EA6EC3"/>
    <w:rsid w:val="00EA7016"/>
    <w:rsid w:val="00EA703D"/>
    <w:rsid w:val="00EA73B0"/>
    <w:rsid w:val="00EA73E0"/>
    <w:rsid w:val="00EA755F"/>
    <w:rsid w:val="00EA767A"/>
    <w:rsid w:val="00EA77E3"/>
    <w:rsid w:val="00EA780C"/>
    <w:rsid w:val="00EA7834"/>
    <w:rsid w:val="00EA7977"/>
    <w:rsid w:val="00EA798F"/>
    <w:rsid w:val="00EA7A43"/>
    <w:rsid w:val="00EA7CF2"/>
    <w:rsid w:val="00EA7D28"/>
    <w:rsid w:val="00EA7DAB"/>
    <w:rsid w:val="00EA7EBC"/>
    <w:rsid w:val="00EB011F"/>
    <w:rsid w:val="00EB028B"/>
    <w:rsid w:val="00EB0710"/>
    <w:rsid w:val="00EB073B"/>
    <w:rsid w:val="00EB0810"/>
    <w:rsid w:val="00EB087B"/>
    <w:rsid w:val="00EB08B3"/>
    <w:rsid w:val="00EB08E0"/>
    <w:rsid w:val="00EB09D8"/>
    <w:rsid w:val="00EB0B0F"/>
    <w:rsid w:val="00EB0BCE"/>
    <w:rsid w:val="00EB0E2B"/>
    <w:rsid w:val="00EB0F84"/>
    <w:rsid w:val="00EB1005"/>
    <w:rsid w:val="00EB1037"/>
    <w:rsid w:val="00EB1328"/>
    <w:rsid w:val="00EB1398"/>
    <w:rsid w:val="00EB143E"/>
    <w:rsid w:val="00EB15F0"/>
    <w:rsid w:val="00EB1949"/>
    <w:rsid w:val="00EB1D7F"/>
    <w:rsid w:val="00EB1E6E"/>
    <w:rsid w:val="00EB208F"/>
    <w:rsid w:val="00EB2417"/>
    <w:rsid w:val="00EB246D"/>
    <w:rsid w:val="00EB24C0"/>
    <w:rsid w:val="00EB271C"/>
    <w:rsid w:val="00EB2848"/>
    <w:rsid w:val="00EB2937"/>
    <w:rsid w:val="00EB2CAC"/>
    <w:rsid w:val="00EB2CF2"/>
    <w:rsid w:val="00EB2FD0"/>
    <w:rsid w:val="00EB3037"/>
    <w:rsid w:val="00EB31DC"/>
    <w:rsid w:val="00EB33BB"/>
    <w:rsid w:val="00EB3428"/>
    <w:rsid w:val="00EB3507"/>
    <w:rsid w:val="00EB3551"/>
    <w:rsid w:val="00EB3600"/>
    <w:rsid w:val="00EB369D"/>
    <w:rsid w:val="00EB3903"/>
    <w:rsid w:val="00EB3AD4"/>
    <w:rsid w:val="00EB410B"/>
    <w:rsid w:val="00EB415F"/>
    <w:rsid w:val="00EB41C2"/>
    <w:rsid w:val="00EB43F2"/>
    <w:rsid w:val="00EB44E8"/>
    <w:rsid w:val="00EB44E9"/>
    <w:rsid w:val="00EB4566"/>
    <w:rsid w:val="00EB4743"/>
    <w:rsid w:val="00EB47A4"/>
    <w:rsid w:val="00EB482F"/>
    <w:rsid w:val="00EB4A80"/>
    <w:rsid w:val="00EB4D1F"/>
    <w:rsid w:val="00EB4DC6"/>
    <w:rsid w:val="00EB50F7"/>
    <w:rsid w:val="00EB51AB"/>
    <w:rsid w:val="00EB5310"/>
    <w:rsid w:val="00EB531B"/>
    <w:rsid w:val="00EB5858"/>
    <w:rsid w:val="00EB5D75"/>
    <w:rsid w:val="00EB5DFB"/>
    <w:rsid w:val="00EB5E3F"/>
    <w:rsid w:val="00EB6164"/>
    <w:rsid w:val="00EB617F"/>
    <w:rsid w:val="00EB62BA"/>
    <w:rsid w:val="00EB657C"/>
    <w:rsid w:val="00EB6615"/>
    <w:rsid w:val="00EB66BE"/>
    <w:rsid w:val="00EB6867"/>
    <w:rsid w:val="00EB693D"/>
    <w:rsid w:val="00EB6DB2"/>
    <w:rsid w:val="00EB6F49"/>
    <w:rsid w:val="00EB6F55"/>
    <w:rsid w:val="00EB70E6"/>
    <w:rsid w:val="00EB71D4"/>
    <w:rsid w:val="00EB73B5"/>
    <w:rsid w:val="00EB7429"/>
    <w:rsid w:val="00EB78F9"/>
    <w:rsid w:val="00EB7A4B"/>
    <w:rsid w:val="00EB7B05"/>
    <w:rsid w:val="00EB7F81"/>
    <w:rsid w:val="00EC0539"/>
    <w:rsid w:val="00EC0931"/>
    <w:rsid w:val="00EC09F2"/>
    <w:rsid w:val="00EC0B62"/>
    <w:rsid w:val="00EC0C16"/>
    <w:rsid w:val="00EC0DAD"/>
    <w:rsid w:val="00EC0F1A"/>
    <w:rsid w:val="00EC1189"/>
    <w:rsid w:val="00EC11C6"/>
    <w:rsid w:val="00EC132F"/>
    <w:rsid w:val="00EC1350"/>
    <w:rsid w:val="00EC15CC"/>
    <w:rsid w:val="00EC1701"/>
    <w:rsid w:val="00EC199B"/>
    <w:rsid w:val="00EC19E2"/>
    <w:rsid w:val="00EC1AC4"/>
    <w:rsid w:val="00EC1C4A"/>
    <w:rsid w:val="00EC1DF0"/>
    <w:rsid w:val="00EC20F8"/>
    <w:rsid w:val="00EC217F"/>
    <w:rsid w:val="00EC221A"/>
    <w:rsid w:val="00EC2312"/>
    <w:rsid w:val="00EC24DC"/>
    <w:rsid w:val="00EC24EE"/>
    <w:rsid w:val="00EC288C"/>
    <w:rsid w:val="00EC2A8D"/>
    <w:rsid w:val="00EC2C66"/>
    <w:rsid w:val="00EC2CB5"/>
    <w:rsid w:val="00EC2D91"/>
    <w:rsid w:val="00EC31CF"/>
    <w:rsid w:val="00EC32B8"/>
    <w:rsid w:val="00EC33DE"/>
    <w:rsid w:val="00EC3582"/>
    <w:rsid w:val="00EC367F"/>
    <w:rsid w:val="00EC371C"/>
    <w:rsid w:val="00EC3779"/>
    <w:rsid w:val="00EC37B5"/>
    <w:rsid w:val="00EC37F8"/>
    <w:rsid w:val="00EC39C7"/>
    <w:rsid w:val="00EC3B67"/>
    <w:rsid w:val="00EC3D53"/>
    <w:rsid w:val="00EC3FD7"/>
    <w:rsid w:val="00EC4339"/>
    <w:rsid w:val="00EC4361"/>
    <w:rsid w:val="00EC4488"/>
    <w:rsid w:val="00EC46C0"/>
    <w:rsid w:val="00EC4712"/>
    <w:rsid w:val="00EC49DF"/>
    <w:rsid w:val="00EC49F4"/>
    <w:rsid w:val="00EC4B33"/>
    <w:rsid w:val="00EC4DC0"/>
    <w:rsid w:val="00EC4DD6"/>
    <w:rsid w:val="00EC4F94"/>
    <w:rsid w:val="00EC5104"/>
    <w:rsid w:val="00EC5141"/>
    <w:rsid w:val="00EC5387"/>
    <w:rsid w:val="00EC53D0"/>
    <w:rsid w:val="00EC566F"/>
    <w:rsid w:val="00EC56B8"/>
    <w:rsid w:val="00EC57A2"/>
    <w:rsid w:val="00EC5CC7"/>
    <w:rsid w:val="00EC5DE9"/>
    <w:rsid w:val="00EC6065"/>
    <w:rsid w:val="00EC6189"/>
    <w:rsid w:val="00EC64E0"/>
    <w:rsid w:val="00EC6730"/>
    <w:rsid w:val="00EC676E"/>
    <w:rsid w:val="00EC697F"/>
    <w:rsid w:val="00EC6AFA"/>
    <w:rsid w:val="00EC6B19"/>
    <w:rsid w:val="00EC6BEA"/>
    <w:rsid w:val="00EC6C18"/>
    <w:rsid w:val="00EC70B8"/>
    <w:rsid w:val="00EC724C"/>
    <w:rsid w:val="00EC72FB"/>
    <w:rsid w:val="00EC7338"/>
    <w:rsid w:val="00EC735E"/>
    <w:rsid w:val="00EC74E2"/>
    <w:rsid w:val="00EC786E"/>
    <w:rsid w:val="00EC78BE"/>
    <w:rsid w:val="00EC7EDA"/>
    <w:rsid w:val="00EC7F43"/>
    <w:rsid w:val="00EC7F79"/>
    <w:rsid w:val="00ED016F"/>
    <w:rsid w:val="00ED01E5"/>
    <w:rsid w:val="00ED06C4"/>
    <w:rsid w:val="00ED06F3"/>
    <w:rsid w:val="00ED0783"/>
    <w:rsid w:val="00ED07D4"/>
    <w:rsid w:val="00ED0974"/>
    <w:rsid w:val="00ED0BEB"/>
    <w:rsid w:val="00ED0CBA"/>
    <w:rsid w:val="00ED0D79"/>
    <w:rsid w:val="00ED1196"/>
    <w:rsid w:val="00ED11ED"/>
    <w:rsid w:val="00ED12CB"/>
    <w:rsid w:val="00ED13FE"/>
    <w:rsid w:val="00ED14FF"/>
    <w:rsid w:val="00ED18AC"/>
    <w:rsid w:val="00ED1AE9"/>
    <w:rsid w:val="00ED1BA2"/>
    <w:rsid w:val="00ED1BC6"/>
    <w:rsid w:val="00ED1CD0"/>
    <w:rsid w:val="00ED1FA8"/>
    <w:rsid w:val="00ED228A"/>
    <w:rsid w:val="00ED2320"/>
    <w:rsid w:val="00ED2380"/>
    <w:rsid w:val="00ED247A"/>
    <w:rsid w:val="00ED25C7"/>
    <w:rsid w:val="00ED2613"/>
    <w:rsid w:val="00ED266D"/>
    <w:rsid w:val="00ED268D"/>
    <w:rsid w:val="00ED26EC"/>
    <w:rsid w:val="00ED2827"/>
    <w:rsid w:val="00ED2841"/>
    <w:rsid w:val="00ED2A38"/>
    <w:rsid w:val="00ED2F65"/>
    <w:rsid w:val="00ED2F96"/>
    <w:rsid w:val="00ED3172"/>
    <w:rsid w:val="00ED32EE"/>
    <w:rsid w:val="00ED346A"/>
    <w:rsid w:val="00ED3594"/>
    <w:rsid w:val="00ED3729"/>
    <w:rsid w:val="00ED37E1"/>
    <w:rsid w:val="00ED3960"/>
    <w:rsid w:val="00ED39D1"/>
    <w:rsid w:val="00ED39E2"/>
    <w:rsid w:val="00ED3B7C"/>
    <w:rsid w:val="00ED3DBB"/>
    <w:rsid w:val="00ED3DBE"/>
    <w:rsid w:val="00ED4170"/>
    <w:rsid w:val="00ED44EE"/>
    <w:rsid w:val="00ED4547"/>
    <w:rsid w:val="00ED46B9"/>
    <w:rsid w:val="00ED4777"/>
    <w:rsid w:val="00ED496D"/>
    <w:rsid w:val="00ED4B92"/>
    <w:rsid w:val="00ED4C1C"/>
    <w:rsid w:val="00ED4C35"/>
    <w:rsid w:val="00ED4D7D"/>
    <w:rsid w:val="00ED500B"/>
    <w:rsid w:val="00ED508B"/>
    <w:rsid w:val="00ED50C1"/>
    <w:rsid w:val="00ED5128"/>
    <w:rsid w:val="00ED5300"/>
    <w:rsid w:val="00ED54E5"/>
    <w:rsid w:val="00ED5529"/>
    <w:rsid w:val="00ED5771"/>
    <w:rsid w:val="00ED5830"/>
    <w:rsid w:val="00ED5A71"/>
    <w:rsid w:val="00ED5B7F"/>
    <w:rsid w:val="00ED5C44"/>
    <w:rsid w:val="00ED5CB5"/>
    <w:rsid w:val="00ED5DF9"/>
    <w:rsid w:val="00ED5E14"/>
    <w:rsid w:val="00ED6287"/>
    <w:rsid w:val="00ED6540"/>
    <w:rsid w:val="00ED68A7"/>
    <w:rsid w:val="00ED6978"/>
    <w:rsid w:val="00ED69B3"/>
    <w:rsid w:val="00ED6A81"/>
    <w:rsid w:val="00ED6AB6"/>
    <w:rsid w:val="00ED6B2B"/>
    <w:rsid w:val="00ED6DD7"/>
    <w:rsid w:val="00ED7135"/>
    <w:rsid w:val="00ED7138"/>
    <w:rsid w:val="00ED72EB"/>
    <w:rsid w:val="00ED73A7"/>
    <w:rsid w:val="00ED7569"/>
    <w:rsid w:val="00ED776E"/>
    <w:rsid w:val="00ED79C1"/>
    <w:rsid w:val="00ED7A16"/>
    <w:rsid w:val="00ED7DD3"/>
    <w:rsid w:val="00ED7F8B"/>
    <w:rsid w:val="00EE0011"/>
    <w:rsid w:val="00EE002F"/>
    <w:rsid w:val="00EE0054"/>
    <w:rsid w:val="00EE00DD"/>
    <w:rsid w:val="00EE0489"/>
    <w:rsid w:val="00EE04DC"/>
    <w:rsid w:val="00EE0536"/>
    <w:rsid w:val="00EE0568"/>
    <w:rsid w:val="00EE0BFA"/>
    <w:rsid w:val="00EE0C98"/>
    <w:rsid w:val="00EE0CEE"/>
    <w:rsid w:val="00EE0CF5"/>
    <w:rsid w:val="00EE0E56"/>
    <w:rsid w:val="00EE0F4F"/>
    <w:rsid w:val="00EE0FB5"/>
    <w:rsid w:val="00EE140C"/>
    <w:rsid w:val="00EE15CA"/>
    <w:rsid w:val="00EE1633"/>
    <w:rsid w:val="00EE171F"/>
    <w:rsid w:val="00EE1826"/>
    <w:rsid w:val="00EE1928"/>
    <w:rsid w:val="00EE1F4E"/>
    <w:rsid w:val="00EE1FD4"/>
    <w:rsid w:val="00EE227A"/>
    <w:rsid w:val="00EE2302"/>
    <w:rsid w:val="00EE231F"/>
    <w:rsid w:val="00EE2792"/>
    <w:rsid w:val="00EE285C"/>
    <w:rsid w:val="00EE28B9"/>
    <w:rsid w:val="00EE2A96"/>
    <w:rsid w:val="00EE2CBC"/>
    <w:rsid w:val="00EE2E92"/>
    <w:rsid w:val="00EE2F13"/>
    <w:rsid w:val="00EE2F2B"/>
    <w:rsid w:val="00EE2FFC"/>
    <w:rsid w:val="00EE3084"/>
    <w:rsid w:val="00EE3496"/>
    <w:rsid w:val="00EE3910"/>
    <w:rsid w:val="00EE39C1"/>
    <w:rsid w:val="00EE3A9D"/>
    <w:rsid w:val="00EE3B90"/>
    <w:rsid w:val="00EE3C22"/>
    <w:rsid w:val="00EE3DDB"/>
    <w:rsid w:val="00EE3EEC"/>
    <w:rsid w:val="00EE3F24"/>
    <w:rsid w:val="00EE3F8A"/>
    <w:rsid w:val="00EE3FCD"/>
    <w:rsid w:val="00EE40B0"/>
    <w:rsid w:val="00EE40C3"/>
    <w:rsid w:val="00EE40D8"/>
    <w:rsid w:val="00EE43FE"/>
    <w:rsid w:val="00EE4523"/>
    <w:rsid w:val="00EE461C"/>
    <w:rsid w:val="00EE4A29"/>
    <w:rsid w:val="00EE4A86"/>
    <w:rsid w:val="00EE4C0C"/>
    <w:rsid w:val="00EE4C3C"/>
    <w:rsid w:val="00EE4CBC"/>
    <w:rsid w:val="00EE4DCB"/>
    <w:rsid w:val="00EE4DDC"/>
    <w:rsid w:val="00EE50DE"/>
    <w:rsid w:val="00EE5212"/>
    <w:rsid w:val="00EE522A"/>
    <w:rsid w:val="00EE526C"/>
    <w:rsid w:val="00EE5486"/>
    <w:rsid w:val="00EE5498"/>
    <w:rsid w:val="00EE5510"/>
    <w:rsid w:val="00EE563F"/>
    <w:rsid w:val="00EE5674"/>
    <w:rsid w:val="00EE5784"/>
    <w:rsid w:val="00EE57A0"/>
    <w:rsid w:val="00EE5900"/>
    <w:rsid w:val="00EE59D4"/>
    <w:rsid w:val="00EE5B37"/>
    <w:rsid w:val="00EE5C24"/>
    <w:rsid w:val="00EE5C31"/>
    <w:rsid w:val="00EE5CA6"/>
    <w:rsid w:val="00EE5CB4"/>
    <w:rsid w:val="00EE5EC0"/>
    <w:rsid w:val="00EE5F19"/>
    <w:rsid w:val="00EE615C"/>
    <w:rsid w:val="00EE61D3"/>
    <w:rsid w:val="00EE637B"/>
    <w:rsid w:val="00EE6468"/>
    <w:rsid w:val="00EE6696"/>
    <w:rsid w:val="00EE6D66"/>
    <w:rsid w:val="00EE6DD7"/>
    <w:rsid w:val="00EE6DEF"/>
    <w:rsid w:val="00EE6FB9"/>
    <w:rsid w:val="00EE7091"/>
    <w:rsid w:val="00EE70CE"/>
    <w:rsid w:val="00EE7128"/>
    <w:rsid w:val="00EE7167"/>
    <w:rsid w:val="00EE72B2"/>
    <w:rsid w:val="00EE7351"/>
    <w:rsid w:val="00EE753D"/>
    <w:rsid w:val="00EE7713"/>
    <w:rsid w:val="00EE77ED"/>
    <w:rsid w:val="00EE79B1"/>
    <w:rsid w:val="00EE7C53"/>
    <w:rsid w:val="00EE7DFA"/>
    <w:rsid w:val="00EE7EDC"/>
    <w:rsid w:val="00EF0051"/>
    <w:rsid w:val="00EF0202"/>
    <w:rsid w:val="00EF025E"/>
    <w:rsid w:val="00EF0481"/>
    <w:rsid w:val="00EF06C9"/>
    <w:rsid w:val="00EF079E"/>
    <w:rsid w:val="00EF0892"/>
    <w:rsid w:val="00EF08AF"/>
    <w:rsid w:val="00EF091E"/>
    <w:rsid w:val="00EF0C4B"/>
    <w:rsid w:val="00EF0CD0"/>
    <w:rsid w:val="00EF0DCD"/>
    <w:rsid w:val="00EF0F8D"/>
    <w:rsid w:val="00EF1032"/>
    <w:rsid w:val="00EF11BA"/>
    <w:rsid w:val="00EF16AA"/>
    <w:rsid w:val="00EF172D"/>
    <w:rsid w:val="00EF1793"/>
    <w:rsid w:val="00EF1794"/>
    <w:rsid w:val="00EF17BC"/>
    <w:rsid w:val="00EF17DC"/>
    <w:rsid w:val="00EF180F"/>
    <w:rsid w:val="00EF18B9"/>
    <w:rsid w:val="00EF1961"/>
    <w:rsid w:val="00EF1A37"/>
    <w:rsid w:val="00EF1BF2"/>
    <w:rsid w:val="00EF1E16"/>
    <w:rsid w:val="00EF2220"/>
    <w:rsid w:val="00EF2313"/>
    <w:rsid w:val="00EF2409"/>
    <w:rsid w:val="00EF251A"/>
    <w:rsid w:val="00EF2569"/>
    <w:rsid w:val="00EF2648"/>
    <w:rsid w:val="00EF2664"/>
    <w:rsid w:val="00EF2825"/>
    <w:rsid w:val="00EF2A4B"/>
    <w:rsid w:val="00EF2AA8"/>
    <w:rsid w:val="00EF2B4B"/>
    <w:rsid w:val="00EF2C72"/>
    <w:rsid w:val="00EF330A"/>
    <w:rsid w:val="00EF3594"/>
    <w:rsid w:val="00EF3871"/>
    <w:rsid w:val="00EF38C0"/>
    <w:rsid w:val="00EF3BD0"/>
    <w:rsid w:val="00EF3E4A"/>
    <w:rsid w:val="00EF3F72"/>
    <w:rsid w:val="00EF3FB0"/>
    <w:rsid w:val="00EF3FD1"/>
    <w:rsid w:val="00EF4276"/>
    <w:rsid w:val="00EF44B9"/>
    <w:rsid w:val="00EF4695"/>
    <w:rsid w:val="00EF4753"/>
    <w:rsid w:val="00EF4B5D"/>
    <w:rsid w:val="00EF4C36"/>
    <w:rsid w:val="00EF4C3D"/>
    <w:rsid w:val="00EF4DB7"/>
    <w:rsid w:val="00EF4F5E"/>
    <w:rsid w:val="00EF4F71"/>
    <w:rsid w:val="00EF4FEF"/>
    <w:rsid w:val="00EF502C"/>
    <w:rsid w:val="00EF5169"/>
    <w:rsid w:val="00EF533E"/>
    <w:rsid w:val="00EF5538"/>
    <w:rsid w:val="00EF5700"/>
    <w:rsid w:val="00EF574C"/>
    <w:rsid w:val="00EF57E9"/>
    <w:rsid w:val="00EF5BC8"/>
    <w:rsid w:val="00EF6140"/>
    <w:rsid w:val="00EF620B"/>
    <w:rsid w:val="00EF639B"/>
    <w:rsid w:val="00EF63C3"/>
    <w:rsid w:val="00EF64EB"/>
    <w:rsid w:val="00EF65BE"/>
    <w:rsid w:val="00EF6833"/>
    <w:rsid w:val="00EF6935"/>
    <w:rsid w:val="00EF6A3C"/>
    <w:rsid w:val="00EF6B48"/>
    <w:rsid w:val="00EF6B74"/>
    <w:rsid w:val="00EF6C3E"/>
    <w:rsid w:val="00EF6D44"/>
    <w:rsid w:val="00EF6D6D"/>
    <w:rsid w:val="00EF715B"/>
    <w:rsid w:val="00EF7177"/>
    <w:rsid w:val="00EF71EE"/>
    <w:rsid w:val="00EF723A"/>
    <w:rsid w:val="00EF72D5"/>
    <w:rsid w:val="00EF7420"/>
    <w:rsid w:val="00EF7489"/>
    <w:rsid w:val="00EF7494"/>
    <w:rsid w:val="00EF7697"/>
    <w:rsid w:val="00EF77B6"/>
    <w:rsid w:val="00EF7887"/>
    <w:rsid w:val="00EF7A1B"/>
    <w:rsid w:val="00EF7AD5"/>
    <w:rsid w:val="00F00567"/>
    <w:rsid w:val="00F00818"/>
    <w:rsid w:val="00F0085D"/>
    <w:rsid w:val="00F008B8"/>
    <w:rsid w:val="00F008EA"/>
    <w:rsid w:val="00F00B7E"/>
    <w:rsid w:val="00F00C97"/>
    <w:rsid w:val="00F01126"/>
    <w:rsid w:val="00F01565"/>
    <w:rsid w:val="00F01899"/>
    <w:rsid w:val="00F01A46"/>
    <w:rsid w:val="00F01A49"/>
    <w:rsid w:val="00F01DC1"/>
    <w:rsid w:val="00F01E68"/>
    <w:rsid w:val="00F02263"/>
    <w:rsid w:val="00F02367"/>
    <w:rsid w:val="00F02551"/>
    <w:rsid w:val="00F02C28"/>
    <w:rsid w:val="00F02E09"/>
    <w:rsid w:val="00F02E4C"/>
    <w:rsid w:val="00F02E99"/>
    <w:rsid w:val="00F030AB"/>
    <w:rsid w:val="00F030E4"/>
    <w:rsid w:val="00F03174"/>
    <w:rsid w:val="00F03237"/>
    <w:rsid w:val="00F0334A"/>
    <w:rsid w:val="00F0337B"/>
    <w:rsid w:val="00F038D9"/>
    <w:rsid w:val="00F03969"/>
    <w:rsid w:val="00F03A8F"/>
    <w:rsid w:val="00F03E83"/>
    <w:rsid w:val="00F03ED9"/>
    <w:rsid w:val="00F04012"/>
    <w:rsid w:val="00F040D5"/>
    <w:rsid w:val="00F0435A"/>
    <w:rsid w:val="00F0468A"/>
    <w:rsid w:val="00F0497E"/>
    <w:rsid w:val="00F049EA"/>
    <w:rsid w:val="00F04A44"/>
    <w:rsid w:val="00F04B61"/>
    <w:rsid w:val="00F04B78"/>
    <w:rsid w:val="00F04C37"/>
    <w:rsid w:val="00F04ECC"/>
    <w:rsid w:val="00F0521B"/>
    <w:rsid w:val="00F052FD"/>
    <w:rsid w:val="00F0541B"/>
    <w:rsid w:val="00F05670"/>
    <w:rsid w:val="00F05794"/>
    <w:rsid w:val="00F057CE"/>
    <w:rsid w:val="00F05A80"/>
    <w:rsid w:val="00F05AA7"/>
    <w:rsid w:val="00F05CF7"/>
    <w:rsid w:val="00F05F4F"/>
    <w:rsid w:val="00F06115"/>
    <w:rsid w:val="00F064A4"/>
    <w:rsid w:val="00F0656C"/>
    <w:rsid w:val="00F066E2"/>
    <w:rsid w:val="00F068B9"/>
    <w:rsid w:val="00F06A4E"/>
    <w:rsid w:val="00F06A88"/>
    <w:rsid w:val="00F06D0A"/>
    <w:rsid w:val="00F06EDE"/>
    <w:rsid w:val="00F06F02"/>
    <w:rsid w:val="00F06F80"/>
    <w:rsid w:val="00F07212"/>
    <w:rsid w:val="00F07218"/>
    <w:rsid w:val="00F07798"/>
    <w:rsid w:val="00F078C5"/>
    <w:rsid w:val="00F07910"/>
    <w:rsid w:val="00F07E7D"/>
    <w:rsid w:val="00F07EBB"/>
    <w:rsid w:val="00F10199"/>
    <w:rsid w:val="00F101EC"/>
    <w:rsid w:val="00F104E1"/>
    <w:rsid w:val="00F1053C"/>
    <w:rsid w:val="00F10711"/>
    <w:rsid w:val="00F10924"/>
    <w:rsid w:val="00F10977"/>
    <w:rsid w:val="00F109BD"/>
    <w:rsid w:val="00F10B05"/>
    <w:rsid w:val="00F10BC1"/>
    <w:rsid w:val="00F10CCB"/>
    <w:rsid w:val="00F10DCB"/>
    <w:rsid w:val="00F10E94"/>
    <w:rsid w:val="00F110A6"/>
    <w:rsid w:val="00F1117E"/>
    <w:rsid w:val="00F114C7"/>
    <w:rsid w:val="00F115CF"/>
    <w:rsid w:val="00F116E7"/>
    <w:rsid w:val="00F11813"/>
    <w:rsid w:val="00F1186E"/>
    <w:rsid w:val="00F1191B"/>
    <w:rsid w:val="00F11B5C"/>
    <w:rsid w:val="00F11C03"/>
    <w:rsid w:val="00F11E09"/>
    <w:rsid w:val="00F11F25"/>
    <w:rsid w:val="00F11F77"/>
    <w:rsid w:val="00F12121"/>
    <w:rsid w:val="00F1226F"/>
    <w:rsid w:val="00F126B2"/>
    <w:rsid w:val="00F12ABF"/>
    <w:rsid w:val="00F12C84"/>
    <w:rsid w:val="00F12D2B"/>
    <w:rsid w:val="00F12D7B"/>
    <w:rsid w:val="00F12D8C"/>
    <w:rsid w:val="00F12F36"/>
    <w:rsid w:val="00F12FD2"/>
    <w:rsid w:val="00F131D7"/>
    <w:rsid w:val="00F13268"/>
    <w:rsid w:val="00F133E2"/>
    <w:rsid w:val="00F13683"/>
    <w:rsid w:val="00F13687"/>
    <w:rsid w:val="00F1377C"/>
    <w:rsid w:val="00F1381A"/>
    <w:rsid w:val="00F13901"/>
    <w:rsid w:val="00F139AD"/>
    <w:rsid w:val="00F139EE"/>
    <w:rsid w:val="00F13A39"/>
    <w:rsid w:val="00F13A9F"/>
    <w:rsid w:val="00F13BC9"/>
    <w:rsid w:val="00F13DDA"/>
    <w:rsid w:val="00F13E69"/>
    <w:rsid w:val="00F141D5"/>
    <w:rsid w:val="00F142A2"/>
    <w:rsid w:val="00F143BB"/>
    <w:rsid w:val="00F144E3"/>
    <w:rsid w:val="00F14527"/>
    <w:rsid w:val="00F145F1"/>
    <w:rsid w:val="00F147E0"/>
    <w:rsid w:val="00F149C3"/>
    <w:rsid w:val="00F14B0A"/>
    <w:rsid w:val="00F14C48"/>
    <w:rsid w:val="00F14CDC"/>
    <w:rsid w:val="00F14DB0"/>
    <w:rsid w:val="00F14F0A"/>
    <w:rsid w:val="00F14F28"/>
    <w:rsid w:val="00F14F45"/>
    <w:rsid w:val="00F15079"/>
    <w:rsid w:val="00F15232"/>
    <w:rsid w:val="00F15242"/>
    <w:rsid w:val="00F1528E"/>
    <w:rsid w:val="00F153E1"/>
    <w:rsid w:val="00F15548"/>
    <w:rsid w:val="00F155EA"/>
    <w:rsid w:val="00F15668"/>
    <w:rsid w:val="00F1584F"/>
    <w:rsid w:val="00F15950"/>
    <w:rsid w:val="00F1596C"/>
    <w:rsid w:val="00F159E4"/>
    <w:rsid w:val="00F15AC4"/>
    <w:rsid w:val="00F15C2B"/>
    <w:rsid w:val="00F15C51"/>
    <w:rsid w:val="00F15CF6"/>
    <w:rsid w:val="00F15EC9"/>
    <w:rsid w:val="00F16024"/>
    <w:rsid w:val="00F161EF"/>
    <w:rsid w:val="00F16292"/>
    <w:rsid w:val="00F163A0"/>
    <w:rsid w:val="00F163D2"/>
    <w:rsid w:val="00F166D3"/>
    <w:rsid w:val="00F168D8"/>
    <w:rsid w:val="00F16923"/>
    <w:rsid w:val="00F16959"/>
    <w:rsid w:val="00F16C67"/>
    <w:rsid w:val="00F16D47"/>
    <w:rsid w:val="00F16D86"/>
    <w:rsid w:val="00F16DDF"/>
    <w:rsid w:val="00F16EB9"/>
    <w:rsid w:val="00F16EDA"/>
    <w:rsid w:val="00F171AF"/>
    <w:rsid w:val="00F17299"/>
    <w:rsid w:val="00F1762C"/>
    <w:rsid w:val="00F1764B"/>
    <w:rsid w:val="00F1792A"/>
    <w:rsid w:val="00F17975"/>
    <w:rsid w:val="00F20044"/>
    <w:rsid w:val="00F2020E"/>
    <w:rsid w:val="00F20686"/>
    <w:rsid w:val="00F20770"/>
    <w:rsid w:val="00F207DC"/>
    <w:rsid w:val="00F209A0"/>
    <w:rsid w:val="00F20B1E"/>
    <w:rsid w:val="00F20C7E"/>
    <w:rsid w:val="00F20E1B"/>
    <w:rsid w:val="00F21068"/>
    <w:rsid w:val="00F2109D"/>
    <w:rsid w:val="00F210FB"/>
    <w:rsid w:val="00F21227"/>
    <w:rsid w:val="00F21302"/>
    <w:rsid w:val="00F2157A"/>
    <w:rsid w:val="00F21617"/>
    <w:rsid w:val="00F2169D"/>
    <w:rsid w:val="00F2180B"/>
    <w:rsid w:val="00F21964"/>
    <w:rsid w:val="00F21BE9"/>
    <w:rsid w:val="00F21CE6"/>
    <w:rsid w:val="00F21DB1"/>
    <w:rsid w:val="00F22120"/>
    <w:rsid w:val="00F2219C"/>
    <w:rsid w:val="00F223B9"/>
    <w:rsid w:val="00F226D5"/>
    <w:rsid w:val="00F226DA"/>
    <w:rsid w:val="00F22749"/>
    <w:rsid w:val="00F22758"/>
    <w:rsid w:val="00F2280C"/>
    <w:rsid w:val="00F228AC"/>
    <w:rsid w:val="00F22A01"/>
    <w:rsid w:val="00F22AF4"/>
    <w:rsid w:val="00F22E3D"/>
    <w:rsid w:val="00F22E8F"/>
    <w:rsid w:val="00F22ED0"/>
    <w:rsid w:val="00F23227"/>
    <w:rsid w:val="00F232A8"/>
    <w:rsid w:val="00F232D4"/>
    <w:rsid w:val="00F23851"/>
    <w:rsid w:val="00F238A2"/>
    <w:rsid w:val="00F239DF"/>
    <w:rsid w:val="00F23C41"/>
    <w:rsid w:val="00F23EA2"/>
    <w:rsid w:val="00F23F02"/>
    <w:rsid w:val="00F240D3"/>
    <w:rsid w:val="00F241C0"/>
    <w:rsid w:val="00F24207"/>
    <w:rsid w:val="00F24309"/>
    <w:rsid w:val="00F2430D"/>
    <w:rsid w:val="00F24333"/>
    <w:rsid w:val="00F243AE"/>
    <w:rsid w:val="00F244C1"/>
    <w:rsid w:val="00F2483E"/>
    <w:rsid w:val="00F2485E"/>
    <w:rsid w:val="00F248A6"/>
    <w:rsid w:val="00F24B7C"/>
    <w:rsid w:val="00F24C75"/>
    <w:rsid w:val="00F24CCA"/>
    <w:rsid w:val="00F250E2"/>
    <w:rsid w:val="00F251F4"/>
    <w:rsid w:val="00F253F8"/>
    <w:rsid w:val="00F25628"/>
    <w:rsid w:val="00F256A6"/>
    <w:rsid w:val="00F25B09"/>
    <w:rsid w:val="00F25F34"/>
    <w:rsid w:val="00F2612B"/>
    <w:rsid w:val="00F261FF"/>
    <w:rsid w:val="00F2641F"/>
    <w:rsid w:val="00F26514"/>
    <w:rsid w:val="00F2656C"/>
    <w:rsid w:val="00F2668D"/>
    <w:rsid w:val="00F266AE"/>
    <w:rsid w:val="00F26734"/>
    <w:rsid w:val="00F26CE9"/>
    <w:rsid w:val="00F26E06"/>
    <w:rsid w:val="00F26E6A"/>
    <w:rsid w:val="00F26E93"/>
    <w:rsid w:val="00F26F74"/>
    <w:rsid w:val="00F26F96"/>
    <w:rsid w:val="00F270CA"/>
    <w:rsid w:val="00F2721C"/>
    <w:rsid w:val="00F2735F"/>
    <w:rsid w:val="00F274B2"/>
    <w:rsid w:val="00F27541"/>
    <w:rsid w:val="00F2762B"/>
    <w:rsid w:val="00F27675"/>
    <w:rsid w:val="00F27935"/>
    <w:rsid w:val="00F27B71"/>
    <w:rsid w:val="00F27C5D"/>
    <w:rsid w:val="00F27D46"/>
    <w:rsid w:val="00F27E47"/>
    <w:rsid w:val="00F27EF0"/>
    <w:rsid w:val="00F27F95"/>
    <w:rsid w:val="00F3003E"/>
    <w:rsid w:val="00F30043"/>
    <w:rsid w:val="00F30045"/>
    <w:rsid w:val="00F30063"/>
    <w:rsid w:val="00F300F4"/>
    <w:rsid w:val="00F3024D"/>
    <w:rsid w:val="00F3027C"/>
    <w:rsid w:val="00F305F2"/>
    <w:rsid w:val="00F30861"/>
    <w:rsid w:val="00F308DB"/>
    <w:rsid w:val="00F309E5"/>
    <w:rsid w:val="00F30A1A"/>
    <w:rsid w:val="00F30B03"/>
    <w:rsid w:val="00F30C0A"/>
    <w:rsid w:val="00F310FA"/>
    <w:rsid w:val="00F311DF"/>
    <w:rsid w:val="00F312F1"/>
    <w:rsid w:val="00F3134E"/>
    <w:rsid w:val="00F31363"/>
    <w:rsid w:val="00F313B4"/>
    <w:rsid w:val="00F313D7"/>
    <w:rsid w:val="00F31469"/>
    <w:rsid w:val="00F31681"/>
    <w:rsid w:val="00F31BD7"/>
    <w:rsid w:val="00F31C46"/>
    <w:rsid w:val="00F31DD9"/>
    <w:rsid w:val="00F31ED2"/>
    <w:rsid w:val="00F31EFA"/>
    <w:rsid w:val="00F31F6E"/>
    <w:rsid w:val="00F3206C"/>
    <w:rsid w:val="00F3220F"/>
    <w:rsid w:val="00F32270"/>
    <w:rsid w:val="00F323C4"/>
    <w:rsid w:val="00F32644"/>
    <w:rsid w:val="00F3264D"/>
    <w:rsid w:val="00F32B7D"/>
    <w:rsid w:val="00F32CFA"/>
    <w:rsid w:val="00F32EE9"/>
    <w:rsid w:val="00F33114"/>
    <w:rsid w:val="00F33341"/>
    <w:rsid w:val="00F333BC"/>
    <w:rsid w:val="00F333D5"/>
    <w:rsid w:val="00F3341E"/>
    <w:rsid w:val="00F339C0"/>
    <w:rsid w:val="00F33AB8"/>
    <w:rsid w:val="00F33B51"/>
    <w:rsid w:val="00F33BDA"/>
    <w:rsid w:val="00F33D31"/>
    <w:rsid w:val="00F33DCC"/>
    <w:rsid w:val="00F34151"/>
    <w:rsid w:val="00F341A7"/>
    <w:rsid w:val="00F342E4"/>
    <w:rsid w:val="00F343E1"/>
    <w:rsid w:val="00F3498A"/>
    <w:rsid w:val="00F34A04"/>
    <w:rsid w:val="00F34CA4"/>
    <w:rsid w:val="00F34E64"/>
    <w:rsid w:val="00F34EE8"/>
    <w:rsid w:val="00F35003"/>
    <w:rsid w:val="00F350D4"/>
    <w:rsid w:val="00F350EE"/>
    <w:rsid w:val="00F3529F"/>
    <w:rsid w:val="00F35347"/>
    <w:rsid w:val="00F35433"/>
    <w:rsid w:val="00F3559C"/>
    <w:rsid w:val="00F355A0"/>
    <w:rsid w:val="00F355B1"/>
    <w:rsid w:val="00F355C1"/>
    <w:rsid w:val="00F358B5"/>
    <w:rsid w:val="00F359C7"/>
    <w:rsid w:val="00F35A6B"/>
    <w:rsid w:val="00F35D70"/>
    <w:rsid w:val="00F35D9F"/>
    <w:rsid w:val="00F35F43"/>
    <w:rsid w:val="00F35F4E"/>
    <w:rsid w:val="00F360FD"/>
    <w:rsid w:val="00F36494"/>
    <w:rsid w:val="00F36684"/>
    <w:rsid w:val="00F366D3"/>
    <w:rsid w:val="00F36785"/>
    <w:rsid w:val="00F36797"/>
    <w:rsid w:val="00F3687A"/>
    <w:rsid w:val="00F36909"/>
    <w:rsid w:val="00F36C6A"/>
    <w:rsid w:val="00F36EC6"/>
    <w:rsid w:val="00F370B3"/>
    <w:rsid w:val="00F37116"/>
    <w:rsid w:val="00F37146"/>
    <w:rsid w:val="00F37296"/>
    <w:rsid w:val="00F37829"/>
    <w:rsid w:val="00F379A9"/>
    <w:rsid w:val="00F37D3B"/>
    <w:rsid w:val="00F37D66"/>
    <w:rsid w:val="00F37DDF"/>
    <w:rsid w:val="00F37E32"/>
    <w:rsid w:val="00F37FB0"/>
    <w:rsid w:val="00F4004B"/>
    <w:rsid w:val="00F40201"/>
    <w:rsid w:val="00F40260"/>
    <w:rsid w:val="00F40974"/>
    <w:rsid w:val="00F40989"/>
    <w:rsid w:val="00F40C4A"/>
    <w:rsid w:val="00F40CF2"/>
    <w:rsid w:val="00F40D76"/>
    <w:rsid w:val="00F40DED"/>
    <w:rsid w:val="00F40F41"/>
    <w:rsid w:val="00F40FDF"/>
    <w:rsid w:val="00F41485"/>
    <w:rsid w:val="00F414F9"/>
    <w:rsid w:val="00F4151C"/>
    <w:rsid w:val="00F416E8"/>
    <w:rsid w:val="00F41740"/>
    <w:rsid w:val="00F418D0"/>
    <w:rsid w:val="00F41B67"/>
    <w:rsid w:val="00F41C30"/>
    <w:rsid w:val="00F41E46"/>
    <w:rsid w:val="00F42008"/>
    <w:rsid w:val="00F4200A"/>
    <w:rsid w:val="00F4237C"/>
    <w:rsid w:val="00F4239D"/>
    <w:rsid w:val="00F423F8"/>
    <w:rsid w:val="00F42484"/>
    <w:rsid w:val="00F42501"/>
    <w:rsid w:val="00F426CA"/>
    <w:rsid w:val="00F42BF5"/>
    <w:rsid w:val="00F42E00"/>
    <w:rsid w:val="00F42F81"/>
    <w:rsid w:val="00F43495"/>
    <w:rsid w:val="00F435E0"/>
    <w:rsid w:val="00F436D7"/>
    <w:rsid w:val="00F437BF"/>
    <w:rsid w:val="00F43BFF"/>
    <w:rsid w:val="00F43D00"/>
    <w:rsid w:val="00F43D9C"/>
    <w:rsid w:val="00F43E05"/>
    <w:rsid w:val="00F43E07"/>
    <w:rsid w:val="00F43ECF"/>
    <w:rsid w:val="00F4404D"/>
    <w:rsid w:val="00F440B8"/>
    <w:rsid w:val="00F441B2"/>
    <w:rsid w:val="00F44352"/>
    <w:rsid w:val="00F44630"/>
    <w:rsid w:val="00F4463D"/>
    <w:rsid w:val="00F448E7"/>
    <w:rsid w:val="00F44BCB"/>
    <w:rsid w:val="00F44DFC"/>
    <w:rsid w:val="00F45150"/>
    <w:rsid w:val="00F451AC"/>
    <w:rsid w:val="00F4531A"/>
    <w:rsid w:val="00F45474"/>
    <w:rsid w:val="00F456BB"/>
    <w:rsid w:val="00F45921"/>
    <w:rsid w:val="00F45971"/>
    <w:rsid w:val="00F45EAD"/>
    <w:rsid w:val="00F45F4F"/>
    <w:rsid w:val="00F45FF1"/>
    <w:rsid w:val="00F4612B"/>
    <w:rsid w:val="00F46133"/>
    <w:rsid w:val="00F46179"/>
    <w:rsid w:val="00F46411"/>
    <w:rsid w:val="00F4643C"/>
    <w:rsid w:val="00F46476"/>
    <w:rsid w:val="00F46518"/>
    <w:rsid w:val="00F46619"/>
    <w:rsid w:val="00F467C6"/>
    <w:rsid w:val="00F467E4"/>
    <w:rsid w:val="00F4696C"/>
    <w:rsid w:val="00F46B8D"/>
    <w:rsid w:val="00F46BC1"/>
    <w:rsid w:val="00F46EC0"/>
    <w:rsid w:val="00F46EEC"/>
    <w:rsid w:val="00F47137"/>
    <w:rsid w:val="00F4727A"/>
    <w:rsid w:val="00F473DC"/>
    <w:rsid w:val="00F476C9"/>
    <w:rsid w:val="00F476D3"/>
    <w:rsid w:val="00F47759"/>
    <w:rsid w:val="00F4785C"/>
    <w:rsid w:val="00F47A86"/>
    <w:rsid w:val="00F47B5D"/>
    <w:rsid w:val="00F47BF3"/>
    <w:rsid w:val="00F47EB9"/>
    <w:rsid w:val="00F502DF"/>
    <w:rsid w:val="00F50592"/>
    <w:rsid w:val="00F50751"/>
    <w:rsid w:val="00F50BBE"/>
    <w:rsid w:val="00F50DAF"/>
    <w:rsid w:val="00F5111A"/>
    <w:rsid w:val="00F5118A"/>
    <w:rsid w:val="00F5120A"/>
    <w:rsid w:val="00F513B9"/>
    <w:rsid w:val="00F515B5"/>
    <w:rsid w:val="00F515D2"/>
    <w:rsid w:val="00F5165A"/>
    <w:rsid w:val="00F5192B"/>
    <w:rsid w:val="00F51AEA"/>
    <w:rsid w:val="00F51E6C"/>
    <w:rsid w:val="00F52070"/>
    <w:rsid w:val="00F52116"/>
    <w:rsid w:val="00F521D4"/>
    <w:rsid w:val="00F523E8"/>
    <w:rsid w:val="00F52492"/>
    <w:rsid w:val="00F5250A"/>
    <w:rsid w:val="00F527B9"/>
    <w:rsid w:val="00F527BE"/>
    <w:rsid w:val="00F52B5C"/>
    <w:rsid w:val="00F52CF6"/>
    <w:rsid w:val="00F52FCD"/>
    <w:rsid w:val="00F5323C"/>
    <w:rsid w:val="00F532A2"/>
    <w:rsid w:val="00F533DB"/>
    <w:rsid w:val="00F536ED"/>
    <w:rsid w:val="00F537A3"/>
    <w:rsid w:val="00F53921"/>
    <w:rsid w:val="00F5393C"/>
    <w:rsid w:val="00F53BA3"/>
    <w:rsid w:val="00F53CC2"/>
    <w:rsid w:val="00F53D1C"/>
    <w:rsid w:val="00F53D6D"/>
    <w:rsid w:val="00F53DCD"/>
    <w:rsid w:val="00F54087"/>
    <w:rsid w:val="00F5415A"/>
    <w:rsid w:val="00F541D1"/>
    <w:rsid w:val="00F542A3"/>
    <w:rsid w:val="00F543D3"/>
    <w:rsid w:val="00F547AE"/>
    <w:rsid w:val="00F54BDE"/>
    <w:rsid w:val="00F54C03"/>
    <w:rsid w:val="00F54DA7"/>
    <w:rsid w:val="00F54DFF"/>
    <w:rsid w:val="00F54F10"/>
    <w:rsid w:val="00F55016"/>
    <w:rsid w:val="00F551E5"/>
    <w:rsid w:val="00F55322"/>
    <w:rsid w:val="00F553D2"/>
    <w:rsid w:val="00F55559"/>
    <w:rsid w:val="00F55574"/>
    <w:rsid w:val="00F55650"/>
    <w:rsid w:val="00F5567B"/>
    <w:rsid w:val="00F5576B"/>
    <w:rsid w:val="00F55994"/>
    <w:rsid w:val="00F559DB"/>
    <w:rsid w:val="00F55C64"/>
    <w:rsid w:val="00F55D56"/>
    <w:rsid w:val="00F55F99"/>
    <w:rsid w:val="00F55FEB"/>
    <w:rsid w:val="00F55FF0"/>
    <w:rsid w:val="00F56058"/>
    <w:rsid w:val="00F56489"/>
    <w:rsid w:val="00F5665D"/>
    <w:rsid w:val="00F5695A"/>
    <w:rsid w:val="00F56A95"/>
    <w:rsid w:val="00F56D7D"/>
    <w:rsid w:val="00F56E9D"/>
    <w:rsid w:val="00F56F50"/>
    <w:rsid w:val="00F57360"/>
    <w:rsid w:val="00F57385"/>
    <w:rsid w:val="00F57406"/>
    <w:rsid w:val="00F5744C"/>
    <w:rsid w:val="00F574C2"/>
    <w:rsid w:val="00F57504"/>
    <w:rsid w:val="00F57511"/>
    <w:rsid w:val="00F57551"/>
    <w:rsid w:val="00F57577"/>
    <w:rsid w:val="00F57668"/>
    <w:rsid w:val="00F57896"/>
    <w:rsid w:val="00F57C32"/>
    <w:rsid w:val="00F57C55"/>
    <w:rsid w:val="00F57C95"/>
    <w:rsid w:val="00F57D8E"/>
    <w:rsid w:val="00F60239"/>
    <w:rsid w:val="00F604D2"/>
    <w:rsid w:val="00F60555"/>
    <w:rsid w:val="00F60629"/>
    <w:rsid w:val="00F60A91"/>
    <w:rsid w:val="00F60C5C"/>
    <w:rsid w:val="00F60DF2"/>
    <w:rsid w:val="00F60F1B"/>
    <w:rsid w:val="00F60F31"/>
    <w:rsid w:val="00F60F4F"/>
    <w:rsid w:val="00F60F97"/>
    <w:rsid w:val="00F61020"/>
    <w:rsid w:val="00F61036"/>
    <w:rsid w:val="00F610DC"/>
    <w:rsid w:val="00F6127F"/>
    <w:rsid w:val="00F612E1"/>
    <w:rsid w:val="00F613BA"/>
    <w:rsid w:val="00F6164D"/>
    <w:rsid w:val="00F61716"/>
    <w:rsid w:val="00F618DC"/>
    <w:rsid w:val="00F619B7"/>
    <w:rsid w:val="00F61B46"/>
    <w:rsid w:val="00F61C66"/>
    <w:rsid w:val="00F61CD6"/>
    <w:rsid w:val="00F61EDA"/>
    <w:rsid w:val="00F61F71"/>
    <w:rsid w:val="00F6210B"/>
    <w:rsid w:val="00F62242"/>
    <w:rsid w:val="00F6269E"/>
    <w:rsid w:val="00F6274F"/>
    <w:rsid w:val="00F62965"/>
    <w:rsid w:val="00F62A79"/>
    <w:rsid w:val="00F62C02"/>
    <w:rsid w:val="00F62C5C"/>
    <w:rsid w:val="00F63127"/>
    <w:rsid w:val="00F63186"/>
    <w:rsid w:val="00F6397A"/>
    <w:rsid w:val="00F63C13"/>
    <w:rsid w:val="00F63D0F"/>
    <w:rsid w:val="00F63EBE"/>
    <w:rsid w:val="00F64115"/>
    <w:rsid w:val="00F64373"/>
    <w:rsid w:val="00F643B1"/>
    <w:rsid w:val="00F644C9"/>
    <w:rsid w:val="00F64884"/>
    <w:rsid w:val="00F648BC"/>
    <w:rsid w:val="00F64D0A"/>
    <w:rsid w:val="00F64D12"/>
    <w:rsid w:val="00F64D55"/>
    <w:rsid w:val="00F64DCB"/>
    <w:rsid w:val="00F64E87"/>
    <w:rsid w:val="00F64F5B"/>
    <w:rsid w:val="00F64FD1"/>
    <w:rsid w:val="00F64FF3"/>
    <w:rsid w:val="00F65180"/>
    <w:rsid w:val="00F65370"/>
    <w:rsid w:val="00F654BE"/>
    <w:rsid w:val="00F654C8"/>
    <w:rsid w:val="00F65545"/>
    <w:rsid w:val="00F655ED"/>
    <w:rsid w:val="00F65607"/>
    <w:rsid w:val="00F65616"/>
    <w:rsid w:val="00F65834"/>
    <w:rsid w:val="00F658C3"/>
    <w:rsid w:val="00F659ED"/>
    <w:rsid w:val="00F65ABC"/>
    <w:rsid w:val="00F65C80"/>
    <w:rsid w:val="00F65FBB"/>
    <w:rsid w:val="00F66192"/>
    <w:rsid w:val="00F662C0"/>
    <w:rsid w:val="00F664B9"/>
    <w:rsid w:val="00F669D2"/>
    <w:rsid w:val="00F66A23"/>
    <w:rsid w:val="00F66C93"/>
    <w:rsid w:val="00F66D12"/>
    <w:rsid w:val="00F66F6B"/>
    <w:rsid w:val="00F66FD5"/>
    <w:rsid w:val="00F67036"/>
    <w:rsid w:val="00F67202"/>
    <w:rsid w:val="00F67229"/>
    <w:rsid w:val="00F675CA"/>
    <w:rsid w:val="00F678B6"/>
    <w:rsid w:val="00F67C10"/>
    <w:rsid w:val="00F67DB0"/>
    <w:rsid w:val="00F67E13"/>
    <w:rsid w:val="00F700E8"/>
    <w:rsid w:val="00F70115"/>
    <w:rsid w:val="00F70139"/>
    <w:rsid w:val="00F704F0"/>
    <w:rsid w:val="00F70509"/>
    <w:rsid w:val="00F706B6"/>
    <w:rsid w:val="00F706DC"/>
    <w:rsid w:val="00F706ED"/>
    <w:rsid w:val="00F707AF"/>
    <w:rsid w:val="00F707D4"/>
    <w:rsid w:val="00F70919"/>
    <w:rsid w:val="00F709AE"/>
    <w:rsid w:val="00F70B11"/>
    <w:rsid w:val="00F70B9E"/>
    <w:rsid w:val="00F70CA7"/>
    <w:rsid w:val="00F70D07"/>
    <w:rsid w:val="00F70D1A"/>
    <w:rsid w:val="00F70D60"/>
    <w:rsid w:val="00F70D7C"/>
    <w:rsid w:val="00F70DB7"/>
    <w:rsid w:val="00F70E10"/>
    <w:rsid w:val="00F70EC2"/>
    <w:rsid w:val="00F70EDE"/>
    <w:rsid w:val="00F71016"/>
    <w:rsid w:val="00F71083"/>
    <w:rsid w:val="00F71149"/>
    <w:rsid w:val="00F711D2"/>
    <w:rsid w:val="00F71285"/>
    <w:rsid w:val="00F71544"/>
    <w:rsid w:val="00F716EE"/>
    <w:rsid w:val="00F71807"/>
    <w:rsid w:val="00F71ED9"/>
    <w:rsid w:val="00F71EF1"/>
    <w:rsid w:val="00F71F23"/>
    <w:rsid w:val="00F71FD7"/>
    <w:rsid w:val="00F720A1"/>
    <w:rsid w:val="00F720D1"/>
    <w:rsid w:val="00F72167"/>
    <w:rsid w:val="00F72929"/>
    <w:rsid w:val="00F72B3D"/>
    <w:rsid w:val="00F72BED"/>
    <w:rsid w:val="00F72CC2"/>
    <w:rsid w:val="00F72DEA"/>
    <w:rsid w:val="00F72F9A"/>
    <w:rsid w:val="00F73091"/>
    <w:rsid w:val="00F73440"/>
    <w:rsid w:val="00F73554"/>
    <w:rsid w:val="00F7388C"/>
    <w:rsid w:val="00F738EC"/>
    <w:rsid w:val="00F73991"/>
    <w:rsid w:val="00F73A70"/>
    <w:rsid w:val="00F73F7C"/>
    <w:rsid w:val="00F74212"/>
    <w:rsid w:val="00F74642"/>
    <w:rsid w:val="00F74700"/>
    <w:rsid w:val="00F74769"/>
    <w:rsid w:val="00F747C0"/>
    <w:rsid w:val="00F7482C"/>
    <w:rsid w:val="00F74A11"/>
    <w:rsid w:val="00F74C46"/>
    <w:rsid w:val="00F74CAA"/>
    <w:rsid w:val="00F74E03"/>
    <w:rsid w:val="00F74EEE"/>
    <w:rsid w:val="00F74FE5"/>
    <w:rsid w:val="00F75170"/>
    <w:rsid w:val="00F751D4"/>
    <w:rsid w:val="00F75206"/>
    <w:rsid w:val="00F75456"/>
    <w:rsid w:val="00F75497"/>
    <w:rsid w:val="00F755D5"/>
    <w:rsid w:val="00F75685"/>
    <w:rsid w:val="00F7596C"/>
    <w:rsid w:val="00F75AB4"/>
    <w:rsid w:val="00F75CF1"/>
    <w:rsid w:val="00F7610F"/>
    <w:rsid w:val="00F762C6"/>
    <w:rsid w:val="00F7630F"/>
    <w:rsid w:val="00F76347"/>
    <w:rsid w:val="00F76390"/>
    <w:rsid w:val="00F765C4"/>
    <w:rsid w:val="00F76CC6"/>
    <w:rsid w:val="00F76EEE"/>
    <w:rsid w:val="00F77019"/>
    <w:rsid w:val="00F7717B"/>
    <w:rsid w:val="00F77297"/>
    <w:rsid w:val="00F77307"/>
    <w:rsid w:val="00F77549"/>
    <w:rsid w:val="00F775A1"/>
    <w:rsid w:val="00F775D0"/>
    <w:rsid w:val="00F775D3"/>
    <w:rsid w:val="00F77638"/>
    <w:rsid w:val="00F776F8"/>
    <w:rsid w:val="00F7771A"/>
    <w:rsid w:val="00F7785E"/>
    <w:rsid w:val="00F77B3C"/>
    <w:rsid w:val="00F77B76"/>
    <w:rsid w:val="00F77BEF"/>
    <w:rsid w:val="00F77C40"/>
    <w:rsid w:val="00F77C8C"/>
    <w:rsid w:val="00F77D35"/>
    <w:rsid w:val="00F77FB5"/>
    <w:rsid w:val="00F800F3"/>
    <w:rsid w:val="00F80279"/>
    <w:rsid w:val="00F8027A"/>
    <w:rsid w:val="00F802AA"/>
    <w:rsid w:val="00F8055E"/>
    <w:rsid w:val="00F80702"/>
    <w:rsid w:val="00F807EC"/>
    <w:rsid w:val="00F808F5"/>
    <w:rsid w:val="00F8094A"/>
    <w:rsid w:val="00F809D3"/>
    <w:rsid w:val="00F80B8C"/>
    <w:rsid w:val="00F80C9F"/>
    <w:rsid w:val="00F80D84"/>
    <w:rsid w:val="00F80E94"/>
    <w:rsid w:val="00F80F3D"/>
    <w:rsid w:val="00F811F3"/>
    <w:rsid w:val="00F81427"/>
    <w:rsid w:val="00F81654"/>
    <w:rsid w:val="00F81B17"/>
    <w:rsid w:val="00F81BB2"/>
    <w:rsid w:val="00F81C02"/>
    <w:rsid w:val="00F81CE7"/>
    <w:rsid w:val="00F81E34"/>
    <w:rsid w:val="00F81E61"/>
    <w:rsid w:val="00F82070"/>
    <w:rsid w:val="00F8248E"/>
    <w:rsid w:val="00F82650"/>
    <w:rsid w:val="00F828BF"/>
    <w:rsid w:val="00F828CA"/>
    <w:rsid w:val="00F82A75"/>
    <w:rsid w:val="00F82B28"/>
    <w:rsid w:val="00F82B95"/>
    <w:rsid w:val="00F82CA3"/>
    <w:rsid w:val="00F82E46"/>
    <w:rsid w:val="00F83110"/>
    <w:rsid w:val="00F83131"/>
    <w:rsid w:val="00F8327E"/>
    <w:rsid w:val="00F835CA"/>
    <w:rsid w:val="00F8365E"/>
    <w:rsid w:val="00F83675"/>
    <w:rsid w:val="00F83703"/>
    <w:rsid w:val="00F83718"/>
    <w:rsid w:val="00F8372D"/>
    <w:rsid w:val="00F8384D"/>
    <w:rsid w:val="00F838CC"/>
    <w:rsid w:val="00F839C1"/>
    <w:rsid w:val="00F83D7A"/>
    <w:rsid w:val="00F83FBC"/>
    <w:rsid w:val="00F83FCC"/>
    <w:rsid w:val="00F84140"/>
    <w:rsid w:val="00F84183"/>
    <w:rsid w:val="00F8440A"/>
    <w:rsid w:val="00F8445F"/>
    <w:rsid w:val="00F84462"/>
    <w:rsid w:val="00F84795"/>
    <w:rsid w:val="00F84830"/>
    <w:rsid w:val="00F848A7"/>
    <w:rsid w:val="00F84C63"/>
    <w:rsid w:val="00F84C81"/>
    <w:rsid w:val="00F84E46"/>
    <w:rsid w:val="00F85057"/>
    <w:rsid w:val="00F8539F"/>
    <w:rsid w:val="00F85410"/>
    <w:rsid w:val="00F85607"/>
    <w:rsid w:val="00F857C3"/>
    <w:rsid w:val="00F85888"/>
    <w:rsid w:val="00F85A37"/>
    <w:rsid w:val="00F85B1D"/>
    <w:rsid w:val="00F85B83"/>
    <w:rsid w:val="00F85DB9"/>
    <w:rsid w:val="00F85FD8"/>
    <w:rsid w:val="00F860FD"/>
    <w:rsid w:val="00F86305"/>
    <w:rsid w:val="00F86968"/>
    <w:rsid w:val="00F86A66"/>
    <w:rsid w:val="00F86A69"/>
    <w:rsid w:val="00F86C54"/>
    <w:rsid w:val="00F86F7D"/>
    <w:rsid w:val="00F86F94"/>
    <w:rsid w:val="00F8715D"/>
    <w:rsid w:val="00F87163"/>
    <w:rsid w:val="00F87211"/>
    <w:rsid w:val="00F872C4"/>
    <w:rsid w:val="00F87329"/>
    <w:rsid w:val="00F8734A"/>
    <w:rsid w:val="00F87510"/>
    <w:rsid w:val="00F875B7"/>
    <w:rsid w:val="00F8762A"/>
    <w:rsid w:val="00F87638"/>
    <w:rsid w:val="00F87843"/>
    <w:rsid w:val="00F87AFE"/>
    <w:rsid w:val="00F87B92"/>
    <w:rsid w:val="00F87F0A"/>
    <w:rsid w:val="00F900AB"/>
    <w:rsid w:val="00F90151"/>
    <w:rsid w:val="00F901E4"/>
    <w:rsid w:val="00F90497"/>
    <w:rsid w:val="00F9052B"/>
    <w:rsid w:val="00F90540"/>
    <w:rsid w:val="00F905B2"/>
    <w:rsid w:val="00F90691"/>
    <w:rsid w:val="00F908B7"/>
    <w:rsid w:val="00F90AC1"/>
    <w:rsid w:val="00F90DC5"/>
    <w:rsid w:val="00F90F7C"/>
    <w:rsid w:val="00F91063"/>
    <w:rsid w:val="00F910FD"/>
    <w:rsid w:val="00F911FE"/>
    <w:rsid w:val="00F91216"/>
    <w:rsid w:val="00F91C40"/>
    <w:rsid w:val="00F91CBD"/>
    <w:rsid w:val="00F91D90"/>
    <w:rsid w:val="00F91E26"/>
    <w:rsid w:val="00F9200B"/>
    <w:rsid w:val="00F921B5"/>
    <w:rsid w:val="00F92271"/>
    <w:rsid w:val="00F92516"/>
    <w:rsid w:val="00F92C93"/>
    <w:rsid w:val="00F92E45"/>
    <w:rsid w:val="00F93418"/>
    <w:rsid w:val="00F934D0"/>
    <w:rsid w:val="00F9355A"/>
    <w:rsid w:val="00F9358A"/>
    <w:rsid w:val="00F935DE"/>
    <w:rsid w:val="00F93685"/>
    <w:rsid w:val="00F9379F"/>
    <w:rsid w:val="00F9381D"/>
    <w:rsid w:val="00F939EA"/>
    <w:rsid w:val="00F93A80"/>
    <w:rsid w:val="00F93AB5"/>
    <w:rsid w:val="00F93AC9"/>
    <w:rsid w:val="00F93C34"/>
    <w:rsid w:val="00F93DC7"/>
    <w:rsid w:val="00F93E6F"/>
    <w:rsid w:val="00F93EC8"/>
    <w:rsid w:val="00F93ED0"/>
    <w:rsid w:val="00F93F82"/>
    <w:rsid w:val="00F9401C"/>
    <w:rsid w:val="00F94069"/>
    <w:rsid w:val="00F9427F"/>
    <w:rsid w:val="00F942E0"/>
    <w:rsid w:val="00F9462B"/>
    <w:rsid w:val="00F94884"/>
    <w:rsid w:val="00F9491D"/>
    <w:rsid w:val="00F94A0A"/>
    <w:rsid w:val="00F94A3E"/>
    <w:rsid w:val="00F94B12"/>
    <w:rsid w:val="00F94B45"/>
    <w:rsid w:val="00F94BDF"/>
    <w:rsid w:val="00F94C52"/>
    <w:rsid w:val="00F94CAC"/>
    <w:rsid w:val="00F9502D"/>
    <w:rsid w:val="00F950CA"/>
    <w:rsid w:val="00F950F4"/>
    <w:rsid w:val="00F95110"/>
    <w:rsid w:val="00F95224"/>
    <w:rsid w:val="00F954B9"/>
    <w:rsid w:val="00F95509"/>
    <w:rsid w:val="00F9564A"/>
    <w:rsid w:val="00F956EB"/>
    <w:rsid w:val="00F957D4"/>
    <w:rsid w:val="00F9589B"/>
    <w:rsid w:val="00F95AB3"/>
    <w:rsid w:val="00F95BBD"/>
    <w:rsid w:val="00F95C6E"/>
    <w:rsid w:val="00F95EF8"/>
    <w:rsid w:val="00F9600D"/>
    <w:rsid w:val="00F960CC"/>
    <w:rsid w:val="00F962F6"/>
    <w:rsid w:val="00F96376"/>
    <w:rsid w:val="00F96604"/>
    <w:rsid w:val="00F9667C"/>
    <w:rsid w:val="00F96708"/>
    <w:rsid w:val="00F96734"/>
    <w:rsid w:val="00F968F3"/>
    <w:rsid w:val="00F96AB4"/>
    <w:rsid w:val="00F96B04"/>
    <w:rsid w:val="00F96DA5"/>
    <w:rsid w:val="00F96E2E"/>
    <w:rsid w:val="00F96F6D"/>
    <w:rsid w:val="00F970DB"/>
    <w:rsid w:val="00F97331"/>
    <w:rsid w:val="00F9741E"/>
    <w:rsid w:val="00F974BF"/>
    <w:rsid w:val="00F977D9"/>
    <w:rsid w:val="00FA00CE"/>
    <w:rsid w:val="00FA0159"/>
    <w:rsid w:val="00FA03AA"/>
    <w:rsid w:val="00FA03D4"/>
    <w:rsid w:val="00FA04AD"/>
    <w:rsid w:val="00FA08B0"/>
    <w:rsid w:val="00FA0A5C"/>
    <w:rsid w:val="00FA0CE9"/>
    <w:rsid w:val="00FA0F4E"/>
    <w:rsid w:val="00FA10A9"/>
    <w:rsid w:val="00FA1133"/>
    <w:rsid w:val="00FA12D1"/>
    <w:rsid w:val="00FA15C2"/>
    <w:rsid w:val="00FA161B"/>
    <w:rsid w:val="00FA171C"/>
    <w:rsid w:val="00FA1812"/>
    <w:rsid w:val="00FA190B"/>
    <w:rsid w:val="00FA193D"/>
    <w:rsid w:val="00FA1993"/>
    <w:rsid w:val="00FA1A81"/>
    <w:rsid w:val="00FA1CEF"/>
    <w:rsid w:val="00FA1D32"/>
    <w:rsid w:val="00FA1DDC"/>
    <w:rsid w:val="00FA24EE"/>
    <w:rsid w:val="00FA2603"/>
    <w:rsid w:val="00FA26EA"/>
    <w:rsid w:val="00FA2935"/>
    <w:rsid w:val="00FA2F6C"/>
    <w:rsid w:val="00FA331D"/>
    <w:rsid w:val="00FA33E6"/>
    <w:rsid w:val="00FA360E"/>
    <w:rsid w:val="00FA3AD6"/>
    <w:rsid w:val="00FA3BBF"/>
    <w:rsid w:val="00FA3CCD"/>
    <w:rsid w:val="00FA3DCE"/>
    <w:rsid w:val="00FA3E00"/>
    <w:rsid w:val="00FA3FAE"/>
    <w:rsid w:val="00FA40D7"/>
    <w:rsid w:val="00FA4103"/>
    <w:rsid w:val="00FA4193"/>
    <w:rsid w:val="00FA4314"/>
    <w:rsid w:val="00FA438C"/>
    <w:rsid w:val="00FA4535"/>
    <w:rsid w:val="00FA45DA"/>
    <w:rsid w:val="00FA4643"/>
    <w:rsid w:val="00FA469C"/>
    <w:rsid w:val="00FA46E8"/>
    <w:rsid w:val="00FA47DF"/>
    <w:rsid w:val="00FA4875"/>
    <w:rsid w:val="00FA4A9B"/>
    <w:rsid w:val="00FA4B85"/>
    <w:rsid w:val="00FA4BD2"/>
    <w:rsid w:val="00FA4D58"/>
    <w:rsid w:val="00FA4D75"/>
    <w:rsid w:val="00FA5013"/>
    <w:rsid w:val="00FA50F9"/>
    <w:rsid w:val="00FA521C"/>
    <w:rsid w:val="00FA542F"/>
    <w:rsid w:val="00FA552C"/>
    <w:rsid w:val="00FA5539"/>
    <w:rsid w:val="00FA5572"/>
    <w:rsid w:val="00FA58D9"/>
    <w:rsid w:val="00FA5AC1"/>
    <w:rsid w:val="00FA5F0E"/>
    <w:rsid w:val="00FA6403"/>
    <w:rsid w:val="00FA6470"/>
    <w:rsid w:val="00FA64DE"/>
    <w:rsid w:val="00FA64E9"/>
    <w:rsid w:val="00FA667B"/>
    <w:rsid w:val="00FA66FA"/>
    <w:rsid w:val="00FA6821"/>
    <w:rsid w:val="00FA68C6"/>
    <w:rsid w:val="00FA6910"/>
    <w:rsid w:val="00FA69BC"/>
    <w:rsid w:val="00FA6AF2"/>
    <w:rsid w:val="00FA6F70"/>
    <w:rsid w:val="00FA6F72"/>
    <w:rsid w:val="00FA714E"/>
    <w:rsid w:val="00FA71B5"/>
    <w:rsid w:val="00FA7255"/>
    <w:rsid w:val="00FA729E"/>
    <w:rsid w:val="00FA72D3"/>
    <w:rsid w:val="00FA7548"/>
    <w:rsid w:val="00FA7653"/>
    <w:rsid w:val="00FA7730"/>
    <w:rsid w:val="00FA78A8"/>
    <w:rsid w:val="00FA7A49"/>
    <w:rsid w:val="00FA7A8A"/>
    <w:rsid w:val="00FA7B18"/>
    <w:rsid w:val="00FA7E20"/>
    <w:rsid w:val="00FA7EA8"/>
    <w:rsid w:val="00FA7F8A"/>
    <w:rsid w:val="00FB0063"/>
    <w:rsid w:val="00FB023B"/>
    <w:rsid w:val="00FB02F0"/>
    <w:rsid w:val="00FB03DA"/>
    <w:rsid w:val="00FB0472"/>
    <w:rsid w:val="00FB06ED"/>
    <w:rsid w:val="00FB07ED"/>
    <w:rsid w:val="00FB086A"/>
    <w:rsid w:val="00FB09B6"/>
    <w:rsid w:val="00FB09BD"/>
    <w:rsid w:val="00FB0AAA"/>
    <w:rsid w:val="00FB0B9D"/>
    <w:rsid w:val="00FB0BCB"/>
    <w:rsid w:val="00FB0E21"/>
    <w:rsid w:val="00FB0E3F"/>
    <w:rsid w:val="00FB0E7B"/>
    <w:rsid w:val="00FB0F0D"/>
    <w:rsid w:val="00FB0F16"/>
    <w:rsid w:val="00FB0FDE"/>
    <w:rsid w:val="00FB128E"/>
    <w:rsid w:val="00FB13C7"/>
    <w:rsid w:val="00FB14B4"/>
    <w:rsid w:val="00FB150C"/>
    <w:rsid w:val="00FB1629"/>
    <w:rsid w:val="00FB162F"/>
    <w:rsid w:val="00FB16F8"/>
    <w:rsid w:val="00FB17CD"/>
    <w:rsid w:val="00FB1870"/>
    <w:rsid w:val="00FB18C6"/>
    <w:rsid w:val="00FB1917"/>
    <w:rsid w:val="00FB19B1"/>
    <w:rsid w:val="00FB19DE"/>
    <w:rsid w:val="00FB1A36"/>
    <w:rsid w:val="00FB1A55"/>
    <w:rsid w:val="00FB1B11"/>
    <w:rsid w:val="00FB1B92"/>
    <w:rsid w:val="00FB1DD0"/>
    <w:rsid w:val="00FB1EFA"/>
    <w:rsid w:val="00FB23C3"/>
    <w:rsid w:val="00FB24E9"/>
    <w:rsid w:val="00FB2765"/>
    <w:rsid w:val="00FB298F"/>
    <w:rsid w:val="00FB29FE"/>
    <w:rsid w:val="00FB2D90"/>
    <w:rsid w:val="00FB2E20"/>
    <w:rsid w:val="00FB3027"/>
    <w:rsid w:val="00FB30CD"/>
    <w:rsid w:val="00FB314D"/>
    <w:rsid w:val="00FB3353"/>
    <w:rsid w:val="00FB342F"/>
    <w:rsid w:val="00FB365D"/>
    <w:rsid w:val="00FB3A11"/>
    <w:rsid w:val="00FB3A56"/>
    <w:rsid w:val="00FB3C3E"/>
    <w:rsid w:val="00FB3D2E"/>
    <w:rsid w:val="00FB4045"/>
    <w:rsid w:val="00FB4153"/>
    <w:rsid w:val="00FB4379"/>
    <w:rsid w:val="00FB439B"/>
    <w:rsid w:val="00FB46BC"/>
    <w:rsid w:val="00FB478B"/>
    <w:rsid w:val="00FB4A18"/>
    <w:rsid w:val="00FB4A7A"/>
    <w:rsid w:val="00FB4AF9"/>
    <w:rsid w:val="00FB4B72"/>
    <w:rsid w:val="00FB4D2E"/>
    <w:rsid w:val="00FB4DCC"/>
    <w:rsid w:val="00FB4EF7"/>
    <w:rsid w:val="00FB500F"/>
    <w:rsid w:val="00FB502E"/>
    <w:rsid w:val="00FB50BE"/>
    <w:rsid w:val="00FB5448"/>
    <w:rsid w:val="00FB5552"/>
    <w:rsid w:val="00FB565E"/>
    <w:rsid w:val="00FB56FE"/>
    <w:rsid w:val="00FB5723"/>
    <w:rsid w:val="00FB5819"/>
    <w:rsid w:val="00FB58FB"/>
    <w:rsid w:val="00FB5A00"/>
    <w:rsid w:val="00FB5C43"/>
    <w:rsid w:val="00FB5EEE"/>
    <w:rsid w:val="00FB5F4D"/>
    <w:rsid w:val="00FB5F81"/>
    <w:rsid w:val="00FB60A5"/>
    <w:rsid w:val="00FB60CB"/>
    <w:rsid w:val="00FB6174"/>
    <w:rsid w:val="00FB6449"/>
    <w:rsid w:val="00FB65A2"/>
    <w:rsid w:val="00FB68FB"/>
    <w:rsid w:val="00FB6E6E"/>
    <w:rsid w:val="00FB6F62"/>
    <w:rsid w:val="00FB6FC9"/>
    <w:rsid w:val="00FB6FEB"/>
    <w:rsid w:val="00FB717A"/>
    <w:rsid w:val="00FB7292"/>
    <w:rsid w:val="00FB729E"/>
    <w:rsid w:val="00FB72BC"/>
    <w:rsid w:val="00FB72C8"/>
    <w:rsid w:val="00FB74DA"/>
    <w:rsid w:val="00FB757E"/>
    <w:rsid w:val="00FB76DA"/>
    <w:rsid w:val="00FB773F"/>
    <w:rsid w:val="00FB780D"/>
    <w:rsid w:val="00FB78DA"/>
    <w:rsid w:val="00FB799F"/>
    <w:rsid w:val="00FB7B83"/>
    <w:rsid w:val="00FB7C55"/>
    <w:rsid w:val="00FB7D62"/>
    <w:rsid w:val="00FB7F0B"/>
    <w:rsid w:val="00FB7F6F"/>
    <w:rsid w:val="00FB7F99"/>
    <w:rsid w:val="00FC001E"/>
    <w:rsid w:val="00FC002C"/>
    <w:rsid w:val="00FC008C"/>
    <w:rsid w:val="00FC00A8"/>
    <w:rsid w:val="00FC0116"/>
    <w:rsid w:val="00FC011D"/>
    <w:rsid w:val="00FC0345"/>
    <w:rsid w:val="00FC050D"/>
    <w:rsid w:val="00FC05D1"/>
    <w:rsid w:val="00FC0601"/>
    <w:rsid w:val="00FC06E6"/>
    <w:rsid w:val="00FC0A8A"/>
    <w:rsid w:val="00FC0AB5"/>
    <w:rsid w:val="00FC0ADE"/>
    <w:rsid w:val="00FC0B43"/>
    <w:rsid w:val="00FC0E6D"/>
    <w:rsid w:val="00FC0EF0"/>
    <w:rsid w:val="00FC109B"/>
    <w:rsid w:val="00FC15DA"/>
    <w:rsid w:val="00FC1624"/>
    <w:rsid w:val="00FC162D"/>
    <w:rsid w:val="00FC17AD"/>
    <w:rsid w:val="00FC18A1"/>
    <w:rsid w:val="00FC193A"/>
    <w:rsid w:val="00FC1B28"/>
    <w:rsid w:val="00FC1D46"/>
    <w:rsid w:val="00FC1DA9"/>
    <w:rsid w:val="00FC2021"/>
    <w:rsid w:val="00FC208C"/>
    <w:rsid w:val="00FC20FA"/>
    <w:rsid w:val="00FC2115"/>
    <w:rsid w:val="00FC2387"/>
    <w:rsid w:val="00FC25BC"/>
    <w:rsid w:val="00FC2631"/>
    <w:rsid w:val="00FC269B"/>
    <w:rsid w:val="00FC26BE"/>
    <w:rsid w:val="00FC271E"/>
    <w:rsid w:val="00FC276D"/>
    <w:rsid w:val="00FC2889"/>
    <w:rsid w:val="00FC2BE5"/>
    <w:rsid w:val="00FC2C78"/>
    <w:rsid w:val="00FC2CBF"/>
    <w:rsid w:val="00FC2ED0"/>
    <w:rsid w:val="00FC2FAE"/>
    <w:rsid w:val="00FC2FC3"/>
    <w:rsid w:val="00FC317E"/>
    <w:rsid w:val="00FC318B"/>
    <w:rsid w:val="00FC322C"/>
    <w:rsid w:val="00FC3507"/>
    <w:rsid w:val="00FC351F"/>
    <w:rsid w:val="00FC37DE"/>
    <w:rsid w:val="00FC37EA"/>
    <w:rsid w:val="00FC3EC9"/>
    <w:rsid w:val="00FC4073"/>
    <w:rsid w:val="00FC4154"/>
    <w:rsid w:val="00FC4164"/>
    <w:rsid w:val="00FC4315"/>
    <w:rsid w:val="00FC434A"/>
    <w:rsid w:val="00FC443A"/>
    <w:rsid w:val="00FC4710"/>
    <w:rsid w:val="00FC4736"/>
    <w:rsid w:val="00FC4767"/>
    <w:rsid w:val="00FC492C"/>
    <w:rsid w:val="00FC4973"/>
    <w:rsid w:val="00FC4983"/>
    <w:rsid w:val="00FC4A97"/>
    <w:rsid w:val="00FC4A9B"/>
    <w:rsid w:val="00FC4F81"/>
    <w:rsid w:val="00FC50B4"/>
    <w:rsid w:val="00FC50E8"/>
    <w:rsid w:val="00FC50FD"/>
    <w:rsid w:val="00FC5256"/>
    <w:rsid w:val="00FC53CC"/>
    <w:rsid w:val="00FC540C"/>
    <w:rsid w:val="00FC55D5"/>
    <w:rsid w:val="00FC58CA"/>
    <w:rsid w:val="00FC592A"/>
    <w:rsid w:val="00FC593F"/>
    <w:rsid w:val="00FC5968"/>
    <w:rsid w:val="00FC5975"/>
    <w:rsid w:val="00FC5A21"/>
    <w:rsid w:val="00FC5D64"/>
    <w:rsid w:val="00FC5DCE"/>
    <w:rsid w:val="00FC60E5"/>
    <w:rsid w:val="00FC6133"/>
    <w:rsid w:val="00FC614B"/>
    <w:rsid w:val="00FC6439"/>
    <w:rsid w:val="00FC644B"/>
    <w:rsid w:val="00FC64A3"/>
    <w:rsid w:val="00FC65FD"/>
    <w:rsid w:val="00FC6693"/>
    <w:rsid w:val="00FC66DC"/>
    <w:rsid w:val="00FC6C00"/>
    <w:rsid w:val="00FC6DA0"/>
    <w:rsid w:val="00FC6EEC"/>
    <w:rsid w:val="00FC7168"/>
    <w:rsid w:val="00FC7612"/>
    <w:rsid w:val="00FC766B"/>
    <w:rsid w:val="00FC76C4"/>
    <w:rsid w:val="00FC7796"/>
    <w:rsid w:val="00FC787A"/>
    <w:rsid w:val="00FC7A1A"/>
    <w:rsid w:val="00FC7E57"/>
    <w:rsid w:val="00FC7E5B"/>
    <w:rsid w:val="00FD0008"/>
    <w:rsid w:val="00FD016B"/>
    <w:rsid w:val="00FD052F"/>
    <w:rsid w:val="00FD0551"/>
    <w:rsid w:val="00FD0959"/>
    <w:rsid w:val="00FD0992"/>
    <w:rsid w:val="00FD09D1"/>
    <w:rsid w:val="00FD0B09"/>
    <w:rsid w:val="00FD0FFC"/>
    <w:rsid w:val="00FD1005"/>
    <w:rsid w:val="00FD1079"/>
    <w:rsid w:val="00FD10ED"/>
    <w:rsid w:val="00FD114D"/>
    <w:rsid w:val="00FD1358"/>
    <w:rsid w:val="00FD13E5"/>
    <w:rsid w:val="00FD1419"/>
    <w:rsid w:val="00FD14A4"/>
    <w:rsid w:val="00FD14CC"/>
    <w:rsid w:val="00FD15E8"/>
    <w:rsid w:val="00FD1638"/>
    <w:rsid w:val="00FD165D"/>
    <w:rsid w:val="00FD16F6"/>
    <w:rsid w:val="00FD17DC"/>
    <w:rsid w:val="00FD1A77"/>
    <w:rsid w:val="00FD1B6F"/>
    <w:rsid w:val="00FD2042"/>
    <w:rsid w:val="00FD2430"/>
    <w:rsid w:val="00FD24BA"/>
    <w:rsid w:val="00FD24E7"/>
    <w:rsid w:val="00FD253B"/>
    <w:rsid w:val="00FD2669"/>
    <w:rsid w:val="00FD268C"/>
    <w:rsid w:val="00FD2754"/>
    <w:rsid w:val="00FD279D"/>
    <w:rsid w:val="00FD2809"/>
    <w:rsid w:val="00FD296E"/>
    <w:rsid w:val="00FD29E3"/>
    <w:rsid w:val="00FD2AAE"/>
    <w:rsid w:val="00FD2AE4"/>
    <w:rsid w:val="00FD2BA2"/>
    <w:rsid w:val="00FD2C06"/>
    <w:rsid w:val="00FD2CF8"/>
    <w:rsid w:val="00FD2E65"/>
    <w:rsid w:val="00FD2FA7"/>
    <w:rsid w:val="00FD3078"/>
    <w:rsid w:val="00FD30C5"/>
    <w:rsid w:val="00FD339F"/>
    <w:rsid w:val="00FD3468"/>
    <w:rsid w:val="00FD37A0"/>
    <w:rsid w:val="00FD3ADC"/>
    <w:rsid w:val="00FD3F3E"/>
    <w:rsid w:val="00FD3F78"/>
    <w:rsid w:val="00FD3FF4"/>
    <w:rsid w:val="00FD4061"/>
    <w:rsid w:val="00FD40A6"/>
    <w:rsid w:val="00FD40DD"/>
    <w:rsid w:val="00FD4119"/>
    <w:rsid w:val="00FD4146"/>
    <w:rsid w:val="00FD41ED"/>
    <w:rsid w:val="00FD437F"/>
    <w:rsid w:val="00FD43E0"/>
    <w:rsid w:val="00FD4436"/>
    <w:rsid w:val="00FD444C"/>
    <w:rsid w:val="00FD4DA8"/>
    <w:rsid w:val="00FD5577"/>
    <w:rsid w:val="00FD56B2"/>
    <w:rsid w:val="00FD57A1"/>
    <w:rsid w:val="00FD59DC"/>
    <w:rsid w:val="00FD5A27"/>
    <w:rsid w:val="00FD5C21"/>
    <w:rsid w:val="00FD5D03"/>
    <w:rsid w:val="00FD5D5C"/>
    <w:rsid w:val="00FD5E66"/>
    <w:rsid w:val="00FD5EA6"/>
    <w:rsid w:val="00FD5F51"/>
    <w:rsid w:val="00FD5F7E"/>
    <w:rsid w:val="00FD6033"/>
    <w:rsid w:val="00FD6094"/>
    <w:rsid w:val="00FD61E8"/>
    <w:rsid w:val="00FD6272"/>
    <w:rsid w:val="00FD63C1"/>
    <w:rsid w:val="00FD6477"/>
    <w:rsid w:val="00FD650E"/>
    <w:rsid w:val="00FD677A"/>
    <w:rsid w:val="00FD6849"/>
    <w:rsid w:val="00FD6883"/>
    <w:rsid w:val="00FD6AE1"/>
    <w:rsid w:val="00FD6C22"/>
    <w:rsid w:val="00FD6CD0"/>
    <w:rsid w:val="00FD6D7F"/>
    <w:rsid w:val="00FD6D92"/>
    <w:rsid w:val="00FD6DCA"/>
    <w:rsid w:val="00FD6E5D"/>
    <w:rsid w:val="00FD71B4"/>
    <w:rsid w:val="00FD7250"/>
    <w:rsid w:val="00FD727F"/>
    <w:rsid w:val="00FD745A"/>
    <w:rsid w:val="00FD752E"/>
    <w:rsid w:val="00FD75F7"/>
    <w:rsid w:val="00FD765E"/>
    <w:rsid w:val="00FD7ADC"/>
    <w:rsid w:val="00FD7AE9"/>
    <w:rsid w:val="00FD7B88"/>
    <w:rsid w:val="00FD7F1C"/>
    <w:rsid w:val="00FD7F54"/>
    <w:rsid w:val="00FE024E"/>
    <w:rsid w:val="00FE02FD"/>
    <w:rsid w:val="00FE0341"/>
    <w:rsid w:val="00FE03BF"/>
    <w:rsid w:val="00FE03DC"/>
    <w:rsid w:val="00FE056C"/>
    <w:rsid w:val="00FE058A"/>
    <w:rsid w:val="00FE076B"/>
    <w:rsid w:val="00FE07B3"/>
    <w:rsid w:val="00FE07E5"/>
    <w:rsid w:val="00FE0896"/>
    <w:rsid w:val="00FE0A17"/>
    <w:rsid w:val="00FE0A44"/>
    <w:rsid w:val="00FE0B8D"/>
    <w:rsid w:val="00FE0C02"/>
    <w:rsid w:val="00FE0C14"/>
    <w:rsid w:val="00FE0C71"/>
    <w:rsid w:val="00FE0E14"/>
    <w:rsid w:val="00FE14AF"/>
    <w:rsid w:val="00FE15FC"/>
    <w:rsid w:val="00FE1885"/>
    <w:rsid w:val="00FE1A5E"/>
    <w:rsid w:val="00FE1BEF"/>
    <w:rsid w:val="00FE1C0D"/>
    <w:rsid w:val="00FE1C27"/>
    <w:rsid w:val="00FE1C91"/>
    <w:rsid w:val="00FE1E10"/>
    <w:rsid w:val="00FE1ED9"/>
    <w:rsid w:val="00FE2481"/>
    <w:rsid w:val="00FE2532"/>
    <w:rsid w:val="00FE265E"/>
    <w:rsid w:val="00FE268C"/>
    <w:rsid w:val="00FE2A95"/>
    <w:rsid w:val="00FE2C03"/>
    <w:rsid w:val="00FE2D72"/>
    <w:rsid w:val="00FE2DC0"/>
    <w:rsid w:val="00FE2F60"/>
    <w:rsid w:val="00FE3003"/>
    <w:rsid w:val="00FE30EB"/>
    <w:rsid w:val="00FE31C8"/>
    <w:rsid w:val="00FE349B"/>
    <w:rsid w:val="00FE356C"/>
    <w:rsid w:val="00FE35E0"/>
    <w:rsid w:val="00FE3822"/>
    <w:rsid w:val="00FE39E9"/>
    <w:rsid w:val="00FE3B28"/>
    <w:rsid w:val="00FE3B4F"/>
    <w:rsid w:val="00FE3BDE"/>
    <w:rsid w:val="00FE406F"/>
    <w:rsid w:val="00FE4148"/>
    <w:rsid w:val="00FE43CF"/>
    <w:rsid w:val="00FE4403"/>
    <w:rsid w:val="00FE453D"/>
    <w:rsid w:val="00FE4583"/>
    <w:rsid w:val="00FE4B8C"/>
    <w:rsid w:val="00FE4BEB"/>
    <w:rsid w:val="00FE4F3F"/>
    <w:rsid w:val="00FE50E4"/>
    <w:rsid w:val="00FE51B0"/>
    <w:rsid w:val="00FE52B3"/>
    <w:rsid w:val="00FE53C4"/>
    <w:rsid w:val="00FE5555"/>
    <w:rsid w:val="00FE5657"/>
    <w:rsid w:val="00FE5664"/>
    <w:rsid w:val="00FE56DC"/>
    <w:rsid w:val="00FE5776"/>
    <w:rsid w:val="00FE57B1"/>
    <w:rsid w:val="00FE5918"/>
    <w:rsid w:val="00FE5926"/>
    <w:rsid w:val="00FE5981"/>
    <w:rsid w:val="00FE5988"/>
    <w:rsid w:val="00FE5A0A"/>
    <w:rsid w:val="00FE5CB7"/>
    <w:rsid w:val="00FE604A"/>
    <w:rsid w:val="00FE61C8"/>
    <w:rsid w:val="00FE6543"/>
    <w:rsid w:val="00FE657B"/>
    <w:rsid w:val="00FE6786"/>
    <w:rsid w:val="00FE6857"/>
    <w:rsid w:val="00FE6865"/>
    <w:rsid w:val="00FE69BD"/>
    <w:rsid w:val="00FE6A33"/>
    <w:rsid w:val="00FE6ABB"/>
    <w:rsid w:val="00FE6B27"/>
    <w:rsid w:val="00FE6B2C"/>
    <w:rsid w:val="00FE6B7A"/>
    <w:rsid w:val="00FE6BC9"/>
    <w:rsid w:val="00FE6DFB"/>
    <w:rsid w:val="00FE6F3E"/>
    <w:rsid w:val="00FE7202"/>
    <w:rsid w:val="00FE7678"/>
    <w:rsid w:val="00FE76E1"/>
    <w:rsid w:val="00FE770D"/>
    <w:rsid w:val="00FE779F"/>
    <w:rsid w:val="00FE7854"/>
    <w:rsid w:val="00FE7B06"/>
    <w:rsid w:val="00FE7B8E"/>
    <w:rsid w:val="00FE7D0B"/>
    <w:rsid w:val="00FE7E6A"/>
    <w:rsid w:val="00FE7F17"/>
    <w:rsid w:val="00FE7F8E"/>
    <w:rsid w:val="00FE7F9D"/>
    <w:rsid w:val="00FE7FC4"/>
    <w:rsid w:val="00FF01DE"/>
    <w:rsid w:val="00FF02E2"/>
    <w:rsid w:val="00FF0500"/>
    <w:rsid w:val="00FF05E0"/>
    <w:rsid w:val="00FF069D"/>
    <w:rsid w:val="00FF06B5"/>
    <w:rsid w:val="00FF0ADB"/>
    <w:rsid w:val="00FF0DEE"/>
    <w:rsid w:val="00FF1021"/>
    <w:rsid w:val="00FF1055"/>
    <w:rsid w:val="00FF12DF"/>
    <w:rsid w:val="00FF1367"/>
    <w:rsid w:val="00FF1436"/>
    <w:rsid w:val="00FF14AC"/>
    <w:rsid w:val="00FF1842"/>
    <w:rsid w:val="00FF1B56"/>
    <w:rsid w:val="00FF1BA1"/>
    <w:rsid w:val="00FF1CDB"/>
    <w:rsid w:val="00FF2111"/>
    <w:rsid w:val="00FF2299"/>
    <w:rsid w:val="00FF236A"/>
    <w:rsid w:val="00FF23BE"/>
    <w:rsid w:val="00FF265B"/>
    <w:rsid w:val="00FF27CF"/>
    <w:rsid w:val="00FF2899"/>
    <w:rsid w:val="00FF295E"/>
    <w:rsid w:val="00FF2BD2"/>
    <w:rsid w:val="00FF2CA4"/>
    <w:rsid w:val="00FF2D5C"/>
    <w:rsid w:val="00FF3038"/>
    <w:rsid w:val="00FF32A4"/>
    <w:rsid w:val="00FF33B5"/>
    <w:rsid w:val="00FF33D1"/>
    <w:rsid w:val="00FF3472"/>
    <w:rsid w:val="00FF36EC"/>
    <w:rsid w:val="00FF3872"/>
    <w:rsid w:val="00FF3AFA"/>
    <w:rsid w:val="00FF3B70"/>
    <w:rsid w:val="00FF3B9B"/>
    <w:rsid w:val="00FF3CA9"/>
    <w:rsid w:val="00FF3DC0"/>
    <w:rsid w:val="00FF3E98"/>
    <w:rsid w:val="00FF3EC8"/>
    <w:rsid w:val="00FF3EE4"/>
    <w:rsid w:val="00FF427E"/>
    <w:rsid w:val="00FF431E"/>
    <w:rsid w:val="00FF457E"/>
    <w:rsid w:val="00FF4581"/>
    <w:rsid w:val="00FF45F3"/>
    <w:rsid w:val="00FF46D0"/>
    <w:rsid w:val="00FF46D5"/>
    <w:rsid w:val="00FF476A"/>
    <w:rsid w:val="00FF481C"/>
    <w:rsid w:val="00FF489F"/>
    <w:rsid w:val="00FF4A1C"/>
    <w:rsid w:val="00FF4A41"/>
    <w:rsid w:val="00FF4C28"/>
    <w:rsid w:val="00FF4CF0"/>
    <w:rsid w:val="00FF4E2B"/>
    <w:rsid w:val="00FF4F87"/>
    <w:rsid w:val="00FF4FA3"/>
    <w:rsid w:val="00FF519C"/>
    <w:rsid w:val="00FF527B"/>
    <w:rsid w:val="00FF53EB"/>
    <w:rsid w:val="00FF54DD"/>
    <w:rsid w:val="00FF554A"/>
    <w:rsid w:val="00FF593A"/>
    <w:rsid w:val="00FF5AC5"/>
    <w:rsid w:val="00FF5EBF"/>
    <w:rsid w:val="00FF6099"/>
    <w:rsid w:val="00FF60ED"/>
    <w:rsid w:val="00FF612A"/>
    <w:rsid w:val="00FF6306"/>
    <w:rsid w:val="00FF630C"/>
    <w:rsid w:val="00FF634C"/>
    <w:rsid w:val="00FF6372"/>
    <w:rsid w:val="00FF6455"/>
    <w:rsid w:val="00FF6557"/>
    <w:rsid w:val="00FF6B23"/>
    <w:rsid w:val="00FF6D45"/>
    <w:rsid w:val="00FF6D7E"/>
    <w:rsid w:val="00FF6EB3"/>
    <w:rsid w:val="00FF6F74"/>
    <w:rsid w:val="00FF7178"/>
    <w:rsid w:val="00FF71C1"/>
    <w:rsid w:val="00FF725F"/>
    <w:rsid w:val="00FF7445"/>
    <w:rsid w:val="00FF7481"/>
    <w:rsid w:val="00FF769F"/>
    <w:rsid w:val="00FF7CA0"/>
    <w:rsid w:val="00FF7D35"/>
    <w:rsid w:val="00FF7D7E"/>
    <w:rsid w:val="00FF7DA4"/>
    <w:rsid w:val="00FF7DBF"/>
    <w:rsid w:val="0115271B"/>
    <w:rsid w:val="011E9089"/>
    <w:rsid w:val="01215696"/>
    <w:rsid w:val="0127A7A9"/>
    <w:rsid w:val="013319AD"/>
    <w:rsid w:val="0139F213"/>
    <w:rsid w:val="0146F0CC"/>
    <w:rsid w:val="01601440"/>
    <w:rsid w:val="0164A582"/>
    <w:rsid w:val="0167A877"/>
    <w:rsid w:val="016DC8E8"/>
    <w:rsid w:val="0185CA13"/>
    <w:rsid w:val="01C0CEBA"/>
    <w:rsid w:val="01EA8EA1"/>
    <w:rsid w:val="0214EB5B"/>
    <w:rsid w:val="02384EBB"/>
    <w:rsid w:val="0255B046"/>
    <w:rsid w:val="025D4C96"/>
    <w:rsid w:val="028AFDAC"/>
    <w:rsid w:val="02932E22"/>
    <w:rsid w:val="029EA8EE"/>
    <w:rsid w:val="02C68EEC"/>
    <w:rsid w:val="0316736A"/>
    <w:rsid w:val="032326F8"/>
    <w:rsid w:val="03342132"/>
    <w:rsid w:val="0346E6A7"/>
    <w:rsid w:val="03795128"/>
    <w:rsid w:val="03879722"/>
    <w:rsid w:val="039B86DF"/>
    <w:rsid w:val="03B070D7"/>
    <w:rsid w:val="03CC285A"/>
    <w:rsid w:val="03EC2B67"/>
    <w:rsid w:val="03EF558D"/>
    <w:rsid w:val="04067DA0"/>
    <w:rsid w:val="0426FDCC"/>
    <w:rsid w:val="043CCDE7"/>
    <w:rsid w:val="04768413"/>
    <w:rsid w:val="04C69F8A"/>
    <w:rsid w:val="04C9A485"/>
    <w:rsid w:val="04D3B47F"/>
    <w:rsid w:val="04E00716"/>
    <w:rsid w:val="04F69360"/>
    <w:rsid w:val="053FBC6A"/>
    <w:rsid w:val="05471695"/>
    <w:rsid w:val="055ACD34"/>
    <w:rsid w:val="056BEEC6"/>
    <w:rsid w:val="058961DA"/>
    <w:rsid w:val="059855F5"/>
    <w:rsid w:val="059C75BF"/>
    <w:rsid w:val="05A443FE"/>
    <w:rsid w:val="05B80077"/>
    <w:rsid w:val="060BA844"/>
    <w:rsid w:val="060F9A01"/>
    <w:rsid w:val="06917707"/>
    <w:rsid w:val="0692BB0D"/>
    <w:rsid w:val="06BFFAED"/>
    <w:rsid w:val="06C0E8F4"/>
    <w:rsid w:val="06D46921"/>
    <w:rsid w:val="06E91311"/>
    <w:rsid w:val="07023159"/>
    <w:rsid w:val="070743CF"/>
    <w:rsid w:val="07497729"/>
    <w:rsid w:val="07723A04"/>
    <w:rsid w:val="077B7ADD"/>
    <w:rsid w:val="07B4E36B"/>
    <w:rsid w:val="07B754A0"/>
    <w:rsid w:val="07D9EDAE"/>
    <w:rsid w:val="08193DE0"/>
    <w:rsid w:val="0826FA70"/>
    <w:rsid w:val="0842FA8B"/>
    <w:rsid w:val="085F687B"/>
    <w:rsid w:val="08762C45"/>
    <w:rsid w:val="087E9AB1"/>
    <w:rsid w:val="0890AA69"/>
    <w:rsid w:val="089612DF"/>
    <w:rsid w:val="08EADAC3"/>
    <w:rsid w:val="0905EAEA"/>
    <w:rsid w:val="09216F76"/>
    <w:rsid w:val="09503A11"/>
    <w:rsid w:val="0958BF1C"/>
    <w:rsid w:val="098E09C8"/>
    <w:rsid w:val="09A618C1"/>
    <w:rsid w:val="09AA7865"/>
    <w:rsid w:val="09CC4664"/>
    <w:rsid w:val="09D2FE44"/>
    <w:rsid w:val="0A5CF6F1"/>
    <w:rsid w:val="0A6C8F35"/>
    <w:rsid w:val="0A82D6A7"/>
    <w:rsid w:val="0A95EB94"/>
    <w:rsid w:val="0AA44DFC"/>
    <w:rsid w:val="0AF7DFBD"/>
    <w:rsid w:val="0B16C180"/>
    <w:rsid w:val="0B2CE344"/>
    <w:rsid w:val="0B3B412D"/>
    <w:rsid w:val="0B53B8A9"/>
    <w:rsid w:val="0B88403D"/>
    <w:rsid w:val="0B8AD004"/>
    <w:rsid w:val="0BB88EFD"/>
    <w:rsid w:val="0BDD92FD"/>
    <w:rsid w:val="0BF1551B"/>
    <w:rsid w:val="0C23900E"/>
    <w:rsid w:val="0C343C43"/>
    <w:rsid w:val="0C364C20"/>
    <w:rsid w:val="0C38CC75"/>
    <w:rsid w:val="0C3A8356"/>
    <w:rsid w:val="0C3B6E75"/>
    <w:rsid w:val="0C3BF9DF"/>
    <w:rsid w:val="0C3E68F3"/>
    <w:rsid w:val="0C97D030"/>
    <w:rsid w:val="0CB32044"/>
    <w:rsid w:val="0CCF2B6C"/>
    <w:rsid w:val="0CD916BE"/>
    <w:rsid w:val="0CD97417"/>
    <w:rsid w:val="0CE97D3D"/>
    <w:rsid w:val="0CEF863A"/>
    <w:rsid w:val="0D6931A4"/>
    <w:rsid w:val="0D6B09F6"/>
    <w:rsid w:val="0D7998F6"/>
    <w:rsid w:val="0D85E59D"/>
    <w:rsid w:val="0D8C4C67"/>
    <w:rsid w:val="0D8DB25C"/>
    <w:rsid w:val="0D90992E"/>
    <w:rsid w:val="0DA7F53D"/>
    <w:rsid w:val="0DB0E501"/>
    <w:rsid w:val="0DE43B54"/>
    <w:rsid w:val="0E0DEC38"/>
    <w:rsid w:val="0E10F39D"/>
    <w:rsid w:val="0E38D4A9"/>
    <w:rsid w:val="0E4D0E4E"/>
    <w:rsid w:val="0E4DA10A"/>
    <w:rsid w:val="0E81C1C9"/>
    <w:rsid w:val="0E911EAA"/>
    <w:rsid w:val="0EADA3EE"/>
    <w:rsid w:val="0EAF2B02"/>
    <w:rsid w:val="0EBC1FC4"/>
    <w:rsid w:val="0ED7846D"/>
    <w:rsid w:val="0EDA8290"/>
    <w:rsid w:val="0EDFCE5D"/>
    <w:rsid w:val="0EE00EB5"/>
    <w:rsid w:val="0EED9E70"/>
    <w:rsid w:val="0EFDAB52"/>
    <w:rsid w:val="0F24AB8C"/>
    <w:rsid w:val="0F430230"/>
    <w:rsid w:val="0F624A59"/>
    <w:rsid w:val="0FC23565"/>
    <w:rsid w:val="0FC46FC8"/>
    <w:rsid w:val="0FCAEEE3"/>
    <w:rsid w:val="0FEEE078"/>
    <w:rsid w:val="1027F4EC"/>
    <w:rsid w:val="106A3233"/>
    <w:rsid w:val="108BAEAF"/>
    <w:rsid w:val="108EBC52"/>
    <w:rsid w:val="109A629D"/>
    <w:rsid w:val="10AD50DE"/>
    <w:rsid w:val="10BE7DE8"/>
    <w:rsid w:val="10C8866C"/>
    <w:rsid w:val="114F4DE6"/>
    <w:rsid w:val="1173A354"/>
    <w:rsid w:val="11B4FF8D"/>
    <w:rsid w:val="11C91557"/>
    <w:rsid w:val="11F8EC99"/>
    <w:rsid w:val="11F90F5D"/>
    <w:rsid w:val="1240D267"/>
    <w:rsid w:val="1266C791"/>
    <w:rsid w:val="126E8C3F"/>
    <w:rsid w:val="1297244F"/>
    <w:rsid w:val="12B44C7C"/>
    <w:rsid w:val="12E01A9F"/>
    <w:rsid w:val="12E0788C"/>
    <w:rsid w:val="1345AE71"/>
    <w:rsid w:val="1353B95D"/>
    <w:rsid w:val="136B32A0"/>
    <w:rsid w:val="1373A70D"/>
    <w:rsid w:val="1388505D"/>
    <w:rsid w:val="13A7BE35"/>
    <w:rsid w:val="13A998F1"/>
    <w:rsid w:val="13C3F40C"/>
    <w:rsid w:val="13C60D84"/>
    <w:rsid w:val="144B64D5"/>
    <w:rsid w:val="14852BC5"/>
    <w:rsid w:val="148EA9C3"/>
    <w:rsid w:val="14B02CA0"/>
    <w:rsid w:val="14D64655"/>
    <w:rsid w:val="150AE802"/>
    <w:rsid w:val="151A2067"/>
    <w:rsid w:val="151EFCEE"/>
    <w:rsid w:val="15284ADE"/>
    <w:rsid w:val="152C33F6"/>
    <w:rsid w:val="153C738D"/>
    <w:rsid w:val="1546A1B8"/>
    <w:rsid w:val="155F7FAE"/>
    <w:rsid w:val="1569E82A"/>
    <w:rsid w:val="1574185E"/>
    <w:rsid w:val="1588B87C"/>
    <w:rsid w:val="1588CFEE"/>
    <w:rsid w:val="15A2262B"/>
    <w:rsid w:val="15C4F995"/>
    <w:rsid w:val="15D50836"/>
    <w:rsid w:val="15E8EAF6"/>
    <w:rsid w:val="16422A97"/>
    <w:rsid w:val="164765ED"/>
    <w:rsid w:val="1670F192"/>
    <w:rsid w:val="1695A036"/>
    <w:rsid w:val="16CC732E"/>
    <w:rsid w:val="17183BB6"/>
    <w:rsid w:val="17395D52"/>
    <w:rsid w:val="17486B46"/>
    <w:rsid w:val="17625636"/>
    <w:rsid w:val="1769D31B"/>
    <w:rsid w:val="176D82EB"/>
    <w:rsid w:val="17796573"/>
    <w:rsid w:val="179E8837"/>
    <w:rsid w:val="17D6F30B"/>
    <w:rsid w:val="17D95B55"/>
    <w:rsid w:val="182FFB49"/>
    <w:rsid w:val="183B10E1"/>
    <w:rsid w:val="1844F7E4"/>
    <w:rsid w:val="184B3AE5"/>
    <w:rsid w:val="184C3245"/>
    <w:rsid w:val="18654250"/>
    <w:rsid w:val="188937EA"/>
    <w:rsid w:val="188ED298"/>
    <w:rsid w:val="1891C4CA"/>
    <w:rsid w:val="18956472"/>
    <w:rsid w:val="18A84A75"/>
    <w:rsid w:val="18B2A25E"/>
    <w:rsid w:val="18D8FE6D"/>
    <w:rsid w:val="190FE694"/>
    <w:rsid w:val="1910D6F6"/>
    <w:rsid w:val="1917A622"/>
    <w:rsid w:val="1930D85B"/>
    <w:rsid w:val="1958A57E"/>
    <w:rsid w:val="19609D02"/>
    <w:rsid w:val="196CF2E7"/>
    <w:rsid w:val="19A98CE9"/>
    <w:rsid w:val="19C4C540"/>
    <w:rsid w:val="1A01BEB8"/>
    <w:rsid w:val="1A0A3EA3"/>
    <w:rsid w:val="1A0C0F02"/>
    <w:rsid w:val="1A34D2FB"/>
    <w:rsid w:val="1A452A87"/>
    <w:rsid w:val="1A9E010C"/>
    <w:rsid w:val="1A9E2666"/>
    <w:rsid w:val="1AB250E4"/>
    <w:rsid w:val="1AFCE0FD"/>
    <w:rsid w:val="1AFD80F5"/>
    <w:rsid w:val="1B2226C0"/>
    <w:rsid w:val="1BB37449"/>
    <w:rsid w:val="1BDDB381"/>
    <w:rsid w:val="1BE7A8A4"/>
    <w:rsid w:val="1BF09ABB"/>
    <w:rsid w:val="1C10BB95"/>
    <w:rsid w:val="1C6E93D4"/>
    <w:rsid w:val="1C80FFE4"/>
    <w:rsid w:val="1C84D713"/>
    <w:rsid w:val="1C916A5C"/>
    <w:rsid w:val="1CE273F7"/>
    <w:rsid w:val="1D286193"/>
    <w:rsid w:val="1D5A2472"/>
    <w:rsid w:val="1D7179BA"/>
    <w:rsid w:val="1D78FDC7"/>
    <w:rsid w:val="1D94C069"/>
    <w:rsid w:val="1D95BDAB"/>
    <w:rsid w:val="1D9C9686"/>
    <w:rsid w:val="1DB2B765"/>
    <w:rsid w:val="1DEF779B"/>
    <w:rsid w:val="1E0460C9"/>
    <w:rsid w:val="1E111EE3"/>
    <w:rsid w:val="1E467041"/>
    <w:rsid w:val="1E851CC1"/>
    <w:rsid w:val="1ECFE009"/>
    <w:rsid w:val="1EEEA2B8"/>
    <w:rsid w:val="1EF0FB73"/>
    <w:rsid w:val="1F01BDA3"/>
    <w:rsid w:val="1F0F71D1"/>
    <w:rsid w:val="1F400C3E"/>
    <w:rsid w:val="1F76270F"/>
    <w:rsid w:val="1F9154D4"/>
    <w:rsid w:val="1FAE9689"/>
    <w:rsid w:val="1FC82E87"/>
    <w:rsid w:val="1FC8CAB5"/>
    <w:rsid w:val="1FCE8EAE"/>
    <w:rsid w:val="200F52DA"/>
    <w:rsid w:val="2029C57F"/>
    <w:rsid w:val="202C7F89"/>
    <w:rsid w:val="206C5F46"/>
    <w:rsid w:val="206F7405"/>
    <w:rsid w:val="208944EA"/>
    <w:rsid w:val="20AD9B0D"/>
    <w:rsid w:val="20B07A9C"/>
    <w:rsid w:val="21211BC4"/>
    <w:rsid w:val="213007B1"/>
    <w:rsid w:val="214E9AEA"/>
    <w:rsid w:val="215F01AC"/>
    <w:rsid w:val="218F2171"/>
    <w:rsid w:val="21ADA5AA"/>
    <w:rsid w:val="21C91817"/>
    <w:rsid w:val="22258CAF"/>
    <w:rsid w:val="222CA887"/>
    <w:rsid w:val="222E9D72"/>
    <w:rsid w:val="2237F0B8"/>
    <w:rsid w:val="2239F6D4"/>
    <w:rsid w:val="223ED627"/>
    <w:rsid w:val="2245AFC1"/>
    <w:rsid w:val="226B7A74"/>
    <w:rsid w:val="2288A2FC"/>
    <w:rsid w:val="2297D542"/>
    <w:rsid w:val="22B7B93C"/>
    <w:rsid w:val="22BE511A"/>
    <w:rsid w:val="23276B34"/>
    <w:rsid w:val="233F99CB"/>
    <w:rsid w:val="234EA554"/>
    <w:rsid w:val="2350B6E2"/>
    <w:rsid w:val="236752F5"/>
    <w:rsid w:val="23923D27"/>
    <w:rsid w:val="23B61E75"/>
    <w:rsid w:val="23C963DE"/>
    <w:rsid w:val="23CC0E75"/>
    <w:rsid w:val="23D89ADA"/>
    <w:rsid w:val="2413572E"/>
    <w:rsid w:val="24179100"/>
    <w:rsid w:val="2439F104"/>
    <w:rsid w:val="24AA78CB"/>
    <w:rsid w:val="24CACECE"/>
    <w:rsid w:val="24DE9A89"/>
    <w:rsid w:val="24E1B635"/>
    <w:rsid w:val="24FB2722"/>
    <w:rsid w:val="2561176A"/>
    <w:rsid w:val="2575993C"/>
    <w:rsid w:val="2578BE8A"/>
    <w:rsid w:val="25D888F6"/>
    <w:rsid w:val="26091C29"/>
    <w:rsid w:val="26241C1F"/>
    <w:rsid w:val="262FAB5F"/>
    <w:rsid w:val="263CA3CA"/>
    <w:rsid w:val="266DA9D7"/>
    <w:rsid w:val="26B0CAAE"/>
    <w:rsid w:val="26B54B3E"/>
    <w:rsid w:val="26F60F35"/>
    <w:rsid w:val="270723E9"/>
    <w:rsid w:val="27236CAB"/>
    <w:rsid w:val="2734134A"/>
    <w:rsid w:val="278FC549"/>
    <w:rsid w:val="27A4E3E0"/>
    <w:rsid w:val="27AD5736"/>
    <w:rsid w:val="27B37E63"/>
    <w:rsid w:val="27B668F0"/>
    <w:rsid w:val="27CD7118"/>
    <w:rsid w:val="27D13113"/>
    <w:rsid w:val="2860CA06"/>
    <w:rsid w:val="286A5D20"/>
    <w:rsid w:val="28707ABB"/>
    <w:rsid w:val="287C8BDA"/>
    <w:rsid w:val="2893975D"/>
    <w:rsid w:val="28996DFD"/>
    <w:rsid w:val="289CBB74"/>
    <w:rsid w:val="28A05A5A"/>
    <w:rsid w:val="28C1969A"/>
    <w:rsid w:val="28D1BB31"/>
    <w:rsid w:val="28F1851B"/>
    <w:rsid w:val="28F521F9"/>
    <w:rsid w:val="293410A5"/>
    <w:rsid w:val="2938E3C0"/>
    <w:rsid w:val="293DCC76"/>
    <w:rsid w:val="293E5D8F"/>
    <w:rsid w:val="2942BD6B"/>
    <w:rsid w:val="295CAD3E"/>
    <w:rsid w:val="296222DF"/>
    <w:rsid w:val="297FD805"/>
    <w:rsid w:val="29897B72"/>
    <w:rsid w:val="29A97E59"/>
    <w:rsid w:val="29AFAC9A"/>
    <w:rsid w:val="29B4BDF5"/>
    <w:rsid w:val="2A06F834"/>
    <w:rsid w:val="2A41F5C6"/>
    <w:rsid w:val="2A5C106E"/>
    <w:rsid w:val="2A7DB842"/>
    <w:rsid w:val="2AA5DF0E"/>
    <w:rsid w:val="2AC3BEB6"/>
    <w:rsid w:val="2AC9A429"/>
    <w:rsid w:val="2ACE70B1"/>
    <w:rsid w:val="2AF0CBB8"/>
    <w:rsid w:val="2B1426FD"/>
    <w:rsid w:val="2B2D35D6"/>
    <w:rsid w:val="2B4A5D59"/>
    <w:rsid w:val="2B571A1B"/>
    <w:rsid w:val="2B6BB17C"/>
    <w:rsid w:val="2B843695"/>
    <w:rsid w:val="2BAAB75B"/>
    <w:rsid w:val="2BB119DB"/>
    <w:rsid w:val="2BCA3315"/>
    <w:rsid w:val="2C001A3E"/>
    <w:rsid w:val="2CA7730D"/>
    <w:rsid w:val="2CA7BD5E"/>
    <w:rsid w:val="2CAF2D3B"/>
    <w:rsid w:val="2CC2825B"/>
    <w:rsid w:val="2D0979F1"/>
    <w:rsid w:val="2D1C7253"/>
    <w:rsid w:val="2D7D47DC"/>
    <w:rsid w:val="2D931C87"/>
    <w:rsid w:val="2D9792FE"/>
    <w:rsid w:val="2DB73E20"/>
    <w:rsid w:val="2E09FE30"/>
    <w:rsid w:val="2E13E8A6"/>
    <w:rsid w:val="2E3C22B4"/>
    <w:rsid w:val="2E3DB96C"/>
    <w:rsid w:val="2E54C94E"/>
    <w:rsid w:val="2E64D47D"/>
    <w:rsid w:val="2E761B68"/>
    <w:rsid w:val="2ED13401"/>
    <w:rsid w:val="2EFA6ECD"/>
    <w:rsid w:val="2F0194AE"/>
    <w:rsid w:val="2F09C4E3"/>
    <w:rsid w:val="2F1E4920"/>
    <w:rsid w:val="2F5A6B8D"/>
    <w:rsid w:val="2F80AD18"/>
    <w:rsid w:val="2F8F6304"/>
    <w:rsid w:val="2F9B9656"/>
    <w:rsid w:val="2FC730FF"/>
    <w:rsid w:val="2FCCC188"/>
    <w:rsid w:val="2FCE746C"/>
    <w:rsid w:val="2FE85558"/>
    <w:rsid w:val="30030F2D"/>
    <w:rsid w:val="305D3162"/>
    <w:rsid w:val="305F973A"/>
    <w:rsid w:val="30650482"/>
    <w:rsid w:val="308F0064"/>
    <w:rsid w:val="30A9D203"/>
    <w:rsid w:val="30E906E4"/>
    <w:rsid w:val="310AF637"/>
    <w:rsid w:val="3116C11C"/>
    <w:rsid w:val="314A20E0"/>
    <w:rsid w:val="3157380E"/>
    <w:rsid w:val="319C50E1"/>
    <w:rsid w:val="31AB5796"/>
    <w:rsid w:val="31B2DB15"/>
    <w:rsid w:val="31D49428"/>
    <w:rsid w:val="322DE183"/>
    <w:rsid w:val="324A3D70"/>
    <w:rsid w:val="3250EE9B"/>
    <w:rsid w:val="327D21D1"/>
    <w:rsid w:val="327E6B86"/>
    <w:rsid w:val="328CD5B6"/>
    <w:rsid w:val="333F8C41"/>
    <w:rsid w:val="3355AFE2"/>
    <w:rsid w:val="335CFEDA"/>
    <w:rsid w:val="3391F3FC"/>
    <w:rsid w:val="33F2441E"/>
    <w:rsid w:val="3409E13E"/>
    <w:rsid w:val="3422CC3C"/>
    <w:rsid w:val="3429945F"/>
    <w:rsid w:val="342C8C40"/>
    <w:rsid w:val="345AAC67"/>
    <w:rsid w:val="348889EC"/>
    <w:rsid w:val="34E39652"/>
    <w:rsid w:val="34E7E7EF"/>
    <w:rsid w:val="34F5273D"/>
    <w:rsid w:val="352C0881"/>
    <w:rsid w:val="354EF791"/>
    <w:rsid w:val="3563049A"/>
    <w:rsid w:val="3589E55B"/>
    <w:rsid w:val="358BD4DD"/>
    <w:rsid w:val="35C36ADB"/>
    <w:rsid w:val="35DA5DFE"/>
    <w:rsid w:val="36055A90"/>
    <w:rsid w:val="361A595F"/>
    <w:rsid w:val="362D1D3C"/>
    <w:rsid w:val="363FA9A6"/>
    <w:rsid w:val="36447A4A"/>
    <w:rsid w:val="3644D67D"/>
    <w:rsid w:val="3645B2B1"/>
    <w:rsid w:val="36716B40"/>
    <w:rsid w:val="369B466B"/>
    <w:rsid w:val="36C81957"/>
    <w:rsid w:val="36CE0E8C"/>
    <w:rsid w:val="37078735"/>
    <w:rsid w:val="37103D29"/>
    <w:rsid w:val="371BD81E"/>
    <w:rsid w:val="3757333B"/>
    <w:rsid w:val="375FDC66"/>
    <w:rsid w:val="376A4ADC"/>
    <w:rsid w:val="37830DA7"/>
    <w:rsid w:val="380DD60C"/>
    <w:rsid w:val="381C7B1B"/>
    <w:rsid w:val="3835198B"/>
    <w:rsid w:val="3849AC62"/>
    <w:rsid w:val="384EF786"/>
    <w:rsid w:val="3899D4E4"/>
    <w:rsid w:val="389B1EEF"/>
    <w:rsid w:val="389E9EED"/>
    <w:rsid w:val="38C2A223"/>
    <w:rsid w:val="38C4CFAD"/>
    <w:rsid w:val="38C95299"/>
    <w:rsid w:val="38CEE185"/>
    <w:rsid w:val="38CF6417"/>
    <w:rsid w:val="38D0D1EB"/>
    <w:rsid w:val="393F4063"/>
    <w:rsid w:val="393FC611"/>
    <w:rsid w:val="395C4D83"/>
    <w:rsid w:val="3962BD11"/>
    <w:rsid w:val="3979CAEC"/>
    <w:rsid w:val="39956D54"/>
    <w:rsid w:val="39AFF812"/>
    <w:rsid w:val="39C6B7BC"/>
    <w:rsid w:val="39E2A85B"/>
    <w:rsid w:val="39E404A8"/>
    <w:rsid w:val="39EBE0A6"/>
    <w:rsid w:val="3A1C8FF8"/>
    <w:rsid w:val="3A240DF6"/>
    <w:rsid w:val="3A453752"/>
    <w:rsid w:val="3A49E2AC"/>
    <w:rsid w:val="3A62C283"/>
    <w:rsid w:val="3A70BDB3"/>
    <w:rsid w:val="3A80ADA7"/>
    <w:rsid w:val="3A80F696"/>
    <w:rsid w:val="3B8705B3"/>
    <w:rsid w:val="3B9AFEDF"/>
    <w:rsid w:val="3BD36993"/>
    <w:rsid w:val="3BD400A5"/>
    <w:rsid w:val="3BE29730"/>
    <w:rsid w:val="3BE4BFC1"/>
    <w:rsid w:val="3BE58817"/>
    <w:rsid w:val="3BE658B0"/>
    <w:rsid w:val="3C0352F7"/>
    <w:rsid w:val="3C245B43"/>
    <w:rsid w:val="3C3AA0BA"/>
    <w:rsid w:val="3C3D0EC5"/>
    <w:rsid w:val="3C490445"/>
    <w:rsid w:val="3C5C4821"/>
    <w:rsid w:val="3C997CE0"/>
    <w:rsid w:val="3C9FC5C4"/>
    <w:rsid w:val="3CB75956"/>
    <w:rsid w:val="3CCC9B5A"/>
    <w:rsid w:val="3CE6DFA9"/>
    <w:rsid w:val="3D274B7B"/>
    <w:rsid w:val="3D5B7659"/>
    <w:rsid w:val="3D6E1133"/>
    <w:rsid w:val="3D97BDBE"/>
    <w:rsid w:val="3DE63892"/>
    <w:rsid w:val="3DECE176"/>
    <w:rsid w:val="3DF0127B"/>
    <w:rsid w:val="3E2695CA"/>
    <w:rsid w:val="3E6640AC"/>
    <w:rsid w:val="3EAE36FB"/>
    <w:rsid w:val="3EC491CE"/>
    <w:rsid w:val="3ED257DA"/>
    <w:rsid w:val="3F1670F0"/>
    <w:rsid w:val="3F18BD8B"/>
    <w:rsid w:val="3F18D012"/>
    <w:rsid w:val="3F37D1FF"/>
    <w:rsid w:val="3F783D50"/>
    <w:rsid w:val="3F79A2C0"/>
    <w:rsid w:val="3FA78C50"/>
    <w:rsid w:val="3FB115B3"/>
    <w:rsid w:val="3FE0CE6C"/>
    <w:rsid w:val="400003C9"/>
    <w:rsid w:val="401F237D"/>
    <w:rsid w:val="40322ED1"/>
    <w:rsid w:val="403E3DAC"/>
    <w:rsid w:val="406F0B27"/>
    <w:rsid w:val="407ACF5B"/>
    <w:rsid w:val="409D3A99"/>
    <w:rsid w:val="40E0FA13"/>
    <w:rsid w:val="41073148"/>
    <w:rsid w:val="4150AB5E"/>
    <w:rsid w:val="4179CD35"/>
    <w:rsid w:val="418E5F0E"/>
    <w:rsid w:val="4190E4F5"/>
    <w:rsid w:val="41A17AAC"/>
    <w:rsid w:val="41AEDE56"/>
    <w:rsid w:val="41AF5383"/>
    <w:rsid w:val="41C2AA2C"/>
    <w:rsid w:val="41C88628"/>
    <w:rsid w:val="41D7B1CB"/>
    <w:rsid w:val="421D3272"/>
    <w:rsid w:val="4234CC14"/>
    <w:rsid w:val="426CCBB7"/>
    <w:rsid w:val="42C4AAD6"/>
    <w:rsid w:val="42D8B380"/>
    <w:rsid w:val="430E09F5"/>
    <w:rsid w:val="431824ED"/>
    <w:rsid w:val="431EEE87"/>
    <w:rsid w:val="4352C8E7"/>
    <w:rsid w:val="4363D3D3"/>
    <w:rsid w:val="43734B83"/>
    <w:rsid w:val="43754FC1"/>
    <w:rsid w:val="4395D82B"/>
    <w:rsid w:val="439CF0CD"/>
    <w:rsid w:val="43CDACDE"/>
    <w:rsid w:val="44111118"/>
    <w:rsid w:val="4414E925"/>
    <w:rsid w:val="443CC6E3"/>
    <w:rsid w:val="44448B44"/>
    <w:rsid w:val="44591E01"/>
    <w:rsid w:val="447BC4D8"/>
    <w:rsid w:val="449F215C"/>
    <w:rsid w:val="44A3C2B3"/>
    <w:rsid w:val="44CDCF4D"/>
    <w:rsid w:val="44D0D543"/>
    <w:rsid w:val="44EF9D92"/>
    <w:rsid w:val="451833A4"/>
    <w:rsid w:val="4541489D"/>
    <w:rsid w:val="4568EAEE"/>
    <w:rsid w:val="456FF9C4"/>
    <w:rsid w:val="45745D56"/>
    <w:rsid w:val="459E090F"/>
    <w:rsid w:val="45BA2EB8"/>
    <w:rsid w:val="45DD25D6"/>
    <w:rsid w:val="46422AC0"/>
    <w:rsid w:val="465136B1"/>
    <w:rsid w:val="466DDB7C"/>
    <w:rsid w:val="468034A0"/>
    <w:rsid w:val="46898135"/>
    <w:rsid w:val="46898E23"/>
    <w:rsid w:val="46AEF88A"/>
    <w:rsid w:val="46F19238"/>
    <w:rsid w:val="46FE4A01"/>
    <w:rsid w:val="471ACBD8"/>
    <w:rsid w:val="473D8F1F"/>
    <w:rsid w:val="4765E9B5"/>
    <w:rsid w:val="478FD07D"/>
    <w:rsid w:val="47A0AF89"/>
    <w:rsid w:val="47B2DD8F"/>
    <w:rsid w:val="481BF1D3"/>
    <w:rsid w:val="483C382D"/>
    <w:rsid w:val="486D8CE4"/>
    <w:rsid w:val="48716FD8"/>
    <w:rsid w:val="4886835F"/>
    <w:rsid w:val="488FACD3"/>
    <w:rsid w:val="489175DE"/>
    <w:rsid w:val="48A2B8E1"/>
    <w:rsid w:val="48A53B2C"/>
    <w:rsid w:val="48C9A887"/>
    <w:rsid w:val="48CBFDBB"/>
    <w:rsid w:val="48E3790B"/>
    <w:rsid w:val="4917B1E9"/>
    <w:rsid w:val="49455AAF"/>
    <w:rsid w:val="497F3FC4"/>
    <w:rsid w:val="49A789E1"/>
    <w:rsid w:val="49BAE962"/>
    <w:rsid w:val="49D25A68"/>
    <w:rsid w:val="49D867E7"/>
    <w:rsid w:val="49E7441C"/>
    <w:rsid w:val="4A3713CE"/>
    <w:rsid w:val="4A417F5C"/>
    <w:rsid w:val="4A754B65"/>
    <w:rsid w:val="4A75EBF2"/>
    <w:rsid w:val="4A907E23"/>
    <w:rsid w:val="4A90941D"/>
    <w:rsid w:val="4A979B2F"/>
    <w:rsid w:val="4AA821B0"/>
    <w:rsid w:val="4B054765"/>
    <w:rsid w:val="4B0BFDB0"/>
    <w:rsid w:val="4B12535C"/>
    <w:rsid w:val="4B7E9B5B"/>
    <w:rsid w:val="4BD3C3D7"/>
    <w:rsid w:val="4BF930EE"/>
    <w:rsid w:val="4BFB6FC5"/>
    <w:rsid w:val="4BFD7613"/>
    <w:rsid w:val="4C17EE3D"/>
    <w:rsid w:val="4C35AEB9"/>
    <w:rsid w:val="4C57132E"/>
    <w:rsid w:val="4C9FF24C"/>
    <w:rsid w:val="4CA582EA"/>
    <w:rsid w:val="4CA661FA"/>
    <w:rsid w:val="4CC3861B"/>
    <w:rsid w:val="4D232CB4"/>
    <w:rsid w:val="4D2DE8AC"/>
    <w:rsid w:val="4D3B117E"/>
    <w:rsid w:val="4D3B3C5F"/>
    <w:rsid w:val="4D98BF8A"/>
    <w:rsid w:val="4DE6144F"/>
    <w:rsid w:val="4DF6BF68"/>
    <w:rsid w:val="4E16C0EE"/>
    <w:rsid w:val="4E21A441"/>
    <w:rsid w:val="4E975740"/>
    <w:rsid w:val="4EC234F9"/>
    <w:rsid w:val="4EE6CD6F"/>
    <w:rsid w:val="4F0C0D11"/>
    <w:rsid w:val="4F0C2BFD"/>
    <w:rsid w:val="4F8A3DF4"/>
    <w:rsid w:val="4FC7EBCE"/>
    <w:rsid w:val="504A42B4"/>
    <w:rsid w:val="505267AE"/>
    <w:rsid w:val="5076633E"/>
    <w:rsid w:val="50940F0C"/>
    <w:rsid w:val="50CFEF43"/>
    <w:rsid w:val="50D9A679"/>
    <w:rsid w:val="512A4A5B"/>
    <w:rsid w:val="512E3A0D"/>
    <w:rsid w:val="51503C83"/>
    <w:rsid w:val="5193B671"/>
    <w:rsid w:val="51B3956B"/>
    <w:rsid w:val="520F43DA"/>
    <w:rsid w:val="525D0464"/>
    <w:rsid w:val="5274582C"/>
    <w:rsid w:val="52F82605"/>
    <w:rsid w:val="5317FD4B"/>
    <w:rsid w:val="5334F5E0"/>
    <w:rsid w:val="5341CE0E"/>
    <w:rsid w:val="5362086B"/>
    <w:rsid w:val="5369A09D"/>
    <w:rsid w:val="53DB0E03"/>
    <w:rsid w:val="53DB7DC6"/>
    <w:rsid w:val="53F6B6A6"/>
    <w:rsid w:val="540491F3"/>
    <w:rsid w:val="540D19ED"/>
    <w:rsid w:val="54158360"/>
    <w:rsid w:val="547BD6BC"/>
    <w:rsid w:val="54893CC5"/>
    <w:rsid w:val="54F1CD6A"/>
    <w:rsid w:val="55012772"/>
    <w:rsid w:val="5526527E"/>
    <w:rsid w:val="5532A7AB"/>
    <w:rsid w:val="556767A6"/>
    <w:rsid w:val="55743083"/>
    <w:rsid w:val="557C56FE"/>
    <w:rsid w:val="5581676C"/>
    <w:rsid w:val="55AA4174"/>
    <w:rsid w:val="55CB7E1B"/>
    <w:rsid w:val="55E98C0A"/>
    <w:rsid w:val="56033EF4"/>
    <w:rsid w:val="560E4A31"/>
    <w:rsid w:val="5642219F"/>
    <w:rsid w:val="5683213A"/>
    <w:rsid w:val="5683744F"/>
    <w:rsid w:val="568DA196"/>
    <w:rsid w:val="56953EA5"/>
    <w:rsid w:val="56AE2E14"/>
    <w:rsid w:val="56C5CEBF"/>
    <w:rsid w:val="56D06C54"/>
    <w:rsid w:val="56D88960"/>
    <w:rsid w:val="57049C50"/>
    <w:rsid w:val="5717D775"/>
    <w:rsid w:val="57365F49"/>
    <w:rsid w:val="5750B705"/>
    <w:rsid w:val="57A8F3EE"/>
    <w:rsid w:val="57E37DC7"/>
    <w:rsid w:val="57E5C824"/>
    <w:rsid w:val="57F59EEF"/>
    <w:rsid w:val="57FACDB0"/>
    <w:rsid w:val="5803FEE1"/>
    <w:rsid w:val="5877CB99"/>
    <w:rsid w:val="587A9E76"/>
    <w:rsid w:val="5882154D"/>
    <w:rsid w:val="588CE900"/>
    <w:rsid w:val="589E713A"/>
    <w:rsid w:val="58A83614"/>
    <w:rsid w:val="58B16605"/>
    <w:rsid w:val="58BE65F8"/>
    <w:rsid w:val="58C19441"/>
    <w:rsid w:val="59204E0D"/>
    <w:rsid w:val="5950D45C"/>
    <w:rsid w:val="59853769"/>
    <w:rsid w:val="598E5A62"/>
    <w:rsid w:val="59980C9C"/>
    <w:rsid w:val="59B8C0E0"/>
    <w:rsid w:val="59B93C4F"/>
    <w:rsid w:val="59D0E172"/>
    <w:rsid w:val="59E61C1C"/>
    <w:rsid w:val="59EB1872"/>
    <w:rsid w:val="59EF2A27"/>
    <w:rsid w:val="59FB4BA5"/>
    <w:rsid w:val="5A0556C4"/>
    <w:rsid w:val="5A218B4E"/>
    <w:rsid w:val="5A24B05C"/>
    <w:rsid w:val="5A2C9DE5"/>
    <w:rsid w:val="5A510126"/>
    <w:rsid w:val="5A519F22"/>
    <w:rsid w:val="5A6B2857"/>
    <w:rsid w:val="5A8E0F7F"/>
    <w:rsid w:val="5AC47515"/>
    <w:rsid w:val="5BADD962"/>
    <w:rsid w:val="5BBA6992"/>
    <w:rsid w:val="5BC9CFBE"/>
    <w:rsid w:val="5BEAD8C6"/>
    <w:rsid w:val="5C04D0CB"/>
    <w:rsid w:val="5C0EBDE8"/>
    <w:rsid w:val="5C401B2E"/>
    <w:rsid w:val="5C781FDF"/>
    <w:rsid w:val="5CC163F2"/>
    <w:rsid w:val="5CEEBC43"/>
    <w:rsid w:val="5D32732B"/>
    <w:rsid w:val="5D3A9AEF"/>
    <w:rsid w:val="5D5CC411"/>
    <w:rsid w:val="5DAE27EE"/>
    <w:rsid w:val="5DB1EE26"/>
    <w:rsid w:val="5DD29081"/>
    <w:rsid w:val="5DE1CD42"/>
    <w:rsid w:val="5DE5C088"/>
    <w:rsid w:val="5DFE55C2"/>
    <w:rsid w:val="5E07FDE9"/>
    <w:rsid w:val="5E1DF371"/>
    <w:rsid w:val="5E410CC6"/>
    <w:rsid w:val="5E441D56"/>
    <w:rsid w:val="5E48C46E"/>
    <w:rsid w:val="5E4A507E"/>
    <w:rsid w:val="5E60264F"/>
    <w:rsid w:val="5E604AB9"/>
    <w:rsid w:val="5E68A4F6"/>
    <w:rsid w:val="5E73A209"/>
    <w:rsid w:val="5E7DDA6C"/>
    <w:rsid w:val="5E93652D"/>
    <w:rsid w:val="5EA2E6DF"/>
    <w:rsid w:val="5EC27EDB"/>
    <w:rsid w:val="5EC50F57"/>
    <w:rsid w:val="5EC7633C"/>
    <w:rsid w:val="5EDE253C"/>
    <w:rsid w:val="5F3693C9"/>
    <w:rsid w:val="5F41140D"/>
    <w:rsid w:val="5F486870"/>
    <w:rsid w:val="5F5FFC3B"/>
    <w:rsid w:val="5F6FA1CF"/>
    <w:rsid w:val="5F70F5D0"/>
    <w:rsid w:val="5FE4FE6A"/>
    <w:rsid w:val="5FE8AAE6"/>
    <w:rsid w:val="6007C57B"/>
    <w:rsid w:val="601471B4"/>
    <w:rsid w:val="608082F2"/>
    <w:rsid w:val="60E0F7CE"/>
    <w:rsid w:val="61110382"/>
    <w:rsid w:val="61131582"/>
    <w:rsid w:val="61188644"/>
    <w:rsid w:val="612837B7"/>
    <w:rsid w:val="61365CC6"/>
    <w:rsid w:val="61392367"/>
    <w:rsid w:val="618B9B56"/>
    <w:rsid w:val="619E5104"/>
    <w:rsid w:val="61AB2D3D"/>
    <w:rsid w:val="61AD707F"/>
    <w:rsid w:val="61B549A9"/>
    <w:rsid w:val="61D42C4A"/>
    <w:rsid w:val="61E6B1EB"/>
    <w:rsid w:val="61F2B360"/>
    <w:rsid w:val="620C0CC9"/>
    <w:rsid w:val="624A2C2C"/>
    <w:rsid w:val="6252F118"/>
    <w:rsid w:val="6260A949"/>
    <w:rsid w:val="6298FE69"/>
    <w:rsid w:val="629D683D"/>
    <w:rsid w:val="62FE34B2"/>
    <w:rsid w:val="6308BE92"/>
    <w:rsid w:val="6310C7B2"/>
    <w:rsid w:val="63227F46"/>
    <w:rsid w:val="6343FE11"/>
    <w:rsid w:val="6356FEF9"/>
    <w:rsid w:val="635C3EB9"/>
    <w:rsid w:val="63644563"/>
    <w:rsid w:val="63845484"/>
    <w:rsid w:val="63A53D8B"/>
    <w:rsid w:val="63CABA9E"/>
    <w:rsid w:val="63D72B10"/>
    <w:rsid w:val="63F0ECB6"/>
    <w:rsid w:val="63F6AA3F"/>
    <w:rsid w:val="64122BDE"/>
    <w:rsid w:val="64218B0C"/>
    <w:rsid w:val="6455AD37"/>
    <w:rsid w:val="646B7B47"/>
    <w:rsid w:val="64DA5ED9"/>
    <w:rsid w:val="6500F56F"/>
    <w:rsid w:val="6514946B"/>
    <w:rsid w:val="656D51D7"/>
    <w:rsid w:val="6576DA45"/>
    <w:rsid w:val="65A40B30"/>
    <w:rsid w:val="65B89CCF"/>
    <w:rsid w:val="65D164AE"/>
    <w:rsid w:val="663D6EC1"/>
    <w:rsid w:val="664AE73E"/>
    <w:rsid w:val="665EE49C"/>
    <w:rsid w:val="66686F8A"/>
    <w:rsid w:val="668972EA"/>
    <w:rsid w:val="66996813"/>
    <w:rsid w:val="669B895E"/>
    <w:rsid w:val="66B5323E"/>
    <w:rsid w:val="66BB3AFB"/>
    <w:rsid w:val="66C95EFB"/>
    <w:rsid w:val="66E19204"/>
    <w:rsid w:val="66E46135"/>
    <w:rsid w:val="6710D953"/>
    <w:rsid w:val="6711088B"/>
    <w:rsid w:val="672DACB6"/>
    <w:rsid w:val="674633ED"/>
    <w:rsid w:val="676D240C"/>
    <w:rsid w:val="67A90EDE"/>
    <w:rsid w:val="67C377A8"/>
    <w:rsid w:val="67E71A2B"/>
    <w:rsid w:val="67FEBBEE"/>
    <w:rsid w:val="68007778"/>
    <w:rsid w:val="6825FF7A"/>
    <w:rsid w:val="685E0F31"/>
    <w:rsid w:val="68668078"/>
    <w:rsid w:val="68C3E0CB"/>
    <w:rsid w:val="690A7FEB"/>
    <w:rsid w:val="692C71A3"/>
    <w:rsid w:val="69345628"/>
    <w:rsid w:val="694A88B0"/>
    <w:rsid w:val="69822FCF"/>
    <w:rsid w:val="699F3DC6"/>
    <w:rsid w:val="69BAD584"/>
    <w:rsid w:val="69DA9FDA"/>
    <w:rsid w:val="69F14E95"/>
    <w:rsid w:val="6A2BC45E"/>
    <w:rsid w:val="6AE17EDE"/>
    <w:rsid w:val="6AF24B3B"/>
    <w:rsid w:val="6B0D12F2"/>
    <w:rsid w:val="6B331AD7"/>
    <w:rsid w:val="6B48A798"/>
    <w:rsid w:val="6B617069"/>
    <w:rsid w:val="6B6882AC"/>
    <w:rsid w:val="6B9A4B1E"/>
    <w:rsid w:val="6BA7B64B"/>
    <w:rsid w:val="6BD4F601"/>
    <w:rsid w:val="6BE9C60C"/>
    <w:rsid w:val="6BF3C2D7"/>
    <w:rsid w:val="6BFBED91"/>
    <w:rsid w:val="6C057309"/>
    <w:rsid w:val="6C065EC2"/>
    <w:rsid w:val="6C37D4AF"/>
    <w:rsid w:val="6C41466D"/>
    <w:rsid w:val="6C4786AE"/>
    <w:rsid w:val="6C6913A0"/>
    <w:rsid w:val="6C6B7909"/>
    <w:rsid w:val="6C70C629"/>
    <w:rsid w:val="6C982EBA"/>
    <w:rsid w:val="6C996978"/>
    <w:rsid w:val="6C9CD280"/>
    <w:rsid w:val="6CD01AA3"/>
    <w:rsid w:val="6CF67197"/>
    <w:rsid w:val="6D132D86"/>
    <w:rsid w:val="6D272446"/>
    <w:rsid w:val="6D4B361A"/>
    <w:rsid w:val="6D7144D8"/>
    <w:rsid w:val="6D903354"/>
    <w:rsid w:val="6D9DDED3"/>
    <w:rsid w:val="6DE16C00"/>
    <w:rsid w:val="6DF19D75"/>
    <w:rsid w:val="6E056CCB"/>
    <w:rsid w:val="6E0C6DAA"/>
    <w:rsid w:val="6E17DD7B"/>
    <w:rsid w:val="6E20EDFF"/>
    <w:rsid w:val="6E2DFB21"/>
    <w:rsid w:val="6E3A8D75"/>
    <w:rsid w:val="6E699A57"/>
    <w:rsid w:val="6E7B2664"/>
    <w:rsid w:val="6EB06007"/>
    <w:rsid w:val="6EB244D1"/>
    <w:rsid w:val="6EBB166F"/>
    <w:rsid w:val="6EDF84F2"/>
    <w:rsid w:val="6EF1F066"/>
    <w:rsid w:val="6F023A51"/>
    <w:rsid w:val="6F034E46"/>
    <w:rsid w:val="6F3D9E50"/>
    <w:rsid w:val="6F40E062"/>
    <w:rsid w:val="6F602C5F"/>
    <w:rsid w:val="6F68AD5A"/>
    <w:rsid w:val="6F6DC55B"/>
    <w:rsid w:val="6F702BB8"/>
    <w:rsid w:val="6FA7E492"/>
    <w:rsid w:val="6FE59DB3"/>
    <w:rsid w:val="6FEDE1AC"/>
    <w:rsid w:val="6FF926C9"/>
    <w:rsid w:val="70001105"/>
    <w:rsid w:val="7005B0C0"/>
    <w:rsid w:val="703B87A8"/>
    <w:rsid w:val="705ABEC4"/>
    <w:rsid w:val="70614B09"/>
    <w:rsid w:val="707C189E"/>
    <w:rsid w:val="7082AA56"/>
    <w:rsid w:val="7097E08C"/>
    <w:rsid w:val="70BD17B2"/>
    <w:rsid w:val="70C0D664"/>
    <w:rsid w:val="710E166F"/>
    <w:rsid w:val="71391DA3"/>
    <w:rsid w:val="713F54AA"/>
    <w:rsid w:val="7146A6F5"/>
    <w:rsid w:val="714A9DFA"/>
    <w:rsid w:val="719B0C47"/>
    <w:rsid w:val="719C9B18"/>
    <w:rsid w:val="71DAD6D4"/>
    <w:rsid w:val="71DFD914"/>
    <w:rsid w:val="71F0F8ED"/>
    <w:rsid w:val="71F1E508"/>
    <w:rsid w:val="7211A446"/>
    <w:rsid w:val="72234F8D"/>
    <w:rsid w:val="7230C03F"/>
    <w:rsid w:val="7254FFDE"/>
    <w:rsid w:val="726F0FE5"/>
    <w:rsid w:val="7281869E"/>
    <w:rsid w:val="72835423"/>
    <w:rsid w:val="72839064"/>
    <w:rsid w:val="7289C4DB"/>
    <w:rsid w:val="72C83B4F"/>
    <w:rsid w:val="730451AE"/>
    <w:rsid w:val="73072CF8"/>
    <w:rsid w:val="73280B17"/>
    <w:rsid w:val="732A2819"/>
    <w:rsid w:val="73547C80"/>
    <w:rsid w:val="7399318D"/>
    <w:rsid w:val="73B94F23"/>
    <w:rsid w:val="73BAE1C7"/>
    <w:rsid w:val="73D9A202"/>
    <w:rsid w:val="73F0D081"/>
    <w:rsid w:val="743D9061"/>
    <w:rsid w:val="74748764"/>
    <w:rsid w:val="7491393D"/>
    <w:rsid w:val="74BED107"/>
    <w:rsid w:val="750E46C8"/>
    <w:rsid w:val="754B122E"/>
    <w:rsid w:val="754D3C41"/>
    <w:rsid w:val="755A086F"/>
    <w:rsid w:val="755A546B"/>
    <w:rsid w:val="765DADD5"/>
    <w:rsid w:val="766366ED"/>
    <w:rsid w:val="7695DE6B"/>
    <w:rsid w:val="769AC01F"/>
    <w:rsid w:val="76BC4FAE"/>
    <w:rsid w:val="76C5AB53"/>
    <w:rsid w:val="7709E881"/>
    <w:rsid w:val="7716E196"/>
    <w:rsid w:val="77412F56"/>
    <w:rsid w:val="7748F987"/>
    <w:rsid w:val="77598FC2"/>
    <w:rsid w:val="77BF059C"/>
    <w:rsid w:val="77CC709E"/>
    <w:rsid w:val="781AEB92"/>
    <w:rsid w:val="781E95A1"/>
    <w:rsid w:val="783A26A9"/>
    <w:rsid w:val="784981DA"/>
    <w:rsid w:val="7853578E"/>
    <w:rsid w:val="788013FC"/>
    <w:rsid w:val="78AEEAE5"/>
    <w:rsid w:val="78AF9569"/>
    <w:rsid w:val="78EA60F2"/>
    <w:rsid w:val="78F7B1A0"/>
    <w:rsid w:val="792346F2"/>
    <w:rsid w:val="79295F3C"/>
    <w:rsid w:val="796A745E"/>
    <w:rsid w:val="796A7F58"/>
    <w:rsid w:val="797A8A74"/>
    <w:rsid w:val="797FEAE7"/>
    <w:rsid w:val="79A34FE8"/>
    <w:rsid w:val="79B2D8C3"/>
    <w:rsid w:val="79CE8B29"/>
    <w:rsid w:val="79D2047E"/>
    <w:rsid w:val="79E27607"/>
    <w:rsid w:val="79ECDC16"/>
    <w:rsid w:val="7A377C56"/>
    <w:rsid w:val="7A451C7F"/>
    <w:rsid w:val="7A6279EB"/>
    <w:rsid w:val="7A9F2811"/>
    <w:rsid w:val="7AC4223F"/>
    <w:rsid w:val="7AFE7ABC"/>
    <w:rsid w:val="7B041ADB"/>
    <w:rsid w:val="7B09827A"/>
    <w:rsid w:val="7B497F57"/>
    <w:rsid w:val="7B5ECC7F"/>
    <w:rsid w:val="7B6CA9E5"/>
    <w:rsid w:val="7B6D3B56"/>
    <w:rsid w:val="7B6FFA9D"/>
    <w:rsid w:val="7B71E2D7"/>
    <w:rsid w:val="7B75D430"/>
    <w:rsid w:val="7B8CC359"/>
    <w:rsid w:val="7C2731BA"/>
    <w:rsid w:val="7C2B033B"/>
    <w:rsid w:val="7C31D7C9"/>
    <w:rsid w:val="7C4EC0DA"/>
    <w:rsid w:val="7C552D8C"/>
    <w:rsid w:val="7C554E52"/>
    <w:rsid w:val="7C75B0E6"/>
    <w:rsid w:val="7C9FF50B"/>
    <w:rsid w:val="7CB8E5C9"/>
    <w:rsid w:val="7D0A43B4"/>
    <w:rsid w:val="7D0C50EE"/>
    <w:rsid w:val="7D1AEC3C"/>
    <w:rsid w:val="7D56BD3C"/>
    <w:rsid w:val="7D637969"/>
    <w:rsid w:val="7D69B53B"/>
    <w:rsid w:val="7D7CB990"/>
    <w:rsid w:val="7DA017EC"/>
    <w:rsid w:val="7DCFE379"/>
    <w:rsid w:val="7DD9D2EF"/>
    <w:rsid w:val="7E1B94F4"/>
    <w:rsid w:val="7E4051A7"/>
    <w:rsid w:val="7E606726"/>
    <w:rsid w:val="7E976F19"/>
    <w:rsid w:val="7EA7E7A0"/>
    <w:rsid w:val="7EB287EE"/>
    <w:rsid w:val="7EBBF3A4"/>
    <w:rsid w:val="7EC5B12F"/>
    <w:rsid w:val="7EEA1779"/>
    <w:rsid w:val="7F039E10"/>
    <w:rsid w:val="7F07B060"/>
    <w:rsid w:val="7F158859"/>
    <w:rsid w:val="7F460FA8"/>
    <w:rsid w:val="7F4CB965"/>
    <w:rsid w:val="7F57AB6D"/>
    <w:rsid w:val="7F698514"/>
    <w:rsid w:val="7FAF97B8"/>
    <w:rsid w:val="7FC00DF6"/>
    <w:rsid w:val="7FC8F80C"/>
    <w:rsid w:val="7FF7B0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56B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34"/>
    <w:pPr>
      <w:spacing w:line="240" w:lineRule="auto"/>
    </w:pPr>
    <w:rPr>
      <w:rFonts w:ascii="Calibri" w:hAnsi="Calibri"/>
    </w:rPr>
  </w:style>
  <w:style w:type="paragraph" w:styleId="Heading1">
    <w:name w:val="heading 1"/>
    <w:aliases w:val="MD_Heading"/>
    <w:basedOn w:val="Heading2"/>
    <w:next w:val="Normal"/>
    <w:link w:val="Heading1Char"/>
    <w:uiPriority w:val="9"/>
    <w:qFormat/>
    <w:rsid w:val="00D81C36"/>
    <w:pPr>
      <w:spacing w:before="480" w:after="240"/>
      <w:jc w:val="center"/>
      <w:outlineLvl w:val="0"/>
    </w:pPr>
    <w:rPr>
      <w:sz w:val="40"/>
    </w:rPr>
  </w:style>
  <w:style w:type="paragraph" w:styleId="Heading2">
    <w:name w:val="heading 2"/>
    <w:basedOn w:val="Normal"/>
    <w:next w:val="Normal"/>
    <w:link w:val="Heading2Char"/>
    <w:uiPriority w:val="9"/>
    <w:unhideWhenUsed/>
    <w:qFormat/>
    <w:rsid w:val="00D81C36"/>
    <w:pPr>
      <w:keepNext/>
      <w:keepLines/>
      <w:spacing w:before="24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19519D"/>
    <w:pPr>
      <w:keepNext/>
      <w:keepLines/>
      <w:numPr>
        <w:ilvl w:val="2"/>
        <w:numId w:val="191"/>
      </w:numPr>
      <w:spacing w:before="240"/>
      <w:outlineLvl w:val="2"/>
    </w:pPr>
    <w:rPr>
      <w:rFonts w:eastAsiaTheme="majorEastAsia" w:cstheme="majorBidi"/>
      <w:b/>
      <w:bCs/>
      <w:i/>
      <w:sz w:val="28"/>
    </w:rPr>
  </w:style>
  <w:style w:type="paragraph" w:styleId="Heading4">
    <w:name w:val="heading 4"/>
    <w:aliases w:val="Heading 1 - Body"/>
    <w:basedOn w:val="Normal"/>
    <w:next w:val="Normal"/>
    <w:link w:val="Heading4Char"/>
    <w:uiPriority w:val="9"/>
    <w:unhideWhenUsed/>
    <w:qFormat/>
    <w:rsid w:val="004C215E"/>
    <w:pPr>
      <w:keepNext/>
      <w:keepLines/>
      <w:numPr>
        <w:ilvl w:val="3"/>
        <w:numId w:val="191"/>
      </w:numPr>
      <w:spacing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Heading4"/>
    <w:next w:val="Normal"/>
    <w:link w:val="Heading5Char"/>
    <w:uiPriority w:val="9"/>
    <w:unhideWhenUsed/>
    <w:qFormat/>
    <w:rsid w:val="00470EC3"/>
    <w:pPr>
      <w:numPr>
        <w:ilvl w:val="4"/>
      </w:numPr>
      <w:outlineLvl w:val="4"/>
    </w:pPr>
  </w:style>
  <w:style w:type="paragraph" w:styleId="Heading6">
    <w:name w:val="heading 6"/>
    <w:aliases w:val="Heading 3 - Body"/>
    <w:basedOn w:val="Normal"/>
    <w:next w:val="Normal"/>
    <w:link w:val="Heading6Char"/>
    <w:uiPriority w:val="9"/>
    <w:unhideWhenUsed/>
    <w:qFormat/>
    <w:rsid w:val="004C215E"/>
    <w:pPr>
      <w:keepNext/>
      <w:keepLines/>
      <w:numPr>
        <w:ilvl w:val="5"/>
        <w:numId w:val="191"/>
      </w:numPr>
      <w:spacing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qFormat/>
    <w:rsid w:val="004C215E"/>
    <w:pPr>
      <w:keepNext/>
      <w:keepLines/>
      <w:numPr>
        <w:ilvl w:val="6"/>
        <w:numId w:val="19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qFormat/>
    <w:rsid w:val="004C215E"/>
    <w:pPr>
      <w:keepNext/>
      <w:keepLines/>
      <w:numPr>
        <w:ilvl w:val="7"/>
        <w:numId w:val="19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qFormat/>
    <w:rsid w:val="004C215E"/>
    <w:pPr>
      <w:keepNext/>
      <w:keepLines/>
      <w:numPr>
        <w:ilvl w:val="8"/>
        <w:numId w:val="19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4C215E"/>
    <w:rPr>
      <w:rFonts w:ascii="Calibri" w:eastAsiaTheme="majorEastAsia" w:hAnsi="Calibri" w:cstheme="majorBidi"/>
      <w:b/>
      <w:bCs/>
      <w:color w:val="4F81BD" w:themeColor="accent1"/>
      <w:sz w:val="40"/>
      <w:szCs w:val="26"/>
    </w:rPr>
  </w:style>
  <w:style w:type="character" w:customStyle="1" w:styleId="Heading2Char">
    <w:name w:val="Heading 2 Char"/>
    <w:basedOn w:val="DefaultParagraphFont"/>
    <w:link w:val="Heading2"/>
    <w:uiPriority w:val="9"/>
    <w:rsid w:val="004C215E"/>
    <w:rPr>
      <w:rFonts w:ascii="Calibri" w:eastAsiaTheme="majorEastAsia" w:hAnsi="Calibri" w:cstheme="majorBidi"/>
      <w:b/>
      <w:bCs/>
      <w:color w:val="4F81BD" w:themeColor="accent1"/>
      <w:sz w:val="32"/>
      <w:szCs w:val="26"/>
    </w:rPr>
  </w:style>
  <w:style w:type="character" w:customStyle="1" w:styleId="Heading3Char">
    <w:name w:val="Heading 3 Char"/>
    <w:basedOn w:val="DefaultParagraphFont"/>
    <w:link w:val="Heading3"/>
    <w:uiPriority w:val="9"/>
    <w:rsid w:val="004C215E"/>
    <w:rPr>
      <w:rFonts w:ascii="Calibri" w:eastAsiaTheme="majorEastAsia" w:hAnsi="Calibri" w:cstheme="majorBidi"/>
      <w:b/>
      <w:bCs/>
      <w:i/>
      <w:sz w:val="28"/>
    </w:rPr>
  </w:style>
  <w:style w:type="paragraph" w:styleId="ListParagraph">
    <w:name w:val="List Paragraph"/>
    <w:aliases w:val="BulletPoints,Footnote,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rFonts w:ascii="Calibri" w:hAnsi="Calibri"/>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ascii="Calibri" w:eastAsia="Times New Roman" w:hAnsi="Calibri"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70EC3"/>
    <w:rPr>
      <w:rFonts w:asciiTheme="majorHAnsi" w:eastAsiaTheme="majorEastAsia" w:hAnsiTheme="majorHAnsi" w:cstheme="majorBidi"/>
      <w:b/>
      <w:bCs/>
      <w:i/>
      <w:iCs/>
      <w:color w:val="4F81BD" w:themeColor="accent1"/>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rPr>
      <w:rFonts w:ascii="Calibri" w:hAnsi="Calibri"/>
    </w:rPr>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rPr>
      <w:rFonts w:ascii="Calibri" w:hAnsi="Calibri"/>
    </w:rPr>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ascii="Calibri" w:eastAsia="Times New Roman" w:hAnsi="Calibri" w:cs="Times New Roman"/>
      <w:szCs w:val="24"/>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867038"/>
    <w:pPr>
      <w:spacing w:line="240" w:lineRule="auto"/>
    </w:pPr>
    <w:rPr>
      <w:rFonts w:ascii="Calibri" w:hAnsi="Calibri"/>
      <w:i w:val="0"/>
      <w:sz w:val="28"/>
      <w:u w:val="none"/>
    </w:rPr>
  </w:style>
  <w:style w:type="character" w:customStyle="1" w:styleId="Heading4newChar">
    <w:name w:val="Heading 4 new Char"/>
    <w:link w:val="Heading4new"/>
    <w:rsid w:val="004C215E"/>
    <w:rPr>
      <w:rFonts w:ascii="Calibri" w:eastAsia="Times New Roman" w:hAnsi="Calibri" w:cs="Times New Roman"/>
      <w:b/>
      <w:color w:val="000000"/>
      <w:sz w:val="28"/>
      <w:szCs w:val="24"/>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eastAsia="Times New Roman"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eastAsia="Times New Roman"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3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eastAsia="Times New Roman"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aliases w:val="Table Caption"/>
    <w:basedOn w:val="Normal"/>
    <w:next w:val="Normal"/>
    <w:link w:val="CaptionChar"/>
    <w:uiPriority w:val="35"/>
    <w:unhideWhenUsed/>
    <w:qFormat/>
    <w:rsid w:val="003B230D"/>
    <w:pPr>
      <w:spacing w:before="200" w:after="20"/>
    </w:pPr>
    <w:rPr>
      <w:rFonts w:asciiTheme="minorHAnsi" w:eastAsia="Times New Roman" w:hAnsiTheme="minorHAnsi" w:cs="Times New Roman"/>
      <w:b/>
      <w:bCs/>
      <w:szCs w:val="18"/>
    </w:rPr>
  </w:style>
  <w:style w:type="paragraph" w:customStyle="1" w:styleId="ListBullet1">
    <w:name w:val="List Bullet1"/>
    <w:basedOn w:val="Normal"/>
    <w:uiPriority w:val="5"/>
    <w:qFormat/>
    <w:rsid w:val="004C215E"/>
    <w:pPr>
      <w:numPr>
        <w:numId w:val="3"/>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1"/>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2"/>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ulletPoints Char,Footnote Char,List Paragraph1 Char,Recommendation Char,A List Paragraph Char"/>
    <w:basedOn w:val="DefaultParagraphFont"/>
    <w:link w:val="ListParagraph"/>
    <w:uiPriority w:val="34"/>
    <w:locked/>
    <w:rsid w:val="004C215E"/>
    <w:rPr>
      <w:rFonts w:ascii="Cambria" w:hAnsi="Cambria"/>
    </w:rPr>
  </w:style>
  <w:style w:type="table" w:styleId="TableGridLight">
    <w:name w:val="Grid Table Light"/>
    <w:basedOn w:val="TableNormal"/>
    <w:uiPriority w:val="40"/>
    <w:rsid w:val="00E143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6D7C6D"/>
    <w:pPr>
      <w:overflowPunct w:val="0"/>
      <w:autoSpaceDE w:val="0"/>
      <w:autoSpaceDN w:val="0"/>
      <w:adjustRightInd w:val="0"/>
      <w:spacing w:before="60" w:after="60"/>
      <w:contextualSpacing/>
      <w:textAlignment w:val="baseline"/>
    </w:pPr>
    <w:rPr>
      <w:rFonts w:asciiTheme="minorHAnsi" w:eastAsia="Times New Roman" w:hAnsiTheme="minorHAnsi" w:cs="Times New Roman"/>
      <w:sz w:val="20"/>
      <w:lang w:eastAsia="en-US"/>
    </w:rPr>
  </w:style>
  <w:style w:type="character" w:customStyle="1" w:styleId="TablewritingChar">
    <w:name w:val="Table writing Char"/>
    <w:link w:val="Tablewriting"/>
    <w:rsid w:val="006D7C6D"/>
    <w:rPr>
      <w:rFonts w:asciiTheme="minorHAnsi" w:eastAsia="Times New Roman" w:hAnsiTheme="minorHAnsi" w:cs="Times New Roman"/>
      <w:sz w:val="20"/>
      <w:lang w:eastAsia="en-US"/>
    </w:rPr>
  </w:style>
  <w:style w:type="character" w:customStyle="1" w:styleId="UnresolvedMention1">
    <w:name w:val="Unresolved Mention1"/>
    <w:basedOn w:val="DefaultParagraphFont"/>
    <w:uiPriority w:val="99"/>
    <w:unhideWhenUsed/>
    <w:rsid w:val="00FB0F16"/>
    <w:rPr>
      <w:color w:val="605E5C"/>
      <w:shd w:val="clear" w:color="auto" w:fill="E1DFDD"/>
    </w:rPr>
  </w:style>
  <w:style w:type="paragraph" w:customStyle="1" w:styleId="Tableheading">
    <w:name w:val="Table heading"/>
    <w:basedOn w:val="Normal"/>
    <w:link w:val="TableheadingChar"/>
    <w:qFormat/>
    <w:rsid w:val="00CF4ECB"/>
    <w:pPr>
      <w:spacing w:before="60" w:after="60"/>
    </w:pPr>
    <w:rPr>
      <w:rFonts w:asciiTheme="minorHAnsi" w:hAnsiTheme="minorHAnsi" w:cstheme="minorHAnsi"/>
      <w:b/>
      <w:bCs/>
      <w:sz w:val="20"/>
    </w:rPr>
  </w:style>
  <w:style w:type="character" w:customStyle="1" w:styleId="TableheadingChar">
    <w:name w:val="Table heading Char"/>
    <w:basedOn w:val="DefaultParagraphFont"/>
    <w:link w:val="Tableheading"/>
    <w:rsid w:val="00CF4ECB"/>
    <w:rPr>
      <w:rFonts w:asciiTheme="minorHAnsi" w:hAnsiTheme="minorHAnsi" w:cstheme="minorHAnsi"/>
      <w:b/>
      <w:bCs/>
      <w:sz w:val="20"/>
    </w:rPr>
  </w:style>
  <w:style w:type="paragraph" w:customStyle="1" w:styleId="FigureCaption">
    <w:name w:val="Figure Caption"/>
    <w:basedOn w:val="Normal"/>
    <w:link w:val="FigureCaptionChar"/>
    <w:qFormat/>
    <w:rsid w:val="00AD409C"/>
    <w:pPr>
      <w:spacing w:before="60" w:after="60"/>
    </w:pPr>
    <w:rPr>
      <w:b/>
      <w:bCs/>
      <w:noProof/>
    </w:rPr>
  </w:style>
  <w:style w:type="character" w:customStyle="1" w:styleId="FigureCaptionChar">
    <w:name w:val="Figure Caption Char"/>
    <w:basedOn w:val="DefaultParagraphFont"/>
    <w:link w:val="FigureCaption"/>
    <w:rsid w:val="00AD409C"/>
    <w:rPr>
      <w:rFonts w:ascii="Calibri" w:hAnsi="Calibri"/>
      <w:b/>
      <w:bCs/>
      <w:noProof/>
    </w:rPr>
  </w:style>
  <w:style w:type="character" w:customStyle="1" w:styleId="Mention1">
    <w:name w:val="Mention1"/>
    <w:basedOn w:val="DefaultParagraphFont"/>
    <w:uiPriority w:val="99"/>
    <w:unhideWhenUsed/>
    <w:rsid w:val="00AD409C"/>
    <w:rPr>
      <w:color w:val="2B579A"/>
      <w:shd w:val="clear" w:color="auto" w:fill="E1DFDD"/>
    </w:rPr>
  </w:style>
  <w:style w:type="character" w:customStyle="1" w:styleId="normaltextrun">
    <w:name w:val="normaltextrun"/>
    <w:basedOn w:val="DefaultParagraphFont"/>
    <w:rsid w:val="00896345"/>
  </w:style>
  <w:style w:type="character" w:customStyle="1" w:styleId="eop">
    <w:name w:val="eop"/>
    <w:basedOn w:val="DefaultParagraphFont"/>
    <w:rsid w:val="00896345"/>
  </w:style>
  <w:style w:type="paragraph" w:customStyle="1" w:styleId="EndNoteBibliographyTitle">
    <w:name w:val="EndNote Bibliography Title"/>
    <w:basedOn w:val="Normal"/>
    <w:link w:val="EndNoteBibliographyTitleChar"/>
    <w:rsid w:val="00CB6103"/>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CB6103"/>
    <w:rPr>
      <w:rFonts w:ascii="Cambria" w:hAnsi="Cambria"/>
      <w:noProof/>
    </w:rPr>
  </w:style>
  <w:style w:type="paragraph" w:customStyle="1" w:styleId="EndNoteBibliography">
    <w:name w:val="EndNote Bibliography"/>
    <w:basedOn w:val="Normal"/>
    <w:link w:val="EndNoteBibliographyChar"/>
    <w:rsid w:val="00CB6103"/>
    <w:rPr>
      <w:rFonts w:ascii="Cambria" w:hAnsi="Cambria"/>
      <w:noProof/>
    </w:rPr>
  </w:style>
  <w:style w:type="character" w:customStyle="1" w:styleId="EndNoteBibliographyChar">
    <w:name w:val="EndNote Bibliography Char"/>
    <w:basedOn w:val="DefaultParagraphFont"/>
    <w:link w:val="EndNoteBibliography"/>
    <w:rsid w:val="00CB6103"/>
    <w:rPr>
      <w:rFonts w:ascii="Cambria" w:hAnsi="Cambria"/>
      <w:noProof/>
    </w:rPr>
  </w:style>
  <w:style w:type="paragraph" w:customStyle="1" w:styleId="TableFooter">
    <w:name w:val="Table Footer"/>
    <w:basedOn w:val="Normal"/>
    <w:link w:val="TableFooterChar"/>
    <w:qFormat/>
    <w:rsid w:val="00504E47"/>
    <w:pPr>
      <w:contextualSpacing/>
    </w:pPr>
    <w:rPr>
      <w:sz w:val="20"/>
    </w:rPr>
  </w:style>
  <w:style w:type="character" w:customStyle="1" w:styleId="TableFooterChar">
    <w:name w:val="Table Footer Char"/>
    <w:basedOn w:val="DefaultParagraphFont"/>
    <w:link w:val="TableFooter"/>
    <w:rsid w:val="00504E47"/>
    <w:rPr>
      <w:rFonts w:ascii="Calibri" w:hAnsi="Calibri"/>
      <w:sz w:val="20"/>
    </w:rPr>
  </w:style>
  <w:style w:type="paragraph" w:customStyle="1" w:styleId="FigureFooter">
    <w:name w:val="Figure Footer"/>
    <w:basedOn w:val="TableFooter"/>
    <w:qFormat/>
    <w:rsid w:val="00001C70"/>
    <w:pPr>
      <w:spacing w:before="60" w:after="60"/>
    </w:pPr>
  </w:style>
  <w:style w:type="paragraph" w:styleId="BodyText">
    <w:name w:val="Body Text"/>
    <w:basedOn w:val="Normal"/>
    <w:link w:val="BodyTextChar0"/>
    <w:uiPriority w:val="99"/>
    <w:unhideWhenUsed/>
    <w:rsid w:val="00050CCE"/>
    <w:pPr>
      <w:spacing w:after="120"/>
    </w:pPr>
  </w:style>
  <w:style w:type="character" w:customStyle="1" w:styleId="BodyTextChar0">
    <w:name w:val="Body Text Char"/>
    <w:basedOn w:val="DefaultParagraphFont"/>
    <w:link w:val="BodyText"/>
    <w:uiPriority w:val="99"/>
    <w:rsid w:val="00050CCE"/>
    <w:rPr>
      <w:rFonts w:ascii="Calibri" w:hAnsi="Calibri"/>
    </w:rPr>
  </w:style>
  <w:style w:type="character" w:customStyle="1" w:styleId="UnresolvedMention2">
    <w:name w:val="Unresolved Mention2"/>
    <w:basedOn w:val="DefaultParagraphFont"/>
    <w:uiPriority w:val="99"/>
    <w:unhideWhenUsed/>
    <w:rsid w:val="00D35F10"/>
    <w:rPr>
      <w:color w:val="605E5C"/>
      <w:shd w:val="clear" w:color="auto" w:fill="E1DFDD"/>
    </w:rPr>
  </w:style>
  <w:style w:type="character" w:customStyle="1" w:styleId="Mention2">
    <w:name w:val="Mention2"/>
    <w:basedOn w:val="DefaultParagraphFont"/>
    <w:uiPriority w:val="99"/>
    <w:unhideWhenUsed/>
    <w:rsid w:val="00D35F10"/>
    <w:rPr>
      <w:color w:val="2B579A"/>
      <w:shd w:val="clear" w:color="auto" w:fill="E1DFDD"/>
    </w:rPr>
  </w:style>
  <w:style w:type="paragraph" w:customStyle="1" w:styleId="TableText">
    <w:name w:val="Table Text"/>
    <w:basedOn w:val="Normal"/>
    <w:link w:val="TableTextChar"/>
    <w:uiPriority w:val="1"/>
    <w:rsid w:val="00C324F3"/>
    <w:pPr>
      <w:shd w:val="clear" w:color="auto" w:fill="FFFFFF" w:themeFill="background1"/>
      <w:spacing w:before="60" w:after="60"/>
    </w:pPr>
    <w:rPr>
      <w:rFonts w:asciiTheme="minorHAnsi" w:eastAsia="Times New Roman" w:hAnsiTheme="minorHAnsi" w:cs="Arial"/>
      <w:sz w:val="20"/>
      <w:szCs w:val="20"/>
    </w:rPr>
  </w:style>
  <w:style w:type="character" w:customStyle="1" w:styleId="TableTextChar">
    <w:name w:val="Table Text Char"/>
    <w:basedOn w:val="DefaultParagraphFont"/>
    <w:link w:val="TableText"/>
    <w:uiPriority w:val="1"/>
    <w:rsid w:val="00C324F3"/>
    <w:rPr>
      <w:rFonts w:asciiTheme="minorHAnsi" w:eastAsia="Times New Roman" w:hAnsiTheme="minorHAnsi" w:cs="Arial"/>
      <w:sz w:val="20"/>
      <w:szCs w:val="20"/>
      <w:shd w:val="clear" w:color="auto" w:fill="FFFFFF" w:themeFill="background1"/>
    </w:rPr>
  </w:style>
  <w:style w:type="table" w:customStyle="1" w:styleId="GridTable1Light1">
    <w:name w:val="Grid Table 1 Light1"/>
    <w:basedOn w:val="TableNormal"/>
    <w:uiPriority w:val="46"/>
    <w:rsid w:val="00C324F3"/>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Last">
    <w:name w:val="Bullet Last"/>
    <w:basedOn w:val="BodyText"/>
    <w:link w:val="BulletLastChar"/>
    <w:rsid w:val="00C324F3"/>
    <w:pPr>
      <w:numPr>
        <w:numId w:val="327"/>
      </w:numPr>
      <w:spacing w:after="200"/>
      <w:ind w:right="57"/>
    </w:pPr>
    <w:rPr>
      <w:rFonts w:asciiTheme="minorHAnsi" w:eastAsiaTheme="minorEastAsia" w:hAnsiTheme="minorHAnsi" w:cs="Calibri"/>
      <w:iCs/>
      <w:szCs w:val="24"/>
      <w:lang w:val="en-US"/>
    </w:rPr>
  </w:style>
  <w:style w:type="paragraph" w:customStyle="1" w:styleId="oldTablefooter">
    <w:name w:val="old Table footer"/>
    <w:basedOn w:val="Normal"/>
    <w:link w:val="oldTablefooterChar"/>
    <w:rsid w:val="00C324F3"/>
    <w:pPr>
      <w:spacing w:after="0"/>
      <w:ind w:right="57"/>
      <w:contextualSpacing/>
    </w:pPr>
    <w:rPr>
      <w:rFonts w:asciiTheme="minorHAnsi" w:eastAsiaTheme="minorEastAsia" w:hAnsiTheme="minorHAnsi" w:cs="Arial"/>
      <w:sz w:val="18"/>
      <w:szCs w:val="18"/>
      <w:lang w:val="en-US"/>
    </w:rPr>
  </w:style>
  <w:style w:type="character" w:customStyle="1" w:styleId="oldTablefooterChar">
    <w:name w:val="old Table footer Char"/>
    <w:basedOn w:val="DefaultParagraphFont"/>
    <w:link w:val="oldTablefooter"/>
    <w:rsid w:val="00C324F3"/>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C324F3"/>
    <w:pPr>
      <w:numPr>
        <w:ilvl w:val="0"/>
        <w:numId w:val="0"/>
      </w:numPr>
      <w:spacing w:before="0"/>
    </w:pPr>
    <w:rPr>
      <w:rFonts w:asciiTheme="minorHAnsi" w:hAnsiTheme="minorHAnsi"/>
      <w:szCs w:val="28"/>
    </w:rPr>
  </w:style>
  <w:style w:type="paragraph" w:customStyle="1" w:styleId="TableHeader">
    <w:name w:val="Table Header"/>
    <w:basedOn w:val="Normal"/>
    <w:next w:val="Normal"/>
    <w:uiPriority w:val="3"/>
    <w:rsid w:val="00C324F3"/>
    <w:pPr>
      <w:widowControl w:val="0"/>
      <w:spacing w:before="60" w:after="60"/>
      <w:contextualSpacing/>
    </w:pPr>
    <w:rPr>
      <w:rFonts w:asciiTheme="minorHAnsi" w:eastAsia="Times New Roman" w:hAnsiTheme="minorHAnsi" w:cstheme="minorHAnsi"/>
      <w:b/>
      <w:snapToGrid w:val="0"/>
      <w:sz w:val="20"/>
      <w:szCs w:val="20"/>
    </w:rPr>
  </w:style>
  <w:style w:type="paragraph" w:customStyle="1" w:styleId="TableFigNote">
    <w:name w:val="TableFigNote"/>
    <w:basedOn w:val="Normal"/>
    <w:rsid w:val="00C324F3"/>
    <w:pPr>
      <w:spacing w:after="0"/>
      <w:ind w:right="57"/>
      <w:contextualSpacing/>
    </w:pPr>
    <w:rPr>
      <w:rFonts w:asciiTheme="minorHAnsi" w:eastAsiaTheme="minorEastAsia" w:hAnsiTheme="minorHAnsi" w:cs="Calibri"/>
      <w:sz w:val="18"/>
      <w:szCs w:val="20"/>
    </w:rPr>
  </w:style>
  <w:style w:type="paragraph" w:customStyle="1" w:styleId="TableFigNoteLast">
    <w:name w:val="TableFigNote Last"/>
    <w:basedOn w:val="Normal"/>
    <w:rsid w:val="00C324F3"/>
    <w:pPr>
      <w:spacing w:after="360"/>
      <w:ind w:right="57"/>
      <w:contextualSpacing/>
    </w:pPr>
    <w:rPr>
      <w:rFonts w:asciiTheme="minorHAnsi" w:eastAsiaTheme="minorEastAsia" w:hAnsiTheme="minorHAnsi" w:cs="Calibri"/>
      <w:sz w:val="18"/>
      <w:szCs w:val="20"/>
    </w:rPr>
  </w:style>
  <w:style w:type="paragraph" w:customStyle="1" w:styleId="TableHeading0">
    <w:name w:val="TableHeading"/>
    <w:basedOn w:val="MDFiguretitle"/>
    <w:qFormat/>
    <w:rsid w:val="00C324F3"/>
    <w:rPr>
      <w:sz w:val="20"/>
    </w:rPr>
  </w:style>
  <w:style w:type="paragraph" w:customStyle="1" w:styleId="TableName">
    <w:name w:val="TableName"/>
    <w:basedOn w:val="Normal"/>
    <w:qFormat/>
    <w:rsid w:val="00C324F3"/>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C324F3"/>
    <w:pPr>
      <w:spacing w:after="0"/>
    </w:pPr>
    <w:rPr>
      <w:rFonts w:asciiTheme="minorHAnsi" w:eastAsia="Calibri" w:hAnsiTheme="minorHAnsi" w:cstheme="minorHAnsi"/>
      <w:szCs w:val="20"/>
    </w:rPr>
  </w:style>
  <w:style w:type="paragraph" w:customStyle="1" w:styleId="V50Heading1nonumbers">
    <w:name w:val="V5.0 Heading 1 no numbers"/>
    <w:basedOn w:val="Heading1"/>
    <w:rsid w:val="00C324F3"/>
    <w:pPr>
      <w:spacing w:before="400"/>
      <w:ind w:right="57"/>
      <w:contextualSpacing/>
      <w:jc w:val="left"/>
    </w:pPr>
    <w:rPr>
      <w:rFonts w:asciiTheme="minorHAnsi" w:hAnsiTheme="minorHAnsi"/>
      <w:bCs w:val="0"/>
      <w:color w:val="auto"/>
      <w:szCs w:val="28"/>
    </w:rPr>
  </w:style>
  <w:style w:type="paragraph" w:customStyle="1" w:styleId="V50Heading2nonumbers">
    <w:name w:val="V5.0 Heading 2 no numbers"/>
    <w:basedOn w:val="Normal"/>
    <w:rsid w:val="00C324F3"/>
    <w:pPr>
      <w:pageBreakBefore/>
      <w:spacing w:before="480" w:after="240"/>
      <w:ind w:right="57"/>
      <w:contextualSpacing/>
      <w:jc w:val="center"/>
      <w:outlineLvl w:val="0"/>
    </w:pPr>
    <w:rPr>
      <w:rFonts w:asciiTheme="minorHAnsi" w:eastAsiaTheme="minorEastAsia" w:hAnsiTheme="minorHAnsi" w:cs="Calibri"/>
      <w:b/>
      <w:color w:val="548DD4" w:themeColor="text2" w:themeTint="99"/>
      <w:sz w:val="40"/>
      <w:szCs w:val="40"/>
    </w:rPr>
  </w:style>
  <w:style w:type="paragraph" w:customStyle="1" w:styleId="MDSubheading">
    <w:name w:val="MD_Subheading"/>
    <w:basedOn w:val="Heading2"/>
    <w:next w:val="Normal"/>
    <w:link w:val="MDSubheadingChar"/>
    <w:qFormat/>
    <w:rsid w:val="00C324F3"/>
    <w:rPr>
      <w:iCs/>
      <w:color w:val="548DD4" w:themeColor="text2" w:themeTint="99"/>
      <w:szCs w:val="32"/>
    </w:rPr>
  </w:style>
  <w:style w:type="character" w:customStyle="1" w:styleId="MDSubheadingChar">
    <w:name w:val="MD_Subheading Char"/>
    <w:basedOn w:val="DefaultParagraphFont"/>
    <w:link w:val="MDSubheading"/>
    <w:rsid w:val="00C324F3"/>
    <w:rPr>
      <w:rFonts w:ascii="Calibri" w:eastAsiaTheme="majorEastAsia" w:hAnsi="Calibri" w:cstheme="majorBidi"/>
      <w:b/>
      <w:bCs/>
      <w:iCs/>
      <w:color w:val="548DD4" w:themeColor="text2" w:themeTint="99"/>
      <w:sz w:val="32"/>
      <w:szCs w:val="32"/>
    </w:rPr>
  </w:style>
  <w:style w:type="paragraph" w:customStyle="1" w:styleId="V50InstructionsBullets">
    <w:name w:val="V5.0 Instructions Bullets"/>
    <w:basedOn w:val="MDSubheading"/>
    <w:rsid w:val="00C324F3"/>
    <w:pPr>
      <w:numPr>
        <w:numId w:val="325"/>
      </w:numPr>
      <w:spacing w:before="0" w:after="0"/>
      <w:ind w:left="360"/>
    </w:pPr>
  </w:style>
  <w:style w:type="paragraph" w:customStyle="1" w:styleId="MDTabCaption">
    <w:name w:val="MD_TabCaption"/>
    <w:basedOn w:val="TableName"/>
    <w:next w:val="Normal"/>
    <w:link w:val="MDTabCaptionChar"/>
    <w:qFormat/>
    <w:rsid w:val="00C324F3"/>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C324F3"/>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C324F3"/>
    <w:rPr>
      <w:b w:val="0"/>
    </w:rPr>
  </w:style>
  <w:style w:type="character" w:customStyle="1" w:styleId="V50TablenameChar">
    <w:name w:val="V5.0 Table name Char"/>
    <w:basedOn w:val="DefaultParagraphFont"/>
    <w:link w:val="V50Tablename"/>
    <w:rsid w:val="00C324F3"/>
    <w:rPr>
      <w:rFonts w:asciiTheme="minorHAnsi" w:eastAsiaTheme="minorEastAsia" w:hAnsiTheme="minorHAnsi" w:cs="Calibri"/>
      <w:szCs w:val="24"/>
      <w:lang w:val="en-US" w:eastAsia="en-US"/>
    </w:rPr>
  </w:style>
  <w:style w:type="paragraph" w:customStyle="1" w:styleId="V50Tablenote">
    <w:name w:val="V5.0 Tablenote"/>
    <w:basedOn w:val="MDTabCaption"/>
    <w:link w:val="V50TablenoteChar"/>
    <w:rsid w:val="00C324F3"/>
    <w:pPr>
      <w:spacing w:after="120"/>
      <w:jc w:val="both"/>
    </w:pPr>
    <w:rPr>
      <w:sz w:val="18"/>
      <w:szCs w:val="18"/>
    </w:rPr>
  </w:style>
  <w:style w:type="character" w:customStyle="1" w:styleId="V50TablenoteChar">
    <w:name w:val="V5.0 Tablenote Char"/>
    <w:basedOn w:val="DefaultParagraphFont"/>
    <w:link w:val="V50Tablenote"/>
    <w:rsid w:val="00C324F3"/>
    <w:rPr>
      <w:rFonts w:asciiTheme="minorHAnsi" w:eastAsiaTheme="minorEastAsia" w:hAnsiTheme="minorHAnsi" w:cs="Calibri"/>
      <w:b/>
      <w:sz w:val="18"/>
      <w:szCs w:val="18"/>
      <w:lang w:val="en-US" w:eastAsia="en-US"/>
    </w:rPr>
  </w:style>
  <w:style w:type="paragraph" w:customStyle="1" w:styleId="V50TableTextInstruction">
    <w:name w:val="V5.0 TableText Instruction"/>
    <w:basedOn w:val="MDTabCaption"/>
    <w:rsid w:val="00C324F3"/>
    <w:rPr>
      <w:b w:val="0"/>
      <w:color w:val="4BACC6" w:themeColor="accent5"/>
    </w:rPr>
  </w:style>
  <w:style w:type="paragraph" w:customStyle="1" w:styleId="Bullettext">
    <w:name w:val="Bullet text"/>
    <w:link w:val="BullettextChar"/>
    <w:rsid w:val="00C324F3"/>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C324F3"/>
    <w:rPr>
      <w:rFonts w:ascii="Cambria" w:eastAsia="Calibri" w:hAnsi="Cambria" w:cs="Times New Roman"/>
      <w:szCs w:val="24"/>
      <w:lang w:eastAsia="en-US"/>
    </w:rPr>
  </w:style>
  <w:style w:type="character" w:customStyle="1" w:styleId="searchhistory-search-term">
    <w:name w:val="searchhistory-search-term"/>
    <w:basedOn w:val="DefaultParagraphFont"/>
    <w:rsid w:val="00C324F3"/>
  </w:style>
  <w:style w:type="numbering" w:customStyle="1" w:styleId="Headings">
    <w:name w:val="Headings"/>
    <w:uiPriority w:val="99"/>
    <w:rsid w:val="00C324F3"/>
    <w:pPr>
      <w:numPr>
        <w:numId w:val="326"/>
      </w:numPr>
    </w:pPr>
  </w:style>
  <w:style w:type="paragraph" w:customStyle="1" w:styleId="MDFiguretitle">
    <w:name w:val="MD_Figure title"/>
    <w:basedOn w:val="Normal"/>
    <w:next w:val="Normal"/>
    <w:link w:val="MDFiguretitleChar"/>
    <w:qFormat/>
    <w:rsid w:val="00C324F3"/>
    <w:pPr>
      <w:spacing w:before="60" w:after="60"/>
      <w:contextualSpacing/>
    </w:pPr>
    <w:rPr>
      <w:rFonts w:asciiTheme="minorHAnsi" w:eastAsiaTheme="minorEastAsia" w:hAnsiTheme="minorHAnsi" w:cs="Calibri"/>
      <w:b/>
      <w:szCs w:val="24"/>
      <w:lang w:val="en-US"/>
    </w:rPr>
  </w:style>
  <w:style w:type="character" w:customStyle="1" w:styleId="MDFiguretitleChar">
    <w:name w:val="MD_Figure title Char"/>
    <w:basedOn w:val="DefaultParagraphFont"/>
    <w:link w:val="MDFiguretitle"/>
    <w:rsid w:val="00C324F3"/>
    <w:rPr>
      <w:rFonts w:asciiTheme="minorHAnsi" w:eastAsiaTheme="minorEastAsia" w:hAnsiTheme="minorHAnsi" w:cs="Calibri"/>
      <w:b/>
      <w:szCs w:val="24"/>
      <w:lang w:val="en-US"/>
    </w:rPr>
  </w:style>
  <w:style w:type="paragraph" w:customStyle="1" w:styleId="Footnotes">
    <w:name w:val="Footnotes"/>
    <w:basedOn w:val="Normal"/>
    <w:link w:val="FootnotesChar"/>
    <w:qFormat/>
    <w:rsid w:val="00C324F3"/>
    <w:pPr>
      <w:ind w:right="57"/>
      <w:contextualSpacing/>
    </w:pPr>
    <w:rPr>
      <w:rFonts w:asciiTheme="minorHAnsi" w:eastAsiaTheme="minorEastAsia" w:hAnsiTheme="minorHAnsi" w:cs="Calibri"/>
      <w:sz w:val="20"/>
      <w:szCs w:val="20"/>
    </w:rPr>
  </w:style>
  <w:style w:type="character" w:customStyle="1" w:styleId="FootnotesChar">
    <w:name w:val="Footnotes Char"/>
    <w:basedOn w:val="DefaultParagraphFont"/>
    <w:link w:val="Footnotes"/>
    <w:rsid w:val="00C324F3"/>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C324F3"/>
    <w:pPr>
      <w:pBdr>
        <w:top w:val="single" w:sz="4" w:space="1" w:color="auto"/>
        <w:left w:val="single" w:sz="4" w:space="4" w:color="auto"/>
        <w:bottom w:val="single" w:sz="4" w:space="1" w:color="auto"/>
        <w:right w:val="single" w:sz="4" w:space="4" w:color="auto"/>
      </w:pBdr>
      <w:ind w:right="57"/>
      <w:contextualSpacing/>
    </w:pPr>
    <w:rPr>
      <w:rFonts w:asciiTheme="minorHAnsi" w:eastAsiaTheme="minorEastAsia" w:hAnsiTheme="minorHAnsi" w:cs="Calibri"/>
      <w:b/>
      <w:color w:val="365F91" w:themeColor="accent1" w:themeShade="BF"/>
      <w:szCs w:val="20"/>
    </w:rPr>
  </w:style>
  <w:style w:type="character" w:customStyle="1" w:styleId="TitleChar">
    <w:name w:val="Title Char"/>
    <w:aliases w:val="ToR box Char"/>
    <w:basedOn w:val="DefaultParagraphFont"/>
    <w:link w:val="Title"/>
    <w:uiPriority w:val="7"/>
    <w:rsid w:val="00C324F3"/>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C324F3"/>
    <w:pPr>
      <w:numPr>
        <w:ilvl w:val="1"/>
      </w:numPr>
      <w:ind w:left="1134" w:hanging="283"/>
    </w:pPr>
    <w:rPr>
      <w:rFonts w:eastAsia="Calibri"/>
    </w:rPr>
  </w:style>
  <w:style w:type="character" w:customStyle="1" w:styleId="BulletLastChar">
    <w:name w:val="Bullet Last Char"/>
    <w:basedOn w:val="BodyTextChar0"/>
    <w:link w:val="BulletLast"/>
    <w:rsid w:val="00C324F3"/>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C324F3"/>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C324F3"/>
    <w:pPr>
      <w:spacing w:before="60" w:after="60"/>
      <w:ind w:right="57"/>
      <w:contextualSpacing/>
    </w:pPr>
    <w:rPr>
      <w:rFonts w:asciiTheme="minorHAnsi" w:eastAsiaTheme="minorEastAsia" w:hAnsiTheme="minorHAnsi" w:cs="Calibri"/>
      <w:b/>
      <w:sz w:val="20"/>
      <w:szCs w:val="20"/>
    </w:rPr>
  </w:style>
  <w:style w:type="character" w:customStyle="1" w:styleId="SubtitleChar">
    <w:name w:val="Subtitle Char"/>
    <w:aliases w:val="FIRST ROW TABLE Char"/>
    <w:basedOn w:val="DefaultParagraphFont"/>
    <w:link w:val="Subtitle"/>
    <w:uiPriority w:val="9"/>
    <w:rsid w:val="00C324F3"/>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C324F3"/>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324F3"/>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C324F3"/>
    <w:pPr>
      <w:spacing w:before="60" w:after="60"/>
      <w:ind w:right="57"/>
      <w:contextualSpacing/>
      <w:outlineLvl w:val="3"/>
    </w:pPr>
    <w:rPr>
      <w:rFonts w:asciiTheme="minorHAnsi" w:eastAsiaTheme="minorEastAsia" w:hAnsiTheme="minorHAnsi" w:cs="Calibri"/>
      <w:b/>
      <w:szCs w:val="24"/>
      <w:lang w:val="en-US"/>
    </w:rPr>
  </w:style>
  <w:style w:type="character" w:customStyle="1" w:styleId="FiguretitleChar">
    <w:name w:val="Figure title Char"/>
    <w:basedOn w:val="DefaultParagraphFont"/>
    <w:link w:val="Figuretitle"/>
    <w:rsid w:val="00C324F3"/>
    <w:rPr>
      <w:rFonts w:asciiTheme="minorHAnsi" w:eastAsiaTheme="minorEastAsia" w:hAnsiTheme="minorHAnsi" w:cs="Calibri"/>
      <w:b/>
      <w:szCs w:val="24"/>
      <w:lang w:val="en-US"/>
    </w:rPr>
  </w:style>
  <w:style w:type="paragraph" w:customStyle="1" w:styleId="Subsubheding">
    <w:name w:val="Sub sub heding"/>
    <w:basedOn w:val="TableHeading0"/>
    <w:rsid w:val="00C324F3"/>
    <w:pPr>
      <w:spacing w:before="200" w:after="200"/>
      <w:ind w:right="57"/>
    </w:pPr>
    <w:rPr>
      <w:i/>
      <w:sz w:val="28"/>
      <w:szCs w:val="28"/>
    </w:rPr>
  </w:style>
  <w:style w:type="paragraph" w:customStyle="1" w:styleId="Subheading">
    <w:name w:val="Subheading"/>
    <w:basedOn w:val="TableHeading0"/>
    <w:link w:val="SubheadingChar"/>
    <w:rsid w:val="00C324F3"/>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C324F3"/>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C324F3"/>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C324F3"/>
    <w:rPr>
      <w:rFonts w:asciiTheme="minorHAnsi" w:hAnsiTheme="minorHAnsi"/>
      <w:sz w:val="20"/>
      <w:szCs w:val="24"/>
      <w:lang w:val="en-US" w:eastAsia="en-US"/>
    </w:rPr>
  </w:style>
  <w:style w:type="paragraph" w:customStyle="1" w:styleId="Tablefooter0">
    <w:name w:val="Table footer"/>
    <w:basedOn w:val="ListParagraph"/>
    <w:link w:val="TablefooterChar0"/>
    <w:uiPriority w:val="5"/>
    <w:rsid w:val="00C324F3"/>
    <w:pPr>
      <w:ind w:left="0"/>
    </w:pPr>
    <w:rPr>
      <w:rFonts w:ascii="Cambria" w:hAnsi="Cambria"/>
      <w:sz w:val="20"/>
      <w:szCs w:val="24"/>
    </w:rPr>
  </w:style>
  <w:style w:type="character" w:customStyle="1" w:styleId="CaptionChar">
    <w:name w:val="Caption Char"/>
    <w:aliases w:val="Table Caption Char"/>
    <w:basedOn w:val="DefaultParagraphFont"/>
    <w:link w:val="Caption"/>
    <w:uiPriority w:val="35"/>
    <w:rsid w:val="00C324F3"/>
    <w:rPr>
      <w:rFonts w:asciiTheme="minorHAnsi" w:eastAsia="Times New Roman" w:hAnsiTheme="minorHAnsi" w:cs="Times New Roman"/>
      <w:b/>
      <w:bCs/>
      <w:szCs w:val="18"/>
    </w:rPr>
  </w:style>
  <w:style w:type="character" w:customStyle="1" w:styleId="TablefooterChar0">
    <w:name w:val="Table footer Char"/>
    <w:basedOn w:val="ListParagraphChar"/>
    <w:link w:val="Tablefooter0"/>
    <w:uiPriority w:val="5"/>
    <w:rsid w:val="00C324F3"/>
    <w:rPr>
      <w:rFonts w:ascii="Cambria" w:hAnsi="Cambria"/>
      <w:sz w:val="20"/>
      <w:szCs w:val="24"/>
    </w:rPr>
  </w:style>
  <w:style w:type="character" w:customStyle="1" w:styleId="st">
    <w:name w:val="st"/>
    <w:basedOn w:val="DefaultParagraphFont"/>
    <w:rsid w:val="00C324F3"/>
  </w:style>
  <w:style w:type="paragraph" w:customStyle="1" w:styleId="TableHeading1">
    <w:name w:val="Table Heading"/>
    <w:basedOn w:val="Normal"/>
    <w:link w:val="TableHeadingChar0"/>
    <w:rsid w:val="00C324F3"/>
    <w:pPr>
      <w:keepNext/>
      <w:spacing w:after="60"/>
    </w:pPr>
    <w:rPr>
      <w:rFonts w:ascii="Arial Narrow" w:hAnsi="Arial Narrow"/>
      <w:b/>
      <w:sz w:val="20"/>
      <w:lang w:eastAsia="en-US"/>
    </w:rPr>
  </w:style>
  <w:style w:type="paragraph" w:customStyle="1" w:styleId="Figure">
    <w:name w:val="Figure"/>
    <w:basedOn w:val="NormalWeb"/>
    <w:link w:val="FigureChar"/>
    <w:rsid w:val="00C324F3"/>
    <w:pPr>
      <w:spacing w:before="60" w:beforeAutospacing="0" w:after="60" w:afterAutospacing="0"/>
    </w:pPr>
    <w:rPr>
      <w:b/>
      <w:color w:val="000000"/>
    </w:rPr>
  </w:style>
  <w:style w:type="character" w:customStyle="1" w:styleId="FigureChar">
    <w:name w:val="Figure Char"/>
    <w:link w:val="Figure"/>
    <w:rsid w:val="00C324F3"/>
    <w:rPr>
      <w:rFonts w:ascii="Calibri" w:eastAsia="Times New Roman" w:hAnsi="Calibri" w:cs="Times New Roman"/>
      <w:b/>
      <w:color w:val="000000"/>
      <w:szCs w:val="24"/>
    </w:rPr>
  </w:style>
  <w:style w:type="character" w:customStyle="1" w:styleId="TableHeadingChar0">
    <w:name w:val="Table Heading Char"/>
    <w:link w:val="TableHeading1"/>
    <w:rsid w:val="00C324F3"/>
    <w:rPr>
      <w:rFonts w:ascii="Arial Narrow" w:hAnsi="Arial Narrow"/>
      <w:b/>
      <w:sz w:val="20"/>
      <w:lang w:eastAsia="en-US"/>
    </w:rPr>
  </w:style>
  <w:style w:type="paragraph" w:customStyle="1" w:styleId="Sub-heading">
    <w:name w:val="Sub-heading"/>
    <w:basedOn w:val="Normal"/>
    <w:link w:val="Sub-headingChar"/>
    <w:rsid w:val="00C324F3"/>
    <w:pPr>
      <w:keepNext/>
      <w:keepLines/>
      <w:spacing w:before="240"/>
    </w:pPr>
    <w:rPr>
      <w:rFonts w:asciiTheme="minorHAnsi" w:hAnsiTheme="minorHAnsi"/>
      <w:b/>
      <w:i/>
      <w:sz w:val="28"/>
      <w:szCs w:val="24"/>
    </w:rPr>
  </w:style>
  <w:style w:type="character" w:customStyle="1" w:styleId="Sub-headingChar">
    <w:name w:val="Sub-heading Char"/>
    <w:basedOn w:val="DefaultParagraphFont"/>
    <w:link w:val="Sub-heading"/>
    <w:rsid w:val="00C324F3"/>
    <w:rPr>
      <w:rFonts w:asciiTheme="minorHAnsi" w:hAnsiTheme="minorHAnsi"/>
      <w:b/>
      <w:i/>
      <w:sz w:val="28"/>
      <w:szCs w:val="24"/>
    </w:rPr>
  </w:style>
  <w:style w:type="paragraph" w:customStyle="1" w:styleId="Tabletext0">
    <w:name w:val="Table text"/>
    <w:basedOn w:val="Normal"/>
    <w:link w:val="TabletextChar0"/>
    <w:uiPriority w:val="1"/>
    <w:qFormat/>
    <w:rsid w:val="00C324F3"/>
    <w:pPr>
      <w:shd w:val="clear" w:color="auto" w:fill="FFFFFF" w:themeFill="background1"/>
      <w:spacing w:before="60" w:after="60"/>
    </w:pPr>
    <w:rPr>
      <w:rFonts w:eastAsia="Times New Roman" w:cs="Arial"/>
      <w:sz w:val="20"/>
      <w:szCs w:val="20"/>
    </w:rPr>
  </w:style>
  <w:style w:type="character" w:customStyle="1" w:styleId="TabletextChar0">
    <w:name w:val="Table text Char"/>
    <w:basedOn w:val="DefaultParagraphFont"/>
    <w:link w:val="Tabletext0"/>
    <w:uiPriority w:val="1"/>
    <w:rsid w:val="00C324F3"/>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C324F3"/>
    <w:pPr>
      <w:keepNext/>
      <w:autoSpaceDE w:val="0"/>
      <w:autoSpaceDN w:val="0"/>
      <w:adjustRightInd w:val="0"/>
    </w:pPr>
    <w:rPr>
      <w:rFonts w:asciiTheme="minorHAnsi" w:eastAsiaTheme="minorEastAsia" w:hAnsiTheme="minorHAnsi" w:cs="Calibri"/>
      <w:color w:val="000000"/>
      <w:sz w:val="20"/>
      <w:szCs w:val="20"/>
    </w:rPr>
  </w:style>
  <w:style w:type="paragraph" w:customStyle="1" w:styleId="FigureDUSC">
    <w:name w:val="Figure DUSC"/>
    <w:basedOn w:val="Normal"/>
    <w:link w:val="FigureDUSCChar"/>
    <w:rsid w:val="00C324F3"/>
    <w:pPr>
      <w:spacing w:before="60" w:after="60"/>
      <w:outlineLvl w:val="3"/>
    </w:pPr>
    <w:rPr>
      <w:rFonts w:asciiTheme="minorHAnsi" w:eastAsiaTheme="minorEastAsia" w:hAnsiTheme="minorHAnsi" w:cstheme="majorBidi"/>
      <w:b/>
      <w:szCs w:val="24"/>
      <w:lang w:val="en-US"/>
    </w:rPr>
  </w:style>
  <w:style w:type="character" w:customStyle="1" w:styleId="FigureDUSCChar">
    <w:name w:val="Figure DUSC Char"/>
    <w:basedOn w:val="DefaultParagraphFont"/>
    <w:link w:val="FigureDUSC"/>
    <w:rsid w:val="00C324F3"/>
    <w:rPr>
      <w:rFonts w:asciiTheme="minorHAnsi" w:eastAsiaTheme="minorEastAsia" w:hAnsiTheme="minorHAnsi" w:cstheme="majorBidi"/>
      <w:b/>
      <w:szCs w:val="24"/>
      <w:lang w:val="en-US"/>
    </w:rPr>
  </w:style>
  <w:style w:type="paragraph" w:customStyle="1" w:styleId="Tableheading-row">
    <w:name w:val="Table heading-row"/>
    <w:basedOn w:val="Normal"/>
    <w:qFormat/>
    <w:rsid w:val="00C324F3"/>
    <w:pPr>
      <w:autoSpaceDE w:val="0"/>
      <w:autoSpaceDN w:val="0"/>
      <w:adjustRightInd w:val="0"/>
      <w:spacing w:before="60" w:after="60"/>
    </w:pPr>
    <w:rPr>
      <w:rFonts w:asciiTheme="minorHAnsi" w:eastAsiaTheme="minorEastAsia" w:hAnsiTheme="minorHAnsi" w:cs="Calibri"/>
      <w:b/>
      <w:color w:val="000000" w:themeColor="text1"/>
      <w:sz w:val="20"/>
      <w:szCs w:val="24"/>
    </w:rPr>
  </w:style>
  <w:style w:type="paragraph" w:customStyle="1" w:styleId="TableTextDusc">
    <w:name w:val="Table Text _Dusc"/>
    <w:basedOn w:val="Normal"/>
    <w:link w:val="TableTextDuscChar"/>
    <w:qFormat/>
    <w:rsid w:val="00C324F3"/>
    <w:pPr>
      <w:autoSpaceDE w:val="0"/>
      <w:autoSpaceDN w:val="0"/>
      <w:adjustRightInd w:val="0"/>
      <w:spacing w:before="60" w:after="60"/>
    </w:pPr>
    <w:rPr>
      <w:rFonts w:asciiTheme="minorHAnsi" w:eastAsia="MS Mincho" w:hAnsiTheme="minorHAnsi" w:cs="Calibri"/>
      <w:sz w:val="20"/>
      <w:szCs w:val="20"/>
    </w:rPr>
  </w:style>
  <w:style w:type="character" w:customStyle="1" w:styleId="TableTextDuscChar">
    <w:name w:val="Table Text _Dusc Char"/>
    <w:basedOn w:val="DefaultParagraphFont"/>
    <w:link w:val="TableTextDusc"/>
    <w:rsid w:val="00C324F3"/>
    <w:rPr>
      <w:rFonts w:asciiTheme="minorHAnsi" w:eastAsia="MS Mincho" w:hAnsiTheme="minorHAnsi" w:cs="Calibri"/>
      <w:sz w:val="20"/>
      <w:szCs w:val="20"/>
    </w:rPr>
  </w:style>
  <w:style w:type="numbering" w:customStyle="1" w:styleId="NoList1">
    <w:name w:val="No List1"/>
    <w:next w:val="NoList"/>
    <w:uiPriority w:val="99"/>
    <w:semiHidden/>
    <w:unhideWhenUsed/>
    <w:rsid w:val="00C324F3"/>
  </w:style>
  <w:style w:type="table" w:customStyle="1" w:styleId="TableGrid71">
    <w:name w:val="Table Grid71"/>
    <w:basedOn w:val="TableNormal"/>
    <w:uiPriority w:val="59"/>
    <w:rsid w:val="00C324F3"/>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C324F3"/>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0">
    <w:name w:val="Figure caption"/>
    <w:basedOn w:val="Normal"/>
    <w:link w:val="FigurecaptionChar0"/>
    <w:qFormat/>
    <w:rsid w:val="00C324F3"/>
    <w:pPr>
      <w:spacing w:before="60" w:after="60"/>
    </w:pPr>
    <w:rPr>
      <w:rFonts w:asciiTheme="minorHAnsi" w:eastAsiaTheme="minorEastAsia" w:hAnsiTheme="minorHAnsi"/>
      <w:sz w:val="20"/>
      <w:szCs w:val="20"/>
      <w:lang w:eastAsia="en-US"/>
    </w:rPr>
  </w:style>
  <w:style w:type="character" w:customStyle="1" w:styleId="FigurecaptionChar0">
    <w:name w:val="Figure caption Char"/>
    <w:basedOn w:val="DefaultParagraphFont"/>
    <w:link w:val="Figurecaption0"/>
    <w:rsid w:val="00C324F3"/>
    <w:rPr>
      <w:rFonts w:asciiTheme="minorHAnsi" w:eastAsiaTheme="minorEastAsia" w:hAnsiTheme="minorHAnsi"/>
      <w:sz w:val="20"/>
      <w:szCs w:val="20"/>
      <w:lang w:eastAsia="en-US"/>
    </w:rPr>
  </w:style>
  <w:style w:type="paragraph" w:customStyle="1" w:styleId="ToRText">
    <w:name w:val="ToR Text"/>
    <w:basedOn w:val="Normal"/>
    <w:link w:val="ToRTextChar"/>
    <w:qFormat/>
    <w:rsid w:val="00C324F3"/>
    <w:pPr>
      <w:pBdr>
        <w:top w:val="single" w:sz="4" w:space="1" w:color="auto"/>
        <w:left w:val="single" w:sz="4" w:space="4" w:color="auto"/>
        <w:bottom w:val="single" w:sz="4" w:space="1" w:color="auto"/>
        <w:right w:val="single" w:sz="4" w:space="4" w:color="auto"/>
      </w:pBdr>
    </w:pPr>
    <w:rPr>
      <w:rFonts w:asciiTheme="minorHAnsi" w:hAnsiTheme="minorHAnsi" w:cstheme="minorHAnsi"/>
      <w:b/>
      <w:color w:val="365F91" w:themeColor="accent1" w:themeShade="BF"/>
    </w:rPr>
  </w:style>
  <w:style w:type="paragraph" w:customStyle="1" w:styleId="MDsubHead3">
    <w:name w:val="MD sub Head 3"/>
    <w:basedOn w:val="Heading4"/>
    <w:link w:val="MDsubHead3Char"/>
    <w:qFormat/>
    <w:rsid w:val="00C324F3"/>
    <w:pPr>
      <w:numPr>
        <w:ilvl w:val="0"/>
        <w:numId w:val="0"/>
      </w:numPr>
      <w:spacing w:before="200"/>
    </w:pPr>
  </w:style>
  <w:style w:type="character" w:customStyle="1" w:styleId="ToRTextChar">
    <w:name w:val="ToR Text Char"/>
    <w:basedOn w:val="DefaultParagraphFont"/>
    <w:link w:val="ToRText"/>
    <w:rsid w:val="00C324F3"/>
    <w:rPr>
      <w:rFonts w:asciiTheme="minorHAnsi" w:hAnsiTheme="minorHAnsi" w:cstheme="minorHAnsi"/>
      <w:b/>
      <w:color w:val="365F91" w:themeColor="accent1" w:themeShade="BF"/>
    </w:rPr>
  </w:style>
  <w:style w:type="character" w:customStyle="1" w:styleId="MDsubHead3Char">
    <w:name w:val="MD sub Head 3 Char"/>
    <w:basedOn w:val="Heading4Char"/>
    <w:link w:val="MDsubHead3"/>
    <w:rsid w:val="00C324F3"/>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C324F3"/>
    <w:pPr>
      <w:spacing w:after="120" w:line="480" w:lineRule="auto"/>
    </w:pPr>
    <w:rPr>
      <w:rFonts w:asciiTheme="minorHAnsi" w:hAnsiTheme="minorHAnsi" w:cstheme="minorHAnsi"/>
    </w:rPr>
  </w:style>
  <w:style w:type="character" w:customStyle="1" w:styleId="BodyText2Char">
    <w:name w:val="Body Text 2 Char"/>
    <w:basedOn w:val="DefaultParagraphFont"/>
    <w:link w:val="BodyText2"/>
    <w:uiPriority w:val="99"/>
    <w:semiHidden/>
    <w:rsid w:val="00C324F3"/>
    <w:rPr>
      <w:rFonts w:asciiTheme="minorHAnsi" w:hAnsiTheme="minorHAnsi" w:cstheme="minorHAnsi"/>
    </w:rPr>
  </w:style>
  <w:style w:type="paragraph" w:customStyle="1" w:styleId="06Tabletextspacebefore">
    <w:name w:val="06 Table text space before"/>
    <w:qFormat/>
    <w:rsid w:val="00C324F3"/>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C324F3"/>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C324F3"/>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C324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C324F3"/>
    <w:pPr>
      <w:spacing w:after="160" w:line="259" w:lineRule="auto"/>
    </w:pPr>
    <w:rPr>
      <w:rFonts w:ascii="Times New Roman" w:hAnsi="Times New Roman"/>
      <w:sz w:val="22"/>
      <w:lang w:eastAsia="en-US"/>
    </w:rPr>
  </w:style>
  <w:style w:type="character" w:customStyle="1" w:styleId="Style1Char">
    <w:name w:val="Style1 Char"/>
    <w:basedOn w:val="DefaultParagraphFont"/>
    <w:link w:val="Style1"/>
    <w:rsid w:val="00C324F3"/>
    <w:rPr>
      <w:sz w:val="22"/>
      <w:lang w:eastAsia="en-US"/>
    </w:rPr>
  </w:style>
  <w:style w:type="paragraph" w:styleId="TableofFigures">
    <w:name w:val="table of figures"/>
    <w:basedOn w:val="Normal"/>
    <w:next w:val="Normal"/>
    <w:uiPriority w:val="99"/>
    <w:unhideWhenUsed/>
    <w:rsid w:val="00C324F3"/>
    <w:pPr>
      <w:spacing w:after="0"/>
    </w:pPr>
    <w:rPr>
      <w:rFonts w:asciiTheme="minorHAnsi" w:hAnsiTheme="minorHAnsi" w:cstheme="minorHAnsi"/>
    </w:rPr>
  </w:style>
  <w:style w:type="paragraph" w:customStyle="1" w:styleId="Heading4b">
    <w:name w:val="Heading 4b"/>
    <w:basedOn w:val="Heading4"/>
    <w:link w:val="Heading4bChar"/>
    <w:qFormat/>
    <w:rsid w:val="00C324F3"/>
    <w:pPr>
      <w:numPr>
        <w:ilvl w:val="0"/>
        <w:numId w:val="0"/>
      </w:numPr>
      <w:spacing w:before="40"/>
    </w:pPr>
    <w:rPr>
      <w:rFonts w:asciiTheme="minorHAnsi" w:hAnsiTheme="minorHAnsi"/>
      <w:bCs w:val="0"/>
      <w:i w:val="0"/>
      <w:lang w:eastAsia="en-US"/>
    </w:rPr>
  </w:style>
  <w:style w:type="character" w:customStyle="1" w:styleId="Heading4bChar">
    <w:name w:val="Heading 4b Char"/>
    <w:basedOn w:val="Heading4Char"/>
    <w:link w:val="Heading4b"/>
    <w:rsid w:val="00C324F3"/>
    <w:rPr>
      <w:rFonts w:asciiTheme="minorHAnsi" w:eastAsiaTheme="majorEastAsia" w:hAnsiTheme="minorHAnsi" w:cstheme="majorBidi"/>
      <w:b/>
      <w:bCs w:val="0"/>
      <w:i w:val="0"/>
      <w:iCs/>
      <w:color w:val="4F81BD" w:themeColor="accent1"/>
      <w:lang w:eastAsia="en-US"/>
    </w:rPr>
  </w:style>
  <w:style w:type="paragraph" w:customStyle="1" w:styleId="BulletLast0">
    <w:name w:val="BulletLast"/>
    <w:basedOn w:val="Normal"/>
    <w:qFormat/>
    <w:rsid w:val="00C324F3"/>
    <w:pPr>
      <w:spacing w:after="240"/>
    </w:pPr>
    <w:rPr>
      <w:rFonts w:eastAsia="Times New Roman" w:cs="Times New Roman"/>
      <w:color w:val="000000"/>
      <w:sz w:val="22"/>
      <w:szCs w:val="20"/>
    </w:rPr>
  </w:style>
  <w:style w:type="paragraph" w:customStyle="1" w:styleId="Bullet">
    <w:name w:val="Bullet"/>
    <w:basedOn w:val="Normal"/>
    <w:qFormat/>
    <w:rsid w:val="00C324F3"/>
    <w:pPr>
      <w:spacing w:after="120"/>
    </w:pPr>
    <w:rPr>
      <w:rFonts w:eastAsia="Times New Roman" w:cs="Times New Roman"/>
      <w:color w:val="000000"/>
      <w:sz w:val="22"/>
      <w:szCs w:val="20"/>
    </w:rPr>
  </w:style>
  <w:style w:type="paragraph" w:styleId="Bibliography">
    <w:name w:val="Bibliography"/>
    <w:basedOn w:val="Normal"/>
    <w:next w:val="Normal"/>
    <w:uiPriority w:val="37"/>
    <w:semiHidden/>
    <w:unhideWhenUsed/>
    <w:rsid w:val="007B466C"/>
  </w:style>
  <w:style w:type="paragraph" w:styleId="BlockText">
    <w:name w:val="Block Text"/>
    <w:basedOn w:val="Normal"/>
    <w:uiPriority w:val="99"/>
    <w:semiHidden/>
    <w:unhideWhenUsed/>
    <w:rsid w:val="007B46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3">
    <w:name w:val="Body Text 3"/>
    <w:basedOn w:val="Normal"/>
    <w:link w:val="BodyText3Char"/>
    <w:uiPriority w:val="99"/>
    <w:semiHidden/>
    <w:unhideWhenUsed/>
    <w:rsid w:val="007B466C"/>
    <w:pPr>
      <w:spacing w:after="120"/>
    </w:pPr>
    <w:rPr>
      <w:sz w:val="16"/>
      <w:szCs w:val="16"/>
    </w:rPr>
  </w:style>
  <w:style w:type="character" w:customStyle="1" w:styleId="BodyText3Char">
    <w:name w:val="Body Text 3 Char"/>
    <w:basedOn w:val="DefaultParagraphFont"/>
    <w:link w:val="BodyText3"/>
    <w:uiPriority w:val="99"/>
    <w:semiHidden/>
    <w:rsid w:val="007B466C"/>
    <w:rPr>
      <w:rFonts w:ascii="Calibri" w:hAnsi="Calibri"/>
      <w:sz w:val="16"/>
      <w:szCs w:val="16"/>
    </w:rPr>
  </w:style>
  <w:style w:type="paragraph" w:styleId="BodyTextFirstIndent">
    <w:name w:val="Body Text First Indent"/>
    <w:basedOn w:val="BodyText"/>
    <w:link w:val="BodyTextFirstIndentChar"/>
    <w:uiPriority w:val="99"/>
    <w:semiHidden/>
    <w:unhideWhenUsed/>
    <w:rsid w:val="007B466C"/>
    <w:pPr>
      <w:spacing w:after="200"/>
      <w:ind w:firstLine="360"/>
    </w:pPr>
  </w:style>
  <w:style w:type="character" w:customStyle="1" w:styleId="BodyTextFirstIndentChar">
    <w:name w:val="Body Text First Indent Char"/>
    <w:basedOn w:val="BodyTextChar0"/>
    <w:link w:val="BodyTextFirstIndent"/>
    <w:uiPriority w:val="99"/>
    <w:semiHidden/>
    <w:rsid w:val="007B466C"/>
    <w:rPr>
      <w:rFonts w:ascii="Calibri" w:hAnsi="Calibri"/>
    </w:rPr>
  </w:style>
  <w:style w:type="paragraph" w:styleId="BodyTextIndent">
    <w:name w:val="Body Text Indent"/>
    <w:basedOn w:val="Normal"/>
    <w:link w:val="BodyTextIndentChar"/>
    <w:uiPriority w:val="99"/>
    <w:semiHidden/>
    <w:unhideWhenUsed/>
    <w:rsid w:val="007B466C"/>
    <w:pPr>
      <w:spacing w:after="120"/>
      <w:ind w:left="283"/>
    </w:pPr>
  </w:style>
  <w:style w:type="character" w:customStyle="1" w:styleId="BodyTextIndentChar">
    <w:name w:val="Body Text Indent Char"/>
    <w:basedOn w:val="DefaultParagraphFont"/>
    <w:link w:val="BodyTextIndent"/>
    <w:uiPriority w:val="99"/>
    <w:semiHidden/>
    <w:rsid w:val="007B466C"/>
    <w:rPr>
      <w:rFonts w:ascii="Calibri" w:hAnsi="Calibri"/>
    </w:rPr>
  </w:style>
  <w:style w:type="paragraph" w:styleId="BodyTextFirstIndent2">
    <w:name w:val="Body Text First Indent 2"/>
    <w:basedOn w:val="BodyTextIndent"/>
    <w:link w:val="BodyTextFirstIndent2Char"/>
    <w:uiPriority w:val="99"/>
    <w:semiHidden/>
    <w:unhideWhenUsed/>
    <w:rsid w:val="007B466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7B466C"/>
    <w:rPr>
      <w:rFonts w:ascii="Calibri" w:hAnsi="Calibri"/>
    </w:rPr>
  </w:style>
  <w:style w:type="paragraph" w:styleId="BodyTextIndent2">
    <w:name w:val="Body Text Indent 2"/>
    <w:basedOn w:val="Normal"/>
    <w:link w:val="BodyTextIndent2Char"/>
    <w:uiPriority w:val="99"/>
    <w:semiHidden/>
    <w:unhideWhenUsed/>
    <w:rsid w:val="007B466C"/>
    <w:pPr>
      <w:spacing w:after="120" w:line="480" w:lineRule="auto"/>
      <w:ind w:left="283"/>
    </w:pPr>
  </w:style>
  <w:style w:type="character" w:customStyle="1" w:styleId="BodyTextIndent2Char">
    <w:name w:val="Body Text Indent 2 Char"/>
    <w:basedOn w:val="DefaultParagraphFont"/>
    <w:link w:val="BodyTextIndent2"/>
    <w:uiPriority w:val="99"/>
    <w:semiHidden/>
    <w:rsid w:val="007B466C"/>
    <w:rPr>
      <w:rFonts w:ascii="Calibri" w:hAnsi="Calibri"/>
    </w:rPr>
  </w:style>
  <w:style w:type="paragraph" w:styleId="Closing">
    <w:name w:val="Closing"/>
    <w:basedOn w:val="Normal"/>
    <w:link w:val="ClosingChar"/>
    <w:uiPriority w:val="99"/>
    <w:semiHidden/>
    <w:unhideWhenUsed/>
    <w:rsid w:val="007B466C"/>
    <w:pPr>
      <w:spacing w:after="0"/>
      <w:ind w:left="4252"/>
    </w:pPr>
  </w:style>
  <w:style w:type="character" w:customStyle="1" w:styleId="ClosingChar">
    <w:name w:val="Closing Char"/>
    <w:basedOn w:val="DefaultParagraphFont"/>
    <w:link w:val="Closing"/>
    <w:uiPriority w:val="99"/>
    <w:semiHidden/>
    <w:rsid w:val="007B466C"/>
    <w:rPr>
      <w:rFonts w:ascii="Calibri" w:hAnsi="Calibri"/>
    </w:rPr>
  </w:style>
  <w:style w:type="paragraph" w:styleId="Date">
    <w:name w:val="Date"/>
    <w:basedOn w:val="Normal"/>
    <w:next w:val="Normal"/>
    <w:link w:val="DateChar"/>
    <w:uiPriority w:val="99"/>
    <w:semiHidden/>
    <w:unhideWhenUsed/>
    <w:rsid w:val="007B466C"/>
  </w:style>
  <w:style w:type="character" w:customStyle="1" w:styleId="DateChar">
    <w:name w:val="Date Char"/>
    <w:basedOn w:val="DefaultParagraphFont"/>
    <w:link w:val="Date"/>
    <w:uiPriority w:val="99"/>
    <w:semiHidden/>
    <w:rsid w:val="007B466C"/>
    <w:rPr>
      <w:rFonts w:ascii="Calibri" w:hAnsi="Calibri"/>
    </w:rPr>
  </w:style>
  <w:style w:type="paragraph" w:styleId="DocumentMap">
    <w:name w:val="Document Map"/>
    <w:basedOn w:val="Normal"/>
    <w:link w:val="DocumentMapChar"/>
    <w:uiPriority w:val="99"/>
    <w:semiHidden/>
    <w:unhideWhenUsed/>
    <w:rsid w:val="007B466C"/>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466C"/>
    <w:rPr>
      <w:rFonts w:ascii="Segoe UI" w:hAnsi="Segoe UI" w:cs="Segoe UI"/>
      <w:sz w:val="16"/>
      <w:szCs w:val="16"/>
    </w:rPr>
  </w:style>
  <w:style w:type="paragraph" w:styleId="E-mailSignature">
    <w:name w:val="E-mail Signature"/>
    <w:basedOn w:val="Normal"/>
    <w:link w:val="E-mailSignatureChar"/>
    <w:uiPriority w:val="99"/>
    <w:semiHidden/>
    <w:unhideWhenUsed/>
    <w:rsid w:val="007B466C"/>
    <w:pPr>
      <w:spacing w:after="0"/>
    </w:pPr>
  </w:style>
  <w:style w:type="character" w:customStyle="1" w:styleId="E-mailSignatureChar">
    <w:name w:val="E-mail Signature Char"/>
    <w:basedOn w:val="DefaultParagraphFont"/>
    <w:link w:val="E-mailSignature"/>
    <w:uiPriority w:val="99"/>
    <w:semiHidden/>
    <w:rsid w:val="007B466C"/>
    <w:rPr>
      <w:rFonts w:ascii="Calibri" w:hAnsi="Calibri"/>
    </w:rPr>
  </w:style>
  <w:style w:type="paragraph" w:styleId="EnvelopeAddress">
    <w:name w:val="envelope address"/>
    <w:basedOn w:val="Normal"/>
    <w:uiPriority w:val="99"/>
    <w:semiHidden/>
    <w:unhideWhenUsed/>
    <w:rsid w:val="007B466C"/>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7B466C"/>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B466C"/>
    <w:pPr>
      <w:spacing w:after="0"/>
    </w:pPr>
    <w:rPr>
      <w:i/>
      <w:iCs/>
    </w:rPr>
  </w:style>
  <w:style w:type="character" w:customStyle="1" w:styleId="HTMLAddressChar">
    <w:name w:val="HTML Address Char"/>
    <w:basedOn w:val="DefaultParagraphFont"/>
    <w:link w:val="HTMLAddress"/>
    <w:uiPriority w:val="99"/>
    <w:semiHidden/>
    <w:rsid w:val="007B466C"/>
    <w:rPr>
      <w:rFonts w:ascii="Calibri" w:hAnsi="Calibri"/>
      <w:i/>
      <w:iCs/>
    </w:rPr>
  </w:style>
  <w:style w:type="paragraph" w:styleId="HTMLPreformatted">
    <w:name w:val="HTML Preformatted"/>
    <w:basedOn w:val="Normal"/>
    <w:link w:val="HTMLPreformattedChar"/>
    <w:uiPriority w:val="99"/>
    <w:semiHidden/>
    <w:unhideWhenUsed/>
    <w:rsid w:val="007B466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B466C"/>
    <w:rPr>
      <w:rFonts w:ascii="Consolas" w:hAnsi="Consolas"/>
      <w:sz w:val="20"/>
      <w:szCs w:val="20"/>
    </w:rPr>
  </w:style>
  <w:style w:type="paragraph" w:styleId="Index1">
    <w:name w:val="index 1"/>
    <w:basedOn w:val="Normal"/>
    <w:next w:val="Normal"/>
    <w:autoRedefine/>
    <w:uiPriority w:val="99"/>
    <w:semiHidden/>
    <w:unhideWhenUsed/>
    <w:rsid w:val="007B466C"/>
    <w:pPr>
      <w:spacing w:after="0"/>
      <w:ind w:left="240" w:hanging="240"/>
    </w:pPr>
  </w:style>
  <w:style w:type="paragraph" w:styleId="Index2">
    <w:name w:val="index 2"/>
    <w:basedOn w:val="Normal"/>
    <w:next w:val="Normal"/>
    <w:autoRedefine/>
    <w:uiPriority w:val="99"/>
    <w:semiHidden/>
    <w:unhideWhenUsed/>
    <w:rsid w:val="007B466C"/>
    <w:pPr>
      <w:spacing w:after="0"/>
      <w:ind w:left="480" w:hanging="240"/>
    </w:pPr>
  </w:style>
  <w:style w:type="paragraph" w:styleId="Index3">
    <w:name w:val="index 3"/>
    <w:basedOn w:val="Normal"/>
    <w:next w:val="Normal"/>
    <w:autoRedefine/>
    <w:uiPriority w:val="99"/>
    <w:semiHidden/>
    <w:unhideWhenUsed/>
    <w:rsid w:val="007B466C"/>
    <w:pPr>
      <w:spacing w:after="0"/>
      <w:ind w:left="720" w:hanging="240"/>
    </w:pPr>
  </w:style>
  <w:style w:type="paragraph" w:styleId="Index4">
    <w:name w:val="index 4"/>
    <w:basedOn w:val="Normal"/>
    <w:next w:val="Normal"/>
    <w:autoRedefine/>
    <w:uiPriority w:val="99"/>
    <w:semiHidden/>
    <w:unhideWhenUsed/>
    <w:rsid w:val="007B466C"/>
    <w:pPr>
      <w:spacing w:after="0"/>
      <w:ind w:left="960" w:hanging="240"/>
    </w:pPr>
  </w:style>
  <w:style w:type="paragraph" w:styleId="Index5">
    <w:name w:val="index 5"/>
    <w:basedOn w:val="Normal"/>
    <w:next w:val="Normal"/>
    <w:autoRedefine/>
    <w:uiPriority w:val="99"/>
    <w:semiHidden/>
    <w:unhideWhenUsed/>
    <w:rsid w:val="007B466C"/>
    <w:pPr>
      <w:spacing w:after="0"/>
      <w:ind w:left="1200" w:hanging="240"/>
    </w:pPr>
  </w:style>
  <w:style w:type="paragraph" w:styleId="Index6">
    <w:name w:val="index 6"/>
    <w:basedOn w:val="Normal"/>
    <w:next w:val="Normal"/>
    <w:autoRedefine/>
    <w:uiPriority w:val="99"/>
    <w:semiHidden/>
    <w:unhideWhenUsed/>
    <w:rsid w:val="007B466C"/>
    <w:pPr>
      <w:spacing w:after="0"/>
      <w:ind w:left="1440" w:hanging="240"/>
    </w:pPr>
  </w:style>
  <w:style w:type="paragraph" w:styleId="Index7">
    <w:name w:val="index 7"/>
    <w:basedOn w:val="Normal"/>
    <w:next w:val="Normal"/>
    <w:autoRedefine/>
    <w:uiPriority w:val="99"/>
    <w:semiHidden/>
    <w:unhideWhenUsed/>
    <w:rsid w:val="007B466C"/>
    <w:pPr>
      <w:spacing w:after="0"/>
      <w:ind w:left="1680" w:hanging="240"/>
    </w:pPr>
  </w:style>
  <w:style w:type="paragraph" w:styleId="Index8">
    <w:name w:val="index 8"/>
    <w:basedOn w:val="Normal"/>
    <w:next w:val="Normal"/>
    <w:autoRedefine/>
    <w:uiPriority w:val="99"/>
    <w:semiHidden/>
    <w:unhideWhenUsed/>
    <w:rsid w:val="007B466C"/>
    <w:pPr>
      <w:spacing w:after="0"/>
      <w:ind w:left="1920" w:hanging="240"/>
    </w:pPr>
  </w:style>
  <w:style w:type="paragraph" w:styleId="Index9">
    <w:name w:val="index 9"/>
    <w:basedOn w:val="Normal"/>
    <w:next w:val="Normal"/>
    <w:autoRedefine/>
    <w:uiPriority w:val="99"/>
    <w:semiHidden/>
    <w:unhideWhenUsed/>
    <w:rsid w:val="007B466C"/>
    <w:pPr>
      <w:spacing w:after="0"/>
      <w:ind w:left="2160" w:hanging="240"/>
    </w:pPr>
  </w:style>
  <w:style w:type="paragraph" w:styleId="IndexHeading">
    <w:name w:val="index heading"/>
    <w:basedOn w:val="Normal"/>
    <w:next w:val="Index1"/>
    <w:uiPriority w:val="99"/>
    <w:semiHidden/>
    <w:unhideWhenUsed/>
    <w:rsid w:val="007B466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B466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B466C"/>
    <w:rPr>
      <w:rFonts w:ascii="Calibri" w:hAnsi="Calibri"/>
      <w:i/>
      <w:iCs/>
      <w:color w:val="4F81BD" w:themeColor="accent1"/>
    </w:rPr>
  </w:style>
  <w:style w:type="paragraph" w:styleId="List">
    <w:name w:val="List"/>
    <w:basedOn w:val="Normal"/>
    <w:uiPriority w:val="99"/>
    <w:semiHidden/>
    <w:unhideWhenUsed/>
    <w:rsid w:val="007B466C"/>
    <w:pPr>
      <w:ind w:left="283" w:hanging="283"/>
      <w:contextualSpacing/>
    </w:pPr>
  </w:style>
  <w:style w:type="paragraph" w:styleId="List2">
    <w:name w:val="List 2"/>
    <w:basedOn w:val="Normal"/>
    <w:uiPriority w:val="99"/>
    <w:semiHidden/>
    <w:unhideWhenUsed/>
    <w:rsid w:val="007B466C"/>
    <w:pPr>
      <w:ind w:left="566" w:hanging="283"/>
      <w:contextualSpacing/>
    </w:pPr>
  </w:style>
  <w:style w:type="paragraph" w:styleId="List3">
    <w:name w:val="List 3"/>
    <w:basedOn w:val="Normal"/>
    <w:uiPriority w:val="99"/>
    <w:semiHidden/>
    <w:unhideWhenUsed/>
    <w:rsid w:val="007B466C"/>
    <w:pPr>
      <w:ind w:left="849" w:hanging="283"/>
      <w:contextualSpacing/>
    </w:pPr>
  </w:style>
  <w:style w:type="paragraph" w:styleId="List4">
    <w:name w:val="List 4"/>
    <w:basedOn w:val="Normal"/>
    <w:uiPriority w:val="99"/>
    <w:semiHidden/>
    <w:unhideWhenUsed/>
    <w:rsid w:val="007B466C"/>
    <w:pPr>
      <w:ind w:left="1132" w:hanging="283"/>
      <w:contextualSpacing/>
    </w:pPr>
  </w:style>
  <w:style w:type="paragraph" w:styleId="List5">
    <w:name w:val="List 5"/>
    <w:basedOn w:val="Normal"/>
    <w:uiPriority w:val="99"/>
    <w:semiHidden/>
    <w:unhideWhenUsed/>
    <w:rsid w:val="007B466C"/>
    <w:pPr>
      <w:ind w:left="1415" w:hanging="283"/>
      <w:contextualSpacing/>
    </w:pPr>
  </w:style>
  <w:style w:type="paragraph" w:styleId="ListBullet">
    <w:name w:val="List Bullet"/>
    <w:basedOn w:val="Normal"/>
    <w:uiPriority w:val="99"/>
    <w:semiHidden/>
    <w:unhideWhenUsed/>
    <w:rsid w:val="007B466C"/>
    <w:pPr>
      <w:numPr>
        <w:numId w:val="328"/>
      </w:numPr>
      <w:contextualSpacing/>
    </w:pPr>
  </w:style>
  <w:style w:type="paragraph" w:styleId="ListBullet2">
    <w:name w:val="List Bullet 2"/>
    <w:basedOn w:val="Normal"/>
    <w:uiPriority w:val="99"/>
    <w:semiHidden/>
    <w:unhideWhenUsed/>
    <w:rsid w:val="007B466C"/>
    <w:pPr>
      <w:numPr>
        <w:numId w:val="329"/>
      </w:numPr>
      <w:contextualSpacing/>
    </w:pPr>
  </w:style>
  <w:style w:type="paragraph" w:styleId="ListBullet3">
    <w:name w:val="List Bullet 3"/>
    <w:basedOn w:val="Normal"/>
    <w:uiPriority w:val="99"/>
    <w:semiHidden/>
    <w:unhideWhenUsed/>
    <w:rsid w:val="007B466C"/>
    <w:pPr>
      <w:numPr>
        <w:numId w:val="330"/>
      </w:numPr>
      <w:contextualSpacing/>
    </w:pPr>
  </w:style>
  <w:style w:type="paragraph" w:styleId="ListBullet4">
    <w:name w:val="List Bullet 4"/>
    <w:basedOn w:val="Normal"/>
    <w:uiPriority w:val="99"/>
    <w:semiHidden/>
    <w:unhideWhenUsed/>
    <w:rsid w:val="007B466C"/>
    <w:pPr>
      <w:numPr>
        <w:numId w:val="331"/>
      </w:numPr>
      <w:contextualSpacing/>
    </w:pPr>
  </w:style>
  <w:style w:type="paragraph" w:styleId="ListBullet5">
    <w:name w:val="List Bullet 5"/>
    <w:basedOn w:val="Normal"/>
    <w:uiPriority w:val="99"/>
    <w:semiHidden/>
    <w:unhideWhenUsed/>
    <w:rsid w:val="007B466C"/>
    <w:pPr>
      <w:numPr>
        <w:numId w:val="332"/>
      </w:numPr>
      <w:contextualSpacing/>
    </w:pPr>
  </w:style>
  <w:style w:type="paragraph" w:styleId="ListContinue">
    <w:name w:val="List Continue"/>
    <w:basedOn w:val="Normal"/>
    <w:uiPriority w:val="99"/>
    <w:semiHidden/>
    <w:unhideWhenUsed/>
    <w:rsid w:val="007B466C"/>
    <w:pPr>
      <w:spacing w:after="120"/>
      <w:ind w:left="283"/>
      <w:contextualSpacing/>
    </w:pPr>
  </w:style>
  <w:style w:type="paragraph" w:styleId="ListContinue2">
    <w:name w:val="List Continue 2"/>
    <w:basedOn w:val="Normal"/>
    <w:uiPriority w:val="99"/>
    <w:semiHidden/>
    <w:unhideWhenUsed/>
    <w:rsid w:val="007B466C"/>
    <w:pPr>
      <w:spacing w:after="120"/>
      <w:ind w:left="566"/>
      <w:contextualSpacing/>
    </w:pPr>
  </w:style>
  <w:style w:type="paragraph" w:styleId="ListContinue3">
    <w:name w:val="List Continue 3"/>
    <w:basedOn w:val="Normal"/>
    <w:uiPriority w:val="99"/>
    <w:semiHidden/>
    <w:unhideWhenUsed/>
    <w:rsid w:val="007B466C"/>
    <w:pPr>
      <w:spacing w:after="120"/>
      <w:ind w:left="849"/>
      <w:contextualSpacing/>
    </w:pPr>
  </w:style>
  <w:style w:type="paragraph" w:styleId="ListContinue4">
    <w:name w:val="List Continue 4"/>
    <w:basedOn w:val="Normal"/>
    <w:uiPriority w:val="99"/>
    <w:semiHidden/>
    <w:unhideWhenUsed/>
    <w:rsid w:val="007B466C"/>
    <w:pPr>
      <w:spacing w:after="120"/>
      <w:ind w:left="1132"/>
      <w:contextualSpacing/>
    </w:pPr>
  </w:style>
  <w:style w:type="paragraph" w:styleId="ListContinue5">
    <w:name w:val="List Continue 5"/>
    <w:basedOn w:val="Normal"/>
    <w:uiPriority w:val="99"/>
    <w:semiHidden/>
    <w:unhideWhenUsed/>
    <w:rsid w:val="007B466C"/>
    <w:pPr>
      <w:spacing w:after="120"/>
      <w:ind w:left="1415"/>
      <w:contextualSpacing/>
    </w:pPr>
  </w:style>
  <w:style w:type="paragraph" w:styleId="ListNumber">
    <w:name w:val="List Number"/>
    <w:basedOn w:val="Normal"/>
    <w:uiPriority w:val="99"/>
    <w:semiHidden/>
    <w:unhideWhenUsed/>
    <w:rsid w:val="007B466C"/>
    <w:pPr>
      <w:numPr>
        <w:numId w:val="333"/>
      </w:numPr>
      <w:contextualSpacing/>
    </w:pPr>
  </w:style>
  <w:style w:type="paragraph" w:styleId="ListNumber2">
    <w:name w:val="List Number 2"/>
    <w:basedOn w:val="Normal"/>
    <w:uiPriority w:val="99"/>
    <w:semiHidden/>
    <w:unhideWhenUsed/>
    <w:rsid w:val="007B466C"/>
    <w:pPr>
      <w:numPr>
        <w:numId w:val="334"/>
      </w:numPr>
      <w:contextualSpacing/>
    </w:pPr>
  </w:style>
  <w:style w:type="paragraph" w:styleId="ListNumber3">
    <w:name w:val="List Number 3"/>
    <w:basedOn w:val="Normal"/>
    <w:uiPriority w:val="99"/>
    <w:semiHidden/>
    <w:unhideWhenUsed/>
    <w:rsid w:val="007B466C"/>
    <w:pPr>
      <w:numPr>
        <w:numId w:val="335"/>
      </w:numPr>
      <w:contextualSpacing/>
    </w:pPr>
  </w:style>
  <w:style w:type="paragraph" w:styleId="ListNumber4">
    <w:name w:val="List Number 4"/>
    <w:basedOn w:val="Normal"/>
    <w:uiPriority w:val="99"/>
    <w:semiHidden/>
    <w:unhideWhenUsed/>
    <w:rsid w:val="007B466C"/>
    <w:pPr>
      <w:numPr>
        <w:numId w:val="336"/>
      </w:numPr>
      <w:contextualSpacing/>
    </w:pPr>
  </w:style>
  <w:style w:type="paragraph" w:styleId="ListNumber5">
    <w:name w:val="List Number 5"/>
    <w:basedOn w:val="Normal"/>
    <w:uiPriority w:val="99"/>
    <w:semiHidden/>
    <w:unhideWhenUsed/>
    <w:rsid w:val="007B466C"/>
    <w:pPr>
      <w:numPr>
        <w:numId w:val="337"/>
      </w:numPr>
      <w:contextualSpacing/>
    </w:pPr>
  </w:style>
  <w:style w:type="paragraph" w:styleId="MacroText">
    <w:name w:val="macro"/>
    <w:link w:val="MacroTextChar"/>
    <w:uiPriority w:val="99"/>
    <w:semiHidden/>
    <w:unhideWhenUsed/>
    <w:rsid w:val="007B466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7B466C"/>
    <w:rPr>
      <w:rFonts w:ascii="Consolas" w:hAnsi="Consolas"/>
      <w:sz w:val="20"/>
      <w:szCs w:val="20"/>
    </w:rPr>
  </w:style>
  <w:style w:type="paragraph" w:styleId="MessageHeader">
    <w:name w:val="Message Header"/>
    <w:basedOn w:val="Normal"/>
    <w:link w:val="MessageHeaderChar"/>
    <w:uiPriority w:val="99"/>
    <w:semiHidden/>
    <w:unhideWhenUsed/>
    <w:rsid w:val="007B466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B466C"/>
    <w:rPr>
      <w:rFonts w:asciiTheme="majorHAnsi" w:eastAsiaTheme="majorEastAsia" w:hAnsiTheme="majorHAnsi" w:cstheme="majorBidi"/>
      <w:szCs w:val="24"/>
      <w:shd w:val="pct20" w:color="auto" w:fill="auto"/>
    </w:rPr>
  </w:style>
  <w:style w:type="paragraph" w:styleId="NormalIndent">
    <w:name w:val="Normal Indent"/>
    <w:basedOn w:val="Normal"/>
    <w:uiPriority w:val="99"/>
    <w:semiHidden/>
    <w:unhideWhenUsed/>
    <w:rsid w:val="007B466C"/>
    <w:pPr>
      <w:ind w:left="720"/>
    </w:pPr>
  </w:style>
  <w:style w:type="paragraph" w:styleId="NoteHeading">
    <w:name w:val="Note Heading"/>
    <w:basedOn w:val="Normal"/>
    <w:next w:val="Normal"/>
    <w:link w:val="NoteHeadingChar"/>
    <w:uiPriority w:val="99"/>
    <w:semiHidden/>
    <w:unhideWhenUsed/>
    <w:rsid w:val="007B466C"/>
    <w:pPr>
      <w:spacing w:after="0"/>
    </w:pPr>
  </w:style>
  <w:style w:type="character" w:customStyle="1" w:styleId="NoteHeadingChar">
    <w:name w:val="Note Heading Char"/>
    <w:basedOn w:val="DefaultParagraphFont"/>
    <w:link w:val="NoteHeading"/>
    <w:uiPriority w:val="99"/>
    <w:semiHidden/>
    <w:rsid w:val="007B466C"/>
    <w:rPr>
      <w:rFonts w:ascii="Calibri" w:hAnsi="Calibri"/>
    </w:rPr>
  </w:style>
  <w:style w:type="paragraph" w:styleId="PlainText">
    <w:name w:val="Plain Text"/>
    <w:basedOn w:val="Normal"/>
    <w:link w:val="PlainTextChar"/>
    <w:uiPriority w:val="99"/>
    <w:semiHidden/>
    <w:unhideWhenUsed/>
    <w:rsid w:val="007B466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B466C"/>
    <w:rPr>
      <w:rFonts w:ascii="Consolas" w:hAnsi="Consolas"/>
      <w:sz w:val="21"/>
      <w:szCs w:val="21"/>
    </w:rPr>
  </w:style>
  <w:style w:type="paragraph" w:styleId="Salutation">
    <w:name w:val="Salutation"/>
    <w:basedOn w:val="Normal"/>
    <w:next w:val="Normal"/>
    <w:link w:val="SalutationChar"/>
    <w:uiPriority w:val="99"/>
    <w:semiHidden/>
    <w:unhideWhenUsed/>
    <w:rsid w:val="007B466C"/>
  </w:style>
  <w:style w:type="character" w:customStyle="1" w:styleId="SalutationChar">
    <w:name w:val="Salutation Char"/>
    <w:basedOn w:val="DefaultParagraphFont"/>
    <w:link w:val="Salutation"/>
    <w:uiPriority w:val="99"/>
    <w:semiHidden/>
    <w:rsid w:val="007B466C"/>
    <w:rPr>
      <w:rFonts w:ascii="Calibri" w:hAnsi="Calibri"/>
    </w:rPr>
  </w:style>
  <w:style w:type="paragraph" w:styleId="Signature">
    <w:name w:val="Signature"/>
    <w:basedOn w:val="Normal"/>
    <w:link w:val="SignatureChar"/>
    <w:uiPriority w:val="99"/>
    <w:semiHidden/>
    <w:unhideWhenUsed/>
    <w:rsid w:val="007B466C"/>
    <w:pPr>
      <w:spacing w:after="0"/>
      <w:ind w:left="4252"/>
    </w:pPr>
  </w:style>
  <w:style w:type="character" w:customStyle="1" w:styleId="SignatureChar">
    <w:name w:val="Signature Char"/>
    <w:basedOn w:val="DefaultParagraphFont"/>
    <w:link w:val="Signature"/>
    <w:uiPriority w:val="99"/>
    <w:semiHidden/>
    <w:rsid w:val="007B466C"/>
    <w:rPr>
      <w:rFonts w:ascii="Calibri" w:hAnsi="Calibri"/>
    </w:rPr>
  </w:style>
  <w:style w:type="paragraph" w:styleId="TableofAuthorities">
    <w:name w:val="table of authorities"/>
    <w:basedOn w:val="Normal"/>
    <w:next w:val="Normal"/>
    <w:uiPriority w:val="99"/>
    <w:semiHidden/>
    <w:unhideWhenUsed/>
    <w:rsid w:val="007B466C"/>
    <w:pPr>
      <w:spacing w:after="0"/>
      <w:ind w:left="240" w:hanging="240"/>
    </w:pPr>
  </w:style>
  <w:style w:type="paragraph" w:styleId="TOAHeading">
    <w:name w:val="toa heading"/>
    <w:basedOn w:val="Normal"/>
    <w:next w:val="Normal"/>
    <w:uiPriority w:val="99"/>
    <w:semiHidden/>
    <w:unhideWhenUsed/>
    <w:rsid w:val="007B466C"/>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4117">
      <w:bodyDiv w:val="1"/>
      <w:marLeft w:val="0"/>
      <w:marRight w:val="0"/>
      <w:marTop w:val="0"/>
      <w:marBottom w:val="0"/>
      <w:divBdr>
        <w:top w:val="none" w:sz="0" w:space="0" w:color="auto"/>
        <w:left w:val="none" w:sz="0" w:space="0" w:color="auto"/>
        <w:bottom w:val="none" w:sz="0" w:space="0" w:color="auto"/>
        <w:right w:val="none" w:sz="0" w:space="0" w:color="auto"/>
      </w:divBdr>
    </w:div>
    <w:div w:id="34699048">
      <w:bodyDiv w:val="1"/>
      <w:marLeft w:val="0"/>
      <w:marRight w:val="0"/>
      <w:marTop w:val="0"/>
      <w:marBottom w:val="0"/>
      <w:divBdr>
        <w:top w:val="none" w:sz="0" w:space="0" w:color="auto"/>
        <w:left w:val="none" w:sz="0" w:space="0" w:color="auto"/>
        <w:bottom w:val="none" w:sz="0" w:space="0" w:color="auto"/>
        <w:right w:val="none" w:sz="0" w:space="0" w:color="auto"/>
      </w:divBdr>
    </w:div>
    <w:div w:id="36708890">
      <w:bodyDiv w:val="1"/>
      <w:marLeft w:val="0"/>
      <w:marRight w:val="0"/>
      <w:marTop w:val="0"/>
      <w:marBottom w:val="0"/>
      <w:divBdr>
        <w:top w:val="none" w:sz="0" w:space="0" w:color="auto"/>
        <w:left w:val="none" w:sz="0" w:space="0" w:color="auto"/>
        <w:bottom w:val="none" w:sz="0" w:space="0" w:color="auto"/>
        <w:right w:val="none" w:sz="0" w:space="0" w:color="auto"/>
      </w:divBdr>
    </w:div>
    <w:div w:id="41176215">
      <w:bodyDiv w:val="1"/>
      <w:marLeft w:val="0"/>
      <w:marRight w:val="0"/>
      <w:marTop w:val="0"/>
      <w:marBottom w:val="0"/>
      <w:divBdr>
        <w:top w:val="none" w:sz="0" w:space="0" w:color="auto"/>
        <w:left w:val="none" w:sz="0" w:space="0" w:color="auto"/>
        <w:bottom w:val="none" w:sz="0" w:space="0" w:color="auto"/>
        <w:right w:val="none" w:sz="0" w:space="0" w:color="auto"/>
      </w:divBdr>
      <w:divsChild>
        <w:div w:id="2023897359">
          <w:marLeft w:val="0"/>
          <w:marRight w:val="0"/>
          <w:marTop w:val="0"/>
          <w:marBottom w:val="0"/>
          <w:divBdr>
            <w:top w:val="none" w:sz="0" w:space="0" w:color="auto"/>
            <w:left w:val="none" w:sz="0" w:space="0" w:color="auto"/>
            <w:bottom w:val="none" w:sz="0" w:space="0" w:color="auto"/>
            <w:right w:val="none" w:sz="0" w:space="0" w:color="auto"/>
          </w:divBdr>
          <w:divsChild>
            <w:div w:id="1352994116">
              <w:marLeft w:val="0"/>
              <w:marRight w:val="0"/>
              <w:marTop w:val="0"/>
              <w:marBottom w:val="0"/>
              <w:divBdr>
                <w:top w:val="none" w:sz="0" w:space="0" w:color="auto"/>
                <w:left w:val="none" w:sz="0" w:space="0" w:color="auto"/>
                <w:bottom w:val="none" w:sz="0" w:space="0" w:color="auto"/>
                <w:right w:val="none" w:sz="0" w:space="0" w:color="auto"/>
              </w:divBdr>
              <w:divsChild>
                <w:div w:id="8472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012">
      <w:bodyDiv w:val="1"/>
      <w:marLeft w:val="0"/>
      <w:marRight w:val="0"/>
      <w:marTop w:val="0"/>
      <w:marBottom w:val="0"/>
      <w:divBdr>
        <w:top w:val="none" w:sz="0" w:space="0" w:color="auto"/>
        <w:left w:val="none" w:sz="0" w:space="0" w:color="auto"/>
        <w:bottom w:val="none" w:sz="0" w:space="0" w:color="auto"/>
        <w:right w:val="none" w:sz="0" w:space="0" w:color="auto"/>
      </w:divBdr>
    </w:div>
    <w:div w:id="54623965">
      <w:bodyDiv w:val="1"/>
      <w:marLeft w:val="0"/>
      <w:marRight w:val="0"/>
      <w:marTop w:val="0"/>
      <w:marBottom w:val="0"/>
      <w:divBdr>
        <w:top w:val="none" w:sz="0" w:space="0" w:color="auto"/>
        <w:left w:val="none" w:sz="0" w:space="0" w:color="auto"/>
        <w:bottom w:val="none" w:sz="0" w:space="0" w:color="auto"/>
        <w:right w:val="none" w:sz="0" w:space="0" w:color="auto"/>
      </w:divBdr>
    </w:div>
    <w:div w:id="58672799">
      <w:bodyDiv w:val="1"/>
      <w:marLeft w:val="0"/>
      <w:marRight w:val="0"/>
      <w:marTop w:val="0"/>
      <w:marBottom w:val="0"/>
      <w:divBdr>
        <w:top w:val="none" w:sz="0" w:space="0" w:color="auto"/>
        <w:left w:val="none" w:sz="0" w:space="0" w:color="auto"/>
        <w:bottom w:val="none" w:sz="0" w:space="0" w:color="auto"/>
        <w:right w:val="none" w:sz="0" w:space="0" w:color="auto"/>
      </w:divBdr>
    </w:div>
    <w:div w:id="60103778">
      <w:bodyDiv w:val="1"/>
      <w:marLeft w:val="0"/>
      <w:marRight w:val="0"/>
      <w:marTop w:val="0"/>
      <w:marBottom w:val="0"/>
      <w:divBdr>
        <w:top w:val="none" w:sz="0" w:space="0" w:color="auto"/>
        <w:left w:val="none" w:sz="0" w:space="0" w:color="auto"/>
        <w:bottom w:val="none" w:sz="0" w:space="0" w:color="auto"/>
        <w:right w:val="none" w:sz="0" w:space="0" w:color="auto"/>
      </w:divBdr>
    </w:div>
    <w:div w:id="72509304">
      <w:bodyDiv w:val="1"/>
      <w:marLeft w:val="0"/>
      <w:marRight w:val="0"/>
      <w:marTop w:val="0"/>
      <w:marBottom w:val="0"/>
      <w:divBdr>
        <w:top w:val="none" w:sz="0" w:space="0" w:color="auto"/>
        <w:left w:val="none" w:sz="0" w:space="0" w:color="auto"/>
        <w:bottom w:val="none" w:sz="0" w:space="0" w:color="auto"/>
        <w:right w:val="none" w:sz="0" w:space="0" w:color="auto"/>
      </w:divBdr>
    </w:div>
    <w:div w:id="109127806">
      <w:bodyDiv w:val="1"/>
      <w:marLeft w:val="0"/>
      <w:marRight w:val="0"/>
      <w:marTop w:val="0"/>
      <w:marBottom w:val="0"/>
      <w:divBdr>
        <w:top w:val="none" w:sz="0" w:space="0" w:color="auto"/>
        <w:left w:val="none" w:sz="0" w:space="0" w:color="auto"/>
        <w:bottom w:val="none" w:sz="0" w:space="0" w:color="auto"/>
        <w:right w:val="none" w:sz="0" w:space="0" w:color="auto"/>
      </w:divBdr>
    </w:div>
    <w:div w:id="109205992">
      <w:bodyDiv w:val="1"/>
      <w:marLeft w:val="0"/>
      <w:marRight w:val="0"/>
      <w:marTop w:val="0"/>
      <w:marBottom w:val="0"/>
      <w:divBdr>
        <w:top w:val="none" w:sz="0" w:space="0" w:color="auto"/>
        <w:left w:val="none" w:sz="0" w:space="0" w:color="auto"/>
        <w:bottom w:val="none" w:sz="0" w:space="0" w:color="auto"/>
        <w:right w:val="none" w:sz="0" w:space="0" w:color="auto"/>
      </w:divBdr>
      <w:divsChild>
        <w:div w:id="758017502">
          <w:marLeft w:val="0"/>
          <w:marRight w:val="0"/>
          <w:marTop w:val="0"/>
          <w:marBottom w:val="0"/>
          <w:divBdr>
            <w:top w:val="none" w:sz="0" w:space="0" w:color="auto"/>
            <w:left w:val="none" w:sz="0" w:space="0" w:color="auto"/>
            <w:bottom w:val="none" w:sz="0" w:space="0" w:color="auto"/>
            <w:right w:val="none" w:sz="0" w:space="0" w:color="auto"/>
          </w:divBdr>
          <w:divsChild>
            <w:div w:id="703024034">
              <w:marLeft w:val="0"/>
              <w:marRight w:val="0"/>
              <w:marTop w:val="0"/>
              <w:marBottom w:val="0"/>
              <w:divBdr>
                <w:top w:val="none" w:sz="0" w:space="0" w:color="auto"/>
                <w:left w:val="none" w:sz="0" w:space="0" w:color="auto"/>
                <w:bottom w:val="none" w:sz="0" w:space="0" w:color="auto"/>
                <w:right w:val="none" w:sz="0" w:space="0" w:color="auto"/>
              </w:divBdr>
              <w:divsChild>
                <w:div w:id="29304225">
                  <w:marLeft w:val="0"/>
                  <w:marRight w:val="0"/>
                  <w:marTop w:val="0"/>
                  <w:marBottom w:val="0"/>
                  <w:divBdr>
                    <w:top w:val="none" w:sz="0" w:space="0" w:color="auto"/>
                    <w:left w:val="none" w:sz="0" w:space="0" w:color="auto"/>
                    <w:bottom w:val="none" w:sz="0" w:space="0" w:color="auto"/>
                    <w:right w:val="none" w:sz="0" w:space="0" w:color="auto"/>
                  </w:divBdr>
                  <w:divsChild>
                    <w:div w:id="16647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04500">
      <w:bodyDiv w:val="1"/>
      <w:marLeft w:val="0"/>
      <w:marRight w:val="0"/>
      <w:marTop w:val="0"/>
      <w:marBottom w:val="0"/>
      <w:divBdr>
        <w:top w:val="none" w:sz="0" w:space="0" w:color="auto"/>
        <w:left w:val="none" w:sz="0" w:space="0" w:color="auto"/>
        <w:bottom w:val="none" w:sz="0" w:space="0" w:color="auto"/>
        <w:right w:val="none" w:sz="0" w:space="0" w:color="auto"/>
      </w:divBdr>
    </w:div>
    <w:div w:id="160969433">
      <w:bodyDiv w:val="1"/>
      <w:marLeft w:val="0"/>
      <w:marRight w:val="0"/>
      <w:marTop w:val="0"/>
      <w:marBottom w:val="0"/>
      <w:divBdr>
        <w:top w:val="none" w:sz="0" w:space="0" w:color="auto"/>
        <w:left w:val="none" w:sz="0" w:space="0" w:color="auto"/>
        <w:bottom w:val="none" w:sz="0" w:space="0" w:color="auto"/>
        <w:right w:val="none" w:sz="0" w:space="0" w:color="auto"/>
      </w:divBdr>
    </w:div>
    <w:div w:id="179321071">
      <w:bodyDiv w:val="1"/>
      <w:marLeft w:val="0"/>
      <w:marRight w:val="0"/>
      <w:marTop w:val="0"/>
      <w:marBottom w:val="0"/>
      <w:divBdr>
        <w:top w:val="none" w:sz="0" w:space="0" w:color="auto"/>
        <w:left w:val="none" w:sz="0" w:space="0" w:color="auto"/>
        <w:bottom w:val="none" w:sz="0" w:space="0" w:color="auto"/>
        <w:right w:val="none" w:sz="0" w:space="0" w:color="auto"/>
      </w:divBdr>
    </w:div>
    <w:div w:id="187915759">
      <w:bodyDiv w:val="1"/>
      <w:marLeft w:val="0"/>
      <w:marRight w:val="0"/>
      <w:marTop w:val="0"/>
      <w:marBottom w:val="0"/>
      <w:divBdr>
        <w:top w:val="none" w:sz="0" w:space="0" w:color="auto"/>
        <w:left w:val="none" w:sz="0" w:space="0" w:color="auto"/>
        <w:bottom w:val="none" w:sz="0" w:space="0" w:color="auto"/>
        <w:right w:val="none" w:sz="0" w:space="0" w:color="auto"/>
      </w:divBdr>
    </w:div>
    <w:div w:id="235752398">
      <w:bodyDiv w:val="1"/>
      <w:marLeft w:val="0"/>
      <w:marRight w:val="0"/>
      <w:marTop w:val="0"/>
      <w:marBottom w:val="0"/>
      <w:divBdr>
        <w:top w:val="none" w:sz="0" w:space="0" w:color="auto"/>
        <w:left w:val="none" w:sz="0" w:space="0" w:color="auto"/>
        <w:bottom w:val="none" w:sz="0" w:space="0" w:color="auto"/>
        <w:right w:val="none" w:sz="0" w:space="0" w:color="auto"/>
      </w:divBdr>
    </w:div>
    <w:div w:id="242762550">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59416998">
      <w:bodyDiv w:val="1"/>
      <w:marLeft w:val="0"/>
      <w:marRight w:val="0"/>
      <w:marTop w:val="0"/>
      <w:marBottom w:val="0"/>
      <w:divBdr>
        <w:top w:val="none" w:sz="0" w:space="0" w:color="auto"/>
        <w:left w:val="none" w:sz="0" w:space="0" w:color="auto"/>
        <w:bottom w:val="none" w:sz="0" w:space="0" w:color="auto"/>
        <w:right w:val="none" w:sz="0" w:space="0" w:color="auto"/>
      </w:divBdr>
    </w:div>
    <w:div w:id="275140279">
      <w:bodyDiv w:val="1"/>
      <w:marLeft w:val="0"/>
      <w:marRight w:val="0"/>
      <w:marTop w:val="0"/>
      <w:marBottom w:val="0"/>
      <w:divBdr>
        <w:top w:val="none" w:sz="0" w:space="0" w:color="auto"/>
        <w:left w:val="none" w:sz="0" w:space="0" w:color="auto"/>
        <w:bottom w:val="none" w:sz="0" w:space="0" w:color="auto"/>
        <w:right w:val="none" w:sz="0" w:space="0" w:color="auto"/>
      </w:divBdr>
    </w:div>
    <w:div w:id="278419573">
      <w:bodyDiv w:val="1"/>
      <w:marLeft w:val="0"/>
      <w:marRight w:val="0"/>
      <w:marTop w:val="0"/>
      <w:marBottom w:val="0"/>
      <w:divBdr>
        <w:top w:val="none" w:sz="0" w:space="0" w:color="auto"/>
        <w:left w:val="none" w:sz="0" w:space="0" w:color="auto"/>
        <w:bottom w:val="none" w:sz="0" w:space="0" w:color="auto"/>
        <w:right w:val="none" w:sz="0" w:space="0" w:color="auto"/>
      </w:divBdr>
    </w:div>
    <w:div w:id="323514875">
      <w:bodyDiv w:val="1"/>
      <w:marLeft w:val="0"/>
      <w:marRight w:val="0"/>
      <w:marTop w:val="0"/>
      <w:marBottom w:val="0"/>
      <w:divBdr>
        <w:top w:val="none" w:sz="0" w:space="0" w:color="auto"/>
        <w:left w:val="none" w:sz="0" w:space="0" w:color="auto"/>
        <w:bottom w:val="none" w:sz="0" w:space="0" w:color="auto"/>
        <w:right w:val="none" w:sz="0" w:space="0" w:color="auto"/>
      </w:divBdr>
    </w:div>
    <w:div w:id="330528777">
      <w:bodyDiv w:val="1"/>
      <w:marLeft w:val="0"/>
      <w:marRight w:val="0"/>
      <w:marTop w:val="0"/>
      <w:marBottom w:val="0"/>
      <w:divBdr>
        <w:top w:val="none" w:sz="0" w:space="0" w:color="auto"/>
        <w:left w:val="none" w:sz="0" w:space="0" w:color="auto"/>
        <w:bottom w:val="none" w:sz="0" w:space="0" w:color="auto"/>
        <w:right w:val="none" w:sz="0" w:space="0" w:color="auto"/>
      </w:divBdr>
    </w:div>
    <w:div w:id="337582274">
      <w:bodyDiv w:val="1"/>
      <w:marLeft w:val="0"/>
      <w:marRight w:val="0"/>
      <w:marTop w:val="0"/>
      <w:marBottom w:val="0"/>
      <w:divBdr>
        <w:top w:val="none" w:sz="0" w:space="0" w:color="auto"/>
        <w:left w:val="none" w:sz="0" w:space="0" w:color="auto"/>
        <w:bottom w:val="none" w:sz="0" w:space="0" w:color="auto"/>
        <w:right w:val="none" w:sz="0" w:space="0" w:color="auto"/>
      </w:divBdr>
    </w:div>
    <w:div w:id="339889787">
      <w:bodyDiv w:val="1"/>
      <w:marLeft w:val="0"/>
      <w:marRight w:val="0"/>
      <w:marTop w:val="0"/>
      <w:marBottom w:val="0"/>
      <w:divBdr>
        <w:top w:val="none" w:sz="0" w:space="0" w:color="auto"/>
        <w:left w:val="none" w:sz="0" w:space="0" w:color="auto"/>
        <w:bottom w:val="none" w:sz="0" w:space="0" w:color="auto"/>
        <w:right w:val="none" w:sz="0" w:space="0" w:color="auto"/>
      </w:divBdr>
    </w:div>
    <w:div w:id="362217625">
      <w:bodyDiv w:val="1"/>
      <w:marLeft w:val="0"/>
      <w:marRight w:val="0"/>
      <w:marTop w:val="0"/>
      <w:marBottom w:val="0"/>
      <w:divBdr>
        <w:top w:val="none" w:sz="0" w:space="0" w:color="auto"/>
        <w:left w:val="none" w:sz="0" w:space="0" w:color="auto"/>
        <w:bottom w:val="none" w:sz="0" w:space="0" w:color="auto"/>
        <w:right w:val="none" w:sz="0" w:space="0" w:color="auto"/>
      </w:divBdr>
    </w:div>
    <w:div w:id="366221071">
      <w:bodyDiv w:val="1"/>
      <w:marLeft w:val="0"/>
      <w:marRight w:val="0"/>
      <w:marTop w:val="0"/>
      <w:marBottom w:val="0"/>
      <w:divBdr>
        <w:top w:val="none" w:sz="0" w:space="0" w:color="auto"/>
        <w:left w:val="none" w:sz="0" w:space="0" w:color="auto"/>
        <w:bottom w:val="none" w:sz="0" w:space="0" w:color="auto"/>
        <w:right w:val="none" w:sz="0" w:space="0" w:color="auto"/>
      </w:divBdr>
    </w:div>
    <w:div w:id="366952287">
      <w:bodyDiv w:val="1"/>
      <w:marLeft w:val="0"/>
      <w:marRight w:val="0"/>
      <w:marTop w:val="0"/>
      <w:marBottom w:val="0"/>
      <w:divBdr>
        <w:top w:val="none" w:sz="0" w:space="0" w:color="auto"/>
        <w:left w:val="none" w:sz="0" w:space="0" w:color="auto"/>
        <w:bottom w:val="none" w:sz="0" w:space="0" w:color="auto"/>
        <w:right w:val="none" w:sz="0" w:space="0" w:color="auto"/>
      </w:divBdr>
    </w:div>
    <w:div w:id="370883335">
      <w:bodyDiv w:val="1"/>
      <w:marLeft w:val="0"/>
      <w:marRight w:val="0"/>
      <w:marTop w:val="0"/>
      <w:marBottom w:val="0"/>
      <w:divBdr>
        <w:top w:val="none" w:sz="0" w:space="0" w:color="auto"/>
        <w:left w:val="none" w:sz="0" w:space="0" w:color="auto"/>
        <w:bottom w:val="none" w:sz="0" w:space="0" w:color="auto"/>
        <w:right w:val="none" w:sz="0" w:space="0" w:color="auto"/>
      </w:divBdr>
    </w:div>
    <w:div w:id="37469331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39578835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10005581">
      <w:bodyDiv w:val="1"/>
      <w:marLeft w:val="0"/>
      <w:marRight w:val="0"/>
      <w:marTop w:val="0"/>
      <w:marBottom w:val="0"/>
      <w:divBdr>
        <w:top w:val="none" w:sz="0" w:space="0" w:color="auto"/>
        <w:left w:val="none" w:sz="0" w:space="0" w:color="auto"/>
        <w:bottom w:val="none" w:sz="0" w:space="0" w:color="auto"/>
        <w:right w:val="none" w:sz="0" w:space="0" w:color="auto"/>
      </w:divBdr>
    </w:div>
    <w:div w:id="421336464">
      <w:bodyDiv w:val="1"/>
      <w:marLeft w:val="0"/>
      <w:marRight w:val="0"/>
      <w:marTop w:val="0"/>
      <w:marBottom w:val="0"/>
      <w:divBdr>
        <w:top w:val="none" w:sz="0" w:space="0" w:color="auto"/>
        <w:left w:val="none" w:sz="0" w:space="0" w:color="auto"/>
        <w:bottom w:val="none" w:sz="0" w:space="0" w:color="auto"/>
        <w:right w:val="none" w:sz="0" w:space="0" w:color="auto"/>
      </w:divBdr>
    </w:div>
    <w:div w:id="426075314">
      <w:bodyDiv w:val="1"/>
      <w:marLeft w:val="0"/>
      <w:marRight w:val="0"/>
      <w:marTop w:val="0"/>
      <w:marBottom w:val="0"/>
      <w:divBdr>
        <w:top w:val="none" w:sz="0" w:space="0" w:color="auto"/>
        <w:left w:val="none" w:sz="0" w:space="0" w:color="auto"/>
        <w:bottom w:val="none" w:sz="0" w:space="0" w:color="auto"/>
        <w:right w:val="none" w:sz="0" w:space="0" w:color="auto"/>
      </w:divBdr>
    </w:div>
    <w:div w:id="429081010">
      <w:bodyDiv w:val="1"/>
      <w:marLeft w:val="0"/>
      <w:marRight w:val="0"/>
      <w:marTop w:val="0"/>
      <w:marBottom w:val="0"/>
      <w:divBdr>
        <w:top w:val="none" w:sz="0" w:space="0" w:color="auto"/>
        <w:left w:val="none" w:sz="0" w:space="0" w:color="auto"/>
        <w:bottom w:val="none" w:sz="0" w:space="0" w:color="auto"/>
        <w:right w:val="none" w:sz="0" w:space="0" w:color="auto"/>
      </w:divBdr>
    </w:div>
    <w:div w:id="436679970">
      <w:bodyDiv w:val="1"/>
      <w:marLeft w:val="0"/>
      <w:marRight w:val="0"/>
      <w:marTop w:val="0"/>
      <w:marBottom w:val="0"/>
      <w:divBdr>
        <w:top w:val="none" w:sz="0" w:space="0" w:color="auto"/>
        <w:left w:val="none" w:sz="0" w:space="0" w:color="auto"/>
        <w:bottom w:val="none" w:sz="0" w:space="0" w:color="auto"/>
        <w:right w:val="none" w:sz="0" w:space="0" w:color="auto"/>
      </w:divBdr>
    </w:div>
    <w:div w:id="438795002">
      <w:bodyDiv w:val="1"/>
      <w:marLeft w:val="0"/>
      <w:marRight w:val="0"/>
      <w:marTop w:val="0"/>
      <w:marBottom w:val="0"/>
      <w:divBdr>
        <w:top w:val="none" w:sz="0" w:space="0" w:color="auto"/>
        <w:left w:val="none" w:sz="0" w:space="0" w:color="auto"/>
        <w:bottom w:val="none" w:sz="0" w:space="0" w:color="auto"/>
        <w:right w:val="none" w:sz="0" w:space="0" w:color="auto"/>
      </w:divBdr>
    </w:div>
    <w:div w:id="440497189">
      <w:bodyDiv w:val="1"/>
      <w:marLeft w:val="0"/>
      <w:marRight w:val="0"/>
      <w:marTop w:val="0"/>
      <w:marBottom w:val="0"/>
      <w:divBdr>
        <w:top w:val="none" w:sz="0" w:space="0" w:color="auto"/>
        <w:left w:val="none" w:sz="0" w:space="0" w:color="auto"/>
        <w:bottom w:val="none" w:sz="0" w:space="0" w:color="auto"/>
        <w:right w:val="none" w:sz="0" w:space="0" w:color="auto"/>
      </w:divBdr>
    </w:div>
    <w:div w:id="453595291">
      <w:bodyDiv w:val="1"/>
      <w:marLeft w:val="0"/>
      <w:marRight w:val="0"/>
      <w:marTop w:val="0"/>
      <w:marBottom w:val="0"/>
      <w:divBdr>
        <w:top w:val="none" w:sz="0" w:space="0" w:color="auto"/>
        <w:left w:val="none" w:sz="0" w:space="0" w:color="auto"/>
        <w:bottom w:val="none" w:sz="0" w:space="0" w:color="auto"/>
        <w:right w:val="none" w:sz="0" w:space="0" w:color="auto"/>
      </w:divBdr>
      <w:divsChild>
        <w:div w:id="936911378">
          <w:marLeft w:val="0"/>
          <w:marRight w:val="0"/>
          <w:marTop w:val="0"/>
          <w:marBottom w:val="0"/>
          <w:divBdr>
            <w:top w:val="none" w:sz="0" w:space="0" w:color="auto"/>
            <w:left w:val="none" w:sz="0" w:space="0" w:color="auto"/>
            <w:bottom w:val="none" w:sz="0" w:space="0" w:color="auto"/>
            <w:right w:val="none" w:sz="0" w:space="0" w:color="auto"/>
          </w:divBdr>
          <w:divsChild>
            <w:div w:id="1018656037">
              <w:marLeft w:val="0"/>
              <w:marRight w:val="0"/>
              <w:marTop w:val="0"/>
              <w:marBottom w:val="0"/>
              <w:divBdr>
                <w:top w:val="none" w:sz="0" w:space="0" w:color="auto"/>
                <w:left w:val="none" w:sz="0" w:space="0" w:color="auto"/>
                <w:bottom w:val="none" w:sz="0" w:space="0" w:color="auto"/>
                <w:right w:val="none" w:sz="0" w:space="0" w:color="auto"/>
              </w:divBdr>
              <w:divsChild>
                <w:div w:id="12210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9615">
      <w:bodyDiv w:val="1"/>
      <w:marLeft w:val="0"/>
      <w:marRight w:val="0"/>
      <w:marTop w:val="0"/>
      <w:marBottom w:val="0"/>
      <w:divBdr>
        <w:top w:val="none" w:sz="0" w:space="0" w:color="auto"/>
        <w:left w:val="none" w:sz="0" w:space="0" w:color="auto"/>
        <w:bottom w:val="none" w:sz="0" w:space="0" w:color="auto"/>
        <w:right w:val="none" w:sz="0" w:space="0" w:color="auto"/>
      </w:divBdr>
    </w:div>
    <w:div w:id="499196987">
      <w:bodyDiv w:val="1"/>
      <w:marLeft w:val="0"/>
      <w:marRight w:val="0"/>
      <w:marTop w:val="0"/>
      <w:marBottom w:val="0"/>
      <w:divBdr>
        <w:top w:val="none" w:sz="0" w:space="0" w:color="auto"/>
        <w:left w:val="none" w:sz="0" w:space="0" w:color="auto"/>
        <w:bottom w:val="none" w:sz="0" w:space="0" w:color="auto"/>
        <w:right w:val="none" w:sz="0" w:space="0" w:color="auto"/>
      </w:divBdr>
    </w:div>
    <w:div w:id="513302806">
      <w:bodyDiv w:val="1"/>
      <w:marLeft w:val="0"/>
      <w:marRight w:val="0"/>
      <w:marTop w:val="0"/>
      <w:marBottom w:val="0"/>
      <w:divBdr>
        <w:top w:val="none" w:sz="0" w:space="0" w:color="auto"/>
        <w:left w:val="none" w:sz="0" w:space="0" w:color="auto"/>
        <w:bottom w:val="none" w:sz="0" w:space="0" w:color="auto"/>
        <w:right w:val="none" w:sz="0" w:space="0" w:color="auto"/>
      </w:divBdr>
    </w:div>
    <w:div w:id="524631685">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1504456">
      <w:bodyDiv w:val="1"/>
      <w:marLeft w:val="0"/>
      <w:marRight w:val="0"/>
      <w:marTop w:val="0"/>
      <w:marBottom w:val="0"/>
      <w:divBdr>
        <w:top w:val="none" w:sz="0" w:space="0" w:color="auto"/>
        <w:left w:val="none" w:sz="0" w:space="0" w:color="auto"/>
        <w:bottom w:val="none" w:sz="0" w:space="0" w:color="auto"/>
        <w:right w:val="none" w:sz="0" w:space="0" w:color="auto"/>
      </w:divBdr>
    </w:div>
    <w:div w:id="533230045">
      <w:bodyDiv w:val="1"/>
      <w:marLeft w:val="0"/>
      <w:marRight w:val="0"/>
      <w:marTop w:val="0"/>
      <w:marBottom w:val="0"/>
      <w:divBdr>
        <w:top w:val="none" w:sz="0" w:space="0" w:color="auto"/>
        <w:left w:val="none" w:sz="0" w:space="0" w:color="auto"/>
        <w:bottom w:val="none" w:sz="0" w:space="0" w:color="auto"/>
        <w:right w:val="none" w:sz="0" w:space="0" w:color="auto"/>
      </w:divBdr>
    </w:div>
    <w:div w:id="538978521">
      <w:bodyDiv w:val="1"/>
      <w:marLeft w:val="0"/>
      <w:marRight w:val="0"/>
      <w:marTop w:val="0"/>
      <w:marBottom w:val="0"/>
      <w:divBdr>
        <w:top w:val="none" w:sz="0" w:space="0" w:color="auto"/>
        <w:left w:val="none" w:sz="0" w:space="0" w:color="auto"/>
        <w:bottom w:val="none" w:sz="0" w:space="0" w:color="auto"/>
        <w:right w:val="none" w:sz="0" w:space="0" w:color="auto"/>
      </w:divBdr>
    </w:div>
    <w:div w:id="551159037">
      <w:bodyDiv w:val="1"/>
      <w:marLeft w:val="0"/>
      <w:marRight w:val="0"/>
      <w:marTop w:val="0"/>
      <w:marBottom w:val="0"/>
      <w:divBdr>
        <w:top w:val="none" w:sz="0" w:space="0" w:color="auto"/>
        <w:left w:val="none" w:sz="0" w:space="0" w:color="auto"/>
        <w:bottom w:val="none" w:sz="0" w:space="0" w:color="auto"/>
        <w:right w:val="none" w:sz="0" w:space="0" w:color="auto"/>
      </w:divBdr>
    </w:div>
    <w:div w:id="559288791">
      <w:bodyDiv w:val="1"/>
      <w:marLeft w:val="0"/>
      <w:marRight w:val="0"/>
      <w:marTop w:val="0"/>
      <w:marBottom w:val="0"/>
      <w:divBdr>
        <w:top w:val="none" w:sz="0" w:space="0" w:color="auto"/>
        <w:left w:val="none" w:sz="0" w:space="0" w:color="auto"/>
        <w:bottom w:val="none" w:sz="0" w:space="0" w:color="auto"/>
        <w:right w:val="none" w:sz="0" w:space="0" w:color="auto"/>
      </w:divBdr>
    </w:div>
    <w:div w:id="574780738">
      <w:bodyDiv w:val="1"/>
      <w:marLeft w:val="0"/>
      <w:marRight w:val="0"/>
      <w:marTop w:val="0"/>
      <w:marBottom w:val="0"/>
      <w:divBdr>
        <w:top w:val="none" w:sz="0" w:space="0" w:color="auto"/>
        <w:left w:val="none" w:sz="0" w:space="0" w:color="auto"/>
        <w:bottom w:val="none" w:sz="0" w:space="0" w:color="auto"/>
        <w:right w:val="none" w:sz="0" w:space="0" w:color="auto"/>
      </w:divBdr>
      <w:divsChild>
        <w:div w:id="1346784903">
          <w:marLeft w:val="0"/>
          <w:marRight w:val="0"/>
          <w:marTop w:val="0"/>
          <w:marBottom w:val="0"/>
          <w:divBdr>
            <w:top w:val="none" w:sz="0" w:space="0" w:color="auto"/>
            <w:left w:val="none" w:sz="0" w:space="0" w:color="auto"/>
            <w:bottom w:val="none" w:sz="0" w:space="0" w:color="auto"/>
            <w:right w:val="none" w:sz="0" w:space="0" w:color="auto"/>
          </w:divBdr>
          <w:divsChild>
            <w:div w:id="2053723307">
              <w:marLeft w:val="0"/>
              <w:marRight w:val="0"/>
              <w:marTop w:val="0"/>
              <w:marBottom w:val="0"/>
              <w:divBdr>
                <w:top w:val="none" w:sz="0" w:space="0" w:color="auto"/>
                <w:left w:val="none" w:sz="0" w:space="0" w:color="auto"/>
                <w:bottom w:val="none" w:sz="0" w:space="0" w:color="auto"/>
                <w:right w:val="none" w:sz="0" w:space="0" w:color="auto"/>
              </w:divBdr>
              <w:divsChild>
                <w:div w:id="7993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371702">
      <w:bodyDiv w:val="1"/>
      <w:marLeft w:val="0"/>
      <w:marRight w:val="0"/>
      <w:marTop w:val="0"/>
      <w:marBottom w:val="0"/>
      <w:divBdr>
        <w:top w:val="none" w:sz="0" w:space="0" w:color="auto"/>
        <w:left w:val="none" w:sz="0" w:space="0" w:color="auto"/>
        <w:bottom w:val="none" w:sz="0" w:space="0" w:color="auto"/>
        <w:right w:val="none" w:sz="0" w:space="0" w:color="auto"/>
      </w:divBdr>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27854315">
      <w:bodyDiv w:val="1"/>
      <w:marLeft w:val="0"/>
      <w:marRight w:val="0"/>
      <w:marTop w:val="0"/>
      <w:marBottom w:val="0"/>
      <w:divBdr>
        <w:top w:val="none" w:sz="0" w:space="0" w:color="auto"/>
        <w:left w:val="none" w:sz="0" w:space="0" w:color="auto"/>
        <w:bottom w:val="none" w:sz="0" w:space="0" w:color="auto"/>
        <w:right w:val="none" w:sz="0" w:space="0" w:color="auto"/>
      </w:divBdr>
    </w:div>
    <w:div w:id="636952163">
      <w:bodyDiv w:val="1"/>
      <w:marLeft w:val="0"/>
      <w:marRight w:val="0"/>
      <w:marTop w:val="0"/>
      <w:marBottom w:val="0"/>
      <w:divBdr>
        <w:top w:val="none" w:sz="0" w:space="0" w:color="auto"/>
        <w:left w:val="none" w:sz="0" w:space="0" w:color="auto"/>
        <w:bottom w:val="none" w:sz="0" w:space="0" w:color="auto"/>
        <w:right w:val="none" w:sz="0" w:space="0" w:color="auto"/>
      </w:divBdr>
    </w:div>
    <w:div w:id="645016524">
      <w:bodyDiv w:val="1"/>
      <w:marLeft w:val="0"/>
      <w:marRight w:val="0"/>
      <w:marTop w:val="0"/>
      <w:marBottom w:val="0"/>
      <w:divBdr>
        <w:top w:val="none" w:sz="0" w:space="0" w:color="auto"/>
        <w:left w:val="none" w:sz="0" w:space="0" w:color="auto"/>
        <w:bottom w:val="none" w:sz="0" w:space="0" w:color="auto"/>
        <w:right w:val="none" w:sz="0" w:space="0" w:color="auto"/>
      </w:divBdr>
      <w:divsChild>
        <w:div w:id="1627075929">
          <w:marLeft w:val="0"/>
          <w:marRight w:val="0"/>
          <w:marTop w:val="0"/>
          <w:marBottom w:val="0"/>
          <w:divBdr>
            <w:top w:val="none" w:sz="0" w:space="0" w:color="auto"/>
            <w:left w:val="none" w:sz="0" w:space="0" w:color="auto"/>
            <w:bottom w:val="none" w:sz="0" w:space="0" w:color="auto"/>
            <w:right w:val="none" w:sz="0" w:space="0" w:color="auto"/>
          </w:divBdr>
          <w:divsChild>
            <w:div w:id="313335499">
              <w:marLeft w:val="0"/>
              <w:marRight w:val="0"/>
              <w:marTop w:val="0"/>
              <w:marBottom w:val="0"/>
              <w:divBdr>
                <w:top w:val="none" w:sz="0" w:space="0" w:color="auto"/>
                <w:left w:val="none" w:sz="0" w:space="0" w:color="auto"/>
                <w:bottom w:val="none" w:sz="0" w:space="0" w:color="auto"/>
                <w:right w:val="none" w:sz="0" w:space="0" w:color="auto"/>
              </w:divBdr>
              <w:divsChild>
                <w:div w:id="21252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64477190">
      <w:bodyDiv w:val="1"/>
      <w:marLeft w:val="0"/>
      <w:marRight w:val="0"/>
      <w:marTop w:val="0"/>
      <w:marBottom w:val="0"/>
      <w:divBdr>
        <w:top w:val="none" w:sz="0" w:space="0" w:color="auto"/>
        <w:left w:val="none" w:sz="0" w:space="0" w:color="auto"/>
        <w:bottom w:val="none" w:sz="0" w:space="0" w:color="auto"/>
        <w:right w:val="none" w:sz="0" w:space="0" w:color="auto"/>
      </w:divBdr>
    </w:div>
    <w:div w:id="67360632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13385382">
      <w:bodyDiv w:val="1"/>
      <w:marLeft w:val="0"/>
      <w:marRight w:val="0"/>
      <w:marTop w:val="0"/>
      <w:marBottom w:val="0"/>
      <w:divBdr>
        <w:top w:val="none" w:sz="0" w:space="0" w:color="auto"/>
        <w:left w:val="none" w:sz="0" w:space="0" w:color="auto"/>
        <w:bottom w:val="none" w:sz="0" w:space="0" w:color="auto"/>
        <w:right w:val="none" w:sz="0" w:space="0" w:color="auto"/>
      </w:divBdr>
    </w:div>
    <w:div w:id="713702019">
      <w:bodyDiv w:val="1"/>
      <w:marLeft w:val="0"/>
      <w:marRight w:val="0"/>
      <w:marTop w:val="0"/>
      <w:marBottom w:val="0"/>
      <w:divBdr>
        <w:top w:val="none" w:sz="0" w:space="0" w:color="auto"/>
        <w:left w:val="none" w:sz="0" w:space="0" w:color="auto"/>
        <w:bottom w:val="none" w:sz="0" w:space="0" w:color="auto"/>
        <w:right w:val="none" w:sz="0" w:space="0" w:color="auto"/>
      </w:divBdr>
    </w:div>
    <w:div w:id="71866991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814107614">
      <w:bodyDiv w:val="1"/>
      <w:marLeft w:val="0"/>
      <w:marRight w:val="0"/>
      <w:marTop w:val="0"/>
      <w:marBottom w:val="0"/>
      <w:divBdr>
        <w:top w:val="none" w:sz="0" w:space="0" w:color="auto"/>
        <w:left w:val="none" w:sz="0" w:space="0" w:color="auto"/>
        <w:bottom w:val="none" w:sz="0" w:space="0" w:color="auto"/>
        <w:right w:val="none" w:sz="0" w:space="0" w:color="auto"/>
      </w:divBdr>
    </w:div>
    <w:div w:id="816989891">
      <w:bodyDiv w:val="1"/>
      <w:marLeft w:val="0"/>
      <w:marRight w:val="0"/>
      <w:marTop w:val="0"/>
      <w:marBottom w:val="0"/>
      <w:divBdr>
        <w:top w:val="none" w:sz="0" w:space="0" w:color="auto"/>
        <w:left w:val="none" w:sz="0" w:space="0" w:color="auto"/>
        <w:bottom w:val="none" w:sz="0" w:space="0" w:color="auto"/>
        <w:right w:val="none" w:sz="0" w:space="0" w:color="auto"/>
      </w:divBdr>
    </w:div>
    <w:div w:id="821047811">
      <w:bodyDiv w:val="1"/>
      <w:marLeft w:val="0"/>
      <w:marRight w:val="0"/>
      <w:marTop w:val="0"/>
      <w:marBottom w:val="0"/>
      <w:divBdr>
        <w:top w:val="none" w:sz="0" w:space="0" w:color="auto"/>
        <w:left w:val="none" w:sz="0" w:space="0" w:color="auto"/>
        <w:bottom w:val="none" w:sz="0" w:space="0" w:color="auto"/>
        <w:right w:val="none" w:sz="0" w:space="0" w:color="auto"/>
      </w:divBdr>
    </w:div>
    <w:div w:id="836462573">
      <w:bodyDiv w:val="1"/>
      <w:marLeft w:val="0"/>
      <w:marRight w:val="0"/>
      <w:marTop w:val="0"/>
      <w:marBottom w:val="0"/>
      <w:divBdr>
        <w:top w:val="none" w:sz="0" w:space="0" w:color="auto"/>
        <w:left w:val="none" w:sz="0" w:space="0" w:color="auto"/>
        <w:bottom w:val="none" w:sz="0" w:space="0" w:color="auto"/>
        <w:right w:val="none" w:sz="0" w:space="0" w:color="auto"/>
      </w:divBdr>
    </w:div>
    <w:div w:id="859317776">
      <w:bodyDiv w:val="1"/>
      <w:marLeft w:val="0"/>
      <w:marRight w:val="0"/>
      <w:marTop w:val="0"/>
      <w:marBottom w:val="0"/>
      <w:divBdr>
        <w:top w:val="none" w:sz="0" w:space="0" w:color="auto"/>
        <w:left w:val="none" w:sz="0" w:space="0" w:color="auto"/>
        <w:bottom w:val="none" w:sz="0" w:space="0" w:color="auto"/>
        <w:right w:val="none" w:sz="0" w:space="0" w:color="auto"/>
      </w:divBdr>
    </w:div>
    <w:div w:id="868296215">
      <w:bodyDiv w:val="1"/>
      <w:marLeft w:val="0"/>
      <w:marRight w:val="0"/>
      <w:marTop w:val="0"/>
      <w:marBottom w:val="0"/>
      <w:divBdr>
        <w:top w:val="none" w:sz="0" w:space="0" w:color="auto"/>
        <w:left w:val="none" w:sz="0" w:space="0" w:color="auto"/>
        <w:bottom w:val="none" w:sz="0" w:space="0" w:color="auto"/>
        <w:right w:val="none" w:sz="0" w:space="0" w:color="auto"/>
      </w:divBdr>
    </w:div>
    <w:div w:id="869728356">
      <w:bodyDiv w:val="1"/>
      <w:marLeft w:val="0"/>
      <w:marRight w:val="0"/>
      <w:marTop w:val="0"/>
      <w:marBottom w:val="0"/>
      <w:divBdr>
        <w:top w:val="none" w:sz="0" w:space="0" w:color="auto"/>
        <w:left w:val="none" w:sz="0" w:space="0" w:color="auto"/>
        <w:bottom w:val="none" w:sz="0" w:space="0" w:color="auto"/>
        <w:right w:val="none" w:sz="0" w:space="0" w:color="auto"/>
      </w:divBdr>
      <w:divsChild>
        <w:div w:id="1525705176">
          <w:marLeft w:val="0"/>
          <w:marRight w:val="0"/>
          <w:marTop w:val="0"/>
          <w:marBottom w:val="0"/>
          <w:divBdr>
            <w:top w:val="none" w:sz="0" w:space="0" w:color="auto"/>
            <w:left w:val="none" w:sz="0" w:space="0" w:color="auto"/>
            <w:bottom w:val="none" w:sz="0" w:space="0" w:color="auto"/>
            <w:right w:val="none" w:sz="0" w:space="0" w:color="auto"/>
          </w:divBdr>
        </w:div>
      </w:divsChild>
    </w:div>
    <w:div w:id="871460867">
      <w:bodyDiv w:val="1"/>
      <w:marLeft w:val="0"/>
      <w:marRight w:val="0"/>
      <w:marTop w:val="0"/>
      <w:marBottom w:val="0"/>
      <w:divBdr>
        <w:top w:val="none" w:sz="0" w:space="0" w:color="auto"/>
        <w:left w:val="none" w:sz="0" w:space="0" w:color="auto"/>
        <w:bottom w:val="none" w:sz="0" w:space="0" w:color="auto"/>
        <w:right w:val="none" w:sz="0" w:space="0" w:color="auto"/>
      </w:divBdr>
      <w:divsChild>
        <w:div w:id="1647081505">
          <w:marLeft w:val="0"/>
          <w:marRight w:val="0"/>
          <w:marTop w:val="0"/>
          <w:marBottom w:val="0"/>
          <w:divBdr>
            <w:top w:val="none" w:sz="0" w:space="0" w:color="auto"/>
            <w:left w:val="none" w:sz="0" w:space="0" w:color="auto"/>
            <w:bottom w:val="none" w:sz="0" w:space="0" w:color="auto"/>
            <w:right w:val="none" w:sz="0" w:space="0" w:color="auto"/>
          </w:divBdr>
          <w:divsChild>
            <w:div w:id="885265268">
              <w:marLeft w:val="0"/>
              <w:marRight w:val="0"/>
              <w:marTop w:val="0"/>
              <w:marBottom w:val="0"/>
              <w:divBdr>
                <w:top w:val="none" w:sz="0" w:space="0" w:color="auto"/>
                <w:left w:val="none" w:sz="0" w:space="0" w:color="auto"/>
                <w:bottom w:val="none" w:sz="0" w:space="0" w:color="auto"/>
                <w:right w:val="none" w:sz="0" w:space="0" w:color="auto"/>
              </w:divBdr>
              <w:divsChild>
                <w:div w:id="6668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0924">
      <w:bodyDiv w:val="1"/>
      <w:marLeft w:val="0"/>
      <w:marRight w:val="0"/>
      <w:marTop w:val="0"/>
      <w:marBottom w:val="0"/>
      <w:divBdr>
        <w:top w:val="none" w:sz="0" w:space="0" w:color="auto"/>
        <w:left w:val="none" w:sz="0" w:space="0" w:color="auto"/>
        <w:bottom w:val="none" w:sz="0" w:space="0" w:color="auto"/>
        <w:right w:val="none" w:sz="0" w:space="0" w:color="auto"/>
      </w:divBdr>
    </w:div>
    <w:div w:id="888154469">
      <w:bodyDiv w:val="1"/>
      <w:marLeft w:val="0"/>
      <w:marRight w:val="0"/>
      <w:marTop w:val="0"/>
      <w:marBottom w:val="0"/>
      <w:divBdr>
        <w:top w:val="none" w:sz="0" w:space="0" w:color="auto"/>
        <w:left w:val="none" w:sz="0" w:space="0" w:color="auto"/>
        <w:bottom w:val="none" w:sz="0" w:space="0" w:color="auto"/>
        <w:right w:val="none" w:sz="0" w:space="0" w:color="auto"/>
      </w:divBdr>
      <w:divsChild>
        <w:div w:id="1445735438">
          <w:marLeft w:val="0"/>
          <w:marRight w:val="0"/>
          <w:marTop w:val="0"/>
          <w:marBottom w:val="0"/>
          <w:divBdr>
            <w:top w:val="none" w:sz="0" w:space="0" w:color="auto"/>
            <w:left w:val="none" w:sz="0" w:space="0" w:color="auto"/>
            <w:bottom w:val="none" w:sz="0" w:space="0" w:color="auto"/>
            <w:right w:val="none" w:sz="0" w:space="0" w:color="auto"/>
          </w:divBdr>
          <w:divsChild>
            <w:div w:id="623511291">
              <w:marLeft w:val="0"/>
              <w:marRight w:val="0"/>
              <w:marTop w:val="0"/>
              <w:marBottom w:val="0"/>
              <w:divBdr>
                <w:top w:val="none" w:sz="0" w:space="0" w:color="auto"/>
                <w:left w:val="none" w:sz="0" w:space="0" w:color="auto"/>
                <w:bottom w:val="none" w:sz="0" w:space="0" w:color="auto"/>
                <w:right w:val="none" w:sz="0" w:space="0" w:color="auto"/>
              </w:divBdr>
              <w:divsChild>
                <w:div w:id="1511946549">
                  <w:marLeft w:val="0"/>
                  <w:marRight w:val="0"/>
                  <w:marTop w:val="0"/>
                  <w:marBottom w:val="0"/>
                  <w:divBdr>
                    <w:top w:val="none" w:sz="0" w:space="0" w:color="auto"/>
                    <w:left w:val="none" w:sz="0" w:space="0" w:color="auto"/>
                    <w:bottom w:val="none" w:sz="0" w:space="0" w:color="auto"/>
                    <w:right w:val="none" w:sz="0" w:space="0" w:color="auto"/>
                  </w:divBdr>
                  <w:divsChild>
                    <w:div w:id="10327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92816">
      <w:bodyDiv w:val="1"/>
      <w:marLeft w:val="0"/>
      <w:marRight w:val="0"/>
      <w:marTop w:val="0"/>
      <w:marBottom w:val="0"/>
      <w:divBdr>
        <w:top w:val="none" w:sz="0" w:space="0" w:color="auto"/>
        <w:left w:val="none" w:sz="0" w:space="0" w:color="auto"/>
        <w:bottom w:val="none" w:sz="0" w:space="0" w:color="auto"/>
        <w:right w:val="none" w:sz="0" w:space="0" w:color="auto"/>
      </w:divBdr>
    </w:div>
    <w:div w:id="893738569">
      <w:bodyDiv w:val="1"/>
      <w:marLeft w:val="0"/>
      <w:marRight w:val="0"/>
      <w:marTop w:val="0"/>
      <w:marBottom w:val="0"/>
      <w:divBdr>
        <w:top w:val="none" w:sz="0" w:space="0" w:color="auto"/>
        <w:left w:val="none" w:sz="0" w:space="0" w:color="auto"/>
        <w:bottom w:val="none" w:sz="0" w:space="0" w:color="auto"/>
        <w:right w:val="none" w:sz="0" w:space="0" w:color="auto"/>
      </w:divBdr>
      <w:divsChild>
        <w:div w:id="1643149265">
          <w:marLeft w:val="0"/>
          <w:marRight w:val="0"/>
          <w:marTop w:val="0"/>
          <w:marBottom w:val="0"/>
          <w:divBdr>
            <w:top w:val="none" w:sz="0" w:space="0" w:color="auto"/>
            <w:left w:val="none" w:sz="0" w:space="0" w:color="auto"/>
            <w:bottom w:val="none" w:sz="0" w:space="0" w:color="auto"/>
            <w:right w:val="none" w:sz="0" w:space="0" w:color="auto"/>
          </w:divBdr>
          <w:divsChild>
            <w:div w:id="94060851">
              <w:marLeft w:val="0"/>
              <w:marRight w:val="0"/>
              <w:marTop w:val="0"/>
              <w:marBottom w:val="0"/>
              <w:divBdr>
                <w:top w:val="none" w:sz="0" w:space="0" w:color="auto"/>
                <w:left w:val="none" w:sz="0" w:space="0" w:color="auto"/>
                <w:bottom w:val="none" w:sz="0" w:space="0" w:color="auto"/>
                <w:right w:val="none" w:sz="0" w:space="0" w:color="auto"/>
              </w:divBdr>
              <w:divsChild>
                <w:div w:id="13061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8913">
      <w:bodyDiv w:val="1"/>
      <w:marLeft w:val="0"/>
      <w:marRight w:val="0"/>
      <w:marTop w:val="0"/>
      <w:marBottom w:val="0"/>
      <w:divBdr>
        <w:top w:val="none" w:sz="0" w:space="0" w:color="auto"/>
        <w:left w:val="none" w:sz="0" w:space="0" w:color="auto"/>
        <w:bottom w:val="none" w:sz="0" w:space="0" w:color="auto"/>
        <w:right w:val="none" w:sz="0" w:space="0" w:color="auto"/>
      </w:divBdr>
    </w:div>
    <w:div w:id="926422982">
      <w:bodyDiv w:val="1"/>
      <w:marLeft w:val="0"/>
      <w:marRight w:val="0"/>
      <w:marTop w:val="0"/>
      <w:marBottom w:val="0"/>
      <w:divBdr>
        <w:top w:val="none" w:sz="0" w:space="0" w:color="auto"/>
        <w:left w:val="none" w:sz="0" w:space="0" w:color="auto"/>
        <w:bottom w:val="none" w:sz="0" w:space="0" w:color="auto"/>
        <w:right w:val="none" w:sz="0" w:space="0" w:color="auto"/>
      </w:divBdr>
    </w:div>
    <w:div w:id="937299879">
      <w:bodyDiv w:val="1"/>
      <w:marLeft w:val="0"/>
      <w:marRight w:val="0"/>
      <w:marTop w:val="0"/>
      <w:marBottom w:val="0"/>
      <w:divBdr>
        <w:top w:val="none" w:sz="0" w:space="0" w:color="auto"/>
        <w:left w:val="none" w:sz="0" w:space="0" w:color="auto"/>
        <w:bottom w:val="none" w:sz="0" w:space="0" w:color="auto"/>
        <w:right w:val="none" w:sz="0" w:space="0" w:color="auto"/>
      </w:divBdr>
    </w:div>
    <w:div w:id="950824220">
      <w:bodyDiv w:val="1"/>
      <w:marLeft w:val="0"/>
      <w:marRight w:val="0"/>
      <w:marTop w:val="0"/>
      <w:marBottom w:val="0"/>
      <w:divBdr>
        <w:top w:val="none" w:sz="0" w:space="0" w:color="auto"/>
        <w:left w:val="none" w:sz="0" w:space="0" w:color="auto"/>
        <w:bottom w:val="none" w:sz="0" w:space="0" w:color="auto"/>
        <w:right w:val="none" w:sz="0" w:space="0" w:color="auto"/>
      </w:divBdr>
    </w:div>
    <w:div w:id="973801621">
      <w:bodyDiv w:val="1"/>
      <w:marLeft w:val="0"/>
      <w:marRight w:val="0"/>
      <w:marTop w:val="0"/>
      <w:marBottom w:val="0"/>
      <w:divBdr>
        <w:top w:val="none" w:sz="0" w:space="0" w:color="auto"/>
        <w:left w:val="none" w:sz="0" w:space="0" w:color="auto"/>
        <w:bottom w:val="none" w:sz="0" w:space="0" w:color="auto"/>
        <w:right w:val="none" w:sz="0" w:space="0" w:color="auto"/>
      </w:divBdr>
    </w:div>
    <w:div w:id="980496106">
      <w:bodyDiv w:val="1"/>
      <w:marLeft w:val="0"/>
      <w:marRight w:val="0"/>
      <w:marTop w:val="0"/>
      <w:marBottom w:val="0"/>
      <w:divBdr>
        <w:top w:val="none" w:sz="0" w:space="0" w:color="auto"/>
        <w:left w:val="none" w:sz="0" w:space="0" w:color="auto"/>
        <w:bottom w:val="none" w:sz="0" w:space="0" w:color="auto"/>
        <w:right w:val="none" w:sz="0" w:space="0" w:color="auto"/>
      </w:divBdr>
    </w:div>
    <w:div w:id="980886986">
      <w:bodyDiv w:val="1"/>
      <w:marLeft w:val="0"/>
      <w:marRight w:val="0"/>
      <w:marTop w:val="0"/>
      <w:marBottom w:val="0"/>
      <w:divBdr>
        <w:top w:val="none" w:sz="0" w:space="0" w:color="auto"/>
        <w:left w:val="none" w:sz="0" w:space="0" w:color="auto"/>
        <w:bottom w:val="none" w:sz="0" w:space="0" w:color="auto"/>
        <w:right w:val="none" w:sz="0" w:space="0" w:color="auto"/>
      </w:divBdr>
    </w:div>
    <w:div w:id="987244559">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12491423">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51540299">
      <w:bodyDiv w:val="1"/>
      <w:marLeft w:val="0"/>
      <w:marRight w:val="0"/>
      <w:marTop w:val="0"/>
      <w:marBottom w:val="0"/>
      <w:divBdr>
        <w:top w:val="none" w:sz="0" w:space="0" w:color="auto"/>
        <w:left w:val="none" w:sz="0" w:space="0" w:color="auto"/>
        <w:bottom w:val="none" w:sz="0" w:space="0" w:color="auto"/>
        <w:right w:val="none" w:sz="0" w:space="0" w:color="auto"/>
      </w:divBdr>
    </w:div>
    <w:div w:id="1062369351">
      <w:bodyDiv w:val="1"/>
      <w:marLeft w:val="0"/>
      <w:marRight w:val="0"/>
      <w:marTop w:val="0"/>
      <w:marBottom w:val="0"/>
      <w:divBdr>
        <w:top w:val="none" w:sz="0" w:space="0" w:color="auto"/>
        <w:left w:val="none" w:sz="0" w:space="0" w:color="auto"/>
        <w:bottom w:val="none" w:sz="0" w:space="0" w:color="auto"/>
        <w:right w:val="none" w:sz="0" w:space="0" w:color="auto"/>
      </w:divBdr>
      <w:divsChild>
        <w:div w:id="507066624">
          <w:marLeft w:val="0"/>
          <w:marRight w:val="0"/>
          <w:marTop w:val="0"/>
          <w:marBottom w:val="0"/>
          <w:divBdr>
            <w:top w:val="none" w:sz="0" w:space="0" w:color="auto"/>
            <w:left w:val="none" w:sz="0" w:space="0" w:color="auto"/>
            <w:bottom w:val="none" w:sz="0" w:space="0" w:color="auto"/>
            <w:right w:val="none" w:sz="0" w:space="0" w:color="auto"/>
          </w:divBdr>
          <w:divsChild>
            <w:div w:id="577517859">
              <w:marLeft w:val="0"/>
              <w:marRight w:val="0"/>
              <w:marTop w:val="0"/>
              <w:marBottom w:val="0"/>
              <w:divBdr>
                <w:top w:val="none" w:sz="0" w:space="0" w:color="auto"/>
                <w:left w:val="none" w:sz="0" w:space="0" w:color="auto"/>
                <w:bottom w:val="none" w:sz="0" w:space="0" w:color="auto"/>
                <w:right w:val="none" w:sz="0" w:space="0" w:color="auto"/>
              </w:divBdr>
              <w:divsChild>
                <w:div w:id="2078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5421">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7673582">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12745997">
      <w:bodyDiv w:val="1"/>
      <w:marLeft w:val="0"/>
      <w:marRight w:val="0"/>
      <w:marTop w:val="0"/>
      <w:marBottom w:val="0"/>
      <w:divBdr>
        <w:top w:val="none" w:sz="0" w:space="0" w:color="auto"/>
        <w:left w:val="none" w:sz="0" w:space="0" w:color="auto"/>
        <w:bottom w:val="none" w:sz="0" w:space="0" w:color="auto"/>
        <w:right w:val="none" w:sz="0" w:space="0" w:color="auto"/>
      </w:divBdr>
    </w:div>
    <w:div w:id="1127118919">
      <w:bodyDiv w:val="1"/>
      <w:marLeft w:val="0"/>
      <w:marRight w:val="0"/>
      <w:marTop w:val="0"/>
      <w:marBottom w:val="0"/>
      <w:divBdr>
        <w:top w:val="none" w:sz="0" w:space="0" w:color="auto"/>
        <w:left w:val="none" w:sz="0" w:space="0" w:color="auto"/>
        <w:bottom w:val="none" w:sz="0" w:space="0" w:color="auto"/>
        <w:right w:val="none" w:sz="0" w:space="0" w:color="auto"/>
      </w:divBdr>
      <w:divsChild>
        <w:div w:id="821773131">
          <w:marLeft w:val="0"/>
          <w:marRight w:val="0"/>
          <w:marTop w:val="0"/>
          <w:marBottom w:val="0"/>
          <w:divBdr>
            <w:top w:val="none" w:sz="0" w:space="0" w:color="auto"/>
            <w:left w:val="none" w:sz="0" w:space="0" w:color="auto"/>
            <w:bottom w:val="none" w:sz="0" w:space="0" w:color="auto"/>
            <w:right w:val="none" w:sz="0" w:space="0" w:color="auto"/>
          </w:divBdr>
          <w:divsChild>
            <w:div w:id="1357853767">
              <w:marLeft w:val="0"/>
              <w:marRight w:val="0"/>
              <w:marTop w:val="0"/>
              <w:marBottom w:val="0"/>
              <w:divBdr>
                <w:top w:val="none" w:sz="0" w:space="0" w:color="auto"/>
                <w:left w:val="none" w:sz="0" w:space="0" w:color="auto"/>
                <w:bottom w:val="none" w:sz="0" w:space="0" w:color="auto"/>
                <w:right w:val="none" w:sz="0" w:space="0" w:color="auto"/>
              </w:divBdr>
              <w:divsChild>
                <w:div w:id="20765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9556">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198468880">
      <w:bodyDiv w:val="1"/>
      <w:marLeft w:val="0"/>
      <w:marRight w:val="0"/>
      <w:marTop w:val="0"/>
      <w:marBottom w:val="0"/>
      <w:divBdr>
        <w:top w:val="none" w:sz="0" w:space="0" w:color="auto"/>
        <w:left w:val="none" w:sz="0" w:space="0" w:color="auto"/>
        <w:bottom w:val="none" w:sz="0" w:space="0" w:color="auto"/>
        <w:right w:val="none" w:sz="0" w:space="0" w:color="auto"/>
      </w:divBdr>
      <w:divsChild>
        <w:div w:id="2096583240">
          <w:marLeft w:val="0"/>
          <w:marRight w:val="0"/>
          <w:marTop w:val="0"/>
          <w:marBottom w:val="0"/>
          <w:divBdr>
            <w:top w:val="none" w:sz="0" w:space="0" w:color="auto"/>
            <w:left w:val="none" w:sz="0" w:space="0" w:color="auto"/>
            <w:bottom w:val="none" w:sz="0" w:space="0" w:color="auto"/>
            <w:right w:val="none" w:sz="0" w:space="0" w:color="auto"/>
          </w:divBdr>
          <w:divsChild>
            <w:div w:id="174466631">
              <w:marLeft w:val="0"/>
              <w:marRight w:val="0"/>
              <w:marTop w:val="0"/>
              <w:marBottom w:val="0"/>
              <w:divBdr>
                <w:top w:val="none" w:sz="0" w:space="0" w:color="auto"/>
                <w:left w:val="none" w:sz="0" w:space="0" w:color="auto"/>
                <w:bottom w:val="none" w:sz="0" w:space="0" w:color="auto"/>
                <w:right w:val="none" w:sz="0" w:space="0" w:color="auto"/>
              </w:divBdr>
              <w:divsChild>
                <w:div w:id="1018653443">
                  <w:marLeft w:val="0"/>
                  <w:marRight w:val="0"/>
                  <w:marTop w:val="0"/>
                  <w:marBottom w:val="0"/>
                  <w:divBdr>
                    <w:top w:val="none" w:sz="0" w:space="0" w:color="auto"/>
                    <w:left w:val="none" w:sz="0" w:space="0" w:color="auto"/>
                    <w:bottom w:val="none" w:sz="0" w:space="0" w:color="auto"/>
                    <w:right w:val="none" w:sz="0" w:space="0" w:color="auto"/>
                  </w:divBdr>
                  <w:divsChild>
                    <w:div w:id="5506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75344">
      <w:bodyDiv w:val="1"/>
      <w:marLeft w:val="0"/>
      <w:marRight w:val="0"/>
      <w:marTop w:val="0"/>
      <w:marBottom w:val="0"/>
      <w:divBdr>
        <w:top w:val="none" w:sz="0" w:space="0" w:color="auto"/>
        <w:left w:val="none" w:sz="0" w:space="0" w:color="auto"/>
        <w:bottom w:val="none" w:sz="0" w:space="0" w:color="auto"/>
        <w:right w:val="none" w:sz="0" w:space="0" w:color="auto"/>
      </w:divBdr>
      <w:divsChild>
        <w:div w:id="1923907291">
          <w:marLeft w:val="0"/>
          <w:marRight w:val="0"/>
          <w:marTop w:val="0"/>
          <w:marBottom w:val="0"/>
          <w:divBdr>
            <w:top w:val="none" w:sz="0" w:space="0" w:color="auto"/>
            <w:left w:val="none" w:sz="0" w:space="0" w:color="auto"/>
            <w:bottom w:val="none" w:sz="0" w:space="0" w:color="auto"/>
            <w:right w:val="none" w:sz="0" w:space="0" w:color="auto"/>
          </w:divBdr>
          <w:divsChild>
            <w:div w:id="1760709560">
              <w:marLeft w:val="0"/>
              <w:marRight w:val="0"/>
              <w:marTop w:val="0"/>
              <w:marBottom w:val="0"/>
              <w:divBdr>
                <w:top w:val="none" w:sz="0" w:space="0" w:color="auto"/>
                <w:left w:val="none" w:sz="0" w:space="0" w:color="auto"/>
                <w:bottom w:val="none" w:sz="0" w:space="0" w:color="auto"/>
                <w:right w:val="none" w:sz="0" w:space="0" w:color="auto"/>
              </w:divBdr>
              <w:divsChild>
                <w:div w:id="18329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26143821">
      <w:bodyDiv w:val="1"/>
      <w:marLeft w:val="0"/>
      <w:marRight w:val="0"/>
      <w:marTop w:val="0"/>
      <w:marBottom w:val="0"/>
      <w:divBdr>
        <w:top w:val="none" w:sz="0" w:space="0" w:color="auto"/>
        <w:left w:val="none" w:sz="0" w:space="0" w:color="auto"/>
        <w:bottom w:val="none" w:sz="0" w:space="0" w:color="auto"/>
        <w:right w:val="none" w:sz="0" w:space="0" w:color="auto"/>
      </w:divBdr>
      <w:divsChild>
        <w:div w:id="1939210332">
          <w:marLeft w:val="0"/>
          <w:marRight w:val="0"/>
          <w:marTop w:val="0"/>
          <w:marBottom w:val="0"/>
          <w:divBdr>
            <w:top w:val="none" w:sz="0" w:space="0" w:color="auto"/>
            <w:left w:val="none" w:sz="0" w:space="0" w:color="auto"/>
            <w:bottom w:val="none" w:sz="0" w:space="0" w:color="auto"/>
            <w:right w:val="none" w:sz="0" w:space="0" w:color="auto"/>
          </w:divBdr>
          <w:divsChild>
            <w:div w:id="2075541651">
              <w:marLeft w:val="0"/>
              <w:marRight w:val="0"/>
              <w:marTop w:val="0"/>
              <w:marBottom w:val="0"/>
              <w:divBdr>
                <w:top w:val="none" w:sz="0" w:space="0" w:color="auto"/>
                <w:left w:val="none" w:sz="0" w:space="0" w:color="auto"/>
                <w:bottom w:val="none" w:sz="0" w:space="0" w:color="auto"/>
                <w:right w:val="none" w:sz="0" w:space="0" w:color="auto"/>
              </w:divBdr>
              <w:divsChild>
                <w:div w:id="14805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39679830">
      <w:bodyDiv w:val="1"/>
      <w:marLeft w:val="0"/>
      <w:marRight w:val="0"/>
      <w:marTop w:val="0"/>
      <w:marBottom w:val="0"/>
      <w:divBdr>
        <w:top w:val="none" w:sz="0" w:space="0" w:color="auto"/>
        <w:left w:val="none" w:sz="0" w:space="0" w:color="auto"/>
        <w:bottom w:val="none" w:sz="0" w:space="0" w:color="auto"/>
        <w:right w:val="none" w:sz="0" w:space="0" w:color="auto"/>
      </w:divBdr>
    </w:div>
    <w:div w:id="1245384479">
      <w:bodyDiv w:val="1"/>
      <w:marLeft w:val="0"/>
      <w:marRight w:val="0"/>
      <w:marTop w:val="0"/>
      <w:marBottom w:val="0"/>
      <w:divBdr>
        <w:top w:val="none" w:sz="0" w:space="0" w:color="auto"/>
        <w:left w:val="none" w:sz="0" w:space="0" w:color="auto"/>
        <w:bottom w:val="none" w:sz="0" w:space="0" w:color="auto"/>
        <w:right w:val="none" w:sz="0" w:space="0" w:color="auto"/>
      </w:divBdr>
    </w:div>
    <w:div w:id="1276057114">
      <w:bodyDiv w:val="1"/>
      <w:marLeft w:val="0"/>
      <w:marRight w:val="0"/>
      <w:marTop w:val="0"/>
      <w:marBottom w:val="0"/>
      <w:divBdr>
        <w:top w:val="none" w:sz="0" w:space="0" w:color="auto"/>
        <w:left w:val="none" w:sz="0" w:space="0" w:color="auto"/>
        <w:bottom w:val="none" w:sz="0" w:space="0" w:color="auto"/>
        <w:right w:val="none" w:sz="0" w:space="0" w:color="auto"/>
      </w:divBdr>
    </w:div>
    <w:div w:id="1283154111">
      <w:bodyDiv w:val="1"/>
      <w:marLeft w:val="0"/>
      <w:marRight w:val="0"/>
      <w:marTop w:val="0"/>
      <w:marBottom w:val="0"/>
      <w:divBdr>
        <w:top w:val="none" w:sz="0" w:space="0" w:color="auto"/>
        <w:left w:val="none" w:sz="0" w:space="0" w:color="auto"/>
        <w:bottom w:val="none" w:sz="0" w:space="0" w:color="auto"/>
        <w:right w:val="none" w:sz="0" w:space="0" w:color="auto"/>
      </w:divBdr>
    </w:div>
    <w:div w:id="1292512565">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08243117">
      <w:bodyDiv w:val="1"/>
      <w:marLeft w:val="0"/>
      <w:marRight w:val="0"/>
      <w:marTop w:val="0"/>
      <w:marBottom w:val="0"/>
      <w:divBdr>
        <w:top w:val="none" w:sz="0" w:space="0" w:color="auto"/>
        <w:left w:val="none" w:sz="0" w:space="0" w:color="auto"/>
        <w:bottom w:val="none" w:sz="0" w:space="0" w:color="auto"/>
        <w:right w:val="none" w:sz="0" w:space="0" w:color="auto"/>
      </w:divBdr>
    </w:div>
    <w:div w:id="1332023621">
      <w:bodyDiv w:val="1"/>
      <w:marLeft w:val="0"/>
      <w:marRight w:val="0"/>
      <w:marTop w:val="0"/>
      <w:marBottom w:val="0"/>
      <w:divBdr>
        <w:top w:val="none" w:sz="0" w:space="0" w:color="auto"/>
        <w:left w:val="none" w:sz="0" w:space="0" w:color="auto"/>
        <w:bottom w:val="none" w:sz="0" w:space="0" w:color="auto"/>
        <w:right w:val="none" w:sz="0" w:space="0" w:color="auto"/>
      </w:divBdr>
    </w:div>
    <w:div w:id="1396080222">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21753283">
      <w:bodyDiv w:val="1"/>
      <w:marLeft w:val="0"/>
      <w:marRight w:val="0"/>
      <w:marTop w:val="0"/>
      <w:marBottom w:val="0"/>
      <w:divBdr>
        <w:top w:val="none" w:sz="0" w:space="0" w:color="auto"/>
        <w:left w:val="none" w:sz="0" w:space="0" w:color="auto"/>
        <w:bottom w:val="none" w:sz="0" w:space="0" w:color="auto"/>
        <w:right w:val="none" w:sz="0" w:space="0" w:color="auto"/>
      </w:divBdr>
    </w:div>
    <w:div w:id="1425371197">
      <w:bodyDiv w:val="1"/>
      <w:marLeft w:val="0"/>
      <w:marRight w:val="0"/>
      <w:marTop w:val="0"/>
      <w:marBottom w:val="0"/>
      <w:divBdr>
        <w:top w:val="none" w:sz="0" w:space="0" w:color="auto"/>
        <w:left w:val="none" w:sz="0" w:space="0" w:color="auto"/>
        <w:bottom w:val="none" w:sz="0" w:space="0" w:color="auto"/>
        <w:right w:val="none" w:sz="0" w:space="0" w:color="auto"/>
      </w:divBdr>
    </w:div>
    <w:div w:id="1426879650">
      <w:bodyDiv w:val="1"/>
      <w:marLeft w:val="0"/>
      <w:marRight w:val="0"/>
      <w:marTop w:val="0"/>
      <w:marBottom w:val="0"/>
      <w:divBdr>
        <w:top w:val="none" w:sz="0" w:space="0" w:color="auto"/>
        <w:left w:val="none" w:sz="0" w:space="0" w:color="auto"/>
        <w:bottom w:val="none" w:sz="0" w:space="0" w:color="auto"/>
        <w:right w:val="none" w:sz="0" w:space="0" w:color="auto"/>
      </w:divBdr>
    </w:div>
    <w:div w:id="1428696711">
      <w:bodyDiv w:val="1"/>
      <w:marLeft w:val="0"/>
      <w:marRight w:val="0"/>
      <w:marTop w:val="0"/>
      <w:marBottom w:val="0"/>
      <w:divBdr>
        <w:top w:val="none" w:sz="0" w:space="0" w:color="auto"/>
        <w:left w:val="none" w:sz="0" w:space="0" w:color="auto"/>
        <w:bottom w:val="none" w:sz="0" w:space="0" w:color="auto"/>
        <w:right w:val="none" w:sz="0" w:space="0" w:color="auto"/>
      </w:divBdr>
    </w:div>
    <w:div w:id="1437754344">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57405470">
      <w:bodyDiv w:val="1"/>
      <w:marLeft w:val="0"/>
      <w:marRight w:val="0"/>
      <w:marTop w:val="0"/>
      <w:marBottom w:val="0"/>
      <w:divBdr>
        <w:top w:val="none" w:sz="0" w:space="0" w:color="auto"/>
        <w:left w:val="none" w:sz="0" w:space="0" w:color="auto"/>
        <w:bottom w:val="none" w:sz="0" w:space="0" w:color="auto"/>
        <w:right w:val="none" w:sz="0" w:space="0" w:color="auto"/>
      </w:divBdr>
    </w:div>
    <w:div w:id="1482767492">
      <w:bodyDiv w:val="1"/>
      <w:marLeft w:val="0"/>
      <w:marRight w:val="0"/>
      <w:marTop w:val="0"/>
      <w:marBottom w:val="0"/>
      <w:divBdr>
        <w:top w:val="none" w:sz="0" w:space="0" w:color="auto"/>
        <w:left w:val="none" w:sz="0" w:space="0" w:color="auto"/>
        <w:bottom w:val="none" w:sz="0" w:space="0" w:color="auto"/>
        <w:right w:val="none" w:sz="0" w:space="0" w:color="auto"/>
      </w:divBdr>
      <w:divsChild>
        <w:div w:id="679626122">
          <w:marLeft w:val="0"/>
          <w:marRight w:val="0"/>
          <w:marTop w:val="0"/>
          <w:marBottom w:val="0"/>
          <w:divBdr>
            <w:top w:val="none" w:sz="0" w:space="0" w:color="auto"/>
            <w:left w:val="none" w:sz="0" w:space="0" w:color="auto"/>
            <w:bottom w:val="none" w:sz="0" w:space="0" w:color="auto"/>
            <w:right w:val="none" w:sz="0" w:space="0" w:color="auto"/>
          </w:divBdr>
          <w:divsChild>
            <w:div w:id="513348530">
              <w:marLeft w:val="0"/>
              <w:marRight w:val="0"/>
              <w:marTop w:val="0"/>
              <w:marBottom w:val="0"/>
              <w:divBdr>
                <w:top w:val="none" w:sz="0" w:space="0" w:color="auto"/>
                <w:left w:val="none" w:sz="0" w:space="0" w:color="auto"/>
                <w:bottom w:val="none" w:sz="0" w:space="0" w:color="auto"/>
                <w:right w:val="none" w:sz="0" w:space="0" w:color="auto"/>
              </w:divBdr>
              <w:divsChild>
                <w:div w:id="1672366319">
                  <w:marLeft w:val="0"/>
                  <w:marRight w:val="0"/>
                  <w:marTop w:val="0"/>
                  <w:marBottom w:val="0"/>
                  <w:divBdr>
                    <w:top w:val="none" w:sz="0" w:space="0" w:color="auto"/>
                    <w:left w:val="none" w:sz="0" w:space="0" w:color="auto"/>
                    <w:bottom w:val="none" w:sz="0" w:space="0" w:color="auto"/>
                    <w:right w:val="none" w:sz="0" w:space="0" w:color="auto"/>
                  </w:divBdr>
                  <w:divsChild>
                    <w:div w:id="15720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20576">
      <w:bodyDiv w:val="1"/>
      <w:marLeft w:val="0"/>
      <w:marRight w:val="0"/>
      <w:marTop w:val="0"/>
      <w:marBottom w:val="0"/>
      <w:divBdr>
        <w:top w:val="none" w:sz="0" w:space="0" w:color="auto"/>
        <w:left w:val="none" w:sz="0" w:space="0" w:color="auto"/>
        <w:bottom w:val="none" w:sz="0" w:space="0" w:color="auto"/>
        <w:right w:val="none" w:sz="0" w:space="0" w:color="auto"/>
      </w:divBdr>
    </w:div>
    <w:div w:id="1487090050">
      <w:bodyDiv w:val="1"/>
      <w:marLeft w:val="0"/>
      <w:marRight w:val="0"/>
      <w:marTop w:val="0"/>
      <w:marBottom w:val="0"/>
      <w:divBdr>
        <w:top w:val="none" w:sz="0" w:space="0" w:color="auto"/>
        <w:left w:val="none" w:sz="0" w:space="0" w:color="auto"/>
        <w:bottom w:val="none" w:sz="0" w:space="0" w:color="auto"/>
        <w:right w:val="none" w:sz="0" w:space="0" w:color="auto"/>
      </w:divBdr>
    </w:div>
    <w:div w:id="1490950055">
      <w:bodyDiv w:val="1"/>
      <w:marLeft w:val="0"/>
      <w:marRight w:val="0"/>
      <w:marTop w:val="0"/>
      <w:marBottom w:val="0"/>
      <w:divBdr>
        <w:top w:val="none" w:sz="0" w:space="0" w:color="auto"/>
        <w:left w:val="none" w:sz="0" w:space="0" w:color="auto"/>
        <w:bottom w:val="none" w:sz="0" w:space="0" w:color="auto"/>
        <w:right w:val="none" w:sz="0" w:space="0" w:color="auto"/>
      </w:divBdr>
    </w:div>
    <w:div w:id="1499613500">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14372293">
      <w:bodyDiv w:val="1"/>
      <w:marLeft w:val="0"/>
      <w:marRight w:val="0"/>
      <w:marTop w:val="0"/>
      <w:marBottom w:val="0"/>
      <w:divBdr>
        <w:top w:val="none" w:sz="0" w:space="0" w:color="auto"/>
        <w:left w:val="none" w:sz="0" w:space="0" w:color="auto"/>
        <w:bottom w:val="none" w:sz="0" w:space="0" w:color="auto"/>
        <w:right w:val="none" w:sz="0" w:space="0" w:color="auto"/>
      </w:divBdr>
    </w:div>
    <w:div w:id="1538424602">
      <w:bodyDiv w:val="1"/>
      <w:marLeft w:val="0"/>
      <w:marRight w:val="0"/>
      <w:marTop w:val="0"/>
      <w:marBottom w:val="0"/>
      <w:divBdr>
        <w:top w:val="none" w:sz="0" w:space="0" w:color="auto"/>
        <w:left w:val="none" w:sz="0" w:space="0" w:color="auto"/>
        <w:bottom w:val="none" w:sz="0" w:space="0" w:color="auto"/>
        <w:right w:val="none" w:sz="0" w:space="0" w:color="auto"/>
      </w:divBdr>
    </w:div>
    <w:div w:id="1540166976">
      <w:bodyDiv w:val="1"/>
      <w:marLeft w:val="0"/>
      <w:marRight w:val="0"/>
      <w:marTop w:val="0"/>
      <w:marBottom w:val="0"/>
      <w:divBdr>
        <w:top w:val="none" w:sz="0" w:space="0" w:color="auto"/>
        <w:left w:val="none" w:sz="0" w:space="0" w:color="auto"/>
        <w:bottom w:val="none" w:sz="0" w:space="0" w:color="auto"/>
        <w:right w:val="none" w:sz="0" w:space="0" w:color="auto"/>
      </w:divBdr>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561355955">
      <w:bodyDiv w:val="1"/>
      <w:marLeft w:val="0"/>
      <w:marRight w:val="0"/>
      <w:marTop w:val="0"/>
      <w:marBottom w:val="0"/>
      <w:divBdr>
        <w:top w:val="none" w:sz="0" w:space="0" w:color="auto"/>
        <w:left w:val="none" w:sz="0" w:space="0" w:color="auto"/>
        <w:bottom w:val="none" w:sz="0" w:space="0" w:color="auto"/>
        <w:right w:val="none" w:sz="0" w:space="0" w:color="auto"/>
      </w:divBdr>
    </w:div>
    <w:div w:id="1587229986">
      <w:bodyDiv w:val="1"/>
      <w:marLeft w:val="0"/>
      <w:marRight w:val="0"/>
      <w:marTop w:val="0"/>
      <w:marBottom w:val="0"/>
      <w:divBdr>
        <w:top w:val="none" w:sz="0" w:space="0" w:color="auto"/>
        <w:left w:val="none" w:sz="0" w:space="0" w:color="auto"/>
        <w:bottom w:val="none" w:sz="0" w:space="0" w:color="auto"/>
        <w:right w:val="none" w:sz="0" w:space="0" w:color="auto"/>
      </w:divBdr>
    </w:div>
    <w:div w:id="1595091718">
      <w:bodyDiv w:val="1"/>
      <w:marLeft w:val="0"/>
      <w:marRight w:val="0"/>
      <w:marTop w:val="0"/>
      <w:marBottom w:val="0"/>
      <w:divBdr>
        <w:top w:val="none" w:sz="0" w:space="0" w:color="auto"/>
        <w:left w:val="none" w:sz="0" w:space="0" w:color="auto"/>
        <w:bottom w:val="none" w:sz="0" w:space="0" w:color="auto"/>
        <w:right w:val="none" w:sz="0" w:space="0" w:color="auto"/>
      </w:divBdr>
    </w:div>
    <w:div w:id="1598517951">
      <w:bodyDiv w:val="1"/>
      <w:marLeft w:val="0"/>
      <w:marRight w:val="0"/>
      <w:marTop w:val="0"/>
      <w:marBottom w:val="0"/>
      <w:divBdr>
        <w:top w:val="none" w:sz="0" w:space="0" w:color="auto"/>
        <w:left w:val="none" w:sz="0" w:space="0" w:color="auto"/>
        <w:bottom w:val="none" w:sz="0" w:space="0" w:color="auto"/>
        <w:right w:val="none" w:sz="0" w:space="0" w:color="auto"/>
      </w:divBdr>
      <w:divsChild>
        <w:div w:id="1230071931">
          <w:marLeft w:val="0"/>
          <w:marRight w:val="0"/>
          <w:marTop w:val="0"/>
          <w:marBottom w:val="0"/>
          <w:divBdr>
            <w:top w:val="none" w:sz="0" w:space="0" w:color="auto"/>
            <w:left w:val="none" w:sz="0" w:space="0" w:color="auto"/>
            <w:bottom w:val="none" w:sz="0" w:space="0" w:color="auto"/>
            <w:right w:val="none" w:sz="0" w:space="0" w:color="auto"/>
          </w:divBdr>
          <w:divsChild>
            <w:div w:id="1461461236">
              <w:marLeft w:val="0"/>
              <w:marRight w:val="0"/>
              <w:marTop w:val="0"/>
              <w:marBottom w:val="0"/>
              <w:divBdr>
                <w:top w:val="none" w:sz="0" w:space="0" w:color="auto"/>
                <w:left w:val="none" w:sz="0" w:space="0" w:color="auto"/>
                <w:bottom w:val="none" w:sz="0" w:space="0" w:color="auto"/>
                <w:right w:val="none" w:sz="0" w:space="0" w:color="auto"/>
              </w:divBdr>
              <w:divsChild>
                <w:div w:id="5370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3483">
      <w:bodyDiv w:val="1"/>
      <w:marLeft w:val="0"/>
      <w:marRight w:val="0"/>
      <w:marTop w:val="0"/>
      <w:marBottom w:val="0"/>
      <w:divBdr>
        <w:top w:val="none" w:sz="0" w:space="0" w:color="auto"/>
        <w:left w:val="none" w:sz="0" w:space="0" w:color="auto"/>
        <w:bottom w:val="none" w:sz="0" w:space="0" w:color="auto"/>
        <w:right w:val="none" w:sz="0" w:space="0" w:color="auto"/>
      </w:divBdr>
    </w:div>
    <w:div w:id="1616250488">
      <w:bodyDiv w:val="1"/>
      <w:marLeft w:val="0"/>
      <w:marRight w:val="0"/>
      <w:marTop w:val="0"/>
      <w:marBottom w:val="0"/>
      <w:divBdr>
        <w:top w:val="none" w:sz="0" w:space="0" w:color="auto"/>
        <w:left w:val="none" w:sz="0" w:space="0" w:color="auto"/>
        <w:bottom w:val="none" w:sz="0" w:space="0" w:color="auto"/>
        <w:right w:val="none" w:sz="0" w:space="0" w:color="auto"/>
      </w:divBdr>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912603">
      <w:bodyDiv w:val="1"/>
      <w:marLeft w:val="0"/>
      <w:marRight w:val="0"/>
      <w:marTop w:val="0"/>
      <w:marBottom w:val="0"/>
      <w:divBdr>
        <w:top w:val="none" w:sz="0" w:space="0" w:color="auto"/>
        <w:left w:val="none" w:sz="0" w:space="0" w:color="auto"/>
        <w:bottom w:val="none" w:sz="0" w:space="0" w:color="auto"/>
        <w:right w:val="none" w:sz="0" w:space="0" w:color="auto"/>
      </w:divBdr>
    </w:div>
    <w:div w:id="1622611565">
      <w:bodyDiv w:val="1"/>
      <w:marLeft w:val="0"/>
      <w:marRight w:val="0"/>
      <w:marTop w:val="0"/>
      <w:marBottom w:val="0"/>
      <w:divBdr>
        <w:top w:val="none" w:sz="0" w:space="0" w:color="auto"/>
        <w:left w:val="none" w:sz="0" w:space="0" w:color="auto"/>
        <w:bottom w:val="none" w:sz="0" w:space="0" w:color="auto"/>
        <w:right w:val="none" w:sz="0" w:space="0" w:color="auto"/>
      </w:divBdr>
    </w:div>
    <w:div w:id="1637560432">
      <w:bodyDiv w:val="1"/>
      <w:marLeft w:val="0"/>
      <w:marRight w:val="0"/>
      <w:marTop w:val="0"/>
      <w:marBottom w:val="0"/>
      <w:divBdr>
        <w:top w:val="none" w:sz="0" w:space="0" w:color="auto"/>
        <w:left w:val="none" w:sz="0" w:space="0" w:color="auto"/>
        <w:bottom w:val="none" w:sz="0" w:space="0" w:color="auto"/>
        <w:right w:val="none" w:sz="0" w:space="0" w:color="auto"/>
      </w:divBdr>
    </w:div>
    <w:div w:id="1664504314">
      <w:bodyDiv w:val="1"/>
      <w:marLeft w:val="0"/>
      <w:marRight w:val="0"/>
      <w:marTop w:val="0"/>
      <w:marBottom w:val="0"/>
      <w:divBdr>
        <w:top w:val="none" w:sz="0" w:space="0" w:color="auto"/>
        <w:left w:val="none" w:sz="0" w:space="0" w:color="auto"/>
        <w:bottom w:val="none" w:sz="0" w:space="0" w:color="auto"/>
        <w:right w:val="none" w:sz="0" w:space="0" w:color="auto"/>
      </w:divBdr>
    </w:div>
    <w:div w:id="1678921621">
      <w:bodyDiv w:val="1"/>
      <w:marLeft w:val="0"/>
      <w:marRight w:val="0"/>
      <w:marTop w:val="0"/>
      <w:marBottom w:val="0"/>
      <w:divBdr>
        <w:top w:val="none" w:sz="0" w:space="0" w:color="auto"/>
        <w:left w:val="none" w:sz="0" w:space="0" w:color="auto"/>
        <w:bottom w:val="none" w:sz="0" w:space="0" w:color="auto"/>
        <w:right w:val="none" w:sz="0" w:space="0" w:color="auto"/>
      </w:divBdr>
    </w:div>
    <w:div w:id="1683358996">
      <w:bodyDiv w:val="1"/>
      <w:marLeft w:val="0"/>
      <w:marRight w:val="0"/>
      <w:marTop w:val="0"/>
      <w:marBottom w:val="0"/>
      <w:divBdr>
        <w:top w:val="none" w:sz="0" w:space="0" w:color="auto"/>
        <w:left w:val="none" w:sz="0" w:space="0" w:color="auto"/>
        <w:bottom w:val="none" w:sz="0" w:space="0" w:color="auto"/>
        <w:right w:val="none" w:sz="0" w:space="0" w:color="auto"/>
      </w:divBdr>
    </w:div>
    <w:div w:id="1713531352">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154079">
      <w:bodyDiv w:val="1"/>
      <w:marLeft w:val="0"/>
      <w:marRight w:val="0"/>
      <w:marTop w:val="0"/>
      <w:marBottom w:val="0"/>
      <w:divBdr>
        <w:top w:val="none" w:sz="0" w:space="0" w:color="auto"/>
        <w:left w:val="none" w:sz="0" w:space="0" w:color="auto"/>
        <w:bottom w:val="none" w:sz="0" w:space="0" w:color="auto"/>
        <w:right w:val="none" w:sz="0" w:space="0" w:color="auto"/>
      </w:divBdr>
    </w:div>
    <w:div w:id="1739546373">
      <w:bodyDiv w:val="1"/>
      <w:marLeft w:val="0"/>
      <w:marRight w:val="0"/>
      <w:marTop w:val="0"/>
      <w:marBottom w:val="0"/>
      <w:divBdr>
        <w:top w:val="none" w:sz="0" w:space="0" w:color="auto"/>
        <w:left w:val="none" w:sz="0" w:space="0" w:color="auto"/>
        <w:bottom w:val="none" w:sz="0" w:space="0" w:color="auto"/>
        <w:right w:val="none" w:sz="0" w:space="0" w:color="auto"/>
      </w:divBdr>
    </w:div>
    <w:div w:id="1744181505">
      <w:bodyDiv w:val="1"/>
      <w:marLeft w:val="0"/>
      <w:marRight w:val="0"/>
      <w:marTop w:val="0"/>
      <w:marBottom w:val="0"/>
      <w:divBdr>
        <w:top w:val="none" w:sz="0" w:space="0" w:color="auto"/>
        <w:left w:val="none" w:sz="0" w:space="0" w:color="auto"/>
        <w:bottom w:val="none" w:sz="0" w:space="0" w:color="auto"/>
        <w:right w:val="none" w:sz="0" w:space="0" w:color="auto"/>
      </w:divBdr>
    </w:div>
    <w:div w:id="1747610561">
      <w:bodyDiv w:val="1"/>
      <w:marLeft w:val="0"/>
      <w:marRight w:val="0"/>
      <w:marTop w:val="0"/>
      <w:marBottom w:val="0"/>
      <w:divBdr>
        <w:top w:val="none" w:sz="0" w:space="0" w:color="auto"/>
        <w:left w:val="none" w:sz="0" w:space="0" w:color="auto"/>
        <w:bottom w:val="none" w:sz="0" w:space="0" w:color="auto"/>
        <w:right w:val="none" w:sz="0" w:space="0" w:color="auto"/>
      </w:divBdr>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
    <w:div w:id="1773934744">
      <w:bodyDiv w:val="1"/>
      <w:marLeft w:val="0"/>
      <w:marRight w:val="0"/>
      <w:marTop w:val="0"/>
      <w:marBottom w:val="0"/>
      <w:divBdr>
        <w:top w:val="none" w:sz="0" w:space="0" w:color="auto"/>
        <w:left w:val="none" w:sz="0" w:space="0" w:color="auto"/>
        <w:bottom w:val="none" w:sz="0" w:space="0" w:color="auto"/>
        <w:right w:val="none" w:sz="0" w:space="0" w:color="auto"/>
      </w:divBdr>
    </w:div>
    <w:div w:id="1775133645">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795980631">
      <w:bodyDiv w:val="1"/>
      <w:marLeft w:val="0"/>
      <w:marRight w:val="0"/>
      <w:marTop w:val="0"/>
      <w:marBottom w:val="0"/>
      <w:divBdr>
        <w:top w:val="none" w:sz="0" w:space="0" w:color="auto"/>
        <w:left w:val="none" w:sz="0" w:space="0" w:color="auto"/>
        <w:bottom w:val="none" w:sz="0" w:space="0" w:color="auto"/>
        <w:right w:val="none" w:sz="0" w:space="0" w:color="auto"/>
      </w:divBdr>
    </w:div>
    <w:div w:id="1799029629">
      <w:bodyDiv w:val="1"/>
      <w:marLeft w:val="0"/>
      <w:marRight w:val="0"/>
      <w:marTop w:val="0"/>
      <w:marBottom w:val="0"/>
      <w:divBdr>
        <w:top w:val="none" w:sz="0" w:space="0" w:color="auto"/>
        <w:left w:val="none" w:sz="0" w:space="0" w:color="auto"/>
        <w:bottom w:val="none" w:sz="0" w:space="0" w:color="auto"/>
        <w:right w:val="none" w:sz="0" w:space="0" w:color="auto"/>
      </w:divBdr>
    </w:div>
    <w:div w:id="1817066004">
      <w:bodyDiv w:val="1"/>
      <w:marLeft w:val="0"/>
      <w:marRight w:val="0"/>
      <w:marTop w:val="0"/>
      <w:marBottom w:val="0"/>
      <w:divBdr>
        <w:top w:val="none" w:sz="0" w:space="0" w:color="auto"/>
        <w:left w:val="none" w:sz="0" w:space="0" w:color="auto"/>
        <w:bottom w:val="none" w:sz="0" w:space="0" w:color="auto"/>
        <w:right w:val="none" w:sz="0" w:space="0" w:color="auto"/>
      </w:divBdr>
    </w:div>
    <w:div w:id="1824660967">
      <w:bodyDiv w:val="1"/>
      <w:marLeft w:val="0"/>
      <w:marRight w:val="0"/>
      <w:marTop w:val="0"/>
      <w:marBottom w:val="0"/>
      <w:divBdr>
        <w:top w:val="none" w:sz="0" w:space="0" w:color="auto"/>
        <w:left w:val="none" w:sz="0" w:space="0" w:color="auto"/>
        <w:bottom w:val="none" w:sz="0" w:space="0" w:color="auto"/>
        <w:right w:val="none" w:sz="0" w:space="0" w:color="auto"/>
      </w:divBdr>
    </w:div>
    <w:div w:id="1838417690">
      <w:bodyDiv w:val="1"/>
      <w:marLeft w:val="0"/>
      <w:marRight w:val="0"/>
      <w:marTop w:val="0"/>
      <w:marBottom w:val="0"/>
      <w:divBdr>
        <w:top w:val="none" w:sz="0" w:space="0" w:color="auto"/>
        <w:left w:val="none" w:sz="0" w:space="0" w:color="auto"/>
        <w:bottom w:val="none" w:sz="0" w:space="0" w:color="auto"/>
        <w:right w:val="none" w:sz="0" w:space="0" w:color="auto"/>
      </w:divBdr>
    </w:div>
    <w:div w:id="1845624943">
      <w:bodyDiv w:val="1"/>
      <w:marLeft w:val="0"/>
      <w:marRight w:val="0"/>
      <w:marTop w:val="0"/>
      <w:marBottom w:val="0"/>
      <w:divBdr>
        <w:top w:val="none" w:sz="0" w:space="0" w:color="auto"/>
        <w:left w:val="none" w:sz="0" w:space="0" w:color="auto"/>
        <w:bottom w:val="none" w:sz="0" w:space="0" w:color="auto"/>
        <w:right w:val="none" w:sz="0" w:space="0" w:color="auto"/>
      </w:divBdr>
    </w:div>
    <w:div w:id="1849559229">
      <w:bodyDiv w:val="1"/>
      <w:marLeft w:val="0"/>
      <w:marRight w:val="0"/>
      <w:marTop w:val="0"/>
      <w:marBottom w:val="0"/>
      <w:divBdr>
        <w:top w:val="none" w:sz="0" w:space="0" w:color="auto"/>
        <w:left w:val="none" w:sz="0" w:space="0" w:color="auto"/>
        <w:bottom w:val="none" w:sz="0" w:space="0" w:color="auto"/>
        <w:right w:val="none" w:sz="0" w:space="0" w:color="auto"/>
      </w:divBdr>
      <w:divsChild>
        <w:div w:id="1987706953">
          <w:marLeft w:val="0"/>
          <w:marRight w:val="0"/>
          <w:marTop w:val="0"/>
          <w:marBottom w:val="0"/>
          <w:divBdr>
            <w:top w:val="none" w:sz="0" w:space="0" w:color="auto"/>
            <w:left w:val="none" w:sz="0" w:space="0" w:color="auto"/>
            <w:bottom w:val="none" w:sz="0" w:space="0" w:color="auto"/>
            <w:right w:val="none" w:sz="0" w:space="0" w:color="auto"/>
          </w:divBdr>
          <w:divsChild>
            <w:div w:id="1561672174">
              <w:marLeft w:val="0"/>
              <w:marRight w:val="0"/>
              <w:marTop w:val="0"/>
              <w:marBottom w:val="0"/>
              <w:divBdr>
                <w:top w:val="none" w:sz="0" w:space="0" w:color="auto"/>
                <w:left w:val="none" w:sz="0" w:space="0" w:color="auto"/>
                <w:bottom w:val="none" w:sz="0" w:space="0" w:color="auto"/>
                <w:right w:val="none" w:sz="0" w:space="0" w:color="auto"/>
              </w:divBdr>
              <w:divsChild>
                <w:div w:id="602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13004">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351858">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25189562">
      <w:bodyDiv w:val="1"/>
      <w:marLeft w:val="0"/>
      <w:marRight w:val="0"/>
      <w:marTop w:val="0"/>
      <w:marBottom w:val="0"/>
      <w:divBdr>
        <w:top w:val="none" w:sz="0" w:space="0" w:color="auto"/>
        <w:left w:val="none" w:sz="0" w:space="0" w:color="auto"/>
        <w:bottom w:val="none" w:sz="0" w:space="0" w:color="auto"/>
        <w:right w:val="none" w:sz="0" w:space="0" w:color="auto"/>
      </w:divBdr>
    </w:div>
    <w:div w:id="1931770475">
      <w:bodyDiv w:val="1"/>
      <w:marLeft w:val="0"/>
      <w:marRight w:val="0"/>
      <w:marTop w:val="0"/>
      <w:marBottom w:val="0"/>
      <w:divBdr>
        <w:top w:val="none" w:sz="0" w:space="0" w:color="auto"/>
        <w:left w:val="none" w:sz="0" w:space="0" w:color="auto"/>
        <w:bottom w:val="none" w:sz="0" w:space="0" w:color="auto"/>
        <w:right w:val="none" w:sz="0" w:space="0" w:color="auto"/>
      </w:divBdr>
      <w:divsChild>
        <w:div w:id="1490049483">
          <w:marLeft w:val="0"/>
          <w:marRight w:val="0"/>
          <w:marTop w:val="0"/>
          <w:marBottom w:val="0"/>
          <w:divBdr>
            <w:top w:val="none" w:sz="0" w:space="0" w:color="auto"/>
            <w:left w:val="none" w:sz="0" w:space="0" w:color="auto"/>
            <w:bottom w:val="none" w:sz="0" w:space="0" w:color="auto"/>
            <w:right w:val="none" w:sz="0" w:space="0" w:color="auto"/>
          </w:divBdr>
        </w:div>
      </w:divsChild>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58683796">
      <w:bodyDiv w:val="1"/>
      <w:marLeft w:val="0"/>
      <w:marRight w:val="0"/>
      <w:marTop w:val="0"/>
      <w:marBottom w:val="0"/>
      <w:divBdr>
        <w:top w:val="none" w:sz="0" w:space="0" w:color="auto"/>
        <w:left w:val="none" w:sz="0" w:space="0" w:color="auto"/>
        <w:bottom w:val="none" w:sz="0" w:space="0" w:color="auto"/>
        <w:right w:val="none" w:sz="0" w:space="0" w:color="auto"/>
      </w:divBdr>
    </w:div>
    <w:div w:id="19739022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08972625">
      <w:bodyDiv w:val="1"/>
      <w:marLeft w:val="0"/>
      <w:marRight w:val="0"/>
      <w:marTop w:val="0"/>
      <w:marBottom w:val="0"/>
      <w:divBdr>
        <w:top w:val="none" w:sz="0" w:space="0" w:color="auto"/>
        <w:left w:val="none" w:sz="0" w:space="0" w:color="auto"/>
        <w:bottom w:val="none" w:sz="0" w:space="0" w:color="auto"/>
        <w:right w:val="none" w:sz="0" w:space="0" w:color="auto"/>
      </w:divBdr>
    </w:div>
    <w:div w:id="2010713804">
      <w:bodyDiv w:val="1"/>
      <w:marLeft w:val="0"/>
      <w:marRight w:val="0"/>
      <w:marTop w:val="0"/>
      <w:marBottom w:val="0"/>
      <w:divBdr>
        <w:top w:val="none" w:sz="0" w:space="0" w:color="auto"/>
        <w:left w:val="none" w:sz="0" w:space="0" w:color="auto"/>
        <w:bottom w:val="none" w:sz="0" w:space="0" w:color="auto"/>
        <w:right w:val="none" w:sz="0" w:space="0" w:color="auto"/>
      </w:divBdr>
    </w:div>
    <w:div w:id="2011978869">
      <w:bodyDiv w:val="1"/>
      <w:marLeft w:val="0"/>
      <w:marRight w:val="0"/>
      <w:marTop w:val="0"/>
      <w:marBottom w:val="0"/>
      <w:divBdr>
        <w:top w:val="none" w:sz="0" w:space="0" w:color="auto"/>
        <w:left w:val="none" w:sz="0" w:space="0" w:color="auto"/>
        <w:bottom w:val="none" w:sz="0" w:space="0" w:color="auto"/>
        <w:right w:val="none" w:sz="0" w:space="0" w:color="auto"/>
      </w:divBdr>
      <w:divsChild>
        <w:div w:id="2028359735">
          <w:marLeft w:val="0"/>
          <w:marRight w:val="0"/>
          <w:marTop w:val="0"/>
          <w:marBottom w:val="0"/>
          <w:divBdr>
            <w:top w:val="none" w:sz="0" w:space="0" w:color="auto"/>
            <w:left w:val="none" w:sz="0" w:space="0" w:color="auto"/>
            <w:bottom w:val="none" w:sz="0" w:space="0" w:color="auto"/>
            <w:right w:val="none" w:sz="0" w:space="0" w:color="auto"/>
          </w:divBdr>
          <w:divsChild>
            <w:div w:id="169754505">
              <w:marLeft w:val="0"/>
              <w:marRight w:val="0"/>
              <w:marTop w:val="0"/>
              <w:marBottom w:val="0"/>
              <w:divBdr>
                <w:top w:val="none" w:sz="0" w:space="0" w:color="auto"/>
                <w:left w:val="none" w:sz="0" w:space="0" w:color="auto"/>
                <w:bottom w:val="none" w:sz="0" w:space="0" w:color="auto"/>
                <w:right w:val="none" w:sz="0" w:space="0" w:color="auto"/>
              </w:divBdr>
              <w:divsChild>
                <w:div w:id="714700809">
                  <w:marLeft w:val="0"/>
                  <w:marRight w:val="0"/>
                  <w:marTop w:val="0"/>
                  <w:marBottom w:val="0"/>
                  <w:divBdr>
                    <w:top w:val="none" w:sz="0" w:space="0" w:color="auto"/>
                    <w:left w:val="none" w:sz="0" w:space="0" w:color="auto"/>
                    <w:bottom w:val="none" w:sz="0" w:space="0" w:color="auto"/>
                    <w:right w:val="none" w:sz="0" w:space="0" w:color="auto"/>
                  </w:divBdr>
                  <w:divsChild>
                    <w:div w:id="2170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17802156">
      <w:bodyDiv w:val="1"/>
      <w:marLeft w:val="0"/>
      <w:marRight w:val="0"/>
      <w:marTop w:val="0"/>
      <w:marBottom w:val="0"/>
      <w:divBdr>
        <w:top w:val="none" w:sz="0" w:space="0" w:color="auto"/>
        <w:left w:val="none" w:sz="0" w:space="0" w:color="auto"/>
        <w:bottom w:val="none" w:sz="0" w:space="0" w:color="auto"/>
        <w:right w:val="none" w:sz="0" w:space="0" w:color="auto"/>
      </w:divBdr>
      <w:divsChild>
        <w:div w:id="502858148">
          <w:marLeft w:val="0"/>
          <w:marRight w:val="0"/>
          <w:marTop w:val="0"/>
          <w:marBottom w:val="0"/>
          <w:divBdr>
            <w:top w:val="none" w:sz="0" w:space="0" w:color="auto"/>
            <w:left w:val="none" w:sz="0" w:space="0" w:color="auto"/>
            <w:bottom w:val="none" w:sz="0" w:space="0" w:color="auto"/>
            <w:right w:val="none" w:sz="0" w:space="0" w:color="auto"/>
          </w:divBdr>
          <w:divsChild>
            <w:div w:id="1384334635">
              <w:marLeft w:val="0"/>
              <w:marRight w:val="0"/>
              <w:marTop w:val="0"/>
              <w:marBottom w:val="0"/>
              <w:divBdr>
                <w:top w:val="none" w:sz="0" w:space="0" w:color="auto"/>
                <w:left w:val="none" w:sz="0" w:space="0" w:color="auto"/>
                <w:bottom w:val="none" w:sz="0" w:space="0" w:color="auto"/>
                <w:right w:val="none" w:sz="0" w:space="0" w:color="auto"/>
              </w:divBdr>
              <w:divsChild>
                <w:div w:id="2596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53041">
      <w:bodyDiv w:val="1"/>
      <w:marLeft w:val="0"/>
      <w:marRight w:val="0"/>
      <w:marTop w:val="0"/>
      <w:marBottom w:val="0"/>
      <w:divBdr>
        <w:top w:val="none" w:sz="0" w:space="0" w:color="auto"/>
        <w:left w:val="none" w:sz="0" w:space="0" w:color="auto"/>
        <w:bottom w:val="none" w:sz="0" w:space="0" w:color="auto"/>
        <w:right w:val="none" w:sz="0" w:space="0" w:color="auto"/>
      </w:divBdr>
    </w:div>
    <w:div w:id="2030984462">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6370897">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04059355">
      <w:bodyDiv w:val="1"/>
      <w:marLeft w:val="0"/>
      <w:marRight w:val="0"/>
      <w:marTop w:val="0"/>
      <w:marBottom w:val="0"/>
      <w:divBdr>
        <w:top w:val="none" w:sz="0" w:space="0" w:color="auto"/>
        <w:left w:val="none" w:sz="0" w:space="0" w:color="auto"/>
        <w:bottom w:val="none" w:sz="0" w:space="0" w:color="auto"/>
        <w:right w:val="none" w:sz="0" w:space="0" w:color="auto"/>
      </w:divBdr>
    </w:div>
    <w:div w:id="2110352070">
      <w:bodyDiv w:val="1"/>
      <w:marLeft w:val="0"/>
      <w:marRight w:val="0"/>
      <w:marTop w:val="0"/>
      <w:marBottom w:val="0"/>
      <w:divBdr>
        <w:top w:val="none" w:sz="0" w:space="0" w:color="auto"/>
        <w:left w:val="none" w:sz="0" w:space="0" w:color="auto"/>
        <w:bottom w:val="none" w:sz="0" w:space="0" w:color="auto"/>
        <w:right w:val="none" w:sz="0" w:space="0" w:color="auto"/>
      </w:divBdr>
    </w:div>
    <w:div w:id="2111002184">
      <w:bodyDiv w:val="1"/>
      <w:marLeft w:val="0"/>
      <w:marRight w:val="0"/>
      <w:marTop w:val="0"/>
      <w:marBottom w:val="0"/>
      <w:divBdr>
        <w:top w:val="none" w:sz="0" w:space="0" w:color="auto"/>
        <w:left w:val="none" w:sz="0" w:space="0" w:color="auto"/>
        <w:bottom w:val="none" w:sz="0" w:space="0" w:color="auto"/>
        <w:right w:val="none" w:sz="0" w:space="0" w:color="auto"/>
      </w:divBdr>
    </w:div>
    <w:div w:id="2120054922">
      <w:bodyDiv w:val="1"/>
      <w:marLeft w:val="0"/>
      <w:marRight w:val="0"/>
      <w:marTop w:val="0"/>
      <w:marBottom w:val="0"/>
      <w:divBdr>
        <w:top w:val="none" w:sz="0" w:space="0" w:color="auto"/>
        <w:left w:val="none" w:sz="0" w:space="0" w:color="auto"/>
        <w:bottom w:val="none" w:sz="0" w:space="0" w:color="auto"/>
        <w:right w:val="none" w:sz="0" w:space="0" w:color="auto"/>
      </w:divBdr>
    </w:div>
    <w:div w:id="2137260680">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6.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38" Type="http://schemas.openxmlformats.org/officeDocument/2006/relationships/image" Target="media/image117.png"/><Relationship Id="rId16" Type="http://schemas.openxmlformats.org/officeDocument/2006/relationships/footer" Target="footer4.xml"/><Relationship Id="rId107" Type="http://schemas.openxmlformats.org/officeDocument/2006/relationships/image" Target="media/image86.png"/><Relationship Id="rId11"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image" Target="media/image107.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image" Target="media/image113.png"/><Relationship Id="rId139" Type="http://schemas.openxmlformats.org/officeDocument/2006/relationships/image" Target="media/image118.png"/><Relationship Id="rId8" Type="http://schemas.openxmlformats.org/officeDocument/2006/relationships/header" Target="header1.xml"/><Relationship Id="rId51" Type="http://schemas.openxmlformats.org/officeDocument/2006/relationships/image" Target="media/image32.png"/><Relationship Id="rId72" Type="http://schemas.openxmlformats.org/officeDocument/2006/relationships/footer" Target="footer8.xml"/><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footer" Target="footer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2.png"/><Relationship Id="rId108" Type="http://schemas.openxmlformats.org/officeDocument/2006/relationships/image" Target="media/image87.png"/><Relationship Id="rId116" Type="http://schemas.openxmlformats.org/officeDocument/2006/relationships/image" Target="media/image95.png"/><Relationship Id="rId124" Type="http://schemas.openxmlformats.org/officeDocument/2006/relationships/image" Target="media/image103.png"/><Relationship Id="rId129" Type="http://schemas.openxmlformats.org/officeDocument/2006/relationships/image" Target="media/image108.png"/><Relationship Id="rId137" Type="http://schemas.openxmlformats.org/officeDocument/2006/relationships/image" Target="media/image116.png"/><Relationship Id="rId20" Type="http://schemas.openxmlformats.org/officeDocument/2006/relationships/image" Target="media/image1.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footer" Target="footer7.xml"/><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90.png"/><Relationship Id="rId132" Type="http://schemas.openxmlformats.org/officeDocument/2006/relationships/image" Target="media/image111.png"/><Relationship Id="rId140" Type="http://schemas.openxmlformats.org/officeDocument/2006/relationships/image" Target="media/image1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85.png"/><Relationship Id="rId114" Type="http://schemas.openxmlformats.org/officeDocument/2006/relationships/image" Target="media/image93.png"/><Relationship Id="rId119" Type="http://schemas.openxmlformats.org/officeDocument/2006/relationships/image" Target="media/image98.png"/><Relationship Id="rId127" Type="http://schemas.openxmlformats.org/officeDocument/2006/relationships/image" Target="media/image106.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30" Type="http://schemas.openxmlformats.org/officeDocument/2006/relationships/image" Target="media/image109.png"/><Relationship Id="rId135" Type="http://schemas.openxmlformats.org/officeDocument/2006/relationships/image" Target="media/image114.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20.png"/><Relationship Id="rId109" Type="http://schemas.openxmlformats.org/officeDocument/2006/relationships/image" Target="media/image88.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png"/><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61" Type="http://schemas.openxmlformats.org/officeDocument/2006/relationships/image" Target="media/image42.png"/><Relationship Id="rId82" Type="http://schemas.openxmlformats.org/officeDocument/2006/relationships/image" Target="media/image61.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2B4046-D18C-4A45-9FE1-6A2A51CC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454</Pages>
  <Words>132860</Words>
  <Characters>757303</Characters>
  <Application>Microsoft Office Word</Application>
  <DocSecurity>0</DocSecurity>
  <Lines>6310</Lines>
  <Paragraphs>1776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888387</CharactersWithSpaces>
  <SharedDoc>false</SharedDoc>
  <HLinks>
    <vt:vector size="792" baseType="variant">
      <vt:variant>
        <vt:i4>4653067</vt:i4>
      </vt:variant>
      <vt:variant>
        <vt:i4>2325</vt:i4>
      </vt:variant>
      <vt:variant>
        <vt:i4>0</vt:i4>
      </vt:variant>
      <vt:variant>
        <vt:i4>5</vt:i4>
      </vt:variant>
      <vt:variant>
        <vt:lpwstr/>
      </vt:variant>
      <vt:variant>
        <vt:lpwstr>_ENREF_64</vt:lpwstr>
      </vt:variant>
      <vt:variant>
        <vt:i4>4653067</vt:i4>
      </vt:variant>
      <vt:variant>
        <vt:i4>2317</vt:i4>
      </vt:variant>
      <vt:variant>
        <vt:i4>0</vt:i4>
      </vt:variant>
      <vt:variant>
        <vt:i4>5</vt:i4>
      </vt:variant>
      <vt:variant>
        <vt:lpwstr/>
      </vt:variant>
      <vt:variant>
        <vt:lpwstr>_ENREF_63</vt:lpwstr>
      </vt:variant>
      <vt:variant>
        <vt:i4>4653067</vt:i4>
      </vt:variant>
      <vt:variant>
        <vt:i4>2311</vt:i4>
      </vt:variant>
      <vt:variant>
        <vt:i4>0</vt:i4>
      </vt:variant>
      <vt:variant>
        <vt:i4>5</vt:i4>
      </vt:variant>
      <vt:variant>
        <vt:lpwstr/>
      </vt:variant>
      <vt:variant>
        <vt:lpwstr>_ENREF_62</vt:lpwstr>
      </vt:variant>
      <vt:variant>
        <vt:i4>4653067</vt:i4>
      </vt:variant>
      <vt:variant>
        <vt:i4>2249</vt:i4>
      </vt:variant>
      <vt:variant>
        <vt:i4>0</vt:i4>
      </vt:variant>
      <vt:variant>
        <vt:i4>5</vt:i4>
      </vt:variant>
      <vt:variant>
        <vt:lpwstr/>
      </vt:variant>
      <vt:variant>
        <vt:lpwstr>_ENREF_61</vt:lpwstr>
      </vt:variant>
      <vt:variant>
        <vt:i4>4653067</vt:i4>
      </vt:variant>
      <vt:variant>
        <vt:i4>2177</vt:i4>
      </vt:variant>
      <vt:variant>
        <vt:i4>0</vt:i4>
      </vt:variant>
      <vt:variant>
        <vt:i4>5</vt:i4>
      </vt:variant>
      <vt:variant>
        <vt:lpwstr/>
      </vt:variant>
      <vt:variant>
        <vt:lpwstr>_ENREF_60</vt:lpwstr>
      </vt:variant>
      <vt:variant>
        <vt:i4>4456459</vt:i4>
      </vt:variant>
      <vt:variant>
        <vt:i4>2171</vt:i4>
      </vt:variant>
      <vt:variant>
        <vt:i4>0</vt:i4>
      </vt:variant>
      <vt:variant>
        <vt:i4>5</vt:i4>
      </vt:variant>
      <vt:variant>
        <vt:lpwstr/>
      </vt:variant>
      <vt:variant>
        <vt:lpwstr>_ENREF_59</vt:lpwstr>
      </vt:variant>
      <vt:variant>
        <vt:i4>4456459</vt:i4>
      </vt:variant>
      <vt:variant>
        <vt:i4>2165</vt:i4>
      </vt:variant>
      <vt:variant>
        <vt:i4>0</vt:i4>
      </vt:variant>
      <vt:variant>
        <vt:i4>5</vt:i4>
      </vt:variant>
      <vt:variant>
        <vt:lpwstr/>
      </vt:variant>
      <vt:variant>
        <vt:lpwstr>_ENREF_58</vt:lpwstr>
      </vt:variant>
      <vt:variant>
        <vt:i4>4456459</vt:i4>
      </vt:variant>
      <vt:variant>
        <vt:i4>2157</vt:i4>
      </vt:variant>
      <vt:variant>
        <vt:i4>0</vt:i4>
      </vt:variant>
      <vt:variant>
        <vt:i4>5</vt:i4>
      </vt:variant>
      <vt:variant>
        <vt:lpwstr/>
      </vt:variant>
      <vt:variant>
        <vt:lpwstr>_ENREF_57</vt:lpwstr>
      </vt:variant>
      <vt:variant>
        <vt:i4>4456459</vt:i4>
      </vt:variant>
      <vt:variant>
        <vt:i4>2151</vt:i4>
      </vt:variant>
      <vt:variant>
        <vt:i4>0</vt:i4>
      </vt:variant>
      <vt:variant>
        <vt:i4>5</vt:i4>
      </vt:variant>
      <vt:variant>
        <vt:lpwstr/>
      </vt:variant>
      <vt:variant>
        <vt:lpwstr>_ENREF_56</vt:lpwstr>
      </vt:variant>
      <vt:variant>
        <vt:i4>4456459</vt:i4>
      </vt:variant>
      <vt:variant>
        <vt:i4>2145</vt:i4>
      </vt:variant>
      <vt:variant>
        <vt:i4>0</vt:i4>
      </vt:variant>
      <vt:variant>
        <vt:i4>5</vt:i4>
      </vt:variant>
      <vt:variant>
        <vt:lpwstr/>
      </vt:variant>
      <vt:variant>
        <vt:lpwstr>_ENREF_55</vt:lpwstr>
      </vt:variant>
      <vt:variant>
        <vt:i4>4456459</vt:i4>
      </vt:variant>
      <vt:variant>
        <vt:i4>1723</vt:i4>
      </vt:variant>
      <vt:variant>
        <vt:i4>0</vt:i4>
      </vt:variant>
      <vt:variant>
        <vt:i4>5</vt:i4>
      </vt:variant>
      <vt:variant>
        <vt:lpwstr/>
      </vt:variant>
      <vt:variant>
        <vt:lpwstr>_ENREF_54</vt:lpwstr>
      </vt:variant>
      <vt:variant>
        <vt:i4>4456459</vt:i4>
      </vt:variant>
      <vt:variant>
        <vt:i4>1717</vt:i4>
      </vt:variant>
      <vt:variant>
        <vt:i4>0</vt:i4>
      </vt:variant>
      <vt:variant>
        <vt:i4>5</vt:i4>
      </vt:variant>
      <vt:variant>
        <vt:lpwstr/>
      </vt:variant>
      <vt:variant>
        <vt:lpwstr>_ENREF_53</vt:lpwstr>
      </vt:variant>
      <vt:variant>
        <vt:i4>4456459</vt:i4>
      </vt:variant>
      <vt:variant>
        <vt:i4>1709</vt:i4>
      </vt:variant>
      <vt:variant>
        <vt:i4>0</vt:i4>
      </vt:variant>
      <vt:variant>
        <vt:i4>5</vt:i4>
      </vt:variant>
      <vt:variant>
        <vt:lpwstr/>
      </vt:variant>
      <vt:variant>
        <vt:lpwstr>_ENREF_52</vt:lpwstr>
      </vt:variant>
      <vt:variant>
        <vt:i4>4456459</vt:i4>
      </vt:variant>
      <vt:variant>
        <vt:i4>1701</vt:i4>
      </vt:variant>
      <vt:variant>
        <vt:i4>0</vt:i4>
      </vt:variant>
      <vt:variant>
        <vt:i4>5</vt:i4>
      </vt:variant>
      <vt:variant>
        <vt:lpwstr/>
      </vt:variant>
      <vt:variant>
        <vt:lpwstr>_ENREF_51</vt:lpwstr>
      </vt:variant>
      <vt:variant>
        <vt:i4>4456459</vt:i4>
      </vt:variant>
      <vt:variant>
        <vt:i4>1695</vt:i4>
      </vt:variant>
      <vt:variant>
        <vt:i4>0</vt:i4>
      </vt:variant>
      <vt:variant>
        <vt:i4>5</vt:i4>
      </vt:variant>
      <vt:variant>
        <vt:lpwstr/>
      </vt:variant>
      <vt:variant>
        <vt:lpwstr>_ENREF_50</vt:lpwstr>
      </vt:variant>
      <vt:variant>
        <vt:i4>4325387</vt:i4>
      </vt:variant>
      <vt:variant>
        <vt:i4>1689</vt:i4>
      </vt:variant>
      <vt:variant>
        <vt:i4>0</vt:i4>
      </vt:variant>
      <vt:variant>
        <vt:i4>5</vt:i4>
      </vt:variant>
      <vt:variant>
        <vt:lpwstr/>
      </vt:variant>
      <vt:variant>
        <vt:lpwstr>_ENREF_38</vt:lpwstr>
      </vt:variant>
      <vt:variant>
        <vt:i4>4325387</vt:i4>
      </vt:variant>
      <vt:variant>
        <vt:i4>1681</vt:i4>
      </vt:variant>
      <vt:variant>
        <vt:i4>0</vt:i4>
      </vt:variant>
      <vt:variant>
        <vt:i4>5</vt:i4>
      </vt:variant>
      <vt:variant>
        <vt:lpwstr/>
      </vt:variant>
      <vt:variant>
        <vt:lpwstr>_ENREF_30</vt:lpwstr>
      </vt:variant>
      <vt:variant>
        <vt:i4>4521995</vt:i4>
      </vt:variant>
      <vt:variant>
        <vt:i4>1628</vt:i4>
      </vt:variant>
      <vt:variant>
        <vt:i4>0</vt:i4>
      </vt:variant>
      <vt:variant>
        <vt:i4>5</vt:i4>
      </vt:variant>
      <vt:variant>
        <vt:lpwstr/>
      </vt:variant>
      <vt:variant>
        <vt:lpwstr>_ENREF_40</vt:lpwstr>
      </vt:variant>
      <vt:variant>
        <vt:i4>4325387</vt:i4>
      </vt:variant>
      <vt:variant>
        <vt:i4>1580</vt:i4>
      </vt:variant>
      <vt:variant>
        <vt:i4>0</vt:i4>
      </vt:variant>
      <vt:variant>
        <vt:i4>5</vt:i4>
      </vt:variant>
      <vt:variant>
        <vt:lpwstr/>
      </vt:variant>
      <vt:variant>
        <vt:lpwstr>_ENREF_3</vt:lpwstr>
      </vt:variant>
      <vt:variant>
        <vt:i4>4325387</vt:i4>
      </vt:variant>
      <vt:variant>
        <vt:i4>1529</vt:i4>
      </vt:variant>
      <vt:variant>
        <vt:i4>0</vt:i4>
      </vt:variant>
      <vt:variant>
        <vt:i4>5</vt:i4>
      </vt:variant>
      <vt:variant>
        <vt:lpwstr/>
      </vt:variant>
      <vt:variant>
        <vt:lpwstr>_ENREF_3</vt:lpwstr>
      </vt:variant>
      <vt:variant>
        <vt:i4>4521995</vt:i4>
      </vt:variant>
      <vt:variant>
        <vt:i4>1479</vt:i4>
      </vt:variant>
      <vt:variant>
        <vt:i4>0</vt:i4>
      </vt:variant>
      <vt:variant>
        <vt:i4>5</vt:i4>
      </vt:variant>
      <vt:variant>
        <vt:lpwstr/>
      </vt:variant>
      <vt:variant>
        <vt:lpwstr>_ENREF_49</vt:lpwstr>
      </vt:variant>
      <vt:variant>
        <vt:i4>4521995</vt:i4>
      </vt:variant>
      <vt:variant>
        <vt:i4>1441</vt:i4>
      </vt:variant>
      <vt:variant>
        <vt:i4>0</vt:i4>
      </vt:variant>
      <vt:variant>
        <vt:i4>5</vt:i4>
      </vt:variant>
      <vt:variant>
        <vt:lpwstr/>
      </vt:variant>
      <vt:variant>
        <vt:lpwstr>_ENREF_46</vt:lpwstr>
      </vt:variant>
      <vt:variant>
        <vt:i4>4521995</vt:i4>
      </vt:variant>
      <vt:variant>
        <vt:i4>1433</vt:i4>
      </vt:variant>
      <vt:variant>
        <vt:i4>0</vt:i4>
      </vt:variant>
      <vt:variant>
        <vt:i4>5</vt:i4>
      </vt:variant>
      <vt:variant>
        <vt:lpwstr/>
      </vt:variant>
      <vt:variant>
        <vt:lpwstr>_ENREF_48</vt:lpwstr>
      </vt:variant>
      <vt:variant>
        <vt:i4>4521995</vt:i4>
      </vt:variant>
      <vt:variant>
        <vt:i4>1368</vt:i4>
      </vt:variant>
      <vt:variant>
        <vt:i4>0</vt:i4>
      </vt:variant>
      <vt:variant>
        <vt:i4>5</vt:i4>
      </vt:variant>
      <vt:variant>
        <vt:lpwstr/>
      </vt:variant>
      <vt:variant>
        <vt:lpwstr>_ENREF_47</vt:lpwstr>
      </vt:variant>
      <vt:variant>
        <vt:i4>4325387</vt:i4>
      </vt:variant>
      <vt:variant>
        <vt:i4>1362</vt:i4>
      </vt:variant>
      <vt:variant>
        <vt:i4>0</vt:i4>
      </vt:variant>
      <vt:variant>
        <vt:i4>5</vt:i4>
      </vt:variant>
      <vt:variant>
        <vt:lpwstr/>
      </vt:variant>
      <vt:variant>
        <vt:lpwstr>_ENREF_38</vt:lpwstr>
      </vt:variant>
      <vt:variant>
        <vt:i4>4521995</vt:i4>
      </vt:variant>
      <vt:variant>
        <vt:i4>1312</vt:i4>
      </vt:variant>
      <vt:variant>
        <vt:i4>0</vt:i4>
      </vt:variant>
      <vt:variant>
        <vt:i4>5</vt:i4>
      </vt:variant>
      <vt:variant>
        <vt:lpwstr/>
      </vt:variant>
      <vt:variant>
        <vt:lpwstr>_ENREF_46</vt:lpwstr>
      </vt:variant>
      <vt:variant>
        <vt:i4>4325387</vt:i4>
      </vt:variant>
      <vt:variant>
        <vt:i4>1304</vt:i4>
      </vt:variant>
      <vt:variant>
        <vt:i4>0</vt:i4>
      </vt:variant>
      <vt:variant>
        <vt:i4>5</vt:i4>
      </vt:variant>
      <vt:variant>
        <vt:lpwstr/>
      </vt:variant>
      <vt:variant>
        <vt:lpwstr>_ENREF_30</vt:lpwstr>
      </vt:variant>
      <vt:variant>
        <vt:i4>4521995</vt:i4>
      </vt:variant>
      <vt:variant>
        <vt:i4>1268</vt:i4>
      </vt:variant>
      <vt:variant>
        <vt:i4>0</vt:i4>
      </vt:variant>
      <vt:variant>
        <vt:i4>5</vt:i4>
      </vt:variant>
      <vt:variant>
        <vt:lpwstr/>
      </vt:variant>
      <vt:variant>
        <vt:lpwstr>_ENREF_45</vt:lpwstr>
      </vt:variant>
      <vt:variant>
        <vt:i4>4521995</vt:i4>
      </vt:variant>
      <vt:variant>
        <vt:i4>1227</vt:i4>
      </vt:variant>
      <vt:variant>
        <vt:i4>0</vt:i4>
      </vt:variant>
      <vt:variant>
        <vt:i4>5</vt:i4>
      </vt:variant>
      <vt:variant>
        <vt:lpwstr/>
      </vt:variant>
      <vt:variant>
        <vt:lpwstr>_ENREF_40</vt:lpwstr>
      </vt:variant>
      <vt:variant>
        <vt:i4>4521995</vt:i4>
      </vt:variant>
      <vt:variant>
        <vt:i4>1185</vt:i4>
      </vt:variant>
      <vt:variant>
        <vt:i4>0</vt:i4>
      </vt:variant>
      <vt:variant>
        <vt:i4>5</vt:i4>
      </vt:variant>
      <vt:variant>
        <vt:lpwstr/>
      </vt:variant>
      <vt:variant>
        <vt:lpwstr>_ENREF_44</vt:lpwstr>
      </vt:variant>
      <vt:variant>
        <vt:i4>4521995</vt:i4>
      </vt:variant>
      <vt:variant>
        <vt:i4>1179</vt:i4>
      </vt:variant>
      <vt:variant>
        <vt:i4>0</vt:i4>
      </vt:variant>
      <vt:variant>
        <vt:i4>5</vt:i4>
      </vt:variant>
      <vt:variant>
        <vt:lpwstr/>
      </vt:variant>
      <vt:variant>
        <vt:lpwstr>_ENREF_43</vt:lpwstr>
      </vt:variant>
      <vt:variant>
        <vt:i4>4521995</vt:i4>
      </vt:variant>
      <vt:variant>
        <vt:i4>1138</vt:i4>
      </vt:variant>
      <vt:variant>
        <vt:i4>0</vt:i4>
      </vt:variant>
      <vt:variant>
        <vt:i4>5</vt:i4>
      </vt:variant>
      <vt:variant>
        <vt:lpwstr/>
      </vt:variant>
      <vt:variant>
        <vt:lpwstr>_ENREF_40</vt:lpwstr>
      </vt:variant>
      <vt:variant>
        <vt:i4>4194315</vt:i4>
      </vt:variant>
      <vt:variant>
        <vt:i4>1100</vt:i4>
      </vt:variant>
      <vt:variant>
        <vt:i4>0</vt:i4>
      </vt:variant>
      <vt:variant>
        <vt:i4>5</vt:i4>
      </vt:variant>
      <vt:variant>
        <vt:lpwstr/>
      </vt:variant>
      <vt:variant>
        <vt:lpwstr>_ENREF_19</vt:lpwstr>
      </vt:variant>
      <vt:variant>
        <vt:i4>4521995</vt:i4>
      </vt:variant>
      <vt:variant>
        <vt:i4>1092</vt:i4>
      </vt:variant>
      <vt:variant>
        <vt:i4>0</vt:i4>
      </vt:variant>
      <vt:variant>
        <vt:i4>5</vt:i4>
      </vt:variant>
      <vt:variant>
        <vt:lpwstr/>
      </vt:variant>
      <vt:variant>
        <vt:lpwstr>_ENREF_42</vt:lpwstr>
      </vt:variant>
      <vt:variant>
        <vt:i4>4521995</vt:i4>
      </vt:variant>
      <vt:variant>
        <vt:i4>1051</vt:i4>
      </vt:variant>
      <vt:variant>
        <vt:i4>0</vt:i4>
      </vt:variant>
      <vt:variant>
        <vt:i4>5</vt:i4>
      </vt:variant>
      <vt:variant>
        <vt:lpwstr/>
      </vt:variant>
      <vt:variant>
        <vt:lpwstr>_ENREF_41</vt:lpwstr>
      </vt:variant>
      <vt:variant>
        <vt:i4>4521995</vt:i4>
      </vt:variant>
      <vt:variant>
        <vt:i4>1043</vt:i4>
      </vt:variant>
      <vt:variant>
        <vt:i4>0</vt:i4>
      </vt:variant>
      <vt:variant>
        <vt:i4>5</vt:i4>
      </vt:variant>
      <vt:variant>
        <vt:lpwstr/>
      </vt:variant>
      <vt:variant>
        <vt:lpwstr>_ENREF_40</vt:lpwstr>
      </vt:variant>
      <vt:variant>
        <vt:i4>4325387</vt:i4>
      </vt:variant>
      <vt:variant>
        <vt:i4>1037</vt:i4>
      </vt:variant>
      <vt:variant>
        <vt:i4>0</vt:i4>
      </vt:variant>
      <vt:variant>
        <vt:i4>5</vt:i4>
      </vt:variant>
      <vt:variant>
        <vt:lpwstr/>
      </vt:variant>
      <vt:variant>
        <vt:lpwstr>_ENREF_39</vt:lpwstr>
      </vt:variant>
      <vt:variant>
        <vt:i4>4325387</vt:i4>
      </vt:variant>
      <vt:variant>
        <vt:i4>980</vt:i4>
      </vt:variant>
      <vt:variant>
        <vt:i4>0</vt:i4>
      </vt:variant>
      <vt:variant>
        <vt:i4>5</vt:i4>
      </vt:variant>
      <vt:variant>
        <vt:lpwstr/>
      </vt:variant>
      <vt:variant>
        <vt:lpwstr>_ENREF_38</vt:lpwstr>
      </vt:variant>
      <vt:variant>
        <vt:i4>4325387</vt:i4>
      </vt:variant>
      <vt:variant>
        <vt:i4>974</vt:i4>
      </vt:variant>
      <vt:variant>
        <vt:i4>0</vt:i4>
      </vt:variant>
      <vt:variant>
        <vt:i4>5</vt:i4>
      </vt:variant>
      <vt:variant>
        <vt:lpwstr/>
      </vt:variant>
      <vt:variant>
        <vt:lpwstr>_ENREF_37</vt:lpwstr>
      </vt:variant>
      <vt:variant>
        <vt:i4>4325387</vt:i4>
      </vt:variant>
      <vt:variant>
        <vt:i4>966</vt:i4>
      </vt:variant>
      <vt:variant>
        <vt:i4>0</vt:i4>
      </vt:variant>
      <vt:variant>
        <vt:i4>5</vt:i4>
      </vt:variant>
      <vt:variant>
        <vt:lpwstr/>
      </vt:variant>
      <vt:variant>
        <vt:lpwstr>_ENREF_36</vt:lpwstr>
      </vt:variant>
      <vt:variant>
        <vt:i4>4325387</vt:i4>
      </vt:variant>
      <vt:variant>
        <vt:i4>960</vt:i4>
      </vt:variant>
      <vt:variant>
        <vt:i4>0</vt:i4>
      </vt:variant>
      <vt:variant>
        <vt:i4>5</vt:i4>
      </vt:variant>
      <vt:variant>
        <vt:lpwstr/>
      </vt:variant>
      <vt:variant>
        <vt:lpwstr>_ENREF_35</vt:lpwstr>
      </vt:variant>
      <vt:variant>
        <vt:i4>4587531</vt:i4>
      </vt:variant>
      <vt:variant>
        <vt:i4>952</vt:i4>
      </vt:variant>
      <vt:variant>
        <vt:i4>0</vt:i4>
      </vt:variant>
      <vt:variant>
        <vt:i4>5</vt:i4>
      </vt:variant>
      <vt:variant>
        <vt:lpwstr/>
      </vt:variant>
      <vt:variant>
        <vt:lpwstr>_ENREF_7</vt:lpwstr>
      </vt:variant>
      <vt:variant>
        <vt:i4>4325387</vt:i4>
      </vt:variant>
      <vt:variant>
        <vt:i4>944</vt:i4>
      </vt:variant>
      <vt:variant>
        <vt:i4>0</vt:i4>
      </vt:variant>
      <vt:variant>
        <vt:i4>5</vt:i4>
      </vt:variant>
      <vt:variant>
        <vt:lpwstr/>
      </vt:variant>
      <vt:variant>
        <vt:lpwstr>_ENREF_34</vt:lpwstr>
      </vt:variant>
      <vt:variant>
        <vt:i4>4521995</vt:i4>
      </vt:variant>
      <vt:variant>
        <vt:i4>903</vt:i4>
      </vt:variant>
      <vt:variant>
        <vt:i4>0</vt:i4>
      </vt:variant>
      <vt:variant>
        <vt:i4>5</vt:i4>
      </vt:variant>
      <vt:variant>
        <vt:lpwstr/>
      </vt:variant>
      <vt:variant>
        <vt:lpwstr>_ENREF_4</vt:lpwstr>
      </vt:variant>
      <vt:variant>
        <vt:i4>4325387</vt:i4>
      </vt:variant>
      <vt:variant>
        <vt:i4>895</vt:i4>
      </vt:variant>
      <vt:variant>
        <vt:i4>0</vt:i4>
      </vt:variant>
      <vt:variant>
        <vt:i4>5</vt:i4>
      </vt:variant>
      <vt:variant>
        <vt:lpwstr/>
      </vt:variant>
      <vt:variant>
        <vt:lpwstr>_ENREF_33</vt:lpwstr>
      </vt:variant>
      <vt:variant>
        <vt:i4>4325387</vt:i4>
      </vt:variant>
      <vt:variant>
        <vt:i4>887</vt:i4>
      </vt:variant>
      <vt:variant>
        <vt:i4>0</vt:i4>
      </vt:variant>
      <vt:variant>
        <vt:i4>5</vt:i4>
      </vt:variant>
      <vt:variant>
        <vt:lpwstr/>
      </vt:variant>
      <vt:variant>
        <vt:lpwstr>_ENREF_32</vt:lpwstr>
      </vt:variant>
      <vt:variant>
        <vt:i4>4390923</vt:i4>
      </vt:variant>
      <vt:variant>
        <vt:i4>879</vt:i4>
      </vt:variant>
      <vt:variant>
        <vt:i4>0</vt:i4>
      </vt:variant>
      <vt:variant>
        <vt:i4>5</vt:i4>
      </vt:variant>
      <vt:variant>
        <vt:lpwstr/>
      </vt:variant>
      <vt:variant>
        <vt:lpwstr>_ENREF_20</vt:lpwstr>
      </vt:variant>
      <vt:variant>
        <vt:i4>4194315</vt:i4>
      </vt:variant>
      <vt:variant>
        <vt:i4>871</vt:i4>
      </vt:variant>
      <vt:variant>
        <vt:i4>0</vt:i4>
      </vt:variant>
      <vt:variant>
        <vt:i4>5</vt:i4>
      </vt:variant>
      <vt:variant>
        <vt:lpwstr/>
      </vt:variant>
      <vt:variant>
        <vt:lpwstr>_ENREF_19</vt:lpwstr>
      </vt:variant>
      <vt:variant>
        <vt:i4>4194315</vt:i4>
      </vt:variant>
      <vt:variant>
        <vt:i4>863</vt:i4>
      </vt:variant>
      <vt:variant>
        <vt:i4>0</vt:i4>
      </vt:variant>
      <vt:variant>
        <vt:i4>5</vt:i4>
      </vt:variant>
      <vt:variant>
        <vt:lpwstr/>
      </vt:variant>
      <vt:variant>
        <vt:lpwstr>_ENREF_18</vt:lpwstr>
      </vt:variant>
      <vt:variant>
        <vt:i4>4325387</vt:i4>
      </vt:variant>
      <vt:variant>
        <vt:i4>855</vt:i4>
      </vt:variant>
      <vt:variant>
        <vt:i4>0</vt:i4>
      </vt:variant>
      <vt:variant>
        <vt:i4>5</vt:i4>
      </vt:variant>
      <vt:variant>
        <vt:lpwstr/>
      </vt:variant>
      <vt:variant>
        <vt:lpwstr>_ENREF_31</vt:lpwstr>
      </vt:variant>
      <vt:variant>
        <vt:i4>4521995</vt:i4>
      </vt:variant>
      <vt:variant>
        <vt:i4>796</vt:i4>
      </vt:variant>
      <vt:variant>
        <vt:i4>0</vt:i4>
      </vt:variant>
      <vt:variant>
        <vt:i4>5</vt:i4>
      </vt:variant>
      <vt:variant>
        <vt:lpwstr/>
      </vt:variant>
      <vt:variant>
        <vt:lpwstr>_ENREF_4</vt:lpwstr>
      </vt:variant>
      <vt:variant>
        <vt:i4>4325387</vt:i4>
      </vt:variant>
      <vt:variant>
        <vt:i4>788</vt:i4>
      </vt:variant>
      <vt:variant>
        <vt:i4>0</vt:i4>
      </vt:variant>
      <vt:variant>
        <vt:i4>5</vt:i4>
      </vt:variant>
      <vt:variant>
        <vt:lpwstr/>
      </vt:variant>
      <vt:variant>
        <vt:lpwstr>_ENREF_30</vt:lpwstr>
      </vt:variant>
      <vt:variant>
        <vt:i4>4390923</vt:i4>
      </vt:variant>
      <vt:variant>
        <vt:i4>782</vt:i4>
      </vt:variant>
      <vt:variant>
        <vt:i4>0</vt:i4>
      </vt:variant>
      <vt:variant>
        <vt:i4>5</vt:i4>
      </vt:variant>
      <vt:variant>
        <vt:lpwstr/>
      </vt:variant>
      <vt:variant>
        <vt:lpwstr>_ENREF_29</vt:lpwstr>
      </vt:variant>
      <vt:variant>
        <vt:i4>4390923</vt:i4>
      </vt:variant>
      <vt:variant>
        <vt:i4>776</vt:i4>
      </vt:variant>
      <vt:variant>
        <vt:i4>0</vt:i4>
      </vt:variant>
      <vt:variant>
        <vt:i4>5</vt:i4>
      </vt:variant>
      <vt:variant>
        <vt:lpwstr/>
      </vt:variant>
      <vt:variant>
        <vt:lpwstr>_ENREF_28</vt:lpwstr>
      </vt:variant>
      <vt:variant>
        <vt:i4>4390923</vt:i4>
      </vt:variant>
      <vt:variant>
        <vt:i4>770</vt:i4>
      </vt:variant>
      <vt:variant>
        <vt:i4>0</vt:i4>
      </vt:variant>
      <vt:variant>
        <vt:i4>5</vt:i4>
      </vt:variant>
      <vt:variant>
        <vt:lpwstr/>
      </vt:variant>
      <vt:variant>
        <vt:lpwstr>_ENREF_27</vt:lpwstr>
      </vt:variant>
      <vt:variant>
        <vt:i4>4521995</vt:i4>
      </vt:variant>
      <vt:variant>
        <vt:i4>708</vt:i4>
      </vt:variant>
      <vt:variant>
        <vt:i4>0</vt:i4>
      </vt:variant>
      <vt:variant>
        <vt:i4>5</vt:i4>
      </vt:variant>
      <vt:variant>
        <vt:lpwstr/>
      </vt:variant>
      <vt:variant>
        <vt:lpwstr>_ENREF_4</vt:lpwstr>
      </vt:variant>
      <vt:variant>
        <vt:i4>4325387</vt:i4>
      </vt:variant>
      <vt:variant>
        <vt:i4>702</vt:i4>
      </vt:variant>
      <vt:variant>
        <vt:i4>0</vt:i4>
      </vt:variant>
      <vt:variant>
        <vt:i4>5</vt:i4>
      </vt:variant>
      <vt:variant>
        <vt:lpwstr/>
      </vt:variant>
      <vt:variant>
        <vt:lpwstr>_ENREF_3</vt:lpwstr>
      </vt:variant>
      <vt:variant>
        <vt:i4>4194315</vt:i4>
      </vt:variant>
      <vt:variant>
        <vt:i4>694</vt:i4>
      </vt:variant>
      <vt:variant>
        <vt:i4>0</vt:i4>
      </vt:variant>
      <vt:variant>
        <vt:i4>5</vt:i4>
      </vt:variant>
      <vt:variant>
        <vt:lpwstr/>
      </vt:variant>
      <vt:variant>
        <vt:lpwstr>_ENREF_18</vt:lpwstr>
      </vt:variant>
      <vt:variant>
        <vt:i4>4718603</vt:i4>
      </vt:variant>
      <vt:variant>
        <vt:i4>686</vt:i4>
      </vt:variant>
      <vt:variant>
        <vt:i4>0</vt:i4>
      </vt:variant>
      <vt:variant>
        <vt:i4>5</vt:i4>
      </vt:variant>
      <vt:variant>
        <vt:lpwstr/>
      </vt:variant>
      <vt:variant>
        <vt:lpwstr>_ENREF_9</vt:lpwstr>
      </vt:variant>
      <vt:variant>
        <vt:i4>4784139</vt:i4>
      </vt:variant>
      <vt:variant>
        <vt:i4>678</vt:i4>
      </vt:variant>
      <vt:variant>
        <vt:i4>0</vt:i4>
      </vt:variant>
      <vt:variant>
        <vt:i4>5</vt:i4>
      </vt:variant>
      <vt:variant>
        <vt:lpwstr/>
      </vt:variant>
      <vt:variant>
        <vt:lpwstr>_ENREF_8</vt:lpwstr>
      </vt:variant>
      <vt:variant>
        <vt:i4>4390923</vt:i4>
      </vt:variant>
      <vt:variant>
        <vt:i4>625</vt:i4>
      </vt:variant>
      <vt:variant>
        <vt:i4>0</vt:i4>
      </vt:variant>
      <vt:variant>
        <vt:i4>5</vt:i4>
      </vt:variant>
      <vt:variant>
        <vt:lpwstr/>
      </vt:variant>
      <vt:variant>
        <vt:lpwstr>_ENREF_26</vt:lpwstr>
      </vt:variant>
      <vt:variant>
        <vt:i4>4390923</vt:i4>
      </vt:variant>
      <vt:variant>
        <vt:i4>617</vt:i4>
      </vt:variant>
      <vt:variant>
        <vt:i4>0</vt:i4>
      </vt:variant>
      <vt:variant>
        <vt:i4>5</vt:i4>
      </vt:variant>
      <vt:variant>
        <vt:lpwstr/>
      </vt:variant>
      <vt:variant>
        <vt:lpwstr>_ENREF_25</vt:lpwstr>
      </vt:variant>
      <vt:variant>
        <vt:i4>4390923</vt:i4>
      </vt:variant>
      <vt:variant>
        <vt:i4>609</vt:i4>
      </vt:variant>
      <vt:variant>
        <vt:i4>0</vt:i4>
      </vt:variant>
      <vt:variant>
        <vt:i4>5</vt:i4>
      </vt:variant>
      <vt:variant>
        <vt:lpwstr/>
      </vt:variant>
      <vt:variant>
        <vt:lpwstr>_ENREF_24</vt:lpwstr>
      </vt:variant>
      <vt:variant>
        <vt:i4>4390923</vt:i4>
      </vt:variant>
      <vt:variant>
        <vt:i4>601</vt:i4>
      </vt:variant>
      <vt:variant>
        <vt:i4>0</vt:i4>
      </vt:variant>
      <vt:variant>
        <vt:i4>5</vt:i4>
      </vt:variant>
      <vt:variant>
        <vt:lpwstr/>
      </vt:variant>
      <vt:variant>
        <vt:lpwstr>_ENREF_23</vt:lpwstr>
      </vt:variant>
      <vt:variant>
        <vt:i4>4390923</vt:i4>
      </vt:variant>
      <vt:variant>
        <vt:i4>593</vt:i4>
      </vt:variant>
      <vt:variant>
        <vt:i4>0</vt:i4>
      </vt:variant>
      <vt:variant>
        <vt:i4>5</vt:i4>
      </vt:variant>
      <vt:variant>
        <vt:lpwstr/>
      </vt:variant>
      <vt:variant>
        <vt:lpwstr>_ENREF_22</vt:lpwstr>
      </vt:variant>
      <vt:variant>
        <vt:i4>4521995</vt:i4>
      </vt:variant>
      <vt:variant>
        <vt:i4>585</vt:i4>
      </vt:variant>
      <vt:variant>
        <vt:i4>0</vt:i4>
      </vt:variant>
      <vt:variant>
        <vt:i4>5</vt:i4>
      </vt:variant>
      <vt:variant>
        <vt:lpwstr/>
      </vt:variant>
      <vt:variant>
        <vt:lpwstr>_ENREF_4</vt:lpwstr>
      </vt:variant>
      <vt:variant>
        <vt:i4>4390923</vt:i4>
      </vt:variant>
      <vt:variant>
        <vt:i4>577</vt:i4>
      </vt:variant>
      <vt:variant>
        <vt:i4>0</vt:i4>
      </vt:variant>
      <vt:variant>
        <vt:i4>5</vt:i4>
      </vt:variant>
      <vt:variant>
        <vt:lpwstr/>
      </vt:variant>
      <vt:variant>
        <vt:lpwstr>_ENREF_21</vt:lpwstr>
      </vt:variant>
      <vt:variant>
        <vt:i4>4390923</vt:i4>
      </vt:variant>
      <vt:variant>
        <vt:i4>569</vt:i4>
      </vt:variant>
      <vt:variant>
        <vt:i4>0</vt:i4>
      </vt:variant>
      <vt:variant>
        <vt:i4>5</vt:i4>
      </vt:variant>
      <vt:variant>
        <vt:lpwstr/>
      </vt:variant>
      <vt:variant>
        <vt:lpwstr>_ENREF_20</vt:lpwstr>
      </vt:variant>
      <vt:variant>
        <vt:i4>4194315</vt:i4>
      </vt:variant>
      <vt:variant>
        <vt:i4>561</vt:i4>
      </vt:variant>
      <vt:variant>
        <vt:i4>0</vt:i4>
      </vt:variant>
      <vt:variant>
        <vt:i4>5</vt:i4>
      </vt:variant>
      <vt:variant>
        <vt:lpwstr/>
      </vt:variant>
      <vt:variant>
        <vt:lpwstr>_ENREF_19</vt:lpwstr>
      </vt:variant>
      <vt:variant>
        <vt:i4>4194315</vt:i4>
      </vt:variant>
      <vt:variant>
        <vt:i4>553</vt:i4>
      </vt:variant>
      <vt:variant>
        <vt:i4>0</vt:i4>
      </vt:variant>
      <vt:variant>
        <vt:i4>5</vt:i4>
      </vt:variant>
      <vt:variant>
        <vt:lpwstr/>
      </vt:variant>
      <vt:variant>
        <vt:lpwstr>_ENREF_18</vt:lpwstr>
      </vt:variant>
      <vt:variant>
        <vt:i4>4194315</vt:i4>
      </vt:variant>
      <vt:variant>
        <vt:i4>545</vt:i4>
      </vt:variant>
      <vt:variant>
        <vt:i4>0</vt:i4>
      </vt:variant>
      <vt:variant>
        <vt:i4>5</vt:i4>
      </vt:variant>
      <vt:variant>
        <vt:lpwstr/>
      </vt:variant>
      <vt:variant>
        <vt:lpwstr>_ENREF_17</vt:lpwstr>
      </vt:variant>
      <vt:variant>
        <vt:i4>4194315</vt:i4>
      </vt:variant>
      <vt:variant>
        <vt:i4>537</vt:i4>
      </vt:variant>
      <vt:variant>
        <vt:i4>0</vt:i4>
      </vt:variant>
      <vt:variant>
        <vt:i4>5</vt:i4>
      </vt:variant>
      <vt:variant>
        <vt:lpwstr/>
      </vt:variant>
      <vt:variant>
        <vt:lpwstr>_ENREF_16</vt:lpwstr>
      </vt:variant>
      <vt:variant>
        <vt:i4>4194315</vt:i4>
      </vt:variant>
      <vt:variant>
        <vt:i4>529</vt:i4>
      </vt:variant>
      <vt:variant>
        <vt:i4>0</vt:i4>
      </vt:variant>
      <vt:variant>
        <vt:i4>5</vt:i4>
      </vt:variant>
      <vt:variant>
        <vt:lpwstr/>
      </vt:variant>
      <vt:variant>
        <vt:lpwstr>_ENREF_15</vt:lpwstr>
      </vt:variant>
      <vt:variant>
        <vt:i4>4194315</vt:i4>
      </vt:variant>
      <vt:variant>
        <vt:i4>521</vt:i4>
      </vt:variant>
      <vt:variant>
        <vt:i4>0</vt:i4>
      </vt:variant>
      <vt:variant>
        <vt:i4>5</vt:i4>
      </vt:variant>
      <vt:variant>
        <vt:lpwstr/>
      </vt:variant>
      <vt:variant>
        <vt:lpwstr>_ENREF_14</vt:lpwstr>
      </vt:variant>
      <vt:variant>
        <vt:i4>4194315</vt:i4>
      </vt:variant>
      <vt:variant>
        <vt:i4>513</vt:i4>
      </vt:variant>
      <vt:variant>
        <vt:i4>0</vt:i4>
      </vt:variant>
      <vt:variant>
        <vt:i4>5</vt:i4>
      </vt:variant>
      <vt:variant>
        <vt:lpwstr/>
      </vt:variant>
      <vt:variant>
        <vt:lpwstr>_ENREF_13</vt:lpwstr>
      </vt:variant>
      <vt:variant>
        <vt:i4>4194315</vt:i4>
      </vt:variant>
      <vt:variant>
        <vt:i4>505</vt:i4>
      </vt:variant>
      <vt:variant>
        <vt:i4>0</vt:i4>
      </vt:variant>
      <vt:variant>
        <vt:i4>5</vt:i4>
      </vt:variant>
      <vt:variant>
        <vt:lpwstr/>
      </vt:variant>
      <vt:variant>
        <vt:lpwstr>_ENREF_12</vt:lpwstr>
      </vt:variant>
      <vt:variant>
        <vt:i4>4194315</vt:i4>
      </vt:variant>
      <vt:variant>
        <vt:i4>497</vt:i4>
      </vt:variant>
      <vt:variant>
        <vt:i4>0</vt:i4>
      </vt:variant>
      <vt:variant>
        <vt:i4>5</vt:i4>
      </vt:variant>
      <vt:variant>
        <vt:lpwstr/>
      </vt:variant>
      <vt:variant>
        <vt:lpwstr>_ENREF_11</vt:lpwstr>
      </vt:variant>
      <vt:variant>
        <vt:i4>4194315</vt:i4>
      </vt:variant>
      <vt:variant>
        <vt:i4>489</vt:i4>
      </vt:variant>
      <vt:variant>
        <vt:i4>0</vt:i4>
      </vt:variant>
      <vt:variant>
        <vt:i4>5</vt:i4>
      </vt:variant>
      <vt:variant>
        <vt:lpwstr/>
      </vt:variant>
      <vt:variant>
        <vt:lpwstr>_ENREF_10</vt:lpwstr>
      </vt:variant>
      <vt:variant>
        <vt:i4>4718603</vt:i4>
      </vt:variant>
      <vt:variant>
        <vt:i4>481</vt:i4>
      </vt:variant>
      <vt:variant>
        <vt:i4>0</vt:i4>
      </vt:variant>
      <vt:variant>
        <vt:i4>5</vt:i4>
      </vt:variant>
      <vt:variant>
        <vt:lpwstr/>
      </vt:variant>
      <vt:variant>
        <vt:lpwstr>_ENREF_9</vt:lpwstr>
      </vt:variant>
      <vt:variant>
        <vt:i4>4784139</vt:i4>
      </vt:variant>
      <vt:variant>
        <vt:i4>473</vt:i4>
      </vt:variant>
      <vt:variant>
        <vt:i4>0</vt:i4>
      </vt:variant>
      <vt:variant>
        <vt:i4>5</vt:i4>
      </vt:variant>
      <vt:variant>
        <vt:lpwstr/>
      </vt:variant>
      <vt:variant>
        <vt:lpwstr>_ENREF_8</vt:lpwstr>
      </vt:variant>
      <vt:variant>
        <vt:i4>4521995</vt:i4>
      </vt:variant>
      <vt:variant>
        <vt:i4>420</vt:i4>
      </vt:variant>
      <vt:variant>
        <vt:i4>0</vt:i4>
      </vt:variant>
      <vt:variant>
        <vt:i4>5</vt:i4>
      </vt:variant>
      <vt:variant>
        <vt:lpwstr/>
      </vt:variant>
      <vt:variant>
        <vt:lpwstr>_ENREF_4</vt:lpwstr>
      </vt:variant>
      <vt:variant>
        <vt:i4>4325387</vt:i4>
      </vt:variant>
      <vt:variant>
        <vt:i4>414</vt:i4>
      </vt:variant>
      <vt:variant>
        <vt:i4>0</vt:i4>
      </vt:variant>
      <vt:variant>
        <vt:i4>5</vt:i4>
      </vt:variant>
      <vt:variant>
        <vt:lpwstr/>
      </vt:variant>
      <vt:variant>
        <vt:lpwstr>_ENREF_3</vt:lpwstr>
      </vt:variant>
      <vt:variant>
        <vt:i4>4587531</vt:i4>
      </vt:variant>
      <vt:variant>
        <vt:i4>406</vt:i4>
      </vt:variant>
      <vt:variant>
        <vt:i4>0</vt:i4>
      </vt:variant>
      <vt:variant>
        <vt:i4>5</vt:i4>
      </vt:variant>
      <vt:variant>
        <vt:lpwstr/>
      </vt:variant>
      <vt:variant>
        <vt:lpwstr>_ENREF_7</vt:lpwstr>
      </vt:variant>
      <vt:variant>
        <vt:i4>4653067</vt:i4>
      </vt:variant>
      <vt:variant>
        <vt:i4>400</vt:i4>
      </vt:variant>
      <vt:variant>
        <vt:i4>0</vt:i4>
      </vt:variant>
      <vt:variant>
        <vt:i4>5</vt:i4>
      </vt:variant>
      <vt:variant>
        <vt:lpwstr/>
      </vt:variant>
      <vt:variant>
        <vt:lpwstr>_ENREF_6</vt:lpwstr>
      </vt:variant>
      <vt:variant>
        <vt:i4>4456459</vt:i4>
      </vt:variant>
      <vt:variant>
        <vt:i4>392</vt:i4>
      </vt:variant>
      <vt:variant>
        <vt:i4>0</vt:i4>
      </vt:variant>
      <vt:variant>
        <vt:i4>5</vt:i4>
      </vt:variant>
      <vt:variant>
        <vt:lpwstr/>
      </vt:variant>
      <vt:variant>
        <vt:lpwstr>_ENREF_5</vt:lpwstr>
      </vt:variant>
      <vt:variant>
        <vt:i4>4390923</vt:i4>
      </vt:variant>
      <vt:variant>
        <vt:i4>384</vt:i4>
      </vt:variant>
      <vt:variant>
        <vt:i4>0</vt:i4>
      </vt:variant>
      <vt:variant>
        <vt:i4>5</vt:i4>
      </vt:variant>
      <vt:variant>
        <vt:lpwstr/>
      </vt:variant>
      <vt:variant>
        <vt:lpwstr>_ENREF_2</vt:lpwstr>
      </vt:variant>
      <vt:variant>
        <vt:i4>4521995</vt:i4>
      </vt:variant>
      <vt:variant>
        <vt:i4>331</vt:i4>
      </vt:variant>
      <vt:variant>
        <vt:i4>0</vt:i4>
      </vt:variant>
      <vt:variant>
        <vt:i4>5</vt:i4>
      </vt:variant>
      <vt:variant>
        <vt:lpwstr/>
      </vt:variant>
      <vt:variant>
        <vt:lpwstr>_ENREF_4</vt:lpwstr>
      </vt:variant>
      <vt:variant>
        <vt:i4>4325387</vt:i4>
      </vt:variant>
      <vt:variant>
        <vt:i4>325</vt:i4>
      </vt:variant>
      <vt:variant>
        <vt:i4>0</vt:i4>
      </vt:variant>
      <vt:variant>
        <vt:i4>5</vt:i4>
      </vt:variant>
      <vt:variant>
        <vt:lpwstr/>
      </vt:variant>
      <vt:variant>
        <vt:lpwstr>_ENREF_3</vt:lpwstr>
      </vt:variant>
      <vt:variant>
        <vt:i4>4390923</vt:i4>
      </vt:variant>
      <vt:variant>
        <vt:i4>317</vt:i4>
      </vt:variant>
      <vt:variant>
        <vt:i4>0</vt:i4>
      </vt:variant>
      <vt:variant>
        <vt:i4>5</vt:i4>
      </vt:variant>
      <vt:variant>
        <vt:lpwstr/>
      </vt:variant>
      <vt:variant>
        <vt:lpwstr>_ENREF_2</vt:lpwstr>
      </vt:variant>
      <vt:variant>
        <vt:i4>4194315</vt:i4>
      </vt:variant>
      <vt:variant>
        <vt:i4>309</vt:i4>
      </vt:variant>
      <vt:variant>
        <vt:i4>0</vt:i4>
      </vt:variant>
      <vt:variant>
        <vt:i4>5</vt:i4>
      </vt:variant>
      <vt:variant>
        <vt:lpwstr/>
      </vt:variant>
      <vt:variant>
        <vt:lpwstr>_ENREF_1</vt:lpwstr>
      </vt:variant>
      <vt:variant>
        <vt:i4>1769522</vt:i4>
      </vt:variant>
      <vt:variant>
        <vt:i4>206</vt:i4>
      </vt:variant>
      <vt:variant>
        <vt:i4>0</vt:i4>
      </vt:variant>
      <vt:variant>
        <vt:i4>5</vt:i4>
      </vt:variant>
      <vt:variant>
        <vt:lpwstr/>
      </vt:variant>
      <vt:variant>
        <vt:lpwstr>_Toc63082760</vt:lpwstr>
      </vt:variant>
      <vt:variant>
        <vt:i4>1179697</vt:i4>
      </vt:variant>
      <vt:variant>
        <vt:i4>200</vt:i4>
      </vt:variant>
      <vt:variant>
        <vt:i4>0</vt:i4>
      </vt:variant>
      <vt:variant>
        <vt:i4>5</vt:i4>
      </vt:variant>
      <vt:variant>
        <vt:lpwstr/>
      </vt:variant>
      <vt:variant>
        <vt:lpwstr>_Toc63082759</vt:lpwstr>
      </vt:variant>
      <vt:variant>
        <vt:i4>1245233</vt:i4>
      </vt:variant>
      <vt:variant>
        <vt:i4>194</vt:i4>
      </vt:variant>
      <vt:variant>
        <vt:i4>0</vt:i4>
      </vt:variant>
      <vt:variant>
        <vt:i4>5</vt:i4>
      </vt:variant>
      <vt:variant>
        <vt:lpwstr/>
      </vt:variant>
      <vt:variant>
        <vt:lpwstr>_Toc63082758</vt:lpwstr>
      </vt:variant>
      <vt:variant>
        <vt:i4>1835057</vt:i4>
      </vt:variant>
      <vt:variant>
        <vt:i4>188</vt:i4>
      </vt:variant>
      <vt:variant>
        <vt:i4>0</vt:i4>
      </vt:variant>
      <vt:variant>
        <vt:i4>5</vt:i4>
      </vt:variant>
      <vt:variant>
        <vt:lpwstr/>
      </vt:variant>
      <vt:variant>
        <vt:lpwstr>_Toc63082757</vt:lpwstr>
      </vt:variant>
      <vt:variant>
        <vt:i4>1900593</vt:i4>
      </vt:variant>
      <vt:variant>
        <vt:i4>182</vt:i4>
      </vt:variant>
      <vt:variant>
        <vt:i4>0</vt:i4>
      </vt:variant>
      <vt:variant>
        <vt:i4>5</vt:i4>
      </vt:variant>
      <vt:variant>
        <vt:lpwstr/>
      </vt:variant>
      <vt:variant>
        <vt:lpwstr>_Toc63082756</vt:lpwstr>
      </vt:variant>
      <vt:variant>
        <vt:i4>1966129</vt:i4>
      </vt:variant>
      <vt:variant>
        <vt:i4>176</vt:i4>
      </vt:variant>
      <vt:variant>
        <vt:i4>0</vt:i4>
      </vt:variant>
      <vt:variant>
        <vt:i4>5</vt:i4>
      </vt:variant>
      <vt:variant>
        <vt:lpwstr/>
      </vt:variant>
      <vt:variant>
        <vt:lpwstr>_Toc63082755</vt:lpwstr>
      </vt:variant>
      <vt:variant>
        <vt:i4>2031665</vt:i4>
      </vt:variant>
      <vt:variant>
        <vt:i4>170</vt:i4>
      </vt:variant>
      <vt:variant>
        <vt:i4>0</vt:i4>
      </vt:variant>
      <vt:variant>
        <vt:i4>5</vt:i4>
      </vt:variant>
      <vt:variant>
        <vt:lpwstr/>
      </vt:variant>
      <vt:variant>
        <vt:lpwstr>_Toc63082754</vt:lpwstr>
      </vt:variant>
      <vt:variant>
        <vt:i4>1572913</vt:i4>
      </vt:variant>
      <vt:variant>
        <vt:i4>164</vt:i4>
      </vt:variant>
      <vt:variant>
        <vt:i4>0</vt:i4>
      </vt:variant>
      <vt:variant>
        <vt:i4>5</vt:i4>
      </vt:variant>
      <vt:variant>
        <vt:lpwstr/>
      </vt:variant>
      <vt:variant>
        <vt:lpwstr>_Toc63082753</vt:lpwstr>
      </vt:variant>
      <vt:variant>
        <vt:i4>1638449</vt:i4>
      </vt:variant>
      <vt:variant>
        <vt:i4>158</vt:i4>
      </vt:variant>
      <vt:variant>
        <vt:i4>0</vt:i4>
      </vt:variant>
      <vt:variant>
        <vt:i4>5</vt:i4>
      </vt:variant>
      <vt:variant>
        <vt:lpwstr/>
      </vt:variant>
      <vt:variant>
        <vt:lpwstr>_Toc63082752</vt:lpwstr>
      </vt:variant>
      <vt:variant>
        <vt:i4>1703985</vt:i4>
      </vt:variant>
      <vt:variant>
        <vt:i4>152</vt:i4>
      </vt:variant>
      <vt:variant>
        <vt:i4>0</vt:i4>
      </vt:variant>
      <vt:variant>
        <vt:i4>5</vt:i4>
      </vt:variant>
      <vt:variant>
        <vt:lpwstr/>
      </vt:variant>
      <vt:variant>
        <vt:lpwstr>_Toc63082751</vt:lpwstr>
      </vt:variant>
      <vt:variant>
        <vt:i4>1769521</vt:i4>
      </vt:variant>
      <vt:variant>
        <vt:i4>146</vt:i4>
      </vt:variant>
      <vt:variant>
        <vt:i4>0</vt:i4>
      </vt:variant>
      <vt:variant>
        <vt:i4>5</vt:i4>
      </vt:variant>
      <vt:variant>
        <vt:lpwstr/>
      </vt:variant>
      <vt:variant>
        <vt:lpwstr>_Toc63082750</vt:lpwstr>
      </vt:variant>
      <vt:variant>
        <vt:i4>1179696</vt:i4>
      </vt:variant>
      <vt:variant>
        <vt:i4>140</vt:i4>
      </vt:variant>
      <vt:variant>
        <vt:i4>0</vt:i4>
      </vt:variant>
      <vt:variant>
        <vt:i4>5</vt:i4>
      </vt:variant>
      <vt:variant>
        <vt:lpwstr/>
      </vt:variant>
      <vt:variant>
        <vt:lpwstr>_Toc63082749</vt:lpwstr>
      </vt:variant>
      <vt:variant>
        <vt:i4>1245232</vt:i4>
      </vt:variant>
      <vt:variant>
        <vt:i4>134</vt:i4>
      </vt:variant>
      <vt:variant>
        <vt:i4>0</vt:i4>
      </vt:variant>
      <vt:variant>
        <vt:i4>5</vt:i4>
      </vt:variant>
      <vt:variant>
        <vt:lpwstr/>
      </vt:variant>
      <vt:variant>
        <vt:lpwstr>_Toc63082748</vt:lpwstr>
      </vt:variant>
      <vt:variant>
        <vt:i4>1835056</vt:i4>
      </vt:variant>
      <vt:variant>
        <vt:i4>128</vt:i4>
      </vt:variant>
      <vt:variant>
        <vt:i4>0</vt:i4>
      </vt:variant>
      <vt:variant>
        <vt:i4>5</vt:i4>
      </vt:variant>
      <vt:variant>
        <vt:lpwstr/>
      </vt:variant>
      <vt:variant>
        <vt:lpwstr>_Toc63082747</vt:lpwstr>
      </vt:variant>
      <vt:variant>
        <vt:i4>1900592</vt:i4>
      </vt:variant>
      <vt:variant>
        <vt:i4>122</vt:i4>
      </vt:variant>
      <vt:variant>
        <vt:i4>0</vt:i4>
      </vt:variant>
      <vt:variant>
        <vt:i4>5</vt:i4>
      </vt:variant>
      <vt:variant>
        <vt:lpwstr/>
      </vt:variant>
      <vt:variant>
        <vt:lpwstr>_Toc63082746</vt:lpwstr>
      </vt:variant>
      <vt:variant>
        <vt:i4>1966128</vt:i4>
      </vt:variant>
      <vt:variant>
        <vt:i4>116</vt:i4>
      </vt:variant>
      <vt:variant>
        <vt:i4>0</vt:i4>
      </vt:variant>
      <vt:variant>
        <vt:i4>5</vt:i4>
      </vt:variant>
      <vt:variant>
        <vt:lpwstr/>
      </vt:variant>
      <vt:variant>
        <vt:lpwstr>_Toc63082745</vt:lpwstr>
      </vt:variant>
      <vt:variant>
        <vt:i4>2031664</vt:i4>
      </vt:variant>
      <vt:variant>
        <vt:i4>110</vt:i4>
      </vt:variant>
      <vt:variant>
        <vt:i4>0</vt:i4>
      </vt:variant>
      <vt:variant>
        <vt:i4>5</vt:i4>
      </vt:variant>
      <vt:variant>
        <vt:lpwstr/>
      </vt:variant>
      <vt:variant>
        <vt:lpwstr>_Toc63082744</vt:lpwstr>
      </vt:variant>
      <vt:variant>
        <vt:i4>1572912</vt:i4>
      </vt:variant>
      <vt:variant>
        <vt:i4>104</vt:i4>
      </vt:variant>
      <vt:variant>
        <vt:i4>0</vt:i4>
      </vt:variant>
      <vt:variant>
        <vt:i4>5</vt:i4>
      </vt:variant>
      <vt:variant>
        <vt:lpwstr/>
      </vt:variant>
      <vt:variant>
        <vt:lpwstr>_Toc63082743</vt:lpwstr>
      </vt:variant>
      <vt:variant>
        <vt:i4>1638448</vt:i4>
      </vt:variant>
      <vt:variant>
        <vt:i4>98</vt:i4>
      </vt:variant>
      <vt:variant>
        <vt:i4>0</vt:i4>
      </vt:variant>
      <vt:variant>
        <vt:i4>5</vt:i4>
      </vt:variant>
      <vt:variant>
        <vt:lpwstr/>
      </vt:variant>
      <vt:variant>
        <vt:lpwstr>_Toc63082742</vt:lpwstr>
      </vt:variant>
      <vt:variant>
        <vt:i4>1703984</vt:i4>
      </vt:variant>
      <vt:variant>
        <vt:i4>92</vt:i4>
      </vt:variant>
      <vt:variant>
        <vt:i4>0</vt:i4>
      </vt:variant>
      <vt:variant>
        <vt:i4>5</vt:i4>
      </vt:variant>
      <vt:variant>
        <vt:lpwstr/>
      </vt:variant>
      <vt:variant>
        <vt:lpwstr>_Toc63082741</vt:lpwstr>
      </vt:variant>
      <vt:variant>
        <vt:i4>1769520</vt:i4>
      </vt:variant>
      <vt:variant>
        <vt:i4>86</vt:i4>
      </vt:variant>
      <vt:variant>
        <vt:i4>0</vt:i4>
      </vt:variant>
      <vt:variant>
        <vt:i4>5</vt:i4>
      </vt:variant>
      <vt:variant>
        <vt:lpwstr/>
      </vt:variant>
      <vt:variant>
        <vt:lpwstr>_Toc63082740</vt:lpwstr>
      </vt:variant>
      <vt:variant>
        <vt:i4>1179703</vt:i4>
      </vt:variant>
      <vt:variant>
        <vt:i4>80</vt:i4>
      </vt:variant>
      <vt:variant>
        <vt:i4>0</vt:i4>
      </vt:variant>
      <vt:variant>
        <vt:i4>5</vt:i4>
      </vt:variant>
      <vt:variant>
        <vt:lpwstr/>
      </vt:variant>
      <vt:variant>
        <vt:lpwstr>_Toc63082739</vt:lpwstr>
      </vt:variant>
      <vt:variant>
        <vt:i4>1245239</vt:i4>
      </vt:variant>
      <vt:variant>
        <vt:i4>74</vt:i4>
      </vt:variant>
      <vt:variant>
        <vt:i4>0</vt:i4>
      </vt:variant>
      <vt:variant>
        <vt:i4>5</vt:i4>
      </vt:variant>
      <vt:variant>
        <vt:lpwstr/>
      </vt:variant>
      <vt:variant>
        <vt:lpwstr>_Toc63082738</vt:lpwstr>
      </vt:variant>
      <vt:variant>
        <vt:i4>1835063</vt:i4>
      </vt:variant>
      <vt:variant>
        <vt:i4>68</vt:i4>
      </vt:variant>
      <vt:variant>
        <vt:i4>0</vt:i4>
      </vt:variant>
      <vt:variant>
        <vt:i4>5</vt:i4>
      </vt:variant>
      <vt:variant>
        <vt:lpwstr/>
      </vt:variant>
      <vt:variant>
        <vt:lpwstr>_Toc63082737</vt:lpwstr>
      </vt:variant>
      <vt:variant>
        <vt:i4>1900599</vt:i4>
      </vt:variant>
      <vt:variant>
        <vt:i4>62</vt:i4>
      </vt:variant>
      <vt:variant>
        <vt:i4>0</vt:i4>
      </vt:variant>
      <vt:variant>
        <vt:i4>5</vt:i4>
      </vt:variant>
      <vt:variant>
        <vt:lpwstr/>
      </vt:variant>
      <vt:variant>
        <vt:lpwstr>_Toc63082736</vt:lpwstr>
      </vt:variant>
      <vt:variant>
        <vt:i4>1966135</vt:i4>
      </vt:variant>
      <vt:variant>
        <vt:i4>56</vt:i4>
      </vt:variant>
      <vt:variant>
        <vt:i4>0</vt:i4>
      </vt:variant>
      <vt:variant>
        <vt:i4>5</vt:i4>
      </vt:variant>
      <vt:variant>
        <vt:lpwstr/>
      </vt:variant>
      <vt:variant>
        <vt:lpwstr>_Toc63082735</vt:lpwstr>
      </vt:variant>
      <vt:variant>
        <vt:i4>2031671</vt:i4>
      </vt:variant>
      <vt:variant>
        <vt:i4>50</vt:i4>
      </vt:variant>
      <vt:variant>
        <vt:i4>0</vt:i4>
      </vt:variant>
      <vt:variant>
        <vt:i4>5</vt:i4>
      </vt:variant>
      <vt:variant>
        <vt:lpwstr/>
      </vt:variant>
      <vt:variant>
        <vt:lpwstr>_Toc63082734</vt:lpwstr>
      </vt:variant>
      <vt:variant>
        <vt:i4>1572919</vt:i4>
      </vt:variant>
      <vt:variant>
        <vt:i4>44</vt:i4>
      </vt:variant>
      <vt:variant>
        <vt:i4>0</vt:i4>
      </vt:variant>
      <vt:variant>
        <vt:i4>5</vt:i4>
      </vt:variant>
      <vt:variant>
        <vt:lpwstr/>
      </vt:variant>
      <vt:variant>
        <vt:lpwstr>_Toc63082733</vt:lpwstr>
      </vt:variant>
      <vt:variant>
        <vt:i4>1638455</vt:i4>
      </vt:variant>
      <vt:variant>
        <vt:i4>38</vt:i4>
      </vt:variant>
      <vt:variant>
        <vt:i4>0</vt:i4>
      </vt:variant>
      <vt:variant>
        <vt:i4>5</vt:i4>
      </vt:variant>
      <vt:variant>
        <vt:lpwstr/>
      </vt:variant>
      <vt:variant>
        <vt:lpwstr>_Toc63082732</vt:lpwstr>
      </vt:variant>
      <vt:variant>
        <vt:i4>1703991</vt:i4>
      </vt:variant>
      <vt:variant>
        <vt:i4>32</vt:i4>
      </vt:variant>
      <vt:variant>
        <vt:i4>0</vt:i4>
      </vt:variant>
      <vt:variant>
        <vt:i4>5</vt:i4>
      </vt:variant>
      <vt:variant>
        <vt:lpwstr/>
      </vt:variant>
      <vt:variant>
        <vt:lpwstr>_Toc63082731</vt:lpwstr>
      </vt:variant>
      <vt:variant>
        <vt:i4>1769527</vt:i4>
      </vt:variant>
      <vt:variant>
        <vt:i4>26</vt:i4>
      </vt:variant>
      <vt:variant>
        <vt:i4>0</vt:i4>
      </vt:variant>
      <vt:variant>
        <vt:i4>5</vt:i4>
      </vt:variant>
      <vt:variant>
        <vt:lpwstr/>
      </vt:variant>
      <vt:variant>
        <vt:lpwstr>_Toc63082730</vt:lpwstr>
      </vt:variant>
      <vt:variant>
        <vt:i4>1179702</vt:i4>
      </vt:variant>
      <vt:variant>
        <vt:i4>20</vt:i4>
      </vt:variant>
      <vt:variant>
        <vt:i4>0</vt:i4>
      </vt:variant>
      <vt:variant>
        <vt:i4>5</vt:i4>
      </vt:variant>
      <vt:variant>
        <vt:lpwstr/>
      </vt:variant>
      <vt:variant>
        <vt:lpwstr>_Toc63082729</vt:lpwstr>
      </vt:variant>
      <vt:variant>
        <vt:i4>1245238</vt:i4>
      </vt:variant>
      <vt:variant>
        <vt:i4>14</vt:i4>
      </vt:variant>
      <vt:variant>
        <vt:i4>0</vt:i4>
      </vt:variant>
      <vt:variant>
        <vt:i4>5</vt:i4>
      </vt:variant>
      <vt:variant>
        <vt:lpwstr/>
      </vt:variant>
      <vt:variant>
        <vt:lpwstr>_Toc63082728</vt:lpwstr>
      </vt:variant>
      <vt:variant>
        <vt:i4>1835062</vt:i4>
      </vt:variant>
      <vt:variant>
        <vt:i4>8</vt:i4>
      </vt:variant>
      <vt:variant>
        <vt:i4>0</vt:i4>
      </vt:variant>
      <vt:variant>
        <vt:i4>5</vt:i4>
      </vt:variant>
      <vt:variant>
        <vt:lpwstr/>
      </vt:variant>
      <vt:variant>
        <vt:lpwstr>_Toc63082727</vt:lpwstr>
      </vt:variant>
      <vt:variant>
        <vt:i4>1900598</vt:i4>
      </vt:variant>
      <vt:variant>
        <vt:i4>2</vt:i4>
      </vt:variant>
      <vt:variant>
        <vt:i4>0</vt:i4>
      </vt:variant>
      <vt:variant>
        <vt:i4>5</vt:i4>
      </vt:variant>
      <vt:variant>
        <vt:lpwstr/>
      </vt:variant>
      <vt:variant>
        <vt:lpwstr>_Toc63082726</vt:lpwstr>
      </vt:variant>
      <vt:variant>
        <vt:i4>3342449</vt:i4>
      </vt:variant>
      <vt:variant>
        <vt:i4>18</vt:i4>
      </vt:variant>
      <vt:variant>
        <vt:i4>0</vt:i4>
      </vt:variant>
      <vt:variant>
        <vt:i4>5</vt:i4>
      </vt:variant>
      <vt:variant>
        <vt:lpwstr>https://www.thelancet.com/action/showPdf?pii=S0140-6736%2816%2930272-0</vt:lpwstr>
      </vt:variant>
      <vt:variant>
        <vt:lpwstr/>
      </vt:variant>
      <vt:variant>
        <vt:i4>524310</vt:i4>
      </vt:variant>
      <vt:variant>
        <vt:i4>15</vt:i4>
      </vt:variant>
      <vt:variant>
        <vt:i4>0</vt:i4>
      </vt:variant>
      <vt:variant>
        <vt:i4>5</vt:i4>
      </vt:variant>
      <vt:variant>
        <vt:lpwstr>https://academic.oup.com/ntr/article/14/3/343/1164129?login=true</vt:lpwstr>
      </vt:variant>
      <vt:variant>
        <vt:lpwstr/>
      </vt:variant>
      <vt:variant>
        <vt:i4>6750249</vt:i4>
      </vt:variant>
      <vt:variant>
        <vt:i4>12</vt:i4>
      </vt:variant>
      <vt:variant>
        <vt:i4>0</vt:i4>
      </vt:variant>
      <vt:variant>
        <vt:i4>5</vt:i4>
      </vt:variant>
      <vt:variant>
        <vt:lpwstr>https://www.ahajournals.org/doi/epub/10.1161/CIRCULATIONAHA.109.869008</vt:lpwstr>
      </vt:variant>
      <vt:variant>
        <vt:lpwstr/>
      </vt:variant>
      <vt:variant>
        <vt:i4>3735664</vt:i4>
      </vt:variant>
      <vt:variant>
        <vt:i4>9</vt:i4>
      </vt:variant>
      <vt:variant>
        <vt:i4>0</vt:i4>
      </vt:variant>
      <vt:variant>
        <vt:i4>5</vt:i4>
      </vt:variant>
      <vt:variant>
        <vt:lpwstr>https://www.deixardefumar.com.br/docs/tabagismo/pub/Effects_of_Varenicline_Vol33_2011.pdf</vt:lpwstr>
      </vt:variant>
      <vt:variant>
        <vt:lpwstr/>
      </vt:variant>
      <vt:variant>
        <vt:i4>4784193</vt:i4>
      </vt:variant>
      <vt:variant>
        <vt:i4>6</vt:i4>
      </vt:variant>
      <vt:variant>
        <vt:i4>0</vt:i4>
      </vt:variant>
      <vt:variant>
        <vt:i4>5</vt:i4>
      </vt:variant>
      <vt:variant>
        <vt:lpwstr>https://jamanetwork.com/journals/jamainternalmedicine/fullarticle/410803</vt:lpwstr>
      </vt:variant>
      <vt:variant>
        <vt:lpwstr/>
      </vt:variant>
      <vt:variant>
        <vt:i4>5046351</vt:i4>
      </vt:variant>
      <vt:variant>
        <vt:i4>3</vt:i4>
      </vt:variant>
      <vt:variant>
        <vt:i4>0</vt:i4>
      </vt:variant>
      <vt:variant>
        <vt:i4>5</vt:i4>
      </vt:variant>
      <vt:variant>
        <vt:lpwstr>https://jamanetwork.com/journals/jama/fullarticle/211005</vt:lpwstr>
      </vt:variant>
      <vt:variant>
        <vt:lpwstr/>
      </vt:variant>
      <vt:variant>
        <vt:i4>4718671</vt:i4>
      </vt:variant>
      <vt:variant>
        <vt:i4>0</vt:i4>
      </vt:variant>
      <vt:variant>
        <vt:i4>0</vt:i4>
      </vt:variant>
      <vt:variant>
        <vt:i4>5</vt:i4>
      </vt:variant>
      <vt:variant>
        <vt:lpwstr>https://jamanetwork.com/journals/jama/fullarticle/211000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2022-12-12T06:29:00Z</dcterms:created>
  <dcterms:modified xsi:type="dcterms:W3CDTF">2022-12-14T12:49:00Z</dcterms:modified>
</cp:coreProperties>
</file>